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417" w:lineRule="auto"/>
      </w:pPr>
      <w:r>
        <w:rPr/>
        <w:t>DRS</w:t>
      </w:r>
      <w:r>
        <w:rPr>
          <w:spacing w:val="-18"/>
        </w:rPr>
        <w:t> </w:t>
      </w:r>
      <w:r>
        <w:rPr/>
        <w:t>Administrative</w:t>
      </w:r>
      <w:r>
        <w:rPr>
          <w:spacing w:val="-18"/>
        </w:rPr>
        <w:t> </w:t>
      </w:r>
      <w:r>
        <w:rPr/>
        <w:t>Rules </w:t>
      </w:r>
      <w:r>
        <w:rPr>
          <w:spacing w:val="-2"/>
        </w:rPr>
        <w:t>Manual</w:t>
      </w:r>
    </w:p>
    <w:p>
      <w:pPr>
        <w:pStyle w:val="Title"/>
        <w:spacing w:after="0" w:line="417" w:lineRule="auto"/>
        <w:sectPr>
          <w:type w:val="continuous"/>
          <w:pgSz w:w="12240" w:h="15840"/>
          <w:pgMar w:top="1820" w:bottom="280" w:left="1080" w:right="720"/>
        </w:sectPr>
      </w:pPr>
    </w:p>
    <w:p>
      <w:pPr>
        <w:pStyle w:val="Heading1"/>
        <w:spacing w:line="417" w:lineRule="auto"/>
        <w:ind w:left="2626" w:right="775" w:hanging="1187"/>
        <w:jc w:val="left"/>
      </w:pPr>
      <w:r>
        <w:rPr/>
        <w:t>TITLE</w:t>
      </w:r>
      <w:r>
        <w:rPr>
          <w:spacing w:val="-7"/>
        </w:rPr>
        <w:t> </w:t>
      </w:r>
      <w:r>
        <w:rPr/>
        <w:t>612.</w:t>
      </w:r>
      <w:r>
        <w:rPr>
          <w:spacing w:val="-8"/>
        </w:rPr>
        <w:t> </w:t>
      </w:r>
      <w:r>
        <w:rPr/>
        <w:t>STATE</w:t>
      </w:r>
      <w:r>
        <w:rPr>
          <w:spacing w:val="-7"/>
        </w:rPr>
        <w:t> </w:t>
      </w:r>
      <w:r>
        <w:rPr/>
        <w:t>DEPARTMENT</w:t>
      </w:r>
      <w:r>
        <w:rPr>
          <w:spacing w:val="-6"/>
        </w:rPr>
        <w:t> </w:t>
      </w:r>
      <w:r>
        <w:rPr/>
        <w:t>OF</w:t>
      </w:r>
      <w:r>
        <w:rPr>
          <w:spacing w:val="-8"/>
        </w:rPr>
        <w:t> </w:t>
      </w:r>
      <w:r>
        <w:rPr/>
        <w:t>REHABILITATION</w:t>
      </w:r>
      <w:r>
        <w:rPr>
          <w:spacing w:val="-7"/>
        </w:rPr>
        <w:t> </w:t>
      </w:r>
      <w:r>
        <w:rPr/>
        <w:t>SERVICES </w:t>
      </w:r>
      <w:bookmarkStart w:name="CHAPTER 1. ADMINISTRATIVE OPERATIONS" w:id="1"/>
      <w:bookmarkEnd w:id="1"/>
      <w:r>
        <w:rPr/>
        <w:t>CH</w:t>
      </w:r>
      <w:r>
        <w:rPr/>
        <w:t>APTER 1. ADMINISTRATIVE OPERATIONS</w:t>
      </w:r>
    </w:p>
    <w:p>
      <w:pPr>
        <w:pStyle w:val="BodyText"/>
        <w:tabs>
          <w:tab w:pos="8279" w:val="left" w:leader="none"/>
        </w:tabs>
        <w:spacing w:line="276" w:lineRule="exact" w:before="0"/>
        <w:ind w:left="359"/>
      </w:pPr>
      <w:r>
        <w:rPr>
          <w:spacing w:val="-2"/>
        </w:rPr>
        <w:t>Subchapter</w:t>
      </w:r>
      <w:r>
        <w:rPr/>
        <w:tab/>
      </w:r>
      <w:r>
        <w:rPr>
          <w:spacing w:val="-2"/>
        </w:rPr>
        <w:t>Section</w:t>
      </w:r>
    </w:p>
    <w:p>
      <w:pPr>
        <w:pStyle w:val="BodyText"/>
        <w:spacing w:before="4"/>
        <w:ind w:left="0"/>
        <w:rPr>
          <w:sz w:val="18"/>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80"/>
        <w:gridCol w:w="1501"/>
      </w:tblGrid>
      <w:tr>
        <w:trPr>
          <w:trHeight w:val="374" w:hRule="atLeast"/>
        </w:trPr>
        <w:tc>
          <w:tcPr>
            <w:tcW w:w="7680" w:type="dxa"/>
          </w:tcPr>
          <w:p>
            <w:pPr>
              <w:pStyle w:val="TableParagraph"/>
              <w:tabs>
                <w:tab w:pos="769" w:val="left" w:leader="none"/>
              </w:tabs>
              <w:spacing w:line="268" w:lineRule="exact" w:before="0"/>
              <w:rPr>
                <w:sz w:val="24"/>
              </w:rPr>
            </w:pPr>
            <w:r>
              <w:rPr>
                <w:spacing w:val="-5"/>
                <w:sz w:val="24"/>
              </w:rPr>
              <w:t>1.</w:t>
            </w:r>
            <w:r>
              <w:rPr>
                <w:sz w:val="24"/>
              </w:rPr>
              <w:tab/>
              <w:t>General</w:t>
            </w:r>
            <w:r>
              <w:rPr>
                <w:spacing w:val="-4"/>
                <w:sz w:val="24"/>
              </w:rPr>
              <w:t> </w:t>
            </w:r>
            <w:r>
              <w:rPr>
                <w:spacing w:val="-2"/>
                <w:sz w:val="24"/>
              </w:rPr>
              <w:t>Provisions</w:t>
            </w:r>
          </w:p>
        </w:tc>
        <w:tc>
          <w:tcPr>
            <w:tcW w:w="1501" w:type="dxa"/>
          </w:tcPr>
          <w:p>
            <w:pPr>
              <w:pStyle w:val="TableParagraph"/>
              <w:spacing w:line="268" w:lineRule="exact" w:before="0"/>
              <w:ind w:left="290"/>
              <w:rPr>
                <w:sz w:val="24"/>
              </w:rPr>
            </w:pPr>
            <w:r>
              <w:rPr>
                <w:spacing w:val="-2"/>
                <w:sz w:val="24"/>
              </w:rPr>
              <w:t>612:1-1-</w:t>
            </w:r>
            <w:r>
              <w:rPr>
                <w:spacing w:val="-10"/>
                <w:sz w:val="24"/>
              </w:rPr>
              <w:t>1</w:t>
            </w:r>
          </w:p>
        </w:tc>
      </w:tr>
      <w:tr>
        <w:trPr>
          <w:trHeight w:val="480" w:hRule="atLeast"/>
        </w:trPr>
        <w:tc>
          <w:tcPr>
            <w:tcW w:w="7680" w:type="dxa"/>
          </w:tcPr>
          <w:p>
            <w:pPr>
              <w:pStyle w:val="TableParagraph"/>
              <w:tabs>
                <w:tab w:pos="769" w:val="left" w:leader="none"/>
              </w:tabs>
              <w:rPr>
                <w:sz w:val="24"/>
              </w:rPr>
            </w:pPr>
            <w:r>
              <w:rPr>
                <w:spacing w:val="-5"/>
                <w:sz w:val="24"/>
              </w:rPr>
              <w:t>3.</w:t>
            </w:r>
            <w:r>
              <w:rPr>
                <w:sz w:val="24"/>
              </w:rPr>
              <w:tab/>
              <w:t>Administrative</w:t>
            </w:r>
            <w:r>
              <w:rPr>
                <w:spacing w:val="-6"/>
                <w:sz w:val="24"/>
              </w:rPr>
              <w:t> </w:t>
            </w:r>
            <w:r>
              <w:rPr>
                <w:sz w:val="24"/>
              </w:rPr>
              <w:t>Components</w:t>
            </w:r>
            <w:r>
              <w:rPr>
                <w:spacing w:val="-4"/>
                <w:sz w:val="24"/>
              </w:rPr>
              <w:t> </w:t>
            </w:r>
            <w:r>
              <w:rPr>
                <w:sz w:val="24"/>
              </w:rPr>
              <w:t>of</w:t>
            </w:r>
            <w:r>
              <w:rPr>
                <w:spacing w:val="-4"/>
                <w:sz w:val="24"/>
              </w:rPr>
              <w:t> </w:t>
            </w:r>
            <w:r>
              <w:rPr>
                <w:sz w:val="24"/>
              </w:rPr>
              <w:t>the</w:t>
            </w:r>
            <w:r>
              <w:rPr>
                <w:spacing w:val="-3"/>
                <w:sz w:val="24"/>
              </w:rPr>
              <w:t> </w:t>
            </w:r>
            <w:r>
              <w:rPr>
                <w:spacing w:val="-2"/>
                <w:sz w:val="24"/>
              </w:rPr>
              <w:t>Department</w:t>
            </w:r>
          </w:p>
        </w:tc>
        <w:tc>
          <w:tcPr>
            <w:tcW w:w="1501" w:type="dxa"/>
          </w:tcPr>
          <w:p>
            <w:pPr>
              <w:pStyle w:val="TableParagraph"/>
              <w:ind w:left="290"/>
              <w:rPr>
                <w:sz w:val="24"/>
              </w:rPr>
            </w:pPr>
            <w:r>
              <w:rPr>
                <w:spacing w:val="-2"/>
                <w:sz w:val="24"/>
              </w:rPr>
              <w:t>612:1-3-</w:t>
            </w:r>
            <w:r>
              <w:rPr>
                <w:spacing w:val="-10"/>
                <w:sz w:val="24"/>
              </w:rPr>
              <w:t>1</w:t>
            </w:r>
          </w:p>
        </w:tc>
      </w:tr>
      <w:tr>
        <w:trPr>
          <w:trHeight w:val="480" w:hRule="atLeast"/>
        </w:trPr>
        <w:tc>
          <w:tcPr>
            <w:tcW w:w="7680" w:type="dxa"/>
          </w:tcPr>
          <w:p>
            <w:pPr>
              <w:pStyle w:val="TableParagraph"/>
              <w:tabs>
                <w:tab w:pos="769" w:val="left" w:leader="none"/>
              </w:tabs>
              <w:rPr>
                <w:sz w:val="24"/>
              </w:rPr>
            </w:pPr>
            <w:r>
              <w:rPr>
                <w:spacing w:val="-5"/>
                <w:sz w:val="24"/>
              </w:rPr>
              <w:t>5.</w:t>
            </w:r>
            <w:r>
              <w:rPr>
                <w:sz w:val="24"/>
              </w:rPr>
              <w:tab/>
              <w:t>Program</w:t>
            </w:r>
            <w:r>
              <w:rPr>
                <w:spacing w:val="-3"/>
                <w:sz w:val="24"/>
              </w:rPr>
              <w:t> </w:t>
            </w:r>
            <w:r>
              <w:rPr>
                <w:sz w:val="24"/>
              </w:rPr>
              <w:t>Divisions</w:t>
            </w:r>
            <w:r>
              <w:rPr>
                <w:spacing w:val="-3"/>
                <w:sz w:val="24"/>
              </w:rPr>
              <w:t> </w:t>
            </w:r>
            <w:r>
              <w:rPr>
                <w:sz w:val="24"/>
              </w:rPr>
              <w:t>Within</w:t>
            </w:r>
            <w:r>
              <w:rPr>
                <w:spacing w:val="-3"/>
                <w:sz w:val="24"/>
              </w:rPr>
              <w:t> </w:t>
            </w:r>
            <w:r>
              <w:rPr>
                <w:sz w:val="24"/>
              </w:rPr>
              <w:t>the</w:t>
            </w:r>
            <w:r>
              <w:rPr>
                <w:spacing w:val="-3"/>
                <w:sz w:val="24"/>
              </w:rPr>
              <w:t> </w:t>
            </w:r>
            <w:r>
              <w:rPr>
                <w:spacing w:val="-2"/>
                <w:sz w:val="24"/>
              </w:rPr>
              <w:t>Department</w:t>
            </w:r>
          </w:p>
        </w:tc>
        <w:tc>
          <w:tcPr>
            <w:tcW w:w="1501" w:type="dxa"/>
          </w:tcPr>
          <w:p>
            <w:pPr>
              <w:pStyle w:val="TableParagraph"/>
              <w:ind w:left="290"/>
              <w:rPr>
                <w:sz w:val="24"/>
              </w:rPr>
            </w:pPr>
            <w:r>
              <w:rPr>
                <w:spacing w:val="-2"/>
                <w:sz w:val="24"/>
              </w:rPr>
              <w:t>612:1-5-</w:t>
            </w:r>
            <w:r>
              <w:rPr>
                <w:spacing w:val="-10"/>
                <w:sz w:val="24"/>
              </w:rPr>
              <w:t>1</w:t>
            </w:r>
          </w:p>
        </w:tc>
      </w:tr>
      <w:tr>
        <w:trPr>
          <w:trHeight w:val="480" w:hRule="atLeast"/>
        </w:trPr>
        <w:tc>
          <w:tcPr>
            <w:tcW w:w="7680" w:type="dxa"/>
          </w:tcPr>
          <w:p>
            <w:pPr>
              <w:pStyle w:val="TableParagraph"/>
              <w:tabs>
                <w:tab w:pos="769" w:val="left" w:leader="none"/>
              </w:tabs>
              <w:rPr>
                <w:sz w:val="24"/>
              </w:rPr>
            </w:pPr>
            <w:r>
              <w:rPr>
                <w:spacing w:val="-5"/>
                <w:sz w:val="24"/>
              </w:rPr>
              <w:t>7.</w:t>
            </w:r>
            <w:r>
              <w:rPr>
                <w:sz w:val="24"/>
              </w:rPr>
              <w:tab/>
              <w:t>Relationships</w:t>
            </w:r>
            <w:r>
              <w:rPr>
                <w:spacing w:val="-5"/>
                <w:sz w:val="24"/>
              </w:rPr>
              <w:t> </w:t>
            </w:r>
            <w:r>
              <w:rPr>
                <w:sz w:val="24"/>
              </w:rPr>
              <w:t>With</w:t>
            </w:r>
            <w:r>
              <w:rPr>
                <w:spacing w:val="-5"/>
                <w:sz w:val="24"/>
              </w:rPr>
              <w:t> </w:t>
            </w:r>
            <w:r>
              <w:rPr>
                <w:sz w:val="24"/>
              </w:rPr>
              <w:t>Department</w:t>
            </w:r>
            <w:r>
              <w:rPr>
                <w:spacing w:val="-3"/>
                <w:sz w:val="24"/>
              </w:rPr>
              <w:t> </w:t>
            </w:r>
            <w:r>
              <w:rPr>
                <w:sz w:val="24"/>
              </w:rPr>
              <w:t>Established</w:t>
            </w:r>
            <w:r>
              <w:rPr>
                <w:spacing w:val="-5"/>
                <w:sz w:val="24"/>
              </w:rPr>
              <w:t> </w:t>
            </w:r>
            <w:r>
              <w:rPr>
                <w:sz w:val="24"/>
              </w:rPr>
              <w:t>by</w:t>
            </w:r>
            <w:r>
              <w:rPr>
                <w:spacing w:val="-4"/>
                <w:sz w:val="24"/>
              </w:rPr>
              <w:t> </w:t>
            </w:r>
            <w:r>
              <w:rPr>
                <w:spacing w:val="-5"/>
                <w:sz w:val="24"/>
              </w:rPr>
              <w:t>Law</w:t>
            </w:r>
          </w:p>
        </w:tc>
        <w:tc>
          <w:tcPr>
            <w:tcW w:w="1501" w:type="dxa"/>
          </w:tcPr>
          <w:p>
            <w:pPr>
              <w:pStyle w:val="TableParagraph"/>
              <w:ind w:left="290"/>
              <w:rPr>
                <w:sz w:val="24"/>
              </w:rPr>
            </w:pPr>
            <w:r>
              <w:rPr>
                <w:spacing w:val="-2"/>
                <w:sz w:val="24"/>
              </w:rPr>
              <w:t>612:1-7-</w:t>
            </w:r>
            <w:r>
              <w:rPr>
                <w:spacing w:val="-10"/>
                <w:sz w:val="24"/>
              </w:rPr>
              <w:t>1</w:t>
            </w:r>
          </w:p>
        </w:tc>
      </w:tr>
      <w:tr>
        <w:trPr>
          <w:trHeight w:val="480" w:hRule="atLeast"/>
        </w:trPr>
        <w:tc>
          <w:tcPr>
            <w:tcW w:w="7680" w:type="dxa"/>
          </w:tcPr>
          <w:p>
            <w:pPr>
              <w:pStyle w:val="TableParagraph"/>
              <w:tabs>
                <w:tab w:pos="769" w:val="left" w:leader="none"/>
              </w:tabs>
              <w:rPr>
                <w:sz w:val="24"/>
              </w:rPr>
            </w:pPr>
            <w:r>
              <w:rPr>
                <w:spacing w:val="-5"/>
                <w:sz w:val="24"/>
              </w:rPr>
              <w:t>9.</w:t>
            </w:r>
            <w:r>
              <w:rPr>
                <w:sz w:val="24"/>
              </w:rPr>
              <w:tab/>
              <w:t>Compliance</w:t>
            </w:r>
            <w:r>
              <w:rPr>
                <w:spacing w:val="-3"/>
                <w:sz w:val="24"/>
              </w:rPr>
              <w:t> </w:t>
            </w:r>
            <w:r>
              <w:rPr>
                <w:sz w:val="24"/>
              </w:rPr>
              <w:t>With</w:t>
            </w:r>
            <w:r>
              <w:rPr>
                <w:spacing w:val="-3"/>
                <w:sz w:val="24"/>
              </w:rPr>
              <w:t> </w:t>
            </w:r>
            <w:r>
              <w:rPr>
                <w:sz w:val="24"/>
              </w:rPr>
              <w:t>Section</w:t>
            </w:r>
            <w:r>
              <w:rPr>
                <w:spacing w:val="-2"/>
                <w:sz w:val="24"/>
              </w:rPr>
              <w:t> </w:t>
            </w:r>
            <w:r>
              <w:rPr>
                <w:sz w:val="24"/>
              </w:rPr>
              <w:t>504</w:t>
            </w:r>
            <w:r>
              <w:rPr>
                <w:spacing w:val="-3"/>
                <w:sz w:val="24"/>
              </w:rPr>
              <w:t> </w:t>
            </w:r>
            <w:r>
              <w:rPr>
                <w:sz w:val="24"/>
              </w:rPr>
              <w:t>of</w:t>
            </w:r>
            <w:r>
              <w:rPr>
                <w:spacing w:val="-2"/>
                <w:sz w:val="24"/>
              </w:rPr>
              <w:t> </w:t>
            </w:r>
            <w:r>
              <w:rPr>
                <w:sz w:val="24"/>
              </w:rPr>
              <w:t>the</w:t>
            </w:r>
            <w:r>
              <w:rPr>
                <w:spacing w:val="-2"/>
                <w:sz w:val="24"/>
              </w:rPr>
              <w:t> </w:t>
            </w:r>
            <w:r>
              <w:rPr>
                <w:sz w:val="24"/>
              </w:rPr>
              <w:t>Rehabilitation</w:t>
            </w:r>
            <w:r>
              <w:rPr>
                <w:spacing w:val="-3"/>
                <w:sz w:val="24"/>
              </w:rPr>
              <w:t> </w:t>
            </w:r>
            <w:r>
              <w:rPr>
                <w:sz w:val="24"/>
              </w:rPr>
              <w:t>Act</w:t>
            </w:r>
            <w:r>
              <w:rPr>
                <w:spacing w:val="-2"/>
                <w:sz w:val="24"/>
              </w:rPr>
              <w:t> </w:t>
            </w:r>
            <w:r>
              <w:rPr>
                <w:sz w:val="24"/>
              </w:rPr>
              <w:t>of</w:t>
            </w:r>
            <w:r>
              <w:rPr>
                <w:spacing w:val="-1"/>
                <w:sz w:val="24"/>
              </w:rPr>
              <w:t> </w:t>
            </w:r>
            <w:r>
              <w:rPr>
                <w:spacing w:val="-4"/>
                <w:sz w:val="24"/>
              </w:rPr>
              <w:t>1973</w:t>
            </w:r>
          </w:p>
        </w:tc>
        <w:tc>
          <w:tcPr>
            <w:tcW w:w="1501" w:type="dxa"/>
          </w:tcPr>
          <w:p>
            <w:pPr>
              <w:pStyle w:val="TableParagraph"/>
              <w:ind w:left="290"/>
              <w:rPr>
                <w:sz w:val="24"/>
              </w:rPr>
            </w:pPr>
            <w:r>
              <w:rPr>
                <w:spacing w:val="-2"/>
                <w:sz w:val="24"/>
              </w:rPr>
              <w:t>612:1-9-</w:t>
            </w:r>
            <w:r>
              <w:rPr>
                <w:spacing w:val="-10"/>
                <w:sz w:val="24"/>
              </w:rPr>
              <w:t>1</w:t>
            </w:r>
          </w:p>
        </w:tc>
      </w:tr>
      <w:tr>
        <w:trPr>
          <w:trHeight w:val="480" w:hRule="atLeast"/>
        </w:trPr>
        <w:tc>
          <w:tcPr>
            <w:tcW w:w="7680" w:type="dxa"/>
          </w:tcPr>
          <w:p>
            <w:pPr>
              <w:pStyle w:val="TableParagraph"/>
              <w:tabs>
                <w:tab w:pos="769" w:val="left" w:leader="none"/>
              </w:tabs>
              <w:rPr>
                <w:sz w:val="24"/>
              </w:rPr>
            </w:pPr>
            <w:r>
              <w:rPr>
                <w:spacing w:val="-5"/>
                <w:sz w:val="24"/>
              </w:rPr>
              <w:t>11.</w:t>
            </w:r>
            <w:r>
              <w:rPr>
                <w:sz w:val="24"/>
              </w:rPr>
              <w:tab/>
              <w:t>Compliance</w:t>
            </w:r>
            <w:r>
              <w:rPr>
                <w:spacing w:val="-3"/>
                <w:sz w:val="24"/>
              </w:rPr>
              <w:t> </w:t>
            </w:r>
            <w:r>
              <w:rPr>
                <w:sz w:val="24"/>
              </w:rPr>
              <w:t>with</w:t>
            </w:r>
            <w:r>
              <w:rPr>
                <w:spacing w:val="-3"/>
                <w:sz w:val="24"/>
              </w:rPr>
              <w:t> </w:t>
            </w:r>
            <w:r>
              <w:rPr>
                <w:sz w:val="24"/>
              </w:rPr>
              <w:t>the</w:t>
            </w:r>
            <w:r>
              <w:rPr>
                <w:spacing w:val="-3"/>
                <w:sz w:val="24"/>
              </w:rPr>
              <w:t> </w:t>
            </w:r>
            <w:r>
              <w:rPr>
                <w:sz w:val="24"/>
              </w:rPr>
              <w:t>Americans</w:t>
            </w:r>
            <w:r>
              <w:rPr>
                <w:spacing w:val="-3"/>
                <w:sz w:val="24"/>
              </w:rPr>
              <w:t> </w:t>
            </w:r>
            <w:r>
              <w:rPr>
                <w:sz w:val="24"/>
              </w:rPr>
              <w:t>With</w:t>
            </w:r>
            <w:r>
              <w:rPr>
                <w:spacing w:val="-3"/>
                <w:sz w:val="24"/>
              </w:rPr>
              <w:t> </w:t>
            </w:r>
            <w:r>
              <w:rPr>
                <w:sz w:val="24"/>
              </w:rPr>
              <w:t>Disabilities</w:t>
            </w:r>
            <w:r>
              <w:rPr>
                <w:spacing w:val="-3"/>
                <w:sz w:val="24"/>
              </w:rPr>
              <w:t> </w:t>
            </w:r>
            <w:r>
              <w:rPr>
                <w:sz w:val="24"/>
              </w:rPr>
              <w:t>Act</w:t>
            </w:r>
            <w:r>
              <w:rPr>
                <w:spacing w:val="-2"/>
                <w:sz w:val="24"/>
              </w:rPr>
              <w:t> </w:t>
            </w:r>
            <w:r>
              <w:rPr>
                <w:sz w:val="24"/>
              </w:rPr>
              <w:t>of</w:t>
            </w:r>
            <w:r>
              <w:rPr>
                <w:spacing w:val="-2"/>
                <w:sz w:val="24"/>
              </w:rPr>
              <w:t> </w:t>
            </w:r>
            <w:r>
              <w:rPr>
                <w:spacing w:val="-4"/>
                <w:sz w:val="24"/>
              </w:rPr>
              <w:t>1990</w:t>
            </w:r>
          </w:p>
        </w:tc>
        <w:tc>
          <w:tcPr>
            <w:tcW w:w="1501" w:type="dxa"/>
          </w:tcPr>
          <w:p>
            <w:pPr>
              <w:pStyle w:val="TableParagraph"/>
              <w:ind w:left="290"/>
              <w:rPr>
                <w:sz w:val="24"/>
              </w:rPr>
            </w:pPr>
            <w:r>
              <w:rPr>
                <w:spacing w:val="-2"/>
                <w:sz w:val="24"/>
              </w:rPr>
              <w:t>612:1-11-</w:t>
            </w:r>
            <w:r>
              <w:rPr>
                <w:spacing w:val="-10"/>
                <w:sz w:val="24"/>
              </w:rPr>
              <w:t>1</w:t>
            </w:r>
          </w:p>
        </w:tc>
      </w:tr>
      <w:tr>
        <w:trPr>
          <w:trHeight w:val="480" w:hRule="atLeast"/>
        </w:trPr>
        <w:tc>
          <w:tcPr>
            <w:tcW w:w="7680" w:type="dxa"/>
          </w:tcPr>
          <w:p>
            <w:pPr>
              <w:pStyle w:val="TableParagraph"/>
              <w:tabs>
                <w:tab w:pos="769" w:val="left" w:leader="none"/>
              </w:tabs>
              <w:rPr>
                <w:sz w:val="24"/>
              </w:rPr>
            </w:pPr>
            <w:r>
              <w:rPr>
                <w:spacing w:val="-5"/>
                <w:sz w:val="24"/>
              </w:rPr>
              <w:t>13.</w:t>
            </w:r>
            <w:r>
              <w:rPr>
                <w:sz w:val="24"/>
              </w:rPr>
              <w:tab/>
              <w:t>Compliance</w:t>
            </w:r>
            <w:r>
              <w:rPr>
                <w:spacing w:val="-5"/>
                <w:sz w:val="24"/>
              </w:rPr>
              <w:t> </w:t>
            </w:r>
            <w:r>
              <w:rPr>
                <w:sz w:val="24"/>
              </w:rPr>
              <w:t>with</w:t>
            </w:r>
            <w:r>
              <w:rPr>
                <w:spacing w:val="-3"/>
                <w:sz w:val="24"/>
              </w:rPr>
              <w:t> </w:t>
            </w:r>
            <w:r>
              <w:rPr>
                <w:sz w:val="24"/>
              </w:rPr>
              <w:t>Civil</w:t>
            </w:r>
            <w:r>
              <w:rPr>
                <w:spacing w:val="-2"/>
                <w:sz w:val="24"/>
              </w:rPr>
              <w:t> </w:t>
            </w:r>
            <w:r>
              <w:rPr>
                <w:sz w:val="24"/>
              </w:rPr>
              <w:t>Right</w:t>
            </w:r>
            <w:r>
              <w:rPr>
                <w:spacing w:val="-2"/>
                <w:sz w:val="24"/>
              </w:rPr>
              <w:t> </w:t>
            </w:r>
            <w:r>
              <w:rPr>
                <w:sz w:val="24"/>
              </w:rPr>
              <w:t>Act</w:t>
            </w:r>
            <w:r>
              <w:rPr>
                <w:spacing w:val="-2"/>
                <w:sz w:val="24"/>
              </w:rPr>
              <w:t> </w:t>
            </w:r>
            <w:r>
              <w:rPr>
                <w:sz w:val="24"/>
              </w:rPr>
              <w:t>and</w:t>
            </w:r>
            <w:r>
              <w:rPr>
                <w:spacing w:val="-2"/>
                <w:sz w:val="24"/>
              </w:rPr>
              <w:t> Nondiscrimination</w:t>
            </w:r>
          </w:p>
        </w:tc>
        <w:tc>
          <w:tcPr>
            <w:tcW w:w="1501" w:type="dxa"/>
          </w:tcPr>
          <w:p>
            <w:pPr>
              <w:pStyle w:val="TableParagraph"/>
              <w:ind w:left="290"/>
              <w:rPr>
                <w:sz w:val="24"/>
              </w:rPr>
            </w:pPr>
            <w:r>
              <w:rPr>
                <w:spacing w:val="-2"/>
                <w:sz w:val="24"/>
              </w:rPr>
              <w:t>612:1-13-</w:t>
            </w:r>
            <w:r>
              <w:rPr>
                <w:spacing w:val="-10"/>
                <w:sz w:val="24"/>
              </w:rPr>
              <w:t>1</w:t>
            </w:r>
          </w:p>
        </w:tc>
      </w:tr>
      <w:tr>
        <w:trPr>
          <w:trHeight w:val="374" w:hRule="atLeast"/>
        </w:trPr>
        <w:tc>
          <w:tcPr>
            <w:tcW w:w="7680" w:type="dxa"/>
          </w:tcPr>
          <w:p>
            <w:pPr>
              <w:pStyle w:val="TableParagraph"/>
              <w:tabs>
                <w:tab w:pos="769" w:val="left" w:leader="none"/>
              </w:tabs>
              <w:spacing w:line="256" w:lineRule="exact"/>
              <w:rPr>
                <w:sz w:val="24"/>
              </w:rPr>
            </w:pPr>
            <w:r>
              <w:rPr>
                <w:spacing w:val="-5"/>
                <w:sz w:val="24"/>
              </w:rPr>
              <w:t>15.</w:t>
            </w:r>
            <w:r>
              <w:rPr>
                <w:sz w:val="24"/>
              </w:rPr>
              <w:tab/>
              <w:t>Department</w:t>
            </w:r>
            <w:r>
              <w:rPr>
                <w:spacing w:val="-5"/>
                <w:sz w:val="24"/>
              </w:rPr>
              <w:t> </w:t>
            </w:r>
            <w:r>
              <w:rPr>
                <w:spacing w:val="-2"/>
                <w:sz w:val="24"/>
              </w:rPr>
              <w:t>Manual</w:t>
            </w:r>
          </w:p>
        </w:tc>
        <w:tc>
          <w:tcPr>
            <w:tcW w:w="1501" w:type="dxa"/>
          </w:tcPr>
          <w:p>
            <w:pPr>
              <w:pStyle w:val="TableParagraph"/>
              <w:spacing w:line="256" w:lineRule="exact"/>
              <w:ind w:left="290"/>
              <w:rPr>
                <w:sz w:val="24"/>
              </w:rPr>
            </w:pPr>
            <w:r>
              <w:rPr>
                <w:spacing w:val="-2"/>
                <w:sz w:val="24"/>
              </w:rPr>
              <w:t>612:1-15-</w:t>
            </w:r>
            <w:r>
              <w:rPr>
                <w:spacing w:val="-10"/>
                <w:sz w:val="24"/>
              </w:rPr>
              <w:t>1</w:t>
            </w:r>
          </w:p>
        </w:tc>
      </w:tr>
    </w:tbl>
    <w:p>
      <w:pPr>
        <w:pStyle w:val="BodyText"/>
        <w:tabs>
          <w:tab w:pos="1079" w:val="left" w:leader="none"/>
        </w:tabs>
        <w:spacing w:line="258" w:lineRule="exact" w:before="204"/>
        <w:ind w:left="359"/>
      </w:pPr>
      <w:r>
        <w:rPr>
          <w:spacing w:val="-5"/>
        </w:rPr>
        <w:t>17.</w:t>
      </w:r>
      <w:r>
        <w:rPr/>
        <w:tab/>
        <w:t>Availability</w:t>
      </w:r>
      <w:r>
        <w:rPr>
          <w:spacing w:val="-4"/>
        </w:rPr>
        <w:t> </w:t>
      </w:r>
      <w:r>
        <w:rPr/>
        <w:t>of</w:t>
      </w:r>
      <w:r>
        <w:rPr>
          <w:spacing w:val="-3"/>
        </w:rPr>
        <w:t> </w:t>
      </w:r>
      <w:r>
        <w:rPr/>
        <w:t>Information,</w:t>
      </w:r>
      <w:r>
        <w:rPr>
          <w:spacing w:val="-3"/>
        </w:rPr>
        <w:t> </w:t>
      </w:r>
      <w:r>
        <w:rPr/>
        <w:t>Scope</w:t>
      </w:r>
      <w:r>
        <w:rPr>
          <w:spacing w:val="-4"/>
        </w:rPr>
        <w:t> </w:t>
      </w:r>
      <w:r>
        <w:rPr/>
        <w:t>and</w:t>
      </w:r>
      <w:r>
        <w:rPr>
          <w:spacing w:val="-4"/>
        </w:rPr>
        <w:t> </w:t>
      </w:r>
      <w:r>
        <w:rPr/>
        <w:t>Description</w:t>
      </w:r>
      <w:r>
        <w:rPr>
          <w:spacing w:val="-4"/>
        </w:rPr>
        <w:t> </w:t>
      </w:r>
      <w:r>
        <w:rPr/>
        <w:t>of</w:t>
      </w:r>
      <w:r>
        <w:rPr>
          <w:spacing w:val="-2"/>
        </w:rPr>
        <w:t> </w:t>
      </w:r>
      <w:r>
        <w:rPr>
          <w:spacing w:val="-4"/>
        </w:rPr>
        <w:t>Open</w:t>
      </w:r>
    </w:p>
    <w:p>
      <w:pPr>
        <w:pStyle w:val="BodyText"/>
        <w:tabs>
          <w:tab w:pos="8279" w:val="left" w:leader="none"/>
        </w:tabs>
        <w:spacing w:line="258" w:lineRule="exact" w:before="0"/>
        <w:ind w:left="1079"/>
      </w:pPr>
      <w:r>
        <w:rPr>
          <w:spacing w:val="-2"/>
        </w:rPr>
        <w:t>Meetings</w:t>
      </w:r>
      <w:r>
        <w:rPr/>
        <w:tab/>
      </w:r>
      <w:r>
        <w:rPr>
          <w:spacing w:val="-2"/>
        </w:rPr>
        <w:t>612:1-17-</w:t>
      </w:r>
      <w:r>
        <w:rPr>
          <w:spacing w:val="-10"/>
        </w:rPr>
        <w:t>1</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1673" w:firstLine="1080"/>
        <w:jc w:val="left"/>
        <w:rPr>
          <w:sz w:val="22"/>
        </w:rPr>
      </w:pPr>
      <w:r>
        <w:rPr>
          <w:sz w:val="22"/>
        </w:rPr>
        <w:t>Permanent,</w:t>
      </w:r>
      <w:r>
        <w:rPr>
          <w:spacing w:val="-3"/>
          <w:sz w:val="22"/>
        </w:rPr>
        <w:t> </w:t>
      </w:r>
      <w:r>
        <w:rPr>
          <w:sz w:val="22"/>
        </w:rPr>
        <w:t>first</w:t>
      </w:r>
      <w:r>
        <w:rPr>
          <w:spacing w:val="-4"/>
          <w:sz w:val="22"/>
        </w:rPr>
        <w:t> </w:t>
      </w:r>
      <w:r>
        <w:rPr>
          <w:sz w:val="22"/>
        </w:rPr>
        <w:t>adoption</w:t>
      </w:r>
      <w:r>
        <w:rPr>
          <w:spacing w:val="-4"/>
          <w:sz w:val="22"/>
        </w:rPr>
        <w:t> </w:t>
      </w:r>
      <w:r>
        <w:rPr>
          <w:sz w:val="22"/>
        </w:rPr>
        <w:t>under</w:t>
      </w:r>
      <w:r>
        <w:rPr>
          <w:spacing w:val="-4"/>
          <w:sz w:val="22"/>
        </w:rPr>
        <w:t> </w:t>
      </w:r>
      <w:r>
        <w:rPr>
          <w:sz w:val="22"/>
        </w:rPr>
        <w:t>OAC</w:t>
      </w:r>
      <w:r>
        <w:rPr>
          <w:spacing w:val="-5"/>
          <w:sz w:val="22"/>
        </w:rPr>
        <w:t> </w:t>
      </w:r>
      <w:r>
        <w:rPr>
          <w:sz w:val="22"/>
        </w:rPr>
        <w:t>Title</w:t>
      </w:r>
      <w:r>
        <w:rPr>
          <w:spacing w:val="-4"/>
          <w:sz w:val="22"/>
        </w:rPr>
        <w:t> </w:t>
      </w:r>
      <w:r>
        <w:rPr>
          <w:sz w:val="22"/>
        </w:rPr>
        <w:t>612,</w:t>
      </w:r>
      <w:r>
        <w:rPr>
          <w:spacing w:val="-5"/>
          <w:sz w:val="22"/>
        </w:rPr>
        <w:t> </w:t>
      </w:r>
      <w:r>
        <w:rPr>
          <w:sz w:val="22"/>
        </w:rPr>
        <w:t>added</w:t>
      </w:r>
      <w:r>
        <w:rPr>
          <w:spacing w:val="-4"/>
          <w:sz w:val="22"/>
        </w:rPr>
        <w:t> </w:t>
      </w:r>
      <w:r>
        <w:rPr>
          <w:sz w:val="22"/>
        </w:rPr>
        <w:t>entry</w:t>
      </w:r>
      <w:r>
        <w:rPr>
          <w:spacing w:val="-5"/>
          <w:sz w:val="22"/>
        </w:rPr>
        <w:t> </w:t>
      </w:r>
      <w:r>
        <w:rPr>
          <w:sz w:val="22"/>
        </w:rPr>
        <w:t>for</w:t>
      </w:r>
      <w:r>
        <w:rPr>
          <w:spacing w:val="-4"/>
          <w:sz w:val="22"/>
        </w:rPr>
        <w:t> </w:t>
      </w:r>
      <w:r>
        <w:rPr>
          <w:sz w:val="22"/>
        </w:rPr>
        <w:t>Appendix</w:t>
      </w:r>
      <w:r>
        <w:rPr>
          <w:spacing w:val="-4"/>
          <w:sz w:val="22"/>
        </w:rPr>
        <w:t> </w:t>
      </w:r>
      <w:r>
        <w:rPr>
          <w:sz w:val="22"/>
        </w:rPr>
        <w:t>D </w:t>
      </w:r>
      <w:r>
        <w:rPr>
          <w:spacing w:val="-2"/>
          <w:sz w:val="22"/>
        </w:rPr>
        <w:t>8-1-96</w:t>
      </w:r>
      <w:r>
        <w:rPr>
          <w:sz w:val="22"/>
        </w:rPr>
        <w:tab/>
        <w:t>PT Memo #97-1</w:t>
      </w:r>
    </w:p>
    <w:p>
      <w:pPr>
        <w:spacing w:before="1"/>
        <w:ind w:left="1439" w:right="0" w:firstLine="0"/>
        <w:jc w:val="left"/>
        <w:rPr>
          <w:sz w:val="22"/>
        </w:rPr>
      </w:pPr>
      <w:r>
        <w:rPr>
          <w:sz w:val="22"/>
        </w:rPr>
        <w:t>Permanent,</w:t>
      </w:r>
      <w:r>
        <w:rPr>
          <w:spacing w:val="-8"/>
          <w:sz w:val="22"/>
        </w:rPr>
        <w:t> </w:t>
      </w:r>
      <w:r>
        <w:rPr>
          <w:sz w:val="22"/>
        </w:rPr>
        <w:t>Removed</w:t>
      </w:r>
      <w:r>
        <w:rPr>
          <w:spacing w:val="-9"/>
          <w:sz w:val="22"/>
        </w:rPr>
        <w:t> </w:t>
      </w:r>
      <w:r>
        <w:rPr>
          <w:sz w:val="22"/>
        </w:rPr>
        <w:t>entries</w:t>
      </w:r>
      <w:r>
        <w:rPr>
          <w:spacing w:val="-8"/>
          <w:sz w:val="22"/>
        </w:rPr>
        <w:t> </w:t>
      </w:r>
      <w:r>
        <w:rPr>
          <w:sz w:val="22"/>
        </w:rPr>
        <w:t>for</w:t>
      </w:r>
      <w:r>
        <w:rPr>
          <w:spacing w:val="-9"/>
          <w:sz w:val="22"/>
        </w:rPr>
        <w:t> </w:t>
      </w:r>
      <w:r>
        <w:rPr>
          <w:sz w:val="22"/>
        </w:rPr>
        <w:t>revoked</w:t>
      </w:r>
      <w:r>
        <w:rPr>
          <w:spacing w:val="-8"/>
          <w:sz w:val="22"/>
        </w:rPr>
        <w:t> </w:t>
      </w:r>
      <w:r>
        <w:rPr>
          <w:spacing w:val="-2"/>
          <w:sz w:val="22"/>
        </w:rPr>
        <w:t>appendices</w:t>
      </w:r>
    </w:p>
    <w:p>
      <w:pPr>
        <w:spacing w:after="0"/>
        <w:jc w:val="left"/>
        <w:rPr>
          <w:sz w:val="22"/>
        </w:rPr>
        <w:sectPr>
          <w:pgSz w:w="12240" w:h="15840"/>
          <w:pgMar w:top="1340" w:bottom="280" w:left="1080" w:right="720"/>
        </w:sectPr>
      </w:pPr>
    </w:p>
    <w:p>
      <w:pPr>
        <w:pStyle w:val="Heading1"/>
      </w:pPr>
      <w:bookmarkStart w:name="SUBCHAPTER 1. GENERAL PROVISIONS" w:id="2"/>
      <w:bookmarkEnd w:id="2"/>
      <w:r>
        <w:rPr>
          <w:b w:val="0"/>
        </w:rPr>
      </w:r>
      <w:r>
        <w:rPr/>
        <w:t>SUBCHAPTER</w:t>
      </w:r>
      <w:r>
        <w:rPr>
          <w:spacing w:val="-4"/>
        </w:rPr>
        <w:t> </w:t>
      </w:r>
      <w:r>
        <w:rPr/>
        <w:t>1.</w:t>
      </w:r>
      <w:r>
        <w:rPr>
          <w:spacing w:val="-3"/>
        </w:rPr>
        <w:t> </w:t>
      </w:r>
      <w:r>
        <w:rPr/>
        <w:t>GENERAL</w:t>
      </w:r>
      <w:r>
        <w:rPr>
          <w:spacing w:val="-3"/>
        </w:rPr>
        <w:t> </w:t>
      </w:r>
      <w:r>
        <w:rPr>
          <w:spacing w:val="-2"/>
        </w:rPr>
        <w:t>PROVISIONS</w:t>
      </w:r>
    </w:p>
    <w:p>
      <w:pPr>
        <w:pStyle w:val="BodyText"/>
        <w:spacing w:before="204"/>
      </w:pPr>
      <w:r>
        <w:rPr>
          <w:spacing w:val="-2"/>
        </w:rPr>
        <w:t>Section</w:t>
      </w:r>
    </w:p>
    <w:p>
      <w:pPr>
        <w:pStyle w:val="BodyText"/>
        <w:tabs>
          <w:tab w:pos="1799" w:val="left" w:leader="none"/>
        </w:tabs>
        <w:spacing w:before="204"/>
      </w:pPr>
      <w:r>
        <w:rPr>
          <w:spacing w:val="-2"/>
        </w:rPr>
        <w:t>612:1-1-</w:t>
      </w:r>
      <w:r>
        <w:rPr>
          <w:spacing w:val="-5"/>
        </w:rPr>
        <w:t>1.</w:t>
      </w:r>
      <w:r>
        <w:rPr/>
        <w:tab/>
      </w:r>
      <w:r>
        <w:rPr>
          <w:spacing w:val="-2"/>
        </w:rPr>
        <w:t>Purpose</w:t>
      </w:r>
    </w:p>
    <w:p>
      <w:pPr>
        <w:pStyle w:val="BodyText"/>
        <w:tabs>
          <w:tab w:pos="1799" w:val="left" w:leader="none"/>
        </w:tabs>
        <w:spacing w:before="204"/>
      </w:pPr>
      <w:r>
        <w:rPr>
          <w:spacing w:val="-2"/>
        </w:rPr>
        <w:t>612:1-1-</w:t>
      </w:r>
      <w:r>
        <w:rPr>
          <w:spacing w:val="-5"/>
        </w:rPr>
        <w:t>2.</w:t>
      </w:r>
      <w:r>
        <w:rPr/>
        <w:tab/>
      </w:r>
      <w:r>
        <w:rPr>
          <w:spacing w:val="-2"/>
        </w:rPr>
        <w:t>Definitions</w:t>
      </w:r>
    </w:p>
    <w:p>
      <w:pPr>
        <w:pStyle w:val="BodyText"/>
        <w:tabs>
          <w:tab w:pos="1799" w:val="left" w:leader="none"/>
        </w:tabs>
        <w:spacing w:before="204"/>
      </w:pPr>
      <w:r>
        <w:rPr>
          <w:spacing w:val="-2"/>
        </w:rPr>
        <w:t>612:1-1-</w:t>
      </w:r>
      <w:r>
        <w:rPr>
          <w:spacing w:val="-5"/>
        </w:rPr>
        <w:t>3.</w:t>
      </w:r>
      <w:r>
        <w:rPr/>
        <w:tab/>
      </w:r>
      <w:r>
        <w:rPr>
          <w:spacing w:val="-2"/>
        </w:rPr>
        <w:t>Philosophy</w:t>
      </w:r>
    </w:p>
    <w:p>
      <w:pPr>
        <w:pStyle w:val="BodyText"/>
        <w:tabs>
          <w:tab w:pos="1799" w:val="left" w:leader="none"/>
        </w:tabs>
        <w:spacing w:before="204"/>
      </w:pPr>
      <w:r>
        <w:rPr>
          <w:spacing w:val="-2"/>
        </w:rPr>
        <w:t>612:1-1-</w:t>
      </w:r>
      <w:r>
        <w:rPr>
          <w:spacing w:val="-5"/>
        </w:rPr>
        <w:t>4.</w:t>
      </w:r>
      <w:r>
        <w:rPr/>
        <w:tab/>
        <w:t>Legal</w:t>
      </w:r>
      <w:r>
        <w:rPr>
          <w:spacing w:val="-4"/>
        </w:rPr>
        <w:t> </w:t>
      </w:r>
      <w:r>
        <w:rPr>
          <w:spacing w:val="-2"/>
        </w:rPr>
        <w:t>basis</w:t>
      </w:r>
    </w:p>
    <w:p>
      <w:pPr>
        <w:pStyle w:val="BodyText"/>
        <w:tabs>
          <w:tab w:pos="1799" w:val="left" w:leader="none"/>
        </w:tabs>
        <w:spacing w:line="208" w:lineRule="auto" w:before="233"/>
        <w:ind w:left="1800" w:right="1036" w:hanging="1440"/>
      </w:pPr>
      <w:r>
        <w:rPr>
          <w:spacing w:val="-2"/>
        </w:rPr>
        <w:t>612:1-1-6.</w:t>
      </w:r>
      <w:r>
        <w:rPr/>
        <w:tab/>
        <w:t>Description</w:t>
      </w:r>
      <w:r>
        <w:rPr>
          <w:spacing w:val="-3"/>
        </w:rPr>
        <w:t> </w:t>
      </w:r>
      <w:r>
        <w:rPr/>
        <w:t>of</w:t>
      </w:r>
      <w:r>
        <w:rPr>
          <w:spacing w:val="-5"/>
        </w:rPr>
        <w:t> </w:t>
      </w:r>
      <w:r>
        <w:rPr/>
        <w:t>forms</w:t>
      </w:r>
      <w:r>
        <w:rPr>
          <w:spacing w:val="-5"/>
        </w:rPr>
        <w:t> </w:t>
      </w:r>
      <w:r>
        <w:rPr/>
        <w:t>and</w:t>
      </w:r>
      <w:r>
        <w:rPr>
          <w:spacing w:val="-4"/>
        </w:rPr>
        <w:t> </w:t>
      </w:r>
      <w:r>
        <w:rPr/>
        <w:t>instruction</w:t>
      </w:r>
      <w:r>
        <w:rPr>
          <w:spacing w:val="-4"/>
        </w:rPr>
        <w:t> </w:t>
      </w:r>
      <w:r>
        <w:rPr/>
        <w:t>issued</w:t>
      </w:r>
      <w:r>
        <w:rPr>
          <w:spacing w:val="-4"/>
        </w:rPr>
        <w:t> </w:t>
      </w:r>
      <w:r>
        <w:rPr/>
        <w:t>by</w:t>
      </w:r>
      <w:r>
        <w:rPr>
          <w:spacing w:val="-4"/>
        </w:rPr>
        <w:t> </w:t>
      </w:r>
      <w:r>
        <w:rPr/>
        <w:t>the</w:t>
      </w:r>
      <w:r>
        <w:rPr>
          <w:spacing w:val="-4"/>
        </w:rPr>
        <w:t> </w:t>
      </w:r>
      <w:r>
        <w:rPr/>
        <w:t>Department</w:t>
      </w:r>
      <w:r>
        <w:rPr>
          <w:spacing w:val="-5"/>
        </w:rPr>
        <w:t> </w:t>
      </w:r>
      <w:r>
        <w:rPr/>
        <w:t>for</w:t>
      </w:r>
      <w:r>
        <w:rPr>
          <w:spacing w:val="-5"/>
        </w:rPr>
        <w:t> </w:t>
      </w:r>
      <w:r>
        <w:rPr/>
        <w:t>public </w:t>
      </w:r>
      <w:r>
        <w:rPr>
          <w:spacing w:val="-4"/>
        </w:rPr>
        <w:t>use</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8-1-96</w:t>
      </w:r>
      <w:r>
        <w:rPr>
          <w:sz w:val="22"/>
        </w:rPr>
        <w:tab/>
        <w:t>PT Memo #97-1</w:t>
      </w:r>
    </w:p>
    <w:p>
      <w:pPr>
        <w:spacing w:before="0"/>
        <w:ind w:left="1439" w:right="0" w:firstLine="0"/>
        <w:jc w:val="left"/>
        <w:rPr>
          <w:sz w:val="22"/>
        </w:rPr>
      </w:pPr>
      <w:r>
        <w:rPr>
          <w:sz w:val="22"/>
        </w:rPr>
        <w:t>Permanent,</w:t>
      </w:r>
      <w:r>
        <w:rPr>
          <w:spacing w:val="-9"/>
          <w:sz w:val="22"/>
        </w:rPr>
        <w:t> </w:t>
      </w:r>
      <w:r>
        <w:rPr>
          <w:sz w:val="22"/>
        </w:rPr>
        <w:t>removed</w:t>
      </w:r>
      <w:r>
        <w:rPr>
          <w:spacing w:val="-9"/>
          <w:sz w:val="22"/>
        </w:rPr>
        <w:t> </w:t>
      </w:r>
      <w:r>
        <w:rPr>
          <w:sz w:val="22"/>
        </w:rPr>
        <w:t>entry</w:t>
      </w:r>
      <w:r>
        <w:rPr>
          <w:spacing w:val="-9"/>
          <w:sz w:val="22"/>
        </w:rPr>
        <w:t> </w:t>
      </w:r>
      <w:r>
        <w:rPr>
          <w:sz w:val="22"/>
        </w:rPr>
        <w:t>for</w:t>
      </w:r>
      <w:r>
        <w:rPr>
          <w:spacing w:val="-10"/>
          <w:sz w:val="22"/>
        </w:rPr>
        <w:t> </w:t>
      </w:r>
      <w:r>
        <w:rPr>
          <w:sz w:val="22"/>
        </w:rPr>
        <w:t>revoked</w:t>
      </w:r>
      <w:r>
        <w:rPr>
          <w:spacing w:val="-9"/>
          <w:sz w:val="22"/>
        </w:rPr>
        <w:t> </w:t>
      </w:r>
      <w:r>
        <w:rPr>
          <w:sz w:val="22"/>
        </w:rPr>
        <w:t>Section</w:t>
      </w:r>
      <w:r>
        <w:rPr>
          <w:spacing w:val="-9"/>
          <w:sz w:val="22"/>
        </w:rPr>
        <w:t> </w:t>
      </w:r>
      <w:r>
        <w:rPr>
          <w:sz w:val="22"/>
        </w:rPr>
        <w:t>612:1-1-</w:t>
      </w:r>
      <w:r>
        <w:rPr>
          <w:spacing w:val="-5"/>
          <w:sz w:val="22"/>
        </w:rPr>
        <w:t>5.</w:t>
      </w:r>
    </w:p>
    <w:p>
      <w:pPr>
        <w:pStyle w:val="ListParagraph"/>
        <w:numPr>
          <w:ilvl w:val="2"/>
          <w:numId w:val="1"/>
        </w:numPr>
        <w:tabs>
          <w:tab w:pos="1439" w:val="left" w:leader="none"/>
        </w:tabs>
        <w:spacing w:line="253" w:lineRule="exact" w:before="1" w:after="0"/>
        <w:ind w:left="1439" w:right="0" w:hanging="1080"/>
        <w:jc w:val="left"/>
        <w:rPr>
          <w:sz w:val="22"/>
        </w:rPr>
      </w:pPr>
      <w:r>
        <w:rPr>
          <w:sz w:val="22"/>
        </w:rPr>
        <w:t>PT</w:t>
      </w:r>
      <w:r>
        <w:rPr>
          <w:spacing w:val="-8"/>
          <w:sz w:val="22"/>
        </w:rPr>
        <w:t> </w:t>
      </w:r>
      <w:r>
        <w:rPr>
          <w:sz w:val="22"/>
        </w:rPr>
        <w:t>Memo</w:t>
      </w:r>
      <w:r>
        <w:rPr>
          <w:spacing w:val="-8"/>
          <w:sz w:val="22"/>
        </w:rPr>
        <w:t> </w:t>
      </w:r>
      <w:r>
        <w:rPr>
          <w:sz w:val="22"/>
        </w:rPr>
        <w:t>#01-</w:t>
      </w:r>
      <w:r>
        <w:rPr>
          <w:spacing w:val="-5"/>
          <w:sz w:val="22"/>
        </w:rPr>
        <w:t>08</w:t>
      </w:r>
    </w:p>
    <w:p>
      <w:pPr>
        <w:tabs>
          <w:tab w:pos="1439" w:val="left" w:leader="none"/>
        </w:tabs>
        <w:spacing w:before="0"/>
        <w:ind w:left="359" w:right="1912" w:firstLine="1080"/>
        <w:jc w:val="left"/>
        <w:rPr>
          <w:sz w:val="22"/>
        </w:rPr>
      </w:pPr>
      <w:r>
        <w:rPr>
          <w:sz w:val="22"/>
        </w:rPr>
        <w:t>Permanent,</w:t>
      </w:r>
      <w:r>
        <w:rPr>
          <w:spacing w:val="-4"/>
          <w:sz w:val="22"/>
        </w:rPr>
        <w:t> </w:t>
      </w:r>
      <w:r>
        <w:rPr>
          <w:sz w:val="22"/>
        </w:rPr>
        <w:t>replaced</w:t>
      </w:r>
      <w:r>
        <w:rPr>
          <w:spacing w:val="-5"/>
          <w:sz w:val="22"/>
        </w:rPr>
        <w:t> </w:t>
      </w:r>
      <w:r>
        <w:rPr>
          <w:sz w:val="22"/>
        </w:rPr>
        <w:t>"Blueprint</w:t>
      </w:r>
      <w:r>
        <w:rPr>
          <w:spacing w:val="-5"/>
          <w:sz w:val="22"/>
        </w:rPr>
        <w:t> </w:t>
      </w:r>
      <w:r>
        <w:rPr>
          <w:sz w:val="22"/>
        </w:rPr>
        <w:t>for</w:t>
      </w:r>
      <w:r>
        <w:rPr>
          <w:spacing w:val="-5"/>
          <w:sz w:val="22"/>
        </w:rPr>
        <w:t> </w:t>
      </w:r>
      <w:r>
        <w:rPr>
          <w:sz w:val="22"/>
        </w:rPr>
        <w:t>the</w:t>
      </w:r>
      <w:r>
        <w:rPr>
          <w:spacing w:val="-5"/>
          <w:sz w:val="22"/>
        </w:rPr>
        <w:t> </w:t>
      </w:r>
      <w:r>
        <w:rPr>
          <w:sz w:val="22"/>
        </w:rPr>
        <w:t>future"</w:t>
      </w:r>
      <w:r>
        <w:rPr>
          <w:spacing w:val="-5"/>
          <w:sz w:val="22"/>
        </w:rPr>
        <w:t> </w:t>
      </w:r>
      <w:r>
        <w:rPr>
          <w:sz w:val="22"/>
        </w:rPr>
        <w:t>with</w:t>
      </w:r>
      <w:r>
        <w:rPr>
          <w:spacing w:val="-5"/>
          <w:sz w:val="22"/>
        </w:rPr>
        <w:t> </w:t>
      </w:r>
      <w:r>
        <w:rPr>
          <w:sz w:val="22"/>
        </w:rPr>
        <w:t>"Balanced</w:t>
      </w:r>
      <w:r>
        <w:rPr>
          <w:spacing w:val="-5"/>
          <w:sz w:val="22"/>
        </w:rPr>
        <w:t> </w:t>
      </w:r>
      <w:r>
        <w:rPr>
          <w:sz w:val="22"/>
        </w:rPr>
        <w:t>Scorecard" </w:t>
      </w:r>
      <w:r>
        <w:rPr>
          <w:spacing w:val="-2"/>
          <w:sz w:val="22"/>
        </w:rPr>
        <w:t>8-26-21</w:t>
      </w:r>
      <w:r>
        <w:rPr>
          <w:sz w:val="22"/>
        </w:rPr>
        <w:tab/>
        <w:t>Removed section (b) Balanced Scorecard.</w:t>
      </w:r>
    </w:p>
    <w:p>
      <w:pPr>
        <w:spacing w:after="0"/>
        <w:jc w:val="left"/>
        <w:rPr>
          <w:sz w:val="22"/>
        </w:rPr>
        <w:sectPr>
          <w:pgSz w:w="12240" w:h="15840"/>
          <w:pgMar w:top="1340" w:bottom="280" w:left="1080" w:right="720"/>
        </w:sectPr>
      </w:pPr>
    </w:p>
    <w:p>
      <w:pPr>
        <w:pStyle w:val="Heading2"/>
      </w:pPr>
      <w:bookmarkStart w:name="612:1-1-1.  Purpose" w:id="3"/>
      <w:bookmarkEnd w:id="3"/>
      <w:r>
        <w:rPr>
          <w:b w:val="0"/>
        </w:rPr>
      </w:r>
      <w:r>
        <w:rPr/>
        <w:t>612:1-1-1.</w:t>
      </w:r>
      <w:r>
        <w:rPr>
          <w:spacing w:val="60"/>
        </w:rPr>
        <w:t> </w:t>
      </w:r>
      <w:r>
        <w:rPr>
          <w:spacing w:val="-2"/>
        </w:rPr>
        <w:t>Purpose</w:t>
      </w:r>
    </w:p>
    <w:p>
      <w:pPr>
        <w:pStyle w:val="BodyText"/>
        <w:spacing w:line="208" w:lineRule="auto" w:before="233"/>
        <w:ind w:right="775" w:firstLine="432"/>
      </w:pPr>
      <w:r>
        <w:rPr/>
        <w:t>The</w:t>
      </w:r>
      <w:r>
        <w:rPr>
          <w:spacing w:val="-4"/>
        </w:rPr>
        <w:t> </w:t>
      </w:r>
      <w:r>
        <w:rPr/>
        <w:t>purpose</w:t>
      </w:r>
      <w:r>
        <w:rPr>
          <w:spacing w:val="-4"/>
        </w:rPr>
        <w:t> </w:t>
      </w:r>
      <w:r>
        <w:rPr/>
        <w:t>of</w:t>
      </w:r>
      <w:r>
        <w:rPr>
          <w:spacing w:val="-3"/>
        </w:rPr>
        <w:t> </w:t>
      </w:r>
      <w:r>
        <w:rPr/>
        <w:t>this</w:t>
      </w:r>
      <w:r>
        <w:rPr>
          <w:spacing w:val="-4"/>
        </w:rPr>
        <w:t> </w:t>
      </w:r>
      <w:r>
        <w:rPr/>
        <w:t>Chapter</w:t>
      </w:r>
      <w:r>
        <w:rPr>
          <w:spacing w:val="-3"/>
        </w:rPr>
        <w:t> </w:t>
      </w:r>
      <w:r>
        <w:rPr/>
        <w:t>is</w:t>
      </w:r>
      <w:r>
        <w:rPr>
          <w:spacing w:val="-4"/>
        </w:rPr>
        <w:t> </w:t>
      </w:r>
      <w:r>
        <w:rPr/>
        <w:t>to</w:t>
      </w:r>
      <w:r>
        <w:rPr>
          <w:spacing w:val="-5"/>
        </w:rPr>
        <w:t> </w:t>
      </w:r>
      <w:r>
        <w:rPr/>
        <w:t>describe</w:t>
      </w:r>
      <w:r>
        <w:rPr>
          <w:spacing w:val="-4"/>
        </w:rPr>
        <w:t> </w:t>
      </w:r>
      <w:r>
        <w:rPr/>
        <w:t>the</w:t>
      </w:r>
      <w:r>
        <w:rPr>
          <w:spacing w:val="-4"/>
        </w:rPr>
        <w:t> </w:t>
      </w:r>
      <w:r>
        <w:rPr/>
        <w:t>organizational</w:t>
      </w:r>
      <w:r>
        <w:rPr>
          <w:spacing w:val="-4"/>
        </w:rPr>
        <w:t> </w:t>
      </w:r>
      <w:r>
        <w:rPr/>
        <w:t>structure</w:t>
      </w:r>
      <w:r>
        <w:rPr>
          <w:spacing w:val="-4"/>
        </w:rPr>
        <w:t> </w:t>
      </w:r>
      <w:r>
        <w:rPr/>
        <w:t>and</w:t>
      </w:r>
      <w:r>
        <w:rPr>
          <w:spacing w:val="-4"/>
        </w:rPr>
        <w:t> </w:t>
      </w:r>
      <w:r>
        <w:rPr/>
        <w:t>function of the Department of Rehabilitation Services.</w:t>
      </w:r>
      <w:r>
        <w:rPr>
          <w:spacing w:val="40"/>
        </w:rPr>
        <w:t> </w:t>
      </w:r>
      <w:r>
        <w:rPr/>
        <w:t>It includes the legal basis of the Department, identifies the Department's divisions and units, and outlines other rules governing the overall operation of the Department. Authority for promulgating these rules is given to the Oklahoma Commission for Rehabilitation Services in Title 74, Section 166.1 et seq. of Oklahoma Statutes.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7-1-99</w:t>
      </w:r>
      <w:r>
        <w:rPr>
          <w:sz w:val="22"/>
        </w:rPr>
        <w:tab/>
        <w:t>POL Memo #00-1</w:t>
      </w:r>
    </w:p>
    <w:p>
      <w:pPr>
        <w:spacing w:before="1"/>
        <w:ind w:left="1439" w:right="0" w:firstLine="0"/>
        <w:jc w:val="left"/>
        <w:rPr>
          <w:sz w:val="22"/>
        </w:rPr>
      </w:pPr>
      <w:r>
        <w:rPr>
          <w:sz w:val="22"/>
        </w:rPr>
        <w:t>Permanent,</w:t>
      </w:r>
      <w:r>
        <w:rPr>
          <w:spacing w:val="-7"/>
          <w:sz w:val="22"/>
        </w:rPr>
        <w:t> </w:t>
      </w:r>
      <w:r>
        <w:rPr>
          <w:sz w:val="22"/>
        </w:rPr>
        <w:t>updated</w:t>
      </w:r>
      <w:r>
        <w:rPr>
          <w:spacing w:val="-7"/>
          <w:sz w:val="22"/>
        </w:rPr>
        <w:t> </w:t>
      </w:r>
      <w:r>
        <w:rPr>
          <w:sz w:val="22"/>
        </w:rPr>
        <w:t>legal</w:t>
      </w:r>
      <w:r>
        <w:rPr>
          <w:spacing w:val="-7"/>
          <w:sz w:val="22"/>
        </w:rPr>
        <w:t> </w:t>
      </w:r>
      <w:r>
        <w:rPr>
          <w:sz w:val="22"/>
        </w:rPr>
        <w:t>basis</w:t>
      </w:r>
      <w:r>
        <w:rPr>
          <w:spacing w:val="-8"/>
          <w:sz w:val="22"/>
        </w:rPr>
        <w:t> </w:t>
      </w:r>
      <w:r>
        <w:rPr>
          <w:sz w:val="22"/>
        </w:rPr>
        <w:t>for</w:t>
      </w:r>
      <w:r>
        <w:rPr>
          <w:spacing w:val="-9"/>
          <w:sz w:val="22"/>
        </w:rPr>
        <w:t> </w:t>
      </w:r>
      <w:r>
        <w:rPr>
          <w:sz w:val="22"/>
        </w:rPr>
        <w:t>promulgation</w:t>
      </w:r>
      <w:r>
        <w:rPr>
          <w:spacing w:val="-8"/>
          <w:sz w:val="22"/>
        </w:rPr>
        <w:t> </w:t>
      </w:r>
      <w:r>
        <w:rPr>
          <w:sz w:val="22"/>
        </w:rPr>
        <w:t>of</w:t>
      </w:r>
      <w:r>
        <w:rPr>
          <w:spacing w:val="-7"/>
          <w:sz w:val="22"/>
        </w:rPr>
        <w:t> </w:t>
      </w:r>
      <w:r>
        <w:rPr>
          <w:spacing w:val="-2"/>
          <w:sz w:val="22"/>
        </w:rPr>
        <w:t>rules</w:t>
      </w:r>
    </w:p>
    <w:p>
      <w:pPr>
        <w:spacing w:after="0"/>
        <w:jc w:val="left"/>
        <w:rPr>
          <w:sz w:val="22"/>
        </w:rPr>
        <w:sectPr>
          <w:pgSz w:w="12240" w:h="15840"/>
          <w:pgMar w:top="1340" w:bottom="280" w:left="1080" w:right="720"/>
        </w:sectPr>
      </w:pPr>
    </w:p>
    <w:p>
      <w:pPr>
        <w:pStyle w:val="Heading2"/>
      </w:pPr>
      <w:bookmarkStart w:name="612:1-1-2.  Definitions" w:id="4"/>
      <w:bookmarkEnd w:id="4"/>
      <w:r>
        <w:rPr>
          <w:b w:val="0"/>
        </w:rPr>
      </w:r>
      <w:r>
        <w:rPr/>
        <w:t>612:1-1-2.</w:t>
      </w:r>
      <w:r>
        <w:rPr>
          <w:spacing w:val="60"/>
        </w:rPr>
        <w:t> </w:t>
      </w:r>
      <w:r>
        <w:rPr>
          <w:spacing w:val="-2"/>
        </w:rPr>
        <w:t>Definitions</w:t>
      </w:r>
    </w:p>
    <w:p>
      <w:pPr>
        <w:pStyle w:val="BodyText"/>
        <w:spacing w:line="208" w:lineRule="auto" w:before="233"/>
        <w:ind w:right="775" w:firstLine="432"/>
      </w:pPr>
      <w:r>
        <w:rPr/>
        <w:t>The</w:t>
      </w:r>
      <w:r>
        <w:rPr>
          <w:spacing w:val="-3"/>
        </w:rPr>
        <w:t> </w:t>
      </w:r>
      <w:r>
        <w:rPr/>
        <w:t>following</w:t>
      </w:r>
      <w:r>
        <w:rPr>
          <w:spacing w:val="-3"/>
        </w:rPr>
        <w:t> </w:t>
      </w:r>
      <w:r>
        <w:rPr/>
        <w:t>words</w:t>
      </w:r>
      <w:r>
        <w:rPr>
          <w:spacing w:val="-3"/>
        </w:rPr>
        <w:t> </w:t>
      </w:r>
      <w:r>
        <w:rPr/>
        <w:t>and</w:t>
      </w:r>
      <w:r>
        <w:rPr>
          <w:spacing w:val="-3"/>
        </w:rPr>
        <w:t> </w:t>
      </w:r>
      <w:r>
        <w:rPr/>
        <w:t>terms,</w:t>
      </w:r>
      <w:r>
        <w:rPr>
          <w:spacing w:val="-5"/>
        </w:rPr>
        <w:t> </w:t>
      </w:r>
      <w:r>
        <w:rPr/>
        <w:t>when</w:t>
      </w:r>
      <w:r>
        <w:rPr>
          <w:spacing w:val="-3"/>
        </w:rPr>
        <w:t> </w:t>
      </w:r>
      <w:r>
        <w:rPr/>
        <w:t>used</w:t>
      </w:r>
      <w:r>
        <w:rPr>
          <w:spacing w:val="-2"/>
        </w:rPr>
        <w:t> </w:t>
      </w:r>
      <w:r>
        <w:rPr/>
        <w:t>in</w:t>
      </w:r>
      <w:r>
        <w:rPr>
          <w:spacing w:val="-3"/>
        </w:rPr>
        <w:t> </w:t>
      </w:r>
      <w:r>
        <w:rPr/>
        <w:t>this</w:t>
      </w:r>
      <w:r>
        <w:rPr>
          <w:spacing w:val="-3"/>
        </w:rPr>
        <w:t> </w:t>
      </w:r>
      <w:r>
        <w:rPr/>
        <w:t>Chapter,</w:t>
      </w:r>
      <w:r>
        <w:rPr>
          <w:spacing w:val="-2"/>
        </w:rPr>
        <w:t> </w:t>
      </w:r>
      <w:r>
        <w:rPr/>
        <w:t>shall</w:t>
      </w:r>
      <w:r>
        <w:rPr>
          <w:spacing w:val="-3"/>
        </w:rPr>
        <w:t> </w:t>
      </w:r>
      <w:r>
        <w:rPr/>
        <w:t>have</w:t>
      </w:r>
      <w:r>
        <w:rPr>
          <w:spacing w:val="-3"/>
        </w:rPr>
        <w:t> </w:t>
      </w:r>
      <w:r>
        <w:rPr/>
        <w:t>the</w:t>
      </w:r>
      <w:r>
        <w:rPr>
          <w:spacing w:val="-3"/>
        </w:rPr>
        <w:t> </w:t>
      </w:r>
      <w:r>
        <w:rPr/>
        <w:t>following meanings, unless the context clearly indicates otherwise:</w:t>
      </w:r>
    </w:p>
    <w:p>
      <w:pPr>
        <w:pStyle w:val="BodyText"/>
        <w:spacing w:before="210"/>
      </w:pPr>
      <w:r>
        <w:rPr>
          <w:b/>
        </w:rPr>
        <w:t>"ADA"</w:t>
      </w:r>
      <w:r>
        <w:rPr>
          <w:b/>
          <w:spacing w:val="-4"/>
        </w:rPr>
        <w:t> </w:t>
      </w:r>
      <w:r>
        <w:rPr/>
        <w:t>means</w:t>
      </w:r>
      <w:r>
        <w:rPr>
          <w:spacing w:val="-3"/>
        </w:rPr>
        <w:t> </w:t>
      </w:r>
      <w:r>
        <w:rPr/>
        <w:t>the</w:t>
      </w:r>
      <w:r>
        <w:rPr>
          <w:spacing w:val="-3"/>
        </w:rPr>
        <w:t> </w:t>
      </w:r>
      <w:r>
        <w:rPr/>
        <w:t>Americans</w:t>
      </w:r>
      <w:r>
        <w:rPr>
          <w:spacing w:val="-3"/>
        </w:rPr>
        <w:t> </w:t>
      </w:r>
      <w:r>
        <w:rPr/>
        <w:t>with</w:t>
      </w:r>
      <w:r>
        <w:rPr>
          <w:spacing w:val="-3"/>
        </w:rPr>
        <w:t> </w:t>
      </w:r>
      <w:r>
        <w:rPr/>
        <w:t>Disabilities</w:t>
      </w:r>
      <w:r>
        <w:rPr>
          <w:spacing w:val="-3"/>
        </w:rPr>
        <w:t> </w:t>
      </w:r>
      <w:r>
        <w:rPr>
          <w:spacing w:val="-4"/>
        </w:rPr>
        <w:t>Act.</w:t>
      </w:r>
    </w:p>
    <w:p>
      <w:pPr>
        <w:pStyle w:val="BodyText"/>
        <w:spacing w:before="204"/>
      </w:pPr>
      <w:r>
        <w:rPr>
          <w:b/>
        </w:rPr>
        <w:t>"DRS"</w:t>
      </w:r>
      <w:r>
        <w:rPr>
          <w:b/>
          <w:spacing w:val="-4"/>
        </w:rPr>
        <w:t> </w:t>
      </w:r>
      <w:r>
        <w:rPr/>
        <w:t>means</w:t>
      </w:r>
      <w:r>
        <w:rPr>
          <w:spacing w:val="-4"/>
        </w:rPr>
        <w:t> </w:t>
      </w:r>
      <w:r>
        <w:rPr/>
        <w:t>the</w:t>
      </w:r>
      <w:r>
        <w:rPr>
          <w:spacing w:val="-4"/>
        </w:rPr>
        <w:t> </w:t>
      </w:r>
      <w:r>
        <w:rPr/>
        <w:t>State</w:t>
      </w:r>
      <w:r>
        <w:rPr>
          <w:spacing w:val="-4"/>
        </w:rPr>
        <w:t> </w:t>
      </w:r>
      <w:r>
        <w:rPr/>
        <w:t>Department</w:t>
      </w:r>
      <w:r>
        <w:rPr>
          <w:spacing w:val="-3"/>
        </w:rPr>
        <w:t> </w:t>
      </w:r>
      <w:r>
        <w:rPr/>
        <w:t>of</w:t>
      </w:r>
      <w:r>
        <w:rPr>
          <w:spacing w:val="-3"/>
        </w:rPr>
        <w:t> </w:t>
      </w:r>
      <w:r>
        <w:rPr/>
        <w:t>Rehabilitation</w:t>
      </w:r>
      <w:r>
        <w:rPr>
          <w:spacing w:val="-2"/>
        </w:rPr>
        <w:t> Services.</w:t>
      </w:r>
    </w:p>
    <w:p>
      <w:pPr>
        <w:spacing w:before="204"/>
        <w:ind w:left="360" w:right="0" w:firstLine="0"/>
        <w:jc w:val="left"/>
        <w:rPr>
          <w:sz w:val="24"/>
        </w:rPr>
      </w:pPr>
      <w:r>
        <w:rPr>
          <w:b/>
          <w:sz w:val="24"/>
        </w:rPr>
        <w:t>"Rehabilitation</w:t>
      </w:r>
      <w:r>
        <w:rPr>
          <w:b/>
          <w:spacing w:val="-5"/>
          <w:sz w:val="24"/>
        </w:rPr>
        <w:t> </w:t>
      </w:r>
      <w:r>
        <w:rPr>
          <w:b/>
          <w:sz w:val="24"/>
        </w:rPr>
        <w:t>Act"</w:t>
      </w:r>
      <w:r>
        <w:rPr>
          <w:b/>
          <w:spacing w:val="-4"/>
          <w:sz w:val="24"/>
        </w:rPr>
        <w:t> </w:t>
      </w:r>
      <w:r>
        <w:rPr>
          <w:sz w:val="24"/>
        </w:rPr>
        <w:t>means</w:t>
      </w:r>
      <w:r>
        <w:rPr>
          <w:spacing w:val="-3"/>
          <w:sz w:val="24"/>
        </w:rPr>
        <w:t> </w:t>
      </w:r>
      <w:r>
        <w:rPr>
          <w:sz w:val="24"/>
        </w:rPr>
        <w:t>the</w:t>
      </w:r>
      <w:r>
        <w:rPr>
          <w:spacing w:val="-4"/>
          <w:sz w:val="24"/>
        </w:rPr>
        <w:t> </w:t>
      </w:r>
      <w:r>
        <w:rPr>
          <w:sz w:val="24"/>
        </w:rPr>
        <w:t>Rehabilitation</w:t>
      </w:r>
      <w:r>
        <w:rPr>
          <w:spacing w:val="-3"/>
          <w:sz w:val="24"/>
        </w:rPr>
        <w:t> </w:t>
      </w:r>
      <w:r>
        <w:rPr>
          <w:sz w:val="24"/>
        </w:rPr>
        <w:t>Act.</w:t>
      </w:r>
      <w:r>
        <w:rPr>
          <w:spacing w:val="-2"/>
          <w:sz w:val="24"/>
        </w:rPr>
        <w:t> </w:t>
      </w:r>
      <w:r>
        <w:rPr>
          <w:sz w:val="24"/>
        </w:rPr>
        <w:t>[29</w:t>
      </w:r>
      <w:r>
        <w:rPr>
          <w:spacing w:val="-4"/>
          <w:sz w:val="24"/>
        </w:rPr>
        <w:t> </w:t>
      </w:r>
      <w:r>
        <w:rPr>
          <w:sz w:val="24"/>
        </w:rPr>
        <w:t>USC</w:t>
      </w:r>
      <w:r>
        <w:rPr>
          <w:spacing w:val="-3"/>
          <w:sz w:val="24"/>
        </w:rPr>
        <w:t> </w:t>
      </w:r>
      <w:r>
        <w:rPr>
          <w:sz w:val="24"/>
        </w:rPr>
        <w:t>701</w:t>
      </w:r>
      <w:r>
        <w:rPr>
          <w:spacing w:val="-3"/>
          <w:sz w:val="24"/>
        </w:rPr>
        <w:t> </w:t>
      </w:r>
      <w:r>
        <w:rPr>
          <w:sz w:val="24"/>
        </w:rPr>
        <w:t>et</w:t>
      </w:r>
      <w:r>
        <w:rPr>
          <w:spacing w:val="-1"/>
          <w:sz w:val="24"/>
        </w:rPr>
        <w:t> </w:t>
      </w:r>
      <w:r>
        <w:rPr>
          <w:spacing w:val="-2"/>
          <w:sz w:val="24"/>
        </w:rPr>
        <w:t>seq.]</w:t>
      </w:r>
    </w:p>
    <w:p>
      <w:pPr>
        <w:spacing w:before="238"/>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7-1-99</w:t>
      </w:r>
      <w:r>
        <w:rPr>
          <w:sz w:val="22"/>
        </w:rPr>
        <w:tab/>
        <w:t>POL Memo #00-1</w:t>
      </w:r>
    </w:p>
    <w:p>
      <w:pPr>
        <w:spacing w:before="0"/>
        <w:ind w:left="1439" w:right="0" w:firstLine="0"/>
        <w:jc w:val="left"/>
        <w:rPr>
          <w:sz w:val="22"/>
        </w:rPr>
      </w:pPr>
      <w:r>
        <w:rPr>
          <w:sz w:val="22"/>
        </w:rPr>
        <w:t>Permanent,</w:t>
      </w:r>
      <w:r>
        <w:rPr>
          <w:spacing w:val="-8"/>
          <w:sz w:val="22"/>
        </w:rPr>
        <w:t> </w:t>
      </w:r>
      <w:r>
        <w:rPr>
          <w:sz w:val="22"/>
        </w:rPr>
        <w:t>definition</w:t>
      </w:r>
      <w:r>
        <w:rPr>
          <w:spacing w:val="-8"/>
          <w:sz w:val="22"/>
        </w:rPr>
        <w:t> </w:t>
      </w:r>
      <w:r>
        <w:rPr>
          <w:sz w:val="22"/>
        </w:rPr>
        <w:t>for</w:t>
      </w:r>
      <w:r>
        <w:rPr>
          <w:spacing w:val="-9"/>
          <w:sz w:val="22"/>
        </w:rPr>
        <w:t> </w:t>
      </w:r>
      <w:r>
        <w:rPr>
          <w:sz w:val="22"/>
        </w:rPr>
        <w:t>"Act"</w:t>
      </w:r>
      <w:r>
        <w:rPr>
          <w:spacing w:val="-8"/>
          <w:sz w:val="22"/>
        </w:rPr>
        <w:t> </w:t>
      </w:r>
      <w:r>
        <w:rPr>
          <w:sz w:val="22"/>
        </w:rPr>
        <w:t>deleted</w:t>
      </w:r>
      <w:r>
        <w:rPr>
          <w:spacing w:val="-9"/>
          <w:sz w:val="22"/>
        </w:rPr>
        <w:t> </w:t>
      </w:r>
      <w:r>
        <w:rPr>
          <w:sz w:val="22"/>
        </w:rPr>
        <w:t>and</w:t>
      </w:r>
      <w:r>
        <w:rPr>
          <w:spacing w:val="-8"/>
          <w:sz w:val="22"/>
        </w:rPr>
        <w:t> </w:t>
      </w:r>
      <w:r>
        <w:rPr>
          <w:sz w:val="22"/>
        </w:rPr>
        <w:t>updated</w:t>
      </w:r>
      <w:r>
        <w:rPr>
          <w:spacing w:val="-8"/>
          <w:sz w:val="22"/>
        </w:rPr>
        <w:t> </w:t>
      </w:r>
      <w:r>
        <w:rPr>
          <w:sz w:val="22"/>
        </w:rPr>
        <w:t>under</w:t>
      </w:r>
      <w:r>
        <w:rPr>
          <w:spacing w:val="-8"/>
          <w:sz w:val="22"/>
        </w:rPr>
        <w:t> </w:t>
      </w:r>
      <w:r>
        <w:rPr>
          <w:sz w:val="22"/>
        </w:rPr>
        <w:t>"Rehabilitation</w:t>
      </w:r>
      <w:r>
        <w:rPr>
          <w:spacing w:val="-10"/>
          <w:sz w:val="22"/>
        </w:rPr>
        <w:t> </w:t>
      </w:r>
      <w:r>
        <w:rPr>
          <w:spacing w:val="-4"/>
          <w:sz w:val="22"/>
        </w:rPr>
        <w:t>Act"</w:t>
      </w:r>
    </w:p>
    <w:p>
      <w:pPr>
        <w:spacing w:after="0"/>
        <w:jc w:val="left"/>
        <w:rPr>
          <w:sz w:val="22"/>
        </w:rPr>
        <w:sectPr>
          <w:pgSz w:w="12240" w:h="15840"/>
          <w:pgMar w:top="1340" w:bottom="280" w:left="1080" w:right="720"/>
        </w:sectPr>
      </w:pPr>
    </w:p>
    <w:p>
      <w:pPr>
        <w:pStyle w:val="Heading2"/>
      </w:pPr>
      <w:bookmarkStart w:name="612:1-1-3.  Philosophy" w:id="5"/>
      <w:bookmarkEnd w:id="5"/>
      <w:r>
        <w:rPr>
          <w:b w:val="0"/>
        </w:rPr>
      </w:r>
      <w:r>
        <w:rPr/>
        <w:t>612:1-1-3.</w:t>
      </w:r>
      <w:r>
        <w:rPr>
          <w:spacing w:val="60"/>
        </w:rPr>
        <w:t> </w:t>
      </w:r>
      <w:r>
        <w:rPr>
          <w:spacing w:val="-2"/>
        </w:rPr>
        <w:t>Philosophy</w:t>
      </w:r>
    </w:p>
    <w:p>
      <w:pPr>
        <w:pStyle w:val="BodyText"/>
        <w:spacing w:line="208" w:lineRule="auto" w:before="233"/>
        <w:ind w:left="359" w:right="739" w:firstLine="450"/>
      </w:pPr>
      <w:r>
        <w:rPr/>
        <w:t>The Department of Rehabilitation Services (DRS) provides services to persons with disabilities who may have the ability to pursue employment, education to children who are</w:t>
      </w:r>
      <w:r>
        <w:rPr>
          <w:spacing w:val="-3"/>
        </w:rPr>
        <w:t> </w:t>
      </w:r>
      <w:r>
        <w:rPr/>
        <w:t>deaf</w:t>
      </w:r>
      <w:r>
        <w:rPr>
          <w:spacing w:val="-2"/>
        </w:rPr>
        <w:t> </w:t>
      </w:r>
      <w:r>
        <w:rPr/>
        <w:t>and/or</w:t>
      </w:r>
      <w:r>
        <w:rPr>
          <w:spacing w:val="-2"/>
        </w:rPr>
        <w:t> </w:t>
      </w:r>
      <w:r>
        <w:rPr/>
        <w:t>blind,</w:t>
      </w:r>
      <w:r>
        <w:rPr>
          <w:spacing w:val="-2"/>
        </w:rPr>
        <w:t> </w:t>
      </w:r>
      <w:r>
        <w:rPr/>
        <w:t>and</w:t>
      </w:r>
      <w:r>
        <w:rPr>
          <w:spacing w:val="-3"/>
        </w:rPr>
        <w:t> </w:t>
      </w:r>
      <w:r>
        <w:rPr/>
        <w:t>those</w:t>
      </w:r>
      <w:r>
        <w:rPr>
          <w:spacing w:val="-3"/>
        </w:rPr>
        <w:t> </w:t>
      </w:r>
      <w:r>
        <w:rPr/>
        <w:t>who,</w:t>
      </w:r>
      <w:r>
        <w:rPr>
          <w:spacing w:val="-2"/>
        </w:rPr>
        <w:t> </w:t>
      </w:r>
      <w:r>
        <w:rPr/>
        <w:t>due</w:t>
      </w:r>
      <w:r>
        <w:rPr>
          <w:spacing w:val="-3"/>
        </w:rPr>
        <w:t> </w:t>
      </w:r>
      <w:r>
        <w:rPr/>
        <w:t>to</w:t>
      </w:r>
      <w:r>
        <w:rPr>
          <w:spacing w:val="-3"/>
        </w:rPr>
        <w:t> </w:t>
      </w:r>
      <w:r>
        <w:rPr/>
        <w:t>the</w:t>
      </w:r>
      <w:r>
        <w:rPr>
          <w:spacing w:val="-3"/>
        </w:rPr>
        <w:t> </w:t>
      </w:r>
      <w:r>
        <w:rPr/>
        <w:t>severity</w:t>
      </w:r>
      <w:r>
        <w:rPr>
          <w:spacing w:val="-3"/>
        </w:rPr>
        <w:t> </w:t>
      </w:r>
      <w:r>
        <w:rPr/>
        <w:t>of</w:t>
      </w:r>
      <w:r>
        <w:rPr>
          <w:spacing w:val="-4"/>
        </w:rPr>
        <w:t> </w:t>
      </w:r>
      <w:r>
        <w:rPr/>
        <w:t>their</w:t>
      </w:r>
      <w:r>
        <w:rPr>
          <w:spacing w:val="-2"/>
        </w:rPr>
        <w:t> </w:t>
      </w:r>
      <w:r>
        <w:rPr/>
        <w:t>disabilities,</w:t>
      </w:r>
      <w:r>
        <w:rPr>
          <w:spacing w:val="-2"/>
        </w:rPr>
        <w:t> </w:t>
      </w:r>
      <w:r>
        <w:rPr/>
        <w:t>may</w:t>
      </w:r>
      <w:r>
        <w:rPr>
          <w:spacing w:val="-3"/>
        </w:rPr>
        <w:t> </w:t>
      </w:r>
      <w:r>
        <w:rPr/>
        <w:t>benefit in terms of increased participation in the family or community. DRS also determines eligibility for Social Security Disability Insurance (SSDI) and Supplemental Security Income (SSI) through its Disability Determination Services. Services are arranged through resources available in the community, or provided through DRS resources. All services provided must be appropriate, timely, and provided in an economical and efficient manner within the framework of federal and state laws, the State Plan, and the administrative rules and procedures issued by the Department of Rehabilitation </w:t>
      </w:r>
      <w:r>
        <w:rPr>
          <w:spacing w:val="-2"/>
        </w:rPr>
        <w:t>Services.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7-1-01</w:t>
      </w:r>
      <w:r>
        <w:rPr>
          <w:sz w:val="22"/>
        </w:rPr>
        <w:tab/>
        <w:t>PT Memo #01-08</w:t>
      </w:r>
    </w:p>
    <w:p>
      <w:pPr>
        <w:tabs>
          <w:tab w:pos="1439" w:val="left" w:leader="none"/>
        </w:tabs>
        <w:spacing w:before="0"/>
        <w:ind w:left="359" w:right="4780" w:firstLine="1080"/>
        <w:jc w:val="left"/>
        <w:rPr>
          <w:sz w:val="22"/>
        </w:rPr>
      </w:pPr>
      <w:r>
        <w:rPr>
          <w:sz w:val="22"/>
        </w:rPr>
        <w:t>Permanent,</w:t>
      </w:r>
      <w:r>
        <w:rPr>
          <w:spacing w:val="-7"/>
          <w:sz w:val="22"/>
        </w:rPr>
        <w:t> </w:t>
      </w:r>
      <w:r>
        <w:rPr>
          <w:sz w:val="22"/>
        </w:rPr>
        <w:t>Name</w:t>
      </w:r>
      <w:r>
        <w:rPr>
          <w:spacing w:val="-8"/>
          <w:sz w:val="22"/>
        </w:rPr>
        <w:t> </w:t>
      </w:r>
      <w:r>
        <w:rPr>
          <w:sz w:val="22"/>
        </w:rPr>
        <w:t>change</w:t>
      </w:r>
      <w:r>
        <w:rPr>
          <w:spacing w:val="-8"/>
          <w:sz w:val="22"/>
        </w:rPr>
        <w:t> </w:t>
      </w:r>
      <w:r>
        <w:rPr>
          <w:sz w:val="22"/>
        </w:rPr>
        <w:t>for</w:t>
      </w:r>
      <w:r>
        <w:rPr>
          <w:spacing w:val="-8"/>
          <w:sz w:val="22"/>
        </w:rPr>
        <w:t> </w:t>
      </w:r>
      <w:r>
        <w:rPr>
          <w:sz w:val="22"/>
        </w:rPr>
        <w:t>Future</w:t>
      </w:r>
      <w:r>
        <w:rPr>
          <w:spacing w:val="-8"/>
          <w:sz w:val="22"/>
        </w:rPr>
        <w:t> </w:t>
      </w:r>
      <w:r>
        <w:rPr>
          <w:sz w:val="22"/>
        </w:rPr>
        <w:t>Goals </w:t>
      </w:r>
      <w:r>
        <w:rPr>
          <w:spacing w:val="-2"/>
          <w:sz w:val="22"/>
        </w:rPr>
        <w:t>8-26-21</w:t>
      </w:r>
      <w:r>
        <w:rPr>
          <w:sz w:val="22"/>
        </w:rPr>
        <w:tab/>
        <w:t>Removed section (b) Balanced Scorecard.</w:t>
      </w:r>
    </w:p>
    <w:p>
      <w:pPr>
        <w:spacing w:after="0"/>
        <w:jc w:val="left"/>
        <w:rPr>
          <w:sz w:val="22"/>
        </w:rPr>
        <w:sectPr>
          <w:pgSz w:w="12240" w:h="15840"/>
          <w:pgMar w:top="1340" w:bottom="280" w:left="1080" w:right="720"/>
        </w:sectPr>
      </w:pPr>
    </w:p>
    <w:p>
      <w:pPr>
        <w:pStyle w:val="Heading2"/>
      </w:pPr>
      <w:bookmarkStart w:name="612:1-1-4.  Legal basis" w:id="6"/>
      <w:bookmarkEnd w:id="6"/>
      <w:r>
        <w:rPr>
          <w:b w:val="0"/>
        </w:rPr>
      </w:r>
      <w:r>
        <w:rPr/>
        <w:t>612:1-1-4.</w:t>
      </w:r>
      <w:r>
        <w:rPr>
          <w:spacing w:val="60"/>
        </w:rPr>
        <w:t> </w:t>
      </w:r>
      <w:r>
        <w:rPr/>
        <w:t>Legal</w:t>
      </w:r>
      <w:r>
        <w:rPr>
          <w:spacing w:val="-3"/>
        </w:rPr>
        <w:t> </w:t>
      </w:r>
      <w:r>
        <w:rPr>
          <w:spacing w:val="-2"/>
        </w:rPr>
        <w:t>basis</w:t>
      </w:r>
    </w:p>
    <w:p>
      <w:pPr>
        <w:pStyle w:val="ListParagraph"/>
        <w:numPr>
          <w:ilvl w:val="0"/>
          <w:numId w:val="2"/>
        </w:numPr>
        <w:tabs>
          <w:tab w:pos="786" w:val="left" w:leader="none"/>
        </w:tabs>
        <w:spacing w:line="208" w:lineRule="auto" w:before="233" w:after="0"/>
        <w:ind w:left="360" w:right="764" w:firstLine="0"/>
        <w:jc w:val="left"/>
        <w:rPr>
          <w:sz w:val="24"/>
        </w:rPr>
      </w:pPr>
      <w:r>
        <w:rPr>
          <w:sz w:val="24"/>
        </w:rPr>
        <w:t>The Oklahoma State Department of Rehabilitation Services was created by Act of the</w:t>
      </w:r>
      <w:r>
        <w:rPr>
          <w:spacing w:val="-3"/>
          <w:sz w:val="24"/>
        </w:rPr>
        <w:t> </w:t>
      </w:r>
      <w:r>
        <w:rPr>
          <w:sz w:val="24"/>
        </w:rPr>
        <w:t>Oklahoma</w:t>
      </w:r>
      <w:r>
        <w:rPr>
          <w:spacing w:val="-3"/>
          <w:sz w:val="24"/>
        </w:rPr>
        <w:t> </w:t>
      </w:r>
      <w:r>
        <w:rPr>
          <w:sz w:val="24"/>
        </w:rPr>
        <w:t>Legislature</w:t>
      </w:r>
      <w:r>
        <w:rPr>
          <w:spacing w:val="-3"/>
          <w:sz w:val="24"/>
        </w:rPr>
        <w:t> </w:t>
      </w:r>
      <w:r>
        <w:rPr>
          <w:sz w:val="24"/>
        </w:rPr>
        <w:t>on</w:t>
      </w:r>
      <w:r>
        <w:rPr>
          <w:spacing w:val="-3"/>
          <w:sz w:val="24"/>
        </w:rPr>
        <w:t> </w:t>
      </w:r>
      <w:r>
        <w:rPr>
          <w:sz w:val="24"/>
        </w:rPr>
        <w:t>July</w:t>
      </w:r>
      <w:r>
        <w:rPr>
          <w:spacing w:val="-3"/>
          <w:sz w:val="24"/>
        </w:rPr>
        <w:t> </w:t>
      </w:r>
      <w:r>
        <w:rPr>
          <w:sz w:val="24"/>
        </w:rPr>
        <w:t>1,</w:t>
      </w:r>
      <w:r>
        <w:rPr>
          <w:spacing w:val="-2"/>
          <w:sz w:val="24"/>
        </w:rPr>
        <w:t> </w:t>
      </w:r>
      <w:r>
        <w:rPr>
          <w:sz w:val="24"/>
        </w:rPr>
        <w:t>1993,</w:t>
      </w:r>
      <w:r>
        <w:rPr>
          <w:spacing w:val="-2"/>
          <w:sz w:val="24"/>
        </w:rPr>
        <w:t> </w:t>
      </w:r>
      <w:r>
        <w:rPr>
          <w:sz w:val="24"/>
        </w:rPr>
        <w:t>codified</w:t>
      </w:r>
      <w:r>
        <w:rPr>
          <w:spacing w:val="-3"/>
          <w:sz w:val="24"/>
        </w:rPr>
        <w:t> </w:t>
      </w:r>
      <w:r>
        <w:rPr>
          <w:sz w:val="24"/>
        </w:rPr>
        <w:t>under</w:t>
      </w:r>
      <w:r>
        <w:rPr>
          <w:spacing w:val="-2"/>
          <w:sz w:val="24"/>
        </w:rPr>
        <w:t> </w:t>
      </w:r>
      <w:r>
        <w:rPr>
          <w:sz w:val="24"/>
        </w:rPr>
        <w:t>Title</w:t>
      </w:r>
      <w:r>
        <w:rPr>
          <w:spacing w:val="-3"/>
          <w:sz w:val="24"/>
        </w:rPr>
        <w:t> </w:t>
      </w:r>
      <w:r>
        <w:rPr>
          <w:sz w:val="24"/>
        </w:rPr>
        <w:t>74,</w:t>
      </w:r>
      <w:r>
        <w:rPr>
          <w:spacing w:val="-4"/>
          <w:sz w:val="24"/>
        </w:rPr>
        <w:t> </w:t>
      </w:r>
      <w:r>
        <w:rPr>
          <w:sz w:val="24"/>
        </w:rPr>
        <w:t>Section</w:t>
      </w:r>
      <w:r>
        <w:rPr>
          <w:spacing w:val="-3"/>
          <w:sz w:val="24"/>
        </w:rPr>
        <w:t> </w:t>
      </w:r>
      <w:r>
        <w:rPr>
          <w:sz w:val="24"/>
        </w:rPr>
        <w:t>166.1</w:t>
      </w:r>
      <w:r>
        <w:rPr>
          <w:spacing w:val="-3"/>
          <w:sz w:val="24"/>
        </w:rPr>
        <w:t> </w:t>
      </w:r>
      <w:r>
        <w:rPr>
          <w:sz w:val="24"/>
        </w:rPr>
        <w:t>et</w:t>
      </w:r>
      <w:r>
        <w:rPr>
          <w:spacing w:val="-2"/>
          <w:sz w:val="24"/>
        </w:rPr>
        <w:t> </w:t>
      </w:r>
      <w:r>
        <w:rPr>
          <w:sz w:val="24"/>
        </w:rPr>
        <w:t>seq. of the</w:t>
      </w:r>
      <w:r>
        <w:rPr>
          <w:spacing w:val="-1"/>
          <w:sz w:val="24"/>
        </w:rPr>
        <w:t> </w:t>
      </w:r>
      <w:r>
        <w:rPr>
          <w:sz w:val="24"/>
        </w:rPr>
        <w:t>Oklahoma State Statutes.</w:t>
      </w:r>
      <w:r>
        <w:rPr>
          <w:spacing w:val="-2"/>
          <w:sz w:val="24"/>
        </w:rPr>
        <w:t> </w:t>
      </w:r>
      <w:r>
        <w:rPr>
          <w:sz w:val="24"/>
        </w:rPr>
        <w:t>Prior to this</w:t>
      </w:r>
      <w:r>
        <w:rPr>
          <w:spacing w:val="-1"/>
          <w:sz w:val="24"/>
        </w:rPr>
        <w:t> </w:t>
      </w:r>
      <w:r>
        <w:rPr>
          <w:sz w:val="24"/>
        </w:rPr>
        <w:t>Act, Rehabilitation Services was a Division within the Oklahoma Department of Human Services. Prior to 1968, Rehabilitation Services were provided under the authority of the Oklahoma Department of Vocational Technical Education. The mission of the Department of Rehabilitation Services is to assist in providing all persons with disabilities the opportunity to identify their individual vocational, social, and personal goals and to reach their potential. The statute created the Commission for Rehabilitation Services and provided for the selection by the Commission of a Director of Rehabilitation Services.</w:t>
      </w:r>
    </w:p>
    <w:p>
      <w:pPr>
        <w:pStyle w:val="ListParagraph"/>
        <w:numPr>
          <w:ilvl w:val="0"/>
          <w:numId w:val="2"/>
        </w:numPr>
        <w:tabs>
          <w:tab w:pos="785" w:val="left" w:leader="none"/>
        </w:tabs>
        <w:spacing w:line="208" w:lineRule="auto" w:before="239" w:after="0"/>
        <w:ind w:left="360" w:right="914" w:firstLine="0"/>
        <w:jc w:val="left"/>
        <w:rPr>
          <w:sz w:val="24"/>
        </w:rPr>
      </w:pPr>
      <w:r>
        <w:rPr>
          <w:sz w:val="24"/>
        </w:rPr>
        <w:t>Over the years, numerous federal and state legislative initiatives have been assigned</w:t>
      </w:r>
      <w:r>
        <w:rPr>
          <w:spacing w:val="-4"/>
          <w:sz w:val="24"/>
        </w:rPr>
        <w:t> </w:t>
      </w:r>
      <w:r>
        <w:rPr>
          <w:sz w:val="24"/>
        </w:rPr>
        <w:t>to</w:t>
      </w:r>
      <w:r>
        <w:rPr>
          <w:spacing w:val="-4"/>
          <w:sz w:val="24"/>
        </w:rPr>
        <w:t> </w:t>
      </w:r>
      <w:r>
        <w:rPr>
          <w:sz w:val="24"/>
        </w:rPr>
        <w:t>Rehabilitation</w:t>
      </w:r>
      <w:r>
        <w:rPr>
          <w:spacing w:val="-4"/>
          <w:sz w:val="24"/>
        </w:rPr>
        <w:t> </w:t>
      </w:r>
      <w:r>
        <w:rPr>
          <w:sz w:val="24"/>
        </w:rPr>
        <w:t>Services</w:t>
      </w:r>
      <w:r>
        <w:rPr>
          <w:spacing w:val="-4"/>
          <w:sz w:val="24"/>
        </w:rPr>
        <w:t> </w:t>
      </w:r>
      <w:r>
        <w:rPr>
          <w:sz w:val="24"/>
        </w:rPr>
        <w:t>for</w:t>
      </w:r>
      <w:r>
        <w:rPr>
          <w:spacing w:val="-3"/>
          <w:sz w:val="24"/>
        </w:rPr>
        <w:t> </w:t>
      </w:r>
      <w:r>
        <w:rPr>
          <w:sz w:val="24"/>
        </w:rPr>
        <w:t>administration.</w:t>
      </w:r>
      <w:r>
        <w:rPr>
          <w:spacing w:val="-3"/>
          <w:sz w:val="24"/>
        </w:rPr>
        <w:t> </w:t>
      </w:r>
      <w:r>
        <w:rPr>
          <w:sz w:val="24"/>
        </w:rPr>
        <w:t>When</w:t>
      </w:r>
      <w:r>
        <w:rPr>
          <w:spacing w:val="-4"/>
          <w:sz w:val="24"/>
        </w:rPr>
        <w:t> </w:t>
      </w:r>
      <w:r>
        <w:rPr>
          <w:sz w:val="24"/>
        </w:rPr>
        <w:t>a</w:t>
      </w:r>
      <w:r>
        <w:rPr>
          <w:spacing w:val="-4"/>
          <w:sz w:val="24"/>
        </w:rPr>
        <w:t> </w:t>
      </w:r>
      <w:r>
        <w:rPr>
          <w:sz w:val="24"/>
        </w:rPr>
        <w:t>specific</w:t>
      </w:r>
      <w:r>
        <w:rPr>
          <w:spacing w:val="-4"/>
          <w:sz w:val="24"/>
        </w:rPr>
        <w:t> </w:t>
      </w:r>
      <w:r>
        <w:rPr>
          <w:sz w:val="24"/>
        </w:rPr>
        <w:t>law</w:t>
      </w:r>
      <w:r>
        <w:rPr>
          <w:spacing w:val="-4"/>
          <w:sz w:val="24"/>
        </w:rPr>
        <w:t> </w:t>
      </w:r>
      <w:r>
        <w:rPr>
          <w:sz w:val="24"/>
        </w:rPr>
        <w:t>is</w:t>
      </w:r>
      <w:r>
        <w:rPr>
          <w:spacing w:val="-4"/>
          <w:sz w:val="24"/>
        </w:rPr>
        <w:t> </w:t>
      </w:r>
      <w:r>
        <w:rPr>
          <w:sz w:val="24"/>
        </w:rPr>
        <w:t>the</w:t>
      </w:r>
      <w:r>
        <w:rPr>
          <w:spacing w:val="-4"/>
          <w:sz w:val="24"/>
        </w:rPr>
        <w:t> </w:t>
      </w:r>
      <w:r>
        <w:rPr>
          <w:sz w:val="24"/>
        </w:rPr>
        <w:t>basis for a policy in Title 612, that law is cited in the introduction to the Section under the heading "legal base." Language that is repeated from statute or other legal text are enclosed within quotation marks.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spacing w:line="208" w:lineRule="auto" w:before="96"/>
        <w:ind w:right="775"/>
      </w:pPr>
      <w:bookmarkStart w:name="612:1-1-6.  Description of forms and ins" w:id="7"/>
      <w:bookmarkEnd w:id="7"/>
      <w:r>
        <w:rPr>
          <w:b w:val="0"/>
        </w:rPr>
      </w:r>
      <w:r>
        <w:rPr/>
        <w:t>612:1-1-6.</w:t>
      </w:r>
      <w:r>
        <w:rPr>
          <w:spacing w:val="40"/>
        </w:rPr>
        <w:t> </w:t>
      </w:r>
      <w:r>
        <w:rPr/>
        <w:t>Description</w:t>
      </w:r>
      <w:r>
        <w:rPr>
          <w:spacing w:val="-4"/>
        </w:rPr>
        <w:t> </w:t>
      </w:r>
      <w:r>
        <w:rPr/>
        <w:t>of</w:t>
      </w:r>
      <w:r>
        <w:rPr>
          <w:spacing w:val="-3"/>
        </w:rPr>
        <w:t> </w:t>
      </w:r>
      <w:r>
        <w:rPr/>
        <w:t>forms</w:t>
      </w:r>
      <w:r>
        <w:rPr>
          <w:spacing w:val="-4"/>
        </w:rPr>
        <w:t> </w:t>
      </w:r>
      <w:r>
        <w:rPr/>
        <w:t>and</w:t>
      </w:r>
      <w:r>
        <w:rPr>
          <w:spacing w:val="-4"/>
        </w:rPr>
        <w:t> </w:t>
      </w:r>
      <w:r>
        <w:rPr/>
        <w:t>instructions</w:t>
      </w:r>
      <w:r>
        <w:rPr>
          <w:spacing w:val="-4"/>
        </w:rPr>
        <w:t> </w:t>
      </w:r>
      <w:r>
        <w:rPr/>
        <w:t>issued</w:t>
      </w:r>
      <w:r>
        <w:rPr>
          <w:spacing w:val="-4"/>
        </w:rPr>
        <w:t> </w:t>
      </w:r>
      <w:r>
        <w:rPr/>
        <w:t>by</w:t>
      </w:r>
      <w:r>
        <w:rPr>
          <w:spacing w:val="-4"/>
        </w:rPr>
        <w:t> </w:t>
      </w:r>
      <w:r>
        <w:rPr/>
        <w:t>the</w:t>
      </w:r>
      <w:r>
        <w:rPr>
          <w:spacing w:val="-4"/>
        </w:rPr>
        <w:t> </w:t>
      </w:r>
      <w:r>
        <w:rPr/>
        <w:t>Department</w:t>
      </w:r>
      <w:r>
        <w:rPr>
          <w:spacing w:val="-3"/>
        </w:rPr>
        <w:t> </w:t>
      </w:r>
      <w:r>
        <w:rPr/>
        <w:t>for public use</w:t>
      </w:r>
    </w:p>
    <w:p>
      <w:pPr>
        <w:pStyle w:val="BodyText"/>
        <w:spacing w:before="210"/>
        <w:ind w:left="791"/>
      </w:pPr>
      <w:r>
        <w:rPr/>
        <w:t>Forms</w:t>
      </w:r>
      <w:r>
        <w:rPr>
          <w:spacing w:val="-5"/>
        </w:rPr>
        <w:t> </w:t>
      </w:r>
      <w:r>
        <w:rPr/>
        <w:t>and</w:t>
      </w:r>
      <w:r>
        <w:rPr>
          <w:spacing w:val="-4"/>
        </w:rPr>
        <w:t> </w:t>
      </w:r>
      <w:r>
        <w:rPr/>
        <w:t>instructions</w:t>
      </w:r>
      <w:r>
        <w:rPr>
          <w:spacing w:val="-3"/>
        </w:rPr>
        <w:t> </w:t>
      </w:r>
      <w:r>
        <w:rPr/>
        <w:t>issued</w:t>
      </w:r>
      <w:r>
        <w:rPr>
          <w:spacing w:val="-3"/>
        </w:rPr>
        <w:t> </w:t>
      </w:r>
      <w:r>
        <w:rPr/>
        <w:t>by</w:t>
      </w:r>
      <w:r>
        <w:rPr>
          <w:spacing w:val="-2"/>
        </w:rPr>
        <w:t> </w:t>
      </w:r>
      <w:r>
        <w:rPr/>
        <w:t>the</w:t>
      </w:r>
      <w:r>
        <w:rPr>
          <w:spacing w:val="-3"/>
        </w:rPr>
        <w:t> </w:t>
      </w:r>
      <w:r>
        <w:rPr/>
        <w:t>Department</w:t>
      </w:r>
      <w:r>
        <w:rPr>
          <w:spacing w:val="-2"/>
        </w:rPr>
        <w:t> </w:t>
      </w:r>
      <w:r>
        <w:rPr/>
        <w:t>for</w:t>
      </w:r>
      <w:r>
        <w:rPr>
          <w:spacing w:val="-4"/>
        </w:rPr>
        <w:t> </w:t>
      </w:r>
      <w:r>
        <w:rPr/>
        <w:t>public</w:t>
      </w:r>
      <w:r>
        <w:rPr>
          <w:spacing w:val="-3"/>
        </w:rPr>
        <w:t> </w:t>
      </w:r>
      <w:r>
        <w:rPr/>
        <w:t>use</w:t>
      </w:r>
      <w:r>
        <w:rPr>
          <w:spacing w:val="-2"/>
        </w:rPr>
        <w:t> </w:t>
      </w:r>
      <w:r>
        <w:rPr>
          <w:spacing w:val="-4"/>
        </w:rPr>
        <w:t>are:</w:t>
      </w:r>
    </w:p>
    <w:p>
      <w:pPr>
        <w:pStyle w:val="ListParagraph"/>
        <w:numPr>
          <w:ilvl w:val="0"/>
          <w:numId w:val="3"/>
        </w:numPr>
        <w:tabs>
          <w:tab w:pos="1217" w:val="left" w:leader="none"/>
        </w:tabs>
        <w:spacing w:line="208" w:lineRule="auto" w:before="234" w:after="0"/>
        <w:ind w:left="791" w:right="879" w:firstLine="0"/>
        <w:jc w:val="left"/>
        <w:rPr>
          <w:sz w:val="24"/>
        </w:rPr>
      </w:pPr>
      <w:r>
        <w:rPr>
          <w:sz w:val="24"/>
        </w:rPr>
        <mc:AlternateContent>
          <mc:Choice Requires="wps">
            <w:drawing>
              <wp:anchor distT="0" distB="0" distL="0" distR="0" allowOverlap="1" layoutInCell="1" locked="0" behindDoc="1" simplePos="0" relativeHeight="481922560">
                <wp:simplePos x="0" y="0"/>
                <wp:positionH relativeFrom="page">
                  <wp:posOffset>3467861</wp:posOffset>
                </wp:positionH>
                <wp:positionV relativeFrom="paragraph">
                  <wp:posOffset>385714</wp:posOffset>
                </wp:positionV>
                <wp:extent cx="33655" cy="76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3655" cy="7620"/>
                        </a:xfrm>
                        <a:custGeom>
                          <a:avLst/>
                          <a:gdLst/>
                          <a:ahLst/>
                          <a:cxnLst/>
                          <a:rect l="l" t="t" r="r" b="b"/>
                          <a:pathLst>
                            <a:path w="33655" h="7620">
                              <a:moveTo>
                                <a:pt x="33527" y="0"/>
                              </a:moveTo>
                              <a:lnTo>
                                <a:pt x="0" y="0"/>
                              </a:lnTo>
                              <a:lnTo>
                                <a:pt x="0" y="7620"/>
                              </a:lnTo>
                              <a:lnTo>
                                <a:pt x="33527" y="7620"/>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3.059998pt;margin-top:30.37121pt;width:2.64pt;height:.6pt;mso-position-horizontal-relative:page;mso-position-vertical-relative:paragraph;z-index:-21393920" id="docshape1" filled="true" fillcolor="#000000" stroked="false">
                <v:fill type="solid"/>
                <w10:wrap type="none"/>
              </v:rect>
            </w:pict>
          </mc:Fallback>
        </mc:AlternateContent>
      </w:r>
      <w:r>
        <w:rPr>
          <w:sz w:val="24"/>
        </w:rPr>
        <w:t>A</w:t>
      </w:r>
      <w:r>
        <w:rPr>
          <w:spacing w:val="-4"/>
          <w:sz w:val="24"/>
        </w:rPr>
        <w:t> </w:t>
      </w:r>
      <w:r>
        <w:rPr>
          <w:sz w:val="24"/>
        </w:rPr>
        <w:t>publication</w:t>
      </w:r>
      <w:r>
        <w:rPr>
          <w:spacing w:val="-4"/>
          <w:sz w:val="24"/>
        </w:rPr>
        <w:t> </w:t>
      </w:r>
      <w:r>
        <w:rPr>
          <w:sz w:val="24"/>
        </w:rPr>
        <w:t>outlining</w:t>
      </w:r>
      <w:r>
        <w:rPr>
          <w:spacing w:val="-4"/>
          <w:sz w:val="24"/>
        </w:rPr>
        <w:t> </w:t>
      </w:r>
      <w:r>
        <w:rPr>
          <w:sz w:val="24"/>
        </w:rPr>
        <w:t>rights</w:t>
      </w:r>
      <w:r>
        <w:rPr>
          <w:spacing w:val="-4"/>
          <w:sz w:val="24"/>
        </w:rPr>
        <w:t> </w:t>
      </w:r>
      <w:r>
        <w:rPr>
          <w:sz w:val="24"/>
        </w:rPr>
        <w:t>and</w:t>
      </w:r>
      <w:r>
        <w:rPr>
          <w:spacing w:val="-4"/>
          <w:sz w:val="24"/>
        </w:rPr>
        <w:t> </w:t>
      </w:r>
      <w:r>
        <w:rPr>
          <w:sz w:val="24"/>
        </w:rPr>
        <w:t>responsibilities</w:t>
      </w:r>
      <w:r>
        <w:rPr>
          <w:spacing w:val="-4"/>
          <w:sz w:val="24"/>
        </w:rPr>
        <w:t> </w:t>
      </w:r>
      <w:r>
        <w:rPr>
          <w:sz w:val="24"/>
        </w:rPr>
        <w:t>of</w:t>
      </w:r>
      <w:r>
        <w:rPr>
          <w:spacing w:val="-3"/>
          <w:sz w:val="24"/>
        </w:rPr>
        <w:t> </w:t>
      </w:r>
      <w:r>
        <w:rPr>
          <w:sz w:val="24"/>
        </w:rPr>
        <w:t>applicants</w:t>
      </w:r>
      <w:r>
        <w:rPr>
          <w:spacing w:val="-4"/>
          <w:sz w:val="24"/>
        </w:rPr>
        <w:t> </w:t>
      </w:r>
      <w:r>
        <w:rPr>
          <w:sz w:val="24"/>
        </w:rPr>
        <w:t>for</w:t>
      </w:r>
      <w:r>
        <w:rPr>
          <w:spacing w:val="-3"/>
          <w:sz w:val="24"/>
        </w:rPr>
        <w:t> </w:t>
      </w:r>
      <w:r>
        <w:rPr>
          <w:sz w:val="24"/>
        </w:rPr>
        <w:t>and</w:t>
      </w:r>
      <w:r>
        <w:rPr>
          <w:spacing w:val="-4"/>
          <w:sz w:val="24"/>
        </w:rPr>
        <w:t> </w:t>
      </w:r>
      <w:r>
        <w:rPr>
          <w:sz w:val="24"/>
        </w:rPr>
        <w:t>clients</w:t>
      </w:r>
      <w:r>
        <w:rPr>
          <w:spacing w:val="-4"/>
          <w:sz w:val="24"/>
        </w:rPr>
        <w:t> </w:t>
      </w:r>
      <w:r>
        <w:rPr>
          <w:sz w:val="24"/>
        </w:rPr>
        <w:t>of Vocational Rehabilitation or Visual Services for the Blind and Visually Impaired is issued for public use as a guide to accessing services from the Department, as a guide to requesting fair hearings, and as a guide to the application and eligibility determination process. The explanations given in this publication repeat Department policy faithfully and accurately.</w:t>
      </w:r>
    </w:p>
    <w:p>
      <w:pPr>
        <w:pStyle w:val="ListParagraph"/>
        <w:numPr>
          <w:ilvl w:val="0"/>
          <w:numId w:val="3"/>
        </w:numPr>
        <w:tabs>
          <w:tab w:pos="1217" w:val="left" w:leader="none"/>
        </w:tabs>
        <w:spacing w:line="208" w:lineRule="auto" w:before="239" w:after="0"/>
        <w:ind w:left="791" w:right="988" w:firstLine="0"/>
        <w:jc w:val="left"/>
        <w:rPr>
          <w:sz w:val="24"/>
        </w:rPr>
      </w:pPr>
      <w:r>
        <w:rPr>
          <w:sz w:val="24"/>
        </w:rPr>
        <w:t>The Certification as a Person With A Severe Disability is issued to qualifying individuals</w:t>
      </w:r>
      <w:r>
        <w:rPr>
          <w:spacing w:val="-4"/>
          <w:sz w:val="24"/>
        </w:rPr>
        <w:t> </w:t>
      </w:r>
      <w:r>
        <w:rPr>
          <w:sz w:val="24"/>
        </w:rPr>
        <w:t>to</w:t>
      </w:r>
      <w:r>
        <w:rPr>
          <w:spacing w:val="-4"/>
          <w:sz w:val="24"/>
        </w:rPr>
        <w:t> </w:t>
      </w:r>
      <w:r>
        <w:rPr>
          <w:sz w:val="24"/>
        </w:rPr>
        <w:t>use</w:t>
      </w:r>
      <w:r>
        <w:rPr>
          <w:spacing w:val="-4"/>
          <w:sz w:val="24"/>
        </w:rPr>
        <w:t> </w:t>
      </w:r>
      <w:r>
        <w:rPr>
          <w:sz w:val="24"/>
        </w:rPr>
        <w:t>in</w:t>
      </w:r>
      <w:r>
        <w:rPr>
          <w:spacing w:val="-4"/>
          <w:sz w:val="24"/>
        </w:rPr>
        <w:t> </w:t>
      </w:r>
      <w:r>
        <w:rPr>
          <w:sz w:val="24"/>
        </w:rPr>
        <w:t>applying</w:t>
      </w:r>
      <w:r>
        <w:rPr>
          <w:spacing w:val="-4"/>
          <w:sz w:val="24"/>
        </w:rPr>
        <w:t> </w:t>
      </w:r>
      <w:r>
        <w:rPr>
          <w:sz w:val="24"/>
        </w:rPr>
        <w:t>for</w:t>
      </w:r>
      <w:r>
        <w:rPr>
          <w:spacing w:val="-5"/>
          <w:sz w:val="24"/>
        </w:rPr>
        <w:t> </w:t>
      </w:r>
      <w:r>
        <w:rPr>
          <w:sz w:val="24"/>
        </w:rPr>
        <w:t>State</w:t>
      </w:r>
      <w:r>
        <w:rPr>
          <w:spacing w:val="-4"/>
          <w:sz w:val="24"/>
        </w:rPr>
        <w:t> </w:t>
      </w:r>
      <w:r>
        <w:rPr>
          <w:sz w:val="24"/>
        </w:rPr>
        <w:t>government</w:t>
      </w:r>
      <w:r>
        <w:rPr>
          <w:spacing w:val="-3"/>
          <w:sz w:val="24"/>
        </w:rPr>
        <w:t> </w:t>
      </w:r>
      <w:r>
        <w:rPr>
          <w:sz w:val="24"/>
        </w:rPr>
        <w:t>jobs,</w:t>
      </w:r>
      <w:r>
        <w:rPr>
          <w:spacing w:val="-3"/>
          <w:sz w:val="24"/>
        </w:rPr>
        <w:t> </w:t>
      </w:r>
      <w:r>
        <w:rPr>
          <w:sz w:val="24"/>
        </w:rPr>
        <w:t>and</w:t>
      </w:r>
      <w:r>
        <w:rPr>
          <w:spacing w:val="-4"/>
          <w:sz w:val="24"/>
        </w:rPr>
        <w:t> </w:t>
      </w:r>
      <w:r>
        <w:rPr>
          <w:sz w:val="24"/>
        </w:rPr>
        <w:t>allows</w:t>
      </w:r>
      <w:r>
        <w:rPr>
          <w:spacing w:val="-4"/>
          <w:sz w:val="24"/>
        </w:rPr>
        <w:t> </w:t>
      </w:r>
      <w:r>
        <w:rPr>
          <w:sz w:val="24"/>
        </w:rPr>
        <w:t>for</w:t>
      </w:r>
      <w:r>
        <w:rPr>
          <w:spacing w:val="-3"/>
          <w:sz w:val="24"/>
        </w:rPr>
        <w:t> </w:t>
      </w:r>
      <w:r>
        <w:rPr>
          <w:sz w:val="24"/>
        </w:rPr>
        <w:t>exemption from specific Merit System requirements.</w:t>
      </w:r>
    </w:p>
    <w:p>
      <w:pPr>
        <w:pStyle w:val="ListParagraph"/>
        <w:numPr>
          <w:ilvl w:val="0"/>
          <w:numId w:val="3"/>
        </w:numPr>
        <w:tabs>
          <w:tab w:pos="1217" w:val="left" w:leader="none"/>
        </w:tabs>
        <w:spacing w:line="208" w:lineRule="auto" w:before="240" w:after="0"/>
        <w:ind w:left="791" w:right="1349" w:firstLine="0"/>
        <w:jc w:val="left"/>
        <w:rPr>
          <w:sz w:val="24"/>
        </w:rPr>
      </w:pPr>
      <w:r>
        <w:rPr>
          <w:sz w:val="24"/>
        </w:rPr>
        <w:t>From</w:t>
      </w:r>
      <w:r>
        <w:rPr>
          <w:spacing w:val="-5"/>
          <w:sz w:val="24"/>
        </w:rPr>
        <w:t> </w:t>
      </w:r>
      <w:r>
        <w:rPr>
          <w:sz w:val="24"/>
        </w:rPr>
        <w:t>time</w:t>
      </w:r>
      <w:r>
        <w:rPr>
          <w:spacing w:val="-4"/>
          <w:sz w:val="24"/>
        </w:rPr>
        <w:t> </w:t>
      </w:r>
      <w:r>
        <w:rPr>
          <w:sz w:val="24"/>
        </w:rPr>
        <w:t>to</w:t>
      </w:r>
      <w:r>
        <w:rPr>
          <w:spacing w:val="-5"/>
          <w:sz w:val="24"/>
        </w:rPr>
        <w:t> </w:t>
      </w:r>
      <w:r>
        <w:rPr>
          <w:sz w:val="24"/>
        </w:rPr>
        <w:t>time,</w:t>
      </w:r>
      <w:r>
        <w:rPr>
          <w:spacing w:val="-5"/>
          <w:sz w:val="24"/>
        </w:rPr>
        <w:t> </w:t>
      </w:r>
      <w:r>
        <w:rPr>
          <w:sz w:val="24"/>
        </w:rPr>
        <w:t>the</w:t>
      </w:r>
      <w:r>
        <w:rPr>
          <w:spacing w:val="-4"/>
          <w:sz w:val="24"/>
        </w:rPr>
        <w:t> </w:t>
      </w:r>
      <w:r>
        <w:rPr>
          <w:sz w:val="24"/>
        </w:rPr>
        <w:t>Department</w:t>
      </w:r>
      <w:r>
        <w:rPr>
          <w:spacing w:val="-3"/>
          <w:sz w:val="24"/>
        </w:rPr>
        <w:t> </w:t>
      </w:r>
      <w:r>
        <w:rPr>
          <w:sz w:val="24"/>
        </w:rPr>
        <w:t>issues</w:t>
      </w:r>
      <w:r>
        <w:rPr>
          <w:spacing w:val="-4"/>
          <w:sz w:val="24"/>
        </w:rPr>
        <w:t> </w:t>
      </w:r>
      <w:r>
        <w:rPr>
          <w:sz w:val="24"/>
        </w:rPr>
        <w:t>public</w:t>
      </w:r>
      <w:r>
        <w:rPr>
          <w:spacing w:val="-4"/>
          <w:sz w:val="24"/>
        </w:rPr>
        <w:t> </w:t>
      </w:r>
      <w:r>
        <w:rPr>
          <w:sz w:val="24"/>
        </w:rPr>
        <w:t>information</w:t>
      </w:r>
      <w:r>
        <w:rPr>
          <w:spacing w:val="-4"/>
          <w:sz w:val="24"/>
        </w:rPr>
        <w:t> </w:t>
      </w:r>
      <w:r>
        <w:rPr>
          <w:sz w:val="24"/>
        </w:rPr>
        <w:t>pamphlets</w:t>
      </w:r>
      <w:r>
        <w:rPr>
          <w:spacing w:val="-4"/>
          <w:sz w:val="24"/>
        </w:rPr>
        <w:t> </w:t>
      </w:r>
      <w:r>
        <w:rPr>
          <w:sz w:val="24"/>
        </w:rPr>
        <w:t>for general distribution. These pamphlets present general overviews of services provided by the Department as a whole, or by Divisions or Units within the Department. These pamphlets are carefully reviewed using the two-person proofreading method to check against the official Code or Register text.</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8-1-96</w:t>
      </w:r>
      <w:r>
        <w:rPr>
          <w:sz w:val="22"/>
        </w:rPr>
        <w:tab/>
        <w:t>PT Memo #97-1</w:t>
      </w:r>
    </w:p>
    <w:p>
      <w:pPr>
        <w:spacing w:before="1"/>
        <w:ind w:left="1439" w:right="739" w:firstLine="0"/>
        <w:jc w:val="left"/>
        <w:rPr>
          <w:sz w:val="22"/>
        </w:rPr>
      </w:pPr>
      <w:r>
        <w:rPr>
          <w:sz w:val="22"/>
        </w:rPr>
        <w:t>Permanent,</w:t>
      </w:r>
      <w:r>
        <w:rPr>
          <w:spacing w:val="-4"/>
          <w:sz w:val="22"/>
        </w:rPr>
        <w:t> </w:t>
      </w:r>
      <w:r>
        <w:rPr>
          <w:sz w:val="22"/>
        </w:rPr>
        <w:t>Certification</w:t>
      </w:r>
      <w:r>
        <w:rPr>
          <w:spacing w:val="-5"/>
          <w:sz w:val="22"/>
        </w:rPr>
        <w:t> </w:t>
      </w:r>
      <w:r>
        <w:rPr>
          <w:sz w:val="22"/>
        </w:rPr>
        <w:t>as</w:t>
      </w:r>
      <w:r>
        <w:rPr>
          <w:spacing w:val="-5"/>
          <w:sz w:val="22"/>
        </w:rPr>
        <w:t> </w:t>
      </w:r>
      <w:r>
        <w:rPr>
          <w:sz w:val="22"/>
        </w:rPr>
        <w:t>a</w:t>
      </w:r>
      <w:r>
        <w:rPr>
          <w:spacing w:val="-5"/>
          <w:sz w:val="22"/>
        </w:rPr>
        <w:t> </w:t>
      </w:r>
      <w:r>
        <w:rPr>
          <w:sz w:val="22"/>
        </w:rPr>
        <w:t>"Special"</w:t>
      </w:r>
      <w:r>
        <w:rPr>
          <w:spacing w:val="-5"/>
          <w:sz w:val="22"/>
        </w:rPr>
        <w:t> </w:t>
      </w:r>
      <w:r>
        <w:rPr>
          <w:sz w:val="22"/>
        </w:rPr>
        <w:t>Handicapped</w:t>
      </w:r>
      <w:r>
        <w:rPr>
          <w:spacing w:val="-5"/>
          <w:sz w:val="22"/>
        </w:rPr>
        <w:t> </w:t>
      </w:r>
      <w:r>
        <w:rPr>
          <w:sz w:val="22"/>
        </w:rPr>
        <w:t>Person</w:t>
      </w:r>
      <w:r>
        <w:rPr>
          <w:spacing w:val="-5"/>
          <w:sz w:val="22"/>
        </w:rPr>
        <w:t> </w:t>
      </w:r>
      <w:r>
        <w:rPr>
          <w:sz w:val="22"/>
        </w:rPr>
        <w:t>changed</w:t>
      </w:r>
      <w:r>
        <w:rPr>
          <w:spacing w:val="-5"/>
          <w:sz w:val="22"/>
        </w:rPr>
        <w:t> </w:t>
      </w:r>
      <w:r>
        <w:rPr>
          <w:sz w:val="22"/>
        </w:rPr>
        <w:t>to</w:t>
      </w:r>
      <w:r>
        <w:rPr>
          <w:spacing w:val="-5"/>
          <w:sz w:val="22"/>
        </w:rPr>
        <w:t> </w:t>
      </w:r>
      <w:r>
        <w:rPr>
          <w:sz w:val="22"/>
        </w:rPr>
        <w:t>Certification as a Person with a Severe Disability.</w:t>
      </w:r>
    </w:p>
    <w:p>
      <w:pPr>
        <w:tabs>
          <w:tab w:pos="1439" w:val="left" w:leader="none"/>
        </w:tabs>
        <w:spacing w:line="252" w:lineRule="exact" w:before="0"/>
        <w:ind w:left="359" w:right="0" w:firstLine="0"/>
        <w:jc w:val="left"/>
        <w:rPr>
          <w:sz w:val="22"/>
        </w:rPr>
      </w:pPr>
      <w:r>
        <w:rPr>
          <w:spacing w:val="-2"/>
          <w:sz w:val="22"/>
        </w:rPr>
        <w:t>7-1-</w:t>
      </w:r>
      <w:r>
        <w:rPr>
          <w:spacing w:val="-5"/>
          <w:sz w:val="22"/>
        </w:rPr>
        <w:t>99</w:t>
      </w:r>
      <w:r>
        <w:rPr>
          <w:sz w:val="22"/>
        </w:rPr>
        <w:tab/>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0"/>
        <w:ind w:left="1439" w:right="879" w:hanging="1080"/>
        <w:jc w:val="left"/>
        <w:rPr>
          <w:sz w:val="22"/>
        </w:rPr>
      </w:pPr>
      <w:r>
        <w:rPr>
          <w:spacing w:val="-2"/>
          <w:sz w:val="22"/>
        </w:rPr>
        <w:t>9-11-17</w:t>
      </w:r>
      <w:r>
        <w:rPr>
          <w:sz w:val="22"/>
        </w:rPr>
        <w:tab/>
        <w:t>Removal</w:t>
      </w:r>
      <w:r>
        <w:rPr>
          <w:spacing w:val="-4"/>
          <w:sz w:val="22"/>
        </w:rPr>
        <w:t> </w:t>
      </w:r>
      <w:r>
        <w:rPr>
          <w:sz w:val="22"/>
        </w:rPr>
        <w:t>of</w:t>
      </w:r>
      <w:r>
        <w:rPr>
          <w:spacing w:val="-4"/>
          <w:sz w:val="22"/>
        </w:rPr>
        <w:t> </w:t>
      </w:r>
      <w:r>
        <w:rPr>
          <w:sz w:val="22"/>
        </w:rPr>
        <w:t>language</w:t>
      </w:r>
      <w:r>
        <w:rPr>
          <w:spacing w:val="-4"/>
          <w:sz w:val="22"/>
        </w:rPr>
        <w:t> </w:t>
      </w:r>
      <w:r>
        <w:rPr>
          <w:sz w:val="22"/>
        </w:rPr>
        <w:t>"A</w:t>
      </w:r>
      <w:r>
        <w:rPr>
          <w:spacing w:val="-4"/>
          <w:sz w:val="22"/>
        </w:rPr>
        <w:t> </w:t>
      </w:r>
      <w:r>
        <w:rPr>
          <w:sz w:val="22"/>
        </w:rPr>
        <w:t>Personal</w:t>
      </w:r>
      <w:r>
        <w:rPr>
          <w:spacing w:val="-4"/>
          <w:sz w:val="22"/>
        </w:rPr>
        <w:t> </w:t>
      </w:r>
      <w:r>
        <w:rPr>
          <w:sz w:val="22"/>
        </w:rPr>
        <w:t>Directory,</w:t>
      </w:r>
      <w:r>
        <w:rPr>
          <w:spacing w:val="-4"/>
          <w:sz w:val="22"/>
        </w:rPr>
        <w:t> </w:t>
      </w:r>
      <w:r>
        <w:rPr>
          <w:sz w:val="22"/>
        </w:rPr>
        <w:t>Your</w:t>
      </w:r>
      <w:r>
        <w:rPr>
          <w:spacing w:val="-5"/>
          <w:sz w:val="22"/>
        </w:rPr>
        <w:t> </w:t>
      </w:r>
      <w:r>
        <w:rPr>
          <w:sz w:val="22"/>
        </w:rPr>
        <w:t>Rights</w:t>
      </w:r>
      <w:r>
        <w:rPr>
          <w:spacing w:val="-4"/>
          <w:sz w:val="22"/>
        </w:rPr>
        <w:t> </w:t>
      </w:r>
      <w:r>
        <w:rPr>
          <w:sz w:val="22"/>
        </w:rPr>
        <w:t>and</w:t>
      </w:r>
      <w:r>
        <w:rPr>
          <w:spacing w:val="-5"/>
          <w:sz w:val="22"/>
        </w:rPr>
        <w:t> </w:t>
      </w:r>
      <w:r>
        <w:rPr>
          <w:sz w:val="22"/>
        </w:rPr>
        <w:t>Responsibilities</w:t>
      </w:r>
      <w:r>
        <w:rPr>
          <w:spacing w:val="-4"/>
          <w:sz w:val="22"/>
        </w:rPr>
        <w:t> </w:t>
      </w:r>
      <w:r>
        <w:rPr>
          <w:sz w:val="22"/>
        </w:rPr>
        <w:t>as</w:t>
      </w:r>
      <w:r>
        <w:rPr>
          <w:spacing w:val="-4"/>
          <w:sz w:val="22"/>
        </w:rPr>
        <w:t> </w:t>
      </w:r>
      <w:r>
        <w:rPr>
          <w:sz w:val="22"/>
        </w:rPr>
        <w:t>an Applicant or Client" and replaced with "a publication outlining rights and responsibilities of applicants".</w:t>
      </w:r>
    </w:p>
    <w:p>
      <w:pPr>
        <w:spacing w:before="0"/>
        <w:ind w:left="1439" w:right="855" w:firstLine="0"/>
        <w:jc w:val="left"/>
        <w:rPr>
          <w:sz w:val="22"/>
        </w:rPr>
      </w:pPr>
      <w:r>
        <w:rPr>
          <w:sz w:val="22"/>
        </w:rPr>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spacing w:after="0"/>
        <w:jc w:val="left"/>
        <w:rPr>
          <w:sz w:val="22"/>
        </w:rPr>
        <w:sectPr>
          <w:pgSz w:w="12240" w:h="15840"/>
          <w:pgMar w:top="1340" w:bottom="280" w:left="1080" w:right="720"/>
        </w:sectPr>
      </w:pPr>
    </w:p>
    <w:p>
      <w:pPr>
        <w:pStyle w:val="Heading1"/>
        <w:ind w:left="752" w:right="0"/>
        <w:jc w:val="left"/>
      </w:pPr>
      <w:bookmarkStart w:name="SUBCHAPTER 3.  ADMINISTRATIVE COMPONENTS" w:id="8"/>
      <w:bookmarkEnd w:id="8"/>
      <w:r>
        <w:rPr>
          <w:b w:val="0"/>
        </w:rPr>
      </w:r>
      <w:r>
        <w:rPr/>
        <w:t>SUBCHAPTER</w:t>
      </w:r>
      <w:r>
        <w:rPr>
          <w:spacing w:val="-3"/>
        </w:rPr>
        <w:t> </w:t>
      </w:r>
      <w:r>
        <w:rPr/>
        <w:t>3.</w:t>
      </w:r>
      <w:r>
        <w:rPr>
          <w:spacing w:val="63"/>
        </w:rPr>
        <w:t> </w:t>
      </w:r>
      <w:r>
        <w:rPr/>
        <w:t>ADMINISTRATIVE</w:t>
      </w:r>
      <w:r>
        <w:rPr>
          <w:spacing w:val="-2"/>
        </w:rPr>
        <w:t> </w:t>
      </w:r>
      <w:r>
        <w:rPr/>
        <w:t>COMPONENTS</w:t>
      </w:r>
      <w:r>
        <w:rPr>
          <w:spacing w:val="-3"/>
        </w:rPr>
        <w:t> </w:t>
      </w:r>
      <w:r>
        <w:rPr/>
        <w:t>OF</w:t>
      </w:r>
      <w:r>
        <w:rPr>
          <w:spacing w:val="-3"/>
        </w:rPr>
        <w:t> </w:t>
      </w:r>
      <w:r>
        <w:rPr/>
        <w:t>THE</w:t>
      </w:r>
      <w:r>
        <w:rPr>
          <w:spacing w:val="-2"/>
        </w:rPr>
        <w:t> DEPARTMENT</w:t>
      </w:r>
    </w:p>
    <w:p>
      <w:pPr>
        <w:pStyle w:val="BodyText"/>
        <w:spacing w:before="204"/>
      </w:pPr>
      <w:r>
        <w:rPr>
          <w:spacing w:val="-2"/>
        </w:rPr>
        <w:t>Section</w:t>
      </w:r>
    </w:p>
    <w:p>
      <w:pPr>
        <w:pStyle w:val="BodyText"/>
        <w:tabs>
          <w:tab w:pos="1799" w:val="left" w:leader="none"/>
        </w:tabs>
        <w:spacing w:line="417" w:lineRule="auto" w:before="204"/>
        <w:ind w:right="3984"/>
      </w:pPr>
      <w:r>
        <w:rPr>
          <w:spacing w:val="-2"/>
        </w:rPr>
        <w:t>612:1-3-1.</w:t>
      </w:r>
      <w:r>
        <w:rPr/>
        <w:tab/>
        <w:t>The</w:t>
      </w:r>
      <w:r>
        <w:rPr>
          <w:spacing w:val="-10"/>
        </w:rPr>
        <w:t> </w:t>
      </w:r>
      <w:r>
        <w:rPr/>
        <w:t>Commission</w:t>
      </w:r>
      <w:r>
        <w:rPr>
          <w:spacing w:val="-10"/>
        </w:rPr>
        <w:t> </w:t>
      </w:r>
      <w:r>
        <w:rPr/>
        <w:t>for</w:t>
      </w:r>
      <w:r>
        <w:rPr>
          <w:spacing w:val="-9"/>
        </w:rPr>
        <w:t> </w:t>
      </w:r>
      <w:r>
        <w:rPr/>
        <w:t>Rehabilitation</w:t>
      </w:r>
      <w:r>
        <w:rPr>
          <w:spacing w:val="-10"/>
        </w:rPr>
        <w:t> </w:t>
      </w:r>
      <w:r>
        <w:rPr/>
        <w:t>Services </w:t>
      </w:r>
      <w:r>
        <w:rPr>
          <w:spacing w:val="-2"/>
        </w:rPr>
        <w:t>612:1-3-2.</w:t>
      </w:r>
      <w:r>
        <w:rPr/>
        <w:tab/>
        <w:t>The Director of Rehabilitation Services 612:1-3-2.1.</w:t>
      </w:r>
      <w:r>
        <w:rPr>
          <w:spacing w:val="40"/>
        </w:rPr>
        <w:t> </w:t>
      </w:r>
      <w:r>
        <w:rPr/>
        <w:t>The</w:t>
      </w:r>
      <w:r>
        <w:rPr>
          <w:spacing w:val="-4"/>
        </w:rPr>
        <w:t> </w:t>
      </w:r>
      <w:r>
        <w:rPr/>
        <w:t>Chief</w:t>
      </w:r>
      <w:r>
        <w:rPr>
          <w:spacing w:val="-2"/>
        </w:rPr>
        <w:t> </w:t>
      </w:r>
      <w:r>
        <w:rPr/>
        <w:t>of</w:t>
      </w:r>
      <w:r>
        <w:rPr>
          <w:spacing w:val="-3"/>
        </w:rPr>
        <w:t> </w:t>
      </w:r>
      <w:r>
        <w:rPr/>
        <w:t>Staff</w:t>
      </w:r>
      <w:r>
        <w:rPr>
          <w:spacing w:val="-5"/>
        </w:rPr>
        <w:t> </w:t>
      </w:r>
      <w:r>
        <w:rPr/>
        <w:t>of</w:t>
      </w:r>
      <w:r>
        <w:rPr>
          <w:spacing w:val="-5"/>
        </w:rPr>
        <w:t> </w:t>
      </w:r>
      <w:r>
        <w:rPr/>
        <w:t>Rehabilitation</w:t>
      </w:r>
      <w:r>
        <w:rPr>
          <w:spacing w:val="-4"/>
        </w:rPr>
        <w:t> </w:t>
      </w:r>
      <w:r>
        <w:rPr/>
        <w:t>Services </w:t>
      </w:r>
      <w:r>
        <w:rPr>
          <w:spacing w:val="-2"/>
        </w:rPr>
        <w:t>612:1-3-3.</w:t>
      </w:r>
      <w:r>
        <w:rPr/>
        <w:tab/>
        <w:t>The Division Administrators</w:t>
      </w:r>
    </w:p>
    <w:p>
      <w:pPr>
        <w:pStyle w:val="BodyText"/>
        <w:spacing w:line="275" w:lineRule="exact" w:before="0"/>
      </w:pPr>
      <w:r>
        <w:rPr/>
        <w:t>612:1-3-8.1.</w:t>
      </w:r>
      <w:r>
        <w:rPr>
          <w:spacing w:val="70"/>
        </w:rPr>
        <w:t> </w:t>
      </w:r>
      <w:r>
        <w:rPr/>
        <w:t>Executive</w:t>
      </w:r>
      <w:r>
        <w:rPr>
          <w:spacing w:val="-2"/>
        </w:rPr>
        <w:t> officers</w:t>
      </w:r>
    </w:p>
    <w:p>
      <w:pPr>
        <w:pStyle w:val="BodyText"/>
        <w:tabs>
          <w:tab w:pos="1799" w:val="left" w:leader="none"/>
        </w:tabs>
        <w:spacing w:before="204"/>
      </w:pPr>
      <w:r>
        <w:rPr>
          <w:spacing w:val="-2"/>
        </w:rPr>
        <w:t>612:1-3-</w:t>
      </w:r>
      <w:r>
        <w:rPr>
          <w:spacing w:val="-5"/>
        </w:rPr>
        <w:t>10.</w:t>
      </w:r>
      <w:r>
        <w:rPr/>
        <w:tab/>
        <w:t>Final</w:t>
      </w:r>
      <w:r>
        <w:rPr>
          <w:spacing w:val="-4"/>
        </w:rPr>
        <w:t> </w:t>
      </w:r>
      <w:r>
        <w:rPr/>
        <w:t>signature</w:t>
      </w:r>
      <w:r>
        <w:rPr>
          <w:spacing w:val="-3"/>
        </w:rPr>
        <w:t> </w:t>
      </w:r>
      <w:r>
        <w:rPr>
          <w:spacing w:val="-2"/>
        </w:rPr>
        <w:t>authority</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3"/>
          <w:sz w:val="22"/>
        </w:rPr>
        <w:t> </w:t>
      </w:r>
      <w:r>
        <w:rPr>
          <w:sz w:val="22"/>
        </w:rPr>
        <w:t>first</w:t>
      </w:r>
      <w:r>
        <w:rPr>
          <w:spacing w:val="-4"/>
          <w:sz w:val="22"/>
        </w:rPr>
        <w:t> </w:t>
      </w:r>
      <w:r>
        <w:rPr>
          <w:sz w:val="22"/>
        </w:rPr>
        <w:t>adoption</w:t>
      </w:r>
      <w:r>
        <w:rPr>
          <w:spacing w:val="-4"/>
          <w:sz w:val="22"/>
        </w:rPr>
        <w:t> </w:t>
      </w:r>
      <w:r>
        <w:rPr>
          <w:sz w:val="22"/>
        </w:rPr>
        <w:t>under</w:t>
      </w:r>
      <w:r>
        <w:rPr>
          <w:spacing w:val="-4"/>
          <w:sz w:val="22"/>
        </w:rPr>
        <w:t> </w:t>
      </w:r>
      <w:r>
        <w:rPr>
          <w:sz w:val="22"/>
        </w:rPr>
        <w:t>OAC</w:t>
      </w:r>
      <w:r>
        <w:rPr>
          <w:spacing w:val="-5"/>
          <w:sz w:val="22"/>
        </w:rPr>
        <w:t> </w:t>
      </w:r>
      <w:r>
        <w:rPr>
          <w:sz w:val="22"/>
        </w:rPr>
        <w:t>Title</w:t>
      </w:r>
      <w:r>
        <w:rPr>
          <w:spacing w:val="-4"/>
          <w:sz w:val="22"/>
        </w:rPr>
        <w:t> </w:t>
      </w:r>
      <w:r>
        <w:rPr>
          <w:sz w:val="22"/>
        </w:rPr>
        <w:t>612,</w:t>
      </w:r>
      <w:r>
        <w:rPr>
          <w:spacing w:val="-5"/>
          <w:sz w:val="22"/>
        </w:rPr>
        <w:t> </w:t>
      </w:r>
      <w:r>
        <w:rPr>
          <w:sz w:val="22"/>
        </w:rPr>
        <w:t>added</w:t>
      </w:r>
      <w:r>
        <w:rPr>
          <w:spacing w:val="-4"/>
          <w:sz w:val="22"/>
        </w:rPr>
        <w:t> </w:t>
      </w:r>
      <w:r>
        <w:rPr>
          <w:sz w:val="22"/>
        </w:rPr>
        <w:t>new</w:t>
      </w:r>
      <w:r>
        <w:rPr>
          <w:spacing w:val="-5"/>
          <w:sz w:val="22"/>
        </w:rPr>
        <w:t> </w:t>
      </w:r>
      <w:r>
        <w:rPr>
          <w:sz w:val="22"/>
        </w:rPr>
        <w:t>Section</w:t>
      </w:r>
      <w:r>
        <w:rPr>
          <w:spacing w:val="-4"/>
          <w:sz w:val="22"/>
        </w:rPr>
        <w:t> </w:t>
      </w:r>
      <w:r>
        <w:rPr>
          <w:sz w:val="22"/>
        </w:rPr>
        <w:t>on</w:t>
      </w:r>
      <w:r>
        <w:rPr>
          <w:spacing w:val="-5"/>
          <w:sz w:val="22"/>
        </w:rPr>
        <w:t> </w:t>
      </w:r>
      <w:r>
        <w:rPr>
          <w:sz w:val="22"/>
        </w:rPr>
        <w:t>Administrative Services, deleted Sections on units now under Adm. Svs.</w:t>
      </w:r>
    </w:p>
    <w:p>
      <w:pPr>
        <w:tabs>
          <w:tab w:pos="1439" w:val="left" w:leader="none"/>
        </w:tabs>
        <w:spacing w:before="0"/>
        <w:ind w:left="359" w:right="0" w:firstLine="0"/>
        <w:jc w:val="left"/>
        <w:rPr>
          <w:sz w:val="22"/>
        </w:rPr>
      </w:pPr>
      <w:r>
        <w:rPr>
          <w:spacing w:val="-2"/>
          <w:sz w:val="22"/>
        </w:rPr>
        <w:t>7-1-</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tabs>
          <w:tab w:pos="1439" w:val="left" w:leader="none"/>
        </w:tabs>
        <w:spacing w:before="1"/>
        <w:ind w:left="359" w:right="3935" w:firstLine="1080"/>
        <w:jc w:val="left"/>
        <w:rPr>
          <w:sz w:val="22"/>
        </w:rPr>
      </w:pPr>
      <w:r>
        <w:rPr>
          <w:sz w:val="22"/>
        </w:rPr>
        <w:t>Permanent,</w:t>
      </w:r>
      <w:r>
        <w:rPr>
          <w:spacing w:val="-6"/>
          <w:sz w:val="22"/>
        </w:rPr>
        <w:t> </w:t>
      </w:r>
      <w:r>
        <w:rPr>
          <w:sz w:val="22"/>
        </w:rPr>
        <w:t>added</w:t>
      </w:r>
      <w:r>
        <w:rPr>
          <w:spacing w:val="-7"/>
          <w:sz w:val="22"/>
        </w:rPr>
        <w:t> </w:t>
      </w:r>
      <w:r>
        <w:rPr>
          <w:sz w:val="22"/>
        </w:rPr>
        <w:t>entry</w:t>
      </w:r>
      <w:r>
        <w:rPr>
          <w:spacing w:val="-7"/>
          <w:sz w:val="22"/>
        </w:rPr>
        <w:t> </w:t>
      </w:r>
      <w:r>
        <w:rPr>
          <w:sz w:val="22"/>
        </w:rPr>
        <w:t>for</w:t>
      </w:r>
      <w:r>
        <w:rPr>
          <w:spacing w:val="-7"/>
          <w:sz w:val="22"/>
        </w:rPr>
        <w:t> </w:t>
      </w:r>
      <w:r>
        <w:rPr>
          <w:sz w:val="22"/>
        </w:rPr>
        <w:t>new</w:t>
      </w:r>
      <w:r>
        <w:rPr>
          <w:spacing w:val="-7"/>
          <w:sz w:val="22"/>
        </w:rPr>
        <w:t> </w:t>
      </w:r>
      <w:r>
        <w:rPr>
          <w:sz w:val="22"/>
        </w:rPr>
        <w:t>Section</w:t>
      </w:r>
      <w:r>
        <w:rPr>
          <w:spacing w:val="-7"/>
          <w:sz w:val="22"/>
        </w:rPr>
        <w:t> </w:t>
      </w:r>
      <w:r>
        <w:rPr>
          <w:sz w:val="22"/>
        </w:rPr>
        <w:t>612:1-3-10 </w:t>
      </w:r>
      <w:r>
        <w:rPr>
          <w:spacing w:val="-2"/>
          <w:sz w:val="22"/>
        </w:rPr>
        <w:t>7-1-96</w:t>
      </w:r>
      <w:r>
        <w:rPr>
          <w:sz w:val="22"/>
        </w:rPr>
        <w:tab/>
        <w:t>PT Memo #96-5</w:t>
      </w:r>
    </w:p>
    <w:p>
      <w:pPr>
        <w:tabs>
          <w:tab w:pos="1439" w:val="left" w:leader="none"/>
        </w:tabs>
        <w:spacing w:before="0"/>
        <w:ind w:left="359" w:right="4485" w:firstLine="1080"/>
        <w:jc w:val="left"/>
        <w:rPr>
          <w:sz w:val="22"/>
        </w:rPr>
      </w:pPr>
      <w:r>
        <w:rPr>
          <w:sz w:val="22"/>
        </w:rPr>
        <w:t>Permanent,</w:t>
      </w:r>
      <w:r>
        <w:rPr>
          <w:spacing w:val="-7"/>
          <w:sz w:val="22"/>
        </w:rPr>
        <w:t> </w:t>
      </w:r>
      <w:r>
        <w:rPr>
          <w:sz w:val="22"/>
        </w:rPr>
        <w:t>amended</w:t>
      </w:r>
      <w:r>
        <w:rPr>
          <w:spacing w:val="-8"/>
          <w:sz w:val="22"/>
        </w:rPr>
        <w:t> </w:t>
      </w:r>
      <w:r>
        <w:rPr>
          <w:sz w:val="22"/>
        </w:rPr>
        <w:t>tagline</w:t>
      </w:r>
      <w:r>
        <w:rPr>
          <w:spacing w:val="-8"/>
          <w:sz w:val="22"/>
        </w:rPr>
        <w:t> </w:t>
      </w:r>
      <w:r>
        <w:rPr>
          <w:sz w:val="22"/>
        </w:rPr>
        <w:t>for</w:t>
      </w:r>
      <w:r>
        <w:rPr>
          <w:spacing w:val="-8"/>
          <w:sz w:val="22"/>
        </w:rPr>
        <w:t> </w:t>
      </w:r>
      <w:r>
        <w:rPr>
          <w:sz w:val="22"/>
        </w:rPr>
        <w:t>Section</w:t>
      </w:r>
      <w:r>
        <w:rPr>
          <w:spacing w:val="-8"/>
          <w:sz w:val="22"/>
        </w:rPr>
        <w:t> </w:t>
      </w:r>
      <w:r>
        <w:rPr>
          <w:sz w:val="22"/>
        </w:rPr>
        <w:t>1-3-9 </w:t>
      </w:r>
      <w:r>
        <w:rPr>
          <w:spacing w:val="-2"/>
          <w:sz w:val="22"/>
        </w:rPr>
        <w:t>7-1-98</w:t>
      </w:r>
      <w:r>
        <w:rPr>
          <w:sz w:val="22"/>
        </w:rPr>
        <w:tab/>
        <w:t>PT Memo #98-14</w:t>
      </w:r>
    </w:p>
    <w:p>
      <w:pPr>
        <w:spacing w:before="0"/>
        <w:ind w:left="1439" w:right="775" w:firstLine="0"/>
        <w:jc w:val="left"/>
        <w:rPr>
          <w:sz w:val="22"/>
        </w:rPr>
      </w:pPr>
      <w:r>
        <w:rPr>
          <w:sz w:val="22"/>
        </w:rPr>
        <w:t>Permanent,</w:t>
      </w:r>
      <w:r>
        <w:rPr>
          <w:spacing w:val="-4"/>
          <w:sz w:val="22"/>
        </w:rPr>
        <w:t> </w:t>
      </w:r>
      <w:r>
        <w:rPr>
          <w:sz w:val="22"/>
        </w:rPr>
        <w:t>removed</w:t>
      </w:r>
      <w:r>
        <w:rPr>
          <w:spacing w:val="-5"/>
          <w:sz w:val="22"/>
        </w:rPr>
        <w:t> </w:t>
      </w:r>
      <w:r>
        <w:rPr>
          <w:sz w:val="22"/>
        </w:rPr>
        <w:t>revoked</w:t>
      </w:r>
      <w:r>
        <w:rPr>
          <w:spacing w:val="-5"/>
          <w:sz w:val="22"/>
        </w:rPr>
        <w:t> </w:t>
      </w:r>
      <w:r>
        <w:rPr>
          <w:sz w:val="22"/>
        </w:rPr>
        <w:t>Sections</w:t>
      </w:r>
      <w:r>
        <w:rPr>
          <w:spacing w:val="-5"/>
          <w:sz w:val="22"/>
        </w:rPr>
        <w:t> </w:t>
      </w:r>
      <w:r>
        <w:rPr>
          <w:sz w:val="22"/>
        </w:rPr>
        <w:t>and</w:t>
      </w:r>
      <w:r>
        <w:rPr>
          <w:spacing w:val="-5"/>
          <w:sz w:val="22"/>
        </w:rPr>
        <w:t> </w:t>
      </w:r>
      <w:r>
        <w:rPr>
          <w:sz w:val="22"/>
        </w:rPr>
        <w:t>added</w:t>
      </w:r>
      <w:r>
        <w:rPr>
          <w:spacing w:val="-5"/>
          <w:sz w:val="22"/>
        </w:rPr>
        <w:t> </w:t>
      </w:r>
      <w:r>
        <w:rPr>
          <w:sz w:val="22"/>
        </w:rPr>
        <w:t>new</w:t>
      </w:r>
      <w:r>
        <w:rPr>
          <w:spacing w:val="-6"/>
          <w:sz w:val="22"/>
        </w:rPr>
        <w:t> </w:t>
      </w:r>
      <w:r>
        <w:rPr>
          <w:sz w:val="22"/>
        </w:rPr>
        <w:t>Section</w:t>
      </w:r>
      <w:r>
        <w:rPr>
          <w:spacing w:val="-5"/>
          <w:sz w:val="22"/>
        </w:rPr>
        <w:t> </w:t>
      </w:r>
      <w:r>
        <w:rPr>
          <w:sz w:val="22"/>
        </w:rPr>
        <w:t>612:1-3-8.1, amended tagline for Section 1-3-10</w:t>
      </w:r>
    </w:p>
    <w:p>
      <w:pPr>
        <w:spacing w:after="0"/>
        <w:jc w:val="left"/>
        <w:rPr>
          <w:sz w:val="22"/>
        </w:rPr>
        <w:sectPr>
          <w:pgSz w:w="12240" w:h="15840"/>
          <w:pgMar w:top="1340" w:bottom="280" w:left="1080" w:right="720"/>
        </w:sectPr>
      </w:pPr>
    </w:p>
    <w:p>
      <w:pPr>
        <w:pStyle w:val="Heading2"/>
      </w:pPr>
      <w:bookmarkStart w:name="612:1-3-1.  The Commission for Rehabilit" w:id="9"/>
      <w:bookmarkEnd w:id="9"/>
      <w:r>
        <w:rPr>
          <w:b w:val="0"/>
        </w:rPr>
      </w:r>
      <w:r>
        <w:rPr/>
        <w:t>612:1-3-1.</w:t>
      </w:r>
      <w:r>
        <w:rPr>
          <w:spacing w:val="59"/>
        </w:rPr>
        <w:t> </w:t>
      </w:r>
      <w:r>
        <w:rPr/>
        <w:t>The</w:t>
      </w:r>
      <w:r>
        <w:rPr>
          <w:spacing w:val="-4"/>
        </w:rPr>
        <w:t> </w:t>
      </w:r>
      <w:r>
        <w:rPr/>
        <w:t>Commission</w:t>
      </w:r>
      <w:r>
        <w:rPr>
          <w:spacing w:val="-3"/>
        </w:rPr>
        <w:t> </w:t>
      </w:r>
      <w:r>
        <w:rPr/>
        <w:t>for</w:t>
      </w:r>
      <w:r>
        <w:rPr>
          <w:spacing w:val="-4"/>
        </w:rPr>
        <w:t> </w:t>
      </w:r>
      <w:r>
        <w:rPr/>
        <w:t>Rehabilitation</w:t>
      </w:r>
      <w:r>
        <w:rPr>
          <w:spacing w:val="-4"/>
        </w:rPr>
        <w:t> </w:t>
      </w:r>
      <w:r>
        <w:rPr>
          <w:spacing w:val="-2"/>
        </w:rPr>
        <w:t>Services</w:t>
      </w:r>
    </w:p>
    <w:p>
      <w:pPr>
        <w:pStyle w:val="ListParagraph"/>
        <w:numPr>
          <w:ilvl w:val="0"/>
          <w:numId w:val="4"/>
        </w:numPr>
        <w:tabs>
          <w:tab w:pos="786" w:val="left" w:leader="none"/>
        </w:tabs>
        <w:spacing w:line="208" w:lineRule="auto" w:before="233" w:after="0"/>
        <w:ind w:left="360" w:right="726" w:firstLine="0"/>
        <w:jc w:val="left"/>
        <w:rPr>
          <w:b/>
          <w:sz w:val="24"/>
        </w:rPr>
      </w:pPr>
      <w:r>
        <w:rPr>
          <w:b/>
          <w:sz w:val="24"/>
        </w:rPr>
        <mc:AlternateContent>
          <mc:Choice Requires="wps">
            <w:drawing>
              <wp:anchor distT="0" distB="0" distL="0" distR="0" allowOverlap="1" layoutInCell="1" locked="0" behindDoc="1" simplePos="0" relativeHeight="481923072">
                <wp:simplePos x="0" y="0"/>
                <wp:positionH relativeFrom="page">
                  <wp:posOffset>2074164</wp:posOffset>
                </wp:positionH>
                <wp:positionV relativeFrom="paragraph">
                  <wp:posOffset>1299605</wp:posOffset>
                </wp:positionV>
                <wp:extent cx="33655" cy="762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3655" cy="7620"/>
                        </a:xfrm>
                        <a:custGeom>
                          <a:avLst/>
                          <a:gdLst/>
                          <a:ahLst/>
                          <a:cxnLst/>
                          <a:rect l="l" t="t" r="r" b="b"/>
                          <a:pathLst>
                            <a:path w="33655" h="7620">
                              <a:moveTo>
                                <a:pt x="33527" y="0"/>
                              </a:moveTo>
                              <a:lnTo>
                                <a:pt x="0" y="0"/>
                              </a:lnTo>
                              <a:lnTo>
                                <a:pt x="0" y="7620"/>
                              </a:lnTo>
                              <a:lnTo>
                                <a:pt x="33527" y="7620"/>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3.320007pt;margin-top:102.331169pt;width:2.64pt;height:.6pt;mso-position-horizontal-relative:page;mso-position-vertical-relative:paragraph;z-index:-21393408" id="docshape2" filled="true" fillcolor="#000000" stroked="false">
                <v:fill type="solid"/>
                <w10:wrap type="none"/>
              </v:rect>
            </w:pict>
          </mc:Fallback>
        </mc:AlternateContent>
      </w:r>
      <w:r>
        <w:rPr>
          <w:sz w:val="24"/>
        </w:rPr>
        <w:t>Title 74, Section 166.1 et seq. of the Oklahoma Statutes provides that the Department</w:t>
      </w:r>
      <w:r>
        <w:rPr>
          <w:spacing w:val="-3"/>
          <w:sz w:val="24"/>
        </w:rPr>
        <w:t> </w:t>
      </w:r>
      <w:r>
        <w:rPr>
          <w:sz w:val="24"/>
        </w:rPr>
        <w:t>of</w:t>
      </w:r>
      <w:r>
        <w:rPr>
          <w:spacing w:val="-5"/>
          <w:sz w:val="24"/>
        </w:rPr>
        <w:t> </w:t>
      </w:r>
      <w:r>
        <w:rPr>
          <w:sz w:val="24"/>
        </w:rPr>
        <w:t>Rehabilitation</w:t>
      </w:r>
      <w:r>
        <w:rPr>
          <w:spacing w:val="-4"/>
          <w:sz w:val="24"/>
        </w:rPr>
        <w:t> </w:t>
      </w:r>
      <w:r>
        <w:rPr>
          <w:sz w:val="24"/>
        </w:rPr>
        <w:t>Services</w:t>
      </w:r>
      <w:r>
        <w:rPr>
          <w:spacing w:val="-4"/>
          <w:sz w:val="24"/>
        </w:rPr>
        <w:t> </w:t>
      </w:r>
      <w:r>
        <w:rPr>
          <w:sz w:val="24"/>
        </w:rPr>
        <w:t>is</w:t>
      </w:r>
      <w:r>
        <w:rPr>
          <w:spacing w:val="-4"/>
          <w:sz w:val="24"/>
        </w:rPr>
        <w:t> </w:t>
      </w:r>
      <w:r>
        <w:rPr>
          <w:sz w:val="24"/>
        </w:rPr>
        <w:t>under</w:t>
      </w:r>
      <w:r>
        <w:rPr>
          <w:spacing w:val="-3"/>
          <w:sz w:val="24"/>
        </w:rPr>
        <w:t> </w:t>
      </w:r>
      <w:r>
        <w:rPr>
          <w:sz w:val="24"/>
        </w:rPr>
        <w:t>the</w:t>
      </w:r>
      <w:r>
        <w:rPr>
          <w:spacing w:val="-4"/>
          <w:sz w:val="24"/>
        </w:rPr>
        <w:t> </w:t>
      </w:r>
      <w:r>
        <w:rPr>
          <w:sz w:val="24"/>
        </w:rPr>
        <w:t>control</w:t>
      </w:r>
      <w:r>
        <w:rPr>
          <w:spacing w:val="-4"/>
          <w:sz w:val="24"/>
        </w:rPr>
        <w:t> </w:t>
      </w:r>
      <w:r>
        <w:rPr>
          <w:sz w:val="24"/>
        </w:rPr>
        <w:t>of</w:t>
      </w:r>
      <w:r>
        <w:rPr>
          <w:spacing w:val="-3"/>
          <w:sz w:val="24"/>
        </w:rPr>
        <w:t> </w:t>
      </w:r>
      <w:r>
        <w:rPr>
          <w:sz w:val="24"/>
        </w:rPr>
        <w:t>the</w:t>
      </w:r>
      <w:r>
        <w:rPr>
          <w:spacing w:val="-4"/>
          <w:sz w:val="24"/>
        </w:rPr>
        <w:t> </w:t>
      </w:r>
      <w:r>
        <w:rPr>
          <w:sz w:val="24"/>
        </w:rPr>
        <w:t>Oklahoma</w:t>
      </w:r>
      <w:r>
        <w:rPr>
          <w:spacing w:val="-4"/>
          <w:sz w:val="24"/>
        </w:rPr>
        <w:t> </w:t>
      </w:r>
      <w:r>
        <w:rPr>
          <w:sz w:val="24"/>
        </w:rPr>
        <w:t>Commission for Rehabilitation Services, composed of three members: one member appointed by the President Pro Tempore of the Oklahoma State Senate, one member appointed by the Speaker</w:t>
      </w:r>
      <w:r>
        <w:rPr>
          <w:spacing w:val="-2"/>
          <w:sz w:val="24"/>
        </w:rPr>
        <w:t> </w:t>
      </w:r>
      <w:r>
        <w:rPr>
          <w:sz w:val="24"/>
        </w:rPr>
        <w:t>of</w:t>
      </w:r>
      <w:r>
        <w:rPr>
          <w:spacing w:val="-2"/>
          <w:sz w:val="24"/>
        </w:rPr>
        <w:t> </w:t>
      </w:r>
      <w:r>
        <w:rPr>
          <w:sz w:val="24"/>
        </w:rPr>
        <w:t>the</w:t>
      </w:r>
      <w:r>
        <w:rPr>
          <w:spacing w:val="-3"/>
          <w:sz w:val="24"/>
        </w:rPr>
        <w:t> </w:t>
      </w:r>
      <w:r>
        <w:rPr>
          <w:sz w:val="24"/>
        </w:rPr>
        <w:t>Oklahoma</w:t>
      </w:r>
      <w:r>
        <w:rPr>
          <w:spacing w:val="-3"/>
          <w:sz w:val="24"/>
        </w:rPr>
        <w:t> </w:t>
      </w:r>
      <w:r>
        <w:rPr>
          <w:sz w:val="24"/>
        </w:rPr>
        <w:t>House</w:t>
      </w:r>
      <w:r>
        <w:rPr>
          <w:spacing w:val="-3"/>
          <w:sz w:val="24"/>
        </w:rPr>
        <w:t> </w:t>
      </w:r>
      <w:r>
        <w:rPr>
          <w:sz w:val="24"/>
        </w:rPr>
        <w:t>of</w:t>
      </w:r>
      <w:r>
        <w:rPr>
          <w:spacing w:val="-2"/>
          <w:sz w:val="24"/>
        </w:rPr>
        <w:t> </w:t>
      </w:r>
      <w:r>
        <w:rPr>
          <w:sz w:val="24"/>
        </w:rPr>
        <w:t>Representatives,</w:t>
      </w:r>
      <w:r>
        <w:rPr>
          <w:spacing w:val="-2"/>
          <w:sz w:val="24"/>
        </w:rPr>
        <w:t> </w:t>
      </w:r>
      <w:r>
        <w:rPr>
          <w:sz w:val="24"/>
        </w:rPr>
        <w:t>and</w:t>
      </w:r>
      <w:r>
        <w:rPr>
          <w:spacing w:val="-3"/>
          <w:sz w:val="24"/>
        </w:rPr>
        <w:t> </w:t>
      </w:r>
      <w:r>
        <w:rPr>
          <w:sz w:val="24"/>
        </w:rPr>
        <w:t>one</w:t>
      </w:r>
      <w:r>
        <w:rPr>
          <w:spacing w:val="-3"/>
          <w:sz w:val="24"/>
        </w:rPr>
        <w:t> </w:t>
      </w:r>
      <w:r>
        <w:rPr>
          <w:sz w:val="24"/>
        </w:rPr>
        <w:t>member</w:t>
      </w:r>
      <w:r>
        <w:rPr>
          <w:spacing w:val="-2"/>
          <w:sz w:val="24"/>
        </w:rPr>
        <w:t> </w:t>
      </w:r>
      <w:r>
        <w:rPr>
          <w:sz w:val="24"/>
        </w:rPr>
        <w:t>appointed</w:t>
      </w:r>
      <w:r>
        <w:rPr>
          <w:spacing w:val="-3"/>
          <w:sz w:val="24"/>
        </w:rPr>
        <w:t> </w:t>
      </w:r>
      <w:r>
        <w:rPr>
          <w:sz w:val="24"/>
        </w:rPr>
        <w:t>by</w:t>
      </w:r>
      <w:r>
        <w:rPr>
          <w:spacing w:val="-3"/>
          <w:sz w:val="24"/>
        </w:rPr>
        <w:t> </w:t>
      </w:r>
      <w:r>
        <w:rPr>
          <w:sz w:val="24"/>
        </w:rPr>
        <w:t>the Governor. The first three members of the Commission shall serve concurrent terms of three years. At the expiration of the terms of the three members initially appointed, the Commission shall consist of three members: one member appointed by the President Pro Tempore of the Oklahoma State Senate for a term of one year, one member to be appointed by the Speaker of the Oklahoma House of Representatives for a term of two years, and one member to be appointed by the Governor for a term of three years. Thereafter, terms of office of the Commission members are for three years, with the term of one Commission member expiring each year. Members are selected on the basis of having a knowledge and concern for rehabilitation and disability-related issues. A member of the Commission may be appointed to succeed himself or herself. Commission members do not receive compensation for their services but are reimbursed for necessary travel and related expenses incurred in the performance of their official duties. The Commission meets a minimum of ten (10) times per calendar year and holds a regular annual meeting at which it elects from among its membership</w:t>
      </w:r>
      <w:r>
        <w:rPr>
          <w:spacing w:val="40"/>
          <w:sz w:val="24"/>
        </w:rPr>
        <w:t> </w:t>
      </w:r>
      <w:r>
        <w:rPr>
          <w:sz w:val="24"/>
        </w:rPr>
        <w:t>a chairperson and a vice-chairperson. The Commission may also hold special sessions at such times as deemed necessary or advisable by a majority of Commission members. </w:t>
      </w:r>
      <w:r>
        <w:rPr>
          <w:b/>
          <w:sz w:val="24"/>
        </w:rPr>
        <w:t>1</w:t>
      </w:r>
    </w:p>
    <w:p>
      <w:pPr>
        <w:pStyle w:val="ListParagraph"/>
        <w:numPr>
          <w:ilvl w:val="0"/>
          <w:numId w:val="4"/>
        </w:numPr>
        <w:tabs>
          <w:tab w:pos="786" w:val="left" w:leader="none"/>
        </w:tabs>
        <w:spacing w:line="208" w:lineRule="auto" w:before="238" w:after="0"/>
        <w:ind w:left="360" w:right="726" w:firstLine="0"/>
        <w:jc w:val="left"/>
        <w:rPr>
          <w:sz w:val="24"/>
        </w:rPr>
      </w:pPr>
      <w:r>
        <w:rPr>
          <w:sz w:val="24"/>
        </w:rPr>
        <w:t>The</w:t>
      </w:r>
      <w:r>
        <w:rPr>
          <w:spacing w:val="-4"/>
          <w:sz w:val="24"/>
        </w:rPr>
        <w:t> </w:t>
      </w:r>
      <w:r>
        <w:rPr>
          <w:sz w:val="24"/>
        </w:rPr>
        <w:t>Commission</w:t>
      </w:r>
      <w:r>
        <w:rPr>
          <w:spacing w:val="-4"/>
          <w:sz w:val="24"/>
        </w:rPr>
        <w:t> </w:t>
      </w:r>
      <w:r>
        <w:rPr>
          <w:sz w:val="24"/>
        </w:rPr>
        <w:t>has</w:t>
      </w:r>
      <w:r>
        <w:rPr>
          <w:spacing w:val="-4"/>
          <w:sz w:val="24"/>
        </w:rPr>
        <w:t> </w:t>
      </w:r>
      <w:r>
        <w:rPr>
          <w:sz w:val="24"/>
        </w:rPr>
        <w:t>the</w:t>
      </w:r>
      <w:r>
        <w:rPr>
          <w:spacing w:val="-4"/>
          <w:sz w:val="24"/>
        </w:rPr>
        <w:t> </w:t>
      </w:r>
      <w:r>
        <w:rPr>
          <w:sz w:val="24"/>
        </w:rPr>
        <w:t>legal</w:t>
      </w:r>
      <w:r>
        <w:rPr>
          <w:spacing w:val="-3"/>
          <w:sz w:val="24"/>
        </w:rPr>
        <w:t> </w:t>
      </w:r>
      <w:r>
        <w:rPr>
          <w:sz w:val="24"/>
        </w:rPr>
        <w:t>authority</w:t>
      </w:r>
      <w:r>
        <w:rPr>
          <w:spacing w:val="-4"/>
          <w:sz w:val="24"/>
        </w:rPr>
        <w:t> </w:t>
      </w:r>
      <w:r>
        <w:rPr>
          <w:sz w:val="24"/>
        </w:rPr>
        <w:t>and</w:t>
      </w:r>
      <w:r>
        <w:rPr>
          <w:spacing w:val="-4"/>
          <w:sz w:val="24"/>
        </w:rPr>
        <w:t> </w:t>
      </w:r>
      <w:r>
        <w:rPr>
          <w:sz w:val="24"/>
        </w:rPr>
        <w:t>responsibility</w:t>
      </w:r>
      <w:r>
        <w:rPr>
          <w:spacing w:val="-4"/>
          <w:sz w:val="24"/>
        </w:rPr>
        <w:t> </w:t>
      </w:r>
      <w:r>
        <w:rPr>
          <w:sz w:val="24"/>
        </w:rPr>
        <w:t>to</w:t>
      </w:r>
      <w:r>
        <w:rPr>
          <w:spacing w:val="-4"/>
          <w:sz w:val="24"/>
        </w:rPr>
        <w:t> </w:t>
      </w:r>
      <w:r>
        <w:rPr>
          <w:sz w:val="24"/>
        </w:rPr>
        <w:t>govern</w:t>
      </w:r>
      <w:r>
        <w:rPr>
          <w:spacing w:val="-4"/>
          <w:sz w:val="24"/>
        </w:rPr>
        <w:t> </w:t>
      </w:r>
      <w:r>
        <w:rPr>
          <w:sz w:val="24"/>
        </w:rPr>
        <w:t>the</w:t>
      </w:r>
      <w:r>
        <w:rPr>
          <w:spacing w:val="-4"/>
          <w:sz w:val="24"/>
        </w:rPr>
        <w:t> </w:t>
      </w:r>
      <w:r>
        <w:rPr>
          <w:sz w:val="24"/>
        </w:rPr>
        <w:t>Department of Rehabilitation Services, appoint and remove the Director of the Department of Rehabilitation Services; approve programs; policy and budgets; and perform the necessary functions of a governing board. The Commission has the authority to accept monies gifts and bequests of real and personal property, which become available for operation of programs under the jurisdiction of the Department.</w:t>
      </w:r>
    </w:p>
    <w:p>
      <w:pPr>
        <w:pStyle w:val="BodyText"/>
        <w:spacing w:before="210"/>
      </w:pPr>
      <w:r>
        <w:rPr/>
        <w:t>INSTRUCTIONS</w:t>
      </w:r>
      <w:r>
        <w:rPr>
          <w:spacing w:val="-3"/>
        </w:rPr>
        <w:t> </w:t>
      </w:r>
      <w:r>
        <w:rPr/>
        <w:t>TO</w:t>
      </w:r>
      <w:r>
        <w:rPr>
          <w:spacing w:val="-2"/>
        </w:rPr>
        <w:t> </w:t>
      </w:r>
      <w:r>
        <w:rPr>
          <w:spacing w:val="-4"/>
        </w:rPr>
        <w:t>STAFF</w:t>
      </w:r>
    </w:p>
    <w:p>
      <w:pPr>
        <w:pStyle w:val="BodyText"/>
        <w:spacing w:line="258" w:lineRule="exact" w:before="204"/>
        <w:ind w:left="791"/>
      </w:pPr>
      <w:r>
        <w:rPr/>
        <w:t>1.</w:t>
      </w:r>
      <w:r>
        <w:rPr>
          <w:spacing w:val="17"/>
        </w:rPr>
        <w:t> </w:t>
      </w:r>
      <w:r>
        <w:rPr/>
        <w:t>Staff</w:t>
      </w:r>
      <w:r>
        <w:rPr>
          <w:spacing w:val="-3"/>
        </w:rPr>
        <w:t> </w:t>
      </w:r>
      <w:r>
        <w:rPr/>
        <w:t>may</w:t>
      </w:r>
      <w:r>
        <w:rPr>
          <w:spacing w:val="-3"/>
        </w:rPr>
        <w:t> </w:t>
      </w:r>
      <w:r>
        <w:rPr/>
        <w:t>attend</w:t>
      </w:r>
      <w:r>
        <w:rPr>
          <w:spacing w:val="-2"/>
        </w:rPr>
        <w:t> </w:t>
      </w:r>
      <w:r>
        <w:rPr/>
        <w:t>Commission</w:t>
      </w:r>
      <w:r>
        <w:rPr>
          <w:spacing w:val="-3"/>
        </w:rPr>
        <w:t> </w:t>
      </w:r>
      <w:r>
        <w:rPr/>
        <w:t>meetings</w:t>
      </w:r>
      <w:r>
        <w:rPr>
          <w:spacing w:val="-2"/>
        </w:rPr>
        <w:t> </w:t>
      </w:r>
      <w:r>
        <w:rPr/>
        <w:t>subject</w:t>
      </w:r>
      <w:r>
        <w:rPr>
          <w:spacing w:val="-2"/>
        </w:rPr>
        <w:t> </w:t>
      </w:r>
      <w:r>
        <w:rPr/>
        <w:t>to</w:t>
      </w:r>
      <w:r>
        <w:rPr>
          <w:spacing w:val="-3"/>
        </w:rPr>
        <w:t> </w:t>
      </w:r>
      <w:r>
        <w:rPr/>
        <w:t>the</w:t>
      </w:r>
      <w:r>
        <w:rPr>
          <w:spacing w:val="-3"/>
        </w:rPr>
        <w:t> </w:t>
      </w:r>
      <w:r>
        <w:rPr/>
        <w:t>guidelines</w:t>
      </w:r>
      <w:r>
        <w:rPr>
          <w:spacing w:val="-2"/>
        </w:rPr>
        <w:t> </w:t>
      </w:r>
      <w:r>
        <w:rPr/>
        <w:t>in</w:t>
      </w:r>
      <w:r>
        <w:rPr>
          <w:spacing w:val="-2"/>
        </w:rPr>
        <w:t> </w:t>
      </w:r>
      <w:r>
        <w:rPr/>
        <w:t>(a)</w:t>
      </w:r>
      <w:r>
        <w:rPr>
          <w:spacing w:val="-3"/>
        </w:rPr>
        <w:t> </w:t>
      </w:r>
      <w:r>
        <w:rPr>
          <w:spacing w:val="-2"/>
        </w:rPr>
        <w:t>through</w:t>
      </w:r>
    </w:p>
    <w:p>
      <w:pPr>
        <w:pStyle w:val="BodyText"/>
        <w:spacing w:line="258" w:lineRule="exact" w:before="0"/>
        <w:ind w:left="791"/>
      </w:pPr>
      <w:r>
        <w:rPr/>
        <w:t>(d)</w:t>
      </w:r>
      <w:r>
        <w:rPr>
          <w:spacing w:val="-1"/>
        </w:rPr>
        <w:t> </w:t>
      </w:r>
      <w:r>
        <w:rPr/>
        <w:t>of</w:t>
      </w:r>
      <w:r>
        <w:rPr>
          <w:spacing w:val="-2"/>
        </w:rPr>
        <w:t> </w:t>
      </w:r>
      <w:r>
        <w:rPr/>
        <w:t>this</w:t>
      </w:r>
      <w:r>
        <w:rPr>
          <w:spacing w:val="-1"/>
        </w:rPr>
        <w:t> </w:t>
      </w:r>
      <w:r>
        <w:rPr>
          <w:spacing w:val="-2"/>
        </w:rPr>
        <w:t>Instruction:</w:t>
      </w:r>
    </w:p>
    <w:p>
      <w:pPr>
        <w:pStyle w:val="ListParagraph"/>
        <w:numPr>
          <w:ilvl w:val="0"/>
          <w:numId w:val="5"/>
        </w:numPr>
        <w:tabs>
          <w:tab w:pos="1799" w:val="left" w:leader="none"/>
        </w:tabs>
        <w:spacing w:line="208" w:lineRule="auto" w:before="233" w:after="0"/>
        <w:ind w:left="1223" w:right="743" w:firstLine="0"/>
        <w:jc w:val="left"/>
        <w:rPr>
          <w:sz w:val="24"/>
        </w:rPr>
      </w:pPr>
      <w:r>
        <w:rPr>
          <w:sz w:val="24"/>
        </w:rPr>
        <w:t>With approval from the immediate supervisor, an employee may attend one</w:t>
      </w:r>
      <w:r>
        <w:rPr>
          <w:spacing w:val="-4"/>
          <w:sz w:val="24"/>
        </w:rPr>
        <w:t> </w:t>
      </w:r>
      <w:r>
        <w:rPr>
          <w:sz w:val="24"/>
        </w:rPr>
        <w:t>Commission</w:t>
      </w:r>
      <w:r>
        <w:rPr>
          <w:spacing w:val="-4"/>
          <w:sz w:val="24"/>
        </w:rPr>
        <w:t> </w:t>
      </w:r>
      <w:r>
        <w:rPr>
          <w:sz w:val="24"/>
        </w:rPr>
        <w:t>meeting</w:t>
      </w:r>
      <w:r>
        <w:rPr>
          <w:spacing w:val="-4"/>
          <w:sz w:val="24"/>
        </w:rPr>
        <w:t> </w:t>
      </w:r>
      <w:r>
        <w:rPr>
          <w:sz w:val="24"/>
        </w:rPr>
        <w:t>in</w:t>
      </w:r>
      <w:r>
        <w:rPr>
          <w:spacing w:val="-4"/>
          <w:sz w:val="24"/>
        </w:rPr>
        <w:t> </w:t>
      </w:r>
      <w:r>
        <w:rPr>
          <w:sz w:val="24"/>
        </w:rPr>
        <w:t>order</w:t>
      </w:r>
      <w:r>
        <w:rPr>
          <w:spacing w:val="-3"/>
          <w:sz w:val="24"/>
        </w:rPr>
        <w:t> </w:t>
      </w:r>
      <w:r>
        <w:rPr>
          <w:sz w:val="24"/>
        </w:rPr>
        <w:t>to</w:t>
      </w:r>
      <w:r>
        <w:rPr>
          <w:spacing w:val="-4"/>
          <w:sz w:val="24"/>
        </w:rPr>
        <w:t> </w:t>
      </w:r>
      <w:r>
        <w:rPr>
          <w:sz w:val="24"/>
        </w:rPr>
        <w:t>observe</w:t>
      </w:r>
      <w:r>
        <w:rPr>
          <w:spacing w:val="-5"/>
          <w:sz w:val="24"/>
        </w:rPr>
        <w:t> </w:t>
      </w:r>
      <w:r>
        <w:rPr>
          <w:sz w:val="24"/>
        </w:rPr>
        <w:t>the</w:t>
      </w:r>
      <w:r>
        <w:rPr>
          <w:spacing w:val="-4"/>
          <w:sz w:val="24"/>
        </w:rPr>
        <w:t> </w:t>
      </w:r>
      <w:r>
        <w:rPr>
          <w:sz w:val="24"/>
        </w:rPr>
        <w:t>process.</w:t>
      </w:r>
      <w:r>
        <w:rPr>
          <w:spacing w:val="-3"/>
          <w:sz w:val="24"/>
        </w:rPr>
        <w:t> </w:t>
      </w:r>
      <w:r>
        <w:rPr>
          <w:sz w:val="24"/>
        </w:rPr>
        <w:t>The</w:t>
      </w:r>
      <w:r>
        <w:rPr>
          <w:spacing w:val="-4"/>
          <w:sz w:val="24"/>
        </w:rPr>
        <w:t> </w:t>
      </w:r>
      <w:r>
        <w:rPr>
          <w:sz w:val="24"/>
        </w:rPr>
        <w:t>employee</w:t>
      </w:r>
      <w:r>
        <w:rPr>
          <w:spacing w:val="-4"/>
          <w:sz w:val="24"/>
        </w:rPr>
        <w:t> </w:t>
      </w:r>
      <w:r>
        <w:rPr>
          <w:sz w:val="24"/>
        </w:rPr>
        <w:t>will</w:t>
      </w:r>
      <w:r>
        <w:rPr>
          <w:spacing w:val="-4"/>
          <w:sz w:val="24"/>
        </w:rPr>
        <w:t> </w:t>
      </w:r>
      <w:r>
        <w:rPr>
          <w:sz w:val="24"/>
        </w:rPr>
        <w:t>be considered on</w:t>
      </w:r>
      <w:r>
        <w:rPr>
          <w:spacing w:val="-1"/>
          <w:sz w:val="24"/>
        </w:rPr>
        <w:t> </w:t>
      </w:r>
      <w:r>
        <w:rPr>
          <w:sz w:val="24"/>
        </w:rPr>
        <w:t>duty</w:t>
      </w:r>
      <w:r>
        <w:rPr>
          <w:spacing w:val="-1"/>
          <w:sz w:val="24"/>
        </w:rPr>
        <w:t> </w:t>
      </w:r>
      <w:r>
        <w:rPr>
          <w:sz w:val="24"/>
        </w:rPr>
        <w:t>and</w:t>
      </w:r>
      <w:r>
        <w:rPr>
          <w:spacing w:val="-1"/>
          <w:sz w:val="24"/>
        </w:rPr>
        <w:t> </w:t>
      </w:r>
      <w:r>
        <w:rPr>
          <w:sz w:val="24"/>
        </w:rPr>
        <w:t>no</w:t>
      </w:r>
      <w:r>
        <w:rPr>
          <w:spacing w:val="-1"/>
          <w:sz w:val="24"/>
        </w:rPr>
        <w:t> </w:t>
      </w:r>
      <w:r>
        <w:rPr>
          <w:sz w:val="24"/>
        </w:rPr>
        <w:t>leave</w:t>
      </w:r>
      <w:r>
        <w:rPr>
          <w:spacing w:val="-1"/>
          <w:sz w:val="24"/>
        </w:rPr>
        <w:t> </w:t>
      </w:r>
      <w:r>
        <w:rPr>
          <w:sz w:val="24"/>
        </w:rPr>
        <w:t>will</w:t>
      </w:r>
      <w:r>
        <w:rPr>
          <w:spacing w:val="-1"/>
          <w:sz w:val="24"/>
        </w:rPr>
        <w:t> </w:t>
      </w:r>
      <w:r>
        <w:rPr>
          <w:sz w:val="24"/>
        </w:rPr>
        <w:t>be</w:t>
      </w:r>
      <w:r>
        <w:rPr>
          <w:spacing w:val="-1"/>
          <w:sz w:val="24"/>
        </w:rPr>
        <w:t> </w:t>
      </w:r>
      <w:r>
        <w:rPr>
          <w:sz w:val="24"/>
        </w:rPr>
        <w:t>charged. The</w:t>
      </w:r>
      <w:r>
        <w:rPr>
          <w:spacing w:val="-1"/>
          <w:sz w:val="24"/>
        </w:rPr>
        <w:t> </w:t>
      </w:r>
      <w:r>
        <w:rPr>
          <w:sz w:val="24"/>
        </w:rPr>
        <w:t>supervisor will</w:t>
      </w:r>
      <w:r>
        <w:rPr>
          <w:spacing w:val="-1"/>
          <w:sz w:val="24"/>
        </w:rPr>
        <w:t> </w:t>
      </w:r>
      <w:r>
        <w:rPr>
          <w:sz w:val="24"/>
        </w:rPr>
        <w:t>submit the names of employees approved to attend to the Commission's Administrative Assistant. The Commission's Administrative Assistant will notify the supervisor of the Commission meeting date each approved employee is scheduled to </w:t>
      </w:r>
      <w:r>
        <w:rPr>
          <w:spacing w:val="-2"/>
          <w:sz w:val="24"/>
        </w:rPr>
        <w:t>attend.</w:t>
      </w:r>
    </w:p>
    <w:p>
      <w:pPr>
        <w:pStyle w:val="ListParagraph"/>
        <w:numPr>
          <w:ilvl w:val="0"/>
          <w:numId w:val="5"/>
        </w:numPr>
        <w:tabs>
          <w:tab w:pos="1799" w:val="left" w:leader="none"/>
        </w:tabs>
        <w:spacing w:line="208" w:lineRule="auto" w:before="239" w:after="0"/>
        <w:ind w:left="1223" w:right="1206" w:firstLine="0"/>
        <w:jc w:val="left"/>
        <w:rPr>
          <w:sz w:val="24"/>
        </w:rPr>
      </w:pPr>
      <w:r>
        <w:rPr>
          <w:sz w:val="24"/>
        </w:rPr>
        <w:t>Any</w:t>
      </w:r>
      <w:r>
        <w:rPr>
          <w:spacing w:val="-4"/>
          <w:sz w:val="24"/>
        </w:rPr>
        <w:t> </w:t>
      </w:r>
      <w:r>
        <w:rPr>
          <w:sz w:val="24"/>
        </w:rPr>
        <w:t>employee</w:t>
      </w:r>
      <w:r>
        <w:rPr>
          <w:spacing w:val="-4"/>
          <w:sz w:val="24"/>
        </w:rPr>
        <w:t> </w:t>
      </w:r>
      <w:r>
        <w:rPr>
          <w:sz w:val="24"/>
        </w:rPr>
        <w:t>who</w:t>
      </w:r>
      <w:r>
        <w:rPr>
          <w:spacing w:val="-4"/>
          <w:sz w:val="24"/>
        </w:rPr>
        <w:t> </w:t>
      </w:r>
      <w:r>
        <w:rPr>
          <w:sz w:val="24"/>
        </w:rPr>
        <w:t>is</w:t>
      </w:r>
      <w:r>
        <w:rPr>
          <w:spacing w:val="-4"/>
          <w:sz w:val="24"/>
        </w:rPr>
        <w:t> </w:t>
      </w:r>
      <w:r>
        <w:rPr>
          <w:sz w:val="24"/>
        </w:rPr>
        <w:t>requested</w:t>
      </w:r>
      <w:r>
        <w:rPr>
          <w:spacing w:val="-4"/>
          <w:sz w:val="24"/>
        </w:rPr>
        <w:t> </w:t>
      </w:r>
      <w:r>
        <w:rPr>
          <w:sz w:val="24"/>
        </w:rPr>
        <w:t>to</w:t>
      </w:r>
      <w:r>
        <w:rPr>
          <w:spacing w:val="-4"/>
          <w:sz w:val="24"/>
        </w:rPr>
        <w:t> </w:t>
      </w:r>
      <w:r>
        <w:rPr>
          <w:sz w:val="24"/>
        </w:rPr>
        <w:t>attend</w:t>
      </w:r>
      <w:r>
        <w:rPr>
          <w:spacing w:val="-4"/>
          <w:sz w:val="24"/>
        </w:rPr>
        <w:t> </w:t>
      </w:r>
      <w:r>
        <w:rPr>
          <w:sz w:val="24"/>
        </w:rPr>
        <w:t>a</w:t>
      </w:r>
      <w:r>
        <w:rPr>
          <w:spacing w:val="-5"/>
          <w:sz w:val="24"/>
        </w:rPr>
        <w:t> </w:t>
      </w:r>
      <w:r>
        <w:rPr>
          <w:sz w:val="24"/>
        </w:rPr>
        <w:t>Commission</w:t>
      </w:r>
      <w:r>
        <w:rPr>
          <w:spacing w:val="-4"/>
          <w:sz w:val="24"/>
        </w:rPr>
        <w:t> </w:t>
      </w:r>
      <w:r>
        <w:rPr>
          <w:sz w:val="24"/>
        </w:rPr>
        <w:t>meeting</w:t>
      </w:r>
      <w:r>
        <w:rPr>
          <w:spacing w:val="-4"/>
          <w:sz w:val="24"/>
        </w:rPr>
        <w:t> </w:t>
      </w:r>
      <w:r>
        <w:rPr>
          <w:sz w:val="24"/>
        </w:rPr>
        <w:t>by</w:t>
      </w:r>
      <w:r>
        <w:rPr>
          <w:spacing w:val="-4"/>
          <w:sz w:val="24"/>
        </w:rPr>
        <w:t> </w:t>
      </w:r>
      <w:r>
        <w:rPr>
          <w:sz w:val="24"/>
        </w:rPr>
        <w:t>a Division Administrator, School Superintendent or other member of the Executive Team is authorized to attend that meeting. The employee will be considered on duty and no leave will be charged.</w:t>
      </w:r>
    </w:p>
    <w:p>
      <w:pPr>
        <w:pStyle w:val="ListParagraph"/>
        <w:numPr>
          <w:ilvl w:val="0"/>
          <w:numId w:val="5"/>
        </w:numPr>
        <w:tabs>
          <w:tab w:pos="1799" w:val="left" w:leader="none"/>
        </w:tabs>
        <w:spacing w:line="208" w:lineRule="auto" w:before="240" w:after="0"/>
        <w:ind w:left="1223" w:right="808" w:firstLine="0"/>
        <w:jc w:val="left"/>
        <w:rPr>
          <w:sz w:val="24"/>
        </w:rPr>
      </w:pPr>
      <w:r>
        <w:rPr>
          <w:sz w:val="24"/>
        </w:rPr>
        <w:t>Any</w:t>
      </w:r>
      <w:r>
        <w:rPr>
          <w:spacing w:val="-4"/>
          <w:sz w:val="24"/>
        </w:rPr>
        <w:t> </w:t>
      </w:r>
      <w:r>
        <w:rPr>
          <w:sz w:val="24"/>
        </w:rPr>
        <w:t>employee</w:t>
      </w:r>
      <w:r>
        <w:rPr>
          <w:spacing w:val="-4"/>
          <w:sz w:val="24"/>
        </w:rPr>
        <w:t> </w:t>
      </w:r>
      <w:r>
        <w:rPr>
          <w:sz w:val="24"/>
        </w:rPr>
        <w:t>who</w:t>
      </w:r>
      <w:r>
        <w:rPr>
          <w:spacing w:val="-4"/>
          <w:sz w:val="24"/>
        </w:rPr>
        <w:t> </w:t>
      </w:r>
      <w:r>
        <w:rPr>
          <w:sz w:val="24"/>
        </w:rPr>
        <w:t>requests</w:t>
      </w:r>
      <w:r>
        <w:rPr>
          <w:spacing w:val="-4"/>
          <w:sz w:val="24"/>
        </w:rPr>
        <w:t> </w:t>
      </w:r>
      <w:r>
        <w:rPr>
          <w:sz w:val="24"/>
        </w:rPr>
        <w:t>to</w:t>
      </w:r>
      <w:r>
        <w:rPr>
          <w:spacing w:val="-4"/>
          <w:sz w:val="24"/>
        </w:rPr>
        <w:t> </w:t>
      </w:r>
      <w:r>
        <w:rPr>
          <w:sz w:val="24"/>
        </w:rPr>
        <w:t>attend</w:t>
      </w:r>
      <w:r>
        <w:rPr>
          <w:spacing w:val="-4"/>
          <w:sz w:val="24"/>
        </w:rPr>
        <w:t> </w:t>
      </w:r>
      <w:r>
        <w:rPr>
          <w:sz w:val="24"/>
        </w:rPr>
        <w:t>a</w:t>
      </w:r>
      <w:r>
        <w:rPr>
          <w:spacing w:val="-4"/>
          <w:sz w:val="24"/>
        </w:rPr>
        <w:t> </w:t>
      </w:r>
      <w:r>
        <w:rPr>
          <w:sz w:val="24"/>
        </w:rPr>
        <w:t>Commission</w:t>
      </w:r>
      <w:r>
        <w:rPr>
          <w:spacing w:val="-4"/>
          <w:sz w:val="24"/>
        </w:rPr>
        <w:t> </w:t>
      </w:r>
      <w:r>
        <w:rPr>
          <w:sz w:val="24"/>
        </w:rPr>
        <w:t>meeting</w:t>
      </w:r>
      <w:r>
        <w:rPr>
          <w:spacing w:val="-4"/>
          <w:sz w:val="24"/>
        </w:rPr>
        <w:t> </w:t>
      </w:r>
      <w:r>
        <w:rPr>
          <w:sz w:val="24"/>
        </w:rPr>
        <w:t>to</w:t>
      </w:r>
      <w:r>
        <w:rPr>
          <w:spacing w:val="-5"/>
          <w:sz w:val="24"/>
        </w:rPr>
        <w:t> </w:t>
      </w:r>
      <w:r>
        <w:rPr>
          <w:sz w:val="24"/>
        </w:rPr>
        <w:t>speak</w:t>
      </w:r>
      <w:r>
        <w:rPr>
          <w:spacing w:val="-4"/>
          <w:sz w:val="24"/>
        </w:rPr>
        <w:t> </w:t>
      </w:r>
      <w:r>
        <w:rPr>
          <w:sz w:val="24"/>
        </w:rPr>
        <w:t>on a specific agenda item may do so. Requests must be submitted to the immediate supervisor for approval. The employee will be considered on duty and no leave will be charged.</w:t>
      </w:r>
    </w:p>
    <w:p>
      <w:pPr>
        <w:pStyle w:val="ListParagraph"/>
        <w:spacing w:after="0" w:line="208" w:lineRule="auto"/>
        <w:jc w:val="left"/>
        <w:rPr>
          <w:sz w:val="24"/>
        </w:rPr>
        <w:sectPr>
          <w:pgSz w:w="12240" w:h="15840"/>
          <w:pgMar w:top="1340" w:bottom="280" w:left="1080" w:right="720"/>
        </w:sectPr>
      </w:pPr>
    </w:p>
    <w:p>
      <w:pPr>
        <w:pStyle w:val="ListParagraph"/>
        <w:numPr>
          <w:ilvl w:val="0"/>
          <w:numId w:val="5"/>
        </w:numPr>
        <w:tabs>
          <w:tab w:pos="1799" w:val="left" w:leader="none"/>
        </w:tabs>
        <w:spacing w:line="208" w:lineRule="auto" w:before="96" w:after="0"/>
        <w:ind w:left="1224" w:right="875" w:firstLine="0"/>
        <w:jc w:val="left"/>
        <w:rPr>
          <w:sz w:val="24"/>
        </w:rPr>
      </w:pPr>
      <w:r>
        <w:rPr>
          <w:sz w:val="24"/>
        </w:rPr>
        <w:t>An employee who wishes to attend a Commission meeting for any other reason may do so but will be required to take annual leave for the time absent from the regular duty station. Decisions to approve or disapprove leave for attendance</w:t>
      </w:r>
      <w:r>
        <w:rPr>
          <w:spacing w:val="-3"/>
          <w:sz w:val="24"/>
        </w:rPr>
        <w:t> </w:t>
      </w:r>
      <w:r>
        <w:rPr>
          <w:sz w:val="24"/>
        </w:rPr>
        <w:t>at</w:t>
      </w:r>
      <w:r>
        <w:rPr>
          <w:spacing w:val="-3"/>
          <w:sz w:val="24"/>
        </w:rPr>
        <w:t> </w:t>
      </w:r>
      <w:r>
        <w:rPr>
          <w:sz w:val="24"/>
        </w:rPr>
        <w:t>Commission</w:t>
      </w:r>
      <w:r>
        <w:rPr>
          <w:spacing w:val="-4"/>
          <w:sz w:val="24"/>
        </w:rPr>
        <w:t> </w:t>
      </w:r>
      <w:r>
        <w:rPr>
          <w:sz w:val="24"/>
        </w:rPr>
        <w:t>meetings</w:t>
      </w:r>
      <w:r>
        <w:rPr>
          <w:spacing w:val="-4"/>
          <w:sz w:val="24"/>
        </w:rPr>
        <w:t> </w:t>
      </w:r>
      <w:r>
        <w:rPr>
          <w:sz w:val="24"/>
        </w:rPr>
        <w:t>will</w:t>
      </w:r>
      <w:r>
        <w:rPr>
          <w:spacing w:val="-4"/>
          <w:sz w:val="24"/>
        </w:rPr>
        <w:t> </w:t>
      </w:r>
      <w:r>
        <w:rPr>
          <w:sz w:val="24"/>
        </w:rPr>
        <w:t>be</w:t>
      </w:r>
      <w:r>
        <w:rPr>
          <w:spacing w:val="-4"/>
          <w:sz w:val="24"/>
        </w:rPr>
        <w:t> </w:t>
      </w:r>
      <w:r>
        <w:rPr>
          <w:sz w:val="24"/>
        </w:rPr>
        <w:t>based</w:t>
      </w:r>
      <w:r>
        <w:rPr>
          <w:spacing w:val="-4"/>
          <w:sz w:val="24"/>
        </w:rPr>
        <w:t> </w:t>
      </w:r>
      <w:r>
        <w:rPr>
          <w:sz w:val="24"/>
        </w:rPr>
        <w:t>on</w:t>
      </w:r>
      <w:r>
        <w:rPr>
          <w:spacing w:val="-4"/>
          <w:sz w:val="24"/>
        </w:rPr>
        <w:t> </w:t>
      </w:r>
      <w:r>
        <w:rPr>
          <w:sz w:val="24"/>
        </w:rPr>
        <w:t>the</w:t>
      </w:r>
      <w:r>
        <w:rPr>
          <w:spacing w:val="-4"/>
          <w:sz w:val="24"/>
        </w:rPr>
        <w:t> </w:t>
      </w:r>
      <w:r>
        <w:rPr>
          <w:sz w:val="24"/>
        </w:rPr>
        <w:t>same</w:t>
      </w:r>
      <w:r>
        <w:rPr>
          <w:spacing w:val="-4"/>
          <w:sz w:val="24"/>
        </w:rPr>
        <w:t> </w:t>
      </w:r>
      <w:r>
        <w:rPr>
          <w:sz w:val="24"/>
        </w:rPr>
        <w:t>considerations as any routine request for annual leave.</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7-1-95</w:t>
      </w:r>
      <w:r>
        <w:rPr>
          <w:sz w:val="22"/>
        </w:rPr>
        <w:tab/>
        <w:t>PT Memo #95-2</w:t>
      </w:r>
    </w:p>
    <w:p>
      <w:pPr>
        <w:spacing w:before="1"/>
        <w:ind w:left="1439" w:right="775" w:firstLine="0"/>
        <w:jc w:val="left"/>
        <w:rPr>
          <w:sz w:val="22"/>
        </w:rPr>
      </w:pPr>
      <w:r>
        <w:rPr>
          <w:sz w:val="22"/>
        </w:rPr>
        <w:t>Permanent,</w:t>
      </w:r>
      <w:r>
        <w:rPr>
          <w:spacing w:val="-3"/>
          <w:sz w:val="22"/>
        </w:rPr>
        <w:t> </w:t>
      </w:r>
      <w:r>
        <w:rPr>
          <w:sz w:val="22"/>
        </w:rPr>
        <w:t>frequency</w:t>
      </w:r>
      <w:r>
        <w:rPr>
          <w:spacing w:val="-4"/>
          <w:sz w:val="22"/>
        </w:rPr>
        <w:t> </w:t>
      </w:r>
      <w:r>
        <w:rPr>
          <w:sz w:val="22"/>
        </w:rPr>
        <w:t>of</w:t>
      </w:r>
      <w:r>
        <w:rPr>
          <w:spacing w:val="-5"/>
          <w:sz w:val="22"/>
        </w:rPr>
        <w:t> </w:t>
      </w:r>
      <w:r>
        <w:rPr>
          <w:sz w:val="22"/>
        </w:rPr>
        <w:t>Commission</w:t>
      </w:r>
      <w:r>
        <w:rPr>
          <w:spacing w:val="-4"/>
          <w:sz w:val="22"/>
        </w:rPr>
        <w:t> </w:t>
      </w:r>
      <w:r>
        <w:rPr>
          <w:sz w:val="22"/>
        </w:rPr>
        <w:t>meetings</w:t>
      </w:r>
      <w:r>
        <w:rPr>
          <w:spacing w:val="-4"/>
          <w:sz w:val="22"/>
        </w:rPr>
        <w:t> </w:t>
      </w:r>
      <w:r>
        <w:rPr>
          <w:sz w:val="22"/>
        </w:rPr>
        <w:t>changed</w:t>
      </w:r>
      <w:r>
        <w:rPr>
          <w:spacing w:val="-4"/>
          <w:sz w:val="22"/>
        </w:rPr>
        <w:t> </w:t>
      </w:r>
      <w:r>
        <w:rPr>
          <w:sz w:val="22"/>
        </w:rPr>
        <w:t>from</w:t>
      </w:r>
      <w:r>
        <w:rPr>
          <w:spacing w:val="-5"/>
          <w:sz w:val="22"/>
        </w:rPr>
        <w:t> </w:t>
      </w:r>
      <w:r>
        <w:rPr>
          <w:sz w:val="22"/>
        </w:rPr>
        <w:t>12</w:t>
      </w:r>
      <w:r>
        <w:rPr>
          <w:spacing w:val="-4"/>
          <w:sz w:val="22"/>
        </w:rPr>
        <w:t> </w:t>
      </w:r>
      <w:r>
        <w:rPr>
          <w:sz w:val="22"/>
        </w:rPr>
        <w:t>times</w:t>
      </w:r>
      <w:r>
        <w:rPr>
          <w:spacing w:val="-4"/>
          <w:sz w:val="22"/>
        </w:rPr>
        <w:t> </w:t>
      </w:r>
      <w:r>
        <w:rPr>
          <w:sz w:val="22"/>
        </w:rPr>
        <w:t>to</w:t>
      </w:r>
      <w:r>
        <w:rPr>
          <w:spacing w:val="-4"/>
          <w:sz w:val="22"/>
        </w:rPr>
        <w:t> </w:t>
      </w:r>
      <w:r>
        <w:rPr>
          <w:sz w:val="22"/>
        </w:rPr>
        <w:t>10</w:t>
      </w:r>
      <w:r>
        <w:rPr>
          <w:spacing w:val="-4"/>
          <w:sz w:val="22"/>
        </w:rPr>
        <w:t> </w:t>
      </w:r>
      <w:r>
        <w:rPr>
          <w:sz w:val="22"/>
        </w:rPr>
        <w:t>times per year.</w:t>
      </w:r>
    </w:p>
    <w:p>
      <w:pPr>
        <w:spacing w:after="0"/>
        <w:jc w:val="left"/>
        <w:rPr>
          <w:sz w:val="22"/>
        </w:rPr>
        <w:sectPr>
          <w:pgSz w:w="12240" w:h="15840"/>
          <w:pgMar w:top="1340" w:bottom="280" w:left="1080" w:right="720"/>
        </w:sectPr>
      </w:pPr>
    </w:p>
    <w:p>
      <w:pPr>
        <w:pStyle w:val="Heading2"/>
      </w:pPr>
      <w:bookmarkStart w:name="612:1-3-2.  The Director of Rehabilitati" w:id="10"/>
      <w:bookmarkEnd w:id="10"/>
      <w:r>
        <w:rPr>
          <w:b w:val="0"/>
        </w:rPr>
      </w:r>
      <w:r>
        <w:rPr/>
        <w:t>612:1-3-2.</w:t>
      </w:r>
      <w:r>
        <w:rPr>
          <w:spacing w:val="59"/>
        </w:rPr>
        <w:t> </w:t>
      </w:r>
      <w:r>
        <w:rPr/>
        <w:t>The</w:t>
      </w:r>
      <w:r>
        <w:rPr>
          <w:spacing w:val="-3"/>
        </w:rPr>
        <w:t> </w:t>
      </w:r>
      <w:r>
        <w:rPr/>
        <w:t>Director</w:t>
      </w:r>
      <w:r>
        <w:rPr>
          <w:spacing w:val="-3"/>
        </w:rPr>
        <w:t> </w:t>
      </w:r>
      <w:r>
        <w:rPr/>
        <w:t>of</w:t>
      </w:r>
      <w:r>
        <w:rPr>
          <w:spacing w:val="-5"/>
        </w:rPr>
        <w:t> </w:t>
      </w:r>
      <w:r>
        <w:rPr/>
        <w:t>Rehabilitation</w:t>
      </w:r>
      <w:r>
        <w:rPr>
          <w:spacing w:val="-4"/>
        </w:rPr>
        <w:t> </w:t>
      </w:r>
      <w:r>
        <w:rPr>
          <w:spacing w:val="-2"/>
        </w:rPr>
        <w:t>Services</w:t>
      </w:r>
    </w:p>
    <w:p>
      <w:pPr>
        <w:pStyle w:val="ListParagraph"/>
        <w:numPr>
          <w:ilvl w:val="0"/>
          <w:numId w:val="6"/>
        </w:numPr>
        <w:tabs>
          <w:tab w:pos="786" w:val="left" w:leader="none"/>
        </w:tabs>
        <w:spacing w:line="208" w:lineRule="auto" w:before="233" w:after="0"/>
        <w:ind w:left="360" w:right="1101" w:firstLine="0"/>
        <w:jc w:val="left"/>
        <w:rPr>
          <w:sz w:val="24"/>
        </w:rPr>
      </w:pPr>
      <w:r>
        <w:rPr>
          <w:sz w:val="24"/>
        </w:rPr>
        <w:t>The</w:t>
      </w:r>
      <w:r>
        <w:rPr>
          <w:spacing w:val="-5"/>
          <w:sz w:val="24"/>
        </w:rPr>
        <w:t> </w:t>
      </w:r>
      <w:r>
        <w:rPr>
          <w:sz w:val="24"/>
        </w:rPr>
        <w:t>Director</w:t>
      </w:r>
      <w:r>
        <w:rPr>
          <w:spacing w:val="-4"/>
          <w:sz w:val="24"/>
        </w:rPr>
        <w:t> </w:t>
      </w:r>
      <w:r>
        <w:rPr>
          <w:sz w:val="24"/>
        </w:rPr>
        <w:t>of</w:t>
      </w:r>
      <w:r>
        <w:rPr>
          <w:spacing w:val="-4"/>
          <w:sz w:val="24"/>
        </w:rPr>
        <w:t> </w:t>
      </w:r>
      <w:r>
        <w:rPr>
          <w:sz w:val="24"/>
        </w:rPr>
        <w:t>Rehabilitation</w:t>
      </w:r>
      <w:r>
        <w:rPr>
          <w:spacing w:val="-4"/>
          <w:sz w:val="24"/>
        </w:rPr>
        <w:t> </w:t>
      </w:r>
      <w:r>
        <w:rPr>
          <w:sz w:val="24"/>
        </w:rPr>
        <w:t>Services,</w:t>
      </w:r>
      <w:r>
        <w:rPr>
          <w:spacing w:val="-4"/>
          <w:sz w:val="24"/>
        </w:rPr>
        <w:t> </w:t>
      </w:r>
      <w:r>
        <w:rPr>
          <w:sz w:val="24"/>
        </w:rPr>
        <w:t>as</w:t>
      </w:r>
      <w:r>
        <w:rPr>
          <w:spacing w:val="-5"/>
          <w:sz w:val="24"/>
        </w:rPr>
        <w:t> </w:t>
      </w:r>
      <w:r>
        <w:rPr>
          <w:sz w:val="24"/>
        </w:rPr>
        <w:t>the</w:t>
      </w:r>
      <w:r>
        <w:rPr>
          <w:spacing w:val="-5"/>
          <w:sz w:val="24"/>
        </w:rPr>
        <w:t> </w:t>
      </w:r>
      <w:r>
        <w:rPr>
          <w:sz w:val="24"/>
        </w:rPr>
        <w:t>chief</w:t>
      </w:r>
      <w:r>
        <w:rPr>
          <w:spacing w:val="-6"/>
          <w:sz w:val="24"/>
        </w:rPr>
        <w:t> </w:t>
      </w:r>
      <w:r>
        <w:rPr>
          <w:sz w:val="24"/>
        </w:rPr>
        <w:t>administrative</w:t>
      </w:r>
      <w:r>
        <w:rPr>
          <w:spacing w:val="-5"/>
          <w:sz w:val="24"/>
        </w:rPr>
        <w:t> </w:t>
      </w:r>
      <w:r>
        <w:rPr>
          <w:sz w:val="24"/>
        </w:rPr>
        <w:t>and</w:t>
      </w:r>
      <w:r>
        <w:rPr>
          <w:spacing w:val="-5"/>
          <w:sz w:val="24"/>
        </w:rPr>
        <w:t> </w:t>
      </w:r>
      <w:r>
        <w:rPr>
          <w:sz w:val="24"/>
        </w:rPr>
        <w:t>executive officer of the Department of Rehabilitation Services (DRS), is charged with the responsibility for day-to-day direction of the activities necessary for DRS to attain its mission as established by Title 74, Section 166.1 et seq. of</w:t>
      </w:r>
      <w:r>
        <w:rPr>
          <w:spacing w:val="-1"/>
          <w:sz w:val="24"/>
        </w:rPr>
        <w:t> </w:t>
      </w:r>
      <w:r>
        <w:rPr>
          <w:sz w:val="24"/>
        </w:rPr>
        <w:t>Oklahoma State Statute. The work of the Director is overseen by the Commission for Rehabilitation Services.</w:t>
      </w:r>
    </w:p>
    <w:p>
      <w:pPr>
        <w:pStyle w:val="ListParagraph"/>
        <w:numPr>
          <w:ilvl w:val="0"/>
          <w:numId w:val="6"/>
        </w:numPr>
        <w:tabs>
          <w:tab w:pos="786" w:val="left" w:leader="none"/>
        </w:tabs>
        <w:spacing w:line="208" w:lineRule="auto" w:before="239" w:after="0"/>
        <w:ind w:left="360" w:right="753" w:firstLine="0"/>
        <w:jc w:val="left"/>
        <w:rPr>
          <w:sz w:val="24"/>
        </w:rPr>
      </w:pPr>
      <w:r>
        <w:rPr>
          <w:sz w:val="24"/>
        </w:rPr>
        <w:t>The</w:t>
      </w:r>
      <w:r>
        <w:rPr>
          <w:spacing w:val="-1"/>
          <w:sz w:val="24"/>
        </w:rPr>
        <w:t> </w:t>
      </w:r>
      <w:r>
        <w:rPr>
          <w:sz w:val="24"/>
        </w:rPr>
        <w:t>Director directly</w:t>
      </w:r>
      <w:r>
        <w:rPr>
          <w:spacing w:val="-1"/>
          <w:sz w:val="24"/>
        </w:rPr>
        <w:t> </w:t>
      </w:r>
      <w:r>
        <w:rPr>
          <w:sz w:val="24"/>
        </w:rPr>
        <w:t>supervises</w:t>
      </w:r>
      <w:r>
        <w:rPr>
          <w:spacing w:val="-1"/>
          <w:sz w:val="24"/>
        </w:rPr>
        <w:t> </w:t>
      </w:r>
      <w:r>
        <w:rPr>
          <w:sz w:val="24"/>
        </w:rPr>
        <w:t>the</w:t>
      </w:r>
      <w:r>
        <w:rPr>
          <w:spacing w:val="-1"/>
          <w:sz w:val="24"/>
        </w:rPr>
        <w:t> </w:t>
      </w:r>
      <w:r>
        <w:rPr>
          <w:sz w:val="24"/>
        </w:rPr>
        <w:t>Chief of</w:t>
      </w:r>
      <w:r>
        <w:rPr>
          <w:spacing w:val="-2"/>
          <w:sz w:val="24"/>
        </w:rPr>
        <w:t> </w:t>
      </w:r>
      <w:r>
        <w:rPr>
          <w:sz w:val="24"/>
        </w:rPr>
        <w:t>Staff,</w:t>
      </w:r>
      <w:r>
        <w:rPr>
          <w:spacing w:val="-2"/>
          <w:sz w:val="24"/>
        </w:rPr>
        <w:t> </w:t>
      </w:r>
      <w:r>
        <w:rPr>
          <w:sz w:val="24"/>
        </w:rPr>
        <w:t>the</w:t>
      </w:r>
      <w:r>
        <w:rPr>
          <w:spacing w:val="-1"/>
          <w:sz w:val="24"/>
        </w:rPr>
        <w:t> </w:t>
      </w:r>
      <w:r>
        <w:rPr>
          <w:sz w:val="24"/>
        </w:rPr>
        <w:t>Chief Fiscal</w:t>
      </w:r>
      <w:r>
        <w:rPr>
          <w:spacing w:val="-1"/>
          <w:sz w:val="24"/>
        </w:rPr>
        <w:t> </w:t>
      </w:r>
      <w:r>
        <w:rPr>
          <w:sz w:val="24"/>
        </w:rPr>
        <w:t>Officer,</w:t>
      </w:r>
      <w:r>
        <w:rPr>
          <w:spacing w:val="-3"/>
          <w:sz w:val="24"/>
        </w:rPr>
        <w:t> </w:t>
      </w:r>
      <w:r>
        <w:rPr>
          <w:sz w:val="24"/>
        </w:rPr>
        <w:t>the</w:t>
      </w:r>
      <w:r>
        <w:rPr>
          <w:spacing w:val="-1"/>
          <w:sz w:val="24"/>
        </w:rPr>
        <w:t> </w:t>
      </w:r>
      <w:r>
        <w:rPr>
          <w:sz w:val="24"/>
        </w:rPr>
        <w:t>Chief Operations Officer, the Communications Director, the Legislative Liaison, Division Administrators for Vocational Rehabilitation, Services for the Blind and Visually Impaired,</w:t>
      </w:r>
      <w:r>
        <w:rPr>
          <w:spacing w:val="-7"/>
          <w:sz w:val="24"/>
        </w:rPr>
        <w:t> </w:t>
      </w:r>
      <w:r>
        <w:rPr>
          <w:sz w:val="24"/>
        </w:rPr>
        <w:t>Disability</w:t>
      </w:r>
      <w:r>
        <w:rPr>
          <w:spacing w:val="-6"/>
          <w:sz w:val="24"/>
        </w:rPr>
        <w:t> </w:t>
      </w:r>
      <w:r>
        <w:rPr>
          <w:sz w:val="24"/>
        </w:rPr>
        <w:t>Determination</w:t>
      </w:r>
      <w:r>
        <w:rPr>
          <w:spacing w:val="-6"/>
          <w:sz w:val="24"/>
        </w:rPr>
        <w:t> </w:t>
      </w:r>
      <w:r>
        <w:rPr>
          <w:sz w:val="24"/>
        </w:rPr>
        <w:t>Services,</w:t>
      </w:r>
      <w:r>
        <w:rPr>
          <w:spacing w:val="-5"/>
          <w:sz w:val="24"/>
        </w:rPr>
        <w:t> </w:t>
      </w:r>
      <w:r>
        <w:rPr>
          <w:sz w:val="24"/>
        </w:rPr>
        <w:t>Process</w:t>
      </w:r>
      <w:r>
        <w:rPr>
          <w:spacing w:val="-6"/>
          <w:sz w:val="24"/>
        </w:rPr>
        <w:t> </w:t>
      </w:r>
      <w:r>
        <w:rPr>
          <w:sz w:val="24"/>
        </w:rPr>
        <w:t>Improvement,</w:t>
      </w:r>
      <w:r>
        <w:rPr>
          <w:spacing w:val="-7"/>
          <w:sz w:val="24"/>
        </w:rPr>
        <w:t> </w:t>
      </w:r>
      <w:r>
        <w:rPr>
          <w:sz w:val="24"/>
        </w:rPr>
        <w:t>the</w:t>
      </w:r>
      <w:r>
        <w:rPr>
          <w:spacing w:val="-6"/>
          <w:sz w:val="24"/>
        </w:rPr>
        <w:t> </w:t>
      </w:r>
      <w:r>
        <w:rPr>
          <w:sz w:val="24"/>
        </w:rPr>
        <w:t>Superintendents of the School for the Blind and School for the Deaf, and the Project Coordinators.</w:t>
      </w:r>
    </w:p>
    <w:p>
      <w:pPr>
        <w:pStyle w:val="ListParagraph"/>
        <w:numPr>
          <w:ilvl w:val="0"/>
          <w:numId w:val="6"/>
        </w:numPr>
        <w:tabs>
          <w:tab w:pos="773" w:val="left" w:leader="none"/>
        </w:tabs>
        <w:spacing w:line="240" w:lineRule="auto" w:before="211" w:after="0"/>
        <w:ind w:left="773" w:right="0" w:hanging="413"/>
        <w:jc w:val="left"/>
        <w:rPr>
          <w:sz w:val="24"/>
        </w:rPr>
      </w:pPr>
      <w:r>
        <w:rPr>
          <w:sz w:val="24"/>
        </w:rPr>
        <w:t>The</w:t>
      </w:r>
      <w:r>
        <w:rPr>
          <w:spacing w:val="-4"/>
          <w:sz w:val="24"/>
        </w:rPr>
        <w:t> </w:t>
      </w:r>
      <w:r>
        <w:rPr>
          <w:sz w:val="24"/>
        </w:rPr>
        <w:t>Director's</w:t>
      </w:r>
      <w:r>
        <w:rPr>
          <w:spacing w:val="-4"/>
          <w:sz w:val="24"/>
        </w:rPr>
        <w:t> </w:t>
      </w:r>
      <w:r>
        <w:rPr>
          <w:sz w:val="24"/>
        </w:rPr>
        <w:t>duties</w:t>
      </w:r>
      <w:r>
        <w:rPr>
          <w:spacing w:val="-3"/>
          <w:sz w:val="24"/>
        </w:rPr>
        <w:t> </w:t>
      </w:r>
      <w:r>
        <w:rPr>
          <w:spacing w:val="-2"/>
          <w:sz w:val="24"/>
        </w:rPr>
        <w:t>include:</w:t>
      </w:r>
    </w:p>
    <w:p>
      <w:pPr>
        <w:pStyle w:val="ListParagraph"/>
        <w:numPr>
          <w:ilvl w:val="1"/>
          <w:numId w:val="6"/>
        </w:numPr>
        <w:tabs>
          <w:tab w:pos="1218" w:val="left" w:leader="none"/>
        </w:tabs>
        <w:spacing w:line="208" w:lineRule="auto" w:before="233" w:after="0"/>
        <w:ind w:left="792" w:right="802" w:firstLine="0"/>
        <w:jc w:val="left"/>
        <w:rPr>
          <w:sz w:val="24"/>
        </w:rPr>
      </w:pPr>
      <w:r>
        <w:rPr>
          <w:sz w:val="24"/>
        </w:rPr>
        <w:t>assuring</w:t>
      </w:r>
      <w:r>
        <w:rPr>
          <w:spacing w:val="-3"/>
          <w:sz w:val="24"/>
        </w:rPr>
        <w:t> </w:t>
      </w:r>
      <w:r>
        <w:rPr>
          <w:sz w:val="24"/>
        </w:rPr>
        <w:t>that</w:t>
      </w:r>
      <w:r>
        <w:rPr>
          <w:spacing w:val="-2"/>
          <w:sz w:val="24"/>
        </w:rPr>
        <w:t> </w:t>
      </w:r>
      <w:r>
        <w:rPr>
          <w:sz w:val="24"/>
        </w:rPr>
        <w:t>all</w:t>
      </w:r>
      <w:r>
        <w:rPr>
          <w:spacing w:val="-3"/>
          <w:sz w:val="24"/>
        </w:rPr>
        <w:t> </w:t>
      </w:r>
      <w:r>
        <w:rPr>
          <w:sz w:val="24"/>
        </w:rPr>
        <w:t>of</w:t>
      </w:r>
      <w:r>
        <w:rPr>
          <w:spacing w:val="-4"/>
          <w:sz w:val="24"/>
        </w:rPr>
        <w:t> </w:t>
      </w:r>
      <w:r>
        <w:rPr>
          <w:sz w:val="24"/>
        </w:rPr>
        <w:t>DRS</w:t>
      </w:r>
      <w:r>
        <w:rPr>
          <w:spacing w:val="-3"/>
          <w:sz w:val="24"/>
        </w:rPr>
        <w:t> </w:t>
      </w:r>
      <w:r>
        <w:rPr>
          <w:sz w:val="24"/>
        </w:rPr>
        <w:t>is</w:t>
      </w:r>
      <w:r>
        <w:rPr>
          <w:spacing w:val="-3"/>
          <w:sz w:val="24"/>
        </w:rPr>
        <w:t> </w:t>
      </w:r>
      <w:r>
        <w:rPr>
          <w:sz w:val="24"/>
        </w:rPr>
        <w:t>working</w:t>
      </w:r>
      <w:r>
        <w:rPr>
          <w:spacing w:val="-3"/>
          <w:sz w:val="24"/>
        </w:rPr>
        <w:t> </w:t>
      </w:r>
      <w:r>
        <w:rPr>
          <w:sz w:val="24"/>
        </w:rPr>
        <w:t>toward</w:t>
      </w:r>
      <w:r>
        <w:rPr>
          <w:spacing w:val="-3"/>
          <w:sz w:val="24"/>
        </w:rPr>
        <w:t> </w:t>
      </w:r>
      <w:r>
        <w:rPr>
          <w:sz w:val="24"/>
        </w:rPr>
        <w:t>its</w:t>
      </w:r>
      <w:r>
        <w:rPr>
          <w:spacing w:val="-3"/>
          <w:sz w:val="24"/>
        </w:rPr>
        <w:t> </w:t>
      </w:r>
      <w:r>
        <w:rPr>
          <w:sz w:val="24"/>
        </w:rPr>
        <w:t>mission</w:t>
      </w:r>
      <w:r>
        <w:rPr>
          <w:spacing w:val="-3"/>
          <w:sz w:val="24"/>
        </w:rPr>
        <w:t> </w:t>
      </w:r>
      <w:r>
        <w:rPr>
          <w:sz w:val="24"/>
        </w:rPr>
        <w:t>and</w:t>
      </w:r>
      <w:r>
        <w:rPr>
          <w:spacing w:val="-3"/>
          <w:sz w:val="24"/>
        </w:rPr>
        <w:t> </w:t>
      </w:r>
      <w:r>
        <w:rPr>
          <w:sz w:val="24"/>
        </w:rPr>
        <w:t>the</w:t>
      </w:r>
      <w:r>
        <w:rPr>
          <w:spacing w:val="-3"/>
          <w:sz w:val="24"/>
        </w:rPr>
        <w:t> </w:t>
      </w:r>
      <w:r>
        <w:rPr>
          <w:sz w:val="24"/>
        </w:rPr>
        <w:t>goals</w:t>
      </w:r>
      <w:r>
        <w:rPr>
          <w:spacing w:val="-3"/>
          <w:sz w:val="24"/>
        </w:rPr>
        <w:t> </w:t>
      </w:r>
      <w:r>
        <w:rPr>
          <w:sz w:val="24"/>
        </w:rPr>
        <w:t>established by the Commission through aggressive implementation of the planning and budgeting system;</w:t>
      </w:r>
    </w:p>
    <w:p>
      <w:pPr>
        <w:pStyle w:val="ListParagraph"/>
        <w:numPr>
          <w:ilvl w:val="1"/>
          <w:numId w:val="6"/>
        </w:numPr>
        <w:tabs>
          <w:tab w:pos="1218" w:val="left" w:leader="none"/>
        </w:tabs>
        <w:spacing w:line="208" w:lineRule="auto" w:before="240" w:after="0"/>
        <w:ind w:left="792" w:right="1295" w:firstLine="0"/>
        <w:jc w:val="left"/>
        <w:rPr>
          <w:sz w:val="24"/>
        </w:rPr>
      </w:pPr>
      <w:r>
        <w:rPr>
          <w:sz w:val="24"/>
        </w:rPr>
        <w:t>serving as staff to the Commission for Rehabilitation Services, providing necessary</w:t>
      </w:r>
      <w:r>
        <w:rPr>
          <w:spacing w:val="-5"/>
          <w:sz w:val="24"/>
        </w:rPr>
        <w:t> </w:t>
      </w:r>
      <w:r>
        <w:rPr>
          <w:sz w:val="24"/>
        </w:rPr>
        <w:t>input</w:t>
      </w:r>
      <w:r>
        <w:rPr>
          <w:spacing w:val="-4"/>
          <w:sz w:val="24"/>
        </w:rPr>
        <w:t> </w:t>
      </w:r>
      <w:r>
        <w:rPr>
          <w:sz w:val="24"/>
        </w:rPr>
        <w:t>for</w:t>
      </w:r>
      <w:r>
        <w:rPr>
          <w:spacing w:val="-4"/>
          <w:sz w:val="24"/>
        </w:rPr>
        <w:t> </w:t>
      </w:r>
      <w:r>
        <w:rPr>
          <w:sz w:val="24"/>
        </w:rPr>
        <w:t>decision-making</w:t>
      </w:r>
      <w:r>
        <w:rPr>
          <w:spacing w:val="-5"/>
          <w:sz w:val="24"/>
        </w:rPr>
        <w:t> </w:t>
      </w:r>
      <w:r>
        <w:rPr>
          <w:sz w:val="24"/>
        </w:rPr>
        <w:t>and</w:t>
      </w:r>
      <w:r>
        <w:rPr>
          <w:spacing w:val="-5"/>
          <w:sz w:val="24"/>
        </w:rPr>
        <w:t> </w:t>
      </w:r>
      <w:r>
        <w:rPr>
          <w:sz w:val="24"/>
        </w:rPr>
        <w:t>assuring</w:t>
      </w:r>
      <w:r>
        <w:rPr>
          <w:spacing w:val="-5"/>
          <w:sz w:val="24"/>
        </w:rPr>
        <w:t> </w:t>
      </w:r>
      <w:r>
        <w:rPr>
          <w:sz w:val="24"/>
        </w:rPr>
        <w:t>that</w:t>
      </w:r>
      <w:r>
        <w:rPr>
          <w:spacing w:val="-4"/>
          <w:sz w:val="24"/>
        </w:rPr>
        <w:t> </w:t>
      </w:r>
      <w:r>
        <w:rPr>
          <w:sz w:val="24"/>
        </w:rPr>
        <w:t>actions</w:t>
      </w:r>
      <w:r>
        <w:rPr>
          <w:spacing w:val="-5"/>
          <w:sz w:val="24"/>
        </w:rPr>
        <w:t> </w:t>
      </w:r>
      <w:r>
        <w:rPr>
          <w:sz w:val="24"/>
        </w:rPr>
        <w:t>approved</w:t>
      </w:r>
      <w:r>
        <w:rPr>
          <w:spacing w:val="-5"/>
          <w:sz w:val="24"/>
        </w:rPr>
        <w:t> </w:t>
      </w:r>
      <w:r>
        <w:rPr>
          <w:sz w:val="24"/>
        </w:rPr>
        <w:t>by</w:t>
      </w:r>
      <w:r>
        <w:rPr>
          <w:spacing w:val="-5"/>
          <w:sz w:val="24"/>
        </w:rPr>
        <w:t> </w:t>
      </w:r>
      <w:r>
        <w:rPr>
          <w:sz w:val="24"/>
        </w:rPr>
        <w:t>the Commission are carried out;</w:t>
      </w:r>
    </w:p>
    <w:p>
      <w:pPr>
        <w:pStyle w:val="ListParagraph"/>
        <w:numPr>
          <w:ilvl w:val="1"/>
          <w:numId w:val="6"/>
        </w:numPr>
        <w:tabs>
          <w:tab w:pos="1218" w:val="left" w:leader="none"/>
        </w:tabs>
        <w:spacing w:line="208" w:lineRule="auto" w:before="239" w:after="0"/>
        <w:ind w:left="792" w:right="1909" w:firstLine="0"/>
        <w:jc w:val="left"/>
        <w:rPr>
          <w:sz w:val="24"/>
        </w:rPr>
      </w:pPr>
      <w:r>
        <w:rPr>
          <w:sz w:val="24"/>
        </w:rPr>
        <w:t>serving</w:t>
      </w:r>
      <w:r>
        <w:rPr>
          <w:spacing w:val="-4"/>
          <w:sz w:val="24"/>
        </w:rPr>
        <w:t> </w:t>
      </w:r>
      <w:r>
        <w:rPr>
          <w:sz w:val="24"/>
        </w:rPr>
        <w:t>as</w:t>
      </w:r>
      <w:r>
        <w:rPr>
          <w:spacing w:val="-4"/>
          <w:sz w:val="24"/>
        </w:rPr>
        <w:t> </w:t>
      </w:r>
      <w:r>
        <w:rPr>
          <w:sz w:val="24"/>
        </w:rPr>
        <w:t>ex</w:t>
      </w:r>
      <w:r>
        <w:rPr>
          <w:spacing w:val="-4"/>
          <w:sz w:val="24"/>
        </w:rPr>
        <w:t> </w:t>
      </w:r>
      <w:r>
        <w:rPr>
          <w:sz w:val="24"/>
        </w:rPr>
        <w:t>officio</w:t>
      </w:r>
      <w:r>
        <w:rPr>
          <w:spacing w:val="-4"/>
          <w:sz w:val="24"/>
        </w:rPr>
        <w:t> </w:t>
      </w:r>
      <w:r>
        <w:rPr>
          <w:sz w:val="24"/>
        </w:rPr>
        <w:t>member</w:t>
      </w:r>
      <w:r>
        <w:rPr>
          <w:spacing w:val="-5"/>
          <w:sz w:val="24"/>
        </w:rPr>
        <w:t> </w:t>
      </w:r>
      <w:r>
        <w:rPr>
          <w:sz w:val="24"/>
        </w:rPr>
        <w:t>to</w:t>
      </w:r>
      <w:r>
        <w:rPr>
          <w:spacing w:val="-4"/>
          <w:sz w:val="24"/>
        </w:rPr>
        <w:t> </w:t>
      </w:r>
      <w:r>
        <w:rPr>
          <w:sz w:val="24"/>
        </w:rPr>
        <w:t>the</w:t>
      </w:r>
      <w:r>
        <w:rPr>
          <w:spacing w:val="-4"/>
          <w:sz w:val="24"/>
        </w:rPr>
        <w:t> </w:t>
      </w:r>
      <w:r>
        <w:rPr>
          <w:sz w:val="24"/>
        </w:rPr>
        <w:t>Rehabilitation</w:t>
      </w:r>
      <w:r>
        <w:rPr>
          <w:spacing w:val="-4"/>
          <w:sz w:val="24"/>
        </w:rPr>
        <w:t> </w:t>
      </w:r>
      <w:r>
        <w:rPr>
          <w:sz w:val="24"/>
        </w:rPr>
        <w:t>Council,</w:t>
      </w:r>
      <w:r>
        <w:rPr>
          <w:spacing w:val="-3"/>
          <w:sz w:val="24"/>
        </w:rPr>
        <w:t> </w:t>
      </w:r>
      <w:r>
        <w:rPr>
          <w:sz w:val="24"/>
        </w:rPr>
        <w:t>and</w:t>
      </w:r>
      <w:r>
        <w:rPr>
          <w:spacing w:val="-4"/>
          <w:sz w:val="24"/>
        </w:rPr>
        <w:t> </w:t>
      </w:r>
      <w:r>
        <w:rPr>
          <w:sz w:val="24"/>
        </w:rPr>
        <w:t>to</w:t>
      </w:r>
      <w:r>
        <w:rPr>
          <w:spacing w:val="-4"/>
          <w:sz w:val="24"/>
        </w:rPr>
        <w:t> </w:t>
      </w:r>
      <w:r>
        <w:rPr>
          <w:sz w:val="24"/>
        </w:rPr>
        <w:t>the Independent Living Council;</w:t>
      </w:r>
    </w:p>
    <w:p>
      <w:pPr>
        <w:pStyle w:val="ListParagraph"/>
        <w:numPr>
          <w:ilvl w:val="1"/>
          <w:numId w:val="6"/>
        </w:numPr>
        <w:tabs>
          <w:tab w:pos="1218" w:val="left" w:leader="none"/>
        </w:tabs>
        <w:spacing w:line="208" w:lineRule="auto" w:before="240" w:after="0"/>
        <w:ind w:left="792" w:right="785" w:firstLine="0"/>
        <w:jc w:val="left"/>
        <w:rPr>
          <w:sz w:val="24"/>
        </w:rPr>
      </w:pPr>
      <w:r>
        <w:rPr>
          <w:sz w:val="24"/>
        </w:rPr>
        <w:t>developing</w:t>
      </w:r>
      <w:r>
        <w:rPr>
          <w:spacing w:val="-5"/>
          <w:sz w:val="24"/>
        </w:rPr>
        <w:t> </w:t>
      </w:r>
      <w:r>
        <w:rPr>
          <w:sz w:val="24"/>
        </w:rPr>
        <w:t>and</w:t>
      </w:r>
      <w:r>
        <w:rPr>
          <w:spacing w:val="-5"/>
          <w:sz w:val="24"/>
        </w:rPr>
        <w:t> </w:t>
      </w:r>
      <w:r>
        <w:rPr>
          <w:sz w:val="24"/>
        </w:rPr>
        <w:t>maintaining</w:t>
      </w:r>
      <w:r>
        <w:rPr>
          <w:spacing w:val="-5"/>
          <w:sz w:val="24"/>
        </w:rPr>
        <w:t> </w:t>
      </w:r>
      <w:r>
        <w:rPr>
          <w:sz w:val="24"/>
        </w:rPr>
        <w:t>cooperative</w:t>
      </w:r>
      <w:r>
        <w:rPr>
          <w:spacing w:val="-4"/>
          <w:sz w:val="24"/>
        </w:rPr>
        <w:t> </w:t>
      </w:r>
      <w:r>
        <w:rPr>
          <w:sz w:val="24"/>
        </w:rPr>
        <w:t>relationships</w:t>
      </w:r>
      <w:r>
        <w:rPr>
          <w:spacing w:val="-5"/>
          <w:sz w:val="24"/>
        </w:rPr>
        <w:t> </w:t>
      </w:r>
      <w:r>
        <w:rPr>
          <w:sz w:val="24"/>
        </w:rPr>
        <w:t>with</w:t>
      </w:r>
      <w:r>
        <w:rPr>
          <w:spacing w:val="-5"/>
          <w:sz w:val="24"/>
        </w:rPr>
        <w:t> </w:t>
      </w:r>
      <w:r>
        <w:rPr>
          <w:sz w:val="24"/>
        </w:rPr>
        <w:t>lawmakers</w:t>
      </w:r>
      <w:r>
        <w:rPr>
          <w:spacing w:val="-5"/>
          <w:sz w:val="24"/>
        </w:rPr>
        <w:t> </w:t>
      </w:r>
      <w:r>
        <w:rPr>
          <w:sz w:val="24"/>
        </w:rPr>
        <w:t>and</w:t>
      </w:r>
      <w:r>
        <w:rPr>
          <w:spacing w:val="-5"/>
          <w:sz w:val="24"/>
        </w:rPr>
        <w:t> </w:t>
      </w:r>
      <w:r>
        <w:rPr>
          <w:sz w:val="24"/>
        </w:rPr>
        <w:t>other officials, both federal and state, to assure the fulfillment of DRS's mission;</w:t>
      </w:r>
    </w:p>
    <w:p>
      <w:pPr>
        <w:pStyle w:val="ListParagraph"/>
        <w:numPr>
          <w:ilvl w:val="1"/>
          <w:numId w:val="6"/>
        </w:numPr>
        <w:tabs>
          <w:tab w:pos="1217" w:val="left" w:leader="none"/>
        </w:tabs>
        <w:spacing w:line="208" w:lineRule="auto" w:before="240" w:after="0"/>
        <w:ind w:left="792" w:right="736" w:firstLine="0"/>
        <w:jc w:val="left"/>
        <w:rPr>
          <w:sz w:val="24"/>
        </w:rPr>
      </w:pPr>
      <w:r>
        <w:rPr>
          <w:sz w:val="24"/>
        </w:rPr>
        <w:t>maximizing</w:t>
      </w:r>
      <w:r>
        <w:rPr>
          <w:spacing w:val="-3"/>
          <w:sz w:val="24"/>
        </w:rPr>
        <w:t> </w:t>
      </w:r>
      <w:r>
        <w:rPr>
          <w:sz w:val="24"/>
        </w:rPr>
        <w:t>all</w:t>
      </w:r>
      <w:r>
        <w:rPr>
          <w:spacing w:val="-3"/>
          <w:sz w:val="24"/>
        </w:rPr>
        <w:t> </w:t>
      </w:r>
      <w:r>
        <w:rPr>
          <w:sz w:val="24"/>
        </w:rPr>
        <w:t>available</w:t>
      </w:r>
      <w:r>
        <w:rPr>
          <w:spacing w:val="-3"/>
          <w:sz w:val="24"/>
        </w:rPr>
        <w:t> </w:t>
      </w:r>
      <w:r>
        <w:rPr>
          <w:sz w:val="24"/>
        </w:rPr>
        <w:t>resources</w:t>
      </w:r>
      <w:r>
        <w:rPr>
          <w:spacing w:val="-3"/>
          <w:sz w:val="24"/>
        </w:rPr>
        <w:t> </w:t>
      </w:r>
      <w:r>
        <w:rPr>
          <w:sz w:val="24"/>
        </w:rPr>
        <w:t>for</w:t>
      </w:r>
      <w:r>
        <w:rPr>
          <w:spacing w:val="-4"/>
          <w:sz w:val="24"/>
        </w:rPr>
        <w:t> </w:t>
      </w:r>
      <w:r>
        <w:rPr>
          <w:sz w:val="24"/>
        </w:rPr>
        <w:t>the</w:t>
      </w:r>
      <w:r>
        <w:rPr>
          <w:spacing w:val="-4"/>
          <w:sz w:val="24"/>
        </w:rPr>
        <w:t> </w:t>
      </w:r>
      <w:r>
        <w:rPr>
          <w:sz w:val="24"/>
        </w:rPr>
        <w:t>delivery</w:t>
      </w:r>
      <w:r>
        <w:rPr>
          <w:spacing w:val="-3"/>
          <w:sz w:val="24"/>
        </w:rPr>
        <w:t> </w:t>
      </w:r>
      <w:r>
        <w:rPr>
          <w:sz w:val="24"/>
        </w:rPr>
        <w:t>of</w:t>
      </w:r>
      <w:r>
        <w:rPr>
          <w:spacing w:val="-2"/>
          <w:sz w:val="24"/>
        </w:rPr>
        <w:t> </w:t>
      </w:r>
      <w:r>
        <w:rPr>
          <w:sz w:val="24"/>
        </w:rPr>
        <w:t>services</w:t>
      </w:r>
      <w:r>
        <w:rPr>
          <w:spacing w:val="-3"/>
          <w:sz w:val="24"/>
        </w:rPr>
        <w:t> </w:t>
      </w:r>
      <w:r>
        <w:rPr>
          <w:sz w:val="24"/>
        </w:rPr>
        <w:t>to</w:t>
      </w:r>
      <w:r>
        <w:rPr>
          <w:spacing w:val="-4"/>
          <w:sz w:val="24"/>
        </w:rPr>
        <w:t> </w:t>
      </w:r>
      <w:r>
        <w:rPr>
          <w:sz w:val="24"/>
        </w:rPr>
        <w:t>the</w:t>
      </w:r>
      <w:r>
        <w:rPr>
          <w:spacing w:val="-3"/>
          <w:sz w:val="24"/>
        </w:rPr>
        <w:t> </w:t>
      </w:r>
      <w:r>
        <w:rPr>
          <w:sz w:val="24"/>
        </w:rPr>
        <w:t>clients</w:t>
      </w:r>
      <w:r>
        <w:rPr>
          <w:spacing w:val="-3"/>
          <w:sz w:val="24"/>
        </w:rPr>
        <w:t> </w:t>
      </w:r>
      <w:r>
        <w:rPr>
          <w:sz w:val="24"/>
        </w:rPr>
        <w:t>DRS is charged to serve;</w:t>
      </w:r>
    </w:p>
    <w:p>
      <w:pPr>
        <w:pStyle w:val="ListParagraph"/>
        <w:numPr>
          <w:ilvl w:val="1"/>
          <w:numId w:val="6"/>
        </w:numPr>
        <w:tabs>
          <w:tab w:pos="1218" w:val="left" w:leader="none"/>
        </w:tabs>
        <w:spacing w:line="208" w:lineRule="auto" w:before="240" w:after="0"/>
        <w:ind w:left="792" w:right="829" w:firstLine="0"/>
        <w:jc w:val="left"/>
        <w:rPr>
          <w:sz w:val="24"/>
        </w:rPr>
      </w:pPr>
      <w:r>
        <w:rPr>
          <w:sz w:val="24"/>
        </w:rPr>
        <w:t>serving</w:t>
      </w:r>
      <w:r>
        <w:rPr>
          <w:spacing w:val="-3"/>
          <w:sz w:val="24"/>
        </w:rPr>
        <w:t> </w:t>
      </w:r>
      <w:r>
        <w:rPr>
          <w:sz w:val="24"/>
        </w:rPr>
        <w:t>as</w:t>
      </w:r>
      <w:r>
        <w:rPr>
          <w:spacing w:val="-3"/>
          <w:sz w:val="24"/>
        </w:rPr>
        <w:t> </w:t>
      </w:r>
      <w:r>
        <w:rPr>
          <w:sz w:val="24"/>
        </w:rPr>
        <w:t>the</w:t>
      </w:r>
      <w:r>
        <w:rPr>
          <w:spacing w:val="-3"/>
          <w:sz w:val="24"/>
        </w:rPr>
        <w:t> </w:t>
      </w:r>
      <w:r>
        <w:rPr>
          <w:sz w:val="24"/>
        </w:rPr>
        <w:t>chief</w:t>
      </w:r>
      <w:r>
        <w:rPr>
          <w:spacing w:val="-2"/>
          <w:sz w:val="24"/>
        </w:rPr>
        <w:t> </w:t>
      </w:r>
      <w:r>
        <w:rPr>
          <w:sz w:val="24"/>
        </w:rPr>
        <w:t>spokesperson</w:t>
      </w:r>
      <w:r>
        <w:rPr>
          <w:spacing w:val="-3"/>
          <w:sz w:val="24"/>
        </w:rPr>
        <w:t> </w:t>
      </w:r>
      <w:r>
        <w:rPr>
          <w:sz w:val="24"/>
        </w:rPr>
        <w:t>for</w:t>
      </w:r>
      <w:r>
        <w:rPr>
          <w:spacing w:val="-2"/>
          <w:sz w:val="24"/>
        </w:rPr>
        <w:t> </w:t>
      </w:r>
      <w:r>
        <w:rPr>
          <w:sz w:val="24"/>
        </w:rPr>
        <w:t>DRS</w:t>
      </w:r>
      <w:r>
        <w:rPr>
          <w:spacing w:val="-3"/>
          <w:sz w:val="24"/>
        </w:rPr>
        <w:t> </w:t>
      </w:r>
      <w:r>
        <w:rPr>
          <w:sz w:val="24"/>
        </w:rPr>
        <w:t>and</w:t>
      </w:r>
      <w:r>
        <w:rPr>
          <w:spacing w:val="-3"/>
          <w:sz w:val="24"/>
        </w:rPr>
        <w:t> </w:t>
      </w:r>
      <w:r>
        <w:rPr>
          <w:sz w:val="24"/>
        </w:rPr>
        <w:t>as</w:t>
      </w:r>
      <w:r>
        <w:rPr>
          <w:spacing w:val="-3"/>
          <w:sz w:val="24"/>
        </w:rPr>
        <w:t> </w:t>
      </w:r>
      <w:r>
        <w:rPr>
          <w:sz w:val="24"/>
        </w:rPr>
        <w:t>an</w:t>
      </w:r>
      <w:r>
        <w:rPr>
          <w:spacing w:val="-3"/>
          <w:sz w:val="24"/>
        </w:rPr>
        <w:t> </w:t>
      </w:r>
      <w:r>
        <w:rPr>
          <w:sz w:val="24"/>
        </w:rPr>
        <w:t>advocate</w:t>
      </w:r>
      <w:r>
        <w:rPr>
          <w:spacing w:val="-3"/>
          <w:sz w:val="24"/>
        </w:rPr>
        <w:t> </w:t>
      </w:r>
      <w:r>
        <w:rPr>
          <w:sz w:val="24"/>
        </w:rPr>
        <w:t>for</w:t>
      </w:r>
      <w:r>
        <w:rPr>
          <w:spacing w:val="-4"/>
          <w:sz w:val="24"/>
        </w:rPr>
        <w:t> </w:t>
      </w:r>
      <w:r>
        <w:rPr>
          <w:sz w:val="24"/>
        </w:rPr>
        <w:t>the</w:t>
      </w:r>
      <w:r>
        <w:rPr>
          <w:spacing w:val="-3"/>
          <w:sz w:val="24"/>
        </w:rPr>
        <w:t> </w:t>
      </w:r>
      <w:r>
        <w:rPr>
          <w:sz w:val="24"/>
        </w:rPr>
        <w:t>clients</w:t>
      </w:r>
      <w:r>
        <w:rPr>
          <w:spacing w:val="-3"/>
          <w:sz w:val="24"/>
        </w:rPr>
        <w:t> </w:t>
      </w:r>
      <w:r>
        <w:rPr>
          <w:sz w:val="24"/>
        </w:rPr>
        <w:t>it </w:t>
      </w:r>
      <w:r>
        <w:rPr>
          <w:spacing w:val="-2"/>
          <w:sz w:val="24"/>
        </w:rPr>
        <w:t>serves;</w:t>
      </w:r>
    </w:p>
    <w:p>
      <w:pPr>
        <w:pStyle w:val="ListParagraph"/>
        <w:numPr>
          <w:ilvl w:val="1"/>
          <w:numId w:val="6"/>
        </w:numPr>
        <w:tabs>
          <w:tab w:pos="1218" w:val="left" w:leader="none"/>
        </w:tabs>
        <w:spacing w:line="240" w:lineRule="auto" w:before="210" w:after="0"/>
        <w:ind w:left="1218" w:right="0" w:hanging="426"/>
        <w:jc w:val="left"/>
        <w:rPr>
          <w:sz w:val="24"/>
        </w:rPr>
      </w:pPr>
      <w:r>
        <w:rPr>
          <w:sz w:val="24"/>
        </w:rPr>
        <w:t>assuring</w:t>
      </w:r>
      <w:r>
        <w:rPr>
          <w:spacing w:val="-6"/>
          <w:sz w:val="24"/>
        </w:rPr>
        <w:t> </w:t>
      </w:r>
      <w:r>
        <w:rPr>
          <w:sz w:val="24"/>
        </w:rPr>
        <w:t>the</w:t>
      </w:r>
      <w:r>
        <w:rPr>
          <w:spacing w:val="-3"/>
          <w:sz w:val="24"/>
        </w:rPr>
        <w:t> </w:t>
      </w:r>
      <w:r>
        <w:rPr>
          <w:sz w:val="24"/>
        </w:rPr>
        <w:t>coordination</w:t>
      </w:r>
      <w:r>
        <w:rPr>
          <w:spacing w:val="-4"/>
          <w:sz w:val="24"/>
        </w:rPr>
        <w:t> </w:t>
      </w:r>
      <w:r>
        <w:rPr>
          <w:sz w:val="24"/>
        </w:rPr>
        <w:t>of</w:t>
      </w:r>
      <w:r>
        <w:rPr>
          <w:spacing w:val="-2"/>
          <w:sz w:val="24"/>
        </w:rPr>
        <w:t> </w:t>
      </w:r>
      <w:r>
        <w:rPr>
          <w:sz w:val="24"/>
        </w:rPr>
        <w:t>services</w:t>
      </w:r>
      <w:r>
        <w:rPr>
          <w:spacing w:val="-4"/>
          <w:sz w:val="24"/>
        </w:rPr>
        <w:t> </w:t>
      </w:r>
      <w:r>
        <w:rPr>
          <w:sz w:val="24"/>
        </w:rPr>
        <w:t>with</w:t>
      </w:r>
      <w:r>
        <w:rPr>
          <w:spacing w:val="-3"/>
          <w:sz w:val="24"/>
        </w:rPr>
        <w:t> </w:t>
      </w:r>
      <w:r>
        <w:rPr>
          <w:sz w:val="24"/>
        </w:rPr>
        <w:t>other</w:t>
      </w:r>
      <w:r>
        <w:rPr>
          <w:spacing w:val="-3"/>
          <w:sz w:val="24"/>
        </w:rPr>
        <w:t> </w:t>
      </w:r>
      <w:r>
        <w:rPr>
          <w:sz w:val="24"/>
        </w:rPr>
        <w:t>state</w:t>
      </w:r>
      <w:r>
        <w:rPr>
          <w:spacing w:val="-3"/>
          <w:sz w:val="24"/>
        </w:rPr>
        <w:t> </w:t>
      </w:r>
      <w:r>
        <w:rPr>
          <w:sz w:val="24"/>
        </w:rPr>
        <w:t>agencies;</w:t>
      </w:r>
      <w:r>
        <w:rPr>
          <w:spacing w:val="-1"/>
          <w:sz w:val="24"/>
        </w:rPr>
        <w:t> </w:t>
      </w:r>
      <w:r>
        <w:rPr>
          <w:spacing w:val="-4"/>
          <w:sz w:val="24"/>
        </w:rPr>
        <w:t>and,</w:t>
      </w:r>
    </w:p>
    <w:p>
      <w:pPr>
        <w:pStyle w:val="ListParagraph"/>
        <w:numPr>
          <w:ilvl w:val="1"/>
          <w:numId w:val="6"/>
        </w:numPr>
        <w:tabs>
          <w:tab w:pos="1218" w:val="left" w:leader="none"/>
        </w:tabs>
        <w:spacing w:line="208" w:lineRule="auto" w:before="234" w:after="0"/>
        <w:ind w:left="792" w:right="1092" w:firstLine="0"/>
        <w:jc w:val="left"/>
        <w:rPr>
          <w:sz w:val="24"/>
        </w:rPr>
      </w:pPr>
      <w:r>
        <w:rPr>
          <w:sz w:val="24"/>
        </w:rPr>
        <w:t>selecting staff capable of carrying out the DRS mission for the areas immediately under the Director's supervision, establishing job descriptions and specifications</w:t>
      </w:r>
      <w:r>
        <w:rPr>
          <w:spacing w:val="-4"/>
          <w:sz w:val="24"/>
        </w:rPr>
        <w:t> </w:t>
      </w:r>
      <w:r>
        <w:rPr>
          <w:sz w:val="24"/>
        </w:rPr>
        <w:t>for</w:t>
      </w:r>
      <w:r>
        <w:rPr>
          <w:spacing w:val="-3"/>
          <w:sz w:val="24"/>
        </w:rPr>
        <w:t> </w:t>
      </w:r>
      <w:r>
        <w:rPr>
          <w:sz w:val="24"/>
        </w:rPr>
        <w:t>each</w:t>
      </w:r>
      <w:r>
        <w:rPr>
          <w:spacing w:val="-5"/>
          <w:sz w:val="24"/>
        </w:rPr>
        <w:t> </w:t>
      </w:r>
      <w:r>
        <w:rPr>
          <w:sz w:val="24"/>
        </w:rPr>
        <w:t>of</w:t>
      </w:r>
      <w:r>
        <w:rPr>
          <w:spacing w:val="-5"/>
          <w:sz w:val="24"/>
        </w:rPr>
        <w:t> </w:t>
      </w:r>
      <w:r>
        <w:rPr>
          <w:sz w:val="24"/>
        </w:rPr>
        <w:t>those</w:t>
      </w:r>
      <w:r>
        <w:rPr>
          <w:spacing w:val="-4"/>
          <w:sz w:val="24"/>
        </w:rPr>
        <w:t> </w:t>
      </w:r>
      <w:r>
        <w:rPr>
          <w:sz w:val="24"/>
        </w:rPr>
        <w:t>positions,</w:t>
      </w:r>
      <w:r>
        <w:rPr>
          <w:spacing w:val="-3"/>
          <w:sz w:val="24"/>
        </w:rPr>
        <w:t> </w:t>
      </w:r>
      <w:r>
        <w:rPr>
          <w:sz w:val="24"/>
        </w:rPr>
        <w:t>delegating</w:t>
      </w:r>
      <w:r>
        <w:rPr>
          <w:spacing w:val="-4"/>
          <w:sz w:val="24"/>
        </w:rPr>
        <w:t> </w:t>
      </w:r>
      <w:r>
        <w:rPr>
          <w:sz w:val="24"/>
        </w:rPr>
        <w:t>authority</w:t>
      </w:r>
      <w:r>
        <w:rPr>
          <w:spacing w:val="-4"/>
          <w:sz w:val="24"/>
        </w:rPr>
        <w:t> </w:t>
      </w:r>
      <w:r>
        <w:rPr>
          <w:sz w:val="24"/>
        </w:rPr>
        <w:t>to</w:t>
      </w:r>
      <w:r>
        <w:rPr>
          <w:spacing w:val="-4"/>
          <w:sz w:val="24"/>
        </w:rPr>
        <w:t> </w:t>
      </w:r>
      <w:r>
        <w:rPr>
          <w:sz w:val="24"/>
        </w:rPr>
        <w:t>complete</w:t>
      </w:r>
      <w:r>
        <w:rPr>
          <w:spacing w:val="-4"/>
          <w:sz w:val="24"/>
        </w:rPr>
        <w:t> </w:t>
      </w:r>
      <w:r>
        <w:rPr>
          <w:sz w:val="24"/>
        </w:rPr>
        <w:t>duties assigned</w:t>
      </w:r>
      <w:r>
        <w:rPr>
          <w:spacing w:val="-6"/>
          <w:sz w:val="24"/>
        </w:rPr>
        <w:t> </w:t>
      </w:r>
      <w:r>
        <w:rPr>
          <w:sz w:val="24"/>
        </w:rPr>
        <w:t>and</w:t>
      </w:r>
      <w:r>
        <w:rPr>
          <w:spacing w:val="-3"/>
          <w:sz w:val="24"/>
        </w:rPr>
        <w:t> </w:t>
      </w:r>
      <w:r>
        <w:rPr>
          <w:sz w:val="24"/>
        </w:rPr>
        <w:t>overseeing</w:t>
      </w:r>
      <w:r>
        <w:rPr>
          <w:spacing w:val="-3"/>
          <w:sz w:val="24"/>
        </w:rPr>
        <w:t> </w:t>
      </w:r>
      <w:r>
        <w:rPr>
          <w:sz w:val="24"/>
        </w:rPr>
        <w:t>the</w:t>
      </w:r>
      <w:r>
        <w:rPr>
          <w:spacing w:val="-3"/>
          <w:sz w:val="24"/>
        </w:rPr>
        <w:t> </w:t>
      </w:r>
      <w:r>
        <w:rPr>
          <w:sz w:val="24"/>
        </w:rPr>
        <w:t>accomplishment</w:t>
      </w:r>
      <w:r>
        <w:rPr>
          <w:spacing w:val="-3"/>
          <w:sz w:val="24"/>
        </w:rPr>
        <w:t> </w:t>
      </w:r>
      <w:r>
        <w:rPr>
          <w:sz w:val="24"/>
        </w:rPr>
        <w:t>of</w:t>
      </w:r>
      <w:r>
        <w:rPr>
          <w:spacing w:val="-4"/>
          <w:sz w:val="24"/>
        </w:rPr>
        <w:t> </w:t>
      </w:r>
      <w:r>
        <w:rPr>
          <w:sz w:val="24"/>
        </w:rPr>
        <w:t>those</w:t>
      </w:r>
      <w:r>
        <w:rPr>
          <w:spacing w:val="-3"/>
          <w:sz w:val="24"/>
        </w:rPr>
        <w:t> </w:t>
      </w:r>
      <w:r>
        <w:rPr>
          <w:sz w:val="24"/>
        </w:rPr>
        <w:t>assigned</w:t>
      </w:r>
      <w:r>
        <w:rPr>
          <w:spacing w:val="-3"/>
          <w:sz w:val="24"/>
        </w:rPr>
        <w:t> </w:t>
      </w:r>
      <w:r>
        <w:rPr>
          <w:spacing w:val="-2"/>
          <w:sz w:val="24"/>
        </w:rPr>
        <w:t>responsibilities.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775" w:firstLine="0"/>
        <w:jc w:val="left"/>
        <w:rPr>
          <w:sz w:val="22"/>
        </w:rPr>
      </w:pPr>
      <w:r>
        <w:rPr>
          <w:sz w:val="22"/>
        </w:rPr>
        <w:t>Permanent, first adoption under OAC Title 612. Added Administrative Services Division</w:t>
      </w:r>
      <w:r>
        <w:rPr>
          <w:spacing w:val="-3"/>
          <w:sz w:val="22"/>
        </w:rPr>
        <w:t> </w:t>
      </w:r>
      <w:r>
        <w:rPr>
          <w:sz w:val="22"/>
        </w:rPr>
        <w:t>and</w:t>
      </w:r>
      <w:r>
        <w:rPr>
          <w:spacing w:val="-4"/>
          <w:sz w:val="22"/>
        </w:rPr>
        <w:t> </w:t>
      </w:r>
      <w:r>
        <w:rPr>
          <w:sz w:val="22"/>
        </w:rPr>
        <w:t>deleted</w:t>
      </w:r>
      <w:r>
        <w:rPr>
          <w:spacing w:val="-3"/>
          <w:sz w:val="22"/>
        </w:rPr>
        <w:t> </w:t>
      </w:r>
      <w:r>
        <w:rPr>
          <w:sz w:val="22"/>
        </w:rPr>
        <w:t>Sections</w:t>
      </w:r>
      <w:r>
        <w:rPr>
          <w:spacing w:val="-3"/>
          <w:sz w:val="22"/>
        </w:rPr>
        <w:t> </w:t>
      </w:r>
      <w:r>
        <w:rPr>
          <w:sz w:val="22"/>
        </w:rPr>
        <w:t>for</w:t>
      </w:r>
      <w:r>
        <w:rPr>
          <w:spacing w:val="-3"/>
          <w:sz w:val="22"/>
        </w:rPr>
        <w:t> </w:t>
      </w:r>
      <w:r>
        <w:rPr>
          <w:sz w:val="22"/>
        </w:rPr>
        <w:t>units</w:t>
      </w:r>
      <w:r>
        <w:rPr>
          <w:spacing w:val="-3"/>
          <w:sz w:val="22"/>
        </w:rPr>
        <w:t> </w:t>
      </w:r>
      <w:r>
        <w:rPr>
          <w:sz w:val="22"/>
        </w:rPr>
        <w:t>now</w:t>
      </w:r>
      <w:r>
        <w:rPr>
          <w:spacing w:val="-4"/>
          <w:sz w:val="22"/>
        </w:rPr>
        <w:t> </w:t>
      </w:r>
      <w:r>
        <w:rPr>
          <w:sz w:val="22"/>
        </w:rPr>
        <w:t>in</w:t>
      </w:r>
      <w:r>
        <w:rPr>
          <w:spacing w:val="-3"/>
          <w:sz w:val="22"/>
        </w:rPr>
        <w:t> </w:t>
      </w:r>
      <w:r>
        <w:rPr>
          <w:sz w:val="22"/>
        </w:rPr>
        <w:t>Adm.</w:t>
      </w:r>
      <w:r>
        <w:rPr>
          <w:spacing w:val="-3"/>
          <w:sz w:val="22"/>
        </w:rPr>
        <w:t> </w:t>
      </w:r>
      <w:r>
        <w:rPr>
          <w:sz w:val="22"/>
        </w:rPr>
        <w:t>Svs.</w:t>
      </w:r>
      <w:r>
        <w:rPr>
          <w:spacing w:val="-3"/>
          <w:sz w:val="22"/>
        </w:rPr>
        <w:t> </w:t>
      </w:r>
      <w:r>
        <w:rPr>
          <w:sz w:val="22"/>
        </w:rPr>
        <w:t>Div.</w:t>
      </w:r>
      <w:r>
        <w:rPr>
          <w:spacing w:val="-3"/>
          <w:sz w:val="22"/>
        </w:rPr>
        <w:t> </w:t>
      </w:r>
      <w:r>
        <w:rPr>
          <w:sz w:val="22"/>
        </w:rPr>
        <w:t>Added</w:t>
      </w:r>
      <w:r>
        <w:rPr>
          <w:spacing w:val="-3"/>
          <w:sz w:val="22"/>
        </w:rPr>
        <w:t> </w:t>
      </w:r>
      <w:r>
        <w:rPr>
          <w:sz w:val="22"/>
        </w:rPr>
        <w:t>relationship</w:t>
      </w:r>
      <w:r>
        <w:rPr>
          <w:spacing w:val="-3"/>
          <w:sz w:val="22"/>
        </w:rPr>
        <w:t> </w:t>
      </w:r>
      <w:r>
        <w:rPr>
          <w:sz w:val="22"/>
        </w:rPr>
        <w:t>of Director to councils.</w:t>
      </w:r>
    </w:p>
    <w:p>
      <w:pPr>
        <w:tabs>
          <w:tab w:pos="1439" w:val="left" w:leader="none"/>
        </w:tabs>
        <w:spacing w:before="1"/>
        <w:ind w:left="359" w:right="0" w:firstLine="0"/>
        <w:jc w:val="left"/>
        <w:rPr>
          <w:sz w:val="22"/>
        </w:rPr>
      </w:pPr>
      <w:r>
        <w:rPr>
          <w:spacing w:val="-2"/>
          <w:sz w:val="22"/>
        </w:rPr>
        <w:t>7-1-</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spacing w:after="0"/>
        <w:jc w:val="left"/>
        <w:rPr>
          <w:sz w:val="22"/>
        </w:rPr>
        <w:sectPr>
          <w:pgSz w:w="12240" w:h="15840"/>
          <w:pgMar w:top="1340" w:bottom="280" w:left="1080" w:right="720"/>
        </w:sectPr>
      </w:pPr>
    </w:p>
    <w:p>
      <w:pPr>
        <w:spacing w:before="80"/>
        <w:ind w:left="1440" w:right="775" w:firstLine="0"/>
        <w:jc w:val="left"/>
        <w:rPr>
          <w:sz w:val="22"/>
        </w:rPr>
      </w:pPr>
      <w:r>
        <w:rPr>
          <w:sz w:val="22"/>
        </w:rPr>
        <w:t>Permanent, change Administrative Services to Management Services Division. Indicate</w:t>
      </w:r>
      <w:r>
        <w:rPr>
          <w:spacing w:val="-4"/>
          <w:sz w:val="22"/>
        </w:rPr>
        <w:t> </w:t>
      </w:r>
      <w:r>
        <w:rPr>
          <w:sz w:val="22"/>
        </w:rPr>
        <w:t>Public</w:t>
      </w:r>
      <w:r>
        <w:rPr>
          <w:spacing w:val="-4"/>
          <w:sz w:val="22"/>
        </w:rPr>
        <w:t> </w:t>
      </w:r>
      <w:r>
        <w:rPr>
          <w:sz w:val="22"/>
        </w:rPr>
        <w:t>Information</w:t>
      </w:r>
      <w:r>
        <w:rPr>
          <w:spacing w:val="-4"/>
          <w:sz w:val="22"/>
        </w:rPr>
        <w:t> </w:t>
      </w:r>
      <w:r>
        <w:rPr>
          <w:sz w:val="22"/>
        </w:rPr>
        <w:t>Officer</w:t>
      </w:r>
      <w:r>
        <w:rPr>
          <w:spacing w:val="-4"/>
          <w:sz w:val="22"/>
        </w:rPr>
        <w:t> </w:t>
      </w:r>
      <w:r>
        <w:rPr>
          <w:sz w:val="22"/>
        </w:rPr>
        <w:t>and</w:t>
      </w:r>
      <w:r>
        <w:rPr>
          <w:spacing w:val="-4"/>
          <w:sz w:val="22"/>
        </w:rPr>
        <w:t> </w:t>
      </w:r>
      <w:r>
        <w:rPr>
          <w:sz w:val="22"/>
        </w:rPr>
        <w:t>External</w:t>
      </w:r>
      <w:r>
        <w:rPr>
          <w:spacing w:val="-5"/>
          <w:sz w:val="22"/>
        </w:rPr>
        <w:t> </w:t>
      </w:r>
      <w:r>
        <w:rPr>
          <w:sz w:val="22"/>
        </w:rPr>
        <w:t>Relations</w:t>
      </w:r>
      <w:r>
        <w:rPr>
          <w:spacing w:val="-4"/>
          <w:sz w:val="22"/>
        </w:rPr>
        <w:t> </w:t>
      </w:r>
      <w:r>
        <w:rPr>
          <w:sz w:val="22"/>
        </w:rPr>
        <w:t>Officer</w:t>
      </w:r>
      <w:r>
        <w:rPr>
          <w:spacing w:val="-4"/>
          <w:sz w:val="22"/>
        </w:rPr>
        <w:t> </w:t>
      </w:r>
      <w:r>
        <w:rPr>
          <w:sz w:val="22"/>
        </w:rPr>
        <w:t>are</w:t>
      </w:r>
      <w:r>
        <w:rPr>
          <w:spacing w:val="-4"/>
          <w:sz w:val="22"/>
        </w:rPr>
        <w:t> </w:t>
      </w:r>
      <w:r>
        <w:rPr>
          <w:sz w:val="22"/>
        </w:rPr>
        <w:t>two</w:t>
      </w:r>
      <w:r>
        <w:rPr>
          <w:spacing w:val="-5"/>
          <w:sz w:val="22"/>
        </w:rPr>
        <w:t> </w:t>
      </w:r>
      <w:r>
        <w:rPr>
          <w:sz w:val="22"/>
        </w:rPr>
        <w:t>different </w:t>
      </w:r>
      <w:r>
        <w:rPr>
          <w:spacing w:val="-2"/>
          <w:sz w:val="22"/>
        </w:rPr>
        <w:t>positions.</w:t>
      </w:r>
    </w:p>
    <w:p>
      <w:pPr>
        <w:pStyle w:val="ListParagraph"/>
        <w:numPr>
          <w:ilvl w:val="2"/>
          <w:numId w:val="7"/>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#98-</w:t>
      </w:r>
      <w:r>
        <w:rPr>
          <w:spacing w:val="-5"/>
          <w:sz w:val="22"/>
        </w:rPr>
        <w:t>14</w:t>
      </w:r>
    </w:p>
    <w:p>
      <w:pPr>
        <w:tabs>
          <w:tab w:pos="1439" w:val="left" w:leader="none"/>
        </w:tabs>
        <w:spacing w:before="0"/>
        <w:ind w:left="360" w:right="6013" w:firstLine="1080"/>
        <w:jc w:val="left"/>
        <w:rPr>
          <w:sz w:val="22"/>
        </w:rPr>
      </w:pPr>
      <w:r>
        <w:rPr>
          <w:sz w:val="22"/>
        </w:rPr>
        <w:t>Permanent,</w:t>
      </w:r>
      <w:r>
        <w:rPr>
          <w:spacing w:val="-12"/>
          <w:sz w:val="22"/>
        </w:rPr>
        <w:t> </w:t>
      </w:r>
      <w:r>
        <w:rPr>
          <w:sz w:val="22"/>
        </w:rPr>
        <w:t>updated</w:t>
      </w:r>
      <w:r>
        <w:rPr>
          <w:spacing w:val="-13"/>
          <w:sz w:val="22"/>
        </w:rPr>
        <w:t> </w:t>
      </w:r>
      <w:r>
        <w:rPr>
          <w:sz w:val="22"/>
        </w:rPr>
        <w:t>staff</w:t>
      </w:r>
      <w:r>
        <w:rPr>
          <w:spacing w:val="-13"/>
          <w:sz w:val="22"/>
        </w:rPr>
        <w:t> </w:t>
      </w:r>
      <w:r>
        <w:rPr>
          <w:sz w:val="22"/>
        </w:rPr>
        <w:t>titles </w:t>
      </w:r>
      <w:r>
        <w:rPr>
          <w:spacing w:val="-2"/>
          <w:sz w:val="22"/>
        </w:rPr>
        <w:t>7-1-10</w:t>
      </w:r>
      <w:r>
        <w:rPr>
          <w:sz w:val="22"/>
        </w:rPr>
        <w:tab/>
        <w:t>PT Memo #10-02</w:t>
      </w:r>
    </w:p>
    <w:p>
      <w:pPr>
        <w:spacing w:before="0"/>
        <w:ind w:left="1440" w:right="0" w:firstLine="0"/>
        <w:jc w:val="left"/>
        <w:rPr>
          <w:sz w:val="22"/>
        </w:rPr>
      </w:pPr>
      <w:r>
        <w:rPr>
          <w:sz w:val="22"/>
        </w:rPr>
        <w:t>Permanent,</w:t>
      </w:r>
      <w:r>
        <w:rPr>
          <w:spacing w:val="-7"/>
          <w:sz w:val="22"/>
        </w:rPr>
        <w:t> </w:t>
      </w:r>
      <w:r>
        <w:rPr>
          <w:sz w:val="22"/>
        </w:rPr>
        <w:t>Changed</w:t>
      </w:r>
      <w:r>
        <w:rPr>
          <w:spacing w:val="-7"/>
          <w:sz w:val="22"/>
        </w:rPr>
        <w:t> </w:t>
      </w:r>
      <w:r>
        <w:rPr>
          <w:sz w:val="22"/>
        </w:rPr>
        <w:t>Deputy</w:t>
      </w:r>
      <w:r>
        <w:rPr>
          <w:spacing w:val="-8"/>
          <w:sz w:val="22"/>
        </w:rPr>
        <w:t> </w:t>
      </w:r>
      <w:r>
        <w:rPr>
          <w:sz w:val="22"/>
        </w:rPr>
        <w:t>Director</w:t>
      </w:r>
      <w:r>
        <w:rPr>
          <w:spacing w:val="-7"/>
          <w:sz w:val="22"/>
        </w:rPr>
        <w:t> </w:t>
      </w:r>
      <w:r>
        <w:rPr>
          <w:sz w:val="22"/>
        </w:rPr>
        <w:t>to</w:t>
      </w:r>
      <w:r>
        <w:rPr>
          <w:spacing w:val="-8"/>
          <w:sz w:val="22"/>
        </w:rPr>
        <w:t> </w:t>
      </w:r>
      <w:r>
        <w:rPr>
          <w:sz w:val="22"/>
        </w:rPr>
        <w:t>Chief</w:t>
      </w:r>
      <w:r>
        <w:rPr>
          <w:spacing w:val="-7"/>
          <w:sz w:val="22"/>
        </w:rPr>
        <w:t> </w:t>
      </w:r>
      <w:r>
        <w:rPr>
          <w:sz w:val="22"/>
        </w:rPr>
        <w:t>of</w:t>
      </w:r>
      <w:r>
        <w:rPr>
          <w:spacing w:val="-7"/>
          <w:sz w:val="22"/>
        </w:rPr>
        <w:t> </w:t>
      </w:r>
      <w:r>
        <w:rPr>
          <w:spacing w:val="-2"/>
          <w:sz w:val="22"/>
        </w:rPr>
        <w:t>Staff</w:t>
      </w:r>
    </w:p>
    <w:p>
      <w:pPr>
        <w:tabs>
          <w:tab w:pos="1439" w:val="left" w:leader="none"/>
        </w:tabs>
        <w:spacing w:line="253" w:lineRule="exact" w:before="1"/>
        <w:ind w:left="360" w:right="0" w:firstLine="0"/>
        <w:jc w:val="left"/>
        <w:rPr>
          <w:sz w:val="22"/>
        </w:rPr>
      </w:pPr>
      <w:r>
        <w:rPr>
          <w:spacing w:val="-2"/>
          <w:sz w:val="22"/>
        </w:rPr>
        <w:t>7-1-</w:t>
      </w:r>
      <w:r>
        <w:rPr>
          <w:spacing w:val="-5"/>
          <w:sz w:val="22"/>
        </w:rPr>
        <w:t>13</w:t>
      </w:r>
      <w:r>
        <w:rPr>
          <w:sz w:val="22"/>
        </w:rPr>
        <w:tab/>
        <w:t>Permanent,</w:t>
      </w:r>
      <w:r>
        <w:rPr>
          <w:spacing w:val="-9"/>
          <w:sz w:val="22"/>
        </w:rPr>
        <w:t> </w:t>
      </w:r>
      <w:r>
        <w:rPr>
          <w:sz w:val="22"/>
        </w:rPr>
        <w:t>Changed</w:t>
      </w:r>
      <w:r>
        <w:rPr>
          <w:spacing w:val="-9"/>
          <w:sz w:val="22"/>
        </w:rPr>
        <w:t> </w:t>
      </w:r>
      <w:r>
        <w:rPr>
          <w:sz w:val="22"/>
        </w:rPr>
        <w:t>Public</w:t>
      </w:r>
      <w:r>
        <w:rPr>
          <w:spacing w:val="-9"/>
          <w:sz w:val="22"/>
        </w:rPr>
        <w:t> </w:t>
      </w:r>
      <w:r>
        <w:rPr>
          <w:sz w:val="22"/>
        </w:rPr>
        <w:t>Information</w:t>
      </w:r>
      <w:r>
        <w:rPr>
          <w:spacing w:val="-9"/>
          <w:sz w:val="22"/>
        </w:rPr>
        <w:t> </w:t>
      </w:r>
      <w:r>
        <w:rPr>
          <w:sz w:val="22"/>
        </w:rPr>
        <w:t>to</w:t>
      </w:r>
      <w:r>
        <w:rPr>
          <w:spacing w:val="-10"/>
          <w:sz w:val="22"/>
        </w:rPr>
        <w:t> </w:t>
      </w:r>
      <w:r>
        <w:rPr>
          <w:spacing w:val="-2"/>
          <w:sz w:val="22"/>
        </w:rPr>
        <w:t>Communication</w:t>
      </w:r>
    </w:p>
    <w:p>
      <w:pPr>
        <w:tabs>
          <w:tab w:pos="1439" w:val="left" w:leader="none"/>
        </w:tabs>
        <w:spacing w:line="253" w:lineRule="exact" w:before="0"/>
        <w:ind w:left="360" w:right="0" w:firstLine="0"/>
        <w:jc w:val="left"/>
        <w:rPr>
          <w:sz w:val="22"/>
        </w:rPr>
      </w:pPr>
      <w:r>
        <w:rPr>
          <w:spacing w:val="-2"/>
          <w:sz w:val="22"/>
        </w:rPr>
        <w:t>8-27-</w:t>
      </w:r>
      <w:r>
        <w:rPr>
          <w:spacing w:val="-5"/>
          <w:sz w:val="22"/>
        </w:rPr>
        <w:t>15</w:t>
      </w:r>
      <w:r>
        <w:rPr>
          <w:sz w:val="22"/>
        </w:rPr>
        <w:tab/>
        <w:t>Removal</w:t>
      </w:r>
      <w:r>
        <w:rPr>
          <w:spacing w:val="-7"/>
          <w:sz w:val="22"/>
        </w:rPr>
        <w:t> </w:t>
      </w:r>
      <w:r>
        <w:rPr>
          <w:sz w:val="22"/>
        </w:rPr>
        <w:t>of</w:t>
      </w:r>
      <w:r>
        <w:rPr>
          <w:spacing w:val="-7"/>
          <w:sz w:val="22"/>
        </w:rPr>
        <w:t> </w:t>
      </w:r>
      <w:r>
        <w:rPr>
          <w:sz w:val="22"/>
        </w:rPr>
        <w:t>language</w:t>
      </w:r>
      <w:r>
        <w:rPr>
          <w:spacing w:val="-6"/>
          <w:sz w:val="22"/>
        </w:rPr>
        <w:t> </w:t>
      </w:r>
      <w:r>
        <w:rPr>
          <w:sz w:val="22"/>
        </w:rPr>
        <w:t>regarding</w:t>
      </w:r>
      <w:r>
        <w:rPr>
          <w:spacing w:val="-7"/>
          <w:sz w:val="22"/>
        </w:rPr>
        <w:t> </w:t>
      </w:r>
      <w:r>
        <w:rPr>
          <w:sz w:val="22"/>
        </w:rPr>
        <w:t>the</w:t>
      </w:r>
      <w:r>
        <w:rPr>
          <w:spacing w:val="-8"/>
          <w:sz w:val="22"/>
        </w:rPr>
        <w:t> </w:t>
      </w:r>
      <w:r>
        <w:rPr>
          <w:sz w:val="22"/>
        </w:rPr>
        <w:t>Civil</w:t>
      </w:r>
      <w:r>
        <w:rPr>
          <w:spacing w:val="-6"/>
          <w:sz w:val="22"/>
        </w:rPr>
        <w:t> </w:t>
      </w:r>
      <w:r>
        <w:rPr>
          <w:sz w:val="22"/>
        </w:rPr>
        <w:t>Rights</w:t>
      </w:r>
      <w:r>
        <w:rPr>
          <w:spacing w:val="-7"/>
          <w:sz w:val="22"/>
        </w:rPr>
        <w:t> </w:t>
      </w:r>
      <w:r>
        <w:rPr>
          <w:spacing w:val="-2"/>
          <w:sz w:val="22"/>
        </w:rPr>
        <w:t>Administrator.</w:t>
      </w:r>
    </w:p>
    <w:p>
      <w:pPr>
        <w:tabs>
          <w:tab w:pos="1439" w:val="left" w:leader="none"/>
        </w:tabs>
        <w:spacing w:before="0"/>
        <w:ind w:left="1440" w:right="1101" w:hanging="1080"/>
        <w:jc w:val="left"/>
        <w:rPr>
          <w:sz w:val="22"/>
        </w:rPr>
      </w:pPr>
      <w:r>
        <w:rPr>
          <w:spacing w:val="-2"/>
          <w:sz w:val="22"/>
        </w:rPr>
        <w:t>8-11-19</w:t>
      </w:r>
      <w:r>
        <w:rPr>
          <w:sz w:val="22"/>
        </w:rPr>
        <w:tab/>
        <w:t>Added</w:t>
      </w:r>
      <w:r>
        <w:rPr>
          <w:spacing w:val="-4"/>
          <w:sz w:val="22"/>
        </w:rPr>
        <w:t> </w:t>
      </w:r>
      <w:r>
        <w:rPr>
          <w:sz w:val="22"/>
        </w:rPr>
        <w:t>new</w:t>
      </w:r>
      <w:r>
        <w:rPr>
          <w:spacing w:val="-5"/>
          <w:sz w:val="22"/>
        </w:rPr>
        <w:t> </w:t>
      </w:r>
      <w:r>
        <w:rPr>
          <w:sz w:val="22"/>
        </w:rPr>
        <w:t>job</w:t>
      </w:r>
      <w:r>
        <w:rPr>
          <w:spacing w:val="-4"/>
          <w:sz w:val="22"/>
        </w:rPr>
        <w:t> </w:t>
      </w:r>
      <w:r>
        <w:rPr>
          <w:sz w:val="22"/>
        </w:rPr>
        <w:t>title</w:t>
      </w:r>
      <w:r>
        <w:rPr>
          <w:spacing w:val="-4"/>
          <w:sz w:val="22"/>
        </w:rPr>
        <w:t> </w:t>
      </w:r>
      <w:r>
        <w:rPr>
          <w:sz w:val="22"/>
        </w:rPr>
        <w:t>of</w:t>
      </w:r>
      <w:r>
        <w:rPr>
          <w:spacing w:val="-4"/>
          <w:sz w:val="22"/>
        </w:rPr>
        <w:t> </w:t>
      </w:r>
      <w:r>
        <w:rPr>
          <w:sz w:val="22"/>
        </w:rPr>
        <w:t>Chief</w:t>
      </w:r>
      <w:r>
        <w:rPr>
          <w:spacing w:val="-4"/>
          <w:sz w:val="22"/>
        </w:rPr>
        <w:t> </w:t>
      </w:r>
      <w:r>
        <w:rPr>
          <w:sz w:val="22"/>
        </w:rPr>
        <w:t>Operations</w:t>
      </w:r>
      <w:r>
        <w:rPr>
          <w:spacing w:val="-4"/>
          <w:sz w:val="22"/>
        </w:rPr>
        <w:t> </w:t>
      </w:r>
      <w:r>
        <w:rPr>
          <w:sz w:val="22"/>
        </w:rPr>
        <w:t>Officer.</w:t>
      </w:r>
      <w:r>
        <w:rPr>
          <w:spacing w:val="-5"/>
          <w:sz w:val="22"/>
        </w:rPr>
        <w:t> </w:t>
      </w:r>
      <w:r>
        <w:rPr>
          <w:sz w:val="22"/>
        </w:rPr>
        <w:t>Added</w:t>
      </w:r>
      <w:r>
        <w:rPr>
          <w:spacing w:val="-4"/>
          <w:sz w:val="22"/>
        </w:rPr>
        <w:t> </w:t>
      </w:r>
      <w:r>
        <w:rPr>
          <w:sz w:val="22"/>
        </w:rPr>
        <w:t>Division</w:t>
      </w:r>
      <w:r>
        <w:rPr>
          <w:spacing w:val="-4"/>
          <w:sz w:val="22"/>
        </w:rPr>
        <w:t> </w:t>
      </w:r>
      <w:r>
        <w:rPr>
          <w:sz w:val="22"/>
        </w:rPr>
        <w:t>Administrators</w:t>
      </w:r>
      <w:r>
        <w:rPr>
          <w:spacing w:val="-4"/>
          <w:sz w:val="22"/>
        </w:rPr>
        <w:t> </w:t>
      </w:r>
      <w:r>
        <w:rPr>
          <w:sz w:val="22"/>
        </w:rPr>
        <w:t>for VS, VR, DDD and school Superintendents for OSB and OSD, under section (b).</w:t>
      </w:r>
    </w:p>
    <w:p>
      <w:pPr>
        <w:tabs>
          <w:tab w:pos="1439" w:val="left" w:leader="none"/>
        </w:tabs>
        <w:spacing w:before="0"/>
        <w:ind w:left="1440" w:right="1123" w:hanging="1080"/>
        <w:jc w:val="left"/>
        <w:rPr>
          <w:sz w:val="22"/>
        </w:rPr>
      </w:pPr>
      <w:r>
        <w:rPr>
          <w:spacing w:val="-2"/>
          <w:sz w:val="22"/>
        </w:rPr>
        <w:t>9-11-20</w:t>
      </w:r>
      <w:r>
        <w:rPr>
          <w:sz w:val="22"/>
        </w:rPr>
        <w:tab/>
        <w:t>Under</w:t>
      </w:r>
      <w:r>
        <w:rPr>
          <w:spacing w:val="-4"/>
          <w:sz w:val="22"/>
        </w:rPr>
        <w:t> </w:t>
      </w:r>
      <w:r>
        <w:rPr>
          <w:sz w:val="22"/>
        </w:rPr>
        <w:t>section</w:t>
      </w:r>
      <w:r>
        <w:rPr>
          <w:spacing w:val="-4"/>
          <w:sz w:val="22"/>
        </w:rPr>
        <w:t> </w:t>
      </w:r>
      <w:r>
        <w:rPr>
          <w:sz w:val="22"/>
        </w:rPr>
        <w:t>(b)</w:t>
      </w:r>
      <w:r>
        <w:rPr>
          <w:spacing w:val="-4"/>
          <w:sz w:val="22"/>
        </w:rPr>
        <w:t> </w:t>
      </w:r>
      <w:r>
        <w:rPr>
          <w:sz w:val="22"/>
        </w:rPr>
        <w:t>added</w:t>
      </w:r>
      <w:r>
        <w:rPr>
          <w:spacing w:val="-4"/>
          <w:sz w:val="22"/>
        </w:rPr>
        <w:t> </w:t>
      </w:r>
      <w:r>
        <w:rPr>
          <w:sz w:val="22"/>
        </w:rPr>
        <w:t>the</w:t>
      </w:r>
      <w:r>
        <w:rPr>
          <w:spacing w:val="-4"/>
          <w:sz w:val="22"/>
        </w:rPr>
        <w:t> </w:t>
      </w:r>
      <w:r>
        <w:rPr>
          <w:sz w:val="22"/>
        </w:rPr>
        <w:t>Legislative</w:t>
      </w:r>
      <w:r>
        <w:rPr>
          <w:spacing w:val="-4"/>
          <w:sz w:val="22"/>
        </w:rPr>
        <w:t> </w:t>
      </w:r>
      <w:r>
        <w:rPr>
          <w:sz w:val="22"/>
        </w:rPr>
        <w:t>Liaison,</w:t>
      </w:r>
      <w:r>
        <w:rPr>
          <w:spacing w:val="-4"/>
          <w:sz w:val="22"/>
        </w:rPr>
        <w:t> </w:t>
      </w:r>
      <w:r>
        <w:rPr>
          <w:sz w:val="22"/>
        </w:rPr>
        <w:t>the</w:t>
      </w:r>
      <w:r>
        <w:rPr>
          <w:spacing w:val="-4"/>
          <w:sz w:val="22"/>
        </w:rPr>
        <w:t> </w:t>
      </w:r>
      <w:r>
        <w:rPr>
          <w:sz w:val="22"/>
        </w:rPr>
        <w:t>Project</w:t>
      </w:r>
      <w:r>
        <w:rPr>
          <w:spacing w:val="-5"/>
          <w:sz w:val="22"/>
        </w:rPr>
        <w:t> </w:t>
      </w:r>
      <w:r>
        <w:rPr>
          <w:sz w:val="22"/>
        </w:rPr>
        <w:t>Coordinators</w:t>
      </w:r>
      <w:r>
        <w:rPr>
          <w:spacing w:val="-4"/>
          <w:sz w:val="22"/>
        </w:rPr>
        <w:t> </w:t>
      </w:r>
      <w:r>
        <w:rPr>
          <w:sz w:val="22"/>
        </w:rPr>
        <w:t>and</w:t>
      </w:r>
      <w:r>
        <w:rPr>
          <w:spacing w:val="-4"/>
          <w:sz w:val="22"/>
        </w:rPr>
        <w:t> </w:t>
      </w:r>
      <w:r>
        <w:rPr>
          <w:sz w:val="22"/>
        </w:rPr>
        <w:t>the Process Improvement unit.</w:t>
      </w:r>
      <w:r>
        <w:rPr>
          <w:spacing w:val="40"/>
          <w:sz w:val="22"/>
        </w:rPr>
        <w:t> </w:t>
      </w:r>
      <w:r>
        <w:rPr>
          <w:sz w:val="22"/>
        </w:rPr>
        <w:t>Removal of External Relations Officer.</w:t>
      </w:r>
    </w:p>
    <w:p>
      <w:pPr>
        <w:spacing w:before="0"/>
        <w:ind w:left="1440" w:right="867" w:firstLine="0"/>
        <w:jc w:val="both"/>
        <w:rPr>
          <w:sz w:val="22"/>
        </w:rPr>
      </w:pPr>
      <w:r>
        <w:rPr>
          <w:sz w:val="22"/>
        </w:rPr>
        <w:t>Division</w:t>
      </w:r>
      <w:r>
        <w:rPr>
          <w:spacing w:val="-2"/>
          <w:sz w:val="22"/>
        </w:rPr>
        <w:t> </w:t>
      </w:r>
      <w:r>
        <w:rPr>
          <w:sz w:val="22"/>
        </w:rPr>
        <w:t>name</w:t>
      </w:r>
      <w:r>
        <w:rPr>
          <w:spacing w:val="-2"/>
          <w:sz w:val="22"/>
        </w:rPr>
        <w:t> </w:t>
      </w:r>
      <w:r>
        <w:rPr>
          <w:sz w:val="22"/>
        </w:rPr>
        <w:t>change</w:t>
      </w:r>
      <w:r>
        <w:rPr>
          <w:spacing w:val="-2"/>
          <w:sz w:val="22"/>
        </w:rPr>
        <w:t> </w:t>
      </w:r>
      <w:r>
        <w:rPr>
          <w:sz w:val="22"/>
        </w:rPr>
        <w:t>of</w:t>
      </w:r>
      <w:r>
        <w:rPr>
          <w:spacing w:val="-2"/>
          <w:sz w:val="22"/>
        </w:rPr>
        <w:t> </w:t>
      </w:r>
      <w:r>
        <w:rPr>
          <w:sz w:val="22"/>
        </w:rPr>
        <w:t>Visual</w:t>
      </w:r>
      <w:r>
        <w:rPr>
          <w:spacing w:val="-2"/>
          <w:sz w:val="22"/>
        </w:rPr>
        <w:t> </w:t>
      </w:r>
      <w:r>
        <w:rPr>
          <w:sz w:val="22"/>
        </w:rPr>
        <w:t>Services</w:t>
      </w:r>
      <w:r>
        <w:rPr>
          <w:spacing w:val="-2"/>
          <w:sz w:val="22"/>
        </w:rPr>
        <w:t> </w:t>
      </w:r>
      <w:r>
        <w:rPr>
          <w:sz w:val="22"/>
        </w:rPr>
        <w:t>(VS)</w:t>
      </w:r>
      <w:r>
        <w:rPr>
          <w:spacing w:val="-2"/>
          <w:sz w:val="22"/>
        </w:rPr>
        <w:t> </w:t>
      </w:r>
      <w:r>
        <w:rPr>
          <w:sz w:val="22"/>
        </w:rPr>
        <w:t>to</w:t>
      </w:r>
      <w:r>
        <w:rPr>
          <w:spacing w:val="-2"/>
          <w:sz w:val="22"/>
        </w:rPr>
        <w:t> </w:t>
      </w:r>
      <w:r>
        <w:rPr>
          <w:sz w:val="22"/>
        </w:rPr>
        <w:t>Services</w:t>
      </w:r>
      <w:r>
        <w:rPr>
          <w:spacing w:val="-2"/>
          <w:sz w:val="22"/>
        </w:rPr>
        <w:t> </w:t>
      </w:r>
      <w:r>
        <w:rPr>
          <w:sz w:val="22"/>
        </w:rPr>
        <w:t>for</w:t>
      </w:r>
      <w:r>
        <w:rPr>
          <w:spacing w:val="-2"/>
          <w:sz w:val="22"/>
        </w:rPr>
        <w:t> </w:t>
      </w:r>
      <w:r>
        <w:rPr>
          <w:sz w:val="22"/>
        </w:rPr>
        <w:t>the</w:t>
      </w:r>
      <w:r>
        <w:rPr>
          <w:spacing w:val="-2"/>
          <w:sz w:val="22"/>
        </w:rPr>
        <w:t> </w:t>
      </w:r>
      <w:r>
        <w:rPr>
          <w:sz w:val="22"/>
        </w:rPr>
        <w:t>Blind</w:t>
      </w:r>
      <w:r>
        <w:rPr>
          <w:spacing w:val="-2"/>
          <w:sz w:val="22"/>
        </w:rPr>
        <w:t> </w:t>
      </w:r>
      <w:r>
        <w:rPr>
          <w:sz w:val="22"/>
        </w:rPr>
        <w:t>and</w:t>
      </w:r>
      <w:r>
        <w:rPr>
          <w:spacing w:val="-2"/>
          <w:sz w:val="22"/>
        </w:rPr>
        <w:t> </w:t>
      </w:r>
      <w:r>
        <w:rPr>
          <w:sz w:val="22"/>
        </w:rPr>
        <w:t>Visually Impaired</w:t>
      </w:r>
      <w:r>
        <w:rPr>
          <w:spacing w:val="-5"/>
          <w:sz w:val="22"/>
        </w:rPr>
        <w:t> </w:t>
      </w:r>
      <w:r>
        <w:rPr>
          <w:sz w:val="22"/>
        </w:rPr>
        <w:t>(SBVI).</w:t>
      </w:r>
      <w:r>
        <w:rPr>
          <w:spacing w:val="-5"/>
          <w:sz w:val="22"/>
        </w:rPr>
        <w:t> </w:t>
      </w:r>
      <w:r>
        <w:rPr>
          <w:sz w:val="22"/>
        </w:rPr>
        <w:t>Disability</w:t>
      </w:r>
      <w:r>
        <w:rPr>
          <w:spacing w:val="-5"/>
          <w:sz w:val="22"/>
        </w:rPr>
        <w:t> </w:t>
      </w:r>
      <w:r>
        <w:rPr>
          <w:sz w:val="22"/>
        </w:rPr>
        <w:t>Determination</w:t>
      </w:r>
      <w:r>
        <w:rPr>
          <w:spacing w:val="-5"/>
          <w:sz w:val="22"/>
        </w:rPr>
        <w:t> </w:t>
      </w:r>
      <w:r>
        <w:rPr>
          <w:sz w:val="22"/>
        </w:rPr>
        <w:t>Division</w:t>
      </w:r>
      <w:r>
        <w:rPr>
          <w:spacing w:val="-5"/>
          <w:sz w:val="22"/>
        </w:rPr>
        <w:t> </w:t>
      </w:r>
      <w:r>
        <w:rPr>
          <w:sz w:val="22"/>
        </w:rPr>
        <w:t>(DDD)</w:t>
      </w:r>
      <w:r>
        <w:rPr>
          <w:spacing w:val="-5"/>
          <w:sz w:val="22"/>
        </w:rPr>
        <w:t> </w:t>
      </w:r>
      <w:r>
        <w:rPr>
          <w:sz w:val="22"/>
        </w:rPr>
        <w:t>to</w:t>
      </w:r>
      <w:r>
        <w:rPr>
          <w:spacing w:val="-4"/>
          <w:sz w:val="22"/>
        </w:rPr>
        <w:t> </w:t>
      </w:r>
      <w:r>
        <w:rPr>
          <w:sz w:val="22"/>
        </w:rPr>
        <w:t>Disability</w:t>
      </w:r>
      <w:r>
        <w:rPr>
          <w:spacing w:val="-5"/>
          <w:sz w:val="22"/>
        </w:rPr>
        <w:t> </w:t>
      </w:r>
      <w:r>
        <w:rPr>
          <w:sz w:val="22"/>
        </w:rPr>
        <w:t>Determination Services (DDS).</w:t>
      </w:r>
    </w:p>
    <w:p>
      <w:pPr>
        <w:spacing w:after="0"/>
        <w:jc w:val="both"/>
        <w:rPr>
          <w:sz w:val="22"/>
        </w:rPr>
        <w:sectPr>
          <w:pgSz w:w="12240" w:h="15840"/>
          <w:pgMar w:top="1360" w:bottom="280" w:left="1080" w:right="720"/>
        </w:sectPr>
      </w:pPr>
    </w:p>
    <w:p>
      <w:pPr>
        <w:pStyle w:val="Heading2"/>
      </w:pPr>
      <w:bookmarkStart w:name="612:1-3-2.1.  The Chief of Staff of Reha" w:id="11"/>
      <w:bookmarkEnd w:id="11"/>
      <w:r>
        <w:rPr>
          <w:b w:val="0"/>
        </w:rPr>
      </w:r>
      <w:r>
        <w:rPr/>
        <w:t>612:1-3-2.1.</w:t>
      </w:r>
      <w:r>
        <w:rPr>
          <w:spacing w:val="60"/>
        </w:rPr>
        <w:t> </w:t>
      </w:r>
      <w:r>
        <w:rPr/>
        <w:t>The</w:t>
      </w:r>
      <w:r>
        <w:rPr>
          <w:spacing w:val="-3"/>
        </w:rPr>
        <w:t> </w:t>
      </w:r>
      <w:r>
        <w:rPr/>
        <w:t>Chief</w:t>
      </w:r>
      <w:r>
        <w:rPr>
          <w:spacing w:val="-2"/>
        </w:rPr>
        <w:t> </w:t>
      </w:r>
      <w:r>
        <w:rPr/>
        <w:t>of</w:t>
      </w:r>
      <w:r>
        <w:rPr>
          <w:spacing w:val="-2"/>
        </w:rPr>
        <w:t> </w:t>
      </w:r>
      <w:r>
        <w:rPr/>
        <w:t>Staff</w:t>
      </w:r>
      <w:r>
        <w:rPr>
          <w:spacing w:val="-4"/>
        </w:rPr>
        <w:t> </w:t>
      </w:r>
      <w:r>
        <w:rPr/>
        <w:t>of</w:t>
      </w:r>
      <w:r>
        <w:rPr>
          <w:spacing w:val="-2"/>
        </w:rPr>
        <w:t> </w:t>
      </w:r>
      <w:r>
        <w:rPr/>
        <w:t>Rehabilitation</w:t>
      </w:r>
      <w:r>
        <w:rPr>
          <w:spacing w:val="-3"/>
        </w:rPr>
        <w:t> </w:t>
      </w:r>
      <w:r>
        <w:rPr>
          <w:spacing w:val="-2"/>
        </w:rPr>
        <w:t>Services</w:t>
      </w:r>
    </w:p>
    <w:p>
      <w:pPr>
        <w:pStyle w:val="ListParagraph"/>
        <w:numPr>
          <w:ilvl w:val="0"/>
          <w:numId w:val="8"/>
        </w:numPr>
        <w:tabs>
          <w:tab w:pos="785" w:val="left" w:leader="none"/>
        </w:tabs>
        <w:spacing w:line="208" w:lineRule="auto" w:before="233" w:after="0"/>
        <w:ind w:left="359" w:right="741" w:firstLine="0"/>
        <w:jc w:val="left"/>
        <w:rPr>
          <w:sz w:val="24"/>
        </w:rPr>
      </w:pPr>
      <w:r>
        <w:rPr>
          <w:sz w:val="24"/>
        </w:rPr>
        <w:t>The Chief of Staff of Rehabilitation Services assists the Director of the Department in fulfilling the chief administrative and executive responsibilities for day-to-day direction of the activities necessary for DRS to attain its mission as established by Title 74, Section 166.1 et seq. of Oklahoma State Statute.</w:t>
      </w:r>
      <w:r>
        <w:rPr>
          <w:spacing w:val="40"/>
          <w:sz w:val="24"/>
        </w:rPr>
        <w:t> </w:t>
      </w:r>
      <w:r>
        <w:rPr>
          <w:sz w:val="24"/>
        </w:rPr>
        <w:t>The work of the Chief of Staff is overseen by the Director of the Department of Rehabilitation Services.</w:t>
      </w:r>
      <w:r>
        <w:rPr>
          <w:spacing w:val="40"/>
          <w:sz w:val="24"/>
        </w:rPr>
        <w:t> </w:t>
      </w:r>
      <w:r>
        <w:rPr>
          <w:sz w:val="24"/>
        </w:rPr>
        <w:t>In the Director's absence,</w:t>
      </w:r>
      <w:r>
        <w:rPr>
          <w:spacing w:val="-2"/>
          <w:sz w:val="24"/>
        </w:rPr>
        <w:t> </w:t>
      </w:r>
      <w:r>
        <w:rPr>
          <w:sz w:val="24"/>
        </w:rPr>
        <w:t>the</w:t>
      </w:r>
      <w:r>
        <w:rPr>
          <w:spacing w:val="-3"/>
          <w:sz w:val="24"/>
        </w:rPr>
        <w:t> </w:t>
      </w:r>
      <w:r>
        <w:rPr>
          <w:sz w:val="24"/>
        </w:rPr>
        <w:t>work</w:t>
      </w:r>
      <w:r>
        <w:rPr>
          <w:spacing w:val="-3"/>
          <w:sz w:val="24"/>
        </w:rPr>
        <w:t> </w:t>
      </w:r>
      <w:r>
        <w:rPr>
          <w:sz w:val="24"/>
        </w:rPr>
        <w:t>of</w:t>
      </w:r>
      <w:r>
        <w:rPr>
          <w:spacing w:val="-4"/>
          <w:sz w:val="24"/>
        </w:rPr>
        <w:t> </w:t>
      </w:r>
      <w:r>
        <w:rPr>
          <w:sz w:val="24"/>
        </w:rPr>
        <w:t>the</w:t>
      </w:r>
      <w:r>
        <w:rPr>
          <w:spacing w:val="-3"/>
          <w:sz w:val="24"/>
        </w:rPr>
        <w:t> </w:t>
      </w:r>
      <w:r>
        <w:rPr>
          <w:sz w:val="24"/>
        </w:rPr>
        <w:t>Chief</w:t>
      </w:r>
      <w:r>
        <w:rPr>
          <w:spacing w:val="-2"/>
          <w:sz w:val="24"/>
        </w:rPr>
        <w:t> </w:t>
      </w:r>
      <w:r>
        <w:rPr>
          <w:sz w:val="24"/>
        </w:rPr>
        <w:t>of</w:t>
      </w:r>
      <w:r>
        <w:rPr>
          <w:spacing w:val="-2"/>
          <w:sz w:val="24"/>
        </w:rPr>
        <w:t> </w:t>
      </w:r>
      <w:r>
        <w:rPr>
          <w:sz w:val="24"/>
        </w:rPr>
        <w:t>Staff</w:t>
      </w:r>
      <w:r>
        <w:rPr>
          <w:spacing w:val="-4"/>
          <w:sz w:val="24"/>
        </w:rPr>
        <w:t> </w:t>
      </w:r>
      <w:r>
        <w:rPr>
          <w:sz w:val="24"/>
        </w:rPr>
        <w:t>is</w:t>
      </w:r>
      <w:r>
        <w:rPr>
          <w:spacing w:val="-3"/>
          <w:sz w:val="24"/>
        </w:rPr>
        <w:t> </w:t>
      </w:r>
      <w:r>
        <w:rPr>
          <w:sz w:val="24"/>
        </w:rPr>
        <w:t>overseen</w:t>
      </w:r>
      <w:r>
        <w:rPr>
          <w:spacing w:val="-3"/>
          <w:sz w:val="24"/>
        </w:rPr>
        <w:t> </w:t>
      </w:r>
      <w:r>
        <w:rPr>
          <w:sz w:val="24"/>
        </w:rPr>
        <w:t>by</w:t>
      </w:r>
      <w:r>
        <w:rPr>
          <w:spacing w:val="-3"/>
          <w:sz w:val="24"/>
        </w:rPr>
        <w:t> </w:t>
      </w:r>
      <w:r>
        <w:rPr>
          <w:sz w:val="24"/>
        </w:rPr>
        <w:t>the</w:t>
      </w:r>
      <w:r>
        <w:rPr>
          <w:spacing w:val="-3"/>
          <w:sz w:val="24"/>
        </w:rPr>
        <w:t> </w:t>
      </w:r>
      <w:r>
        <w:rPr>
          <w:sz w:val="24"/>
        </w:rPr>
        <w:t>Commission</w:t>
      </w:r>
      <w:r>
        <w:rPr>
          <w:spacing w:val="-3"/>
          <w:sz w:val="24"/>
        </w:rPr>
        <w:t> </w:t>
      </w:r>
      <w:r>
        <w:rPr>
          <w:sz w:val="24"/>
        </w:rPr>
        <w:t>for</w:t>
      </w:r>
      <w:r>
        <w:rPr>
          <w:spacing w:val="-2"/>
          <w:sz w:val="24"/>
        </w:rPr>
        <w:t> </w:t>
      </w:r>
      <w:r>
        <w:rPr>
          <w:sz w:val="24"/>
        </w:rPr>
        <w:t>Rehabilitation </w:t>
      </w:r>
      <w:r>
        <w:rPr>
          <w:spacing w:val="-2"/>
          <w:sz w:val="24"/>
        </w:rPr>
        <w:t>Services.</w:t>
      </w:r>
    </w:p>
    <w:p>
      <w:pPr>
        <w:pStyle w:val="ListParagraph"/>
        <w:numPr>
          <w:ilvl w:val="0"/>
          <w:numId w:val="8"/>
        </w:numPr>
        <w:tabs>
          <w:tab w:pos="785" w:val="left" w:leader="none"/>
        </w:tabs>
        <w:spacing w:line="208" w:lineRule="auto" w:before="239" w:after="0"/>
        <w:ind w:left="359" w:right="725" w:firstLine="0"/>
        <w:jc w:val="left"/>
        <w:rPr>
          <w:sz w:val="24"/>
        </w:rPr>
      </w:pPr>
      <w:r>
        <w:rPr>
          <w:sz w:val="24"/>
        </w:rPr>
        <w:t>To the extent deemed necessary and prudent by the Director, or in the Director's absence, the Chief of Staff supervises the Chief Fiscal Officer, the Chief Operations Officer,</w:t>
      </w:r>
      <w:r>
        <w:rPr>
          <w:spacing w:val="-5"/>
          <w:sz w:val="24"/>
        </w:rPr>
        <w:t> </w:t>
      </w:r>
      <w:r>
        <w:rPr>
          <w:sz w:val="24"/>
        </w:rPr>
        <w:t>the</w:t>
      </w:r>
      <w:r>
        <w:rPr>
          <w:spacing w:val="-5"/>
          <w:sz w:val="24"/>
        </w:rPr>
        <w:t> </w:t>
      </w:r>
      <w:r>
        <w:rPr>
          <w:sz w:val="24"/>
        </w:rPr>
        <w:t>Communications</w:t>
      </w:r>
      <w:r>
        <w:rPr>
          <w:spacing w:val="-4"/>
          <w:sz w:val="24"/>
        </w:rPr>
        <w:t> </w:t>
      </w:r>
      <w:r>
        <w:rPr>
          <w:sz w:val="24"/>
        </w:rPr>
        <w:t>Director,</w:t>
      </w:r>
      <w:r>
        <w:rPr>
          <w:spacing w:val="-5"/>
          <w:sz w:val="24"/>
        </w:rPr>
        <w:t> </w:t>
      </w:r>
      <w:r>
        <w:rPr>
          <w:sz w:val="24"/>
        </w:rPr>
        <w:t>the</w:t>
      </w:r>
      <w:r>
        <w:rPr>
          <w:spacing w:val="-4"/>
          <w:sz w:val="24"/>
        </w:rPr>
        <w:t> </w:t>
      </w:r>
      <w:r>
        <w:rPr>
          <w:sz w:val="24"/>
        </w:rPr>
        <w:t>Legislative</w:t>
      </w:r>
      <w:r>
        <w:rPr>
          <w:spacing w:val="-4"/>
          <w:sz w:val="24"/>
        </w:rPr>
        <w:t> </w:t>
      </w:r>
      <w:r>
        <w:rPr>
          <w:sz w:val="24"/>
        </w:rPr>
        <w:t>Liaison,</w:t>
      </w:r>
      <w:r>
        <w:rPr>
          <w:spacing w:val="-3"/>
          <w:sz w:val="24"/>
        </w:rPr>
        <w:t> </w:t>
      </w:r>
      <w:r>
        <w:rPr>
          <w:sz w:val="24"/>
        </w:rPr>
        <w:t>Division</w:t>
      </w:r>
      <w:r>
        <w:rPr>
          <w:spacing w:val="-4"/>
          <w:sz w:val="24"/>
        </w:rPr>
        <w:t> </w:t>
      </w:r>
      <w:r>
        <w:rPr>
          <w:sz w:val="24"/>
        </w:rPr>
        <w:t>Administrators</w:t>
      </w:r>
      <w:r>
        <w:rPr>
          <w:spacing w:val="-5"/>
          <w:sz w:val="24"/>
        </w:rPr>
        <w:t> </w:t>
      </w:r>
      <w:r>
        <w:rPr>
          <w:sz w:val="24"/>
        </w:rPr>
        <w:t>for Vocational Rehabilitation, Services for the Blind and Visually Impaired, Disability Determination Services, Process Improvement, the Superintendents of the School for the Blind and School for the Deaf, and the Project Coordinators.</w:t>
      </w:r>
    </w:p>
    <w:p>
      <w:pPr>
        <w:pStyle w:val="ListParagraph"/>
        <w:numPr>
          <w:ilvl w:val="0"/>
          <w:numId w:val="8"/>
        </w:numPr>
        <w:tabs>
          <w:tab w:pos="772" w:val="left" w:leader="none"/>
        </w:tabs>
        <w:spacing w:line="240" w:lineRule="auto" w:before="210" w:after="0"/>
        <w:ind w:left="772" w:right="0" w:hanging="413"/>
        <w:jc w:val="left"/>
        <w:rPr>
          <w:sz w:val="24"/>
        </w:rPr>
      </w:pPr>
      <w:r>
        <w:rPr>
          <w:sz w:val="24"/>
        </w:rPr>
        <w:t>The</w:t>
      </w:r>
      <w:r>
        <w:rPr>
          <w:spacing w:val="-3"/>
          <w:sz w:val="24"/>
        </w:rPr>
        <w:t> </w:t>
      </w:r>
      <w:r>
        <w:rPr>
          <w:sz w:val="24"/>
        </w:rPr>
        <w:t>Chief</w:t>
      </w:r>
      <w:r>
        <w:rPr>
          <w:spacing w:val="-2"/>
          <w:sz w:val="24"/>
        </w:rPr>
        <w:t> </w:t>
      </w:r>
      <w:r>
        <w:rPr>
          <w:sz w:val="24"/>
        </w:rPr>
        <w:t>of</w:t>
      </w:r>
      <w:r>
        <w:rPr>
          <w:spacing w:val="-2"/>
          <w:sz w:val="24"/>
        </w:rPr>
        <w:t> </w:t>
      </w:r>
      <w:r>
        <w:rPr>
          <w:sz w:val="24"/>
        </w:rPr>
        <w:t>Staff</w:t>
      </w:r>
      <w:r>
        <w:rPr>
          <w:spacing w:val="-4"/>
          <w:sz w:val="24"/>
        </w:rPr>
        <w:t> </w:t>
      </w:r>
      <w:r>
        <w:rPr>
          <w:sz w:val="24"/>
        </w:rPr>
        <w:t>duties</w:t>
      </w:r>
      <w:r>
        <w:rPr>
          <w:spacing w:val="-2"/>
          <w:sz w:val="24"/>
        </w:rPr>
        <w:t> include:</w:t>
      </w:r>
    </w:p>
    <w:p>
      <w:pPr>
        <w:pStyle w:val="ListParagraph"/>
        <w:numPr>
          <w:ilvl w:val="1"/>
          <w:numId w:val="8"/>
        </w:numPr>
        <w:tabs>
          <w:tab w:pos="1217" w:val="left" w:leader="none"/>
        </w:tabs>
        <w:spacing w:line="208" w:lineRule="auto" w:before="234" w:after="0"/>
        <w:ind w:left="791" w:right="802" w:firstLine="0"/>
        <w:jc w:val="left"/>
        <w:rPr>
          <w:sz w:val="24"/>
        </w:rPr>
      </w:pPr>
      <w:r>
        <w:rPr>
          <w:sz w:val="24"/>
        </w:rPr>
        <w:t>assuring</w:t>
      </w:r>
      <w:r>
        <w:rPr>
          <w:spacing w:val="-3"/>
          <w:sz w:val="24"/>
        </w:rPr>
        <w:t> </w:t>
      </w:r>
      <w:r>
        <w:rPr>
          <w:sz w:val="24"/>
        </w:rPr>
        <w:t>that</w:t>
      </w:r>
      <w:r>
        <w:rPr>
          <w:spacing w:val="-2"/>
          <w:sz w:val="24"/>
        </w:rPr>
        <w:t> </w:t>
      </w:r>
      <w:r>
        <w:rPr>
          <w:sz w:val="24"/>
        </w:rPr>
        <w:t>all</w:t>
      </w:r>
      <w:r>
        <w:rPr>
          <w:spacing w:val="-3"/>
          <w:sz w:val="24"/>
        </w:rPr>
        <w:t> </w:t>
      </w:r>
      <w:r>
        <w:rPr>
          <w:sz w:val="24"/>
        </w:rPr>
        <w:t>of</w:t>
      </w:r>
      <w:r>
        <w:rPr>
          <w:spacing w:val="-4"/>
          <w:sz w:val="24"/>
        </w:rPr>
        <w:t> </w:t>
      </w:r>
      <w:r>
        <w:rPr>
          <w:sz w:val="24"/>
        </w:rPr>
        <w:t>DRS</w:t>
      </w:r>
      <w:r>
        <w:rPr>
          <w:spacing w:val="-3"/>
          <w:sz w:val="24"/>
        </w:rPr>
        <w:t> </w:t>
      </w:r>
      <w:r>
        <w:rPr>
          <w:sz w:val="24"/>
        </w:rPr>
        <w:t>is</w:t>
      </w:r>
      <w:r>
        <w:rPr>
          <w:spacing w:val="-3"/>
          <w:sz w:val="24"/>
        </w:rPr>
        <w:t> </w:t>
      </w:r>
      <w:r>
        <w:rPr>
          <w:sz w:val="24"/>
        </w:rPr>
        <w:t>working</w:t>
      </w:r>
      <w:r>
        <w:rPr>
          <w:spacing w:val="-3"/>
          <w:sz w:val="24"/>
        </w:rPr>
        <w:t> </w:t>
      </w:r>
      <w:r>
        <w:rPr>
          <w:sz w:val="24"/>
        </w:rPr>
        <w:t>toward</w:t>
      </w:r>
      <w:r>
        <w:rPr>
          <w:spacing w:val="-3"/>
          <w:sz w:val="24"/>
        </w:rPr>
        <w:t> </w:t>
      </w:r>
      <w:r>
        <w:rPr>
          <w:sz w:val="24"/>
        </w:rPr>
        <w:t>its</w:t>
      </w:r>
      <w:r>
        <w:rPr>
          <w:spacing w:val="-3"/>
          <w:sz w:val="24"/>
        </w:rPr>
        <w:t> </w:t>
      </w:r>
      <w:r>
        <w:rPr>
          <w:sz w:val="24"/>
        </w:rPr>
        <w:t>mission</w:t>
      </w:r>
      <w:r>
        <w:rPr>
          <w:spacing w:val="-3"/>
          <w:sz w:val="24"/>
        </w:rPr>
        <w:t> </w:t>
      </w:r>
      <w:r>
        <w:rPr>
          <w:sz w:val="24"/>
        </w:rPr>
        <w:t>and</w:t>
      </w:r>
      <w:r>
        <w:rPr>
          <w:spacing w:val="-3"/>
          <w:sz w:val="24"/>
        </w:rPr>
        <w:t> </w:t>
      </w:r>
      <w:r>
        <w:rPr>
          <w:sz w:val="24"/>
        </w:rPr>
        <w:t>the</w:t>
      </w:r>
      <w:r>
        <w:rPr>
          <w:spacing w:val="-3"/>
          <w:sz w:val="24"/>
        </w:rPr>
        <w:t> </w:t>
      </w:r>
      <w:r>
        <w:rPr>
          <w:sz w:val="24"/>
        </w:rPr>
        <w:t>goals</w:t>
      </w:r>
      <w:r>
        <w:rPr>
          <w:spacing w:val="-3"/>
          <w:sz w:val="24"/>
        </w:rPr>
        <w:t> </w:t>
      </w:r>
      <w:r>
        <w:rPr>
          <w:sz w:val="24"/>
        </w:rPr>
        <w:t>established by the Commission and the Director through aggressive implementation of the planning and budgeting system;</w:t>
      </w:r>
    </w:p>
    <w:p>
      <w:pPr>
        <w:pStyle w:val="ListParagraph"/>
        <w:numPr>
          <w:ilvl w:val="1"/>
          <w:numId w:val="8"/>
        </w:numPr>
        <w:tabs>
          <w:tab w:pos="1217" w:val="left" w:leader="none"/>
        </w:tabs>
        <w:spacing w:line="208" w:lineRule="auto" w:before="239" w:after="0"/>
        <w:ind w:left="791" w:right="722" w:firstLine="0"/>
        <w:jc w:val="left"/>
        <w:rPr>
          <w:sz w:val="24"/>
        </w:rPr>
      </w:pPr>
      <w:r>
        <w:rPr>
          <w:sz w:val="24"/>
        </w:rPr>
        <w:t>serving</w:t>
      </w:r>
      <w:r>
        <w:rPr>
          <w:spacing w:val="-4"/>
          <w:sz w:val="24"/>
        </w:rPr>
        <w:t> </w:t>
      </w:r>
      <w:r>
        <w:rPr>
          <w:sz w:val="24"/>
        </w:rPr>
        <w:t>as</w:t>
      </w:r>
      <w:r>
        <w:rPr>
          <w:spacing w:val="-4"/>
          <w:sz w:val="24"/>
        </w:rPr>
        <w:t> </w:t>
      </w:r>
      <w:r>
        <w:rPr>
          <w:sz w:val="24"/>
        </w:rPr>
        <w:t>staff</w:t>
      </w:r>
      <w:r>
        <w:rPr>
          <w:spacing w:val="-4"/>
          <w:sz w:val="24"/>
        </w:rPr>
        <w:t> </w:t>
      </w:r>
      <w:r>
        <w:rPr>
          <w:sz w:val="24"/>
        </w:rPr>
        <w:t>to</w:t>
      </w:r>
      <w:r>
        <w:rPr>
          <w:spacing w:val="-4"/>
          <w:sz w:val="24"/>
        </w:rPr>
        <w:t> </w:t>
      </w:r>
      <w:r>
        <w:rPr>
          <w:sz w:val="24"/>
        </w:rPr>
        <w:t>the</w:t>
      </w:r>
      <w:r>
        <w:rPr>
          <w:spacing w:val="-4"/>
          <w:sz w:val="24"/>
        </w:rPr>
        <w:t> </w:t>
      </w:r>
      <w:r>
        <w:rPr>
          <w:sz w:val="24"/>
        </w:rPr>
        <w:t>Commission</w:t>
      </w:r>
      <w:r>
        <w:rPr>
          <w:spacing w:val="-4"/>
          <w:sz w:val="24"/>
        </w:rPr>
        <w:t> </w:t>
      </w:r>
      <w:r>
        <w:rPr>
          <w:sz w:val="24"/>
        </w:rPr>
        <w:t>for</w:t>
      </w:r>
      <w:r>
        <w:rPr>
          <w:spacing w:val="-3"/>
          <w:sz w:val="24"/>
        </w:rPr>
        <w:t> </w:t>
      </w:r>
      <w:r>
        <w:rPr>
          <w:sz w:val="24"/>
        </w:rPr>
        <w:t>Rehabilitation</w:t>
      </w:r>
      <w:r>
        <w:rPr>
          <w:spacing w:val="-4"/>
          <w:sz w:val="24"/>
        </w:rPr>
        <w:t> </w:t>
      </w:r>
      <w:r>
        <w:rPr>
          <w:sz w:val="24"/>
        </w:rPr>
        <w:t>Services</w:t>
      </w:r>
      <w:r>
        <w:rPr>
          <w:spacing w:val="-4"/>
          <w:sz w:val="24"/>
        </w:rPr>
        <w:t> </w:t>
      </w:r>
      <w:r>
        <w:rPr>
          <w:sz w:val="24"/>
        </w:rPr>
        <w:t>at</w:t>
      </w:r>
      <w:r>
        <w:rPr>
          <w:spacing w:val="-3"/>
          <w:sz w:val="24"/>
        </w:rPr>
        <w:t> </w:t>
      </w:r>
      <w:r>
        <w:rPr>
          <w:sz w:val="24"/>
        </w:rPr>
        <w:t>the</w:t>
      </w:r>
      <w:r>
        <w:rPr>
          <w:spacing w:val="-4"/>
          <w:sz w:val="24"/>
        </w:rPr>
        <w:t> </w:t>
      </w:r>
      <w:r>
        <w:rPr>
          <w:sz w:val="24"/>
        </w:rPr>
        <w:t>direction</w:t>
      </w:r>
      <w:r>
        <w:rPr>
          <w:spacing w:val="-4"/>
          <w:sz w:val="24"/>
        </w:rPr>
        <w:t> </w:t>
      </w:r>
      <w:r>
        <w:rPr>
          <w:sz w:val="24"/>
        </w:rPr>
        <w:t>of, or in the absence of, the Director, providing necessary input for decision-making</w:t>
      </w:r>
      <w:r>
        <w:rPr>
          <w:spacing w:val="40"/>
          <w:sz w:val="24"/>
        </w:rPr>
        <w:t> </w:t>
      </w:r>
      <w:r>
        <w:rPr>
          <w:sz w:val="24"/>
        </w:rPr>
        <w:t>and assuring that actions approved by the Commission are carried out;</w:t>
      </w:r>
    </w:p>
    <w:p>
      <w:pPr>
        <w:pStyle w:val="ListParagraph"/>
        <w:numPr>
          <w:ilvl w:val="1"/>
          <w:numId w:val="8"/>
        </w:numPr>
        <w:tabs>
          <w:tab w:pos="1217" w:val="left" w:leader="none"/>
        </w:tabs>
        <w:spacing w:line="208" w:lineRule="auto" w:before="240" w:after="0"/>
        <w:ind w:left="791" w:right="785" w:firstLine="0"/>
        <w:jc w:val="left"/>
        <w:rPr>
          <w:sz w:val="24"/>
        </w:rPr>
      </w:pPr>
      <w:r>
        <w:rPr>
          <w:sz w:val="24"/>
        </w:rPr>
        <w:t>developing</w:t>
      </w:r>
      <w:r>
        <w:rPr>
          <w:spacing w:val="-5"/>
          <w:sz w:val="24"/>
        </w:rPr>
        <w:t> </w:t>
      </w:r>
      <w:r>
        <w:rPr>
          <w:sz w:val="24"/>
        </w:rPr>
        <w:t>and</w:t>
      </w:r>
      <w:r>
        <w:rPr>
          <w:spacing w:val="-5"/>
          <w:sz w:val="24"/>
        </w:rPr>
        <w:t> </w:t>
      </w:r>
      <w:r>
        <w:rPr>
          <w:sz w:val="24"/>
        </w:rPr>
        <w:t>maintaining</w:t>
      </w:r>
      <w:r>
        <w:rPr>
          <w:spacing w:val="-5"/>
          <w:sz w:val="24"/>
        </w:rPr>
        <w:t> </w:t>
      </w:r>
      <w:r>
        <w:rPr>
          <w:sz w:val="24"/>
        </w:rPr>
        <w:t>cooperative</w:t>
      </w:r>
      <w:r>
        <w:rPr>
          <w:spacing w:val="-4"/>
          <w:sz w:val="24"/>
        </w:rPr>
        <w:t> </w:t>
      </w:r>
      <w:r>
        <w:rPr>
          <w:sz w:val="24"/>
        </w:rPr>
        <w:t>relationships</w:t>
      </w:r>
      <w:r>
        <w:rPr>
          <w:spacing w:val="-5"/>
          <w:sz w:val="24"/>
        </w:rPr>
        <w:t> </w:t>
      </w:r>
      <w:r>
        <w:rPr>
          <w:sz w:val="24"/>
        </w:rPr>
        <w:t>with</w:t>
      </w:r>
      <w:r>
        <w:rPr>
          <w:spacing w:val="-5"/>
          <w:sz w:val="24"/>
        </w:rPr>
        <w:t> </w:t>
      </w:r>
      <w:r>
        <w:rPr>
          <w:sz w:val="24"/>
        </w:rPr>
        <w:t>lawmakers</w:t>
      </w:r>
      <w:r>
        <w:rPr>
          <w:spacing w:val="-5"/>
          <w:sz w:val="24"/>
        </w:rPr>
        <w:t> </w:t>
      </w:r>
      <w:r>
        <w:rPr>
          <w:sz w:val="24"/>
        </w:rPr>
        <w:t>and</w:t>
      </w:r>
      <w:r>
        <w:rPr>
          <w:spacing w:val="-5"/>
          <w:sz w:val="24"/>
        </w:rPr>
        <w:t> </w:t>
      </w:r>
      <w:r>
        <w:rPr>
          <w:sz w:val="24"/>
        </w:rPr>
        <w:t>other officials, both federal and state, to assure the fulfillment of DRS's mission;</w:t>
      </w:r>
    </w:p>
    <w:p>
      <w:pPr>
        <w:pStyle w:val="ListParagraph"/>
        <w:numPr>
          <w:ilvl w:val="1"/>
          <w:numId w:val="8"/>
        </w:numPr>
        <w:tabs>
          <w:tab w:pos="1216" w:val="left" w:leader="none"/>
        </w:tabs>
        <w:spacing w:line="208" w:lineRule="auto" w:before="240" w:after="0"/>
        <w:ind w:left="791" w:right="736" w:firstLine="0"/>
        <w:jc w:val="left"/>
        <w:rPr>
          <w:sz w:val="24"/>
        </w:rPr>
      </w:pPr>
      <w:r>
        <w:rPr>
          <w:sz w:val="24"/>
        </w:rPr>
        <w:t>maximizing</w:t>
      </w:r>
      <w:r>
        <w:rPr>
          <w:spacing w:val="-3"/>
          <w:sz w:val="24"/>
        </w:rPr>
        <w:t> </w:t>
      </w:r>
      <w:r>
        <w:rPr>
          <w:sz w:val="24"/>
        </w:rPr>
        <w:t>all</w:t>
      </w:r>
      <w:r>
        <w:rPr>
          <w:spacing w:val="-3"/>
          <w:sz w:val="24"/>
        </w:rPr>
        <w:t> </w:t>
      </w:r>
      <w:r>
        <w:rPr>
          <w:sz w:val="24"/>
        </w:rPr>
        <w:t>available</w:t>
      </w:r>
      <w:r>
        <w:rPr>
          <w:spacing w:val="-3"/>
          <w:sz w:val="24"/>
        </w:rPr>
        <w:t> </w:t>
      </w:r>
      <w:r>
        <w:rPr>
          <w:sz w:val="24"/>
        </w:rPr>
        <w:t>resources</w:t>
      </w:r>
      <w:r>
        <w:rPr>
          <w:spacing w:val="-3"/>
          <w:sz w:val="24"/>
        </w:rPr>
        <w:t> </w:t>
      </w:r>
      <w:r>
        <w:rPr>
          <w:sz w:val="24"/>
        </w:rPr>
        <w:t>for</w:t>
      </w:r>
      <w:r>
        <w:rPr>
          <w:spacing w:val="-4"/>
          <w:sz w:val="24"/>
        </w:rPr>
        <w:t> </w:t>
      </w:r>
      <w:r>
        <w:rPr>
          <w:sz w:val="24"/>
        </w:rPr>
        <w:t>the</w:t>
      </w:r>
      <w:r>
        <w:rPr>
          <w:spacing w:val="-4"/>
          <w:sz w:val="24"/>
        </w:rPr>
        <w:t> </w:t>
      </w:r>
      <w:r>
        <w:rPr>
          <w:sz w:val="24"/>
        </w:rPr>
        <w:t>delivery</w:t>
      </w:r>
      <w:r>
        <w:rPr>
          <w:spacing w:val="-3"/>
          <w:sz w:val="24"/>
        </w:rPr>
        <w:t> </w:t>
      </w:r>
      <w:r>
        <w:rPr>
          <w:sz w:val="24"/>
        </w:rPr>
        <w:t>of</w:t>
      </w:r>
      <w:r>
        <w:rPr>
          <w:spacing w:val="-2"/>
          <w:sz w:val="24"/>
        </w:rPr>
        <w:t> </w:t>
      </w:r>
      <w:r>
        <w:rPr>
          <w:sz w:val="24"/>
        </w:rPr>
        <w:t>services</w:t>
      </w:r>
      <w:r>
        <w:rPr>
          <w:spacing w:val="-3"/>
          <w:sz w:val="24"/>
        </w:rPr>
        <w:t> </w:t>
      </w:r>
      <w:r>
        <w:rPr>
          <w:sz w:val="24"/>
        </w:rPr>
        <w:t>to</w:t>
      </w:r>
      <w:r>
        <w:rPr>
          <w:spacing w:val="-4"/>
          <w:sz w:val="24"/>
        </w:rPr>
        <w:t> </w:t>
      </w:r>
      <w:r>
        <w:rPr>
          <w:sz w:val="24"/>
        </w:rPr>
        <w:t>the</w:t>
      </w:r>
      <w:r>
        <w:rPr>
          <w:spacing w:val="-3"/>
          <w:sz w:val="24"/>
        </w:rPr>
        <w:t> </w:t>
      </w:r>
      <w:r>
        <w:rPr>
          <w:sz w:val="24"/>
        </w:rPr>
        <w:t>clients</w:t>
      </w:r>
      <w:r>
        <w:rPr>
          <w:spacing w:val="-3"/>
          <w:sz w:val="24"/>
        </w:rPr>
        <w:t> </w:t>
      </w:r>
      <w:r>
        <w:rPr>
          <w:sz w:val="24"/>
        </w:rPr>
        <w:t>DRS is charged to serve;</w:t>
      </w:r>
    </w:p>
    <w:p>
      <w:pPr>
        <w:pStyle w:val="ListParagraph"/>
        <w:numPr>
          <w:ilvl w:val="1"/>
          <w:numId w:val="8"/>
        </w:numPr>
        <w:tabs>
          <w:tab w:pos="1217" w:val="left" w:leader="none"/>
        </w:tabs>
        <w:spacing w:line="240" w:lineRule="auto" w:before="210" w:after="0"/>
        <w:ind w:left="1217" w:right="0" w:hanging="426"/>
        <w:jc w:val="left"/>
        <w:rPr>
          <w:sz w:val="24"/>
        </w:rPr>
      </w:pPr>
      <w:r>
        <w:rPr>
          <w:sz w:val="24"/>
        </w:rPr>
        <w:t>serving</w:t>
      </w:r>
      <w:r>
        <w:rPr>
          <w:spacing w:val="-5"/>
          <w:sz w:val="24"/>
        </w:rPr>
        <w:t> </w:t>
      </w:r>
      <w:r>
        <w:rPr>
          <w:sz w:val="24"/>
        </w:rPr>
        <w:t>as</w:t>
      </w:r>
      <w:r>
        <w:rPr>
          <w:spacing w:val="-2"/>
          <w:sz w:val="24"/>
        </w:rPr>
        <w:t> </w:t>
      </w:r>
      <w:r>
        <w:rPr>
          <w:sz w:val="24"/>
        </w:rPr>
        <w:t>a</w:t>
      </w:r>
      <w:r>
        <w:rPr>
          <w:spacing w:val="-2"/>
          <w:sz w:val="24"/>
        </w:rPr>
        <w:t> </w:t>
      </w:r>
      <w:r>
        <w:rPr>
          <w:sz w:val="24"/>
        </w:rPr>
        <w:t>spokesperson</w:t>
      </w:r>
      <w:r>
        <w:rPr>
          <w:spacing w:val="-2"/>
          <w:sz w:val="24"/>
        </w:rPr>
        <w:t> </w:t>
      </w:r>
      <w:r>
        <w:rPr>
          <w:sz w:val="24"/>
        </w:rPr>
        <w:t>for</w:t>
      </w:r>
      <w:r>
        <w:rPr>
          <w:spacing w:val="-3"/>
          <w:sz w:val="24"/>
        </w:rPr>
        <w:t> </w:t>
      </w:r>
      <w:r>
        <w:rPr>
          <w:sz w:val="24"/>
        </w:rPr>
        <w:t>DRS</w:t>
      </w:r>
      <w:r>
        <w:rPr>
          <w:spacing w:val="-2"/>
          <w:sz w:val="24"/>
        </w:rPr>
        <w:t> </w:t>
      </w:r>
      <w:r>
        <w:rPr>
          <w:sz w:val="24"/>
        </w:rPr>
        <w:t>and</w:t>
      </w:r>
      <w:r>
        <w:rPr>
          <w:spacing w:val="-1"/>
          <w:sz w:val="24"/>
        </w:rPr>
        <w:t> </w:t>
      </w:r>
      <w:r>
        <w:rPr>
          <w:sz w:val="24"/>
        </w:rPr>
        <w:t>as</w:t>
      </w:r>
      <w:r>
        <w:rPr>
          <w:spacing w:val="-2"/>
          <w:sz w:val="24"/>
        </w:rPr>
        <w:t> </w:t>
      </w:r>
      <w:r>
        <w:rPr>
          <w:sz w:val="24"/>
        </w:rPr>
        <w:t>an</w:t>
      </w:r>
      <w:r>
        <w:rPr>
          <w:spacing w:val="-2"/>
          <w:sz w:val="24"/>
        </w:rPr>
        <w:t> </w:t>
      </w:r>
      <w:r>
        <w:rPr>
          <w:sz w:val="24"/>
        </w:rPr>
        <w:t>advocate</w:t>
      </w:r>
      <w:r>
        <w:rPr>
          <w:spacing w:val="-2"/>
          <w:sz w:val="24"/>
        </w:rPr>
        <w:t> </w:t>
      </w:r>
      <w:r>
        <w:rPr>
          <w:sz w:val="24"/>
        </w:rPr>
        <w:t>for</w:t>
      </w:r>
      <w:r>
        <w:rPr>
          <w:spacing w:val="-3"/>
          <w:sz w:val="24"/>
        </w:rPr>
        <w:t> </w:t>
      </w:r>
      <w:r>
        <w:rPr>
          <w:sz w:val="24"/>
        </w:rPr>
        <w:t>the</w:t>
      </w:r>
      <w:r>
        <w:rPr>
          <w:spacing w:val="-2"/>
          <w:sz w:val="24"/>
        </w:rPr>
        <w:t> </w:t>
      </w:r>
      <w:r>
        <w:rPr>
          <w:sz w:val="24"/>
        </w:rPr>
        <w:t>clients</w:t>
      </w:r>
      <w:r>
        <w:rPr>
          <w:spacing w:val="-2"/>
          <w:sz w:val="24"/>
        </w:rPr>
        <w:t> </w:t>
      </w:r>
      <w:r>
        <w:rPr>
          <w:sz w:val="24"/>
        </w:rPr>
        <w:t>it</w:t>
      </w:r>
      <w:r>
        <w:rPr>
          <w:spacing w:val="-1"/>
          <w:sz w:val="24"/>
        </w:rPr>
        <w:t> </w:t>
      </w:r>
      <w:r>
        <w:rPr>
          <w:spacing w:val="-2"/>
          <w:sz w:val="24"/>
        </w:rPr>
        <w:t>serves;</w:t>
      </w:r>
    </w:p>
    <w:p>
      <w:pPr>
        <w:pStyle w:val="ListParagraph"/>
        <w:numPr>
          <w:ilvl w:val="1"/>
          <w:numId w:val="8"/>
        </w:numPr>
        <w:tabs>
          <w:tab w:pos="1217" w:val="left" w:leader="none"/>
        </w:tabs>
        <w:spacing w:line="240" w:lineRule="auto" w:before="204" w:after="0"/>
        <w:ind w:left="1217" w:right="0" w:hanging="426"/>
        <w:jc w:val="left"/>
        <w:rPr>
          <w:sz w:val="24"/>
        </w:rPr>
      </w:pPr>
      <w:r>
        <w:rPr>
          <w:sz w:val="24"/>
        </w:rPr>
        <w:t>assuring</w:t>
      </w:r>
      <w:r>
        <w:rPr>
          <w:spacing w:val="-6"/>
          <w:sz w:val="24"/>
        </w:rPr>
        <w:t> </w:t>
      </w:r>
      <w:r>
        <w:rPr>
          <w:sz w:val="24"/>
        </w:rPr>
        <w:t>the</w:t>
      </w:r>
      <w:r>
        <w:rPr>
          <w:spacing w:val="-3"/>
          <w:sz w:val="24"/>
        </w:rPr>
        <w:t> </w:t>
      </w:r>
      <w:r>
        <w:rPr>
          <w:sz w:val="24"/>
        </w:rPr>
        <w:t>coordination</w:t>
      </w:r>
      <w:r>
        <w:rPr>
          <w:spacing w:val="-4"/>
          <w:sz w:val="24"/>
        </w:rPr>
        <w:t> </w:t>
      </w:r>
      <w:r>
        <w:rPr>
          <w:sz w:val="24"/>
        </w:rPr>
        <w:t>of</w:t>
      </w:r>
      <w:r>
        <w:rPr>
          <w:spacing w:val="-2"/>
          <w:sz w:val="24"/>
        </w:rPr>
        <w:t> </w:t>
      </w:r>
      <w:r>
        <w:rPr>
          <w:sz w:val="24"/>
        </w:rPr>
        <w:t>services</w:t>
      </w:r>
      <w:r>
        <w:rPr>
          <w:spacing w:val="-4"/>
          <w:sz w:val="24"/>
        </w:rPr>
        <w:t> </w:t>
      </w:r>
      <w:r>
        <w:rPr>
          <w:sz w:val="24"/>
        </w:rPr>
        <w:t>with</w:t>
      </w:r>
      <w:r>
        <w:rPr>
          <w:spacing w:val="-3"/>
          <w:sz w:val="24"/>
        </w:rPr>
        <w:t> </w:t>
      </w:r>
      <w:r>
        <w:rPr>
          <w:sz w:val="24"/>
        </w:rPr>
        <w:t>other</w:t>
      </w:r>
      <w:r>
        <w:rPr>
          <w:spacing w:val="-3"/>
          <w:sz w:val="24"/>
        </w:rPr>
        <w:t> </w:t>
      </w:r>
      <w:r>
        <w:rPr>
          <w:sz w:val="24"/>
        </w:rPr>
        <w:t>state</w:t>
      </w:r>
      <w:r>
        <w:rPr>
          <w:spacing w:val="-3"/>
          <w:sz w:val="24"/>
        </w:rPr>
        <w:t> </w:t>
      </w:r>
      <w:r>
        <w:rPr>
          <w:sz w:val="24"/>
        </w:rPr>
        <w:t>agencies;</w:t>
      </w:r>
      <w:r>
        <w:rPr>
          <w:spacing w:val="-1"/>
          <w:sz w:val="24"/>
        </w:rPr>
        <w:t> </w:t>
      </w:r>
      <w:r>
        <w:rPr>
          <w:spacing w:val="-4"/>
          <w:sz w:val="24"/>
        </w:rPr>
        <w:t>and,</w:t>
      </w:r>
    </w:p>
    <w:p>
      <w:pPr>
        <w:pStyle w:val="ListParagraph"/>
        <w:numPr>
          <w:ilvl w:val="1"/>
          <w:numId w:val="8"/>
        </w:numPr>
        <w:tabs>
          <w:tab w:pos="1217" w:val="left" w:leader="none"/>
        </w:tabs>
        <w:spacing w:line="208" w:lineRule="auto" w:before="234" w:after="0"/>
        <w:ind w:left="791" w:right="809" w:firstLine="0"/>
        <w:jc w:val="left"/>
        <w:rPr>
          <w:sz w:val="24"/>
        </w:rPr>
      </w:pPr>
      <w:r>
        <w:rPr>
          <w:sz w:val="24"/>
        </w:rPr>
        <w:t>carrying</w:t>
      </w:r>
      <w:r>
        <w:rPr>
          <w:spacing w:val="-4"/>
          <w:sz w:val="24"/>
        </w:rPr>
        <w:t> </w:t>
      </w:r>
      <w:r>
        <w:rPr>
          <w:sz w:val="24"/>
        </w:rPr>
        <w:t>out</w:t>
      </w:r>
      <w:r>
        <w:rPr>
          <w:spacing w:val="-3"/>
          <w:sz w:val="24"/>
        </w:rPr>
        <w:t> </w:t>
      </w:r>
      <w:r>
        <w:rPr>
          <w:sz w:val="24"/>
        </w:rPr>
        <w:t>such</w:t>
      </w:r>
      <w:r>
        <w:rPr>
          <w:spacing w:val="-5"/>
          <w:sz w:val="24"/>
        </w:rPr>
        <w:t> </w:t>
      </w:r>
      <w:r>
        <w:rPr>
          <w:sz w:val="24"/>
        </w:rPr>
        <w:t>other</w:t>
      </w:r>
      <w:r>
        <w:rPr>
          <w:spacing w:val="-3"/>
          <w:sz w:val="24"/>
        </w:rPr>
        <w:t> </w:t>
      </w:r>
      <w:r>
        <w:rPr>
          <w:sz w:val="24"/>
        </w:rPr>
        <w:t>duties</w:t>
      </w:r>
      <w:r>
        <w:rPr>
          <w:spacing w:val="-4"/>
          <w:sz w:val="24"/>
        </w:rPr>
        <w:t> </w:t>
      </w:r>
      <w:r>
        <w:rPr>
          <w:sz w:val="24"/>
        </w:rPr>
        <w:t>and</w:t>
      </w:r>
      <w:r>
        <w:rPr>
          <w:spacing w:val="-4"/>
          <w:sz w:val="24"/>
        </w:rPr>
        <w:t> </w:t>
      </w:r>
      <w:r>
        <w:rPr>
          <w:sz w:val="24"/>
        </w:rPr>
        <w:t>assignments</w:t>
      </w:r>
      <w:r>
        <w:rPr>
          <w:spacing w:val="-4"/>
          <w:sz w:val="24"/>
        </w:rPr>
        <w:t> </w:t>
      </w:r>
      <w:r>
        <w:rPr>
          <w:sz w:val="24"/>
        </w:rPr>
        <w:t>the</w:t>
      </w:r>
      <w:r>
        <w:rPr>
          <w:spacing w:val="-5"/>
          <w:sz w:val="24"/>
        </w:rPr>
        <w:t> </w:t>
      </w:r>
      <w:r>
        <w:rPr>
          <w:sz w:val="24"/>
        </w:rPr>
        <w:t>Director,</w:t>
      </w:r>
      <w:r>
        <w:rPr>
          <w:spacing w:val="-3"/>
          <w:sz w:val="24"/>
        </w:rPr>
        <w:t> </w:t>
      </w:r>
      <w:r>
        <w:rPr>
          <w:sz w:val="24"/>
        </w:rPr>
        <w:t>or</w:t>
      </w:r>
      <w:r>
        <w:rPr>
          <w:spacing w:val="-3"/>
          <w:sz w:val="24"/>
        </w:rPr>
        <w:t> </w:t>
      </w:r>
      <w:r>
        <w:rPr>
          <w:sz w:val="24"/>
        </w:rPr>
        <w:t>in</w:t>
      </w:r>
      <w:r>
        <w:rPr>
          <w:spacing w:val="-4"/>
          <w:sz w:val="24"/>
        </w:rPr>
        <w:t> </w:t>
      </w:r>
      <w:r>
        <w:rPr>
          <w:sz w:val="24"/>
        </w:rPr>
        <w:t>the</w:t>
      </w:r>
      <w:r>
        <w:rPr>
          <w:spacing w:val="-4"/>
          <w:sz w:val="24"/>
        </w:rPr>
        <w:t> </w:t>
      </w:r>
      <w:r>
        <w:rPr>
          <w:sz w:val="24"/>
        </w:rPr>
        <w:t>Director's absence, the Commission deems necessary and prudent to attain the mission of DRS; delegating authority to complete duties assigned, and overseeing the accomplishment of those assigned responsibilities.</w:t>
      </w:r>
    </w:p>
    <w:p>
      <w:pPr>
        <w:spacing w:before="243"/>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9"/>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#94-</w:t>
      </w:r>
      <w:r>
        <w:rPr>
          <w:spacing w:val="-10"/>
          <w:sz w:val="22"/>
        </w:rPr>
        <w:t>1</w:t>
      </w:r>
    </w:p>
    <w:p>
      <w:pPr>
        <w:spacing w:before="0"/>
        <w:ind w:left="1439" w:right="775" w:firstLine="0"/>
        <w:jc w:val="left"/>
        <w:rPr>
          <w:sz w:val="22"/>
        </w:rPr>
      </w:pPr>
      <w:r>
        <w:rPr>
          <w:sz w:val="22"/>
        </w:rPr>
        <w:t>Permanent,</w:t>
      </w:r>
      <w:r>
        <w:rPr>
          <w:spacing w:val="-2"/>
          <w:sz w:val="22"/>
        </w:rPr>
        <w:t> </w:t>
      </w:r>
      <w:r>
        <w:rPr>
          <w:sz w:val="22"/>
        </w:rPr>
        <w:t>first</w:t>
      </w:r>
      <w:r>
        <w:rPr>
          <w:spacing w:val="-3"/>
          <w:sz w:val="22"/>
        </w:rPr>
        <w:t> </w:t>
      </w:r>
      <w:r>
        <w:rPr>
          <w:sz w:val="22"/>
        </w:rPr>
        <w:t>adoption</w:t>
      </w:r>
      <w:r>
        <w:rPr>
          <w:spacing w:val="-3"/>
          <w:sz w:val="22"/>
        </w:rPr>
        <w:t> </w:t>
      </w:r>
      <w:r>
        <w:rPr>
          <w:sz w:val="22"/>
        </w:rPr>
        <w:t>under</w:t>
      </w:r>
      <w:r>
        <w:rPr>
          <w:spacing w:val="-3"/>
          <w:sz w:val="22"/>
        </w:rPr>
        <w:t> </w:t>
      </w:r>
      <w:r>
        <w:rPr>
          <w:sz w:val="22"/>
        </w:rPr>
        <w:t>OAC</w:t>
      </w:r>
      <w:r>
        <w:rPr>
          <w:spacing w:val="-4"/>
          <w:sz w:val="22"/>
        </w:rPr>
        <w:t> </w:t>
      </w:r>
      <w:r>
        <w:rPr>
          <w:sz w:val="22"/>
        </w:rPr>
        <w:t>Title</w:t>
      </w:r>
      <w:r>
        <w:rPr>
          <w:spacing w:val="-3"/>
          <w:sz w:val="22"/>
        </w:rPr>
        <w:t> </w:t>
      </w:r>
      <w:r>
        <w:rPr>
          <w:sz w:val="22"/>
        </w:rPr>
        <w:t>612,</w:t>
      </w:r>
      <w:r>
        <w:rPr>
          <w:spacing w:val="-4"/>
          <w:sz w:val="22"/>
        </w:rPr>
        <w:t> </w:t>
      </w:r>
      <w:r>
        <w:rPr>
          <w:sz w:val="22"/>
        </w:rPr>
        <w:t>new</w:t>
      </w:r>
      <w:r>
        <w:rPr>
          <w:spacing w:val="-4"/>
          <w:sz w:val="22"/>
        </w:rPr>
        <w:t> </w:t>
      </w:r>
      <w:r>
        <w:rPr>
          <w:sz w:val="22"/>
        </w:rPr>
        <w:t>Section</w:t>
      </w:r>
      <w:r>
        <w:rPr>
          <w:spacing w:val="-3"/>
          <w:sz w:val="22"/>
        </w:rPr>
        <w:t> </w:t>
      </w:r>
      <w:r>
        <w:rPr>
          <w:sz w:val="22"/>
        </w:rPr>
        <w:t>describing</w:t>
      </w:r>
      <w:r>
        <w:rPr>
          <w:spacing w:val="-6"/>
          <w:sz w:val="22"/>
        </w:rPr>
        <w:t> </w:t>
      </w:r>
      <w:r>
        <w:rPr>
          <w:sz w:val="22"/>
        </w:rPr>
        <w:t>duties</w:t>
      </w:r>
      <w:r>
        <w:rPr>
          <w:spacing w:val="-3"/>
          <w:sz w:val="22"/>
        </w:rPr>
        <w:t> </w:t>
      </w:r>
      <w:r>
        <w:rPr>
          <w:sz w:val="22"/>
        </w:rPr>
        <w:t>of Deputy Director.</w:t>
      </w:r>
    </w:p>
    <w:p>
      <w:pPr>
        <w:pStyle w:val="ListParagraph"/>
        <w:numPr>
          <w:ilvl w:val="2"/>
          <w:numId w:val="9"/>
        </w:numPr>
        <w:tabs>
          <w:tab w:pos="1439" w:val="left" w:leader="none"/>
        </w:tabs>
        <w:spacing w:line="240" w:lineRule="auto"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#95-</w:t>
      </w:r>
      <w:r>
        <w:rPr>
          <w:spacing w:val="-10"/>
          <w:sz w:val="22"/>
        </w:rPr>
        <w:t>2</w:t>
      </w:r>
    </w:p>
    <w:p>
      <w:pPr>
        <w:spacing w:before="1"/>
        <w:ind w:left="1439" w:right="775" w:firstLine="0"/>
        <w:jc w:val="left"/>
        <w:rPr>
          <w:sz w:val="22"/>
        </w:rPr>
      </w:pPr>
      <w:r>
        <w:rPr>
          <w:sz w:val="22"/>
        </w:rPr>
        <w:t>Permanent, change Administrative Services Division to Management Services. Division.</w:t>
      </w:r>
      <w:r>
        <w:rPr>
          <w:spacing w:val="-4"/>
          <w:sz w:val="22"/>
        </w:rPr>
        <w:t> </w:t>
      </w:r>
      <w:r>
        <w:rPr>
          <w:sz w:val="22"/>
        </w:rPr>
        <w:t>Indicate</w:t>
      </w:r>
      <w:r>
        <w:rPr>
          <w:spacing w:val="-4"/>
          <w:sz w:val="22"/>
        </w:rPr>
        <w:t> </w:t>
      </w:r>
      <w:r>
        <w:rPr>
          <w:sz w:val="22"/>
        </w:rPr>
        <w:t>that</w:t>
      </w:r>
      <w:r>
        <w:rPr>
          <w:spacing w:val="-4"/>
          <w:sz w:val="22"/>
        </w:rPr>
        <w:t> </w:t>
      </w:r>
      <w:r>
        <w:rPr>
          <w:sz w:val="22"/>
        </w:rPr>
        <w:t>the</w:t>
      </w:r>
      <w:r>
        <w:rPr>
          <w:spacing w:val="-4"/>
          <w:sz w:val="22"/>
        </w:rPr>
        <w:t> </w:t>
      </w:r>
      <w:r>
        <w:rPr>
          <w:sz w:val="22"/>
        </w:rPr>
        <w:t>Public</w:t>
      </w:r>
      <w:r>
        <w:rPr>
          <w:spacing w:val="-4"/>
          <w:sz w:val="22"/>
        </w:rPr>
        <w:t> </w:t>
      </w:r>
      <w:r>
        <w:rPr>
          <w:sz w:val="22"/>
        </w:rPr>
        <w:t>Information</w:t>
      </w:r>
      <w:r>
        <w:rPr>
          <w:spacing w:val="-4"/>
          <w:sz w:val="22"/>
        </w:rPr>
        <w:t> </w:t>
      </w:r>
      <w:r>
        <w:rPr>
          <w:sz w:val="22"/>
        </w:rPr>
        <w:t>Officer</w:t>
      </w:r>
      <w:r>
        <w:rPr>
          <w:spacing w:val="-4"/>
          <w:sz w:val="22"/>
        </w:rPr>
        <w:t> </w:t>
      </w:r>
      <w:r>
        <w:rPr>
          <w:sz w:val="22"/>
        </w:rPr>
        <w:t>and</w:t>
      </w:r>
      <w:r>
        <w:rPr>
          <w:spacing w:val="-4"/>
          <w:sz w:val="22"/>
        </w:rPr>
        <w:t> </w:t>
      </w:r>
      <w:r>
        <w:rPr>
          <w:sz w:val="22"/>
        </w:rPr>
        <w:t>External</w:t>
      </w:r>
      <w:r>
        <w:rPr>
          <w:spacing w:val="-4"/>
          <w:sz w:val="22"/>
        </w:rPr>
        <w:t> </w:t>
      </w:r>
      <w:r>
        <w:rPr>
          <w:sz w:val="22"/>
        </w:rPr>
        <w:t>Relations</w:t>
      </w:r>
      <w:r>
        <w:rPr>
          <w:spacing w:val="-4"/>
          <w:sz w:val="22"/>
        </w:rPr>
        <w:t> </w:t>
      </w:r>
      <w:r>
        <w:rPr>
          <w:sz w:val="22"/>
        </w:rPr>
        <w:t>Officer are two different positions.</w:t>
      </w:r>
    </w:p>
    <w:p>
      <w:pPr>
        <w:pStyle w:val="ListParagraph"/>
        <w:numPr>
          <w:ilvl w:val="2"/>
          <w:numId w:val="10"/>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#98-</w:t>
      </w:r>
      <w:r>
        <w:rPr>
          <w:spacing w:val="-5"/>
          <w:sz w:val="22"/>
        </w:rPr>
        <w:t>14</w:t>
      </w:r>
    </w:p>
    <w:p>
      <w:pPr>
        <w:tabs>
          <w:tab w:pos="1439" w:val="left" w:leader="none"/>
        </w:tabs>
        <w:spacing w:before="0"/>
        <w:ind w:left="360" w:right="6013" w:firstLine="1080"/>
        <w:jc w:val="left"/>
        <w:rPr>
          <w:sz w:val="22"/>
        </w:rPr>
      </w:pPr>
      <w:r>
        <w:rPr>
          <w:sz w:val="22"/>
        </w:rPr>
        <w:t>Permanent,</w:t>
      </w:r>
      <w:r>
        <w:rPr>
          <w:spacing w:val="-12"/>
          <w:sz w:val="22"/>
        </w:rPr>
        <w:t> </w:t>
      </w:r>
      <w:r>
        <w:rPr>
          <w:sz w:val="22"/>
        </w:rPr>
        <w:t>updated</w:t>
      </w:r>
      <w:r>
        <w:rPr>
          <w:spacing w:val="-13"/>
          <w:sz w:val="22"/>
        </w:rPr>
        <w:t> </w:t>
      </w:r>
      <w:r>
        <w:rPr>
          <w:sz w:val="22"/>
        </w:rPr>
        <w:t>staff</w:t>
      </w:r>
      <w:r>
        <w:rPr>
          <w:spacing w:val="-13"/>
          <w:sz w:val="22"/>
        </w:rPr>
        <w:t> </w:t>
      </w:r>
      <w:r>
        <w:rPr>
          <w:sz w:val="22"/>
        </w:rPr>
        <w:t>titles </w:t>
      </w:r>
      <w:r>
        <w:rPr>
          <w:spacing w:val="-2"/>
          <w:sz w:val="22"/>
        </w:rPr>
        <w:t>7-1-99</w:t>
      </w:r>
      <w:r>
        <w:rPr>
          <w:sz w:val="22"/>
        </w:rPr>
        <w:tab/>
        <w:t>POL Memo #00-1</w:t>
      </w:r>
    </w:p>
    <w:p>
      <w:pPr>
        <w:spacing w:after="0"/>
        <w:jc w:val="left"/>
        <w:rPr>
          <w:sz w:val="22"/>
        </w:rPr>
        <w:sectPr>
          <w:pgSz w:w="12240" w:h="15840"/>
          <w:pgMar w:top="1340" w:bottom="280" w:left="1080" w:right="720"/>
        </w:sectPr>
      </w:pPr>
    </w:p>
    <w:p>
      <w:pPr>
        <w:tabs>
          <w:tab w:pos="1439" w:val="left" w:leader="none"/>
        </w:tabs>
        <w:spacing w:before="80"/>
        <w:ind w:left="359" w:right="5967" w:firstLine="1080"/>
        <w:jc w:val="left"/>
        <w:rPr>
          <w:sz w:val="22"/>
        </w:rPr>
      </w:pPr>
      <w:r>
        <w:rPr>
          <w:sz w:val="22"/>
        </w:rPr>
        <w:t>Permanent,</w:t>
      </w:r>
      <w:r>
        <w:rPr>
          <w:spacing w:val="-16"/>
          <w:sz w:val="22"/>
        </w:rPr>
        <w:t> </w:t>
      </w:r>
      <w:r>
        <w:rPr>
          <w:sz w:val="22"/>
        </w:rPr>
        <w:t>updated</w:t>
      </w:r>
      <w:r>
        <w:rPr>
          <w:spacing w:val="-15"/>
          <w:sz w:val="22"/>
        </w:rPr>
        <w:t> </w:t>
      </w:r>
      <w:r>
        <w:rPr>
          <w:sz w:val="22"/>
        </w:rPr>
        <w:t>DVR/DVS </w:t>
      </w:r>
      <w:r>
        <w:rPr>
          <w:spacing w:val="-2"/>
          <w:sz w:val="22"/>
        </w:rPr>
        <w:t>7-1-10</w:t>
      </w:r>
      <w:r>
        <w:rPr>
          <w:sz w:val="22"/>
        </w:rPr>
        <w:tab/>
        <w:t>PT Memo #10-02</w:t>
      </w:r>
    </w:p>
    <w:p>
      <w:pPr>
        <w:spacing w:line="252" w:lineRule="exact" w:before="0"/>
        <w:ind w:left="1439" w:right="0" w:firstLine="0"/>
        <w:jc w:val="left"/>
        <w:rPr>
          <w:sz w:val="22"/>
        </w:rPr>
      </w:pPr>
      <w:r>
        <w:rPr>
          <w:sz w:val="22"/>
        </w:rPr>
        <w:t>Permanent,</w:t>
      </w:r>
      <w:r>
        <w:rPr>
          <w:spacing w:val="-7"/>
          <w:sz w:val="22"/>
        </w:rPr>
        <w:t> </w:t>
      </w:r>
      <w:r>
        <w:rPr>
          <w:sz w:val="22"/>
        </w:rPr>
        <w:t>replaced</w:t>
      </w:r>
      <w:r>
        <w:rPr>
          <w:spacing w:val="-8"/>
          <w:sz w:val="22"/>
        </w:rPr>
        <w:t> </w:t>
      </w:r>
      <w:r>
        <w:rPr>
          <w:sz w:val="22"/>
        </w:rPr>
        <w:t>Deputy</w:t>
      </w:r>
      <w:r>
        <w:rPr>
          <w:spacing w:val="-7"/>
          <w:sz w:val="22"/>
        </w:rPr>
        <w:t> </w:t>
      </w:r>
      <w:r>
        <w:rPr>
          <w:sz w:val="22"/>
        </w:rPr>
        <w:t>Director</w:t>
      </w:r>
      <w:r>
        <w:rPr>
          <w:spacing w:val="-7"/>
          <w:sz w:val="22"/>
        </w:rPr>
        <w:t> </w:t>
      </w:r>
      <w:r>
        <w:rPr>
          <w:sz w:val="22"/>
        </w:rPr>
        <w:t>with</w:t>
      </w:r>
      <w:r>
        <w:rPr>
          <w:spacing w:val="-8"/>
          <w:sz w:val="22"/>
        </w:rPr>
        <w:t> </w:t>
      </w:r>
      <w:r>
        <w:rPr>
          <w:sz w:val="22"/>
        </w:rPr>
        <w:t>Chief</w:t>
      </w:r>
      <w:r>
        <w:rPr>
          <w:spacing w:val="-7"/>
          <w:sz w:val="22"/>
        </w:rPr>
        <w:t> </w:t>
      </w:r>
      <w:r>
        <w:rPr>
          <w:sz w:val="22"/>
        </w:rPr>
        <w:t>of</w:t>
      </w:r>
      <w:r>
        <w:rPr>
          <w:spacing w:val="-8"/>
          <w:sz w:val="22"/>
        </w:rPr>
        <w:t> </w:t>
      </w:r>
      <w:r>
        <w:rPr>
          <w:spacing w:val="-2"/>
          <w:sz w:val="22"/>
        </w:rPr>
        <w:t>Staff</w:t>
      </w:r>
    </w:p>
    <w:p>
      <w:pPr>
        <w:pStyle w:val="ListParagraph"/>
        <w:numPr>
          <w:ilvl w:val="2"/>
          <w:numId w:val="11"/>
        </w:numPr>
        <w:tabs>
          <w:tab w:pos="1439" w:val="left" w:leader="none"/>
        </w:tabs>
        <w:spacing w:line="240" w:lineRule="auto" w:before="0" w:after="0"/>
        <w:ind w:left="1439" w:right="1024" w:hanging="1080"/>
        <w:jc w:val="left"/>
        <w:rPr>
          <w:sz w:val="22"/>
        </w:rPr>
      </w:pPr>
      <w:r>
        <w:rPr>
          <w:sz w:val="22"/>
        </w:rPr>
        <w:t>Permanent,</w:t>
      </w:r>
      <w:r>
        <w:rPr>
          <w:spacing w:val="-3"/>
          <w:sz w:val="22"/>
        </w:rPr>
        <w:t> </w:t>
      </w:r>
      <w:r>
        <w:rPr>
          <w:sz w:val="22"/>
        </w:rPr>
        <w:t>Chief</w:t>
      </w:r>
      <w:r>
        <w:rPr>
          <w:spacing w:val="-4"/>
          <w:sz w:val="22"/>
        </w:rPr>
        <w:t> </w:t>
      </w:r>
      <w:r>
        <w:rPr>
          <w:sz w:val="22"/>
        </w:rPr>
        <w:t>of</w:t>
      </w:r>
      <w:r>
        <w:rPr>
          <w:spacing w:val="-4"/>
          <w:sz w:val="22"/>
        </w:rPr>
        <w:t> </w:t>
      </w:r>
      <w:r>
        <w:rPr>
          <w:sz w:val="22"/>
        </w:rPr>
        <w:t>Staff</w:t>
      </w:r>
      <w:r>
        <w:rPr>
          <w:spacing w:val="-4"/>
          <w:sz w:val="22"/>
        </w:rPr>
        <w:t> </w:t>
      </w:r>
      <w:r>
        <w:rPr>
          <w:sz w:val="22"/>
        </w:rPr>
        <w:t>supervises</w:t>
      </w:r>
      <w:r>
        <w:rPr>
          <w:spacing w:val="-5"/>
          <w:sz w:val="22"/>
        </w:rPr>
        <w:t> </w:t>
      </w:r>
      <w:r>
        <w:rPr>
          <w:sz w:val="22"/>
        </w:rPr>
        <w:t>PIO,</w:t>
      </w:r>
      <w:r>
        <w:rPr>
          <w:spacing w:val="-4"/>
          <w:sz w:val="22"/>
        </w:rPr>
        <w:t> </w:t>
      </w:r>
      <w:r>
        <w:rPr>
          <w:sz w:val="22"/>
        </w:rPr>
        <w:t>External</w:t>
      </w:r>
      <w:r>
        <w:rPr>
          <w:spacing w:val="-4"/>
          <w:sz w:val="22"/>
        </w:rPr>
        <w:t> </w:t>
      </w:r>
      <w:r>
        <w:rPr>
          <w:sz w:val="22"/>
        </w:rPr>
        <w:t>Relations</w:t>
      </w:r>
      <w:r>
        <w:rPr>
          <w:spacing w:val="-5"/>
          <w:sz w:val="22"/>
        </w:rPr>
        <w:t> </w:t>
      </w:r>
      <w:r>
        <w:rPr>
          <w:sz w:val="22"/>
        </w:rPr>
        <w:t>officers,</w:t>
      </w:r>
      <w:r>
        <w:rPr>
          <w:spacing w:val="-4"/>
          <w:sz w:val="22"/>
        </w:rPr>
        <w:t> </w:t>
      </w:r>
      <w:r>
        <w:rPr>
          <w:sz w:val="22"/>
        </w:rPr>
        <w:t>Chief</w:t>
      </w:r>
      <w:r>
        <w:rPr>
          <w:spacing w:val="-4"/>
          <w:sz w:val="22"/>
        </w:rPr>
        <w:t> </w:t>
      </w:r>
      <w:r>
        <w:rPr>
          <w:sz w:val="22"/>
        </w:rPr>
        <w:t>Fiscal Officer and Civil Rights Administrator if deemed prudent by Director.</w:t>
      </w:r>
    </w:p>
    <w:p>
      <w:pPr>
        <w:pStyle w:val="ListParagraph"/>
        <w:numPr>
          <w:ilvl w:val="2"/>
          <w:numId w:val="11"/>
        </w:numPr>
        <w:tabs>
          <w:tab w:pos="1439" w:val="left" w:leader="none"/>
        </w:tabs>
        <w:spacing w:line="240" w:lineRule="auto" w:before="0" w:after="0"/>
        <w:ind w:left="1439" w:right="0" w:hanging="1080"/>
        <w:jc w:val="left"/>
        <w:rPr>
          <w:sz w:val="22"/>
        </w:rPr>
      </w:pPr>
      <w:r>
        <w:rPr>
          <w:sz w:val="22"/>
        </w:rPr>
        <w:t>Permanent,</w:t>
      </w:r>
      <w:r>
        <w:rPr>
          <w:spacing w:val="-9"/>
          <w:sz w:val="22"/>
        </w:rPr>
        <w:t> </w:t>
      </w:r>
      <w:r>
        <w:rPr>
          <w:sz w:val="22"/>
        </w:rPr>
        <w:t>Changed</w:t>
      </w:r>
      <w:r>
        <w:rPr>
          <w:spacing w:val="-9"/>
          <w:sz w:val="22"/>
        </w:rPr>
        <w:t> </w:t>
      </w:r>
      <w:r>
        <w:rPr>
          <w:sz w:val="22"/>
        </w:rPr>
        <w:t>Public</w:t>
      </w:r>
      <w:r>
        <w:rPr>
          <w:spacing w:val="-9"/>
          <w:sz w:val="22"/>
        </w:rPr>
        <w:t> </w:t>
      </w:r>
      <w:r>
        <w:rPr>
          <w:sz w:val="22"/>
        </w:rPr>
        <w:t>Information</w:t>
      </w:r>
      <w:r>
        <w:rPr>
          <w:spacing w:val="-9"/>
          <w:sz w:val="22"/>
        </w:rPr>
        <w:t> </w:t>
      </w:r>
      <w:r>
        <w:rPr>
          <w:sz w:val="22"/>
        </w:rPr>
        <w:t>to</w:t>
      </w:r>
      <w:r>
        <w:rPr>
          <w:spacing w:val="-10"/>
          <w:sz w:val="22"/>
        </w:rPr>
        <w:t> </w:t>
      </w:r>
      <w:r>
        <w:rPr>
          <w:spacing w:val="-2"/>
          <w:sz w:val="22"/>
        </w:rPr>
        <w:t>Communications</w:t>
      </w:r>
    </w:p>
    <w:p>
      <w:pPr>
        <w:tabs>
          <w:tab w:pos="1439" w:val="left" w:leader="none"/>
        </w:tabs>
        <w:spacing w:before="1"/>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spacing w:line="252" w:lineRule="exact" w:before="0"/>
        <w:ind w:left="1439" w:right="0" w:firstLine="0"/>
        <w:jc w:val="left"/>
        <w:rPr>
          <w:sz w:val="22"/>
        </w:rPr>
      </w:pPr>
      <w:r>
        <w:rPr>
          <w:sz w:val="22"/>
        </w:rPr>
        <w:t>Removal</w:t>
      </w:r>
      <w:r>
        <w:rPr>
          <w:spacing w:val="-7"/>
          <w:sz w:val="22"/>
        </w:rPr>
        <w:t> </w:t>
      </w:r>
      <w:r>
        <w:rPr>
          <w:sz w:val="22"/>
        </w:rPr>
        <w:t>of</w:t>
      </w:r>
      <w:r>
        <w:rPr>
          <w:spacing w:val="-7"/>
          <w:sz w:val="22"/>
        </w:rPr>
        <w:t> </w:t>
      </w:r>
      <w:r>
        <w:rPr>
          <w:sz w:val="22"/>
        </w:rPr>
        <w:t>language</w:t>
      </w:r>
      <w:r>
        <w:rPr>
          <w:spacing w:val="-6"/>
          <w:sz w:val="22"/>
        </w:rPr>
        <w:t> </w:t>
      </w:r>
      <w:r>
        <w:rPr>
          <w:sz w:val="22"/>
        </w:rPr>
        <w:t>regarding</w:t>
      </w:r>
      <w:r>
        <w:rPr>
          <w:spacing w:val="-7"/>
          <w:sz w:val="22"/>
        </w:rPr>
        <w:t> </w:t>
      </w:r>
      <w:r>
        <w:rPr>
          <w:sz w:val="22"/>
        </w:rPr>
        <w:t>the</w:t>
      </w:r>
      <w:r>
        <w:rPr>
          <w:spacing w:val="-8"/>
          <w:sz w:val="22"/>
        </w:rPr>
        <w:t> </w:t>
      </w:r>
      <w:r>
        <w:rPr>
          <w:sz w:val="22"/>
        </w:rPr>
        <w:t>Civil</w:t>
      </w:r>
      <w:r>
        <w:rPr>
          <w:spacing w:val="-6"/>
          <w:sz w:val="22"/>
        </w:rPr>
        <w:t> </w:t>
      </w:r>
      <w:r>
        <w:rPr>
          <w:sz w:val="22"/>
        </w:rPr>
        <w:t>Rights</w:t>
      </w:r>
      <w:r>
        <w:rPr>
          <w:spacing w:val="-8"/>
          <w:sz w:val="22"/>
        </w:rPr>
        <w:t> </w:t>
      </w:r>
      <w:r>
        <w:rPr>
          <w:spacing w:val="-2"/>
          <w:sz w:val="22"/>
        </w:rPr>
        <w:t>Administrator.</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360" w:right="1123" w:firstLine="0"/>
        <w:jc w:val="left"/>
        <w:rPr>
          <w:sz w:val="22"/>
        </w:rPr>
      </w:pPr>
      <w:r>
        <w:rPr>
          <w:spacing w:val="-2"/>
          <w:sz w:val="22"/>
        </w:rPr>
        <w:t>8-11-19</w:t>
      </w:r>
      <w:r>
        <w:rPr>
          <w:sz w:val="22"/>
        </w:rPr>
        <w:tab/>
        <w:t>Added new job title of Chief Operations Officer. Removal of FSD Director’s title. </w:t>
      </w:r>
      <w:r>
        <w:rPr>
          <w:spacing w:val="-2"/>
          <w:sz w:val="22"/>
        </w:rPr>
        <w:t>9-11-20</w:t>
      </w:r>
      <w:r>
        <w:rPr>
          <w:sz w:val="22"/>
        </w:rPr>
        <w:tab/>
        <w:t>Under</w:t>
      </w:r>
      <w:r>
        <w:rPr>
          <w:spacing w:val="-4"/>
          <w:sz w:val="22"/>
        </w:rPr>
        <w:t> </w:t>
      </w:r>
      <w:r>
        <w:rPr>
          <w:sz w:val="22"/>
        </w:rPr>
        <w:t>section</w:t>
      </w:r>
      <w:r>
        <w:rPr>
          <w:spacing w:val="-4"/>
          <w:sz w:val="22"/>
        </w:rPr>
        <w:t> </w:t>
      </w:r>
      <w:r>
        <w:rPr>
          <w:sz w:val="22"/>
        </w:rPr>
        <w:t>(b)</w:t>
      </w:r>
      <w:r>
        <w:rPr>
          <w:spacing w:val="-4"/>
          <w:sz w:val="22"/>
        </w:rPr>
        <w:t> </w:t>
      </w:r>
      <w:r>
        <w:rPr>
          <w:sz w:val="22"/>
        </w:rPr>
        <w:t>added</w:t>
      </w:r>
      <w:r>
        <w:rPr>
          <w:spacing w:val="-4"/>
          <w:sz w:val="22"/>
        </w:rPr>
        <w:t> </w:t>
      </w:r>
      <w:r>
        <w:rPr>
          <w:sz w:val="22"/>
        </w:rPr>
        <w:t>the</w:t>
      </w:r>
      <w:r>
        <w:rPr>
          <w:spacing w:val="-4"/>
          <w:sz w:val="22"/>
        </w:rPr>
        <w:t> </w:t>
      </w:r>
      <w:r>
        <w:rPr>
          <w:sz w:val="22"/>
        </w:rPr>
        <w:t>Legislative</w:t>
      </w:r>
      <w:r>
        <w:rPr>
          <w:spacing w:val="-4"/>
          <w:sz w:val="22"/>
        </w:rPr>
        <w:t> </w:t>
      </w:r>
      <w:r>
        <w:rPr>
          <w:sz w:val="22"/>
        </w:rPr>
        <w:t>Liaison,</w:t>
      </w:r>
      <w:r>
        <w:rPr>
          <w:spacing w:val="-4"/>
          <w:sz w:val="22"/>
        </w:rPr>
        <w:t> </w:t>
      </w:r>
      <w:r>
        <w:rPr>
          <w:sz w:val="22"/>
        </w:rPr>
        <w:t>the</w:t>
      </w:r>
      <w:r>
        <w:rPr>
          <w:spacing w:val="-4"/>
          <w:sz w:val="22"/>
        </w:rPr>
        <w:t> </w:t>
      </w:r>
      <w:r>
        <w:rPr>
          <w:sz w:val="22"/>
        </w:rPr>
        <w:t>Project</w:t>
      </w:r>
      <w:r>
        <w:rPr>
          <w:spacing w:val="-5"/>
          <w:sz w:val="22"/>
        </w:rPr>
        <w:t> </w:t>
      </w:r>
      <w:r>
        <w:rPr>
          <w:sz w:val="22"/>
        </w:rPr>
        <w:t>Coordinators</w:t>
      </w:r>
      <w:r>
        <w:rPr>
          <w:spacing w:val="-4"/>
          <w:sz w:val="22"/>
        </w:rPr>
        <w:t> </w:t>
      </w:r>
      <w:r>
        <w:rPr>
          <w:sz w:val="22"/>
        </w:rPr>
        <w:t>and</w:t>
      </w:r>
      <w:r>
        <w:rPr>
          <w:spacing w:val="-4"/>
          <w:sz w:val="22"/>
        </w:rPr>
        <w:t> </w:t>
      </w:r>
      <w:r>
        <w:rPr>
          <w:sz w:val="22"/>
        </w:rPr>
        <w:t>the</w:t>
      </w:r>
    </w:p>
    <w:p>
      <w:pPr>
        <w:spacing w:line="252" w:lineRule="exact" w:before="0"/>
        <w:ind w:left="1439" w:right="0" w:firstLine="0"/>
        <w:jc w:val="both"/>
        <w:rPr>
          <w:sz w:val="22"/>
        </w:rPr>
      </w:pPr>
      <w:r>
        <w:rPr>
          <w:sz w:val="22"/>
        </w:rPr>
        <w:t>Process</w:t>
      </w:r>
      <w:r>
        <w:rPr>
          <w:spacing w:val="-8"/>
          <w:sz w:val="22"/>
        </w:rPr>
        <w:t> </w:t>
      </w:r>
      <w:r>
        <w:rPr>
          <w:sz w:val="22"/>
        </w:rPr>
        <w:t>Improvement</w:t>
      </w:r>
      <w:r>
        <w:rPr>
          <w:spacing w:val="-7"/>
          <w:sz w:val="22"/>
        </w:rPr>
        <w:t> </w:t>
      </w:r>
      <w:r>
        <w:rPr>
          <w:sz w:val="22"/>
        </w:rPr>
        <w:t>unit.</w:t>
      </w:r>
      <w:r>
        <w:rPr>
          <w:spacing w:val="46"/>
          <w:sz w:val="22"/>
        </w:rPr>
        <w:t> </w:t>
      </w:r>
      <w:r>
        <w:rPr>
          <w:sz w:val="22"/>
        </w:rPr>
        <w:t>Removal</w:t>
      </w:r>
      <w:r>
        <w:rPr>
          <w:spacing w:val="-8"/>
          <w:sz w:val="22"/>
        </w:rPr>
        <w:t> </w:t>
      </w:r>
      <w:r>
        <w:rPr>
          <w:sz w:val="22"/>
        </w:rPr>
        <w:t>of</w:t>
      </w:r>
      <w:r>
        <w:rPr>
          <w:spacing w:val="-7"/>
          <w:sz w:val="22"/>
        </w:rPr>
        <w:t> </w:t>
      </w:r>
      <w:r>
        <w:rPr>
          <w:sz w:val="22"/>
        </w:rPr>
        <w:t>External</w:t>
      </w:r>
      <w:r>
        <w:rPr>
          <w:spacing w:val="-9"/>
          <w:sz w:val="22"/>
        </w:rPr>
        <w:t> </w:t>
      </w:r>
      <w:r>
        <w:rPr>
          <w:sz w:val="22"/>
        </w:rPr>
        <w:t>Relations</w:t>
      </w:r>
      <w:r>
        <w:rPr>
          <w:spacing w:val="-7"/>
          <w:sz w:val="22"/>
        </w:rPr>
        <w:t> </w:t>
      </w:r>
      <w:r>
        <w:rPr>
          <w:spacing w:val="-2"/>
          <w:sz w:val="22"/>
        </w:rPr>
        <w:t>Officer.</w:t>
      </w:r>
    </w:p>
    <w:p>
      <w:pPr>
        <w:spacing w:before="1"/>
        <w:ind w:left="1439" w:right="867" w:firstLine="0"/>
        <w:jc w:val="both"/>
        <w:rPr>
          <w:sz w:val="22"/>
        </w:rPr>
      </w:pPr>
      <w:r>
        <w:rPr>
          <w:sz w:val="22"/>
        </w:rPr>
        <w:t>Division</w:t>
      </w:r>
      <w:r>
        <w:rPr>
          <w:spacing w:val="-1"/>
          <w:sz w:val="22"/>
        </w:rPr>
        <w:t> </w:t>
      </w:r>
      <w:r>
        <w:rPr>
          <w:sz w:val="22"/>
        </w:rPr>
        <w:t>name</w:t>
      </w:r>
      <w:r>
        <w:rPr>
          <w:spacing w:val="-1"/>
          <w:sz w:val="22"/>
        </w:rPr>
        <w:t> </w:t>
      </w:r>
      <w:r>
        <w:rPr>
          <w:sz w:val="22"/>
        </w:rPr>
        <w:t>change</w:t>
      </w:r>
      <w:r>
        <w:rPr>
          <w:spacing w:val="-1"/>
          <w:sz w:val="22"/>
        </w:rPr>
        <w:t> </w:t>
      </w:r>
      <w:r>
        <w:rPr>
          <w:sz w:val="22"/>
        </w:rPr>
        <w:t>of</w:t>
      </w:r>
      <w:r>
        <w:rPr>
          <w:spacing w:val="-1"/>
          <w:sz w:val="22"/>
        </w:rPr>
        <w:t> </w:t>
      </w:r>
      <w:r>
        <w:rPr>
          <w:sz w:val="22"/>
        </w:rPr>
        <w:t>Visual</w:t>
      </w:r>
      <w:r>
        <w:rPr>
          <w:spacing w:val="-1"/>
          <w:sz w:val="22"/>
        </w:rPr>
        <w:t> </w:t>
      </w:r>
      <w:r>
        <w:rPr>
          <w:sz w:val="22"/>
        </w:rPr>
        <w:t>Services</w:t>
      </w:r>
      <w:r>
        <w:rPr>
          <w:spacing w:val="-1"/>
          <w:sz w:val="22"/>
        </w:rPr>
        <w:t> </w:t>
      </w:r>
      <w:r>
        <w:rPr>
          <w:sz w:val="22"/>
        </w:rPr>
        <w:t>(VS)</w:t>
      </w:r>
      <w:r>
        <w:rPr>
          <w:spacing w:val="-1"/>
          <w:sz w:val="22"/>
        </w:rPr>
        <w:t> </w:t>
      </w:r>
      <w:r>
        <w:rPr>
          <w:sz w:val="22"/>
        </w:rPr>
        <w:t>to</w:t>
      </w:r>
      <w:r>
        <w:rPr>
          <w:spacing w:val="-1"/>
          <w:sz w:val="22"/>
        </w:rPr>
        <w:t> </w:t>
      </w:r>
      <w:r>
        <w:rPr>
          <w:sz w:val="22"/>
        </w:rPr>
        <w:t>Services</w:t>
      </w:r>
      <w:r>
        <w:rPr>
          <w:spacing w:val="-1"/>
          <w:sz w:val="22"/>
        </w:rPr>
        <w:t> </w:t>
      </w:r>
      <w:r>
        <w:rPr>
          <w:sz w:val="22"/>
        </w:rPr>
        <w:t>for</w:t>
      </w:r>
      <w:r>
        <w:rPr>
          <w:spacing w:val="-1"/>
          <w:sz w:val="22"/>
        </w:rPr>
        <w:t> </w:t>
      </w:r>
      <w:r>
        <w:rPr>
          <w:sz w:val="22"/>
        </w:rPr>
        <w:t>the</w:t>
      </w:r>
      <w:r>
        <w:rPr>
          <w:spacing w:val="-1"/>
          <w:sz w:val="22"/>
        </w:rPr>
        <w:t> </w:t>
      </w:r>
      <w:r>
        <w:rPr>
          <w:sz w:val="22"/>
        </w:rPr>
        <w:t>Blind</w:t>
      </w:r>
      <w:r>
        <w:rPr>
          <w:spacing w:val="-2"/>
          <w:sz w:val="22"/>
        </w:rPr>
        <w:t> </w:t>
      </w:r>
      <w:r>
        <w:rPr>
          <w:sz w:val="22"/>
        </w:rPr>
        <w:t>and</w:t>
      </w:r>
      <w:r>
        <w:rPr>
          <w:spacing w:val="-1"/>
          <w:sz w:val="22"/>
        </w:rPr>
        <w:t> </w:t>
      </w:r>
      <w:r>
        <w:rPr>
          <w:sz w:val="22"/>
        </w:rPr>
        <w:t>Visually Impaired</w:t>
      </w:r>
      <w:r>
        <w:rPr>
          <w:spacing w:val="-5"/>
          <w:sz w:val="22"/>
        </w:rPr>
        <w:t> </w:t>
      </w:r>
      <w:r>
        <w:rPr>
          <w:sz w:val="22"/>
        </w:rPr>
        <w:t>(SBVI).</w:t>
      </w:r>
      <w:r>
        <w:rPr>
          <w:spacing w:val="-5"/>
          <w:sz w:val="22"/>
        </w:rPr>
        <w:t> </w:t>
      </w:r>
      <w:r>
        <w:rPr>
          <w:sz w:val="22"/>
        </w:rPr>
        <w:t>Disability</w:t>
      </w:r>
      <w:r>
        <w:rPr>
          <w:spacing w:val="-5"/>
          <w:sz w:val="22"/>
        </w:rPr>
        <w:t> </w:t>
      </w:r>
      <w:r>
        <w:rPr>
          <w:sz w:val="22"/>
        </w:rPr>
        <w:t>Determination</w:t>
      </w:r>
      <w:r>
        <w:rPr>
          <w:spacing w:val="-5"/>
          <w:sz w:val="22"/>
        </w:rPr>
        <w:t> </w:t>
      </w:r>
      <w:r>
        <w:rPr>
          <w:sz w:val="22"/>
        </w:rPr>
        <w:t>Division</w:t>
      </w:r>
      <w:r>
        <w:rPr>
          <w:spacing w:val="-5"/>
          <w:sz w:val="22"/>
        </w:rPr>
        <w:t> </w:t>
      </w:r>
      <w:r>
        <w:rPr>
          <w:sz w:val="22"/>
        </w:rPr>
        <w:t>(DDD)</w:t>
      </w:r>
      <w:r>
        <w:rPr>
          <w:spacing w:val="-5"/>
          <w:sz w:val="22"/>
        </w:rPr>
        <w:t> </w:t>
      </w:r>
      <w:r>
        <w:rPr>
          <w:sz w:val="22"/>
        </w:rPr>
        <w:t>to</w:t>
      </w:r>
      <w:r>
        <w:rPr>
          <w:spacing w:val="-4"/>
          <w:sz w:val="22"/>
        </w:rPr>
        <w:t> </w:t>
      </w:r>
      <w:r>
        <w:rPr>
          <w:sz w:val="22"/>
        </w:rPr>
        <w:t>Disability</w:t>
      </w:r>
      <w:r>
        <w:rPr>
          <w:spacing w:val="-5"/>
          <w:sz w:val="22"/>
        </w:rPr>
        <w:t> </w:t>
      </w:r>
      <w:r>
        <w:rPr>
          <w:sz w:val="22"/>
        </w:rPr>
        <w:t>Determination Services (DDS).</w:t>
      </w:r>
    </w:p>
    <w:p>
      <w:pPr>
        <w:spacing w:after="0"/>
        <w:jc w:val="both"/>
        <w:rPr>
          <w:sz w:val="22"/>
        </w:rPr>
        <w:sectPr>
          <w:pgSz w:w="12240" w:h="15840"/>
          <w:pgMar w:top="1360" w:bottom="280" w:left="1080" w:right="720"/>
        </w:sectPr>
      </w:pPr>
    </w:p>
    <w:p>
      <w:pPr>
        <w:pStyle w:val="Heading2"/>
      </w:pPr>
      <w:bookmarkStart w:name="612:1-3-3.  The Division Administrators/" w:id="12"/>
      <w:bookmarkEnd w:id="12"/>
      <w:r>
        <w:rPr>
          <w:b w:val="0"/>
        </w:rPr>
      </w:r>
      <w:r>
        <w:rPr/>
        <w:t>612:1-3-3.</w:t>
      </w:r>
      <w:r>
        <w:rPr>
          <w:spacing w:val="57"/>
        </w:rPr>
        <w:t> </w:t>
      </w:r>
      <w:r>
        <w:rPr/>
        <w:t>The</w:t>
      </w:r>
      <w:r>
        <w:rPr>
          <w:spacing w:val="-5"/>
        </w:rPr>
        <w:t> </w:t>
      </w:r>
      <w:r>
        <w:rPr/>
        <w:t>Division</w:t>
      </w:r>
      <w:r>
        <w:rPr>
          <w:spacing w:val="-5"/>
        </w:rPr>
        <w:t> </w:t>
      </w:r>
      <w:r>
        <w:rPr/>
        <w:t>Administrators/School</w:t>
      </w:r>
      <w:r>
        <w:rPr>
          <w:spacing w:val="-4"/>
        </w:rPr>
        <w:t> </w:t>
      </w:r>
      <w:r>
        <w:rPr>
          <w:spacing w:val="-2"/>
        </w:rPr>
        <w:t>Superintendents</w:t>
      </w:r>
    </w:p>
    <w:p>
      <w:pPr>
        <w:pStyle w:val="BodyText"/>
        <w:spacing w:line="208" w:lineRule="auto" w:before="233"/>
        <w:ind w:left="359" w:right="739" w:firstLine="432"/>
      </w:pPr>
      <w:r>
        <w:rPr/>
        <w:t>The Division Administrators/School Superintendents within the Department of Rehabilitation</w:t>
      </w:r>
      <w:r>
        <w:rPr>
          <w:spacing w:val="-4"/>
        </w:rPr>
        <w:t> </w:t>
      </w:r>
      <w:r>
        <w:rPr/>
        <w:t>Services</w:t>
      </w:r>
      <w:r>
        <w:rPr>
          <w:spacing w:val="-4"/>
        </w:rPr>
        <w:t> </w:t>
      </w:r>
      <w:r>
        <w:rPr/>
        <w:t>have</w:t>
      </w:r>
      <w:r>
        <w:rPr>
          <w:spacing w:val="-4"/>
        </w:rPr>
        <w:t> </w:t>
      </w:r>
      <w:r>
        <w:rPr/>
        <w:t>responsibility</w:t>
      </w:r>
      <w:r>
        <w:rPr>
          <w:spacing w:val="-4"/>
        </w:rPr>
        <w:t> </w:t>
      </w:r>
      <w:r>
        <w:rPr/>
        <w:t>for</w:t>
      </w:r>
      <w:r>
        <w:rPr>
          <w:spacing w:val="-3"/>
        </w:rPr>
        <w:t> </w:t>
      </w:r>
      <w:r>
        <w:rPr/>
        <w:t>the</w:t>
      </w:r>
      <w:r>
        <w:rPr>
          <w:spacing w:val="-4"/>
        </w:rPr>
        <w:t> </w:t>
      </w:r>
      <w:r>
        <w:rPr/>
        <w:t>day-to-day</w:t>
      </w:r>
      <w:r>
        <w:rPr>
          <w:spacing w:val="-4"/>
        </w:rPr>
        <w:t> </w:t>
      </w:r>
      <w:r>
        <w:rPr/>
        <w:t>operational</w:t>
      </w:r>
      <w:r>
        <w:rPr>
          <w:spacing w:val="-4"/>
        </w:rPr>
        <w:t> </w:t>
      </w:r>
      <w:r>
        <w:rPr/>
        <w:t>direction</w:t>
      </w:r>
      <w:r>
        <w:rPr>
          <w:spacing w:val="-4"/>
        </w:rPr>
        <w:t> </w:t>
      </w:r>
      <w:r>
        <w:rPr/>
        <w:t>of</w:t>
      </w:r>
      <w:r>
        <w:rPr>
          <w:spacing w:val="-3"/>
        </w:rPr>
        <w:t> </w:t>
      </w:r>
      <w:r>
        <w:rPr/>
        <w:t>the programmatic aspects of DRS, including the field work. The Division Administrators/School Superintendents supervise the various administrators of program units. The duties of the Division Administrators include:</w:t>
      </w:r>
    </w:p>
    <w:p>
      <w:pPr>
        <w:pStyle w:val="ListParagraph"/>
        <w:numPr>
          <w:ilvl w:val="0"/>
          <w:numId w:val="12"/>
        </w:numPr>
        <w:tabs>
          <w:tab w:pos="1217" w:val="left" w:leader="none"/>
        </w:tabs>
        <w:spacing w:line="240" w:lineRule="auto" w:before="210" w:after="0"/>
        <w:ind w:left="1217" w:right="0" w:hanging="426"/>
        <w:jc w:val="left"/>
        <w:rPr>
          <w:sz w:val="24"/>
        </w:rPr>
      </w:pPr>
      <w:r>
        <w:rPr>
          <w:sz w:val="24"/>
        </w:rPr>
        <w:t>assuring</w:t>
      </w:r>
      <w:r>
        <w:rPr>
          <w:spacing w:val="-4"/>
          <w:sz w:val="24"/>
        </w:rPr>
        <w:t> </w:t>
      </w:r>
      <w:r>
        <w:rPr>
          <w:sz w:val="24"/>
        </w:rPr>
        <w:t>program</w:t>
      </w:r>
      <w:r>
        <w:rPr>
          <w:spacing w:val="-4"/>
          <w:sz w:val="24"/>
        </w:rPr>
        <w:t> </w:t>
      </w:r>
      <w:r>
        <w:rPr>
          <w:sz w:val="24"/>
        </w:rPr>
        <w:t>integrity</w:t>
      </w:r>
      <w:r>
        <w:rPr>
          <w:spacing w:val="-4"/>
          <w:sz w:val="24"/>
        </w:rPr>
        <w:t> </w:t>
      </w:r>
      <w:r>
        <w:rPr>
          <w:sz w:val="24"/>
        </w:rPr>
        <w:t>across</w:t>
      </w:r>
      <w:r>
        <w:rPr>
          <w:spacing w:val="-4"/>
          <w:sz w:val="24"/>
        </w:rPr>
        <w:t> </w:t>
      </w:r>
      <w:r>
        <w:rPr>
          <w:sz w:val="24"/>
        </w:rPr>
        <w:t>all</w:t>
      </w:r>
      <w:r>
        <w:rPr>
          <w:spacing w:val="-3"/>
          <w:sz w:val="24"/>
        </w:rPr>
        <w:t> </w:t>
      </w:r>
      <w:r>
        <w:rPr>
          <w:spacing w:val="-2"/>
          <w:sz w:val="24"/>
        </w:rPr>
        <w:t>programs;</w:t>
      </w:r>
    </w:p>
    <w:p>
      <w:pPr>
        <w:pStyle w:val="ListParagraph"/>
        <w:numPr>
          <w:ilvl w:val="0"/>
          <w:numId w:val="12"/>
        </w:numPr>
        <w:tabs>
          <w:tab w:pos="1217" w:val="left" w:leader="none"/>
        </w:tabs>
        <w:spacing w:line="240" w:lineRule="auto" w:before="204" w:after="0"/>
        <w:ind w:left="1217" w:right="0" w:hanging="426"/>
        <w:jc w:val="left"/>
        <w:rPr>
          <w:sz w:val="24"/>
        </w:rPr>
      </w:pPr>
      <w:r>
        <w:rPr>
          <w:sz w:val="24"/>
        </w:rPr>
        <w:t>coordinating</w:t>
      </w:r>
      <w:r>
        <w:rPr>
          <w:spacing w:val="-5"/>
          <w:sz w:val="24"/>
        </w:rPr>
        <w:t> </w:t>
      </w:r>
      <w:r>
        <w:rPr>
          <w:sz w:val="24"/>
        </w:rPr>
        <w:t>the</w:t>
      </w:r>
      <w:r>
        <w:rPr>
          <w:spacing w:val="-5"/>
          <w:sz w:val="24"/>
        </w:rPr>
        <w:t> </w:t>
      </w:r>
      <w:r>
        <w:rPr>
          <w:sz w:val="24"/>
        </w:rPr>
        <w:t>planning</w:t>
      </w:r>
      <w:r>
        <w:rPr>
          <w:spacing w:val="-5"/>
          <w:sz w:val="24"/>
        </w:rPr>
        <w:t> </w:t>
      </w:r>
      <w:r>
        <w:rPr>
          <w:sz w:val="24"/>
        </w:rPr>
        <w:t>and</w:t>
      </w:r>
      <w:r>
        <w:rPr>
          <w:spacing w:val="-4"/>
          <w:sz w:val="24"/>
        </w:rPr>
        <w:t> </w:t>
      </w:r>
      <w:r>
        <w:rPr>
          <w:sz w:val="24"/>
        </w:rPr>
        <w:t>budgeting</w:t>
      </w:r>
      <w:r>
        <w:rPr>
          <w:spacing w:val="-4"/>
          <w:sz w:val="24"/>
        </w:rPr>
        <w:t> </w:t>
      </w:r>
      <w:r>
        <w:rPr>
          <w:spacing w:val="-2"/>
          <w:sz w:val="24"/>
        </w:rPr>
        <w:t>system;</w:t>
      </w:r>
    </w:p>
    <w:p>
      <w:pPr>
        <w:pStyle w:val="ListParagraph"/>
        <w:numPr>
          <w:ilvl w:val="0"/>
          <w:numId w:val="12"/>
        </w:numPr>
        <w:tabs>
          <w:tab w:pos="1217" w:val="left" w:leader="none"/>
        </w:tabs>
        <w:spacing w:line="240" w:lineRule="auto" w:before="204" w:after="0"/>
        <w:ind w:left="1217" w:right="0" w:hanging="426"/>
        <w:jc w:val="left"/>
        <w:rPr>
          <w:sz w:val="24"/>
        </w:rPr>
      </w:pPr>
      <w:r>
        <w:rPr>
          <w:sz w:val="24"/>
        </w:rPr>
        <w:t>coordinating</w:t>
      </w:r>
      <w:r>
        <w:rPr>
          <w:spacing w:val="-4"/>
          <w:sz w:val="24"/>
        </w:rPr>
        <w:t> </w:t>
      </w:r>
      <w:r>
        <w:rPr>
          <w:sz w:val="24"/>
        </w:rPr>
        <w:t>the</w:t>
      </w:r>
      <w:r>
        <w:rPr>
          <w:spacing w:val="-3"/>
          <w:sz w:val="24"/>
        </w:rPr>
        <w:t> </w:t>
      </w:r>
      <w:r>
        <w:rPr>
          <w:sz w:val="24"/>
        </w:rPr>
        <w:t>delivery</w:t>
      </w:r>
      <w:r>
        <w:rPr>
          <w:spacing w:val="-4"/>
          <w:sz w:val="24"/>
        </w:rPr>
        <w:t> </w:t>
      </w:r>
      <w:r>
        <w:rPr>
          <w:sz w:val="24"/>
        </w:rPr>
        <w:t>of</w:t>
      </w:r>
      <w:r>
        <w:rPr>
          <w:spacing w:val="-3"/>
          <w:sz w:val="24"/>
        </w:rPr>
        <w:t> </w:t>
      </w:r>
      <w:r>
        <w:rPr>
          <w:sz w:val="24"/>
        </w:rPr>
        <w:t>all</w:t>
      </w:r>
      <w:r>
        <w:rPr>
          <w:spacing w:val="-3"/>
          <w:sz w:val="24"/>
        </w:rPr>
        <w:t> </w:t>
      </w:r>
      <w:r>
        <w:rPr>
          <w:sz w:val="24"/>
        </w:rPr>
        <w:t>field</w:t>
      </w:r>
      <w:r>
        <w:rPr>
          <w:spacing w:val="-3"/>
          <w:sz w:val="24"/>
        </w:rPr>
        <w:t> </w:t>
      </w:r>
      <w:r>
        <w:rPr>
          <w:spacing w:val="-2"/>
          <w:sz w:val="24"/>
        </w:rPr>
        <w:t>services;</w:t>
      </w:r>
    </w:p>
    <w:p>
      <w:pPr>
        <w:pStyle w:val="ListParagraph"/>
        <w:numPr>
          <w:ilvl w:val="0"/>
          <w:numId w:val="12"/>
        </w:numPr>
        <w:tabs>
          <w:tab w:pos="1217" w:val="left" w:leader="none"/>
        </w:tabs>
        <w:spacing w:line="240" w:lineRule="auto" w:before="204" w:after="0"/>
        <w:ind w:left="1217" w:right="0" w:hanging="426"/>
        <w:jc w:val="left"/>
        <w:rPr>
          <w:sz w:val="24"/>
        </w:rPr>
      </w:pPr>
      <w:r>
        <w:rPr>
          <w:sz w:val="24"/>
        </w:rPr>
        <w:t>providing</w:t>
      </w:r>
      <w:r>
        <w:rPr>
          <w:spacing w:val="-4"/>
          <w:sz w:val="24"/>
        </w:rPr>
        <w:t> </w:t>
      </w:r>
      <w:r>
        <w:rPr>
          <w:sz w:val="24"/>
        </w:rPr>
        <w:t>support</w:t>
      </w:r>
      <w:r>
        <w:rPr>
          <w:spacing w:val="-2"/>
          <w:sz w:val="24"/>
        </w:rPr>
        <w:t> </w:t>
      </w:r>
      <w:r>
        <w:rPr>
          <w:sz w:val="24"/>
        </w:rPr>
        <w:t>for</w:t>
      </w:r>
      <w:r>
        <w:rPr>
          <w:spacing w:val="-2"/>
          <w:sz w:val="24"/>
        </w:rPr>
        <w:t> </w:t>
      </w:r>
      <w:r>
        <w:rPr>
          <w:sz w:val="24"/>
        </w:rPr>
        <w:t>all</w:t>
      </w:r>
      <w:r>
        <w:rPr>
          <w:spacing w:val="-3"/>
          <w:sz w:val="24"/>
        </w:rPr>
        <w:t> </w:t>
      </w:r>
      <w:r>
        <w:rPr>
          <w:sz w:val="24"/>
        </w:rPr>
        <w:t>field</w:t>
      </w:r>
      <w:r>
        <w:rPr>
          <w:spacing w:val="-3"/>
          <w:sz w:val="24"/>
        </w:rPr>
        <w:t> </w:t>
      </w:r>
      <w:r>
        <w:rPr>
          <w:spacing w:val="-2"/>
          <w:sz w:val="24"/>
        </w:rPr>
        <w:t>offices;</w:t>
      </w:r>
    </w:p>
    <w:p>
      <w:pPr>
        <w:pStyle w:val="ListParagraph"/>
        <w:numPr>
          <w:ilvl w:val="0"/>
          <w:numId w:val="12"/>
        </w:numPr>
        <w:tabs>
          <w:tab w:pos="1217" w:val="left" w:leader="none"/>
        </w:tabs>
        <w:spacing w:line="208" w:lineRule="auto" w:before="233" w:after="0"/>
        <w:ind w:left="791" w:right="1054" w:firstLine="0"/>
        <w:jc w:val="left"/>
        <w:rPr>
          <w:sz w:val="24"/>
        </w:rPr>
      </w:pPr>
      <w:r>
        <w:rPr>
          <w:sz w:val="24"/>
        </w:rPr>
        <w:t>exploring</w:t>
      </w:r>
      <w:r>
        <w:rPr>
          <w:spacing w:val="-5"/>
          <w:sz w:val="24"/>
        </w:rPr>
        <w:t> </w:t>
      </w:r>
      <w:r>
        <w:rPr>
          <w:sz w:val="24"/>
        </w:rPr>
        <w:t>and</w:t>
      </w:r>
      <w:r>
        <w:rPr>
          <w:spacing w:val="-5"/>
          <w:sz w:val="24"/>
        </w:rPr>
        <w:t> </w:t>
      </w:r>
      <w:r>
        <w:rPr>
          <w:sz w:val="24"/>
        </w:rPr>
        <w:t>developing</w:t>
      </w:r>
      <w:r>
        <w:rPr>
          <w:spacing w:val="-5"/>
          <w:sz w:val="24"/>
        </w:rPr>
        <w:t> </w:t>
      </w:r>
      <w:r>
        <w:rPr>
          <w:sz w:val="24"/>
        </w:rPr>
        <w:t>resources</w:t>
      </w:r>
      <w:r>
        <w:rPr>
          <w:spacing w:val="-5"/>
          <w:sz w:val="24"/>
        </w:rPr>
        <w:t> </w:t>
      </w:r>
      <w:r>
        <w:rPr>
          <w:sz w:val="24"/>
        </w:rPr>
        <w:t>for</w:t>
      </w:r>
      <w:r>
        <w:rPr>
          <w:spacing w:val="-6"/>
          <w:sz w:val="24"/>
        </w:rPr>
        <w:t> </w:t>
      </w:r>
      <w:r>
        <w:rPr>
          <w:sz w:val="24"/>
        </w:rPr>
        <w:t>programs,</w:t>
      </w:r>
      <w:r>
        <w:rPr>
          <w:spacing w:val="-4"/>
          <w:sz w:val="24"/>
        </w:rPr>
        <w:t> </w:t>
      </w:r>
      <w:r>
        <w:rPr>
          <w:sz w:val="24"/>
        </w:rPr>
        <w:t>including</w:t>
      </w:r>
      <w:r>
        <w:rPr>
          <w:spacing w:val="-5"/>
          <w:sz w:val="24"/>
        </w:rPr>
        <w:t> </w:t>
      </w:r>
      <w:r>
        <w:rPr>
          <w:sz w:val="24"/>
        </w:rPr>
        <w:t>coordination</w:t>
      </w:r>
      <w:r>
        <w:rPr>
          <w:spacing w:val="-4"/>
          <w:sz w:val="24"/>
        </w:rPr>
        <w:t> </w:t>
      </w:r>
      <w:r>
        <w:rPr>
          <w:sz w:val="24"/>
        </w:rPr>
        <w:t>with state and federal officials;</w:t>
      </w:r>
    </w:p>
    <w:p>
      <w:pPr>
        <w:pStyle w:val="ListParagraph"/>
        <w:numPr>
          <w:ilvl w:val="0"/>
          <w:numId w:val="12"/>
        </w:numPr>
        <w:tabs>
          <w:tab w:pos="1217" w:val="left" w:leader="none"/>
        </w:tabs>
        <w:spacing w:line="240" w:lineRule="auto" w:before="211" w:after="0"/>
        <w:ind w:left="1217" w:right="0" w:hanging="426"/>
        <w:jc w:val="left"/>
        <w:rPr>
          <w:sz w:val="24"/>
        </w:rPr>
      </w:pPr>
      <w:r>
        <w:rPr>
          <w:sz w:val="24"/>
        </w:rPr>
        <w:t>serving</w:t>
      </w:r>
      <w:r>
        <w:rPr>
          <w:spacing w:val="-4"/>
          <w:sz w:val="24"/>
        </w:rPr>
        <w:t> </w:t>
      </w:r>
      <w:r>
        <w:rPr>
          <w:sz w:val="24"/>
        </w:rPr>
        <w:t>as</w:t>
      </w:r>
      <w:r>
        <w:rPr>
          <w:spacing w:val="-3"/>
          <w:sz w:val="24"/>
        </w:rPr>
        <w:t> </w:t>
      </w:r>
      <w:r>
        <w:rPr>
          <w:sz w:val="24"/>
        </w:rPr>
        <w:t>arbitrators</w:t>
      </w:r>
      <w:r>
        <w:rPr>
          <w:spacing w:val="-4"/>
          <w:sz w:val="24"/>
        </w:rPr>
        <w:t> </w:t>
      </w:r>
      <w:r>
        <w:rPr>
          <w:sz w:val="24"/>
        </w:rPr>
        <w:t>for</w:t>
      </w:r>
      <w:r>
        <w:rPr>
          <w:spacing w:val="-4"/>
          <w:sz w:val="24"/>
        </w:rPr>
        <w:t> </w:t>
      </w:r>
      <w:r>
        <w:rPr>
          <w:sz w:val="24"/>
        </w:rPr>
        <w:t>programmatic</w:t>
      </w:r>
      <w:r>
        <w:rPr>
          <w:spacing w:val="-4"/>
          <w:sz w:val="24"/>
        </w:rPr>
        <w:t> </w:t>
      </w:r>
      <w:r>
        <w:rPr>
          <w:sz w:val="24"/>
        </w:rPr>
        <w:t>and</w:t>
      </w:r>
      <w:r>
        <w:rPr>
          <w:spacing w:val="-3"/>
          <w:sz w:val="24"/>
        </w:rPr>
        <w:t> </w:t>
      </w:r>
      <w:r>
        <w:rPr>
          <w:sz w:val="24"/>
        </w:rPr>
        <w:t>field</w:t>
      </w:r>
      <w:r>
        <w:rPr>
          <w:spacing w:val="-3"/>
          <w:sz w:val="24"/>
        </w:rPr>
        <w:t> </w:t>
      </w:r>
      <w:r>
        <w:rPr>
          <w:spacing w:val="-2"/>
          <w:sz w:val="24"/>
        </w:rPr>
        <w:t>issues;</w:t>
      </w:r>
    </w:p>
    <w:p>
      <w:pPr>
        <w:pStyle w:val="ListParagraph"/>
        <w:numPr>
          <w:ilvl w:val="0"/>
          <w:numId w:val="12"/>
        </w:numPr>
        <w:tabs>
          <w:tab w:pos="1217" w:val="left" w:leader="none"/>
        </w:tabs>
        <w:spacing w:line="240" w:lineRule="auto" w:before="204" w:after="0"/>
        <w:ind w:left="1217" w:right="0" w:hanging="426"/>
        <w:jc w:val="left"/>
        <w:rPr>
          <w:sz w:val="24"/>
        </w:rPr>
      </w:pPr>
      <w:r>
        <w:rPr>
          <w:sz w:val="24"/>
        </w:rPr>
        <w:t>coordinating</w:t>
      </w:r>
      <w:r>
        <w:rPr>
          <w:spacing w:val="-5"/>
          <w:sz w:val="24"/>
        </w:rPr>
        <w:t> </w:t>
      </w:r>
      <w:r>
        <w:rPr>
          <w:sz w:val="24"/>
        </w:rPr>
        <w:t>field</w:t>
      </w:r>
      <w:r>
        <w:rPr>
          <w:spacing w:val="-4"/>
          <w:sz w:val="24"/>
        </w:rPr>
        <w:t> </w:t>
      </w:r>
      <w:r>
        <w:rPr>
          <w:sz w:val="24"/>
        </w:rPr>
        <w:t>and</w:t>
      </w:r>
      <w:r>
        <w:rPr>
          <w:spacing w:val="-4"/>
          <w:sz w:val="24"/>
        </w:rPr>
        <w:t> </w:t>
      </w:r>
      <w:r>
        <w:rPr>
          <w:sz w:val="24"/>
        </w:rPr>
        <w:t>program</w:t>
      </w:r>
      <w:r>
        <w:rPr>
          <w:spacing w:val="-3"/>
          <w:sz w:val="24"/>
        </w:rPr>
        <w:t> </w:t>
      </w:r>
      <w:r>
        <w:rPr>
          <w:sz w:val="24"/>
        </w:rPr>
        <w:t>issues</w:t>
      </w:r>
      <w:r>
        <w:rPr>
          <w:spacing w:val="-5"/>
          <w:sz w:val="24"/>
        </w:rPr>
        <w:t> </w:t>
      </w:r>
      <w:r>
        <w:rPr>
          <w:sz w:val="24"/>
        </w:rPr>
        <w:t>with</w:t>
      </w:r>
      <w:r>
        <w:rPr>
          <w:spacing w:val="-4"/>
          <w:sz w:val="24"/>
        </w:rPr>
        <w:t> </w:t>
      </w:r>
      <w:r>
        <w:rPr>
          <w:sz w:val="24"/>
        </w:rPr>
        <w:t>administrative</w:t>
      </w:r>
      <w:r>
        <w:rPr>
          <w:spacing w:val="-4"/>
          <w:sz w:val="24"/>
        </w:rPr>
        <w:t> </w:t>
      </w:r>
      <w:r>
        <w:rPr>
          <w:sz w:val="24"/>
        </w:rPr>
        <w:t>functions;</w:t>
      </w:r>
      <w:r>
        <w:rPr>
          <w:spacing w:val="-3"/>
          <w:sz w:val="24"/>
        </w:rPr>
        <w:t> </w:t>
      </w:r>
      <w:r>
        <w:rPr>
          <w:spacing w:val="-4"/>
          <w:sz w:val="24"/>
        </w:rPr>
        <w:t>and,</w:t>
      </w:r>
    </w:p>
    <w:p>
      <w:pPr>
        <w:pStyle w:val="ListParagraph"/>
        <w:numPr>
          <w:ilvl w:val="0"/>
          <w:numId w:val="12"/>
        </w:numPr>
        <w:tabs>
          <w:tab w:pos="1217" w:val="left" w:leader="none"/>
        </w:tabs>
        <w:spacing w:line="208" w:lineRule="auto" w:before="233" w:after="0"/>
        <w:ind w:left="791" w:right="879" w:firstLine="0"/>
        <w:jc w:val="left"/>
        <w:rPr>
          <w:sz w:val="24"/>
        </w:rPr>
      </w:pPr>
      <w:r>
        <w:rPr>
          <w:sz w:val="24"/>
        </w:rPr>
        <w:t>providing</w:t>
      </w:r>
      <w:r>
        <w:rPr>
          <w:spacing w:val="-4"/>
          <w:sz w:val="24"/>
        </w:rPr>
        <w:t> </w:t>
      </w:r>
      <w:r>
        <w:rPr>
          <w:sz w:val="24"/>
        </w:rPr>
        <w:t>liaison</w:t>
      </w:r>
      <w:r>
        <w:rPr>
          <w:spacing w:val="-4"/>
          <w:sz w:val="24"/>
        </w:rPr>
        <w:t> </w:t>
      </w:r>
      <w:r>
        <w:rPr>
          <w:sz w:val="24"/>
        </w:rPr>
        <w:t>between</w:t>
      </w:r>
      <w:r>
        <w:rPr>
          <w:spacing w:val="-4"/>
          <w:sz w:val="24"/>
        </w:rPr>
        <w:t> </w:t>
      </w:r>
      <w:r>
        <w:rPr>
          <w:sz w:val="24"/>
        </w:rPr>
        <w:t>DRS</w:t>
      </w:r>
      <w:r>
        <w:rPr>
          <w:spacing w:val="-4"/>
          <w:sz w:val="24"/>
        </w:rPr>
        <w:t> </w:t>
      </w:r>
      <w:r>
        <w:rPr>
          <w:sz w:val="24"/>
        </w:rPr>
        <w:t>and</w:t>
      </w:r>
      <w:r>
        <w:rPr>
          <w:spacing w:val="-4"/>
          <w:sz w:val="24"/>
        </w:rPr>
        <w:t> </w:t>
      </w:r>
      <w:r>
        <w:rPr>
          <w:sz w:val="24"/>
        </w:rPr>
        <w:t>members</w:t>
      </w:r>
      <w:r>
        <w:rPr>
          <w:spacing w:val="-4"/>
          <w:sz w:val="24"/>
        </w:rPr>
        <w:t> </w:t>
      </w:r>
      <w:r>
        <w:rPr>
          <w:sz w:val="24"/>
        </w:rPr>
        <w:t>of</w:t>
      </w:r>
      <w:r>
        <w:rPr>
          <w:spacing w:val="-3"/>
          <w:sz w:val="24"/>
        </w:rPr>
        <w:t> </w:t>
      </w:r>
      <w:r>
        <w:rPr>
          <w:sz w:val="24"/>
        </w:rPr>
        <w:t>the</w:t>
      </w:r>
      <w:r>
        <w:rPr>
          <w:spacing w:val="-5"/>
          <w:sz w:val="24"/>
        </w:rPr>
        <w:t> </w:t>
      </w:r>
      <w:r>
        <w:rPr>
          <w:sz w:val="24"/>
        </w:rPr>
        <w:t>Oklahoma</w:t>
      </w:r>
      <w:r>
        <w:rPr>
          <w:spacing w:val="-4"/>
          <w:sz w:val="24"/>
        </w:rPr>
        <w:t> </w:t>
      </w:r>
      <w:r>
        <w:rPr>
          <w:sz w:val="24"/>
        </w:rPr>
        <w:t>Legislature,</w:t>
      </w:r>
      <w:r>
        <w:rPr>
          <w:spacing w:val="-3"/>
          <w:sz w:val="24"/>
        </w:rPr>
        <w:t> </w:t>
      </w:r>
      <w:r>
        <w:rPr>
          <w:sz w:val="24"/>
        </w:rPr>
        <w:t>the Governor, and other state officials as requested by the Director and/or Chief of </w:t>
      </w:r>
      <w:r>
        <w:rPr>
          <w:spacing w:val="-2"/>
          <w:sz w:val="24"/>
        </w:rPr>
        <w:t>Staff.</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775" w:firstLine="0"/>
        <w:jc w:val="left"/>
        <w:rPr>
          <w:sz w:val="22"/>
        </w:rPr>
      </w:pPr>
      <w:r>
        <w:rPr>
          <w:sz w:val="22"/>
        </w:rPr>
        <w:t>Permanent,</w:t>
      </w:r>
      <w:r>
        <w:rPr>
          <w:spacing w:val="-3"/>
          <w:sz w:val="22"/>
        </w:rPr>
        <w:t> </w:t>
      </w:r>
      <w:r>
        <w:rPr>
          <w:sz w:val="22"/>
        </w:rPr>
        <w:t>first</w:t>
      </w:r>
      <w:r>
        <w:rPr>
          <w:spacing w:val="-4"/>
          <w:sz w:val="22"/>
        </w:rPr>
        <w:t> </w:t>
      </w:r>
      <w:r>
        <w:rPr>
          <w:sz w:val="22"/>
        </w:rPr>
        <w:t>adoption</w:t>
      </w:r>
      <w:r>
        <w:rPr>
          <w:spacing w:val="-4"/>
          <w:sz w:val="22"/>
        </w:rPr>
        <w:t> </w:t>
      </w:r>
      <w:r>
        <w:rPr>
          <w:sz w:val="22"/>
        </w:rPr>
        <w:t>under</w:t>
      </w:r>
      <w:r>
        <w:rPr>
          <w:spacing w:val="-4"/>
          <w:sz w:val="22"/>
        </w:rPr>
        <w:t> </w:t>
      </w:r>
      <w:r>
        <w:rPr>
          <w:sz w:val="22"/>
        </w:rPr>
        <w:t>OAC</w:t>
      </w:r>
      <w:r>
        <w:rPr>
          <w:spacing w:val="-5"/>
          <w:sz w:val="22"/>
        </w:rPr>
        <w:t> </w:t>
      </w:r>
      <w:r>
        <w:rPr>
          <w:sz w:val="22"/>
        </w:rPr>
        <w:t>Title</w:t>
      </w:r>
      <w:r>
        <w:rPr>
          <w:spacing w:val="-4"/>
          <w:sz w:val="22"/>
        </w:rPr>
        <w:t> </w:t>
      </w:r>
      <w:r>
        <w:rPr>
          <w:sz w:val="22"/>
        </w:rPr>
        <w:t>612,</w:t>
      </w:r>
      <w:r>
        <w:rPr>
          <w:spacing w:val="-5"/>
          <w:sz w:val="22"/>
        </w:rPr>
        <w:t> </w:t>
      </w:r>
      <w:r>
        <w:rPr>
          <w:sz w:val="22"/>
        </w:rPr>
        <w:t>changed</w:t>
      </w:r>
      <w:r>
        <w:rPr>
          <w:spacing w:val="-4"/>
          <w:sz w:val="22"/>
        </w:rPr>
        <w:t> </w:t>
      </w:r>
      <w:r>
        <w:rPr>
          <w:sz w:val="22"/>
        </w:rPr>
        <w:t>number</w:t>
      </w:r>
      <w:r>
        <w:rPr>
          <w:spacing w:val="-4"/>
          <w:sz w:val="22"/>
        </w:rPr>
        <w:t> </w:t>
      </w:r>
      <w:r>
        <w:rPr>
          <w:sz w:val="22"/>
        </w:rPr>
        <w:t>of</w:t>
      </w:r>
      <w:r>
        <w:rPr>
          <w:spacing w:val="-4"/>
          <w:sz w:val="22"/>
        </w:rPr>
        <w:t> </w:t>
      </w:r>
      <w:r>
        <w:rPr>
          <w:sz w:val="22"/>
        </w:rPr>
        <w:t>Division Administrators to four.</w:t>
      </w:r>
    </w:p>
    <w:p>
      <w:pPr>
        <w:pStyle w:val="ListParagraph"/>
        <w:numPr>
          <w:ilvl w:val="2"/>
          <w:numId w:val="13"/>
        </w:numPr>
        <w:tabs>
          <w:tab w:pos="1439" w:val="left" w:leader="none"/>
        </w:tabs>
        <w:spacing w:line="240" w:lineRule="auto" w:before="1" w:after="0"/>
        <w:ind w:left="1439" w:right="0" w:hanging="1080"/>
        <w:jc w:val="left"/>
        <w:rPr>
          <w:sz w:val="22"/>
        </w:rPr>
      </w:pPr>
      <w:r>
        <w:rPr>
          <w:sz w:val="22"/>
        </w:rPr>
        <w:t>PT</w:t>
      </w:r>
      <w:r>
        <w:rPr>
          <w:spacing w:val="-8"/>
          <w:sz w:val="22"/>
        </w:rPr>
        <w:t> </w:t>
      </w:r>
      <w:r>
        <w:rPr>
          <w:sz w:val="22"/>
        </w:rPr>
        <w:t>Memo</w:t>
      </w:r>
      <w:r>
        <w:rPr>
          <w:spacing w:val="-8"/>
          <w:sz w:val="22"/>
        </w:rPr>
        <w:t> </w:t>
      </w:r>
      <w:r>
        <w:rPr>
          <w:sz w:val="22"/>
        </w:rPr>
        <w:t>#03-</w:t>
      </w:r>
      <w:r>
        <w:rPr>
          <w:spacing w:val="-5"/>
          <w:sz w:val="22"/>
        </w:rPr>
        <w:t>07</w:t>
      </w:r>
    </w:p>
    <w:p>
      <w:pPr>
        <w:tabs>
          <w:tab w:pos="1439" w:val="left" w:leader="none"/>
        </w:tabs>
        <w:spacing w:before="0"/>
        <w:ind w:left="359" w:right="3568" w:firstLine="1080"/>
        <w:jc w:val="left"/>
        <w:rPr>
          <w:sz w:val="22"/>
        </w:rPr>
      </w:pPr>
      <w:r>
        <w:rPr>
          <w:sz w:val="22"/>
        </w:rPr>
        <w:t>Permanent,</w:t>
      </w:r>
      <w:r>
        <w:rPr>
          <w:spacing w:val="-7"/>
          <w:sz w:val="22"/>
        </w:rPr>
        <w:t> </w:t>
      </w:r>
      <w:r>
        <w:rPr>
          <w:sz w:val="22"/>
        </w:rPr>
        <w:t>Updated</w:t>
      </w:r>
      <w:r>
        <w:rPr>
          <w:spacing w:val="-8"/>
          <w:sz w:val="22"/>
        </w:rPr>
        <w:t> </w:t>
      </w:r>
      <w:r>
        <w:rPr>
          <w:sz w:val="22"/>
        </w:rPr>
        <w:t>to</w:t>
      </w:r>
      <w:r>
        <w:rPr>
          <w:spacing w:val="-8"/>
          <w:sz w:val="22"/>
        </w:rPr>
        <w:t> </w:t>
      </w:r>
      <w:r>
        <w:rPr>
          <w:sz w:val="22"/>
        </w:rPr>
        <w:t>include</w:t>
      </w:r>
      <w:r>
        <w:rPr>
          <w:spacing w:val="-8"/>
          <w:sz w:val="22"/>
        </w:rPr>
        <w:t> </w:t>
      </w:r>
      <w:r>
        <w:rPr>
          <w:sz w:val="22"/>
        </w:rPr>
        <w:t>School</w:t>
      </w:r>
      <w:r>
        <w:rPr>
          <w:spacing w:val="-8"/>
          <w:sz w:val="22"/>
        </w:rPr>
        <w:t> </w:t>
      </w:r>
      <w:r>
        <w:rPr>
          <w:sz w:val="22"/>
        </w:rPr>
        <w:t>Superintendents </w:t>
      </w:r>
      <w:r>
        <w:rPr>
          <w:spacing w:val="-2"/>
          <w:sz w:val="22"/>
        </w:rPr>
        <w:t>7-1-10</w:t>
      </w:r>
      <w:r>
        <w:rPr>
          <w:sz w:val="22"/>
        </w:rPr>
        <w:tab/>
        <w:t>PT Memo #10-02</w:t>
      </w:r>
    </w:p>
    <w:p>
      <w:pPr>
        <w:spacing w:line="252" w:lineRule="exact" w:before="0"/>
        <w:ind w:left="1439" w:right="0" w:firstLine="0"/>
        <w:jc w:val="left"/>
        <w:rPr>
          <w:sz w:val="22"/>
        </w:rPr>
      </w:pPr>
      <w:r>
        <w:rPr>
          <w:sz w:val="22"/>
        </w:rPr>
        <w:t>Permanent,</w:t>
      </w:r>
      <w:r>
        <w:rPr>
          <w:spacing w:val="-7"/>
          <w:sz w:val="22"/>
        </w:rPr>
        <w:t> </w:t>
      </w:r>
      <w:r>
        <w:rPr>
          <w:sz w:val="22"/>
        </w:rPr>
        <w:t>changed</w:t>
      </w:r>
      <w:r>
        <w:rPr>
          <w:spacing w:val="-7"/>
          <w:sz w:val="22"/>
        </w:rPr>
        <w:t> </w:t>
      </w:r>
      <w:r>
        <w:rPr>
          <w:sz w:val="22"/>
        </w:rPr>
        <w:t>Deputy</w:t>
      </w:r>
      <w:r>
        <w:rPr>
          <w:spacing w:val="-7"/>
          <w:sz w:val="22"/>
        </w:rPr>
        <w:t> </w:t>
      </w:r>
      <w:r>
        <w:rPr>
          <w:sz w:val="22"/>
        </w:rPr>
        <w:t>Director</w:t>
      </w:r>
      <w:r>
        <w:rPr>
          <w:spacing w:val="-7"/>
          <w:sz w:val="22"/>
        </w:rPr>
        <w:t> </w:t>
      </w:r>
      <w:r>
        <w:rPr>
          <w:sz w:val="22"/>
        </w:rPr>
        <w:t>to</w:t>
      </w:r>
      <w:r>
        <w:rPr>
          <w:spacing w:val="-7"/>
          <w:sz w:val="22"/>
        </w:rPr>
        <w:t> </w:t>
      </w:r>
      <w:r>
        <w:rPr>
          <w:sz w:val="22"/>
        </w:rPr>
        <w:t>Chief</w:t>
      </w:r>
      <w:r>
        <w:rPr>
          <w:spacing w:val="-7"/>
          <w:sz w:val="22"/>
        </w:rPr>
        <w:t> </w:t>
      </w:r>
      <w:r>
        <w:rPr>
          <w:sz w:val="22"/>
        </w:rPr>
        <w:t>of</w:t>
      </w:r>
      <w:r>
        <w:rPr>
          <w:spacing w:val="-7"/>
          <w:sz w:val="22"/>
        </w:rPr>
        <w:t> </w:t>
      </w:r>
      <w:r>
        <w:rPr>
          <w:spacing w:val="-2"/>
          <w:sz w:val="22"/>
        </w:rPr>
        <w:t>Staff</w:t>
      </w:r>
    </w:p>
    <w:p>
      <w:pPr>
        <w:spacing w:after="0" w:line="252" w:lineRule="exact"/>
        <w:jc w:val="left"/>
        <w:rPr>
          <w:sz w:val="22"/>
        </w:rPr>
        <w:sectPr>
          <w:pgSz w:w="12240" w:h="15840"/>
          <w:pgMar w:top="1340" w:bottom="280" w:left="1080" w:right="720"/>
        </w:sectPr>
      </w:pPr>
    </w:p>
    <w:p>
      <w:pPr>
        <w:pStyle w:val="Heading2"/>
      </w:pPr>
      <w:bookmarkStart w:name="612:1-3-8.1  Executive officers" w:id="13"/>
      <w:bookmarkEnd w:id="13"/>
      <w:r>
        <w:rPr>
          <w:b w:val="0"/>
        </w:rPr>
      </w:r>
      <w:r>
        <w:rPr/>
        <w:t>612:1-3-8.1</w:t>
      </w:r>
      <w:r>
        <w:rPr>
          <w:spacing w:val="58"/>
        </w:rPr>
        <w:t> </w:t>
      </w:r>
      <w:r>
        <w:rPr/>
        <w:t>Executive</w:t>
      </w:r>
      <w:r>
        <w:rPr>
          <w:spacing w:val="-4"/>
        </w:rPr>
        <w:t> </w:t>
      </w:r>
      <w:r>
        <w:rPr>
          <w:spacing w:val="-2"/>
        </w:rPr>
        <w:t>officers</w:t>
      </w:r>
    </w:p>
    <w:p>
      <w:pPr>
        <w:pStyle w:val="BodyText"/>
        <w:spacing w:line="208" w:lineRule="auto" w:before="233"/>
        <w:ind w:right="775" w:firstLine="432"/>
      </w:pPr>
      <w:r>
        <w:rPr/>
        <w:t>The</w:t>
      </w:r>
      <w:r>
        <w:rPr>
          <w:spacing w:val="-4"/>
        </w:rPr>
        <w:t> </w:t>
      </w:r>
      <w:r>
        <w:rPr/>
        <w:t>executive</w:t>
      </w:r>
      <w:r>
        <w:rPr>
          <w:spacing w:val="-4"/>
        </w:rPr>
        <w:t> </w:t>
      </w:r>
      <w:r>
        <w:rPr/>
        <w:t>officers</w:t>
      </w:r>
      <w:r>
        <w:rPr>
          <w:spacing w:val="-5"/>
        </w:rPr>
        <w:t> </w:t>
      </w:r>
      <w:r>
        <w:rPr/>
        <w:t>in</w:t>
      </w:r>
      <w:r>
        <w:rPr>
          <w:spacing w:val="-4"/>
        </w:rPr>
        <w:t> </w:t>
      </w:r>
      <w:r>
        <w:rPr/>
        <w:t>(1)</w:t>
      </w:r>
      <w:r>
        <w:rPr>
          <w:spacing w:val="-3"/>
        </w:rPr>
        <w:t> </w:t>
      </w:r>
      <w:r>
        <w:rPr/>
        <w:t>through</w:t>
      </w:r>
      <w:r>
        <w:rPr>
          <w:spacing w:val="-4"/>
        </w:rPr>
        <w:t> </w:t>
      </w:r>
      <w:r>
        <w:rPr/>
        <w:t>(4)</w:t>
      </w:r>
      <w:r>
        <w:rPr>
          <w:spacing w:val="-3"/>
        </w:rPr>
        <w:t> </w:t>
      </w:r>
      <w:r>
        <w:rPr/>
        <w:t>report</w:t>
      </w:r>
      <w:r>
        <w:rPr>
          <w:spacing w:val="-3"/>
        </w:rPr>
        <w:t> </w:t>
      </w:r>
      <w:r>
        <w:rPr/>
        <w:t>directly</w:t>
      </w:r>
      <w:r>
        <w:rPr>
          <w:spacing w:val="-5"/>
        </w:rPr>
        <w:t> </w:t>
      </w:r>
      <w:r>
        <w:rPr/>
        <w:t>to</w:t>
      </w:r>
      <w:r>
        <w:rPr>
          <w:spacing w:val="-4"/>
        </w:rPr>
        <w:t> </w:t>
      </w:r>
      <w:r>
        <w:rPr/>
        <w:t>the</w:t>
      </w:r>
      <w:r>
        <w:rPr>
          <w:spacing w:val="-4"/>
        </w:rPr>
        <w:t> </w:t>
      </w:r>
      <w:r>
        <w:rPr/>
        <w:t>Department</w:t>
      </w:r>
      <w:r>
        <w:rPr>
          <w:spacing w:val="-5"/>
        </w:rPr>
        <w:t> </w:t>
      </w:r>
      <w:r>
        <w:rPr/>
        <w:t>of Rehabilitation Services Director.</w:t>
      </w:r>
    </w:p>
    <w:p>
      <w:pPr>
        <w:pStyle w:val="ListParagraph"/>
        <w:numPr>
          <w:ilvl w:val="0"/>
          <w:numId w:val="14"/>
        </w:numPr>
        <w:tabs>
          <w:tab w:pos="1217" w:val="left" w:leader="none"/>
        </w:tabs>
        <w:spacing w:line="208" w:lineRule="auto" w:before="240" w:after="0"/>
        <w:ind w:left="791" w:right="839" w:firstLine="0"/>
        <w:jc w:val="left"/>
        <w:rPr>
          <w:sz w:val="24"/>
        </w:rPr>
      </w:pPr>
      <w:r>
        <w:rPr>
          <w:b/>
          <w:sz w:val="24"/>
        </w:rPr>
        <w:t>Chief of Staff.</w:t>
      </w:r>
      <w:r>
        <w:rPr>
          <w:b/>
          <w:spacing w:val="40"/>
          <w:sz w:val="24"/>
        </w:rPr>
        <w:t> </w:t>
      </w:r>
      <w:r>
        <w:rPr>
          <w:sz w:val="24"/>
        </w:rPr>
        <w:t>The Chief of Staff assists the Director of the Department in fulfilling the chief administrative and executive responsibilities for day-to-day direction of the activities necessary for DRS to attain its mission as established by Title</w:t>
      </w:r>
      <w:r>
        <w:rPr>
          <w:spacing w:val="-3"/>
          <w:sz w:val="24"/>
        </w:rPr>
        <w:t> </w:t>
      </w:r>
      <w:r>
        <w:rPr>
          <w:sz w:val="24"/>
        </w:rPr>
        <w:t>74,</w:t>
      </w:r>
      <w:r>
        <w:rPr>
          <w:spacing w:val="-2"/>
          <w:sz w:val="24"/>
        </w:rPr>
        <w:t> </w:t>
      </w:r>
      <w:r>
        <w:rPr>
          <w:sz w:val="24"/>
        </w:rPr>
        <w:t>Section</w:t>
      </w:r>
      <w:r>
        <w:rPr>
          <w:spacing w:val="-3"/>
          <w:sz w:val="24"/>
        </w:rPr>
        <w:t> </w:t>
      </w:r>
      <w:r>
        <w:rPr>
          <w:sz w:val="24"/>
        </w:rPr>
        <w:t>166.1</w:t>
      </w:r>
      <w:r>
        <w:rPr>
          <w:spacing w:val="-3"/>
          <w:sz w:val="24"/>
        </w:rPr>
        <w:t> </w:t>
      </w:r>
      <w:r>
        <w:rPr>
          <w:sz w:val="24"/>
        </w:rPr>
        <w:t>et</w:t>
      </w:r>
      <w:r>
        <w:rPr>
          <w:spacing w:val="-2"/>
          <w:sz w:val="24"/>
        </w:rPr>
        <w:t> </w:t>
      </w:r>
      <w:r>
        <w:rPr>
          <w:sz w:val="24"/>
        </w:rPr>
        <w:t>seq.</w:t>
      </w:r>
      <w:r>
        <w:rPr>
          <w:spacing w:val="-4"/>
          <w:sz w:val="24"/>
        </w:rPr>
        <w:t> </w:t>
      </w:r>
      <w:r>
        <w:rPr>
          <w:sz w:val="24"/>
        </w:rPr>
        <w:t>of</w:t>
      </w:r>
      <w:r>
        <w:rPr>
          <w:spacing w:val="-4"/>
          <w:sz w:val="24"/>
        </w:rPr>
        <w:t> </w:t>
      </w:r>
      <w:r>
        <w:rPr>
          <w:sz w:val="24"/>
        </w:rPr>
        <w:t>Oklahoma</w:t>
      </w:r>
      <w:r>
        <w:rPr>
          <w:spacing w:val="-3"/>
          <w:sz w:val="24"/>
        </w:rPr>
        <w:t> </w:t>
      </w:r>
      <w:r>
        <w:rPr>
          <w:sz w:val="24"/>
        </w:rPr>
        <w:t>State</w:t>
      </w:r>
      <w:r>
        <w:rPr>
          <w:spacing w:val="-3"/>
          <w:sz w:val="24"/>
        </w:rPr>
        <w:t> </w:t>
      </w:r>
      <w:r>
        <w:rPr>
          <w:sz w:val="24"/>
        </w:rPr>
        <w:t>Statute.</w:t>
      </w:r>
      <w:r>
        <w:rPr>
          <w:spacing w:val="40"/>
          <w:sz w:val="24"/>
        </w:rPr>
        <w:t> </w:t>
      </w:r>
      <w:r>
        <w:rPr>
          <w:sz w:val="24"/>
        </w:rPr>
        <w:t>The</w:t>
      </w:r>
      <w:r>
        <w:rPr>
          <w:spacing w:val="-3"/>
          <w:sz w:val="24"/>
        </w:rPr>
        <w:t> </w:t>
      </w:r>
      <w:r>
        <w:rPr>
          <w:sz w:val="24"/>
        </w:rPr>
        <w:t>work</w:t>
      </w:r>
      <w:r>
        <w:rPr>
          <w:spacing w:val="-3"/>
          <w:sz w:val="24"/>
        </w:rPr>
        <w:t> </w:t>
      </w:r>
      <w:r>
        <w:rPr>
          <w:sz w:val="24"/>
        </w:rPr>
        <w:t>of</w:t>
      </w:r>
      <w:r>
        <w:rPr>
          <w:spacing w:val="-4"/>
          <w:sz w:val="24"/>
        </w:rPr>
        <w:t> </w:t>
      </w:r>
      <w:r>
        <w:rPr>
          <w:sz w:val="24"/>
        </w:rPr>
        <w:t>the</w:t>
      </w:r>
      <w:r>
        <w:rPr>
          <w:spacing w:val="-3"/>
          <w:sz w:val="24"/>
        </w:rPr>
        <w:t> </w:t>
      </w:r>
      <w:r>
        <w:rPr>
          <w:sz w:val="24"/>
        </w:rPr>
        <w:t>Chief</w:t>
      </w:r>
      <w:r>
        <w:rPr>
          <w:spacing w:val="-2"/>
          <w:sz w:val="24"/>
        </w:rPr>
        <w:t> </w:t>
      </w:r>
      <w:r>
        <w:rPr>
          <w:sz w:val="24"/>
        </w:rPr>
        <w:t>of Staff is overseen by the Director of the Department of Rehabilitation Services.</w:t>
      </w:r>
      <w:r>
        <w:rPr>
          <w:spacing w:val="40"/>
          <w:sz w:val="24"/>
        </w:rPr>
        <w:t> </w:t>
      </w:r>
      <w:r>
        <w:rPr>
          <w:sz w:val="24"/>
        </w:rPr>
        <w:t>In the Director's absence, the work of the Chief of Staff is overseen by the Commission for Rehabilitation Services.</w:t>
      </w:r>
    </w:p>
    <w:p>
      <w:pPr>
        <w:pStyle w:val="ListParagraph"/>
        <w:numPr>
          <w:ilvl w:val="0"/>
          <w:numId w:val="14"/>
        </w:numPr>
        <w:tabs>
          <w:tab w:pos="1217" w:val="left" w:leader="none"/>
        </w:tabs>
        <w:spacing w:line="208" w:lineRule="auto" w:before="239" w:after="0"/>
        <w:ind w:left="791" w:right="920" w:firstLine="0"/>
        <w:jc w:val="left"/>
        <w:rPr>
          <w:sz w:val="24"/>
        </w:rPr>
      </w:pPr>
      <w:r>
        <w:rPr>
          <w:b/>
          <w:sz w:val="24"/>
        </w:rPr>
        <w:t>Chief Fiscal Officer.</w:t>
      </w:r>
      <w:r>
        <w:rPr>
          <w:b/>
          <w:spacing w:val="40"/>
          <w:sz w:val="24"/>
        </w:rPr>
        <w:t> </w:t>
      </w:r>
      <w:r>
        <w:rPr>
          <w:sz w:val="24"/>
        </w:rPr>
        <w:t>The Chief Fiscal Officer is responsible for the direction and</w:t>
      </w:r>
      <w:r>
        <w:rPr>
          <w:spacing w:val="-4"/>
          <w:sz w:val="24"/>
        </w:rPr>
        <w:t> </w:t>
      </w:r>
      <w:r>
        <w:rPr>
          <w:sz w:val="24"/>
        </w:rPr>
        <w:t>oversight</w:t>
      </w:r>
      <w:r>
        <w:rPr>
          <w:spacing w:val="-3"/>
          <w:sz w:val="24"/>
        </w:rPr>
        <w:t> </w:t>
      </w:r>
      <w:r>
        <w:rPr>
          <w:sz w:val="24"/>
        </w:rPr>
        <w:t>of</w:t>
      </w:r>
      <w:r>
        <w:rPr>
          <w:spacing w:val="-5"/>
          <w:sz w:val="24"/>
        </w:rPr>
        <w:t> </w:t>
      </w:r>
      <w:r>
        <w:rPr>
          <w:sz w:val="24"/>
        </w:rPr>
        <w:t>the</w:t>
      </w:r>
      <w:r>
        <w:rPr>
          <w:spacing w:val="-4"/>
          <w:sz w:val="24"/>
        </w:rPr>
        <w:t> </w:t>
      </w:r>
      <w:r>
        <w:rPr>
          <w:sz w:val="24"/>
        </w:rPr>
        <w:t>Department’s</w:t>
      </w:r>
      <w:r>
        <w:rPr>
          <w:spacing w:val="-4"/>
          <w:sz w:val="24"/>
        </w:rPr>
        <w:t> </w:t>
      </w:r>
      <w:r>
        <w:rPr>
          <w:sz w:val="24"/>
        </w:rPr>
        <w:t>fiscal</w:t>
      </w:r>
      <w:r>
        <w:rPr>
          <w:spacing w:val="-4"/>
          <w:sz w:val="24"/>
        </w:rPr>
        <w:t> </w:t>
      </w:r>
      <w:r>
        <w:rPr>
          <w:sz w:val="24"/>
        </w:rPr>
        <w:t>operations,</w:t>
      </w:r>
      <w:r>
        <w:rPr>
          <w:spacing w:val="-3"/>
          <w:sz w:val="24"/>
        </w:rPr>
        <w:t> </w:t>
      </w:r>
      <w:r>
        <w:rPr>
          <w:sz w:val="24"/>
        </w:rPr>
        <w:t>including</w:t>
      </w:r>
      <w:r>
        <w:rPr>
          <w:spacing w:val="-4"/>
          <w:sz w:val="24"/>
        </w:rPr>
        <w:t> </w:t>
      </w:r>
      <w:r>
        <w:rPr>
          <w:sz w:val="24"/>
        </w:rPr>
        <w:t>finance,</w:t>
      </w:r>
      <w:r>
        <w:rPr>
          <w:spacing w:val="-3"/>
          <w:sz w:val="24"/>
        </w:rPr>
        <w:t> </w:t>
      </w:r>
      <w:r>
        <w:rPr>
          <w:sz w:val="24"/>
        </w:rPr>
        <w:t>general</w:t>
      </w:r>
      <w:r>
        <w:rPr>
          <w:spacing w:val="-4"/>
          <w:sz w:val="24"/>
        </w:rPr>
        <w:t> </w:t>
      </w:r>
      <w:r>
        <w:rPr>
          <w:sz w:val="24"/>
        </w:rPr>
        <w:t>and federal accounting, budgeting, administration and control of financial information systems, and reporting activities.</w:t>
      </w:r>
    </w:p>
    <w:p>
      <w:pPr>
        <w:pStyle w:val="ListParagraph"/>
        <w:numPr>
          <w:ilvl w:val="0"/>
          <w:numId w:val="14"/>
        </w:numPr>
        <w:tabs>
          <w:tab w:pos="1217" w:val="left" w:leader="none"/>
        </w:tabs>
        <w:spacing w:line="208" w:lineRule="auto" w:before="240" w:after="0"/>
        <w:ind w:left="791" w:right="1098" w:firstLine="0"/>
        <w:jc w:val="left"/>
        <w:rPr>
          <w:sz w:val="24"/>
        </w:rPr>
      </w:pPr>
      <w:r>
        <w:rPr>
          <w:b/>
          <w:sz w:val="24"/>
        </w:rPr>
        <w:t>External</w:t>
      </w:r>
      <w:r>
        <w:rPr>
          <w:b/>
          <w:spacing w:val="-4"/>
          <w:sz w:val="24"/>
        </w:rPr>
        <w:t> </w:t>
      </w:r>
      <w:r>
        <w:rPr>
          <w:b/>
          <w:sz w:val="24"/>
        </w:rPr>
        <w:t>Relations</w:t>
      </w:r>
      <w:r>
        <w:rPr>
          <w:b/>
          <w:spacing w:val="-5"/>
          <w:sz w:val="24"/>
        </w:rPr>
        <w:t> </w:t>
      </w:r>
      <w:r>
        <w:rPr>
          <w:b/>
          <w:sz w:val="24"/>
        </w:rPr>
        <w:t>Officer.</w:t>
      </w:r>
      <w:r>
        <w:rPr>
          <w:b/>
          <w:spacing w:val="40"/>
          <w:sz w:val="24"/>
        </w:rPr>
        <w:t> </w:t>
      </w:r>
      <w:r>
        <w:rPr>
          <w:sz w:val="24"/>
        </w:rPr>
        <w:t>The</w:t>
      </w:r>
      <w:r>
        <w:rPr>
          <w:spacing w:val="-5"/>
          <w:sz w:val="24"/>
        </w:rPr>
        <w:t> </w:t>
      </w:r>
      <w:r>
        <w:rPr>
          <w:sz w:val="24"/>
        </w:rPr>
        <w:t>External</w:t>
      </w:r>
      <w:r>
        <w:rPr>
          <w:spacing w:val="-5"/>
          <w:sz w:val="24"/>
        </w:rPr>
        <w:t> </w:t>
      </w:r>
      <w:r>
        <w:rPr>
          <w:sz w:val="24"/>
        </w:rPr>
        <w:t>Relations</w:t>
      </w:r>
      <w:r>
        <w:rPr>
          <w:spacing w:val="-5"/>
          <w:sz w:val="24"/>
        </w:rPr>
        <w:t> </w:t>
      </w:r>
      <w:r>
        <w:rPr>
          <w:sz w:val="24"/>
        </w:rPr>
        <w:t>Officer</w:t>
      </w:r>
      <w:r>
        <w:rPr>
          <w:spacing w:val="-4"/>
          <w:sz w:val="24"/>
        </w:rPr>
        <w:t> </w:t>
      </w:r>
      <w:r>
        <w:rPr>
          <w:sz w:val="24"/>
        </w:rPr>
        <w:t>coordinates</w:t>
      </w:r>
      <w:r>
        <w:rPr>
          <w:spacing w:val="-5"/>
          <w:sz w:val="24"/>
        </w:rPr>
        <w:t> </w:t>
      </w:r>
      <w:r>
        <w:rPr>
          <w:sz w:val="24"/>
        </w:rPr>
        <w:t>The Department's legislative initiatives and monitors legislative actions affecting the </w:t>
      </w:r>
      <w:r>
        <w:rPr>
          <w:spacing w:val="-2"/>
          <w:sz w:val="24"/>
        </w:rPr>
        <w:t>Department.</w:t>
      </w:r>
    </w:p>
    <w:p>
      <w:pPr>
        <w:pStyle w:val="ListParagraph"/>
        <w:numPr>
          <w:ilvl w:val="0"/>
          <w:numId w:val="14"/>
        </w:numPr>
        <w:tabs>
          <w:tab w:pos="1217" w:val="left" w:leader="none"/>
        </w:tabs>
        <w:spacing w:line="208" w:lineRule="auto" w:before="239" w:after="0"/>
        <w:ind w:left="791" w:right="789" w:firstLine="0"/>
        <w:jc w:val="left"/>
        <w:rPr>
          <w:sz w:val="24"/>
        </w:rPr>
      </w:pPr>
      <w:r>
        <w:rPr>
          <w:b/>
          <w:sz w:val="24"/>
        </w:rPr>
        <w:t>Communications Director.</w:t>
      </w:r>
      <w:r>
        <w:rPr>
          <w:b/>
          <w:spacing w:val="40"/>
          <w:sz w:val="24"/>
        </w:rPr>
        <w:t> </w:t>
      </w:r>
      <w:r>
        <w:rPr>
          <w:sz w:val="24"/>
        </w:rPr>
        <w:t>The Communications Director coordinates the dissemination</w:t>
      </w:r>
      <w:r>
        <w:rPr>
          <w:spacing w:val="-4"/>
          <w:sz w:val="24"/>
        </w:rPr>
        <w:t> </w:t>
      </w:r>
      <w:r>
        <w:rPr>
          <w:sz w:val="24"/>
        </w:rPr>
        <w:t>of</w:t>
      </w:r>
      <w:r>
        <w:rPr>
          <w:spacing w:val="-3"/>
          <w:sz w:val="24"/>
        </w:rPr>
        <w:t> </w:t>
      </w:r>
      <w:r>
        <w:rPr>
          <w:sz w:val="24"/>
        </w:rPr>
        <w:t>public</w:t>
      </w:r>
      <w:r>
        <w:rPr>
          <w:spacing w:val="-3"/>
          <w:sz w:val="24"/>
        </w:rPr>
        <w:t> </w:t>
      </w:r>
      <w:r>
        <w:rPr>
          <w:sz w:val="24"/>
        </w:rPr>
        <w:t>information</w:t>
      </w:r>
      <w:r>
        <w:rPr>
          <w:spacing w:val="-4"/>
          <w:sz w:val="24"/>
        </w:rPr>
        <w:t> </w:t>
      </w:r>
      <w:r>
        <w:rPr>
          <w:sz w:val="24"/>
        </w:rPr>
        <w:t>about</w:t>
      </w:r>
      <w:r>
        <w:rPr>
          <w:spacing w:val="-3"/>
          <w:sz w:val="24"/>
        </w:rPr>
        <w:t> </w:t>
      </w:r>
      <w:r>
        <w:rPr>
          <w:sz w:val="24"/>
        </w:rPr>
        <w:t>DRS.</w:t>
      </w:r>
      <w:r>
        <w:rPr>
          <w:spacing w:val="40"/>
          <w:sz w:val="24"/>
        </w:rPr>
        <w:t> </w:t>
      </w:r>
      <w:r>
        <w:rPr>
          <w:sz w:val="24"/>
        </w:rPr>
        <w:t>This</w:t>
      </w:r>
      <w:r>
        <w:rPr>
          <w:spacing w:val="-4"/>
          <w:sz w:val="24"/>
        </w:rPr>
        <w:t> </w:t>
      </w:r>
      <w:r>
        <w:rPr>
          <w:sz w:val="24"/>
        </w:rPr>
        <w:t>is</w:t>
      </w:r>
      <w:r>
        <w:rPr>
          <w:spacing w:val="-5"/>
          <w:sz w:val="24"/>
        </w:rPr>
        <w:t> </w:t>
      </w:r>
      <w:r>
        <w:rPr>
          <w:sz w:val="24"/>
        </w:rPr>
        <w:t>accomplished</w:t>
      </w:r>
      <w:r>
        <w:rPr>
          <w:spacing w:val="-4"/>
          <w:sz w:val="24"/>
        </w:rPr>
        <w:t> </w:t>
      </w:r>
      <w:r>
        <w:rPr>
          <w:sz w:val="24"/>
        </w:rPr>
        <w:t>through</w:t>
      </w:r>
      <w:r>
        <w:rPr>
          <w:spacing w:val="-4"/>
          <w:sz w:val="24"/>
        </w:rPr>
        <w:t> </w:t>
      </w:r>
      <w:r>
        <w:rPr>
          <w:sz w:val="24"/>
        </w:rPr>
        <w:t>news releases, a Department newsletter, publications in appropriate media formats, and other public relations activities. The Communications Office is also responsible for producing the Department's annual report.</w:t>
      </w:r>
    </w:p>
    <w:p>
      <w:pPr>
        <w:pStyle w:val="ListParagraph"/>
        <w:numPr>
          <w:ilvl w:val="0"/>
          <w:numId w:val="14"/>
        </w:numPr>
        <w:tabs>
          <w:tab w:pos="1151" w:val="left" w:leader="none"/>
        </w:tabs>
        <w:spacing w:line="208" w:lineRule="auto" w:before="240" w:after="0"/>
        <w:ind w:left="791" w:right="932" w:firstLine="0"/>
        <w:jc w:val="left"/>
        <w:rPr>
          <w:sz w:val="24"/>
        </w:rPr>
      </w:pPr>
      <w:r>
        <w:rPr>
          <w:b/>
          <w:sz w:val="24"/>
        </w:rPr>
        <w:t>Chief Operations Officer. </w:t>
      </w:r>
      <w:r>
        <w:rPr>
          <w:sz w:val="24"/>
        </w:rPr>
        <w:t>The Chief Operations Officer provides leadership and</w:t>
      </w:r>
      <w:r>
        <w:rPr>
          <w:spacing w:val="-4"/>
          <w:sz w:val="24"/>
        </w:rPr>
        <w:t> </w:t>
      </w:r>
      <w:r>
        <w:rPr>
          <w:sz w:val="24"/>
        </w:rPr>
        <w:t>oversight</w:t>
      </w:r>
      <w:r>
        <w:rPr>
          <w:spacing w:val="-3"/>
          <w:sz w:val="24"/>
        </w:rPr>
        <w:t> </w:t>
      </w:r>
      <w:r>
        <w:rPr>
          <w:sz w:val="24"/>
        </w:rPr>
        <w:t>to</w:t>
      </w:r>
      <w:r>
        <w:rPr>
          <w:spacing w:val="-4"/>
          <w:sz w:val="24"/>
        </w:rPr>
        <w:t> </w:t>
      </w:r>
      <w:r>
        <w:rPr>
          <w:sz w:val="24"/>
        </w:rPr>
        <w:t>internal</w:t>
      </w:r>
      <w:r>
        <w:rPr>
          <w:spacing w:val="-4"/>
          <w:sz w:val="24"/>
        </w:rPr>
        <w:t> </w:t>
      </w:r>
      <w:r>
        <w:rPr>
          <w:sz w:val="24"/>
        </w:rPr>
        <w:t>functioning</w:t>
      </w:r>
      <w:r>
        <w:rPr>
          <w:spacing w:val="-4"/>
          <w:sz w:val="24"/>
        </w:rPr>
        <w:t> </w:t>
      </w:r>
      <w:r>
        <w:rPr>
          <w:sz w:val="24"/>
        </w:rPr>
        <w:t>of</w:t>
      </w:r>
      <w:r>
        <w:rPr>
          <w:spacing w:val="-3"/>
          <w:sz w:val="24"/>
        </w:rPr>
        <w:t> </w:t>
      </w:r>
      <w:r>
        <w:rPr>
          <w:sz w:val="24"/>
        </w:rPr>
        <w:t>the</w:t>
      </w:r>
      <w:r>
        <w:rPr>
          <w:spacing w:val="-4"/>
          <w:sz w:val="24"/>
        </w:rPr>
        <w:t> </w:t>
      </w:r>
      <w:r>
        <w:rPr>
          <w:sz w:val="24"/>
        </w:rPr>
        <w:t>department</w:t>
      </w:r>
      <w:r>
        <w:rPr>
          <w:spacing w:val="-5"/>
          <w:sz w:val="24"/>
        </w:rPr>
        <w:t> </w:t>
      </w:r>
      <w:r>
        <w:rPr>
          <w:sz w:val="24"/>
        </w:rPr>
        <w:t>and</w:t>
      </w:r>
      <w:r>
        <w:rPr>
          <w:spacing w:val="-4"/>
          <w:sz w:val="24"/>
        </w:rPr>
        <w:t> </w:t>
      </w:r>
      <w:r>
        <w:rPr>
          <w:sz w:val="24"/>
        </w:rPr>
        <w:t>providing</w:t>
      </w:r>
      <w:r>
        <w:rPr>
          <w:spacing w:val="-4"/>
          <w:sz w:val="24"/>
        </w:rPr>
        <w:t> </w:t>
      </w:r>
      <w:r>
        <w:rPr>
          <w:sz w:val="24"/>
        </w:rPr>
        <w:t>infrastructure support to the agency programs to include contracting and purchasing, property management, human resources, liaison with information technology and other support services to the agency.</w:t>
      </w:r>
    </w:p>
    <w:p>
      <w:pPr>
        <w:spacing w:before="243"/>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15"/>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#98-</w:t>
      </w:r>
      <w:r>
        <w:rPr>
          <w:spacing w:val="-5"/>
          <w:sz w:val="22"/>
        </w:rPr>
        <w:t>14</w:t>
      </w:r>
    </w:p>
    <w:p>
      <w:pPr>
        <w:tabs>
          <w:tab w:pos="1439" w:val="left" w:leader="none"/>
        </w:tabs>
        <w:spacing w:before="0"/>
        <w:ind w:left="360"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7-1-99</w:t>
      </w:r>
      <w:r>
        <w:rPr>
          <w:sz w:val="22"/>
        </w:rPr>
        <w:tab/>
        <w:t>POL Memo #00-1</w:t>
      </w:r>
    </w:p>
    <w:p>
      <w:pPr>
        <w:tabs>
          <w:tab w:pos="1439" w:val="left" w:leader="none"/>
        </w:tabs>
        <w:spacing w:before="0"/>
        <w:ind w:left="360" w:right="1002" w:firstLine="1080"/>
        <w:jc w:val="left"/>
        <w:rPr>
          <w:sz w:val="22"/>
        </w:rPr>
      </w:pPr>
      <w:r>
        <w:rPr>
          <w:sz w:val="22"/>
        </w:rPr>
        <w:t>Permanent,</w:t>
      </w:r>
      <w:r>
        <w:rPr>
          <w:spacing w:val="-5"/>
          <w:sz w:val="22"/>
        </w:rPr>
        <w:t> </w:t>
      </w:r>
      <w:r>
        <w:rPr>
          <w:sz w:val="22"/>
        </w:rPr>
        <w:t>Public</w:t>
      </w:r>
      <w:r>
        <w:rPr>
          <w:spacing w:val="-6"/>
          <w:sz w:val="22"/>
        </w:rPr>
        <w:t> </w:t>
      </w:r>
      <w:r>
        <w:rPr>
          <w:sz w:val="22"/>
        </w:rPr>
        <w:t>Information</w:t>
      </w:r>
      <w:r>
        <w:rPr>
          <w:spacing w:val="-6"/>
          <w:sz w:val="22"/>
        </w:rPr>
        <w:t> </w:t>
      </w:r>
      <w:r>
        <w:rPr>
          <w:sz w:val="22"/>
        </w:rPr>
        <w:t>Officer</w:t>
      </w:r>
      <w:r>
        <w:rPr>
          <w:spacing w:val="-6"/>
          <w:sz w:val="22"/>
        </w:rPr>
        <w:t> </w:t>
      </w:r>
      <w:r>
        <w:rPr>
          <w:sz w:val="22"/>
        </w:rPr>
        <w:t>changed</w:t>
      </w:r>
      <w:r>
        <w:rPr>
          <w:spacing w:val="-6"/>
          <w:sz w:val="22"/>
        </w:rPr>
        <w:t> </w:t>
      </w:r>
      <w:r>
        <w:rPr>
          <w:sz w:val="22"/>
        </w:rPr>
        <w:t>to</w:t>
      </w:r>
      <w:r>
        <w:rPr>
          <w:spacing w:val="-6"/>
          <w:sz w:val="22"/>
        </w:rPr>
        <w:t> </w:t>
      </w:r>
      <w:r>
        <w:rPr>
          <w:sz w:val="22"/>
        </w:rPr>
        <w:t>Public</w:t>
      </w:r>
      <w:r>
        <w:rPr>
          <w:spacing w:val="-6"/>
          <w:sz w:val="22"/>
        </w:rPr>
        <w:t> </w:t>
      </w:r>
      <w:r>
        <w:rPr>
          <w:sz w:val="22"/>
        </w:rPr>
        <w:t>Information</w:t>
      </w:r>
      <w:r>
        <w:rPr>
          <w:spacing w:val="-6"/>
          <w:sz w:val="22"/>
        </w:rPr>
        <w:t> </w:t>
      </w:r>
      <w:r>
        <w:rPr>
          <w:sz w:val="22"/>
        </w:rPr>
        <w:t>Administrator </w:t>
      </w:r>
      <w:r>
        <w:rPr>
          <w:spacing w:val="-2"/>
          <w:sz w:val="22"/>
        </w:rPr>
        <w:t>7-1-10</w:t>
      </w:r>
      <w:r>
        <w:rPr>
          <w:sz w:val="22"/>
        </w:rPr>
        <w:tab/>
        <w:t>PT Memo #10-02</w:t>
      </w:r>
    </w:p>
    <w:p>
      <w:pPr>
        <w:spacing w:before="1"/>
        <w:ind w:left="1439" w:right="0" w:firstLine="0"/>
        <w:jc w:val="left"/>
        <w:rPr>
          <w:sz w:val="22"/>
        </w:rPr>
      </w:pPr>
      <w:r>
        <w:rPr>
          <w:sz w:val="22"/>
        </w:rPr>
        <w:t>Permanent,</w:t>
      </w:r>
      <w:r>
        <w:rPr>
          <w:spacing w:val="-7"/>
          <w:sz w:val="22"/>
        </w:rPr>
        <w:t> </w:t>
      </w:r>
      <w:r>
        <w:rPr>
          <w:sz w:val="22"/>
        </w:rPr>
        <w:t>Changed</w:t>
      </w:r>
      <w:r>
        <w:rPr>
          <w:spacing w:val="-7"/>
          <w:sz w:val="22"/>
        </w:rPr>
        <w:t> </w:t>
      </w:r>
      <w:r>
        <w:rPr>
          <w:sz w:val="22"/>
        </w:rPr>
        <w:t>Deputy</w:t>
      </w:r>
      <w:r>
        <w:rPr>
          <w:spacing w:val="-8"/>
          <w:sz w:val="22"/>
        </w:rPr>
        <w:t> </w:t>
      </w:r>
      <w:r>
        <w:rPr>
          <w:sz w:val="22"/>
        </w:rPr>
        <w:t>Director</w:t>
      </w:r>
      <w:r>
        <w:rPr>
          <w:spacing w:val="-7"/>
          <w:sz w:val="22"/>
        </w:rPr>
        <w:t> </w:t>
      </w:r>
      <w:r>
        <w:rPr>
          <w:sz w:val="22"/>
        </w:rPr>
        <w:t>to</w:t>
      </w:r>
      <w:r>
        <w:rPr>
          <w:spacing w:val="-8"/>
          <w:sz w:val="22"/>
        </w:rPr>
        <w:t> </w:t>
      </w:r>
      <w:r>
        <w:rPr>
          <w:sz w:val="22"/>
        </w:rPr>
        <w:t>Chief</w:t>
      </w:r>
      <w:r>
        <w:rPr>
          <w:spacing w:val="-7"/>
          <w:sz w:val="22"/>
        </w:rPr>
        <w:t> </w:t>
      </w:r>
      <w:r>
        <w:rPr>
          <w:sz w:val="22"/>
        </w:rPr>
        <w:t>of</w:t>
      </w:r>
      <w:r>
        <w:rPr>
          <w:spacing w:val="-7"/>
          <w:sz w:val="22"/>
        </w:rPr>
        <w:t> </w:t>
      </w:r>
      <w:r>
        <w:rPr>
          <w:spacing w:val="-2"/>
          <w:sz w:val="22"/>
        </w:rPr>
        <w:t>Staff</w:t>
      </w:r>
    </w:p>
    <w:p>
      <w:pPr>
        <w:tabs>
          <w:tab w:pos="1439" w:val="left" w:leader="none"/>
        </w:tabs>
        <w:spacing w:line="253" w:lineRule="exact" w:before="0"/>
        <w:ind w:left="360" w:right="0" w:firstLine="0"/>
        <w:jc w:val="left"/>
        <w:rPr>
          <w:sz w:val="22"/>
        </w:rPr>
      </w:pPr>
      <w:r>
        <w:rPr>
          <w:spacing w:val="-2"/>
          <w:sz w:val="22"/>
        </w:rPr>
        <w:t>7-1-</w:t>
      </w:r>
      <w:r>
        <w:rPr>
          <w:spacing w:val="-5"/>
          <w:sz w:val="22"/>
        </w:rPr>
        <w:t>13</w:t>
      </w:r>
      <w:r>
        <w:rPr>
          <w:sz w:val="22"/>
        </w:rPr>
        <w:tab/>
        <w:t>Permanent,</w:t>
      </w:r>
      <w:r>
        <w:rPr>
          <w:spacing w:val="-9"/>
          <w:sz w:val="22"/>
        </w:rPr>
        <w:t> </w:t>
      </w:r>
      <w:r>
        <w:rPr>
          <w:sz w:val="22"/>
        </w:rPr>
        <w:t>Changed</w:t>
      </w:r>
      <w:r>
        <w:rPr>
          <w:spacing w:val="-9"/>
          <w:sz w:val="22"/>
        </w:rPr>
        <w:t> </w:t>
      </w:r>
      <w:r>
        <w:rPr>
          <w:sz w:val="22"/>
        </w:rPr>
        <w:t>Public</w:t>
      </w:r>
      <w:r>
        <w:rPr>
          <w:spacing w:val="-9"/>
          <w:sz w:val="22"/>
        </w:rPr>
        <w:t> </w:t>
      </w:r>
      <w:r>
        <w:rPr>
          <w:sz w:val="22"/>
        </w:rPr>
        <w:t>Information</w:t>
      </w:r>
      <w:r>
        <w:rPr>
          <w:spacing w:val="-9"/>
          <w:sz w:val="22"/>
        </w:rPr>
        <w:t> </w:t>
      </w:r>
      <w:r>
        <w:rPr>
          <w:sz w:val="22"/>
        </w:rPr>
        <w:t>to</w:t>
      </w:r>
      <w:r>
        <w:rPr>
          <w:spacing w:val="-10"/>
          <w:sz w:val="22"/>
        </w:rPr>
        <w:t> </w:t>
      </w:r>
      <w:r>
        <w:rPr>
          <w:spacing w:val="-2"/>
          <w:sz w:val="22"/>
        </w:rPr>
        <w:t>Communication</w:t>
      </w:r>
    </w:p>
    <w:p>
      <w:pPr>
        <w:tabs>
          <w:tab w:pos="1439" w:val="left" w:leader="none"/>
        </w:tabs>
        <w:spacing w:before="0"/>
        <w:ind w:left="360" w:right="2982" w:firstLine="0"/>
        <w:jc w:val="left"/>
        <w:rPr>
          <w:sz w:val="22"/>
        </w:rPr>
      </w:pPr>
      <w:r>
        <w:rPr>
          <w:spacing w:val="-2"/>
          <w:sz w:val="22"/>
        </w:rPr>
        <w:t>8-27-15</w:t>
      </w:r>
      <w:r>
        <w:rPr>
          <w:sz w:val="22"/>
        </w:rPr>
        <w:tab/>
        <w:t>Removal</w:t>
      </w:r>
      <w:r>
        <w:rPr>
          <w:spacing w:val="-6"/>
          <w:sz w:val="22"/>
        </w:rPr>
        <w:t> </w:t>
      </w:r>
      <w:r>
        <w:rPr>
          <w:sz w:val="22"/>
        </w:rPr>
        <w:t>of</w:t>
      </w:r>
      <w:r>
        <w:rPr>
          <w:spacing w:val="-6"/>
          <w:sz w:val="22"/>
        </w:rPr>
        <w:t> </w:t>
      </w:r>
      <w:r>
        <w:rPr>
          <w:sz w:val="22"/>
        </w:rPr>
        <w:t>language</w:t>
      </w:r>
      <w:r>
        <w:rPr>
          <w:spacing w:val="-6"/>
          <w:sz w:val="22"/>
        </w:rPr>
        <w:t> </w:t>
      </w:r>
      <w:r>
        <w:rPr>
          <w:sz w:val="22"/>
        </w:rPr>
        <w:t>regarding</w:t>
      </w:r>
      <w:r>
        <w:rPr>
          <w:spacing w:val="-6"/>
          <w:sz w:val="22"/>
        </w:rPr>
        <w:t> </w:t>
      </w:r>
      <w:r>
        <w:rPr>
          <w:sz w:val="22"/>
        </w:rPr>
        <w:t>the</w:t>
      </w:r>
      <w:r>
        <w:rPr>
          <w:spacing w:val="-6"/>
          <w:sz w:val="22"/>
        </w:rPr>
        <w:t> </w:t>
      </w:r>
      <w:r>
        <w:rPr>
          <w:sz w:val="22"/>
        </w:rPr>
        <w:t>Civil</w:t>
      </w:r>
      <w:r>
        <w:rPr>
          <w:spacing w:val="-6"/>
          <w:sz w:val="22"/>
        </w:rPr>
        <w:t> </w:t>
      </w:r>
      <w:r>
        <w:rPr>
          <w:sz w:val="22"/>
        </w:rPr>
        <w:t>Rights</w:t>
      </w:r>
      <w:r>
        <w:rPr>
          <w:spacing w:val="-6"/>
          <w:sz w:val="22"/>
        </w:rPr>
        <w:t> </w:t>
      </w:r>
      <w:r>
        <w:rPr>
          <w:sz w:val="22"/>
        </w:rPr>
        <w:t>Administrator. </w:t>
      </w:r>
      <w:r>
        <w:rPr>
          <w:spacing w:val="-2"/>
          <w:sz w:val="22"/>
        </w:rPr>
        <w:t>8-11-19</w:t>
      </w:r>
      <w:r>
        <w:rPr>
          <w:sz w:val="22"/>
        </w:rPr>
        <w:tab/>
        <w:t>Added section (5) Chief Operations Officer.</w:t>
      </w:r>
    </w:p>
    <w:p>
      <w:pPr>
        <w:spacing w:after="0"/>
        <w:jc w:val="left"/>
        <w:rPr>
          <w:sz w:val="22"/>
        </w:rPr>
        <w:sectPr>
          <w:pgSz w:w="12240" w:h="15840"/>
          <w:pgMar w:top="1340" w:bottom="280" w:left="1080" w:right="720"/>
        </w:sectPr>
      </w:pPr>
    </w:p>
    <w:p>
      <w:pPr>
        <w:pStyle w:val="Heading2"/>
      </w:pPr>
      <w:bookmarkStart w:name="612:1-3-10.  Final signature authority" w:id="14"/>
      <w:bookmarkEnd w:id="14"/>
      <w:r>
        <w:rPr>
          <w:b w:val="0"/>
        </w:rPr>
      </w:r>
      <w:r>
        <w:rPr/>
        <w:t>612:1-3-10.</w:t>
      </w:r>
      <w:r>
        <w:rPr>
          <w:spacing w:val="58"/>
        </w:rPr>
        <w:t> </w:t>
      </w:r>
      <w:r>
        <w:rPr/>
        <w:t>Final</w:t>
      </w:r>
      <w:r>
        <w:rPr>
          <w:spacing w:val="-3"/>
        </w:rPr>
        <w:t> </w:t>
      </w:r>
      <w:r>
        <w:rPr/>
        <w:t>signature</w:t>
      </w:r>
      <w:r>
        <w:rPr>
          <w:spacing w:val="-4"/>
        </w:rPr>
        <w:t> </w:t>
      </w:r>
      <w:r>
        <w:rPr>
          <w:spacing w:val="-2"/>
        </w:rPr>
        <w:t>authority</w:t>
      </w:r>
    </w:p>
    <w:p>
      <w:pPr>
        <w:pStyle w:val="BodyText"/>
        <w:spacing w:line="208" w:lineRule="auto" w:before="233"/>
        <w:ind w:right="855" w:firstLine="432"/>
      </w:pPr>
      <w:r>
        <w:rPr/>
        <w:t>The Department of Rehabilitation Services recognizes the importance of efficient processing of resource and operations approval requests. At the same time, the Department must assure sufficient oversight of resource allocation in order to fulfill its obligations as a steward of public funds. The Department has therefore established a signature</w:t>
      </w:r>
      <w:r>
        <w:rPr>
          <w:spacing w:val="-4"/>
        </w:rPr>
        <w:t> </w:t>
      </w:r>
      <w:r>
        <w:rPr/>
        <w:t>authority</w:t>
      </w:r>
      <w:r>
        <w:rPr>
          <w:spacing w:val="-4"/>
        </w:rPr>
        <w:t> </w:t>
      </w:r>
      <w:r>
        <w:rPr/>
        <w:t>listing</w:t>
      </w:r>
      <w:r>
        <w:rPr>
          <w:spacing w:val="-4"/>
        </w:rPr>
        <w:t> </w:t>
      </w:r>
      <w:r>
        <w:rPr/>
        <w:t>to</w:t>
      </w:r>
      <w:r>
        <w:rPr>
          <w:spacing w:val="-4"/>
        </w:rPr>
        <w:t> </w:t>
      </w:r>
      <w:r>
        <w:rPr/>
        <w:t>delineate</w:t>
      </w:r>
      <w:r>
        <w:rPr>
          <w:spacing w:val="-4"/>
        </w:rPr>
        <w:t> </w:t>
      </w:r>
      <w:r>
        <w:rPr/>
        <w:t>final</w:t>
      </w:r>
      <w:r>
        <w:rPr>
          <w:spacing w:val="-4"/>
        </w:rPr>
        <w:t> </w:t>
      </w:r>
      <w:r>
        <w:rPr/>
        <w:t>approval</w:t>
      </w:r>
      <w:r>
        <w:rPr>
          <w:spacing w:val="-4"/>
        </w:rPr>
        <w:t> </w:t>
      </w:r>
      <w:r>
        <w:rPr/>
        <w:t>levels</w:t>
      </w:r>
      <w:r>
        <w:rPr>
          <w:spacing w:val="-4"/>
        </w:rPr>
        <w:t> </w:t>
      </w:r>
      <w:r>
        <w:rPr/>
        <w:t>for</w:t>
      </w:r>
      <w:r>
        <w:rPr>
          <w:spacing w:val="-3"/>
        </w:rPr>
        <w:t> </w:t>
      </w:r>
      <w:r>
        <w:rPr/>
        <w:t>resource</w:t>
      </w:r>
      <w:r>
        <w:rPr>
          <w:spacing w:val="-4"/>
        </w:rPr>
        <w:t> </w:t>
      </w:r>
      <w:r>
        <w:rPr/>
        <w:t>and</w:t>
      </w:r>
      <w:r>
        <w:rPr>
          <w:spacing w:val="-4"/>
        </w:rPr>
        <w:t> </w:t>
      </w:r>
      <w:r>
        <w:rPr/>
        <w:t>operations approval requests. With regard to signature authority on contracts, all expenditures must be consistent with DRS's budget categories as approved by the Commission.</w:t>
      </w:r>
    </w:p>
    <w:p>
      <w:pPr>
        <w:pStyle w:val="BodyText"/>
        <w:spacing w:line="208" w:lineRule="auto" w:before="0"/>
        <w:ind w:right="775"/>
      </w:pPr>
      <w:r>
        <w:rPr/>
        <w:t>Delegation of final signature authority is limited to the next lower administrative level unless</w:t>
      </w:r>
      <w:r>
        <w:rPr>
          <w:spacing w:val="-3"/>
        </w:rPr>
        <w:t> </w:t>
      </w:r>
      <w:r>
        <w:rPr/>
        <w:t>approved</w:t>
      </w:r>
      <w:r>
        <w:rPr>
          <w:spacing w:val="-3"/>
        </w:rPr>
        <w:t> </w:t>
      </w:r>
      <w:r>
        <w:rPr/>
        <w:t>in</w:t>
      </w:r>
      <w:r>
        <w:rPr>
          <w:spacing w:val="-3"/>
        </w:rPr>
        <w:t> </w:t>
      </w:r>
      <w:r>
        <w:rPr/>
        <w:t>writing</w:t>
      </w:r>
      <w:r>
        <w:rPr>
          <w:spacing w:val="-3"/>
        </w:rPr>
        <w:t> </w:t>
      </w:r>
      <w:r>
        <w:rPr/>
        <w:t>by</w:t>
      </w:r>
      <w:r>
        <w:rPr>
          <w:spacing w:val="-3"/>
        </w:rPr>
        <w:t> </w:t>
      </w:r>
      <w:r>
        <w:rPr/>
        <w:t>the</w:t>
      </w:r>
      <w:r>
        <w:rPr>
          <w:spacing w:val="-4"/>
        </w:rPr>
        <w:t> </w:t>
      </w:r>
      <w:r>
        <w:rPr/>
        <w:t>Director.</w:t>
      </w:r>
      <w:r>
        <w:rPr>
          <w:spacing w:val="-2"/>
        </w:rPr>
        <w:t> </w:t>
      </w:r>
      <w:r>
        <w:rPr/>
        <w:t>The</w:t>
      </w:r>
      <w:r>
        <w:rPr>
          <w:spacing w:val="-3"/>
        </w:rPr>
        <w:t> </w:t>
      </w:r>
      <w:r>
        <w:rPr/>
        <w:t>administrator</w:t>
      </w:r>
      <w:r>
        <w:rPr>
          <w:spacing w:val="-2"/>
        </w:rPr>
        <w:t> </w:t>
      </w:r>
      <w:r>
        <w:rPr/>
        <w:t>is</w:t>
      </w:r>
      <w:r>
        <w:rPr>
          <w:spacing w:val="-4"/>
        </w:rPr>
        <w:t> </w:t>
      </w:r>
      <w:r>
        <w:rPr/>
        <w:t>to</w:t>
      </w:r>
      <w:r>
        <w:rPr>
          <w:spacing w:val="-3"/>
        </w:rPr>
        <w:t> </w:t>
      </w:r>
      <w:r>
        <w:rPr/>
        <w:t>notify</w:t>
      </w:r>
      <w:r>
        <w:rPr>
          <w:spacing w:val="-3"/>
        </w:rPr>
        <w:t> </w:t>
      </w:r>
      <w:r>
        <w:rPr/>
        <w:t>the</w:t>
      </w:r>
      <w:r>
        <w:rPr>
          <w:spacing w:val="-3"/>
        </w:rPr>
        <w:t> </w:t>
      </w:r>
      <w:r>
        <w:rPr/>
        <w:t>appropriate administrative programs of delegations. Administrators have authority to approve actions within their areas of responsibility at all administrative levels below their own.</w:t>
      </w:r>
    </w:p>
    <w:p>
      <w:pPr>
        <w:pStyle w:val="BodyText"/>
        <w:spacing w:line="208" w:lineRule="auto" w:before="0"/>
        <w:ind w:right="855"/>
      </w:pPr>
      <w:r>
        <w:rPr/>
        <w:t>The</w:t>
      </w:r>
      <w:r>
        <w:rPr>
          <w:spacing w:val="-1"/>
        </w:rPr>
        <w:t> </w:t>
      </w:r>
      <w:r>
        <w:rPr/>
        <w:t>requests</w:t>
      </w:r>
      <w:r>
        <w:rPr>
          <w:spacing w:val="-1"/>
        </w:rPr>
        <w:t> </w:t>
      </w:r>
      <w:r>
        <w:rPr/>
        <w:t>listed</w:t>
      </w:r>
      <w:r>
        <w:rPr>
          <w:spacing w:val="-1"/>
        </w:rPr>
        <w:t> </w:t>
      </w:r>
      <w:r>
        <w:rPr/>
        <w:t>in</w:t>
      </w:r>
      <w:r>
        <w:rPr>
          <w:spacing w:val="-1"/>
        </w:rPr>
        <w:t> </w:t>
      </w:r>
      <w:r>
        <w:rPr/>
        <w:t>(1) through</w:t>
      </w:r>
      <w:r>
        <w:rPr>
          <w:spacing w:val="-2"/>
        </w:rPr>
        <w:t> </w:t>
      </w:r>
      <w:r>
        <w:rPr/>
        <w:t>(9) of</w:t>
      </w:r>
      <w:r>
        <w:rPr>
          <w:spacing w:val="-2"/>
        </w:rPr>
        <w:t> </w:t>
      </w:r>
      <w:r>
        <w:rPr/>
        <w:t>this</w:t>
      </w:r>
      <w:r>
        <w:rPr>
          <w:spacing w:val="-1"/>
        </w:rPr>
        <w:t> </w:t>
      </w:r>
      <w:r>
        <w:rPr/>
        <w:t>Subsection must continue</w:t>
      </w:r>
      <w:r>
        <w:rPr>
          <w:spacing w:val="-1"/>
        </w:rPr>
        <w:t> </w:t>
      </w:r>
      <w:r>
        <w:rPr/>
        <w:t>to</w:t>
      </w:r>
      <w:r>
        <w:rPr>
          <w:spacing w:val="-1"/>
        </w:rPr>
        <w:t> </w:t>
      </w:r>
      <w:r>
        <w:rPr/>
        <w:t>be</w:t>
      </w:r>
      <w:r>
        <w:rPr>
          <w:spacing w:val="-1"/>
        </w:rPr>
        <w:t> </w:t>
      </w:r>
      <w:r>
        <w:rPr/>
        <w:t>reviewed and approved by the appropriate staff before presentation to the individual with final signature</w:t>
      </w:r>
      <w:r>
        <w:rPr>
          <w:spacing w:val="-4"/>
        </w:rPr>
        <w:t> </w:t>
      </w:r>
      <w:r>
        <w:rPr/>
        <w:t>authority.</w:t>
      </w:r>
      <w:r>
        <w:rPr>
          <w:spacing w:val="-3"/>
        </w:rPr>
        <w:t> </w:t>
      </w:r>
      <w:r>
        <w:rPr/>
        <w:t>There</w:t>
      </w:r>
      <w:r>
        <w:rPr>
          <w:spacing w:val="-4"/>
        </w:rPr>
        <w:t> </w:t>
      </w:r>
      <w:r>
        <w:rPr/>
        <w:t>are</w:t>
      </w:r>
      <w:r>
        <w:rPr>
          <w:spacing w:val="-4"/>
        </w:rPr>
        <w:t> </w:t>
      </w:r>
      <w:r>
        <w:rPr/>
        <w:t>additional</w:t>
      </w:r>
      <w:r>
        <w:rPr>
          <w:spacing w:val="-4"/>
        </w:rPr>
        <w:t> </w:t>
      </w:r>
      <w:r>
        <w:rPr/>
        <w:t>resource</w:t>
      </w:r>
      <w:r>
        <w:rPr>
          <w:spacing w:val="-4"/>
        </w:rPr>
        <w:t> </w:t>
      </w:r>
      <w:r>
        <w:rPr/>
        <w:t>and</w:t>
      </w:r>
      <w:r>
        <w:rPr>
          <w:spacing w:val="-4"/>
        </w:rPr>
        <w:t> </w:t>
      </w:r>
      <w:r>
        <w:rPr/>
        <w:t>operations</w:t>
      </w:r>
      <w:r>
        <w:rPr>
          <w:spacing w:val="-4"/>
        </w:rPr>
        <w:t> </w:t>
      </w:r>
      <w:r>
        <w:rPr/>
        <w:t>approvals</w:t>
      </w:r>
      <w:r>
        <w:rPr>
          <w:spacing w:val="-4"/>
        </w:rPr>
        <w:t> </w:t>
      </w:r>
      <w:r>
        <w:rPr/>
        <w:t>unique</w:t>
      </w:r>
      <w:r>
        <w:rPr>
          <w:spacing w:val="-4"/>
        </w:rPr>
        <w:t> </w:t>
      </w:r>
      <w:r>
        <w:rPr/>
        <w:t>to each administrative area that are stated in the policies established for that administrative area.</w:t>
      </w:r>
    </w:p>
    <w:p>
      <w:pPr>
        <w:pStyle w:val="ListParagraph"/>
        <w:numPr>
          <w:ilvl w:val="0"/>
          <w:numId w:val="16"/>
        </w:numPr>
        <w:tabs>
          <w:tab w:pos="1218" w:val="left" w:leader="none"/>
        </w:tabs>
        <w:spacing w:line="208" w:lineRule="auto" w:before="238" w:after="0"/>
        <w:ind w:left="792" w:right="893" w:firstLine="0"/>
        <w:jc w:val="left"/>
        <w:rPr>
          <w:sz w:val="24"/>
        </w:rPr>
      </w:pPr>
      <w:r>
        <w:rPr>
          <w:b/>
          <w:sz w:val="24"/>
        </w:rPr>
        <w:t>Director's</w:t>
      </w:r>
      <w:r>
        <w:rPr>
          <w:b/>
          <w:spacing w:val="-4"/>
          <w:sz w:val="24"/>
        </w:rPr>
        <w:t> </w:t>
      </w:r>
      <w:r>
        <w:rPr>
          <w:b/>
          <w:sz w:val="24"/>
        </w:rPr>
        <w:t>signature.</w:t>
      </w:r>
      <w:r>
        <w:rPr>
          <w:b/>
          <w:spacing w:val="-3"/>
          <w:sz w:val="24"/>
        </w:rPr>
        <w:t> </w:t>
      </w:r>
      <w:r>
        <w:rPr>
          <w:sz w:val="24"/>
        </w:rPr>
        <w:t>The</w:t>
      </w:r>
      <w:r>
        <w:rPr>
          <w:spacing w:val="-4"/>
          <w:sz w:val="24"/>
        </w:rPr>
        <w:t> </w:t>
      </w:r>
      <w:r>
        <w:rPr>
          <w:sz w:val="24"/>
        </w:rPr>
        <w:t>Director</w:t>
      </w:r>
      <w:r>
        <w:rPr>
          <w:spacing w:val="-3"/>
          <w:sz w:val="24"/>
        </w:rPr>
        <w:t> </w:t>
      </w:r>
      <w:r>
        <w:rPr>
          <w:sz w:val="24"/>
        </w:rPr>
        <w:t>has</w:t>
      </w:r>
      <w:r>
        <w:rPr>
          <w:spacing w:val="-5"/>
          <w:sz w:val="24"/>
        </w:rPr>
        <w:t> </w:t>
      </w:r>
      <w:r>
        <w:rPr>
          <w:sz w:val="24"/>
        </w:rPr>
        <w:t>final</w:t>
      </w:r>
      <w:r>
        <w:rPr>
          <w:spacing w:val="-4"/>
          <w:sz w:val="24"/>
        </w:rPr>
        <w:t> </w:t>
      </w:r>
      <w:r>
        <w:rPr>
          <w:sz w:val="24"/>
        </w:rPr>
        <w:t>signature</w:t>
      </w:r>
      <w:r>
        <w:rPr>
          <w:spacing w:val="-4"/>
          <w:sz w:val="24"/>
        </w:rPr>
        <w:t> </w:t>
      </w:r>
      <w:r>
        <w:rPr>
          <w:sz w:val="24"/>
        </w:rPr>
        <w:t>authority</w:t>
      </w:r>
      <w:r>
        <w:rPr>
          <w:spacing w:val="-5"/>
          <w:sz w:val="24"/>
        </w:rPr>
        <w:t> </w:t>
      </w:r>
      <w:r>
        <w:rPr>
          <w:sz w:val="24"/>
        </w:rPr>
        <w:t>for</w:t>
      </w:r>
      <w:r>
        <w:rPr>
          <w:spacing w:val="-3"/>
          <w:sz w:val="24"/>
        </w:rPr>
        <w:t> </w:t>
      </w:r>
      <w:r>
        <w:rPr>
          <w:sz w:val="24"/>
        </w:rPr>
        <w:t>items</w:t>
      </w:r>
      <w:r>
        <w:rPr>
          <w:spacing w:val="-4"/>
          <w:sz w:val="24"/>
        </w:rPr>
        <w:t> </w:t>
      </w:r>
      <w:r>
        <w:rPr>
          <w:sz w:val="24"/>
        </w:rPr>
        <w:t>listed in (A) through (E) of this Paragraph.</w:t>
      </w:r>
    </w:p>
    <w:p>
      <w:pPr>
        <w:pStyle w:val="ListParagraph"/>
        <w:numPr>
          <w:ilvl w:val="1"/>
          <w:numId w:val="16"/>
        </w:numPr>
        <w:tabs>
          <w:tab w:pos="1677" w:val="left" w:leader="none"/>
        </w:tabs>
        <w:spacing w:line="208" w:lineRule="auto" w:before="240" w:after="0"/>
        <w:ind w:left="1224" w:right="1010" w:firstLine="0"/>
        <w:jc w:val="left"/>
        <w:rPr>
          <w:sz w:val="24"/>
        </w:rPr>
      </w:pPr>
      <w:r>
        <w:rPr>
          <w:sz w:val="24"/>
        </w:rPr>
        <w:t>Sole</w:t>
      </w:r>
      <w:r>
        <w:rPr>
          <w:spacing w:val="-4"/>
          <w:sz w:val="24"/>
        </w:rPr>
        <w:t> </w:t>
      </w:r>
      <w:r>
        <w:rPr>
          <w:sz w:val="24"/>
        </w:rPr>
        <w:t>source</w:t>
      </w:r>
      <w:r>
        <w:rPr>
          <w:spacing w:val="-4"/>
          <w:sz w:val="24"/>
        </w:rPr>
        <w:t> </w:t>
      </w:r>
      <w:r>
        <w:rPr>
          <w:sz w:val="24"/>
        </w:rPr>
        <w:t>contracts.</w:t>
      </w:r>
      <w:r>
        <w:rPr>
          <w:spacing w:val="-3"/>
          <w:sz w:val="24"/>
        </w:rPr>
        <w:t> </w:t>
      </w:r>
      <w:r>
        <w:rPr>
          <w:sz w:val="24"/>
        </w:rPr>
        <w:t>(approvals</w:t>
      </w:r>
      <w:r>
        <w:rPr>
          <w:spacing w:val="-4"/>
          <w:sz w:val="24"/>
        </w:rPr>
        <w:t> </w:t>
      </w:r>
      <w:r>
        <w:rPr>
          <w:sz w:val="24"/>
        </w:rPr>
        <w:t>may</w:t>
      </w:r>
      <w:r>
        <w:rPr>
          <w:spacing w:val="-4"/>
          <w:sz w:val="24"/>
        </w:rPr>
        <w:t> </w:t>
      </w:r>
      <w:r>
        <w:rPr>
          <w:sz w:val="24"/>
        </w:rPr>
        <w:t>be</w:t>
      </w:r>
      <w:r>
        <w:rPr>
          <w:spacing w:val="-4"/>
          <w:sz w:val="24"/>
        </w:rPr>
        <w:t> </w:t>
      </w:r>
      <w:r>
        <w:rPr>
          <w:sz w:val="24"/>
        </w:rPr>
        <w:t>delegated</w:t>
      </w:r>
      <w:r>
        <w:rPr>
          <w:spacing w:val="-4"/>
          <w:sz w:val="24"/>
        </w:rPr>
        <w:t> </w:t>
      </w:r>
      <w:r>
        <w:rPr>
          <w:sz w:val="24"/>
        </w:rPr>
        <w:t>to</w:t>
      </w:r>
      <w:r>
        <w:rPr>
          <w:spacing w:val="-4"/>
          <w:sz w:val="24"/>
        </w:rPr>
        <w:t> </w:t>
      </w:r>
      <w:r>
        <w:rPr>
          <w:sz w:val="24"/>
        </w:rPr>
        <w:t>the</w:t>
      </w:r>
      <w:r>
        <w:rPr>
          <w:spacing w:val="-4"/>
          <w:sz w:val="24"/>
        </w:rPr>
        <w:t> </w:t>
      </w:r>
      <w:r>
        <w:rPr>
          <w:sz w:val="24"/>
        </w:rPr>
        <w:t>COS,</w:t>
      </w:r>
      <w:r>
        <w:rPr>
          <w:spacing w:val="-3"/>
          <w:sz w:val="24"/>
        </w:rPr>
        <w:t> </w:t>
      </w:r>
      <w:r>
        <w:rPr>
          <w:sz w:val="24"/>
        </w:rPr>
        <w:t>COO</w:t>
      </w:r>
      <w:r>
        <w:rPr>
          <w:spacing w:val="-5"/>
          <w:sz w:val="24"/>
        </w:rPr>
        <w:t> </w:t>
      </w:r>
      <w:r>
        <w:rPr>
          <w:sz w:val="24"/>
        </w:rPr>
        <w:t>or </w:t>
      </w:r>
      <w:r>
        <w:rPr>
          <w:spacing w:val="-4"/>
          <w:sz w:val="24"/>
        </w:rPr>
        <w:t>CFO)</w:t>
      </w:r>
    </w:p>
    <w:p>
      <w:pPr>
        <w:pStyle w:val="ListParagraph"/>
        <w:numPr>
          <w:ilvl w:val="1"/>
          <w:numId w:val="16"/>
        </w:numPr>
        <w:tabs>
          <w:tab w:pos="1676" w:val="left" w:leader="none"/>
        </w:tabs>
        <w:spacing w:line="240" w:lineRule="auto" w:before="211" w:after="0"/>
        <w:ind w:left="1676" w:right="0" w:hanging="452"/>
        <w:jc w:val="left"/>
        <w:rPr>
          <w:sz w:val="24"/>
        </w:rPr>
      </w:pPr>
      <w:r>
        <w:rPr>
          <w:sz w:val="24"/>
        </w:rPr>
        <w:t>Initial</w:t>
      </w:r>
      <w:r>
        <w:rPr>
          <w:spacing w:val="-4"/>
          <w:sz w:val="24"/>
        </w:rPr>
        <w:t> </w:t>
      </w:r>
      <w:r>
        <w:rPr>
          <w:sz w:val="24"/>
        </w:rPr>
        <w:t>contracts</w:t>
      </w:r>
      <w:r>
        <w:rPr>
          <w:spacing w:val="-3"/>
          <w:sz w:val="24"/>
        </w:rPr>
        <w:t> </w:t>
      </w:r>
      <w:r>
        <w:rPr>
          <w:sz w:val="24"/>
        </w:rPr>
        <w:t>for</w:t>
      </w:r>
      <w:r>
        <w:rPr>
          <w:spacing w:val="-4"/>
          <w:sz w:val="24"/>
        </w:rPr>
        <w:t> </w:t>
      </w:r>
      <w:r>
        <w:rPr>
          <w:sz w:val="24"/>
        </w:rPr>
        <w:t>$250,000</w:t>
      </w:r>
      <w:r>
        <w:rPr>
          <w:spacing w:val="-3"/>
          <w:sz w:val="24"/>
        </w:rPr>
        <w:t> </w:t>
      </w:r>
      <w:r>
        <w:rPr>
          <w:sz w:val="24"/>
        </w:rPr>
        <w:t>or</w:t>
      </w:r>
      <w:r>
        <w:rPr>
          <w:spacing w:val="-2"/>
          <w:sz w:val="24"/>
        </w:rPr>
        <w:t> </w:t>
      </w:r>
      <w:r>
        <w:rPr>
          <w:spacing w:val="-4"/>
          <w:sz w:val="24"/>
        </w:rPr>
        <w:t>more.</w:t>
      </w:r>
    </w:p>
    <w:p>
      <w:pPr>
        <w:pStyle w:val="ListParagraph"/>
        <w:numPr>
          <w:ilvl w:val="1"/>
          <w:numId w:val="16"/>
        </w:numPr>
        <w:tabs>
          <w:tab w:pos="1690" w:val="left" w:leader="none"/>
        </w:tabs>
        <w:spacing w:line="240" w:lineRule="auto" w:before="204" w:after="0"/>
        <w:ind w:left="1690" w:right="0" w:hanging="466"/>
        <w:jc w:val="left"/>
        <w:rPr>
          <w:sz w:val="24"/>
        </w:rPr>
      </w:pPr>
      <w:r>
        <w:rPr>
          <w:sz w:val="24"/>
        </w:rPr>
        <w:t>Notices</w:t>
      </w:r>
      <w:r>
        <w:rPr>
          <w:spacing w:val="-3"/>
          <w:sz w:val="24"/>
        </w:rPr>
        <w:t> </w:t>
      </w:r>
      <w:r>
        <w:rPr>
          <w:sz w:val="24"/>
        </w:rPr>
        <w:t>of</w:t>
      </w:r>
      <w:r>
        <w:rPr>
          <w:spacing w:val="-2"/>
          <w:sz w:val="24"/>
        </w:rPr>
        <w:t> </w:t>
      </w:r>
      <w:r>
        <w:rPr>
          <w:sz w:val="24"/>
        </w:rPr>
        <w:t>personnel</w:t>
      </w:r>
      <w:r>
        <w:rPr>
          <w:spacing w:val="-3"/>
          <w:sz w:val="24"/>
        </w:rPr>
        <w:t> </w:t>
      </w:r>
      <w:r>
        <w:rPr>
          <w:sz w:val="24"/>
        </w:rPr>
        <w:t>action</w:t>
      </w:r>
      <w:r>
        <w:rPr>
          <w:spacing w:val="-3"/>
          <w:sz w:val="24"/>
        </w:rPr>
        <w:t> </w:t>
      </w:r>
      <w:r>
        <w:rPr>
          <w:sz w:val="24"/>
        </w:rPr>
        <w:t>(may</w:t>
      </w:r>
      <w:r>
        <w:rPr>
          <w:spacing w:val="-3"/>
          <w:sz w:val="24"/>
        </w:rPr>
        <w:t> </w:t>
      </w:r>
      <w:r>
        <w:rPr>
          <w:sz w:val="24"/>
        </w:rPr>
        <w:t>be</w:t>
      </w:r>
      <w:r>
        <w:rPr>
          <w:spacing w:val="-2"/>
          <w:sz w:val="24"/>
        </w:rPr>
        <w:t> delegated).</w:t>
      </w:r>
    </w:p>
    <w:p>
      <w:pPr>
        <w:pStyle w:val="ListParagraph"/>
        <w:numPr>
          <w:ilvl w:val="1"/>
          <w:numId w:val="16"/>
        </w:numPr>
        <w:tabs>
          <w:tab w:pos="1690" w:val="left" w:leader="none"/>
        </w:tabs>
        <w:spacing w:line="240" w:lineRule="auto" w:before="204" w:after="0"/>
        <w:ind w:left="1690" w:right="0" w:hanging="466"/>
        <w:jc w:val="left"/>
        <w:rPr>
          <w:sz w:val="24"/>
        </w:rPr>
      </w:pPr>
      <w:r>
        <w:rPr>
          <w:sz w:val="24"/>
        </w:rPr>
        <w:t>Leave</w:t>
      </w:r>
      <w:r>
        <w:rPr>
          <w:spacing w:val="-4"/>
          <w:sz w:val="24"/>
        </w:rPr>
        <w:t> </w:t>
      </w:r>
      <w:r>
        <w:rPr>
          <w:sz w:val="24"/>
        </w:rPr>
        <w:t>without</w:t>
      </w:r>
      <w:r>
        <w:rPr>
          <w:spacing w:val="-1"/>
          <w:sz w:val="24"/>
        </w:rPr>
        <w:t> </w:t>
      </w:r>
      <w:r>
        <w:rPr>
          <w:sz w:val="24"/>
        </w:rPr>
        <w:t>pay</w:t>
      </w:r>
      <w:r>
        <w:rPr>
          <w:spacing w:val="-2"/>
          <w:sz w:val="24"/>
        </w:rPr>
        <w:t> </w:t>
      </w:r>
      <w:r>
        <w:rPr>
          <w:sz w:val="24"/>
        </w:rPr>
        <w:t>requests</w:t>
      </w:r>
      <w:r>
        <w:rPr>
          <w:spacing w:val="-2"/>
          <w:sz w:val="24"/>
        </w:rPr>
        <w:t> </w:t>
      </w:r>
      <w:r>
        <w:rPr>
          <w:sz w:val="24"/>
        </w:rPr>
        <w:t>for</w:t>
      </w:r>
      <w:r>
        <w:rPr>
          <w:spacing w:val="-2"/>
          <w:sz w:val="24"/>
        </w:rPr>
        <w:t> </w:t>
      </w:r>
      <w:r>
        <w:rPr>
          <w:sz w:val="24"/>
        </w:rPr>
        <w:t>90</w:t>
      </w:r>
      <w:r>
        <w:rPr>
          <w:spacing w:val="-3"/>
          <w:sz w:val="24"/>
        </w:rPr>
        <w:t> </w:t>
      </w:r>
      <w:r>
        <w:rPr>
          <w:sz w:val="24"/>
        </w:rPr>
        <w:t>days</w:t>
      </w:r>
      <w:r>
        <w:rPr>
          <w:spacing w:val="-3"/>
          <w:sz w:val="24"/>
        </w:rPr>
        <w:t> </w:t>
      </w:r>
      <w:r>
        <w:rPr>
          <w:sz w:val="24"/>
        </w:rPr>
        <w:t>or</w:t>
      </w:r>
      <w:r>
        <w:rPr>
          <w:spacing w:val="-1"/>
          <w:sz w:val="24"/>
        </w:rPr>
        <w:t> </w:t>
      </w:r>
      <w:r>
        <w:rPr>
          <w:spacing w:val="-4"/>
          <w:sz w:val="24"/>
        </w:rPr>
        <w:t>more.</w:t>
      </w:r>
    </w:p>
    <w:p>
      <w:pPr>
        <w:pStyle w:val="ListParagraph"/>
        <w:numPr>
          <w:ilvl w:val="1"/>
          <w:numId w:val="16"/>
        </w:numPr>
        <w:tabs>
          <w:tab w:pos="1676" w:val="left" w:leader="none"/>
        </w:tabs>
        <w:spacing w:line="240" w:lineRule="auto" w:before="204" w:after="0"/>
        <w:ind w:left="1676" w:right="0" w:hanging="452"/>
        <w:jc w:val="left"/>
        <w:rPr>
          <w:sz w:val="24"/>
        </w:rPr>
      </w:pPr>
      <w:r>
        <w:rPr>
          <w:sz w:val="24"/>
        </w:rPr>
        <w:t>Other</w:t>
      </w:r>
      <w:r>
        <w:rPr>
          <w:spacing w:val="-6"/>
          <w:sz w:val="24"/>
        </w:rPr>
        <w:t> </w:t>
      </w:r>
      <w:r>
        <w:rPr>
          <w:sz w:val="24"/>
        </w:rPr>
        <w:t>actions</w:t>
      </w:r>
      <w:r>
        <w:rPr>
          <w:spacing w:val="-3"/>
          <w:sz w:val="24"/>
        </w:rPr>
        <w:t> </w:t>
      </w:r>
      <w:r>
        <w:rPr>
          <w:sz w:val="24"/>
        </w:rPr>
        <w:t>as</w:t>
      </w:r>
      <w:r>
        <w:rPr>
          <w:spacing w:val="-3"/>
          <w:sz w:val="24"/>
        </w:rPr>
        <w:t> </w:t>
      </w:r>
      <w:r>
        <w:rPr>
          <w:sz w:val="24"/>
        </w:rPr>
        <w:t>required</w:t>
      </w:r>
      <w:r>
        <w:rPr>
          <w:spacing w:val="-3"/>
          <w:sz w:val="24"/>
        </w:rPr>
        <w:t> </w:t>
      </w:r>
      <w:r>
        <w:rPr>
          <w:sz w:val="24"/>
        </w:rPr>
        <w:t>by</w:t>
      </w:r>
      <w:r>
        <w:rPr>
          <w:spacing w:val="-2"/>
          <w:sz w:val="24"/>
        </w:rPr>
        <w:t> </w:t>
      </w:r>
      <w:r>
        <w:rPr>
          <w:sz w:val="24"/>
        </w:rPr>
        <w:t>executive</w:t>
      </w:r>
      <w:r>
        <w:rPr>
          <w:spacing w:val="-3"/>
          <w:sz w:val="24"/>
        </w:rPr>
        <w:t> </w:t>
      </w:r>
      <w:r>
        <w:rPr>
          <w:sz w:val="24"/>
        </w:rPr>
        <w:t>order,</w:t>
      </w:r>
      <w:r>
        <w:rPr>
          <w:spacing w:val="-2"/>
          <w:sz w:val="24"/>
        </w:rPr>
        <w:t> </w:t>
      </w:r>
      <w:r>
        <w:rPr>
          <w:sz w:val="24"/>
        </w:rPr>
        <w:t>statute,</w:t>
      </w:r>
      <w:r>
        <w:rPr>
          <w:spacing w:val="-2"/>
          <w:sz w:val="24"/>
        </w:rPr>
        <w:t> </w:t>
      </w:r>
      <w:r>
        <w:rPr>
          <w:spacing w:val="-4"/>
          <w:sz w:val="24"/>
        </w:rPr>
        <w:t>etc.</w:t>
      </w:r>
    </w:p>
    <w:p>
      <w:pPr>
        <w:pStyle w:val="ListParagraph"/>
        <w:numPr>
          <w:ilvl w:val="0"/>
          <w:numId w:val="16"/>
        </w:numPr>
        <w:tabs>
          <w:tab w:pos="1218" w:val="left" w:leader="none"/>
        </w:tabs>
        <w:spacing w:line="208" w:lineRule="auto" w:before="233" w:after="0"/>
        <w:ind w:left="792" w:right="833" w:firstLine="0"/>
        <w:jc w:val="left"/>
        <w:rPr>
          <w:sz w:val="24"/>
        </w:rPr>
      </w:pPr>
      <w:r>
        <w:rPr>
          <w:b/>
          <w:sz w:val="24"/>
        </w:rPr>
        <w:t>Chief</w:t>
      </w:r>
      <w:r>
        <w:rPr>
          <w:b/>
          <w:spacing w:val="-6"/>
          <w:sz w:val="24"/>
        </w:rPr>
        <w:t> </w:t>
      </w:r>
      <w:r>
        <w:rPr>
          <w:b/>
          <w:sz w:val="24"/>
        </w:rPr>
        <w:t>of</w:t>
      </w:r>
      <w:r>
        <w:rPr>
          <w:b/>
          <w:spacing w:val="-3"/>
          <w:sz w:val="24"/>
        </w:rPr>
        <w:t> </w:t>
      </w:r>
      <w:r>
        <w:rPr>
          <w:b/>
          <w:sz w:val="24"/>
        </w:rPr>
        <w:t>Staff,</w:t>
      </w:r>
      <w:r>
        <w:rPr>
          <w:b/>
          <w:spacing w:val="-3"/>
          <w:sz w:val="24"/>
        </w:rPr>
        <w:t> </w:t>
      </w:r>
      <w:r>
        <w:rPr>
          <w:b/>
          <w:sz w:val="24"/>
        </w:rPr>
        <w:t>Chief</w:t>
      </w:r>
      <w:r>
        <w:rPr>
          <w:b/>
          <w:spacing w:val="-3"/>
          <w:sz w:val="24"/>
        </w:rPr>
        <w:t> </w:t>
      </w:r>
      <w:r>
        <w:rPr>
          <w:b/>
          <w:sz w:val="24"/>
        </w:rPr>
        <w:t>Operations</w:t>
      </w:r>
      <w:r>
        <w:rPr>
          <w:b/>
          <w:spacing w:val="-4"/>
          <w:sz w:val="24"/>
        </w:rPr>
        <w:t> </w:t>
      </w:r>
      <w:r>
        <w:rPr>
          <w:b/>
          <w:sz w:val="24"/>
        </w:rPr>
        <w:t>Officer,</w:t>
      </w:r>
      <w:r>
        <w:rPr>
          <w:b/>
          <w:spacing w:val="-3"/>
          <w:sz w:val="24"/>
        </w:rPr>
        <w:t> </w:t>
      </w:r>
      <w:r>
        <w:rPr>
          <w:b/>
          <w:sz w:val="24"/>
        </w:rPr>
        <w:t>and</w:t>
      </w:r>
      <w:r>
        <w:rPr>
          <w:b/>
          <w:spacing w:val="-4"/>
          <w:sz w:val="24"/>
        </w:rPr>
        <w:t> </w:t>
      </w:r>
      <w:r>
        <w:rPr>
          <w:b/>
          <w:sz w:val="24"/>
        </w:rPr>
        <w:t>Chief</w:t>
      </w:r>
      <w:r>
        <w:rPr>
          <w:b/>
          <w:spacing w:val="-3"/>
          <w:sz w:val="24"/>
        </w:rPr>
        <w:t> </w:t>
      </w:r>
      <w:r>
        <w:rPr>
          <w:b/>
          <w:sz w:val="24"/>
        </w:rPr>
        <w:t>Fiscal</w:t>
      </w:r>
      <w:r>
        <w:rPr>
          <w:b/>
          <w:spacing w:val="-6"/>
          <w:sz w:val="24"/>
        </w:rPr>
        <w:t> </w:t>
      </w:r>
      <w:r>
        <w:rPr>
          <w:b/>
          <w:sz w:val="24"/>
        </w:rPr>
        <w:t>Officer.</w:t>
      </w:r>
      <w:r>
        <w:rPr>
          <w:b/>
          <w:spacing w:val="-4"/>
          <w:sz w:val="24"/>
        </w:rPr>
        <w:t> </w:t>
      </w:r>
      <w:r>
        <w:rPr>
          <w:sz w:val="24"/>
        </w:rPr>
        <w:t>The</w:t>
      </w:r>
      <w:r>
        <w:rPr>
          <w:spacing w:val="-4"/>
          <w:sz w:val="24"/>
        </w:rPr>
        <w:t> </w:t>
      </w:r>
      <w:r>
        <w:rPr>
          <w:sz w:val="24"/>
        </w:rPr>
        <w:t>Chief of Staff, Chief Operations Officer and Chief Fiscal Officer have final signature authority for items listed in (A) through (F) of this Paragraph.</w:t>
      </w:r>
    </w:p>
    <w:p>
      <w:pPr>
        <w:pStyle w:val="ListParagraph"/>
        <w:numPr>
          <w:ilvl w:val="1"/>
          <w:numId w:val="16"/>
        </w:numPr>
        <w:tabs>
          <w:tab w:pos="1676" w:val="left" w:leader="none"/>
        </w:tabs>
        <w:spacing w:line="240" w:lineRule="auto" w:before="210" w:after="0"/>
        <w:ind w:left="1676" w:right="0" w:hanging="452"/>
        <w:jc w:val="left"/>
        <w:rPr>
          <w:sz w:val="24"/>
        </w:rPr>
      </w:pPr>
      <w:r>
        <w:rPr>
          <w:sz w:val="24"/>
        </w:rPr>
        <w:t>Initial</w:t>
      </w:r>
      <w:r>
        <w:rPr>
          <w:spacing w:val="-4"/>
          <w:sz w:val="24"/>
        </w:rPr>
        <w:t> </w:t>
      </w:r>
      <w:r>
        <w:rPr>
          <w:sz w:val="24"/>
        </w:rPr>
        <w:t>contracts</w:t>
      </w:r>
      <w:r>
        <w:rPr>
          <w:spacing w:val="-3"/>
          <w:sz w:val="24"/>
        </w:rPr>
        <w:t> </w:t>
      </w:r>
      <w:r>
        <w:rPr>
          <w:sz w:val="24"/>
        </w:rPr>
        <w:t>up</w:t>
      </w:r>
      <w:r>
        <w:rPr>
          <w:spacing w:val="-2"/>
          <w:sz w:val="24"/>
        </w:rPr>
        <w:t> </w:t>
      </w:r>
      <w:r>
        <w:rPr>
          <w:sz w:val="24"/>
        </w:rPr>
        <w:t>to</w:t>
      </w:r>
      <w:r>
        <w:rPr>
          <w:spacing w:val="-2"/>
          <w:sz w:val="24"/>
        </w:rPr>
        <w:t> $250,000.</w:t>
      </w:r>
    </w:p>
    <w:p>
      <w:pPr>
        <w:pStyle w:val="ListParagraph"/>
        <w:numPr>
          <w:ilvl w:val="1"/>
          <w:numId w:val="16"/>
        </w:numPr>
        <w:tabs>
          <w:tab w:pos="1676" w:val="left" w:leader="none"/>
        </w:tabs>
        <w:spacing w:line="208" w:lineRule="auto" w:before="234" w:after="0"/>
        <w:ind w:left="1224" w:right="1584" w:firstLine="0"/>
        <w:jc w:val="left"/>
        <w:rPr>
          <w:sz w:val="24"/>
        </w:rPr>
      </w:pPr>
      <w:r>
        <w:rPr>
          <w:sz w:val="24"/>
        </w:rPr>
        <w:t>Initial</w:t>
      </w:r>
      <w:r>
        <w:rPr>
          <w:spacing w:val="-5"/>
          <w:sz w:val="24"/>
        </w:rPr>
        <w:t> </w:t>
      </w:r>
      <w:r>
        <w:rPr>
          <w:sz w:val="24"/>
        </w:rPr>
        <w:t>contracts</w:t>
      </w:r>
      <w:r>
        <w:rPr>
          <w:spacing w:val="-5"/>
          <w:sz w:val="24"/>
        </w:rPr>
        <w:t> </w:t>
      </w:r>
      <w:r>
        <w:rPr>
          <w:sz w:val="24"/>
        </w:rPr>
        <w:t>or</w:t>
      </w:r>
      <w:r>
        <w:rPr>
          <w:spacing w:val="-7"/>
          <w:sz w:val="24"/>
        </w:rPr>
        <w:t> </w:t>
      </w:r>
      <w:r>
        <w:rPr>
          <w:sz w:val="24"/>
        </w:rPr>
        <w:t>interagency</w:t>
      </w:r>
      <w:r>
        <w:rPr>
          <w:spacing w:val="-5"/>
          <w:sz w:val="24"/>
        </w:rPr>
        <w:t> </w:t>
      </w:r>
      <w:r>
        <w:rPr>
          <w:sz w:val="24"/>
        </w:rPr>
        <w:t>agreements</w:t>
      </w:r>
      <w:r>
        <w:rPr>
          <w:spacing w:val="-5"/>
          <w:sz w:val="24"/>
        </w:rPr>
        <w:t> </w:t>
      </w:r>
      <w:r>
        <w:rPr>
          <w:sz w:val="24"/>
        </w:rPr>
        <w:t>which</w:t>
      </w:r>
      <w:r>
        <w:rPr>
          <w:spacing w:val="-5"/>
          <w:sz w:val="24"/>
        </w:rPr>
        <w:t> </w:t>
      </w:r>
      <w:r>
        <w:rPr>
          <w:sz w:val="24"/>
        </w:rPr>
        <w:t>obligate</w:t>
      </w:r>
      <w:r>
        <w:rPr>
          <w:spacing w:val="-5"/>
          <w:sz w:val="24"/>
        </w:rPr>
        <w:t> </w:t>
      </w:r>
      <w:r>
        <w:rPr>
          <w:sz w:val="24"/>
        </w:rPr>
        <w:t>the</w:t>
      </w:r>
      <w:r>
        <w:rPr>
          <w:spacing w:val="-6"/>
          <w:sz w:val="24"/>
        </w:rPr>
        <w:t> </w:t>
      </w:r>
      <w:r>
        <w:rPr>
          <w:sz w:val="24"/>
        </w:rPr>
        <w:t>entire Department or more than one division.</w:t>
      </w:r>
    </w:p>
    <w:p>
      <w:pPr>
        <w:pStyle w:val="ListParagraph"/>
        <w:numPr>
          <w:ilvl w:val="1"/>
          <w:numId w:val="16"/>
        </w:numPr>
        <w:tabs>
          <w:tab w:pos="1690" w:val="left" w:leader="none"/>
        </w:tabs>
        <w:spacing w:line="208" w:lineRule="auto" w:before="239" w:after="0"/>
        <w:ind w:left="1224" w:right="1372" w:firstLine="0"/>
        <w:jc w:val="left"/>
        <w:rPr>
          <w:sz w:val="24"/>
        </w:rPr>
      </w:pPr>
      <w:r>
        <w:rPr>
          <w:sz w:val="24"/>
        </w:rPr>
        <w:t>New</w:t>
      </w:r>
      <w:r>
        <w:rPr>
          <w:spacing w:val="-5"/>
          <w:sz w:val="24"/>
        </w:rPr>
        <w:t> </w:t>
      </w:r>
      <w:r>
        <w:rPr>
          <w:sz w:val="24"/>
        </w:rPr>
        <w:t>brochures,</w:t>
      </w:r>
      <w:r>
        <w:rPr>
          <w:spacing w:val="-5"/>
          <w:sz w:val="24"/>
        </w:rPr>
        <w:t> </w:t>
      </w:r>
      <w:r>
        <w:rPr>
          <w:sz w:val="24"/>
        </w:rPr>
        <w:t>forms,</w:t>
      </w:r>
      <w:r>
        <w:rPr>
          <w:spacing w:val="-6"/>
          <w:sz w:val="24"/>
        </w:rPr>
        <w:t> </w:t>
      </w:r>
      <w:r>
        <w:rPr>
          <w:sz w:val="24"/>
        </w:rPr>
        <w:t>publications</w:t>
      </w:r>
      <w:r>
        <w:rPr>
          <w:spacing w:val="-5"/>
          <w:sz w:val="24"/>
        </w:rPr>
        <w:t> </w:t>
      </w:r>
      <w:r>
        <w:rPr>
          <w:sz w:val="24"/>
        </w:rPr>
        <w:t>(electronic</w:t>
      </w:r>
      <w:r>
        <w:rPr>
          <w:spacing w:val="-5"/>
          <w:sz w:val="24"/>
        </w:rPr>
        <w:t> </w:t>
      </w:r>
      <w:r>
        <w:rPr>
          <w:sz w:val="24"/>
        </w:rPr>
        <w:t>or</w:t>
      </w:r>
      <w:r>
        <w:rPr>
          <w:spacing w:val="-5"/>
          <w:sz w:val="24"/>
        </w:rPr>
        <w:t> </w:t>
      </w:r>
      <w:r>
        <w:rPr>
          <w:sz w:val="24"/>
        </w:rPr>
        <w:t>printed),</w:t>
      </w:r>
      <w:r>
        <w:rPr>
          <w:spacing w:val="-5"/>
          <w:sz w:val="24"/>
        </w:rPr>
        <w:t> </w:t>
      </w:r>
      <w:r>
        <w:rPr>
          <w:sz w:val="24"/>
        </w:rPr>
        <w:t>and</w:t>
      </w:r>
      <w:r>
        <w:rPr>
          <w:spacing w:val="-6"/>
          <w:sz w:val="24"/>
        </w:rPr>
        <w:t> </w:t>
      </w:r>
      <w:r>
        <w:rPr>
          <w:sz w:val="24"/>
        </w:rPr>
        <w:t>videos produced for more than one division.</w:t>
      </w:r>
    </w:p>
    <w:p>
      <w:pPr>
        <w:pStyle w:val="ListParagraph"/>
        <w:numPr>
          <w:ilvl w:val="1"/>
          <w:numId w:val="16"/>
        </w:numPr>
        <w:tabs>
          <w:tab w:pos="1689" w:val="left" w:leader="none"/>
        </w:tabs>
        <w:spacing w:line="240" w:lineRule="auto" w:before="211" w:after="0"/>
        <w:ind w:left="1689" w:right="0" w:hanging="465"/>
        <w:jc w:val="left"/>
        <w:rPr>
          <w:sz w:val="24"/>
        </w:rPr>
      </w:pPr>
      <w:r>
        <w:rPr>
          <w:sz w:val="24"/>
        </w:rPr>
        <w:t>Office</w:t>
      </w:r>
      <w:r>
        <w:rPr>
          <w:spacing w:val="-3"/>
          <w:sz w:val="24"/>
        </w:rPr>
        <w:t> </w:t>
      </w:r>
      <w:r>
        <w:rPr>
          <w:sz w:val="24"/>
        </w:rPr>
        <w:t>supply</w:t>
      </w:r>
      <w:r>
        <w:rPr>
          <w:spacing w:val="-3"/>
          <w:sz w:val="24"/>
        </w:rPr>
        <w:t> </w:t>
      </w:r>
      <w:r>
        <w:rPr>
          <w:spacing w:val="-2"/>
          <w:sz w:val="24"/>
        </w:rPr>
        <w:t>orders.</w:t>
      </w:r>
    </w:p>
    <w:p>
      <w:pPr>
        <w:pStyle w:val="ListParagraph"/>
        <w:numPr>
          <w:ilvl w:val="1"/>
          <w:numId w:val="16"/>
        </w:numPr>
        <w:tabs>
          <w:tab w:pos="1677" w:val="left" w:leader="none"/>
        </w:tabs>
        <w:spacing w:line="240" w:lineRule="auto" w:before="204" w:after="0"/>
        <w:ind w:left="1677" w:right="0" w:hanging="453"/>
        <w:jc w:val="left"/>
        <w:rPr>
          <w:sz w:val="24"/>
        </w:rPr>
      </w:pPr>
      <w:r>
        <w:rPr>
          <w:sz w:val="24"/>
        </w:rPr>
        <w:t>Administrative</w:t>
      </w:r>
      <w:r>
        <w:rPr>
          <w:spacing w:val="-7"/>
          <w:sz w:val="24"/>
        </w:rPr>
        <w:t> </w:t>
      </w:r>
      <w:r>
        <w:rPr>
          <w:spacing w:val="-2"/>
          <w:sz w:val="24"/>
        </w:rPr>
        <w:t>memos.</w:t>
      </w:r>
    </w:p>
    <w:p>
      <w:pPr>
        <w:pStyle w:val="ListParagraph"/>
        <w:numPr>
          <w:ilvl w:val="1"/>
          <w:numId w:val="16"/>
        </w:numPr>
        <w:tabs>
          <w:tab w:pos="1662" w:val="left" w:leader="none"/>
        </w:tabs>
        <w:spacing w:line="240" w:lineRule="auto" w:before="204" w:after="0"/>
        <w:ind w:left="1662" w:right="0" w:hanging="438"/>
        <w:jc w:val="left"/>
        <w:rPr>
          <w:sz w:val="24"/>
        </w:rPr>
      </w:pPr>
      <w:r>
        <w:rPr>
          <w:sz w:val="24"/>
        </w:rPr>
        <w:t>Requests</w:t>
      </w:r>
      <w:r>
        <w:rPr>
          <w:spacing w:val="-4"/>
          <w:sz w:val="24"/>
        </w:rPr>
        <w:t> </w:t>
      </w:r>
      <w:r>
        <w:rPr>
          <w:sz w:val="24"/>
        </w:rPr>
        <w:t>for</w:t>
      </w:r>
      <w:r>
        <w:rPr>
          <w:spacing w:val="-3"/>
          <w:sz w:val="24"/>
        </w:rPr>
        <w:t> </w:t>
      </w:r>
      <w:r>
        <w:rPr>
          <w:sz w:val="24"/>
        </w:rPr>
        <w:t>in-state</w:t>
      </w:r>
      <w:r>
        <w:rPr>
          <w:spacing w:val="-3"/>
          <w:sz w:val="24"/>
        </w:rPr>
        <w:t> </w:t>
      </w:r>
      <w:r>
        <w:rPr>
          <w:spacing w:val="-2"/>
          <w:sz w:val="24"/>
        </w:rPr>
        <w:t>travel.</w:t>
      </w:r>
    </w:p>
    <w:p>
      <w:pPr>
        <w:pStyle w:val="ListParagraph"/>
        <w:numPr>
          <w:ilvl w:val="0"/>
          <w:numId w:val="16"/>
        </w:numPr>
        <w:tabs>
          <w:tab w:pos="1218" w:val="left" w:leader="none"/>
        </w:tabs>
        <w:spacing w:line="208" w:lineRule="auto" w:before="233" w:after="0"/>
        <w:ind w:left="792" w:right="935" w:firstLine="0"/>
        <w:jc w:val="left"/>
        <w:rPr>
          <w:sz w:val="24"/>
        </w:rPr>
      </w:pPr>
      <w:r>
        <w:rPr>
          <w:b/>
          <w:sz w:val="24"/>
        </w:rPr>
        <w:t>Division</w:t>
      </w:r>
      <w:r>
        <w:rPr>
          <w:b/>
          <w:spacing w:val="-6"/>
          <w:sz w:val="24"/>
        </w:rPr>
        <w:t> </w:t>
      </w:r>
      <w:r>
        <w:rPr>
          <w:b/>
          <w:sz w:val="24"/>
        </w:rPr>
        <w:t>Administrator.</w:t>
      </w:r>
      <w:r>
        <w:rPr>
          <w:b/>
          <w:spacing w:val="-6"/>
          <w:sz w:val="24"/>
        </w:rPr>
        <w:t> </w:t>
      </w:r>
      <w:r>
        <w:rPr>
          <w:sz w:val="24"/>
        </w:rPr>
        <w:t>Division</w:t>
      </w:r>
      <w:r>
        <w:rPr>
          <w:spacing w:val="-6"/>
          <w:sz w:val="24"/>
        </w:rPr>
        <w:t> </w:t>
      </w:r>
      <w:r>
        <w:rPr>
          <w:sz w:val="24"/>
        </w:rPr>
        <w:t>Administrators</w:t>
      </w:r>
      <w:r>
        <w:rPr>
          <w:spacing w:val="-6"/>
          <w:sz w:val="24"/>
        </w:rPr>
        <w:t> </w:t>
      </w:r>
      <w:r>
        <w:rPr>
          <w:sz w:val="24"/>
        </w:rPr>
        <w:t>have</w:t>
      </w:r>
      <w:r>
        <w:rPr>
          <w:spacing w:val="-6"/>
          <w:sz w:val="24"/>
        </w:rPr>
        <w:t> </w:t>
      </w:r>
      <w:r>
        <w:rPr>
          <w:sz w:val="24"/>
        </w:rPr>
        <w:t>final</w:t>
      </w:r>
      <w:r>
        <w:rPr>
          <w:spacing w:val="-6"/>
          <w:sz w:val="24"/>
        </w:rPr>
        <w:t> </w:t>
      </w:r>
      <w:r>
        <w:rPr>
          <w:sz w:val="24"/>
        </w:rPr>
        <w:t>signature</w:t>
      </w:r>
      <w:r>
        <w:rPr>
          <w:spacing w:val="-6"/>
          <w:sz w:val="24"/>
        </w:rPr>
        <w:t> </w:t>
      </w:r>
      <w:r>
        <w:rPr>
          <w:sz w:val="24"/>
        </w:rPr>
        <w:t>authority for items listed in (A) through (K) of this Paragraph.</w:t>
      </w:r>
    </w:p>
    <w:p>
      <w:pPr>
        <w:pStyle w:val="ListParagraph"/>
        <w:spacing w:after="0" w:line="208" w:lineRule="auto"/>
        <w:jc w:val="left"/>
        <w:rPr>
          <w:sz w:val="24"/>
        </w:rPr>
        <w:sectPr>
          <w:pgSz w:w="12240" w:h="15840"/>
          <w:pgMar w:top="1340" w:bottom="280" w:left="1080" w:right="720"/>
        </w:sectPr>
      </w:pPr>
    </w:p>
    <w:p>
      <w:pPr>
        <w:pStyle w:val="ListParagraph"/>
        <w:numPr>
          <w:ilvl w:val="1"/>
          <w:numId w:val="16"/>
        </w:numPr>
        <w:tabs>
          <w:tab w:pos="1676" w:val="left" w:leader="none"/>
        </w:tabs>
        <w:spacing w:line="240" w:lineRule="auto" w:before="67" w:after="0"/>
        <w:ind w:left="1676" w:right="0" w:hanging="452"/>
        <w:jc w:val="left"/>
        <w:rPr>
          <w:sz w:val="24"/>
        </w:rPr>
      </w:pPr>
      <w:r>
        <w:rPr>
          <w:sz w:val="24"/>
        </w:rPr>
        <w:t>Initial</w:t>
      </w:r>
      <w:r>
        <w:rPr>
          <w:spacing w:val="-4"/>
          <w:sz w:val="24"/>
        </w:rPr>
        <w:t> </w:t>
      </w:r>
      <w:r>
        <w:rPr>
          <w:sz w:val="24"/>
        </w:rPr>
        <w:t>contracts</w:t>
      </w:r>
      <w:r>
        <w:rPr>
          <w:spacing w:val="-3"/>
          <w:sz w:val="24"/>
        </w:rPr>
        <w:t> </w:t>
      </w:r>
      <w:r>
        <w:rPr>
          <w:sz w:val="24"/>
        </w:rPr>
        <w:t>up</w:t>
      </w:r>
      <w:r>
        <w:rPr>
          <w:spacing w:val="-2"/>
          <w:sz w:val="24"/>
        </w:rPr>
        <w:t> </w:t>
      </w:r>
      <w:r>
        <w:rPr>
          <w:sz w:val="24"/>
        </w:rPr>
        <w:t>to</w:t>
      </w:r>
      <w:r>
        <w:rPr>
          <w:spacing w:val="-2"/>
          <w:sz w:val="24"/>
        </w:rPr>
        <w:t> $200,000.</w:t>
      </w:r>
    </w:p>
    <w:p>
      <w:pPr>
        <w:pStyle w:val="ListParagraph"/>
        <w:numPr>
          <w:ilvl w:val="1"/>
          <w:numId w:val="16"/>
        </w:numPr>
        <w:tabs>
          <w:tab w:pos="1676" w:val="left" w:leader="none"/>
        </w:tabs>
        <w:spacing w:line="240" w:lineRule="auto" w:before="204" w:after="0"/>
        <w:ind w:left="1676" w:right="0" w:hanging="453"/>
        <w:jc w:val="left"/>
        <w:rPr>
          <w:sz w:val="24"/>
        </w:rPr>
      </w:pPr>
      <w:r>
        <w:rPr>
          <w:sz w:val="24"/>
        </w:rPr>
        <w:t>New</w:t>
      </w:r>
      <w:r>
        <w:rPr>
          <w:spacing w:val="-6"/>
          <w:sz w:val="24"/>
        </w:rPr>
        <w:t> </w:t>
      </w:r>
      <w:r>
        <w:rPr>
          <w:sz w:val="24"/>
        </w:rPr>
        <w:t>or</w:t>
      </w:r>
      <w:r>
        <w:rPr>
          <w:spacing w:val="-4"/>
          <w:sz w:val="24"/>
        </w:rPr>
        <w:t> </w:t>
      </w:r>
      <w:r>
        <w:rPr>
          <w:sz w:val="24"/>
        </w:rPr>
        <w:t>revised</w:t>
      </w:r>
      <w:r>
        <w:rPr>
          <w:spacing w:val="-3"/>
          <w:sz w:val="24"/>
        </w:rPr>
        <w:t> </w:t>
      </w:r>
      <w:r>
        <w:rPr>
          <w:sz w:val="24"/>
        </w:rPr>
        <w:t>interagency</w:t>
      </w:r>
      <w:r>
        <w:rPr>
          <w:spacing w:val="-4"/>
          <w:sz w:val="24"/>
        </w:rPr>
        <w:t> </w:t>
      </w:r>
      <w:r>
        <w:rPr>
          <w:sz w:val="24"/>
        </w:rPr>
        <w:t>agreements</w:t>
      </w:r>
      <w:r>
        <w:rPr>
          <w:spacing w:val="-4"/>
          <w:sz w:val="24"/>
        </w:rPr>
        <w:t> </w:t>
      </w:r>
      <w:r>
        <w:rPr>
          <w:sz w:val="24"/>
        </w:rPr>
        <w:t>involving</w:t>
      </w:r>
      <w:r>
        <w:rPr>
          <w:spacing w:val="-3"/>
          <w:sz w:val="24"/>
        </w:rPr>
        <w:t> </w:t>
      </w:r>
      <w:r>
        <w:rPr>
          <w:sz w:val="24"/>
        </w:rPr>
        <w:t>the</w:t>
      </w:r>
      <w:r>
        <w:rPr>
          <w:spacing w:val="-3"/>
          <w:sz w:val="24"/>
        </w:rPr>
        <w:t> </w:t>
      </w:r>
      <w:r>
        <w:rPr>
          <w:spacing w:val="-2"/>
          <w:sz w:val="24"/>
        </w:rPr>
        <w:t>division.</w:t>
      </w:r>
    </w:p>
    <w:p>
      <w:pPr>
        <w:pStyle w:val="ListParagraph"/>
        <w:numPr>
          <w:ilvl w:val="1"/>
          <w:numId w:val="16"/>
        </w:numPr>
        <w:tabs>
          <w:tab w:pos="1689" w:val="left" w:leader="none"/>
        </w:tabs>
        <w:spacing w:line="208" w:lineRule="auto" w:before="233" w:after="0"/>
        <w:ind w:left="1223" w:right="755" w:firstLine="0"/>
        <w:jc w:val="left"/>
        <w:rPr>
          <w:sz w:val="24"/>
        </w:rPr>
      </w:pPr>
      <w:r>
        <w:rPr>
          <w:sz w:val="24"/>
        </w:rPr>
        <w:t>Computer</w:t>
      </w:r>
      <w:r>
        <w:rPr>
          <w:spacing w:val="-3"/>
          <w:sz w:val="24"/>
        </w:rPr>
        <w:t> </w:t>
      </w:r>
      <w:r>
        <w:rPr>
          <w:sz w:val="24"/>
        </w:rPr>
        <w:t>purchases</w:t>
      </w:r>
      <w:r>
        <w:rPr>
          <w:spacing w:val="-4"/>
          <w:sz w:val="24"/>
        </w:rPr>
        <w:t> </w:t>
      </w:r>
      <w:r>
        <w:rPr>
          <w:sz w:val="24"/>
        </w:rPr>
        <w:t>must</w:t>
      </w:r>
      <w:r>
        <w:rPr>
          <w:spacing w:val="-3"/>
          <w:sz w:val="24"/>
        </w:rPr>
        <w:t> </w:t>
      </w:r>
      <w:r>
        <w:rPr>
          <w:sz w:val="24"/>
        </w:rPr>
        <w:t>be</w:t>
      </w:r>
      <w:r>
        <w:rPr>
          <w:spacing w:val="-4"/>
          <w:sz w:val="24"/>
        </w:rPr>
        <w:t> </w:t>
      </w:r>
      <w:r>
        <w:rPr>
          <w:sz w:val="24"/>
        </w:rPr>
        <w:t>co-signed</w:t>
      </w:r>
      <w:r>
        <w:rPr>
          <w:spacing w:val="-4"/>
          <w:sz w:val="24"/>
        </w:rPr>
        <w:t> </w:t>
      </w:r>
      <w:r>
        <w:rPr>
          <w:sz w:val="24"/>
        </w:rPr>
        <w:t>by</w:t>
      </w:r>
      <w:r>
        <w:rPr>
          <w:spacing w:val="-4"/>
          <w:sz w:val="24"/>
        </w:rPr>
        <w:t> </w:t>
      </w:r>
      <w:r>
        <w:rPr>
          <w:sz w:val="24"/>
        </w:rPr>
        <w:t>the</w:t>
      </w:r>
      <w:r>
        <w:rPr>
          <w:spacing w:val="-4"/>
          <w:sz w:val="24"/>
        </w:rPr>
        <w:t> </w:t>
      </w:r>
      <w:r>
        <w:rPr>
          <w:sz w:val="24"/>
        </w:rPr>
        <w:t>CDS</w:t>
      </w:r>
      <w:r>
        <w:rPr>
          <w:spacing w:val="-4"/>
          <w:sz w:val="24"/>
        </w:rPr>
        <w:t> </w:t>
      </w:r>
      <w:r>
        <w:rPr>
          <w:sz w:val="24"/>
        </w:rPr>
        <w:t>Administrator</w:t>
      </w:r>
      <w:r>
        <w:rPr>
          <w:spacing w:val="-5"/>
          <w:sz w:val="24"/>
        </w:rPr>
        <w:t> </w:t>
      </w:r>
      <w:r>
        <w:rPr>
          <w:sz w:val="24"/>
        </w:rPr>
        <w:t>acting</w:t>
      </w:r>
      <w:r>
        <w:rPr>
          <w:spacing w:val="-4"/>
          <w:sz w:val="24"/>
        </w:rPr>
        <w:t> </w:t>
      </w:r>
      <w:r>
        <w:rPr>
          <w:sz w:val="24"/>
        </w:rPr>
        <w:t>in the IT capacity.</w:t>
      </w:r>
    </w:p>
    <w:p>
      <w:pPr>
        <w:pStyle w:val="ListParagraph"/>
        <w:numPr>
          <w:ilvl w:val="1"/>
          <w:numId w:val="16"/>
        </w:numPr>
        <w:tabs>
          <w:tab w:pos="1690" w:val="left" w:leader="none"/>
        </w:tabs>
        <w:spacing w:line="240" w:lineRule="auto" w:before="210" w:after="0"/>
        <w:ind w:left="1690" w:right="0" w:hanging="466"/>
        <w:jc w:val="left"/>
        <w:rPr>
          <w:sz w:val="24"/>
        </w:rPr>
      </w:pPr>
      <w:r>
        <w:rPr>
          <w:sz w:val="24"/>
        </w:rPr>
        <w:t>Requests</w:t>
      </w:r>
      <w:r>
        <w:rPr>
          <w:spacing w:val="-5"/>
          <w:sz w:val="24"/>
        </w:rPr>
        <w:t> </w:t>
      </w:r>
      <w:r>
        <w:rPr>
          <w:sz w:val="24"/>
        </w:rPr>
        <w:t>for</w:t>
      </w:r>
      <w:r>
        <w:rPr>
          <w:spacing w:val="-4"/>
          <w:sz w:val="24"/>
        </w:rPr>
        <w:t> </w:t>
      </w:r>
      <w:r>
        <w:rPr>
          <w:sz w:val="24"/>
        </w:rPr>
        <w:t>employee</w:t>
      </w:r>
      <w:r>
        <w:rPr>
          <w:spacing w:val="-3"/>
          <w:sz w:val="24"/>
        </w:rPr>
        <w:t> </w:t>
      </w:r>
      <w:r>
        <w:rPr>
          <w:sz w:val="24"/>
        </w:rPr>
        <w:t>in-state</w:t>
      </w:r>
      <w:r>
        <w:rPr>
          <w:spacing w:val="-3"/>
          <w:sz w:val="24"/>
        </w:rPr>
        <w:t> </w:t>
      </w:r>
      <w:r>
        <w:rPr>
          <w:sz w:val="24"/>
        </w:rPr>
        <w:t>travel</w:t>
      </w:r>
      <w:r>
        <w:rPr>
          <w:spacing w:val="-3"/>
          <w:sz w:val="24"/>
        </w:rPr>
        <w:t> </w:t>
      </w:r>
      <w:r>
        <w:rPr>
          <w:sz w:val="24"/>
        </w:rPr>
        <w:t>(may</w:t>
      </w:r>
      <w:r>
        <w:rPr>
          <w:spacing w:val="-3"/>
          <w:sz w:val="24"/>
        </w:rPr>
        <w:t> </w:t>
      </w:r>
      <w:r>
        <w:rPr>
          <w:sz w:val="24"/>
        </w:rPr>
        <w:t>be</w:t>
      </w:r>
      <w:r>
        <w:rPr>
          <w:spacing w:val="-2"/>
          <w:sz w:val="24"/>
        </w:rPr>
        <w:t> delegated).</w:t>
      </w:r>
    </w:p>
    <w:p>
      <w:pPr>
        <w:pStyle w:val="ListParagraph"/>
        <w:numPr>
          <w:ilvl w:val="1"/>
          <w:numId w:val="16"/>
        </w:numPr>
        <w:tabs>
          <w:tab w:pos="1677" w:val="left" w:leader="none"/>
        </w:tabs>
        <w:spacing w:line="240" w:lineRule="auto" w:before="204" w:after="0"/>
        <w:ind w:left="1677" w:right="0" w:hanging="453"/>
        <w:jc w:val="left"/>
        <w:rPr>
          <w:sz w:val="24"/>
        </w:rPr>
      </w:pPr>
      <w:r>
        <w:rPr>
          <w:sz w:val="24"/>
        </w:rPr>
        <w:t>Requests</w:t>
      </w:r>
      <w:r>
        <w:rPr>
          <w:spacing w:val="-5"/>
          <w:sz w:val="24"/>
        </w:rPr>
        <w:t> </w:t>
      </w:r>
      <w:r>
        <w:rPr>
          <w:sz w:val="24"/>
        </w:rPr>
        <w:t>for</w:t>
      </w:r>
      <w:r>
        <w:rPr>
          <w:spacing w:val="-5"/>
          <w:sz w:val="24"/>
        </w:rPr>
        <w:t> </w:t>
      </w:r>
      <w:r>
        <w:rPr>
          <w:sz w:val="24"/>
        </w:rPr>
        <w:t>out-of-state</w:t>
      </w:r>
      <w:r>
        <w:rPr>
          <w:spacing w:val="-5"/>
          <w:sz w:val="24"/>
        </w:rPr>
        <w:t> </w:t>
      </w:r>
      <w:r>
        <w:rPr>
          <w:sz w:val="24"/>
        </w:rPr>
        <w:t>employee</w:t>
      </w:r>
      <w:r>
        <w:rPr>
          <w:spacing w:val="-4"/>
          <w:sz w:val="24"/>
        </w:rPr>
        <w:t> </w:t>
      </w:r>
      <w:r>
        <w:rPr>
          <w:spacing w:val="-2"/>
          <w:sz w:val="24"/>
        </w:rPr>
        <w:t>travel.</w:t>
      </w:r>
    </w:p>
    <w:p>
      <w:pPr>
        <w:pStyle w:val="ListParagraph"/>
        <w:numPr>
          <w:ilvl w:val="1"/>
          <w:numId w:val="16"/>
        </w:numPr>
        <w:tabs>
          <w:tab w:pos="1662" w:val="left" w:leader="none"/>
        </w:tabs>
        <w:spacing w:line="208" w:lineRule="auto" w:before="234" w:after="0"/>
        <w:ind w:left="1224" w:right="769" w:firstLine="0"/>
        <w:jc w:val="left"/>
        <w:rPr>
          <w:sz w:val="24"/>
        </w:rPr>
      </w:pPr>
      <w:r>
        <w:rPr>
          <w:sz w:val="24"/>
        </w:rPr>
        <w:t>Final</w:t>
      </w:r>
      <w:r>
        <w:rPr>
          <w:spacing w:val="-5"/>
          <w:sz w:val="24"/>
        </w:rPr>
        <w:t> </w:t>
      </w:r>
      <w:r>
        <w:rPr>
          <w:sz w:val="24"/>
        </w:rPr>
        <w:t>decisions</w:t>
      </w:r>
      <w:r>
        <w:rPr>
          <w:spacing w:val="-5"/>
          <w:sz w:val="24"/>
        </w:rPr>
        <w:t> </w:t>
      </w:r>
      <w:r>
        <w:rPr>
          <w:sz w:val="24"/>
        </w:rPr>
        <w:t>for</w:t>
      </w:r>
      <w:r>
        <w:rPr>
          <w:spacing w:val="-6"/>
          <w:sz w:val="24"/>
        </w:rPr>
        <w:t> </w:t>
      </w:r>
      <w:r>
        <w:rPr>
          <w:sz w:val="24"/>
        </w:rPr>
        <w:t>employee</w:t>
      </w:r>
      <w:r>
        <w:rPr>
          <w:spacing w:val="-5"/>
          <w:sz w:val="24"/>
        </w:rPr>
        <w:t> </w:t>
      </w:r>
      <w:r>
        <w:rPr>
          <w:sz w:val="24"/>
        </w:rPr>
        <w:t>grievance</w:t>
      </w:r>
      <w:r>
        <w:rPr>
          <w:spacing w:val="-5"/>
          <w:sz w:val="24"/>
        </w:rPr>
        <w:t> </w:t>
      </w:r>
      <w:r>
        <w:rPr>
          <w:sz w:val="24"/>
        </w:rPr>
        <w:t>resolution,</w:t>
      </w:r>
      <w:r>
        <w:rPr>
          <w:spacing w:val="-4"/>
          <w:sz w:val="24"/>
        </w:rPr>
        <w:t> </w:t>
      </w:r>
      <w:r>
        <w:rPr>
          <w:sz w:val="24"/>
        </w:rPr>
        <w:t>other</w:t>
      </w:r>
      <w:r>
        <w:rPr>
          <w:spacing w:val="-4"/>
          <w:sz w:val="24"/>
        </w:rPr>
        <w:t> </w:t>
      </w:r>
      <w:r>
        <w:rPr>
          <w:sz w:val="24"/>
        </w:rPr>
        <w:t>than</w:t>
      </w:r>
      <w:r>
        <w:rPr>
          <w:spacing w:val="-5"/>
          <w:sz w:val="24"/>
        </w:rPr>
        <w:t> </w:t>
      </w:r>
      <w:r>
        <w:rPr>
          <w:sz w:val="24"/>
        </w:rPr>
        <w:t>discrimination complaints, and for adverse action after review by Human Resources.</w:t>
      </w:r>
    </w:p>
    <w:p>
      <w:pPr>
        <w:pStyle w:val="ListParagraph"/>
        <w:numPr>
          <w:ilvl w:val="1"/>
          <w:numId w:val="16"/>
        </w:numPr>
        <w:tabs>
          <w:tab w:pos="1703" w:val="left" w:leader="none"/>
        </w:tabs>
        <w:spacing w:line="240" w:lineRule="auto" w:before="210" w:after="0"/>
        <w:ind w:left="1703" w:right="0" w:hanging="479"/>
        <w:jc w:val="left"/>
        <w:rPr>
          <w:sz w:val="24"/>
        </w:rPr>
      </w:pPr>
      <w:r>
        <w:rPr>
          <w:sz w:val="24"/>
        </w:rPr>
        <w:t>Leave</w:t>
      </w:r>
      <w:r>
        <w:rPr>
          <w:spacing w:val="-4"/>
          <w:sz w:val="24"/>
        </w:rPr>
        <w:t> </w:t>
      </w:r>
      <w:r>
        <w:rPr>
          <w:sz w:val="24"/>
        </w:rPr>
        <w:t>without</w:t>
      </w:r>
      <w:r>
        <w:rPr>
          <w:spacing w:val="-2"/>
          <w:sz w:val="24"/>
        </w:rPr>
        <w:t> </w:t>
      </w:r>
      <w:r>
        <w:rPr>
          <w:sz w:val="24"/>
        </w:rPr>
        <w:t>pay</w:t>
      </w:r>
      <w:r>
        <w:rPr>
          <w:spacing w:val="-1"/>
          <w:sz w:val="24"/>
        </w:rPr>
        <w:t> </w:t>
      </w:r>
      <w:r>
        <w:rPr>
          <w:sz w:val="24"/>
        </w:rPr>
        <w:t>requests</w:t>
      </w:r>
      <w:r>
        <w:rPr>
          <w:spacing w:val="-3"/>
          <w:sz w:val="24"/>
        </w:rPr>
        <w:t> </w:t>
      </w:r>
      <w:r>
        <w:rPr>
          <w:sz w:val="24"/>
        </w:rPr>
        <w:t>for</w:t>
      </w:r>
      <w:r>
        <w:rPr>
          <w:spacing w:val="-2"/>
          <w:sz w:val="24"/>
        </w:rPr>
        <w:t> </w:t>
      </w:r>
      <w:r>
        <w:rPr>
          <w:sz w:val="24"/>
        </w:rPr>
        <w:t>less</w:t>
      </w:r>
      <w:r>
        <w:rPr>
          <w:spacing w:val="-2"/>
          <w:sz w:val="24"/>
        </w:rPr>
        <w:t> </w:t>
      </w:r>
      <w:r>
        <w:rPr>
          <w:sz w:val="24"/>
        </w:rPr>
        <w:t>than</w:t>
      </w:r>
      <w:r>
        <w:rPr>
          <w:spacing w:val="-3"/>
          <w:sz w:val="24"/>
        </w:rPr>
        <w:t> </w:t>
      </w:r>
      <w:r>
        <w:rPr>
          <w:sz w:val="24"/>
        </w:rPr>
        <w:t>90</w:t>
      </w:r>
      <w:r>
        <w:rPr>
          <w:spacing w:val="-2"/>
          <w:sz w:val="24"/>
        </w:rPr>
        <w:t> days.</w:t>
      </w:r>
    </w:p>
    <w:p>
      <w:pPr>
        <w:pStyle w:val="ListParagraph"/>
        <w:numPr>
          <w:ilvl w:val="1"/>
          <w:numId w:val="16"/>
        </w:numPr>
        <w:tabs>
          <w:tab w:pos="1690" w:val="left" w:leader="none"/>
        </w:tabs>
        <w:spacing w:line="208" w:lineRule="auto" w:before="234" w:after="0"/>
        <w:ind w:left="1224" w:right="823" w:firstLine="0"/>
        <w:jc w:val="left"/>
        <w:rPr>
          <w:sz w:val="24"/>
        </w:rPr>
      </w:pPr>
      <w:r>
        <w:rPr>
          <w:sz w:val="24"/>
        </w:rPr>
        <w:t>Brochures,</w:t>
      </w:r>
      <w:r>
        <w:rPr>
          <w:spacing w:val="-4"/>
          <w:sz w:val="24"/>
        </w:rPr>
        <w:t> </w:t>
      </w:r>
      <w:r>
        <w:rPr>
          <w:sz w:val="24"/>
        </w:rPr>
        <w:t>forms,</w:t>
      </w:r>
      <w:r>
        <w:rPr>
          <w:spacing w:val="-6"/>
          <w:sz w:val="24"/>
        </w:rPr>
        <w:t> </w:t>
      </w:r>
      <w:r>
        <w:rPr>
          <w:sz w:val="24"/>
        </w:rPr>
        <w:t>publications</w:t>
      </w:r>
      <w:r>
        <w:rPr>
          <w:spacing w:val="-5"/>
          <w:sz w:val="24"/>
        </w:rPr>
        <w:t> </w:t>
      </w:r>
      <w:r>
        <w:rPr>
          <w:sz w:val="24"/>
        </w:rPr>
        <w:t>(electronic</w:t>
      </w:r>
      <w:r>
        <w:rPr>
          <w:spacing w:val="-5"/>
          <w:sz w:val="24"/>
        </w:rPr>
        <w:t> </w:t>
      </w:r>
      <w:r>
        <w:rPr>
          <w:sz w:val="24"/>
        </w:rPr>
        <w:t>or</w:t>
      </w:r>
      <w:r>
        <w:rPr>
          <w:spacing w:val="-4"/>
          <w:sz w:val="24"/>
        </w:rPr>
        <w:t> </w:t>
      </w:r>
      <w:r>
        <w:rPr>
          <w:sz w:val="24"/>
        </w:rPr>
        <w:t>printed),</w:t>
      </w:r>
      <w:r>
        <w:rPr>
          <w:spacing w:val="-4"/>
          <w:sz w:val="24"/>
        </w:rPr>
        <w:t> </w:t>
      </w:r>
      <w:r>
        <w:rPr>
          <w:sz w:val="24"/>
        </w:rPr>
        <w:t>and</w:t>
      </w:r>
      <w:r>
        <w:rPr>
          <w:spacing w:val="-5"/>
          <w:sz w:val="24"/>
        </w:rPr>
        <w:t> </w:t>
      </w:r>
      <w:r>
        <w:rPr>
          <w:sz w:val="24"/>
        </w:rPr>
        <w:t>videos</w:t>
      </w:r>
      <w:r>
        <w:rPr>
          <w:spacing w:val="-5"/>
          <w:sz w:val="24"/>
        </w:rPr>
        <w:t> </w:t>
      </w:r>
      <w:r>
        <w:rPr>
          <w:sz w:val="24"/>
        </w:rPr>
        <w:t>produced for the division.</w:t>
      </w:r>
    </w:p>
    <w:p>
      <w:pPr>
        <w:pStyle w:val="ListParagraph"/>
        <w:numPr>
          <w:ilvl w:val="1"/>
          <w:numId w:val="16"/>
        </w:numPr>
        <w:tabs>
          <w:tab w:pos="1583" w:val="left" w:leader="none"/>
        </w:tabs>
        <w:spacing w:line="240" w:lineRule="auto" w:before="210" w:after="0"/>
        <w:ind w:left="1583" w:right="0" w:hanging="359"/>
        <w:jc w:val="left"/>
        <w:rPr>
          <w:sz w:val="24"/>
        </w:rPr>
      </w:pPr>
      <w:r>
        <w:rPr>
          <w:sz w:val="24"/>
        </w:rPr>
        <w:t>Requests</w:t>
      </w:r>
      <w:r>
        <w:rPr>
          <w:spacing w:val="-6"/>
          <w:sz w:val="24"/>
        </w:rPr>
        <w:t> </w:t>
      </w:r>
      <w:r>
        <w:rPr>
          <w:sz w:val="24"/>
        </w:rPr>
        <w:t>for</w:t>
      </w:r>
      <w:r>
        <w:rPr>
          <w:spacing w:val="-5"/>
          <w:sz w:val="24"/>
        </w:rPr>
        <w:t> </w:t>
      </w:r>
      <w:r>
        <w:rPr>
          <w:sz w:val="24"/>
        </w:rPr>
        <w:t>internships</w:t>
      </w:r>
      <w:r>
        <w:rPr>
          <w:spacing w:val="-4"/>
          <w:sz w:val="24"/>
        </w:rPr>
        <w:t> </w:t>
      </w:r>
      <w:r>
        <w:rPr>
          <w:sz w:val="24"/>
        </w:rPr>
        <w:t>or</w:t>
      </w:r>
      <w:r>
        <w:rPr>
          <w:spacing w:val="-3"/>
          <w:sz w:val="24"/>
        </w:rPr>
        <w:t> </w:t>
      </w:r>
      <w:r>
        <w:rPr>
          <w:sz w:val="24"/>
        </w:rPr>
        <w:t>practicums</w:t>
      </w:r>
      <w:r>
        <w:rPr>
          <w:spacing w:val="-4"/>
          <w:sz w:val="24"/>
        </w:rPr>
        <w:t> </w:t>
      </w:r>
      <w:r>
        <w:rPr>
          <w:sz w:val="24"/>
        </w:rPr>
        <w:t>for</w:t>
      </w:r>
      <w:r>
        <w:rPr>
          <w:spacing w:val="-3"/>
          <w:sz w:val="24"/>
        </w:rPr>
        <w:t> </w:t>
      </w:r>
      <w:r>
        <w:rPr>
          <w:sz w:val="24"/>
        </w:rPr>
        <w:t>respective</w:t>
      </w:r>
      <w:r>
        <w:rPr>
          <w:spacing w:val="-4"/>
          <w:sz w:val="24"/>
        </w:rPr>
        <w:t> </w:t>
      </w:r>
      <w:r>
        <w:rPr>
          <w:spacing w:val="-2"/>
          <w:sz w:val="24"/>
        </w:rPr>
        <w:t>division.</w:t>
      </w:r>
    </w:p>
    <w:p>
      <w:pPr>
        <w:pStyle w:val="ListParagraph"/>
        <w:numPr>
          <w:ilvl w:val="1"/>
          <w:numId w:val="16"/>
        </w:numPr>
        <w:tabs>
          <w:tab w:pos="1637" w:val="left" w:leader="none"/>
        </w:tabs>
        <w:spacing w:line="240" w:lineRule="auto" w:before="204" w:after="0"/>
        <w:ind w:left="1637" w:right="0" w:hanging="413"/>
        <w:jc w:val="left"/>
        <w:rPr>
          <w:sz w:val="24"/>
        </w:rPr>
      </w:pPr>
      <w:r>
        <w:rPr>
          <w:sz w:val="24"/>
        </w:rPr>
        <w:t>Memos</w:t>
      </w:r>
      <w:r>
        <w:rPr>
          <w:spacing w:val="-4"/>
          <w:sz w:val="24"/>
        </w:rPr>
        <w:t> </w:t>
      </w:r>
      <w:r>
        <w:rPr>
          <w:sz w:val="24"/>
        </w:rPr>
        <w:t>for</w:t>
      </w:r>
      <w:r>
        <w:rPr>
          <w:spacing w:val="-2"/>
          <w:sz w:val="24"/>
        </w:rPr>
        <w:t> </w:t>
      </w:r>
      <w:r>
        <w:rPr>
          <w:sz w:val="24"/>
        </w:rPr>
        <w:t>general</w:t>
      </w:r>
      <w:r>
        <w:rPr>
          <w:spacing w:val="-3"/>
          <w:sz w:val="24"/>
        </w:rPr>
        <w:t> </w:t>
      </w:r>
      <w:r>
        <w:rPr>
          <w:sz w:val="24"/>
        </w:rPr>
        <w:t>distribution</w:t>
      </w:r>
      <w:r>
        <w:rPr>
          <w:spacing w:val="-2"/>
          <w:sz w:val="24"/>
        </w:rPr>
        <w:t> </w:t>
      </w:r>
      <w:r>
        <w:rPr>
          <w:sz w:val="24"/>
        </w:rPr>
        <w:t>to</w:t>
      </w:r>
      <w:r>
        <w:rPr>
          <w:spacing w:val="-4"/>
          <w:sz w:val="24"/>
        </w:rPr>
        <w:t> </w:t>
      </w:r>
      <w:r>
        <w:rPr>
          <w:sz w:val="24"/>
        </w:rPr>
        <w:t>the</w:t>
      </w:r>
      <w:r>
        <w:rPr>
          <w:spacing w:val="-2"/>
          <w:sz w:val="24"/>
        </w:rPr>
        <w:t> division.</w:t>
      </w:r>
    </w:p>
    <w:p>
      <w:pPr>
        <w:pStyle w:val="ListParagraph"/>
        <w:numPr>
          <w:ilvl w:val="1"/>
          <w:numId w:val="16"/>
        </w:numPr>
        <w:tabs>
          <w:tab w:pos="1676" w:val="left" w:leader="none"/>
        </w:tabs>
        <w:spacing w:line="240" w:lineRule="auto" w:before="204" w:after="0"/>
        <w:ind w:left="1676" w:right="0" w:hanging="452"/>
        <w:jc w:val="left"/>
        <w:rPr>
          <w:sz w:val="24"/>
        </w:rPr>
      </w:pPr>
      <w:r>
        <w:rPr>
          <w:sz w:val="24"/>
        </w:rPr>
        <w:t>Grant</w:t>
      </w:r>
      <w:r>
        <w:rPr>
          <w:spacing w:val="-4"/>
          <w:sz w:val="24"/>
        </w:rPr>
        <w:t> </w:t>
      </w:r>
      <w:r>
        <w:rPr>
          <w:spacing w:val="-2"/>
          <w:sz w:val="24"/>
        </w:rPr>
        <w:t>proposals.</w:t>
      </w:r>
    </w:p>
    <w:p>
      <w:pPr>
        <w:pStyle w:val="ListParagraph"/>
        <w:numPr>
          <w:ilvl w:val="0"/>
          <w:numId w:val="16"/>
        </w:numPr>
        <w:tabs>
          <w:tab w:pos="1218" w:val="left" w:leader="none"/>
        </w:tabs>
        <w:spacing w:line="208" w:lineRule="auto" w:before="233" w:after="0"/>
        <w:ind w:left="792" w:right="951" w:firstLine="0"/>
        <w:jc w:val="both"/>
        <w:rPr>
          <w:sz w:val="24"/>
        </w:rPr>
      </w:pPr>
      <w:r>
        <w:rPr>
          <w:b/>
          <w:sz w:val="24"/>
        </w:rPr>
        <w:t>Central</w:t>
      </w:r>
      <w:r>
        <w:rPr>
          <w:b/>
          <w:spacing w:val="-4"/>
          <w:sz w:val="24"/>
        </w:rPr>
        <w:t> </w:t>
      </w:r>
      <w:r>
        <w:rPr>
          <w:b/>
          <w:sz w:val="24"/>
        </w:rPr>
        <w:t>Departmental</w:t>
      </w:r>
      <w:r>
        <w:rPr>
          <w:b/>
          <w:spacing w:val="-4"/>
          <w:sz w:val="24"/>
        </w:rPr>
        <w:t> </w:t>
      </w:r>
      <w:r>
        <w:rPr>
          <w:b/>
          <w:sz w:val="24"/>
        </w:rPr>
        <w:t>Services</w:t>
      </w:r>
      <w:r>
        <w:rPr>
          <w:b/>
          <w:spacing w:val="-5"/>
          <w:sz w:val="24"/>
        </w:rPr>
        <w:t> </w:t>
      </w:r>
      <w:r>
        <w:rPr>
          <w:b/>
          <w:sz w:val="24"/>
        </w:rPr>
        <w:t>Administrator</w:t>
      </w:r>
      <w:r>
        <w:rPr>
          <w:sz w:val="24"/>
        </w:rPr>
        <w:t>.</w:t>
      </w:r>
      <w:r>
        <w:rPr>
          <w:spacing w:val="40"/>
          <w:sz w:val="24"/>
        </w:rPr>
        <w:t> </w:t>
      </w:r>
      <w:r>
        <w:rPr>
          <w:sz w:val="24"/>
        </w:rPr>
        <w:t>CDS</w:t>
      </w:r>
      <w:r>
        <w:rPr>
          <w:spacing w:val="-5"/>
          <w:sz w:val="24"/>
        </w:rPr>
        <w:t> </w:t>
      </w:r>
      <w:r>
        <w:rPr>
          <w:sz w:val="24"/>
        </w:rPr>
        <w:t>Administrator</w:t>
      </w:r>
      <w:r>
        <w:rPr>
          <w:spacing w:val="-6"/>
          <w:sz w:val="24"/>
        </w:rPr>
        <w:t> </w:t>
      </w:r>
      <w:r>
        <w:rPr>
          <w:sz w:val="24"/>
        </w:rPr>
        <w:t>has</w:t>
      </w:r>
      <w:r>
        <w:rPr>
          <w:spacing w:val="-6"/>
          <w:sz w:val="24"/>
        </w:rPr>
        <w:t> </w:t>
      </w:r>
      <w:r>
        <w:rPr>
          <w:sz w:val="24"/>
        </w:rPr>
        <w:t>final signature authority for items listed in (A) through (C) in this Paragraph.</w:t>
      </w:r>
    </w:p>
    <w:p>
      <w:pPr>
        <w:pStyle w:val="ListParagraph"/>
        <w:numPr>
          <w:ilvl w:val="1"/>
          <w:numId w:val="16"/>
        </w:numPr>
        <w:tabs>
          <w:tab w:pos="1677" w:val="left" w:leader="none"/>
        </w:tabs>
        <w:spacing w:line="258" w:lineRule="exact" w:before="211" w:after="0"/>
        <w:ind w:left="1677" w:right="0" w:hanging="453"/>
        <w:jc w:val="left"/>
        <w:rPr>
          <w:sz w:val="24"/>
        </w:rPr>
      </w:pPr>
      <w:r>
        <w:rPr>
          <w:sz w:val="24"/>
        </w:rPr>
        <w:t>Administrative</w:t>
      </w:r>
      <w:r>
        <w:rPr>
          <w:spacing w:val="-7"/>
          <w:sz w:val="24"/>
        </w:rPr>
        <w:t> </w:t>
      </w:r>
      <w:r>
        <w:rPr>
          <w:sz w:val="24"/>
        </w:rPr>
        <w:t>purchase</w:t>
      </w:r>
      <w:r>
        <w:rPr>
          <w:spacing w:val="-4"/>
          <w:sz w:val="24"/>
        </w:rPr>
        <w:t> </w:t>
      </w:r>
      <w:r>
        <w:rPr>
          <w:sz w:val="24"/>
        </w:rPr>
        <w:t>requisitions</w:t>
      </w:r>
      <w:r>
        <w:rPr>
          <w:spacing w:val="-4"/>
          <w:sz w:val="24"/>
        </w:rPr>
        <w:t> </w:t>
      </w:r>
      <w:r>
        <w:rPr>
          <w:sz w:val="24"/>
        </w:rPr>
        <w:t>under</w:t>
      </w:r>
      <w:r>
        <w:rPr>
          <w:spacing w:val="-3"/>
          <w:sz w:val="24"/>
        </w:rPr>
        <w:t> </w:t>
      </w:r>
      <w:r>
        <w:rPr>
          <w:sz w:val="24"/>
        </w:rPr>
        <w:t>area</w:t>
      </w:r>
      <w:r>
        <w:rPr>
          <w:spacing w:val="-4"/>
          <w:sz w:val="24"/>
        </w:rPr>
        <w:t> </w:t>
      </w:r>
      <w:r>
        <w:rPr>
          <w:sz w:val="24"/>
        </w:rPr>
        <w:t>of</w:t>
      </w:r>
      <w:r>
        <w:rPr>
          <w:spacing w:val="-5"/>
          <w:sz w:val="24"/>
        </w:rPr>
        <w:t> </w:t>
      </w:r>
      <w:r>
        <w:rPr>
          <w:sz w:val="24"/>
        </w:rPr>
        <w:t>responsibility</w:t>
      </w:r>
      <w:r>
        <w:rPr>
          <w:spacing w:val="-4"/>
          <w:sz w:val="24"/>
        </w:rPr>
        <w:t> </w:t>
      </w:r>
      <w:r>
        <w:rPr>
          <w:sz w:val="24"/>
        </w:rPr>
        <w:t>up</w:t>
      </w:r>
      <w:r>
        <w:rPr>
          <w:spacing w:val="-4"/>
          <w:sz w:val="24"/>
        </w:rPr>
        <w:t> </w:t>
      </w:r>
      <w:r>
        <w:rPr>
          <w:spacing w:val="-5"/>
          <w:sz w:val="24"/>
        </w:rPr>
        <w:t>to</w:t>
      </w:r>
    </w:p>
    <w:p>
      <w:pPr>
        <w:pStyle w:val="BodyText"/>
        <w:spacing w:line="258" w:lineRule="exact" w:before="0"/>
        <w:ind w:left="1224"/>
      </w:pPr>
      <w:r>
        <w:rPr>
          <w:spacing w:val="-2"/>
        </w:rPr>
        <w:t>$50,000.</w:t>
      </w:r>
    </w:p>
    <w:p>
      <w:pPr>
        <w:pStyle w:val="ListParagraph"/>
        <w:numPr>
          <w:ilvl w:val="1"/>
          <w:numId w:val="16"/>
        </w:numPr>
        <w:tabs>
          <w:tab w:pos="1677" w:val="left" w:leader="none"/>
        </w:tabs>
        <w:spacing w:line="240" w:lineRule="auto" w:before="204" w:after="0"/>
        <w:ind w:left="1677" w:right="0" w:hanging="453"/>
        <w:jc w:val="left"/>
        <w:rPr>
          <w:sz w:val="24"/>
        </w:rPr>
      </w:pPr>
      <w:r>
        <w:rPr>
          <w:sz w:val="24"/>
        </w:rPr>
        <w:t>All</w:t>
      </w:r>
      <w:r>
        <w:rPr>
          <w:spacing w:val="-3"/>
          <w:sz w:val="24"/>
        </w:rPr>
        <w:t> </w:t>
      </w:r>
      <w:r>
        <w:rPr>
          <w:sz w:val="24"/>
        </w:rPr>
        <w:t>Lease</w:t>
      </w:r>
      <w:r>
        <w:rPr>
          <w:spacing w:val="-2"/>
          <w:sz w:val="24"/>
        </w:rPr>
        <w:t> agreements.</w:t>
      </w:r>
    </w:p>
    <w:p>
      <w:pPr>
        <w:pStyle w:val="ListParagraph"/>
        <w:numPr>
          <w:ilvl w:val="1"/>
          <w:numId w:val="16"/>
        </w:numPr>
        <w:tabs>
          <w:tab w:pos="1690" w:val="left" w:leader="none"/>
        </w:tabs>
        <w:spacing w:line="240" w:lineRule="auto" w:before="204" w:after="0"/>
        <w:ind w:left="1690" w:right="0" w:hanging="466"/>
        <w:jc w:val="left"/>
        <w:rPr>
          <w:sz w:val="24"/>
        </w:rPr>
      </w:pPr>
      <w:r>
        <w:rPr>
          <w:sz w:val="24"/>
        </w:rPr>
        <w:t>All</w:t>
      </w:r>
      <w:r>
        <w:rPr>
          <w:spacing w:val="-3"/>
          <w:sz w:val="24"/>
        </w:rPr>
        <w:t> </w:t>
      </w:r>
      <w:r>
        <w:rPr>
          <w:sz w:val="24"/>
        </w:rPr>
        <w:t>IT</w:t>
      </w:r>
      <w:r>
        <w:rPr>
          <w:spacing w:val="-2"/>
          <w:sz w:val="24"/>
        </w:rPr>
        <w:t> </w:t>
      </w:r>
      <w:r>
        <w:rPr>
          <w:sz w:val="24"/>
        </w:rPr>
        <w:t>contracts</w:t>
      </w:r>
      <w:r>
        <w:rPr>
          <w:spacing w:val="-3"/>
          <w:sz w:val="24"/>
        </w:rPr>
        <w:t> </w:t>
      </w:r>
      <w:r>
        <w:rPr>
          <w:sz w:val="24"/>
        </w:rPr>
        <w:t>and</w:t>
      </w:r>
      <w:r>
        <w:rPr>
          <w:spacing w:val="-2"/>
          <w:sz w:val="24"/>
        </w:rPr>
        <w:t> </w:t>
      </w:r>
      <w:r>
        <w:rPr>
          <w:sz w:val="24"/>
        </w:rPr>
        <w:t>agreements</w:t>
      </w:r>
      <w:r>
        <w:rPr>
          <w:spacing w:val="-3"/>
          <w:sz w:val="24"/>
        </w:rPr>
        <w:t> </w:t>
      </w:r>
      <w:r>
        <w:rPr>
          <w:sz w:val="24"/>
        </w:rPr>
        <w:t>up</w:t>
      </w:r>
      <w:r>
        <w:rPr>
          <w:spacing w:val="-2"/>
          <w:sz w:val="24"/>
        </w:rPr>
        <w:t> </w:t>
      </w:r>
      <w:r>
        <w:rPr>
          <w:sz w:val="24"/>
        </w:rPr>
        <w:t>to</w:t>
      </w:r>
      <w:r>
        <w:rPr>
          <w:spacing w:val="-2"/>
          <w:sz w:val="24"/>
        </w:rPr>
        <w:t> $200,000.</w:t>
      </w:r>
    </w:p>
    <w:p>
      <w:pPr>
        <w:pStyle w:val="ListParagraph"/>
        <w:numPr>
          <w:ilvl w:val="0"/>
          <w:numId w:val="16"/>
        </w:numPr>
        <w:tabs>
          <w:tab w:pos="1218" w:val="left" w:leader="none"/>
        </w:tabs>
        <w:spacing w:line="208" w:lineRule="auto" w:before="233" w:after="0"/>
        <w:ind w:left="792" w:right="926" w:firstLine="0"/>
        <w:jc w:val="both"/>
        <w:rPr>
          <w:sz w:val="24"/>
        </w:rPr>
      </w:pPr>
      <w:r>
        <w:rPr>
          <w:b/>
          <w:sz w:val="24"/>
        </w:rPr>
        <w:t>Field</w:t>
      </w:r>
      <w:r>
        <w:rPr>
          <w:b/>
          <w:spacing w:val="-4"/>
          <w:sz w:val="24"/>
        </w:rPr>
        <w:t> </w:t>
      </w:r>
      <w:r>
        <w:rPr>
          <w:b/>
          <w:sz w:val="24"/>
        </w:rPr>
        <w:t>Coordinators</w:t>
      </w:r>
      <w:r>
        <w:rPr>
          <w:b/>
          <w:spacing w:val="-4"/>
          <w:sz w:val="24"/>
        </w:rPr>
        <w:t> </w:t>
      </w:r>
      <w:r>
        <w:rPr>
          <w:b/>
          <w:sz w:val="24"/>
        </w:rPr>
        <w:t>in</w:t>
      </w:r>
      <w:r>
        <w:rPr>
          <w:b/>
          <w:spacing w:val="-4"/>
          <w:sz w:val="24"/>
        </w:rPr>
        <w:t> </w:t>
      </w:r>
      <w:r>
        <w:rPr>
          <w:b/>
          <w:sz w:val="24"/>
        </w:rPr>
        <w:t>DVR</w:t>
      </w:r>
      <w:r>
        <w:rPr>
          <w:b/>
          <w:spacing w:val="-4"/>
          <w:sz w:val="24"/>
        </w:rPr>
        <w:t> </w:t>
      </w:r>
      <w:r>
        <w:rPr>
          <w:b/>
          <w:sz w:val="24"/>
        </w:rPr>
        <w:t>and</w:t>
      </w:r>
      <w:r>
        <w:rPr>
          <w:b/>
          <w:spacing w:val="-4"/>
          <w:sz w:val="24"/>
        </w:rPr>
        <w:t> </w:t>
      </w:r>
      <w:r>
        <w:rPr>
          <w:b/>
          <w:sz w:val="24"/>
        </w:rPr>
        <w:t>DSBVI.</w:t>
      </w:r>
      <w:r>
        <w:rPr>
          <w:b/>
          <w:spacing w:val="-5"/>
          <w:sz w:val="24"/>
        </w:rPr>
        <w:t> </w:t>
      </w:r>
      <w:r>
        <w:rPr>
          <w:sz w:val="24"/>
        </w:rPr>
        <w:t>The</w:t>
      </w:r>
      <w:r>
        <w:rPr>
          <w:spacing w:val="-4"/>
          <w:sz w:val="24"/>
        </w:rPr>
        <w:t> </w:t>
      </w:r>
      <w:r>
        <w:rPr>
          <w:sz w:val="24"/>
        </w:rPr>
        <w:t>Field</w:t>
      </w:r>
      <w:r>
        <w:rPr>
          <w:spacing w:val="-4"/>
          <w:sz w:val="24"/>
        </w:rPr>
        <w:t> </w:t>
      </w:r>
      <w:r>
        <w:rPr>
          <w:sz w:val="24"/>
        </w:rPr>
        <w:t>Coordinators</w:t>
      </w:r>
      <w:r>
        <w:rPr>
          <w:spacing w:val="-4"/>
          <w:sz w:val="24"/>
        </w:rPr>
        <w:t> </w:t>
      </w:r>
      <w:r>
        <w:rPr>
          <w:sz w:val="24"/>
        </w:rPr>
        <w:t>in</w:t>
      </w:r>
      <w:r>
        <w:rPr>
          <w:spacing w:val="-4"/>
          <w:sz w:val="24"/>
        </w:rPr>
        <w:t> </w:t>
      </w:r>
      <w:r>
        <w:rPr>
          <w:sz w:val="24"/>
        </w:rPr>
        <w:t>Vocational Rehabilitation</w:t>
      </w:r>
      <w:r>
        <w:rPr>
          <w:spacing w:val="-2"/>
          <w:sz w:val="24"/>
        </w:rPr>
        <w:t> </w:t>
      </w:r>
      <w:r>
        <w:rPr>
          <w:sz w:val="24"/>
        </w:rPr>
        <w:t>Services</w:t>
      </w:r>
      <w:r>
        <w:rPr>
          <w:spacing w:val="-2"/>
          <w:sz w:val="24"/>
        </w:rPr>
        <w:t> </w:t>
      </w:r>
      <w:r>
        <w:rPr>
          <w:sz w:val="24"/>
        </w:rPr>
        <w:t>and</w:t>
      </w:r>
      <w:r>
        <w:rPr>
          <w:spacing w:val="-2"/>
          <w:sz w:val="24"/>
        </w:rPr>
        <w:t> </w:t>
      </w:r>
      <w:r>
        <w:rPr>
          <w:sz w:val="24"/>
        </w:rPr>
        <w:t>Services</w:t>
      </w:r>
      <w:r>
        <w:rPr>
          <w:spacing w:val="-2"/>
          <w:sz w:val="24"/>
        </w:rPr>
        <w:t> </w:t>
      </w:r>
      <w:r>
        <w:rPr>
          <w:sz w:val="24"/>
        </w:rPr>
        <w:t>for</w:t>
      </w:r>
      <w:r>
        <w:rPr>
          <w:spacing w:val="-3"/>
          <w:sz w:val="24"/>
        </w:rPr>
        <w:t> </w:t>
      </w:r>
      <w:r>
        <w:rPr>
          <w:sz w:val="24"/>
        </w:rPr>
        <w:t>the</w:t>
      </w:r>
      <w:r>
        <w:rPr>
          <w:spacing w:val="-3"/>
          <w:sz w:val="24"/>
        </w:rPr>
        <w:t> </w:t>
      </w:r>
      <w:r>
        <w:rPr>
          <w:sz w:val="24"/>
        </w:rPr>
        <w:t>Blind</w:t>
      </w:r>
      <w:r>
        <w:rPr>
          <w:spacing w:val="-2"/>
          <w:sz w:val="24"/>
        </w:rPr>
        <w:t> </w:t>
      </w:r>
      <w:r>
        <w:rPr>
          <w:sz w:val="24"/>
        </w:rPr>
        <w:t>and</w:t>
      </w:r>
      <w:r>
        <w:rPr>
          <w:spacing w:val="-2"/>
          <w:sz w:val="24"/>
        </w:rPr>
        <w:t> </w:t>
      </w:r>
      <w:r>
        <w:rPr>
          <w:sz w:val="24"/>
        </w:rPr>
        <w:t>Visually</w:t>
      </w:r>
      <w:r>
        <w:rPr>
          <w:spacing w:val="-2"/>
          <w:sz w:val="24"/>
        </w:rPr>
        <w:t> </w:t>
      </w:r>
      <w:r>
        <w:rPr>
          <w:sz w:val="24"/>
        </w:rPr>
        <w:t>Impaired</w:t>
      </w:r>
      <w:r>
        <w:rPr>
          <w:spacing w:val="-2"/>
          <w:sz w:val="24"/>
        </w:rPr>
        <w:t> </w:t>
      </w:r>
      <w:r>
        <w:rPr>
          <w:sz w:val="24"/>
        </w:rPr>
        <w:t>have</w:t>
      </w:r>
      <w:r>
        <w:rPr>
          <w:spacing w:val="-1"/>
          <w:sz w:val="24"/>
        </w:rPr>
        <w:t> </w:t>
      </w:r>
      <w:r>
        <w:rPr>
          <w:sz w:val="24"/>
        </w:rPr>
        <w:t>final signature authority for items listed in (A) through (C) of this paragraph.</w:t>
      </w:r>
    </w:p>
    <w:p>
      <w:pPr>
        <w:pStyle w:val="ListParagraph"/>
        <w:numPr>
          <w:ilvl w:val="1"/>
          <w:numId w:val="16"/>
        </w:numPr>
        <w:tabs>
          <w:tab w:pos="1677" w:val="left" w:leader="none"/>
        </w:tabs>
        <w:spacing w:line="208" w:lineRule="auto" w:before="240" w:after="0"/>
        <w:ind w:left="1224" w:right="863" w:firstLine="0"/>
        <w:jc w:val="left"/>
        <w:rPr>
          <w:sz w:val="24"/>
        </w:rPr>
      </w:pPr>
      <w:r>
        <w:rPr>
          <w:sz w:val="24"/>
        </w:rPr>
        <w:t>Administrative</w:t>
      </w:r>
      <w:r>
        <w:rPr>
          <w:spacing w:val="-5"/>
          <w:sz w:val="24"/>
        </w:rPr>
        <w:t> </w:t>
      </w:r>
      <w:r>
        <w:rPr>
          <w:sz w:val="24"/>
        </w:rPr>
        <w:t>purchases</w:t>
      </w:r>
      <w:r>
        <w:rPr>
          <w:spacing w:val="-5"/>
          <w:sz w:val="24"/>
        </w:rPr>
        <w:t> </w:t>
      </w:r>
      <w:r>
        <w:rPr>
          <w:sz w:val="24"/>
        </w:rPr>
        <w:t>up</w:t>
      </w:r>
      <w:r>
        <w:rPr>
          <w:spacing w:val="-5"/>
          <w:sz w:val="24"/>
        </w:rPr>
        <w:t> </w:t>
      </w:r>
      <w:r>
        <w:rPr>
          <w:sz w:val="24"/>
        </w:rPr>
        <w:t>to</w:t>
      </w:r>
      <w:r>
        <w:rPr>
          <w:spacing w:val="-5"/>
          <w:sz w:val="24"/>
        </w:rPr>
        <w:t> </w:t>
      </w:r>
      <w:r>
        <w:rPr>
          <w:sz w:val="24"/>
        </w:rPr>
        <w:t>$50,000.</w:t>
      </w:r>
      <w:r>
        <w:rPr>
          <w:spacing w:val="-4"/>
          <w:sz w:val="24"/>
        </w:rPr>
        <w:t> </w:t>
      </w:r>
      <w:r>
        <w:rPr>
          <w:sz w:val="24"/>
        </w:rPr>
        <w:t>Computer</w:t>
      </w:r>
      <w:r>
        <w:rPr>
          <w:spacing w:val="-4"/>
          <w:sz w:val="24"/>
        </w:rPr>
        <w:t> </w:t>
      </w:r>
      <w:r>
        <w:rPr>
          <w:sz w:val="24"/>
        </w:rPr>
        <w:t>purchases</w:t>
      </w:r>
      <w:r>
        <w:rPr>
          <w:spacing w:val="-5"/>
          <w:sz w:val="24"/>
        </w:rPr>
        <w:t> </w:t>
      </w:r>
      <w:r>
        <w:rPr>
          <w:sz w:val="24"/>
        </w:rPr>
        <w:t>must</w:t>
      </w:r>
      <w:r>
        <w:rPr>
          <w:spacing w:val="-4"/>
          <w:sz w:val="24"/>
        </w:rPr>
        <w:t> </w:t>
      </w:r>
      <w:r>
        <w:rPr>
          <w:sz w:val="24"/>
        </w:rPr>
        <w:t>be</w:t>
      </w:r>
      <w:r>
        <w:rPr>
          <w:spacing w:val="-5"/>
          <w:sz w:val="24"/>
        </w:rPr>
        <w:t> </w:t>
      </w:r>
      <w:r>
        <w:rPr>
          <w:sz w:val="24"/>
        </w:rPr>
        <w:t>co- signed by the CDS Administrator acting in an IT capacity.</w:t>
      </w:r>
    </w:p>
    <w:p>
      <w:pPr>
        <w:pStyle w:val="ListParagraph"/>
        <w:numPr>
          <w:ilvl w:val="1"/>
          <w:numId w:val="16"/>
        </w:numPr>
        <w:tabs>
          <w:tab w:pos="1676" w:val="left" w:leader="none"/>
        </w:tabs>
        <w:spacing w:line="240" w:lineRule="auto" w:before="211" w:after="0"/>
        <w:ind w:left="1676" w:right="0" w:hanging="452"/>
        <w:jc w:val="left"/>
        <w:rPr>
          <w:sz w:val="24"/>
        </w:rPr>
      </w:pPr>
      <w:r>
        <w:rPr>
          <w:sz w:val="24"/>
        </w:rPr>
        <w:t>Office</w:t>
      </w:r>
      <w:r>
        <w:rPr>
          <w:spacing w:val="-4"/>
          <w:sz w:val="24"/>
        </w:rPr>
        <w:t> </w:t>
      </w:r>
      <w:r>
        <w:rPr>
          <w:sz w:val="24"/>
        </w:rPr>
        <w:t>supply</w:t>
      </w:r>
      <w:r>
        <w:rPr>
          <w:spacing w:val="-3"/>
          <w:sz w:val="24"/>
        </w:rPr>
        <w:t> </w:t>
      </w:r>
      <w:r>
        <w:rPr>
          <w:sz w:val="24"/>
        </w:rPr>
        <w:t>requisitions</w:t>
      </w:r>
      <w:r>
        <w:rPr>
          <w:spacing w:val="-4"/>
          <w:sz w:val="24"/>
        </w:rPr>
        <w:t> </w:t>
      </w:r>
      <w:r>
        <w:rPr>
          <w:sz w:val="24"/>
        </w:rPr>
        <w:t>and</w:t>
      </w:r>
      <w:r>
        <w:rPr>
          <w:spacing w:val="-3"/>
          <w:sz w:val="24"/>
        </w:rPr>
        <w:t> </w:t>
      </w:r>
      <w:r>
        <w:rPr>
          <w:spacing w:val="-2"/>
          <w:sz w:val="24"/>
        </w:rPr>
        <w:t>orders.</w:t>
      </w:r>
    </w:p>
    <w:p>
      <w:pPr>
        <w:pStyle w:val="ListParagraph"/>
        <w:numPr>
          <w:ilvl w:val="1"/>
          <w:numId w:val="16"/>
        </w:numPr>
        <w:tabs>
          <w:tab w:pos="1690" w:val="left" w:leader="none"/>
        </w:tabs>
        <w:spacing w:line="240" w:lineRule="auto" w:before="204" w:after="0"/>
        <w:ind w:left="1690" w:right="0" w:hanging="466"/>
        <w:jc w:val="left"/>
        <w:rPr>
          <w:sz w:val="24"/>
        </w:rPr>
      </w:pPr>
      <w:r>
        <w:rPr>
          <w:sz w:val="24"/>
        </w:rPr>
        <w:t>Reorder</w:t>
      </w:r>
      <w:r>
        <w:rPr>
          <w:spacing w:val="-3"/>
          <w:sz w:val="24"/>
        </w:rPr>
        <w:t> </w:t>
      </w:r>
      <w:r>
        <w:rPr>
          <w:sz w:val="24"/>
        </w:rPr>
        <w:t>of</w:t>
      </w:r>
      <w:r>
        <w:rPr>
          <w:spacing w:val="-3"/>
          <w:sz w:val="24"/>
        </w:rPr>
        <w:t> </w:t>
      </w:r>
      <w:r>
        <w:rPr>
          <w:sz w:val="24"/>
        </w:rPr>
        <w:t>existing</w:t>
      </w:r>
      <w:r>
        <w:rPr>
          <w:spacing w:val="-4"/>
          <w:sz w:val="24"/>
        </w:rPr>
        <w:t> </w:t>
      </w:r>
      <w:r>
        <w:rPr>
          <w:sz w:val="24"/>
        </w:rPr>
        <w:t>printed</w:t>
      </w:r>
      <w:r>
        <w:rPr>
          <w:spacing w:val="-3"/>
          <w:sz w:val="24"/>
        </w:rPr>
        <w:t> </w:t>
      </w:r>
      <w:r>
        <w:rPr>
          <w:spacing w:val="-2"/>
          <w:sz w:val="24"/>
        </w:rPr>
        <w:t>materials.</w:t>
      </w:r>
    </w:p>
    <w:p>
      <w:pPr>
        <w:pStyle w:val="ListParagraph"/>
        <w:numPr>
          <w:ilvl w:val="0"/>
          <w:numId w:val="16"/>
        </w:numPr>
        <w:tabs>
          <w:tab w:pos="1218" w:val="left" w:leader="none"/>
        </w:tabs>
        <w:spacing w:line="208" w:lineRule="auto" w:before="233" w:after="0"/>
        <w:ind w:left="792" w:right="868" w:firstLine="0"/>
        <w:jc w:val="left"/>
        <w:rPr>
          <w:sz w:val="24"/>
        </w:rPr>
      </w:pPr>
      <w:r>
        <w:rPr>
          <w:b/>
          <w:sz w:val="24"/>
        </w:rPr>
        <w:t>Program Managers in DVR and DSBVI</w:t>
      </w:r>
      <w:r>
        <w:rPr>
          <w:sz w:val="24"/>
        </w:rPr>
        <w:t>. Program Managers in Vocational Rehabilitation</w:t>
      </w:r>
      <w:r>
        <w:rPr>
          <w:spacing w:val="-4"/>
          <w:sz w:val="24"/>
        </w:rPr>
        <w:t> </w:t>
      </w:r>
      <w:r>
        <w:rPr>
          <w:sz w:val="24"/>
        </w:rPr>
        <w:t>Services</w:t>
      </w:r>
      <w:r>
        <w:rPr>
          <w:spacing w:val="-4"/>
          <w:sz w:val="24"/>
        </w:rPr>
        <w:t> </w:t>
      </w:r>
      <w:r>
        <w:rPr>
          <w:sz w:val="24"/>
        </w:rPr>
        <w:t>and</w:t>
      </w:r>
      <w:r>
        <w:rPr>
          <w:spacing w:val="-4"/>
          <w:sz w:val="24"/>
        </w:rPr>
        <w:t> </w:t>
      </w:r>
      <w:r>
        <w:rPr>
          <w:sz w:val="24"/>
        </w:rPr>
        <w:t>Division</w:t>
      </w:r>
      <w:r>
        <w:rPr>
          <w:spacing w:val="-4"/>
          <w:sz w:val="24"/>
        </w:rPr>
        <w:t> </w:t>
      </w:r>
      <w:r>
        <w:rPr>
          <w:sz w:val="24"/>
        </w:rPr>
        <w:t>of</w:t>
      </w:r>
      <w:r>
        <w:rPr>
          <w:spacing w:val="-3"/>
          <w:sz w:val="24"/>
        </w:rPr>
        <w:t> </w:t>
      </w:r>
      <w:r>
        <w:rPr>
          <w:sz w:val="24"/>
        </w:rPr>
        <w:t>Services</w:t>
      </w:r>
      <w:r>
        <w:rPr>
          <w:spacing w:val="-4"/>
          <w:sz w:val="24"/>
        </w:rPr>
        <w:t> </w:t>
      </w:r>
      <w:r>
        <w:rPr>
          <w:sz w:val="24"/>
        </w:rPr>
        <w:t>for</w:t>
      </w:r>
      <w:r>
        <w:rPr>
          <w:spacing w:val="-5"/>
          <w:sz w:val="24"/>
        </w:rPr>
        <w:t> </w:t>
      </w:r>
      <w:r>
        <w:rPr>
          <w:sz w:val="24"/>
        </w:rPr>
        <w:t>the</w:t>
      </w:r>
      <w:r>
        <w:rPr>
          <w:spacing w:val="-5"/>
          <w:sz w:val="24"/>
        </w:rPr>
        <w:t> </w:t>
      </w:r>
      <w:r>
        <w:rPr>
          <w:sz w:val="24"/>
        </w:rPr>
        <w:t>Blind</w:t>
      </w:r>
      <w:r>
        <w:rPr>
          <w:spacing w:val="-4"/>
          <w:sz w:val="24"/>
        </w:rPr>
        <w:t> </w:t>
      </w:r>
      <w:r>
        <w:rPr>
          <w:sz w:val="24"/>
        </w:rPr>
        <w:t>and</w:t>
      </w:r>
      <w:r>
        <w:rPr>
          <w:spacing w:val="-4"/>
          <w:sz w:val="24"/>
        </w:rPr>
        <w:t> </w:t>
      </w:r>
      <w:r>
        <w:rPr>
          <w:sz w:val="24"/>
        </w:rPr>
        <w:t>Visually</w:t>
      </w:r>
      <w:r>
        <w:rPr>
          <w:spacing w:val="-4"/>
          <w:sz w:val="24"/>
        </w:rPr>
        <w:t> </w:t>
      </w:r>
      <w:r>
        <w:rPr>
          <w:sz w:val="24"/>
        </w:rPr>
        <w:t>Impaired have final signature authority for items (A) through (C) in this paragraph.</w:t>
      </w:r>
    </w:p>
    <w:p>
      <w:pPr>
        <w:pStyle w:val="ListParagraph"/>
        <w:numPr>
          <w:ilvl w:val="1"/>
          <w:numId w:val="16"/>
        </w:numPr>
        <w:tabs>
          <w:tab w:pos="1677" w:val="left" w:leader="none"/>
        </w:tabs>
        <w:spacing w:line="208" w:lineRule="auto" w:before="240" w:after="0"/>
        <w:ind w:left="1224" w:right="890" w:firstLine="0"/>
        <w:jc w:val="left"/>
        <w:rPr>
          <w:sz w:val="24"/>
        </w:rPr>
      </w:pPr>
      <w:r>
        <w:rPr>
          <w:sz w:val="24"/>
        </w:rPr>
        <w:t>Administrative</w:t>
      </w:r>
      <w:r>
        <w:rPr>
          <w:spacing w:val="-5"/>
          <w:sz w:val="24"/>
        </w:rPr>
        <w:t> </w:t>
      </w:r>
      <w:r>
        <w:rPr>
          <w:sz w:val="24"/>
        </w:rPr>
        <w:t>purchases</w:t>
      </w:r>
      <w:r>
        <w:rPr>
          <w:spacing w:val="-5"/>
          <w:sz w:val="24"/>
        </w:rPr>
        <w:t> </w:t>
      </w:r>
      <w:r>
        <w:rPr>
          <w:sz w:val="24"/>
        </w:rPr>
        <w:t>up</w:t>
      </w:r>
      <w:r>
        <w:rPr>
          <w:spacing w:val="-5"/>
          <w:sz w:val="24"/>
        </w:rPr>
        <w:t> </w:t>
      </w:r>
      <w:r>
        <w:rPr>
          <w:sz w:val="24"/>
        </w:rPr>
        <w:t>to</w:t>
      </w:r>
      <w:r>
        <w:rPr>
          <w:spacing w:val="-5"/>
          <w:sz w:val="24"/>
        </w:rPr>
        <w:t> </w:t>
      </w:r>
      <w:r>
        <w:rPr>
          <w:sz w:val="24"/>
        </w:rPr>
        <w:t>$25,000</w:t>
      </w:r>
      <w:r>
        <w:rPr>
          <w:spacing w:val="-5"/>
          <w:sz w:val="24"/>
        </w:rPr>
        <w:t> </w:t>
      </w:r>
      <w:r>
        <w:rPr>
          <w:sz w:val="24"/>
        </w:rPr>
        <w:t>for</w:t>
      </w:r>
      <w:r>
        <w:rPr>
          <w:spacing w:val="-4"/>
          <w:sz w:val="24"/>
        </w:rPr>
        <w:t> </w:t>
      </w:r>
      <w:r>
        <w:rPr>
          <w:sz w:val="24"/>
        </w:rPr>
        <w:t>Program</w:t>
      </w:r>
      <w:r>
        <w:rPr>
          <w:spacing w:val="-6"/>
          <w:sz w:val="24"/>
        </w:rPr>
        <w:t> </w:t>
      </w:r>
      <w:r>
        <w:rPr>
          <w:sz w:val="24"/>
        </w:rPr>
        <w:t>Managers.</w:t>
      </w:r>
      <w:r>
        <w:rPr>
          <w:spacing w:val="-6"/>
          <w:sz w:val="24"/>
        </w:rPr>
        <w:t> </w:t>
      </w:r>
      <w:r>
        <w:rPr>
          <w:sz w:val="24"/>
        </w:rPr>
        <w:t>Computer purchases must be co-signed by the CDS Administrator acting in an IT </w:t>
      </w:r>
      <w:r>
        <w:rPr>
          <w:spacing w:val="-2"/>
          <w:sz w:val="24"/>
        </w:rPr>
        <w:t>capacity.</w:t>
      </w:r>
    </w:p>
    <w:p>
      <w:pPr>
        <w:pStyle w:val="ListParagraph"/>
        <w:spacing w:after="0" w:line="208" w:lineRule="auto"/>
        <w:jc w:val="left"/>
        <w:rPr>
          <w:sz w:val="24"/>
        </w:rPr>
        <w:sectPr>
          <w:pgSz w:w="12240" w:h="15840"/>
          <w:pgMar w:top="1340" w:bottom="280" w:left="1080" w:right="720"/>
        </w:sectPr>
      </w:pPr>
    </w:p>
    <w:p>
      <w:pPr>
        <w:pStyle w:val="ListParagraph"/>
        <w:numPr>
          <w:ilvl w:val="1"/>
          <w:numId w:val="16"/>
        </w:numPr>
        <w:tabs>
          <w:tab w:pos="1676" w:val="left" w:leader="none"/>
        </w:tabs>
        <w:spacing w:line="240" w:lineRule="auto" w:before="67" w:after="0"/>
        <w:ind w:left="1676" w:right="0" w:hanging="452"/>
        <w:jc w:val="left"/>
        <w:rPr>
          <w:sz w:val="24"/>
        </w:rPr>
      </w:pPr>
      <w:r>
        <w:rPr>
          <w:sz w:val="24"/>
        </w:rPr>
        <w:t>Office</w:t>
      </w:r>
      <w:r>
        <w:rPr>
          <w:spacing w:val="-4"/>
          <w:sz w:val="24"/>
        </w:rPr>
        <w:t> </w:t>
      </w:r>
      <w:r>
        <w:rPr>
          <w:sz w:val="24"/>
        </w:rPr>
        <w:t>supply</w:t>
      </w:r>
      <w:r>
        <w:rPr>
          <w:spacing w:val="-3"/>
          <w:sz w:val="24"/>
        </w:rPr>
        <w:t> </w:t>
      </w:r>
      <w:r>
        <w:rPr>
          <w:sz w:val="24"/>
        </w:rPr>
        <w:t>requisitions</w:t>
      </w:r>
      <w:r>
        <w:rPr>
          <w:spacing w:val="-4"/>
          <w:sz w:val="24"/>
        </w:rPr>
        <w:t> </w:t>
      </w:r>
      <w:r>
        <w:rPr>
          <w:sz w:val="24"/>
        </w:rPr>
        <w:t>and</w:t>
      </w:r>
      <w:r>
        <w:rPr>
          <w:spacing w:val="-3"/>
          <w:sz w:val="24"/>
        </w:rPr>
        <w:t> </w:t>
      </w:r>
      <w:r>
        <w:rPr>
          <w:spacing w:val="-2"/>
          <w:sz w:val="24"/>
        </w:rPr>
        <w:t>orders.</w:t>
      </w:r>
    </w:p>
    <w:p>
      <w:pPr>
        <w:pStyle w:val="ListParagraph"/>
        <w:numPr>
          <w:ilvl w:val="1"/>
          <w:numId w:val="16"/>
        </w:numPr>
        <w:tabs>
          <w:tab w:pos="1689" w:val="left" w:leader="none"/>
        </w:tabs>
        <w:spacing w:line="240" w:lineRule="auto" w:before="204" w:after="0"/>
        <w:ind w:left="1689" w:right="0" w:hanging="466"/>
        <w:jc w:val="left"/>
        <w:rPr>
          <w:sz w:val="24"/>
        </w:rPr>
      </w:pPr>
      <w:r>
        <w:rPr>
          <w:sz w:val="24"/>
        </w:rPr>
        <w:t>Reorder</w:t>
      </w:r>
      <w:r>
        <w:rPr>
          <w:spacing w:val="-3"/>
          <w:sz w:val="24"/>
        </w:rPr>
        <w:t> </w:t>
      </w:r>
      <w:r>
        <w:rPr>
          <w:sz w:val="24"/>
        </w:rPr>
        <w:t>of</w:t>
      </w:r>
      <w:r>
        <w:rPr>
          <w:spacing w:val="-3"/>
          <w:sz w:val="24"/>
        </w:rPr>
        <w:t> </w:t>
      </w:r>
      <w:r>
        <w:rPr>
          <w:sz w:val="24"/>
        </w:rPr>
        <w:t>existing</w:t>
      </w:r>
      <w:r>
        <w:rPr>
          <w:spacing w:val="-4"/>
          <w:sz w:val="24"/>
        </w:rPr>
        <w:t> </w:t>
      </w:r>
      <w:r>
        <w:rPr>
          <w:sz w:val="24"/>
        </w:rPr>
        <w:t>printed</w:t>
      </w:r>
      <w:r>
        <w:rPr>
          <w:spacing w:val="-3"/>
          <w:sz w:val="24"/>
        </w:rPr>
        <w:t> </w:t>
      </w:r>
      <w:r>
        <w:rPr>
          <w:spacing w:val="-2"/>
          <w:sz w:val="24"/>
        </w:rPr>
        <w:t>materials.</w:t>
      </w:r>
    </w:p>
    <w:p>
      <w:pPr>
        <w:pStyle w:val="ListParagraph"/>
        <w:numPr>
          <w:ilvl w:val="0"/>
          <w:numId w:val="16"/>
        </w:numPr>
        <w:tabs>
          <w:tab w:pos="1218" w:val="left" w:leader="none"/>
        </w:tabs>
        <w:spacing w:line="208" w:lineRule="auto" w:before="233" w:after="0"/>
        <w:ind w:left="792" w:right="1282" w:firstLine="0"/>
        <w:jc w:val="left"/>
        <w:rPr>
          <w:sz w:val="24"/>
        </w:rPr>
      </w:pPr>
      <w:r>
        <w:rPr>
          <w:b/>
          <w:sz w:val="24"/>
        </w:rPr>
        <w:t>Superintendents</w:t>
      </w:r>
      <w:r>
        <w:rPr>
          <w:b/>
          <w:spacing w:val="-5"/>
          <w:sz w:val="24"/>
        </w:rPr>
        <w:t> </w:t>
      </w:r>
      <w:r>
        <w:rPr>
          <w:b/>
          <w:sz w:val="24"/>
        </w:rPr>
        <w:t>at</w:t>
      </w:r>
      <w:r>
        <w:rPr>
          <w:b/>
          <w:spacing w:val="-4"/>
          <w:sz w:val="24"/>
        </w:rPr>
        <w:t> </w:t>
      </w:r>
      <w:r>
        <w:rPr>
          <w:b/>
          <w:sz w:val="24"/>
        </w:rPr>
        <w:t>OSB</w:t>
      </w:r>
      <w:r>
        <w:rPr>
          <w:b/>
          <w:spacing w:val="-5"/>
          <w:sz w:val="24"/>
        </w:rPr>
        <w:t> </w:t>
      </w:r>
      <w:r>
        <w:rPr>
          <w:b/>
          <w:sz w:val="24"/>
        </w:rPr>
        <w:t>and</w:t>
      </w:r>
      <w:r>
        <w:rPr>
          <w:b/>
          <w:spacing w:val="-5"/>
          <w:sz w:val="24"/>
        </w:rPr>
        <w:t> </w:t>
      </w:r>
      <w:r>
        <w:rPr>
          <w:b/>
          <w:sz w:val="24"/>
        </w:rPr>
        <w:t>OSD.</w:t>
      </w:r>
      <w:r>
        <w:rPr>
          <w:b/>
          <w:spacing w:val="40"/>
          <w:sz w:val="24"/>
        </w:rPr>
        <w:t> </w:t>
      </w:r>
      <w:r>
        <w:rPr>
          <w:sz w:val="24"/>
        </w:rPr>
        <w:t>Superintendents</w:t>
      </w:r>
      <w:r>
        <w:rPr>
          <w:spacing w:val="-5"/>
          <w:sz w:val="24"/>
        </w:rPr>
        <w:t> </w:t>
      </w:r>
      <w:r>
        <w:rPr>
          <w:sz w:val="24"/>
        </w:rPr>
        <w:t>have</w:t>
      </w:r>
      <w:r>
        <w:rPr>
          <w:spacing w:val="-5"/>
          <w:sz w:val="24"/>
        </w:rPr>
        <w:t> </w:t>
      </w:r>
      <w:r>
        <w:rPr>
          <w:sz w:val="24"/>
        </w:rPr>
        <w:t>final</w:t>
      </w:r>
      <w:r>
        <w:rPr>
          <w:spacing w:val="-5"/>
          <w:sz w:val="24"/>
        </w:rPr>
        <w:t> </w:t>
      </w:r>
      <w:r>
        <w:rPr>
          <w:sz w:val="24"/>
        </w:rPr>
        <w:t>signature authority for items listed in (A) through (J) of this Paragraph for the respective </w:t>
      </w:r>
      <w:r>
        <w:rPr>
          <w:spacing w:val="-2"/>
          <w:sz w:val="24"/>
        </w:rPr>
        <w:t>school.</w:t>
      </w:r>
    </w:p>
    <w:p>
      <w:pPr>
        <w:pStyle w:val="ListParagraph"/>
        <w:numPr>
          <w:ilvl w:val="1"/>
          <w:numId w:val="16"/>
        </w:numPr>
        <w:tabs>
          <w:tab w:pos="1676" w:val="left" w:leader="none"/>
        </w:tabs>
        <w:spacing w:line="240" w:lineRule="auto" w:before="210" w:after="0"/>
        <w:ind w:left="1676" w:right="0" w:hanging="452"/>
        <w:jc w:val="left"/>
        <w:rPr>
          <w:sz w:val="24"/>
        </w:rPr>
      </w:pPr>
      <w:r>
        <w:rPr>
          <w:sz w:val="24"/>
        </w:rPr>
        <w:t>Initial</w:t>
      </w:r>
      <w:r>
        <w:rPr>
          <w:spacing w:val="-4"/>
          <w:sz w:val="24"/>
        </w:rPr>
        <w:t> </w:t>
      </w:r>
      <w:r>
        <w:rPr>
          <w:sz w:val="24"/>
        </w:rPr>
        <w:t>contracts</w:t>
      </w:r>
      <w:r>
        <w:rPr>
          <w:spacing w:val="-3"/>
          <w:sz w:val="24"/>
        </w:rPr>
        <w:t> </w:t>
      </w:r>
      <w:r>
        <w:rPr>
          <w:sz w:val="24"/>
        </w:rPr>
        <w:t>up</w:t>
      </w:r>
      <w:r>
        <w:rPr>
          <w:spacing w:val="-2"/>
          <w:sz w:val="24"/>
        </w:rPr>
        <w:t> </w:t>
      </w:r>
      <w:r>
        <w:rPr>
          <w:sz w:val="24"/>
        </w:rPr>
        <w:t>to</w:t>
      </w:r>
      <w:r>
        <w:rPr>
          <w:spacing w:val="-2"/>
          <w:sz w:val="24"/>
        </w:rPr>
        <w:t> $200,000.</w:t>
      </w:r>
    </w:p>
    <w:p>
      <w:pPr>
        <w:pStyle w:val="ListParagraph"/>
        <w:numPr>
          <w:ilvl w:val="1"/>
          <w:numId w:val="16"/>
        </w:numPr>
        <w:tabs>
          <w:tab w:pos="1675" w:val="left" w:leader="none"/>
        </w:tabs>
        <w:spacing w:line="240" w:lineRule="auto" w:before="204" w:after="0"/>
        <w:ind w:left="1675" w:right="0" w:hanging="452"/>
        <w:jc w:val="left"/>
        <w:rPr>
          <w:sz w:val="24"/>
        </w:rPr>
      </w:pPr>
      <w:r>
        <w:rPr>
          <w:sz w:val="24"/>
        </w:rPr>
        <w:t>Interagency</w:t>
      </w:r>
      <w:r>
        <w:rPr>
          <w:spacing w:val="-5"/>
          <w:sz w:val="24"/>
        </w:rPr>
        <w:t> </w:t>
      </w:r>
      <w:r>
        <w:rPr>
          <w:sz w:val="24"/>
        </w:rPr>
        <w:t>agreements</w:t>
      </w:r>
      <w:r>
        <w:rPr>
          <w:spacing w:val="-4"/>
          <w:sz w:val="24"/>
        </w:rPr>
        <w:t> </w:t>
      </w:r>
      <w:r>
        <w:rPr>
          <w:sz w:val="24"/>
        </w:rPr>
        <w:t>involving</w:t>
      </w:r>
      <w:r>
        <w:rPr>
          <w:spacing w:val="-4"/>
          <w:sz w:val="24"/>
        </w:rPr>
        <w:t> </w:t>
      </w:r>
      <w:r>
        <w:rPr>
          <w:sz w:val="24"/>
        </w:rPr>
        <w:t>only</w:t>
      </w:r>
      <w:r>
        <w:rPr>
          <w:spacing w:val="-4"/>
          <w:sz w:val="24"/>
        </w:rPr>
        <w:t> </w:t>
      </w:r>
      <w:r>
        <w:rPr>
          <w:sz w:val="24"/>
        </w:rPr>
        <w:t>the</w:t>
      </w:r>
      <w:r>
        <w:rPr>
          <w:spacing w:val="-4"/>
          <w:sz w:val="24"/>
        </w:rPr>
        <w:t> </w:t>
      </w:r>
      <w:r>
        <w:rPr>
          <w:spacing w:val="-2"/>
          <w:sz w:val="24"/>
        </w:rPr>
        <w:t>school.</w:t>
      </w:r>
    </w:p>
    <w:p>
      <w:pPr>
        <w:pStyle w:val="ListParagraph"/>
        <w:numPr>
          <w:ilvl w:val="1"/>
          <w:numId w:val="16"/>
        </w:numPr>
        <w:tabs>
          <w:tab w:pos="1689" w:val="left" w:leader="none"/>
        </w:tabs>
        <w:spacing w:line="208" w:lineRule="auto" w:before="234" w:after="0"/>
        <w:ind w:left="1223" w:right="1050" w:firstLine="0"/>
        <w:jc w:val="left"/>
        <w:rPr>
          <w:sz w:val="24"/>
        </w:rPr>
      </w:pPr>
      <w:r>
        <w:rPr>
          <w:sz w:val="24"/>
        </w:rPr>
        <w:t>All</w:t>
      </w:r>
      <w:r>
        <w:rPr>
          <w:spacing w:val="-6"/>
          <w:sz w:val="24"/>
        </w:rPr>
        <w:t> </w:t>
      </w:r>
      <w:r>
        <w:rPr>
          <w:sz w:val="24"/>
        </w:rPr>
        <w:t>administrative</w:t>
      </w:r>
      <w:r>
        <w:rPr>
          <w:spacing w:val="-6"/>
          <w:sz w:val="24"/>
        </w:rPr>
        <w:t> </w:t>
      </w:r>
      <w:r>
        <w:rPr>
          <w:sz w:val="24"/>
        </w:rPr>
        <w:t>and</w:t>
      </w:r>
      <w:r>
        <w:rPr>
          <w:spacing w:val="-6"/>
          <w:sz w:val="24"/>
        </w:rPr>
        <w:t> </w:t>
      </w:r>
      <w:r>
        <w:rPr>
          <w:sz w:val="24"/>
        </w:rPr>
        <w:t>educational</w:t>
      </w:r>
      <w:r>
        <w:rPr>
          <w:spacing w:val="-6"/>
          <w:sz w:val="24"/>
        </w:rPr>
        <w:t> </w:t>
      </w:r>
      <w:r>
        <w:rPr>
          <w:sz w:val="24"/>
        </w:rPr>
        <w:t>purchases.</w:t>
      </w:r>
      <w:r>
        <w:rPr>
          <w:spacing w:val="-5"/>
          <w:sz w:val="24"/>
        </w:rPr>
        <w:t> </w:t>
      </w:r>
      <w:r>
        <w:rPr>
          <w:sz w:val="24"/>
        </w:rPr>
        <w:t>Computer</w:t>
      </w:r>
      <w:r>
        <w:rPr>
          <w:spacing w:val="-5"/>
          <w:sz w:val="24"/>
        </w:rPr>
        <w:t> </w:t>
      </w:r>
      <w:r>
        <w:rPr>
          <w:sz w:val="24"/>
        </w:rPr>
        <w:t>purchases</w:t>
      </w:r>
      <w:r>
        <w:rPr>
          <w:spacing w:val="-6"/>
          <w:sz w:val="24"/>
        </w:rPr>
        <w:t> </w:t>
      </w:r>
      <w:r>
        <w:rPr>
          <w:sz w:val="24"/>
        </w:rPr>
        <w:t>must be co-signed by the CDS Administrator acting in an IT capacity.</w:t>
      </w:r>
    </w:p>
    <w:p>
      <w:pPr>
        <w:pStyle w:val="ListParagraph"/>
        <w:numPr>
          <w:ilvl w:val="1"/>
          <w:numId w:val="16"/>
        </w:numPr>
        <w:tabs>
          <w:tab w:pos="1690" w:val="left" w:leader="none"/>
        </w:tabs>
        <w:spacing w:line="240" w:lineRule="auto" w:before="210" w:after="0"/>
        <w:ind w:left="1690" w:right="0" w:hanging="466"/>
        <w:jc w:val="left"/>
        <w:rPr>
          <w:sz w:val="24"/>
        </w:rPr>
      </w:pPr>
      <w:r>
        <w:rPr>
          <w:sz w:val="24"/>
        </w:rPr>
        <w:t>Requests</w:t>
      </w:r>
      <w:r>
        <w:rPr>
          <w:spacing w:val="-3"/>
          <w:sz w:val="24"/>
        </w:rPr>
        <w:t> </w:t>
      </w:r>
      <w:r>
        <w:rPr>
          <w:sz w:val="24"/>
        </w:rPr>
        <w:t>for</w:t>
      </w:r>
      <w:r>
        <w:rPr>
          <w:spacing w:val="-4"/>
          <w:sz w:val="24"/>
        </w:rPr>
        <w:t> </w:t>
      </w:r>
      <w:r>
        <w:rPr>
          <w:sz w:val="24"/>
        </w:rPr>
        <w:t>all</w:t>
      </w:r>
      <w:r>
        <w:rPr>
          <w:spacing w:val="-3"/>
          <w:sz w:val="24"/>
        </w:rPr>
        <w:t> </w:t>
      </w:r>
      <w:r>
        <w:rPr>
          <w:sz w:val="24"/>
        </w:rPr>
        <w:t>school</w:t>
      </w:r>
      <w:r>
        <w:rPr>
          <w:spacing w:val="-3"/>
          <w:sz w:val="24"/>
        </w:rPr>
        <w:t> </w:t>
      </w:r>
      <w:r>
        <w:rPr>
          <w:sz w:val="24"/>
        </w:rPr>
        <w:t>employee</w:t>
      </w:r>
      <w:r>
        <w:rPr>
          <w:spacing w:val="-3"/>
          <w:sz w:val="24"/>
        </w:rPr>
        <w:t> </w:t>
      </w:r>
      <w:r>
        <w:rPr>
          <w:spacing w:val="-2"/>
          <w:sz w:val="24"/>
        </w:rPr>
        <w:t>travel.</w:t>
      </w:r>
    </w:p>
    <w:p>
      <w:pPr>
        <w:pStyle w:val="ListParagraph"/>
        <w:numPr>
          <w:ilvl w:val="1"/>
          <w:numId w:val="16"/>
        </w:numPr>
        <w:tabs>
          <w:tab w:pos="1677" w:val="left" w:leader="none"/>
        </w:tabs>
        <w:spacing w:line="240" w:lineRule="auto" w:before="204" w:after="0"/>
        <w:ind w:left="1677" w:right="0" w:hanging="453"/>
        <w:jc w:val="left"/>
        <w:rPr>
          <w:sz w:val="24"/>
        </w:rPr>
      </w:pPr>
      <w:r>
        <w:rPr>
          <w:sz w:val="24"/>
        </w:rPr>
        <w:t>Final</w:t>
      </w:r>
      <w:r>
        <w:rPr>
          <w:spacing w:val="-3"/>
          <w:sz w:val="24"/>
        </w:rPr>
        <w:t> </w:t>
      </w:r>
      <w:r>
        <w:rPr>
          <w:sz w:val="24"/>
        </w:rPr>
        <w:t>decisions</w:t>
      </w:r>
      <w:r>
        <w:rPr>
          <w:spacing w:val="-3"/>
          <w:sz w:val="24"/>
        </w:rPr>
        <w:t> </w:t>
      </w:r>
      <w:r>
        <w:rPr>
          <w:sz w:val="24"/>
        </w:rPr>
        <w:t>for</w:t>
      </w:r>
      <w:r>
        <w:rPr>
          <w:spacing w:val="-4"/>
          <w:sz w:val="24"/>
        </w:rPr>
        <w:t> </w:t>
      </w:r>
      <w:r>
        <w:rPr>
          <w:sz w:val="24"/>
        </w:rPr>
        <w:t>adverse</w:t>
      </w:r>
      <w:r>
        <w:rPr>
          <w:spacing w:val="-3"/>
          <w:sz w:val="24"/>
        </w:rPr>
        <w:t> </w:t>
      </w:r>
      <w:r>
        <w:rPr>
          <w:sz w:val="24"/>
        </w:rPr>
        <w:t>action</w:t>
      </w:r>
      <w:r>
        <w:rPr>
          <w:spacing w:val="-2"/>
          <w:sz w:val="24"/>
        </w:rPr>
        <w:t> </w:t>
      </w:r>
      <w:r>
        <w:rPr>
          <w:sz w:val="24"/>
        </w:rPr>
        <w:t>after</w:t>
      </w:r>
      <w:r>
        <w:rPr>
          <w:spacing w:val="-4"/>
          <w:sz w:val="24"/>
        </w:rPr>
        <w:t> </w:t>
      </w:r>
      <w:r>
        <w:rPr>
          <w:sz w:val="24"/>
        </w:rPr>
        <w:t>review</w:t>
      </w:r>
      <w:r>
        <w:rPr>
          <w:spacing w:val="-3"/>
          <w:sz w:val="24"/>
        </w:rPr>
        <w:t> </w:t>
      </w:r>
      <w:r>
        <w:rPr>
          <w:sz w:val="24"/>
        </w:rPr>
        <w:t>by</w:t>
      </w:r>
      <w:r>
        <w:rPr>
          <w:spacing w:val="-3"/>
          <w:sz w:val="24"/>
        </w:rPr>
        <w:t> </w:t>
      </w:r>
      <w:r>
        <w:rPr>
          <w:sz w:val="24"/>
        </w:rPr>
        <w:t>Human</w:t>
      </w:r>
      <w:r>
        <w:rPr>
          <w:spacing w:val="-2"/>
          <w:sz w:val="24"/>
        </w:rPr>
        <w:t> Resources.</w:t>
      </w:r>
    </w:p>
    <w:p>
      <w:pPr>
        <w:pStyle w:val="ListParagraph"/>
        <w:numPr>
          <w:ilvl w:val="1"/>
          <w:numId w:val="16"/>
        </w:numPr>
        <w:tabs>
          <w:tab w:pos="1662" w:val="left" w:leader="none"/>
        </w:tabs>
        <w:spacing w:line="208" w:lineRule="auto" w:before="233" w:after="0"/>
        <w:ind w:left="1224" w:right="1757" w:firstLine="0"/>
        <w:jc w:val="left"/>
        <w:rPr>
          <w:sz w:val="24"/>
        </w:rPr>
      </w:pPr>
      <w:r>
        <w:rPr>
          <w:sz w:val="24"/>
        </w:rPr>
        <w:t>Final</w:t>
      </w:r>
      <w:r>
        <w:rPr>
          <w:spacing w:val="-6"/>
          <w:sz w:val="24"/>
        </w:rPr>
        <w:t> </w:t>
      </w:r>
      <w:r>
        <w:rPr>
          <w:sz w:val="24"/>
        </w:rPr>
        <w:t>decisions</w:t>
      </w:r>
      <w:r>
        <w:rPr>
          <w:spacing w:val="-6"/>
          <w:sz w:val="24"/>
        </w:rPr>
        <w:t> </w:t>
      </w:r>
      <w:r>
        <w:rPr>
          <w:sz w:val="24"/>
        </w:rPr>
        <w:t>for</w:t>
      </w:r>
      <w:r>
        <w:rPr>
          <w:spacing w:val="-7"/>
          <w:sz w:val="24"/>
        </w:rPr>
        <w:t> </w:t>
      </w:r>
      <w:r>
        <w:rPr>
          <w:sz w:val="24"/>
        </w:rPr>
        <w:t>grievance</w:t>
      </w:r>
      <w:r>
        <w:rPr>
          <w:spacing w:val="-6"/>
          <w:sz w:val="24"/>
        </w:rPr>
        <w:t> </w:t>
      </w:r>
      <w:r>
        <w:rPr>
          <w:sz w:val="24"/>
        </w:rPr>
        <w:t>resolutions,</w:t>
      </w:r>
      <w:r>
        <w:rPr>
          <w:spacing w:val="-4"/>
          <w:sz w:val="24"/>
        </w:rPr>
        <w:t> </w:t>
      </w:r>
      <w:r>
        <w:rPr>
          <w:sz w:val="24"/>
        </w:rPr>
        <w:t>other</w:t>
      </w:r>
      <w:r>
        <w:rPr>
          <w:spacing w:val="-5"/>
          <w:sz w:val="24"/>
        </w:rPr>
        <w:t> </w:t>
      </w:r>
      <w:r>
        <w:rPr>
          <w:sz w:val="24"/>
        </w:rPr>
        <w:t>than</w:t>
      </w:r>
      <w:r>
        <w:rPr>
          <w:spacing w:val="-7"/>
          <w:sz w:val="24"/>
        </w:rPr>
        <w:t> </w:t>
      </w:r>
      <w:r>
        <w:rPr>
          <w:sz w:val="24"/>
        </w:rPr>
        <w:t>discrimination </w:t>
      </w:r>
      <w:r>
        <w:rPr>
          <w:spacing w:val="-2"/>
          <w:sz w:val="24"/>
        </w:rPr>
        <w:t>complaints.</w:t>
      </w:r>
    </w:p>
    <w:p>
      <w:pPr>
        <w:pStyle w:val="ListParagraph"/>
        <w:numPr>
          <w:ilvl w:val="1"/>
          <w:numId w:val="16"/>
        </w:numPr>
        <w:tabs>
          <w:tab w:pos="1703" w:val="left" w:leader="none"/>
        </w:tabs>
        <w:spacing w:line="240" w:lineRule="auto" w:before="211" w:after="0"/>
        <w:ind w:left="1703" w:right="0" w:hanging="479"/>
        <w:jc w:val="left"/>
        <w:rPr>
          <w:sz w:val="24"/>
        </w:rPr>
      </w:pPr>
      <w:r>
        <w:rPr>
          <w:sz w:val="24"/>
        </w:rPr>
        <w:t>Leave</w:t>
      </w:r>
      <w:r>
        <w:rPr>
          <w:spacing w:val="-4"/>
          <w:sz w:val="24"/>
        </w:rPr>
        <w:t> </w:t>
      </w:r>
      <w:r>
        <w:rPr>
          <w:sz w:val="24"/>
        </w:rPr>
        <w:t>without</w:t>
      </w:r>
      <w:r>
        <w:rPr>
          <w:spacing w:val="-2"/>
          <w:sz w:val="24"/>
        </w:rPr>
        <w:t> </w:t>
      </w:r>
      <w:r>
        <w:rPr>
          <w:sz w:val="24"/>
        </w:rPr>
        <w:t>pay</w:t>
      </w:r>
      <w:r>
        <w:rPr>
          <w:spacing w:val="-1"/>
          <w:sz w:val="24"/>
        </w:rPr>
        <w:t> </w:t>
      </w:r>
      <w:r>
        <w:rPr>
          <w:sz w:val="24"/>
        </w:rPr>
        <w:t>requests</w:t>
      </w:r>
      <w:r>
        <w:rPr>
          <w:spacing w:val="-3"/>
          <w:sz w:val="24"/>
        </w:rPr>
        <w:t> </w:t>
      </w:r>
      <w:r>
        <w:rPr>
          <w:sz w:val="24"/>
        </w:rPr>
        <w:t>for</w:t>
      </w:r>
      <w:r>
        <w:rPr>
          <w:spacing w:val="-2"/>
          <w:sz w:val="24"/>
        </w:rPr>
        <w:t> </w:t>
      </w:r>
      <w:r>
        <w:rPr>
          <w:sz w:val="24"/>
        </w:rPr>
        <w:t>less</w:t>
      </w:r>
      <w:r>
        <w:rPr>
          <w:spacing w:val="-2"/>
          <w:sz w:val="24"/>
        </w:rPr>
        <w:t> </w:t>
      </w:r>
      <w:r>
        <w:rPr>
          <w:sz w:val="24"/>
        </w:rPr>
        <w:t>than</w:t>
      </w:r>
      <w:r>
        <w:rPr>
          <w:spacing w:val="-3"/>
          <w:sz w:val="24"/>
        </w:rPr>
        <w:t> </w:t>
      </w:r>
      <w:r>
        <w:rPr>
          <w:sz w:val="24"/>
        </w:rPr>
        <w:t>90</w:t>
      </w:r>
      <w:r>
        <w:rPr>
          <w:spacing w:val="-2"/>
          <w:sz w:val="24"/>
        </w:rPr>
        <w:t> days.</w:t>
      </w:r>
    </w:p>
    <w:p>
      <w:pPr>
        <w:pStyle w:val="ListParagraph"/>
        <w:numPr>
          <w:ilvl w:val="1"/>
          <w:numId w:val="16"/>
        </w:numPr>
        <w:tabs>
          <w:tab w:pos="1690" w:val="left" w:leader="none"/>
        </w:tabs>
        <w:spacing w:line="240" w:lineRule="auto" w:before="204" w:after="0"/>
        <w:ind w:left="1690" w:right="0" w:hanging="466"/>
        <w:jc w:val="left"/>
        <w:rPr>
          <w:sz w:val="24"/>
        </w:rPr>
      </w:pPr>
      <w:r>
        <w:rPr>
          <w:sz w:val="24"/>
        </w:rPr>
        <w:t>Requests</w:t>
      </w:r>
      <w:r>
        <w:rPr>
          <w:spacing w:val="-4"/>
          <w:sz w:val="24"/>
        </w:rPr>
        <w:t> </w:t>
      </w:r>
      <w:r>
        <w:rPr>
          <w:sz w:val="24"/>
        </w:rPr>
        <w:t>for</w:t>
      </w:r>
      <w:r>
        <w:rPr>
          <w:spacing w:val="-5"/>
          <w:sz w:val="24"/>
        </w:rPr>
        <w:t> </w:t>
      </w:r>
      <w:r>
        <w:rPr>
          <w:sz w:val="24"/>
        </w:rPr>
        <w:t>internships</w:t>
      </w:r>
      <w:r>
        <w:rPr>
          <w:spacing w:val="-4"/>
          <w:sz w:val="24"/>
        </w:rPr>
        <w:t> </w:t>
      </w:r>
      <w:r>
        <w:rPr>
          <w:sz w:val="24"/>
        </w:rPr>
        <w:t>or</w:t>
      </w:r>
      <w:r>
        <w:rPr>
          <w:spacing w:val="-2"/>
          <w:sz w:val="24"/>
        </w:rPr>
        <w:t> practicums.</w:t>
      </w:r>
    </w:p>
    <w:p>
      <w:pPr>
        <w:pStyle w:val="ListParagraph"/>
        <w:numPr>
          <w:ilvl w:val="1"/>
          <w:numId w:val="16"/>
        </w:numPr>
        <w:tabs>
          <w:tab w:pos="1583" w:val="left" w:leader="none"/>
        </w:tabs>
        <w:spacing w:line="208" w:lineRule="auto" w:before="233" w:after="0"/>
        <w:ind w:left="1224" w:right="930" w:firstLine="0"/>
        <w:jc w:val="left"/>
        <w:rPr>
          <w:sz w:val="24"/>
        </w:rPr>
      </w:pPr>
      <w:r>
        <w:rPr>
          <w:sz w:val="24"/>
        </w:rPr>
        <w:t>Brochures,</w:t>
      </w:r>
      <w:r>
        <w:rPr>
          <w:spacing w:val="-4"/>
          <w:sz w:val="24"/>
        </w:rPr>
        <w:t> </w:t>
      </w:r>
      <w:r>
        <w:rPr>
          <w:sz w:val="24"/>
        </w:rPr>
        <w:t>forms,</w:t>
      </w:r>
      <w:r>
        <w:rPr>
          <w:spacing w:val="-7"/>
          <w:sz w:val="24"/>
        </w:rPr>
        <w:t> </w:t>
      </w:r>
      <w:r>
        <w:rPr>
          <w:sz w:val="24"/>
        </w:rPr>
        <w:t>publications</w:t>
      </w:r>
      <w:r>
        <w:rPr>
          <w:spacing w:val="-5"/>
          <w:sz w:val="24"/>
        </w:rPr>
        <w:t> </w:t>
      </w:r>
      <w:r>
        <w:rPr>
          <w:sz w:val="24"/>
        </w:rPr>
        <w:t>(electronic</w:t>
      </w:r>
      <w:r>
        <w:rPr>
          <w:spacing w:val="-5"/>
          <w:sz w:val="24"/>
        </w:rPr>
        <w:t> </w:t>
      </w:r>
      <w:r>
        <w:rPr>
          <w:sz w:val="24"/>
        </w:rPr>
        <w:t>or</w:t>
      </w:r>
      <w:r>
        <w:rPr>
          <w:spacing w:val="-4"/>
          <w:sz w:val="24"/>
        </w:rPr>
        <w:t> </w:t>
      </w:r>
      <w:r>
        <w:rPr>
          <w:sz w:val="24"/>
        </w:rPr>
        <w:t>printed),</w:t>
      </w:r>
      <w:r>
        <w:rPr>
          <w:spacing w:val="-4"/>
          <w:sz w:val="24"/>
        </w:rPr>
        <w:t> </w:t>
      </w:r>
      <w:r>
        <w:rPr>
          <w:sz w:val="24"/>
        </w:rPr>
        <w:t>and</w:t>
      </w:r>
      <w:r>
        <w:rPr>
          <w:spacing w:val="-5"/>
          <w:sz w:val="24"/>
        </w:rPr>
        <w:t> </w:t>
      </w:r>
      <w:r>
        <w:rPr>
          <w:sz w:val="24"/>
        </w:rPr>
        <w:t>videos</w:t>
      </w:r>
      <w:r>
        <w:rPr>
          <w:spacing w:val="-5"/>
          <w:sz w:val="24"/>
        </w:rPr>
        <w:t> </w:t>
      </w:r>
      <w:r>
        <w:rPr>
          <w:sz w:val="24"/>
        </w:rPr>
        <w:t>produced for the school.</w:t>
      </w:r>
    </w:p>
    <w:p>
      <w:pPr>
        <w:pStyle w:val="ListParagraph"/>
        <w:numPr>
          <w:ilvl w:val="1"/>
          <w:numId w:val="16"/>
        </w:numPr>
        <w:tabs>
          <w:tab w:pos="1637" w:val="left" w:leader="none"/>
        </w:tabs>
        <w:spacing w:line="240" w:lineRule="auto" w:before="211" w:after="0"/>
        <w:ind w:left="1637" w:right="0" w:hanging="413"/>
        <w:jc w:val="left"/>
        <w:rPr>
          <w:sz w:val="24"/>
        </w:rPr>
      </w:pPr>
      <w:r>
        <w:rPr>
          <w:sz w:val="24"/>
        </w:rPr>
        <w:t>Grant</w:t>
      </w:r>
      <w:r>
        <w:rPr>
          <w:spacing w:val="-2"/>
          <w:sz w:val="24"/>
        </w:rPr>
        <w:t> proposals.</w:t>
      </w:r>
    </w:p>
    <w:p>
      <w:pPr>
        <w:pStyle w:val="ListParagraph"/>
        <w:numPr>
          <w:ilvl w:val="0"/>
          <w:numId w:val="16"/>
        </w:numPr>
        <w:tabs>
          <w:tab w:pos="1218" w:val="left" w:leader="none"/>
        </w:tabs>
        <w:spacing w:line="208" w:lineRule="auto" w:before="233" w:after="0"/>
        <w:ind w:left="792" w:right="974" w:firstLine="0"/>
        <w:jc w:val="left"/>
        <w:rPr>
          <w:sz w:val="24"/>
        </w:rPr>
      </w:pPr>
      <w:r>
        <w:rPr>
          <w:b/>
          <w:sz w:val="24"/>
        </w:rPr>
        <w:t>Supervisors at OSB and OSD. </w:t>
      </w:r>
      <w:r>
        <w:rPr>
          <w:sz w:val="24"/>
        </w:rPr>
        <w:t>Supervisors at OSB and OSD have final signature</w:t>
      </w:r>
      <w:r>
        <w:rPr>
          <w:spacing w:val="-3"/>
          <w:sz w:val="24"/>
        </w:rPr>
        <w:t> </w:t>
      </w:r>
      <w:r>
        <w:rPr>
          <w:sz w:val="24"/>
        </w:rPr>
        <w:t>authority</w:t>
      </w:r>
      <w:r>
        <w:rPr>
          <w:spacing w:val="-3"/>
          <w:sz w:val="24"/>
        </w:rPr>
        <w:t> </w:t>
      </w:r>
      <w:r>
        <w:rPr>
          <w:sz w:val="24"/>
        </w:rPr>
        <w:t>for</w:t>
      </w:r>
      <w:r>
        <w:rPr>
          <w:spacing w:val="-5"/>
          <w:sz w:val="24"/>
        </w:rPr>
        <w:t> </w:t>
      </w:r>
      <w:r>
        <w:rPr>
          <w:sz w:val="24"/>
        </w:rPr>
        <w:t>items</w:t>
      </w:r>
      <w:r>
        <w:rPr>
          <w:spacing w:val="-3"/>
          <w:sz w:val="24"/>
        </w:rPr>
        <w:t> </w:t>
      </w:r>
      <w:r>
        <w:rPr>
          <w:sz w:val="24"/>
        </w:rPr>
        <w:t>in</w:t>
      </w:r>
      <w:r>
        <w:rPr>
          <w:spacing w:val="-3"/>
          <w:sz w:val="24"/>
        </w:rPr>
        <w:t> </w:t>
      </w:r>
      <w:r>
        <w:rPr>
          <w:sz w:val="24"/>
        </w:rPr>
        <w:t>(A)</w:t>
      </w:r>
      <w:r>
        <w:rPr>
          <w:spacing w:val="-4"/>
          <w:sz w:val="24"/>
        </w:rPr>
        <w:t> </w:t>
      </w:r>
      <w:r>
        <w:rPr>
          <w:sz w:val="24"/>
        </w:rPr>
        <w:t>through</w:t>
      </w:r>
      <w:r>
        <w:rPr>
          <w:spacing w:val="-3"/>
          <w:sz w:val="24"/>
        </w:rPr>
        <w:t> </w:t>
      </w:r>
      <w:r>
        <w:rPr>
          <w:sz w:val="24"/>
        </w:rPr>
        <w:t>(B)</w:t>
      </w:r>
      <w:r>
        <w:rPr>
          <w:spacing w:val="-2"/>
          <w:sz w:val="24"/>
        </w:rPr>
        <w:t> </w:t>
      </w:r>
      <w:r>
        <w:rPr>
          <w:sz w:val="24"/>
        </w:rPr>
        <w:t>of</w:t>
      </w:r>
      <w:r>
        <w:rPr>
          <w:spacing w:val="-4"/>
          <w:sz w:val="24"/>
        </w:rPr>
        <w:t> </w:t>
      </w:r>
      <w:r>
        <w:rPr>
          <w:sz w:val="24"/>
        </w:rPr>
        <w:t>this</w:t>
      </w:r>
      <w:r>
        <w:rPr>
          <w:spacing w:val="-3"/>
          <w:sz w:val="24"/>
        </w:rPr>
        <w:t> </w:t>
      </w:r>
      <w:r>
        <w:rPr>
          <w:sz w:val="24"/>
        </w:rPr>
        <w:t>Paragraph</w:t>
      </w:r>
      <w:r>
        <w:rPr>
          <w:spacing w:val="-3"/>
          <w:sz w:val="24"/>
        </w:rPr>
        <w:t> </w:t>
      </w:r>
      <w:r>
        <w:rPr>
          <w:sz w:val="24"/>
        </w:rPr>
        <w:t>for</w:t>
      </w:r>
      <w:r>
        <w:rPr>
          <w:spacing w:val="-2"/>
          <w:sz w:val="24"/>
        </w:rPr>
        <w:t> </w:t>
      </w:r>
      <w:r>
        <w:rPr>
          <w:sz w:val="24"/>
        </w:rPr>
        <w:t>the</w:t>
      </w:r>
      <w:r>
        <w:rPr>
          <w:spacing w:val="-3"/>
          <w:sz w:val="24"/>
        </w:rPr>
        <w:t> </w:t>
      </w:r>
      <w:r>
        <w:rPr>
          <w:sz w:val="24"/>
        </w:rPr>
        <w:t>respective </w:t>
      </w:r>
      <w:r>
        <w:rPr>
          <w:spacing w:val="-2"/>
          <w:sz w:val="24"/>
        </w:rPr>
        <w:t>school.</w:t>
      </w:r>
    </w:p>
    <w:p>
      <w:pPr>
        <w:pStyle w:val="ListParagraph"/>
        <w:numPr>
          <w:ilvl w:val="1"/>
          <w:numId w:val="16"/>
        </w:numPr>
        <w:tabs>
          <w:tab w:pos="1676" w:val="left" w:leader="none"/>
        </w:tabs>
        <w:spacing w:line="240" w:lineRule="auto" w:before="211" w:after="0"/>
        <w:ind w:left="1676" w:right="0" w:hanging="452"/>
        <w:jc w:val="left"/>
        <w:rPr>
          <w:sz w:val="24"/>
        </w:rPr>
      </w:pPr>
      <w:r>
        <w:rPr>
          <w:sz w:val="24"/>
        </w:rPr>
        <w:t>Office</w:t>
      </w:r>
      <w:r>
        <w:rPr>
          <w:spacing w:val="-3"/>
          <w:sz w:val="24"/>
        </w:rPr>
        <w:t> </w:t>
      </w:r>
      <w:r>
        <w:rPr>
          <w:sz w:val="24"/>
        </w:rPr>
        <w:t>supply</w:t>
      </w:r>
      <w:r>
        <w:rPr>
          <w:spacing w:val="-3"/>
          <w:sz w:val="24"/>
        </w:rPr>
        <w:t> </w:t>
      </w:r>
      <w:r>
        <w:rPr>
          <w:spacing w:val="-2"/>
          <w:sz w:val="24"/>
        </w:rPr>
        <w:t>orders.</w:t>
      </w:r>
    </w:p>
    <w:p>
      <w:pPr>
        <w:pStyle w:val="ListParagraph"/>
        <w:numPr>
          <w:ilvl w:val="1"/>
          <w:numId w:val="16"/>
        </w:numPr>
        <w:tabs>
          <w:tab w:pos="1677" w:val="left" w:leader="none"/>
        </w:tabs>
        <w:spacing w:line="240" w:lineRule="auto" w:before="204" w:after="0"/>
        <w:ind w:left="1677" w:right="0" w:hanging="453"/>
        <w:jc w:val="left"/>
        <w:rPr>
          <w:sz w:val="24"/>
        </w:rPr>
      </w:pPr>
      <w:r>
        <w:rPr>
          <w:sz w:val="24"/>
        </w:rPr>
        <w:t>Reorder</w:t>
      </w:r>
      <w:r>
        <w:rPr>
          <w:spacing w:val="-3"/>
          <w:sz w:val="24"/>
        </w:rPr>
        <w:t> </w:t>
      </w:r>
      <w:r>
        <w:rPr>
          <w:sz w:val="24"/>
        </w:rPr>
        <w:t>of</w:t>
      </w:r>
      <w:r>
        <w:rPr>
          <w:spacing w:val="-3"/>
          <w:sz w:val="24"/>
        </w:rPr>
        <w:t> </w:t>
      </w:r>
      <w:r>
        <w:rPr>
          <w:sz w:val="24"/>
        </w:rPr>
        <w:t>existing</w:t>
      </w:r>
      <w:r>
        <w:rPr>
          <w:spacing w:val="-4"/>
          <w:sz w:val="24"/>
        </w:rPr>
        <w:t> </w:t>
      </w:r>
      <w:r>
        <w:rPr>
          <w:sz w:val="24"/>
        </w:rPr>
        <w:t>printed</w:t>
      </w:r>
      <w:r>
        <w:rPr>
          <w:spacing w:val="-3"/>
          <w:sz w:val="24"/>
        </w:rPr>
        <w:t> </w:t>
      </w:r>
      <w:r>
        <w:rPr>
          <w:spacing w:val="-2"/>
          <w:sz w:val="24"/>
        </w:rPr>
        <w:t>materials.</w:t>
      </w:r>
    </w:p>
    <w:p>
      <w:pPr>
        <w:pStyle w:val="ListParagraph"/>
        <w:numPr>
          <w:ilvl w:val="0"/>
          <w:numId w:val="16"/>
        </w:numPr>
        <w:tabs>
          <w:tab w:pos="1218" w:val="left" w:leader="none"/>
        </w:tabs>
        <w:spacing w:line="208" w:lineRule="auto" w:before="233" w:after="0"/>
        <w:ind w:left="792" w:right="734" w:firstLine="0"/>
        <w:jc w:val="left"/>
        <w:rPr>
          <w:sz w:val="24"/>
        </w:rPr>
      </w:pPr>
      <w:r>
        <w:rPr>
          <w:b/>
          <w:sz w:val="24"/>
        </w:rPr>
        <w:t>Deputy Administrators, Disability Determination Services. </w:t>
      </w:r>
      <w:r>
        <w:rPr>
          <w:sz w:val="24"/>
        </w:rPr>
        <w:t>Deputy Administrators</w:t>
      </w:r>
      <w:r>
        <w:rPr>
          <w:spacing w:val="-4"/>
          <w:sz w:val="24"/>
        </w:rPr>
        <w:t> </w:t>
      </w:r>
      <w:r>
        <w:rPr>
          <w:sz w:val="24"/>
        </w:rPr>
        <w:t>at</w:t>
      </w:r>
      <w:r>
        <w:rPr>
          <w:spacing w:val="-5"/>
          <w:sz w:val="24"/>
        </w:rPr>
        <w:t> </w:t>
      </w:r>
      <w:r>
        <w:rPr>
          <w:sz w:val="24"/>
        </w:rPr>
        <w:t>the</w:t>
      </w:r>
      <w:r>
        <w:rPr>
          <w:spacing w:val="-5"/>
          <w:sz w:val="24"/>
        </w:rPr>
        <w:t> </w:t>
      </w:r>
      <w:r>
        <w:rPr>
          <w:sz w:val="24"/>
        </w:rPr>
        <w:t>Disability</w:t>
      </w:r>
      <w:r>
        <w:rPr>
          <w:spacing w:val="-4"/>
          <w:sz w:val="24"/>
        </w:rPr>
        <w:t> </w:t>
      </w:r>
      <w:r>
        <w:rPr>
          <w:sz w:val="24"/>
        </w:rPr>
        <w:t>Determination</w:t>
      </w:r>
      <w:r>
        <w:rPr>
          <w:spacing w:val="-4"/>
          <w:sz w:val="24"/>
        </w:rPr>
        <w:t> </w:t>
      </w:r>
      <w:r>
        <w:rPr>
          <w:sz w:val="24"/>
        </w:rPr>
        <w:t>Services</w:t>
      </w:r>
      <w:r>
        <w:rPr>
          <w:spacing w:val="-4"/>
          <w:sz w:val="24"/>
        </w:rPr>
        <w:t> </w:t>
      </w:r>
      <w:r>
        <w:rPr>
          <w:sz w:val="24"/>
        </w:rPr>
        <w:t>have</w:t>
      </w:r>
      <w:r>
        <w:rPr>
          <w:spacing w:val="-4"/>
          <w:sz w:val="24"/>
        </w:rPr>
        <w:t> </w:t>
      </w:r>
      <w:r>
        <w:rPr>
          <w:sz w:val="24"/>
        </w:rPr>
        <w:t>final</w:t>
      </w:r>
      <w:r>
        <w:rPr>
          <w:spacing w:val="-4"/>
          <w:sz w:val="24"/>
        </w:rPr>
        <w:t> </w:t>
      </w:r>
      <w:r>
        <w:rPr>
          <w:sz w:val="24"/>
        </w:rPr>
        <w:t>signature</w:t>
      </w:r>
      <w:r>
        <w:rPr>
          <w:spacing w:val="-4"/>
          <w:sz w:val="24"/>
        </w:rPr>
        <w:t> </w:t>
      </w:r>
      <w:r>
        <w:rPr>
          <w:sz w:val="24"/>
        </w:rPr>
        <w:t>authority for the following items in (A) through (B) of this Paragraph.</w:t>
      </w:r>
    </w:p>
    <w:p>
      <w:pPr>
        <w:pStyle w:val="ListParagraph"/>
        <w:numPr>
          <w:ilvl w:val="1"/>
          <w:numId w:val="16"/>
        </w:numPr>
        <w:tabs>
          <w:tab w:pos="1677" w:val="left" w:leader="none"/>
        </w:tabs>
        <w:spacing w:line="208" w:lineRule="auto" w:before="240" w:after="0"/>
        <w:ind w:left="1224" w:right="1528" w:firstLine="0"/>
        <w:jc w:val="left"/>
        <w:rPr>
          <w:sz w:val="24"/>
        </w:rPr>
      </w:pPr>
      <w:r>
        <w:rPr>
          <w:sz w:val="24"/>
        </w:rPr>
        <w:t>The Deputy Administrator is responsible for budgets, contracts, and purchases</w:t>
      </w:r>
      <w:r>
        <w:rPr>
          <w:spacing w:val="-7"/>
          <w:sz w:val="24"/>
        </w:rPr>
        <w:t> </w:t>
      </w:r>
      <w:r>
        <w:rPr>
          <w:sz w:val="24"/>
        </w:rPr>
        <w:t>approves</w:t>
      </w:r>
      <w:r>
        <w:rPr>
          <w:spacing w:val="-7"/>
          <w:sz w:val="24"/>
        </w:rPr>
        <w:t> </w:t>
      </w:r>
      <w:r>
        <w:rPr>
          <w:sz w:val="24"/>
        </w:rPr>
        <w:t>administrative</w:t>
      </w:r>
      <w:r>
        <w:rPr>
          <w:spacing w:val="-7"/>
          <w:sz w:val="24"/>
        </w:rPr>
        <w:t> </w:t>
      </w:r>
      <w:r>
        <w:rPr>
          <w:sz w:val="24"/>
        </w:rPr>
        <w:t>purchases</w:t>
      </w:r>
      <w:r>
        <w:rPr>
          <w:spacing w:val="-7"/>
          <w:sz w:val="24"/>
        </w:rPr>
        <w:t> </w:t>
      </w:r>
      <w:r>
        <w:rPr>
          <w:sz w:val="24"/>
        </w:rPr>
        <w:t>under</w:t>
      </w:r>
      <w:r>
        <w:rPr>
          <w:spacing w:val="-6"/>
          <w:sz w:val="24"/>
        </w:rPr>
        <w:t> </w:t>
      </w:r>
      <w:r>
        <w:rPr>
          <w:sz w:val="24"/>
        </w:rPr>
        <w:t>$25,000.</w:t>
      </w:r>
      <w:r>
        <w:rPr>
          <w:spacing w:val="-6"/>
          <w:sz w:val="24"/>
        </w:rPr>
        <w:t> </w:t>
      </w:r>
      <w:r>
        <w:rPr>
          <w:sz w:val="24"/>
        </w:rPr>
        <w:t>Computer purchases must be co-signed by the CDS Administrator acting in an IT </w:t>
      </w:r>
      <w:r>
        <w:rPr>
          <w:spacing w:val="-2"/>
          <w:sz w:val="24"/>
        </w:rPr>
        <w:t>capacity.</w:t>
      </w:r>
    </w:p>
    <w:p>
      <w:pPr>
        <w:pStyle w:val="ListParagraph"/>
        <w:numPr>
          <w:ilvl w:val="1"/>
          <w:numId w:val="16"/>
        </w:numPr>
        <w:tabs>
          <w:tab w:pos="1677" w:val="left" w:leader="none"/>
        </w:tabs>
        <w:spacing w:line="240" w:lineRule="auto" w:before="210" w:after="0"/>
        <w:ind w:left="1677" w:right="0" w:hanging="453"/>
        <w:jc w:val="left"/>
        <w:rPr>
          <w:sz w:val="24"/>
        </w:rPr>
      </w:pPr>
      <w:r>
        <w:rPr>
          <w:sz w:val="24"/>
        </w:rPr>
        <w:t>Reorder</w:t>
      </w:r>
      <w:r>
        <w:rPr>
          <w:spacing w:val="-3"/>
          <w:sz w:val="24"/>
        </w:rPr>
        <w:t> </w:t>
      </w:r>
      <w:r>
        <w:rPr>
          <w:sz w:val="24"/>
        </w:rPr>
        <w:t>of</w:t>
      </w:r>
      <w:r>
        <w:rPr>
          <w:spacing w:val="-3"/>
          <w:sz w:val="24"/>
        </w:rPr>
        <w:t> </w:t>
      </w:r>
      <w:r>
        <w:rPr>
          <w:sz w:val="24"/>
        </w:rPr>
        <w:t>existing</w:t>
      </w:r>
      <w:r>
        <w:rPr>
          <w:spacing w:val="-4"/>
          <w:sz w:val="24"/>
        </w:rPr>
        <w:t> </w:t>
      </w:r>
      <w:r>
        <w:rPr>
          <w:sz w:val="24"/>
        </w:rPr>
        <w:t>printed</w:t>
      </w:r>
      <w:r>
        <w:rPr>
          <w:spacing w:val="-3"/>
          <w:sz w:val="24"/>
        </w:rPr>
        <w:t> </w:t>
      </w:r>
      <w:r>
        <w:rPr>
          <w:spacing w:val="-2"/>
          <w:sz w:val="24"/>
        </w:rPr>
        <w:t>materials.</w:t>
      </w:r>
    </w:p>
    <w:p>
      <w:pPr>
        <w:spacing w:before="237"/>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17"/>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#95-</w:t>
      </w:r>
      <w:r>
        <w:rPr>
          <w:spacing w:val="-10"/>
          <w:sz w:val="22"/>
        </w:rPr>
        <w:t>2</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spacing w:after="0" w:line="253" w:lineRule="exact"/>
        <w:jc w:val="left"/>
        <w:rPr>
          <w:sz w:val="22"/>
        </w:rPr>
        <w:sectPr>
          <w:pgSz w:w="12240" w:h="15840"/>
          <w:pgMar w:top="1340" w:bottom="280" w:left="1080" w:right="720"/>
        </w:sectPr>
      </w:pPr>
    </w:p>
    <w:p>
      <w:pPr>
        <w:pStyle w:val="ListParagraph"/>
        <w:numPr>
          <w:ilvl w:val="2"/>
          <w:numId w:val="17"/>
        </w:numPr>
        <w:tabs>
          <w:tab w:pos="1439" w:val="left" w:leader="none"/>
        </w:tabs>
        <w:spacing w:line="240" w:lineRule="auto" w:before="80" w:after="0"/>
        <w:ind w:left="1439" w:right="0" w:hanging="1079"/>
        <w:jc w:val="left"/>
        <w:rPr>
          <w:sz w:val="22"/>
        </w:rPr>
      </w:pPr>
      <w:r>
        <w:rPr>
          <w:sz w:val="22"/>
        </w:rPr>
        <w:t>PT</w:t>
      </w:r>
      <w:r>
        <w:rPr>
          <w:spacing w:val="-8"/>
          <w:sz w:val="22"/>
        </w:rPr>
        <w:t> </w:t>
      </w:r>
      <w:r>
        <w:rPr>
          <w:sz w:val="22"/>
        </w:rPr>
        <w:t>Memo</w:t>
      </w:r>
      <w:r>
        <w:rPr>
          <w:spacing w:val="-8"/>
          <w:sz w:val="22"/>
        </w:rPr>
        <w:t> </w:t>
      </w:r>
      <w:r>
        <w:rPr>
          <w:sz w:val="22"/>
        </w:rPr>
        <w:t>#96-</w:t>
      </w:r>
      <w:r>
        <w:rPr>
          <w:spacing w:val="-10"/>
          <w:sz w:val="22"/>
        </w:rPr>
        <w:t>5</w:t>
      </w:r>
    </w:p>
    <w:p>
      <w:pPr>
        <w:spacing w:before="0"/>
        <w:ind w:left="1439" w:right="940" w:firstLine="0"/>
        <w:jc w:val="left"/>
        <w:rPr>
          <w:sz w:val="22"/>
        </w:rPr>
      </w:pPr>
      <w:r>
        <w:rPr>
          <w:sz w:val="22"/>
        </w:rPr>
        <w:t>Permanent,</w:t>
      </w:r>
      <w:r>
        <w:rPr>
          <w:spacing w:val="-3"/>
          <w:sz w:val="22"/>
        </w:rPr>
        <w:t> </w:t>
      </w:r>
      <w:r>
        <w:rPr>
          <w:sz w:val="22"/>
        </w:rPr>
        <w:t>Added</w:t>
      </w:r>
      <w:r>
        <w:rPr>
          <w:spacing w:val="-4"/>
          <w:sz w:val="22"/>
        </w:rPr>
        <w:t> </w:t>
      </w:r>
      <w:r>
        <w:rPr>
          <w:sz w:val="22"/>
        </w:rPr>
        <w:t>"when</w:t>
      </w:r>
      <w:r>
        <w:rPr>
          <w:spacing w:val="-4"/>
          <w:sz w:val="22"/>
        </w:rPr>
        <w:t> </w:t>
      </w:r>
      <w:r>
        <w:rPr>
          <w:sz w:val="22"/>
        </w:rPr>
        <w:t>not</w:t>
      </w:r>
      <w:r>
        <w:rPr>
          <w:spacing w:val="-4"/>
          <w:sz w:val="22"/>
        </w:rPr>
        <w:t> </w:t>
      </w:r>
      <w:r>
        <w:rPr>
          <w:sz w:val="22"/>
        </w:rPr>
        <w:t>available</w:t>
      </w:r>
      <w:r>
        <w:rPr>
          <w:spacing w:val="-4"/>
          <w:sz w:val="22"/>
        </w:rPr>
        <w:t> </w:t>
      </w:r>
      <w:r>
        <w:rPr>
          <w:sz w:val="22"/>
        </w:rPr>
        <w:t>on</w:t>
      </w:r>
      <w:r>
        <w:rPr>
          <w:spacing w:val="-4"/>
          <w:sz w:val="22"/>
        </w:rPr>
        <w:t> </w:t>
      </w:r>
      <w:r>
        <w:rPr>
          <w:sz w:val="22"/>
        </w:rPr>
        <w:t>state</w:t>
      </w:r>
      <w:r>
        <w:rPr>
          <w:spacing w:val="-5"/>
          <w:sz w:val="22"/>
        </w:rPr>
        <w:t> </w:t>
      </w:r>
      <w:r>
        <w:rPr>
          <w:sz w:val="22"/>
        </w:rPr>
        <w:t>contract"</w:t>
      </w:r>
      <w:r>
        <w:rPr>
          <w:spacing w:val="-4"/>
          <w:sz w:val="22"/>
        </w:rPr>
        <w:t> </w:t>
      </w:r>
      <w:r>
        <w:rPr>
          <w:sz w:val="22"/>
        </w:rPr>
        <w:t>to</w:t>
      </w:r>
      <w:r>
        <w:rPr>
          <w:spacing w:val="-5"/>
          <w:sz w:val="22"/>
        </w:rPr>
        <w:t> </w:t>
      </w:r>
      <w:r>
        <w:rPr>
          <w:sz w:val="22"/>
        </w:rPr>
        <w:t>signatures</w:t>
      </w:r>
      <w:r>
        <w:rPr>
          <w:spacing w:val="-4"/>
          <w:sz w:val="22"/>
        </w:rPr>
        <w:t> </w:t>
      </w:r>
      <w:r>
        <w:rPr>
          <w:sz w:val="22"/>
        </w:rPr>
        <w:t>required</w:t>
      </w:r>
      <w:r>
        <w:rPr>
          <w:spacing w:val="-4"/>
          <w:sz w:val="22"/>
        </w:rPr>
        <w:t> </w:t>
      </w:r>
      <w:r>
        <w:rPr>
          <w:sz w:val="22"/>
        </w:rPr>
        <w:t>on non-medical purchased/requisitions. Field Coordinators and Program Supervisors sign non-medical between 5&amp;10 thousand; District Supervisors and MSD Unit Administrators sign non-medical more than $2500. Corrected typo. (of to or).</w:t>
      </w:r>
    </w:p>
    <w:p>
      <w:pPr>
        <w:pStyle w:val="ListParagraph"/>
        <w:numPr>
          <w:ilvl w:val="2"/>
          <w:numId w:val="18"/>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#98-</w:t>
      </w:r>
      <w:r>
        <w:rPr>
          <w:spacing w:val="-5"/>
          <w:sz w:val="22"/>
        </w:rPr>
        <w:t>15</w:t>
      </w:r>
    </w:p>
    <w:p>
      <w:pPr>
        <w:spacing w:before="0"/>
        <w:ind w:left="1439" w:right="775" w:firstLine="0"/>
        <w:jc w:val="left"/>
        <w:rPr>
          <w:sz w:val="22"/>
        </w:rPr>
      </w:pPr>
      <w:r>
        <w:rPr>
          <w:sz w:val="22"/>
        </w:rPr>
        <w:t>Permanent,</w:t>
      </w:r>
      <w:r>
        <w:rPr>
          <w:spacing w:val="-3"/>
          <w:sz w:val="22"/>
        </w:rPr>
        <w:t> </w:t>
      </w:r>
      <w:r>
        <w:rPr>
          <w:sz w:val="22"/>
        </w:rPr>
        <w:t>signature</w:t>
      </w:r>
      <w:r>
        <w:rPr>
          <w:spacing w:val="-4"/>
          <w:sz w:val="22"/>
        </w:rPr>
        <w:t> </w:t>
      </w:r>
      <w:r>
        <w:rPr>
          <w:sz w:val="22"/>
        </w:rPr>
        <w:t>authority</w:t>
      </w:r>
      <w:r>
        <w:rPr>
          <w:spacing w:val="-4"/>
          <w:sz w:val="22"/>
        </w:rPr>
        <w:t> </w:t>
      </w:r>
      <w:r>
        <w:rPr>
          <w:sz w:val="22"/>
        </w:rPr>
        <w:t>changes</w:t>
      </w:r>
      <w:r>
        <w:rPr>
          <w:spacing w:val="-4"/>
          <w:sz w:val="22"/>
        </w:rPr>
        <w:t> </w:t>
      </w:r>
      <w:r>
        <w:rPr>
          <w:sz w:val="22"/>
        </w:rPr>
        <w:t>to</w:t>
      </w:r>
      <w:r>
        <w:rPr>
          <w:spacing w:val="-4"/>
          <w:sz w:val="22"/>
        </w:rPr>
        <w:t> </w:t>
      </w:r>
      <w:r>
        <w:rPr>
          <w:sz w:val="22"/>
        </w:rPr>
        <w:t>account</w:t>
      </w:r>
      <w:r>
        <w:rPr>
          <w:spacing w:val="-4"/>
          <w:sz w:val="22"/>
        </w:rPr>
        <w:t> </w:t>
      </w:r>
      <w:r>
        <w:rPr>
          <w:sz w:val="22"/>
        </w:rPr>
        <w:t>for</w:t>
      </w:r>
      <w:r>
        <w:rPr>
          <w:spacing w:val="-4"/>
          <w:sz w:val="22"/>
        </w:rPr>
        <w:t> </w:t>
      </w:r>
      <w:r>
        <w:rPr>
          <w:sz w:val="22"/>
        </w:rPr>
        <w:t>Deputy</w:t>
      </w:r>
      <w:r>
        <w:rPr>
          <w:spacing w:val="-4"/>
          <w:sz w:val="22"/>
        </w:rPr>
        <w:t> </w:t>
      </w:r>
      <w:r>
        <w:rPr>
          <w:sz w:val="22"/>
        </w:rPr>
        <w:t>Director,</w:t>
      </w:r>
      <w:r>
        <w:rPr>
          <w:spacing w:val="-5"/>
          <w:sz w:val="22"/>
        </w:rPr>
        <w:t> </w:t>
      </w:r>
      <w:r>
        <w:rPr>
          <w:sz w:val="22"/>
        </w:rPr>
        <w:t>and</w:t>
      </w:r>
      <w:r>
        <w:rPr>
          <w:spacing w:val="-4"/>
          <w:sz w:val="22"/>
        </w:rPr>
        <w:t> </w:t>
      </w:r>
      <w:r>
        <w:rPr>
          <w:sz w:val="22"/>
        </w:rPr>
        <w:t>to</w:t>
      </w:r>
      <w:r>
        <w:rPr>
          <w:spacing w:val="-4"/>
          <w:sz w:val="22"/>
        </w:rPr>
        <w:t> </w:t>
      </w:r>
      <w:r>
        <w:rPr>
          <w:sz w:val="22"/>
        </w:rPr>
        <w:t>move authority close to actual decision makers</w:t>
      </w:r>
    </w:p>
    <w:p>
      <w:pPr>
        <w:pStyle w:val="ListParagraph"/>
        <w:numPr>
          <w:ilvl w:val="2"/>
          <w:numId w:val="18"/>
        </w:numPr>
        <w:tabs>
          <w:tab w:pos="1439" w:val="left" w:leader="none"/>
        </w:tabs>
        <w:spacing w:line="252" w:lineRule="exact" w:before="0" w:after="0"/>
        <w:ind w:left="1439" w:right="0" w:hanging="1079"/>
        <w:jc w:val="left"/>
        <w:rPr>
          <w:sz w:val="22"/>
        </w:rPr>
      </w:pPr>
      <w:r>
        <w:rPr>
          <w:sz w:val="22"/>
        </w:rPr>
        <w:t>POL</w:t>
      </w:r>
      <w:r>
        <w:rPr>
          <w:spacing w:val="-9"/>
          <w:sz w:val="22"/>
        </w:rPr>
        <w:t> </w:t>
      </w:r>
      <w:r>
        <w:rPr>
          <w:sz w:val="22"/>
        </w:rPr>
        <w:t>Memo</w:t>
      </w:r>
      <w:r>
        <w:rPr>
          <w:spacing w:val="-8"/>
          <w:sz w:val="22"/>
        </w:rPr>
        <w:t> </w:t>
      </w:r>
      <w:r>
        <w:rPr>
          <w:sz w:val="22"/>
        </w:rPr>
        <w:t>#00-</w:t>
      </w:r>
      <w:r>
        <w:rPr>
          <w:spacing w:val="-10"/>
          <w:sz w:val="22"/>
        </w:rPr>
        <w:t>1</w:t>
      </w:r>
    </w:p>
    <w:p>
      <w:pPr>
        <w:spacing w:before="0"/>
        <w:ind w:left="1439" w:right="775" w:firstLine="0"/>
        <w:jc w:val="left"/>
        <w:rPr>
          <w:sz w:val="22"/>
        </w:rPr>
      </w:pPr>
      <w:r>
        <w:rPr>
          <w:sz w:val="22"/>
        </w:rPr>
        <w:t>Permanent,</w:t>
      </w:r>
      <w:r>
        <w:rPr>
          <w:spacing w:val="-4"/>
          <w:sz w:val="22"/>
        </w:rPr>
        <w:t> </w:t>
      </w:r>
      <w:r>
        <w:rPr>
          <w:sz w:val="22"/>
        </w:rPr>
        <w:t>updated</w:t>
      </w:r>
      <w:r>
        <w:rPr>
          <w:spacing w:val="-5"/>
          <w:sz w:val="22"/>
        </w:rPr>
        <w:t> </w:t>
      </w:r>
      <w:r>
        <w:rPr>
          <w:sz w:val="22"/>
        </w:rPr>
        <w:t>DVR/DVS;</w:t>
      </w:r>
      <w:r>
        <w:rPr>
          <w:spacing w:val="-4"/>
          <w:sz w:val="22"/>
        </w:rPr>
        <w:t> </w:t>
      </w:r>
      <w:r>
        <w:rPr>
          <w:sz w:val="22"/>
        </w:rPr>
        <w:t>Changes</w:t>
      </w:r>
      <w:r>
        <w:rPr>
          <w:spacing w:val="-5"/>
          <w:sz w:val="22"/>
        </w:rPr>
        <w:t> </w:t>
      </w:r>
      <w:r>
        <w:rPr>
          <w:sz w:val="22"/>
        </w:rPr>
        <w:t>made</w:t>
      </w:r>
      <w:r>
        <w:rPr>
          <w:spacing w:val="-5"/>
          <w:sz w:val="22"/>
        </w:rPr>
        <w:t> </w:t>
      </w:r>
      <w:r>
        <w:rPr>
          <w:sz w:val="22"/>
        </w:rPr>
        <w:t>to</w:t>
      </w:r>
      <w:r>
        <w:rPr>
          <w:spacing w:val="-5"/>
          <w:sz w:val="22"/>
        </w:rPr>
        <w:t> </w:t>
      </w:r>
      <w:r>
        <w:rPr>
          <w:sz w:val="22"/>
        </w:rPr>
        <w:t>conform</w:t>
      </w:r>
      <w:r>
        <w:rPr>
          <w:spacing w:val="-6"/>
          <w:sz w:val="22"/>
        </w:rPr>
        <w:t> </w:t>
      </w:r>
      <w:r>
        <w:rPr>
          <w:sz w:val="22"/>
        </w:rPr>
        <w:t>with</w:t>
      </w:r>
      <w:r>
        <w:rPr>
          <w:spacing w:val="-5"/>
          <w:sz w:val="22"/>
        </w:rPr>
        <w:t> </w:t>
      </w:r>
      <w:r>
        <w:rPr>
          <w:sz w:val="22"/>
        </w:rPr>
        <w:t>new</w:t>
      </w:r>
      <w:r>
        <w:rPr>
          <w:spacing w:val="-6"/>
          <w:sz w:val="22"/>
        </w:rPr>
        <w:t> </w:t>
      </w:r>
      <w:r>
        <w:rPr>
          <w:sz w:val="22"/>
        </w:rPr>
        <w:t>Department memo categories and system</w:t>
      </w:r>
    </w:p>
    <w:p>
      <w:pPr>
        <w:pStyle w:val="ListParagraph"/>
        <w:numPr>
          <w:ilvl w:val="2"/>
          <w:numId w:val="19"/>
        </w:numPr>
        <w:tabs>
          <w:tab w:pos="1439" w:val="left" w:leader="none"/>
        </w:tabs>
        <w:spacing w:line="240" w:lineRule="auto" w:before="1" w:after="0"/>
        <w:ind w:left="1439" w:right="0" w:hanging="1079"/>
        <w:jc w:val="left"/>
        <w:rPr>
          <w:sz w:val="22"/>
        </w:rPr>
      </w:pPr>
      <w:r>
        <w:rPr>
          <w:sz w:val="22"/>
        </w:rPr>
        <w:t>PT</w:t>
      </w:r>
      <w:r>
        <w:rPr>
          <w:spacing w:val="-8"/>
          <w:sz w:val="22"/>
        </w:rPr>
        <w:t> </w:t>
      </w:r>
      <w:r>
        <w:rPr>
          <w:sz w:val="22"/>
        </w:rPr>
        <w:t>Memo</w:t>
      </w:r>
      <w:r>
        <w:rPr>
          <w:spacing w:val="-8"/>
          <w:sz w:val="22"/>
        </w:rPr>
        <w:t> </w:t>
      </w:r>
      <w:r>
        <w:rPr>
          <w:sz w:val="22"/>
        </w:rPr>
        <w:t>#03-</w:t>
      </w:r>
      <w:r>
        <w:rPr>
          <w:spacing w:val="-5"/>
          <w:sz w:val="22"/>
        </w:rPr>
        <w:t>07</w:t>
      </w:r>
    </w:p>
    <w:p>
      <w:pPr>
        <w:tabs>
          <w:tab w:pos="1439" w:val="left" w:leader="none"/>
        </w:tabs>
        <w:spacing w:before="0"/>
        <w:ind w:left="359" w:right="3593" w:firstLine="1080"/>
        <w:jc w:val="left"/>
        <w:rPr>
          <w:sz w:val="22"/>
        </w:rPr>
      </w:pPr>
      <w:r>
        <w:rPr>
          <w:sz w:val="22"/>
        </w:rPr>
        <w:t>Permanent,</w:t>
      </w:r>
      <w:r>
        <w:rPr>
          <w:spacing w:val="-7"/>
          <w:sz w:val="22"/>
        </w:rPr>
        <w:t> </w:t>
      </w:r>
      <w:r>
        <w:rPr>
          <w:sz w:val="22"/>
        </w:rPr>
        <w:t>updated</w:t>
      </w:r>
      <w:r>
        <w:rPr>
          <w:spacing w:val="-8"/>
          <w:sz w:val="22"/>
        </w:rPr>
        <w:t> </w:t>
      </w:r>
      <w:r>
        <w:rPr>
          <w:sz w:val="22"/>
        </w:rPr>
        <w:t>Supervisors</w:t>
      </w:r>
      <w:r>
        <w:rPr>
          <w:spacing w:val="-8"/>
          <w:sz w:val="22"/>
        </w:rPr>
        <w:t> </w:t>
      </w:r>
      <w:r>
        <w:rPr>
          <w:sz w:val="22"/>
        </w:rPr>
        <w:t>to</w:t>
      </w:r>
      <w:r>
        <w:rPr>
          <w:spacing w:val="-10"/>
          <w:sz w:val="22"/>
        </w:rPr>
        <w:t> </w:t>
      </w:r>
      <w:r>
        <w:rPr>
          <w:sz w:val="22"/>
        </w:rPr>
        <w:t>Program</w:t>
      </w:r>
      <w:r>
        <w:rPr>
          <w:spacing w:val="-8"/>
          <w:sz w:val="22"/>
        </w:rPr>
        <w:t> </w:t>
      </w:r>
      <w:r>
        <w:rPr>
          <w:sz w:val="22"/>
        </w:rPr>
        <w:t>Managers </w:t>
      </w:r>
      <w:r>
        <w:rPr>
          <w:spacing w:val="-2"/>
          <w:sz w:val="22"/>
        </w:rPr>
        <w:t>7-1-10</w:t>
      </w:r>
      <w:r>
        <w:rPr>
          <w:sz w:val="22"/>
        </w:rPr>
        <w:tab/>
        <w:t>PT Memo #10-02</w:t>
      </w:r>
    </w:p>
    <w:p>
      <w:pPr>
        <w:spacing w:line="252" w:lineRule="exact" w:before="0"/>
        <w:ind w:left="1439" w:right="0" w:firstLine="0"/>
        <w:jc w:val="left"/>
        <w:rPr>
          <w:sz w:val="22"/>
        </w:rPr>
      </w:pPr>
      <w:r>
        <w:rPr>
          <w:sz w:val="22"/>
        </w:rPr>
        <w:t>Permanent,</w:t>
      </w:r>
      <w:r>
        <w:rPr>
          <w:spacing w:val="-7"/>
          <w:sz w:val="22"/>
        </w:rPr>
        <w:t> </w:t>
      </w:r>
      <w:r>
        <w:rPr>
          <w:sz w:val="22"/>
        </w:rPr>
        <w:t>Changed</w:t>
      </w:r>
      <w:r>
        <w:rPr>
          <w:spacing w:val="-7"/>
          <w:sz w:val="22"/>
        </w:rPr>
        <w:t> </w:t>
      </w:r>
      <w:r>
        <w:rPr>
          <w:sz w:val="22"/>
        </w:rPr>
        <w:t>Deputy</w:t>
      </w:r>
      <w:r>
        <w:rPr>
          <w:spacing w:val="-8"/>
          <w:sz w:val="22"/>
        </w:rPr>
        <w:t> </w:t>
      </w:r>
      <w:r>
        <w:rPr>
          <w:sz w:val="22"/>
        </w:rPr>
        <w:t>Director</w:t>
      </w:r>
      <w:r>
        <w:rPr>
          <w:spacing w:val="-7"/>
          <w:sz w:val="22"/>
        </w:rPr>
        <w:t> </w:t>
      </w:r>
      <w:r>
        <w:rPr>
          <w:sz w:val="22"/>
        </w:rPr>
        <w:t>to</w:t>
      </w:r>
      <w:r>
        <w:rPr>
          <w:spacing w:val="-8"/>
          <w:sz w:val="22"/>
        </w:rPr>
        <w:t> </w:t>
      </w:r>
      <w:r>
        <w:rPr>
          <w:sz w:val="22"/>
        </w:rPr>
        <w:t>Chief</w:t>
      </w:r>
      <w:r>
        <w:rPr>
          <w:spacing w:val="-7"/>
          <w:sz w:val="22"/>
        </w:rPr>
        <w:t> </w:t>
      </w:r>
      <w:r>
        <w:rPr>
          <w:sz w:val="22"/>
        </w:rPr>
        <w:t>of</w:t>
      </w:r>
      <w:r>
        <w:rPr>
          <w:spacing w:val="-7"/>
          <w:sz w:val="22"/>
        </w:rPr>
        <w:t> </w:t>
      </w:r>
      <w:r>
        <w:rPr>
          <w:spacing w:val="-2"/>
          <w:sz w:val="22"/>
        </w:rPr>
        <w:t>Staff</w:t>
      </w:r>
    </w:p>
    <w:p>
      <w:pPr>
        <w:spacing w:before="0"/>
        <w:ind w:left="1439" w:right="855" w:hanging="1080"/>
        <w:jc w:val="both"/>
        <w:rPr>
          <w:sz w:val="22"/>
        </w:rPr>
      </w:pPr>
      <w:r>
        <w:rPr>
          <w:sz w:val="22"/>
        </w:rPr>
        <w:t>8-27-15</w:t>
      </w:r>
      <w:r>
        <w:rPr>
          <w:spacing w:val="40"/>
          <w:sz w:val="22"/>
        </w:rPr>
        <w:t>  </w:t>
      </w:r>
      <w:r>
        <w:rPr>
          <w:sz w:val="22"/>
        </w:rPr>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to</w:t>
      </w:r>
      <w:r>
        <w:rPr>
          <w:spacing w:val="-4"/>
          <w:sz w:val="22"/>
        </w:rPr>
        <w:t> </w:t>
      </w:r>
      <w:r>
        <w:rPr>
          <w:sz w:val="22"/>
        </w:rPr>
        <w:t>Vocational</w:t>
      </w:r>
      <w:r>
        <w:rPr>
          <w:spacing w:val="-3"/>
          <w:sz w:val="22"/>
        </w:rPr>
        <w:t> </w:t>
      </w:r>
      <w:r>
        <w:rPr>
          <w:sz w:val="22"/>
        </w:rPr>
        <w:t>Rehabilitation</w:t>
      </w:r>
      <w:r>
        <w:rPr>
          <w:spacing w:val="-4"/>
          <w:sz w:val="22"/>
        </w:rPr>
        <w:t> </w:t>
      </w:r>
      <w:r>
        <w:rPr>
          <w:sz w:val="22"/>
        </w:rPr>
        <w:t>for</w:t>
      </w:r>
      <w:r>
        <w:rPr>
          <w:spacing w:val="-3"/>
          <w:sz w:val="22"/>
        </w:rPr>
        <w:t> </w:t>
      </w:r>
      <w:r>
        <w:rPr>
          <w:sz w:val="22"/>
        </w:rPr>
        <w:t>the</w:t>
      </w:r>
      <w:r>
        <w:rPr>
          <w:spacing w:val="-3"/>
          <w:sz w:val="22"/>
        </w:rPr>
        <w:t> </w:t>
      </w:r>
      <w:r>
        <w:rPr>
          <w:sz w:val="22"/>
        </w:rPr>
        <w:t>Blind</w:t>
      </w:r>
      <w:r>
        <w:rPr>
          <w:spacing w:val="-3"/>
          <w:sz w:val="22"/>
        </w:rPr>
        <w:t> </w:t>
      </w:r>
      <w:r>
        <w:rPr>
          <w:sz w:val="22"/>
        </w:rPr>
        <w:t>&amp; Visually Impaired.</w:t>
      </w:r>
    </w:p>
    <w:p>
      <w:pPr>
        <w:spacing w:before="1"/>
        <w:ind w:left="1439" w:right="927" w:hanging="1080"/>
        <w:jc w:val="both"/>
        <w:rPr>
          <w:sz w:val="22"/>
        </w:rPr>
      </w:pPr>
      <w:r>
        <w:rPr>
          <w:sz w:val="22"/>
        </w:rPr>
        <w:t>9-11-17</w:t>
      </w:r>
      <w:r>
        <w:rPr>
          <w:spacing w:val="80"/>
          <w:sz w:val="22"/>
        </w:rPr>
        <w:t>  </w:t>
      </w:r>
      <w:r>
        <w:rPr>
          <w:sz w:val="22"/>
        </w:rPr>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Vocational</w:t>
      </w:r>
      <w:r>
        <w:rPr>
          <w:spacing w:val="-3"/>
          <w:sz w:val="22"/>
        </w:rPr>
        <w:t> </w:t>
      </w:r>
      <w:r>
        <w:rPr>
          <w:sz w:val="22"/>
        </w:rPr>
        <w:t>Rehabilitation</w:t>
      </w:r>
      <w:r>
        <w:rPr>
          <w:spacing w:val="-3"/>
          <w:sz w:val="22"/>
        </w:rPr>
        <w:t> </w:t>
      </w:r>
      <w:r>
        <w:rPr>
          <w:sz w:val="22"/>
        </w:rPr>
        <w:t>for</w:t>
      </w:r>
      <w:r>
        <w:rPr>
          <w:spacing w:val="-3"/>
          <w:sz w:val="22"/>
        </w:rPr>
        <w:t> </w:t>
      </w:r>
      <w:r>
        <w:rPr>
          <w:sz w:val="22"/>
        </w:rPr>
        <w:t>the</w:t>
      </w:r>
      <w:r>
        <w:rPr>
          <w:spacing w:val="-3"/>
          <w:sz w:val="22"/>
        </w:rPr>
        <w:t> </w:t>
      </w:r>
      <w:r>
        <w:rPr>
          <w:sz w:val="22"/>
        </w:rPr>
        <w:t>Blind</w:t>
      </w:r>
      <w:r>
        <w:rPr>
          <w:spacing w:val="-3"/>
          <w:sz w:val="22"/>
        </w:rPr>
        <w:t> </w:t>
      </w:r>
      <w:r>
        <w:rPr>
          <w:sz w:val="22"/>
        </w:rPr>
        <w:t>&amp;</w:t>
      </w:r>
      <w:r>
        <w:rPr>
          <w:spacing w:val="-3"/>
          <w:sz w:val="22"/>
        </w:rPr>
        <w:t> </w:t>
      </w:r>
      <w:r>
        <w:rPr>
          <w:sz w:val="22"/>
        </w:rPr>
        <w:t>Visually</w:t>
      </w:r>
      <w:r>
        <w:rPr>
          <w:spacing w:val="-3"/>
          <w:sz w:val="22"/>
        </w:rPr>
        <w:t> </w:t>
      </w:r>
      <w:r>
        <w:rPr>
          <w:sz w:val="22"/>
        </w:rPr>
        <w:t>Impaired to Visual Services.</w:t>
      </w:r>
    </w:p>
    <w:p>
      <w:pPr>
        <w:spacing w:before="0"/>
        <w:ind w:left="1439" w:right="866" w:hanging="1080"/>
        <w:jc w:val="both"/>
        <w:rPr>
          <w:sz w:val="22"/>
        </w:rPr>
      </w:pPr>
      <w:r>
        <w:rPr>
          <w:sz w:val="22"/>
        </w:rPr>
        <w:t>8-11-19</w:t>
      </w:r>
      <w:r>
        <w:rPr>
          <w:spacing w:val="40"/>
          <w:sz w:val="22"/>
        </w:rPr>
        <w:t>  </w:t>
      </w:r>
      <w:r>
        <w:rPr>
          <w:sz w:val="22"/>
        </w:rPr>
        <w:t>Added new section (2)(D) policy transmittals. Updated section (4) replacing MSD Administrator</w:t>
      </w:r>
      <w:r>
        <w:rPr>
          <w:spacing w:val="-7"/>
          <w:sz w:val="22"/>
        </w:rPr>
        <w:t> </w:t>
      </w:r>
      <w:r>
        <w:rPr>
          <w:sz w:val="22"/>
        </w:rPr>
        <w:t>with</w:t>
      </w:r>
      <w:r>
        <w:rPr>
          <w:spacing w:val="-7"/>
          <w:sz w:val="22"/>
        </w:rPr>
        <w:t> </w:t>
      </w:r>
      <w:r>
        <w:rPr>
          <w:sz w:val="22"/>
        </w:rPr>
        <w:t>Chief</w:t>
      </w:r>
      <w:r>
        <w:rPr>
          <w:spacing w:val="-7"/>
          <w:sz w:val="22"/>
        </w:rPr>
        <w:t> </w:t>
      </w:r>
      <w:r>
        <w:rPr>
          <w:sz w:val="22"/>
        </w:rPr>
        <w:t>Operations</w:t>
      </w:r>
      <w:r>
        <w:rPr>
          <w:spacing w:val="-7"/>
          <w:sz w:val="22"/>
        </w:rPr>
        <w:t> </w:t>
      </w:r>
      <w:r>
        <w:rPr>
          <w:sz w:val="22"/>
        </w:rPr>
        <w:t>Officer,</w:t>
      </w:r>
      <w:r>
        <w:rPr>
          <w:spacing w:val="-7"/>
          <w:sz w:val="22"/>
        </w:rPr>
        <w:t> </w:t>
      </w:r>
      <w:r>
        <w:rPr>
          <w:sz w:val="22"/>
        </w:rPr>
        <w:t>(4)</w:t>
      </w:r>
      <w:r>
        <w:rPr>
          <w:spacing w:val="-7"/>
          <w:sz w:val="22"/>
        </w:rPr>
        <w:t> </w:t>
      </w:r>
      <w:r>
        <w:rPr>
          <w:sz w:val="22"/>
        </w:rPr>
        <w:t>(c)</w:t>
      </w:r>
      <w:r>
        <w:rPr>
          <w:spacing w:val="-7"/>
          <w:sz w:val="22"/>
        </w:rPr>
        <w:t> </w:t>
      </w:r>
      <w:r>
        <w:rPr>
          <w:sz w:val="22"/>
        </w:rPr>
        <w:t>removed</w:t>
      </w:r>
      <w:r>
        <w:rPr>
          <w:spacing w:val="-7"/>
          <w:sz w:val="22"/>
        </w:rPr>
        <w:t> </w:t>
      </w:r>
      <w:r>
        <w:rPr>
          <w:sz w:val="22"/>
        </w:rPr>
        <w:t>MSD</w:t>
      </w:r>
      <w:r>
        <w:rPr>
          <w:spacing w:val="-6"/>
          <w:sz w:val="22"/>
        </w:rPr>
        <w:t> </w:t>
      </w:r>
      <w:r>
        <w:rPr>
          <w:sz w:val="22"/>
        </w:rPr>
        <w:t>Unit</w:t>
      </w:r>
      <w:r>
        <w:rPr>
          <w:spacing w:val="-7"/>
          <w:sz w:val="22"/>
        </w:rPr>
        <w:t> </w:t>
      </w:r>
      <w:r>
        <w:rPr>
          <w:sz w:val="22"/>
        </w:rPr>
        <w:t>and</w:t>
      </w:r>
      <w:r>
        <w:rPr>
          <w:spacing w:val="-7"/>
          <w:sz w:val="22"/>
        </w:rPr>
        <w:t> </w:t>
      </w:r>
      <w:r>
        <w:rPr>
          <w:spacing w:val="-2"/>
          <w:sz w:val="22"/>
        </w:rPr>
        <w:t>replaced</w:t>
      </w:r>
    </w:p>
    <w:p>
      <w:pPr>
        <w:spacing w:before="0"/>
        <w:ind w:left="1439" w:right="780" w:firstLine="0"/>
        <w:jc w:val="both"/>
        <w:rPr>
          <w:sz w:val="22"/>
        </w:rPr>
      </w:pPr>
      <w:r>
        <w:rPr>
          <w:sz w:val="22"/>
        </w:rPr>
        <w:t>$10,000</w:t>
      </w:r>
      <w:r>
        <w:rPr>
          <w:spacing w:val="-3"/>
          <w:sz w:val="22"/>
        </w:rPr>
        <w:t> </w:t>
      </w:r>
      <w:r>
        <w:rPr>
          <w:sz w:val="22"/>
        </w:rPr>
        <w:t>with</w:t>
      </w:r>
      <w:r>
        <w:rPr>
          <w:spacing w:val="-3"/>
          <w:sz w:val="22"/>
        </w:rPr>
        <w:t> </w:t>
      </w:r>
      <w:r>
        <w:rPr>
          <w:sz w:val="22"/>
        </w:rPr>
        <w:t>$100,000,</w:t>
      </w:r>
      <w:r>
        <w:rPr>
          <w:spacing w:val="-4"/>
          <w:sz w:val="22"/>
        </w:rPr>
        <w:t> </w:t>
      </w:r>
      <w:r>
        <w:rPr>
          <w:sz w:val="22"/>
        </w:rPr>
        <w:t>(4)</w:t>
      </w:r>
      <w:r>
        <w:rPr>
          <w:spacing w:val="-3"/>
          <w:sz w:val="22"/>
        </w:rPr>
        <w:t> </w:t>
      </w:r>
      <w:r>
        <w:rPr>
          <w:sz w:val="22"/>
        </w:rPr>
        <w:t>(E)</w:t>
      </w:r>
      <w:r>
        <w:rPr>
          <w:spacing w:val="-3"/>
          <w:sz w:val="22"/>
        </w:rPr>
        <w:t> </w:t>
      </w:r>
      <w:r>
        <w:rPr>
          <w:sz w:val="22"/>
        </w:rPr>
        <w:t>removed,</w:t>
      </w:r>
      <w:r>
        <w:rPr>
          <w:spacing w:val="-3"/>
          <w:sz w:val="22"/>
        </w:rPr>
        <w:t> </w:t>
      </w:r>
      <w:r>
        <w:rPr>
          <w:sz w:val="22"/>
        </w:rPr>
        <w:t>(5)</w:t>
      </w:r>
      <w:r>
        <w:rPr>
          <w:spacing w:val="-3"/>
          <w:sz w:val="22"/>
        </w:rPr>
        <w:t> </w:t>
      </w:r>
      <w:r>
        <w:rPr>
          <w:sz w:val="22"/>
        </w:rPr>
        <w:t>added</w:t>
      </w:r>
      <w:r>
        <w:rPr>
          <w:spacing w:val="-3"/>
          <w:sz w:val="22"/>
        </w:rPr>
        <w:t> </w:t>
      </w:r>
      <w:r>
        <w:rPr>
          <w:sz w:val="22"/>
        </w:rPr>
        <w:t>language</w:t>
      </w:r>
      <w:r>
        <w:rPr>
          <w:spacing w:val="-4"/>
          <w:sz w:val="22"/>
        </w:rPr>
        <w:t> </w:t>
      </w:r>
      <w:r>
        <w:rPr>
          <w:sz w:val="22"/>
        </w:rPr>
        <w:t>for</w:t>
      </w:r>
      <w:r>
        <w:rPr>
          <w:spacing w:val="-3"/>
          <w:sz w:val="22"/>
        </w:rPr>
        <w:t> </w:t>
      </w:r>
      <w:r>
        <w:rPr>
          <w:sz w:val="22"/>
        </w:rPr>
        <w:t>PM’s</w:t>
      </w:r>
      <w:r>
        <w:rPr>
          <w:spacing w:val="-3"/>
          <w:sz w:val="22"/>
        </w:rPr>
        <w:t> </w:t>
      </w:r>
      <w:r>
        <w:rPr>
          <w:sz w:val="22"/>
        </w:rPr>
        <w:t>final</w:t>
      </w:r>
      <w:r>
        <w:rPr>
          <w:spacing w:val="-3"/>
          <w:sz w:val="22"/>
        </w:rPr>
        <w:t> </w:t>
      </w:r>
      <w:r>
        <w:rPr>
          <w:sz w:val="22"/>
        </w:rPr>
        <w:t>signature authority (A) and (B), (6) section removed.</w:t>
      </w:r>
    </w:p>
    <w:p>
      <w:pPr>
        <w:spacing w:before="0"/>
        <w:ind w:left="1439" w:right="868" w:hanging="1080"/>
        <w:jc w:val="both"/>
        <w:rPr>
          <w:sz w:val="22"/>
        </w:rPr>
      </w:pPr>
      <w:r>
        <w:rPr>
          <w:sz w:val="22"/>
        </w:rPr>
        <w:t>9-11-20</w:t>
      </w:r>
      <w:r>
        <w:rPr>
          <w:spacing w:val="40"/>
          <w:sz w:val="22"/>
        </w:rPr>
        <w:t>  </w:t>
      </w:r>
      <w:r>
        <w:rPr>
          <w:sz w:val="22"/>
        </w:rPr>
        <w:t>Division</w:t>
      </w:r>
      <w:r>
        <w:rPr>
          <w:spacing w:val="-1"/>
          <w:sz w:val="22"/>
        </w:rPr>
        <w:t> </w:t>
      </w:r>
      <w:r>
        <w:rPr>
          <w:sz w:val="22"/>
        </w:rPr>
        <w:t>name</w:t>
      </w:r>
      <w:r>
        <w:rPr>
          <w:spacing w:val="-1"/>
          <w:sz w:val="22"/>
        </w:rPr>
        <w:t> </w:t>
      </w:r>
      <w:r>
        <w:rPr>
          <w:sz w:val="22"/>
        </w:rPr>
        <w:t>change</w:t>
      </w:r>
      <w:r>
        <w:rPr>
          <w:spacing w:val="-1"/>
          <w:sz w:val="22"/>
        </w:rPr>
        <w:t> </w:t>
      </w:r>
      <w:r>
        <w:rPr>
          <w:sz w:val="22"/>
        </w:rPr>
        <w:t>of</w:t>
      </w:r>
      <w:r>
        <w:rPr>
          <w:spacing w:val="-1"/>
          <w:sz w:val="22"/>
        </w:rPr>
        <w:t> </w:t>
      </w:r>
      <w:r>
        <w:rPr>
          <w:sz w:val="22"/>
        </w:rPr>
        <w:t>Visual</w:t>
      </w:r>
      <w:r>
        <w:rPr>
          <w:spacing w:val="-1"/>
          <w:sz w:val="22"/>
        </w:rPr>
        <w:t> </w:t>
      </w:r>
      <w:r>
        <w:rPr>
          <w:sz w:val="22"/>
        </w:rPr>
        <w:t>Services</w:t>
      </w:r>
      <w:r>
        <w:rPr>
          <w:spacing w:val="-1"/>
          <w:sz w:val="22"/>
        </w:rPr>
        <w:t> </w:t>
      </w:r>
      <w:r>
        <w:rPr>
          <w:sz w:val="22"/>
        </w:rPr>
        <w:t>(VS)</w:t>
      </w:r>
      <w:r>
        <w:rPr>
          <w:spacing w:val="-1"/>
          <w:sz w:val="22"/>
        </w:rPr>
        <w:t> </w:t>
      </w:r>
      <w:r>
        <w:rPr>
          <w:sz w:val="22"/>
        </w:rPr>
        <w:t>to</w:t>
      </w:r>
      <w:r>
        <w:rPr>
          <w:spacing w:val="-1"/>
          <w:sz w:val="22"/>
        </w:rPr>
        <w:t> </w:t>
      </w:r>
      <w:r>
        <w:rPr>
          <w:sz w:val="22"/>
        </w:rPr>
        <w:t>Services</w:t>
      </w:r>
      <w:r>
        <w:rPr>
          <w:spacing w:val="-1"/>
          <w:sz w:val="22"/>
        </w:rPr>
        <w:t> </w:t>
      </w:r>
      <w:r>
        <w:rPr>
          <w:sz w:val="22"/>
        </w:rPr>
        <w:t>for</w:t>
      </w:r>
      <w:r>
        <w:rPr>
          <w:spacing w:val="-1"/>
          <w:sz w:val="22"/>
        </w:rPr>
        <w:t> </w:t>
      </w:r>
      <w:r>
        <w:rPr>
          <w:sz w:val="22"/>
        </w:rPr>
        <w:t>the</w:t>
      </w:r>
      <w:r>
        <w:rPr>
          <w:spacing w:val="-1"/>
          <w:sz w:val="22"/>
        </w:rPr>
        <w:t> </w:t>
      </w:r>
      <w:r>
        <w:rPr>
          <w:sz w:val="22"/>
        </w:rPr>
        <w:t>Blind</w:t>
      </w:r>
      <w:r>
        <w:rPr>
          <w:spacing w:val="-2"/>
          <w:sz w:val="22"/>
        </w:rPr>
        <w:t> </w:t>
      </w:r>
      <w:r>
        <w:rPr>
          <w:sz w:val="22"/>
        </w:rPr>
        <w:t>and</w:t>
      </w:r>
      <w:r>
        <w:rPr>
          <w:spacing w:val="-1"/>
          <w:sz w:val="22"/>
        </w:rPr>
        <w:t> </w:t>
      </w:r>
      <w:r>
        <w:rPr>
          <w:sz w:val="22"/>
        </w:rPr>
        <w:t>Visually Impaired</w:t>
      </w:r>
      <w:r>
        <w:rPr>
          <w:spacing w:val="-5"/>
          <w:sz w:val="22"/>
        </w:rPr>
        <w:t> </w:t>
      </w:r>
      <w:r>
        <w:rPr>
          <w:sz w:val="22"/>
        </w:rPr>
        <w:t>(SBVI).</w:t>
      </w:r>
      <w:r>
        <w:rPr>
          <w:spacing w:val="-5"/>
          <w:sz w:val="22"/>
        </w:rPr>
        <w:t> </w:t>
      </w:r>
      <w:r>
        <w:rPr>
          <w:sz w:val="22"/>
        </w:rPr>
        <w:t>Disability</w:t>
      </w:r>
      <w:r>
        <w:rPr>
          <w:spacing w:val="-5"/>
          <w:sz w:val="22"/>
        </w:rPr>
        <w:t> </w:t>
      </w:r>
      <w:r>
        <w:rPr>
          <w:sz w:val="22"/>
        </w:rPr>
        <w:t>Determination</w:t>
      </w:r>
      <w:r>
        <w:rPr>
          <w:spacing w:val="-5"/>
          <w:sz w:val="22"/>
        </w:rPr>
        <w:t> </w:t>
      </w:r>
      <w:r>
        <w:rPr>
          <w:sz w:val="22"/>
        </w:rPr>
        <w:t>Division</w:t>
      </w:r>
      <w:r>
        <w:rPr>
          <w:spacing w:val="-5"/>
          <w:sz w:val="22"/>
        </w:rPr>
        <w:t> </w:t>
      </w:r>
      <w:r>
        <w:rPr>
          <w:sz w:val="22"/>
        </w:rPr>
        <w:t>(DDD)</w:t>
      </w:r>
      <w:r>
        <w:rPr>
          <w:spacing w:val="-5"/>
          <w:sz w:val="22"/>
        </w:rPr>
        <w:t> </w:t>
      </w:r>
      <w:r>
        <w:rPr>
          <w:sz w:val="22"/>
        </w:rPr>
        <w:t>to</w:t>
      </w:r>
      <w:r>
        <w:rPr>
          <w:spacing w:val="-4"/>
          <w:sz w:val="22"/>
        </w:rPr>
        <w:t> </w:t>
      </w:r>
      <w:r>
        <w:rPr>
          <w:sz w:val="22"/>
        </w:rPr>
        <w:t>Disability</w:t>
      </w:r>
      <w:r>
        <w:rPr>
          <w:spacing w:val="-5"/>
          <w:sz w:val="22"/>
        </w:rPr>
        <w:t> </w:t>
      </w:r>
      <w:r>
        <w:rPr>
          <w:sz w:val="22"/>
        </w:rPr>
        <w:t>Determination Services (DDS).</w:t>
      </w:r>
    </w:p>
    <w:p>
      <w:pPr>
        <w:tabs>
          <w:tab w:pos="1439" w:val="left" w:leader="none"/>
        </w:tabs>
        <w:spacing w:before="0"/>
        <w:ind w:left="1439" w:right="822" w:hanging="1080"/>
        <w:jc w:val="left"/>
        <w:rPr>
          <w:sz w:val="22"/>
        </w:rPr>
      </w:pPr>
      <w:r>
        <w:rPr>
          <w:spacing w:val="-2"/>
          <w:sz w:val="22"/>
        </w:rPr>
        <w:t>8-11-24</w:t>
      </w:r>
      <w:r>
        <w:rPr>
          <w:sz w:val="22"/>
        </w:rPr>
        <w:tab/>
        <w:t>Revised</w:t>
      </w:r>
      <w:r>
        <w:rPr>
          <w:spacing w:val="-4"/>
          <w:sz w:val="22"/>
        </w:rPr>
        <w:t> </w:t>
      </w:r>
      <w:r>
        <w:rPr>
          <w:sz w:val="22"/>
        </w:rPr>
        <w:t>(1)</w:t>
      </w:r>
      <w:r>
        <w:rPr>
          <w:spacing w:val="-6"/>
          <w:sz w:val="22"/>
        </w:rPr>
        <w:t> </w:t>
      </w:r>
      <w:r>
        <w:rPr>
          <w:sz w:val="22"/>
        </w:rPr>
        <w:t>Director’s</w:t>
      </w:r>
      <w:r>
        <w:rPr>
          <w:spacing w:val="-4"/>
          <w:sz w:val="22"/>
        </w:rPr>
        <w:t> </w:t>
      </w:r>
      <w:r>
        <w:rPr>
          <w:sz w:val="22"/>
        </w:rPr>
        <w:t>signature,</w:t>
      </w:r>
      <w:r>
        <w:rPr>
          <w:spacing w:val="-4"/>
          <w:sz w:val="22"/>
        </w:rPr>
        <w:t> </w:t>
      </w:r>
      <w:r>
        <w:rPr>
          <w:sz w:val="22"/>
        </w:rPr>
        <w:t>adding</w:t>
      </w:r>
      <w:r>
        <w:rPr>
          <w:spacing w:val="-4"/>
          <w:sz w:val="22"/>
        </w:rPr>
        <w:t> </w:t>
      </w:r>
      <w:r>
        <w:rPr>
          <w:sz w:val="22"/>
        </w:rPr>
        <w:t>sole</w:t>
      </w:r>
      <w:r>
        <w:rPr>
          <w:spacing w:val="-5"/>
          <w:sz w:val="22"/>
        </w:rPr>
        <w:t> </w:t>
      </w:r>
      <w:r>
        <w:rPr>
          <w:sz w:val="22"/>
        </w:rPr>
        <w:t>source</w:t>
      </w:r>
      <w:r>
        <w:rPr>
          <w:spacing w:val="-4"/>
          <w:sz w:val="22"/>
        </w:rPr>
        <w:t> </w:t>
      </w:r>
      <w:r>
        <w:rPr>
          <w:sz w:val="22"/>
        </w:rPr>
        <w:t>contracts</w:t>
      </w:r>
      <w:r>
        <w:rPr>
          <w:spacing w:val="-4"/>
          <w:sz w:val="22"/>
        </w:rPr>
        <w:t> </w:t>
      </w:r>
      <w:r>
        <w:rPr>
          <w:sz w:val="22"/>
        </w:rPr>
        <w:t>can</w:t>
      </w:r>
      <w:r>
        <w:rPr>
          <w:spacing w:val="-4"/>
          <w:sz w:val="22"/>
        </w:rPr>
        <w:t> </w:t>
      </w:r>
      <w:r>
        <w:rPr>
          <w:sz w:val="22"/>
        </w:rPr>
        <w:t>be</w:t>
      </w:r>
      <w:r>
        <w:rPr>
          <w:spacing w:val="-4"/>
          <w:sz w:val="22"/>
        </w:rPr>
        <w:t> </w:t>
      </w:r>
      <w:r>
        <w:rPr>
          <w:sz w:val="22"/>
        </w:rPr>
        <w:t>delegated</w:t>
      </w:r>
      <w:r>
        <w:rPr>
          <w:spacing w:val="-4"/>
          <w:sz w:val="22"/>
        </w:rPr>
        <w:t> </w:t>
      </w:r>
      <w:r>
        <w:rPr>
          <w:sz w:val="22"/>
        </w:rPr>
        <w:t>and approved by the COS, COO or CFO. Updated the contract dollar amounts for DA’s, CDS Administrator, FC’s, Superintendents. Contract amount revised and job title changed from “Program Managers” to “Deputy Administrators” under the Disability Determination Services (DDS) section (9).</w:t>
      </w:r>
    </w:p>
    <w:p>
      <w:pPr>
        <w:spacing w:after="0"/>
        <w:jc w:val="left"/>
        <w:rPr>
          <w:sz w:val="22"/>
        </w:rPr>
        <w:sectPr>
          <w:pgSz w:w="12240" w:h="15840"/>
          <w:pgMar w:top="1360" w:bottom="280" w:left="1080" w:right="720"/>
        </w:sectPr>
      </w:pPr>
    </w:p>
    <w:p>
      <w:pPr>
        <w:pStyle w:val="Heading1"/>
        <w:ind w:left="1138" w:right="0"/>
        <w:jc w:val="left"/>
      </w:pPr>
      <w:bookmarkStart w:name="SUBCHAPTER 5.  PROGRAM DIVISIONS WITHIN " w:id="15"/>
      <w:bookmarkEnd w:id="15"/>
      <w:r>
        <w:rPr>
          <w:b w:val="0"/>
        </w:rPr>
      </w:r>
      <w:r>
        <w:rPr/>
        <w:t>SUBCHAPTER</w:t>
      </w:r>
      <w:r>
        <w:rPr>
          <w:spacing w:val="-3"/>
        </w:rPr>
        <w:t> </w:t>
      </w:r>
      <w:r>
        <w:rPr/>
        <w:t>5.</w:t>
      </w:r>
      <w:r>
        <w:rPr>
          <w:spacing w:val="62"/>
        </w:rPr>
        <w:t> </w:t>
      </w:r>
      <w:r>
        <w:rPr/>
        <w:t>PROGRAM</w:t>
      </w:r>
      <w:r>
        <w:rPr>
          <w:spacing w:val="-3"/>
        </w:rPr>
        <w:t> </w:t>
      </w:r>
      <w:r>
        <w:rPr/>
        <w:t>DIVISIONS</w:t>
      </w:r>
      <w:r>
        <w:rPr>
          <w:spacing w:val="-2"/>
        </w:rPr>
        <w:t> </w:t>
      </w:r>
      <w:r>
        <w:rPr/>
        <w:t>WITHIN</w:t>
      </w:r>
      <w:r>
        <w:rPr>
          <w:spacing w:val="-3"/>
        </w:rPr>
        <w:t> </w:t>
      </w:r>
      <w:r>
        <w:rPr/>
        <w:t>THE</w:t>
      </w:r>
      <w:r>
        <w:rPr>
          <w:spacing w:val="-2"/>
        </w:rPr>
        <w:t> DEPARTMENT</w:t>
      </w:r>
    </w:p>
    <w:p>
      <w:pPr>
        <w:pStyle w:val="BodyText"/>
        <w:spacing w:before="204"/>
      </w:pPr>
      <w:r>
        <w:rPr>
          <w:spacing w:val="-2"/>
        </w:rPr>
        <w:t>Section</w:t>
      </w:r>
    </w:p>
    <w:p>
      <w:pPr>
        <w:pStyle w:val="BodyText"/>
        <w:tabs>
          <w:tab w:pos="1799" w:val="left" w:leader="none"/>
        </w:tabs>
        <w:spacing w:before="204"/>
      </w:pPr>
      <w:r>
        <w:rPr>
          <w:spacing w:val="-2"/>
        </w:rPr>
        <w:t>612:1-5-</w:t>
      </w:r>
      <w:r>
        <w:rPr>
          <w:spacing w:val="-5"/>
        </w:rPr>
        <w:t>1.</w:t>
      </w:r>
      <w:r>
        <w:rPr/>
        <w:tab/>
        <w:t>Overview</w:t>
      </w:r>
      <w:r>
        <w:rPr>
          <w:spacing w:val="-2"/>
        </w:rPr>
        <w:t> </w:t>
      </w:r>
      <w:r>
        <w:rPr/>
        <w:t>of</w:t>
      </w:r>
      <w:r>
        <w:rPr>
          <w:spacing w:val="-1"/>
        </w:rPr>
        <w:t> </w:t>
      </w:r>
      <w:r>
        <w:rPr/>
        <w:t>the</w:t>
      </w:r>
      <w:r>
        <w:rPr>
          <w:spacing w:val="-1"/>
        </w:rPr>
        <w:t> </w:t>
      </w:r>
      <w:r>
        <w:rPr>
          <w:spacing w:val="-2"/>
        </w:rPr>
        <w:t>department</w:t>
      </w:r>
    </w:p>
    <w:p>
      <w:pPr>
        <w:pStyle w:val="BodyText"/>
        <w:tabs>
          <w:tab w:pos="1799" w:val="left" w:leader="none"/>
        </w:tabs>
        <w:spacing w:before="204"/>
      </w:pPr>
      <w:r>
        <w:rPr>
          <w:spacing w:val="-2"/>
        </w:rPr>
        <w:t>612:1-5-</w:t>
      </w:r>
      <w:r>
        <w:rPr>
          <w:spacing w:val="-5"/>
        </w:rPr>
        <w:t>2.</w:t>
      </w:r>
      <w:r>
        <w:rPr/>
        <w:tab/>
        <w:t>Division</w:t>
      </w:r>
      <w:r>
        <w:rPr>
          <w:spacing w:val="-7"/>
        </w:rPr>
        <w:t> </w:t>
      </w:r>
      <w:r>
        <w:rPr/>
        <w:t>of</w:t>
      </w:r>
      <w:r>
        <w:rPr>
          <w:spacing w:val="-4"/>
        </w:rPr>
        <w:t> </w:t>
      </w:r>
      <w:r>
        <w:rPr/>
        <w:t>Vocational</w:t>
      </w:r>
      <w:r>
        <w:rPr>
          <w:spacing w:val="-5"/>
        </w:rPr>
        <w:t> </w:t>
      </w:r>
      <w:r>
        <w:rPr/>
        <w:t>Rehabilitation</w:t>
      </w:r>
      <w:r>
        <w:rPr>
          <w:spacing w:val="-4"/>
        </w:rPr>
        <w:t> </w:t>
      </w:r>
      <w:r>
        <w:rPr>
          <w:spacing w:val="-2"/>
        </w:rPr>
        <w:t>(DVR)</w:t>
      </w:r>
    </w:p>
    <w:p>
      <w:pPr>
        <w:pStyle w:val="BodyText"/>
        <w:tabs>
          <w:tab w:pos="1799" w:val="left" w:leader="none"/>
        </w:tabs>
        <w:spacing w:line="417" w:lineRule="auto" w:before="204"/>
        <w:ind w:right="1890"/>
      </w:pPr>
      <w:r>
        <w:rPr>
          <w:spacing w:val="-2"/>
        </w:rPr>
        <w:t>612:1-5-3.</w:t>
      </w:r>
      <w:r>
        <w:rPr/>
        <w:tab/>
        <w:t>Division</w:t>
      </w:r>
      <w:r>
        <w:rPr>
          <w:spacing w:val="-5"/>
        </w:rPr>
        <w:t> </w:t>
      </w:r>
      <w:r>
        <w:rPr/>
        <w:t>of</w:t>
      </w:r>
      <w:r>
        <w:rPr>
          <w:spacing w:val="-4"/>
        </w:rPr>
        <w:t> </w:t>
      </w:r>
      <w:r>
        <w:rPr/>
        <w:t>Services</w:t>
      </w:r>
      <w:r>
        <w:rPr>
          <w:spacing w:val="-5"/>
        </w:rPr>
        <w:t> </w:t>
      </w:r>
      <w:r>
        <w:rPr/>
        <w:t>for</w:t>
      </w:r>
      <w:r>
        <w:rPr>
          <w:spacing w:val="-4"/>
        </w:rPr>
        <w:t> </w:t>
      </w:r>
      <w:r>
        <w:rPr/>
        <w:t>the</w:t>
      </w:r>
      <w:r>
        <w:rPr>
          <w:spacing w:val="-5"/>
        </w:rPr>
        <w:t> </w:t>
      </w:r>
      <w:r>
        <w:rPr/>
        <w:t>Blind</w:t>
      </w:r>
      <w:r>
        <w:rPr>
          <w:spacing w:val="-5"/>
        </w:rPr>
        <w:t> </w:t>
      </w:r>
      <w:r>
        <w:rPr/>
        <w:t>and</w:t>
      </w:r>
      <w:r>
        <w:rPr>
          <w:spacing w:val="-5"/>
        </w:rPr>
        <w:t> </w:t>
      </w:r>
      <w:r>
        <w:rPr/>
        <w:t>Visually</w:t>
      </w:r>
      <w:r>
        <w:rPr>
          <w:spacing w:val="-5"/>
        </w:rPr>
        <w:t> </w:t>
      </w:r>
      <w:r>
        <w:rPr/>
        <w:t>Impaired</w:t>
      </w:r>
      <w:r>
        <w:rPr>
          <w:spacing w:val="-6"/>
        </w:rPr>
        <w:t> </w:t>
      </w:r>
      <w:r>
        <w:rPr/>
        <w:t>(DSBVI) </w:t>
      </w:r>
      <w:r>
        <w:rPr>
          <w:spacing w:val="-2"/>
        </w:rPr>
        <w:t>612:1-5-4.</w:t>
      </w:r>
      <w:r>
        <w:rPr/>
        <w:tab/>
        <w:t>Disability Determination Services (DDS)</w:t>
      </w:r>
    </w:p>
    <w:p>
      <w:pPr>
        <w:pStyle w:val="BodyText"/>
        <w:tabs>
          <w:tab w:pos="1799" w:val="left" w:leader="none"/>
        </w:tabs>
        <w:spacing w:line="417" w:lineRule="auto" w:before="0"/>
        <w:ind w:left="359" w:right="4583"/>
      </w:pPr>
      <w:r>
        <w:rPr/>
        <w:t>612:1-5-4.1.</w:t>
      </w:r>
      <w:r>
        <w:rPr>
          <w:spacing w:val="40"/>
        </w:rPr>
        <w:t> </w:t>
      </w:r>
      <w:r>
        <w:rPr/>
        <w:t>Management</w:t>
      </w:r>
      <w:r>
        <w:rPr>
          <w:spacing w:val="-7"/>
        </w:rPr>
        <w:t> </w:t>
      </w:r>
      <w:r>
        <w:rPr/>
        <w:t>Services</w:t>
      </w:r>
      <w:r>
        <w:rPr>
          <w:spacing w:val="-8"/>
        </w:rPr>
        <w:t> </w:t>
      </w:r>
      <w:r>
        <w:rPr/>
        <w:t>Division</w:t>
      </w:r>
      <w:r>
        <w:rPr>
          <w:spacing w:val="-8"/>
        </w:rPr>
        <w:t> </w:t>
      </w:r>
      <w:r>
        <w:rPr/>
        <w:t>(MSD) 612:1-5-4.2.</w:t>
      </w:r>
      <w:r>
        <w:rPr>
          <w:spacing w:val="40"/>
        </w:rPr>
        <w:t> </w:t>
      </w:r>
      <w:r>
        <w:rPr/>
        <w:t>Financial Services Division (FSD) </w:t>
      </w:r>
      <w:r>
        <w:rPr>
          <w:spacing w:val="-2"/>
        </w:rPr>
        <w:t>612:1-5-5.</w:t>
      </w:r>
      <w:r>
        <w:rPr/>
        <w:tab/>
        <w:t>Oklahoma School for the Blind (OSB) </w:t>
      </w:r>
      <w:r>
        <w:rPr>
          <w:spacing w:val="-2"/>
        </w:rPr>
        <w:t>612:1-5-6.</w:t>
      </w:r>
      <w:r>
        <w:rPr/>
        <w:tab/>
        <w:t>Oklahoma School for the Deaf (OSD)</w:t>
      </w:r>
    </w:p>
    <w:p>
      <w:pPr>
        <w:spacing w:before="32"/>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775" w:firstLine="0"/>
        <w:jc w:val="left"/>
        <w:rPr>
          <w:sz w:val="22"/>
        </w:rPr>
      </w:pPr>
      <w:r>
        <w:rPr>
          <w:sz w:val="22"/>
        </w:rPr>
        <w:t>Permanent,</w:t>
      </w:r>
      <w:r>
        <w:rPr>
          <w:spacing w:val="-3"/>
          <w:sz w:val="22"/>
        </w:rPr>
        <w:t> </w:t>
      </w:r>
      <w:r>
        <w:rPr>
          <w:sz w:val="22"/>
        </w:rPr>
        <w:t>first</w:t>
      </w:r>
      <w:r>
        <w:rPr>
          <w:spacing w:val="-4"/>
          <w:sz w:val="22"/>
        </w:rPr>
        <w:t> </w:t>
      </w:r>
      <w:r>
        <w:rPr>
          <w:sz w:val="22"/>
        </w:rPr>
        <w:t>adoption</w:t>
      </w:r>
      <w:r>
        <w:rPr>
          <w:spacing w:val="-4"/>
          <w:sz w:val="22"/>
        </w:rPr>
        <w:t> </w:t>
      </w:r>
      <w:r>
        <w:rPr>
          <w:sz w:val="22"/>
        </w:rPr>
        <w:t>under</w:t>
      </w:r>
      <w:r>
        <w:rPr>
          <w:spacing w:val="-4"/>
          <w:sz w:val="22"/>
        </w:rPr>
        <w:t> </w:t>
      </w:r>
      <w:r>
        <w:rPr>
          <w:sz w:val="22"/>
        </w:rPr>
        <w:t>OAC</w:t>
      </w:r>
      <w:r>
        <w:rPr>
          <w:spacing w:val="-5"/>
          <w:sz w:val="22"/>
        </w:rPr>
        <w:t> </w:t>
      </w:r>
      <w:r>
        <w:rPr>
          <w:sz w:val="22"/>
        </w:rPr>
        <w:t>Title</w:t>
      </w:r>
      <w:r>
        <w:rPr>
          <w:spacing w:val="-4"/>
          <w:sz w:val="22"/>
        </w:rPr>
        <w:t> </w:t>
      </w:r>
      <w:r>
        <w:rPr>
          <w:sz w:val="22"/>
        </w:rPr>
        <w:t>612,</w:t>
      </w:r>
      <w:r>
        <w:rPr>
          <w:spacing w:val="-5"/>
          <w:sz w:val="22"/>
        </w:rPr>
        <w:t> </w:t>
      </w:r>
      <w:r>
        <w:rPr>
          <w:sz w:val="22"/>
        </w:rPr>
        <w:t>edited</w:t>
      </w:r>
      <w:r>
        <w:rPr>
          <w:spacing w:val="-4"/>
          <w:sz w:val="22"/>
        </w:rPr>
        <w:t> </w:t>
      </w:r>
      <w:r>
        <w:rPr>
          <w:sz w:val="22"/>
        </w:rPr>
        <w:t>to</w:t>
      </w:r>
      <w:r>
        <w:rPr>
          <w:spacing w:val="-4"/>
          <w:sz w:val="22"/>
        </w:rPr>
        <w:t> </w:t>
      </w:r>
      <w:r>
        <w:rPr>
          <w:sz w:val="22"/>
        </w:rPr>
        <w:t>reorder</w:t>
      </w:r>
      <w:r>
        <w:rPr>
          <w:spacing w:val="-4"/>
          <w:sz w:val="22"/>
        </w:rPr>
        <w:t> </w:t>
      </w:r>
      <w:r>
        <w:rPr>
          <w:sz w:val="22"/>
        </w:rPr>
        <w:t>after</w:t>
      </w:r>
      <w:r>
        <w:rPr>
          <w:spacing w:val="-4"/>
          <w:sz w:val="22"/>
        </w:rPr>
        <w:t> </w:t>
      </w:r>
      <w:r>
        <w:rPr>
          <w:sz w:val="22"/>
        </w:rPr>
        <w:t>inserting Administrative Services Division.</w:t>
      </w:r>
    </w:p>
    <w:p>
      <w:pPr>
        <w:tabs>
          <w:tab w:pos="1439" w:val="left" w:leader="none"/>
        </w:tabs>
        <w:spacing w:before="0"/>
        <w:ind w:left="359" w:right="0" w:firstLine="0"/>
        <w:jc w:val="left"/>
        <w:rPr>
          <w:sz w:val="22"/>
        </w:rPr>
      </w:pPr>
      <w:r>
        <w:rPr>
          <w:spacing w:val="-2"/>
          <w:sz w:val="22"/>
        </w:rPr>
        <w:t>7-1-</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spacing w:line="253" w:lineRule="exact" w:before="1"/>
        <w:ind w:left="1439" w:right="0" w:firstLine="0"/>
        <w:jc w:val="left"/>
        <w:rPr>
          <w:sz w:val="22"/>
        </w:rPr>
      </w:pPr>
      <w:r>
        <w:rPr>
          <w:sz w:val="22"/>
        </w:rPr>
        <w:t>Permanent,</w:t>
      </w:r>
      <w:r>
        <w:rPr>
          <w:spacing w:val="-8"/>
          <w:sz w:val="22"/>
        </w:rPr>
        <w:t> </w:t>
      </w:r>
      <w:r>
        <w:rPr>
          <w:sz w:val="22"/>
        </w:rPr>
        <w:t>some</w:t>
      </w:r>
      <w:r>
        <w:rPr>
          <w:spacing w:val="-9"/>
          <w:sz w:val="22"/>
        </w:rPr>
        <w:t> </w:t>
      </w:r>
      <w:r>
        <w:rPr>
          <w:sz w:val="22"/>
        </w:rPr>
        <w:t>taglines</w:t>
      </w:r>
      <w:r>
        <w:rPr>
          <w:spacing w:val="-9"/>
          <w:sz w:val="22"/>
        </w:rPr>
        <w:t> </w:t>
      </w:r>
      <w:r>
        <w:rPr>
          <w:sz w:val="22"/>
        </w:rPr>
        <w:t>changed</w:t>
      </w:r>
      <w:r>
        <w:rPr>
          <w:spacing w:val="-9"/>
          <w:sz w:val="22"/>
        </w:rPr>
        <w:t> </w:t>
      </w:r>
      <w:r>
        <w:rPr>
          <w:sz w:val="22"/>
        </w:rPr>
        <w:t>in</w:t>
      </w:r>
      <w:r>
        <w:rPr>
          <w:spacing w:val="-9"/>
          <w:sz w:val="22"/>
        </w:rPr>
        <w:t> </w:t>
      </w:r>
      <w:r>
        <w:rPr>
          <w:sz w:val="22"/>
        </w:rPr>
        <w:t>Subchapter</w:t>
      </w:r>
      <w:r>
        <w:rPr>
          <w:spacing w:val="-8"/>
          <w:sz w:val="22"/>
        </w:rPr>
        <w:t> </w:t>
      </w:r>
      <w:r>
        <w:rPr>
          <w:spacing w:val="-5"/>
          <w:sz w:val="22"/>
        </w:rPr>
        <w:t>5.</w:t>
      </w:r>
    </w:p>
    <w:p>
      <w:pPr>
        <w:pStyle w:val="ListParagraph"/>
        <w:numPr>
          <w:ilvl w:val="2"/>
          <w:numId w:val="15"/>
        </w:numPr>
        <w:tabs>
          <w:tab w:pos="1439" w:val="left" w:leader="none"/>
        </w:tabs>
        <w:spacing w:line="253" w:lineRule="exact" w:before="0" w:after="0"/>
        <w:ind w:left="1439" w:right="0" w:hanging="1080"/>
        <w:jc w:val="left"/>
        <w:rPr>
          <w:sz w:val="22"/>
        </w:rPr>
      </w:pPr>
      <w:r>
        <w:rPr>
          <w:sz w:val="22"/>
        </w:rPr>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359" w:right="3644" w:firstLine="1080"/>
        <w:jc w:val="left"/>
        <w:rPr>
          <w:sz w:val="22"/>
        </w:rPr>
      </w:pPr>
      <w:r>
        <w:rPr>
          <w:sz w:val="22"/>
        </w:rPr>
        <w:t>Permanent,</w:t>
      </w:r>
      <w:r>
        <w:rPr>
          <w:spacing w:val="-6"/>
          <w:sz w:val="22"/>
        </w:rPr>
        <w:t> </w:t>
      </w:r>
      <w:r>
        <w:rPr>
          <w:sz w:val="22"/>
        </w:rPr>
        <w:t>taglines</w:t>
      </w:r>
      <w:r>
        <w:rPr>
          <w:spacing w:val="-8"/>
          <w:sz w:val="22"/>
        </w:rPr>
        <w:t> </w:t>
      </w:r>
      <w:r>
        <w:rPr>
          <w:sz w:val="22"/>
        </w:rPr>
        <w:t>changed</w:t>
      </w:r>
      <w:r>
        <w:rPr>
          <w:spacing w:val="-7"/>
          <w:sz w:val="22"/>
        </w:rPr>
        <w:t> </w:t>
      </w:r>
      <w:r>
        <w:rPr>
          <w:sz w:val="22"/>
        </w:rPr>
        <w:t>to</w:t>
      </w:r>
      <w:r>
        <w:rPr>
          <w:spacing w:val="-7"/>
          <w:sz w:val="22"/>
        </w:rPr>
        <w:t> </w:t>
      </w:r>
      <w:r>
        <w:rPr>
          <w:sz w:val="22"/>
        </w:rPr>
        <w:t>update</w:t>
      </w:r>
      <w:r>
        <w:rPr>
          <w:spacing w:val="-7"/>
          <w:sz w:val="22"/>
        </w:rPr>
        <w:t> </w:t>
      </w:r>
      <w:r>
        <w:rPr>
          <w:sz w:val="22"/>
        </w:rPr>
        <w:t>division</w:t>
      </w:r>
      <w:r>
        <w:rPr>
          <w:spacing w:val="-8"/>
          <w:sz w:val="22"/>
        </w:rPr>
        <w:t> </w:t>
      </w:r>
      <w:r>
        <w:rPr>
          <w:sz w:val="22"/>
        </w:rPr>
        <w:t>names </w:t>
      </w:r>
      <w:r>
        <w:rPr>
          <w:spacing w:val="-2"/>
          <w:sz w:val="22"/>
        </w:rPr>
        <w:t>7-1-10</w:t>
      </w:r>
      <w:r>
        <w:rPr>
          <w:sz w:val="22"/>
        </w:rPr>
        <w:tab/>
        <w:t>PT Memo #10-02</w:t>
      </w:r>
    </w:p>
    <w:p>
      <w:pPr>
        <w:spacing w:before="0"/>
        <w:ind w:left="1439" w:right="0" w:firstLine="0"/>
        <w:jc w:val="left"/>
        <w:rPr>
          <w:sz w:val="22"/>
        </w:rPr>
      </w:pPr>
      <w:r>
        <w:rPr>
          <w:sz w:val="22"/>
        </w:rPr>
        <w:t>Permanent,</w:t>
      </w:r>
      <w:r>
        <w:rPr>
          <w:spacing w:val="-9"/>
          <w:sz w:val="22"/>
        </w:rPr>
        <w:t> </w:t>
      </w:r>
      <w:r>
        <w:rPr>
          <w:sz w:val="22"/>
        </w:rPr>
        <w:t>New</w:t>
      </w:r>
      <w:r>
        <w:rPr>
          <w:spacing w:val="-10"/>
          <w:sz w:val="22"/>
        </w:rPr>
        <w:t> </w:t>
      </w:r>
      <w:r>
        <w:rPr>
          <w:sz w:val="22"/>
        </w:rPr>
        <w:t>Financial</w:t>
      </w:r>
      <w:r>
        <w:rPr>
          <w:spacing w:val="-9"/>
          <w:sz w:val="22"/>
        </w:rPr>
        <w:t> </w:t>
      </w:r>
      <w:r>
        <w:rPr>
          <w:sz w:val="22"/>
        </w:rPr>
        <w:t>Services</w:t>
      </w:r>
      <w:r>
        <w:rPr>
          <w:spacing w:val="-11"/>
          <w:sz w:val="22"/>
        </w:rPr>
        <w:t> </w:t>
      </w:r>
      <w:r>
        <w:rPr>
          <w:spacing w:val="-2"/>
          <w:sz w:val="22"/>
        </w:rPr>
        <w:t>Division</w:t>
      </w:r>
    </w:p>
    <w:p>
      <w:pPr>
        <w:spacing w:before="0"/>
        <w:ind w:left="1439" w:right="855" w:hanging="1080"/>
        <w:jc w:val="both"/>
        <w:rPr>
          <w:sz w:val="22"/>
        </w:rPr>
      </w:pPr>
      <w:r>
        <w:rPr>
          <w:sz w:val="22"/>
        </w:rPr>
        <w:t>8-27-15</w:t>
      </w:r>
      <w:r>
        <w:rPr>
          <w:spacing w:val="40"/>
          <w:sz w:val="22"/>
        </w:rPr>
        <w:t>  </w:t>
      </w:r>
      <w:r>
        <w:rPr>
          <w:sz w:val="22"/>
        </w:rPr>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to</w:t>
      </w:r>
      <w:r>
        <w:rPr>
          <w:spacing w:val="-4"/>
          <w:sz w:val="22"/>
        </w:rPr>
        <w:t> </w:t>
      </w:r>
      <w:r>
        <w:rPr>
          <w:sz w:val="22"/>
        </w:rPr>
        <w:t>Vocational</w:t>
      </w:r>
      <w:r>
        <w:rPr>
          <w:spacing w:val="-3"/>
          <w:sz w:val="22"/>
        </w:rPr>
        <w:t> </w:t>
      </w:r>
      <w:r>
        <w:rPr>
          <w:sz w:val="22"/>
        </w:rPr>
        <w:t>Rehabilitation</w:t>
      </w:r>
      <w:r>
        <w:rPr>
          <w:spacing w:val="-4"/>
          <w:sz w:val="22"/>
        </w:rPr>
        <w:t> </w:t>
      </w:r>
      <w:r>
        <w:rPr>
          <w:sz w:val="22"/>
        </w:rPr>
        <w:t>for</w:t>
      </w:r>
      <w:r>
        <w:rPr>
          <w:spacing w:val="-3"/>
          <w:sz w:val="22"/>
        </w:rPr>
        <w:t> </w:t>
      </w:r>
      <w:r>
        <w:rPr>
          <w:sz w:val="22"/>
        </w:rPr>
        <w:t>the</w:t>
      </w:r>
      <w:r>
        <w:rPr>
          <w:spacing w:val="-3"/>
          <w:sz w:val="22"/>
        </w:rPr>
        <w:t> </w:t>
      </w:r>
      <w:r>
        <w:rPr>
          <w:sz w:val="22"/>
        </w:rPr>
        <w:t>Blind</w:t>
      </w:r>
      <w:r>
        <w:rPr>
          <w:spacing w:val="-3"/>
          <w:sz w:val="22"/>
        </w:rPr>
        <w:t> </w:t>
      </w:r>
      <w:r>
        <w:rPr>
          <w:sz w:val="22"/>
        </w:rPr>
        <w:t>&amp; Visually Impaired.</w:t>
      </w:r>
    </w:p>
    <w:p>
      <w:pPr>
        <w:spacing w:before="0"/>
        <w:ind w:left="1439" w:right="927" w:hanging="1080"/>
        <w:jc w:val="both"/>
        <w:rPr>
          <w:sz w:val="22"/>
        </w:rPr>
      </w:pPr>
      <w:r>
        <w:rPr>
          <w:sz w:val="22"/>
        </w:rPr>
        <w:t>9-11-17</w:t>
      </w:r>
      <w:r>
        <w:rPr>
          <w:spacing w:val="80"/>
          <w:sz w:val="22"/>
        </w:rPr>
        <w:t>  </w:t>
      </w:r>
      <w:r>
        <w:rPr>
          <w:sz w:val="22"/>
        </w:rPr>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Vocational</w:t>
      </w:r>
      <w:r>
        <w:rPr>
          <w:spacing w:val="-3"/>
          <w:sz w:val="22"/>
        </w:rPr>
        <w:t> </w:t>
      </w:r>
      <w:r>
        <w:rPr>
          <w:sz w:val="22"/>
        </w:rPr>
        <w:t>Rehabilitation</w:t>
      </w:r>
      <w:r>
        <w:rPr>
          <w:spacing w:val="-3"/>
          <w:sz w:val="22"/>
        </w:rPr>
        <w:t> </w:t>
      </w:r>
      <w:r>
        <w:rPr>
          <w:sz w:val="22"/>
        </w:rPr>
        <w:t>for</w:t>
      </w:r>
      <w:r>
        <w:rPr>
          <w:spacing w:val="-3"/>
          <w:sz w:val="22"/>
        </w:rPr>
        <w:t> </w:t>
      </w:r>
      <w:r>
        <w:rPr>
          <w:sz w:val="22"/>
        </w:rPr>
        <w:t>the</w:t>
      </w:r>
      <w:r>
        <w:rPr>
          <w:spacing w:val="-3"/>
          <w:sz w:val="22"/>
        </w:rPr>
        <w:t> </w:t>
      </w:r>
      <w:r>
        <w:rPr>
          <w:sz w:val="22"/>
        </w:rPr>
        <w:t>Blind</w:t>
      </w:r>
      <w:r>
        <w:rPr>
          <w:spacing w:val="-3"/>
          <w:sz w:val="22"/>
        </w:rPr>
        <w:t> </w:t>
      </w:r>
      <w:r>
        <w:rPr>
          <w:sz w:val="22"/>
        </w:rPr>
        <w:t>&amp;</w:t>
      </w:r>
      <w:r>
        <w:rPr>
          <w:spacing w:val="-3"/>
          <w:sz w:val="22"/>
        </w:rPr>
        <w:t> </w:t>
      </w:r>
      <w:r>
        <w:rPr>
          <w:sz w:val="22"/>
        </w:rPr>
        <w:t>Visually</w:t>
      </w:r>
      <w:r>
        <w:rPr>
          <w:spacing w:val="-3"/>
          <w:sz w:val="22"/>
        </w:rPr>
        <w:t> </w:t>
      </w:r>
      <w:r>
        <w:rPr>
          <w:sz w:val="22"/>
        </w:rPr>
        <w:t>Impaired to Visual Services.</w:t>
      </w:r>
    </w:p>
    <w:p>
      <w:pPr>
        <w:spacing w:before="0"/>
        <w:ind w:left="1439" w:right="867" w:hanging="1080"/>
        <w:jc w:val="both"/>
        <w:rPr>
          <w:sz w:val="22"/>
        </w:rPr>
      </w:pPr>
      <w:r>
        <w:rPr>
          <w:sz w:val="22"/>
        </w:rPr>
        <w:t>9-11-20</w:t>
      </w:r>
      <w:r>
        <w:rPr>
          <w:spacing w:val="40"/>
          <w:sz w:val="22"/>
        </w:rPr>
        <w:t>  </w:t>
      </w:r>
      <w:r>
        <w:rPr>
          <w:sz w:val="22"/>
        </w:rPr>
        <w:t>Division</w:t>
      </w:r>
      <w:r>
        <w:rPr>
          <w:spacing w:val="-1"/>
          <w:sz w:val="22"/>
        </w:rPr>
        <w:t> </w:t>
      </w:r>
      <w:r>
        <w:rPr>
          <w:sz w:val="22"/>
        </w:rPr>
        <w:t>name</w:t>
      </w:r>
      <w:r>
        <w:rPr>
          <w:spacing w:val="-1"/>
          <w:sz w:val="22"/>
        </w:rPr>
        <w:t> </w:t>
      </w:r>
      <w:r>
        <w:rPr>
          <w:sz w:val="22"/>
        </w:rPr>
        <w:t>change</w:t>
      </w:r>
      <w:r>
        <w:rPr>
          <w:spacing w:val="-1"/>
          <w:sz w:val="22"/>
        </w:rPr>
        <w:t> </w:t>
      </w:r>
      <w:r>
        <w:rPr>
          <w:sz w:val="22"/>
        </w:rPr>
        <w:t>of</w:t>
      </w:r>
      <w:r>
        <w:rPr>
          <w:spacing w:val="-1"/>
          <w:sz w:val="22"/>
        </w:rPr>
        <w:t> </w:t>
      </w:r>
      <w:r>
        <w:rPr>
          <w:sz w:val="22"/>
        </w:rPr>
        <w:t>Visual</w:t>
      </w:r>
      <w:r>
        <w:rPr>
          <w:spacing w:val="-1"/>
          <w:sz w:val="22"/>
        </w:rPr>
        <w:t> </w:t>
      </w:r>
      <w:r>
        <w:rPr>
          <w:sz w:val="22"/>
        </w:rPr>
        <w:t>Services</w:t>
      </w:r>
      <w:r>
        <w:rPr>
          <w:spacing w:val="-1"/>
          <w:sz w:val="22"/>
        </w:rPr>
        <w:t> </w:t>
      </w:r>
      <w:r>
        <w:rPr>
          <w:sz w:val="22"/>
        </w:rPr>
        <w:t>(VS)</w:t>
      </w:r>
      <w:r>
        <w:rPr>
          <w:spacing w:val="-1"/>
          <w:sz w:val="22"/>
        </w:rPr>
        <w:t> </w:t>
      </w:r>
      <w:r>
        <w:rPr>
          <w:sz w:val="22"/>
        </w:rPr>
        <w:t>to</w:t>
      </w:r>
      <w:r>
        <w:rPr>
          <w:spacing w:val="-1"/>
          <w:sz w:val="22"/>
        </w:rPr>
        <w:t> </w:t>
      </w:r>
      <w:r>
        <w:rPr>
          <w:sz w:val="22"/>
        </w:rPr>
        <w:t>Services</w:t>
      </w:r>
      <w:r>
        <w:rPr>
          <w:spacing w:val="-1"/>
          <w:sz w:val="22"/>
        </w:rPr>
        <w:t> </w:t>
      </w:r>
      <w:r>
        <w:rPr>
          <w:sz w:val="22"/>
        </w:rPr>
        <w:t>for</w:t>
      </w:r>
      <w:r>
        <w:rPr>
          <w:spacing w:val="-1"/>
          <w:sz w:val="22"/>
        </w:rPr>
        <w:t> </w:t>
      </w:r>
      <w:r>
        <w:rPr>
          <w:sz w:val="22"/>
        </w:rPr>
        <w:t>the</w:t>
      </w:r>
      <w:r>
        <w:rPr>
          <w:spacing w:val="-1"/>
          <w:sz w:val="22"/>
        </w:rPr>
        <w:t> </w:t>
      </w:r>
      <w:r>
        <w:rPr>
          <w:sz w:val="22"/>
        </w:rPr>
        <w:t>Blind</w:t>
      </w:r>
      <w:r>
        <w:rPr>
          <w:spacing w:val="-2"/>
          <w:sz w:val="22"/>
        </w:rPr>
        <w:t> </w:t>
      </w:r>
      <w:r>
        <w:rPr>
          <w:sz w:val="22"/>
        </w:rPr>
        <w:t>and</w:t>
      </w:r>
      <w:r>
        <w:rPr>
          <w:spacing w:val="-1"/>
          <w:sz w:val="22"/>
        </w:rPr>
        <w:t> </w:t>
      </w:r>
      <w:r>
        <w:rPr>
          <w:sz w:val="22"/>
        </w:rPr>
        <w:t>Visually Impaired</w:t>
      </w:r>
      <w:r>
        <w:rPr>
          <w:spacing w:val="-5"/>
          <w:sz w:val="22"/>
        </w:rPr>
        <w:t> </w:t>
      </w:r>
      <w:r>
        <w:rPr>
          <w:sz w:val="22"/>
        </w:rPr>
        <w:t>(SBVI).</w:t>
      </w:r>
      <w:r>
        <w:rPr>
          <w:spacing w:val="-5"/>
          <w:sz w:val="22"/>
        </w:rPr>
        <w:t> </w:t>
      </w:r>
      <w:r>
        <w:rPr>
          <w:sz w:val="22"/>
        </w:rPr>
        <w:t>Disability</w:t>
      </w:r>
      <w:r>
        <w:rPr>
          <w:spacing w:val="-5"/>
          <w:sz w:val="22"/>
        </w:rPr>
        <w:t> </w:t>
      </w:r>
      <w:r>
        <w:rPr>
          <w:sz w:val="22"/>
        </w:rPr>
        <w:t>Determination</w:t>
      </w:r>
      <w:r>
        <w:rPr>
          <w:spacing w:val="-5"/>
          <w:sz w:val="22"/>
        </w:rPr>
        <w:t> </w:t>
      </w:r>
      <w:r>
        <w:rPr>
          <w:sz w:val="22"/>
        </w:rPr>
        <w:t>Division</w:t>
      </w:r>
      <w:r>
        <w:rPr>
          <w:spacing w:val="-5"/>
          <w:sz w:val="22"/>
        </w:rPr>
        <w:t> </w:t>
      </w:r>
      <w:r>
        <w:rPr>
          <w:sz w:val="22"/>
        </w:rPr>
        <w:t>(DDD)</w:t>
      </w:r>
      <w:r>
        <w:rPr>
          <w:spacing w:val="-5"/>
          <w:sz w:val="22"/>
        </w:rPr>
        <w:t> </w:t>
      </w:r>
      <w:r>
        <w:rPr>
          <w:sz w:val="22"/>
        </w:rPr>
        <w:t>to</w:t>
      </w:r>
      <w:r>
        <w:rPr>
          <w:spacing w:val="-4"/>
          <w:sz w:val="22"/>
        </w:rPr>
        <w:t> </w:t>
      </w:r>
      <w:r>
        <w:rPr>
          <w:sz w:val="22"/>
        </w:rPr>
        <w:t>Disability</w:t>
      </w:r>
      <w:r>
        <w:rPr>
          <w:spacing w:val="-5"/>
          <w:sz w:val="22"/>
        </w:rPr>
        <w:t> </w:t>
      </w:r>
      <w:r>
        <w:rPr>
          <w:sz w:val="22"/>
        </w:rPr>
        <w:t>Determination Services (DDS).</w:t>
      </w:r>
    </w:p>
    <w:p>
      <w:pPr>
        <w:spacing w:after="0"/>
        <w:jc w:val="both"/>
        <w:rPr>
          <w:sz w:val="22"/>
        </w:rPr>
        <w:sectPr>
          <w:pgSz w:w="12240" w:h="15840"/>
          <w:pgMar w:top="1340" w:bottom="280" w:left="1080" w:right="720"/>
        </w:sectPr>
      </w:pPr>
    </w:p>
    <w:p>
      <w:pPr>
        <w:pStyle w:val="Heading2"/>
      </w:pPr>
      <w:bookmarkStart w:name="612:1-5-1.  Overview of the department" w:id="16"/>
      <w:bookmarkEnd w:id="16"/>
      <w:r>
        <w:rPr>
          <w:b w:val="0"/>
        </w:rPr>
      </w:r>
      <w:r>
        <w:rPr/>
        <w:t>612:1-5-1.</w:t>
      </w:r>
      <w:r>
        <w:rPr>
          <w:spacing w:val="61"/>
        </w:rPr>
        <w:t> </w:t>
      </w:r>
      <w:r>
        <w:rPr/>
        <w:t>Overview</w:t>
      </w:r>
      <w:r>
        <w:rPr>
          <w:spacing w:val="-3"/>
        </w:rPr>
        <w:t> </w:t>
      </w:r>
      <w:r>
        <w:rPr/>
        <w:t>of</w:t>
      </w:r>
      <w:r>
        <w:rPr>
          <w:spacing w:val="-1"/>
        </w:rPr>
        <w:t> </w:t>
      </w:r>
      <w:r>
        <w:rPr/>
        <w:t>the</w:t>
      </w:r>
      <w:r>
        <w:rPr>
          <w:spacing w:val="-3"/>
        </w:rPr>
        <w:t> </w:t>
      </w:r>
      <w:r>
        <w:rPr>
          <w:spacing w:val="-2"/>
        </w:rPr>
        <w:t>department</w:t>
      </w:r>
    </w:p>
    <w:p>
      <w:pPr>
        <w:pStyle w:val="BodyText"/>
        <w:spacing w:line="208" w:lineRule="auto" w:before="233"/>
        <w:ind w:right="775" w:firstLine="432"/>
      </w:pPr>
      <w:r>
        <w:rPr/>
        <w:t>The purpose of this Subchapter is to provide an overview of the program divisions within</w:t>
      </w:r>
      <w:r>
        <w:rPr>
          <w:spacing w:val="-5"/>
        </w:rPr>
        <w:t> </w:t>
      </w:r>
      <w:r>
        <w:rPr/>
        <w:t>the</w:t>
      </w:r>
      <w:r>
        <w:rPr>
          <w:spacing w:val="-5"/>
        </w:rPr>
        <w:t> </w:t>
      </w:r>
      <w:r>
        <w:rPr/>
        <w:t>Department</w:t>
      </w:r>
      <w:r>
        <w:rPr>
          <w:spacing w:val="-4"/>
        </w:rPr>
        <w:t> </w:t>
      </w:r>
      <w:r>
        <w:rPr/>
        <w:t>of</w:t>
      </w:r>
      <w:r>
        <w:rPr>
          <w:spacing w:val="-6"/>
        </w:rPr>
        <w:t> </w:t>
      </w:r>
      <w:r>
        <w:rPr/>
        <w:t>Rehabilitation</w:t>
      </w:r>
      <w:r>
        <w:rPr>
          <w:spacing w:val="-5"/>
        </w:rPr>
        <w:t> </w:t>
      </w:r>
      <w:r>
        <w:rPr/>
        <w:t>Services.</w:t>
      </w:r>
      <w:r>
        <w:rPr>
          <w:spacing w:val="-4"/>
        </w:rPr>
        <w:t> </w:t>
      </w:r>
      <w:r>
        <w:rPr/>
        <w:t>Program</w:t>
      </w:r>
      <w:r>
        <w:rPr>
          <w:spacing w:val="-4"/>
        </w:rPr>
        <w:t> </w:t>
      </w:r>
      <w:r>
        <w:rPr/>
        <w:t>divisions</w:t>
      </w:r>
      <w:r>
        <w:rPr>
          <w:spacing w:val="-5"/>
        </w:rPr>
        <w:t> </w:t>
      </w:r>
      <w:r>
        <w:rPr/>
        <w:t>are</w:t>
      </w:r>
      <w:r>
        <w:rPr>
          <w:spacing w:val="-5"/>
        </w:rPr>
        <w:t> </w:t>
      </w:r>
      <w:r>
        <w:rPr/>
        <w:t>established</w:t>
      </w:r>
      <w:r>
        <w:rPr>
          <w:spacing w:val="-5"/>
        </w:rPr>
        <w:t> </w:t>
      </w:r>
      <w:r>
        <w:rPr/>
        <w:t>for the following areas: Vocational Rehabilitation Services, Services for the Blind and Visually Impaired, Disability Determination Services, Management Services, The Oklahoma School for the Blind and the Oklahoma School for the Deaf. Each of the Divisions has one or more components.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7-1-95</w:t>
      </w:r>
      <w:r>
        <w:rPr>
          <w:sz w:val="22"/>
        </w:rPr>
        <w:tab/>
        <w:t>PT Memo #95-2</w:t>
      </w:r>
    </w:p>
    <w:p>
      <w:pPr>
        <w:tabs>
          <w:tab w:pos="1439" w:val="left" w:leader="none"/>
        </w:tabs>
        <w:spacing w:before="1"/>
        <w:ind w:left="359" w:right="1013" w:firstLine="1080"/>
        <w:jc w:val="left"/>
        <w:rPr>
          <w:sz w:val="22"/>
        </w:rPr>
      </w:pPr>
      <w:r>
        <w:rPr>
          <w:sz w:val="22"/>
        </w:rPr>
        <w:t>Permanent,</w:t>
      </w:r>
      <w:r>
        <w:rPr>
          <w:spacing w:val="-5"/>
          <w:sz w:val="22"/>
        </w:rPr>
        <w:t> </w:t>
      </w:r>
      <w:r>
        <w:rPr>
          <w:sz w:val="22"/>
        </w:rPr>
        <w:t>Administrative</w:t>
      </w:r>
      <w:r>
        <w:rPr>
          <w:spacing w:val="-6"/>
          <w:sz w:val="22"/>
        </w:rPr>
        <w:t> </w:t>
      </w:r>
      <w:r>
        <w:rPr>
          <w:sz w:val="22"/>
        </w:rPr>
        <w:t>Services</w:t>
      </w:r>
      <w:r>
        <w:rPr>
          <w:spacing w:val="-8"/>
          <w:sz w:val="22"/>
        </w:rPr>
        <w:t> </w:t>
      </w:r>
      <w:r>
        <w:rPr>
          <w:sz w:val="22"/>
        </w:rPr>
        <w:t>references</w:t>
      </w:r>
      <w:r>
        <w:rPr>
          <w:spacing w:val="-6"/>
          <w:sz w:val="22"/>
        </w:rPr>
        <w:t> </w:t>
      </w:r>
      <w:r>
        <w:rPr>
          <w:sz w:val="22"/>
        </w:rPr>
        <w:t>changed</w:t>
      </w:r>
      <w:r>
        <w:rPr>
          <w:spacing w:val="-6"/>
          <w:sz w:val="22"/>
        </w:rPr>
        <w:t> </w:t>
      </w:r>
      <w:r>
        <w:rPr>
          <w:sz w:val="22"/>
        </w:rPr>
        <w:t>to</w:t>
      </w:r>
      <w:r>
        <w:rPr>
          <w:spacing w:val="-6"/>
          <w:sz w:val="22"/>
        </w:rPr>
        <w:t> </w:t>
      </w:r>
      <w:r>
        <w:rPr>
          <w:sz w:val="22"/>
        </w:rPr>
        <w:t>Management</w:t>
      </w:r>
      <w:r>
        <w:rPr>
          <w:spacing w:val="-6"/>
          <w:sz w:val="22"/>
        </w:rPr>
        <w:t> </w:t>
      </w:r>
      <w:r>
        <w:rPr>
          <w:sz w:val="22"/>
        </w:rPr>
        <w:t>Services </w:t>
      </w:r>
      <w:r>
        <w:rPr>
          <w:spacing w:val="-2"/>
          <w:sz w:val="22"/>
        </w:rPr>
        <w:t>7-1-99</w:t>
      </w:r>
      <w:r>
        <w:rPr>
          <w:sz w:val="22"/>
        </w:rPr>
        <w:tab/>
        <w:t>POL Memo #00-1</w:t>
      </w:r>
    </w:p>
    <w:p>
      <w:pPr>
        <w:spacing w:line="252" w:lineRule="exact" w:before="0"/>
        <w:ind w:left="1439" w:right="0" w:firstLine="0"/>
        <w:jc w:val="left"/>
        <w:rPr>
          <w:sz w:val="22"/>
        </w:rPr>
      </w:pPr>
      <w:r>
        <w:rPr>
          <w:sz w:val="22"/>
        </w:rPr>
        <w:t>Permanent,</w:t>
      </w:r>
      <w:r>
        <w:rPr>
          <w:spacing w:val="-10"/>
          <w:sz w:val="22"/>
        </w:rPr>
        <w:t> </w:t>
      </w:r>
      <w:r>
        <w:rPr>
          <w:sz w:val="22"/>
        </w:rPr>
        <w:t>updated</w:t>
      </w:r>
      <w:r>
        <w:rPr>
          <w:spacing w:val="-11"/>
          <w:sz w:val="22"/>
        </w:rPr>
        <w:t> </w:t>
      </w:r>
      <w:r>
        <w:rPr>
          <w:spacing w:val="-2"/>
          <w:sz w:val="22"/>
        </w:rPr>
        <w:t>DVR/DVS</w:t>
      </w:r>
    </w:p>
    <w:p>
      <w:pPr>
        <w:spacing w:before="0"/>
        <w:ind w:left="1439" w:right="855" w:hanging="1080"/>
        <w:jc w:val="both"/>
        <w:rPr>
          <w:sz w:val="22"/>
        </w:rPr>
      </w:pPr>
      <w:r>
        <w:rPr>
          <w:sz w:val="22"/>
        </w:rPr>
        <w:t>8-27-15</w:t>
      </w:r>
      <w:r>
        <w:rPr>
          <w:spacing w:val="40"/>
          <w:sz w:val="22"/>
        </w:rPr>
        <w:t>  </w:t>
      </w:r>
      <w:r>
        <w:rPr>
          <w:sz w:val="22"/>
        </w:rPr>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to</w:t>
      </w:r>
      <w:r>
        <w:rPr>
          <w:spacing w:val="-4"/>
          <w:sz w:val="22"/>
        </w:rPr>
        <w:t> </w:t>
      </w:r>
      <w:r>
        <w:rPr>
          <w:sz w:val="22"/>
        </w:rPr>
        <w:t>Vocational</w:t>
      </w:r>
      <w:r>
        <w:rPr>
          <w:spacing w:val="-3"/>
          <w:sz w:val="22"/>
        </w:rPr>
        <w:t> </w:t>
      </w:r>
      <w:r>
        <w:rPr>
          <w:sz w:val="22"/>
        </w:rPr>
        <w:t>Rehabilitation</w:t>
      </w:r>
      <w:r>
        <w:rPr>
          <w:spacing w:val="-4"/>
          <w:sz w:val="22"/>
        </w:rPr>
        <w:t> </w:t>
      </w:r>
      <w:r>
        <w:rPr>
          <w:sz w:val="22"/>
        </w:rPr>
        <w:t>for</w:t>
      </w:r>
      <w:r>
        <w:rPr>
          <w:spacing w:val="-3"/>
          <w:sz w:val="22"/>
        </w:rPr>
        <w:t> </w:t>
      </w:r>
      <w:r>
        <w:rPr>
          <w:sz w:val="22"/>
        </w:rPr>
        <w:t>the</w:t>
      </w:r>
      <w:r>
        <w:rPr>
          <w:spacing w:val="-3"/>
          <w:sz w:val="22"/>
        </w:rPr>
        <w:t> </w:t>
      </w:r>
      <w:r>
        <w:rPr>
          <w:sz w:val="22"/>
        </w:rPr>
        <w:t>Blind</w:t>
      </w:r>
      <w:r>
        <w:rPr>
          <w:spacing w:val="-3"/>
          <w:sz w:val="22"/>
        </w:rPr>
        <w:t> </w:t>
      </w:r>
      <w:r>
        <w:rPr>
          <w:sz w:val="22"/>
        </w:rPr>
        <w:t>&amp; Visually Impaired.</w:t>
      </w:r>
    </w:p>
    <w:p>
      <w:pPr>
        <w:spacing w:before="0"/>
        <w:ind w:left="1439" w:right="927" w:hanging="1080"/>
        <w:jc w:val="both"/>
        <w:rPr>
          <w:sz w:val="22"/>
        </w:rPr>
      </w:pPr>
      <w:r>
        <w:rPr>
          <w:sz w:val="22"/>
        </w:rPr>
        <w:t>9-11-17</w:t>
      </w:r>
      <w:r>
        <w:rPr>
          <w:spacing w:val="80"/>
          <w:sz w:val="22"/>
        </w:rPr>
        <w:t>  </w:t>
      </w:r>
      <w:r>
        <w:rPr>
          <w:sz w:val="22"/>
        </w:rPr>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Vocational</w:t>
      </w:r>
      <w:r>
        <w:rPr>
          <w:spacing w:val="-3"/>
          <w:sz w:val="22"/>
        </w:rPr>
        <w:t> </w:t>
      </w:r>
      <w:r>
        <w:rPr>
          <w:sz w:val="22"/>
        </w:rPr>
        <w:t>Rehabilitation</w:t>
      </w:r>
      <w:r>
        <w:rPr>
          <w:spacing w:val="-3"/>
          <w:sz w:val="22"/>
        </w:rPr>
        <w:t> </w:t>
      </w:r>
      <w:r>
        <w:rPr>
          <w:sz w:val="22"/>
        </w:rPr>
        <w:t>for</w:t>
      </w:r>
      <w:r>
        <w:rPr>
          <w:spacing w:val="-3"/>
          <w:sz w:val="22"/>
        </w:rPr>
        <w:t> </w:t>
      </w:r>
      <w:r>
        <w:rPr>
          <w:sz w:val="22"/>
        </w:rPr>
        <w:t>the</w:t>
      </w:r>
      <w:r>
        <w:rPr>
          <w:spacing w:val="-3"/>
          <w:sz w:val="22"/>
        </w:rPr>
        <w:t> </w:t>
      </w:r>
      <w:r>
        <w:rPr>
          <w:sz w:val="22"/>
        </w:rPr>
        <w:t>Blind</w:t>
      </w:r>
      <w:r>
        <w:rPr>
          <w:spacing w:val="-3"/>
          <w:sz w:val="22"/>
        </w:rPr>
        <w:t> </w:t>
      </w:r>
      <w:r>
        <w:rPr>
          <w:sz w:val="22"/>
        </w:rPr>
        <w:t>&amp;</w:t>
      </w:r>
      <w:r>
        <w:rPr>
          <w:spacing w:val="-3"/>
          <w:sz w:val="22"/>
        </w:rPr>
        <w:t> </w:t>
      </w:r>
      <w:r>
        <w:rPr>
          <w:sz w:val="22"/>
        </w:rPr>
        <w:t>Visually</w:t>
      </w:r>
      <w:r>
        <w:rPr>
          <w:spacing w:val="-3"/>
          <w:sz w:val="22"/>
        </w:rPr>
        <w:t> </w:t>
      </w:r>
      <w:r>
        <w:rPr>
          <w:sz w:val="22"/>
        </w:rPr>
        <w:t>Impaired to Visual Services.</w:t>
      </w:r>
    </w:p>
    <w:p>
      <w:pPr>
        <w:spacing w:before="0"/>
        <w:ind w:left="1439" w:right="868" w:hanging="1080"/>
        <w:jc w:val="both"/>
        <w:rPr>
          <w:sz w:val="22"/>
        </w:rPr>
      </w:pPr>
      <w:r>
        <w:rPr>
          <w:sz w:val="22"/>
        </w:rPr>
        <w:t>9-11-20</w:t>
      </w:r>
      <w:r>
        <w:rPr>
          <w:spacing w:val="40"/>
          <w:sz w:val="22"/>
        </w:rPr>
        <w:t>  </w:t>
      </w:r>
      <w:r>
        <w:rPr>
          <w:sz w:val="22"/>
        </w:rPr>
        <w:t>Division</w:t>
      </w:r>
      <w:r>
        <w:rPr>
          <w:spacing w:val="-1"/>
          <w:sz w:val="22"/>
        </w:rPr>
        <w:t> </w:t>
      </w:r>
      <w:r>
        <w:rPr>
          <w:sz w:val="22"/>
        </w:rPr>
        <w:t>name</w:t>
      </w:r>
      <w:r>
        <w:rPr>
          <w:spacing w:val="-1"/>
          <w:sz w:val="22"/>
        </w:rPr>
        <w:t> </w:t>
      </w:r>
      <w:r>
        <w:rPr>
          <w:sz w:val="22"/>
        </w:rPr>
        <w:t>change</w:t>
      </w:r>
      <w:r>
        <w:rPr>
          <w:spacing w:val="-1"/>
          <w:sz w:val="22"/>
        </w:rPr>
        <w:t> </w:t>
      </w:r>
      <w:r>
        <w:rPr>
          <w:sz w:val="22"/>
        </w:rPr>
        <w:t>of</w:t>
      </w:r>
      <w:r>
        <w:rPr>
          <w:spacing w:val="-1"/>
          <w:sz w:val="22"/>
        </w:rPr>
        <w:t> </w:t>
      </w:r>
      <w:r>
        <w:rPr>
          <w:sz w:val="22"/>
        </w:rPr>
        <w:t>Visual</w:t>
      </w:r>
      <w:r>
        <w:rPr>
          <w:spacing w:val="-1"/>
          <w:sz w:val="22"/>
        </w:rPr>
        <w:t> </w:t>
      </w:r>
      <w:r>
        <w:rPr>
          <w:sz w:val="22"/>
        </w:rPr>
        <w:t>Services</w:t>
      </w:r>
      <w:r>
        <w:rPr>
          <w:spacing w:val="-1"/>
          <w:sz w:val="22"/>
        </w:rPr>
        <w:t> </w:t>
      </w:r>
      <w:r>
        <w:rPr>
          <w:sz w:val="22"/>
        </w:rPr>
        <w:t>(VS)</w:t>
      </w:r>
      <w:r>
        <w:rPr>
          <w:spacing w:val="-1"/>
          <w:sz w:val="22"/>
        </w:rPr>
        <w:t> </w:t>
      </w:r>
      <w:r>
        <w:rPr>
          <w:sz w:val="22"/>
        </w:rPr>
        <w:t>to</w:t>
      </w:r>
      <w:r>
        <w:rPr>
          <w:spacing w:val="-1"/>
          <w:sz w:val="22"/>
        </w:rPr>
        <w:t> </w:t>
      </w:r>
      <w:r>
        <w:rPr>
          <w:sz w:val="22"/>
        </w:rPr>
        <w:t>Services</w:t>
      </w:r>
      <w:r>
        <w:rPr>
          <w:spacing w:val="-1"/>
          <w:sz w:val="22"/>
        </w:rPr>
        <w:t> </w:t>
      </w:r>
      <w:r>
        <w:rPr>
          <w:sz w:val="22"/>
        </w:rPr>
        <w:t>for</w:t>
      </w:r>
      <w:r>
        <w:rPr>
          <w:spacing w:val="-1"/>
          <w:sz w:val="22"/>
        </w:rPr>
        <w:t> </w:t>
      </w:r>
      <w:r>
        <w:rPr>
          <w:sz w:val="22"/>
        </w:rPr>
        <w:t>the</w:t>
      </w:r>
      <w:r>
        <w:rPr>
          <w:spacing w:val="-1"/>
          <w:sz w:val="22"/>
        </w:rPr>
        <w:t> </w:t>
      </w:r>
      <w:r>
        <w:rPr>
          <w:sz w:val="22"/>
        </w:rPr>
        <w:t>Blind</w:t>
      </w:r>
      <w:r>
        <w:rPr>
          <w:spacing w:val="-2"/>
          <w:sz w:val="22"/>
        </w:rPr>
        <w:t> </w:t>
      </w:r>
      <w:r>
        <w:rPr>
          <w:sz w:val="22"/>
        </w:rPr>
        <w:t>and</w:t>
      </w:r>
      <w:r>
        <w:rPr>
          <w:spacing w:val="-1"/>
          <w:sz w:val="22"/>
        </w:rPr>
        <w:t> </w:t>
      </w:r>
      <w:r>
        <w:rPr>
          <w:sz w:val="22"/>
        </w:rPr>
        <w:t>Visually Impaired</w:t>
      </w:r>
      <w:r>
        <w:rPr>
          <w:spacing w:val="-5"/>
          <w:sz w:val="22"/>
        </w:rPr>
        <w:t> </w:t>
      </w:r>
      <w:r>
        <w:rPr>
          <w:sz w:val="22"/>
        </w:rPr>
        <w:t>(SBVI).</w:t>
      </w:r>
      <w:r>
        <w:rPr>
          <w:spacing w:val="-5"/>
          <w:sz w:val="22"/>
        </w:rPr>
        <w:t> </w:t>
      </w:r>
      <w:r>
        <w:rPr>
          <w:sz w:val="22"/>
        </w:rPr>
        <w:t>Disability</w:t>
      </w:r>
      <w:r>
        <w:rPr>
          <w:spacing w:val="-5"/>
          <w:sz w:val="22"/>
        </w:rPr>
        <w:t> </w:t>
      </w:r>
      <w:r>
        <w:rPr>
          <w:sz w:val="22"/>
        </w:rPr>
        <w:t>Determination</w:t>
      </w:r>
      <w:r>
        <w:rPr>
          <w:spacing w:val="-5"/>
          <w:sz w:val="22"/>
        </w:rPr>
        <w:t> </w:t>
      </w:r>
      <w:r>
        <w:rPr>
          <w:sz w:val="22"/>
        </w:rPr>
        <w:t>Division</w:t>
      </w:r>
      <w:r>
        <w:rPr>
          <w:spacing w:val="-5"/>
          <w:sz w:val="22"/>
        </w:rPr>
        <w:t> </w:t>
      </w:r>
      <w:r>
        <w:rPr>
          <w:sz w:val="22"/>
        </w:rPr>
        <w:t>(DDD)</w:t>
      </w:r>
      <w:r>
        <w:rPr>
          <w:spacing w:val="-5"/>
          <w:sz w:val="22"/>
        </w:rPr>
        <w:t> </w:t>
      </w:r>
      <w:r>
        <w:rPr>
          <w:sz w:val="22"/>
        </w:rPr>
        <w:t>to</w:t>
      </w:r>
      <w:r>
        <w:rPr>
          <w:spacing w:val="-4"/>
          <w:sz w:val="22"/>
        </w:rPr>
        <w:t> </w:t>
      </w:r>
      <w:r>
        <w:rPr>
          <w:sz w:val="22"/>
        </w:rPr>
        <w:t>Disability</w:t>
      </w:r>
      <w:r>
        <w:rPr>
          <w:spacing w:val="-5"/>
          <w:sz w:val="22"/>
        </w:rPr>
        <w:t> </w:t>
      </w:r>
      <w:r>
        <w:rPr>
          <w:sz w:val="22"/>
        </w:rPr>
        <w:t>Determination Services (DDS).</w:t>
      </w:r>
    </w:p>
    <w:p>
      <w:pPr>
        <w:spacing w:after="0"/>
        <w:jc w:val="both"/>
        <w:rPr>
          <w:sz w:val="22"/>
        </w:rPr>
        <w:sectPr>
          <w:pgSz w:w="12240" w:h="15840"/>
          <w:pgMar w:top="1340" w:bottom="280" w:left="1080" w:right="720"/>
        </w:sectPr>
      </w:pPr>
    </w:p>
    <w:p>
      <w:pPr>
        <w:pStyle w:val="Heading2"/>
      </w:pPr>
      <w:bookmarkStart w:name="612:1-5-2.  Division of Vocational Rehab" w:id="17"/>
      <w:bookmarkEnd w:id="17"/>
      <w:r>
        <w:rPr>
          <w:b w:val="0"/>
        </w:rPr>
      </w:r>
      <w:r>
        <w:rPr/>
        <w:t>612:1-5-2.</w:t>
      </w:r>
      <w:r>
        <w:rPr>
          <w:spacing w:val="57"/>
        </w:rPr>
        <w:t> </w:t>
      </w:r>
      <w:r>
        <w:rPr/>
        <w:t>Division</w:t>
      </w:r>
      <w:r>
        <w:rPr>
          <w:spacing w:val="-4"/>
        </w:rPr>
        <w:t> </w:t>
      </w:r>
      <w:r>
        <w:rPr/>
        <w:t>of</w:t>
      </w:r>
      <w:r>
        <w:rPr>
          <w:spacing w:val="-4"/>
        </w:rPr>
        <w:t> </w:t>
      </w:r>
      <w:r>
        <w:rPr/>
        <w:t>Vocational</w:t>
      </w:r>
      <w:r>
        <w:rPr>
          <w:spacing w:val="-3"/>
        </w:rPr>
        <w:t> </w:t>
      </w:r>
      <w:r>
        <w:rPr/>
        <w:t>Rehabilitation</w:t>
      </w:r>
      <w:r>
        <w:rPr>
          <w:spacing w:val="-6"/>
        </w:rPr>
        <w:t> </w:t>
      </w:r>
      <w:r>
        <w:rPr>
          <w:spacing w:val="-2"/>
        </w:rPr>
        <w:t>(DVR)</w:t>
      </w:r>
    </w:p>
    <w:p>
      <w:pPr>
        <w:pStyle w:val="BodyText"/>
        <w:spacing w:line="208" w:lineRule="auto" w:before="233"/>
        <w:ind w:right="727" w:firstLine="432"/>
      </w:pPr>
      <w:r>
        <w:rPr/>
        <w:t>The Division of Vocational Rehabilitation provides vocational rehabilitation services designed to result in an employment outcome for persons with disabilities. Priority is given to those with the most significant disabilities. Vocational Rehabilitation Field Coordinators</w:t>
      </w:r>
      <w:r>
        <w:rPr>
          <w:spacing w:val="-3"/>
        </w:rPr>
        <w:t> </w:t>
      </w:r>
      <w:r>
        <w:rPr/>
        <w:t>report</w:t>
      </w:r>
      <w:r>
        <w:rPr>
          <w:spacing w:val="-4"/>
        </w:rPr>
        <w:t> </w:t>
      </w:r>
      <w:r>
        <w:rPr/>
        <w:t>directly</w:t>
      </w:r>
      <w:r>
        <w:rPr>
          <w:spacing w:val="-3"/>
        </w:rPr>
        <w:t> </w:t>
      </w:r>
      <w:r>
        <w:rPr/>
        <w:t>to</w:t>
      </w:r>
      <w:r>
        <w:rPr>
          <w:spacing w:val="-3"/>
        </w:rPr>
        <w:t> </w:t>
      </w:r>
      <w:r>
        <w:rPr/>
        <w:t>the</w:t>
      </w:r>
      <w:r>
        <w:rPr>
          <w:spacing w:val="-4"/>
        </w:rPr>
        <w:t> </w:t>
      </w:r>
      <w:r>
        <w:rPr/>
        <w:t>Division</w:t>
      </w:r>
      <w:r>
        <w:rPr>
          <w:spacing w:val="-3"/>
        </w:rPr>
        <w:t> </w:t>
      </w:r>
      <w:r>
        <w:rPr/>
        <w:t>Administrator.</w:t>
      </w:r>
      <w:r>
        <w:rPr>
          <w:spacing w:val="-4"/>
        </w:rPr>
        <w:t> </w:t>
      </w:r>
      <w:r>
        <w:rPr/>
        <w:t>Local</w:t>
      </w:r>
      <w:r>
        <w:rPr>
          <w:spacing w:val="-3"/>
        </w:rPr>
        <w:t> </w:t>
      </w:r>
      <w:r>
        <w:rPr/>
        <w:t>office</w:t>
      </w:r>
      <w:r>
        <w:rPr>
          <w:spacing w:val="-3"/>
        </w:rPr>
        <w:t> </w:t>
      </w:r>
      <w:r>
        <w:rPr/>
        <w:t>staff</w:t>
      </w:r>
      <w:r>
        <w:rPr>
          <w:spacing w:val="-4"/>
        </w:rPr>
        <w:t> </w:t>
      </w:r>
      <w:r>
        <w:rPr/>
        <w:t>report</w:t>
      </w:r>
      <w:r>
        <w:rPr>
          <w:spacing w:val="-4"/>
        </w:rPr>
        <w:t> </w:t>
      </w:r>
      <w:r>
        <w:rPr/>
        <w:t>to</w:t>
      </w:r>
      <w:r>
        <w:rPr>
          <w:spacing w:val="-3"/>
        </w:rPr>
        <w:t> </w:t>
      </w:r>
      <w:r>
        <w:rPr/>
        <w:t>DVR Program Managers, who report to Field Coordinators. DRS has field staff assigned to meet the needs in every county of the state, although staff may not have an office in each county.</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775" w:firstLine="0"/>
        <w:jc w:val="left"/>
        <w:rPr>
          <w:sz w:val="22"/>
        </w:rPr>
      </w:pPr>
      <w:r>
        <w:rPr>
          <w:sz w:val="22"/>
        </w:rPr>
        <w:t>Permanent,</w:t>
      </w:r>
      <w:r>
        <w:rPr>
          <w:spacing w:val="-3"/>
          <w:sz w:val="22"/>
        </w:rPr>
        <w:t> </w:t>
      </w:r>
      <w:r>
        <w:rPr>
          <w:sz w:val="22"/>
        </w:rPr>
        <w:t>first</w:t>
      </w:r>
      <w:r>
        <w:rPr>
          <w:spacing w:val="-4"/>
          <w:sz w:val="22"/>
        </w:rPr>
        <w:t> </w:t>
      </w:r>
      <w:r>
        <w:rPr>
          <w:sz w:val="22"/>
        </w:rPr>
        <w:t>adoption</w:t>
      </w:r>
      <w:r>
        <w:rPr>
          <w:spacing w:val="-4"/>
          <w:sz w:val="22"/>
        </w:rPr>
        <w:t> </w:t>
      </w:r>
      <w:r>
        <w:rPr>
          <w:sz w:val="22"/>
        </w:rPr>
        <w:t>under</w:t>
      </w:r>
      <w:r>
        <w:rPr>
          <w:spacing w:val="-4"/>
          <w:sz w:val="22"/>
        </w:rPr>
        <w:t> </w:t>
      </w:r>
      <w:r>
        <w:rPr>
          <w:sz w:val="22"/>
        </w:rPr>
        <w:t>OAC</w:t>
      </w:r>
      <w:r>
        <w:rPr>
          <w:spacing w:val="-5"/>
          <w:sz w:val="22"/>
        </w:rPr>
        <w:t> </w:t>
      </w:r>
      <w:r>
        <w:rPr>
          <w:sz w:val="22"/>
        </w:rPr>
        <w:t>Title</w:t>
      </w:r>
      <w:r>
        <w:rPr>
          <w:spacing w:val="-4"/>
          <w:sz w:val="22"/>
        </w:rPr>
        <w:t> </w:t>
      </w:r>
      <w:r>
        <w:rPr>
          <w:sz w:val="22"/>
        </w:rPr>
        <w:t>612,</w:t>
      </w:r>
      <w:r>
        <w:rPr>
          <w:spacing w:val="-5"/>
          <w:sz w:val="22"/>
        </w:rPr>
        <w:t> </w:t>
      </w:r>
      <w:r>
        <w:rPr>
          <w:sz w:val="22"/>
        </w:rPr>
        <w:t>changed</w:t>
      </w:r>
      <w:r>
        <w:rPr>
          <w:spacing w:val="-4"/>
          <w:sz w:val="22"/>
        </w:rPr>
        <w:t> </w:t>
      </w:r>
      <w:r>
        <w:rPr>
          <w:sz w:val="22"/>
        </w:rPr>
        <w:t>Supported</w:t>
      </w:r>
      <w:r>
        <w:rPr>
          <w:spacing w:val="-4"/>
          <w:sz w:val="22"/>
        </w:rPr>
        <w:t> </w:t>
      </w:r>
      <w:r>
        <w:rPr>
          <w:sz w:val="22"/>
        </w:rPr>
        <w:t>Employment</w:t>
      </w:r>
      <w:r>
        <w:rPr>
          <w:spacing w:val="-4"/>
          <w:sz w:val="22"/>
        </w:rPr>
        <w:t> </w:t>
      </w:r>
      <w:r>
        <w:rPr>
          <w:sz w:val="22"/>
        </w:rPr>
        <w:t>to Community Rehabilitation Services and added responsibility for monitoring community rehab. programs.</w:t>
      </w:r>
    </w:p>
    <w:p>
      <w:pPr>
        <w:pStyle w:val="ListParagraph"/>
        <w:numPr>
          <w:ilvl w:val="2"/>
          <w:numId w:val="10"/>
        </w:numPr>
        <w:tabs>
          <w:tab w:pos="1439" w:val="left" w:leader="none"/>
        </w:tabs>
        <w:spacing w:line="253" w:lineRule="exact" w:before="1" w:after="0"/>
        <w:ind w:left="1439" w:right="0" w:hanging="1080"/>
        <w:jc w:val="left"/>
        <w:rPr>
          <w:sz w:val="22"/>
        </w:rPr>
      </w:pPr>
      <w:r>
        <w:rPr>
          <w:sz w:val="22"/>
        </w:rPr>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359" w:right="3888" w:firstLine="1080"/>
        <w:jc w:val="left"/>
        <w:rPr>
          <w:sz w:val="22"/>
        </w:rPr>
      </w:pPr>
      <w:r>
        <w:rPr>
          <w:sz w:val="22"/>
        </w:rPr>
        <w:t>Permanent,</w:t>
      </w:r>
      <w:r>
        <w:rPr>
          <w:spacing w:val="-5"/>
          <w:sz w:val="22"/>
        </w:rPr>
        <w:t> </w:t>
      </w:r>
      <w:r>
        <w:rPr>
          <w:sz w:val="22"/>
        </w:rPr>
        <w:t>Section</w:t>
      </w:r>
      <w:r>
        <w:rPr>
          <w:spacing w:val="-6"/>
          <w:sz w:val="22"/>
        </w:rPr>
        <w:t> </w:t>
      </w:r>
      <w:r>
        <w:rPr>
          <w:sz w:val="22"/>
        </w:rPr>
        <w:t>tagline</w:t>
      </w:r>
      <w:r>
        <w:rPr>
          <w:spacing w:val="-6"/>
          <w:sz w:val="22"/>
        </w:rPr>
        <w:t> </w:t>
      </w:r>
      <w:r>
        <w:rPr>
          <w:sz w:val="22"/>
        </w:rPr>
        <w:t>and</w:t>
      </w:r>
      <w:r>
        <w:rPr>
          <w:spacing w:val="-6"/>
          <w:sz w:val="22"/>
        </w:rPr>
        <w:t> </w:t>
      </w:r>
      <w:r>
        <w:rPr>
          <w:sz w:val="22"/>
        </w:rPr>
        <w:t>text</w:t>
      </w:r>
      <w:r>
        <w:rPr>
          <w:spacing w:val="-7"/>
          <w:sz w:val="22"/>
        </w:rPr>
        <w:t> </w:t>
      </w:r>
      <w:r>
        <w:rPr>
          <w:sz w:val="22"/>
        </w:rPr>
        <w:t>updated</w:t>
      </w:r>
      <w:r>
        <w:rPr>
          <w:spacing w:val="-6"/>
          <w:sz w:val="22"/>
        </w:rPr>
        <w:t> </w:t>
      </w:r>
      <w:r>
        <w:rPr>
          <w:sz w:val="22"/>
        </w:rPr>
        <w:t>to</w:t>
      </w:r>
      <w:r>
        <w:rPr>
          <w:spacing w:val="-7"/>
          <w:sz w:val="22"/>
        </w:rPr>
        <w:t> </w:t>
      </w:r>
      <w:r>
        <w:rPr>
          <w:sz w:val="22"/>
        </w:rPr>
        <w:t>DVR </w:t>
      </w:r>
      <w:r>
        <w:rPr>
          <w:spacing w:val="-2"/>
          <w:sz w:val="22"/>
        </w:rPr>
        <w:t>7-1-03</w:t>
      </w:r>
      <w:r>
        <w:rPr>
          <w:sz w:val="22"/>
        </w:rPr>
        <w:tab/>
        <w:t>PT Memo #03-07</w:t>
      </w:r>
    </w:p>
    <w:p>
      <w:pPr>
        <w:tabs>
          <w:tab w:pos="1439" w:val="left" w:leader="none"/>
        </w:tabs>
        <w:spacing w:before="0"/>
        <w:ind w:left="359" w:right="2982" w:firstLine="1080"/>
        <w:jc w:val="left"/>
        <w:rPr>
          <w:sz w:val="22"/>
        </w:rPr>
      </w:pPr>
      <w:r>
        <w:rPr>
          <w:sz w:val="22"/>
        </w:rPr>
        <w:t>Permanent,</w:t>
      </w:r>
      <w:r>
        <w:rPr>
          <w:spacing w:val="-5"/>
          <w:sz w:val="22"/>
        </w:rPr>
        <w:t> </w:t>
      </w:r>
      <w:r>
        <w:rPr>
          <w:sz w:val="22"/>
        </w:rPr>
        <w:t>removed</w:t>
      </w:r>
      <w:r>
        <w:rPr>
          <w:spacing w:val="-6"/>
          <w:sz w:val="22"/>
        </w:rPr>
        <w:t> </w:t>
      </w:r>
      <w:r>
        <w:rPr>
          <w:sz w:val="22"/>
        </w:rPr>
        <w:t>reference</w:t>
      </w:r>
      <w:r>
        <w:rPr>
          <w:spacing w:val="-6"/>
          <w:sz w:val="22"/>
        </w:rPr>
        <w:t> </w:t>
      </w:r>
      <w:r>
        <w:rPr>
          <w:sz w:val="22"/>
        </w:rPr>
        <w:t>to</w:t>
      </w:r>
      <w:r>
        <w:rPr>
          <w:spacing w:val="-6"/>
          <w:sz w:val="22"/>
        </w:rPr>
        <w:t> </w:t>
      </w:r>
      <w:r>
        <w:rPr>
          <w:sz w:val="22"/>
        </w:rPr>
        <w:t>TLC</w:t>
      </w:r>
      <w:r>
        <w:rPr>
          <w:spacing w:val="-7"/>
          <w:sz w:val="22"/>
        </w:rPr>
        <w:t> </w:t>
      </w:r>
      <w:r>
        <w:rPr>
          <w:sz w:val="22"/>
        </w:rPr>
        <w:t>and</w:t>
      </w:r>
      <w:r>
        <w:rPr>
          <w:spacing w:val="-6"/>
          <w:sz w:val="22"/>
        </w:rPr>
        <w:t> </w:t>
      </w:r>
      <w:r>
        <w:rPr>
          <w:sz w:val="22"/>
        </w:rPr>
        <w:t>updated</w:t>
      </w:r>
      <w:r>
        <w:rPr>
          <w:spacing w:val="-6"/>
          <w:sz w:val="22"/>
        </w:rPr>
        <w:t> </w:t>
      </w:r>
      <w:r>
        <w:rPr>
          <w:sz w:val="22"/>
        </w:rPr>
        <w:t>language </w:t>
      </w:r>
      <w:r>
        <w:rPr>
          <w:spacing w:val="-2"/>
          <w:sz w:val="22"/>
        </w:rPr>
        <w:t>7-1-04</w:t>
      </w:r>
      <w:r>
        <w:rPr>
          <w:sz w:val="22"/>
        </w:rPr>
        <w:tab/>
        <w:t>PT Memo #05-01</w:t>
      </w:r>
    </w:p>
    <w:p>
      <w:pPr>
        <w:spacing w:before="0"/>
        <w:ind w:left="1439" w:right="775" w:firstLine="0"/>
        <w:jc w:val="left"/>
        <w:rPr>
          <w:sz w:val="22"/>
        </w:rPr>
      </w:pPr>
      <w:r>
        <w:rPr>
          <w:sz w:val="22"/>
        </w:rPr>
        <w:t>Permanent,</w:t>
      </w:r>
      <w:r>
        <w:rPr>
          <w:spacing w:val="-4"/>
          <w:sz w:val="22"/>
        </w:rPr>
        <w:t> </w:t>
      </w:r>
      <w:r>
        <w:rPr>
          <w:sz w:val="22"/>
        </w:rPr>
        <w:t>changed</w:t>
      </w:r>
      <w:r>
        <w:rPr>
          <w:spacing w:val="-5"/>
          <w:sz w:val="22"/>
        </w:rPr>
        <w:t> </w:t>
      </w:r>
      <w:r>
        <w:rPr>
          <w:sz w:val="22"/>
        </w:rPr>
        <w:t>name</w:t>
      </w:r>
      <w:r>
        <w:rPr>
          <w:spacing w:val="-5"/>
          <w:sz w:val="22"/>
        </w:rPr>
        <w:t> </w:t>
      </w:r>
      <w:r>
        <w:rPr>
          <w:sz w:val="22"/>
        </w:rPr>
        <w:t>of</w:t>
      </w:r>
      <w:r>
        <w:rPr>
          <w:spacing w:val="-5"/>
          <w:sz w:val="22"/>
        </w:rPr>
        <w:t> </w:t>
      </w:r>
      <w:r>
        <w:rPr>
          <w:sz w:val="22"/>
        </w:rPr>
        <w:t>Community</w:t>
      </w:r>
      <w:r>
        <w:rPr>
          <w:spacing w:val="-5"/>
          <w:sz w:val="22"/>
        </w:rPr>
        <w:t> </w:t>
      </w:r>
      <w:r>
        <w:rPr>
          <w:sz w:val="22"/>
        </w:rPr>
        <w:t>Rehabilitation</w:t>
      </w:r>
      <w:r>
        <w:rPr>
          <w:spacing w:val="-5"/>
          <w:sz w:val="22"/>
        </w:rPr>
        <w:t> </w:t>
      </w:r>
      <w:r>
        <w:rPr>
          <w:sz w:val="22"/>
        </w:rPr>
        <w:t>Services</w:t>
      </w:r>
      <w:r>
        <w:rPr>
          <w:spacing w:val="-5"/>
          <w:sz w:val="22"/>
        </w:rPr>
        <w:t> </w:t>
      </w:r>
      <w:r>
        <w:rPr>
          <w:sz w:val="22"/>
        </w:rPr>
        <w:t>Unit</w:t>
      </w:r>
      <w:r>
        <w:rPr>
          <w:spacing w:val="-6"/>
          <w:sz w:val="22"/>
        </w:rPr>
        <w:t> </w:t>
      </w:r>
      <w:r>
        <w:rPr>
          <w:sz w:val="22"/>
        </w:rPr>
        <w:t>to Employment Support Services Unit.</w:t>
      </w:r>
    </w:p>
    <w:p>
      <w:pPr>
        <w:tabs>
          <w:tab w:pos="1439" w:val="left" w:leader="none"/>
        </w:tabs>
        <w:spacing w:before="0"/>
        <w:ind w:left="1439" w:right="769" w:hanging="1080"/>
        <w:jc w:val="left"/>
        <w:rPr>
          <w:sz w:val="22"/>
        </w:rPr>
      </w:pPr>
      <w:r>
        <w:rPr>
          <w:spacing w:val="-2"/>
          <w:sz w:val="22"/>
        </w:rPr>
        <w:t>9-14-18</w:t>
      </w:r>
      <w:r>
        <w:rPr>
          <w:sz w:val="22"/>
        </w:rPr>
        <w:tab/>
        <w:t>Removal of reference to an Independent Living Program no longer operated by the division</w:t>
      </w:r>
      <w:r>
        <w:rPr>
          <w:spacing w:val="-3"/>
          <w:sz w:val="22"/>
        </w:rPr>
        <w:t> </w:t>
      </w:r>
      <w:r>
        <w:rPr>
          <w:sz w:val="22"/>
        </w:rPr>
        <w:t>and</w:t>
      </w:r>
      <w:r>
        <w:rPr>
          <w:spacing w:val="-4"/>
          <w:sz w:val="22"/>
        </w:rPr>
        <w:t> </w:t>
      </w:r>
      <w:r>
        <w:rPr>
          <w:sz w:val="22"/>
        </w:rPr>
        <w:t>removal</w:t>
      </w:r>
      <w:r>
        <w:rPr>
          <w:spacing w:val="-3"/>
          <w:sz w:val="22"/>
        </w:rPr>
        <w:t> </w:t>
      </w:r>
      <w:r>
        <w:rPr>
          <w:sz w:val="22"/>
        </w:rPr>
        <w:t>of</w:t>
      </w:r>
      <w:r>
        <w:rPr>
          <w:spacing w:val="-3"/>
          <w:sz w:val="22"/>
        </w:rPr>
        <w:t> </w:t>
      </w:r>
      <w:r>
        <w:rPr>
          <w:sz w:val="22"/>
        </w:rPr>
        <w:t>references</w:t>
      </w:r>
      <w:r>
        <w:rPr>
          <w:spacing w:val="-3"/>
          <w:sz w:val="22"/>
        </w:rPr>
        <w:t> </w:t>
      </w:r>
      <w:r>
        <w:rPr>
          <w:sz w:val="22"/>
        </w:rPr>
        <w:t>to</w:t>
      </w:r>
      <w:r>
        <w:rPr>
          <w:spacing w:val="-4"/>
          <w:sz w:val="22"/>
        </w:rPr>
        <w:t> </w:t>
      </w:r>
      <w:r>
        <w:rPr>
          <w:sz w:val="22"/>
        </w:rPr>
        <w:t>specific</w:t>
      </w:r>
      <w:r>
        <w:rPr>
          <w:spacing w:val="-3"/>
          <w:sz w:val="22"/>
        </w:rPr>
        <w:t> </w:t>
      </w:r>
      <w:r>
        <w:rPr>
          <w:sz w:val="22"/>
        </w:rPr>
        <w:t>units</w:t>
      </w:r>
      <w:r>
        <w:rPr>
          <w:spacing w:val="-3"/>
          <w:sz w:val="22"/>
        </w:rPr>
        <w:t> </w:t>
      </w:r>
      <w:r>
        <w:rPr>
          <w:sz w:val="22"/>
        </w:rPr>
        <w:t>and</w:t>
      </w:r>
      <w:r>
        <w:rPr>
          <w:spacing w:val="-3"/>
          <w:sz w:val="22"/>
        </w:rPr>
        <w:t> </w:t>
      </w:r>
      <w:r>
        <w:rPr>
          <w:sz w:val="22"/>
        </w:rPr>
        <w:t>program</w:t>
      </w:r>
      <w:r>
        <w:rPr>
          <w:spacing w:val="-4"/>
          <w:sz w:val="22"/>
        </w:rPr>
        <w:t> </w:t>
      </w:r>
      <w:r>
        <w:rPr>
          <w:sz w:val="22"/>
        </w:rPr>
        <w:t>areas</w:t>
      </w:r>
      <w:r>
        <w:rPr>
          <w:spacing w:val="-3"/>
          <w:sz w:val="22"/>
        </w:rPr>
        <w:t> </w:t>
      </w:r>
      <w:r>
        <w:rPr>
          <w:sz w:val="22"/>
        </w:rPr>
        <w:t>and</w:t>
      </w:r>
      <w:r>
        <w:rPr>
          <w:spacing w:val="-3"/>
          <w:sz w:val="22"/>
        </w:rPr>
        <w:t> </w:t>
      </w:r>
      <w:r>
        <w:rPr>
          <w:sz w:val="22"/>
        </w:rPr>
        <w:t>provide</w:t>
      </w:r>
      <w:r>
        <w:rPr>
          <w:spacing w:val="-3"/>
          <w:sz w:val="22"/>
        </w:rPr>
        <w:t> </w:t>
      </w:r>
      <w:r>
        <w:rPr>
          <w:sz w:val="22"/>
        </w:rPr>
        <w:t>a broader description of the division purpose, scope and structure.</w:t>
      </w:r>
    </w:p>
    <w:p>
      <w:pPr>
        <w:tabs>
          <w:tab w:pos="1439" w:val="left" w:leader="none"/>
        </w:tabs>
        <w:spacing w:before="0"/>
        <w:ind w:left="359" w:right="0" w:firstLine="0"/>
        <w:jc w:val="left"/>
        <w:rPr>
          <w:sz w:val="22"/>
        </w:rPr>
      </w:pPr>
      <w:r>
        <w:rPr>
          <w:spacing w:val="-2"/>
          <w:sz w:val="22"/>
        </w:rPr>
        <w:t>8-26-</w:t>
      </w:r>
      <w:r>
        <w:rPr>
          <w:spacing w:val="-5"/>
          <w:sz w:val="22"/>
        </w:rPr>
        <w:t>21</w:t>
      </w:r>
      <w:r>
        <w:rPr>
          <w:sz w:val="22"/>
        </w:rPr>
        <w:tab/>
        <w:t>Removal</w:t>
      </w:r>
      <w:r>
        <w:rPr>
          <w:spacing w:val="-8"/>
          <w:sz w:val="22"/>
        </w:rPr>
        <w:t> </w:t>
      </w:r>
      <w:r>
        <w:rPr>
          <w:sz w:val="22"/>
        </w:rPr>
        <w:t>of</w:t>
      </w:r>
      <w:r>
        <w:rPr>
          <w:spacing w:val="-8"/>
          <w:sz w:val="22"/>
        </w:rPr>
        <w:t> </w:t>
      </w:r>
      <w:r>
        <w:rPr>
          <w:sz w:val="22"/>
        </w:rPr>
        <w:t>antiquated</w:t>
      </w:r>
      <w:r>
        <w:rPr>
          <w:spacing w:val="-7"/>
          <w:sz w:val="22"/>
        </w:rPr>
        <w:t> </w:t>
      </w:r>
      <w:r>
        <w:rPr>
          <w:spacing w:val="-2"/>
          <w:sz w:val="22"/>
        </w:rPr>
        <w:t>language.</w:t>
      </w:r>
    </w:p>
    <w:p>
      <w:pPr>
        <w:spacing w:after="0"/>
        <w:jc w:val="left"/>
        <w:rPr>
          <w:sz w:val="22"/>
        </w:rPr>
        <w:sectPr>
          <w:pgSz w:w="12240" w:h="15840"/>
          <w:pgMar w:top="1340" w:bottom="280" w:left="1080" w:right="720"/>
        </w:sectPr>
      </w:pPr>
    </w:p>
    <w:p>
      <w:pPr>
        <w:pStyle w:val="Heading2"/>
      </w:pPr>
      <w:bookmarkStart w:name="612:1-5-3.  Division of Services for the" w:id="18"/>
      <w:bookmarkEnd w:id="18"/>
      <w:r>
        <w:rPr>
          <w:b w:val="0"/>
        </w:rPr>
      </w:r>
      <w:r>
        <w:rPr/>
        <w:t>612:1-5-3.</w:t>
      </w:r>
      <w:r>
        <w:rPr>
          <w:spacing w:val="60"/>
        </w:rPr>
        <w:t> </w:t>
      </w:r>
      <w:r>
        <w:rPr/>
        <w:t>Division</w:t>
      </w:r>
      <w:r>
        <w:rPr>
          <w:spacing w:val="-3"/>
        </w:rPr>
        <w:t> </w:t>
      </w:r>
      <w:r>
        <w:rPr/>
        <w:t>of</w:t>
      </w:r>
      <w:r>
        <w:rPr>
          <w:spacing w:val="-2"/>
        </w:rPr>
        <w:t> </w:t>
      </w:r>
      <w:r>
        <w:rPr/>
        <w:t>Services</w:t>
      </w:r>
      <w:r>
        <w:rPr>
          <w:spacing w:val="-3"/>
        </w:rPr>
        <w:t> </w:t>
      </w:r>
      <w:r>
        <w:rPr/>
        <w:t>for</w:t>
      </w:r>
      <w:r>
        <w:rPr>
          <w:spacing w:val="-3"/>
        </w:rPr>
        <w:t> </w:t>
      </w:r>
      <w:r>
        <w:rPr/>
        <w:t>the</w:t>
      </w:r>
      <w:r>
        <w:rPr>
          <w:spacing w:val="-3"/>
        </w:rPr>
        <w:t> </w:t>
      </w:r>
      <w:r>
        <w:rPr/>
        <w:t>Blind</w:t>
      </w:r>
      <w:r>
        <w:rPr>
          <w:spacing w:val="-3"/>
        </w:rPr>
        <w:t> </w:t>
      </w:r>
      <w:r>
        <w:rPr/>
        <w:t>and</w:t>
      </w:r>
      <w:r>
        <w:rPr>
          <w:spacing w:val="-3"/>
        </w:rPr>
        <w:t> </w:t>
      </w:r>
      <w:r>
        <w:rPr/>
        <w:t>Visually</w:t>
      </w:r>
      <w:r>
        <w:rPr>
          <w:spacing w:val="-3"/>
        </w:rPr>
        <w:t> </w:t>
      </w:r>
      <w:r>
        <w:rPr/>
        <w:t>Impaired</w:t>
      </w:r>
      <w:r>
        <w:rPr>
          <w:spacing w:val="-3"/>
        </w:rPr>
        <w:t> </w:t>
      </w:r>
      <w:r>
        <w:rPr>
          <w:spacing w:val="-2"/>
        </w:rPr>
        <w:t>(DSBVI)</w:t>
      </w:r>
    </w:p>
    <w:p>
      <w:pPr>
        <w:pStyle w:val="BodyText"/>
        <w:spacing w:line="208" w:lineRule="auto" w:before="233"/>
        <w:ind w:left="359" w:right="739" w:firstLine="432"/>
      </w:pPr>
      <w:r>
        <w:rPr/>
        <mc:AlternateContent>
          <mc:Choice Requires="wps">
            <w:drawing>
              <wp:anchor distT="0" distB="0" distL="0" distR="0" allowOverlap="1" layoutInCell="1" locked="0" behindDoc="1" simplePos="0" relativeHeight="481923584">
                <wp:simplePos x="0" y="0"/>
                <wp:positionH relativeFrom="page">
                  <wp:posOffset>3243833</wp:posOffset>
                </wp:positionH>
                <wp:positionV relativeFrom="paragraph">
                  <wp:posOffset>593231</wp:posOffset>
                </wp:positionV>
                <wp:extent cx="43180" cy="1143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3180" cy="11430"/>
                        </a:xfrm>
                        <a:custGeom>
                          <a:avLst/>
                          <a:gdLst/>
                          <a:ahLst/>
                          <a:cxnLst/>
                          <a:rect l="l" t="t" r="r" b="b"/>
                          <a:pathLst>
                            <a:path w="43180" h="11430">
                              <a:moveTo>
                                <a:pt x="42671" y="0"/>
                              </a:moveTo>
                              <a:lnTo>
                                <a:pt x="0" y="0"/>
                              </a:lnTo>
                              <a:lnTo>
                                <a:pt x="0" y="11429"/>
                              </a:lnTo>
                              <a:lnTo>
                                <a:pt x="42671" y="11429"/>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55.419998pt;margin-top:46.71117pt;width:3.36pt;height:.9pt;mso-position-horizontal-relative:page;mso-position-vertical-relative:paragraph;z-index:-21392896" id="docshape3" filled="true" fillcolor="#000000" stroked="false">
                <v:fill type="solid"/>
                <w10:wrap type="none"/>
              </v:rect>
            </w:pict>
          </mc:Fallback>
        </mc:AlternateContent>
      </w:r>
      <w:r>
        <w:rPr/>
        <w:t>The Division of Services for the Blind and Visually Impaired provides diagnostic, counseling</w:t>
      </w:r>
      <w:r>
        <w:rPr>
          <w:spacing w:val="-4"/>
        </w:rPr>
        <w:t> </w:t>
      </w:r>
      <w:r>
        <w:rPr/>
        <w:t>and</w:t>
      </w:r>
      <w:r>
        <w:rPr>
          <w:spacing w:val="-4"/>
        </w:rPr>
        <w:t> </w:t>
      </w:r>
      <w:r>
        <w:rPr/>
        <w:t>guidance,</w:t>
      </w:r>
      <w:r>
        <w:rPr>
          <w:spacing w:val="-4"/>
        </w:rPr>
        <w:t> </w:t>
      </w:r>
      <w:r>
        <w:rPr/>
        <w:t>physical</w:t>
      </w:r>
      <w:r>
        <w:rPr>
          <w:spacing w:val="-4"/>
        </w:rPr>
        <w:t> </w:t>
      </w:r>
      <w:r>
        <w:rPr/>
        <w:t>restoration,</w:t>
      </w:r>
      <w:r>
        <w:rPr>
          <w:spacing w:val="-4"/>
        </w:rPr>
        <w:t> </w:t>
      </w:r>
      <w:r>
        <w:rPr/>
        <w:t>training,</w:t>
      </w:r>
      <w:r>
        <w:rPr>
          <w:spacing w:val="-5"/>
        </w:rPr>
        <w:t> </w:t>
      </w:r>
      <w:r>
        <w:rPr/>
        <w:t>and</w:t>
      </w:r>
      <w:r>
        <w:rPr>
          <w:spacing w:val="-4"/>
        </w:rPr>
        <w:t> </w:t>
      </w:r>
      <w:r>
        <w:rPr/>
        <w:t>other</w:t>
      </w:r>
      <w:r>
        <w:rPr>
          <w:spacing w:val="-4"/>
        </w:rPr>
        <w:t> </w:t>
      </w:r>
      <w:r>
        <w:rPr/>
        <w:t>services</w:t>
      </w:r>
      <w:r>
        <w:rPr>
          <w:spacing w:val="-4"/>
        </w:rPr>
        <w:t> </w:t>
      </w:r>
      <w:r>
        <w:rPr/>
        <w:t>to</w:t>
      </w:r>
      <w:r>
        <w:rPr>
          <w:spacing w:val="-4"/>
        </w:rPr>
        <w:t> </w:t>
      </w:r>
      <w:r>
        <w:rPr/>
        <w:t>individuals whose major disability is blindness, </w:t>
      </w:r>
      <w:r>
        <w:rPr>
          <w:strike/>
        </w:rPr>
        <w:t>or</w:t>
      </w:r>
      <w:r>
        <w:rPr>
          <w:strike w:val="0"/>
        </w:rPr>
        <w:t> severe visual impairment, a progressive sight threatening disease, or functional limitation resulting from sight loss. All departmental managers and Services for the Blind and Visually Impaired Field Coordinators report directly to the Division Administrator or designee. Rehabilitation teachers for the blind provide in-home training, counseling and instruction in daily-living skills to blind and visually impaired individuals. DRS has field staff assigned to meet the needs in every county of the state, although staff may not be officed in each county. Local office staff report to</w:t>
      </w:r>
      <w:r>
        <w:rPr>
          <w:strike w:val="0"/>
          <w:spacing w:val="-2"/>
        </w:rPr>
        <w:t> </w:t>
      </w:r>
      <w:r>
        <w:rPr>
          <w:strike w:val="0"/>
        </w:rPr>
        <w:t>SBVI Program Managers, who</w:t>
      </w:r>
      <w:r>
        <w:rPr>
          <w:strike w:val="0"/>
          <w:spacing w:val="-1"/>
        </w:rPr>
        <w:t> </w:t>
      </w:r>
      <w:r>
        <w:rPr>
          <w:strike w:val="0"/>
        </w:rPr>
        <w:t>report to</w:t>
      </w:r>
      <w:r>
        <w:rPr>
          <w:strike w:val="0"/>
          <w:spacing w:val="-2"/>
        </w:rPr>
        <w:t> </w:t>
      </w:r>
      <w:r>
        <w:rPr>
          <w:strike w:val="0"/>
        </w:rPr>
        <w:t>the</w:t>
      </w:r>
      <w:r>
        <w:rPr>
          <w:strike w:val="0"/>
          <w:spacing w:val="-1"/>
        </w:rPr>
        <w:t> </w:t>
      </w:r>
      <w:r>
        <w:rPr>
          <w:strike w:val="0"/>
        </w:rPr>
        <w:t>Field</w:t>
      </w:r>
      <w:r>
        <w:rPr>
          <w:strike w:val="0"/>
          <w:spacing w:val="-1"/>
        </w:rPr>
        <w:t> </w:t>
      </w:r>
      <w:r>
        <w:rPr>
          <w:strike w:val="0"/>
        </w:rPr>
        <w:t>Coordinators. The</w:t>
      </w:r>
      <w:r>
        <w:rPr>
          <w:strike w:val="0"/>
          <w:spacing w:val="-2"/>
        </w:rPr>
        <w:t> </w:t>
      </w:r>
      <w:r>
        <w:rPr>
          <w:strike w:val="0"/>
        </w:rPr>
        <w:t>Oklahoma Library for the Blind and Physically Handicapped provides books and magazines in special media to blind and print-limited Oklahomans. The Division of Services for the Blind and Visually Impaired administers the Randolph-Sheppard Business Enterprise Program in Oklahoma, securing suitable locations for vending facilities; designing and installing equipment; recruiting, training, placing and supervising operators for the </w:t>
      </w:r>
      <w:r>
        <w:rPr>
          <w:strike w:val="0"/>
          <w:spacing w:val="-2"/>
        </w:rPr>
        <w:t>facilities.</w:t>
      </w:r>
    </w:p>
    <w:p>
      <w:pPr>
        <w:spacing w:before="242"/>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7-1-99</w:t>
      </w:r>
      <w:r>
        <w:rPr>
          <w:sz w:val="22"/>
        </w:rPr>
        <w:tab/>
        <w:t>POL Memo #00-1</w:t>
      </w:r>
    </w:p>
    <w:p>
      <w:pPr>
        <w:tabs>
          <w:tab w:pos="1439" w:val="left" w:leader="none"/>
        </w:tabs>
        <w:spacing w:before="1"/>
        <w:ind w:left="359" w:right="926" w:firstLine="1080"/>
        <w:jc w:val="left"/>
        <w:rPr>
          <w:sz w:val="22"/>
        </w:rPr>
      </w:pPr>
      <w:r>
        <w:rPr>
          <w:sz w:val="22"/>
        </w:rPr>
        <w:t>Permanent,</w:t>
      </w:r>
      <w:r>
        <w:rPr>
          <w:spacing w:val="-3"/>
          <w:sz w:val="22"/>
        </w:rPr>
        <w:t> </w:t>
      </w:r>
      <w:r>
        <w:rPr>
          <w:sz w:val="22"/>
        </w:rPr>
        <w:t>Section</w:t>
      </w:r>
      <w:r>
        <w:rPr>
          <w:spacing w:val="-4"/>
          <w:sz w:val="22"/>
        </w:rPr>
        <w:t> </w:t>
      </w:r>
      <w:r>
        <w:rPr>
          <w:sz w:val="22"/>
        </w:rPr>
        <w:t>tagline</w:t>
      </w:r>
      <w:r>
        <w:rPr>
          <w:spacing w:val="-4"/>
          <w:sz w:val="22"/>
        </w:rPr>
        <w:t> </w:t>
      </w:r>
      <w:r>
        <w:rPr>
          <w:sz w:val="22"/>
        </w:rPr>
        <w:t>updated</w:t>
      </w:r>
      <w:r>
        <w:rPr>
          <w:spacing w:val="-4"/>
          <w:sz w:val="22"/>
        </w:rPr>
        <w:t> </w:t>
      </w:r>
      <w:r>
        <w:rPr>
          <w:sz w:val="22"/>
        </w:rPr>
        <w:t>to</w:t>
      </w:r>
      <w:r>
        <w:rPr>
          <w:spacing w:val="-4"/>
          <w:sz w:val="22"/>
        </w:rPr>
        <w:t> </w:t>
      </w:r>
      <w:r>
        <w:rPr>
          <w:sz w:val="22"/>
        </w:rPr>
        <w:t>DVS;</w:t>
      </w:r>
      <w:r>
        <w:rPr>
          <w:spacing w:val="-4"/>
          <w:sz w:val="22"/>
        </w:rPr>
        <w:t> </w:t>
      </w:r>
      <w:r>
        <w:rPr>
          <w:sz w:val="22"/>
        </w:rPr>
        <w:t>Section</w:t>
      </w:r>
      <w:r>
        <w:rPr>
          <w:spacing w:val="-4"/>
          <w:sz w:val="22"/>
        </w:rPr>
        <w:t> </w:t>
      </w:r>
      <w:r>
        <w:rPr>
          <w:sz w:val="22"/>
        </w:rPr>
        <w:t>text</w:t>
      </w:r>
      <w:r>
        <w:rPr>
          <w:spacing w:val="-4"/>
          <w:sz w:val="22"/>
        </w:rPr>
        <w:t> </w:t>
      </w:r>
      <w:r>
        <w:rPr>
          <w:sz w:val="22"/>
        </w:rPr>
        <w:t>updated</w:t>
      </w:r>
      <w:r>
        <w:rPr>
          <w:spacing w:val="-4"/>
          <w:sz w:val="22"/>
        </w:rPr>
        <w:t> </w:t>
      </w:r>
      <w:r>
        <w:rPr>
          <w:sz w:val="22"/>
        </w:rPr>
        <w:t>to</w:t>
      </w:r>
      <w:r>
        <w:rPr>
          <w:spacing w:val="-4"/>
          <w:sz w:val="22"/>
        </w:rPr>
        <w:t> </w:t>
      </w:r>
      <w:r>
        <w:rPr>
          <w:sz w:val="22"/>
        </w:rPr>
        <w:t>DVS</w:t>
      </w:r>
      <w:r>
        <w:rPr>
          <w:spacing w:val="-3"/>
          <w:sz w:val="22"/>
        </w:rPr>
        <w:t> </w:t>
      </w:r>
      <w:r>
        <w:rPr>
          <w:sz w:val="22"/>
        </w:rPr>
        <w:t>and</w:t>
      </w:r>
      <w:r>
        <w:rPr>
          <w:spacing w:val="-4"/>
          <w:sz w:val="22"/>
        </w:rPr>
        <w:t> </w:t>
      </w:r>
      <w:r>
        <w:rPr>
          <w:sz w:val="22"/>
        </w:rPr>
        <w:t>BEP </w:t>
      </w:r>
      <w:r>
        <w:rPr>
          <w:spacing w:val="-2"/>
          <w:sz w:val="22"/>
        </w:rPr>
        <w:t>7-1-03</w:t>
      </w:r>
      <w:r>
        <w:rPr>
          <w:sz w:val="22"/>
        </w:rPr>
        <w:tab/>
        <w:t>PT Memo #03-07</w:t>
      </w:r>
    </w:p>
    <w:p>
      <w:pPr>
        <w:tabs>
          <w:tab w:pos="1439" w:val="left" w:leader="none"/>
        </w:tabs>
        <w:spacing w:before="0"/>
        <w:ind w:left="359" w:right="4536" w:firstLine="1080"/>
        <w:jc w:val="left"/>
        <w:rPr>
          <w:sz w:val="22"/>
        </w:rPr>
      </w:pPr>
      <w:r>
        <w:rPr>
          <w:sz w:val="22"/>
        </w:rPr>
        <w:t>Permanent,</w:t>
      </w:r>
      <w:r>
        <w:rPr>
          <w:spacing w:val="-9"/>
          <w:sz w:val="22"/>
        </w:rPr>
        <w:t> </w:t>
      </w:r>
      <w:r>
        <w:rPr>
          <w:sz w:val="22"/>
        </w:rPr>
        <w:t>updated</w:t>
      </w:r>
      <w:r>
        <w:rPr>
          <w:spacing w:val="-10"/>
          <w:sz w:val="22"/>
        </w:rPr>
        <w:t> </w:t>
      </w:r>
      <w:r>
        <w:rPr>
          <w:sz w:val="22"/>
        </w:rPr>
        <w:t>supervisors</w:t>
      </w:r>
      <w:r>
        <w:rPr>
          <w:spacing w:val="-10"/>
          <w:sz w:val="22"/>
        </w:rPr>
        <w:t> </w:t>
      </w:r>
      <w:r>
        <w:rPr>
          <w:sz w:val="22"/>
        </w:rPr>
        <w:t>to</w:t>
      </w:r>
      <w:r>
        <w:rPr>
          <w:spacing w:val="-12"/>
          <w:sz w:val="22"/>
        </w:rPr>
        <w:t> </w:t>
      </w:r>
      <w:r>
        <w:rPr>
          <w:sz w:val="22"/>
        </w:rPr>
        <w:t>managers </w:t>
      </w:r>
      <w:r>
        <w:rPr>
          <w:spacing w:val="-2"/>
          <w:sz w:val="22"/>
        </w:rPr>
        <w:t>7-1-05</w:t>
      </w:r>
      <w:r>
        <w:rPr>
          <w:sz w:val="22"/>
        </w:rPr>
        <w:tab/>
        <w:t>PT Memo #06-01</w:t>
      </w:r>
    </w:p>
    <w:p>
      <w:pPr>
        <w:spacing w:before="0"/>
        <w:ind w:left="1439" w:right="0" w:firstLine="0"/>
        <w:jc w:val="left"/>
        <w:rPr>
          <w:sz w:val="22"/>
        </w:rPr>
      </w:pPr>
      <w:r>
        <w:rPr>
          <w:sz w:val="22"/>
        </w:rPr>
        <w:t>Permanent,</w:t>
      </w:r>
      <w:r>
        <w:rPr>
          <w:spacing w:val="-7"/>
          <w:sz w:val="22"/>
        </w:rPr>
        <w:t> </w:t>
      </w:r>
      <w:r>
        <w:rPr>
          <w:sz w:val="22"/>
        </w:rPr>
        <w:t>expanded</w:t>
      </w:r>
      <w:r>
        <w:rPr>
          <w:spacing w:val="-7"/>
          <w:sz w:val="22"/>
        </w:rPr>
        <w:t> </w:t>
      </w:r>
      <w:r>
        <w:rPr>
          <w:sz w:val="22"/>
        </w:rPr>
        <w:t>determining</w:t>
      </w:r>
      <w:r>
        <w:rPr>
          <w:spacing w:val="-7"/>
          <w:sz w:val="22"/>
        </w:rPr>
        <w:t> </w:t>
      </w:r>
      <w:r>
        <w:rPr>
          <w:sz w:val="22"/>
        </w:rPr>
        <w:t>factors</w:t>
      </w:r>
      <w:r>
        <w:rPr>
          <w:spacing w:val="-8"/>
          <w:sz w:val="22"/>
        </w:rPr>
        <w:t> </w:t>
      </w:r>
      <w:r>
        <w:rPr>
          <w:sz w:val="22"/>
        </w:rPr>
        <w:t>for</w:t>
      </w:r>
      <w:r>
        <w:rPr>
          <w:spacing w:val="-7"/>
          <w:sz w:val="22"/>
        </w:rPr>
        <w:t> </w:t>
      </w:r>
      <w:r>
        <w:rPr>
          <w:sz w:val="22"/>
        </w:rPr>
        <w:t>VS</w:t>
      </w:r>
      <w:r>
        <w:rPr>
          <w:spacing w:val="-7"/>
          <w:sz w:val="22"/>
        </w:rPr>
        <w:t> </w:t>
      </w:r>
      <w:r>
        <w:rPr>
          <w:sz w:val="22"/>
        </w:rPr>
        <w:t>and</w:t>
      </w:r>
      <w:r>
        <w:rPr>
          <w:spacing w:val="-7"/>
          <w:sz w:val="22"/>
        </w:rPr>
        <w:t> </w:t>
      </w:r>
      <w:r>
        <w:rPr>
          <w:sz w:val="22"/>
        </w:rPr>
        <w:t>added</w:t>
      </w:r>
      <w:r>
        <w:rPr>
          <w:spacing w:val="-7"/>
          <w:sz w:val="22"/>
        </w:rPr>
        <w:t> </w:t>
      </w:r>
      <w:r>
        <w:rPr>
          <w:sz w:val="22"/>
        </w:rPr>
        <w:t>Field</w:t>
      </w:r>
      <w:r>
        <w:rPr>
          <w:spacing w:val="-8"/>
          <w:sz w:val="22"/>
        </w:rPr>
        <w:t> </w:t>
      </w:r>
      <w:r>
        <w:rPr>
          <w:spacing w:val="-2"/>
          <w:sz w:val="22"/>
        </w:rPr>
        <w:t>Coordinator.</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line="252" w:lineRule="exact" w:before="0"/>
        <w:ind w:left="359" w:right="0" w:firstLine="0"/>
        <w:jc w:val="left"/>
        <w:rPr>
          <w:sz w:val="22"/>
        </w:rPr>
      </w:pPr>
      <w:r>
        <w:rPr>
          <w:spacing w:val="-2"/>
          <w:sz w:val="22"/>
        </w:rPr>
        <w:t>8-25-</w:t>
      </w:r>
      <w:r>
        <w:rPr>
          <w:spacing w:val="-5"/>
          <w:sz w:val="22"/>
        </w:rPr>
        <w:t>16</w:t>
      </w:r>
      <w:r>
        <w:rPr>
          <w:sz w:val="22"/>
        </w:rPr>
        <w:tab/>
        <w:t>Updated</w:t>
      </w:r>
      <w:r>
        <w:rPr>
          <w:spacing w:val="-8"/>
          <w:sz w:val="22"/>
        </w:rPr>
        <w:t> </w:t>
      </w:r>
      <w:r>
        <w:rPr>
          <w:sz w:val="22"/>
        </w:rPr>
        <w:t>language</w:t>
      </w:r>
      <w:r>
        <w:rPr>
          <w:spacing w:val="-7"/>
          <w:sz w:val="22"/>
        </w:rPr>
        <w:t> </w:t>
      </w:r>
      <w:r>
        <w:rPr>
          <w:sz w:val="22"/>
        </w:rPr>
        <w:t>to</w:t>
      </w:r>
      <w:r>
        <w:rPr>
          <w:spacing w:val="-8"/>
          <w:sz w:val="22"/>
        </w:rPr>
        <w:t> </w:t>
      </w:r>
      <w:r>
        <w:rPr>
          <w:sz w:val="22"/>
        </w:rPr>
        <w:t>remove</w:t>
      </w:r>
      <w:r>
        <w:rPr>
          <w:spacing w:val="-7"/>
          <w:sz w:val="22"/>
        </w:rPr>
        <w:t> </w:t>
      </w:r>
      <w:r>
        <w:rPr>
          <w:sz w:val="22"/>
        </w:rPr>
        <w:t>diabetes</w:t>
      </w:r>
      <w:r>
        <w:rPr>
          <w:spacing w:val="-7"/>
          <w:sz w:val="22"/>
        </w:rPr>
        <w:t> </w:t>
      </w:r>
      <w:r>
        <w:rPr>
          <w:spacing w:val="-2"/>
          <w:sz w:val="22"/>
        </w:rPr>
        <w:t>language.</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1439" w:right="1443" w:hanging="1080"/>
        <w:jc w:val="left"/>
        <w:rPr>
          <w:sz w:val="22"/>
        </w:rPr>
      </w:pPr>
      <w:r>
        <w:rPr>
          <w:spacing w:val="-2"/>
          <w:sz w:val="22"/>
        </w:rPr>
        <w:t>9-14-18</w:t>
      </w:r>
      <w:r>
        <w:rPr>
          <w:sz w:val="22"/>
        </w:rPr>
        <w:tab/>
        <w:t>Added language to clarify DVS may serve individuals with sight threatening progressive</w:t>
      </w:r>
      <w:r>
        <w:rPr>
          <w:spacing w:val="-5"/>
          <w:sz w:val="22"/>
        </w:rPr>
        <w:t> </w:t>
      </w:r>
      <w:r>
        <w:rPr>
          <w:sz w:val="22"/>
        </w:rPr>
        <w:t>conditions</w:t>
      </w:r>
      <w:r>
        <w:rPr>
          <w:spacing w:val="-5"/>
          <w:sz w:val="22"/>
        </w:rPr>
        <w:t> </w:t>
      </w:r>
      <w:r>
        <w:rPr>
          <w:sz w:val="22"/>
        </w:rPr>
        <w:t>or</w:t>
      </w:r>
      <w:r>
        <w:rPr>
          <w:spacing w:val="-4"/>
          <w:sz w:val="22"/>
        </w:rPr>
        <w:t> </w:t>
      </w:r>
      <w:r>
        <w:rPr>
          <w:sz w:val="22"/>
        </w:rPr>
        <w:t>functional</w:t>
      </w:r>
      <w:r>
        <w:rPr>
          <w:spacing w:val="-5"/>
          <w:sz w:val="22"/>
        </w:rPr>
        <w:t> </w:t>
      </w:r>
      <w:r>
        <w:rPr>
          <w:sz w:val="22"/>
        </w:rPr>
        <w:t>limitations</w:t>
      </w:r>
      <w:r>
        <w:rPr>
          <w:spacing w:val="-4"/>
          <w:sz w:val="22"/>
        </w:rPr>
        <w:t> </w:t>
      </w:r>
      <w:r>
        <w:rPr>
          <w:sz w:val="22"/>
        </w:rPr>
        <w:t>due</w:t>
      </w:r>
      <w:r>
        <w:rPr>
          <w:spacing w:val="-4"/>
          <w:sz w:val="22"/>
        </w:rPr>
        <w:t> </w:t>
      </w:r>
      <w:r>
        <w:rPr>
          <w:sz w:val="22"/>
        </w:rPr>
        <w:t>to</w:t>
      </w:r>
      <w:r>
        <w:rPr>
          <w:spacing w:val="-4"/>
          <w:sz w:val="22"/>
        </w:rPr>
        <w:t> </w:t>
      </w:r>
      <w:r>
        <w:rPr>
          <w:sz w:val="22"/>
        </w:rPr>
        <w:t>slight</w:t>
      </w:r>
      <w:r>
        <w:rPr>
          <w:spacing w:val="-5"/>
          <w:sz w:val="22"/>
        </w:rPr>
        <w:t> </w:t>
      </w:r>
      <w:r>
        <w:rPr>
          <w:sz w:val="22"/>
        </w:rPr>
        <w:t>loss,</w:t>
      </w:r>
      <w:r>
        <w:rPr>
          <w:spacing w:val="-4"/>
          <w:sz w:val="22"/>
        </w:rPr>
        <w:t> </w:t>
      </w:r>
      <w:r>
        <w:rPr>
          <w:sz w:val="22"/>
        </w:rPr>
        <w:t>in</w:t>
      </w:r>
      <w:r>
        <w:rPr>
          <w:spacing w:val="-4"/>
          <w:sz w:val="22"/>
        </w:rPr>
        <w:t> </w:t>
      </w:r>
      <w:r>
        <w:rPr>
          <w:sz w:val="22"/>
        </w:rPr>
        <w:t>addition</w:t>
      </w:r>
      <w:r>
        <w:rPr>
          <w:spacing w:val="-4"/>
          <w:sz w:val="22"/>
        </w:rPr>
        <w:t> </w:t>
      </w:r>
      <w:r>
        <w:rPr>
          <w:sz w:val="22"/>
        </w:rPr>
        <w:t>to individuals who are blind or have severe visual impairments.</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spacing w:after="0"/>
        <w:jc w:val="left"/>
        <w:rPr>
          <w:sz w:val="22"/>
        </w:rPr>
        <w:sectPr>
          <w:pgSz w:w="12240" w:h="15840"/>
          <w:pgMar w:top="1340" w:bottom="280" w:left="1080" w:right="720"/>
        </w:sectPr>
      </w:pPr>
    </w:p>
    <w:p>
      <w:pPr>
        <w:pStyle w:val="Heading2"/>
      </w:pPr>
      <w:bookmarkStart w:name="612:1-5-4.  Disability Determination Ser" w:id="19"/>
      <w:bookmarkEnd w:id="19"/>
      <w:r>
        <w:rPr>
          <w:b w:val="0"/>
        </w:rPr>
      </w:r>
      <w:r>
        <w:rPr/>
        <w:t>612:1-5-4.</w:t>
      </w:r>
      <w:r>
        <w:rPr>
          <w:spacing w:val="57"/>
        </w:rPr>
        <w:t> </w:t>
      </w:r>
      <w:r>
        <w:rPr/>
        <w:t>Disability</w:t>
      </w:r>
      <w:r>
        <w:rPr>
          <w:spacing w:val="-5"/>
        </w:rPr>
        <w:t> </w:t>
      </w:r>
      <w:r>
        <w:rPr/>
        <w:t>Determination</w:t>
      </w:r>
      <w:r>
        <w:rPr>
          <w:spacing w:val="-4"/>
        </w:rPr>
        <w:t> </w:t>
      </w:r>
      <w:r>
        <w:rPr/>
        <w:t>Services</w:t>
      </w:r>
      <w:r>
        <w:rPr>
          <w:spacing w:val="-5"/>
        </w:rPr>
        <w:t> </w:t>
      </w:r>
      <w:r>
        <w:rPr>
          <w:spacing w:val="-2"/>
        </w:rPr>
        <w:t>(DDS)</w:t>
      </w:r>
    </w:p>
    <w:p>
      <w:pPr>
        <w:pStyle w:val="BodyText"/>
        <w:spacing w:line="208" w:lineRule="auto" w:before="233"/>
        <w:ind w:right="756" w:firstLine="432"/>
      </w:pPr>
      <w:r>
        <w:rPr/>
        <w:t>The</w:t>
      </w:r>
      <w:r>
        <w:rPr>
          <w:spacing w:val="-5"/>
        </w:rPr>
        <w:t> </w:t>
      </w:r>
      <w:r>
        <w:rPr/>
        <w:t>Disability</w:t>
      </w:r>
      <w:r>
        <w:rPr>
          <w:spacing w:val="-5"/>
        </w:rPr>
        <w:t> </w:t>
      </w:r>
      <w:r>
        <w:rPr/>
        <w:t>Determination</w:t>
      </w:r>
      <w:r>
        <w:rPr>
          <w:spacing w:val="-5"/>
        </w:rPr>
        <w:t> </w:t>
      </w:r>
      <w:r>
        <w:rPr/>
        <w:t>Services</w:t>
      </w:r>
      <w:r>
        <w:rPr>
          <w:spacing w:val="-5"/>
        </w:rPr>
        <w:t> </w:t>
      </w:r>
      <w:r>
        <w:rPr/>
        <w:t>is</w:t>
      </w:r>
      <w:r>
        <w:rPr>
          <w:spacing w:val="-5"/>
        </w:rPr>
        <w:t> </w:t>
      </w:r>
      <w:r>
        <w:rPr/>
        <w:t>responsible</w:t>
      </w:r>
      <w:r>
        <w:rPr>
          <w:spacing w:val="-5"/>
        </w:rPr>
        <w:t> </w:t>
      </w:r>
      <w:r>
        <w:rPr/>
        <w:t>for</w:t>
      </w:r>
      <w:r>
        <w:rPr>
          <w:spacing w:val="-6"/>
        </w:rPr>
        <w:t> </w:t>
      </w:r>
      <w:r>
        <w:rPr/>
        <w:t>adjudicating</w:t>
      </w:r>
      <w:r>
        <w:rPr>
          <w:spacing w:val="-5"/>
        </w:rPr>
        <w:t> </w:t>
      </w:r>
      <w:r>
        <w:rPr/>
        <w:t>applications</w:t>
      </w:r>
      <w:r>
        <w:rPr>
          <w:spacing w:val="-5"/>
        </w:rPr>
        <w:t> </w:t>
      </w:r>
      <w:r>
        <w:rPr/>
        <w:t>for Social Security Disability Insurance benefits and Supplemental Security Income payments for all Oklahoma applicants under these programs. This Division is not involved in treatment, diagnosis, or the provision of therapeutic services. Applications</w:t>
      </w:r>
      <w:r>
        <w:rPr/>
        <w:t> for Social Security Disability Insurance benefits are taken in the Social Security District offices throughout the State of Oklahoma and forwarded to this Division for the determination process under federal guidelines.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7-1-95</w:t>
      </w:r>
      <w:r>
        <w:rPr>
          <w:sz w:val="22"/>
        </w:rPr>
        <w:tab/>
        <w:t>PT Memo #95-2</w:t>
      </w:r>
    </w:p>
    <w:p>
      <w:pPr>
        <w:spacing w:before="1"/>
        <w:ind w:left="1439" w:right="775" w:firstLine="0"/>
        <w:jc w:val="left"/>
        <w:rPr>
          <w:sz w:val="22"/>
        </w:rPr>
      </w:pPr>
      <w:r>
        <w:rPr>
          <w:sz w:val="22"/>
        </w:rPr>
        <w:t>Permanent,</w:t>
      </w:r>
      <w:r>
        <w:rPr>
          <w:spacing w:val="-4"/>
          <w:sz w:val="22"/>
        </w:rPr>
        <w:t> </w:t>
      </w:r>
      <w:r>
        <w:rPr>
          <w:sz w:val="22"/>
        </w:rPr>
        <w:t>Changed</w:t>
      </w:r>
      <w:r>
        <w:rPr>
          <w:spacing w:val="-5"/>
          <w:sz w:val="22"/>
        </w:rPr>
        <w:t> </w:t>
      </w:r>
      <w:r>
        <w:rPr>
          <w:sz w:val="22"/>
        </w:rPr>
        <w:t>Section</w:t>
      </w:r>
      <w:r>
        <w:rPr>
          <w:spacing w:val="-5"/>
          <w:sz w:val="22"/>
        </w:rPr>
        <w:t> </w:t>
      </w:r>
      <w:r>
        <w:rPr>
          <w:sz w:val="22"/>
        </w:rPr>
        <w:t>tagline</w:t>
      </w:r>
      <w:r>
        <w:rPr>
          <w:spacing w:val="-6"/>
          <w:sz w:val="22"/>
        </w:rPr>
        <w:t> </w:t>
      </w:r>
      <w:r>
        <w:rPr>
          <w:sz w:val="22"/>
        </w:rPr>
        <w:t>from</w:t>
      </w:r>
      <w:r>
        <w:rPr>
          <w:spacing w:val="-6"/>
          <w:sz w:val="22"/>
        </w:rPr>
        <w:t> </w:t>
      </w:r>
      <w:r>
        <w:rPr>
          <w:sz w:val="22"/>
        </w:rPr>
        <w:t>Disability</w:t>
      </w:r>
      <w:r>
        <w:rPr>
          <w:spacing w:val="-5"/>
          <w:sz w:val="22"/>
        </w:rPr>
        <w:t> </w:t>
      </w:r>
      <w:r>
        <w:rPr>
          <w:sz w:val="22"/>
        </w:rPr>
        <w:t>Determination</w:t>
      </w:r>
      <w:r>
        <w:rPr>
          <w:spacing w:val="-5"/>
          <w:sz w:val="22"/>
        </w:rPr>
        <w:t> </w:t>
      </w:r>
      <w:r>
        <w:rPr>
          <w:sz w:val="22"/>
        </w:rPr>
        <w:t>Division</w:t>
      </w:r>
      <w:r>
        <w:rPr>
          <w:spacing w:val="-5"/>
          <w:sz w:val="22"/>
        </w:rPr>
        <w:t> </w:t>
      </w:r>
      <w:r>
        <w:rPr>
          <w:sz w:val="22"/>
        </w:rPr>
        <w:t>to Disability Determination (DD).</w:t>
      </w:r>
    </w:p>
    <w:p>
      <w:pPr>
        <w:pStyle w:val="ListParagraph"/>
        <w:numPr>
          <w:ilvl w:val="2"/>
          <w:numId w:val="7"/>
        </w:numPr>
        <w:tabs>
          <w:tab w:pos="1439" w:val="left" w:leader="none"/>
        </w:tabs>
        <w:spacing w:line="252" w:lineRule="exact" w:before="0" w:after="0"/>
        <w:ind w:left="1439" w:right="0" w:hanging="1080"/>
        <w:jc w:val="left"/>
        <w:rPr>
          <w:sz w:val="22"/>
        </w:rPr>
      </w:pPr>
      <w:r>
        <w:rPr>
          <w:sz w:val="22"/>
        </w:rPr>
        <w:t>POL</w:t>
      </w:r>
      <w:r>
        <w:rPr>
          <w:spacing w:val="-9"/>
          <w:sz w:val="22"/>
        </w:rPr>
        <w:t> </w:t>
      </w:r>
      <w:r>
        <w:rPr>
          <w:sz w:val="22"/>
        </w:rPr>
        <w:t>Memo</w:t>
      </w:r>
      <w:r>
        <w:rPr>
          <w:spacing w:val="-8"/>
          <w:sz w:val="22"/>
        </w:rPr>
        <w:t> </w:t>
      </w:r>
      <w:r>
        <w:rPr>
          <w:sz w:val="22"/>
        </w:rPr>
        <w:t>#00-</w:t>
      </w:r>
      <w:r>
        <w:rPr>
          <w:spacing w:val="-10"/>
          <w:sz w:val="22"/>
        </w:rPr>
        <w:t>1</w:t>
      </w:r>
    </w:p>
    <w:p>
      <w:pPr>
        <w:spacing w:before="0"/>
        <w:ind w:left="1439" w:right="775" w:firstLine="0"/>
        <w:jc w:val="left"/>
        <w:rPr>
          <w:sz w:val="22"/>
        </w:rPr>
      </w:pPr>
      <w:r>
        <w:rPr>
          <w:sz w:val="22"/>
        </w:rPr>
        <w:t>Permanent,</w:t>
      </w:r>
      <w:r>
        <w:rPr>
          <w:spacing w:val="-4"/>
          <w:sz w:val="22"/>
        </w:rPr>
        <w:t> </w:t>
      </w:r>
      <w:r>
        <w:rPr>
          <w:sz w:val="22"/>
        </w:rPr>
        <w:t>Section</w:t>
      </w:r>
      <w:r>
        <w:rPr>
          <w:spacing w:val="-4"/>
          <w:sz w:val="22"/>
        </w:rPr>
        <w:t> </w:t>
      </w:r>
      <w:r>
        <w:rPr>
          <w:sz w:val="22"/>
        </w:rPr>
        <w:t>tagline</w:t>
      </w:r>
      <w:r>
        <w:rPr>
          <w:spacing w:val="-4"/>
          <w:sz w:val="22"/>
        </w:rPr>
        <w:t> </w:t>
      </w:r>
      <w:r>
        <w:rPr>
          <w:sz w:val="22"/>
        </w:rPr>
        <w:t>and</w:t>
      </w:r>
      <w:r>
        <w:rPr>
          <w:spacing w:val="-4"/>
          <w:sz w:val="22"/>
        </w:rPr>
        <w:t> </w:t>
      </w:r>
      <w:r>
        <w:rPr>
          <w:sz w:val="22"/>
        </w:rPr>
        <w:t>text</w:t>
      </w:r>
      <w:r>
        <w:rPr>
          <w:spacing w:val="-5"/>
          <w:sz w:val="22"/>
        </w:rPr>
        <w:t> </w:t>
      </w:r>
      <w:r>
        <w:rPr>
          <w:sz w:val="22"/>
        </w:rPr>
        <w:t>changed</w:t>
      </w:r>
      <w:r>
        <w:rPr>
          <w:spacing w:val="-4"/>
          <w:sz w:val="22"/>
        </w:rPr>
        <w:t> </w:t>
      </w:r>
      <w:r>
        <w:rPr>
          <w:sz w:val="22"/>
        </w:rPr>
        <w:t>to</w:t>
      </w:r>
      <w:r>
        <w:rPr>
          <w:spacing w:val="-5"/>
          <w:sz w:val="22"/>
        </w:rPr>
        <w:t> </w:t>
      </w:r>
      <w:r>
        <w:rPr>
          <w:sz w:val="22"/>
        </w:rPr>
        <w:t>Disability</w:t>
      </w:r>
      <w:r>
        <w:rPr>
          <w:spacing w:val="-4"/>
          <w:sz w:val="22"/>
        </w:rPr>
        <w:t> </w:t>
      </w:r>
      <w:r>
        <w:rPr>
          <w:sz w:val="22"/>
        </w:rPr>
        <w:t>Determination</w:t>
      </w:r>
      <w:r>
        <w:rPr>
          <w:spacing w:val="-4"/>
          <w:sz w:val="22"/>
        </w:rPr>
        <w:t> </w:t>
      </w:r>
      <w:r>
        <w:rPr>
          <w:sz w:val="22"/>
        </w:rPr>
        <w:t>Division </w:t>
      </w:r>
      <w:r>
        <w:rPr>
          <w:spacing w:val="-2"/>
          <w:sz w:val="22"/>
        </w:rPr>
        <w:t>(DDD)</w:t>
      </w:r>
    </w:p>
    <w:p>
      <w:pPr>
        <w:tabs>
          <w:tab w:pos="1439" w:val="left" w:leader="none"/>
        </w:tabs>
        <w:spacing w:before="0"/>
        <w:ind w:left="359" w:right="0" w:firstLine="0"/>
        <w:jc w:val="left"/>
        <w:rPr>
          <w:sz w:val="22"/>
        </w:rPr>
      </w:pPr>
      <w:r>
        <w:rPr>
          <w:spacing w:val="-2"/>
          <w:sz w:val="22"/>
        </w:rPr>
        <w:t>9-11-</w:t>
      </w:r>
      <w:r>
        <w:rPr>
          <w:spacing w:val="-5"/>
          <w:sz w:val="22"/>
        </w:rPr>
        <w:t>20</w:t>
      </w:r>
      <w:r>
        <w:rPr>
          <w:sz w:val="22"/>
        </w:rPr>
        <w:tab/>
        <w:t>Disability</w:t>
      </w:r>
      <w:r>
        <w:rPr>
          <w:spacing w:val="-11"/>
          <w:sz w:val="22"/>
        </w:rPr>
        <w:t> </w:t>
      </w:r>
      <w:r>
        <w:rPr>
          <w:sz w:val="22"/>
        </w:rPr>
        <w:t>Determination</w:t>
      </w:r>
      <w:r>
        <w:rPr>
          <w:spacing w:val="-11"/>
          <w:sz w:val="22"/>
        </w:rPr>
        <w:t> </w:t>
      </w:r>
      <w:r>
        <w:rPr>
          <w:sz w:val="22"/>
        </w:rPr>
        <w:t>Division</w:t>
      </w:r>
      <w:r>
        <w:rPr>
          <w:spacing w:val="-10"/>
          <w:sz w:val="22"/>
        </w:rPr>
        <w:t> </w:t>
      </w:r>
      <w:r>
        <w:rPr>
          <w:sz w:val="22"/>
        </w:rPr>
        <w:t>(DDD)</w:t>
      </w:r>
      <w:r>
        <w:rPr>
          <w:spacing w:val="-11"/>
          <w:sz w:val="22"/>
        </w:rPr>
        <w:t> </w:t>
      </w:r>
      <w:r>
        <w:rPr>
          <w:sz w:val="22"/>
        </w:rPr>
        <w:t>to</w:t>
      </w:r>
      <w:r>
        <w:rPr>
          <w:spacing w:val="-10"/>
          <w:sz w:val="22"/>
        </w:rPr>
        <w:t> </w:t>
      </w:r>
      <w:r>
        <w:rPr>
          <w:sz w:val="22"/>
        </w:rPr>
        <w:t>Disability</w:t>
      </w:r>
      <w:r>
        <w:rPr>
          <w:spacing w:val="-11"/>
          <w:sz w:val="22"/>
        </w:rPr>
        <w:t> </w:t>
      </w:r>
      <w:r>
        <w:rPr>
          <w:sz w:val="22"/>
        </w:rPr>
        <w:t>Determination</w:t>
      </w:r>
      <w:r>
        <w:rPr>
          <w:spacing w:val="-10"/>
          <w:sz w:val="22"/>
        </w:rPr>
        <w:t> </w:t>
      </w:r>
      <w:r>
        <w:rPr>
          <w:sz w:val="22"/>
        </w:rPr>
        <w:t>Services</w:t>
      </w:r>
      <w:r>
        <w:rPr>
          <w:spacing w:val="-11"/>
          <w:sz w:val="22"/>
        </w:rPr>
        <w:t> </w:t>
      </w:r>
      <w:r>
        <w:rPr>
          <w:spacing w:val="-2"/>
          <w:sz w:val="22"/>
        </w:rPr>
        <w:t>(DDS).</w:t>
      </w:r>
    </w:p>
    <w:p>
      <w:pPr>
        <w:spacing w:after="0"/>
        <w:jc w:val="left"/>
        <w:rPr>
          <w:sz w:val="22"/>
        </w:rPr>
        <w:sectPr>
          <w:pgSz w:w="12240" w:h="15840"/>
          <w:pgMar w:top="1340" w:bottom="280" w:left="1080" w:right="720"/>
        </w:sectPr>
      </w:pPr>
    </w:p>
    <w:p>
      <w:pPr>
        <w:pStyle w:val="Heading2"/>
      </w:pPr>
      <w:bookmarkStart w:name="612:1-5-4.1. Management Services Divisio" w:id="20"/>
      <w:bookmarkEnd w:id="20"/>
      <w:r>
        <w:rPr>
          <w:b w:val="0"/>
        </w:rPr>
      </w:r>
      <w:r>
        <w:rPr/>
        <w:t>612:1-5-4.1.</w:t>
      </w:r>
      <w:r>
        <w:rPr>
          <w:spacing w:val="-7"/>
        </w:rPr>
        <w:t> </w:t>
      </w:r>
      <w:r>
        <w:rPr/>
        <w:t>Management</w:t>
      </w:r>
      <w:r>
        <w:rPr>
          <w:spacing w:val="-5"/>
        </w:rPr>
        <w:t> </w:t>
      </w:r>
      <w:r>
        <w:rPr/>
        <w:t>Services</w:t>
      </w:r>
      <w:r>
        <w:rPr>
          <w:spacing w:val="-6"/>
        </w:rPr>
        <w:t> </w:t>
      </w:r>
      <w:r>
        <w:rPr/>
        <w:t>Division</w:t>
      </w:r>
      <w:r>
        <w:rPr>
          <w:spacing w:val="-5"/>
        </w:rPr>
        <w:t> </w:t>
      </w:r>
      <w:r>
        <w:rPr>
          <w:spacing w:val="-2"/>
        </w:rPr>
        <w:t>(MSD)</w:t>
      </w:r>
    </w:p>
    <w:p>
      <w:pPr>
        <w:pStyle w:val="BodyText"/>
        <w:spacing w:line="208" w:lineRule="auto" w:before="233"/>
        <w:ind w:right="775" w:firstLine="432"/>
      </w:pPr>
      <w:r>
        <w:rPr/>
        <w:t>The</w:t>
      </w:r>
      <w:r>
        <w:rPr>
          <w:spacing w:val="-5"/>
        </w:rPr>
        <w:t> </w:t>
      </w:r>
      <w:r>
        <w:rPr/>
        <w:t>Management</w:t>
      </w:r>
      <w:r>
        <w:rPr>
          <w:spacing w:val="-4"/>
        </w:rPr>
        <w:t> </w:t>
      </w:r>
      <w:r>
        <w:rPr/>
        <w:t>Services</w:t>
      </w:r>
      <w:r>
        <w:rPr>
          <w:spacing w:val="-5"/>
        </w:rPr>
        <w:t> </w:t>
      </w:r>
      <w:r>
        <w:rPr/>
        <w:t>Division</w:t>
      </w:r>
      <w:r>
        <w:rPr>
          <w:spacing w:val="-5"/>
        </w:rPr>
        <w:t> </w:t>
      </w:r>
      <w:r>
        <w:rPr/>
        <w:t>provides</w:t>
      </w:r>
      <w:r>
        <w:rPr>
          <w:spacing w:val="-5"/>
        </w:rPr>
        <w:t> </w:t>
      </w:r>
      <w:r>
        <w:rPr/>
        <w:t>all</w:t>
      </w:r>
      <w:r>
        <w:rPr>
          <w:spacing w:val="-5"/>
        </w:rPr>
        <w:t> </w:t>
      </w:r>
      <w:r>
        <w:rPr/>
        <w:t>components</w:t>
      </w:r>
      <w:r>
        <w:rPr>
          <w:spacing w:val="-5"/>
        </w:rPr>
        <w:t> </w:t>
      </w:r>
      <w:r>
        <w:rPr/>
        <w:t>of</w:t>
      </w:r>
      <w:r>
        <w:rPr>
          <w:spacing w:val="-6"/>
        </w:rPr>
        <w:t> </w:t>
      </w:r>
      <w:r>
        <w:rPr/>
        <w:t>the</w:t>
      </w:r>
      <w:r>
        <w:rPr>
          <w:spacing w:val="-5"/>
        </w:rPr>
        <w:t> </w:t>
      </w:r>
      <w:r>
        <w:rPr/>
        <w:t>Department administrative and programmatic support.</w:t>
      </w:r>
    </w:p>
    <w:p>
      <w:pPr>
        <w:spacing w:before="244"/>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20"/>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#94-</w:t>
      </w:r>
      <w:r>
        <w:rPr>
          <w:spacing w:val="-10"/>
          <w:sz w:val="22"/>
        </w:rPr>
        <w:t>1</w:t>
      </w:r>
    </w:p>
    <w:p>
      <w:pPr>
        <w:tabs>
          <w:tab w:pos="1439" w:val="left" w:leader="none"/>
        </w:tabs>
        <w:spacing w:before="0"/>
        <w:ind w:left="359" w:right="3512" w:firstLine="720"/>
        <w:jc w:val="left"/>
        <w:rPr>
          <w:sz w:val="22"/>
        </w:rPr>
      </w:pPr>
      <w:r>
        <w:rPr>
          <w:sz w:val="22"/>
        </w:rPr>
        <w:t>Permanent,</w:t>
      </w:r>
      <w:r>
        <w:rPr>
          <w:spacing w:val="-4"/>
          <w:sz w:val="22"/>
        </w:rPr>
        <w:t> </w:t>
      </w:r>
      <w:r>
        <w:rPr>
          <w:sz w:val="22"/>
        </w:rPr>
        <w:t>first</w:t>
      </w:r>
      <w:r>
        <w:rPr>
          <w:spacing w:val="-5"/>
          <w:sz w:val="22"/>
        </w:rPr>
        <w:t> </w:t>
      </w:r>
      <w:r>
        <w:rPr>
          <w:sz w:val="22"/>
        </w:rPr>
        <w:t>adoption</w:t>
      </w:r>
      <w:r>
        <w:rPr>
          <w:spacing w:val="-5"/>
          <w:sz w:val="22"/>
        </w:rPr>
        <w:t> </w:t>
      </w:r>
      <w:r>
        <w:rPr>
          <w:sz w:val="22"/>
        </w:rPr>
        <w:t>under</w:t>
      </w:r>
      <w:r>
        <w:rPr>
          <w:spacing w:val="-5"/>
          <w:sz w:val="22"/>
        </w:rPr>
        <w:t> </w:t>
      </w:r>
      <w:r>
        <w:rPr>
          <w:sz w:val="22"/>
        </w:rPr>
        <w:t>OAC</w:t>
      </w:r>
      <w:r>
        <w:rPr>
          <w:spacing w:val="-6"/>
          <w:sz w:val="22"/>
        </w:rPr>
        <w:t> </w:t>
      </w:r>
      <w:r>
        <w:rPr>
          <w:sz w:val="22"/>
        </w:rPr>
        <w:t>Title</w:t>
      </w:r>
      <w:r>
        <w:rPr>
          <w:spacing w:val="-5"/>
          <w:sz w:val="22"/>
        </w:rPr>
        <w:t> </w:t>
      </w:r>
      <w:r>
        <w:rPr>
          <w:sz w:val="22"/>
        </w:rPr>
        <w:t>612,</w:t>
      </w:r>
      <w:r>
        <w:rPr>
          <w:spacing w:val="-6"/>
          <w:sz w:val="22"/>
        </w:rPr>
        <w:t> </w:t>
      </w:r>
      <w:r>
        <w:rPr>
          <w:sz w:val="22"/>
        </w:rPr>
        <w:t>new</w:t>
      </w:r>
      <w:r>
        <w:rPr>
          <w:spacing w:val="-6"/>
          <w:sz w:val="22"/>
        </w:rPr>
        <w:t> </w:t>
      </w:r>
      <w:r>
        <w:rPr>
          <w:sz w:val="22"/>
        </w:rPr>
        <w:t>Section </w:t>
      </w:r>
      <w:r>
        <w:rPr>
          <w:spacing w:val="-2"/>
          <w:sz w:val="22"/>
        </w:rPr>
        <w:t>7-1-95</w:t>
      </w:r>
      <w:r>
        <w:rPr>
          <w:sz w:val="22"/>
        </w:rPr>
        <w:tab/>
        <w:t>PT Memo #95-2</w:t>
      </w:r>
    </w:p>
    <w:p>
      <w:pPr>
        <w:tabs>
          <w:tab w:pos="1439" w:val="left" w:leader="none"/>
        </w:tabs>
        <w:spacing w:before="0"/>
        <w:ind w:left="359" w:right="1013" w:firstLine="1080"/>
        <w:jc w:val="left"/>
        <w:rPr>
          <w:sz w:val="22"/>
        </w:rPr>
      </w:pPr>
      <w:r>
        <w:rPr>
          <w:sz w:val="22"/>
        </w:rPr>
        <w:t>Permanent,</w:t>
      </w:r>
      <w:r>
        <w:rPr>
          <w:spacing w:val="-5"/>
          <w:sz w:val="22"/>
        </w:rPr>
        <w:t> </w:t>
      </w:r>
      <w:r>
        <w:rPr>
          <w:sz w:val="22"/>
        </w:rPr>
        <w:t>Administrative</w:t>
      </w:r>
      <w:r>
        <w:rPr>
          <w:spacing w:val="-6"/>
          <w:sz w:val="22"/>
        </w:rPr>
        <w:t> </w:t>
      </w:r>
      <w:r>
        <w:rPr>
          <w:sz w:val="22"/>
        </w:rPr>
        <w:t>Services</w:t>
      </w:r>
      <w:r>
        <w:rPr>
          <w:spacing w:val="-8"/>
          <w:sz w:val="22"/>
        </w:rPr>
        <w:t> </w:t>
      </w:r>
      <w:r>
        <w:rPr>
          <w:sz w:val="22"/>
        </w:rPr>
        <w:t>references</w:t>
      </w:r>
      <w:r>
        <w:rPr>
          <w:spacing w:val="-6"/>
          <w:sz w:val="22"/>
        </w:rPr>
        <w:t> </w:t>
      </w:r>
      <w:r>
        <w:rPr>
          <w:sz w:val="22"/>
        </w:rPr>
        <w:t>changed</w:t>
      </w:r>
      <w:r>
        <w:rPr>
          <w:spacing w:val="-6"/>
          <w:sz w:val="22"/>
        </w:rPr>
        <w:t> </w:t>
      </w:r>
      <w:r>
        <w:rPr>
          <w:sz w:val="22"/>
        </w:rPr>
        <w:t>to</w:t>
      </w:r>
      <w:r>
        <w:rPr>
          <w:spacing w:val="-6"/>
          <w:sz w:val="22"/>
        </w:rPr>
        <w:t> </w:t>
      </w:r>
      <w:r>
        <w:rPr>
          <w:sz w:val="22"/>
        </w:rPr>
        <w:t>Management</w:t>
      </w:r>
      <w:r>
        <w:rPr>
          <w:spacing w:val="-6"/>
          <w:sz w:val="22"/>
        </w:rPr>
        <w:t> </w:t>
      </w:r>
      <w:r>
        <w:rPr>
          <w:sz w:val="22"/>
        </w:rPr>
        <w:t>Services </w:t>
      </w:r>
      <w:r>
        <w:rPr>
          <w:spacing w:val="-2"/>
          <w:sz w:val="22"/>
        </w:rPr>
        <w:t>8-1-96</w:t>
      </w:r>
      <w:r>
        <w:rPr>
          <w:sz w:val="22"/>
        </w:rPr>
        <w:tab/>
        <w:t>PT Memo #97-1</w:t>
      </w:r>
    </w:p>
    <w:p>
      <w:pPr>
        <w:spacing w:before="0"/>
        <w:ind w:left="1439" w:right="0" w:firstLine="0"/>
        <w:jc w:val="left"/>
        <w:rPr>
          <w:sz w:val="22"/>
        </w:rPr>
      </w:pPr>
      <w:r>
        <w:rPr>
          <w:sz w:val="22"/>
        </w:rPr>
        <w:t>Permanent,</w:t>
      </w:r>
      <w:r>
        <w:rPr>
          <w:spacing w:val="-4"/>
          <w:sz w:val="22"/>
        </w:rPr>
        <w:t> </w:t>
      </w:r>
      <w:r>
        <w:rPr>
          <w:sz w:val="22"/>
        </w:rPr>
        <w:t>removed</w:t>
      </w:r>
      <w:r>
        <w:rPr>
          <w:spacing w:val="-5"/>
          <w:sz w:val="22"/>
        </w:rPr>
        <w:t> </w:t>
      </w:r>
      <w:r>
        <w:rPr>
          <w:sz w:val="22"/>
        </w:rPr>
        <w:t>grants</w:t>
      </w:r>
      <w:r>
        <w:rPr>
          <w:spacing w:val="-5"/>
          <w:sz w:val="22"/>
        </w:rPr>
        <w:t> </w:t>
      </w:r>
      <w:r>
        <w:rPr>
          <w:sz w:val="22"/>
        </w:rPr>
        <w:t>management</w:t>
      </w:r>
      <w:r>
        <w:rPr>
          <w:spacing w:val="-5"/>
          <w:sz w:val="22"/>
        </w:rPr>
        <w:t> </w:t>
      </w:r>
      <w:r>
        <w:rPr>
          <w:sz w:val="22"/>
        </w:rPr>
        <w:t>from</w:t>
      </w:r>
      <w:r>
        <w:rPr>
          <w:spacing w:val="-5"/>
          <w:sz w:val="22"/>
        </w:rPr>
        <w:t> </w:t>
      </w:r>
      <w:r>
        <w:rPr>
          <w:sz w:val="22"/>
        </w:rPr>
        <w:t>the</w:t>
      </w:r>
      <w:r>
        <w:rPr>
          <w:spacing w:val="-5"/>
          <w:sz w:val="22"/>
        </w:rPr>
        <w:t> </w:t>
      </w:r>
      <w:r>
        <w:rPr>
          <w:sz w:val="22"/>
        </w:rPr>
        <w:t>Policy</w:t>
      </w:r>
      <w:r>
        <w:rPr>
          <w:spacing w:val="-5"/>
          <w:sz w:val="22"/>
        </w:rPr>
        <w:t> </w:t>
      </w:r>
      <w:r>
        <w:rPr>
          <w:sz w:val="22"/>
        </w:rPr>
        <w:t>Development</w:t>
      </w:r>
      <w:r>
        <w:rPr>
          <w:spacing w:val="-5"/>
          <w:sz w:val="22"/>
        </w:rPr>
        <w:t> </w:t>
      </w:r>
      <w:r>
        <w:rPr>
          <w:sz w:val="22"/>
        </w:rPr>
        <w:t>and</w:t>
      </w:r>
      <w:r>
        <w:rPr>
          <w:spacing w:val="-5"/>
          <w:sz w:val="22"/>
        </w:rPr>
        <w:t> </w:t>
      </w:r>
      <w:r>
        <w:rPr>
          <w:sz w:val="22"/>
        </w:rPr>
        <w:t>Program Standards Unit</w:t>
      </w:r>
    </w:p>
    <w:p>
      <w:pPr>
        <w:pStyle w:val="ListParagraph"/>
        <w:numPr>
          <w:ilvl w:val="2"/>
          <w:numId w:val="21"/>
        </w:numPr>
        <w:tabs>
          <w:tab w:pos="1439" w:val="left" w:leader="none"/>
        </w:tabs>
        <w:spacing w:line="252"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#98-</w:t>
      </w:r>
      <w:r>
        <w:rPr>
          <w:spacing w:val="-5"/>
          <w:sz w:val="22"/>
        </w:rPr>
        <w:t>14</w:t>
      </w:r>
    </w:p>
    <w:p>
      <w:pPr>
        <w:tabs>
          <w:tab w:pos="1439" w:val="left" w:leader="none"/>
        </w:tabs>
        <w:spacing w:before="0"/>
        <w:ind w:left="359" w:right="1097" w:firstLine="1080"/>
        <w:jc w:val="left"/>
        <w:rPr>
          <w:sz w:val="22"/>
        </w:rPr>
      </w:pPr>
      <w:r>
        <w:rPr>
          <w:sz w:val="22"/>
        </w:rPr>
        <w:t>Permanent,</w:t>
      </w:r>
      <w:r>
        <w:rPr>
          <w:spacing w:val="-3"/>
          <w:sz w:val="22"/>
        </w:rPr>
        <w:t> </w:t>
      </w:r>
      <w:r>
        <w:rPr>
          <w:sz w:val="22"/>
        </w:rPr>
        <w:t>removed</w:t>
      </w:r>
      <w:r>
        <w:rPr>
          <w:spacing w:val="-4"/>
          <w:sz w:val="22"/>
        </w:rPr>
        <w:t> </w:t>
      </w:r>
      <w:r>
        <w:rPr>
          <w:sz w:val="22"/>
        </w:rPr>
        <w:t>Budget</w:t>
      </w:r>
      <w:r>
        <w:rPr>
          <w:spacing w:val="-4"/>
          <w:sz w:val="22"/>
        </w:rPr>
        <w:t> </w:t>
      </w:r>
      <w:r>
        <w:rPr>
          <w:sz w:val="22"/>
        </w:rPr>
        <w:t>&amp;</w:t>
      </w:r>
      <w:r>
        <w:rPr>
          <w:spacing w:val="-4"/>
          <w:sz w:val="22"/>
        </w:rPr>
        <w:t> </w:t>
      </w:r>
      <w:r>
        <w:rPr>
          <w:sz w:val="22"/>
        </w:rPr>
        <w:t>Finance</w:t>
      </w:r>
      <w:r>
        <w:rPr>
          <w:spacing w:val="-4"/>
          <w:sz w:val="22"/>
        </w:rPr>
        <w:t> </w:t>
      </w:r>
      <w:r>
        <w:rPr>
          <w:sz w:val="22"/>
        </w:rPr>
        <w:t>Unit</w:t>
      </w:r>
      <w:r>
        <w:rPr>
          <w:spacing w:val="-4"/>
          <w:sz w:val="22"/>
        </w:rPr>
        <w:t> </w:t>
      </w:r>
      <w:r>
        <w:rPr>
          <w:sz w:val="22"/>
        </w:rPr>
        <w:t>from</w:t>
      </w:r>
      <w:r>
        <w:rPr>
          <w:spacing w:val="-5"/>
          <w:sz w:val="22"/>
        </w:rPr>
        <w:t> </w:t>
      </w:r>
      <w:r>
        <w:rPr>
          <w:sz w:val="22"/>
        </w:rPr>
        <w:t>Management</w:t>
      </w:r>
      <w:r>
        <w:rPr>
          <w:spacing w:val="-4"/>
          <w:sz w:val="22"/>
        </w:rPr>
        <w:t> </w:t>
      </w:r>
      <w:r>
        <w:rPr>
          <w:sz w:val="22"/>
        </w:rPr>
        <w:t>Services</w:t>
      </w:r>
      <w:r>
        <w:rPr>
          <w:spacing w:val="-5"/>
          <w:sz w:val="22"/>
        </w:rPr>
        <w:t> </w:t>
      </w:r>
      <w:r>
        <w:rPr>
          <w:sz w:val="22"/>
        </w:rPr>
        <w:t>Division </w:t>
      </w:r>
      <w:r>
        <w:rPr>
          <w:spacing w:val="-2"/>
          <w:sz w:val="22"/>
        </w:rPr>
        <w:t>7-1-99</w:t>
      </w:r>
      <w:r>
        <w:rPr>
          <w:sz w:val="22"/>
        </w:rPr>
        <w:tab/>
        <w:t>POL Memo #00-1</w:t>
      </w:r>
    </w:p>
    <w:p>
      <w:pPr>
        <w:spacing w:before="1"/>
        <w:ind w:left="1439" w:right="0" w:firstLine="0"/>
        <w:jc w:val="left"/>
        <w:rPr>
          <w:sz w:val="22"/>
        </w:rPr>
      </w:pPr>
      <w:r>
        <w:rPr>
          <w:sz w:val="22"/>
        </w:rPr>
        <w:t>Permanent,</w:t>
      </w:r>
      <w:r>
        <w:rPr>
          <w:spacing w:val="-7"/>
          <w:sz w:val="22"/>
        </w:rPr>
        <w:t> </w:t>
      </w:r>
      <w:r>
        <w:rPr>
          <w:sz w:val="22"/>
        </w:rPr>
        <w:t>Section</w:t>
      </w:r>
      <w:r>
        <w:rPr>
          <w:spacing w:val="-8"/>
          <w:sz w:val="22"/>
        </w:rPr>
        <w:t> </w:t>
      </w:r>
      <w:r>
        <w:rPr>
          <w:sz w:val="22"/>
        </w:rPr>
        <w:t>tagline</w:t>
      </w:r>
      <w:r>
        <w:rPr>
          <w:spacing w:val="-8"/>
          <w:sz w:val="22"/>
        </w:rPr>
        <w:t> </w:t>
      </w:r>
      <w:r>
        <w:rPr>
          <w:sz w:val="22"/>
        </w:rPr>
        <w:t>and</w:t>
      </w:r>
      <w:r>
        <w:rPr>
          <w:spacing w:val="-8"/>
          <w:sz w:val="22"/>
        </w:rPr>
        <w:t> </w:t>
      </w:r>
      <w:r>
        <w:rPr>
          <w:sz w:val="22"/>
        </w:rPr>
        <w:t>text</w:t>
      </w:r>
      <w:r>
        <w:rPr>
          <w:spacing w:val="-8"/>
          <w:sz w:val="22"/>
        </w:rPr>
        <w:t> </w:t>
      </w:r>
      <w:r>
        <w:rPr>
          <w:sz w:val="22"/>
        </w:rPr>
        <w:t>updated</w:t>
      </w:r>
      <w:r>
        <w:rPr>
          <w:spacing w:val="-8"/>
          <w:sz w:val="22"/>
        </w:rPr>
        <w:t> </w:t>
      </w:r>
      <w:r>
        <w:rPr>
          <w:sz w:val="22"/>
        </w:rPr>
        <w:t>to</w:t>
      </w:r>
      <w:r>
        <w:rPr>
          <w:spacing w:val="-8"/>
          <w:sz w:val="22"/>
        </w:rPr>
        <w:t> </w:t>
      </w:r>
      <w:r>
        <w:rPr>
          <w:sz w:val="22"/>
        </w:rPr>
        <w:t>Management</w:t>
      </w:r>
      <w:r>
        <w:rPr>
          <w:spacing w:val="-8"/>
          <w:sz w:val="22"/>
        </w:rPr>
        <w:t> </w:t>
      </w:r>
      <w:r>
        <w:rPr>
          <w:sz w:val="22"/>
        </w:rPr>
        <w:t>Services</w:t>
      </w:r>
      <w:r>
        <w:rPr>
          <w:spacing w:val="-8"/>
          <w:sz w:val="22"/>
        </w:rPr>
        <w:t> </w:t>
      </w:r>
      <w:r>
        <w:rPr>
          <w:spacing w:val="-2"/>
          <w:sz w:val="22"/>
        </w:rPr>
        <w:t>Division</w:t>
      </w:r>
    </w:p>
    <w:p>
      <w:pPr>
        <w:spacing w:line="253" w:lineRule="exact" w:before="0"/>
        <w:ind w:left="359" w:right="0" w:firstLine="0"/>
        <w:jc w:val="left"/>
        <w:rPr>
          <w:sz w:val="22"/>
        </w:rPr>
      </w:pPr>
      <w:r>
        <w:rPr>
          <w:spacing w:val="-2"/>
          <w:sz w:val="22"/>
        </w:rPr>
        <w:t>(MSD)</w:t>
      </w:r>
    </w:p>
    <w:p>
      <w:pPr>
        <w:pStyle w:val="ListParagraph"/>
        <w:numPr>
          <w:ilvl w:val="2"/>
          <w:numId w:val="1"/>
        </w:numPr>
        <w:tabs>
          <w:tab w:pos="1439" w:val="left" w:leader="none"/>
        </w:tabs>
        <w:spacing w:line="253" w:lineRule="exact" w:before="0" w:after="0"/>
        <w:ind w:left="1439" w:right="0" w:hanging="1080"/>
        <w:jc w:val="left"/>
        <w:rPr>
          <w:sz w:val="22"/>
        </w:rPr>
      </w:pPr>
      <w:r>
        <w:rPr>
          <w:sz w:val="22"/>
        </w:rPr>
        <w:t>POL</w:t>
      </w:r>
      <w:r>
        <w:rPr>
          <w:spacing w:val="-9"/>
          <w:sz w:val="22"/>
        </w:rPr>
        <w:t> </w:t>
      </w:r>
      <w:r>
        <w:rPr>
          <w:sz w:val="22"/>
        </w:rPr>
        <w:t>Memo</w:t>
      </w:r>
      <w:r>
        <w:rPr>
          <w:spacing w:val="-8"/>
          <w:sz w:val="22"/>
        </w:rPr>
        <w:t> </w:t>
      </w:r>
      <w:r>
        <w:rPr>
          <w:sz w:val="22"/>
        </w:rPr>
        <w:t>#02-</w:t>
      </w:r>
      <w:r>
        <w:rPr>
          <w:spacing w:val="-5"/>
          <w:sz w:val="22"/>
        </w:rPr>
        <w:t>02</w:t>
      </w:r>
    </w:p>
    <w:p>
      <w:pPr>
        <w:spacing w:before="0"/>
        <w:ind w:left="1439" w:right="0" w:firstLine="0"/>
        <w:jc w:val="left"/>
        <w:rPr>
          <w:sz w:val="22"/>
        </w:rPr>
      </w:pPr>
      <w:r>
        <w:rPr>
          <w:sz w:val="22"/>
        </w:rPr>
        <w:t>Permanent,</w:t>
      </w:r>
      <w:r>
        <w:rPr>
          <w:spacing w:val="-9"/>
          <w:sz w:val="22"/>
        </w:rPr>
        <w:t> </w:t>
      </w:r>
      <w:r>
        <w:rPr>
          <w:sz w:val="22"/>
        </w:rPr>
        <w:t>Removes</w:t>
      </w:r>
      <w:r>
        <w:rPr>
          <w:spacing w:val="-10"/>
          <w:sz w:val="22"/>
        </w:rPr>
        <w:t> </w:t>
      </w:r>
      <w:r>
        <w:rPr>
          <w:sz w:val="22"/>
        </w:rPr>
        <w:t>Travel</w:t>
      </w:r>
      <w:r>
        <w:rPr>
          <w:spacing w:val="-9"/>
          <w:sz w:val="22"/>
        </w:rPr>
        <w:t> </w:t>
      </w:r>
      <w:r>
        <w:rPr>
          <w:sz w:val="22"/>
        </w:rPr>
        <w:t>Coordination</w:t>
      </w:r>
      <w:r>
        <w:rPr>
          <w:spacing w:val="-10"/>
          <w:sz w:val="22"/>
        </w:rPr>
        <w:t> </w:t>
      </w:r>
      <w:r>
        <w:rPr>
          <w:sz w:val="22"/>
        </w:rPr>
        <w:t>from</w:t>
      </w:r>
      <w:r>
        <w:rPr>
          <w:spacing w:val="-10"/>
          <w:sz w:val="22"/>
        </w:rPr>
        <w:t> </w:t>
      </w:r>
      <w:r>
        <w:rPr>
          <w:sz w:val="22"/>
        </w:rPr>
        <w:t>C/DS</w:t>
      </w:r>
      <w:r>
        <w:rPr>
          <w:spacing w:val="-9"/>
          <w:sz w:val="22"/>
        </w:rPr>
        <w:t> </w:t>
      </w:r>
      <w:r>
        <w:rPr>
          <w:spacing w:val="-2"/>
          <w:sz w:val="22"/>
        </w:rPr>
        <w:t>unit.</w:t>
      </w:r>
    </w:p>
    <w:p>
      <w:pPr>
        <w:pStyle w:val="ListParagraph"/>
        <w:numPr>
          <w:ilvl w:val="2"/>
          <w:numId w:val="1"/>
        </w:numPr>
        <w:tabs>
          <w:tab w:pos="1439" w:val="left" w:leader="none"/>
        </w:tabs>
        <w:spacing w:line="240" w:lineRule="auto" w:before="1" w:after="0"/>
        <w:ind w:left="1439" w:right="0" w:hanging="1080"/>
        <w:jc w:val="left"/>
        <w:rPr>
          <w:sz w:val="22"/>
        </w:rPr>
      </w:pPr>
      <w:r>
        <w:rPr>
          <w:sz w:val="22"/>
        </w:rPr>
        <w:t>PT</w:t>
      </w:r>
      <w:r>
        <w:rPr>
          <w:spacing w:val="-8"/>
          <w:sz w:val="22"/>
        </w:rPr>
        <w:t> </w:t>
      </w:r>
      <w:r>
        <w:rPr>
          <w:sz w:val="22"/>
        </w:rPr>
        <w:t>Memo</w:t>
      </w:r>
      <w:r>
        <w:rPr>
          <w:spacing w:val="-8"/>
          <w:sz w:val="22"/>
        </w:rPr>
        <w:t> </w:t>
      </w:r>
      <w:r>
        <w:rPr>
          <w:sz w:val="22"/>
        </w:rPr>
        <w:t>#03-</w:t>
      </w:r>
      <w:r>
        <w:rPr>
          <w:spacing w:val="-5"/>
          <w:sz w:val="22"/>
        </w:rPr>
        <w:t>07</w:t>
      </w:r>
    </w:p>
    <w:p>
      <w:pPr>
        <w:spacing w:before="0"/>
        <w:ind w:left="1439" w:right="0" w:firstLine="0"/>
        <w:jc w:val="left"/>
        <w:rPr>
          <w:sz w:val="22"/>
        </w:rPr>
      </w:pPr>
      <w:r>
        <w:rPr>
          <w:sz w:val="22"/>
        </w:rPr>
        <w:t>Permanent,</w:t>
      </w:r>
      <w:r>
        <w:rPr>
          <w:spacing w:val="-8"/>
          <w:sz w:val="22"/>
        </w:rPr>
        <w:t> </w:t>
      </w:r>
      <w:r>
        <w:rPr>
          <w:sz w:val="22"/>
        </w:rPr>
        <w:t>Updated</w:t>
      </w:r>
      <w:r>
        <w:rPr>
          <w:spacing w:val="-7"/>
          <w:sz w:val="22"/>
        </w:rPr>
        <w:t> </w:t>
      </w:r>
      <w:r>
        <w:rPr>
          <w:sz w:val="22"/>
        </w:rPr>
        <w:t>language</w:t>
      </w:r>
      <w:r>
        <w:rPr>
          <w:spacing w:val="-8"/>
          <w:sz w:val="22"/>
        </w:rPr>
        <w:t> </w:t>
      </w:r>
      <w:r>
        <w:rPr>
          <w:sz w:val="22"/>
        </w:rPr>
        <w:t>to</w:t>
      </w:r>
      <w:r>
        <w:rPr>
          <w:spacing w:val="-8"/>
          <w:sz w:val="22"/>
        </w:rPr>
        <w:t> </w:t>
      </w:r>
      <w:r>
        <w:rPr>
          <w:sz w:val="22"/>
        </w:rPr>
        <w:t>reflect</w:t>
      </w:r>
      <w:r>
        <w:rPr>
          <w:spacing w:val="-8"/>
          <w:sz w:val="22"/>
        </w:rPr>
        <w:t> </w:t>
      </w:r>
      <w:r>
        <w:rPr>
          <w:sz w:val="22"/>
        </w:rPr>
        <w:t>current</w:t>
      </w:r>
      <w:r>
        <w:rPr>
          <w:spacing w:val="-8"/>
          <w:sz w:val="22"/>
        </w:rPr>
        <w:t> </w:t>
      </w:r>
      <w:r>
        <w:rPr>
          <w:spacing w:val="-2"/>
          <w:sz w:val="22"/>
        </w:rPr>
        <w:t>status.</w:t>
      </w:r>
    </w:p>
    <w:p>
      <w:pPr>
        <w:pStyle w:val="ListParagraph"/>
        <w:numPr>
          <w:ilvl w:val="2"/>
          <w:numId w:val="1"/>
        </w:numPr>
        <w:tabs>
          <w:tab w:pos="1439" w:val="left" w:leader="none"/>
        </w:tabs>
        <w:spacing w:line="253"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#05-</w:t>
      </w:r>
      <w:r>
        <w:rPr>
          <w:spacing w:val="-5"/>
          <w:sz w:val="22"/>
        </w:rPr>
        <w:t>01</w:t>
      </w:r>
    </w:p>
    <w:p>
      <w:pPr>
        <w:spacing w:line="253" w:lineRule="exact" w:before="0"/>
        <w:ind w:left="1439" w:right="0" w:firstLine="0"/>
        <w:jc w:val="left"/>
        <w:rPr>
          <w:sz w:val="22"/>
        </w:rPr>
      </w:pPr>
      <w:r>
        <w:rPr>
          <w:sz w:val="22"/>
        </w:rPr>
        <w:t>Permanent,</w:t>
      </w:r>
      <w:r>
        <w:rPr>
          <w:spacing w:val="-10"/>
          <w:sz w:val="22"/>
        </w:rPr>
        <w:t> </w:t>
      </w:r>
      <w:r>
        <w:rPr>
          <w:sz w:val="22"/>
        </w:rPr>
        <w:t>removed</w:t>
      </w:r>
      <w:r>
        <w:rPr>
          <w:spacing w:val="-11"/>
          <w:sz w:val="22"/>
        </w:rPr>
        <w:t> </w:t>
      </w:r>
      <w:r>
        <w:rPr>
          <w:sz w:val="22"/>
        </w:rPr>
        <w:t>duplicate</w:t>
      </w:r>
      <w:r>
        <w:rPr>
          <w:spacing w:val="-10"/>
          <w:sz w:val="22"/>
        </w:rPr>
        <w:t> </w:t>
      </w:r>
      <w:r>
        <w:rPr>
          <w:spacing w:val="-2"/>
          <w:sz w:val="22"/>
        </w:rPr>
        <w:t>information</w:t>
      </w:r>
    </w:p>
    <w:p>
      <w:pPr>
        <w:spacing w:after="0" w:line="253" w:lineRule="exact"/>
        <w:jc w:val="left"/>
        <w:rPr>
          <w:sz w:val="22"/>
        </w:rPr>
        <w:sectPr>
          <w:pgSz w:w="12240" w:h="15840"/>
          <w:pgMar w:top="1340" w:bottom="280" w:left="1080" w:right="720"/>
        </w:sectPr>
      </w:pPr>
    </w:p>
    <w:p>
      <w:pPr>
        <w:pStyle w:val="Heading2"/>
      </w:pPr>
      <w:bookmarkStart w:name="612:1-5-4.2.  Financial Services Divisio" w:id="21"/>
      <w:bookmarkEnd w:id="21"/>
      <w:r>
        <w:rPr>
          <w:b w:val="0"/>
        </w:rPr>
      </w:r>
      <w:r>
        <w:rPr/>
        <w:t>612:1-5-4.2.</w:t>
      </w:r>
      <w:r>
        <w:rPr>
          <w:spacing w:val="55"/>
        </w:rPr>
        <w:t> </w:t>
      </w:r>
      <w:r>
        <w:rPr/>
        <w:t>Financial</w:t>
      </w:r>
      <w:r>
        <w:rPr>
          <w:spacing w:val="-3"/>
        </w:rPr>
        <w:t> </w:t>
      </w:r>
      <w:r>
        <w:rPr/>
        <w:t>Services</w:t>
      </w:r>
      <w:r>
        <w:rPr>
          <w:spacing w:val="-5"/>
        </w:rPr>
        <w:t> </w:t>
      </w:r>
      <w:r>
        <w:rPr/>
        <w:t>Division</w:t>
      </w:r>
      <w:r>
        <w:rPr>
          <w:spacing w:val="-5"/>
        </w:rPr>
        <w:t> </w:t>
      </w:r>
      <w:r>
        <w:rPr>
          <w:spacing w:val="-2"/>
        </w:rPr>
        <w:t>(FSD)</w:t>
      </w:r>
    </w:p>
    <w:p>
      <w:pPr>
        <w:pStyle w:val="BodyText"/>
        <w:spacing w:line="208" w:lineRule="auto" w:before="233"/>
        <w:ind w:right="775" w:firstLine="432"/>
      </w:pPr>
      <w:r>
        <w:rPr/>
        <w:t>The Financial Services Division provides quality financial management and administration</w:t>
      </w:r>
      <w:r>
        <w:rPr>
          <w:spacing w:val="-5"/>
        </w:rPr>
        <w:t> </w:t>
      </w:r>
      <w:r>
        <w:rPr/>
        <w:t>of</w:t>
      </w:r>
      <w:r>
        <w:rPr>
          <w:spacing w:val="-4"/>
        </w:rPr>
        <w:t> </w:t>
      </w:r>
      <w:r>
        <w:rPr/>
        <w:t>all</w:t>
      </w:r>
      <w:r>
        <w:rPr>
          <w:spacing w:val="-5"/>
        </w:rPr>
        <w:t> </w:t>
      </w:r>
      <w:r>
        <w:rPr/>
        <w:t>agency</w:t>
      </w:r>
      <w:r>
        <w:rPr>
          <w:spacing w:val="-5"/>
        </w:rPr>
        <w:t> </w:t>
      </w:r>
      <w:r>
        <w:rPr/>
        <w:t>budgeting,</w:t>
      </w:r>
      <w:r>
        <w:rPr>
          <w:spacing w:val="-4"/>
        </w:rPr>
        <w:t> </w:t>
      </w:r>
      <w:r>
        <w:rPr/>
        <w:t>federal</w:t>
      </w:r>
      <w:r>
        <w:rPr>
          <w:spacing w:val="-5"/>
        </w:rPr>
        <w:t> </w:t>
      </w:r>
      <w:r>
        <w:rPr/>
        <w:t>and</w:t>
      </w:r>
      <w:r>
        <w:rPr>
          <w:spacing w:val="-5"/>
        </w:rPr>
        <w:t> </w:t>
      </w:r>
      <w:r>
        <w:rPr/>
        <w:t>general</w:t>
      </w:r>
      <w:r>
        <w:rPr>
          <w:spacing w:val="-5"/>
        </w:rPr>
        <w:t> </w:t>
      </w:r>
      <w:r>
        <w:rPr/>
        <w:t>accounting,</w:t>
      </w:r>
      <w:r>
        <w:rPr>
          <w:spacing w:val="-4"/>
        </w:rPr>
        <w:t> </w:t>
      </w:r>
      <w:r>
        <w:rPr/>
        <w:t>revenue,</w:t>
      </w:r>
      <w:r>
        <w:rPr>
          <w:spacing w:val="-4"/>
        </w:rPr>
        <w:t> </w:t>
      </w:r>
      <w:r>
        <w:rPr/>
        <w:t>claims processing, and reporting for our customers.</w:t>
      </w:r>
    </w:p>
    <w:p>
      <w:pPr>
        <w:spacing w:before="243"/>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22"/>
        </w:numPr>
        <w:tabs>
          <w:tab w:pos="1439" w:val="left" w:leader="none"/>
        </w:tabs>
        <w:spacing w:line="253" w:lineRule="exact" w:before="1" w:after="0"/>
        <w:ind w:left="1439" w:right="0" w:hanging="1079"/>
        <w:jc w:val="left"/>
        <w:rPr>
          <w:sz w:val="22"/>
        </w:rPr>
      </w:pPr>
      <w:r>
        <w:rPr>
          <w:sz w:val="22"/>
        </w:rPr>
        <w:t>PT</w:t>
      </w:r>
      <w:r>
        <w:rPr>
          <w:spacing w:val="-8"/>
          <w:sz w:val="22"/>
        </w:rPr>
        <w:t> </w:t>
      </w:r>
      <w:r>
        <w:rPr>
          <w:sz w:val="22"/>
        </w:rPr>
        <w:t>Memo</w:t>
      </w:r>
      <w:r>
        <w:rPr>
          <w:spacing w:val="-8"/>
          <w:sz w:val="22"/>
        </w:rPr>
        <w:t> </w:t>
      </w:r>
      <w:r>
        <w:rPr>
          <w:sz w:val="22"/>
        </w:rPr>
        <w:t>#10-</w:t>
      </w:r>
      <w:r>
        <w:rPr>
          <w:spacing w:val="-5"/>
          <w:sz w:val="22"/>
        </w:rPr>
        <w:t>02</w:t>
      </w:r>
    </w:p>
    <w:p>
      <w:pPr>
        <w:spacing w:line="253" w:lineRule="exact" w:before="0"/>
        <w:ind w:left="1439" w:right="0" w:firstLine="0"/>
        <w:jc w:val="left"/>
        <w:rPr>
          <w:sz w:val="22"/>
        </w:rPr>
      </w:pPr>
      <w:r>
        <w:rPr>
          <w:sz w:val="22"/>
        </w:rPr>
        <w:t>Permanent,</w:t>
      </w:r>
      <w:r>
        <w:rPr>
          <w:spacing w:val="-9"/>
          <w:sz w:val="22"/>
        </w:rPr>
        <w:t> </w:t>
      </w:r>
      <w:r>
        <w:rPr>
          <w:sz w:val="22"/>
        </w:rPr>
        <w:t>New</w:t>
      </w:r>
      <w:r>
        <w:rPr>
          <w:spacing w:val="-10"/>
          <w:sz w:val="22"/>
        </w:rPr>
        <w:t> </w:t>
      </w:r>
      <w:r>
        <w:rPr>
          <w:sz w:val="22"/>
        </w:rPr>
        <w:t>Financial</w:t>
      </w:r>
      <w:r>
        <w:rPr>
          <w:spacing w:val="-9"/>
          <w:sz w:val="22"/>
        </w:rPr>
        <w:t> </w:t>
      </w:r>
      <w:r>
        <w:rPr>
          <w:sz w:val="22"/>
        </w:rPr>
        <w:t>Services</w:t>
      </w:r>
      <w:r>
        <w:rPr>
          <w:spacing w:val="-11"/>
          <w:sz w:val="22"/>
        </w:rPr>
        <w:t> </w:t>
      </w:r>
      <w:r>
        <w:rPr>
          <w:spacing w:val="-2"/>
          <w:sz w:val="22"/>
        </w:rPr>
        <w:t>Division</w:t>
      </w:r>
    </w:p>
    <w:p>
      <w:pPr>
        <w:spacing w:after="0" w:line="253" w:lineRule="exact"/>
        <w:jc w:val="left"/>
        <w:rPr>
          <w:sz w:val="22"/>
        </w:rPr>
        <w:sectPr>
          <w:pgSz w:w="12240" w:h="15840"/>
          <w:pgMar w:top="1340" w:bottom="280" w:left="1080" w:right="720"/>
        </w:sectPr>
      </w:pPr>
    </w:p>
    <w:p>
      <w:pPr>
        <w:pStyle w:val="Heading2"/>
      </w:pPr>
      <w:bookmarkStart w:name="612:1-5-5.  Oklahoma School for the Blin" w:id="22"/>
      <w:bookmarkEnd w:id="22"/>
      <w:r>
        <w:rPr>
          <w:b w:val="0"/>
        </w:rPr>
      </w:r>
      <w:r>
        <w:rPr/>
        <w:t>612:1-5-5.</w:t>
      </w:r>
      <w:r>
        <w:rPr>
          <w:spacing w:val="61"/>
        </w:rPr>
        <w:t> </w:t>
      </w:r>
      <w:r>
        <w:rPr/>
        <w:t>Oklahoma</w:t>
      </w:r>
      <w:r>
        <w:rPr>
          <w:spacing w:val="-3"/>
        </w:rPr>
        <w:t> </w:t>
      </w:r>
      <w:r>
        <w:rPr/>
        <w:t>School</w:t>
      </w:r>
      <w:r>
        <w:rPr>
          <w:spacing w:val="-2"/>
        </w:rPr>
        <w:t> </w:t>
      </w:r>
      <w:r>
        <w:rPr/>
        <w:t>for</w:t>
      </w:r>
      <w:r>
        <w:rPr>
          <w:spacing w:val="-2"/>
        </w:rPr>
        <w:t> </w:t>
      </w:r>
      <w:r>
        <w:rPr/>
        <w:t>the</w:t>
      </w:r>
      <w:r>
        <w:rPr>
          <w:spacing w:val="-3"/>
        </w:rPr>
        <w:t> </w:t>
      </w:r>
      <w:r>
        <w:rPr/>
        <w:t>Blind</w:t>
      </w:r>
      <w:r>
        <w:rPr>
          <w:spacing w:val="-4"/>
        </w:rPr>
        <w:t> </w:t>
      </w:r>
      <w:r>
        <w:rPr>
          <w:spacing w:val="-2"/>
        </w:rPr>
        <w:t>(OSB)</w:t>
      </w:r>
    </w:p>
    <w:p>
      <w:pPr>
        <w:pStyle w:val="BodyText"/>
        <w:spacing w:line="208" w:lineRule="auto" w:before="233"/>
        <w:ind w:right="739" w:firstLine="432"/>
      </w:pPr>
      <w:r>
        <w:rPr/>
        <w:t>The Oklahoma School for the Blind provides a full pre-school, primary and secondary educational program for both residential and day students, serving Oklahomans who are blind, or visually impaired. The program is designed to provide students with individualized assistance in order to overcome the limitations imposed by the students' disabilities. The Outreach Program of the school provides services to students who attend public schools, as well as serving school districts throughout the state.</w:t>
      </w:r>
      <w:r>
        <w:rPr>
          <w:spacing w:val="-2"/>
        </w:rPr>
        <w:t> </w:t>
      </w:r>
      <w:r>
        <w:rPr/>
        <w:t>The</w:t>
      </w:r>
      <w:r>
        <w:rPr>
          <w:spacing w:val="-4"/>
        </w:rPr>
        <w:t> </w:t>
      </w:r>
      <w:r>
        <w:rPr/>
        <w:t>school</w:t>
      </w:r>
      <w:r>
        <w:rPr>
          <w:spacing w:val="-3"/>
        </w:rPr>
        <w:t> </w:t>
      </w:r>
      <w:r>
        <w:rPr/>
        <w:t>also</w:t>
      </w:r>
      <w:r>
        <w:rPr>
          <w:spacing w:val="-2"/>
        </w:rPr>
        <w:t> </w:t>
      </w:r>
      <w:r>
        <w:rPr/>
        <w:t>serves</w:t>
      </w:r>
      <w:r>
        <w:rPr>
          <w:spacing w:val="-3"/>
        </w:rPr>
        <w:t> </w:t>
      </w:r>
      <w:r>
        <w:rPr/>
        <w:t>as</w:t>
      </w:r>
      <w:r>
        <w:rPr>
          <w:spacing w:val="-4"/>
        </w:rPr>
        <w:t> </w:t>
      </w:r>
      <w:r>
        <w:rPr/>
        <w:t>an</w:t>
      </w:r>
      <w:r>
        <w:rPr>
          <w:spacing w:val="-3"/>
        </w:rPr>
        <w:t> </w:t>
      </w:r>
      <w:r>
        <w:rPr/>
        <w:t>evaluation</w:t>
      </w:r>
      <w:r>
        <w:rPr>
          <w:spacing w:val="-3"/>
        </w:rPr>
        <w:t> </w:t>
      </w:r>
      <w:r>
        <w:rPr/>
        <w:t>center</w:t>
      </w:r>
      <w:r>
        <w:rPr>
          <w:spacing w:val="-2"/>
        </w:rPr>
        <w:t> </w:t>
      </w:r>
      <w:r>
        <w:rPr/>
        <w:t>for</w:t>
      </w:r>
      <w:r>
        <w:rPr>
          <w:spacing w:val="-2"/>
        </w:rPr>
        <w:t> </w:t>
      </w:r>
      <w:r>
        <w:rPr/>
        <w:t>students</w:t>
      </w:r>
      <w:r>
        <w:rPr>
          <w:spacing w:val="-4"/>
        </w:rPr>
        <w:t> </w:t>
      </w:r>
      <w:r>
        <w:rPr/>
        <w:t>in</w:t>
      </w:r>
      <w:r>
        <w:rPr>
          <w:spacing w:val="-3"/>
        </w:rPr>
        <w:t> </w:t>
      </w:r>
      <w:r>
        <w:rPr/>
        <w:t>Oklahoma</w:t>
      </w:r>
      <w:r>
        <w:rPr>
          <w:spacing w:val="-3"/>
        </w:rPr>
        <w:t> </w:t>
      </w:r>
      <w:r>
        <w:rPr/>
        <w:t>who</w:t>
      </w:r>
      <w:r>
        <w:rPr>
          <w:spacing w:val="-3"/>
        </w:rPr>
        <w:t> </w:t>
      </w:r>
      <w:r>
        <w:rPr/>
        <w:t>are blind and visually impaired.</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pPr>
      <w:bookmarkStart w:name="612:1-5-6.  Oklahoma School for the Deaf" w:id="23"/>
      <w:bookmarkEnd w:id="23"/>
      <w:r>
        <w:rPr>
          <w:b w:val="0"/>
        </w:rPr>
      </w:r>
      <w:r>
        <w:rPr/>
        <w:t>612:1-5-6.</w:t>
      </w:r>
      <w:r>
        <w:rPr>
          <w:spacing w:val="60"/>
        </w:rPr>
        <w:t> </w:t>
      </w:r>
      <w:r>
        <w:rPr/>
        <w:t>Oklahoma</w:t>
      </w:r>
      <w:r>
        <w:rPr>
          <w:spacing w:val="-2"/>
        </w:rPr>
        <w:t> </w:t>
      </w:r>
      <w:r>
        <w:rPr/>
        <w:t>School</w:t>
      </w:r>
      <w:r>
        <w:rPr>
          <w:spacing w:val="-2"/>
        </w:rPr>
        <w:t> </w:t>
      </w:r>
      <w:r>
        <w:rPr/>
        <w:t>for</w:t>
      </w:r>
      <w:r>
        <w:rPr>
          <w:spacing w:val="-3"/>
        </w:rPr>
        <w:t> </w:t>
      </w:r>
      <w:r>
        <w:rPr/>
        <w:t>the</w:t>
      </w:r>
      <w:r>
        <w:rPr>
          <w:spacing w:val="-3"/>
        </w:rPr>
        <w:t> </w:t>
      </w:r>
      <w:r>
        <w:rPr/>
        <w:t>Deaf</w:t>
      </w:r>
      <w:r>
        <w:rPr>
          <w:spacing w:val="-4"/>
        </w:rPr>
        <w:t> </w:t>
      </w:r>
      <w:r>
        <w:rPr>
          <w:spacing w:val="-2"/>
        </w:rPr>
        <w:t>(OSD)</w:t>
      </w:r>
    </w:p>
    <w:p>
      <w:pPr>
        <w:pStyle w:val="BodyText"/>
        <w:spacing w:line="208" w:lineRule="auto" w:before="233"/>
        <w:ind w:right="748" w:firstLine="432"/>
      </w:pPr>
      <w:r>
        <w:rPr/>
        <w:t>The</w:t>
      </w:r>
      <w:r>
        <w:rPr>
          <w:spacing w:val="-4"/>
        </w:rPr>
        <w:t> </w:t>
      </w:r>
      <w:r>
        <w:rPr/>
        <w:t>Oklahoma</w:t>
      </w:r>
      <w:r>
        <w:rPr>
          <w:spacing w:val="-4"/>
        </w:rPr>
        <w:t> </w:t>
      </w:r>
      <w:r>
        <w:rPr/>
        <w:t>School</w:t>
      </w:r>
      <w:r>
        <w:rPr>
          <w:spacing w:val="-4"/>
        </w:rPr>
        <w:t> </w:t>
      </w:r>
      <w:r>
        <w:rPr/>
        <w:t>for</w:t>
      </w:r>
      <w:r>
        <w:rPr>
          <w:spacing w:val="-3"/>
        </w:rPr>
        <w:t> </w:t>
      </w:r>
      <w:r>
        <w:rPr/>
        <w:t>the</w:t>
      </w:r>
      <w:r>
        <w:rPr>
          <w:spacing w:val="-4"/>
        </w:rPr>
        <w:t> </w:t>
      </w:r>
      <w:r>
        <w:rPr/>
        <w:t>Deaf</w:t>
      </w:r>
      <w:r>
        <w:rPr>
          <w:spacing w:val="-3"/>
        </w:rPr>
        <w:t> </w:t>
      </w:r>
      <w:r>
        <w:rPr/>
        <w:t>provides</w:t>
      </w:r>
      <w:r>
        <w:rPr>
          <w:spacing w:val="-4"/>
        </w:rPr>
        <w:t> </w:t>
      </w:r>
      <w:r>
        <w:rPr/>
        <w:t>a</w:t>
      </w:r>
      <w:r>
        <w:rPr>
          <w:spacing w:val="-4"/>
        </w:rPr>
        <w:t> </w:t>
      </w:r>
      <w:r>
        <w:rPr/>
        <w:t>full</w:t>
      </w:r>
      <w:r>
        <w:rPr>
          <w:spacing w:val="-4"/>
        </w:rPr>
        <w:t> </w:t>
      </w:r>
      <w:r>
        <w:rPr/>
        <w:t>preschool,</w:t>
      </w:r>
      <w:r>
        <w:rPr>
          <w:spacing w:val="-3"/>
        </w:rPr>
        <w:t> </w:t>
      </w:r>
      <w:r>
        <w:rPr/>
        <w:t>primary</w:t>
      </w:r>
      <w:r>
        <w:rPr>
          <w:spacing w:val="-4"/>
        </w:rPr>
        <w:t> </w:t>
      </w:r>
      <w:r>
        <w:rPr/>
        <w:t>and</w:t>
      </w:r>
      <w:r>
        <w:rPr>
          <w:spacing w:val="-4"/>
        </w:rPr>
        <w:t> </w:t>
      </w:r>
      <w:r>
        <w:rPr/>
        <w:t>secondary educational program for both residential and day students, serving Oklahomans who</w:t>
      </w:r>
      <w:r>
        <w:rPr>
          <w:spacing w:val="40"/>
        </w:rPr>
        <w:t> </w:t>
      </w:r>
      <w:r>
        <w:rPr/>
        <w:t>are deaf, hard of hearing, and multidisabled. The program is designed to provide students with individualized assistance in order to overcome the limitations imposed by the students' disabilities. The Outreach Program of the school provides services to students who attend public schools, as well as serving school districts throughout the state. The</w:t>
      </w:r>
      <w:r>
        <w:rPr>
          <w:spacing w:val="-1"/>
        </w:rPr>
        <w:t> </w:t>
      </w:r>
      <w:r>
        <w:rPr/>
        <w:t>school also serves as</w:t>
      </w:r>
      <w:r>
        <w:rPr>
          <w:spacing w:val="-1"/>
        </w:rPr>
        <w:t> </w:t>
      </w:r>
      <w:r>
        <w:rPr/>
        <w:t>an evaluation center for students</w:t>
      </w:r>
      <w:r>
        <w:rPr>
          <w:spacing w:val="-1"/>
        </w:rPr>
        <w:t> </w:t>
      </w:r>
      <w:r>
        <w:rPr/>
        <w:t>in Oklahoma who are deaf or hard of hearing.</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775" w:firstLine="0"/>
        <w:jc w:val="left"/>
        <w:rPr>
          <w:sz w:val="22"/>
        </w:rPr>
      </w:pPr>
      <w:r>
        <w:rPr>
          <w:sz w:val="22"/>
        </w:rPr>
        <w:t>Permanent,</w:t>
      </w:r>
      <w:r>
        <w:rPr>
          <w:spacing w:val="-3"/>
          <w:sz w:val="22"/>
        </w:rPr>
        <w:t> </w:t>
      </w:r>
      <w:r>
        <w:rPr>
          <w:sz w:val="22"/>
        </w:rPr>
        <w:t>first</w:t>
      </w:r>
      <w:r>
        <w:rPr>
          <w:spacing w:val="-4"/>
          <w:sz w:val="22"/>
        </w:rPr>
        <w:t> </w:t>
      </w:r>
      <w:r>
        <w:rPr>
          <w:sz w:val="22"/>
        </w:rPr>
        <w:t>adoption</w:t>
      </w:r>
      <w:r>
        <w:rPr>
          <w:spacing w:val="-4"/>
          <w:sz w:val="22"/>
        </w:rPr>
        <w:t> </w:t>
      </w:r>
      <w:r>
        <w:rPr>
          <w:sz w:val="22"/>
        </w:rPr>
        <w:t>under</w:t>
      </w:r>
      <w:r>
        <w:rPr>
          <w:spacing w:val="-4"/>
          <w:sz w:val="22"/>
        </w:rPr>
        <w:t> </w:t>
      </w:r>
      <w:r>
        <w:rPr>
          <w:sz w:val="22"/>
        </w:rPr>
        <w:t>OAC</w:t>
      </w:r>
      <w:r>
        <w:rPr>
          <w:spacing w:val="-5"/>
          <w:sz w:val="22"/>
        </w:rPr>
        <w:t> </w:t>
      </w:r>
      <w:r>
        <w:rPr>
          <w:sz w:val="22"/>
        </w:rPr>
        <w:t>Title</w:t>
      </w:r>
      <w:r>
        <w:rPr>
          <w:spacing w:val="-4"/>
          <w:sz w:val="22"/>
        </w:rPr>
        <w:t> </w:t>
      </w:r>
      <w:r>
        <w:rPr>
          <w:sz w:val="22"/>
        </w:rPr>
        <w:t>612,</w:t>
      </w:r>
      <w:r>
        <w:rPr>
          <w:spacing w:val="-5"/>
          <w:sz w:val="22"/>
        </w:rPr>
        <w:t> </w:t>
      </w:r>
      <w:r>
        <w:rPr>
          <w:sz w:val="22"/>
        </w:rPr>
        <w:t>corrected</w:t>
      </w:r>
      <w:r>
        <w:rPr>
          <w:spacing w:val="-4"/>
          <w:sz w:val="22"/>
        </w:rPr>
        <w:t> </w:t>
      </w:r>
      <w:r>
        <w:rPr>
          <w:sz w:val="22"/>
        </w:rPr>
        <w:t>last</w:t>
      </w:r>
      <w:r>
        <w:rPr>
          <w:spacing w:val="-4"/>
          <w:sz w:val="22"/>
        </w:rPr>
        <w:t> </w:t>
      </w:r>
      <w:r>
        <w:rPr>
          <w:sz w:val="22"/>
        </w:rPr>
        <w:t>sentence</w:t>
      </w:r>
      <w:r>
        <w:rPr>
          <w:spacing w:val="-5"/>
          <w:sz w:val="22"/>
        </w:rPr>
        <w:t> </w:t>
      </w:r>
      <w:r>
        <w:rPr>
          <w:sz w:val="22"/>
        </w:rPr>
        <w:t>from</w:t>
      </w:r>
      <w:r>
        <w:rPr>
          <w:spacing w:val="-5"/>
          <w:sz w:val="22"/>
        </w:rPr>
        <w:t> </w:t>
      </w:r>
      <w:r>
        <w:rPr>
          <w:sz w:val="22"/>
        </w:rPr>
        <w:t>blind and visually impaired to deaf and hard of hearing.</w:t>
      </w:r>
    </w:p>
    <w:p>
      <w:pPr>
        <w:spacing w:after="0"/>
        <w:jc w:val="left"/>
        <w:rPr>
          <w:sz w:val="22"/>
        </w:rPr>
        <w:sectPr>
          <w:pgSz w:w="12240" w:h="15840"/>
          <w:pgMar w:top="1340" w:bottom="280" w:left="1080" w:right="720"/>
        </w:sectPr>
      </w:pPr>
    </w:p>
    <w:p>
      <w:pPr>
        <w:pStyle w:val="Heading1"/>
        <w:ind w:left="472" w:right="0"/>
        <w:jc w:val="left"/>
      </w:pPr>
      <w:bookmarkStart w:name="SUBCHAPTER 7. RELATIONSHIPS WITH DEPARTM" w:id="24"/>
      <w:bookmarkEnd w:id="24"/>
      <w:r>
        <w:rPr>
          <w:b w:val="0"/>
        </w:rPr>
      </w:r>
      <w:r>
        <w:rPr/>
        <w:t>SUBCHAPTER</w:t>
      </w:r>
      <w:r>
        <w:rPr>
          <w:spacing w:val="-4"/>
        </w:rPr>
        <w:t> </w:t>
      </w:r>
      <w:r>
        <w:rPr/>
        <w:t>7.</w:t>
      </w:r>
      <w:r>
        <w:rPr>
          <w:spacing w:val="-3"/>
        </w:rPr>
        <w:t> </w:t>
      </w:r>
      <w:r>
        <w:rPr/>
        <w:t>RELATIONSHIPS</w:t>
      </w:r>
      <w:r>
        <w:rPr>
          <w:spacing w:val="-3"/>
        </w:rPr>
        <w:t> </w:t>
      </w:r>
      <w:r>
        <w:rPr/>
        <w:t>WITH</w:t>
      </w:r>
      <w:r>
        <w:rPr>
          <w:spacing w:val="-6"/>
        </w:rPr>
        <w:t> </w:t>
      </w:r>
      <w:r>
        <w:rPr/>
        <w:t>DEPARTMENT</w:t>
      </w:r>
      <w:r>
        <w:rPr>
          <w:spacing w:val="-2"/>
        </w:rPr>
        <w:t> </w:t>
      </w:r>
      <w:r>
        <w:rPr/>
        <w:t>ESTABLISHED</w:t>
      </w:r>
      <w:r>
        <w:rPr>
          <w:spacing w:val="-4"/>
        </w:rPr>
        <w:t> </w:t>
      </w:r>
      <w:r>
        <w:rPr/>
        <w:t>BY</w:t>
      </w:r>
      <w:r>
        <w:rPr>
          <w:spacing w:val="-3"/>
        </w:rPr>
        <w:t> </w:t>
      </w:r>
      <w:r>
        <w:rPr>
          <w:spacing w:val="-5"/>
        </w:rPr>
        <w:t>LAW</w:t>
      </w:r>
    </w:p>
    <w:p>
      <w:pPr>
        <w:pStyle w:val="BodyText"/>
        <w:spacing w:before="204"/>
      </w:pPr>
      <w:r>
        <w:rPr>
          <w:spacing w:val="-2"/>
        </w:rPr>
        <w:t>Section</w:t>
      </w:r>
    </w:p>
    <w:p>
      <w:pPr>
        <w:pStyle w:val="BodyText"/>
        <w:tabs>
          <w:tab w:pos="1799" w:val="left" w:leader="none"/>
        </w:tabs>
        <w:spacing w:line="208" w:lineRule="auto" w:before="233"/>
        <w:ind w:left="1800" w:right="1685" w:hanging="1440"/>
      </w:pPr>
      <w:r>
        <w:rPr>
          <w:spacing w:val="-2"/>
        </w:rPr>
        <w:t>612:1-7-3.</w:t>
      </w:r>
      <w:r>
        <w:rPr/>
        <w:tab/>
        <w:t>Relationships</w:t>
      </w:r>
      <w:r>
        <w:rPr>
          <w:spacing w:val="-5"/>
        </w:rPr>
        <w:t> </w:t>
      </w:r>
      <w:r>
        <w:rPr/>
        <w:t>with</w:t>
      </w:r>
      <w:r>
        <w:rPr>
          <w:spacing w:val="-5"/>
        </w:rPr>
        <w:t> </w:t>
      </w:r>
      <w:r>
        <w:rPr/>
        <w:t>state</w:t>
      </w:r>
      <w:r>
        <w:rPr>
          <w:spacing w:val="-5"/>
        </w:rPr>
        <w:t> </w:t>
      </w:r>
      <w:r>
        <w:rPr/>
        <w:t>boards:</w:t>
      </w:r>
      <w:r>
        <w:rPr>
          <w:spacing w:val="-4"/>
        </w:rPr>
        <w:t> </w:t>
      </w:r>
      <w:r>
        <w:rPr/>
        <w:t>ex</w:t>
      </w:r>
      <w:r>
        <w:rPr>
          <w:spacing w:val="-5"/>
        </w:rPr>
        <w:t> </w:t>
      </w:r>
      <w:r>
        <w:rPr/>
        <w:t>officio</w:t>
      </w:r>
      <w:r>
        <w:rPr>
          <w:spacing w:val="-5"/>
        </w:rPr>
        <w:t> </w:t>
      </w:r>
      <w:r>
        <w:rPr/>
        <w:t>representation</w:t>
      </w:r>
      <w:r>
        <w:rPr>
          <w:spacing w:val="-4"/>
        </w:rPr>
        <w:t> </w:t>
      </w:r>
      <w:r>
        <w:rPr/>
        <w:t>from</w:t>
      </w:r>
      <w:r>
        <w:rPr>
          <w:spacing w:val="-6"/>
        </w:rPr>
        <w:t> </w:t>
      </w:r>
      <w:r>
        <w:rPr/>
        <w:t>the </w:t>
      </w:r>
      <w:r>
        <w:rPr>
          <w:spacing w:val="-2"/>
        </w:rPr>
        <w:t>Department</w:t>
      </w:r>
    </w:p>
    <w:p>
      <w:pPr>
        <w:pStyle w:val="BodyText"/>
        <w:tabs>
          <w:tab w:pos="1799" w:val="left" w:leader="none"/>
        </w:tabs>
        <w:spacing w:before="210"/>
      </w:pPr>
      <w:r>
        <w:rPr>
          <w:spacing w:val="-2"/>
        </w:rPr>
        <w:t>612:1-7-</w:t>
      </w:r>
      <w:r>
        <w:rPr>
          <w:spacing w:val="-5"/>
        </w:rPr>
        <w:t>4.</w:t>
      </w:r>
      <w:r>
        <w:rPr/>
        <w:tab/>
        <w:t>Relationships</w:t>
      </w:r>
      <w:r>
        <w:rPr>
          <w:spacing w:val="-5"/>
        </w:rPr>
        <w:t> </w:t>
      </w:r>
      <w:r>
        <w:rPr/>
        <w:t>with</w:t>
      </w:r>
      <w:r>
        <w:rPr>
          <w:spacing w:val="-5"/>
        </w:rPr>
        <w:t> </w:t>
      </w:r>
      <w:r>
        <w:rPr/>
        <w:t>federal</w:t>
      </w:r>
      <w:r>
        <w:rPr>
          <w:spacing w:val="-4"/>
        </w:rPr>
        <w:t> </w:t>
      </w:r>
      <w:r>
        <w:rPr>
          <w:spacing w:val="-2"/>
        </w:rPr>
        <w:t>officials</w:t>
      </w:r>
    </w:p>
    <w:p>
      <w:pPr>
        <w:spacing w:before="238"/>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tabs>
          <w:tab w:pos="1439" w:val="left" w:leader="none"/>
        </w:tabs>
        <w:spacing w:before="0"/>
        <w:ind w:left="1439" w:right="1331" w:hanging="1080"/>
        <w:jc w:val="left"/>
        <w:rPr>
          <w:sz w:val="22"/>
        </w:rPr>
      </w:pPr>
      <w:r>
        <w:rPr>
          <w:spacing w:val="-2"/>
          <w:sz w:val="22"/>
        </w:rPr>
        <w:t>8-26-21</w:t>
      </w:r>
      <w:r>
        <w:rPr>
          <w:sz w:val="22"/>
        </w:rPr>
        <w:tab/>
        <w:t>Revoked</w:t>
      </w:r>
      <w:r>
        <w:rPr>
          <w:spacing w:val="-5"/>
          <w:sz w:val="22"/>
        </w:rPr>
        <w:t> </w:t>
      </w:r>
      <w:r>
        <w:rPr>
          <w:sz w:val="22"/>
        </w:rPr>
        <w:t>rule</w:t>
      </w:r>
      <w:r>
        <w:rPr>
          <w:spacing w:val="-5"/>
          <w:sz w:val="22"/>
        </w:rPr>
        <w:t> </w:t>
      </w:r>
      <w:r>
        <w:rPr>
          <w:sz w:val="22"/>
        </w:rPr>
        <w:t>612:1-7-1</w:t>
      </w:r>
      <w:r>
        <w:rPr>
          <w:spacing w:val="-5"/>
          <w:sz w:val="22"/>
        </w:rPr>
        <w:t> </w:t>
      </w:r>
      <w:r>
        <w:rPr>
          <w:sz w:val="22"/>
        </w:rPr>
        <w:t>Relationships</w:t>
      </w:r>
      <w:r>
        <w:rPr>
          <w:spacing w:val="-5"/>
          <w:sz w:val="22"/>
        </w:rPr>
        <w:t> </w:t>
      </w:r>
      <w:r>
        <w:rPr>
          <w:sz w:val="22"/>
        </w:rPr>
        <w:t>with</w:t>
      </w:r>
      <w:r>
        <w:rPr>
          <w:spacing w:val="-5"/>
          <w:sz w:val="22"/>
        </w:rPr>
        <w:t> </w:t>
      </w:r>
      <w:r>
        <w:rPr>
          <w:sz w:val="22"/>
        </w:rPr>
        <w:t>elected</w:t>
      </w:r>
      <w:r>
        <w:rPr>
          <w:spacing w:val="-5"/>
          <w:sz w:val="22"/>
        </w:rPr>
        <w:t> </w:t>
      </w:r>
      <w:r>
        <w:rPr>
          <w:sz w:val="22"/>
        </w:rPr>
        <w:t>state</w:t>
      </w:r>
      <w:r>
        <w:rPr>
          <w:spacing w:val="-5"/>
          <w:sz w:val="22"/>
        </w:rPr>
        <w:t> </w:t>
      </w:r>
      <w:r>
        <w:rPr>
          <w:sz w:val="22"/>
        </w:rPr>
        <w:t>officials</w:t>
      </w:r>
      <w:r>
        <w:rPr>
          <w:spacing w:val="-4"/>
          <w:sz w:val="22"/>
        </w:rPr>
        <w:t> </w:t>
      </w:r>
      <w:r>
        <w:rPr>
          <w:sz w:val="22"/>
        </w:rPr>
        <w:t>and</w:t>
      </w:r>
      <w:r>
        <w:rPr>
          <w:spacing w:val="-5"/>
          <w:sz w:val="22"/>
        </w:rPr>
        <w:t> </w:t>
      </w:r>
      <w:r>
        <w:rPr>
          <w:sz w:val="22"/>
        </w:rPr>
        <w:t>612:1-7-2 Relationships with appointed state officials.</w:t>
      </w:r>
    </w:p>
    <w:p>
      <w:pPr>
        <w:spacing w:after="0"/>
        <w:jc w:val="left"/>
        <w:rPr>
          <w:sz w:val="22"/>
        </w:rPr>
        <w:sectPr>
          <w:pgSz w:w="12240" w:h="15840"/>
          <w:pgMar w:top="1340" w:bottom="280" w:left="1080" w:right="720"/>
        </w:sectPr>
      </w:pPr>
    </w:p>
    <w:p>
      <w:pPr>
        <w:pStyle w:val="Heading2"/>
        <w:spacing w:line="208" w:lineRule="auto" w:before="96"/>
        <w:ind w:right="775"/>
      </w:pPr>
      <w:bookmarkStart w:name="612:1-7-3.  Relationships with state boa" w:id="25"/>
      <w:bookmarkEnd w:id="25"/>
      <w:r>
        <w:rPr>
          <w:b w:val="0"/>
        </w:rPr>
      </w:r>
      <w:r>
        <w:rPr/>
        <w:t>612:1-7-3.</w:t>
      </w:r>
      <w:r>
        <w:rPr>
          <w:spacing w:val="40"/>
        </w:rPr>
        <w:t> </w:t>
      </w:r>
      <w:r>
        <w:rPr/>
        <w:t>Relationships</w:t>
      </w:r>
      <w:r>
        <w:rPr>
          <w:spacing w:val="-4"/>
        </w:rPr>
        <w:t> </w:t>
      </w:r>
      <w:r>
        <w:rPr/>
        <w:t>with</w:t>
      </w:r>
      <w:r>
        <w:rPr>
          <w:spacing w:val="-5"/>
        </w:rPr>
        <w:t> </w:t>
      </w:r>
      <w:r>
        <w:rPr/>
        <w:t>state</w:t>
      </w:r>
      <w:r>
        <w:rPr>
          <w:spacing w:val="-4"/>
        </w:rPr>
        <w:t> </w:t>
      </w:r>
      <w:r>
        <w:rPr/>
        <w:t>boards:</w:t>
      </w:r>
      <w:r>
        <w:rPr>
          <w:spacing w:val="-3"/>
        </w:rPr>
        <w:t> </w:t>
      </w:r>
      <w:r>
        <w:rPr/>
        <w:t>ex</w:t>
      </w:r>
      <w:r>
        <w:rPr>
          <w:spacing w:val="-4"/>
        </w:rPr>
        <w:t> </w:t>
      </w:r>
      <w:r>
        <w:rPr/>
        <w:t>officio</w:t>
      </w:r>
      <w:r>
        <w:rPr>
          <w:spacing w:val="-4"/>
        </w:rPr>
        <w:t> </w:t>
      </w:r>
      <w:r>
        <w:rPr/>
        <w:t>representation</w:t>
      </w:r>
      <w:r>
        <w:rPr>
          <w:spacing w:val="-4"/>
        </w:rPr>
        <w:t> </w:t>
      </w:r>
      <w:r>
        <w:rPr/>
        <w:t>from</w:t>
      </w:r>
      <w:r>
        <w:rPr>
          <w:spacing w:val="-4"/>
        </w:rPr>
        <w:t> </w:t>
      </w:r>
      <w:r>
        <w:rPr/>
        <w:t>the </w:t>
      </w:r>
      <w:r>
        <w:rPr>
          <w:spacing w:val="-2"/>
        </w:rPr>
        <w:t>Department</w:t>
      </w:r>
    </w:p>
    <w:p>
      <w:pPr>
        <w:pStyle w:val="ListParagraph"/>
        <w:numPr>
          <w:ilvl w:val="0"/>
          <w:numId w:val="23"/>
        </w:numPr>
        <w:tabs>
          <w:tab w:pos="785" w:val="left" w:leader="none"/>
        </w:tabs>
        <w:spacing w:line="208" w:lineRule="auto" w:before="240" w:after="0"/>
        <w:ind w:left="359" w:right="779" w:firstLine="0"/>
        <w:jc w:val="left"/>
        <w:rPr>
          <w:sz w:val="24"/>
        </w:rPr>
      </w:pPr>
      <w:r>
        <w:rPr>
          <w:b/>
          <w:sz w:val="24"/>
        </w:rPr>
        <w:t>State Rehabilitation Council.</w:t>
      </w:r>
      <w:r>
        <w:rPr>
          <w:b/>
          <w:spacing w:val="40"/>
          <w:sz w:val="24"/>
        </w:rPr>
        <w:t> </w:t>
      </w:r>
      <w:r>
        <w:rPr>
          <w:sz w:val="24"/>
        </w:rPr>
        <w:t>Section 25 of the Rehabilitation Act requires the state</w:t>
      </w:r>
      <w:r>
        <w:rPr>
          <w:spacing w:val="-4"/>
          <w:sz w:val="24"/>
        </w:rPr>
        <w:t> </w:t>
      </w:r>
      <w:r>
        <w:rPr>
          <w:sz w:val="24"/>
        </w:rPr>
        <w:t>establish</w:t>
      </w:r>
      <w:r>
        <w:rPr>
          <w:spacing w:val="-4"/>
          <w:sz w:val="24"/>
        </w:rPr>
        <w:t> </w:t>
      </w:r>
      <w:r>
        <w:rPr>
          <w:sz w:val="24"/>
        </w:rPr>
        <w:t>a</w:t>
      </w:r>
      <w:r>
        <w:rPr>
          <w:spacing w:val="-4"/>
          <w:sz w:val="24"/>
        </w:rPr>
        <w:t> </w:t>
      </w:r>
      <w:r>
        <w:rPr>
          <w:sz w:val="24"/>
        </w:rPr>
        <w:t>State</w:t>
      </w:r>
      <w:r>
        <w:rPr>
          <w:spacing w:val="-4"/>
          <w:sz w:val="24"/>
        </w:rPr>
        <w:t> </w:t>
      </w:r>
      <w:r>
        <w:rPr>
          <w:sz w:val="24"/>
        </w:rPr>
        <w:t>Rehabilitation</w:t>
      </w:r>
      <w:r>
        <w:rPr>
          <w:spacing w:val="-4"/>
          <w:sz w:val="24"/>
        </w:rPr>
        <w:t> </w:t>
      </w:r>
      <w:r>
        <w:rPr>
          <w:sz w:val="24"/>
        </w:rPr>
        <w:t>Council.</w:t>
      </w:r>
      <w:r>
        <w:rPr>
          <w:spacing w:val="40"/>
          <w:sz w:val="24"/>
        </w:rPr>
        <w:t> </w:t>
      </w:r>
      <w:r>
        <w:rPr>
          <w:sz w:val="24"/>
        </w:rPr>
        <w:t>The</w:t>
      </w:r>
      <w:r>
        <w:rPr>
          <w:spacing w:val="-4"/>
          <w:sz w:val="24"/>
        </w:rPr>
        <w:t> </w:t>
      </w:r>
      <w:r>
        <w:rPr>
          <w:sz w:val="24"/>
        </w:rPr>
        <w:t>Council</w:t>
      </w:r>
      <w:r>
        <w:rPr>
          <w:spacing w:val="-4"/>
          <w:sz w:val="24"/>
        </w:rPr>
        <w:t> </w:t>
      </w:r>
      <w:r>
        <w:rPr>
          <w:sz w:val="24"/>
        </w:rPr>
        <w:t>membership</w:t>
      </w:r>
      <w:r>
        <w:rPr>
          <w:spacing w:val="-4"/>
          <w:sz w:val="24"/>
        </w:rPr>
        <w:t> </w:t>
      </w:r>
      <w:r>
        <w:rPr>
          <w:sz w:val="24"/>
        </w:rPr>
        <w:t>is</w:t>
      </w:r>
      <w:r>
        <w:rPr>
          <w:spacing w:val="-4"/>
          <w:sz w:val="24"/>
        </w:rPr>
        <w:t> </w:t>
      </w:r>
      <w:r>
        <w:rPr>
          <w:sz w:val="24"/>
        </w:rPr>
        <w:t>appointed</w:t>
      </w:r>
      <w:r>
        <w:rPr>
          <w:spacing w:val="-4"/>
          <w:sz w:val="24"/>
        </w:rPr>
        <w:t> </w:t>
      </w:r>
      <w:r>
        <w:rPr>
          <w:sz w:val="24"/>
        </w:rPr>
        <w:t>by the</w:t>
      </w:r>
      <w:r>
        <w:rPr>
          <w:spacing w:val="-2"/>
          <w:sz w:val="24"/>
        </w:rPr>
        <w:t> </w:t>
      </w:r>
      <w:r>
        <w:rPr>
          <w:sz w:val="24"/>
        </w:rPr>
        <w:t>Governor</w:t>
      </w:r>
      <w:r>
        <w:rPr>
          <w:spacing w:val="-1"/>
          <w:sz w:val="24"/>
        </w:rPr>
        <w:t> </w:t>
      </w:r>
      <w:r>
        <w:rPr>
          <w:sz w:val="24"/>
        </w:rPr>
        <w:t>consistent</w:t>
      </w:r>
      <w:r>
        <w:rPr>
          <w:spacing w:val="-1"/>
          <w:sz w:val="24"/>
        </w:rPr>
        <w:t> </w:t>
      </w:r>
      <w:r>
        <w:rPr>
          <w:sz w:val="24"/>
        </w:rPr>
        <w:t>with</w:t>
      </w:r>
      <w:r>
        <w:rPr>
          <w:spacing w:val="-2"/>
          <w:sz w:val="24"/>
        </w:rPr>
        <w:t> </w:t>
      </w:r>
      <w:r>
        <w:rPr>
          <w:sz w:val="24"/>
        </w:rPr>
        <w:t>the</w:t>
      </w:r>
      <w:r>
        <w:rPr>
          <w:spacing w:val="-3"/>
          <w:sz w:val="24"/>
        </w:rPr>
        <w:t> </w:t>
      </w:r>
      <w:r>
        <w:rPr>
          <w:sz w:val="24"/>
        </w:rPr>
        <w:t>provisions</w:t>
      </w:r>
      <w:r>
        <w:rPr>
          <w:spacing w:val="-1"/>
          <w:sz w:val="24"/>
        </w:rPr>
        <w:t> </w:t>
      </w:r>
      <w:r>
        <w:rPr>
          <w:sz w:val="24"/>
        </w:rPr>
        <w:t>of</w:t>
      </w:r>
      <w:r>
        <w:rPr>
          <w:spacing w:val="-1"/>
          <w:sz w:val="24"/>
        </w:rPr>
        <w:t> </w:t>
      </w:r>
      <w:r>
        <w:rPr>
          <w:sz w:val="24"/>
        </w:rPr>
        <w:t>29</w:t>
      </w:r>
      <w:r>
        <w:rPr>
          <w:spacing w:val="-2"/>
          <w:sz w:val="24"/>
        </w:rPr>
        <w:t> </w:t>
      </w:r>
      <w:r>
        <w:rPr>
          <w:sz w:val="24"/>
        </w:rPr>
        <w:t>USC</w:t>
      </w:r>
      <w:r>
        <w:rPr>
          <w:spacing w:val="-2"/>
          <w:sz w:val="24"/>
        </w:rPr>
        <w:t> </w:t>
      </w:r>
      <w:r>
        <w:rPr>
          <w:sz w:val="24"/>
        </w:rPr>
        <w:t>Section</w:t>
      </w:r>
      <w:r>
        <w:rPr>
          <w:spacing w:val="-2"/>
          <w:sz w:val="24"/>
        </w:rPr>
        <w:t> </w:t>
      </w:r>
      <w:r>
        <w:rPr>
          <w:sz w:val="24"/>
        </w:rPr>
        <w:t>725.</w:t>
      </w:r>
      <w:r>
        <w:rPr>
          <w:spacing w:val="40"/>
          <w:sz w:val="24"/>
        </w:rPr>
        <w:t> </w:t>
      </w:r>
      <w:r>
        <w:rPr>
          <w:sz w:val="24"/>
        </w:rPr>
        <w:t>The</w:t>
      </w:r>
      <w:r>
        <w:rPr>
          <w:spacing w:val="-2"/>
          <w:sz w:val="24"/>
        </w:rPr>
        <w:t> </w:t>
      </w:r>
      <w:r>
        <w:rPr>
          <w:sz w:val="24"/>
        </w:rPr>
        <w:t>Director</w:t>
      </w:r>
      <w:r>
        <w:rPr>
          <w:spacing w:val="-1"/>
          <w:sz w:val="24"/>
        </w:rPr>
        <w:t> </w:t>
      </w:r>
      <w:r>
        <w:rPr>
          <w:sz w:val="24"/>
        </w:rPr>
        <w:t>of</w:t>
      </w:r>
      <w:r>
        <w:rPr>
          <w:spacing w:val="-3"/>
          <w:sz w:val="24"/>
        </w:rPr>
        <w:t> </w:t>
      </w:r>
      <w:r>
        <w:rPr>
          <w:sz w:val="24"/>
        </w:rPr>
        <w:t>the Department of Rehabilitation Services serves as an ex officio member of the Council. The</w:t>
      </w:r>
      <w:r>
        <w:rPr>
          <w:spacing w:val="-2"/>
          <w:sz w:val="24"/>
        </w:rPr>
        <w:t> </w:t>
      </w:r>
      <w:r>
        <w:rPr>
          <w:sz w:val="24"/>
        </w:rPr>
        <w:t>Council</w:t>
      </w:r>
      <w:r>
        <w:rPr>
          <w:spacing w:val="-2"/>
          <w:sz w:val="24"/>
        </w:rPr>
        <w:t> </w:t>
      </w:r>
      <w:r>
        <w:rPr>
          <w:sz w:val="24"/>
        </w:rPr>
        <w:t>reviews,</w:t>
      </w:r>
      <w:r>
        <w:rPr>
          <w:spacing w:val="-1"/>
          <w:sz w:val="24"/>
        </w:rPr>
        <w:t> </w:t>
      </w:r>
      <w:r>
        <w:rPr>
          <w:sz w:val="24"/>
        </w:rPr>
        <w:t>analyzes,</w:t>
      </w:r>
      <w:r>
        <w:rPr>
          <w:spacing w:val="-1"/>
          <w:sz w:val="24"/>
        </w:rPr>
        <w:t> </w:t>
      </w:r>
      <w:r>
        <w:rPr>
          <w:sz w:val="24"/>
        </w:rPr>
        <w:t>and</w:t>
      </w:r>
      <w:r>
        <w:rPr>
          <w:spacing w:val="-2"/>
          <w:sz w:val="24"/>
        </w:rPr>
        <w:t> </w:t>
      </w:r>
      <w:r>
        <w:rPr>
          <w:sz w:val="24"/>
        </w:rPr>
        <w:t>advises</w:t>
      </w:r>
      <w:r>
        <w:rPr>
          <w:spacing w:val="-2"/>
          <w:sz w:val="24"/>
        </w:rPr>
        <w:t> </w:t>
      </w:r>
      <w:r>
        <w:rPr>
          <w:sz w:val="24"/>
        </w:rPr>
        <w:t>the</w:t>
      </w:r>
      <w:r>
        <w:rPr>
          <w:spacing w:val="-2"/>
          <w:sz w:val="24"/>
        </w:rPr>
        <w:t> </w:t>
      </w:r>
      <w:r>
        <w:rPr>
          <w:sz w:val="24"/>
        </w:rPr>
        <w:t>Department</w:t>
      </w:r>
      <w:r>
        <w:rPr>
          <w:spacing w:val="-1"/>
          <w:sz w:val="24"/>
        </w:rPr>
        <w:t> </w:t>
      </w:r>
      <w:r>
        <w:rPr>
          <w:sz w:val="24"/>
        </w:rPr>
        <w:t>regarding</w:t>
      </w:r>
      <w:r>
        <w:rPr>
          <w:spacing w:val="-2"/>
          <w:sz w:val="24"/>
        </w:rPr>
        <w:t> </w:t>
      </w:r>
      <w:r>
        <w:rPr>
          <w:sz w:val="24"/>
        </w:rPr>
        <w:t>the</w:t>
      </w:r>
      <w:r>
        <w:rPr>
          <w:spacing w:val="-2"/>
          <w:sz w:val="24"/>
        </w:rPr>
        <w:t> </w:t>
      </w:r>
      <w:r>
        <w:rPr>
          <w:sz w:val="24"/>
        </w:rPr>
        <w:t>performance of its responsibilities under the Rehabilitation Act; helps develop the State Plan; and performs other functions as specified in Section 725 of the Rehabilitation Act.</w:t>
      </w:r>
    </w:p>
    <w:p>
      <w:pPr>
        <w:pStyle w:val="ListParagraph"/>
        <w:numPr>
          <w:ilvl w:val="0"/>
          <w:numId w:val="23"/>
        </w:numPr>
        <w:tabs>
          <w:tab w:pos="786" w:val="left" w:leader="none"/>
        </w:tabs>
        <w:spacing w:line="208" w:lineRule="auto" w:before="239" w:after="0"/>
        <w:ind w:left="360" w:right="1115" w:firstLine="0"/>
        <w:jc w:val="left"/>
        <w:rPr>
          <w:sz w:val="24"/>
        </w:rPr>
      </w:pPr>
      <w:r>
        <w:rPr>
          <w:b/>
          <w:sz w:val="24"/>
        </w:rPr>
        <w:t>Statewide</w:t>
      </w:r>
      <w:r>
        <w:rPr>
          <w:b/>
          <w:spacing w:val="-4"/>
          <w:sz w:val="24"/>
        </w:rPr>
        <w:t> </w:t>
      </w:r>
      <w:r>
        <w:rPr>
          <w:b/>
          <w:sz w:val="24"/>
        </w:rPr>
        <w:t>Independent</w:t>
      </w:r>
      <w:r>
        <w:rPr>
          <w:b/>
          <w:spacing w:val="-3"/>
          <w:sz w:val="24"/>
        </w:rPr>
        <w:t> </w:t>
      </w:r>
      <w:r>
        <w:rPr>
          <w:b/>
          <w:sz w:val="24"/>
        </w:rPr>
        <w:t>Living</w:t>
      </w:r>
      <w:r>
        <w:rPr>
          <w:b/>
          <w:spacing w:val="-4"/>
          <w:sz w:val="24"/>
        </w:rPr>
        <w:t> </w:t>
      </w:r>
      <w:r>
        <w:rPr>
          <w:b/>
          <w:sz w:val="24"/>
        </w:rPr>
        <w:t>Council.</w:t>
      </w:r>
      <w:r>
        <w:rPr>
          <w:b/>
          <w:spacing w:val="40"/>
          <w:sz w:val="24"/>
        </w:rPr>
        <w:t> </w:t>
      </w:r>
      <w:r>
        <w:rPr>
          <w:sz w:val="24"/>
        </w:rPr>
        <w:t>Section</w:t>
      </w:r>
      <w:r>
        <w:rPr>
          <w:spacing w:val="-4"/>
          <w:sz w:val="24"/>
        </w:rPr>
        <w:t> </w:t>
      </w:r>
      <w:r>
        <w:rPr>
          <w:sz w:val="24"/>
        </w:rPr>
        <w:t>706d</w:t>
      </w:r>
      <w:r>
        <w:rPr>
          <w:spacing w:val="-4"/>
          <w:sz w:val="24"/>
        </w:rPr>
        <w:t> </w:t>
      </w:r>
      <w:r>
        <w:rPr>
          <w:sz w:val="24"/>
        </w:rPr>
        <w:t>of</w:t>
      </w:r>
      <w:r>
        <w:rPr>
          <w:spacing w:val="-3"/>
          <w:sz w:val="24"/>
        </w:rPr>
        <w:t> </w:t>
      </w:r>
      <w:r>
        <w:rPr>
          <w:sz w:val="24"/>
        </w:rPr>
        <w:t>the</w:t>
      </w:r>
      <w:r>
        <w:rPr>
          <w:spacing w:val="-4"/>
          <w:sz w:val="24"/>
        </w:rPr>
        <w:t> </w:t>
      </w:r>
      <w:r>
        <w:rPr>
          <w:sz w:val="24"/>
        </w:rPr>
        <w:t>Rehabilitation</w:t>
      </w:r>
      <w:r>
        <w:rPr>
          <w:spacing w:val="-4"/>
          <w:sz w:val="24"/>
        </w:rPr>
        <w:t> </w:t>
      </w:r>
      <w:r>
        <w:rPr>
          <w:sz w:val="24"/>
        </w:rPr>
        <w:t>Act requires the State establish a Statewide Independent Living Council (SILC). Membership of the Council is appointed by the Governor consistent with 29 USC</w:t>
      </w:r>
    </w:p>
    <w:p>
      <w:pPr>
        <w:pStyle w:val="BodyText"/>
        <w:spacing w:line="208" w:lineRule="auto" w:before="0"/>
        <w:ind w:right="775"/>
      </w:pPr>
      <w:r>
        <w:rPr/>
        <w:t>796(b). When serving as the Designated State Entity (DSE) for receipt and disbursement</w:t>
      </w:r>
      <w:r>
        <w:rPr>
          <w:spacing w:val="-2"/>
        </w:rPr>
        <w:t> </w:t>
      </w:r>
      <w:r>
        <w:rPr/>
        <w:t>of</w:t>
      </w:r>
      <w:r>
        <w:rPr>
          <w:spacing w:val="-4"/>
        </w:rPr>
        <w:t> </w:t>
      </w:r>
      <w:r>
        <w:rPr/>
        <w:t>federal</w:t>
      </w:r>
      <w:r>
        <w:rPr>
          <w:spacing w:val="-3"/>
        </w:rPr>
        <w:t> </w:t>
      </w:r>
      <w:r>
        <w:rPr/>
        <w:t>independent</w:t>
      </w:r>
      <w:r>
        <w:rPr>
          <w:spacing w:val="-2"/>
        </w:rPr>
        <w:t> </w:t>
      </w:r>
      <w:r>
        <w:rPr/>
        <w:t>living</w:t>
      </w:r>
      <w:r>
        <w:rPr>
          <w:spacing w:val="-3"/>
        </w:rPr>
        <w:t> </w:t>
      </w:r>
      <w:r>
        <w:rPr/>
        <w:t>funds</w:t>
      </w:r>
      <w:r>
        <w:rPr>
          <w:spacing w:val="-3"/>
        </w:rPr>
        <w:t> </w:t>
      </w:r>
      <w:r>
        <w:rPr/>
        <w:t>as</w:t>
      </w:r>
      <w:r>
        <w:rPr>
          <w:spacing w:val="-3"/>
        </w:rPr>
        <w:t> </w:t>
      </w:r>
      <w:r>
        <w:rPr/>
        <w:t>authorized</w:t>
      </w:r>
      <w:r>
        <w:rPr>
          <w:spacing w:val="-3"/>
        </w:rPr>
        <w:t> </w:t>
      </w:r>
      <w:r>
        <w:rPr/>
        <w:t>by</w:t>
      </w:r>
      <w:r>
        <w:rPr>
          <w:spacing w:val="-3"/>
        </w:rPr>
        <w:t> </w:t>
      </w:r>
      <w:r>
        <w:rPr/>
        <w:t>29</w:t>
      </w:r>
      <w:r>
        <w:rPr>
          <w:spacing w:val="-3"/>
        </w:rPr>
        <w:t> </w:t>
      </w:r>
      <w:r>
        <w:rPr/>
        <w:t>USC</w:t>
      </w:r>
      <w:r>
        <w:rPr>
          <w:spacing w:val="-3"/>
        </w:rPr>
        <w:t> </w:t>
      </w:r>
      <w:r>
        <w:rPr/>
        <w:t>796c(c),</w:t>
      </w:r>
      <w:r>
        <w:rPr>
          <w:spacing w:val="-4"/>
        </w:rPr>
        <w:t> </w:t>
      </w:r>
      <w:r>
        <w:rPr/>
        <w:t>the Department of Rehabilitation Services (DRS) has a non-voting member position on the SILC.</w:t>
      </w:r>
      <w:r>
        <w:rPr>
          <w:spacing w:val="40"/>
        </w:rPr>
        <w:t> </w:t>
      </w:r>
      <w:r>
        <w:rPr/>
        <w:t>The Council develops and submit the State Plan for Independent Living as described</w:t>
      </w:r>
      <w:r>
        <w:rPr>
          <w:spacing w:val="-4"/>
        </w:rPr>
        <w:t> </w:t>
      </w:r>
      <w:r>
        <w:rPr/>
        <w:t>in</w:t>
      </w:r>
      <w:r>
        <w:rPr>
          <w:spacing w:val="-4"/>
        </w:rPr>
        <w:t> </w:t>
      </w:r>
      <w:r>
        <w:rPr/>
        <w:t>Section</w:t>
      </w:r>
      <w:r>
        <w:rPr>
          <w:spacing w:val="-4"/>
        </w:rPr>
        <w:t> </w:t>
      </w:r>
      <w:r>
        <w:rPr/>
        <w:t>796c</w:t>
      </w:r>
      <w:r>
        <w:rPr>
          <w:spacing w:val="-4"/>
        </w:rPr>
        <w:t> </w:t>
      </w:r>
      <w:r>
        <w:rPr/>
        <w:t>of</w:t>
      </w:r>
      <w:r>
        <w:rPr>
          <w:spacing w:val="-3"/>
        </w:rPr>
        <w:t> </w:t>
      </w:r>
      <w:r>
        <w:rPr/>
        <w:t>the</w:t>
      </w:r>
      <w:r>
        <w:rPr>
          <w:spacing w:val="-5"/>
        </w:rPr>
        <w:t> </w:t>
      </w:r>
      <w:r>
        <w:rPr/>
        <w:t>Rehabilitation</w:t>
      </w:r>
      <w:r>
        <w:rPr>
          <w:spacing w:val="-4"/>
        </w:rPr>
        <w:t> </w:t>
      </w:r>
      <w:r>
        <w:rPr/>
        <w:t>Act,</w:t>
      </w:r>
      <w:r>
        <w:rPr>
          <w:spacing w:val="-3"/>
        </w:rPr>
        <w:t> </w:t>
      </w:r>
      <w:r>
        <w:rPr/>
        <w:t>and</w:t>
      </w:r>
      <w:r>
        <w:rPr>
          <w:spacing w:val="-4"/>
        </w:rPr>
        <w:t> </w:t>
      </w:r>
      <w:r>
        <w:rPr/>
        <w:t>monitors</w:t>
      </w:r>
      <w:r>
        <w:rPr>
          <w:spacing w:val="-4"/>
        </w:rPr>
        <w:t> </w:t>
      </w:r>
      <w:r>
        <w:rPr/>
        <w:t>implementation</w:t>
      </w:r>
      <w:r>
        <w:rPr>
          <w:spacing w:val="-4"/>
        </w:rPr>
        <w:t> </w:t>
      </w:r>
      <w:r>
        <w:rPr/>
        <w:t>of</w:t>
      </w:r>
      <w:r>
        <w:rPr>
          <w:spacing w:val="-3"/>
        </w:rPr>
        <w:t> </w:t>
      </w:r>
      <w:r>
        <w:rPr/>
        <w:t>the State Plan.</w:t>
      </w:r>
      <w:r>
        <w:rPr>
          <w:spacing w:val="40"/>
        </w:rPr>
        <w:t> </w:t>
      </w:r>
      <w:r>
        <w:rPr/>
        <w:t>The Director of the DSE is a required signer for submission of the State </w:t>
      </w:r>
      <w:r>
        <w:rPr>
          <w:spacing w:val="-2"/>
        </w:rPr>
        <w:t>Plan.</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7-1-98</w:t>
      </w:r>
      <w:r>
        <w:rPr>
          <w:sz w:val="22"/>
        </w:rPr>
        <w:tab/>
        <w:t>PT Memo #98-14</w:t>
      </w:r>
    </w:p>
    <w:p>
      <w:pPr>
        <w:spacing w:before="1"/>
        <w:ind w:left="1439" w:right="775" w:firstLine="0"/>
        <w:jc w:val="left"/>
        <w:rPr>
          <w:sz w:val="22"/>
        </w:rPr>
      </w:pPr>
      <w:r>
        <w:rPr>
          <w:sz w:val="22"/>
        </w:rPr>
        <w:t>Permanent,</w:t>
      </w:r>
      <w:r>
        <w:rPr>
          <w:spacing w:val="-3"/>
          <w:sz w:val="22"/>
        </w:rPr>
        <w:t> </w:t>
      </w:r>
      <w:r>
        <w:rPr>
          <w:sz w:val="22"/>
        </w:rPr>
        <w:t>added</w:t>
      </w:r>
      <w:r>
        <w:rPr>
          <w:spacing w:val="-4"/>
          <w:sz w:val="22"/>
        </w:rPr>
        <w:t> </w:t>
      </w:r>
      <w:r>
        <w:rPr>
          <w:sz w:val="22"/>
        </w:rPr>
        <w:t>Subsection</w:t>
      </w:r>
      <w:r>
        <w:rPr>
          <w:spacing w:val="-4"/>
          <w:sz w:val="22"/>
        </w:rPr>
        <w:t> </w:t>
      </w:r>
      <w:r>
        <w:rPr>
          <w:sz w:val="22"/>
        </w:rPr>
        <w:t>(d)</w:t>
      </w:r>
      <w:r>
        <w:rPr>
          <w:spacing w:val="-4"/>
          <w:sz w:val="22"/>
        </w:rPr>
        <w:t> </w:t>
      </w:r>
      <w:r>
        <w:rPr>
          <w:sz w:val="22"/>
        </w:rPr>
        <w:t>-</w:t>
      </w:r>
      <w:r>
        <w:rPr>
          <w:spacing w:val="-5"/>
          <w:sz w:val="22"/>
        </w:rPr>
        <w:t> </w:t>
      </w:r>
      <w:r>
        <w:rPr>
          <w:sz w:val="22"/>
        </w:rPr>
        <w:t>The</w:t>
      </w:r>
      <w:r>
        <w:rPr>
          <w:spacing w:val="-4"/>
          <w:sz w:val="22"/>
        </w:rPr>
        <w:t> </w:t>
      </w:r>
      <w:r>
        <w:rPr>
          <w:sz w:val="22"/>
        </w:rPr>
        <w:t>Governor's</w:t>
      </w:r>
      <w:r>
        <w:rPr>
          <w:spacing w:val="-4"/>
          <w:sz w:val="22"/>
        </w:rPr>
        <w:t> </w:t>
      </w:r>
      <w:r>
        <w:rPr>
          <w:sz w:val="22"/>
        </w:rPr>
        <w:t>Commission</w:t>
      </w:r>
      <w:r>
        <w:rPr>
          <w:spacing w:val="-4"/>
          <w:sz w:val="22"/>
        </w:rPr>
        <w:t> </w:t>
      </w:r>
      <w:r>
        <w:rPr>
          <w:sz w:val="22"/>
        </w:rPr>
        <w:t>on</w:t>
      </w:r>
      <w:r>
        <w:rPr>
          <w:spacing w:val="-4"/>
          <w:sz w:val="22"/>
        </w:rPr>
        <w:t> </w:t>
      </w:r>
      <w:r>
        <w:rPr>
          <w:sz w:val="22"/>
        </w:rPr>
        <w:t>the</w:t>
      </w:r>
      <w:r>
        <w:rPr>
          <w:spacing w:val="-5"/>
          <w:sz w:val="22"/>
        </w:rPr>
        <w:t> </w:t>
      </w:r>
      <w:r>
        <w:rPr>
          <w:sz w:val="22"/>
        </w:rPr>
        <w:t>Deaf</w:t>
      </w:r>
      <w:r>
        <w:rPr>
          <w:spacing w:val="-4"/>
          <w:sz w:val="22"/>
        </w:rPr>
        <w:t> </w:t>
      </w:r>
      <w:r>
        <w:rPr>
          <w:sz w:val="22"/>
        </w:rPr>
        <w:t>and Hard of Hearing</w:t>
      </w:r>
    </w:p>
    <w:p>
      <w:pPr>
        <w:pStyle w:val="ListParagraph"/>
        <w:numPr>
          <w:ilvl w:val="2"/>
          <w:numId w:val="21"/>
        </w:numPr>
        <w:tabs>
          <w:tab w:pos="1439" w:val="left" w:leader="none"/>
        </w:tabs>
        <w:spacing w:line="252" w:lineRule="exact" w:before="0" w:after="0"/>
        <w:ind w:left="1439" w:right="0" w:hanging="1080"/>
        <w:jc w:val="left"/>
        <w:rPr>
          <w:sz w:val="22"/>
        </w:rPr>
      </w:pPr>
      <w:r>
        <w:rPr>
          <w:sz w:val="22"/>
        </w:rPr>
        <w:t>POL</w:t>
      </w:r>
      <w:r>
        <w:rPr>
          <w:spacing w:val="-9"/>
          <w:sz w:val="22"/>
        </w:rPr>
        <w:t> </w:t>
      </w:r>
      <w:r>
        <w:rPr>
          <w:sz w:val="22"/>
        </w:rPr>
        <w:t>Memo</w:t>
      </w:r>
      <w:r>
        <w:rPr>
          <w:spacing w:val="-8"/>
          <w:sz w:val="22"/>
        </w:rPr>
        <w:t> </w:t>
      </w:r>
      <w:r>
        <w:rPr>
          <w:sz w:val="22"/>
        </w:rPr>
        <w:t>#00-</w:t>
      </w:r>
      <w:r>
        <w:rPr>
          <w:spacing w:val="-10"/>
          <w:sz w:val="22"/>
        </w:rPr>
        <w:t>1</w:t>
      </w:r>
    </w:p>
    <w:p>
      <w:pPr>
        <w:spacing w:before="0"/>
        <w:ind w:left="1439" w:right="775" w:firstLine="0"/>
        <w:jc w:val="left"/>
        <w:rPr>
          <w:sz w:val="22"/>
        </w:rPr>
      </w:pPr>
      <w:r>
        <w:rPr>
          <w:sz w:val="22"/>
        </w:rPr>
        <w:t>Permanent,</w:t>
      </w:r>
      <w:r>
        <w:rPr>
          <w:spacing w:val="-3"/>
          <w:sz w:val="22"/>
        </w:rPr>
        <w:t> </w:t>
      </w:r>
      <w:r>
        <w:rPr>
          <w:sz w:val="22"/>
        </w:rPr>
        <w:t>changed</w:t>
      </w:r>
      <w:r>
        <w:rPr>
          <w:spacing w:val="-4"/>
          <w:sz w:val="22"/>
        </w:rPr>
        <w:t> </w:t>
      </w:r>
      <w:r>
        <w:rPr>
          <w:sz w:val="22"/>
        </w:rPr>
        <w:t>name</w:t>
      </w:r>
      <w:r>
        <w:rPr>
          <w:spacing w:val="-4"/>
          <w:sz w:val="22"/>
        </w:rPr>
        <w:t> </w:t>
      </w:r>
      <w:r>
        <w:rPr>
          <w:sz w:val="22"/>
        </w:rPr>
        <w:t>of</w:t>
      </w:r>
      <w:r>
        <w:rPr>
          <w:spacing w:val="-4"/>
          <w:sz w:val="22"/>
        </w:rPr>
        <w:t> </w:t>
      </w:r>
      <w:r>
        <w:rPr>
          <w:sz w:val="22"/>
        </w:rPr>
        <w:t>the</w:t>
      </w:r>
      <w:r>
        <w:rPr>
          <w:spacing w:val="-4"/>
          <w:sz w:val="22"/>
        </w:rPr>
        <w:t> </w:t>
      </w:r>
      <w:r>
        <w:rPr>
          <w:sz w:val="22"/>
        </w:rPr>
        <w:t>State</w:t>
      </w:r>
      <w:r>
        <w:rPr>
          <w:spacing w:val="-4"/>
          <w:sz w:val="22"/>
        </w:rPr>
        <w:t> </w:t>
      </w:r>
      <w:r>
        <w:rPr>
          <w:sz w:val="22"/>
        </w:rPr>
        <w:t>Rehabilitation</w:t>
      </w:r>
      <w:r>
        <w:rPr>
          <w:spacing w:val="-4"/>
          <w:sz w:val="22"/>
        </w:rPr>
        <w:t> </w:t>
      </w:r>
      <w:r>
        <w:rPr>
          <w:sz w:val="22"/>
        </w:rPr>
        <w:t>Advisory</w:t>
      </w:r>
      <w:r>
        <w:rPr>
          <w:spacing w:val="-4"/>
          <w:sz w:val="22"/>
        </w:rPr>
        <w:t> </w:t>
      </w:r>
      <w:r>
        <w:rPr>
          <w:sz w:val="22"/>
        </w:rPr>
        <w:t>Council</w:t>
      </w:r>
      <w:r>
        <w:rPr>
          <w:spacing w:val="-4"/>
          <w:sz w:val="22"/>
        </w:rPr>
        <w:t> </w:t>
      </w:r>
      <w:r>
        <w:rPr>
          <w:sz w:val="22"/>
        </w:rPr>
        <w:t>to</w:t>
      </w:r>
      <w:r>
        <w:rPr>
          <w:spacing w:val="-5"/>
          <w:sz w:val="22"/>
        </w:rPr>
        <w:t> </w:t>
      </w:r>
      <w:r>
        <w:rPr>
          <w:sz w:val="22"/>
        </w:rPr>
        <w:t>State Rehabilitation Council</w:t>
      </w:r>
    </w:p>
    <w:p>
      <w:pPr>
        <w:pStyle w:val="ListParagraph"/>
        <w:numPr>
          <w:ilvl w:val="2"/>
          <w:numId w:val="24"/>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#03-</w:t>
      </w:r>
      <w:r>
        <w:rPr>
          <w:spacing w:val="-5"/>
          <w:sz w:val="22"/>
        </w:rPr>
        <w:t>07</w:t>
      </w:r>
    </w:p>
    <w:p>
      <w:pPr>
        <w:spacing w:line="253" w:lineRule="exact" w:before="0"/>
        <w:ind w:left="1439" w:right="0" w:firstLine="0"/>
        <w:jc w:val="left"/>
        <w:rPr>
          <w:sz w:val="22"/>
        </w:rPr>
      </w:pPr>
      <w:r>
        <w:rPr>
          <w:sz w:val="22"/>
        </w:rPr>
        <w:t>Permanent,</w:t>
      </w:r>
      <w:r>
        <w:rPr>
          <w:spacing w:val="-8"/>
          <w:sz w:val="22"/>
        </w:rPr>
        <w:t> </w:t>
      </w:r>
      <w:r>
        <w:rPr>
          <w:sz w:val="22"/>
        </w:rPr>
        <w:t>removed</w:t>
      </w:r>
      <w:r>
        <w:rPr>
          <w:spacing w:val="-9"/>
          <w:sz w:val="22"/>
        </w:rPr>
        <w:t> </w:t>
      </w:r>
      <w:r>
        <w:rPr>
          <w:sz w:val="22"/>
        </w:rPr>
        <w:t>reference</w:t>
      </w:r>
      <w:r>
        <w:rPr>
          <w:spacing w:val="-8"/>
          <w:sz w:val="22"/>
        </w:rPr>
        <w:t> </w:t>
      </w:r>
      <w:r>
        <w:rPr>
          <w:sz w:val="22"/>
        </w:rPr>
        <w:t>to</w:t>
      </w:r>
      <w:r>
        <w:rPr>
          <w:spacing w:val="-9"/>
          <w:sz w:val="22"/>
        </w:rPr>
        <w:t> </w:t>
      </w:r>
      <w:r>
        <w:rPr>
          <w:sz w:val="22"/>
        </w:rPr>
        <w:t>expired</w:t>
      </w:r>
      <w:r>
        <w:rPr>
          <w:spacing w:val="-8"/>
          <w:sz w:val="22"/>
        </w:rPr>
        <w:t> </w:t>
      </w:r>
      <w:r>
        <w:rPr>
          <w:sz w:val="22"/>
        </w:rPr>
        <w:t>commission</w:t>
      </w:r>
      <w:r>
        <w:rPr>
          <w:spacing w:val="-9"/>
          <w:sz w:val="22"/>
        </w:rPr>
        <w:t> </w:t>
      </w:r>
      <w:r>
        <w:rPr>
          <w:sz w:val="22"/>
        </w:rPr>
        <w:t>and</w:t>
      </w:r>
      <w:r>
        <w:rPr>
          <w:spacing w:val="-9"/>
          <w:sz w:val="22"/>
        </w:rPr>
        <w:t> </w:t>
      </w:r>
      <w:r>
        <w:rPr>
          <w:spacing w:val="-2"/>
          <w:sz w:val="22"/>
        </w:rPr>
        <w:t>council.</w:t>
      </w:r>
    </w:p>
    <w:p>
      <w:pPr>
        <w:tabs>
          <w:tab w:pos="1439" w:val="left" w:leader="none"/>
        </w:tabs>
        <w:spacing w:line="253" w:lineRule="exact" w:before="0"/>
        <w:ind w:left="359" w:right="0" w:firstLine="0"/>
        <w:jc w:val="left"/>
        <w:rPr>
          <w:sz w:val="22"/>
        </w:rPr>
      </w:pPr>
      <w:r>
        <w:rPr>
          <w:spacing w:val="-2"/>
          <w:sz w:val="22"/>
        </w:rPr>
        <w:t>7-1-</w:t>
      </w:r>
      <w:r>
        <w:rPr>
          <w:spacing w:val="-5"/>
          <w:sz w:val="22"/>
        </w:rPr>
        <w:t>07</w:t>
      </w:r>
      <w:r>
        <w:rPr>
          <w:sz w:val="22"/>
        </w:rPr>
        <w:tab/>
        <w:t>POL</w:t>
      </w:r>
      <w:r>
        <w:rPr>
          <w:spacing w:val="-9"/>
          <w:sz w:val="22"/>
        </w:rPr>
        <w:t> </w:t>
      </w:r>
      <w:r>
        <w:rPr>
          <w:sz w:val="22"/>
        </w:rPr>
        <w:t>Memo</w:t>
      </w:r>
      <w:r>
        <w:rPr>
          <w:spacing w:val="-7"/>
          <w:sz w:val="22"/>
        </w:rPr>
        <w:t> </w:t>
      </w:r>
      <w:r>
        <w:rPr>
          <w:sz w:val="22"/>
        </w:rPr>
        <w:t>08-</w:t>
      </w:r>
      <w:r>
        <w:rPr>
          <w:spacing w:val="-5"/>
          <w:sz w:val="22"/>
        </w:rPr>
        <w:t>01</w:t>
      </w:r>
    </w:p>
    <w:p>
      <w:pPr>
        <w:spacing w:before="1"/>
        <w:ind w:left="1079" w:right="775" w:firstLine="359"/>
        <w:jc w:val="left"/>
        <w:rPr>
          <w:sz w:val="22"/>
        </w:rPr>
      </w:pPr>
      <w:r>
        <w:rPr>
          <w:sz w:val="22"/>
        </w:rPr>
        <w:t>Permanent,</w:t>
      </w:r>
      <w:r>
        <w:rPr>
          <w:spacing w:val="-5"/>
          <w:sz w:val="22"/>
        </w:rPr>
        <w:t> </w:t>
      </w:r>
      <w:r>
        <w:rPr>
          <w:sz w:val="22"/>
        </w:rPr>
        <w:t>changed</w:t>
      </w:r>
      <w:r>
        <w:rPr>
          <w:spacing w:val="-6"/>
          <w:sz w:val="22"/>
        </w:rPr>
        <w:t> </w:t>
      </w:r>
      <w:r>
        <w:rPr>
          <w:sz w:val="22"/>
        </w:rPr>
        <w:t>State</w:t>
      </w:r>
      <w:r>
        <w:rPr>
          <w:spacing w:val="-6"/>
          <w:sz w:val="22"/>
        </w:rPr>
        <w:t> </w:t>
      </w:r>
      <w:r>
        <w:rPr>
          <w:sz w:val="22"/>
        </w:rPr>
        <w:t>Rehabilitation</w:t>
      </w:r>
      <w:r>
        <w:rPr>
          <w:spacing w:val="-6"/>
          <w:sz w:val="22"/>
        </w:rPr>
        <w:t> </w:t>
      </w:r>
      <w:r>
        <w:rPr>
          <w:sz w:val="22"/>
        </w:rPr>
        <w:t>Council</w:t>
      </w:r>
      <w:r>
        <w:rPr>
          <w:spacing w:val="-6"/>
          <w:sz w:val="22"/>
        </w:rPr>
        <w:t> </w:t>
      </w:r>
      <w:r>
        <w:rPr>
          <w:sz w:val="22"/>
        </w:rPr>
        <w:t>to</w:t>
      </w:r>
      <w:r>
        <w:rPr>
          <w:spacing w:val="-6"/>
          <w:sz w:val="22"/>
        </w:rPr>
        <w:t> </w:t>
      </w:r>
      <w:r>
        <w:rPr>
          <w:sz w:val="22"/>
        </w:rPr>
        <w:t>Oklahoma</w:t>
      </w:r>
      <w:r>
        <w:rPr>
          <w:spacing w:val="-6"/>
          <w:sz w:val="22"/>
        </w:rPr>
        <w:t> </w:t>
      </w:r>
      <w:r>
        <w:rPr>
          <w:sz w:val="22"/>
        </w:rPr>
        <w:t>Rehabilitation </w:t>
      </w:r>
      <w:r>
        <w:rPr>
          <w:spacing w:val="-2"/>
          <w:sz w:val="22"/>
        </w:rPr>
        <w:t>Council.</w:t>
      </w:r>
    </w:p>
    <w:p>
      <w:pPr>
        <w:tabs>
          <w:tab w:pos="1439" w:val="left" w:leader="none"/>
        </w:tabs>
        <w:spacing w:before="0"/>
        <w:ind w:left="1439" w:right="759" w:hanging="1080"/>
        <w:jc w:val="left"/>
        <w:rPr>
          <w:sz w:val="22"/>
        </w:rPr>
      </w:pPr>
      <w:r>
        <w:rPr>
          <w:spacing w:val="-2"/>
          <w:sz w:val="22"/>
        </w:rPr>
        <w:t>9-14-18</w:t>
      </w:r>
      <w:r>
        <w:rPr>
          <w:sz w:val="22"/>
        </w:rPr>
        <w:tab/>
        <w:t>Updated</w:t>
      </w:r>
      <w:r>
        <w:rPr>
          <w:spacing w:val="-4"/>
          <w:sz w:val="22"/>
        </w:rPr>
        <w:t> </w:t>
      </w:r>
      <w:r>
        <w:rPr>
          <w:sz w:val="22"/>
        </w:rPr>
        <w:t>statutory</w:t>
      </w:r>
      <w:r>
        <w:rPr>
          <w:spacing w:val="-4"/>
          <w:sz w:val="22"/>
        </w:rPr>
        <w:t> </w:t>
      </w:r>
      <w:r>
        <w:rPr>
          <w:sz w:val="22"/>
        </w:rPr>
        <w:t>references,</w:t>
      </w:r>
      <w:r>
        <w:rPr>
          <w:spacing w:val="-4"/>
          <w:sz w:val="22"/>
        </w:rPr>
        <w:t> </w:t>
      </w:r>
      <w:r>
        <w:rPr>
          <w:sz w:val="22"/>
        </w:rPr>
        <w:t>removal</w:t>
      </w:r>
      <w:r>
        <w:rPr>
          <w:spacing w:val="-4"/>
          <w:sz w:val="22"/>
        </w:rPr>
        <w:t> </w:t>
      </w:r>
      <w:r>
        <w:rPr>
          <w:sz w:val="22"/>
        </w:rPr>
        <w:t>of</w:t>
      </w:r>
      <w:r>
        <w:rPr>
          <w:spacing w:val="-4"/>
          <w:sz w:val="22"/>
        </w:rPr>
        <w:t> </w:t>
      </w:r>
      <w:r>
        <w:rPr>
          <w:sz w:val="22"/>
        </w:rPr>
        <w:t>descriptive</w:t>
      </w:r>
      <w:r>
        <w:rPr>
          <w:spacing w:val="-4"/>
          <w:sz w:val="22"/>
        </w:rPr>
        <w:t> </w:t>
      </w:r>
      <w:r>
        <w:rPr>
          <w:sz w:val="22"/>
        </w:rPr>
        <w:t>material</w:t>
      </w:r>
      <w:r>
        <w:rPr>
          <w:spacing w:val="-5"/>
          <w:sz w:val="22"/>
        </w:rPr>
        <w:t> </w:t>
      </w:r>
      <w:r>
        <w:rPr>
          <w:sz w:val="22"/>
        </w:rPr>
        <w:t>that</w:t>
      </w:r>
      <w:r>
        <w:rPr>
          <w:spacing w:val="-4"/>
          <w:sz w:val="22"/>
        </w:rPr>
        <w:t> </w:t>
      </w:r>
      <w:r>
        <w:rPr>
          <w:sz w:val="22"/>
        </w:rPr>
        <w:t>no</w:t>
      </w:r>
      <w:r>
        <w:rPr>
          <w:spacing w:val="-4"/>
          <w:sz w:val="22"/>
        </w:rPr>
        <w:t> </w:t>
      </w:r>
      <w:r>
        <w:rPr>
          <w:sz w:val="22"/>
        </w:rPr>
        <w:t>longer</w:t>
      </w:r>
      <w:r>
        <w:rPr>
          <w:spacing w:val="-4"/>
          <w:sz w:val="22"/>
        </w:rPr>
        <w:t> </w:t>
      </w:r>
      <w:r>
        <w:rPr>
          <w:sz w:val="22"/>
        </w:rPr>
        <w:t>matches current law and revised the description of the relationship between DRS and the SILC to reflect changes in WIOA.</w:t>
      </w:r>
    </w:p>
    <w:p>
      <w:pPr>
        <w:spacing w:after="0"/>
        <w:jc w:val="left"/>
        <w:rPr>
          <w:sz w:val="22"/>
        </w:rPr>
        <w:sectPr>
          <w:pgSz w:w="12240" w:h="15840"/>
          <w:pgMar w:top="1340" w:bottom="280" w:left="1080" w:right="720"/>
        </w:sectPr>
      </w:pPr>
    </w:p>
    <w:p>
      <w:pPr>
        <w:pStyle w:val="Heading2"/>
      </w:pPr>
      <w:bookmarkStart w:name="612:1-7-4.  Relationships with federal o" w:id="26"/>
      <w:bookmarkEnd w:id="26"/>
      <w:r>
        <w:rPr>
          <w:b w:val="0"/>
        </w:rPr>
      </w:r>
      <w:r>
        <w:rPr/>
        <w:t>612:1-7-4.</w:t>
      </w:r>
      <w:r>
        <w:rPr>
          <w:spacing w:val="58"/>
        </w:rPr>
        <w:t> </w:t>
      </w:r>
      <w:r>
        <w:rPr/>
        <w:t>Relationships</w:t>
      </w:r>
      <w:r>
        <w:rPr>
          <w:spacing w:val="-4"/>
        </w:rPr>
        <w:t> </w:t>
      </w:r>
      <w:r>
        <w:rPr/>
        <w:t>with</w:t>
      </w:r>
      <w:r>
        <w:rPr>
          <w:spacing w:val="-4"/>
        </w:rPr>
        <w:t> </w:t>
      </w:r>
      <w:r>
        <w:rPr/>
        <w:t>federal</w:t>
      </w:r>
      <w:r>
        <w:rPr>
          <w:spacing w:val="-3"/>
        </w:rPr>
        <w:t> </w:t>
      </w:r>
      <w:r>
        <w:rPr>
          <w:spacing w:val="-2"/>
        </w:rPr>
        <w:t>officials</w:t>
      </w:r>
    </w:p>
    <w:p>
      <w:pPr>
        <w:pStyle w:val="ListParagraph"/>
        <w:numPr>
          <w:ilvl w:val="0"/>
          <w:numId w:val="25"/>
        </w:numPr>
        <w:tabs>
          <w:tab w:pos="785" w:val="left" w:leader="none"/>
        </w:tabs>
        <w:spacing w:line="208" w:lineRule="auto" w:before="233" w:after="0"/>
        <w:ind w:left="360" w:right="729" w:firstLine="0"/>
        <w:jc w:val="left"/>
        <w:rPr>
          <w:sz w:val="24"/>
        </w:rPr>
      </w:pPr>
      <w:r>
        <w:rPr>
          <w:b/>
          <w:sz w:val="24"/>
        </w:rPr>
        <w:t>The</w:t>
      </w:r>
      <w:r>
        <w:rPr>
          <w:b/>
          <w:spacing w:val="-4"/>
          <w:sz w:val="24"/>
        </w:rPr>
        <w:t> </w:t>
      </w:r>
      <w:r>
        <w:rPr>
          <w:b/>
          <w:sz w:val="24"/>
        </w:rPr>
        <w:t>Department</w:t>
      </w:r>
      <w:r>
        <w:rPr>
          <w:b/>
          <w:spacing w:val="-5"/>
          <w:sz w:val="24"/>
        </w:rPr>
        <w:t> </w:t>
      </w:r>
      <w:r>
        <w:rPr>
          <w:b/>
          <w:sz w:val="24"/>
        </w:rPr>
        <w:t>of</w:t>
      </w:r>
      <w:r>
        <w:rPr>
          <w:b/>
          <w:spacing w:val="-3"/>
          <w:sz w:val="24"/>
        </w:rPr>
        <w:t> </w:t>
      </w:r>
      <w:r>
        <w:rPr>
          <w:b/>
          <w:sz w:val="24"/>
        </w:rPr>
        <w:t>Education.</w:t>
      </w:r>
      <w:r>
        <w:rPr>
          <w:b/>
          <w:spacing w:val="-3"/>
          <w:sz w:val="24"/>
        </w:rPr>
        <w:t> </w:t>
      </w:r>
      <w:r>
        <w:rPr>
          <w:sz w:val="24"/>
        </w:rPr>
        <w:t>The</w:t>
      </w:r>
      <w:r>
        <w:rPr>
          <w:spacing w:val="-4"/>
          <w:sz w:val="24"/>
        </w:rPr>
        <w:t> </w:t>
      </w:r>
      <w:r>
        <w:rPr>
          <w:sz w:val="24"/>
        </w:rPr>
        <w:t>Department</w:t>
      </w:r>
      <w:r>
        <w:rPr>
          <w:spacing w:val="-3"/>
          <w:sz w:val="24"/>
        </w:rPr>
        <w:t> </w:t>
      </w:r>
      <w:r>
        <w:rPr>
          <w:sz w:val="24"/>
        </w:rPr>
        <w:t>of</w:t>
      </w:r>
      <w:r>
        <w:rPr>
          <w:spacing w:val="-5"/>
          <w:sz w:val="24"/>
        </w:rPr>
        <w:t> </w:t>
      </w:r>
      <w:r>
        <w:rPr>
          <w:sz w:val="24"/>
        </w:rPr>
        <w:t>Education</w:t>
      </w:r>
      <w:r>
        <w:rPr>
          <w:spacing w:val="-3"/>
          <w:sz w:val="24"/>
        </w:rPr>
        <w:t> </w:t>
      </w:r>
      <w:r>
        <w:rPr>
          <w:sz w:val="24"/>
        </w:rPr>
        <w:t>(DOE)</w:t>
      </w:r>
      <w:r>
        <w:rPr>
          <w:spacing w:val="-3"/>
          <w:sz w:val="24"/>
        </w:rPr>
        <w:t> </w:t>
      </w:r>
      <w:r>
        <w:rPr>
          <w:sz w:val="24"/>
        </w:rPr>
        <w:t>is</w:t>
      </w:r>
      <w:r>
        <w:rPr>
          <w:spacing w:val="-4"/>
          <w:sz w:val="24"/>
        </w:rPr>
        <w:t> </w:t>
      </w:r>
      <w:r>
        <w:rPr>
          <w:sz w:val="24"/>
        </w:rPr>
        <w:t>the</w:t>
      </w:r>
      <w:r>
        <w:rPr>
          <w:spacing w:val="-4"/>
          <w:sz w:val="24"/>
        </w:rPr>
        <w:t> </w:t>
      </w:r>
      <w:r>
        <w:rPr>
          <w:sz w:val="24"/>
        </w:rPr>
        <w:t>cabinet- level agency which establishes policy for, administers, and coordinates most federal assistance to education. Created in 1979, pursuant to P.L. 96-88, DOE carries out functions impacting elementary and secondary education, post-secondary education, and education of individuals with disabilities. DOE is also responsible for administration of</w:t>
      </w:r>
      <w:r>
        <w:rPr>
          <w:spacing w:val="-2"/>
          <w:sz w:val="24"/>
        </w:rPr>
        <w:t> </w:t>
      </w:r>
      <w:r>
        <w:rPr>
          <w:sz w:val="24"/>
        </w:rPr>
        <w:t>Vocational</w:t>
      </w:r>
      <w:r>
        <w:rPr>
          <w:spacing w:val="-3"/>
          <w:sz w:val="24"/>
        </w:rPr>
        <w:t> </w:t>
      </w:r>
      <w:r>
        <w:rPr>
          <w:sz w:val="24"/>
        </w:rPr>
        <w:t>and</w:t>
      </w:r>
      <w:r>
        <w:rPr>
          <w:spacing w:val="-3"/>
          <w:sz w:val="24"/>
        </w:rPr>
        <w:t> </w:t>
      </w:r>
      <w:r>
        <w:rPr>
          <w:sz w:val="24"/>
        </w:rPr>
        <w:t>Adult</w:t>
      </w:r>
      <w:r>
        <w:rPr>
          <w:spacing w:val="-2"/>
          <w:sz w:val="24"/>
        </w:rPr>
        <w:t> </w:t>
      </w:r>
      <w:r>
        <w:rPr>
          <w:sz w:val="24"/>
        </w:rPr>
        <w:t>Education</w:t>
      </w:r>
      <w:r>
        <w:rPr>
          <w:spacing w:val="-2"/>
          <w:sz w:val="24"/>
        </w:rPr>
        <w:t> </w:t>
      </w:r>
      <w:r>
        <w:rPr>
          <w:sz w:val="24"/>
        </w:rPr>
        <w:t>services</w:t>
      </w:r>
      <w:r>
        <w:rPr>
          <w:spacing w:val="-3"/>
          <w:sz w:val="24"/>
        </w:rPr>
        <w:t> </w:t>
      </w:r>
      <w:r>
        <w:rPr>
          <w:sz w:val="24"/>
        </w:rPr>
        <w:t>and</w:t>
      </w:r>
      <w:r>
        <w:rPr>
          <w:spacing w:val="-3"/>
          <w:sz w:val="24"/>
        </w:rPr>
        <w:t> </w:t>
      </w:r>
      <w:r>
        <w:rPr>
          <w:sz w:val="24"/>
        </w:rPr>
        <w:t>for</w:t>
      </w:r>
      <w:r>
        <w:rPr>
          <w:spacing w:val="-2"/>
          <w:sz w:val="24"/>
        </w:rPr>
        <w:t> </w:t>
      </w:r>
      <w:r>
        <w:rPr>
          <w:sz w:val="24"/>
        </w:rPr>
        <w:t>Special</w:t>
      </w:r>
      <w:r>
        <w:rPr>
          <w:spacing w:val="-3"/>
          <w:sz w:val="24"/>
        </w:rPr>
        <w:t> </w:t>
      </w:r>
      <w:r>
        <w:rPr>
          <w:sz w:val="24"/>
        </w:rPr>
        <w:t>Education</w:t>
      </w:r>
      <w:r>
        <w:rPr>
          <w:spacing w:val="-3"/>
          <w:sz w:val="24"/>
        </w:rPr>
        <w:t> </w:t>
      </w:r>
      <w:r>
        <w:rPr>
          <w:sz w:val="24"/>
        </w:rPr>
        <w:t>and</w:t>
      </w:r>
      <w:r>
        <w:rPr>
          <w:spacing w:val="-3"/>
          <w:sz w:val="24"/>
        </w:rPr>
        <w:t> </w:t>
      </w:r>
      <w:r>
        <w:rPr>
          <w:sz w:val="24"/>
        </w:rPr>
        <w:t>Rehabilitation Services. The Rehabilitation Services Administration (RSA), United States Department of Education, is</w:t>
      </w:r>
      <w:r>
        <w:rPr>
          <w:spacing w:val="-1"/>
          <w:sz w:val="24"/>
        </w:rPr>
        <w:t> </w:t>
      </w:r>
      <w:r>
        <w:rPr>
          <w:sz w:val="24"/>
        </w:rPr>
        <w:t>the</w:t>
      </w:r>
      <w:r>
        <w:rPr>
          <w:spacing w:val="-1"/>
          <w:sz w:val="24"/>
        </w:rPr>
        <w:t> </w:t>
      </w:r>
      <w:r>
        <w:rPr>
          <w:sz w:val="24"/>
        </w:rPr>
        <w:t>principle</w:t>
      </w:r>
      <w:r>
        <w:rPr>
          <w:spacing w:val="-1"/>
          <w:sz w:val="24"/>
        </w:rPr>
        <w:t> </w:t>
      </w:r>
      <w:r>
        <w:rPr>
          <w:sz w:val="24"/>
        </w:rPr>
        <w:t>federal</w:t>
      </w:r>
      <w:r>
        <w:rPr>
          <w:spacing w:val="-1"/>
          <w:sz w:val="24"/>
        </w:rPr>
        <w:t> </w:t>
      </w:r>
      <w:r>
        <w:rPr>
          <w:sz w:val="24"/>
        </w:rPr>
        <w:t>agency</w:t>
      </w:r>
      <w:r>
        <w:rPr>
          <w:spacing w:val="-1"/>
          <w:sz w:val="24"/>
        </w:rPr>
        <w:t> </w:t>
      </w:r>
      <w:r>
        <w:rPr>
          <w:sz w:val="24"/>
        </w:rPr>
        <w:t>charged</w:t>
      </w:r>
      <w:r>
        <w:rPr>
          <w:spacing w:val="-1"/>
          <w:sz w:val="24"/>
        </w:rPr>
        <w:t> </w:t>
      </w:r>
      <w:r>
        <w:rPr>
          <w:sz w:val="24"/>
        </w:rPr>
        <w:t>with</w:t>
      </w:r>
      <w:r>
        <w:rPr>
          <w:spacing w:val="-1"/>
          <w:sz w:val="24"/>
        </w:rPr>
        <w:t> </w:t>
      </w:r>
      <w:r>
        <w:rPr>
          <w:sz w:val="24"/>
        </w:rPr>
        <w:t>carrying</w:t>
      </w:r>
      <w:r>
        <w:rPr>
          <w:spacing w:val="-1"/>
          <w:sz w:val="24"/>
        </w:rPr>
        <w:t> </w:t>
      </w:r>
      <w:r>
        <w:rPr>
          <w:sz w:val="24"/>
        </w:rPr>
        <w:t>out the</w:t>
      </w:r>
      <w:r>
        <w:rPr>
          <w:spacing w:val="-1"/>
          <w:sz w:val="24"/>
        </w:rPr>
        <w:t> </w:t>
      </w:r>
      <w:r>
        <w:rPr>
          <w:sz w:val="24"/>
        </w:rPr>
        <w:t>Rehabilitation Act. The State Department of Rehabilitation Services must submit a State Plan conforming to the requirements of the Rehabilitation Act to the Commissioner of RSA in order to be eligible to participate in programs under the Rehabilitation Act. Most of the funding for the State Department comes from RSA which promulgates policies and procedures the State Department must follow consistent with the requirements of the Rehabilitation Act.</w:t>
      </w:r>
    </w:p>
    <w:p>
      <w:pPr>
        <w:pStyle w:val="ListParagraph"/>
        <w:numPr>
          <w:ilvl w:val="0"/>
          <w:numId w:val="25"/>
        </w:numPr>
        <w:tabs>
          <w:tab w:pos="786" w:val="left" w:leader="none"/>
        </w:tabs>
        <w:spacing w:line="208" w:lineRule="auto" w:before="238" w:after="0"/>
        <w:ind w:left="360" w:right="766" w:firstLine="0"/>
        <w:jc w:val="left"/>
        <w:rPr>
          <w:sz w:val="24"/>
        </w:rPr>
      </w:pPr>
      <w:r>
        <w:rPr>
          <w:b/>
          <w:sz w:val="24"/>
        </w:rPr>
        <w:t>Department of Health and Human Services. </w:t>
      </w:r>
      <w:r>
        <w:rPr>
          <w:sz w:val="24"/>
        </w:rPr>
        <w:t>The Department of Health and Human Services (DHHS) is a cabinet-level department of the federal executive branch. Among</w:t>
      </w:r>
      <w:r>
        <w:rPr>
          <w:spacing w:val="-4"/>
          <w:sz w:val="24"/>
        </w:rPr>
        <w:t> </w:t>
      </w:r>
      <w:r>
        <w:rPr>
          <w:sz w:val="24"/>
        </w:rPr>
        <w:t>its</w:t>
      </w:r>
      <w:r>
        <w:rPr>
          <w:spacing w:val="-4"/>
          <w:sz w:val="24"/>
        </w:rPr>
        <w:t> </w:t>
      </w:r>
      <w:r>
        <w:rPr>
          <w:sz w:val="24"/>
        </w:rPr>
        <w:t>other</w:t>
      </w:r>
      <w:r>
        <w:rPr>
          <w:spacing w:val="-3"/>
          <w:sz w:val="24"/>
        </w:rPr>
        <w:t> </w:t>
      </w:r>
      <w:r>
        <w:rPr>
          <w:sz w:val="24"/>
        </w:rPr>
        <w:t>duties,</w:t>
      </w:r>
      <w:r>
        <w:rPr>
          <w:spacing w:val="-3"/>
          <w:sz w:val="24"/>
        </w:rPr>
        <w:t> </w:t>
      </w:r>
      <w:r>
        <w:rPr>
          <w:sz w:val="24"/>
        </w:rPr>
        <w:t>DHHS</w:t>
      </w:r>
      <w:r>
        <w:rPr>
          <w:spacing w:val="-4"/>
          <w:sz w:val="24"/>
        </w:rPr>
        <w:t> </w:t>
      </w:r>
      <w:r>
        <w:rPr>
          <w:sz w:val="24"/>
        </w:rPr>
        <w:t>administers</w:t>
      </w:r>
      <w:r>
        <w:rPr>
          <w:spacing w:val="-4"/>
          <w:sz w:val="24"/>
        </w:rPr>
        <w:t> </w:t>
      </w:r>
      <w:r>
        <w:rPr>
          <w:sz w:val="24"/>
        </w:rPr>
        <w:t>the</w:t>
      </w:r>
      <w:r>
        <w:rPr>
          <w:spacing w:val="-4"/>
          <w:sz w:val="24"/>
        </w:rPr>
        <w:t> </w:t>
      </w:r>
      <w:r>
        <w:rPr>
          <w:sz w:val="24"/>
        </w:rPr>
        <w:t>Social</w:t>
      </w:r>
      <w:r>
        <w:rPr>
          <w:spacing w:val="-4"/>
          <w:sz w:val="24"/>
        </w:rPr>
        <w:t> </w:t>
      </w:r>
      <w:r>
        <w:rPr>
          <w:sz w:val="24"/>
        </w:rPr>
        <w:t>Security</w:t>
      </w:r>
      <w:r>
        <w:rPr>
          <w:spacing w:val="-4"/>
          <w:sz w:val="24"/>
        </w:rPr>
        <w:t> </w:t>
      </w:r>
      <w:r>
        <w:rPr>
          <w:sz w:val="24"/>
        </w:rPr>
        <w:t>Administration</w:t>
      </w:r>
      <w:r>
        <w:rPr>
          <w:spacing w:val="-3"/>
          <w:sz w:val="24"/>
        </w:rPr>
        <w:t> </w:t>
      </w:r>
      <w:r>
        <w:rPr>
          <w:sz w:val="24"/>
        </w:rPr>
        <w:t>(SSA)</w:t>
      </w:r>
      <w:r>
        <w:rPr>
          <w:spacing w:val="-3"/>
          <w:sz w:val="24"/>
        </w:rPr>
        <w:t> </w:t>
      </w:r>
      <w:r>
        <w:rPr>
          <w:sz w:val="24"/>
        </w:rPr>
        <w:t>and the Centers for Medicare and Medicaid Services (CMS).</w:t>
      </w:r>
    </w:p>
    <w:p>
      <w:pPr>
        <w:pStyle w:val="ListParagraph"/>
        <w:numPr>
          <w:ilvl w:val="1"/>
          <w:numId w:val="25"/>
        </w:numPr>
        <w:tabs>
          <w:tab w:pos="1218" w:val="left" w:leader="none"/>
        </w:tabs>
        <w:spacing w:line="208" w:lineRule="auto" w:before="240" w:after="0"/>
        <w:ind w:left="792" w:right="722" w:firstLine="0"/>
        <w:jc w:val="left"/>
        <w:rPr>
          <w:sz w:val="24"/>
        </w:rPr>
      </w:pPr>
      <w:r>
        <w:rPr>
          <w:sz w:val="24"/>
        </w:rPr>
        <w:t>The Social Security Administration's principle functions include program planning, implementation, and evaluation on a long-range basis of problems pertinent to poverty, insecurity, and health-care for the aged, blind, and disabled. SSA administers a national program of contributory social insurance whereby employees, employers, and the self-employed pay contributions, which are pooled in special trust funds so that when earnings stop or are reduced because of retirement, death, or disability, monthly case benefits may be paid, replacing parts</w:t>
      </w:r>
      <w:r>
        <w:rPr>
          <w:spacing w:val="40"/>
          <w:sz w:val="24"/>
        </w:rPr>
        <w:t> </w:t>
      </w:r>
      <w:r>
        <w:rPr>
          <w:sz w:val="24"/>
        </w:rPr>
        <w:t>of lost earnings. Additionally, SSA administers the Supplemental Security Income (SSI) program. SSI is financed from general revenues, rather than a special trust. SSI provides payments to the aged, blind, and disabled whose income and resources are below amounts considered necessary to support an acceptable standard</w:t>
      </w:r>
      <w:r>
        <w:rPr>
          <w:spacing w:val="-5"/>
          <w:sz w:val="24"/>
        </w:rPr>
        <w:t> </w:t>
      </w:r>
      <w:r>
        <w:rPr>
          <w:sz w:val="24"/>
        </w:rPr>
        <w:t>of</w:t>
      </w:r>
      <w:r>
        <w:rPr>
          <w:spacing w:val="-4"/>
          <w:sz w:val="24"/>
        </w:rPr>
        <w:t> </w:t>
      </w:r>
      <w:r>
        <w:rPr>
          <w:sz w:val="24"/>
        </w:rPr>
        <w:t>living.</w:t>
      </w:r>
      <w:r>
        <w:rPr>
          <w:spacing w:val="-4"/>
          <w:sz w:val="24"/>
        </w:rPr>
        <w:t> </w:t>
      </w:r>
      <w:r>
        <w:rPr>
          <w:sz w:val="24"/>
        </w:rPr>
        <w:t>The</w:t>
      </w:r>
      <w:r>
        <w:rPr>
          <w:spacing w:val="-4"/>
          <w:sz w:val="24"/>
        </w:rPr>
        <w:t> </w:t>
      </w:r>
      <w:r>
        <w:rPr>
          <w:sz w:val="24"/>
        </w:rPr>
        <w:t>Disability</w:t>
      </w:r>
      <w:r>
        <w:rPr>
          <w:spacing w:val="-5"/>
          <w:sz w:val="24"/>
        </w:rPr>
        <w:t> </w:t>
      </w:r>
      <w:r>
        <w:rPr>
          <w:sz w:val="24"/>
        </w:rPr>
        <w:t>Determination</w:t>
      </w:r>
      <w:r>
        <w:rPr>
          <w:spacing w:val="-5"/>
          <w:sz w:val="24"/>
        </w:rPr>
        <w:t> </w:t>
      </w:r>
      <w:r>
        <w:rPr>
          <w:sz w:val="24"/>
        </w:rPr>
        <w:t>Division</w:t>
      </w:r>
      <w:r>
        <w:rPr>
          <w:spacing w:val="-5"/>
          <w:sz w:val="24"/>
        </w:rPr>
        <w:t> </w:t>
      </w:r>
      <w:r>
        <w:rPr>
          <w:sz w:val="24"/>
        </w:rPr>
        <w:t>of</w:t>
      </w:r>
      <w:r>
        <w:rPr>
          <w:spacing w:val="-4"/>
          <w:sz w:val="24"/>
        </w:rPr>
        <w:t> </w:t>
      </w:r>
      <w:r>
        <w:rPr>
          <w:sz w:val="24"/>
        </w:rPr>
        <w:t>DRS</w:t>
      </w:r>
      <w:r>
        <w:rPr>
          <w:spacing w:val="-5"/>
          <w:sz w:val="24"/>
        </w:rPr>
        <w:t> </w:t>
      </w:r>
      <w:r>
        <w:rPr>
          <w:sz w:val="24"/>
        </w:rPr>
        <w:t>determines</w:t>
      </w:r>
      <w:r>
        <w:rPr>
          <w:spacing w:val="-5"/>
          <w:sz w:val="24"/>
        </w:rPr>
        <w:t> </w:t>
      </w:r>
      <w:r>
        <w:rPr>
          <w:sz w:val="24"/>
        </w:rPr>
        <w:t>eligibility of persons for benefits administered by SSA.</w:t>
      </w:r>
    </w:p>
    <w:p>
      <w:pPr>
        <w:pStyle w:val="ListParagraph"/>
        <w:numPr>
          <w:ilvl w:val="1"/>
          <w:numId w:val="25"/>
        </w:numPr>
        <w:tabs>
          <w:tab w:pos="1218" w:val="left" w:leader="none"/>
        </w:tabs>
        <w:spacing w:line="208" w:lineRule="auto" w:before="239" w:after="0"/>
        <w:ind w:left="792" w:right="895" w:firstLine="0"/>
        <w:jc w:val="left"/>
        <w:rPr>
          <w:sz w:val="24"/>
        </w:rPr>
      </w:pPr>
      <w:r>
        <w:rPr>
          <w:sz w:val="24"/>
        </w:rPr>
        <w:t>The Centers for Medicare and Medicaid (CMS) is the principle DHHS component with oversight of the Medicare and Medicaid programs, the State Children’s Health Insurance Program (SCHIP) and other federal health care functions. The Medicare program provides basic health benefits to Social Security recipients. It is funded through the Social Security Trust Fund. CMS provides assistance</w:t>
      </w:r>
      <w:r>
        <w:rPr>
          <w:spacing w:val="-5"/>
          <w:sz w:val="24"/>
        </w:rPr>
        <w:t> </w:t>
      </w:r>
      <w:r>
        <w:rPr>
          <w:sz w:val="24"/>
        </w:rPr>
        <w:t>to</w:t>
      </w:r>
      <w:r>
        <w:rPr>
          <w:spacing w:val="-5"/>
          <w:sz w:val="24"/>
        </w:rPr>
        <w:t> </w:t>
      </w:r>
      <w:r>
        <w:rPr>
          <w:sz w:val="24"/>
        </w:rPr>
        <w:t>service</w:t>
      </w:r>
      <w:r>
        <w:rPr>
          <w:spacing w:val="-5"/>
          <w:sz w:val="24"/>
        </w:rPr>
        <w:t> </w:t>
      </w:r>
      <w:r>
        <w:rPr>
          <w:sz w:val="24"/>
        </w:rPr>
        <w:t>providers,</w:t>
      </w:r>
      <w:r>
        <w:rPr>
          <w:spacing w:val="-4"/>
          <w:sz w:val="24"/>
        </w:rPr>
        <w:t> </w:t>
      </w:r>
      <w:r>
        <w:rPr>
          <w:sz w:val="24"/>
        </w:rPr>
        <w:t>such</w:t>
      </w:r>
      <w:r>
        <w:rPr>
          <w:spacing w:val="-5"/>
          <w:sz w:val="24"/>
        </w:rPr>
        <w:t> </w:t>
      </w:r>
      <w:r>
        <w:rPr>
          <w:sz w:val="24"/>
        </w:rPr>
        <w:t>as</w:t>
      </w:r>
      <w:r>
        <w:rPr>
          <w:spacing w:val="-5"/>
          <w:sz w:val="24"/>
        </w:rPr>
        <w:t> </w:t>
      </w:r>
      <w:r>
        <w:rPr>
          <w:sz w:val="24"/>
        </w:rPr>
        <w:t>hospitals,</w:t>
      </w:r>
      <w:r>
        <w:rPr>
          <w:spacing w:val="-4"/>
          <w:sz w:val="24"/>
        </w:rPr>
        <w:t> </w:t>
      </w:r>
      <w:r>
        <w:rPr>
          <w:sz w:val="24"/>
        </w:rPr>
        <w:t>physicians,</w:t>
      </w:r>
      <w:r>
        <w:rPr>
          <w:spacing w:val="-4"/>
          <w:sz w:val="24"/>
        </w:rPr>
        <w:t> </w:t>
      </w:r>
      <w:r>
        <w:rPr>
          <w:sz w:val="24"/>
        </w:rPr>
        <w:t>and</w:t>
      </w:r>
      <w:r>
        <w:rPr>
          <w:spacing w:val="-4"/>
          <w:sz w:val="24"/>
        </w:rPr>
        <w:t> </w:t>
      </w:r>
      <w:r>
        <w:rPr>
          <w:sz w:val="24"/>
        </w:rPr>
        <w:t>nursing</w:t>
      </w:r>
      <w:r>
        <w:rPr>
          <w:spacing w:val="-5"/>
          <w:sz w:val="24"/>
        </w:rPr>
        <w:t> </w:t>
      </w:r>
      <w:r>
        <w:rPr>
          <w:sz w:val="24"/>
        </w:rPr>
        <w:t>homes; to the intermediaries who adjudicate claims; and to Medicare recipients. Medicaid provides medical services to persons who cannot afford adequate health care.</w:t>
      </w:r>
    </w:p>
    <w:p>
      <w:pPr>
        <w:pStyle w:val="ListParagraph"/>
        <w:numPr>
          <w:ilvl w:val="0"/>
          <w:numId w:val="25"/>
        </w:numPr>
        <w:tabs>
          <w:tab w:pos="773" w:val="left" w:leader="none"/>
        </w:tabs>
        <w:spacing w:line="208" w:lineRule="auto" w:before="239" w:after="0"/>
        <w:ind w:left="360" w:right="980" w:firstLine="0"/>
        <w:jc w:val="left"/>
        <w:rPr>
          <w:sz w:val="24"/>
        </w:rPr>
      </w:pPr>
      <w:r>
        <w:rPr>
          <w:b/>
          <w:sz w:val="24"/>
        </w:rPr>
        <w:t>Department of Labor. </w:t>
      </w:r>
      <w:r>
        <w:rPr>
          <w:sz w:val="24"/>
        </w:rPr>
        <w:t>A Secretary and Under-Secretary lead the Department of Labor and direct the activities of the Administrators of the various constituent organizational</w:t>
      </w:r>
      <w:r>
        <w:rPr>
          <w:spacing w:val="-5"/>
          <w:sz w:val="24"/>
        </w:rPr>
        <w:t> </w:t>
      </w:r>
      <w:r>
        <w:rPr>
          <w:sz w:val="24"/>
        </w:rPr>
        <w:t>elements.</w:t>
      </w:r>
      <w:r>
        <w:rPr>
          <w:spacing w:val="-4"/>
          <w:sz w:val="24"/>
        </w:rPr>
        <w:t> </w:t>
      </w:r>
      <w:r>
        <w:rPr>
          <w:sz w:val="24"/>
        </w:rPr>
        <w:t>These</w:t>
      </w:r>
      <w:r>
        <w:rPr>
          <w:spacing w:val="-5"/>
          <w:sz w:val="24"/>
        </w:rPr>
        <w:t> </w:t>
      </w:r>
      <w:r>
        <w:rPr>
          <w:sz w:val="24"/>
        </w:rPr>
        <w:t>include</w:t>
      </w:r>
      <w:r>
        <w:rPr>
          <w:spacing w:val="-5"/>
          <w:sz w:val="24"/>
        </w:rPr>
        <w:t> </w:t>
      </w:r>
      <w:r>
        <w:rPr>
          <w:sz w:val="24"/>
        </w:rPr>
        <w:t>the</w:t>
      </w:r>
      <w:r>
        <w:rPr>
          <w:spacing w:val="-5"/>
          <w:sz w:val="24"/>
        </w:rPr>
        <w:t> </w:t>
      </w:r>
      <w:r>
        <w:rPr>
          <w:sz w:val="24"/>
        </w:rPr>
        <w:t>Unemployment</w:t>
      </w:r>
      <w:r>
        <w:rPr>
          <w:spacing w:val="-4"/>
          <w:sz w:val="24"/>
        </w:rPr>
        <w:t> </w:t>
      </w:r>
      <w:r>
        <w:rPr>
          <w:sz w:val="24"/>
        </w:rPr>
        <w:t>Insurance</w:t>
      </w:r>
      <w:r>
        <w:rPr>
          <w:spacing w:val="-5"/>
          <w:sz w:val="24"/>
        </w:rPr>
        <w:t> </w:t>
      </w:r>
      <w:r>
        <w:rPr>
          <w:sz w:val="24"/>
        </w:rPr>
        <w:t>Service</w:t>
      </w:r>
      <w:r>
        <w:rPr>
          <w:spacing w:val="-5"/>
          <w:sz w:val="24"/>
        </w:rPr>
        <w:t> </w:t>
      </w:r>
      <w:r>
        <w:rPr>
          <w:sz w:val="24"/>
        </w:rPr>
        <w:t>and</w:t>
      </w:r>
      <w:r>
        <w:rPr>
          <w:spacing w:val="-5"/>
          <w:sz w:val="24"/>
        </w:rPr>
        <w:t> </w:t>
      </w:r>
      <w:r>
        <w:rPr>
          <w:sz w:val="24"/>
        </w:rPr>
        <w:t>the</w:t>
      </w:r>
    </w:p>
    <w:p>
      <w:pPr>
        <w:pStyle w:val="BodyText"/>
        <w:spacing w:line="208" w:lineRule="auto" w:before="0"/>
        <w:ind w:right="775"/>
      </w:pPr>
      <w:r>
        <w:rPr/>
        <w:t>U.S. Employment Service, both of which are within the Employment and Training Administration.</w:t>
      </w:r>
      <w:r>
        <w:rPr>
          <w:spacing w:val="-3"/>
        </w:rPr>
        <w:t> </w:t>
      </w:r>
      <w:r>
        <w:rPr/>
        <w:t>The</w:t>
      </w:r>
      <w:r>
        <w:rPr>
          <w:spacing w:val="-4"/>
        </w:rPr>
        <w:t> </w:t>
      </w:r>
      <w:r>
        <w:rPr/>
        <w:t>Office</w:t>
      </w:r>
      <w:r>
        <w:rPr>
          <w:spacing w:val="-4"/>
        </w:rPr>
        <w:t> </w:t>
      </w:r>
      <w:r>
        <w:rPr/>
        <w:t>of</w:t>
      </w:r>
      <w:r>
        <w:rPr>
          <w:spacing w:val="-3"/>
        </w:rPr>
        <w:t> </w:t>
      </w:r>
      <w:r>
        <w:rPr/>
        <w:t>Disability</w:t>
      </w:r>
      <w:r>
        <w:rPr>
          <w:spacing w:val="-4"/>
        </w:rPr>
        <w:t> </w:t>
      </w:r>
      <w:r>
        <w:rPr/>
        <w:t>Employment</w:t>
      </w:r>
      <w:r>
        <w:rPr>
          <w:spacing w:val="-3"/>
        </w:rPr>
        <w:t> </w:t>
      </w:r>
      <w:r>
        <w:rPr/>
        <w:t>Policy</w:t>
      </w:r>
      <w:r>
        <w:rPr>
          <w:spacing w:val="-4"/>
        </w:rPr>
        <w:t> </w:t>
      </w:r>
      <w:r>
        <w:rPr/>
        <w:t>is</w:t>
      </w:r>
      <w:r>
        <w:rPr>
          <w:spacing w:val="-4"/>
        </w:rPr>
        <w:t> </w:t>
      </w:r>
      <w:r>
        <w:rPr/>
        <w:t>also</w:t>
      </w:r>
      <w:r>
        <w:rPr>
          <w:spacing w:val="-4"/>
        </w:rPr>
        <w:t> </w:t>
      </w:r>
      <w:r>
        <w:rPr/>
        <w:t>administered</w:t>
      </w:r>
      <w:r>
        <w:rPr>
          <w:spacing w:val="-4"/>
        </w:rPr>
        <w:t> </w:t>
      </w:r>
      <w:r>
        <w:rPr/>
        <w:t>by</w:t>
      </w:r>
      <w:r>
        <w:rPr>
          <w:spacing w:val="-4"/>
        </w:rPr>
        <w:t> </w:t>
      </w:r>
      <w:r>
        <w:rPr/>
        <w:t>DOL.</w:t>
      </w:r>
    </w:p>
    <w:p>
      <w:pPr>
        <w:pStyle w:val="ListParagraph"/>
        <w:numPr>
          <w:ilvl w:val="0"/>
          <w:numId w:val="25"/>
        </w:numPr>
        <w:tabs>
          <w:tab w:pos="786" w:val="left" w:leader="none"/>
        </w:tabs>
        <w:spacing w:line="208" w:lineRule="auto" w:before="239" w:after="0"/>
        <w:ind w:left="360" w:right="1007" w:firstLine="0"/>
        <w:jc w:val="left"/>
        <w:rPr>
          <w:sz w:val="24"/>
        </w:rPr>
      </w:pPr>
      <w:r>
        <w:rPr>
          <w:b/>
          <w:sz w:val="24"/>
        </w:rPr>
        <w:t>National</w:t>
      </w:r>
      <w:r>
        <w:rPr>
          <w:b/>
          <w:spacing w:val="-3"/>
          <w:sz w:val="24"/>
        </w:rPr>
        <w:t> </w:t>
      </w:r>
      <w:r>
        <w:rPr>
          <w:b/>
          <w:sz w:val="24"/>
        </w:rPr>
        <w:t>Library</w:t>
      </w:r>
      <w:r>
        <w:rPr>
          <w:b/>
          <w:spacing w:val="-5"/>
          <w:sz w:val="24"/>
        </w:rPr>
        <w:t> </w:t>
      </w:r>
      <w:r>
        <w:rPr>
          <w:b/>
          <w:sz w:val="24"/>
        </w:rPr>
        <w:t>Service</w:t>
      </w:r>
      <w:r>
        <w:rPr>
          <w:b/>
          <w:spacing w:val="-4"/>
          <w:sz w:val="24"/>
        </w:rPr>
        <w:t> </w:t>
      </w:r>
      <w:r>
        <w:rPr>
          <w:b/>
          <w:sz w:val="24"/>
        </w:rPr>
        <w:t>of</w:t>
      </w:r>
      <w:r>
        <w:rPr>
          <w:b/>
          <w:spacing w:val="-3"/>
          <w:sz w:val="24"/>
        </w:rPr>
        <w:t> </w:t>
      </w:r>
      <w:r>
        <w:rPr>
          <w:b/>
          <w:sz w:val="24"/>
        </w:rPr>
        <w:t>Library</w:t>
      </w:r>
      <w:r>
        <w:rPr>
          <w:b/>
          <w:spacing w:val="-4"/>
          <w:sz w:val="24"/>
        </w:rPr>
        <w:t> </w:t>
      </w:r>
      <w:r>
        <w:rPr>
          <w:b/>
          <w:sz w:val="24"/>
        </w:rPr>
        <w:t>of</w:t>
      </w:r>
      <w:r>
        <w:rPr>
          <w:b/>
          <w:spacing w:val="-5"/>
          <w:sz w:val="24"/>
        </w:rPr>
        <w:t> </w:t>
      </w:r>
      <w:r>
        <w:rPr>
          <w:b/>
          <w:sz w:val="24"/>
        </w:rPr>
        <w:t>Congress.</w:t>
      </w:r>
      <w:r>
        <w:rPr>
          <w:b/>
          <w:spacing w:val="-2"/>
          <w:sz w:val="24"/>
        </w:rPr>
        <w:t> </w:t>
      </w:r>
      <w:r>
        <w:rPr>
          <w:sz w:val="24"/>
        </w:rPr>
        <w:t>The</w:t>
      </w:r>
      <w:r>
        <w:rPr>
          <w:spacing w:val="-4"/>
          <w:sz w:val="24"/>
        </w:rPr>
        <w:t> </w:t>
      </w:r>
      <w:r>
        <w:rPr>
          <w:sz w:val="24"/>
        </w:rPr>
        <w:t>Oklahoma</w:t>
      </w:r>
      <w:r>
        <w:rPr>
          <w:spacing w:val="-4"/>
          <w:sz w:val="24"/>
        </w:rPr>
        <w:t> </w:t>
      </w:r>
      <w:r>
        <w:rPr>
          <w:sz w:val="24"/>
        </w:rPr>
        <w:t>Library</w:t>
      </w:r>
      <w:r>
        <w:rPr>
          <w:spacing w:val="-4"/>
          <w:sz w:val="24"/>
        </w:rPr>
        <w:t> </w:t>
      </w:r>
      <w:r>
        <w:rPr>
          <w:sz w:val="24"/>
        </w:rPr>
        <w:t>for</w:t>
      </w:r>
      <w:r>
        <w:rPr>
          <w:spacing w:val="-5"/>
          <w:sz w:val="24"/>
        </w:rPr>
        <w:t> </w:t>
      </w:r>
      <w:r>
        <w:rPr>
          <w:sz w:val="24"/>
        </w:rPr>
        <w:t>the Blind and Physically Handicapped, operated by DRS, is the regional library for</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right="775"/>
      </w:pPr>
      <w:r>
        <w:rPr/>
        <w:t>Oklahoma</w:t>
      </w:r>
      <w:r>
        <w:rPr>
          <w:spacing w:val="-3"/>
        </w:rPr>
        <w:t> </w:t>
      </w:r>
      <w:r>
        <w:rPr/>
        <w:t>and</w:t>
      </w:r>
      <w:r>
        <w:rPr>
          <w:spacing w:val="-3"/>
        </w:rPr>
        <w:t> </w:t>
      </w:r>
      <w:r>
        <w:rPr/>
        <w:t>a</w:t>
      </w:r>
      <w:r>
        <w:rPr>
          <w:spacing w:val="-3"/>
        </w:rPr>
        <w:t> </w:t>
      </w:r>
      <w:r>
        <w:rPr/>
        <w:t>part</w:t>
      </w:r>
      <w:r>
        <w:rPr>
          <w:spacing w:val="-4"/>
        </w:rPr>
        <w:t> </w:t>
      </w:r>
      <w:r>
        <w:rPr/>
        <w:t>of</w:t>
      </w:r>
      <w:r>
        <w:rPr>
          <w:spacing w:val="-2"/>
        </w:rPr>
        <w:t> </w:t>
      </w:r>
      <w:r>
        <w:rPr/>
        <w:t>the</w:t>
      </w:r>
      <w:r>
        <w:rPr>
          <w:spacing w:val="-3"/>
        </w:rPr>
        <w:t> </w:t>
      </w:r>
      <w:r>
        <w:rPr/>
        <w:t>national</w:t>
      </w:r>
      <w:r>
        <w:rPr>
          <w:spacing w:val="-3"/>
        </w:rPr>
        <w:t> </w:t>
      </w:r>
      <w:r>
        <w:rPr/>
        <w:t>network</w:t>
      </w:r>
      <w:r>
        <w:rPr>
          <w:spacing w:val="-2"/>
        </w:rPr>
        <w:t> </w:t>
      </w:r>
      <w:r>
        <w:rPr/>
        <w:t>of</w:t>
      </w:r>
      <w:r>
        <w:rPr>
          <w:spacing w:val="-2"/>
        </w:rPr>
        <w:t> </w:t>
      </w:r>
      <w:r>
        <w:rPr/>
        <w:t>libraries</w:t>
      </w:r>
      <w:r>
        <w:rPr>
          <w:spacing w:val="-3"/>
        </w:rPr>
        <w:t> </w:t>
      </w:r>
      <w:r>
        <w:rPr/>
        <w:t>of</w:t>
      </w:r>
      <w:r>
        <w:rPr>
          <w:spacing w:val="-4"/>
        </w:rPr>
        <w:t> </w:t>
      </w:r>
      <w:r>
        <w:rPr/>
        <w:t>the</w:t>
      </w:r>
      <w:r>
        <w:rPr>
          <w:spacing w:val="-3"/>
        </w:rPr>
        <w:t> </w:t>
      </w:r>
      <w:r>
        <w:rPr/>
        <w:t>Library</w:t>
      </w:r>
      <w:r>
        <w:rPr>
          <w:spacing w:val="-3"/>
        </w:rPr>
        <w:t> </w:t>
      </w:r>
      <w:r>
        <w:rPr/>
        <w:t>of</w:t>
      </w:r>
      <w:r>
        <w:rPr>
          <w:spacing w:val="-2"/>
        </w:rPr>
        <w:t> </w:t>
      </w:r>
      <w:r>
        <w:rPr/>
        <w:t>Congress National Library Services (NLS) for the Blind and Physically Handicapped.</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tabs>
          <w:tab w:pos="1439" w:val="left" w:leader="none"/>
        </w:tabs>
        <w:spacing w:before="0"/>
        <w:ind w:left="1439" w:right="940" w:hanging="1080"/>
        <w:jc w:val="left"/>
        <w:rPr>
          <w:sz w:val="22"/>
        </w:rPr>
      </w:pPr>
      <w:r>
        <w:rPr>
          <w:spacing w:val="-2"/>
          <w:sz w:val="22"/>
        </w:rPr>
        <w:t>9-14-18</w:t>
      </w:r>
      <w:r>
        <w:rPr>
          <w:sz w:val="22"/>
        </w:rPr>
        <w:tab/>
        <w:t>Revisions</w:t>
      </w:r>
      <w:r>
        <w:rPr>
          <w:spacing w:val="-4"/>
          <w:sz w:val="22"/>
        </w:rPr>
        <w:t> </w:t>
      </w:r>
      <w:r>
        <w:rPr>
          <w:sz w:val="22"/>
        </w:rPr>
        <w:t>update</w:t>
      </w:r>
      <w:r>
        <w:rPr>
          <w:spacing w:val="-4"/>
          <w:sz w:val="22"/>
        </w:rPr>
        <w:t> </w:t>
      </w:r>
      <w:r>
        <w:rPr>
          <w:sz w:val="22"/>
        </w:rPr>
        <w:t>agency</w:t>
      </w:r>
      <w:r>
        <w:rPr>
          <w:spacing w:val="-4"/>
          <w:sz w:val="22"/>
        </w:rPr>
        <w:t> </w:t>
      </w:r>
      <w:r>
        <w:rPr>
          <w:sz w:val="22"/>
        </w:rPr>
        <w:t>and</w:t>
      </w:r>
      <w:r>
        <w:rPr>
          <w:spacing w:val="-4"/>
          <w:sz w:val="22"/>
        </w:rPr>
        <w:t> </w:t>
      </w:r>
      <w:r>
        <w:rPr>
          <w:sz w:val="22"/>
        </w:rPr>
        <w:t>program</w:t>
      </w:r>
      <w:r>
        <w:rPr>
          <w:spacing w:val="-5"/>
          <w:sz w:val="22"/>
        </w:rPr>
        <w:t> </w:t>
      </w:r>
      <w:r>
        <w:rPr>
          <w:sz w:val="22"/>
        </w:rPr>
        <w:t>names,</w:t>
      </w:r>
      <w:r>
        <w:rPr>
          <w:spacing w:val="-4"/>
          <w:sz w:val="22"/>
        </w:rPr>
        <w:t> </w:t>
      </w:r>
      <w:r>
        <w:rPr>
          <w:sz w:val="22"/>
        </w:rPr>
        <w:t>removal</w:t>
      </w:r>
      <w:r>
        <w:rPr>
          <w:spacing w:val="-4"/>
          <w:sz w:val="22"/>
        </w:rPr>
        <w:t> </w:t>
      </w:r>
      <w:r>
        <w:rPr>
          <w:sz w:val="22"/>
        </w:rPr>
        <w:t>of</w:t>
      </w:r>
      <w:r>
        <w:rPr>
          <w:spacing w:val="-4"/>
          <w:sz w:val="22"/>
        </w:rPr>
        <w:t> </w:t>
      </w:r>
      <w:r>
        <w:rPr>
          <w:sz w:val="22"/>
        </w:rPr>
        <w:t>obsolete</w:t>
      </w:r>
      <w:r>
        <w:rPr>
          <w:spacing w:val="-4"/>
          <w:sz w:val="22"/>
        </w:rPr>
        <w:t> </w:t>
      </w:r>
      <w:r>
        <w:rPr>
          <w:sz w:val="22"/>
        </w:rPr>
        <w:t>references</w:t>
      </w:r>
      <w:r>
        <w:rPr>
          <w:spacing w:val="-4"/>
          <w:sz w:val="22"/>
        </w:rPr>
        <w:t> </w:t>
      </w:r>
      <w:r>
        <w:rPr>
          <w:sz w:val="22"/>
        </w:rPr>
        <w:t>and extraneous descriptive language.</w:t>
      </w:r>
    </w:p>
    <w:p>
      <w:pPr>
        <w:spacing w:after="0"/>
        <w:jc w:val="left"/>
        <w:rPr>
          <w:sz w:val="22"/>
        </w:rPr>
        <w:sectPr>
          <w:pgSz w:w="12240" w:h="15840"/>
          <w:pgMar w:top="1340" w:bottom="280" w:left="1080" w:right="720"/>
        </w:sectPr>
      </w:pPr>
    </w:p>
    <w:p>
      <w:pPr>
        <w:pStyle w:val="Heading1"/>
        <w:spacing w:line="208" w:lineRule="auto" w:before="96"/>
        <w:ind w:left="4293" w:right="775" w:hanging="3755"/>
        <w:jc w:val="left"/>
      </w:pPr>
      <w:bookmarkStart w:name="SUBCHAPTER 9.  COMPLIANCE WITH SECTION 5" w:id="27"/>
      <w:bookmarkEnd w:id="27"/>
      <w:r>
        <w:rPr>
          <w:b w:val="0"/>
        </w:rPr>
      </w:r>
      <w:r>
        <w:rPr/>
        <w:t>SUBCHAPTER</w:t>
      </w:r>
      <w:r>
        <w:rPr>
          <w:spacing w:val="-4"/>
        </w:rPr>
        <w:t> </w:t>
      </w:r>
      <w:r>
        <w:rPr/>
        <w:t>9.</w:t>
      </w:r>
      <w:r>
        <w:rPr>
          <w:spacing w:val="40"/>
        </w:rPr>
        <w:t> </w:t>
      </w:r>
      <w:r>
        <w:rPr/>
        <w:t>COMPLIANCE</w:t>
      </w:r>
      <w:r>
        <w:rPr>
          <w:spacing w:val="-4"/>
        </w:rPr>
        <w:t> </w:t>
      </w:r>
      <w:r>
        <w:rPr/>
        <w:t>WITH</w:t>
      </w:r>
      <w:r>
        <w:rPr>
          <w:spacing w:val="-6"/>
        </w:rPr>
        <w:t> </w:t>
      </w:r>
      <w:r>
        <w:rPr/>
        <w:t>SECTION</w:t>
      </w:r>
      <w:r>
        <w:rPr>
          <w:spacing w:val="-6"/>
        </w:rPr>
        <w:t> </w:t>
      </w:r>
      <w:r>
        <w:rPr/>
        <w:t>504</w:t>
      </w:r>
      <w:r>
        <w:rPr>
          <w:spacing w:val="-4"/>
        </w:rPr>
        <w:t> </w:t>
      </w:r>
      <w:r>
        <w:rPr/>
        <w:t>OF</w:t>
      </w:r>
      <w:r>
        <w:rPr>
          <w:spacing w:val="-4"/>
        </w:rPr>
        <w:t> </w:t>
      </w:r>
      <w:r>
        <w:rPr/>
        <w:t>THE</w:t>
      </w:r>
      <w:r>
        <w:rPr>
          <w:spacing w:val="-4"/>
        </w:rPr>
        <w:t> </w:t>
      </w:r>
      <w:r>
        <w:rPr/>
        <w:t>REHABILITATION ACT OF 1973</w:t>
      </w:r>
    </w:p>
    <w:p>
      <w:pPr>
        <w:pStyle w:val="BodyText"/>
        <w:spacing w:before="210"/>
      </w:pPr>
      <w:r>
        <w:rPr>
          <w:spacing w:val="-2"/>
        </w:rPr>
        <w:t>Section</w:t>
      </w:r>
    </w:p>
    <w:p>
      <w:pPr>
        <w:pStyle w:val="BodyText"/>
        <w:tabs>
          <w:tab w:pos="1799" w:val="left" w:leader="none"/>
        </w:tabs>
        <w:spacing w:line="417" w:lineRule="auto" w:before="204"/>
        <w:ind w:right="4117"/>
      </w:pPr>
      <w:r>
        <w:rPr>
          <w:spacing w:val="-2"/>
        </w:rPr>
        <w:t>612:1-9-1.</w:t>
      </w:r>
      <w:r>
        <w:rPr/>
        <w:tab/>
        <w:t>General</w:t>
      </w:r>
      <w:r>
        <w:rPr>
          <w:spacing w:val="-14"/>
        </w:rPr>
        <w:t> </w:t>
      </w:r>
      <w:r>
        <w:rPr/>
        <w:t>prohibitions</w:t>
      </w:r>
      <w:r>
        <w:rPr>
          <w:spacing w:val="-14"/>
        </w:rPr>
        <w:t> </w:t>
      </w:r>
      <w:r>
        <w:rPr/>
        <w:t>against</w:t>
      </w:r>
      <w:r>
        <w:rPr>
          <w:spacing w:val="-13"/>
        </w:rPr>
        <w:t> </w:t>
      </w:r>
      <w:r>
        <w:rPr/>
        <w:t>discrimination </w:t>
      </w:r>
      <w:r>
        <w:rPr>
          <w:spacing w:val="-2"/>
        </w:rPr>
        <w:t>612:1-9-2.</w:t>
      </w:r>
      <w:r>
        <w:rPr/>
        <w:tab/>
        <w:t>Qualified individuals with disabilities</w:t>
      </w:r>
    </w:p>
    <w:p>
      <w:pPr>
        <w:pStyle w:val="BodyText"/>
        <w:tabs>
          <w:tab w:pos="1799" w:val="left" w:leader="none"/>
        </w:tabs>
        <w:spacing w:line="276" w:lineRule="exact" w:before="0"/>
      </w:pPr>
      <w:r>
        <w:rPr>
          <w:spacing w:val="-2"/>
        </w:rPr>
        <w:t>612:1-9-</w:t>
      </w:r>
      <w:r>
        <w:rPr>
          <w:spacing w:val="-5"/>
        </w:rPr>
        <w:t>3.</w:t>
      </w:r>
      <w:r>
        <w:rPr/>
        <w:tab/>
        <w:t>Required</w:t>
      </w:r>
      <w:r>
        <w:rPr>
          <w:spacing w:val="-6"/>
        </w:rPr>
        <w:t> </w:t>
      </w:r>
      <w:r>
        <w:rPr/>
        <w:t>statement</w:t>
      </w:r>
      <w:r>
        <w:rPr>
          <w:spacing w:val="-2"/>
        </w:rPr>
        <w:t> </w:t>
      </w:r>
      <w:r>
        <w:rPr/>
        <w:t>on</w:t>
      </w:r>
      <w:r>
        <w:rPr>
          <w:spacing w:val="-3"/>
        </w:rPr>
        <w:t> </w:t>
      </w:r>
      <w:r>
        <w:rPr/>
        <w:t>DRS</w:t>
      </w:r>
      <w:r>
        <w:rPr>
          <w:spacing w:val="-3"/>
        </w:rPr>
        <w:t> </w:t>
      </w:r>
      <w:r>
        <w:rPr/>
        <w:t>printed</w:t>
      </w:r>
      <w:r>
        <w:rPr>
          <w:spacing w:val="-3"/>
        </w:rPr>
        <w:t> </w:t>
      </w:r>
      <w:r>
        <w:rPr>
          <w:spacing w:val="-2"/>
        </w:rPr>
        <w:t>documents</w:t>
      </w:r>
    </w:p>
    <w:p>
      <w:pPr>
        <w:spacing w:before="238"/>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pPr>
      <w:bookmarkStart w:name="612:1-9-1.  General prohibitions against" w:id="28"/>
      <w:bookmarkEnd w:id="28"/>
      <w:r>
        <w:rPr>
          <w:b w:val="0"/>
        </w:rPr>
      </w:r>
      <w:r>
        <w:rPr/>
        <w:t>612:1-9-1.</w:t>
      </w:r>
      <w:r>
        <w:rPr>
          <w:spacing w:val="57"/>
        </w:rPr>
        <w:t> </w:t>
      </w:r>
      <w:r>
        <w:rPr/>
        <w:t>General</w:t>
      </w:r>
      <w:r>
        <w:rPr>
          <w:spacing w:val="-4"/>
        </w:rPr>
        <w:t> </w:t>
      </w:r>
      <w:r>
        <w:rPr/>
        <w:t>prohibitions</w:t>
      </w:r>
      <w:r>
        <w:rPr>
          <w:spacing w:val="-4"/>
        </w:rPr>
        <w:t> </w:t>
      </w:r>
      <w:r>
        <w:rPr/>
        <w:t>against</w:t>
      </w:r>
      <w:r>
        <w:rPr>
          <w:spacing w:val="-4"/>
        </w:rPr>
        <w:t> </w:t>
      </w:r>
      <w:r>
        <w:rPr>
          <w:spacing w:val="-2"/>
        </w:rPr>
        <w:t>discrimination</w:t>
      </w:r>
    </w:p>
    <w:p>
      <w:pPr>
        <w:pStyle w:val="BodyText"/>
        <w:spacing w:line="208" w:lineRule="auto" w:before="233"/>
        <w:ind w:left="359" w:right="727" w:firstLine="432"/>
      </w:pPr>
      <w:r>
        <w:rPr/>
        <w:t>Section 504 of the Rehabilitation Act of 1973, states in part: "no qualified individual with disabilities, shall, on the basis of disability, be excluded from participation in, be denied</w:t>
      </w:r>
      <w:r>
        <w:rPr>
          <w:spacing w:val="-3"/>
        </w:rPr>
        <w:t> </w:t>
      </w:r>
      <w:r>
        <w:rPr/>
        <w:t>the</w:t>
      </w:r>
      <w:r>
        <w:rPr>
          <w:spacing w:val="-3"/>
        </w:rPr>
        <w:t> </w:t>
      </w:r>
      <w:r>
        <w:rPr/>
        <w:t>benefits</w:t>
      </w:r>
      <w:r>
        <w:rPr>
          <w:spacing w:val="-3"/>
        </w:rPr>
        <w:t> </w:t>
      </w:r>
      <w:r>
        <w:rPr/>
        <w:t>of,</w:t>
      </w:r>
      <w:r>
        <w:rPr>
          <w:spacing w:val="-4"/>
        </w:rPr>
        <w:t> </w:t>
      </w:r>
      <w:r>
        <w:rPr/>
        <w:t>or</w:t>
      </w:r>
      <w:r>
        <w:rPr>
          <w:spacing w:val="-2"/>
        </w:rPr>
        <w:t> </w:t>
      </w:r>
      <w:r>
        <w:rPr/>
        <w:t>otherwise</w:t>
      </w:r>
      <w:r>
        <w:rPr>
          <w:spacing w:val="-3"/>
        </w:rPr>
        <w:t> </w:t>
      </w:r>
      <w:r>
        <w:rPr/>
        <w:t>be</w:t>
      </w:r>
      <w:r>
        <w:rPr>
          <w:spacing w:val="-3"/>
        </w:rPr>
        <w:t> </w:t>
      </w:r>
      <w:r>
        <w:rPr/>
        <w:t>subjected</w:t>
      </w:r>
      <w:r>
        <w:rPr>
          <w:spacing w:val="-3"/>
        </w:rPr>
        <w:t> </w:t>
      </w:r>
      <w:r>
        <w:rPr/>
        <w:t>to</w:t>
      </w:r>
      <w:r>
        <w:rPr>
          <w:spacing w:val="-3"/>
        </w:rPr>
        <w:t> </w:t>
      </w:r>
      <w:r>
        <w:rPr/>
        <w:t>discrimination</w:t>
      </w:r>
      <w:r>
        <w:rPr>
          <w:spacing w:val="-2"/>
        </w:rPr>
        <w:t> </w:t>
      </w:r>
      <w:r>
        <w:rPr/>
        <w:t>under</w:t>
      </w:r>
      <w:r>
        <w:rPr>
          <w:spacing w:val="-2"/>
        </w:rPr>
        <w:t> </w:t>
      </w:r>
      <w:r>
        <w:rPr/>
        <w:t>any</w:t>
      </w:r>
      <w:r>
        <w:rPr>
          <w:spacing w:val="-3"/>
        </w:rPr>
        <w:t> </w:t>
      </w:r>
      <w:r>
        <w:rPr/>
        <w:t>program</w:t>
      </w:r>
      <w:r>
        <w:rPr>
          <w:spacing w:val="-2"/>
        </w:rPr>
        <w:t> </w:t>
      </w:r>
      <w:r>
        <w:rPr/>
        <w:t>or activity that receives benefits from federal financial assistance." Compliance requirements are the same as those presented in Subchapter 11 of this Chapter.</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pPr>
      <w:bookmarkStart w:name="612:1-9-2.  Qualified individuals with d" w:id="29"/>
      <w:bookmarkEnd w:id="29"/>
      <w:r>
        <w:rPr>
          <w:b w:val="0"/>
        </w:rPr>
      </w:r>
      <w:r>
        <w:rPr/>
        <w:t>612:1-9-2.</w:t>
      </w:r>
      <w:r>
        <w:rPr>
          <w:spacing w:val="59"/>
        </w:rPr>
        <w:t> </w:t>
      </w:r>
      <w:r>
        <w:rPr/>
        <w:t>Qualified</w:t>
      </w:r>
      <w:r>
        <w:rPr>
          <w:spacing w:val="-5"/>
        </w:rPr>
        <w:t> </w:t>
      </w:r>
      <w:r>
        <w:rPr/>
        <w:t>individuals</w:t>
      </w:r>
      <w:r>
        <w:rPr>
          <w:spacing w:val="-3"/>
        </w:rPr>
        <w:t> </w:t>
      </w:r>
      <w:r>
        <w:rPr/>
        <w:t>with</w:t>
      </w:r>
      <w:r>
        <w:rPr>
          <w:spacing w:val="-4"/>
        </w:rPr>
        <w:t> </w:t>
      </w:r>
      <w:r>
        <w:rPr>
          <w:spacing w:val="-2"/>
        </w:rPr>
        <w:t>disabilities</w:t>
      </w:r>
    </w:p>
    <w:p>
      <w:pPr>
        <w:pStyle w:val="BodyText"/>
        <w:spacing w:line="208" w:lineRule="auto" w:before="233"/>
        <w:ind w:right="775" w:firstLine="432"/>
      </w:pPr>
      <w:r>
        <w:rPr/>
        <w:t>Section 504 of the Rehabilitation Act, guarantees the civil rights of qualified individuals</w:t>
      </w:r>
      <w:r>
        <w:rPr>
          <w:spacing w:val="-4"/>
        </w:rPr>
        <w:t> </w:t>
      </w:r>
      <w:r>
        <w:rPr/>
        <w:t>with</w:t>
      </w:r>
      <w:r>
        <w:rPr>
          <w:spacing w:val="-4"/>
        </w:rPr>
        <w:t> </w:t>
      </w:r>
      <w:r>
        <w:rPr/>
        <w:t>disabilities</w:t>
      </w:r>
      <w:r>
        <w:rPr>
          <w:spacing w:val="-4"/>
        </w:rPr>
        <w:t> </w:t>
      </w:r>
      <w:r>
        <w:rPr/>
        <w:t>and</w:t>
      </w:r>
      <w:r>
        <w:rPr>
          <w:spacing w:val="-4"/>
        </w:rPr>
        <w:t> </w:t>
      </w:r>
      <w:r>
        <w:rPr/>
        <w:t>defines</w:t>
      </w:r>
      <w:r>
        <w:rPr>
          <w:spacing w:val="-4"/>
        </w:rPr>
        <w:t> </w:t>
      </w:r>
      <w:r>
        <w:rPr/>
        <w:t>qualified</w:t>
      </w:r>
      <w:r>
        <w:rPr>
          <w:spacing w:val="-4"/>
        </w:rPr>
        <w:t> </w:t>
      </w:r>
      <w:r>
        <w:rPr/>
        <w:t>individuals</w:t>
      </w:r>
      <w:r>
        <w:rPr>
          <w:spacing w:val="-4"/>
        </w:rPr>
        <w:t> </w:t>
      </w:r>
      <w:r>
        <w:rPr/>
        <w:t>with</w:t>
      </w:r>
      <w:r>
        <w:rPr>
          <w:spacing w:val="-4"/>
        </w:rPr>
        <w:t> </w:t>
      </w:r>
      <w:r>
        <w:rPr/>
        <w:t>disabilities</w:t>
      </w:r>
      <w:r>
        <w:rPr>
          <w:spacing w:val="-4"/>
        </w:rPr>
        <w:t> </w:t>
      </w:r>
      <w:r>
        <w:rPr/>
        <w:t>to</w:t>
      </w:r>
      <w:r>
        <w:rPr>
          <w:spacing w:val="-4"/>
        </w:rPr>
        <w:t> </w:t>
      </w:r>
      <w:r>
        <w:rPr/>
        <w:t>mean: "with respect to employment, an individual with disabilities who, with reasonable accommodation, can perform the essential functions of the job in question; and with respect to services, an individual with disabilities who meets the essential eligibility requirements for the receipt of such services."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pPr>
      <w:bookmarkStart w:name="612:1-9-3.  Required statement on DRS pr" w:id="30"/>
      <w:bookmarkEnd w:id="30"/>
      <w:r>
        <w:rPr>
          <w:b w:val="0"/>
        </w:rPr>
      </w:r>
      <w:r>
        <w:rPr/>
        <w:t>612:1-9-3.</w:t>
      </w:r>
      <w:r>
        <w:rPr>
          <w:spacing w:val="60"/>
        </w:rPr>
        <w:t> </w:t>
      </w:r>
      <w:r>
        <w:rPr/>
        <w:t>Required</w:t>
      </w:r>
      <w:r>
        <w:rPr>
          <w:spacing w:val="-3"/>
        </w:rPr>
        <w:t> </w:t>
      </w:r>
      <w:r>
        <w:rPr/>
        <w:t>statement</w:t>
      </w:r>
      <w:r>
        <w:rPr>
          <w:spacing w:val="-4"/>
        </w:rPr>
        <w:t> </w:t>
      </w:r>
      <w:r>
        <w:rPr/>
        <w:t>on</w:t>
      </w:r>
      <w:r>
        <w:rPr>
          <w:spacing w:val="-3"/>
        </w:rPr>
        <w:t> </w:t>
      </w:r>
      <w:r>
        <w:rPr/>
        <w:t>DRS</w:t>
      </w:r>
      <w:r>
        <w:rPr>
          <w:spacing w:val="-3"/>
        </w:rPr>
        <w:t> </w:t>
      </w:r>
      <w:r>
        <w:rPr/>
        <w:t>printed</w:t>
      </w:r>
      <w:r>
        <w:rPr>
          <w:spacing w:val="-3"/>
        </w:rPr>
        <w:t> </w:t>
      </w:r>
      <w:r>
        <w:rPr>
          <w:spacing w:val="-2"/>
        </w:rPr>
        <w:t>documents</w:t>
      </w:r>
    </w:p>
    <w:p>
      <w:pPr>
        <w:pStyle w:val="BodyText"/>
        <w:spacing w:line="208" w:lineRule="auto" w:before="233"/>
        <w:ind w:right="1148" w:firstLine="432"/>
        <w:jc w:val="both"/>
      </w:pPr>
      <w:r>
        <w:rPr/>
        <w:t>The</w:t>
      </w:r>
      <w:r>
        <w:rPr>
          <w:spacing w:val="-4"/>
        </w:rPr>
        <w:t> </w:t>
      </w:r>
      <w:r>
        <w:rPr/>
        <w:t>cost</w:t>
      </w:r>
      <w:r>
        <w:rPr>
          <w:spacing w:val="-3"/>
        </w:rPr>
        <w:t> </w:t>
      </w:r>
      <w:r>
        <w:rPr/>
        <w:t>statement</w:t>
      </w:r>
      <w:r>
        <w:rPr>
          <w:spacing w:val="-3"/>
        </w:rPr>
        <w:t> </w:t>
      </w:r>
      <w:r>
        <w:rPr/>
        <w:t>printed</w:t>
      </w:r>
      <w:r>
        <w:rPr>
          <w:spacing w:val="-4"/>
        </w:rPr>
        <w:t> </w:t>
      </w:r>
      <w:r>
        <w:rPr/>
        <w:t>on</w:t>
      </w:r>
      <w:r>
        <w:rPr>
          <w:spacing w:val="-4"/>
        </w:rPr>
        <w:t> </w:t>
      </w:r>
      <w:r>
        <w:rPr/>
        <w:t>DRS</w:t>
      </w:r>
      <w:r>
        <w:rPr>
          <w:spacing w:val="-4"/>
        </w:rPr>
        <w:t> </w:t>
      </w:r>
      <w:r>
        <w:rPr/>
        <w:t>publications</w:t>
      </w:r>
      <w:r>
        <w:rPr>
          <w:spacing w:val="-4"/>
        </w:rPr>
        <w:t> </w:t>
      </w:r>
      <w:r>
        <w:rPr/>
        <w:t>will</w:t>
      </w:r>
      <w:r>
        <w:rPr>
          <w:spacing w:val="-4"/>
        </w:rPr>
        <w:t> </w:t>
      </w:r>
      <w:r>
        <w:rPr/>
        <w:t>follow</w:t>
      </w:r>
      <w:r>
        <w:rPr>
          <w:spacing w:val="-4"/>
        </w:rPr>
        <w:t> </w:t>
      </w:r>
      <w:r>
        <w:rPr/>
        <w:t>the</w:t>
      </w:r>
      <w:r>
        <w:rPr>
          <w:spacing w:val="-4"/>
        </w:rPr>
        <w:t> </w:t>
      </w:r>
      <w:r>
        <w:rPr/>
        <w:t>requirements</w:t>
      </w:r>
      <w:r>
        <w:rPr>
          <w:spacing w:val="-4"/>
        </w:rPr>
        <w:t> </w:t>
      </w:r>
      <w:r>
        <w:rPr/>
        <w:t>and wording</w:t>
      </w:r>
      <w:r>
        <w:rPr>
          <w:spacing w:val="-4"/>
        </w:rPr>
        <w:t> </w:t>
      </w:r>
      <w:r>
        <w:rPr/>
        <w:t>set</w:t>
      </w:r>
      <w:r>
        <w:rPr>
          <w:spacing w:val="-2"/>
        </w:rPr>
        <w:t> </w:t>
      </w:r>
      <w:r>
        <w:rPr/>
        <w:t>for</w:t>
      </w:r>
      <w:r>
        <w:rPr>
          <w:spacing w:val="-3"/>
        </w:rPr>
        <w:t> </w:t>
      </w:r>
      <w:r>
        <w:rPr/>
        <w:t>state</w:t>
      </w:r>
      <w:r>
        <w:rPr>
          <w:spacing w:val="-4"/>
        </w:rPr>
        <w:t> </w:t>
      </w:r>
      <w:r>
        <w:rPr/>
        <w:t>documents</w:t>
      </w:r>
      <w:r>
        <w:rPr>
          <w:spacing w:val="-4"/>
        </w:rPr>
        <w:t> </w:t>
      </w:r>
      <w:r>
        <w:rPr/>
        <w:t>by</w:t>
      </w:r>
      <w:r>
        <w:rPr>
          <w:spacing w:val="-4"/>
        </w:rPr>
        <w:t> </w:t>
      </w:r>
      <w:r>
        <w:rPr/>
        <w:t>the</w:t>
      </w:r>
      <w:r>
        <w:rPr>
          <w:spacing w:val="-4"/>
        </w:rPr>
        <w:t> </w:t>
      </w:r>
      <w:r>
        <w:rPr/>
        <w:t>Publications</w:t>
      </w:r>
      <w:r>
        <w:rPr>
          <w:spacing w:val="-4"/>
        </w:rPr>
        <w:t> </w:t>
      </w:r>
      <w:r>
        <w:rPr/>
        <w:t>Clearinghouse</w:t>
      </w:r>
      <w:r>
        <w:rPr>
          <w:spacing w:val="-4"/>
        </w:rPr>
        <w:t> </w:t>
      </w:r>
      <w:r>
        <w:rPr/>
        <w:t>of</w:t>
      </w:r>
      <w:r>
        <w:rPr>
          <w:spacing w:val="-3"/>
        </w:rPr>
        <w:t> </w:t>
      </w:r>
      <w:r>
        <w:rPr/>
        <w:t>the</w:t>
      </w:r>
      <w:r>
        <w:rPr>
          <w:spacing w:val="-5"/>
        </w:rPr>
        <w:t> </w:t>
      </w:r>
      <w:r>
        <w:rPr/>
        <w:t>Oklahoma Department of Libraries.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7-1-04</w:t>
      </w:r>
      <w:r>
        <w:rPr>
          <w:sz w:val="22"/>
        </w:rPr>
        <w:tab/>
        <w:t>PT Memo #05-01</w:t>
      </w:r>
    </w:p>
    <w:p>
      <w:pPr>
        <w:spacing w:before="0"/>
        <w:ind w:left="1439" w:right="0" w:firstLine="0"/>
        <w:jc w:val="left"/>
        <w:rPr>
          <w:sz w:val="22"/>
        </w:rPr>
      </w:pPr>
      <w:r>
        <w:rPr>
          <w:sz w:val="22"/>
        </w:rPr>
        <w:t>Permanent,</w:t>
      </w:r>
      <w:r>
        <w:rPr>
          <w:spacing w:val="-7"/>
          <w:sz w:val="22"/>
        </w:rPr>
        <w:t> </w:t>
      </w:r>
      <w:r>
        <w:rPr>
          <w:sz w:val="22"/>
        </w:rPr>
        <w:t>amended</w:t>
      </w:r>
      <w:r>
        <w:rPr>
          <w:spacing w:val="-7"/>
          <w:sz w:val="22"/>
        </w:rPr>
        <w:t> </w:t>
      </w:r>
      <w:r>
        <w:rPr>
          <w:sz w:val="22"/>
        </w:rPr>
        <w:t>as</w:t>
      </w:r>
      <w:r>
        <w:rPr>
          <w:spacing w:val="-7"/>
          <w:sz w:val="22"/>
        </w:rPr>
        <w:t> </w:t>
      </w:r>
      <w:r>
        <w:rPr>
          <w:sz w:val="22"/>
        </w:rPr>
        <w:t>required</w:t>
      </w:r>
      <w:r>
        <w:rPr>
          <w:spacing w:val="-8"/>
          <w:sz w:val="22"/>
        </w:rPr>
        <w:t> </w:t>
      </w:r>
      <w:r>
        <w:rPr>
          <w:sz w:val="22"/>
        </w:rPr>
        <w:t>by</w:t>
      </w:r>
      <w:r>
        <w:rPr>
          <w:spacing w:val="-8"/>
          <w:sz w:val="22"/>
        </w:rPr>
        <w:t> </w:t>
      </w:r>
      <w:r>
        <w:rPr>
          <w:spacing w:val="-2"/>
          <w:sz w:val="22"/>
        </w:rPr>
        <w:t>statute.</w:t>
      </w:r>
    </w:p>
    <w:p>
      <w:pPr>
        <w:pStyle w:val="ListParagraph"/>
        <w:numPr>
          <w:ilvl w:val="2"/>
          <w:numId w:val="22"/>
        </w:numPr>
        <w:tabs>
          <w:tab w:pos="1439" w:val="left" w:leader="none"/>
        </w:tabs>
        <w:spacing w:line="253"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line="253" w:lineRule="exact" w:before="0"/>
        <w:ind w:left="1439" w:right="0" w:firstLine="0"/>
        <w:jc w:val="left"/>
        <w:rPr>
          <w:sz w:val="22"/>
        </w:rPr>
      </w:pPr>
      <w:r>
        <w:rPr>
          <w:sz w:val="22"/>
        </w:rPr>
        <w:t>Permanent,</w:t>
      </w:r>
      <w:r>
        <w:rPr>
          <w:spacing w:val="-6"/>
          <w:sz w:val="22"/>
        </w:rPr>
        <w:t> </w:t>
      </w:r>
      <w:r>
        <w:rPr>
          <w:sz w:val="22"/>
        </w:rPr>
        <w:t>reducing</w:t>
      </w:r>
      <w:r>
        <w:rPr>
          <w:spacing w:val="-6"/>
          <w:sz w:val="22"/>
        </w:rPr>
        <w:t> </w:t>
      </w:r>
      <w:r>
        <w:rPr>
          <w:sz w:val="22"/>
        </w:rPr>
        <w:t>the</w:t>
      </w:r>
      <w:r>
        <w:rPr>
          <w:spacing w:val="-7"/>
          <w:sz w:val="22"/>
        </w:rPr>
        <w:t> </w:t>
      </w:r>
      <w:r>
        <w:rPr>
          <w:sz w:val="22"/>
        </w:rPr>
        <w:t>size</w:t>
      </w:r>
      <w:r>
        <w:rPr>
          <w:spacing w:val="-6"/>
          <w:sz w:val="22"/>
        </w:rPr>
        <w:t> </w:t>
      </w:r>
      <w:r>
        <w:rPr>
          <w:sz w:val="22"/>
        </w:rPr>
        <w:t>of</w:t>
      </w:r>
      <w:r>
        <w:rPr>
          <w:spacing w:val="-6"/>
          <w:sz w:val="22"/>
        </w:rPr>
        <w:t> </w:t>
      </w:r>
      <w:r>
        <w:rPr>
          <w:spacing w:val="-2"/>
          <w:sz w:val="22"/>
        </w:rPr>
        <w:t>policy</w:t>
      </w:r>
    </w:p>
    <w:p>
      <w:pPr>
        <w:spacing w:after="0" w:line="253" w:lineRule="exact"/>
        <w:jc w:val="left"/>
        <w:rPr>
          <w:sz w:val="22"/>
        </w:rPr>
        <w:sectPr>
          <w:pgSz w:w="12240" w:h="15840"/>
          <w:pgMar w:top="1340" w:bottom="280" w:left="1080" w:right="720"/>
        </w:sectPr>
      </w:pPr>
    </w:p>
    <w:p>
      <w:pPr>
        <w:pStyle w:val="Heading1"/>
        <w:spacing w:line="208" w:lineRule="auto" w:before="96"/>
        <w:ind w:right="777"/>
      </w:pPr>
      <w:bookmarkStart w:name="SUBCHAPTER 11. COMPLIANCE WITH THE AMERI" w:id="31"/>
      <w:bookmarkEnd w:id="31"/>
      <w:r>
        <w:rPr>
          <w:b w:val="0"/>
        </w:rPr>
      </w:r>
      <w:r>
        <w:rPr/>
        <w:t>SUBCHAPTER</w:t>
      </w:r>
      <w:r>
        <w:rPr>
          <w:spacing w:val="-5"/>
        </w:rPr>
        <w:t> </w:t>
      </w:r>
      <w:r>
        <w:rPr/>
        <w:t>11.</w:t>
      </w:r>
      <w:r>
        <w:rPr>
          <w:spacing w:val="19"/>
        </w:rPr>
        <w:t> </w:t>
      </w:r>
      <w:r>
        <w:rPr/>
        <w:t>COMPLIANCE</w:t>
      </w:r>
      <w:r>
        <w:rPr>
          <w:spacing w:val="-5"/>
        </w:rPr>
        <w:t> </w:t>
      </w:r>
      <w:r>
        <w:rPr/>
        <w:t>WITH</w:t>
      </w:r>
      <w:r>
        <w:rPr>
          <w:spacing w:val="-5"/>
        </w:rPr>
        <w:t> </w:t>
      </w:r>
      <w:r>
        <w:rPr/>
        <w:t>THE</w:t>
      </w:r>
      <w:r>
        <w:rPr>
          <w:spacing w:val="-5"/>
        </w:rPr>
        <w:t> </w:t>
      </w:r>
      <w:r>
        <w:rPr/>
        <w:t>AMERICANS</w:t>
      </w:r>
      <w:r>
        <w:rPr>
          <w:spacing w:val="-5"/>
        </w:rPr>
        <w:t> </w:t>
      </w:r>
      <w:r>
        <w:rPr/>
        <w:t>WITH</w:t>
      </w:r>
      <w:r>
        <w:rPr>
          <w:spacing w:val="-5"/>
        </w:rPr>
        <w:t> </w:t>
      </w:r>
      <w:r>
        <w:rPr/>
        <w:t>DISABILITIES ACT OF 1990</w:t>
      </w:r>
    </w:p>
    <w:p>
      <w:pPr>
        <w:spacing w:before="210"/>
        <w:ind w:left="420" w:right="777" w:firstLine="0"/>
        <w:jc w:val="center"/>
        <w:rPr>
          <w:b/>
          <w:sz w:val="24"/>
        </w:rPr>
      </w:pPr>
      <w:r>
        <w:rPr>
          <w:b/>
          <w:sz w:val="24"/>
        </w:rPr>
        <w:t>PART</w:t>
      </w:r>
      <w:r>
        <w:rPr>
          <w:b/>
          <w:spacing w:val="-2"/>
          <w:sz w:val="24"/>
        </w:rPr>
        <w:t> </w:t>
      </w:r>
      <w:r>
        <w:rPr>
          <w:b/>
          <w:sz w:val="24"/>
        </w:rPr>
        <w:t>1.</w:t>
      </w:r>
      <w:r>
        <w:rPr>
          <w:b/>
          <w:spacing w:val="-2"/>
          <w:sz w:val="24"/>
        </w:rPr>
        <w:t> </w:t>
      </w:r>
      <w:r>
        <w:rPr>
          <w:b/>
          <w:sz w:val="24"/>
        </w:rPr>
        <w:t>PURPOSE</w:t>
      </w:r>
      <w:r>
        <w:rPr>
          <w:b/>
          <w:spacing w:val="-2"/>
          <w:sz w:val="24"/>
        </w:rPr>
        <w:t> </w:t>
      </w:r>
      <w:r>
        <w:rPr>
          <w:b/>
          <w:sz w:val="24"/>
        </w:rPr>
        <w:t>AND</w:t>
      </w:r>
      <w:r>
        <w:rPr>
          <w:b/>
          <w:spacing w:val="-2"/>
          <w:sz w:val="24"/>
        </w:rPr>
        <w:t> </w:t>
      </w:r>
      <w:r>
        <w:rPr>
          <w:b/>
          <w:sz w:val="24"/>
        </w:rPr>
        <w:t>LEGAL</w:t>
      </w:r>
      <w:r>
        <w:rPr>
          <w:b/>
          <w:spacing w:val="-2"/>
          <w:sz w:val="24"/>
        </w:rPr>
        <w:t> </w:t>
      </w:r>
      <w:r>
        <w:rPr>
          <w:b/>
          <w:spacing w:val="-4"/>
          <w:sz w:val="24"/>
        </w:rPr>
        <w:t>BASIS</w:t>
      </w:r>
    </w:p>
    <w:p>
      <w:pPr>
        <w:pStyle w:val="BodyText"/>
        <w:spacing w:before="204"/>
      </w:pPr>
      <w:r>
        <w:rPr>
          <w:spacing w:val="-2"/>
        </w:rPr>
        <w:t>Section</w:t>
      </w:r>
    </w:p>
    <w:p>
      <w:pPr>
        <w:pStyle w:val="BodyText"/>
        <w:tabs>
          <w:tab w:pos="1799" w:val="left" w:leader="none"/>
        </w:tabs>
        <w:spacing w:line="417" w:lineRule="auto" w:before="204"/>
        <w:ind w:left="359" w:right="2290"/>
      </w:pPr>
      <w:r>
        <w:rPr>
          <w:spacing w:val="-2"/>
        </w:rPr>
        <w:t>612:1-11-1.</w:t>
      </w:r>
      <w:r>
        <w:rPr/>
        <w:tab/>
        <w:t>Purpose</w:t>
      </w:r>
      <w:r>
        <w:rPr>
          <w:spacing w:val="-5"/>
        </w:rPr>
        <w:t> </w:t>
      </w:r>
      <w:r>
        <w:rPr/>
        <w:t>and</w:t>
      </w:r>
      <w:r>
        <w:rPr>
          <w:spacing w:val="-5"/>
        </w:rPr>
        <w:t> </w:t>
      </w:r>
      <w:r>
        <w:rPr/>
        <w:t>structure</w:t>
      </w:r>
      <w:r>
        <w:rPr>
          <w:spacing w:val="-8"/>
        </w:rPr>
        <w:t> </w:t>
      </w:r>
      <w:r>
        <w:rPr/>
        <w:t>of</w:t>
      </w:r>
      <w:r>
        <w:rPr>
          <w:spacing w:val="-4"/>
        </w:rPr>
        <w:t> </w:t>
      </w:r>
      <w:r>
        <w:rPr/>
        <w:t>the</w:t>
      </w:r>
      <w:r>
        <w:rPr>
          <w:spacing w:val="-5"/>
        </w:rPr>
        <w:t> </w:t>
      </w:r>
      <w:r>
        <w:rPr/>
        <w:t>Americans</w:t>
      </w:r>
      <w:r>
        <w:rPr>
          <w:spacing w:val="-5"/>
        </w:rPr>
        <w:t> </w:t>
      </w:r>
      <w:r>
        <w:rPr/>
        <w:t>with</w:t>
      </w:r>
      <w:r>
        <w:rPr>
          <w:spacing w:val="-5"/>
        </w:rPr>
        <w:t> </w:t>
      </w:r>
      <w:r>
        <w:rPr/>
        <w:t>Disabilities</w:t>
      </w:r>
      <w:r>
        <w:rPr>
          <w:spacing w:val="-5"/>
        </w:rPr>
        <w:t> </w:t>
      </w:r>
      <w:r>
        <w:rPr/>
        <w:t>Act </w:t>
      </w:r>
      <w:r>
        <w:rPr>
          <w:spacing w:val="-2"/>
        </w:rPr>
        <w:t>612:1-11-2.</w:t>
      </w:r>
      <w:r>
        <w:rPr/>
        <w:tab/>
      </w:r>
      <w:r>
        <w:rPr>
          <w:spacing w:val="-2"/>
        </w:rPr>
        <w:t>Definitions</w:t>
      </w:r>
    </w:p>
    <w:p>
      <w:pPr>
        <w:pStyle w:val="BodyText"/>
        <w:tabs>
          <w:tab w:pos="1799" w:val="left" w:leader="none"/>
        </w:tabs>
        <w:spacing w:line="276" w:lineRule="exact" w:before="0"/>
        <w:ind w:left="359"/>
      </w:pPr>
      <w:r>
        <w:rPr>
          <w:spacing w:val="-2"/>
        </w:rPr>
        <w:t>612:1-11-</w:t>
      </w:r>
      <w:r>
        <w:rPr>
          <w:spacing w:val="-5"/>
        </w:rPr>
        <w:t>3.</w:t>
      </w:r>
      <w:r>
        <w:rPr/>
        <w:tab/>
        <w:t>Legal</w:t>
      </w:r>
      <w:r>
        <w:rPr>
          <w:spacing w:val="-4"/>
        </w:rPr>
        <w:t> </w:t>
      </w:r>
      <w:r>
        <w:rPr>
          <w:spacing w:val="-2"/>
        </w:rPr>
        <w:t>basis</w:t>
      </w:r>
    </w:p>
    <w:p>
      <w:pPr>
        <w:pStyle w:val="BodyText"/>
        <w:tabs>
          <w:tab w:pos="1799" w:val="left" w:leader="none"/>
        </w:tabs>
        <w:spacing w:before="204"/>
        <w:ind w:left="359"/>
      </w:pPr>
      <w:r>
        <w:rPr>
          <w:spacing w:val="-2"/>
        </w:rPr>
        <w:t>612:1-11-</w:t>
      </w:r>
      <w:r>
        <w:rPr>
          <w:spacing w:val="-5"/>
        </w:rPr>
        <w:t>4.</w:t>
      </w:r>
      <w:r>
        <w:rPr/>
        <w:tab/>
        <w:t>DRS</w:t>
      </w:r>
      <w:r>
        <w:rPr>
          <w:spacing w:val="-5"/>
        </w:rPr>
        <w:t> </w:t>
      </w:r>
      <w:r>
        <w:rPr/>
        <w:t>and</w:t>
      </w:r>
      <w:r>
        <w:rPr>
          <w:spacing w:val="-3"/>
        </w:rPr>
        <w:t> </w:t>
      </w:r>
      <w:r>
        <w:rPr/>
        <w:t>the</w:t>
      </w:r>
      <w:r>
        <w:rPr>
          <w:spacing w:val="-3"/>
        </w:rPr>
        <w:t> </w:t>
      </w:r>
      <w:r>
        <w:rPr/>
        <w:t>Americans</w:t>
      </w:r>
      <w:r>
        <w:rPr>
          <w:spacing w:val="-3"/>
        </w:rPr>
        <w:t> </w:t>
      </w:r>
      <w:r>
        <w:rPr/>
        <w:t>with</w:t>
      </w:r>
      <w:r>
        <w:rPr>
          <w:spacing w:val="-3"/>
        </w:rPr>
        <w:t> </w:t>
      </w:r>
      <w:r>
        <w:rPr/>
        <w:t>Disabilities</w:t>
      </w:r>
      <w:r>
        <w:rPr>
          <w:spacing w:val="-3"/>
        </w:rPr>
        <w:t> </w:t>
      </w:r>
      <w:r>
        <w:rPr>
          <w:spacing w:val="-5"/>
        </w:rPr>
        <w:t>Act</w:t>
      </w:r>
    </w:p>
    <w:p>
      <w:pPr>
        <w:pStyle w:val="Heading1"/>
        <w:spacing w:before="204"/>
        <w:ind w:right="777"/>
      </w:pPr>
      <w:r>
        <w:rPr/>
        <w:t>PART</w:t>
      </w:r>
      <w:r>
        <w:rPr>
          <w:spacing w:val="-3"/>
        </w:rPr>
        <w:t> </w:t>
      </w:r>
      <w:r>
        <w:rPr/>
        <w:t>3.</w:t>
      </w:r>
      <w:r>
        <w:rPr>
          <w:spacing w:val="-3"/>
        </w:rPr>
        <w:t> </w:t>
      </w:r>
      <w:r>
        <w:rPr/>
        <w:t>REASONABLE</w:t>
      </w:r>
      <w:r>
        <w:rPr>
          <w:spacing w:val="-3"/>
        </w:rPr>
        <w:t> </w:t>
      </w:r>
      <w:r>
        <w:rPr>
          <w:spacing w:val="-2"/>
        </w:rPr>
        <w:t>ACCOMMODATION</w:t>
      </w:r>
    </w:p>
    <w:p>
      <w:pPr>
        <w:pStyle w:val="BodyText"/>
        <w:spacing w:before="205"/>
        <w:ind w:left="359"/>
      </w:pPr>
      <w:r>
        <w:rPr>
          <w:spacing w:val="-2"/>
        </w:rPr>
        <w:t>Section</w:t>
      </w:r>
    </w:p>
    <w:p>
      <w:pPr>
        <w:pStyle w:val="BodyText"/>
        <w:spacing w:line="417" w:lineRule="auto" w:before="204"/>
        <w:ind w:left="359" w:right="3303"/>
      </w:pPr>
      <w:r>
        <w:rPr/>
        <w:t>612:1-11-14. DRS</w:t>
      </w:r>
      <w:r>
        <w:rPr>
          <w:spacing w:val="-8"/>
        </w:rPr>
        <w:t> </w:t>
      </w:r>
      <w:r>
        <w:rPr/>
        <w:t>requirements</w:t>
      </w:r>
      <w:r>
        <w:rPr>
          <w:spacing w:val="-8"/>
        </w:rPr>
        <w:t> </w:t>
      </w:r>
      <w:r>
        <w:rPr/>
        <w:t>for</w:t>
      </w:r>
      <w:r>
        <w:rPr>
          <w:spacing w:val="-9"/>
        </w:rPr>
        <w:t> </w:t>
      </w:r>
      <w:r>
        <w:rPr/>
        <w:t>reasonable</w:t>
      </w:r>
      <w:r>
        <w:rPr>
          <w:spacing w:val="-7"/>
        </w:rPr>
        <w:t> </w:t>
      </w:r>
      <w:r>
        <w:rPr/>
        <w:t>accommodation 612:1-11-15. Overview of reasonable accommodation</w:t>
      </w:r>
    </w:p>
    <w:p>
      <w:pPr>
        <w:pStyle w:val="BodyText"/>
        <w:spacing w:line="276" w:lineRule="exact" w:before="0"/>
        <w:ind w:left="359"/>
      </w:pPr>
      <w:r>
        <w:rPr/>
        <w:t>612:1-11-16.</w:t>
      </w:r>
      <w:r>
        <w:rPr>
          <w:spacing w:val="3"/>
        </w:rPr>
        <w:t> </w:t>
      </w:r>
      <w:r>
        <w:rPr/>
        <w:t>Providing</w:t>
      </w:r>
      <w:r>
        <w:rPr>
          <w:spacing w:val="-5"/>
        </w:rPr>
        <w:t> </w:t>
      </w:r>
      <w:r>
        <w:rPr/>
        <w:t>reasonable</w:t>
      </w:r>
      <w:r>
        <w:rPr>
          <w:spacing w:val="-4"/>
        </w:rPr>
        <w:t> </w:t>
      </w:r>
      <w:r>
        <w:rPr/>
        <w:t>accommodation</w:t>
      </w:r>
      <w:r>
        <w:rPr>
          <w:spacing w:val="-6"/>
        </w:rPr>
        <w:t> </w:t>
      </w:r>
      <w:r>
        <w:rPr/>
        <w:t>for</w:t>
      </w:r>
      <w:r>
        <w:rPr>
          <w:spacing w:val="-4"/>
        </w:rPr>
        <w:t> </w:t>
      </w:r>
      <w:r>
        <w:rPr>
          <w:spacing w:val="-2"/>
        </w:rPr>
        <w:t>employees</w:t>
      </w:r>
    </w:p>
    <w:p>
      <w:pPr>
        <w:pStyle w:val="Heading1"/>
        <w:spacing w:before="204"/>
        <w:ind w:right="777"/>
      </w:pPr>
      <w:r>
        <w:rPr/>
        <w:t>PART</w:t>
      </w:r>
      <w:r>
        <w:rPr>
          <w:spacing w:val="-2"/>
        </w:rPr>
        <w:t> </w:t>
      </w:r>
      <w:r>
        <w:rPr/>
        <w:t>9.</w:t>
      </w:r>
      <w:r>
        <w:rPr>
          <w:spacing w:val="-2"/>
        </w:rPr>
        <w:t> </w:t>
      </w:r>
      <w:r>
        <w:rPr/>
        <w:t>MEDICAL</w:t>
      </w:r>
      <w:r>
        <w:rPr>
          <w:spacing w:val="-2"/>
        </w:rPr>
        <w:t> </w:t>
      </w:r>
      <w:r>
        <w:rPr/>
        <w:t>AND</w:t>
      </w:r>
      <w:r>
        <w:rPr>
          <w:spacing w:val="-2"/>
        </w:rPr>
        <w:t> </w:t>
      </w:r>
      <w:r>
        <w:rPr/>
        <w:t>OTHER</w:t>
      </w:r>
      <w:r>
        <w:rPr>
          <w:spacing w:val="-2"/>
        </w:rPr>
        <w:t> CONSIDERATIONS</w:t>
      </w:r>
    </w:p>
    <w:p>
      <w:pPr>
        <w:pStyle w:val="BodyText"/>
        <w:spacing w:before="204"/>
        <w:ind w:left="359"/>
      </w:pPr>
      <w:r>
        <w:rPr>
          <w:spacing w:val="-2"/>
        </w:rPr>
        <w:t>Section</w:t>
      </w:r>
    </w:p>
    <w:p>
      <w:pPr>
        <w:pStyle w:val="BodyText"/>
        <w:tabs>
          <w:tab w:pos="3239" w:val="left" w:leader="none"/>
        </w:tabs>
        <w:spacing w:before="204"/>
        <w:ind w:left="359"/>
      </w:pPr>
      <w:r>
        <w:rPr>
          <w:spacing w:val="-2"/>
        </w:rPr>
        <w:t>612:1-11-</w:t>
      </w:r>
      <w:r>
        <w:rPr>
          <w:spacing w:val="-5"/>
        </w:rPr>
        <w:t>55.</w:t>
      </w:r>
      <w:r>
        <w:rPr/>
        <w:tab/>
        <w:t>Medical</w:t>
      </w:r>
      <w:r>
        <w:rPr>
          <w:spacing w:val="-4"/>
        </w:rPr>
        <w:t> </w:t>
      </w:r>
      <w:r>
        <w:rPr>
          <w:spacing w:val="-2"/>
        </w:rPr>
        <w:t>documentation</w:t>
      </w:r>
    </w:p>
    <w:p>
      <w:pPr>
        <w:pStyle w:val="BodyText"/>
        <w:tabs>
          <w:tab w:pos="3239" w:val="left" w:leader="none"/>
        </w:tabs>
        <w:spacing w:before="204"/>
        <w:ind w:left="359"/>
      </w:pPr>
      <w:r>
        <w:rPr>
          <w:spacing w:val="-2"/>
        </w:rPr>
        <w:t>612:1-11-</w:t>
      </w:r>
      <w:r>
        <w:rPr>
          <w:spacing w:val="-5"/>
        </w:rPr>
        <w:t>56.</w:t>
      </w:r>
      <w:r>
        <w:rPr/>
        <w:tab/>
        <w:t>Illegal</w:t>
      </w:r>
      <w:r>
        <w:rPr>
          <w:spacing w:val="-2"/>
        </w:rPr>
        <w:t> </w:t>
      </w:r>
      <w:r>
        <w:rPr/>
        <w:t>use</w:t>
      </w:r>
      <w:r>
        <w:rPr>
          <w:spacing w:val="-2"/>
        </w:rPr>
        <w:t> </w:t>
      </w:r>
      <w:r>
        <w:rPr/>
        <w:t>of</w:t>
      </w:r>
      <w:r>
        <w:rPr>
          <w:spacing w:val="-1"/>
        </w:rPr>
        <w:t> </w:t>
      </w:r>
      <w:r>
        <w:rPr>
          <w:spacing w:val="-2"/>
        </w:rPr>
        <w:t>drugs</w:t>
      </w:r>
    </w:p>
    <w:p>
      <w:pPr>
        <w:pStyle w:val="BodyText"/>
        <w:tabs>
          <w:tab w:pos="3239" w:val="left" w:leader="none"/>
        </w:tabs>
        <w:spacing w:before="204"/>
        <w:ind w:left="359"/>
      </w:pPr>
      <w:r>
        <w:rPr>
          <w:spacing w:val="-2"/>
        </w:rPr>
        <w:t>612:1-11-</w:t>
      </w:r>
      <w:r>
        <w:rPr>
          <w:spacing w:val="-5"/>
        </w:rPr>
        <w:t>58.</w:t>
      </w:r>
      <w:r>
        <w:rPr/>
        <w:tab/>
        <w:t>Retaliation</w:t>
      </w:r>
      <w:r>
        <w:rPr>
          <w:spacing w:val="-3"/>
        </w:rPr>
        <w:t> </w:t>
      </w:r>
      <w:r>
        <w:rPr/>
        <w:t>or</w:t>
      </w:r>
      <w:r>
        <w:rPr>
          <w:spacing w:val="-3"/>
        </w:rPr>
        <w:t> </w:t>
      </w:r>
      <w:r>
        <w:rPr>
          <w:spacing w:val="-2"/>
        </w:rPr>
        <w:t>coercion</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Not</w:t>
      </w:r>
      <w:r>
        <w:rPr>
          <w:spacing w:val="-5"/>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8-1-96</w:t>
      </w:r>
      <w:r>
        <w:rPr>
          <w:sz w:val="22"/>
        </w:rPr>
        <w:tab/>
        <w:t>PT Memo #97-1</w:t>
      </w:r>
    </w:p>
    <w:p>
      <w:pPr>
        <w:spacing w:before="0"/>
        <w:ind w:left="359" w:right="4730" w:firstLine="1080"/>
        <w:jc w:val="left"/>
        <w:rPr>
          <w:sz w:val="22"/>
        </w:rPr>
      </w:pPr>
      <w:r>
        <w:rPr>
          <w:sz w:val="22"/>
        </w:rPr>
        <w:t>Corrected</w:t>
      </w:r>
      <w:r>
        <w:rPr>
          <w:spacing w:val="-6"/>
          <w:sz w:val="22"/>
        </w:rPr>
        <w:t> </w:t>
      </w:r>
      <w:r>
        <w:rPr>
          <w:sz w:val="22"/>
        </w:rPr>
        <w:t>Part</w:t>
      </w:r>
      <w:r>
        <w:rPr>
          <w:spacing w:val="-6"/>
          <w:sz w:val="22"/>
        </w:rPr>
        <w:t> </w:t>
      </w:r>
      <w:r>
        <w:rPr>
          <w:sz w:val="22"/>
        </w:rPr>
        <w:t>7</w:t>
      </w:r>
      <w:r>
        <w:rPr>
          <w:spacing w:val="-6"/>
          <w:sz w:val="22"/>
        </w:rPr>
        <w:t> </w:t>
      </w:r>
      <w:r>
        <w:rPr>
          <w:sz w:val="22"/>
        </w:rPr>
        <w:t>tagline</w:t>
      </w:r>
      <w:r>
        <w:rPr>
          <w:spacing w:val="-7"/>
          <w:sz w:val="22"/>
        </w:rPr>
        <w:t> </w:t>
      </w:r>
      <w:r>
        <w:rPr>
          <w:sz w:val="22"/>
        </w:rPr>
        <w:t>to</w:t>
      </w:r>
      <w:r>
        <w:rPr>
          <w:spacing w:val="-6"/>
          <w:sz w:val="22"/>
        </w:rPr>
        <w:t> </w:t>
      </w:r>
      <w:r>
        <w:rPr>
          <w:sz w:val="22"/>
        </w:rPr>
        <w:t>match</w:t>
      </w:r>
      <w:r>
        <w:rPr>
          <w:spacing w:val="-6"/>
          <w:sz w:val="22"/>
        </w:rPr>
        <w:t> </w:t>
      </w:r>
      <w:r>
        <w:rPr>
          <w:sz w:val="22"/>
        </w:rPr>
        <w:t>APA</w:t>
      </w:r>
      <w:r>
        <w:rPr>
          <w:spacing w:val="-6"/>
          <w:sz w:val="22"/>
        </w:rPr>
        <w:t> </w:t>
      </w:r>
      <w:r>
        <w:rPr>
          <w:sz w:val="22"/>
        </w:rPr>
        <w:t>code 10-15-97</w:t>
      </w:r>
      <w:r>
        <w:rPr>
          <w:spacing w:val="80"/>
          <w:sz w:val="22"/>
        </w:rPr>
        <w:t> </w:t>
      </w:r>
      <w:r>
        <w:rPr>
          <w:sz w:val="22"/>
        </w:rPr>
        <w:t>PT Memo #98-5</w:t>
      </w:r>
    </w:p>
    <w:p>
      <w:pPr>
        <w:tabs>
          <w:tab w:pos="1439" w:val="left" w:leader="none"/>
        </w:tabs>
        <w:spacing w:before="0"/>
        <w:ind w:left="359" w:right="5269" w:firstLine="1080"/>
        <w:jc w:val="left"/>
        <w:rPr>
          <w:sz w:val="22"/>
        </w:rPr>
      </w:pPr>
      <w:r>
        <w:rPr>
          <w:sz w:val="22"/>
        </w:rPr>
        <w:t>Corrected</w:t>
      </w:r>
      <w:r>
        <w:rPr>
          <w:spacing w:val="-8"/>
          <w:sz w:val="22"/>
        </w:rPr>
        <w:t> </w:t>
      </w:r>
      <w:r>
        <w:rPr>
          <w:sz w:val="22"/>
        </w:rPr>
        <w:t>taglines</w:t>
      </w:r>
      <w:r>
        <w:rPr>
          <w:spacing w:val="-8"/>
          <w:sz w:val="22"/>
        </w:rPr>
        <w:t> </w:t>
      </w:r>
      <w:r>
        <w:rPr>
          <w:sz w:val="22"/>
        </w:rPr>
        <w:t>to</w:t>
      </w:r>
      <w:r>
        <w:rPr>
          <w:spacing w:val="-8"/>
          <w:sz w:val="22"/>
        </w:rPr>
        <w:t> </w:t>
      </w:r>
      <w:r>
        <w:rPr>
          <w:sz w:val="22"/>
        </w:rPr>
        <w:t>match</w:t>
      </w:r>
      <w:r>
        <w:rPr>
          <w:spacing w:val="-8"/>
          <w:sz w:val="22"/>
        </w:rPr>
        <w:t> </w:t>
      </w:r>
      <w:r>
        <w:rPr>
          <w:sz w:val="22"/>
        </w:rPr>
        <w:t>APA</w:t>
      </w:r>
      <w:r>
        <w:rPr>
          <w:spacing w:val="-8"/>
          <w:sz w:val="22"/>
        </w:rPr>
        <w:t> </w:t>
      </w:r>
      <w:r>
        <w:rPr>
          <w:sz w:val="22"/>
        </w:rPr>
        <w:t>code </w:t>
      </w:r>
      <w:r>
        <w:rPr>
          <w:spacing w:val="-2"/>
          <w:sz w:val="22"/>
        </w:rPr>
        <w:t>7-1-98</w:t>
      </w:r>
      <w:r>
        <w:rPr>
          <w:sz w:val="22"/>
        </w:rPr>
        <w:tab/>
        <w:t>PT Memo #98-14</w:t>
      </w:r>
    </w:p>
    <w:p>
      <w:pPr>
        <w:tabs>
          <w:tab w:pos="1439" w:val="left" w:leader="none"/>
        </w:tabs>
        <w:spacing w:before="0"/>
        <w:ind w:left="359" w:right="3911" w:firstLine="1080"/>
        <w:jc w:val="left"/>
        <w:rPr>
          <w:sz w:val="22"/>
        </w:rPr>
      </w:pPr>
      <w:r>
        <w:rPr>
          <w:sz w:val="22"/>
        </w:rPr>
        <w:t>Makes</w:t>
      </w:r>
      <w:r>
        <w:rPr>
          <w:spacing w:val="-8"/>
          <w:sz w:val="22"/>
        </w:rPr>
        <w:t> </w:t>
      </w:r>
      <w:r>
        <w:rPr>
          <w:sz w:val="22"/>
        </w:rPr>
        <w:t>emergency</w:t>
      </w:r>
      <w:r>
        <w:rPr>
          <w:spacing w:val="-8"/>
          <w:sz w:val="22"/>
        </w:rPr>
        <w:t> </w:t>
      </w:r>
      <w:r>
        <w:rPr>
          <w:sz w:val="22"/>
        </w:rPr>
        <w:t>rules</w:t>
      </w:r>
      <w:r>
        <w:rPr>
          <w:spacing w:val="-9"/>
          <w:sz w:val="22"/>
        </w:rPr>
        <w:t> </w:t>
      </w:r>
      <w:r>
        <w:rPr>
          <w:sz w:val="22"/>
        </w:rPr>
        <w:t>issued</w:t>
      </w:r>
      <w:r>
        <w:rPr>
          <w:spacing w:val="-8"/>
          <w:sz w:val="22"/>
        </w:rPr>
        <w:t> </w:t>
      </w:r>
      <w:r>
        <w:rPr>
          <w:sz w:val="22"/>
        </w:rPr>
        <w:t>10-15-97</w:t>
      </w:r>
      <w:r>
        <w:rPr>
          <w:spacing w:val="-8"/>
          <w:sz w:val="22"/>
        </w:rPr>
        <w:t> </w:t>
      </w:r>
      <w:r>
        <w:rPr>
          <w:sz w:val="22"/>
        </w:rPr>
        <w:t>permanent </w:t>
      </w:r>
      <w:r>
        <w:rPr>
          <w:spacing w:val="-2"/>
          <w:sz w:val="22"/>
        </w:rPr>
        <w:t>7-1-01</w:t>
      </w:r>
      <w:r>
        <w:rPr>
          <w:sz w:val="22"/>
        </w:rPr>
        <w:tab/>
        <w:t>PT Memo #01-08</w:t>
      </w:r>
    </w:p>
    <w:p>
      <w:pPr>
        <w:spacing w:line="253" w:lineRule="exact" w:before="1"/>
        <w:ind w:left="1439" w:right="0" w:firstLine="0"/>
        <w:jc w:val="left"/>
        <w:rPr>
          <w:sz w:val="22"/>
        </w:rPr>
      </w:pPr>
      <w:r>
        <w:rPr>
          <w:sz w:val="22"/>
        </w:rPr>
        <w:t>Corrected</w:t>
      </w:r>
      <w:r>
        <w:rPr>
          <w:spacing w:val="-7"/>
          <w:sz w:val="22"/>
        </w:rPr>
        <w:t> </w:t>
      </w:r>
      <w:r>
        <w:rPr>
          <w:sz w:val="22"/>
        </w:rPr>
        <w:t>taglines</w:t>
      </w:r>
      <w:r>
        <w:rPr>
          <w:spacing w:val="-7"/>
          <w:sz w:val="22"/>
        </w:rPr>
        <w:t> </w:t>
      </w:r>
      <w:r>
        <w:rPr>
          <w:sz w:val="22"/>
        </w:rPr>
        <w:t>to</w:t>
      </w:r>
      <w:r>
        <w:rPr>
          <w:spacing w:val="-7"/>
          <w:sz w:val="22"/>
        </w:rPr>
        <w:t> </w:t>
      </w:r>
      <w:r>
        <w:rPr>
          <w:sz w:val="22"/>
        </w:rPr>
        <w:t>match</w:t>
      </w:r>
      <w:r>
        <w:rPr>
          <w:spacing w:val="-7"/>
          <w:sz w:val="22"/>
        </w:rPr>
        <w:t> </w:t>
      </w:r>
      <w:r>
        <w:rPr>
          <w:sz w:val="22"/>
        </w:rPr>
        <w:t>APA</w:t>
      </w:r>
      <w:r>
        <w:rPr>
          <w:spacing w:val="-7"/>
          <w:sz w:val="22"/>
        </w:rPr>
        <w:t> </w:t>
      </w:r>
      <w:r>
        <w:rPr>
          <w:spacing w:val="-4"/>
          <w:sz w:val="22"/>
        </w:rPr>
        <w:t>code</w:t>
      </w:r>
    </w:p>
    <w:p>
      <w:pPr>
        <w:tabs>
          <w:tab w:pos="1439" w:val="left" w:leader="none"/>
        </w:tabs>
        <w:spacing w:line="253" w:lineRule="exact" w:before="0"/>
        <w:ind w:left="359" w:right="0" w:firstLine="0"/>
        <w:jc w:val="left"/>
        <w:rPr>
          <w:sz w:val="22"/>
        </w:rPr>
      </w:pPr>
      <w:r>
        <w:rPr>
          <w:spacing w:val="-2"/>
          <w:sz w:val="22"/>
        </w:rPr>
        <w:t>8-27-</w:t>
      </w:r>
      <w:r>
        <w:rPr>
          <w:spacing w:val="-5"/>
          <w:sz w:val="22"/>
        </w:rPr>
        <w:t>15</w:t>
      </w:r>
      <w:r>
        <w:rPr>
          <w:sz w:val="22"/>
        </w:rPr>
        <w:tab/>
        <w:t>Revoked</w:t>
      </w:r>
      <w:r>
        <w:rPr>
          <w:spacing w:val="-10"/>
          <w:sz w:val="22"/>
        </w:rPr>
        <w:t> </w:t>
      </w:r>
      <w:r>
        <w:rPr>
          <w:sz w:val="22"/>
        </w:rPr>
        <w:t>tagline</w:t>
      </w:r>
      <w:r>
        <w:rPr>
          <w:spacing w:val="-9"/>
          <w:sz w:val="22"/>
        </w:rPr>
        <w:t> </w:t>
      </w:r>
      <w:r>
        <w:rPr>
          <w:sz w:val="22"/>
        </w:rPr>
        <w:t>612:1-11-57,</w:t>
      </w:r>
      <w:r>
        <w:rPr>
          <w:spacing w:val="-9"/>
          <w:sz w:val="22"/>
        </w:rPr>
        <w:t> </w:t>
      </w:r>
      <w:r>
        <w:rPr>
          <w:sz w:val="22"/>
        </w:rPr>
        <w:t>Undue</w:t>
      </w:r>
      <w:r>
        <w:rPr>
          <w:spacing w:val="-9"/>
          <w:sz w:val="22"/>
        </w:rPr>
        <w:t> </w:t>
      </w:r>
      <w:r>
        <w:rPr>
          <w:sz w:val="22"/>
        </w:rPr>
        <w:t>hardship/undue</w:t>
      </w:r>
      <w:r>
        <w:rPr>
          <w:spacing w:val="-9"/>
          <w:sz w:val="22"/>
        </w:rPr>
        <w:t> </w:t>
      </w:r>
      <w:r>
        <w:rPr>
          <w:sz w:val="22"/>
        </w:rPr>
        <w:t>burdens</w:t>
      </w:r>
      <w:r>
        <w:rPr>
          <w:spacing w:val="-9"/>
          <w:sz w:val="22"/>
        </w:rPr>
        <w:t> </w:t>
      </w:r>
      <w:r>
        <w:rPr>
          <w:sz w:val="22"/>
        </w:rPr>
        <w:t>under</w:t>
      </w:r>
      <w:r>
        <w:rPr>
          <w:spacing w:val="-9"/>
          <w:sz w:val="22"/>
        </w:rPr>
        <w:t> </w:t>
      </w:r>
      <w:r>
        <w:rPr>
          <w:sz w:val="22"/>
        </w:rPr>
        <w:t>Part</w:t>
      </w:r>
      <w:r>
        <w:rPr>
          <w:spacing w:val="-9"/>
          <w:sz w:val="22"/>
        </w:rPr>
        <w:t> </w:t>
      </w:r>
      <w:r>
        <w:rPr>
          <w:spacing w:val="-5"/>
          <w:sz w:val="22"/>
        </w:rPr>
        <w:t>9.</w:t>
      </w:r>
    </w:p>
    <w:p>
      <w:pPr>
        <w:spacing w:after="0" w:line="253" w:lineRule="exact"/>
        <w:jc w:val="left"/>
        <w:rPr>
          <w:sz w:val="22"/>
        </w:rPr>
        <w:sectPr>
          <w:pgSz w:w="12240" w:h="15840"/>
          <w:pgMar w:top="1340" w:bottom="280" w:left="1080" w:right="720"/>
        </w:sectPr>
      </w:pPr>
    </w:p>
    <w:p>
      <w:pPr>
        <w:pStyle w:val="Heading1"/>
        <w:ind w:right="777"/>
      </w:pPr>
      <w:bookmarkStart w:name="PART 1. PURPOSE AND LEGAL BASIS" w:id="32"/>
      <w:bookmarkEnd w:id="32"/>
      <w:r>
        <w:rPr>
          <w:b w:val="0"/>
        </w:rPr>
      </w:r>
      <w:r>
        <w:rPr/>
        <w:t>PART</w:t>
      </w:r>
      <w:r>
        <w:rPr>
          <w:spacing w:val="-2"/>
        </w:rPr>
        <w:t> </w:t>
      </w:r>
      <w:r>
        <w:rPr/>
        <w:t>1.</w:t>
      </w:r>
      <w:r>
        <w:rPr>
          <w:spacing w:val="-2"/>
        </w:rPr>
        <w:t> </w:t>
      </w:r>
      <w:r>
        <w:rPr/>
        <w:t>PURPOSE</w:t>
      </w:r>
      <w:r>
        <w:rPr>
          <w:spacing w:val="-2"/>
        </w:rPr>
        <w:t> </w:t>
      </w:r>
      <w:r>
        <w:rPr/>
        <w:t>AND</w:t>
      </w:r>
      <w:r>
        <w:rPr>
          <w:spacing w:val="-2"/>
        </w:rPr>
        <w:t> </w:t>
      </w:r>
      <w:r>
        <w:rPr/>
        <w:t>LEGAL</w:t>
      </w:r>
      <w:r>
        <w:rPr>
          <w:spacing w:val="-2"/>
        </w:rPr>
        <w:t> </w:t>
      </w:r>
      <w:r>
        <w:rPr>
          <w:spacing w:val="-4"/>
        </w:rPr>
        <w:t>BASIS</w:t>
      </w:r>
    </w:p>
    <w:p>
      <w:pPr>
        <w:pStyle w:val="BodyText"/>
        <w:spacing w:before="204"/>
      </w:pPr>
      <w:r>
        <w:rPr>
          <w:spacing w:val="-2"/>
        </w:rPr>
        <w:t>Section</w:t>
      </w:r>
    </w:p>
    <w:p>
      <w:pPr>
        <w:pStyle w:val="BodyText"/>
        <w:tabs>
          <w:tab w:pos="2519" w:val="left" w:leader="none"/>
        </w:tabs>
        <w:spacing w:line="417" w:lineRule="auto" w:before="204"/>
        <w:ind w:left="359" w:right="1570"/>
      </w:pPr>
      <w:r>
        <w:rPr>
          <w:spacing w:val="-2"/>
        </w:rPr>
        <w:t>612:1-11-1.</w:t>
      </w:r>
      <w:r>
        <w:rPr/>
        <w:tab/>
        <w:t>Purpose</w:t>
      </w:r>
      <w:r>
        <w:rPr>
          <w:spacing w:val="-5"/>
        </w:rPr>
        <w:t> </w:t>
      </w:r>
      <w:r>
        <w:rPr/>
        <w:t>and</w:t>
      </w:r>
      <w:r>
        <w:rPr>
          <w:spacing w:val="-5"/>
        </w:rPr>
        <w:t> </w:t>
      </w:r>
      <w:r>
        <w:rPr/>
        <w:t>structure</w:t>
      </w:r>
      <w:r>
        <w:rPr>
          <w:spacing w:val="-8"/>
        </w:rPr>
        <w:t> </w:t>
      </w:r>
      <w:r>
        <w:rPr/>
        <w:t>of</w:t>
      </w:r>
      <w:r>
        <w:rPr>
          <w:spacing w:val="-4"/>
        </w:rPr>
        <w:t> </w:t>
      </w:r>
      <w:r>
        <w:rPr/>
        <w:t>the</w:t>
      </w:r>
      <w:r>
        <w:rPr>
          <w:spacing w:val="-5"/>
        </w:rPr>
        <w:t> </w:t>
      </w:r>
      <w:r>
        <w:rPr/>
        <w:t>Americans</w:t>
      </w:r>
      <w:r>
        <w:rPr>
          <w:spacing w:val="-5"/>
        </w:rPr>
        <w:t> </w:t>
      </w:r>
      <w:r>
        <w:rPr/>
        <w:t>with</w:t>
      </w:r>
      <w:r>
        <w:rPr>
          <w:spacing w:val="-5"/>
        </w:rPr>
        <w:t> </w:t>
      </w:r>
      <w:r>
        <w:rPr/>
        <w:t>Disabilities</w:t>
      </w:r>
      <w:r>
        <w:rPr>
          <w:spacing w:val="-5"/>
        </w:rPr>
        <w:t> </w:t>
      </w:r>
      <w:r>
        <w:rPr/>
        <w:t>Act </w:t>
      </w:r>
      <w:r>
        <w:rPr>
          <w:spacing w:val="-2"/>
        </w:rPr>
        <w:t>612:1-11-2.</w:t>
      </w:r>
      <w:r>
        <w:rPr/>
        <w:tab/>
      </w:r>
      <w:r>
        <w:rPr>
          <w:spacing w:val="-2"/>
        </w:rPr>
        <w:t>Definitions</w:t>
      </w:r>
    </w:p>
    <w:p>
      <w:pPr>
        <w:pStyle w:val="BodyText"/>
        <w:tabs>
          <w:tab w:pos="2519" w:val="left" w:leader="none"/>
        </w:tabs>
        <w:spacing w:line="276" w:lineRule="exact" w:before="0"/>
        <w:ind w:left="359"/>
      </w:pPr>
      <w:r>
        <w:rPr>
          <w:spacing w:val="-2"/>
        </w:rPr>
        <w:t>612:1-11-</w:t>
      </w:r>
      <w:r>
        <w:rPr>
          <w:spacing w:val="-5"/>
        </w:rPr>
        <w:t>3.</w:t>
      </w:r>
      <w:r>
        <w:rPr/>
        <w:tab/>
        <w:t>Legal</w:t>
      </w:r>
      <w:r>
        <w:rPr>
          <w:spacing w:val="-4"/>
        </w:rPr>
        <w:t> basis</w:t>
      </w:r>
    </w:p>
    <w:p>
      <w:pPr>
        <w:pStyle w:val="BodyText"/>
        <w:tabs>
          <w:tab w:pos="2519" w:val="left" w:leader="none"/>
        </w:tabs>
        <w:spacing w:before="204"/>
        <w:ind w:left="359"/>
      </w:pPr>
      <w:r>
        <w:rPr>
          <w:spacing w:val="-2"/>
        </w:rPr>
        <w:t>612:1-11-</w:t>
      </w:r>
      <w:r>
        <w:rPr>
          <w:spacing w:val="-5"/>
        </w:rPr>
        <w:t>4.</w:t>
      </w:r>
      <w:r>
        <w:rPr/>
        <w:tab/>
        <w:t>DRS</w:t>
      </w:r>
      <w:r>
        <w:rPr>
          <w:spacing w:val="-5"/>
        </w:rPr>
        <w:t> </w:t>
      </w:r>
      <w:r>
        <w:rPr/>
        <w:t>and</w:t>
      </w:r>
      <w:r>
        <w:rPr>
          <w:spacing w:val="-3"/>
        </w:rPr>
        <w:t> </w:t>
      </w:r>
      <w:r>
        <w:rPr/>
        <w:t>the</w:t>
      </w:r>
      <w:r>
        <w:rPr>
          <w:spacing w:val="-3"/>
        </w:rPr>
        <w:t> </w:t>
      </w:r>
      <w:r>
        <w:rPr/>
        <w:t>Americans</w:t>
      </w:r>
      <w:r>
        <w:rPr>
          <w:spacing w:val="-3"/>
        </w:rPr>
        <w:t> </w:t>
      </w:r>
      <w:r>
        <w:rPr/>
        <w:t>with</w:t>
      </w:r>
      <w:r>
        <w:rPr>
          <w:spacing w:val="-3"/>
        </w:rPr>
        <w:t> </w:t>
      </w:r>
      <w:r>
        <w:rPr/>
        <w:t>Disabilities</w:t>
      </w:r>
      <w:r>
        <w:rPr>
          <w:spacing w:val="-3"/>
        </w:rPr>
        <w:t> </w:t>
      </w:r>
      <w:r>
        <w:rPr>
          <w:spacing w:val="-5"/>
        </w:rPr>
        <w:t>Act</w:t>
      </w:r>
    </w:p>
    <w:p>
      <w:pPr>
        <w:pStyle w:val="BodyText"/>
        <w:spacing w:after="0"/>
        <w:sectPr>
          <w:pgSz w:w="12240" w:h="15840"/>
          <w:pgMar w:top="1340" w:bottom="280" w:left="1080" w:right="720"/>
        </w:sectPr>
      </w:pPr>
    </w:p>
    <w:p>
      <w:pPr>
        <w:pStyle w:val="Heading2"/>
      </w:pPr>
      <w:bookmarkStart w:name="612:1-11-1.  Purpose and structure of th" w:id="33"/>
      <w:bookmarkEnd w:id="33"/>
      <w:r>
        <w:rPr>
          <w:b w:val="0"/>
        </w:rPr>
      </w:r>
      <w:r>
        <w:rPr/>
        <w:t>612:1-11-1.</w:t>
      </w:r>
      <w:r>
        <w:rPr>
          <w:spacing w:val="58"/>
        </w:rPr>
        <w:t> </w:t>
      </w:r>
      <w:r>
        <w:rPr/>
        <w:t>Purpose</w:t>
      </w:r>
      <w:r>
        <w:rPr>
          <w:spacing w:val="-4"/>
        </w:rPr>
        <w:t> </w:t>
      </w:r>
      <w:r>
        <w:rPr/>
        <w:t>and</w:t>
      </w:r>
      <w:r>
        <w:rPr>
          <w:spacing w:val="-3"/>
        </w:rPr>
        <w:t> </w:t>
      </w:r>
      <w:r>
        <w:rPr/>
        <w:t>structure</w:t>
      </w:r>
      <w:r>
        <w:rPr>
          <w:spacing w:val="-3"/>
        </w:rPr>
        <w:t> </w:t>
      </w:r>
      <w:r>
        <w:rPr/>
        <w:t>of</w:t>
      </w:r>
      <w:r>
        <w:rPr>
          <w:spacing w:val="-3"/>
        </w:rPr>
        <w:t> </w:t>
      </w:r>
      <w:r>
        <w:rPr/>
        <w:t>the</w:t>
      </w:r>
      <w:r>
        <w:rPr>
          <w:spacing w:val="-4"/>
        </w:rPr>
        <w:t> </w:t>
      </w:r>
      <w:r>
        <w:rPr/>
        <w:t>Americans</w:t>
      </w:r>
      <w:r>
        <w:rPr>
          <w:spacing w:val="-3"/>
        </w:rPr>
        <w:t> </w:t>
      </w:r>
      <w:r>
        <w:rPr/>
        <w:t>with</w:t>
      </w:r>
      <w:r>
        <w:rPr>
          <w:spacing w:val="-3"/>
        </w:rPr>
        <w:t> </w:t>
      </w:r>
      <w:r>
        <w:rPr/>
        <w:t>Disabilities</w:t>
      </w:r>
      <w:r>
        <w:rPr>
          <w:spacing w:val="-4"/>
        </w:rPr>
        <w:t> </w:t>
      </w:r>
      <w:r>
        <w:rPr>
          <w:spacing w:val="-5"/>
        </w:rPr>
        <w:t>Act</w:t>
      </w:r>
    </w:p>
    <w:p>
      <w:pPr>
        <w:pStyle w:val="BodyText"/>
        <w:spacing w:line="208" w:lineRule="auto" w:before="233"/>
        <w:ind w:right="739" w:firstLine="432"/>
      </w:pPr>
      <w:r>
        <w:rPr/>
        <w:t>The</w:t>
      </w:r>
      <w:r>
        <w:rPr>
          <w:spacing w:val="-4"/>
        </w:rPr>
        <w:t> </w:t>
      </w:r>
      <w:r>
        <w:rPr/>
        <w:t>Americans</w:t>
      </w:r>
      <w:r>
        <w:rPr>
          <w:spacing w:val="-4"/>
        </w:rPr>
        <w:t> </w:t>
      </w:r>
      <w:r>
        <w:rPr/>
        <w:t>with</w:t>
      </w:r>
      <w:r>
        <w:rPr>
          <w:spacing w:val="-4"/>
        </w:rPr>
        <w:t> </w:t>
      </w:r>
      <w:r>
        <w:rPr/>
        <w:t>Disabilities</w:t>
      </w:r>
      <w:r>
        <w:rPr>
          <w:spacing w:val="-4"/>
        </w:rPr>
        <w:t> </w:t>
      </w:r>
      <w:r>
        <w:rPr/>
        <w:t>Act</w:t>
      </w:r>
      <w:r>
        <w:rPr>
          <w:spacing w:val="-3"/>
        </w:rPr>
        <w:t> </w:t>
      </w:r>
      <w:r>
        <w:rPr/>
        <w:t>of</w:t>
      </w:r>
      <w:r>
        <w:rPr>
          <w:spacing w:val="-5"/>
        </w:rPr>
        <w:t> </w:t>
      </w:r>
      <w:r>
        <w:rPr/>
        <w:t>1990</w:t>
      </w:r>
      <w:r>
        <w:rPr>
          <w:spacing w:val="-4"/>
        </w:rPr>
        <w:t> </w:t>
      </w:r>
      <w:r>
        <w:rPr/>
        <w:t>(ADA)</w:t>
      </w:r>
      <w:r>
        <w:rPr>
          <w:spacing w:val="-3"/>
        </w:rPr>
        <w:t> </w:t>
      </w:r>
      <w:r>
        <w:rPr/>
        <w:t>extends</w:t>
      </w:r>
      <w:r>
        <w:rPr>
          <w:spacing w:val="-4"/>
        </w:rPr>
        <w:t> </w:t>
      </w:r>
      <w:r>
        <w:rPr/>
        <w:t>the</w:t>
      </w:r>
      <w:r>
        <w:rPr>
          <w:spacing w:val="-4"/>
        </w:rPr>
        <w:t> </w:t>
      </w:r>
      <w:r>
        <w:rPr/>
        <w:t>framework</w:t>
      </w:r>
      <w:r>
        <w:rPr>
          <w:spacing w:val="-4"/>
        </w:rPr>
        <w:t> </w:t>
      </w:r>
      <w:r>
        <w:rPr/>
        <w:t>of</w:t>
      </w:r>
      <w:r>
        <w:rPr>
          <w:spacing w:val="-3"/>
        </w:rPr>
        <w:t> </w:t>
      </w:r>
      <w:r>
        <w:rPr/>
        <w:t>federal civil rights laws to people with disabilities. The Act expressly prohibits discrimination against individuals with disabilities, regardless of citizenship status or nationality, in employment, public services, public transportation, public accommodations and telecommunications services. The ADA is divided into these components:</w:t>
      </w:r>
    </w:p>
    <w:p>
      <w:pPr>
        <w:pStyle w:val="ListParagraph"/>
        <w:numPr>
          <w:ilvl w:val="0"/>
          <w:numId w:val="26"/>
        </w:numPr>
        <w:tabs>
          <w:tab w:pos="1217" w:val="left" w:leader="none"/>
        </w:tabs>
        <w:spacing w:line="208" w:lineRule="auto" w:before="239" w:after="0"/>
        <w:ind w:left="792" w:right="1015" w:firstLine="0"/>
        <w:jc w:val="left"/>
        <w:rPr>
          <w:sz w:val="24"/>
        </w:rPr>
      </w:pPr>
      <w:r>
        <w:rPr>
          <w:b/>
          <w:sz w:val="24"/>
        </w:rPr>
        <w:t>Title I - Employment. </w:t>
      </w:r>
      <w:r>
        <w:rPr>
          <w:sz w:val="24"/>
        </w:rPr>
        <w:t>Employers may not discriminate against qualified individuals with disabilities. Employers must reasonably accommodate the disabilities</w:t>
      </w:r>
      <w:r>
        <w:rPr>
          <w:spacing w:val="-5"/>
          <w:sz w:val="24"/>
        </w:rPr>
        <w:t> </w:t>
      </w:r>
      <w:r>
        <w:rPr>
          <w:sz w:val="24"/>
        </w:rPr>
        <w:t>of</w:t>
      </w:r>
      <w:r>
        <w:rPr>
          <w:spacing w:val="-4"/>
          <w:sz w:val="24"/>
        </w:rPr>
        <w:t> </w:t>
      </w:r>
      <w:r>
        <w:rPr>
          <w:sz w:val="24"/>
        </w:rPr>
        <w:t>qualified</w:t>
      </w:r>
      <w:r>
        <w:rPr>
          <w:spacing w:val="-4"/>
          <w:sz w:val="24"/>
        </w:rPr>
        <w:t> </w:t>
      </w:r>
      <w:r>
        <w:rPr>
          <w:sz w:val="24"/>
        </w:rPr>
        <w:t>applicants</w:t>
      </w:r>
      <w:r>
        <w:rPr>
          <w:spacing w:val="-5"/>
          <w:sz w:val="24"/>
        </w:rPr>
        <w:t> </w:t>
      </w:r>
      <w:r>
        <w:rPr>
          <w:sz w:val="24"/>
        </w:rPr>
        <w:t>or</w:t>
      </w:r>
      <w:r>
        <w:rPr>
          <w:spacing w:val="-4"/>
          <w:sz w:val="24"/>
        </w:rPr>
        <w:t> </w:t>
      </w:r>
      <w:r>
        <w:rPr>
          <w:sz w:val="24"/>
        </w:rPr>
        <w:t>employees,</w:t>
      </w:r>
      <w:r>
        <w:rPr>
          <w:spacing w:val="-4"/>
          <w:sz w:val="24"/>
        </w:rPr>
        <w:t> </w:t>
      </w:r>
      <w:r>
        <w:rPr>
          <w:sz w:val="24"/>
        </w:rPr>
        <w:t>including</w:t>
      </w:r>
      <w:r>
        <w:rPr>
          <w:spacing w:val="-5"/>
          <w:sz w:val="24"/>
        </w:rPr>
        <w:t> </w:t>
      </w:r>
      <w:r>
        <w:rPr>
          <w:sz w:val="24"/>
        </w:rPr>
        <w:t>modifying</w:t>
      </w:r>
      <w:r>
        <w:rPr>
          <w:spacing w:val="-4"/>
          <w:sz w:val="24"/>
        </w:rPr>
        <w:t> </w:t>
      </w:r>
      <w:r>
        <w:rPr>
          <w:sz w:val="24"/>
        </w:rPr>
        <w:t>work</w:t>
      </w:r>
      <w:r>
        <w:rPr>
          <w:spacing w:val="-5"/>
          <w:sz w:val="24"/>
        </w:rPr>
        <w:t> </w:t>
      </w:r>
      <w:r>
        <w:rPr>
          <w:sz w:val="24"/>
        </w:rPr>
        <w:t>stations and equipment, unless undue hardship would result.</w:t>
      </w:r>
    </w:p>
    <w:p>
      <w:pPr>
        <w:pStyle w:val="ListParagraph"/>
        <w:numPr>
          <w:ilvl w:val="0"/>
          <w:numId w:val="26"/>
        </w:numPr>
        <w:tabs>
          <w:tab w:pos="1217" w:val="left" w:leader="none"/>
        </w:tabs>
        <w:spacing w:line="208" w:lineRule="auto" w:before="240" w:after="0"/>
        <w:ind w:left="792" w:right="932" w:firstLine="0"/>
        <w:jc w:val="left"/>
        <w:rPr>
          <w:sz w:val="24"/>
        </w:rPr>
      </w:pPr>
      <w:r>
        <w:rPr>
          <w:b/>
          <w:sz w:val="24"/>
        </w:rPr>
        <w:t>Title II - Public Services. </w:t>
      </w:r>
      <w:r>
        <w:rPr>
          <w:sz w:val="24"/>
        </w:rPr>
        <w:t>State and local governments may not discriminate against qualified individuals with disabilities. Newly constructed state and local government</w:t>
      </w:r>
      <w:r>
        <w:rPr>
          <w:spacing w:val="-4"/>
          <w:sz w:val="24"/>
        </w:rPr>
        <w:t> </w:t>
      </w:r>
      <w:r>
        <w:rPr>
          <w:sz w:val="24"/>
        </w:rPr>
        <w:t>buildings,</w:t>
      </w:r>
      <w:r>
        <w:rPr>
          <w:spacing w:val="-4"/>
          <w:sz w:val="24"/>
        </w:rPr>
        <w:t> </w:t>
      </w:r>
      <w:r>
        <w:rPr>
          <w:sz w:val="24"/>
        </w:rPr>
        <w:t>including</w:t>
      </w:r>
      <w:r>
        <w:rPr>
          <w:spacing w:val="-5"/>
          <w:sz w:val="24"/>
        </w:rPr>
        <w:t> </w:t>
      </w:r>
      <w:r>
        <w:rPr>
          <w:sz w:val="24"/>
        </w:rPr>
        <w:t>transit</w:t>
      </w:r>
      <w:r>
        <w:rPr>
          <w:spacing w:val="-4"/>
          <w:sz w:val="24"/>
        </w:rPr>
        <w:t> </w:t>
      </w:r>
      <w:r>
        <w:rPr>
          <w:sz w:val="24"/>
        </w:rPr>
        <w:t>facilities,</w:t>
      </w:r>
      <w:r>
        <w:rPr>
          <w:spacing w:val="-4"/>
          <w:sz w:val="24"/>
        </w:rPr>
        <w:t> </w:t>
      </w:r>
      <w:r>
        <w:rPr>
          <w:sz w:val="24"/>
        </w:rPr>
        <w:t>must</w:t>
      </w:r>
      <w:r>
        <w:rPr>
          <w:spacing w:val="-6"/>
          <w:sz w:val="24"/>
        </w:rPr>
        <w:t> </w:t>
      </w:r>
      <w:r>
        <w:rPr>
          <w:sz w:val="24"/>
        </w:rPr>
        <w:t>be</w:t>
      </w:r>
      <w:r>
        <w:rPr>
          <w:spacing w:val="-5"/>
          <w:sz w:val="24"/>
        </w:rPr>
        <w:t> </w:t>
      </w:r>
      <w:r>
        <w:rPr>
          <w:sz w:val="24"/>
        </w:rPr>
        <w:t>accessible.</w:t>
      </w:r>
      <w:r>
        <w:rPr>
          <w:spacing w:val="-4"/>
          <w:sz w:val="24"/>
        </w:rPr>
        <w:t> </w:t>
      </w:r>
      <w:r>
        <w:rPr>
          <w:sz w:val="24"/>
        </w:rPr>
        <w:t>Alterations</w:t>
      </w:r>
      <w:r>
        <w:rPr>
          <w:spacing w:val="-5"/>
          <w:sz w:val="24"/>
        </w:rPr>
        <w:t> </w:t>
      </w:r>
      <w:r>
        <w:rPr>
          <w:sz w:val="24"/>
        </w:rPr>
        <w:t>to existing state and local government buildings must be done in an accessible manner. New buses and rail vehicles for fixed route systems must be accessible.</w:t>
      </w:r>
    </w:p>
    <w:p>
      <w:pPr>
        <w:pStyle w:val="ListParagraph"/>
        <w:numPr>
          <w:ilvl w:val="0"/>
          <w:numId w:val="26"/>
        </w:numPr>
        <w:tabs>
          <w:tab w:pos="1217" w:val="left" w:leader="none"/>
        </w:tabs>
        <w:spacing w:line="208" w:lineRule="auto" w:before="239" w:after="0"/>
        <w:ind w:left="792" w:right="723" w:firstLine="0"/>
        <w:jc w:val="left"/>
        <w:rPr>
          <w:sz w:val="24"/>
        </w:rPr>
      </w:pPr>
      <w:r>
        <w:rPr>
          <w:b/>
          <w:sz w:val="24"/>
        </w:rPr>
        <w:t>Title III - Public Accommodations. </w:t>
      </w:r>
      <w:r>
        <w:rPr>
          <w:sz w:val="24"/>
        </w:rPr>
        <w:t>Restaurants, hotels, theaters, shopping centers</w:t>
      </w:r>
      <w:r>
        <w:rPr>
          <w:spacing w:val="-5"/>
          <w:sz w:val="24"/>
        </w:rPr>
        <w:t> </w:t>
      </w:r>
      <w:r>
        <w:rPr>
          <w:sz w:val="24"/>
        </w:rPr>
        <w:t>and</w:t>
      </w:r>
      <w:r>
        <w:rPr>
          <w:spacing w:val="-5"/>
          <w:sz w:val="24"/>
        </w:rPr>
        <w:t> </w:t>
      </w:r>
      <w:r>
        <w:rPr>
          <w:sz w:val="24"/>
        </w:rPr>
        <w:t>malls,</w:t>
      </w:r>
      <w:r>
        <w:rPr>
          <w:spacing w:val="-4"/>
          <w:sz w:val="24"/>
        </w:rPr>
        <w:t> </w:t>
      </w:r>
      <w:r>
        <w:rPr>
          <w:sz w:val="24"/>
        </w:rPr>
        <w:t>retail</w:t>
      </w:r>
      <w:r>
        <w:rPr>
          <w:spacing w:val="-5"/>
          <w:sz w:val="24"/>
        </w:rPr>
        <w:t> </w:t>
      </w:r>
      <w:r>
        <w:rPr>
          <w:sz w:val="24"/>
        </w:rPr>
        <w:t>stores,</w:t>
      </w:r>
      <w:r>
        <w:rPr>
          <w:spacing w:val="-6"/>
          <w:sz w:val="24"/>
        </w:rPr>
        <w:t> </w:t>
      </w:r>
      <w:r>
        <w:rPr>
          <w:sz w:val="24"/>
        </w:rPr>
        <w:t>museums,</w:t>
      </w:r>
      <w:r>
        <w:rPr>
          <w:spacing w:val="-4"/>
          <w:sz w:val="24"/>
        </w:rPr>
        <w:t> </w:t>
      </w:r>
      <w:r>
        <w:rPr>
          <w:sz w:val="24"/>
        </w:rPr>
        <w:t>libraries,</w:t>
      </w:r>
      <w:r>
        <w:rPr>
          <w:spacing w:val="-4"/>
          <w:sz w:val="24"/>
        </w:rPr>
        <w:t> </w:t>
      </w:r>
      <w:r>
        <w:rPr>
          <w:sz w:val="24"/>
        </w:rPr>
        <w:t>parks,</w:t>
      </w:r>
      <w:r>
        <w:rPr>
          <w:spacing w:val="-4"/>
          <w:sz w:val="24"/>
        </w:rPr>
        <w:t> </w:t>
      </w:r>
      <w:r>
        <w:rPr>
          <w:sz w:val="24"/>
        </w:rPr>
        <w:t>private</w:t>
      </w:r>
      <w:r>
        <w:rPr>
          <w:spacing w:val="-6"/>
          <w:sz w:val="24"/>
        </w:rPr>
        <w:t> </w:t>
      </w:r>
      <w:r>
        <w:rPr>
          <w:sz w:val="24"/>
        </w:rPr>
        <w:t>schools,</w:t>
      </w:r>
      <w:r>
        <w:rPr>
          <w:spacing w:val="-4"/>
          <w:sz w:val="24"/>
        </w:rPr>
        <w:t> </w:t>
      </w:r>
      <w:r>
        <w:rPr>
          <w:sz w:val="24"/>
        </w:rPr>
        <w:t>day-care centers, and other similar places of public accommodation may not discriminate on the basis of disability. Physical barriers in existing public accommodations must be removed if readily achievable. New construction in public accommodations and commercial facilities (non-residential facilities affecting commerce) must be </w:t>
      </w:r>
      <w:r>
        <w:rPr>
          <w:spacing w:val="-2"/>
          <w:sz w:val="24"/>
        </w:rPr>
        <w:t>accessible.</w:t>
      </w:r>
    </w:p>
    <w:p>
      <w:pPr>
        <w:pStyle w:val="ListParagraph"/>
        <w:numPr>
          <w:ilvl w:val="0"/>
          <w:numId w:val="26"/>
        </w:numPr>
        <w:tabs>
          <w:tab w:pos="1217" w:val="left" w:leader="none"/>
        </w:tabs>
        <w:spacing w:line="208" w:lineRule="auto" w:before="240" w:after="0"/>
        <w:ind w:left="792" w:right="1470" w:firstLine="0"/>
        <w:jc w:val="left"/>
        <w:rPr>
          <w:sz w:val="24"/>
        </w:rPr>
      </w:pPr>
      <w:r>
        <w:rPr>
          <w:b/>
          <w:sz w:val="24"/>
        </w:rPr>
        <w:t>Title IV - Telecommunications. </w:t>
      </w:r>
      <w:r>
        <w:rPr>
          <w:sz w:val="24"/>
        </w:rPr>
        <w:t>Telephone companies must provide telecommunications</w:t>
      </w:r>
      <w:r>
        <w:rPr>
          <w:spacing w:val="-7"/>
          <w:sz w:val="24"/>
        </w:rPr>
        <w:t> </w:t>
      </w:r>
      <w:r>
        <w:rPr>
          <w:sz w:val="24"/>
        </w:rPr>
        <w:t>relay</w:t>
      </w:r>
      <w:r>
        <w:rPr>
          <w:spacing w:val="-7"/>
          <w:sz w:val="24"/>
        </w:rPr>
        <w:t> </w:t>
      </w:r>
      <w:r>
        <w:rPr>
          <w:sz w:val="24"/>
        </w:rPr>
        <w:t>services</w:t>
      </w:r>
      <w:r>
        <w:rPr>
          <w:spacing w:val="-7"/>
          <w:sz w:val="24"/>
        </w:rPr>
        <w:t> </w:t>
      </w:r>
      <w:r>
        <w:rPr>
          <w:sz w:val="24"/>
        </w:rPr>
        <w:t>for</w:t>
      </w:r>
      <w:r>
        <w:rPr>
          <w:spacing w:val="-6"/>
          <w:sz w:val="24"/>
        </w:rPr>
        <w:t> </w:t>
      </w:r>
      <w:r>
        <w:rPr>
          <w:sz w:val="24"/>
        </w:rPr>
        <w:t>hearing-impaired</w:t>
      </w:r>
      <w:r>
        <w:rPr>
          <w:spacing w:val="-7"/>
          <w:sz w:val="24"/>
        </w:rPr>
        <w:t> </w:t>
      </w:r>
      <w:r>
        <w:rPr>
          <w:sz w:val="24"/>
        </w:rPr>
        <w:t>and</w:t>
      </w:r>
      <w:r>
        <w:rPr>
          <w:spacing w:val="-7"/>
          <w:sz w:val="24"/>
        </w:rPr>
        <w:t> </w:t>
      </w:r>
      <w:r>
        <w:rPr>
          <w:sz w:val="24"/>
        </w:rPr>
        <w:t>speech-impaired individuals 24 hours per day.</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pPr>
      <w:bookmarkStart w:name="612:1-11-2.  Definitions" w:id="34"/>
      <w:bookmarkEnd w:id="34"/>
      <w:r>
        <w:rPr>
          <w:b w:val="0"/>
        </w:rPr>
      </w:r>
      <w:r>
        <w:rPr/>
        <w:t>612:1-11-2.</w:t>
      </w:r>
      <w:r>
        <w:rPr>
          <w:spacing w:val="60"/>
        </w:rPr>
        <w:t> </w:t>
      </w:r>
      <w:r>
        <w:rPr>
          <w:spacing w:val="-2"/>
        </w:rPr>
        <w:t>Definitions</w:t>
      </w:r>
    </w:p>
    <w:p>
      <w:pPr>
        <w:pStyle w:val="BodyText"/>
        <w:spacing w:line="208" w:lineRule="auto" w:before="233"/>
        <w:ind w:right="775" w:firstLine="432"/>
      </w:pPr>
      <w:r>
        <w:rPr/>
        <w:t>The</w:t>
      </w:r>
      <w:r>
        <w:rPr>
          <w:spacing w:val="-4"/>
        </w:rPr>
        <w:t> </w:t>
      </w:r>
      <w:r>
        <w:rPr/>
        <w:t>following</w:t>
      </w:r>
      <w:r>
        <w:rPr>
          <w:spacing w:val="-4"/>
        </w:rPr>
        <w:t> </w:t>
      </w:r>
      <w:r>
        <w:rPr/>
        <w:t>words</w:t>
      </w:r>
      <w:r>
        <w:rPr>
          <w:spacing w:val="-4"/>
        </w:rPr>
        <w:t> </w:t>
      </w:r>
      <w:r>
        <w:rPr/>
        <w:t>and</w:t>
      </w:r>
      <w:r>
        <w:rPr>
          <w:spacing w:val="-4"/>
        </w:rPr>
        <w:t> </w:t>
      </w:r>
      <w:r>
        <w:rPr/>
        <w:t>terms,</w:t>
      </w:r>
      <w:r>
        <w:rPr>
          <w:spacing w:val="-6"/>
        </w:rPr>
        <w:t> </w:t>
      </w:r>
      <w:r>
        <w:rPr/>
        <w:t>when</w:t>
      </w:r>
      <w:r>
        <w:rPr>
          <w:spacing w:val="-4"/>
        </w:rPr>
        <w:t> </w:t>
      </w:r>
      <w:r>
        <w:rPr/>
        <w:t>used</w:t>
      </w:r>
      <w:r>
        <w:rPr>
          <w:spacing w:val="-3"/>
        </w:rPr>
        <w:t> </w:t>
      </w:r>
      <w:r>
        <w:rPr/>
        <w:t>in</w:t>
      </w:r>
      <w:r>
        <w:rPr>
          <w:spacing w:val="-4"/>
        </w:rPr>
        <w:t> </w:t>
      </w:r>
      <w:r>
        <w:rPr/>
        <w:t>this</w:t>
      </w:r>
      <w:r>
        <w:rPr>
          <w:spacing w:val="-4"/>
        </w:rPr>
        <w:t> </w:t>
      </w:r>
      <w:r>
        <w:rPr/>
        <w:t>Subchapter,</w:t>
      </w:r>
      <w:r>
        <w:rPr>
          <w:spacing w:val="-3"/>
        </w:rPr>
        <w:t> </w:t>
      </w:r>
      <w:r>
        <w:rPr/>
        <w:t>shall</w:t>
      </w:r>
      <w:r>
        <w:rPr>
          <w:spacing w:val="-5"/>
        </w:rPr>
        <w:t> </w:t>
      </w:r>
      <w:r>
        <w:rPr/>
        <w:t>have</w:t>
      </w:r>
      <w:r>
        <w:rPr>
          <w:spacing w:val="-4"/>
        </w:rPr>
        <w:t> </w:t>
      </w:r>
      <w:r>
        <w:rPr/>
        <w:t>the following meanings, unless the context clearly indicates otherwise.</w:t>
      </w:r>
    </w:p>
    <w:p>
      <w:pPr>
        <w:pStyle w:val="BodyText"/>
        <w:spacing w:line="208" w:lineRule="auto"/>
        <w:ind w:right="775" w:firstLine="432"/>
      </w:pPr>
      <w:r>
        <w:rPr>
          <w:b/>
        </w:rPr>
        <w:t>"Disability"</w:t>
      </w:r>
      <w:r>
        <w:rPr>
          <w:b/>
          <w:spacing w:val="-1"/>
        </w:rPr>
        <w:t> </w:t>
      </w:r>
      <w:r>
        <w:rPr/>
        <w:t>means,</w:t>
      </w:r>
      <w:r>
        <w:rPr>
          <w:spacing w:val="-1"/>
        </w:rPr>
        <w:t> </w:t>
      </w:r>
      <w:r>
        <w:rPr/>
        <w:t>with</w:t>
      </w:r>
      <w:r>
        <w:rPr>
          <w:spacing w:val="-2"/>
        </w:rPr>
        <w:t> </w:t>
      </w:r>
      <w:r>
        <w:rPr/>
        <w:t>respect</w:t>
      </w:r>
      <w:r>
        <w:rPr>
          <w:spacing w:val="-3"/>
        </w:rPr>
        <w:t> </w:t>
      </w:r>
      <w:r>
        <w:rPr/>
        <w:t>to</w:t>
      </w:r>
      <w:r>
        <w:rPr>
          <w:spacing w:val="-2"/>
        </w:rPr>
        <w:t> </w:t>
      </w:r>
      <w:r>
        <w:rPr/>
        <w:t>an</w:t>
      </w:r>
      <w:r>
        <w:rPr>
          <w:spacing w:val="-2"/>
        </w:rPr>
        <w:t> </w:t>
      </w:r>
      <w:r>
        <w:rPr/>
        <w:t>individual,</w:t>
      </w:r>
      <w:r>
        <w:rPr>
          <w:spacing w:val="-1"/>
        </w:rPr>
        <w:t> </w:t>
      </w:r>
      <w:r>
        <w:rPr/>
        <w:t>a</w:t>
      </w:r>
      <w:r>
        <w:rPr>
          <w:spacing w:val="-2"/>
        </w:rPr>
        <w:t> </w:t>
      </w:r>
      <w:r>
        <w:rPr/>
        <w:t>physical</w:t>
      </w:r>
      <w:r>
        <w:rPr>
          <w:spacing w:val="-2"/>
        </w:rPr>
        <w:t> </w:t>
      </w:r>
      <w:r>
        <w:rPr/>
        <w:t>or</w:t>
      </w:r>
      <w:r>
        <w:rPr>
          <w:spacing w:val="-1"/>
        </w:rPr>
        <w:t> </w:t>
      </w:r>
      <w:r>
        <w:rPr/>
        <w:t>mental</w:t>
      </w:r>
      <w:r>
        <w:rPr>
          <w:spacing w:val="-2"/>
        </w:rPr>
        <w:t> </w:t>
      </w:r>
      <w:r>
        <w:rPr/>
        <w:t>impairment that</w:t>
      </w:r>
      <w:r>
        <w:rPr>
          <w:spacing w:val="-2"/>
        </w:rPr>
        <w:t> </w:t>
      </w:r>
      <w:r>
        <w:rPr/>
        <w:t>substantially</w:t>
      </w:r>
      <w:r>
        <w:rPr>
          <w:spacing w:val="-3"/>
        </w:rPr>
        <w:t> </w:t>
      </w:r>
      <w:r>
        <w:rPr/>
        <w:t>limits</w:t>
      </w:r>
      <w:r>
        <w:rPr>
          <w:spacing w:val="-3"/>
        </w:rPr>
        <w:t> </w:t>
      </w:r>
      <w:r>
        <w:rPr/>
        <w:t>one</w:t>
      </w:r>
      <w:r>
        <w:rPr>
          <w:spacing w:val="-3"/>
        </w:rPr>
        <w:t> </w:t>
      </w:r>
      <w:r>
        <w:rPr/>
        <w:t>or</w:t>
      </w:r>
      <w:r>
        <w:rPr>
          <w:spacing w:val="-2"/>
        </w:rPr>
        <w:t> </w:t>
      </w:r>
      <w:r>
        <w:rPr/>
        <w:t>more</w:t>
      </w:r>
      <w:r>
        <w:rPr>
          <w:spacing w:val="-3"/>
        </w:rPr>
        <w:t> </w:t>
      </w:r>
      <w:r>
        <w:rPr/>
        <w:t>of</w:t>
      </w:r>
      <w:r>
        <w:rPr>
          <w:spacing w:val="-2"/>
        </w:rPr>
        <w:t> </w:t>
      </w:r>
      <w:r>
        <w:rPr/>
        <w:t>the</w:t>
      </w:r>
      <w:r>
        <w:rPr>
          <w:spacing w:val="-4"/>
        </w:rPr>
        <w:t> </w:t>
      </w:r>
      <w:r>
        <w:rPr/>
        <w:t>major</w:t>
      </w:r>
      <w:r>
        <w:rPr>
          <w:spacing w:val="-2"/>
        </w:rPr>
        <w:t> </w:t>
      </w:r>
      <w:r>
        <w:rPr/>
        <w:t>life</w:t>
      </w:r>
      <w:r>
        <w:rPr>
          <w:spacing w:val="-3"/>
        </w:rPr>
        <w:t> </w:t>
      </w:r>
      <w:r>
        <w:rPr/>
        <w:t>activities</w:t>
      </w:r>
      <w:r>
        <w:rPr>
          <w:spacing w:val="-3"/>
        </w:rPr>
        <w:t> </w:t>
      </w:r>
      <w:r>
        <w:rPr/>
        <w:t>of</w:t>
      </w:r>
      <w:r>
        <w:rPr>
          <w:spacing w:val="-2"/>
        </w:rPr>
        <w:t> </w:t>
      </w:r>
      <w:r>
        <w:rPr/>
        <w:t>such</w:t>
      </w:r>
      <w:r>
        <w:rPr>
          <w:spacing w:val="-3"/>
        </w:rPr>
        <w:t> </w:t>
      </w:r>
      <w:r>
        <w:rPr/>
        <w:t>individual.</w:t>
      </w:r>
      <w:r>
        <w:rPr>
          <w:spacing w:val="-2"/>
        </w:rPr>
        <w:t> </w:t>
      </w:r>
      <w:r>
        <w:rPr/>
        <w:t>It</w:t>
      </w:r>
      <w:r>
        <w:rPr>
          <w:spacing w:val="-2"/>
        </w:rPr>
        <w:t> </w:t>
      </w:r>
      <w:r>
        <w:rPr/>
        <w:t>also means having a record of such an impairment or being regarded as having such an impairment. "Disability" does not include:</w:t>
      </w:r>
    </w:p>
    <w:p>
      <w:pPr>
        <w:pStyle w:val="ListParagraph"/>
        <w:numPr>
          <w:ilvl w:val="0"/>
          <w:numId w:val="27"/>
        </w:numPr>
        <w:tabs>
          <w:tab w:pos="1677" w:val="left" w:leader="none"/>
        </w:tabs>
        <w:spacing w:line="240" w:lineRule="auto" w:before="210" w:after="0"/>
        <w:ind w:left="1677" w:right="0" w:hanging="453"/>
        <w:jc w:val="left"/>
        <w:rPr>
          <w:sz w:val="24"/>
        </w:rPr>
      </w:pPr>
      <w:r>
        <w:rPr>
          <w:sz w:val="24"/>
        </w:rPr>
        <w:t>sexual</w:t>
      </w:r>
      <w:r>
        <w:rPr>
          <w:spacing w:val="-6"/>
          <w:sz w:val="24"/>
        </w:rPr>
        <w:t> </w:t>
      </w:r>
      <w:r>
        <w:rPr>
          <w:sz w:val="24"/>
        </w:rPr>
        <w:t>behavior</w:t>
      </w:r>
      <w:r>
        <w:rPr>
          <w:spacing w:val="-3"/>
          <w:sz w:val="24"/>
        </w:rPr>
        <w:t> </w:t>
      </w:r>
      <w:r>
        <w:rPr>
          <w:spacing w:val="-2"/>
          <w:sz w:val="24"/>
        </w:rPr>
        <w:t>disorders;</w:t>
      </w:r>
    </w:p>
    <w:p>
      <w:pPr>
        <w:pStyle w:val="ListParagraph"/>
        <w:numPr>
          <w:ilvl w:val="0"/>
          <w:numId w:val="27"/>
        </w:numPr>
        <w:tabs>
          <w:tab w:pos="1677" w:val="left" w:leader="none"/>
        </w:tabs>
        <w:spacing w:line="240" w:lineRule="auto" w:before="204" w:after="0"/>
        <w:ind w:left="1677" w:right="0" w:hanging="453"/>
        <w:jc w:val="left"/>
        <w:rPr>
          <w:sz w:val="24"/>
        </w:rPr>
      </w:pPr>
      <w:r>
        <w:rPr>
          <w:sz w:val="24"/>
        </w:rPr>
        <w:t>compulsive</w:t>
      </w:r>
      <w:r>
        <w:rPr>
          <w:spacing w:val="-6"/>
          <w:sz w:val="24"/>
        </w:rPr>
        <w:t> </w:t>
      </w:r>
      <w:r>
        <w:rPr>
          <w:sz w:val="24"/>
        </w:rPr>
        <w:t>gambling,</w:t>
      </w:r>
      <w:r>
        <w:rPr>
          <w:spacing w:val="-4"/>
          <w:sz w:val="24"/>
        </w:rPr>
        <w:t> </w:t>
      </w:r>
      <w:r>
        <w:rPr>
          <w:sz w:val="24"/>
        </w:rPr>
        <w:t>kleptomania,</w:t>
      </w:r>
      <w:r>
        <w:rPr>
          <w:spacing w:val="-4"/>
          <w:sz w:val="24"/>
        </w:rPr>
        <w:t> </w:t>
      </w:r>
      <w:r>
        <w:rPr>
          <w:sz w:val="24"/>
        </w:rPr>
        <w:t>or</w:t>
      </w:r>
      <w:r>
        <w:rPr>
          <w:spacing w:val="-4"/>
          <w:sz w:val="24"/>
        </w:rPr>
        <w:t> </w:t>
      </w:r>
      <w:r>
        <w:rPr>
          <w:spacing w:val="-2"/>
          <w:sz w:val="24"/>
        </w:rPr>
        <w:t>pyromania;</w:t>
      </w:r>
    </w:p>
    <w:p>
      <w:pPr>
        <w:pStyle w:val="ListParagraph"/>
        <w:numPr>
          <w:ilvl w:val="0"/>
          <w:numId w:val="27"/>
        </w:numPr>
        <w:tabs>
          <w:tab w:pos="1690" w:val="left" w:leader="none"/>
        </w:tabs>
        <w:spacing w:line="208" w:lineRule="auto" w:before="233" w:after="0"/>
        <w:ind w:left="1224" w:right="960" w:firstLine="0"/>
        <w:jc w:val="left"/>
        <w:rPr>
          <w:sz w:val="24"/>
        </w:rPr>
      </w:pPr>
      <w:r>
        <w:rPr>
          <w:sz w:val="24"/>
        </w:rPr>
        <w:t>psychoactive</w:t>
      </w:r>
      <w:r>
        <w:rPr>
          <w:spacing w:val="-5"/>
          <w:sz w:val="24"/>
        </w:rPr>
        <w:t> </w:t>
      </w:r>
      <w:r>
        <w:rPr>
          <w:sz w:val="24"/>
        </w:rPr>
        <w:t>substance</w:t>
      </w:r>
      <w:r>
        <w:rPr>
          <w:spacing w:val="-5"/>
          <w:sz w:val="24"/>
        </w:rPr>
        <w:t> </w:t>
      </w:r>
      <w:r>
        <w:rPr>
          <w:sz w:val="24"/>
        </w:rPr>
        <w:t>abuse</w:t>
      </w:r>
      <w:r>
        <w:rPr>
          <w:spacing w:val="-5"/>
          <w:sz w:val="24"/>
        </w:rPr>
        <w:t> </w:t>
      </w:r>
      <w:r>
        <w:rPr>
          <w:sz w:val="24"/>
        </w:rPr>
        <w:t>disorders</w:t>
      </w:r>
      <w:r>
        <w:rPr>
          <w:spacing w:val="-5"/>
          <w:sz w:val="24"/>
        </w:rPr>
        <w:t> </w:t>
      </w:r>
      <w:r>
        <w:rPr>
          <w:sz w:val="24"/>
        </w:rPr>
        <w:t>resulting</w:t>
      </w:r>
      <w:r>
        <w:rPr>
          <w:spacing w:val="-5"/>
          <w:sz w:val="24"/>
        </w:rPr>
        <w:t> </w:t>
      </w:r>
      <w:r>
        <w:rPr>
          <w:sz w:val="24"/>
        </w:rPr>
        <w:t>from</w:t>
      </w:r>
      <w:r>
        <w:rPr>
          <w:spacing w:val="-5"/>
          <w:sz w:val="24"/>
        </w:rPr>
        <w:t> </w:t>
      </w:r>
      <w:r>
        <w:rPr>
          <w:sz w:val="24"/>
        </w:rPr>
        <w:t>current</w:t>
      </w:r>
      <w:r>
        <w:rPr>
          <w:spacing w:val="-7"/>
          <w:sz w:val="24"/>
        </w:rPr>
        <w:t> </w:t>
      </w:r>
      <w:r>
        <w:rPr>
          <w:sz w:val="24"/>
        </w:rPr>
        <w:t>illegal</w:t>
      </w:r>
      <w:r>
        <w:rPr>
          <w:spacing w:val="-5"/>
          <w:sz w:val="24"/>
        </w:rPr>
        <w:t> </w:t>
      </w:r>
      <w:r>
        <w:rPr>
          <w:sz w:val="24"/>
        </w:rPr>
        <w:t>use of drugs; or</w:t>
      </w:r>
    </w:p>
    <w:p>
      <w:pPr>
        <w:pStyle w:val="ListParagraph"/>
        <w:numPr>
          <w:ilvl w:val="0"/>
          <w:numId w:val="27"/>
        </w:numPr>
        <w:tabs>
          <w:tab w:pos="1690" w:val="left" w:leader="none"/>
        </w:tabs>
        <w:spacing w:line="240" w:lineRule="auto" w:before="211" w:after="0"/>
        <w:ind w:left="1690" w:right="0" w:hanging="466"/>
        <w:jc w:val="left"/>
        <w:rPr>
          <w:sz w:val="24"/>
        </w:rPr>
      </w:pPr>
      <w:r>
        <w:rPr>
          <w:sz w:val="24"/>
        </w:rPr>
        <w:t>homosexuality</w:t>
      </w:r>
      <w:r>
        <w:rPr>
          <w:spacing w:val="-6"/>
          <w:sz w:val="24"/>
        </w:rPr>
        <w:t> </w:t>
      </w:r>
      <w:r>
        <w:rPr>
          <w:sz w:val="24"/>
        </w:rPr>
        <w:t>and</w:t>
      </w:r>
      <w:r>
        <w:rPr>
          <w:spacing w:val="-5"/>
          <w:sz w:val="24"/>
        </w:rPr>
        <w:t> </w:t>
      </w:r>
      <w:r>
        <w:rPr>
          <w:spacing w:val="-2"/>
          <w:sz w:val="24"/>
        </w:rPr>
        <w:t>bisexuality.</w:t>
      </w:r>
    </w:p>
    <w:p>
      <w:pPr>
        <w:pStyle w:val="BodyText"/>
        <w:spacing w:line="208" w:lineRule="auto" w:before="233"/>
        <w:ind w:right="775" w:firstLine="432"/>
      </w:pPr>
      <w:r>
        <w:rPr>
          <w:b/>
        </w:rPr>
        <w:t>"Drug"</w:t>
      </w:r>
      <w:r>
        <w:rPr>
          <w:b/>
          <w:spacing w:val="-4"/>
        </w:rPr>
        <w:t> </w:t>
      </w:r>
      <w:r>
        <w:rPr/>
        <w:t>means</w:t>
      </w:r>
      <w:r>
        <w:rPr>
          <w:spacing w:val="-4"/>
        </w:rPr>
        <w:t> </w:t>
      </w:r>
      <w:r>
        <w:rPr/>
        <w:t>a</w:t>
      </w:r>
      <w:r>
        <w:rPr>
          <w:spacing w:val="-4"/>
        </w:rPr>
        <w:t> </w:t>
      </w:r>
      <w:r>
        <w:rPr/>
        <w:t>controlled</w:t>
      </w:r>
      <w:r>
        <w:rPr>
          <w:spacing w:val="-4"/>
        </w:rPr>
        <w:t> </w:t>
      </w:r>
      <w:r>
        <w:rPr/>
        <w:t>substance,</w:t>
      </w:r>
      <w:r>
        <w:rPr>
          <w:spacing w:val="-3"/>
        </w:rPr>
        <w:t> </w:t>
      </w:r>
      <w:r>
        <w:rPr/>
        <w:t>as</w:t>
      </w:r>
      <w:r>
        <w:rPr>
          <w:spacing w:val="-4"/>
        </w:rPr>
        <w:t> </w:t>
      </w:r>
      <w:r>
        <w:rPr/>
        <w:t>defined</w:t>
      </w:r>
      <w:r>
        <w:rPr>
          <w:spacing w:val="-4"/>
        </w:rPr>
        <w:t> </w:t>
      </w:r>
      <w:r>
        <w:rPr/>
        <w:t>in</w:t>
      </w:r>
      <w:r>
        <w:rPr>
          <w:spacing w:val="-4"/>
        </w:rPr>
        <w:t> </w:t>
      </w:r>
      <w:r>
        <w:rPr/>
        <w:t>Schedules</w:t>
      </w:r>
      <w:r>
        <w:rPr>
          <w:spacing w:val="-4"/>
        </w:rPr>
        <w:t> </w:t>
      </w:r>
      <w:r>
        <w:rPr/>
        <w:t>I</w:t>
      </w:r>
      <w:r>
        <w:rPr>
          <w:spacing w:val="-3"/>
        </w:rPr>
        <w:t> </w:t>
      </w:r>
      <w:r>
        <w:rPr/>
        <w:t>through</w:t>
      </w:r>
      <w:r>
        <w:rPr>
          <w:spacing w:val="-4"/>
        </w:rPr>
        <w:t> </w:t>
      </w:r>
      <w:r>
        <w:rPr/>
        <w:t>V</w:t>
      </w:r>
      <w:r>
        <w:rPr>
          <w:spacing w:val="-4"/>
        </w:rPr>
        <w:t> </w:t>
      </w:r>
      <w:r>
        <w:rPr/>
        <w:t>of Section 202 of the Controlled Substances Act [21 U.S.C. 812].</w:t>
      </w:r>
    </w:p>
    <w:p>
      <w:pPr>
        <w:pStyle w:val="BodyText"/>
        <w:spacing w:line="208" w:lineRule="auto"/>
        <w:ind w:right="727" w:firstLine="432"/>
      </w:pPr>
      <w:r>
        <w:rPr>
          <w:b/>
        </w:rPr>
        <w:t>"Equal employment opportunity" </w:t>
      </w:r>
      <w:r>
        <w:rPr/>
        <w:t>means an opportunity to enjoy equal benefits and</w:t>
      </w:r>
      <w:r>
        <w:rPr>
          <w:spacing w:val="-4"/>
        </w:rPr>
        <w:t> </w:t>
      </w:r>
      <w:r>
        <w:rPr/>
        <w:t>privileges</w:t>
      </w:r>
      <w:r>
        <w:rPr>
          <w:spacing w:val="-4"/>
        </w:rPr>
        <w:t> </w:t>
      </w:r>
      <w:r>
        <w:rPr/>
        <w:t>of</w:t>
      </w:r>
      <w:r>
        <w:rPr>
          <w:spacing w:val="-3"/>
        </w:rPr>
        <w:t> </w:t>
      </w:r>
      <w:r>
        <w:rPr/>
        <w:t>employment</w:t>
      </w:r>
      <w:r>
        <w:rPr>
          <w:spacing w:val="-3"/>
        </w:rPr>
        <w:t> </w:t>
      </w:r>
      <w:r>
        <w:rPr/>
        <w:t>as</w:t>
      </w:r>
      <w:r>
        <w:rPr>
          <w:spacing w:val="-5"/>
        </w:rPr>
        <w:t> </w:t>
      </w:r>
      <w:r>
        <w:rPr/>
        <w:t>are</w:t>
      </w:r>
      <w:r>
        <w:rPr>
          <w:spacing w:val="-4"/>
        </w:rPr>
        <w:t> </w:t>
      </w:r>
      <w:r>
        <w:rPr/>
        <w:t>available</w:t>
      </w:r>
      <w:r>
        <w:rPr>
          <w:spacing w:val="-4"/>
        </w:rPr>
        <w:t> </w:t>
      </w:r>
      <w:r>
        <w:rPr/>
        <w:t>to</w:t>
      </w:r>
      <w:r>
        <w:rPr>
          <w:spacing w:val="-4"/>
        </w:rPr>
        <w:t> </w:t>
      </w:r>
      <w:r>
        <w:rPr/>
        <w:t>an</w:t>
      </w:r>
      <w:r>
        <w:rPr>
          <w:spacing w:val="-4"/>
        </w:rPr>
        <w:t> </w:t>
      </w:r>
      <w:r>
        <w:rPr/>
        <w:t>average</w:t>
      </w:r>
      <w:r>
        <w:rPr>
          <w:spacing w:val="-4"/>
        </w:rPr>
        <w:t> </w:t>
      </w:r>
      <w:r>
        <w:rPr/>
        <w:t>similarly</w:t>
      </w:r>
      <w:r>
        <w:rPr>
          <w:spacing w:val="-4"/>
        </w:rPr>
        <w:t> </w:t>
      </w:r>
      <w:r>
        <w:rPr/>
        <w:t>situated</w:t>
      </w:r>
      <w:r>
        <w:rPr>
          <w:spacing w:val="-4"/>
        </w:rPr>
        <w:t> </w:t>
      </w:r>
      <w:r>
        <w:rPr/>
        <w:t>employee without a disability.</w:t>
      </w:r>
    </w:p>
    <w:p>
      <w:pPr>
        <w:pStyle w:val="BodyText"/>
        <w:spacing w:line="208" w:lineRule="auto"/>
        <w:ind w:right="775" w:firstLine="432"/>
      </w:pPr>
      <w:r>
        <w:rPr>
          <w:b/>
        </w:rPr>
        <w:t>"Essential functions" </w:t>
      </w:r>
      <w:r>
        <w:rPr/>
        <w:t>means the fundamental job duties of the employment position</w:t>
      </w:r>
      <w:r>
        <w:rPr>
          <w:spacing w:val="-3"/>
        </w:rPr>
        <w:t> </w:t>
      </w:r>
      <w:r>
        <w:rPr/>
        <w:t>the</w:t>
      </w:r>
      <w:r>
        <w:rPr>
          <w:spacing w:val="-3"/>
        </w:rPr>
        <w:t> </w:t>
      </w:r>
      <w:r>
        <w:rPr/>
        <w:t>individual</w:t>
      </w:r>
      <w:r>
        <w:rPr>
          <w:spacing w:val="-3"/>
        </w:rPr>
        <w:t> </w:t>
      </w:r>
      <w:r>
        <w:rPr/>
        <w:t>with</w:t>
      </w:r>
      <w:r>
        <w:rPr>
          <w:spacing w:val="-3"/>
        </w:rPr>
        <w:t> </w:t>
      </w:r>
      <w:r>
        <w:rPr/>
        <w:t>a</w:t>
      </w:r>
      <w:r>
        <w:rPr>
          <w:spacing w:val="-3"/>
        </w:rPr>
        <w:t> </w:t>
      </w:r>
      <w:r>
        <w:rPr/>
        <w:t>disability</w:t>
      </w:r>
      <w:r>
        <w:rPr>
          <w:spacing w:val="-3"/>
        </w:rPr>
        <w:t> </w:t>
      </w:r>
      <w:r>
        <w:rPr/>
        <w:t>holds</w:t>
      </w:r>
      <w:r>
        <w:rPr>
          <w:spacing w:val="-3"/>
        </w:rPr>
        <w:t> </w:t>
      </w:r>
      <w:r>
        <w:rPr/>
        <w:t>or</w:t>
      </w:r>
      <w:r>
        <w:rPr>
          <w:spacing w:val="-3"/>
        </w:rPr>
        <w:t> </w:t>
      </w:r>
      <w:r>
        <w:rPr/>
        <w:t>desires.</w:t>
      </w:r>
      <w:r>
        <w:rPr>
          <w:spacing w:val="-4"/>
        </w:rPr>
        <w:t> </w:t>
      </w:r>
      <w:r>
        <w:rPr/>
        <w:t>The</w:t>
      </w:r>
      <w:r>
        <w:rPr>
          <w:spacing w:val="-3"/>
        </w:rPr>
        <w:t> </w:t>
      </w:r>
      <w:r>
        <w:rPr/>
        <w:t>term</w:t>
      </w:r>
      <w:r>
        <w:rPr>
          <w:spacing w:val="-3"/>
        </w:rPr>
        <w:t> </w:t>
      </w:r>
      <w:r>
        <w:rPr/>
        <w:t>does</w:t>
      </w:r>
      <w:r>
        <w:rPr>
          <w:spacing w:val="-3"/>
        </w:rPr>
        <w:t> </w:t>
      </w:r>
      <w:r>
        <w:rPr/>
        <w:t>not</w:t>
      </w:r>
      <w:r>
        <w:rPr>
          <w:spacing w:val="-3"/>
        </w:rPr>
        <w:t> </w:t>
      </w:r>
      <w:r>
        <w:rPr/>
        <w:t>include</w:t>
      </w:r>
      <w:r>
        <w:rPr>
          <w:spacing w:val="-3"/>
        </w:rPr>
        <w:t> </w:t>
      </w:r>
      <w:r>
        <w:rPr/>
        <w:t>the marginal functions of the position.</w:t>
      </w:r>
    </w:p>
    <w:p>
      <w:pPr>
        <w:pStyle w:val="BodyText"/>
        <w:spacing w:line="208" w:lineRule="auto" w:before="239"/>
        <w:ind w:right="775" w:firstLine="432"/>
      </w:pPr>
      <w:r>
        <w:rPr>
          <w:b/>
        </w:rPr>
        <w:t>"Has</w:t>
      </w:r>
      <w:r>
        <w:rPr>
          <w:b/>
          <w:spacing w:val="-3"/>
        </w:rPr>
        <w:t> </w:t>
      </w:r>
      <w:r>
        <w:rPr>
          <w:b/>
        </w:rPr>
        <w:t>a</w:t>
      </w:r>
      <w:r>
        <w:rPr>
          <w:b/>
          <w:spacing w:val="-3"/>
        </w:rPr>
        <w:t> </w:t>
      </w:r>
      <w:r>
        <w:rPr>
          <w:b/>
        </w:rPr>
        <w:t>record</w:t>
      </w:r>
      <w:r>
        <w:rPr>
          <w:b/>
          <w:spacing w:val="-3"/>
        </w:rPr>
        <w:t> </w:t>
      </w:r>
      <w:r>
        <w:rPr>
          <w:b/>
        </w:rPr>
        <w:t>of</w:t>
      </w:r>
      <w:r>
        <w:rPr>
          <w:b/>
          <w:spacing w:val="-2"/>
        </w:rPr>
        <w:t> </w:t>
      </w:r>
      <w:r>
        <w:rPr>
          <w:b/>
        </w:rPr>
        <w:t>such</w:t>
      </w:r>
      <w:r>
        <w:rPr>
          <w:b/>
          <w:spacing w:val="-3"/>
        </w:rPr>
        <w:t> </w:t>
      </w:r>
      <w:r>
        <w:rPr>
          <w:b/>
        </w:rPr>
        <w:t>impairment"</w:t>
      </w:r>
      <w:r>
        <w:rPr>
          <w:b/>
          <w:spacing w:val="-3"/>
        </w:rPr>
        <w:t> </w:t>
      </w:r>
      <w:r>
        <w:rPr/>
        <w:t>means</w:t>
      </w:r>
      <w:r>
        <w:rPr>
          <w:spacing w:val="-3"/>
        </w:rPr>
        <w:t> </w:t>
      </w:r>
      <w:r>
        <w:rPr/>
        <w:t>the</w:t>
      </w:r>
      <w:r>
        <w:rPr>
          <w:spacing w:val="-3"/>
        </w:rPr>
        <w:t> </w:t>
      </w:r>
      <w:r>
        <w:rPr/>
        <w:t>individual</w:t>
      </w:r>
      <w:r>
        <w:rPr>
          <w:spacing w:val="-3"/>
        </w:rPr>
        <w:t> </w:t>
      </w:r>
      <w:r>
        <w:rPr/>
        <w:t>has</w:t>
      </w:r>
      <w:r>
        <w:rPr>
          <w:spacing w:val="-3"/>
        </w:rPr>
        <w:t> </w:t>
      </w:r>
      <w:r>
        <w:rPr/>
        <w:t>a</w:t>
      </w:r>
      <w:r>
        <w:rPr>
          <w:spacing w:val="-3"/>
        </w:rPr>
        <w:t> </w:t>
      </w:r>
      <w:r>
        <w:rPr/>
        <w:t>history</w:t>
      </w:r>
      <w:r>
        <w:rPr>
          <w:spacing w:val="-3"/>
        </w:rPr>
        <w:t> </w:t>
      </w:r>
      <w:r>
        <w:rPr/>
        <w:t>of,</w:t>
      </w:r>
      <w:r>
        <w:rPr>
          <w:spacing w:val="-4"/>
        </w:rPr>
        <w:t> </w:t>
      </w:r>
      <w:r>
        <w:rPr/>
        <w:t>or</w:t>
      </w:r>
      <w:r>
        <w:rPr>
          <w:spacing w:val="-2"/>
        </w:rPr>
        <w:t> </w:t>
      </w:r>
      <w:r>
        <w:rPr/>
        <w:t>has been misclassified as having, a mental or physical impairment that substantially limits one or more major life activities.</w:t>
      </w:r>
    </w:p>
    <w:p>
      <w:pPr>
        <w:pStyle w:val="BodyText"/>
        <w:spacing w:line="208" w:lineRule="auto"/>
        <w:ind w:right="832" w:firstLine="432"/>
        <w:jc w:val="both"/>
      </w:pPr>
      <w:r>
        <w:rPr>
          <w:b/>
        </w:rPr>
        <w:t>"Illegal</w:t>
      </w:r>
      <w:r>
        <w:rPr>
          <w:b/>
          <w:spacing w:val="-1"/>
        </w:rPr>
        <w:t> </w:t>
      </w:r>
      <w:r>
        <w:rPr>
          <w:b/>
        </w:rPr>
        <w:t>use of drugs" </w:t>
      </w:r>
      <w:r>
        <w:rPr/>
        <w:t>means the use of drugs whose possession or distribution is unlawful</w:t>
      </w:r>
      <w:r>
        <w:rPr>
          <w:spacing w:val="-4"/>
        </w:rPr>
        <w:t> </w:t>
      </w:r>
      <w:r>
        <w:rPr/>
        <w:t>under</w:t>
      </w:r>
      <w:r>
        <w:rPr>
          <w:spacing w:val="-3"/>
        </w:rPr>
        <w:t> </w:t>
      </w:r>
      <w:r>
        <w:rPr/>
        <w:t>the</w:t>
      </w:r>
      <w:r>
        <w:rPr>
          <w:spacing w:val="-4"/>
        </w:rPr>
        <w:t> </w:t>
      </w:r>
      <w:r>
        <w:rPr/>
        <w:t>Controlled</w:t>
      </w:r>
      <w:r>
        <w:rPr>
          <w:spacing w:val="-4"/>
        </w:rPr>
        <w:t> </w:t>
      </w:r>
      <w:r>
        <w:rPr/>
        <w:t>Substances</w:t>
      </w:r>
      <w:r>
        <w:rPr>
          <w:spacing w:val="-4"/>
        </w:rPr>
        <w:t> </w:t>
      </w:r>
      <w:r>
        <w:rPr/>
        <w:t>Act,</w:t>
      </w:r>
      <w:r>
        <w:rPr>
          <w:spacing w:val="-3"/>
        </w:rPr>
        <w:t> </w:t>
      </w:r>
      <w:r>
        <w:rPr/>
        <w:t>as</w:t>
      </w:r>
      <w:r>
        <w:rPr>
          <w:spacing w:val="-5"/>
        </w:rPr>
        <w:t> </w:t>
      </w:r>
      <w:r>
        <w:rPr/>
        <w:t>periodically</w:t>
      </w:r>
      <w:r>
        <w:rPr>
          <w:spacing w:val="-4"/>
        </w:rPr>
        <w:t> </w:t>
      </w:r>
      <w:r>
        <w:rPr/>
        <w:t>updated</w:t>
      </w:r>
      <w:r>
        <w:rPr>
          <w:spacing w:val="-4"/>
        </w:rPr>
        <w:t> </w:t>
      </w:r>
      <w:r>
        <w:rPr/>
        <w:t>by</w:t>
      </w:r>
      <w:r>
        <w:rPr>
          <w:spacing w:val="-4"/>
        </w:rPr>
        <w:t> </w:t>
      </w:r>
      <w:r>
        <w:rPr/>
        <w:t>the</w:t>
      </w:r>
      <w:r>
        <w:rPr>
          <w:spacing w:val="-4"/>
        </w:rPr>
        <w:t> </w:t>
      </w:r>
      <w:r>
        <w:rPr/>
        <w:t>Food</w:t>
      </w:r>
      <w:r>
        <w:rPr>
          <w:spacing w:val="-4"/>
        </w:rPr>
        <w:t> </w:t>
      </w:r>
      <w:r>
        <w:rPr/>
        <w:t>and Drug Administration.</w:t>
      </w:r>
    </w:p>
    <w:p>
      <w:pPr>
        <w:pStyle w:val="Heading2"/>
        <w:spacing w:before="210"/>
        <w:ind w:left="792"/>
        <w:rPr>
          <w:b w:val="0"/>
        </w:rPr>
      </w:pPr>
      <w:r>
        <w:rPr/>
        <w:t>"Is</w:t>
      </w:r>
      <w:r>
        <w:rPr>
          <w:spacing w:val="-5"/>
        </w:rPr>
        <w:t> </w:t>
      </w:r>
      <w:r>
        <w:rPr/>
        <w:t>regarded</w:t>
      </w:r>
      <w:r>
        <w:rPr>
          <w:spacing w:val="-3"/>
        </w:rPr>
        <w:t> </w:t>
      </w:r>
      <w:r>
        <w:rPr/>
        <w:t>as</w:t>
      </w:r>
      <w:r>
        <w:rPr>
          <w:spacing w:val="-3"/>
        </w:rPr>
        <w:t> </w:t>
      </w:r>
      <w:r>
        <w:rPr/>
        <w:t>having</w:t>
      </w:r>
      <w:r>
        <w:rPr>
          <w:spacing w:val="-2"/>
        </w:rPr>
        <w:t> </w:t>
      </w:r>
      <w:r>
        <w:rPr/>
        <w:t>such</w:t>
      </w:r>
      <w:r>
        <w:rPr>
          <w:spacing w:val="-3"/>
        </w:rPr>
        <w:t> </w:t>
      </w:r>
      <w:r>
        <w:rPr/>
        <w:t>an</w:t>
      </w:r>
      <w:r>
        <w:rPr>
          <w:spacing w:val="-3"/>
        </w:rPr>
        <w:t> </w:t>
      </w:r>
      <w:r>
        <w:rPr/>
        <w:t>impairment"</w:t>
      </w:r>
      <w:r>
        <w:rPr>
          <w:spacing w:val="-2"/>
        </w:rPr>
        <w:t> </w:t>
      </w:r>
      <w:r>
        <w:rPr>
          <w:b w:val="0"/>
          <w:spacing w:val="-2"/>
        </w:rPr>
        <w:t>means:</w:t>
      </w:r>
    </w:p>
    <w:p>
      <w:pPr>
        <w:pStyle w:val="ListParagraph"/>
        <w:numPr>
          <w:ilvl w:val="0"/>
          <w:numId w:val="28"/>
        </w:numPr>
        <w:tabs>
          <w:tab w:pos="1677" w:val="left" w:leader="none"/>
        </w:tabs>
        <w:spacing w:line="208" w:lineRule="auto" w:before="234" w:after="0"/>
        <w:ind w:left="1224" w:right="917" w:firstLine="0"/>
        <w:jc w:val="left"/>
        <w:rPr>
          <w:sz w:val="24"/>
        </w:rPr>
      </w:pPr>
      <w:r>
        <w:rPr>
          <w:sz w:val="24"/>
        </w:rPr>
        <w:t>has</w:t>
      </w:r>
      <w:r>
        <w:rPr>
          <w:spacing w:val="-4"/>
          <w:sz w:val="24"/>
        </w:rPr>
        <w:t> </w:t>
      </w:r>
      <w:r>
        <w:rPr>
          <w:sz w:val="24"/>
        </w:rPr>
        <w:t>a</w:t>
      </w:r>
      <w:r>
        <w:rPr>
          <w:spacing w:val="-5"/>
          <w:sz w:val="24"/>
        </w:rPr>
        <w:t> </w:t>
      </w:r>
      <w:r>
        <w:rPr>
          <w:sz w:val="24"/>
        </w:rPr>
        <w:t>physical</w:t>
      </w:r>
      <w:r>
        <w:rPr>
          <w:spacing w:val="-4"/>
          <w:sz w:val="24"/>
        </w:rPr>
        <w:t> </w:t>
      </w:r>
      <w:r>
        <w:rPr>
          <w:sz w:val="24"/>
        </w:rPr>
        <w:t>or</w:t>
      </w:r>
      <w:r>
        <w:rPr>
          <w:spacing w:val="-5"/>
          <w:sz w:val="24"/>
        </w:rPr>
        <w:t> </w:t>
      </w:r>
      <w:r>
        <w:rPr>
          <w:sz w:val="24"/>
        </w:rPr>
        <w:t>mental</w:t>
      </w:r>
      <w:r>
        <w:rPr>
          <w:spacing w:val="-4"/>
          <w:sz w:val="24"/>
        </w:rPr>
        <w:t> </w:t>
      </w:r>
      <w:r>
        <w:rPr>
          <w:sz w:val="24"/>
        </w:rPr>
        <w:t>impairment</w:t>
      </w:r>
      <w:r>
        <w:rPr>
          <w:spacing w:val="-3"/>
          <w:sz w:val="24"/>
        </w:rPr>
        <w:t> </w:t>
      </w:r>
      <w:r>
        <w:rPr>
          <w:sz w:val="24"/>
        </w:rPr>
        <w:t>that</w:t>
      </w:r>
      <w:r>
        <w:rPr>
          <w:spacing w:val="-3"/>
          <w:sz w:val="24"/>
        </w:rPr>
        <w:t> </w:t>
      </w:r>
      <w:r>
        <w:rPr>
          <w:sz w:val="24"/>
        </w:rPr>
        <w:t>does</w:t>
      </w:r>
      <w:r>
        <w:rPr>
          <w:spacing w:val="-4"/>
          <w:sz w:val="24"/>
        </w:rPr>
        <w:t> </w:t>
      </w:r>
      <w:r>
        <w:rPr>
          <w:sz w:val="24"/>
        </w:rPr>
        <w:t>not</w:t>
      </w:r>
      <w:r>
        <w:rPr>
          <w:spacing w:val="-5"/>
          <w:sz w:val="24"/>
        </w:rPr>
        <w:t> </w:t>
      </w:r>
      <w:r>
        <w:rPr>
          <w:sz w:val="24"/>
        </w:rPr>
        <w:t>substantially</w:t>
      </w:r>
      <w:r>
        <w:rPr>
          <w:spacing w:val="-4"/>
          <w:sz w:val="24"/>
        </w:rPr>
        <w:t> </w:t>
      </w:r>
      <w:r>
        <w:rPr>
          <w:sz w:val="24"/>
        </w:rPr>
        <w:t>limit</w:t>
      </w:r>
      <w:r>
        <w:rPr>
          <w:spacing w:val="-3"/>
          <w:sz w:val="24"/>
        </w:rPr>
        <w:t> </w:t>
      </w:r>
      <w:r>
        <w:rPr>
          <w:sz w:val="24"/>
        </w:rPr>
        <w:t>major life activities but is treated by a covered entity as constituting such limitation;</w:t>
      </w:r>
    </w:p>
    <w:p>
      <w:pPr>
        <w:pStyle w:val="ListParagraph"/>
        <w:numPr>
          <w:ilvl w:val="0"/>
          <w:numId w:val="28"/>
        </w:numPr>
        <w:tabs>
          <w:tab w:pos="1677" w:val="left" w:leader="none"/>
        </w:tabs>
        <w:spacing w:line="208" w:lineRule="auto" w:before="240" w:after="0"/>
        <w:ind w:left="1224" w:right="1008" w:firstLine="0"/>
        <w:jc w:val="left"/>
        <w:rPr>
          <w:sz w:val="24"/>
        </w:rPr>
      </w:pPr>
      <w:r>
        <w:rPr>
          <w:sz w:val="24"/>
        </w:rPr>
        <w:t>has a physical or mental impairment that substantially limits major life activities</w:t>
      </w:r>
      <w:r>
        <w:rPr>
          <w:spacing w:val="-4"/>
          <w:sz w:val="24"/>
        </w:rPr>
        <w:t> </w:t>
      </w:r>
      <w:r>
        <w:rPr>
          <w:sz w:val="24"/>
        </w:rPr>
        <w:t>only</w:t>
      </w:r>
      <w:r>
        <w:rPr>
          <w:spacing w:val="-4"/>
          <w:sz w:val="24"/>
        </w:rPr>
        <w:t> </w:t>
      </w:r>
      <w:r>
        <w:rPr>
          <w:sz w:val="24"/>
        </w:rPr>
        <w:t>as</w:t>
      </w:r>
      <w:r>
        <w:rPr>
          <w:spacing w:val="-4"/>
          <w:sz w:val="24"/>
        </w:rPr>
        <w:t> </w:t>
      </w:r>
      <w:r>
        <w:rPr>
          <w:sz w:val="24"/>
        </w:rPr>
        <w:t>a</w:t>
      </w:r>
      <w:r>
        <w:rPr>
          <w:spacing w:val="-4"/>
          <w:sz w:val="24"/>
        </w:rPr>
        <w:t> </w:t>
      </w:r>
      <w:r>
        <w:rPr>
          <w:sz w:val="24"/>
        </w:rPr>
        <w:t>result</w:t>
      </w:r>
      <w:r>
        <w:rPr>
          <w:spacing w:val="-3"/>
          <w:sz w:val="24"/>
        </w:rPr>
        <w:t> </w:t>
      </w:r>
      <w:r>
        <w:rPr>
          <w:sz w:val="24"/>
        </w:rPr>
        <w:t>of</w:t>
      </w:r>
      <w:r>
        <w:rPr>
          <w:spacing w:val="-3"/>
          <w:sz w:val="24"/>
        </w:rPr>
        <w:t> </w:t>
      </w:r>
      <w:r>
        <w:rPr>
          <w:sz w:val="24"/>
        </w:rPr>
        <w:t>the</w:t>
      </w:r>
      <w:r>
        <w:rPr>
          <w:spacing w:val="-4"/>
          <w:sz w:val="24"/>
        </w:rPr>
        <w:t> </w:t>
      </w:r>
      <w:r>
        <w:rPr>
          <w:sz w:val="24"/>
        </w:rPr>
        <w:t>attitudes</w:t>
      </w:r>
      <w:r>
        <w:rPr>
          <w:spacing w:val="-4"/>
          <w:sz w:val="24"/>
        </w:rPr>
        <w:t> </w:t>
      </w:r>
      <w:r>
        <w:rPr>
          <w:sz w:val="24"/>
        </w:rPr>
        <w:t>of</w:t>
      </w:r>
      <w:r>
        <w:rPr>
          <w:spacing w:val="-3"/>
          <w:sz w:val="24"/>
        </w:rPr>
        <w:t> </w:t>
      </w:r>
      <w:r>
        <w:rPr>
          <w:sz w:val="24"/>
        </w:rPr>
        <w:t>others</w:t>
      </w:r>
      <w:r>
        <w:rPr>
          <w:spacing w:val="-4"/>
          <w:sz w:val="24"/>
        </w:rPr>
        <w:t> </w:t>
      </w:r>
      <w:r>
        <w:rPr>
          <w:sz w:val="24"/>
        </w:rPr>
        <w:t>toward</w:t>
      </w:r>
      <w:r>
        <w:rPr>
          <w:spacing w:val="-4"/>
          <w:sz w:val="24"/>
        </w:rPr>
        <w:t> </w:t>
      </w:r>
      <w:r>
        <w:rPr>
          <w:sz w:val="24"/>
        </w:rPr>
        <w:t>such</w:t>
      </w:r>
      <w:r>
        <w:rPr>
          <w:spacing w:val="-4"/>
          <w:sz w:val="24"/>
        </w:rPr>
        <w:t> </w:t>
      </w:r>
      <w:r>
        <w:rPr>
          <w:sz w:val="24"/>
        </w:rPr>
        <w:t>impairment;</w:t>
      </w:r>
      <w:r>
        <w:rPr>
          <w:spacing w:val="-3"/>
          <w:sz w:val="24"/>
        </w:rPr>
        <w:t> </w:t>
      </w:r>
      <w:r>
        <w:rPr>
          <w:sz w:val="24"/>
        </w:rPr>
        <w:t>or</w:t>
      </w:r>
    </w:p>
    <w:p>
      <w:pPr>
        <w:pStyle w:val="ListParagraph"/>
        <w:numPr>
          <w:ilvl w:val="0"/>
          <w:numId w:val="28"/>
        </w:numPr>
        <w:tabs>
          <w:tab w:pos="1690" w:val="left" w:leader="none"/>
        </w:tabs>
        <w:spacing w:line="208" w:lineRule="auto" w:before="239" w:after="0"/>
        <w:ind w:left="1224" w:right="1236" w:firstLine="0"/>
        <w:jc w:val="left"/>
        <w:rPr>
          <w:sz w:val="24"/>
        </w:rPr>
      </w:pPr>
      <w:r>
        <w:rPr>
          <w:sz w:val="24"/>
        </w:rPr>
        <w:t>has</w:t>
      </w:r>
      <w:r>
        <w:rPr>
          <w:spacing w:val="-4"/>
          <w:sz w:val="24"/>
        </w:rPr>
        <w:t> </w:t>
      </w:r>
      <w:r>
        <w:rPr>
          <w:sz w:val="24"/>
        </w:rPr>
        <w:t>none</w:t>
      </w:r>
      <w:r>
        <w:rPr>
          <w:spacing w:val="-4"/>
          <w:sz w:val="24"/>
        </w:rPr>
        <w:t> </w:t>
      </w:r>
      <w:r>
        <w:rPr>
          <w:sz w:val="24"/>
        </w:rPr>
        <w:t>of</w:t>
      </w:r>
      <w:r>
        <w:rPr>
          <w:spacing w:val="-3"/>
          <w:sz w:val="24"/>
        </w:rPr>
        <w:t> </w:t>
      </w:r>
      <w:r>
        <w:rPr>
          <w:sz w:val="24"/>
        </w:rPr>
        <w:t>the</w:t>
      </w:r>
      <w:r>
        <w:rPr>
          <w:spacing w:val="-4"/>
          <w:sz w:val="24"/>
        </w:rPr>
        <w:t> </w:t>
      </w:r>
      <w:r>
        <w:rPr>
          <w:sz w:val="24"/>
        </w:rPr>
        <w:t>impairments</w:t>
      </w:r>
      <w:r>
        <w:rPr>
          <w:spacing w:val="-4"/>
          <w:sz w:val="24"/>
        </w:rPr>
        <w:t> </w:t>
      </w:r>
      <w:r>
        <w:rPr>
          <w:sz w:val="24"/>
        </w:rPr>
        <w:t>defined</w:t>
      </w:r>
      <w:r>
        <w:rPr>
          <w:spacing w:val="-4"/>
          <w:sz w:val="24"/>
        </w:rPr>
        <w:t> </w:t>
      </w:r>
      <w:r>
        <w:rPr>
          <w:sz w:val="24"/>
        </w:rPr>
        <w:t>herein</w:t>
      </w:r>
      <w:r>
        <w:rPr>
          <w:spacing w:val="-4"/>
          <w:sz w:val="24"/>
        </w:rPr>
        <w:t> </w:t>
      </w:r>
      <w:r>
        <w:rPr>
          <w:sz w:val="24"/>
        </w:rPr>
        <w:t>but</w:t>
      </w:r>
      <w:r>
        <w:rPr>
          <w:spacing w:val="-3"/>
          <w:sz w:val="24"/>
        </w:rPr>
        <w:t> </w:t>
      </w:r>
      <w:r>
        <w:rPr>
          <w:sz w:val="24"/>
        </w:rPr>
        <w:t>is</w:t>
      </w:r>
      <w:r>
        <w:rPr>
          <w:spacing w:val="-4"/>
          <w:sz w:val="24"/>
        </w:rPr>
        <w:t> </w:t>
      </w:r>
      <w:r>
        <w:rPr>
          <w:sz w:val="24"/>
        </w:rPr>
        <w:t>treated</w:t>
      </w:r>
      <w:r>
        <w:rPr>
          <w:spacing w:val="-4"/>
          <w:sz w:val="24"/>
        </w:rPr>
        <w:t> </w:t>
      </w:r>
      <w:r>
        <w:rPr>
          <w:sz w:val="24"/>
        </w:rPr>
        <w:t>by</w:t>
      </w:r>
      <w:r>
        <w:rPr>
          <w:spacing w:val="-5"/>
          <w:sz w:val="24"/>
        </w:rPr>
        <w:t> </w:t>
      </w:r>
      <w:r>
        <w:rPr>
          <w:sz w:val="24"/>
        </w:rPr>
        <w:t>a</w:t>
      </w:r>
      <w:r>
        <w:rPr>
          <w:spacing w:val="-4"/>
          <w:sz w:val="24"/>
        </w:rPr>
        <w:t> </w:t>
      </w:r>
      <w:r>
        <w:rPr>
          <w:sz w:val="24"/>
        </w:rPr>
        <w:t>covered entity as having a substantially limiting impairment.</w:t>
      </w:r>
    </w:p>
    <w:p>
      <w:pPr>
        <w:pStyle w:val="BodyText"/>
        <w:spacing w:line="208" w:lineRule="auto"/>
        <w:ind w:right="775" w:firstLine="432"/>
      </w:pPr>
      <w:r>
        <w:rPr>
          <w:b/>
        </w:rPr>
        <w:t>"Major life activities" </w:t>
      </w:r>
      <w:r>
        <w:rPr/>
        <w:t>means functions such as caring for oneself, performing manual</w:t>
      </w:r>
      <w:r>
        <w:rPr>
          <w:spacing w:val="-5"/>
        </w:rPr>
        <w:t> </w:t>
      </w:r>
      <w:r>
        <w:rPr/>
        <w:t>tasks,</w:t>
      </w:r>
      <w:r>
        <w:rPr>
          <w:spacing w:val="-4"/>
        </w:rPr>
        <w:t> </w:t>
      </w:r>
      <w:r>
        <w:rPr/>
        <w:t>walking,</w:t>
      </w:r>
      <w:r>
        <w:rPr>
          <w:spacing w:val="-4"/>
        </w:rPr>
        <w:t> </w:t>
      </w:r>
      <w:r>
        <w:rPr/>
        <w:t>seeing,</w:t>
      </w:r>
      <w:r>
        <w:rPr>
          <w:spacing w:val="-4"/>
        </w:rPr>
        <w:t> </w:t>
      </w:r>
      <w:r>
        <w:rPr/>
        <w:t>hearing,</w:t>
      </w:r>
      <w:r>
        <w:rPr>
          <w:spacing w:val="-4"/>
        </w:rPr>
        <w:t> </w:t>
      </w:r>
      <w:r>
        <w:rPr/>
        <w:t>speaking,</w:t>
      </w:r>
      <w:r>
        <w:rPr>
          <w:spacing w:val="-4"/>
        </w:rPr>
        <w:t> </w:t>
      </w:r>
      <w:r>
        <w:rPr/>
        <w:t>breathing,</w:t>
      </w:r>
      <w:r>
        <w:rPr>
          <w:spacing w:val="-4"/>
        </w:rPr>
        <w:t> </w:t>
      </w:r>
      <w:r>
        <w:rPr/>
        <w:t>learning,</w:t>
      </w:r>
      <w:r>
        <w:rPr>
          <w:spacing w:val="-4"/>
        </w:rPr>
        <w:t> </w:t>
      </w:r>
      <w:r>
        <w:rPr/>
        <w:t>and</w:t>
      </w:r>
      <w:r>
        <w:rPr>
          <w:spacing w:val="-5"/>
        </w:rPr>
        <w:t> </w:t>
      </w:r>
      <w:r>
        <w:rPr/>
        <w:t>working.</w:t>
      </w:r>
    </w:p>
    <w:p>
      <w:pPr>
        <w:pStyle w:val="Heading2"/>
        <w:spacing w:before="211"/>
        <w:ind w:left="792"/>
        <w:rPr>
          <w:b w:val="0"/>
        </w:rPr>
      </w:pPr>
      <w:r>
        <w:rPr/>
        <w:t>"Physical</w:t>
      </w:r>
      <w:r>
        <w:rPr>
          <w:spacing w:val="-4"/>
        </w:rPr>
        <w:t> </w:t>
      </w:r>
      <w:r>
        <w:rPr/>
        <w:t>or</w:t>
      </w:r>
      <w:r>
        <w:rPr>
          <w:spacing w:val="-4"/>
        </w:rPr>
        <w:t> </w:t>
      </w:r>
      <w:r>
        <w:rPr/>
        <w:t>mental</w:t>
      </w:r>
      <w:r>
        <w:rPr>
          <w:spacing w:val="-4"/>
        </w:rPr>
        <w:t> </w:t>
      </w:r>
      <w:r>
        <w:rPr/>
        <w:t>impairment"</w:t>
      </w:r>
      <w:r>
        <w:rPr>
          <w:spacing w:val="-4"/>
        </w:rPr>
        <w:t> </w:t>
      </w:r>
      <w:r>
        <w:rPr>
          <w:b w:val="0"/>
          <w:spacing w:val="-2"/>
        </w:rPr>
        <w:t>means:</w:t>
      </w:r>
    </w:p>
    <w:p>
      <w:pPr>
        <w:pStyle w:val="Heading2"/>
        <w:spacing w:after="0"/>
        <w:rPr>
          <w:b w:val="0"/>
        </w:rPr>
        <w:sectPr>
          <w:pgSz w:w="12240" w:h="15840"/>
          <w:pgMar w:top="1340" w:bottom="280" w:left="1080" w:right="720"/>
        </w:sectPr>
      </w:pPr>
    </w:p>
    <w:p>
      <w:pPr>
        <w:pStyle w:val="ListParagraph"/>
        <w:numPr>
          <w:ilvl w:val="0"/>
          <w:numId w:val="29"/>
        </w:numPr>
        <w:tabs>
          <w:tab w:pos="1677" w:val="left" w:leader="none"/>
        </w:tabs>
        <w:spacing w:line="208" w:lineRule="auto" w:before="96" w:after="0"/>
        <w:ind w:left="1224" w:right="1047" w:firstLine="0"/>
        <w:jc w:val="left"/>
        <w:rPr>
          <w:sz w:val="24"/>
        </w:rPr>
      </w:pPr>
      <w:r>
        <w:rPr>
          <w:sz w:val="24"/>
        </w:rPr>
        <w:t>any physiological disorder, or condition, cosmetic disfigurement, or anatomical loss affecting one or more of the following body systems: neurological, musculoskeletal, special sense organs, respiratory (including speech</w:t>
      </w:r>
      <w:r>
        <w:rPr>
          <w:spacing w:val="-7"/>
          <w:sz w:val="24"/>
        </w:rPr>
        <w:t> </w:t>
      </w:r>
      <w:r>
        <w:rPr>
          <w:sz w:val="24"/>
        </w:rPr>
        <w:t>organs),</w:t>
      </w:r>
      <w:r>
        <w:rPr>
          <w:spacing w:val="-6"/>
          <w:sz w:val="24"/>
        </w:rPr>
        <w:t> </w:t>
      </w:r>
      <w:r>
        <w:rPr>
          <w:sz w:val="24"/>
        </w:rPr>
        <w:t>cardiovascular,</w:t>
      </w:r>
      <w:r>
        <w:rPr>
          <w:spacing w:val="-6"/>
          <w:sz w:val="24"/>
        </w:rPr>
        <w:t> </w:t>
      </w:r>
      <w:r>
        <w:rPr>
          <w:sz w:val="24"/>
        </w:rPr>
        <w:t>reproductive,</w:t>
      </w:r>
      <w:r>
        <w:rPr>
          <w:spacing w:val="-6"/>
          <w:sz w:val="24"/>
        </w:rPr>
        <w:t> </w:t>
      </w:r>
      <w:r>
        <w:rPr>
          <w:sz w:val="24"/>
        </w:rPr>
        <w:t>digestive,</w:t>
      </w:r>
      <w:r>
        <w:rPr>
          <w:spacing w:val="-6"/>
          <w:sz w:val="24"/>
        </w:rPr>
        <w:t> </w:t>
      </w:r>
      <w:r>
        <w:rPr>
          <w:sz w:val="24"/>
        </w:rPr>
        <w:t>genitourinary,</w:t>
      </w:r>
      <w:r>
        <w:rPr>
          <w:spacing w:val="-6"/>
          <w:sz w:val="24"/>
        </w:rPr>
        <w:t> </w:t>
      </w:r>
      <w:r>
        <w:rPr>
          <w:sz w:val="24"/>
        </w:rPr>
        <w:t>hemic and lymphatic, skin, and endocrine; or</w:t>
      </w:r>
    </w:p>
    <w:p>
      <w:pPr>
        <w:pStyle w:val="ListParagraph"/>
        <w:numPr>
          <w:ilvl w:val="0"/>
          <w:numId w:val="29"/>
        </w:numPr>
        <w:tabs>
          <w:tab w:pos="1676" w:val="left" w:leader="none"/>
        </w:tabs>
        <w:spacing w:line="208" w:lineRule="auto" w:before="239" w:after="0"/>
        <w:ind w:left="1223" w:right="796" w:firstLine="0"/>
        <w:jc w:val="left"/>
        <w:rPr>
          <w:sz w:val="24"/>
        </w:rPr>
      </w:pPr>
      <w:r>
        <w:rPr>
          <w:sz w:val="24"/>
        </w:rPr>
        <w:t>any</w:t>
      </w:r>
      <w:r>
        <w:rPr>
          <w:spacing w:val="-6"/>
          <w:sz w:val="24"/>
        </w:rPr>
        <w:t> </w:t>
      </w:r>
      <w:r>
        <w:rPr>
          <w:sz w:val="24"/>
        </w:rPr>
        <w:t>mental</w:t>
      </w:r>
      <w:r>
        <w:rPr>
          <w:spacing w:val="-5"/>
          <w:sz w:val="24"/>
        </w:rPr>
        <w:t> </w:t>
      </w:r>
      <w:r>
        <w:rPr>
          <w:sz w:val="24"/>
        </w:rPr>
        <w:t>or</w:t>
      </w:r>
      <w:r>
        <w:rPr>
          <w:spacing w:val="-4"/>
          <w:sz w:val="24"/>
        </w:rPr>
        <w:t> </w:t>
      </w:r>
      <w:r>
        <w:rPr>
          <w:sz w:val="24"/>
        </w:rPr>
        <w:t>psychological</w:t>
      </w:r>
      <w:r>
        <w:rPr>
          <w:spacing w:val="-4"/>
          <w:sz w:val="24"/>
        </w:rPr>
        <w:t> </w:t>
      </w:r>
      <w:r>
        <w:rPr>
          <w:sz w:val="24"/>
        </w:rPr>
        <w:t>disorder,</w:t>
      </w:r>
      <w:r>
        <w:rPr>
          <w:spacing w:val="-4"/>
          <w:sz w:val="24"/>
        </w:rPr>
        <w:t> </w:t>
      </w:r>
      <w:r>
        <w:rPr>
          <w:sz w:val="24"/>
        </w:rPr>
        <w:t>such</w:t>
      </w:r>
      <w:r>
        <w:rPr>
          <w:spacing w:val="-5"/>
          <w:sz w:val="24"/>
        </w:rPr>
        <w:t> </w:t>
      </w:r>
      <w:r>
        <w:rPr>
          <w:sz w:val="24"/>
        </w:rPr>
        <w:t>as</w:t>
      </w:r>
      <w:r>
        <w:rPr>
          <w:spacing w:val="-5"/>
          <w:sz w:val="24"/>
        </w:rPr>
        <w:t> </w:t>
      </w:r>
      <w:r>
        <w:rPr>
          <w:sz w:val="24"/>
        </w:rPr>
        <w:t>intellectual</w:t>
      </w:r>
      <w:r>
        <w:rPr>
          <w:spacing w:val="-5"/>
          <w:sz w:val="24"/>
        </w:rPr>
        <w:t> </w:t>
      </w:r>
      <w:r>
        <w:rPr>
          <w:sz w:val="24"/>
        </w:rPr>
        <w:t>disability,</w:t>
      </w:r>
      <w:r>
        <w:rPr>
          <w:spacing w:val="-4"/>
          <w:sz w:val="24"/>
        </w:rPr>
        <w:t> </w:t>
      </w:r>
      <w:r>
        <w:rPr>
          <w:sz w:val="24"/>
        </w:rPr>
        <w:t>organic brain syndrome, emotional or mental illness, and specific learning disabilities.</w:t>
      </w:r>
    </w:p>
    <w:p>
      <w:pPr>
        <w:pStyle w:val="BodyText"/>
        <w:spacing w:line="208" w:lineRule="auto"/>
        <w:ind w:right="855" w:firstLine="432"/>
      </w:pPr>
      <w:r>
        <w:rPr>
          <w:b/>
        </w:rPr>
        <w:t>"Qualified individual with a disability" </w:t>
      </w:r>
      <w:r>
        <w:rPr/>
        <w:t>means an individual with a disability who satisfies</w:t>
      </w:r>
      <w:r>
        <w:rPr>
          <w:spacing w:val="-5"/>
        </w:rPr>
        <w:t> </w:t>
      </w:r>
      <w:r>
        <w:rPr/>
        <w:t>the</w:t>
      </w:r>
      <w:r>
        <w:rPr>
          <w:spacing w:val="-5"/>
        </w:rPr>
        <w:t> </w:t>
      </w:r>
      <w:r>
        <w:rPr/>
        <w:t>requisite</w:t>
      </w:r>
      <w:r>
        <w:rPr>
          <w:spacing w:val="-5"/>
        </w:rPr>
        <w:t> </w:t>
      </w:r>
      <w:r>
        <w:rPr/>
        <w:t>skill,</w:t>
      </w:r>
      <w:r>
        <w:rPr>
          <w:spacing w:val="-4"/>
        </w:rPr>
        <w:t> </w:t>
      </w:r>
      <w:r>
        <w:rPr/>
        <w:t>experience,</w:t>
      </w:r>
      <w:r>
        <w:rPr>
          <w:spacing w:val="-4"/>
        </w:rPr>
        <w:t> </w:t>
      </w:r>
      <w:r>
        <w:rPr/>
        <w:t>education</w:t>
      </w:r>
      <w:r>
        <w:rPr>
          <w:spacing w:val="-5"/>
        </w:rPr>
        <w:t> </w:t>
      </w:r>
      <w:r>
        <w:rPr/>
        <w:t>and</w:t>
      </w:r>
      <w:r>
        <w:rPr>
          <w:spacing w:val="-5"/>
        </w:rPr>
        <w:t> </w:t>
      </w:r>
      <w:r>
        <w:rPr/>
        <w:t>other</w:t>
      </w:r>
      <w:r>
        <w:rPr>
          <w:spacing w:val="-4"/>
        </w:rPr>
        <w:t> </w:t>
      </w:r>
      <w:r>
        <w:rPr/>
        <w:t>job-related</w:t>
      </w:r>
      <w:r>
        <w:rPr>
          <w:spacing w:val="-5"/>
        </w:rPr>
        <w:t> </w:t>
      </w:r>
      <w:r>
        <w:rPr/>
        <w:t>requirements</w:t>
      </w:r>
      <w:r>
        <w:rPr>
          <w:spacing w:val="-5"/>
        </w:rPr>
        <w:t> </w:t>
      </w:r>
      <w:r>
        <w:rPr/>
        <w:t>of the employment position such individual holds or desires, and who, with or without reasonable accommodation, can perform the essential functions of such position. For purposes of organizational policy, the Department differentiates between a qualified person with a disability in the area of employment and a qualified person with a disability in the area of DRS programs.</w:t>
      </w:r>
    </w:p>
    <w:p>
      <w:pPr>
        <w:pStyle w:val="ListParagraph"/>
        <w:numPr>
          <w:ilvl w:val="0"/>
          <w:numId w:val="30"/>
        </w:numPr>
        <w:tabs>
          <w:tab w:pos="1677" w:val="left" w:leader="none"/>
        </w:tabs>
        <w:spacing w:line="208" w:lineRule="auto" w:before="239" w:after="0"/>
        <w:ind w:left="1224" w:right="914" w:firstLine="0"/>
        <w:jc w:val="left"/>
        <w:rPr>
          <w:sz w:val="24"/>
        </w:rPr>
      </w:pPr>
      <w:r>
        <w:rPr>
          <w:b/>
          <w:sz w:val="24"/>
        </w:rPr>
        <w:t>Employment: </w:t>
      </w:r>
      <w:r>
        <w:rPr>
          <w:sz w:val="24"/>
        </w:rPr>
        <w:t>A qualified individual with a disability is one who, with or without</w:t>
      </w:r>
      <w:r>
        <w:rPr>
          <w:spacing w:val="-4"/>
          <w:sz w:val="24"/>
        </w:rPr>
        <w:t> </w:t>
      </w:r>
      <w:r>
        <w:rPr>
          <w:sz w:val="24"/>
        </w:rPr>
        <w:t>reasonable</w:t>
      </w:r>
      <w:r>
        <w:rPr>
          <w:spacing w:val="-5"/>
          <w:sz w:val="24"/>
        </w:rPr>
        <w:t> </w:t>
      </w:r>
      <w:r>
        <w:rPr>
          <w:sz w:val="24"/>
        </w:rPr>
        <w:t>accommodation,</w:t>
      </w:r>
      <w:r>
        <w:rPr>
          <w:spacing w:val="-4"/>
          <w:sz w:val="24"/>
        </w:rPr>
        <w:t> </w:t>
      </w:r>
      <w:r>
        <w:rPr>
          <w:sz w:val="24"/>
        </w:rPr>
        <w:t>can</w:t>
      </w:r>
      <w:r>
        <w:rPr>
          <w:spacing w:val="-5"/>
          <w:sz w:val="24"/>
        </w:rPr>
        <w:t> </w:t>
      </w:r>
      <w:r>
        <w:rPr>
          <w:sz w:val="24"/>
        </w:rPr>
        <w:t>perform</w:t>
      </w:r>
      <w:r>
        <w:rPr>
          <w:spacing w:val="-6"/>
          <w:sz w:val="24"/>
        </w:rPr>
        <w:t> </w:t>
      </w:r>
      <w:r>
        <w:rPr>
          <w:sz w:val="24"/>
        </w:rPr>
        <w:t>the</w:t>
      </w:r>
      <w:r>
        <w:rPr>
          <w:spacing w:val="-5"/>
          <w:sz w:val="24"/>
        </w:rPr>
        <w:t> </w:t>
      </w:r>
      <w:r>
        <w:rPr>
          <w:sz w:val="24"/>
        </w:rPr>
        <w:t>essential</w:t>
      </w:r>
      <w:r>
        <w:rPr>
          <w:spacing w:val="-5"/>
          <w:sz w:val="24"/>
        </w:rPr>
        <w:t> </w:t>
      </w:r>
      <w:r>
        <w:rPr>
          <w:sz w:val="24"/>
        </w:rPr>
        <w:t>functions</w:t>
      </w:r>
      <w:r>
        <w:rPr>
          <w:spacing w:val="-5"/>
          <w:sz w:val="24"/>
        </w:rPr>
        <w:t> </w:t>
      </w:r>
      <w:r>
        <w:rPr>
          <w:sz w:val="24"/>
        </w:rPr>
        <w:t>of</w:t>
      </w:r>
      <w:r>
        <w:rPr>
          <w:spacing w:val="-4"/>
          <w:sz w:val="24"/>
        </w:rPr>
        <w:t> </w:t>
      </w:r>
      <w:r>
        <w:rPr>
          <w:sz w:val="24"/>
        </w:rPr>
        <w:t>the position that the individual holds or desires. For the purposes of the ADA, consideration shall be given to the employer's judgement regarding what functions of a job are essential. If an employer has prepared a written description before advertising or interviewing applicants for the job, this description shall be considered evidence of the essential functions of the job.</w:t>
      </w:r>
    </w:p>
    <w:p>
      <w:pPr>
        <w:pStyle w:val="ListParagraph"/>
        <w:numPr>
          <w:ilvl w:val="0"/>
          <w:numId w:val="30"/>
        </w:numPr>
        <w:tabs>
          <w:tab w:pos="1677" w:val="left" w:leader="none"/>
        </w:tabs>
        <w:spacing w:line="208" w:lineRule="auto" w:before="240" w:after="0"/>
        <w:ind w:left="1224" w:right="743" w:firstLine="0"/>
        <w:jc w:val="left"/>
        <w:rPr>
          <w:sz w:val="24"/>
        </w:rPr>
      </w:pPr>
      <w:r>
        <w:rPr>
          <w:b/>
          <w:sz w:val="24"/>
        </w:rPr>
        <w:t>Programs:</w:t>
      </w:r>
      <w:r>
        <w:rPr>
          <w:b/>
          <w:spacing w:val="-3"/>
          <w:sz w:val="24"/>
        </w:rPr>
        <w:t> </w:t>
      </w:r>
      <w:r>
        <w:rPr>
          <w:sz w:val="24"/>
        </w:rPr>
        <w:t>A</w:t>
      </w:r>
      <w:r>
        <w:rPr>
          <w:spacing w:val="-4"/>
          <w:sz w:val="24"/>
        </w:rPr>
        <w:t> </w:t>
      </w:r>
      <w:r>
        <w:rPr>
          <w:sz w:val="24"/>
        </w:rPr>
        <w:t>qualified</w:t>
      </w:r>
      <w:r>
        <w:rPr>
          <w:spacing w:val="-4"/>
          <w:sz w:val="24"/>
        </w:rPr>
        <w:t> </w:t>
      </w:r>
      <w:r>
        <w:rPr>
          <w:sz w:val="24"/>
        </w:rPr>
        <w:t>individual</w:t>
      </w:r>
      <w:r>
        <w:rPr>
          <w:spacing w:val="-4"/>
          <w:sz w:val="24"/>
        </w:rPr>
        <w:t> </w:t>
      </w:r>
      <w:r>
        <w:rPr>
          <w:sz w:val="24"/>
        </w:rPr>
        <w:t>with</w:t>
      </w:r>
      <w:r>
        <w:rPr>
          <w:spacing w:val="-4"/>
          <w:sz w:val="24"/>
        </w:rPr>
        <w:t> </w:t>
      </w:r>
      <w:r>
        <w:rPr>
          <w:sz w:val="24"/>
        </w:rPr>
        <w:t>a</w:t>
      </w:r>
      <w:r>
        <w:rPr>
          <w:spacing w:val="-4"/>
          <w:sz w:val="24"/>
        </w:rPr>
        <w:t> </w:t>
      </w:r>
      <w:r>
        <w:rPr>
          <w:sz w:val="24"/>
        </w:rPr>
        <w:t>disability</w:t>
      </w:r>
      <w:r>
        <w:rPr>
          <w:spacing w:val="-4"/>
          <w:sz w:val="24"/>
        </w:rPr>
        <w:t> </w:t>
      </w:r>
      <w:r>
        <w:rPr>
          <w:sz w:val="24"/>
        </w:rPr>
        <w:t>is</w:t>
      </w:r>
      <w:r>
        <w:rPr>
          <w:spacing w:val="-4"/>
          <w:sz w:val="24"/>
        </w:rPr>
        <w:t> </w:t>
      </w:r>
      <w:r>
        <w:rPr>
          <w:sz w:val="24"/>
        </w:rPr>
        <w:t>one</w:t>
      </w:r>
      <w:r>
        <w:rPr>
          <w:spacing w:val="-4"/>
          <w:sz w:val="24"/>
        </w:rPr>
        <w:t> </w:t>
      </w:r>
      <w:r>
        <w:rPr>
          <w:sz w:val="24"/>
        </w:rPr>
        <w:t>who,</w:t>
      </w:r>
      <w:r>
        <w:rPr>
          <w:spacing w:val="-3"/>
          <w:sz w:val="24"/>
        </w:rPr>
        <w:t> </w:t>
      </w:r>
      <w:r>
        <w:rPr>
          <w:sz w:val="24"/>
        </w:rPr>
        <w:t>with</w:t>
      </w:r>
      <w:r>
        <w:rPr>
          <w:spacing w:val="-4"/>
          <w:sz w:val="24"/>
        </w:rPr>
        <w:t> </w:t>
      </w:r>
      <w:r>
        <w:rPr>
          <w:sz w:val="24"/>
        </w:rPr>
        <w:t>or</w:t>
      </w:r>
      <w:r>
        <w:rPr>
          <w:spacing w:val="-3"/>
          <w:sz w:val="24"/>
        </w:rPr>
        <w:t> </w:t>
      </w:r>
      <w:r>
        <w:rPr>
          <w:sz w:val="24"/>
        </w:rPr>
        <w:t>without reasonable modifications to rules, policies, or practices; removal of</w:t>
      </w:r>
      <w:r>
        <w:rPr>
          <w:spacing w:val="40"/>
          <w:sz w:val="24"/>
        </w:rPr>
        <w:t> </w:t>
      </w:r>
      <w:r>
        <w:rPr>
          <w:sz w:val="24"/>
        </w:rPr>
        <w:t>architectural, communication, or transportation barriers; or the provision of auxiliary aids and services, meets the essential eligibility requirements for the receipt of services or the participation in programs or activities provided by</w:t>
      </w:r>
      <w:r>
        <w:rPr>
          <w:spacing w:val="40"/>
          <w:sz w:val="24"/>
        </w:rPr>
        <w:t> </w:t>
      </w:r>
      <w:r>
        <w:rPr>
          <w:spacing w:val="-4"/>
          <w:sz w:val="24"/>
        </w:rPr>
        <w:t>DRS.</w:t>
      </w:r>
    </w:p>
    <w:p>
      <w:pPr>
        <w:pStyle w:val="Heading2"/>
        <w:spacing w:before="210"/>
        <w:ind w:left="792"/>
        <w:rPr>
          <w:b w:val="0"/>
        </w:rPr>
      </w:pPr>
      <w:r>
        <w:rPr/>
        <w:t>"Reasonable</w:t>
      </w:r>
      <w:r>
        <w:rPr>
          <w:spacing w:val="-8"/>
        </w:rPr>
        <w:t> </w:t>
      </w:r>
      <w:r>
        <w:rPr/>
        <w:t>accommodation"</w:t>
      </w:r>
      <w:r>
        <w:rPr>
          <w:spacing w:val="-7"/>
        </w:rPr>
        <w:t> </w:t>
      </w:r>
      <w:r>
        <w:rPr>
          <w:b w:val="0"/>
          <w:spacing w:val="-2"/>
        </w:rPr>
        <w:t>means:</w:t>
      </w:r>
    </w:p>
    <w:p>
      <w:pPr>
        <w:pStyle w:val="ListParagraph"/>
        <w:numPr>
          <w:ilvl w:val="0"/>
          <w:numId w:val="31"/>
        </w:numPr>
        <w:tabs>
          <w:tab w:pos="1676" w:val="left" w:leader="none"/>
        </w:tabs>
        <w:spacing w:line="208" w:lineRule="auto" w:before="233" w:after="0"/>
        <w:ind w:left="1224" w:right="1289" w:firstLine="0"/>
        <w:jc w:val="left"/>
        <w:rPr>
          <w:sz w:val="24"/>
        </w:rPr>
      </w:pPr>
      <w:r>
        <w:rPr>
          <w:sz w:val="24"/>
        </w:rPr>
        <w:t>modifications</w:t>
      </w:r>
      <w:r>
        <w:rPr>
          <w:spacing w:val="-4"/>
          <w:sz w:val="24"/>
        </w:rPr>
        <w:t> </w:t>
      </w:r>
      <w:r>
        <w:rPr>
          <w:sz w:val="24"/>
        </w:rPr>
        <w:t>or</w:t>
      </w:r>
      <w:r>
        <w:rPr>
          <w:spacing w:val="-3"/>
          <w:sz w:val="24"/>
        </w:rPr>
        <w:t> </w:t>
      </w:r>
      <w:r>
        <w:rPr>
          <w:sz w:val="24"/>
        </w:rPr>
        <w:t>adjustments</w:t>
      </w:r>
      <w:r>
        <w:rPr>
          <w:spacing w:val="-4"/>
          <w:sz w:val="24"/>
        </w:rPr>
        <w:t> </w:t>
      </w:r>
      <w:r>
        <w:rPr>
          <w:sz w:val="24"/>
        </w:rPr>
        <w:t>to</w:t>
      </w:r>
      <w:r>
        <w:rPr>
          <w:spacing w:val="-4"/>
          <w:sz w:val="24"/>
        </w:rPr>
        <w:t> </w:t>
      </w:r>
      <w:r>
        <w:rPr>
          <w:sz w:val="24"/>
        </w:rPr>
        <w:t>a</w:t>
      </w:r>
      <w:r>
        <w:rPr>
          <w:spacing w:val="-4"/>
          <w:sz w:val="24"/>
        </w:rPr>
        <w:t> </w:t>
      </w:r>
      <w:r>
        <w:rPr>
          <w:sz w:val="24"/>
        </w:rPr>
        <w:t>job</w:t>
      </w:r>
      <w:r>
        <w:rPr>
          <w:spacing w:val="-4"/>
          <w:sz w:val="24"/>
        </w:rPr>
        <w:t> </w:t>
      </w:r>
      <w:r>
        <w:rPr>
          <w:sz w:val="24"/>
        </w:rPr>
        <w:t>application</w:t>
      </w:r>
      <w:r>
        <w:rPr>
          <w:spacing w:val="-4"/>
          <w:sz w:val="24"/>
        </w:rPr>
        <w:t> </w:t>
      </w:r>
      <w:r>
        <w:rPr>
          <w:sz w:val="24"/>
        </w:rPr>
        <w:t>process</w:t>
      </w:r>
      <w:r>
        <w:rPr>
          <w:spacing w:val="-4"/>
          <w:sz w:val="24"/>
        </w:rPr>
        <w:t> </w:t>
      </w:r>
      <w:r>
        <w:rPr>
          <w:sz w:val="24"/>
        </w:rPr>
        <w:t>that</w:t>
      </w:r>
      <w:r>
        <w:rPr>
          <w:spacing w:val="-5"/>
          <w:sz w:val="24"/>
        </w:rPr>
        <w:t> </w:t>
      </w:r>
      <w:r>
        <w:rPr>
          <w:sz w:val="24"/>
        </w:rPr>
        <w:t>enable</w:t>
      </w:r>
      <w:r>
        <w:rPr>
          <w:spacing w:val="-4"/>
          <w:sz w:val="24"/>
        </w:rPr>
        <w:t> </w:t>
      </w:r>
      <w:r>
        <w:rPr>
          <w:sz w:val="24"/>
        </w:rPr>
        <w:t>a qualified applicant with a disability to be considered for the position such qualified applicant desires; or</w:t>
      </w:r>
    </w:p>
    <w:p>
      <w:pPr>
        <w:pStyle w:val="ListParagraph"/>
        <w:numPr>
          <w:ilvl w:val="0"/>
          <w:numId w:val="31"/>
        </w:numPr>
        <w:tabs>
          <w:tab w:pos="1676" w:val="left" w:leader="none"/>
        </w:tabs>
        <w:spacing w:line="208" w:lineRule="auto" w:before="240" w:after="0"/>
        <w:ind w:left="1224" w:right="915" w:firstLine="0"/>
        <w:jc w:val="left"/>
        <w:rPr>
          <w:sz w:val="24"/>
        </w:rPr>
      </w:pPr>
      <w:r>
        <w:rPr>
          <w:sz w:val="24"/>
        </w:rPr>
        <w:t>modifications</w:t>
      </w:r>
      <w:r>
        <w:rPr>
          <w:spacing w:val="-4"/>
          <w:sz w:val="24"/>
        </w:rPr>
        <w:t> </w:t>
      </w:r>
      <w:r>
        <w:rPr>
          <w:sz w:val="24"/>
        </w:rPr>
        <w:t>or</w:t>
      </w:r>
      <w:r>
        <w:rPr>
          <w:spacing w:val="-3"/>
          <w:sz w:val="24"/>
        </w:rPr>
        <w:t> </w:t>
      </w:r>
      <w:r>
        <w:rPr>
          <w:sz w:val="24"/>
        </w:rPr>
        <w:t>adjustments</w:t>
      </w:r>
      <w:r>
        <w:rPr>
          <w:spacing w:val="-4"/>
          <w:sz w:val="24"/>
        </w:rPr>
        <w:t> </w:t>
      </w:r>
      <w:r>
        <w:rPr>
          <w:sz w:val="24"/>
        </w:rPr>
        <w:t>to</w:t>
      </w:r>
      <w:r>
        <w:rPr>
          <w:spacing w:val="-4"/>
          <w:sz w:val="24"/>
        </w:rPr>
        <w:t> </w:t>
      </w:r>
      <w:r>
        <w:rPr>
          <w:sz w:val="24"/>
        </w:rPr>
        <w:t>the</w:t>
      </w:r>
      <w:r>
        <w:rPr>
          <w:spacing w:val="-4"/>
          <w:sz w:val="24"/>
        </w:rPr>
        <w:t> </w:t>
      </w:r>
      <w:r>
        <w:rPr>
          <w:sz w:val="24"/>
        </w:rPr>
        <w:t>work</w:t>
      </w:r>
      <w:r>
        <w:rPr>
          <w:spacing w:val="-5"/>
          <w:sz w:val="24"/>
        </w:rPr>
        <w:t> </w:t>
      </w:r>
      <w:r>
        <w:rPr>
          <w:sz w:val="24"/>
        </w:rPr>
        <w:t>environment,</w:t>
      </w:r>
      <w:r>
        <w:rPr>
          <w:spacing w:val="-3"/>
          <w:sz w:val="24"/>
        </w:rPr>
        <w:t> </w:t>
      </w:r>
      <w:r>
        <w:rPr>
          <w:sz w:val="24"/>
        </w:rPr>
        <w:t>or</w:t>
      </w:r>
      <w:r>
        <w:rPr>
          <w:spacing w:val="-5"/>
          <w:sz w:val="24"/>
        </w:rPr>
        <w:t> </w:t>
      </w:r>
      <w:r>
        <w:rPr>
          <w:sz w:val="24"/>
        </w:rPr>
        <w:t>to</w:t>
      </w:r>
      <w:r>
        <w:rPr>
          <w:spacing w:val="-5"/>
          <w:sz w:val="24"/>
        </w:rPr>
        <w:t> </w:t>
      </w:r>
      <w:r>
        <w:rPr>
          <w:sz w:val="24"/>
        </w:rPr>
        <w:t>the</w:t>
      </w:r>
      <w:r>
        <w:rPr>
          <w:spacing w:val="-4"/>
          <w:sz w:val="24"/>
        </w:rPr>
        <w:t> </w:t>
      </w:r>
      <w:r>
        <w:rPr>
          <w:sz w:val="24"/>
        </w:rPr>
        <w:t>manner</w:t>
      </w:r>
      <w:r>
        <w:rPr>
          <w:spacing w:val="-3"/>
          <w:sz w:val="24"/>
        </w:rPr>
        <w:t> </w:t>
      </w:r>
      <w:r>
        <w:rPr>
          <w:sz w:val="24"/>
        </w:rPr>
        <w:t>or circumstances under which the position held or desired is customarily performed, that enable a qualified individual with a disability to perform the essential functions of that position; or</w:t>
      </w:r>
    </w:p>
    <w:p>
      <w:pPr>
        <w:pStyle w:val="ListParagraph"/>
        <w:numPr>
          <w:ilvl w:val="0"/>
          <w:numId w:val="31"/>
        </w:numPr>
        <w:tabs>
          <w:tab w:pos="1689" w:val="left" w:leader="none"/>
        </w:tabs>
        <w:spacing w:line="208" w:lineRule="auto" w:before="239" w:after="0"/>
        <w:ind w:left="1224" w:right="721" w:firstLine="0"/>
        <w:jc w:val="left"/>
        <w:rPr>
          <w:sz w:val="24"/>
        </w:rPr>
      </w:pPr>
      <w:r>
        <w:rPr>
          <w:sz w:val="24"/>
        </w:rPr>
        <w:t>modifications</w:t>
      </w:r>
      <w:r>
        <w:rPr>
          <w:spacing w:val="-4"/>
          <w:sz w:val="24"/>
        </w:rPr>
        <w:t> </w:t>
      </w:r>
      <w:r>
        <w:rPr>
          <w:sz w:val="24"/>
        </w:rPr>
        <w:t>or</w:t>
      </w:r>
      <w:r>
        <w:rPr>
          <w:spacing w:val="-3"/>
          <w:sz w:val="24"/>
        </w:rPr>
        <w:t> </w:t>
      </w:r>
      <w:r>
        <w:rPr>
          <w:sz w:val="24"/>
        </w:rPr>
        <w:t>adjustments</w:t>
      </w:r>
      <w:r>
        <w:rPr>
          <w:spacing w:val="-4"/>
          <w:sz w:val="24"/>
        </w:rPr>
        <w:t> </w:t>
      </w:r>
      <w:r>
        <w:rPr>
          <w:sz w:val="24"/>
        </w:rPr>
        <w:t>that</w:t>
      </w:r>
      <w:r>
        <w:rPr>
          <w:spacing w:val="-3"/>
          <w:sz w:val="24"/>
        </w:rPr>
        <w:t> </w:t>
      </w:r>
      <w:r>
        <w:rPr>
          <w:sz w:val="24"/>
        </w:rPr>
        <w:t>enable</w:t>
      </w:r>
      <w:r>
        <w:rPr>
          <w:spacing w:val="-3"/>
          <w:sz w:val="24"/>
        </w:rPr>
        <w:t> </w:t>
      </w:r>
      <w:r>
        <w:rPr>
          <w:sz w:val="24"/>
        </w:rPr>
        <w:t>a</w:t>
      </w:r>
      <w:r>
        <w:rPr>
          <w:spacing w:val="-4"/>
          <w:sz w:val="24"/>
        </w:rPr>
        <w:t> </w:t>
      </w:r>
      <w:r>
        <w:rPr>
          <w:sz w:val="24"/>
        </w:rPr>
        <w:t>covered</w:t>
      </w:r>
      <w:r>
        <w:rPr>
          <w:spacing w:val="-5"/>
          <w:sz w:val="24"/>
        </w:rPr>
        <w:t> </w:t>
      </w:r>
      <w:r>
        <w:rPr>
          <w:sz w:val="24"/>
        </w:rPr>
        <w:t>entity's</w:t>
      </w:r>
      <w:r>
        <w:rPr>
          <w:spacing w:val="-4"/>
          <w:sz w:val="24"/>
        </w:rPr>
        <w:t> </w:t>
      </w:r>
      <w:r>
        <w:rPr>
          <w:sz w:val="24"/>
        </w:rPr>
        <w:t>employee</w:t>
      </w:r>
      <w:r>
        <w:rPr>
          <w:spacing w:val="-4"/>
          <w:sz w:val="24"/>
        </w:rPr>
        <w:t> </w:t>
      </w:r>
      <w:r>
        <w:rPr>
          <w:sz w:val="24"/>
        </w:rPr>
        <w:t>with</w:t>
      </w:r>
      <w:r>
        <w:rPr>
          <w:spacing w:val="-3"/>
          <w:sz w:val="24"/>
        </w:rPr>
        <w:t> </w:t>
      </w:r>
      <w:r>
        <w:rPr>
          <w:sz w:val="24"/>
        </w:rPr>
        <w:t>a disability to enjoy equal benefits and privileges of employment as are enjoyed</w:t>
      </w:r>
      <w:r>
        <w:rPr>
          <w:sz w:val="24"/>
        </w:rPr>
        <w:t> by its other similarly situated employees without disabilities.</w:t>
      </w:r>
    </w:p>
    <w:p>
      <w:pPr>
        <w:pStyle w:val="BodyText"/>
        <w:spacing w:line="208" w:lineRule="auto"/>
        <w:ind w:right="775" w:firstLine="432"/>
      </w:pPr>
      <w:r>
        <w:rPr>
          <w:b/>
        </w:rPr>
        <w:t>"Relationship or association with an individual with a disability" </w:t>
      </w:r>
      <w:r>
        <w:rPr/>
        <w:t>means a qualified individual with or without a disability who has a known relationship or association with an individual who has a known disability. While such individuals are protected</w:t>
      </w:r>
      <w:r>
        <w:rPr>
          <w:spacing w:val="-4"/>
        </w:rPr>
        <w:t> </w:t>
      </w:r>
      <w:r>
        <w:rPr/>
        <w:t>from</w:t>
      </w:r>
      <w:r>
        <w:rPr>
          <w:spacing w:val="-3"/>
        </w:rPr>
        <w:t> </w:t>
      </w:r>
      <w:r>
        <w:rPr/>
        <w:t>discrimination</w:t>
      </w:r>
      <w:r>
        <w:rPr>
          <w:spacing w:val="-4"/>
        </w:rPr>
        <w:t> </w:t>
      </w:r>
      <w:r>
        <w:rPr/>
        <w:t>in</w:t>
      </w:r>
      <w:r>
        <w:rPr>
          <w:spacing w:val="-4"/>
        </w:rPr>
        <w:t> </w:t>
      </w:r>
      <w:r>
        <w:rPr/>
        <w:t>terms</w:t>
      </w:r>
      <w:r>
        <w:rPr>
          <w:spacing w:val="-4"/>
        </w:rPr>
        <w:t> </w:t>
      </w:r>
      <w:r>
        <w:rPr/>
        <w:t>of</w:t>
      </w:r>
      <w:r>
        <w:rPr>
          <w:spacing w:val="-5"/>
        </w:rPr>
        <w:t> </w:t>
      </w:r>
      <w:r>
        <w:rPr/>
        <w:t>equal</w:t>
      </w:r>
      <w:r>
        <w:rPr>
          <w:spacing w:val="-4"/>
        </w:rPr>
        <w:t> </w:t>
      </w:r>
      <w:r>
        <w:rPr/>
        <w:t>jobs</w:t>
      </w:r>
      <w:r>
        <w:rPr>
          <w:spacing w:val="-4"/>
        </w:rPr>
        <w:t> </w:t>
      </w:r>
      <w:r>
        <w:rPr/>
        <w:t>and</w:t>
      </w:r>
      <w:r>
        <w:rPr>
          <w:spacing w:val="-3"/>
        </w:rPr>
        <w:t> </w:t>
      </w:r>
      <w:r>
        <w:rPr/>
        <w:t>benefits,</w:t>
      </w:r>
      <w:r>
        <w:rPr>
          <w:spacing w:val="-3"/>
        </w:rPr>
        <w:t> </w:t>
      </w:r>
      <w:r>
        <w:rPr/>
        <w:t>and</w:t>
      </w:r>
      <w:r>
        <w:rPr>
          <w:spacing w:val="-4"/>
        </w:rPr>
        <w:t> </w:t>
      </w:r>
      <w:r>
        <w:rPr/>
        <w:t>equal</w:t>
      </w:r>
      <w:r>
        <w:rPr>
          <w:spacing w:val="-4"/>
        </w:rPr>
        <w:t> </w:t>
      </w:r>
      <w:r>
        <w:rPr/>
        <w:t>programs and activities, there is no requirement for an employer to provide a person without a disability with a reasonable accommodation. This duty only applies to qualified applicants or employees with disabilities.</w:t>
      </w:r>
    </w:p>
    <w:p>
      <w:pPr>
        <w:pStyle w:val="BodyText"/>
        <w:spacing w:after="0" w:line="208" w:lineRule="auto"/>
        <w:sectPr>
          <w:pgSz w:w="12240" w:h="15840"/>
          <w:pgMar w:top="1340" w:bottom="280" w:left="1080" w:right="720"/>
        </w:sectPr>
      </w:pPr>
    </w:p>
    <w:p>
      <w:pPr>
        <w:spacing w:before="67"/>
        <w:ind w:left="791" w:right="0" w:firstLine="0"/>
        <w:jc w:val="left"/>
        <w:rPr>
          <w:sz w:val="24"/>
        </w:rPr>
      </w:pPr>
      <w:r>
        <w:rPr>
          <w:b/>
          <w:sz w:val="24"/>
        </w:rPr>
        <w:t>"Substantially</w:t>
      </w:r>
      <w:r>
        <w:rPr>
          <w:b/>
          <w:spacing w:val="-6"/>
          <w:sz w:val="24"/>
        </w:rPr>
        <w:t> </w:t>
      </w:r>
      <w:r>
        <w:rPr>
          <w:b/>
          <w:sz w:val="24"/>
        </w:rPr>
        <w:t>limits"</w:t>
      </w:r>
      <w:r>
        <w:rPr>
          <w:b/>
          <w:spacing w:val="-5"/>
          <w:sz w:val="24"/>
        </w:rPr>
        <w:t> </w:t>
      </w:r>
      <w:r>
        <w:rPr>
          <w:spacing w:val="-2"/>
          <w:sz w:val="24"/>
        </w:rPr>
        <w:t>means:</w:t>
      </w:r>
    </w:p>
    <w:p>
      <w:pPr>
        <w:pStyle w:val="ListParagraph"/>
        <w:numPr>
          <w:ilvl w:val="0"/>
          <w:numId w:val="32"/>
        </w:numPr>
        <w:tabs>
          <w:tab w:pos="1677" w:val="left" w:leader="none"/>
        </w:tabs>
        <w:spacing w:line="208" w:lineRule="auto" w:before="233" w:after="0"/>
        <w:ind w:left="1224" w:right="1582" w:firstLine="0"/>
        <w:jc w:val="left"/>
        <w:rPr>
          <w:sz w:val="24"/>
        </w:rPr>
      </w:pPr>
      <w:r>
        <w:rPr>
          <w:sz w:val="24"/>
        </w:rPr>
        <w:t>unable</w:t>
      </w:r>
      <w:r>
        <w:rPr>
          <w:spacing w:val="-4"/>
          <w:sz w:val="24"/>
        </w:rPr>
        <w:t> </w:t>
      </w:r>
      <w:r>
        <w:rPr>
          <w:sz w:val="24"/>
        </w:rPr>
        <w:t>to</w:t>
      </w:r>
      <w:r>
        <w:rPr>
          <w:spacing w:val="-4"/>
          <w:sz w:val="24"/>
        </w:rPr>
        <w:t> </w:t>
      </w:r>
      <w:r>
        <w:rPr>
          <w:sz w:val="24"/>
        </w:rPr>
        <w:t>perform</w:t>
      </w:r>
      <w:r>
        <w:rPr>
          <w:spacing w:val="-5"/>
          <w:sz w:val="24"/>
        </w:rPr>
        <w:t> </w:t>
      </w:r>
      <w:r>
        <w:rPr>
          <w:sz w:val="24"/>
        </w:rPr>
        <w:t>a</w:t>
      </w:r>
      <w:r>
        <w:rPr>
          <w:spacing w:val="-4"/>
          <w:sz w:val="24"/>
        </w:rPr>
        <w:t> </w:t>
      </w:r>
      <w:r>
        <w:rPr>
          <w:sz w:val="24"/>
        </w:rPr>
        <w:t>major</w:t>
      </w:r>
      <w:r>
        <w:rPr>
          <w:spacing w:val="-3"/>
          <w:sz w:val="24"/>
        </w:rPr>
        <w:t> </w:t>
      </w:r>
      <w:r>
        <w:rPr>
          <w:sz w:val="24"/>
        </w:rPr>
        <w:t>life</w:t>
      </w:r>
      <w:r>
        <w:rPr>
          <w:spacing w:val="-4"/>
          <w:sz w:val="24"/>
        </w:rPr>
        <w:t> </w:t>
      </w:r>
      <w:r>
        <w:rPr>
          <w:sz w:val="24"/>
        </w:rPr>
        <w:t>activity</w:t>
      </w:r>
      <w:r>
        <w:rPr>
          <w:spacing w:val="-4"/>
          <w:sz w:val="24"/>
        </w:rPr>
        <w:t> </w:t>
      </w:r>
      <w:r>
        <w:rPr>
          <w:sz w:val="24"/>
        </w:rPr>
        <w:t>that</w:t>
      </w:r>
      <w:r>
        <w:rPr>
          <w:spacing w:val="-3"/>
          <w:sz w:val="24"/>
        </w:rPr>
        <w:t> </w:t>
      </w:r>
      <w:r>
        <w:rPr>
          <w:sz w:val="24"/>
        </w:rPr>
        <w:t>the</w:t>
      </w:r>
      <w:r>
        <w:rPr>
          <w:spacing w:val="-4"/>
          <w:sz w:val="24"/>
        </w:rPr>
        <w:t> </w:t>
      </w:r>
      <w:r>
        <w:rPr>
          <w:sz w:val="24"/>
        </w:rPr>
        <w:t>average</w:t>
      </w:r>
      <w:r>
        <w:rPr>
          <w:spacing w:val="-4"/>
          <w:sz w:val="24"/>
        </w:rPr>
        <w:t> </w:t>
      </w:r>
      <w:r>
        <w:rPr>
          <w:sz w:val="24"/>
        </w:rPr>
        <w:t>person</w:t>
      </w:r>
      <w:r>
        <w:rPr>
          <w:spacing w:val="-4"/>
          <w:sz w:val="24"/>
        </w:rPr>
        <w:t> </w:t>
      </w:r>
      <w:r>
        <w:rPr>
          <w:sz w:val="24"/>
        </w:rPr>
        <w:t>in</w:t>
      </w:r>
      <w:r>
        <w:rPr>
          <w:spacing w:val="-4"/>
          <w:sz w:val="24"/>
        </w:rPr>
        <w:t> </w:t>
      </w:r>
      <w:r>
        <w:rPr>
          <w:sz w:val="24"/>
        </w:rPr>
        <w:t>the general population can perform; or</w:t>
      </w:r>
    </w:p>
    <w:p>
      <w:pPr>
        <w:pStyle w:val="ListParagraph"/>
        <w:numPr>
          <w:ilvl w:val="0"/>
          <w:numId w:val="32"/>
        </w:numPr>
        <w:tabs>
          <w:tab w:pos="1676" w:val="left" w:leader="none"/>
        </w:tabs>
        <w:spacing w:line="208" w:lineRule="auto" w:before="240" w:after="0"/>
        <w:ind w:left="1223" w:right="929" w:firstLine="0"/>
        <w:jc w:val="left"/>
        <w:rPr>
          <w:sz w:val="24"/>
        </w:rPr>
      </w:pPr>
      <w:r>
        <w:rPr>
          <w:sz w:val="24"/>
        </w:rPr>
        <w:t>significantly</w:t>
      </w:r>
      <w:r>
        <w:rPr>
          <w:spacing w:val="-4"/>
          <w:sz w:val="24"/>
        </w:rPr>
        <w:t> </w:t>
      </w:r>
      <w:r>
        <w:rPr>
          <w:sz w:val="24"/>
        </w:rPr>
        <w:t>restricted</w:t>
      </w:r>
      <w:r>
        <w:rPr>
          <w:spacing w:val="-4"/>
          <w:sz w:val="24"/>
        </w:rPr>
        <w:t> </w:t>
      </w:r>
      <w:r>
        <w:rPr>
          <w:sz w:val="24"/>
        </w:rPr>
        <w:t>as</w:t>
      </w:r>
      <w:r>
        <w:rPr>
          <w:spacing w:val="-4"/>
          <w:sz w:val="24"/>
        </w:rPr>
        <w:t> </w:t>
      </w:r>
      <w:r>
        <w:rPr>
          <w:sz w:val="24"/>
        </w:rPr>
        <w:t>to</w:t>
      </w:r>
      <w:r>
        <w:rPr>
          <w:spacing w:val="-5"/>
          <w:sz w:val="24"/>
        </w:rPr>
        <w:t> </w:t>
      </w:r>
      <w:r>
        <w:rPr>
          <w:sz w:val="24"/>
        </w:rPr>
        <w:t>the</w:t>
      </w:r>
      <w:r>
        <w:rPr>
          <w:spacing w:val="-4"/>
          <w:sz w:val="24"/>
        </w:rPr>
        <w:t> </w:t>
      </w:r>
      <w:r>
        <w:rPr>
          <w:sz w:val="24"/>
        </w:rPr>
        <w:t>condition,</w:t>
      </w:r>
      <w:r>
        <w:rPr>
          <w:spacing w:val="-2"/>
          <w:sz w:val="24"/>
        </w:rPr>
        <w:t> </w:t>
      </w:r>
      <w:r>
        <w:rPr>
          <w:sz w:val="24"/>
        </w:rPr>
        <w:t>manner</w:t>
      </w:r>
      <w:r>
        <w:rPr>
          <w:spacing w:val="-3"/>
          <w:sz w:val="24"/>
        </w:rPr>
        <w:t> </w:t>
      </w:r>
      <w:r>
        <w:rPr>
          <w:sz w:val="24"/>
        </w:rPr>
        <w:t>or</w:t>
      </w:r>
      <w:r>
        <w:rPr>
          <w:spacing w:val="-5"/>
          <w:sz w:val="24"/>
        </w:rPr>
        <w:t> </w:t>
      </w:r>
      <w:r>
        <w:rPr>
          <w:sz w:val="24"/>
        </w:rPr>
        <w:t>duration</w:t>
      </w:r>
      <w:r>
        <w:rPr>
          <w:spacing w:val="-4"/>
          <w:sz w:val="24"/>
        </w:rPr>
        <w:t> </w:t>
      </w:r>
      <w:r>
        <w:rPr>
          <w:sz w:val="24"/>
        </w:rPr>
        <w:t>under</w:t>
      </w:r>
      <w:r>
        <w:rPr>
          <w:spacing w:val="-3"/>
          <w:sz w:val="24"/>
        </w:rPr>
        <w:t> </w:t>
      </w:r>
      <w:r>
        <w:rPr>
          <w:sz w:val="24"/>
        </w:rPr>
        <w:t>which an individual can perform a particular major life activity as compared to the condition, manner, or duration under which the average person in the general population can perform that same major life activity.</w:t>
      </w:r>
    </w:p>
    <w:p>
      <w:pPr>
        <w:pStyle w:val="BodyText"/>
        <w:spacing w:line="208" w:lineRule="auto" w:before="239"/>
        <w:ind w:left="359" w:right="739" w:firstLine="432"/>
      </w:pPr>
      <w:r>
        <w:rPr>
          <w:b/>
        </w:rPr>
        <w:t>"Undue hardship" </w:t>
      </w:r>
      <w:r>
        <w:rPr/>
        <w:t>means, with respect to the provision of an accommodation, significant difficulty or expense incurred by a covered entity. The concept of undue hardship is not limited to financial difficulty. Undue hardship refers to any accommodation</w:t>
      </w:r>
      <w:r>
        <w:rPr>
          <w:spacing w:val="-4"/>
        </w:rPr>
        <w:t> </w:t>
      </w:r>
      <w:r>
        <w:rPr/>
        <w:t>that</w:t>
      </w:r>
      <w:r>
        <w:rPr>
          <w:spacing w:val="-3"/>
        </w:rPr>
        <w:t> </w:t>
      </w:r>
      <w:r>
        <w:rPr/>
        <w:t>would</w:t>
      </w:r>
      <w:r>
        <w:rPr>
          <w:spacing w:val="-4"/>
        </w:rPr>
        <w:t> </w:t>
      </w:r>
      <w:r>
        <w:rPr/>
        <w:t>be</w:t>
      </w:r>
      <w:r>
        <w:rPr>
          <w:spacing w:val="-4"/>
        </w:rPr>
        <w:t> </w:t>
      </w:r>
      <w:r>
        <w:rPr/>
        <w:t>unduly</w:t>
      </w:r>
      <w:r>
        <w:rPr>
          <w:spacing w:val="-4"/>
        </w:rPr>
        <w:t> </w:t>
      </w:r>
      <w:r>
        <w:rPr/>
        <w:t>costly,</w:t>
      </w:r>
      <w:r>
        <w:rPr>
          <w:spacing w:val="-3"/>
        </w:rPr>
        <w:t> </w:t>
      </w:r>
      <w:r>
        <w:rPr/>
        <w:t>extensive,</w:t>
      </w:r>
      <w:r>
        <w:rPr>
          <w:spacing w:val="-3"/>
        </w:rPr>
        <w:t> </w:t>
      </w:r>
      <w:r>
        <w:rPr/>
        <w:t>substantial,</w:t>
      </w:r>
      <w:r>
        <w:rPr>
          <w:spacing w:val="-2"/>
        </w:rPr>
        <w:t> </w:t>
      </w:r>
      <w:r>
        <w:rPr/>
        <w:t>or</w:t>
      </w:r>
      <w:r>
        <w:rPr>
          <w:spacing w:val="-3"/>
        </w:rPr>
        <w:t> </w:t>
      </w:r>
      <w:r>
        <w:rPr/>
        <w:t>disruptive,</w:t>
      </w:r>
      <w:r>
        <w:rPr>
          <w:spacing w:val="-3"/>
        </w:rPr>
        <w:t> </w:t>
      </w:r>
      <w:r>
        <w:rPr/>
        <w:t>or</w:t>
      </w:r>
      <w:r>
        <w:rPr>
          <w:spacing w:val="-5"/>
        </w:rPr>
        <w:t> </w:t>
      </w:r>
      <w:r>
        <w:rPr/>
        <w:t>that would fundamentally alter the nature or operation of the business.</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tabs>
          <w:tab w:pos="1439" w:val="left" w:leader="none"/>
        </w:tabs>
        <w:spacing w:before="0"/>
        <w:ind w:left="359" w:right="2686" w:firstLine="0"/>
        <w:jc w:val="left"/>
        <w:rPr>
          <w:sz w:val="22"/>
        </w:rPr>
      </w:pPr>
      <w:r>
        <w:rPr>
          <w:spacing w:val="-2"/>
          <w:sz w:val="22"/>
        </w:rPr>
        <w:t>7-1-13</w:t>
      </w:r>
      <w:r>
        <w:rPr>
          <w:sz w:val="22"/>
        </w:rPr>
        <w:tab/>
        <w:t>Permanent,</w:t>
      </w:r>
      <w:r>
        <w:rPr>
          <w:spacing w:val="-6"/>
          <w:sz w:val="22"/>
        </w:rPr>
        <w:t> </w:t>
      </w:r>
      <w:r>
        <w:rPr>
          <w:sz w:val="22"/>
        </w:rPr>
        <w:t>Changed</w:t>
      </w:r>
      <w:r>
        <w:rPr>
          <w:spacing w:val="-7"/>
          <w:sz w:val="22"/>
        </w:rPr>
        <w:t> </w:t>
      </w:r>
      <w:r>
        <w:rPr>
          <w:sz w:val="22"/>
        </w:rPr>
        <w:t>Mental</w:t>
      </w:r>
      <w:r>
        <w:rPr>
          <w:spacing w:val="-7"/>
          <w:sz w:val="22"/>
        </w:rPr>
        <w:t> </w:t>
      </w:r>
      <w:r>
        <w:rPr>
          <w:sz w:val="22"/>
        </w:rPr>
        <w:t>Retardation</w:t>
      </w:r>
      <w:r>
        <w:rPr>
          <w:spacing w:val="-7"/>
          <w:sz w:val="22"/>
        </w:rPr>
        <w:t> </w:t>
      </w:r>
      <w:r>
        <w:rPr>
          <w:sz w:val="22"/>
        </w:rPr>
        <w:t>to</w:t>
      </w:r>
      <w:r>
        <w:rPr>
          <w:spacing w:val="-7"/>
          <w:sz w:val="22"/>
        </w:rPr>
        <w:t> </w:t>
      </w:r>
      <w:r>
        <w:rPr>
          <w:sz w:val="22"/>
        </w:rPr>
        <w:t>Intellectual</w:t>
      </w:r>
      <w:r>
        <w:rPr>
          <w:spacing w:val="-7"/>
          <w:sz w:val="22"/>
        </w:rPr>
        <w:t> </w:t>
      </w:r>
      <w:r>
        <w:rPr>
          <w:sz w:val="22"/>
        </w:rPr>
        <w:t>Disability </w:t>
      </w:r>
      <w:r>
        <w:rPr>
          <w:spacing w:val="-2"/>
          <w:sz w:val="22"/>
        </w:rPr>
        <w:t>8-27-15</w:t>
      </w:r>
      <w:r>
        <w:rPr>
          <w:sz w:val="22"/>
        </w:rPr>
        <w:tab/>
        <w:t>Updated language</w:t>
      </w:r>
    </w:p>
    <w:p>
      <w:pPr>
        <w:spacing w:after="0"/>
        <w:jc w:val="left"/>
        <w:rPr>
          <w:sz w:val="22"/>
        </w:rPr>
        <w:sectPr>
          <w:pgSz w:w="12240" w:h="15840"/>
          <w:pgMar w:top="1340" w:bottom="280" w:left="1080" w:right="720"/>
        </w:sectPr>
      </w:pPr>
    </w:p>
    <w:p>
      <w:pPr>
        <w:pStyle w:val="Heading2"/>
      </w:pPr>
      <w:bookmarkStart w:name="612:1-11-3.  Legal basis" w:id="35"/>
      <w:bookmarkEnd w:id="35"/>
      <w:r>
        <w:rPr>
          <w:b w:val="0"/>
        </w:rPr>
      </w:r>
      <w:r>
        <w:rPr/>
        <w:t>612:1-11-3.</w:t>
      </w:r>
      <w:r>
        <w:rPr>
          <w:spacing w:val="59"/>
        </w:rPr>
        <w:t> </w:t>
      </w:r>
      <w:r>
        <w:rPr/>
        <w:t>Legal</w:t>
      </w:r>
      <w:r>
        <w:rPr>
          <w:spacing w:val="-2"/>
        </w:rPr>
        <w:t> basis</w:t>
      </w:r>
    </w:p>
    <w:p>
      <w:pPr>
        <w:pStyle w:val="ListParagraph"/>
        <w:numPr>
          <w:ilvl w:val="0"/>
          <w:numId w:val="33"/>
        </w:numPr>
        <w:tabs>
          <w:tab w:pos="786" w:val="left" w:leader="none"/>
        </w:tabs>
        <w:spacing w:line="208" w:lineRule="auto" w:before="233" w:after="0"/>
        <w:ind w:left="360" w:right="822" w:firstLine="0"/>
        <w:jc w:val="left"/>
        <w:rPr>
          <w:sz w:val="24"/>
        </w:rPr>
      </w:pPr>
      <w:r>
        <w:rPr>
          <w:sz w:val="24"/>
        </w:rPr>
        <w:t>The</w:t>
      </w:r>
      <w:r>
        <w:rPr>
          <w:spacing w:val="-4"/>
          <w:sz w:val="24"/>
        </w:rPr>
        <w:t> </w:t>
      </w:r>
      <w:r>
        <w:rPr>
          <w:sz w:val="24"/>
        </w:rPr>
        <w:t>Americans</w:t>
      </w:r>
      <w:r>
        <w:rPr>
          <w:spacing w:val="-4"/>
          <w:sz w:val="24"/>
        </w:rPr>
        <w:t> </w:t>
      </w:r>
      <w:r>
        <w:rPr>
          <w:sz w:val="24"/>
        </w:rPr>
        <w:t>with</w:t>
      </w:r>
      <w:r>
        <w:rPr>
          <w:spacing w:val="-4"/>
          <w:sz w:val="24"/>
        </w:rPr>
        <w:t> </w:t>
      </w:r>
      <w:r>
        <w:rPr>
          <w:sz w:val="24"/>
        </w:rPr>
        <w:t>Disabilities</w:t>
      </w:r>
      <w:r>
        <w:rPr>
          <w:spacing w:val="-4"/>
          <w:sz w:val="24"/>
        </w:rPr>
        <w:t> </w:t>
      </w:r>
      <w:r>
        <w:rPr>
          <w:sz w:val="24"/>
        </w:rPr>
        <w:t>Act</w:t>
      </w:r>
      <w:r>
        <w:rPr>
          <w:spacing w:val="-3"/>
          <w:sz w:val="24"/>
        </w:rPr>
        <w:t> </w:t>
      </w:r>
      <w:r>
        <w:rPr>
          <w:sz w:val="24"/>
        </w:rPr>
        <w:t>(hereinafter</w:t>
      </w:r>
      <w:r>
        <w:rPr>
          <w:spacing w:val="-3"/>
          <w:sz w:val="24"/>
        </w:rPr>
        <w:t> </w:t>
      </w:r>
      <w:r>
        <w:rPr>
          <w:sz w:val="24"/>
        </w:rPr>
        <w:t>referred</w:t>
      </w:r>
      <w:r>
        <w:rPr>
          <w:spacing w:val="-4"/>
          <w:sz w:val="24"/>
        </w:rPr>
        <w:t> </w:t>
      </w:r>
      <w:r>
        <w:rPr>
          <w:sz w:val="24"/>
        </w:rPr>
        <w:t>to</w:t>
      </w:r>
      <w:r>
        <w:rPr>
          <w:spacing w:val="-4"/>
          <w:sz w:val="24"/>
        </w:rPr>
        <w:t> </w:t>
      </w:r>
      <w:r>
        <w:rPr>
          <w:sz w:val="24"/>
        </w:rPr>
        <w:t>as</w:t>
      </w:r>
      <w:r>
        <w:rPr>
          <w:spacing w:val="-5"/>
          <w:sz w:val="24"/>
        </w:rPr>
        <w:t> </w:t>
      </w:r>
      <w:r>
        <w:rPr>
          <w:sz w:val="24"/>
        </w:rPr>
        <w:t>the</w:t>
      </w:r>
      <w:r>
        <w:rPr>
          <w:spacing w:val="-4"/>
          <w:sz w:val="24"/>
        </w:rPr>
        <w:t> </w:t>
      </w:r>
      <w:r>
        <w:rPr>
          <w:sz w:val="24"/>
        </w:rPr>
        <w:t>ADA)</w:t>
      </w:r>
      <w:r>
        <w:rPr>
          <w:spacing w:val="-3"/>
          <w:sz w:val="24"/>
        </w:rPr>
        <w:t> </w:t>
      </w:r>
      <w:r>
        <w:rPr>
          <w:sz w:val="24"/>
        </w:rPr>
        <w:t>was</w:t>
      </w:r>
      <w:r>
        <w:rPr>
          <w:spacing w:val="-4"/>
          <w:sz w:val="24"/>
        </w:rPr>
        <w:t> </w:t>
      </w:r>
      <w:r>
        <w:rPr>
          <w:sz w:val="24"/>
        </w:rPr>
        <w:t>signed into law on July 26, 1990 [42 USC 12101]. Effective January 26, 1992, Title II of the ADA prohibits state and local agencies from discriminating against any qualified individual with a disability in all programs, services or activities provided or made available by such public entities, regardless of whether federal funds are received.</w:t>
      </w:r>
    </w:p>
    <w:p>
      <w:pPr>
        <w:pStyle w:val="ListParagraph"/>
        <w:numPr>
          <w:ilvl w:val="0"/>
          <w:numId w:val="33"/>
        </w:numPr>
        <w:tabs>
          <w:tab w:pos="786" w:val="left" w:leader="none"/>
        </w:tabs>
        <w:spacing w:line="208" w:lineRule="auto" w:before="239" w:after="0"/>
        <w:ind w:left="360" w:right="859" w:firstLine="0"/>
        <w:jc w:val="left"/>
        <w:rPr>
          <w:sz w:val="24"/>
        </w:rPr>
      </w:pPr>
      <w:r>
        <w:rPr>
          <w:sz w:val="24"/>
        </w:rPr>
        <w:t>Legislative groundwork for</w:t>
      </w:r>
      <w:r>
        <w:rPr>
          <w:spacing w:val="-1"/>
          <w:sz w:val="24"/>
        </w:rPr>
        <w:t> </w:t>
      </w:r>
      <w:r>
        <w:rPr>
          <w:sz w:val="24"/>
        </w:rPr>
        <w:t>the ADA can be found in the Rehabilitation Act of 1973, which</w:t>
      </w:r>
      <w:r>
        <w:rPr>
          <w:spacing w:val="-4"/>
          <w:sz w:val="24"/>
        </w:rPr>
        <w:t> </w:t>
      </w:r>
      <w:r>
        <w:rPr>
          <w:sz w:val="24"/>
        </w:rPr>
        <w:t>prohibits</w:t>
      </w:r>
      <w:r>
        <w:rPr>
          <w:spacing w:val="-4"/>
          <w:sz w:val="24"/>
        </w:rPr>
        <w:t> </w:t>
      </w:r>
      <w:r>
        <w:rPr>
          <w:sz w:val="24"/>
        </w:rPr>
        <w:t>federal</w:t>
      </w:r>
      <w:r>
        <w:rPr>
          <w:spacing w:val="-4"/>
          <w:sz w:val="24"/>
        </w:rPr>
        <w:t> </w:t>
      </w:r>
      <w:r>
        <w:rPr>
          <w:sz w:val="24"/>
        </w:rPr>
        <w:t>agencies</w:t>
      </w:r>
      <w:r>
        <w:rPr>
          <w:spacing w:val="-4"/>
          <w:sz w:val="24"/>
        </w:rPr>
        <w:t> </w:t>
      </w:r>
      <w:r>
        <w:rPr>
          <w:sz w:val="24"/>
        </w:rPr>
        <w:t>and</w:t>
      </w:r>
      <w:r>
        <w:rPr>
          <w:spacing w:val="-4"/>
          <w:sz w:val="24"/>
        </w:rPr>
        <w:t> </w:t>
      </w:r>
      <w:r>
        <w:rPr>
          <w:sz w:val="24"/>
        </w:rPr>
        <w:t>their</w:t>
      </w:r>
      <w:r>
        <w:rPr>
          <w:spacing w:val="-3"/>
          <w:sz w:val="24"/>
        </w:rPr>
        <w:t> </w:t>
      </w:r>
      <w:r>
        <w:rPr>
          <w:sz w:val="24"/>
        </w:rPr>
        <w:t>grantees</w:t>
      </w:r>
      <w:r>
        <w:rPr>
          <w:spacing w:val="-4"/>
          <w:sz w:val="24"/>
        </w:rPr>
        <w:t> </w:t>
      </w:r>
      <w:r>
        <w:rPr>
          <w:sz w:val="24"/>
        </w:rPr>
        <w:t>and</w:t>
      </w:r>
      <w:r>
        <w:rPr>
          <w:spacing w:val="-4"/>
          <w:sz w:val="24"/>
        </w:rPr>
        <w:t> </w:t>
      </w:r>
      <w:r>
        <w:rPr>
          <w:sz w:val="24"/>
        </w:rPr>
        <w:t>contractors</w:t>
      </w:r>
      <w:r>
        <w:rPr>
          <w:spacing w:val="-5"/>
          <w:sz w:val="24"/>
        </w:rPr>
        <w:t> </w:t>
      </w:r>
      <w:r>
        <w:rPr>
          <w:sz w:val="24"/>
        </w:rPr>
        <w:t>from</w:t>
      </w:r>
      <w:r>
        <w:rPr>
          <w:spacing w:val="-5"/>
          <w:sz w:val="24"/>
        </w:rPr>
        <w:t> </w:t>
      </w:r>
      <w:r>
        <w:rPr>
          <w:sz w:val="24"/>
        </w:rPr>
        <w:t>discriminating against individuals based on a disability. Because of the intentional overlap between Section 504 of the Rehabilitation Act of 1973 [29 U.S.C. 794] and the ADA, the Department</w:t>
      </w:r>
      <w:r>
        <w:rPr>
          <w:spacing w:val="-3"/>
          <w:sz w:val="24"/>
        </w:rPr>
        <w:t> </w:t>
      </w:r>
      <w:r>
        <w:rPr>
          <w:sz w:val="24"/>
        </w:rPr>
        <w:t>of</w:t>
      </w:r>
      <w:r>
        <w:rPr>
          <w:spacing w:val="-5"/>
          <w:sz w:val="24"/>
        </w:rPr>
        <w:t> </w:t>
      </w:r>
      <w:r>
        <w:rPr>
          <w:sz w:val="24"/>
        </w:rPr>
        <w:t>Justice</w:t>
      </w:r>
      <w:r>
        <w:rPr>
          <w:spacing w:val="-5"/>
          <w:sz w:val="24"/>
        </w:rPr>
        <w:t> </w:t>
      </w:r>
      <w:r>
        <w:rPr>
          <w:sz w:val="24"/>
        </w:rPr>
        <w:t>has</w:t>
      </w:r>
      <w:r>
        <w:rPr>
          <w:spacing w:val="-4"/>
          <w:sz w:val="24"/>
        </w:rPr>
        <w:t> </w:t>
      </w:r>
      <w:r>
        <w:rPr>
          <w:sz w:val="24"/>
        </w:rPr>
        <w:t>promulgated</w:t>
      </w:r>
      <w:r>
        <w:rPr>
          <w:spacing w:val="-4"/>
          <w:sz w:val="24"/>
        </w:rPr>
        <w:t> </w:t>
      </w:r>
      <w:r>
        <w:rPr>
          <w:sz w:val="24"/>
        </w:rPr>
        <w:t>rules</w:t>
      </w:r>
      <w:r>
        <w:rPr>
          <w:spacing w:val="-3"/>
          <w:sz w:val="24"/>
        </w:rPr>
        <w:t> </w:t>
      </w:r>
      <w:r>
        <w:rPr>
          <w:sz w:val="24"/>
        </w:rPr>
        <w:t>consistent</w:t>
      </w:r>
      <w:r>
        <w:rPr>
          <w:spacing w:val="-3"/>
          <w:sz w:val="24"/>
        </w:rPr>
        <w:t> </w:t>
      </w:r>
      <w:r>
        <w:rPr>
          <w:sz w:val="24"/>
        </w:rPr>
        <w:t>with,</w:t>
      </w:r>
      <w:r>
        <w:rPr>
          <w:spacing w:val="-3"/>
          <w:sz w:val="24"/>
        </w:rPr>
        <w:t> </w:t>
      </w:r>
      <w:r>
        <w:rPr>
          <w:sz w:val="24"/>
        </w:rPr>
        <w:t>yet</w:t>
      </w:r>
      <w:r>
        <w:rPr>
          <w:spacing w:val="-3"/>
          <w:sz w:val="24"/>
        </w:rPr>
        <w:t> </w:t>
      </w:r>
      <w:r>
        <w:rPr>
          <w:sz w:val="24"/>
        </w:rPr>
        <w:t>expanding,</w:t>
      </w:r>
      <w:r>
        <w:rPr>
          <w:spacing w:val="-3"/>
          <w:sz w:val="24"/>
        </w:rPr>
        <w:t> </w:t>
      </w:r>
      <w:r>
        <w:rPr>
          <w:sz w:val="24"/>
        </w:rPr>
        <w:t>the</w:t>
      </w:r>
      <w:r>
        <w:rPr>
          <w:spacing w:val="-4"/>
          <w:sz w:val="24"/>
        </w:rPr>
        <w:t> </w:t>
      </w:r>
      <w:r>
        <w:rPr>
          <w:sz w:val="24"/>
        </w:rPr>
        <w:t>scope of those regulations implementing Section 504. These rules cover all functions of governmental or public entities regardless of whether federal funding is appropriated.</w:t>
      </w:r>
    </w:p>
    <w:p>
      <w:pPr>
        <w:pStyle w:val="ListParagraph"/>
        <w:numPr>
          <w:ilvl w:val="0"/>
          <w:numId w:val="33"/>
        </w:numPr>
        <w:tabs>
          <w:tab w:pos="773" w:val="left" w:leader="none"/>
        </w:tabs>
        <w:spacing w:line="208" w:lineRule="auto" w:before="240" w:after="0"/>
        <w:ind w:left="360" w:right="808" w:firstLine="0"/>
        <w:jc w:val="left"/>
        <w:rPr>
          <w:sz w:val="24"/>
        </w:rPr>
      </w:pPr>
      <w:r>
        <w:rPr>
          <w:sz w:val="24"/>
        </w:rPr>
        <w:t>Additional</w:t>
      </w:r>
      <w:r>
        <w:rPr>
          <w:spacing w:val="-4"/>
          <w:sz w:val="24"/>
        </w:rPr>
        <w:t> </w:t>
      </w:r>
      <w:r>
        <w:rPr>
          <w:sz w:val="24"/>
        </w:rPr>
        <w:t>ADA</w:t>
      </w:r>
      <w:r>
        <w:rPr>
          <w:spacing w:val="-4"/>
          <w:sz w:val="24"/>
        </w:rPr>
        <w:t> </w:t>
      </w:r>
      <w:r>
        <w:rPr>
          <w:sz w:val="24"/>
        </w:rPr>
        <w:t>groundwork</w:t>
      </w:r>
      <w:r>
        <w:rPr>
          <w:spacing w:val="-4"/>
          <w:sz w:val="24"/>
        </w:rPr>
        <w:t> </w:t>
      </w:r>
      <w:r>
        <w:rPr>
          <w:sz w:val="24"/>
        </w:rPr>
        <w:t>was</w:t>
      </w:r>
      <w:r>
        <w:rPr>
          <w:spacing w:val="-4"/>
          <w:sz w:val="24"/>
        </w:rPr>
        <w:t> </w:t>
      </w:r>
      <w:r>
        <w:rPr>
          <w:sz w:val="24"/>
        </w:rPr>
        <w:t>laid</w:t>
      </w:r>
      <w:r>
        <w:rPr>
          <w:spacing w:val="-4"/>
          <w:sz w:val="24"/>
        </w:rPr>
        <w:t> </w:t>
      </w:r>
      <w:r>
        <w:rPr>
          <w:sz w:val="24"/>
        </w:rPr>
        <w:t>in</w:t>
      </w:r>
      <w:r>
        <w:rPr>
          <w:spacing w:val="-4"/>
          <w:sz w:val="24"/>
        </w:rPr>
        <w:t> </w:t>
      </w:r>
      <w:r>
        <w:rPr>
          <w:sz w:val="24"/>
        </w:rPr>
        <w:t>the</w:t>
      </w:r>
      <w:r>
        <w:rPr>
          <w:spacing w:val="-4"/>
          <w:sz w:val="24"/>
        </w:rPr>
        <w:t> </w:t>
      </w:r>
      <w:r>
        <w:rPr>
          <w:sz w:val="24"/>
        </w:rPr>
        <w:t>Architectural</w:t>
      </w:r>
      <w:r>
        <w:rPr>
          <w:spacing w:val="-4"/>
          <w:sz w:val="24"/>
        </w:rPr>
        <w:t> </w:t>
      </w:r>
      <w:r>
        <w:rPr>
          <w:sz w:val="24"/>
        </w:rPr>
        <w:t>Barriers</w:t>
      </w:r>
      <w:r>
        <w:rPr>
          <w:spacing w:val="-4"/>
          <w:sz w:val="24"/>
        </w:rPr>
        <w:t> </w:t>
      </w:r>
      <w:r>
        <w:rPr>
          <w:sz w:val="24"/>
        </w:rPr>
        <w:t>Act</w:t>
      </w:r>
      <w:r>
        <w:rPr>
          <w:spacing w:val="-3"/>
          <w:sz w:val="24"/>
        </w:rPr>
        <w:t> </w:t>
      </w:r>
      <w:r>
        <w:rPr>
          <w:sz w:val="24"/>
        </w:rPr>
        <w:t>of</w:t>
      </w:r>
      <w:r>
        <w:rPr>
          <w:spacing w:val="-5"/>
          <w:sz w:val="24"/>
        </w:rPr>
        <w:t> </w:t>
      </w:r>
      <w:r>
        <w:rPr>
          <w:sz w:val="24"/>
        </w:rPr>
        <w:t>1968,</w:t>
      </w:r>
      <w:r>
        <w:rPr>
          <w:spacing w:val="-3"/>
          <w:sz w:val="24"/>
        </w:rPr>
        <w:t> </w:t>
      </w:r>
      <w:r>
        <w:rPr>
          <w:sz w:val="24"/>
        </w:rPr>
        <w:t>which requires federal and federally assisted facilities (designed, constructed, leased or altered) to be accessible to and usable by the physically disabled. Under the ADA, accessibility mandates adopted from the Architectural Barriers Act can be met by satisfying either the Uniform Federal Accessibility Standards (UFAS) or the ADA Accessibility Guidelines for Buildings and Facilities (ADAAG).</w:t>
      </w:r>
    </w:p>
    <w:p>
      <w:pPr>
        <w:pStyle w:val="ListParagraph"/>
        <w:numPr>
          <w:ilvl w:val="0"/>
          <w:numId w:val="33"/>
        </w:numPr>
        <w:tabs>
          <w:tab w:pos="786" w:val="left" w:leader="none"/>
        </w:tabs>
        <w:spacing w:line="208" w:lineRule="auto" w:before="239" w:after="0"/>
        <w:ind w:left="360" w:right="859" w:firstLine="0"/>
        <w:jc w:val="left"/>
        <w:rPr>
          <w:sz w:val="24"/>
        </w:rPr>
      </w:pPr>
      <w:r>
        <w:rPr>
          <w:sz w:val="24"/>
        </w:rPr>
        <w:t>The Department of Rehabilitation Services complies with all provisions of the Americans</w:t>
      </w:r>
      <w:r>
        <w:rPr>
          <w:spacing w:val="-4"/>
          <w:sz w:val="24"/>
        </w:rPr>
        <w:t> </w:t>
      </w:r>
      <w:r>
        <w:rPr>
          <w:sz w:val="24"/>
        </w:rPr>
        <w:t>with</w:t>
      </w:r>
      <w:r>
        <w:rPr>
          <w:spacing w:val="-4"/>
          <w:sz w:val="24"/>
        </w:rPr>
        <w:t> </w:t>
      </w:r>
      <w:r>
        <w:rPr>
          <w:sz w:val="24"/>
        </w:rPr>
        <w:t>Disabilities</w:t>
      </w:r>
      <w:r>
        <w:rPr>
          <w:spacing w:val="-4"/>
          <w:sz w:val="24"/>
        </w:rPr>
        <w:t> </w:t>
      </w:r>
      <w:r>
        <w:rPr>
          <w:sz w:val="24"/>
        </w:rPr>
        <w:t>Act</w:t>
      </w:r>
      <w:r>
        <w:rPr>
          <w:spacing w:val="-3"/>
          <w:sz w:val="24"/>
        </w:rPr>
        <w:t> </w:t>
      </w:r>
      <w:r>
        <w:rPr>
          <w:sz w:val="24"/>
        </w:rPr>
        <w:t>of</w:t>
      </w:r>
      <w:r>
        <w:rPr>
          <w:spacing w:val="-5"/>
          <w:sz w:val="24"/>
        </w:rPr>
        <w:t> </w:t>
      </w:r>
      <w:r>
        <w:rPr>
          <w:sz w:val="24"/>
        </w:rPr>
        <w:t>1990</w:t>
      </w:r>
      <w:r>
        <w:rPr>
          <w:spacing w:val="-4"/>
          <w:sz w:val="24"/>
        </w:rPr>
        <w:t> </w:t>
      </w:r>
      <w:r>
        <w:rPr>
          <w:sz w:val="24"/>
        </w:rPr>
        <w:t>and</w:t>
      </w:r>
      <w:r>
        <w:rPr>
          <w:spacing w:val="-3"/>
          <w:sz w:val="24"/>
        </w:rPr>
        <w:t> </w:t>
      </w:r>
      <w:r>
        <w:rPr>
          <w:sz w:val="24"/>
        </w:rPr>
        <w:t>with</w:t>
      </w:r>
      <w:r>
        <w:rPr>
          <w:spacing w:val="-4"/>
          <w:sz w:val="24"/>
        </w:rPr>
        <w:t> </w:t>
      </w:r>
      <w:r>
        <w:rPr>
          <w:sz w:val="24"/>
        </w:rPr>
        <w:t>all</w:t>
      </w:r>
      <w:r>
        <w:rPr>
          <w:spacing w:val="-4"/>
          <w:sz w:val="24"/>
        </w:rPr>
        <w:t> </w:t>
      </w:r>
      <w:r>
        <w:rPr>
          <w:sz w:val="24"/>
        </w:rPr>
        <w:t>standards</w:t>
      </w:r>
      <w:r>
        <w:rPr>
          <w:spacing w:val="-4"/>
          <w:sz w:val="24"/>
        </w:rPr>
        <w:t> </w:t>
      </w:r>
      <w:r>
        <w:rPr>
          <w:sz w:val="24"/>
        </w:rPr>
        <w:t>and</w:t>
      </w:r>
      <w:r>
        <w:rPr>
          <w:spacing w:val="-3"/>
          <w:sz w:val="24"/>
        </w:rPr>
        <w:t> </w:t>
      </w:r>
      <w:r>
        <w:rPr>
          <w:sz w:val="24"/>
        </w:rPr>
        <w:t>regulations</w:t>
      </w:r>
      <w:r>
        <w:rPr>
          <w:spacing w:val="-4"/>
          <w:sz w:val="24"/>
        </w:rPr>
        <w:t> </w:t>
      </w:r>
      <w:r>
        <w:rPr>
          <w:sz w:val="24"/>
        </w:rPr>
        <w:t>pursuant to the Act.</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7-1-96</w:t>
      </w:r>
      <w:r>
        <w:rPr>
          <w:sz w:val="22"/>
        </w:rPr>
        <w:tab/>
        <w:t>PT Memo #96-5</w:t>
      </w:r>
    </w:p>
    <w:p>
      <w:pPr>
        <w:tabs>
          <w:tab w:pos="1439" w:val="left" w:leader="none"/>
        </w:tabs>
        <w:spacing w:before="0"/>
        <w:ind w:left="359" w:right="2357" w:firstLine="1080"/>
        <w:jc w:val="left"/>
        <w:rPr>
          <w:sz w:val="22"/>
        </w:rPr>
      </w:pPr>
      <w:r>
        <w:rPr>
          <w:sz w:val="22"/>
        </w:rPr>
        <w:t>Permanent,</w:t>
      </w:r>
      <w:r>
        <w:rPr>
          <w:spacing w:val="-3"/>
          <w:sz w:val="22"/>
        </w:rPr>
        <w:t> </w:t>
      </w:r>
      <w:r>
        <w:rPr>
          <w:sz w:val="22"/>
        </w:rPr>
        <w:t>added</w:t>
      </w:r>
      <w:r>
        <w:rPr>
          <w:spacing w:val="-4"/>
          <w:sz w:val="22"/>
        </w:rPr>
        <w:t> </w:t>
      </w:r>
      <w:r>
        <w:rPr>
          <w:sz w:val="22"/>
        </w:rPr>
        <w:t>legal</w:t>
      </w:r>
      <w:r>
        <w:rPr>
          <w:spacing w:val="-5"/>
          <w:sz w:val="22"/>
        </w:rPr>
        <w:t> </w:t>
      </w:r>
      <w:r>
        <w:rPr>
          <w:sz w:val="22"/>
        </w:rPr>
        <w:t>basis</w:t>
      </w:r>
      <w:r>
        <w:rPr>
          <w:spacing w:val="-4"/>
          <w:sz w:val="22"/>
        </w:rPr>
        <w:t> </w:t>
      </w:r>
      <w:r>
        <w:rPr>
          <w:sz w:val="22"/>
        </w:rPr>
        <w:t>for</w:t>
      </w:r>
      <w:r>
        <w:rPr>
          <w:spacing w:val="-4"/>
          <w:sz w:val="22"/>
        </w:rPr>
        <w:t> </w:t>
      </w:r>
      <w:r>
        <w:rPr>
          <w:sz w:val="22"/>
        </w:rPr>
        <w:t>the</w:t>
      </w:r>
      <w:r>
        <w:rPr>
          <w:spacing w:val="-5"/>
          <w:sz w:val="22"/>
        </w:rPr>
        <w:t> </w:t>
      </w:r>
      <w:r>
        <w:rPr>
          <w:sz w:val="22"/>
        </w:rPr>
        <w:t>Americans</w:t>
      </w:r>
      <w:r>
        <w:rPr>
          <w:spacing w:val="-4"/>
          <w:sz w:val="22"/>
        </w:rPr>
        <w:t> </w:t>
      </w:r>
      <w:r>
        <w:rPr>
          <w:sz w:val="22"/>
        </w:rPr>
        <w:t>with</w:t>
      </w:r>
      <w:r>
        <w:rPr>
          <w:spacing w:val="-4"/>
          <w:sz w:val="22"/>
        </w:rPr>
        <w:t> </w:t>
      </w:r>
      <w:r>
        <w:rPr>
          <w:sz w:val="22"/>
        </w:rPr>
        <w:t>Disabilities</w:t>
      </w:r>
      <w:r>
        <w:rPr>
          <w:spacing w:val="-4"/>
          <w:sz w:val="22"/>
        </w:rPr>
        <w:t> </w:t>
      </w:r>
      <w:r>
        <w:rPr>
          <w:sz w:val="22"/>
        </w:rPr>
        <w:t>Act </w:t>
      </w:r>
      <w:r>
        <w:rPr>
          <w:spacing w:val="-2"/>
          <w:sz w:val="22"/>
        </w:rPr>
        <w:t>7-1-02</w:t>
      </w:r>
      <w:r>
        <w:rPr>
          <w:sz w:val="22"/>
        </w:rPr>
        <w:tab/>
        <w:t>POL Memo #02-02</w:t>
      </w:r>
    </w:p>
    <w:p>
      <w:pPr>
        <w:spacing w:line="252" w:lineRule="exact" w:before="0"/>
        <w:ind w:left="1439" w:right="0" w:firstLine="0"/>
        <w:jc w:val="left"/>
        <w:rPr>
          <w:sz w:val="22"/>
        </w:rPr>
      </w:pPr>
      <w:r>
        <w:rPr>
          <w:sz w:val="22"/>
        </w:rPr>
        <w:t>Permanent,</w:t>
      </w:r>
      <w:r>
        <w:rPr>
          <w:spacing w:val="-7"/>
          <w:sz w:val="22"/>
        </w:rPr>
        <w:t> </w:t>
      </w:r>
      <w:r>
        <w:rPr>
          <w:sz w:val="22"/>
        </w:rPr>
        <w:t>US</w:t>
      </w:r>
      <w:r>
        <w:rPr>
          <w:spacing w:val="-8"/>
          <w:sz w:val="22"/>
        </w:rPr>
        <w:t> </w:t>
      </w:r>
      <w:r>
        <w:rPr>
          <w:sz w:val="22"/>
        </w:rPr>
        <w:t>Supreme</w:t>
      </w:r>
      <w:r>
        <w:rPr>
          <w:spacing w:val="-8"/>
          <w:sz w:val="22"/>
        </w:rPr>
        <w:t> </w:t>
      </w:r>
      <w:r>
        <w:rPr>
          <w:sz w:val="22"/>
        </w:rPr>
        <w:t>Court</w:t>
      </w:r>
      <w:r>
        <w:rPr>
          <w:spacing w:val="-7"/>
          <w:sz w:val="22"/>
        </w:rPr>
        <w:t> </w:t>
      </w:r>
      <w:r>
        <w:rPr>
          <w:sz w:val="22"/>
        </w:rPr>
        <w:t>upheld</w:t>
      </w:r>
      <w:r>
        <w:rPr>
          <w:spacing w:val="-8"/>
          <w:sz w:val="22"/>
        </w:rPr>
        <w:t> </w:t>
      </w:r>
      <w:r>
        <w:rPr>
          <w:sz w:val="22"/>
        </w:rPr>
        <w:t>the</w:t>
      </w:r>
      <w:r>
        <w:rPr>
          <w:spacing w:val="-8"/>
          <w:sz w:val="22"/>
        </w:rPr>
        <w:t> </w:t>
      </w:r>
      <w:r>
        <w:rPr>
          <w:sz w:val="22"/>
        </w:rPr>
        <w:t>states</w:t>
      </w:r>
      <w:r>
        <w:rPr>
          <w:spacing w:val="-7"/>
          <w:sz w:val="22"/>
        </w:rPr>
        <w:t> </w:t>
      </w:r>
      <w:r>
        <w:rPr>
          <w:sz w:val="22"/>
        </w:rPr>
        <w:t>11th</w:t>
      </w:r>
      <w:r>
        <w:rPr>
          <w:spacing w:val="-8"/>
          <w:sz w:val="22"/>
        </w:rPr>
        <w:t> </w:t>
      </w:r>
      <w:r>
        <w:rPr>
          <w:sz w:val="22"/>
        </w:rPr>
        <w:t>amendment</w:t>
      </w:r>
      <w:r>
        <w:rPr>
          <w:spacing w:val="-8"/>
          <w:sz w:val="22"/>
        </w:rPr>
        <w:t> </w:t>
      </w:r>
      <w:r>
        <w:rPr>
          <w:sz w:val="22"/>
        </w:rPr>
        <w:t>protection</w:t>
      </w:r>
      <w:r>
        <w:rPr>
          <w:spacing w:val="-7"/>
          <w:sz w:val="22"/>
        </w:rPr>
        <w:t> </w:t>
      </w:r>
      <w:r>
        <w:rPr>
          <w:spacing w:val="-2"/>
          <w:sz w:val="22"/>
        </w:rPr>
        <w:t>under</w:t>
      </w:r>
    </w:p>
    <w:p>
      <w:pPr>
        <w:spacing w:before="1"/>
        <w:ind w:left="359" w:right="0" w:firstLine="0"/>
        <w:jc w:val="left"/>
        <w:rPr>
          <w:sz w:val="22"/>
        </w:rPr>
      </w:pPr>
      <w:r>
        <w:rPr>
          <w:spacing w:val="-5"/>
          <w:sz w:val="22"/>
        </w:rPr>
        <w:t>ADA</w:t>
      </w:r>
    </w:p>
    <w:p>
      <w:pPr>
        <w:spacing w:after="0"/>
        <w:jc w:val="left"/>
        <w:rPr>
          <w:sz w:val="22"/>
        </w:rPr>
        <w:sectPr>
          <w:pgSz w:w="12240" w:h="15840"/>
          <w:pgMar w:top="1340" w:bottom="280" w:left="1080" w:right="720"/>
        </w:sectPr>
      </w:pPr>
    </w:p>
    <w:p>
      <w:pPr>
        <w:pStyle w:val="Heading2"/>
      </w:pPr>
      <w:bookmarkStart w:name="612:1-11-4.  DRS and the Americans with " w:id="36"/>
      <w:bookmarkEnd w:id="36"/>
      <w:r>
        <w:rPr>
          <w:b w:val="0"/>
        </w:rPr>
      </w:r>
      <w:r>
        <w:rPr/>
        <w:t>612:1-11-4.</w:t>
      </w:r>
      <w:r>
        <w:rPr>
          <w:spacing w:val="58"/>
        </w:rPr>
        <w:t> </w:t>
      </w:r>
      <w:r>
        <w:rPr/>
        <w:t>DRS</w:t>
      </w:r>
      <w:r>
        <w:rPr>
          <w:spacing w:val="-3"/>
        </w:rPr>
        <w:t> </w:t>
      </w:r>
      <w:r>
        <w:rPr/>
        <w:t>and</w:t>
      </w:r>
      <w:r>
        <w:rPr>
          <w:spacing w:val="-3"/>
        </w:rPr>
        <w:t> </w:t>
      </w:r>
      <w:r>
        <w:rPr/>
        <w:t>the</w:t>
      </w:r>
      <w:r>
        <w:rPr>
          <w:spacing w:val="-3"/>
        </w:rPr>
        <w:t> </w:t>
      </w:r>
      <w:r>
        <w:rPr/>
        <w:t>Americans</w:t>
      </w:r>
      <w:r>
        <w:rPr>
          <w:spacing w:val="-3"/>
        </w:rPr>
        <w:t> </w:t>
      </w:r>
      <w:r>
        <w:rPr/>
        <w:t>with</w:t>
      </w:r>
      <w:r>
        <w:rPr>
          <w:spacing w:val="-3"/>
        </w:rPr>
        <w:t> </w:t>
      </w:r>
      <w:r>
        <w:rPr/>
        <w:t>Disabilities</w:t>
      </w:r>
      <w:r>
        <w:rPr>
          <w:spacing w:val="-3"/>
        </w:rPr>
        <w:t> </w:t>
      </w:r>
      <w:r>
        <w:rPr>
          <w:spacing w:val="-5"/>
        </w:rPr>
        <w:t>Act</w:t>
      </w:r>
    </w:p>
    <w:p>
      <w:pPr>
        <w:pStyle w:val="ListParagraph"/>
        <w:numPr>
          <w:ilvl w:val="0"/>
          <w:numId w:val="34"/>
        </w:numPr>
        <w:tabs>
          <w:tab w:pos="785" w:val="left" w:leader="none"/>
        </w:tabs>
        <w:spacing w:line="208" w:lineRule="auto" w:before="233" w:after="0"/>
        <w:ind w:left="359" w:right="1222" w:firstLine="0"/>
        <w:jc w:val="left"/>
        <w:rPr>
          <w:sz w:val="24"/>
        </w:rPr>
      </w:pPr>
      <w:r>
        <w:rPr>
          <w:sz w:val="24"/>
        </w:rPr>
        <w:t>The</w:t>
      </w:r>
      <w:r>
        <w:rPr>
          <w:spacing w:val="-4"/>
          <w:sz w:val="24"/>
        </w:rPr>
        <w:t> </w:t>
      </w:r>
      <w:r>
        <w:rPr>
          <w:sz w:val="24"/>
        </w:rPr>
        <w:t>Americans</w:t>
      </w:r>
      <w:r>
        <w:rPr>
          <w:spacing w:val="-4"/>
          <w:sz w:val="24"/>
        </w:rPr>
        <w:t> </w:t>
      </w:r>
      <w:r>
        <w:rPr>
          <w:sz w:val="24"/>
        </w:rPr>
        <w:t>with</w:t>
      </w:r>
      <w:r>
        <w:rPr>
          <w:spacing w:val="-4"/>
          <w:sz w:val="24"/>
        </w:rPr>
        <w:t> </w:t>
      </w:r>
      <w:r>
        <w:rPr>
          <w:sz w:val="24"/>
        </w:rPr>
        <w:t>Disabilities</w:t>
      </w:r>
      <w:r>
        <w:rPr>
          <w:spacing w:val="-4"/>
          <w:sz w:val="24"/>
        </w:rPr>
        <w:t> </w:t>
      </w:r>
      <w:r>
        <w:rPr>
          <w:sz w:val="24"/>
        </w:rPr>
        <w:t>Act</w:t>
      </w:r>
      <w:r>
        <w:rPr>
          <w:spacing w:val="-3"/>
          <w:sz w:val="24"/>
        </w:rPr>
        <w:t> </w:t>
      </w:r>
      <w:r>
        <w:rPr>
          <w:sz w:val="24"/>
        </w:rPr>
        <w:t>(ADA)</w:t>
      </w:r>
      <w:r>
        <w:rPr>
          <w:spacing w:val="-3"/>
          <w:sz w:val="24"/>
        </w:rPr>
        <w:t> </w:t>
      </w:r>
      <w:r>
        <w:rPr>
          <w:sz w:val="24"/>
        </w:rPr>
        <w:t>is</w:t>
      </w:r>
      <w:r>
        <w:rPr>
          <w:spacing w:val="-4"/>
          <w:sz w:val="24"/>
        </w:rPr>
        <w:t> </w:t>
      </w:r>
      <w:r>
        <w:rPr>
          <w:sz w:val="24"/>
        </w:rPr>
        <w:t>designed</w:t>
      </w:r>
      <w:r>
        <w:rPr>
          <w:spacing w:val="-4"/>
          <w:sz w:val="24"/>
        </w:rPr>
        <w:t> </w:t>
      </w:r>
      <w:r>
        <w:rPr>
          <w:sz w:val="24"/>
        </w:rPr>
        <w:t>to</w:t>
      </w:r>
      <w:r>
        <w:rPr>
          <w:spacing w:val="-4"/>
          <w:sz w:val="24"/>
        </w:rPr>
        <w:t> </w:t>
      </w:r>
      <w:r>
        <w:rPr>
          <w:sz w:val="24"/>
        </w:rPr>
        <w:t>remove</w:t>
      </w:r>
      <w:r>
        <w:rPr>
          <w:spacing w:val="-4"/>
          <w:sz w:val="24"/>
        </w:rPr>
        <w:t> </w:t>
      </w:r>
      <w:r>
        <w:rPr>
          <w:sz w:val="24"/>
        </w:rPr>
        <w:t>barriers</w:t>
      </w:r>
      <w:r>
        <w:rPr>
          <w:spacing w:val="-4"/>
          <w:sz w:val="24"/>
        </w:rPr>
        <w:t> </w:t>
      </w:r>
      <w:r>
        <w:rPr>
          <w:sz w:val="24"/>
        </w:rPr>
        <w:t>which prevent qualified individuals with disabilities from enjoying the same employment opportunities or DRS services that are available to others.</w:t>
      </w:r>
    </w:p>
    <w:p>
      <w:pPr>
        <w:pStyle w:val="ListParagraph"/>
        <w:numPr>
          <w:ilvl w:val="0"/>
          <w:numId w:val="34"/>
        </w:numPr>
        <w:tabs>
          <w:tab w:pos="785" w:val="left" w:leader="none"/>
        </w:tabs>
        <w:spacing w:line="208" w:lineRule="auto" w:before="240" w:after="0"/>
        <w:ind w:left="359" w:right="766" w:firstLine="0"/>
        <w:jc w:val="left"/>
        <w:rPr>
          <w:sz w:val="24"/>
        </w:rPr>
      </w:pPr>
      <w:r>
        <w:rPr>
          <w:sz w:val="24"/>
        </w:rPr>
        <w:t>The Department of Rehabilitation Services complies with the provisions of the ADA by</w:t>
      </w:r>
      <w:r>
        <w:rPr>
          <w:spacing w:val="-4"/>
          <w:sz w:val="24"/>
        </w:rPr>
        <w:t> </w:t>
      </w:r>
      <w:r>
        <w:rPr>
          <w:sz w:val="24"/>
        </w:rPr>
        <w:t>prohibiting</w:t>
      </w:r>
      <w:r>
        <w:rPr>
          <w:spacing w:val="-4"/>
          <w:sz w:val="24"/>
        </w:rPr>
        <w:t> </w:t>
      </w:r>
      <w:r>
        <w:rPr>
          <w:sz w:val="24"/>
        </w:rPr>
        <w:t>discrimination</w:t>
      </w:r>
      <w:r>
        <w:rPr>
          <w:spacing w:val="-4"/>
          <w:sz w:val="24"/>
        </w:rPr>
        <w:t> </w:t>
      </w:r>
      <w:r>
        <w:rPr>
          <w:sz w:val="24"/>
        </w:rPr>
        <w:t>against</w:t>
      </w:r>
      <w:r>
        <w:rPr>
          <w:spacing w:val="-3"/>
          <w:sz w:val="24"/>
        </w:rPr>
        <w:t> </w:t>
      </w:r>
      <w:r>
        <w:rPr>
          <w:sz w:val="24"/>
        </w:rPr>
        <w:t>individuals</w:t>
      </w:r>
      <w:r>
        <w:rPr>
          <w:spacing w:val="-4"/>
          <w:sz w:val="24"/>
        </w:rPr>
        <w:t> </w:t>
      </w:r>
      <w:r>
        <w:rPr>
          <w:sz w:val="24"/>
        </w:rPr>
        <w:t>with</w:t>
      </w:r>
      <w:r>
        <w:rPr>
          <w:spacing w:val="-4"/>
          <w:sz w:val="24"/>
        </w:rPr>
        <w:t> </w:t>
      </w:r>
      <w:r>
        <w:rPr>
          <w:sz w:val="24"/>
        </w:rPr>
        <w:t>disabilities.</w:t>
      </w:r>
      <w:r>
        <w:rPr>
          <w:spacing w:val="40"/>
          <w:sz w:val="24"/>
        </w:rPr>
        <w:t> </w:t>
      </w:r>
      <w:r>
        <w:rPr>
          <w:sz w:val="24"/>
        </w:rPr>
        <w:t>This</w:t>
      </w:r>
      <w:r>
        <w:rPr>
          <w:spacing w:val="-4"/>
          <w:sz w:val="24"/>
        </w:rPr>
        <w:t> </w:t>
      </w:r>
      <w:r>
        <w:rPr>
          <w:sz w:val="24"/>
        </w:rPr>
        <w:t>prohibition</w:t>
      </w:r>
      <w:r>
        <w:rPr>
          <w:spacing w:val="-4"/>
          <w:sz w:val="24"/>
        </w:rPr>
        <w:t> </w:t>
      </w:r>
      <w:r>
        <w:rPr>
          <w:sz w:val="24"/>
        </w:rPr>
        <w:t>applies </w:t>
      </w:r>
      <w:r>
        <w:rPr>
          <w:spacing w:val="-4"/>
          <w:sz w:val="24"/>
        </w:rPr>
        <w:t>to:</w:t>
      </w:r>
    </w:p>
    <w:p>
      <w:pPr>
        <w:pStyle w:val="ListParagraph"/>
        <w:numPr>
          <w:ilvl w:val="1"/>
          <w:numId w:val="34"/>
        </w:numPr>
        <w:tabs>
          <w:tab w:pos="1217" w:val="left" w:leader="none"/>
        </w:tabs>
        <w:spacing w:line="208" w:lineRule="auto" w:before="239" w:after="0"/>
        <w:ind w:left="791" w:right="817" w:firstLine="0"/>
        <w:jc w:val="left"/>
        <w:rPr>
          <w:sz w:val="24"/>
        </w:rPr>
      </w:pPr>
      <w:r>
        <w:rPr>
          <w:b/>
          <w:sz w:val="24"/>
        </w:rPr>
        <w:t>DRS</w:t>
      </w:r>
      <w:r>
        <w:rPr>
          <w:b/>
          <w:spacing w:val="-5"/>
          <w:sz w:val="24"/>
        </w:rPr>
        <w:t> </w:t>
      </w:r>
      <w:r>
        <w:rPr>
          <w:b/>
          <w:sz w:val="24"/>
        </w:rPr>
        <w:t>employees</w:t>
      </w:r>
      <w:r>
        <w:rPr>
          <w:b/>
          <w:spacing w:val="-5"/>
          <w:sz w:val="24"/>
        </w:rPr>
        <w:t> </w:t>
      </w:r>
      <w:r>
        <w:rPr>
          <w:b/>
          <w:sz w:val="24"/>
        </w:rPr>
        <w:t>and</w:t>
      </w:r>
      <w:r>
        <w:rPr>
          <w:b/>
          <w:spacing w:val="-5"/>
          <w:sz w:val="24"/>
        </w:rPr>
        <w:t> </w:t>
      </w:r>
      <w:r>
        <w:rPr>
          <w:b/>
          <w:sz w:val="24"/>
        </w:rPr>
        <w:t>individuals</w:t>
      </w:r>
      <w:r>
        <w:rPr>
          <w:b/>
          <w:spacing w:val="-5"/>
          <w:sz w:val="24"/>
        </w:rPr>
        <w:t> </w:t>
      </w:r>
      <w:r>
        <w:rPr>
          <w:b/>
          <w:sz w:val="24"/>
        </w:rPr>
        <w:t>seeking</w:t>
      </w:r>
      <w:r>
        <w:rPr>
          <w:b/>
          <w:spacing w:val="-5"/>
          <w:sz w:val="24"/>
        </w:rPr>
        <w:t> </w:t>
      </w:r>
      <w:r>
        <w:rPr>
          <w:b/>
          <w:sz w:val="24"/>
        </w:rPr>
        <w:t>employment.</w:t>
      </w:r>
      <w:r>
        <w:rPr>
          <w:b/>
          <w:spacing w:val="40"/>
          <w:sz w:val="24"/>
        </w:rPr>
        <w:t> </w:t>
      </w:r>
      <w:r>
        <w:rPr>
          <w:sz w:val="24"/>
        </w:rPr>
        <w:t>Qualified</w:t>
      </w:r>
      <w:r>
        <w:rPr>
          <w:spacing w:val="-5"/>
          <w:sz w:val="24"/>
        </w:rPr>
        <w:t> </w:t>
      </w:r>
      <w:r>
        <w:rPr>
          <w:sz w:val="24"/>
        </w:rPr>
        <w:t>individuals with disabilities must receive equal consideration in job application procedures; hiring, advancement, or discharge proceedings; employee compensation; job training; and other terms, conditions, and privileges of employment;</w:t>
      </w:r>
    </w:p>
    <w:p>
      <w:pPr>
        <w:pStyle w:val="ListParagraph"/>
        <w:numPr>
          <w:ilvl w:val="1"/>
          <w:numId w:val="34"/>
        </w:numPr>
        <w:tabs>
          <w:tab w:pos="1217" w:val="left" w:leader="none"/>
        </w:tabs>
        <w:spacing w:line="208" w:lineRule="auto" w:before="240" w:after="0"/>
        <w:ind w:left="791" w:right="776" w:firstLine="0"/>
        <w:jc w:val="left"/>
        <w:rPr>
          <w:sz w:val="24"/>
        </w:rPr>
      </w:pPr>
      <w:r>
        <w:rPr>
          <w:b/>
          <w:sz w:val="24"/>
        </w:rPr>
        <w:t>DRS</w:t>
      </w:r>
      <w:r>
        <w:rPr>
          <w:b/>
          <w:spacing w:val="-4"/>
          <w:sz w:val="24"/>
        </w:rPr>
        <w:t> </w:t>
      </w:r>
      <w:r>
        <w:rPr>
          <w:b/>
          <w:sz w:val="24"/>
        </w:rPr>
        <w:t>clients</w:t>
      </w:r>
      <w:r>
        <w:rPr>
          <w:b/>
          <w:spacing w:val="-4"/>
          <w:sz w:val="24"/>
        </w:rPr>
        <w:t> </w:t>
      </w:r>
      <w:r>
        <w:rPr>
          <w:b/>
          <w:sz w:val="24"/>
        </w:rPr>
        <w:t>and</w:t>
      </w:r>
      <w:r>
        <w:rPr>
          <w:b/>
          <w:spacing w:val="-4"/>
          <w:sz w:val="24"/>
        </w:rPr>
        <w:t> </w:t>
      </w:r>
      <w:r>
        <w:rPr>
          <w:b/>
          <w:sz w:val="24"/>
        </w:rPr>
        <w:t>individuals</w:t>
      </w:r>
      <w:r>
        <w:rPr>
          <w:b/>
          <w:spacing w:val="-4"/>
          <w:sz w:val="24"/>
        </w:rPr>
        <w:t> </w:t>
      </w:r>
      <w:r>
        <w:rPr>
          <w:b/>
          <w:sz w:val="24"/>
        </w:rPr>
        <w:t>applying</w:t>
      </w:r>
      <w:r>
        <w:rPr>
          <w:b/>
          <w:spacing w:val="-4"/>
          <w:sz w:val="24"/>
        </w:rPr>
        <w:t> </w:t>
      </w:r>
      <w:r>
        <w:rPr>
          <w:b/>
          <w:sz w:val="24"/>
        </w:rPr>
        <w:t>for</w:t>
      </w:r>
      <w:r>
        <w:rPr>
          <w:b/>
          <w:spacing w:val="-4"/>
          <w:sz w:val="24"/>
        </w:rPr>
        <w:t> </w:t>
      </w:r>
      <w:r>
        <w:rPr>
          <w:b/>
          <w:sz w:val="24"/>
        </w:rPr>
        <w:t>services.</w:t>
      </w:r>
      <w:r>
        <w:rPr>
          <w:b/>
          <w:spacing w:val="40"/>
          <w:sz w:val="24"/>
        </w:rPr>
        <w:t> </w:t>
      </w:r>
      <w:r>
        <w:rPr>
          <w:sz w:val="24"/>
        </w:rPr>
        <w:t>Qualified</w:t>
      </w:r>
      <w:r>
        <w:rPr>
          <w:spacing w:val="-4"/>
          <w:sz w:val="24"/>
        </w:rPr>
        <w:t> </w:t>
      </w:r>
      <w:r>
        <w:rPr>
          <w:sz w:val="24"/>
        </w:rPr>
        <w:t>individuals</w:t>
      </w:r>
      <w:r>
        <w:rPr>
          <w:spacing w:val="-4"/>
          <w:sz w:val="24"/>
        </w:rPr>
        <w:t> </w:t>
      </w:r>
      <w:r>
        <w:rPr>
          <w:sz w:val="24"/>
        </w:rPr>
        <w:t>with disabilities must have equal access to all services, programs, and activities offered or provided by DRS.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7-1-98</w:t>
      </w:r>
      <w:r>
        <w:rPr>
          <w:sz w:val="22"/>
        </w:rPr>
        <w:tab/>
        <w:t>PT Memo #98-14</w:t>
      </w:r>
    </w:p>
    <w:p>
      <w:pPr>
        <w:tabs>
          <w:tab w:pos="1439" w:val="left" w:leader="none"/>
        </w:tabs>
        <w:spacing w:before="0"/>
        <w:ind w:left="359" w:right="3519" w:firstLine="1080"/>
        <w:jc w:val="left"/>
        <w:rPr>
          <w:sz w:val="22"/>
        </w:rPr>
      </w:pPr>
      <w:r>
        <w:rPr>
          <w:sz w:val="22"/>
        </w:rPr>
        <w:t>Permanent,</w:t>
      </w:r>
      <w:r>
        <w:rPr>
          <w:spacing w:val="-4"/>
          <w:sz w:val="22"/>
        </w:rPr>
        <w:t> </w:t>
      </w:r>
      <w:r>
        <w:rPr>
          <w:sz w:val="22"/>
        </w:rPr>
        <w:t>Civil</w:t>
      </w:r>
      <w:r>
        <w:rPr>
          <w:spacing w:val="-5"/>
          <w:sz w:val="22"/>
        </w:rPr>
        <w:t> </w:t>
      </w:r>
      <w:r>
        <w:rPr>
          <w:sz w:val="22"/>
        </w:rPr>
        <w:t>Rights</w:t>
      </w:r>
      <w:r>
        <w:rPr>
          <w:spacing w:val="-6"/>
          <w:sz w:val="22"/>
        </w:rPr>
        <w:t> </w:t>
      </w:r>
      <w:r>
        <w:rPr>
          <w:sz w:val="22"/>
        </w:rPr>
        <w:t>Acts</w:t>
      </w:r>
      <w:r>
        <w:rPr>
          <w:spacing w:val="-5"/>
          <w:sz w:val="22"/>
        </w:rPr>
        <w:t> </w:t>
      </w:r>
      <w:r>
        <w:rPr>
          <w:sz w:val="22"/>
        </w:rPr>
        <w:t>changed</w:t>
      </w:r>
      <w:r>
        <w:rPr>
          <w:spacing w:val="-5"/>
          <w:sz w:val="22"/>
        </w:rPr>
        <w:t> </w:t>
      </w:r>
      <w:r>
        <w:rPr>
          <w:sz w:val="22"/>
        </w:rPr>
        <w:t>to</w:t>
      </w:r>
      <w:r>
        <w:rPr>
          <w:spacing w:val="-5"/>
          <w:sz w:val="22"/>
        </w:rPr>
        <w:t> </w:t>
      </w:r>
      <w:r>
        <w:rPr>
          <w:sz w:val="22"/>
        </w:rPr>
        <w:t>Civil</w:t>
      </w:r>
      <w:r>
        <w:rPr>
          <w:spacing w:val="-5"/>
          <w:sz w:val="22"/>
        </w:rPr>
        <w:t> </w:t>
      </w:r>
      <w:r>
        <w:rPr>
          <w:sz w:val="22"/>
        </w:rPr>
        <w:t>Rights</w:t>
      </w:r>
      <w:r>
        <w:rPr>
          <w:spacing w:val="-5"/>
          <w:sz w:val="22"/>
        </w:rPr>
        <w:t> </w:t>
      </w:r>
      <w:r>
        <w:rPr>
          <w:sz w:val="22"/>
        </w:rPr>
        <w:t>Act </w:t>
      </w:r>
      <w:r>
        <w:rPr>
          <w:spacing w:val="-2"/>
          <w:sz w:val="22"/>
        </w:rPr>
        <w:t>7-1-12</w:t>
      </w:r>
      <w:r>
        <w:rPr>
          <w:sz w:val="22"/>
        </w:rPr>
        <w:tab/>
        <w:t>Permanent, amended paragraph a</w:t>
      </w:r>
    </w:p>
    <w:p>
      <w:pPr>
        <w:spacing w:after="0"/>
        <w:jc w:val="left"/>
        <w:rPr>
          <w:sz w:val="22"/>
        </w:rPr>
        <w:sectPr>
          <w:pgSz w:w="12240" w:h="15840"/>
          <w:pgMar w:top="1340" w:bottom="280" w:left="1080" w:right="720"/>
        </w:sectPr>
      </w:pPr>
    </w:p>
    <w:p>
      <w:pPr>
        <w:pStyle w:val="Heading1"/>
        <w:ind w:right="777"/>
      </w:pPr>
      <w:bookmarkStart w:name="PART 3. REASONABLE ACCOMMODATION" w:id="37"/>
      <w:bookmarkEnd w:id="37"/>
      <w:r>
        <w:rPr>
          <w:b w:val="0"/>
        </w:rPr>
      </w:r>
      <w:r>
        <w:rPr/>
        <w:t>PART</w:t>
      </w:r>
      <w:r>
        <w:rPr>
          <w:spacing w:val="-3"/>
        </w:rPr>
        <w:t> </w:t>
      </w:r>
      <w:r>
        <w:rPr/>
        <w:t>3.</w:t>
      </w:r>
      <w:r>
        <w:rPr>
          <w:spacing w:val="-3"/>
        </w:rPr>
        <w:t> </w:t>
      </w:r>
      <w:r>
        <w:rPr/>
        <w:t>REASONABLE</w:t>
      </w:r>
      <w:r>
        <w:rPr>
          <w:spacing w:val="-3"/>
        </w:rPr>
        <w:t> </w:t>
      </w:r>
      <w:r>
        <w:rPr>
          <w:spacing w:val="-2"/>
        </w:rPr>
        <w:t>ACCOMMODATION</w:t>
      </w:r>
    </w:p>
    <w:p>
      <w:pPr>
        <w:pStyle w:val="BodyText"/>
        <w:spacing w:before="204"/>
      </w:pPr>
      <w:r>
        <w:rPr>
          <w:spacing w:val="-2"/>
        </w:rPr>
        <w:t>Section</w:t>
      </w:r>
    </w:p>
    <w:p>
      <w:pPr>
        <w:pStyle w:val="BodyText"/>
        <w:tabs>
          <w:tab w:pos="2519" w:val="left" w:leader="none"/>
        </w:tabs>
        <w:spacing w:line="417" w:lineRule="auto" w:before="204"/>
        <w:ind w:right="2583"/>
      </w:pPr>
      <w:r>
        <w:rPr>
          <w:spacing w:val="-2"/>
        </w:rPr>
        <w:t>612:1-11-14.</w:t>
      </w:r>
      <w:r>
        <w:rPr/>
        <w:tab/>
        <w:t>DRS</w:t>
      </w:r>
      <w:r>
        <w:rPr>
          <w:spacing w:val="-10"/>
        </w:rPr>
        <w:t> </w:t>
      </w:r>
      <w:r>
        <w:rPr/>
        <w:t>requirements</w:t>
      </w:r>
      <w:r>
        <w:rPr>
          <w:spacing w:val="-10"/>
        </w:rPr>
        <w:t> </w:t>
      </w:r>
      <w:r>
        <w:rPr/>
        <w:t>for</w:t>
      </w:r>
      <w:r>
        <w:rPr>
          <w:spacing w:val="-12"/>
        </w:rPr>
        <w:t> </w:t>
      </w:r>
      <w:r>
        <w:rPr/>
        <w:t>reasonable</w:t>
      </w:r>
      <w:r>
        <w:rPr>
          <w:spacing w:val="-9"/>
        </w:rPr>
        <w:t> </w:t>
      </w:r>
      <w:r>
        <w:rPr/>
        <w:t>accommodation </w:t>
      </w:r>
      <w:r>
        <w:rPr>
          <w:spacing w:val="-2"/>
        </w:rPr>
        <w:t>612:1-11-15.</w:t>
      </w:r>
      <w:r>
        <w:rPr/>
        <w:tab/>
        <w:t>Overview of reasonable accommodation</w:t>
      </w:r>
    </w:p>
    <w:p>
      <w:pPr>
        <w:pStyle w:val="BodyText"/>
        <w:tabs>
          <w:tab w:pos="2519" w:val="left" w:leader="none"/>
        </w:tabs>
        <w:spacing w:line="276" w:lineRule="exact" w:before="0"/>
      </w:pPr>
      <w:r>
        <w:rPr>
          <w:spacing w:val="-2"/>
        </w:rPr>
        <w:t>612:1-11-</w:t>
      </w:r>
      <w:r>
        <w:rPr>
          <w:spacing w:val="-5"/>
        </w:rPr>
        <w:t>16.</w:t>
      </w:r>
      <w:r>
        <w:rPr/>
        <w:tab/>
        <w:t>Providing</w:t>
      </w:r>
      <w:r>
        <w:rPr>
          <w:spacing w:val="-8"/>
        </w:rPr>
        <w:t> </w:t>
      </w:r>
      <w:r>
        <w:rPr/>
        <w:t>reasonable</w:t>
      </w:r>
      <w:r>
        <w:rPr>
          <w:spacing w:val="-4"/>
        </w:rPr>
        <w:t> </w:t>
      </w:r>
      <w:r>
        <w:rPr>
          <w:spacing w:val="-2"/>
        </w:rPr>
        <w:t>accommodation</w:t>
      </w:r>
    </w:p>
    <w:p>
      <w:pPr>
        <w:pStyle w:val="BodyText"/>
        <w:spacing w:after="0" w:line="276" w:lineRule="exact"/>
        <w:sectPr>
          <w:pgSz w:w="12240" w:h="15840"/>
          <w:pgMar w:top="1340" w:bottom="280" w:left="1080" w:right="720"/>
        </w:sectPr>
      </w:pPr>
    </w:p>
    <w:p>
      <w:pPr>
        <w:pStyle w:val="Heading2"/>
      </w:pPr>
      <w:bookmarkStart w:name="612:1-11-14.  DRS requirements for reaso" w:id="38"/>
      <w:bookmarkEnd w:id="38"/>
      <w:r>
        <w:rPr>
          <w:b w:val="0"/>
        </w:rPr>
      </w:r>
      <w:r>
        <w:rPr/>
        <w:t>612:1-11-14.</w:t>
      </w:r>
      <w:r>
        <w:rPr>
          <w:spacing w:val="56"/>
        </w:rPr>
        <w:t> </w:t>
      </w:r>
      <w:r>
        <w:rPr/>
        <w:t>DRS</w:t>
      </w:r>
      <w:r>
        <w:rPr>
          <w:spacing w:val="-3"/>
        </w:rPr>
        <w:t> </w:t>
      </w:r>
      <w:r>
        <w:rPr/>
        <w:t>requirements</w:t>
      </w:r>
      <w:r>
        <w:rPr>
          <w:spacing w:val="-4"/>
        </w:rPr>
        <w:t> </w:t>
      </w:r>
      <w:r>
        <w:rPr/>
        <w:t>for</w:t>
      </w:r>
      <w:r>
        <w:rPr>
          <w:spacing w:val="-4"/>
        </w:rPr>
        <w:t> </w:t>
      </w:r>
      <w:r>
        <w:rPr/>
        <w:t>reasonable</w:t>
      </w:r>
      <w:r>
        <w:rPr>
          <w:spacing w:val="-4"/>
        </w:rPr>
        <w:t> </w:t>
      </w:r>
      <w:r>
        <w:rPr>
          <w:spacing w:val="-2"/>
        </w:rPr>
        <w:t>accommodation</w:t>
      </w:r>
    </w:p>
    <w:p>
      <w:pPr>
        <w:pStyle w:val="BodyText"/>
        <w:spacing w:line="208" w:lineRule="auto" w:before="233"/>
        <w:ind w:right="775" w:firstLine="432"/>
      </w:pPr>
      <w:r>
        <w:rPr/>
        <w:t>All</w:t>
      </w:r>
      <w:r>
        <w:rPr>
          <w:spacing w:val="-4"/>
        </w:rPr>
        <w:t> </w:t>
      </w:r>
      <w:r>
        <w:rPr/>
        <w:t>divisions</w:t>
      </w:r>
      <w:r>
        <w:rPr>
          <w:spacing w:val="-4"/>
        </w:rPr>
        <w:t> </w:t>
      </w:r>
      <w:r>
        <w:rPr/>
        <w:t>of</w:t>
      </w:r>
      <w:r>
        <w:rPr>
          <w:spacing w:val="-5"/>
        </w:rPr>
        <w:t> </w:t>
      </w:r>
      <w:r>
        <w:rPr/>
        <w:t>the</w:t>
      </w:r>
      <w:r>
        <w:rPr>
          <w:spacing w:val="-4"/>
        </w:rPr>
        <w:t> </w:t>
      </w:r>
      <w:r>
        <w:rPr/>
        <w:t>Department</w:t>
      </w:r>
      <w:r>
        <w:rPr>
          <w:spacing w:val="-3"/>
        </w:rPr>
        <w:t> </w:t>
      </w:r>
      <w:r>
        <w:rPr/>
        <w:t>are</w:t>
      </w:r>
      <w:r>
        <w:rPr>
          <w:spacing w:val="-4"/>
        </w:rPr>
        <w:t> </w:t>
      </w:r>
      <w:r>
        <w:rPr/>
        <w:t>required</w:t>
      </w:r>
      <w:r>
        <w:rPr>
          <w:spacing w:val="-4"/>
        </w:rPr>
        <w:t> </w:t>
      </w:r>
      <w:r>
        <w:rPr/>
        <w:t>to</w:t>
      </w:r>
      <w:r>
        <w:rPr>
          <w:spacing w:val="-4"/>
        </w:rPr>
        <w:t> </w:t>
      </w:r>
      <w:r>
        <w:rPr/>
        <w:t>make</w:t>
      </w:r>
      <w:r>
        <w:rPr>
          <w:spacing w:val="-4"/>
        </w:rPr>
        <w:t> </w:t>
      </w:r>
      <w:r>
        <w:rPr/>
        <w:t>reasonable</w:t>
      </w:r>
      <w:r>
        <w:rPr>
          <w:spacing w:val="-4"/>
        </w:rPr>
        <w:t> </w:t>
      </w:r>
      <w:r>
        <w:rPr/>
        <w:t>accommodation</w:t>
      </w:r>
      <w:r>
        <w:rPr>
          <w:spacing w:val="-4"/>
        </w:rPr>
        <w:t> </w:t>
      </w:r>
      <w:r>
        <w:rPr/>
        <w:t>to the known physical and mental limitations of otherwise qualified employees, applicants and clients with disabilities unless it can be demonstrated that the accommodation requested would impose an undue hardship on the operations of the Department.</w:t>
      </w:r>
    </w:p>
    <w:p>
      <w:pPr>
        <w:pStyle w:val="BodyText"/>
        <w:spacing w:line="208" w:lineRule="auto" w:before="0"/>
        <w:ind w:right="739"/>
      </w:pPr>
      <w:r>
        <w:rPr/>
        <w:t>Employment opportunities may not be denied to qualified employees or applicants with disabilities</w:t>
      </w:r>
      <w:r>
        <w:rPr>
          <w:spacing w:val="-3"/>
        </w:rPr>
        <w:t> </w:t>
      </w:r>
      <w:r>
        <w:rPr/>
        <w:t>if</w:t>
      </w:r>
      <w:r>
        <w:rPr>
          <w:spacing w:val="-2"/>
        </w:rPr>
        <w:t> </w:t>
      </w:r>
      <w:r>
        <w:rPr/>
        <w:t>the</w:t>
      </w:r>
      <w:r>
        <w:rPr>
          <w:spacing w:val="-3"/>
        </w:rPr>
        <w:t> </w:t>
      </w:r>
      <w:r>
        <w:rPr/>
        <w:t>basis</w:t>
      </w:r>
      <w:r>
        <w:rPr>
          <w:spacing w:val="-3"/>
        </w:rPr>
        <w:t> </w:t>
      </w:r>
      <w:r>
        <w:rPr/>
        <w:t>for</w:t>
      </w:r>
      <w:r>
        <w:rPr>
          <w:spacing w:val="-2"/>
        </w:rPr>
        <w:t> </w:t>
      </w:r>
      <w:r>
        <w:rPr/>
        <w:t>the</w:t>
      </w:r>
      <w:r>
        <w:rPr>
          <w:spacing w:val="-3"/>
        </w:rPr>
        <w:t> </w:t>
      </w:r>
      <w:r>
        <w:rPr/>
        <w:t>denial</w:t>
      </w:r>
      <w:r>
        <w:rPr>
          <w:spacing w:val="-3"/>
        </w:rPr>
        <w:t> </w:t>
      </w:r>
      <w:r>
        <w:rPr/>
        <w:t>is</w:t>
      </w:r>
      <w:r>
        <w:rPr>
          <w:spacing w:val="-3"/>
        </w:rPr>
        <w:t> </w:t>
      </w:r>
      <w:r>
        <w:rPr/>
        <w:t>the</w:t>
      </w:r>
      <w:r>
        <w:rPr>
          <w:spacing w:val="-3"/>
        </w:rPr>
        <w:t> </w:t>
      </w:r>
      <w:r>
        <w:rPr/>
        <w:t>need</w:t>
      </w:r>
      <w:r>
        <w:rPr>
          <w:spacing w:val="-3"/>
        </w:rPr>
        <w:t> </w:t>
      </w:r>
      <w:r>
        <w:rPr/>
        <w:t>to</w:t>
      </w:r>
      <w:r>
        <w:rPr>
          <w:spacing w:val="-3"/>
        </w:rPr>
        <w:t> </w:t>
      </w:r>
      <w:r>
        <w:rPr/>
        <w:t>make</w:t>
      </w:r>
      <w:r>
        <w:rPr>
          <w:spacing w:val="-4"/>
        </w:rPr>
        <w:t> </w:t>
      </w:r>
      <w:r>
        <w:rPr/>
        <w:t>reasonable</w:t>
      </w:r>
      <w:r>
        <w:rPr>
          <w:spacing w:val="-3"/>
        </w:rPr>
        <w:t> </w:t>
      </w:r>
      <w:r>
        <w:rPr/>
        <w:t>accommodations</w:t>
      </w:r>
      <w:r>
        <w:rPr>
          <w:spacing w:val="-3"/>
        </w:rPr>
        <w:t> </w:t>
      </w:r>
      <w:r>
        <w:rPr/>
        <w:t>to that person's physical or mental limitations.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pPr>
      <w:bookmarkStart w:name="612:1-11-15.  Overview of reasonable acc" w:id="39"/>
      <w:bookmarkEnd w:id="39"/>
      <w:r>
        <w:rPr>
          <w:b w:val="0"/>
        </w:rPr>
      </w:r>
      <w:r>
        <w:rPr/>
        <w:t>612:1-11-15.</w:t>
      </w:r>
      <w:r>
        <w:rPr>
          <w:spacing w:val="58"/>
        </w:rPr>
        <w:t> </w:t>
      </w:r>
      <w:r>
        <w:rPr/>
        <w:t>Overview</w:t>
      </w:r>
      <w:r>
        <w:rPr>
          <w:spacing w:val="-3"/>
        </w:rPr>
        <w:t> </w:t>
      </w:r>
      <w:r>
        <w:rPr/>
        <w:t>of</w:t>
      </w:r>
      <w:r>
        <w:rPr>
          <w:spacing w:val="-5"/>
        </w:rPr>
        <w:t> </w:t>
      </w:r>
      <w:r>
        <w:rPr/>
        <w:t>reasonable</w:t>
      </w:r>
      <w:r>
        <w:rPr>
          <w:spacing w:val="-4"/>
        </w:rPr>
        <w:t> </w:t>
      </w:r>
      <w:r>
        <w:rPr>
          <w:spacing w:val="-2"/>
        </w:rPr>
        <w:t>accommodation</w:t>
      </w:r>
    </w:p>
    <w:p>
      <w:pPr>
        <w:pStyle w:val="ListParagraph"/>
        <w:numPr>
          <w:ilvl w:val="0"/>
          <w:numId w:val="35"/>
        </w:numPr>
        <w:tabs>
          <w:tab w:pos="786" w:val="left" w:leader="none"/>
        </w:tabs>
        <w:spacing w:line="208" w:lineRule="auto" w:before="233" w:after="0"/>
        <w:ind w:left="360" w:right="1018" w:firstLine="0"/>
        <w:jc w:val="left"/>
        <w:rPr>
          <w:sz w:val="24"/>
        </w:rPr>
      </w:pPr>
      <w:r>
        <w:rPr>
          <w:sz w:val="24"/>
        </w:rPr>
        <w:t>Reasonable accommodation is a modification or adjustment to a job, the work environment,</w:t>
      </w:r>
      <w:r>
        <w:rPr>
          <w:spacing w:val="-2"/>
          <w:sz w:val="24"/>
        </w:rPr>
        <w:t> </w:t>
      </w:r>
      <w:r>
        <w:rPr>
          <w:sz w:val="24"/>
        </w:rPr>
        <w:t>or</w:t>
      </w:r>
      <w:r>
        <w:rPr>
          <w:spacing w:val="-4"/>
          <w:sz w:val="24"/>
        </w:rPr>
        <w:t> </w:t>
      </w:r>
      <w:r>
        <w:rPr>
          <w:sz w:val="24"/>
        </w:rPr>
        <w:t>policies</w:t>
      </w:r>
      <w:r>
        <w:rPr>
          <w:spacing w:val="-3"/>
          <w:sz w:val="24"/>
        </w:rPr>
        <w:t> </w:t>
      </w:r>
      <w:r>
        <w:rPr>
          <w:sz w:val="24"/>
        </w:rPr>
        <w:t>that</w:t>
      </w:r>
      <w:r>
        <w:rPr>
          <w:spacing w:val="-2"/>
          <w:sz w:val="24"/>
        </w:rPr>
        <w:t> </w:t>
      </w:r>
      <w:r>
        <w:rPr>
          <w:sz w:val="24"/>
        </w:rPr>
        <w:t>enables</w:t>
      </w:r>
      <w:r>
        <w:rPr>
          <w:spacing w:val="-3"/>
          <w:sz w:val="24"/>
        </w:rPr>
        <w:t> </w:t>
      </w:r>
      <w:r>
        <w:rPr>
          <w:sz w:val="24"/>
        </w:rPr>
        <w:t>a</w:t>
      </w:r>
      <w:r>
        <w:rPr>
          <w:spacing w:val="-3"/>
          <w:sz w:val="24"/>
        </w:rPr>
        <w:t> </w:t>
      </w:r>
      <w:r>
        <w:rPr>
          <w:sz w:val="24"/>
        </w:rPr>
        <w:t>qualified</w:t>
      </w:r>
      <w:r>
        <w:rPr>
          <w:spacing w:val="-3"/>
          <w:sz w:val="24"/>
        </w:rPr>
        <w:t> </w:t>
      </w:r>
      <w:r>
        <w:rPr>
          <w:sz w:val="24"/>
        </w:rPr>
        <w:t>individual</w:t>
      </w:r>
      <w:r>
        <w:rPr>
          <w:spacing w:val="-3"/>
          <w:sz w:val="24"/>
        </w:rPr>
        <w:t> </w:t>
      </w:r>
      <w:r>
        <w:rPr>
          <w:sz w:val="24"/>
        </w:rPr>
        <w:t>with</w:t>
      </w:r>
      <w:r>
        <w:rPr>
          <w:spacing w:val="-3"/>
          <w:sz w:val="24"/>
        </w:rPr>
        <w:t> </w:t>
      </w:r>
      <w:r>
        <w:rPr>
          <w:sz w:val="24"/>
        </w:rPr>
        <w:t>a</w:t>
      </w:r>
      <w:r>
        <w:rPr>
          <w:spacing w:val="-3"/>
          <w:sz w:val="24"/>
        </w:rPr>
        <w:t> </w:t>
      </w:r>
      <w:r>
        <w:rPr>
          <w:sz w:val="24"/>
        </w:rPr>
        <w:t>disability</w:t>
      </w:r>
      <w:r>
        <w:rPr>
          <w:spacing w:val="-3"/>
          <w:sz w:val="24"/>
        </w:rPr>
        <w:t> </w:t>
      </w:r>
      <w:r>
        <w:rPr>
          <w:sz w:val="24"/>
        </w:rPr>
        <w:t>to</w:t>
      </w:r>
      <w:r>
        <w:rPr>
          <w:spacing w:val="-3"/>
          <w:sz w:val="24"/>
        </w:rPr>
        <w:t> </w:t>
      </w:r>
      <w:r>
        <w:rPr>
          <w:sz w:val="24"/>
        </w:rPr>
        <w:t>enjoy</w:t>
      </w:r>
      <w:r>
        <w:rPr>
          <w:spacing w:val="-3"/>
          <w:sz w:val="24"/>
        </w:rPr>
        <w:t> </w:t>
      </w:r>
      <w:r>
        <w:rPr>
          <w:sz w:val="24"/>
        </w:rPr>
        <w:t>an equal employment opportunity.</w:t>
      </w:r>
      <w:r>
        <w:rPr>
          <w:spacing w:val="40"/>
          <w:sz w:val="24"/>
        </w:rPr>
        <w:t> </w:t>
      </w:r>
      <w:r>
        <w:rPr>
          <w:sz w:val="24"/>
        </w:rPr>
        <w:t>A reasonable accommodation must be effective.</w:t>
      </w:r>
    </w:p>
    <w:p>
      <w:pPr>
        <w:pStyle w:val="ListParagraph"/>
        <w:numPr>
          <w:ilvl w:val="0"/>
          <w:numId w:val="35"/>
        </w:numPr>
        <w:tabs>
          <w:tab w:pos="786" w:val="left" w:leader="none"/>
        </w:tabs>
        <w:spacing w:line="240" w:lineRule="auto" w:before="210" w:after="0"/>
        <w:ind w:left="786" w:right="0" w:hanging="426"/>
        <w:jc w:val="left"/>
        <w:rPr>
          <w:sz w:val="24"/>
        </w:rPr>
      </w:pPr>
      <w:r>
        <w:rPr>
          <w:sz w:val="24"/>
        </w:rPr>
        <w:t>The</w:t>
      </w:r>
      <w:r>
        <w:rPr>
          <w:spacing w:val="-6"/>
          <w:sz w:val="24"/>
        </w:rPr>
        <w:t> </w:t>
      </w:r>
      <w:r>
        <w:rPr>
          <w:sz w:val="24"/>
        </w:rPr>
        <w:t>ADA</w:t>
      </w:r>
      <w:r>
        <w:rPr>
          <w:spacing w:val="-3"/>
          <w:sz w:val="24"/>
        </w:rPr>
        <w:t> </w:t>
      </w:r>
      <w:r>
        <w:rPr>
          <w:sz w:val="24"/>
        </w:rPr>
        <w:t>requires</w:t>
      </w:r>
      <w:r>
        <w:rPr>
          <w:spacing w:val="-3"/>
          <w:sz w:val="24"/>
        </w:rPr>
        <w:t> </w:t>
      </w:r>
      <w:r>
        <w:rPr>
          <w:sz w:val="24"/>
        </w:rPr>
        <w:t>reasonable</w:t>
      </w:r>
      <w:r>
        <w:rPr>
          <w:spacing w:val="-3"/>
          <w:sz w:val="24"/>
        </w:rPr>
        <w:t> </w:t>
      </w:r>
      <w:r>
        <w:rPr>
          <w:sz w:val="24"/>
        </w:rPr>
        <w:t>accommodation</w:t>
      </w:r>
      <w:r>
        <w:rPr>
          <w:spacing w:val="-3"/>
          <w:sz w:val="24"/>
        </w:rPr>
        <w:t> </w:t>
      </w:r>
      <w:r>
        <w:rPr>
          <w:sz w:val="24"/>
        </w:rPr>
        <w:t>in</w:t>
      </w:r>
      <w:r>
        <w:rPr>
          <w:spacing w:val="-3"/>
          <w:sz w:val="24"/>
        </w:rPr>
        <w:t> </w:t>
      </w:r>
      <w:r>
        <w:rPr>
          <w:sz w:val="24"/>
        </w:rPr>
        <w:t>three</w:t>
      </w:r>
      <w:r>
        <w:rPr>
          <w:spacing w:val="-3"/>
          <w:sz w:val="24"/>
        </w:rPr>
        <w:t> </w:t>
      </w:r>
      <w:r>
        <w:rPr>
          <w:sz w:val="24"/>
        </w:rPr>
        <w:t>aspects</w:t>
      </w:r>
      <w:r>
        <w:rPr>
          <w:spacing w:val="-3"/>
          <w:sz w:val="24"/>
        </w:rPr>
        <w:t> </w:t>
      </w:r>
      <w:r>
        <w:rPr>
          <w:sz w:val="24"/>
        </w:rPr>
        <w:t>of</w:t>
      </w:r>
      <w:r>
        <w:rPr>
          <w:spacing w:val="-4"/>
          <w:sz w:val="24"/>
        </w:rPr>
        <w:t> </w:t>
      </w:r>
      <w:r>
        <w:rPr>
          <w:spacing w:val="-2"/>
          <w:sz w:val="24"/>
        </w:rPr>
        <w:t>employment:</w:t>
      </w:r>
    </w:p>
    <w:p>
      <w:pPr>
        <w:pStyle w:val="ListParagraph"/>
        <w:numPr>
          <w:ilvl w:val="1"/>
          <w:numId w:val="35"/>
        </w:numPr>
        <w:tabs>
          <w:tab w:pos="1217" w:val="left" w:leader="none"/>
        </w:tabs>
        <w:spacing w:line="240" w:lineRule="auto" w:before="204" w:after="0"/>
        <w:ind w:left="1217" w:right="0" w:hanging="425"/>
        <w:jc w:val="left"/>
        <w:rPr>
          <w:sz w:val="24"/>
        </w:rPr>
      </w:pPr>
      <w:r>
        <w:rPr>
          <w:sz w:val="24"/>
        </w:rPr>
        <w:t>to</w:t>
      </w:r>
      <w:r>
        <w:rPr>
          <w:spacing w:val="-4"/>
          <w:sz w:val="24"/>
        </w:rPr>
        <w:t> </w:t>
      </w:r>
      <w:r>
        <w:rPr>
          <w:sz w:val="24"/>
        </w:rPr>
        <w:t>ensure</w:t>
      </w:r>
      <w:r>
        <w:rPr>
          <w:spacing w:val="-3"/>
          <w:sz w:val="24"/>
        </w:rPr>
        <w:t> </w:t>
      </w:r>
      <w:r>
        <w:rPr>
          <w:sz w:val="24"/>
        </w:rPr>
        <w:t>equal</w:t>
      </w:r>
      <w:r>
        <w:rPr>
          <w:spacing w:val="-3"/>
          <w:sz w:val="24"/>
        </w:rPr>
        <w:t> </w:t>
      </w:r>
      <w:r>
        <w:rPr>
          <w:sz w:val="24"/>
        </w:rPr>
        <w:t>opportunity</w:t>
      </w:r>
      <w:r>
        <w:rPr>
          <w:spacing w:val="-3"/>
          <w:sz w:val="24"/>
        </w:rPr>
        <w:t> </w:t>
      </w:r>
      <w:r>
        <w:rPr>
          <w:sz w:val="24"/>
        </w:rPr>
        <w:t>in</w:t>
      </w:r>
      <w:r>
        <w:rPr>
          <w:spacing w:val="-3"/>
          <w:sz w:val="24"/>
        </w:rPr>
        <w:t> </w:t>
      </w:r>
      <w:r>
        <w:rPr>
          <w:sz w:val="24"/>
        </w:rPr>
        <w:t>the</w:t>
      </w:r>
      <w:r>
        <w:rPr>
          <w:spacing w:val="-3"/>
          <w:sz w:val="24"/>
        </w:rPr>
        <w:t> </w:t>
      </w:r>
      <w:r>
        <w:rPr>
          <w:sz w:val="24"/>
        </w:rPr>
        <w:t>application</w:t>
      </w:r>
      <w:r>
        <w:rPr>
          <w:spacing w:val="-3"/>
          <w:sz w:val="24"/>
        </w:rPr>
        <w:t> </w:t>
      </w:r>
      <w:r>
        <w:rPr>
          <w:spacing w:val="-2"/>
          <w:sz w:val="24"/>
        </w:rPr>
        <w:t>process;</w:t>
      </w:r>
    </w:p>
    <w:p>
      <w:pPr>
        <w:pStyle w:val="ListParagraph"/>
        <w:numPr>
          <w:ilvl w:val="1"/>
          <w:numId w:val="35"/>
        </w:numPr>
        <w:tabs>
          <w:tab w:pos="1217" w:val="left" w:leader="none"/>
        </w:tabs>
        <w:spacing w:line="208" w:lineRule="auto" w:before="234" w:after="0"/>
        <w:ind w:left="792" w:right="720" w:firstLine="0"/>
        <w:jc w:val="left"/>
        <w:rPr>
          <w:sz w:val="24"/>
        </w:rPr>
      </w:pPr>
      <w:r>
        <w:rPr>
          <w:sz w:val="24"/>
        </w:rPr>
        <w:t>to</w:t>
      </w:r>
      <w:r>
        <w:rPr>
          <w:spacing w:val="-4"/>
          <w:sz w:val="24"/>
        </w:rPr>
        <w:t> </w:t>
      </w:r>
      <w:r>
        <w:rPr>
          <w:sz w:val="24"/>
        </w:rPr>
        <w:t>enable</w:t>
      </w:r>
      <w:r>
        <w:rPr>
          <w:spacing w:val="-4"/>
          <w:sz w:val="24"/>
        </w:rPr>
        <w:t> </w:t>
      </w:r>
      <w:r>
        <w:rPr>
          <w:sz w:val="24"/>
        </w:rPr>
        <w:t>a</w:t>
      </w:r>
      <w:r>
        <w:rPr>
          <w:spacing w:val="-4"/>
          <w:sz w:val="24"/>
        </w:rPr>
        <w:t> </w:t>
      </w:r>
      <w:r>
        <w:rPr>
          <w:sz w:val="24"/>
        </w:rPr>
        <w:t>qualified</w:t>
      </w:r>
      <w:r>
        <w:rPr>
          <w:spacing w:val="-4"/>
          <w:sz w:val="24"/>
        </w:rPr>
        <w:t> </w:t>
      </w:r>
      <w:r>
        <w:rPr>
          <w:sz w:val="24"/>
        </w:rPr>
        <w:t>individual</w:t>
      </w:r>
      <w:r>
        <w:rPr>
          <w:spacing w:val="-3"/>
          <w:sz w:val="24"/>
        </w:rPr>
        <w:t> </w:t>
      </w:r>
      <w:r>
        <w:rPr>
          <w:sz w:val="24"/>
        </w:rPr>
        <w:t>with</w:t>
      </w:r>
      <w:r>
        <w:rPr>
          <w:spacing w:val="-4"/>
          <w:sz w:val="24"/>
        </w:rPr>
        <w:t> </w:t>
      </w:r>
      <w:r>
        <w:rPr>
          <w:sz w:val="24"/>
        </w:rPr>
        <w:t>a</w:t>
      </w:r>
      <w:r>
        <w:rPr>
          <w:spacing w:val="-4"/>
          <w:sz w:val="24"/>
        </w:rPr>
        <w:t> </w:t>
      </w:r>
      <w:r>
        <w:rPr>
          <w:sz w:val="24"/>
        </w:rPr>
        <w:t>disability</w:t>
      </w:r>
      <w:r>
        <w:rPr>
          <w:spacing w:val="-4"/>
          <w:sz w:val="24"/>
        </w:rPr>
        <w:t> </w:t>
      </w:r>
      <w:r>
        <w:rPr>
          <w:sz w:val="24"/>
        </w:rPr>
        <w:t>to</w:t>
      </w:r>
      <w:r>
        <w:rPr>
          <w:spacing w:val="-4"/>
          <w:sz w:val="24"/>
        </w:rPr>
        <w:t> </w:t>
      </w:r>
      <w:r>
        <w:rPr>
          <w:sz w:val="24"/>
        </w:rPr>
        <w:t>perform</w:t>
      </w:r>
      <w:r>
        <w:rPr>
          <w:spacing w:val="-3"/>
          <w:sz w:val="24"/>
        </w:rPr>
        <w:t> </w:t>
      </w:r>
      <w:r>
        <w:rPr>
          <w:sz w:val="24"/>
        </w:rPr>
        <w:t>the</w:t>
      </w:r>
      <w:r>
        <w:rPr>
          <w:spacing w:val="-4"/>
          <w:sz w:val="24"/>
        </w:rPr>
        <w:t> </w:t>
      </w:r>
      <w:r>
        <w:rPr>
          <w:sz w:val="24"/>
        </w:rPr>
        <w:t>essential</w:t>
      </w:r>
      <w:r>
        <w:rPr>
          <w:spacing w:val="-4"/>
          <w:sz w:val="24"/>
        </w:rPr>
        <w:t> </w:t>
      </w:r>
      <w:r>
        <w:rPr>
          <w:sz w:val="24"/>
        </w:rPr>
        <w:t>functions of a job; and,</w:t>
      </w:r>
    </w:p>
    <w:p>
      <w:pPr>
        <w:pStyle w:val="ListParagraph"/>
        <w:numPr>
          <w:ilvl w:val="1"/>
          <w:numId w:val="35"/>
        </w:numPr>
        <w:tabs>
          <w:tab w:pos="1217" w:val="left" w:leader="none"/>
        </w:tabs>
        <w:spacing w:line="208" w:lineRule="auto" w:before="239" w:after="0"/>
        <w:ind w:left="792" w:right="826" w:firstLine="0"/>
        <w:jc w:val="left"/>
        <w:rPr>
          <w:sz w:val="24"/>
        </w:rPr>
      </w:pPr>
      <w:r>
        <w:rPr>
          <w:sz w:val="24"/>
        </w:rPr>
        <w:t>to</w:t>
      </w:r>
      <w:r>
        <w:rPr>
          <w:spacing w:val="-3"/>
          <w:sz w:val="24"/>
        </w:rPr>
        <w:t> </w:t>
      </w:r>
      <w:r>
        <w:rPr>
          <w:sz w:val="24"/>
        </w:rPr>
        <w:t>enable</w:t>
      </w:r>
      <w:r>
        <w:rPr>
          <w:spacing w:val="-3"/>
          <w:sz w:val="24"/>
        </w:rPr>
        <w:t> </w:t>
      </w:r>
      <w:r>
        <w:rPr>
          <w:sz w:val="24"/>
        </w:rPr>
        <w:t>an</w:t>
      </w:r>
      <w:r>
        <w:rPr>
          <w:spacing w:val="-3"/>
          <w:sz w:val="24"/>
        </w:rPr>
        <w:t> </w:t>
      </w:r>
      <w:r>
        <w:rPr>
          <w:sz w:val="24"/>
        </w:rPr>
        <w:t>employee</w:t>
      </w:r>
      <w:r>
        <w:rPr>
          <w:spacing w:val="-3"/>
          <w:sz w:val="24"/>
        </w:rPr>
        <w:t> </w:t>
      </w:r>
      <w:r>
        <w:rPr>
          <w:sz w:val="24"/>
        </w:rPr>
        <w:t>with</w:t>
      </w:r>
      <w:r>
        <w:rPr>
          <w:spacing w:val="-3"/>
          <w:sz w:val="24"/>
        </w:rPr>
        <w:t> </w:t>
      </w:r>
      <w:r>
        <w:rPr>
          <w:sz w:val="24"/>
        </w:rPr>
        <w:t>a</w:t>
      </w:r>
      <w:r>
        <w:rPr>
          <w:spacing w:val="-2"/>
          <w:sz w:val="24"/>
        </w:rPr>
        <w:t> </w:t>
      </w:r>
      <w:r>
        <w:rPr>
          <w:sz w:val="24"/>
        </w:rPr>
        <w:t>disability</w:t>
      </w:r>
      <w:r>
        <w:rPr>
          <w:spacing w:val="-3"/>
          <w:sz w:val="24"/>
        </w:rPr>
        <w:t> </w:t>
      </w:r>
      <w:r>
        <w:rPr>
          <w:sz w:val="24"/>
        </w:rPr>
        <w:t>to</w:t>
      </w:r>
      <w:r>
        <w:rPr>
          <w:spacing w:val="-3"/>
          <w:sz w:val="24"/>
        </w:rPr>
        <w:t> </w:t>
      </w:r>
      <w:r>
        <w:rPr>
          <w:sz w:val="24"/>
        </w:rPr>
        <w:t>enjoy</w:t>
      </w:r>
      <w:r>
        <w:rPr>
          <w:spacing w:val="-3"/>
          <w:sz w:val="24"/>
        </w:rPr>
        <w:t> </w:t>
      </w:r>
      <w:r>
        <w:rPr>
          <w:sz w:val="24"/>
        </w:rPr>
        <w:t>equal</w:t>
      </w:r>
      <w:r>
        <w:rPr>
          <w:spacing w:val="-3"/>
          <w:sz w:val="24"/>
        </w:rPr>
        <w:t> </w:t>
      </w:r>
      <w:r>
        <w:rPr>
          <w:sz w:val="24"/>
        </w:rPr>
        <w:t>benefits</w:t>
      </w:r>
      <w:r>
        <w:rPr>
          <w:spacing w:val="-2"/>
          <w:sz w:val="24"/>
        </w:rPr>
        <w:t> </w:t>
      </w:r>
      <w:r>
        <w:rPr>
          <w:sz w:val="24"/>
        </w:rPr>
        <w:t>and</w:t>
      </w:r>
      <w:r>
        <w:rPr>
          <w:spacing w:val="-3"/>
          <w:sz w:val="24"/>
        </w:rPr>
        <w:t> </w:t>
      </w:r>
      <w:r>
        <w:rPr>
          <w:sz w:val="24"/>
        </w:rPr>
        <w:t>privileges</w:t>
      </w:r>
      <w:r>
        <w:rPr>
          <w:spacing w:val="-3"/>
          <w:sz w:val="24"/>
        </w:rPr>
        <w:t> </w:t>
      </w:r>
      <w:r>
        <w:rPr>
          <w:sz w:val="24"/>
        </w:rPr>
        <w:t>of </w:t>
      </w:r>
      <w:r>
        <w:rPr>
          <w:spacing w:val="-2"/>
          <w:sz w:val="24"/>
        </w:rPr>
        <w:t>employment.</w:t>
      </w:r>
    </w:p>
    <w:p>
      <w:pPr>
        <w:pStyle w:val="ListParagraph"/>
        <w:numPr>
          <w:ilvl w:val="0"/>
          <w:numId w:val="35"/>
        </w:numPr>
        <w:tabs>
          <w:tab w:pos="773" w:val="left" w:leader="none"/>
        </w:tabs>
        <w:spacing w:line="208" w:lineRule="auto" w:before="240" w:after="0"/>
        <w:ind w:left="360" w:right="832" w:firstLine="0"/>
        <w:jc w:val="left"/>
        <w:rPr>
          <w:sz w:val="24"/>
        </w:rPr>
      </w:pPr>
      <w:r>
        <w:rPr>
          <w:sz w:val="24"/>
        </w:rPr>
        <w:t>Reasonable</w:t>
      </w:r>
      <w:r>
        <w:rPr>
          <w:spacing w:val="-5"/>
          <w:sz w:val="24"/>
        </w:rPr>
        <w:t> </w:t>
      </w:r>
      <w:r>
        <w:rPr>
          <w:sz w:val="24"/>
        </w:rPr>
        <w:t>accommodation</w:t>
      </w:r>
      <w:r>
        <w:rPr>
          <w:spacing w:val="-5"/>
          <w:sz w:val="24"/>
        </w:rPr>
        <w:t> </w:t>
      </w:r>
      <w:r>
        <w:rPr>
          <w:sz w:val="24"/>
        </w:rPr>
        <w:t>requirements</w:t>
      </w:r>
      <w:r>
        <w:rPr>
          <w:spacing w:val="-5"/>
          <w:sz w:val="24"/>
        </w:rPr>
        <w:t> </w:t>
      </w:r>
      <w:r>
        <w:rPr>
          <w:sz w:val="24"/>
        </w:rPr>
        <w:t>do</w:t>
      </w:r>
      <w:r>
        <w:rPr>
          <w:spacing w:val="-5"/>
          <w:sz w:val="24"/>
        </w:rPr>
        <w:t> </w:t>
      </w:r>
      <w:r>
        <w:rPr>
          <w:sz w:val="24"/>
        </w:rPr>
        <w:t>not</w:t>
      </w:r>
      <w:r>
        <w:rPr>
          <w:spacing w:val="-4"/>
          <w:sz w:val="24"/>
        </w:rPr>
        <w:t> </w:t>
      </w:r>
      <w:r>
        <w:rPr>
          <w:sz w:val="24"/>
        </w:rPr>
        <w:t>include</w:t>
      </w:r>
      <w:r>
        <w:rPr>
          <w:spacing w:val="-5"/>
          <w:sz w:val="24"/>
        </w:rPr>
        <w:t> </w:t>
      </w:r>
      <w:r>
        <w:rPr>
          <w:sz w:val="24"/>
        </w:rPr>
        <w:t>accommodations</w:t>
      </w:r>
      <w:r>
        <w:rPr>
          <w:spacing w:val="-5"/>
          <w:sz w:val="24"/>
        </w:rPr>
        <w:t> </w:t>
      </w:r>
      <w:r>
        <w:rPr>
          <w:sz w:val="24"/>
        </w:rPr>
        <w:t>that</w:t>
      </w:r>
      <w:r>
        <w:rPr>
          <w:spacing w:val="-4"/>
          <w:sz w:val="24"/>
        </w:rPr>
        <w:t> </w:t>
      </w:r>
      <w:r>
        <w:rPr>
          <w:sz w:val="24"/>
        </w:rPr>
        <w:t>are for personal use.</w:t>
      </w:r>
    </w:p>
    <w:p>
      <w:pPr>
        <w:pStyle w:val="ListParagraph"/>
        <w:numPr>
          <w:ilvl w:val="0"/>
          <w:numId w:val="35"/>
        </w:numPr>
        <w:tabs>
          <w:tab w:pos="785" w:val="left" w:leader="none"/>
        </w:tabs>
        <w:spacing w:line="208" w:lineRule="auto" w:before="240" w:after="0"/>
        <w:ind w:left="360" w:right="886" w:firstLine="0"/>
        <w:jc w:val="left"/>
        <w:rPr>
          <w:sz w:val="24"/>
        </w:rPr>
      </w:pPr>
      <w:r>
        <w:rPr>
          <w:sz w:val="24"/>
        </w:rPr>
        <w:t>Generally, it is the responsibility of the applicant or employee with a disability to inform the Department that an accommodation is needed to participate in the application</w:t>
      </w:r>
      <w:r>
        <w:rPr>
          <w:spacing w:val="-3"/>
          <w:sz w:val="24"/>
        </w:rPr>
        <w:t> </w:t>
      </w:r>
      <w:r>
        <w:rPr>
          <w:sz w:val="24"/>
        </w:rPr>
        <w:t>process,</w:t>
      </w:r>
      <w:r>
        <w:rPr>
          <w:spacing w:val="-3"/>
          <w:sz w:val="24"/>
        </w:rPr>
        <w:t> </w:t>
      </w:r>
      <w:r>
        <w:rPr>
          <w:sz w:val="24"/>
        </w:rPr>
        <w:t>to</w:t>
      </w:r>
      <w:r>
        <w:rPr>
          <w:spacing w:val="-5"/>
          <w:sz w:val="24"/>
        </w:rPr>
        <w:t> </w:t>
      </w:r>
      <w:r>
        <w:rPr>
          <w:sz w:val="24"/>
        </w:rPr>
        <w:t>perform</w:t>
      </w:r>
      <w:r>
        <w:rPr>
          <w:spacing w:val="-5"/>
          <w:sz w:val="24"/>
        </w:rPr>
        <w:t> </w:t>
      </w:r>
      <w:r>
        <w:rPr>
          <w:sz w:val="24"/>
        </w:rPr>
        <w:t>essential</w:t>
      </w:r>
      <w:r>
        <w:rPr>
          <w:spacing w:val="-4"/>
          <w:sz w:val="24"/>
        </w:rPr>
        <w:t> </w:t>
      </w:r>
      <w:r>
        <w:rPr>
          <w:sz w:val="24"/>
        </w:rPr>
        <w:t>job</w:t>
      </w:r>
      <w:r>
        <w:rPr>
          <w:spacing w:val="-4"/>
          <w:sz w:val="24"/>
        </w:rPr>
        <w:t> </w:t>
      </w:r>
      <w:r>
        <w:rPr>
          <w:sz w:val="24"/>
        </w:rPr>
        <w:t>functions,</w:t>
      </w:r>
      <w:r>
        <w:rPr>
          <w:spacing w:val="-3"/>
          <w:sz w:val="24"/>
        </w:rPr>
        <w:t> </w:t>
      </w:r>
      <w:r>
        <w:rPr>
          <w:sz w:val="24"/>
        </w:rPr>
        <w:t>or</w:t>
      </w:r>
      <w:r>
        <w:rPr>
          <w:spacing w:val="-3"/>
          <w:sz w:val="24"/>
        </w:rPr>
        <w:t> </w:t>
      </w:r>
      <w:r>
        <w:rPr>
          <w:sz w:val="24"/>
        </w:rPr>
        <w:t>to</w:t>
      </w:r>
      <w:r>
        <w:rPr>
          <w:spacing w:val="-5"/>
          <w:sz w:val="24"/>
        </w:rPr>
        <w:t> </w:t>
      </w:r>
      <w:r>
        <w:rPr>
          <w:sz w:val="24"/>
        </w:rPr>
        <w:t>receive</w:t>
      </w:r>
      <w:r>
        <w:rPr>
          <w:spacing w:val="-4"/>
          <w:sz w:val="24"/>
        </w:rPr>
        <w:t> </w:t>
      </w:r>
      <w:r>
        <w:rPr>
          <w:sz w:val="24"/>
        </w:rPr>
        <w:t>equal</w:t>
      </w:r>
      <w:r>
        <w:rPr>
          <w:spacing w:val="-4"/>
          <w:sz w:val="24"/>
        </w:rPr>
        <w:t> </w:t>
      </w:r>
      <w:r>
        <w:rPr>
          <w:sz w:val="24"/>
        </w:rPr>
        <w:t>benefits</w:t>
      </w:r>
      <w:r>
        <w:rPr>
          <w:spacing w:val="-4"/>
          <w:sz w:val="24"/>
        </w:rPr>
        <w:t> </w:t>
      </w:r>
      <w:r>
        <w:rPr>
          <w:sz w:val="24"/>
        </w:rPr>
        <w:t>and privileges of employment.</w:t>
      </w:r>
    </w:p>
    <w:p>
      <w:pPr>
        <w:pStyle w:val="ListParagraph"/>
        <w:numPr>
          <w:ilvl w:val="0"/>
          <w:numId w:val="35"/>
        </w:numPr>
        <w:tabs>
          <w:tab w:pos="785" w:val="left" w:leader="none"/>
        </w:tabs>
        <w:spacing w:line="208" w:lineRule="auto" w:before="240" w:after="0"/>
        <w:ind w:left="360" w:right="831" w:firstLine="0"/>
        <w:jc w:val="left"/>
        <w:rPr>
          <w:sz w:val="24"/>
        </w:rPr>
      </w:pPr>
      <w:r>
        <w:rPr>
          <w:sz w:val="24"/>
        </w:rPr>
        <w:t>If an employee with a known disability is not performing well, or is having difficulty performing a job, the Department may assess whether this is due to a disability and may inquire whether the employee needs a reasonable accommodation. It is not appropriate for the employee's supervisor to independently initiate a request if the employee</w:t>
      </w:r>
      <w:r>
        <w:rPr>
          <w:spacing w:val="-2"/>
          <w:sz w:val="24"/>
        </w:rPr>
        <w:t> </w:t>
      </w:r>
      <w:r>
        <w:rPr>
          <w:sz w:val="24"/>
        </w:rPr>
        <w:t>does</w:t>
      </w:r>
      <w:r>
        <w:rPr>
          <w:spacing w:val="-3"/>
          <w:sz w:val="24"/>
        </w:rPr>
        <w:t> </w:t>
      </w:r>
      <w:r>
        <w:rPr>
          <w:sz w:val="24"/>
        </w:rPr>
        <w:t>not</w:t>
      </w:r>
      <w:r>
        <w:rPr>
          <w:spacing w:val="-2"/>
          <w:sz w:val="24"/>
        </w:rPr>
        <w:t> </w:t>
      </w:r>
      <w:r>
        <w:rPr>
          <w:sz w:val="24"/>
        </w:rPr>
        <w:t>wish</w:t>
      </w:r>
      <w:r>
        <w:rPr>
          <w:spacing w:val="-3"/>
          <w:sz w:val="24"/>
        </w:rPr>
        <w:t> </w:t>
      </w:r>
      <w:r>
        <w:rPr>
          <w:sz w:val="24"/>
        </w:rPr>
        <w:t>one.</w:t>
      </w:r>
      <w:r>
        <w:rPr>
          <w:spacing w:val="40"/>
          <w:sz w:val="24"/>
        </w:rPr>
        <w:t> </w:t>
      </w:r>
      <w:r>
        <w:rPr>
          <w:sz w:val="24"/>
        </w:rPr>
        <w:t>An</w:t>
      </w:r>
      <w:r>
        <w:rPr>
          <w:spacing w:val="-3"/>
          <w:sz w:val="24"/>
        </w:rPr>
        <w:t> </w:t>
      </w:r>
      <w:r>
        <w:rPr>
          <w:sz w:val="24"/>
        </w:rPr>
        <w:t>individual</w:t>
      </w:r>
      <w:r>
        <w:rPr>
          <w:spacing w:val="-2"/>
          <w:sz w:val="24"/>
        </w:rPr>
        <w:t> </w:t>
      </w:r>
      <w:r>
        <w:rPr>
          <w:sz w:val="24"/>
        </w:rPr>
        <w:t>with</w:t>
      </w:r>
      <w:r>
        <w:rPr>
          <w:spacing w:val="-3"/>
          <w:sz w:val="24"/>
        </w:rPr>
        <w:t> </w:t>
      </w:r>
      <w:r>
        <w:rPr>
          <w:sz w:val="24"/>
        </w:rPr>
        <w:t>a</w:t>
      </w:r>
      <w:r>
        <w:rPr>
          <w:spacing w:val="-3"/>
          <w:sz w:val="24"/>
        </w:rPr>
        <w:t> </w:t>
      </w:r>
      <w:r>
        <w:rPr>
          <w:sz w:val="24"/>
        </w:rPr>
        <w:t>disability</w:t>
      </w:r>
      <w:r>
        <w:rPr>
          <w:spacing w:val="-3"/>
          <w:sz w:val="24"/>
        </w:rPr>
        <w:t> </w:t>
      </w:r>
      <w:r>
        <w:rPr>
          <w:sz w:val="24"/>
        </w:rPr>
        <w:t>is</w:t>
      </w:r>
      <w:r>
        <w:rPr>
          <w:spacing w:val="-3"/>
          <w:sz w:val="24"/>
        </w:rPr>
        <w:t> </w:t>
      </w:r>
      <w:r>
        <w:rPr>
          <w:sz w:val="24"/>
        </w:rPr>
        <w:t>not</w:t>
      </w:r>
      <w:r>
        <w:rPr>
          <w:spacing w:val="-4"/>
          <w:sz w:val="24"/>
        </w:rPr>
        <w:t> </w:t>
      </w:r>
      <w:r>
        <w:rPr>
          <w:sz w:val="24"/>
        </w:rPr>
        <w:t>required</w:t>
      </w:r>
      <w:r>
        <w:rPr>
          <w:spacing w:val="-3"/>
          <w:sz w:val="24"/>
        </w:rPr>
        <w:t> </w:t>
      </w:r>
      <w:r>
        <w:rPr>
          <w:sz w:val="24"/>
        </w:rPr>
        <w:t>to</w:t>
      </w:r>
      <w:r>
        <w:rPr>
          <w:spacing w:val="-3"/>
          <w:sz w:val="24"/>
        </w:rPr>
        <w:t> </w:t>
      </w:r>
      <w:r>
        <w:rPr>
          <w:sz w:val="24"/>
        </w:rPr>
        <w:t>accept</w:t>
      </w:r>
      <w:r>
        <w:rPr>
          <w:spacing w:val="-2"/>
          <w:sz w:val="24"/>
        </w:rPr>
        <w:t> </w:t>
      </w:r>
      <w:r>
        <w:rPr>
          <w:sz w:val="24"/>
        </w:rPr>
        <w:t>an accommodation if the individual has not requested an accommodation and does not believe</w:t>
      </w:r>
      <w:r>
        <w:rPr>
          <w:spacing w:val="-4"/>
          <w:sz w:val="24"/>
        </w:rPr>
        <w:t> </w:t>
      </w:r>
      <w:r>
        <w:rPr>
          <w:sz w:val="24"/>
        </w:rPr>
        <w:t>one</w:t>
      </w:r>
      <w:r>
        <w:rPr>
          <w:spacing w:val="-3"/>
          <w:sz w:val="24"/>
        </w:rPr>
        <w:t> </w:t>
      </w:r>
      <w:r>
        <w:rPr>
          <w:sz w:val="24"/>
        </w:rPr>
        <w:t>is</w:t>
      </w:r>
      <w:r>
        <w:rPr>
          <w:spacing w:val="-4"/>
          <w:sz w:val="24"/>
        </w:rPr>
        <w:t> </w:t>
      </w:r>
      <w:r>
        <w:rPr>
          <w:sz w:val="24"/>
        </w:rPr>
        <w:t>needed.</w:t>
      </w:r>
      <w:r>
        <w:rPr>
          <w:spacing w:val="-3"/>
          <w:sz w:val="24"/>
        </w:rPr>
        <w:t> </w:t>
      </w:r>
      <w:r>
        <w:rPr>
          <w:sz w:val="24"/>
        </w:rPr>
        <w:t>However,</w:t>
      </w:r>
      <w:r>
        <w:rPr>
          <w:spacing w:val="-3"/>
          <w:sz w:val="24"/>
        </w:rPr>
        <w:t> </w:t>
      </w:r>
      <w:r>
        <w:rPr>
          <w:sz w:val="24"/>
        </w:rPr>
        <w:t>if</w:t>
      </w:r>
      <w:r>
        <w:rPr>
          <w:spacing w:val="-3"/>
          <w:sz w:val="24"/>
        </w:rPr>
        <w:t> </w:t>
      </w:r>
      <w:r>
        <w:rPr>
          <w:sz w:val="24"/>
        </w:rPr>
        <w:t>the</w:t>
      </w:r>
      <w:r>
        <w:rPr>
          <w:spacing w:val="-4"/>
          <w:sz w:val="24"/>
        </w:rPr>
        <w:t> </w:t>
      </w:r>
      <w:r>
        <w:rPr>
          <w:sz w:val="24"/>
        </w:rPr>
        <w:t>individual</w:t>
      </w:r>
      <w:r>
        <w:rPr>
          <w:spacing w:val="-4"/>
          <w:sz w:val="24"/>
        </w:rPr>
        <w:t> </w:t>
      </w:r>
      <w:r>
        <w:rPr>
          <w:sz w:val="24"/>
        </w:rPr>
        <w:t>refuses</w:t>
      </w:r>
      <w:r>
        <w:rPr>
          <w:spacing w:val="-4"/>
          <w:sz w:val="24"/>
        </w:rPr>
        <w:t> </w:t>
      </w:r>
      <w:r>
        <w:rPr>
          <w:sz w:val="24"/>
        </w:rPr>
        <w:t>an</w:t>
      </w:r>
      <w:r>
        <w:rPr>
          <w:spacing w:val="-4"/>
          <w:sz w:val="24"/>
        </w:rPr>
        <w:t> </w:t>
      </w:r>
      <w:r>
        <w:rPr>
          <w:sz w:val="24"/>
        </w:rPr>
        <w:t>accommodation</w:t>
      </w:r>
      <w:r>
        <w:rPr>
          <w:spacing w:val="-4"/>
          <w:sz w:val="24"/>
        </w:rPr>
        <w:t> </w:t>
      </w:r>
      <w:r>
        <w:rPr>
          <w:sz w:val="24"/>
        </w:rPr>
        <w:t>necessary to perform essential job functions, and as a result cannot perform those functions, the individual may not be considered qualified.</w:t>
      </w:r>
    </w:p>
    <w:p>
      <w:pPr>
        <w:pStyle w:val="ListParagraph"/>
        <w:numPr>
          <w:ilvl w:val="0"/>
          <w:numId w:val="35"/>
        </w:numPr>
        <w:tabs>
          <w:tab w:pos="719" w:val="left" w:leader="none"/>
        </w:tabs>
        <w:spacing w:line="208" w:lineRule="auto" w:before="239" w:after="0"/>
        <w:ind w:left="360" w:right="767" w:firstLine="0"/>
        <w:jc w:val="left"/>
        <w:rPr>
          <w:sz w:val="24"/>
        </w:rPr>
      </w:pPr>
      <w:r>
        <w:rPr>
          <w:sz w:val="24"/>
        </w:rPr>
        <w:t>When a qualified individual with a disability requests an accommodation, the Department must make a reasonable effort to provide an accommodation that is effective for the individual.</w:t>
      </w:r>
      <w:r>
        <w:rPr>
          <w:spacing w:val="40"/>
          <w:sz w:val="24"/>
        </w:rPr>
        <w:t> </w:t>
      </w:r>
      <w:r>
        <w:rPr>
          <w:sz w:val="24"/>
        </w:rPr>
        <w:t>The person with the disability must always be consulted as the</w:t>
      </w:r>
      <w:r>
        <w:rPr>
          <w:spacing w:val="-4"/>
          <w:sz w:val="24"/>
        </w:rPr>
        <w:t> </w:t>
      </w:r>
      <w:r>
        <w:rPr>
          <w:sz w:val="24"/>
        </w:rPr>
        <w:t>first</w:t>
      </w:r>
      <w:r>
        <w:rPr>
          <w:spacing w:val="-5"/>
          <w:sz w:val="24"/>
        </w:rPr>
        <w:t> </w:t>
      </w:r>
      <w:r>
        <w:rPr>
          <w:sz w:val="24"/>
        </w:rPr>
        <w:t>step</w:t>
      </w:r>
      <w:r>
        <w:rPr>
          <w:spacing w:val="-4"/>
          <w:sz w:val="24"/>
        </w:rPr>
        <w:t> </w:t>
      </w:r>
      <w:r>
        <w:rPr>
          <w:sz w:val="24"/>
        </w:rPr>
        <w:t>in</w:t>
      </w:r>
      <w:r>
        <w:rPr>
          <w:spacing w:val="-4"/>
          <w:sz w:val="24"/>
        </w:rPr>
        <w:t> </w:t>
      </w:r>
      <w:r>
        <w:rPr>
          <w:sz w:val="24"/>
        </w:rPr>
        <w:t>considering</w:t>
      </w:r>
      <w:r>
        <w:rPr>
          <w:spacing w:val="-4"/>
          <w:sz w:val="24"/>
        </w:rPr>
        <w:t> </w:t>
      </w:r>
      <w:r>
        <w:rPr>
          <w:sz w:val="24"/>
        </w:rPr>
        <w:t>an</w:t>
      </w:r>
      <w:r>
        <w:rPr>
          <w:spacing w:val="-4"/>
          <w:sz w:val="24"/>
        </w:rPr>
        <w:t> </w:t>
      </w:r>
      <w:r>
        <w:rPr>
          <w:sz w:val="24"/>
        </w:rPr>
        <w:t>accommodation.</w:t>
      </w:r>
      <w:r>
        <w:rPr>
          <w:spacing w:val="-3"/>
          <w:sz w:val="24"/>
        </w:rPr>
        <w:t> </w:t>
      </w:r>
      <w:r>
        <w:rPr>
          <w:sz w:val="24"/>
        </w:rPr>
        <w:t>The</w:t>
      </w:r>
      <w:r>
        <w:rPr>
          <w:spacing w:val="-4"/>
          <w:sz w:val="24"/>
        </w:rPr>
        <w:t> </w:t>
      </w:r>
      <w:r>
        <w:rPr>
          <w:sz w:val="24"/>
        </w:rPr>
        <w:t>Department</w:t>
      </w:r>
      <w:r>
        <w:rPr>
          <w:spacing w:val="-3"/>
          <w:sz w:val="24"/>
        </w:rPr>
        <w:t> </w:t>
      </w:r>
      <w:r>
        <w:rPr>
          <w:sz w:val="24"/>
        </w:rPr>
        <w:t>and</w:t>
      </w:r>
      <w:r>
        <w:rPr>
          <w:spacing w:val="-4"/>
          <w:sz w:val="24"/>
        </w:rPr>
        <w:t> </w:t>
      </w:r>
      <w:r>
        <w:rPr>
          <w:sz w:val="24"/>
        </w:rPr>
        <w:t>the</w:t>
      </w:r>
      <w:r>
        <w:rPr>
          <w:spacing w:val="-4"/>
          <w:sz w:val="24"/>
        </w:rPr>
        <w:t> </w:t>
      </w:r>
      <w:r>
        <w:rPr>
          <w:sz w:val="24"/>
        </w:rPr>
        <w:t>individual</w:t>
      </w:r>
      <w:r>
        <w:rPr>
          <w:spacing w:val="-4"/>
          <w:sz w:val="24"/>
        </w:rPr>
        <w:t> </w:t>
      </w:r>
      <w:r>
        <w:rPr>
          <w:sz w:val="24"/>
        </w:rPr>
        <w:t>shall work together to identify the appropriate accommodation. The Department may consult the Job Accommodation Network or other technical assistance entities as a resource in order to reasonably accommodate an employee or job applicant.</w:t>
      </w:r>
    </w:p>
    <w:p>
      <w:pPr>
        <w:pStyle w:val="ListParagraph"/>
        <w:numPr>
          <w:ilvl w:val="0"/>
          <w:numId w:val="35"/>
        </w:numPr>
        <w:tabs>
          <w:tab w:pos="786" w:val="left" w:leader="none"/>
        </w:tabs>
        <w:spacing w:line="208" w:lineRule="auto" w:before="239" w:after="0"/>
        <w:ind w:left="360" w:right="728" w:firstLine="0"/>
        <w:jc w:val="left"/>
        <w:rPr>
          <w:sz w:val="24"/>
        </w:rPr>
      </w:pPr>
      <w:r>
        <w:rPr>
          <w:sz w:val="24"/>
        </w:rPr>
        <w:t>An</w:t>
      </w:r>
      <w:r>
        <w:rPr>
          <w:spacing w:val="-3"/>
          <w:sz w:val="24"/>
        </w:rPr>
        <w:t> </w:t>
      </w:r>
      <w:r>
        <w:rPr>
          <w:sz w:val="24"/>
        </w:rPr>
        <w:t>individual</w:t>
      </w:r>
      <w:r>
        <w:rPr>
          <w:spacing w:val="-3"/>
          <w:sz w:val="24"/>
        </w:rPr>
        <w:t> </w:t>
      </w:r>
      <w:r>
        <w:rPr>
          <w:sz w:val="24"/>
        </w:rPr>
        <w:t>with</w:t>
      </w:r>
      <w:r>
        <w:rPr>
          <w:spacing w:val="-3"/>
          <w:sz w:val="24"/>
        </w:rPr>
        <w:t> </w:t>
      </w:r>
      <w:r>
        <w:rPr>
          <w:sz w:val="24"/>
        </w:rPr>
        <w:t>a</w:t>
      </w:r>
      <w:r>
        <w:rPr>
          <w:spacing w:val="-3"/>
          <w:sz w:val="24"/>
        </w:rPr>
        <w:t> </w:t>
      </w:r>
      <w:r>
        <w:rPr>
          <w:sz w:val="24"/>
        </w:rPr>
        <w:t>disability</w:t>
      </w:r>
      <w:r>
        <w:rPr>
          <w:spacing w:val="-3"/>
          <w:sz w:val="24"/>
        </w:rPr>
        <w:t> </w:t>
      </w:r>
      <w:r>
        <w:rPr>
          <w:sz w:val="24"/>
        </w:rPr>
        <w:t>may</w:t>
      </w:r>
      <w:r>
        <w:rPr>
          <w:spacing w:val="-3"/>
          <w:sz w:val="24"/>
        </w:rPr>
        <w:t> </w:t>
      </w:r>
      <w:r>
        <w:rPr>
          <w:sz w:val="24"/>
        </w:rPr>
        <w:t>choose</w:t>
      </w:r>
      <w:r>
        <w:rPr>
          <w:spacing w:val="-3"/>
          <w:sz w:val="24"/>
        </w:rPr>
        <w:t> </w:t>
      </w:r>
      <w:r>
        <w:rPr>
          <w:sz w:val="24"/>
        </w:rPr>
        <w:t>to</w:t>
      </w:r>
      <w:r>
        <w:rPr>
          <w:spacing w:val="-3"/>
          <w:sz w:val="24"/>
        </w:rPr>
        <w:t> </w:t>
      </w:r>
      <w:r>
        <w:rPr>
          <w:sz w:val="24"/>
        </w:rPr>
        <w:t>provide</w:t>
      </w:r>
      <w:r>
        <w:rPr>
          <w:spacing w:val="-3"/>
          <w:sz w:val="24"/>
        </w:rPr>
        <w:t> </w:t>
      </w:r>
      <w:r>
        <w:rPr>
          <w:sz w:val="24"/>
        </w:rPr>
        <w:t>his</w:t>
      </w:r>
      <w:r>
        <w:rPr>
          <w:spacing w:val="-3"/>
          <w:sz w:val="24"/>
        </w:rPr>
        <w:t> </w:t>
      </w:r>
      <w:r>
        <w:rPr>
          <w:sz w:val="24"/>
        </w:rPr>
        <w:t>or</w:t>
      </w:r>
      <w:r>
        <w:rPr>
          <w:spacing w:val="-3"/>
          <w:sz w:val="24"/>
        </w:rPr>
        <w:t> </w:t>
      </w:r>
      <w:r>
        <w:rPr>
          <w:sz w:val="24"/>
        </w:rPr>
        <w:t>her</w:t>
      </w:r>
      <w:r>
        <w:rPr>
          <w:spacing w:val="-4"/>
          <w:sz w:val="24"/>
        </w:rPr>
        <w:t> </w:t>
      </w:r>
      <w:r>
        <w:rPr>
          <w:sz w:val="24"/>
        </w:rPr>
        <w:t>own</w:t>
      </w:r>
      <w:r>
        <w:rPr>
          <w:spacing w:val="-3"/>
          <w:sz w:val="24"/>
        </w:rPr>
        <w:t> </w:t>
      </w:r>
      <w:r>
        <w:rPr>
          <w:sz w:val="24"/>
        </w:rPr>
        <w:t>accommodation. The individual's willingness to do so does not relieve the Department of the duty to provide the accommodation should the individual for any reason be unable or unwilling to continue to provide the accommodation.</w:t>
      </w:r>
    </w:p>
    <w:p>
      <w:pPr>
        <w:pStyle w:val="ListParagraph"/>
        <w:numPr>
          <w:ilvl w:val="0"/>
          <w:numId w:val="35"/>
        </w:numPr>
        <w:tabs>
          <w:tab w:pos="786" w:val="left" w:leader="none"/>
        </w:tabs>
        <w:spacing w:line="208" w:lineRule="auto" w:before="240" w:after="0"/>
        <w:ind w:left="360" w:right="784" w:firstLine="0"/>
        <w:jc w:val="left"/>
        <w:rPr>
          <w:sz w:val="24"/>
        </w:rPr>
      </w:pPr>
      <w:r>
        <w:rPr>
          <w:sz w:val="24"/>
        </w:rPr>
        <w:t>The Department may request documentation from an appropriate licensed professional</w:t>
      </w:r>
      <w:r>
        <w:rPr>
          <w:spacing w:val="-4"/>
          <w:sz w:val="24"/>
        </w:rPr>
        <w:t> </w:t>
      </w:r>
      <w:r>
        <w:rPr>
          <w:sz w:val="24"/>
        </w:rPr>
        <w:t>regarding</w:t>
      </w:r>
      <w:r>
        <w:rPr>
          <w:spacing w:val="-4"/>
          <w:sz w:val="24"/>
        </w:rPr>
        <w:t> </w:t>
      </w:r>
      <w:r>
        <w:rPr>
          <w:sz w:val="24"/>
        </w:rPr>
        <w:t>an</w:t>
      </w:r>
      <w:r>
        <w:rPr>
          <w:spacing w:val="-4"/>
          <w:sz w:val="24"/>
        </w:rPr>
        <w:t> </w:t>
      </w:r>
      <w:r>
        <w:rPr>
          <w:sz w:val="24"/>
        </w:rPr>
        <w:t>individual's</w:t>
      </w:r>
      <w:r>
        <w:rPr>
          <w:spacing w:val="-4"/>
          <w:sz w:val="24"/>
        </w:rPr>
        <w:t> </w:t>
      </w:r>
      <w:r>
        <w:rPr>
          <w:sz w:val="24"/>
        </w:rPr>
        <w:t>functional</w:t>
      </w:r>
      <w:r>
        <w:rPr>
          <w:spacing w:val="-4"/>
          <w:sz w:val="24"/>
        </w:rPr>
        <w:t> </w:t>
      </w:r>
      <w:r>
        <w:rPr>
          <w:sz w:val="24"/>
        </w:rPr>
        <w:t>limitations,</w:t>
      </w:r>
      <w:r>
        <w:rPr>
          <w:spacing w:val="-3"/>
          <w:sz w:val="24"/>
        </w:rPr>
        <w:t> </w:t>
      </w:r>
      <w:r>
        <w:rPr>
          <w:sz w:val="24"/>
        </w:rPr>
        <w:t>when</w:t>
      </w:r>
      <w:r>
        <w:rPr>
          <w:spacing w:val="-4"/>
          <w:sz w:val="24"/>
        </w:rPr>
        <w:t> </w:t>
      </w:r>
      <w:r>
        <w:rPr>
          <w:sz w:val="24"/>
        </w:rPr>
        <w:t>they</w:t>
      </w:r>
      <w:r>
        <w:rPr>
          <w:spacing w:val="-4"/>
          <w:sz w:val="24"/>
        </w:rPr>
        <w:t> </w:t>
      </w:r>
      <w:r>
        <w:rPr>
          <w:sz w:val="24"/>
        </w:rPr>
        <w:t>are</w:t>
      </w:r>
      <w:r>
        <w:rPr>
          <w:spacing w:val="-4"/>
          <w:sz w:val="24"/>
        </w:rPr>
        <w:t> </w:t>
      </w:r>
      <w:r>
        <w:rPr>
          <w:sz w:val="24"/>
        </w:rPr>
        <w:t>not</w:t>
      </w:r>
      <w:r>
        <w:rPr>
          <w:spacing w:val="-3"/>
          <w:sz w:val="24"/>
        </w:rPr>
        <w:t> </w:t>
      </w:r>
      <w:r>
        <w:rPr>
          <w:sz w:val="24"/>
        </w:rPr>
        <w:t>apparent, to support a reasonable accommodation request.</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spacing w:after="0"/>
        <w:jc w:val="left"/>
        <w:rPr>
          <w:sz w:val="22"/>
        </w:rPr>
        <w:sectPr>
          <w:pgSz w:w="12240" w:h="15840"/>
          <w:pgMar w:top="1340" w:bottom="280" w:left="1080" w:right="720"/>
        </w:sectPr>
      </w:pPr>
    </w:p>
    <w:p>
      <w:pPr>
        <w:tabs>
          <w:tab w:pos="1439" w:val="left" w:leader="none"/>
        </w:tabs>
        <w:spacing w:before="8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7-1-98</w:t>
      </w:r>
      <w:r>
        <w:rPr>
          <w:sz w:val="22"/>
        </w:rPr>
        <w:tab/>
        <w:t>PT Memo #98-14</w:t>
      </w:r>
    </w:p>
    <w:p>
      <w:pPr>
        <w:spacing w:before="0"/>
        <w:ind w:left="1439" w:right="0" w:firstLine="0"/>
        <w:jc w:val="left"/>
        <w:rPr>
          <w:sz w:val="22"/>
        </w:rPr>
      </w:pPr>
      <w:r>
        <w:rPr>
          <w:sz w:val="22"/>
        </w:rPr>
        <w:t>Permanent,</w:t>
      </w:r>
      <w:r>
        <w:rPr>
          <w:spacing w:val="-10"/>
          <w:sz w:val="22"/>
        </w:rPr>
        <w:t> </w:t>
      </w:r>
      <w:r>
        <w:rPr>
          <w:sz w:val="22"/>
        </w:rPr>
        <w:t>clean-up</w:t>
      </w:r>
      <w:r>
        <w:rPr>
          <w:spacing w:val="-11"/>
          <w:sz w:val="22"/>
        </w:rPr>
        <w:t> </w:t>
      </w:r>
      <w:r>
        <w:rPr>
          <w:spacing w:val="-2"/>
          <w:sz w:val="22"/>
        </w:rPr>
        <w:t>editing</w:t>
      </w:r>
    </w:p>
    <w:p>
      <w:pPr>
        <w:pStyle w:val="ListParagraph"/>
        <w:numPr>
          <w:ilvl w:val="2"/>
          <w:numId w:val="22"/>
        </w:numPr>
        <w:tabs>
          <w:tab w:pos="1439" w:val="left" w:leader="none"/>
        </w:tabs>
        <w:spacing w:line="240" w:lineRule="auto" w:before="0" w:after="0"/>
        <w:ind w:left="359" w:right="6038" w:firstLine="0"/>
        <w:jc w:val="left"/>
        <w:rPr>
          <w:sz w:val="22"/>
        </w:rPr>
      </w:pPr>
      <w:r>
        <w:rPr>
          <w:sz w:val="22"/>
        </w:rPr>
        <w:t>Permanent,</w:t>
      </w:r>
      <w:r>
        <w:rPr>
          <w:spacing w:val="-16"/>
          <w:sz w:val="22"/>
        </w:rPr>
        <w:t> </w:t>
      </w:r>
      <w:r>
        <w:rPr>
          <w:sz w:val="22"/>
        </w:rPr>
        <w:t>updated</w:t>
      </w:r>
      <w:r>
        <w:rPr>
          <w:spacing w:val="-15"/>
          <w:sz w:val="22"/>
        </w:rPr>
        <w:t> </w:t>
      </w:r>
      <w:r>
        <w:rPr>
          <w:sz w:val="22"/>
        </w:rPr>
        <w:t>language </w:t>
      </w:r>
      <w:r>
        <w:rPr>
          <w:spacing w:val="-2"/>
          <w:sz w:val="22"/>
        </w:rPr>
        <w:t>8-27-15</w:t>
      </w:r>
      <w:r>
        <w:rPr>
          <w:sz w:val="22"/>
        </w:rPr>
        <w:tab/>
        <w:t>Updated language</w:t>
      </w:r>
    </w:p>
    <w:p>
      <w:pPr>
        <w:pStyle w:val="ListParagraph"/>
        <w:spacing w:after="0" w:line="240" w:lineRule="auto"/>
        <w:jc w:val="left"/>
        <w:rPr>
          <w:sz w:val="22"/>
        </w:rPr>
        <w:sectPr>
          <w:pgSz w:w="12240" w:h="15840"/>
          <w:pgMar w:top="1360" w:bottom="280" w:left="1080" w:right="720"/>
        </w:sectPr>
      </w:pPr>
    </w:p>
    <w:p>
      <w:pPr>
        <w:pStyle w:val="Heading2"/>
      </w:pPr>
      <w:bookmarkStart w:name="612:1-11-16.  Providing reasonable accom" w:id="40"/>
      <w:bookmarkEnd w:id="40"/>
      <w:r>
        <w:rPr>
          <w:b w:val="0"/>
        </w:rPr>
      </w:r>
      <w:r>
        <w:rPr/>
        <w:t>612:1-11-16.</w:t>
      </w:r>
      <w:r>
        <w:rPr>
          <w:spacing w:val="55"/>
        </w:rPr>
        <w:t> </w:t>
      </w:r>
      <w:r>
        <w:rPr/>
        <w:t>Providing</w:t>
      </w:r>
      <w:r>
        <w:rPr>
          <w:spacing w:val="-4"/>
        </w:rPr>
        <w:t> </w:t>
      </w:r>
      <w:r>
        <w:rPr/>
        <w:t>reasonable</w:t>
      </w:r>
      <w:r>
        <w:rPr>
          <w:spacing w:val="-5"/>
        </w:rPr>
        <w:t> </w:t>
      </w:r>
      <w:r>
        <w:rPr/>
        <w:t>accommodations</w:t>
      </w:r>
      <w:r>
        <w:rPr>
          <w:spacing w:val="-5"/>
        </w:rPr>
        <w:t> </w:t>
      </w:r>
      <w:r>
        <w:rPr/>
        <w:t>for</w:t>
      </w:r>
      <w:r>
        <w:rPr>
          <w:spacing w:val="-4"/>
        </w:rPr>
        <w:t> </w:t>
      </w:r>
      <w:r>
        <w:rPr>
          <w:spacing w:val="-2"/>
        </w:rPr>
        <w:t>employees</w:t>
      </w:r>
    </w:p>
    <w:p>
      <w:pPr>
        <w:pStyle w:val="ListParagraph"/>
        <w:numPr>
          <w:ilvl w:val="0"/>
          <w:numId w:val="36"/>
        </w:numPr>
        <w:tabs>
          <w:tab w:pos="786" w:val="left" w:leader="none"/>
        </w:tabs>
        <w:spacing w:line="208" w:lineRule="auto" w:before="233" w:after="0"/>
        <w:ind w:left="360" w:right="874" w:firstLine="0"/>
        <w:jc w:val="left"/>
        <w:rPr>
          <w:sz w:val="24"/>
        </w:rPr>
      </w:pPr>
      <w:r>
        <w:rPr>
          <w:b/>
          <w:sz w:val="24"/>
        </w:rPr>
        <w:t>Requests</w:t>
      </w:r>
      <w:r>
        <w:rPr>
          <w:b/>
          <w:spacing w:val="-4"/>
          <w:sz w:val="24"/>
        </w:rPr>
        <w:t> </w:t>
      </w:r>
      <w:r>
        <w:rPr>
          <w:b/>
          <w:sz w:val="24"/>
        </w:rPr>
        <w:t>for</w:t>
      </w:r>
      <w:r>
        <w:rPr>
          <w:b/>
          <w:spacing w:val="-4"/>
          <w:sz w:val="24"/>
        </w:rPr>
        <w:t> </w:t>
      </w:r>
      <w:r>
        <w:rPr>
          <w:b/>
          <w:sz w:val="24"/>
        </w:rPr>
        <w:t>reasonable</w:t>
      </w:r>
      <w:r>
        <w:rPr>
          <w:b/>
          <w:spacing w:val="-4"/>
          <w:sz w:val="24"/>
        </w:rPr>
        <w:t> </w:t>
      </w:r>
      <w:r>
        <w:rPr>
          <w:b/>
          <w:sz w:val="24"/>
        </w:rPr>
        <w:t>accommodation.</w:t>
      </w:r>
      <w:r>
        <w:rPr>
          <w:b/>
          <w:spacing w:val="40"/>
          <w:sz w:val="24"/>
        </w:rPr>
        <w:t> </w:t>
      </w:r>
      <w:r>
        <w:rPr>
          <w:sz w:val="24"/>
        </w:rPr>
        <w:t>Any</w:t>
      </w:r>
      <w:r>
        <w:rPr>
          <w:spacing w:val="-4"/>
          <w:sz w:val="24"/>
        </w:rPr>
        <w:t> </w:t>
      </w:r>
      <w:r>
        <w:rPr>
          <w:sz w:val="24"/>
        </w:rPr>
        <w:t>DRS</w:t>
      </w:r>
      <w:r>
        <w:rPr>
          <w:spacing w:val="-4"/>
          <w:sz w:val="24"/>
        </w:rPr>
        <w:t> </w:t>
      </w:r>
      <w:r>
        <w:rPr>
          <w:sz w:val="24"/>
        </w:rPr>
        <w:t>employee</w:t>
      </w:r>
      <w:r>
        <w:rPr>
          <w:spacing w:val="-4"/>
          <w:sz w:val="24"/>
        </w:rPr>
        <w:t> </w:t>
      </w:r>
      <w:r>
        <w:rPr>
          <w:sz w:val="24"/>
        </w:rPr>
        <w:t>who</w:t>
      </w:r>
      <w:r>
        <w:rPr>
          <w:spacing w:val="-4"/>
          <w:sz w:val="24"/>
        </w:rPr>
        <w:t> </w:t>
      </w:r>
      <w:r>
        <w:rPr>
          <w:sz w:val="24"/>
        </w:rPr>
        <w:t>qualifies</w:t>
      </w:r>
      <w:r>
        <w:rPr>
          <w:spacing w:val="-4"/>
          <w:sz w:val="24"/>
        </w:rPr>
        <w:t> </w:t>
      </w:r>
      <w:r>
        <w:rPr>
          <w:sz w:val="24"/>
        </w:rPr>
        <w:t>as an individual with a disability has a right to request reasonable accommodation. </w:t>
      </w:r>
      <w:r>
        <w:rPr>
          <w:b/>
          <w:sz w:val="24"/>
        </w:rPr>
        <w:t>1 </w:t>
      </w:r>
      <w:r>
        <w:rPr>
          <w:sz w:val="24"/>
        </w:rPr>
        <w:t>No employee will be discriminated against with regard to employment for exercising his or her rights under the Americans with Disabilities Act.</w:t>
      </w:r>
      <w:r>
        <w:rPr>
          <w:spacing w:val="40"/>
          <w:sz w:val="24"/>
        </w:rPr>
        <w:t> </w:t>
      </w:r>
      <w:r>
        <w:rPr>
          <w:sz w:val="24"/>
        </w:rPr>
        <w:t>To be considered qualified an employee must be able to perform the essential functions of his/her position with or without a reasonable accommodation.</w:t>
      </w:r>
    </w:p>
    <w:p>
      <w:pPr>
        <w:pStyle w:val="ListParagraph"/>
        <w:numPr>
          <w:ilvl w:val="0"/>
          <w:numId w:val="36"/>
        </w:numPr>
        <w:tabs>
          <w:tab w:pos="784" w:val="left" w:leader="none"/>
        </w:tabs>
        <w:spacing w:line="208" w:lineRule="auto" w:before="239" w:after="0"/>
        <w:ind w:left="359" w:right="765" w:firstLine="0"/>
        <w:jc w:val="left"/>
        <w:rPr>
          <w:b/>
          <w:sz w:val="24"/>
        </w:rPr>
      </w:pPr>
      <w:r>
        <w:rPr>
          <w:b/>
          <w:sz w:val="24"/>
        </w:rPr>
        <w:t>Accommodation request procedure.</w:t>
      </w:r>
      <w:r>
        <w:rPr>
          <w:b/>
          <w:spacing w:val="40"/>
          <w:sz w:val="24"/>
        </w:rPr>
        <w:t> </w:t>
      </w:r>
      <w:r>
        <w:rPr>
          <w:sz w:val="24"/>
        </w:rPr>
        <w:t>Employee requests for reasonable accommodation shall be handled on an individual, case-by-case basis.</w:t>
      </w:r>
      <w:r>
        <w:rPr>
          <w:spacing w:val="80"/>
          <w:sz w:val="24"/>
        </w:rPr>
        <w:t> </w:t>
      </w:r>
      <w:r>
        <w:rPr>
          <w:sz w:val="24"/>
        </w:rPr>
        <w:t>The</w:t>
      </w:r>
      <w:r>
        <w:rPr>
          <w:sz w:val="24"/>
        </w:rPr>
        <w:t> Department shall engage in an interactive process with the qualified employee in an effort to identify reasonable accommodations that will allow the qualified individual with a</w:t>
      </w:r>
      <w:r>
        <w:rPr>
          <w:spacing w:val="-3"/>
          <w:sz w:val="24"/>
        </w:rPr>
        <w:t> </w:t>
      </w:r>
      <w:r>
        <w:rPr>
          <w:sz w:val="24"/>
        </w:rPr>
        <w:t>disability</w:t>
      </w:r>
      <w:r>
        <w:rPr>
          <w:spacing w:val="-3"/>
          <w:sz w:val="24"/>
        </w:rPr>
        <w:t> </w:t>
      </w:r>
      <w:r>
        <w:rPr>
          <w:sz w:val="24"/>
        </w:rPr>
        <w:t>to</w:t>
      </w:r>
      <w:r>
        <w:rPr>
          <w:spacing w:val="-3"/>
          <w:sz w:val="24"/>
        </w:rPr>
        <w:t> </w:t>
      </w:r>
      <w:r>
        <w:rPr>
          <w:sz w:val="24"/>
        </w:rPr>
        <w:t>perform</w:t>
      </w:r>
      <w:r>
        <w:rPr>
          <w:spacing w:val="-2"/>
          <w:sz w:val="24"/>
        </w:rPr>
        <w:t> </w:t>
      </w:r>
      <w:r>
        <w:rPr>
          <w:sz w:val="24"/>
        </w:rPr>
        <w:t>the</w:t>
      </w:r>
      <w:r>
        <w:rPr>
          <w:spacing w:val="-3"/>
          <w:sz w:val="24"/>
        </w:rPr>
        <w:t> </w:t>
      </w:r>
      <w:r>
        <w:rPr>
          <w:sz w:val="24"/>
        </w:rPr>
        <w:t>essential</w:t>
      </w:r>
      <w:r>
        <w:rPr>
          <w:spacing w:val="-3"/>
          <w:sz w:val="24"/>
        </w:rPr>
        <w:t> </w:t>
      </w:r>
      <w:r>
        <w:rPr>
          <w:sz w:val="24"/>
        </w:rPr>
        <w:t>job</w:t>
      </w:r>
      <w:r>
        <w:rPr>
          <w:spacing w:val="-3"/>
          <w:sz w:val="24"/>
        </w:rPr>
        <w:t> </w:t>
      </w:r>
      <w:r>
        <w:rPr>
          <w:sz w:val="24"/>
        </w:rPr>
        <w:t>functions.</w:t>
      </w:r>
      <w:r>
        <w:rPr>
          <w:spacing w:val="40"/>
          <w:sz w:val="24"/>
        </w:rPr>
        <w:t> </w:t>
      </w:r>
      <w:r>
        <w:rPr>
          <w:sz w:val="24"/>
        </w:rPr>
        <w:t>It</w:t>
      </w:r>
      <w:r>
        <w:rPr>
          <w:spacing w:val="-2"/>
          <w:sz w:val="24"/>
        </w:rPr>
        <w:t> </w:t>
      </w:r>
      <w:r>
        <w:rPr>
          <w:sz w:val="24"/>
        </w:rPr>
        <w:t>is</w:t>
      </w:r>
      <w:r>
        <w:rPr>
          <w:spacing w:val="-4"/>
          <w:sz w:val="24"/>
        </w:rPr>
        <w:t> </w:t>
      </w:r>
      <w:r>
        <w:rPr>
          <w:sz w:val="24"/>
        </w:rPr>
        <w:t>the</w:t>
      </w:r>
      <w:r>
        <w:rPr>
          <w:spacing w:val="-3"/>
          <w:sz w:val="24"/>
        </w:rPr>
        <w:t> </w:t>
      </w:r>
      <w:r>
        <w:rPr>
          <w:sz w:val="24"/>
        </w:rPr>
        <w:t>responsibility</w:t>
      </w:r>
      <w:r>
        <w:rPr>
          <w:spacing w:val="-3"/>
          <w:sz w:val="24"/>
        </w:rPr>
        <w:t> </w:t>
      </w:r>
      <w:r>
        <w:rPr>
          <w:sz w:val="24"/>
        </w:rPr>
        <w:t>of</w:t>
      </w:r>
      <w:r>
        <w:rPr>
          <w:spacing w:val="-4"/>
          <w:sz w:val="24"/>
        </w:rPr>
        <w:t> </w:t>
      </w:r>
      <w:r>
        <w:rPr>
          <w:sz w:val="24"/>
        </w:rPr>
        <w:t>the</w:t>
      </w:r>
      <w:r>
        <w:rPr>
          <w:spacing w:val="-3"/>
          <w:sz w:val="24"/>
        </w:rPr>
        <w:t> </w:t>
      </w:r>
      <w:r>
        <w:rPr>
          <w:sz w:val="24"/>
        </w:rPr>
        <w:t>employee requesting the reasonable accommodation to actively participate in the process.</w:t>
      </w:r>
      <w:r>
        <w:rPr>
          <w:spacing w:val="40"/>
          <w:sz w:val="24"/>
        </w:rPr>
        <w:t> </w:t>
      </w:r>
      <w:r>
        <w:rPr>
          <w:sz w:val="24"/>
        </w:rPr>
        <w:t>This may include but is not limited to providing requested documentation or information indicating the disability requiring a reasonable accommodation, reason the accommodation is needed and/or the nature of the accommodation sought.</w:t>
      </w:r>
      <w:r>
        <w:rPr>
          <w:spacing w:val="40"/>
          <w:sz w:val="24"/>
        </w:rPr>
        <w:t> </w:t>
      </w:r>
      <w:r>
        <w:rPr>
          <w:b/>
          <w:sz w:val="24"/>
        </w:rPr>
        <w:t>2</w:t>
      </w:r>
    </w:p>
    <w:p>
      <w:pPr>
        <w:pStyle w:val="ListParagraph"/>
        <w:numPr>
          <w:ilvl w:val="0"/>
          <w:numId w:val="36"/>
        </w:numPr>
        <w:tabs>
          <w:tab w:pos="773" w:val="left" w:leader="none"/>
        </w:tabs>
        <w:spacing w:line="208" w:lineRule="auto" w:before="239" w:after="0"/>
        <w:ind w:left="360" w:right="806" w:firstLine="0"/>
        <w:jc w:val="left"/>
        <w:rPr>
          <w:sz w:val="24"/>
        </w:rPr>
      </w:pPr>
      <w:r>
        <w:rPr>
          <w:b/>
          <w:sz w:val="24"/>
        </w:rPr>
        <w:t>Approval</w:t>
      </w:r>
      <w:r>
        <w:rPr>
          <w:b/>
          <w:spacing w:val="-1"/>
          <w:sz w:val="24"/>
        </w:rPr>
        <w:t> </w:t>
      </w:r>
      <w:r>
        <w:rPr>
          <w:b/>
          <w:sz w:val="24"/>
        </w:rPr>
        <w:t>of</w:t>
      </w:r>
      <w:r>
        <w:rPr>
          <w:b/>
          <w:spacing w:val="-1"/>
          <w:sz w:val="24"/>
        </w:rPr>
        <w:t> </w:t>
      </w:r>
      <w:r>
        <w:rPr>
          <w:b/>
          <w:sz w:val="24"/>
        </w:rPr>
        <w:t>accommodation</w:t>
      </w:r>
      <w:r>
        <w:rPr>
          <w:b/>
          <w:spacing w:val="-2"/>
          <w:sz w:val="24"/>
        </w:rPr>
        <w:t> </w:t>
      </w:r>
      <w:r>
        <w:rPr>
          <w:b/>
          <w:sz w:val="24"/>
        </w:rPr>
        <w:t>requests.</w:t>
      </w:r>
      <w:r>
        <w:rPr>
          <w:b/>
          <w:spacing w:val="40"/>
          <w:sz w:val="24"/>
        </w:rPr>
        <w:t> </w:t>
      </w:r>
      <w:r>
        <w:rPr>
          <w:sz w:val="24"/>
        </w:rPr>
        <w:t>The</w:t>
      </w:r>
      <w:r>
        <w:rPr>
          <w:spacing w:val="-2"/>
          <w:sz w:val="24"/>
        </w:rPr>
        <w:t> </w:t>
      </w:r>
      <w:r>
        <w:rPr>
          <w:sz w:val="24"/>
        </w:rPr>
        <w:t>employee’s</w:t>
      </w:r>
      <w:r>
        <w:rPr>
          <w:spacing w:val="-2"/>
          <w:sz w:val="24"/>
        </w:rPr>
        <w:t> </w:t>
      </w:r>
      <w:r>
        <w:rPr>
          <w:sz w:val="24"/>
        </w:rPr>
        <w:t>supervisor</w:t>
      </w:r>
      <w:r>
        <w:rPr>
          <w:spacing w:val="-1"/>
          <w:sz w:val="24"/>
        </w:rPr>
        <w:t> </w:t>
      </w:r>
      <w:r>
        <w:rPr>
          <w:sz w:val="24"/>
        </w:rPr>
        <w:t>may</w:t>
      </w:r>
      <w:r>
        <w:rPr>
          <w:spacing w:val="-2"/>
          <w:sz w:val="24"/>
        </w:rPr>
        <w:t> </w:t>
      </w:r>
      <w:r>
        <w:rPr>
          <w:sz w:val="24"/>
        </w:rPr>
        <w:t>approve or deny a reasonable accommodation request as submitted, request additional information</w:t>
      </w:r>
      <w:r>
        <w:rPr>
          <w:spacing w:val="-4"/>
          <w:sz w:val="24"/>
        </w:rPr>
        <w:t> </w:t>
      </w:r>
      <w:r>
        <w:rPr>
          <w:sz w:val="24"/>
        </w:rPr>
        <w:t>if</w:t>
      </w:r>
      <w:r>
        <w:rPr>
          <w:spacing w:val="-3"/>
          <w:sz w:val="24"/>
        </w:rPr>
        <w:t> </w:t>
      </w:r>
      <w:r>
        <w:rPr>
          <w:sz w:val="24"/>
        </w:rPr>
        <w:t>needed</w:t>
      </w:r>
      <w:r>
        <w:rPr>
          <w:spacing w:val="-4"/>
          <w:sz w:val="24"/>
        </w:rPr>
        <w:t> </w:t>
      </w:r>
      <w:r>
        <w:rPr>
          <w:sz w:val="24"/>
        </w:rPr>
        <w:t>for</w:t>
      </w:r>
      <w:r>
        <w:rPr>
          <w:spacing w:val="-3"/>
          <w:sz w:val="24"/>
        </w:rPr>
        <w:t> </w:t>
      </w:r>
      <w:r>
        <w:rPr>
          <w:sz w:val="24"/>
        </w:rPr>
        <w:t>reaching</w:t>
      </w:r>
      <w:r>
        <w:rPr>
          <w:spacing w:val="-3"/>
          <w:sz w:val="24"/>
        </w:rPr>
        <w:t> </w:t>
      </w:r>
      <w:r>
        <w:rPr>
          <w:sz w:val="24"/>
        </w:rPr>
        <w:t>a</w:t>
      </w:r>
      <w:r>
        <w:rPr>
          <w:spacing w:val="-4"/>
          <w:sz w:val="24"/>
        </w:rPr>
        <w:t> </w:t>
      </w:r>
      <w:r>
        <w:rPr>
          <w:sz w:val="24"/>
        </w:rPr>
        <w:t>decision</w:t>
      </w:r>
      <w:r>
        <w:rPr>
          <w:spacing w:val="-3"/>
          <w:sz w:val="24"/>
        </w:rPr>
        <w:t> </w:t>
      </w:r>
      <w:r>
        <w:rPr>
          <w:sz w:val="24"/>
        </w:rPr>
        <w:t>or</w:t>
      </w:r>
      <w:r>
        <w:rPr>
          <w:spacing w:val="-3"/>
          <w:sz w:val="24"/>
        </w:rPr>
        <w:t> </w:t>
      </w:r>
      <w:r>
        <w:rPr>
          <w:sz w:val="24"/>
        </w:rPr>
        <w:t>identifying</w:t>
      </w:r>
      <w:r>
        <w:rPr>
          <w:spacing w:val="-4"/>
          <w:sz w:val="24"/>
        </w:rPr>
        <w:t> </w:t>
      </w:r>
      <w:r>
        <w:rPr>
          <w:sz w:val="24"/>
        </w:rPr>
        <w:t>an</w:t>
      </w:r>
      <w:r>
        <w:rPr>
          <w:spacing w:val="-4"/>
          <w:sz w:val="24"/>
        </w:rPr>
        <w:t> </w:t>
      </w:r>
      <w:r>
        <w:rPr>
          <w:sz w:val="24"/>
        </w:rPr>
        <w:t>effective</w:t>
      </w:r>
      <w:r>
        <w:rPr>
          <w:spacing w:val="-4"/>
          <w:sz w:val="24"/>
        </w:rPr>
        <w:t> </w:t>
      </w:r>
      <w:r>
        <w:rPr>
          <w:sz w:val="24"/>
        </w:rPr>
        <w:t>accommodation, or refer the request to the next supervisory level.</w:t>
      </w:r>
      <w:r>
        <w:rPr>
          <w:spacing w:val="40"/>
          <w:sz w:val="24"/>
        </w:rPr>
        <w:t> </w:t>
      </w:r>
      <w:r>
        <w:rPr>
          <w:sz w:val="24"/>
        </w:rPr>
        <w:t>Documentation of the request, decision and accommodation solution shall be maintained in the supervisor’s file.</w:t>
      </w:r>
    </w:p>
    <w:p>
      <w:pPr>
        <w:pStyle w:val="ListParagraph"/>
        <w:numPr>
          <w:ilvl w:val="0"/>
          <w:numId w:val="36"/>
        </w:numPr>
        <w:tabs>
          <w:tab w:pos="785" w:val="left" w:leader="none"/>
        </w:tabs>
        <w:spacing w:line="208" w:lineRule="auto" w:before="240" w:after="0"/>
        <w:ind w:left="360" w:right="793" w:firstLine="0"/>
        <w:jc w:val="left"/>
        <w:rPr>
          <w:sz w:val="24"/>
        </w:rPr>
      </w:pPr>
      <w:r>
        <w:rPr>
          <w:b/>
          <w:sz w:val="24"/>
        </w:rPr>
        <w:t>Appeal of accommodation solution. </w:t>
      </w:r>
      <w:r>
        <w:rPr>
          <w:sz w:val="24"/>
        </w:rPr>
        <w:t>Disputes concerning reasonable accommodation are subject to the final review and decision of the Director of the Department of Rehabilitation Services. The Director may intervene in requests at any time in order to bring about a prompt and impartial decision to the request.</w:t>
      </w:r>
      <w:r>
        <w:rPr>
          <w:spacing w:val="80"/>
          <w:sz w:val="24"/>
        </w:rPr>
        <w:t> </w:t>
      </w:r>
      <w:r>
        <w:rPr>
          <w:sz w:val="24"/>
        </w:rPr>
        <w:t>If dissatisfied</w:t>
      </w:r>
      <w:r>
        <w:rPr>
          <w:spacing w:val="-3"/>
          <w:sz w:val="24"/>
        </w:rPr>
        <w:t> </w:t>
      </w:r>
      <w:r>
        <w:rPr>
          <w:sz w:val="24"/>
        </w:rPr>
        <w:t>with</w:t>
      </w:r>
      <w:r>
        <w:rPr>
          <w:spacing w:val="-4"/>
          <w:sz w:val="24"/>
        </w:rPr>
        <w:t> </w:t>
      </w:r>
      <w:r>
        <w:rPr>
          <w:sz w:val="24"/>
        </w:rPr>
        <w:t>the</w:t>
      </w:r>
      <w:r>
        <w:rPr>
          <w:spacing w:val="-4"/>
          <w:sz w:val="24"/>
        </w:rPr>
        <w:t> </w:t>
      </w:r>
      <w:r>
        <w:rPr>
          <w:sz w:val="24"/>
        </w:rPr>
        <w:t>decision</w:t>
      </w:r>
      <w:r>
        <w:rPr>
          <w:spacing w:val="-4"/>
          <w:sz w:val="24"/>
        </w:rPr>
        <w:t> </w:t>
      </w:r>
      <w:r>
        <w:rPr>
          <w:sz w:val="24"/>
        </w:rPr>
        <w:t>of</w:t>
      </w:r>
      <w:r>
        <w:rPr>
          <w:spacing w:val="-3"/>
          <w:sz w:val="24"/>
        </w:rPr>
        <w:t> </w:t>
      </w:r>
      <w:r>
        <w:rPr>
          <w:sz w:val="24"/>
        </w:rPr>
        <w:t>the</w:t>
      </w:r>
      <w:r>
        <w:rPr>
          <w:spacing w:val="-4"/>
          <w:sz w:val="24"/>
        </w:rPr>
        <w:t> </w:t>
      </w:r>
      <w:r>
        <w:rPr>
          <w:sz w:val="24"/>
        </w:rPr>
        <w:t>Director,</w:t>
      </w:r>
      <w:r>
        <w:rPr>
          <w:spacing w:val="-4"/>
          <w:sz w:val="24"/>
        </w:rPr>
        <w:t> </w:t>
      </w:r>
      <w:r>
        <w:rPr>
          <w:sz w:val="24"/>
        </w:rPr>
        <w:t>the</w:t>
      </w:r>
      <w:r>
        <w:rPr>
          <w:spacing w:val="-4"/>
          <w:sz w:val="24"/>
        </w:rPr>
        <w:t> </w:t>
      </w:r>
      <w:r>
        <w:rPr>
          <w:sz w:val="24"/>
        </w:rPr>
        <w:t>employee</w:t>
      </w:r>
      <w:r>
        <w:rPr>
          <w:spacing w:val="-4"/>
          <w:sz w:val="24"/>
        </w:rPr>
        <w:t> </w:t>
      </w:r>
      <w:r>
        <w:rPr>
          <w:sz w:val="24"/>
        </w:rPr>
        <w:t>may</w:t>
      </w:r>
      <w:r>
        <w:rPr>
          <w:spacing w:val="-4"/>
          <w:sz w:val="24"/>
        </w:rPr>
        <w:t> </w:t>
      </w:r>
      <w:r>
        <w:rPr>
          <w:sz w:val="24"/>
        </w:rPr>
        <w:t>pursue</w:t>
      </w:r>
      <w:r>
        <w:rPr>
          <w:spacing w:val="-4"/>
          <w:sz w:val="24"/>
        </w:rPr>
        <w:t> </w:t>
      </w:r>
      <w:r>
        <w:rPr>
          <w:sz w:val="24"/>
        </w:rPr>
        <w:t>a</w:t>
      </w:r>
      <w:r>
        <w:rPr>
          <w:spacing w:val="-4"/>
          <w:sz w:val="24"/>
        </w:rPr>
        <w:t> </w:t>
      </w:r>
      <w:r>
        <w:rPr>
          <w:sz w:val="24"/>
        </w:rPr>
        <w:t>complaint</w:t>
      </w:r>
      <w:r>
        <w:rPr>
          <w:spacing w:val="-3"/>
          <w:sz w:val="24"/>
        </w:rPr>
        <w:t> </w:t>
      </w:r>
      <w:r>
        <w:rPr>
          <w:sz w:val="24"/>
        </w:rPr>
        <w:t>with the appropriate state or federal agency responsible for enforcing laws affecting provision of reasonable accommodations for employees with disabilities.</w:t>
      </w:r>
    </w:p>
    <w:p>
      <w:pPr>
        <w:pStyle w:val="BodyText"/>
        <w:spacing w:before="210"/>
      </w:pPr>
      <w:r>
        <w:rPr/>
        <w:t>INSTRUCTIONS</w:t>
      </w:r>
      <w:r>
        <w:rPr>
          <w:spacing w:val="-3"/>
        </w:rPr>
        <w:t> </w:t>
      </w:r>
      <w:r>
        <w:rPr/>
        <w:t>TO</w:t>
      </w:r>
      <w:r>
        <w:rPr>
          <w:spacing w:val="-2"/>
        </w:rPr>
        <w:t> </w:t>
      </w:r>
      <w:r>
        <w:rPr>
          <w:spacing w:val="-4"/>
        </w:rPr>
        <w:t>STAFF</w:t>
      </w:r>
    </w:p>
    <w:p>
      <w:pPr>
        <w:pStyle w:val="ListParagraph"/>
        <w:numPr>
          <w:ilvl w:val="0"/>
          <w:numId w:val="37"/>
        </w:numPr>
        <w:tabs>
          <w:tab w:pos="1080" w:val="left" w:leader="none"/>
        </w:tabs>
        <w:spacing w:line="208" w:lineRule="auto" w:before="233" w:after="0"/>
        <w:ind w:left="1080" w:right="5330" w:hanging="720"/>
        <w:jc w:val="left"/>
        <w:rPr>
          <w:sz w:val="24"/>
        </w:rPr>
      </w:pPr>
      <w:r>
        <w:rPr>
          <w:sz w:val="24"/>
        </w:rPr>
        <w:t>The DRS ADA Coordinator is:</w:t>
      </w:r>
      <w:r>
        <w:rPr>
          <w:spacing w:val="40"/>
          <w:sz w:val="24"/>
        </w:rPr>
        <w:t> </w:t>
      </w:r>
      <w:r>
        <w:rPr>
          <w:sz w:val="24"/>
        </w:rPr>
        <w:t>Charles Watt, ADA Coordinator Department</w:t>
      </w:r>
      <w:r>
        <w:rPr>
          <w:spacing w:val="-13"/>
          <w:sz w:val="24"/>
        </w:rPr>
        <w:t> </w:t>
      </w:r>
      <w:r>
        <w:rPr>
          <w:sz w:val="24"/>
        </w:rPr>
        <w:t>of</w:t>
      </w:r>
      <w:r>
        <w:rPr>
          <w:spacing w:val="-14"/>
          <w:sz w:val="24"/>
        </w:rPr>
        <w:t> </w:t>
      </w:r>
      <w:r>
        <w:rPr>
          <w:sz w:val="24"/>
        </w:rPr>
        <w:t>Rehabilitation</w:t>
      </w:r>
      <w:r>
        <w:rPr>
          <w:spacing w:val="-13"/>
          <w:sz w:val="24"/>
        </w:rPr>
        <w:t> </w:t>
      </w:r>
      <w:r>
        <w:rPr>
          <w:sz w:val="24"/>
        </w:rPr>
        <w:t>Services OKC Career Planning Center</w:t>
      </w:r>
    </w:p>
    <w:p>
      <w:pPr>
        <w:pStyle w:val="BodyText"/>
        <w:spacing w:line="208" w:lineRule="auto" w:before="0"/>
        <w:ind w:left="1080" w:right="6570"/>
      </w:pPr>
      <w:r>
        <w:rPr/>
        <w:t>5813 South Robinson Oklahoma</w:t>
      </w:r>
      <w:r>
        <w:rPr>
          <w:spacing w:val="-13"/>
        </w:rPr>
        <w:t> </w:t>
      </w:r>
      <w:r>
        <w:rPr/>
        <w:t>City,</w:t>
      </w:r>
      <w:r>
        <w:rPr>
          <w:spacing w:val="-13"/>
        </w:rPr>
        <w:t> </w:t>
      </w:r>
      <w:r>
        <w:rPr/>
        <w:t>OK</w:t>
      </w:r>
      <w:r>
        <w:rPr>
          <w:spacing w:val="-13"/>
        </w:rPr>
        <w:t> </w:t>
      </w:r>
      <w:r>
        <w:rPr/>
        <w:t>73109 </w:t>
      </w:r>
      <w:r>
        <w:rPr>
          <w:spacing w:val="-2"/>
        </w:rPr>
        <w:t>1-800-845-8476</w:t>
      </w:r>
    </w:p>
    <w:p>
      <w:pPr>
        <w:pStyle w:val="BodyText"/>
        <w:spacing w:line="246" w:lineRule="exact" w:before="0"/>
        <w:ind w:left="1080"/>
      </w:pPr>
      <w:r>
        <w:rPr/>
        <w:t>(405)</w:t>
      </w:r>
      <w:r>
        <w:rPr>
          <w:spacing w:val="-5"/>
        </w:rPr>
        <w:t> </w:t>
      </w:r>
      <w:r>
        <w:rPr/>
        <w:t>635-</w:t>
      </w:r>
      <w:r>
        <w:rPr>
          <w:spacing w:val="-4"/>
        </w:rPr>
        <w:t>2774</w:t>
      </w:r>
    </w:p>
    <w:p>
      <w:pPr>
        <w:pStyle w:val="ListParagraph"/>
        <w:numPr>
          <w:ilvl w:val="0"/>
          <w:numId w:val="37"/>
        </w:numPr>
        <w:tabs>
          <w:tab w:pos="1079" w:val="left" w:leader="none"/>
        </w:tabs>
        <w:spacing w:line="208" w:lineRule="auto" w:before="233" w:after="0"/>
        <w:ind w:left="360" w:right="779" w:firstLine="0"/>
        <w:jc w:val="left"/>
        <w:rPr>
          <w:sz w:val="24"/>
        </w:rPr>
      </w:pPr>
      <w:r>
        <w:rPr>
          <w:sz w:val="24"/>
        </w:rPr>
        <w:t>Staff is encouraged to utilize the David K. Fram checklist on the </w:t>
      </w:r>
      <w:hyperlink r:id="rId5">
        <w:r>
          <w:rPr>
            <w:color w:val="0000FF"/>
            <w:sz w:val="24"/>
            <w:u w:val="single" w:color="0000FF"/>
          </w:rPr>
          <w:t>Practical Steps</w:t>
        </w:r>
      </w:hyperlink>
      <w:r>
        <w:rPr>
          <w:color w:val="0000FF"/>
          <w:sz w:val="24"/>
          <w:u w:val="none"/>
        </w:rPr>
        <w:t> </w:t>
      </w:r>
      <w:hyperlink r:id="rId5">
        <w:r>
          <w:rPr>
            <w:color w:val="0000FF"/>
            <w:sz w:val="24"/>
            <w:u w:val="single" w:color="0000FF"/>
          </w:rPr>
          <w:t>In Determining"Reasonable Accommodation" Under The ADA</w:t>
        </w:r>
      </w:hyperlink>
      <w:r>
        <w:rPr>
          <w:sz w:val="24"/>
          <w:u w:val="none"/>
        </w:rPr>
        <w:t>.</w:t>
      </w:r>
      <w:r>
        <w:rPr>
          <w:spacing w:val="40"/>
          <w:sz w:val="24"/>
          <w:u w:val="none"/>
        </w:rPr>
        <w:t> </w:t>
      </w:r>
      <w:r>
        <w:rPr>
          <w:sz w:val="24"/>
          <w:u w:val="none"/>
        </w:rPr>
        <w:t>This serves as a guidance</w:t>
      </w:r>
      <w:r>
        <w:rPr>
          <w:spacing w:val="-4"/>
          <w:sz w:val="24"/>
          <w:u w:val="none"/>
        </w:rPr>
        <w:t> </w:t>
      </w:r>
      <w:r>
        <w:rPr>
          <w:sz w:val="24"/>
          <w:u w:val="none"/>
        </w:rPr>
        <w:t>tool</w:t>
      </w:r>
      <w:r>
        <w:rPr>
          <w:spacing w:val="-4"/>
          <w:sz w:val="24"/>
          <w:u w:val="none"/>
        </w:rPr>
        <w:t> </w:t>
      </w:r>
      <w:r>
        <w:rPr>
          <w:sz w:val="24"/>
          <w:u w:val="none"/>
        </w:rPr>
        <w:t>when</w:t>
      </w:r>
      <w:r>
        <w:rPr>
          <w:spacing w:val="-4"/>
          <w:sz w:val="24"/>
          <w:u w:val="none"/>
        </w:rPr>
        <w:t> </w:t>
      </w:r>
      <w:r>
        <w:rPr>
          <w:sz w:val="24"/>
          <w:u w:val="none"/>
        </w:rPr>
        <w:t>engaging</w:t>
      </w:r>
      <w:r>
        <w:rPr>
          <w:spacing w:val="-4"/>
          <w:sz w:val="24"/>
          <w:u w:val="none"/>
        </w:rPr>
        <w:t> </w:t>
      </w:r>
      <w:r>
        <w:rPr>
          <w:sz w:val="24"/>
          <w:u w:val="none"/>
        </w:rPr>
        <w:t>in</w:t>
      </w:r>
      <w:r>
        <w:rPr>
          <w:spacing w:val="-3"/>
          <w:sz w:val="24"/>
          <w:u w:val="none"/>
        </w:rPr>
        <w:t> </w:t>
      </w:r>
      <w:r>
        <w:rPr>
          <w:sz w:val="24"/>
          <w:u w:val="none"/>
        </w:rPr>
        <w:t>the</w:t>
      </w:r>
      <w:r>
        <w:rPr>
          <w:spacing w:val="-4"/>
          <w:sz w:val="24"/>
          <w:u w:val="none"/>
        </w:rPr>
        <w:t> </w:t>
      </w:r>
      <w:r>
        <w:rPr>
          <w:sz w:val="24"/>
          <w:u w:val="none"/>
        </w:rPr>
        <w:t>interactive</w:t>
      </w:r>
      <w:r>
        <w:rPr>
          <w:spacing w:val="-4"/>
          <w:sz w:val="24"/>
          <w:u w:val="none"/>
        </w:rPr>
        <w:t> </w:t>
      </w:r>
      <w:r>
        <w:rPr>
          <w:sz w:val="24"/>
          <w:u w:val="none"/>
        </w:rPr>
        <w:t>process</w:t>
      </w:r>
      <w:r>
        <w:rPr>
          <w:spacing w:val="-4"/>
          <w:sz w:val="24"/>
          <w:u w:val="none"/>
        </w:rPr>
        <w:t> </w:t>
      </w:r>
      <w:r>
        <w:rPr>
          <w:sz w:val="24"/>
          <w:u w:val="none"/>
        </w:rPr>
        <w:t>to</w:t>
      </w:r>
      <w:r>
        <w:rPr>
          <w:spacing w:val="-4"/>
          <w:sz w:val="24"/>
          <w:u w:val="none"/>
        </w:rPr>
        <w:t> </w:t>
      </w:r>
      <w:r>
        <w:rPr>
          <w:sz w:val="24"/>
          <w:u w:val="none"/>
        </w:rPr>
        <w:t>identify</w:t>
      </w:r>
      <w:r>
        <w:rPr>
          <w:spacing w:val="-5"/>
          <w:sz w:val="24"/>
          <w:u w:val="none"/>
        </w:rPr>
        <w:t> </w:t>
      </w:r>
      <w:r>
        <w:rPr>
          <w:sz w:val="24"/>
          <w:u w:val="none"/>
        </w:rPr>
        <w:t>reasonable</w:t>
      </w:r>
      <w:r>
        <w:rPr>
          <w:spacing w:val="-3"/>
          <w:sz w:val="24"/>
          <w:u w:val="none"/>
        </w:rPr>
        <w:t> </w:t>
      </w:r>
      <w:r>
        <w:rPr>
          <w:sz w:val="24"/>
          <w:u w:val="none"/>
        </w:rPr>
        <w:t>employee </w:t>
      </w:r>
      <w:r>
        <w:rPr>
          <w:spacing w:val="-2"/>
          <w:sz w:val="24"/>
          <w:u w:val="none"/>
        </w:rPr>
        <w:t>accommodations.</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after="0"/>
        <w:jc w:val="left"/>
        <w:rPr>
          <w:sz w:val="22"/>
        </w:rPr>
        <w:sectPr>
          <w:pgSz w:w="12240" w:h="15840"/>
          <w:pgMar w:top="1340" w:bottom="280" w:left="1080" w:right="720"/>
        </w:sectPr>
      </w:pPr>
    </w:p>
    <w:p>
      <w:pPr>
        <w:tabs>
          <w:tab w:pos="1439" w:val="left" w:leader="none"/>
        </w:tabs>
        <w:spacing w:before="80"/>
        <w:ind w:left="360" w:right="4472" w:firstLine="108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7"/>
          <w:sz w:val="22"/>
        </w:rPr>
        <w:t> </w:t>
      </w:r>
      <w:r>
        <w:rPr>
          <w:sz w:val="22"/>
        </w:rPr>
        <w:t>612 </w:t>
      </w:r>
      <w:r>
        <w:rPr>
          <w:spacing w:val="-2"/>
          <w:sz w:val="22"/>
        </w:rPr>
        <w:t>7-1-98</w:t>
      </w:r>
      <w:r>
        <w:rPr>
          <w:sz w:val="22"/>
        </w:rPr>
        <w:tab/>
        <w:t>PT Memo #98-14</w:t>
      </w:r>
    </w:p>
    <w:p>
      <w:pPr>
        <w:tabs>
          <w:tab w:pos="1439" w:val="left" w:leader="none"/>
        </w:tabs>
        <w:spacing w:before="0"/>
        <w:ind w:left="360" w:right="1832" w:firstLine="1080"/>
        <w:jc w:val="left"/>
        <w:rPr>
          <w:sz w:val="22"/>
        </w:rPr>
      </w:pPr>
      <w:r>
        <w:rPr>
          <w:sz w:val="22"/>
        </w:rPr>
        <w:t>Permanent,</w:t>
      </w:r>
      <w:r>
        <w:rPr>
          <w:spacing w:val="-4"/>
          <w:sz w:val="22"/>
        </w:rPr>
        <w:t> </w:t>
      </w:r>
      <w:r>
        <w:rPr>
          <w:sz w:val="22"/>
        </w:rPr>
        <w:t>corrected</w:t>
      </w:r>
      <w:r>
        <w:rPr>
          <w:spacing w:val="-5"/>
          <w:sz w:val="22"/>
        </w:rPr>
        <w:t> </w:t>
      </w:r>
      <w:r>
        <w:rPr>
          <w:sz w:val="22"/>
        </w:rPr>
        <w:t>year</w:t>
      </w:r>
      <w:r>
        <w:rPr>
          <w:spacing w:val="-5"/>
          <w:sz w:val="22"/>
        </w:rPr>
        <w:t> </w:t>
      </w:r>
      <w:r>
        <w:rPr>
          <w:sz w:val="22"/>
        </w:rPr>
        <w:t>for</w:t>
      </w:r>
      <w:r>
        <w:rPr>
          <w:spacing w:val="-5"/>
          <w:sz w:val="22"/>
        </w:rPr>
        <w:t> </w:t>
      </w:r>
      <w:r>
        <w:rPr>
          <w:sz w:val="22"/>
        </w:rPr>
        <w:t>Family</w:t>
      </w:r>
      <w:r>
        <w:rPr>
          <w:spacing w:val="-5"/>
          <w:sz w:val="22"/>
        </w:rPr>
        <w:t> </w:t>
      </w:r>
      <w:r>
        <w:rPr>
          <w:sz w:val="22"/>
        </w:rPr>
        <w:t>Medical</w:t>
      </w:r>
      <w:r>
        <w:rPr>
          <w:spacing w:val="-5"/>
          <w:sz w:val="22"/>
        </w:rPr>
        <w:t> </w:t>
      </w:r>
      <w:r>
        <w:rPr>
          <w:sz w:val="22"/>
        </w:rPr>
        <w:t>Leave</w:t>
      </w:r>
      <w:r>
        <w:rPr>
          <w:spacing w:val="-5"/>
          <w:sz w:val="22"/>
        </w:rPr>
        <w:t> </w:t>
      </w:r>
      <w:r>
        <w:rPr>
          <w:sz w:val="22"/>
        </w:rPr>
        <w:t>Act;</w:t>
      </w:r>
      <w:r>
        <w:rPr>
          <w:spacing w:val="-5"/>
          <w:sz w:val="22"/>
        </w:rPr>
        <w:t> </w:t>
      </w:r>
      <w:r>
        <w:rPr>
          <w:sz w:val="22"/>
        </w:rPr>
        <w:t>clean-up</w:t>
      </w:r>
      <w:r>
        <w:rPr>
          <w:spacing w:val="-5"/>
          <w:sz w:val="22"/>
        </w:rPr>
        <w:t> </w:t>
      </w:r>
      <w:r>
        <w:rPr>
          <w:sz w:val="22"/>
        </w:rPr>
        <w:t>editing </w:t>
      </w:r>
      <w:r>
        <w:rPr>
          <w:spacing w:val="-2"/>
          <w:sz w:val="22"/>
        </w:rPr>
        <w:t>7-1-01</w:t>
      </w:r>
      <w:r>
        <w:rPr>
          <w:sz w:val="22"/>
        </w:rPr>
        <w:tab/>
        <w:t>PT Memo #01-08</w:t>
      </w:r>
    </w:p>
    <w:p>
      <w:pPr>
        <w:tabs>
          <w:tab w:pos="1439" w:val="left" w:leader="none"/>
        </w:tabs>
        <w:spacing w:before="0"/>
        <w:ind w:left="360" w:right="4863" w:firstLine="1080"/>
        <w:jc w:val="left"/>
        <w:rPr>
          <w:sz w:val="22"/>
        </w:rPr>
      </w:pPr>
      <w:r>
        <w:rPr>
          <w:sz w:val="22"/>
        </w:rPr>
        <w:t>Permanent,</w:t>
      </w:r>
      <w:r>
        <w:rPr>
          <w:spacing w:val="-12"/>
          <w:sz w:val="22"/>
        </w:rPr>
        <w:t> </w:t>
      </w:r>
      <w:r>
        <w:rPr>
          <w:sz w:val="22"/>
        </w:rPr>
        <w:t>Incorporates</w:t>
      </w:r>
      <w:r>
        <w:rPr>
          <w:spacing w:val="-13"/>
          <w:sz w:val="22"/>
        </w:rPr>
        <w:t> </w:t>
      </w:r>
      <w:r>
        <w:rPr>
          <w:sz w:val="22"/>
        </w:rPr>
        <w:t>revoked</w:t>
      </w:r>
      <w:r>
        <w:rPr>
          <w:spacing w:val="-13"/>
          <w:sz w:val="22"/>
        </w:rPr>
        <w:t> </w:t>
      </w:r>
      <w:r>
        <w:rPr>
          <w:sz w:val="22"/>
        </w:rPr>
        <w:t>sections </w:t>
      </w:r>
      <w:r>
        <w:rPr>
          <w:spacing w:val="-2"/>
          <w:sz w:val="22"/>
        </w:rPr>
        <w:t>7-1-02</w:t>
      </w:r>
      <w:r>
        <w:rPr>
          <w:sz w:val="22"/>
        </w:rPr>
        <w:tab/>
        <w:t>POL Memo #02-02</w:t>
      </w:r>
    </w:p>
    <w:p>
      <w:pPr>
        <w:tabs>
          <w:tab w:pos="1439" w:val="left" w:leader="none"/>
        </w:tabs>
        <w:spacing w:before="0"/>
        <w:ind w:left="360" w:right="1147" w:firstLine="1080"/>
        <w:jc w:val="left"/>
        <w:rPr>
          <w:sz w:val="22"/>
        </w:rPr>
      </w:pPr>
      <w:r>
        <w:rPr>
          <w:sz w:val="22"/>
        </w:rPr>
        <w:t>Permanent,</w:t>
      </w:r>
      <w:r>
        <w:rPr>
          <w:spacing w:val="-3"/>
          <w:sz w:val="22"/>
        </w:rPr>
        <w:t> </w:t>
      </w:r>
      <w:r>
        <w:rPr>
          <w:sz w:val="22"/>
        </w:rPr>
        <w:t>text</w:t>
      </w:r>
      <w:r>
        <w:rPr>
          <w:spacing w:val="-4"/>
          <w:sz w:val="22"/>
        </w:rPr>
        <w:t> </w:t>
      </w:r>
      <w:r>
        <w:rPr>
          <w:sz w:val="22"/>
        </w:rPr>
        <w:t>added</w:t>
      </w:r>
      <w:r>
        <w:rPr>
          <w:spacing w:val="-4"/>
          <w:sz w:val="22"/>
        </w:rPr>
        <w:t> </w:t>
      </w:r>
      <w:r>
        <w:rPr>
          <w:sz w:val="22"/>
        </w:rPr>
        <w:t>ensuring</w:t>
      </w:r>
      <w:r>
        <w:rPr>
          <w:spacing w:val="-4"/>
          <w:sz w:val="22"/>
        </w:rPr>
        <w:t> </w:t>
      </w:r>
      <w:r>
        <w:rPr>
          <w:sz w:val="22"/>
        </w:rPr>
        <w:t>materials</w:t>
      </w:r>
      <w:r>
        <w:rPr>
          <w:spacing w:val="-4"/>
          <w:sz w:val="22"/>
        </w:rPr>
        <w:t> </w:t>
      </w:r>
      <w:r>
        <w:rPr>
          <w:sz w:val="22"/>
        </w:rPr>
        <w:t>and</w:t>
      </w:r>
      <w:r>
        <w:rPr>
          <w:spacing w:val="-5"/>
          <w:sz w:val="22"/>
        </w:rPr>
        <w:t> </w:t>
      </w:r>
      <w:r>
        <w:rPr>
          <w:sz w:val="22"/>
        </w:rPr>
        <w:t>systems</w:t>
      </w:r>
      <w:r>
        <w:rPr>
          <w:spacing w:val="-4"/>
          <w:sz w:val="22"/>
        </w:rPr>
        <w:t> </w:t>
      </w:r>
      <w:r>
        <w:rPr>
          <w:sz w:val="22"/>
        </w:rPr>
        <w:t>are</w:t>
      </w:r>
      <w:r>
        <w:rPr>
          <w:spacing w:val="-5"/>
          <w:sz w:val="22"/>
        </w:rPr>
        <w:t> </w:t>
      </w:r>
      <w:r>
        <w:rPr>
          <w:sz w:val="22"/>
        </w:rPr>
        <w:t>accessible</w:t>
      </w:r>
      <w:r>
        <w:rPr>
          <w:spacing w:val="-4"/>
          <w:sz w:val="22"/>
        </w:rPr>
        <w:t> </w:t>
      </w:r>
      <w:r>
        <w:rPr>
          <w:sz w:val="22"/>
        </w:rPr>
        <w:t>to</w:t>
      </w:r>
      <w:r>
        <w:rPr>
          <w:spacing w:val="-4"/>
          <w:sz w:val="22"/>
        </w:rPr>
        <w:t> </w:t>
      </w:r>
      <w:r>
        <w:rPr>
          <w:sz w:val="22"/>
        </w:rPr>
        <w:t>all</w:t>
      </w:r>
      <w:r>
        <w:rPr>
          <w:spacing w:val="-4"/>
          <w:sz w:val="22"/>
        </w:rPr>
        <w:t> </w:t>
      </w:r>
      <w:r>
        <w:rPr>
          <w:sz w:val="22"/>
        </w:rPr>
        <w:t>staff </w:t>
      </w:r>
      <w:r>
        <w:rPr>
          <w:spacing w:val="-2"/>
          <w:sz w:val="22"/>
        </w:rPr>
        <w:t>7-1-03</w:t>
      </w:r>
      <w:r>
        <w:rPr>
          <w:sz w:val="22"/>
        </w:rPr>
        <w:tab/>
        <w:t>PT Memo #03-07</w:t>
      </w:r>
    </w:p>
    <w:p>
      <w:pPr>
        <w:spacing w:before="0"/>
        <w:ind w:left="1439" w:right="855" w:firstLine="0"/>
        <w:jc w:val="left"/>
        <w:rPr>
          <w:sz w:val="22"/>
        </w:rPr>
      </w:pPr>
      <w:r>
        <w:rPr>
          <w:sz w:val="22"/>
        </w:rPr>
        <w:t>Permanent,</w:t>
      </w:r>
      <w:r>
        <w:rPr>
          <w:spacing w:val="-3"/>
          <w:sz w:val="22"/>
        </w:rPr>
        <w:t> </w:t>
      </w:r>
      <w:r>
        <w:rPr>
          <w:sz w:val="22"/>
        </w:rPr>
        <w:t>removed</w:t>
      </w:r>
      <w:r>
        <w:rPr>
          <w:spacing w:val="-4"/>
          <w:sz w:val="22"/>
        </w:rPr>
        <w:t> </w:t>
      </w:r>
      <w:r>
        <w:rPr>
          <w:sz w:val="22"/>
        </w:rPr>
        <w:t>"State</w:t>
      </w:r>
      <w:r>
        <w:rPr>
          <w:spacing w:val="-4"/>
          <w:sz w:val="22"/>
        </w:rPr>
        <w:t> </w:t>
      </w:r>
      <w:r>
        <w:rPr>
          <w:sz w:val="22"/>
        </w:rPr>
        <w:t>Office"</w:t>
      </w:r>
      <w:r>
        <w:rPr>
          <w:spacing w:val="-4"/>
          <w:sz w:val="22"/>
        </w:rPr>
        <w:t> </w:t>
      </w:r>
      <w:r>
        <w:rPr>
          <w:sz w:val="22"/>
        </w:rPr>
        <w:t>as</w:t>
      </w:r>
      <w:r>
        <w:rPr>
          <w:spacing w:val="-4"/>
          <w:sz w:val="22"/>
        </w:rPr>
        <w:t> </w:t>
      </w:r>
      <w:r>
        <w:rPr>
          <w:sz w:val="22"/>
        </w:rPr>
        <w:t>residence</w:t>
      </w:r>
      <w:r>
        <w:rPr>
          <w:spacing w:val="-5"/>
          <w:sz w:val="22"/>
        </w:rPr>
        <w:t> </w:t>
      </w:r>
      <w:r>
        <w:rPr>
          <w:sz w:val="22"/>
        </w:rPr>
        <w:t>for</w:t>
      </w:r>
      <w:r>
        <w:rPr>
          <w:spacing w:val="-4"/>
          <w:sz w:val="22"/>
        </w:rPr>
        <w:t> </w:t>
      </w:r>
      <w:r>
        <w:rPr>
          <w:sz w:val="22"/>
        </w:rPr>
        <w:t>Services</w:t>
      </w:r>
      <w:r>
        <w:rPr>
          <w:spacing w:val="-5"/>
          <w:sz w:val="22"/>
        </w:rPr>
        <w:t> </w:t>
      </w:r>
      <w:r>
        <w:rPr>
          <w:sz w:val="22"/>
        </w:rPr>
        <w:t>to</w:t>
      </w:r>
      <w:r>
        <w:rPr>
          <w:spacing w:val="-4"/>
          <w:sz w:val="22"/>
        </w:rPr>
        <w:t> </w:t>
      </w:r>
      <w:r>
        <w:rPr>
          <w:sz w:val="22"/>
        </w:rPr>
        <w:t>the</w:t>
      </w:r>
      <w:r>
        <w:rPr>
          <w:spacing w:val="-4"/>
          <w:sz w:val="22"/>
        </w:rPr>
        <w:t> </w:t>
      </w:r>
      <w:r>
        <w:rPr>
          <w:sz w:val="22"/>
        </w:rPr>
        <w:t>Deaf</w:t>
      </w:r>
      <w:r>
        <w:rPr>
          <w:spacing w:val="-4"/>
          <w:sz w:val="22"/>
        </w:rPr>
        <w:t> </w:t>
      </w:r>
      <w:r>
        <w:rPr>
          <w:sz w:val="22"/>
        </w:rPr>
        <w:t>and</w:t>
      </w:r>
      <w:r>
        <w:rPr>
          <w:spacing w:val="-4"/>
          <w:sz w:val="22"/>
        </w:rPr>
        <w:t> </w:t>
      </w:r>
      <w:r>
        <w:rPr>
          <w:sz w:val="22"/>
        </w:rPr>
        <w:t>Hard of Hearing.</w:t>
      </w:r>
    </w:p>
    <w:p>
      <w:pPr>
        <w:pStyle w:val="ListParagraph"/>
        <w:numPr>
          <w:ilvl w:val="2"/>
          <w:numId w:val="38"/>
        </w:numPr>
        <w:tabs>
          <w:tab w:pos="1439" w:val="left" w:leader="none"/>
        </w:tabs>
        <w:spacing w:line="240" w:lineRule="auto"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tabs>
          <w:tab w:pos="1439" w:val="left" w:leader="none"/>
        </w:tabs>
        <w:spacing w:before="0"/>
        <w:ind w:left="359" w:right="2968" w:firstLine="1080"/>
        <w:jc w:val="left"/>
        <w:rPr>
          <w:sz w:val="22"/>
        </w:rPr>
      </w:pPr>
      <w:r>
        <w:rPr>
          <w:sz w:val="22"/>
        </w:rPr>
        <w:t>Permanent,</w:t>
      </w:r>
      <w:r>
        <w:rPr>
          <w:spacing w:val="-4"/>
          <w:sz w:val="22"/>
        </w:rPr>
        <w:t> </w:t>
      </w:r>
      <w:r>
        <w:rPr>
          <w:sz w:val="22"/>
        </w:rPr>
        <w:t>updating</w:t>
      </w:r>
      <w:r>
        <w:rPr>
          <w:spacing w:val="-5"/>
          <w:sz w:val="22"/>
        </w:rPr>
        <w:t> </w:t>
      </w:r>
      <w:r>
        <w:rPr>
          <w:sz w:val="22"/>
        </w:rPr>
        <w:t>language</w:t>
      </w:r>
      <w:r>
        <w:rPr>
          <w:spacing w:val="-5"/>
          <w:sz w:val="22"/>
        </w:rPr>
        <w:t> </w:t>
      </w:r>
      <w:r>
        <w:rPr>
          <w:sz w:val="22"/>
        </w:rPr>
        <w:t>and</w:t>
      </w:r>
      <w:r>
        <w:rPr>
          <w:spacing w:val="-5"/>
          <w:sz w:val="22"/>
        </w:rPr>
        <w:t> </w:t>
      </w:r>
      <w:r>
        <w:rPr>
          <w:sz w:val="22"/>
        </w:rPr>
        <w:t>reducing</w:t>
      </w:r>
      <w:r>
        <w:rPr>
          <w:spacing w:val="-5"/>
          <w:sz w:val="22"/>
        </w:rPr>
        <w:t> </w:t>
      </w:r>
      <w:r>
        <w:rPr>
          <w:sz w:val="22"/>
        </w:rPr>
        <w:t>the</w:t>
      </w:r>
      <w:r>
        <w:rPr>
          <w:spacing w:val="-6"/>
          <w:sz w:val="22"/>
        </w:rPr>
        <w:t> </w:t>
      </w:r>
      <w:r>
        <w:rPr>
          <w:sz w:val="22"/>
        </w:rPr>
        <w:t>size</w:t>
      </w:r>
      <w:r>
        <w:rPr>
          <w:spacing w:val="-5"/>
          <w:sz w:val="22"/>
        </w:rPr>
        <w:t> </w:t>
      </w:r>
      <w:r>
        <w:rPr>
          <w:sz w:val="22"/>
        </w:rPr>
        <w:t>of</w:t>
      </w:r>
      <w:r>
        <w:rPr>
          <w:spacing w:val="-5"/>
          <w:sz w:val="22"/>
        </w:rPr>
        <w:t> </w:t>
      </w:r>
      <w:r>
        <w:rPr>
          <w:sz w:val="22"/>
        </w:rPr>
        <w:t>policy </w:t>
      </w:r>
      <w:r>
        <w:rPr>
          <w:spacing w:val="-2"/>
          <w:sz w:val="22"/>
        </w:rPr>
        <w:t>8-27-</w:t>
      </w:r>
      <w:r>
        <w:rPr>
          <w:spacing w:val="-5"/>
          <w:sz w:val="22"/>
        </w:rPr>
        <w:t>15</w:t>
      </w:r>
      <w:r>
        <w:rPr>
          <w:sz w:val="22"/>
        </w:rPr>
        <w:tab/>
        <w:t>Removal</w:t>
      </w:r>
      <w:r>
        <w:rPr>
          <w:spacing w:val="-7"/>
          <w:sz w:val="22"/>
        </w:rPr>
        <w:t> </w:t>
      </w:r>
      <w:r>
        <w:rPr>
          <w:sz w:val="22"/>
        </w:rPr>
        <w:t>of</w:t>
      </w:r>
      <w:r>
        <w:rPr>
          <w:spacing w:val="-7"/>
          <w:sz w:val="22"/>
        </w:rPr>
        <w:t> </w:t>
      </w:r>
      <w:r>
        <w:rPr>
          <w:sz w:val="22"/>
        </w:rPr>
        <w:t>language</w:t>
      </w:r>
      <w:r>
        <w:rPr>
          <w:spacing w:val="-6"/>
          <w:sz w:val="22"/>
        </w:rPr>
        <w:t> </w:t>
      </w:r>
      <w:r>
        <w:rPr>
          <w:sz w:val="22"/>
        </w:rPr>
        <w:t>regarding</w:t>
      </w:r>
      <w:r>
        <w:rPr>
          <w:spacing w:val="-7"/>
          <w:sz w:val="22"/>
        </w:rPr>
        <w:t> </w:t>
      </w:r>
      <w:r>
        <w:rPr>
          <w:sz w:val="22"/>
        </w:rPr>
        <w:t>the</w:t>
      </w:r>
      <w:r>
        <w:rPr>
          <w:spacing w:val="-8"/>
          <w:sz w:val="22"/>
        </w:rPr>
        <w:t> </w:t>
      </w:r>
      <w:r>
        <w:rPr>
          <w:sz w:val="22"/>
        </w:rPr>
        <w:t>Civil</w:t>
      </w:r>
      <w:r>
        <w:rPr>
          <w:spacing w:val="-6"/>
          <w:sz w:val="22"/>
        </w:rPr>
        <w:t> </w:t>
      </w:r>
      <w:r>
        <w:rPr>
          <w:sz w:val="22"/>
        </w:rPr>
        <w:t>Rights</w:t>
      </w:r>
      <w:r>
        <w:rPr>
          <w:spacing w:val="-8"/>
          <w:sz w:val="22"/>
        </w:rPr>
        <w:t> </w:t>
      </w:r>
      <w:r>
        <w:rPr>
          <w:spacing w:val="-2"/>
          <w:sz w:val="22"/>
        </w:rPr>
        <w:t>Administrator.</w:t>
      </w:r>
    </w:p>
    <w:p>
      <w:pPr>
        <w:spacing w:before="0"/>
        <w:ind w:left="1439" w:right="775" w:firstLine="0"/>
        <w:jc w:val="left"/>
        <w:rPr>
          <w:sz w:val="22"/>
        </w:rPr>
      </w:pPr>
      <w:r>
        <w:rPr>
          <w:sz w:val="22"/>
        </w:rPr>
        <w:t>Updated</w:t>
      </w:r>
      <w:r>
        <w:rPr>
          <w:spacing w:val="-3"/>
          <w:sz w:val="22"/>
        </w:rPr>
        <w:t> </w:t>
      </w:r>
      <w:r>
        <w:rPr>
          <w:sz w:val="22"/>
        </w:rPr>
        <w:t>Instructions</w:t>
      </w:r>
      <w:r>
        <w:rPr>
          <w:spacing w:val="-3"/>
          <w:sz w:val="22"/>
        </w:rPr>
        <w:t> </w:t>
      </w:r>
      <w:r>
        <w:rPr>
          <w:sz w:val="22"/>
        </w:rPr>
        <w:t>to</w:t>
      </w:r>
      <w:r>
        <w:rPr>
          <w:spacing w:val="-4"/>
          <w:sz w:val="22"/>
        </w:rPr>
        <w:t> </w:t>
      </w:r>
      <w:r>
        <w:rPr>
          <w:sz w:val="22"/>
        </w:rPr>
        <w:t>Staff</w:t>
      </w:r>
      <w:r>
        <w:rPr>
          <w:spacing w:val="-3"/>
          <w:sz w:val="22"/>
        </w:rPr>
        <w:t> </w:t>
      </w:r>
      <w:r>
        <w:rPr>
          <w:sz w:val="22"/>
        </w:rPr>
        <w:t>to</w:t>
      </w:r>
      <w:r>
        <w:rPr>
          <w:spacing w:val="-3"/>
          <w:sz w:val="22"/>
        </w:rPr>
        <w:t> </w:t>
      </w:r>
      <w:r>
        <w:rPr>
          <w:sz w:val="22"/>
        </w:rPr>
        <w:t>provide</w:t>
      </w:r>
      <w:r>
        <w:rPr>
          <w:spacing w:val="-3"/>
          <w:sz w:val="22"/>
        </w:rPr>
        <w:t> </w:t>
      </w:r>
      <w:r>
        <w:rPr>
          <w:sz w:val="22"/>
        </w:rPr>
        <w:t>contact</w:t>
      </w:r>
      <w:r>
        <w:rPr>
          <w:spacing w:val="-4"/>
          <w:sz w:val="22"/>
        </w:rPr>
        <w:t> </w:t>
      </w:r>
      <w:r>
        <w:rPr>
          <w:sz w:val="22"/>
        </w:rPr>
        <w:t>information</w:t>
      </w:r>
      <w:r>
        <w:rPr>
          <w:spacing w:val="-3"/>
          <w:sz w:val="22"/>
        </w:rPr>
        <w:t> </w:t>
      </w:r>
      <w:r>
        <w:rPr>
          <w:sz w:val="22"/>
        </w:rPr>
        <w:t>for</w:t>
      </w:r>
      <w:r>
        <w:rPr>
          <w:spacing w:val="-3"/>
          <w:sz w:val="22"/>
        </w:rPr>
        <w:t> </w:t>
      </w:r>
      <w:r>
        <w:rPr>
          <w:sz w:val="22"/>
        </w:rPr>
        <w:t>the</w:t>
      </w:r>
      <w:r>
        <w:rPr>
          <w:spacing w:val="-3"/>
          <w:sz w:val="22"/>
        </w:rPr>
        <w:t> </w:t>
      </w:r>
      <w:r>
        <w:rPr>
          <w:sz w:val="22"/>
        </w:rPr>
        <w:t>DRS</w:t>
      </w:r>
      <w:r>
        <w:rPr>
          <w:spacing w:val="-2"/>
          <w:sz w:val="22"/>
        </w:rPr>
        <w:t> </w:t>
      </w:r>
      <w:r>
        <w:rPr>
          <w:sz w:val="22"/>
        </w:rPr>
        <w:t>ADA Coordinator.</w:t>
      </w:r>
      <w:r>
        <w:rPr>
          <w:spacing w:val="40"/>
          <w:sz w:val="22"/>
        </w:rPr>
        <w:t> </w:t>
      </w:r>
      <w:r>
        <w:rPr>
          <w:sz w:val="22"/>
        </w:rPr>
        <w:t>Updated</w:t>
      </w:r>
      <w:r>
        <w:rPr>
          <w:spacing w:val="-4"/>
          <w:sz w:val="22"/>
        </w:rPr>
        <w:t> </w:t>
      </w:r>
      <w:r>
        <w:rPr>
          <w:sz w:val="22"/>
        </w:rPr>
        <w:t>Instructions</w:t>
      </w:r>
      <w:r>
        <w:rPr>
          <w:spacing w:val="-5"/>
          <w:sz w:val="22"/>
        </w:rPr>
        <w:t> </w:t>
      </w:r>
      <w:r>
        <w:rPr>
          <w:sz w:val="22"/>
        </w:rPr>
        <w:t>to</w:t>
      </w:r>
      <w:r>
        <w:rPr>
          <w:spacing w:val="-5"/>
          <w:sz w:val="22"/>
        </w:rPr>
        <w:t> </w:t>
      </w:r>
      <w:r>
        <w:rPr>
          <w:sz w:val="22"/>
        </w:rPr>
        <w:t>Staff</w:t>
      </w:r>
      <w:r>
        <w:rPr>
          <w:spacing w:val="-4"/>
          <w:sz w:val="22"/>
        </w:rPr>
        <w:t> </w:t>
      </w:r>
      <w:r>
        <w:rPr>
          <w:sz w:val="22"/>
        </w:rPr>
        <w:t>to</w:t>
      </w:r>
      <w:r>
        <w:rPr>
          <w:spacing w:val="-4"/>
          <w:sz w:val="22"/>
        </w:rPr>
        <w:t> </w:t>
      </w:r>
      <w:r>
        <w:rPr>
          <w:sz w:val="22"/>
        </w:rPr>
        <w:t>include</w:t>
      </w:r>
      <w:r>
        <w:rPr>
          <w:spacing w:val="-4"/>
          <w:sz w:val="22"/>
        </w:rPr>
        <w:t> </w:t>
      </w:r>
      <w:r>
        <w:rPr>
          <w:sz w:val="22"/>
        </w:rPr>
        <w:t>checklist</w:t>
      </w:r>
      <w:r>
        <w:rPr>
          <w:spacing w:val="-4"/>
          <w:sz w:val="22"/>
        </w:rPr>
        <w:t> </w:t>
      </w:r>
      <w:r>
        <w:rPr>
          <w:sz w:val="22"/>
        </w:rPr>
        <w:t>in</w:t>
      </w:r>
      <w:r>
        <w:rPr>
          <w:spacing w:val="-4"/>
          <w:sz w:val="22"/>
        </w:rPr>
        <w:t> </w:t>
      </w:r>
      <w:r>
        <w:rPr>
          <w:sz w:val="22"/>
        </w:rPr>
        <w:t>determining reasonable accommodations under the ADA. Revised rule title to add “for </w:t>
      </w:r>
      <w:r>
        <w:rPr>
          <w:spacing w:val="-2"/>
          <w:sz w:val="22"/>
        </w:rPr>
        <w:t>employees”.</w:t>
      </w:r>
    </w:p>
    <w:p>
      <w:pPr>
        <w:spacing w:after="0"/>
        <w:jc w:val="left"/>
        <w:rPr>
          <w:sz w:val="22"/>
        </w:rPr>
        <w:sectPr>
          <w:pgSz w:w="12240" w:h="15840"/>
          <w:pgMar w:top="1360" w:bottom="280" w:left="1080" w:right="720"/>
        </w:sectPr>
      </w:pPr>
    </w:p>
    <w:p>
      <w:pPr>
        <w:pStyle w:val="Heading1"/>
        <w:ind w:right="777"/>
      </w:pPr>
      <w:bookmarkStart w:name="PART 9. MEDICAL AND OTHER CONSIDERATIONS" w:id="41"/>
      <w:bookmarkEnd w:id="41"/>
      <w:r>
        <w:rPr>
          <w:b w:val="0"/>
        </w:rPr>
      </w:r>
      <w:r>
        <w:rPr/>
        <w:t>PART</w:t>
      </w:r>
      <w:r>
        <w:rPr>
          <w:spacing w:val="-2"/>
        </w:rPr>
        <w:t> </w:t>
      </w:r>
      <w:r>
        <w:rPr/>
        <w:t>9.</w:t>
      </w:r>
      <w:r>
        <w:rPr>
          <w:spacing w:val="-2"/>
        </w:rPr>
        <w:t> </w:t>
      </w:r>
      <w:r>
        <w:rPr/>
        <w:t>MEDICAL</w:t>
      </w:r>
      <w:r>
        <w:rPr>
          <w:spacing w:val="-2"/>
        </w:rPr>
        <w:t> </w:t>
      </w:r>
      <w:r>
        <w:rPr/>
        <w:t>AND</w:t>
      </w:r>
      <w:r>
        <w:rPr>
          <w:spacing w:val="-2"/>
        </w:rPr>
        <w:t> </w:t>
      </w:r>
      <w:r>
        <w:rPr/>
        <w:t>OTHER</w:t>
      </w:r>
      <w:r>
        <w:rPr>
          <w:spacing w:val="-2"/>
        </w:rPr>
        <w:t> CONSIDERATIONS</w:t>
      </w:r>
    </w:p>
    <w:p>
      <w:pPr>
        <w:pStyle w:val="BodyText"/>
        <w:spacing w:before="204"/>
      </w:pPr>
      <w:r>
        <w:rPr>
          <w:spacing w:val="-2"/>
        </w:rPr>
        <w:t>Section</w:t>
      </w:r>
    </w:p>
    <w:p>
      <w:pPr>
        <w:pStyle w:val="BodyText"/>
        <w:tabs>
          <w:tab w:pos="2519" w:val="left" w:leader="none"/>
        </w:tabs>
        <w:spacing w:line="417" w:lineRule="auto" w:before="204"/>
        <w:ind w:right="5450"/>
      </w:pPr>
      <w:r>
        <w:rPr>
          <w:spacing w:val="-2"/>
        </w:rPr>
        <w:t>612:1-11-55.</w:t>
      </w:r>
      <w:r>
        <w:rPr/>
        <w:tab/>
        <w:t>Medical</w:t>
      </w:r>
      <w:r>
        <w:rPr>
          <w:spacing w:val="-17"/>
        </w:rPr>
        <w:t> </w:t>
      </w:r>
      <w:r>
        <w:rPr/>
        <w:t>documentation </w:t>
      </w:r>
      <w:r>
        <w:rPr>
          <w:spacing w:val="-2"/>
        </w:rPr>
        <w:t>612:1-11-56.</w:t>
      </w:r>
      <w:r>
        <w:rPr/>
        <w:tab/>
        <w:t>Illegal use of drugs </w:t>
      </w:r>
      <w:r>
        <w:rPr>
          <w:spacing w:val="-2"/>
        </w:rPr>
        <w:t>612:1-11-58.</w:t>
      </w:r>
      <w:r>
        <w:rPr/>
        <w:tab/>
        <w:t>Retaliation or coercion</w:t>
      </w:r>
    </w:p>
    <w:p>
      <w:pPr>
        <w:pStyle w:val="BodyText"/>
        <w:spacing w:after="0" w:line="417" w:lineRule="auto"/>
        <w:sectPr>
          <w:pgSz w:w="12240" w:h="15840"/>
          <w:pgMar w:top="1340" w:bottom="280" w:left="1080" w:right="720"/>
        </w:sectPr>
      </w:pPr>
    </w:p>
    <w:p>
      <w:pPr>
        <w:pStyle w:val="Heading2"/>
      </w:pPr>
      <w:bookmarkStart w:name="612:1-11-55.  Medical documentation" w:id="42"/>
      <w:bookmarkEnd w:id="42"/>
      <w:r>
        <w:rPr>
          <w:b w:val="0"/>
        </w:rPr>
      </w:r>
      <w:r>
        <w:rPr/>
        <w:t>612:1-11-55.</w:t>
      </w:r>
      <w:r>
        <w:rPr>
          <w:spacing w:val="58"/>
        </w:rPr>
        <w:t> </w:t>
      </w:r>
      <w:r>
        <w:rPr/>
        <w:t>Medical</w:t>
      </w:r>
      <w:r>
        <w:rPr>
          <w:spacing w:val="-5"/>
        </w:rPr>
        <w:t> </w:t>
      </w:r>
      <w:r>
        <w:rPr>
          <w:spacing w:val="-2"/>
        </w:rPr>
        <w:t>documentation</w:t>
      </w:r>
    </w:p>
    <w:p>
      <w:pPr>
        <w:pStyle w:val="ListParagraph"/>
        <w:numPr>
          <w:ilvl w:val="0"/>
          <w:numId w:val="39"/>
        </w:numPr>
        <w:tabs>
          <w:tab w:pos="785" w:val="left" w:leader="none"/>
        </w:tabs>
        <w:spacing w:line="240" w:lineRule="auto" w:before="204" w:after="0"/>
        <w:ind w:left="785" w:right="0" w:hanging="425"/>
        <w:jc w:val="left"/>
        <w:rPr>
          <w:sz w:val="24"/>
        </w:rPr>
      </w:pPr>
      <w:r>
        <w:rPr>
          <w:sz w:val="24"/>
        </w:rPr>
        <w:t>Medical</w:t>
      </w:r>
      <w:r>
        <w:rPr>
          <w:spacing w:val="-5"/>
          <w:sz w:val="24"/>
        </w:rPr>
        <w:t> </w:t>
      </w:r>
      <w:r>
        <w:rPr>
          <w:sz w:val="24"/>
        </w:rPr>
        <w:t>documentation</w:t>
      </w:r>
      <w:r>
        <w:rPr>
          <w:spacing w:val="-3"/>
          <w:sz w:val="24"/>
        </w:rPr>
        <w:t> </w:t>
      </w:r>
      <w:r>
        <w:rPr>
          <w:sz w:val="24"/>
        </w:rPr>
        <w:t>may</w:t>
      </w:r>
      <w:r>
        <w:rPr>
          <w:spacing w:val="-4"/>
          <w:sz w:val="24"/>
        </w:rPr>
        <w:t> </w:t>
      </w:r>
      <w:r>
        <w:rPr>
          <w:sz w:val="24"/>
        </w:rPr>
        <w:t>be</w:t>
      </w:r>
      <w:r>
        <w:rPr>
          <w:spacing w:val="-3"/>
          <w:sz w:val="24"/>
        </w:rPr>
        <w:t> </w:t>
      </w:r>
      <w:r>
        <w:rPr>
          <w:sz w:val="24"/>
        </w:rPr>
        <w:t>necessary</w:t>
      </w:r>
      <w:r>
        <w:rPr>
          <w:spacing w:val="-3"/>
          <w:sz w:val="24"/>
        </w:rPr>
        <w:t> </w:t>
      </w:r>
      <w:r>
        <w:rPr>
          <w:sz w:val="24"/>
        </w:rPr>
        <w:t>in</w:t>
      </w:r>
      <w:r>
        <w:rPr>
          <w:spacing w:val="-3"/>
          <w:sz w:val="24"/>
        </w:rPr>
        <w:t> </w:t>
      </w:r>
      <w:r>
        <w:rPr>
          <w:sz w:val="24"/>
        </w:rPr>
        <w:t>order</w:t>
      </w:r>
      <w:r>
        <w:rPr>
          <w:spacing w:val="-3"/>
          <w:sz w:val="24"/>
        </w:rPr>
        <w:t> </w:t>
      </w:r>
      <w:r>
        <w:rPr>
          <w:sz w:val="24"/>
        </w:rPr>
        <w:t>for</w:t>
      </w:r>
      <w:r>
        <w:rPr>
          <w:spacing w:val="-3"/>
          <w:sz w:val="24"/>
        </w:rPr>
        <w:t> </w:t>
      </w:r>
      <w:r>
        <w:rPr>
          <w:sz w:val="24"/>
        </w:rPr>
        <w:t>the</w:t>
      </w:r>
      <w:r>
        <w:rPr>
          <w:spacing w:val="-3"/>
          <w:sz w:val="24"/>
        </w:rPr>
        <w:t> </w:t>
      </w:r>
      <w:r>
        <w:rPr>
          <w:sz w:val="24"/>
        </w:rPr>
        <w:t>Department</w:t>
      </w:r>
      <w:r>
        <w:rPr>
          <w:spacing w:val="-3"/>
          <w:sz w:val="24"/>
        </w:rPr>
        <w:t> </w:t>
      </w:r>
      <w:r>
        <w:rPr>
          <w:spacing w:val="-5"/>
          <w:sz w:val="24"/>
        </w:rPr>
        <w:t>to:</w:t>
      </w:r>
    </w:p>
    <w:p>
      <w:pPr>
        <w:pStyle w:val="ListParagraph"/>
        <w:numPr>
          <w:ilvl w:val="1"/>
          <w:numId w:val="39"/>
        </w:numPr>
        <w:tabs>
          <w:tab w:pos="1217" w:val="left" w:leader="none"/>
        </w:tabs>
        <w:spacing w:line="240" w:lineRule="auto" w:before="204" w:after="0"/>
        <w:ind w:left="1217" w:right="0" w:hanging="426"/>
        <w:jc w:val="left"/>
        <w:rPr>
          <w:sz w:val="24"/>
        </w:rPr>
      </w:pPr>
      <w:r>
        <w:rPr>
          <w:sz w:val="24"/>
        </w:rPr>
        <w:t>determine</w:t>
      </w:r>
      <w:r>
        <w:rPr>
          <w:spacing w:val="-4"/>
          <w:sz w:val="24"/>
        </w:rPr>
        <w:t> </w:t>
      </w:r>
      <w:r>
        <w:rPr>
          <w:sz w:val="24"/>
        </w:rPr>
        <w:t>if</w:t>
      </w:r>
      <w:r>
        <w:rPr>
          <w:spacing w:val="-2"/>
          <w:sz w:val="24"/>
        </w:rPr>
        <w:t> </w:t>
      </w:r>
      <w:r>
        <w:rPr>
          <w:sz w:val="24"/>
        </w:rPr>
        <w:t>the</w:t>
      </w:r>
      <w:r>
        <w:rPr>
          <w:spacing w:val="-3"/>
          <w:sz w:val="24"/>
        </w:rPr>
        <w:t> </w:t>
      </w:r>
      <w:r>
        <w:rPr>
          <w:sz w:val="24"/>
        </w:rPr>
        <w:t>employee</w:t>
      </w:r>
      <w:r>
        <w:rPr>
          <w:spacing w:val="-3"/>
          <w:sz w:val="24"/>
        </w:rPr>
        <w:t> </w:t>
      </w:r>
      <w:r>
        <w:rPr>
          <w:sz w:val="24"/>
        </w:rPr>
        <w:t>is</w:t>
      </w:r>
      <w:r>
        <w:rPr>
          <w:spacing w:val="-3"/>
          <w:sz w:val="24"/>
        </w:rPr>
        <w:t> </w:t>
      </w:r>
      <w:r>
        <w:rPr>
          <w:sz w:val="24"/>
        </w:rPr>
        <w:t>disabled</w:t>
      </w:r>
      <w:r>
        <w:rPr>
          <w:spacing w:val="-4"/>
          <w:sz w:val="24"/>
        </w:rPr>
        <w:t> </w:t>
      </w:r>
      <w:r>
        <w:rPr>
          <w:sz w:val="24"/>
        </w:rPr>
        <w:t>under</w:t>
      </w:r>
      <w:r>
        <w:rPr>
          <w:spacing w:val="-2"/>
          <w:sz w:val="24"/>
        </w:rPr>
        <w:t> </w:t>
      </w:r>
      <w:r>
        <w:rPr>
          <w:sz w:val="24"/>
        </w:rPr>
        <w:t>the</w:t>
      </w:r>
      <w:r>
        <w:rPr>
          <w:spacing w:val="-3"/>
          <w:sz w:val="24"/>
        </w:rPr>
        <w:t> </w:t>
      </w:r>
      <w:r>
        <w:rPr>
          <w:sz w:val="24"/>
        </w:rPr>
        <w:t>definitions</w:t>
      </w:r>
      <w:r>
        <w:rPr>
          <w:spacing w:val="-3"/>
          <w:sz w:val="24"/>
        </w:rPr>
        <w:t> </w:t>
      </w:r>
      <w:r>
        <w:rPr>
          <w:sz w:val="24"/>
        </w:rPr>
        <w:t>of</w:t>
      </w:r>
      <w:r>
        <w:rPr>
          <w:spacing w:val="-2"/>
          <w:sz w:val="24"/>
        </w:rPr>
        <w:t> </w:t>
      </w:r>
      <w:r>
        <w:rPr>
          <w:sz w:val="24"/>
        </w:rPr>
        <w:t>the</w:t>
      </w:r>
      <w:r>
        <w:rPr>
          <w:spacing w:val="-3"/>
          <w:sz w:val="24"/>
        </w:rPr>
        <w:t> </w:t>
      </w:r>
      <w:r>
        <w:rPr>
          <w:spacing w:val="-4"/>
          <w:sz w:val="24"/>
        </w:rPr>
        <w:t>ADA;</w:t>
      </w:r>
    </w:p>
    <w:p>
      <w:pPr>
        <w:pStyle w:val="ListParagraph"/>
        <w:numPr>
          <w:ilvl w:val="1"/>
          <w:numId w:val="39"/>
        </w:numPr>
        <w:tabs>
          <w:tab w:pos="1217" w:val="left" w:leader="none"/>
        </w:tabs>
        <w:spacing w:line="240" w:lineRule="auto" w:before="204" w:after="0"/>
        <w:ind w:left="1217" w:right="0" w:hanging="426"/>
        <w:jc w:val="left"/>
        <w:rPr>
          <w:sz w:val="24"/>
        </w:rPr>
      </w:pPr>
      <w:r>
        <w:rPr>
          <w:sz w:val="24"/>
        </w:rPr>
        <w:t>determine</w:t>
      </w:r>
      <w:r>
        <w:rPr>
          <w:spacing w:val="-4"/>
          <w:sz w:val="24"/>
        </w:rPr>
        <w:t> </w:t>
      </w:r>
      <w:r>
        <w:rPr>
          <w:sz w:val="24"/>
        </w:rPr>
        <w:t>whether</w:t>
      </w:r>
      <w:r>
        <w:rPr>
          <w:spacing w:val="-2"/>
          <w:sz w:val="24"/>
        </w:rPr>
        <w:t> </w:t>
      </w:r>
      <w:r>
        <w:rPr>
          <w:sz w:val="24"/>
        </w:rPr>
        <w:t>an</w:t>
      </w:r>
      <w:r>
        <w:rPr>
          <w:spacing w:val="-4"/>
          <w:sz w:val="24"/>
        </w:rPr>
        <w:t> </w:t>
      </w:r>
      <w:r>
        <w:rPr>
          <w:sz w:val="24"/>
        </w:rPr>
        <w:t>accommodation</w:t>
      </w:r>
      <w:r>
        <w:rPr>
          <w:spacing w:val="-3"/>
          <w:sz w:val="24"/>
        </w:rPr>
        <w:t> </w:t>
      </w:r>
      <w:r>
        <w:rPr>
          <w:sz w:val="24"/>
        </w:rPr>
        <w:t>is</w:t>
      </w:r>
      <w:r>
        <w:rPr>
          <w:spacing w:val="-3"/>
          <w:sz w:val="24"/>
        </w:rPr>
        <w:t> </w:t>
      </w:r>
      <w:r>
        <w:rPr>
          <w:sz w:val="24"/>
        </w:rPr>
        <w:t>needed;</w:t>
      </w:r>
      <w:r>
        <w:rPr>
          <w:spacing w:val="-3"/>
          <w:sz w:val="24"/>
        </w:rPr>
        <w:t> </w:t>
      </w:r>
      <w:r>
        <w:rPr>
          <w:sz w:val="24"/>
        </w:rPr>
        <w:t>and</w:t>
      </w:r>
      <w:r>
        <w:rPr>
          <w:spacing w:val="-4"/>
          <w:sz w:val="24"/>
        </w:rPr>
        <w:t> </w:t>
      </w:r>
      <w:r>
        <w:rPr>
          <w:sz w:val="24"/>
        </w:rPr>
        <w:t>if</w:t>
      </w:r>
      <w:r>
        <w:rPr>
          <w:spacing w:val="-2"/>
          <w:sz w:val="24"/>
        </w:rPr>
        <w:t> </w:t>
      </w:r>
      <w:r>
        <w:rPr>
          <w:spacing w:val="-5"/>
          <w:sz w:val="24"/>
        </w:rPr>
        <w:t>so,</w:t>
      </w:r>
    </w:p>
    <w:p>
      <w:pPr>
        <w:pStyle w:val="ListParagraph"/>
        <w:numPr>
          <w:ilvl w:val="1"/>
          <w:numId w:val="39"/>
        </w:numPr>
        <w:tabs>
          <w:tab w:pos="1217" w:val="left" w:leader="none"/>
        </w:tabs>
        <w:spacing w:line="240" w:lineRule="auto" w:before="204" w:after="0"/>
        <w:ind w:left="1217" w:right="0" w:hanging="426"/>
        <w:jc w:val="left"/>
        <w:rPr>
          <w:sz w:val="24"/>
        </w:rPr>
      </w:pPr>
      <w:r>
        <w:rPr>
          <w:sz w:val="24"/>
        </w:rPr>
        <w:t>assess</w:t>
      </w:r>
      <w:r>
        <w:rPr>
          <w:spacing w:val="-4"/>
          <w:sz w:val="24"/>
        </w:rPr>
        <w:t> </w:t>
      </w:r>
      <w:r>
        <w:rPr>
          <w:sz w:val="24"/>
        </w:rPr>
        <w:t>what</w:t>
      </w:r>
      <w:r>
        <w:rPr>
          <w:spacing w:val="-2"/>
          <w:sz w:val="24"/>
        </w:rPr>
        <w:t> </w:t>
      </w:r>
      <w:r>
        <w:rPr>
          <w:sz w:val="24"/>
        </w:rPr>
        <w:t>kind</w:t>
      </w:r>
      <w:r>
        <w:rPr>
          <w:spacing w:val="-3"/>
          <w:sz w:val="24"/>
        </w:rPr>
        <w:t> </w:t>
      </w:r>
      <w:r>
        <w:rPr>
          <w:sz w:val="24"/>
        </w:rPr>
        <w:t>of</w:t>
      </w:r>
      <w:r>
        <w:rPr>
          <w:spacing w:val="-2"/>
          <w:sz w:val="24"/>
        </w:rPr>
        <w:t> </w:t>
      </w:r>
      <w:r>
        <w:rPr>
          <w:sz w:val="24"/>
        </w:rPr>
        <w:t>accommodation</w:t>
      </w:r>
      <w:r>
        <w:rPr>
          <w:spacing w:val="-3"/>
          <w:sz w:val="24"/>
        </w:rPr>
        <w:t> </w:t>
      </w:r>
      <w:r>
        <w:rPr>
          <w:sz w:val="24"/>
        </w:rPr>
        <w:t>is</w:t>
      </w:r>
      <w:r>
        <w:rPr>
          <w:spacing w:val="-2"/>
          <w:sz w:val="24"/>
        </w:rPr>
        <w:t> necessary.</w:t>
      </w:r>
    </w:p>
    <w:p>
      <w:pPr>
        <w:pStyle w:val="ListParagraph"/>
        <w:numPr>
          <w:ilvl w:val="0"/>
          <w:numId w:val="39"/>
        </w:numPr>
        <w:tabs>
          <w:tab w:pos="785" w:val="left" w:leader="none"/>
        </w:tabs>
        <w:spacing w:line="208" w:lineRule="auto" w:before="233" w:after="0"/>
        <w:ind w:left="359" w:right="2326" w:firstLine="0"/>
        <w:jc w:val="left"/>
        <w:rPr>
          <w:sz w:val="24"/>
        </w:rPr>
      </w:pPr>
      <w:r>
        <w:rPr>
          <w:sz w:val="24"/>
        </w:rPr>
        <w:t>Documentation</w:t>
      </w:r>
      <w:r>
        <w:rPr>
          <w:spacing w:val="-4"/>
          <w:sz w:val="24"/>
        </w:rPr>
        <w:t> </w:t>
      </w:r>
      <w:r>
        <w:rPr>
          <w:sz w:val="24"/>
        </w:rPr>
        <w:t>may</w:t>
      </w:r>
      <w:r>
        <w:rPr>
          <w:spacing w:val="-4"/>
          <w:sz w:val="24"/>
        </w:rPr>
        <w:t> </w:t>
      </w:r>
      <w:r>
        <w:rPr>
          <w:sz w:val="24"/>
        </w:rPr>
        <w:t>be</w:t>
      </w:r>
      <w:r>
        <w:rPr>
          <w:spacing w:val="-4"/>
          <w:sz w:val="24"/>
        </w:rPr>
        <w:t> </w:t>
      </w:r>
      <w:r>
        <w:rPr>
          <w:sz w:val="24"/>
        </w:rPr>
        <w:t>unnecessary</w:t>
      </w:r>
      <w:r>
        <w:rPr>
          <w:spacing w:val="-4"/>
          <w:sz w:val="24"/>
        </w:rPr>
        <w:t> </w:t>
      </w:r>
      <w:r>
        <w:rPr>
          <w:sz w:val="24"/>
        </w:rPr>
        <w:t>when</w:t>
      </w:r>
      <w:r>
        <w:rPr>
          <w:spacing w:val="-4"/>
          <w:sz w:val="24"/>
        </w:rPr>
        <w:t> </w:t>
      </w:r>
      <w:r>
        <w:rPr>
          <w:sz w:val="24"/>
        </w:rPr>
        <w:t>both</w:t>
      </w:r>
      <w:r>
        <w:rPr>
          <w:spacing w:val="-4"/>
          <w:sz w:val="24"/>
        </w:rPr>
        <w:t> </w:t>
      </w:r>
      <w:r>
        <w:rPr>
          <w:sz w:val="24"/>
        </w:rPr>
        <w:t>the</w:t>
      </w:r>
      <w:r>
        <w:rPr>
          <w:spacing w:val="-4"/>
          <w:sz w:val="24"/>
        </w:rPr>
        <w:t> </w:t>
      </w:r>
      <w:r>
        <w:rPr>
          <w:sz w:val="24"/>
        </w:rPr>
        <w:t>disability</w:t>
      </w:r>
      <w:r>
        <w:rPr>
          <w:spacing w:val="-4"/>
          <w:sz w:val="24"/>
        </w:rPr>
        <w:t> </w:t>
      </w:r>
      <w:r>
        <w:rPr>
          <w:sz w:val="24"/>
        </w:rPr>
        <w:t>and</w:t>
      </w:r>
      <w:r>
        <w:rPr>
          <w:spacing w:val="-4"/>
          <w:sz w:val="24"/>
        </w:rPr>
        <w:t> </w:t>
      </w:r>
      <w:r>
        <w:rPr>
          <w:sz w:val="24"/>
        </w:rPr>
        <w:t>the accommodation are obvious.</w:t>
      </w:r>
    </w:p>
    <w:p>
      <w:pPr>
        <w:pStyle w:val="ListParagraph"/>
        <w:numPr>
          <w:ilvl w:val="0"/>
          <w:numId w:val="39"/>
        </w:numPr>
        <w:tabs>
          <w:tab w:pos="772" w:val="left" w:leader="none"/>
        </w:tabs>
        <w:spacing w:line="208" w:lineRule="auto" w:before="240" w:after="0"/>
        <w:ind w:left="359" w:right="1085" w:firstLine="0"/>
        <w:jc w:val="left"/>
        <w:rPr>
          <w:sz w:val="24"/>
        </w:rPr>
      </w:pPr>
      <w:r>
        <w:rPr>
          <w:sz w:val="24"/>
        </w:rPr>
        <w:t>If, during any step in the procedure, the medical documentation presented in support</w:t>
      </w:r>
      <w:r>
        <w:rPr>
          <w:spacing w:val="-3"/>
          <w:sz w:val="24"/>
        </w:rPr>
        <w:t> </w:t>
      </w:r>
      <w:r>
        <w:rPr>
          <w:sz w:val="24"/>
        </w:rPr>
        <w:t>of</w:t>
      </w:r>
      <w:r>
        <w:rPr>
          <w:spacing w:val="-5"/>
          <w:sz w:val="24"/>
        </w:rPr>
        <w:t> </w:t>
      </w:r>
      <w:r>
        <w:rPr>
          <w:sz w:val="24"/>
        </w:rPr>
        <w:t>a</w:t>
      </w:r>
      <w:r>
        <w:rPr>
          <w:spacing w:val="-4"/>
          <w:sz w:val="24"/>
        </w:rPr>
        <w:t> </w:t>
      </w:r>
      <w:r>
        <w:rPr>
          <w:sz w:val="24"/>
        </w:rPr>
        <w:t>request</w:t>
      </w:r>
      <w:r>
        <w:rPr>
          <w:spacing w:val="-3"/>
          <w:sz w:val="24"/>
        </w:rPr>
        <w:t> </w:t>
      </w:r>
      <w:r>
        <w:rPr>
          <w:sz w:val="24"/>
        </w:rPr>
        <w:t>for</w:t>
      </w:r>
      <w:r>
        <w:rPr>
          <w:spacing w:val="-3"/>
          <w:sz w:val="24"/>
        </w:rPr>
        <w:t> </w:t>
      </w:r>
      <w:r>
        <w:rPr>
          <w:sz w:val="24"/>
        </w:rPr>
        <w:t>reasonable</w:t>
      </w:r>
      <w:r>
        <w:rPr>
          <w:spacing w:val="-4"/>
          <w:sz w:val="24"/>
        </w:rPr>
        <w:t> </w:t>
      </w:r>
      <w:r>
        <w:rPr>
          <w:sz w:val="24"/>
        </w:rPr>
        <w:t>accommodation</w:t>
      </w:r>
      <w:r>
        <w:rPr>
          <w:spacing w:val="-4"/>
          <w:sz w:val="24"/>
        </w:rPr>
        <w:t> </w:t>
      </w:r>
      <w:r>
        <w:rPr>
          <w:sz w:val="24"/>
        </w:rPr>
        <w:t>is</w:t>
      </w:r>
      <w:r>
        <w:rPr>
          <w:spacing w:val="-3"/>
          <w:sz w:val="24"/>
        </w:rPr>
        <w:t> </w:t>
      </w:r>
      <w:r>
        <w:rPr>
          <w:sz w:val="24"/>
        </w:rPr>
        <w:t>not</w:t>
      </w:r>
      <w:r>
        <w:rPr>
          <w:spacing w:val="-3"/>
          <w:sz w:val="24"/>
        </w:rPr>
        <w:t> </w:t>
      </w:r>
      <w:r>
        <w:rPr>
          <w:sz w:val="24"/>
        </w:rPr>
        <w:t>adequate,</w:t>
      </w:r>
      <w:r>
        <w:rPr>
          <w:spacing w:val="-3"/>
          <w:sz w:val="24"/>
        </w:rPr>
        <w:t> </w:t>
      </w:r>
      <w:r>
        <w:rPr>
          <w:sz w:val="24"/>
        </w:rPr>
        <w:t>the</w:t>
      </w:r>
      <w:r>
        <w:rPr>
          <w:spacing w:val="-4"/>
          <w:sz w:val="24"/>
        </w:rPr>
        <w:t> </w:t>
      </w:r>
      <w:r>
        <w:rPr>
          <w:sz w:val="24"/>
        </w:rPr>
        <w:t>Department will</w:t>
      </w:r>
      <w:r>
        <w:rPr>
          <w:spacing w:val="-2"/>
          <w:sz w:val="24"/>
        </w:rPr>
        <w:t> </w:t>
      </w:r>
      <w:r>
        <w:rPr>
          <w:sz w:val="24"/>
        </w:rPr>
        <w:t>advise</w:t>
      </w:r>
      <w:r>
        <w:rPr>
          <w:spacing w:val="-2"/>
          <w:sz w:val="24"/>
        </w:rPr>
        <w:t> </w:t>
      </w:r>
      <w:r>
        <w:rPr>
          <w:sz w:val="24"/>
        </w:rPr>
        <w:t>the</w:t>
      </w:r>
      <w:r>
        <w:rPr>
          <w:spacing w:val="-2"/>
          <w:sz w:val="24"/>
        </w:rPr>
        <w:t> </w:t>
      </w:r>
      <w:r>
        <w:rPr>
          <w:sz w:val="24"/>
        </w:rPr>
        <w:t>employee</w:t>
      </w:r>
      <w:r>
        <w:rPr>
          <w:spacing w:val="-2"/>
          <w:sz w:val="24"/>
        </w:rPr>
        <w:t> </w:t>
      </w:r>
      <w:r>
        <w:rPr>
          <w:sz w:val="24"/>
        </w:rPr>
        <w:t>and</w:t>
      </w:r>
      <w:r>
        <w:rPr>
          <w:spacing w:val="-2"/>
          <w:sz w:val="24"/>
        </w:rPr>
        <w:t> </w:t>
      </w:r>
      <w:r>
        <w:rPr>
          <w:sz w:val="24"/>
        </w:rPr>
        <w:t>request</w:t>
      </w:r>
      <w:r>
        <w:rPr>
          <w:spacing w:val="-1"/>
          <w:sz w:val="24"/>
        </w:rPr>
        <w:t> </w:t>
      </w:r>
      <w:r>
        <w:rPr>
          <w:sz w:val="24"/>
        </w:rPr>
        <w:t>submission</w:t>
      </w:r>
      <w:r>
        <w:rPr>
          <w:spacing w:val="-2"/>
          <w:sz w:val="24"/>
        </w:rPr>
        <w:t> </w:t>
      </w:r>
      <w:r>
        <w:rPr>
          <w:sz w:val="24"/>
        </w:rPr>
        <w:t>of</w:t>
      </w:r>
      <w:r>
        <w:rPr>
          <w:spacing w:val="-1"/>
          <w:sz w:val="24"/>
        </w:rPr>
        <w:t> </w:t>
      </w:r>
      <w:r>
        <w:rPr>
          <w:sz w:val="24"/>
        </w:rPr>
        <w:t>additional</w:t>
      </w:r>
      <w:r>
        <w:rPr>
          <w:spacing w:val="-2"/>
          <w:sz w:val="24"/>
        </w:rPr>
        <w:t> </w:t>
      </w:r>
      <w:r>
        <w:rPr>
          <w:sz w:val="24"/>
        </w:rPr>
        <w:t>documentation.</w:t>
      </w:r>
      <w:r>
        <w:rPr>
          <w:spacing w:val="-1"/>
          <w:sz w:val="24"/>
        </w:rPr>
        <w:t> </w:t>
      </w:r>
      <w:r>
        <w:rPr>
          <w:sz w:val="24"/>
        </w:rPr>
        <w:t>When appropriate, a memorandum addressed to the physician or appropriate licensed professional explaining what information is needed and why it is needed can be provided to the employee.</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pStyle w:val="ListParagraph"/>
        <w:numPr>
          <w:ilvl w:val="2"/>
          <w:numId w:val="38"/>
        </w:numPr>
        <w:tabs>
          <w:tab w:pos="1439" w:val="left" w:leader="none"/>
        </w:tabs>
        <w:spacing w:line="240" w:lineRule="auto" w:before="1" w:after="0"/>
        <w:ind w:left="1439" w:right="0" w:hanging="1080"/>
        <w:jc w:val="left"/>
        <w:rPr>
          <w:sz w:val="22"/>
        </w:rPr>
      </w:pPr>
      <w:r>
        <w:rPr>
          <w:sz w:val="22"/>
        </w:rPr>
        <w:t>Permanent,</w:t>
      </w:r>
      <w:r>
        <w:rPr>
          <w:spacing w:val="-10"/>
          <w:sz w:val="22"/>
        </w:rPr>
        <w:t> </w:t>
      </w:r>
      <w:r>
        <w:rPr>
          <w:sz w:val="22"/>
        </w:rPr>
        <w:t>added</w:t>
      </w:r>
      <w:r>
        <w:rPr>
          <w:spacing w:val="-9"/>
          <w:sz w:val="22"/>
        </w:rPr>
        <w:t> </w:t>
      </w:r>
      <w:r>
        <w:rPr>
          <w:sz w:val="22"/>
        </w:rPr>
        <w:t>appropriate</w:t>
      </w:r>
      <w:r>
        <w:rPr>
          <w:spacing w:val="-10"/>
          <w:sz w:val="22"/>
        </w:rPr>
        <w:t> </w:t>
      </w:r>
      <w:r>
        <w:rPr>
          <w:sz w:val="22"/>
        </w:rPr>
        <w:t>licensed</w:t>
      </w:r>
      <w:r>
        <w:rPr>
          <w:spacing w:val="-10"/>
          <w:sz w:val="22"/>
        </w:rPr>
        <w:t> </w:t>
      </w:r>
      <w:r>
        <w:rPr>
          <w:spacing w:val="-2"/>
          <w:sz w:val="22"/>
        </w:rPr>
        <w:t>professional</w:t>
      </w:r>
    </w:p>
    <w:p>
      <w:pPr>
        <w:pStyle w:val="ListParagraph"/>
        <w:spacing w:after="0" w:line="240" w:lineRule="auto"/>
        <w:jc w:val="left"/>
        <w:rPr>
          <w:sz w:val="22"/>
        </w:rPr>
        <w:sectPr>
          <w:pgSz w:w="12240" w:h="15840"/>
          <w:pgMar w:top="1340" w:bottom="280" w:left="1080" w:right="720"/>
        </w:sectPr>
      </w:pPr>
    </w:p>
    <w:p>
      <w:pPr>
        <w:pStyle w:val="Heading2"/>
      </w:pPr>
      <w:bookmarkStart w:name="612:1-11-56.  Illegal use of drugs" w:id="43"/>
      <w:bookmarkEnd w:id="43"/>
      <w:r>
        <w:rPr>
          <w:b w:val="0"/>
        </w:rPr>
      </w:r>
      <w:r>
        <w:rPr/>
        <w:t>612:1-11-56.</w:t>
      </w:r>
      <w:r>
        <w:rPr>
          <w:spacing w:val="61"/>
        </w:rPr>
        <w:t> </w:t>
      </w:r>
      <w:r>
        <w:rPr/>
        <w:t>Illegal</w:t>
      </w:r>
      <w:r>
        <w:rPr>
          <w:spacing w:val="-4"/>
        </w:rPr>
        <w:t> </w:t>
      </w:r>
      <w:r>
        <w:rPr/>
        <w:t>use</w:t>
      </w:r>
      <w:r>
        <w:rPr>
          <w:spacing w:val="-3"/>
        </w:rPr>
        <w:t> </w:t>
      </w:r>
      <w:r>
        <w:rPr/>
        <w:t>of</w:t>
      </w:r>
      <w:r>
        <w:rPr>
          <w:spacing w:val="-2"/>
        </w:rPr>
        <w:t> drugs</w:t>
      </w:r>
    </w:p>
    <w:p>
      <w:pPr>
        <w:pStyle w:val="ListParagraph"/>
        <w:numPr>
          <w:ilvl w:val="0"/>
          <w:numId w:val="40"/>
        </w:numPr>
        <w:tabs>
          <w:tab w:pos="786" w:val="left" w:leader="none"/>
        </w:tabs>
        <w:spacing w:line="208" w:lineRule="auto" w:before="233" w:after="0"/>
        <w:ind w:left="360" w:right="726" w:firstLine="0"/>
        <w:jc w:val="left"/>
        <w:rPr>
          <w:sz w:val="24"/>
        </w:rPr>
      </w:pPr>
      <w:r>
        <w:rPr>
          <w:sz w:val="24"/>
        </w:rPr>
        <w:t>The terms "disability" and "qualified individual with a disability" shall not include any employee, applicant, or client who is currently engaged in the illegal use of drugs. "Illegal</w:t>
      </w:r>
      <w:r>
        <w:rPr>
          <w:spacing w:val="-3"/>
          <w:sz w:val="24"/>
        </w:rPr>
        <w:t> </w:t>
      </w:r>
      <w:r>
        <w:rPr>
          <w:sz w:val="24"/>
        </w:rPr>
        <w:t>use</w:t>
      </w:r>
      <w:r>
        <w:rPr>
          <w:spacing w:val="-2"/>
          <w:sz w:val="24"/>
        </w:rPr>
        <w:t> </w:t>
      </w:r>
      <w:r>
        <w:rPr>
          <w:sz w:val="24"/>
        </w:rPr>
        <w:t>of</w:t>
      </w:r>
      <w:r>
        <w:rPr>
          <w:spacing w:val="-2"/>
          <w:sz w:val="24"/>
        </w:rPr>
        <w:t> </w:t>
      </w:r>
      <w:r>
        <w:rPr>
          <w:sz w:val="24"/>
        </w:rPr>
        <w:t>drugs"</w:t>
      </w:r>
      <w:r>
        <w:rPr>
          <w:spacing w:val="-3"/>
          <w:sz w:val="24"/>
        </w:rPr>
        <w:t> </w:t>
      </w:r>
      <w:r>
        <w:rPr>
          <w:sz w:val="24"/>
        </w:rPr>
        <w:t>does</w:t>
      </w:r>
      <w:r>
        <w:rPr>
          <w:spacing w:val="-3"/>
          <w:sz w:val="24"/>
        </w:rPr>
        <w:t> </w:t>
      </w:r>
      <w:r>
        <w:rPr>
          <w:sz w:val="24"/>
        </w:rPr>
        <w:t>not</w:t>
      </w:r>
      <w:r>
        <w:rPr>
          <w:spacing w:val="-2"/>
          <w:sz w:val="24"/>
        </w:rPr>
        <w:t> </w:t>
      </w:r>
      <w:r>
        <w:rPr>
          <w:sz w:val="24"/>
        </w:rPr>
        <w:t>include</w:t>
      </w:r>
      <w:r>
        <w:rPr>
          <w:spacing w:val="-3"/>
          <w:sz w:val="24"/>
        </w:rPr>
        <w:t> </w:t>
      </w:r>
      <w:r>
        <w:rPr>
          <w:sz w:val="24"/>
        </w:rPr>
        <w:t>the</w:t>
      </w:r>
      <w:r>
        <w:rPr>
          <w:spacing w:val="-3"/>
          <w:sz w:val="24"/>
        </w:rPr>
        <w:t> </w:t>
      </w:r>
      <w:r>
        <w:rPr>
          <w:sz w:val="24"/>
        </w:rPr>
        <w:t>use</w:t>
      </w:r>
      <w:r>
        <w:rPr>
          <w:spacing w:val="-3"/>
          <w:sz w:val="24"/>
        </w:rPr>
        <w:t> </w:t>
      </w:r>
      <w:r>
        <w:rPr>
          <w:sz w:val="24"/>
        </w:rPr>
        <w:t>of</w:t>
      </w:r>
      <w:r>
        <w:rPr>
          <w:spacing w:val="-2"/>
          <w:sz w:val="24"/>
        </w:rPr>
        <w:t> </w:t>
      </w:r>
      <w:r>
        <w:rPr>
          <w:sz w:val="24"/>
        </w:rPr>
        <w:t>a</w:t>
      </w:r>
      <w:r>
        <w:rPr>
          <w:spacing w:val="-3"/>
          <w:sz w:val="24"/>
        </w:rPr>
        <w:t> </w:t>
      </w:r>
      <w:r>
        <w:rPr>
          <w:sz w:val="24"/>
        </w:rPr>
        <w:t>drug</w:t>
      </w:r>
      <w:r>
        <w:rPr>
          <w:spacing w:val="-4"/>
          <w:sz w:val="24"/>
        </w:rPr>
        <w:t> </w:t>
      </w:r>
      <w:r>
        <w:rPr>
          <w:sz w:val="24"/>
        </w:rPr>
        <w:t>taken</w:t>
      </w:r>
      <w:r>
        <w:rPr>
          <w:spacing w:val="-3"/>
          <w:sz w:val="24"/>
        </w:rPr>
        <w:t> </w:t>
      </w:r>
      <w:r>
        <w:rPr>
          <w:sz w:val="24"/>
        </w:rPr>
        <w:t>under</w:t>
      </w:r>
      <w:r>
        <w:rPr>
          <w:spacing w:val="-2"/>
          <w:sz w:val="24"/>
        </w:rPr>
        <w:t> </w:t>
      </w:r>
      <w:r>
        <w:rPr>
          <w:sz w:val="24"/>
        </w:rPr>
        <w:t>the</w:t>
      </w:r>
      <w:r>
        <w:rPr>
          <w:spacing w:val="-3"/>
          <w:sz w:val="24"/>
        </w:rPr>
        <w:t> </w:t>
      </w:r>
      <w:r>
        <w:rPr>
          <w:sz w:val="24"/>
        </w:rPr>
        <w:t>supervision</w:t>
      </w:r>
      <w:r>
        <w:rPr>
          <w:spacing w:val="-3"/>
          <w:sz w:val="24"/>
        </w:rPr>
        <w:t> </w:t>
      </w:r>
      <w:r>
        <w:rPr>
          <w:sz w:val="24"/>
        </w:rPr>
        <w:t>of</w:t>
      </w:r>
      <w:r>
        <w:rPr>
          <w:spacing w:val="-2"/>
          <w:sz w:val="24"/>
        </w:rPr>
        <w:t> </w:t>
      </w:r>
      <w:r>
        <w:rPr>
          <w:sz w:val="24"/>
        </w:rPr>
        <w:t>a licensed health care professional, or other uses authorized by the Controlled Substances Act or other provisions of federal law.</w:t>
      </w:r>
    </w:p>
    <w:p>
      <w:pPr>
        <w:pStyle w:val="ListParagraph"/>
        <w:numPr>
          <w:ilvl w:val="0"/>
          <w:numId w:val="40"/>
        </w:numPr>
        <w:tabs>
          <w:tab w:pos="786" w:val="left" w:leader="none"/>
        </w:tabs>
        <w:spacing w:line="208" w:lineRule="auto" w:before="239" w:after="0"/>
        <w:ind w:left="360" w:right="920" w:firstLine="0"/>
        <w:jc w:val="left"/>
        <w:rPr>
          <w:sz w:val="24"/>
        </w:rPr>
      </w:pPr>
      <w:r>
        <w:rPr>
          <w:sz w:val="24"/>
        </w:rPr>
        <w:t>The</w:t>
      </w:r>
      <w:r>
        <w:rPr>
          <w:spacing w:val="-5"/>
          <w:sz w:val="24"/>
        </w:rPr>
        <w:t> </w:t>
      </w:r>
      <w:r>
        <w:rPr>
          <w:sz w:val="24"/>
        </w:rPr>
        <w:t>terms</w:t>
      </w:r>
      <w:r>
        <w:rPr>
          <w:spacing w:val="-4"/>
          <w:sz w:val="24"/>
        </w:rPr>
        <w:t> </w:t>
      </w:r>
      <w:r>
        <w:rPr>
          <w:sz w:val="24"/>
        </w:rPr>
        <w:t>"disability"</w:t>
      </w:r>
      <w:r>
        <w:rPr>
          <w:spacing w:val="-4"/>
          <w:sz w:val="24"/>
        </w:rPr>
        <w:t> </w:t>
      </w:r>
      <w:r>
        <w:rPr>
          <w:sz w:val="24"/>
        </w:rPr>
        <w:t>and</w:t>
      </w:r>
      <w:r>
        <w:rPr>
          <w:spacing w:val="-4"/>
          <w:sz w:val="24"/>
        </w:rPr>
        <w:t> </w:t>
      </w:r>
      <w:r>
        <w:rPr>
          <w:sz w:val="24"/>
        </w:rPr>
        <w:t>"qualified</w:t>
      </w:r>
      <w:r>
        <w:rPr>
          <w:spacing w:val="-4"/>
          <w:sz w:val="24"/>
        </w:rPr>
        <w:t> </w:t>
      </w:r>
      <w:r>
        <w:rPr>
          <w:sz w:val="24"/>
        </w:rPr>
        <w:t>individual</w:t>
      </w:r>
      <w:r>
        <w:rPr>
          <w:spacing w:val="-4"/>
          <w:sz w:val="24"/>
        </w:rPr>
        <w:t> </w:t>
      </w:r>
      <w:r>
        <w:rPr>
          <w:sz w:val="24"/>
        </w:rPr>
        <w:t>with</w:t>
      </w:r>
      <w:r>
        <w:rPr>
          <w:spacing w:val="-4"/>
          <w:sz w:val="24"/>
        </w:rPr>
        <w:t> </w:t>
      </w:r>
      <w:r>
        <w:rPr>
          <w:sz w:val="24"/>
        </w:rPr>
        <w:t>a</w:t>
      </w:r>
      <w:r>
        <w:rPr>
          <w:spacing w:val="-3"/>
          <w:sz w:val="24"/>
        </w:rPr>
        <w:t> </w:t>
      </w:r>
      <w:r>
        <w:rPr>
          <w:sz w:val="24"/>
        </w:rPr>
        <w:t>disability"</w:t>
      </w:r>
      <w:r>
        <w:rPr>
          <w:spacing w:val="-4"/>
          <w:sz w:val="24"/>
        </w:rPr>
        <w:t> </w:t>
      </w:r>
      <w:r>
        <w:rPr>
          <w:sz w:val="24"/>
        </w:rPr>
        <w:t>may</w:t>
      </w:r>
      <w:r>
        <w:rPr>
          <w:spacing w:val="-4"/>
          <w:sz w:val="24"/>
        </w:rPr>
        <w:t> </w:t>
      </w:r>
      <w:r>
        <w:rPr>
          <w:sz w:val="24"/>
        </w:rPr>
        <w:t>not</w:t>
      </w:r>
      <w:r>
        <w:rPr>
          <w:spacing w:val="-4"/>
          <w:sz w:val="24"/>
        </w:rPr>
        <w:t> </w:t>
      </w:r>
      <w:r>
        <w:rPr>
          <w:sz w:val="24"/>
        </w:rPr>
        <w:t>exclude</w:t>
      </w:r>
      <w:r>
        <w:rPr>
          <w:spacing w:val="-4"/>
          <w:sz w:val="24"/>
        </w:rPr>
        <w:t> </w:t>
      </w:r>
      <w:r>
        <w:rPr>
          <w:sz w:val="24"/>
        </w:rPr>
        <w:t>an individual who:</w:t>
      </w:r>
    </w:p>
    <w:p>
      <w:pPr>
        <w:pStyle w:val="ListParagraph"/>
        <w:numPr>
          <w:ilvl w:val="1"/>
          <w:numId w:val="40"/>
        </w:numPr>
        <w:tabs>
          <w:tab w:pos="1217" w:val="left" w:leader="none"/>
        </w:tabs>
        <w:spacing w:line="208" w:lineRule="auto" w:before="240" w:after="0"/>
        <w:ind w:left="791" w:right="893" w:firstLine="0"/>
        <w:jc w:val="left"/>
        <w:rPr>
          <w:sz w:val="24"/>
        </w:rPr>
      </w:pPr>
      <w:r>
        <w:rPr>
          <w:sz w:val="24"/>
        </w:rPr>
        <w:t>has</w:t>
      </w:r>
      <w:r>
        <w:rPr>
          <w:spacing w:val="-4"/>
          <w:sz w:val="24"/>
        </w:rPr>
        <w:t> </w:t>
      </w:r>
      <w:r>
        <w:rPr>
          <w:sz w:val="24"/>
        </w:rPr>
        <w:t>successfully</w:t>
      </w:r>
      <w:r>
        <w:rPr>
          <w:spacing w:val="-4"/>
          <w:sz w:val="24"/>
        </w:rPr>
        <w:t> </w:t>
      </w:r>
      <w:r>
        <w:rPr>
          <w:sz w:val="24"/>
        </w:rPr>
        <w:t>completed</w:t>
      </w:r>
      <w:r>
        <w:rPr>
          <w:spacing w:val="-4"/>
          <w:sz w:val="24"/>
        </w:rPr>
        <w:t> </w:t>
      </w:r>
      <w:r>
        <w:rPr>
          <w:sz w:val="24"/>
        </w:rPr>
        <w:t>a</w:t>
      </w:r>
      <w:r>
        <w:rPr>
          <w:spacing w:val="-3"/>
          <w:sz w:val="24"/>
        </w:rPr>
        <w:t> </w:t>
      </w:r>
      <w:r>
        <w:rPr>
          <w:sz w:val="24"/>
        </w:rPr>
        <w:t>supervised</w:t>
      </w:r>
      <w:r>
        <w:rPr>
          <w:spacing w:val="-3"/>
          <w:sz w:val="24"/>
        </w:rPr>
        <w:t> </w:t>
      </w:r>
      <w:r>
        <w:rPr>
          <w:sz w:val="24"/>
        </w:rPr>
        <w:t>drug</w:t>
      </w:r>
      <w:r>
        <w:rPr>
          <w:spacing w:val="-4"/>
          <w:sz w:val="24"/>
        </w:rPr>
        <w:t> </w:t>
      </w:r>
      <w:r>
        <w:rPr>
          <w:sz w:val="24"/>
        </w:rPr>
        <w:t>rehabilitation</w:t>
      </w:r>
      <w:r>
        <w:rPr>
          <w:spacing w:val="-4"/>
          <w:sz w:val="24"/>
        </w:rPr>
        <w:t> </w:t>
      </w:r>
      <w:r>
        <w:rPr>
          <w:sz w:val="24"/>
        </w:rPr>
        <w:t>program</w:t>
      </w:r>
      <w:r>
        <w:rPr>
          <w:spacing w:val="-3"/>
          <w:sz w:val="24"/>
        </w:rPr>
        <w:t> </w:t>
      </w:r>
      <w:r>
        <w:rPr>
          <w:sz w:val="24"/>
        </w:rPr>
        <w:t>and</w:t>
      </w:r>
      <w:r>
        <w:rPr>
          <w:spacing w:val="-4"/>
          <w:sz w:val="24"/>
        </w:rPr>
        <w:t> </w:t>
      </w:r>
      <w:r>
        <w:rPr>
          <w:sz w:val="24"/>
        </w:rPr>
        <w:t>is</w:t>
      </w:r>
      <w:r>
        <w:rPr>
          <w:spacing w:val="-4"/>
          <w:sz w:val="24"/>
        </w:rPr>
        <w:t> </w:t>
      </w:r>
      <w:r>
        <w:rPr>
          <w:sz w:val="24"/>
        </w:rPr>
        <w:t>no longer engaging in the illegal use of drugs, or has otherwise been rehabilitated successfully and is no longer engaging in the illegal use of drugs; or</w:t>
      </w:r>
    </w:p>
    <w:p>
      <w:pPr>
        <w:pStyle w:val="ListParagraph"/>
        <w:numPr>
          <w:ilvl w:val="1"/>
          <w:numId w:val="40"/>
        </w:numPr>
        <w:tabs>
          <w:tab w:pos="1217" w:val="left" w:leader="none"/>
        </w:tabs>
        <w:spacing w:line="208" w:lineRule="auto" w:before="240" w:after="0"/>
        <w:ind w:left="791" w:right="786" w:firstLine="0"/>
        <w:jc w:val="left"/>
        <w:rPr>
          <w:sz w:val="24"/>
        </w:rPr>
      </w:pPr>
      <w:r>
        <w:rPr>
          <w:sz w:val="24"/>
        </w:rPr>
        <w:t>is</w:t>
      </w:r>
      <w:r>
        <w:rPr>
          <w:spacing w:val="-4"/>
          <w:sz w:val="24"/>
        </w:rPr>
        <w:t> </w:t>
      </w:r>
      <w:r>
        <w:rPr>
          <w:sz w:val="24"/>
        </w:rPr>
        <w:t>participating</w:t>
      </w:r>
      <w:r>
        <w:rPr>
          <w:spacing w:val="-4"/>
          <w:sz w:val="24"/>
        </w:rPr>
        <w:t> </w:t>
      </w:r>
      <w:r>
        <w:rPr>
          <w:sz w:val="24"/>
        </w:rPr>
        <w:t>in</w:t>
      </w:r>
      <w:r>
        <w:rPr>
          <w:spacing w:val="-4"/>
          <w:sz w:val="24"/>
        </w:rPr>
        <w:t> </w:t>
      </w:r>
      <w:r>
        <w:rPr>
          <w:sz w:val="24"/>
        </w:rPr>
        <w:t>a</w:t>
      </w:r>
      <w:r>
        <w:rPr>
          <w:spacing w:val="-4"/>
          <w:sz w:val="24"/>
        </w:rPr>
        <w:t> </w:t>
      </w:r>
      <w:r>
        <w:rPr>
          <w:sz w:val="24"/>
        </w:rPr>
        <w:t>supervised</w:t>
      </w:r>
      <w:r>
        <w:rPr>
          <w:spacing w:val="-4"/>
          <w:sz w:val="24"/>
        </w:rPr>
        <w:t> </w:t>
      </w:r>
      <w:r>
        <w:rPr>
          <w:sz w:val="24"/>
        </w:rPr>
        <w:t>rehabilitation</w:t>
      </w:r>
      <w:r>
        <w:rPr>
          <w:spacing w:val="-4"/>
          <w:sz w:val="24"/>
        </w:rPr>
        <w:t> </w:t>
      </w:r>
      <w:r>
        <w:rPr>
          <w:sz w:val="24"/>
        </w:rPr>
        <w:t>program</w:t>
      </w:r>
      <w:r>
        <w:rPr>
          <w:spacing w:val="-3"/>
          <w:sz w:val="24"/>
        </w:rPr>
        <w:t> </w:t>
      </w:r>
      <w:r>
        <w:rPr>
          <w:sz w:val="24"/>
        </w:rPr>
        <w:t>and</w:t>
      </w:r>
      <w:r>
        <w:rPr>
          <w:spacing w:val="-4"/>
          <w:sz w:val="24"/>
        </w:rPr>
        <w:t> </w:t>
      </w:r>
      <w:r>
        <w:rPr>
          <w:sz w:val="24"/>
        </w:rPr>
        <w:t>is</w:t>
      </w:r>
      <w:r>
        <w:rPr>
          <w:spacing w:val="-4"/>
          <w:sz w:val="24"/>
        </w:rPr>
        <w:t> </w:t>
      </w:r>
      <w:r>
        <w:rPr>
          <w:sz w:val="24"/>
        </w:rPr>
        <w:t>no</w:t>
      </w:r>
      <w:r>
        <w:rPr>
          <w:spacing w:val="-4"/>
          <w:sz w:val="24"/>
        </w:rPr>
        <w:t> </w:t>
      </w:r>
      <w:r>
        <w:rPr>
          <w:sz w:val="24"/>
        </w:rPr>
        <w:t>longer</w:t>
      </w:r>
      <w:r>
        <w:rPr>
          <w:spacing w:val="-3"/>
          <w:sz w:val="24"/>
        </w:rPr>
        <w:t> </w:t>
      </w:r>
      <w:r>
        <w:rPr>
          <w:sz w:val="24"/>
        </w:rPr>
        <w:t>engaging in such use; or</w:t>
      </w:r>
    </w:p>
    <w:p>
      <w:pPr>
        <w:pStyle w:val="ListParagraph"/>
        <w:numPr>
          <w:ilvl w:val="1"/>
          <w:numId w:val="40"/>
        </w:numPr>
        <w:tabs>
          <w:tab w:pos="1217" w:val="left" w:leader="none"/>
        </w:tabs>
        <w:spacing w:line="208" w:lineRule="auto" w:before="240" w:after="0"/>
        <w:ind w:left="791" w:right="1054" w:firstLine="0"/>
        <w:jc w:val="left"/>
        <w:rPr>
          <w:sz w:val="24"/>
        </w:rPr>
      </w:pPr>
      <w:r>
        <w:rPr>
          <w:sz w:val="24"/>
        </w:rPr>
        <w:t>is</w:t>
      </w:r>
      <w:r>
        <w:rPr>
          <w:spacing w:val="-4"/>
          <w:sz w:val="24"/>
        </w:rPr>
        <w:t> </w:t>
      </w:r>
      <w:r>
        <w:rPr>
          <w:sz w:val="24"/>
        </w:rPr>
        <w:t>erroneously</w:t>
      </w:r>
      <w:r>
        <w:rPr>
          <w:spacing w:val="-4"/>
          <w:sz w:val="24"/>
        </w:rPr>
        <w:t> </w:t>
      </w:r>
      <w:r>
        <w:rPr>
          <w:sz w:val="24"/>
        </w:rPr>
        <w:t>regarded</w:t>
      </w:r>
      <w:r>
        <w:rPr>
          <w:spacing w:val="-4"/>
          <w:sz w:val="24"/>
        </w:rPr>
        <w:t> </w:t>
      </w:r>
      <w:r>
        <w:rPr>
          <w:sz w:val="24"/>
        </w:rPr>
        <w:t>as</w:t>
      </w:r>
      <w:r>
        <w:rPr>
          <w:spacing w:val="-4"/>
          <w:sz w:val="24"/>
        </w:rPr>
        <w:t> </w:t>
      </w:r>
      <w:r>
        <w:rPr>
          <w:sz w:val="24"/>
        </w:rPr>
        <w:t>engaging</w:t>
      </w:r>
      <w:r>
        <w:rPr>
          <w:spacing w:val="-4"/>
          <w:sz w:val="24"/>
        </w:rPr>
        <w:t> </w:t>
      </w:r>
      <w:r>
        <w:rPr>
          <w:sz w:val="24"/>
        </w:rPr>
        <w:t>in</w:t>
      </w:r>
      <w:r>
        <w:rPr>
          <w:spacing w:val="-3"/>
          <w:sz w:val="24"/>
        </w:rPr>
        <w:t> </w:t>
      </w:r>
      <w:r>
        <w:rPr>
          <w:sz w:val="24"/>
        </w:rPr>
        <w:t>such</w:t>
      </w:r>
      <w:r>
        <w:rPr>
          <w:spacing w:val="-4"/>
          <w:sz w:val="24"/>
        </w:rPr>
        <w:t> </w:t>
      </w:r>
      <w:r>
        <w:rPr>
          <w:sz w:val="24"/>
        </w:rPr>
        <w:t>use,</w:t>
      </w:r>
      <w:r>
        <w:rPr>
          <w:spacing w:val="-3"/>
          <w:sz w:val="24"/>
        </w:rPr>
        <w:t> </w:t>
      </w:r>
      <w:r>
        <w:rPr>
          <w:sz w:val="24"/>
        </w:rPr>
        <w:t>but</w:t>
      </w:r>
      <w:r>
        <w:rPr>
          <w:spacing w:val="-3"/>
          <w:sz w:val="24"/>
        </w:rPr>
        <w:t> </w:t>
      </w:r>
      <w:r>
        <w:rPr>
          <w:sz w:val="24"/>
        </w:rPr>
        <w:t>is</w:t>
      </w:r>
      <w:r>
        <w:rPr>
          <w:spacing w:val="-4"/>
          <w:sz w:val="24"/>
        </w:rPr>
        <w:t> </w:t>
      </w:r>
      <w:r>
        <w:rPr>
          <w:sz w:val="24"/>
        </w:rPr>
        <w:t>not</w:t>
      </w:r>
      <w:r>
        <w:rPr>
          <w:spacing w:val="-3"/>
          <w:sz w:val="24"/>
        </w:rPr>
        <w:t> </w:t>
      </w:r>
      <w:r>
        <w:rPr>
          <w:sz w:val="24"/>
        </w:rPr>
        <w:t>engaging</w:t>
      </w:r>
      <w:r>
        <w:rPr>
          <w:spacing w:val="-4"/>
          <w:sz w:val="24"/>
        </w:rPr>
        <w:t> </w:t>
      </w:r>
      <w:r>
        <w:rPr>
          <w:sz w:val="24"/>
        </w:rPr>
        <w:t>in</w:t>
      </w:r>
      <w:r>
        <w:rPr>
          <w:spacing w:val="-4"/>
          <w:sz w:val="24"/>
        </w:rPr>
        <w:t> </w:t>
      </w:r>
      <w:r>
        <w:rPr>
          <w:sz w:val="24"/>
        </w:rPr>
        <w:t>such </w:t>
      </w:r>
      <w:r>
        <w:rPr>
          <w:spacing w:val="-4"/>
          <w:sz w:val="24"/>
        </w:rPr>
        <w:t>use.</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pPr>
      <w:bookmarkStart w:name="612:1-11-58.  Retaliation or coercion" w:id="44"/>
      <w:bookmarkEnd w:id="44"/>
      <w:r>
        <w:rPr>
          <w:b w:val="0"/>
        </w:rPr>
      </w:r>
      <w:r>
        <w:rPr/>
        <w:t>612:1-11-58.</w:t>
      </w:r>
      <w:r>
        <w:rPr>
          <w:spacing w:val="59"/>
        </w:rPr>
        <w:t> </w:t>
      </w:r>
      <w:r>
        <w:rPr/>
        <w:t>Retaliation</w:t>
      </w:r>
      <w:r>
        <w:rPr>
          <w:spacing w:val="-4"/>
        </w:rPr>
        <w:t> </w:t>
      </w:r>
      <w:r>
        <w:rPr/>
        <w:t>or</w:t>
      </w:r>
      <w:r>
        <w:rPr>
          <w:spacing w:val="-4"/>
        </w:rPr>
        <w:t> </w:t>
      </w:r>
      <w:r>
        <w:rPr>
          <w:spacing w:val="-2"/>
        </w:rPr>
        <w:t>coercion</w:t>
      </w:r>
    </w:p>
    <w:p>
      <w:pPr>
        <w:pStyle w:val="BodyText"/>
        <w:spacing w:line="208" w:lineRule="auto" w:before="233"/>
        <w:ind w:right="775" w:firstLine="432"/>
      </w:pPr>
      <w:r>
        <w:rPr/>
        <w:t>Individuals who exercise their rights under the ADA, or who assist others in exercising their rights, are protected from retaliation or coercion. Prohibited activities include</w:t>
      </w:r>
      <w:r>
        <w:rPr>
          <w:spacing w:val="-4"/>
        </w:rPr>
        <w:t> </w:t>
      </w:r>
      <w:r>
        <w:rPr/>
        <w:t>harassment,</w:t>
      </w:r>
      <w:r>
        <w:rPr>
          <w:spacing w:val="-3"/>
        </w:rPr>
        <w:t> </w:t>
      </w:r>
      <w:r>
        <w:rPr/>
        <w:t>threats,</w:t>
      </w:r>
      <w:r>
        <w:rPr>
          <w:spacing w:val="-3"/>
        </w:rPr>
        <w:t> </w:t>
      </w:r>
      <w:r>
        <w:rPr/>
        <w:t>intimidation,</w:t>
      </w:r>
      <w:r>
        <w:rPr>
          <w:spacing w:val="-3"/>
        </w:rPr>
        <w:t> </w:t>
      </w:r>
      <w:r>
        <w:rPr/>
        <w:t>or</w:t>
      </w:r>
      <w:r>
        <w:rPr>
          <w:spacing w:val="-3"/>
        </w:rPr>
        <w:t> </w:t>
      </w:r>
      <w:r>
        <w:rPr/>
        <w:t>interference</w:t>
      </w:r>
      <w:r>
        <w:rPr>
          <w:spacing w:val="-4"/>
        </w:rPr>
        <w:t> </w:t>
      </w:r>
      <w:r>
        <w:rPr/>
        <w:t>in</w:t>
      </w:r>
      <w:r>
        <w:rPr>
          <w:spacing w:val="-4"/>
        </w:rPr>
        <w:t> </w:t>
      </w:r>
      <w:r>
        <w:rPr/>
        <w:t>the</w:t>
      </w:r>
      <w:r>
        <w:rPr>
          <w:spacing w:val="-4"/>
        </w:rPr>
        <w:t> </w:t>
      </w:r>
      <w:r>
        <w:rPr/>
        <w:t>exercise</w:t>
      </w:r>
      <w:r>
        <w:rPr>
          <w:spacing w:val="-4"/>
        </w:rPr>
        <w:t> </w:t>
      </w:r>
      <w:r>
        <w:rPr/>
        <w:t>of</w:t>
      </w:r>
      <w:r>
        <w:rPr>
          <w:spacing w:val="-3"/>
        </w:rPr>
        <w:t> </w:t>
      </w:r>
      <w:r>
        <w:rPr/>
        <w:t>rights</w:t>
      </w:r>
      <w:r>
        <w:rPr>
          <w:spacing w:val="-4"/>
        </w:rPr>
        <w:t> </w:t>
      </w:r>
      <w:r>
        <w:rPr/>
        <w:t>under the law.</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1"/>
        <w:spacing w:line="208" w:lineRule="auto" w:before="96"/>
        <w:ind w:left="1912" w:right="0" w:hanging="1547"/>
        <w:jc w:val="left"/>
      </w:pPr>
      <w:bookmarkStart w:name="SUBCHAPTER 13. CIVIL RIGHTS AND NONDISCR" w:id="45"/>
      <w:bookmarkEnd w:id="45"/>
      <w:r>
        <w:rPr>
          <w:b w:val="0"/>
        </w:rPr>
      </w:r>
      <w:r>
        <w:rPr/>
        <w:t>SUBCHAPTER</w:t>
      </w:r>
      <w:r>
        <w:rPr>
          <w:spacing w:val="-4"/>
        </w:rPr>
        <w:t> </w:t>
      </w:r>
      <w:r>
        <w:rPr/>
        <w:t>13.</w:t>
      </w:r>
      <w:r>
        <w:rPr>
          <w:spacing w:val="-3"/>
        </w:rPr>
        <w:t> </w:t>
      </w:r>
      <w:r>
        <w:rPr/>
        <w:t>CIVIL</w:t>
      </w:r>
      <w:r>
        <w:rPr>
          <w:spacing w:val="-4"/>
        </w:rPr>
        <w:t> </w:t>
      </w:r>
      <w:r>
        <w:rPr/>
        <w:t>RIGHTS</w:t>
      </w:r>
      <w:r>
        <w:rPr>
          <w:spacing w:val="-4"/>
        </w:rPr>
        <w:t> </w:t>
      </w:r>
      <w:r>
        <w:rPr/>
        <w:t>AND</w:t>
      </w:r>
      <w:r>
        <w:rPr>
          <w:spacing w:val="-4"/>
        </w:rPr>
        <w:t> </w:t>
      </w:r>
      <w:r>
        <w:rPr/>
        <w:t>NONDISCRIMINATION</w:t>
      </w:r>
      <w:r>
        <w:rPr>
          <w:spacing w:val="-6"/>
        </w:rPr>
        <w:t> </w:t>
      </w:r>
      <w:r>
        <w:rPr/>
        <w:t>ON</w:t>
      </w:r>
      <w:r>
        <w:rPr>
          <w:spacing w:val="-4"/>
        </w:rPr>
        <w:t> </w:t>
      </w:r>
      <w:r>
        <w:rPr/>
        <w:t>BASIS</w:t>
      </w:r>
      <w:r>
        <w:rPr>
          <w:spacing w:val="-6"/>
        </w:rPr>
        <w:t> </w:t>
      </w:r>
      <w:r>
        <w:rPr/>
        <w:t>OF</w:t>
      </w:r>
      <w:r>
        <w:rPr>
          <w:spacing w:val="-4"/>
        </w:rPr>
        <w:t> </w:t>
      </w:r>
      <w:r>
        <w:rPr/>
        <w:t>RACE, COLOR, NATIONAL ORIGIN, SEX, AGE OR DISABILITY</w:t>
      </w:r>
    </w:p>
    <w:p>
      <w:pPr>
        <w:pStyle w:val="BodyText"/>
        <w:spacing w:before="210"/>
      </w:pPr>
      <w:r>
        <w:rPr>
          <w:spacing w:val="-2"/>
        </w:rPr>
        <w:t>Section</w:t>
      </w:r>
    </w:p>
    <w:p>
      <w:pPr>
        <w:pStyle w:val="BodyText"/>
        <w:tabs>
          <w:tab w:pos="2519" w:val="left" w:leader="none"/>
        </w:tabs>
        <w:spacing w:before="204"/>
      </w:pPr>
      <w:r>
        <w:rPr>
          <w:spacing w:val="-2"/>
        </w:rPr>
        <w:t>612:1-13-</w:t>
      </w:r>
      <w:r>
        <w:rPr>
          <w:spacing w:val="-5"/>
        </w:rPr>
        <w:t>1.</w:t>
      </w:r>
      <w:r>
        <w:rPr/>
        <w:tab/>
        <w:t>Statement</w:t>
      </w:r>
      <w:r>
        <w:rPr>
          <w:spacing w:val="-4"/>
        </w:rPr>
        <w:t> </w:t>
      </w:r>
      <w:r>
        <w:rPr/>
        <w:t>of</w:t>
      </w:r>
      <w:r>
        <w:rPr>
          <w:spacing w:val="-2"/>
        </w:rPr>
        <w:t> Compliance</w:t>
      </w:r>
    </w:p>
    <w:p>
      <w:pPr>
        <w:pStyle w:val="BodyText"/>
        <w:tabs>
          <w:tab w:pos="2519" w:val="left" w:leader="none"/>
        </w:tabs>
        <w:spacing w:line="417" w:lineRule="auto" w:before="204"/>
        <w:ind w:right="2785"/>
      </w:pPr>
      <w:r>
        <w:rPr>
          <w:spacing w:val="-2"/>
        </w:rPr>
        <w:t>612:1-13-2.</w:t>
      </w:r>
      <w:r>
        <w:rPr/>
        <w:tab/>
        <w:t>Practices</w:t>
      </w:r>
      <w:r>
        <w:rPr>
          <w:spacing w:val="-10"/>
        </w:rPr>
        <w:t> </w:t>
      </w:r>
      <w:r>
        <w:rPr/>
        <w:t>prohibited</w:t>
      </w:r>
      <w:r>
        <w:rPr>
          <w:spacing w:val="-10"/>
        </w:rPr>
        <w:t> </w:t>
      </w:r>
      <w:r>
        <w:rPr/>
        <w:t>"individuals</w:t>
      </w:r>
      <w:r>
        <w:rPr>
          <w:spacing w:val="-9"/>
        </w:rPr>
        <w:t> </w:t>
      </w:r>
      <w:r>
        <w:rPr/>
        <w:t>with</w:t>
      </w:r>
      <w:r>
        <w:rPr>
          <w:spacing w:val="-10"/>
        </w:rPr>
        <w:t> </w:t>
      </w:r>
      <w:r>
        <w:rPr/>
        <w:t>disabilities" </w:t>
      </w:r>
      <w:r>
        <w:rPr>
          <w:spacing w:val="-2"/>
        </w:rPr>
        <w:t>612:1-13-3.</w:t>
      </w:r>
      <w:r>
        <w:rPr/>
        <w:tab/>
        <w:t>Administration of programs</w:t>
      </w:r>
    </w:p>
    <w:p>
      <w:pPr>
        <w:pStyle w:val="BodyText"/>
        <w:tabs>
          <w:tab w:pos="2519" w:val="left" w:leader="none"/>
        </w:tabs>
        <w:spacing w:line="276" w:lineRule="exact" w:before="0"/>
      </w:pPr>
      <w:r>
        <w:rPr>
          <w:spacing w:val="-2"/>
        </w:rPr>
        <w:t>612:1-13-</w:t>
      </w:r>
      <w:r>
        <w:rPr>
          <w:spacing w:val="-5"/>
        </w:rPr>
        <w:t>4.</w:t>
      </w:r>
      <w:r>
        <w:rPr/>
        <w:tab/>
        <w:t>Dissemination</w:t>
      </w:r>
      <w:r>
        <w:rPr>
          <w:spacing w:val="-6"/>
        </w:rPr>
        <w:t> </w:t>
      </w:r>
      <w:r>
        <w:rPr/>
        <w:t>of</w:t>
      </w:r>
      <w:r>
        <w:rPr>
          <w:spacing w:val="-3"/>
        </w:rPr>
        <w:t> </w:t>
      </w:r>
      <w:r>
        <w:rPr>
          <w:spacing w:val="-2"/>
        </w:rPr>
        <w:t>rules</w:t>
      </w:r>
    </w:p>
    <w:p>
      <w:pPr>
        <w:pStyle w:val="BodyText"/>
        <w:tabs>
          <w:tab w:pos="2519" w:val="left" w:leader="none"/>
        </w:tabs>
        <w:spacing w:before="204"/>
        <w:ind w:left="359"/>
      </w:pPr>
      <w:r>
        <w:rPr>
          <w:spacing w:val="-2"/>
        </w:rPr>
        <w:t>612:1-13-</w:t>
      </w:r>
      <w:r>
        <w:rPr>
          <w:spacing w:val="-5"/>
        </w:rPr>
        <w:t>6.</w:t>
      </w:r>
      <w:r>
        <w:rPr/>
        <w:tab/>
        <w:t>Maintenance</w:t>
      </w:r>
      <w:r>
        <w:rPr>
          <w:spacing w:val="-4"/>
        </w:rPr>
        <w:t> </w:t>
      </w:r>
      <w:r>
        <w:rPr/>
        <w:t>of</w:t>
      </w:r>
      <w:r>
        <w:rPr>
          <w:spacing w:val="-2"/>
        </w:rPr>
        <w:t> </w:t>
      </w:r>
      <w:r>
        <w:rPr/>
        <w:t>racial</w:t>
      </w:r>
      <w:r>
        <w:rPr>
          <w:spacing w:val="-3"/>
        </w:rPr>
        <w:t> </w:t>
      </w:r>
      <w:r>
        <w:rPr/>
        <w:t>and</w:t>
      </w:r>
      <w:r>
        <w:rPr>
          <w:spacing w:val="-3"/>
        </w:rPr>
        <w:t> </w:t>
      </w:r>
      <w:r>
        <w:rPr/>
        <w:t>ethnic</w:t>
      </w:r>
      <w:r>
        <w:rPr>
          <w:spacing w:val="-3"/>
        </w:rPr>
        <w:t> </w:t>
      </w:r>
      <w:r>
        <w:rPr>
          <w:spacing w:val="-4"/>
        </w:rPr>
        <w:t>data</w:t>
      </w:r>
    </w:p>
    <w:p>
      <w:pPr>
        <w:pStyle w:val="BodyText"/>
        <w:tabs>
          <w:tab w:pos="2519" w:val="left" w:leader="none"/>
        </w:tabs>
        <w:spacing w:line="417" w:lineRule="auto" w:before="204"/>
        <w:ind w:left="359" w:right="2649"/>
      </w:pPr>
      <w:r>
        <w:rPr>
          <w:spacing w:val="-2"/>
        </w:rPr>
        <w:t>612:1-13-7.</w:t>
      </w:r>
      <w:r>
        <w:rPr/>
        <w:tab/>
        <w:t>Composition</w:t>
      </w:r>
      <w:r>
        <w:rPr>
          <w:spacing w:val="-8"/>
        </w:rPr>
        <w:t> </w:t>
      </w:r>
      <w:r>
        <w:rPr/>
        <w:t>of</w:t>
      </w:r>
      <w:r>
        <w:rPr>
          <w:spacing w:val="-7"/>
        </w:rPr>
        <w:t> </w:t>
      </w:r>
      <w:r>
        <w:rPr/>
        <w:t>planning</w:t>
      </w:r>
      <w:r>
        <w:rPr>
          <w:spacing w:val="-8"/>
        </w:rPr>
        <w:t> </w:t>
      </w:r>
      <w:r>
        <w:rPr/>
        <w:t>and</w:t>
      </w:r>
      <w:r>
        <w:rPr>
          <w:spacing w:val="-8"/>
        </w:rPr>
        <w:t> </w:t>
      </w:r>
      <w:r>
        <w:rPr/>
        <w:t>policymaking</w:t>
      </w:r>
      <w:r>
        <w:rPr>
          <w:spacing w:val="-8"/>
        </w:rPr>
        <w:t> </w:t>
      </w:r>
      <w:r>
        <w:rPr/>
        <w:t>bodies </w:t>
      </w:r>
      <w:r>
        <w:rPr>
          <w:spacing w:val="-2"/>
        </w:rPr>
        <w:t>612:1-13-8.</w:t>
      </w:r>
      <w:r>
        <w:rPr/>
        <w:tab/>
        <w:t>Arrangements for bilingual interpreters</w:t>
      </w:r>
    </w:p>
    <w:p>
      <w:pPr>
        <w:pStyle w:val="BodyText"/>
        <w:tabs>
          <w:tab w:pos="2519" w:val="left" w:leader="none"/>
        </w:tabs>
        <w:spacing w:line="276" w:lineRule="exact" w:before="0"/>
        <w:ind w:left="359"/>
      </w:pPr>
      <w:r>
        <w:rPr>
          <w:spacing w:val="-2"/>
        </w:rPr>
        <w:t>612:1-13-</w:t>
      </w:r>
      <w:r>
        <w:rPr>
          <w:spacing w:val="-5"/>
        </w:rPr>
        <w:t>9.</w:t>
      </w:r>
      <w:r>
        <w:rPr/>
        <w:tab/>
        <w:t>Complaint</w:t>
      </w:r>
      <w:r>
        <w:rPr>
          <w:spacing w:val="-3"/>
        </w:rPr>
        <w:t> </w:t>
      </w:r>
      <w:r>
        <w:rPr/>
        <w:t>rules</w:t>
      </w:r>
      <w:r>
        <w:rPr>
          <w:spacing w:val="-4"/>
        </w:rPr>
        <w:t> </w:t>
      </w:r>
      <w:r>
        <w:rPr/>
        <w:t>and</w:t>
      </w:r>
      <w:r>
        <w:rPr>
          <w:spacing w:val="-3"/>
        </w:rPr>
        <w:t> </w:t>
      </w:r>
      <w:r>
        <w:rPr>
          <w:spacing w:val="-2"/>
        </w:rPr>
        <w:t>procedures</w:t>
      </w:r>
    </w:p>
    <w:p>
      <w:pPr>
        <w:pStyle w:val="BodyText"/>
        <w:tabs>
          <w:tab w:pos="2519" w:val="left" w:leader="none"/>
        </w:tabs>
        <w:spacing w:line="417" w:lineRule="auto" w:before="205"/>
        <w:ind w:right="3036"/>
      </w:pPr>
      <w:r>
        <w:rPr>
          <w:spacing w:val="-2"/>
        </w:rPr>
        <w:t>612:1-13-10.</w:t>
      </w:r>
      <w:r>
        <w:rPr/>
        <w:tab/>
        <w:t>Determination of site or location of facilities </w:t>
      </w:r>
      <w:r>
        <w:rPr>
          <w:spacing w:val="-2"/>
        </w:rPr>
        <w:t>612:1-13-11.</w:t>
      </w:r>
      <w:r>
        <w:rPr/>
        <w:tab/>
        <w:t>Department</w:t>
      </w:r>
      <w:r>
        <w:rPr>
          <w:spacing w:val="-12"/>
        </w:rPr>
        <w:t> </w:t>
      </w:r>
      <w:r>
        <w:rPr/>
        <w:t>responsibility</w:t>
      </w:r>
      <w:r>
        <w:rPr>
          <w:spacing w:val="-13"/>
        </w:rPr>
        <w:t> </w:t>
      </w:r>
      <w:r>
        <w:rPr/>
        <w:t>to</w:t>
      </w:r>
      <w:r>
        <w:rPr>
          <w:spacing w:val="-13"/>
        </w:rPr>
        <w:t> </w:t>
      </w:r>
      <w:r>
        <w:rPr/>
        <w:t>vendor-recipients </w:t>
      </w:r>
      <w:r>
        <w:rPr>
          <w:spacing w:val="-2"/>
        </w:rPr>
        <w:t>612:1-13-12.</w:t>
      </w:r>
      <w:r>
        <w:rPr/>
        <w:tab/>
        <w:t>Employment practices</w:t>
      </w:r>
    </w:p>
    <w:p>
      <w:pPr>
        <w:spacing w:before="32"/>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8-27-15</w:t>
      </w:r>
      <w:r>
        <w:rPr>
          <w:sz w:val="22"/>
        </w:rPr>
        <w:tab/>
        <w:t>Revoked tagline 612:1-13-5.</w:t>
      </w:r>
    </w:p>
    <w:p>
      <w:pPr>
        <w:spacing w:after="0"/>
        <w:jc w:val="left"/>
        <w:rPr>
          <w:sz w:val="22"/>
        </w:rPr>
        <w:sectPr>
          <w:pgSz w:w="12240" w:h="15840"/>
          <w:pgMar w:top="1340" w:bottom="280" w:left="1080" w:right="720"/>
        </w:sectPr>
      </w:pPr>
    </w:p>
    <w:p>
      <w:pPr>
        <w:pStyle w:val="Heading2"/>
      </w:pPr>
      <w:bookmarkStart w:name="612:1-13-1.  Statement of Compliance" w:id="46"/>
      <w:bookmarkEnd w:id="46"/>
      <w:r>
        <w:rPr>
          <w:b w:val="0"/>
        </w:rPr>
      </w:r>
      <w:r>
        <w:rPr/>
        <w:t>612:1-13-1.</w:t>
      </w:r>
      <w:r>
        <w:rPr>
          <w:spacing w:val="60"/>
        </w:rPr>
        <w:t> </w:t>
      </w:r>
      <w:r>
        <w:rPr/>
        <w:t>Statement</w:t>
      </w:r>
      <w:r>
        <w:rPr>
          <w:spacing w:val="-3"/>
        </w:rPr>
        <w:t> </w:t>
      </w:r>
      <w:r>
        <w:rPr/>
        <w:t>of</w:t>
      </w:r>
      <w:r>
        <w:rPr>
          <w:spacing w:val="-2"/>
        </w:rPr>
        <w:t> Compliance</w:t>
      </w:r>
    </w:p>
    <w:p>
      <w:pPr>
        <w:pStyle w:val="BodyText"/>
        <w:spacing w:line="208" w:lineRule="auto" w:before="233"/>
        <w:ind w:right="775" w:firstLine="432"/>
      </w:pPr>
      <w:r>
        <w:rPr/>
        <w:t>The Department of Rehabilitation Services will administer its programs and will conduct its business, either directly, indirectly or through contractual or other arrangements,</w:t>
      </w:r>
      <w:r>
        <w:rPr>
          <w:spacing w:val="-2"/>
        </w:rPr>
        <w:t> </w:t>
      </w:r>
      <w:r>
        <w:rPr/>
        <w:t>in</w:t>
      </w:r>
      <w:r>
        <w:rPr>
          <w:spacing w:val="-3"/>
        </w:rPr>
        <w:t> </w:t>
      </w:r>
      <w:r>
        <w:rPr/>
        <w:t>accordance</w:t>
      </w:r>
      <w:r>
        <w:rPr>
          <w:spacing w:val="-3"/>
        </w:rPr>
        <w:t> </w:t>
      </w:r>
      <w:r>
        <w:rPr/>
        <w:t>with</w:t>
      </w:r>
      <w:r>
        <w:rPr>
          <w:spacing w:val="-2"/>
        </w:rPr>
        <w:t> </w:t>
      </w:r>
      <w:r>
        <w:rPr/>
        <w:t>Title</w:t>
      </w:r>
      <w:r>
        <w:rPr>
          <w:spacing w:val="-3"/>
        </w:rPr>
        <w:t> </w:t>
      </w:r>
      <w:r>
        <w:rPr/>
        <w:t>VI</w:t>
      </w:r>
      <w:r>
        <w:rPr>
          <w:spacing w:val="-2"/>
        </w:rPr>
        <w:t> </w:t>
      </w:r>
      <w:r>
        <w:rPr/>
        <w:t>of</w:t>
      </w:r>
      <w:r>
        <w:rPr>
          <w:spacing w:val="-4"/>
        </w:rPr>
        <w:t> </w:t>
      </w:r>
      <w:r>
        <w:rPr/>
        <w:t>the</w:t>
      </w:r>
      <w:r>
        <w:rPr>
          <w:spacing w:val="-3"/>
        </w:rPr>
        <w:t> </w:t>
      </w:r>
      <w:r>
        <w:rPr/>
        <w:t>Civil</w:t>
      </w:r>
      <w:r>
        <w:rPr>
          <w:spacing w:val="-3"/>
        </w:rPr>
        <w:t> </w:t>
      </w:r>
      <w:r>
        <w:rPr/>
        <w:t>Rights</w:t>
      </w:r>
      <w:r>
        <w:rPr>
          <w:spacing w:val="-3"/>
        </w:rPr>
        <w:t> </w:t>
      </w:r>
      <w:r>
        <w:rPr/>
        <w:t>Acts</w:t>
      </w:r>
      <w:r>
        <w:rPr>
          <w:spacing w:val="-3"/>
        </w:rPr>
        <w:t> </w:t>
      </w:r>
      <w:r>
        <w:rPr/>
        <w:t>of</w:t>
      </w:r>
      <w:r>
        <w:rPr>
          <w:spacing w:val="-5"/>
        </w:rPr>
        <w:t> </w:t>
      </w:r>
      <w:r>
        <w:rPr/>
        <w:t>1964</w:t>
      </w:r>
      <w:r>
        <w:rPr>
          <w:spacing w:val="-3"/>
        </w:rPr>
        <w:t> </w:t>
      </w:r>
      <w:r>
        <w:rPr/>
        <w:t>and</w:t>
      </w:r>
      <w:r>
        <w:rPr>
          <w:spacing w:val="-3"/>
        </w:rPr>
        <w:t> </w:t>
      </w:r>
      <w:r>
        <w:rPr/>
        <w:t>1991</w:t>
      </w:r>
      <w:r>
        <w:rPr>
          <w:spacing w:val="-3"/>
        </w:rPr>
        <w:t> </w:t>
      </w:r>
      <w:r>
        <w:rPr/>
        <w:t>[42</w:t>
      </w:r>
    </w:p>
    <w:p>
      <w:pPr>
        <w:pStyle w:val="BodyText"/>
        <w:spacing w:line="208" w:lineRule="auto" w:before="0"/>
        <w:ind w:right="775"/>
      </w:pPr>
      <w:r>
        <w:rPr/>
        <w:t>U.S.C. 2000 et.seq., hereinafter referred to as Title VI]; Title 45, Code of Federal Regulations,</w:t>
      </w:r>
      <w:r>
        <w:rPr>
          <w:spacing w:val="-2"/>
        </w:rPr>
        <w:t> </w:t>
      </w:r>
      <w:r>
        <w:rPr/>
        <w:t>Part</w:t>
      </w:r>
      <w:r>
        <w:rPr>
          <w:spacing w:val="-4"/>
        </w:rPr>
        <w:t> </w:t>
      </w:r>
      <w:r>
        <w:rPr/>
        <w:t>80;</w:t>
      </w:r>
      <w:r>
        <w:rPr>
          <w:spacing w:val="-4"/>
        </w:rPr>
        <w:t> </w:t>
      </w:r>
      <w:r>
        <w:rPr/>
        <w:t>and</w:t>
      </w:r>
      <w:r>
        <w:rPr>
          <w:spacing w:val="-3"/>
        </w:rPr>
        <w:t> </w:t>
      </w:r>
      <w:r>
        <w:rPr/>
        <w:t>Section</w:t>
      </w:r>
      <w:r>
        <w:rPr>
          <w:spacing w:val="-3"/>
        </w:rPr>
        <w:t> </w:t>
      </w:r>
      <w:r>
        <w:rPr/>
        <w:t>504</w:t>
      </w:r>
      <w:r>
        <w:rPr>
          <w:spacing w:val="-3"/>
        </w:rPr>
        <w:t> </w:t>
      </w:r>
      <w:r>
        <w:rPr/>
        <w:t>of</w:t>
      </w:r>
      <w:r>
        <w:rPr>
          <w:spacing w:val="-2"/>
        </w:rPr>
        <w:t> </w:t>
      </w:r>
      <w:r>
        <w:rPr/>
        <w:t>the</w:t>
      </w:r>
      <w:r>
        <w:rPr>
          <w:spacing w:val="-3"/>
        </w:rPr>
        <w:t> </w:t>
      </w:r>
      <w:r>
        <w:rPr/>
        <w:t>Rehabilitation</w:t>
      </w:r>
      <w:r>
        <w:rPr>
          <w:spacing w:val="-3"/>
        </w:rPr>
        <w:t> </w:t>
      </w:r>
      <w:r>
        <w:rPr/>
        <w:t>Act</w:t>
      </w:r>
      <w:r>
        <w:rPr>
          <w:spacing w:val="-2"/>
        </w:rPr>
        <w:t> </w:t>
      </w:r>
      <w:r>
        <w:rPr/>
        <w:t>of</w:t>
      </w:r>
      <w:r>
        <w:rPr>
          <w:spacing w:val="-2"/>
        </w:rPr>
        <w:t> </w:t>
      </w:r>
      <w:r>
        <w:rPr/>
        <w:t>1973</w:t>
      </w:r>
      <w:r>
        <w:rPr>
          <w:spacing w:val="-3"/>
        </w:rPr>
        <w:t> </w:t>
      </w:r>
      <w:r>
        <w:rPr/>
        <w:t>[29</w:t>
      </w:r>
      <w:r>
        <w:rPr>
          <w:spacing w:val="-3"/>
        </w:rPr>
        <w:t> </w:t>
      </w:r>
      <w:r>
        <w:rPr/>
        <w:t>U.S.C.</w:t>
      </w:r>
      <w:r>
        <w:rPr>
          <w:spacing w:val="-2"/>
        </w:rPr>
        <w:t> </w:t>
      </w:r>
      <w:r>
        <w:rPr/>
        <w:t>794, hereinafter referred to as Section 504]; Title 45, Code of Federal Regulations, Part 84; Age Discrimination Act of</w:t>
      </w:r>
      <w:r>
        <w:rPr>
          <w:spacing w:val="-1"/>
        </w:rPr>
        <w:t> </w:t>
      </w:r>
      <w:r>
        <w:rPr/>
        <w:t>1975, Part 90, Section 301; and the Department's</w:t>
      </w:r>
      <w:r>
        <w:rPr>
          <w:spacing w:val="-1"/>
        </w:rPr>
        <w:t> </w:t>
      </w:r>
      <w:r>
        <w:rPr/>
        <w:t>Statement of Compliance thereto.</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pPr>
      <w:bookmarkStart w:name="612:1-13-2.  Practices prohibited &quot;indiv" w:id="47"/>
      <w:bookmarkEnd w:id="47"/>
      <w:r>
        <w:rPr>
          <w:b w:val="0"/>
        </w:rPr>
      </w:r>
      <w:r>
        <w:rPr/>
        <w:t>612:1-13-2.</w:t>
      </w:r>
      <w:r>
        <w:rPr>
          <w:spacing w:val="55"/>
        </w:rPr>
        <w:t> </w:t>
      </w:r>
      <w:r>
        <w:rPr/>
        <w:t>Practices</w:t>
      </w:r>
      <w:r>
        <w:rPr>
          <w:spacing w:val="-4"/>
        </w:rPr>
        <w:t> </w:t>
      </w:r>
      <w:r>
        <w:rPr/>
        <w:t>prohibited</w:t>
      </w:r>
      <w:r>
        <w:rPr>
          <w:spacing w:val="-5"/>
        </w:rPr>
        <w:t> </w:t>
      </w:r>
      <w:r>
        <w:rPr/>
        <w:t>"individuals</w:t>
      </w:r>
      <w:r>
        <w:rPr>
          <w:spacing w:val="-4"/>
        </w:rPr>
        <w:t> </w:t>
      </w:r>
      <w:r>
        <w:rPr/>
        <w:t>with</w:t>
      </w:r>
      <w:r>
        <w:rPr>
          <w:spacing w:val="-5"/>
        </w:rPr>
        <w:t> </w:t>
      </w:r>
      <w:r>
        <w:rPr>
          <w:spacing w:val="-2"/>
        </w:rPr>
        <w:t>disabilities"</w:t>
      </w:r>
    </w:p>
    <w:p>
      <w:pPr>
        <w:pStyle w:val="ListParagraph"/>
        <w:numPr>
          <w:ilvl w:val="0"/>
          <w:numId w:val="41"/>
        </w:numPr>
        <w:tabs>
          <w:tab w:pos="786" w:val="left" w:leader="none"/>
        </w:tabs>
        <w:spacing w:line="208" w:lineRule="auto" w:before="233" w:after="0"/>
        <w:ind w:left="360" w:right="1206" w:firstLine="0"/>
        <w:jc w:val="left"/>
        <w:rPr>
          <w:sz w:val="24"/>
        </w:rPr>
      </w:pPr>
      <w:r>
        <w:rPr>
          <w:sz w:val="24"/>
        </w:rPr>
        <w:t>Administrative</w:t>
      </w:r>
      <w:r>
        <w:rPr>
          <w:spacing w:val="-5"/>
          <w:sz w:val="24"/>
        </w:rPr>
        <w:t> </w:t>
      </w:r>
      <w:r>
        <w:rPr>
          <w:sz w:val="24"/>
        </w:rPr>
        <w:t>methods</w:t>
      </w:r>
      <w:r>
        <w:rPr>
          <w:spacing w:val="-5"/>
          <w:sz w:val="24"/>
        </w:rPr>
        <w:t> </w:t>
      </w:r>
      <w:r>
        <w:rPr>
          <w:sz w:val="24"/>
        </w:rPr>
        <w:t>cannot</w:t>
      </w:r>
      <w:r>
        <w:rPr>
          <w:spacing w:val="-4"/>
          <w:sz w:val="24"/>
        </w:rPr>
        <w:t> </w:t>
      </w:r>
      <w:r>
        <w:rPr>
          <w:sz w:val="24"/>
        </w:rPr>
        <w:t>include</w:t>
      </w:r>
      <w:r>
        <w:rPr>
          <w:spacing w:val="-5"/>
          <w:sz w:val="24"/>
        </w:rPr>
        <w:t> </w:t>
      </w:r>
      <w:r>
        <w:rPr>
          <w:sz w:val="24"/>
        </w:rPr>
        <w:t>practices</w:t>
      </w:r>
      <w:r>
        <w:rPr>
          <w:spacing w:val="-5"/>
          <w:sz w:val="24"/>
        </w:rPr>
        <w:t> </w:t>
      </w:r>
      <w:r>
        <w:rPr>
          <w:sz w:val="24"/>
        </w:rPr>
        <w:t>prohibited</w:t>
      </w:r>
      <w:r>
        <w:rPr>
          <w:spacing w:val="-5"/>
          <w:sz w:val="24"/>
        </w:rPr>
        <w:t> </w:t>
      </w:r>
      <w:r>
        <w:rPr>
          <w:sz w:val="24"/>
        </w:rPr>
        <w:t>under</w:t>
      </w:r>
      <w:r>
        <w:rPr>
          <w:spacing w:val="-4"/>
          <w:sz w:val="24"/>
        </w:rPr>
        <w:t> </w:t>
      </w:r>
      <w:r>
        <w:rPr>
          <w:sz w:val="24"/>
        </w:rPr>
        <w:t>the</w:t>
      </w:r>
      <w:r>
        <w:rPr>
          <w:spacing w:val="-5"/>
          <w:sz w:val="24"/>
        </w:rPr>
        <w:t> </w:t>
      </w:r>
      <w:r>
        <w:rPr>
          <w:sz w:val="24"/>
        </w:rPr>
        <w:t>ADA.</w:t>
      </w:r>
      <w:r>
        <w:rPr>
          <w:spacing w:val="-4"/>
          <w:sz w:val="24"/>
        </w:rPr>
        <w:t> </w:t>
      </w:r>
      <w:r>
        <w:rPr>
          <w:sz w:val="24"/>
        </w:rPr>
        <w:t>The Director shall not:</w:t>
      </w:r>
    </w:p>
    <w:p>
      <w:pPr>
        <w:pStyle w:val="ListParagraph"/>
        <w:numPr>
          <w:ilvl w:val="1"/>
          <w:numId w:val="41"/>
        </w:numPr>
        <w:tabs>
          <w:tab w:pos="1218" w:val="left" w:leader="none"/>
        </w:tabs>
        <w:spacing w:line="208" w:lineRule="auto" w:before="240" w:after="0"/>
        <w:ind w:left="792" w:right="976" w:firstLine="0"/>
        <w:jc w:val="left"/>
        <w:rPr>
          <w:sz w:val="24"/>
        </w:rPr>
      </w:pPr>
      <w:r>
        <w:rPr>
          <w:sz w:val="24"/>
        </w:rPr>
        <w:t>discriminate</w:t>
      </w:r>
      <w:r>
        <w:rPr>
          <w:spacing w:val="-4"/>
          <w:sz w:val="24"/>
        </w:rPr>
        <w:t> </w:t>
      </w:r>
      <w:r>
        <w:rPr>
          <w:sz w:val="24"/>
        </w:rPr>
        <w:t>nor</w:t>
      </w:r>
      <w:r>
        <w:rPr>
          <w:spacing w:val="-3"/>
          <w:sz w:val="24"/>
        </w:rPr>
        <w:t> </w:t>
      </w:r>
      <w:r>
        <w:rPr>
          <w:sz w:val="24"/>
        </w:rPr>
        <w:t>allow</w:t>
      </w:r>
      <w:r>
        <w:rPr>
          <w:spacing w:val="-4"/>
          <w:sz w:val="24"/>
        </w:rPr>
        <w:t> </w:t>
      </w:r>
      <w:r>
        <w:rPr>
          <w:sz w:val="24"/>
        </w:rPr>
        <w:t>any</w:t>
      </w:r>
      <w:r>
        <w:rPr>
          <w:spacing w:val="-4"/>
          <w:sz w:val="24"/>
        </w:rPr>
        <w:t> </w:t>
      </w:r>
      <w:r>
        <w:rPr>
          <w:sz w:val="24"/>
        </w:rPr>
        <w:t>member</w:t>
      </w:r>
      <w:r>
        <w:rPr>
          <w:spacing w:val="-3"/>
          <w:sz w:val="24"/>
        </w:rPr>
        <w:t> </w:t>
      </w:r>
      <w:r>
        <w:rPr>
          <w:sz w:val="24"/>
        </w:rPr>
        <w:t>of</w:t>
      </w:r>
      <w:r>
        <w:rPr>
          <w:spacing w:val="-3"/>
          <w:sz w:val="24"/>
        </w:rPr>
        <w:t> </w:t>
      </w:r>
      <w:r>
        <w:rPr>
          <w:sz w:val="24"/>
        </w:rPr>
        <w:t>his</w:t>
      </w:r>
      <w:r>
        <w:rPr>
          <w:spacing w:val="-5"/>
          <w:sz w:val="24"/>
        </w:rPr>
        <w:t> </w:t>
      </w:r>
      <w:r>
        <w:rPr>
          <w:sz w:val="24"/>
        </w:rPr>
        <w:t>or</w:t>
      </w:r>
      <w:r>
        <w:rPr>
          <w:spacing w:val="-3"/>
          <w:sz w:val="24"/>
        </w:rPr>
        <w:t> </w:t>
      </w:r>
      <w:r>
        <w:rPr>
          <w:sz w:val="24"/>
        </w:rPr>
        <w:t>her</w:t>
      </w:r>
      <w:r>
        <w:rPr>
          <w:spacing w:val="-3"/>
          <w:sz w:val="24"/>
        </w:rPr>
        <w:t> </w:t>
      </w:r>
      <w:r>
        <w:rPr>
          <w:sz w:val="24"/>
        </w:rPr>
        <w:t>staff,</w:t>
      </w:r>
      <w:r>
        <w:rPr>
          <w:spacing w:val="-3"/>
          <w:sz w:val="24"/>
        </w:rPr>
        <w:t> </w:t>
      </w:r>
      <w:r>
        <w:rPr>
          <w:sz w:val="24"/>
        </w:rPr>
        <w:t>employees,</w:t>
      </w:r>
      <w:r>
        <w:rPr>
          <w:spacing w:val="-3"/>
          <w:sz w:val="24"/>
        </w:rPr>
        <w:t> </w:t>
      </w:r>
      <w:r>
        <w:rPr>
          <w:sz w:val="24"/>
        </w:rPr>
        <w:t>Department subgrantees, or other interested persons to discriminate on the grounds of race, color, national origin, sex, age or disability;</w:t>
      </w:r>
    </w:p>
    <w:p>
      <w:pPr>
        <w:pStyle w:val="ListParagraph"/>
        <w:numPr>
          <w:ilvl w:val="1"/>
          <w:numId w:val="41"/>
        </w:numPr>
        <w:tabs>
          <w:tab w:pos="1218" w:val="left" w:leader="none"/>
        </w:tabs>
        <w:spacing w:line="208" w:lineRule="auto" w:before="239" w:after="0"/>
        <w:ind w:left="792" w:right="1121" w:firstLine="0"/>
        <w:jc w:val="left"/>
        <w:rPr>
          <w:sz w:val="24"/>
        </w:rPr>
      </w:pPr>
      <w:r>
        <w:rPr>
          <w:sz w:val="24"/>
        </w:rPr>
        <w:t>issue nor allow to be issued policies, regulations, directives or other public communication</w:t>
      </w:r>
      <w:r>
        <w:rPr>
          <w:spacing w:val="-5"/>
          <w:sz w:val="24"/>
        </w:rPr>
        <w:t> </w:t>
      </w:r>
      <w:r>
        <w:rPr>
          <w:sz w:val="24"/>
        </w:rPr>
        <w:t>that</w:t>
      </w:r>
      <w:r>
        <w:rPr>
          <w:spacing w:val="-4"/>
          <w:sz w:val="24"/>
        </w:rPr>
        <w:t> </w:t>
      </w:r>
      <w:r>
        <w:rPr>
          <w:sz w:val="24"/>
        </w:rPr>
        <w:t>will</w:t>
      </w:r>
      <w:r>
        <w:rPr>
          <w:spacing w:val="-5"/>
          <w:sz w:val="24"/>
        </w:rPr>
        <w:t> </w:t>
      </w:r>
      <w:r>
        <w:rPr>
          <w:sz w:val="24"/>
        </w:rPr>
        <w:t>have</w:t>
      </w:r>
      <w:r>
        <w:rPr>
          <w:spacing w:val="-5"/>
          <w:sz w:val="24"/>
        </w:rPr>
        <w:t> </w:t>
      </w:r>
      <w:r>
        <w:rPr>
          <w:sz w:val="24"/>
        </w:rPr>
        <w:t>the</w:t>
      </w:r>
      <w:r>
        <w:rPr>
          <w:spacing w:val="-5"/>
          <w:sz w:val="24"/>
        </w:rPr>
        <w:t> </w:t>
      </w:r>
      <w:r>
        <w:rPr>
          <w:sz w:val="24"/>
        </w:rPr>
        <w:t>effect</w:t>
      </w:r>
      <w:r>
        <w:rPr>
          <w:spacing w:val="-4"/>
          <w:sz w:val="24"/>
        </w:rPr>
        <w:t> </w:t>
      </w:r>
      <w:r>
        <w:rPr>
          <w:sz w:val="24"/>
        </w:rPr>
        <w:t>of</w:t>
      </w:r>
      <w:r>
        <w:rPr>
          <w:spacing w:val="-4"/>
          <w:sz w:val="24"/>
        </w:rPr>
        <w:t> </w:t>
      </w:r>
      <w:r>
        <w:rPr>
          <w:sz w:val="24"/>
        </w:rPr>
        <w:t>subjecting</w:t>
      </w:r>
      <w:r>
        <w:rPr>
          <w:spacing w:val="-5"/>
          <w:sz w:val="24"/>
        </w:rPr>
        <w:t> </w:t>
      </w:r>
      <w:r>
        <w:rPr>
          <w:sz w:val="24"/>
        </w:rPr>
        <w:t>individuals</w:t>
      </w:r>
      <w:r>
        <w:rPr>
          <w:spacing w:val="-5"/>
          <w:sz w:val="24"/>
        </w:rPr>
        <w:t> </w:t>
      </w:r>
      <w:r>
        <w:rPr>
          <w:sz w:val="24"/>
        </w:rPr>
        <w:t>to</w:t>
      </w:r>
      <w:r>
        <w:rPr>
          <w:spacing w:val="-5"/>
          <w:sz w:val="24"/>
        </w:rPr>
        <w:t> </w:t>
      </w:r>
      <w:r>
        <w:rPr>
          <w:sz w:val="24"/>
        </w:rPr>
        <w:t>discrimination because of their race, color, national origin, sex, age or disability.</w:t>
      </w:r>
    </w:p>
    <w:p>
      <w:pPr>
        <w:pStyle w:val="ListParagraph"/>
        <w:numPr>
          <w:ilvl w:val="0"/>
          <w:numId w:val="41"/>
        </w:numPr>
        <w:tabs>
          <w:tab w:pos="786" w:val="left" w:leader="none"/>
        </w:tabs>
        <w:spacing w:line="208" w:lineRule="auto" w:before="240" w:after="0"/>
        <w:ind w:left="360" w:right="819" w:firstLine="0"/>
        <w:jc w:val="left"/>
        <w:rPr>
          <w:sz w:val="24"/>
        </w:rPr>
      </w:pPr>
      <w:r>
        <w:rPr>
          <w:sz w:val="24"/>
        </w:rPr>
        <w:t>For the purpose of defining "individuals with disabilities", the Director uses the definition</w:t>
      </w:r>
      <w:r>
        <w:rPr>
          <w:spacing w:val="-3"/>
          <w:sz w:val="24"/>
        </w:rPr>
        <w:t> </w:t>
      </w:r>
      <w:r>
        <w:rPr>
          <w:sz w:val="24"/>
        </w:rPr>
        <w:t>established</w:t>
      </w:r>
      <w:r>
        <w:rPr>
          <w:spacing w:val="-3"/>
          <w:sz w:val="24"/>
        </w:rPr>
        <w:t> </w:t>
      </w:r>
      <w:r>
        <w:rPr>
          <w:sz w:val="24"/>
        </w:rPr>
        <w:t>by</w:t>
      </w:r>
      <w:r>
        <w:rPr>
          <w:spacing w:val="-3"/>
          <w:sz w:val="24"/>
        </w:rPr>
        <w:t> </w:t>
      </w:r>
      <w:r>
        <w:rPr>
          <w:sz w:val="24"/>
        </w:rPr>
        <w:t>regulation</w:t>
      </w:r>
      <w:r>
        <w:rPr>
          <w:spacing w:val="-3"/>
          <w:sz w:val="24"/>
        </w:rPr>
        <w:t> </w:t>
      </w:r>
      <w:r>
        <w:rPr>
          <w:sz w:val="24"/>
        </w:rPr>
        <w:t>45</w:t>
      </w:r>
      <w:r>
        <w:rPr>
          <w:spacing w:val="-3"/>
          <w:sz w:val="24"/>
        </w:rPr>
        <w:t> </w:t>
      </w:r>
      <w:r>
        <w:rPr>
          <w:sz w:val="24"/>
        </w:rPr>
        <w:t>CFR</w:t>
      </w:r>
      <w:r>
        <w:rPr>
          <w:spacing w:val="-2"/>
          <w:sz w:val="24"/>
        </w:rPr>
        <w:t> </w:t>
      </w:r>
      <w:r>
        <w:rPr>
          <w:sz w:val="24"/>
        </w:rPr>
        <w:t>84.3</w:t>
      </w:r>
      <w:r>
        <w:rPr>
          <w:spacing w:val="-3"/>
          <w:sz w:val="24"/>
        </w:rPr>
        <w:t> </w:t>
      </w:r>
      <w:r>
        <w:rPr>
          <w:sz w:val="24"/>
        </w:rPr>
        <w:t>(j).</w:t>
      </w:r>
      <w:r>
        <w:rPr>
          <w:spacing w:val="-2"/>
          <w:sz w:val="24"/>
        </w:rPr>
        <w:t> </w:t>
      </w:r>
      <w:r>
        <w:rPr>
          <w:sz w:val="24"/>
        </w:rPr>
        <w:t>An</w:t>
      </w:r>
      <w:r>
        <w:rPr>
          <w:spacing w:val="-4"/>
          <w:sz w:val="24"/>
        </w:rPr>
        <w:t> </w:t>
      </w:r>
      <w:r>
        <w:rPr>
          <w:sz w:val="24"/>
        </w:rPr>
        <w:t>individual</w:t>
      </w:r>
      <w:r>
        <w:rPr>
          <w:spacing w:val="-2"/>
          <w:sz w:val="24"/>
        </w:rPr>
        <w:t> </w:t>
      </w:r>
      <w:r>
        <w:rPr>
          <w:sz w:val="24"/>
        </w:rPr>
        <w:t>with</w:t>
      </w:r>
      <w:r>
        <w:rPr>
          <w:spacing w:val="-3"/>
          <w:sz w:val="24"/>
        </w:rPr>
        <w:t> </w:t>
      </w:r>
      <w:r>
        <w:rPr>
          <w:sz w:val="24"/>
        </w:rPr>
        <w:t>a</w:t>
      </w:r>
      <w:r>
        <w:rPr>
          <w:spacing w:val="-3"/>
          <w:sz w:val="24"/>
        </w:rPr>
        <w:t> </w:t>
      </w:r>
      <w:r>
        <w:rPr>
          <w:sz w:val="24"/>
        </w:rPr>
        <w:t>disability</w:t>
      </w:r>
      <w:r>
        <w:rPr>
          <w:spacing w:val="-3"/>
          <w:sz w:val="24"/>
        </w:rPr>
        <w:t> </w:t>
      </w:r>
      <w:r>
        <w:rPr>
          <w:sz w:val="24"/>
        </w:rPr>
        <w:t>is</w:t>
      </w:r>
      <w:r>
        <w:rPr>
          <w:spacing w:val="-3"/>
          <w:sz w:val="24"/>
        </w:rPr>
        <w:t> </w:t>
      </w:r>
      <w:r>
        <w:rPr>
          <w:sz w:val="24"/>
        </w:rPr>
        <w:t>any person who:</w:t>
      </w:r>
    </w:p>
    <w:p>
      <w:pPr>
        <w:pStyle w:val="ListParagraph"/>
        <w:numPr>
          <w:ilvl w:val="1"/>
          <w:numId w:val="41"/>
        </w:numPr>
        <w:tabs>
          <w:tab w:pos="1217" w:val="left" w:leader="none"/>
        </w:tabs>
        <w:spacing w:line="208" w:lineRule="auto" w:before="240" w:after="0"/>
        <w:ind w:left="791" w:right="1068" w:firstLine="0"/>
        <w:jc w:val="left"/>
        <w:rPr>
          <w:sz w:val="24"/>
        </w:rPr>
      </w:pPr>
      <w:r>
        <w:rPr>
          <w:sz w:val="24"/>
        </w:rPr>
        <w:t>has</w:t>
      </w:r>
      <w:r>
        <w:rPr>
          <w:spacing w:val="-4"/>
          <w:sz w:val="24"/>
        </w:rPr>
        <w:t> </w:t>
      </w:r>
      <w:r>
        <w:rPr>
          <w:sz w:val="24"/>
        </w:rPr>
        <w:t>a</w:t>
      </w:r>
      <w:r>
        <w:rPr>
          <w:spacing w:val="-4"/>
          <w:sz w:val="24"/>
        </w:rPr>
        <w:t> </w:t>
      </w:r>
      <w:r>
        <w:rPr>
          <w:sz w:val="24"/>
        </w:rPr>
        <w:t>physical</w:t>
      </w:r>
      <w:r>
        <w:rPr>
          <w:spacing w:val="-4"/>
          <w:sz w:val="24"/>
        </w:rPr>
        <w:t> </w:t>
      </w:r>
      <w:r>
        <w:rPr>
          <w:sz w:val="24"/>
        </w:rPr>
        <w:t>or</w:t>
      </w:r>
      <w:r>
        <w:rPr>
          <w:spacing w:val="-3"/>
          <w:sz w:val="24"/>
        </w:rPr>
        <w:t> </w:t>
      </w:r>
      <w:r>
        <w:rPr>
          <w:sz w:val="24"/>
        </w:rPr>
        <w:t>mental</w:t>
      </w:r>
      <w:r>
        <w:rPr>
          <w:spacing w:val="-4"/>
          <w:sz w:val="24"/>
        </w:rPr>
        <w:t> </w:t>
      </w:r>
      <w:r>
        <w:rPr>
          <w:sz w:val="24"/>
        </w:rPr>
        <w:t>impairment</w:t>
      </w:r>
      <w:r>
        <w:rPr>
          <w:spacing w:val="-3"/>
          <w:sz w:val="24"/>
        </w:rPr>
        <w:t> </w:t>
      </w:r>
      <w:r>
        <w:rPr>
          <w:sz w:val="24"/>
        </w:rPr>
        <w:t>which</w:t>
      </w:r>
      <w:r>
        <w:rPr>
          <w:spacing w:val="-4"/>
          <w:sz w:val="24"/>
        </w:rPr>
        <w:t> </w:t>
      </w:r>
      <w:r>
        <w:rPr>
          <w:sz w:val="24"/>
        </w:rPr>
        <w:t>substantially</w:t>
      </w:r>
      <w:r>
        <w:rPr>
          <w:spacing w:val="-4"/>
          <w:sz w:val="24"/>
        </w:rPr>
        <w:t> </w:t>
      </w:r>
      <w:r>
        <w:rPr>
          <w:sz w:val="24"/>
        </w:rPr>
        <w:t>limits</w:t>
      </w:r>
      <w:r>
        <w:rPr>
          <w:spacing w:val="-4"/>
          <w:sz w:val="24"/>
        </w:rPr>
        <w:t> </w:t>
      </w:r>
      <w:r>
        <w:rPr>
          <w:sz w:val="24"/>
        </w:rPr>
        <w:t>one</w:t>
      </w:r>
      <w:r>
        <w:rPr>
          <w:spacing w:val="-4"/>
          <w:sz w:val="24"/>
        </w:rPr>
        <w:t> </w:t>
      </w:r>
      <w:r>
        <w:rPr>
          <w:sz w:val="24"/>
        </w:rPr>
        <w:t>or</w:t>
      </w:r>
      <w:r>
        <w:rPr>
          <w:spacing w:val="-3"/>
          <w:sz w:val="24"/>
        </w:rPr>
        <w:t> </w:t>
      </w:r>
      <w:r>
        <w:rPr>
          <w:sz w:val="24"/>
        </w:rPr>
        <w:t>more</w:t>
      </w:r>
      <w:r>
        <w:rPr>
          <w:spacing w:val="-4"/>
          <w:sz w:val="24"/>
        </w:rPr>
        <w:t> </w:t>
      </w:r>
      <w:r>
        <w:rPr>
          <w:sz w:val="24"/>
        </w:rPr>
        <w:t>of such person's major life activities;</w:t>
      </w:r>
    </w:p>
    <w:p>
      <w:pPr>
        <w:pStyle w:val="ListParagraph"/>
        <w:numPr>
          <w:ilvl w:val="1"/>
          <w:numId w:val="41"/>
        </w:numPr>
        <w:tabs>
          <w:tab w:pos="1217" w:val="left" w:leader="none"/>
        </w:tabs>
        <w:spacing w:line="240" w:lineRule="auto" w:before="210" w:after="0"/>
        <w:ind w:left="1217" w:right="0" w:hanging="426"/>
        <w:jc w:val="left"/>
        <w:rPr>
          <w:sz w:val="24"/>
        </w:rPr>
      </w:pPr>
      <w:r>
        <w:rPr>
          <w:sz w:val="24"/>
        </w:rPr>
        <w:t>has</w:t>
      </w:r>
      <w:r>
        <w:rPr>
          <w:spacing w:val="-3"/>
          <w:sz w:val="24"/>
        </w:rPr>
        <w:t> </w:t>
      </w:r>
      <w:r>
        <w:rPr>
          <w:sz w:val="24"/>
        </w:rPr>
        <w:t>a</w:t>
      </w:r>
      <w:r>
        <w:rPr>
          <w:spacing w:val="-3"/>
          <w:sz w:val="24"/>
        </w:rPr>
        <w:t> </w:t>
      </w:r>
      <w:r>
        <w:rPr>
          <w:sz w:val="24"/>
        </w:rPr>
        <w:t>record</w:t>
      </w:r>
      <w:r>
        <w:rPr>
          <w:spacing w:val="-2"/>
          <w:sz w:val="24"/>
        </w:rPr>
        <w:t> </w:t>
      </w:r>
      <w:r>
        <w:rPr>
          <w:sz w:val="24"/>
        </w:rPr>
        <w:t>of</w:t>
      </w:r>
      <w:r>
        <w:rPr>
          <w:spacing w:val="-2"/>
          <w:sz w:val="24"/>
        </w:rPr>
        <w:t> </w:t>
      </w:r>
      <w:r>
        <w:rPr>
          <w:sz w:val="24"/>
        </w:rPr>
        <w:t>such</w:t>
      </w:r>
      <w:r>
        <w:rPr>
          <w:spacing w:val="-2"/>
          <w:sz w:val="24"/>
        </w:rPr>
        <w:t> </w:t>
      </w:r>
      <w:r>
        <w:rPr>
          <w:sz w:val="24"/>
        </w:rPr>
        <w:t>impairment;</w:t>
      </w:r>
      <w:r>
        <w:rPr>
          <w:spacing w:val="-1"/>
          <w:sz w:val="24"/>
        </w:rPr>
        <w:t> </w:t>
      </w:r>
      <w:r>
        <w:rPr>
          <w:spacing w:val="-5"/>
          <w:sz w:val="24"/>
        </w:rPr>
        <w:t>or,</w:t>
      </w:r>
    </w:p>
    <w:p>
      <w:pPr>
        <w:pStyle w:val="ListParagraph"/>
        <w:numPr>
          <w:ilvl w:val="1"/>
          <w:numId w:val="41"/>
        </w:numPr>
        <w:tabs>
          <w:tab w:pos="1217" w:val="left" w:leader="none"/>
        </w:tabs>
        <w:spacing w:line="240" w:lineRule="auto" w:before="204" w:after="0"/>
        <w:ind w:left="1217" w:right="0" w:hanging="426"/>
        <w:jc w:val="left"/>
        <w:rPr>
          <w:sz w:val="24"/>
        </w:rPr>
      </w:pPr>
      <w:r>
        <w:rPr>
          <w:sz w:val="24"/>
        </w:rPr>
        <w:t>is</w:t>
      </w:r>
      <w:r>
        <w:rPr>
          <w:spacing w:val="-4"/>
          <w:sz w:val="24"/>
        </w:rPr>
        <w:t> </w:t>
      </w:r>
      <w:r>
        <w:rPr>
          <w:sz w:val="24"/>
        </w:rPr>
        <w:t>regarded</w:t>
      </w:r>
      <w:r>
        <w:rPr>
          <w:spacing w:val="-2"/>
          <w:sz w:val="24"/>
        </w:rPr>
        <w:t> </w:t>
      </w:r>
      <w:r>
        <w:rPr>
          <w:sz w:val="24"/>
        </w:rPr>
        <w:t>as</w:t>
      </w:r>
      <w:r>
        <w:rPr>
          <w:spacing w:val="-3"/>
          <w:sz w:val="24"/>
        </w:rPr>
        <w:t> </w:t>
      </w:r>
      <w:r>
        <w:rPr>
          <w:sz w:val="24"/>
        </w:rPr>
        <w:t>having</w:t>
      </w:r>
      <w:r>
        <w:rPr>
          <w:spacing w:val="-2"/>
          <w:sz w:val="24"/>
        </w:rPr>
        <w:t> </w:t>
      </w:r>
      <w:r>
        <w:rPr>
          <w:sz w:val="24"/>
        </w:rPr>
        <w:t>such</w:t>
      </w:r>
      <w:r>
        <w:rPr>
          <w:spacing w:val="-2"/>
          <w:sz w:val="24"/>
        </w:rPr>
        <w:t> impairment.</w:t>
      </w:r>
    </w:p>
    <w:p>
      <w:pPr>
        <w:spacing w:before="238"/>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pPr>
      <w:bookmarkStart w:name="612:1-13-3.  Administration of programs" w:id="48"/>
      <w:bookmarkEnd w:id="48"/>
      <w:r>
        <w:rPr>
          <w:b w:val="0"/>
        </w:rPr>
      </w:r>
      <w:r>
        <w:rPr/>
        <w:t>612:1-13-3.</w:t>
      </w:r>
      <w:r>
        <w:rPr>
          <w:spacing w:val="59"/>
        </w:rPr>
        <w:t> </w:t>
      </w:r>
      <w:r>
        <w:rPr/>
        <w:t>Administration</w:t>
      </w:r>
      <w:r>
        <w:rPr>
          <w:spacing w:val="-4"/>
        </w:rPr>
        <w:t> </w:t>
      </w:r>
      <w:r>
        <w:rPr/>
        <w:t>of</w:t>
      </w:r>
      <w:r>
        <w:rPr>
          <w:spacing w:val="-5"/>
        </w:rPr>
        <w:t> </w:t>
      </w:r>
      <w:r>
        <w:rPr>
          <w:spacing w:val="-2"/>
        </w:rPr>
        <w:t>programs</w:t>
      </w:r>
    </w:p>
    <w:p>
      <w:pPr>
        <w:pStyle w:val="ListParagraph"/>
        <w:numPr>
          <w:ilvl w:val="0"/>
          <w:numId w:val="42"/>
        </w:numPr>
        <w:tabs>
          <w:tab w:pos="786" w:val="left" w:leader="none"/>
        </w:tabs>
        <w:spacing w:line="208" w:lineRule="auto" w:before="233" w:after="0"/>
        <w:ind w:left="360" w:right="954" w:firstLine="0"/>
        <w:jc w:val="left"/>
        <w:rPr>
          <w:sz w:val="24"/>
        </w:rPr>
      </w:pPr>
      <w:r>
        <w:rPr>
          <w:sz w:val="24"/>
        </w:rPr>
        <w:t>The</w:t>
      </w:r>
      <w:r>
        <w:rPr>
          <w:spacing w:val="-4"/>
          <w:sz w:val="24"/>
        </w:rPr>
        <w:t> </w:t>
      </w:r>
      <w:r>
        <w:rPr>
          <w:sz w:val="24"/>
        </w:rPr>
        <w:t>Department</w:t>
      </w:r>
      <w:r>
        <w:rPr>
          <w:spacing w:val="-3"/>
          <w:sz w:val="24"/>
        </w:rPr>
        <w:t> </w:t>
      </w:r>
      <w:r>
        <w:rPr>
          <w:sz w:val="24"/>
        </w:rPr>
        <w:t>will</w:t>
      </w:r>
      <w:r>
        <w:rPr>
          <w:spacing w:val="-4"/>
          <w:sz w:val="24"/>
        </w:rPr>
        <w:t> </w:t>
      </w:r>
      <w:r>
        <w:rPr>
          <w:sz w:val="24"/>
        </w:rPr>
        <w:t>take</w:t>
      </w:r>
      <w:r>
        <w:rPr>
          <w:spacing w:val="-4"/>
          <w:sz w:val="24"/>
        </w:rPr>
        <w:t> </w:t>
      </w:r>
      <w:r>
        <w:rPr>
          <w:sz w:val="24"/>
        </w:rPr>
        <w:t>positive</w:t>
      </w:r>
      <w:r>
        <w:rPr>
          <w:spacing w:val="-4"/>
          <w:sz w:val="24"/>
        </w:rPr>
        <w:t> </w:t>
      </w:r>
      <w:r>
        <w:rPr>
          <w:sz w:val="24"/>
        </w:rPr>
        <w:t>action,</w:t>
      </w:r>
      <w:r>
        <w:rPr>
          <w:spacing w:val="-3"/>
          <w:sz w:val="24"/>
        </w:rPr>
        <w:t> </w:t>
      </w:r>
      <w:r>
        <w:rPr>
          <w:sz w:val="24"/>
        </w:rPr>
        <w:t>consistent</w:t>
      </w:r>
      <w:r>
        <w:rPr>
          <w:spacing w:val="-3"/>
          <w:sz w:val="24"/>
        </w:rPr>
        <w:t> </w:t>
      </w:r>
      <w:r>
        <w:rPr>
          <w:sz w:val="24"/>
        </w:rPr>
        <w:t>with</w:t>
      </w:r>
      <w:r>
        <w:rPr>
          <w:spacing w:val="-4"/>
          <w:sz w:val="24"/>
        </w:rPr>
        <w:t> </w:t>
      </w:r>
      <w:r>
        <w:rPr>
          <w:sz w:val="24"/>
        </w:rPr>
        <w:t>Title</w:t>
      </w:r>
      <w:r>
        <w:rPr>
          <w:spacing w:val="-4"/>
          <w:sz w:val="24"/>
        </w:rPr>
        <w:t> </w:t>
      </w:r>
      <w:r>
        <w:rPr>
          <w:sz w:val="24"/>
        </w:rPr>
        <w:t>VI</w:t>
      </w:r>
      <w:r>
        <w:rPr>
          <w:spacing w:val="-3"/>
          <w:sz w:val="24"/>
        </w:rPr>
        <w:t> </w:t>
      </w:r>
      <w:r>
        <w:rPr>
          <w:sz w:val="24"/>
        </w:rPr>
        <w:t>regulations,</w:t>
      </w:r>
      <w:r>
        <w:rPr>
          <w:spacing w:val="-3"/>
          <w:sz w:val="24"/>
        </w:rPr>
        <w:t> </w:t>
      </w:r>
      <w:r>
        <w:rPr>
          <w:sz w:val="24"/>
        </w:rPr>
        <w:t>ADA, or Section 504 regulations, to overcome the effects of conditions which result or have resulted in limiting participation in any program by persons of a particular race, color, national origin, sex, age or disability.</w:t>
      </w:r>
    </w:p>
    <w:p>
      <w:pPr>
        <w:pStyle w:val="ListParagraph"/>
        <w:numPr>
          <w:ilvl w:val="0"/>
          <w:numId w:val="42"/>
        </w:numPr>
        <w:tabs>
          <w:tab w:pos="786" w:val="left" w:leader="none"/>
        </w:tabs>
        <w:spacing w:line="208" w:lineRule="auto" w:before="239" w:after="0"/>
        <w:ind w:left="360" w:right="1061" w:firstLine="0"/>
        <w:jc w:val="left"/>
        <w:rPr>
          <w:sz w:val="24"/>
        </w:rPr>
      </w:pPr>
      <w:r>
        <w:rPr>
          <w:sz w:val="24"/>
        </w:rPr>
        <w:t>The</w:t>
      </w:r>
      <w:r>
        <w:rPr>
          <w:spacing w:val="-4"/>
          <w:sz w:val="24"/>
        </w:rPr>
        <w:t> </w:t>
      </w:r>
      <w:r>
        <w:rPr>
          <w:sz w:val="24"/>
        </w:rPr>
        <w:t>Department</w:t>
      </w:r>
      <w:r>
        <w:rPr>
          <w:spacing w:val="-3"/>
          <w:sz w:val="24"/>
        </w:rPr>
        <w:t> </w:t>
      </w:r>
      <w:r>
        <w:rPr>
          <w:sz w:val="24"/>
        </w:rPr>
        <w:t>will</w:t>
      </w:r>
      <w:r>
        <w:rPr>
          <w:spacing w:val="-4"/>
          <w:sz w:val="24"/>
        </w:rPr>
        <w:t> </w:t>
      </w:r>
      <w:r>
        <w:rPr>
          <w:sz w:val="24"/>
        </w:rPr>
        <w:t>ensure</w:t>
      </w:r>
      <w:r>
        <w:rPr>
          <w:spacing w:val="-4"/>
          <w:sz w:val="24"/>
        </w:rPr>
        <w:t> </w:t>
      </w:r>
      <w:r>
        <w:rPr>
          <w:sz w:val="24"/>
        </w:rPr>
        <w:t>that</w:t>
      </w:r>
      <w:r>
        <w:rPr>
          <w:spacing w:val="-3"/>
          <w:sz w:val="24"/>
        </w:rPr>
        <w:t> </w:t>
      </w:r>
      <w:r>
        <w:rPr>
          <w:sz w:val="24"/>
        </w:rPr>
        <w:t>the</w:t>
      </w:r>
      <w:r>
        <w:rPr>
          <w:spacing w:val="-4"/>
          <w:sz w:val="24"/>
        </w:rPr>
        <w:t> </w:t>
      </w:r>
      <w:r>
        <w:rPr>
          <w:sz w:val="24"/>
        </w:rPr>
        <w:t>services</w:t>
      </w:r>
      <w:r>
        <w:rPr>
          <w:spacing w:val="-4"/>
          <w:sz w:val="24"/>
        </w:rPr>
        <w:t> </w:t>
      </w:r>
      <w:r>
        <w:rPr>
          <w:sz w:val="24"/>
        </w:rPr>
        <w:t>and</w:t>
      </w:r>
      <w:r>
        <w:rPr>
          <w:spacing w:val="-4"/>
          <w:sz w:val="24"/>
        </w:rPr>
        <w:t> </w:t>
      </w:r>
      <w:r>
        <w:rPr>
          <w:sz w:val="24"/>
        </w:rPr>
        <w:t>activities</w:t>
      </w:r>
      <w:r>
        <w:rPr>
          <w:spacing w:val="-4"/>
          <w:sz w:val="24"/>
        </w:rPr>
        <w:t> </w:t>
      </w:r>
      <w:r>
        <w:rPr>
          <w:sz w:val="24"/>
        </w:rPr>
        <w:t>of</w:t>
      </w:r>
      <w:r>
        <w:rPr>
          <w:spacing w:val="-3"/>
          <w:sz w:val="24"/>
        </w:rPr>
        <w:t> </w:t>
      </w:r>
      <w:r>
        <w:rPr>
          <w:sz w:val="24"/>
        </w:rPr>
        <w:t>its</w:t>
      </w:r>
      <w:r>
        <w:rPr>
          <w:spacing w:val="-4"/>
          <w:sz w:val="24"/>
        </w:rPr>
        <w:t> </w:t>
      </w:r>
      <w:r>
        <w:rPr>
          <w:sz w:val="24"/>
        </w:rPr>
        <w:t>programs</w:t>
      </w:r>
      <w:r>
        <w:rPr>
          <w:spacing w:val="-4"/>
          <w:sz w:val="24"/>
        </w:rPr>
        <w:t> </w:t>
      </w:r>
      <w:r>
        <w:rPr>
          <w:sz w:val="24"/>
        </w:rPr>
        <w:t>will</w:t>
      </w:r>
      <w:r>
        <w:rPr>
          <w:spacing w:val="-4"/>
          <w:sz w:val="24"/>
        </w:rPr>
        <w:t> </w:t>
      </w:r>
      <w:r>
        <w:rPr>
          <w:sz w:val="24"/>
        </w:rPr>
        <w:t>be accessible to clients who have disabilities.</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7-1-03</w:t>
      </w:r>
      <w:r>
        <w:rPr>
          <w:sz w:val="22"/>
        </w:rPr>
        <w:tab/>
        <w:t>PT Memo #03-07</w:t>
      </w:r>
    </w:p>
    <w:p>
      <w:pPr>
        <w:spacing w:before="1"/>
        <w:ind w:left="1439" w:right="775" w:firstLine="0"/>
        <w:jc w:val="left"/>
        <w:rPr>
          <w:sz w:val="22"/>
        </w:rPr>
      </w:pPr>
      <w:r>
        <w:rPr>
          <w:sz w:val="22"/>
        </w:rPr>
        <w:t>Permanent,</w:t>
      </w:r>
      <w:r>
        <w:rPr>
          <w:spacing w:val="-4"/>
          <w:sz w:val="22"/>
        </w:rPr>
        <w:t> </w:t>
      </w:r>
      <w:r>
        <w:rPr>
          <w:sz w:val="22"/>
        </w:rPr>
        <w:t>updated</w:t>
      </w:r>
      <w:r>
        <w:rPr>
          <w:spacing w:val="-5"/>
          <w:sz w:val="22"/>
        </w:rPr>
        <w:t> </w:t>
      </w:r>
      <w:r>
        <w:rPr>
          <w:sz w:val="22"/>
        </w:rPr>
        <w:t>language</w:t>
      </w:r>
      <w:r>
        <w:rPr>
          <w:spacing w:val="-5"/>
          <w:sz w:val="22"/>
        </w:rPr>
        <w:t> </w:t>
      </w:r>
      <w:r>
        <w:rPr>
          <w:sz w:val="22"/>
        </w:rPr>
        <w:t>removing</w:t>
      </w:r>
      <w:r>
        <w:rPr>
          <w:spacing w:val="-5"/>
          <w:sz w:val="22"/>
        </w:rPr>
        <w:t> </w:t>
      </w:r>
      <w:r>
        <w:rPr>
          <w:sz w:val="22"/>
        </w:rPr>
        <w:t>Affirmative</w:t>
      </w:r>
      <w:r>
        <w:rPr>
          <w:spacing w:val="-5"/>
          <w:sz w:val="22"/>
        </w:rPr>
        <w:t> </w:t>
      </w:r>
      <w:r>
        <w:rPr>
          <w:sz w:val="22"/>
        </w:rPr>
        <w:t>Action</w:t>
      </w:r>
      <w:r>
        <w:rPr>
          <w:spacing w:val="-5"/>
          <w:sz w:val="22"/>
        </w:rPr>
        <w:t> </w:t>
      </w:r>
      <w:r>
        <w:rPr>
          <w:sz w:val="22"/>
        </w:rPr>
        <w:t>Officer</w:t>
      </w:r>
      <w:r>
        <w:rPr>
          <w:spacing w:val="-5"/>
          <w:sz w:val="22"/>
        </w:rPr>
        <w:t> </w:t>
      </w:r>
      <w:r>
        <w:rPr>
          <w:sz w:val="22"/>
        </w:rPr>
        <w:t>and</w:t>
      </w:r>
      <w:r>
        <w:rPr>
          <w:spacing w:val="-5"/>
          <w:sz w:val="22"/>
        </w:rPr>
        <w:t> </w:t>
      </w:r>
      <w:r>
        <w:rPr>
          <w:sz w:val="22"/>
        </w:rPr>
        <w:t>replaced</w:t>
      </w:r>
      <w:r>
        <w:rPr>
          <w:spacing w:val="-5"/>
          <w:sz w:val="22"/>
        </w:rPr>
        <w:t> </w:t>
      </w:r>
      <w:r>
        <w:rPr>
          <w:sz w:val="22"/>
        </w:rPr>
        <w:t>with Civil Rights Administrator.</w:t>
      </w:r>
    </w:p>
    <w:p>
      <w:pPr>
        <w:tabs>
          <w:tab w:pos="1439" w:val="left" w:leader="none"/>
        </w:tabs>
        <w:spacing w:line="252" w:lineRule="exact" w:before="0"/>
        <w:ind w:left="359" w:right="0" w:firstLine="0"/>
        <w:jc w:val="left"/>
        <w:rPr>
          <w:sz w:val="22"/>
        </w:rPr>
      </w:pPr>
      <w:r>
        <w:rPr>
          <w:spacing w:val="-2"/>
          <w:sz w:val="22"/>
        </w:rPr>
        <w:t>8-27-</w:t>
      </w:r>
      <w:r>
        <w:rPr>
          <w:spacing w:val="-5"/>
          <w:sz w:val="22"/>
        </w:rPr>
        <w:t>15</w:t>
      </w:r>
      <w:r>
        <w:rPr>
          <w:sz w:val="22"/>
        </w:rPr>
        <w:tab/>
        <w:t>Removal</w:t>
      </w:r>
      <w:r>
        <w:rPr>
          <w:spacing w:val="-7"/>
          <w:sz w:val="22"/>
        </w:rPr>
        <w:t> </w:t>
      </w:r>
      <w:r>
        <w:rPr>
          <w:sz w:val="22"/>
        </w:rPr>
        <w:t>of</w:t>
      </w:r>
      <w:r>
        <w:rPr>
          <w:spacing w:val="-7"/>
          <w:sz w:val="22"/>
        </w:rPr>
        <w:t> </w:t>
      </w:r>
      <w:r>
        <w:rPr>
          <w:sz w:val="22"/>
        </w:rPr>
        <w:t>language</w:t>
      </w:r>
      <w:r>
        <w:rPr>
          <w:spacing w:val="-6"/>
          <w:sz w:val="22"/>
        </w:rPr>
        <w:t> </w:t>
      </w:r>
      <w:r>
        <w:rPr>
          <w:sz w:val="22"/>
        </w:rPr>
        <w:t>regarding</w:t>
      </w:r>
      <w:r>
        <w:rPr>
          <w:spacing w:val="-7"/>
          <w:sz w:val="22"/>
        </w:rPr>
        <w:t> </w:t>
      </w:r>
      <w:r>
        <w:rPr>
          <w:sz w:val="22"/>
        </w:rPr>
        <w:t>the</w:t>
      </w:r>
      <w:r>
        <w:rPr>
          <w:spacing w:val="-8"/>
          <w:sz w:val="22"/>
        </w:rPr>
        <w:t> </w:t>
      </w:r>
      <w:r>
        <w:rPr>
          <w:sz w:val="22"/>
        </w:rPr>
        <w:t>Civil</w:t>
      </w:r>
      <w:r>
        <w:rPr>
          <w:spacing w:val="-6"/>
          <w:sz w:val="22"/>
        </w:rPr>
        <w:t> </w:t>
      </w:r>
      <w:r>
        <w:rPr>
          <w:sz w:val="22"/>
        </w:rPr>
        <w:t>Rights</w:t>
      </w:r>
      <w:r>
        <w:rPr>
          <w:spacing w:val="-8"/>
          <w:sz w:val="22"/>
        </w:rPr>
        <w:t> </w:t>
      </w:r>
      <w:r>
        <w:rPr>
          <w:spacing w:val="-2"/>
          <w:sz w:val="22"/>
        </w:rPr>
        <w:t>Administrator.</w:t>
      </w:r>
    </w:p>
    <w:p>
      <w:pPr>
        <w:spacing w:after="0" w:line="252" w:lineRule="exact"/>
        <w:jc w:val="left"/>
        <w:rPr>
          <w:sz w:val="22"/>
        </w:rPr>
        <w:sectPr>
          <w:pgSz w:w="12240" w:h="15840"/>
          <w:pgMar w:top="1340" w:bottom="280" w:left="1080" w:right="720"/>
        </w:sectPr>
      </w:pPr>
    </w:p>
    <w:p>
      <w:pPr>
        <w:pStyle w:val="Heading2"/>
      </w:pPr>
      <w:bookmarkStart w:name="612:1-13-4.  Dissemination of rules" w:id="49"/>
      <w:bookmarkEnd w:id="49"/>
      <w:r>
        <w:rPr>
          <w:b w:val="0"/>
        </w:rPr>
      </w:r>
      <w:r>
        <w:rPr/>
        <w:t>612:1-13-4.</w:t>
      </w:r>
      <w:r>
        <w:rPr>
          <w:spacing w:val="59"/>
        </w:rPr>
        <w:t> </w:t>
      </w:r>
      <w:r>
        <w:rPr/>
        <w:t>Dissemination</w:t>
      </w:r>
      <w:r>
        <w:rPr>
          <w:spacing w:val="-4"/>
        </w:rPr>
        <w:t> </w:t>
      </w:r>
      <w:r>
        <w:rPr/>
        <w:t>of</w:t>
      </w:r>
      <w:r>
        <w:rPr>
          <w:spacing w:val="-3"/>
        </w:rPr>
        <w:t> </w:t>
      </w:r>
      <w:r>
        <w:rPr>
          <w:spacing w:val="-4"/>
        </w:rPr>
        <w:t>rules</w:t>
      </w:r>
    </w:p>
    <w:p>
      <w:pPr>
        <w:pStyle w:val="BodyText"/>
        <w:spacing w:line="208" w:lineRule="auto" w:before="233"/>
        <w:ind w:right="775" w:firstLine="432"/>
      </w:pPr>
      <w:r>
        <w:rPr/>
        <w:t>The</w:t>
      </w:r>
      <w:r>
        <w:rPr>
          <w:spacing w:val="-4"/>
        </w:rPr>
        <w:t> </w:t>
      </w:r>
      <w:r>
        <w:rPr/>
        <w:t>Department</w:t>
      </w:r>
      <w:r>
        <w:rPr>
          <w:spacing w:val="-3"/>
        </w:rPr>
        <w:t> </w:t>
      </w:r>
      <w:r>
        <w:rPr/>
        <w:t>will</w:t>
      </w:r>
      <w:r>
        <w:rPr>
          <w:spacing w:val="-4"/>
        </w:rPr>
        <w:t> </w:t>
      </w:r>
      <w:r>
        <w:rPr/>
        <w:t>inform</w:t>
      </w:r>
      <w:r>
        <w:rPr>
          <w:spacing w:val="-3"/>
        </w:rPr>
        <w:t> </w:t>
      </w:r>
      <w:r>
        <w:rPr/>
        <w:t>all</w:t>
      </w:r>
      <w:r>
        <w:rPr>
          <w:spacing w:val="-4"/>
        </w:rPr>
        <w:t> </w:t>
      </w:r>
      <w:r>
        <w:rPr/>
        <w:t>employees,</w:t>
      </w:r>
      <w:r>
        <w:rPr>
          <w:spacing w:val="-3"/>
        </w:rPr>
        <w:t> </w:t>
      </w:r>
      <w:r>
        <w:rPr/>
        <w:t>clients,</w:t>
      </w:r>
      <w:r>
        <w:rPr>
          <w:spacing w:val="-3"/>
        </w:rPr>
        <w:t> </w:t>
      </w:r>
      <w:r>
        <w:rPr/>
        <w:t>applicants</w:t>
      </w:r>
      <w:r>
        <w:rPr>
          <w:spacing w:val="-4"/>
        </w:rPr>
        <w:t> </w:t>
      </w:r>
      <w:r>
        <w:rPr/>
        <w:t>and</w:t>
      </w:r>
      <w:r>
        <w:rPr>
          <w:spacing w:val="-4"/>
        </w:rPr>
        <w:t> </w:t>
      </w:r>
      <w:r>
        <w:rPr/>
        <w:t>the</w:t>
      </w:r>
      <w:r>
        <w:rPr>
          <w:spacing w:val="-4"/>
        </w:rPr>
        <w:t> </w:t>
      </w:r>
      <w:r>
        <w:rPr/>
        <w:t>general</w:t>
      </w:r>
      <w:r>
        <w:rPr>
          <w:spacing w:val="-4"/>
        </w:rPr>
        <w:t> </w:t>
      </w:r>
      <w:r>
        <w:rPr/>
        <w:t>public that all services, any and all other benefits under its program are provided on a nondiscriminatory basis. The methods of disseminating policy include (1) - (7) of this </w:t>
      </w:r>
      <w:r>
        <w:rPr>
          <w:spacing w:val="-2"/>
        </w:rPr>
        <w:t>Section.</w:t>
      </w:r>
    </w:p>
    <w:p>
      <w:pPr>
        <w:pStyle w:val="ListParagraph"/>
        <w:numPr>
          <w:ilvl w:val="0"/>
          <w:numId w:val="43"/>
        </w:numPr>
        <w:tabs>
          <w:tab w:pos="1216" w:val="left" w:leader="none"/>
        </w:tabs>
        <w:spacing w:line="240" w:lineRule="auto" w:before="210" w:after="0"/>
        <w:ind w:left="1216" w:right="0" w:hanging="425"/>
        <w:jc w:val="left"/>
        <w:rPr>
          <w:sz w:val="24"/>
        </w:rPr>
      </w:pPr>
      <w:r>
        <w:rPr>
          <w:sz w:val="24"/>
        </w:rPr>
        <w:t>Written</w:t>
      </w:r>
      <w:r>
        <w:rPr>
          <w:spacing w:val="-3"/>
          <w:sz w:val="24"/>
        </w:rPr>
        <w:t> </w:t>
      </w:r>
      <w:r>
        <w:rPr>
          <w:sz w:val="24"/>
        </w:rPr>
        <w:t>notice</w:t>
      </w:r>
      <w:r>
        <w:rPr>
          <w:spacing w:val="-4"/>
          <w:sz w:val="24"/>
        </w:rPr>
        <w:t> </w:t>
      </w:r>
      <w:r>
        <w:rPr>
          <w:sz w:val="24"/>
        </w:rPr>
        <w:t>on</w:t>
      </w:r>
      <w:r>
        <w:rPr>
          <w:spacing w:val="-3"/>
          <w:sz w:val="24"/>
        </w:rPr>
        <w:t> </w:t>
      </w:r>
      <w:r>
        <w:rPr>
          <w:sz w:val="24"/>
        </w:rPr>
        <w:t>all</w:t>
      </w:r>
      <w:r>
        <w:rPr>
          <w:spacing w:val="-3"/>
          <w:sz w:val="24"/>
        </w:rPr>
        <w:t> </w:t>
      </w:r>
      <w:r>
        <w:rPr>
          <w:sz w:val="24"/>
        </w:rPr>
        <w:t>application</w:t>
      </w:r>
      <w:r>
        <w:rPr>
          <w:spacing w:val="-3"/>
          <w:sz w:val="24"/>
        </w:rPr>
        <w:t> </w:t>
      </w:r>
      <w:r>
        <w:rPr>
          <w:sz w:val="24"/>
        </w:rPr>
        <w:t>and</w:t>
      </w:r>
      <w:r>
        <w:rPr>
          <w:spacing w:val="-3"/>
          <w:sz w:val="24"/>
        </w:rPr>
        <w:t> </w:t>
      </w:r>
      <w:r>
        <w:rPr>
          <w:sz w:val="24"/>
        </w:rPr>
        <w:t>admission</w:t>
      </w:r>
      <w:r>
        <w:rPr>
          <w:spacing w:val="-3"/>
          <w:sz w:val="24"/>
        </w:rPr>
        <w:t> </w:t>
      </w:r>
      <w:r>
        <w:rPr>
          <w:spacing w:val="-2"/>
          <w:sz w:val="24"/>
        </w:rPr>
        <w:t>forms.</w:t>
      </w:r>
    </w:p>
    <w:p>
      <w:pPr>
        <w:pStyle w:val="ListParagraph"/>
        <w:numPr>
          <w:ilvl w:val="0"/>
          <w:numId w:val="43"/>
        </w:numPr>
        <w:tabs>
          <w:tab w:pos="1218" w:val="left" w:leader="none"/>
        </w:tabs>
        <w:spacing w:line="208" w:lineRule="auto" w:before="233" w:after="0"/>
        <w:ind w:left="792" w:right="1442" w:firstLine="0"/>
        <w:jc w:val="left"/>
        <w:rPr>
          <w:sz w:val="24"/>
        </w:rPr>
      </w:pPr>
      <w:r>
        <w:rPr>
          <w:sz w:val="24"/>
        </w:rPr>
        <w:t>A</w:t>
      </w:r>
      <w:r>
        <w:rPr>
          <w:spacing w:val="-5"/>
          <w:sz w:val="24"/>
        </w:rPr>
        <w:t> </w:t>
      </w:r>
      <w:r>
        <w:rPr>
          <w:sz w:val="24"/>
        </w:rPr>
        <w:t>nondiscrimination</w:t>
      </w:r>
      <w:r>
        <w:rPr>
          <w:spacing w:val="-5"/>
          <w:sz w:val="24"/>
        </w:rPr>
        <w:t> </w:t>
      </w:r>
      <w:r>
        <w:rPr>
          <w:sz w:val="24"/>
        </w:rPr>
        <w:t>statement</w:t>
      </w:r>
      <w:r>
        <w:rPr>
          <w:spacing w:val="-4"/>
          <w:sz w:val="24"/>
        </w:rPr>
        <w:t> </w:t>
      </w:r>
      <w:r>
        <w:rPr>
          <w:sz w:val="24"/>
        </w:rPr>
        <w:t>on</w:t>
      </w:r>
      <w:r>
        <w:rPr>
          <w:spacing w:val="-5"/>
          <w:sz w:val="24"/>
        </w:rPr>
        <w:t> </w:t>
      </w:r>
      <w:r>
        <w:rPr>
          <w:sz w:val="24"/>
        </w:rPr>
        <w:t>all</w:t>
      </w:r>
      <w:r>
        <w:rPr>
          <w:spacing w:val="-5"/>
          <w:sz w:val="24"/>
        </w:rPr>
        <w:t> </w:t>
      </w:r>
      <w:r>
        <w:rPr>
          <w:sz w:val="24"/>
        </w:rPr>
        <w:t>invoices,</w:t>
      </w:r>
      <w:r>
        <w:rPr>
          <w:spacing w:val="-4"/>
          <w:sz w:val="24"/>
        </w:rPr>
        <w:t> </w:t>
      </w:r>
      <w:r>
        <w:rPr>
          <w:sz w:val="24"/>
        </w:rPr>
        <w:t>financial</w:t>
      </w:r>
      <w:r>
        <w:rPr>
          <w:spacing w:val="-5"/>
          <w:sz w:val="24"/>
        </w:rPr>
        <w:t> </w:t>
      </w:r>
      <w:r>
        <w:rPr>
          <w:sz w:val="24"/>
        </w:rPr>
        <w:t>transaction</w:t>
      </w:r>
      <w:r>
        <w:rPr>
          <w:spacing w:val="-5"/>
          <w:sz w:val="24"/>
        </w:rPr>
        <w:t> </w:t>
      </w:r>
      <w:r>
        <w:rPr>
          <w:sz w:val="24"/>
        </w:rPr>
        <w:t>forms, contracts and agreements, business communications, and other related </w:t>
      </w:r>
      <w:r>
        <w:rPr>
          <w:spacing w:val="-2"/>
          <w:sz w:val="24"/>
        </w:rPr>
        <w:t>documentation.</w:t>
      </w:r>
    </w:p>
    <w:p>
      <w:pPr>
        <w:pStyle w:val="ListParagraph"/>
        <w:numPr>
          <w:ilvl w:val="0"/>
          <w:numId w:val="43"/>
        </w:numPr>
        <w:tabs>
          <w:tab w:pos="1218" w:val="left" w:leader="none"/>
        </w:tabs>
        <w:spacing w:line="208" w:lineRule="auto" w:before="240" w:after="0"/>
        <w:ind w:left="792" w:right="2066" w:firstLine="0"/>
        <w:jc w:val="left"/>
        <w:rPr>
          <w:sz w:val="24"/>
        </w:rPr>
      </w:pPr>
      <w:r>
        <w:rPr>
          <w:sz w:val="24"/>
        </w:rPr>
        <w:t>A</w:t>
      </w:r>
      <w:r>
        <w:rPr>
          <w:spacing w:val="-4"/>
          <w:sz w:val="24"/>
        </w:rPr>
        <w:t> </w:t>
      </w:r>
      <w:r>
        <w:rPr>
          <w:sz w:val="24"/>
        </w:rPr>
        <w:t>statement</w:t>
      </w:r>
      <w:r>
        <w:rPr>
          <w:spacing w:val="-3"/>
          <w:sz w:val="24"/>
        </w:rPr>
        <w:t> </w:t>
      </w:r>
      <w:r>
        <w:rPr>
          <w:sz w:val="24"/>
        </w:rPr>
        <w:t>in</w:t>
      </w:r>
      <w:r>
        <w:rPr>
          <w:spacing w:val="-4"/>
          <w:sz w:val="24"/>
        </w:rPr>
        <w:t> </w:t>
      </w:r>
      <w:r>
        <w:rPr>
          <w:sz w:val="24"/>
        </w:rPr>
        <w:t>all</w:t>
      </w:r>
      <w:r>
        <w:rPr>
          <w:spacing w:val="-4"/>
          <w:sz w:val="24"/>
        </w:rPr>
        <w:t> </w:t>
      </w:r>
      <w:r>
        <w:rPr>
          <w:sz w:val="24"/>
        </w:rPr>
        <w:t>brochures</w:t>
      </w:r>
      <w:r>
        <w:rPr>
          <w:spacing w:val="-4"/>
          <w:sz w:val="24"/>
        </w:rPr>
        <w:t> </w:t>
      </w:r>
      <w:r>
        <w:rPr>
          <w:sz w:val="24"/>
        </w:rPr>
        <w:t>and</w:t>
      </w:r>
      <w:r>
        <w:rPr>
          <w:spacing w:val="-4"/>
          <w:sz w:val="24"/>
        </w:rPr>
        <w:t> </w:t>
      </w:r>
      <w:r>
        <w:rPr>
          <w:sz w:val="24"/>
        </w:rPr>
        <w:t>pamphlets</w:t>
      </w:r>
      <w:r>
        <w:rPr>
          <w:spacing w:val="-4"/>
          <w:sz w:val="24"/>
        </w:rPr>
        <w:t> </w:t>
      </w:r>
      <w:r>
        <w:rPr>
          <w:sz w:val="24"/>
        </w:rPr>
        <w:t>which</w:t>
      </w:r>
      <w:r>
        <w:rPr>
          <w:spacing w:val="-3"/>
          <w:sz w:val="24"/>
        </w:rPr>
        <w:t> </w:t>
      </w:r>
      <w:r>
        <w:rPr>
          <w:sz w:val="24"/>
        </w:rPr>
        <w:t>are</w:t>
      </w:r>
      <w:r>
        <w:rPr>
          <w:spacing w:val="-4"/>
          <w:sz w:val="24"/>
        </w:rPr>
        <w:t> </w:t>
      </w:r>
      <w:r>
        <w:rPr>
          <w:sz w:val="24"/>
        </w:rPr>
        <w:t>distributed</w:t>
      </w:r>
      <w:r>
        <w:rPr>
          <w:spacing w:val="-4"/>
          <w:sz w:val="24"/>
        </w:rPr>
        <w:t> </w:t>
      </w:r>
      <w:r>
        <w:rPr>
          <w:sz w:val="24"/>
        </w:rPr>
        <w:t>to beneficiaries, applicants, and the public on the Department's policy of </w:t>
      </w:r>
      <w:r>
        <w:rPr>
          <w:spacing w:val="-2"/>
          <w:sz w:val="24"/>
        </w:rPr>
        <w:t>nondiscrimination.</w:t>
      </w:r>
    </w:p>
    <w:p>
      <w:pPr>
        <w:pStyle w:val="ListParagraph"/>
        <w:numPr>
          <w:ilvl w:val="0"/>
          <w:numId w:val="43"/>
        </w:numPr>
        <w:tabs>
          <w:tab w:pos="1216" w:val="left" w:leader="none"/>
        </w:tabs>
        <w:spacing w:line="208" w:lineRule="auto" w:before="240" w:after="0"/>
        <w:ind w:left="791" w:right="1804" w:firstLine="0"/>
        <w:jc w:val="left"/>
        <w:rPr>
          <w:sz w:val="24"/>
        </w:rPr>
      </w:pPr>
      <w:r>
        <w:rPr>
          <w:sz w:val="24"/>
        </w:rPr>
        <w:t>Official</w:t>
      </w:r>
      <w:r>
        <w:rPr>
          <w:spacing w:val="-4"/>
          <w:sz w:val="24"/>
        </w:rPr>
        <w:t> </w:t>
      </w:r>
      <w:r>
        <w:rPr>
          <w:sz w:val="24"/>
        </w:rPr>
        <w:t>posters</w:t>
      </w:r>
      <w:r>
        <w:rPr>
          <w:spacing w:val="-4"/>
          <w:sz w:val="24"/>
        </w:rPr>
        <w:t> </w:t>
      </w:r>
      <w:r>
        <w:rPr>
          <w:sz w:val="24"/>
        </w:rPr>
        <w:t>for</w:t>
      </w:r>
      <w:r>
        <w:rPr>
          <w:spacing w:val="-6"/>
          <w:sz w:val="24"/>
        </w:rPr>
        <w:t> </w:t>
      </w:r>
      <w:r>
        <w:rPr>
          <w:sz w:val="24"/>
        </w:rPr>
        <w:t>distribution</w:t>
      </w:r>
      <w:r>
        <w:rPr>
          <w:spacing w:val="-3"/>
          <w:sz w:val="24"/>
        </w:rPr>
        <w:t> </w:t>
      </w:r>
      <w:r>
        <w:rPr>
          <w:sz w:val="24"/>
        </w:rPr>
        <w:t>to</w:t>
      </w:r>
      <w:r>
        <w:rPr>
          <w:spacing w:val="-4"/>
          <w:sz w:val="24"/>
        </w:rPr>
        <w:t> </w:t>
      </w:r>
      <w:r>
        <w:rPr>
          <w:sz w:val="24"/>
        </w:rPr>
        <w:t>vendors</w:t>
      </w:r>
      <w:r>
        <w:rPr>
          <w:spacing w:val="-5"/>
          <w:sz w:val="24"/>
        </w:rPr>
        <w:t> </w:t>
      </w:r>
      <w:r>
        <w:rPr>
          <w:sz w:val="24"/>
        </w:rPr>
        <w:t>or</w:t>
      </w:r>
      <w:r>
        <w:rPr>
          <w:spacing w:val="-3"/>
          <w:sz w:val="24"/>
        </w:rPr>
        <w:t> </w:t>
      </w:r>
      <w:r>
        <w:rPr>
          <w:sz w:val="24"/>
        </w:rPr>
        <w:t>recipients,</w:t>
      </w:r>
      <w:r>
        <w:rPr>
          <w:spacing w:val="-3"/>
          <w:sz w:val="24"/>
        </w:rPr>
        <w:t> </w:t>
      </w:r>
      <w:r>
        <w:rPr>
          <w:sz w:val="24"/>
        </w:rPr>
        <w:t>to</w:t>
      </w:r>
      <w:r>
        <w:rPr>
          <w:spacing w:val="-5"/>
          <w:sz w:val="24"/>
        </w:rPr>
        <w:t> </w:t>
      </w:r>
      <w:r>
        <w:rPr>
          <w:sz w:val="24"/>
        </w:rPr>
        <w:t>be</w:t>
      </w:r>
      <w:r>
        <w:rPr>
          <w:spacing w:val="-4"/>
          <w:sz w:val="24"/>
        </w:rPr>
        <w:t> </w:t>
      </w:r>
      <w:r>
        <w:rPr>
          <w:sz w:val="24"/>
        </w:rPr>
        <w:t>placed</w:t>
      </w:r>
      <w:r>
        <w:rPr>
          <w:spacing w:val="-4"/>
          <w:sz w:val="24"/>
        </w:rPr>
        <w:t> </w:t>
      </w:r>
      <w:r>
        <w:rPr>
          <w:sz w:val="24"/>
        </w:rPr>
        <w:t>in prominent public places.</w:t>
      </w:r>
    </w:p>
    <w:p>
      <w:pPr>
        <w:pStyle w:val="ListParagraph"/>
        <w:numPr>
          <w:ilvl w:val="0"/>
          <w:numId w:val="43"/>
        </w:numPr>
        <w:tabs>
          <w:tab w:pos="1216" w:val="left" w:leader="none"/>
        </w:tabs>
        <w:spacing w:line="208" w:lineRule="auto" w:before="240" w:after="0"/>
        <w:ind w:left="791" w:right="1014" w:firstLine="0"/>
        <w:jc w:val="left"/>
        <w:rPr>
          <w:sz w:val="24"/>
        </w:rPr>
      </w:pPr>
      <w:r>
        <w:rPr>
          <w:sz w:val="24"/>
        </w:rPr>
        <w:t>Information to the general public on its right to file complaints, and the addresses</w:t>
      </w:r>
      <w:r>
        <w:rPr>
          <w:spacing w:val="-4"/>
          <w:sz w:val="24"/>
        </w:rPr>
        <w:t> </w:t>
      </w:r>
      <w:r>
        <w:rPr>
          <w:sz w:val="24"/>
        </w:rPr>
        <w:t>of</w:t>
      </w:r>
      <w:r>
        <w:rPr>
          <w:spacing w:val="-3"/>
          <w:sz w:val="24"/>
        </w:rPr>
        <w:t> </w:t>
      </w:r>
      <w:r>
        <w:rPr>
          <w:sz w:val="24"/>
        </w:rPr>
        <w:t>the</w:t>
      </w:r>
      <w:r>
        <w:rPr>
          <w:spacing w:val="-4"/>
          <w:sz w:val="24"/>
        </w:rPr>
        <w:t> </w:t>
      </w:r>
      <w:r>
        <w:rPr>
          <w:sz w:val="24"/>
        </w:rPr>
        <w:t>Department</w:t>
      </w:r>
      <w:r>
        <w:rPr>
          <w:spacing w:val="-3"/>
          <w:sz w:val="24"/>
        </w:rPr>
        <w:t> </w:t>
      </w:r>
      <w:r>
        <w:rPr>
          <w:sz w:val="24"/>
        </w:rPr>
        <w:t>and</w:t>
      </w:r>
      <w:r>
        <w:rPr>
          <w:spacing w:val="-4"/>
          <w:sz w:val="24"/>
        </w:rPr>
        <w:t> </w:t>
      </w:r>
      <w:r>
        <w:rPr>
          <w:sz w:val="24"/>
        </w:rPr>
        <w:t>the</w:t>
      </w:r>
      <w:r>
        <w:rPr>
          <w:spacing w:val="-4"/>
          <w:sz w:val="24"/>
        </w:rPr>
        <w:t> </w:t>
      </w:r>
      <w:r>
        <w:rPr>
          <w:sz w:val="24"/>
        </w:rPr>
        <w:t>Office</w:t>
      </w:r>
      <w:r>
        <w:rPr>
          <w:spacing w:val="-4"/>
          <w:sz w:val="24"/>
        </w:rPr>
        <w:t> </w:t>
      </w:r>
      <w:r>
        <w:rPr>
          <w:sz w:val="24"/>
        </w:rPr>
        <w:t>of</w:t>
      </w:r>
      <w:r>
        <w:rPr>
          <w:spacing w:val="-3"/>
          <w:sz w:val="24"/>
        </w:rPr>
        <w:t> </w:t>
      </w:r>
      <w:r>
        <w:rPr>
          <w:sz w:val="24"/>
        </w:rPr>
        <w:t>Civil</w:t>
      </w:r>
      <w:r>
        <w:rPr>
          <w:spacing w:val="-4"/>
          <w:sz w:val="24"/>
        </w:rPr>
        <w:t> </w:t>
      </w:r>
      <w:r>
        <w:rPr>
          <w:sz w:val="24"/>
        </w:rPr>
        <w:t>Rights</w:t>
      </w:r>
      <w:r>
        <w:rPr>
          <w:spacing w:val="-4"/>
          <w:sz w:val="24"/>
        </w:rPr>
        <w:t> </w:t>
      </w:r>
      <w:r>
        <w:rPr>
          <w:sz w:val="24"/>
        </w:rPr>
        <w:t>Enforcement,</w:t>
      </w:r>
      <w:r>
        <w:rPr>
          <w:spacing w:val="-5"/>
          <w:sz w:val="24"/>
        </w:rPr>
        <w:t> </w:t>
      </w:r>
      <w:r>
        <w:rPr>
          <w:sz w:val="24"/>
        </w:rPr>
        <w:t>to</w:t>
      </w:r>
      <w:r>
        <w:rPr>
          <w:spacing w:val="-4"/>
          <w:sz w:val="24"/>
        </w:rPr>
        <w:t> </w:t>
      </w:r>
      <w:r>
        <w:rPr>
          <w:sz w:val="24"/>
        </w:rPr>
        <w:t>which complaints may be sent.</w:t>
      </w:r>
    </w:p>
    <w:p>
      <w:pPr>
        <w:pStyle w:val="ListParagraph"/>
        <w:numPr>
          <w:ilvl w:val="0"/>
          <w:numId w:val="43"/>
        </w:numPr>
        <w:tabs>
          <w:tab w:pos="1217" w:val="left" w:leader="none"/>
        </w:tabs>
        <w:spacing w:line="208" w:lineRule="auto" w:before="239" w:after="0"/>
        <w:ind w:left="792" w:right="802" w:firstLine="0"/>
        <w:jc w:val="left"/>
        <w:rPr>
          <w:sz w:val="24"/>
        </w:rPr>
      </w:pPr>
      <w:r>
        <w:rPr>
          <w:sz w:val="24"/>
        </w:rPr>
        <w:t>In areas where there are significant numbers of non-English speaking minorities,</w:t>
      </w:r>
      <w:r>
        <w:rPr>
          <w:spacing w:val="-4"/>
          <w:sz w:val="24"/>
        </w:rPr>
        <w:t> </w:t>
      </w:r>
      <w:r>
        <w:rPr>
          <w:sz w:val="24"/>
        </w:rPr>
        <w:t>the</w:t>
      </w:r>
      <w:r>
        <w:rPr>
          <w:spacing w:val="-5"/>
          <w:sz w:val="24"/>
        </w:rPr>
        <w:t> </w:t>
      </w:r>
      <w:r>
        <w:rPr>
          <w:sz w:val="24"/>
        </w:rPr>
        <w:t>Department</w:t>
      </w:r>
      <w:r>
        <w:rPr>
          <w:spacing w:val="-4"/>
          <w:sz w:val="24"/>
        </w:rPr>
        <w:t> </w:t>
      </w:r>
      <w:r>
        <w:rPr>
          <w:sz w:val="24"/>
        </w:rPr>
        <w:t>will</w:t>
      </w:r>
      <w:r>
        <w:rPr>
          <w:spacing w:val="-5"/>
          <w:sz w:val="24"/>
        </w:rPr>
        <w:t> </w:t>
      </w:r>
      <w:r>
        <w:rPr>
          <w:sz w:val="24"/>
        </w:rPr>
        <w:t>communicate</w:t>
      </w:r>
      <w:r>
        <w:rPr>
          <w:spacing w:val="-5"/>
          <w:sz w:val="24"/>
        </w:rPr>
        <w:t> </w:t>
      </w:r>
      <w:r>
        <w:rPr>
          <w:sz w:val="24"/>
        </w:rPr>
        <w:t>its</w:t>
      </w:r>
      <w:r>
        <w:rPr>
          <w:spacing w:val="-5"/>
          <w:sz w:val="24"/>
        </w:rPr>
        <w:t> </w:t>
      </w:r>
      <w:r>
        <w:rPr>
          <w:sz w:val="24"/>
        </w:rPr>
        <w:t>policy,</w:t>
      </w:r>
      <w:r>
        <w:rPr>
          <w:spacing w:val="-4"/>
          <w:sz w:val="24"/>
        </w:rPr>
        <w:t> </w:t>
      </w:r>
      <w:r>
        <w:rPr>
          <w:sz w:val="24"/>
        </w:rPr>
        <w:t>including</w:t>
      </w:r>
      <w:r>
        <w:rPr>
          <w:spacing w:val="-5"/>
          <w:sz w:val="24"/>
        </w:rPr>
        <w:t> </w:t>
      </w:r>
      <w:r>
        <w:rPr>
          <w:sz w:val="24"/>
        </w:rPr>
        <w:t>complaint</w:t>
      </w:r>
      <w:r>
        <w:rPr>
          <w:spacing w:val="-4"/>
          <w:sz w:val="24"/>
        </w:rPr>
        <w:t> </w:t>
      </w:r>
      <w:r>
        <w:rPr>
          <w:sz w:val="24"/>
        </w:rPr>
        <w:t>rights,</w:t>
      </w:r>
      <w:r>
        <w:rPr>
          <w:spacing w:val="-4"/>
          <w:sz w:val="24"/>
        </w:rPr>
        <w:t> </w:t>
      </w:r>
      <w:r>
        <w:rPr>
          <w:sz w:val="24"/>
        </w:rPr>
        <w:t>in the appropriate languages.</w:t>
      </w:r>
    </w:p>
    <w:p>
      <w:pPr>
        <w:pStyle w:val="ListParagraph"/>
        <w:numPr>
          <w:ilvl w:val="0"/>
          <w:numId w:val="43"/>
        </w:numPr>
        <w:tabs>
          <w:tab w:pos="1218" w:val="left" w:leader="none"/>
        </w:tabs>
        <w:spacing w:line="208" w:lineRule="auto" w:before="240" w:after="0"/>
        <w:ind w:left="792" w:right="882" w:firstLine="0"/>
        <w:jc w:val="left"/>
        <w:rPr>
          <w:sz w:val="24"/>
        </w:rPr>
      </w:pPr>
      <w:r>
        <w:rPr>
          <w:sz w:val="24"/>
        </w:rPr>
        <w:t>For</w:t>
      </w:r>
      <w:r>
        <w:rPr>
          <w:spacing w:val="-6"/>
          <w:sz w:val="24"/>
        </w:rPr>
        <w:t> </w:t>
      </w:r>
      <w:r>
        <w:rPr>
          <w:sz w:val="24"/>
        </w:rPr>
        <w:t>persons</w:t>
      </w:r>
      <w:r>
        <w:rPr>
          <w:spacing w:val="-5"/>
          <w:sz w:val="24"/>
        </w:rPr>
        <w:t> </w:t>
      </w:r>
      <w:r>
        <w:rPr>
          <w:sz w:val="24"/>
        </w:rPr>
        <w:t>with</w:t>
      </w:r>
      <w:r>
        <w:rPr>
          <w:spacing w:val="-5"/>
          <w:sz w:val="24"/>
        </w:rPr>
        <w:t> </w:t>
      </w:r>
      <w:r>
        <w:rPr>
          <w:sz w:val="24"/>
        </w:rPr>
        <w:t>impaired</w:t>
      </w:r>
      <w:r>
        <w:rPr>
          <w:spacing w:val="-5"/>
          <w:sz w:val="24"/>
        </w:rPr>
        <w:t> </w:t>
      </w:r>
      <w:r>
        <w:rPr>
          <w:sz w:val="24"/>
        </w:rPr>
        <w:t>sensory,</w:t>
      </w:r>
      <w:r>
        <w:rPr>
          <w:spacing w:val="-4"/>
          <w:sz w:val="24"/>
        </w:rPr>
        <w:t> </w:t>
      </w:r>
      <w:r>
        <w:rPr>
          <w:sz w:val="24"/>
        </w:rPr>
        <w:t>manual,</w:t>
      </w:r>
      <w:r>
        <w:rPr>
          <w:spacing w:val="-4"/>
          <w:sz w:val="24"/>
        </w:rPr>
        <w:t> </w:t>
      </w:r>
      <w:r>
        <w:rPr>
          <w:sz w:val="24"/>
        </w:rPr>
        <w:t>or</w:t>
      </w:r>
      <w:r>
        <w:rPr>
          <w:spacing w:val="-4"/>
          <w:sz w:val="24"/>
        </w:rPr>
        <w:t> </w:t>
      </w:r>
      <w:r>
        <w:rPr>
          <w:sz w:val="24"/>
        </w:rPr>
        <w:t>speaking</w:t>
      </w:r>
      <w:r>
        <w:rPr>
          <w:spacing w:val="-5"/>
          <w:sz w:val="24"/>
        </w:rPr>
        <w:t> </w:t>
      </w:r>
      <w:r>
        <w:rPr>
          <w:sz w:val="24"/>
        </w:rPr>
        <w:t>skills,</w:t>
      </w:r>
      <w:r>
        <w:rPr>
          <w:spacing w:val="-3"/>
          <w:sz w:val="24"/>
        </w:rPr>
        <w:t> </w:t>
      </w:r>
      <w:r>
        <w:rPr>
          <w:sz w:val="24"/>
        </w:rPr>
        <w:t>the</w:t>
      </w:r>
      <w:r>
        <w:rPr>
          <w:spacing w:val="-5"/>
          <w:sz w:val="24"/>
        </w:rPr>
        <w:t> </w:t>
      </w:r>
      <w:r>
        <w:rPr>
          <w:sz w:val="24"/>
        </w:rPr>
        <w:t>Department will provide appropriate auxiliary aids where necessary to afford such persons an equal opportunity to learn of its policies or to</w:t>
      </w:r>
      <w:r>
        <w:rPr>
          <w:spacing w:val="-1"/>
          <w:sz w:val="24"/>
        </w:rPr>
        <w:t> </w:t>
      </w:r>
      <w:r>
        <w:rPr>
          <w:sz w:val="24"/>
        </w:rPr>
        <w:t>benefit from its programs or services.</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tabs>
          <w:tab w:pos="1439" w:val="left" w:leader="none"/>
        </w:tabs>
        <w:spacing w:before="0"/>
        <w:ind w:left="1439" w:right="1148" w:hanging="1080"/>
        <w:jc w:val="left"/>
        <w:rPr>
          <w:sz w:val="22"/>
        </w:rPr>
      </w:pPr>
      <w:r>
        <w:rPr>
          <w:spacing w:val="-2"/>
          <w:sz w:val="22"/>
        </w:rPr>
        <w:t>8-27-15</w:t>
      </w:r>
      <w:r>
        <w:rPr>
          <w:sz w:val="22"/>
        </w:rPr>
        <w:tab/>
        <w:t>Updated</w:t>
      </w:r>
      <w:r>
        <w:rPr>
          <w:spacing w:val="-4"/>
          <w:sz w:val="22"/>
        </w:rPr>
        <w:t> </w:t>
      </w:r>
      <w:r>
        <w:rPr>
          <w:sz w:val="22"/>
        </w:rPr>
        <w:t>language</w:t>
      </w:r>
      <w:r>
        <w:rPr>
          <w:spacing w:val="-4"/>
          <w:sz w:val="22"/>
        </w:rPr>
        <w:t> </w:t>
      </w:r>
      <w:r>
        <w:rPr>
          <w:sz w:val="22"/>
        </w:rPr>
        <w:t>removing</w:t>
      </w:r>
      <w:r>
        <w:rPr>
          <w:spacing w:val="-4"/>
          <w:sz w:val="22"/>
        </w:rPr>
        <w:t> </w:t>
      </w:r>
      <w:r>
        <w:rPr>
          <w:sz w:val="22"/>
        </w:rPr>
        <w:t>the</w:t>
      </w:r>
      <w:r>
        <w:rPr>
          <w:spacing w:val="-4"/>
          <w:sz w:val="22"/>
        </w:rPr>
        <w:t> </w:t>
      </w:r>
      <w:r>
        <w:rPr>
          <w:sz w:val="22"/>
        </w:rPr>
        <w:t>Oklahoma</w:t>
      </w:r>
      <w:r>
        <w:rPr>
          <w:spacing w:val="-4"/>
          <w:sz w:val="22"/>
        </w:rPr>
        <w:t> </w:t>
      </w:r>
      <w:r>
        <w:rPr>
          <w:sz w:val="22"/>
        </w:rPr>
        <w:t>Human</w:t>
      </w:r>
      <w:r>
        <w:rPr>
          <w:spacing w:val="-4"/>
          <w:sz w:val="22"/>
        </w:rPr>
        <w:t> </w:t>
      </w:r>
      <w:r>
        <w:rPr>
          <w:sz w:val="22"/>
        </w:rPr>
        <w:t>Rights</w:t>
      </w:r>
      <w:r>
        <w:rPr>
          <w:spacing w:val="-4"/>
          <w:sz w:val="22"/>
        </w:rPr>
        <w:t> </w:t>
      </w:r>
      <w:r>
        <w:rPr>
          <w:sz w:val="22"/>
        </w:rPr>
        <w:t>and</w:t>
      </w:r>
      <w:r>
        <w:rPr>
          <w:spacing w:val="-4"/>
          <w:sz w:val="22"/>
        </w:rPr>
        <w:t> </w:t>
      </w:r>
      <w:r>
        <w:rPr>
          <w:sz w:val="22"/>
        </w:rPr>
        <w:t>replacing</w:t>
      </w:r>
      <w:r>
        <w:rPr>
          <w:spacing w:val="-5"/>
          <w:sz w:val="22"/>
        </w:rPr>
        <w:t> </w:t>
      </w:r>
      <w:r>
        <w:rPr>
          <w:sz w:val="22"/>
        </w:rPr>
        <w:t>with</w:t>
      </w:r>
      <w:r>
        <w:rPr>
          <w:spacing w:val="-4"/>
          <w:sz w:val="22"/>
        </w:rPr>
        <w:t> </w:t>
      </w:r>
      <w:r>
        <w:rPr>
          <w:sz w:val="22"/>
        </w:rPr>
        <w:t>the Office of Civil Rights Enforcement.</w:t>
      </w:r>
    </w:p>
    <w:p>
      <w:pPr>
        <w:spacing w:after="0"/>
        <w:jc w:val="left"/>
        <w:rPr>
          <w:sz w:val="22"/>
        </w:rPr>
        <w:sectPr>
          <w:pgSz w:w="12240" w:h="15840"/>
          <w:pgMar w:top="1340" w:bottom="280" w:left="1080" w:right="720"/>
        </w:sectPr>
      </w:pPr>
    </w:p>
    <w:p>
      <w:pPr>
        <w:pStyle w:val="Heading2"/>
      </w:pPr>
      <w:bookmarkStart w:name="612:1-13-6.  Maintenance of racial and e" w:id="50"/>
      <w:bookmarkEnd w:id="50"/>
      <w:r>
        <w:rPr>
          <w:b w:val="0"/>
        </w:rPr>
      </w:r>
      <w:r>
        <w:rPr/>
        <w:t>612:1-13-6.</w:t>
      </w:r>
      <w:r>
        <w:rPr>
          <w:spacing w:val="59"/>
        </w:rPr>
        <w:t> </w:t>
      </w:r>
      <w:r>
        <w:rPr/>
        <w:t>Maintenance</w:t>
      </w:r>
      <w:r>
        <w:rPr>
          <w:spacing w:val="-3"/>
        </w:rPr>
        <w:t> </w:t>
      </w:r>
      <w:r>
        <w:rPr/>
        <w:t>of</w:t>
      </w:r>
      <w:r>
        <w:rPr>
          <w:spacing w:val="-3"/>
        </w:rPr>
        <w:t> </w:t>
      </w:r>
      <w:r>
        <w:rPr/>
        <w:t>racial</w:t>
      </w:r>
      <w:r>
        <w:rPr>
          <w:spacing w:val="-3"/>
        </w:rPr>
        <w:t> </w:t>
      </w:r>
      <w:r>
        <w:rPr/>
        <w:t>and</w:t>
      </w:r>
      <w:r>
        <w:rPr>
          <w:spacing w:val="-3"/>
        </w:rPr>
        <w:t> </w:t>
      </w:r>
      <w:r>
        <w:rPr/>
        <w:t>ethnic</w:t>
      </w:r>
      <w:r>
        <w:rPr>
          <w:spacing w:val="-4"/>
        </w:rPr>
        <w:t> data</w:t>
      </w:r>
    </w:p>
    <w:p>
      <w:pPr>
        <w:pStyle w:val="BodyText"/>
        <w:spacing w:line="208" w:lineRule="auto" w:before="233"/>
        <w:ind w:right="739" w:firstLine="432"/>
      </w:pPr>
      <w:r>
        <w:rPr/>
        <w:t>The Department will collect and maintain racial and ethnic data showing the extent to which members of minority groups are beneficiaries of and participants in its programs. Considerations of privacy or confidentiality will not be used as a bar to providing access to the Office of Civil Rights Enforcement to records or data. The system</w:t>
      </w:r>
      <w:r>
        <w:rPr>
          <w:spacing w:val="-3"/>
        </w:rPr>
        <w:t> </w:t>
      </w:r>
      <w:r>
        <w:rPr/>
        <w:t>outlined</w:t>
      </w:r>
      <w:r>
        <w:rPr>
          <w:spacing w:val="-4"/>
        </w:rPr>
        <w:t> </w:t>
      </w:r>
      <w:r>
        <w:rPr/>
        <w:t>will</w:t>
      </w:r>
      <w:r>
        <w:rPr>
          <w:spacing w:val="-4"/>
        </w:rPr>
        <w:t> </w:t>
      </w:r>
      <w:r>
        <w:rPr/>
        <w:t>alert</w:t>
      </w:r>
      <w:r>
        <w:rPr>
          <w:spacing w:val="-3"/>
        </w:rPr>
        <w:t> </w:t>
      </w:r>
      <w:r>
        <w:rPr/>
        <w:t>the</w:t>
      </w:r>
      <w:r>
        <w:rPr>
          <w:spacing w:val="-4"/>
        </w:rPr>
        <w:t> </w:t>
      </w:r>
      <w:r>
        <w:rPr/>
        <w:t>Department</w:t>
      </w:r>
      <w:r>
        <w:rPr>
          <w:spacing w:val="-3"/>
        </w:rPr>
        <w:t> </w:t>
      </w:r>
      <w:r>
        <w:rPr/>
        <w:t>of</w:t>
      </w:r>
      <w:r>
        <w:rPr>
          <w:spacing w:val="-5"/>
        </w:rPr>
        <w:t> </w:t>
      </w:r>
      <w:r>
        <w:rPr/>
        <w:t>suspect</w:t>
      </w:r>
      <w:r>
        <w:rPr>
          <w:spacing w:val="-3"/>
        </w:rPr>
        <w:t> </w:t>
      </w:r>
      <w:r>
        <w:rPr/>
        <w:t>situations</w:t>
      </w:r>
      <w:r>
        <w:rPr>
          <w:spacing w:val="-4"/>
        </w:rPr>
        <w:t> </w:t>
      </w:r>
      <w:r>
        <w:rPr/>
        <w:t>where</w:t>
      </w:r>
      <w:r>
        <w:rPr>
          <w:spacing w:val="-4"/>
        </w:rPr>
        <w:t> </w:t>
      </w:r>
      <w:r>
        <w:rPr/>
        <w:t>there</w:t>
      </w:r>
      <w:r>
        <w:rPr>
          <w:spacing w:val="-4"/>
        </w:rPr>
        <w:t> </w:t>
      </w:r>
      <w:r>
        <w:rPr/>
        <w:t>is</w:t>
      </w:r>
      <w:r>
        <w:rPr>
          <w:spacing w:val="-5"/>
        </w:rPr>
        <w:t> </w:t>
      </w:r>
      <w:r>
        <w:rPr/>
        <w:t>a</w:t>
      </w:r>
      <w:r>
        <w:rPr>
          <w:spacing w:val="-4"/>
        </w:rPr>
        <w:t> </w:t>
      </w:r>
      <w:r>
        <w:rPr/>
        <w:t>relatively low rate of minority participation, or where minorities do not appear to be deriving equal benefits and services.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7-1-03</w:t>
      </w:r>
      <w:r>
        <w:rPr>
          <w:sz w:val="22"/>
        </w:rPr>
        <w:tab/>
        <w:t>PT Memo #03-07</w:t>
      </w:r>
    </w:p>
    <w:p>
      <w:pPr>
        <w:spacing w:before="1"/>
        <w:ind w:left="1439" w:right="739" w:firstLine="0"/>
        <w:jc w:val="left"/>
        <w:rPr>
          <w:sz w:val="22"/>
        </w:rPr>
      </w:pPr>
      <w:r>
        <w:rPr>
          <w:sz w:val="22"/>
        </w:rPr>
        <w:t>Permanent,</w:t>
      </w:r>
      <w:r>
        <w:rPr>
          <w:spacing w:val="-4"/>
          <w:sz w:val="22"/>
        </w:rPr>
        <w:t> </w:t>
      </w:r>
      <w:r>
        <w:rPr>
          <w:sz w:val="22"/>
        </w:rPr>
        <w:t>updated</w:t>
      </w:r>
      <w:r>
        <w:rPr>
          <w:spacing w:val="-5"/>
          <w:sz w:val="22"/>
        </w:rPr>
        <w:t> </w:t>
      </w:r>
      <w:r>
        <w:rPr>
          <w:sz w:val="22"/>
        </w:rPr>
        <w:t>language</w:t>
      </w:r>
      <w:r>
        <w:rPr>
          <w:spacing w:val="-5"/>
          <w:sz w:val="22"/>
        </w:rPr>
        <w:t> </w:t>
      </w:r>
      <w:r>
        <w:rPr>
          <w:sz w:val="22"/>
        </w:rPr>
        <w:t>removing</w:t>
      </w:r>
      <w:r>
        <w:rPr>
          <w:spacing w:val="-5"/>
          <w:sz w:val="22"/>
        </w:rPr>
        <w:t> </w:t>
      </w:r>
      <w:r>
        <w:rPr>
          <w:sz w:val="22"/>
        </w:rPr>
        <w:t>Affirmative</w:t>
      </w:r>
      <w:r>
        <w:rPr>
          <w:spacing w:val="-5"/>
          <w:sz w:val="22"/>
        </w:rPr>
        <w:t> </w:t>
      </w:r>
      <w:r>
        <w:rPr>
          <w:sz w:val="22"/>
        </w:rPr>
        <w:t>Action</w:t>
      </w:r>
      <w:r>
        <w:rPr>
          <w:spacing w:val="-5"/>
          <w:sz w:val="22"/>
        </w:rPr>
        <w:t> </w:t>
      </w:r>
      <w:r>
        <w:rPr>
          <w:sz w:val="22"/>
        </w:rPr>
        <w:t>Officer</w:t>
      </w:r>
      <w:r>
        <w:rPr>
          <w:spacing w:val="-5"/>
          <w:sz w:val="22"/>
        </w:rPr>
        <w:t> </w:t>
      </w:r>
      <w:r>
        <w:rPr>
          <w:sz w:val="22"/>
        </w:rPr>
        <w:t>and</w:t>
      </w:r>
      <w:r>
        <w:rPr>
          <w:spacing w:val="-5"/>
          <w:sz w:val="22"/>
        </w:rPr>
        <w:t> </w:t>
      </w:r>
      <w:r>
        <w:rPr>
          <w:sz w:val="22"/>
        </w:rPr>
        <w:t>replacing</w:t>
      </w:r>
      <w:r>
        <w:rPr>
          <w:spacing w:val="-5"/>
          <w:sz w:val="22"/>
        </w:rPr>
        <w:t> </w:t>
      </w:r>
      <w:r>
        <w:rPr>
          <w:sz w:val="22"/>
        </w:rPr>
        <w:t>with Civil Rights Administrator</w:t>
      </w:r>
    </w:p>
    <w:p>
      <w:pPr>
        <w:tabs>
          <w:tab w:pos="1439" w:val="left" w:leader="none"/>
        </w:tabs>
        <w:spacing w:line="252" w:lineRule="exact" w:before="0"/>
        <w:ind w:left="359" w:right="0" w:firstLine="0"/>
        <w:jc w:val="left"/>
        <w:rPr>
          <w:sz w:val="22"/>
        </w:rPr>
      </w:pPr>
      <w:r>
        <w:rPr>
          <w:spacing w:val="-2"/>
          <w:sz w:val="22"/>
        </w:rPr>
        <w:t>8-27-</w:t>
      </w:r>
      <w:r>
        <w:rPr>
          <w:spacing w:val="-5"/>
          <w:sz w:val="22"/>
        </w:rPr>
        <w:t>15</w:t>
      </w:r>
      <w:r>
        <w:rPr>
          <w:sz w:val="22"/>
        </w:rPr>
        <w:tab/>
        <w:t>Removal</w:t>
      </w:r>
      <w:r>
        <w:rPr>
          <w:spacing w:val="-7"/>
          <w:sz w:val="22"/>
        </w:rPr>
        <w:t> </w:t>
      </w:r>
      <w:r>
        <w:rPr>
          <w:sz w:val="22"/>
        </w:rPr>
        <w:t>of</w:t>
      </w:r>
      <w:r>
        <w:rPr>
          <w:spacing w:val="-7"/>
          <w:sz w:val="22"/>
        </w:rPr>
        <w:t> </w:t>
      </w:r>
      <w:r>
        <w:rPr>
          <w:sz w:val="22"/>
        </w:rPr>
        <w:t>language</w:t>
      </w:r>
      <w:r>
        <w:rPr>
          <w:spacing w:val="-6"/>
          <w:sz w:val="22"/>
        </w:rPr>
        <w:t> </w:t>
      </w:r>
      <w:r>
        <w:rPr>
          <w:sz w:val="22"/>
        </w:rPr>
        <w:t>regarding</w:t>
      </w:r>
      <w:r>
        <w:rPr>
          <w:spacing w:val="-7"/>
          <w:sz w:val="22"/>
        </w:rPr>
        <w:t> </w:t>
      </w:r>
      <w:r>
        <w:rPr>
          <w:sz w:val="22"/>
        </w:rPr>
        <w:t>the</w:t>
      </w:r>
      <w:r>
        <w:rPr>
          <w:spacing w:val="-8"/>
          <w:sz w:val="22"/>
        </w:rPr>
        <w:t> </w:t>
      </w:r>
      <w:r>
        <w:rPr>
          <w:sz w:val="22"/>
        </w:rPr>
        <w:t>Civil</w:t>
      </w:r>
      <w:r>
        <w:rPr>
          <w:spacing w:val="-6"/>
          <w:sz w:val="22"/>
        </w:rPr>
        <w:t> </w:t>
      </w:r>
      <w:r>
        <w:rPr>
          <w:sz w:val="22"/>
        </w:rPr>
        <w:t>Rights</w:t>
      </w:r>
      <w:r>
        <w:rPr>
          <w:spacing w:val="-8"/>
          <w:sz w:val="22"/>
        </w:rPr>
        <w:t> </w:t>
      </w:r>
      <w:r>
        <w:rPr>
          <w:spacing w:val="-2"/>
          <w:sz w:val="22"/>
        </w:rPr>
        <w:t>Administrator.</w:t>
      </w:r>
    </w:p>
    <w:p>
      <w:pPr>
        <w:spacing w:before="0"/>
        <w:ind w:left="1439" w:right="775" w:firstLine="0"/>
        <w:jc w:val="left"/>
        <w:rPr>
          <w:sz w:val="22"/>
        </w:rPr>
      </w:pPr>
      <w:r>
        <w:rPr>
          <w:sz w:val="22"/>
        </w:rPr>
        <w:t>Updated</w:t>
      </w:r>
      <w:r>
        <w:rPr>
          <w:spacing w:val="-4"/>
          <w:sz w:val="22"/>
        </w:rPr>
        <w:t> </w:t>
      </w:r>
      <w:r>
        <w:rPr>
          <w:sz w:val="22"/>
        </w:rPr>
        <w:t>language</w:t>
      </w:r>
      <w:r>
        <w:rPr>
          <w:spacing w:val="-4"/>
          <w:sz w:val="22"/>
        </w:rPr>
        <w:t> </w:t>
      </w:r>
      <w:r>
        <w:rPr>
          <w:sz w:val="22"/>
        </w:rPr>
        <w:t>removing</w:t>
      </w:r>
      <w:r>
        <w:rPr>
          <w:spacing w:val="-4"/>
          <w:sz w:val="22"/>
        </w:rPr>
        <w:t> </w:t>
      </w:r>
      <w:r>
        <w:rPr>
          <w:sz w:val="22"/>
        </w:rPr>
        <w:t>the</w:t>
      </w:r>
      <w:r>
        <w:rPr>
          <w:spacing w:val="-4"/>
          <w:sz w:val="22"/>
        </w:rPr>
        <w:t> </w:t>
      </w:r>
      <w:r>
        <w:rPr>
          <w:sz w:val="22"/>
        </w:rPr>
        <w:t>Human</w:t>
      </w:r>
      <w:r>
        <w:rPr>
          <w:spacing w:val="-4"/>
          <w:sz w:val="22"/>
        </w:rPr>
        <w:t> </w:t>
      </w:r>
      <w:r>
        <w:rPr>
          <w:sz w:val="22"/>
        </w:rPr>
        <w:t>Rights</w:t>
      </w:r>
      <w:r>
        <w:rPr>
          <w:spacing w:val="-4"/>
          <w:sz w:val="22"/>
        </w:rPr>
        <w:t> </w:t>
      </w:r>
      <w:r>
        <w:rPr>
          <w:sz w:val="22"/>
        </w:rPr>
        <w:t>Commission</w:t>
      </w:r>
      <w:r>
        <w:rPr>
          <w:spacing w:val="-5"/>
          <w:sz w:val="22"/>
        </w:rPr>
        <w:t> </w:t>
      </w:r>
      <w:r>
        <w:rPr>
          <w:sz w:val="22"/>
        </w:rPr>
        <w:t>and</w:t>
      </w:r>
      <w:r>
        <w:rPr>
          <w:spacing w:val="-4"/>
          <w:sz w:val="22"/>
        </w:rPr>
        <w:t> </w:t>
      </w:r>
      <w:r>
        <w:rPr>
          <w:sz w:val="22"/>
        </w:rPr>
        <w:t>replacing</w:t>
      </w:r>
      <w:r>
        <w:rPr>
          <w:spacing w:val="-4"/>
          <w:sz w:val="22"/>
        </w:rPr>
        <w:t> </w:t>
      </w:r>
      <w:r>
        <w:rPr>
          <w:sz w:val="22"/>
        </w:rPr>
        <w:t>with</w:t>
      </w:r>
      <w:r>
        <w:rPr>
          <w:spacing w:val="-4"/>
          <w:sz w:val="22"/>
        </w:rPr>
        <w:t> </w:t>
      </w:r>
      <w:r>
        <w:rPr>
          <w:sz w:val="22"/>
        </w:rPr>
        <w:t>the Office of Civil Rights Enforcement.</w:t>
      </w:r>
    </w:p>
    <w:p>
      <w:pPr>
        <w:spacing w:after="0"/>
        <w:jc w:val="left"/>
        <w:rPr>
          <w:sz w:val="22"/>
        </w:rPr>
        <w:sectPr>
          <w:pgSz w:w="12240" w:h="15840"/>
          <w:pgMar w:top="1340" w:bottom="280" w:left="1080" w:right="720"/>
        </w:sectPr>
      </w:pPr>
    </w:p>
    <w:p>
      <w:pPr>
        <w:pStyle w:val="Heading2"/>
      </w:pPr>
      <w:bookmarkStart w:name="612:1-13-7.  Composition of planning and" w:id="51"/>
      <w:bookmarkEnd w:id="51"/>
      <w:r>
        <w:rPr>
          <w:b w:val="0"/>
        </w:rPr>
      </w:r>
      <w:r>
        <w:rPr/>
        <w:t>612:1-13-7.</w:t>
      </w:r>
      <w:r>
        <w:rPr>
          <w:spacing w:val="56"/>
        </w:rPr>
        <w:t> </w:t>
      </w:r>
      <w:r>
        <w:rPr/>
        <w:t>Composition</w:t>
      </w:r>
      <w:r>
        <w:rPr>
          <w:spacing w:val="-4"/>
        </w:rPr>
        <w:t> </w:t>
      </w:r>
      <w:r>
        <w:rPr/>
        <w:t>of</w:t>
      </w:r>
      <w:r>
        <w:rPr>
          <w:spacing w:val="-6"/>
        </w:rPr>
        <w:t> </w:t>
      </w:r>
      <w:r>
        <w:rPr/>
        <w:t>planning</w:t>
      </w:r>
      <w:r>
        <w:rPr>
          <w:spacing w:val="-4"/>
        </w:rPr>
        <w:t> </w:t>
      </w:r>
      <w:r>
        <w:rPr/>
        <w:t>and</w:t>
      </w:r>
      <w:r>
        <w:rPr>
          <w:spacing w:val="-4"/>
        </w:rPr>
        <w:t> </w:t>
      </w:r>
      <w:r>
        <w:rPr/>
        <w:t>policymaking</w:t>
      </w:r>
      <w:r>
        <w:rPr>
          <w:spacing w:val="-4"/>
        </w:rPr>
        <w:t> </w:t>
      </w:r>
      <w:r>
        <w:rPr>
          <w:spacing w:val="-2"/>
        </w:rPr>
        <w:t>bodies</w:t>
      </w:r>
    </w:p>
    <w:p>
      <w:pPr>
        <w:pStyle w:val="ListParagraph"/>
        <w:numPr>
          <w:ilvl w:val="0"/>
          <w:numId w:val="44"/>
        </w:numPr>
        <w:tabs>
          <w:tab w:pos="786" w:val="left" w:leader="none"/>
        </w:tabs>
        <w:spacing w:line="208" w:lineRule="auto" w:before="233" w:after="0"/>
        <w:ind w:left="360" w:right="820" w:firstLine="0"/>
        <w:jc w:val="left"/>
        <w:rPr>
          <w:sz w:val="24"/>
        </w:rPr>
      </w:pPr>
      <w:r>
        <w:rPr>
          <w:sz w:val="24"/>
        </w:rPr>
        <w:t>The Department shall ensure that all its institutional vendors are aware and shall comply</w:t>
      </w:r>
      <w:r>
        <w:rPr>
          <w:spacing w:val="-4"/>
          <w:sz w:val="24"/>
        </w:rPr>
        <w:t> </w:t>
      </w:r>
      <w:r>
        <w:rPr>
          <w:sz w:val="24"/>
        </w:rPr>
        <w:t>with</w:t>
      </w:r>
      <w:r>
        <w:rPr>
          <w:spacing w:val="-4"/>
          <w:sz w:val="24"/>
        </w:rPr>
        <w:t> </w:t>
      </w:r>
      <w:r>
        <w:rPr>
          <w:sz w:val="24"/>
        </w:rPr>
        <w:t>the</w:t>
      </w:r>
      <w:r>
        <w:rPr>
          <w:spacing w:val="-4"/>
          <w:sz w:val="24"/>
        </w:rPr>
        <w:t> </w:t>
      </w:r>
      <w:r>
        <w:rPr>
          <w:sz w:val="24"/>
        </w:rPr>
        <w:t>legal</w:t>
      </w:r>
      <w:r>
        <w:rPr>
          <w:spacing w:val="-4"/>
          <w:sz w:val="24"/>
        </w:rPr>
        <w:t> </w:t>
      </w:r>
      <w:r>
        <w:rPr>
          <w:sz w:val="24"/>
        </w:rPr>
        <w:t>stipulations</w:t>
      </w:r>
      <w:r>
        <w:rPr>
          <w:spacing w:val="-3"/>
          <w:sz w:val="24"/>
        </w:rPr>
        <w:t> </w:t>
      </w:r>
      <w:r>
        <w:rPr>
          <w:sz w:val="24"/>
        </w:rPr>
        <w:t>outlined</w:t>
      </w:r>
      <w:r>
        <w:rPr>
          <w:spacing w:val="-4"/>
          <w:sz w:val="24"/>
        </w:rPr>
        <w:t> </w:t>
      </w:r>
      <w:r>
        <w:rPr>
          <w:sz w:val="24"/>
        </w:rPr>
        <w:t>in</w:t>
      </w:r>
      <w:r>
        <w:rPr>
          <w:spacing w:val="-3"/>
          <w:sz w:val="24"/>
        </w:rPr>
        <w:t> </w:t>
      </w:r>
      <w:r>
        <w:rPr>
          <w:sz w:val="24"/>
        </w:rPr>
        <w:t>Federal</w:t>
      </w:r>
      <w:r>
        <w:rPr>
          <w:spacing w:val="-4"/>
          <w:sz w:val="24"/>
        </w:rPr>
        <w:t> </w:t>
      </w:r>
      <w:r>
        <w:rPr>
          <w:sz w:val="24"/>
        </w:rPr>
        <w:t>regulations</w:t>
      </w:r>
      <w:r>
        <w:rPr>
          <w:spacing w:val="-4"/>
          <w:sz w:val="24"/>
        </w:rPr>
        <w:t> </w:t>
      </w:r>
      <w:r>
        <w:rPr>
          <w:sz w:val="24"/>
        </w:rPr>
        <w:t>pertaining</w:t>
      </w:r>
      <w:r>
        <w:rPr>
          <w:spacing w:val="-4"/>
          <w:sz w:val="24"/>
        </w:rPr>
        <w:t> </w:t>
      </w:r>
      <w:r>
        <w:rPr>
          <w:sz w:val="24"/>
        </w:rPr>
        <w:t>to</w:t>
      </w:r>
      <w:r>
        <w:rPr>
          <w:spacing w:val="-4"/>
          <w:sz w:val="24"/>
        </w:rPr>
        <w:t> </w:t>
      </w:r>
      <w:r>
        <w:rPr>
          <w:sz w:val="24"/>
        </w:rPr>
        <w:t>minorities or individuals with disabilities in planning and advisory bodies.</w:t>
      </w:r>
    </w:p>
    <w:p>
      <w:pPr>
        <w:pStyle w:val="ListParagraph"/>
        <w:numPr>
          <w:ilvl w:val="0"/>
          <w:numId w:val="44"/>
        </w:numPr>
        <w:tabs>
          <w:tab w:pos="786" w:val="left" w:leader="none"/>
        </w:tabs>
        <w:spacing w:line="208" w:lineRule="auto" w:before="240" w:after="0"/>
        <w:ind w:left="360" w:right="1166" w:firstLine="0"/>
        <w:jc w:val="left"/>
        <w:rPr>
          <w:sz w:val="24"/>
        </w:rPr>
      </w:pPr>
      <w:r>
        <w:rPr>
          <w:sz w:val="24"/>
        </w:rPr>
        <w:t>The</w:t>
      </w:r>
      <w:r>
        <w:rPr>
          <w:spacing w:val="-4"/>
          <w:sz w:val="24"/>
        </w:rPr>
        <w:t> </w:t>
      </w:r>
      <w:r>
        <w:rPr>
          <w:sz w:val="24"/>
        </w:rPr>
        <w:t>Department</w:t>
      </w:r>
      <w:r>
        <w:rPr>
          <w:spacing w:val="-3"/>
          <w:sz w:val="24"/>
        </w:rPr>
        <w:t> </w:t>
      </w:r>
      <w:r>
        <w:rPr>
          <w:sz w:val="24"/>
        </w:rPr>
        <w:t>will</w:t>
      </w:r>
      <w:r>
        <w:rPr>
          <w:spacing w:val="-4"/>
          <w:sz w:val="24"/>
        </w:rPr>
        <w:t> </w:t>
      </w:r>
      <w:r>
        <w:rPr>
          <w:sz w:val="24"/>
        </w:rPr>
        <w:t>incorporate</w:t>
      </w:r>
      <w:r>
        <w:rPr>
          <w:spacing w:val="-4"/>
          <w:sz w:val="24"/>
        </w:rPr>
        <w:t> </w:t>
      </w:r>
      <w:r>
        <w:rPr>
          <w:sz w:val="24"/>
        </w:rPr>
        <w:t>in</w:t>
      </w:r>
      <w:r>
        <w:rPr>
          <w:spacing w:val="-4"/>
          <w:sz w:val="24"/>
        </w:rPr>
        <w:t> </w:t>
      </w:r>
      <w:r>
        <w:rPr>
          <w:sz w:val="24"/>
        </w:rPr>
        <w:t>its</w:t>
      </w:r>
      <w:r>
        <w:rPr>
          <w:spacing w:val="-4"/>
          <w:sz w:val="24"/>
        </w:rPr>
        <w:t> </w:t>
      </w:r>
      <w:r>
        <w:rPr>
          <w:sz w:val="24"/>
        </w:rPr>
        <w:t>requirements</w:t>
      </w:r>
      <w:r>
        <w:rPr>
          <w:spacing w:val="-4"/>
          <w:sz w:val="24"/>
        </w:rPr>
        <w:t> </w:t>
      </w:r>
      <w:r>
        <w:rPr>
          <w:sz w:val="24"/>
        </w:rPr>
        <w:t>for</w:t>
      </w:r>
      <w:r>
        <w:rPr>
          <w:spacing w:val="-3"/>
          <w:sz w:val="24"/>
        </w:rPr>
        <w:t> </w:t>
      </w:r>
      <w:r>
        <w:rPr>
          <w:sz w:val="24"/>
        </w:rPr>
        <w:t>institutional</w:t>
      </w:r>
      <w:r>
        <w:rPr>
          <w:spacing w:val="-4"/>
          <w:sz w:val="24"/>
        </w:rPr>
        <w:t> </w:t>
      </w:r>
      <w:r>
        <w:rPr>
          <w:sz w:val="24"/>
        </w:rPr>
        <w:t>vendors</w:t>
      </w:r>
      <w:r>
        <w:rPr>
          <w:spacing w:val="-4"/>
          <w:sz w:val="24"/>
        </w:rPr>
        <w:t> </w:t>
      </w:r>
      <w:r>
        <w:rPr>
          <w:sz w:val="24"/>
        </w:rPr>
        <w:t>as</w:t>
      </w:r>
      <w:r>
        <w:rPr>
          <w:spacing w:val="-4"/>
          <w:sz w:val="24"/>
        </w:rPr>
        <w:t> </w:t>
      </w:r>
      <w:r>
        <w:rPr>
          <w:sz w:val="24"/>
        </w:rPr>
        <w:t>a condition of their approval, an assurance from those institutional vendors that every reasonable effort is made to comply with provisions of the Civil Rights Act.</w:t>
      </w:r>
    </w:p>
    <w:p>
      <w:pPr>
        <w:pStyle w:val="ListParagraph"/>
        <w:numPr>
          <w:ilvl w:val="0"/>
          <w:numId w:val="44"/>
        </w:numPr>
        <w:tabs>
          <w:tab w:pos="773" w:val="left" w:leader="none"/>
        </w:tabs>
        <w:spacing w:line="208" w:lineRule="auto" w:before="239" w:after="0"/>
        <w:ind w:left="360" w:right="860" w:firstLine="0"/>
        <w:jc w:val="left"/>
        <w:rPr>
          <w:sz w:val="24"/>
        </w:rPr>
      </w:pPr>
      <w:r>
        <w:rPr>
          <w:sz w:val="24"/>
        </w:rPr>
        <w:t>The Department will further provide interested persons, including individuals with disabilities or organizations representing individuals with disabilities, the opportunity to assist</w:t>
      </w:r>
      <w:r>
        <w:rPr>
          <w:spacing w:val="-2"/>
          <w:sz w:val="24"/>
        </w:rPr>
        <w:t> </w:t>
      </w:r>
      <w:r>
        <w:rPr>
          <w:sz w:val="24"/>
        </w:rPr>
        <w:t>in</w:t>
      </w:r>
      <w:r>
        <w:rPr>
          <w:spacing w:val="-3"/>
          <w:sz w:val="24"/>
        </w:rPr>
        <w:t> </w:t>
      </w:r>
      <w:r>
        <w:rPr>
          <w:sz w:val="24"/>
        </w:rPr>
        <w:t>the</w:t>
      </w:r>
      <w:r>
        <w:rPr>
          <w:spacing w:val="-3"/>
          <w:sz w:val="24"/>
        </w:rPr>
        <w:t> </w:t>
      </w:r>
      <w:r>
        <w:rPr>
          <w:sz w:val="24"/>
        </w:rPr>
        <w:t>self-evaluation</w:t>
      </w:r>
      <w:r>
        <w:rPr>
          <w:spacing w:val="-3"/>
          <w:sz w:val="24"/>
        </w:rPr>
        <w:t> </w:t>
      </w:r>
      <w:r>
        <w:rPr>
          <w:sz w:val="24"/>
        </w:rPr>
        <w:t>of</w:t>
      </w:r>
      <w:r>
        <w:rPr>
          <w:spacing w:val="-2"/>
          <w:sz w:val="24"/>
        </w:rPr>
        <w:t> </w:t>
      </w:r>
      <w:r>
        <w:rPr>
          <w:sz w:val="24"/>
        </w:rPr>
        <w:t>its</w:t>
      </w:r>
      <w:r>
        <w:rPr>
          <w:spacing w:val="-4"/>
          <w:sz w:val="24"/>
        </w:rPr>
        <w:t> </w:t>
      </w:r>
      <w:r>
        <w:rPr>
          <w:sz w:val="24"/>
        </w:rPr>
        <w:t>current</w:t>
      </w:r>
      <w:r>
        <w:rPr>
          <w:spacing w:val="-2"/>
          <w:sz w:val="24"/>
        </w:rPr>
        <w:t> </w:t>
      </w:r>
      <w:r>
        <w:rPr>
          <w:sz w:val="24"/>
        </w:rPr>
        <w:t>policies</w:t>
      </w:r>
      <w:r>
        <w:rPr>
          <w:spacing w:val="-3"/>
          <w:sz w:val="24"/>
        </w:rPr>
        <w:t> </w:t>
      </w:r>
      <w:r>
        <w:rPr>
          <w:sz w:val="24"/>
        </w:rPr>
        <w:t>and</w:t>
      </w:r>
      <w:r>
        <w:rPr>
          <w:spacing w:val="-3"/>
          <w:sz w:val="24"/>
        </w:rPr>
        <w:t> </w:t>
      </w:r>
      <w:r>
        <w:rPr>
          <w:sz w:val="24"/>
        </w:rPr>
        <w:t>practices</w:t>
      </w:r>
      <w:r>
        <w:rPr>
          <w:spacing w:val="-3"/>
          <w:sz w:val="24"/>
        </w:rPr>
        <w:t> </w:t>
      </w:r>
      <w:r>
        <w:rPr>
          <w:sz w:val="24"/>
        </w:rPr>
        <w:t>and</w:t>
      </w:r>
      <w:r>
        <w:rPr>
          <w:spacing w:val="-2"/>
          <w:sz w:val="24"/>
        </w:rPr>
        <w:t> </w:t>
      </w:r>
      <w:r>
        <w:rPr>
          <w:sz w:val="24"/>
        </w:rPr>
        <w:t>the</w:t>
      </w:r>
      <w:r>
        <w:rPr>
          <w:spacing w:val="-4"/>
          <w:sz w:val="24"/>
        </w:rPr>
        <w:t> </w:t>
      </w:r>
      <w:r>
        <w:rPr>
          <w:sz w:val="24"/>
        </w:rPr>
        <w:t>effect</w:t>
      </w:r>
      <w:r>
        <w:rPr>
          <w:spacing w:val="-4"/>
          <w:sz w:val="24"/>
        </w:rPr>
        <w:t> </w:t>
      </w:r>
      <w:r>
        <w:rPr>
          <w:sz w:val="24"/>
        </w:rPr>
        <w:t>thereof</w:t>
      </w:r>
      <w:r>
        <w:rPr>
          <w:spacing w:val="-2"/>
          <w:sz w:val="24"/>
        </w:rPr>
        <w:t> </w:t>
      </w:r>
      <w:r>
        <w:rPr>
          <w:sz w:val="24"/>
        </w:rPr>
        <w:t>in regard to ADA and Section 504.</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387" w:firstLine="1080"/>
        <w:jc w:val="left"/>
        <w:rPr>
          <w:sz w:val="22"/>
        </w:rPr>
      </w:pPr>
      <w:r>
        <w:rPr>
          <w:sz w:val="22"/>
        </w:rPr>
        <w:t>Permanent, first adoption under OAC Title 612 </w:t>
      </w:r>
      <w:r>
        <w:rPr>
          <w:spacing w:val="-2"/>
          <w:sz w:val="22"/>
        </w:rPr>
        <w:t>7-1-12</w:t>
      </w:r>
      <w:r>
        <w:rPr>
          <w:sz w:val="22"/>
        </w:rPr>
        <w:tab/>
        <w:t>Permanent,</w:t>
      </w:r>
      <w:r>
        <w:rPr>
          <w:spacing w:val="-9"/>
          <w:sz w:val="22"/>
        </w:rPr>
        <w:t> </w:t>
      </w:r>
      <w:r>
        <w:rPr>
          <w:sz w:val="22"/>
        </w:rPr>
        <w:t>added</w:t>
      </w:r>
      <w:r>
        <w:rPr>
          <w:spacing w:val="-10"/>
          <w:sz w:val="22"/>
        </w:rPr>
        <w:t> </w:t>
      </w:r>
      <w:r>
        <w:rPr>
          <w:sz w:val="22"/>
        </w:rPr>
        <w:t>affirmative</w:t>
      </w:r>
      <w:r>
        <w:rPr>
          <w:spacing w:val="-10"/>
          <w:sz w:val="22"/>
        </w:rPr>
        <w:t> </w:t>
      </w:r>
      <w:r>
        <w:rPr>
          <w:sz w:val="22"/>
        </w:rPr>
        <w:t>action</w:t>
      </w:r>
      <w:r>
        <w:rPr>
          <w:spacing w:val="-10"/>
          <w:sz w:val="22"/>
        </w:rPr>
        <w:t> </w:t>
      </w:r>
      <w:r>
        <w:rPr>
          <w:sz w:val="22"/>
        </w:rPr>
        <w:t>categories</w:t>
      </w:r>
    </w:p>
    <w:p>
      <w:pPr>
        <w:tabs>
          <w:tab w:pos="1439" w:val="left" w:leader="none"/>
        </w:tabs>
        <w:spacing w:before="0"/>
        <w:ind w:left="1439" w:right="1454" w:hanging="1080"/>
        <w:jc w:val="left"/>
        <w:rPr>
          <w:sz w:val="22"/>
        </w:rPr>
      </w:pPr>
      <w:r>
        <w:rPr>
          <w:spacing w:val="-2"/>
          <w:sz w:val="22"/>
        </w:rPr>
        <w:t>8-27-15</w:t>
      </w:r>
      <w:r>
        <w:rPr>
          <w:sz w:val="22"/>
        </w:rPr>
        <w:tab/>
        <w:t>Removal</w:t>
      </w:r>
      <w:r>
        <w:rPr>
          <w:spacing w:val="-4"/>
          <w:sz w:val="22"/>
        </w:rPr>
        <w:t> </w:t>
      </w:r>
      <w:r>
        <w:rPr>
          <w:sz w:val="22"/>
        </w:rPr>
        <w:t>of</w:t>
      </w:r>
      <w:r>
        <w:rPr>
          <w:spacing w:val="-4"/>
          <w:sz w:val="22"/>
        </w:rPr>
        <w:t> </w:t>
      </w:r>
      <w:r>
        <w:rPr>
          <w:sz w:val="22"/>
        </w:rPr>
        <w:t>language</w:t>
      </w:r>
      <w:r>
        <w:rPr>
          <w:spacing w:val="-4"/>
          <w:sz w:val="22"/>
        </w:rPr>
        <w:t> </w:t>
      </w:r>
      <w:r>
        <w:rPr>
          <w:sz w:val="22"/>
        </w:rPr>
        <w:t>formerly</w:t>
      </w:r>
      <w:r>
        <w:rPr>
          <w:spacing w:val="-4"/>
          <w:sz w:val="22"/>
        </w:rPr>
        <w:t> </w:t>
      </w:r>
      <w:r>
        <w:rPr>
          <w:sz w:val="22"/>
        </w:rPr>
        <w:t>section</w:t>
      </w:r>
      <w:r>
        <w:rPr>
          <w:spacing w:val="-4"/>
          <w:sz w:val="22"/>
        </w:rPr>
        <w:t> </w:t>
      </w:r>
      <w:r>
        <w:rPr>
          <w:sz w:val="22"/>
        </w:rPr>
        <w:t>(a)</w:t>
      </w:r>
      <w:r>
        <w:rPr>
          <w:spacing w:val="-4"/>
          <w:sz w:val="22"/>
        </w:rPr>
        <w:t> </w:t>
      </w:r>
      <w:r>
        <w:rPr>
          <w:sz w:val="22"/>
        </w:rPr>
        <w:t>providing</w:t>
      </w:r>
      <w:r>
        <w:rPr>
          <w:spacing w:val="-4"/>
          <w:sz w:val="22"/>
        </w:rPr>
        <w:t> </w:t>
      </w:r>
      <w:r>
        <w:rPr>
          <w:sz w:val="22"/>
        </w:rPr>
        <w:t>individuals</w:t>
      </w:r>
      <w:r>
        <w:rPr>
          <w:spacing w:val="-4"/>
          <w:sz w:val="22"/>
        </w:rPr>
        <w:t> </w:t>
      </w:r>
      <w:r>
        <w:rPr>
          <w:sz w:val="22"/>
        </w:rPr>
        <w:t>included</w:t>
      </w:r>
      <w:r>
        <w:rPr>
          <w:spacing w:val="-5"/>
          <w:sz w:val="22"/>
        </w:rPr>
        <w:t> </w:t>
      </w:r>
      <w:r>
        <w:rPr>
          <w:sz w:val="22"/>
        </w:rPr>
        <w:t>in</w:t>
      </w:r>
      <w:r>
        <w:rPr>
          <w:spacing w:val="-5"/>
          <w:sz w:val="22"/>
        </w:rPr>
        <w:t> </w:t>
      </w:r>
      <w:r>
        <w:rPr>
          <w:sz w:val="22"/>
        </w:rPr>
        <w:t>the affirmative action categories the opportunity for membership on planning and advisory bodies.</w:t>
      </w:r>
    </w:p>
    <w:p>
      <w:pPr>
        <w:spacing w:after="0"/>
        <w:jc w:val="left"/>
        <w:rPr>
          <w:sz w:val="22"/>
        </w:rPr>
        <w:sectPr>
          <w:pgSz w:w="12240" w:h="15840"/>
          <w:pgMar w:top="1340" w:bottom="280" w:left="1080" w:right="720"/>
        </w:sectPr>
      </w:pPr>
    </w:p>
    <w:p>
      <w:pPr>
        <w:pStyle w:val="Heading2"/>
      </w:pPr>
      <w:bookmarkStart w:name="612:1-13-8.  Arrangements for bilingual " w:id="52"/>
      <w:bookmarkEnd w:id="52"/>
      <w:r>
        <w:rPr>
          <w:b w:val="0"/>
        </w:rPr>
      </w:r>
      <w:r>
        <w:rPr/>
        <w:t>612:1-13-8.</w:t>
      </w:r>
      <w:r>
        <w:rPr>
          <w:spacing w:val="59"/>
        </w:rPr>
        <w:t> </w:t>
      </w:r>
      <w:r>
        <w:rPr/>
        <w:t>Arrangements</w:t>
      </w:r>
      <w:r>
        <w:rPr>
          <w:spacing w:val="-4"/>
        </w:rPr>
        <w:t> </w:t>
      </w:r>
      <w:r>
        <w:rPr/>
        <w:t>for</w:t>
      </w:r>
      <w:r>
        <w:rPr>
          <w:spacing w:val="-5"/>
        </w:rPr>
        <w:t> </w:t>
      </w:r>
      <w:r>
        <w:rPr/>
        <w:t>bilingual</w:t>
      </w:r>
      <w:r>
        <w:rPr>
          <w:spacing w:val="-5"/>
        </w:rPr>
        <w:t> </w:t>
      </w:r>
      <w:r>
        <w:rPr>
          <w:spacing w:val="-2"/>
        </w:rPr>
        <w:t>interpreters</w:t>
      </w:r>
    </w:p>
    <w:p>
      <w:pPr>
        <w:pStyle w:val="BodyText"/>
        <w:spacing w:line="208" w:lineRule="auto" w:before="233"/>
        <w:ind w:right="775" w:firstLine="432"/>
      </w:pPr>
      <w:r>
        <w:rPr/>
        <w:t>If</w:t>
      </w:r>
      <w:r>
        <w:rPr>
          <w:spacing w:val="-4"/>
        </w:rPr>
        <w:t> </w:t>
      </w:r>
      <w:r>
        <w:rPr/>
        <w:t>the</w:t>
      </w:r>
      <w:r>
        <w:rPr>
          <w:spacing w:val="-3"/>
        </w:rPr>
        <w:t> </w:t>
      </w:r>
      <w:r>
        <w:rPr/>
        <w:t>client</w:t>
      </w:r>
      <w:r>
        <w:rPr>
          <w:spacing w:val="-2"/>
        </w:rPr>
        <w:t> </w:t>
      </w:r>
      <w:r>
        <w:rPr/>
        <w:t>population</w:t>
      </w:r>
      <w:r>
        <w:rPr>
          <w:spacing w:val="-2"/>
        </w:rPr>
        <w:t> </w:t>
      </w:r>
      <w:r>
        <w:rPr/>
        <w:t>served</w:t>
      </w:r>
      <w:r>
        <w:rPr>
          <w:spacing w:val="-3"/>
        </w:rPr>
        <w:t> </w:t>
      </w:r>
      <w:r>
        <w:rPr/>
        <w:t>by</w:t>
      </w:r>
      <w:r>
        <w:rPr>
          <w:spacing w:val="-3"/>
        </w:rPr>
        <w:t> </w:t>
      </w:r>
      <w:r>
        <w:rPr/>
        <w:t>a</w:t>
      </w:r>
      <w:r>
        <w:rPr>
          <w:spacing w:val="-3"/>
        </w:rPr>
        <w:t> </w:t>
      </w:r>
      <w:r>
        <w:rPr/>
        <w:t>program</w:t>
      </w:r>
      <w:r>
        <w:rPr>
          <w:spacing w:val="-2"/>
        </w:rPr>
        <w:t> </w:t>
      </w:r>
      <w:r>
        <w:rPr/>
        <w:t>is</w:t>
      </w:r>
      <w:r>
        <w:rPr>
          <w:spacing w:val="-3"/>
        </w:rPr>
        <w:t> </w:t>
      </w:r>
      <w:r>
        <w:rPr/>
        <w:t>5%</w:t>
      </w:r>
      <w:r>
        <w:rPr>
          <w:spacing w:val="-3"/>
        </w:rPr>
        <w:t> </w:t>
      </w:r>
      <w:r>
        <w:rPr/>
        <w:t>or</w:t>
      </w:r>
      <w:r>
        <w:rPr>
          <w:spacing w:val="-4"/>
        </w:rPr>
        <w:t> </w:t>
      </w:r>
      <w:r>
        <w:rPr/>
        <w:t>more</w:t>
      </w:r>
      <w:r>
        <w:rPr>
          <w:spacing w:val="-3"/>
        </w:rPr>
        <w:t> </w:t>
      </w:r>
      <w:r>
        <w:rPr/>
        <w:t>non-English</w:t>
      </w:r>
      <w:r>
        <w:rPr>
          <w:spacing w:val="-3"/>
        </w:rPr>
        <w:t> </w:t>
      </w:r>
      <w:r>
        <w:rPr/>
        <w:t>speaking, then a formalized procedure for bilingual services and literature in the respective language must be provided.</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pPr>
      <w:bookmarkStart w:name="612:1-13-9.  Complaint rules and procedu" w:id="53"/>
      <w:bookmarkEnd w:id="53"/>
      <w:r>
        <w:rPr>
          <w:b w:val="0"/>
        </w:rPr>
      </w:r>
      <w:r>
        <w:rPr/>
        <w:t>612:1-13-9.</w:t>
      </w:r>
      <w:r>
        <w:rPr>
          <w:spacing w:val="59"/>
        </w:rPr>
        <w:t> </w:t>
      </w:r>
      <w:r>
        <w:rPr/>
        <w:t>Complaint</w:t>
      </w:r>
      <w:r>
        <w:rPr>
          <w:spacing w:val="-2"/>
        </w:rPr>
        <w:t> </w:t>
      </w:r>
      <w:r>
        <w:rPr/>
        <w:t>rules</w:t>
      </w:r>
      <w:r>
        <w:rPr>
          <w:spacing w:val="-4"/>
        </w:rPr>
        <w:t> </w:t>
      </w:r>
      <w:r>
        <w:rPr/>
        <w:t>and</w:t>
      </w:r>
      <w:r>
        <w:rPr>
          <w:spacing w:val="-3"/>
        </w:rPr>
        <w:t> </w:t>
      </w:r>
      <w:r>
        <w:rPr>
          <w:spacing w:val="-2"/>
        </w:rPr>
        <w:t>procedures</w:t>
      </w:r>
    </w:p>
    <w:p>
      <w:pPr>
        <w:pStyle w:val="ListParagraph"/>
        <w:numPr>
          <w:ilvl w:val="0"/>
          <w:numId w:val="45"/>
        </w:numPr>
        <w:tabs>
          <w:tab w:pos="786" w:val="left" w:leader="none"/>
        </w:tabs>
        <w:spacing w:line="208" w:lineRule="auto" w:before="233" w:after="0"/>
        <w:ind w:left="360" w:right="767" w:firstLine="0"/>
        <w:jc w:val="left"/>
        <w:rPr>
          <w:sz w:val="24"/>
        </w:rPr>
      </w:pPr>
      <w:r>
        <w:rPr>
          <w:sz w:val="24"/>
        </w:rPr>
        <w:t>Any person who believes that he/she or any specific class of persons has been subjected</w:t>
      </w:r>
      <w:r>
        <w:rPr>
          <w:spacing w:val="-4"/>
          <w:sz w:val="24"/>
        </w:rPr>
        <w:t> </w:t>
      </w:r>
      <w:r>
        <w:rPr>
          <w:sz w:val="24"/>
        </w:rPr>
        <w:t>to</w:t>
      </w:r>
      <w:r>
        <w:rPr>
          <w:spacing w:val="-4"/>
          <w:sz w:val="24"/>
        </w:rPr>
        <w:t> </w:t>
      </w:r>
      <w:r>
        <w:rPr>
          <w:sz w:val="24"/>
        </w:rPr>
        <w:t>discrimination</w:t>
      </w:r>
      <w:r>
        <w:rPr>
          <w:spacing w:val="-4"/>
          <w:sz w:val="24"/>
        </w:rPr>
        <w:t> </w:t>
      </w:r>
      <w:r>
        <w:rPr>
          <w:sz w:val="24"/>
        </w:rPr>
        <w:t>in</w:t>
      </w:r>
      <w:r>
        <w:rPr>
          <w:spacing w:val="-4"/>
          <w:sz w:val="24"/>
        </w:rPr>
        <w:t> </w:t>
      </w:r>
      <w:r>
        <w:rPr>
          <w:sz w:val="24"/>
        </w:rPr>
        <w:t>a</w:t>
      </w:r>
      <w:r>
        <w:rPr>
          <w:spacing w:val="-4"/>
          <w:sz w:val="24"/>
        </w:rPr>
        <w:t> </w:t>
      </w:r>
      <w:r>
        <w:rPr>
          <w:sz w:val="24"/>
        </w:rPr>
        <w:t>Department</w:t>
      </w:r>
      <w:r>
        <w:rPr>
          <w:spacing w:val="-5"/>
          <w:sz w:val="24"/>
        </w:rPr>
        <w:t> </w:t>
      </w:r>
      <w:r>
        <w:rPr>
          <w:sz w:val="24"/>
        </w:rPr>
        <w:t>program</w:t>
      </w:r>
      <w:r>
        <w:rPr>
          <w:spacing w:val="-3"/>
          <w:sz w:val="24"/>
        </w:rPr>
        <w:t> </w:t>
      </w:r>
      <w:r>
        <w:rPr>
          <w:sz w:val="24"/>
        </w:rPr>
        <w:t>subject</w:t>
      </w:r>
      <w:r>
        <w:rPr>
          <w:spacing w:val="-3"/>
          <w:sz w:val="24"/>
        </w:rPr>
        <w:t> </w:t>
      </w:r>
      <w:r>
        <w:rPr>
          <w:sz w:val="24"/>
        </w:rPr>
        <w:t>to</w:t>
      </w:r>
      <w:r>
        <w:rPr>
          <w:spacing w:val="-4"/>
          <w:sz w:val="24"/>
        </w:rPr>
        <w:t> </w:t>
      </w:r>
      <w:r>
        <w:rPr>
          <w:sz w:val="24"/>
        </w:rPr>
        <w:t>Title</w:t>
      </w:r>
      <w:r>
        <w:rPr>
          <w:spacing w:val="-4"/>
          <w:sz w:val="24"/>
        </w:rPr>
        <w:t> </w:t>
      </w:r>
      <w:r>
        <w:rPr>
          <w:sz w:val="24"/>
        </w:rPr>
        <w:t>VI,</w:t>
      </w:r>
      <w:r>
        <w:rPr>
          <w:spacing w:val="-3"/>
          <w:sz w:val="24"/>
        </w:rPr>
        <w:t> </w:t>
      </w:r>
      <w:r>
        <w:rPr>
          <w:sz w:val="24"/>
        </w:rPr>
        <w:t>ADA,</w:t>
      </w:r>
      <w:r>
        <w:rPr>
          <w:spacing w:val="-5"/>
          <w:sz w:val="24"/>
        </w:rPr>
        <w:t> </w:t>
      </w:r>
      <w:r>
        <w:rPr>
          <w:sz w:val="24"/>
        </w:rPr>
        <w:t>or</w:t>
      </w:r>
      <w:r>
        <w:rPr>
          <w:spacing w:val="-3"/>
          <w:sz w:val="24"/>
        </w:rPr>
        <w:t> </w:t>
      </w:r>
      <w:r>
        <w:rPr>
          <w:sz w:val="24"/>
        </w:rPr>
        <w:t>Section 504 may, personally or by a representative, file a written complaint.</w:t>
      </w:r>
      <w:r>
        <w:rPr>
          <w:spacing w:val="40"/>
          <w:sz w:val="24"/>
        </w:rPr>
        <w:t> </w:t>
      </w:r>
      <w:r>
        <w:rPr>
          <w:sz w:val="24"/>
        </w:rPr>
        <w:t>Department personnel will</w:t>
      </w:r>
      <w:r>
        <w:rPr>
          <w:spacing w:val="-1"/>
          <w:sz w:val="24"/>
        </w:rPr>
        <w:t> </w:t>
      </w:r>
      <w:r>
        <w:rPr>
          <w:sz w:val="24"/>
        </w:rPr>
        <w:t>assist the</w:t>
      </w:r>
      <w:r>
        <w:rPr>
          <w:spacing w:val="-1"/>
          <w:sz w:val="24"/>
        </w:rPr>
        <w:t> </w:t>
      </w:r>
      <w:r>
        <w:rPr>
          <w:sz w:val="24"/>
        </w:rPr>
        <w:t>complainant in</w:t>
      </w:r>
      <w:r>
        <w:rPr>
          <w:spacing w:val="-1"/>
          <w:sz w:val="24"/>
        </w:rPr>
        <w:t> </w:t>
      </w:r>
      <w:r>
        <w:rPr>
          <w:sz w:val="24"/>
        </w:rPr>
        <w:t>the</w:t>
      </w:r>
      <w:r>
        <w:rPr>
          <w:spacing w:val="-1"/>
          <w:sz w:val="24"/>
        </w:rPr>
        <w:t> </w:t>
      </w:r>
      <w:r>
        <w:rPr>
          <w:sz w:val="24"/>
        </w:rPr>
        <w:t>writing</w:t>
      </w:r>
      <w:r>
        <w:rPr>
          <w:spacing w:val="-1"/>
          <w:sz w:val="24"/>
        </w:rPr>
        <w:t> </w:t>
      </w:r>
      <w:r>
        <w:rPr>
          <w:sz w:val="24"/>
        </w:rPr>
        <w:t>of the</w:t>
      </w:r>
      <w:r>
        <w:rPr>
          <w:spacing w:val="-1"/>
          <w:sz w:val="24"/>
        </w:rPr>
        <w:t> </w:t>
      </w:r>
      <w:r>
        <w:rPr>
          <w:sz w:val="24"/>
        </w:rPr>
        <w:t>complaint if such</w:t>
      </w:r>
      <w:r>
        <w:rPr>
          <w:spacing w:val="-1"/>
          <w:sz w:val="24"/>
        </w:rPr>
        <w:t> </w:t>
      </w:r>
      <w:r>
        <w:rPr>
          <w:sz w:val="24"/>
        </w:rPr>
        <w:t>assistance</w:t>
      </w:r>
      <w:r>
        <w:rPr>
          <w:spacing w:val="-1"/>
          <w:sz w:val="24"/>
        </w:rPr>
        <w:t> </w:t>
      </w:r>
      <w:r>
        <w:rPr>
          <w:sz w:val="24"/>
        </w:rPr>
        <w:t>is needed.</w:t>
      </w:r>
      <w:r>
        <w:rPr>
          <w:spacing w:val="40"/>
          <w:sz w:val="24"/>
        </w:rPr>
        <w:t> </w:t>
      </w:r>
      <w:r>
        <w:rPr>
          <w:sz w:val="24"/>
        </w:rPr>
        <w:t>Complaints may be filed with the Department or the Office of Civil Rights Enforcement.</w:t>
      </w:r>
      <w:r>
        <w:rPr>
          <w:spacing w:val="40"/>
          <w:sz w:val="24"/>
        </w:rPr>
        <w:t> </w:t>
      </w:r>
      <w:r>
        <w:rPr>
          <w:sz w:val="24"/>
        </w:rPr>
        <w:t>If filed with the Department, the complaint will be brought to the attention of the Director.</w:t>
      </w:r>
      <w:r>
        <w:rPr>
          <w:spacing w:val="40"/>
          <w:sz w:val="24"/>
        </w:rPr>
        <w:t> </w:t>
      </w:r>
      <w:r>
        <w:rPr>
          <w:sz w:val="24"/>
        </w:rPr>
        <w:t>A complaint must be filed no later than 180 days from the date of an alleged discriminatory act.</w:t>
      </w:r>
      <w:r>
        <w:rPr>
          <w:spacing w:val="40"/>
          <w:sz w:val="24"/>
        </w:rPr>
        <w:t> </w:t>
      </w:r>
      <w:r>
        <w:rPr>
          <w:sz w:val="24"/>
        </w:rPr>
        <w:t>The time for filing may, however, be extended by the responsible official.</w:t>
      </w:r>
    </w:p>
    <w:p>
      <w:pPr>
        <w:pStyle w:val="ListParagraph"/>
        <w:numPr>
          <w:ilvl w:val="0"/>
          <w:numId w:val="45"/>
        </w:numPr>
        <w:tabs>
          <w:tab w:pos="786" w:val="left" w:leader="none"/>
        </w:tabs>
        <w:spacing w:line="208" w:lineRule="auto" w:before="239" w:after="0"/>
        <w:ind w:left="360" w:right="806" w:firstLine="0"/>
        <w:jc w:val="left"/>
        <w:rPr>
          <w:sz w:val="24"/>
        </w:rPr>
      </w:pPr>
      <w:r>
        <w:rPr>
          <w:sz w:val="24"/>
        </w:rPr>
        <w:t>After determining that the complaint falls within the jurisdiction of Title VI, ADA, or Section 504, the Director must insure a prompt and thorough investigation of the complaint. Following investigation of the complaint, the responsible official of the Department as designated by the Director will determine whether or not discrimination did</w:t>
      </w:r>
      <w:r>
        <w:rPr>
          <w:spacing w:val="-3"/>
          <w:sz w:val="24"/>
        </w:rPr>
        <w:t> </w:t>
      </w:r>
      <w:r>
        <w:rPr>
          <w:sz w:val="24"/>
        </w:rPr>
        <w:t>in</w:t>
      </w:r>
      <w:r>
        <w:rPr>
          <w:spacing w:val="-3"/>
          <w:sz w:val="24"/>
        </w:rPr>
        <w:t> </w:t>
      </w:r>
      <w:r>
        <w:rPr>
          <w:sz w:val="24"/>
        </w:rPr>
        <w:t>fact</w:t>
      </w:r>
      <w:r>
        <w:rPr>
          <w:spacing w:val="-2"/>
          <w:sz w:val="24"/>
        </w:rPr>
        <w:t> </w:t>
      </w:r>
      <w:r>
        <w:rPr>
          <w:sz w:val="24"/>
        </w:rPr>
        <w:t>occur,</w:t>
      </w:r>
      <w:r>
        <w:rPr>
          <w:spacing w:val="-2"/>
          <w:sz w:val="24"/>
        </w:rPr>
        <w:t> </w:t>
      </w:r>
      <w:r>
        <w:rPr>
          <w:sz w:val="24"/>
        </w:rPr>
        <w:t>necessary</w:t>
      </w:r>
      <w:r>
        <w:rPr>
          <w:spacing w:val="-3"/>
          <w:sz w:val="24"/>
        </w:rPr>
        <w:t> </w:t>
      </w:r>
      <w:r>
        <w:rPr>
          <w:sz w:val="24"/>
        </w:rPr>
        <w:t>action</w:t>
      </w:r>
      <w:r>
        <w:rPr>
          <w:spacing w:val="-3"/>
          <w:sz w:val="24"/>
        </w:rPr>
        <w:t> </w:t>
      </w:r>
      <w:r>
        <w:rPr>
          <w:sz w:val="24"/>
        </w:rPr>
        <w:t>will</w:t>
      </w:r>
      <w:r>
        <w:rPr>
          <w:spacing w:val="-3"/>
          <w:sz w:val="24"/>
        </w:rPr>
        <w:t> </w:t>
      </w:r>
      <w:r>
        <w:rPr>
          <w:sz w:val="24"/>
        </w:rPr>
        <w:t>be</w:t>
      </w:r>
      <w:r>
        <w:rPr>
          <w:spacing w:val="-3"/>
          <w:sz w:val="24"/>
        </w:rPr>
        <w:t> </w:t>
      </w:r>
      <w:r>
        <w:rPr>
          <w:sz w:val="24"/>
        </w:rPr>
        <w:t>taken</w:t>
      </w:r>
      <w:r>
        <w:rPr>
          <w:spacing w:val="-3"/>
          <w:sz w:val="24"/>
        </w:rPr>
        <w:t> </w:t>
      </w:r>
      <w:r>
        <w:rPr>
          <w:sz w:val="24"/>
        </w:rPr>
        <w:t>to</w:t>
      </w:r>
      <w:r>
        <w:rPr>
          <w:spacing w:val="-3"/>
          <w:sz w:val="24"/>
        </w:rPr>
        <w:t> </w:t>
      </w:r>
      <w:r>
        <w:rPr>
          <w:sz w:val="24"/>
        </w:rPr>
        <w:t>correct</w:t>
      </w:r>
      <w:r>
        <w:rPr>
          <w:spacing w:val="-4"/>
          <w:sz w:val="24"/>
        </w:rPr>
        <w:t> </w:t>
      </w:r>
      <w:r>
        <w:rPr>
          <w:sz w:val="24"/>
        </w:rPr>
        <w:t>the</w:t>
      </w:r>
      <w:r>
        <w:rPr>
          <w:spacing w:val="-3"/>
          <w:sz w:val="24"/>
        </w:rPr>
        <w:t> </w:t>
      </w:r>
      <w:r>
        <w:rPr>
          <w:sz w:val="24"/>
        </w:rPr>
        <w:t>discriminatory</w:t>
      </w:r>
      <w:r>
        <w:rPr>
          <w:spacing w:val="-3"/>
          <w:sz w:val="24"/>
        </w:rPr>
        <w:t> </w:t>
      </w:r>
      <w:r>
        <w:rPr>
          <w:sz w:val="24"/>
        </w:rPr>
        <w:t>practice,</w:t>
      </w:r>
      <w:r>
        <w:rPr>
          <w:spacing w:val="-2"/>
          <w:sz w:val="24"/>
        </w:rPr>
        <w:t> </w:t>
      </w:r>
      <w:r>
        <w:rPr>
          <w:sz w:val="24"/>
        </w:rPr>
        <w:t>or require it to be corrected, and prevent any recurrence of such discrimination.</w:t>
      </w:r>
      <w:r>
        <w:rPr>
          <w:spacing w:val="40"/>
          <w:sz w:val="24"/>
        </w:rPr>
        <w:t> </w:t>
      </w:r>
      <w:r>
        <w:rPr>
          <w:sz w:val="24"/>
        </w:rPr>
        <w:t>The Department will take follow-up action to determine that the corrective measures have eliminated the conditions that contributed to the discriminatory act.</w:t>
      </w:r>
    </w:p>
    <w:p>
      <w:pPr>
        <w:pStyle w:val="ListParagraph"/>
        <w:numPr>
          <w:ilvl w:val="0"/>
          <w:numId w:val="45"/>
        </w:numPr>
        <w:tabs>
          <w:tab w:pos="773" w:val="left" w:leader="none"/>
        </w:tabs>
        <w:spacing w:line="208" w:lineRule="auto" w:before="239" w:after="0"/>
        <w:ind w:left="360" w:right="874" w:firstLine="0"/>
        <w:jc w:val="left"/>
        <w:rPr>
          <w:sz w:val="24"/>
        </w:rPr>
      </w:pPr>
      <w:r>
        <w:rPr>
          <w:sz w:val="24"/>
        </w:rPr>
        <w:t>The complainant will be advised in writing within 45 days from the receipt of the complaint as to the findings of the Department regarding the complaint.</w:t>
      </w:r>
      <w:r>
        <w:rPr>
          <w:spacing w:val="40"/>
          <w:sz w:val="24"/>
        </w:rPr>
        <w:t> </w:t>
      </w:r>
      <w:r>
        <w:rPr>
          <w:sz w:val="24"/>
        </w:rPr>
        <w:t>In the same written</w:t>
      </w:r>
      <w:r>
        <w:rPr>
          <w:spacing w:val="-3"/>
          <w:sz w:val="24"/>
        </w:rPr>
        <w:t> </w:t>
      </w:r>
      <w:r>
        <w:rPr>
          <w:sz w:val="24"/>
        </w:rPr>
        <w:t>notice</w:t>
      </w:r>
      <w:r>
        <w:rPr>
          <w:spacing w:val="-3"/>
          <w:sz w:val="24"/>
        </w:rPr>
        <w:t> </w:t>
      </w:r>
      <w:r>
        <w:rPr>
          <w:sz w:val="24"/>
        </w:rPr>
        <w:t>the</w:t>
      </w:r>
      <w:r>
        <w:rPr>
          <w:spacing w:val="-3"/>
          <w:sz w:val="24"/>
        </w:rPr>
        <w:t> </w:t>
      </w:r>
      <w:r>
        <w:rPr>
          <w:sz w:val="24"/>
        </w:rPr>
        <w:t>complainant</w:t>
      </w:r>
      <w:r>
        <w:rPr>
          <w:spacing w:val="-3"/>
          <w:sz w:val="24"/>
        </w:rPr>
        <w:t> </w:t>
      </w:r>
      <w:r>
        <w:rPr>
          <w:sz w:val="24"/>
        </w:rPr>
        <w:t>will</w:t>
      </w:r>
      <w:r>
        <w:rPr>
          <w:spacing w:val="-3"/>
          <w:sz w:val="24"/>
        </w:rPr>
        <w:t> </w:t>
      </w:r>
      <w:r>
        <w:rPr>
          <w:sz w:val="24"/>
        </w:rPr>
        <w:t>be</w:t>
      </w:r>
      <w:r>
        <w:rPr>
          <w:spacing w:val="-3"/>
          <w:sz w:val="24"/>
        </w:rPr>
        <w:t> </w:t>
      </w:r>
      <w:r>
        <w:rPr>
          <w:sz w:val="24"/>
        </w:rPr>
        <w:t>advised</w:t>
      </w:r>
      <w:r>
        <w:rPr>
          <w:spacing w:val="-3"/>
          <w:sz w:val="24"/>
        </w:rPr>
        <w:t> </w:t>
      </w:r>
      <w:r>
        <w:rPr>
          <w:sz w:val="24"/>
        </w:rPr>
        <w:t>if</w:t>
      </w:r>
      <w:r>
        <w:rPr>
          <w:spacing w:val="-3"/>
          <w:sz w:val="24"/>
        </w:rPr>
        <w:t> </w:t>
      </w:r>
      <w:r>
        <w:rPr>
          <w:sz w:val="24"/>
        </w:rPr>
        <w:t>he/she</w:t>
      </w:r>
      <w:r>
        <w:rPr>
          <w:spacing w:val="-3"/>
          <w:sz w:val="24"/>
        </w:rPr>
        <w:t> </w:t>
      </w:r>
      <w:r>
        <w:rPr>
          <w:sz w:val="24"/>
        </w:rPr>
        <w:t>is</w:t>
      </w:r>
      <w:r>
        <w:rPr>
          <w:spacing w:val="-3"/>
          <w:sz w:val="24"/>
        </w:rPr>
        <w:t> </w:t>
      </w:r>
      <w:r>
        <w:rPr>
          <w:sz w:val="24"/>
        </w:rPr>
        <w:t>not</w:t>
      </w:r>
      <w:r>
        <w:rPr>
          <w:spacing w:val="-3"/>
          <w:sz w:val="24"/>
        </w:rPr>
        <w:t> </w:t>
      </w:r>
      <w:r>
        <w:rPr>
          <w:sz w:val="24"/>
        </w:rPr>
        <w:t>satisfied</w:t>
      </w:r>
      <w:r>
        <w:rPr>
          <w:spacing w:val="-3"/>
          <w:sz w:val="24"/>
        </w:rPr>
        <w:t> </w:t>
      </w:r>
      <w:r>
        <w:rPr>
          <w:sz w:val="24"/>
        </w:rPr>
        <w:t>with</w:t>
      </w:r>
      <w:r>
        <w:rPr>
          <w:spacing w:val="-3"/>
          <w:sz w:val="24"/>
        </w:rPr>
        <w:t> </w:t>
      </w:r>
      <w:r>
        <w:rPr>
          <w:sz w:val="24"/>
        </w:rPr>
        <w:t>the</w:t>
      </w:r>
      <w:r>
        <w:rPr>
          <w:spacing w:val="-3"/>
          <w:sz w:val="24"/>
        </w:rPr>
        <w:t> </w:t>
      </w:r>
      <w:r>
        <w:rPr>
          <w:sz w:val="24"/>
        </w:rPr>
        <w:t>decision he/she</w:t>
      </w:r>
      <w:r>
        <w:rPr>
          <w:spacing w:val="-3"/>
          <w:sz w:val="24"/>
        </w:rPr>
        <w:t> </w:t>
      </w:r>
      <w:r>
        <w:rPr>
          <w:sz w:val="24"/>
        </w:rPr>
        <w:t>may</w:t>
      </w:r>
      <w:r>
        <w:rPr>
          <w:spacing w:val="-3"/>
          <w:sz w:val="24"/>
        </w:rPr>
        <w:t> </w:t>
      </w:r>
      <w:r>
        <w:rPr>
          <w:sz w:val="24"/>
        </w:rPr>
        <w:t>appeal</w:t>
      </w:r>
      <w:r>
        <w:rPr>
          <w:spacing w:val="-3"/>
          <w:sz w:val="24"/>
        </w:rPr>
        <w:t> </w:t>
      </w:r>
      <w:r>
        <w:rPr>
          <w:sz w:val="24"/>
        </w:rPr>
        <w:t>to</w:t>
      </w:r>
      <w:r>
        <w:rPr>
          <w:spacing w:val="-3"/>
          <w:sz w:val="24"/>
        </w:rPr>
        <w:t> </w:t>
      </w:r>
      <w:r>
        <w:rPr>
          <w:sz w:val="24"/>
        </w:rPr>
        <w:t>the</w:t>
      </w:r>
      <w:r>
        <w:rPr>
          <w:spacing w:val="-3"/>
          <w:sz w:val="24"/>
        </w:rPr>
        <w:t> </w:t>
      </w:r>
      <w:r>
        <w:rPr>
          <w:sz w:val="24"/>
        </w:rPr>
        <w:t>U.S.</w:t>
      </w:r>
      <w:r>
        <w:rPr>
          <w:spacing w:val="-2"/>
          <w:sz w:val="24"/>
        </w:rPr>
        <w:t> </w:t>
      </w:r>
      <w:r>
        <w:rPr>
          <w:sz w:val="24"/>
        </w:rPr>
        <w:t>Department</w:t>
      </w:r>
      <w:r>
        <w:rPr>
          <w:spacing w:val="-4"/>
          <w:sz w:val="24"/>
        </w:rPr>
        <w:t> </w:t>
      </w:r>
      <w:r>
        <w:rPr>
          <w:sz w:val="24"/>
        </w:rPr>
        <w:t>of</w:t>
      </w:r>
      <w:r>
        <w:rPr>
          <w:spacing w:val="-2"/>
          <w:sz w:val="24"/>
        </w:rPr>
        <w:t> </w:t>
      </w:r>
      <w:r>
        <w:rPr>
          <w:sz w:val="24"/>
        </w:rPr>
        <w:t>Education.</w:t>
      </w:r>
      <w:r>
        <w:rPr>
          <w:spacing w:val="-2"/>
          <w:sz w:val="24"/>
        </w:rPr>
        <w:t> </w:t>
      </w:r>
      <w:r>
        <w:rPr>
          <w:sz w:val="24"/>
        </w:rPr>
        <w:t>The</w:t>
      </w:r>
      <w:r>
        <w:rPr>
          <w:spacing w:val="-3"/>
          <w:sz w:val="24"/>
        </w:rPr>
        <w:t> </w:t>
      </w:r>
      <w:r>
        <w:rPr>
          <w:sz w:val="24"/>
        </w:rPr>
        <w:t>Department</w:t>
      </w:r>
      <w:r>
        <w:rPr>
          <w:spacing w:val="-2"/>
          <w:sz w:val="24"/>
        </w:rPr>
        <w:t> </w:t>
      </w:r>
      <w:r>
        <w:rPr>
          <w:sz w:val="24"/>
        </w:rPr>
        <w:t>will</w:t>
      </w:r>
      <w:r>
        <w:rPr>
          <w:spacing w:val="-3"/>
          <w:sz w:val="24"/>
        </w:rPr>
        <w:t> </w:t>
      </w:r>
      <w:r>
        <w:rPr>
          <w:sz w:val="24"/>
        </w:rPr>
        <w:t>maintain records to show the nature of the complaint, the details of the investigation, and the action taken by the Department.</w:t>
      </w:r>
      <w:r>
        <w:rPr>
          <w:spacing w:val="40"/>
          <w:sz w:val="24"/>
        </w:rPr>
        <w:t> </w:t>
      </w:r>
      <w:r>
        <w:rPr>
          <w:sz w:val="24"/>
        </w:rPr>
        <w:t>If the complaint has been found to be valid, the records</w:t>
      </w:r>
      <w:r>
        <w:rPr>
          <w:spacing w:val="-3"/>
          <w:sz w:val="24"/>
        </w:rPr>
        <w:t> </w:t>
      </w:r>
      <w:r>
        <w:rPr>
          <w:sz w:val="24"/>
        </w:rPr>
        <w:t>will</w:t>
      </w:r>
      <w:r>
        <w:rPr>
          <w:spacing w:val="-2"/>
          <w:sz w:val="24"/>
        </w:rPr>
        <w:t> </w:t>
      </w:r>
      <w:r>
        <w:rPr>
          <w:sz w:val="24"/>
        </w:rPr>
        <w:t>indicate</w:t>
      </w:r>
      <w:r>
        <w:rPr>
          <w:spacing w:val="-3"/>
          <w:sz w:val="24"/>
        </w:rPr>
        <w:t> </w:t>
      </w:r>
      <w:r>
        <w:rPr>
          <w:sz w:val="24"/>
        </w:rPr>
        <w:t>the</w:t>
      </w:r>
      <w:r>
        <w:rPr>
          <w:spacing w:val="-3"/>
          <w:sz w:val="24"/>
        </w:rPr>
        <w:t> </w:t>
      </w:r>
      <w:r>
        <w:rPr>
          <w:sz w:val="24"/>
        </w:rPr>
        <w:t>nature</w:t>
      </w:r>
      <w:r>
        <w:rPr>
          <w:spacing w:val="-3"/>
          <w:sz w:val="24"/>
        </w:rPr>
        <w:t> </w:t>
      </w:r>
      <w:r>
        <w:rPr>
          <w:sz w:val="24"/>
        </w:rPr>
        <w:t>of</w:t>
      </w:r>
      <w:r>
        <w:rPr>
          <w:spacing w:val="-4"/>
          <w:sz w:val="24"/>
        </w:rPr>
        <w:t> </w:t>
      </w:r>
      <w:r>
        <w:rPr>
          <w:sz w:val="24"/>
        </w:rPr>
        <w:t>the</w:t>
      </w:r>
      <w:r>
        <w:rPr>
          <w:spacing w:val="-3"/>
          <w:sz w:val="24"/>
        </w:rPr>
        <w:t> </w:t>
      </w:r>
      <w:r>
        <w:rPr>
          <w:sz w:val="24"/>
        </w:rPr>
        <w:t>corrective</w:t>
      </w:r>
      <w:r>
        <w:rPr>
          <w:spacing w:val="-3"/>
          <w:sz w:val="24"/>
        </w:rPr>
        <w:t> </w:t>
      </w:r>
      <w:r>
        <w:rPr>
          <w:sz w:val="24"/>
        </w:rPr>
        <w:t>action</w:t>
      </w:r>
      <w:r>
        <w:rPr>
          <w:spacing w:val="-3"/>
          <w:sz w:val="24"/>
        </w:rPr>
        <w:t> </w:t>
      </w:r>
      <w:r>
        <w:rPr>
          <w:sz w:val="24"/>
        </w:rPr>
        <w:t>taken.</w:t>
      </w:r>
      <w:r>
        <w:rPr>
          <w:spacing w:val="40"/>
          <w:sz w:val="24"/>
        </w:rPr>
        <w:t> </w:t>
      </w:r>
      <w:r>
        <w:rPr>
          <w:sz w:val="24"/>
        </w:rPr>
        <w:t>All</w:t>
      </w:r>
      <w:r>
        <w:rPr>
          <w:spacing w:val="-3"/>
          <w:sz w:val="24"/>
        </w:rPr>
        <w:t> </w:t>
      </w:r>
      <w:r>
        <w:rPr>
          <w:sz w:val="24"/>
        </w:rPr>
        <w:t>complaint</w:t>
      </w:r>
      <w:r>
        <w:rPr>
          <w:spacing w:val="-2"/>
          <w:sz w:val="24"/>
        </w:rPr>
        <w:t> </w:t>
      </w:r>
      <w:r>
        <w:rPr>
          <w:sz w:val="24"/>
        </w:rPr>
        <w:t>records</w:t>
      </w:r>
      <w:r>
        <w:rPr>
          <w:spacing w:val="-3"/>
          <w:sz w:val="24"/>
        </w:rPr>
        <w:t> </w:t>
      </w:r>
      <w:r>
        <w:rPr>
          <w:sz w:val="24"/>
        </w:rPr>
        <w:t>will be available for review by the Office of Civil Rights Enforcement.</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10-15-97</w:t>
      </w:r>
      <w:r>
        <w:rPr>
          <w:spacing w:val="80"/>
          <w:sz w:val="22"/>
        </w:rPr>
        <w:t> </w:t>
      </w:r>
      <w:r>
        <w:rPr>
          <w:sz w:val="22"/>
        </w:rPr>
        <w:t>PT Memo #98-5</w:t>
      </w:r>
    </w:p>
    <w:p>
      <w:pPr>
        <w:tabs>
          <w:tab w:pos="1439" w:val="left" w:leader="none"/>
        </w:tabs>
        <w:spacing w:before="1"/>
        <w:ind w:left="359" w:right="1796" w:firstLine="1080"/>
        <w:jc w:val="left"/>
        <w:rPr>
          <w:sz w:val="22"/>
        </w:rPr>
      </w:pPr>
      <w:r>
        <w:rPr>
          <w:sz w:val="22"/>
        </w:rPr>
        <w:t>Emergency,</w:t>
      </w:r>
      <w:r>
        <w:rPr>
          <w:spacing w:val="-5"/>
          <w:sz w:val="22"/>
        </w:rPr>
        <w:t> </w:t>
      </w:r>
      <w:r>
        <w:rPr>
          <w:sz w:val="22"/>
        </w:rPr>
        <w:t>change</w:t>
      </w:r>
      <w:r>
        <w:rPr>
          <w:spacing w:val="-5"/>
          <w:sz w:val="22"/>
        </w:rPr>
        <w:t> </w:t>
      </w:r>
      <w:r>
        <w:rPr>
          <w:sz w:val="22"/>
        </w:rPr>
        <w:t>Affirmative</w:t>
      </w:r>
      <w:r>
        <w:rPr>
          <w:spacing w:val="-5"/>
          <w:sz w:val="22"/>
        </w:rPr>
        <w:t> </w:t>
      </w:r>
      <w:r>
        <w:rPr>
          <w:sz w:val="22"/>
        </w:rPr>
        <w:t>Action</w:t>
      </w:r>
      <w:r>
        <w:rPr>
          <w:spacing w:val="-5"/>
          <w:sz w:val="22"/>
        </w:rPr>
        <w:t> </w:t>
      </w:r>
      <w:r>
        <w:rPr>
          <w:sz w:val="22"/>
        </w:rPr>
        <w:t>Officer</w:t>
      </w:r>
      <w:r>
        <w:rPr>
          <w:spacing w:val="-5"/>
          <w:sz w:val="22"/>
        </w:rPr>
        <w:t> </w:t>
      </w:r>
      <w:r>
        <w:rPr>
          <w:sz w:val="22"/>
        </w:rPr>
        <w:t>to</w:t>
      </w:r>
      <w:r>
        <w:rPr>
          <w:spacing w:val="-5"/>
          <w:sz w:val="22"/>
        </w:rPr>
        <w:t> </w:t>
      </w:r>
      <w:r>
        <w:rPr>
          <w:sz w:val="22"/>
        </w:rPr>
        <w:t>Civil</w:t>
      </w:r>
      <w:r>
        <w:rPr>
          <w:spacing w:val="-5"/>
          <w:sz w:val="22"/>
        </w:rPr>
        <w:t> </w:t>
      </w:r>
      <w:r>
        <w:rPr>
          <w:sz w:val="22"/>
        </w:rPr>
        <w:t>Rights</w:t>
      </w:r>
      <w:r>
        <w:rPr>
          <w:spacing w:val="-6"/>
          <w:sz w:val="22"/>
        </w:rPr>
        <w:t> </w:t>
      </w:r>
      <w:r>
        <w:rPr>
          <w:sz w:val="22"/>
        </w:rPr>
        <w:t>Administrator </w:t>
      </w:r>
      <w:r>
        <w:rPr>
          <w:spacing w:val="-2"/>
          <w:sz w:val="22"/>
        </w:rPr>
        <w:t>7-1-98</w:t>
      </w:r>
      <w:r>
        <w:rPr>
          <w:sz w:val="22"/>
        </w:rPr>
        <w:tab/>
        <w:t>PT Memo #98-14</w:t>
      </w:r>
    </w:p>
    <w:p>
      <w:pPr>
        <w:spacing w:before="0"/>
        <w:ind w:left="1439" w:right="775" w:firstLine="0"/>
        <w:jc w:val="left"/>
        <w:rPr>
          <w:sz w:val="22"/>
        </w:rPr>
      </w:pPr>
      <w:r>
        <w:rPr>
          <w:sz w:val="22"/>
        </w:rPr>
        <w:t>Permanent,</w:t>
      </w:r>
      <w:r>
        <w:rPr>
          <w:spacing w:val="-4"/>
          <w:sz w:val="22"/>
        </w:rPr>
        <w:t> </w:t>
      </w:r>
      <w:r>
        <w:rPr>
          <w:sz w:val="22"/>
        </w:rPr>
        <w:t>makes</w:t>
      </w:r>
      <w:r>
        <w:rPr>
          <w:spacing w:val="-5"/>
          <w:sz w:val="22"/>
        </w:rPr>
        <w:t> </w:t>
      </w:r>
      <w:r>
        <w:rPr>
          <w:sz w:val="22"/>
        </w:rPr>
        <w:t>emergency</w:t>
      </w:r>
      <w:r>
        <w:rPr>
          <w:spacing w:val="-5"/>
          <w:sz w:val="22"/>
        </w:rPr>
        <w:t> </w:t>
      </w:r>
      <w:r>
        <w:rPr>
          <w:sz w:val="22"/>
        </w:rPr>
        <w:t>rules</w:t>
      </w:r>
      <w:r>
        <w:rPr>
          <w:spacing w:val="-5"/>
          <w:sz w:val="22"/>
        </w:rPr>
        <w:t> </w:t>
      </w:r>
      <w:r>
        <w:rPr>
          <w:sz w:val="22"/>
        </w:rPr>
        <w:t>issued</w:t>
      </w:r>
      <w:r>
        <w:rPr>
          <w:spacing w:val="-5"/>
          <w:sz w:val="22"/>
        </w:rPr>
        <w:t> </w:t>
      </w:r>
      <w:r>
        <w:rPr>
          <w:sz w:val="22"/>
        </w:rPr>
        <w:t>10-15-97</w:t>
      </w:r>
      <w:r>
        <w:rPr>
          <w:spacing w:val="-5"/>
          <w:sz w:val="22"/>
        </w:rPr>
        <w:t> </w:t>
      </w:r>
      <w:r>
        <w:rPr>
          <w:sz w:val="22"/>
        </w:rPr>
        <w:t>permanent;</w:t>
      </w:r>
      <w:r>
        <w:rPr>
          <w:spacing w:val="-5"/>
          <w:sz w:val="22"/>
        </w:rPr>
        <w:t> </w:t>
      </w:r>
      <w:r>
        <w:rPr>
          <w:sz w:val="22"/>
        </w:rPr>
        <w:t>clarified</w:t>
      </w:r>
      <w:r>
        <w:rPr>
          <w:spacing w:val="-5"/>
          <w:sz w:val="22"/>
        </w:rPr>
        <w:t> </w:t>
      </w:r>
      <w:r>
        <w:rPr>
          <w:sz w:val="22"/>
        </w:rPr>
        <w:t>roles</w:t>
      </w:r>
      <w:r>
        <w:rPr>
          <w:spacing w:val="-5"/>
          <w:sz w:val="22"/>
        </w:rPr>
        <w:t> </w:t>
      </w:r>
      <w:r>
        <w:rPr>
          <w:sz w:val="22"/>
        </w:rPr>
        <w:t>of administrators in ADA request management.</w:t>
      </w:r>
    </w:p>
    <w:p>
      <w:pPr>
        <w:pStyle w:val="ListParagraph"/>
        <w:numPr>
          <w:ilvl w:val="2"/>
          <w:numId w:val="46"/>
        </w:numPr>
        <w:tabs>
          <w:tab w:pos="1439" w:val="left" w:leader="none"/>
        </w:tabs>
        <w:spacing w:line="240" w:lineRule="auto" w:before="0" w:after="0"/>
        <w:ind w:left="1439" w:right="0" w:hanging="1080"/>
        <w:jc w:val="left"/>
        <w:rPr>
          <w:sz w:val="22"/>
        </w:rPr>
      </w:pPr>
      <w:r>
        <w:rPr>
          <w:sz w:val="22"/>
        </w:rPr>
        <w:t>Permanent,</w:t>
      </w:r>
      <w:r>
        <w:rPr>
          <w:spacing w:val="-5"/>
          <w:sz w:val="22"/>
        </w:rPr>
        <w:t> </w:t>
      </w:r>
      <w:r>
        <w:rPr>
          <w:sz w:val="22"/>
        </w:rPr>
        <w:t>changed</w:t>
      </w:r>
      <w:r>
        <w:rPr>
          <w:spacing w:val="-6"/>
          <w:sz w:val="22"/>
        </w:rPr>
        <w:t> </w:t>
      </w:r>
      <w:r>
        <w:rPr>
          <w:sz w:val="22"/>
        </w:rPr>
        <w:t>from</w:t>
      </w:r>
      <w:r>
        <w:rPr>
          <w:spacing w:val="-7"/>
          <w:sz w:val="22"/>
        </w:rPr>
        <w:t> </w:t>
      </w:r>
      <w:r>
        <w:rPr>
          <w:sz w:val="22"/>
        </w:rPr>
        <w:t>30</w:t>
      </w:r>
      <w:r>
        <w:rPr>
          <w:spacing w:val="-6"/>
          <w:sz w:val="22"/>
        </w:rPr>
        <w:t> </w:t>
      </w:r>
      <w:r>
        <w:rPr>
          <w:sz w:val="22"/>
        </w:rPr>
        <w:t>to</w:t>
      </w:r>
      <w:r>
        <w:rPr>
          <w:spacing w:val="-6"/>
          <w:sz w:val="22"/>
        </w:rPr>
        <w:t> </w:t>
      </w:r>
      <w:r>
        <w:rPr>
          <w:sz w:val="22"/>
        </w:rPr>
        <w:t>45</w:t>
      </w:r>
      <w:r>
        <w:rPr>
          <w:spacing w:val="-6"/>
          <w:sz w:val="22"/>
        </w:rPr>
        <w:t> </w:t>
      </w:r>
      <w:r>
        <w:rPr>
          <w:sz w:val="22"/>
        </w:rPr>
        <w:t>days</w:t>
      </w:r>
      <w:r>
        <w:rPr>
          <w:spacing w:val="-6"/>
          <w:sz w:val="22"/>
        </w:rPr>
        <w:t> </w:t>
      </w:r>
      <w:r>
        <w:rPr>
          <w:sz w:val="22"/>
        </w:rPr>
        <w:t>for</w:t>
      </w:r>
      <w:r>
        <w:rPr>
          <w:spacing w:val="-6"/>
          <w:sz w:val="22"/>
        </w:rPr>
        <w:t> </w:t>
      </w:r>
      <w:r>
        <w:rPr>
          <w:sz w:val="22"/>
        </w:rPr>
        <w:t>answering</w:t>
      </w:r>
      <w:r>
        <w:rPr>
          <w:spacing w:val="-6"/>
          <w:sz w:val="22"/>
        </w:rPr>
        <w:t> </w:t>
      </w:r>
      <w:r>
        <w:rPr>
          <w:spacing w:val="-2"/>
          <w:sz w:val="22"/>
        </w:rPr>
        <w:t>complaint</w:t>
      </w:r>
    </w:p>
    <w:p>
      <w:pPr>
        <w:tabs>
          <w:tab w:pos="1439" w:val="left" w:leader="none"/>
        </w:tabs>
        <w:spacing w:before="0"/>
        <w:ind w:left="1439" w:right="941" w:hanging="1080"/>
        <w:jc w:val="left"/>
        <w:rPr>
          <w:sz w:val="22"/>
        </w:rPr>
      </w:pPr>
      <w:r>
        <w:rPr>
          <w:spacing w:val="-2"/>
          <w:sz w:val="22"/>
        </w:rPr>
        <w:t>8-27-15</w:t>
      </w:r>
      <w:r>
        <w:rPr>
          <w:sz w:val="22"/>
        </w:rPr>
        <w:tab/>
        <w:t>Updated</w:t>
      </w:r>
      <w:r>
        <w:rPr>
          <w:spacing w:val="-4"/>
          <w:sz w:val="22"/>
        </w:rPr>
        <w:t> </w:t>
      </w:r>
      <w:r>
        <w:rPr>
          <w:sz w:val="22"/>
        </w:rPr>
        <w:t>language</w:t>
      </w:r>
      <w:r>
        <w:rPr>
          <w:spacing w:val="-4"/>
          <w:sz w:val="22"/>
        </w:rPr>
        <w:t> </w:t>
      </w:r>
      <w:r>
        <w:rPr>
          <w:sz w:val="22"/>
        </w:rPr>
        <w:t>removing</w:t>
      </w:r>
      <w:r>
        <w:rPr>
          <w:spacing w:val="-4"/>
          <w:sz w:val="22"/>
        </w:rPr>
        <w:t> </w:t>
      </w:r>
      <w:r>
        <w:rPr>
          <w:sz w:val="22"/>
        </w:rPr>
        <w:t>the</w:t>
      </w:r>
      <w:r>
        <w:rPr>
          <w:spacing w:val="-4"/>
          <w:sz w:val="22"/>
        </w:rPr>
        <w:t> </w:t>
      </w:r>
      <w:r>
        <w:rPr>
          <w:sz w:val="22"/>
        </w:rPr>
        <w:t>Human</w:t>
      </w:r>
      <w:r>
        <w:rPr>
          <w:spacing w:val="-4"/>
          <w:sz w:val="22"/>
        </w:rPr>
        <w:t> </w:t>
      </w:r>
      <w:r>
        <w:rPr>
          <w:sz w:val="22"/>
        </w:rPr>
        <w:t>Rights</w:t>
      </w:r>
      <w:r>
        <w:rPr>
          <w:spacing w:val="-4"/>
          <w:sz w:val="22"/>
        </w:rPr>
        <w:t> </w:t>
      </w:r>
      <w:r>
        <w:rPr>
          <w:sz w:val="22"/>
        </w:rPr>
        <w:t>Commission</w:t>
      </w:r>
      <w:r>
        <w:rPr>
          <w:spacing w:val="-5"/>
          <w:sz w:val="22"/>
        </w:rPr>
        <w:t> </w:t>
      </w:r>
      <w:r>
        <w:rPr>
          <w:sz w:val="22"/>
        </w:rPr>
        <w:t>and</w:t>
      </w:r>
      <w:r>
        <w:rPr>
          <w:spacing w:val="-4"/>
          <w:sz w:val="22"/>
        </w:rPr>
        <w:t> </w:t>
      </w:r>
      <w:r>
        <w:rPr>
          <w:sz w:val="22"/>
        </w:rPr>
        <w:t>replacing</w:t>
      </w:r>
      <w:r>
        <w:rPr>
          <w:spacing w:val="-4"/>
          <w:sz w:val="22"/>
        </w:rPr>
        <w:t> </w:t>
      </w:r>
      <w:r>
        <w:rPr>
          <w:sz w:val="22"/>
        </w:rPr>
        <w:t>with</w:t>
      </w:r>
      <w:r>
        <w:rPr>
          <w:spacing w:val="-4"/>
          <w:sz w:val="22"/>
        </w:rPr>
        <w:t> </w:t>
      </w:r>
      <w:r>
        <w:rPr>
          <w:sz w:val="22"/>
        </w:rPr>
        <w:t>the Office of Civil Rights Enforcement.</w:t>
      </w:r>
    </w:p>
    <w:p>
      <w:pPr>
        <w:spacing w:before="0"/>
        <w:ind w:left="1439" w:right="739" w:firstLine="0"/>
        <w:jc w:val="left"/>
        <w:rPr>
          <w:sz w:val="22"/>
        </w:rPr>
      </w:pPr>
      <w:r>
        <w:rPr>
          <w:sz w:val="22"/>
        </w:rPr>
        <w:t>Removal</w:t>
      </w:r>
      <w:r>
        <w:rPr>
          <w:spacing w:val="-4"/>
          <w:sz w:val="22"/>
        </w:rPr>
        <w:t> </w:t>
      </w:r>
      <w:r>
        <w:rPr>
          <w:sz w:val="22"/>
        </w:rPr>
        <w:t>of</w:t>
      </w:r>
      <w:r>
        <w:rPr>
          <w:spacing w:val="-4"/>
          <w:sz w:val="22"/>
        </w:rPr>
        <w:t> </w:t>
      </w:r>
      <w:r>
        <w:rPr>
          <w:sz w:val="22"/>
        </w:rPr>
        <w:t>language</w:t>
      </w:r>
      <w:r>
        <w:rPr>
          <w:spacing w:val="-4"/>
          <w:sz w:val="22"/>
        </w:rPr>
        <w:t> </w:t>
      </w:r>
      <w:r>
        <w:rPr>
          <w:sz w:val="22"/>
        </w:rPr>
        <w:t>formerly</w:t>
      </w:r>
      <w:r>
        <w:rPr>
          <w:spacing w:val="-4"/>
          <w:sz w:val="22"/>
        </w:rPr>
        <w:t> </w:t>
      </w:r>
      <w:r>
        <w:rPr>
          <w:sz w:val="22"/>
        </w:rPr>
        <w:t>section</w:t>
      </w:r>
      <w:r>
        <w:rPr>
          <w:spacing w:val="-4"/>
          <w:sz w:val="22"/>
        </w:rPr>
        <w:t> </w:t>
      </w:r>
      <w:r>
        <w:rPr>
          <w:sz w:val="22"/>
        </w:rPr>
        <w:t>(d)</w:t>
      </w:r>
      <w:r>
        <w:rPr>
          <w:spacing w:val="-4"/>
          <w:sz w:val="22"/>
        </w:rPr>
        <w:t> </w:t>
      </w:r>
      <w:r>
        <w:rPr>
          <w:sz w:val="22"/>
        </w:rPr>
        <w:t>regarding</w:t>
      </w:r>
      <w:r>
        <w:rPr>
          <w:spacing w:val="-4"/>
          <w:sz w:val="22"/>
        </w:rPr>
        <w:t> </w:t>
      </w:r>
      <w:r>
        <w:rPr>
          <w:sz w:val="22"/>
        </w:rPr>
        <w:t>procedures</w:t>
      </w:r>
      <w:r>
        <w:rPr>
          <w:spacing w:val="-4"/>
          <w:sz w:val="22"/>
        </w:rPr>
        <w:t> </w:t>
      </w:r>
      <w:r>
        <w:rPr>
          <w:sz w:val="22"/>
        </w:rPr>
        <w:t>when</w:t>
      </w:r>
      <w:r>
        <w:rPr>
          <w:spacing w:val="-4"/>
          <w:sz w:val="22"/>
        </w:rPr>
        <w:t> </w:t>
      </w:r>
      <w:r>
        <w:rPr>
          <w:sz w:val="22"/>
        </w:rPr>
        <w:t>complaints</w:t>
      </w:r>
      <w:r>
        <w:rPr>
          <w:spacing w:val="-4"/>
          <w:sz w:val="22"/>
        </w:rPr>
        <w:t> </w:t>
      </w:r>
      <w:r>
        <w:rPr>
          <w:sz w:val="22"/>
        </w:rPr>
        <w:t>are initially filed with the Human Rights Commission.</w:t>
      </w:r>
    </w:p>
    <w:p>
      <w:pPr>
        <w:spacing w:after="0"/>
        <w:jc w:val="left"/>
        <w:rPr>
          <w:sz w:val="22"/>
        </w:rPr>
        <w:sectPr>
          <w:pgSz w:w="12240" w:h="15840"/>
          <w:pgMar w:top="1340" w:bottom="280" w:left="1080" w:right="720"/>
        </w:sectPr>
      </w:pPr>
    </w:p>
    <w:p>
      <w:pPr>
        <w:pStyle w:val="Heading2"/>
      </w:pPr>
      <w:bookmarkStart w:name="612:1-13-10.  Determination of site or l" w:id="54"/>
      <w:bookmarkEnd w:id="54"/>
      <w:r>
        <w:rPr>
          <w:b w:val="0"/>
        </w:rPr>
      </w:r>
      <w:r>
        <w:rPr/>
        <w:t>612:1-13-10.</w:t>
      </w:r>
      <w:r>
        <w:rPr>
          <w:spacing w:val="58"/>
        </w:rPr>
        <w:t> </w:t>
      </w:r>
      <w:r>
        <w:rPr/>
        <w:t>Determination</w:t>
      </w:r>
      <w:r>
        <w:rPr>
          <w:spacing w:val="-3"/>
        </w:rPr>
        <w:t> </w:t>
      </w:r>
      <w:r>
        <w:rPr/>
        <w:t>of</w:t>
      </w:r>
      <w:r>
        <w:rPr>
          <w:spacing w:val="-2"/>
        </w:rPr>
        <w:t> </w:t>
      </w:r>
      <w:r>
        <w:rPr/>
        <w:t>site</w:t>
      </w:r>
      <w:r>
        <w:rPr>
          <w:spacing w:val="-3"/>
        </w:rPr>
        <w:t> </w:t>
      </w:r>
      <w:r>
        <w:rPr/>
        <w:t>or</w:t>
      </w:r>
      <w:r>
        <w:rPr>
          <w:spacing w:val="-4"/>
        </w:rPr>
        <w:t> </w:t>
      </w:r>
      <w:r>
        <w:rPr/>
        <w:t>location</w:t>
      </w:r>
      <w:r>
        <w:rPr>
          <w:spacing w:val="-3"/>
        </w:rPr>
        <w:t> </w:t>
      </w:r>
      <w:r>
        <w:rPr/>
        <w:t>of</w:t>
      </w:r>
      <w:r>
        <w:rPr>
          <w:spacing w:val="-4"/>
        </w:rPr>
        <w:t> </w:t>
      </w:r>
      <w:r>
        <w:rPr>
          <w:spacing w:val="-2"/>
        </w:rPr>
        <w:t>facilities</w:t>
      </w:r>
    </w:p>
    <w:p>
      <w:pPr>
        <w:pStyle w:val="BodyText"/>
        <w:spacing w:line="208" w:lineRule="auto" w:before="233"/>
        <w:ind w:left="359" w:right="757" w:firstLine="432"/>
      </w:pPr>
      <w:r>
        <w:rPr/>
        <w:t>The site of the offices or facilities of the Department or of a vendor-recipient with whom the Department contracts for the delivery of services will be reasonably accessible</w:t>
      </w:r>
      <w:r>
        <w:rPr>
          <w:spacing w:val="-3"/>
        </w:rPr>
        <w:t> </w:t>
      </w:r>
      <w:r>
        <w:rPr/>
        <w:t>to</w:t>
      </w:r>
      <w:r>
        <w:rPr>
          <w:spacing w:val="-3"/>
        </w:rPr>
        <w:t> </w:t>
      </w:r>
      <w:r>
        <w:rPr/>
        <w:t>all</w:t>
      </w:r>
      <w:r>
        <w:rPr>
          <w:spacing w:val="-3"/>
        </w:rPr>
        <w:t> </w:t>
      </w:r>
      <w:r>
        <w:rPr/>
        <w:t>minority</w:t>
      </w:r>
      <w:r>
        <w:rPr>
          <w:spacing w:val="-3"/>
        </w:rPr>
        <w:t> </w:t>
      </w:r>
      <w:r>
        <w:rPr/>
        <w:t>groups.</w:t>
      </w:r>
      <w:r>
        <w:rPr>
          <w:spacing w:val="-4"/>
        </w:rPr>
        <w:t> </w:t>
      </w:r>
      <w:r>
        <w:rPr/>
        <w:t>The</w:t>
      </w:r>
      <w:r>
        <w:rPr>
          <w:spacing w:val="-3"/>
        </w:rPr>
        <w:t> </w:t>
      </w:r>
      <w:r>
        <w:rPr/>
        <w:t>access</w:t>
      </w:r>
      <w:r>
        <w:rPr>
          <w:spacing w:val="-2"/>
        </w:rPr>
        <w:t> </w:t>
      </w:r>
      <w:r>
        <w:rPr/>
        <w:t>to</w:t>
      </w:r>
      <w:r>
        <w:rPr>
          <w:spacing w:val="-3"/>
        </w:rPr>
        <w:t> </w:t>
      </w:r>
      <w:r>
        <w:rPr/>
        <w:t>services</w:t>
      </w:r>
      <w:r>
        <w:rPr>
          <w:spacing w:val="-4"/>
        </w:rPr>
        <w:t> </w:t>
      </w:r>
      <w:r>
        <w:rPr/>
        <w:t>rendered</w:t>
      </w:r>
      <w:r>
        <w:rPr>
          <w:spacing w:val="-3"/>
        </w:rPr>
        <w:t> </w:t>
      </w:r>
      <w:r>
        <w:rPr/>
        <w:t>by</w:t>
      </w:r>
      <w:r>
        <w:rPr>
          <w:spacing w:val="-3"/>
        </w:rPr>
        <w:t> </w:t>
      </w:r>
      <w:r>
        <w:rPr/>
        <w:t>the</w:t>
      </w:r>
      <w:r>
        <w:rPr>
          <w:spacing w:val="-3"/>
        </w:rPr>
        <w:t> </w:t>
      </w:r>
      <w:r>
        <w:rPr/>
        <w:t>Department</w:t>
      </w:r>
      <w:r>
        <w:rPr>
          <w:spacing w:val="-4"/>
        </w:rPr>
        <w:t> </w:t>
      </w:r>
      <w:r>
        <w:rPr/>
        <w:t>or its contractual participants in a Federally assisted program shall not limit access to those services to those minority groups or jeopardize such access by an adverse change in the geographic location or relocation. Upon all applications for grants, reimbursements, or provision of services by institutional vendors, the Department shall withhold approval until compliance with the Civil Rights requirements is met, based on criteria in (1) - (4) of this Section:</w:t>
      </w:r>
    </w:p>
    <w:p>
      <w:pPr>
        <w:pStyle w:val="ListParagraph"/>
        <w:numPr>
          <w:ilvl w:val="0"/>
          <w:numId w:val="47"/>
        </w:numPr>
        <w:tabs>
          <w:tab w:pos="1217" w:val="left" w:leader="none"/>
        </w:tabs>
        <w:spacing w:line="208" w:lineRule="auto" w:before="239" w:after="0"/>
        <w:ind w:left="791" w:right="1043" w:firstLine="0"/>
        <w:jc w:val="left"/>
        <w:rPr>
          <w:sz w:val="24"/>
        </w:rPr>
      </w:pPr>
      <w:r>
        <w:rPr>
          <w:sz w:val="24"/>
        </w:rPr>
        <w:t>determine</w:t>
      </w:r>
      <w:r>
        <w:rPr>
          <w:spacing w:val="-4"/>
          <w:sz w:val="24"/>
        </w:rPr>
        <w:t> </w:t>
      </w:r>
      <w:r>
        <w:rPr>
          <w:sz w:val="24"/>
        </w:rPr>
        <w:t>effect</w:t>
      </w:r>
      <w:r>
        <w:rPr>
          <w:spacing w:val="-3"/>
          <w:sz w:val="24"/>
        </w:rPr>
        <w:t> </w:t>
      </w:r>
      <w:r>
        <w:rPr>
          <w:sz w:val="24"/>
        </w:rPr>
        <w:t>on</w:t>
      </w:r>
      <w:r>
        <w:rPr>
          <w:spacing w:val="-4"/>
          <w:sz w:val="24"/>
        </w:rPr>
        <w:t> </w:t>
      </w:r>
      <w:r>
        <w:rPr>
          <w:sz w:val="24"/>
        </w:rPr>
        <w:t>the</w:t>
      </w:r>
      <w:r>
        <w:rPr>
          <w:spacing w:val="-4"/>
          <w:sz w:val="24"/>
        </w:rPr>
        <w:t> </w:t>
      </w:r>
      <w:r>
        <w:rPr>
          <w:sz w:val="24"/>
        </w:rPr>
        <w:t>particular</w:t>
      </w:r>
      <w:r>
        <w:rPr>
          <w:spacing w:val="-3"/>
          <w:sz w:val="24"/>
        </w:rPr>
        <w:t> </w:t>
      </w:r>
      <w:r>
        <w:rPr>
          <w:sz w:val="24"/>
        </w:rPr>
        <w:t>racial</w:t>
      </w:r>
      <w:r>
        <w:rPr>
          <w:spacing w:val="-3"/>
          <w:sz w:val="24"/>
        </w:rPr>
        <w:t> </w:t>
      </w:r>
      <w:r>
        <w:rPr>
          <w:sz w:val="24"/>
        </w:rPr>
        <w:t>or</w:t>
      </w:r>
      <w:r>
        <w:rPr>
          <w:spacing w:val="-3"/>
          <w:sz w:val="24"/>
        </w:rPr>
        <w:t> </w:t>
      </w:r>
      <w:r>
        <w:rPr>
          <w:sz w:val="24"/>
        </w:rPr>
        <w:t>ethnic</w:t>
      </w:r>
      <w:r>
        <w:rPr>
          <w:spacing w:val="-4"/>
          <w:sz w:val="24"/>
        </w:rPr>
        <w:t> </w:t>
      </w:r>
      <w:r>
        <w:rPr>
          <w:sz w:val="24"/>
        </w:rPr>
        <w:t>groups</w:t>
      </w:r>
      <w:r>
        <w:rPr>
          <w:spacing w:val="-4"/>
          <w:sz w:val="24"/>
        </w:rPr>
        <w:t> </w:t>
      </w:r>
      <w:r>
        <w:rPr>
          <w:sz w:val="24"/>
        </w:rPr>
        <w:t>served</w:t>
      </w:r>
      <w:r>
        <w:rPr>
          <w:spacing w:val="-4"/>
          <w:sz w:val="24"/>
        </w:rPr>
        <w:t> </w:t>
      </w:r>
      <w:r>
        <w:rPr>
          <w:sz w:val="24"/>
        </w:rPr>
        <w:t>by</w:t>
      </w:r>
      <w:r>
        <w:rPr>
          <w:spacing w:val="-4"/>
          <w:sz w:val="24"/>
        </w:rPr>
        <w:t> </w:t>
      </w:r>
      <w:r>
        <w:rPr>
          <w:sz w:val="24"/>
        </w:rPr>
        <w:t>the</w:t>
      </w:r>
      <w:r>
        <w:rPr>
          <w:spacing w:val="-4"/>
          <w:sz w:val="24"/>
        </w:rPr>
        <w:t> </w:t>
      </w:r>
      <w:r>
        <w:rPr>
          <w:sz w:val="24"/>
        </w:rPr>
        <w:t>facility prior to the proposed relocation;</w:t>
      </w:r>
    </w:p>
    <w:p>
      <w:pPr>
        <w:pStyle w:val="ListParagraph"/>
        <w:numPr>
          <w:ilvl w:val="0"/>
          <w:numId w:val="47"/>
        </w:numPr>
        <w:tabs>
          <w:tab w:pos="1217" w:val="left" w:leader="none"/>
        </w:tabs>
        <w:spacing w:line="208" w:lineRule="auto" w:before="240" w:after="0"/>
        <w:ind w:left="791" w:right="801" w:firstLine="0"/>
        <w:jc w:val="left"/>
        <w:rPr>
          <w:sz w:val="24"/>
        </w:rPr>
      </w:pPr>
      <w:r>
        <w:rPr>
          <w:sz w:val="24"/>
        </w:rPr>
        <w:t>where</w:t>
      </w:r>
      <w:r>
        <w:rPr>
          <w:spacing w:val="-5"/>
          <w:sz w:val="24"/>
        </w:rPr>
        <w:t> </w:t>
      </w:r>
      <w:r>
        <w:rPr>
          <w:sz w:val="24"/>
        </w:rPr>
        <w:t>a</w:t>
      </w:r>
      <w:r>
        <w:rPr>
          <w:spacing w:val="-4"/>
          <w:sz w:val="24"/>
        </w:rPr>
        <w:t> </w:t>
      </w:r>
      <w:r>
        <w:rPr>
          <w:sz w:val="24"/>
        </w:rPr>
        <w:t>particular</w:t>
      </w:r>
      <w:r>
        <w:rPr>
          <w:spacing w:val="-3"/>
          <w:sz w:val="24"/>
        </w:rPr>
        <w:t> </w:t>
      </w:r>
      <w:r>
        <w:rPr>
          <w:sz w:val="24"/>
        </w:rPr>
        <w:t>group</w:t>
      </w:r>
      <w:r>
        <w:rPr>
          <w:spacing w:val="-4"/>
          <w:sz w:val="24"/>
        </w:rPr>
        <w:t> </w:t>
      </w:r>
      <w:r>
        <w:rPr>
          <w:sz w:val="24"/>
        </w:rPr>
        <w:t>has</w:t>
      </w:r>
      <w:r>
        <w:rPr>
          <w:spacing w:val="-4"/>
          <w:sz w:val="24"/>
        </w:rPr>
        <w:t> </w:t>
      </w:r>
      <w:r>
        <w:rPr>
          <w:sz w:val="24"/>
        </w:rPr>
        <w:t>no</w:t>
      </w:r>
      <w:r>
        <w:rPr>
          <w:spacing w:val="-4"/>
          <w:sz w:val="24"/>
        </w:rPr>
        <w:t> </w:t>
      </w:r>
      <w:r>
        <w:rPr>
          <w:sz w:val="24"/>
        </w:rPr>
        <w:t>other</w:t>
      </w:r>
      <w:r>
        <w:rPr>
          <w:spacing w:val="-3"/>
          <w:sz w:val="24"/>
        </w:rPr>
        <w:t> </w:t>
      </w:r>
      <w:r>
        <w:rPr>
          <w:sz w:val="24"/>
        </w:rPr>
        <w:t>alternative</w:t>
      </w:r>
      <w:r>
        <w:rPr>
          <w:spacing w:val="-4"/>
          <w:sz w:val="24"/>
        </w:rPr>
        <w:t> </w:t>
      </w:r>
      <w:r>
        <w:rPr>
          <w:sz w:val="24"/>
        </w:rPr>
        <w:t>services</w:t>
      </w:r>
      <w:r>
        <w:rPr>
          <w:spacing w:val="-4"/>
          <w:sz w:val="24"/>
        </w:rPr>
        <w:t> </w:t>
      </w:r>
      <w:r>
        <w:rPr>
          <w:sz w:val="24"/>
        </w:rPr>
        <w:t>available,</w:t>
      </w:r>
      <w:r>
        <w:rPr>
          <w:spacing w:val="-3"/>
          <w:sz w:val="24"/>
        </w:rPr>
        <w:t> </w:t>
      </w:r>
      <w:r>
        <w:rPr>
          <w:sz w:val="24"/>
        </w:rPr>
        <w:t>the</w:t>
      </w:r>
      <w:r>
        <w:rPr>
          <w:spacing w:val="-4"/>
          <w:sz w:val="24"/>
        </w:rPr>
        <w:t> </w:t>
      </w:r>
      <w:r>
        <w:rPr>
          <w:sz w:val="24"/>
        </w:rPr>
        <w:t>subject contractual participant assures services for minority persons;</w:t>
      </w:r>
    </w:p>
    <w:p>
      <w:pPr>
        <w:pStyle w:val="ListParagraph"/>
        <w:numPr>
          <w:ilvl w:val="0"/>
          <w:numId w:val="47"/>
        </w:numPr>
        <w:tabs>
          <w:tab w:pos="1216" w:val="left" w:leader="none"/>
        </w:tabs>
        <w:spacing w:line="208" w:lineRule="auto" w:before="240" w:after="0"/>
        <w:ind w:left="791" w:right="1350" w:firstLine="0"/>
        <w:jc w:val="left"/>
        <w:rPr>
          <w:sz w:val="24"/>
        </w:rPr>
      </w:pPr>
      <w:r>
        <w:rPr>
          <w:sz w:val="24"/>
        </w:rPr>
        <w:t>the relocating agency provides adequate assurances that it does provide services</w:t>
      </w:r>
      <w:r>
        <w:rPr>
          <w:spacing w:val="-4"/>
          <w:sz w:val="24"/>
        </w:rPr>
        <w:t> </w:t>
      </w:r>
      <w:r>
        <w:rPr>
          <w:sz w:val="24"/>
        </w:rPr>
        <w:t>to</w:t>
      </w:r>
      <w:r>
        <w:rPr>
          <w:spacing w:val="-5"/>
          <w:sz w:val="24"/>
        </w:rPr>
        <w:t> </w:t>
      </w:r>
      <w:r>
        <w:rPr>
          <w:sz w:val="24"/>
        </w:rPr>
        <w:t>persons</w:t>
      </w:r>
      <w:r>
        <w:rPr>
          <w:spacing w:val="-4"/>
          <w:sz w:val="24"/>
        </w:rPr>
        <w:t> </w:t>
      </w:r>
      <w:r>
        <w:rPr>
          <w:sz w:val="24"/>
        </w:rPr>
        <w:t>residing</w:t>
      </w:r>
      <w:r>
        <w:rPr>
          <w:spacing w:val="-4"/>
          <w:sz w:val="24"/>
        </w:rPr>
        <w:t> </w:t>
      </w:r>
      <w:r>
        <w:rPr>
          <w:sz w:val="24"/>
        </w:rPr>
        <w:t>in</w:t>
      </w:r>
      <w:r>
        <w:rPr>
          <w:spacing w:val="-4"/>
          <w:sz w:val="24"/>
        </w:rPr>
        <w:t> </w:t>
      </w:r>
      <w:r>
        <w:rPr>
          <w:sz w:val="24"/>
        </w:rPr>
        <w:t>the</w:t>
      </w:r>
      <w:r>
        <w:rPr>
          <w:spacing w:val="-4"/>
          <w:sz w:val="24"/>
        </w:rPr>
        <w:t> </w:t>
      </w:r>
      <w:r>
        <w:rPr>
          <w:sz w:val="24"/>
        </w:rPr>
        <w:t>community</w:t>
      </w:r>
      <w:r>
        <w:rPr>
          <w:spacing w:val="-4"/>
          <w:sz w:val="24"/>
        </w:rPr>
        <w:t> </w:t>
      </w:r>
      <w:r>
        <w:rPr>
          <w:sz w:val="24"/>
        </w:rPr>
        <w:t>(i.e.,</w:t>
      </w:r>
      <w:r>
        <w:rPr>
          <w:spacing w:val="-3"/>
          <w:sz w:val="24"/>
        </w:rPr>
        <w:t> </w:t>
      </w:r>
      <w:r>
        <w:rPr>
          <w:sz w:val="24"/>
        </w:rPr>
        <w:t>specialty</w:t>
      </w:r>
      <w:r>
        <w:rPr>
          <w:spacing w:val="-4"/>
          <w:sz w:val="24"/>
        </w:rPr>
        <w:t> </w:t>
      </w:r>
      <w:r>
        <w:rPr>
          <w:sz w:val="24"/>
        </w:rPr>
        <w:t>hospitals</w:t>
      </w:r>
      <w:r>
        <w:rPr>
          <w:spacing w:val="-4"/>
          <w:sz w:val="24"/>
        </w:rPr>
        <w:t> </w:t>
      </w:r>
      <w:r>
        <w:rPr>
          <w:sz w:val="24"/>
        </w:rPr>
        <w:t>or</w:t>
      </w:r>
      <w:r>
        <w:rPr>
          <w:spacing w:val="-3"/>
          <w:sz w:val="24"/>
        </w:rPr>
        <w:t> </w:t>
      </w:r>
      <w:r>
        <w:rPr>
          <w:sz w:val="24"/>
        </w:rPr>
        <w:t>other unique service facilities); and,</w:t>
      </w:r>
    </w:p>
    <w:p>
      <w:pPr>
        <w:pStyle w:val="ListParagraph"/>
        <w:numPr>
          <w:ilvl w:val="0"/>
          <w:numId w:val="47"/>
        </w:numPr>
        <w:tabs>
          <w:tab w:pos="1216" w:val="left" w:leader="none"/>
        </w:tabs>
        <w:spacing w:line="208" w:lineRule="auto" w:before="239" w:after="0"/>
        <w:ind w:left="791" w:right="852" w:firstLine="0"/>
        <w:jc w:val="left"/>
        <w:rPr>
          <w:sz w:val="24"/>
        </w:rPr>
      </w:pPr>
      <w:r>
        <w:rPr>
          <w:sz w:val="24"/>
        </w:rPr>
        <w:t>the relocating agency provides adequate assurances that the facilities or agencies</w:t>
      </w:r>
      <w:r>
        <w:rPr>
          <w:spacing w:val="-4"/>
          <w:sz w:val="24"/>
        </w:rPr>
        <w:t> </w:t>
      </w:r>
      <w:r>
        <w:rPr>
          <w:sz w:val="24"/>
        </w:rPr>
        <w:t>remaining</w:t>
      </w:r>
      <w:r>
        <w:rPr>
          <w:spacing w:val="-4"/>
          <w:sz w:val="24"/>
        </w:rPr>
        <w:t> </w:t>
      </w:r>
      <w:r>
        <w:rPr>
          <w:sz w:val="24"/>
        </w:rPr>
        <w:t>in</w:t>
      </w:r>
      <w:r>
        <w:rPr>
          <w:spacing w:val="-3"/>
          <w:sz w:val="24"/>
        </w:rPr>
        <w:t> </w:t>
      </w:r>
      <w:r>
        <w:rPr>
          <w:sz w:val="24"/>
        </w:rPr>
        <w:t>the</w:t>
      </w:r>
      <w:r>
        <w:rPr>
          <w:spacing w:val="-4"/>
          <w:sz w:val="24"/>
        </w:rPr>
        <w:t> </w:t>
      </w:r>
      <w:r>
        <w:rPr>
          <w:sz w:val="24"/>
        </w:rPr>
        <w:t>area</w:t>
      </w:r>
      <w:r>
        <w:rPr>
          <w:spacing w:val="-4"/>
          <w:sz w:val="24"/>
        </w:rPr>
        <w:t> </w:t>
      </w:r>
      <w:r>
        <w:rPr>
          <w:sz w:val="24"/>
        </w:rPr>
        <w:t>originally</w:t>
      </w:r>
      <w:r>
        <w:rPr>
          <w:spacing w:val="-4"/>
          <w:sz w:val="24"/>
        </w:rPr>
        <w:t> </w:t>
      </w:r>
      <w:r>
        <w:rPr>
          <w:sz w:val="24"/>
        </w:rPr>
        <w:t>serviced</w:t>
      </w:r>
      <w:r>
        <w:rPr>
          <w:spacing w:val="-4"/>
          <w:sz w:val="24"/>
        </w:rPr>
        <w:t> </w:t>
      </w:r>
      <w:r>
        <w:rPr>
          <w:sz w:val="24"/>
        </w:rPr>
        <w:t>will</w:t>
      </w:r>
      <w:r>
        <w:rPr>
          <w:spacing w:val="-4"/>
          <w:sz w:val="24"/>
        </w:rPr>
        <w:t> </w:t>
      </w:r>
      <w:r>
        <w:rPr>
          <w:sz w:val="24"/>
        </w:rPr>
        <w:t>provide</w:t>
      </w:r>
      <w:r>
        <w:rPr>
          <w:spacing w:val="-4"/>
          <w:sz w:val="24"/>
        </w:rPr>
        <w:t> </w:t>
      </w:r>
      <w:r>
        <w:rPr>
          <w:sz w:val="24"/>
        </w:rPr>
        <w:t>adequate</w:t>
      </w:r>
      <w:r>
        <w:rPr>
          <w:spacing w:val="-4"/>
          <w:sz w:val="24"/>
        </w:rPr>
        <w:t> </w:t>
      </w:r>
      <w:r>
        <w:rPr>
          <w:sz w:val="24"/>
        </w:rPr>
        <w:t>services</w:t>
      </w:r>
      <w:r>
        <w:rPr>
          <w:spacing w:val="-4"/>
          <w:sz w:val="24"/>
        </w:rPr>
        <w:t> </w:t>
      </w:r>
      <w:r>
        <w:rPr>
          <w:sz w:val="24"/>
        </w:rPr>
        <w:t>to the concerned racial or ethnic group.</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pPr>
      <w:bookmarkStart w:name="612:1-13-11.  Department responsibility " w:id="55"/>
      <w:bookmarkEnd w:id="55"/>
      <w:r>
        <w:rPr>
          <w:b w:val="0"/>
        </w:rPr>
      </w:r>
      <w:r>
        <w:rPr/>
        <w:t>612:1-13-11.</w:t>
      </w:r>
      <w:r>
        <w:rPr>
          <w:spacing w:val="53"/>
        </w:rPr>
        <w:t> </w:t>
      </w:r>
      <w:r>
        <w:rPr/>
        <w:t>Department</w:t>
      </w:r>
      <w:r>
        <w:rPr>
          <w:spacing w:val="-4"/>
        </w:rPr>
        <w:t> </w:t>
      </w:r>
      <w:r>
        <w:rPr/>
        <w:t>responsibility</w:t>
      </w:r>
      <w:r>
        <w:rPr>
          <w:spacing w:val="-7"/>
        </w:rPr>
        <w:t> </w:t>
      </w:r>
      <w:r>
        <w:rPr/>
        <w:t>to</w:t>
      </w:r>
      <w:r>
        <w:rPr>
          <w:spacing w:val="-5"/>
        </w:rPr>
        <w:t> </w:t>
      </w:r>
      <w:r>
        <w:rPr/>
        <w:t>vendor-</w:t>
      </w:r>
      <w:r>
        <w:rPr>
          <w:spacing w:val="-2"/>
        </w:rPr>
        <w:t>recipients</w:t>
      </w:r>
    </w:p>
    <w:p>
      <w:pPr>
        <w:pStyle w:val="ListParagraph"/>
        <w:numPr>
          <w:ilvl w:val="0"/>
          <w:numId w:val="48"/>
        </w:numPr>
        <w:tabs>
          <w:tab w:pos="786" w:val="left" w:leader="none"/>
        </w:tabs>
        <w:spacing w:line="208" w:lineRule="auto" w:before="233" w:after="0"/>
        <w:ind w:left="360" w:right="836" w:firstLine="0"/>
        <w:jc w:val="left"/>
        <w:rPr>
          <w:sz w:val="24"/>
        </w:rPr>
      </w:pPr>
      <w:r>
        <w:rPr>
          <w:sz w:val="24"/>
        </w:rPr>
        <w:t>The</w:t>
      </w:r>
      <w:r>
        <w:rPr>
          <w:spacing w:val="-5"/>
          <w:sz w:val="24"/>
        </w:rPr>
        <w:t> </w:t>
      </w:r>
      <w:r>
        <w:rPr>
          <w:sz w:val="24"/>
        </w:rPr>
        <w:t>Department</w:t>
      </w:r>
      <w:r>
        <w:rPr>
          <w:spacing w:val="-4"/>
          <w:sz w:val="24"/>
        </w:rPr>
        <w:t> </w:t>
      </w:r>
      <w:r>
        <w:rPr>
          <w:sz w:val="24"/>
        </w:rPr>
        <w:t>will</w:t>
      </w:r>
      <w:r>
        <w:rPr>
          <w:spacing w:val="-5"/>
          <w:sz w:val="24"/>
        </w:rPr>
        <w:t> </w:t>
      </w:r>
      <w:r>
        <w:rPr>
          <w:sz w:val="24"/>
        </w:rPr>
        <w:t>impose</w:t>
      </w:r>
      <w:r>
        <w:rPr>
          <w:spacing w:val="-5"/>
          <w:sz w:val="24"/>
        </w:rPr>
        <w:t> </w:t>
      </w:r>
      <w:r>
        <w:rPr>
          <w:sz w:val="24"/>
        </w:rPr>
        <w:t>upon</w:t>
      </w:r>
      <w:r>
        <w:rPr>
          <w:spacing w:val="-5"/>
          <w:sz w:val="24"/>
        </w:rPr>
        <w:t> </w:t>
      </w:r>
      <w:r>
        <w:rPr>
          <w:sz w:val="24"/>
        </w:rPr>
        <w:t>its</w:t>
      </w:r>
      <w:r>
        <w:rPr>
          <w:spacing w:val="-5"/>
          <w:sz w:val="24"/>
        </w:rPr>
        <w:t> </w:t>
      </w:r>
      <w:r>
        <w:rPr>
          <w:sz w:val="24"/>
        </w:rPr>
        <w:t>vendor-recipients</w:t>
      </w:r>
      <w:r>
        <w:rPr>
          <w:spacing w:val="-5"/>
          <w:sz w:val="24"/>
        </w:rPr>
        <w:t> </w:t>
      </w:r>
      <w:r>
        <w:rPr>
          <w:sz w:val="24"/>
        </w:rPr>
        <w:t>methods</w:t>
      </w:r>
      <w:r>
        <w:rPr>
          <w:spacing w:val="-5"/>
          <w:sz w:val="24"/>
        </w:rPr>
        <w:t> </w:t>
      </w:r>
      <w:r>
        <w:rPr>
          <w:sz w:val="24"/>
        </w:rPr>
        <w:t>of</w:t>
      </w:r>
      <w:r>
        <w:rPr>
          <w:spacing w:val="-4"/>
          <w:sz w:val="24"/>
        </w:rPr>
        <w:t> </w:t>
      </w:r>
      <w:r>
        <w:rPr>
          <w:sz w:val="24"/>
        </w:rPr>
        <w:t>compliance</w:t>
      </w:r>
      <w:r>
        <w:rPr>
          <w:spacing w:val="-5"/>
          <w:sz w:val="24"/>
        </w:rPr>
        <w:t> </w:t>
      </w:r>
      <w:r>
        <w:rPr>
          <w:sz w:val="24"/>
        </w:rPr>
        <w:t>with Title VI, ADA, and Section 504 comparable to these methods of administration. Such persons will be informed that their compliance with Title VI, ADA, and Section 504 is a condition of their initial or continued participation in any part of the program in which they may be involved. In each written authorization of the Department for the purchase of services, a requirement will be included that the services must be rendered without regard to race, color, creed, religion, sex, disability, ancestry or national origin.</w:t>
      </w:r>
    </w:p>
    <w:p>
      <w:pPr>
        <w:pStyle w:val="ListParagraph"/>
        <w:numPr>
          <w:ilvl w:val="0"/>
          <w:numId w:val="48"/>
        </w:numPr>
        <w:tabs>
          <w:tab w:pos="786" w:val="left" w:leader="none"/>
        </w:tabs>
        <w:spacing w:line="208" w:lineRule="auto" w:before="239" w:after="0"/>
        <w:ind w:left="360" w:right="754" w:firstLine="0"/>
        <w:jc w:val="left"/>
        <w:rPr>
          <w:sz w:val="24"/>
        </w:rPr>
      </w:pPr>
      <w:r>
        <w:rPr>
          <w:sz w:val="24"/>
        </w:rPr>
        <w:t>The Department will obtain from each institutional vendor-recipient (i.e., hospital) a written</w:t>
      </w:r>
      <w:r>
        <w:rPr>
          <w:spacing w:val="-3"/>
          <w:sz w:val="24"/>
        </w:rPr>
        <w:t> </w:t>
      </w:r>
      <w:r>
        <w:rPr>
          <w:sz w:val="24"/>
        </w:rPr>
        <w:t>assurance</w:t>
      </w:r>
      <w:r>
        <w:rPr>
          <w:spacing w:val="-3"/>
          <w:sz w:val="24"/>
        </w:rPr>
        <w:t> </w:t>
      </w:r>
      <w:r>
        <w:rPr>
          <w:sz w:val="24"/>
        </w:rPr>
        <w:t>that</w:t>
      </w:r>
      <w:r>
        <w:rPr>
          <w:spacing w:val="-2"/>
          <w:sz w:val="24"/>
        </w:rPr>
        <w:t> </w:t>
      </w:r>
      <w:r>
        <w:rPr>
          <w:sz w:val="24"/>
        </w:rPr>
        <w:t>it</w:t>
      </w:r>
      <w:r>
        <w:rPr>
          <w:spacing w:val="-2"/>
          <w:sz w:val="24"/>
        </w:rPr>
        <w:t> </w:t>
      </w:r>
      <w:r>
        <w:rPr>
          <w:sz w:val="24"/>
        </w:rPr>
        <w:t>will</w:t>
      </w:r>
      <w:r>
        <w:rPr>
          <w:spacing w:val="-3"/>
          <w:sz w:val="24"/>
        </w:rPr>
        <w:t> </w:t>
      </w:r>
      <w:r>
        <w:rPr>
          <w:sz w:val="24"/>
        </w:rPr>
        <w:t>comply</w:t>
      </w:r>
      <w:r>
        <w:rPr>
          <w:spacing w:val="-3"/>
          <w:sz w:val="24"/>
        </w:rPr>
        <w:t> </w:t>
      </w:r>
      <w:r>
        <w:rPr>
          <w:sz w:val="24"/>
        </w:rPr>
        <w:t>with</w:t>
      </w:r>
      <w:r>
        <w:rPr>
          <w:spacing w:val="-3"/>
          <w:sz w:val="24"/>
        </w:rPr>
        <w:t> </w:t>
      </w:r>
      <w:r>
        <w:rPr>
          <w:sz w:val="24"/>
        </w:rPr>
        <w:t>Title</w:t>
      </w:r>
      <w:r>
        <w:rPr>
          <w:spacing w:val="-3"/>
          <w:sz w:val="24"/>
        </w:rPr>
        <w:t> </w:t>
      </w:r>
      <w:r>
        <w:rPr>
          <w:sz w:val="24"/>
        </w:rPr>
        <w:t>VI,</w:t>
      </w:r>
      <w:r>
        <w:rPr>
          <w:spacing w:val="-2"/>
          <w:sz w:val="24"/>
        </w:rPr>
        <w:t> </w:t>
      </w:r>
      <w:r>
        <w:rPr>
          <w:sz w:val="24"/>
        </w:rPr>
        <w:t>ADA,</w:t>
      </w:r>
      <w:r>
        <w:rPr>
          <w:spacing w:val="-4"/>
          <w:sz w:val="24"/>
        </w:rPr>
        <w:t> </w:t>
      </w:r>
      <w:r>
        <w:rPr>
          <w:sz w:val="24"/>
        </w:rPr>
        <w:t>and</w:t>
      </w:r>
      <w:r>
        <w:rPr>
          <w:spacing w:val="-3"/>
          <w:sz w:val="24"/>
        </w:rPr>
        <w:t> </w:t>
      </w:r>
      <w:r>
        <w:rPr>
          <w:sz w:val="24"/>
        </w:rPr>
        <w:t>Section</w:t>
      </w:r>
      <w:r>
        <w:rPr>
          <w:spacing w:val="-3"/>
          <w:sz w:val="24"/>
        </w:rPr>
        <w:t> </w:t>
      </w:r>
      <w:r>
        <w:rPr>
          <w:sz w:val="24"/>
        </w:rPr>
        <w:t>504.</w:t>
      </w:r>
      <w:r>
        <w:rPr>
          <w:spacing w:val="-2"/>
          <w:sz w:val="24"/>
        </w:rPr>
        <w:t> </w:t>
      </w:r>
      <w:r>
        <w:rPr>
          <w:sz w:val="24"/>
        </w:rPr>
        <w:t>Periodically</w:t>
      </w:r>
      <w:r>
        <w:rPr>
          <w:spacing w:val="-3"/>
          <w:sz w:val="24"/>
        </w:rPr>
        <w:t> </w:t>
      </w:r>
      <w:r>
        <w:rPr>
          <w:sz w:val="24"/>
        </w:rPr>
        <w:t>the Department will review its vendor-recipient to determine the requirements of the Department are being fulfilled and that practices being utilized conform with Title VI, ADA, and Section 504. A complete report of the entire review will be prepared and made a part of the Department's files.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pPr>
      <w:bookmarkStart w:name="612:1-13-12.  Employment practices" w:id="56"/>
      <w:bookmarkEnd w:id="56"/>
      <w:r>
        <w:rPr>
          <w:b w:val="0"/>
        </w:rPr>
      </w:r>
      <w:r>
        <w:rPr/>
        <w:t>612:1-13-12.</w:t>
      </w:r>
      <w:r>
        <w:rPr>
          <w:spacing w:val="57"/>
        </w:rPr>
        <w:t> </w:t>
      </w:r>
      <w:r>
        <w:rPr/>
        <w:t>Employment</w:t>
      </w:r>
      <w:r>
        <w:rPr>
          <w:spacing w:val="-4"/>
        </w:rPr>
        <w:t> </w:t>
      </w:r>
      <w:r>
        <w:rPr>
          <w:spacing w:val="-2"/>
        </w:rPr>
        <w:t>practices</w:t>
      </w:r>
    </w:p>
    <w:p>
      <w:pPr>
        <w:pStyle w:val="BodyText"/>
        <w:spacing w:line="208" w:lineRule="auto" w:before="233"/>
        <w:ind w:right="844" w:firstLine="432"/>
        <w:jc w:val="both"/>
      </w:pPr>
      <w:r>
        <w:rPr/>
        <w:t>The</w:t>
      </w:r>
      <w:r>
        <w:rPr>
          <w:spacing w:val="-4"/>
        </w:rPr>
        <w:t> </w:t>
      </w:r>
      <w:r>
        <w:rPr/>
        <w:t>Department,</w:t>
      </w:r>
      <w:r>
        <w:rPr>
          <w:spacing w:val="-3"/>
        </w:rPr>
        <w:t> </w:t>
      </w:r>
      <w:r>
        <w:rPr/>
        <w:t>in</w:t>
      </w:r>
      <w:r>
        <w:rPr>
          <w:spacing w:val="-4"/>
        </w:rPr>
        <w:t> </w:t>
      </w:r>
      <w:r>
        <w:rPr/>
        <w:t>compliance</w:t>
      </w:r>
      <w:r>
        <w:rPr>
          <w:spacing w:val="-4"/>
        </w:rPr>
        <w:t> </w:t>
      </w:r>
      <w:r>
        <w:rPr/>
        <w:t>with</w:t>
      </w:r>
      <w:r>
        <w:rPr>
          <w:spacing w:val="-4"/>
        </w:rPr>
        <w:t> </w:t>
      </w:r>
      <w:r>
        <w:rPr/>
        <w:t>45</w:t>
      </w:r>
      <w:r>
        <w:rPr>
          <w:spacing w:val="-4"/>
        </w:rPr>
        <w:t> </w:t>
      </w:r>
      <w:r>
        <w:rPr/>
        <w:t>CFR</w:t>
      </w:r>
      <w:r>
        <w:rPr>
          <w:spacing w:val="-4"/>
        </w:rPr>
        <w:t> </w:t>
      </w:r>
      <w:r>
        <w:rPr/>
        <w:t>84</w:t>
      </w:r>
      <w:r>
        <w:rPr>
          <w:spacing w:val="-4"/>
        </w:rPr>
        <w:t> </w:t>
      </w:r>
      <w:r>
        <w:rPr/>
        <w:t>Subpart</w:t>
      </w:r>
      <w:r>
        <w:rPr>
          <w:spacing w:val="-3"/>
        </w:rPr>
        <w:t> </w:t>
      </w:r>
      <w:r>
        <w:rPr/>
        <w:t>B,</w:t>
      </w:r>
      <w:r>
        <w:rPr>
          <w:spacing w:val="-3"/>
        </w:rPr>
        <w:t> </w:t>
      </w:r>
      <w:r>
        <w:rPr/>
        <w:t>affirms</w:t>
      </w:r>
      <w:r>
        <w:rPr>
          <w:spacing w:val="-5"/>
        </w:rPr>
        <w:t> </w:t>
      </w:r>
      <w:r>
        <w:rPr/>
        <w:t>that</w:t>
      </w:r>
      <w:r>
        <w:rPr>
          <w:spacing w:val="-3"/>
        </w:rPr>
        <w:t> </w:t>
      </w:r>
      <w:r>
        <w:rPr/>
        <w:t>no</w:t>
      </w:r>
      <w:r>
        <w:rPr>
          <w:spacing w:val="-4"/>
        </w:rPr>
        <w:t> </w:t>
      </w:r>
      <w:r>
        <w:rPr/>
        <w:t>qualified person</w:t>
      </w:r>
      <w:r>
        <w:rPr>
          <w:spacing w:val="-1"/>
        </w:rPr>
        <w:t> </w:t>
      </w:r>
      <w:r>
        <w:rPr/>
        <w:t>with a</w:t>
      </w:r>
      <w:r>
        <w:rPr>
          <w:spacing w:val="-1"/>
        </w:rPr>
        <w:t> </w:t>
      </w:r>
      <w:r>
        <w:rPr/>
        <w:t>disability</w:t>
      </w:r>
      <w:r>
        <w:rPr>
          <w:spacing w:val="-1"/>
        </w:rPr>
        <w:t> </w:t>
      </w:r>
      <w:r>
        <w:rPr/>
        <w:t>shall, on</w:t>
      </w:r>
      <w:r>
        <w:rPr>
          <w:spacing w:val="-1"/>
        </w:rPr>
        <w:t> </w:t>
      </w:r>
      <w:r>
        <w:rPr/>
        <w:t>the</w:t>
      </w:r>
      <w:r>
        <w:rPr>
          <w:spacing w:val="-1"/>
        </w:rPr>
        <w:t> </w:t>
      </w:r>
      <w:r>
        <w:rPr/>
        <w:t>basis</w:t>
      </w:r>
      <w:r>
        <w:rPr>
          <w:spacing w:val="-1"/>
        </w:rPr>
        <w:t> </w:t>
      </w:r>
      <w:r>
        <w:rPr/>
        <w:t>of disability, be</w:t>
      </w:r>
      <w:r>
        <w:rPr>
          <w:spacing w:val="-1"/>
        </w:rPr>
        <w:t> </w:t>
      </w:r>
      <w:r>
        <w:rPr/>
        <w:t>subjected</w:t>
      </w:r>
      <w:r>
        <w:rPr>
          <w:spacing w:val="-1"/>
        </w:rPr>
        <w:t> </w:t>
      </w:r>
      <w:r>
        <w:rPr/>
        <w:t>to</w:t>
      </w:r>
      <w:r>
        <w:rPr>
          <w:spacing w:val="-1"/>
        </w:rPr>
        <w:t> </w:t>
      </w:r>
      <w:r>
        <w:rPr/>
        <w:t>discrimination</w:t>
      </w:r>
      <w:r>
        <w:rPr>
          <w:spacing w:val="-1"/>
        </w:rPr>
        <w:t> </w:t>
      </w:r>
      <w:r>
        <w:rPr/>
        <w:t>in employment under any program or activity of the Department.</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1"/>
        <w:spacing w:line="208" w:lineRule="auto" w:before="96"/>
        <w:ind w:left="4500" w:right="775" w:hanging="3668"/>
        <w:jc w:val="left"/>
      </w:pPr>
      <w:bookmarkStart w:name="SUBCHAPTER 15. DEPARTMENT MANUAL, RULES," w:id="57"/>
      <w:bookmarkEnd w:id="57"/>
      <w:r>
        <w:rPr>
          <w:b w:val="0"/>
        </w:rPr>
      </w:r>
      <w:r>
        <w:rPr/>
        <w:t>SUBCHAPTER</w:t>
      </w:r>
      <w:r>
        <w:rPr>
          <w:spacing w:val="-7"/>
        </w:rPr>
        <w:t> </w:t>
      </w:r>
      <w:r>
        <w:rPr/>
        <w:t>15.</w:t>
      </w:r>
      <w:r>
        <w:rPr>
          <w:spacing w:val="-6"/>
        </w:rPr>
        <w:t> </w:t>
      </w:r>
      <w:r>
        <w:rPr/>
        <w:t>DEPARTMENT</w:t>
      </w:r>
      <w:r>
        <w:rPr>
          <w:spacing w:val="-6"/>
        </w:rPr>
        <w:t> </w:t>
      </w:r>
      <w:r>
        <w:rPr/>
        <w:t>MANUAL,</w:t>
      </w:r>
      <w:r>
        <w:rPr>
          <w:spacing w:val="-6"/>
        </w:rPr>
        <w:t> </w:t>
      </w:r>
      <w:r>
        <w:rPr/>
        <w:t>RULES,</w:t>
      </w:r>
      <w:r>
        <w:rPr>
          <w:spacing w:val="-6"/>
        </w:rPr>
        <w:t> </w:t>
      </w:r>
      <w:r>
        <w:rPr/>
        <w:t>AND</w:t>
      </w:r>
      <w:r>
        <w:rPr>
          <w:spacing w:val="-7"/>
        </w:rPr>
        <w:t> </w:t>
      </w:r>
      <w:r>
        <w:rPr/>
        <w:t>DECLARATORY </w:t>
      </w:r>
      <w:r>
        <w:rPr>
          <w:spacing w:val="-2"/>
        </w:rPr>
        <w:t>RULINGS</w:t>
      </w:r>
    </w:p>
    <w:p>
      <w:pPr>
        <w:pStyle w:val="BodyText"/>
        <w:spacing w:before="210"/>
      </w:pPr>
      <w:r>
        <w:rPr>
          <w:spacing w:val="-2"/>
        </w:rPr>
        <w:t>Section</w:t>
      </w:r>
    </w:p>
    <w:p>
      <w:pPr>
        <w:pStyle w:val="BodyText"/>
        <w:tabs>
          <w:tab w:pos="1799" w:val="left" w:leader="none"/>
        </w:tabs>
        <w:spacing w:line="417" w:lineRule="auto" w:before="204"/>
        <w:ind w:right="4528"/>
      </w:pPr>
      <w:r>
        <w:rPr>
          <w:spacing w:val="-2"/>
        </w:rPr>
        <w:t>612:1-15-1.</w:t>
      </w:r>
      <w:r>
        <w:rPr/>
        <w:tab/>
        <w:t>Purpose</w:t>
      </w:r>
      <w:r>
        <w:rPr>
          <w:spacing w:val="-8"/>
        </w:rPr>
        <w:t> </w:t>
      </w:r>
      <w:r>
        <w:rPr/>
        <w:t>and</w:t>
      </w:r>
      <w:r>
        <w:rPr>
          <w:spacing w:val="-8"/>
        </w:rPr>
        <w:t> </w:t>
      </w:r>
      <w:r>
        <w:rPr/>
        <w:t>distribution</w:t>
      </w:r>
      <w:r>
        <w:rPr>
          <w:spacing w:val="-8"/>
        </w:rPr>
        <w:t> </w:t>
      </w:r>
      <w:r>
        <w:rPr/>
        <w:t>of</w:t>
      </w:r>
      <w:r>
        <w:rPr>
          <w:spacing w:val="-7"/>
        </w:rPr>
        <w:t> </w:t>
      </w:r>
      <w:r>
        <w:rPr/>
        <w:t>the</w:t>
      </w:r>
      <w:r>
        <w:rPr>
          <w:spacing w:val="-9"/>
        </w:rPr>
        <w:t> </w:t>
      </w:r>
      <w:r>
        <w:rPr/>
        <w:t>manual </w:t>
      </w:r>
      <w:r>
        <w:rPr>
          <w:spacing w:val="-2"/>
        </w:rPr>
        <w:t>612:1-15-2.</w:t>
      </w:r>
      <w:r>
        <w:rPr/>
        <w:tab/>
        <w:t>Availability of manual</w:t>
      </w:r>
    </w:p>
    <w:p>
      <w:pPr>
        <w:pStyle w:val="BodyText"/>
        <w:tabs>
          <w:tab w:pos="1799" w:val="left" w:leader="none"/>
        </w:tabs>
        <w:spacing w:line="417" w:lineRule="auto" w:before="0"/>
        <w:ind w:right="3436"/>
      </w:pPr>
      <w:r>
        <w:rPr>
          <w:spacing w:val="-2"/>
        </w:rPr>
        <w:t>612:1-15-3.</w:t>
      </w:r>
      <w:r>
        <w:rPr/>
        <w:tab/>
        <w:t>Petitions</w:t>
      </w:r>
      <w:r>
        <w:rPr>
          <w:spacing w:val="-7"/>
        </w:rPr>
        <w:t> </w:t>
      </w:r>
      <w:r>
        <w:rPr/>
        <w:t>for</w:t>
      </w:r>
      <w:r>
        <w:rPr>
          <w:spacing w:val="-6"/>
        </w:rPr>
        <w:t> </w:t>
      </w:r>
      <w:r>
        <w:rPr/>
        <w:t>rule</w:t>
      </w:r>
      <w:r>
        <w:rPr>
          <w:spacing w:val="-7"/>
        </w:rPr>
        <w:t> </w:t>
      </w:r>
      <w:r>
        <w:rPr/>
        <w:t>changes</w:t>
      </w:r>
      <w:r>
        <w:rPr>
          <w:spacing w:val="-7"/>
        </w:rPr>
        <w:t> </w:t>
      </w:r>
      <w:r>
        <w:rPr/>
        <w:t>and</w:t>
      </w:r>
      <w:r>
        <w:rPr>
          <w:spacing w:val="-7"/>
        </w:rPr>
        <w:t> </w:t>
      </w:r>
      <w:r>
        <w:rPr/>
        <w:t>declaratory</w:t>
      </w:r>
      <w:r>
        <w:rPr>
          <w:spacing w:val="-7"/>
        </w:rPr>
        <w:t> </w:t>
      </w:r>
      <w:r>
        <w:rPr/>
        <w:t>rulings </w:t>
      </w:r>
      <w:r>
        <w:rPr>
          <w:spacing w:val="-2"/>
        </w:rPr>
        <w:t>612:1-15-5.</w:t>
      </w:r>
      <w:r>
        <w:rPr/>
        <w:tab/>
      </w:r>
      <w:r>
        <w:rPr>
          <w:spacing w:val="-2"/>
        </w:rPr>
        <w:t>Definitions</w:t>
      </w:r>
    </w:p>
    <w:p>
      <w:pPr>
        <w:pStyle w:val="BodyText"/>
        <w:tabs>
          <w:tab w:pos="1799" w:val="left" w:leader="none"/>
        </w:tabs>
        <w:spacing w:line="276" w:lineRule="exact" w:before="0"/>
      </w:pPr>
      <w:r>
        <w:rPr>
          <w:spacing w:val="-2"/>
        </w:rPr>
        <w:t>612:1-15-</w:t>
      </w:r>
      <w:r>
        <w:rPr>
          <w:spacing w:val="-5"/>
        </w:rPr>
        <w:t>6.</w:t>
      </w:r>
      <w:r>
        <w:rPr/>
        <w:tab/>
        <w:t>Revision</w:t>
      </w:r>
      <w:r>
        <w:rPr>
          <w:spacing w:val="-6"/>
        </w:rPr>
        <w:t> </w:t>
      </w:r>
      <w:r>
        <w:rPr/>
        <w:t>of</w:t>
      </w:r>
      <w:r>
        <w:rPr>
          <w:spacing w:val="-3"/>
        </w:rPr>
        <w:t> </w:t>
      </w:r>
      <w:r>
        <w:rPr/>
        <w:t>administrative</w:t>
      </w:r>
      <w:r>
        <w:rPr>
          <w:spacing w:val="-3"/>
        </w:rPr>
        <w:t> </w:t>
      </w:r>
      <w:r>
        <w:rPr/>
        <w:t>rules</w:t>
      </w:r>
      <w:r>
        <w:rPr>
          <w:spacing w:val="-4"/>
        </w:rPr>
        <w:t> </w:t>
      </w:r>
      <w:r>
        <w:rPr/>
        <w:t>and</w:t>
      </w:r>
      <w:r>
        <w:rPr>
          <w:spacing w:val="-4"/>
        </w:rPr>
        <w:t> </w:t>
      </w:r>
      <w:r>
        <w:rPr/>
        <w:t>internal</w:t>
      </w:r>
      <w:r>
        <w:rPr>
          <w:spacing w:val="-2"/>
        </w:rPr>
        <w:t> policy</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9-11-20</w:t>
      </w:r>
      <w:r>
        <w:rPr>
          <w:sz w:val="22"/>
        </w:rPr>
        <w:tab/>
        <w:t>Added 612:1-15-5 and 612:1-15-6</w:t>
      </w:r>
    </w:p>
    <w:p>
      <w:pPr>
        <w:spacing w:after="0"/>
        <w:jc w:val="left"/>
        <w:rPr>
          <w:sz w:val="22"/>
        </w:rPr>
        <w:sectPr>
          <w:pgSz w:w="12240" w:h="15840"/>
          <w:pgMar w:top="1340" w:bottom="280" w:left="1080" w:right="720"/>
        </w:sectPr>
      </w:pPr>
    </w:p>
    <w:p>
      <w:pPr>
        <w:pStyle w:val="Heading2"/>
      </w:pPr>
      <w:bookmarkStart w:name="612:1-15-1.  Purpose and distribution of" w:id="58"/>
      <w:bookmarkEnd w:id="58"/>
      <w:r>
        <w:rPr>
          <w:b w:val="0"/>
        </w:rPr>
      </w:r>
      <w:r>
        <w:rPr/>
        <w:t>612:1-15-1.</w:t>
      </w:r>
      <w:r>
        <w:rPr>
          <w:spacing w:val="58"/>
        </w:rPr>
        <w:t> </w:t>
      </w:r>
      <w:r>
        <w:rPr/>
        <w:t>Purpose</w:t>
      </w:r>
      <w:r>
        <w:rPr>
          <w:spacing w:val="-4"/>
        </w:rPr>
        <w:t> </w:t>
      </w:r>
      <w:r>
        <w:rPr/>
        <w:t>and</w:t>
      </w:r>
      <w:r>
        <w:rPr>
          <w:spacing w:val="-4"/>
        </w:rPr>
        <w:t> </w:t>
      </w:r>
      <w:r>
        <w:rPr/>
        <w:t>distribution</w:t>
      </w:r>
      <w:r>
        <w:rPr>
          <w:spacing w:val="-3"/>
        </w:rPr>
        <w:t> </w:t>
      </w:r>
      <w:r>
        <w:rPr/>
        <w:t>of</w:t>
      </w:r>
      <w:r>
        <w:rPr>
          <w:spacing w:val="-4"/>
        </w:rPr>
        <w:t> </w:t>
      </w:r>
      <w:r>
        <w:rPr/>
        <w:t>the</w:t>
      </w:r>
      <w:r>
        <w:rPr>
          <w:spacing w:val="-3"/>
        </w:rPr>
        <w:t> </w:t>
      </w:r>
      <w:r>
        <w:rPr>
          <w:spacing w:val="-2"/>
        </w:rPr>
        <w:t>manual</w:t>
      </w:r>
    </w:p>
    <w:p>
      <w:pPr>
        <w:pStyle w:val="BodyText"/>
        <w:spacing w:line="208" w:lineRule="auto" w:before="233"/>
        <w:ind w:right="775" w:firstLine="432"/>
      </w:pPr>
      <w:r>
        <w:rPr/>
        <w:t>The manual of the Department of Rehabilitation Services represents: the official statement regarding the function and organization of the Department; the policies established by the</w:t>
      </w:r>
      <w:r>
        <w:rPr>
          <w:spacing w:val="-1"/>
        </w:rPr>
        <w:t> </w:t>
      </w:r>
      <w:r>
        <w:rPr/>
        <w:t>Oklahoma Commission for Rehabilitation Services to implement the Federal and State laws relating to the Department; and the procedures adopted by administrative action which are to be uniformly followed throughout the Department, both in relation to the Department's programs and in regard to the staff members' relationship</w:t>
      </w:r>
      <w:r>
        <w:rPr>
          <w:spacing w:val="-2"/>
        </w:rPr>
        <w:t> </w:t>
      </w:r>
      <w:r>
        <w:rPr/>
        <w:t>with</w:t>
      </w:r>
      <w:r>
        <w:rPr>
          <w:spacing w:val="-3"/>
        </w:rPr>
        <w:t> </w:t>
      </w:r>
      <w:r>
        <w:rPr/>
        <w:t>the</w:t>
      </w:r>
      <w:r>
        <w:rPr>
          <w:spacing w:val="-3"/>
        </w:rPr>
        <w:t> </w:t>
      </w:r>
      <w:r>
        <w:rPr/>
        <w:t>Department</w:t>
      </w:r>
      <w:r>
        <w:rPr>
          <w:spacing w:val="-4"/>
        </w:rPr>
        <w:t> </w:t>
      </w:r>
      <w:r>
        <w:rPr/>
        <w:t>as</w:t>
      </w:r>
      <w:r>
        <w:rPr>
          <w:spacing w:val="-3"/>
        </w:rPr>
        <w:t> </w:t>
      </w:r>
      <w:r>
        <w:rPr/>
        <w:t>an</w:t>
      </w:r>
      <w:r>
        <w:rPr>
          <w:spacing w:val="-3"/>
        </w:rPr>
        <w:t> </w:t>
      </w:r>
      <w:r>
        <w:rPr/>
        <w:t>employer.</w:t>
      </w:r>
      <w:r>
        <w:rPr>
          <w:spacing w:val="-2"/>
        </w:rPr>
        <w:t> </w:t>
      </w:r>
      <w:r>
        <w:rPr/>
        <w:t>It</w:t>
      </w:r>
      <w:r>
        <w:rPr>
          <w:spacing w:val="-2"/>
        </w:rPr>
        <w:t> </w:t>
      </w:r>
      <w:r>
        <w:rPr/>
        <w:t>serves</w:t>
      </w:r>
      <w:r>
        <w:rPr>
          <w:spacing w:val="-3"/>
        </w:rPr>
        <w:t> </w:t>
      </w:r>
      <w:r>
        <w:rPr/>
        <w:t>as</w:t>
      </w:r>
      <w:r>
        <w:rPr>
          <w:spacing w:val="-3"/>
        </w:rPr>
        <w:t> </w:t>
      </w:r>
      <w:r>
        <w:rPr/>
        <w:t>an</w:t>
      </w:r>
      <w:r>
        <w:rPr>
          <w:spacing w:val="-3"/>
        </w:rPr>
        <w:t> </w:t>
      </w:r>
      <w:r>
        <w:rPr/>
        <w:t>authority</w:t>
      </w:r>
      <w:r>
        <w:rPr>
          <w:spacing w:val="-3"/>
        </w:rPr>
        <w:t> </w:t>
      </w:r>
      <w:r>
        <w:rPr/>
        <w:t>and</w:t>
      </w:r>
      <w:r>
        <w:rPr>
          <w:spacing w:val="-3"/>
        </w:rPr>
        <w:t> </w:t>
      </w:r>
      <w:r>
        <w:rPr/>
        <w:t>guide</w:t>
      </w:r>
      <w:r>
        <w:rPr>
          <w:spacing w:val="-3"/>
        </w:rPr>
        <w:t> </w:t>
      </w:r>
      <w:r>
        <w:rPr/>
        <w:t>to staff members administering the various programs.</w:t>
      </w:r>
      <w:r>
        <w:rPr>
          <w:spacing w:val="40"/>
        </w:rPr>
        <w:t> </w:t>
      </w:r>
      <w:r>
        <w:rPr/>
        <w:t>The administrative rules in this Chapter are promulgated under the authority of the Commission for Rehabilitation Services as established in 74 O.S., Section 166.1 et seq and the Administrative Procedures Act, 75 O.S., Sections 250 et seq.</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9-11-20</w:t>
      </w:r>
      <w:r>
        <w:rPr>
          <w:sz w:val="22"/>
        </w:rPr>
        <w:tab/>
        <w:t>Added citation</w:t>
      </w:r>
    </w:p>
    <w:p>
      <w:pPr>
        <w:spacing w:after="0"/>
        <w:jc w:val="left"/>
        <w:rPr>
          <w:sz w:val="22"/>
        </w:rPr>
        <w:sectPr>
          <w:pgSz w:w="12240" w:h="15840"/>
          <w:pgMar w:top="1340" w:bottom="280" w:left="1080" w:right="720"/>
        </w:sectPr>
      </w:pPr>
    </w:p>
    <w:p>
      <w:pPr>
        <w:pStyle w:val="Heading2"/>
      </w:pPr>
      <w:bookmarkStart w:name="612:1-15-2.  Availability of manual" w:id="59"/>
      <w:bookmarkEnd w:id="59"/>
      <w:r>
        <w:rPr>
          <w:b w:val="0"/>
        </w:rPr>
      </w:r>
      <w:r>
        <w:rPr/>
        <w:t>612:1-15-2.</w:t>
      </w:r>
      <w:r>
        <w:rPr>
          <w:spacing w:val="59"/>
        </w:rPr>
        <w:t> </w:t>
      </w:r>
      <w:r>
        <w:rPr/>
        <w:t>Availability</w:t>
      </w:r>
      <w:r>
        <w:rPr>
          <w:spacing w:val="-3"/>
        </w:rPr>
        <w:t> </w:t>
      </w:r>
      <w:r>
        <w:rPr/>
        <w:t>of</w:t>
      </w:r>
      <w:r>
        <w:rPr>
          <w:spacing w:val="-5"/>
        </w:rPr>
        <w:t> </w:t>
      </w:r>
      <w:r>
        <w:rPr>
          <w:spacing w:val="-2"/>
        </w:rPr>
        <w:t>manual</w:t>
      </w:r>
    </w:p>
    <w:p>
      <w:pPr>
        <w:pStyle w:val="BodyText"/>
        <w:spacing w:line="208" w:lineRule="auto" w:before="233"/>
        <w:ind w:right="775" w:firstLine="432"/>
      </w:pPr>
      <w:r>
        <w:rPr/>
        <w:t>The Department's manual and other policy issuances which affect the public are available in the State Office and in each local and district office for examination on regular workdays during regular office hours by individuals, upon request for review, study or reproduction by the individual. Upon request, the specific policy materials necessary for an applicant or recipient, or his representative, to determine whether a hearing</w:t>
      </w:r>
      <w:r>
        <w:rPr>
          <w:spacing w:val="-4"/>
        </w:rPr>
        <w:t> </w:t>
      </w:r>
      <w:r>
        <w:rPr/>
        <w:t>should</w:t>
      </w:r>
      <w:r>
        <w:rPr>
          <w:spacing w:val="-4"/>
        </w:rPr>
        <w:t> </w:t>
      </w:r>
      <w:r>
        <w:rPr/>
        <w:t>be</w:t>
      </w:r>
      <w:r>
        <w:rPr>
          <w:spacing w:val="-4"/>
        </w:rPr>
        <w:t> </w:t>
      </w:r>
      <w:r>
        <w:rPr/>
        <w:t>requested</w:t>
      </w:r>
      <w:r>
        <w:rPr>
          <w:spacing w:val="-4"/>
        </w:rPr>
        <w:t> </w:t>
      </w:r>
      <w:r>
        <w:rPr/>
        <w:t>or</w:t>
      </w:r>
      <w:r>
        <w:rPr>
          <w:spacing w:val="-3"/>
        </w:rPr>
        <w:t> </w:t>
      </w:r>
      <w:r>
        <w:rPr/>
        <w:t>to</w:t>
      </w:r>
      <w:r>
        <w:rPr>
          <w:spacing w:val="-4"/>
        </w:rPr>
        <w:t> </w:t>
      </w:r>
      <w:r>
        <w:rPr/>
        <w:t>prepare</w:t>
      </w:r>
      <w:r>
        <w:rPr>
          <w:spacing w:val="-4"/>
        </w:rPr>
        <w:t> </w:t>
      </w:r>
      <w:r>
        <w:rPr/>
        <w:t>for</w:t>
      </w:r>
      <w:r>
        <w:rPr>
          <w:spacing w:val="-3"/>
        </w:rPr>
        <w:t> </w:t>
      </w:r>
      <w:r>
        <w:rPr/>
        <w:t>a</w:t>
      </w:r>
      <w:r>
        <w:rPr>
          <w:spacing w:val="-4"/>
        </w:rPr>
        <w:t> </w:t>
      </w:r>
      <w:r>
        <w:rPr/>
        <w:t>hearing,</w:t>
      </w:r>
      <w:r>
        <w:rPr>
          <w:spacing w:val="-3"/>
        </w:rPr>
        <w:t> </w:t>
      </w:r>
      <w:r>
        <w:rPr/>
        <w:t>are</w:t>
      </w:r>
      <w:r>
        <w:rPr>
          <w:spacing w:val="-4"/>
        </w:rPr>
        <w:t> </w:t>
      </w:r>
      <w:r>
        <w:rPr/>
        <w:t>available</w:t>
      </w:r>
      <w:r>
        <w:rPr>
          <w:spacing w:val="-4"/>
        </w:rPr>
        <w:t> </w:t>
      </w:r>
      <w:r>
        <w:rPr/>
        <w:t>without</w:t>
      </w:r>
      <w:r>
        <w:rPr>
          <w:spacing w:val="-3"/>
        </w:rPr>
        <w:t> </w:t>
      </w:r>
      <w:r>
        <w:rPr/>
        <w:t>charge.</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7-1-11</w:t>
      </w:r>
      <w:r>
        <w:rPr>
          <w:sz w:val="22"/>
        </w:rPr>
        <w:tab/>
        <w:t>PT Memo #12-01</w:t>
      </w:r>
    </w:p>
    <w:p>
      <w:pPr>
        <w:tabs>
          <w:tab w:pos="1439" w:val="left" w:leader="none"/>
        </w:tabs>
        <w:spacing w:before="1"/>
        <w:ind w:left="359" w:right="5989" w:firstLine="1080"/>
        <w:jc w:val="left"/>
        <w:rPr>
          <w:sz w:val="22"/>
        </w:rPr>
      </w:pPr>
      <w:r>
        <w:rPr>
          <w:sz w:val="22"/>
        </w:rPr>
        <w:t>Permanent,</w:t>
      </w:r>
      <w:r>
        <w:rPr>
          <w:spacing w:val="-16"/>
          <w:sz w:val="22"/>
        </w:rPr>
        <w:t> </w:t>
      </w:r>
      <w:r>
        <w:rPr>
          <w:sz w:val="22"/>
        </w:rPr>
        <w:t>updating</w:t>
      </w:r>
      <w:r>
        <w:rPr>
          <w:spacing w:val="-15"/>
          <w:sz w:val="22"/>
        </w:rPr>
        <w:t> </w:t>
      </w:r>
      <w:r>
        <w:rPr>
          <w:sz w:val="22"/>
        </w:rPr>
        <w:t>language </w:t>
      </w:r>
      <w:r>
        <w:rPr>
          <w:spacing w:val="-2"/>
          <w:sz w:val="22"/>
        </w:rPr>
        <w:t>9-12-14</w:t>
      </w:r>
      <w:r>
        <w:rPr>
          <w:sz w:val="22"/>
        </w:rPr>
        <w:tab/>
        <w:t>Updated language</w:t>
      </w:r>
    </w:p>
    <w:p>
      <w:pPr>
        <w:spacing w:after="0"/>
        <w:jc w:val="left"/>
        <w:rPr>
          <w:sz w:val="22"/>
        </w:rPr>
        <w:sectPr>
          <w:pgSz w:w="12240" w:h="15840"/>
          <w:pgMar w:top="1340" w:bottom="280" w:left="1080" w:right="720"/>
        </w:sectPr>
      </w:pPr>
    </w:p>
    <w:p>
      <w:pPr>
        <w:pStyle w:val="Heading2"/>
      </w:pPr>
      <w:bookmarkStart w:name="612:1-15-3.  Petitions for rule changes " w:id="60"/>
      <w:bookmarkEnd w:id="60"/>
      <w:r>
        <w:rPr>
          <w:b w:val="0"/>
        </w:rPr>
      </w:r>
      <w:bookmarkStart w:name="_bookmark0" w:id="61"/>
      <w:bookmarkEnd w:id="61"/>
      <w:r>
        <w:rPr>
          <w:b w:val="0"/>
        </w:rPr>
      </w:r>
      <w:r>
        <w:rPr/>
        <w:t>612:1-15-3.</w:t>
      </w:r>
      <w:r>
        <w:rPr>
          <w:spacing w:val="57"/>
        </w:rPr>
        <w:t> </w:t>
      </w:r>
      <w:r>
        <w:rPr/>
        <w:t>Petitions</w:t>
      </w:r>
      <w:r>
        <w:rPr>
          <w:spacing w:val="-4"/>
        </w:rPr>
        <w:t> </w:t>
      </w:r>
      <w:r>
        <w:rPr/>
        <w:t>for</w:t>
      </w:r>
      <w:r>
        <w:rPr>
          <w:spacing w:val="-3"/>
        </w:rPr>
        <w:t> </w:t>
      </w:r>
      <w:r>
        <w:rPr/>
        <w:t>rule</w:t>
      </w:r>
      <w:r>
        <w:rPr>
          <w:spacing w:val="-4"/>
        </w:rPr>
        <w:t> </w:t>
      </w:r>
      <w:r>
        <w:rPr/>
        <w:t>changes</w:t>
      </w:r>
      <w:r>
        <w:rPr>
          <w:spacing w:val="-3"/>
        </w:rPr>
        <w:t> </w:t>
      </w:r>
      <w:r>
        <w:rPr/>
        <w:t>and</w:t>
      </w:r>
      <w:r>
        <w:rPr>
          <w:spacing w:val="-4"/>
        </w:rPr>
        <w:t> </w:t>
      </w:r>
      <w:r>
        <w:rPr/>
        <w:t>declaratory</w:t>
      </w:r>
      <w:r>
        <w:rPr>
          <w:spacing w:val="-3"/>
        </w:rPr>
        <w:t> </w:t>
      </w:r>
      <w:r>
        <w:rPr>
          <w:spacing w:val="-2"/>
        </w:rPr>
        <w:t>rulings</w:t>
      </w:r>
    </w:p>
    <w:p>
      <w:pPr>
        <w:pStyle w:val="ListParagraph"/>
        <w:numPr>
          <w:ilvl w:val="0"/>
          <w:numId w:val="49"/>
        </w:numPr>
        <w:tabs>
          <w:tab w:pos="786" w:val="left" w:leader="none"/>
        </w:tabs>
        <w:spacing w:line="208" w:lineRule="auto" w:before="233" w:after="0"/>
        <w:ind w:left="360" w:right="803" w:firstLine="0"/>
        <w:jc w:val="left"/>
        <w:rPr>
          <w:sz w:val="24"/>
        </w:rPr>
      </w:pPr>
      <w:r>
        <w:rPr>
          <w:b/>
          <w:sz w:val="24"/>
        </w:rPr>
        <w:t>Petition for rule changes. </w:t>
      </w:r>
      <w:r>
        <w:rPr>
          <w:sz w:val="24"/>
        </w:rPr>
        <w:t>An interested person may petition the Department requesting</w:t>
      </w:r>
      <w:r>
        <w:rPr>
          <w:spacing w:val="-2"/>
          <w:sz w:val="24"/>
        </w:rPr>
        <w:t> </w:t>
      </w:r>
      <w:r>
        <w:rPr>
          <w:sz w:val="24"/>
        </w:rPr>
        <w:t>the</w:t>
      </w:r>
      <w:r>
        <w:rPr>
          <w:spacing w:val="-3"/>
          <w:sz w:val="24"/>
        </w:rPr>
        <w:t> </w:t>
      </w:r>
      <w:r>
        <w:rPr>
          <w:sz w:val="24"/>
        </w:rPr>
        <w:t>promulgation,</w:t>
      </w:r>
      <w:r>
        <w:rPr>
          <w:spacing w:val="-2"/>
          <w:sz w:val="24"/>
        </w:rPr>
        <w:t> </w:t>
      </w:r>
      <w:r>
        <w:rPr>
          <w:sz w:val="24"/>
        </w:rPr>
        <w:t>amendment,</w:t>
      </w:r>
      <w:r>
        <w:rPr>
          <w:spacing w:val="-2"/>
          <w:sz w:val="24"/>
        </w:rPr>
        <w:t> </w:t>
      </w:r>
      <w:r>
        <w:rPr>
          <w:sz w:val="24"/>
        </w:rPr>
        <w:t>or</w:t>
      </w:r>
      <w:r>
        <w:rPr>
          <w:spacing w:val="-2"/>
          <w:sz w:val="24"/>
        </w:rPr>
        <w:t> </w:t>
      </w:r>
      <w:r>
        <w:rPr>
          <w:sz w:val="24"/>
        </w:rPr>
        <w:t>repeal</w:t>
      </w:r>
      <w:r>
        <w:rPr>
          <w:spacing w:val="-3"/>
          <w:sz w:val="24"/>
        </w:rPr>
        <w:t> </w:t>
      </w:r>
      <w:r>
        <w:rPr>
          <w:sz w:val="24"/>
        </w:rPr>
        <w:t>of</w:t>
      </w:r>
      <w:r>
        <w:rPr>
          <w:spacing w:val="-4"/>
          <w:sz w:val="24"/>
        </w:rPr>
        <w:t> </w:t>
      </w:r>
      <w:r>
        <w:rPr>
          <w:sz w:val="24"/>
        </w:rPr>
        <w:t>a</w:t>
      </w:r>
      <w:r>
        <w:rPr>
          <w:spacing w:val="-3"/>
          <w:sz w:val="24"/>
        </w:rPr>
        <w:t> </w:t>
      </w:r>
      <w:r>
        <w:rPr>
          <w:sz w:val="24"/>
        </w:rPr>
        <w:t>rule.</w:t>
      </w:r>
      <w:r>
        <w:rPr>
          <w:spacing w:val="-2"/>
          <w:sz w:val="24"/>
        </w:rPr>
        <w:t> </w:t>
      </w:r>
      <w:r>
        <w:rPr>
          <w:sz w:val="24"/>
        </w:rPr>
        <w:t>Any</w:t>
      </w:r>
      <w:r>
        <w:rPr>
          <w:spacing w:val="-3"/>
          <w:sz w:val="24"/>
        </w:rPr>
        <w:t> </w:t>
      </w:r>
      <w:r>
        <w:rPr>
          <w:sz w:val="24"/>
        </w:rPr>
        <w:t>such</w:t>
      </w:r>
      <w:r>
        <w:rPr>
          <w:spacing w:val="-3"/>
          <w:sz w:val="24"/>
        </w:rPr>
        <w:t> </w:t>
      </w:r>
      <w:r>
        <w:rPr>
          <w:sz w:val="24"/>
        </w:rPr>
        <w:t>petition</w:t>
      </w:r>
      <w:r>
        <w:rPr>
          <w:spacing w:val="-3"/>
          <w:sz w:val="24"/>
        </w:rPr>
        <w:t> </w:t>
      </w:r>
      <w:r>
        <w:rPr>
          <w:sz w:val="24"/>
        </w:rPr>
        <w:t>must</w:t>
      </w:r>
      <w:r>
        <w:rPr>
          <w:spacing w:val="-4"/>
          <w:sz w:val="24"/>
        </w:rPr>
        <w:t> </w:t>
      </w:r>
      <w:r>
        <w:rPr>
          <w:sz w:val="24"/>
        </w:rPr>
        <w:t>be submitted to the Director in writing, clearly stating the requested action. If the petition is for an amendment or repeal of a rule, it must specify the rule by the OAC designation. The petition must also state the reasons for the requested change, including any adverse impact such change or lack of change would have on individuals or organizations the rule affects.</w:t>
      </w:r>
    </w:p>
    <w:p>
      <w:pPr>
        <w:pStyle w:val="ListParagraph"/>
        <w:numPr>
          <w:ilvl w:val="0"/>
          <w:numId w:val="49"/>
        </w:numPr>
        <w:tabs>
          <w:tab w:pos="786" w:val="left" w:leader="none"/>
        </w:tabs>
        <w:spacing w:line="208" w:lineRule="auto" w:before="239" w:after="0"/>
        <w:ind w:left="360" w:right="861" w:firstLine="0"/>
        <w:jc w:val="left"/>
        <w:rPr>
          <w:sz w:val="24"/>
        </w:rPr>
      </w:pPr>
      <w:r>
        <w:rPr>
          <w:b/>
          <w:sz w:val="24"/>
        </w:rPr>
        <w:t>Response</w:t>
      </w:r>
      <w:r>
        <w:rPr>
          <w:b/>
          <w:spacing w:val="-3"/>
          <w:sz w:val="24"/>
        </w:rPr>
        <w:t> </w:t>
      </w:r>
      <w:r>
        <w:rPr>
          <w:b/>
          <w:sz w:val="24"/>
        </w:rPr>
        <w:t>to</w:t>
      </w:r>
      <w:r>
        <w:rPr>
          <w:b/>
          <w:spacing w:val="-3"/>
          <w:sz w:val="24"/>
        </w:rPr>
        <w:t> </w:t>
      </w:r>
      <w:r>
        <w:rPr>
          <w:b/>
          <w:sz w:val="24"/>
        </w:rPr>
        <w:t>petition</w:t>
      </w:r>
      <w:r>
        <w:rPr>
          <w:b/>
          <w:spacing w:val="-3"/>
          <w:sz w:val="24"/>
        </w:rPr>
        <w:t> </w:t>
      </w:r>
      <w:r>
        <w:rPr>
          <w:b/>
          <w:sz w:val="24"/>
        </w:rPr>
        <w:t>for</w:t>
      </w:r>
      <w:r>
        <w:rPr>
          <w:b/>
          <w:spacing w:val="-4"/>
          <w:sz w:val="24"/>
        </w:rPr>
        <w:t> </w:t>
      </w:r>
      <w:r>
        <w:rPr>
          <w:b/>
          <w:sz w:val="24"/>
        </w:rPr>
        <w:t>rule</w:t>
      </w:r>
      <w:r>
        <w:rPr>
          <w:b/>
          <w:spacing w:val="-3"/>
          <w:sz w:val="24"/>
        </w:rPr>
        <w:t> </w:t>
      </w:r>
      <w:r>
        <w:rPr>
          <w:b/>
          <w:sz w:val="24"/>
        </w:rPr>
        <w:t>changes.</w:t>
      </w:r>
      <w:r>
        <w:rPr>
          <w:b/>
          <w:spacing w:val="-3"/>
          <w:sz w:val="24"/>
        </w:rPr>
        <w:t> </w:t>
      </w:r>
      <w:r>
        <w:rPr>
          <w:sz w:val="24"/>
        </w:rPr>
        <w:t>Upon</w:t>
      </w:r>
      <w:r>
        <w:rPr>
          <w:spacing w:val="-3"/>
          <w:sz w:val="24"/>
        </w:rPr>
        <w:t> </w:t>
      </w:r>
      <w:r>
        <w:rPr>
          <w:sz w:val="24"/>
        </w:rPr>
        <w:t>receipt</w:t>
      </w:r>
      <w:r>
        <w:rPr>
          <w:spacing w:val="-3"/>
          <w:sz w:val="24"/>
        </w:rPr>
        <w:t> </w:t>
      </w:r>
      <w:r>
        <w:rPr>
          <w:sz w:val="24"/>
        </w:rPr>
        <w:t>of</w:t>
      </w:r>
      <w:r>
        <w:rPr>
          <w:spacing w:val="-3"/>
          <w:sz w:val="24"/>
        </w:rPr>
        <w:t> </w:t>
      </w:r>
      <w:r>
        <w:rPr>
          <w:sz w:val="24"/>
        </w:rPr>
        <w:t>a</w:t>
      </w:r>
      <w:r>
        <w:rPr>
          <w:spacing w:val="-3"/>
          <w:sz w:val="24"/>
        </w:rPr>
        <w:t> </w:t>
      </w:r>
      <w:r>
        <w:rPr>
          <w:sz w:val="24"/>
        </w:rPr>
        <w:t>petition</w:t>
      </w:r>
      <w:r>
        <w:rPr>
          <w:spacing w:val="-3"/>
          <w:sz w:val="24"/>
        </w:rPr>
        <w:t> </w:t>
      </w:r>
      <w:r>
        <w:rPr>
          <w:sz w:val="24"/>
        </w:rPr>
        <w:t>as</w:t>
      </w:r>
      <w:r>
        <w:rPr>
          <w:spacing w:val="-3"/>
          <w:sz w:val="24"/>
        </w:rPr>
        <w:t> </w:t>
      </w:r>
      <w:r>
        <w:rPr>
          <w:sz w:val="24"/>
        </w:rPr>
        <w:t>described</w:t>
      </w:r>
      <w:r>
        <w:rPr>
          <w:spacing w:val="-3"/>
          <w:sz w:val="24"/>
        </w:rPr>
        <w:t> </w:t>
      </w:r>
      <w:r>
        <w:rPr>
          <w:sz w:val="24"/>
        </w:rPr>
        <w:t>in Subsection (a) of this Section, the Director will initiate study of the requested change through whatever means he or she deems appropriate within thirty (30) days after submission of the petition, either:</w:t>
      </w:r>
    </w:p>
    <w:p>
      <w:pPr>
        <w:pStyle w:val="ListParagraph"/>
        <w:numPr>
          <w:ilvl w:val="1"/>
          <w:numId w:val="49"/>
        </w:numPr>
        <w:tabs>
          <w:tab w:pos="1235" w:val="left" w:leader="none"/>
        </w:tabs>
        <w:spacing w:line="240" w:lineRule="auto" w:before="211" w:after="0"/>
        <w:ind w:left="1235" w:right="0" w:hanging="425"/>
        <w:jc w:val="left"/>
        <w:rPr>
          <w:sz w:val="24"/>
        </w:rPr>
      </w:pPr>
      <w:r>
        <w:rPr>
          <w:sz w:val="24"/>
        </w:rPr>
        <w:t>the</w:t>
      </w:r>
      <w:r>
        <w:rPr>
          <w:spacing w:val="-5"/>
          <w:sz w:val="24"/>
        </w:rPr>
        <w:t> </w:t>
      </w:r>
      <w:r>
        <w:rPr>
          <w:sz w:val="24"/>
        </w:rPr>
        <w:t>Department</w:t>
      </w:r>
      <w:r>
        <w:rPr>
          <w:spacing w:val="-4"/>
          <w:sz w:val="24"/>
        </w:rPr>
        <w:t> </w:t>
      </w:r>
      <w:r>
        <w:rPr>
          <w:sz w:val="24"/>
        </w:rPr>
        <w:t>will</w:t>
      </w:r>
      <w:r>
        <w:rPr>
          <w:spacing w:val="-4"/>
          <w:sz w:val="24"/>
        </w:rPr>
        <w:t> </w:t>
      </w:r>
      <w:r>
        <w:rPr>
          <w:sz w:val="24"/>
        </w:rPr>
        <w:t>initiate</w:t>
      </w:r>
      <w:r>
        <w:rPr>
          <w:spacing w:val="-5"/>
          <w:sz w:val="24"/>
        </w:rPr>
        <w:t> </w:t>
      </w:r>
      <w:r>
        <w:rPr>
          <w:sz w:val="24"/>
        </w:rPr>
        <w:t>rulemaking</w:t>
      </w:r>
      <w:r>
        <w:rPr>
          <w:spacing w:val="-5"/>
          <w:sz w:val="24"/>
        </w:rPr>
        <w:t> </w:t>
      </w:r>
      <w:r>
        <w:rPr>
          <w:sz w:val="24"/>
        </w:rPr>
        <w:t>proceedings,</w:t>
      </w:r>
      <w:r>
        <w:rPr>
          <w:spacing w:val="-3"/>
          <w:sz w:val="24"/>
        </w:rPr>
        <w:t> </w:t>
      </w:r>
      <w:r>
        <w:rPr>
          <w:spacing w:val="-5"/>
          <w:sz w:val="24"/>
        </w:rPr>
        <w:t>or</w:t>
      </w:r>
    </w:p>
    <w:p>
      <w:pPr>
        <w:pStyle w:val="ListParagraph"/>
        <w:numPr>
          <w:ilvl w:val="1"/>
          <w:numId w:val="49"/>
        </w:numPr>
        <w:tabs>
          <w:tab w:pos="1235" w:val="left" w:leader="none"/>
        </w:tabs>
        <w:spacing w:line="208" w:lineRule="auto" w:before="233" w:after="0"/>
        <w:ind w:left="810" w:right="863" w:firstLine="0"/>
        <w:jc w:val="left"/>
        <w:rPr>
          <w:sz w:val="24"/>
        </w:rPr>
      </w:pPr>
      <w:r>
        <w:rPr>
          <w:sz w:val="24"/>
        </w:rPr>
        <w:t>the</w:t>
      </w:r>
      <w:r>
        <w:rPr>
          <w:spacing w:val="-4"/>
          <w:sz w:val="24"/>
        </w:rPr>
        <w:t> </w:t>
      </w:r>
      <w:r>
        <w:rPr>
          <w:sz w:val="24"/>
        </w:rPr>
        <w:t>Director</w:t>
      </w:r>
      <w:r>
        <w:rPr>
          <w:spacing w:val="-3"/>
          <w:sz w:val="24"/>
        </w:rPr>
        <w:t> </w:t>
      </w:r>
      <w:r>
        <w:rPr>
          <w:sz w:val="24"/>
        </w:rPr>
        <w:t>will</w:t>
      </w:r>
      <w:r>
        <w:rPr>
          <w:spacing w:val="-4"/>
          <w:sz w:val="24"/>
        </w:rPr>
        <w:t> </w:t>
      </w:r>
      <w:r>
        <w:rPr>
          <w:sz w:val="24"/>
        </w:rPr>
        <w:t>provide</w:t>
      </w:r>
      <w:r>
        <w:rPr>
          <w:spacing w:val="-4"/>
          <w:sz w:val="24"/>
        </w:rPr>
        <w:t> </w:t>
      </w:r>
      <w:r>
        <w:rPr>
          <w:sz w:val="24"/>
        </w:rPr>
        <w:t>the</w:t>
      </w:r>
      <w:r>
        <w:rPr>
          <w:spacing w:val="-4"/>
          <w:sz w:val="24"/>
        </w:rPr>
        <w:t> </w:t>
      </w:r>
      <w:r>
        <w:rPr>
          <w:sz w:val="24"/>
        </w:rPr>
        <w:t>petitioner</w:t>
      </w:r>
      <w:r>
        <w:rPr>
          <w:spacing w:val="-3"/>
          <w:sz w:val="24"/>
        </w:rPr>
        <w:t> </w:t>
      </w:r>
      <w:r>
        <w:rPr>
          <w:sz w:val="24"/>
        </w:rPr>
        <w:t>a</w:t>
      </w:r>
      <w:r>
        <w:rPr>
          <w:spacing w:val="-4"/>
          <w:sz w:val="24"/>
        </w:rPr>
        <w:t> </w:t>
      </w:r>
      <w:r>
        <w:rPr>
          <w:sz w:val="24"/>
        </w:rPr>
        <w:t>written</w:t>
      </w:r>
      <w:r>
        <w:rPr>
          <w:spacing w:val="-4"/>
          <w:sz w:val="24"/>
        </w:rPr>
        <w:t> </w:t>
      </w:r>
      <w:r>
        <w:rPr>
          <w:sz w:val="24"/>
        </w:rPr>
        <w:t>response</w:t>
      </w:r>
      <w:r>
        <w:rPr>
          <w:spacing w:val="-4"/>
          <w:sz w:val="24"/>
        </w:rPr>
        <w:t> </w:t>
      </w:r>
      <w:r>
        <w:rPr>
          <w:sz w:val="24"/>
        </w:rPr>
        <w:t>and</w:t>
      </w:r>
      <w:r>
        <w:rPr>
          <w:spacing w:val="-3"/>
          <w:sz w:val="24"/>
        </w:rPr>
        <w:t> </w:t>
      </w:r>
      <w:r>
        <w:rPr>
          <w:sz w:val="24"/>
        </w:rPr>
        <w:t>explain</w:t>
      </w:r>
      <w:r>
        <w:rPr>
          <w:spacing w:val="-4"/>
          <w:sz w:val="24"/>
        </w:rPr>
        <w:t> </w:t>
      </w:r>
      <w:r>
        <w:rPr>
          <w:sz w:val="24"/>
        </w:rPr>
        <w:t>why</w:t>
      </w:r>
      <w:r>
        <w:rPr>
          <w:spacing w:val="-4"/>
          <w:sz w:val="24"/>
        </w:rPr>
        <w:t> </w:t>
      </w:r>
      <w:r>
        <w:rPr>
          <w:sz w:val="24"/>
        </w:rPr>
        <w:t>such proceedings were not initiated.</w:t>
      </w:r>
    </w:p>
    <w:p>
      <w:pPr>
        <w:pStyle w:val="ListParagraph"/>
        <w:numPr>
          <w:ilvl w:val="0"/>
          <w:numId w:val="49"/>
        </w:numPr>
        <w:tabs>
          <w:tab w:pos="773" w:val="left" w:leader="none"/>
        </w:tabs>
        <w:spacing w:line="208" w:lineRule="auto" w:before="240" w:after="0"/>
        <w:ind w:left="360" w:right="820" w:firstLine="0"/>
        <w:jc w:val="left"/>
        <w:rPr>
          <w:sz w:val="24"/>
        </w:rPr>
      </w:pPr>
      <w:r>
        <w:rPr>
          <w:b/>
          <w:sz w:val="24"/>
        </w:rPr>
        <w:t>Petition</w:t>
      </w:r>
      <w:r>
        <w:rPr>
          <w:b/>
          <w:spacing w:val="-4"/>
          <w:sz w:val="24"/>
        </w:rPr>
        <w:t> </w:t>
      </w:r>
      <w:r>
        <w:rPr>
          <w:b/>
          <w:sz w:val="24"/>
        </w:rPr>
        <w:t>for</w:t>
      </w:r>
      <w:r>
        <w:rPr>
          <w:b/>
          <w:spacing w:val="-4"/>
          <w:sz w:val="24"/>
        </w:rPr>
        <w:t> </w:t>
      </w:r>
      <w:r>
        <w:rPr>
          <w:b/>
          <w:sz w:val="24"/>
        </w:rPr>
        <w:t>declaratory</w:t>
      </w:r>
      <w:r>
        <w:rPr>
          <w:b/>
          <w:spacing w:val="-4"/>
          <w:sz w:val="24"/>
        </w:rPr>
        <w:t> </w:t>
      </w:r>
      <w:r>
        <w:rPr>
          <w:b/>
          <w:sz w:val="24"/>
        </w:rPr>
        <w:t>ruling.</w:t>
      </w:r>
      <w:r>
        <w:rPr>
          <w:b/>
          <w:spacing w:val="-4"/>
          <w:sz w:val="24"/>
        </w:rPr>
        <w:t> </w:t>
      </w:r>
      <w:r>
        <w:rPr>
          <w:sz w:val="24"/>
        </w:rPr>
        <w:t>Any</w:t>
      </w:r>
      <w:r>
        <w:rPr>
          <w:spacing w:val="-4"/>
          <w:sz w:val="24"/>
        </w:rPr>
        <w:t> </w:t>
      </w:r>
      <w:r>
        <w:rPr>
          <w:sz w:val="24"/>
        </w:rPr>
        <w:t>person,</w:t>
      </w:r>
      <w:r>
        <w:rPr>
          <w:spacing w:val="-3"/>
          <w:sz w:val="24"/>
        </w:rPr>
        <w:t> </w:t>
      </w:r>
      <w:r>
        <w:rPr>
          <w:sz w:val="24"/>
        </w:rPr>
        <w:t>agency,</w:t>
      </w:r>
      <w:r>
        <w:rPr>
          <w:spacing w:val="-3"/>
          <w:sz w:val="24"/>
        </w:rPr>
        <w:t> </w:t>
      </w:r>
      <w:r>
        <w:rPr>
          <w:sz w:val="24"/>
        </w:rPr>
        <w:t>or</w:t>
      </w:r>
      <w:r>
        <w:rPr>
          <w:spacing w:val="-3"/>
          <w:sz w:val="24"/>
        </w:rPr>
        <w:t> </w:t>
      </w:r>
      <w:r>
        <w:rPr>
          <w:sz w:val="24"/>
        </w:rPr>
        <w:t>organization</w:t>
      </w:r>
      <w:r>
        <w:rPr>
          <w:spacing w:val="-4"/>
          <w:sz w:val="24"/>
        </w:rPr>
        <w:t> </w:t>
      </w:r>
      <w:r>
        <w:rPr>
          <w:sz w:val="24"/>
        </w:rPr>
        <w:t>may</w:t>
      </w:r>
      <w:r>
        <w:rPr>
          <w:spacing w:val="-4"/>
          <w:sz w:val="24"/>
        </w:rPr>
        <w:t> </w:t>
      </w:r>
      <w:r>
        <w:rPr>
          <w:sz w:val="24"/>
        </w:rPr>
        <w:t>ask</w:t>
      </w:r>
      <w:r>
        <w:rPr>
          <w:spacing w:val="-4"/>
          <w:sz w:val="24"/>
        </w:rPr>
        <w:t> </w:t>
      </w:r>
      <w:r>
        <w:rPr>
          <w:sz w:val="24"/>
        </w:rPr>
        <w:t>for</w:t>
      </w:r>
      <w:r>
        <w:rPr>
          <w:spacing w:val="-5"/>
          <w:sz w:val="24"/>
        </w:rPr>
        <w:t> </w:t>
      </w:r>
      <w:r>
        <w:rPr>
          <w:sz w:val="24"/>
        </w:rPr>
        <w:t>a declaratory ruling as to the applicability of a rule or group of rules, or of an order, made by the Department. Such a request is submitted to the Director of DRS in writing. The request will specify the rule(s) in question by OAC designation. A description of the circumstances, rule, policy, or procedure believed to be affected by the DRS rule(s) is given in enough detail to make a reasonable judgement as to the rule's effect and applicability. The request should also include a description of the effect or applicability of the DRS rule(s) as seen by the petitioner, if possible.</w:t>
      </w:r>
    </w:p>
    <w:p>
      <w:pPr>
        <w:pStyle w:val="ListParagraph"/>
        <w:numPr>
          <w:ilvl w:val="0"/>
          <w:numId w:val="49"/>
        </w:numPr>
        <w:tabs>
          <w:tab w:pos="786" w:val="left" w:leader="none"/>
        </w:tabs>
        <w:spacing w:line="208" w:lineRule="auto" w:before="239" w:after="0"/>
        <w:ind w:left="360" w:right="741" w:firstLine="0"/>
        <w:jc w:val="left"/>
        <w:rPr>
          <w:sz w:val="24"/>
        </w:rPr>
      </w:pPr>
      <w:r>
        <w:rPr>
          <w:b/>
          <w:sz w:val="24"/>
        </w:rPr>
        <w:t>Response to a request for declaratory ruling. </w:t>
      </w:r>
      <w:r>
        <w:rPr>
          <w:sz w:val="24"/>
        </w:rPr>
        <w:t>Upon receipt of a petition as described in Subsection (c) of this Section, the Director will initiate study of the requested declaratory ruling through whatever means he or she deems appropriate. A response</w:t>
      </w:r>
      <w:r>
        <w:rPr>
          <w:spacing w:val="-3"/>
          <w:sz w:val="24"/>
        </w:rPr>
        <w:t> </w:t>
      </w:r>
      <w:r>
        <w:rPr>
          <w:sz w:val="24"/>
        </w:rPr>
        <w:t>to</w:t>
      </w:r>
      <w:r>
        <w:rPr>
          <w:spacing w:val="-3"/>
          <w:sz w:val="24"/>
        </w:rPr>
        <w:t> </w:t>
      </w:r>
      <w:r>
        <w:rPr>
          <w:sz w:val="24"/>
        </w:rPr>
        <w:t>the</w:t>
      </w:r>
      <w:r>
        <w:rPr>
          <w:spacing w:val="-3"/>
          <w:sz w:val="24"/>
        </w:rPr>
        <w:t> </w:t>
      </w:r>
      <w:r>
        <w:rPr>
          <w:sz w:val="24"/>
        </w:rPr>
        <w:t>request,</w:t>
      </w:r>
      <w:r>
        <w:rPr>
          <w:spacing w:val="-2"/>
          <w:sz w:val="24"/>
        </w:rPr>
        <w:t> </w:t>
      </w:r>
      <w:r>
        <w:rPr>
          <w:sz w:val="24"/>
        </w:rPr>
        <w:t>including</w:t>
      </w:r>
      <w:r>
        <w:rPr>
          <w:spacing w:val="-3"/>
          <w:sz w:val="24"/>
        </w:rPr>
        <w:t> </w:t>
      </w:r>
      <w:r>
        <w:rPr>
          <w:sz w:val="24"/>
        </w:rPr>
        <w:t>a</w:t>
      </w:r>
      <w:r>
        <w:rPr>
          <w:spacing w:val="-3"/>
          <w:sz w:val="24"/>
        </w:rPr>
        <w:t> </w:t>
      </w:r>
      <w:r>
        <w:rPr>
          <w:sz w:val="24"/>
        </w:rPr>
        <w:t>possible</w:t>
      </w:r>
      <w:r>
        <w:rPr>
          <w:spacing w:val="-3"/>
          <w:sz w:val="24"/>
        </w:rPr>
        <w:t> </w:t>
      </w:r>
      <w:r>
        <w:rPr>
          <w:sz w:val="24"/>
        </w:rPr>
        <w:t>refusal</w:t>
      </w:r>
      <w:r>
        <w:rPr>
          <w:spacing w:val="-3"/>
          <w:sz w:val="24"/>
        </w:rPr>
        <w:t> </w:t>
      </w:r>
      <w:r>
        <w:rPr>
          <w:sz w:val="24"/>
        </w:rPr>
        <w:t>to</w:t>
      </w:r>
      <w:r>
        <w:rPr>
          <w:spacing w:val="-4"/>
          <w:sz w:val="24"/>
        </w:rPr>
        <w:t> </w:t>
      </w:r>
      <w:r>
        <w:rPr>
          <w:sz w:val="24"/>
        </w:rPr>
        <w:t>issue</w:t>
      </w:r>
      <w:r>
        <w:rPr>
          <w:spacing w:val="-3"/>
          <w:sz w:val="24"/>
        </w:rPr>
        <w:t> </w:t>
      </w:r>
      <w:r>
        <w:rPr>
          <w:sz w:val="24"/>
        </w:rPr>
        <w:t>a</w:t>
      </w:r>
      <w:r>
        <w:rPr>
          <w:spacing w:val="-3"/>
          <w:sz w:val="24"/>
        </w:rPr>
        <w:t> </w:t>
      </w:r>
      <w:r>
        <w:rPr>
          <w:sz w:val="24"/>
        </w:rPr>
        <w:t>declaratory</w:t>
      </w:r>
      <w:r>
        <w:rPr>
          <w:spacing w:val="-3"/>
          <w:sz w:val="24"/>
        </w:rPr>
        <w:t> </w:t>
      </w:r>
      <w:r>
        <w:rPr>
          <w:sz w:val="24"/>
        </w:rPr>
        <w:t>ruling,</w:t>
      </w:r>
      <w:r>
        <w:rPr>
          <w:spacing w:val="-2"/>
          <w:sz w:val="24"/>
        </w:rPr>
        <w:t> </w:t>
      </w:r>
      <w:r>
        <w:rPr>
          <w:sz w:val="24"/>
        </w:rPr>
        <w:t>will</w:t>
      </w:r>
      <w:r>
        <w:rPr>
          <w:spacing w:val="-3"/>
          <w:sz w:val="24"/>
        </w:rPr>
        <w:t> </w:t>
      </w:r>
      <w:r>
        <w:rPr>
          <w:sz w:val="24"/>
        </w:rPr>
        <w:t>be prepared at the Director's order no later than 90 days after receipt of the request. The response</w:t>
      </w:r>
      <w:r>
        <w:rPr>
          <w:spacing w:val="-2"/>
          <w:sz w:val="24"/>
        </w:rPr>
        <w:t> </w:t>
      </w:r>
      <w:r>
        <w:rPr>
          <w:sz w:val="24"/>
        </w:rPr>
        <w:t>will</w:t>
      </w:r>
      <w:r>
        <w:rPr>
          <w:spacing w:val="-2"/>
          <w:sz w:val="24"/>
        </w:rPr>
        <w:t> </w:t>
      </w:r>
      <w:r>
        <w:rPr>
          <w:sz w:val="24"/>
        </w:rPr>
        <w:t>inform</w:t>
      </w:r>
      <w:r>
        <w:rPr>
          <w:spacing w:val="-2"/>
          <w:sz w:val="24"/>
        </w:rPr>
        <w:t> </w:t>
      </w:r>
      <w:r>
        <w:rPr>
          <w:sz w:val="24"/>
        </w:rPr>
        <w:t>the</w:t>
      </w:r>
      <w:r>
        <w:rPr>
          <w:spacing w:val="-2"/>
          <w:sz w:val="24"/>
        </w:rPr>
        <w:t> </w:t>
      </w:r>
      <w:r>
        <w:rPr>
          <w:sz w:val="24"/>
        </w:rPr>
        <w:t>petitioner</w:t>
      </w:r>
      <w:r>
        <w:rPr>
          <w:spacing w:val="-1"/>
          <w:sz w:val="24"/>
        </w:rPr>
        <w:t> </w:t>
      </w:r>
      <w:r>
        <w:rPr>
          <w:sz w:val="24"/>
        </w:rPr>
        <w:t>of</w:t>
      </w:r>
      <w:r>
        <w:rPr>
          <w:spacing w:val="-3"/>
          <w:sz w:val="24"/>
        </w:rPr>
        <w:t> </w:t>
      </w:r>
      <w:r>
        <w:rPr>
          <w:sz w:val="24"/>
        </w:rPr>
        <w:t>the</w:t>
      </w:r>
      <w:r>
        <w:rPr>
          <w:spacing w:val="-2"/>
          <w:sz w:val="24"/>
        </w:rPr>
        <w:t> </w:t>
      </w:r>
      <w:r>
        <w:rPr>
          <w:sz w:val="24"/>
        </w:rPr>
        <w:t>right</w:t>
      </w:r>
      <w:r>
        <w:rPr>
          <w:spacing w:val="-2"/>
          <w:sz w:val="24"/>
        </w:rPr>
        <w:t> </w:t>
      </w:r>
      <w:r>
        <w:rPr>
          <w:sz w:val="24"/>
        </w:rPr>
        <w:t>to</w:t>
      </w:r>
      <w:r>
        <w:rPr>
          <w:spacing w:val="-2"/>
          <w:sz w:val="24"/>
        </w:rPr>
        <w:t> </w:t>
      </w:r>
      <w:r>
        <w:rPr>
          <w:sz w:val="24"/>
        </w:rPr>
        <w:t>a</w:t>
      </w:r>
      <w:r>
        <w:rPr>
          <w:spacing w:val="-2"/>
          <w:sz w:val="24"/>
        </w:rPr>
        <w:t> </w:t>
      </w:r>
      <w:r>
        <w:rPr>
          <w:sz w:val="24"/>
        </w:rPr>
        <w:t>judicial</w:t>
      </w:r>
      <w:r>
        <w:rPr>
          <w:spacing w:val="-2"/>
          <w:sz w:val="24"/>
        </w:rPr>
        <w:t> </w:t>
      </w:r>
      <w:r>
        <w:rPr>
          <w:sz w:val="24"/>
        </w:rPr>
        <w:t>review</w:t>
      </w:r>
      <w:r>
        <w:rPr>
          <w:spacing w:val="-2"/>
          <w:sz w:val="24"/>
        </w:rPr>
        <w:t> </w:t>
      </w:r>
      <w:r>
        <w:rPr>
          <w:sz w:val="24"/>
        </w:rPr>
        <w:t>in</w:t>
      </w:r>
      <w:r>
        <w:rPr>
          <w:spacing w:val="-2"/>
          <w:sz w:val="24"/>
        </w:rPr>
        <w:t> </w:t>
      </w:r>
      <w:r>
        <w:rPr>
          <w:sz w:val="24"/>
        </w:rPr>
        <w:t>the</w:t>
      </w:r>
      <w:r>
        <w:rPr>
          <w:spacing w:val="-2"/>
          <w:sz w:val="24"/>
        </w:rPr>
        <w:t> </w:t>
      </w:r>
      <w:r>
        <w:rPr>
          <w:sz w:val="24"/>
        </w:rPr>
        <w:t>manner</w:t>
      </w:r>
      <w:r>
        <w:rPr>
          <w:spacing w:val="-2"/>
          <w:sz w:val="24"/>
        </w:rPr>
        <w:t> </w:t>
      </w:r>
      <w:r>
        <w:rPr>
          <w:sz w:val="24"/>
        </w:rPr>
        <w:t>provided for in 75 O.S., Section 317 through 323.</w:t>
      </w:r>
    </w:p>
    <w:p>
      <w:pPr>
        <w:spacing w:before="229"/>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24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line="252" w:lineRule="exact"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tabs>
          <w:tab w:pos="1439" w:val="left" w:leader="none"/>
        </w:tabs>
        <w:spacing w:before="0"/>
        <w:ind w:left="359" w:right="0" w:firstLine="0"/>
        <w:jc w:val="left"/>
        <w:rPr>
          <w:sz w:val="22"/>
        </w:rPr>
      </w:pPr>
      <w:r>
        <w:rPr>
          <w:spacing w:val="-2"/>
          <w:sz w:val="22"/>
        </w:rPr>
        <w:t>9-11-</w:t>
      </w:r>
      <w:r>
        <w:rPr>
          <w:spacing w:val="-5"/>
          <w:sz w:val="22"/>
        </w:rPr>
        <w:t>22</w:t>
      </w:r>
      <w:r>
        <w:rPr>
          <w:sz w:val="22"/>
        </w:rPr>
        <w:tab/>
        <w:t>Permanent,</w:t>
      </w:r>
      <w:r>
        <w:rPr>
          <w:spacing w:val="-6"/>
          <w:sz w:val="22"/>
        </w:rPr>
        <w:t> </w:t>
      </w:r>
      <w:r>
        <w:rPr>
          <w:sz w:val="22"/>
        </w:rPr>
        <w:t>revised</w:t>
      </w:r>
      <w:r>
        <w:rPr>
          <w:spacing w:val="-7"/>
          <w:sz w:val="22"/>
        </w:rPr>
        <w:t> </w:t>
      </w:r>
      <w:r>
        <w:rPr>
          <w:sz w:val="22"/>
        </w:rPr>
        <w:t>section</w:t>
      </w:r>
      <w:r>
        <w:rPr>
          <w:spacing w:val="-6"/>
          <w:sz w:val="22"/>
        </w:rPr>
        <w:t> </w:t>
      </w:r>
      <w:r>
        <w:rPr>
          <w:sz w:val="22"/>
        </w:rPr>
        <w:t>(b,:</w:t>
      </w:r>
      <w:r>
        <w:rPr>
          <w:spacing w:val="-7"/>
          <w:sz w:val="22"/>
        </w:rPr>
        <w:t> </w:t>
      </w:r>
      <w:r>
        <w:rPr>
          <w:sz w:val="22"/>
        </w:rPr>
        <w:t>added</w:t>
      </w:r>
      <w:r>
        <w:rPr>
          <w:spacing w:val="-6"/>
          <w:sz w:val="22"/>
        </w:rPr>
        <w:t> </w:t>
      </w:r>
      <w:r>
        <w:rPr>
          <w:sz w:val="22"/>
        </w:rPr>
        <w:t>(1)</w:t>
      </w:r>
      <w:r>
        <w:rPr>
          <w:spacing w:val="-7"/>
          <w:sz w:val="22"/>
        </w:rPr>
        <w:t> </w:t>
      </w:r>
      <w:r>
        <w:rPr>
          <w:sz w:val="22"/>
        </w:rPr>
        <w:t>and</w:t>
      </w:r>
      <w:r>
        <w:rPr>
          <w:spacing w:val="-7"/>
          <w:sz w:val="22"/>
        </w:rPr>
        <w:t> </w:t>
      </w:r>
      <w:r>
        <w:rPr>
          <w:spacing w:val="-5"/>
          <w:sz w:val="22"/>
        </w:rPr>
        <w:t>(2)</w:t>
      </w:r>
    </w:p>
    <w:p>
      <w:pPr>
        <w:spacing w:after="0"/>
        <w:jc w:val="left"/>
        <w:rPr>
          <w:sz w:val="22"/>
        </w:rPr>
        <w:sectPr>
          <w:pgSz w:w="12240" w:h="15840"/>
          <w:pgMar w:top="1340" w:bottom="280" w:left="1080" w:right="720"/>
        </w:sectPr>
      </w:pPr>
    </w:p>
    <w:p>
      <w:pPr>
        <w:pStyle w:val="Heading2"/>
      </w:pPr>
      <w:bookmarkStart w:name="612:1-15-5.  Definitions" w:id="62"/>
      <w:bookmarkEnd w:id="62"/>
      <w:r>
        <w:rPr>
          <w:b w:val="0"/>
        </w:rPr>
      </w:r>
      <w:r>
        <w:rPr/>
        <w:t>612:1-15-5.</w:t>
      </w:r>
      <w:r>
        <w:rPr>
          <w:spacing w:val="60"/>
        </w:rPr>
        <w:t> </w:t>
      </w:r>
      <w:r>
        <w:rPr>
          <w:spacing w:val="-2"/>
        </w:rPr>
        <w:t>Definitions</w:t>
      </w:r>
    </w:p>
    <w:p>
      <w:pPr>
        <w:pStyle w:val="BodyText"/>
        <w:spacing w:line="208" w:lineRule="auto" w:before="233"/>
        <w:ind w:right="1673" w:firstLine="432"/>
      </w:pPr>
      <w:r>
        <w:rPr/>
        <w:t>The</w:t>
      </w:r>
      <w:r>
        <w:rPr>
          <w:spacing w:val="-4"/>
        </w:rPr>
        <w:t> </w:t>
      </w:r>
      <w:r>
        <w:rPr/>
        <w:t>following</w:t>
      </w:r>
      <w:r>
        <w:rPr>
          <w:spacing w:val="-4"/>
        </w:rPr>
        <w:t> </w:t>
      </w:r>
      <w:r>
        <w:rPr/>
        <w:t>words</w:t>
      </w:r>
      <w:r>
        <w:rPr>
          <w:spacing w:val="-4"/>
        </w:rPr>
        <w:t> </w:t>
      </w:r>
      <w:r>
        <w:rPr/>
        <w:t>or</w:t>
      </w:r>
      <w:r>
        <w:rPr>
          <w:spacing w:val="-3"/>
        </w:rPr>
        <w:t> </w:t>
      </w:r>
      <w:r>
        <w:rPr/>
        <w:t>terms,</w:t>
      </w:r>
      <w:r>
        <w:rPr>
          <w:spacing w:val="-5"/>
        </w:rPr>
        <w:t> </w:t>
      </w:r>
      <w:r>
        <w:rPr/>
        <w:t>when</w:t>
      </w:r>
      <w:r>
        <w:rPr>
          <w:spacing w:val="-4"/>
        </w:rPr>
        <w:t> </w:t>
      </w:r>
      <w:r>
        <w:rPr/>
        <w:t>used</w:t>
      </w:r>
      <w:r>
        <w:rPr>
          <w:spacing w:val="-4"/>
        </w:rPr>
        <w:t> </w:t>
      </w:r>
      <w:r>
        <w:rPr/>
        <w:t>in</w:t>
      </w:r>
      <w:r>
        <w:rPr>
          <w:spacing w:val="-4"/>
        </w:rPr>
        <w:t> </w:t>
      </w:r>
      <w:r>
        <w:rPr/>
        <w:t>this</w:t>
      </w:r>
      <w:r>
        <w:rPr>
          <w:spacing w:val="-4"/>
        </w:rPr>
        <w:t> </w:t>
      </w:r>
      <w:r>
        <w:rPr/>
        <w:t>Subchapter,</w:t>
      </w:r>
      <w:r>
        <w:rPr>
          <w:spacing w:val="-3"/>
        </w:rPr>
        <w:t> </w:t>
      </w:r>
      <w:r>
        <w:rPr/>
        <w:t>shall</w:t>
      </w:r>
      <w:r>
        <w:rPr>
          <w:spacing w:val="-5"/>
        </w:rPr>
        <w:t> </w:t>
      </w:r>
      <w:r>
        <w:rPr/>
        <w:t>have</w:t>
      </w:r>
      <w:r>
        <w:rPr>
          <w:spacing w:val="-4"/>
        </w:rPr>
        <w:t> </w:t>
      </w:r>
      <w:r>
        <w:rPr/>
        <w:t>the following meaning unless the context clearly indicates otherwise:</w:t>
      </w:r>
    </w:p>
    <w:p>
      <w:pPr>
        <w:pStyle w:val="BodyText"/>
        <w:spacing w:line="208" w:lineRule="auto"/>
        <w:ind w:right="775" w:firstLine="432"/>
      </w:pPr>
      <w:r>
        <w:rPr>
          <w:b/>
        </w:rPr>
        <w:t>"Amendment" </w:t>
      </w:r>
      <w:r>
        <w:rPr/>
        <w:t>means a revision to an existing Section of internal policy or administrative</w:t>
      </w:r>
      <w:r>
        <w:rPr>
          <w:spacing w:val="-5"/>
        </w:rPr>
        <w:t> </w:t>
      </w:r>
      <w:r>
        <w:rPr/>
        <w:t>rules</w:t>
      </w:r>
      <w:r>
        <w:rPr>
          <w:spacing w:val="-5"/>
        </w:rPr>
        <w:t> </w:t>
      </w:r>
      <w:r>
        <w:rPr/>
        <w:t>which</w:t>
      </w:r>
      <w:r>
        <w:rPr>
          <w:spacing w:val="-5"/>
        </w:rPr>
        <w:t> </w:t>
      </w:r>
      <w:r>
        <w:rPr/>
        <w:t>adds,</w:t>
      </w:r>
      <w:r>
        <w:rPr>
          <w:spacing w:val="-4"/>
        </w:rPr>
        <w:t> </w:t>
      </w:r>
      <w:r>
        <w:rPr/>
        <w:t>modifies,</w:t>
      </w:r>
      <w:r>
        <w:rPr>
          <w:spacing w:val="-4"/>
        </w:rPr>
        <w:t> </w:t>
      </w:r>
      <w:r>
        <w:rPr/>
        <w:t>or</w:t>
      </w:r>
      <w:r>
        <w:rPr>
          <w:spacing w:val="-4"/>
        </w:rPr>
        <w:t> </w:t>
      </w:r>
      <w:r>
        <w:rPr/>
        <w:t>deletes</w:t>
      </w:r>
      <w:r>
        <w:rPr>
          <w:spacing w:val="-5"/>
        </w:rPr>
        <w:t> </w:t>
      </w:r>
      <w:r>
        <w:rPr/>
        <w:t>characters,</w:t>
      </w:r>
      <w:r>
        <w:rPr>
          <w:spacing w:val="-6"/>
        </w:rPr>
        <w:t> </w:t>
      </w:r>
      <w:r>
        <w:rPr/>
        <w:t>words,</w:t>
      </w:r>
      <w:r>
        <w:rPr>
          <w:spacing w:val="-4"/>
        </w:rPr>
        <w:t> </w:t>
      </w:r>
      <w:r>
        <w:rPr/>
        <w:t>phrases, sentences, or punctuation.</w:t>
      </w:r>
    </w:p>
    <w:p>
      <w:pPr>
        <w:pStyle w:val="BodyText"/>
        <w:spacing w:before="210"/>
        <w:ind w:left="792"/>
      </w:pPr>
      <w:r>
        <w:rPr>
          <w:b/>
        </w:rPr>
        <w:t>"APA"</w:t>
      </w:r>
      <w:r>
        <w:rPr>
          <w:b/>
          <w:spacing w:val="-6"/>
        </w:rPr>
        <w:t> </w:t>
      </w:r>
      <w:r>
        <w:rPr/>
        <w:t>means</w:t>
      </w:r>
      <w:r>
        <w:rPr>
          <w:spacing w:val="-3"/>
        </w:rPr>
        <w:t> </w:t>
      </w:r>
      <w:r>
        <w:rPr/>
        <w:t>the</w:t>
      </w:r>
      <w:r>
        <w:rPr>
          <w:spacing w:val="-3"/>
        </w:rPr>
        <w:t> </w:t>
      </w:r>
      <w:r>
        <w:rPr/>
        <w:t>Administrative</w:t>
      </w:r>
      <w:r>
        <w:rPr>
          <w:spacing w:val="-3"/>
        </w:rPr>
        <w:t> </w:t>
      </w:r>
      <w:r>
        <w:rPr/>
        <w:t>Procedures</w:t>
      </w:r>
      <w:r>
        <w:rPr>
          <w:spacing w:val="-3"/>
        </w:rPr>
        <w:t> </w:t>
      </w:r>
      <w:r>
        <w:rPr/>
        <w:t>Act,</w:t>
      </w:r>
      <w:r>
        <w:rPr>
          <w:spacing w:val="-1"/>
        </w:rPr>
        <w:t> </w:t>
      </w:r>
      <w:r>
        <w:rPr/>
        <w:t>75</w:t>
      </w:r>
      <w:r>
        <w:rPr>
          <w:spacing w:val="-4"/>
        </w:rPr>
        <w:t> </w:t>
      </w:r>
      <w:r>
        <w:rPr/>
        <w:t>O.S.,</w:t>
      </w:r>
      <w:r>
        <w:rPr>
          <w:spacing w:val="-2"/>
        </w:rPr>
        <w:t> </w:t>
      </w:r>
      <w:r>
        <w:rPr/>
        <w:t>Sections</w:t>
      </w:r>
      <w:r>
        <w:rPr>
          <w:spacing w:val="-3"/>
        </w:rPr>
        <w:t> </w:t>
      </w:r>
      <w:r>
        <w:rPr/>
        <w:t>250</w:t>
      </w:r>
      <w:r>
        <w:rPr>
          <w:spacing w:val="-3"/>
        </w:rPr>
        <w:t> </w:t>
      </w:r>
      <w:r>
        <w:rPr/>
        <w:t>et</w:t>
      </w:r>
      <w:r>
        <w:rPr>
          <w:spacing w:val="-1"/>
        </w:rPr>
        <w:t> </w:t>
      </w:r>
      <w:r>
        <w:rPr>
          <w:spacing w:val="-4"/>
        </w:rPr>
        <w:t>seq.</w:t>
      </w:r>
    </w:p>
    <w:p>
      <w:pPr>
        <w:pStyle w:val="BodyText"/>
        <w:spacing w:line="208" w:lineRule="auto" w:before="233"/>
        <w:ind w:right="775" w:firstLine="432"/>
      </w:pPr>
      <w:r>
        <w:rPr>
          <w:b/>
        </w:rPr>
        <w:t>"Code"</w:t>
      </w:r>
      <w:r>
        <w:rPr>
          <w:b/>
          <w:spacing w:val="-4"/>
        </w:rPr>
        <w:t> </w:t>
      </w:r>
      <w:r>
        <w:rPr/>
        <w:t>means</w:t>
      </w:r>
      <w:r>
        <w:rPr>
          <w:spacing w:val="-4"/>
        </w:rPr>
        <w:t> </w:t>
      </w:r>
      <w:r>
        <w:rPr/>
        <w:t>the</w:t>
      </w:r>
      <w:r>
        <w:rPr>
          <w:spacing w:val="-4"/>
        </w:rPr>
        <w:t> </w:t>
      </w:r>
      <w:r>
        <w:rPr/>
        <w:t>Oklahoma</w:t>
      </w:r>
      <w:r>
        <w:rPr>
          <w:spacing w:val="-4"/>
        </w:rPr>
        <w:t> </w:t>
      </w:r>
      <w:r>
        <w:rPr/>
        <w:t>Administrative</w:t>
      </w:r>
      <w:r>
        <w:rPr>
          <w:spacing w:val="-4"/>
        </w:rPr>
        <w:t> </w:t>
      </w:r>
      <w:r>
        <w:rPr/>
        <w:t>Code,</w:t>
      </w:r>
      <w:r>
        <w:rPr>
          <w:spacing w:val="-3"/>
        </w:rPr>
        <w:t> </w:t>
      </w:r>
      <w:r>
        <w:rPr/>
        <w:t>which</w:t>
      </w:r>
      <w:r>
        <w:rPr>
          <w:spacing w:val="-4"/>
        </w:rPr>
        <w:t> </w:t>
      </w:r>
      <w:r>
        <w:rPr/>
        <w:t>is</w:t>
      </w:r>
      <w:r>
        <w:rPr>
          <w:spacing w:val="-4"/>
        </w:rPr>
        <w:t> </w:t>
      </w:r>
      <w:r>
        <w:rPr/>
        <w:t>the</w:t>
      </w:r>
      <w:r>
        <w:rPr>
          <w:spacing w:val="-4"/>
        </w:rPr>
        <w:t> </w:t>
      </w:r>
      <w:r>
        <w:rPr/>
        <w:t>official</w:t>
      </w:r>
      <w:r>
        <w:rPr>
          <w:spacing w:val="-4"/>
        </w:rPr>
        <w:t> </w:t>
      </w:r>
      <w:r>
        <w:rPr/>
        <w:t>compilation of codified rules authorized by 75 O.S., Section 256.</w:t>
      </w:r>
    </w:p>
    <w:p>
      <w:pPr>
        <w:pStyle w:val="BodyText"/>
        <w:spacing w:before="211"/>
        <w:ind w:left="792"/>
      </w:pPr>
      <w:r>
        <w:rPr>
          <w:b/>
        </w:rPr>
        <w:t>"Codified"</w:t>
      </w:r>
      <w:r>
        <w:rPr>
          <w:b/>
          <w:spacing w:val="-6"/>
        </w:rPr>
        <w:t> </w:t>
      </w:r>
      <w:r>
        <w:rPr/>
        <w:t>means</w:t>
      </w:r>
      <w:r>
        <w:rPr>
          <w:spacing w:val="-3"/>
        </w:rPr>
        <w:t> </w:t>
      </w:r>
      <w:r>
        <w:rPr/>
        <w:t>accepted</w:t>
      </w:r>
      <w:r>
        <w:rPr>
          <w:spacing w:val="-3"/>
        </w:rPr>
        <w:t> </w:t>
      </w:r>
      <w:r>
        <w:rPr/>
        <w:t>for</w:t>
      </w:r>
      <w:r>
        <w:rPr>
          <w:spacing w:val="-2"/>
        </w:rPr>
        <w:t> </w:t>
      </w:r>
      <w:r>
        <w:rPr/>
        <w:t>inclusion</w:t>
      </w:r>
      <w:r>
        <w:rPr>
          <w:spacing w:val="-4"/>
        </w:rPr>
        <w:t> </w:t>
      </w:r>
      <w:r>
        <w:rPr/>
        <w:t>in</w:t>
      </w:r>
      <w:r>
        <w:rPr>
          <w:spacing w:val="-3"/>
        </w:rPr>
        <w:t> </w:t>
      </w:r>
      <w:r>
        <w:rPr/>
        <w:t>the</w:t>
      </w:r>
      <w:r>
        <w:rPr>
          <w:spacing w:val="-3"/>
        </w:rPr>
        <w:t> </w:t>
      </w:r>
      <w:r>
        <w:rPr/>
        <w:t>Oklahoma</w:t>
      </w:r>
      <w:r>
        <w:rPr>
          <w:spacing w:val="-3"/>
        </w:rPr>
        <w:t> </w:t>
      </w:r>
      <w:r>
        <w:rPr/>
        <w:t>Administrative</w:t>
      </w:r>
      <w:r>
        <w:rPr>
          <w:spacing w:val="-3"/>
        </w:rPr>
        <w:t> </w:t>
      </w:r>
      <w:r>
        <w:rPr>
          <w:spacing w:val="-2"/>
        </w:rPr>
        <w:t>Code.</w:t>
      </w:r>
    </w:p>
    <w:p>
      <w:pPr>
        <w:pStyle w:val="BodyText"/>
        <w:spacing w:line="208" w:lineRule="auto" w:before="233"/>
        <w:ind w:right="775" w:firstLine="432"/>
      </w:pPr>
      <w:r>
        <w:rPr>
          <w:b/>
        </w:rPr>
        <w:t>"Emergency rule" </w:t>
      </w:r>
      <w:r>
        <w:rPr/>
        <w:t>means a temporary rule promulgated because the agency documents</w:t>
      </w:r>
      <w:r>
        <w:rPr>
          <w:spacing w:val="-3"/>
        </w:rPr>
        <w:t> </w:t>
      </w:r>
      <w:r>
        <w:rPr/>
        <w:t>that</w:t>
      </w:r>
      <w:r>
        <w:rPr>
          <w:spacing w:val="-4"/>
        </w:rPr>
        <w:t> </w:t>
      </w:r>
      <w:r>
        <w:rPr/>
        <w:t>the</w:t>
      </w:r>
      <w:r>
        <w:rPr>
          <w:spacing w:val="-3"/>
        </w:rPr>
        <w:t> </w:t>
      </w:r>
      <w:r>
        <w:rPr/>
        <w:t>rule</w:t>
      </w:r>
      <w:r>
        <w:rPr>
          <w:spacing w:val="-3"/>
        </w:rPr>
        <w:t> </w:t>
      </w:r>
      <w:r>
        <w:rPr/>
        <w:t>is</w:t>
      </w:r>
      <w:r>
        <w:rPr>
          <w:spacing w:val="-3"/>
        </w:rPr>
        <w:t> </w:t>
      </w:r>
      <w:r>
        <w:rPr/>
        <w:t>needed</w:t>
      </w:r>
      <w:r>
        <w:rPr>
          <w:spacing w:val="-3"/>
        </w:rPr>
        <w:t> </w:t>
      </w:r>
      <w:r>
        <w:rPr/>
        <w:t>to</w:t>
      </w:r>
      <w:r>
        <w:rPr>
          <w:spacing w:val="-3"/>
        </w:rPr>
        <w:t> </w:t>
      </w:r>
      <w:r>
        <w:rPr/>
        <w:t>respond</w:t>
      </w:r>
      <w:r>
        <w:rPr>
          <w:spacing w:val="-3"/>
        </w:rPr>
        <w:t> </w:t>
      </w:r>
      <w:r>
        <w:rPr/>
        <w:t>to</w:t>
      </w:r>
      <w:r>
        <w:rPr>
          <w:spacing w:val="-3"/>
        </w:rPr>
        <w:t> </w:t>
      </w:r>
      <w:r>
        <w:rPr/>
        <w:t>an</w:t>
      </w:r>
      <w:r>
        <w:rPr>
          <w:spacing w:val="-3"/>
        </w:rPr>
        <w:t> </w:t>
      </w:r>
      <w:r>
        <w:rPr/>
        <w:t>imminent</w:t>
      </w:r>
      <w:r>
        <w:rPr>
          <w:spacing w:val="-2"/>
        </w:rPr>
        <w:t> </w:t>
      </w:r>
      <w:r>
        <w:rPr/>
        <w:t>peril</w:t>
      </w:r>
      <w:r>
        <w:rPr>
          <w:spacing w:val="-3"/>
        </w:rPr>
        <w:t> </w:t>
      </w:r>
      <w:r>
        <w:rPr/>
        <w:t>to</w:t>
      </w:r>
      <w:r>
        <w:rPr>
          <w:spacing w:val="-3"/>
        </w:rPr>
        <w:t> </w:t>
      </w:r>
      <w:r>
        <w:rPr/>
        <w:t>the</w:t>
      </w:r>
      <w:r>
        <w:rPr>
          <w:spacing w:val="-3"/>
        </w:rPr>
        <w:t> </w:t>
      </w:r>
      <w:r>
        <w:rPr/>
        <w:t>preservation</w:t>
      </w:r>
      <w:r>
        <w:rPr>
          <w:spacing w:val="-3"/>
        </w:rPr>
        <w:t> </w:t>
      </w:r>
      <w:r>
        <w:rPr/>
        <w:t>of the public health, safety, welfare, or other compelling extraordinary circumstances.</w:t>
      </w:r>
    </w:p>
    <w:p>
      <w:pPr>
        <w:pStyle w:val="BodyText"/>
        <w:spacing w:line="208" w:lineRule="auto"/>
        <w:ind w:right="775" w:firstLine="432"/>
      </w:pPr>
      <w:r>
        <w:rPr>
          <w:b/>
        </w:rPr>
        <w:t>"Internal policy" </w:t>
      </w:r>
      <w:r>
        <w:rPr/>
        <w:t>means a Department statement that implements, interprets, or prescribes procedure or practice requirements for the internal operations of the Department</w:t>
      </w:r>
      <w:r>
        <w:rPr>
          <w:spacing w:val="-3"/>
        </w:rPr>
        <w:t> </w:t>
      </w:r>
      <w:r>
        <w:rPr/>
        <w:t>that</w:t>
      </w:r>
      <w:r>
        <w:rPr>
          <w:spacing w:val="-5"/>
        </w:rPr>
        <w:t> </w:t>
      </w:r>
      <w:r>
        <w:rPr/>
        <w:t>is</w:t>
      </w:r>
      <w:r>
        <w:rPr>
          <w:spacing w:val="-4"/>
        </w:rPr>
        <w:t> </w:t>
      </w:r>
      <w:r>
        <w:rPr/>
        <w:t>approved</w:t>
      </w:r>
      <w:r>
        <w:rPr>
          <w:spacing w:val="-4"/>
        </w:rPr>
        <w:t> </w:t>
      </w:r>
      <w:r>
        <w:rPr/>
        <w:t>by</w:t>
      </w:r>
      <w:r>
        <w:rPr>
          <w:spacing w:val="-4"/>
        </w:rPr>
        <w:t> </w:t>
      </w:r>
      <w:r>
        <w:rPr/>
        <w:t>the</w:t>
      </w:r>
      <w:r>
        <w:rPr>
          <w:spacing w:val="-4"/>
        </w:rPr>
        <w:t> </w:t>
      </w:r>
      <w:r>
        <w:rPr/>
        <w:t>Oklahoma</w:t>
      </w:r>
      <w:r>
        <w:rPr>
          <w:spacing w:val="-4"/>
        </w:rPr>
        <w:t> </w:t>
      </w:r>
      <w:r>
        <w:rPr/>
        <w:t>Commission</w:t>
      </w:r>
      <w:r>
        <w:rPr>
          <w:spacing w:val="-4"/>
        </w:rPr>
        <w:t> </w:t>
      </w:r>
      <w:r>
        <w:rPr/>
        <w:t>for</w:t>
      </w:r>
      <w:r>
        <w:rPr>
          <w:spacing w:val="-3"/>
        </w:rPr>
        <w:t> </w:t>
      </w:r>
      <w:r>
        <w:rPr/>
        <w:t>Rehabilitation</w:t>
      </w:r>
      <w:r>
        <w:rPr>
          <w:spacing w:val="-4"/>
        </w:rPr>
        <w:t> </w:t>
      </w:r>
      <w:r>
        <w:rPr/>
        <w:t>Services. Internal policy is included in the Internal Policy Manual and codified under the title </w:t>
      </w:r>
      <w:r>
        <w:rPr>
          <w:spacing w:val="-2"/>
        </w:rPr>
        <w:t>"DRS:".</w:t>
      </w:r>
    </w:p>
    <w:p>
      <w:pPr>
        <w:pStyle w:val="BodyText"/>
        <w:spacing w:line="208" w:lineRule="auto" w:before="239"/>
        <w:ind w:right="775" w:firstLine="432"/>
      </w:pPr>
      <w:r>
        <w:rPr>
          <w:b/>
        </w:rPr>
        <w:t>"OAC"</w:t>
      </w:r>
      <w:r>
        <w:rPr>
          <w:b/>
          <w:spacing w:val="-5"/>
        </w:rPr>
        <w:t> </w:t>
      </w:r>
      <w:r>
        <w:rPr/>
        <w:t>means</w:t>
      </w:r>
      <w:r>
        <w:rPr>
          <w:spacing w:val="-4"/>
        </w:rPr>
        <w:t> </w:t>
      </w:r>
      <w:r>
        <w:rPr/>
        <w:t>the</w:t>
      </w:r>
      <w:r>
        <w:rPr>
          <w:spacing w:val="-4"/>
        </w:rPr>
        <w:t> </w:t>
      </w:r>
      <w:r>
        <w:rPr/>
        <w:t>Oklahoma</w:t>
      </w:r>
      <w:r>
        <w:rPr>
          <w:spacing w:val="-4"/>
        </w:rPr>
        <w:t> </w:t>
      </w:r>
      <w:r>
        <w:rPr/>
        <w:t>Administrative</w:t>
      </w:r>
      <w:r>
        <w:rPr>
          <w:spacing w:val="-4"/>
        </w:rPr>
        <w:t> </w:t>
      </w:r>
      <w:r>
        <w:rPr/>
        <w:t>Code</w:t>
      </w:r>
      <w:r>
        <w:rPr>
          <w:spacing w:val="-4"/>
        </w:rPr>
        <w:t> </w:t>
      </w:r>
      <w:r>
        <w:rPr/>
        <w:t>authorized</w:t>
      </w:r>
      <w:r>
        <w:rPr>
          <w:spacing w:val="-4"/>
        </w:rPr>
        <w:t> </w:t>
      </w:r>
      <w:r>
        <w:rPr/>
        <w:t>by</w:t>
      </w:r>
      <w:r>
        <w:rPr>
          <w:spacing w:val="-4"/>
        </w:rPr>
        <w:t> </w:t>
      </w:r>
      <w:r>
        <w:rPr/>
        <w:t>75</w:t>
      </w:r>
      <w:r>
        <w:rPr>
          <w:spacing w:val="-4"/>
        </w:rPr>
        <w:t> </w:t>
      </w:r>
      <w:r>
        <w:rPr/>
        <w:t>O.S.,</w:t>
      </w:r>
      <w:r>
        <w:rPr>
          <w:spacing w:val="-3"/>
        </w:rPr>
        <w:t> </w:t>
      </w:r>
      <w:r>
        <w:rPr/>
        <w:t>Section </w:t>
      </w:r>
      <w:r>
        <w:rPr>
          <w:spacing w:val="-4"/>
        </w:rPr>
        <w:t>256.</w:t>
      </w:r>
    </w:p>
    <w:p>
      <w:pPr>
        <w:pStyle w:val="BodyText"/>
        <w:spacing w:line="208" w:lineRule="auto"/>
        <w:ind w:right="775" w:firstLine="432"/>
      </w:pPr>
      <w:r>
        <w:rPr>
          <w:b/>
        </w:rPr>
        <w:t>"OAR" </w:t>
      </w:r>
      <w:r>
        <w:rPr/>
        <w:t>means the Office of Administrative Rules within the Office of the Secretary of</w:t>
      </w:r>
      <w:r>
        <w:rPr>
          <w:spacing w:val="-3"/>
        </w:rPr>
        <w:t> </w:t>
      </w:r>
      <w:r>
        <w:rPr/>
        <w:t>State.</w:t>
      </w:r>
      <w:r>
        <w:rPr>
          <w:spacing w:val="-5"/>
        </w:rPr>
        <w:t> </w:t>
      </w:r>
      <w:r>
        <w:rPr/>
        <w:t>The</w:t>
      </w:r>
      <w:r>
        <w:rPr>
          <w:spacing w:val="-4"/>
        </w:rPr>
        <w:t> </w:t>
      </w:r>
      <w:r>
        <w:rPr/>
        <w:t>OAR</w:t>
      </w:r>
      <w:r>
        <w:rPr>
          <w:spacing w:val="-4"/>
        </w:rPr>
        <w:t> </w:t>
      </w:r>
      <w:r>
        <w:rPr/>
        <w:t>has</w:t>
      </w:r>
      <w:r>
        <w:rPr>
          <w:spacing w:val="-4"/>
        </w:rPr>
        <w:t> </w:t>
      </w:r>
      <w:r>
        <w:rPr/>
        <w:t>primary</w:t>
      </w:r>
      <w:r>
        <w:rPr>
          <w:spacing w:val="-5"/>
        </w:rPr>
        <w:t> </w:t>
      </w:r>
      <w:r>
        <w:rPr/>
        <w:t>responsibility</w:t>
      </w:r>
      <w:r>
        <w:rPr>
          <w:spacing w:val="-4"/>
        </w:rPr>
        <w:t> </w:t>
      </w:r>
      <w:r>
        <w:rPr/>
        <w:t>for</w:t>
      </w:r>
      <w:r>
        <w:rPr>
          <w:spacing w:val="-3"/>
        </w:rPr>
        <w:t> </w:t>
      </w:r>
      <w:r>
        <w:rPr/>
        <w:t>implementing</w:t>
      </w:r>
      <w:r>
        <w:rPr>
          <w:spacing w:val="-4"/>
        </w:rPr>
        <w:t> </w:t>
      </w:r>
      <w:r>
        <w:rPr/>
        <w:t>the</w:t>
      </w:r>
      <w:r>
        <w:rPr>
          <w:spacing w:val="-4"/>
        </w:rPr>
        <w:t> </w:t>
      </w:r>
      <w:r>
        <w:rPr/>
        <w:t>provisions</w:t>
      </w:r>
      <w:r>
        <w:rPr>
          <w:spacing w:val="-4"/>
        </w:rPr>
        <w:t> </w:t>
      </w:r>
      <w:r>
        <w:rPr/>
        <w:t>of</w:t>
      </w:r>
      <w:r>
        <w:rPr>
          <w:spacing w:val="-3"/>
        </w:rPr>
        <w:t> </w:t>
      </w:r>
      <w:r>
        <w:rPr/>
        <w:t>Article</w:t>
      </w:r>
      <w:r>
        <w:rPr>
          <w:spacing w:val="-4"/>
        </w:rPr>
        <w:t> </w:t>
      </w:r>
      <w:r>
        <w:rPr/>
        <w:t>I of the Administrative Procedures Act.</w:t>
      </w:r>
    </w:p>
    <w:p>
      <w:pPr>
        <w:pStyle w:val="BodyText"/>
        <w:spacing w:line="208" w:lineRule="auto"/>
        <w:ind w:right="775" w:firstLine="432"/>
      </w:pPr>
      <w:r>
        <w:rPr>
          <w:b/>
        </w:rPr>
        <w:t>"Proposed</w:t>
      </w:r>
      <w:r>
        <w:rPr>
          <w:b/>
          <w:spacing w:val="-3"/>
        </w:rPr>
        <w:t> </w:t>
      </w:r>
      <w:r>
        <w:rPr>
          <w:b/>
        </w:rPr>
        <w:t>internal</w:t>
      </w:r>
      <w:r>
        <w:rPr>
          <w:b/>
          <w:spacing w:val="-5"/>
        </w:rPr>
        <w:t> </w:t>
      </w:r>
      <w:r>
        <w:rPr>
          <w:b/>
        </w:rPr>
        <w:t>policy"</w:t>
      </w:r>
      <w:r>
        <w:rPr>
          <w:b/>
          <w:spacing w:val="-4"/>
        </w:rPr>
        <w:t> </w:t>
      </w:r>
      <w:r>
        <w:rPr/>
        <w:t>means</w:t>
      </w:r>
      <w:r>
        <w:rPr>
          <w:spacing w:val="-4"/>
        </w:rPr>
        <w:t> </w:t>
      </w:r>
      <w:r>
        <w:rPr/>
        <w:t>a</w:t>
      </w:r>
      <w:r>
        <w:rPr>
          <w:spacing w:val="-4"/>
        </w:rPr>
        <w:t> </w:t>
      </w:r>
      <w:r>
        <w:rPr/>
        <w:t>provision</w:t>
      </w:r>
      <w:r>
        <w:rPr>
          <w:spacing w:val="-4"/>
        </w:rPr>
        <w:t> </w:t>
      </w:r>
      <w:r>
        <w:rPr/>
        <w:t>of</w:t>
      </w:r>
      <w:r>
        <w:rPr>
          <w:spacing w:val="-3"/>
        </w:rPr>
        <w:t> </w:t>
      </w:r>
      <w:r>
        <w:rPr/>
        <w:t>internal</w:t>
      </w:r>
      <w:r>
        <w:rPr>
          <w:spacing w:val="-4"/>
        </w:rPr>
        <w:t> </w:t>
      </w:r>
      <w:r>
        <w:rPr/>
        <w:t>policy</w:t>
      </w:r>
      <w:r>
        <w:rPr>
          <w:spacing w:val="-4"/>
        </w:rPr>
        <w:t> </w:t>
      </w:r>
      <w:r>
        <w:rPr/>
        <w:t>that</w:t>
      </w:r>
      <w:r>
        <w:rPr>
          <w:spacing w:val="-3"/>
        </w:rPr>
        <w:t> </w:t>
      </w:r>
      <w:r>
        <w:rPr/>
        <w:t>is</w:t>
      </w:r>
      <w:r>
        <w:rPr>
          <w:spacing w:val="-4"/>
        </w:rPr>
        <w:t> </w:t>
      </w:r>
      <w:r>
        <w:rPr/>
        <w:t>ready</w:t>
      </w:r>
      <w:r>
        <w:rPr>
          <w:spacing w:val="-5"/>
        </w:rPr>
        <w:t> </w:t>
      </w:r>
      <w:r>
        <w:rPr/>
        <w:t>for submittal to the Oklahoma Commission for Rehabilitation Services.</w:t>
      </w:r>
    </w:p>
    <w:p>
      <w:pPr>
        <w:pStyle w:val="BodyText"/>
        <w:spacing w:line="208" w:lineRule="auto"/>
        <w:ind w:right="775" w:firstLine="432"/>
      </w:pPr>
      <w:r>
        <w:rPr>
          <w:b/>
        </w:rPr>
        <w:t>"Permanent</w:t>
      </w:r>
      <w:r>
        <w:rPr>
          <w:b/>
          <w:spacing w:val="-3"/>
        </w:rPr>
        <w:t> </w:t>
      </w:r>
      <w:r>
        <w:rPr>
          <w:b/>
        </w:rPr>
        <w:t>rule"</w:t>
      </w:r>
      <w:r>
        <w:rPr>
          <w:b/>
          <w:spacing w:val="-5"/>
        </w:rPr>
        <w:t> </w:t>
      </w:r>
      <w:r>
        <w:rPr/>
        <w:t>means</w:t>
      </w:r>
      <w:r>
        <w:rPr>
          <w:spacing w:val="-4"/>
        </w:rPr>
        <w:t> </w:t>
      </w:r>
      <w:r>
        <w:rPr/>
        <w:t>a</w:t>
      </w:r>
      <w:r>
        <w:rPr>
          <w:spacing w:val="-4"/>
        </w:rPr>
        <w:t> </w:t>
      </w:r>
      <w:r>
        <w:rPr/>
        <w:t>rule</w:t>
      </w:r>
      <w:r>
        <w:rPr>
          <w:spacing w:val="-3"/>
        </w:rPr>
        <w:t> </w:t>
      </w:r>
      <w:r>
        <w:rPr/>
        <w:t>which</w:t>
      </w:r>
      <w:r>
        <w:rPr>
          <w:spacing w:val="-4"/>
        </w:rPr>
        <w:t> </w:t>
      </w:r>
      <w:r>
        <w:rPr/>
        <w:t>has</w:t>
      </w:r>
      <w:r>
        <w:rPr>
          <w:spacing w:val="-4"/>
        </w:rPr>
        <w:t> </w:t>
      </w:r>
      <w:r>
        <w:rPr/>
        <w:t>been</w:t>
      </w:r>
      <w:r>
        <w:rPr>
          <w:spacing w:val="-4"/>
        </w:rPr>
        <w:t> </w:t>
      </w:r>
      <w:r>
        <w:rPr/>
        <w:t>reviewed</w:t>
      </w:r>
      <w:r>
        <w:rPr>
          <w:spacing w:val="-4"/>
        </w:rPr>
        <w:t> </w:t>
      </w:r>
      <w:r>
        <w:rPr/>
        <w:t>and</w:t>
      </w:r>
      <w:r>
        <w:rPr>
          <w:spacing w:val="-4"/>
        </w:rPr>
        <w:t> </w:t>
      </w:r>
      <w:r>
        <w:rPr/>
        <w:t>approved</w:t>
      </w:r>
      <w:r>
        <w:rPr>
          <w:spacing w:val="-4"/>
        </w:rPr>
        <w:t> </w:t>
      </w:r>
      <w:r>
        <w:rPr/>
        <w:t>by</w:t>
      </w:r>
      <w:r>
        <w:rPr>
          <w:spacing w:val="-3"/>
        </w:rPr>
        <w:t> </w:t>
      </w:r>
      <w:r>
        <w:rPr/>
        <w:t>the Governor and the Legislature prior to promulgation and implementation of the rule.</w:t>
      </w:r>
    </w:p>
    <w:p>
      <w:pPr>
        <w:pStyle w:val="BodyText"/>
        <w:spacing w:line="208" w:lineRule="auto"/>
        <w:ind w:right="775" w:firstLine="432"/>
      </w:pPr>
      <w:r>
        <w:rPr>
          <w:b/>
        </w:rPr>
        <w:t>"Proposed</w:t>
      </w:r>
      <w:r>
        <w:rPr>
          <w:b/>
          <w:spacing w:val="-3"/>
        </w:rPr>
        <w:t> </w:t>
      </w:r>
      <w:r>
        <w:rPr>
          <w:b/>
        </w:rPr>
        <w:t>rule"</w:t>
      </w:r>
      <w:r>
        <w:rPr>
          <w:b/>
          <w:spacing w:val="-5"/>
        </w:rPr>
        <w:t> </w:t>
      </w:r>
      <w:r>
        <w:rPr/>
        <w:t>means</w:t>
      </w:r>
      <w:r>
        <w:rPr>
          <w:spacing w:val="-4"/>
        </w:rPr>
        <w:t> </w:t>
      </w:r>
      <w:r>
        <w:rPr/>
        <w:t>an</w:t>
      </w:r>
      <w:r>
        <w:rPr>
          <w:spacing w:val="-4"/>
        </w:rPr>
        <w:t> </w:t>
      </w:r>
      <w:r>
        <w:rPr/>
        <w:t>emergency</w:t>
      </w:r>
      <w:r>
        <w:rPr>
          <w:spacing w:val="-4"/>
        </w:rPr>
        <w:t> </w:t>
      </w:r>
      <w:r>
        <w:rPr/>
        <w:t>or</w:t>
      </w:r>
      <w:r>
        <w:rPr>
          <w:spacing w:val="-3"/>
        </w:rPr>
        <w:t> </w:t>
      </w:r>
      <w:r>
        <w:rPr/>
        <w:t>permanent</w:t>
      </w:r>
      <w:r>
        <w:rPr>
          <w:spacing w:val="-3"/>
        </w:rPr>
        <w:t> </w:t>
      </w:r>
      <w:r>
        <w:rPr/>
        <w:t>rule</w:t>
      </w:r>
      <w:r>
        <w:rPr>
          <w:spacing w:val="-4"/>
        </w:rPr>
        <w:t> </w:t>
      </w:r>
      <w:r>
        <w:rPr/>
        <w:t>prior</w:t>
      </w:r>
      <w:r>
        <w:rPr>
          <w:spacing w:val="-3"/>
        </w:rPr>
        <w:t> </w:t>
      </w:r>
      <w:r>
        <w:rPr/>
        <w:t>to</w:t>
      </w:r>
      <w:r>
        <w:rPr>
          <w:spacing w:val="-5"/>
        </w:rPr>
        <w:t> </w:t>
      </w:r>
      <w:r>
        <w:rPr/>
        <w:t>final</w:t>
      </w:r>
      <w:r>
        <w:rPr>
          <w:spacing w:val="-4"/>
        </w:rPr>
        <w:t> </w:t>
      </w:r>
      <w:r>
        <w:rPr/>
        <w:t>adoption</w:t>
      </w:r>
      <w:r>
        <w:rPr>
          <w:spacing w:val="-4"/>
        </w:rPr>
        <w:t> </w:t>
      </w:r>
      <w:r>
        <w:rPr/>
        <w:t>in accordance with the APA.</w:t>
      </w:r>
    </w:p>
    <w:p>
      <w:pPr>
        <w:pStyle w:val="BodyText"/>
        <w:spacing w:line="208" w:lineRule="auto" w:before="239"/>
        <w:ind w:right="775" w:firstLine="432"/>
      </w:pPr>
      <w:r>
        <w:rPr>
          <w:b/>
        </w:rPr>
        <w:t>"Register"</w:t>
      </w:r>
      <w:r>
        <w:rPr>
          <w:b/>
          <w:spacing w:val="-4"/>
        </w:rPr>
        <w:t> </w:t>
      </w:r>
      <w:r>
        <w:rPr/>
        <w:t>means</w:t>
      </w:r>
      <w:r>
        <w:rPr>
          <w:spacing w:val="-4"/>
        </w:rPr>
        <w:t> </w:t>
      </w:r>
      <w:r>
        <w:rPr/>
        <w:t>the</w:t>
      </w:r>
      <w:r>
        <w:rPr>
          <w:spacing w:val="-5"/>
        </w:rPr>
        <w:t> </w:t>
      </w:r>
      <w:r>
        <w:rPr/>
        <w:t>publication</w:t>
      </w:r>
      <w:r>
        <w:rPr>
          <w:spacing w:val="-3"/>
        </w:rPr>
        <w:t> </w:t>
      </w:r>
      <w:r>
        <w:rPr/>
        <w:t>maintained</w:t>
      </w:r>
      <w:r>
        <w:rPr>
          <w:spacing w:val="-4"/>
        </w:rPr>
        <w:t> </w:t>
      </w:r>
      <w:r>
        <w:rPr/>
        <w:t>by</w:t>
      </w:r>
      <w:r>
        <w:rPr>
          <w:spacing w:val="-4"/>
        </w:rPr>
        <w:t> </w:t>
      </w:r>
      <w:r>
        <w:rPr/>
        <w:t>the</w:t>
      </w:r>
      <w:r>
        <w:rPr>
          <w:spacing w:val="-4"/>
        </w:rPr>
        <w:t> </w:t>
      </w:r>
      <w:r>
        <w:rPr/>
        <w:t>OAR</w:t>
      </w:r>
      <w:r>
        <w:rPr>
          <w:spacing w:val="-4"/>
        </w:rPr>
        <w:t> </w:t>
      </w:r>
      <w:r>
        <w:rPr/>
        <w:t>which</w:t>
      </w:r>
      <w:r>
        <w:rPr>
          <w:spacing w:val="-4"/>
        </w:rPr>
        <w:t> </w:t>
      </w:r>
      <w:r>
        <w:rPr/>
        <w:t>contains</w:t>
      </w:r>
      <w:r>
        <w:rPr>
          <w:spacing w:val="-4"/>
        </w:rPr>
        <w:t> </w:t>
      </w:r>
      <w:r>
        <w:rPr/>
        <w:t>actions concerning and contents of rules and executive orders, and known as the Oklahoma </w:t>
      </w:r>
      <w:r>
        <w:rPr>
          <w:spacing w:val="-2"/>
        </w:rPr>
        <w:t>Register.</w:t>
      </w:r>
    </w:p>
    <w:p>
      <w:pPr>
        <w:pStyle w:val="BodyText"/>
        <w:spacing w:line="208" w:lineRule="auto"/>
        <w:ind w:right="775" w:firstLine="432"/>
      </w:pPr>
      <w:r>
        <w:rPr>
          <w:b/>
        </w:rPr>
        <w:t>"Rule" </w:t>
      </w:r>
      <w:r>
        <w:rPr/>
        <w:t>means an administrative rule governing the operation of DRS and codified under Title 612 of the Oklahoma Administrative Code. A rule is a statement of law of general</w:t>
      </w:r>
      <w:r>
        <w:rPr>
          <w:spacing w:val="-3"/>
        </w:rPr>
        <w:t> </w:t>
      </w:r>
      <w:r>
        <w:rPr/>
        <w:t>applicability</w:t>
      </w:r>
      <w:r>
        <w:rPr>
          <w:spacing w:val="-3"/>
        </w:rPr>
        <w:t> </w:t>
      </w:r>
      <w:r>
        <w:rPr/>
        <w:t>to</w:t>
      </w:r>
      <w:r>
        <w:rPr>
          <w:spacing w:val="-3"/>
        </w:rPr>
        <w:t> </w:t>
      </w:r>
      <w:r>
        <w:rPr/>
        <w:t>the</w:t>
      </w:r>
      <w:r>
        <w:rPr>
          <w:spacing w:val="-3"/>
        </w:rPr>
        <w:t> </w:t>
      </w:r>
      <w:r>
        <w:rPr/>
        <w:t>operation</w:t>
      </w:r>
      <w:r>
        <w:rPr>
          <w:spacing w:val="-3"/>
        </w:rPr>
        <w:t> </w:t>
      </w:r>
      <w:r>
        <w:rPr/>
        <w:t>of</w:t>
      </w:r>
      <w:r>
        <w:rPr>
          <w:spacing w:val="-2"/>
        </w:rPr>
        <w:t> </w:t>
      </w:r>
      <w:r>
        <w:rPr/>
        <w:t>DRS</w:t>
      </w:r>
      <w:r>
        <w:rPr>
          <w:spacing w:val="-2"/>
        </w:rPr>
        <w:t> </w:t>
      </w:r>
      <w:r>
        <w:rPr/>
        <w:t>and</w:t>
      </w:r>
      <w:r>
        <w:rPr>
          <w:spacing w:val="-3"/>
        </w:rPr>
        <w:t> </w:t>
      </w:r>
      <w:r>
        <w:rPr/>
        <w:t>to</w:t>
      </w:r>
      <w:r>
        <w:rPr>
          <w:spacing w:val="-3"/>
        </w:rPr>
        <w:t> </w:t>
      </w:r>
      <w:r>
        <w:rPr/>
        <w:t>entities</w:t>
      </w:r>
      <w:r>
        <w:rPr>
          <w:spacing w:val="-3"/>
        </w:rPr>
        <w:t> </w:t>
      </w:r>
      <w:r>
        <w:rPr/>
        <w:t>and</w:t>
      </w:r>
      <w:r>
        <w:rPr>
          <w:spacing w:val="-3"/>
        </w:rPr>
        <w:t> </w:t>
      </w:r>
      <w:r>
        <w:rPr/>
        <w:t>individuals</w:t>
      </w:r>
      <w:r>
        <w:rPr>
          <w:spacing w:val="-3"/>
        </w:rPr>
        <w:t> </w:t>
      </w:r>
      <w:r>
        <w:rPr/>
        <w:t>of</w:t>
      </w:r>
      <w:r>
        <w:rPr>
          <w:spacing w:val="-2"/>
        </w:rPr>
        <w:t> </w:t>
      </w:r>
      <w:r>
        <w:rPr/>
        <w:t>the</w:t>
      </w:r>
      <w:r>
        <w:rPr>
          <w:spacing w:val="-3"/>
        </w:rPr>
        <w:t> </w:t>
      </w:r>
      <w:r>
        <w:rPr/>
        <w:t>public with whom DRS interacts.</w:t>
      </w:r>
    </w:p>
    <w:p>
      <w:pPr>
        <w:pStyle w:val="BodyText"/>
        <w:spacing w:line="208" w:lineRule="auto"/>
        <w:ind w:right="1150" w:firstLine="432"/>
        <w:jc w:val="both"/>
      </w:pPr>
      <w:r>
        <w:rPr>
          <w:b/>
        </w:rPr>
        <w:t>"Rulemaking action" </w:t>
      </w:r>
      <w:r>
        <w:rPr/>
        <w:t>means any procedure, except executive orders and local project</w:t>
      </w:r>
      <w:r>
        <w:rPr>
          <w:spacing w:val="-3"/>
        </w:rPr>
        <w:t> </w:t>
      </w:r>
      <w:r>
        <w:rPr/>
        <w:t>funding</w:t>
      </w:r>
      <w:r>
        <w:rPr>
          <w:spacing w:val="-4"/>
        </w:rPr>
        <w:t> </w:t>
      </w:r>
      <w:r>
        <w:rPr/>
        <w:t>contract</w:t>
      </w:r>
      <w:r>
        <w:rPr>
          <w:spacing w:val="-3"/>
        </w:rPr>
        <w:t> </w:t>
      </w:r>
      <w:r>
        <w:rPr/>
        <w:t>announcements,</w:t>
      </w:r>
      <w:r>
        <w:rPr>
          <w:spacing w:val="-3"/>
        </w:rPr>
        <w:t> </w:t>
      </w:r>
      <w:r>
        <w:rPr/>
        <w:t>which</w:t>
      </w:r>
      <w:r>
        <w:rPr>
          <w:spacing w:val="-4"/>
        </w:rPr>
        <w:t> </w:t>
      </w:r>
      <w:r>
        <w:rPr/>
        <w:t>must</w:t>
      </w:r>
      <w:r>
        <w:rPr>
          <w:spacing w:val="-4"/>
        </w:rPr>
        <w:t> </w:t>
      </w:r>
      <w:r>
        <w:rPr/>
        <w:t>be</w:t>
      </w:r>
      <w:r>
        <w:rPr>
          <w:spacing w:val="-4"/>
        </w:rPr>
        <w:t> </w:t>
      </w:r>
      <w:r>
        <w:rPr/>
        <w:t>published</w:t>
      </w:r>
      <w:r>
        <w:rPr>
          <w:spacing w:val="-4"/>
        </w:rPr>
        <w:t> </w:t>
      </w:r>
      <w:r>
        <w:rPr/>
        <w:t>in</w:t>
      </w:r>
      <w:r>
        <w:rPr>
          <w:spacing w:val="-4"/>
        </w:rPr>
        <w:t> </w:t>
      </w:r>
      <w:r>
        <w:rPr/>
        <w:t>the</w:t>
      </w:r>
      <w:r>
        <w:rPr>
          <w:spacing w:val="-4"/>
        </w:rPr>
        <w:t> </w:t>
      </w:r>
      <w:r>
        <w:rPr/>
        <w:t>Register</w:t>
      </w:r>
      <w:r>
        <w:rPr>
          <w:spacing w:val="-3"/>
        </w:rPr>
        <w:t> </w:t>
      </w:r>
      <w:r>
        <w:rPr/>
        <w:t>or Code under the APA, including:</w:t>
      </w:r>
    </w:p>
    <w:p>
      <w:pPr>
        <w:pStyle w:val="BodyText"/>
        <w:spacing w:after="0" w:line="208" w:lineRule="auto"/>
        <w:jc w:val="both"/>
        <w:sectPr>
          <w:pgSz w:w="12240" w:h="15840"/>
          <w:pgMar w:top="1340" w:bottom="280" w:left="1080" w:right="720"/>
        </w:sectPr>
      </w:pPr>
    </w:p>
    <w:p>
      <w:pPr>
        <w:pStyle w:val="ListParagraph"/>
        <w:numPr>
          <w:ilvl w:val="0"/>
          <w:numId w:val="50"/>
        </w:numPr>
        <w:tabs>
          <w:tab w:pos="1677" w:val="left" w:leader="none"/>
        </w:tabs>
        <w:spacing w:line="240" w:lineRule="auto" w:before="67" w:after="0"/>
        <w:ind w:left="1677" w:right="0" w:hanging="453"/>
        <w:jc w:val="left"/>
        <w:rPr>
          <w:sz w:val="24"/>
        </w:rPr>
      </w:pPr>
      <w:r>
        <w:rPr>
          <w:sz w:val="24"/>
        </w:rPr>
        <w:t>Notice</w:t>
      </w:r>
      <w:r>
        <w:rPr>
          <w:spacing w:val="-5"/>
          <w:sz w:val="24"/>
        </w:rPr>
        <w:t> </w:t>
      </w:r>
      <w:r>
        <w:rPr>
          <w:sz w:val="24"/>
        </w:rPr>
        <w:t>of</w:t>
      </w:r>
      <w:r>
        <w:rPr>
          <w:spacing w:val="-2"/>
          <w:sz w:val="24"/>
        </w:rPr>
        <w:t> </w:t>
      </w:r>
      <w:r>
        <w:rPr>
          <w:sz w:val="24"/>
        </w:rPr>
        <w:t>rulemaking</w:t>
      </w:r>
      <w:r>
        <w:rPr>
          <w:spacing w:val="-3"/>
          <w:sz w:val="24"/>
        </w:rPr>
        <w:t> </w:t>
      </w:r>
      <w:r>
        <w:rPr>
          <w:spacing w:val="-2"/>
          <w:sz w:val="24"/>
        </w:rPr>
        <w:t>intent.</w:t>
      </w:r>
    </w:p>
    <w:p>
      <w:pPr>
        <w:pStyle w:val="ListParagraph"/>
        <w:numPr>
          <w:ilvl w:val="0"/>
          <w:numId w:val="50"/>
        </w:numPr>
        <w:tabs>
          <w:tab w:pos="1676" w:val="left" w:leader="none"/>
        </w:tabs>
        <w:spacing w:line="240" w:lineRule="auto" w:before="204" w:after="0"/>
        <w:ind w:left="1676" w:right="0" w:hanging="453"/>
        <w:jc w:val="left"/>
        <w:rPr>
          <w:sz w:val="24"/>
        </w:rPr>
      </w:pPr>
      <w:r>
        <w:rPr>
          <w:sz w:val="24"/>
        </w:rPr>
        <w:t>Notice</w:t>
      </w:r>
      <w:r>
        <w:rPr>
          <w:spacing w:val="-4"/>
          <w:sz w:val="24"/>
        </w:rPr>
        <w:t> </w:t>
      </w:r>
      <w:r>
        <w:rPr>
          <w:sz w:val="24"/>
        </w:rPr>
        <w:t>of</w:t>
      </w:r>
      <w:r>
        <w:rPr>
          <w:spacing w:val="-2"/>
          <w:sz w:val="24"/>
        </w:rPr>
        <w:t> </w:t>
      </w:r>
      <w:r>
        <w:rPr>
          <w:sz w:val="24"/>
        </w:rPr>
        <w:t>canceled</w:t>
      </w:r>
      <w:r>
        <w:rPr>
          <w:spacing w:val="-2"/>
          <w:sz w:val="24"/>
        </w:rPr>
        <w:t> </w:t>
      </w:r>
      <w:r>
        <w:rPr>
          <w:sz w:val="24"/>
        </w:rPr>
        <w:t>hearing</w:t>
      </w:r>
      <w:r>
        <w:rPr>
          <w:spacing w:val="-3"/>
          <w:sz w:val="24"/>
        </w:rPr>
        <w:t> </w:t>
      </w:r>
      <w:r>
        <w:rPr>
          <w:sz w:val="24"/>
        </w:rPr>
        <w:t>or</w:t>
      </w:r>
      <w:r>
        <w:rPr>
          <w:spacing w:val="-2"/>
          <w:sz w:val="24"/>
        </w:rPr>
        <w:t> </w:t>
      </w:r>
      <w:r>
        <w:rPr>
          <w:sz w:val="24"/>
        </w:rPr>
        <w:t>comment</w:t>
      </w:r>
      <w:r>
        <w:rPr>
          <w:spacing w:val="-2"/>
          <w:sz w:val="24"/>
        </w:rPr>
        <w:t> period.</w:t>
      </w:r>
    </w:p>
    <w:p>
      <w:pPr>
        <w:pStyle w:val="ListParagraph"/>
        <w:numPr>
          <w:ilvl w:val="0"/>
          <w:numId w:val="50"/>
        </w:numPr>
        <w:tabs>
          <w:tab w:pos="1689" w:val="left" w:leader="none"/>
        </w:tabs>
        <w:spacing w:line="240" w:lineRule="auto" w:before="204" w:after="0"/>
        <w:ind w:left="1689" w:right="0" w:hanging="466"/>
        <w:jc w:val="left"/>
        <w:rPr>
          <w:sz w:val="24"/>
        </w:rPr>
      </w:pPr>
      <w:r>
        <w:rPr>
          <w:sz w:val="24"/>
        </w:rPr>
        <w:t>Notice</w:t>
      </w:r>
      <w:r>
        <w:rPr>
          <w:spacing w:val="-4"/>
          <w:sz w:val="24"/>
        </w:rPr>
        <w:t> </w:t>
      </w:r>
      <w:r>
        <w:rPr>
          <w:sz w:val="24"/>
        </w:rPr>
        <w:t>of</w:t>
      </w:r>
      <w:r>
        <w:rPr>
          <w:spacing w:val="-3"/>
          <w:sz w:val="24"/>
        </w:rPr>
        <w:t> </w:t>
      </w:r>
      <w:r>
        <w:rPr>
          <w:sz w:val="24"/>
        </w:rPr>
        <w:t>continued</w:t>
      </w:r>
      <w:r>
        <w:rPr>
          <w:spacing w:val="-3"/>
          <w:sz w:val="24"/>
        </w:rPr>
        <w:t> </w:t>
      </w:r>
      <w:r>
        <w:rPr>
          <w:sz w:val="24"/>
        </w:rPr>
        <w:t>hearing</w:t>
      </w:r>
      <w:r>
        <w:rPr>
          <w:spacing w:val="-3"/>
          <w:sz w:val="24"/>
        </w:rPr>
        <w:t> </w:t>
      </w:r>
      <w:r>
        <w:rPr>
          <w:sz w:val="24"/>
        </w:rPr>
        <w:t>or</w:t>
      </w:r>
      <w:r>
        <w:rPr>
          <w:spacing w:val="-2"/>
          <w:sz w:val="24"/>
        </w:rPr>
        <w:t> </w:t>
      </w:r>
      <w:r>
        <w:rPr>
          <w:sz w:val="24"/>
        </w:rPr>
        <w:t>comment</w:t>
      </w:r>
      <w:r>
        <w:rPr>
          <w:spacing w:val="-4"/>
          <w:sz w:val="24"/>
        </w:rPr>
        <w:t> </w:t>
      </w:r>
      <w:r>
        <w:rPr>
          <w:spacing w:val="-2"/>
          <w:sz w:val="24"/>
        </w:rPr>
        <w:t>period.</w:t>
      </w:r>
    </w:p>
    <w:p>
      <w:pPr>
        <w:pStyle w:val="ListParagraph"/>
        <w:numPr>
          <w:ilvl w:val="0"/>
          <w:numId w:val="50"/>
        </w:numPr>
        <w:tabs>
          <w:tab w:pos="1689" w:val="left" w:leader="none"/>
        </w:tabs>
        <w:spacing w:line="208" w:lineRule="auto" w:before="233" w:after="0"/>
        <w:ind w:left="1223" w:right="742" w:firstLine="0"/>
        <w:jc w:val="left"/>
        <w:rPr>
          <w:sz w:val="24"/>
        </w:rPr>
      </w:pPr>
      <w:r>
        <w:rPr>
          <w:sz w:val="24"/>
        </w:rPr>
        <w:t>Final</w:t>
      </w:r>
      <w:r>
        <w:rPr>
          <w:spacing w:val="-3"/>
          <w:sz w:val="24"/>
        </w:rPr>
        <w:t> </w:t>
      </w:r>
      <w:r>
        <w:rPr>
          <w:sz w:val="24"/>
        </w:rPr>
        <w:t>adoption</w:t>
      </w:r>
      <w:r>
        <w:rPr>
          <w:spacing w:val="-3"/>
          <w:sz w:val="24"/>
        </w:rPr>
        <w:t> </w:t>
      </w:r>
      <w:r>
        <w:rPr>
          <w:sz w:val="24"/>
        </w:rPr>
        <w:t>of</w:t>
      </w:r>
      <w:r>
        <w:rPr>
          <w:spacing w:val="-3"/>
          <w:sz w:val="24"/>
        </w:rPr>
        <w:t> </w:t>
      </w:r>
      <w:r>
        <w:rPr>
          <w:sz w:val="24"/>
        </w:rPr>
        <w:t>a</w:t>
      </w:r>
      <w:r>
        <w:rPr>
          <w:spacing w:val="-3"/>
          <w:sz w:val="24"/>
        </w:rPr>
        <w:t> </w:t>
      </w:r>
      <w:r>
        <w:rPr>
          <w:sz w:val="24"/>
        </w:rPr>
        <w:t>new</w:t>
      </w:r>
      <w:r>
        <w:rPr>
          <w:spacing w:val="-3"/>
          <w:sz w:val="24"/>
        </w:rPr>
        <w:t> </w:t>
      </w:r>
      <w:r>
        <w:rPr>
          <w:sz w:val="24"/>
        </w:rPr>
        <w:t>permanent</w:t>
      </w:r>
      <w:r>
        <w:rPr>
          <w:spacing w:val="-3"/>
          <w:sz w:val="24"/>
        </w:rPr>
        <w:t> </w:t>
      </w:r>
      <w:r>
        <w:rPr>
          <w:sz w:val="24"/>
        </w:rPr>
        <w:t>rule</w:t>
      </w:r>
      <w:r>
        <w:rPr>
          <w:spacing w:val="-3"/>
          <w:sz w:val="24"/>
        </w:rPr>
        <w:t> </w:t>
      </w:r>
      <w:r>
        <w:rPr>
          <w:sz w:val="24"/>
        </w:rPr>
        <w:t>or</w:t>
      </w:r>
      <w:r>
        <w:rPr>
          <w:spacing w:val="-3"/>
          <w:sz w:val="24"/>
        </w:rPr>
        <w:t> </w:t>
      </w:r>
      <w:r>
        <w:rPr>
          <w:sz w:val="24"/>
        </w:rPr>
        <w:t>of</w:t>
      </w:r>
      <w:r>
        <w:rPr>
          <w:spacing w:val="-3"/>
          <w:sz w:val="24"/>
        </w:rPr>
        <w:t> </w:t>
      </w:r>
      <w:r>
        <w:rPr>
          <w:sz w:val="24"/>
        </w:rPr>
        <w:t>a</w:t>
      </w:r>
      <w:r>
        <w:rPr>
          <w:spacing w:val="-4"/>
          <w:sz w:val="24"/>
        </w:rPr>
        <w:t> </w:t>
      </w:r>
      <w:r>
        <w:rPr>
          <w:sz w:val="24"/>
        </w:rPr>
        <w:t>permanent</w:t>
      </w:r>
      <w:r>
        <w:rPr>
          <w:spacing w:val="-3"/>
          <w:sz w:val="24"/>
        </w:rPr>
        <w:t> </w:t>
      </w:r>
      <w:r>
        <w:rPr>
          <w:sz w:val="24"/>
        </w:rPr>
        <w:t>amendment</w:t>
      </w:r>
      <w:r>
        <w:rPr>
          <w:spacing w:val="-4"/>
          <w:sz w:val="24"/>
        </w:rPr>
        <w:t> </w:t>
      </w:r>
      <w:r>
        <w:rPr>
          <w:sz w:val="24"/>
        </w:rPr>
        <w:t>to</w:t>
      </w:r>
      <w:r>
        <w:rPr>
          <w:spacing w:val="-3"/>
          <w:sz w:val="24"/>
        </w:rPr>
        <w:t> </w:t>
      </w:r>
      <w:r>
        <w:rPr>
          <w:sz w:val="24"/>
        </w:rPr>
        <w:t>or revocation of an existing rule.</w:t>
      </w:r>
    </w:p>
    <w:p>
      <w:pPr>
        <w:pStyle w:val="ListParagraph"/>
        <w:numPr>
          <w:ilvl w:val="0"/>
          <w:numId w:val="50"/>
        </w:numPr>
        <w:tabs>
          <w:tab w:pos="1676" w:val="left" w:leader="none"/>
        </w:tabs>
        <w:spacing w:line="208" w:lineRule="auto" w:before="240" w:after="0"/>
        <w:ind w:left="1223" w:right="914" w:firstLine="0"/>
        <w:jc w:val="left"/>
        <w:rPr>
          <w:sz w:val="24"/>
        </w:rPr>
      </w:pPr>
      <w:r>
        <w:rPr>
          <w:sz w:val="24"/>
        </w:rPr>
        <w:t>Promulgation</w:t>
      </w:r>
      <w:r>
        <w:rPr>
          <w:spacing w:val="-4"/>
          <w:sz w:val="24"/>
        </w:rPr>
        <w:t> </w:t>
      </w:r>
      <w:r>
        <w:rPr>
          <w:sz w:val="24"/>
        </w:rPr>
        <w:t>of</w:t>
      </w:r>
      <w:r>
        <w:rPr>
          <w:spacing w:val="-3"/>
          <w:sz w:val="24"/>
        </w:rPr>
        <w:t> </w:t>
      </w:r>
      <w:r>
        <w:rPr>
          <w:sz w:val="24"/>
        </w:rPr>
        <w:t>a</w:t>
      </w:r>
      <w:r>
        <w:rPr>
          <w:spacing w:val="-4"/>
          <w:sz w:val="24"/>
        </w:rPr>
        <w:t> </w:t>
      </w:r>
      <w:r>
        <w:rPr>
          <w:sz w:val="24"/>
        </w:rPr>
        <w:t>new</w:t>
      </w:r>
      <w:r>
        <w:rPr>
          <w:spacing w:val="-4"/>
          <w:sz w:val="24"/>
        </w:rPr>
        <w:t> </w:t>
      </w:r>
      <w:r>
        <w:rPr>
          <w:sz w:val="24"/>
        </w:rPr>
        <w:t>emergency</w:t>
      </w:r>
      <w:r>
        <w:rPr>
          <w:spacing w:val="-4"/>
          <w:sz w:val="24"/>
        </w:rPr>
        <w:t> </w:t>
      </w:r>
      <w:r>
        <w:rPr>
          <w:sz w:val="24"/>
        </w:rPr>
        <w:t>rule</w:t>
      </w:r>
      <w:r>
        <w:rPr>
          <w:spacing w:val="-4"/>
          <w:sz w:val="24"/>
        </w:rPr>
        <w:t> </w:t>
      </w:r>
      <w:r>
        <w:rPr>
          <w:sz w:val="24"/>
        </w:rPr>
        <w:t>or</w:t>
      </w:r>
      <w:r>
        <w:rPr>
          <w:spacing w:val="-3"/>
          <w:sz w:val="24"/>
        </w:rPr>
        <w:t> </w:t>
      </w:r>
      <w:r>
        <w:rPr>
          <w:sz w:val="24"/>
        </w:rPr>
        <w:t>of</w:t>
      </w:r>
      <w:r>
        <w:rPr>
          <w:spacing w:val="-3"/>
          <w:sz w:val="24"/>
        </w:rPr>
        <w:t> </w:t>
      </w:r>
      <w:r>
        <w:rPr>
          <w:sz w:val="24"/>
        </w:rPr>
        <w:t>an</w:t>
      </w:r>
      <w:r>
        <w:rPr>
          <w:spacing w:val="-4"/>
          <w:sz w:val="24"/>
        </w:rPr>
        <w:t> </w:t>
      </w:r>
      <w:r>
        <w:rPr>
          <w:sz w:val="24"/>
        </w:rPr>
        <w:t>emergency</w:t>
      </w:r>
      <w:r>
        <w:rPr>
          <w:spacing w:val="-4"/>
          <w:sz w:val="24"/>
        </w:rPr>
        <w:t> </w:t>
      </w:r>
      <w:r>
        <w:rPr>
          <w:sz w:val="24"/>
        </w:rPr>
        <w:t>amendment</w:t>
      </w:r>
      <w:r>
        <w:rPr>
          <w:spacing w:val="-3"/>
          <w:sz w:val="24"/>
        </w:rPr>
        <w:t> </w:t>
      </w:r>
      <w:r>
        <w:rPr>
          <w:sz w:val="24"/>
        </w:rPr>
        <w:t>to or emergency revocation of an existing permanent rule.</w:t>
      </w:r>
    </w:p>
    <w:p>
      <w:pPr>
        <w:pStyle w:val="ListParagraph"/>
        <w:numPr>
          <w:ilvl w:val="0"/>
          <w:numId w:val="50"/>
        </w:numPr>
        <w:tabs>
          <w:tab w:pos="1661" w:val="left" w:leader="none"/>
        </w:tabs>
        <w:spacing w:line="240" w:lineRule="auto" w:before="210" w:after="0"/>
        <w:ind w:left="1661" w:right="0" w:hanging="438"/>
        <w:jc w:val="left"/>
        <w:rPr>
          <w:sz w:val="24"/>
        </w:rPr>
      </w:pPr>
      <w:r>
        <w:rPr>
          <w:sz w:val="24"/>
        </w:rPr>
        <w:t>Submission</w:t>
      </w:r>
      <w:r>
        <w:rPr>
          <w:spacing w:val="-6"/>
          <w:sz w:val="24"/>
        </w:rPr>
        <w:t> </w:t>
      </w:r>
      <w:r>
        <w:rPr>
          <w:sz w:val="24"/>
        </w:rPr>
        <w:t>of</w:t>
      </w:r>
      <w:r>
        <w:rPr>
          <w:spacing w:val="-3"/>
          <w:sz w:val="24"/>
        </w:rPr>
        <w:t> </w:t>
      </w:r>
      <w:r>
        <w:rPr>
          <w:sz w:val="24"/>
        </w:rPr>
        <w:t>a</w:t>
      </w:r>
      <w:r>
        <w:rPr>
          <w:spacing w:val="-3"/>
          <w:sz w:val="24"/>
        </w:rPr>
        <w:t> </w:t>
      </w:r>
      <w:r>
        <w:rPr>
          <w:sz w:val="24"/>
        </w:rPr>
        <w:t>permanent</w:t>
      </w:r>
      <w:r>
        <w:rPr>
          <w:spacing w:val="-3"/>
          <w:sz w:val="24"/>
        </w:rPr>
        <w:t> </w:t>
      </w:r>
      <w:r>
        <w:rPr>
          <w:sz w:val="24"/>
        </w:rPr>
        <w:t>rule</w:t>
      </w:r>
      <w:r>
        <w:rPr>
          <w:spacing w:val="-3"/>
          <w:sz w:val="24"/>
        </w:rPr>
        <w:t> </w:t>
      </w:r>
      <w:r>
        <w:rPr>
          <w:sz w:val="24"/>
        </w:rPr>
        <w:t>for</w:t>
      </w:r>
      <w:r>
        <w:rPr>
          <w:spacing w:val="-3"/>
          <w:sz w:val="24"/>
        </w:rPr>
        <w:t> </w:t>
      </w:r>
      <w:r>
        <w:rPr>
          <w:sz w:val="24"/>
        </w:rPr>
        <w:t>gubernatorial</w:t>
      </w:r>
      <w:r>
        <w:rPr>
          <w:spacing w:val="-3"/>
          <w:sz w:val="24"/>
        </w:rPr>
        <w:t> </w:t>
      </w:r>
      <w:r>
        <w:rPr>
          <w:sz w:val="24"/>
        </w:rPr>
        <w:t>and</w:t>
      </w:r>
      <w:r>
        <w:rPr>
          <w:spacing w:val="-4"/>
          <w:sz w:val="24"/>
        </w:rPr>
        <w:t> </w:t>
      </w:r>
      <w:r>
        <w:rPr>
          <w:sz w:val="24"/>
        </w:rPr>
        <w:t>legislative</w:t>
      </w:r>
      <w:r>
        <w:rPr>
          <w:spacing w:val="-3"/>
          <w:sz w:val="24"/>
        </w:rPr>
        <w:t> </w:t>
      </w:r>
      <w:r>
        <w:rPr>
          <w:spacing w:val="-2"/>
          <w:sz w:val="24"/>
        </w:rPr>
        <w:t>review.</w:t>
      </w:r>
    </w:p>
    <w:p>
      <w:pPr>
        <w:pStyle w:val="ListParagraph"/>
        <w:numPr>
          <w:ilvl w:val="0"/>
          <w:numId w:val="50"/>
        </w:numPr>
        <w:tabs>
          <w:tab w:pos="1702" w:val="left" w:leader="none"/>
        </w:tabs>
        <w:spacing w:line="240" w:lineRule="auto" w:before="204" w:after="0"/>
        <w:ind w:left="1702" w:right="0" w:hanging="479"/>
        <w:jc w:val="left"/>
        <w:rPr>
          <w:sz w:val="24"/>
        </w:rPr>
      </w:pPr>
      <w:r>
        <w:rPr>
          <w:sz w:val="24"/>
        </w:rPr>
        <w:t>Approval</w:t>
      </w:r>
      <w:r>
        <w:rPr>
          <w:spacing w:val="-3"/>
          <w:sz w:val="24"/>
        </w:rPr>
        <w:t> </w:t>
      </w:r>
      <w:r>
        <w:rPr>
          <w:sz w:val="24"/>
        </w:rPr>
        <w:t>of</w:t>
      </w:r>
      <w:r>
        <w:rPr>
          <w:spacing w:val="-1"/>
          <w:sz w:val="24"/>
        </w:rPr>
        <w:t> </w:t>
      </w:r>
      <w:r>
        <w:rPr>
          <w:sz w:val="24"/>
        </w:rPr>
        <w:t>a</w:t>
      </w:r>
      <w:r>
        <w:rPr>
          <w:spacing w:val="-3"/>
          <w:sz w:val="24"/>
        </w:rPr>
        <w:t> </w:t>
      </w:r>
      <w:r>
        <w:rPr>
          <w:sz w:val="24"/>
        </w:rPr>
        <w:t>permanent</w:t>
      </w:r>
      <w:r>
        <w:rPr>
          <w:spacing w:val="-1"/>
          <w:sz w:val="24"/>
        </w:rPr>
        <w:t> </w:t>
      </w:r>
      <w:r>
        <w:rPr>
          <w:sz w:val="24"/>
        </w:rPr>
        <w:t>rule</w:t>
      </w:r>
      <w:r>
        <w:rPr>
          <w:spacing w:val="-3"/>
          <w:sz w:val="24"/>
        </w:rPr>
        <w:t> </w:t>
      </w:r>
      <w:r>
        <w:rPr>
          <w:sz w:val="24"/>
        </w:rPr>
        <w:t>by</w:t>
      </w:r>
      <w:r>
        <w:rPr>
          <w:spacing w:val="-2"/>
          <w:sz w:val="24"/>
        </w:rPr>
        <w:t> </w:t>
      </w:r>
      <w:r>
        <w:rPr>
          <w:sz w:val="24"/>
        </w:rPr>
        <w:t>the</w:t>
      </w:r>
      <w:r>
        <w:rPr>
          <w:spacing w:val="-2"/>
          <w:sz w:val="24"/>
        </w:rPr>
        <w:t> Governor.</w:t>
      </w:r>
    </w:p>
    <w:p>
      <w:pPr>
        <w:pStyle w:val="ListParagraph"/>
        <w:numPr>
          <w:ilvl w:val="0"/>
          <w:numId w:val="50"/>
        </w:numPr>
        <w:tabs>
          <w:tab w:pos="1689" w:val="left" w:leader="none"/>
        </w:tabs>
        <w:spacing w:line="240" w:lineRule="auto" w:before="204" w:after="0"/>
        <w:ind w:left="1689" w:right="0" w:hanging="466"/>
        <w:jc w:val="left"/>
        <w:rPr>
          <w:sz w:val="24"/>
        </w:rPr>
      </w:pPr>
      <w:r>
        <w:rPr>
          <w:sz w:val="24"/>
        </w:rPr>
        <w:t>Disapproval</w:t>
      </w:r>
      <w:r>
        <w:rPr>
          <w:spacing w:val="-3"/>
          <w:sz w:val="24"/>
        </w:rPr>
        <w:t> </w:t>
      </w:r>
      <w:r>
        <w:rPr>
          <w:sz w:val="24"/>
        </w:rPr>
        <w:t>of</w:t>
      </w:r>
      <w:r>
        <w:rPr>
          <w:spacing w:val="-2"/>
          <w:sz w:val="24"/>
        </w:rPr>
        <w:t> </w:t>
      </w:r>
      <w:r>
        <w:rPr>
          <w:sz w:val="24"/>
        </w:rPr>
        <w:t>a</w:t>
      </w:r>
      <w:r>
        <w:rPr>
          <w:spacing w:val="-3"/>
          <w:sz w:val="24"/>
        </w:rPr>
        <w:t> </w:t>
      </w:r>
      <w:r>
        <w:rPr>
          <w:sz w:val="24"/>
        </w:rPr>
        <w:t>permanent</w:t>
      </w:r>
      <w:r>
        <w:rPr>
          <w:spacing w:val="-2"/>
          <w:sz w:val="24"/>
        </w:rPr>
        <w:t> </w:t>
      </w:r>
      <w:r>
        <w:rPr>
          <w:sz w:val="24"/>
        </w:rPr>
        <w:t>rule</w:t>
      </w:r>
      <w:r>
        <w:rPr>
          <w:spacing w:val="-3"/>
          <w:sz w:val="24"/>
        </w:rPr>
        <w:t> </w:t>
      </w:r>
      <w:r>
        <w:rPr>
          <w:sz w:val="24"/>
        </w:rPr>
        <w:t>by</w:t>
      </w:r>
      <w:r>
        <w:rPr>
          <w:spacing w:val="-3"/>
          <w:sz w:val="24"/>
        </w:rPr>
        <w:t> </w:t>
      </w:r>
      <w:r>
        <w:rPr>
          <w:sz w:val="24"/>
        </w:rPr>
        <w:t>the</w:t>
      </w:r>
      <w:r>
        <w:rPr>
          <w:spacing w:val="-2"/>
          <w:sz w:val="24"/>
        </w:rPr>
        <w:t> Governor.</w:t>
      </w:r>
    </w:p>
    <w:p>
      <w:pPr>
        <w:pStyle w:val="ListParagraph"/>
        <w:numPr>
          <w:ilvl w:val="0"/>
          <w:numId w:val="50"/>
        </w:numPr>
        <w:tabs>
          <w:tab w:pos="1582" w:val="left" w:leader="none"/>
        </w:tabs>
        <w:spacing w:line="240" w:lineRule="auto" w:before="204" w:after="0"/>
        <w:ind w:left="1582" w:right="0" w:hanging="359"/>
        <w:jc w:val="left"/>
        <w:rPr>
          <w:sz w:val="24"/>
        </w:rPr>
      </w:pPr>
      <w:r>
        <w:rPr>
          <w:sz w:val="24"/>
        </w:rPr>
        <w:t>Disapproval</w:t>
      </w:r>
      <w:r>
        <w:rPr>
          <w:spacing w:val="-3"/>
          <w:sz w:val="24"/>
        </w:rPr>
        <w:t> </w:t>
      </w:r>
      <w:r>
        <w:rPr>
          <w:sz w:val="24"/>
        </w:rPr>
        <w:t>of</w:t>
      </w:r>
      <w:r>
        <w:rPr>
          <w:spacing w:val="-1"/>
          <w:sz w:val="24"/>
        </w:rPr>
        <w:t> </w:t>
      </w:r>
      <w:r>
        <w:rPr>
          <w:sz w:val="24"/>
        </w:rPr>
        <w:t>a</w:t>
      </w:r>
      <w:r>
        <w:rPr>
          <w:spacing w:val="-2"/>
          <w:sz w:val="24"/>
        </w:rPr>
        <w:t> </w:t>
      </w:r>
      <w:r>
        <w:rPr>
          <w:sz w:val="24"/>
        </w:rPr>
        <w:t>rule</w:t>
      </w:r>
      <w:r>
        <w:rPr>
          <w:spacing w:val="-2"/>
          <w:sz w:val="24"/>
        </w:rPr>
        <w:t> </w:t>
      </w:r>
      <w:r>
        <w:rPr>
          <w:sz w:val="24"/>
        </w:rPr>
        <w:t>by</w:t>
      </w:r>
      <w:r>
        <w:rPr>
          <w:spacing w:val="-2"/>
          <w:sz w:val="24"/>
        </w:rPr>
        <w:t> </w:t>
      </w:r>
      <w:r>
        <w:rPr>
          <w:sz w:val="24"/>
        </w:rPr>
        <w:t>the</w:t>
      </w:r>
      <w:r>
        <w:rPr>
          <w:spacing w:val="-2"/>
          <w:sz w:val="24"/>
        </w:rPr>
        <w:t> Legislature.</w:t>
      </w:r>
    </w:p>
    <w:p>
      <w:pPr>
        <w:pStyle w:val="ListParagraph"/>
        <w:numPr>
          <w:ilvl w:val="0"/>
          <w:numId w:val="50"/>
        </w:numPr>
        <w:tabs>
          <w:tab w:pos="1636" w:val="left" w:leader="none"/>
        </w:tabs>
        <w:spacing w:line="240" w:lineRule="auto" w:before="204" w:after="0"/>
        <w:ind w:left="1636" w:right="0" w:hanging="413"/>
        <w:jc w:val="left"/>
        <w:rPr>
          <w:sz w:val="24"/>
        </w:rPr>
      </w:pPr>
      <w:r>
        <w:rPr>
          <w:sz w:val="24"/>
        </w:rPr>
        <w:t>Withdrawal</w:t>
      </w:r>
      <w:r>
        <w:rPr>
          <w:spacing w:val="-3"/>
          <w:sz w:val="24"/>
        </w:rPr>
        <w:t> </w:t>
      </w:r>
      <w:r>
        <w:rPr>
          <w:sz w:val="24"/>
        </w:rPr>
        <w:t>of</w:t>
      </w:r>
      <w:r>
        <w:rPr>
          <w:spacing w:val="-2"/>
          <w:sz w:val="24"/>
        </w:rPr>
        <w:t> </w:t>
      </w:r>
      <w:r>
        <w:rPr>
          <w:sz w:val="24"/>
        </w:rPr>
        <w:t>a</w:t>
      </w:r>
      <w:r>
        <w:rPr>
          <w:spacing w:val="-2"/>
          <w:sz w:val="24"/>
        </w:rPr>
        <w:t> </w:t>
      </w:r>
      <w:r>
        <w:rPr>
          <w:sz w:val="24"/>
        </w:rPr>
        <w:t>rule</w:t>
      </w:r>
      <w:r>
        <w:rPr>
          <w:spacing w:val="-3"/>
          <w:sz w:val="24"/>
        </w:rPr>
        <w:t> </w:t>
      </w:r>
      <w:r>
        <w:rPr>
          <w:sz w:val="24"/>
        </w:rPr>
        <w:t>from</w:t>
      </w:r>
      <w:r>
        <w:rPr>
          <w:spacing w:val="-1"/>
          <w:sz w:val="24"/>
        </w:rPr>
        <w:t> </w:t>
      </w:r>
      <w:r>
        <w:rPr>
          <w:sz w:val="24"/>
        </w:rPr>
        <w:t>the</w:t>
      </w:r>
      <w:r>
        <w:rPr>
          <w:spacing w:val="-3"/>
          <w:sz w:val="24"/>
        </w:rPr>
        <w:t> </w:t>
      </w:r>
      <w:r>
        <w:rPr>
          <w:sz w:val="24"/>
        </w:rPr>
        <w:t>rulemaking</w:t>
      </w:r>
      <w:r>
        <w:rPr>
          <w:spacing w:val="-2"/>
          <w:sz w:val="24"/>
        </w:rPr>
        <w:t> process.</w:t>
      </w:r>
    </w:p>
    <w:p>
      <w:pPr>
        <w:pStyle w:val="ListParagraph"/>
        <w:numPr>
          <w:ilvl w:val="0"/>
          <w:numId w:val="50"/>
        </w:numPr>
        <w:tabs>
          <w:tab w:pos="1676" w:val="left" w:leader="none"/>
        </w:tabs>
        <w:spacing w:line="240" w:lineRule="auto" w:before="204" w:after="0"/>
        <w:ind w:left="1676" w:right="0" w:hanging="453"/>
        <w:jc w:val="left"/>
        <w:rPr>
          <w:sz w:val="24"/>
        </w:rPr>
      </w:pPr>
      <w:r>
        <w:rPr>
          <w:sz w:val="24"/>
        </w:rPr>
        <w:t>Notice</w:t>
      </w:r>
      <w:r>
        <w:rPr>
          <w:spacing w:val="-4"/>
          <w:sz w:val="24"/>
        </w:rPr>
        <w:t> </w:t>
      </w:r>
      <w:r>
        <w:rPr>
          <w:sz w:val="24"/>
        </w:rPr>
        <w:t>of</w:t>
      </w:r>
      <w:r>
        <w:rPr>
          <w:spacing w:val="-2"/>
          <w:sz w:val="24"/>
        </w:rPr>
        <w:t> </w:t>
      </w:r>
      <w:r>
        <w:rPr>
          <w:sz w:val="24"/>
        </w:rPr>
        <w:t>error</w:t>
      </w:r>
      <w:r>
        <w:rPr>
          <w:spacing w:val="-3"/>
          <w:sz w:val="24"/>
        </w:rPr>
        <w:t> </w:t>
      </w:r>
      <w:r>
        <w:rPr>
          <w:sz w:val="24"/>
        </w:rPr>
        <w:t>in</w:t>
      </w:r>
      <w:r>
        <w:rPr>
          <w:spacing w:val="-3"/>
          <w:sz w:val="24"/>
        </w:rPr>
        <w:t> </w:t>
      </w:r>
      <w:r>
        <w:rPr>
          <w:sz w:val="24"/>
        </w:rPr>
        <w:t>published</w:t>
      </w:r>
      <w:r>
        <w:rPr>
          <w:spacing w:val="-2"/>
          <w:sz w:val="24"/>
        </w:rPr>
        <w:t> document.</w:t>
      </w:r>
    </w:p>
    <w:p>
      <w:pPr>
        <w:pStyle w:val="BodyText"/>
        <w:spacing w:before="238"/>
        <w:ind w:left="359" w:right="775"/>
      </w:pPr>
      <w:r>
        <w:rPr>
          <w:b/>
        </w:rPr>
        <w:t>"Rulemaking entity" </w:t>
      </w:r>
      <w:r>
        <w:rPr/>
        <w:t>means the board or commission, in this case the Oklahoma Commission</w:t>
      </w:r>
      <w:r>
        <w:rPr>
          <w:spacing w:val="-4"/>
        </w:rPr>
        <w:t> </w:t>
      </w:r>
      <w:r>
        <w:rPr/>
        <w:t>for</w:t>
      </w:r>
      <w:r>
        <w:rPr>
          <w:spacing w:val="-3"/>
        </w:rPr>
        <w:t> </w:t>
      </w:r>
      <w:r>
        <w:rPr/>
        <w:t>Rehabilitation</w:t>
      </w:r>
      <w:r>
        <w:rPr>
          <w:spacing w:val="-4"/>
        </w:rPr>
        <w:t> </w:t>
      </w:r>
      <w:r>
        <w:rPr/>
        <w:t>Services,</w:t>
      </w:r>
      <w:r>
        <w:rPr>
          <w:spacing w:val="-3"/>
        </w:rPr>
        <w:t> </w:t>
      </w:r>
      <w:r>
        <w:rPr/>
        <w:t>authorized</w:t>
      </w:r>
      <w:r>
        <w:rPr>
          <w:spacing w:val="-4"/>
        </w:rPr>
        <w:t> </w:t>
      </w:r>
      <w:r>
        <w:rPr/>
        <w:t>to</w:t>
      </w:r>
      <w:r>
        <w:rPr>
          <w:spacing w:val="-4"/>
        </w:rPr>
        <w:t> </w:t>
      </w:r>
      <w:r>
        <w:rPr/>
        <w:t>adopt</w:t>
      </w:r>
      <w:r>
        <w:rPr>
          <w:spacing w:val="-3"/>
        </w:rPr>
        <w:t> </w:t>
      </w:r>
      <w:r>
        <w:rPr/>
        <w:t>and</w:t>
      </w:r>
      <w:r>
        <w:rPr>
          <w:spacing w:val="-4"/>
        </w:rPr>
        <w:t> </w:t>
      </w:r>
      <w:r>
        <w:rPr/>
        <w:t>promulgate</w:t>
      </w:r>
      <w:r>
        <w:rPr>
          <w:spacing w:val="-3"/>
        </w:rPr>
        <w:t> </w:t>
      </w:r>
      <w:r>
        <w:rPr/>
        <w:t>rules</w:t>
      </w:r>
      <w:r>
        <w:rPr>
          <w:spacing w:val="-4"/>
        </w:rPr>
        <w:t> </w:t>
      </w:r>
      <w:r>
        <w:rPr/>
        <w:t>as defined in 75 O.S., Section 250.3(2).</w:t>
      </w:r>
    </w:p>
    <w:p>
      <w:pPr>
        <w:spacing w:line="253" w:lineRule="exact" w:before="0"/>
        <w:ind w:left="359"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359" w:right="0" w:firstLine="0"/>
        <w:jc w:val="left"/>
        <w:rPr>
          <w:sz w:val="22"/>
        </w:rPr>
      </w:pPr>
      <w:r>
        <w:rPr>
          <w:spacing w:val="-2"/>
          <w:sz w:val="22"/>
        </w:rPr>
        <w:t>9-11-</w:t>
      </w:r>
      <w:r>
        <w:rPr>
          <w:spacing w:val="-5"/>
          <w:sz w:val="22"/>
        </w:rPr>
        <w:t>20</w:t>
      </w:r>
      <w:r>
        <w:rPr>
          <w:sz w:val="22"/>
        </w:rPr>
        <w:tab/>
        <w:t>Permanent,</w:t>
      </w:r>
      <w:r>
        <w:rPr>
          <w:spacing w:val="-8"/>
          <w:sz w:val="22"/>
        </w:rPr>
        <w:t> </w:t>
      </w:r>
      <w:r>
        <w:rPr>
          <w:sz w:val="22"/>
        </w:rPr>
        <w:t>new</w:t>
      </w:r>
      <w:r>
        <w:rPr>
          <w:spacing w:val="-10"/>
          <w:sz w:val="22"/>
        </w:rPr>
        <w:t> </w:t>
      </w:r>
      <w:r>
        <w:rPr>
          <w:sz w:val="22"/>
        </w:rPr>
        <w:t>rule</w:t>
      </w:r>
      <w:r>
        <w:rPr>
          <w:spacing w:val="-8"/>
          <w:sz w:val="22"/>
        </w:rPr>
        <w:t> </w:t>
      </w:r>
      <w:r>
        <w:rPr>
          <w:sz w:val="22"/>
        </w:rPr>
        <w:t>implemented.</w:t>
      </w:r>
      <w:r>
        <w:rPr>
          <w:spacing w:val="-9"/>
          <w:sz w:val="22"/>
        </w:rPr>
        <w:t> </w:t>
      </w:r>
      <w:r>
        <w:rPr>
          <w:sz w:val="22"/>
        </w:rPr>
        <w:t>Replaces</w:t>
      </w:r>
      <w:r>
        <w:rPr>
          <w:spacing w:val="-8"/>
          <w:sz w:val="22"/>
        </w:rPr>
        <w:t> </w:t>
      </w:r>
      <w:r>
        <w:rPr>
          <w:sz w:val="22"/>
        </w:rPr>
        <w:t>revoked</w:t>
      </w:r>
      <w:r>
        <w:rPr>
          <w:spacing w:val="-9"/>
          <w:sz w:val="22"/>
        </w:rPr>
        <w:t> </w:t>
      </w:r>
      <w:r>
        <w:rPr>
          <w:sz w:val="22"/>
        </w:rPr>
        <w:t>rule</w:t>
      </w:r>
      <w:r>
        <w:rPr>
          <w:spacing w:val="-8"/>
          <w:sz w:val="22"/>
        </w:rPr>
        <w:t> </w:t>
      </w:r>
      <w:r>
        <w:rPr>
          <w:sz w:val="22"/>
        </w:rPr>
        <w:t>612:3-5-2</w:t>
      </w:r>
      <w:r>
        <w:rPr>
          <w:spacing w:val="-9"/>
          <w:sz w:val="22"/>
        </w:rPr>
        <w:t> </w:t>
      </w:r>
      <w:r>
        <w:rPr>
          <w:spacing w:val="-2"/>
          <w:sz w:val="22"/>
        </w:rPr>
        <w:t>Definitions.</w:t>
      </w:r>
    </w:p>
    <w:p>
      <w:pPr>
        <w:spacing w:after="0"/>
        <w:jc w:val="left"/>
        <w:rPr>
          <w:sz w:val="22"/>
        </w:rPr>
        <w:sectPr>
          <w:pgSz w:w="12240" w:h="15840"/>
          <w:pgMar w:top="1340" w:bottom="280" w:left="1080" w:right="720"/>
        </w:sectPr>
      </w:pPr>
    </w:p>
    <w:p>
      <w:pPr>
        <w:pStyle w:val="Heading2"/>
      </w:pPr>
      <w:bookmarkStart w:name="612:1-15-6.  Revision of administrative " w:id="63"/>
      <w:bookmarkEnd w:id="63"/>
      <w:r>
        <w:rPr>
          <w:b w:val="0"/>
        </w:rPr>
      </w:r>
      <w:r>
        <w:rPr/>
        <w:t>612:1-15-6.</w:t>
      </w:r>
      <w:r>
        <w:rPr>
          <w:spacing w:val="59"/>
        </w:rPr>
        <w:t> </w:t>
      </w:r>
      <w:r>
        <w:rPr/>
        <w:t>Revision</w:t>
      </w:r>
      <w:r>
        <w:rPr>
          <w:spacing w:val="-5"/>
        </w:rPr>
        <w:t> </w:t>
      </w:r>
      <w:r>
        <w:rPr/>
        <w:t>of</w:t>
      </w:r>
      <w:r>
        <w:rPr>
          <w:spacing w:val="-3"/>
        </w:rPr>
        <w:t> </w:t>
      </w:r>
      <w:r>
        <w:rPr/>
        <w:t>administrative</w:t>
      </w:r>
      <w:r>
        <w:rPr>
          <w:spacing w:val="-4"/>
        </w:rPr>
        <w:t> </w:t>
      </w:r>
      <w:r>
        <w:rPr/>
        <w:t>rules</w:t>
      </w:r>
      <w:r>
        <w:rPr>
          <w:spacing w:val="-4"/>
        </w:rPr>
        <w:t> </w:t>
      </w:r>
      <w:r>
        <w:rPr/>
        <w:t>and</w:t>
      </w:r>
      <w:r>
        <w:rPr>
          <w:spacing w:val="-4"/>
        </w:rPr>
        <w:t> </w:t>
      </w:r>
      <w:r>
        <w:rPr/>
        <w:t>internal</w:t>
      </w:r>
      <w:r>
        <w:rPr>
          <w:spacing w:val="-2"/>
        </w:rPr>
        <w:t> policy</w:t>
      </w:r>
    </w:p>
    <w:p>
      <w:pPr>
        <w:pStyle w:val="ListParagraph"/>
        <w:numPr>
          <w:ilvl w:val="0"/>
          <w:numId w:val="51"/>
        </w:numPr>
        <w:tabs>
          <w:tab w:pos="786" w:val="left" w:leader="none"/>
        </w:tabs>
        <w:spacing w:line="208" w:lineRule="auto" w:before="233" w:after="0"/>
        <w:ind w:left="360" w:right="725" w:firstLine="0"/>
        <w:jc w:val="left"/>
        <w:rPr>
          <w:sz w:val="24"/>
        </w:rPr>
      </w:pPr>
      <w:r>
        <w:rPr>
          <w:b/>
          <w:sz w:val="24"/>
        </w:rPr>
        <w:t>Purpose of Administrative Rules and Internal Policy.</w:t>
      </w:r>
      <w:r>
        <w:rPr>
          <w:b/>
          <w:spacing w:val="40"/>
          <w:sz w:val="24"/>
        </w:rPr>
        <w:t> </w:t>
      </w:r>
      <w:r>
        <w:rPr>
          <w:sz w:val="24"/>
        </w:rPr>
        <w:t>Agency rules and internal policy</w:t>
      </w:r>
      <w:r>
        <w:rPr>
          <w:spacing w:val="-2"/>
          <w:sz w:val="24"/>
        </w:rPr>
        <w:t> </w:t>
      </w:r>
      <w:r>
        <w:rPr>
          <w:sz w:val="24"/>
        </w:rPr>
        <w:t>communicate</w:t>
      </w:r>
      <w:r>
        <w:rPr>
          <w:spacing w:val="-2"/>
          <w:sz w:val="24"/>
        </w:rPr>
        <w:t> </w:t>
      </w:r>
      <w:r>
        <w:rPr>
          <w:sz w:val="24"/>
        </w:rPr>
        <w:t>the</w:t>
      </w:r>
      <w:r>
        <w:rPr>
          <w:spacing w:val="-2"/>
          <w:sz w:val="24"/>
        </w:rPr>
        <w:t> </w:t>
      </w:r>
      <w:r>
        <w:rPr>
          <w:sz w:val="24"/>
        </w:rPr>
        <w:t>expected</w:t>
      </w:r>
      <w:r>
        <w:rPr>
          <w:spacing w:val="-2"/>
          <w:sz w:val="24"/>
        </w:rPr>
        <w:t> </w:t>
      </w:r>
      <w:r>
        <w:rPr>
          <w:sz w:val="24"/>
        </w:rPr>
        <w:t>standards</w:t>
      </w:r>
      <w:r>
        <w:rPr>
          <w:spacing w:val="-2"/>
          <w:sz w:val="24"/>
        </w:rPr>
        <w:t> </w:t>
      </w:r>
      <w:r>
        <w:rPr>
          <w:sz w:val="24"/>
        </w:rPr>
        <w:t>for</w:t>
      </w:r>
      <w:r>
        <w:rPr>
          <w:spacing w:val="-1"/>
          <w:sz w:val="24"/>
        </w:rPr>
        <w:t> </w:t>
      </w:r>
      <w:r>
        <w:rPr>
          <w:sz w:val="24"/>
        </w:rPr>
        <w:t>staff</w:t>
      </w:r>
      <w:r>
        <w:rPr>
          <w:spacing w:val="-1"/>
          <w:sz w:val="24"/>
        </w:rPr>
        <w:t> </w:t>
      </w:r>
      <w:r>
        <w:rPr>
          <w:sz w:val="24"/>
        </w:rPr>
        <w:t>conduct</w:t>
      </w:r>
      <w:r>
        <w:rPr>
          <w:spacing w:val="-1"/>
          <w:sz w:val="24"/>
        </w:rPr>
        <w:t> </w:t>
      </w:r>
      <w:r>
        <w:rPr>
          <w:sz w:val="24"/>
        </w:rPr>
        <w:t>and</w:t>
      </w:r>
      <w:r>
        <w:rPr>
          <w:spacing w:val="-1"/>
          <w:sz w:val="24"/>
        </w:rPr>
        <w:t> </w:t>
      </w:r>
      <w:r>
        <w:rPr>
          <w:sz w:val="24"/>
        </w:rPr>
        <w:t>provide</w:t>
      </w:r>
      <w:r>
        <w:rPr>
          <w:spacing w:val="-2"/>
          <w:sz w:val="24"/>
        </w:rPr>
        <w:t> </w:t>
      </w:r>
      <w:r>
        <w:rPr>
          <w:sz w:val="24"/>
        </w:rPr>
        <w:t>the</w:t>
      </w:r>
      <w:r>
        <w:rPr>
          <w:spacing w:val="-2"/>
          <w:sz w:val="24"/>
        </w:rPr>
        <w:t> </w:t>
      </w:r>
      <w:r>
        <w:rPr>
          <w:sz w:val="24"/>
        </w:rPr>
        <w:t>necessary direction for carrying out the agency's mission.</w:t>
      </w:r>
      <w:r>
        <w:rPr>
          <w:spacing w:val="78"/>
          <w:sz w:val="24"/>
        </w:rPr>
        <w:t> </w:t>
      </w:r>
      <w:r>
        <w:rPr>
          <w:sz w:val="24"/>
        </w:rPr>
        <w:t>The intent of rules and internal policy is to provide a common basis for decision making so that individuals can expect equitable treatment when dealing with the agency.</w:t>
      </w:r>
      <w:r>
        <w:rPr>
          <w:spacing w:val="40"/>
          <w:sz w:val="24"/>
        </w:rPr>
        <w:t> </w:t>
      </w:r>
      <w:r>
        <w:rPr>
          <w:sz w:val="24"/>
        </w:rPr>
        <w:t>DRS rules and internal policy are public documents, maintained as part of the DRS Internal Policy Manual by the DRS Policy Administration and Development Section the Oklahoma Administrative Code by the Office of Administrative Rules, in the Secretary of State's Office, so that the public will have</w:t>
      </w:r>
      <w:r>
        <w:rPr>
          <w:spacing w:val="-3"/>
          <w:sz w:val="24"/>
        </w:rPr>
        <w:t> </w:t>
      </w:r>
      <w:r>
        <w:rPr>
          <w:sz w:val="24"/>
        </w:rPr>
        <w:t>the</w:t>
      </w:r>
      <w:r>
        <w:rPr>
          <w:spacing w:val="-3"/>
          <w:sz w:val="24"/>
        </w:rPr>
        <w:t> </w:t>
      </w:r>
      <w:r>
        <w:rPr>
          <w:sz w:val="24"/>
        </w:rPr>
        <w:t>opportunity</w:t>
      </w:r>
      <w:r>
        <w:rPr>
          <w:spacing w:val="-3"/>
          <w:sz w:val="24"/>
        </w:rPr>
        <w:t> </w:t>
      </w:r>
      <w:r>
        <w:rPr>
          <w:sz w:val="24"/>
        </w:rPr>
        <w:t>to</w:t>
      </w:r>
      <w:r>
        <w:rPr>
          <w:spacing w:val="-3"/>
          <w:sz w:val="24"/>
        </w:rPr>
        <w:t> </w:t>
      </w:r>
      <w:r>
        <w:rPr>
          <w:sz w:val="24"/>
        </w:rPr>
        <w:t>know</w:t>
      </w:r>
      <w:r>
        <w:rPr>
          <w:spacing w:val="-3"/>
          <w:sz w:val="24"/>
        </w:rPr>
        <w:t> </w:t>
      </w:r>
      <w:r>
        <w:rPr>
          <w:sz w:val="24"/>
        </w:rPr>
        <w:t>the</w:t>
      </w:r>
      <w:r>
        <w:rPr>
          <w:spacing w:val="-3"/>
          <w:sz w:val="24"/>
        </w:rPr>
        <w:t> </w:t>
      </w:r>
      <w:r>
        <w:rPr>
          <w:sz w:val="24"/>
        </w:rPr>
        <w:t>mission</w:t>
      </w:r>
      <w:r>
        <w:rPr>
          <w:spacing w:val="-3"/>
          <w:sz w:val="24"/>
        </w:rPr>
        <w:t> </w:t>
      </w:r>
      <w:r>
        <w:rPr>
          <w:sz w:val="24"/>
        </w:rPr>
        <w:t>of</w:t>
      </w:r>
      <w:r>
        <w:rPr>
          <w:spacing w:val="-2"/>
          <w:sz w:val="24"/>
        </w:rPr>
        <w:t> </w:t>
      </w:r>
      <w:r>
        <w:rPr>
          <w:sz w:val="24"/>
        </w:rPr>
        <w:t>our</w:t>
      </w:r>
      <w:r>
        <w:rPr>
          <w:spacing w:val="-2"/>
          <w:sz w:val="24"/>
        </w:rPr>
        <w:t> </w:t>
      </w:r>
      <w:r>
        <w:rPr>
          <w:sz w:val="24"/>
        </w:rPr>
        <w:t>program</w:t>
      </w:r>
      <w:r>
        <w:rPr>
          <w:spacing w:val="-2"/>
          <w:sz w:val="24"/>
        </w:rPr>
        <w:t> </w:t>
      </w:r>
      <w:r>
        <w:rPr>
          <w:sz w:val="24"/>
        </w:rPr>
        <w:t>and</w:t>
      </w:r>
      <w:r>
        <w:rPr>
          <w:spacing w:val="-3"/>
          <w:sz w:val="24"/>
        </w:rPr>
        <w:t> </w:t>
      </w:r>
      <w:r>
        <w:rPr>
          <w:sz w:val="24"/>
        </w:rPr>
        <w:t>how</w:t>
      </w:r>
      <w:r>
        <w:rPr>
          <w:spacing w:val="-3"/>
          <w:sz w:val="24"/>
        </w:rPr>
        <w:t> </w:t>
      </w:r>
      <w:r>
        <w:rPr>
          <w:sz w:val="24"/>
        </w:rPr>
        <w:t>this</w:t>
      </w:r>
      <w:r>
        <w:rPr>
          <w:spacing w:val="-3"/>
          <w:sz w:val="24"/>
        </w:rPr>
        <w:t> </w:t>
      </w:r>
      <w:r>
        <w:rPr>
          <w:sz w:val="24"/>
        </w:rPr>
        <w:t>agency</w:t>
      </w:r>
      <w:r>
        <w:rPr>
          <w:spacing w:val="-3"/>
          <w:sz w:val="24"/>
        </w:rPr>
        <w:t> </w:t>
      </w:r>
      <w:r>
        <w:rPr>
          <w:sz w:val="24"/>
        </w:rPr>
        <w:t>intends</w:t>
      </w:r>
      <w:r>
        <w:rPr>
          <w:spacing w:val="-3"/>
          <w:sz w:val="24"/>
        </w:rPr>
        <w:t> </w:t>
      </w:r>
      <w:r>
        <w:rPr>
          <w:sz w:val="24"/>
        </w:rPr>
        <w:t>to carry out that mission.</w:t>
      </w:r>
    </w:p>
    <w:p>
      <w:pPr>
        <w:pStyle w:val="ListParagraph"/>
        <w:numPr>
          <w:ilvl w:val="0"/>
          <w:numId w:val="51"/>
        </w:numPr>
        <w:tabs>
          <w:tab w:pos="786" w:val="left" w:leader="none"/>
        </w:tabs>
        <w:spacing w:line="208" w:lineRule="auto" w:before="239" w:after="0"/>
        <w:ind w:left="360" w:right="1034" w:firstLine="0"/>
        <w:jc w:val="left"/>
        <w:rPr>
          <w:sz w:val="24"/>
        </w:rPr>
      </w:pPr>
      <w:r>
        <w:rPr>
          <w:b/>
          <w:sz w:val="24"/>
        </w:rPr>
        <w:t>DRS</w:t>
      </w:r>
      <w:r>
        <w:rPr>
          <w:b/>
          <w:spacing w:val="-4"/>
          <w:sz w:val="24"/>
        </w:rPr>
        <w:t> </w:t>
      </w:r>
      <w:r>
        <w:rPr>
          <w:b/>
          <w:sz w:val="24"/>
        </w:rPr>
        <w:t>Staff</w:t>
      </w:r>
      <w:r>
        <w:rPr>
          <w:b/>
          <w:spacing w:val="-3"/>
          <w:sz w:val="24"/>
        </w:rPr>
        <w:t> </w:t>
      </w:r>
      <w:r>
        <w:rPr>
          <w:b/>
          <w:sz w:val="24"/>
        </w:rPr>
        <w:t>Responsibility.</w:t>
      </w:r>
      <w:r>
        <w:rPr>
          <w:b/>
          <w:spacing w:val="40"/>
          <w:sz w:val="24"/>
        </w:rPr>
        <w:t> </w:t>
      </w:r>
      <w:r>
        <w:rPr>
          <w:sz w:val="24"/>
        </w:rPr>
        <w:t>DRS</w:t>
      </w:r>
      <w:r>
        <w:rPr>
          <w:spacing w:val="-4"/>
          <w:sz w:val="24"/>
        </w:rPr>
        <w:t> </w:t>
      </w:r>
      <w:r>
        <w:rPr>
          <w:sz w:val="24"/>
        </w:rPr>
        <w:t>staff</w:t>
      </w:r>
      <w:r>
        <w:rPr>
          <w:spacing w:val="-3"/>
          <w:sz w:val="24"/>
        </w:rPr>
        <w:t> </w:t>
      </w:r>
      <w:r>
        <w:rPr>
          <w:sz w:val="24"/>
        </w:rPr>
        <w:t>are</w:t>
      </w:r>
      <w:r>
        <w:rPr>
          <w:spacing w:val="-4"/>
          <w:sz w:val="24"/>
        </w:rPr>
        <w:t> </w:t>
      </w:r>
      <w:r>
        <w:rPr>
          <w:sz w:val="24"/>
        </w:rPr>
        <w:t>expected</w:t>
      </w:r>
      <w:r>
        <w:rPr>
          <w:spacing w:val="-4"/>
          <w:sz w:val="24"/>
        </w:rPr>
        <w:t> </w:t>
      </w:r>
      <w:r>
        <w:rPr>
          <w:sz w:val="24"/>
        </w:rPr>
        <w:t>to</w:t>
      </w:r>
      <w:r>
        <w:rPr>
          <w:spacing w:val="-4"/>
          <w:sz w:val="24"/>
        </w:rPr>
        <w:t> </w:t>
      </w:r>
      <w:r>
        <w:rPr>
          <w:sz w:val="24"/>
        </w:rPr>
        <w:t>be</w:t>
      </w:r>
      <w:r>
        <w:rPr>
          <w:spacing w:val="-4"/>
          <w:sz w:val="24"/>
        </w:rPr>
        <w:t> </w:t>
      </w:r>
      <w:r>
        <w:rPr>
          <w:sz w:val="24"/>
        </w:rPr>
        <w:t>thoroughly</w:t>
      </w:r>
      <w:r>
        <w:rPr>
          <w:spacing w:val="-4"/>
          <w:sz w:val="24"/>
        </w:rPr>
        <w:t> </w:t>
      </w:r>
      <w:r>
        <w:rPr>
          <w:sz w:val="24"/>
        </w:rPr>
        <w:t>familiar</w:t>
      </w:r>
      <w:r>
        <w:rPr>
          <w:spacing w:val="-3"/>
          <w:sz w:val="24"/>
        </w:rPr>
        <w:t> </w:t>
      </w:r>
      <w:r>
        <w:rPr>
          <w:sz w:val="24"/>
        </w:rPr>
        <w:t>with agency rules and internal policies pertaining to their conduct and program.</w:t>
      </w:r>
    </w:p>
    <w:p>
      <w:pPr>
        <w:pStyle w:val="ListParagraph"/>
        <w:numPr>
          <w:ilvl w:val="1"/>
          <w:numId w:val="51"/>
        </w:numPr>
        <w:tabs>
          <w:tab w:pos="1218" w:val="left" w:leader="none"/>
        </w:tabs>
        <w:spacing w:line="208" w:lineRule="auto" w:before="240" w:after="0"/>
        <w:ind w:left="792" w:right="1108" w:firstLine="0"/>
        <w:jc w:val="left"/>
        <w:rPr>
          <w:sz w:val="24"/>
        </w:rPr>
      </w:pPr>
      <w:r>
        <w:rPr>
          <w:sz w:val="24"/>
        </w:rPr>
        <w:t>Supervisors</w:t>
      </w:r>
      <w:r>
        <w:rPr>
          <w:spacing w:val="-4"/>
          <w:sz w:val="24"/>
        </w:rPr>
        <w:t> </w:t>
      </w:r>
      <w:r>
        <w:rPr>
          <w:sz w:val="24"/>
        </w:rPr>
        <w:t>and</w:t>
      </w:r>
      <w:r>
        <w:rPr>
          <w:spacing w:val="-4"/>
          <w:sz w:val="24"/>
        </w:rPr>
        <w:t> </w:t>
      </w:r>
      <w:r>
        <w:rPr>
          <w:sz w:val="24"/>
        </w:rPr>
        <w:t>managers</w:t>
      </w:r>
      <w:r>
        <w:rPr>
          <w:spacing w:val="-4"/>
          <w:sz w:val="24"/>
        </w:rPr>
        <w:t> </w:t>
      </w:r>
      <w:r>
        <w:rPr>
          <w:sz w:val="24"/>
        </w:rPr>
        <w:t>are</w:t>
      </w:r>
      <w:r>
        <w:rPr>
          <w:spacing w:val="-4"/>
          <w:sz w:val="24"/>
        </w:rPr>
        <w:t> </w:t>
      </w:r>
      <w:r>
        <w:rPr>
          <w:sz w:val="24"/>
        </w:rPr>
        <w:t>responsible</w:t>
      </w:r>
      <w:r>
        <w:rPr>
          <w:spacing w:val="-4"/>
          <w:sz w:val="24"/>
        </w:rPr>
        <w:t> </w:t>
      </w:r>
      <w:r>
        <w:rPr>
          <w:sz w:val="24"/>
        </w:rPr>
        <w:t>for</w:t>
      </w:r>
      <w:r>
        <w:rPr>
          <w:spacing w:val="-3"/>
          <w:sz w:val="24"/>
        </w:rPr>
        <w:t> </w:t>
      </w:r>
      <w:r>
        <w:rPr>
          <w:sz w:val="24"/>
        </w:rPr>
        <w:t>ensuring</w:t>
      </w:r>
      <w:r>
        <w:rPr>
          <w:spacing w:val="-4"/>
          <w:sz w:val="24"/>
        </w:rPr>
        <w:t> </w:t>
      </w:r>
      <w:r>
        <w:rPr>
          <w:sz w:val="24"/>
        </w:rPr>
        <w:t>that</w:t>
      </w:r>
      <w:r>
        <w:rPr>
          <w:spacing w:val="-5"/>
          <w:sz w:val="24"/>
        </w:rPr>
        <w:t> </w:t>
      </w:r>
      <w:r>
        <w:rPr>
          <w:sz w:val="24"/>
        </w:rPr>
        <w:t>staff</w:t>
      </w:r>
      <w:r>
        <w:rPr>
          <w:spacing w:val="-5"/>
          <w:sz w:val="24"/>
        </w:rPr>
        <w:t> </w:t>
      </w:r>
      <w:r>
        <w:rPr>
          <w:sz w:val="24"/>
        </w:rPr>
        <w:t>under</w:t>
      </w:r>
      <w:r>
        <w:rPr>
          <w:spacing w:val="-3"/>
          <w:sz w:val="24"/>
        </w:rPr>
        <w:t> </w:t>
      </w:r>
      <w:r>
        <w:rPr>
          <w:sz w:val="24"/>
        </w:rPr>
        <w:t>their supervision are familiar with all rules and internal policies and updates, and that their staff receive training on rules, internal policies and updates.</w:t>
      </w:r>
    </w:p>
    <w:p>
      <w:pPr>
        <w:pStyle w:val="ListParagraph"/>
        <w:numPr>
          <w:ilvl w:val="1"/>
          <w:numId w:val="51"/>
        </w:numPr>
        <w:tabs>
          <w:tab w:pos="1218" w:val="left" w:leader="none"/>
        </w:tabs>
        <w:spacing w:line="208" w:lineRule="auto" w:before="239" w:after="0"/>
        <w:ind w:left="792" w:right="840" w:firstLine="0"/>
        <w:jc w:val="left"/>
        <w:rPr>
          <w:sz w:val="24"/>
        </w:rPr>
      </w:pPr>
      <w:r>
        <w:rPr>
          <w:sz w:val="24"/>
        </w:rPr>
        <w:t>Staff are expected to use professional judgment in conducting the agency's business. The rules and internal policies of this agency are to inform</w:t>
      </w:r>
      <w:r>
        <w:rPr>
          <w:spacing w:val="-1"/>
          <w:sz w:val="24"/>
        </w:rPr>
        <w:t> </w:t>
      </w:r>
      <w:r>
        <w:rPr>
          <w:sz w:val="24"/>
        </w:rPr>
        <w:t>and guide the professional</w:t>
      </w:r>
      <w:r>
        <w:rPr>
          <w:spacing w:val="-4"/>
          <w:sz w:val="24"/>
        </w:rPr>
        <w:t> </w:t>
      </w:r>
      <w:r>
        <w:rPr>
          <w:sz w:val="24"/>
        </w:rPr>
        <w:t>judgment</w:t>
      </w:r>
      <w:r>
        <w:rPr>
          <w:spacing w:val="-3"/>
          <w:sz w:val="24"/>
        </w:rPr>
        <w:t> </w:t>
      </w:r>
      <w:r>
        <w:rPr>
          <w:sz w:val="24"/>
        </w:rPr>
        <w:t>and</w:t>
      </w:r>
      <w:r>
        <w:rPr>
          <w:spacing w:val="-4"/>
          <w:sz w:val="24"/>
        </w:rPr>
        <w:t> </w:t>
      </w:r>
      <w:r>
        <w:rPr>
          <w:sz w:val="24"/>
        </w:rPr>
        <w:t>conduct</w:t>
      </w:r>
      <w:r>
        <w:rPr>
          <w:spacing w:val="-3"/>
          <w:sz w:val="24"/>
        </w:rPr>
        <w:t> </w:t>
      </w:r>
      <w:r>
        <w:rPr>
          <w:sz w:val="24"/>
        </w:rPr>
        <w:t>of</w:t>
      </w:r>
      <w:r>
        <w:rPr>
          <w:spacing w:val="-3"/>
          <w:sz w:val="24"/>
        </w:rPr>
        <w:t> </w:t>
      </w:r>
      <w:r>
        <w:rPr>
          <w:sz w:val="24"/>
        </w:rPr>
        <w:t>staff.</w:t>
      </w:r>
      <w:r>
        <w:rPr>
          <w:spacing w:val="-5"/>
          <w:sz w:val="24"/>
        </w:rPr>
        <w:t> </w:t>
      </w:r>
      <w:r>
        <w:rPr>
          <w:sz w:val="24"/>
        </w:rPr>
        <w:t>When</w:t>
      </w:r>
      <w:r>
        <w:rPr>
          <w:spacing w:val="-4"/>
          <w:sz w:val="24"/>
        </w:rPr>
        <w:t> </w:t>
      </w:r>
      <w:r>
        <w:rPr>
          <w:sz w:val="24"/>
        </w:rPr>
        <w:t>a</w:t>
      </w:r>
      <w:r>
        <w:rPr>
          <w:spacing w:val="-4"/>
          <w:sz w:val="24"/>
        </w:rPr>
        <w:t> </w:t>
      </w:r>
      <w:r>
        <w:rPr>
          <w:sz w:val="24"/>
        </w:rPr>
        <w:t>staff</w:t>
      </w:r>
      <w:r>
        <w:rPr>
          <w:spacing w:val="-3"/>
          <w:sz w:val="24"/>
        </w:rPr>
        <w:t> </w:t>
      </w:r>
      <w:r>
        <w:rPr>
          <w:sz w:val="24"/>
        </w:rPr>
        <w:t>person</w:t>
      </w:r>
      <w:r>
        <w:rPr>
          <w:spacing w:val="-5"/>
          <w:sz w:val="24"/>
        </w:rPr>
        <w:t> </w:t>
      </w:r>
      <w:r>
        <w:rPr>
          <w:sz w:val="24"/>
        </w:rPr>
        <w:t>needs</w:t>
      </w:r>
      <w:r>
        <w:rPr>
          <w:spacing w:val="-4"/>
          <w:sz w:val="24"/>
        </w:rPr>
        <w:t> </w:t>
      </w:r>
      <w:r>
        <w:rPr>
          <w:sz w:val="24"/>
        </w:rPr>
        <w:t>guidance</w:t>
      </w:r>
      <w:r>
        <w:rPr>
          <w:spacing w:val="-4"/>
          <w:sz w:val="24"/>
        </w:rPr>
        <w:t> </w:t>
      </w:r>
      <w:r>
        <w:rPr>
          <w:sz w:val="24"/>
        </w:rPr>
        <w:t>in making a decision, the first step is to consult agency rules and internal policy.</w:t>
      </w:r>
    </w:p>
    <w:p>
      <w:pPr>
        <w:pStyle w:val="ListParagraph"/>
        <w:numPr>
          <w:ilvl w:val="0"/>
          <w:numId w:val="51"/>
        </w:numPr>
        <w:tabs>
          <w:tab w:pos="773" w:val="left" w:leader="none"/>
        </w:tabs>
        <w:spacing w:line="208" w:lineRule="auto" w:before="240" w:after="0"/>
        <w:ind w:left="360" w:right="913" w:firstLine="0"/>
        <w:jc w:val="left"/>
        <w:rPr>
          <w:sz w:val="24"/>
        </w:rPr>
      </w:pPr>
      <w:r>
        <w:rPr>
          <w:b/>
          <w:sz w:val="24"/>
        </w:rPr>
        <w:t>Policy Administration and Development Section Responsibility. </w:t>
      </w:r>
      <w:r>
        <w:rPr>
          <w:sz w:val="24"/>
        </w:rPr>
        <w:t>The Policy Administration</w:t>
      </w:r>
      <w:r>
        <w:rPr>
          <w:spacing w:val="-4"/>
          <w:sz w:val="24"/>
        </w:rPr>
        <w:t> </w:t>
      </w:r>
      <w:r>
        <w:rPr>
          <w:sz w:val="24"/>
        </w:rPr>
        <w:t>and</w:t>
      </w:r>
      <w:r>
        <w:rPr>
          <w:spacing w:val="-4"/>
          <w:sz w:val="24"/>
        </w:rPr>
        <w:t> </w:t>
      </w:r>
      <w:r>
        <w:rPr>
          <w:sz w:val="24"/>
        </w:rPr>
        <w:t>Development</w:t>
      </w:r>
      <w:r>
        <w:rPr>
          <w:spacing w:val="-4"/>
          <w:sz w:val="24"/>
        </w:rPr>
        <w:t> </w:t>
      </w:r>
      <w:r>
        <w:rPr>
          <w:sz w:val="24"/>
        </w:rPr>
        <w:t>Section</w:t>
      </w:r>
      <w:r>
        <w:rPr>
          <w:spacing w:val="-4"/>
          <w:sz w:val="24"/>
        </w:rPr>
        <w:t> </w:t>
      </w:r>
      <w:r>
        <w:rPr>
          <w:sz w:val="24"/>
        </w:rPr>
        <w:t>is</w:t>
      </w:r>
      <w:r>
        <w:rPr>
          <w:spacing w:val="-4"/>
          <w:sz w:val="24"/>
        </w:rPr>
        <w:t> </w:t>
      </w:r>
      <w:r>
        <w:rPr>
          <w:sz w:val="24"/>
        </w:rPr>
        <w:t>charged</w:t>
      </w:r>
      <w:r>
        <w:rPr>
          <w:spacing w:val="-4"/>
          <w:sz w:val="24"/>
        </w:rPr>
        <w:t> </w:t>
      </w:r>
      <w:r>
        <w:rPr>
          <w:sz w:val="24"/>
        </w:rPr>
        <w:t>with</w:t>
      </w:r>
      <w:r>
        <w:rPr>
          <w:spacing w:val="-4"/>
          <w:sz w:val="24"/>
        </w:rPr>
        <w:t> </w:t>
      </w:r>
      <w:r>
        <w:rPr>
          <w:sz w:val="24"/>
        </w:rPr>
        <w:t>assuring</w:t>
      </w:r>
      <w:r>
        <w:rPr>
          <w:spacing w:val="-4"/>
          <w:sz w:val="24"/>
        </w:rPr>
        <w:t> </w:t>
      </w:r>
      <w:r>
        <w:rPr>
          <w:sz w:val="24"/>
        </w:rPr>
        <w:t>that</w:t>
      </w:r>
      <w:r>
        <w:rPr>
          <w:spacing w:val="-4"/>
          <w:sz w:val="24"/>
        </w:rPr>
        <w:t> </w:t>
      </w:r>
      <w:r>
        <w:rPr>
          <w:sz w:val="24"/>
        </w:rPr>
        <w:t>the</w:t>
      </w:r>
      <w:r>
        <w:rPr>
          <w:spacing w:val="-4"/>
          <w:sz w:val="24"/>
        </w:rPr>
        <w:t> </w:t>
      </w:r>
      <w:r>
        <w:rPr>
          <w:sz w:val="24"/>
        </w:rPr>
        <w:t>Department complies with the Administrative Procedures Act. This responsibility includes:</w:t>
      </w:r>
    </w:p>
    <w:p>
      <w:pPr>
        <w:pStyle w:val="ListParagraph"/>
        <w:numPr>
          <w:ilvl w:val="1"/>
          <w:numId w:val="51"/>
        </w:numPr>
        <w:tabs>
          <w:tab w:pos="1218" w:val="left" w:leader="none"/>
        </w:tabs>
        <w:spacing w:line="208" w:lineRule="auto" w:before="240" w:after="0"/>
        <w:ind w:left="792" w:right="1908" w:firstLine="0"/>
        <w:jc w:val="left"/>
        <w:rPr>
          <w:sz w:val="24"/>
        </w:rPr>
      </w:pPr>
      <w:r>
        <w:rPr>
          <w:sz w:val="24"/>
        </w:rPr>
        <w:t>Ensuring</w:t>
      </w:r>
      <w:r>
        <w:rPr>
          <w:spacing w:val="-5"/>
          <w:sz w:val="24"/>
        </w:rPr>
        <w:t> </w:t>
      </w:r>
      <w:r>
        <w:rPr>
          <w:sz w:val="24"/>
        </w:rPr>
        <w:t>that</w:t>
      </w:r>
      <w:r>
        <w:rPr>
          <w:spacing w:val="-4"/>
          <w:sz w:val="24"/>
        </w:rPr>
        <w:t> </w:t>
      </w:r>
      <w:r>
        <w:rPr>
          <w:sz w:val="24"/>
        </w:rPr>
        <w:t>all</w:t>
      </w:r>
      <w:r>
        <w:rPr>
          <w:spacing w:val="-5"/>
          <w:sz w:val="24"/>
        </w:rPr>
        <w:t> </w:t>
      </w:r>
      <w:r>
        <w:rPr>
          <w:sz w:val="24"/>
        </w:rPr>
        <w:t>emergency</w:t>
      </w:r>
      <w:r>
        <w:rPr>
          <w:spacing w:val="-5"/>
          <w:sz w:val="24"/>
        </w:rPr>
        <w:t> </w:t>
      </w:r>
      <w:r>
        <w:rPr>
          <w:sz w:val="24"/>
        </w:rPr>
        <w:t>and</w:t>
      </w:r>
      <w:r>
        <w:rPr>
          <w:spacing w:val="-5"/>
          <w:sz w:val="24"/>
        </w:rPr>
        <w:t> </w:t>
      </w:r>
      <w:r>
        <w:rPr>
          <w:sz w:val="24"/>
        </w:rPr>
        <w:t>permanent</w:t>
      </w:r>
      <w:r>
        <w:rPr>
          <w:spacing w:val="-4"/>
          <w:sz w:val="24"/>
        </w:rPr>
        <w:t> </w:t>
      </w:r>
      <w:r>
        <w:rPr>
          <w:sz w:val="24"/>
        </w:rPr>
        <w:t>rules</w:t>
      </w:r>
      <w:r>
        <w:rPr>
          <w:spacing w:val="-5"/>
          <w:sz w:val="24"/>
        </w:rPr>
        <w:t> </w:t>
      </w:r>
      <w:r>
        <w:rPr>
          <w:sz w:val="24"/>
        </w:rPr>
        <w:t>are</w:t>
      </w:r>
      <w:r>
        <w:rPr>
          <w:spacing w:val="-5"/>
          <w:sz w:val="24"/>
        </w:rPr>
        <w:t> </w:t>
      </w:r>
      <w:r>
        <w:rPr>
          <w:sz w:val="24"/>
        </w:rPr>
        <w:t>promulgated</w:t>
      </w:r>
      <w:r>
        <w:rPr>
          <w:spacing w:val="-5"/>
          <w:sz w:val="24"/>
        </w:rPr>
        <w:t> </w:t>
      </w:r>
      <w:r>
        <w:rPr>
          <w:sz w:val="24"/>
        </w:rPr>
        <w:t>in accordance with the APA.</w:t>
      </w:r>
    </w:p>
    <w:p>
      <w:pPr>
        <w:pStyle w:val="ListParagraph"/>
        <w:numPr>
          <w:ilvl w:val="1"/>
          <w:numId w:val="51"/>
        </w:numPr>
        <w:tabs>
          <w:tab w:pos="1218" w:val="left" w:leader="none"/>
        </w:tabs>
        <w:spacing w:line="208" w:lineRule="auto" w:before="239" w:after="0"/>
        <w:ind w:left="792" w:right="1292" w:firstLine="0"/>
        <w:jc w:val="left"/>
        <w:rPr>
          <w:sz w:val="24"/>
        </w:rPr>
      </w:pPr>
      <w:r>
        <w:rPr>
          <w:sz w:val="24"/>
        </w:rPr>
        <w:t>That the public receives proper notice of the Department's intent to adopt, amend,</w:t>
      </w:r>
      <w:r>
        <w:rPr>
          <w:spacing w:val="-3"/>
          <w:sz w:val="24"/>
        </w:rPr>
        <w:t> </w:t>
      </w:r>
      <w:r>
        <w:rPr>
          <w:sz w:val="24"/>
        </w:rPr>
        <w:t>or</w:t>
      </w:r>
      <w:r>
        <w:rPr>
          <w:spacing w:val="-3"/>
          <w:sz w:val="24"/>
        </w:rPr>
        <w:t> </w:t>
      </w:r>
      <w:r>
        <w:rPr>
          <w:sz w:val="24"/>
        </w:rPr>
        <w:t>revoke</w:t>
      </w:r>
      <w:r>
        <w:rPr>
          <w:spacing w:val="-4"/>
          <w:sz w:val="24"/>
        </w:rPr>
        <w:t> </w:t>
      </w:r>
      <w:r>
        <w:rPr>
          <w:sz w:val="24"/>
        </w:rPr>
        <w:t>rules</w:t>
      </w:r>
      <w:r>
        <w:rPr>
          <w:spacing w:val="-3"/>
          <w:sz w:val="24"/>
        </w:rPr>
        <w:t> </w:t>
      </w:r>
      <w:r>
        <w:rPr>
          <w:sz w:val="24"/>
        </w:rPr>
        <w:t>so</w:t>
      </w:r>
      <w:r>
        <w:rPr>
          <w:spacing w:val="-4"/>
          <w:sz w:val="24"/>
        </w:rPr>
        <w:t> </w:t>
      </w:r>
      <w:r>
        <w:rPr>
          <w:sz w:val="24"/>
        </w:rPr>
        <w:t>that</w:t>
      </w:r>
      <w:r>
        <w:rPr>
          <w:spacing w:val="-5"/>
          <w:sz w:val="24"/>
        </w:rPr>
        <w:t> </w:t>
      </w:r>
      <w:r>
        <w:rPr>
          <w:sz w:val="24"/>
        </w:rPr>
        <w:t>opportunity</w:t>
      </w:r>
      <w:r>
        <w:rPr>
          <w:spacing w:val="-4"/>
          <w:sz w:val="24"/>
        </w:rPr>
        <w:t> </w:t>
      </w:r>
      <w:r>
        <w:rPr>
          <w:sz w:val="24"/>
        </w:rPr>
        <w:t>is</w:t>
      </w:r>
      <w:r>
        <w:rPr>
          <w:spacing w:val="-4"/>
          <w:sz w:val="24"/>
        </w:rPr>
        <w:t> </w:t>
      </w:r>
      <w:r>
        <w:rPr>
          <w:sz w:val="24"/>
        </w:rPr>
        <w:t>provided</w:t>
      </w:r>
      <w:r>
        <w:rPr>
          <w:spacing w:val="-4"/>
          <w:sz w:val="24"/>
        </w:rPr>
        <w:t> </w:t>
      </w:r>
      <w:r>
        <w:rPr>
          <w:sz w:val="24"/>
        </w:rPr>
        <w:t>for</w:t>
      </w:r>
      <w:r>
        <w:rPr>
          <w:spacing w:val="-3"/>
          <w:sz w:val="24"/>
        </w:rPr>
        <w:t> </w:t>
      </w:r>
      <w:r>
        <w:rPr>
          <w:sz w:val="24"/>
        </w:rPr>
        <w:t>public</w:t>
      </w:r>
      <w:r>
        <w:rPr>
          <w:spacing w:val="-4"/>
          <w:sz w:val="24"/>
        </w:rPr>
        <w:t> </w:t>
      </w:r>
      <w:r>
        <w:rPr>
          <w:sz w:val="24"/>
        </w:rPr>
        <w:t>and</w:t>
      </w:r>
      <w:r>
        <w:rPr>
          <w:spacing w:val="-4"/>
          <w:sz w:val="24"/>
        </w:rPr>
        <w:t> </w:t>
      </w:r>
      <w:r>
        <w:rPr>
          <w:sz w:val="24"/>
        </w:rPr>
        <w:t>consumer input during the rulemaking process.</w:t>
      </w:r>
    </w:p>
    <w:p>
      <w:pPr>
        <w:pStyle w:val="ListParagraph"/>
        <w:numPr>
          <w:ilvl w:val="1"/>
          <w:numId w:val="51"/>
        </w:numPr>
        <w:tabs>
          <w:tab w:pos="1217" w:val="left" w:leader="none"/>
        </w:tabs>
        <w:spacing w:line="208" w:lineRule="auto" w:before="240" w:after="0"/>
        <w:ind w:left="792" w:right="773" w:firstLine="0"/>
        <w:jc w:val="left"/>
        <w:rPr>
          <w:sz w:val="24"/>
        </w:rPr>
      </w:pPr>
      <w:r>
        <w:rPr>
          <w:sz w:val="24"/>
        </w:rPr>
        <w:t>Management</w:t>
      </w:r>
      <w:r>
        <w:rPr>
          <w:spacing w:val="-3"/>
          <w:sz w:val="24"/>
        </w:rPr>
        <w:t> </w:t>
      </w:r>
      <w:r>
        <w:rPr>
          <w:sz w:val="24"/>
        </w:rPr>
        <w:t>of</w:t>
      </w:r>
      <w:r>
        <w:rPr>
          <w:spacing w:val="-5"/>
          <w:sz w:val="24"/>
        </w:rPr>
        <w:t> </w:t>
      </w:r>
      <w:r>
        <w:rPr>
          <w:sz w:val="24"/>
        </w:rPr>
        <w:t>the</w:t>
      </w:r>
      <w:r>
        <w:rPr>
          <w:spacing w:val="-4"/>
          <w:sz w:val="24"/>
        </w:rPr>
        <w:t> </w:t>
      </w:r>
      <w:r>
        <w:rPr>
          <w:sz w:val="24"/>
        </w:rPr>
        <w:t>promulgation</w:t>
      </w:r>
      <w:r>
        <w:rPr>
          <w:spacing w:val="-4"/>
          <w:sz w:val="24"/>
        </w:rPr>
        <w:t> </w:t>
      </w:r>
      <w:r>
        <w:rPr>
          <w:sz w:val="24"/>
        </w:rPr>
        <w:t>process</w:t>
      </w:r>
      <w:r>
        <w:rPr>
          <w:spacing w:val="-4"/>
          <w:sz w:val="24"/>
        </w:rPr>
        <w:t> </w:t>
      </w:r>
      <w:r>
        <w:rPr>
          <w:sz w:val="24"/>
        </w:rPr>
        <w:t>for</w:t>
      </w:r>
      <w:r>
        <w:rPr>
          <w:spacing w:val="-5"/>
          <w:sz w:val="24"/>
        </w:rPr>
        <w:t> </w:t>
      </w:r>
      <w:r>
        <w:rPr>
          <w:sz w:val="24"/>
        </w:rPr>
        <w:t>the</w:t>
      </w:r>
      <w:r>
        <w:rPr>
          <w:spacing w:val="-4"/>
          <w:sz w:val="24"/>
        </w:rPr>
        <w:t> </w:t>
      </w:r>
      <w:r>
        <w:rPr>
          <w:sz w:val="24"/>
        </w:rPr>
        <w:t>Department</w:t>
      </w:r>
      <w:r>
        <w:rPr>
          <w:spacing w:val="-3"/>
          <w:sz w:val="24"/>
        </w:rPr>
        <w:t> </w:t>
      </w:r>
      <w:r>
        <w:rPr>
          <w:sz w:val="24"/>
        </w:rPr>
        <w:t>in</w:t>
      </w:r>
      <w:r>
        <w:rPr>
          <w:spacing w:val="-4"/>
          <w:sz w:val="24"/>
        </w:rPr>
        <w:t> </w:t>
      </w:r>
      <w:r>
        <w:rPr>
          <w:sz w:val="24"/>
        </w:rPr>
        <w:t>an</w:t>
      </w:r>
      <w:r>
        <w:rPr>
          <w:spacing w:val="-4"/>
          <w:sz w:val="24"/>
        </w:rPr>
        <w:t> </w:t>
      </w:r>
      <w:r>
        <w:rPr>
          <w:sz w:val="24"/>
        </w:rPr>
        <w:t>efficient</w:t>
      </w:r>
      <w:r>
        <w:rPr>
          <w:spacing w:val="-3"/>
          <w:sz w:val="24"/>
        </w:rPr>
        <w:t> </w:t>
      </w:r>
      <w:r>
        <w:rPr>
          <w:sz w:val="24"/>
        </w:rPr>
        <w:t>and effective manner that complies with the APA.</w:t>
      </w:r>
    </w:p>
    <w:p>
      <w:pPr>
        <w:pStyle w:val="ListParagraph"/>
        <w:numPr>
          <w:ilvl w:val="1"/>
          <w:numId w:val="51"/>
        </w:numPr>
        <w:tabs>
          <w:tab w:pos="1152" w:val="left" w:leader="none"/>
        </w:tabs>
        <w:spacing w:line="208" w:lineRule="auto" w:before="240" w:after="0"/>
        <w:ind w:left="792" w:right="812" w:firstLine="0"/>
        <w:jc w:val="left"/>
        <w:rPr>
          <w:sz w:val="24"/>
        </w:rPr>
      </w:pPr>
      <w:r>
        <w:rPr>
          <w:sz w:val="24"/>
        </w:rPr>
        <w:t>The Project Coordinator of the Policy Administration and Development Section or designee, shall serve as the Department's liaison to the Office of Administrative Rules</w:t>
      </w:r>
      <w:r>
        <w:rPr>
          <w:spacing w:val="-3"/>
          <w:sz w:val="24"/>
        </w:rPr>
        <w:t> </w:t>
      </w:r>
      <w:r>
        <w:rPr>
          <w:sz w:val="24"/>
        </w:rPr>
        <w:t>in</w:t>
      </w:r>
      <w:r>
        <w:rPr>
          <w:spacing w:val="-3"/>
          <w:sz w:val="24"/>
        </w:rPr>
        <w:t> </w:t>
      </w:r>
      <w:r>
        <w:rPr>
          <w:sz w:val="24"/>
        </w:rPr>
        <w:t>the</w:t>
      </w:r>
      <w:r>
        <w:rPr>
          <w:spacing w:val="-3"/>
          <w:sz w:val="24"/>
        </w:rPr>
        <w:t> </w:t>
      </w:r>
      <w:r>
        <w:rPr>
          <w:sz w:val="24"/>
        </w:rPr>
        <w:t>Office</w:t>
      </w:r>
      <w:r>
        <w:rPr>
          <w:spacing w:val="-3"/>
          <w:sz w:val="24"/>
        </w:rPr>
        <w:t> </w:t>
      </w:r>
      <w:r>
        <w:rPr>
          <w:sz w:val="24"/>
        </w:rPr>
        <w:t>of</w:t>
      </w:r>
      <w:r>
        <w:rPr>
          <w:spacing w:val="-2"/>
          <w:sz w:val="24"/>
        </w:rPr>
        <w:t> </w:t>
      </w:r>
      <w:r>
        <w:rPr>
          <w:sz w:val="24"/>
        </w:rPr>
        <w:t>the</w:t>
      </w:r>
      <w:r>
        <w:rPr>
          <w:spacing w:val="-3"/>
          <w:sz w:val="24"/>
        </w:rPr>
        <w:t> </w:t>
      </w:r>
      <w:r>
        <w:rPr>
          <w:sz w:val="24"/>
        </w:rPr>
        <w:t>Secretary</w:t>
      </w:r>
      <w:r>
        <w:rPr>
          <w:spacing w:val="-3"/>
          <w:sz w:val="24"/>
        </w:rPr>
        <w:t> </w:t>
      </w:r>
      <w:r>
        <w:rPr>
          <w:sz w:val="24"/>
        </w:rPr>
        <w:t>of</w:t>
      </w:r>
      <w:r>
        <w:rPr>
          <w:spacing w:val="-2"/>
          <w:sz w:val="24"/>
        </w:rPr>
        <w:t> </w:t>
      </w:r>
      <w:r>
        <w:rPr>
          <w:sz w:val="24"/>
        </w:rPr>
        <w:t>State.</w:t>
      </w:r>
      <w:r>
        <w:rPr>
          <w:spacing w:val="-4"/>
          <w:sz w:val="24"/>
        </w:rPr>
        <w:t> </w:t>
      </w:r>
      <w:r>
        <w:rPr>
          <w:sz w:val="24"/>
        </w:rPr>
        <w:t>The</w:t>
      </w:r>
      <w:r>
        <w:rPr>
          <w:spacing w:val="-3"/>
          <w:sz w:val="24"/>
        </w:rPr>
        <w:t> </w:t>
      </w:r>
      <w:r>
        <w:rPr>
          <w:sz w:val="24"/>
        </w:rPr>
        <w:t>administrator</w:t>
      </w:r>
      <w:r>
        <w:rPr>
          <w:spacing w:val="-4"/>
          <w:sz w:val="24"/>
        </w:rPr>
        <w:t> </w:t>
      </w:r>
      <w:r>
        <w:rPr>
          <w:sz w:val="24"/>
        </w:rPr>
        <w:t>will</w:t>
      </w:r>
      <w:r>
        <w:rPr>
          <w:spacing w:val="-2"/>
          <w:sz w:val="24"/>
        </w:rPr>
        <w:t> </w:t>
      </w:r>
      <w:r>
        <w:rPr>
          <w:sz w:val="24"/>
        </w:rPr>
        <w:t>also</w:t>
      </w:r>
      <w:r>
        <w:rPr>
          <w:spacing w:val="-3"/>
          <w:sz w:val="24"/>
        </w:rPr>
        <w:t> </w:t>
      </w:r>
      <w:r>
        <w:rPr>
          <w:sz w:val="24"/>
        </w:rPr>
        <w:t>designate</w:t>
      </w:r>
      <w:r>
        <w:rPr>
          <w:spacing w:val="-3"/>
          <w:sz w:val="24"/>
        </w:rPr>
        <w:t> </w:t>
      </w:r>
      <w:r>
        <w:rPr>
          <w:sz w:val="24"/>
        </w:rPr>
        <w:t>a staff member to act in the capacity of back-up liaison.</w:t>
      </w:r>
    </w:p>
    <w:p>
      <w:pPr>
        <w:pStyle w:val="ListParagraph"/>
        <w:numPr>
          <w:ilvl w:val="1"/>
          <w:numId w:val="51"/>
        </w:numPr>
        <w:tabs>
          <w:tab w:pos="1218" w:val="left" w:leader="none"/>
        </w:tabs>
        <w:spacing w:line="208" w:lineRule="auto" w:before="240" w:after="0"/>
        <w:ind w:left="792" w:right="761" w:firstLine="0"/>
        <w:jc w:val="left"/>
        <w:rPr>
          <w:sz w:val="24"/>
        </w:rPr>
      </w:pPr>
      <w:r>
        <w:rPr>
          <w:sz w:val="24"/>
        </w:rPr>
        <w:t>The Project Coordinator of the Policy Administration and Development Section or designee, shall also serve as the attestation officer, as delegated by the Oklahoma</w:t>
      </w:r>
      <w:r>
        <w:rPr>
          <w:spacing w:val="-4"/>
          <w:sz w:val="24"/>
        </w:rPr>
        <w:t> </w:t>
      </w:r>
      <w:r>
        <w:rPr>
          <w:sz w:val="24"/>
        </w:rPr>
        <w:t>Commission</w:t>
      </w:r>
      <w:r>
        <w:rPr>
          <w:spacing w:val="-4"/>
          <w:sz w:val="24"/>
        </w:rPr>
        <w:t> </w:t>
      </w:r>
      <w:r>
        <w:rPr>
          <w:sz w:val="24"/>
        </w:rPr>
        <w:t>for</w:t>
      </w:r>
      <w:r>
        <w:rPr>
          <w:spacing w:val="-3"/>
          <w:sz w:val="24"/>
        </w:rPr>
        <w:t> </w:t>
      </w:r>
      <w:r>
        <w:rPr>
          <w:sz w:val="24"/>
        </w:rPr>
        <w:t>Rehabilitation</w:t>
      </w:r>
      <w:r>
        <w:rPr>
          <w:spacing w:val="-4"/>
          <w:sz w:val="24"/>
        </w:rPr>
        <w:t> </w:t>
      </w:r>
      <w:r>
        <w:rPr>
          <w:sz w:val="24"/>
        </w:rPr>
        <w:t>Services,</w:t>
      </w:r>
      <w:r>
        <w:rPr>
          <w:spacing w:val="-3"/>
          <w:sz w:val="24"/>
        </w:rPr>
        <w:t> </w:t>
      </w:r>
      <w:r>
        <w:rPr>
          <w:sz w:val="24"/>
        </w:rPr>
        <w:t>for</w:t>
      </w:r>
      <w:r>
        <w:rPr>
          <w:spacing w:val="-5"/>
          <w:sz w:val="24"/>
        </w:rPr>
        <w:t> </w:t>
      </w:r>
      <w:r>
        <w:rPr>
          <w:sz w:val="24"/>
        </w:rPr>
        <w:t>purposes</w:t>
      </w:r>
      <w:r>
        <w:rPr>
          <w:spacing w:val="-4"/>
          <w:sz w:val="24"/>
        </w:rPr>
        <w:t> </w:t>
      </w:r>
      <w:r>
        <w:rPr>
          <w:sz w:val="24"/>
        </w:rPr>
        <w:t>of</w:t>
      </w:r>
      <w:r>
        <w:rPr>
          <w:spacing w:val="-3"/>
          <w:sz w:val="24"/>
        </w:rPr>
        <w:t> </w:t>
      </w:r>
      <w:r>
        <w:rPr>
          <w:sz w:val="24"/>
        </w:rPr>
        <w:t>75</w:t>
      </w:r>
      <w:r>
        <w:rPr>
          <w:spacing w:val="-4"/>
          <w:sz w:val="24"/>
        </w:rPr>
        <w:t> </w:t>
      </w:r>
      <w:r>
        <w:rPr>
          <w:sz w:val="24"/>
        </w:rPr>
        <w:t>O.S.,</w:t>
      </w:r>
      <w:r>
        <w:rPr>
          <w:spacing w:val="-5"/>
          <w:sz w:val="24"/>
        </w:rPr>
        <w:t> </w:t>
      </w:r>
      <w:r>
        <w:rPr>
          <w:sz w:val="24"/>
        </w:rPr>
        <w:t>Section</w:t>
      </w:r>
    </w:p>
    <w:p>
      <w:pPr>
        <w:pStyle w:val="BodyText"/>
        <w:spacing w:line="208" w:lineRule="auto" w:before="0"/>
        <w:ind w:left="792" w:right="1042"/>
      </w:pPr>
      <w:r>
        <w:rPr/>
        <w:t>254.</w:t>
      </w:r>
      <w:r>
        <w:rPr>
          <w:spacing w:val="-2"/>
        </w:rPr>
        <w:t> </w:t>
      </w:r>
      <w:r>
        <w:rPr/>
        <w:t>The</w:t>
      </w:r>
      <w:r>
        <w:rPr>
          <w:spacing w:val="-3"/>
        </w:rPr>
        <w:t> </w:t>
      </w:r>
      <w:r>
        <w:rPr/>
        <w:t>administrator</w:t>
      </w:r>
      <w:r>
        <w:rPr>
          <w:spacing w:val="-2"/>
        </w:rPr>
        <w:t> </w:t>
      </w:r>
      <w:r>
        <w:rPr/>
        <w:t>will</w:t>
      </w:r>
      <w:r>
        <w:rPr>
          <w:spacing w:val="-3"/>
        </w:rPr>
        <w:t> </w:t>
      </w:r>
      <w:r>
        <w:rPr/>
        <w:t>also</w:t>
      </w:r>
      <w:r>
        <w:rPr>
          <w:spacing w:val="-3"/>
        </w:rPr>
        <w:t> </w:t>
      </w:r>
      <w:r>
        <w:rPr/>
        <w:t>designate</w:t>
      </w:r>
      <w:r>
        <w:rPr>
          <w:spacing w:val="-3"/>
        </w:rPr>
        <w:t> </w:t>
      </w:r>
      <w:r>
        <w:rPr/>
        <w:t>a</w:t>
      </w:r>
      <w:r>
        <w:rPr>
          <w:spacing w:val="-3"/>
        </w:rPr>
        <w:t> </w:t>
      </w:r>
      <w:r>
        <w:rPr/>
        <w:t>staff</w:t>
      </w:r>
      <w:r>
        <w:rPr>
          <w:spacing w:val="-4"/>
        </w:rPr>
        <w:t> </w:t>
      </w:r>
      <w:r>
        <w:rPr/>
        <w:t>member</w:t>
      </w:r>
      <w:r>
        <w:rPr>
          <w:spacing w:val="-2"/>
        </w:rPr>
        <w:t> </w:t>
      </w:r>
      <w:r>
        <w:rPr/>
        <w:t>to</w:t>
      </w:r>
      <w:r>
        <w:rPr>
          <w:spacing w:val="-3"/>
        </w:rPr>
        <w:t> </w:t>
      </w:r>
      <w:r>
        <w:rPr/>
        <w:t>act</w:t>
      </w:r>
      <w:r>
        <w:rPr>
          <w:spacing w:val="-4"/>
        </w:rPr>
        <w:t> </w:t>
      </w:r>
      <w:r>
        <w:rPr/>
        <w:t>in</w:t>
      </w:r>
      <w:r>
        <w:rPr>
          <w:spacing w:val="-4"/>
        </w:rPr>
        <w:t> </w:t>
      </w:r>
      <w:r>
        <w:rPr/>
        <w:t>the</w:t>
      </w:r>
      <w:r>
        <w:rPr>
          <w:spacing w:val="-3"/>
        </w:rPr>
        <w:t> </w:t>
      </w:r>
      <w:r>
        <w:rPr/>
        <w:t>capacity</w:t>
      </w:r>
      <w:r>
        <w:rPr>
          <w:spacing w:val="-3"/>
        </w:rPr>
        <w:t> </w:t>
      </w:r>
      <w:r>
        <w:rPr/>
        <w:t>of back-up attestation officer.</w:t>
      </w:r>
    </w:p>
    <w:p>
      <w:pPr>
        <w:pStyle w:val="ListParagraph"/>
        <w:numPr>
          <w:ilvl w:val="0"/>
          <w:numId w:val="51"/>
        </w:numPr>
        <w:tabs>
          <w:tab w:pos="786" w:val="left" w:leader="none"/>
        </w:tabs>
        <w:spacing w:line="208" w:lineRule="auto" w:before="239" w:after="0"/>
        <w:ind w:left="360" w:right="1178" w:firstLine="0"/>
        <w:jc w:val="left"/>
        <w:rPr>
          <w:sz w:val="24"/>
        </w:rPr>
      </w:pPr>
      <w:r>
        <w:rPr>
          <w:b/>
          <w:sz w:val="24"/>
        </w:rPr>
        <w:t>Drafting of New or Revised Rules.</w:t>
      </w:r>
      <w:r>
        <w:rPr>
          <w:b/>
          <w:spacing w:val="40"/>
          <w:sz w:val="24"/>
        </w:rPr>
        <w:t> </w:t>
      </w:r>
      <w:r>
        <w:rPr>
          <w:sz w:val="24"/>
        </w:rPr>
        <w:t>In compliance with the Administrative Procedures</w:t>
      </w:r>
      <w:r>
        <w:rPr>
          <w:spacing w:val="-3"/>
          <w:sz w:val="24"/>
        </w:rPr>
        <w:t> </w:t>
      </w:r>
      <w:r>
        <w:rPr>
          <w:sz w:val="24"/>
        </w:rPr>
        <w:t>Act,</w:t>
      </w:r>
      <w:r>
        <w:rPr>
          <w:spacing w:val="-3"/>
          <w:sz w:val="24"/>
        </w:rPr>
        <w:t> </w:t>
      </w:r>
      <w:r>
        <w:rPr>
          <w:sz w:val="24"/>
        </w:rPr>
        <w:t>new</w:t>
      </w:r>
      <w:r>
        <w:rPr>
          <w:spacing w:val="-3"/>
          <w:sz w:val="24"/>
        </w:rPr>
        <w:t> </w:t>
      </w:r>
      <w:r>
        <w:rPr>
          <w:sz w:val="24"/>
        </w:rPr>
        <w:t>rules</w:t>
      </w:r>
      <w:r>
        <w:rPr>
          <w:spacing w:val="-4"/>
          <w:sz w:val="24"/>
        </w:rPr>
        <w:t> </w:t>
      </w:r>
      <w:r>
        <w:rPr>
          <w:sz w:val="24"/>
        </w:rPr>
        <w:t>may</w:t>
      </w:r>
      <w:r>
        <w:rPr>
          <w:spacing w:val="-3"/>
          <w:sz w:val="24"/>
        </w:rPr>
        <w:t> </w:t>
      </w:r>
      <w:r>
        <w:rPr>
          <w:sz w:val="24"/>
        </w:rPr>
        <w:t>be</w:t>
      </w:r>
      <w:r>
        <w:rPr>
          <w:spacing w:val="-4"/>
          <w:sz w:val="24"/>
        </w:rPr>
        <w:t> </w:t>
      </w:r>
      <w:r>
        <w:rPr>
          <w:sz w:val="24"/>
        </w:rPr>
        <w:t>developed</w:t>
      </w:r>
      <w:r>
        <w:rPr>
          <w:spacing w:val="-3"/>
          <w:sz w:val="24"/>
        </w:rPr>
        <w:t> </w:t>
      </w:r>
      <w:r>
        <w:rPr>
          <w:sz w:val="24"/>
        </w:rPr>
        <w:t>or</w:t>
      </w:r>
      <w:r>
        <w:rPr>
          <w:spacing w:val="-3"/>
          <w:sz w:val="24"/>
        </w:rPr>
        <w:t> </w:t>
      </w:r>
      <w:r>
        <w:rPr>
          <w:sz w:val="24"/>
        </w:rPr>
        <w:t>an</w:t>
      </w:r>
      <w:r>
        <w:rPr>
          <w:spacing w:val="-3"/>
          <w:sz w:val="24"/>
        </w:rPr>
        <w:t> </w:t>
      </w:r>
      <w:r>
        <w:rPr>
          <w:sz w:val="24"/>
        </w:rPr>
        <w:t>existing</w:t>
      </w:r>
      <w:r>
        <w:rPr>
          <w:spacing w:val="-4"/>
          <w:sz w:val="24"/>
        </w:rPr>
        <w:t> </w:t>
      </w:r>
      <w:r>
        <w:rPr>
          <w:sz w:val="24"/>
        </w:rPr>
        <w:t>rule</w:t>
      </w:r>
      <w:r>
        <w:rPr>
          <w:spacing w:val="-3"/>
          <w:sz w:val="24"/>
        </w:rPr>
        <w:t> </w:t>
      </w:r>
      <w:r>
        <w:rPr>
          <w:sz w:val="24"/>
        </w:rPr>
        <w:t>revised</w:t>
      </w:r>
      <w:r>
        <w:rPr>
          <w:spacing w:val="-4"/>
          <w:sz w:val="24"/>
        </w:rPr>
        <w:t> </w:t>
      </w:r>
      <w:r>
        <w:rPr>
          <w:sz w:val="24"/>
        </w:rPr>
        <w:t>utilizing</w:t>
      </w:r>
      <w:r>
        <w:rPr>
          <w:spacing w:val="-3"/>
          <w:sz w:val="24"/>
        </w:rPr>
        <w:t> </w:t>
      </w:r>
      <w:r>
        <w:rPr>
          <w:sz w:val="24"/>
        </w:rPr>
        <w:t>the following procedures:</w:t>
      </w:r>
    </w:p>
    <w:p>
      <w:pPr>
        <w:pStyle w:val="ListParagraph"/>
        <w:spacing w:after="0" w:line="208" w:lineRule="auto"/>
        <w:jc w:val="left"/>
        <w:rPr>
          <w:sz w:val="24"/>
        </w:rPr>
        <w:sectPr>
          <w:pgSz w:w="12240" w:h="15840"/>
          <w:pgMar w:top="1340" w:bottom="280" w:left="1080" w:right="720"/>
        </w:sectPr>
      </w:pPr>
    </w:p>
    <w:p>
      <w:pPr>
        <w:pStyle w:val="ListParagraph"/>
        <w:numPr>
          <w:ilvl w:val="1"/>
          <w:numId w:val="51"/>
        </w:numPr>
        <w:tabs>
          <w:tab w:pos="1217" w:val="left" w:leader="none"/>
        </w:tabs>
        <w:spacing w:line="208" w:lineRule="auto" w:before="96" w:after="0"/>
        <w:ind w:left="791" w:right="945" w:firstLine="0"/>
        <w:jc w:val="left"/>
        <w:rPr>
          <w:sz w:val="24"/>
        </w:rPr>
      </w:pPr>
      <w:r>
        <w:rPr>
          <w:sz w:val="24"/>
        </w:rPr>
        <w:t>Each</w:t>
      </w:r>
      <w:r>
        <w:rPr>
          <w:spacing w:val="-2"/>
          <w:sz w:val="24"/>
        </w:rPr>
        <w:t> </w:t>
      </w:r>
      <w:r>
        <w:rPr>
          <w:sz w:val="24"/>
        </w:rPr>
        <w:t>Division</w:t>
      </w:r>
      <w:r>
        <w:rPr>
          <w:spacing w:val="-2"/>
          <w:sz w:val="24"/>
        </w:rPr>
        <w:t> </w:t>
      </w:r>
      <w:r>
        <w:rPr>
          <w:sz w:val="24"/>
        </w:rPr>
        <w:t>Administrator,</w:t>
      </w:r>
      <w:r>
        <w:rPr>
          <w:spacing w:val="-1"/>
          <w:sz w:val="24"/>
        </w:rPr>
        <w:t> </w:t>
      </w:r>
      <w:r>
        <w:rPr>
          <w:sz w:val="24"/>
        </w:rPr>
        <w:t>Unit</w:t>
      </w:r>
      <w:r>
        <w:rPr>
          <w:spacing w:val="-1"/>
          <w:sz w:val="24"/>
        </w:rPr>
        <w:t> </w:t>
      </w:r>
      <w:r>
        <w:rPr>
          <w:sz w:val="24"/>
        </w:rPr>
        <w:t>Administrator,</w:t>
      </w:r>
      <w:r>
        <w:rPr>
          <w:spacing w:val="-1"/>
          <w:sz w:val="24"/>
        </w:rPr>
        <w:t> </w:t>
      </w:r>
      <w:r>
        <w:rPr>
          <w:sz w:val="24"/>
        </w:rPr>
        <w:t>and</w:t>
      </w:r>
      <w:r>
        <w:rPr>
          <w:spacing w:val="-3"/>
          <w:sz w:val="24"/>
        </w:rPr>
        <w:t> </w:t>
      </w:r>
      <w:r>
        <w:rPr>
          <w:sz w:val="24"/>
        </w:rPr>
        <w:t>School</w:t>
      </w:r>
      <w:r>
        <w:rPr>
          <w:spacing w:val="-2"/>
          <w:sz w:val="24"/>
        </w:rPr>
        <w:t> </w:t>
      </w:r>
      <w:r>
        <w:rPr>
          <w:sz w:val="24"/>
        </w:rPr>
        <w:t>Superintendent is responsible</w:t>
      </w:r>
      <w:r>
        <w:rPr>
          <w:spacing w:val="-3"/>
          <w:sz w:val="24"/>
        </w:rPr>
        <w:t> </w:t>
      </w:r>
      <w:r>
        <w:rPr>
          <w:sz w:val="24"/>
        </w:rPr>
        <w:t>for</w:t>
      </w:r>
      <w:r>
        <w:rPr>
          <w:spacing w:val="-3"/>
          <w:sz w:val="24"/>
        </w:rPr>
        <w:t> </w:t>
      </w:r>
      <w:r>
        <w:rPr>
          <w:sz w:val="24"/>
        </w:rPr>
        <w:t>ensuring</w:t>
      </w:r>
      <w:r>
        <w:rPr>
          <w:spacing w:val="-4"/>
          <w:sz w:val="24"/>
        </w:rPr>
        <w:t> </w:t>
      </w:r>
      <w:r>
        <w:rPr>
          <w:sz w:val="24"/>
        </w:rPr>
        <w:t>that</w:t>
      </w:r>
      <w:r>
        <w:rPr>
          <w:spacing w:val="-3"/>
          <w:sz w:val="24"/>
        </w:rPr>
        <w:t> </w:t>
      </w:r>
      <w:r>
        <w:rPr>
          <w:sz w:val="24"/>
        </w:rPr>
        <w:t>Departmental</w:t>
      </w:r>
      <w:r>
        <w:rPr>
          <w:spacing w:val="-4"/>
          <w:sz w:val="24"/>
        </w:rPr>
        <w:t> </w:t>
      </w:r>
      <w:r>
        <w:rPr>
          <w:sz w:val="24"/>
        </w:rPr>
        <w:t>rules</w:t>
      </w:r>
      <w:r>
        <w:rPr>
          <w:spacing w:val="-4"/>
          <w:sz w:val="24"/>
        </w:rPr>
        <w:t> </w:t>
      </w:r>
      <w:r>
        <w:rPr>
          <w:sz w:val="24"/>
        </w:rPr>
        <w:t>for</w:t>
      </w:r>
      <w:r>
        <w:rPr>
          <w:spacing w:val="-3"/>
          <w:sz w:val="24"/>
        </w:rPr>
        <w:t> </w:t>
      </w:r>
      <w:r>
        <w:rPr>
          <w:sz w:val="24"/>
        </w:rPr>
        <w:t>his</w:t>
      </w:r>
      <w:r>
        <w:rPr>
          <w:spacing w:val="-4"/>
          <w:sz w:val="24"/>
        </w:rPr>
        <w:t> </w:t>
      </w:r>
      <w:r>
        <w:rPr>
          <w:sz w:val="24"/>
        </w:rPr>
        <w:t>or</w:t>
      </w:r>
      <w:r>
        <w:rPr>
          <w:spacing w:val="-3"/>
          <w:sz w:val="24"/>
        </w:rPr>
        <w:t> </w:t>
      </w:r>
      <w:r>
        <w:rPr>
          <w:sz w:val="24"/>
        </w:rPr>
        <w:t>her</w:t>
      </w:r>
      <w:r>
        <w:rPr>
          <w:spacing w:val="-3"/>
          <w:sz w:val="24"/>
        </w:rPr>
        <w:t> </w:t>
      </w:r>
      <w:r>
        <w:rPr>
          <w:sz w:val="24"/>
        </w:rPr>
        <w:t>program</w:t>
      </w:r>
      <w:r>
        <w:rPr>
          <w:spacing w:val="-3"/>
          <w:sz w:val="24"/>
        </w:rPr>
        <w:t> </w:t>
      </w:r>
      <w:r>
        <w:rPr>
          <w:sz w:val="24"/>
        </w:rPr>
        <w:t>conform</w:t>
      </w:r>
      <w:r>
        <w:rPr>
          <w:spacing w:val="-3"/>
          <w:sz w:val="24"/>
        </w:rPr>
        <w:t> </w:t>
      </w:r>
      <w:r>
        <w:rPr>
          <w:sz w:val="24"/>
        </w:rPr>
        <w:t>to the requirements of applicable statutes and regulations, and are effective in achieving their program's mission.</w:t>
      </w:r>
    </w:p>
    <w:p>
      <w:pPr>
        <w:pStyle w:val="ListParagraph"/>
        <w:numPr>
          <w:ilvl w:val="1"/>
          <w:numId w:val="51"/>
        </w:numPr>
        <w:tabs>
          <w:tab w:pos="1216" w:val="left" w:leader="none"/>
        </w:tabs>
        <w:spacing w:line="208" w:lineRule="auto" w:before="239" w:after="0"/>
        <w:ind w:left="791" w:right="894" w:firstLine="0"/>
        <w:jc w:val="left"/>
        <w:rPr>
          <w:sz w:val="24"/>
        </w:rPr>
      </w:pPr>
      <w:r>
        <w:rPr>
          <w:sz w:val="24"/>
        </w:rPr>
        <w:t>When</w:t>
      </w:r>
      <w:r>
        <w:rPr>
          <w:spacing w:val="-3"/>
          <w:sz w:val="24"/>
        </w:rPr>
        <w:t> </w:t>
      </w:r>
      <w:r>
        <w:rPr>
          <w:sz w:val="24"/>
        </w:rPr>
        <w:t>a</w:t>
      </w:r>
      <w:r>
        <w:rPr>
          <w:spacing w:val="-3"/>
          <w:sz w:val="24"/>
        </w:rPr>
        <w:t> </w:t>
      </w:r>
      <w:r>
        <w:rPr>
          <w:sz w:val="24"/>
        </w:rPr>
        <w:t>program</w:t>
      </w:r>
      <w:r>
        <w:rPr>
          <w:spacing w:val="-4"/>
          <w:sz w:val="24"/>
        </w:rPr>
        <w:t> </w:t>
      </w:r>
      <w:r>
        <w:rPr>
          <w:sz w:val="24"/>
        </w:rPr>
        <w:t>administrator,</w:t>
      </w:r>
      <w:r>
        <w:rPr>
          <w:spacing w:val="-2"/>
          <w:sz w:val="24"/>
        </w:rPr>
        <w:t> </w:t>
      </w:r>
      <w:r>
        <w:rPr>
          <w:sz w:val="24"/>
        </w:rPr>
        <w:t>or</w:t>
      </w:r>
      <w:r>
        <w:rPr>
          <w:spacing w:val="-4"/>
          <w:sz w:val="24"/>
        </w:rPr>
        <w:t> </w:t>
      </w:r>
      <w:r>
        <w:rPr>
          <w:sz w:val="24"/>
        </w:rPr>
        <w:t>the</w:t>
      </w:r>
      <w:r>
        <w:rPr>
          <w:spacing w:val="-3"/>
          <w:sz w:val="24"/>
        </w:rPr>
        <w:t> </w:t>
      </w:r>
      <w:r>
        <w:rPr>
          <w:sz w:val="24"/>
        </w:rPr>
        <w:t>Director,</w:t>
      </w:r>
      <w:r>
        <w:rPr>
          <w:spacing w:val="-2"/>
          <w:sz w:val="24"/>
        </w:rPr>
        <w:t> </w:t>
      </w:r>
      <w:r>
        <w:rPr>
          <w:sz w:val="24"/>
        </w:rPr>
        <w:t>decides</w:t>
      </w:r>
      <w:r>
        <w:rPr>
          <w:spacing w:val="-3"/>
          <w:sz w:val="24"/>
        </w:rPr>
        <w:t> </w:t>
      </w:r>
      <w:r>
        <w:rPr>
          <w:sz w:val="24"/>
        </w:rPr>
        <w:t>there</w:t>
      </w:r>
      <w:r>
        <w:rPr>
          <w:spacing w:val="-3"/>
          <w:sz w:val="24"/>
        </w:rPr>
        <w:t> </w:t>
      </w:r>
      <w:r>
        <w:rPr>
          <w:sz w:val="24"/>
        </w:rPr>
        <w:t>is</w:t>
      </w:r>
      <w:r>
        <w:rPr>
          <w:spacing w:val="-3"/>
          <w:sz w:val="24"/>
        </w:rPr>
        <w:t> </w:t>
      </w:r>
      <w:r>
        <w:rPr>
          <w:sz w:val="24"/>
        </w:rPr>
        <w:t>a</w:t>
      </w:r>
      <w:r>
        <w:rPr>
          <w:spacing w:val="-3"/>
          <w:sz w:val="24"/>
        </w:rPr>
        <w:t> </w:t>
      </w:r>
      <w:r>
        <w:rPr>
          <w:sz w:val="24"/>
        </w:rPr>
        <w:t>need</w:t>
      </w:r>
      <w:r>
        <w:rPr>
          <w:spacing w:val="-3"/>
          <w:sz w:val="24"/>
        </w:rPr>
        <w:t> </w:t>
      </w:r>
      <w:r>
        <w:rPr>
          <w:sz w:val="24"/>
        </w:rPr>
        <w:t>to</w:t>
      </w:r>
      <w:r>
        <w:rPr>
          <w:spacing w:val="-3"/>
          <w:sz w:val="24"/>
        </w:rPr>
        <w:t> </w:t>
      </w:r>
      <w:r>
        <w:rPr>
          <w:sz w:val="24"/>
        </w:rPr>
        <w:t>draft a new rule, or to amend an existing rule,</w:t>
      </w:r>
    </w:p>
    <w:p>
      <w:pPr>
        <w:pStyle w:val="ListParagraph"/>
        <w:numPr>
          <w:ilvl w:val="2"/>
          <w:numId w:val="51"/>
        </w:numPr>
        <w:tabs>
          <w:tab w:pos="1676" w:val="left" w:leader="none"/>
        </w:tabs>
        <w:spacing w:line="208" w:lineRule="auto" w:before="240" w:after="0"/>
        <w:ind w:left="1223" w:right="862" w:firstLine="0"/>
        <w:jc w:val="left"/>
        <w:rPr>
          <w:sz w:val="24"/>
        </w:rPr>
      </w:pPr>
      <w:r>
        <w:rPr>
          <w:sz w:val="24"/>
        </w:rPr>
        <w:t>The program administrator will initiate drafting content through whatever method</w:t>
      </w:r>
      <w:r>
        <w:rPr>
          <w:spacing w:val="-4"/>
          <w:sz w:val="24"/>
        </w:rPr>
        <w:t> </w:t>
      </w:r>
      <w:r>
        <w:rPr>
          <w:sz w:val="24"/>
        </w:rPr>
        <w:t>deemed</w:t>
      </w:r>
      <w:r>
        <w:rPr>
          <w:spacing w:val="-4"/>
          <w:sz w:val="24"/>
        </w:rPr>
        <w:t> </w:t>
      </w:r>
      <w:r>
        <w:rPr>
          <w:sz w:val="24"/>
        </w:rPr>
        <w:t>most</w:t>
      </w:r>
      <w:r>
        <w:rPr>
          <w:spacing w:val="-5"/>
          <w:sz w:val="24"/>
        </w:rPr>
        <w:t> </w:t>
      </w:r>
      <w:r>
        <w:rPr>
          <w:sz w:val="24"/>
        </w:rPr>
        <w:t>effective</w:t>
      </w:r>
      <w:r>
        <w:rPr>
          <w:spacing w:val="-4"/>
          <w:sz w:val="24"/>
        </w:rPr>
        <w:t> </w:t>
      </w:r>
      <w:r>
        <w:rPr>
          <w:sz w:val="24"/>
        </w:rPr>
        <w:t>by</w:t>
      </w:r>
      <w:r>
        <w:rPr>
          <w:spacing w:val="-4"/>
          <w:sz w:val="24"/>
        </w:rPr>
        <w:t> </w:t>
      </w:r>
      <w:r>
        <w:rPr>
          <w:sz w:val="24"/>
        </w:rPr>
        <w:t>the</w:t>
      </w:r>
      <w:r>
        <w:rPr>
          <w:spacing w:val="-4"/>
          <w:sz w:val="24"/>
        </w:rPr>
        <w:t> </w:t>
      </w:r>
      <w:r>
        <w:rPr>
          <w:sz w:val="24"/>
        </w:rPr>
        <w:t>administrator.</w:t>
      </w:r>
      <w:r>
        <w:rPr>
          <w:spacing w:val="40"/>
          <w:sz w:val="24"/>
        </w:rPr>
        <w:t> </w:t>
      </w:r>
      <w:r>
        <w:rPr>
          <w:sz w:val="24"/>
        </w:rPr>
        <w:t>Policy</w:t>
      </w:r>
      <w:r>
        <w:rPr>
          <w:spacing w:val="-4"/>
          <w:sz w:val="24"/>
        </w:rPr>
        <w:t> </w:t>
      </w:r>
      <w:r>
        <w:rPr>
          <w:sz w:val="24"/>
        </w:rPr>
        <w:t>Administration</w:t>
      </w:r>
      <w:r>
        <w:rPr>
          <w:spacing w:val="-4"/>
          <w:sz w:val="24"/>
        </w:rPr>
        <w:t> </w:t>
      </w:r>
      <w:r>
        <w:rPr>
          <w:sz w:val="24"/>
        </w:rPr>
        <w:t>and Development staff are available to provide guidance if requested.</w:t>
      </w:r>
    </w:p>
    <w:p>
      <w:pPr>
        <w:pStyle w:val="ListParagraph"/>
        <w:numPr>
          <w:ilvl w:val="2"/>
          <w:numId w:val="51"/>
        </w:numPr>
        <w:tabs>
          <w:tab w:pos="1676" w:val="left" w:leader="none"/>
        </w:tabs>
        <w:spacing w:line="208" w:lineRule="auto" w:before="240" w:after="0"/>
        <w:ind w:left="1223" w:right="1129" w:firstLine="0"/>
        <w:jc w:val="left"/>
        <w:rPr>
          <w:b/>
          <w:sz w:val="24"/>
        </w:rPr>
      </w:pPr>
      <w:r>
        <w:rPr>
          <w:sz w:val="24"/>
        </w:rPr>
        <w:t>The program administrator will provide to Policy Administration and Development</w:t>
      </w:r>
      <w:r>
        <w:rPr>
          <w:spacing w:val="-3"/>
          <w:sz w:val="24"/>
        </w:rPr>
        <w:t> </w:t>
      </w:r>
      <w:r>
        <w:rPr>
          <w:sz w:val="24"/>
        </w:rPr>
        <w:t>staff</w:t>
      </w:r>
      <w:r>
        <w:rPr>
          <w:spacing w:val="-5"/>
          <w:sz w:val="24"/>
        </w:rPr>
        <w:t> </w:t>
      </w:r>
      <w:r>
        <w:rPr>
          <w:sz w:val="24"/>
        </w:rPr>
        <w:t>the</w:t>
      </w:r>
      <w:r>
        <w:rPr>
          <w:spacing w:val="-5"/>
          <w:sz w:val="24"/>
        </w:rPr>
        <w:t> </w:t>
      </w:r>
      <w:r>
        <w:rPr>
          <w:sz w:val="24"/>
        </w:rPr>
        <w:t>completed</w:t>
      </w:r>
      <w:r>
        <w:rPr>
          <w:spacing w:val="-4"/>
          <w:sz w:val="24"/>
        </w:rPr>
        <w:t> </w:t>
      </w:r>
      <w:r>
        <w:rPr>
          <w:sz w:val="24"/>
        </w:rPr>
        <w:t>draft</w:t>
      </w:r>
      <w:r>
        <w:rPr>
          <w:spacing w:val="-3"/>
          <w:sz w:val="24"/>
        </w:rPr>
        <w:t> </w:t>
      </w:r>
      <w:r>
        <w:rPr>
          <w:sz w:val="24"/>
        </w:rPr>
        <w:t>content,</w:t>
      </w:r>
      <w:r>
        <w:rPr>
          <w:spacing w:val="-5"/>
          <w:sz w:val="24"/>
        </w:rPr>
        <w:t> </w:t>
      </w:r>
      <w:r>
        <w:rPr>
          <w:sz w:val="24"/>
        </w:rPr>
        <w:t>the</w:t>
      </w:r>
      <w:r>
        <w:rPr>
          <w:spacing w:val="-4"/>
          <w:sz w:val="24"/>
        </w:rPr>
        <w:t> </w:t>
      </w:r>
      <w:r>
        <w:rPr>
          <w:sz w:val="24"/>
        </w:rPr>
        <w:t>reasons</w:t>
      </w:r>
      <w:r>
        <w:rPr>
          <w:spacing w:val="-4"/>
          <w:sz w:val="24"/>
        </w:rPr>
        <w:t> </w:t>
      </w:r>
      <w:r>
        <w:rPr>
          <w:sz w:val="24"/>
        </w:rPr>
        <w:t>for</w:t>
      </w:r>
      <w:r>
        <w:rPr>
          <w:spacing w:val="-3"/>
          <w:sz w:val="24"/>
        </w:rPr>
        <w:t> </w:t>
      </w:r>
      <w:r>
        <w:rPr>
          <w:sz w:val="24"/>
        </w:rPr>
        <w:t>changing</w:t>
      </w:r>
      <w:r>
        <w:rPr>
          <w:spacing w:val="-4"/>
          <w:sz w:val="24"/>
        </w:rPr>
        <w:t> </w:t>
      </w:r>
      <w:r>
        <w:rPr>
          <w:sz w:val="24"/>
        </w:rPr>
        <w:t>the rule and any budgetary impact these changes may incur. </w:t>
      </w:r>
      <w:r>
        <w:rPr>
          <w:b/>
          <w:sz w:val="24"/>
        </w:rPr>
        <w:t>1</w:t>
      </w:r>
    </w:p>
    <w:p>
      <w:pPr>
        <w:pStyle w:val="ListParagraph"/>
        <w:numPr>
          <w:ilvl w:val="2"/>
          <w:numId w:val="51"/>
        </w:numPr>
        <w:tabs>
          <w:tab w:pos="1689" w:val="left" w:leader="none"/>
        </w:tabs>
        <w:spacing w:line="208" w:lineRule="auto" w:before="240" w:after="0"/>
        <w:ind w:left="1223" w:right="796" w:firstLine="0"/>
        <w:jc w:val="both"/>
        <w:rPr>
          <w:sz w:val="24"/>
        </w:rPr>
      </w:pPr>
      <w:r>
        <w:rPr>
          <w:sz w:val="24"/>
        </w:rPr>
        <w:t>Policy Administration and Development staff will format the draft content in accordance with APA standards.</w:t>
      </w:r>
      <w:r>
        <w:rPr>
          <w:spacing w:val="40"/>
          <w:sz w:val="24"/>
        </w:rPr>
        <w:t> </w:t>
      </w:r>
      <w:r>
        <w:rPr>
          <w:sz w:val="24"/>
        </w:rPr>
        <w:t>Once drafted, Policy Section staff will consult with</w:t>
      </w:r>
      <w:r>
        <w:rPr>
          <w:spacing w:val="-5"/>
          <w:sz w:val="24"/>
        </w:rPr>
        <w:t> </w:t>
      </w:r>
      <w:r>
        <w:rPr>
          <w:sz w:val="24"/>
        </w:rPr>
        <w:t>the</w:t>
      </w:r>
      <w:r>
        <w:rPr>
          <w:spacing w:val="-5"/>
          <w:sz w:val="24"/>
        </w:rPr>
        <w:t> </w:t>
      </w:r>
      <w:r>
        <w:rPr>
          <w:sz w:val="24"/>
        </w:rPr>
        <w:t>program</w:t>
      </w:r>
      <w:r>
        <w:rPr>
          <w:spacing w:val="-4"/>
          <w:sz w:val="24"/>
        </w:rPr>
        <w:t> </w:t>
      </w:r>
      <w:r>
        <w:rPr>
          <w:sz w:val="24"/>
        </w:rPr>
        <w:t>administrator</w:t>
      </w:r>
      <w:r>
        <w:rPr>
          <w:spacing w:val="-4"/>
          <w:sz w:val="24"/>
        </w:rPr>
        <w:t> </w:t>
      </w:r>
      <w:r>
        <w:rPr>
          <w:sz w:val="24"/>
        </w:rPr>
        <w:t>concerning</w:t>
      </w:r>
      <w:r>
        <w:rPr>
          <w:spacing w:val="-4"/>
          <w:sz w:val="24"/>
        </w:rPr>
        <w:t> </w:t>
      </w:r>
      <w:r>
        <w:rPr>
          <w:sz w:val="24"/>
        </w:rPr>
        <w:t>any</w:t>
      </w:r>
      <w:r>
        <w:rPr>
          <w:spacing w:val="-5"/>
          <w:sz w:val="24"/>
        </w:rPr>
        <w:t> </w:t>
      </w:r>
      <w:r>
        <w:rPr>
          <w:sz w:val="24"/>
        </w:rPr>
        <w:t>needed</w:t>
      </w:r>
      <w:r>
        <w:rPr>
          <w:spacing w:val="-5"/>
          <w:sz w:val="24"/>
        </w:rPr>
        <w:t> </w:t>
      </w:r>
      <w:r>
        <w:rPr>
          <w:sz w:val="24"/>
        </w:rPr>
        <w:t>revisions</w:t>
      </w:r>
      <w:r>
        <w:rPr>
          <w:spacing w:val="-5"/>
          <w:sz w:val="24"/>
        </w:rPr>
        <w:t> </w:t>
      </w:r>
      <w:r>
        <w:rPr>
          <w:sz w:val="24"/>
        </w:rPr>
        <w:t>and</w:t>
      </w:r>
      <w:r>
        <w:rPr>
          <w:spacing w:val="-5"/>
          <w:sz w:val="24"/>
        </w:rPr>
        <w:t> </w:t>
      </w:r>
      <w:r>
        <w:rPr>
          <w:sz w:val="24"/>
        </w:rPr>
        <w:t>produce</w:t>
      </w:r>
      <w:r>
        <w:rPr>
          <w:spacing w:val="-5"/>
          <w:sz w:val="24"/>
        </w:rPr>
        <w:t> </w:t>
      </w:r>
      <w:r>
        <w:rPr>
          <w:sz w:val="24"/>
        </w:rPr>
        <w:t>a revised draft.</w:t>
      </w:r>
    </w:p>
    <w:p>
      <w:pPr>
        <w:pStyle w:val="ListParagraph"/>
        <w:numPr>
          <w:ilvl w:val="2"/>
          <w:numId w:val="51"/>
        </w:numPr>
        <w:tabs>
          <w:tab w:pos="1690" w:val="left" w:leader="none"/>
        </w:tabs>
        <w:spacing w:line="208" w:lineRule="auto" w:before="239" w:after="0"/>
        <w:ind w:left="1224" w:right="1091" w:firstLine="0"/>
        <w:jc w:val="left"/>
        <w:rPr>
          <w:sz w:val="24"/>
        </w:rPr>
      </w:pPr>
      <w:r>
        <w:rPr>
          <w:sz w:val="24"/>
        </w:rPr>
        <w:t>Revised draft rules will be distributed to Executive Team members for further</w:t>
      </w:r>
      <w:r>
        <w:rPr>
          <w:spacing w:val="-5"/>
          <w:sz w:val="24"/>
        </w:rPr>
        <w:t> </w:t>
      </w:r>
      <w:r>
        <w:rPr>
          <w:sz w:val="24"/>
        </w:rPr>
        <w:t>review</w:t>
      </w:r>
      <w:r>
        <w:rPr>
          <w:spacing w:val="-4"/>
          <w:sz w:val="24"/>
        </w:rPr>
        <w:t> </w:t>
      </w:r>
      <w:r>
        <w:rPr>
          <w:sz w:val="24"/>
        </w:rPr>
        <w:t>and</w:t>
      </w:r>
      <w:r>
        <w:rPr>
          <w:spacing w:val="-4"/>
          <w:sz w:val="24"/>
        </w:rPr>
        <w:t> </w:t>
      </w:r>
      <w:r>
        <w:rPr>
          <w:sz w:val="24"/>
        </w:rPr>
        <w:t>response.</w:t>
      </w:r>
      <w:r>
        <w:rPr>
          <w:spacing w:val="40"/>
          <w:sz w:val="24"/>
        </w:rPr>
        <w:t> </w:t>
      </w:r>
      <w:r>
        <w:rPr>
          <w:sz w:val="24"/>
        </w:rPr>
        <w:t>Comments</w:t>
      </w:r>
      <w:r>
        <w:rPr>
          <w:spacing w:val="-4"/>
          <w:sz w:val="24"/>
        </w:rPr>
        <w:t> </w:t>
      </w:r>
      <w:r>
        <w:rPr>
          <w:sz w:val="24"/>
        </w:rPr>
        <w:t>and</w:t>
      </w:r>
      <w:r>
        <w:rPr>
          <w:spacing w:val="-4"/>
          <w:sz w:val="24"/>
        </w:rPr>
        <w:t> </w:t>
      </w:r>
      <w:r>
        <w:rPr>
          <w:sz w:val="24"/>
        </w:rPr>
        <w:t>suggestions</w:t>
      </w:r>
      <w:r>
        <w:rPr>
          <w:spacing w:val="-4"/>
          <w:sz w:val="24"/>
        </w:rPr>
        <w:t> </w:t>
      </w:r>
      <w:r>
        <w:rPr>
          <w:sz w:val="24"/>
        </w:rPr>
        <w:t>for</w:t>
      </w:r>
      <w:r>
        <w:rPr>
          <w:spacing w:val="-5"/>
          <w:sz w:val="24"/>
        </w:rPr>
        <w:t> </w:t>
      </w:r>
      <w:r>
        <w:rPr>
          <w:sz w:val="24"/>
        </w:rPr>
        <w:t>revision</w:t>
      </w:r>
      <w:r>
        <w:rPr>
          <w:spacing w:val="-4"/>
          <w:sz w:val="24"/>
        </w:rPr>
        <w:t> </w:t>
      </w:r>
      <w:r>
        <w:rPr>
          <w:sz w:val="24"/>
        </w:rPr>
        <w:t>will</w:t>
      </w:r>
      <w:r>
        <w:rPr>
          <w:spacing w:val="-4"/>
          <w:sz w:val="24"/>
        </w:rPr>
        <w:t> </w:t>
      </w:r>
      <w:r>
        <w:rPr>
          <w:sz w:val="24"/>
        </w:rPr>
        <w:t>be provided to the program administrator.</w:t>
      </w:r>
      <w:r>
        <w:rPr>
          <w:spacing w:val="40"/>
          <w:sz w:val="24"/>
        </w:rPr>
        <w:t> </w:t>
      </w:r>
      <w:r>
        <w:rPr>
          <w:sz w:val="24"/>
        </w:rPr>
        <w:t>The program administrator shall consider the comments and suggestions for inclusion and may revise the content again if appropriate.</w:t>
      </w:r>
    </w:p>
    <w:p>
      <w:pPr>
        <w:pStyle w:val="ListParagraph"/>
        <w:numPr>
          <w:ilvl w:val="2"/>
          <w:numId w:val="51"/>
        </w:numPr>
        <w:tabs>
          <w:tab w:pos="1677" w:val="left" w:leader="none"/>
        </w:tabs>
        <w:spacing w:line="208" w:lineRule="auto" w:before="240" w:after="0"/>
        <w:ind w:left="1224" w:right="877" w:firstLine="0"/>
        <w:jc w:val="left"/>
        <w:rPr>
          <w:sz w:val="24"/>
        </w:rPr>
      </w:pPr>
      <w:r>
        <w:rPr>
          <w:sz w:val="24"/>
        </w:rPr>
        <w:t>The</w:t>
      </w:r>
      <w:r>
        <w:rPr>
          <w:spacing w:val="-4"/>
          <w:sz w:val="24"/>
        </w:rPr>
        <w:t> </w:t>
      </w:r>
      <w:r>
        <w:rPr>
          <w:sz w:val="24"/>
        </w:rPr>
        <w:t>program</w:t>
      </w:r>
      <w:r>
        <w:rPr>
          <w:spacing w:val="-3"/>
          <w:sz w:val="24"/>
        </w:rPr>
        <w:t> </w:t>
      </w:r>
      <w:r>
        <w:rPr>
          <w:sz w:val="24"/>
        </w:rPr>
        <w:t>administrator</w:t>
      </w:r>
      <w:r>
        <w:rPr>
          <w:spacing w:val="-3"/>
          <w:sz w:val="24"/>
        </w:rPr>
        <w:t> </w:t>
      </w:r>
      <w:r>
        <w:rPr>
          <w:sz w:val="24"/>
        </w:rPr>
        <w:t>will</w:t>
      </w:r>
      <w:r>
        <w:rPr>
          <w:spacing w:val="-4"/>
          <w:sz w:val="24"/>
        </w:rPr>
        <w:t> </w:t>
      </w:r>
      <w:r>
        <w:rPr>
          <w:sz w:val="24"/>
        </w:rPr>
        <w:t>provide</w:t>
      </w:r>
      <w:r>
        <w:rPr>
          <w:spacing w:val="-4"/>
          <w:sz w:val="24"/>
        </w:rPr>
        <w:t> </w:t>
      </w:r>
      <w:r>
        <w:rPr>
          <w:sz w:val="24"/>
        </w:rPr>
        <w:t>the</w:t>
      </w:r>
      <w:r>
        <w:rPr>
          <w:spacing w:val="-4"/>
          <w:sz w:val="24"/>
        </w:rPr>
        <w:t> </w:t>
      </w:r>
      <w:r>
        <w:rPr>
          <w:sz w:val="24"/>
        </w:rPr>
        <w:t>latest</w:t>
      </w:r>
      <w:r>
        <w:rPr>
          <w:spacing w:val="-3"/>
          <w:sz w:val="24"/>
        </w:rPr>
        <w:t> </w:t>
      </w:r>
      <w:r>
        <w:rPr>
          <w:sz w:val="24"/>
        </w:rPr>
        <w:t>draft</w:t>
      </w:r>
      <w:r>
        <w:rPr>
          <w:spacing w:val="-3"/>
          <w:sz w:val="24"/>
        </w:rPr>
        <w:t> </w:t>
      </w:r>
      <w:r>
        <w:rPr>
          <w:sz w:val="24"/>
        </w:rPr>
        <w:t>version</w:t>
      </w:r>
      <w:r>
        <w:rPr>
          <w:spacing w:val="-4"/>
          <w:sz w:val="24"/>
        </w:rPr>
        <w:t> </w:t>
      </w:r>
      <w:r>
        <w:rPr>
          <w:sz w:val="24"/>
        </w:rPr>
        <w:t>to</w:t>
      </w:r>
      <w:r>
        <w:rPr>
          <w:spacing w:val="-4"/>
          <w:sz w:val="24"/>
        </w:rPr>
        <w:t> </w:t>
      </w:r>
      <w:r>
        <w:rPr>
          <w:sz w:val="24"/>
        </w:rPr>
        <w:t>the</w:t>
      </w:r>
      <w:r>
        <w:rPr>
          <w:spacing w:val="-4"/>
          <w:sz w:val="24"/>
        </w:rPr>
        <w:t> </w:t>
      </w:r>
      <w:r>
        <w:rPr>
          <w:sz w:val="24"/>
        </w:rPr>
        <w:t>Policy Administration and Development Section.</w:t>
      </w:r>
      <w:r>
        <w:rPr>
          <w:spacing w:val="40"/>
          <w:sz w:val="24"/>
        </w:rPr>
        <w:t> </w:t>
      </w:r>
      <w:r>
        <w:rPr>
          <w:sz w:val="24"/>
        </w:rPr>
        <w:t>Policy Administration and Development staff will provide this draft version to agency staff for comment.</w:t>
      </w:r>
    </w:p>
    <w:p>
      <w:pPr>
        <w:pStyle w:val="ListParagraph"/>
        <w:numPr>
          <w:ilvl w:val="2"/>
          <w:numId w:val="51"/>
        </w:numPr>
        <w:tabs>
          <w:tab w:pos="1661" w:val="left" w:leader="none"/>
        </w:tabs>
        <w:spacing w:line="208" w:lineRule="auto" w:before="239" w:after="0"/>
        <w:ind w:left="1223" w:right="1344" w:firstLine="0"/>
        <w:jc w:val="left"/>
        <w:rPr>
          <w:sz w:val="24"/>
        </w:rPr>
      </w:pPr>
      <w:r>
        <w:rPr>
          <w:sz w:val="24"/>
        </w:rPr>
        <w:t>Agency</w:t>
      </w:r>
      <w:r>
        <w:rPr>
          <w:spacing w:val="-3"/>
          <w:sz w:val="24"/>
        </w:rPr>
        <w:t> </w:t>
      </w:r>
      <w:r>
        <w:rPr>
          <w:sz w:val="24"/>
        </w:rPr>
        <w:t>staff</w:t>
      </w:r>
      <w:r>
        <w:rPr>
          <w:spacing w:val="-2"/>
          <w:sz w:val="24"/>
        </w:rPr>
        <w:t> </w:t>
      </w:r>
      <w:r>
        <w:rPr>
          <w:sz w:val="24"/>
        </w:rPr>
        <w:t>shall</w:t>
      </w:r>
      <w:r>
        <w:rPr>
          <w:spacing w:val="-4"/>
          <w:sz w:val="24"/>
        </w:rPr>
        <w:t> </w:t>
      </w:r>
      <w:r>
        <w:rPr>
          <w:sz w:val="24"/>
        </w:rPr>
        <w:t>be</w:t>
      </w:r>
      <w:r>
        <w:rPr>
          <w:spacing w:val="-3"/>
          <w:sz w:val="24"/>
        </w:rPr>
        <w:t> </w:t>
      </w:r>
      <w:r>
        <w:rPr>
          <w:sz w:val="24"/>
        </w:rPr>
        <w:t>notified</w:t>
      </w:r>
      <w:r>
        <w:rPr>
          <w:spacing w:val="-3"/>
          <w:sz w:val="24"/>
        </w:rPr>
        <w:t> </w:t>
      </w:r>
      <w:r>
        <w:rPr>
          <w:sz w:val="24"/>
        </w:rPr>
        <w:t>via</w:t>
      </w:r>
      <w:r>
        <w:rPr>
          <w:spacing w:val="-3"/>
          <w:sz w:val="24"/>
        </w:rPr>
        <w:t> </w:t>
      </w:r>
      <w:r>
        <w:rPr>
          <w:sz w:val="24"/>
        </w:rPr>
        <w:t>e-mail</w:t>
      </w:r>
      <w:r>
        <w:rPr>
          <w:spacing w:val="-3"/>
          <w:sz w:val="24"/>
        </w:rPr>
        <w:t> </w:t>
      </w:r>
      <w:r>
        <w:rPr>
          <w:sz w:val="24"/>
        </w:rPr>
        <w:t>that</w:t>
      </w:r>
      <w:r>
        <w:rPr>
          <w:spacing w:val="-2"/>
          <w:sz w:val="24"/>
        </w:rPr>
        <w:t> </w:t>
      </w:r>
      <w:r>
        <w:rPr>
          <w:sz w:val="24"/>
        </w:rPr>
        <w:t>a</w:t>
      </w:r>
      <w:r>
        <w:rPr>
          <w:spacing w:val="-3"/>
          <w:sz w:val="24"/>
        </w:rPr>
        <w:t> </w:t>
      </w:r>
      <w:r>
        <w:rPr>
          <w:sz w:val="24"/>
        </w:rPr>
        <w:t>draft</w:t>
      </w:r>
      <w:r>
        <w:rPr>
          <w:spacing w:val="-4"/>
          <w:sz w:val="24"/>
        </w:rPr>
        <w:t> </w:t>
      </w:r>
      <w:r>
        <w:rPr>
          <w:sz w:val="24"/>
        </w:rPr>
        <w:t>rule</w:t>
      </w:r>
      <w:r>
        <w:rPr>
          <w:spacing w:val="-3"/>
          <w:sz w:val="24"/>
        </w:rPr>
        <w:t> </w:t>
      </w:r>
      <w:r>
        <w:rPr>
          <w:sz w:val="24"/>
        </w:rPr>
        <w:t>is</w:t>
      </w:r>
      <w:r>
        <w:rPr>
          <w:spacing w:val="-3"/>
          <w:sz w:val="24"/>
        </w:rPr>
        <w:t> </w:t>
      </w:r>
      <w:r>
        <w:rPr>
          <w:sz w:val="24"/>
        </w:rPr>
        <w:t>available</w:t>
      </w:r>
      <w:r>
        <w:rPr>
          <w:spacing w:val="-3"/>
          <w:sz w:val="24"/>
        </w:rPr>
        <w:t> </w:t>
      </w:r>
      <w:r>
        <w:rPr>
          <w:sz w:val="24"/>
        </w:rPr>
        <w:t>for comment.</w:t>
      </w:r>
      <w:r>
        <w:rPr>
          <w:spacing w:val="40"/>
          <w:sz w:val="24"/>
        </w:rPr>
        <w:t> </w:t>
      </w:r>
      <w:r>
        <w:rPr>
          <w:sz w:val="24"/>
        </w:rPr>
        <w:t>The notification will include:</w:t>
      </w:r>
    </w:p>
    <w:p>
      <w:pPr>
        <w:pStyle w:val="ListParagraph"/>
        <w:numPr>
          <w:ilvl w:val="3"/>
          <w:numId w:val="51"/>
        </w:numPr>
        <w:tabs>
          <w:tab w:pos="2000" w:val="left" w:leader="none"/>
        </w:tabs>
        <w:spacing w:line="240" w:lineRule="auto" w:before="211" w:after="0"/>
        <w:ind w:left="2000" w:right="0" w:hanging="345"/>
        <w:jc w:val="left"/>
        <w:rPr>
          <w:sz w:val="24"/>
        </w:rPr>
      </w:pPr>
      <w:r>
        <w:rPr>
          <w:sz w:val="24"/>
        </w:rPr>
        <w:t>Identification</w:t>
      </w:r>
      <w:r>
        <w:rPr>
          <w:spacing w:val="-5"/>
          <w:sz w:val="24"/>
        </w:rPr>
        <w:t> </w:t>
      </w:r>
      <w:r>
        <w:rPr>
          <w:sz w:val="24"/>
        </w:rPr>
        <w:t>and</w:t>
      </w:r>
      <w:r>
        <w:rPr>
          <w:spacing w:val="-3"/>
          <w:sz w:val="24"/>
        </w:rPr>
        <w:t> </w:t>
      </w:r>
      <w:r>
        <w:rPr>
          <w:sz w:val="24"/>
        </w:rPr>
        <w:t>summary</w:t>
      </w:r>
      <w:r>
        <w:rPr>
          <w:spacing w:val="-3"/>
          <w:sz w:val="24"/>
        </w:rPr>
        <w:t> </w:t>
      </w:r>
      <w:r>
        <w:rPr>
          <w:sz w:val="24"/>
        </w:rPr>
        <w:t>of</w:t>
      </w:r>
      <w:r>
        <w:rPr>
          <w:spacing w:val="-4"/>
          <w:sz w:val="24"/>
        </w:rPr>
        <w:t> </w:t>
      </w:r>
      <w:r>
        <w:rPr>
          <w:sz w:val="24"/>
        </w:rPr>
        <w:t>the</w:t>
      </w:r>
      <w:r>
        <w:rPr>
          <w:spacing w:val="-3"/>
          <w:sz w:val="24"/>
        </w:rPr>
        <w:t> </w:t>
      </w:r>
      <w:r>
        <w:rPr>
          <w:sz w:val="24"/>
        </w:rPr>
        <w:t>draft</w:t>
      </w:r>
      <w:r>
        <w:rPr>
          <w:spacing w:val="-3"/>
          <w:sz w:val="24"/>
        </w:rPr>
        <w:t> </w:t>
      </w:r>
      <w:r>
        <w:rPr>
          <w:spacing w:val="-2"/>
          <w:sz w:val="24"/>
        </w:rPr>
        <w:t>rule;</w:t>
      </w:r>
    </w:p>
    <w:p>
      <w:pPr>
        <w:pStyle w:val="ListParagraph"/>
        <w:numPr>
          <w:ilvl w:val="3"/>
          <w:numId w:val="51"/>
        </w:numPr>
        <w:tabs>
          <w:tab w:pos="2053" w:val="left" w:leader="none"/>
        </w:tabs>
        <w:spacing w:line="240" w:lineRule="auto" w:before="204" w:after="0"/>
        <w:ind w:left="2053" w:right="0" w:hanging="398"/>
        <w:jc w:val="left"/>
        <w:rPr>
          <w:sz w:val="24"/>
        </w:rPr>
      </w:pPr>
      <w:r>
        <w:rPr>
          <w:sz w:val="24"/>
        </w:rPr>
        <w:t>General</w:t>
      </w:r>
      <w:r>
        <w:rPr>
          <w:spacing w:val="-3"/>
          <w:sz w:val="24"/>
        </w:rPr>
        <w:t> </w:t>
      </w:r>
      <w:r>
        <w:rPr>
          <w:sz w:val="24"/>
        </w:rPr>
        <w:t>instructions</w:t>
      </w:r>
      <w:r>
        <w:rPr>
          <w:spacing w:val="-3"/>
          <w:sz w:val="24"/>
        </w:rPr>
        <w:t> </w:t>
      </w:r>
      <w:r>
        <w:rPr>
          <w:sz w:val="24"/>
        </w:rPr>
        <w:t>on</w:t>
      </w:r>
      <w:r>
        <w:rPr>
          <w:spacing w:val="-2"/>
          <w:sz w:val="24"/>
        </w:rPr>
        <w:t> </w:t>
      </w:r>
      <w:r>
        <w:rPr>
          <w:sz w:val="24"/>
        </w:rPr>
        <w:t>where</w:t>
      </w:r>
      <w:r>
        <w:rPr>
          <w:spacing w:val="-3"/>
          <w:sz w:val="24"/>
        </w:rPr>
        <w:t> </w:t>
      </w:r>
      <w:r>
        <w:rPr>
          <w:sz w:val="24"/>
        </w:rPr>
        <w:t>the</w:t>
      </w:r>
      <w:r>
        <w:rPr>
          <w:spacing w:val="-2"/>
          <w:sz w:val="24"/>
        </w:rPr>
        <w:t> </w:t>
      </w:r>
      <w:r>
        <w:rPr>
          <w:sz w:val="24"/>
        </w:rPr>
        <w:t>draft</w:t>
      </w:r>
      <w:r>
        <w:rPr>
          <w:spacing w:val="-4"/>
          <w:sz w:val="24"/>
        </w:rPr>
        <w:t> </w:t>
      </w:r>
      <w:r>
        <w:rPr>
          <w:sz w:val="24"/>
        </w:rPr>
        <w:t>rule</w:t>
      </w:r>
      <w:r>
        <w:rPr>
          <w:spacing w:val="-2"/>
          <w:sz w:val="24"/>
        </w:rPr>
        <w:t> </w:t>
      </w:r>
      <w:r>
        <w:rPr>
          <w:sz w:val="24"/>
        </w:rPr>
        <w:t>can</w:t>
      </w:r>
      <w:r>
        <w:rPr>
          <w:spacing w:val="-3"/>
          <w:sz w:val="24"/>
        </w:rPr>
        <w:t> </w:t>
      </w:r>
      <w:r>
        <w:rPr>
          <w:sz w:val="24"/>
        </w:rPr>
        <w:t>be</w:t>
      </w:r>
      <w:r>
        <w:rPr>
          <w:spacing w:val="-2"/>
          <w:sz w:val="24"/>
        </w:rPr>
        <w:t> accessed;</w:t>
      </w:r>
    </w:p>
    <w:p>
      <w:pPr>
        <w:pStyle w:val="ListParagraph"/>
        <w:numPr>
          <w:ilvl w:val="3"/>
          <w:numId w:val="51"/>
        </w:numPr>
        <w:tabs>
          <w:tab w:pos="2106" w:val="left" w:leader="none"/>
        </w:tabs>
        <w:spacing w:line="208" w:lineRule="auto" w:before="233" w:after="0"/>
        <w:ind w:left="1655" w:right="1819" w:firstLine="0"/>
        <w:jc w:val="left"/>
        <w:rPr>
          <w:sz w:val="24"/>
        </w:rPr>
      </w:pPr>
      <w:r>
        <w:rPr>
          <w:sz w:val="24"/>
        </w:rPr>
        <w:t>How</w:t>
      </w:r>
      <w:r>
        <w:rPr>
          <w:spacing w:val="-4"/>
          <w:sz w:val="24"/>
        </w:rPr>
        <w:t> </w:t>
      </w:r>
      <w:r>
        <w:rPr>
          <w:sz w:val="24"/>
        </w:rPr>
        <w:t>to</w:t>
      </w:r>
      <w:r>
        <w:rPr>
          <w:spacing w:val="-4"/>
          <w:sz w:val="24"/>
        </w:rPr>
        <w:t> </w:t>
      </w:r>
      <w:r>
        <w:rPr>
          <w:sz w:val="24"/>
        </w:rPr>
        <w:t>submit</w:t>
      </w:r>
      <w:r>
        <w:rPr>
          <w:spacing w:val="-3"/>
          <w:sz w:val="24"/>
        </w:rPr>
        <w:t> </w:t>
      </w:r>
      <w:r>
        <w:rPr>
          <w:sz w:val="24"/>
        </w:rPr>
        <w:t>comments,</w:t>
      </w:r>
      <w:r>
        <w:rPr>
          <w:spacing w:val="-5"/>
          <w:sz w:val="24"/>
        </w:rPr>
        <w:t> </w:t>
      </w:r>
      <w:r>
        <w:rPr>
          <w:sz w:val="24"/>
        </w:rPr>
        <w:t>and</w:t>
      </w:r>
      <w:r>
        <w:rPr>
          <w:spacing w:val="-4"/>
          <w:sz w:val="24"/>
        </w:rPr>
        <w:t> </w:t>
      </w:r>
      <w:r>
        <w:rPr>
          <w:sz w:val="24"/>
        </w:rPr>
        <w:t>the</w:t>
      </w:r>
      <w:r>
        <w:rPr>
          <w:spacing w:val="-4"/>
          <w:sz w:val="24"/>
        </w:rPr>
        <w:t> </w:t>
      </w:r>
      <w:r>
        <w:rPr>
          <w:sz w:val="24"/>
        </w:rPr>
        <w:t>due</w:t>
      </w:r>
      <w:r>
        <w:rPr>
          <w:spacing w:val="-4"/>
          <w:sz w:val="24"/>
        </w:rPr>
        <w:t> </w:t>
      </w:r>
      <w:r>
        <w:rPr>
          <w:sz w:val="24"/>
        </w:rPr>
        <w:t>date</w:t>
      </w:r>
      <w:r>
        <w:rPr>
          <w:spacing w:val="-4"/>
          <w:sz w:val="24"/>
        </w:rPr>
        <w:t> </w:t>
      </w:r>
      <w:r>
        <w:rPr>
          <w:sz w:val="24"/>
        </w:rPr>
        <w:t>for</w:t>
      </w:r>
      <w:r>
        <w:rPr>
          <w:spacing w:val="-3"/>
          <w:sz w:val="24"/>
        </w:rPr>
        <w:t> </w:t>
      </w:r>
      <w:r>
        <w:rPr>
          <w:sz w:val="24"/>
        </w:rPr>
        <w:t>submission</w:t>
      </w:r>
      <w:r>
        <w:rPr>
          <w:spacing w:val="-4"/>
          <w:sz w:val="24"/>
        </w:rPr>
        <w:t> </w:t>
      </w:r>
      <w:r>
        <w:rPr>
          <w:sz w:val="24"/>
        </w:rPr>
        <w:t>of comments, and;</w:t>
      </w:r>
    </w:p>
    <w:p>
      <w:pPr>
        <w:pStyle w:val="ListParagraph"/>
        <w:numPr>
          <w:ilvl w:val="3"/>
          <w:numId w:val="51"/>
        </w:numPr>
        <w:tabs>
          <w:tab w:pos="2121" w:val="left" w:leader="none"/>
        </w:tabs>
        <w:spacing w:line="240" w:lineRule="auto" w:before="211" w:after="0"/>
        <w:ind w:left="2121" w:right="0" w:hanging="466"/>
        <w:jc w:val="left"/>
        <w:rPr>
          <w:sz w:val="24"/>
        </w:rPr>
      </w:pPr>
      <w:r>
        <w:rPr>
          <w:sz w:val="24"/>
        </w:rPr>
        <w:t>Where</w:t>
      </w:r>
      <w:r>
        <w:rPr>
          <w:spacing w:val="-4"/>
          <w:sz w:val="24"/>
        </w:rPr>
        <w:t> </w:t>
      </w:r>
      <w:r>
        <w:rPr>
          <w:sz w:val="24"/>
        </w:rPr>
        <w:t>to</w:t>
      </w:r>
      <w:r>
        <w:rPr>
          <w:spacing w:val="-3"/>
          <w:sz w:val="24"/>
        </w:rPr>
        <w:t> </w:t>
      </w:r>
      <w:r>
        <w:rPr>
          <w:sz w:val="24"/>
        </w:rPr>
        <w:t>direct</w:t>
      </w:r>
      <w:r>
        <w:rPr>
          <w:spacing w:val="-2"/>
          <w:sz w:val="24"/>
        </w:rPr>
        <w:t> </w:t>
      </w:r>
      <w:r>
        <w:rPr>
          <w:sz w:val="24"/>
        </w:rPr>
        <w:t>questions</w:t>
      </w:r>
      <w:r>
        <w:rPr>
          <w:spacing w:val="-2"/>
          <w:sz w:val="24"/>
        </w:rPr>
        <w:t> </w:t>
      </w:r>
      <w:r>
        <w:rPr>
          <w:sz w:val="24"/>
        </w:rPr>
        <w:t>about</w:t>
      </w:r>
      <w:r>
        <w:rPr>
          <w:spacing w:val="-2"/>
          <w:sz w:val="24"/>
        </w:rPr>
        <w:t> </w:t>
      </w:r>
      <w:r>
        <w:rPr>
          <w:sz w:val="24"/>
        </w:rPr>
        <w:t>the</w:t>
      </w:r>
      <w:r>
        <w:rPr>
          <w:spacing w:val="-3"/>
          <w:sz w:val="24"/>
        </w:rPr>
        <w:t> </w:t>
      </w:r>
      <w:r>
        <w:rPr>
          <w:sz w:val="24"/>
        </w:rPr>
        <w:t>draft</w:t>
      </w:r>
      <w:r>
        <w:rPr>
          <w:spacing w:val="-1"/>
          <w:sz w:val="24"/>
        </w:rPr>
        <w:t> </w:t>
      </w:r>
      <w:r>
        <w:rPr>
          <w:spacing w:val="-2"/>
          <w:sz w:val="24"/>
        </w:rPr>
        <w:t>rule.</w:t>
      </w:r>
    </w:p>
    <w:p>
      <w:pPr>
        <w:pStyle w:val="ListParagraph"/>
        <w:numPr>
          <w:ilvl w:val="2"/>
          <w:numId w:val="51"/>
        </w:numPr>
        <w:tabs>
          <w:tab w:pos="1702" w:val="left" w:leader="none"/>
        </w:tabs>
        <w:spacing w:line="208" w:lineRule="auto" w:before="233" w:after="0"/>
        <w:ind w:left="1223" w:right="825" w:firstLine="0"/>
        <w:jc w:val="left"/>
        <w:rPr>
          <w:sz w:val="24"/>
        </w:rPr>
      </w:pPr>
      <w:r>
        <w:rPr>
          <w:sz w:val="24"/>
        </w:rPr>
        <w:t>Policy</w:t>
      </w:r>
      <w:r>
        <w:rPr>
          <w:spacing w:val="-5"/>
          <w:sz w:val="24"/>
        </w:rPr>
        <w:t> </w:t>
      </w:r>
      <w:r>
        <w:rPr>
          <w:sz w:val="24"/>
        </w:rPr>
        <w:t>Administration</w:t>
      </w:r>
      <w:r>
        <w:rPr>
          <w:spacing w:val="-5"/>
          <w:sz w:val="24"/>
        </w:rPr>
        <w:t> </w:t>
      </w:r>
      <w:r>
        <w:rPr>
          <w:sz w:val="24"/>
        </w:rPr>
        <w:t>and</w:t>
      </w:r>
      <w:r>
        <w:rPr>
          <w:spacing w:val="-5"/>
          <w:sz w:val="24"/>
        </w:rPr>
        <w:t> </w:t>
      </w:r>
      <w:r>
        <w:rPr>
          <w:sz w:val="24"/>
        </w:rPr>
        <w:t>Development</w:t>
      </w:r>
      <w:r>
        <w:rPr>
          <w:spacing w:val="-4"/>
          <w:sz w:val="24"/>
        </w:rPr>
        <w:t> </w:t>
      </w:r>
      <w:r>
        <w:rPr>
          <w:sz w:val="24"/>
        </w:rPr>
        <w:t>staff</w:t>
      </w:r>
      <w:r>
        <w:rPr>
          <w:spacing w:val="-6"/>
          <w:sz w:val="24"/>
        </w:rPr>
        <w:t> </w:t>
      </w:r>
      <w:r>
        <w:rPr>
          <w:sz w:val="24"/>
        </w:rPr>
        <w:t>will</w:t>
      </w:r>
      <w:r>
        <w:rPr>
          <w:spacing w:val="-5"/>
          <w:sz w:val="24"/>
        </w:rPr>
        <w:t> </w:t>
      </w:r>
      <w:r>
        <w:rPr>
          <w:sz w:val="24"/>
        </w:rPr>
        <w:t>collect</w:t>
      </w:r>
      <w:r>
        <w:rPr>
          <w:spacing w:val="-4"/>
          <w:sz w:val="24"/>
        </w:rPr>
        <w:t> </w:t>
      </w:r>
      <w:r>
        <w:rPr>
          <w:sz w:val="24"/>
        </w:rPr>
        <w:t>and</w:t>
      </w:r>
      <w:r>
        <w:rPr>
          <w:spacing w:val="-5"/>
          <w:sz w:val="24"/>
        </w:rPr>
        <w:t> </w:t>
      </w:r>
      <w:r>
        <w:rPr>
          <w:sz w:val="24"/>
        </w:rPr>
        <w:t>collate</w:t>
      </w:r>
      <w:r>
        <w:rPr>
          <w:spacing w:val="-5"/>
          <w:sz w:val="24"/>
        </w:rPr>
        <w:t> </w:t>
      </w:r>
      <w:r>
        <w:rPr>
          <w:sz w:val="24"/>
        </w:rPr>
        <w:t>agency staff comments and develop a summary.</w:t>
      </w:r>
      <w:r>
        <w:rPr>
          <w:spacing w:val="40"/>
          <w:sz w:val="24"/>
        </w:rPr>
        <w:t> </w:t>
      </w:r>
      <w:r>
        <w:rPr>
          <w:sz w:val="24"/>
        </w:rPr>
        <w:t>The collated comments and the summary will be provided to the originating program administrator for </w:t>
      </w:r>
      <w:r>
        <w:rPr>
          <w:spacing w:val="-2"/>
          <w:sz w:val="24"/>
        </w:rPr>
        <w:t>consideration.</w:t>
      </w:r>
    </w:p>
    <w:p>
      <w:pPr>
        <w:pStyle w:val="ListParagraph"/>
        <w:numPr>
          <w:ilvl w:val="2"/>
          <w:numId w:val="51"/>
        </w:numPr>
        <w:tabs>
          <w:tab w:pos="1689" w:val="left" w:leader="none"/>
        </w:tabs>
        <w:spacing w:line="208" w:lineRule="auto" w:before="240" w:after="0"/>
        <w:ind w:left="1223" w:right="889" w:firstLine="0"/>
        <w:jc w:val="left"/>
        <w:rPr>
          <w:sz w:val="24"/>
        </w:rPr>
      </w:pPr>
      <w:r>
        <w:rPr>
          <w:sz w:val="24"/>
        </w:rPr>
        <w:t>The program administrator will decide on what rule changes to make in response to the submitted comments, if any. The program administrator will also draft responses to the comments, which will at a minimum explain any instance in which staff recommendations were not adopted and will send the response</w:t>
      </w:r>
      <w:r>
        <w:rPr>
          <w:spacing w:val="-4"/>
          <w:sz w:val="24"/>
        </w:rPr>
        <w:t> </w:t>
      </w:r>
      <w:r>
        <w:rPr>
          <w:sz w:val="24"/>
        </w:rPr>
        <w:t>to</w:t>
      </w:r>
      <w:r>
        <w:rPr>
          <w:spacing w:val="-4"/>
          <w:sz w:val="24"/>
        </w:rPr>
        <w:t> </w:t>
      </w:r>
      <w:r>
        <w:rPr>
          <w:sz w:val="24"/>
        </w:rPr>
        <w:t>the</w:t>
      </w:r>
      <w:r>
        <w:rPr>
          <w:spacing w:val="-4"/>
          <w:sz w:val="24"/>
        </w:rPr>
        <w:t> </w:t>
      </w:r>
      <w:r>
        <w:rPr>
          <w:sz w:val="24"/>
        </w:rPr>
        <w:t>Policy</w:t>
      </w:r>
      <w:r>
        <w:rPr>
          <w:spacing w:val="-4"/>
          <w:sz w:val="24"/>
        </w:rPr>
        <w:t> </w:t>
      </w:r>
      <w:r>
        <w:rPr>
          <w:sz w:val="24"/>
        </w:rPr>
        <w:t>Administration</w:t>
      </w:r>
      <w:r>
        <w:rPr>
          <w:spacing w:val="-4"/>
          <w:sz w:val="24"/>
        </w:rPr>
        <w:t> </w:t>
      </w:r>
      <w:r>
        <w:rPr>
          <w:sz w:val="24"/>
        </w:rPr>
        <w:t>and</w:t>
      </w:r>
      <w:r>
        <w:rPr>
          <w:spacing w:val="-4"/>
          <w:sz w:val="24"/>
        </w:rPr>
        <w:t> </w:t>
      </w:r>
      <w:r>
        <w:rPr>
          <w:sz w:val="24"/>
        </w:rPr>
        <w:t>Development</w:t>
      </w:r>
      <w:r>
        <w:rPr>
          <w:spacing w:val="-3"/>
          <w:sz w:val="24"/>
        </w:rPr>
        <w:t> </w:t>
      </w:r>
      <w:r>
        <w:rPr>
          <w:sz w:val="24"/>
        </w:rPr>
        <w:t>so</w:t>
      </w:r>
      <w:r>
        <w:rPr>
          <w:spacing w:val="-4"/>
          <w:sz w:val="24"/>
        </w:rPr>
        <w:t> </w:t>
      </w:r>
      <w:r>
        <w:rPr>
          <w:sz w:val="24"/>
        </w:rPr>
        <w:t>it</w:t>
      </w:r>
      <w:r>
        <w:rPr>
          <w:spacing w:val="-5"/>
          <w:sz w:val="24"/>
        </w:rPr>
        <w:t> </w:t>
      </w:r>
      <w:r>
        <w:rPr>
          <w:sz w:val="24"/>
        </w:rPr>
        <w:t>can</w:t>
      </w:r>
      <w:r>
        <w:rPr>
          <w:spacing w:val="-4"/>
          <w:sz w:val="24"/>
        </w:rPr>
        <w:t> </w:t>
      </w:r>
      <w:r>
        <w:rPr>
          <w:sz w:val="24"/>
        </w:rPr>
        <w:t>be</w:t>
      </w:r>
      <w:r>
        <w:rPr>
          <w:spacing w:val="-4"/>
          <w:sz w:val="24"/>
        </w:rPr>
        <w:t> </w:t>
      </w:r>
      <w:r>
        <w:rPr>
          <w:sz w:val="24"/>
        </w:rPr>
        <w:t>forwarded to the respective commentator.</w:t>
      </w:r>
    </w:p>
    <w:p>
      <w:pPr>
        <w:pStyle w:val="ListParagraph"/>
        <w:spacing w:after="0" w:line="208" w:lineRule="auto"/>
        <w:jc w:val="left"/>
        <w:rPr>
          <w:sz w:val="24"/>
        </w:rPr>
        <w:sectPr>
          <w:pgSz w:w="12240" w:h="15840"/>
          <w:pgMar w:top="1340" w:bottom="280" w:left="1080" w:right="720"/>
        </w:sectPr>
      </w:pPr>
    </w:p>
    <w:p>
      <w:pPr>
        <w:pStyle w:val="ListParagraph"/>
        <w:numPr>
          <w:ilvl w:val="2"/>
          <w:numId w:val="51"/>
        </w:numPr>
        <w:tabs>
          <w:tab w:pos="1583" w:val="left" w:leader="none"/>
        </w:tabs>
        <w:spacing w:line="208" w:lineRule="auto" w:before="96" w:after="0"/>
        <w:ind w:left="1224" w:right="823" w:firstLine="0"/>
        <w:jc w:val="left"/>
        <w:rPr>
          <w:sz w:val="24"/>
        </w:rPr>
      </w:pPr>
      <w:r>
        <w:rPr>
          <w:sz w:val="24"/>
        </w:rPr>
        <w:t>Policy Administration and Development staff will work with the program administrator to finalize draft rule. This step will include a final check by the program administrator for consistency with existing rules, regulations, and applicable</w:t>
      </w:r>
      <w:r>
        <w:rPr>
          <w:spacing w:val="-4"/>
          <w:sz w:val="24"/>
        </w:rPr>
        <w:t> </w:t>
      </w:r>
      <w:r>
        <w:rPr>
          <w:sz w:val="24"/>
        </w:rPr>
        <w:t>statutes.</w:t>
      </w:r>
      <w:r>
        <w:rPr>
          <w:spacing w:val="40"/>
          <w:sz w:val="24"/>
        </w:rPr>
        <w:t> </w:t>
      </w:r>
      <w:r>
        <w:rPr>
          <w:sz w:val="24"/>
        </w:rPr>
        <w:t>The</w:t>
      </w:r>
      <w:r>
        <w:rPr>
          <w:spacing w:val="-4"/>
          <w:sz w:val="24"/>
        </w:rPr>
        <w:t> </w:t>
      </w:r>
      <w:r>
        <w:rPr>
          <w:sz w:val="24"/>
        </w:rPr>
        <w:t>program</w:t>
      </w:r>
      <w:r>
        <w:rPr>
          <w:spacing w:val="-4"/>
          <w:sz w:val="24"/>
        </w:rPr>
        <w:t> </w:t>
      </w:r>
      <w:r>
        <w:rPr>
          <w:sz w:val="24"/>
        </w:rPr>
        <w:t>administrator</w:t>
      </w:r>
      <w:r>
        <w:rPr>
          <w:spacing w:val="-4"/>
          <w:sz w:val="24"/>
        </w:rPr>
        <w:t> </w:t>
      </w:r>
      <w:r>
        <w:rPr>
          <w:sz w:val="24"/>
        </w:rPr>
        <w:t>may</w:t>
      </w:r>
      <w:r>
        <w:rPr>
          <w:spacing w:val="-5"/>
          <w:sz w:val="24"/>
        </w:rPr>
        <w:t> </w:t>
      </w:r>
      <w:r>
        <w:rPr>
          <w:sz w:val="24"/>
        </w:rPr>
        <w:t>consult</w:t>
      </w:r>
      <w:r>
        <w:rPr>
          <w:spacing w:val="-4"/>
          <w:sz w:val="24"/>
        </w:rPr>
        <w:t> </w:t>
      </w:r>
      <w:r>
        <w:rPr>
          <w:sz w:val="24"/>
        </w:rPr>
        <w:t>with</w:t>
      </w:r>
      <w:r>
        <w:rPr>
          <w:spacing w:val="-4"/>
          <w:sz w:val="24"/>
        </w:rPr>
        <w:t> </w:t>
      </w:r>
      <w:r>
        <w:rPr>
          <w:sz w:val="24"/>
        </w:rPr>
        <w:t>legal</w:t>
      </w:r>
      <w:r>
        <w:rPr>
          <w:spacing w:val="-4"/>
          <w:sz w:val="24"/>
        </w:rPr>
        <w:t> </w:t>
      </w:r>
      <w:r>
        <w:rPr>
          <w:sz w:val="24"/>
        </w:rPr>
        <w:t>counsel. Policy Administration and Development staff will obtain authorization from the appropriate program administrator to proceed with promulgation of the draft </w:t>
      </w:r>
      <w:r>
        <w:rPr>
          <w:spacing w:val="-2"/>
          <w:sz w:val="24"/>
        </w:rPr>
        <w:t>rules.</w:t>
      </w:r>
    </w:p>
    <w:p>
      <w:pPr>
        <w:pStyle w:val="ListParagraph"/>
        <w:numPr>
          <w:ilvl w:val="2"/>
          <w:numId w:val="51"/>
        </w:numPr>
        <w:tabs>
          <w:tab w:pos="1636" w:val="left" w:leader="none"/>
        </w:tabs>
        <w:spacing w:line="208" w:lineRule="auto" w:before="239" w:after="0"/>
        <w:ind w:left="1223" w:right="1049" w:firstLine="0"/>
        <w:jc w:val="both"/>
        <w:rPr>
          <w:sz w:val="24"/>
        </w:rPr>
      </w:pPr>
      <w:r>
        <w:rPr>
          <w:sz w:val="24"/>
        </w:rPr>
        <w:t>When the draft</w:t>
      </w:r>
      <w:r>
        <w:rPr>
          <w:spacing w:val="-1"/>
          <w:sz w:val="24"/>
        </w:rPr>
        <w:t> </w:t>
      </w:r>
      <w:r>
        <w:rPr>
          <w:sz w:val="24"/>
        </w:rPr>
        <w:t>rule pages are submitted to the Policy Administration and Development</w:t>
      </w:r>
      <w:r>
        <w:rPr>
          <w:spacing w:val="-2"/>
          <w:sz w:val="24"/>
        </w:rPr>
        <w:t> </w:t>
      </w:r>
      <w:r>
        <w:rPr>
          <w:sz w:val="24"/>
        </w:rPr>
        <w:t>section</w:t>
      </w:r>
      <w:r>
        <w:rPr>
          <w:spacing w:val="-3"/>
          <w:sz w:val="24"/>
        </w:rPr>
        <w:t> </w:t>
      </w:r>
      <w:r>
        <w:rPr>
          <w:sz w:val="24"/>
        </w:rPr>
        <w:t>for</w:t>
      </w:r>
      <w:r>
        <w:rPr>
          <w:spacing w:val="-2"/>
          <w:sz w:val="24"/>
        </w:rPr>
        <w:t> </w:t>
      </w:r>
      <w:r>
        <w:rPr>
          <w:sz w:val="24"/>
        </w:rPr>
        <w:t>promulgation,</w:t>
      </w:r>
      <w:r>
        <w:rPr>
          <w:spacing w:val="-3"/>
          <w:sz w:val="24"/>
        </w:rPr>
        <w:t> </w:t>
      </w:r>
      <w:r>
        <w:rPr>
          <w:b/>
          <w:sz w:val="22"/>
        </w:rPr>
        <w:t>2</w:t>
      </w:r>
      <w:r>
        <w:rPr>
          <w:b/>
          <w:spacing w:val="-15"/>
          <w:sz w:val="22"/>
        </w:rPr>
        <w:t> </w:t>
      </w:r>
      <w:r>
        <w:rPr>
          <w:sz w:val="24"/>
        </w:rPr>
        <w:t>the</w:t>
      </w:r>
      <w:r>
        <w:rPr>
          <w:spacing w:val="-3"/>
          <w:sz w:val="24"/>
        </w:rPr>
        <w:t> </w:t>
      </w:r>
      <w:r>
        <w:rPr>
          <w:sz w:val="24"/>
        </w:rPr>
        <w:t>draft</w:t>
      </w:r>
      <w:r>
        <w:rPr>
          <w:spacing w:val="-4"/>
          <w:sz w:val="24"/>
        </w:rPr>
        <w:t> </w:t>
      </w:r>
      <w:r>
        <w:rPr>
          <w:sz w:val="24"/>
        </w:rPr>
        <w:t>rule</w:t>
      </w:r>
      <w:r>
        <w:rPr>
          <w:spacing w:val="-3"/>
          <w:sz w:val="24"/>
        </w:rPr>
        <w:t> </w:t>
      </w:r>
      <w:r>
        <w:rPr>
          <w:sz w:val="24"/>
        </w:rPr>
        <w:t>is</w:t>
      </w:r>
      <w:r>
        <w:rPr>
          <w:spacing w:val="-3"/>
          <w:sz w:val="24"/>
        </w:rPr>
        <w:t> </w:t>
      </w:r>
      <w:r>
        <w:rPr>
          <w:sz w:val="24"/>
        </w:rPr>
        <w:t>then</w:t>
      </w:r>
      <w:r>
        <w:rPr>
          <w:spacing w:val="-3"/>
          <w:sz w:val="24"/>
        </w:rPr>
        <w:t> </w:t>
      </w:r>
      <w:r>
        <w:rPr>
          <w:sz w:val="24"/>
        </w:rPr>
        <w:t>referred</w:t>
      </w:r>
      <w:r>
        <w:rPr>
          <w:spacing w:val="-3"/>
          <w:sz w:val="24"/>
        </w:rPr>
        <w:t> </w:t>
      </w:r>
      <w:r>
        <w:rPr>
          <w:sz w:val="24"/>
        </w:rPr>
        <w:t>to</w:t>
      </w:r>
      <w:r>
        <w:rPr>
          <w:spacing w:val="-3"/>
          <w:sz w:val="24"/>
        </w:rPr>
        <w:t> </w:t>
      </w:r>
      <w:r>
        <w:rPr>
          <w:sz w:val="24"/>
        </w:rPr>
        <w:t>as</w:t>
      </w:r>
      <w:r>
        <w:rPr>
          <w:spacing w:val="-3"/>
          <w:sz w:val="24"/>
        </w:rPr>
        <w:t> </w:t>
      </w:r>
      <w:r>
        <w:rPr>
          <w:sz w:val="24"/>
        </w:rPr>
        <w:t>a proposed rule.</w:t>
      </w:r>
    </w:p>
    <w:p>
      <w:pPr>
        <w:pStyle w:val="ListParagraph"/>
        <w:numPr>
          <w:ilvl w:val="0"/>
          <w:numId w:val="51"/>
        </w:numPr>
        <w:tabs>
          <w:tab w:pos="784" w:val="left" w:leader="none"/>
        </w:tabs>
        <w:spacing w:line="208" w:lineRule="auto" w:before="240" w:after="0"/>
        <w:ind w:left="359" w:right="766" w:firstLine="0"/>
        <w:jc w:val="left"/>
        <w:rPr>
          <w:sz w:val="24"/>
        </w:rPr>
      </w:pPr>
      <w:r>
        <w:rPr>
          <w:b/>
          <w:sz w:val="24"/>
        </w:rPr>
        <w:t>Adoption</w:t>
      </w:r>
      <w:r>
        <w:rPr>
          <w:b/>
          <w:spacing w:val="-3"/>
          <w:sz w:val="24"/>
        </w:rPr>
        <w:t> </w:t>
      </w:r>
      <w:r>
        <w:rPr>
          <w:b/>
          <w:sz w:val="24"/>
        </w:rPr>
        <w:t>of</w:t>
      </w:r>
      <w:r>
        <w:rPr>
          <w:b/>
          <w:spacing w:val="-2"/>
          <w:sz w:val="24"/>
        </w:rPr>
        <w:t> </w:t>
      </w:r>
      <w:r>
        <w:rPr>
          <w:b/>
          <w:sz w:val="24"/>
        </w:rPr>
        <w:t>New</w:t>
      </w:r>
      <w:r>
        <w:rPr>
          <w:b/>
          <w:spacing w:val="-4"/>
          <w:sz w:val="24"/>
        </w:rPr>
        <w:t> </w:t>
      </w:r>
      <w:r>
        <w:rPr>
          <w:b/>
          <w:sz w:val="24"/>
        </w:rPr>
        <w:t>or</w:t>
      </w:r>
      <w:r>
        <w:rPr>
          <w:b/>
          <w:spacing w:val="-3"/>
          <w:sz w:val="24"/>
        </w:rPr>
        <w:t> </w:t>
      </w:r>
      <w:r>
        <w:rPr>
          <w:b/>
          <w:sz w:val="24"/>
        </w:rPr>
        <w:t>Revised</w:t>
      </w:r>
      <w:r>
        <w:rPr>
          <w:b/>
          <w:spacing w:val="-2"/>
          <w:sz w:val="24"/>
        </w:rPr>
        <w:t> </w:t>
      </w:r>
      <w:r>
        <w:rPr>
          <w:b/>
          <w:sz w:val="24"/>
        </w:rPr>
        <w:t>Rule.</w:t>
      </w:r>
      <w:r>
        <w:rPr>
          <w:b/>
          <w:spacing w:val="40"/>
          <w:sz w:val="24"/>
        </w:rPr>
        <w:t> </w:t>
      </w:r>
      <w:r>
        <w:rPr>
          <w:sz w:val="24"/>
        </w:rPr>
        <w:t>Proposed</w:t>
      </w:r>
      <w:r>
        <w:rPr>
          <w:spacing w:val="-3"/>
          <w:sz w:val="24"/>
        </w:rPr>
        <w:t> </w:t>
      </w:r>
      <w:r>
        <w:rPr>
          <w:sz w:val="24"/>
        </w:rPr>
        <w:t>rules</w:t>
      </w:r>
      <w:r>
        <w:rPr>
          <w:spacing w:val="-3"/>
          <w:sz w:val="24"/>
        </w:rPr>
        <w:t> </w:t>
      </w:r>
      <w:r>
        <w:rPr>
          <w:sz w:val="24"/>
        </w:rPr>
        <w:t>must</w:t>
      </w:r>
      <w:r>
        <w:rPr>
          <w:spacing w:val="-3"/>
          <w:sz w:val="24"/>
        </w:rPr>
        <w:t> </w:t>
      </w:r>
      <w:r>
        <w:rPr>
          <w:sz w:val="24"/>
        </w:rPr>
        <w:t>be</w:t>
      </w:r>
      <w:r>
        <w:rPr>
          <w:spacing w:val="-4"/>
          <w:sz w:val="24"/>
        </w:rPr>
        <w:t> </w:t>
      </w:r>
      <w:r>
        <w:rPr>
          <w:sz w:val="24"/>
        </w:rPr>
        <w:t>approved</w:t>
      </w:r>
      <w:r>
        <w:rPr>
          <w:spacing w:val="-3"/>
          <w:sz w:val="24"/>
        </w:rPr>
        <w:t> </w:t>
      </w:r>
      <w:r>
        <w:rPr>
          <w:sz w:val="24"/>
        </w:rPr>
        <w:t>by</w:t>
      </w:r>
      <w:r>
        <w:rPr>
          <w:spacing w:val="-3"/>
          <w:sz w:val="24"/>
        </w:rPr>
        <w:t> </w:t>
      </w:r>
      <w:r>
        <w:rPr>
          <w:sz w:val="24"/>
        </w:rPr>
        <w:t>the</w:t>
      </w:r>
      <w:r>
        <w:rPr>
          <w:spacing w:val="-3"/>
          <w:sz w:val="24"/>
        </w:rPr>
        <w:t> </w:t>
      </w:r>
      <w:r>
        <w:rPr>
          <w:sz w:val="24"/>
        </w:rPr>
        <w:t>DRS Commission prior to submission for promulgation.</w:t>
      </w:r>
      <w:r>
        <w:rPr>
          <w:spacing w:val="40"/>
          <w:sz w:val="24"/>
        </w:rPr>
        <w:t> </w:t>
      </w:r>
      <w:r>
        <w:rPr>
          <w:sz w:val="24"/>
        </w:rPr>
        <w:t>Proposed rules for the Business Enterprise Program must also be approved by the Rehabilitation Services Administration prior to submission for promulgation.</w:t>
      </w:r>
    </w:p>
    <w:p>
      <w:pPr>
        <w:pStyle w:val="ListParagraph"/>
        <w:numPr>
          <w:ilvl w:val="1"/>
          <w:numId w:val="51"/>
        </w:numPr>
        <w:tabs>
          <w:tab w:pos="1217" w:val="left" w:leader="none"/>
        </w:tabs>
        <w:spacing w:line="208" w:lineRule="auto" w:before="239" w:after="0"/>
        <w:ind w:left="791" w:right="720" w:firstLine="0"/>
        <w:jc w:val="left"/>
        <w:rPr>
          <w:sz w:val="24"/>
        </w:rPr>
      </w:pPr>
      <w:r>
        <w:rPr>
          <w:sz w:val="24"/>
        </w:rPr>
        <w:t>Policy Administration and Development staff will submit the proposed rule and/or</w:t>
      </w:r>
      <w:r>
        <w:rPr>
          <w:spacing w:val="-3"/>
          <w:sz w:val="24"/>
        </w:rPr>
        <w:t> </w:t>
      </w:r>
      <w:r>
        <w:rPr>
          <w:sz w:val="24"/>
        </w:rPr>
        <w:t>notice,</w:t>
      </w:r>
      <w:r>
        <w:rPr>
          <w:spacing w:val="-3"/>
          <w:sz w:val="24"/>
        </w:rPr>
        <w:t> </w:t>
      </w:r>
      <w:r>
        <w:rPr>
          <w:sz w:val="24"/>
        </w:rPr>
        <w:t>including</w:t>
      </w:r>
      <w:r>
        <w:rPr>
          <w:spacing w:val="-4"/>
          <w:sz w:val="24"/>
        </w:rPr>
        <w:t> </w:t>
      </w:r>
      <w:r>
        <w:rPr>
          <w:sz w:val="24"/>
        </w:rPr>
        <w:t>executive</w:t>
      </w:r>
      <w:r>
        <w:rPr>
          <w:spacing w:val="-3"/>
          <w:sz w:val="24"/>
        </w:rPr>
        <w:t> </w:t>
      </w:r>
      <w:r>
        <w:rPr>
          <w:sz w:val="24"/>
        </w:rPr>
        <w:t>summary</w:t>
      </w:r>
      <w:r>
        <w:rPr>
          <w:spacing w:val="-6"/>
          <w:sz w:val="24"/>
        </w:rPr>
        <w:t> </w:t>
      </w:r>
      <w:r>
        <w:rPr>
          <w:sz w:val="24"/>
        </w:rPr>
        <w:t>and</w:t>
      </w:r>
      <w:r>
        <w:rPr>
          <w:spacing w:val="-4"/>
          <w:sz w:val="24"/>
        </w:rPr>
        <w:t> </w:t>
      </w:r>
      <w:r>
        <w:rPr>
          <w:sz w:val="24"/>
        </w:rPr>
        <w:t>resolution,</w:t>
      </w:r>
      <w:r>
        <w:rPr>
          <w:spacing w:val="-3"/>
          <w:sz w:val="24"/>
        </w:rPr>
        <w:t> </w:t>
      </w:r>
      <w:r>
        <w:rPr>
          <w:sz w:val="24"/>
        </w:rPr>
        <w:t>to</w:t>
      </w:r>
      <w:r>
        <w:rPr>
          <w:spacing w:val="-4"/>
          <w:sz w:val="24"/>
        </w:rPr>
        <w:t> </w:t>
      </w:r>
      <w:r>
        <w:rPr>
          <w:sz w:val="24"/>
        </w:rPr>
        <w:t>the</w:t>
      </w:r>
      <w:r>
        <w:rPr>
          <w:spacing w:val="-5"/>
          <w:sz w:val="24"/>
        </w:rPr>
        <w:t> </w:t>
      </w:r>
      <w:r>
        <w:rPr>
          <w:sz w:val="24"/>
        </w:rPr>
        <w:t>Director</w:t>
      </w:r>
      <w:r>
        <w:rPr>
          <w:spacing w:val="-3"/>
          <w:sz w:val="24"/>
        </w:rPr>
        <w:t> </w:t>
      </w:r>
      <w:r>
        <w:rPr>
          <w:sz w:val="24"/>
        </w:rPr>
        <w:t>for</w:t>
      </w:r>
      <w:r>
        <w:rPr>
          <w:spacing w:val="-5"/>
          <w:sz w:val="24"/>
        </w:rPr>
        <w:t> </w:t>
      </w:r>
      <w:r>
        <w:rPr>
          <w:sz w:val="24"/>
        </w:rPr>
        <w:t>review and to the Commission support staff by the established deadline for inclusion in the Commission meeting packet.</w:t>
      </w:r>
    </w:p>
    <w:p>
      <w:pPr>
        <w:pStyle w:val="ListParagraph"/>
        <w:numPr>
          <w:ilvl w:val="1"/>
          <w:numId w:val="51"/>
        </w:numPr>
        <w:tabs>
          <w:tab w:pos="1217" w:val="left" w:leader="none"/>
        </w:tabs>
        <w:spacing w:line="208" w:lineRule="auto" w:before="240" w:after="0"/>
        <w:ind w:left="791" w:right="1054" w:firstLine="0"/>
        <w:jc w:val="left"/>
        <w:rPr>
          <w:sz w:val="24"/>
        </w:rPr>
      </w:pPr>
      <w:r>
        <w:rPr>
          <w:sz w:val="24"/>
        </w:rPr>
        <w:t>The</w:t>
      </w:r>
      <w:r>
        <w:rPr>
          <w:spacing w:val="-4"/>
          <w:sz w:val="24"/>
        </w:rPr>
        <w:t> </w:t>
      </w:r>
      <w:r>
        <w:rPr>
          <w:sz w:val="24"/>
        </w:rPr>
        <w:t>originating</w:t>
      </w:r>
      <w:r>
        <w:rPr>
          <w:spacing w:val="-4"/>
          <w:sz w:val="24"/>
        </w:rPr>
        <w:t> </w:t>
      </w:r>
      <w:r>
        <w:rPr>
          <w:sz w:val="24"/>
        </w:rPr>
        <w:t>administrator,</w:t>
      </w:r>
      <w:r>
        <w:rPr>
          <w:spacing w:val="-5"/>
          <w:sz w:val="24"/>
        </w:rPr>
        <w:t> </w:t>
      </w:r>
      <w:r>
        <w:rPr>
          <w:sz w:val="24"/>
        </w:rPr>
        <w:t>with</w:t>
      </w:r>
      <w:r>
        <w:rPr>
          <w:spacing w:val="-4"/>
          <w:sz w:val="24"/>
        </w:rPr>
        <w:t> </w:t>
      </w:r>
      <w:r>
        <w:rPr>
          <w:sz w:val="24"/>
        </w:rPr>
        <w:t>the</w:t>
      </w:r>
      <w:r>
        <w:rPr>
          <w:spacing w:val="-4"/>
          <w:sz w:val="24"/>
        </w:rPr>
        <w:t> </w:t>
      </w:r>
      <w:r>
        <w:rPr>
          <w:sz w:val="24"/>
        </w:rPr>
        <w:t>assistance</w:t>
      </w:r>
      <w:r>
        <w:rPr>
          <w:spacing w:val="-4"/>
          <w:sz w:val="24"/>
        </w:rPr>
        <w:t> </w:t>
      </w:r>
      <w:r>
        <w:rPr>
          <w:sz w:val="24"/>
        </w:rPr>
        <w:t>of</w:t>
      </w:r>
      <w:r>
        <w:rPr>
          <w:spacing w:val="-4"/>
          <w:sz w:val="24"/>
        </w:rPr>
        <w:t> </w:t>
      </w:r>
      <w:r>
        <w:rPr>
          <w:sz w:val="24"/>
        </w:rPr>
        <w:t>the</w:t>
      </w:r>
      <w:r>
        <w:rPr>
          <w:spacing w:val="-4"/>
          <w:sz w:val="24"/>
        </w:rPr>
        <w:t> </w:t>
      </w:r>
      <w:r>
        <w:rPr>
          <w:sz w:val="24"/>
        </w:rPr>
        <w:t>Policy</w:t>
      </w:r>
      <w:r>
        <w:rPr>
          <w:spacing w:val="-4"/>
          <w:sz w:val="24"/>
        </w:rPr>
        <w:t> </w:t>
      </w:r>
      <w:r>
        <w:rPr>
          <w:sz w:val="24"/>
        </w:rPr>
        <w:t>Administration and Development Project Coordinator or designee, will be responsible for the presentation</w:t>
      </w:r>
      <w:r>
        <w:rPr>
          <w:spacing w:val="-3"/>
          <w:sz w:val="24"/>
        </w:rPr>
        <w:t> </w:t>
      </w:r>
      <w:r>
        <w:rPr>
          <w:sz w:val="24"/>
        </w:rPr>
        <w:t>of</w:t>
      </w:r>
      <w:r>
        <w:rPr>
          <w:spacing w:val="-2"/>
          <w:sz w:val="24"/>
        </w:rPr>
        <w:t> </w:t>
      </w:r>
      <w:r>
        <w:rPr>
          <w:sz w:val="24"/>
        </w:rPr>
        <w:t>proposed</w:t>
      </w:r>
      <w:r>
        <w:rPr>
          <w:spacing w:val="-3"/>
          <w:sz w:val="24"/>
        </w:rPr>
        <w:t> </w:t>
      </w:r>
      <w:r>
        <w:rPr>
          <w:sz w:val="24"/>
        </w:rPr>
        <w:t>rules</w:t>
      </w:r>
      <w:r>
        <w:rPr>
          <w:spacing w:val="-3"/>
          <w:sz w:val="24"/>
        </w:rPr>
        <w:t> </w:t>
      </w:r>
      <w:r>
        <w:rPr>
          <w:sz w:val="24"/>
        </w:rPr>
        <w:t>at</w:t>
      </w:r>
      <w:r>
        <w:rPr>
          <w:spacing w:val="-4"/>
          <w:sz w:val="24"/>
        </w:rPr>
        <w:t> </w:t>
      </w:r>
      <w:r>
        <w:rPr>
          <w:sz w:val="24"/>
        </w:rPr>
        <w:t>the</w:t>
      </w:r>
      <w:r>
        <w:rPr>
          <w:spacing w:val="-3"/>
          <w:sz w:val="24"/>
        </w:rPr>
        <w:t> </w:t>
      </w:r>
      <w:r>
        <w:rPr>
          <w:sz w:val="24"/>
        </w:rPr>
        <w:t>Commission</w:t>
      </w:r>
      <w:r>
        <w:rPr>
          <w:spacing w:val="-3"/>
          <w:sz w:val="24"/>
        </w:rPr>
        <w:t> </w:t>
      </w:r>
      <w:r>
        <w:rPr>
          <w:sz w:val="24"/>
        </w:rPr>
        <w:t>meeting.</w:t>
      </w:r>
      <w:r>
        <w:rPr>
          <w:spacing w:val="-2"/>
          <w:sz w:val="24"/>
        </w:rPr>
        <w:t> </w:t>
      </w:r>
      <w:r>
        <w:rPr>
          <w:sz w:val="24"/>
        </w:rPr>
        <w:t>Once</w:t>
      </w:r>
      <w:r>
        <w:rPr>
          <w:spacing w:val="-3"/>
          <w:sz w:val="24"/>
        </w:rPr>
        <w:t> </w:t>
      </w:r>
      <w:r>
        <w:rPr>
          <w:sz w:val="24"/>
        </w:rPr>
        <w:t>proposed</w:t>
      </w:r>
      <w:r>
        <w:rPr>
          <w:spacing w:val="-3"/>
          <w:sz w:val="24"/>
        </w:rPr>
        <w:t> </w:t>
      </w:r>
      <w:r>
        <w:rPr>
          <w:sz w:val="24"/>
        </w:rPr>
        <w:t>rules are presented to the Commission for approval their content will not be changed unless so ordered by the Commission.</w:t>
      </w:r>
    </w:p>
    <w:p>
      <w:pPr>
        <w:pStyle w:val="ListParagraph"/>
        <w:numPr>
          <w:ilvl w:val="1"/>
          <w:numId w:val="51"/>
        </w:numPr>
        <w:tabs>
          <w:tab w:pos="1217" w:val="left" w:leader="none"/>
        </w:tabs>
        <w:spacing w:line="208" w:lineRule="auto" w:before="240" w:after="0"/>
        <w:ind w:left="791" w:right="989" w:firstLine="0"/>
        <w:jc w:val="left"/>
        <w:rPr>
          <w:sz w:val="24"/>
        </w:rPr>
      </w:pPr>
      <w:r>
        <w:rPr>
          <w:sz w:val="24"/>
        </w:rPr>
        <w:t>Upon</w:t>
      </w:r>
      <w:r>
        <w:rPr>
          <w:spacing w:val="-4"/>
          <w:sz w:val="24"/>
        </w:rPr>
        <w:t> </w:t>
      </w:r>
      <w:r>
        <w:rPr>
          <w:sz w:val="24"/>
        </w:rPr>
        <w:t>adoption</w:t>
      </w:r>
      <w:r>
        <w:rPr>
          <w:spacing w:val="-4"/>
          <w:sz w:val="24"/>
        </w:rPr>
        <w:t> </w:t>
      </w:r>
      <w:r>
        <w:rPr>
          <w:sz w:val="24"/>
        </w:rPr>
        <w:t>of</w:t>
      </w:r>
      <w:r>
        <w:rPr>
          <w:spacing w:val="-4"/>
          <w:sz w:val="24"/>
        </w:rPr>
        <w:t> </w:t>
      </w:r>
      <w:r>
        <w:rPr>
          <w:sz w:val="24"/>
        </w:rPr>
        <w:t>the</w:t>
      </w:r>
      <w:r>
        <w:rPr>
          <w:spacing w:val="-4"/>
          <w:sz w:val="24"/>
        </w:rPr>
        <w:t> </w:t>
      </w:r>
      <w:r>
        <w:rPr>
          <w:sz w:val="24"/>
        </w:rPr>
        <w:t>proposed</w:t>
      </w:r>
      <w:r>
        <w:rPr>
          <w:spacing w:val="-4"/>
          <w:sz w:val="24"/>
        </w:rPr>
        <w:t> </w:t>
      </w:r>
      <w:r>
        <w:rPr>
          <w:sz w:val="24"/>
        </w:rPr>
        <w:t>rule</w:t>
      </w:r>
      <w:r>
        <w:rPr>
          <w:spacing w:val="-5"/>
          <w:sz w:val="24"/>
        </w:rPr>
        <w:t> </w:t>
      </w:r>
      <w:r>
        <w:rPr>
          <w:sz w:val="24"/>
        </w:rPr>
        <w:t>by</w:t>
      </w:r>
      <w:r>
        <w:rPr>
          <w:spacing w:val="-4"/>
          <w:sz w:val="24"/>
        </w:rPr>
        <w:t> </w:t>
      </w:r>
      <w:r>
        <w:rPr>
          <w:sz w:val="24"/>
        </w:rPr>
        <w:t>the</w:t>
      </w:r>
      <w:r>
        <w:rPr>
          <w:spacing w:val="-4"/>
          <w:sz w:val="24"/>
        </w:rPr>
        <w:t> </w:t>
      </w:r>
      <w:r>
        <w:rPr>
          <w:sz w:val="24"/>
        </w:rPr>
        <w:t>Commission,</w:t>
      </w:r>
      <w:r>
        <w:rPr>
          <w:spacing w:val="-4"/>
          <w:sz w:val="24"/>
        </w:rPr>
        <w:t> </w:t>
      </w:r>
      <w:r>
        <w:rPr>
          <w:sz w:val="24"/>
        </w:rPr>
        <w:t>Policy</w:t>
      </w:r>
      <w:r>
        <w:rPr>
          <w:spacing w:val="-4"/>
          <w:sz w:val="24"/>
        </w:rPr>
        <w:t> </w:t>
      </w:r>
      <w:r>
        <w:rPr>
          <w:sz w:val="24"/>
        </w:rPr>
        <w:t>Administration and Development staff will manage the promulgation process.</w:t>
      </w:r>
    </w:p>
    <w:p>
      <w:pPr>
        <w:pStyle w:val="ListParagraph"/>
        <w:numPr>
          <w:ilvl w:val="0"/>
          <w:numId w:val="51"/>
        </w:numPr>
        <w:tabs>
          <w:tab w:pos="718" w:val="left" w:leader="none"/>
        </w:tabs>
        <w:spacing w:line="208" w:lineRule="auto" w:before="239" w:after="0"/>
        <w:ind w:left="359" w:right="1180" w:firstLine="0"/>
        <w:jc w:val="left"/>
        <w:rPr>
          <w:sz w:val="24"/>
        </w:rPr>
      </w:pPr>
      <w:r>
        <w:rPr>
          <w:b/>
          <w:sz w:val="24"/>
        </w:rPr>
        <w:t>New</w:t>
      </w:r>
      <w:r>
        <w:rPr>
          <w:b/>
          <w:spacing w:val="-2"/>
          <w:sz w:val="24"/>
        </w:rPr>
        <w:t> </w:t>
      </w:r>
      <w:r>
        <w:rPr>
          <w:b/>
          <w:sz w:val="24"/>
        </w:rPr>
        <w:t>or</w:t>
      </w:r>
      <w:r>
        <w:rPr>
          <w:b/>
          <w:spacing w:val="-5"/>
          <w:sz w:val="24"/>
        </w:rPr>
        <w:t> </w:t>
      </w:r>
      <w:r>
        <w:rPr>
          <w:b/>
          <w:sz w:val="24"/>
        </w:rPr>
        <w:t>Revised</w:t>
      </w:r>
      <w:r>
        <w:rPr>
          <w:b/>
          <w:spacing w:val="-3"/>
          <w:sz w:val="24"/>
        </w:rPr>
        <w:t> </w:t>
      </w:r>
      <w:r>
        <w:rPr>
          <w:b/>
          <w:sz w:val="24"/>
        </w:rPr>
        <w:t>Internal</w:t>
      </w:r>
      <w:r>
        <w:rPr>
          <w:b/>
          <w:spacing w:val="-2"/>
          <w:sz w:val="24"/>
        </w:rPr>
        <w:t> </w:t>
      </w:r>
      <w:r>
        <w:rPr>
          <w:b/>
          <w:sz w:val="24"/>
        </w:rPr>
        <w:t>Policy.</w:t>
      </w:r>
      <w:r>
        <w:rPr>
          <w:b/>
          <w:spacing w:val="40"/>
          <w:sz w:val="24"/>
        </w:rPr>
        <w:t> </w:t>
      </w:r>
      <w:r>
        <w:rPr>
          <w:sz w:val="24"/>
        </w:rPr>
        <w:t>New</w:t>
      </w:r>
      <w:r>
        <w:rPr>
          <w:spacing w:val="-3"/>
          <w:sz w:val="24"/>
        </w:rPr>
        <w:t> </w:t>
      </w:r>
      <w:r>
        <w:rPr>
          <w:sz w:val="24"/>
        </w:rPr>
        <w:t>internal</w:t>
      </w:r>
      <w:r>
        <w:rPr>
          <w:spacing w:val="-3"/>
          <w:sz w:val="24"/>
        </w:rPr>
        <w:t> </w:t>
      </w:r>
      <w:r>
        <w:rPr>
          <w:sz w:val="24"/>
        </w:rPr>
        <w:t>policies</w:t>
      </w:r>
      <w:r>
        <w:rPr>
          <w:spacing w:val="-3"/>
          <w:sz w:val="24"/>
        </w:rPr>
        <w:t> </w:t>
      </w:r>
      <w:r>
        <w:rPr>
          <w:sz w:val="24"/>
        </w:rPr>
        <w:t>may</w:t>
      </w:r>
      <w:r>
        <w:rPr>
          <w:spacing w:val="-3"/>
          <w:sz w:val="24"/>
        </w:rPr>
        <w:t> </w:t>
      </w:r>
      <w:r>
        <w:rPr>
          <w:sz w:val="24"/>
        </w:rPr>
        <w:t>be</w:t>
      </w:r>
      <w:r>
        <w:rPr>
          <w:spacing w:val="-4"/>
          <w:sz w:val="24"/>
        </w:rPr>
        <w:t> </w:t>
      </w:r>
      <w:r>
        <w:rPr>
          <w:sz w:val="24"/>
        </w:rPr>
        <w:t>developed</w:t>
      </w:r>
      <w:r>
        <w:rPr>
          <w:spacing w:val="-2"/>
          <w:sz w:val="24"/>
        </w:rPr>
        <w:t> </w:t>
      </w:r>
      <w:r>
        <w:rPr>
          <w:sz w:val="24"/>
        </w:rPr>
        <w:t>or</w:t>
      </w:r>
      <w:r>
        <w:rPr>
          <w:spacing w:val="-3"/>
          <w:sz w:val="24"/>
        </w:rPr>
        <w:t> </w:t>
      </w:r>
      <w:r>
        <w:rPr>
          <w:sz w:val="24"/>
        </w:rPr>
        <w:t>an existing internal policy revised utilizing the following procedures:</w:t>
      </w:r>
    </w:p>
    <w:p>
      <w:pPr>
        <w:pStyle w:val="ListParagraph"/>
        <w:numPr>
          <w:ilvl w:val="1"/>
          <w:numId w:val="51"/>
        </w:numPr>
        <w:tabs>
          <w:tab w:pos="1217" w:val="left" w:leader="none"/>
        </w:tabs>
        <w:spacing w:line="208" w:lineRule="auto" w:before="240" w:after="0"/>
        <w:ind w:left="791" w:right="1333" w:firstLine="0"/>
        <w:jc w:val="left"/>
        <w:rPr>
          <w:sz w:val="24"/>
        </w:rPr>
      </w:pPr>
      <w:r>
        <w:rPr>
          <w:sz w:val="24"/>
        </w:rPr>
        <w:t>Program administrators may submit proposed internal policy additions or revisions</w:t>
      </w:r>
      <w:r>
        <w:rPr>
          <w:spacing w:val="-4"/>
          <w:sz w:val="24"/>
        </w:rPr>
        <w:t> </w:t>
      </w:r>
      <w:r>
        <w:rPr>
          <w:sz w:val="24"/>
        </w:rPr>
        <w:t>to</w:t>
      </w:r>
      <w:r>
        <w:rPr>
          <w:spacing w:val="-4"/>
          <w:sz w:val="24"/>
        </w:rPr>
        <w:t> </w:t>
      </w:r>
      <w:r>
        <w:rPr>
          <w:sz w:val="24"/>
        </w:rPr>
        <w:t>the</w:t>
      </w:r>
      <w:r>
        <w:rPr>
          <w:spacing w:val="-4"/>
          <w:sz w:val="24"/>
        </w:rPr>
        <w:t> </w:t>
      </w:r>
      <w:r>
        <w:rPr>
          <w:sz w:val="24"/>
        </w:rPr>
        <w:t>division</w:t>
      </w:r>
      <w:r>
        <w:rPr>
          <w:spacing w:val="-4"/>
          <w:sz w:val="24"/>
        </w:rPr>
        <w:t> </w:t>
      </w:r>
      <w:r>
        <w:rPr>
          <w:sz w:val="24"/>
        </w:rPr>
        <w:t>administrator,</w:t>
      </w:r>
      <w:r>
        <w:rPr>
          <w:spacing w:val="-3"/>
          <w:sz w:val="24"/>
        </w:rPr>
        <w:t> </w:t>
      </w:r>
      <w:r>
        <w:rPr>
          <w:sz w:val="24"/>
        </w:rPr>
        <w:t>superintendent</w:t>
      </w:r>
      <w:r>
        <w:rPr>
          <w:spacing w:val="-3"/>
          <w:sz w:val="24"/>
        </w:rPr>
        <w:t> </w:t>
      </w:r>
      <w:r>
        <w:rPr>
          <w:sz w:val="24"/>
        </w:rPr>
        <w:t>or</w:t>
      </w:r>
      <w:r>
        <w:rPr>
          <w:spacing w:val="-3"/>
          <w:sz w:val="24"/>
        </w:rPr>
        <w:t> </w:t>
      </w:r>
      <w:r>
        <w:rPr>
          <w:sz w:val="24"/>
        </w:rPr>
        <w:t>director.</w:t>
      </w:r>
      <w:r>
        <w:rPr>
          <w:spacing w:val="-3"/>
          <w:sz w:val="24"/>
        </w:rPr>
        <w:t> </w:t>
      </w:r>
      <w:r>
        <w:rPr>
          <w:sz w:val="24"/>
        </w:rPr>
        <w:t>A</w:t>
      </w:r>
      <w:r>
        <w:rPr>
          <w:spacing w:val="-6"/>
          <w:sz w:val="24"/>
        </w:rPr>
        <w:t> </w:t>
      </w:r>
      <w:r>
        <w:rPr>
          <w:sz w:val="24"/>
        </w:rPr>
        <w:t>draft</w:t>
      </w:r>
      <w:r>
        <w:rPr>
          <w:spacing w:val="-3"/>
          <w:sz w:val="24"/>
        </w:rPr>
        <w:t> </w:t>
      </w:r>
      <w:r>
        <w:rPr>
          <w:sz w:val="24"/>
        </w:rPr>
        <w:t>of</w:t>
      </w:r>
      <w:r>
        <w:rPr>
          <w:spacing w:val="-5"/>
          <w:sz w:val="24"/>
        </w:rPr>
        <w:t> </w:t>
      </w:r>
      <w:r>
        <w:rPr>
          <w:sz w:val="24"/>
        </w:rPr>
        <w:t>the proposed internal policy will be reviewed by legal counsel for consistency with existing law.</w:t>
      </w:r>
    </w:p>
    <w:p>
      <w:pPr>
        <w:pStyle w:val="ListParagraph"/>
        <w:numPr>
          <w:ilvl w:val="1"/>
          <w:numId w:val="51"/>
        </w:numPr>
        <w:tabs>
          <w:tab w:pos="1216" w:val="left" w:leader="none"/>
        </w:tabs>
        <w:spacing w:line="208" w:lineRule="auto" w:before="240" w:after="0"/>
        <w:ind w:left="791" w:right="979" w:firstLine="0"/>
        <w:jc w:val="left"/>
        <w:rPr>
          <w:sz w:val="24"/>
        </w:rPr>
      </w:pPr>
      <w:r>
        <w:rPr>
          <w:sz w:val="24"/>
        </w:rPr>
        <w:t>Once</w:t>
      </w:r>
      <w:r>
        <w:rPr>
          <w:spacing w:val="-3"/>
          <w:sz w:val="24"/>
        </w:rPr>
        <w:t> </w:t>
      </w:r>
      <w:r>
        <w:rPr>
          <w:sz w:val="24"/>
        </w:rPr>
        <w:t>approved</w:t>
      </w:r>
      <w:r>
        <w:rPr>
          <w:spacing w:val="-3"/>
          <w:sz w:val="24"/>
        </w:rPr>
        <w:t> </w:t>
      </w:r>
      <w:r>
        <w:rPr>
          <w:sz w:val="24"/>
        </w:rPr>
        <w:t>by</w:t>
      </w:r>
      <w:r>
        <w:rPr>
          <w:spacing w:val="-2"/>
          <w:sz w:val="24"/>
        </w:rPr>
        <w:t> </w:t>
      </w:r>
      <w:r>
        <w:rPr>
          <w:sz w:val="24"/>
        </w:rPr>
        <w:t>the</w:t>
      </w:r>
      <w:r>
        <w:rPr>
          <w:spacing w:val="-3"/>
          <w:sz w:val="24"/>
        </w:rPr>
        <w:t> </w:t>
      </w:r>
      <w:r>
        <w:rPr>
          <w:sz w:val="24"/>
        </w:rPr>
        <w:t>director</w:t>
      </w:r>
      <w:r>
        <w:rPr>
          <w:spacing w:val="-2"/>
          <w:sz w:val="24"/>
        </w:rPr>
        <w:t> </w:t>
      </w:r>
      <w:r>
        <w:rPr>
          <w:sz w:val="24"/>
        </w:rPr>
        <w:t>and</w:t>
      </w:r>
      <w:r>
        <w:rPr>
          <w:spacing w:val="-3"/>
          <w:sz w:val="24"/>
        </w:rPr>
        <w:t> </w:t>
      </w:r>
      <w:r>
        <w:rPr>
          <w:sz w:val="24"/>
        </w:rPr>
        <w:t>legal</w:t>
      </w:r>
      <w:r>
        <w:rPr>
          <w:spacing w:val="-2"/>
          <w:sz w:val="24"/>
        </w:rPr>
        <w:t> </w:t>
      </w:r>
      <w:r>
        <w:rPr>
          <w:sz w:val="24"/>
        </w:rPr>
        <w:t>counsel,</w:t>
      </w:r>
      <w:r>
        <w:rPr>
          <w:spacing w:val="-2"/>
          <w:sz w:val="24"/>
        </w:rPr>
        <w:t> </w:t>
      </w:r>
      <w:r>
        <w:rPr>
          <w:sz w:val="24"/>
        </w:rPr>
        <w:t>the</w:t>
      </w:r>
      <w:r>
        <w:rPr>
          <w:spacing w:val="-3"/>
          <w:sz w:val="24"/>
        </w:rPr>
        <w:t> </w:t>
      </w:r>
      <w:r>
        <w:rPr>
          <w:sz w:val="24"/>
        </w:rPr>
        <w:t>proposed</w:t>
      </w:r>
      <w:r>
        <w:rPr>
          <w:spacing w:val="-2"/>
          <w:sz w:val="24"/>
        </w:rPr>
        <w:t> </w:t>
      </w:r>
      <w:r>
        <w:rPr>
          <w:sz w:val="24"/>
        </w:rPr>
        <w:t>internal</w:t>
      </w:r>
      <w:r>
        <w:rPr>
          <w:spacing w:val="-3"/>
          <w:sz w:val="24"/>
        </w:rPr>
        <w:t> </w:t>
      </w:r>
      <w:r>
        <w:rPr>
          <w:sz w:val="24"/>
        </w:rPr>
        <w:t>policy with</w:t>
      </w:r>
      <w:r>
        <w:rPr>
          <w:spacing w:val="-3"/>
          <w:sz w:val="24"/>
        </w:rPr>
        <w:t> </w:t>
      </w:r>
      <w:r>
        <w:rPr>
          <w:sz w:val="24"/>
        </w:rPr>
        <w:t>a</w:t>
      </w:r>
      <w:r>
        <w:rPr>
          <w:spacing w:val="-3"/>
          <w:sz w:val="24"/>
        </w:rPr>
        <w:t> </w:t>
      </w:r>
      <w:r>
        <w:rPr>
          <w:sz w:val="24"/>
        </w:rPr>
        <w:t>proposed</w:t>
      </w:r>
      <w:r>
        <w:rPr>
          <w:spacing w:val="-3"/>
          <w:sz w:val="24"/>
        </w:rPr>
        <w:t> </w:t>
      </w:r>
      <w:r>
        <w:rPr>
          <w:sz w:val="24"/>
        </w:rPr>
        <w:t>"DRS:</w:t>
      </w:r>
      <w:r>
        <w:rPr>
          <w:spacing w:val="-3"/>
          <w:sz w:val="24"/>
        </w:rPr>
        <w:t> </w:t>
      </w:r>
      <w:r>
        <w:rPr>
          <w:sz w:val="24"/>
        </w:rPr>
        <w:t>"</w:t>
      </w:r>
      <w:r>
        <w:rPr>
          <w:spacing w:val="-3"/>
          <w:sz w:val="24"/>
        </w:rPr>
        <w:t> </w:t>
      </w:r>
      <w:r>
        <w:rPr>
          <w:sz w:val="24"/>
        </w:rPr>
        <w:t>citation</w:t>
      </w:r>
      <w:r>
        <w:rPr>
          <w:spacing w:val="-3"/>
          <w:sz w:val="24"/>
        </w:rPr>
        <w:t> </w:t>
      </w:r>
      <w:r>
        <w:rPr>
          <w:sz w:val="24"/>
        </w:rPr>
        <w:t>will</w:t>
      </w:r>
      <w:r>
        <w:rPr>
          <w:spacing w:val="-3"/>
          <w:sz w:val="24"/>
        </w:rPr>
        <w:t> </w:t>
      </w:r>
      <w:r>
        <w:rPr>
          <w:sz w:val="24"/>
        </w:rPr>
        <w:t>be</w:t>
      </w:r>
      <w:r>
        <w:rPr>
          <w:spacing w:val="-3"/>
          <w:sz w:val="24"/>
        </w:rPr>
        <w:t> </w:t>
      </w:r>
      <w:r>
        <w:rPr>
          <w:sz w:val="24"/>
        </w:rPr>
        <w:t>submitted</w:t>
      </w:r>
      <w:r>
        <w:rPr>
          <w:spacing w:val="-3"/>
          <w:sz w:val="24"/>
        </w:rPr>
        <w:t> </w:t>
      </w:r>
      <w:r>
        <w:rPr>
          <w:sz w:val="24"/>
        </w:rPr>
        <w:t>to</w:t>
      </w:r>
      <w:r>
        <w:rPr>
          <w:spacing w:val="-4"/>
          <w:sz w:val="24"/>
        </w:rPr>
        <w:t> </w:t>
      </w:r>
      <w:r>
        <w:rPr>
          <w:sz w:val="24"/>
        </w:rPr>
        <w:t>the</w:t>
      </w:r>
      <w:r>
        <w:rPr>
          <w:spacing w:val="-3"/>
          <w:sz w:val="24"/>
        </w:rPr>
        <w:t> </w:t>
      </w:r>
      <w:r>
        <w:rPr>
          <w:sz w:val="24"/>
        </w:rPr>
        <w:t>Policy</w:t>
      </w:r>
      <w:r>
        <w:rPr>
          <w:spacing w:val="-3"/>
          <w:sz w:val="24"/>
        </w:rPr>
        <w:t> </w:t>
      </w:r>
      <w:r>
        <w:rPr>
          <w:sz w:val="24"/>
        </w:rPr>
        <w:t>Administration</w:t>
      </w:r>
      <w:r>
        <w:rPr>
          <w:spacing w:val="-2"/>
          <w:sz w:val="24"/>
        </w:rPr>
        <w:t> </w:t>
      </w:r>
      <w:r>
        <w:rPr>
          <w:sz w:val="24"/>
        </w:rPr>
        <w:t>and Development Project Coordinator or designee who will be responsible for the presentation to the Commission. Proposed internal policies may be submitted for review and discussion only or for immediate adoption at the director’s discretion.</w:t>
      </w:r>
    </w:p>
    <w:p>
      <w:pPr>
        <w:pStyle w:val="ListParagraph"/>
        <w:numPr>
          <w:ilvl w:val="1"/>
          <w:numId w:val="51"/>
        </w:numPr>
        <w:tabs>
          <w:tab w:pos="1216" w:val="left" w:leader="none"/>
        </w:tabs>
        <w:spacing w:line="208" w:lineRule="auto" w:before="239" w:after="0"/>
        <w:ind w:left="791" w:right="1120" w:firstLine="0"/>
        <w:jc w:val="left"/>
        <w:rPr>
          <w:sz w:val="24"/>
        </w:rPr>
      </w:pPr>
      <w:r>
        <w:rPr>
          <w:sz w:val="24"/>
        </w:rPr>
        <w:t>Once</w:t>
      </w:r>
      <w:r>
        <w:rPr>
          <w:spacing w:val="-3"/>
          <w:sz w:val="24"/>
        </w:rPr>
        <w:t> </w:t>
      </w:r>
      <w:r>
        <w:rPr>
          <w:sz w:val="24"/>
        </w:rPr>
        <w:t>adopted</w:t>
      </w:r>
      <w:r>
        <w:rPr>
          <w:spacing w:val="-3"/>
          <w:sz w:val="24"/>
        </w:rPr>
        <w:t> </w:t>
      </w:r>
      <w:r>
        <w:rPr>
          <w:sz w:val="24"/>
        </w:rPr>
        <w:t>by</w:t>
      </w:r>
      <w:r>
        <w:rPr>
          <w:spacing w:val="-3"/>
          <w:sz w:val="24"/>
        </w:rPr>
        <w:t> </w:t>
      </w:r>
      <w:r>
        <w:rPr>
          <w:sz w:val="24"/>
        </w:rPr>
        <w:t>the</w:t>
      </w:r>
      <w:r>
        <w:rPr>
          <w:spacing w:val="-3"/>
          <w:sz w:val="24"/>
        </w:rPr>
        <w:t> </w:t>
      </w:r>
      <w:r>
        <w:rPr>
          <w:sz w:val="24"/>
        </w:rPr>
        <w:t>Commission,</w:t>
      </w:r>
      <w:r>
        <w:rPr>
          <w:spacing w:val="-3"/>
          <w:sz w:val="24"/>
        </w:rPr>
        <w:t> </w:t>
      </w:r>
      <w:r>
        <w:rPr>
          <w:sz w:val="24"/>
        </w:rPr>
        <w:t>the</w:t>
      </w:r>
      <w:r>
        <w:rPr>
          <w:spacing w:val="-3"/>
          <w:sz w:val="24"/>
        </w:rPr>
        <w:t> </w:t>
      </w:r>
      <w:r>
        <w:rPr>
          <w:sz w:val="24"/>
        </w:rPr>
        <w:t>internal</w:t>
      </w:r>
      <w:r>
        <w:rPr>
          <w:spacing w:val="-3"/>
          <w:sz w:val="24"/>
        </w:rPr>
        <w:t> </w:t>
      </w:r>
      <w:r>
        <w:rPr>
          <w:sz w:val="24"/>
        </w:rPr>
        <w:t>policy</w:t>
      </w:r>
      <w:r>
        <w:rPr>
          <w:spacing w:val="-3"/>
          <w:sz w:val="24"/>
        </w:rPr>
        <w:t> </w:t>
      </w:r>
      <w:r>
        <w:rPr>
          <w:sz w:val="24"/>
        </w:rPr>
        <w:t>will</w:t>
      </w:r>
      <w:r>
        <w:rPr>
          <w:spacing w:val="-3"/>
          <w:sz w:val="24"/>
        </w:rPr>
        <w:t> </w:t>
      </w:r>
      <w:r>
        <w:rPr>
          <w:sz w:val="24"/>
        </w:rPr>
        <w:t>be</w:t>
      </w:r>
      <w:r>
        <w:rPr>
          <w:spacing w:val="-3"/>
          <w:sz w:val="24"/>
        </w:rPr>
        <w:t> </w:t>
      </w:r>
      <w:r>
        <w:rPr>
          <w:sz w:val="24"/>
        </w:rPr>
        <w:t>published</w:t>
      </w:r>
      <w:r>
        <w:rPr>
          <w:spacing w:val="-3"/>
          <w:sz w:val="24"/>
        </w:rPr>
        <w:t> </w:t>
      </w:r>
      <w:r>
        <w:rPr>
          <w:sz w:val="24"/>
        </w:rPr>
        <w:t>in</w:t>
      </w:r>
      <w:r>
        <w:rPr>
          <w:spacing w:val="-3"/>
          <w:sz w:val="24"/>
        </w:rPr>
        <w:t> </w:t>
      </w:r>
      <w:r>
        <w:rPr>
          <w:sz w:val="24"/>
        </w:rPr>
        <w:t>the Internal Policy Manual by the Policy Administration and Development Section.</w:t>
      </w:r>
    </w:p>
    <w:p>
      <w:pPr>
        <w:pStyle w:val="ListParagraph"/>
        <w:numPr>
          <w:ilvl w:val="0"/>
          <w:numId w:val="51"/>
        </w:numPr>
        <w:tabs>
          <w:tab w:pos="786" w:val="left" w:leader="none"/>
        </w:tabs>
        <w:spacing w:line="208" w:lineRule="auto" w:before="240" w:after="0"/>
        <w:ind w:left="360" w:right="1156" w:firstLine="0"/>
        <w:jc w:val="left"/>
        <w:rPr>
          <w:sz w:val="24"/>
        </w:rPr>
      </w:pPr>
      <w:r>
        <w:rPr>
          <w:b/>
          <w:sz w:val="24"/>
        </w:rPr>
        <w:t>Effective</w:t>
      </w:r>
      <w:r>
        <w:rPr>
          <w:b/>
          <w:spacing w:val="-4"/>
          <w:sz w:val="24"/>
        </w:rPr>
        <w:t> </w:t>
      </w:r>
      <w:r>
        <w:rPr>
          <w:b/>
          <w:sz w:val="24"/>
        </w:rPr>
        <w:t>Dates</w:t>
      </w:r>
      <w:r>
        <w:rPr>
          <w:b/>
          <w:spacing w:val="-4"/>
          <w:sz w:val="24"/>
        </w:rPr>
        <w:t> </w:t>
      </w:r>
      <w:r>
        <w:rPr>
          <w:b/>
          <w:sz w:val="24"/>
        </w:rPr>
        <w:t>of</w:t>
      </w:r>
      <w:r>
        <w:rPr>
          <w:b/>
          <w:spacing w:val="-3"/>
          <w:sz w:val="24"/>
        </w:rPr>
        <w:t> </w:t>
      </w:r>
      <w:r>
        <w:rPr>
          <w:b/>
          <w:sz w:val="24"/>
        </w:rPr>
        <w:t>Internal</w:t>
      </w:r>
      <w:r>
        <w:rPr>
          <w:b/>
          <w:spacing w:val="-5"/>
          <w:sz w:val="24"/>
        </w:rPr>
        <w:t> </w:t>
      </w:r>
      <w:r>
        <w:rPr>
          <w:b/>
          <w:sz w:val="24"/>
        </w:rPr>
        <w:t>Policy</w:t>
      </w:r>
      <w:r>
        <w:rPr>
          <w:b/>
          <w:spacing w:val="-4"/>
          <w:sz w:val="24"/>
        </w:rPr>
        <w:t> </w:t>
      </w:r>
      <w:r>
        <w:rPr>
          <w:b/>
          <w:sz w:val="24"/>
        </w:rPr>
        <w:t>and</w:t>
      </w:r>
      <w:r>
        <w:rPr>
          <w:b/>
          <w:spacing w:val="-4"/>
          <w:sz w:val="24"/>
        </w:rPr>
        <w:t> </w:t>
      </w:r>
      <w:r>
        <w:rPr>
          <w:b/>
          <w:sz w:val="24"/>
        </w:rPr>
        <w:t>Rule</w:t>
      </w:r>
      <w:r>
        <w:rPr>
          <w:b/>
          <w:spacing w:val="-4"/>
          <w:sz w:val="24"/>
        </w:rPr>
        <w:t> </w:t>
      </w:r>
      <w:r>
        <w:rPr>
          <w:b/>
          <w:sz w:val="24"/>
        </w:rPr>
        <w:t>Revisions.</w:t>
      </w:r>
      <w:r>
        <w:rPr>
          <w:b/>
          <w:spacing w:val="40"/>
          <w:sz w:val="24"/>
        </w:rPr>
        <w:t> </w:t>
      </w:r>
      <w:r>
        <w:rPr>
          <w:sz w:val="24"/>
        </w:rPr>
        <w:t>The</w:t>
      </w:r>
      <w:r>
        <w:rPr>
          <w:spacing w:val="-4"/>
          <w:sz w:val="24"/>
        </w:rPr>
        <w:t> </w:t>
      </w:r>
      <w:r>
        <w:rPr>
          <w:sz w:val="24"/>
        </w:rPr>
        <w:t>effective</w:t>
      </w:r>
      <w:r>
        <w:rPr>
          <w:spacing w:val="-5"/>
          <w:sz w:val="24"/>
        </w:rPr>
        <w:t> </w:t>
      </w:r>
      <w:r>
        <w:rPr>
          <w:sz w:val="24"/>
        </w:rPr>
        <w:t>dates</w:t>
      </w:r>
      <w:r>
        <w:rPr>
          <w:spacing w:val="-4"/>
          <w:sz w:val="24"/>
        </w:rPr>
        <w:t> </w:t>
      </w:r>
      <w:r>
        <w:rPr>
          <w:sz w:val="24"/>
        </w:rPr>
        <w:t>of internal policy and rule revisions will be determined as follows:</w:t>
      </w:r>
    </w:p>
    <w:p>
      <w:pPr>
        <w:pStyle w:val="ListParagraph"/>
        <w:numPr>
          <w:ilvl w:val="1"/>
          <w:numId w:val="51"/>
        </w:numPr>
        <w:tabs>
          <w:tab w:pos="1218" w:val="left" w:leader="none"/>
        </w:tabs>
        <w:spacing w:line="208" w:lineRule="auto" w:before="240" w:after="0"/>
        <w:ind w:left="792" w:right="935" w:firstLine="0"/>
        <w:jc w:val="left"/>
        <w:rPr>
          <w:sz w:val="24"/>
        </w:rPr>
      </w:pPr>
      <w:r>
        <w:rPr>
          <w:sz w:val="24"/>
        </w:rPr>
        <w:t>The effective date will be noted in the section history of the adopted internal policy</w:t>
      </w:r>
      <w:r>
        <w:rPr>
          <w:spacing w:val="-3"/>
          <w:sz w:val="24"/>
        </w:rPr>
        <w:t> </w:t>
      </w:r>
      <w:r>
        <w:rPr>
          <w:sz w:val="24"/>
        </w:rPr>
        <w:t>or</w:t>
      </w:r>
      <w:r>
        <w:rPr>
          <w:spacing w:val="-2"/>
          <w:sz w:val="24"/>
        </w:rPr>
        <w:t> </w:t>
      </w:r>
      <w:r>
        <w:rPr>
          <w:sz w:val="24"/>
        </w:rPr>
        <w:t>rule.</w:t>
      </w:r>
      <w:r>
        <w:rPr>
          <w:spacing w:val="-2"/>
          <w:sz w:val="24"/>
        </w:rPr>
        <w:t> </w:t>
      </w:r>
      <w:r>
        <w:rPr>
          <w:sz w:val="24"/>
        </w:rPr>
        <w:t>Internal</w:t>
      </w:r>
      <w:r>
        <w:rPr>
          <w:spacing w:val="-5"/>
          <w:sz w:val="24"/>
        </w:rPr>
        <w:t> </w:t>
      </w:r>
      <w:r>
        <w:rPr>
          <w:sz w:val="24"/>
        </w:rPr>
        <w:t>policies</w:t>
      </w:r>
      <w:r>
        <w:rPr>
          <w:spacing w:val="-3"/>
          <w:sz w:val="24"/>
        </w:rPr>
        <w:t> </w:t>
      </w:r>
      <w:r>
        <w:rPr>
          <w:sz w:val="24"/>
        </w:rPr>
        <w:t>or</w:t>
      </w:r>
      <w:r>
        <w:rPr>
          <w:spacing w:val="-2"/>
          <w:sz w:val="24"/>
        </w:rPr>
        <w:t> </w:t>
      </w:r>
      <w:r>
        <w:rPr>
          <w:sz w:val="24"/>
        </w:rPr>
        <w:t>rules</w:t>
      </w:r>
      <w:r>
        <w:rPr>
          <w:spacing w:val="-3"/>
          <w:sz w:val="24"/>
        </w:rPr>
        <w:t> </w:t>
      </w:r>
      <w:r>
        <w:rPr>
          <w:sz w:val="24"/>
        </w:rPr>
        <w:t>can</w:t>
      </w:r>
      <w:r>
        <w:rPr>
          <w:spacing w:val="-3"/>
          <w:sz w:val="24"/>
        </w:rPr>
        <w:t> </w:t>
      </w:r>
      <w:r>
        <w:rPr>
          <w:sz w:val="24"/>
        </w:rPr>
        <w:t>only</w:t>
      </w:r>
      <w:r>
        <w:rPr>
          <w:spacing w:val="-3"/>
          <w:sz w:val="24"/>
        </w:rPr>
        <w:t> </w:t>
      </w:r>
      <w:r>
        <w:rPr>
          <w:sz w:val="24"/>
        </w:rPr>
        <w:t>be</w:t>
      </w:r>
      <w:r>
        <w:rPr>
          <w:spacing w:val="-3"/>
          <w:sz w:val="24"/>
        </w:rPr>
        <w:t> </w:t>
      </w:r>
      <w:r>
        <w:rPr>
          <w:sz w:val="24"/>
        </w:rPr>
        <w:t>applied</w:t>
      </w:r>
      <w:r>
        <w:rPr>
          <w:spacing w:val="-3"/>
          <w:sz w:val="24"/>
        </w:rPr>
        <w:t> </w:t>
      </w:r>
      <w:r>
        <w:rPr>
          <w:sz w:val="24"/>
        </w:rPr>
        <w:t>prospectively</w:t>
      </w:r>
      <w:r>
        <w:rPr>
          <w:spacing w:val="-3"/>
          <w:sz w:val="24"/>
        </w:rPr>
        <w:t> </w:t>
      </w:r>
      <w:r>
        <w:rPr>
          <w:sz w:val="24"/>
        </w:rPr>
        <w:t>from</w:t>
      </w:r>
      <w:r>
        <w:rPr>
          <w:spacing w:val="-4"/>
          <w:sz w:val="24"/>
        </w:rPr>
        <w:t> </w:t>
      </w:r>
      <w:r>
        <w:rPr>
          <w:sz w:val="24"/>
        </w:rPr>
        <w:t>their effective date.</w:t>
      </w:r>
    </w:p>
    <w:p>
      <w:pPr>
        <w:pStyle w:val="ListParagraph"/>
        <w:spacing w:after="0" w:line="208" w:lineRule="auto"/>
        <w:jc w:val="left"/>
        <w:rPr>
          <w:sz w:val="24"/>
        </w:rPr>
        <w:sectPr>
          <w:pgSz w:w="12240" w:h="15840"/>
          <w:pgMar w:top="1340" w:bottom="280" w:left="1080" w:right="720"/>
        </w:sectPr>
      </w:pPr>
    </w:p>
    <w:p>
      <w:pPr>
        <w:pStyle w:val="ListParagraph"/>
        <w:numPr>
          <w:ilvl w:val="1"/>
          <w:numId w:val="51"/>
        </w:numPr>
        <w:tabs>
          <w:tab w:pos="1216" w:val="left" w:leader="none"/>
        </w:tabs>
        <w:spacing w:line="208" w:lineRule="auto" w:before="96" w:after="0"/>
        <w:ind w:left="791" w:right="2014" w:firstLine="0"/>
        <w:jc w:val="left"/>
        <w:rPr>
          <w:sz w:val="24"/>
        </w:rPr>
      </w:pPr>
      <w:r>
        <w:rPr>
          <w:sz w:val="24"/>
        </w:rPr>
        <w:t>Internal</w:t>
      </w:r>
      <w:r>
        <w:rPr>
          <w:spacing w:val="-5"/>
          <w:sz w:val="24"/>
        </w:rPr>
        <w:t> </w:t>
      </w:r>
      <w:r>
        <w:rPr>
          <w:sz w:val="24"/>
        </w:rPr>
        <w:t>policies</w:t>
      </w:r>
      <w:r>
        <w:rPr>
          <w:spacing w:val="-5"/>
          <w:sz w:val="24"/>
        </w:rPr>
        <w:t> </w:t>
      </w:r>
      <w:r>
        <w:rPr>
          <w:sz w:val="24"/>
        </w:rPr>
        <w:t>become</w:t>
      </w:r>
      <w:r>
        <w:rPr>
          <w:spacing w:val="-5"/>
          <w:sz w:val="24"/>
        </w:rPr>
        <w:t> </w:t>
      </w:r>
      <w:r>
        <w:rPr>
          <w:sz w:val="24"/>
        </w:rPr>
        <w:t>effective</w:t>
      </w:r>
      <w:r>
        <w:rPr>
          <w:spacing w:val="-5"/>
          <w:sz w:val="24"/>
        </w:rPr>
        <w:t> </w:t>
      </w:r>
      <w:r>
        <w:rPr>
          <w:sz w:val="24"/>
        </w:rPr>
        <w:t>immediately</w:t>
      </w:r>
      <w:r>
        <w:rPr>
          <w:spacing w:val="-5"/>
          <w:sz w:val="24"/>
        </w:rPr>
        <w:t> </w:t>
      </w:r>
      <w:r>
        <w:rPr>
          <w:sz w:val="24"/>
        </w:rPr>
        <w:t>upon</w:t>
      </w:r>
      <w:r>
        <w:rPr>
          <w:spacing w:val="-5"/>
          <w:sz w:val="24"/>
        </w:rPr>
        <w:t> </w:t>
      </w:r>
      <w:r>
        <w:rPr>
          <w:sz w:val="24"/>
        </w:rPr>
        <w:t>adoption</w:t>
      </w:r>
      <w:r>
        <w:rPr>
          <w:spacing w:val="-5"/>
          <w:sz w:val="24"/>
        </w:rPr>
        <w:t> </w:t>
      </w:r>
      <w:r>
        <w:rPr>
          <w:sz w:val="24"/>
        </w:rPr>
        <w:t>by</w:t>
      </w:r>
      <w:r>
        <w:rPr>
          <w:spacing w:val="-5"/>
          <w:sz w:val="24"/>
        </w:rPr>
        <w:t> </w:t>
      </w:r>
      <w:r>
        <w:rPr>
          <w:sz w:val="24"/>
        </w:rPr>
        <w:t>the </w:t>
      </w:r>
      <w:r>
        <w:rPr>
          <w:spacing w:val="-2"/>
          <w:sz w:val="24"/>
        </w:rPr>
        <w:t>Commission.</w:t>
      </w:r>
    </w:p>
    <w:p>
      <w:pPr>
        <w:pStyle w:val="ListParagraph"/>
        <w:numPr>
          <w:ilvl w:val="1"/>
          <w:numId w:val="51"/>
        </w:numPr>
        <w:tabs>
          <w:tab w:pos="1217" w:val="left" w:leader="none"/>
        </w:tabs>
        <w:spacing w:line="208" w:lineRule="auto" w:before="240" w:after="0"/>
        <w:ind w:left="791" w:right="785" w:firstLine="0"/>
        <w:jc w:val="left"/>
        <w:rPr>
          <w:sz w:val="24"/>
        </w:rPr>
      </w:pPr>
      <w:r>
        <w:rPr>
          <w:sz w:val="24"/>
        </w:rPr>
        <w:t>Permanent rules become effective ten days after they are published in the Oklahoma Register pursuant to the APA. DRS permanent rules will usually be published</w:t>
      </w:r>
      <w:r>
        <w:rPr>
          <w:spacing w:val="-3"/>
          <w:sz w:val="24"/>
        </w:rPr>
        <w:t> </w:t>
      </w:r>
      <w:r>
        <w:rPr>
          <w:sz w:val="24"/>
        </w:rPr>
        <w:t>following</w:t>
      </w:r>
      <w:r>
        <w:rPr>
          <w:spacing w:val="-3"/>
          <w:sz w:val="24"/>
        </w:rPr>
        <w:t> </w:t>
      </w:r>
      <w:r>
        <w:rPr>
          <w:sz w:val="24"/>
        </w:rPr>
        <w:t>the</w:t>
      </w:r>
      <w:r>
        <w:rPr>
          <w:spacing w:val="-3"/>
          <w:sz w:val="24"/>
        </w:rPr>
        <w:t> </w:t>
      </w:r>
      <w:r>
        <w:rPr>
          <w:sz w:val="24"/>
        </w:rPr>
        <w:t>legislative</w:t>
      </w:r>
      <w:r>
        <w:rPr>
          <w:spacing w:val="-3"/>
          <w:sz w:val="24"/>
        </w:rPr>
        <w:t> </w:t>
      </w:r>
      <w:r>
        <w:rPr>
          <w:sz w:val="24"/>
        </w:rPr>
        <w:t>session.</w:t>
      </w:r>
      <w:r>
        <w:rPr>
          <w:spacing w:val="-2"/>
          <w:sz w:val="24"/>
        </w:rPr>
        <w:t> </w:t>
      </w:r>
      <w:r>
        <w:rPr>
          <w:sz w:val="24"/>
        </w:rPr>
        <w:t>If</w:t>
      </w:r>
      <w:r>
        <w:rPr>
          <w:spacing w:val="-2"/>
          <w:sz w:val="24"/>
        </w:rPr>
        <w:t> </w:t>
      </w:r>
      <w:r>
        <w:rPr>
          <w:sz w:val="24"/>
        </w:rPr>
        <w:t>a</w:t>
      </w:r>
      <w:r>
        <w:rPr>
          <w:spacing w:val="-3"/>
          <w:sz w:val="24"/>
        </w:rPr>
        <w:t> </w:t>
      </w:r>
      <w:r>
        <w:rPr>
          <w:sz w:val="24"/>
        </w:rPr>
        <w:t>later</w:t>
      </w:r>
      <w:r>
        <w:rPr>
          <w:spacing w:val="-2"/>
          <w:sz w:val="24"/>
        </w:rPr>
        <w:t> </w:t>
      </w:r>
      <w:r>
        <w:rPr>
          <w:sz w:val="24"/>
        </w:rPr>
        <w:t>date</w:t>
      </w:r>
      <w:r>
        <w:rPr>
          <w:spacing w:val="-3"/>
          <w:sz w:val="24"/>
        </w:rPr>
        <w:t> </w:t>
      </w:r>
      <w:r>
        <w:rPr>
          <w:sz w:val="24"/>
        </w:rPr>
        <w:t>is</w:t>
      </w:r>
      <w:r>
        <w:rPr>
          <w:spacing w:val="-3"/>
          <w:sz w:val="24"/>
        </w:rPr>
        <w:t> </w:t>
      </w:r>
      <w:r>
        <w:rPr>
          <w:sz w:val="24"/>
        </w:rPr>
        <w:t>specified</w:t>
      </w:r>
      <w:r>
        <w:rPr>
          <w:spacing w:val="-3"/>
          <w:sz w:val="24"/>
        </w:rPr>
        <w:t> </w:t>
      </w:r>
      <w:r>
        <w:rPr>
          <w:sz w:val="24"/>
        </w:rPr>
        <w:t>in</w:t>
      </w:r>
      <w:r>
        <w:rPr>
          <w:spacing w:val="-3"/>
          <w:sz w:val="24"/>
        </w:rPr>
        <w:t> </w:t>
      </w:r>
      <w:r>
        <w:rPr>
          <w:sz w:val="24"/>
        </w:rPr>
        <w:t>statute,</w:t>
      </w:r>
      <w:r>
        <w:rPr>
          <w:spacing w:val="-2"/>
          <w:sz w:val="24"/>
        </w:rPr>
        <w:t> </w:t>
      </w:r>
      <w:r>
        <w:rPr>
          <w:sz w:val="24"/>
        </w:rPr>
        <w:t>or</w:t>
      </w:r>
      <w:r>
        <w:rPr>
          <w:spacing w:val="-2"/>
          <w:sz w:val="24"/>
        </w:rPr>
        <w:t> </w:t>
      </w:r>
      <w:r>
        <w:rPr>
          <w:sz w:val="24"/>
        </w:rPr>
        <w:t>in the rules, the later date will become the effective date.</w:t>
      </w:r>
    </w:p>
    <w:p>
      <w:pPr>
        <w:pStyle w:val="ListParagraph"/>
        <w:numPr>
          <w:ilvl w:val="1"/>
          <w:numId w:val="51"/>
        </w:numPr>
        <w:tabs>
          <w:tab w:pos="1217" w:val="left" w:leader="none"/>
        </w:tabs>
        <w:spacing w:line="208" w:lineRule="auto" w:before="239" w:after="0"/>
        <w:ind w:left="791" w:right="1083" w:firstLine="0"/>
        <w:jc w:val="left"/>
        <w:rPr>
          <w:sz w:val="24"/>
        </w:rPr>
      </w:pPr>
      <w:r>
        <w:rPr>
          <w:sz w:val="24"/>
        </w:rPr>
        <w:t>Emergency rules become effective immediately or at a stated date after certification</w:t>
      </w:r>
      <w:r>
        <w:rPr>
          <w:spacing w:val="-4"/>
          <w:sz w:val="24"/>
        </w:rPr>
        <w:t> </w:t>
      </w:r>
      <w:r>
        <w:rPr>
          <w:sz w:val="24"/>
        </w:rPr>
        <w:t>by</w:t>
      </w:r>
      <w:r>
        <w:rPr>
          <w:spacing w:val="-4"/>
          <w:sz w:val="24"/>
        </w:rPr>
        <w:t> </w:t>
      </w:r>
      <w:r>
        <w:rPr>
          <w:sz w:val="24"/>
        </w:rPr>
        <w:t>the</w:t>
      </w:r>
      <w:r>
        <w:rPr>
          <w:spacing w:val="-5"/>
          <w:sz w:val="24"/>
        </w:rPr>
        <w:t> </w:t>
      </w:r>
      <w:r>
        <w:rPr>
          <w:sz w:val="24"/>
        </w:rPr>
        <w:t>Governor.</w:t>
      </w:r>
      <w:r>
        <w:rPr>
          <w:spacing w:val="-3"/>
          <w:sz w:val="24"/>
        </w:rPr>
        <w:t> </w:t>
      </w:r>
      <w:r>
        <w:rPr>
          <w:sz w:val="24"/>
        </w:rPr>
        <w:t>The</w:t>
      </w:r>
      <w:r>
        <w:rPr>
          <w:spacing w:val="-5"/>
          <w:sz w:val="24"/>
        </w:rPr>
        <w:t> </w:t>
      </w:r>
      <w:r>
        <w:rPr>
          <w:sz w:val="24"/>
        </w:rPr>
        <w:t>Governor</w:t>
      </w:r>
      <w:r>
        <w:rPr>
          <w:spacing w:val="-3"/>
          <w:sz w:val="24"/>
        </w:rPr>
        <w:t> </w:t>
      </w:r>
      <w:r>
        <w:rPr>
          <w:sz w:val="24"/>
        </w:rPr>
        <w:t>has</w:t>
      </w:r>
      <w:r>
        <w:rPr>
          <w:spacing w:val="-4"/>
          <w:sz w:val="24"/>
        </w:rPr>
        <w:t> </w:t>
      </w:r>
      <w:r>
        <w:rPr>
          <w:sz w:val="24"/>
        </w:rPr>
        <w:t>forty-five</w:t>
      </w:r>
      <w:r>
        <w:rPr>
          <w:spacing w:val="-4"/>
          <w:sz w:val="24"/>
        </w:rPr>
        <w:t> </w:t>
      </w:r>
      <w:r>
        <w:rPr>
          <w:sz w:val="24"/>
        </w:rPr>
        <w:t>calendar</w:t>
      </w:r>
      <w:r>
        <w:rPr>
          <w:spacing w:val="-2"/>
          <w:sz w:val="24"/>
        </w:rPr>
        <w:t> </w:t>
      </w:r>
      <w:r>
        <w:rPr>
          <w:sz w:val="24"/>
        </w:rPr>
        <w:t>days</w:t>
      </w:r>
      <w:r>
        <w:rPr>
          <w:spacing w:val="-4"/>
          <w:sz w:val="24"/>
        </w:rPr>
        <w:t> </w:t>
      </w:r>
      <w:r>
        <w:rPr>
          <w:sz w:val="24"/>
        </w:rPr>
        <w:t>from</w:t>
      </w:r>
      <w:r>
        <w:rPr>
          <w:spacing w:val="-5"/>
          <w:sz w:val="24"/>
        </w:rPr>
        <w:t> </w:t>
      </w:r>
      <w:r>
        <w:rPr>
          <w:sz w:val="24"/>
        </w:rPr>
        <w:t>the date rules are submitted to review them.</w:t>
      </w:r>
    </w:p>
    <w:p>
      <w:pPr>
        <w:pStyle w:val="ListParagraph"/>
        <w:numPr>
          <w:ilvl w:val="1"/>
          <w:numId w:val="51"/>
        </w:numPr>
        <w:tabs>
          <w:tab w:pos="1217" w:val="left" w:leader="none"/>
        </w:tabs>
        <w:spacing w:line="208" w:lineRule="auto" w:before="240" w:after="0"/>
        <w:ind w:left="791" w:right="2016" w:firstLine="0"/>
        <w:jc w:val="left"/>
        <w:rPr>
          <w:sz w:val="24"/>
        </w:rPr>
      </w:pPr>
      <w:r>
        <w:rPr>
          <w:sz w:val="24"/>
        </w:rPr>
        <w:t>Policy</w:t>
      </w:r>
      <w:r>
        <w:rPr>
          <w:spacing w:val="-5"/>
          <w:sz w:val="24"/>
        </w:rPr>
        <w:t> </w:t>
      </w:r>
      <w:r>
        <w:rPr>
          <w:sz w:val="24"/>
        </w:rPr>
        <w:t>Section</w:t>
      </w:r>
      <w:r>
        <w:rPr>
          <w:spacing w:val="-5"/>
          <w:sz w:val="24"/>
        </w:rPr>
        <w:t> </w:t>
      </w:r>
      <w:r>
        <w:rPr>
          <w:sz w:val="24"/>
        </w:rPr>
        <w:t>staff</w:t>
      </w:r>
      <w:r>
        <w:rPr>
          <w:spacing w:val="-4"/>
          <w:sz w:val="24"/>
        </w:rPr>
        <w:t> </w:t>
      </w:r>
      <w:r>
        <w:rPr>
          <w:sz w:val="24"/>
        </w:rPr>
        <w:t>will</w:t>
      </w:r>
      <w:r>
        <w:rPr>
          <w:spacing w:val="-5"/>
          <w:sz w:val="24"/>
        </w:rPr>
        <w:t> </w:t>
      </w:r>
      <w:r>
        <w:rPr>
          <w:sz w:val="24"/>
        </w:rPr>
        <w:t>notify</w:t>
      </w:r>
      <w:r>
        <w:rPr>
          <w:spacing w:val="-5"/>
          <w:sz w:val="24"/>
        </w:rPr>
        <w:t> </w:t>
      </w:r>
      <w:r>
        <w:rPr>
          <w:sz w:val="24"/>
        </w:rPr>
        <w:t>the</w:t>
      </w:r>
      <w:r>
        <w:rPr>
          <w:spacing w:val="-5"/>
          <w:sz w:val="24"/>
        </w:rPr>
        <w:t> </w:t>
      </w:r>
      <w:r>
        <w:rPr>
          <w:sz w:val="24"/>
        </w:rPr>
        <w:t>appropriate</w:t>
      </w:r>
      <w:r>
        <w:rPr>
          <w:spacing w:val="-5"/>
          <w:sz w:val="24"/>
        </w:rPr>
        <w:t> </w:t>
      </w:r>
      <w:r>
        <w:rPr>
          <w:sz w:val="24"/>
        </w:rPr>
        <w:t>Division</w:t>
      </w:r>
      <w:r>
        <w:rPr>
          <w:spacing w:val="-5"/>
          <w:sz w:val="24"/>
        </w:rPr>
        <w:t> </w:t>
      </w:r>
      <w:r>
        <w:rPr>
          <w:sz w:val="24"/>
        </w:rPr>
        <w:t>Administrator, Superintendent, and the Director of approvals.</w:t>
      </w:r>
    </w:p>
    <w:p>
      <w:pPr>
        <w:pStyle w:val="ListParagraph"/>
        <w:numPr>
          <w:ilvl w:val="0"/>
          <w:numId w:val="51"/>
        </w:numPr>
        <w:tabs>
          <w:tab w:pos="719" w:val="left" w:leader="none"/>
        </w:tabs>
        <w:spacing w:line="208" w:lineRule="auto" w:before="240" w:after="0"/>
        <w:ind w:left="359" w:right="833" w:firstLine="0"/>
        <w:jc w:val="both"/>
        <w:rPr>
          <w:sz w:val="24"/>
        </w:rPr>
      </w:pPr>
      <w:r>
        <w:rPr>
          <w:b/>
          <w:sz w:val="24"/>
        </w:rPr>
        <w:t>Permanent Rules; Modification Limitations.</w:t>
      </w:r>
      <w:r>
        <w:rPr>
          <w:b/>
          <w:spacing w:val="40"/>
          <w:sz w:val="24"/>
        </w:rPr>
        <w:t> </w:t>
      </w:r>
      <w:r>
        <w:rPr>
          <w:sz w:val="24"/>
        </w:rPr>
        <w:t>Once the Governor and Legislature have</w:t>
      </w:r>
      <w:r>
        <w:rPr>
          <w:spacing w:val="-1"/>
          <w:sz w:val="24"/>
        </w:rPr>
        <w:t> </w:t>
      </w:r>
      <w:r>
        <w:rPr>
          <w:sz w:val="24"/>
        </w:rPr>
        <w:t>approved</w:t>
      </w:r>
      <w:r>
        <w:rPr>
          <w:spacing w:val="-1"/>
          <w:sz w:val="24"/>
        </w:rPr>
        <w:t> </w:t>
      </w:r>
      <w:r>
        <w:rPr>
          <w:sz w:val="24"/>
        </w:rPr>
        <w:t>the</w:t>
      </w:r>
      <w:r>
        <w:rPr>
          <w:spacing w:val="-1"/>
          <w:sz w:val="24"/>
        </w:rPr>
        <w:t> </w:t>
      </w:r>
      <w:r>
        <w:rPr>
          <w:sz w:val="24"/>
        </w:rPr>
        <w:t>rules, they</w:t>
      </w:r>
      <w:r>
        <w:rPr>
          <w:spacing w:val="-1"/>
          <w:sz w:val="24"/>
        </w:rPr>
        <w:t> </w:t>
      </w:r>
      <w:r>
        <w:rPr>
          <w:sz w:val="24"/>
        </w:rPr>
        <w:t>may</w:t>
      </w:r>
      <w:r>
        <w:rPr>
          <w:spacing w:val="-1"/>
          <w:sz w:val="24"/>
        </w:rPr>
        <w:t> </w:t>
      </w:r>
      <w:r>
        <w:rPr>
          <w:sz w:val="24"/>
        </w:rPr>
        <w:t>only</w:t>
      </w:r>
      <w:r>
        <w:rPr>
          <w:spacing w:val="-1"/>
          <w:sz w:val="24"/>
        </w:rPr>
        <w:t> </w:t>
      </w:r>
      <w:r>
        <w:rPr>
          <w:sz w:val="24"/>
        </w:rPr>
        <w:t>be</w:t>
      </w:r>
      <w:r>
        <w:rPr>
          <w:spacing w:val="-1"/>
          <w:sz w:val="24"/>
        </w:rPr>
        <w:t> </w:t>
      </w:r>
      <w:r>
        <w:rPr>
          <w:sz w:val="24"/>
        </w:rPr>
        <w:t>modified</w:t>
      </w:r>
      <w:r>
        <w:rPr>
          <w:spacing w:val="-1"/>
          <w:sz w:val="24"/>
        </w:rPr>
        <w:t> </w:t>
      </w:r>
      <w:r>
        <w:rPr>
          <w:sz w:val="24"/>
        </w:rPr>
        <w:t>or revoked</w:t>
      </w:r>
      <w:r>
        <w:rPr>
          <w:spacing w:val="-1"/>
          <w:sz w:val="24"/>
        </w:rPr>
        <w:t> </w:t>
      </w:r>
      <w:r>
        <w:rPr>
          <w:sz w:val="24"/>
        </w:rPr>
        <w:t>through</w:t>
      </w:r>
      <w:r>
        <w:rPr>
          <w:spacing w:val="-1"/>
          <w:sz w:val="24"/>
        </w:rPr>
        <w:t> </w:t>
      </w:r>
      <w:r>
        <w:rPr>
          <w:sz w:val="24"/>
        </w:rPr>
        <w:t>the</w:t>
      </w:r>
      <w:r>
        <w:rPr>
          <w:spacing w:val="-1"/>
          <w:sz w:val="24"/>
        </w:rPr>
        <w:t> </w:t>
      </w:r>
      <w:r>
        <w:rPr>
          <w:sz w:val="24"/>
        </w:rPr>
        <w:t>rulemaking process.</w:t>
      </w:r>
      <w:r>
        <w:rPr>
          <w:spacing w:val="40"/>
          <w:sz w:val="24"/>
        </w:rPr>
        <w:t> </w:t>
      </w:r>
      <w:r>
        <w:rPr>
          <w:sz w:val="24"/>
        </w:rPr>
        <w:t>The</w:t>
      </w:r>
      <w:r>
        <w:rPr>
          <w:spacing w:val="-3"/>
          <w:sz w:val="24"/>
        </w:rPr>
        <w:t> </w:t>
      </w:r>
      <w:r>
        <w:rPr>
          <w:sz w:val="24"/>
        </w:rPr>
        <w:t>APA</w:t>
      </w:r>
      <w:r>
        <w:rPr>
          <w:spacing w:val="-3"/>
          <w:sz w:val="24"/>
        </w:rPr>
        <w:t> </w:t>
      </w:r>
      <w:r>
        <w:rPr>
          <w:sz w:val="24"/>
        </w:rPr>
        <w:t>states</w:t>
      </w:r>
      <w:r>
        <w:rPr>
          <w:spacing w:val="-3"/>
          <w:sz w:val="24"/>
        </w:rPr>
        <w:t> </w:t>
      </w:r>
      <w:r>
        <w:rPr>
          <w:sz w:val="24"/>
        </w:rPr>
        <w:t>that</w:t>
      </w:r>
      <w:r>
        <w:rPr>
          <w:spacing w:val="-4"/>
          <w:sz w:val="24"/>
        </w:rPr>
        <w:t> </w:t>
      </w:r>
      <w:r>
        <w:rPr>
          <w:sz w:val="24"/>
        </w:rPr>
        <w:t>any</w:t>
      </w:r>
      <w:r>
        <w:rPr>
          <w:spacing w:val="-3"/>
          <w:sz w:val="24"/>
        </w:rPr>
        <w:t> </w:t>
      </w:r>
      <w:r>
        <w:rPr>
          <w:sz w:val="24"/>
        </w:rPr>
        <w:t>agency</w:t>
      </w:r>
      <w:r>
        <w:rPr>
          <w:spacing w:val="-3"/>
          <w:sz w:val="24"/>
        </w:rPr>
        <w:t> </w:t>
      </w:r>
      <w:r>
        <w:rPr>
          <w:sz w:val="24"/>
        </w:rPr>
        <w:t>shall</w:t>
      </w:r>
      <w:r>
        <w:rPr>
          <w:spacing w:val="-3"/>
          <w:sz w:val="24"/>
        </w:rPr>
        <w:t> </w:t>
      </w:r>
      <w:r>
        <w:rPr>
          <w:sz w:val="24"/>
        </w:rPr>
        <w:t>not</w:t>
      </w:r>
      <w:r>
        <w:rPr>
          <w:spacing w:val="-3"/>
          <w:sz w:val="24"/>
        </w:rPr>
        <w:t> </w:t>
      </w:r>
      <w:r>
        <w:rPr>
          <w:sz w:val="24"/>
        </w:rPr>
        <w:t>by</w:t>
      </w:r>
      <w:r>
        <w:rPr>
          <w:spacing w:val="-3"/>
          <w:sz w:val="24"/>
        </w:rPr>
        <w:t> </w:t>
      </w:r>
      <w:r>
        <w:rPr>
          <w:sz w:val="24"/>
        </w:rPr>
        <w:t>internal</w:t>
      </w:r>
      <w:r>
        <w:rPr>
          <w:spacing w:val="-3"/>
          <w:sz w:val="24"/>
        </w:rPr>
        <w:t> </w:t>
      </w:r>
      <w:r>
        <w:rPr>
          <w:sz w:val="24"/>
        </w:rPr>
        <w:t>policy,</w:t>
      </w:r>
      <w:r>
        <w:rPr>
          <w:spacing w:val="-2"/>
          <w:sz w:val="24"/>
        </w:rPr>
        <w:t> </w:t>
      </w:r>
      <w:r>
        <w:rPr>
          <w:sz w:val="24"/>
        </w:rPr>
        <w:t>memorandum,</w:t>
      </w:r>
      <w:r>
        <w:rPr>
          <w:spacing w:val="-2"/>
          <w:sz w:val="24"/>
        </w:rPr>
        <w:t> </w:t>
      </w:r>
      <w:r>
        <w:rPr>
          <w:sz w:val="24"/>
        </w:rPr>
        <w:t>or other action not otherwise authorized by the APA:</w:t>
      </w:r>
    </w:p>
    <w:p>
      <w:pPr>
        <w:pStyle w:val="ListParagraph"/>
        <w:numPr>
          <w:ilvl w:val="1"/>
          <w:numId w:val="51"/>
        </w:numPr>
        <w:tabs>
          <w:tab w:pos="1217" w:val="left" w:leader="none"/>
        </w:tabs>
        <w:spacing w:line="240" w:lineRule="auto" w:before="210" w:after="0"/>
        <w:ind w:left="1217" w:right="0" w:hanging="426"/>
        <w:jc w:val="left"/>
        <w:rPr>
          <w:sz w:val="24"/>
        </w:rPr>
      </w:pPr>
      <w:r>
        <w:rPr>
          <w:sz w:val="24"/>
        </w:rPr>
        <w:t>amend,</w:t>
      </w:r>
      <w:r>
        <w:rPr>
          <w:spacing w:val="-2"/>
          <w:sz w:val="24"/>
        </w:rPr>
        <w:t> </w:t>
      </w:r>
      <w:r>
        <w:rPr>
          <w:sz w:val="24"/>
        </w:rPr>
        <w:t>interpret,</w:t>
      </w:r>
      <w:r>
        <w:rPr>
          <w:spacing w:val="-4"/>
          <w:sz w:val="24"/>
        </w:rPr>
        <w:t> </w:t>
      </w:r>
      <w:r>
        <w:rPr>
          <w:sz w:val="24"/>
        </w:rPr>
        <w:t>implement</w:t>
      </w:r>
      <w:r>
        <w:rPr>
          <w:spacing w:val="-2"/>
          <w:sz w:val="24"/>
        </w:rPr>
        <w:t> </w:t>
      </w:r>
      <w:r>
        <w:rPr>
          <w:sz w:val="24"/>
        </w:rPr>
        <w:t>or</w:t>
      </w:r>
      <w:r>
        <w:rPr>
          <w:spacing w:val="-1"/>
          <w:sz w:val="24"/>
        </w:rPr>
        <w:t> </w:t>
      </w:r>
      <w:r>
        <w:rPr>
          <w:sz w:val="24"/>
        </w:rPr>
        <w:t>repeal</w:t>
      </w:r>
      <w:r>
        <w:rPr>
          <w:spacing w:val="-3"/>
          <w:sz w:val="24"/>
        </w:rPr>
        <w:t> </w:t>
      </w:r>
      <w:r>
        <w:rPr>
          <w:sz w:val="24"/>
        </w:rPr>
        <w:t>a</w:t>
      </w:r>
      <w:r>
        <w:rPr>
          <w:spacing w:val="-3"/>
          <w:sz w:val="24"/>
        </w:rPr>
        <w:t> </w:t>
      </w:r>
      <w:r>
        <w:rPr>
          <w:sz w:val="24"/>
        </w:rPr>
        <w:t>statute</w:t>
      </w:r>
      <w:r>
        <w:rPr>
          <w:spacing w:val="-2"/>
          <w:sz w:val="24"/>
        </w:rPr>
        <w:t> </w:t>
      </w:r>
      <w:r>
        <w:rPr>
          <w:sz w:val="24"/>
        </w:rPr>
        <w:t>or</w:t>
      </w:r>
      <w:r>
        <w:rPr>
          <w:spacing w:val="-4"/>
          <w:sz w:val="24"/>
        </w:rPr>
        <w:t> </w:t>
      </w:r>
      <w:r>
        <w:rPr>
          <w:sz w:val="24"/>
        </w:rPr>
        <w:t>a</w:t>
      </w:r>
      <w:r>
        <w:rPr>
          <w:spacing w:val="-2"/>
          <w:sz w:val="24"/>
        </w:rPr>
        <w:t> rule;</w:t>
      </w:r>
    </w:p>
    <w:p>
      <w:pPr>
        <w:pStyle w:val="ListParagraph"/>
        <w:numPr>
          <w:ilvl w:val="1"/>
          <w:numId w:val="51"/>
        </w:numPr>
        <w:tabs>
          <w:tab w:pos="1217" w:val="left" w:leader="none"/>
        </w:tabs>
        <w:spacing w:line="240" w:lineRule="auto" w:before="204" w:after="0"/>
        <w:ind w:left="1217" w:right="0" w:hanging="426"/>
        <w:jc w:val="left"/>
        <w:rPr>
          <w:sz w:val="24"/>
        </w:rPr>
      </w:pPr>
      <w:r>
        <w:rPr>
          <w:sz w:val="24"/>
        </w:rPr>
        <w:t>expand</w:t>
      </w:r>
      <w:r>
        <w:rPr>
          <w:spacing w:val="-3"/>
          <w:sz w:val="24"/>
        </w:rPr>
        <w:t> </w:t>
      </w:r>
      <w:r>
        <w:rPr>
          <w:sz w:val="24"/>
        </w:rPr>
        <w:t>upon</w:t>
      </w:r>
      <w:r>
        <w:rPr>
          <w:spacing w:val="-2"/>
          <w:sz w:val="24"/>
        </w:rPr>
        <w:t> </w:t>
      </w:r>
      <w:r>
        <w:rPr>
          <w:sz w:val="24"/>
        </w:rPr>
        <w:t>or</w:t>
      </w:r>
      <w:r>
        <w:rPr>
          <w:spacing w:val="-2"/>
          <w:sz w:val="24"/>
        </w:rPr>
        <w:t> </w:t>
      </w:r>
      <w:r>
        <w:rPr>
          <w:sz w:val="24"/>
        </w:rPr>
        <w:t>limit</w:t>
      </w:r>
      <w:r>
        <w:rPr>
          <w:spacing w:val="-1"/>
          <w:sz w:val="24"/>
        </w:rPr>
        <w:t> </w:t>
      </w:r>
      <w:r>
        <w:rPr>
          <w:sz w:val="24"/>
        </w:rPr>
        <w:t>a</w:t>
      </w:r>
      <w:r>
        <w:rPr>
          <w:spacing w:val="-2"/>
          <w:sz w:val="24"/>
        </w:rPr>
        <w:t> </w:t>
      </w:r>
      <w:r>
        <w:rPr>
          <w:sz w:val="24"/>
        </w:rPr>
        <w:t>statute</w:t>
      </w:r>
      <w:r>
        <w:rPr>
          <w:spacing w:val="-3"/>
          <w:sz w:val="24"/>
        </w:rPr>
        <w:t> </w:t>
      </w:r>
      <w:r>
        <w:rPr>
          <w:sz w:val="24"/>
        </w:rPr>
        <w:t>or</w:t>
      </w:r>
      <w:r>
        <w:rPr>
          <w:spacing w:val="-1"/>
          <w:sz w:val="24"/>
        </w:rPr>
        <w:t> </w:t>
      </w:r>
      <w:r>
        <w:rPr>
          <w:sz w:val="24"/>
        </w:rPr>
        <w:t>rule;</w:t>
      </w:r>
      <w:r>
        <w:rPr>
          <w:spacing w:val="-1"/>
          <w:sz w:val="24"/>
        </w:rPr>
        <w:t> </w:t>
      </w:r>
      <w:r>
        <w:rPr>
          <w:spacing w:val="-4"/>
          <w:sz w:val="24"/>
        </w:rPr>
        <w:t>and;</w:t>
      </w:r>
    </w:p>
    <w:p>
      <w:pPr>
        <w:pStyle w:val="ListParagraph"/>
        <w:numPr>
          <w:ilvl w:val="1"/>
          <w:numId w:val="51"/>
        </w:numPr>
        <w:tabs>
          <w:tab w:pos="1217" w:val="left" w:leader="none"/>
        </w:tabs>
        <w:spacing w:line="208" w:lineRule="auto" w:before="233" w:after="0"/>
        <w:ind w:left="791" w:right="1078" w:firstLine="0"/>
        <w:jc w:val="both"/>
        <w:rPr>
          <w:sz w:val="24"/>
        </w:rPr>
      </w:pPr>
      <w:r>
        <w:rPr>
          <w:sz w:val="24"/>
        </w:rPr>
        <w:t>except as authorized by the Constitution of the United States, the Oklahoma Constitution</w:t>
      </w:r>
      <w:r>
        <w:rPr>
          <w:spacing w:val="-3"/>
          <w:sz w:val="24"/>
        </w:rPr>
        <w:t> </w:t>
      </w:r>
      <w:r>
        <w:rPr>
          <w:sz w:val="24"/>
        </w:rPr>
        <w:t>or</w:t>
      </w:r>
      <w:r>
        <w:rPr>
          <w:spacing w:val="-3"/>
          <w:sz w:val="24"/>
        </w:rPr>
        <w:t> </w:t>
      </w:r>
      <w:r>
        <w:rPr>
          <w:sz w:val="24"/>
        </w:rPr>
        <w:t>a</w:t>
      </w:r>
      <w:r>
        <w:rPr>
          <w:spacing w:val="-3"/>
          <w:sz w:val="24"/>
        </w:rPr>
        <w:t> </w:t>
      </w:r>
      <w:r>
        <w:rPr>
          <w:sz w:val="24"/>
        </w:rPr>
        <w:t>statute,</w:t>
      </w:r>
      <w:r>
        <w:rPr>
          <w:spacing w:val="-3"/>
          <w:sz w:val="24"/>
        </w:rPr>
        <w:t> </w:t>
      </w:r>
      <w:r>
        <w:rPr>
          <w:sz w:val="24"/>
        </w:rPr>
        <w:t>expand</w:t>
      </w:r>
      <w:r>
        <w:rPr>
          <w:spacing w:val="-3"/>
          <w:sz w:val="24"/>
        </w:rPr>
        <w:t> </w:t>
      </w:r>
      <w:r>
        <w:rPr>
          <w:sz w:val="24"/>
        </w:rPr>
        <w:t>or</w:t>
      </w:r>
      <w:r>
        <w:rPr>
          <w:spacing w:val="-3"/>
          <w:sz w:val="24"/>
        </w:rPr>
        <w:t> </w:t>
      </w:r>
      <w:r>
        <w:rPr>
          <w:sz w:val="24"/>
        </w:rPr>
        <w:t>limit</w:t>
      </w:r>
      <w:r>
        <w:rPr>
          <w:spacing w:val="-3"/>
          <w:sz w:val="24"/>
        </w:rPr>
        <w:t> </w:t>
      </w:r>
      <w:r>
        <w:rPr>
          <w:sz w:val="24"/>
        </w:rPr>
        <w:t>a</w:t>
      </w:r>
      <w:r>
        <w:rPr>
          <w:spacing w:val="-3"/>
          <w:sz w:val="24"/>
        </w:rPr>
        <w:t> </w:t>
      </w:r>
      <w:r>
        <w:rPr>
          <w:sz w:val="24"/>
        </w:rPr>
        <w:t>right</w:t>
      </w:r>
      <w:r>
        <w:rPr>
          <w:spacing w:val="-3"/>
          <w:sz w:val="24"/>
        </w:rPr>
        <w:t> </w:t>
      </w:r>
      <w:r>
        <w:rPr>
          <w:sz w:val="24"/>
        </w:rPr>
        <w:t>guaranteed</w:t>
      </w:r>
      <w:r>
        <w:rPr>
          <w:spacing w:val="-3"/>
          <w:sz w:val="24"/>
        </w:rPr>
        <w:t> </w:t>
      </w:r>
      <w:r>
        <w:rPr>
          <w:sz w:val="24"/>
        </w:rPr>
        <w:t>by</w:t>
      </w:r>
      <w:r>
        <w:rPr>
          <w:spacing w:val="-3"/>
          <w:sz w:val="24"/>
        </w:rPr>
        <w:t> </w:t>
      </w:r>
      <w:r>
        <w:rPr>
          <w:sz w:val="24"/>
        </w:rPr>
        <w:t>the</w:t>
      </w:r>
      <w:r>
        <w:rPr>
          <w:spacing w:val="-3"/>
          <w:sz w:val="24"/>
        </w:rPr>
        <w:t> </w:t>
      </w:r>
      <w:r>
        <w:rPr>
          <w:sz w:val="24"/>
        </w:rPr>
        <w:t>Constitution</w:t>
      </w:r>
      <w:r>
        <w:rPr>
          <w:spacing w:val="-3"/>
          <w:sz w:val="24"/>
        </w:rPr>
        <w:t> </w:t>
      </w:r>
      <w:r>
        <w:rPr>
          <w:sz w:val="24"/>
        </w:rPr>
        <w:t>of the United States, the Oklahoma Constitution, a statute, or a rule.</w:t>
      </w:r>
    </w:p>
    <w:p>
      <w:pPr>
        <w:pStyle w:val="ListParagraph"/>
        <w:numPr>
          <w:ilvl w:val="0"/>
          <w:numId w:val="51"/>
        </w:numPr>
        <w:tabs>
          <w:tab w:pos="639" w:val="left" w:leader="none"/>
        </w:tabs>
        <w:spacing w:line="208" w:lineRule="auto" w:before="240" w:after="0"/>
        <w:ind w:left="360" w:right="1007" w:firstLine="0"/>
        <w:jc w:val="both"/>
        <w:rPr>
          <w:sz w:val="24"/>
        </w:rPr>
      </w:pPr>
      <w:r>
        <w:rPr>
          <w:b/>
          <w:sz w:val="24"/>
        </w:rPr>
        <w:t>Petition</w:t>
      </w:r>
      <w:r>
        <w:rPr>
          <w:b/>
          <w:spacing w:val="-5"/>
          <w:sz w:val="24"/>
        </w:rPr>
        <w:t> </w:t>
      </w:r>
      <w:r>
        <w:rPr>
          <w:b/>
          <w:sz w:val="24"/>
        </w:rPr>
        <w:t>Requesting</w:t>
      </w:r>
      <w:r>
        <w:rPr>
          <w:b/>
          <w:spacing w:val="-4"/>
          <w:sz w:val="24"/>
        </w:rPr>
        <w:t> </w:t>
      </w:r>
      <w:r>
        <w:rPr>
          <w:b/>
          <w:sz w:val="24"/>
        </w:rPr>
        <w:t>Promulgation.</w:t>
      </w:r>
      <w:r>
        <w:rPr>
          <w:b/>
          <w:spacing w:val="40"/>
          <w:sz w:val="24"/>
        </w:rPr>
        <w:t> </w:t>
      </w:r>
      <w:r>
        <w:rPr>
          <w:sz w:val="24"/>
        </w:rPr>
        <w:t>Per</w:t>
      </w:r>
      <w:r>
        <w:rPr>
          <w:spacing w:val="-5"/>
          <w:sz w:val="24"/>
        </w:rPr>
        <w:t> </w:t>
      </w:r>
      <w:r>
        <w:rPr>
          <w:sz w:val="24"/>
        </w:rPr>
        <w:t>the</w:t>
      </w:r>
      <w:r>
        <w:rPr>
          <w:spacing w:val="-4"/>
          <w:sz w:val="24"/>
        </w:rPr>
        <w:t> </w:t>
      </w:r>
      <w:r>
        <w:rPr>
          <w:sz w:val="24"/>
        </w:rPr>
        <w:t>APA,</w:t>
      </w:r>
      <w:r>
        <w:rPr>
          <w:spacing w:val="-3"/>
          <w:sz w:val="24"/>
        </w:rPr>
        <w:t> </w:t>
      </w:r>
      <w:r>
        <w:rPr>
          <w:sz w:val="24"/>
        </w:rPr>
        <w:t>any</w:t>
      </w:r>
      <w:r>
        <w:rPr>
          <w:spacing w:val="-4"/>
          <w:sz w:val="24"/>
        </w:rPr>
        <w:t> </w:t>
      </w:r>
      <w:r>
        <w:rPr>
          <w:sz w:val="24"/>
        </w:rPr>
        <w:t>interested</w:t>
      </w:r>
      <w:r>
        <w:rPr>
          <w:spacing w:val="-4"/>
          <w:sz w:val="24"/>
        </w:rPr>
        <w:t> </w:t>
      </w:r>
      <w:r>
        <w:rPr>
          <w:sz w:val="24"/>
        </w:rPr>
        <w:t>person</w:t>
      </w:r>
      <w:r>
        <w:rPr>
          <w:spacing w:val="-4"/>
          <w:sz w:val="24"/>
        </w:rPr>
        <w:t> </w:t>
      </w:r>
      <w:r>
        <w:rPr>
          <w:sz w:val="24"/>
        </w:rPr>
        <w:t>or</w:t>
      </w:r>
      <w:r>
        <w:rPr>
          <w:spacing w:val="-3"/>
          <w:sz w:val="24"/>
        </w:rPr>
        <w:t> </w:t>
      </w:r>
      <w:r>
        <w:rPr>
          <w:sz w:val="24"/>
        </w:rPr>
        <w:t>group may petition the Department requesting the promulgation, amendment, or repeal of a </w:t>
      </w:r>
      <w:r>
        <w:rPr>
          <w:spacing w:val="-2"/>
          <w:sz w:val="24"/>
        </w:rPr>
        <w:t>rule.</w:t>
      </w:r>
    </w:p>
    <w:p>
      <w:pPr>
        <w:pStyle w:val="ListParagraph"/>
        <w:numPr>
          <w:ilvl w:val="1"/>
          <w:numId w:val="51"/>
        </w:numPr>
        <w:tabs>
          <w:tab w:pos="1218" w:val="left" w:leader="none"/>
        </w:tabs>
        <w:spacing w:line="208" w:lineRule="auto" w:before="240" w:after="0"/>
        <w:ind w:left="792" w:right="1093" w:firstLine="0"/>
        <w:jc w:val="left"/>
        <w:rPr>
          <w:b/>
          <w:sz w:val="22"/>
        </w:rPr>
      </w:pPr>
      <w:r>
        <w:rPr>
          <w:sz w:val="24"/>
        </w:rPr>
        <w:t>The</w:t>
      </w:r>
      <w:r>
        <w:rPr>
          <w:spacing w:val="-3"/>
          <w:sz w:val="24"/>
        </w:rPr>
        <w:t> </w:t>
      </w:r>
      <w:r>
        <w:rPr>
          <w:sz w:val="24"/>
        </w:rPr>
        <w:t>petition</w:t>
      </w:r>
      <w:r>
        <w:rPr>
          <w:spacing w:val="-3"/>
          <w:sz w:val="24"/>
        </w:rPr>
        <w:t> </w:t>
      </w:r>
      <w:r>
        <w:rPr>
          <w:sz w:val="24"/>
        </w:rPr>
        <w:t>must</w:t>
      </w:r>
      <w:r>
        <w:rPr>
          <w:spacing w:val="-4"/>
          <w:sz w:val="24"/>
        </w:rPr>
        <w:t> </w:t>
      </w:r>
      <w:r>
        <w:rPr>
          <w:sz w:val="24"/>
        </w:rPr>
        <w:t>be</w:t>
      </w:r>
      <w:r>
        <w:rPr>
          <w:spacing w:val="-3"/>
          <w:sz w:val="24"/>
        </w:rPr>
        <w:t> </w:t>
      </w:r>
      <w:r>
        <w:rPr>
          <w:sz w:val="24"/>
        </w:rPr>
        <w:t>submitted</w:t>
      </w:r>
      <w:r>
        <w:rPr>
          <w:spacing w:val="-3"/>
          <w:sz w:val="24"/>
        </w:rPr>
        <w:t> </w:t>
      </w:r>
      <w:r>
        <w:rPr>
          <w:sz w:val="24"/>
        </w:rPr>
        <w:t>in</w:t>
      </w:r>
      <w:r>
        <w:rPr>
          <w:spacing w:val="-3"/>
          <w:sz w:val="24"/>
        </w:rPr>
        <w:t> </w:t>
      </w:r>
      <w:r>
        <w:rPr>
          <w:sz w:val="24"/>
        </w:rPr>
        <w:t>writing</w:t>
      </w:r>
      <w:r>
        <w:rPr>
          <w:spacing w:val="-3"/>
          <w:sz w:val="24"/>
        </w:rPr>
        <w:t> </w:t>
      </w:r>
      <w:r>
        <w:rPr>
          <w:sz w:val="24"/>
        </w:rPr>
        <w:t>to</w:t>
      </w:r>
      <w:r>
        <w:rPr>
          <w:spacing w:val="-3"/>
          <w:sz w:val="24"/>
        </w:rPr>
        <w:t> </w:t>
      </w:r>
      <w:r>
        <w:rPr>
          <w:sz w:val="24"/>
        </w:rPr>
        <w:t>the</w:t>
      </w:r>
      <w:r>
        <w:rPr>
          <w:spacing w:val="-3"/>
          <w:sz w:val="24"/>
        </w:rPr>
        <w:t> </w:t>
      </w:r>
      <w:r>
        <w:rPr>
          <w:sz w:val="24"/>
        </w:rPr>
        <w:t>Director</w:t>
      </w:r>
      <w:r>
        <w:rPr>
          <w:spacing w:val="-2"/>
          <w:sz w:val="24"/>
        </w:rPr>
        <w:t> </w:t>
      </w:r>
      <w:r>
        <w:rPr>
          <w:sz w:val="24"/>
        </w:rPr>
        <w:t>of</w:t>
      </w:r>
      <w:r>
        <w:rPr>
          <w:spacing w:val="-4"/>
          <w:sz w:val="24"/>
        </w:rPr>
        <w:t> </w:t>
      </w:r>
      <w:r>
        <w:rPr>
          <w:sz w:val="24"/>
        </w:rPr>
        <w:t>the</w:t>
      </w:r>
      <w:r>
        <w:rPr>
          <w:spacing w:val="-3"/>
          <w:sz w:val="24"/>
        </w:rPr>
        <w:t> </w:t>
      </w:r>
      <w:r>
        <w:rPr>
          <w:sz w:val="24"/>
        </w:rPr>
        <w:t>Department</w:t>
      </w:r>
      <w:r>
        <w:rPr>
          <w:spacing w:val="-2"/>
          <w:sz w:val="24"/>
        </w:rPr>
        <w:t> </w:t>
      </w:r>
      <w:r>
        <w:rPr>
          <w:sz w:val="24"/>
        </w:rPr>
        <w:t>of Rehabilitation Services at the Department's state office.</w:t>
      </w:r>
      <w:r>
        <w:rPr>
          <w:spacing w:val="40"/>
          <w:sz w:val="24"/>
        </w:rPr>
        <w:t> </w:t>
      </w:r>
      <w:r>
        <w:rPr>
          <w:sz w:val="24"/>
        </w:rPr>
        <w:t>A request to amend or repeal a rule will include a copy of the rule in question. </w:t>
      </w:r>
      <w:r>
        <w:rPr>
          <w:b/>
          <w:sz w:val="22"/>
        </w:rPr>
        <w:t>3</w:t>
      </w:r>
    </w:p>
    <w:p>
      <w:pPr>
        <w:pStyle w:val="ListParagraph"/>
        <w:numPr>
          <w:ilvl w:val="1"/>
          <w:numId w:val="51"/>
        </w:numPr>
        <w:tabs>
          <w:tab w:pos="1235" w:val="left" w:leader="none"/>
        </w:tabs>
        <w:spacing w:line="240" w:lineRule="auto" w:before="244" w:after="0"/>
        <w:ind w:left="809" w:right="824" w:firstLine="0"/>
        <w:jc w:val="left"/>
        <w:rPr>
          <w:sz w:val="24"/>
        </w:rPr>
      </w:pPr>
      <w:r>
        <w:rPr>
          <w:sz w:val="24"/>
        </w:rPr>
        <w:t>The</w:t>
      </w:r>
      <w:r>
        <w:rPr>
          <w:spacing w:val="-4"/>
          <w:sz w:val="24"/>
        </w:rPr>
        <w:t> </w:t>
      </w:r>
      <w:r>
        <w:rPr>
          <w:sz w:val="24"/>
        </w:rPr>
        <w:t>Department</w:t>
      </w:r>
      <w:r>
        <w:rPr>
          <w:spacing w:val="-3"/>
          <w:sz w:val="24"/>
        </w:rPr>
        <w:t> </w:t>
      </w:r>
      <w:r>
        <w:rPr>
          <w:sz w:val="24"/>
        </w:rPr>
        <w:t>shall</w:t>
      </w:r>
      <w:r>
        <w:rPr>
          <w:spacing w:val="-4"/>
          <w:sz w:val="24"/>
        </w:rPr>
        <w:t> </w:t>
      </w:r>
      <w:r>
        <w:rPr>
          <w:sz w:val="24"/>
        </w:rPr>
        <w:t>act</w:t>
      </w:r>
      <w:r>
        <w:rPr>
          <w:spacing w:val="-3"/>
          <w:sz w:val="24"/>
        </w:rPr>
        <w:t> </w:t>
      </w:r>
      <w:r>
        <w:rPr>
          <w:sz w:val="24"/>
        </w:rPr>
        <w:t>upon</w:t>
      </w:r>
      <w:r>
        <w:rPr>
          <w:spacing w:val="-4"/>
          <w:sz w:val="24"/>
        </w:rPr>
        <w:t> </w:t>
      </w:r>
      <w:r>
        <w:rPr>
          <w:sz w:val="24"/>
        </w:rPr>
        <w:t>such</w:t>
      </w:r>
      <w:r>
        <w:rPr>
          <w:spacing w:val="-4"/>
          <w:sz w:val="24"/>
        </w:rPr>
        <w:t> </w:t>
      </w:r>
      <w:r>
        <w:rPr>
          <w:sz w:val="24"/>
        </w:rPr>
        <w:t>a</w:t>
      </w:r>
      <w:r>
        <w:rPr>
          <w:spacing w:val="-4"/>
          <w:sz w:val="24"/>
        </w:rPr>
        <w:t> </w:t>
      </w:r>
      <w:r>
        <w:rPr>
          <w:sz w:val="24"/>
        </w:rPr>
        <w:t>request</w:t>
      </w:r>
      <w:r>
        <w:rPr>
          <w:spacing w:val="-3"/>
          <w:sz w:val="24"/>
        </w:rPr>
        <w:t> </w:t>
      </w:r>
      <w:r>
        <w:rPr>
          <w:sz w:val="24"/>
        </w:rPr>
        <w:t>within</w:t>
      </w:r>
      <w:r>
        <w:rPr>
          <w:spacing w:val="-4"/>
          <w:sz w:val="24"/>
        </w:rPr>
        <w:t> </w:t>
      </w:r>
      <w:r>
        <w:rPr>
          <w:sz w:val="24"/>
        </w:rPr>
        <w:t>a</w:t>
      </w:r>
      <w:r>
        <w:rPr>
          <w:spacing w:val="-4"/>
          <w:sz w:val="24"/>
        </w:rPr>
        <w:t> </w:t>
      </w:r>
      <w:r>
        <w:rPr>
          <w:sz w:val="24"/>
        </w:rPr>
        <w:t>reasonable</w:t>
      </w:r>
      <w:r>
        <w:rPr>
          <w:spacing w:val="-4"/>
          <w:sz w:val="24"/>
        </w:rPr>
        <w:t> </w:t>
      </w:r>
      <w:r>
        <w:rPr>
          <w:sz w:val="24"/>
        </w:rPr>
        <w:t>time</w:t>
      </w:r>
      <w:r>
        <w:rPr>
          <w:spacing w:val="-4"/>
          <w:sz w:val="24"/>
        </w:rPr>
        <w:t> </w:t>
      </w:r>
      <w:r>
        <w:rPr>
          <w:sz w:val="24"/>
        </w:rPr>
        <w:t>period; however; if the Department does not initiate rulemaking proceedings within 30 calendar</w:t>
      </w:r>
      <w:r>
        <w:rPr>
          <w:spacing w:val="-2"/>
          <w:sz w:val="24"/>
        </w:rPr>
        <w:t> </w:t>
      </w:r>
      <w:r>
        <w:rPr>
          <w:sz w:val="24"/>
        </w:rPr>
        <w:t>days</w:t>
      </w:r>
      <w:r>
        <w:rPr>
          <w:spacing w:val="-3"/>
          <w:sz w:val="24"/>
        </w:rPr>
        <w:t> </w:t>
      </w:r>
      <w:r>
        <w:rPr>
          <w:sz w:val="24"/>
        </w:rPr>
        <w:t>of</w:t>
      </w:r>
      <w:r>
        <w:rPr>
          <w:spacing w:val="-2"/>
          <w:sz w:val="24"/>
        </w:rPr>
        <w:t> </w:t>
      </w:r>
      <w:r>
        <w:rPr>
          <w:sz w:val="24"/>
        </w:rPr>
        <w:t>receiving</w:t>
      </w:r>
      <w:r>
        <w:rPr>
          <w:spacing w:val="-3"/>
          <w:sz w:val="24"/>
        </w:rPr>
        <w:t> </w:t>
      </w:r>
      <w:r>
        <w:rPr>
          <w:sz w:val="24"/>
        </w:rPr>
        <w:t>the</w:t>
      </w:r>
      <w:r>
        <w:rPr>
          <w:spacing w:val="-3"/>
          <w:sz w:val="24"/>
        </w:rPr>
        <w:t> </w:t>
      </w:r>
      <w:r>
        <w:rPr>
          <w:sz w:val="24"/>
        </w:rPr>
        <w:t>request,</w:t>
      </w:r>
      <w:r>
        <w:rPr>
          <w:spacing w:val="-2"/>
          <w:sz w:val="24"/>
        </w:rPr>
        <w:t> </w:t>
      </w:r>
      <w:r>
        <w:rPr>
          <w:sz w:val="24"/>
        </w:rPr>
        <w:t>the</w:t>
      </w:r>
      <w:r>
        <w:rPr>
          <w:spacing w:val="-4"/>
          <w:sz w:val="24"/>
        </w:rPr>
        <w:t> </w:t>
      </w:r>
      <w:r>
        <w:rPr>
          <w:sz w:val="24"/>
        </w:rPr>
        <w:t>petition</w:t>
      </w:r>
      <w:r>
        <w:rPr>
          <w:spacing w:val="-3"/>
          <w:sz w:val="24"/>
        </w:rPr>
        <w:t> </w:t>
      </w:r>
      <w:r>
        <w:rPr>
          <w:sz w:val="24"/>
        </w:rPr>
        <w:t>will</w:t>
      </w:r>
      <w:r>
        <w:rPr>
          <w:spacing w:val="-2"/>
          <w:sz w:val="24"/>
        </w:rPr>
        <w:t> </w:t>
      </w:r>
      <w:r>
        <w:rPr>
          <w:sz w:val="24"/>
        </w:rPr>
        <w:t>be</w:t>
      </w:r>
      <w:r>
        <w:rPr>
          <w:spacing w:val="-3"/>
          <w:sz w:val="24"/>
        </w:rPr>
        <w:t> </w:t>
      </w:r>
      <w:r>
        <w:rPr>
          <w:sz w:val="24"/>
        </w:rPr>
        <w:t>considered</w:t>
      </w:r>
      <w:r>
        <w:rPr>
          <w:spacing w:val="-3"/>
          <w:sz w:val="24"/>
        </w:rPr>
        <w:t> </w:t>
      </w:r>
      <w:r>
        <w:rPr>
          <w:sz w:val="24"/>
        </w:rPr>
        <w:t>to</w:t>
      </w:r>
      <w:r>
        <w:rPr>
          <w:spacing w:val="-3"/>
          <w:sz w:val="24"/>
        </w:rPr>
        <w:t> </w:t>
      </w:r>
      <w:r>
        <w:rPr>
          <w:sz w:val="24"/>
        </w:rPr>
        <w:t>have</w:t>
      </w:r>
      <w:r>
        <w:rPr>
          <w:spacing w:val="-3"/>
          <w:sz w:val="24"/>
        </w:rPr>
        <w:t> </w:t>
      </w:r>
      <w:r>
        <w:rPr>
          <w:sz w:val="24"/>
        </w:rPr>
        <w:t>been </w:t>
      </w:r>
      <w:r>
        <w:rPr>
          <w:spacing w:val="-2"/>
          <w:sz w:val="24"/>
        </w:rPr>
        <w:t>denied.</w:t>
      </w:r>
    </w:p>
    <w:p>
      <w:pPr>
        <w:pStyle w:val="BodyText"/>
        <w:spacing w:before="220"/>
      </w:pPr>
      <w:r>
        <w:rPr/>
        <w:t>Instruction</w:t>
      </w:r>
      <w:r>
        <w:rPr>
          <w:spacing w:val="-5"/>
        </w:rPr>
        <w:t> </w:t>
      </w:r>
      <w:r>
        <w:rPr/>
        <w:t>to</w:t>
      </w:r>
      <w:r>
        <w:rPr>
          <w:spacing w:val="-2"/>
        </w:rPr>
        <w:t> </w:t>
      </w:r>
      <w:r>
        <w:rPr>
          <w:spacing w:val="-4"/>
        </w:rPr>
        <w:t>Staff</w:t>
      </w:r>
    </w:p>
    <w:p>
      <w:pPr>
        <w:pStyle w:val="ListParagraph"/>
        <w:numPr>
          <w:ilvl w:val="0"/>
          <w:numId w:val="52"/>
        </w:numPr>
        <w:tabs>
          <w:tab w:pos="1077" w:val="left" w:leader="none"/>
        </w:tabs>
        <w:spacing w:line="208" w:lineRule="auto" w:before="233" w:after="0"/>
        <w:ind w:left="791" w:right="1106" w:firstLine="0"/>
        <w:jc w:val="left"/>
        <w:rPr>
          <w:sz w:val="24"/>
        </w:rPr>
      </w:pPr>
      <w:r>
        <w:rPr>
          <w:sz w:val="24"/>
        </w:rPr>
        <w:t>A completed form </w:t>
      </w:r>
      <w:hyperlink r:id="rId6">
        <w:r>
          <w:rPr>
            <w:color w:val="0000FF"/>
            <w:sz w:val="24"/>
            <w:u w:val="single" w:color="0000FF"/>
          </w:rPr>
          <w:t>DRS-A-601</w:t>
        </w:r>
      </w:hyperlink>
      <w:r>
        <w:rPr>
          <w:color w:val="0000FF"/>
          <w:sz w:val="24"/>
          <w:u w:val="none"/>
        </w:rPr>
        <w:t> </w:t>
      </w:r>
      <w:r>
        <w:rPr>
          <w:sz w:val="24"/>
          <w:u w:val="none"/>
        </w:rPr>
        <w:t>must accompany the proposed administrative rules</w:t>
      </w:r>
      <w:r>
        <w:rPr>
          <w:spacing w:val="-4"/>
          <w:sz w:val="24"/>
          <w:u w:val="none"/>
        </w:rPr>
        <w:t> </w:t>
      </w:r>
      <w:r>
        <w:rPr>
          <w:sz w:val="24"/>
          <w:u w:val="none"/>
        </w:rPr>
        <w:t>or</w:t>
      </w:r>
      <w:r>
        <w:rPr>
          <w:spacing w:val="-3"/>
          <w:sz w:val="24"/>
          <w:u w:val="none"/>
        </w:rPr>
        <w:t> </w:t>
      </w:r>
      <w:r>
        <w:rPr>
          <w:sz w:val="24"/>
          <w:u w:val="none"/>
        </w:rPr>
        <w:t>internal</w:t>
      </w:r>
      <w:r>
        <w:rPr>
          <w:spacing w:val="-4"/>
          <w:sz w:val="24"/>
          <w:u w:val="none"/>
        </w:rPr>
        <w:t> </w:t>
      </w:r>
      <w:r>
        <w:rPr>
          <w:sz w:val="24"/>
          <w:u w:val="none"/>
        </w:rPr>
        <w:t>policies</w:t>
      </w:r>
      <w:r>
        <w:rPr>
          <w:spacing w:val="-4"/>
          <w:sz w:val="24"/>
          <w:u w:val="none"/>
        </w:rPr>
        <w:t> </w:t>
      </w:r>
      <w:r>
        <w:rPr>
          <w:sz w:val="24"/>
          <w:u w:val="none"/>
        </w:rPr>
        <w:t>submitted</w:t>
      </w:r>
      <w:r>
        <w:rPr>
          <w:spacing w:val="-4"/>
          <w:sz w:val="24"/>
          <w:u w:val="none"/>
        </w:rPr>
        <w:t> </w:t>
      </w:r>
      <w:r>
        <w:rPr>
          <w:sz w:val="24"/>
          <w:u w:val="none"/>
        </w:rPr>
        <w:t>to</w:t>
      </w:r>
      <w:r>
        <w:rPr>
          <w:spacing w:val="-4"/>
          <w:sz w:val="24"/>
          <w:u w:val="none"/>
        </w:rPr>
        <w:t> </w:t>
      </w:r>
      <w:r>
        <w:rPr>
          <w:sz w:val="24"/>
          <w:u w:val="none"/>
        </w:rPr>
        <w:t>the</w:t>
      </w:r>
      <w:r>
        <w:rPr>
          <w:spacing w:val="-4"/>
          <w:sz w:val="24"/>
          <w:u w:val="none"/>
        </w:rPr>
        <w:t> </w:t>
      </w:r>
      <w:r>
        <w:rPr>
          <w:sz w:val="24"/>
          <w:u w:val="none"/>
        </w:rPr>
        <w:t>Policy</w:t>
      </w:r>
      <w:r>
        <w:rPr>
          <w:spacing w:val="-4"/>
          <w:sz w:val="24"/>
          <w:u w:val="none"/>
        </w:rPr>
        <w:t> </w:t>
      </w:r>
      <w:r>
        <w:rPr>
          <w:sz w:val="24"/>
          <w:u w:val="none"/>
        </w:rPr>
        <w:t>Administration</w:t>
      </w:r>
      <w:r>
        <w:rPr>
          <w:spacing w:val="-4"/>
          <w:sz w:val="24"/>
          <w:u w:val="none"/>
        </w:rPr>
        <w:t> </w:t>
      </w:r>
      <w:r>
        <w:rPr>
          <w:sz w:val="24"/>
          <w:u w:val="none"/>
        </w:rPr>
        <w:t>and</w:t>
      </w:r>
      <w:r>
        <w:rPr>
          <w:spacing w:val="-4"/>
          <w:sz w:val="24"/>
          <w:u w:val="none"/>
        </w:rPr>
        <w:t> </w:t>
      </w:r>
      <w:r>
        <w:rPr>
          <w:sz w:val="24"/>
          <w:u w:val="none"/>
        </w:rPr>
        <w:t>Development </w:t>
      </w:r>
      <w:r>
        <w:rPr>
          <w:spacing w:val="-2"/>
          <w:sz w:val="24"/>
          <w:u w:val="none"/>
        </w:rPr>
        <w:t>Section.</w:t>
      </w:r>
    </w:p>
    <w:p>
      <w:pPr>
        <w:pStyle w:val="ListParagraph"/>
        <w:numPr>
          <w:ilvl w:val="0"/>
          <w:numId w:val="52"/>
        </w:numPr>
        <w:tabs>
          <w:tab w:pos="1077" w:val="left" w:leader="none"/>
        </w:tabs>
        <w:spacing w:line="208" w:lineRule="auto" w:before="240" w:after="0"/>
        <w:ind w:left="791" w:right="820" w:firstLine="0"/>
        <w:jc w:val="left"/>
        <w:rPr>
          <w:sz w:val="24"/>
        </w:rPr>
      </w:pPr>
      <w:r>
        <w:rPr>
          <w:sz w:val="24"/>
        </w:rPr>
        <w:t>Draft</w:t>
      </w:r>
      <w:r>
        <w:rPr>
          <w:spacing w:val="-3"/>
          <w:sz w:val="24"/>
        </w:rPr>
        <w:t> </w:t>
      </w:r>
      <w:r>
        <w:rPr>
          <w:sz w:val="24"/>
        </w:rPr>
        <w:t>administrative</w:t>
      </w:r>
      <w:r>
        <w:rPr>
          <w:spacing w:val="-4"/>
          <w:sz w:val="24"/>
        </w:rPr>
        <w:t> </w:t>
      </w:r>
      <w:r>
        <w:rPr>
          <w:sz w:val="24"/>
        </w:rPr>
        <w:t>rules</w:t>
      </w:r>
      <w:r>
        <w:rPr>
          <w:spacing w:val="-4"/>
          <w:sz w:val="24"/>
        </w:rPr>
        <w:t> </w:t>
      </w:r>
      <w:r>
        <w:rPr>
          <w:sz w:val="24"/>
        </w:rPr>
        <w:t>or</w:t>
      </w:r>
      <w:r>
        <w:rPr>
          <w:spacing w:val="-3"/>
          <w:sz w:val="24"/>
        </w:rPr>
        <w:t> </w:t>
      </w:r>
      <w:r>
        <w:rPr>
          <w:sz w:val="24"/>
        </w:rPr>
        <w:t>internal</w:t>
      </w:r>
      <w:r>
        <w:rPr>
          <w:spacing w:val="-4"/>
          <w:sz w:val="24"/>
        </w:rPr>
        <w:t> </w:t>
      </w:r>
      <w:r>
        <w:rPr>
          <w:sz w:val="24"/>
        </w:rPr>
        <w:t>policies</w:t>
      </w:r>
      <w:r>
        <w:rPr>
          <w:spacing w:val="-4"/>
          <w:sz w:val="24"/>
        </w:rPr>
        <w:t> </w:t>
      </w:r>
      <w:r>
        <w:rPr>
          <w:sz w:val="24"/>
        </w:rPr>
        <w:t>and</w:t>
      </w:r>
      <w:r>
        <w:rPr>
          <w:spacing w:val="-4"/>
          <w:sz w:val="24"/>
        </w:rPr>
        <w:t> </w:t>
      </w:r>
      <w:r>
        <w:rPr>
          <w:sz w:val="24"/>
        </w:rPr>
        <w:t>all</w:t>
      </w:r>
      <w:r>
        <w:rPr>
          <w:spacing w:val="-4"/>
          <w:sz w:val="24"/>
        </w:rPr>
        <w:t> </w:t>
      </w:r>
      <w:r>
        <w:rPr>
          <w:sz w:val="24"/>
        </w:rPr>
        <w:t>supporting</w:t>
      </w:r>
      <w:r>
        <w:rPr>
          <w:spacing w:val="-4"/>
          <w:sz w:val="24"/>
        </w:rPr>
        <w:t> </w:t>
      </w:r>
      <w:r>
        <w:rPr>
          <w:sz w:val="24"/>
        </w:rPr>
        <w:t>documents</w:t>
      </w:r>
      <w:r>
        <w:rPr>
          <w:spacing w:val="-4"/>
          <w:sz w:val="24"/>
        </w:rPr>
        <w:t> </w:t>
      </w:r>
      <w:r>
        <w:rPr>
          <w:sz w:val="24"/>
        </w:rPr>
        <w:t>are</w:t>
      </w:r>
      <w:r>
        <w:rPr>
          <w:spacing w:val="-4"/>
          <w:sz w:val="24"/>
        </w:rPr>
        <w:t> </w:t>
      </w:r>
      <w:r>
        <w:rPr>
          <w:sz w:val="24"/>
        </w:rPr>
        <w:t>to be submitted in hard copy and by electronic means.</w:t>
      </w:r>
      <w:r>
        <w:rPr>
          <w:spacing w:val="40"/>
          <w:sz w:val="24"/>
        </w:rPr>
        <w:t> </w:t>
      </w:r>
      <w:r>
        <w:rPr>
          <w:sz w:val="24"/>
        </w:rPr>
        <w:t>Rules, policies and any Instructions to Staff revisions for the rules/policies are submitted by electronic means in Microsoft Word.</w:t>
      </w:r>
      <w:r>
        <w:rPr>
          <w:spacing w:val="40"/>
          <w:sz w:val="24"/>
        </w:rPr>
        <w:t> </w:t>
      </w:r>
      <w:r>
        <w:rPr>
          <w:sz w:val="24"/>
        </w:rPr>
        <w:t>All changes will be tracked with strikeouts for removal and underlines for additions.</w:t>
      </w:r>
    </w:p>
    <w:p>
      <w:pPr>
        <w:pStyle w:val="ListParagraph"/>
        <w:spacing w:after="0" w:line="208" w:lineRule="auto"/>
        <w:jc w:val="left"/>
        <w:rPr>
          <w:sz w:val="24"/>
        </w:rPr>
        <w:sectPr>
          <w:pgSz w:w="12240" w:h="15840"/>
          <w:pgMar w:top="1340" w:bottom="280" w:left="1080" w:right="720"/>
        </w:sectPr>
      </w:pPr>
    </w:p>
    <w:p>
      <w:pPr>
        <w:pStyle w:val="ListParagraph"/>
        <w:numPr>
          <w:ilvl w:val="0"/>
          <w:numId w:val="52"/>
        </w:numPr>
        <w:tabs>
          <w:tab w:pos="1077" w:val="left" w:leader="none"/>
        </w:tabs>
        <w:spacing w:line="258" w:lineRule="exact" w:before="67" w:after="0"/>
        <w:ind w:left="1077" w:right="0" w:hanging="286"/>
        <w:jc w:val="left"/>
        <w:rPr>
          <w:sz w:val="24"/>
        </w:rPr>
      </w:pPr>
      <w:r>
        <w:rPr>
          <w:sz w:val="24"/>
        </w:rPr>
        <w:t>The</w:t>
      </w:r>
      <w:r>
        <w:rPr>
          <w:spacing w:val="-3"/>
          <w:sz w:val="24"/>
        </w:rPr>
        <w:t> </w:t>
      </w:r>
      <w:r>
        <w:rPr>
          <w:sz w:val="24"/>
        </w:rPr>
        <w:t>State</w:t>
      </w:r>
      <w:r>
        <w:rPr>
          <w:spacing w:val="-2"/>
          <w:sz w:val="24"/>
        </w:rPr>
        <w:t> </w:t>
      </w:r>
      <w:r>
        <w:rPr>
          <w:sz w:val="24"/>
        </w:rPr>
        <w:t>office</w:t>
      </w:r>
      <w:r>
        <w:rPr>
          <w:spacing w:val="-3"/>
          <w:sz w:val="24"/>
        </w:rPr>
        <w:t> </w:t>
      </w:r>
      <w:r>
        <w:rPr>
          <w:sz w:val="24"/>
        </w:rPr>
        <w:t>address</w:t>
      </w:r>
      <w:r>
        <w:rPr>
          <w:spacing w:val="-2"/>
          <w:sz w:val="24"/>
        </w:rPr>
        <w:t> </w:t>
      </w:r>
      <w:r>
        <w:rPr>
          <w:spacing w:val="-5"/>
          <w:sz w:val="24"/>
        </w:rPr>
        <w:t>is:</w:t>
      </w:r>
    </w:p>
    <w:p>
      <w:pPr>
        <w:pStyle w:val="BodyText"/>
        <w:spacing w:line="208" w:lineRule="auto" w:before="11"/>
        <w:ind w:left="1080" w:right="3984"/>
      </w:pPr>
      <w:r>
        <w:rPr/>
        <w:t>Oklahoma</w:t>
      </w:r>
      <w:r>
        <w:rPr>
          <w:spacing w:val="-10"/>
        </w:rPr>
        <w:t> </w:t>
      </w:r>
      <w:r>
        <w:rPr/>
        <w:t>Department</w:t>
      </w:r>
      <w:r>
        <w:rPr>
          <w:spacing w:val="-9"/>
        </w:rPr>
        <w:t> </w:t>
      </w:r>
      <w:r>
        <w:rPr/>
        <w:t>of</w:t>
      </w:r>
      <w:r>
        <w:rPr>
          <w:spacing w:val="-11"/>
        </w:rPr>
        <w:t> </w:t>
      </w:r>
      <w:r>
        <w:rPr/>
        <w:t>Rehabilitation</w:t>
      </w:r>
      <w:r>
        <w:rPr>
          <w:spacing w:val="-10"/>
        </w:rPr>
        <w:t> </w:t>
      </w:r>
      <w:r>
        <w:rPr/>
        <w:t>Services 3535 N.W. 58th Street, Suite 500</w:t>
      </w:r>
    </w:p>
    <w:p>
      <w:pPr>
        <w:pStyle w:val="BodyText"/>
        <w:spacing w:line="208" w:lineRule="auto" w:before="0"/>
        <w:ind w:left="1080" w:right="5450"/>
      </w:pPr>
      <w:r>
        <w:rPr/>
        <w:t>Oklahoma</w:t>
      </w:r>
      <w:r>
        <w:rPr>
          <w:spacing w:val="-10"/>
        </w:rPr>
        <w:t> </w:t>
      </w:r>
      <w:r>
        <w:rPr/>
        <w:t>City,</w:t>
      </w:r>
      <w:r>
        <w:rPr>
          <w:spacing w:val="-9"/>
        </w:rPr>
        <w:t> </w:t>
      </w:r>
      <w:r>
        <w:rPr/>
        <w:t>Oklahoma</w:t>
      </w:r>
      <w:r>
        <w:rPr>
          <w:spacing w:val="40"/>
        </w:rPr>
        <w:t> </w:t>
      </w:r>
      <w:r>
        <w:rPr/>
        <w:t>73112 Also, see </w:t>
      </w:r>
      <w:hyperlink w:history="true" w:anchor="_bookmark0">
        <w:r>
          <w:rPr>
            <w:color w:val="0000FF"/>
            <w:u w:val="single" w:color="0000FF"/>
          </w:rPr>
          <w:t>612:1-15-3</w:t>
        </w:r>
      </w:hyperlink>
      <w:r>
        <w:rPr>
          <w:u w:val="none"/>
        </w:rPr>
        <w:t>.</w:t>
      </w:r>
    </w:p>
    <w:p>
      <w:pPr>
        <w:pStyle w:val="BodyText"/>
        <w:spacing w:before="3"/>
        <w:ind w:left="0"/>
        <w:rPr>
          <w:sz w:val="22"/>
        </w:rPr>
      </w:pPr>
    </w:p>
    <w:p>
      <w:pPr>
        <w:spacing w:line="253" w:lineRule="exact" w:before="1"/>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9-11-</w:t>
      </w:r>
      <w:r>
        <w:rPr>
          <w:spacing w:val="-5"/>
          <w:sz w:val="22"/>
        </w:rPr>
        <w:t>20</w:t>
      </w:r>
      <w:r>
        <w:rPr>
          <w:sz w:val="22"/>
        </w:rPr>
        <w:tab/>
        <w:t>Permanent,</w:t>
      </w:r>
      <w:r>
        <w:rPr>
          <w:spacing w:val="-8"/>
          <w:sz w:val="22"/>
        </w:rPr>
        <w:t> </w:t>
      </w:r>
      <w:r>
        <w:rPr>
          <w:sz w:val="22"/>
        </w:rPr>
        <w:t>new</w:t>
      </w:r>
      <w:r>
        <w:rPr>
          <w:spacing w:val="-9"/>
          <w:sz w:val="22"/>
        </w:rPr>
        <w:t> </w:t>
      </w:r>
      <w:r>
        <w:rPr>
          <w:sz w:val="22"/>
        </w:rPr>
        <w:t>rule</w:t>
      </w:r>
      <w:r>
        <w:rPr>
          <w:spacing w:val="-8"/>
          <w:sz w:val="22"/>
        </w:rPr>
        <w:t> </w:t>
      </w:r>
      <w:r>
        <w:rPr>
          <w:sz w:val="22"/>
        </w:rPr>
        <w:t>implemented.</w:t>
      </w:r>
      <w:r>
        <w:rPr>
          <w:spacing w:val="-8"/>
          <w:sz w:val="22"/>
        </w:rPr>
        <w:t> </w:t>
      </w:r>
      <w:r>
        <w:rPr>
          <w:sz w:val="22"/>
        </w:rPr>
        <w:t>This</w:t>
      </w:r>
      <w:r>
        <w:rPr>
          <w:spacing w:val="-8"/>
          <w:sz w:val="22"/>
        </w:rPr>
        <w:t> </w:t>
      </w:r>
      <w:r>
        <w:rPr>
          <w:sz w:val="22"/>
        </w:rPr>
        <w:t>replaces</w:t>
      </w:r>
      <w:r>
        <w:rPr>
          <w:spacing w:val="-8"/>
          <w:sz w:val="22"/>
        </w:rPr>
        <w:t> </w:t>
      </w:r>
      <w:r>
        <w:rPr>
          <w:sz w:val="22"/>
        </w:rPr>
        <w:t>revoked</w:t>
      </w:r>
      <w:r>
        <w:rPr>
          <w:spacing w:val="-8"/>
          <w:sz w:val="22"/>
        </w:rPr>
        <w:t> </w:t>
      </w:r>
      <w:r>
        <w:rPr>
          <w:sz w:val="22"/>
        </w:rPr>
        <w:t>rule</w:t>
      </w:r>
      <w:r>
        <w:rPr>
          <w:spacing w:val="-8"/>
          <w:sz w:val="22"/>
        </w:rPr>
        <w:t> </w:t>
      </w:r>
      <w:r>
        <w:rPr>
          <w:sz w:val="22"/>
        </w:rPr>
        <w:t>612:3-5-12</w:t>
      </w:r>
      <w:r>
        <w:rPr>
          <w:spacing w:val="-8"/>
          <w:sz w:val="22"/>
        </w:rPr>
        <w:t> </w:t>
      </w:r>
      <w:r>
        <w:rPr>
          <w:spacing w:val="-2"/>
          <w:sz w:val="22"/>
        </w:rPr>
        <w:t>Policy.</w:t>
      </w:r>
    </w:p>
    <w:p>
      <w:pPr>
        <w:spacing w:after="0" w:line="253" w:lineRule="exact"/>
        <w:jc w:val="left"/>
        <w:rPr>
          <w:sz w:val="22"/>
        </w:rPr>
        <w:sectPr>
          <w:pgSz w:w="12240" w:h="15840"/>
          <w:pgMar w:top="1340" w:bottom="280" w:left="1080" w:right="720"/>
        </w:sectPr>
      </w:pPr>
    </w:p>
    <w:p>
      <w:pPr>
        <w:pStyle w:val="Heading1"/>
        <w:spacing w:line="208" w:lineRule="auto" w:before="96"/>
        <w:ind w:left="3839" w:right="775" w:hanging="3408"/>
        <w:jc w:val="left"/>
      </w:pPr>
      <w:bookmarkStart w:name="SUBCHAPTER 17. AVAILABILITY OF INFORMATI" w:id="64"/>
      <w:bookmarkEnd w:id="64"/>
      <w:r>
        <w:rPr>
          <w:b w:val="0"/>
        </w:rPr>
      </w:r>
      <w:r>
        <w:rPr/>
        <w:t>SUBCHAPTER</w:t>
      </w:r>
      <w:r>
        <w:rPr>
          <w:spacing w:val="-6"/>
        </w:rPr>
        <w:t> </w:t>
      </w:r>
      <w:r>
        <w:rPr/>
        <w:t>17.</w:t>
      </w:r>
      <w:r>
        <w:rPr>
          <w:spacing w:val="-5"/>
        </w:rPr>
        <w:t> </w:t>
      </w:r>
      <w:r>
        <w:rPr/>
        <w:t>AVAILABILITY</w:t>
      </w:r>
      <w:r>
        <w:rPr>
          <w:spacing w:val="-6"/>
        </w:rPr>
        <w:t> </w:t>
      </w:r>
      <w:r>
        <w:rPr/>
        <w:t>OF</w:t>
      </w:r>
      <w:r>
        <w:rPr>
          <w:spacing w:val="-7"/>
        </w:rPr>
        <w:t> </w:t>
      </w:r>
      <w:r>
        <w:rPr/>
        <w:t>INFORMATION,</w:t>
      </w:r>
      <w:r>
        <w:rPr>
          <w:spacing w:val="-5"/>
        </w:rPr>
        <w:t> </w:t>
      </w:r>
      <w:r>
        <w:rPr/>
        <w:t>SCOPE</w:t>
      </w:r>
      <w:r>
        <w:rPr>
          <w:spacing w:val="-6"/>
        </w:rPr>
        <w:t> </w:t>
      </w:r>
      <w:r>
        <w:rPr/>
        <w:t>AND</w:t>
      </w:r>
      <w:r>
        <w:rPr>
          <w:spacing w:val="-6"/>
        </w:rPr>
        <w:t> </w:t>
      </w:r>
      <w:r>
        <w:rPr/>
        <w:t>DESCRIPTION OF OPEN MEETINGS</w:t>
      </w:r>
    </w:p>
    <w:p>
      <w:pPr>
        <w:pStyle w:val="BodyText"/>
        <w:spacing w:before="210"/>
        <w:ind w:left="359"/>
      </w:pPr>
      <w:r>
        <w:rPr>
          <w:spacing w:val="-2"/>
        </w:rPr>
        <w:t>Section</w:t>
      </w:r>
    </w:p>
    <w:p>
      <w:pPr>
        <w:pStyle w:val="BodyText"/>
        <w:tabs>
          <w:tab w:pos="2519" w:val="left" w:leader="none"/>
        </w:tabs>
        <w:spacing w:before="204"/>
        <w:ind w:left="359"/>
      </w:pPr>
      <w:r>
        <w:rPr>
          <w:spacing w:val="-2"/>
        </w:rPr>
        <w:t>612:1-17-</w:t>
      </w:r>
      <w:r>
        <w:rPr>
          <w:spacing w:val="-5"/>
        </w:rPr>
        <w:t>1.</w:t>
      </w:r>
      <w:r>
        <w:rPr/>
        <w:tab/>
        <w:t>Access</w:t>
      </w:r>
      <w:r>
        <w:rPr>
          <w:spacing w:val="-2"/>
        </w:rPr>
        <w:t> </w:t>
      </w:r>
      <w:r>
        <w:rPr/>
        <w:t>to</w:t>
      </w:r>
      <w:r>
        <w:rPr>
          <w:spacing w:val="-1"/>
        </w:rPr>
        <w:t> </w:t>
      </w:r>
      <w:r>
        <w:rPr/>
        <w:t>DRS</w:t>
      </w:r>
      <w:r>
        <w:rPr>
          <w:spacing w:val="-1"/>
        </w:rPr>
        <w:t> </w:t>
      </w:r>
      <w:r>
        <w:rPr>
          <w:spacing w:val="-2"/>
        </w:rPr>
        <w:t>records</w:t>
      </w:r>
    </w:p>
    <w:p>
      <w:pPr>
        <w:pStyle w:val="BodyText"/>
        <w:tabs>
          <w:tab w:pos="2519" w:val="left" w:leader="none"/>
        </w:tabs>
        <w:spacing w:line="417" w:lineRule="auto" w:before="204"/>
        <w:ind w:right="2767"/>
      </w:pPr>
      <w:r>
        <w:rPr>
          <w:spacing w:val="-2"/>
        </w:rPr>
        <w:t>612:1-17-2.</w:t>
      </w:r>
      <w:r>
        <w:rPr/>
        <w:tab/>
        <w:t>Scope</w:t>
      </w:r>
      <w:r>
        <w:rPr>
          <w:spacing w:val="-6"/>
        </w:rPr>
        <w:t> </w:t>
      </w:r>
      <w:r>
        <w:rPr/>
        <w:t>and</w:t>
      </w:r>
      <w:r>
        <w:rPr>
          <w:spacing w:val="-5"/>
        </w:rPr>
        <w:t> </w:t>
      </w:r>
      <w:r>
        <w:rPr/>
        <w:t>description</w:t>
      </w:r>
      <w:r>
        <w:rPr>
          <w:spacing w:val="-5"/>
        </w:rPr>
        <w:t> </w:t>
      </w:r>
      <w:r>
        <w:rPr/>
        <w:t>of</w:t>
      </w:r>
      <w:r>
        <w:rPr>
          <w:spacing w:val="-5"/>
        </w:rPr>
        <w:t> </w:t>
      </w:r>
      <w:r>
        <w:rPr/>
        <w:t>the</w:t>
      </w:r>
      <w:r>
        <w:rPr>
          <w:spacing w:val="-7"/>
        </w:rPr>
        <w:t> </w:t>
      </w:r>
      <w:r>
        <w:rPr/>
        <w:t>Open</w:t>
      </w:r>
      <w:r>
        <w:rPr>
          <w:spacing w:val="-6"/>
        </w:rPr>
        <w:t> </w:t>
      </w:r>
      <w:r>
        <w:rPr/>
        <w:t>Meetings</w:t>
      </w:r>
      <w:r>
        <w:rPr>
          <w:spacing w:val="-6"/>
        </w:rPr>
        <w:t> </w:t>
      </w:r>
      <w:r>
        <w:rPr/>
        <w:t>Act </w:t>
      </w:r>
      <w:r>
        <w:rPr>
          <w:spacing w:val="-2"/>
        </w:rPr>
        <w:t>612:1-17-3.</w:t>
      </w:r>
      <w:r>
        <w:rPr/>
        <w:tab/>
        <w:t>News media contacts</w:t>
      </w:r>
    </w:p>
    <w:p>
      <w:pPr>
        <w:spacing w:before="3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pPr>
      <w:bookmarkStart w:name="612:1-17-1.  Access to DRS records" w:id="65"/>
      <w:bookmarkEnd w:id="65"/>
      <w:r>
        <w:rPr>
          <w:b w:val="0"/>
        </w:rPr>
      </w:r>
      <w:r>
        <w:rPr/>
        <w:t>612:1-17-1.</w:t>
      </w:r>
      <w:r>
        <w:rPr>
          <w:spacing w:val="61"/>
        </w:rPr>
        <w:t> </w:t>
      </w:r>
      <w:r>
        <w:rPr/>
        <w:t>Access</w:t>
      </w:r>
      <w:r>
        <w:rPr>
          <w:spacing w:val="-3"/>
        </w:rPr>
        <w:t> </w:t>
      </w:r>
      <w:r>
        <w:rPr/>
        <w:t>to</w:t>
      </w:r>
      <w:r>
        <w:rPr>
          <w:spacing w:val="-3"/>
        </w:rPr>
        <w:t> </w:t>
      </w:r>
      <w:r>
        <w:rPr/>
        <w:t>DRS</w:t>
      </w:r>
      <w:r>
        <w:rPr>
          <w:spacing w:val="-3"/>
        </w:rPr>
        <w:t> </w:t>
      </w:r>
      <w:r>
        <w:rPr>
          <w:spacing w:val="-2"/>
        </w:rPr>
        <w:t>records</w:t>
      </w:r>
    </w:p>
    <w:p>
      <w:pPr>
        <w:pStyle w:val="ListParagraph"/>
        <w:numPr>
          <w:ilvl w:val="0"/>
          <w:numId w:val="53"/>
        </w:numPr>
        <w:tabs>
          <w:tab w:pos="786" w:val="left" w:leader="none"/>
        </w:tabs>
        <w:spacing w:line="208" w:lineRule="auto" w:before="233" w:after="0"/>
        <w:ind w:left="360" w:right="764" w:firstLine="0"/>
        <w:jc w:val="left"/>
        <w:rPr>
          <w:sz w:val="24"/>
        </w:rPr>
      </w:pPr>
      <w:r>
        <w:rPr>
          <w:b/>
          <w:sz w:val="24"/>
        </w:rPr>
        <w:t>Rights.</w:t>
      </w:r>
      <w:r>
        <w:rPr>
          <w:b/>
          <w:spacing w:val="40"/>
          <w:sz w:val="24"/>
        </w:rPr>
        <w:t> </w:t>
      </w:r>
      <w:r>
        <w:rPr>
          <w:sz w:val="24"/>
        </w:rPr>
        <w:t>The Oklahoma Open Records Act is codified in 51 O.S. 24A.1 through 24A.18.</w:t>
      </w:r>
      <w:r>
        <w:rPr>
          <w:spacing w:val="40"/>
          <w:sz w:val="24"/>
        </w:rPr>
        <w:t> </w:t>
      </w:r>
      <w:r>
        <w:rPr>
          <w:sz w:val="24"/>
        </w:rPr>
        <w:t>In</w:t>
      </w:r>
      <w:r>
        <w:rPr>
          <w:spacing w:val="-1"/>
          <w:sz w:val="24"/>
        </w:rPr>
        <w:t> </w:t>
      </w:r>
      <w:r>
        <w:rPr>
          <w:sz w:val="24"/>
        </w:rPr>
        <w:t>general the purpose of this Act is</w:t>
      </w:r>
      <w:r>
        <w:rPr>
          <w:spacing w:val="-1"/>
          <w:sz w:val="24"/>
        </w:rPr>
        <w:t> </w:t>
      </w:r>
      <w:r>
        <w:rPr>
          <w:sz w:val="24"/>
        </w:rPr>
        <w:t>to ensure and facilitate the public's right of access</w:t>
      </w:r>
      <w:r>
        <w:rPr>
          <w:spacing w:val="-3"/>
          <w:sz w:val="24"/>
        </w:rPr>
        <w:t> </w:t>
      </w:r>
      <w:r>
        <w:rPr>
          <w:sz w:val="24"/>
        </w:rPr>
        <w:t>to,</w:t>
      </w:r>
      <w:r>
        <w:rPr>
          <w:spacing w:val="-2"/>
          <w:sz w:val="24"/>
        </w:rPr>
        <w:t> </w:t>
      </w:r>
      <w:r>
        <w:rPr>
          <w:sz w:val="24"/>
        </w:rPr>
        <w:t>review</w:t>
      </w:r>
      <w:r>
        <w:rPr>
          <w:spacing w:val="-3"/>
          <w:sz w:val="24"/>
        </w:rPr>
        <w:t> </w:t>
      </w:r>
      <w:r>
        <w:rPr>
          <w:sz w:val="24"/>
        </w:rPr>
        <w:t>and</w:t>
      </w:r>
      <w:r>
        <w:rPr>
          <w:spacing w:val="-3"/>
          <w:sz w:val="24"/>
        </w:rPr>
        <w:t> </w:t>
      </w:r>
      <w:r>
        <w:rPr>
          <w:sz w:val="24"/>
        </w:rPr>
        <w:t>copying</w:t>
      </w:r>
      <w:r>
        <w:rPr>
          <w:spacing w:val="-3"/>
          <w:sz w:val="24"/>
        </w:rPr>
        <w:t> </w:t>
      </w:r>
      <w:r>
        <w:rPr>
          <w:sz w:val="24"/>
        </w:rPr>
        <w:t>of</w:t>
      </w:r>
      <w:r>
        <w:rPr>
          <w:spacing w:val="-2"/>
          <w:sz w:val="24"/>
        </w:rPr>
        <w:t> </w:t>
      </w:r>
      <w:r>
        <w:rPr>
          <w:sz w:val="24"/>
        </w:rPr>
        <w:t>governmental</w:t>
      </w:r>
      <w:r>
        <w:rPr>
          <w:spacing w:val="-3"/>
          <w:sz w:val="24"/>
        </w:rPr>
        <w:t> </w:t>
      </w:r>
      <w:r>
        <w:rPr>
          <w:sz w:val="24"/>
        </w:rPr>
        <w:t>records.</w:t>
      </w:r>
      <w:r>
        <w:rPr>
          <w:spacing w:val="40"/>
          <w:sz w:val="24"/>
        </w:rPr>
        <w:t> </w:t>
      </w:r>
      <w:r>
        <w:rPr>
          <w:sz w:val="24"/>
        </w:rPr>
        <w:t>The</w:t>
      </w:r>
      <w:r>
        <w:rPr>
          <w:spacing w:val="-3"/>
          <w:sz w:val="24"/>
        </w:rPr>
        <w:t> </w:t>
      </w:r>
      <w:r>
        <w:rPr>
          <w:sz w:val="24"/>
        </w:rPr>
        <w:t>scope</w:t>
      </w:r>
      <w:r>
        <w:rPr>
          <w:spacing w:val="-3"/>
          <w:sz w:val="24"/>
        </w:rPr>
        <w:t> </w:t>
      </w:r>
      <w:r>
        <w:rPr>
          <w:sz w:val="24"/>
        </w:rPr>
        <w:t>of</w:t>
      </w:r>
      <w:r>
        <w:rPr>
          <w:spacing w:val="-2"/>
          <w:sz w:val="24"/>
        </w:rPr>
        <w:t> </w:t>
      </w:r>
      <w:r>
        <w:rPr>
          <w:sz w:val="24"/>
        </w:rPr>
        <w:t>the</w:t>
      </w:r>
      <w:r>
        <w:rPr>
          <w:spacing w:val="-4"/>
          <w:sz w:val="24"/>
        </w:rPr>
        <w:t> </w:t>
      </w:r>
      <w:r>
        <w:rPr>
          <w:sz w:val="24"/>
        </w:rPr>
        <w:t>records</w:t>
      </w:r>
      <w:r>
        <w:rPr>
          <w:spacing w:val="-3"/>
          <w:sz w:val="24"/>
        </w:rPr>
        <w:t> </w:t>
      </w:r>
      <w:r>
        <w:rPr>
          <w:sz w:val="24"/>
        </w:rPr>
        <w:t>to</w:t>
      </w:r>
      <w:r>
        <w:rPr>
          <w:spacing w:val="-3"/>
          <w:sz w:val="24"/>
        </w:rPr>
        <w:t> </w:t>
      </w:r>
      <w:r>
        <w:rPr>
          <w:sz w:val="24"/>
        </w:rPr>
        <w:t>be maintained is expanded under the Act to include completed records of all business and financial transactions.</w:t>
      </w:r>
      <w:r>
        <w:rPr>
          <w:spacing w:val="40"/>
          <w:sz w:val="24"/>
        </w:rPr>
        <w:t> </w:t>
      </w:r>
      <w:r>
        <w:rPr>
          <w:sz w:val="24"/>
        </w:rPr>
        <w:t>The description of records to be maintained specifically includes books, photographs, microfilm, computer tapes or disks, video records, or "other material regardless of physical form or characteristic".</w:t>
      </w:r>
    </w:p>
    <w:p>
      <w:pPr>
        <w:pStyle w:val="ListParagraph"/>
        <w:numPr>
          <w:ilvl w:val="0"/>
          <w:numId w:val="53"/>
        </w:numPr>
        <w:tabs>
          <w:tab w:pos="786" w:val="left" w:leader="none"/>
        </w:tabs>
        <w:spacing w:line="208" w:lineRule="auto" w:before="239" w:after="0"/>
        <w:ind w:left="360" w:right="796" w:firstLine="0"/>
        <w:jc w:val="left"/>
        <w:rPr>
          <w:sz w:val="24"/>
        </w:rPr>
      </w:pPr>
      <w:r>
        <w:rPr>
          <w:b/>
          <w:sz w:val="24"/>
        </w:rPr>
        <w:t>Fee</w:t>
      </w:r>
      <w:r>
        <w:rPr>
          <w:b/>
          <w:spacing w:val="-4"/>
          <w:sz w:val="24"/>
        </w:rPr>
        <w:t> </w:t>
      </w:r>
      <w:r>
        <w:rPr>
          <w:b/>
          <w:sz w:val="24"/>
        </w:rPr>
        <w:t>exclusions</w:t>
      </w:r>
      <w:r>
        <w:rPr>
          <w:b/>
          <w:spacing w:val="-4"/>
          <w:sz w:val="24"/>
        </w:rPr>
        <w:t> </w:t>
      </w:r>
      <w:r>
        <w:rPr>
          <w:b/>
          <w:sz w:val="24"/>
        </w:rPr>
        <w:t>and</w:t>
      </w:r>
      <w:r>
        <w:rPr>
          <w:b/>
          <w:spacing w:val="-4"/>
          <w:sz w:val="24"/>
        </w:rPr>
        <w:t> </w:t>
      </w:r>
      <w:r>
        <w:rPr>
          <w:b/>
          <w:sz w:val="24"/>
        </w:rPr>
        <w:t>fees.</w:t>
      </w:r>
      <w:r>
        <w:rPr>
          <w:b/>
          <w:spacing w:val="40"/>
          <w:sz w:val="24"/>
        </w:rPr>
        <w:t> </w:t>
      </w:r>
      <w:r>
        <w:rPr>
          <w:sz w:val="24"/>
        </w:rPr>
        <w:t>Provisions</w:t>
      </w:r>
      <w:r>
        <w:rPr>
          <w:spacing w:val="-4"/>
          <w:sz w:val="24"/>
        </w:rPr>
        <w:t> </w:t>
      </w:r>
      <w:r>
        <w:rPr>
          <w:sz w:val="24"/>
        </w:rPr>
        <w:t>for</w:t>
      </w:r>
      <w:r>
        <w:rPr>
          <w:spacing w:val="-3"/>
          <w:sz w:val="24"/>
        </w:rPr>
        <w:t> </w:t>
      </w:r>
      <w:r>
        <w:rPr>
          <w:sz w:val="24"/>
        </w:rPr>
        <w:t>copying</w:t>
      </w:r>
      <w:r>
        <w:rPr>
          <w:spacing w:val="-4"/>
          <w:sz w:val="24"/>
        </w:rPr>
        <w:t> </w:t>
      </w:r>
      <w:r>
        <w:rPr>
          <w:sz w:val="24"/>
        </w:rPr>
        <w:t>and</w:t>
      </w:r>
      <w:r>
        <w:rPr>
          <w:spacing w:val="-4"/>
          <w:sz w:val="24"/>
        </w:rPr>
        <w:t> </w:t>
      </w:r>
      <w:r>
        <w:rPr>
          <w:sz w:val="24"/>
        </w:rPr>
        <w:t>search</w:t>
      </w:r>
      <w:r>
        <w:rPr>
          <w:spacing w:val="-4"/>
          <w:sz w:val="24"/>
        </w:rPr>
        <w:t> </w:t>
      </w:r>
      <w:r>
        <w:rPr>
          <w:sz w:val="24"/>
        </w:rPr>
        <w:t>fees</w:t>
      </w:r>
      <w:r>
        <w:rPr>
          <w:spacing w:val="-4"/>
          <w:sz w:val="24"/>
        </w:rPr>
        <w:t> </w:t>
      </w:r>
      <w:r>
        <w:rPr>
          <w:sz w:val="24"/>
        </w:rPr>
        <w:t>are</w:t>
      </w:r>
      <w:r>
        <w:rPr>
          <w:spacing w:val="-4"/>
          <w:sz w:val="24"/>
        </w:rPr>
        <w:t> </w:t>
      </w:r>
      <w:r>
        <w:rPr>
          <w:sz w:val="24"/>
        </w:rPr>
        <w:t>contained</w:t>
      </w:r>
      <w:r>
        <w:rPr>
          <w:spacing w:val="-4"/>
          <w:sz w:val="24"/>
        </w:rPr>
        <w:t> </w:t>
      </w:r>
      <w:r>
        <w:rPr>
          <w:sz w:val="24"/>
        </w:rPr>
        <w:t>in the statute, with these exceptions being noted:</w:t>
      </w:r>
      <w:r>
        <w:rPr>
          <w:spacing w:val="40"/>
          <w:sz w:val="24"/>
        </w:rPr>
        <w:t> </w:t>
      </w:r>
      <w:r>
        <w:rPr>
          <w:sz w:val="24"/>
        </w:rPr>
        <w:t>no copy fee is charged to other public entities, to applicants, recipients or their representatives, or employees or former employees seeking information from their case file or employment records; and no search fee is charged to news media, schools, authors, or "taxpayers seeking to determine whether those entrusted with the affairs of its government are honestly, faithfully, and</w:t>
      </w:r>
      <w:r>
        <w:rPr>
          <w:spacing w:val="-1"/>
          <w:sz w:val="24"/>
        </w:rPr>
        <w:t> </w:t>
      </w:r>
      <w:r>
        <w:rPr>
          <w:sz w:val="24"/>
        </w:rPr>
        <w:t>competently</w:t>
      </w:r>
      <w:r>
        <w:rPr>
          <w:spacing w:val="-1"/>
          <w:sz w:val="24"/>
        </w:rPr>
        <w:t> </w:t>
      </w:r>
      <w:r>
        <w:rPr>
          <w:sz w:val="24"/>
        </w:rPr>
        <w:t>performing</w:t>
      </w:r>
      <w:r>
        <w:rPr>
          <w:spacing w:val="-1"/>
          <w:sz w:val="24"/>
        </w:rPr>
        <w:t> </w:t>
      </w:r>
      <w:r>
        <w:rPr>
          <w:sz w:val="24"/>
        </w:rPr>
        <w:t>their duties</w:t>
      </w:r>
      <w:r>
        <w:rPr>
          <w:spacing w:val="-1"/>
          <w:sz w:val="24"/>
        </w:rPr>
        <w:t> </w:t>
      </w:r>
      <w:r>
        <w:rPr>
          <w:sz w:val="24"/>
        </w:rPr>
        <w:t>as</w:t>
      </w:r>
      <w:r>
        <w:rPr>
          <w:spacing w:val="-1"/>
          <w:sz w:val="24"/>
        </w:rPr>
        <w:t> </w:t>
      </w:r>
      <w:r>
        <w:rPr>
          <w:sz w:val="24"/>
        </w:rPr>
        <w:t>public</w:t>
      </w:r>
      <w:r>
        <w:rPr>
          <w:spacing w:val="-1"/>
          <w:sz w:val="24"/>
        </w:rPr>
        <w:t> </w:t>
      </w:r>
      <w:r>
        <w:rPr>
          <w:sz w:val="24"/>
        </w:rPr>
        <w:t>servants."</w:t>
      </w:r>
      <w:r>
        <w:rPr>
          <w:spacing w:val="-1"/>
          <w:sz w:val="24"/>
        </w:rPr>
        <w:t> </w:t>
      </w:r>
      <w:r>
        <w:rPr>
          <w:sz w:val="24"/>
        </w:rPr>
        <w:t>The</w:t>
      </w:r>
      <w:r>
        <w:rPr>
          <w:spacing w:val="-1"/>
          <w:sz w:val="24"/>
        </w:rPr>
        <w:t> </w:t>
      </w:r>
      <w:r>
        <w:rPr>
          <w:sz w:val="24"/>
        </w:rPr>
        <w:t>fees</w:t>
      </w:r>
      <w:r>
        <w:rPr>
          <w:spacing w:val="-1"/>
          <w:sz w:val="24"/>
        </w:rPr>
        <w:t> </w:t>
      </w:r>
      <w:r>
        <w:rPr>
          <w:sz w:val="24"/>
        </w:rPr>
        <w:t>listed</w:t>
      </w:r>
      <w:r>
        <w:rPr>
          <w:spacing w:val="-1"/>
          <w:sz w:val="24"/>
        </w:rPr>
        <w:t> </w:t>
      </w:r>
      <w:r>
        <w:rPr>
          <w:sz w:val="24"/>
        </w:rPr>
        <w:t>in</w:t>
      </w:r>
    </w:p>
    <w:p>
      <w:pPr>
        <w:pStyle w:val="BodyText"/>
        <w:spacing w:line="208" w:lineRule="auto" w:before="0"/>
        <w:ind w:right="739"/>
      </w:pPr>
      <w:r>
        <w:rPr/>
        <w:t>(1)</w:t>
      </w:r>
      <w:r>
        <w:rPr>
          <w:spacing w:val="-2"/>
        </w:rPr>
        <w:t> </w:t>
      </w:r>
      <w:r>
        <w:rPr/>
        <w:t>-</w:t>
      </w:r>
      <w:r>
        <w:rPr>
          <w:spacing w:val="-4"/>
        </w:rPr>
        <w:t> </w:t>
      </w:r>
      <w:r>
        <w:rPr/>
        <w:t>(4)</w:t>
      </w:r>
      <w:r>
        <w:rPr>
          <w:spacing w:val="-4"/>
        </w:rPr>
        <w:t> </w:t>
      </w:r>
      <w:r>
        <w:rPr/>
        <w:t>of</w:t>
      </w:r>
      <w:r>
        <w:rPr>
          <w:spacing w:val="-4"/>
        </w:rPr>
        <w:t> </w:t>
      </w:r>
      <w:r>
        <w:rPr/>
        <w:t>this</w:t>
      </w:r>
      <w:r>
        <w:rPr>
          <w:spacing w:val="-3"/>
        </w:rPr>
        <w:t> </w:t>
      </w:r>
      <w:r>
        <w:rPr/>
        <w:t>Subsection</w:t>
      </w:r>
      <w:r>
        <w:rPr>
          <w:spacing w:val="-3"/>
        </w:rPr>
        <w:t> </w:t>
      </w:r>
      <w:r>
        <w:rPr/>
        <w:t>may</w:t>
      </w:r>
      <w:r>
        <w:rPr>
          <w:spacing w:val="-3"/>
        </w:rPr>
        <w:t> </w:t>
      </w:r>
      <w:r>
        <w:rPr/>
        <w:t>stand</w:t>
      </w:r>
      <w:r>
        <w:rPr>
          <w:spacing w:val="-3"/>
        </w:rPr>
        <w:t> </w:t>
      </w:r>
      <w:r>
        <w:rPr/>
        <w:t>alone</w:t>
      </w:r>
      <w:r>
        <w:rPr>
          <w:spacing w:val="-3"/>
        </w:rPr>
        <w:t> </w:t>
      </w:r>
      <w:r>
        <w:rPr/>
        <w:t>or</w:t>
      </w:r>
      <w:r>
        <w:rPr>
          <w:spacing w:val="-2"/>
        </w:rPr>
        <w:t> </w:t>
      </w:r>
      <w:r>
        <w:rPr/>
        <w:t>be</w:t>
      </w:r>
      <w:r>
        <w:rPr>
          <w:spacing w:val="-3"/>
        </w:rPr>
        <w:t> </w:t>
      </w:r>
      <w:r>
        <w:rPr/>
        <w:t>charged</w:t>
      </w:r>
      <w:r>
        <w:rPr>
          <w:spacing w:val="-3"/>
        </w:rPr>
        <w:t> </w:t>
      </w:r>
      <w:r>
        <w:rPr/>
        <w:t>in</w:t>
      </w:r>
      <w:r>
        <w:rPr>
          <w:spacing w:val="-3"/>
        </w:rPr>
        <w:t> </w:t>
      </w:r>
      <w:r>
        <w:rPr/>
        <w:t>combination.</w:t>
      </w:r>
      <w:r>
        <w:rPr>
          <w:spacing w:val="40"/>
        </w:rPr>
        <w:t> </w:t>
      </w:r>
      <w:r>
        <w:rPr/>
        <w:t>For</w:t>
      </w:r>
      <w:r>
        <w:rPr>
          <w:spacing w:val="-2"/>
        </w:rPr>
        <w:t> </w:t>
      </w:r>
      <w:r>
        <w:rPr/>
        <w:t>example, a person may be charged a search fee in addition to a fee for photocopying.</w:t>
      </w:r>
    </w:p>
    <w:p>
      <w:pPr>
        <w:pStyle w:val="ListParagraph"/>
        <w:numPr>
          <w:ilvl w:val="1"/>
          <w:numId w:val="53"/>
        </w:numPr>
        <w:tabs>
          <w:tab w:pos="1218" w:val="left" w:leader="none"/>
        </w:tabs>
        <w:spacing w:line="208" w:lineRule="auto" w:before="239" w:after="0"/>
        <w:ind w:left="792" w:right="786" w:firstLine="0"/>
        <w:jc w:val="left"/>
        <w:rPr>
          <w:sz w:val="24"/>
        </w:rPr>
      </w:pPr>
      <w:r>
        <w:rPr>
          <w:b/>
          <w:sz w:val="24"/>
        </w:rPr>
        <w:t>Fees for photocopying.</w:t>
      </w:r>
      <w:r>
        <w:rPr>
          <w:b/>
          <w:spacing w:val="40"/>
          <w:sz w:val="24"/>
        </w:rPr>
        <w:t> </w:t>
      </w:r>
      <w:r>
        <w:rPr>
          <w:sz w:val="24"/>
        </w:rPr>
        <w:t>The Department has established a fee schedule for documents having the dimensions of 8 1/2 x 14 inches or smaller; if less than 10 pages,</w:t>
      </w:r>
      <w:r>
        <w:rPr>
          <w:spacing w:val="-3"/>
          <w:sz w:val="24"/>
        </w:rPr>
        <w:t> </w:t>
      </w:r>
      <w:r>
        <w:rPr>
          <w:sz w:val="24"/>
        </w:rPr>
        <w:t>25</w:t>
      </w:r>
      <w:r>
        <w:rPr>
          <w:spacing w:val="-3"/>
          <w:sz w:val="24"/>
        </w:rPr>
        <w:t> </w:t>
      </w:r>
      <w:r>
        <w:rPr>
          <w:sz w:val="24"/>
        </w:rPr>
        <w:t>cents</w:t>
      </w:r>
      <w:r>
        <w:rPr>
          <w:spacing w:val="-3"/>
          <w:sz w:val="24"/>
        </w:rPr>
        <w:t> </w:t>
      </w:r>
      <w:r>
        <w:rPr>
          <w:sz w:val="24"/>
        </w:rPr>
        <w:t>per</w:t>
      </w:r>
      <w:r>
        <w:rPr>
          <w:spacing w:val="-3"/>
          <w:sz w:val="24"/>
        </w:rPr>
        <w:t> </w:t>
      </w:r>
      <w:r>
        <w:rPr>
          <w:sz w:val="24"/>
        </w:rPr>
        <w:t>page,</w:t>
      </w:r>
      <w:r>
        <w:rPr>
          <w:spacing w:val="-3"/>
          <w:sz w:val="24"/>
        </w:rPr>
        <w:t> </w:t>
      </w:r>
      <w:r>
        <w:rPr>
          <w:sz w:val="24"/>
        </w:rPr>
        <w:t>between</w:t>
      </w:r>
      <w:r>
        <w:rPr>
          <w:spacing w:val="-3"/>
          <w:sz w:val="24"/>
        </w:rPr>
        <w:t> </w:t>
      </w:r>
      <w:r>
        <w:rPr>
          <w:sz w:val="24"/>
        </w:rPr>
        <w:t>10</w:t>
      </w:r>
      <w:r>
        <w:rPr>
          <w:spacing w:val="-3"/>
          <w:sz w:val="24"/>
        </w:rPr>
        <w:t> </w:t>
      </w:r>
      <w:r>
        <w:rPr>
          <w:sz w:val="24"/>
        </w:rPr>
        <w:t>and</w:t>
      </w:r>
      <w:r>
        <w:rPr>
          <w:spacing w:val="-3"/>
          <w:sz w:val="24"/>
        </w:rPr>
        <w:t> </w:t>
      </w:r>
      <w:r>
        <w:rPr>
          <w:sz w:val="24"/>
        </w:rPr>
        <w:t>100</w:t>
      </w:r>
      <w:r>
        <w:rPr>
          <w:spacing w:val="-3"/>
          <w:sz w:val="24"/>
        </w:rPr>
        <w:t> </w:t>
      </w:r>
      <w:r>
        <w:rPr>
          <w:sz w:val="24"/>
        </w:rPr>
        <w:t>pages,</w:t>
      </w:r>
      <w:r>
        <w:rPr>
          <w:spacing w:val="-2"/>
          <w:sz w:val="24"/>
        </w:rPr>
        <w:t> </w:t>
      </w:r>
      <w:r>
        <w:rPr>
          <w:sz w:val="24"/>
        </w:rPr>
        <w:t>10</w:t>
      </w:r>
      <w:r>
        <w:rPr>
          <w:spacing w:val="-3"/>
          <w:sz w:val="24"/>
        </w:rPr>
        <w:t> </w:t>
      </w:r>
      <w:r>
        <w:rPr>
          <w:sz w:val="24"/>
        </w:rPr>
        <w:t>cents</w:t>
      </w:r>
      <w:r>
        <w:rPr>
          <w:spacing w:val="-3"/>
          <w:sz w:val="24"/>
        </w:rPr>
        <w:t> </w:t>
      </w:r>
      <w:r>
        <w:rPr>
          <w:sz w:val="24"/>
        </w:rPr>
        <w:t>per</w:t>
      </w:r>
      <w:r>
        <w:rPr>
          <w:spacing w:val="-3"/>
          <w:sz w:val="24"/>
        </w:rPr>
        <w:t> </w:t>
      </w:r>
      <w:r>
        <w:rPr>
          <w:sz w:val="24"/>
        </w:rPr>
        <w:t>page,</w:t>
      </w:r>
      <w:r>
        <w:rPr>
          <w:spacing w:val="-3"/>
          <w:sz w:val="24"/>
        </w:rPr>
        <w:t> </w:t>
      </w:r>
      <w:r>
        <w:rPr>
          <w:sz w:val="24"/>
        </w:rPr>
        <w:t>and</w:t>
      </w:r>
      <w:r>
        <w:rPr>
          <w:spacing w:val="-3"/>
          <w:sz w:val="24"/>
        </w:rPr>
        <w:t> </w:t>
      </w:r>
      <w:r>
        <w:rPr>
          <w:sz w:val="24"/>
        </w:rPr>
        <w:t>over 100 pages, 5 cents per page, or a maximum of one dollar ($1.00) per copied page for a certified copy.</w:t>
      </w:r>
    </w:p>
    <w:p>
      <w:pPr>
        <w:pStyle w:val="ListParagraph"/>
        <w:numPr>
          <w:ilvl w:val="1"/>
          <w:numId w:val="53"/>
        </w:numPr>
        <w:tabs>
          <w:tab w:pos="1218" w:val="left" w:leader="none"/>
        </w:tabs>
        <w:spacing w:line="208" w:lineRule="auto" w:before="240" w:after="0"/>
        <w:ind w:left="792" w:right="840" w:firstLine="0"/>
        <w:jc w:val="both"/>
        <w:rPr>
          <w:sz w:val="24"/>
        </w:rPr>
      </w:pPr>
      <w:r>
        <w:rPr>
          <w:b/>
          <w:sz w:val="24"/>
        </w:rPr>
        <w:t>Fees</w:t>
      </w:r>
      <w:r>
        <w:rPr>
          <w:b/>
          <w:spacing w:val="-3"/>
          <w:sz w:val="24"/>
        </w:rPr>
        <w:t> </w:t>
      </w:r>
      <w:r>
        <w:rPr>
          <w:b/>
          <w:sz w:val="24"/>
        </w:rPr>
        <w:t>for</w:t>
      </w:r>
      <w:r>
        <w:rPr>
          <w:b/>
          <w:spacing w:val="-3"/>
          <w:sz w:val="24"/>
        </w:rPr>
        <w:t> </w:t>
      </w:r>
      <w:r>
        <w:rPr>
          <w:b/>
          <w:sz w:val="24"/>
        </w:rPr>
        <w:t>search.</w:t>
      </w:r>
      <w:r>
        <w:rPr>
          <w:b/>
          <w:spacing w:val="40"/>
          <w:sz w:val="24"/>
        </w:rPr>
        <w:t> </w:t>
      </w:r>
      <w:r>
        <w:rPr>
          <w:sz w:val="24"/>
        </w:rPr>
        <w:t>Requests</w:t>
      </w:r>
      <w:r>
        <w:rPr>
          <w:spacing w:val="-3"/>
          <w:sz w:val="24"/>
        </w:rPr>
        <w:t> </w:t>
      </w:r>
      <w:r>
        <w:rPr>
          <w:sz w:val="24"/>
        </w:rPr>
        <w:t>that</w:t>
      </w:r>
      <w:r>
        <w:rPr>
          <w:spacing w:val="-2"/>
          <w:sz w:val="24"/>
        </w:rPr>
        <w:t> </w:t>
      </w:r>
      <w:r>
        <w:rPr>
          <w:sz w:val="24"/>
        </w:rPr>
        <w:t>are</w:t>
      </w:r>
      <w:r>
        <w:rPr>
          <w:spacing w:val="-3"/>
          <w:sz w:val="24"/>
        </w:rPr>
        <w:t> </w:t>
      </w:r>
      <w:r>
        <w:rPr>
          <w:sz w:val="24"/>
        </w:rPr>
        <w:t>for</w:t>
      </w:r>
      <w:r>
        <w:rPr>
          <w:spacing w:val="-5"/>
          <w:sz w:val="24"/>
        </w:rPr>
        <w:t> </w:t>
      </w:r>
      <w:r>
        <w:rPr>
          <w:sz w:val="24"/>
        </w:rPr>
        <w:t>a</w:t>
      </w:r>
      <w:r>
        <w:rPr>
          <w:spacing w:val="-3"/>
          <w:sz w:val="24"/>
        </w:rPr>
        <w:t> </w:t>
      </w:r>
      <w:r>
        <w:rPr>
          <w:sz w:val="24"/>
        </w:rPr>
        <w:t>commercial</w:t>
      </w:r>
      <w:r>
        <w:rPr>
          <w:spacing w:val="-3"/>
          <w:sz w:val="24"/>
        </w:rPr>
        <w:t> </w:t>
      </w:r>
      <w:r>
        <w:rPr>
          <w:sz w:val="24"/>
        </w:rPr>
        <w:t>purpose</w:t>
      </w:r>
      <w:r>
        <w:rPr>
          <w:spacing w:val="-2"/>
          <w:sz w:val="24"/>
        </w:rPr>
        <w:t> </w:t>
      </w:r>
      <w:r>
        <w:rPr>
          <w:sz w:val="24"/>
        </w:rPr>
        <w:t>or</w:t>
      </w:r>
      <w:r>
        <w:rPr>
          <w:spacing w:val="-2"/>
          <w:sz w:val="24"/>
        </w:rPr>
        <w:t> </w:t>
      </w:r>
      <w:r>
        <w:rPr>
          <w:sz w:val="24"/>
        </w:rPr>
        <w:t>clearly</w:t>
      </w:r>
      <w:r>
        <w:rPr>
          <w:spacing w:val="-4"/>
          <w:sz w:val="24"/>
        </w:rPr>
        <w:t> </w:t>
      </w:r>
      <w:r>
        <w:rPr>
          <w:sz w:val="24"/>
        </w:rPr>
        <w:t>would cause</w:t>
      </w:r>
      <w:r>
        <w:rPr>
          <w:spacing w:val="-4"/>
          <w:sz w:val="24"/>
        </w:rPr>
        <w:t> </w:t>
      </w:r>
      <w:r>
        <w:rPr>
          <w:sz w:val="24"/>
        </w:rPr>
        <w:t>excessive</w:t>
      </w:r>
      <w:r>
        <w:rPr>
          <w:spacing w:val="-4"/>
          <w:sz w:val="24"/>
        </w:rPr>
        <w:t> </w:t>
      </w:r>
      <w:r>
        <w:rPr>
          <w:sz w:val="24"/>
        </w:rPr>
        <w:t>disruption</w:t>
      </w:r>
      <w:r>
        <w:rPr>
          <w:spacing w:val="-4"/>
          <w:sz w:val="24"/>
        </w:rPr>
        <w:t> </w:t>
      </w:r>
      <w:r>
        <w:rPr>
          <w:sz w:val="24"/>
        </w:rPr>
        <w:t>of</w:t>
      </w:r>
      <w:r>
        <w:rPr>
          <w:spacing w:val="-3"/>
          <w:sz w:val="24"/>
        </w:rPr>
        <w:t> </w:t>
      </w:r>
      <w:r>
        <w:rPr>
          <w:sz w:val="24"/>
        </w:rPr>
        <w:t>office</w:t>
      </w:r>
      <w:r>
        <w:rPr>
          <w:spacing w:val="-4"/>
          <w:sz w:val="24"/>
        </w:rPr>
        <w:t> </w:t>
      </w:r>
      <w:r>
        <w:rPr>
          <w:sz w:val="24"/>
        </w:rPr>
        <w:t>function</w:t>
      </w:r>
      <w:r>
        <w:rPr>
          <w:spacing w:val="-4"/>
          <w:sz w:val="24"/>
        </w:rPr>
        <w:t> </w:t>
      </w:r>
      <w:r>
        <w:rPr>
          <w:sz w:val="24"/>
        </w:rPr>
        <w:t>will</w:t>
      </w:r>
      <w:r>
        <w:rPr>
          <w:spacing w:val="-4"/>
          <w:sz w:val="24"/>
        </w:rPr>
        <w:t> </w:t>
      </w:r>
      <w:r>
        <w:rPr>
          <w:sz w:val="24"/>
        </w:rPr>
        <w:t>be</w:t>
      </w:r>
      <w:r>
        <w:rPr>
          <w:spacing w:val="-4"/>
          <w:sz w:val="24"/>
        </w:rPr>
        <w:t> </w:t>
      </w:r>
      <w:r>
        <w:rPr>
          <w:sz w:val="24"/>
        </w:rPr>
        <w:t>charged</w:t>
      </w:r>
      <w:r>
        <w:rPr>
          <w:spacing w:val="-4"/>
          <w:sz w:val="24"/>
        </w:rPr>
        <w:t> </w:t>
      </w:r>
      <w:r>
        <w:rPr>
          <w:sz w:val="24"/>
        </w:rPr>
        <w:t>a</w:t>
      </w:r>
      <w:r>
        <w:rPr>
          <w:spacing w:val="-4"/>
          <w:sz w:val="24"/>
        </w:rPr>
        <w:t> </w:t>
      </w:r>
      <w:r>
        <w:rPr>
          <w:sz w:val="24"/>
        </w:rPr>
        <w:t>search</w:t>
      </w:r>
      <w:r>
        <w:rPr>
          <w:spacing w:val="-4"/>
          <w:sz w:val="24"/>
        </w:rPr>
        <w:t> </w:t>
      </w:r>
      <w:r>
        <w:rPr>
          <w:sz w:val="24"/>
        </w:rPr>
        <w:t>fee</w:t>
      </w:r>
      <w:r>
        <w:rPr>
          <w:spacing w:val="-4"/>
          <w:sz w:val="24"/>
        </w:rPr>
        <w:t> </w:t>
      </w:r>
      <w:r>
        <w:rPr>
          <w:sz w:val="24"/>
        </w:rPr>
        <w:t>of</w:t>
      </w:r>
      <w:r>
        <w:rPr>
          <w:spacing w:val="-3"/>
          <w:sz w:val="24"/>
        </w:rPr>
        <w:t> </w:t>
      </w:r>
      <w:r>
        <w:rPr>
          <w:sz w:val="24"/>
        </w:rPr>
        <w:t>$25.00 per hour for staff time spent in the search.</w:t>
      </w:r>
    </w:p>
    <w:p>
      <w:pPr>
        <w:pStyle w:val="ListParagraph"/>
        <w:numPr>
          <w:ilvl w:val="1"/>
          <w:numId w:val="53"/>
        </w:numPr>
        <w:tabs>
          <w:tab w:pos="1218" w:val="left" w:leader="none"/>
        </w:tabs>
        <w:spacing w:line="208" w:lineRule="auto" w:before="239" w:after="0"/>
        <w:ind w:left="792" w:right="866" w:firstLine="0"/>
        <w:jc w:val="left"/>
        <w:rPr>
          <w:sz w:val="24"/>
        </w:rPr>
      </w:pPr>
      <w:r>
        <w:rPr>
          <w:b/>
          <w:sz w:val="24"/>
        </w:rPr>
        <w:t>Fees for other types of reproduction.</w:t>
      </w:r>
      <w:r>
        <w:rPr>
          <w:b/>
          <w:spacing w:val="40"/>
          <w:sz w:val="24"/>
        </w:rPr>
        <w:t> </w:t>
      </w:r>
      <w:r>
        <w:rPr>
          <w:sz w:val="24"/>
        </w:rPr>
        <w:t>Requests for computer runs, microfilming</w:t>
      </w:r>
      <w:r>
        <w:rPr>
          <w:spacing w:val="-4"/>
          <w:sz w:val="24"/>
        </w:rPr>
        <w:t> </w:t>
      </w:r>
      <w:r>
        <w:rPr>
          <w:sz w:val="24"/>
        </w:rPr>
        <w:t>or</w:t>
      </w:r>
      <w:r>
        <w:rPr>
          <w:spacing w:val="-3"/>
          <w:sz w:val="24"/>
        </w:rPr>
        <w:t> </w:t>
      </w:r>
      <w:r>
        <w:rPr>
          <w:sz w:val="24"/>
        </w:rPr>
        <w:t>reproduction</w:t>
      </w:r>
      <w:r>
        <w:rPr>
          <w:spacing w:val="-4"/>
          <w:sz w:val="24"/>
        </w:rPr>
        <w:t> </w:t>
      </w:r>
      <w:r>
        <w:rPr>
          <w:sz w:val="24"/>
        </w:rPr>
        <w:t>other</w:t>
      </w:r>
      <w:r>
        <w:rPr>
          <w:spacing w:val="-3"/>
          <w:sz w:val="24"/>
        </w:rPr>
        <w:t> </w:t>
      </w:r>
      <w:r>
        <w:rPr>
          <w:sz w:val="24"/>
        </w:rPr>
        <w:t>than</w:t>
      </w:r>
      <w:r>
        <w:rPr>
          <w:spacing w:val="-4"/>
          <w:sz w:val="24"/>
        </w:rPr>
        <w:t> </w:t>
      </w:r>
      <w:r>
        <w:rPr>
          <w:sz w:val="24"/>
        </w:rPr>
        <w:t>photocopying,</w:t>
      </w:r>
      <w:r>
        <w:rPr>
          <w:spacing w:val="-3"/>
          <w:sz w:val="24"/>
        </w:rPr>
        <w:t> </w:t>
      </w:r>
      <w:r>
        <w:rPr>
          <w:sz w:val="24"/>
        </w:rPr>
        <w:t>will</w:t>
      </w:r>
      <w:r>
        <w:rPr>
          <w:spacing w:val="-4"/>
          <w:sz w:val="24"/>
        </w:rPr>
        <w:t> </w:t>
      </w:r>
      <w:r>
        <w:rPr>
          <w:sz w:val="24"/>
        </w:rPr>
        <w:t>be</w:t>
      </w:r>
      <w:r>
        <w:rPr>
          <w:spacing w:val="-4"/>
          <w:sz w:val="24"/>
        </w:rPr>
        <w:t> </w:t>
      </w:r>
      <w:r>
        <w:rPr>
          <w:sz w:val="24"/>
        </w:rPr>
        <w:t>charged</w:t>
      </w:r>
      <w:r>
        <w:rPr>
          <w:spacing w:val="-4"/>
          <w:sz w:val="24"/>
        </w:rPr>
        <w:t> </w:t>
      </w:r>
      <w:r>
        <w:rPr>
          <w:sz w:val="24"/>
        </w:rPr>
        <w:t>at</w:t>
      </w:r>
      <w:r>
        <w:rPr>
          <w:spacing w:val="-3"/>
          <w:sz w:val="24"/>
        </w:rPr>
        <w:t> </w:t>
      </w:r>
      <w:r>
        <w:rPr>
          <w:sz w:val="24"/>
        </w:rPr>
        <w:t>the</w:t>
      </w:r>
      <w:r>
        <w:rPr>
          <w:spacing w:val="-5"/>
          <w:sz w:val="24"/>
        </w:rPr>
        <w:t> </w:t>
      </w:r>
      <w:r>
        <w:rPr>
          <w:sz w:val="24"/>
        </w:rPr>
        <w:t>cost</w:t>
      </w:r>
      <w:r>
        <w:rPr>
          <w:spacing w:val="-3"/>
          <w:sz w:val="24"/>
        </w:rPr>
        <w:t> </w:t>
      </w:r>
      <w:r>
        <w:rPr>
          <w:sz w:val="24"/>
        </w:rPr>
        <w:t>to the Department of duplicating the information involved.</w:t>
      </w:r>
      <w:r>
        <w:rPr>
          <w:spacing w:val="40"/>
          <w:sz w:val="24"/>
        </w:rPr>
        <w:t> </w:t>
      </w:r>
      <w:r>
        <w:rPr>
          <w:sz w:val="24"/>
        </w:rPr>
        <w:t>Such requests are to be forwarded to the State Office where the fee will be developed with the appropriate </w:t>
      </w:r>
      <w:r>
        <w:rPr>
          <w:spacing w:val="-2"/>
          <w:sz w:val="24"/>
        </w:rPr>
        <w:t>division.</w:t>
      </w:r>
    </w:p>
    <w:p>
      <w:pPr>
        <w:pStyle w:val="ListParagraph"/>
        <w:numPr>
          <w:ilvl w:val="1"/>
          <w:numId w:val="53"/>
        </w:numPr>
        <w:tabs>
          <w:tab w:pos="1218" w:val="left" w:leader="none"/>
        </w:tabs>
        <w:spacing w:line="208" w:lineRule="auto" w:before="240" w:after="0"/>
        <w:ind w:left="792" w:right="826" w:firstLine="0"/>
        <w:jc w:val="left"/>
        <w:rPr>
          <w:sz w:val="24"/>
        </w:rPr>
      </w:pPr>
      <w:r>
        <w:rPr>
          <w:b/>
          <w:sz w:val="24"/>
        </w:rPr>
        <w:t>Payment of fees.</w:t>
      </w:r>
      <w:r>
        <w:rPr>
          <w:b/>
          <w:spacing w:val="40"/>
          <w:sz w:val="24"/>
        </w:rPr>
        <w:t> </w:t>
      </w:r>
      <w:r>
        <w:rPr>
          <w:sz w:val="24"/>
        </w:rPr>
        <w:t>All fees are paid prior to delivering the copies, and if the request</w:t>
      </w:r>
      <w:r>
        <w:rPr>
          <w:spacing w:val="-1"/>
          <w:sz w:val="24"/>
        </w:rPr>
        <w:t> </w:t>
      </w:r>
      <w:r>
        <w:rPr>
          <w:sz w:val="24"/>
        </w:rPr>
        <w:t>is</w:t>
      </w:r>
      <w:r>
        <w:rPr>
          <w:spacing w:val="-2"/>
          <w:sz w:val="24"/>
        </w:rPr>
        <w:t> </w:t>
      </w:r>
      <w:r>
        <w:rPr>
          <w:sz w:val="24"/>
        </w:rPr>
        <w:t>for</w:t>
      </w:r>
      <w:r>
        <w:rPr>
          <w:spacing w:val="-1"/>
          <w:sz w:val="24"/>
        </w:rPr>
        <w:t> </w:t>
      </w:r>
      <w:r>
        <w:rPr>
          <w:sz w:val="24"/>
        </w:rPr>
        <w:t>search</w:t>
      </w:r>
      <w:r>
        <w:rPr>
          <w:spacing w:val="-2"/>
          <w:sz w:val="24"/>
        </w:rPr>
        <w:t> </w:t>
      </w:r>
      <w:r>
        <w:rPr>
          <w:sz w:val="24"/>
        </w:rPr>
        <w:t>only,</w:t>
      </w:r>
      <w:r>
        <w:rPr>
          <w:spacing w:val="-1"/>
          <w:sz w:val="24"/>
        </w:rPr>
        <w:t> </w:t>
      </w:r>
      <w:r>
        <w:rPr>
          <w:sz w:val="24"/>
        </w:rPr>
        <w:t>the</w:t>
      </w:r>
      <w:r>
        <w:rPr>
          <w:spacing w:val="-2"/>
          <w:sz w:val="24"/>
        </w:rPr>
        <w:t> </w:t>
      </w:r>
      <w:r>
        <w:rPr>
          <w:sz w:val="24"/>
        </w:rPr>
        <w:t>fee</w:t>
      </w:r>
      <w:r>
        <w:rPr>
          <w:spacing w:val="-3"/>
          <w:sz w:val="24"/>
        </w:rPr>
        <w:t> </w:t>
      </w:r>
      <w:r>
        <w:rPr>
          <w:sz w:val="24"/>
        </w:rPr>
        <w:t>is</w:t>
      </w:r>
      <w:r>
        <w:rPr>
          <w:spacing w:val="-2"/>
          <w:sz w:val="24"/>
        </w:rPr>
        <w:t> </w:t>
      </w:r>
      <w:r>
        <w:rPr>
          <w:sz w:val="24"/>
        </w:rPr>
        <w:t>paid</w:t>
      </w:r>
      <w:r>
        <w:rPr>
          <w:spacing w:val="-2"/>
          <w:sz w:val="24"/>
        </w:rPr>
        <w:t> </w:t>
      </w:r>
      <w:r>
        <w:rPr>
          <w:sz w:val="24"/>
        </w:rPr>
        <w:t>before</w:t>
      </w:r>
      <w:r>
        <w:rPr>
          <w:spacing w:val="-2"/>
          <w:sz w:val="24"/>
        </w:rPr>
        <w:t> </w:t>
      </w:r>
      <w:r>
        <w:rPr>
          <w:sz w:val="24"/>
        </w:rPr>
        <w:t>the</w:t>
      </w:r>
      <w:r>
        <w:rPr>
          <w:spacing w:val="-2"/>
          <w:sz w:val="24"/>
        </w:rPr>
        <w:t> </w:t>
      </w:r>
      <w:r>
        <w:rPr>
          <w:sz w:val="24"/>
        </w:rPr>
        <w:t>person</w:t>
      </w:r>
      <w:r>
        <w:rPr>
          <w:spacing w:val="-2"/>
          <w:sz w:val="24"/>
        </w:rPr>
        <w:t> </w:t>
      </w:r>
      <w:r>
        <w:rPr>
          <w:sz w:val="24"/>
        </w:rPr>
        <w:t>is</w:t>
      </w:r>
      <w:r>
        <w:rPr>
          <w:spacing w:val="-2"/>
          <w:sz w:val="24"/>
        </w:rPr>
        <w:t> </w:t>
      </w:r>
      <w:r>
        <w:rPr>
          <w:sz w:val="24"/>
        </w:rPr>
        <w:t>allowed</w:t>
      </w:r>
      <w:r>
        <w:rPr>
          <w:spacing w:val="-2"/>
          <w:sz w:val="24"/>
        </w:rPr>
        <w:t> </w:t>
      </w:r>
      <w:r>
        <w:rPr>
          <w:sz w:val="24"/>
        </w:rPr>
        <w:t>to</w:t>
      </w:r>
      <w:r>
        <w:rPr>
          <w:spacing w:val="-2"/>
          <w:sz w:val="24"/>
        </w:rPr>
        <w:t> </w:t>
      </w:r>
      <w:r>
        <w:rPr>
          <w:sz w:val="24"/>
        </w:rPr>
        <w:t>review</w:t>
      </w:r>
      <w:r>
        <w:rPr>
          <w:spacing w:val="-2"/>
          <w:sz w:val="24"/>
        </w:rPr>
        <w:t> </w:t>
      </w:r>
      <w:r>
        <w:rPr>
          <w:sz w:val="24"/>
        </w:rPr>
        <w:t>the material.</w:t>
      </w:r>
      <w:r>
        <w:rPr>
          <w:spacing w:val="40"/>
          <w:sz w:val="24"/>
        </w:rPr>
        <w:t> </w:t>
      </w:r>
      <w:r>
        <w:rPr>
          <w:sz w:val="24"/>
        </w:rPr>
        <w:t>All</w:t>
      </w:r>
      <w:r>
        <w:rPr>
          <w:spacing w:val="-3"/>
          <w:sz w:val="24"/>
        </w:rPr>
        <w:t> </w:t>
      </w:r>
      <w:r>
        <w:rPr>
          <w:sz w:val="24"/>
        </w:rPr>
        <w:t>fees</w:t>
      </w:r>
      <w:r>
        <w:rPr>
          <w:spacing w:val="-3"/>
          <w:sz w:val="24"/>
        </w:rPr>
        <w:t> </w:t>
      </w:r>
      <w:r>
        <w:rPr>
          <w:sz w:val="24"/>
        </w:rPr>
        <w:t>are</w:t>
      </w:r>
      <w:r>
        <w:rPr>
          <w:spacing w:val="-3"/>
          <w:sz w:val="24"/>
        </w:rPr>
        <w:t> </w:t>
      </w:r>
      <w:r>
        <w:rPr>
          <w:sz w:val="24"/>
        </w:rPr>
        <w:t>paid</w:t>
      </w:r>
      <w:r>
        <w:rPr>
          <w:spacing w:val="-3"/>
          <w:sz w:val="24"/>
        </w:rPr>
        <w:t> </w:t>
      </w:r>
      <w:r>
        <w:rPr>
          <w:sz w:val="24"/>
        </w:rPr>
        <w:t>by</w:t>
      </w:r>
      <w:r>
        <w:rPr>
          <w:spacing w:val="-3"/>
          <w:sz w:val="24"/>
        </w:rPr>
        <w:t> </w:t>
      </w:r>
      <w:r>
        <w:rPr>
          <w:sz w:val="24"/>
        </w:rPr>
        <w:t>check</w:t>
      </w:r>
      <w:r>
        <w:rPr>
          <w:spacing w:val="-3"/>
          <w:sz w:val="24"/>
        </w:rPr>
        <w:t> </w:t>
      </w:r>
      <w:r>
        <w:rPr>
          <w:sz w:val="24"/>
        </w:rPr>
        <w:t>or</w:t>
      </w:r>
      <w:r>
        <w:rPr>
          <w:spacing w:val="-2"/>
          <w:sz w:val="24"/>
        </w:rPr>
        <w:t> </w:t>
      </w:r>
      <w:r>
        <w:rPr>
          <w:sz w:val="24"/>
        </w:rPr>
        <w:t>money</w:t>
      </w:r>
      <w:r>
        <w:rPr>
          <w:spacing w:val="-3"/>
          <w:sz w:val="24"/>
        </w:rPr>
        <w:t> </w:t>
      </w:r>
      <w:r>
        <w:rPr>
          <w:sz w:val="24"/>
        </w:rPr>
        <w:t>order;</w:t>
      </w:r>
      <w:r>
        <w:rPr>
          <w:spacing w:val="-2"/>
          <w:sz w:val="24"/>
        </w:rPr>
        <w:t> </w:t>
      </w:r>
      <w:r>
        <w:rPr>
          <w:sz w:val="24"/>
        </w:rPr>
        <w:t>cash</w:t>
      </w:r>
      <w:r>
        <w:rPr>
          <w:spacing w:val="-3"/>
          <w:sz w:val="24"/>
        </w:rPr>
        <w:t> </w:t>
      </w:r>
      <w:r>
        <w:rPr>
          <w:sz w:val="24"/>
        </w:rPr>
        <w:t>is</w:t>
      </w:r>
      <w:r>
        <w:rPr>
          <w:spacing w:val="-3"/>
          <w:sz w:val="24"/>
        </w:rPr>
        <w:t> </w:t>
      </w:r>
      <w:r>
        <w:rPr>
          <w:sz w:val="24"/>
        </w:rPr>
        <w:t>not</w:t>
      </w:r>
      <w:r>
        <w:rPr>
          <w:spacing w:val="-2"/>
          <w:sz w:val="24"/>
        </w:rPr>
        <w:t> </w:t>
      </w:r>
      <w:r>
        <w:rPr>
          <w:sz w:val="24"/>
        </w:rPr>
        <w:t>accepted.</w:t>
      </w:r>
      <w:r>
        <w:rPr>
          <w:spacing w:val="40"/>
          <w:sz w:val="24"/>
        </w:rPr>
        <w:t> </w:t>
      </w:r>
      <w:r>
        <w:rPr>
          <w:sz w:val="24"/>
        </w:rPr>
        <w:t>The</w:t>
      </w:r>
      <w:r>
        <w:rPr>
          <w:spacing w:val="-3"/>
          <w:sz w:val="24"/>
        </w:rPr>
        <w:t> </w:t>
      </w:r>
      <w:r>
        <w:rPr>
          <w:sz w:val="24"/>
        </w:rPr>
        <w:t>fee payment</w:t>
      </w:r>
      <w:r>
        <w:rPr>
          <w:spacing w:val="-1"/>
          <w:sz w:val="24"/>
        </w:rPr>
        <w:t> </w:t>
      </w:r>
      <w:r>
        <w:rPr>
          <w:sz w:val="24"/>
        </w:rPr>
        <w:t>is</w:t>
      </w:r>
      <w:r>
        <w:rPr>
          <w:spacing w:val="-2"/>
          <w:sz w:val="24"/>
        </w:rPr>
        <w:t> </w:t>
      </w:r>
      <w:r>
        <w:rPr>
          <w:sz w:val="24"/>
        </w:rPr>
        <w:t>transmitted</w:t>
      </w:r>
      <w:r>
        <w:rPr>
          <w:spacing w:val="-3"/>
          <w:sz w:val="24"/>
        </w:rPr>
        <w:t> </w:t>
      </w:r>
      <w:r>
        <w:rPr>
          <w:sz w:val="24"/>
        </w:rPr>
        <w:t>to</w:t>
      </w:r>
      <w:r>
        <w:rPr>
          <w:spacing w:val="-3"/>
          <w:sz w:val="24"/>
        </w:rPr>
        <w:t> </w:t>
      </w:r>
      <w:r>
        <w:rPr>
          <w:sz w:val="24"/>
        </w:rPr>
        <w:t>the</w:t>
      </w:r>
      <w:r>
        <w:rPr>
          <w:spacing w:val="-2"/>
          <w:sz w:val="24"/>
        </w:rPr>
        <w:t> </w:t>
      </w:r>
      <w:r>
        <w:rPr>
          <w:sz w:val="24"/>
        </w:rPr>
        <w:t>State</w:t>
      </w:r>
      <w:r>
        <w:rPr>
          <w:spacing w:val="-2"/>
          <w:sz w:val="24"/>
        </w:rPr>
        <w:t> </w:t>
      </w:r>
      <w:r>
        <w:rPr>
          <w:sz w:val="24"/>
        </w:rPr>
        <w:t>Office,</w:t>
      </w:r>
      <w:r>
        <w:rPr>
          <w:spacing w:val="-1"/>
          <w:sz w:val="24"/>
        </w:rPr>
        <w:t> </w:t>
      </w:r>
      <w:r>
        <w:rPr>
          <w:sz w:val="24"/>
        </w:rPr>
        <w:t>Attention</w:t>
      </w:r>
      <w:r>
        <w:rPr>
          <w:spacing w:val="-2"/>
          <w:sz w:val="24"/>
        </w:rPr>
        <w:t> </w:t>
      </w:r>
      <w:r>
        <w:rPr>
          <w:sz w:val="24"/>
        </w:rPr>
        <w:t>Financial</w:t>
      </w:r>
      <w:r>
        <w:rPr>
          <w:spacing w:val="-2"/>
          <w:sz w:val="24"/>
        </w:rPr>
        <w:t> </w:t>
      </w:r>
      <w:r>
        <w:rPr>
          <w:sz w:val="24"/>
        </w:rPr>
        <w:t>Services</w:t>
      </w:r>
      <w:r>
        <w:rPr>
          <w:spacing w:val="-2"/>
          <w:sz w:val="24"/>
        </w:rPr>
        <w:t> </w:t>
      </w:r>
      <w:r>
        <w:rPr>
          <w:sz w:val="24"/>
        </w:rPr>
        <w:t>Division.</w:t>
      </w:r>
      <w:r>
        <w:rPr>
          <w:spacing w:val="40"/>
          <w:sz w:val="24"/>
        </w:rPr>
        <w:t> </w:t>
      </w:r>
      <w:r>
        <w:rPr>
          <w:sz w:val="24"/>
        </w:rPr>
        <w:t>In addition, a receipt is to be given upon payment.</w:t>
      </w:r>
      <w:r>
        <w:rPr>
          <w:spacing w:val="40"/>
          <w:sz w:val="24"/>
        </w:rPr>
        <w:t> </w:t>
      </w:r>
      <w:r>
        <w:rPr>
          <w:sz w:val="24"/>
        </w:rPr>
        <w:t>A copy of the manual material is maintained to explain the fee schedules to interested persons.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1"/>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8-1-96</w:t>
      </w:r>
      <w:r>
        <w:rPr>
          <w:sz w:val="22"/>
        </w:rPr>
        <w:tab/>
        <w:t>PT Memo #97-1</w:t>
      </w:r>
    </w:p>
    <w:p>
      <w:pPr>
        <w:tabs>
          <w:tab w:pos="1439" w:val="left" w:leader="none"/>
        </w:tabs>
        <w:spacing w:before="0"/>
        <w:ind w:left="359" w:right="5035" w:firstLine="1080"/>
        <w:jc w:val="left"/>
        <w:rPr>
          <w:sz w:val="22"/>
        </w:rPr>
      </w:pPr>
      <w:r>
        <w:rPr>
          <w:sz w:val="22"/>
        </w:rPr>
        <w:t>Permanent,</w:t>
      </w:r>
      <w:r>
        <w:rPr>
          <w:spacing w:val="-9"/>
          <w:sz w:val="22"/>
        </w:rPr>
        <w:t> </w:t>
      </w:r>
      <w:r>
        <w:rPr>
          <w:sz w:val="22"/>
        </w:rPr>
        <w:t>updated</w:t>
      </w:r>
      <w:r>
        <w:rPr>
          <w:spacing w:val="-10"/>
          <w:sz w:val="22"/>
        </w:rPr>
        <w:t> </w:t>
      </w:r>
      <w:r>
        <w:rPr>
          <w:sz w:val="22"/>
        </w:rPr>
        <w:t>state</w:t>
      </w:r>
      <w:r>
        <w:rPr>
          <w:spacing w:val="-10"/>
          <w:sz w:val="22"/>
        </w:rPr>
        <w:t> </w:t>
      </w:r>
      <w:r>
        <w:rPr>
          <w:sz w:val="22"/>
        </w:rPr>
        <w:t>office</w:t>
      </w:r>
      <w:r>
        <w:rPr>
          <w:spacing w:val="-10"/>
          <w:sz w:val="22"/>
        </w:rPr>
        <w:t> </w:t>
      </w:r>
      <w:r>
        <w:rPr>
          <w:sz w:val="22"/>
        </w:rPr>
        <w:t>address </w:t>
      </w:r>
      <w:r>
        <w:rPr>
          <w:spacing w:val="-2"/>
          <w:sz w:val="22"/>
        </w:rPr>
        <w:t>7-1-98</w:t>
      </w:r>
      <w:r>
        <w:rPr>
          <w:sz w:val="22"/>
        </w:rPr>
        <w:tab/>
        <w:t>PT Memo #98-14</w:t>
      </w:r>
    </w:p>
    <w:p>
      <w:pPr>
        <w:tabs>
          <w:tab w:pos="1439" w:val="left" w:leader="none"/>
        </w:tabs>
        <w:spacing w:before="0"/>
        <w:ind w:left="359" w:right="6246" w:firstLine="1080"/>
        <w:jc w:val="left"/>
        <w:rPr>
          <w:sz w:val="22"/>
        </w:rPr>
      </w:pPr>
      <w:r>
        <w:rPr>
          <w:sz w:val="22"/>
        </w:rPr>
        <w:t>Permanent,</w:t>
      </w:r>
      <w:r>
        <w:rPr>
          <w:spacing w:val="-16"/>
          <w:sz w:val="22"/>
        </w:rPr>
        <w:t> </w:t>
      </w:r>
      <w:r>
        <w:rPr>
          <w:sz w:val="22"/>
        </w:rPr>
        <w:t>clean-up</w:t>
      </w:r>
      <w:r>
        <w:rPr>
          <w:spacing w:val="-15"/>
          <w:sz w:val="22"/>
        </w:rPr>
        <w:t> </w:t>
      </w:r>
      <w:r>
        <w:rPr>
          <w:sz w:val="22"/>
        </w:rPr>
        <w:t>editing </w:t>
      </w:r>
      <w:r>
        <w:rPr>
          <w:spacing w:val="-2"/>
          <w:sz w:val="22"/>
        </w:rPr>
        <w:t>7-1-10</w:t>
      </w:r>
      <w:r>
        <w:rPr>
          <w:sz w:val="22"/>
        </w:rPr>
        <w:tab/>
        <w:t>PT Memo #10-02</w:t>
      </w:r>
    </w:p>
    <w:p>
      <w:pPr>
        <w:spacing w:after="0"/>
        <w:jc w:val="left"/>
        <w:rPr>
          <w:sz w:val="22"/>
        </w:rPr>
        <w:sectPr>
          <w:pgSz w:w="12240" w:h="15840"/>
          <w:pgMar w:top="1340" w:bottom="280" w:left="1080" w:right="720"/>
        </w:sectPr>
      </w:pPr>
    </w:p>
    <w:p>
      <w:pPr>
        <w:tabs>
          <w:tab w:pos="1439" w:val="left" w:leader="none"/>
        </w:tabs>
        <w:spacing w:before="80"/>
        <w:ind w:left="360" w:right="4679" w:firstLine="1080"/>
        <w:jc w:val="left"/>
        <w:rPr>
          <w:sz w:val="22"/>
        </w:rPr>
      </w:pPr>
      <w:r>
        <w:rPr>
          <w:sz w:val="22"/>
        </w:rPr>
        <w:t>Permanent,</w:t>
      </w:r>
      <w:r>
        <w:rPr>
          <w:spacing w:val="-8"/>
          <w:sz w:val="22"/>
        </w:rPr>
        <w:t> </w:t>
      </w:r>
      <w:r>
        <w:rPr>
          <w:sz w:val="22"/>
        </w:rPr>
        <w:t>New</w:t>
      </w:r>
      <w:r>
        <w:rPr>
          <w:spacing w:val="-10"/>
          <w:sz w:val="22"/>
        </w:rPr>
        <w:t> </w:t>
      </w:r>
      <w:r>
        <w:rPr>
          <w:sz w:val="22"/>
        </w:rPr>
        <w:t>Financial</w:t>
      </w:r>
      <w:r>
        <w:rPr>
          <w:spacing w:val="-9"/>
          <w:sz w:val="22"/>
        </w:rPr>
        <w:t> </w:t>
      </w:r>
      <w:r>
        <w:rPr>
          <w:sz w:val="22"/>
        </w:rPr>
        <w:t>Services</w:t>
      </w:r>
      <w:r>
        <w:rPr>
          <w:spacing w:val="-10"/>
          <w:sz w:val="22"/>
        </w:rPr>
        <w:t> </w:t>
      </w:r>
      <w:r>
        <w:rPr>
          <w:sz w:val="22"/>
        </w:rPr>
        <w:t>Division </w:t>
      </w:r>
      <w:r>
        <w:rPr>
          <w:spacing w:val="-2"/>
          <w:sz w:val="22"/>
        </w:rPr>
        <w:t>8-11-19</w:t>
      </w:r>
      <w:r>
        <w:rPr>
          <w:sz w:val="22"/>
        </w:rPr>
        <w:tab/>
        <w:t>Section (b) – (f) deleted, renumbered (b)</w:t>
      </w:r>
    </w:p>
    <w:p>
      <w:pPr>
        <w:spacing w:after="0"/>
        <w:jc w:val="left"/>
        <w:rPr>
          <w:sz w:val="22"/>
        </w:rPr>
        <w:sectPr>
          <w:pgSz w:w="12240" w:h="15840"/>
          <w:pgMar w:top="1360" w:bottom="280" w:left="1080" w:right="720"/>
        </w:sectPr>
      </w:pPr>
    </w:p>
    <w:p>
      <w:pPr>
        <w:pStyle w:val="Heading2"/>
      </w:pPr>
      <w:bookmarkStart w:name="612:1-17-2.  Scope and description of th" w:id="66"/>
      <w:bookmarkEnd w:id="66"/>
      <w:r>
        <w:rPr>
          <w:b w:val="0"/>
        </w:rPr>
      </w:r>
      <w:r>
        <w:rPr/>
        <w:t>612:1-17-2.</w:t>
      </w:r>
      <w:r>
        <w:rPr>
          <w:spacing w:val="58"/>
        </w:rPr>
        <w:t> </w:t>
      </w:r>
      <w:r>
        <w:rPr/>
        <w:t>Scope</w:t>
      </w:r>
      <w:r>
        <w:rPr>
          <w:spacing w:val="-3"/>
        </w:rPr>
        <w:t> </w:t>
      </w:r>
      <w:r>
        <w:rPr/>
        <w:t>and</w:t>
      </w:r>
      <w:r>
        <w:rPr>
          <w:spacing w:val="-3"/>
        </w:rPr>
        <w:t> </w:t>
      </w:r>
      <w:r>
        <w:rPr/>
        <w:t>description</w:t>
      </w:r>
      <w:r>
        <w:rPr>
          <w:spacing w:val="-3"/>
        </w:rPr>
        <w:t> </w:t>
      </w:r>
      <w:r>
        <w:rPr/>
        <w:t>of</w:t>
      </w:r>
      <w:r>
        <w:rPr>
          <w:spacing w:val="-4"/>
        </w:rPr>
        <w:t> </w:t>
      </w:r>
      <w:r>
        <w:rPr/>
        <w:t>the</w:t>
      </w:r>
      <w:r>
        <w:rPr>
          <w:spacing w:val="-4"/>
        </w:rPr>
        <w:t> </w:t>
      </w:r>
      <w:r>
        <w:rPr/>
        <w:t>Open</w:t>
      </w:r>
      <w:r>
        <w:rPr>
          <w:spacing w:val="-3"/>
        </w:rPr>
        <w:t> </w:t>
      </w:r>
      <w:r>
        <w:rPr/>
        <w:t>Meetings</w:t>
      </w:r>
      <w:r>
        <w:rPr>
          <w:spacing w:val="-3"/>
        </w:rPr>
        <w:t> </w:t>
      </w:r>
      <w:r>
        <w:rPr>
          <w:spacing w:val="-5"/>
        </w:rPr>
        <w:t>Act</w:t>
      </w:r>
    </w:p>
    <w:p>
      <w:pPr>
        <w:pStyle w:val="BodyText"/>
        <w:spacing w:line="208" w:lineRule="auto" w:before="233"/>
        <w:ind w:right="775" w:firstLine="432"/>
      </w:pPr>
      <w:r>
        <w:rPr/>
        <w:t>The Oklahoma Commission for Rehabilitation Services public meetings are conducted</w:t>
      </w:r>
      <w:r>
        <w:rPr>
          <w:spacing w:val="-3"/>
        </w:rPr>
        <w:t> </w:t>
      </w:r>
      <w:r>
        <w:rPr/>
        <w:t>in</w:t>
      </w:r>
      <w:r>
        <w:rPr>
          <w:spacing w:val="-3"/>
        </w:rPr>
        <w:t> </w:t>
      </w:r>
      <w:r>
        <w:rPr/>
        <w:t>compliance</w:t>
      </w:r>
      <w:r>
        <w:rPr>
          <w:spacing w:val="-3"/>
        </w:rPr>
        <w:t> </w:t>
      </w:r>
      <w:r>
        <w:rPr/>
        <w:t>with</w:t>
      </w:r>
      <w:r>
        <w:rPr>
          <w:spacing w:val="-3"/>
        </w:rPr>
        <w:t> </w:t>
      </w:r>
      <w:r>
        <w:rPr/>
        <w:t>the</w:t>
      </w:r>
      <w:r>
        <w:rPr>
          <w:spacing w:val="-3"/>
        </w:rPr>
        <w:t> </w:t>
      </w:r>
      <w:r>
        <w:rPr/>
        <w:t>Oklahoma</w:t>
      </w:r>
      <w:r>
        <w:rPr>
          <w:spacing w:val="-3"/>
        </w:rPr>
        <w:t> </w:t>
      </w:r>
      <w:r>
        <w:rPr/>
        <w:t>Open</w:t>
      </w:r>
      <w:r>
        <w:rPr>
          <w:spacing w:val="-3"/>
        </w:rPr>
        <w:t> </w:t>
      </w:r>
      <w:r>
        <w:rPr/>
        <w:t>Meeting</w:t>
      </w:r>
      <w:r>
        <w:rPr>
          <w:spacing w:val="-3"/>
        </w:rPr>
        <w:t> </w:t>
      </w:r>
      <w:r>
        <w:rPr/>
        <w:t>Act.</w:t>
      </w:r>
      <w:r>
        <w:rPr>
          <w:spacing w:val="-2"/>
        </w:rPr>
        <w:t> </w:t>
      </w:r>
      <w:r>
        <w:rPr/>
        <w:t>[25</w:t>
      </w:r>
      <w:r>
        <w:rPr>
          <w:spacing w:val="-3"/>
        </w:rPr>
        <w:t> </w:t>
      </w:r>
      <w:r>
        <w:rPr/>
        <w:t>O.S.</w:t>
      </w:r>
      <w:r>
        <w:rPr>
          <w:spacing w:val="-4"/>
        </w:rPr>
        <w:t> </w:t>
      </w:r>
      <w:r>
        <w:rPr/>
        <w:t>§</w:t>
      </w:r>
      <w:r>
        <w:rPr>
          <w:spacing w:val="-3"/>
        </w:rPr>
        <w:t> </w:t>
      </w:r>
      <w:r>
        <w:rPr/>
        <w:t>301</w:t>
      </w:r>
      <w:r>
        <w:rPr>
          <w:spacing w:val="-3"/>
        </w:rPr>
        <w:t> </w:t>
      </w:r>
      <w:r>
        <w:rPr/>
        <w:t>through 314] The Oklahoma Secretary of State website serves as the open meeting </w:t>
      </w:r>
      <w:r>
        <w:rPr>
          <w:spacing w:val="-2"/>
        </w:rPr>
        <w:t>clearinghouse.</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7-1-96</w:t>
      </w:r>
      <w:r>
        <w:rPr>
          <w:sz w:val="22"/>
        </w:rPr>
        <w:tab/>
        <w:t>PT Memo #96-5</w:t>
      </w:r>
    </w:p>
    <w:p>
      <w:pPr>
        <w:spacing w:before="0"/>
        <w:ind w:left="1439" w:right="775" w:firstLine="0"/>
        <w:jc w:val="left"/>
        <w:rPr>
          <w:sz w:val="22"/>
        </w:rPr>
      </w:pPr>
      <w:r>
        <w:rPr>
          <w:sz w:val="22"/>
        </w:rPr>
        <w:t>Permanent, changed responsibility for notifying appropriate persons of the Commission</w:t>
      </w:r>
      <w:r>
        <w:rPr>
          <w:spacing w:val="-5"/>
          <w:sz w:val="22"/>
        </w:rPr>
        <w:t> </w:t>
      </w:r>
      <w:r>
        <w:rPr>
          <w:sz w:val="22"/>
        </w:rPr>
        <w:t>schedule</w:t>
      </w:r>
      <w:r>
        <w:rPr>
          <w:spacing w:val="-4"/>
          <w:sz w:val="22"/>
        </w:rPr>
        <w:t> </w:t>
      </w:r>
      <w:r>
        <w:rPr>
          <w:sz w:val="22"/>
        </w:rPr>
        <w:t>and</w:t>
      </w:r>
      <w:r>
        <w:rPr>
          <w:spacing w:val="-4"/>
          <w:sz w:val="22"/>
        </w:rPr>
        <w:t> </w:t>
      </w:r>
      <w:r>
        <w:rPr>
          <w:sz w:val="22"/>
        </w:rPr>
        <w:t>changes</w:t>
      </w:r>
      <w:r>
        <w:rPr>
          <w:spacing w:val="-5"/>
          <w:sz w:val="22"/>
        </w:rPr>
        <w:t> </w:t>
      </w:r>
      <w:r>
        <w:rPr>
          <w:sz w:val="22"/>
        </w:rPr>
        <w:t>from</w:t>
      </w:r>
      <w:r>
        <w:rPr>
          <w:spacing w:val="-5"/>
          <w:sz w:val="22"/>
        </w:rPr>
        <w:t> </w:t>
      </w:r>
      <w:r>
        <w:rPr>
          <w:sz w:val="22"/>
        </w:rPr>
        <w:t>the</w:t>
      </w:r>
      <w:r>
        <w:rPr>
          <w:spacing w:val="-4"/>
          <w:sz w:val="22"/>
        </w:rPr>
        <w:t> </w:t>
      </w:r>
      <w:r>
        <w:rPr>
          <w:sz w:val="22"/>
        </w:rPr>
        <w:t>Public</w:t>
      </w:r>
      <w:r>
        <w:rPr>
          <w:spacing w:val="-4"/>
          <w:sz w:val="22"/>
        </w:rPr>
        <w:t> </w:t>
      </w:r>
      <w:r>
        <w:rPr>
          <w:sz w:val="22"/>
        </w:rPr>
        <w:t>Information</w:t>
      </w:r>
      <w:r>
        <w:rPr>
          <w:spacing w:val="-4"/>
          <w:sz w:val="22"/>
        </w:rPr>
        <w:t> </w:t>
      </w:r>
      <w:r>
        <w:rPr>
          <w:sz w:val="22"/>
        </w:rPr>
        <w:t>Officer</w:t>
      </w:r>
      <w:r>
        <w:rPr>
          <w:spacing w:val="-4"/>
          <w:sz w:val="22"/>
        </w:rPr>
        <w:t> </w:t>
      </w:r>
      <w:r>
        <w:rPr>
          <w:sz w:val="22"/>
        </w:rPr>
        <w:t>to</w:t>
      </w:r>
      <w:r>
        <w:rPr>
          <w:spacing w:val="-4"/>
          <w:sz w:val="22"/>
        </w:rPr>
        <w:t> </w:t>
      </w:r>
      <w:r>
        <w:rPr>
          <w:sz w:val="22"/>
        </w:rPr>
        <w:t>the Administrative Assistant to the Commission for Rehab. Services.</w:t>
      </w:r>
    </w:p>
    <w:p>
      <w:pPr>
        <w:tabs>
          <w:tab w:pos="1439" w:val="left" w:leader="none"/>
        </w:tabs>
        <w:spacing w:line="253" w:lineRule="exact" w:before="0"/>
        <w:ind w:left="359" w:right="0" w:firstLine="0"/>
        <w:jc w:val="left"/>
        <w:rPr>
          <w:sz w:val="22"/>
        </w:rPr>
      </w:pPr>
      <w:r>
        <w:rPr>
          <w:spacing w:val="-2"/>
          <w:sz w:val="22"/>
        </w:rPr>
        <w:t>8-25-</w:t>
      </w:r>
      <w:r>
        <w:rPr>
          <w:spacing w:val="-5"/>
          <w:sz w:val="22"/>
        </w:rPr>
        <w:t>16</w:t>
      </w:r>
      <w:r>
        <w:rPr>
          <w:sz w:val="22"/>
        </w:rPr>
        <w:tab/>
        <w:t>Updated</w:t>
      </w:r>
      <w:r>
        <w:rPr>
          <w:spacing w:val="-9"/>
          <w:sz w:val="22"/>
        </w:rPr>
        <w:t> </w:t>
      </w:r>
      <w:r>
        <w:rPr>
          <w:sz w:val="22"/>
        </w:rPr>
        <w:t>policy</w:t>
      </w:r>
      <w:r>
        <w:rPr>
          <w:spacing w:val="-8"/>
          <w:sz w:val="22"/>
        </w:rPr>
        <w:t> </w:t>
      </w:r>
      <w:r>
        <w:rPr>
          <w:sz w:val="22"/>
        </w:rPr>
        <w:t>regarding</w:t>
      </w:r>
      <w:r>
        <w:rPr>
          <w:spacing w:val="-8"/>
          <w:sz w:val="22"/>
        </w:rPr>
        <w:t> </w:t>
      </w:r>
      <w:r>
        <w:rPr>
          <w:sz w:val="22"/>
        </w:rPr>
        <w:t>compliance</w:t>
      </w:r>
      <w:r>
        <w:rPr>
          <w:spacing w:val="-8"/>
          <w:sz w:val="22"/>
        </w:rPr>
        <w:t> </w:t>
      </w:r>
      <w:r>
        <w:rPr>
          <w:sz w:val="22"/>
        </w:rPr>
        <w:t>with</w:t>
      </w:r>
      <w:r>
        <w:rPr>
          <w:spacing w:val="-8"/>
          <w:sz w:val="22"/>
        </w:rPr>
        <w:t> </w:t>
      </w:r>
      <w:r>
        <w:rPr>
          <w:sz w:val="22"/>
        </w:rPr>
        <w:t>the</w:t>
      </w:r>
      <w:r>
        <w:rPr>
          <w:spacing w:val="-9"/>
          <w:sz w:val="22"/>
        </w:rPr>
        <w:t> </w:t>
      </w:r>
      <w:r>
        <w:rPr>
          <w:sz w:val="22"/>
        </w:rPr>
        <w:t>Oklahoma</w:t>
      </w:r>
      <w:r>
        <w:rPr>
          <w:spacing w:val="-8"/>
          <w:sz w:val="22"/>
        </w:rPr>
        <w:t> </w:t>
      </w:r>
      <w:r>
        <w:rPr>
          <w:sz w:val="22"/>
        </w:rPr>
        <w:t>Open</w:t>
      </w:r>
      <w:r>
        <w:rPr>
          <w:spacing w:val="-8"/>
          <w:sz w:val="22"/>
        </w:rPr>
        <w:t> </w:t>
      </w:r>
      <w:r>
        <w:rPr>
          <w:sz w:val="22"/>
        </w:rPr>
        <w:t>Meeting</w:t>
      </w:r>
      <w:r>
        <w:rPr>
          <w:spacing w:val="-8"/>
          <w:sz w:val="22"/>
        </w:rPr>
        <w:t> </w:t>
      </w:r>
      <w:r>
        <w:rPr>
          <w:spacing w:val="-4"/>
          <w:sz w:val="22"/>
        </w:rPr>
        <w:t>Act.</w:t>
      </w:r>
    </w:p>
    <w:p>
      <w:pPr>
        <w:spacing w:after="0" w:line="253" w:lineRule="exact"/>
        <w:jc w:val="left"/>
        <w:rPr>
          <w:sz w:val="22"/>
        </w:rPr>
        <w:sectPr>
          <w:pgSz w:w="12240" w:h="15840"/>
          <w:pgMar w:top="1340" w:bottom="280" w:left="1080" w:right="720"/>
        </w:sectPr>
      </w:pPr>
    </w:p>
    <w:p>
      <w:pPr>
        <w:pStyle w:val="Heading2"/>
      </w:pPr>
      <w:bookmarkStart w:name="612:1-17-3.  News media contacts" w:id="67"/>
      <w:bookmarkEnd w:id="67"/>
      <w:r>
        <w:rPr>
          <w:b w:val="0"/>
        </w:rPr>
      </w:r>
      <w:r>
        <w:rPr/>
        <w:t>612:1-17-3.</w:t>
      </w:r>
      <w:r>
        <w:rPr>
          <w:spacing w:val="61"/>
        </w:rPr>
        <w:t> </w:t>
      </w:r>
      <w:r>
        <w:rPr/>
        <w:t>News</w:t>
      </w:r>
      <w:r>
        <w:rPr>
          <w:spacing w:val="-3"/>
        </w:rPr>
        <w:t> </w:t>
      </w:r>
      <w:r>
        <w:rPr/>
        <w:t>media</w:t>
      </w:r>
      <w:r>
        <w:rPr>
          <w:spacing w:val="-3"/>
        </w:rPr>
        <w:t> </w:t>
      </w:r>
      <w:r>
        <w:rPr>
          <w:spacing w:val="-2"/>
        </w:rPr>
        <w:t>contacts</w:t>
      </w:r>
    </w:p>
    <w:p>
      <w:pPr>
        <w:pStyle w:val="ListParagraph"/>
        <w:numPr>
          <w:ilvl w:val="0"/>
          <w:numId w:val="54"/>
        </w:numPr>
        <w:tabs>
          <w:tab w:pos="786" w:val="left" w:leader="none"/>
        </w:tabs>
        <w:spacing w:line="208" w:lineRule="auto" w:before="233" w:after="0"/>
        <w:ind w:left="360" w:right="1209" w:firstLine="0"/>
        <w:jc w:val="left"/>
        <w:rPr>
          <w:b/>
          <w:sz w:val="24"/>
        </w:rPr>
      </w:pPr>
      <w:r>
        <w:rPr>
          <w:b/>
          <w:sz w:val="24"/>
        </w:rPr>
        <w:t>Philosophy.</w:t>
      </w:r>
      <w:r>
        <w:rPr>
          <w:b/>
          <w:spacing w:val="40"/>
          <w:sz w:val="24"/>
        </w:rPr>
        <w:t> </w:t>
      </w:r>
      <w:r>
        <w:rPr>
          <w:sz w:val="24"/>
        </w:rPr>
        <w:t>The</w:t>
      </w:r>
      <w:r>
        <w:rPr>
          <w:spacing w:val="-4"/>
          <w:sz w:val="24"/>
        </w:rPr>
        <w:t> </w:t>
      </w:r>
      <w:r>
        <w:rPr>
          <w:sz w:val="24"/>
        </w:rPr>
        <w:t>Department</w:t>
      </w:r>
      <w:r>
        <w:rPr>
          <w:spacing w:val="-3"/>
          <w:sz w:val="24"/>
        </w:rPr>
        <w:t> </w:t>
      </w:r>
      <w:r>
        <w:rPr>
          <w:sz w:val="24"/>
        </w:rPr>
        <w:t>of</w:t>
      </w:r>
      <w:r>
        <w:rPr>
          <w:spacing w:val="-3"/>
          <w:sz w:val="24"/>
        </w:rPr>
        <w:t> </w:t>
      </w:r>
      <w:r>
        <w:rPr>
          <w:sz w:val="24"/>
        </w:rPr>
        <w:t>Rehabilitation</w:t>
      </w:r>
      <w:r>
        <w:rPr>
          <w:spacing w:val="-4"/>
          <w:sz w:val="24"/>
        </w:rPr>
        <w:t> </w:t>
      </w:r>
      <w:r>
        <w:rPr>
          <w:sz w:val="24"/>
        </w:rPr>
        <w:t>maintains</w:t>
      </w:r>
      <w:r>
        <w:rPr>
          <w:spacing w:val="-4"/>
          <w:sz w:val="24"/>
        </w:rPr>
        <w:t> </w:t>
      </w:r>
      <w:r>
        <w:rPr>
          <w:sz w:val="24"/>
        </w:rPr>
        <w:t>an</w:t>
      </w:r>
      <w:r>
        <w:rPr>
          <w:spacing w:val="-3"/>
          <w:sz w:val="24"/>
        </w:rPr>
        <w:t> </w:t>
      </w:r>
      <w:r>
        <w:rPr>
          <w:sz w:val="24"/>
        </w:rPr>
        <w:t>"open</w:t>
      </w:r>
      <w:r>
        <w:rPr>
          <w:spacing w:val="-4"/>
          <w:sz w:val="24"/>
        </w:rPr>
        <w:t> </w:t>
      </w:r>
      <w:r>
        <w:rPr>
          <w:sz w:val="24"/>
        </w:rPr>
        <w:t>door"</w:t>
      </w:r>
      <w:r>
        <w:rPr>
          <w:spacing w:val="-4"/>
          <w:sz w:val="24"/>
        </w:rPr>
        <w:t> </w:t>
      </w:r>
      <w:r>
        <w:rPr>
          <w:sz w:val="24"/>
        </w:rPr>
        <w:t>policy toward the news media.</w:t>
      </w:r>
      <w:r>
        <w:rPr>
          <w:spacing w:val="40"/>
          <w:sz w:val="24"/>
        </w:rPr>
        <w:t> </w:t>
      </w:r>
      <w:r>
        <w:rPr>
          <w:sz w:val="24"/>
        </w:rPr>
        <w:t>DRS and its staff are stewards of the public resources entrusted</w:t>
      </w:r>
      <w:r>
        <w:rPr>
          <w:spacing w:val="-1"/>
          <w:sz w:val="24"/>
        </w:rPr>
        <w:t> </w:t>
      </w:r>
      <w:r>
        <w:rPr>
          <w:sz w:val="24"/>
        </w:rPr>
        <w:t>to</w:t>
      </w:r>
      <w:r>
        <w:rPr>
          <w:spacing w:val="-1"/>
          <w:sz w:val="24"/>
        </w:rPr>
        <w:t> </w:t>
      </w:r>
      <w:r>
        <w:rPr>
          <w:sz w:val="24"/>
        </w:rPr>
        <w:t>them, and</w:t>
      </w:r>
      <w:r>
        <w:rPr>
          <w:spacing w:val="-1"/>
          <w:sz w:val="24"/>
        </w:rPr>
        <w:t> </w:t>
      </w:r>
      <w:r>
        <w:rPr>
          <w:sz w:val="24"/>
        </w:rPr>
        <w:t>are</w:t>
      </w:r>
      <w:r>
        <w:rPr>
          <w:spacing w:val="-1"/>
          <w:sz w:val="24"/>
        </w:rPr>
        <w:t> </w:t>
      </w:r>
      <w:r>
        <w:rPr>
          <w:sz w:val="24"/>
        </w:rPr>
        <w:t>accountable</w:t>
      </w:r>
      <w:r>
        <w:rPr>
          <w:spacing w:val="-1"/>
          <w:sz w:val="24"/>
        </w:rPr>
        <w:t> </w:t>
      </w:r>
      <w:r>
        <w:rPr>
          <w:sz w:val="24"/>
        </w:rPr>
        <w:t>to</w:t>
      </w:r>
      <w:r>
        <w:rPr>
          <w:spacing w:val="-1"/>
          <w:sz w:val="24"/>
        </w:rPr>
        <w:t> </w:t>
      </w:r>
      <w:r>
        <w:rPr>
          <w:sz w:val="24"/>
        </w:rPr>
        <w:t>the</w:t>
      </w:r>
      <w:r>
        <w:rPr>
          <w:spacing w:val="-1"/>
          <w:sz w:val="24"/>
        </w:rPr>
        <w:t> </w:t>
      </w:r>
      <w:r>
        <w:rPr>
          <w:sz w:val="24"/>
        </w:rPr>
        <w:t>taxpayers</w:t>
      </w:r>
      <w:r>
        <w:rPr>
          <w:spacing w:val="-1"/>
          <w:sz w:val="24"/>
        </w:rPr>
        <w:t> </w:t>
      </w:r>
      <w:r>
        <w:rPr>
          <w:sz w:val="24"/>
        </w:rPr>
        <w:t>of</w:t>
      </w:r>
      <w:r>
        <w:rPr>
          <w:spacing w:val="-2"/>
          <w:sz w:val="24"/>
        </w:rPr>
        <w:t> </w:t>
      </w:r>
      <w:r>
        <w:rPr>
          <w:sz w:val="24"/>
        </w:rPr>
        <w:t>Oklahoma</w:t>
      </w:r>
      <w:r>
        <w:rPr>
          <w:spacing w:val="-1"/>
          <w:sz w:val="24"/>
        </w:rPr>
        <w:t> </w:t>
      </w:r>
      <w:r>
        <w:rPr>
          <w:sz w:val="24"/>
        </w:rPr>
        <w:t>for</w:t>
      </w:r>
      <w:r>
        <w:rPr>
          <w:spacing w:val="-2"/>
          <w:sz w:val="24"/>
        </w:rPr>
        <w:t> </w:t>
      </w:r>
      <w:r>
        <w:rPr>
          <w:sz w:val="24"/>
        </w:rPr>
        <w:t>the</w:t>
      </w:r>
      <w:r>
        <w:rPr>
          <w:spacing w:val="-1"/>
          <w:sz w:val="24"/>
        </w:rPr>
        <w:t> </w:t>
      </w:r>
      <w:r>
        <w:rPr>
          <w:sz w:val="24"/>
        </w:rPr>
        <w:t>use</w:t>
      </w:r>
      <w:r>
        <w:rPr>
          <w:spacing w:val="-1"/>
          <w:sz w:val="24"/>
        </w:rPr>
        <w:t> </w:t>
      </w:r>
      <w:r>
        <w:rPr>
          <w:sz w:val="24"/>
        </w:rPr>
        <w:t>of these resources.</w:t>
      </w:r>
      <w:r>
        <w:rPr>
          <w:spacing w:val="40"/>
          <w:sz w:val="24"/>
        </w:rPr>
        <w:t> </w:t>
      </w:r>
      <w:r>
        <w:rPr>
          <w:sz w:val="24"/>
        </w:rPr>
        <w:t>Access of the news media to information about DRS policies, programs and administrative activities is a key part of such accountability. When in contact with the media, staff must keep in mind the media will treat any information provided by staff as the official position of the Department. </w:t>
      </w:r>
      <w:r>
        <w:rPr>
          <w:b/>
          <w:sz w:val="24"/>
        </w:rPr>
        <w:t>1</w:t>
      </w:r>
    </w:p>
    <w:p>
      <w:pPr>
        <w:pStyle w:val="ListParagraph"/>
        <w:numPr>
          <w:ilvl w:val="0"/>
          <w:numId w:val="54"/>
        </w:numPr>
        <w:tabs>
          <w:tab w:pos="786" w:val="left" w:leader="none"/>
        </w:tabs>
        <w:spacing w:line="208" w:lineRule="auto" w:before="239" w:after="0"/>
        <w:ind w:left="360" w:right="792" w:firstLine="0"/>
        <w:jc w:val="left"/>
        <w:rPr>
          <w:sz w:val="24"/>
        </w:rPr>
      </w:pPr>
      <w:r>
        <w:rPr>
          <w:b/>
          <w:sz w:val="24"/>
        </w:rPr>
        <w:t>Limitations on access to client information.</w:t>
      </w:r>
      <w:r>
        <w:rPr>
          <w:b/>
          <w:spacing w:val="40"/>
          <w:sz w:val="24"/>
        </w:rPr>
        <w:t> </w:t>
      </w:r>
      <w:r>
        <w:rPr>
          <w:sz w:val="24"/>
        </w:rPr>
        <w:t>DRS must protect the privacy of recipients</w:t>
      </w:r>
      <w:r>
        <w:rPr>
          <w:spacing w:val="-3"/>
          <w:sz w:val="24"/>
        </w:rPr>
        <w:t> </w:t>
      </w:r>
      <w:r>
        <w:rPr>
          <w:sz w:val="24"/>
        </w:rPr>
        <w:t>of</w:t>
      </w:r>
      <w:r>
        <w:rPr>
          <w:spacing w:val="-2"/>
          <w:sz w:val="24"/>
        </w:rPr>
        <w:t> </w:t>
      </w:r>
      <w:r>
        <w:rPr>
          <w:sz w:val="24"/>
        </w:rPr>
        <w:t>DRS</w:t>
      </w:r>
      <w:r>
        <w:rPr>
          <w:spacing w:val="-3"/>
          <w:sz w:val="24"/>
        </w:rPr>
        <w:t> </w:t>
      </w:r>
      <w:r>
        <w:rPr>
          <w:sz w:val="24"/>
        </w:rPr>
        <w:t>services</w:t>
      </w:r>
      <w:r>
        <w:rPr>
          <w:spacing w:val="-3"/>
          <w:sz w:val="24"/>
        </w:rPr>
        <w:t> </w:t>
      </w:r>
      <w:r>
        <w:rPr>
          <w:sz w:val="24"/>
        </w:rPr>
        <w:t>where</w:t>
      </w:r>
      <w:r>
        <w:rPr>
          <w:spacing w:val="-3"/>
          <w:sz w:val="24"/>
        </w:rPr>
        <w:t> </w:t>
      </w:r>
      <w:r>
        <w:rPr>
          <w:sz w:val="24"/>
        </w:rPr>
        <w:t>that</w:t>
      </w:r>
      <w:r>
        <w:rPr>
          <w:spacing w:val="-2"/>
          <w:sz w:val="24"/>
        </w:rPr>
        <w:t> </w:t>
      </w:r>
      <w:r>
        <w:rPr>
          <w:sz w:val="24"/>
        </w:rPr>
        <w:t>is</w:t>
      </w:r>
      <w:r>
        <w:rPr>
          <w:spacing w:val="-3"/>
          <w:sz w:val="24"/>
        </w:rPr>
        <w:t> </w:t>
      </w:r>
      <w:r>
        <w:rPr>
          <w:sz w:val="24"/>
        </w:rPr>
        <w:t>appropriate.</w:t>
      </w:r>
      <w:r>
        <w:rPr>
          <w:spacing w:val="40"/>
          <w:sz w:val="24"/>
        </w:rPr>
        <w:t> </w:t>
      </w:r>
      <w:r>
        <w:rPr>
          <w:sz w:val="24"/>
        </w:rPr>
        <w:t>At</w:t>
      </w:r>
      <w:r>
        <w:rPr>
          <w:spacing w:val="-4"/>
          <w:sz w:val="24"/>
        </w:rPr>
        <w:t> </w:t>
      </w:r>
      <w:r>
        <w:rPr>
          <w:sz w:val="24"/>
        </w:rPr>
        <w:t>no</w:t>
      </w:r>
      <w:r>
        <w:rPr>
          <w:spacing w:val="-3"/>
          <w:sz w:val="24"/>
        </w:rPr>
        <w:t> </w:t>
      </w:r>
      <w:r>
        <w:rPr>
          <w:sz w:val="24"/>
        </w:rPr>
        <w:t>time</w:t>
      </w:r>
      <w:r>
        <w:rPr>
          <w:spacing w:val="-3"/>
          <w:sz w:val="24"/>
        </w:rPr>
        <w:t> </w:t>
      </w:r>
      <w:r>
        <w:rPr>
          <w:sz w:val="24"/>
        </w:rPr>
        <w:t>shall</w:t>
      </w:r>
      <w:r>
        <w:rPr>
          <w:spacing w:val="-4"/>
          <w:sz w:val="24"/>
        </w:rPr>
        <w:t> </w:t>
      </w:r>
      <w:r>
        <w:rPr>
          <w:sz w:val="24"/>
        </w:rPr>
        <w:t>information</w:t>
      </w:r>
      <w:r>
        <w:rPr>
          <w:spacing w:val="-3"/>
          <w:sz w:val="24"/>
        </w:rPr>
        <w:t> </w:t>
      </w:r>
      <w:r>
        <w:rPr>
          <w:sz w:val="24"/>
        </w:rPr>
        <w:t>about a particular recipient be released, unless express, written permission is given by the client.</w:t>
      </w:r>
      <w:r>
        <w:rPr>
          <w:spacing w:val="40"/>
          <w:sz w:val="24"/>
        </w:rPr>
        <w:t> </w:t>
      </w:r>
      <w:r>
        <w:rPr>
          <w:sz w:val="24"/>
        </w:rPr>
        <w:t>The right to privacy of clients is a higher priority than the need for releasing information to the news media.</w:t>
      </w:r>
      <w:r>
        <w:rPr>
          <w:spacing w:val="80"/>
          <w:sz w:val="24"/>
        </w:rPr>
        <w:t> </w:t>
      </w:r>
      <w:r>
        <w:rPr>
          <w:sz w:val="24"/>
        </w:rPr>
        <w:t>Prior to the release of information to the news media, the Department secures the client's permission by the completion of Permission for Release of Information by the client.</w:t>
      </w:r>
    </w:p>
    <w:p>
      <w:pPr>
        <w:pStyle w:val="ListParagraph"/>
        <w:numPr>
          <w:ilvl w:val="0"/>
          <w:numId w:val="54"/>
        </w:numPr>
        <w:tabs>
          <w:tab w:pos="773" w:val="left" w:leader="none"/>
        </w:tabs>
        <w:spacing w:line="208" w:lineRule="auto" w:before="239" w:after="0"/>
        <w:ind w:left="360" w:right="1153" w:firstLine="0"/>
        <w:jc w:val="left"/>
        <w:rPr>
          <w:sz w:val="24"/>
        </w:rPr>
      </w:pPr>
      <w:r>
        <w:rPr>
          <w:b/>
          <w:sz w:val="24"/>
        </w:rPr>
        <w:t>Response</w:t>
      </w:r>
      <w:r>
        <w:rPr>
          <w:b/>
          <w:spacing w:val="-4"/>
          <w:sz w:val="24"/>
        </w:rPr>
        <w:t> </w:t>
      </w:r>
      <w:r>
        <w:rPr>
          <w:b/>
          <w:sz w:val="24"/>
        </w:rPr>
        <w:t>to</w:t>
      </w:r>
      <w:r>
        <w:rPr>
          <w:b/>
          <w:spacing w:val="-4"/>
          <w:sz w:val="24"/>
        </w:rPr>
        <w:t> </w:t>
      </w:r>
      <w:r>
        <w:rPr>
          <w:b/>
          <w:sz w:val="24"/>
        </w:rPr>
        <w:t>media</w:t>
      </w:r>
      <w:r>
        <w:rPr>
          <w:b/>
          <w:spacing w:val="-4"/>
          <w:sz w:val="24"/>
        </w:rPr>
        <w:t> </w:t>
      </w:r>
      <w:r>
        <w:rPr>
          <w:b/>
          <w:sz w:val="24"/>
        </w:rPr>
        <w:t>inquiries.</w:t>
      </w:r>
      <w:r>
        <w:rPr>
          <w:b/>
          <w:spacing w:val="-4"/>
          <w:sz w:val="24"/>
        </w:rPr>
        <w:t> </w:t>
      </w:r>
      <w:r>
        <w:rPr>
          <w:sz w:val="24"/>
        </w:rPr>
        <w:t>Media</w:t>
      </w:r>
      <w:r>
        <w:rPr>
          <w:spacing w:val="-4"/>
          <w:sz w:val="24"/>
        </w:rPr>
        <w:t> </w:t>
      </w:r>
      <w:r>
        <w:rPr>
          <w:sz w:val="24"/>
        </w:rPr>
        <w:t>requests</w:t>
      </w:r>
      <w:r>
        <w:rPr>
          <w:spacing w:val="-4"/>
          <w:sz w:val="24"/>
        </w:rPr>
        <w:t> </w:t>
      </w:r>
      <w:r>
        <w:rPr>
          <w:sz w:val="24"/>
        </w:rPr>
        <w:t>for</w:t>
      </w:r>
      <w:r>
        <w:rPr>
          <w:spacing w:val="-5"/>
          <w:sz w:val="24"/>
        </w:rPr>
        <w:t> </w:t>
      </w:r>
      <w:r>
        <w:rPr>
          <w:sz w:val="24"/>
        </w:rPr>
        <w:t>information</w:t>
      </w:r>
      <w:r>
        <w:rPr>
          <w:spacing w:val="-4"/>
          <w:sz w:val="24"/>
        </w:rPr>
        <w:t> </w:t>
      </w:r>
      <w:r>
        <w:rPr>
          <w:sz w:val="24"/>
        </w:rPr>
        <w:t>generally</w:t>
      </w:r>
      <w:r>
        <w:rPr>
          <w:spacing w:val="-3"/>
          <w:sz w:val="24"/>
        </w:rPr>
        <w:t> </w:t>
      </w:r>
      <w:r>
        <w:rPr>
          <w:sz w:val="24"/>
        </w:rPr>
        <w:t>fall</w:t>
      </w:r>
      <w:r>
        <w:rPr>
          <w:spacing w:val="-4"/>
          <w:sz w:val="24"/>
        </w:rPr>
        <w:t> </w:t>
      </w:r>
      <w:r>
        <w:rPr>
          <w:sz w:val="24"/>
        </w:rPr>
        <w:t>into two categories.</w:t>
      </w:r>
    </w:p>
    <w:p>
      <w:pPr>
        <w:pStyle w:val="ListParagraph"/>
        <w:numPr>
          <w:ilvl w:val="1"/>
          <w:numId w:val="54"/>
        </w:numPr>
        <w:tabs>
          <w:tab w:pos="1218" w:val="left" w:leader="none"/>
        </w:tabs>
        <w:spacing w:line="208" w:lineRule="auto" w:before="240" w:after="0"/>
        <w:ind w:left="792" w:right="1134" w:firstLine="0"/>
        <w:jc w:val="left"/>
        <w:rPr>
          <w:sz w:val="24"/>
        </w:rPr>
      </w:pPr>
      <w:r>
        <w:rPr>
          <w:sz w:val="24"/>
        </w:rPr>
        <w:t>The</w:t>
      </w:r>
      <w:r>
        <w:rPr>
          <w:spacing w:val="-6"/>
          <w:sz w:val="24"/>
        </w:rPr>
        <w:t> </w:t>
      </w:r>
      <w:r>
        <w:rPr>
          <w:sz w:val="24"/>
        </w:rPr>
        <w:t>first</w:t>
      </w:r>
      <w:r>
        <w:rPr>
          <w:spacing w:val="-4"/>
          <w:sz w:val="24"/>
        </w:rPr>
        <w:t> </w:t>
      </w:r>
      <w:r>
        <w:rPr>
          <w:sz w:val="24"/>
        </w:rPr>
        <w:t>category</w:t>
      </w:r>
      <w:r>
        <w:rPr>
          <w:spacing w:val="-5"/>
          <w:sz w:val="24"/>
        </w:rPr>
        <w:t> </w:t>
      </w:r>
      <w:r>
        <w:rPr>
          <w:sz w:val="24"/>
        </w:rPr>
        <w:t>includes</w:t>
      </w:r>
      <w:r>
        <w:rPr>
          <w:spacing w:val="-5"/>
          <w:sz w:val="24"/>
        </w:rPr>
        <w:t> </w:t>
      </w:r>
      <w:r>
        <w:rPr>
          <w:sz w:val="24"/>
        </w:rPr>
        <w:t>those</w:t>
      </w:r>
      <w:r>
        <w:rPr>
          <w:spacing w:val="-5"/>
          <w:sz w:val="24"/>
        </w:rPr>
        <w:t> </w:t>
      </w:r>
      <w:r>
        <w:rPr>
          <w:sz w:val="24"/>
        </w:rPr>
        <w:t>questions</w:t>
      </w:r>
      <w:r>
        <w:rPr>
          <w:spacing w:val="-5"/>
          <w:sz w:val="24"/>
        </w:rPr>
        <w:t> </w:t>
      </w:r>
      <w:r>
        <w:rPr>
          <w:sz w:val="24"/>
        </w:rPr>
        <w:t>about</w:t>
      </w:r>
      <w:r>
        <w:rPr>
          <w:spacing w:val="-4"/>
          <w:sz w:val="24"/>
        </w:rPr>
        <w:t> </w:t>
      </w:r>
      <w:r>
        <w:rPr>
          <w:sz w:val="24"/>
        </w:rPr>
        <w:t>Department</w:t>
      </w:r>
      <w:r>
        <w:rPr>
          <w:spacing w:val="-4"/>
          <w:sz w:val="24"/>
        </w:rPr>
        <w:t> </w:t>
      </w:r>
      <w:r>
        <w:rPr>
          <w:sz w:val="24"/>
        </w:rPr>
        <w:t>programs</w:t>
      </w:r>
      <w:r>
        <w:rPr>
          <w:spacing w:val="-5"/>
          <w:sz w:val="24"/>
        </w:rPr>
        <w:t> </w:t>
      </w:r>
      <w:r>
        <w:rPr>
          <w:sz w:val="24"/>
        </w:rPr>
        <w:t>and services staff routinely answer for consumers, referral sources, and the public. When the media ask such questions, refer them to the local staff person best qualified to answer.</w:t>
      </w:r>
    </w:p>
    <w:p>
      <w:pPr>
        <w:pStyle w:val="ListParagraph"/>
        <w:numPr>
          <w:ilvl w:val="1"/>
          <w:numId w:val="54"/>
        </w:numPr>
        <w:tabs>
          <w:tab w:pos="1218" w:val="left" w:leader="none"/>
        </w:tabs>
        <w:spacing w:line="208" w:lineRule="auto" w:before="240" w:after="0"/>
        <w:ind w:left="792" w:right="748" w:firstLine="0"/>
        <w:jc w:val="left"/>
        <w:rPr>
          <w:sz w:val="24"/>
        </w:rPr>
      </w:pPr>
      <w:r>
        <w:rPr>
          <w:sz w:val="24"/>
        </w:rPr>
        <w:t>The</w:t>
      </w:r>
      <w:r>
        <w:rPr>
          <w:spacing w:val="-4"/>
          <w:sz w:val="24"/>
        </w:rPr>
        <w:t> </w:t>
      </w:r>
      <w:r>
        <w:rPr>
          <w:sz w:val="24"/>
        </w:rPr>
        <w:t>second</w:t>
      </w:r>
      <w:r>
        <w:rPr>
          <w:spacing w:val="-4"/>
          <w:sz w:val="24"/>
        </w:rPr>
        <w:t> </w:t>
      </w:r>
      <w:r>
        <w:rPr>
          <w:sz w:val="24"/>
        </w:rPr>
        <w:t>category</w:t>
      </w:r>
      <w:r>
        <w:rPr>
          <w:spacing w:val="-4"/>
          <w:sz w:val="24"/>
        </w:rPr>
        <w:t> </w:t>
      </w:r>
      <w:r>
        <w:rPr>
          <w:sz w:val="24"/>
        </w:rPr>
        <w:t>includes</w:t>
      </w:r>
      <w:r>
        <w:rPr>
          <w:spacing w:val="-4"/>
          <w:sz w:val="24"/>
        </w:rPr>
        <w:t> </w:t>
      </w:r>
      <w:r>
        <w:rPr>
          <w:sz w:val="24"/>
        </w:rPr>
        <w:t>those</w:t>
      </w:r>
      <w:r>
        <w:rPr>
          <w:spacing w:val="-4"/>
          <w:sz w:val="24"/>
        </w:rPr>
        <w:t> </w:t>
      </w:r>
      <w:r>
        <w:rPr>
          <w:sz w:val="24"/>
        </w:rPr>
        <w:t>inquiries</w:t>
      </w:r>
      <w:r>
        <w:rPr>
          <w:spacing w:val="-4"/>
          <w:sz w:val="24"/>
        </w:rPr>
        <w:t> </w:t>
      </w:r>
      <w:r>
        <w:rPr>
          <w:sz w:val="24"/>
        </w:rPr>
        <w:t>related</w:t>
      </w:r>
      <w:r>
        <w:rPr>
          <w:spacing w:val="-4"/>
          <w:sz w:val="24"/>
        </w:rPr>
        <w:t> </w:t>
      </w:r>
      <w:r>
        <w:rPr>
          <w:sz w:val="24"/>
        </w:rPr>
        <w:t>to</w:t>
      </w:r>
      <w:r>
        <w:rPr>
          <w:spacing w:val="-4"/>
          <w:sz w:val="24"/>
        </w:rPr>
        <w:t> </w:t>
      </w:r>
      <w:r>
        <w:rPr>
          <w:sz w:val="24"/>
        </w:rPr>
        <w:t>official</w:t>
      </w:r>
      <w:r>
        <w:rPr>
          <w:spacing w:val="-4"/>
          <w:sz w:val="24"/>
        </w:rPr>
        <w:t> </w:t>
      </w:r>
      <w:r>
        <w:rPr>
          <w:sz w:val="24"/>
        </w:rPr>
        <w:t>agency</w:t>
      </w:r>
      <w:r>
        <w:rPr>
          <w:spacing w:val="-4"/>
          <w:sz w:val="24"/>
        </w:rPr>
        <w:t> </w:t>
      </w:r>
      <w:r>
        <w:rPr>
          <w:sz w:val="24"/>
        </w:rPr>
        <w:t>positions on</w:t>
      </w:r>
      <w:r>
        <w:rPr>
          <w:spacing w:val="-4"/>
          <w:sz w:val="24"/>
        </w:rPr>
        <w:t> </w:t>
      </w:r>
      <w:r>
        <w:rPr>
          <w:sz w:val="24"/>
        </w:rPr>
        <w:t>budget,</w:t>
      </w:r>
      <w:r>
        <w:rPr>
          <w:spacing w:val="-4"/>
          <w:sz w:val="24"/>
        </w:rPr>
        <w:t> </w:t>
      </w:r>
      <w:r>
        <w:rPr>
          <w:sz w:val="24"/>
        </w:rPr>
        <w:t>legislative,</w:t>
      </w:r>
      <w:r>
        <w:rPr>
          <w:spacing w:val="-4"/>
          <w:sz w:val="24"/>
        </w:rPr>
        <w:t> </w:t>
      </w:r>
      <w:r>
        <w:rPr>
          <w:sz w:val="24"/>
        </w:rPr>
        <w:t>legal,</w:t>
      </w:r>
      <w:r>
        <w:rPr>
          <w:spacing w:val="-4"/>
          <w:sz w:val="24"/>
        </w:rPr>
        <w:t> </w:t>
      </w:r>
      <w:r>
        <w:rPr>
          <w:sz w:val="24"/>
        </w:rPr>
        <w:t>or</w:t>
      </w:r>
      <w:r>
        <w:rPr>
          <w:spacing w:val="-4"/>
          <w:sz w:val="24"/>
        </w:rPr>
        <w:t> </w:t>
      </w:r>
      <w:r>
        <w:rPr>
          <w:sz w:val="24"/>
        </w:rPr>
        <w:t>other</w:t>
      </w:r>
      <w:r>
        <w:rPr>
          <w:spacing w:val="-4"/>
          <w:sz w:val="24"/>
        </w:rPr>
        <w:t> </w:t>
      </w:r>
      <w:r>
        <w:rPr>
          <w:sz w:val="24"/>
        </w:rPr>
        <w:t>sensitive</w:t>
      </w:r>
      <w:r>
        <w:rPr>
          <w:spacing w:val="-4"/>
          <w:sz w:val="24"/>
        </w:rPr>
        <w:t> </w:t>
      </w:r>
      <w:r>
        <w:rPr>
          <w:sz w:val="24"/>
        </w:rPr>
        <w:t>matters,</w:t>
      </w:r>
      <w:r>
        <w:rPr>
          <w:spacing w:val="-4"/>
          <w:sz w:val="24"/>
        </w:rPr>
        <w:t> </w:t>
      </w:r>
      <w:r>
        <w:rPr>
          <w:sz w:val="24"/>
        </w:rPr>
        <w:t>including</w:t>
      </w:r>
      <w:r>
        <w:rPr>
          <w:spacing w:val="-4"/>
          <w:sz w:val="24"/>
        </w:rPr>
        <w:t> </w:t>
      </w:r>
      <w:r>
        <w:rPr>
          <w:sz w:val="24"/>
        </w:rPr>
        <w:t>consumer</w:t>
      </w:r>
      <w:r>
        <w:rPr>
          <w:spacing w:val="-4"/>
          <w:sz w:val="24"/>
        </w:rPr>
        <w:t> </w:t>
      </w:r>
      <w:r>
        <w:rPr>
          <w:sz w:val="24"/>
        </w:rPr>
        <w:t>or</w:t>
      </w:r>
      <w:r>
        <w:rPr>
          <w:spacing w:val="-5"/>
          <w:sz w:val="24"/>
        </w:rPr>
        <w:t> </w:t>
      </w:r>
      <w:r>
        <w:rPr>
          <w:sz w:val="24"/>
        </w:rPr>
        <w:t>public complaints. These inquiries, when coming from the media, are to be immediately referred to the Communications Director. </w:t>
      </w:r>
      <w:r>
        <w:rPr>
          <w:b/>
          <w:sz w:val="24"/>
        </w:rPr>
        <w:t>2 </w:t>
      </w:r>
      <w:r>
        <w:rPr>
          <w:sz w:val="24"/>
        </w:rPr>
        <w:t>Because many of the media inquiries received at the State Office fall into this category, all media inquiries received at the State Office will be referred to the Communications Director. This will allow time to prepare and/or coordinate an accurate and appropriate response.</w:t>
      </w:r>
    </w:p>
    <w:p>
      <w:pPr>
        <w:pStyle w:val="BodyText"/>
        <w:spacing w:before="210"/>
      </w:pPr>
      <w:r>
        <w:rPr/>
        <w:t>INSTRUCTIONS</w:t>
      </w:r>
      <w:r>
        <w:rPr>
          <w:spacing w:val="-3"/>
        </w:rPr>
        <w:t> </w:t>
      </w:r>
      <w:r>
        <w:rPr/>
        <w:t>TO</w:t>
      </w:r>
      <w:r>
        <w:rPr>
          <w:spacing w:val="-2"/>
        </w:rPr>
        <w:t> </w:t>
      </w:r>
      <w:r>
        <w:rPr>
          <w:spacing w:val="-4"/>
        </w:rPr>
        <w:t>STAFF</w:t>
      </w:r>
    </w:p>
    <w:p>
      <w:pPr>
        <w:pStyle w:val="ListParagraph"/>
        <w:numPr>
          <w:ilvl w:val="0"/>
          <w:numId w:val="55"/>
        </w:numPr>
        <w:tabs>
          <w:tab w:pos="792" w:val="left" w:leader="none"/>
        </w:tabs>
        <w:spacing w:line="208" w:lineRule="auto" w:before="233" w:after="0"/>
        <w:ind w:left="792" w:right="748" w:hanging="432"/>
        <w:jc w:val="left"/>
        <w:rPr>
          <w:sz w:val="24"/>
        </w:rPr>
      </w:pPr>
      <w:r>
        <w:rPr>
          <w:sz w:val="24"/>
        </w:rPr>
        <w:t>(a) When media representatives contact staff, staff are to be courteous and as helpful</w:t>
      </w:r>
      <w:r>
        <w:rPr>
          <w:spacing w:val="-3"/>
          <w:sz w:val="24"/>
        </w:rPr>
        <w:t> </w:t>
      </w:r>
      <w:r>
        <w:rPr>
          <w:sz w:val="24"/>
        </w:rPr>
        <w:t>as</w:t>
      </w:r>
      <w:r>
        <w:rPr>
          <w:spacing w:val="-3"/>
          <w:sz w:val="24"/>
        </w:rPr>
        <w:t> </w:t>
      </w:r>
      <w:r>
        <w:rPr>
          <w:sz w:val="24"/>
        </w:rPr>
        <w:t>possible.</w:t>
      </w:r>
      <w:r>
        <w:rPr>
          <w:spacing w:val="-2"/>
          <w:sz w:val="24"/>
        </w:rPr>
        <w:t> </w:t>
      </w:r>
      <w:r>
        <w:rPr>
          <w:sz w:val="24"/>
        </w:rPr>
        <w:t>Be</w:t>
      </w:r>
      <w:r>
        <w:rPr>
          <w:spacing w:val="-3"/>
          <w:sz w:val="24"/>
        </w:rPr>
        <w:t> </w:t>
      </w:r>
      <w:r>
        <w:rPr>
          <w:sz w:val="24"/>
        </w:rPr>
        <w:t>very</w:t>
      </w:r>
      <w:r>
        <w:rPr>
          <w:spacing w:val="-3"/>
          <w:sz w:val="24"/>
        </w:rPr>
        <w:t> </w:t>
      </w:r>
      <w:r>
        <w:rPr>
          <w:sz w:val="24"/>
        </w:rPr>
        <w:t>clear</w:t>
      </w:r>
      <w:r>
        <w:rPr>
          <w:spacing w:val="-4"/>
          <w:sz w:val="24"/>
        </w:rPr>
        <w:t> </w:t>
      </w:r>
      <w:r>
        <w:rPr>
          <w:sz w:val="24"/>
        </w:rPr>
        <w:t>on</w:t>
      </w:r>
      <w:r>
        <w:rPr>
          <w:spacing w:val="-3"/>
          <w:sz w:val="24"/>
        </w:rPr>
        <w:t> </w:t>
      </w:r>
      <w:r>
        <w:rPr>
          <w:sz w:val="24"/>
        </w:rPr>
        <w:t>what</w:t>
      </w:r>
      <w:r>
        <w:rPr>
          <w:spacing w:val="-2"/>
          <w:sz w:val="24"/>
        </w:rPr>
        <w:t> </w:t>
      </w:r>
      <w:r>
        <w:rPr>
          <w:sz w:val="24"/>
        </w:rPr>
        <w:t>is</w:t>
      </w:r>
      <w:r>
        <w:rPr>
          <w:spacing w:val="-3"/>
          <w:sz w:val="24"/>
        </w:rPr>
        <w:t> </w:t>
      </w:r>
      <w:r>
        <w:rPr>
          <w:sz w:val="24"/>
        </w:rPr>
        <w:t>being</w:t>
      </w:r>
      <w:r>
        <w:rPr>
          <w:spacing w:val="-3"/>
          <w:sz w:val="24"/>
        </w:rPr>
        <w:t> </w:t>
      </w:r>
      <w:r>
        <w:rPr>
          <w:sz w:val="24"/>
        </w:rPr>
        <w:t>asked</w:t>
      </w:r>
      <w:r>
        <w:rPr>
          <w:spacing w:val="-3"/>
          <w:sz w:val="24"/>
        </w:rPr>
        <w:t> </w:t>
      </w:r>
      <w:r>
        <w:rPr>
          <w:sz w:val="24"/>
        </w:rPr>
        <w:t>and</w:t>
      </w:r>
      <w:r>
        <w:rPr>
          <w:spacing w:val="-3"/>
          <w:sz w:val="24"/>
        </w:rPr>
        <w:t> </w:t>
      </w:r>
      <w:r>
        <w:rPr>
          <w:sz w:val="24"/>
        </w:rPr>
        <w:t>on</w:t>
      </w:r>
      <w:r>
        <w:rPr>
          <w:spacing w:val="-3"/>
          <w:sz w:val="24"/>
        </w:rPr>
        <w:t> </w:t>
      </w:r>
      <w:r>
        <w:rPr>
          <w:sz w:val="24"/>
        </w:rPr>
        <w:t>deadlines</w:t>
      </w:r>
      <w:r>
        <w:rPr>
          <w:spacing w:val="-3"/>
          <w:sz w:val="24"/>
        </w:rPr>
        <w:t> </w:t>
      </w:r>
      <w:r>
        <w:rPr>
          <w:sz w:val="24"/>
        </w:rPr>
        <w:t>for</w:t>
      </w:r>
      <w:r>
        <w:rPr>
          <w:spacing w:val="-2"/>
          <w:sz w:val="24"/>
        </w:rPr>
        <w:t> </w:t>
      </w:r>
      <w:r>
        <w:rPr>
          <w:sz w:val="24"/>
        </w:rPr>
        <w:t>when the</w:t>
      </w:r>
      <w:r>
        <w:rPr>
          <w:spacing w:val="-1"/>
          <w:sz w:val="24"/>
        </w:rPr>
        <w:t> </w:t>
      </w:r>
      <w:r>
        <w:rPr>
          <w:sz w:val="24"/>
        </w:rPr>
        <w:t>information</w:t>
      </w:r>
      <w:r>
        <w:rPr>
          <w:spacing w:val="-1"/>
          <w:sz w:val="24"/>
        </w:rPr>
        <w:t> </w:t>
      </w:r>
      <w:r>
        <w:rPr>
          <w:sz w:val="24"/>
        </w:rPr>
        <w:t>is</w:t>
      </w:r>
      <w:r>
        <w:rPr>
          <w:spacing w:val="-1"/>
          <w:sz w:val="24"/>
        </w:rPr>
        <w:t> </w:t>
      </w:r>
      <w:r>
        <w:rPr>
          <w:sz w:val="24"/>
        </w:rPr>
        <w:t>needed. If</w:t>
      </w:r>
      <w:r>
        <w:rPr>
          <w:spacing w:val="-2"/>
          <w:sz w:val="24"/>
        </w:rPr>
        <w:t> </w:t>
      </w:r>
      <w:r>
        <w:rPr>
          <w:sz w:val="24"/>
        </w:rPr>
        <w:t>there</w:t>
      </w:r>
      <w:r>
        <w:rPr>
          <w:spacing w:val="-2"/>
          <w:sz w:val="24"/>
        </w:rPr>
        <w:t> </w:t>
      </w:r>
      <w:r>
        <w:rPr>
          <w:sz w:val="24"/>
        </w:rPr>
        <w:t>will</w:t>
      </w:r>
      <w:r>
        <w:rPr>
          <w:spacing w:val="-1"/>
          <w:sz w:val="24"/>
        </w:rPr>
        <w:t> </w:t>
      </w:r>
      <w:r>
        <w:rPr>
          <w:sz w:val="24"/>
        </w:rPr>
        <w:t>be</w:t>
      </w:r>
      <w:r>
        <w:rPr>
          <w:spacing w:val="-1"/>
          <w:sz w:val="24"/>
        </w:rPr>
        <w:t> </w:t>
      </w:r>
      <w:r>
        <w:rPr>
          <w:sz w:val="24"/>
        </w:rPr>
        <w:t>an</w:t>
      </w:r>
      <w:r>
        <w:rPr>
          <w:spacing w:val="-1"/>
          <w:sz w:val="24"/>
        </w:rPr>
        <w:t> </w:t>
      </w:r>
      <w:r>
        <w:rPr>
          <w:sz w:val="24"/>
        </w:rPr>
        <w:t>unavoidable delay</w:t>
      </w:r>
      <w:r>
        <w:rPr>
          <w:spacing w:val="-1"/>
          <w:sz w:val="24"/>
        </w:rPr>
        <w:t> </w:t>
      </w:r>
      <w:r>
        <w:rPr>
          <w:sz w:val="24"/>
        </w:rPr>
        <w:t>in</w:t>
      </w:r>
      <w:r>
        <w:rPr>
          <w:spacing w:val="-1"/>
          <w:sz w:val="24"/>
        </w:rPr>
        <w:t> </w:t>
      </w:r>
      <w:r>
        <w:rPr>
          <w:sz w:val="24"/>
        </w:rPr>
        <w:t>responding, notify the media representative of an estimated response time, and keep the media representative updated on progress. When speaking with the media representative, get the following information:</w:t>
      </w:r>
    </w:p>
    <w:p>
      <w:pPr>
        <w:pStyle w:val="ListParagraph"/>
        <w:numPr>
          <w:ilvl w:val="1"/>
          <w:numId w:val="55"/>
        </w:numPr>
        <w:tabs>
          <w:tab w:pos="1650" w:val="left" w:leader="none"/>
        </w:tabs>
        <w:spacing w:line="240" w:lineRule="auto" w:before="210" w:after="0"/>
        <w:ind w:left="1650" w:right="0" w:hanging="426"/>
        <w:jc w:val="left"/>
        <w:rPr>
          <w:sz w:val="24"/>
        </w:rPr>
      </w:pPr>
      <w:r>
        <w:rPr>
          <w:sz w:val="24"/>
        </w:rPr>
        <w:t>Representative's</w:t>
      </w:r>
      <w:r>
        <w:rPr>
          <w:spacing w:val="-6"/>
          <w:sz w:val="24"/>
        </w:rPr>
        <w:t> </w:t>
      </w:r>
      <w:r>
        <w:rPr>
          <w:sz w:val="24"/>
        </w:rPr>
        <w:t>name</w:t>
      </w:r>
      <w:r>
        <w:rPr>
          <w:spacing w:val="-5"/>
          <w:sz w:val="24"/>
        </w:rPr>
        <w:t> </w:t>
      </w:r>
      <w:r>
        <w:rPr>
          <w:sz w:val="24"/>
        </w:rPr>
        <w:t>and</w:t>
      </w:r>
      <w:r>
        <w:rPr>
          <w:spacing w:val="-5"/>
          <w:sz w:val="24"/>
        </w:rPr>
        <w:t> </w:t>
      </w:r>
      <w:r>
        <w:rPr>
          <w:spacing w:val="-2"/>
          <w:sz w:val="24"/>
        </w:rPr>
        <w:t>organization;</w:t>
      </w:r>
    </w:p>
    <w:p>
      <w:pPr>
        <w:pStyle w:val="ListParagraph"/>
        <w:numPr>
          <w:ilvl w:val="1"/>
          <w:numId w:val="55"/>
        </w:numPr>
        <w:tabs>
          <w:tab w:pos="1650" w:val="left" w:leader="none"/>
        </w:tabs>
        <w:spacing w:line="240" w:lineRule="auto" w:before="204" w:after="0"/>
        <w:ind w:left="1650" w:right="0" w:hanging="426"/>
        <w:jc w:val="left"/>
        <w:rPr>
          <w:sz w:val="24"/>
        </w:rPr>
      </w:pPr>
      <w:r>
        <w:rPr>
          <w:sz w:val="24"/>
        </w:rPr>
        <w:t>The</w:t>
      </w:r>
      <w:r>
        <w:rPr>
          <w:spacing w:val="-4"/>
          <w:sz w:val="24"/>
        </w:rPr>
        <w:t> </w:t>
      </w:r>
      <w:r>
        <w:rPr>
          <w:sz w:val="24"/>
        </w:rPr>
        <w:t>specific</w:t>
      </w:r>
      <w:r>
        <w:rPr>
          <w:spacing w:val="-4"/>
          <w:sz w:val="24"/>
        </w:rPr>
        <w:t> </w:t>
      </w:r>
      <w:r>
        <w:rPr>
          <w:sz w:val="24"/>
        </w:rPr>
        <w:t>information</w:t>
      </w:r>
      <w:r>
        <w:rPr>
          <w:spacing w:val="-4"/>
          <w:sz w:val="24"/>
        </w:rPr>
        <w:t> </w:t>
      </w:r>
      <w:r>
        <w:rPr>
          <w:sz w:val="24"/>
        </w:rPr>
        <w:t>being</w:t>
      </w:r>
      <w:r>
        <w:rPr>
          <w:spacing w:val="-4"/>
          <w:sz w:val="24"/>
        </w:rPr>
        <w:t> </w:t>
      </w:r>
      <w:r>
        <w:rPr>
          <w:spacing w:val="-2"/>
          <w:sz w:val="24"/>
        </w:rPr>
        <w:t>requested;</w:t>
      </w:r>
    </w:p>
    <w:p>
      <w:pPr>
        <w:pStyle w:val="ListParagraph"/>
        <w:numPr>
          <w:ilvl w:val="1"/>
          <w:numId w:val="55"/>
        </w:numPr>
        <w:tabs>
          <w:tab w:pos="1650" w:val="left" w:leader="none"/>
        </w:tabs>
        <w:spacing w:line="240" w:lineRule="auto" w:before="204" w:after="0"/>
        <w:ind w:left="1650" w:right="0" w:hanging="426"/>
        <w:jc w:val="left"/>
        <w:rPr>
          <w:sz w:val="24"/>
        </w:rPr>
      </w:pPr>
      <w:r>
        <w:rPr>
          <w:sz w:val="24"/>
        </w:rPr>
        <w:t>How</w:t>
      </w:r>
      <w:r>
        <w:rPr>
          <w:spacing w:val="-2"/>
          <w:sz w:val="24"/>
        </w:rPr>
        <w:t> </w:t>
      </w:r>
      <w:r>
        <w:rPr>
          <w:sz w:val="24"/>
        </w:rPr>
        <w:t>the</w:t>
      </w:r>
      <w:r>
        <w:rPr>
          <w:spacing w:val="-2"/>
          <w:sz w:val="24"/>
        </w:rPr>
        <w:t> </w:t>
      </w:r>
      <w:r>
        <w:rPr>
          <w:sz w:val="24"/>
        </w:rPr>
        <w:t>media</w:t>
      </w:r>
      <w:r>
        <w:rPr>
          <w:spacing w:val="-2"/>
          <w:sz w:val="24"/>
        </w:rPr>
        <w:t> </w:t>
      </w:r>
      <w:r>
        <w:rPr>
          <w:sz w:val="24"/>
        </w:rPr>
        <w:t>intends</w:t>
      </w:r>
      <w:r>
        <w:rPr>
          <w:spacing w:val="-2"/>
          <w:sz w:val="24"/>
        </w:rPr>
        <w:t> </w:t>
      </w:r>
      <w:r>
        <w:rPr>
          <w:sz w:val="24"/>
        </w:rPr>
        <w:t>to</w:t>
      </w:r>
      <w:r>
        <w:rPr>
          <w:spacing w:val="-2"/>
          <w:sz w:val="24"/>
        </w:rPr>
        <w:t> </w:t>
      </w:r>
      <w:r>
        <w:rPr>
          <w:sz w:val="24"/>
        </w:rPr>
        <w:t>use</w:t>
      </w:r>
      <w:r>
        <w:rPr>
          <w:spacing w:val="-2"/>
          <w:sz w:val="24"/>
        </w:rPr>
        <w:t> </w:t>
      </w:r>
      <w:r>
        <w:rPr>
          <w:sz w:val="24"/>
        </w:rPr>
        <w:t>the</w:t>
      </w:r>
      <w:r>
        <w:rPr>
          <w:spacing w:val="-2"/>
          <w:sz w:val="24"/>
        </w:rPr>
        <w:t> information;</w:t>
      </w:r>
    </w:p>
    <w:p>
      <w:pPr>
        <w:pStyle w:val="ListParagraph"/>
        <w:numPr>
          <w:ilvl w:val="1"/>
          <w:numId w:val="55"/>
        </w:numPr>
        <w:tabs>
          <w:tab w:pos="1650" w:val="left" w:leader="none"/>
        </w:tabs>
        <w:spacing w:line="240" w:lineRule="auto" w:before="204" w:after="0"/>
        <w:ind w:left="1650" w:right="0" w:hanging="426"/>
        <w:jc w:val="left"/>
        <w:rPr>
          <w:sz w:val="24"/>
        </w:rPr>
      </w:pPr>
      <w:r>
        <w:rPr>
          <w:sz w:val="24"/>
        </w:rPr>
        <w:t>The</w:t>
      </w:r>
      <w:r>
        <w:rPr>
          <w:spacing w:val="-6"/>
          <w:sz w:val="24"/>
        </w:rPr>
        <w:t> </w:t>
      </w:r>
      <w:r>
        <w:rPr>
          <w:sz w:val="24"/>
        </w:rPr>
        <w:t>urgency</w:t>
      </w:r>
      <w:r>
        <w:rPr>
          <w:spacing w:val="-3"/>
          <w:sz w:val="24"/>
        </w:rPr>
        <w:t> </w:t>
      </w:r>
      <w:r>
        <w:rPr>
          <w:sz w:val="24"/>
        </w:rPr>
        <w:t>of</w:t>
      </w:r>
      <w:r>
        <w:rPr>
          <w:spacing w:val="-2"/>
          <w:sz w:val="24"/>
        </w:rPr>
        <w:t> </w:t>
      </w:r>
      <w:r>
        <w:rPr>
          <w:sz w:val="24"/>
        </w:rPr>
        <w:t>the</w:t>
      </w:r>
      <w:r>
        <w:rPr>
          <w:spacing w:val="-3"/>
          <w:sz w:val="24"/>
        </w:rPr>
        <w:t> </w:t>
      </w:r>
      <w:r>
        <w:rPr>
          <w:sz w:val="24"/>
        </w:rPr>
        <w:t>request</w:t>
      </w:r>
      <w:r>
        <w:rPr>
          <w:spacing w:val="-2"/>
          <w:sz w:val="24"/>
        </w:rPr>
        <w:t> </w:t>
      </w:r>
      <w:r>
        <w:rPr>
          <w:sz w:val="24"/>
        </w:rPr>
        <w:t>(when</w:t>
      </w:r>
      <w:r>
        <w:rPr>
          <w:spacing w:val="-3"/>
          <w:sz w:val="24"/>
        </w:rPr>
        <w:t> </w:t>
      </w:r>
      <w:r>
        <w:rPr>
          <w:sz w:val="24"/>
        </w:rPr>
        <w:t>the</w:t>
      </w:r>
      <w:r>
        <w:rPr>
          <w:spacing w:val="-3"/>
          <w:sz w:val="24"/>
        </w:rPr>
        <w:t> </w:t>
      </w:r>
      <w:r>
        <w:rPr>
          <w:sz w:val="24"/>
        </w:rPr>
        <w:t>information</w:t>
      </w:r>
      <w:r>
        <w:rPr>
          <w:spacing w:val="-3"/>
          <w:sz w:val="24"/>
        </w:rPr>
        <w:t> </w:t>
      </w:r>
      <w:r>
        <w:rPr>
          <w:sz w:val="24"/>
        </w:rPr>
        <w:t>is</w:t>
      </w:r>
      <w:r>
        <w:rPr>
          <w:spacing w:val="-3"/>
          <w:sz w:val="24"/>
        </w:rPr>
        <w:t> </w:t>
      </w:r>
      <w:r>
        <w:rPr>
          <w:sz w:val="24"/>
        </w:rPr>
        <w:t>needed);</w:t>
      </w:r>
      <w:r>
        <w:rPr>
          <w:spacing w:val="-2"/>
          <w:sz w:val="24"/>
        </w:rPr>
        <w:t> </w:t>
      </w:r>
      <w:r>
        <w:rPr>
          <w:spacing w:val="-5"/>
          <w:sz w:val="24"/>
        </w:rPr>
        <w:t>and</w:t>
      </w:r>
    </w:p>
    <w:p>
      <w:pPr>
        <w:pStyle w:val="ListParagraph"/>
        <w:numPr>
          <w:ilvl w:val="1"/>
          <w:numId w:val="55"/>
        </w:numPr>
        <w:tabs>
          <w:tab w:pos="1650" w:val="left" w:leader="none"/>
        </w:tabs>
        <w:spacing w:line="240" w:lineRule="auto" w:before="204" w:after="0"/>
        <w:ind w:left="1650" w:right="0" w:hanging="426"/>
        <w:jc w:val="left"/>
        <w:rPr>
          <w:sz w:val="24"/>
        </w:rPr>
      </w:pPr>
      <w:r>
        <w:rPr>
          <w:sz w:val="24"/>
        </w:rPr>
        <w:t>Contact</w:t>
      </w:r>
      <w:r>
        <w:rPr>
          <w:spacing w:val="-6"/>
          <w:sz w:val="24"/>
        </w:rPr>
        <w:t> </w:t>
      </w:r>
      <w:r>
        <w:rPr>
          <w:sz w:val="24"/>
        </w:rPr>
        <w:t>information</w:t>
      </w:r>
      <w:r>
        <w:rPr>
          <w:spacing w:val="-4"/>
          <w:sz w:val="24"/>
        </w:rPr>
        <w:t> </w:t>
      </w:r>
      <w:r>
        <w:rPr>
          <w:sz w:val="24"/>
        </w:rPr>
        <w:t>(name,</w:t>
      </w:r>
      <w:r>
        <w:rPr>
          <w:spacing w:val="-4"/>
          <w:sz w:val="24"/>
        </w:rPr>
        <w:t> </w:t>
      </w:r>
      <w:r>
        <w:rPr>
          <w:sz w:val="24"/>
        </w:rPr>
        <w:t>organization,</w:t>
      </w:r>
      <w:r>
        <w:rPr>
          <w:spacing w:val="-3"/>
          <w:sz w:val="24"/>
        </w:rPr>
        <w:t> </w:t>
      </w:r>
      <w:r>
        <w:rPr>
          <w:sz w:val="24"/>
        </w:rPr>
        <w:t>address,</w:t>
      </w:r>
      <w:r>
        <w:rPr>
          <w:spacing w:val="-3"/>
          <w:sz w:val="24"/>
        </w:rPr>
        <w:t> </w:t>
      </w:r>
      <w:r>
        <w:rPr>
          <w:sz w:val="24"/>
        </w:rPr>
        <w:t>phone</w:t>
      </w:r>
      <w:r>
        <w:rPr>
          <w:spacing w:val="-5"/>
          <w:sz w:val="24"/>
        </w:rPr>
        <w:t> </w:t>
      </w:r>
      <w:r>
        <w:rPr>
          <w:sz w:val="24"/>
        </w:rPr>
        <w:t>#,</w:t>
      </w:r>
      <w:r>
        <w:rPr>
          <w:spacing w:val="-3"/>
          <w:sz w:val="24"/>
        </w:rPr>
        <w:t> </w:t>
      </w:r>
      <w:r>
        <w:rPr>
          <w:sz w:val="24"/>
        </w:rPr>
        <w:t>fax</w:t>
      </w:r>
      <w:r>
        <w:rPr>
          <w:spacing w:val="-4"/>
          <w:sz w:val="24"/>
        </w:rPr>
        <w:t> </w:t>
      </w:r>
      <w:r>
        <w:rPr>
          <w:spacing w:val="-5"/>
          <w:sz w:val="24"/>
        </w:rPr>
        <w:t>#).</w:t>
      </w:r>
    </w:p>
    <w:p>
      <w:pPr>
        <w:pStyle w:val="ListParagraph"/>
        <w:spacing w:after="0" w:line="240" w:lineRule="auto"/>
        <w:jc w:val="left"/>
        <w:rPr>
          <w:sz w:val="24"/>
        </w:rPr>
        <w:sectPr>
          <w:pgSz w:w="12240" w:h="15840"/>
          <w:pgMar w:top="1340" w:bottom="280" w:left="1080" w:right="720"/>
        </w:sectPr>
      </w:pPr>
    </w:p>
    <w:p>
      <w:pPr>
        <w:pStyle w:val="ListParagraph"/>
        <w:numPr>
          <w:ilvl w:val="0"/>
          <w:numId w:val="56"/>
        </w:numPr>
        <w:tabs>
          <w:tab w:pos="1151" w:val="left" w:leader="none"/>
        </w:tabs>
        <w:spacing w:line="208" w:lineRule="auto" w:before="96" w:after="0"/>
        <w:ind w:left="791" w:right="776" w:firstLine="0"/>
        <w:jc w:val="left"/>
        <w:rPr>
          <w:sz w:val="24"/>
        </w:rPr>
      </w:pPr>
      <w:r>
        <w:rPr>
          <w:sz w:val="24"/>
        </w:rPr>
        <w:t>When</w:t>
      </w:r>
      <w:r>
        <w:rPr>
          <w:spacing w:val="-4"/>
          <w:sz w:val="24"/>
        </w:rPr>
        <w:t> </w:t>
      </w:r>
      <w:r>
        <w:rPr>
          <w:sz w:val="24"/>
        </w:rPr>
        <w:t>you</w:t>
      </w:r>
      <w:r>
        <w:rPr>
          <w:spacing w:val="-4"/>
          <w:sz w:val="24"/>
        </w:rPr>
        <w:t> </w:t>
      </w:r>
      <w:r>
        <w:rPr>
          <w:sz w:val="24"/>
        </w:rPr>
        <w:t>refer</w:t>
      </w:r>
      <w:r>
        <w:rPr>
          <w:spacing w:val="-3"/>
          <w:sz w:val="24"/>
        </w:rPr>
        <w:t> </w:t>
      </w:r>
      <w:r>
        <w:rPr>
          <w:sz w:val="24"/>
        </w:rPr>
        <w:t>a</w:t>
      </w:r>
      <w:r>
        <w:rPr>
          <w:spacing w:val="-5"/>
          <w:sz w:val="24"/>
        </w:rPr>
        <w:t> </w:t>
      </w:r>
      <w:r>
        <w:rPr>
          <w:sz w:val="24"/>
        </w:rPr>
        <w:t>media</w:t>
      </w:r>
      <w:r>
        <w:rPr>
          <w:spacing w:val="-4"/>
          <w:sz w:val="24"/>
        </w:rPr>
        <w:t> </w:t>
      </w:r>
      <w:r>
        <w:rPr>
          <w:sz w:val="24"/>
        </w:rPr>
        <w:t>call</w:t>
      </w:r>
      <w:r>
        <w:rPr>
          <w:spacing w:val="-3"/>
          <w:sz w:val="24"/>
        </w:rPr>
        <w:t> </w:t>
      </w:r>
      <w:r>
        <w:rPr>
          <w:sz w:val="24"/>
        </w:rPr>
        <w:t>or</w:t>
      </w:r>
      <w:r>
        <w:rPr>
          <w:spacing w:val="-3"/>
          <w:sz w:val="24"/>
        </w:rPr>
        <w:t> </w:t>
      </w:r>
      <w:r>
        <w:rPr>
          <w:sz w:val="24"/>
        </w:rPr>
        <w:t>visitor</w:t>
      </w:r>
      <w:r>
        <w:rPr>
          <w:spacing w:val="-3"/>
          <w:sz w:val="24"/>
        </w:rPr>
        <w:t> </w:t>
      </w:r>
      <w:r>
        <w:rPr>
          <w:sz w:val="24"/>
        </w:rPr>
        <w:t>to</w:t>
      </w:r>
      <w:r>
        <w:rPr>
          <w:spacing w:val="-5"/>
          <w:sz w:val="24"/>
        </w:rPr>
        <w:t> </w:t>
      </w:r>
      <w:r>
        <w:rPr>
          <w:sz w:val="24"/>
        </w:rPr>
        <w:t>the</w:t>
      </w:r>
      <w:r>
        <w:rPr>
          <w:spacing w:val="-4"/>
          <w:sz w:val="24"/>
        </w:rPr>
        <w:t> </w:t>
      </w:r>
      <w:r>
        <w:rPr>
          <w:sz w:val="24"/>
        </w:rPr>
        <w:t>Communications</w:t>
      </w:r>
      <w:r>
        <w:rPr>
          <w:spacing w:val="-4"/>
          <w:sz w:val="24"/>
        </w:rPr>
        <w:t> </w:t>
      </w:r>
      <w:r>
        <w:rPr>
          <w:sz w:val="24"/>
        </w:rPr>
        <w:t>Director,</w:t>
      </w:r>
      <w:r>
        <w:rPr>
          <w:spacing w:val="-3"/>
          <w:sz w:val="24"/>
        </w:rPr>
        <w:t> </w:t>
      </w:r>
      <w:r>
        <w:rPr>
          <w:sz w:val="24"/>
        </w:rPr>
        <w:t>relax</w:t>
      </w:r>
      <w:r>
        <w:rPr>
          <w:spacing w:val="-4"/>
          <w:sz w:val="24"/>
        </w:rPr>
        <w:t> </w:t>
      </w:r>
      <w:r>
        <w:rPr>
          <w:sz w:val="24"/>
        </w:rPr>
        <w:t>and tell the representative, "We'll be glad to help you." Write down the caller or visitor's complete name, the name of the publication, station, or wire service he or she represents, and say, "May I ask</w:t>
      </w:r>
      <w:r>
        <w:rPr>
          <w:spacing w:val="-1"/>
          <w:sz w:val="24"/>
        </w:rPr>
        <w:t> </w:t>
      </w:r>
      <w:r>
        <w:rPr>
          <w:sz w:val="24"/>
        </w:rPr>
        <w:t>why you are calling please?" Next, say, "I will need to refer you to our Communications Director, Jody Harlan. She will make arrangements to get the information or interviews you need."</w:t>
      </w:r>
    </w:p>
    <w:p>
      <w:pPr>
        <w:pStyle w:val="ListParagraph"/>
        <w:numPr>
          <w:ilvl w:val="0"/>
          <w:numId w:val="56"/>
        </w:numPr>
        <w:tabs>
          <w:tab w:pos="1138" w:val="left" w:leader="none"/>
        </w:tabs>
        <w:spacing w:line="208" w:lineRule="auto" w:before="239" w:after="0"/>
        <w:ind w:left="791" w:right="788" w:firstLine="0"/>
        <w:jc w:val="left"/>
        <w:rPr>
          <w:sz w:val="24"/>
        </w:rPr>
      </w:pPr>
      <w:r>
        <w:rPr>
          <w:sz w:val="24"/>
        </w:rPr>
        <w:t>When</w:t>
      </w:r>
      <w:r>
        <w:rPr>
          <w:spacing w:val="-1"/>
          <w:sz w:val="24"/>
        </w:rPr>
        <w:t> </w:t>
      </w:r>
      <w:r>
        <w:rPr>
          <w:sz w:val="24"/>
        </w:rPr>
        <w:t>you</w:t>
      </w:r>
      <w:r>
        <w:rPr>
          <w:spacing w:val="-1"/>
          <w:sz w:val="24"/>
        </w:rPr>
        <w:t> </w:t>
      </w:r>
      <w:r>
        <w:rPr>
          <w:sz w:val="24"/>
        </w:rPr>
        <w:t>transfer</w:t>
      </w:r>
      <w:r>
        <w:rPr>
          <w:spacing w:val="-2"/>
          <w:sz w:val="24"/>
        </w:rPr>
        <w:t> </w:t>
      </w:r>
      <w:r>
        <w:rPr>
          <w:sz w:val="24"/>
        </w:rPr>
        <w:t>a</w:t>
      </w:r>
      <w:r>
        <w:rPr>
          <w:spacing w:val="-1"/>
          <w:sz w:val="24"/>
        </w:rPr>
        <w:t> </w:t>
      </w:r>
      <w:r>
        <w:rPr>
          <w:sz w:val="24"/>
        </w:rPr>
        <w:t>call</w:t>
      </w:r>
      <w:r>
        <w:rPr>
          <w:spacing w:val="-1"/>
          <w:sz w:val="24"/>
        </w:rPr>
        <w:t> </w:t>
      </w:r>
      <w:r>
        <w:rPr>
          <w:sz w:val="24"/>
        </w:rPr>
        <w:t>or announce</w:t>
      </w:r>
      <w:r>
        <w:rPr>
          <w:spacing w:val="-1"/>
          <w:sz w:val="24"/>
        </w:rPr>
        <w:t> </w:t>
      </w:r>
      <w:r>
        <w:rPr>
          <w:sz w:val="24"/>
        </w:rPr>
        <w:t>a</w:t>
      </w:r>
      <w:r>
        <w:rPr>
          <w:spacing w:val="-1"/>
          <w:sz w:val="24"/>
        </w:rPr>
        <w:t> </w:t>
      </w:r>
      <w:r>
        <w:rPr>
          <w:sz w:val="24"/>
        </w:rPr>
        <w:t>visitor, tell</w:t>
      </w:r>
      <w:r>
        <w:rPr>
          <w:spacing w:val="-1"/>
          <w:sz w:val="24"/>
        </w:rPr>
        <w:t> </w:t>
      </w:r>
      <w:r>
        <w:rPr>
          <w:sz w:val="24"/>
        </w:rPr>
        <w:t>the</w:t>
      </w:r>
      <w:r>
        <w:rPr>
          <w:spacing w:val="-1"/>
          <w:sz w:val="24"/>
        </w:rPr>
        <w:t> </w:t>
      </w:r>
      <w:r>
        <w:rPr>
          <w:sz w:val="24"/>
        </w:rPr>
        <w:t>Communications</w:t>
      </w:r>
      <w:r>
        <w:rPr>
          <w:spacing w:val="-1"/>
          <w:sz w:val="24"/>
        </w:rPr>
        <w:t> </w:t>
      </w:r>
      <w:r>
        <w:rPr>
          <w:sz w:val="24"/>
        </w:rPr>
        <w:t>Director all</w:t>
      </w:r>
      <w:r>
        <w:rPr>
          <w:spacing w:val="-4"/>
          <w:sz w:val="24"/>
        </w:rPr>
        <w:t> </w:t>
      </w:r>
      <w:r>
        <w:rPr>
          <w:sz w:val="24"/>
        </w:rPr>
        <w:t>the</w:t>
      </w:r>
      <w:r>
        <w:rPr>
          <w:spacing w:val="-4"/>
          <w:sz w:val="24"/>
        </w:rPr>
        <w:t> </w:t>
      </w:r>
      <w:r>
        <w:rPr>
          <w:sz w:val="24"/>
        </w:rPr>
        <w:t>information</w:t>
      </w:r>
      <w:r>
        <w:rPr>
          <w:spacing w:val="-4"/>
          <w:sz w:val="24"/>
        </w:rPr>
        <w:t> </w:t>
      </w:r>
      <w:r>
        <w:rPr>
          <w:sz w:val="24"/>
        </w:rPr>
        <w:t>you</w:t>
      </w:r>
      <w:r>
        <w:rPr>
          <w:spacing w:val="-4"/>
          <w:sz w:val="24"/>
        </w:rPr>
        <w:t> </w:t>
      </w:r>
      <w:r>
        <w:rPr>
          <w:sz w:val="24"/>
        </w:rPr>
        <w:t>have.</w:t>
      </w:r>
      <w:r>
        <w:rPr>
          <w:spacing w:val="-3"/>
          <w:sz w:val="24"/>
        </w:rPr>
        <w:t> </w:t>
      </w:r>
      <w:r>
        <w:rPr>
          <w:sz w:val="24"/>
        </w:rPr>
        <w:t>If</w:t>
      </w:r>
      <w:r>
        <w:rPr>
          <w:spacing w:val="-3"/>
          <w:sz w:val="24"/>
        </w:rPr>
        <w:t> </w:t>
      </w:r>
      <w:r>
        <w:rPr>
          <w:sz w:val="24"/>
        </w:rPr>
        <w:t>the</w:t>
      </w:r>
      <w:r>
        <w:rPr>
          <w:spacing w:val="-4"/>
          <w:sz w:val="24"/>
        </w:rPr>
        <w:t> </w:t>
      </w:r>
      <w:r>
        <w:rPr>
          <w:sz w:val="24"/>
        </w:rPr>
        <w:t>Communications</w:t>
      </w:r>
      <w:r>
        <w:rPr>
          <w:spacing w:val="-4"/>
          <w:sz w:val="24"/>
        </w:rPr>
        <w:t> </w:t>
      </w:r>
      <w:r>
        <w:rPr>
          <w:sz w:val="24"/>
        </w:rPr>
        <w:t>Director</w:t>
      </w:r>
      <w:r>
        <w:rPr>
          <w:spacing w:val="-3"/>
          <w:sz w:val="24"/>
        </w:rPr>
        <w:t> </w:t>
      </w:r>
      <w:r>
        <w:rPr>
          <w:sz w:val="24"/>
        </w:rPr>
        <w:t>is</w:t>
      </w:r>
      <w:r>
        <w:rPr>
          <w:spacing w:val="-4"/>
          <w:sz w:val="24"/>
        </w:rPr>
        <w:t> </w:t>
      </w:r>
      <w:r>
        <w:rPr>
          <w:sz w:val="24"/>
        </w:rPr>
        <w:t>not</w:t>
      </w:r>
      <w:r>
        <w:rPr>
          <w:spacing w:val="-5"/>
          <w:sz w:val="24"/>
        </w:rPr>
        <w:t> </w:t>
      </w:r>
      <w:r>
        <w:rPr>
          <w:sz w:val="24"/>
        </w:rPr>
        <w:t>available,</w:t>
      </w:r>
      <w:r>
        <w:rPr>
          <w:spacing w:val="-3"/>
          <w:sz w:val="24"/>
        </w:rPr>
        <w:t> </w:t>
      </w:r>
      <w:r>
        <w:rPr>
          <w:sz w:val="24"/>
        </w:rPr>
        <w:t>please get the complete message to the Communications Office immediately. The receptionist will know how to contact the Communications Director.</w:t>
      </w:r>
    </w:p>
    <w:p>
      <w:pPr>
        <w:pStyle w:val="ListParagraph"/>
        <w:numPr>
          <w:ilvl w:val="0"/>
          <w:numId w:val="55"/>
        </w:numPr>
        <w:tabs>
          <w:tab w:pos="791" w:val="left" w:leader="none"/>
          <w:tab w:pos="809" w:val="left" w:leader="none"/>
        </w:tabs>
        <w:spacing w:line="208" w:lineRule="auto" w:before="240" w:after="0"/>
        <w:ind w:left="809" w:right="6165" w:hanging="450"/>
        <w:jc w:val="left"/>
        <w:rPr>
          <w:sz w:val="24"/>
        </w:rPr>
      </w:pPr>
      <w:r>
        <w:rPr>
          <w:sz w:val="24"/>
        </w:rPr>
        <w:t>The</w:t>
      </w:r>
      <w:r>
        <w:rPr>
          <w:spacing w:val="-13"/>
          <w:sz w:val="24"/>
        </w:rPr>
        <w:t> </w:t>
      </w:r>
      <w:r>
        <w:rPr>
          <w:sz w:val="24"/>
        </w:rPr>
        <w:t>Communications</w:t>
      </w:r>
      <w:r>
        <w:rPr>
          <w:spacing w:val="-13"/>
          <w:sz w:val="24"/>
        </w:rPr>
        <w:t> </w:t>
      </w:r>
      <w:r>
        <w:rPr>
          <w:sz w:val="24"/>
        </w:rPr>
        <w:t>Director</w:t>
      </w:r>
      <w:r>
        <w:rPr>
          <w:spacing w:val="-12"/>
          <w:sz w:val="24"/>
        </w:rPr>
        <w:t> </w:t>
      </w:r>
      <w:r>
        <w:rPr>
          <w:sz w:val="24"/>
        </w:rPr>
        <w:t>is: Jody Harlan</w:t>
      </w:r>
    </w:p>
    <w:p>
      <w:pPr>
        <w:pStyle w:val="BodyText"/>
        <w:spacing w:line="208" w:lineRule="auto" w:before="0"/>
        <w:ind w:left="809" w:right="5269"/>
      </w:pPr>
      <w:r>
        <w:rPr/>
        <w:t>Department</w:t>
      </w:r>
      <w:r>
        <w:rPr>
          <w:spacing w:val="-12"/>
        </w:rPr>
        <w:t> </w:t>
      </w:r>
      <w:r>
        <w:rPr/>
        <w:t>of</w:t>
      </w:r>
      <w:r>
        <w:rPr>
          <w:spacing w:val="-14"/>
        </w:rPr>
        <w:t> </w:t>
      </w:r>
      <w:r>
        <w:rPr/>
        <w:t>Rehabilitation</w:t>
      </w:r>
      <w:r>
        <w:rPr>
          <w:spacing w:val="-13"/>
        </w:rPr>
        <w:t> </w:t>
      </w:r>
      <w:r>
        <w:rPr/>
        <w:t>Services 3535 NW 58th, Suite 500</w:t>
      </w:r>
    </w:p>
    <w:p>
      <w:pPr>
        <w:pStyle w:val="BodyText"/>
        <w:spacing w:line="208" w:lineRule="auto" w:before="0"/>
        <w:ind w:left="809" w:right="6026"/>
      </w:pPr>
      <w:r>
        <w:rPr/>
        <w:t>Oklahoma</w:t>
      </w:r>
      <w:r>
        <w:rPr>
          <w:spacing w:val="-10"/>
        </w:rPr>
        <w:t> </w:t>
      </w:r>
      <w:r>
        <w:rPr/>
        <w:t>City,</w:t>
      </w:r>
      <w:r>
        <w:rPr>
          <w:spacing w:val="-9"/>
        </w:rPr>
        <w:t> </w:t>
      </w:r>
      <w:r>
        <w:rPr/>
        <w:t>Oklahoma</w:t>
      </w:r>
      <w:r>
        <w:rPr>
          <w:spacing w:val="40"/>
        </w:rPr>
        <w:t> </w:t>
      </w:r>
      <w:r>
        <w:rPr/>
        <w:t>73112 </w:t>
      </w:r>
      <w:r>
        <w:rPr>
          <w:spacing w:val="-2"/>
        </w:rPr>
        <w:t>405-951-3473</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7-1-99</w:t>
      </w:r>
      <w:r>
        <w:rPr>
          <w:sz w:val="22"/>
        </w:rPr>
        <w:tab/>
        <w:t>POL Memo #00-1</w:t>
      </w:r>
    </w:p>
    <w:p>
      <w:pPr>
        <w:spacing w:before="1"/>
        <w:ind w:left="1439" w:right="775" w:firstLine="0"/>
        <w:jc w:val="left"/>
        <w:rPr>
          <w:sz w:val="22"/>
        </w:rPr>
      </w:pPr>
      <w:r>
        <w:rPr>
          <w:sz w:val="22"/>
        </w:rPr>
        <w:t>Permanent,</w:t>
      </w:r>
      <w:r>
        <w:rPr>
          <w:spacing w:val="-3"/>
          <w:sz w:val="22"/>
        </w:rPr>
        <w:t> </w:t>
      </w:r>
      <w:r>
        <w:rPr>
          <w:sz w:val="22"/>
        </w:rPr>
        <w:t>extensive</w:t>
      </w:r>
      <w:r>
        <w:rPr>
          <w:spacing w:val="-4"/>
          <w:sz w:val="22"/>
        </w:rPr>
        <w:t> </w:t>
      </w:r>
      <w:r>
        <w:rPr>
          <w:sz w:val="22"/>
        </w:rPr>
        <w:t>updates</w:t>
      </w:r>
      <w:r>
        <w:rPr>
          <w:spacing w:val="-4"/>
          <w:sz w:val="22"/>
        </w:rPr>
        <w:t> </w:t>
      </w:r>
      <w:r>
        <w:rPr>
          <w:sz w:val="22"/>
        </w:rPr>
        <w:t>to</w:t>
      </w:r>
      <w:r>
        <w:rPr>
          <w:spacing w:val="-4"/>
          <w:sz w:val="22"/>
        </w:rPr>
        <w:t> </w:t>
      </w:r>
      <w:r>
        <w:rPr>
          <w:sz w:val="22"/>
        </w:rPr>
        <w:t>the</w:t>
      </w:r>
      <w:r>
        <w:rPr>
          <w:spacing w:val="-4"/>
          <w:sz w:val="22"/>
        </w:rPr>
        <w:t> </w:t>
      </w:r>
      <w:r>
        <w:rPr>
          <w:sz w:val="22"/>
        </w:rPr>
        <w:t>process</w:t>
      </w:r>
      <w:r>
        <w:rPr>
          <w:spacing w:val="-4"/>
          <w:sz w:val="22"/>
        </w:rPr>
        <w:t> </w:t>
      </w:r>
      <w:r>
        <w:rPr>
          <w:sz w:val="22"/>
        </w:rPr>
        <w:t>for</w:t>
      </w:r>
      <w:r>
        <w:rPr>
          <w:spacing w:val="-4"/>
          <w:sz w:val="22"/>
        </w:rPr>
        <w:t> </w:t>
      </w:r>
      <w:r>
        <w:rPr>
          <w:sz w:val="22"/>
        </w:rPr>
        <w:t>handling</w:t>
      </w:r>
      <w:r>
        <w:rPr>
          <w:spacing w:val="-4"/>
          <w:sz w:val="22"/>
        </w:rPr>
        <w:t> </w:t>
      </w:r>
      <w:r>
        <w:rPr>
          <w:sz w:val="22"/>
        </w:rPr>
        <w:t>news</w:t>
      </w:r>
      <w:r>
        <w:rPr>
          <w:spacing w:val="-4"/>
          <w:sz w:val="22"/>
        </w:rPr>
        <w:t> </w:t>
      </w:r>
      <w:r>
        <w:rPr>
          <w:sz w:val="22"/>
        </w:rPr>
        <w:t>media</w:t>
      </w:r>
      <w:r>
        <w:rPr>
          <w:spacing w:val="-4"/>
          <w:sz w:val="22"/>
        </w:rPr>
        <w:t> </w:t>
      </w:r>
      <w:r>
        <w:rPr>
          <w:sz w:val="22"/>
        </w:rPr>
        <w:t>contacts; added Instructions to Staff</w:t>
      </w:r>
    </w:p>
    <w:p>
      <w:pPr>
        <w:pStyle w:val="ListParagraph"/>
        <w:numPr>
          <w:ilvl w:val="2"/>
          <w:numId w:val="46"/>
        </w:numPr>
        <w:tabs>
          <w:tab w:pos="1439" w:val="left" w:leader="none"/>
        </w:tabs>
        <w:spacing w:line="252" w:lineRule="exact" w:before="0" w:after="0"/>
        <w:ind w:left="1439" w:right="0" w:hanging="1080"/>
        <w:jc w:val="left"/>
        <w:rPr>
          <w:sz w:val="22"/>
        </w:rPr>
      </w:pPr>
      <w:r>
        <w:rPr>
          <w:sz w:val="22"/>
        </w:rPr>
        <w:t>Permanent,</w:t>
      </w:r>
      <w:r>
        <w:rPr>
          <w:spacing w:val="-9"/>
          <w:sz w:val="22"/>
        </w:rPr>
        <w:t> </w:t>
      </w:r>
      <w:r>
        <w:rPr>
          <w:sz w:val="22"/>
        </w:rPr>
        <w:t>Changed</w:t>
      </w:r>
      <w:r>
        <w:rPr>
          <w:spacing w:val="-9"/>
          <w:sz w:val="22"/>
        </w:rPr>
        <w:t> </w:t>
      </w:r>
      <w:r>
        <w:rPr>
          <w:sz w:val="22"/>
        </w:rPr>
        <w:t>Public</w:t>
      </w:r>
      <w:r>
        <w:rPr>
          <w:spacing w:val="-9"/>
          <w:sz w:val="22"/>
        </w:rPr>
        <w:t> </w:t>
      </w:r>
      <w:r>
        <w:rPr>
          <w:sz w:val="22"/>
        </w:rPr>
        <w:t>Information</w:t>
      </w:r>
      <w:r>
        <w:rPr>
          <w:spacing w:val="-9"/>
          <w:sz w:val="22"/>
        </w:rPr>
        <w:t> </w:t>
      </w:r>
      <w:r>
        <w:rPr>
          <w:sz w:val="22"/>
        </w:rPr>
        <w:t>to</w:t>
      </w:r>
      <w:r>
        <w:rPr>
          <w:spacing w:val="-10"/>
          <w:sz w:val="22"/>
        </w:rPr>
        <w:t> </w:t>
      </w:r>
      <w:r>
        <w:rPr>
          <w:spacing w:val="-2"/>
          <w:sz w:val="22"/>
        </w:rPr>
        <w:t>Communication</w:t>
      </w:r>
    </w:p>
    <w:p>
      <w:pPr>
        <w:pStyle w:val="ListParagraph"/>
        <w:spacing w:after="0" w:line="252" w:lineRule="exact"/>
        <w:jc w:val="left"/>
        <w:rPr>
          <w:sz w:val="22"/>
        </w:rPr>
        <w:sectPr>
          <w:pgSz w:w="12240" w:h="15840"/>
          <w:pgMar w:top="1340" w:bottom="280" w:left="1080" w:right="720"/>
        </w:sectPr>
      </w:pPr>
    </w:p>
    <w:p>
      <w:pPr>
        <w:pStyle w:val="BodyText"/>
        <w:spacing w:before="0"/>
        <w:ind w:left="0"/>
      </w:pPr>
    </w:p>
    <w:p>
      <w:pPr>
        <w:pStyle w:val="BodyText"/>
        <w:spacing w:before="0"/>
        <w:ind w:left="0"/>
      </w:pPr>
    </w:p>
    <w:p>
      <w:pPr>
        <w:pStyle w:val="BodyText"/>
        <w:spacing w:before="198"/>
        <w:ind w:left="0"/>
      </w:pPr>
    </w:p>
    <w:p>
      <w:pPr>
        <w:pStyle w:val="BodyText"/>
        <w:spacing w:before="1"/>
      </w:pPr>
      <w:bookmarkStart w:name="SUBCHAPTER 18. PROCESS IMPROVEMENT" w:id="68"/>
      <w:bookmarkEnd w:id="68"/>
      <w:r>
        <w:rPr/>
      </w:r>
      <w:r>
        <w:rPr>
          <w:spacing w:val="-2"/>
        </w:rPr>
        <w:t>Section</w:t>
      </w:r>
    </w:p>
    <w:p>
      <w:pPr>
        <w:pStyle w:val="Heading1"/>
        <w:spacing w:line="417" w:lineRule="auto"/>
        <w:ind w:left="1081" w:right="2817" w:hanging="722"/>
        <w:jc w:val="left"/>
      </w:pPr>
      <w:r>
        <w:rPr>
          <w:b w:val="0"/>
        </w:rPr>
        <w:br w:type="column"/>
      </w:r>
      <w:r>
        <w:rPr/>
        <w:t>SUBCHAPTER</w:t>
      </w:r>
      <w:r>
        <w:rPr>
          <w:spacing w:val="-13"/>
        </w:rPr>
        <w:t> </w:t>
      </w:r>
      <w:r>
        <w:rPr/>
        <w:t>18.</w:t>
      </w:r>
      <w:r>
        <w:rPr>
          <w:spacing w:val="-12"/>
        </w:rPr>
        <w:t> </w:t>
      </w:r>
      <w:r>
        <w:rPr/>
        <w:t>PROCESS</w:t>
      </w:r>
      <w:r>
        <w:rPr>
          <w:spacing w:val="-13"/>
        </w:rPr>
        <w:t> </w:t>
      </w:r>
      <w:r>
        <w:rPr/>
        <w:t>IMPROVEMENT PART 1. GENERAL PROVISIONS</w:t>
      </w:r>
    </w:p>
    <w:p>
      <w:pPr>
        <w:pStyle w:val="Heading1"/>
        <w:spacing w:after="0" w:line="417" w:lineRule="auto"/>
        <w:jc w:val="left"/>
        <w:sectPr>
          <w:pgSz w:w="12240" w:h="15840"/>
          <w:pgMar w:top="1340" w:bottom="280" w:left="1080" w:right="720"/>
          <w:cols w:num="2" w:equalWidth="0">
            <w:col w:w="1200" w:space="899"/>
            <w:col w:w="8341"/>
          </w:cols>
        </w:sectPr>
      </w:pPr>
    </w:p>
    <w:p>
      <w:pPr>
        <w:pStyle w:val="BodyText"/>
        <w:spacing w:before="8"/>
        <w:ind w:left="0"/>
        <w:rPr>
          <w:b/>
          <w:sz w:val="9"/>
        </w:rPr>
      </w:pPr>
    </w:p>
    <w:p>
      <w:pPr>
        <w:pStyle w:val="BodyText"/>
        <w:spacing w:after="0"/>
        <w:rPr>
          <w:b/>
          <w:sz w:val="9"/>
        </w:rPr>
        <w:sectPr>
          <w:type w:val="continuous"/>
          <w:pgSz w:w="12240" w:h="15840"/>
          <w:pgMar w:top="1820" w:bottom="280" w:left="1080" w:right="720"/>
        </w:sectPr>
      </w:pPr>
    </w:p>
    <w:p>
      <w:pPr>
        <w:pStyle w:val="BodyText"/>
        <w:tabs>
          <w:tab w:pos="1889" w:val="left" w:leader="none"/>
        </w:tabs>
        <w:spacing w:before="92"/>
      </w:pPr>
      <w:r>
        <w:rPr>
          <w:spacing w:val="-2"/>
        </w:rPr>
        <w:t>612:1-18-</w:t>
      </w:r>
      <w:r>
        <w:rPr>
          <w:spacing w:val="-5"/>
        </w:rPr>
        <w:t>1.</w:t>
      </w:r>
      <w:r>
        <w:rPr/>
        <w:tab/>
      </w:r>
      <w:r>
        <w:rPr>
          <w:spacing w:val="-2"/>
        </w:rPr>
        <w:t>Purpose</w:t>
      </w:r>
    </w:p>
    <w:p>
      <w:pPr>
        <w:pStyle w:val="BodyText"/>
        <w:spacing w:before="0"/>
        <w:ind w:left="0"/>
      </w:pPr>
    </w:p>
    <w:p>
      <w:pPr>
        <w:pStyle w:val="BodyText"/>
        <w:spacing w:before="132"/>
        <w:ind w:left="0"/>
      </w:pPr>
    </w:p>
    <w:p>
      <w:pPr>
        <w:pStyle w:val="BodyText"/>
        <w:spacing w:before="0"/>
      </w:pPr>
      <w:r>
        <w:rPr>
          <w:spacing w:val="-2"/>
        </w:rPr>
        <w:t>Section</w:t>
      </w:r>
    </w:p>
    <w:p>
      <w:pPr>
        <w:spacing w:line="240" w:lineRule="auto" w:before="0"/>
        <w:rPr>
          <w:sz w:val="24"/>
        </w:rPr>
      </w:pPr>
      <w:r>
        <w:rPr/>
        <w:br w:type="column"/>
      </w:r>
      <w:r>
        <w:rPr>
          <w:sz w:val="24"/>
        </w:rPr>
      </w:r>
    </w:p>
    <w:p>
      <w:pPr>
        <w:pStyle w:val="BodyText"/>
        <w:spacing w:before="20"/>
        <w:ind w:left="0"/>
      </w:pPr>
    </w:p>
    <w:p>
      <w:pPr>
        <w:pStyle w:val="Heading1"/>
        <w:spacing w:before="0"/>
        <w:ind w:left="310" w:right="0"/>
        <w:jc w:val="left"/>
      </w:pPr>
      <w:r>
        <w:rPr/>
        <w:t>PART</w:t>
      </w:r>
      <w:r>
        <w:rPr>
          <w:spacing w:val="-2"/>
        </w:rPr>
        <w:t> </w:t>
      </w:r>
      <w:r>
        <w:rPr/>
        <w:t>3.</w:t>
      </w:r>
      <w:r>
        <w:rPr>
          <w:spacing w:val="-3"/>
        </w:rPr>
        <w:t> </w:t>
      </w:r>
      <w:r>
        <w:rPr/>
        <w:t>PROGRAM</w:t>
      </w:r>
      <w:r>
        <w:rPr>
          <w:spacing w:val="-2"/>
        </w:rPr>
        <w:t> STANDARDS</w:t>
      </w:r>
    </w:p>
    <w:p>
      <w:pPr>
        <w:pStyle w:val="Heading1"/>
        <w:spacing w:after="0"/>
        <w:jc w:val="left"/>
        <w:sectPr>
          <w:type w:val="continuous"/>
          <w:pgSz w:w="12240" w:h="15840"/>
          <w:pgMar w:top="1820" w:bottom="280" w:left="1080" w:right="720"/>
          <w:cols w:num="2" w:equalWidth="0">
            <w:col w:w="2784" w:space="40"/>
            <w:col w:w="7616"/>
          </w:cols>
        </w:sectPr>
      </w:pPr>
    </w:p>
    <w:p>
      <w:pPr>
        <w:pStyle w:val="BodyText"/>
        <w:spacing w:before="204"/>
      </w:pPr>
      <w:r>
        <w:rPr/>
        <w:t>612:1-18-10.</w:t>
      </w:r>
      <w:r>
        <w:rPr>
          <w:spacing w:val="60"/>
          <w:w w:val="150"/>
        </w:rPr>
        <w:t> </w:t>
      </w:r>
      <w:r>
        <w:rPr/>
        <w:t>Program</w:t>
      </w:r>
      <w:r>
        <w:rPr>
          <w:spacing w:val="-3"/>
        </w:rPr>
        <w:t> </w:t>
      </w:r>
      <w:r>
        <w:rPr>
          <w:spacing w:val="-2"/>
        </w:rPr>
        <w:t>Standards</w:t>
      </w:r>
    </w:p>
    <w:p>
      <w:pPr>
        <w:pStyle w:val="Heading1"/>
        <w:spacing w:before="204"/>
      </w:pPr>
      <w:r>
        <w:rPr/>
        <w:t>PART</w:t>
      </w:r>
      <w:r>
        <w:rPr>
          <w:spacing w:val="-3"/>
        </w:rPr>
        <w:t> </w:t>
      </w:r>
      <w:r>
        <w:rPr/>
        <w:t>5.</w:t>
      </w:r>
      <w:r>
        <w:rPr>
          <w:spacing w:val="-3"/>
        </w:rPr>
        <w:t> </w:t>
      </w:r>
      <w:r>
        <w:rPr/>
        <w:t>CASE</w:t>
      </w:r>
      <w:r>
        <w:rPr>
          <w:spacing w:val="-1"/>
        </w:rPr>
        <w:t> </w:t>
      </w:r>
      <w:r>
        <w:rPr>
          <w:spacing w:val="-2"/>
        </w:rPr>
        <w:t>REVIEW</w:t>
      </w:r>
    </w:p>
    <w:p>
      <w:pPr>
        <w:pStyle w:val="BodyText"/>
        <w:spacing w:before="204"/>
      </w:pPr>
      <w:r>
        <w:rPr>
          <w:spacing w:val="-2"/>
        </w:rPr>
        <w:t>Section</w:t>
      </w:r>
    </w:p>
    <w:p>
      <w:pPr>
        <w:pStyle w:val="BodyText"/>
        <w:spacing w:before="204"/>
      </w:pPr>
      <w:r>
        <w:rPr/>
        <w:t>612:1-18-20.</w:t>
      </w:r>
      <w:r>
        <w:rPr>
          <w:spacing w:val="61"/>
          <w:w w:val="150"/>
        </w:rPr>
        <w:t> </w:t>
      </w:r>
      <w:r>
        <w:rPr/>
        <w:t>Case</w:t>
      </w:r>
      <w:r>
        <w:rPr>
          <w:spacing w:val="-3"/>
        </w:rPr>
        <w:t> </w:t>
      </w:r>
      <w:r>
        <w:rPr>
          <w:spacing w:val="-2"/>
        </w:rPr>
        <w:t>Review</w:t>
      </w:r>
    </w:p>
    <w:p>
      <w:pPr>
        <w:spacing w:before="238"/>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1439" w:right="1515" w:hanging="1080"/>
        <w:jc w:val="left"/>
        <w:rPr>
          <w:sz w:val="22"/>
        </w:rPr>
      </w:pPr>
      <w:r>
        <w:rPr>
          <w:spacing w:val="-2"/>
          <w:sz w:val="22"/>
        </w:rPr>
        <w:t>9-11-20</w:t>
      </w:r>
      <w:r>
        <w:rPr>
          <w:sz w:val="22"/>
        </w:rPr>
        <w:tab/>
        <w:t>Permanent,</w:t>
      </w:r>
      <w:r>
        <w:rPr>
          <w:spacing w:val="-4"/>
          <w:sz w:val="22"/>
        </w:rPr>
        <w:t> </w:t>
      </w:r>
      <w:r>
        <w:rPr>
          <w:sz w:val="22"/>
        </w:rPr>
        <w:t>Rule</w:t>
      </w:r>
      <w:r>
        <w:rPr>
          <w:spacing w:val="-5"/>
          <w:sz w:val="22"/>
        </w:rPr>
        <w:t> </w:t>
      </w:r>
      <w:r>
        <w:rPr>
          <w:sz w:val="22"/>
        </w:rPr>
        <w:t>implemented.</w:t>
      </w:r>
      <w:r>
        <w:rPr>
          <w:spacing w:val="40"/>
          <w:sz w:val="22"/>
        </w:rPr>
        <w:t> </w:t>
      </w:r>
      <w:r>
        <w:rPr>
          <w:sz w:val="22"/>
        </w:rPr>
        <w:t>This</w:t>
      </w:r>
      <w:r>
        <w:rPr>
          <w:spacing w:val="-6"/>
          <w:sz w:val="22"/>
        </w:rPr>
        <w:t> </w:t>
      </w:r>
      <w:r>
        <w:rPr>
          <w:sz w:val="22"/>
        </w:rPr>
        <w:t>section</w:t>
      </w:r>
      <w:r>
        <w:rPr>
          <w:spacing w:val="-5"/>
          <w:sz w:val="22"/>
        </w:rPr>
        <w:t> </w:t>
      </w:r>
      <w:r>
        <w:rPr>
          <w:sz w:val="22"/>
        </w:rPr>
        <w:t>replaces</w:t>
      </w:r>
      <w:r>
        <w:rPr>
          <w:spacing w:val="-5"/>
          <w:sz w:val="22"/>
        </w:rPr>
        <w:t> </w:t>
      </w:r>
      <w:r>
        <w:rPr>
          <w:sz w:val="22"/>
        </w:rPr>
        <w:t>revoked</w:t>
      </w:r>
      <w:r>
        <w:rPr>
          <w:spacing w:val="-5"/>
          <w:sz w:val="22"/>
        </w:rPr>
        <w:t> </w:t>
      </w:r>
      <w:r>
        <w:rPr>
          <w:sz w:val="22"/>
        </w:rPr>
        <w:t>Subchapter</w:t>
      </w:r>
      <w:r>
        <w:rPr>
          <w:spacing w:val="-5"/>
          <w:sz w:val="22"/>
        </w:rPr>
        <w:t> </w:t>
      </w:r>
      <w:r>
        <w:rPr>
          <w:sz w:val="22"/>
        </w:rPr>
        <w:t>5, Process Improvement.</w:t>
      </w:r>
    </w:p>
    <w:p>
      <w:pPr>
        <w:spacing w:after="0"/>
        <w:jc w:val="left"/>
        <w:rPr>
          <w:sz w:val="22"/>
        </w:rPr>
        <w:sectPr>
          <w:type w:val="continuous"/>
          <w:pgSz w:w="12240" w:h="15840"/>
          <w:pgMar w:top="1820" w:bottom="280" w:left="1080" w:right="720"/>
        </w:sectPr>
      </w:pPr>
    </w:p>
    <w:p>
      <w:pPr>
        <w:pStyle w:val="Heading1"/>
        <w:ind w:right="777"/>
      </w:pPr>
      <w:bookmarkStart w:name="PART 1. GENERAL PROVISIONS" w:id="69"/>
      <w:bookmarkEnd w:id="69"/>
      <w:r>
        <w:rPr>
          <w:b w:val="0"/>
        </w:rPr>
      </w:r>
      <w:r>
        <w:rPr/>
        <w:t>PART</w:t>
      </w:r>
      <w:r>
        <w:rPr>
          <w:spacing w:val="-2"/>
        </w:rPr>
        <w:t> </w:t>
      </w:r>
      <w:r>
        <w:rPr/>
        <w:t>1.</w:t>
      </w:r>
      <w:r>
        <w:rPr>
          <w:spacing w:val="-3"/>
        </w:rPr>
        <w:t> </w:t>
      </w:r>
      <w:r>
        <w:rPr/>
        <w:t>GENERAL</w:t>
      </w:r>
      <w:r>
        <w:rPr>
          <w:spacing w:val="-2"/>
        </w:rPr>
        <w:t> PROVISIONS</w:t>
      </w:r>
    </w:p>
    <w:p>
      <w:pPr>
        <w:pStyle w:val="BodyText"/>
        <w:spacing w:before="204"/>
      </w:pPr>
      <w:r>
        <w:rPr>
          <w:spacing w:val="-2"/>
        </w:rPr>
        <w:t>Section</w:t>
      </w:r>
    </w:p>
    <w:p>
      <w:pPr>
        <w:pStyle w:val="BodyText"/>
        <w:tabs>
          <w:tab w:pos="1799" w:val="left" w:leader="none"/>
        </w:tabs>
        <w:spacing w:before="204"/>
      </w:pPr>
      <w:r>
        <w:rPr>
          <w:spacing w:val="-2"/>
        </w:rPr>
        <w:t>612:1-18-</w:t>
      </w:r>
      <w:r>
        <w:rPr>
          <w:spacing w:val="-5"/>
        </w:rPr>
        <w:t>1.</w:t>
      </w:r>
      <w:r>
        <w:rPr/>
        <w:tab/>
      </w:r>
      <w:r>
        <w:rPr>
          <w:spacing w:val="-2"/>
        </w:rPr>
        <w:t>Purpose</w:t>
      </w:r>
    </w:p>
    <w:p>
      <w:pPr>
        <w:pStyle w:val="BodyText"/>
        <w:spacing w:after="0"/>
        <w:sectPr>
          <w:pgSz w:w="12240" w:h="15840"/>
          <w:pgMar w:top="1340" w:bottom="280" w:left="1080" w:right="720"/>
        </w:sectPr>
      </w:pPr>
    </w:p>
    <w:p>
      <w:pPr>
        <w:pStyle w:val="Heading2"/>
      </w:pPr>
      <w:bookmarkStart w:name="612:1-18-1.  Purpose" w:id="70"/>
      <w:bookmarkEnd w:id="70"/>
      <w:r>
        <w:rPr>
          <w:b w:val="0"/>
        </w:rPr>
      </w:r>
      <w:r>
        <w:rPr/>
        <w:t>612:1-18-1.</w:t>
      </w:r>
      <w:r>
        <w:rPr>
          <w:spacing w:val="58"/>
        </w:rPr>
        <w:t> </w:t>
      </w:r>
      <w:r>
        <w:rPr>
          <w:spacing w:val="-2"/>
        </w:rPr>
        <w:t>Purpose</w:t>
      </w:r>
    </w:p>
    <w:p>
      <w:pPr>
        <w:pStyle w:val="BodyText"/>
        <w:spacing w:line="208" w:lineRule="auto" w:before="233"/>
        <w:ind w:right="1073"/>
        <w:jc w:val="both"/>
      </w:pPr>
      <w:r>
        <w:rPr/>
        <w:t>The purpose of this Chapter is to set forth the policies and procedures governing the operations</w:t>
      </w:r>
      <w:r>
        <w:rPr>
          <w:spacing w:val="-4"/>
        </w:rPr>
        <w:t> </w:t>
      </w:r>
      <w:r>
        <w:rPr/>
        <w:t>of</w:t>
      </w:r>
      <w:r>
        <w:rPr>
          <w:spacing w:val="-4"/>
        </w:rPr>
        <w:t> </w:t>
      </w:r>
      <w:r>
        <w:rPr/>
        <w:t>the</w:t>
      </w:r>
      <w:r>
        <w:rPr>
          <w:spacing w:val="-5"/>
        </w:rPr>
        <w:t> </w:t>
      </w:r>
      <w:r>
        <w:rPr/>
        <w:t>Process</w:t>
      </w:r>
      <w:r>
        <w:rPr>
          <w:spacing w:val="-5"/>
        </w:rPr>
        <w:t> </w:t>
      </w:r>
      <w:r>
        <w:rPr/>
        <w:t>Improvement</w:t>
      </w:r>
      <w:r>
        <w:rPr>
          <w:spacing w:val="-4"/>
        </w:rPr>
        <w:t> </w:t>
      </w:r>
      <w:r>
        <w:rPr/>
        <w:t>Unit</w:t>
      </w:r>
      <w:r>
        <w:rPr>
          <w:spacing w:val="-4"/>
        </w:rPr>
        <w:t> </w:t>
      </w:r>
      <w:r>
        <w:rPr/>
        <w:t>and</w:t>
      </w:r>
      <w:r>
        <w:rPr>
          <w:spacing w:val="-5"/>
        </w:rPr>
        <w:t> </w:t>
      </w:r>
      <w:r>
        <w:rPr/>
        <w:t>its</w:t>
      </w:r>
      <w:r>
        <w:rPr>
          <w:spacing w:val="-5"/>
        </w:rPr>
        <w:t> </w:t>
      </w:r>
      <w:r>
        <w:rPr/>
        <w:t>subsections,</w:t>
      </w:r>
      <w:r>
        <w:rPr>
          <w:spacing w:val="-4"/>
        </w:rPr>
        <w:t> </w:t>
      </w:r>
      <w:r>
        <w:rPr/>
        <w:t>Program</w:t>
      </w:r>
      <w:r>
        <w:rPr>
          <w:spacing w:val="-4"/>
        </w:rPr>
        <w:t> </w:t>
      </w:r>
      <w:r>
        <w:rPr/>
        <w:t>Standards and Case Review of the Department of Rehabilitation Services.</w:t>
      </w:r>
    </w:p>
    <w:p>
      <w:pPr>
        <w:spacing w:before="229"/>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1"/>
        <w:ind w:left="360" w:right="0" w:firstLine="0"/>
        <w:jc w:val="left"/>
        <w:rPr>
          <w:sz w:val="22"/>
        </w:rPr>
      </w:pPr>
      <w:r>
        <w:rPr>
          <w:spacing w:val="-2"/>
          <w:sz w:val="22"/>
        </w:rPr>
        <w:t>9-11-</w:t>
      </w:r>
      <w:r>
        <w:rPr>
          <w:spacing w:val="-5"/>
          <w:sz w:val="22"/>
        </w:rPr>
        <w:t>20</w:t>
      </w:r>
      <w:r>
        <w:rPr>
          <w:sz w:val="22"/>
        </w:rPr>
        <w:tab/>
        <w:t>Permanent,</w:t>
      </w:r>
      <w:r>
        <w:rPr>
          <w:spacing w:val="-7"/>
          <w:sz w:val="22"/>
        </w:rPr>
        <w:t> </w:t>
      </w:r>
      <w:r>
        <w:rPr>
          <w:sz w:val="22"/>
        </w:rPr>
        <w:t>Rule</w:t>
      </w:r>
      <w:r>
        <w:rPr>
          <w:spacing w:val="-8"/>
          <w:sz w:val="22"/>
        </w:rPr>
        <w:t> </w:t>
      </w:r>
      <w:r>
        <w:rPr>
          <w:sz w:val="22"/>
        </w:rPr>
        <w:t>implemented.</w:t>
      </w:r>
      <w:r>
        <w:rPr>
          <w:spacing w:val="47"/>
          <w:sz w:val="22"/>
        </w:rPr>
        <w:t> </w:t>
      </w:r>
      <w:r>
        <w:rPr>
          <w:sz w:val="22"/>
        </w:rPr>
        <w:t>This</w:t>
      </w:r>
      <w:r>
        <w:rPr>
          <w:spacing w:val="-9"/>
          <w:sz w:val="22"/>
        </w:rPr>
        <w:t> </w:t>
      </w:r>
      <w:r>
        <w:rPr>
          <w:sz w:val="22"/>
        </w:rPr>
        <w:t>replaces</w:t>
      </w:r>
      <w:r>
        <w:rPr>
          <w:spacing w:val="-7"/>
          <w:sz w:val="22"/>
        </w:rPr>
        <w:t> </w:t>
      </w:r>
      <w:r>
        <w:rPr>
          <w:sz w:val="22"/>
        </w:rPr>
        <w:t>revoked</w:t>
      </w:r>
      <w:r>
        <w:rPr>
          <w:spacing w:val="-8"/>
          <w:sz w:val="22"/>
        </w:rPr>
        <w:t> </w:t>
      </w:r>
      <w:r>
        <w:rPr>
          <w:sz w:val="22"/>
        </w:rPr>
        <w:t>rule</w:t>
      </w:r>
      <w:r>
        <w:rPr>
          <w:spacing w:val="-7"/>
          <w:sz w:val="22"/>
        </w:rPr>
        <w:t> </w:t>
      </w:r>
      <w:r>
        <w:rPr>
          <w:sz w:val="22"/>
        </w:rPr>
        <w:t>612:3-5-1</w:t>
      </w:r>
      <w:r>
        <w:rPr>
          <w:spacing w:val="-8"/>
          <w:sz w:val="22"/>
        </w:rPr>
        <w:t> </w:t>
      </w:r>
      <w:r>
        <w:rPr>
          <w:spacing w:val="-2"/>
          <w:sz w:val="22"/>
        </w:rPr>
        <w:t>Purpose.</w:t>
      </w:r>
    </w:p>
    <w:p>
      <w:pPr>
        <w:spacing w:after="0"/>
        <w:jc w:val="left"/>
        <w:rPr>
          <w:sz w:val="22"/>
        </w:rPr>
        <w:sectPr>
          <w:pgSz w:w="12240" w:h="15840"/>
          <w:pgMar w:top="1340" w:bottom="280" w:left="1080" w:right="720"/>
        </w:sectPr>
      </w:pPr>
    </w:p>
    <w:p>
      <w:pPr>
        <w:pStyle w:val="Heading1"/>
        <w:ind w:right="777"/>
      </w:pPr>
      <w:bookmarkStart w:name="PART 3. PROGRAM STANDARDS" w:id="71"/>
      <w:bookmarkEnd w:id="71"/>
      <w:r>
        <w:rPr>
          <w:b w:val="0"/>
        </w:rPr>
      </w:r>
      <w:r>
        <w:rPr/>
        <w:t>PART</w:t>
      </w:r>
      <w:r>
        <w:rPr>
          <w:spacing w:val="-2"/>
        </w:rPr>
        <w:t> </w:t>
      </w:r>
      <w:r>
        <w:rPr/>
        <w:t>3.</w:t>
      </w:r>
      <w:r>
        <w:rPr>
          <w:spacing w:val="-3"/>
        </w:rPr>
        <w:t> </w:t>
      </w:r>
      <w:r>
        <w:rPr/>
        <w:t>PROGRAM</w:t>
      </w:r>
      <w:r>
        <w:rPr>
          <w:spacing w:val="-2"/>
        </w:rPr>
        <w:t> STANDARDS</w:t>
      </w:r>
    </w:p>
    <w:p>
      <w:pPr>
        <w:pStyle w:val="BodyText"/>
        <w:spacing w:before="204"/>
      </w:pPr>
      <w:r>
        <w:rPr>
          <w:spacing w:val="-2"/>
        </w:rPr>
        <w:t>Section</w:t>
      </w:r>
    </w:p>
    <w:p>
      <w:pPr>
        <w:pStyle w:val="BodyText"/>
        <w:spacing w:before="204"/>
      </w:pPr>
      <w:r>
        <w:rPr/>
        <w:t>612:1-18-10.</w:t>
      </w:r>
      <w:r>
        <w:rPr>
          <w:spacing w:val="5"/>
        </w:rPr>
        <w:t> </w:t>
      </w:r>
      <w:r>
        <w:rPr/>
        <w:t>Program</w:t>
      </w:r>
      <w:r>
        <w:rPr>
          <w:spacing w:val="-4"/>
        </w:rPr>
        <w:t> </w:t>
      </w:r>
      <w:r>
        <w:rPr>
          <w:spacing w:val="-2"/>
        </w:rPr>
        <w:t>Standards</w:t>
      </w:r>
    </w:p>
    <w:p>
      <w:pPr>
        <w:pStyle w:val="BodyText"/>
        <w:spacing w:after="0"/>
        <w:sectPr>
          <w:pgSz w:w="12240" w:h="15840"/>
          <w:pgMar w:top="1340" w:bottom="280" w:left="1080" w:right="720"/>
        </w:sectPr>
      </w:pPr>
    </w:p>
    <w:p>
      <w:pPr>
        <w:pStyle w:val="Heading2"/>
      </w:pPr>
      <w:bookmarkStart w:name="612:1-18-10.  Program Standards" w:id="72"/>
      <w:bookmarkEnd w:id="72"/>
      <w:r>
        <w:rPr>
          <w:b w:val="0"/>
        </w:rPr>
      </w:r>
      <w:r>
        <w:rPr/>
        <w:t>612:1-18-10.</w:t>
      </w:r>
      <w:r>
        <w:rPr>
          <w:spacing w:val="59"/>
        </w:rPr>
        <w:t> </w:t>
      </w:r>
      <w:r>
        <w:rPr/>
        <w:t>Program</w:t>
      </w:r>
      <w:r>
        <w:rPr>
          <w:spacing w:val="-4"/>
        </w:rPr>
        <w:t> </w:t>
      </w:r>
      <w:r>
        <w:rPr>
          <w:spacing w:val="-2"/>
        </w:rPr>
        <w:t>Standards</w:t>
      </w:r>
    </w:p>
    <w:p>
      <w:pPr>
        <w:pStyle w:val="ListParagraph"/>
        <w:numPr>
          <w:ilvl w:val="0"/>
          <w:numId w:val="57"/>
        </w:numPr>
        <w:tabs>
          <w:tab w:pos="786" w:val="left" w:leader="none"/>
        </w:tabs>
        <w:spacing w:line="208" w:lineRule="auto" w:before="233" w:after="0"/>
        <w:ind w:left="360" w:right="753" w:firstLine="0"/>
        <w:jc w:val="left"/>
        <w:rPr>
          <w:sz w:val="24"/>
        </w:rPr>
      </w:pPr>
      <w:r>
        <w:rPr>
          <w:b/>
          <w:sz w:val="24"/>
        </w:rPr>
        <w:t>Purpose of Program Standards.</w:t>
      </w:r>
      <w:r>
        <w:rPr>
          <w:b/>
          <w:spacing w:val="40"/>
          <w:sz w:val="24"/>
        </w:rPr>
        <w:t> </w:t>
      </w:r>
      <w:r>
        <w:rPr>
          <w:sz w:val="24"/>
        </w:rPr>
        <w:t>The purpose of the Program Standards Section is</w:t>
      </w:r>
      <w:r>
        <w:rPr>
          <w:spacing w:val="-4"/>
          <w:sz w:val="24"/>
        </w:rPr>
        <w:t> </w:t>
      </w:r>
      <w:r>
        <w:rPr>
          <w:sz w:val="24"/>
        </w:rPr>
        <w:t>to</w:t>
      </w:r>
      <w:r>
        <w:rPr>
          <w:spacing w:val="-4"/>
          <w:sz w:val="24"/>
        </w:rPr>
        <w:t> </w:t>
      </w:r>
      <w:r>
        <w:rPr>
          <w:sz w:val="24"/>
        </w:rPr>
        <w:t>inform</w:t>
      </w:r>
      <w:r>
        <w:rPr>
          <w:spacing w:val="-5"/>
          <w:sz w:val="24"/>
        </w:rPr>
        <w:t> </w:t>
      </w:r>
      <w:r>
        <w:rPr>
          <w:sz w:val="24"/>
        </w:rPr>
        <w:t>agency</w:t>
      </w:r>
      <w:r>
        <w:rPr>
          <w:spacing w:val="-4"/>
          <w:sz w:val="24"/>
        </w:rPr>
        <w:t> </w:t>
      </w:r>
      <w:r>
        <w:rPr>
          <w:sz w:val="24"/>
        </w:rPr>
        <w:t>strategic</w:t>
      </w:r>
      <w:r>
        <w:rPr>
          <w:spacing w:val="-4"/>
          <w:sz w:val="24"/>
        </w:rPr>
        <w:t> </w:t>
      </w:r>
      <w:r>
        <w:rPr>
          <w:sz w:val="24"/>
        </w:rPr>
        <w:t>decision-making</w:t>
      </w:r>
      <w:r>
        <w:rPr>
          <w:spacing w:val="-4"/>
          <w:sz w:val="24"/>
        </w:rPr>
        <w:t> </w:t>
      </w:r>
      <w:r>
        <w:rPr>
          <w:sz w:val="24"/>
        </w:rPr>
        <w:t>and</w:t>
      </w:r>
      <w:r>
        <w:rPr>
          <w:spacing w:val="-4"/>
          <w:sz w:val="24"/>
        </w:rPr>
        <w:t> </w:t>
      </w:r>
      <w:r>
        <w:rPr>
          <w:sz w:val="24"/>
        </w:rPr>
        <w:t>support</w:t>
      </w:r>
      <w:r>
        <w:rPr>
          <w:spacing w:val="-3"/>
          <w:sz w:val="24"/>
        </w:rPr>
        <w:t> </w:t>
      </w:r>
      <w:r>
        <w:rPr>
          <w:sz w:val="24"/>
        </w:rPr>
        <w:t>agency</w:t>
      </w:r>
      <w:r>
        <w:rPr>
          <w:spacing w:val="-5"/>
          <w:sz w:val="24"/>
        </w:rPr>
        <w:t> </w:t>
      </w:r>
      <w:r>
        <w:rPr>
          <w:sz w:val="24"/>
        </w:rPr>
        <w:t>programs</w:t>
      </w:r>
      <w:r>
        <w:rPr>
          <w:spacing w:val="-4"/>
          <w:sz w:val="24"/>
        </w:rPr>
        <w:t> </w:t>
      </w:r>
      <w:r>
        <w:rPr>
          <w:sz w:val="24"/>
        </w:rPr>
        <w:t>through</w:t>
      </w:r>
      <w:r>
        <w:rPr>
          <w:spacing w:val="-4"/>
          <w:sz w:val="24"/>
        </w:rPr>
        <w:t> </w:t>
      </w:r>
      <w:r>
        <w:rPr>
          <w:sz w:val="24"/>
        </w:rPr>
        <w:t>the use of research, statistical analysis, program evaluation and process improvement methodologies aimed at improving programmatic outcomes.</w:t>
      </w:r>
    </w:p>
    <w:p>
      <w:pPr>
        <w:pStyle w:val="ListParagraph"/>
        <w:numPr>
          <w:ilvl w:val="0"/>
          <w:numId w:val="57"/>
        </w:numPr>
        <w:tabs>
          <w:tab w:pos="786" w:val="left" w:leader="none"/>
        </w:tabs>
        <w:spacing w:line="208" w:lineRule="auto" w:before="239" w:after="0"/>
        <w:ind w:left="360" w:right="1075" w:firstLine="0"/>
        <w:jc w:val="left"/>
        <w:rPr>
          <w:sz w:val="24"/>
        </w:rPr>
      </w:pPr>
      <w:r>
        <w:rPr>
          <w:b/>
          <w:sz w:val="24"/>
        </w:rPr>
        <w:t>Responsibilities</w:t>
      </w:r>
      <w:r>
        <w:rPr>
          <w:b/>
          <w:spacing w:val="-6"/>
          <w:sz w:val="24"/>
        </w:rPr>
        <w:t> </w:t>
      </w:r>
      <w:r>
        <w:rPr>
          <w:b/>
          <w:sz w:val="24"/>
        </w:rPr>
        <w:t>of</w:t>
      </w:r>
      <w:r>
        <w:rPr>
          <w:b/>
          <w:spacing w:val="-4"/>
          <w:sz w:val="24"/>
        </w:rPr>
        <w:t> </w:t>
      </w:r>
      <w:r>
        <w:rPr>
          <w:b/>
          <w:sz w:val="24"/>
        </w:rPr>
        <w:t>Program</w:t>
      </w:r>
      <w:r>
        <w:rPr>
          <w:b/>
          <w:spacing w:val="-5"/>
          <w:sz w:val="24"/>
        </w:rPr>
        <w:t> </w:t>
      </w:r>
      <w:r>
        <w:rPr>
          <w:b/>
          <w:sz w:val="24"/>
        </w:rPr>
        <w:t>Standards.</w:t>
      </w:r>
      <w:r>
        <w:rPr>
          <w:b/>
          <w:spacing w:val="40"/>
          <w:sz w:val="24"/>
        </w:rPr>
        <w:t> </w:t>
      </w:r>
      <w:r>
        <w:rPr>
          <w:sz w:val="24"/>
        </w:rPr>
        <w:t>Program</w:t>
      </w:r>
      <w:r>
        <w:rPr>
          <w:spacing w:val="-4"/>
          <w:sz w:val="24"/>
        </w:rPr>
        <w:t> </w:t>
      </w:r>
      <w:r>
        <w:rPr>
          <w:sz w:val="24"/>
        </w:rPr>
        <w:t>Standards</w:t>
      </w:r>
      <w:r>
        <w:rPr>
          <w:spacing w:val="-5"/>
          <w:sz w:val="24"/>
        </w:rPr>
        <w:t> </w:t>
      </w:r>
      <w:r>
        <w:rPr>
          <w:sz w:val="24"/>
        </w:rPr>
        <w:t>staff</w:t>
      </w:r>
      <w:r>
        <w:rPr>
          <w:spacing w:val="-6"/>
          <w:sz w:val="24"/>
        </w:rPr>
        <w:t> </w:t>
      </w:r>
      <w:r>
        <w:rPr>
          <w:sz w:val="24"/>
        </w:rPr>
        <w:t>are</w:t>
      </w:r>
      <w:r>
        <w:rPr>
          <w:spacing w:val="-6"/>
          <w:sz w:val="24"/>
        </w:rPr>
        <w:t> </w:t>
      </w:r>
      <w:r>
        <w:rPr>
          <w:sz w:val="24"/>
        </w:rPr>
        <w:t>charged with supporting agency programs by:</w:t>
      </w:r>
    </w:p>
    <w:p>
      <w:pPr>
        <w:pStyle w:val="ListParagraph"/>
        <w:numPr>
          <w:ilvl w:val="1"/>
          <w:numId w:val="57"/>
        </w:numPr>
        <w:tabs>
          <w:tab w:pos="1218" w:val="left" w:leader="none"/>
        </w:tabs>
        <w:spacing w:line="208" w:lineRule="auto" w:before="240" w:after="0"/>
        <w:ind w:left="792" w:right="1546" w:firstLine="0"/>
        <w:jc w:val="left"/>
        <w:rPr>
          <w:sz w:val="24"/>
        </w:rPr>
      </w:pPr>
      <w:r>
        <w:rPr>
          <w:sz w:val="24"/>
        </w:rPr>
        <w:t>Conducting</w:t>
      </w:r>
      <w:r>
        <w:rPr>
          <w:spacing w:val="-4"/>
          <w:sz w:val="24"/>
        </w:rPr>
        <w:t> </w:t>
      </w:r>
      <w:r>
        <w:rPr>
          <w:sz w:val="24"/>
        </w:rPr>
        <w:t>studies</w:t>
      </w:r>
      <w:r>
        <w:rPr>
          <w:spacing w:val="-4"/>
          <w:sz w:val="24"/>
        </w:rPr>
        <w:t> </w:t>
      </w:r>
      <w:r>
        <w:rPr>
          <w:sz w:val="24"/>
        </w:rPr>
        <w:t>and</w:t>
      </w:r>
      <w:r>
        <w:rPr>
          <w:spacing w:val="-4"/>
          <w:sz w:val="24"/>
        </w:rPr>
        <w:t> </w:t>
      </w:r>
      <w:r>
        <w:rPr>
          <w:sz w:val="24"/>
        </w:rPr>
        <w:t>surveys</w:t>
      </w:r>
      <w:r>
        <w:rPr>
          <w:spacing w:val="-4"/>
          <w:sz w:val="24"/>
        </w:rPr>
        <w:t> </w:t>
      </w:r>
      <w:r>
        <w:rPr>
          <w:sz w:val="24"/>
        </w:rPr>
        <w:t>of</w:t>
      </w:r>
      <w:r>
        <w:rPr>
          <w:spacing w:val="-3"/>
          <w:sz w:val="24"/>
        </w:rPr>
        <w:t> </w:t>
      </w:r>
      <w:r>
        <w:rPr>
          <w:sz w:val="24"/>
        </w:rPr>
        <w:t>agency</w:t>
      </w:r>
      <w:r>
        <w:rPr>
          <w:spacing w:val="-4"/>
          <w:sz w:val="24"/>
        </w:rPr>
        <w:t> </w:t>
      </w:r>
      <w:r>
        <w:rPr>
          <w:sz w:val="24"/>
        </w:rPr>
        <w:t>staff,</w:t>
      </w:r>
      <w:r>
        <w:rPr>
          <w:spacing w:val="-3"/>
          <w:sz w:val="24"/>
        </w:rPr>
        <w:t> </w:t>
      </w:r>
      <w:r>
        <w:rPr>
          <w:sz w:val="24"/>
        </w:rPr>
        <w:t>clients</w:t>
      </w:r>
      <w:r>
        <w:rPr>
          <w:spacing w:val="-4"/>
          <w:sz w:val="24"/>
        </w:rPr>
        <w:t> </w:t>
      </w:r>
      <w:r>
        <w:rPr>
          <w:sz w:val="24"/>
        </w:rPr>
        <w:t>and</w:t>
      </w:r>
      <w:r>
        <w:rPr>
          <w:spacing w:val="-4"/>
          <w:sz w:val="24"/>
        </w:rPr>
        <w:t> </w:t>
      </w:r>
      <w:r>
        <w:rPr>
          <w:sz w:val="24"/>
        </w:rPr>
        <w:t>the</w:t>
      </w:r>
      <w:r>
        <w:rPr>
          <w:spacing w:val="-4"/>
          <w:sz w:val="24"/>
        </w:rPr>
        <w:t> </w:t>
      </w:r>
      <w:r>
        <w:rPr>
          <w:sz w:val="24"/>
        </w:rPr>
        <w:t>public</w:t>
      </w:r>
      <w:r>
        <w:rPr>
          <w:spacing w:val="-4"/>
          <w:sz w:val="24"/>
        </w:rPr>
        <w:t> </w:t>
      </w:r>
      <w:r>
        <w:rPr>
          <w:sz w:val="24"/>
        </w:rPr>
        <w:t>to determine opinions and needs regarding agency programs;</w:t>
      </w:r>
    </w:p>
    <w:p>
      <w:pPr>
        <w:pStyle w:val="ListParagraph"/>
        <w:numPr>
          <w:ilvl w:val="1"/>
          <w:numId w:val="57"/>
        </w:numPr>
        <w:tabs>
          <w:tab w:pos="1218" w:val="left" w:leader="none"/>
        </w:tabs>
        <w:spacing w:line="208" w:lineRule="auto" w:before="240" w:after="0"/>
        <w:ind w:left="792" w:right="1148" w:firstLine="0"/>
        <w:jc w:val="left"/>
        <w:rPr>
          <w:sz w:val="24"/>
        </w:rPr>
      </w:pPr>
      <w:r>
        <w:rPr>
          <w:sz w:val="24"/>
        </w:rPr>
        <w:t>Analyzing statistical data collected either by the agency or obtained from recognized external data sources regarding client demographics, behavior, participation,</w:t>
      </w:r>
      <w:r>
        <w:rPr>
          <w:spacing w:val="-4"/>
          <w:sz w:val="24"/>
        </w:rPr>
        <w:t> </w:t>
      </w:r>
      <w:r>
        <w:rPr>
          <w:sz w:val="24"/>
        </w:rPr>
        <w:t>needs</w:t>
      </w:r>
      <w:r>
        <w:rPr>
          <w:spacing w:val="-5"/>
          <w:sz w:val="24"/>
        </w:rPr>
        <w:t> </w:t>
      </w:r>
      <w:r>
        <w:rPr>
          <w:sz w:val="24"/>
        </w:rPr>
        <w:t>and</w:t>
      </w:r>
      <w:r>
        <w:rPr>
          <w:spacing w:val="-5"/>
          <w:sz w:val="24"/>
        </w:rPr>
        <w:t> </w:t>
      </w:r>
      <w:r>
        <w:rPr>
          <w:sz w:val="24"/>
        </w:rPr>
        <w:t>outcomes</w:t>
      </w:r>
      <w:r>
        <w:rPr>
          <w:spacing w:val="-5"/>
          <w:sz w:val="24"/>
        </w:rPr>
        <w:t> </w:t>
      </w:r>
      <w:r>
        <w:rPr>
          <w:sz w:val="24"/>
        </w:rPr>
        <w:t>to</w:t>
      </w:r>
      <w:r>
        <w:rPr>
          <w:spacing w:val="-5"/>
          <w:sz w:val="24"/>
        </w:rPr>
        <w:t> </w:t>
      </w:r>
      <w:r>
        <w:rPr>
          <w:sz w:val="24"/>
        </w:rPr>
        <w:t>inform</w:t>
      </w:r>
      <w:r>
        <w:rPr>
          <w:spacing w:val="-4"/>
          <w:sz w:val="24"/>
        </w:rPr>
        <w:t> </w:t>
      </w:r>
      <w:r>
        <w:rPr>
          <w:sz w:val="24"/>
        </w:rPr>
        <w:t>program</w:t>
      </w:r>
      <w:r>
        <w:rPr>
          <w:spacing w:val="-7"/>
          <w:sz w:val="24"/>
        </w:rPr>
        <w:t> </w:t>
      </w:r>
      <w:r>
        <w:rPr>
          <w:sz w:val="24"/>
        </w:rPr>
        <w:t>administrators</w:t>
      </w:r>
      <w:r>
        <w:rPr>
          <w:spacing w:val="-5"/>
          <w:sz w:val="24"/>
        </w:rPr>
        <w:t> </w:t>
      </w:r>
      <w:r>
        <w:rPr>
          <w:sz w:val="24"/>
        </w:rPr>
        <w:t>and</w:t>
      </w:r>
      <w:r>
        <w:rPr>
          <w:spacing w:val="-5"/>
          <w:sz w:val="24"/>
        </w:rPr>
        <w:t> </w:t>
      </w:r>
      <w:r>
        <w:rPr>
          <w:sz w:val="24"/>
        </w:rPr>
        <w:t>agency </w:t>
      </w:r>
      <w:r>
        <w:rPr>
          <w:spacing w:val="-2"/>
          <w:sz w:val="24"/>
        </w:rPr>
        <w:t>leadership;</w:t>
      </w:r>
    </w:p>
    <w:p>
      <w:pPr>
        <w:pStyle w:val="ListParagraph"/>
        <w:numPr>
          <w:ilvl w:val="1"/>
          <w:numId w:val="57"/>
        </w:numPr>
        <w:tabs>
          <w:tab w:pos="1218" w:val="left" w:leader="none"/>
        </w:tabs>
        <w:spacing w:line="208" w:lineRule="auto" w:before="240" w:after="0"/>
        <w:ind w:left="792" w:right="1628" w:firstLine="0"/>
        <w:jc w:val="left"/>
        <w:rPr>
          <w:sz w:val="24"/>
        </w:rPr>
      </w:pPr>
      <w:r>
        <w:rPr>
          <w:sz w:val="24"/>
        </w:rPr>
        <w:t>Applying</w:t>
      </w:r>
      <w:r>
        <w:rPr>
          <w:spacing w:val="-6"/>
          <w:sz w:val="24"/>
        </w:rPr>
        <w:t> </w:t>
      </w:r>
      <w:r>
        <w:rPr>
          <w:sz w:val="24"/>
        </w:rPr>
        <w:t>program</w:t>
      </w:r>
      <w:r>
        <w:rPr>
          <w:spacing w:val="-7"/>
          <w:sz w:val="24"/>
        </w:rPr>
        <w:t> </w:t>
      </w:r>
      <w:r>
        <w:rPr>
          <w:sz w:val="24"/>
        </w:rPr>
        <w:t>evaluation</w:t>
      </w:r>
      <w:r>
        <w:rPr>
          <w:spacing w:val="-6"/>
          <w:sz w:val="24"/>
        </w:rPr>
        <w:t> </w:t>
      </w:r>
      <w:r>
        <w:rPr>
          <w:sz w:val="24"/>
        </w:rPr>
        <w:t>methodologies</w:t>
      </w:r>
      <w:r>
        <w:rPr>
          <w:spacing w:val="-6"/>
          <w:sz w:val="24"/>
        </w:rPr>
        <w:t> </w:t>
      </w:r>
      <w:r>
        <w:rPr>
          <w:sz w:val="24"/>
        </w:rPr>
        <w:t>to</w:t>
      </w:r>
      <w:r>
        <w:rPr>
          <w:spacing w:val="-6"/>
          <w:sz w:val="24"/>
        </w:rPr>
        <w:t> </w:t>
      </w:r>
      <w:r>
        <w:rPr>
          <w:sz w:val="24"/>
        </w:rPr>
        <w:t>agency</w:t>
      </w:r>
      <w:r>
        <w:rPr>
          <w:spacing w:val="-6"/>
          <w:sz w:val="24"/>
        </w:rPr>
        <w:t> </w:t>
      </w:r>
      <w:r>
        <w:rPr>
          <w:sz w:val="24"/>
        </w:rPr>
        <w:t>programs,</w:t>
      </w:r>
      <w:r>
        <w:rPr>
          <w:spacing w:val="-5"/>
          <w:sz w:val="24"/>
        </w:rPr>
        <w:t> </w:t>
      </w:r>
      <w:r>
        <w:rPr>
          <w:sz w:val="24"/>
        </w:rPr>
        <w:t>either formative or summative, focused on process/implementation fidelity, outcomes/performance measures, or cost effectiveness/efficiency;</w:t>
      </w:r>
    </w:p>
    <w:p>
      <w:pPr>
        <w:pStyle w:val="ListParagraph"/>
        <w:numPr>
          <w:ilvl w:val="1"/>
          <w:numId w:val="57"/>
        </w:numPr>
        <w:tabs>
          <w:tab w:pos="1218" w:val="left" w:leader="none"/>
        </w:tabs>
        <w:spacing w:line="208" w:lineRule="auto" w:before="239" w:after="0"/>
        <w:ind w:left="792" w:right="787" w:firstLine="0"/>
        <w:jc w:val="left"/>
        <w:rPr>
          <w:sz w:val="24"/>
        </w:rPr>
      </w:pPr>
      <w:r>
        <w:rPr>
          <w:sz w:val="24"/>
        </w:rPr>
        <w:t>Through</w:t>
      </w:r>
      <w:r>
        <w:rPr>
          <w:spacing w:val="-4"/>
          <w:sz w:val="24"/>
        </w:rPr>
        <w:t> </w:t>
      </w:r>
      <w:r>
        <w:rPr>
          <w:sz w:val="24"/>
        </w:rPr>
        <w:t>the</w:t>
      </w:r>
      <w:r>
        <w:rPr>
          <w:spacing w:val="-4"/>
          <w:sz w:val="24"/>
        </w:rPr>
        <w:t> </w:t>
      </w:r>
      <w:r>
        <w:rPr>
          <w:sz w:val="24"/>
        </w:rPr>
        <w:t>use</w:t>
      </w:r>
      <w:r>
        <w:rPr>
          <w:spacing w:val="-4"/>
          <w:sz w:val="24"/>
        </w:rPr>
        <w:t> </w:t>
      </w:r>
      <w:r>
        <w:rPr>
          <w:sz w:val="24"/>
        </w:rPr>
        <w:t>of</w:t>
      </w:r>
      <w:r>
        <w:rPr>
          <w:spacing w:val="-3"/>
          <w:sz w:val="24"/>
        </w:rPr>
        <w:t> </w:t>
      </w:r>
      <w:r>
        <w:rPr>
          <w:sz w:val="24"/>
        </w:rPr>
        <w:t>Lean</w:t>
      </w:r>
      <w:r>
        <w:rPr>
          <w:spacing w:val="-4"/>
          <w:sz w:val="24"/>
        </w:rPr>
        <w:t> </w:t>
      </w:r>
      <w:r>
        <w:rPr>
          <w:sz w:val="24"/>
        </w:rPr>
        <w:t>and</w:t>
      </w:r>
      <w:r>
        <w:rPr>
          <w:spacing w:val="-4"/>
          <w:sz w:val="24"/>
        </w:rPr>
        <w:t> </w:t>
      </w:r>
      <w:r>
        <w:rPr>
          <w:sz w:val="24"/>
        </w:rPr>
        <w:t>Six</w:t>
      </w:r>
      <w:r>
        <w:rPr>
          <w:spacing w:val="-4"/>
          <w:sz w:val="24"/>
        </w:rPr>
        <w:t> </w:t>
      </w:r>
      <w:r>
        <w:rPr>
          <w:sz w:val="24"/>
        </w:rPr>
        <w:t>Sigma</w:t>
      </w:r>
      <w:r>
        <w:rPr>
          <w:spacing w:val="-3"/>
          <w:sz w:val="24"/>
        </w:rPr>
        <w:t> </w:t>
      </w:r>
      <w:r>
        <w:rPr>
          <w:sz w:val="24"/>
        </w:rPr>
        <w:t>methodologies,</w:t>
      </w:r>
      <w:r>
        <w:rPr>
          <w:spacing w:val="-3"/>
          <w:sz w:val="24"/>
        </w:rPr>
        <w:t> </w:t>
      </w:r>
      <w:r>
        <w:rPr>
          <w:sz w:val="24"/>
        </w:rPr>
        <w:t>facilitating</w:t>
      </w:r>
      <w:r>
        <w:rPr>
          <w:spacing w:val="-4"/>
          <w:sz w:val="24"/>
        </w:rPr>
        <w:t> </w:t>
      </w:r>
      <w:r>
        <w:rPr>
          <w:sz w:val="24"/>
        </w:rPr>
        <w:t>work</w:t>
      </w:r>
      <w:r>
        <w:rPr>
          <w:spacing w:val="-4"/>
          <w:sz w:val="24"/>
        </w:rPr>
        <w:t> </w:t>
      </w:r>
      <w:r>
        <w:rPr>
          <w:sz w:val="24"/>
        </w:rPr>
        <w:t>groups to analyze and streamline business processes, identify and correct areas of programmatic concern, and improve effectiveness and efficiency of programmatic </w:t>
      </w:r>
      <w:r>
        <w:rPr>
          <w:spacing w:val="-2"/>
          <w:sz w:val="24"/>
        </w:rPr>
        <w:t>flow;</w:t>
      </w:r>
    </w:p>
    <w:p>
      <w:pPr>
        <w:pStyle w:val="ListParagraph"/>
        <w:numPr>
          <w:ilvl w:val="1"/>
          <w:numId w:val="57"/>
        </w:numPr>
        <w:tabs>
          <w:tab w:pos="1218" w:val="left" w:leader="none"/>
        </w:tabs>
        <w:spacing w:line="208" w:lineRule="auto" w:before="240" w:after="0"/>
        <w:ind w:left="792" w:right="1948" w:firstLine="0"/>
        <w:jc w:val="left"/>
        <w:rPr>
          <w:sz w:val="24"/>
        </w:rPr>
      </w:pPr>
      <w:r>
        <w:rPr>
          <w:sz w:val="24"/>
        </w:rPr>
        <w:t>Verifying,</w:t>
      </w:r>
      <w:r>
        <w:rPr>
          <w:spacing w:val="-4"/>
          <w:sz w:val="24"/>
        </w:rPr>
        <w:t> </w:t>
      </w:r>
      <w:r>
        <w:rPr>
          <w:sz w:val="24"/>
        </w:rPr>
        <w:t>cleaning</w:t>
      </w:r>
      <w:r>
        <w:rPr>
          <w:spacing w:val="-4"/>
          <w:sz w:val="24"/>
        </w:rPr>
        <w:t> </w:t>
      </w:r>
      <w:r>
        <w:rPr>
          <w:sz w:val="24"/>
        </w:rPr>
        <w:t>and</w:t>
      </w:r>
      <w:r>
        <w:rPr>
          <w:spacing w:val="-5"/>
          <w:sz w:val="24"/>
        </w:rPr>
        <w:t> </w:t>
      </w:r>
      <w:r>
        <w:rPr>
          <w:sz w:val="24"/>
        </w:rPr>
        <w:t>reporting</w:t>
      </w:r>
      <w:r>
        <w:rPr>
          <w:spacing w:val="-5"/>
          <w:sz w:val="24"/>
        </w:rPr>
        <w:t> </w:t>
      </w:r>
      <w:r>
        <w:rPr>
          <w:sz w:val="24"/>
        </w:rPr>
        <w:t>data</w:t>
      </w:r>
      <w:r>
        <w:rPr>
          <w:spacing w:val="-5"/>
          <w:sz w:val="24"/>
        </w:rPr>
        <w:t> </w:t>
      </w:r>
      <w:r>
        <w:rPr>
          <w:sz w:val="24"/>
        </w:rPr>
        <w:t>to</w:t>
      </w:r>
      <w:r>
        <w:rPr>
          <w:spacing w:val="-5"/>
          <w:sz w:val="24"/>
        </w:rPr>
        <w:t> </w:t>
      </w:r>
      <w:r>
        <w:rPr>
          <w:sz w:val="24"/>
        </w:rPr>
        <w:t>the</w:t>
      </w:r>
      <w:r>
        <w:rPr>
          <w:spacing w:val="-5"/>
          <w:sz w:val="24"/>
        </w:rPr>
        <w:t> </w:t>
      </w:r>
      <w:r>
        <w:rPr>
          <w:sz w:val="24"/>
        </w:rPr>
        <w:t>Rehabilitations</w:t>
      </w:r>
      <w:r>
        <w:rPr>
          <w:spacing w:val="-5"/>
          <w:sz w:val="24"/>
        </w:rPr>
        <w:t> </w:t>
      </w:r>
      <w:r>
        <w:rPr>
          <w:sz w:val="24"/>
        </w:rPr>
        <w:t>Services Administration as required by federal regulation;</w:t>
      </w:r>
    </w:p>
    <w:p>
      <w:pPr>
        <w:pStyle w:val="ListParagraph"/>
        <w:numPr>
          <w:ilvl w:val="1"/>
          <w:numId w:val="57"/>
        </w:numPr>
        <w:tabs>
          <w:tab w:pos="1218" w:val="left" w:leader="none"/>
        </w:tabs>
        <w:spacing w:line="208" w:lineRule="auto" w:before="240" w:after="0"/>
        <w:ind w:left="792" w:right="1160" w:firstLine="0"/>
        <w:jc w:val="left"/>
        <w:rPr>
          <w:sz w:val="24"/>
        </w:rPr>
      </w:pPr>
      <w:r>
        <w:rPr>
          <w:sz w:val="24"/>
        </w:rPr>
        <w:t>Participating,</w:t>
      </w:r>
      <w:r>
        <w:rPr>
          <w:spacing w:val="-3"/>
          <w:sz w:val="24"/>
        </w:rPr>
        <w:t> </w:t>
      </w:r>
      <w:r>
        <w:rPr>
          <w:sz w:val="24"/>
        </w:rPr>
        <w:t>as</w:t>
      </w:r>
      <w:r>
        <w:rPr>
          <w:spacing w:val="-4"/>
          <w:sz w:val="24"/>
        </w:rPr>
        <w:t> </w:t>
      </w:r>
      <w:r>
        <w:rPr>
          <w:sz w:val="24"/>
        </w:rPr>
        <w:t>required,</w:t>
      </w:r>
      <w:r>
        <w:rPr>
          <w:spacing w:val="-3"/>
          <w:sz w:val="24"/>
        </w:rPr>
        <w:t> </w:t>
      </w:r>
      <w:r>
        <w:rPr>
          <w:sz w:val="24"/>
        </w:rPr>
        <w:t>in</w:t>
      </w:r>
      <w:r>
        <w:rPr>
          <w:spacing w:val="-4"/>
          <w:sz w:val="24"/>
        </w:rPr>
        <w:t> </w:t>
      </w:r>
      <w:r>
        <w:rPr>
          <w:sz w:val="24"/>
        </w:rPr>
        <w:t>external</w:t>
      </w:r>
      <w:r>
        <w:rPr>
          <w:spacing w:val="-4"/>
          <w:sz w:val="24"/>
        </w:rPr>
        <w:t> </w:t>
      </w:r>
      <w:r>
        <w:rPr>
          <w:sz w:val="24"/>
        </w:rPr>
        <w:t>auditing</w:t>
      </w:r>
      <w:r>
        <w:rPr>
          <w:spacing w:val="-4"/>
          <w:sz w:val="24"/>
        </w:rPr>
        <w:t> </w:t>
      </w:r>
      <w:r>
        <w:rPr>
          <w:sz w:val="24"/>
        </w:rPr>
        <w:t>procedures</w:t>
      </w:r>
      <w:r>
        <w:rPr>
          <w:spacing w:val="-4"/>
          <w:sz w:val="24"/>
        </w:rPr>
        <w:t> </w:t>
      </w:r>
      <w:r>
        <w:rPr>
          <w:sz w:val="24"/>
        </w:rPr>
        <w:t>by</w:t>
      </w:r>
      <w:r>
        <w:rPr>
          <w:spacing w:val="-4"/>
          <w:sz w:val="24"/>
        </w:rPr>
        <w:t> </w:t>
      </w:r>
      <w:r>
        <w:rPr>
          <w:sz w:val="24"/>
        </w:rPr>
        <w:t>state</w:t>
      </w:r>
      <w:r>
        <w:rPr>
          <w:spacing w:val="-4"/>
          <w:sz w:val="24"/>
        </w:rPr>
        <w:t> </w:t>
      </w:r>
      <w:r>
        <w:rPr>
          <w:sz w:val="24"/>
        </w:rPr>
        <w:t>or</w:t>
      </w:r>
      <w:r>
        <w:rPr>
          <w:spacing w:val="-3"/>
          <w:sz w:val="24"/>
        </w:rPr>
        <w:t> </w:t>
      </w:r>
      <w:r>
        <w:rPr>
          <w:sz w:val="24"/>
        </w:rPr>
        <w:t>federal </w:t>
      </w:r>
      <w:r>
        <w:rPr>
          <w:spacing w:val="-2"/>
          <w:sz w:val="24"/>
        </w:rPr>
        <w:t>entities;</w:t>
      </w:r>
    </w:p>
    <w:p>
      <w:pPr>
        <w:pStyle w:val="ListParagraph"/>
        <w:numPr>
          <w:ilvl w:val="1"/>
          <w:numId w:val="57"/>
        </w:numPr>
        <w:tabs>
          <w:tab w:pos="1217" w:val="left" w:leader="none"/>
        </w:tabs>
        <w:spacing w:line="208" w:lineRule="auto" w:before="240" w:after="0"/>
        <w:ind w:left="792" w:right="1882" w:firstLine="0"/>
        <w:jc w:val="left"/>
        <w:rPr>
          <w:sz w:val="24"/>
        </w:rPr>
      </w:pPr>
      <w:r>
        <w:rPr>
          <w:sz w:val="24"/>
        </w:rPr>
        <w:t>Monitoring</w:t>
      </w:r>
      <w:r>
        <w:rPr>
          <w:spacing w:val="-5"/>
          <w:sz w:val="24"/>
        </w:rPr>
        <w:t> </w:t>
      </w:r>
      <w:r>
        <w:rPr>
          <w:sz w:val="24"/>
        </w:rPr>
        <w:t>programmatic</w:t>
      </w:r>
      <w:r>
        <w:rPr>
          <w:spacing w:val="-5"/>
          <w:sz w:val="24"/>
        </w:rPr>
        <w:t> </w:t>
      </w:r>
      <w:r>
        <w:rPr>
          <w:sz w:val="24"/>
        </w:rPr>
        <w:t>outcomes</w:t>
      </w:r>
      <w:r>
        <w:rPr>
          <w:spacing w:val="-5"/>
          <w:sz w:val="24"/>
        </w:rPr>
        <w:t> </w:t>
      </w:r>
      <w:r>
        <w:rPr>
          <w:sz w:val="24"/>
        </w:rPr>
        <w:t>for</w:t>
      </w:r>
      <w:r>
        <w:rPr>
          <w:spacing w:val="-6"/>
          <w:sz w:val="24"/>
        </w:rPr>
        <w:t> </w:t>
      </w:r>
      <w:r>
        <w:rPr>
          <w:sz w:val="24"/>
        </w:rPr>
        <w:t>report</w:t>
      </w:r>
      <w:r>
        <w:rPr>
          <w:spacing w:val="-4"/>
          <w:sz w:val="24"/>
        </w:rPr>
        <w:t> </w:t>
      </w:r>
      <w:r>
        <w:rPr>
          <w:sz w:val="24"/>
        </w:rPr>
        <w:t>to</w:t>
      </w:r>
      <w:r>
        <w:rPr>
          <w:spacing w:val="-5"/>
          <w:sz w:val="24"/>
        </w:rPr>
        <w:t> </w:t>
      </w:r>
      <w:r>
        <w:rPr>
          <w:sz w:val="24"/>
        </w:rPr>
        <w:t>program</w:t>
      </w:r>
      <w:r>
        <w:rPr>
          <w:spacing w:val="-4"/>
          <w:sz w:val="24"/>
        </w:rPr>
        <w:t> </w:t>
      </w:r>
      <w:r>
        <w:rPr>
          <w:sz w:val="24"/>
        </w:rPr>
        <w:t>and</w:t>
      </w:r>
      <w:r>
        <w:rPr>
          <w:spacing w:val="-5"/>
          <w:sz w:val="24"/>
        </w:rPr>
        <w:t> </w:t>
      </w:r>
      <w:r>
        <w:rPr>
          <w:sz w:val="24"/>
        </w:rPr>
        <w:t>agency </w:t>
      </w:r>
      <w:r>
        <w:rPr>
          <w:spacing w:val="-2"/>
          <w:sz w:val="24"/>
        </w:rPr>
        <w:t>leadership.</w:t>
      </w:r>
    </w:p>
    <w:p>
      <w:pPr>
        <w:pStyle w:val="ListParagraph"/>
        <w:numPr>
          <w:ilvl w:val="0"/>
          <w:numId w:val="57"/>
        </w:numPr>
        <w:tabs>
          <w:tab w:pos="773" w:val="left" w:leader="none"/>
        </w:tabs>
        <w:spacing w:line="208" w:lineRule="auto" w:before="239" w:after="0"/>
        <w:ind w:left="360" w:right="912" w:firstLine="0"/>
        <w:jc w:val="left"/>
        <w:rPr>
          <w:sz w:val="24"/>
        </w:rPr>
      </w:pPr>
      <w:r>
        <w:rPr>
          <w:b/>
          <w:sz w:val="24"/>
        </w:rPr>
        <w:t>Federal</w:t>
      </w:r>
      <w:r>
        <w:rPr>
          <w:b/>
          <w:spacing w:val="-3"/>
          <w:sz w:val="24"/>
        </w:rPr>
        <w:t> </w:t>
      </w:r>
      <w:r>
        <w:rPr>
          <w:b/>
          <w:sz w:val="24"/>
        </w:rPr>
        <w:t>Data</w:t>
      </w:r>
      <w:r>
        <w:rPr>
          <w:b/>
          <w:spacing w:val="-4"/>
          <w:sz w:val="24"/>
        </w:rPr>
        <w:t> </w:t>
      </w:r>
      <w:r>
        <w:rPr>
          <w:b/>
          <w:sz w:val="24"/>
        </w:rPr>
        <w:t>Reporting.</w:t>
      </w:r>
      <w:r>
        <w:rPr>
          <w:b/>
          <w:spacing w:val="40"/>
          <w:sz w:val="24"/>
        </w:rPr>
        <w:t> </w:t>
      </w:r>
      <w:r>
        <w:rPr>
          <w:sz w:val="24"/>
        </w:rPr>
        <w:t>Federal</w:t>
      </w:r>
      <w:r>
        <w:rPr>
          <w:spacing w:val="-4"/>
          <w:sz w:val="24"/>
        </w:rPr>
        <w:t> </w:t>
      </w:r>
      <w:r>
        <w:rPr>
          <w:sz w:val="24"/>
        </w:rPr>
        <w:t>regulation</w:t>
      </w:r>
      <w:r>
        <w:rPr>
          <w:spacing w:val="-4"/>
          <w:sz w:val="24"/>
        </w:rPr>
        <w:t> </w:t>
      </w:r>
      <w:r>
        <w:rPr>
          <w:sz w:val="24"/>
        </w:rPr>
        <w:t>requires</w:t>
      </w:r>
      <w:r>
        <w:rPr>
          <w:spacing w:val="-4"/>
          <w:sz w:val="24"/>
        </w:rPr>
        <w:t> </w:t>
      </w:r>
      <w:r>
        <w:rPr>
          <w:sz w:val="24"/>
        </w:rPr>
        <w:t>the</w:t>
      </w:r>
      <w:r>
        <w:rPr>
          <w:spacing w:val="-4"/>
          <w:sz w:val="24"/>
        </w:rPr>
        <w:t> </w:t>
      </w:r>
      <w:r>
        <w:rPr>
          <w:sz w:val="24"/>
        </w:rPr>
        <w:t>reporting</w:t>
      </w:r>
      <w:r>
        <w:rPr>
          <w:spacing w:val="-4"/>
          <w:sz w:val="24"/>
        </w:rPr>
        <w:t> </w:t>
      </w:r>
      <w:r>
        <w:rPr>
          <w:sz w:val="24"/>
        </w:rPr>
        <w:t>of</w:t>
      </w:r>
      <w:r>
        <w:rPr>
          <w:spacing w:val="-3"/>
          <w:sz w:val="24"/>
        </w:rPr>
        <w:t> </w:t>
      </w:r>
      <w:r>
        <w:rPr>
          <w:sz w:val="24"/>
        </w:rPr>
        <w:t>data</w:t>
      </w:r>
      <w:r>
        <w:rPr>
          <w:spacing w:val="-4"/>
          <w:sz w:val="24"/>
        </w:rPr>
        <w:t> </w:t>
      </w:r>
      <w:r>
        <w:rPr>
          <w:sz w:val="24"/>
        </w:rPr>
        <w:t>to</w:t>
      </w:r>
      <w:r>
        <w:rPr>
          <w:spacing w:val="-4"/>
          <w:sz w:val="24"/>
        </w:rPr>
        <w:t> </w:t>
      </w:r>
      <w:r>
        <w:rPr>
          <w:sz w:val="24"/>
        </w:rPr>
        <w:t>RSA on a periodic basis.</w:t>
      </w:r>
    </w:p>
    <w:p>
      <w:pPr>
        <w:pStyle w:val="ListParagraph"/>
        <w:numPr>
          <w:ilvl w:val="1"/>
          <w:numId w:val="57"/>
        </w:numPr>
        <w:tabs>
          <w:tab w:pos="1217" w:val="left" w:leader="none"/>
        </w:tabs>
        <w:spacing w:line="240" w:lineRule="auto" w:before="211" w:after="0"/>
        <w:ind w:left="1217" w:right="0" w:hanging="426"/>
        <w:jc w:val="left"/>
        <w:rPr>
          <w:sz w:val="24"/>
        </w:rPr>
      </w:pPr>
      <w:r>
        <w:rPr>
          <w:sz w:val="24"/>
        </w:rPr>
        <w:t>Data</w:t>
      </w:r>
      <w:r>
        <w:rPr>
          <w:spacing w:val="-5"/>
          <w:sz w:val="24"/>
        </w:rPr>
        <w:t> </w:t>
      </w:r>
      <w:r>
        <w:rPr>
          <w:sz w:val="24"/>
        </w:rPr>
        <w:t>will</w:t>
      </w:r>
      <w:r>
        <w:rPr>
          <w:spacing w:val="-3"/>
          <w:sz w:val="24"/>
        </w:rPr>
        <w:t> </w:t>
      </w:r>
      <w:r>
        <w:rPr>
          <w:sz w:val="24"/>
        </w:rPr>
        <w:t>be</w:t>
      </w:r>
      <w:r>
        <w:rPr>
          <w:spacing w:val="-3"/>
          <w:sz w:val="24"/>
        </w:rPr>
        <w:t> </w:t>
      </w:r>
      <w:r>
        <w:rPr>
          <w:sz w:val="24"/>
        </w:rPr>
        <w:t>cleaned,</w:t>
      </w:r>
      <w:r>
        <w:rPr>
          <w:spacing w:val="-2"/>
          <w:sz w:val="24"/>
        </w:rPr>
        <w:t> </w:t>
      </w:r>
      <w:r>
        <w:rPr>
          <w:sz w:val="24"/>
        </w:rPr>
        <w:t>verified,</w:t>
      </w:r>
      <w:r>
        <w:rPr>
          <w:spacing w:val="-4"/>
          <w:sz w:val="24"/>
        </w:rPr>
        <w:t> </w:t>
      </w:r>
      <w:r>
        <w:rPr>
          <w:sz w:val="24"/>
        </w:rPr>
        <w:t>and</w:t>
      </w:r>
      <w:r>
        <w:rPr>
          <w:spacing w:val="-2"/>
          <w:sz w:val="24"/>
        </w:rPr>
        <w:t> </w:t>
      </w:r>
      <w:r>
        <w:rPr>
          <w:sz w:val="24"/>
        </w:rPr>
        <w:t>if</w:t>
      </w:r>
      <w:r>
        <w:rPr>
          <w:spacing w:val="-2"/>
          <w:sz w:val="24"/>
        </w:rPr>
        <w:t> </w:t>
      </w:r>
      <w:r>
        <w:rPr>
          <w:sz w:val="24"/>
        </w:rPr>
        <w:t>necessary,</w:t>
      </w:r>
      <w:r>
        <w:rPr>
          <w:spacing w:val="-2"/>
          <w:sz w:val="24"/>
        </w:rPr>
        <w:t> </w:t>
      </w:r>
      <w:r>
        <w:rPr>
          <w:sz w:val="24"/>
        </w:rPr>
        <w:t>corrected</w:t>
      </w:r>
      <w:r>
        <w:rPr>
          <w:spacing w:val="-3"/>
          <w:sz w:val="24"/>
        </w:rPr>
        <w:t> </w:t>
      </w:r>
      <w:r>
        <w:rPr>
          <w:sz w:val="24"/>
        </w:rPr>
        <w:t>prior</w:t>
      </w:r>
      <w:r>
        <w:rPr>
          <w:spacing w:val="-4"/>
          <w:sz w:val="24"/>
        </w:rPr>
        <w:t> </w:t>
      </w:r>
      <w:r>
        <w:rPr>
          <w:sz w:val="24"/>
        </w:rPr>
        <w:t>to</w:t>
      </w:r>
      <w:r>
        <w:rPr>
          <w:spacing w:val="-2"/>
          <w:sz w:val="24"/>
        </w:rPr>
        <w:t> submission.</w:t>
      </w:r>
    </w:p>
    <w:p>
      <w:pPr>
        <w:pStyle w:val="ListParagraph"/>
        <w:numPr>
          <w:ilvl w:val="1"/>
          <w:numId w:val="57"/>
        </w:numPr>
        <w:tabs>
          <w:tab w:pos="1218" w:val="left" w:leader="none"/>
        </w:tabs>
        <w:spacing w:line="208" w:lineRule="auto" w:before="233" w:after="0"/>
        <w:ind w:left="792" w:right="1081" w:firstLine="0"/>
        <w:jc w:val="left"/>
        <w:rPr>
          <w:sz w:val="24"/>
        </w:rPr>
      </w:pPr>
      <w:r>
        <w:rPr>
          <w:sz w:val="24"/>
        </w:rPr>
        <w:t>Federal</w:t>
      </w:r>
      <w:r>
        <w:rPr>
          <w:spacing w:val="-3"/>
          <w:sz w:val="24"/>
        </w:rPr>
        <w:t> </w:t>
      </w:r>
      <w:r>
        <w:rPr>
          <w:sz w:val="24"/>
        </w:rPr>
        <w:t>reports</w:t>
      </w:r>
      <w:r>
        <w:rPr>
          <w:spacing w:val="-3"/>
          <w:sz w:val="24"/>
        </w:rPr>
        <w:t> </w:t>
      </w:r>
      <w:r>
        <w:rPr>
          <w:sz w:val="24"/>
        </w:rPr>
        <w:t>will</w:t>
      </w:r>
      <w:r>
        <w:rPr>
          <w:spacing w:val="-3"/>
          <w:sz w:val="24"/>
        </w:rPr>
        <w:t> </w:t>
      </w:r>
      <w:r>
        <w:rPr>
          <w:sz w:val="24"/>
        </w:rPr>
        <w:t>be</w:t>
      </w:r>
      <w:r>
        <w:rPr>
          <w:spacing w:val="-3"/>
          <w:sz w:val="24"/>
        </w:rPr>
        <w:t> </w:t>
      </w:r>
      <w:r>
        <w:rPr>
          <w:sz w:val="24"/>
        </w:rPr>
        <w:t>submitted</w:t>
      </w:r>
      <w:r>
        <w:rPr>
          <w:spacing w:val="-3"/>
          <w:sz w:val="24"/>
        </w:rPr>
        <w:t> </w:t>
      </w:r>
      <w:r>
        <w:rPr>
          <w:sz w:val="24"/>
        </w:rPr>
        <w:t>prior</w:t>
      </w:r>
      <w:r>
        <w:rPr>
          <w:spacing w:val="-3"/>
          <w:sz w:val="24"/>
        </w:rPr>
        <w:t> </w:t>
      </w:r>
      <w:r>
        <w:rPr>
          <w:sz w:val="24"/>
        </w:rPr>
        <w:t>to</w:t>
      </w:r>
      <w:r>
        <w:rPr>
          <w:spacing w:val="-4"/>
          <w:sz w:val="24"/>
        </w:rPr>
        <w:t> </w:t>
      </w:r>
      <w:r>
        <w:rPr>
          <w:sz w:val="24"/>
        </w:rPr>
        <w:t>or</w:t>
      </w:r>
      <w:r>
        <w:rPr>
          <w:spacing w:val="-3"/>
          <w:sz w:val="24"/>
        </w:rPr>
        <w:t> </w:t>
      </w:r>
      <w:r>
        <w:rPr>
          <w:sz w:val="24"/>
        </w:rPr>
        <w:t>on</w:t>
      </w:r>
      <w:r>
        <w:rPr>
          <w:spacing w:val="-3"/>
          <w:sz w:val="24"/>
        </w:rPr>
        <w:t> </w:t>
      </w:r>
      <w:r>
        <w:rPr>
          <w:sz w:val="24"/>
        </w:rPr>
        <w:t>the</w:t>
      </w:r>
      <w:r>
        <w:rPr>
          <w:spacing w:val="-3"/>
          <w:sz w:val="24"/>
        </w:rPr>
        <w:t> </w:t>
      </w:r>
      <w:r>
        <w:rPr>
          <w:sz w:val="24"/>
        </w:rPr>
        <w:t>deadline</w:t>
      </w:r>
      <w:r>
        <w:rPr>
          <w:spacing w:val="-3"/>
          <w:sz w:val="24"/>
        </w:rPr>
        <w:t> </w:t>
      </w:r>
      <w:r>
        <w:rPr>
          <w:sz w:val="24"/>
        </w:rPr>
        <w:t>date</w:t>
      </w:r>
      <w:r>
        <w:rPr>
          <w:spacing w:val="-3"/>
          <w:sz w:val="24"/>
        </w:rPr>
        <w:t> </w:t>
      </w:r>
      <w:r>
        <w:rPr>
          <w:sz w:val="24"/>
        </w:rPr>
        <w:t>specified</w:t>
      </w:r>
      <w:r>
        <w:rPr>
          <w:spacing w:val="-3"/>
          <w:sz w:val="24"/>
        </w:rPr>
        <w:t> </w:t>
      </w:r>
      <w:r>
        <w:rPr>
          <w:sz w:val="24"/>
        </w:rPr>
        <w:t>by </w:t>
      </w:r>
      <w:r>
        <w:rPr>
          <w:spacing w:val="-4"/>
          <w:sz w:val="24"/>
        </w:rPr>
        <w:t>RSA.</w:t>
      </w:r>
    </w:p>
    <w:p>
      <w:pPr>
        <w:pStyle w:val="ListParagraph"/>
        <w:numPr>
          <w:ilvl w:val="1"/>
          <w:numId w:val="57"/>
        </w:numPr>
        <w:tabs>
          <w:tab w:pos="1218" w:val="left" w:leader="none"/>
        </w:tabs>
        <w:spacing w:line="208" w:lineRule="auto" w:before="240" w:after="0"/>
        <w:ind w:left="792" w:right="736" w:firstLine="0"/>
        <w:jc w:val="left"/>
        <w:rPr>
          <w:sz w:val="24"/>
        </w:rPr>
      </w:pPr>
      <w:r>
        <w:rPr>
          <w:sz w:val="24"/>
        </w:rPr>
        <w:t>The</w:t>
      </w:r>
      <w:r>
        <w:rPr>
          <w:spacing w:val="-4"/>
          <w:sz w:val="24"/>
        </w:rPr>
        <w:t> </w:t>
      </w:r>
      <w:r>
        <w:rPr>
          <w:sz w:val="24"/>
        </w:rPr>
        <w:t>Administrator</w:t>
      </w:r>
      <w:r>
        <w:rPr>
          <w:spacing w:val="-5"/>
          <w:sz w:val="24"/>
        </w:rPr>
        <w:t> </w:t>
      </w:r>
      <w:r>
        <w:rPr>
          <w:sz w:val="24"/>
        </w:rPr>
        <w:t>of</w:t>
      </w:r>
      <w:r>
        <w:rPr>
          <w:spacing w:val="-3"/>
          <w:sz w:val="24"/>
        </w:rPr>
        <w:t> </w:t>
      </w:r>
      <w:r>
        <w:rPr>
          <w:sz w:val="24"/>
        </w:rPr>
        <w:t>Process</w:t>
      </w:r>
      <w:r>
        <w:rPr>
          <w:spacing w:val="-5"/>
          <w:sz w:val="24"/>
        </w:rPr>
        <w:t> </w:t>
      </w:r>
      <w:r>
        <w:rPr>
          <w:sz w:val="24"/>
        </w:rPr>
        <w:t>Improvement,</w:t>
      </w:r>
      <w:r>
        <w:rPr>
          <w:spacing w:val="-3"/>
          <w:sz w:val="24"/>
        </w:rPr>
        <w:t> </w:t>
      </w:r>
      <w:r>
        <w:rPr>
          <w:sz w:val="24"/>
        </w:rPr>
        <w:t>or</w:t>
      </w:r>
      <w:r>
        <w:rPr>
          <w:spacing w:val="-5"/>
          <w:sz w:val="24"/>
        </w:rPr>
        <w:t> </w:t>
      </w:r>
      <w:r>
        <w:rPr>
          <w:sz w:val="24"/>
        </w:rPr>
        <w:t>designee,</w:t>
      </w:r>
      <w:r>
        <w:rPr>
          <w:spacing w:val="-3"/>
          <w:sz w:val="24"/>
        </w:rPr>
        <w:t> </w:t>
      </w:r>
      <w:r>
        <w:rPr>
          <w:sz w:val="24"/>
        </w:rPr>
        <w:t>shall</w:t>
      </w:r>
      <w:r>
        <w:rPr>
          <w:spacing w:val="-5"/>
          <w:sz w:val="24"/>
        </w:rPr>
        <w:t> </w:t>
      </w:r>
      <w:r>
        <w:rPr>
          <w:sz w:val="24"/>
        </w:rPr>
        <w:t>serve</w:t>
      </w:r>
      <w:r>
        <w:rPr>
          <w:spacing w:val="-4"/>
          <w:sz w:val="24"/>
        </w:rPr>
        <w:t> </w:t>
      </w:r>
      <w:r>
        <w:rPr>
          <w:sz w:val="24"/>
        </w:rPr>
        <w:t>as</w:t>
      </w:r>
      <w:r>
        <w:rPr>
          <w:spacing w:val="-4"/>
          <w:sz w:val="24"/>
        </w:rPr>
        <w:t> </w:t>
      </w:r>
      <w:r>
        <w:rPr>
          <w:sz w:val="24"/>
        </w:rPr>
        <w:t>the</w:t>
      </w:r>
      <w:r>
        <w:rPr>
          <w:spacing w:val="-5"/>
          <w:sz w:val="24"/>
        </w:rPr>
        <w:t> </w:t>
      </w:r>
      <w:r>
        <w:rPr>
          <w:sz w:val="24"/>
        </w:rPr>
        <w:t>data submission liaison with RSA.</w:t>
      </w:r>
      <w:r>
        <w:rPr>
          <w:spacing w:val="40"/>
          <w:sz w:val="24"/>
        </w:rPr>
        <w:t> </w:t>
      </w:r>
      <w:r>
        <w:rPr>
          <w:sz w:val="24"/>
        </w:rPr>
        <w:t>The administrator shall designate a backup staff member from Program Standards to fulfill federal reporting standards in the</w:t>
      </w:r>
      <w:r>
        <w:rPr>
          <w:spacing w:val="40"/>
          <w:sz w:val="24"/>
        </w:rPr>
        <w:t> </w:t>
      </w:r>
      <w:r>
        <w:rPr>
          <w:sz w:val="24"/>
        </w:rPr>
        <w:t>absence of the primary liaison.</w:t>
      </w:r>
    </w:p>
    <w:p>
      <w:pPr>
        <w:pStyle w:val="ListParagraph"/>
        <w:numPr>
          <w:ilvl w:val="0"/>
          <w:numId w:val="57"/>
        </w:numPr>
        <w:tabs>
          <w:tab w:pos="786" w:val="left" w:leader="none"/>
        </w:tabs>
        <w:spacing w:line="208" w:lineRule="auto" w:before="240" w:after="0"/>
        <w:ind w:left="360" w:right="755" w:firstLine="0"/>
        <w:jc w:val="left"/>
        <w:rPr>
          <w:b/>
          <w:sz w:val="24"/>
        </w:rPr>
      </w:pPr>
      <w:r>
        <w:rPr>
          <w:b/>
          <w:sz w:val="24"/>
        </w:rPr>
        <w:t>Confidentiality.</w:t>
      </w:r>
      <w:r>
        <w:rPr>
          <w:b/>
          <w:spacing w:val="-3"/>
          <w:sz w:val="24"/>
        </w:rPr>
        <w:t> </w:t>
      </w:r>
      <w:r>
        <w:rPr>
          <w:sz w:val="24"/>
        </w:rPr>
        <w:t>All</w:t>
      </w:r>
      <w:r>
        <w:rPr>
          <w:spacing w:val="-4"/>
          <w:sz w:val="24"/>
        </w:rPr>
        <w:t> </w:t>
      </w:r>
      <w:r>
        <w:rPr>
          <w:sz w:val="24"/>
        </w:rPr>
        <w:t>activities</w:t>
      </w:r>
      <w:r>
        <w:rPr>
          <w:spacing w:val="-3"/>
          <w:sz w:val="24"/>
        </w:rPr>
        <w:t> </w:t>
      </w:r>
      <w:r>
        <w:rPr>
          <w:sz w:val="24"/>
        </w:rPr>
        <w:t>of</w:t>
      </w:r>
      <w:r>
        <w:rPr>
          <w:spacing w:val="-3"/>
          <w:sz w:val="24"/>
        </w:rPr>
        <w:t> </w:t>
      </w:r>
      <w:r>
        <w:rPr>
          <w:sz w:val="24"/>
        </w:rPr>
        <w:t>the</w:t>
      </w:r>
      <w:r>
        <w:rPr>
          <w:spacing w:val="-4"/>
          <w:sz w:val="24"/>
        </w:rPr>
        <w:t> </w:t>
      </w:r>
      <w:r>
        <w:rPr>
          <w:sz w:val="24"/>
        </w:rPr>
        <w:t>Program</w:t>
      </w:r>
      <w:r>
        <w:rPr>
          <w:spacing w:val="-3"/>
          <w:sz w:val="24"/>
        </w:rPr>
        <w:t> </w:t>
      </w:r>
      <w:r>
        <w:rPr>
          <w:sz w:val="24"/>
        </w:rPr>
        <w:t>Standards</w:t>
      </w:r>
      <w:r>
        <w:rPr>
          <w:spacing w:val="-4"/>
          <w:sz w:val="24"/>
        </w:rPr>
        <w:t> </w:t>
      </w:r>
      <w:r>
        <w:rPr>
          <w:sz w:val="24"/>
        </w:rPr>
        <w:t>Section</w:t>
      </w:r>
      <w:r>
        <w:rPr>
          <w:spacing w:val="-4"/>
          <w:sz w:val="24"/>
        </w:rPr>
        <w:t> </w:t>
      </w:r>
      <w:r>
        <w:rPr>
          <w:sz w:val="24"/>
        </w:rPr>
        <w:t>will</w:t>
      </w:r>
      <w:r>
        <w:rPr>
          <w:spacing w:val="-4"/>
          <w:sz w:val="24"/>
        </w:rPr>
        <w:t> </w:t>
      </w:r>
      <w:r>
        <w:rPr>
          <w:sz w:val="24"/>
        </w:rPr>
        <w:t>be</w:t>
      </w:r>
      <w:r>
        <w:rPr>
          <w:spacing w:val="-4"/>
          <w:sz w:val="24"/>
        </w:rPr>
        <w:t> </w:t>
      </w:r>
      <w:r>
        <w:rPr>
          <w:sz w:val="24"/>
        </w:rPr>
        <w:t>conducted</w:t>
      </w:r>
      <w:r>
        <w:rPr>
          <w:spacing w:val="-4"/>
          <w:sz w:val="24"/>
        </w:rPr>
        <w:t> </w:t>
      </w:r>
      <w:r>
        <w:rPr>
          <w:sz w:val="24"/>
        </w:rPr>
        <w:t>in a manner to ensure the confidentiality of participants. </w:t>
      </w:r>
      <w:r>
        <w:rPr>
          <w:b/>
          <w:sz w:val="24"/>
        </w:rPr>
        <w:t>1</w:t>
      </w:r>
    </w:p>
    <w:p>
      <w:pPr>
        <w:pStyle w:val="BodyText"/>
        <w:spacing w:before="210"/>
      </w:pPr>
      <w:r>
        <w:rPr/>
        <w:t>INSTRUCTIONS</w:t>
      </w:r>
      <w:r>
        <w:rPr>
          <w:spacing w:val="-3"/>
        </w:rPr>
        <w:t> </w:t>
      </w:r>
      <w:r>
        <w:rPr/>
        <w:t>TO</w:t>
      </w:r>
      <w:r>
        <w:rPr>
          <w:spacing w:val="-2"/>
        </w:rPr>
        <w:t> </w:t>
      </w:r>
      <w:r>
        <w:rPr>
          <w:spacing w:val="-4"/>
        </w:rPr>
        <w:t>STAFF</w:t>
      </w:r>
    </w:p>
    <w:p>
      <w:pPr>
        <w:pStyle w:val="BodyText"/>
        <w:spacing w:after="0"/>
        <w:sectPr>
          <w:pgSz w:w="12240" w:h="15840"/>
          <w:pgMar w:top="1340" w:bottom="280" w:left="1080" w:right="720"/>
        </w:sectPr>
      </w:pPr>
    </w:p>
    <w:p>
      <w:pPr>
        <w:pStyle w:val="BodyText"/>
        <w:spacing w:before="67"/>
        <w:ind w:left="791"/>
      </w:pPr>
      <w:r>
        <w:rPr/>
        <w:t>1.</w:t>
      </w:r>
      <w:r>
        <w:rPr>
          <w:spacing w:val="14"/>
        </w:rPr>
        <w:t> </w:t>
      </w:r>
      <w:hyperlink w:history="true" w:anchor="_bookmark3">
        <w:r>
          <w:rPr>
            <w:color w:val="0000FF"/>
            <w:u w:val="single" w:color="0000FF"/>
          </w:rPr>
          <w:t>612:10-1-</w:t>
        </w:r>
        <w:r>
          <w:rPr>
            <w:color w:val="0000FF"/>
            <w:spacing w:val="-10"/>
            <w:u w:val="single" w:color="0000FF"/>
          </w:rPr>
          <w:t>5</w:t>
        </w:r>
      </w:hyperlink>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1439" w:right="1232" w:hanging="1080"/>
        <w:jc w:val="left"/>
        <w:rPr>
          <w:sz w:val="22"/>
        </w:rPr>
      </w:pPr>
      <w:r>
        <w:rPr>
          <w:spacing w:val="-2"/>
          <w:sz w:val="22"/>
        </w:rPr>
        <w:t>9-11-20</w:t>
      </w:r>
      <w:r>
        <w:rPr>
          <w:sz w:val="22"/>
        </w:rPr>
        <w:tab/>
        <w:t>Permanent,</w:t>
      </w:r>
      <w:r>
        <w:rPr>
          <w:spacing w:val="-4"/>
          <w:sz w:val="22"/>
        </w:rPr>
        <w:t> </w:t>
      </w:r>
      <w:r>
        <w:rPr>
          <w:sz w:val="22"/>
        </w:rPr>
        <w:t>Rule</w:t>
      </w:r>
      <w:r>
        <w:rPr>
          <w:spacing w:val="-4"/>
          <w:sz w:val="22"/>
        </w:rPr>
        <w:t> </w:t>
      </w:r>
      <w:r>
        <w:rPr>
          <w:sz w:val="22"/>
        </w:rPr>
        <w:t>implemented.</w:t>
      </w:r>
      <w:r>
        <w:rPr>
          <w:spacing w:val="40"/>
          <w:sz w:val="22"/>
        </w:rPr>
        <w:t> </w:t>
      </w:r>
      <w:r>
        <w:rPr>
          <w:sz w:val="22"/>
        </w:rPr>
        <w:t>This</w:t>
      </w:r>
      <w:r>
        <w:rPr>
          <w:spacing w:val="-5"/>
          <w:sz w:val="22"/>
        </w:rPr>
        <w:t> </w:t>
      </w:r>
      <w:r>
        <w:rPr>
          <w:sz w:val="22"/>
        </w:rPr>
        <w:t>replaces</w:t>
      </w:r>
      <w:r>
        <w:rPr>
          <w:spacing w:val="-4"/>
          <w:sz w:val="22"/>
        </w:rPr>
        <w:t> </w:t>
      </w:r>
      <w:r>
        <w:rPr>
          <w:sz w:val="22"/>
        </w:rPr>
        <w:t>revoked</w:t>
      </w:r>
      <w:r>
        <w:rPr>
          <w:spacing w:val="-5"/>
          <w:sz w:val="22"/>
        </w:rPr>
        <w:t> </w:t>
      </w:r>
      <w:r>
        <w:rPr>
          <w:sz w:val="22"/>
        </w:rPr>
        <w:t>rule</w:t>
      </w:r>
      <w:r>
        <w:rPr>
          <w:spacing w:val="-4"/>
          <w:sz w:val="22"/>
        </w:rPr>
        <w:t> </w:t>
      </w:r>
      <w:r>
        <w:rPr>
          <w:sz w:val="22"/>
        </w:rPr>
        <w:t>612:3-5-29</w:t>
      </w:r>
      <w:r>
        <w:rPr>
          <w:spacing w:val="-5"/>
          <w:sz w:val="22"/>
        </w:rPr>
        <w:t> </w:t>
      </w:r>
      <w:r>
        <w:rPr>
          <w:sz w:val="22"/>
        </w:rPr>
        <w:t>Program </w:t>
      </w:r>
      <w:r>
        <w:rPr>
          <w:spacing w:val="-2"/>
          <w:sz w:val="22"/>
        </w:rPr>
        <w:t>Standards.</w:t>
      </w:r>
    </w:p>
    <w:p>
      <w:pPr>
        <w:spacing w:after="0"/>
        <w:jc w:val="left"/>
        <w:rPr>
          <w:sz w:val="22"/>
        </w:rPr>
        <w:sectPr>
          <w:pgSz w:w="12240" w:h="15840"/>
          <w:pgMar w:top="1340" w:bottom="280" w:left="1080" w:right="720"/>
        </w:sectPr>
      </w:pPr>
    </w:p>
    <w:p>
      <w:pPr>
        <w:pStyle w:val="Heading1"/>
      </w:pPr>
      <w:bookmarkStart w:name="PART 5. CASE REVIEW" w:id="73"/>
      <w:bookmarkEnd w:id="73"/>
      <w:r>
        <w:rPr>
          <w:b w:val="0"/>
        </w:rPr>
      </w:r>
      <w:r>
        <w:rPr/>
        <w:t>PART</w:t>
      </w:r>
      <w:r>
        <w:rPr>
          <w:spacing w:val="-3"/>
        </w:rPr>
        <w:t> </w:t>
      </w:r>
      <w:r>
        <w:rPr/>
        <w:t>5.</w:t>
      </w:r>
      <w:r>
        <w:rPr>
          <w:spacing w:val="-3"/>
        </w:rPr>
        <w:t> </w:t>
      </w:r>
      <w:r>
        <w:rPr/>
        <w:t>CASE</w:t>
      </w:r>
      <w:r>
        <w:rPr>
          <w:spacing w:val="-1"/>
        </w:rPr>
        <w:t> </w:t>
      </w:r>
      <w:r>
        <w:rPr>
          <w:spacing w:val="-2"/>
        </w:rPr>
        <w:t>REVIEW</w:t>
      </w:r>
    </w:p>
    <w:p>
      <w:pPr>
        <w:pStyle w:val="BodyText"/>
        <w:spacing w:before="204"/>
      </w:pPr>
      <w:r>
        <w:rPr>
          <w:spacing w:val="-2"/>
        </w:rPr>
        <w:t>Section</w:t>
      </w:r>
    </w:p>
    <w:p>
      <w:pPr>
        <w:pStyle w:val="BodyText"/>
        <w:spacing w:before="204"/>
      </w:pPr>
      <w:r>
        <w:rPr/>
        <w:t>612:1-18-20.</w:t>
      </w:r>
      <w:r>
        <w:rPr>
          <w:spacing w:val="6"/>
        </w:rPr>
        <w:t> </w:t>
      </w:r>
      <w:r>
        <w:rPr/>
        <w:t>Case</w:t>
      </w:r>
      <w:r>
        <w:rPr>
          <w:spacing w:val="-4"/>
        </w:rPr>
        <w:t> </w:t>
      </w:r>
      <w:r>
        <w:rPr>
          <w:spacing w:val="-2"/>
        </w:rPr>
        <w:t>Review</w:t>
      </w:r>
    </w:p>
    <w:p>
      <w:pPr>
        <w:pStyle w:val="BodyText"/>
        <w:spacing w:after="0"/>
        <w:sectPr>
          <w:pgSz w:w="12240" w:h="15840"/>
          <w:pgMar w:top="1340" w:bottom="280" w:left="1080" w:right="720"/>
        </w:sectPr>
      </w:pPr>
    </w:p>
    <w:p>
      <w:pPr>
        <w:pStyle w:val="Heading2"/>
      </w:pPr>
      <w:bookmarkStart w:name="612:1-18-20.  Case Review" w:id="74"/>
      <w:bookmarkEnd w:id="74"/>
      <w:r>
        <w:rPr>
          <w:b w:val="0"/>
        </w:rPr>
      </w:r>
      <w:r>
        <w:rPr/>
        <w:t>612:1-18-20.</w:t>
      </w:r>
      <w:r>
        <w:rPr>
          <w:spacing w:val="59"/>
        </w:rPr>
        <w:t> </w:t>
      </w:r>
      <w:r>
        <w:rPr/>
        <w:t>Case</w:t>
      </w:r>
      <w:r>
        <w:rPr>
          <w:spacing w:val="-3"/>
        </w:rPr>
        <w:t> </w:t>
      </w:r>
      <w:r>
        <w:rPr>
          <w:spacing w:val="-2"/>
        </w:rPr>
        <w:t>Review</w:t>
      </w:r>
    </w:p>
    <w:p>
      <w:pPr>
        <w:pStyle w:val="ListParagraph"/>
        <w:numPr>
          <w:ilvl w:val="0"/>
          <w:numId w:val="58"/>
        </w:numPr>
        <w:tabs>
          <w:tab w:pos="786" w:val="left" w:leader="none"/>
        </w:tabs>
        <w:spacing w:line="208" w:lineRule="auto" w:before="233" w:after="0"/>
        <w:ind w:left="360" w:right="897" w:firstLine="0"/>
        <w:jc w:val="left"/>
        <w:rPr>
          <w:sz w:val="24"/>
        </w:rPr>
      </w:pPr>
      <w:r>
        <w:rPr>
          <w:b/>
          <w:sz w:val="24"/>
        </w:rPr>
        <w:t>Purpose.</w:t>
      </w:r>
      <w:r>
        <w:rPr>
          <w:b/>
          <w:spacing w:val="40"/>
          <w:sz w:val="24"/>
        </w:rPr>
        <w:t> </w:t>
      </w:r>
      <w:r>
        <w:rPr>
          <w:sz w:val="24"/>
        </w:rPr>
        <w:t>The purpose of the Case Review Section is to conduct evaluations on programmatic</w:t>
      </w:r>
      <w:r>
        <w:rPr>
          <w:spacing w:val="-4"/>
          <w:sz w:val="24"/>
        </w:rPr>
        <w:t> </w:t>
      </w:r>
      <w:r>
        <w:rPr>
          <w:sz w:val="24"/>
        </w:rPr>
        <w:t>case</w:t>
      </w:r>
      <w:r>
        <w:rPr>
          <w:spacing w:val="-4"/>
          <w:sz w:val="24"/>
        </w:rPr>
        <w:t> </w:t>
      </w:r>
      <w:r>
        <w:rPr>
          <w:sz w:val="24"/>
        </w:rPr>
        <w:t>documentation</w:t>
      </w:r>
      <w:r>
        <w:rPr>
          <w:spacing w:val="-4"/>
          <w:sz w:val="24"/>
        </w:rPr>
        <w:t> </w:t>
      </w:r>
      <w:r>
        <w:rPr>
          <w:sz w:val="24"/>
        </w:rPr>
        <w:t>to</w:t>
      </w:r>
      <w:r>
        <w:rPr>
          <w:spacing w:val="-4"/>
          <w:sz w:val="24"/>
        </w:rPr>
        <w:t> </w:t>
      </w:r>
      <w:r>
        <w:rPr>
          <w:sz w:val="24"/>
        </w:rPr>
        <w:t>ensure</w:t>
      </w:r>
      <w:r>
        <w:rPr>
          <w:spacing w:val="-4"/>
          <w:sz w:val="24"/>
        </w:rPr>
        <w:t> </w:t>
      </w:r>
      <w:r>
        <w:rPr>
          <w:sz w:val="24"/>
        </w:rPr>
        <w:t>compliance</w:t>
      </w:r>
      <w:r>
        <w:rPr>
          <w:spacing w:val="-4"/>
          <w:sz w:val="24"/>
        </w:rPr>
        <w:t> </w:t>
      </w:r>
      <w:r>
        <w:rPr>
          <w:sz w:val="24"/>
        </w:rPr>
        <w:t>with</w:t>
      </w:r>
      <w:r>
        <w:rPr>
          <w:spacing w:val="-4"/>
          <w:sz w:val="24"/>
        </w:rPr>
        <w:t> </w:t>
      </w:r>
      <w:r>
        <w:rPr>
          <w:sz w:val="24"/>
        </w:rPr>
        <w:t>federal</w:t>
      </w:r>
      <w:r>
        <w:rPr>
          <w:spacing w:val="-4"/>
          <w:sz w:val="24"/>
        </w:rPr>
        <w:t> </w:t>
      </w:r>
      <w:r>
        <w:rPr>
          <w:sz w:val="24"/>
        </w:rPr>
        <w:t>regulation</w:t>
      </w:r>
      <w:r>
        <w:rPr>
          <w:spacing w:val="-4"/>
          <w:sz w:val="24"/>
        </w:rPr>
        <w:t> </w:t>
      </w:r>
      <w:r>
        <w:rPr>
          <w:sz w:val="24"/>
        </w:rPr>
        <w:t>and</w:t>
      </w:r>
      <w:r>
        <w:rPr>
          <w:spacing w:val="-4"/>
          <w:sz w:val="24"/>
        </w:rPr>
        <w:t> </w:t>
      </w:r>
      <w:r>
        <w:rPr>
          <w:sz w:val="24"/>
        </w:rPr>
        <w:t>to enhance agency effectiveness.</w:t>
      </w:r>
    </w:p>
    <w:p>
      <w:pPr>
        <w:pStyle w:val="ListParagraph"/>
        <w:numPr>
          <w:ilvl w:val="0"/>
          <w:numId w:val="58"/>
        </w:numPr>
        <w:tabs>
          <w:tab w:pos="786" w:val="left" w:leader="none"/>
        </w:tabs>
        <w:spacing w:line="208" w:lineRule="auto" w:before="240" w:after="0"/>
        <w:ind w:left="360" w:right="902" w:firstLine="0"/>
        <w:jc w:val="left"/>
        <w:rPr>
          <w:sz w:val="24"/>
        </w:rPr>
      </w:pPr>
      <w:r>
        <w:rPr>
          <w:b/>
          <w:sz w:val="24"/>
        </w:rPr>
        <w:t>Case</w:t>
      </w:r>
      <w:r>
        <w:rPr>
          <w:b/>
          <w:spacing w:val="-5"/>
          <w:sz w:val="24"/>
        </w:rPr>
        <w:t> </w:t>
      </w:r>
      <w:r>
        <w:rPr>
          <w:b/>
          <w:sz w:val="24"/>
        </w:rPr>
        <w:t>Review</w:t>
      </w:r>
      <w:r>
        <w:rPr>
          <w:b/>
          <w:spacing w:val="-3"/>
          <w:sz w:val="24"/>
        </w:rPr>
        <w:t> </w:t>
      </w:r>
      <w:r>
        <w:rPr>
          <w:b/>
          <w:sz w:val="24"/>
        </w:rPr>
        <w:t>Responsibilities.</w:t>
      </w:r>
      <w:r>
        <w:rPr>
          <w:b/>
          <w:spacing w:val="40"/>
          <w:sz w:val="24"/>
        </w:rPr>
        <w:t> </w:t>
      </w:r>
      <w:r>
        <w:rPr>
          <w:sz w:val="24"/>
        </w:rPr>
        <w:t>Case</w:t>
      </w:r>
      <w:r>
        <w:rPr>
          <w:spacing w:val="-5"/>
          <w:sz w:val="24"/>
        </w:rPr>
        <w:t> </w:t>
      </w:r>
      <w:r>
        <w:rPr>
          <w:sz w:val="24"/>
        </w:rPr>
        <w:t>Review</w:t>
      </w:r>
      <w:r>
        <w:rPr>
          <w:spacing w:val="-4"/>
          <w:sz w:val="24"/>
        </w:rPr>
        <w:t> </w:t>
      </w:r>
      <w:r>
        <w:rPr>
          <w:sz w:val="24"/>
        </w:rPr>
        <w:t>staff</w:t>
      </w:r>
      <w:r>
        <w:rPr>
          <w:spacing w:val="-3"/>
          <w:sz w:val="24"/>
        </w:rPr>
        <w:t> </w:t>
      </w:r>
      <w:r>
        <w:rPr>
          <w:sz w:val="24"/>
        </w:rPr>
        <w:t>are</w:t>
      </w:r>
      <w:r>
        <w:rPr>
          <w:spacing w:val="-5"/>
          <w:sz w:val="24"/>
        </w:rPr>
        <w:t> </w:t>
      </w:r>
      <w:r>
        <w:rPr>
          <w:sz w:val="24"/>
        </w:rPr>
        <w:t>charged</w:t>
      </w:r>
      <w:r>
        <w:rPr>
          <w:spacing w:val="-4"/>
          <w:sz w:val="24"/>
        </w:rPr>
        <w:t> </w:t>
      </w:r>
      <w:r>
        <w:rPr>
          <w:sz w:val="24"/>
        </w:rPr>
        <w:t>with</w:t>
      </w:r>
      <w:r>
        <w:rPr>
          <w:spacing w:val="-4"/>
          <w:sz w:val="24"/>
        </w:rPr>
        <w:t> </w:t>
      </w:r>
      <w:r>
        <w:rPr>
          <w:sz w:val="24"/>
        </w:rPr>
        <w:t>the</w:t>
      </w:r>
      <w:r>
        <w:rPr>
          <w:spacing w:val="-4"/>
          <w:sz w:val="24"/>
        </w:rPr>
        <w:t> </w:t>
      </w:r>
      <w:r>
        <w:rPr>
          <w:sz w:val="24"/>
        </w:rPr>
        <w:t>following </w:t>
      </w:r>
      <w:r>
        <w:rPr>
          <w:spacing w:val="-2"/>
          <w:sz w:val="24"/>
        </w:rPr>
        <w:t>responsibilities:</w:t>
      </w:r>
    </w:p>
    <w:p>
      <w:pPr>
        <w:pStyle w:val="ListParagraph"/>
        <w:numPr>
          <w:ilvl w:val="1"/>
          <w:numId w:val="58"/>
        </w:numPr>
        <w:tabs>
          <w:tab w:pos="1217" w:val="left" w:leader="none"/>
        </w:tabs>
        <w:spacing w:line="208" w:lineRule="auto" w:before="239" w:after="0"/>
        <w:ind w:left="791" w:right="986" w:firstLine="0"/>
        <w:jc w:val="left"/>
        <w:rPr>
          <w:sz w:val="24"/>
        </w:rPr>
      </w:pPr>
      <w:r>
        <w:rPr>
          <w:sz w:val="24"/>
        </w:rPr>
        <w:t>Conducting</w:t>
      </w:r>
      <w:r>
        <w:rPr>
          <w:spacing w:val="-3"/>
          <w:sz w:val="24"/>
        </w:rPr>
        <w:t> </w:t>
      </w:r>
      <w:r>
        <w:rPr>
          <w:sz w:val="24"/>
        </w:rPr>
        <w:t>reviews</w:t>
      </w:r>
      <w:r>
        <w:rPr>
          <w:spacing w:val="-3"/>
          <w:sz w:val="24"/>
        </w:rPr>
        <w:t> </w:t>
      </w:r>
      <w:r>
        <w:rPr>
          <w:sz w:val="24"/>
        </w:rPr>
        <w:t>on</w:t>
      </w:r>
      <w:r>
        <w:rPr>
          <w:spacing w:val="-3"/>
          <w:sz w:val="24"/>
        </w:rPr>
        <w:t> </w:t>
      </w:r>
      <w:r>
        <w:rPr>
          <w:sz w:val="24"/>
        </w:rPr>
        <w:t>a</w:t>
      </w:r>
      <w:r>
        <w:rPr>
          <w:spacing w:val="-3"/>
          <w:sz w:val="24"/>
        </w:rPr>
        <w:t> </w:t>
      </w:r>
      <w:r>
        <w:rPr>
          <w:sz w:val="24"/>
        </w:rPr>
        <w:t>random</w:t>
      </w:r>
      <w:r>
        <w:rPr>
          <w:spacing w:val="-3"/>
          <w:sz w:val="24"/>
        </w:rPr>
        <w:t> </w:t>
      </w:r>
      <w:r>
        <w:rPr>
          <w:sz w:val="24"/>
        </w:rPr>
        <w:t>sample</w:t>
      </w:r>
      <w:r>
        <w:rPr>
          <w:spacing w:val="-3"/>
          <w:sz w:val="24"/>
        </w:rPr>
        <w:t> </w:t>
      </w:r>
      <w:r>
        <w:rPr>
          <w:sz w:val="24"/>
        </w:rPr>
        <w:t>of</w:t>
      </w:r>
      <w:r>
        <w:rPr>
          <w:spacing w:val="-3"/>
          <w:sz w:val="24"/>
        </w:rPr>
        <w:t> </w:t>
      </w:r>
      <w:r>
        <w:rPr>
          <w:sz w:val="24"/>
        </w:rPr>
        <w:t>closed</w:t>
      </w:r>
      <w:r>
        <w:rPr>
          <w:spacing w:val="-3"/>
          <w:sz w:val="24"/>
        </w:rPr>
        <w:t> </w:t>
      </w:r>
      <w:r>
        <w:rPr>
          <w:sz w:val="24"/>
        </w:rPr>
        <w:t>cases</w:t>
      </w:r>
      <w:r>
        <w:rPr>
          <w:spacing w:val="-3"/>
          <w:sz w:val="24"/>
        </w:rPr>
        <w:t> </w:t>
      </w:r>
      <w:r>
        <w:rPr>
          <w:sz w:val="24"/>
        </w:rPr>
        <w:t>to</w:t>
      </w:r>
      <w:r>
        <w:rPr>
          <w:spacing w:val="-4"/>
          <w:sz w:val="24"/>
        </w:rPr>
        <w:t> </w:t>
      </w:r>
      <w:r>
        <w:rPr>
          <w:sz w:val="24"/>
        </w:rPr>
        <w:t>determine</w:t>
      </w:r>
      <w:r>
        <w:rPr>
          <w:spacing w:val="-3"/>
          <w:sz w:val="24"/>
        </w:rPr>
        <w:t> </w:t>
      </w:r>
      <w:r>
        <w:rPr>
          <w:sz w:val="24"/>
        </w:rPr>
        <w:t>if</w:t>
      </w:r>
      <w:r>
        <w:rPr>
          <w:spacing w:val="-3"/>
          <w:sz w:val="24"/>
        </w:rPr>
        <w:t> </w:t>
      </w:r>
      <w:r>
        <w:rPr>
          <w:sz w:val="24"/>
        </w:rPr>
        <w:t>case documentation indicates consumers are being served according to standards established by the Rehabilitation Act and agency policy.</w:t>
      </w:r>
      <w:r>
        <w:rPr>
          <w:spacing w:val="40"/>
          <w:sz w:val="24"/>
        </w:rPr>
        <w:t> </w:t>
      </w:r>
      <w:r>
        <w:rPr>
          <w:sz w:val="24"/>
        </w:rPr>
        <w:t>Staff will use the instrument currently approved by the Director or designee and will report their findings to appropriate staff on a regular schedule.</w:t>
      </w:r>
    </w:p>
    <w:p>
      <w:pPr>
        <w:pStyle w:val="ListParagraph"/>
        <w:numPr>
          <w:ilvl w:val="1"/>
          <w:numId w:val="58"/>
        </w:numPr>
        <w:tabs>
          <w:tab w:pos="1217" w:val="left" w:leader="none"/>
        </w:tabs>
        <w:spacing w:line="208" w:lineRule="auto" w:before="240" w:after="0"/>
        <w:ind w:left="791" w:right="948" w:firstLine="0"/>
        <w:jc w:val="left"/>
        <w:rPr>
          <w:sz w:val="24"/>
        </w:rPr>
      </w:pPr>
      <w:r>
        <w:rPr>
          <w:sz w:val="24"/>
        </w:rPr>
        <w:t>Upon</w:t>
      </w:r>
      <w:r>
        <w:rPr>
          <w:spacing w:val="-4"/>
          <w:sz w:val="24"/>
        </w:rPr>
        <w:t> </w:t>
      </w:r>
      <w:r>
        <w:rPr>
          <w:sz w:val="24"/>
        </w:rPr>
        <w:t>request</w:t>
      </w:r>
      <w:r>
        <w:rPr>
          <w:spacing w:val="-3"/>
          <w:sz w:val="24"/>
        </w:rPr>
        <w:t> </w:t>
      </w:r>
      <w:r>
        <w:rPr>
          <w:sz w:val="24"/>
        </w:rPr>
        <w:t>and</w:t>
      </w:r>
      <w:r>
        <w:rPr>
          <w:spacing w:val="-3"/>
          <w:sz w:val="24"/>
        </w:rPr>
        <w:t> </w:t>
      </w:r>
      <w:r>
        <w:rPr>
          <w:sz w:val="24"/>
        </w:rPr>
        <w:t>as</w:t>
      </w:r>
      <w:r>
        <w:rPr>
          <w:spacing w:val="-4"/>
          <w:sz w:val="24"/>
        </w:rPr>
        <w:t> </w:t>
      </w:r>
      <w:r>
        <w:rPr>
          <w:sz w:val="24"/>
        </w:rPr>
        <w:t>other</w:t>
      </w:r>
      <w:r>
        <w:rPr>
          <w:spacing w:val="-3"/>
          <w:sz w:val="24"/>
        </w:rPr>
        <w:t> </w:t>
      </w:r>
      <w:r>
        <w:rPr>
          <w:sz w:val="24"/>
        </w:rPr>
        <w:t>duties</w:t>
      </w:r>
      <w:r>
        <w:rPr>
          <w:spacing w:val="-4"/>
          <w:sz w:val="24"/>
        </w:rPr>
        <w:t> </w:t>
      </w:r>
      <w:r>
        <w:rPr>
          <w:sz w:val="24"/>
        </w:rPr>
        <w:t>allow,</w:t>
      </w:r>
      <w:r>
        <w:rPr>
          <w:spacing w:val="-3"/>
          <w:sz w:val="24"/>
        </w:rPr>
        <w:t> </w:t>
      </w:r>
      <w:r>
        <w:rPr>
          <w:sz w:val="24"/>
        </w:rPr>
        <w:t>conducting</w:t>
      </w:r>
      <w:r>
        <w:rPr>
          <w:spacing w:val="-3"/>
          <w:sz w:val="24"/>
        </w:rPr>
        <w:t> </w:t>
      </w:r>
      <w:r>
        <w:rPr>
          <w:sz w:val="24"/>
        </w:rPr>
        <w:t>reviews</w:t>
      </w:r>
      <w:r>
        <w:rPr>
          <w:spacing w:val="-4"/>
          <w:sz w:val="24"/>
        </w:rPr>
        <w:t> </w:t>
      </w:r>
      <w:r>
        <w:rPr>
          <w:sz w:val="24"/>
        </w:rPr>
        <w:t>of</w:t>
      </w:r>
      <w:r>
        <w:rPr>
          <w:spacing w:val="-5"/>
          <w:sz w:val="24"/>
        </w:rPr>
        <w:t> </w:t>
      </w:r>
      <w:r>
        <w:rPr>
          <w:sz w:val="24"/>
        </w:rPr>
        <w:t>active</w:t>
      </w:r>
      <w:r>
        <w:rPr>
          <w:spacing w:val="-4"/>
          <w:sz w:val="24"/>
        </w:rPr>
        <w:t> </w:t>
      </w:r>
      <w:r>
        <w:rPr>
          <w:sz w:val="24"/>
        </w:rPr>
        <w:t>cases</w:t>
      </w:r>
      <w:r>
        <w:rPr>
          <w:spacing w:val="-4"/>
          <w:sz w:val="24"/>
        </w:rPr>
        <w:t> </w:t>
      </w:r>
      <w:r>
        <w:rPr>
          <w:sz w:val="24"/>
        </w:rPr>
        <w:t>or other specialized reviews and will report their findings to appropriate staff within agreed-upon deadlines.</w:t>
      </w:r>
    </w:p>
    <w:p>
      <w:pPr>
        <w:pStyle w:val="ListParagraph"/>
        <w:numPr>
          <w:ilvl w:val="1"/>
          <w:numId w:val="58"/>
        </w:numPr>
        <w:tabs>
          <w:tab w:pos="1217" w:val="left" w:leader="none"/>
        </w:tabs>
        <w:spacing w:line="208" w:lineRule="auto" w:before="240" w:after="0"/>
        <w:ind w:left="791" w:right="867" w:firstLine="0"/>
        <w:jc w:val="left"/>
        <w:rPr>
          <w:sz w:val="24"/>
        </w:rPr>
      </w:pPr>
      <w:r>
        <w:rPr>
          <w:sz w:val="24"/>
        </w:rPr>
        <w:t>Participating</w:t>
      </w:r>
      <w:r>
        <w:rPr>
          <w:spacing w:val="-4"/>
          <w:sz w:val="24"/>
        </w:rPr>
        <w:t> </w:t>
      </w:r>
      <w:r>
        <w:rPr>
          <w:sz w:val="24"/>
        </w:rPr>
        <w:t>in</w:t>
      </w:r>
      <w:r>
        <w:rPr>
          <w:spacing w:val="-4"/>
          <w:sz w:val="24"/>
        </w:rPr>
        <w:t> </w:t>
      </w:r>
      <w:r>
        <w:rPr>
          <w:sz w:val="24"/>
        </w:rPr>
        <w:t>compliance</w:t>
      </w:r>
      <w:r>
        <w:rPr>
          <w:spacing w:val="-4"/>
          <w:sz w:val="24"/>
        </w:rPr>
        <w:t> </w:t>
      </w:r>
      <w:r>
        <w:rPr>
          <w:sz w:val="24"/>
        </w:rPr>
        <w:t>reviews</w:t>
      </w:r>
      <w:r>
        <w:rPr>
          <w:spacing w:val="-4"/>
          <w:sz w:val="24"/>
        </w:rPr>
        <w:t> </w:t>
      </w:r>
      <w:r>
        <w:rPr>
          <w:sz w:val="24"/>
        </w:rPr>
        <w:t>conducted</w:t>
      </w:r>
      <w:r>
        <w:rPr>
          <w:spacing w:val="-4"/>
          <w:sz w:val="24"/>
        </w:rPr>
        <w:t> </w:t>
      </w:r>
      <w:r>
        <w:rPr>
          <w:sz w:val="24"/>
        </w:rPr>
        <w:t>by</w:t>
      </w:r>
      <w:r>
        <w:rPr>
          <w:spacing w:val="-4"/>
          <w:sz w:val="24"/>
        </w:rPr>
        <w:t> </w:t>
      </w:r>
      <w:r>
        <w:rPr>
          <w:sz w:val="24"/>
        </w:rPr>
        <w:t>RSA</w:t>
      </w:r>
      <w:r>
        <w:rPr>
          <w:spacing w:val="-4"/>
          <w:sz w:val="24"/>
        </w:rPr>
        <w:t> </w:t>
      </w:r>
      <w:r>
        <w:rPr>
          <w:sz w:val="24"/>
        </w:rPr>
        <w:t>as</w:t>
      </w:r>
      <w:r>
        <w:rPr>
          <w:spacing w:val="-4"/>
          <w:sz w:val="24"/>
        </w:rPr>
        <w:t> </w:t>
      </w:r>
      <w:r>
        <w:rPr>
          <w:sz w:val="24"/>
        </w:rPr>
        <w:t>assigned.</w:t>
      </w:r>
      <w:r>
        <w:rPr>
          <w:spacing w:val="40"/>
          <w:sz w:val="24"/>
        </w:rPr>
        <w:t> </w:t>
      </w:r>
      <w:r>
        <w:rPr>
          <w:sz w:val="24"/>
        </w:rPr>
        <w:t>RSA</w:t>
      </w:r>
      <w:r>
        <w:rPr>
          <w:spacing w:val="-4"/>
          <w:sz w:val="24"/>
        </w:rPr>
        <w:t> </w:t>
      </w:r>
      <w:r>
        <w:rPr>
          <w:sz w:val="24"/>
        </w:rPr>
        <w:t>staff will be responsible for reporting the results of such reviews unless otherwise directed by the Administrator for Process Improvement.</w:t>
      </w:r>
    </w:p>
    <w:p>
      <w:pPr>
        <w:pStyle w:val="ListParagraph"/>
        <w:numPr>
          <w:ilvl w:val="1"/>
          <w:numId w:val="58"/>
        </w:numPr>
        <w:tabs>
          <w:tab w:pos="1217" w:val="left" w:leader="none"/>
        </w:tabs>
        <w:spacing w:line="208" w:lineRule="auto" w:before="239" w:after="0"/>
        <w:ind w:left="791" w:right="1188" w:firstLine="0"/>
        <w:jc w:val="left"/>
        <w:rPr>
          <w:sz w:val="24"/>
        </w:rPr>
      </w:pPr>
      <w:r>
        <w:rPr>
          <w:sz w:val="24"/>
        </w:rPr>
        <w:t>Acting</w:t>
      </w:r>
      <w:r>
        <w:rPr>
          <w:spacing w:val="-4"/>
          <w:sz w:val="24"/>
        </w:rPr>
        <w:t> </w:t>
      </w:r>
      <w:r>
        <w:rPr>
          <w:sz w:val="24"/>
        </w:rPr>
        <w:t>as</w:t>
      </w:r>
      <w:r>
        <w:rPr>
          <w:spacing w:val="-3"/>
          <w:sz w:val="24"/>
        </w:rPr>
        <w:t> </w:t>
      </w:r>
      <w:r>
        <w:rPr>
          <w:sz w:val="24"/>
        </w:rPr>
        <w:t>subject</w:t>
      </w:r>
      <w:r>
        <w:rPr>
          <w:spacing w:val="-3"/>
          <w:sz w:val="24"/>
        </w:rPr>
        <w:t> </w:t>
      </w:r>
      <w:r>
        <w:rPr>
          <w:sz w:val="24"/>
        </w:rPr>
        <w:t>matter</w:t>
      </w:r>
      <w:r>
        <w:rPr>
          <w:spacing w:val="-4"/>
          <w:sz w:val="24"/>
        </w:rPr>
        <w:t> </w:t>
      </w:r>
      <w:r>
        <w:rPr>
          <w:sz w:val="24"/>
        </w:rPr>
        <w:t>experts</w:t>
      </w:r>
      <w:r>
        <w:rPr>
          <w:spacing w:val="-3"/>
          <w:sz w:val="24"/>
        </w:rPr>
        <w:t> </w:t>
      </w:r>
      <w:r>
        <w:rPr>
          <w:sz w:val="24"/>
        </w:rPr>
        <w:t>in</w:t>
      </w:r>
      <w:r>
        <w:rPr>
          <w:spacing w:val="-3"/>
          <w:sz w:val="24"/>
        </w:rPr>
        <w:t> </w:t>
      </w:r>
      <w:r>
        <w:rPr>
          <w:sz w:val="24"/>
        </w:rPr>
        <w:t>the</w:t>
      </w:r>
      <w:r>
        <w:rPr>
          <w:spacing w:val="-4"/>
          <w:sz w:val="24"/>
        </w:rPr>
        <w:t> </w:t>
      </w:r>
      <w:r>
        <w:rPr>
          <w:sz w:val="24"/>
        </w:rPr>
        <w:t>area</w:t>
      </w:r>
      <w:r>
        <w:rPr>
          <w:spacing w:val="-3"/>
          <w:sz w:val="24"/>
        </w:rPr>
        <w:t> </w:t>
      </w:r>
      <w:r>
        <w:rPr>
          <w:sz w:val="24"/>
        </w:rPr>
        <w:t>of</w:t>
      </w:r>
      <w:r>
        <w:rPr>
          <w:spacing w:val="-3"/>
          <w:sz w:val="24"/>
        </w:rPr>
        <w:t> </w:t>
      </w:r>
      <w:r>
        <w:rPr>
          <w:sz w:val="24"/>
        </w:rPr>
        <w:t>case</w:t>
      </w:r>
      <w:r>
        <w:rPr>
          <w:spacing w:val="-3"/>
          <w:sz w:val="24"/>
        </w:rPr>
        <w:t> </w:t>
      </w:r>
      <w:r>
        <w:rPr>
          <w:sz w:val="24"/>
        </w:rPr>
        <w:t>review,</w:t>
      </w:r>
      <w:r>
        <w:rPr>
          <w:spacing w:val="-3"/>
          <w:sz w:val="24"/>
        </w:rPr>
        <w:t> </w:t>
      </w:r>
      <w:r>
        <w:rPr>
          <w:sz w:val="24"/>
        </w:rPr>
        <w:t>compliance</w:t>
      </w:r>
      <w:r>
        <w:rPr>
          <w:spacing w:val="-3"/>
          <w:sz w:val="24"/>
        </w:rPr>
        <w:t> </w:t>
      </w:r>
      <w:r>
        <w:rPr>
          <w:sz w:val="24"/>
        </w:rPr>
        <w:t>and best practices, including providing training as requested.</w:t>
      </w:r>
    </w:p>
    <w:p>
      <w:pPr>
        <w:pStyle w:val="ListParagraph"/>
        <w:numPr>
          <w:ilvl w:val="0"/>
          <w:numId w:val="58"/>
        </w:numPr>
        <w:tabs>
          <w:tab w:pos="773" w:val="left" w:leader="none"/>
        </w:tabs>
        <w:spacing w:line="259" w:lineRule="auto" w:before="244" w:after="0"/>
        <w:ind w:left="360" w:right="1169" w:firstLine="0"/>
        <w:jc w:val="left"/>
        <w:rPr>
          <w:sz w:val="24"/>
        </w:rPr>
      </w:pPr>
      <w:r>
        <w:rPr>
          <w:b/>
          <w:sz w:val="24"/>
        </w:rPr>
        <w:t>Confidentiality.</w:t>
      </w:r>
      <w:r>
        <w:rPr>
          <w:b/>
          <w:spacing w:val="40"/>
          <w:sz w:val="24"/>
        </w:rPr>
        <w:t> </w:t>
      </w:r>
      <w:r>
        <w:rPr>
          <w:sz w:val="24"/>
        </w:rPr>
        <w:t>All</w:t>
      </w:r>
      <w:r>
        <w:rPr>
          <w:spacing w:val="-3"/>
          <w:sz w:val="24"/>
        </w:rPr>
        <w:t> </w:t>
      </w:r>
      <w:r>
        <w:rPr>
          <w:sz w:val="24"/>
        </w:rPr>
        <w:t>activities</w:t>
      </w:r>
      <w:r>
        <w:rPr>
          <w:spacing w:val="-3"/>
          <w:sz w:val="24"/>
        </w:rPr>
        <w:t> </w:t>
      </w:r>
      <w:r>
        <w:rPr>
          <w:sz w:val="24"/>
        </w:rPr>
        <w:t>of</w:t>
      </w:r>
      <w:r>
        <w:rPr>
          <w:spacing w:val="-4"/>
          <w:sz w:val="24"/>
        </w:rPr>
        <w:t> </w:t>
      </w:r>
      <w:r>
        <w:rPr>
          <w:sz w:val="24"/>
        </w:rPr>
        <w:t>the</w:t>
      </w:r>
      <w:r>
        <w:rPr>
          <w:spacing w:val="-3"/>
          <w:sz w:val="24"/>
        </w:rPr>
        <w:t> </w:t>
      </w:r>
      <w:r>
        <w:rPr>
          <w:sz w:val="24"/>
        </w:rPr>
        <w:t>Case</w:t>
      </w:r>
      <w:r>
        <w:rPr>
          <w:spacing w:val="-3"/>
          <w:sz w:val="24"/>
        </w:rPr>
        <w:t> </w:t>
      </w:r>
      <w:r>
        <w:rPr>
          <w:sz w:val="24"/>
        </w:rPr>
        <w:t>Review</w:t>
      </w:r>
      <w:r>
        <w:rPr>
          <w:spacing w:val="-3"/>
          <w:sz w:val="24"/>
        </w:rPr>
        <w:t> </w:t>
      </w:r>
      <w:r>
        <w:rPr>
          <w:sz w:val="24"/>
        </w:rPr>
        <w:t>Section</w:t>
      </w:r>
      <w:r>
        <w:rPr>
          <w:spacing w:val="-3"/>
          <w:sz w:val="24"/>
        </w:rPr>
        <w:t> </w:t>
      </w:r>
      <w:r>
        <w:rPr>
          <w:sz w:val="24"/>
        </w:rPr>
        <w:t>will</w:t>
      </w:r>
      <w:r>
        <w:rPr>
          <w:spacing w:val="-2"/>
          <w:sz w:val="24"/>
        </w:rPr>
        <w:t> </w:t>
      </w:r>
      <w:r>
        <w:rPr>
          <w:sz w:val="24"/>
        </w:rPr>
        <w:t>be</w:t>
      </w:r>
      <w:r>
        <w:rPr>
          <w:spacing w:val="-3"/>
          <w:sz w:val="24"/>
        </w:rPr>
        <w:t> </w:t>
      </w:r>
      <w:r>
        <w:rPr>
          <w:sz w:val="24"/>
        </w:rPr>
        <w:t>conducted</w:t>
      </w:r>
      <w:r>
        <w:rPr>
          <w:spacing w:val="-3"/>
          <w:sz w:val="24"/>
        </w:rPr>
        <w:t> </w:t>
      </w:r>
      <w:r>
        <w:rPr>
          <w:sz w:val="24"/>
        </w:rPr>
        <w:t>in</w:t>
      </w:r>
      <w:r>
        <w:rPr>
          <w:spacing w:val="-3"/>
          <w:sz w:val="24"/>
        </w:rPr>
        <w:t> </w:t>
      </w:r>
      <w:r>
        <w:rPr>
          <w:sz w:val="24"/>
        </w:rPr>
        <w:t>a manner to ensure the confidentiality of clients and staff.</w:t>
      </w:r>
    </w:p>
    <w:p>
      <w:pPr>
        <w:spacing w:line="253" w:lineRule="exact" w:before="160"/>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9-11-</w:t>
      </w:r>
      <w:r>
        <w:rPr>
          <w:spacing w:val="-5"/>
          <w:sz w:val="22"/>
        </w:rPr>
        <w:t>20</w:t>
      </w:r>
      <w:r>
        <w:rPr>
          <w:sz w:val="22"/>
        </w:rPr>
        <w:tab/>
        <w:t>Permanent,</w:t>
      </w:r>
      <w:r>
        <w:rPr>
          <w:spacing w:val="-7"/>
          <w:sz w:val="22"/>
        </w:rPr>
        <w:t> </w:t>
      </w:r>
      <w:r>
        <w:rPr>
          <w:sz w:val="22"/>
        </w:rPr>
        <w:t>Rule</w:t>
      </w:r>
      <w:r>
        <w:rPr>
          <w:spacing w:val="-8"/>
          <w:sz w:val="22"/>
        </w:rPr>
        <w:t> </w:t>
      </w:r>
      <w:r>
        <w:rPr>
          <w:sz w:val="22"/>
        </w:rPr>
        <w:t>implemented.</w:t>
      </w:r>
      <w:r>
        <w:rPr>
          <w:spacing w:val="47"/>
          <w:sz w:val="22"/>
        </w:rPr>
        <w:t> </w:t>
      </w:r>
      <w:r>
        <w:rPr>
          <w:sz w:val="22"/>
        </w:rPr>
        <w:t>This</w:t>
      </w:r>
      <w:r>
        <w:rPr>
          <w:spacing w:val="-9"/>
          <w:sz w:val="22"/>
        </w:rPr>
        <w:t> </w:t>
      </w:r>
      <w:r>
        <w:rPr>
          <w:sz w:val="22"/>
        </w:rPr>
        <w:t>replaces</w:t>
      </w:r>
      <w:r>
        <w:rPr>
          <w:spacing w:val="-7"/>
          <w:sz w:val="22"/>
        </w:rPr>
        <w:t> </w:t>
      </w:r>
      <w:r>
        <w:rPr>
          <w:sz w:val="22"/>
        </w:rPr>
        <w:t>revoked</w:t>
      </w:r>
      <w:r>
        <w:rPr>
          <w:spacing w:val="-8"/>
          <w:sz w:val="22"/>
        </w:rPr>
        <w:t> </w:t>
      </w:r>
      <w:r>
        <w:rPr>
          <w:sz w:val="22"/>
        </w:rPr>
        <w:t>rule</w:t>
      </w:r>
      <w:r>
        <w:rPr>
          <w:spacing w:val="-7"/>
          <w:sz w:val="22"/>
        </w:rPr>
        <w:t> </w:t>
      </w:r>
      <w:r>
        <w:rPr>
          <w:sz w:val="22"/>
        </w:rPr>
        <w:t>612:3-5-35</w:t>
      </w:r>
      <w:r>
        <w:rPr>
          <w:spacing w:val="-8"/>
          <w:sz w:val="22"/>
        </w:rPr>
        <w:t> </w:t>
      </w:r>
      <w:r>
        <w:rPr>
          <w:sz w:val="22"/>
        </w:rPr>
        <w:t>Case</w:t>
      </w:r>
      <w:r>
        <w:rPr>
          <w:spacing w:val="-7"/>
          <w:sz w:val="22"/>
        </w:rPr>
        <w:t> </w:t>
      </w:r>
      <w:r>
        <w:rPr>
          <w:spacing w:val="-2"/>
          <w:sz w:val="22"/>
        </w:rPr>
        <w:t>Review.</w:t>
      </w:r>
    </w:p>
    <w:p>
      <w:pPr>
        <w:spacing w:after="0" w:line="253" w:lineRule="exact"/>
        <w:jc w:val="left"/>
        <w:rPr>
          <w:sz w:val="22"/>
        </w:rPr>
        <w:sectPr>
          <w:pgSz w:w="12240" w:h="15840"/>
          <w:pgMar w:top="1340" w:bottom="280" w:left="1080" w:right="720"/>
        </w:sectPr>
      </w:pPr>
    </w:p>
    <w:p>
      <w:pPr>
        <w:pStyle w:val="Heading1"/>
        <w:spacing w:line="417" w:lineRule="auto"/>
        <w:ind w:left="2366" w:right="775" w:hanging="927"/>
        <w:jc w:val="left"/>
      </w:pPr>
      <w:r>
        <w:rPr/>
        <w:t>TITLE</w:t>
      </w:r>
      <w:r>
        <w:rPr>
          <w:spacing w:val="-7"/>
        </w:rPr>
        <w:t> </w:t>
      </w:r>
      <w:r>
        <w:rPr/>
        <w:t>612.</w:t>
      </w:r>
      <w:r>
        <w:rPr>
          <w:spacing w:val="-8"/>
        </w:rPr>
        <w:t> </w:t>
      </w:r>
      <w:r>
        <w:rPr/>
        <w:t>STATE</w:t>
      </w:r>
      <w:r>
        <w:rPr>
          <w:spacing w:val="-7"/>
        </w:rPr>
        <w:t> </w:t>
      </w:r>
      <w:r>
        <w:rPr/>
        <w:t>DEPARTMENT</w:t>
      </w:r>
      <w:r>
        <w:rPr>
          <w:spacing w:val="-6"/>
        </w:rPr>
        <w:t> </w:t>
      </w:r>
      <w:r>
        <w:rPr/>
        <w:t>OF</w:t>
      </w:r>
      <w:r>
        <w:rPr>
          <w:spacing w:val="-8"/>
        </w:rPr>
        <w:t> </w:t>
      </w:r>
      <w:r>
        <w:rPr/>
        <w:t>REHABILITATION</w:t>
      </w:r>
      <w:r>
        <w:rPr>
          <w:spacing w:val="-7"/>
        </w:rPr>
        <w:t> </w:t>
      </w:r>
      <w:r>
        <w:rPr/>
        <w:t>SERVICES </w:t>
      </w:r>
      <w:bookmarkStart w:name="CHAPTER 3.  MANAGEMENT SERVICES DIVISION" w:id="75"/>
      <w:bookmarkEnd w:id="75"/>
      <w:r>
        <w:rPr/>
        <w:t>CH</w:t>
      </w:r>
      <w:r>
        <w:rPr/>
        <w:t>APTER 3.</w:t>
      </w:r>
      <w:r>
        <w:rPr>
          <w:spacing w:val="40"/>
        </w:rPr>
        <w:t> </w:t>
      </w:r>
      <w:r>
        <w:rPr/>
        <w:t>MANAGEMENT SERVICES DIVISION</w:t>
      </w:r>
    </w:p>
    <w:p>
      <w:pPr>
        <w:pStyle w:val="BodyText"/>
        <w:tabs>
          <w:tab w:pos="8279" w:val="left" w:leader="none"/>
        </w:tabs>
        <w:spacing w:line="276" w:lineRule="exact" w:before="0"/>
        <w:ind w:left="359"/>
      </w:pPr>
      <w:r>
        <w:rPr>
          <w:spacing w:val="-2"/>
        </w:rPr>
        <w:t>Subchapter</w:t>
      </w:r>
      <w:r>
        <w:rPr/>
        <w:tab/>
      </w:r>
      <w:r>
        <w:rPr>
          <w:spacing w:val="-2"/>
        </w:rPr>
        <w:t>Section</w:t>
      </w:r>
    </w:p>
    <w:p>
      <w:pPr>
        <w:pStyle w:val="BodyText"/>
        <w:tabs>
          <w:tab w:pos="1079" w:val="left" w:leader="none"/>
          <w:tab w:pos="8279" w:val="left" w:leader="none"/>
        </w:tabs>
        <w:spacing w:before="204"/>
        <w:ind w:left="359"/>
      </w:pPr>
      <w:r>
        <w:rPr>
          <w:spacing w:val="-5"/>
        </w:rPr>
        <w:t>1.</w:t>
      </w:r>
      <w:r>
        <w:rPr/>
        <w:tab/>
        <w:t>General</w:t>
      </w:r>
      <w:r>
        <w:rPr>
          <w:spacing w:val="-4"/>
        </w:rPr>
        <w:t> </w:t>
      </w:r>
      <w:r>
        <w:rPr>
          <w:spacing w:val="-2"/>
        </w:rPr>
        <w:t>provisions</w:t>
      </w:r>
      <w:r>
        <w:rPr/>
        <w:tab/>
      </w:r>
      <w:r>
        <w:rPr>
          <w:spacing w:val="-2"/>
        </w:rPr>
        <w:t>612:3-1-</w:t>
      </w:r>
      <w:r>
        <w:rPr>
          <w:spacing w:val="-10"/>
        </w:rPr>
        <w:t>1</w:t>
      </w:r>
    </w:p>
    <w:p>
      <w:pPr>
        <w:pStyle w:val="BodyText"/>
        <w:tabs>
          <w:tab w:pos="1079" w:val="left" w:leader="none"/>
          <w:tab w:pos="8279" w:val="left" w:leader="none"/>
        </w:tabs>
        <w:spacing w:before="204"/>
        <w:ind w:left="359"/>
      </w:pPr>
      <w:r>
        <w:rPr>
          <w:spacing w:val="-5"/>
        </w:rPr>
        <w:t>3.</w:t>
      </w:r>
      <w:r>
        <w:rPr/>
        <w:tab/>
        <w:t>Human</w:t>
      </w:r>
      <w:r>
        <w:rPr>
          <w:spacing w:val="-4"/>
        </w:rPr>
        <w:t> </w:t>
      </w:r>
      <w:r>
        <w:rPr/>
        <w:t>Resources</w:t>
      </w:r>
      <w:r>
        <w:rPr>
          <w:spacing w:val="-3"/>
        </w:rPr>
        <w:t> </w:t>
      </w:r>
      <w:r>
        <w:rPr>
          <w:spacing w:val="-4"/>
        </w:rPr>
        <w:t>Unit</w:t>
      </w:r>
      <w:r>
        <w:rPr/>
        <w:tab/>
      </w:r>
      <w:r>
        <w:rPr>
          <w:spacing w:val="-2"/>
        </w:rPr>
        <w:t>612:3-3-</w:t>
      </w:r>
      <w:r>
        <w:rPr>
          <w:spacing w:val="-10"/>
        </w:rPr>
        <w:t>1</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4-28-</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tabs>
          <w:tab w:pos="1439" w:val="left" w:leader="none"/>
        </w:tabs>
        <w:spacing w:before="0"/>
        <w:ind w:left="360" w:right="3019" w:firstLine="1080"/>
        <w:jc w:val="left"/>
        <w:rPr>
          <w:sz w:val="22"/>
        </w:rPr>
      </w:pPr>
      <w:r>
        <w:rPr>
          <w:sz w:val="22"/>
        </w:rPr>
        <w:t>Emergency</w:t>
      </w:r>
      <w:r>
        <w:rPr>
          <w:spacing w:val="-5"/>
          <w:sz w:val="22"/>
        </w:rPr>
        <w:t> </w:t>
      </w:r>
      <w:r>
        <w:rPr>
          <w:sz w:val="22"/>
        </w:rPr>
        <w:t>rules;</w:t>
      </w:r>
      <w:r>
        <w:rPr>
          <w:spacing w:val="-5"/>
          <w:sz w:val="22"/>
        </w:rPr>
        <w:t> </w:t>
      </w:r>
      <w:r>
        <w:rPr>
          <w:sz w:val="22"/>
        </w:rPr>
        <w:t>first</w:t>
      </w:r>
      <w:r>
        <w:rPr>
          <w:spacing w:val="-6"/>
          <w:sz w:val="22"/>
        </w:rPr>
        <w:t> </w:t>
      </w:r>
      <w:r>
        <w:rPr>
          <w:sz w:val="22"/>
        </w:rPr>
        <w:t>adoption</w:t>
      </w:r>
      <w:r>
        <w:rPr>
          <w:spacing w:val="-5"/>
          <w:sz w:val="22"/>
        </w:rPr>
        <w:t> </w:t>
      </w:r>
      <w:r>
        <w:rPr>
          <w:sz w:val="22"/>
        </w:rPr>
        <w:t>of</w:t>
      </w:r>
      <w:r>
        <w:rPr>
          <w:spacing w:val="-5"/>
          <w:sz w:val="22"/>
        </w:rPr>
        <w:t> </w:t>
      </w:r>
      <w:r>
        <w:rPr>
          <w:sz w:val="22"/>
        </w:rPr>
        <w:t>Chapter</w:t>
      </w:r>
      <w:r>
        <w:rPr>
          <w:spacing w:val="-5"/>
          <w:sz w:val="22"/>
        </w:rPr>
        <w:t> </w:t>
      </w:r>
      <w:r>
        <w:rPr>
          <w:sz w:val="22"/>
        </w:rPr>
        <w:t>3</w:t>
      </w:r>
      <w:r>
        <w:rPr>
          <w:spacing w:val="-5"/>
          <w:sz w:val="22"/>
        </w:rPr>
        <w:t> </w:t>
      </w:r>
      <w:r>
        <w:rPr>
          <w:sz w:val="22"/>
        </w:rPr>
        <w:t>table</w:t>
      </w:r>
      <w:r>
        <w:rPr>
          <w:spacing w:val="-5"/>
          <w:sz w:val="22"/>
        </w:rPr>
        <w:t> </w:t>
      </w:r>
      <w:r>
        <w:rPr>
          <w:sz w:val="22"/>
        </w:rPr>
        <w:t>of</w:t>
      </w:r>
      <w:r>
        <w:rPr>
          <w:spacing w:val="-5"/>
          <w:sz w:val="22"/>
        </w:rPr>
        <w:t> </w:t>
      </w:r>
      <w:r>
        <w:rPr>
          <w:sz w:val="22"/>
        </w:rPr>
        <w:t>contents </w:t>
      </w:r>
      <w:r>
        <w:rPr>
          <w:spacing w:val="-2"/>
          <w:sz w:val="22"/>
        </w:rPr>
        <w:t>7-1-96</w:t>
      </w:r>
      <w:r>
        <w:rPr>
          <w:sz w:val="22"/>
        </w:rPr>
        <w:tab/>
        <w:t>PT Memo #96-6</w:t>
      </w:r>
    </w:p>
    <w:p>
      <w:pPr>
        <w:tabs>
          <w:tab w:pos="1439" w:val="left" w:leader="none"/>
        </w:tabs>
        <w:spacing w:before="0"/>
        <w:ind w:left="359" w:right="3093" w:firstLine="1080"/>
        <w:jc w:val="left"/>
        <w:rPr>
          <w:sz w:val="22"/>
        </w:rPr>
      </w:pPr>
      <w:r>
        <w:rPr>
          <w:sz w:val="22"/>
        </w:rPr>
        <w:t>Permanent</w:t>
      </w:r>
      <w:r>
        <w:rPr>
          <w:spacing w:val="-7"/>
          <w:sz w:val="22"/>
        </w:rPr>
        <w:t> </w:t>
      </w:r>
      <w:r>
        <w:rPr>
          <w:sz w:val="22"/>
        </w:rPr>
        <w:t>rules</w:t>
      </w:r>
      <w:r>
        <w:rPr>
          <w:spacing w:val="-7"/>
          <w:sz w:val="22"/>
        </w:rPr>
        <w:t> </w:t>
      </w:r>
      <w:r>
        <w:rPr>
          <w:sz w:val="22"/>
        </w:rPr>
        <w:t>supersede</w:t>
      </w:r>
      <w:r>
        <w:rPr>
          <w:spacing w:val="-7"/>
          <w:sz w:val="22"/>
        </w:rPr>
        <w:t> </w:t>
      </w:r>
      <w:r>
        <w:rPr>
          <w:sz w:val="22"/>
        </w:rPr>
        <w:t>emergency</w:t>
      </w:r>
      <w:r>
        <w:rPr>
          <w:spacing w:val="-7"/>
          <w:sz w:val="22"/>
        </w:rPr>
        <w:t> </w:t>
      </w:r>
      <w:r>
        <w:rPr>
          <w:sz w:val="22"/>
        </w:rPr>
        <w:t>rules</w:t>
      </w:r>
      <w:r>
        <w:rPr>
          <w:spacing w:val="-8"/>
          <w:sz w:val="22"/>
        </w:rPr>
        <w:t> </w:t>
      </w:r>
      <w:r>
        <w:rPr>
          <w:sz w:val="22"/>
        </w:rPr>
        <w:t>issued</w:t>
      </w:r>
      <w:r>
        <w:rPr>
          <w:spacing w:val="-7"/>
          <w:sz w:val="22"/>
        </w:rPr>
        <w:t> </w:t>
      </w:r>
      <w:r>
        <w:rPr>
          <w:sz w:val="22"/>
        </w:rPr>
        <w:t>4-28-95 </w:t>
      </w:r>
      <w:r>
        <w:rPr>
          <w:spacing w:val="-2"/>
          <w:sz w:val="22"/>
        </w:rPr>
        <w:t>7-1-97</w:t>
      </w:r>
      <w:r>
        <w:rPr>
          <w:sz w:val="22"/>
        </w:rPr>
        <w:tab/>
        <w:t>PT Memo #97-8</w:t>
      </w:r>
    </w:p>
    <w:p>
      <w:pPr>
        <w:spacing w:before="0"/>
        <w:ind w:left="1439" w:right="0" w:firstLine="0"/>
        <w:jc w:val="left"/>
        <w:rPr>
          <w:sz w:val="22"/>
        </w:rPr>
      </w:pPr>
      <w:r>
        <w:rPr>
          <w:sz w:val="22"/>
        </w:rPr>
        <w:t>Permanent</w:t>
      </w:r>
      <w:r>
        <w:rPr>
          <w:spacing w:val="-8"/>
          <w:sz w:val="22"/>
        </w:rPr>
        <w:t> </w:t>
      </w:r>
      <w:r>
        <w:rPr>
          <w:sz w:val="22"/>
        </w:rPr>
        <w:t>rules</w:t>
      </w:r>
      <w:r>
        <w:rPr>
          <w:spacing w:val="-8"/>
          <w:sz w:val="22"/>
        </w:rPr>
        <w:t> </w:t>
      </w:r>
      <w:r>
        <w:rPr>
          <w:sz w:val="22"/>
        </w:rPr>
        <w:t>changed</w:t>
      </w:r>
      <w:r>
        <w:rPr>
          <w:spacing w:val="-8"/>
          <w:sz w:val="22"/>
        </w:rPr>
        <w:t> </w:t>
      </w:r>
      <w:r>
        <w:rPr>
          <w:sz w:val="22"/>
        </w:rPr>
        <w:t>Subchapter</w:t>
      </w:r>
      <w:r>
        <w:rPr>
          <w:spacing w:val="-8"/>
          <w:sz w:val="22"/>
        </w:rPr>
        <w:t> </w:t>
      </w:r>
      <w:r>
        <w:rPr>
          <w:sz w:val="22"/>
        </w:rPr>
        <w:t>5</w:t>
      </w:r>
      <w:r>
        <w:rPr>
          <w:spacing w:val="-8"/>
          <w:sz w:val="22"/>
        </w:rPr>
        <w:t> </w:t>
      </w:r>
      <w:r>
        <w:rPr>
          <w:spacing w:val="-2"/>
          <w:sz w:val="22"/>
        </w:rPr>
        <w:t>tagline</w:t>
      </w:r>
    </w:p>
    <w:p>
      <w:pPr>
        <w:tabs>
          <w:tab w:pos="1439" w:val="left" w:leader="none"/>
        </w:tabs>
        <w:spacing w:before="1"/>
        <w:ind w:left="1439" w:right="1123" w:hanging="1080"/>
        <w:jc w:val="left"/>
        <w:rPr>
          <w:sz w:val="22"/>
        </w:rPr>
      </w:pPr>
      <w:r>
        <w:rPr>
          <w:spacing w:val="-2"/>
          <w:sz w:val="22"/>
        </w:rPr>
        <w:t>9-11-20</w:t>
      </w:r>
      <w:r>
        <w:rPr>
          <w:sz w:val="22"/>
        </w:rPr>
        <w:tab/>
        <w:t>Revoked</w:t>
      </w:r>
      <w:r>
        <w:rPr>
          <w:spacing w:val="-4"/>
          <w:sz w:val="22"/>
        </w:rPr>
        <w:t> </w:t>
      </w:r>
      <w:r>
        <w:rPr>
          <w:sz w:val="22"/>
        </w:rPr>
        <w:t>Subchapter</w:t>
      </w:r>
      <w:r>
        <w:rPr>
          <w:spacing w:val="-4"/>
          <w:sz w:val="22"/>
        </w:rPr>
        <w:t> </w:t>
      </w:r>
      <w:r>
        <w:rPr>
          <w:sz w:val="22"/>
        </w:rPr>
        <w:t>5,</w:t>
      </w:r>
      <w:r>
        <w:rPr>
          <w:spacing w:val="-5"/>
          <w:sz w:val="22"/>
        </w:rPr>
        <w:t> </w:t>
      </w:r>
      <w:r>
        <w:rPr>
          <w:sz w:val="22"/>
        </w:rPr>
        <w:t>Policy</w:t>
      </w:r>
      <w:r>
        <w:rPr>
          <w:spacing w:val="-4"/>
          <w:sz w:val="22"/>
        </w:rPr>
        <w:t> </w:t>
      </w:r>
      <w:r>
        <w:rPr>
          <w:sz w:val="22"/>
        </w:rPr>
        <w:t>Development</w:t>
      </w:r>
      <w:r>
        <w:rPr>
          <w:spacing w:val="-4"/>
          <w:sz w:val="22"/>
        </w:rPr>
        <w:t> </w:t>
      </w:r>
      <w:r>
        <w:rPr>
          <w:sz w:val="22"/>
        </w:rPr>
        <w:t>and</w:t>
      </w:r>
      <w:r>
        <w:rPr>
          <w:spacing w:val="-4"/>
          <w:sz w:val="22"/>
        </w:rPr>
        <w:t> </w:t>
      </w:r>
      <w:r>
        <w:rPr>
          <w:sz w:val="22"/>
        </w:rPr>
        <w:t>Program</w:t>
      </w:r>
      <w:r>
        <w:rPr>
          <w:spacing w:val="-5"/>
          <w:sz w:val="22"/>
        </w:rPr>
        <w:t> </w:t>
      </w:r>
      <w:r>
        <w:rPr>
          <w:sz w:val="22"/>
        </w:rPr>
        <w:t>Standards.</w:t>
      </w:r>
      <w:r>
        <w:rPr>
          <w:spacing w:val="40"/>
          <w:sz w:val="22"/>
        </w:rPr>
        <w:t> </w:t>
      </w:r>
      <w:r>
        <w:rPr>
          <w:sz w:val="22"/>
        </w:rPr>
        <w:t>Relocated and renamed to Chapter 1, Subchapter 18 Process Improvement</w:t>
      </w:r>
    </w:p>
    <w:p>
      <w:pPr>
        <w:spacing w:after="0"/>
        <w:jc w:val="left"/>
        <w:rPr>
          <w:sz w:val="22"/>
        </w:rPr>
        <w:sectPr>
          <w:pgSz w:w="12240" w:h="15840"/>
          <w:pgMar w:top="1340" w:bottom="280" w:left="1080" w:right="720"/>
        </w:sectPr>
      </w:pPr>
    </w:p>
    <w:p>
      <w:pPr>
        <w:pStyle w:val="Heading1"/>
      </w:pPr>
      <w:bookmarkStart w:name="SUBCHAPTER 1. GENERAL PROVISIONS" w:id="76"/>
      <w:bookmarkEnd w:id="76"/>
      <w:r>
        <w:rPr>
          <w:b w:val="0"/>
        </w:rPr>
      </w:r>
      <w:r>
        <w:rPr/>
        <w:t>SUBCHAPTER</w:t>
      </w:r>
      <w:r>
        <w:rPr>
          <w:spacing w:val="-4"/>
        </w:rPr>
        <w:t> </w:t>
      </w:r>
      <w:r>
        <w:rPr/>
        <w:t>1.</w:t>
      </w:r>
      <w:r>
        <w:rPr>
          <w:spacing w:val="-3"/>
        </w:rPr>
        <w:t> </w:t>
      </w:r>
      <w:r>
        <w:rPr/>
        <w:t>GENERAL</w:t>
      </w:r>
      <w:r>
        <w:rPr>
          <w:spacing w:val="-3"/>
        </w:rPr>
        <w:t> </w:t>
      </w:r>
      <w:r>
        <w:rPr>
          <w:spacing w:val="-2"/>
        </w:rPr>
        <w:t>PROVISIONS</w:t>
      </w:r>
    </w:p>
    <w:p>
      <w:pPr>
        <w:pStyle w:val="BodyText"/>
        <w:spacing w:before="204"/>
      </w:pPr>
      <w:r>
        <w:rPr>
          <w:spacing w:val="-2"/>
        </w:rPr>
        <w:t>Section</w:t>
      </w:r>
    </w:p>
    <w:p>
      <w:pPr>
        <w:pStyle w:val="BodyText"/>
        <w:tabs>
          <w:tab w:pos="1799" w:val="left" w:leader="none"/>
        </w:tabs>
        <w:spacing w:before="204"/>
      </w:pPr>
      <w:r>
        <w:rPr>
          <w:spacing w:val="-2"/>
        </w:rPr>
        <w:t>612:3-1-</w:t>
      </w:r>
      <w:r>
        <w:rPr>
          <w:spacing w:val="-5"/>
        </w:rPr>
        <w:t>1.</w:t>
      </w:r>
      <w:r>
        <w:rPr/>
        <w:tab/>
      </w:r>
      <w:r>
        <w:rPr>
          <w:spacing w:val="-2"/>
        </w:rPr>
        <w:t>Purpose</w:t>
      </w:r>
    </w:p>
    <w:p>
      <w:pPr>
        <w:pStyle w:val="BodyText"/>
        <w:tabs>
          <w:tab w:pos="1799" w:val="left" w:leader="none"/>
        </w:tabs>
        <w:spacing w:before="204"/>
      </w:pPr>
      <w:r>
        <w:rPr>
          <w:spacing w:val="-2"/>
        </w:rPr>
        <w:t>612:3-1-</w:t>
      </w:r>
      <w:r>
        <w:rPr>
          <w:spacing w:val="-5"/>
        </w:rPr>
        <w:t>2.</w:t>
      </w:r>
      <w:r>
        <w:rPr/>
        <w:tab/>
      </w:r>
      <w:r>
        <w:rPr>
          <w:spacing w:val="-2"/>
        </w:rPr>
        <w:t>Definitions</w:t>
      </w:r>
    </w:p>
    <w:p>
      <w:pPr>
        <w:pStyle w:val="BodyText"/>
        <w:tabs>
          <w:tab w:pos="1799" w:val="left" w:leader="none"/>
        </w:tabs>
        <w:spacing w:before="204"/>
      </w:pPr>
      <w:r>
        <w:rPr>
          <w:spacing w:val="-2"/>
        </w:rPr>
        <w:t>612:3-1-</w:t>
      </w:r>
      <w:r>
        <w:rPr>
          <w:spacing w:val="-5"/>
        </w:rPr>
        <w:t>3.</w:t>
      </w:r>
      <w:r>
        <w:rPr/>
        <w:tab/>
        <w:t>Functions</w:t>
      </w:r>
      <w:r>
        <w:rPr>
          <w:spacing w:val="-2"/>
        </w:rPr>
        <w:t> </w:t>
      </w:r>
      <w:r>
        <w:rPr/>
        <w:t>of</w:t>
      </w:r>
      <w:r>
        <w:rPr>
          <w:spacing w:val="-2"/>
        </w:rPr>
        <w:t> </w:t>
      </w:r>
      <w:r>
        <w:rPr/>
        <w:t>the</w:t>
      </w:r>
      <w:r>
        <w:rPr>
          <w:spacing w:val="-2"/>
        </w:rPr>
        <w:t> division</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4-28-</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tabs>
          <w:tab w:pos="1439" w:val="left" w:leader="none"/>
        </w:tabs>
        <w:spacing w:before="0"/>
        <w:ind w:left="360" w:right="2895" w:firstLine="1080"/>
        <w:jc w:val="left"/>
        <w:rPr>
          <w:sz w:val="22"/>
        </w:rPr>
      </w:pPr>
      <w:r>
        <w:rPr>
          <w:sz w:val="22"/>
        </w:rPr>
        <w:t>Emergency,</w:t>
      </w:r>
      <w:r>
        <w:rPr>
          <w:spacing w:val="-4"/>
          <w:sz w:val="22"/>
        </w:rPr>
        <w:t> </w:t>
      </w:r>
      <w:r>
        <w:rPr>
          <w:sz w:val="22"/>
        </w:rPr>
        <w:t>first</w:t>
      </w:r>
      <w:r>
        <w:rPr>
          <w:spacing w:val="-4"/>
          <w:sz w:val="22"/>
        </w:rPr>
        <w:t> </w:t>
      </w:r>
      <w:r>
        <w:rPr>
          <w:sz w:val="22"/>
        </w:rPr>
        <w:t>adoption</w:t>
      </w:r>
      <w:r>
        <w:rPr>
          <w:spacing w:val="-4"/>
          <w:sz w:val="22"/>
        </w:rPr>
        <w:t> </w:t>
      </w:r>
      <w:r>
        <w:rPr>
          <w:sz w:val="22"/>
        </w:rPr>
        <w:t>of</w:t>
      </w:r>
      <w:r>
        <w:rPr>
          <w:spacing w:val="-4"/>
          <w:sz w:val="22"/>
        </w:rPr>
        <w:t> </w:t>
      </w:r>
      <w:r>
        <w:rPr>
          <w:sz w:val="22"/>
        </w:rPr>
        <w:t>table</w:t>
      </w:r>
      <w:r>
        <w:rPr>
          <w:spacing w:val="-4"/>
          <w:sz w:val="22"/>
        </w:rPr>
        <w:t> </w:t>
      </w:r>
      <w:r>
        <w:rPr>
          <w:sz w:val="22"/>
        </w:rPr>
        <w:t>of</w:t>
      </w:r>
      <w:r>
        <w:rPr>
          <w:spacing w:val="-5"/>
          <w:sz w:val="22"/>
        </w:rPr>
        <w:t> </w:t>
      </w:r>
      <w:r>
        <w:rPr>
          <w:sz w:val="22"/>
        </w:rPr>
        <w:t>contents</w:t>
      </w:r>
      <w:r>
        <w:rPr>
          <w:spacing w:val="-4"/>
          <w:sz w:val="22"/>
        </w:rPr>
        <w:t> </w:t>
      </w:r>
      <w:r>
        <w:rPr>
          <w:sz w:val="22"/>
        </w:rPr>
        <w:t>for</w:t>
      </w:r>
      <w:r>
        <w:rPr>
          <w:spacing w:val="-5"/>
          <w:sz w:val="22"/>
        </w:rPr>
        <w:t> </w:t>
      </w:r>
      <w:r>
        <w:rPr>
          <w:sz w:val="22"/>
        </w:rPr>
        <w:t>Subchapter</w:t>
      </w:r>
      <w:r>
        <w:rPr>
          <w:spacing w:val="-4"/>
          <w:sz w:val="22"/>
        </w:rPr>
        <w:t> </w:t>
      </w:r>
      <w:r>
        <w:rPr>
          <w:sz w:val="22"/>
        </w:rPr>
        <w:t>1 </w:t>
      </w:r>
      <w:r>
        <w:rPr>
          <w:spacing w:val="-2"/>
          <w:sz w:val="22"/>
        </w:rPr>
        <w:t>7-1-96</w:t>
      </w:r>
      <w:r>
        <w:rPr>
          <w:sz w:val="22"/>
        </w:rPr>
        <w:tab/>
        <w:t>PT Memo #96-6</w:t>
      </w:r>
    </w:p>
    <w:p>
      <w:pPr>
        <w:spacing w:before="0"/>
        <w:ind w:left="1439" w:right="0" w:firstLine="0"/>
        <w:jc w:val="left"/>
        <w:rPr>
          <w:sz w:val="22"/>
        </w:rPr>
      </w:pPr>
      <w:r>
        <w:rPr>
          <w:sz w:val="22"/>
        </w:rPr>
        <w:t>Permanent,</w:t>
      </w:r>
      <w:r>
        <w:rPr>
          <w:spacing w:val="-11"/>
          <w:sz w:val="22"/>
        </w:rPr>
        <w:t> </w:t>
      </w:r>
      <w:r>
        <w:rPr>
          <w:sz w:val="22"/>
        </w:rPr>
        <w:t>supersede</w:t>
      </w:r>
      <w:r>
        <w:rPr>
          <w:spacing w:val="-11"/>
          <w:sz w:val="22"/>
        </w:rPr>
        <w:t> </w:t>
      </w:r>
      <w:r>
        <w:rPr>
          <w:sz w:val="22"/>
        </w:rPr>
        <w:t>emergency</w:t>
      </w:r>
      <w:r>
        <w:rPr>
          <w:spacing w:val="-10"/>
          <w:sz w:val="22"/>
        </w:rPr>
        <w:t> </w:t>
      </w:r>
      <w:r>
        <w:rPr>
          <w:sz w:val="22"/>
        </w:rPr>
        <w:t>rules</w:t>
      </w:r>
      <w:r>
        <w:rPr>
          <w:spacing w:val="-11"/>
          <w:sz w:val="22"/>
        </w:rPr>
        <w:t> </w:t>
      </w:r>
      <w:r>
        <w:rPr>
          <w:sz w:val="22"/>
        </w:rPr>
        <w:t>issued</w:t>
      </w:r>
      <w:r>
        <w:rPr>
          <w:spacing w:val="-11"/>
          <w:sz w:val="22"/>
        </w:rPr>
        <w:t> </w:t>
      </w:r>
      <w:r>
        <w:rPr>
          <w:sz w:val="22"/>
        </w:rPr>
        <w:t>4-28-</w:t>
      </w:r>
      <w:r>
        <w:rPr>
          <w:spacing w:val="-5"/>
          <w:sz w:val="22"/>
        </w:rPr>
        <w:t>95</w:t>
      </w:r>
    </w:p>
    <w:p>
      <w:pPr>
        <w:spacing w:after="0"/>
        <w:jc w:val="left"/>
        <w:rPr>
          <w:sz w:val="22"/>
        </w:rPr>
        <w:sectPr>
          <w:pgSz w:w="12240" w:h="15840"/>
          <w:pgMar w:top="1340" w:bottom="280" w:left="1080" w:right="720"/>
        </w:sectPr>
      </w:pPr>
    </w:p>
    <w:p>
      <w:pPr>
        <w:pStyle w:val="Heading2"/>
      </w:pPr>
      <w:bookmarkStart w:name="612:3-1-1.  Purpose" w:id="77"/>
      <w:bookmarkEnd w:id="77"/>
      <w:r>
        <w:rPr>
          <w:b w:val="0"/>
        </w:rPr>
      </w:r>
      <w:r>
        <w:rPr/>
        <w:t>612:3-1-1.</w:t>
      </w:r>
      <w:r>
        <w:rPr>
          <w:spacing w:val="60"/>
        </w:rPr>
        <w:t> </w:t>
      </w:r>
      <w:r>
        <w:rPr>
          <w:spacing w:val="-2"/>
        </w:rPr>
        <w:t>Purpose</w:t>
      </w:r>
    </w:p>
    <w:p>
      <w:pPr>
        <w:pStyle w:val="BodyText"/>
        <w:spacing w:line="208" w:lineRule="auto" w:before="233"/>
        <w:ind w:right="787" w:firstLine="432"/>
      </w:pPr>
      <w:r>
        <w:rPr/>
        <w:t>The purpose of this Chapter is to set forth the policies and procedures governing the operation of the Management Services Division of the Department of Rehabilitation Services. The policies in this Chapter are promulgated under the authority of the Commission</w:t>
      </w:r>
      <w:r>
        <w:rPr>
          <w:spacing w:val="-4"/>
        </w:rPr>
        <w:t> </w:t>
      </w:r>
      <w:r>
        <w:rPr/>
        <w:t>for</w:t>
      </w:r>
      <w:r>
        <w:rPr>
          <w:spacing w:val="-3"/>
        </w:rPr>
        <w:t> </w:t>
      </w:r>
      <w:r>
        <w:rPr/>
        <w:t>Rehabilitation</w:t>
      </w:r>
      <w:r>
        <w:rPr>
          <w:spacing w:val="-4"/>
        </w:rPr>
        <w:t> </w:t>
      </w:r>
      <w:r>
        <w:rPr/>
        <w:t>Services</w:t>
      </w:r>
      <w:r>
        <w:rPr>
          <w:spacing w:val="-4"/>
        </w:rPr>
        <w:t> </w:t>
      </w:r>
      <w:r>
        <w:rPr/>
        <w:t>as</w:t>
      </w:r>
      <w:r>
        <w:rPr>
          <w:spacing w:val="-4"/>
        </w:rPr>
        <w:t> </w:t>
      </w:r>
      <w:r>
        <w:rPr/>
        <w:t>established</w:t>
      </w:r>
      <w:r>
        <w:rPr>
          <w:spacing w:val="-3"/>
        </w:rPr>
        <w:t> </w:t>
      </w:r>
      <w:r>
        <w:rPr/>
        <w:t>in</w:t>
      </w:r>
      <w:r>
        <w:rPr>
          <w:spacing w:val="-4"/>
        </w:rPr>
        <w:t> </w:t>
      </w:r>
      <w:r>
        <w:rPr/>
        <w:t>74</w:t>
      </w:r>
      <w:r>
        <w:rPr>
          <w:spacing w:val="-4"/>
        </w:rPr>
        <w:t> </w:t>
      </w:r>
      <w:r>
        <w:rPr/>
        <w:t>O.S.,</w:t>
      </w:r>
      <w:r>
        <w:rPr>
          <w:spacing w:val="-5"/>
        </w:rPr>
        <w:t> </w:t>
      </w:r>
      <w:r>
        <w:rPr/>
        <w:t>Section</w:t>
      </w:r>
      <w:r>
        <w:rPr>
          <w:spacing w:val="-4"/>
        </w:rPr>
        <w:t> </w:t>
      </w:r>
      <w:r>
        <w:rPr/>
        <w:t>166.1</w:t>
      </w:r>
      <w:r>
        <w:rPr>
          <w:spacing w:val="-4"/>
        </w:rPr>
        <w:t> </w:t>
      </w:r>
      <w:r>
        <w:rPr/>
        <w:t>et</w:t>
      </w:r>
      <w:r>
        <w:rPr>
          <w:spacing w:val="-3"/>
        </w:rPr>
        <w:t> </w:t>
      </w:r>
      <w:r>
        <w:rPr/>
        <w:t>seq.</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4-28-</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tabs>
          <w:tab w:pos="1439" w:val="left" w:leader="none"/>
        </w:tabs>
        <w:spacing w:before="0"/>
        <w:ind w:left="359" w:right="6600" w:firstLine="1080"/>
        <w:jc w:val="left"/>
        <w:rPr>
          <w:sz w:val="22"/>
        </w:rPr>
      </w:pPr>
      <w:r>
        <w:rPr>
          <w:sz w:val="22"/>
        </w:rPr>
        <w:t>Emergency,</w:t>
      </w:r>
      <w:r>
        <w:rPr>
          <w:spacing w:val="-16"/>
          <w:sz w:val="22"/>
        </w:rPr>
        <w:t> </w:t>
      </w:r>
      <w:r>
        <w:rPr>
          <w:sz w:val="22"/>
        </w:rPr>
        <w:t>new</w:t>
      </w:r>
      <w:r>
        <w:rPr>
          <w:spacing w:val="-15"/>
          <w:sz w:val="22"/>
        </w:rPr>
        <w:t> </w:t>
      </w:r>
      <w:r>
        <w:rPr>
          <w:sz w:val="22"/>
        </w:rPr>
        <w:t>section </w:t>
      </w:r>
      <w:r>
        <w:rPr>
          <w:spacing w:val="-2"/>
          <w:sz w:val="22"/>
        </w:rPr>
        <w:t>7-1-96</w:t>
      </w:r>
      <w:r>
        <w:rPr>
          <w:sz w:val="22"/>
        </w:rPr>
        <w:tab/>
        <w:t>PT Memo #96-6</w:t>
      </w:r>
    </w:p>
    <w:p>
      <w:pPr>
        <w:spacing w:before="0"/>
        <w:ind w:left="1439" w:right="0" w:firstLine="0"/>
        <w:jc w:val="left"/>
        <w:rPr>
          <w:sz w:val="22"/>
        </w:rPr>
      </w:pPr>
      <w:r>
        <w:rPr>
          <w:sz w:val="22"/>
        </w:rPr>
        <w:t>Permanent,</w:t>
      </w:r>
      <w:r>
        <w:rPr>
          <w:spacing w:val="-10"/>
          <w:sz w:val="22"/>
        </w:rPr>
        <w:t> </w:t>
      </w:r>
      <w:r>
        <w:rPr>
          <w:sz w:val="22"/>
        </w:rPr>
        <w:t>supersedes</w:t>
      </w:r>
      <w:r>
        <w:rPr>
          <w:spacing w:val="-12"/>
          <w:sz w:val="22"/>
        </w:rPr>
        <w:t> </w:t>
      </w:r>
      <w:r>
        <w:rPr>
          <w:sz w:val="22"/>
        </w:rPr>
        <w:t>emergency</w:t>
      </w:r>
      <w:r>
        <w:rPr>
          <w:spacing w:val="-10"/>
          <w:sz w:val="22"/>
        </w:rPr>
        <w:t> </w:t>
      </w:r>
      <w:r>
        <w:rPr>
          <w:sz w:val="22"/>
        </w:rPr>
        <w:t>rule</w:t>
      </w:r>
      <w:r>
        <w:rPr>
          <w:spacing w:val="-11"/>
          <w:sz w:val="22"/>
        </w:rPr>
        <w:t> </w:t>
      </w:r>
      <w:r>
        <w:rPr>
          <w:sz w:val="22"/>
        </w:rPr>
        <w:t>issued</w:t>
      </w:r>
      <w:r>
        <w:rPr>
          <w:spacing w:val="-11"/>
          <w:sz w:val="22"/>
        </w:rPr>
        <w:t> </w:t>
      </w:r>
      <w:r>
        <w:rPr>
          <w:sz w:val="22"/>
        </w:rPr>
        <w:t>4-28-</w:t>
      </w:r>
      <w:r>
        <w:rPr>
          <w:spacing w:val="-5"/>
          <w:sz w:val="22"/>
        </w:rPr>
        <w:t>95</w:t>
      </w:r>
    </w:p>
    <w:p>
      <w:pPr>
        <w:spacing w:after="0"/>
        <w:jc w:val="left"/>
        <w:rPr>
          <w:sz w:val="22"/>
        </w:rPr>
        <w:sectPr>
          <w:pgSz w:w="12240" w:h="15840"/>
          <w:pgMar w:top="1340" w:bottom="280" w:left="1080" w:right="720"/>
        </w:sectPr>
      </w:pPr>
    </w:p>
    <w:p>
      <w:pPr>
        <w:pStyle w:val="Heading2"/>
      </w:pPr>
      <w:bookmarkStart w:name="612:3-1-2.  Definitions" w:id="78"/>
      <w:bookmarkEnd w:id="78"/>
      <w:r>
        <w:rPr>
          <w:b w:val="0"/>
        </w:rPr>
      </w:r>
      <w:r>
        <w:rPr/>
        <w:t>612:3-1-2.</w:t>
      </w:r>
      <w:r>
        <w:rPr>
          <w:spacing w:val="60"/>
        </w:rPr>
        <w:t> </w:t>
      </w:r>
      <w:r>
        <w:rPr>
          <w:spacing w:val="-2"/>
        </w:rPr>
        <w:t>Definitions</w:t>
      </w:r>
    </w:p>
    <w:p>
      <w:pPr>
        <w:pStyle w:val="BodyText"/>
        <w:spacing w:line="208" w:lineRule="auto" w:before="233"/>
        <w:ind w:right="775" w:firstLine="432"/>
      </w:pPr>
      <w:r>
        <w:rPr/>
        <w:t>The</w:t>
      </w:r>
      <w:r>
        <w:rPr>
          <w:spacing w:val="-3"/>
        </w:rPr>
        <w:t> </w:t>
      </w:r>
      <w:r>
        <w:rPr/>
        <w:t>following</w:t>
      </w:r>
      <w:r>
        <w:rPr>
          <w:spacing w:val="-3"/>
        </w:rPr>
        <w:t> </w:t>
      </w:r>
      <w:r>
        <w:rPr/>
        <w:t>words</w:t>
      </w:r>
      <w:r>
        <w:rPr>
          <w:spacing w:val="-3"/>
        </w:rPr>
        <w:t> </w:t>
      </w:r>
      <w:r>
        <w:rPr/>
        <w:t>and</w:t>
      </w:r>
      <w:r>
        <w:rPr>
          <w:spacing w:val="-3"/>
        </w:rPr>
        <w:t> </w:t>
      </w:r>
      <w:r>
        <w:rPr/>
        <w:t>terms,</w:t>
      </w:r>
      <w:r>
        <w:rPr>
          <w:spacing w:val="-5"/>
        </w:rPr>
        <w:t> </w:t>
      </w:r>
      <w:r>
        <w:rPr/>
        <w:t>when</w:t>
      </w:r>
      <w:r>
        <w:rPr>
          <w:spacing w:val="-3"/>
        </w:rPr>
        <w:t> </w:t>
      </w:r>
      <w:r>
        <w:rPr/>
        <w:t>used</w:t>
      </w:r>
      <w:r>
        <w:rPr>
          <w:spacing w:val="-2"/>
        </w:rPr>
        <w:t> </w:t>
      </w:r>
      <w:r>
        <w:rPr/>
        <w:t>in</w:t>
      </w:r>
      <w:r>
        <w:rPr>
          <w:spacing w:val="-3"/>
        </w:rPr>
        <w:t> </w:t>
      </w:r>
      <w:r>
        <w:rPr/>
        <w:t>this</w:t>
      </w:r>
      <w:r>
        <w:rPr>
          <w:spacing w:val="-3"/>
        </w:rPr>
        <w:t> </w:t>
      </w:r>
      <w:r>
        <w:rPr/>
        <w:t>Chapter,</w:t>
      </w:r>
      <w:r>
        <w:rPr>
          <w:spacing w:val="-2"/>
        </w:rPr>
        <w:t> </w:t>
      </w:r>
      <w:r>
        <w:rPr/>
        <w:t>shall</w:t>
      </w:r>
      <w:r>
        <w:rPr>
          <w:spacing w:val="-3"/>
        </w:rPr>
        <w:t> </w:t>
      </w:r>
      <w:r>
        <w:rPr/>
        <w:t>have</w:t>
      </w:r>
      <w:r>
        <w:rPr>
          <w:spacing w:val="-3"/>
        </w:rPr>
        <w:t> </w:t>
      </w:r>
      <w:r>
        <w:rPr/>
        <w:t>the</w:t>
      </w:r>
      <w:r>
        <w:rPr>
          <w:spacing w:val="-3"/>
        </w:rPr>
        <w:t> </w:t>
      </w:r>
      <w:r>
        <w:rPr/>
        <w:t>following meaning, unless the context clearly indicates otherwise:</w:t>
      </w:r>
    </w:p>
    <w:p>
      <w:pPr>
        <w:pStyle w:val="BodyText"/>
        <w:spacing w:line="208" w:lineRule="auto"/>
        <w:ind w:right="775" w:firstLine="432"/>
      </w:pPr>
      <w:r>
        <w:rPr>
          <w:b/>
        </w:rPr>
        <w:t>"Certification as a person with a severe disability under 74 O.S. 840-4.12" </w:t>
      </w:r>
      <w:r>
        <w:rPr/>
        <w:t>means certification of a person as having a severe physical or mental disability which seriously</w:t>
      </w:r>
      <w:r>
        <w:rPr>
          <w:spacing w:val="-4"/>
        </w:rPr>
        <w:t> </w:t>
      </w:r>
      <w:r>
        <w:rPr/>
        <w:t>limits</w:t>
      </w:r>
      <w:r>
        <w:rPr>
          <w:spacing w:val="-4"/>
        </w:rPr>
        <w:t> </w:t>
      </w:r>
      <w:r>
        <w:rPr/>
        <w:t>one</w:t>
      </w:r>
      <w:r>
        <w:rPr>
          <w:spacing w:val="-4"/>
        </w:rPr>
        <w:t> </w:t>
      </w:r>
      <w:r>
        <w:rPr/>
        <w:t>or</w:t>
      </w:r>
      <w:r>
        <w:rPr>
          <w:spacing w:val="-5"/>
        </w:rPr>
        <w:t> </w:t>
      </w:r>
      <w:r>
        <w:rPr/>
        <w:t>more</w:t>
      </w:r>
      <w:r>
        <w:rPr>
          <w:spacing w:val="-5"/>
        </w:rPr>
        <w:t> </w:t>
      </w:r>
      <w:r>
        <w:rPr/>
        <w:t>functional</w:t>
      </w:r>
      <w:r>
        <w:rPr>
          <w:spacing w:val="-4"/>
        </w:rPr>
        <w:t> </w:t>
      </w:r>
      <w:r>
        <w:rPr/>
        <w:t>capacities</w:t>
      </w:r>
      <w:r>
        <w:rPr>
          <w:spacing w:val="-4"/>
        </w:rPr>
        <w:t> </w:t>
      </w:r>
      <w:r>
        <w:rPr/>
        <w:t>in</w:t>
      </w:r>
      <w:r>
        <w:rPr>
          <w:spacing w:val="-4"/>
        </w:rPr>
        <w:t> </w:t>
      </w:r>
      <w:r>
        <w:rPr/>
        <w:t>terms</w:t>
      </w:r>
      <w:r>
        <w:rPr>
          <w:spacing w:val="-4"/>
        </w:rPr>
        <w:t> </w:t>
      </w:r>
      <w:r>
        <w:rPr/>
        <w:t>of</w:t>
      </w:r>
      <w:r>
        <w:rPr>
          <w:spacing w:val="-3"/>
        </w:rPr>
        <w:t> </w:t>
      </w:r>
      <w:r>
        <w:rPr/>
        <w:t>an</w:t>
      </w:r>
      <w:r>
        <w:rPr>
          <w:spacing w:val="-4"/>
        </w:rPr>
        <w:t> </w:t>
      </w:r>
      <w:r>
        <w:rPr/>
        <w:t>employment</w:t>
      </w:r>
      <w:r>
        <w:rPr>
          <w:spacing w:val="-3"/>
        </w:rPr>
        <w:t> </w:t>
      </w:r>
      <w:r>
        <w:rPr/>
        <w:t>outcome; and for whom State agencies have the option of waiving entrance examinations and modifying other hiring practices under the provisions of 74 O.S. 840-4.12.</w:t>
      </w:r>
    </w:p>
    <w:p>
      <w:pPr>
        <w:pStyle w:val="BodyText"/>
        <w:spacing w:line="208" w:lineRule="auto" w:before="239"/>
        <w:ind w:left="359" w:right="775" w:firstLine="432"/>
      </w:pPr>
      <w:r>
        <w:rPr>
          <w:b/>
        </w:rPr>
        <w:t>"Classified"</w:t>
      </w:r>
      <w:r>
        <w:rPr>
          <w:b/>
          <w:spacing w:val="-4"/>
        </w:rPr>
        <w:t> </w:t>
      </w:r>
      <w:r>
        <w:rPr/>
        <w:t>means</w:t>
      </w:r>
      <w:r>
        <w:rPr>
          <w:spacing w:val="-5"/>
        </w:rPr>
        <w:t> </w:t>
      </w:r>
      <w:r>
        <w:rPr/>
        <w:t>state</w:t>
      </w:r>
      <w:r>
        <w:rPr>
          <w:spacing w:val="-4"/>
        </w:rPr>
        <w:t> </w:t>
      </w:r>
      <w:r>
        <w:rPr/>
        <w:t>employees</w:t>
      </w:r>
      <w:r>
        <w:rPr>
          <w:spacing w:val="-4"/>
        </w:rPr>
        <w:t> </w:t>
      </w:r>
      <w:r>
        <w:rPr/>
        <w:t>and</w:t>
      </w:r>
      <w:r>
        <w:rPr>
          <w:spacing w:val="-4"/>
        </w:rPr>
        <w:t> </w:t>
      </w:r>
      <w:r>
        <w:rPr/>
        <w:t>positions</w:t>
      </w:r>
      <w:r>
        <w:rPr>
          <w:spacing w:val="-4"/>
        </w:rPr>
        <w:t> </w:t>
      </w:r>
      <w:r>
        <w:rPr/>
        <w:t>under</w:t>
      </w:r>
      <w:r>
        <w:rPr>
          <w:spacing w:val="-3"/>
        </w:rPr>
        <w:t> </w:t>
      </w:r>
      <w:r>
        <w:rPr/>
        <w:t>the</w:t>
      </w:r>
      <w:r>
        <w:rPr>
          <w:spacing w:val="-4"/>
        </w:rPr>
        <w:t> </w:t>
      </w:r>
      <w:r>
        <w:rPr/>
        <w:t>jurisdiction</w:t>
      </w:r>
      <w:r>
        <w:rPr>
          <w:spacing w:val="-4"/>
        </w:rPr>
        <w:t> </w:t>
      </w:r>
      <w:r>
        <w:rPr/>
        <w:t>of</w:t>
      </w:r>
      <w:r>
        <w:rPr>
          <w:spacing w:val="-5"/>
        </w:rPr>
        <w:t> </w:t>
      </w:r>
      <w:r>
        <w:rPr/>
        <w:t>the Oklahoma Merit System of Personnel Administration.</w:t>
      </w:r>
    </w:p>
    <w:p>
      <w:pPr>
        <w:pStyle w:val="BodyText"/>
        <w:spacing w:line="208" w:lineRule="auto"/>
        <w:ind w:left="359" w:right="775" w:firstLine="432"/>
      </w:pPr>
      <w:r>
        <w:rPr>
          <w:b/>
        </w:rPr>
        <w:t>"DHCGRP"</w:t>
      </w:r>
      <w:r>
        <w:rPr>
          <w:b/>
          <w:spacing w:val="-5"/>
        </w:rPr>
        <w:t> </w:t>
      </w:r>
      <w:r>
        <w:rPr/>
        <w:t>means</w:t>
      </w:r>
      <w:r>
        <w:rPr>
          <w:spacing w:val="-5"/>
        </w:rPr>
        <w:t> </w:t>
      </w:r>
      <w:r>
        <w:rPr/>
        <w:t>the</w:t>
      </w:r>
      <w:r>
        <w:rPr>
          <w:spacing w:val="-5"/>
        </w:rPr>
        <w:t> </w:t>
      </w:r>
      <w:r>
        <w:rPr/>
        <w:t>Discrimination</w:t>
      </w:r>
      <w:r>
        <w:rPr>
          <w:spacing w:val="-5"/>
        </w:rPr>
        <w:t> </w:t>
      </w:r>
      <w:r>
        <w:rPr/>
        <w:t>and</w:t>
      </w:r>
      <w:r>
        <w:rPr>
          <w:spacing w:val="-5"/>
        </w:rPr>
        <w:t> </w:t>
      </w:r>
      <w:r>
        <w:rPr/>
        <w:t>Harassment</w:t>
      </w:r>
      <w:r>
        <w:rPr>
          <w:spacing w:val="-6"/>
        </w:rPr>
        <w:t> </w:t>
      </w:r>
      <w:r>
        <w:rPr/>
        <w:t>Complaint</w:t>
      </w:r>
      <w:r>
        <w:rPr>
          <w:spacing w:val="-4"/>
        </w:rPr>
        <w:t> </w:t>
      </w:r>
      <w:r>
        <w:rPr/>
        <w:t>and</w:t>
      </w:r>
      <w:r>
        <w:rPr>
          <w:spacing w:val="-5"/>
        </w:rPr>
        <w:t> </w:t>
      </w:r>
      <w:r>
        <w:rPr/>
        <w:t>Grievance Resolution Procedure.</w:t>
      </w:r>
    </w:p>
    <w:p>
      <w:pPr>
        <w:pStyle w:val="BodyText"/>
        <w:spacing w:before="211"/>
        <w:ind w:left="791"/>
      </w:pPr>
      <w:r>
        <w:rPr>
          <w:b/>
        </w:rPr>
        <w:t>"DRS"</w:t>
      </w:r>
      <w:r>
        <w:rPr>
          <w:b/>
          <w:spacing w:val="-4"/>
        </w:rPr>
        <w:t> </w:t>
      </w:r>
      <w:r>
        <w:rPr/>
        <w:t>means</w:t>
      </w:r>
      <w:r>
        <w:rPr>
          <w:spacing w:val="-4"/>
        </w:rPr>
        <w:t> </w:t>
      </w:r>
      <w:r>
        <w:rPr/>
        <w:t>the</w:t>
      </w:r>
      <w:r>
        <w:rPr>
          <w:spacing w:val="-4"/>
        </w:rPr>
        <w:t> </w:t>
      </w:r>
      <w:r>
        <w:rPr/>
        <w:t>State</w:t>
      </w:r>
      <w:r>
        <w:rPr>
          <w:spacing w:val="-4"/>
        </w:rPr>
        <w:t> </w:t>
      </w:r>
      <w:r>
        <w:rPr/>
        <w:t>Department</w:t>
      </w:r>
      <w:r>
        <w:rPr>
          <w:spacing w:val="-3"/>
        </w:rPr>
        <w:t> </w:t>
      </w:r>
      <w:r>
        <w:rPr/>
        <w:t>of</w:t>
      </w:r>
      <w:r>
        <w:rPr>
          <w:spacing w:val="-3"/>
        </w:rPr>
        <w:t> </w:t>
      </w:r>
      <w:r>
        <w:rPr/>
        <w:t>Rehabilitation</w:t>
      </w:r>
      <w:r>
        <w:rPr>
          <w:spacing w:val="-2"/>
        </w:rPr>
        <w:t> Services.</w:t>
      </w:r>
    </w:p>
    <w:p>
      <w:pPr>
        <w:pStyle w:val="BodyText"/>
        <w:spacing w:line="208" w:lineRule="auto" w:before="233"/>
        <w:ind w:left="359" w:right="775" w:firstLine="432"/>
      </w:pPr>
      <w:r>
        <w:rPr>
          <w:b/>
        </w:rPr>
        <w:t>"FEPA"</w:t>
      </w:r>
      <w:r>
        <w:rPr>
          <w:b/>
          <w:spacing w:val="-5"/>
        </w:rPr>
        <w:t> </w:t>
      </w:r>
      <w:r>
        <w:rPr/>
        <w:t>means</w:t>
      </w:r>
      <w:r>
        <w:rPr>
          <w:spacing w:val="-5"/>
        </w:rPr>
        <w:t> </w:t>
      </w:r>
      <w:r>
        <w:rPr/>
        <w:t>the</w:t>
      </w:r>
      <w:r>
        <w:rPr>
          <w:spacing w:val="-5"/>
        </w:rPr>
        <w:t> </w:t>
      </w:r>
      <w:r>
        <w:rPr/>
        <w:t>Oklahoma</w:t>
      </w:r>
      <w:r>
        <w:rPr>
          <w:spacing w:val="-5"/>
        </w:rPr>
        <w:t> </w:t>
      </w:r>
      <w:r>
        <w:rPr/>
        <w:t>Fair</w:t>
      </w:r>
      <w:r>
        <w:rPr>
          <w:spacing w:val="-4"/>
        </w:rPr>
        <w:t> </w:t>
      </w:r>
      <w:r>
        <w:rPr/>
        <w:t>Employment</w:t>
      </w:r>
      <w:r>
        <w:rPr>
          <w:spacing w:val="-4"/>
        </w:rPr>
        <w:t> </w:t>
      </w:r>
      <w:r>
        <w:rPr/>
        <w:t>Practices</w:t>
      </w:r>
      <w:r>
        <w:rPr>
          <w:spacing w:val="-5"/>
        </w:rPr>
        <w:t> </w:t>
      </w:r>
      <w:r>
        <w:rPr/>
        <w:t>Act,</w:t>
      </w:r>
      <w:r>
        <w:rPr>
          <w:spacing w:val="-4"/>
        </w:rPr>
        <w:t> </w:t>
      </w:r>
      <w:r>
        <w:rPr/>
        <w:t>Section</w:t>
      </w:r>
      <w:r>
        <w:rPr>
          <w:spacing w:val="-5"/>
        </w:rPr>
        <w:t> </w:t>
      </w:r>
      <w:r>
        <w:rPr/>
        <w:t>840-4.12(I) of the Oklahoma Personnel Act.</w:t>
      </w:r>
    </w:p>
    <w:p>
      <w:pPr>
        <w:pStyle w:val="BodyText"/>
        <w:spacing w:before="210"/>
        <w:ind w:left="791"/>
      </w:pPr>
      <w:r>
        <w:rPr>
          <w:b/>
        </w:rPr>
        <w:t>"FLSA"</w:t>
      </w:r>
      <w:r>
        <w:rPr>
          <w:b/>
          <w:spacing w:val="-4"/>
        </w:rPr>
        <w:t> </w:t>
      </w:r>
      <w:r>
        <w:rPr/>
        <w:t>means</w:t>
      </w:r>
      <w:r>
        <w:rPr>
          <w:spacing w:val="-3"/>
        </w:rPr>
        <w:t> </w:t>
      </w:r>
      <w:r>
        <w:rPr/>
        <w:t>the</w:t>
      </w:r>
      <w:r>
        <w:rPr>
          <w:spacing w:val="-4"/>
        </w:rPr>
        <w:t> </w:t>
      </w:r>
      <w:r>
        <w:rPr/>
        <w:t>Fair</w:t>
      </w:r>
      <w:r>
        <w:rPr>
          <w:spacing w:val="-2"/>
        </w:rPr>
        <w:t> </w:t>
      </w:r>
      <w:r>
        <w:rPr/>
        <w:t>Labor</w:t>
      </w:r>
      <w:r>
        <w:rPr>
          <w:spacing w:val="-3"/>
        </w:rPr>
        <w:t> </w:t>
      </w:r>
      <w:r>
        <w:rPr/>
        <w:t>Standards</w:t>
      </w:r>
      <w:r>
        <w:rPr>
          <w:spacing w:val="-3"/>
        </w:rPr>
        <w:t> </w:t>
      </w:r>
      <w:r>
        <w:rPr>
          <w:spacing w:val="-4"/>
        </w:rPr>
        <w:t>Act.</w:t>
      </w:r>
    </w:p>
    <w:p>
      <w:pPr>
        <w:pStyle w:val="BodyText"/>
        <w:spacing w:line="208" w:lineRule="auto" w:before="234"/>
        <w:ind w:left="359" w:right="775" w:firstLine="432"/>
      </w:pPr>
      <w:r>
        <w:rPr>
          <w:b/>
        </w:rPr>
        <w:t>"FLSA</w:t>
      </w:r>
      <w:r>
        <w:rPr>
          <w:b/>
          <w:spacing w:val="-3"/>
        </w:rPr>
        <w:t> </w:t>
      </w:r>
      <w:r>
        <w:rPr>
          <w:b/>
        </w:rPr>
        <w:t>Exempt"</w:t>
      </w:r>
      <w:r>
        <w:rPr>
          <w:b/>
          <w:spacing w:val="-4"/>
        </w:rPr>
        <w:t> </w:t>
      </w:r>
      <w:r>
        <w:rPr/>
        <w:t>means</w:t>
      </w:r>
      <w:r>
        <w:rPr>
          <w:spacing w:val="-4"/>
        </w:rPr>
        <w:t> </w:t>
      </w:r>
      <w:r>
        <w:rPr/>
        <w:t>employees</w:t>
      </w:r>
      <w:r>
        <w:rPr>
          <w:spacing w:val="-4"/>
        </w:rPr>
        <w:t> </w:t>
      </w:r>
      <w:r>
        <w:rPr/>
        <w:t>performing</w:t>
      </w:r>
      <w:r>
        <w:rPr>
          <w:spacing w:val="-4"/>
        </w:rPr>
        <w:t> </w:t>
      </w:r>
      <w:r>
        <w:rPr/>
        <w:t>work</w:t>
      </w:r>
      <w:r>
        <w:rPr>
          <w:spacing w:val="-4"/>
        </w:rPr>
        <w:t> </w:t>
      </w:r>
      <w:r>
        <w:rPr/>
        <w:t>which</w:t>
      </w:r>
      <w:r>
        <w:rPr>
          <w:spacing w:val="-4"/>
        </w:rPr>
        <w:t> </w:t>
      </w:r>
      <w:r>
        <w:rPr/>
        <w:t>is</w:t>
      </w:r>
      <w:r>
        <w:rPr>
          <w:spacing w:val="-4"/>
        </w:rPr>
        <w:t> </w:t>
      </w:r>
      <w:r>
        <w:rPr/>
        <w:t>considered</w:t>
      </w:r>
      <w:r>
        <w:rPr>
          <w:spacing w:val="-4"/>
        </w:rPr>
        <w:t> </w:t>
      </w:r>
      <w:r>
        <w:rPr/>
        <w:t>to</w:t>
      </w:r>
      <w:r>
        <w:rPr>
          <w:spacing w:val="-4"/>
        </w:rPr>
        <w:t> </w:t>
      </w:r>
      <w:r>
        <w:rPr/>
        <w:t>be exempt from the overtime payment provisions of the FLSA.</w:t>
      </w:r>
    </w:p>
    <w:p>
      <w:pPr>
        <w:pStyle w:val="BodyText"/>
        <w:spacing w:line="208" w:lineRule="auto" w:before="239"/>
        <w:ind w:left="359" w:right="775" w:firstLine="432"/>
      </w:pPr>
      <w:r>
        <w:rPr>
          <w:b/>
        </w:rPr>
        <w:t>"FLSA</w:t>
      </w:r>
      <w:r>
        <w:rPr>
          <w:b/>
          <w:spacing w:val="-3"/>
        </w:rPr>
        <w:t> </w:t>
      </w:r>
      <w:r>
        <w:rPr>
          <w:b/>
        </w:rPr>
        <w:t>Non-exempt"</w:t>
      </w:r>
      <w:r>
        <w:rPr>
          <w:b/>
          <w:spacing w:val="-4"/>
        </w:rPr>
        <w:t> </w:t>
      </w:r>
      <w:r>
        <w:rPr/>
        <w:t>means</w:t>
      </w:r>
      <w:r>
        <w:rPr>
          <w:spacing w:val="-4"/>
        </w:rPr>
        <w:t> </w:t>
      </w:r>
      <w:r>
        <w:rPr/>
        <w:t>employees</w:t>
      </w:r>
      <w:r>
        <w:rPr>
          <w:spacing w:val="-4"/>
        </w:rPr>
        <w:t> </w:t>
      </w:r>
      <w:r>
        <w:rPr/>
        <w:t>performing</w:t>
      </w:r>
      <w:r>
        <w:rPr>
          <w:spacing w:val="-4"/>
        </w:rPr>
        <w:t> </w:t>
      </w:r>
      <w:r>
        <w:rPr/>
        <w:t>work</w:t>
      </w:r>
      <w:r>
        <w:rPr>
          <w:spacing w:val="-4"/>
        </w:rPr>
        <w:t> </w:t>
      </w:r>
      <w:r>
        <w:rPr/>
        <w:t>which</w:t>
      </w:r>
      <w:r>
        <w:rPr>
          <w:spacing w:val="-4"/>
        </w:rPr>
        <w:t> </w:t>
      </w:r>
      <w:r>
        <w:rPr/>
        <w:t>is</w:t>
      </w:r>
      <w:r>
        <w:rPr>
          <w:spacing w:val="-4"/>
        </w:rPr>
        <w:t> </w:t>
      </w:r>
      <w:r>
        <w:rPr/>
        <w:t>considered</w:t>
      </w:r>
      <w:r>
        <w:rPr>
          <w:spacing w:val="-4"/>
        </w:rPr>
        <w:t> </w:t>
      </w:r>
      <w:r>
        <w:rPr/>
        <w:t>to</w:t>
      </w:r>
      <w:r>
        <w:rPr>
          <w:spacing w:val="-4"/>
        </w:rPr>
        <w:t> </w:t>
      </w:r>
      <w:r>
        <w:rPr/>
        <w:t>be under the overtime payment provisions of the FLSA.</w:t>
      </w:r>
    </w:p>
    <w:p>
      <w:pPr>
        <w:pStyle w:val="BodyText"/>
        <w:spacing w:line="208" w:lineRule="auto"/>
        <w:ind w:right="855" w:firstLine="432"/>
      </w:pPr>
      <w:r>
        <w:rPr>
          <w:b/>
        </w:rPr>
        <w:t>"Hiring</w:t>
      </w:r>
      <w:r>
        <w:rPr>
          <w:b/>
          <w:spacing w:val="-4"/>
        </w:rPr>
        <w:t> </w:t>
      </w:r>
      <w:r>
        <w:rPr>
          <w:b/>
        </w:rPr>
        <w:t>official"</w:t>
      </w:r>
      <w:r>
        <w:rPr>
          <w:b/>
          <w:spacing w:val="-5"/>
        </w:rPr>
        <w:t> </w:t>
      </w:r>
      <w:r>
        <w:rPr/>
        <w:t>means</w:t>
      </w:r>
      <w:r>
        <w:rPr>
          <w:spacing w:val="-4"/>
        </w:rPr>
        <w:t> </w:t>
      </w:r>
      <w:r>
        <w:rPr/>
        <w:t>the</w:t>
      </w:r>
      <w:r>
        <w:rPr>
          <w:spacing w:val="-4"/>
        </w:rPr>
        <w:t> </w:t>
      </w:r>
      <w:r>
        <w:rPr/>
        <w:t>Director</w:t>
      </w:r>
      <w:r>
        <w:rPr>
          <w:spacing w:val="-3"/>
        </w:rPr>
        <w:t> </w:t>
      </w:r>
      <w:r>
        <w:rPr/>
        <w:t>of</w:t>
      </w:r>
      <w:r>
        <w:rPr>
          <w:spacing w:val="-5"/>
        </w:rPr>
        <w:t> </w:t>
      </w:r>
      <w:r>
        <w:rPr/>
        <w:t>the</w:t>
      </w:r>
      <w:r>
        <w:rPr>
          <w:spacing w:val="-5"/>
        </w:rPr>
        <w:t> </w:t>
      </w:r>
      <w:r>
        <w:rPr/>
        <w:t>Department</w:t>
      </w:r>
      <w:r>
        <w:rPr>
          <w:spacing w:val="-3"/>
        </w:rPr>
        <w:t> </w:t>
      </w:r>
      <w:r>
        <w:rPr/>
        <w:t>of</w:t>
      </w:r>
      <w:r>
        <w:rPr>
          <w:spacing w:val="-5"/>
        </w:rPr>
        <w:t> </w:t>
      </w:r>
      <w:r>
        <w:rPr/>
        <w:t>Rehabilitation</w:t>
      </w:r>
      <w:r>
        <w:rPr>
          <w:spacing w:val="-4"/>
        </w:rPr>
        <w:t> </w:t>
      </w:r>
      <w:r>
        <w:rPr/>
        <w:t>Services, or designee who is responsible for making the final decision to fill a vacant position.</w:t>
      </w:r>
    </w:p>
    <w:p>
      <w:pPr>
        <w:pStyle w:val="BodyText"/>
        <w:spacing w:line="208" w:lineRule="auto"/>
        <w:ind w:right="775" w:firstLine="432"/>
      </w:pPr>
      <w:r>
        <w:rPr>
          <w:b/>
        </w:rPr>
        <w:t>"IAGRP"</w:t>
      </w:r>
      <w:r>
        <w:rPr>
          <w:b/>
          <w:spacing w:val="-4"/>
        </w:rPr>
        <w:t> </w:t>
      </w:r>
      <w:r>
        <w:rPr/>
        <w:t>means</w:t>
      </w:r>
      <w:r>
        <w:rPr>
          <w:spacing w:val="-4"/>
        </w:rPr>
        <w:t> </w:t>
      </w:r>
      <w:r>
        <w:rPr/>
        <w:t>the</w:t>
      </w:r>
      <w:r>
        <w:rPr>
          <w:spacing w:val="-5"/>
        </w:rPr>
        <w:t> </w:t>
      </w:r>
      <w:r>
        <w:rPr/>
        <w:t>Internal</w:t>
      </w:r>
      <w:r>
        <w:rPr>
          <w:spacing w:val="-4"/>
        </w:rPr>
        <w:t> </w:t>
      </w:r>
      <w:r>
        <w:rPr/>
        <w:t>Agency</w:t>
      </w:r>
      <w:r>
        <w:rPr>
          <w:spacing w:val="-4"/>
        </w:rPr>
        <w:t> </w:t>
      </w:r>
      <w:r>
        <w:rPr/>
        <w:t>Grievance</w:t>
      </w:r>
      <w:r>
        <w:rPr>
          <w:spacing w:val="-4"/>
        </w:rPr>
        <w:t> </w:t>
      </w:r>
      <w:r>
        <w:rPr/>
        <w:t>Resolution</w:t>
      </w:r>
      <w:r>
        <w:rPr>
          <w:spacing w:val="-4"/>
        </w:rPr>
        <w:t> </w:t>
      </w:r>
      <w:r>
        <w:rPr/>
        <w:t>Procedures</w:t>
      </w:r>
      <w:r>
        <w:rPr>
          <w:spacing w:val="-4"/>
        </w:rPr>
        <w:t> </w:t>
      </w:r>
      <w:r>
        <w:rPr/>
        <w:t>pursuant</w:t>
      </w:r>
      <w:r>
        <w:rPr>
          <w:spacing w:val="-3"/>
        </w:rPr>
        <w:t> </w:t>
      </w:r>
      <w:r>
        <w:rPr/>
        <w:t>to Title 74, Subsection 840-6.2 (841.9) and Subchapter 19 of the Oklahoma Merit Protection Commission Merit Rules.</w:t>
      </w:r>
    </w:p>
    <w:p>
      <w:pPr>
        <w:pStyle w:val="BodyText"/>
        <w:spacing w:line="208" w:lineRule="auto"/>
        <w:ind w:right="775" w:firstLine="432"/>
      </w:pPr>
      <w:r>
        <w:rPr>
          <w:b/>
        </w:rPr>
        <w:t>"Interagency</w:t>
      </w:r>
      <w:r>
        <w:rPr>
          <w:b/>
          <w:spacing w:val="-4"/>
        </w:rPr>
        <w:t> </w:t>
      </w:r>
      <w:r>
        <w:rPr>
          <w:b/>
        </w:rPr>
        <w:t>transfer"</w:t>
      </w:r>
      <w:r>
        <w:rPr>
          <w:b/>
          <w:spacing w:val="-4"/>
        </w:rPr>
        <w:t> </w:t>
      </w:r>
      <w:r>
        <w:rPr/>
        <w:t>means</w:t>
      </w:r>
      <w:r>
        <w:rPr>
          <w:spacing w:val="-4"/>
        </w:rPr>
        <w:t> </w:t>
      </w:r>
      <w:r>
        <w:rPr/>
        <w:t>an</w:t>
      </w:r>
      <w:r>
        <w:rPr>
          <w:spacing w:val="-4"/>
        </w:rPr>
        <w:t> </w:t>
      </w:r>
      <w:r>
        <w:rPr/>
        <w:t>action</w:t>
      </w:r>
      <w:r>
        <w:rPr>
          <w:spacing w:val="-4"/>
        </w:rPr>
        <w:t> </w:t>
      </w:r>
      <w:r>
        <w:rPr/>
        <w:t>in</w:t>
      </w:r>
      <w:r>
        <w:rPr>
          <w:spacing w:val="-4"/>
        </w:rPr>
        <w:t> </w:t>
      </w:r>
      <w:r>
        <w:rPr/>
        <w:t>which</w:t>
      </w:r>
      <w:r>
        <w:rPr>
          <w:spacing w:val="-4"/>
        </w:rPr>
        <w:t> </w:t>
      </w:r>
      <w:r>
        <w:rPr/>
        <w:t>an</w:t>
      </w:r>
      <w:r>
        <w:rPr>
          <w:spacing w:val="-4"/>
        </w:rPr>
        <w:t> </w:t>
      </w:r>
      <w:r>
        <w:rPr/>
        <w:t>employee</w:t>
      </w:r>
      <w:r>
        <w:rPr>
          <w:spacing w:val="-4"/>
        </w:rPr>
        <w:t> </w:t>
      </w:r>
      <w:r>
        <w:rPr/>
        <w:t>leaves</w:t>
      </w:r>
      <w:r>
        <w:rPr>
          <w:spacing w:val="-4"/>
        </w:rPr>
        <w:t> </w:t>
      </w:r>
      <w:r>
        <w:rPr/>
        <w:t>employment with one agency and enters employment with another agency while continuously employed with the state.</w:t>
      </w:r>
    </w:p>
    <w:p>
      <w:pPr>
        <w:pStyle w:val="BodyText"/>
        <w:spacing w:line="208" w:lineRule="auto" w:before="239"/>
        <w:ind w:right="775" w:firstLine="432"/>
      </w:pPr>
      <w:r>
        <w:rPr>
          <w:b/>
        </w:rPr>
        <w:t>"Intra-agency</w:t>
      </w:r>
      <w:r>
        <w:rPr>
          <w:b/>
          <w:spacing w:val="-4"/>
        </w:rPr>
        <w:t> </w:t>
      </w:r>
      <w:r>
        <w:rPr>
          <w:b/>
        </w:rPr>
        <w:t>transfer"</w:t>
      </w:r>
      <w:r>
        <w:rPr>
          <w:b/>
          <w:spacing w:val="-4"/>
        </w:rPr>
        <w:t> </w:t>
      </w:r>
      <w:r>
        <w:rPr/>
        <w:t>means</w:t>
      </w:r>
      <w:r>
        <w:rPr>
          <w:spacing w:val="-5"/>
        </w:rPr>
        <w:t> </w:t>
      </w:r>
      <w:r>
        <w:rPr/>
        <w:t>moving</w:t>
      </w:r>
      <w:r>
        <w:rPr>
          <w:spacing w:val="-4"/>
        </w:rPr>
        <w:t> </w:t>
      </w:r>
      <w:r>
        <w:rPr/>
        <w:t>an</w:t>
      </w:r>
      <w:r>
        <w:rPr>
          <w:spacing w:val="-4"/>
        </w:rPr>
        <w:t> </w:t>
      </w:r>
      <w:r>
        <w:rPr/>
        <w:t>employee</w:t>
      </w:r>
      <w:r>
        <w:rPr>
          <w:spacing w:val="-4"/>
        </w:rPr>
        <w:t> </w:t>
      </w:r>
      <w:r>
        <w:rPr/>
        <w:t>from</w:t>
      </w:r>
      <w:r>
        <w:rPr>
          <w:spacing w:val="-3"/>
        </w:rPr>
        <w:t> </w:t>
      </w:r>
      <w:r>
        <w:rPr/>
        <w:t>one</w:t>
      </w:r>
      <w:r>
        <w:rPr>
          <w:spacing w:val="-4"/>
        </w:rPr>
        <w:t> </w:t>
      </w:r>
      <w:r>
        <w:rPr/>
        <w:t>position</w:t>
      </w:r>
      <w:r>
        <w:rPr>
          <w:spacing w:val="-4"/>
        </w:rPr>
        <w:t> </w:t>
      </w:r>
      <w:r>
        <w:rPr/>
        <w:t>to</w:t>
      </w:r>
      <w:r>
        <w:rPr>
          <w:spacing w:val="-4"/>
        </w:rPr>
        <w:t> </w:t>
      </w:r>
      <w:r>
        <w:rPr/>
        <w:t>another position with the same agency either with or without reclassification.</w:t>
      </w:r>
    </w:p>
    <w:p>
      <w:pPr>
        <w:pStyle w:val="BodyText"/>
        <w:spacing w:line="208" w:lineRule="auto"/>
        <w:ind w:right="775" w:firstLine="432"/>
      </w:pPr>
      <w:r>
        <w:rPr>
          <w:b/>
        </w:rPr>
        <w:t>"Lateral transfer" </w:t>
      </w:r>
      <w:r>
        <w:rPr/>
        <w:t>means the reassignment of an employee to another state job with</w:t>
      </w:r>
      <w:r>
        <w:rPr>
          <w:spacing w:val="-3"/>
        </w:rPr>
        <w:t> </w:t>
      </w:r>
      <w:r>
        <w:rPr/>
        <w:t>the</w:t>
      </w:r>
      <w:r>
        <w:rPr>
          <w:spacing w:val="-3"/>
        </w:rPr>
        <w:t> </w:t>
      </w:r>
      <w:r>
        <w:rPr/>
        <w:t>same</w:t>
      </w:r>
      <w:r>
        <w:rPr>
          <w:spacing w:val="-3"/>
        </w:rPr>
        <w:t> </w:t>
      </w:r>
      <w:r>
        <w:rPr/>
        <w:t>pay</w:t>
      </w:r>
      <w:r>
        <w:rPr>
          <w:spacing w:val="-3"/>
        </w:rPr>
        <w:t> </w:t>
      </w:r>
      <w:r>
        <w:rPr/>
        <w:t>band</w:t>
      </w:r>
      <w:r>
        <w:rPr>
          <w:spacing w:val="-3"/>
        </w:rPr>
        <w:t> </w:t>
      </w:r>
      <w:r>
        <w:rPr/>
        <w:t>assignment</w:t>
      </w:r>
      <w:r>
        <w:rPr>
          <w:spacing w:val="-2"/>
        </w:rPr>
        <w:t> </w:t>
      </w:r>
      <w:r>
        <w:rPr/>
        <w:t>as</w:t>
      </w:r>
      <w:r>
        <w:rPr>
          <w:spacing w:val="-3"/>
        </w:rPr>
        <w:t> </w:t>
      </w:r>
      <w:r>
        <w:rPr/>
        <w:t>the</w:t>
      </w:r>
      <w:r>
        <w:rPr>
          <w:spacing w:val="-3"/>
        </w:rPr>
        <w:t> </w:t>
      </w:r>
      <w:r>
        <w:rPr/>
        <w:t>job</w:t>
      </w:r>
      <w:r>
        <w:rPr>
          <w:spacing w:val="-3"/>
        </w:rPr>
        <w:t> </w:t>
      </w:r>
      <w:r>
        <w:rPr/>
        <w:t>family</w:t>
      </w:r>
      <w:r>
        <w:rPr>
          <w:spacing w:val="-3"/>
        </w:rPr>
        <w:t> </w:t>
      </w:r>
      <w:r>
        <w:rPr/>
        <w:t>level</w:t>
      </w:r>
      <w:r>
        <w:rPr>
          <w:spacing w:val="-3"/>
        </w:rPr>
        <w:t> </w:t>
      </w:r>
      <w:r>
        <w:rPr/>
        <w:t>in</w:t>
      </w:r>
      <w:r>
        <w:rPr>
          <w:spacing w:val="-3"/>
        </w:rPr>
        <w:t> </w:t>
      </w:r>
      <w:r>
        <w:rPr/>
        <w:t>which</w:t>
      </w:r>
      <w:r>
        <w:rPr>
          <w:spacing w:val="-3"/>
        </w:rPr>
        <w:t> </w:t>
      </w:r>
      <w:r>
        <w:rPr/>
        <w:t>the</w:t>
      </w:r>
      <w:r>
        <w:rPr>
          <w:spacing w:val="-3"/>
        </w:rPr>
        <w:t> </w:t>
      </w:r>
      <w:r>
        <w:rPr/>
        <w:t>employee</w:t>
      </w:r>
      <w:r>
        <w:rPr>
          <w:spacing w:val="-3"/>
        </w:rPr>
        <w:t> </w:t>
      </w:r>
      <w:r>
        <w:rPr/>
        <w:t>was classified prior to the lateral transfer.</w:t>
      </w:r>
    </w:p>
    <w:p>
      <w:pPr>
        <w:pStyle w:val="BodyText"/>
        <w:spacing w:line="208" w:lineRule="auto"/>
        <w:ind w:right="775" w:firstLine="432"/>
      </w:pPr>
      <w:r>
        <w:rPr>
          <w:b/>
        </w:rPr>
        <w:t>"Merit</w:t>
      </w:r>
      <w:r>
        <w:rPr>
          <w:b/>
          <w:spacing w:val="-5"/>
        </w:rPr>
        <w:t> </w:t>
      </w:r>
      <w:r>
        <w:rPr>
          <w:b/>
        </w:rPr>
        <w:t>Rules"</w:t>
      </w:r>
      <w:r>
        <w:rPr>
          <w:b/>
          <w:spacing w:val="-4"/>
        </w:rPr>
        <w:t> </w:t>
      </w:r>
      <w:r>
        <w:rPr/>
        <w:t>means</w:t>
      </w:r>
      <w:r>
        <w:rPr>
          <w:spacing w:val="-4"/>
        </w:rPr>
        <w:t> </w:t>
      </w:r>
      <w:r>
        <w:rPr/>
        <w:t>the</w:t>
      </w:r>
      <w:r>
        <w:rPr>
          <w:spacing w:val="-4"/>
        </w:rPr>
        <w:t> </w:t>
      </w:r>
      <w:r>
        <w:rPr/>
        <w:t>Merit</w:t>
      </w:r>
      <w:r>
        <w:rPr>
          <w:spacing w:val="-5"/>
        </w:rPr>
        <w:t> </w:t>
      </w:r>
      <w:r>
        <w:rPr/>
        <w:t>System</w:t>
      </w:r>
      <w:r>
        <w:rPr>
          <w:spacing w:val="-3"/>
        </w:rPr>
        <w:t> </w:t>
      </w:r>
      <w:r>
        <w:rPr/>
        <w:t>of</w:t>
      </w:r>
      <w:r>
        <w:rPr>
          <w:spacing w:val="-5"/>
        </w:rPr>
        <w:t> </w:t>
      </w:r>
      <w:r>
        <w:rPr/>
        <w:t>Personnel</w:t>
      </w:r>
      <w:r>
        <w:rPr>
          <w:spacing w:val="-4"/>
        </w:rPr>
        <w:t> </w:t>
      </w:r>
      <w:r>
        <w:rPr/>
        <w:t>Administration</w:t>
      </w:r>
      <w:r>
        <w:rPr>
          <w:spacing w:val="-4"/>
        </w:rPr>
        <w:t> </w:t>
      </w:r>
      <w:r>
        <w:rPr/>
        <w:t>Rules</w:t>
      </w:r>
      <w:r>
        <w:rPr>
          <w:spacing w:val="-4"/>
        </w:rPr>
        <w:t> </w:t>
      </w:r>
      <w:r>
        <w:rPr/>
        <w:t>which includes rules adopted by the Administrator of Human Capital Management or the Oklahoma Merit Protection Commission pursuant to the Oklahoma Personnel Act.</w:t>
      </w:r>
    </w:p>
    <w:p>
      <w:pPr>
        <w:pStyle w:val="BodyText"/>
        <w:spacing w:before="210"/>
        <w:ind w:left="792"/>
      </w:pPr>
      <w:r>
        <w:rPr>
          <w:b/>
        </w:rPr>
        <w:t>"MPC"</w:t>
      </w:r>
      <w:r>
        <w:rPr>
          <w:b/>
          <w:spacing w:val="-4"/>
        </w:rPr>
        <w:t> </w:t>
      </w:r>
      <w:r>
        <w:rPr/>
        <w:t>means</w:t>
      </w:r>
      <w:r>
        <w:rPr>
          <w:spacing w:val="-3"/>
        </w:rPr>
        <w:t> </w:t>
      </w:r>
      <w:r>
        <w:rPr/>
        <w:t>the</w:t>
      </w:r>
      <w:r>
        <w:rPr>
          <w:spacing w:val="-3"/>
        </w:rPr>
        <w:t> </w:t>
      </w:r>
      <w:r>
        <w:rPr/>
        <w:t>Merit</w:t>
      </w:r>
      <w:r>
        <w:rPr>
          <w:spacing w:val="-2"/>
        </w:rPr>
        <w:t> </w:t>
      </w:r>
      <w:r>
        <w:rPr/>
        <w:t>Protection</w:t>
      </w:r>
      <w:r>
        <w:rPr>
          <w:spacing w:val="-3"/>
        </w:rPr>
        <w:t> </w:t>
      </w:r>
      <w:r>
        <w:rPr>
          <w:spacing w:val="-2"/>
        </w:rPr>
        <w:t>Commission.</w:t>
      </w:r>
    </w:p>
    <w:p>
      <w:pPr>
        <w:pStyle w:val="BodyText"/>
        <w:spacing w:after="0"/>
        <w:sectPr>
          <w:pgSz w:w="12240" w:h="15840"/>
          <w:pgMar w:top="1340" w:bottom="280" w:left="1080" w:right="720"/>
        </w:sectPr>
      </w:pPr>
    </w:p>
    <w:p>
      <w:pPr>
        <w:pStyle w:val="BodyText"/>
        <w:spacing w:line="208" w:lineRule="auto" w:before="96"/>
        <w:ind w:right="1178" w:firstLine="432"/>
        <w:jc w:val="both"/>
      </w:pPr>
      <w:r>
        <w:rPr>
          <w:b/>
        </w:rPr>
        <w:t>"Noncompetitive"</w:t>
      </w:r>
      <w:r>
        <w:rPr>
          <w:b/>
          <w:spacing w:val="-5"/>
        </w:rPr>
        <w:t> </w:t>
      </w:r>
      <w:r>
        <w:rPr/>
        <w:t>means</w:t>
      </w:r>
      <w:r>
        <w:rPr>
          <w:spacing w:val="-4"/>
        </w:rPr>
        <w:t> </w:t>
      </w:r>
      <w:r>
        <w:rPr/>
        <w:t>an</w:t>
      </w:r>
      <w:r>
        <w:rPr>
          <w:spacing w:val="-4"/>
        </w:rPr>
        <w:t> </w:t>
      </w:r>
      <w:r>
        <w:rPr/>
        <w:t>unskilled</w:t>
      </w:r>
      <w:r>
        <w:rPr>
          <w:spacing w:val="-4"/>
        </w:rPr>
        <w:t> </w:t>
      </w:r>
      <w:r>
        <w:rPr/>
        <w:t>or</w:t>
      </w:r>
      <w:r>
        <w:rPr>
          <w:spacing w:val="-3"/>
        </w:rPr>
        <w:t> </w:t>
      </w:r>
      <w:r>
        <w:rPr/>
        <w:t>semiskilled</w:t>
      </w:r>
      <w:r>
        <w:rPr>
          <w:spacing w:val="-4"/>
        </w:rPr>
        <w:t> </w:t>
      </w:r>
      <w:r>
        <w:rPr/>
        <w:t>job</w:t>
      </w:r>
      <w:r>
        <w:rPr>
          <w:spacing w:val="-4"/>
        </w:rPr>
        <w:t> </w:t>
      </w:r>
      <w:r>
        <w:rPr/>
        <w:t>designated</w:t>
      </w:r>
      <w:r>
        <w:rPr>
          <w:spacing w:val="-4"/>
        </w:rPr>
        <w:t> </w:t>
      </w:r>
      <w:r>
        <w:rPr/>
        <w:t>by</w:t>
      </w:r>
      <w:r>
        <w:rPr>
          <w:spacing w:val="-4"/>
        </w:rPr>
        <w:t> </w:t>
      </w:r>
      <w:r>
        <w:rPr/>
        <w:t>Human Capital</w:t>
      </w:r>
      <w:r>
        <w:rPr>
          <w:spacing w:val="-4"/>
        </w:rPr>
        <w:t> </w:t>
      </w:r>
      <w:r>
        <w:rPr/>
        <w:t>Management</w:t>
      </w:r>
      <w:r>
        <w:rPr>
          <w:spacing w:val="-3"/>
        </w:rPr>
        <w:t> </w:t>
      </w:r>
      <w:r>
        <w:rPr/>
        <w:t>as</w:t>
      </w:r>
      <w:r>
        <w:rPr>
          <w:spacing w:val="-4"/>
        </w:rPr>
        <w:t> </w:t>
      </w:r>
      <w:r>
        <w:rPr/>
        <w:t>noncompetitive.</w:t>
      </w:r>
      <w:r>
        <w:rPr>
          <w:spacing w:val="40"/>
        </w:rPr>
        <w:t> </w:t>
      </w:r>
      <w:r>
        <w:rPr/>
        <w:t>Noncompetitive</w:t>
      </w:r>
      <w:r>
        <w:rPr>
          <w:spacing w:val="-4"/>
        </w:rPr>
        <w:t> </w:t>
      </w:r>
      <w:r>
        <w:rPr/>
        <w:t>jobs</w:t>
      </w:r>
      <w:r>
        <w:rPr>
          <w:spacing w:val="-4"/>
        </w:rPr>
        <w:t> </w:t>
      </w:r>
      <w:r>
        <w:rPr/>
        <w:t>do</w:t>
      </w:r>
      <w:r>
        <w:rPr>
          <w:spacing w:val="-4"/>
        </w:rPr>
        <w:t> </w:t>
      </w:r>
      <w:r>
        <w:rPr/>
        <w:t>not</w:t>
      </w:r>
      <w:r>
        <w:rPr>
          <w:spacing w:val="-3"/>
        </w:rPr>
        <w:t> </w:t>
      </w:r>
      <w:r>
        <w:rPr/>
        <w:t>require</w:t>
      </w:r>
      <w:r>
        <w:rPr>
          <w:spacing w:val="-4"/>
        </w:rPr>
        <w:t> </w:t>
      </w:r>
      <w:r>
        <w:rPr/>
        <w:t>written examinations for placement on registers of eligibles.</w:t>
      </w:r>
    </w:p>
    <w:p>
      <w:pPr>
        <w:pStyle w:val="BodyText"/>
        <w:spacing w:before="210"/>
        <w:ind w:left="791"/>
      </w:pPr>
      <w:r>
        <w:rPr>
          <w:b/>
        </w:rPr>
        <w:t>"HCM"</w:t>
      </w:r>
      <w:r>
        <w:rPr>
          <w:b/>
          <w:spacing w:val="-3"/>
        </w:rPr>
        <w:t> </w:t>
      </w:r>
      <w:r>
        <w:rPr/>
        <w:t>means</w:t>
      </w:r>
      <w:r>
        <w:rPr>
          <w:spacing w:val="-3"/>
        </w:rPr>
        <w:t> </w:t>
      </w:r>
      <w:r>
        <w:rPr/>
        <w:t>the</w:t>
      </w:r>
      <w:r>
        <w:rPr>
          <w:spacing w:val="-2"/>
        </w:rPr>
        <w:t> </w:t>
      </w:r>
      <w:r>
        <w:rPr/>
        <w:t>State</w:t>
      </w:r>
      <w:r>
        <w:rPr>
          <w:spacing w:val="-3"/>
        </w:rPr>
        <w:t> </w:t>
      </w:r>
      <w:r>
        <w:rPr/>
        <w:t>Human</w:t>
      </w:r>
      <w:r>
        <w:rPr>
          <w:spacing w:val="-3"/>
        </w:rPr>
        <w:t> </w:t>
      </w:r>
      <w:r>
        <w:rPr/>
        <w:t>Capital</w:t>
      </w:r>
      <w:r>
        <w:rPr>
          <w:spacing w:val="-2"/>
        </w:rPr>
        <w:t> Management.</w:t>
      </w:r>
    </w:p>
    <w:p>
      <w:pPr>
        <w:pStyle w:val="BodyText"/>
        <w:spacing w:line="208" w:lineRule="auto" w:before="234"/>
        <w:ind w:right="1054" w:firstLine="432"/>
        <w:jc w:val="both"/>
      </w:pPr>
      <w:r>
        <w:rPr>
          <w:b/>
        </w:rPr>
        <w:t>"HCM</w:t>
      </w:r>
      <w:r>
        <w:rPr>
          <w:b/>
          <w:spacing w:val="-3"/>
        </w:rPr>
        <w:t> </w:t>
      </w:r>
      <w:r>
        <w:rPr>
          <w:b/>
        </w:rPr>
        <w:t>Certificate"</w:t>
      </w:r>
      <w:r>
        <w:rPr>
          <w:b/>
          <w:spacing w:val="-5"/>
        </w:rPr>
        <w:t> </w:t>
      </w:r>
      <w:r>
        <w:rPr/>
        <w:t>means</w:t>
      </w:r>
      <w:r>
        <w:rPr>
          <w:spacing w:val="-4"/>
        </w:rPr>
        <w:t> </w:t>
      </w:r>
      <w:r>
        <w:rPr/>
        <w:t>a</w:t>
      </w:r>
      <w:r>
        <w:rPr>
          <w:spacing w:val="-4"/>
        </w:rPr>
        <w:t> </w:t>
      </w:r>
      <w:r>
        <w:rPr/>
        <w:t>list</w:t>
      </w:r>
      <w:r>
        <w:rPr>
          <w:spacing w:val="-3"/>
        </w:rPr>
        <w:t> </w:t>
      </w:r>
      <w:r>
        <w:rPr/>
        <w:t>of</w:t>
      </w:r>
      <w:r>
        <w:rPr>
          <w:spacing w:val="-3"/>
        </w:rPr>
        <w:t> </w:t>
      </w:r>
      <w:r>
        <w:rPr/>
        <w:t>eligible</w:t>
      </w:r>
      <w:r>
        <w:rPr>
          <w:spacing w:val="-4"/>
        </w:rPr>
        <w:t> </w:t>
      </w:r>
      <w:r>
        <w:rPr/>
        <w:t>applicants</w:t>
      </w:r>
      <w:r>
        <w:rPr>
          <w:spacing w:val="-4"/>
        </w:rPr>
        <w:t> </w:t>
      </w:r>
      <w:r>
        <w:rPr/>
        <w:t>for</w:t>
      </w:r>
      <w:r>
        <w:rPr>
          <w:spacing w:val="-5"/>
        </w:rPr>
        <w:t> </w:t>
      </w:r>
      <w:r>
        <w:rPr/>
        <w:t>a</w:t>
      </w:r>
      <w:r>
        <w:rPr>
          <w:spacing w:val="-4"/>
        </w:rPr>
        <w:t> </w:t>
      </w:r>
      <w:r>
        <w:rPr/>
        <w:t>particular</w:t>
      </w:r>
      <w:r>
        <w:rPr>
          <w:spacing w:val="-3"/>
        </w:rPr>
        <w:t> </w:t>
      </w:r>
      <w:r>
        <w:rPr/>
        <w:t>position</w:t>
      </w:r>
      <w:r>
        <w:rPr>
          <w:spacing w:val="-4"/>
        </w:rPr>
        <w:t> </w:t>
      </w:r>
      <w:r>
        <w:rPr/>
        <w:t>who have applied through Human Capital Management.</w:t>
      </w:r>
    </w:p>
    <w:p>
      <w:pPr>
        <w:pStyle w:val="BodyText"/>
        <w:spacing w:line="208" w:lineRule="auto" w:before="239"/>
        <w:ind w:right="775" w:firstLine="432"/>
      </w:pPr>
      <w:r>
        <w:rPr>
          <w:b/>
        </w:rPr>
        <w:t>"Open</w:t>
      </w:r>
      <w:r>
        <w:rPr>
          <w:b/>
          <w:spacing w:val="-5"/>
        </w:rPr>
        <w:t> </w:t>
      </w:r>
      <w:r>
        <w:rPr>
          <w:b/>
        </w:rPr>
        <w:t>Competitive"</w:t>
      </w:r>
      <w:r>
        <w:rPr>
          <w:b/>
          <w:spacing w:val="-6"/>
        </w:rPr>
        <w:t> </w:t>
      </w:r>
      <w:r>
        <w:rPr/>
        <w:t>means</w:t>
      </w:r>
      <w:r>
        <w:rPr>
          <w:spacing w:val="-5"/>
        </w:rPr>
        <w:t> </w:t>
      </w:r>
      <w:r>
        <w:rPr/>
        <w:t>an</w:t>
      </w:r>
      <w:r>
        <w:rPr>
          <w:spacing w:val="-6"/>
        </w:rPr>
        <w:t> </w:t>
      </w:r>
      <w:r>
        <w:rPr/>
        <w:t>application</w:t>
      </w:r>
      <w:r>
        <w:rPr>
          <w:spacing w:val="-4"/>
        </w:rPr>
        <w:t> </w:t>
      </w:r>
      <w:r>
        <w:rPr/>
        <w:t>process</w:t>
      </w:r>
      <w:r>
        <w:rPr>
          <w:spacing w:val="-5"/>
        </w:rPr>
        <w:t> </w:t>
      </w:r>
      <w:r>
        <w:rPr/>
        <w:t>through</w:t>
      </w:r>
      <w:r>
        <w:rPr>
          <w:spacing w:val="-5"/>
        </w:rPr>
        <w:t> </w:t>
      </w:r>
      <w:r>
        <w:rPr/>
        <w:t>the</w:t>
      </w:r>
      <w:r>
        <w:rPr>
          <w:spacing w:val="-5"/>
        </w:rPr>
        <w:t> </w:t>
      </w:r>
      <w:r>
        <w:rPr/>
        <w:t>State</w:t>
      </w:r>
      <w:r>
        <w:rPr>
          <w:spacing w:val="-5"/>
        </w:rPr>
        <w:t> </w:t>
      </w:r>
      <w:r>
        <w:rPr/>
        <w:t>Human Capital Management which permits the competition of all persons who meet the announced requirements for the class, and is not restricted to persons currently employed in the classified service.</w:t>
      </w:r>
    </w:p>
    <w:p>
      <w:pPr>
        <w:pStyle w:val="BodyText"/>
        <w:spacing w:line="208" w:lineRule="auto"/>
        <w:ind w:right="775" w:firstLine="432"/>
      </w:pPr>
      <w:r>
        <w:rPr>
          <w:b/>
        </w:rPr>
        <w:t>"Permanent"</w:t>
      </w:r>
      <w:r>
        <w:rPr>
          <w:b/>
          <w:spacing w:val="-4"/>
        </w:rPr>
        <w:t> </w:t>
      </w:r>
      <w:r>
        <w:rPr/>
        <w:t>means</w:t>
      </w:r>
      <w:r>
        <w:rPr>
          <w:spacing w:val="-5"/>
        </w:rPr>
        <w:t> </w:t>
      </w:r>
      <w:r>
        <w:rPr/>
        <w:t>a</w:t>
      </w:r>
      <w:r>
        <w:rPr>
          <w:spacing w:val="-4"/>
        </w:rPr>
        <w:t> </w:t>
      </w:r>
      <w:r>
        <w:rPr/>
        <w:t>classified</w:t>
      </w:r>
      <w:r>
        <w:rPr>
          <w:spacing w:val="-3"/>
        </w:rPr>
        <w:t> </w:t>
      </w:r>
      <w:r>
        <w:rPr/>
        <w:t>employee</w:t>
      </w:r>
      <w:r>
        <w:rPr>
          <w:spacing w:val="-4"/>
        </w:rPr>
        <w:t> </w:t>
      </w:r>
      <w:r>
        <w:rPr/>
        <w:t>who</w:t>
      </w:r>
      <w:r>
        <w:rPr>
          <w:spacing w:val="-4"/>
        </w:rPr>
        <w:t> </w:t>
      </w:r>
      <w:r>
        <w:rPr/>
        <w:t>has</w:t>
      </w:r>
      <w:r>
        <w:rPr>
          <w:spacing w:val="-4"/>
        </w:rPr>
        <w:t> </w:t>
      </w:r>
      <w:r>
        <w:rPr/>
        <w:t>acquired</w:t>
      </w:r>
      <w:r>
        <w:rPr>
          <w:spacing w:val="-4"/>
        </w:rPr>
        <w:t> </w:t>
      </w:r>
      <w:r>
        <w:rPr/>
        <w:t>permanent</w:t>
      </w:r>
      <w:r>
        <w:rPr>
          <w:spacing w:val="-3"/>
        </w:rPr>
        <w:t> </w:t>
      </w:r>
      <w:r>
        <w:rPr/>
        <w:t>status</w:t>
      </w:r>
      <w:r>
        <w:rPr>
          <w:spacing w:val="-4"/>
        </w:rPr>
        <w:t> </w:t>
      </w:r>
      <w:r>
        <w:rPr/>
        <w:t>in conformity with the Merit Rules.</w:t>
      </w:r>
    </w:p>
    <w:p>
      <w:pPr>
        <w:pStyle w:val="BodyText"/>
        <w:spacing w:line="208" w:lineRule="auto"/>
        <w:ind w:right="775" w:firstLine="432"/>
      </w:pPr>
      <w:r>
        <w:rPr>
          <w:b/>
        </w:rPr>
        <w:t>"Probationary"</w:t>
      </w:r>
      <w:r>
        <w:rPr>
          <w:b/>
          <w:spacing w:val="-5"/>
        </w:rPr>
        <w:t> </w:t>
      </w:r>
      <w:r>
        <w:rPr/>
        <w:t>means</w:t>
      </w:r>
      <w:r>
        <w:rPr>
          <w:spacing w:val="-5"/>
        </w:rPr>
        <w:t> </w:t>
      </w:r>
      <w:r>
        <w:rPr/>
        <w:t>a</w:t>
      </w:r>
      <w:r>
        <w:rPr>
          <w:spacing w:val="-5"/>
        </w:rPr>
        <w:t> </w:t>
      </w:r>
      <w:r>
        <w:rPr/>
        <w:t>classified</w:t>
      </w:r>
      <w:r>
        <w:rPr>
          <w:spacing w:val="-5"/>
        </w:rPr>
        <w:t> </w:t>
      </w:r>
      <w:r>
        <w:rPr/>
        <w:t>employee</w:t>
      </w:r>
      <w:r>
        <w:rPr>
          <w:spacing w:val="-5"/>
        </w:rPr>
        <w:t> </w:t>
      </w:r>
      <w:r>
        <w:rPr/>
        <w:t>who</w:t>
      </w:r>
      <w:r>
        <w:rPr>
          <w:spacing w:val="-5"/>
        </w:rPr>
        <w:t> </w:t>
      </w:r>
      <w:r>
        <w:rPr/>
        <w:t>has</w:t>
      </w:r>
      <w:r>
        <w:rPr>
          <w:spacing w:val="-4"/>
        </w:rPr>
        <w:t> </w:t>
      </w:r>
      <w:r>
        <w:rPr/>
        <w:t>not</w:t>
      </w:r>
      <w:r>
        <w:rPr>
          <w:spacing w:val="-4"/>
        </w:rPr>
        <w:t> </w:t>
      </w:r>
      <w:r>
        <w:rPr/>
        <w:t>acquired</w:t>
      </w:r>
      <w:r>
        <w:rPr>
          <w:spacing w:val="-5"/>
        </w:rPr>
        <w:t> </w:t>
      </w:r>
      <w:r>
        <w:rPr/>
        <w:t>permanent status with the agency in accordance with the Merit Rules.</w:t>
      </w:r>
    </w:p>
    <w:p>
      <w:pPr>
        <w:pStyle w:val="BodyText"/>
        <w:spacing w:line="208" w:lineRule="auto"/>
        <w:ind w:right="775" w:firstLine="432"/>
      </w:pPr>
      <w:r>
        <w:rPr>
          <w:b/>
        </w:rPr>
        <w:t>"Reinstatement"</w:t>
      </w:r>
      <w:r>
        <w:rPr>
          <w:b/>
          <w:spacing w:val="-5"/>
        </w:rPr>
        <w:t> </w:t>
      </w:r>
      <w:r>
        <w:rPr/>
        <w:t>means</w:t>
      </w:r>
      <w:r>
        <w:rPr>
          <w:spacing w:val="-5"/>
        </w:rPr>
        <w:t> </w:t>
      </w:r>
      <w:r>
        <w:rPr/>
        <w:t>the</w:t>
      </w:r>
      <w:r>
        <w:rPr>
          <w:spacing w:val="-5"/>
        </w:rPr>
        <w:t> </w:t>
      </w:r>
      <w:r>
        <w:rPr/>
        <w:t>reappointment</w:t>
      </w:r>
      <w:r>
        <w:rPr>
          <w:spacing w:val="-4"/>
        </w:rPr>
        <w:t> </w:t>
      </w:r>
      <w:r>
        <w:rPr/>
        <w:t>of</w:t>
      </w:r>
      <w:r>
        <w:rPr>
          <w:spacing w:val="-4"/>
        </w:rPr>
        <w:t> </w:t>
      </w:r>
      <w:r>
        <w:rPr/>
        <w:t>a</w:t>
      </w:r>
      <w:r>
        <w:rPr>
          <w:spacing w:val="-5"/>
        </w:rPr>
        <w:t> </w:t>
      </w:r>
      <w:r>
        <w:rPr/>
        <w:t>former</w:t>
      </w:r>
      <w:r>
        <w:rPr>
          <w:spacing w:val="-6"/>
        </w:rPr>
        <w:t> </w:t>
      </w:r>
      <w:r>
        <w:rPr/>
        <w:t>permanent</w:t>
      </w:r>
      <w:r>
        <w:rPr>
          <w:spacing w:val="-4"/>
        </w:rPr>
        <w:t> </w:t>
      </w:r>
      <w:r>
        <w:rPr/>
        <w:t>classified employee as provided in the Merit Rules.</w:t>
      </w:r>
    </w:p>
    <w:p>
      <w:pPr>
        <w:pStyle w:val="BodyText"/>
        <w:spacing w:line="208" w:lineRule="auto" w:before="239"/>
        <w:ind w:right="775" w:firstLine="432"/>
      </w:pPr>
      <w:r>
        <w:rPr>
          <w:b/>
        </w:rPr>
        <w:t>"Selecting</w:t>
      </w:r>
      <w:r>
        <w:rPr>
          <w:b/>
          <w:spacing w:val="-4"/>
        </w:rPr>
        <w:t> </w:t>
      </w:r>
      <w:r>
        <w:rPr>
          <w:b/>
        </w:rPr>
        <w:t>official"</w:t>
      </w:r>
      <w:r>
        <w:rPr>
          <w:b/>
          <w:spacing w:val="-5"/>
        </w:rPr>
        <w:t> </w:t>
      </w:r>
      <w:r>
        <w:rPr/>
        <w:t>means</w:t>
      </w:r>
      <w:r>
        <w:rPr>
          <w:spacing w:val="-4"/>
        </w:rPr>
        <w:t> </w:t>
      </w:r>
      <w:r>
        <w:rPr/>
        <w:t>the</w:t>
      </w:r>
      <w:r>
        <w:rPr>
          <w:spacing w:val="-4"/>
        </w:rPr>
        <w:t> </w:t>
      </w:r>
      <w:r>
        <w:rPr/>
        <w:t>staff</w:t>
      </w:r>
      <w:r>
        <w:rPr>
          <w:spacing w:val="-3"/>
        </w:rPr>
        <w:t> </w:t>
      </w:r>
      <w:r>
        <w:rPr/>
        <w:t>person</w:t>
      </w:r>
      <w:r>
        <w:rPr>
          <w:spacing w:val="-5"/>
        </w:rPr>
        <w:t> </w:t>
      </w:r>
      <w:r>
        <w:rPr/>
        <w:t>directly</w:t>
      </w:r>
      <w:r>
        <w:rPr>
          <w:spacing w:val="-4"/>
        </w:rPr>
        <w:t> </w:t>
      </w:r>
      <w:r>
        <w:rPr/>
        <w:t>responsible</w:t>
      </w:r>
      <w:r>
        <w:rPr>
          <w:spacing w:val="-4"/>
        </w:rPr>
        <w:t> </w:t>
      </w:r>
      <w:r>
        <w:rPr/>
        <w:t>for</w:t>
      </w:r>
      <w:r>
        <w:rPr>
          <w:spacing w:val="-3"/>
        </w:rPr>
        <w:t> </w:t>
      </w:r>
      <w:r>
        <w:rPr/>
        <w:t>the</w:t>
      </w:r>
      <w:r>
        <w:rPr>
          <w:spacing w:val="-4"/>
        </w:rPr>
        <w:t> </w:t>
      </w:r>
      <w:r>
        <w:rPr/>
        <w:t>process</w:t>
      </w:r>
      <w:r>
        <w:rPr>
          <w:spacing w:val="-4"/>
        </w:rPr>
        <w:t> </w:t>
      </w:r>
      <w:r>
        <w:rPr/>
        <w:t>of recommending a selection. Unless otherwise designated, this will usually be the immediate supervisor for the position being announced.</w:t>
      </w:r>
    </w:p>
    <w:p>
      <w:pPr>
        <w:pStyle w:val="BodyText"/>
        <w:spacing w:line="208" w:lineRule="auto"/>
        <w:ind w:right="727" w:firstLine="432"/>
      </w:pPr>
      <w:r>
        <w:rPr>
          <w:b/>
        </w:rPr>
        <w:t>"Trial work period" </w:t>
      </w:r>
      <w:r>
        <w:rPr/>
        <w:t>means a working test period after promotion or intra-agency lateral transfer during which a classified employee is required to demonstrate satisfactory</w:t>
      </w:r>
      <w:r>
        <w:rPr>
          <w:spacing w:val="-5"/>
        </w:rPr>
        <w:t> </w:t>
      </w:r>
      <w:r>
        <w:rPr/>
        <w:t>performance</w:t>
      </w:r>
      <w:r>
        <w:rPr>
          <w:spacing w:val="-4"/>
        </w:rPr>
        <w:t> </w:t>
      </w:r>
      <w:r>
        <w:rPr/>
        <w:t>in</w:t>
      </w:r>
      <w:r>
        <w:rPr>
          <w:spacing w:val="-4"/>
        </w:rPr>
        <w:t> </w:t>
      </w:r>
      <w:r>
        <w:rPr/>
        <w:t>the</w:t>
      </w:r>
      <w:r>
        <w:rPr>
          <w:spacing w:val="-4"/>
        </w:rPr>
        <w:t> </w:t>
      </w:r>
      <w:r>
        <w:rPr/>
        <w:t>job</w:t>
      </w:r>
      <w:r>
        <w:rPr>
          <w:spacing w:val="-4"/>
        </w:rPr>
        <w:t> </w:t>
      </w:r>
      <w:r>
        <w:rPr/>
        <w:t>family</w:t>
      </w:r>
      <w:r>
        <w:rPr>
          <w:spacing w:val="-4"/>
        </w:rPr>
        <w:t> </w:t>
      </w:r>
      <w:r>
        <w:rPr/>
        <w:t>level</w:t>
      </w:r>
      <w:r>
        <w:rPr>
          <w:spacing w:val="-4"/>
        </w:rPr>
        <w:t> </w:t>
      </w:r>
      <w:r>
        <w:rPr/>
        <w:t>to</w:t>
      </w:r>
      <w:r>
        <w:rPr>
          <w:spacing w:val="-4"/>
        </w:rPr>
        <w:t> </w:t>
      </w:r>
      <w:r>
        <w:rPr/>
        <w:t>which</w:t>
      </w:r>
      <w:r>
        <w:rPr>
          <w:spacing w:val="-4"/>
        </w:rPr>
        <w:t> </w:t>
      </w:r>
      <w:r>
        <w:rPr/>
        <w:t>promoted</w:t>
      </w:r>
      <w:r>
        <w:rPr>
          <w:spacing w:val="-4"/>
        </w:rPr>
        <w:t> </w:t>
      </w:r>
      <w:r>
        <w:rPr/>
        <w:t>or</w:t>
      </w:r>
      <w:r>
        <w:rPr>
          <w:spacing w:val="-3"/>
        </w:rPr>
        <w:t> </w:t>
      </w:r>
      <w:r>
        <w:rPr/>
        <w:t>laterally</w:t>
      </w:r>
      <w:r>
        <w:rPr>
          <w:spacing w:val="-4"/>
        </w:rPr>
        <w:t> </w:t>
      </w:r>
      <w:r>
        <w:rPr/>
        <w:t>transferred before acquiring permanent status in that job family level.</w:t>
      </w:r>
    </w:p>
    <w:p>
      <w:pPr>
        <w:pStyle w:val="BodyText"/>
        <w:spacing w:line="208" w:lineRule="auto"/>
        <w:ind w:right="855" w:firstLine="432"/>
      </w:pPr>
      <w:r>
        <w:rPr>
          <w:b/>
        </w:rPr>
        <w:t>"Unclassified" </w:t>
      </w:r>
      <w:r>
        <w:rPr/>
        <w:t>means employees and positions excluded from coverage of the Oklahoma Merit System of Personnel Administration. Such employees and positions are</w:t>
      </w:r>
      <w:r>
        <w:rPr>
          <w:spacing w:val="-4"/>
        </w:rPr>
        <w:t> </w:t>
      </w:r>
      <w:r>
        <w:rPr/>
        <w:t>subject</w:t>
      </w:r>
      <w:r>
        <w:rPr>
          <w:spacing w:val="-3"/>
        </w:rPr>
        <w:t> </w:t>
      </w:r>
      <w:r>
        <w:rPr/>
        <w:t>to</w:t>
      </w:r>
      <w:r>
        <w:rPr>
          <w:spacing w:val="-4"/>
        </w:rPr>
        <w:t> </w:t>
      </w:r>
      <w:r>
        <w:rPr/>
        <w:t>specified</w:t>
      </w:r>
      <w:r>
        <w:rPr>
          <w:spacing w:val="-4"/>
        </w:rPr>
        <w:t> </w:t>
      </w:r>
      <w:r>
        <w:rPr/>
        <w:t>provisions</w:t>
      </w:r>
      <w:r>
        <w:rPr>
          <w:spacing w:val="-4"/>
        </w:rPr>
        <w:t> </w:t>
      </w:r>
      <w:r>
        <w:rPr/>
        <w:t>of</w:t>
      </w:r>
      <w:r>
        <w:rPr>
          <w:spacing w:val="-5"/>
        </w:rPr>
        <w:t> </w:t>
      </w:r>
      <w:r>
        <w:rPr/>
        <w:t>the</w:t>
      </w:r>
      <w:r>
        <w:rPr>
          <w:spacing w:val="-4"/>
        </w:rPr>
        <w:t> </w:t>
      </w:r>
      <w:r>
        <w:rPr/>
        <w:t>Oklahoma</w:t>
      </w:r>
      <w:r>
        <w:rPr>
          <w:spacing w:val="-4"/>
        </w:rPr>
        <w:t> </w:t>
      </w:r>
      <w:r>
        <w:rPr/>
        <w:t>Personnel</w:t>
      </w:r>
      <w:r>
        <w:rPr>
          <w:spacing w:val="-4"/>
        </w:rPr>
        <w:t> </w:t>
      </w:r>
      <w:r>
        <w:rPr/>
        <w:t>Act</w:t>
      </w:r>
      <w:r>
        <w:rPr>
          <w:spacing w:val="-3"/>
        </w:rPr>
        <w:t> </w:t>
      </w:r>
      <w:r>
        <w:rPr/>
        <w:t>and</w:t>
      </w:r>
      <w:r>
        <w:rPr>
          <w:spacing w:val="-4"/>
        </w:rPr>
        <w:t> </w:t>
      </w:r>
      <w:r>
        <w:rPr/>
        <w:t>the</w:t>
      </w:r>
      <w:r>
        <w:rPr>
          <w:spacing w:val="-4"/>
        </w:rPr>
        <w:t> </w:t>
      </w:r>
      <w:r>
        <w:rPr/>
        <w:t>Merit</w:t>
      </w:r>
      <w:r>
        <w:rPr>
          <w:spacing w:val="-3"/>
        </w:rPr>
        <w:t> </w:t>
      </w:r>
      <w:r>
        <w:rPr/>
        <w:t>Rules.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4-28-</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tabs>
          <w:tab w:pos="1439" w:val="left" w:leader="none"/>
        </w:tabs>
        <w:spacing w:before="0"/>
        <w:ind w:left="359" w:right="6600" w:firstLine="1080"/>
        <w:jc w:val="left"/>
        <w:rPr>
          <w:sz w:val="22"/>
        </w:rPr>
      </w:pPr>
      <w:r>
        <w:rPr>
          <w:sz w:val="22"/>
        </w:rPr>
        <w:t>Emergency,</w:t>
      </w:r>
      <w:r>
        <w:rPr>
          <w:spacing w:val="-16"/>
          <w:sz w:val="22"/>
        </w:rPr>
        <w:t> </w:t>
      </w:r>
      <w:r>
        <w:rPr>
          <w:sz w:val="22"/>
        </w:rPr>
        <w:t>new</w:t>
      </w:r>
      <w:r>
        <w:rPr>
          <w:spacing w:val="-15"/>
          <w:sz w:val="22"/>
        </w:rPr>
        <w:t> </w:t>
      </w:r>
      <w:r>
        <w:rPr>
          <w:sz w:val="22"/>
        </w:rPr>
        <w:t>section </w:t>
      </w:r>
      <w:r>
        <w:rPr>
          <w:spacing w:val="-2"/>
          <w:sz w:val="22"/>
        </w:rPr>
        <w:t>7-1-96</w:t>
      </w:r>
      <w:r>
        <w:rPr>
          <w:sz w:val="22"/>
        </w:rPr>
        <w:tab/>
        <w:t>PT Memo #96-6</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4-28-95 </w:t>
      </w:r>
      <w:r>
        <w:rPr>
          <w:spacing w:val="-2"/>
          <w:sz w:val="22"/>
        </w:rPr>
        <w:t>7-1-97</w:t>
      </w:r>
      <w:r>
        <w:rPr>
          <w:sz w:val="22"/>
        </w:rPr>
        <w:tab/>
        <w:t>PT Memo #97-8</w:t>
      </w:r>
    </w:p>
    <w:p>
      <w:pPr>
        <w:tabs>
          <w:tab w:pos="1439" w:val="left" w:leader="none"/>
        </w:tabs>
        <w:spacing w:before="1"/>
        <w:ind w:left="359" w:right="1884" w:firstLine="1080"/>
        <w:jc w:val="left"/>
        <w:rPr>
          <w:sz w:val="22"/>
        </w:rPr>
      </w:pPr>
      <w:r>
        <w:rPr>
          <w:sz w:val="22"/>
        </w:rPr>
        <w:t>Permanent,</w:t>
      </w:r>
      <w:r>
        <w:rPr>
          <w:spacing w:val="-4"/>
          <w:sz w:val="22"/>
        </w:rPr>
        <w:t> </w:t>
      </w:r>
      <w:r>
        <w:rPr>
          <w:sz w:val="22"/>
        </w:rPr>
        <w:t>new</w:t>
      </w:r>
      <w:r>
        <w:rPr>
          <w:spacing w:val="-5"/>
          <w:sz w:val="22"/>
        </w:rPr>
        <w:t> </w:t>
      </w:r>
      <w:r>
        <w:rPr>
          <w:sz w:val="22"/>
        </w:rPr>
        <w:t>definition</w:t>
      </w:r>
      <w:r>
        <w:rPr>
          <w:spacing w:val="-5"/>
          <w:sz w:val="22"/>
        </w:rPr>
        <w:t> </w:t>
      </w:r>
      <w:r>
        <w:rPr>
          <w:sz w:val="22"/>
        </w:rPr>
        <w:t>for</w:t>
      </w:r>
      <w:r>
        <w:rPr>
          <w:spacing w:val="-5"/>
          <w:sz w:val="22"/>
        </w:rPr>
        <w:t> </w:t>
      </w:r>
      <w:r>
        <w:rPr>
          <w:sz w:val="22"/>
        </w:rPr>
        <w:t>"Trial</w:t>
      </w:r>
      <w:r>
        <w:rPr>
          <w:spacing w:val="-5"/>
          <w:sz w:val="22"/>
        </w:rPr>
        <w:t> </w:t>
      </w:r>
      <w:r>
        <w:rPr>
          <w:sz w:val="22"/>
        </w:rPr>
        <w:t>Work</w:t>
      </w:r>
      <w:r>
        <w:rPr>
          <w:spacing w:val="-5"/>
          <w:sz w:val="22"/>
        </w:rPr>
        <w:t> </w:t>
      </w:r>
      <w:r>
        <w:rPr>
          <w:sz w:val="22"/>
        </w:rPr>
        <w:t>Period",</w:t>
      </w:r>
      <w:r>
        <w:rPr>
          <w:spacing w:val="-5"/>
          <w:sz w:val="22"/>
        </w:rPr>
        <w:t> </w:t>
      </w:r>
      <w:r>
        <w:rPr>
          <w:sz w:val="22"/>
        </w:rPr>
        <w:t>updated</w:t>
      </w:r>
      <w:r>
        <w:rPr>
          <w:spacing w:val="-5"/>
          <w:sz w:val="22"/>
        </w:rPr>
        <w:t> </w:t>
      </w:r>
      <w:r>
        <w:rPr>
          <w:sz w:val="22"/>
        </w:rPr>
        <w:t>statutory</w:t>
      </w:r>
      <w:r>
        <w:rPr>
          <w:spacing w:val="-5"/>
          <w:sz w:val="22"/>
        </w:rPr>
        <w:t> </w:t>
      </w:r>
      <w:r>
        <w:rPr>
          <w:sz w:val="22"/>
        </w:rPr>
        <w:t>cites </w:t>
      </w:r>
      <w:r>
        <w:rPr>
          <w:spacing w:val="-2"/>
          <w:sz w:val="22"/>
        </w:rPr>
        <w:t>7-1-03</w:t>
      </w:r>
      <w:r>
        <w:rPr>
          <w:sz w:val="22"/>
        </w:rPr>
        <w:tab/>
        <w:t>PT Memo #03-07</w:t>
      </w:r>
    </w:p>
    <w:p>
      <w:pPr>
        <w:spacing w:line="252" w:lineRule="exact" w:before="0"/>
        <w:ind w:left="1439" w:right="0" w:firstLine="0"/>
        <w:jc w:val="left"/>
        <w:rPr>
          <w:sz w:val="22"/>
        </w:rPr>
      </w:pPr>
      <w:r>
        <w:rPr>
          <w:sz w:val="22"/>
        </w:rPr>
        <w:t>Permanent,</w:t>
      </w:r>
      <w:r>
        <w:rPr>
          <w:spacing w:val="-9"/>
          <w:sz w:val="22"/>
        </w:rPr>
        <w:t> </w:t>
      </w:r>
      <w:r>
        <w:rPr>
          <w:sz w:val="22"/>
        </w:rPr>
        <w:t>new</w:t>
      </w:r>
      <w:r>
        <w:rPr>
          <w:spacing w:val="-10"/>
          <w:sz w:val="22"/>
        </w:rPr>
        <w:t> </w:t>
      </w:r>
      <w:r>
        <w:rPr>
          <w:sz w:val="22"/>
        </w:rPr>
        <w:t>definitions</w:t>
      </w:r>
      <w:r>
        <w:rPr>
          <w:spacing w:val="-10"/>
          <w:sz w:val="22"/>
        </w:rPr>
        <w:t> </w:t>
      </w:r>
      <w:r>
        <w:rPr>
          <w:spacing w:val="-2"/>
          <w:sz w:val="22"/>
        </w:rPr>
        <w:t>added.</w:t>
      </w:r>
    </w:p>
    <w:p>
      <w:pPr>
        <w:tabs>
          <w:tab w:pos="1439" w:val="left" w:leader="none"/>
        </w:tabs>
        <w:spacing w:before="0"/>
        <w:ind w:left="1439" w:right="1331" w:hanging="1080"/>
        <w:jc w:val="left"/>
        <w:rPr>
          <w:sz w:val="22"/>
        </w:rPr>
      </w:pPr>
      <w:r>
        <w:rPr>
          <w:spacing w:val="-2"/>
          <w:sz w:val="22"/>
        </w:rPr>
        <w:t>9-12-14</w:t>
      </w:r>
      <w:r>
        <w:rPr>
          <w:sz w:val="22"/>
        </w:rPr>
        <w:tab/>
        <w:t>Updated</w:t>
      </w:r>
      <w:r>
        <w:rPr>
          <w:spacing w:val="-4"/>
          <w:sz w:val="22"/>
        </w:rPr>
        <w:t> </w:t>
      </w:r>
      <w:r>
        <w:rPr>
          <w:sz w:val="22"/>
        </w:rPr>
        <w:t>to</w:t>
      </w:r>
      <w:r>
        <w:rPr>
          <w:spacing w:val="-4"/>
          <w:sz w:val="22"/>
        </w:rPr>
        <w:t> </w:t>
      </w:r>
      <w:r>
        <w:rPr>
          <w:sz w:val="22"/>
        </w:rPr>
        <w:t>reflect</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Office</w:t>
      </w:r>
      <w:r>
        <w:rPr>
          <w:spacing w:val="-4"/>
          <w:sz w:val="22"/>
        </w:rPr>
        <w:t> </w:t>
      </w:r>
      <w:r>
        <w:rPr>
          <w:sz w:val="22"/>
        </w:rPr>
        <w:t>of</w:t>
      </w:r>
      <w:r>
        <w:rPr>
          <w:spacing w:val="-4"/>
          <w:sz w:val="22"/>
        </w:rPr>
        <w:t> </w:t>
      </w:r>
      <w:r>
        <w:rPr>
          <w:sz w:val="22"/>
        </w:rPr>
        <w:t>Personnel</w:t>
      </w:r>
      <w:r>
        <w:rPr>
          <w:spacing w:val="-4"/>
          <w:sz w:val="22"/>
        </w:rPr>
        <w:t> </w:t>
      </w:r>
      <w:r>
        <w:rPr>
          <w:sz w:val="22"/>
        </w:rPr>
        <w:t>Management</w:t>
      </w:r>
      <w:r>
        <w:rPr>
          <w:spacing w:val="-4"/>
          <w:sz w:val="22"/>
        </w:rPr>
        <w:t> </w:t>
      </w:r>
      <w:r>
        <w:rPr>
          <w:sz w:val="22"/>
        </w:rPr>
        <w:t>to</w:t>
      </w:r>
      <w:r>
        <w:rPr>
          <w:spacing w:val="-4"/>
          <w:sz w:val="22"/>
        </w:rPr>
        <w:t> </w:t>
      </w:r>
      <w:r>
        <w:rPr>
          <w:sz w:val="22"/>
        </w:rPr>
        <w:t>Human Capital Management (HCM)</w:t>
      </w:r>
    </w:p>
    <w:p>
      <w:pPr>
        <w:spacing w:after="0"/>
        <w:jc w:val="left"/>
        <w:rPr>
          <w:sz w:val="22"/>
        </w:rPr>
        <w:sectPr>
          <w:pgSz w:w="12240" w:h="15840"/>
          <w:pgMar w:top="1340" w:bottom="280" w:left="1080" w:right="720"/>
        </w:sectPr>
      </w:pPr>
    </w:p>
    <w:p>
      <w:pPr>
        <w:pStyle w:val="Heading2"/>
      </w:pPr>
      <w:bookmarkStart w:name="612:3-1-3.  Functions of the division" w:id="79"/>
      <w:bookmarkEnd w:id="79"/>
      <w:r>
        <w:rPr>
          <w:b w:val="0"/>
        </w:rPr>
      </w:r>
      <w:r>
        <w:rPr/>
        <w:t>612:3-1-3.</w:t>
      </w:r>
      <w:r>
        <w:rPr>
          <w:spacing w:val="61"/>
        </w:rPr>
        <w:t> </w:t>
      </w:r>
      <w:r>
        <w:rPr/>
        <w:t>Functions</w:t>
      </w:r>
      <w:r>
        <w:rPr>
          <w:spacing w:val="-3"/>
        </w:rPr>
        <w:t> </w:t>
      </w:r>
      <w:r>
        <w:rPr/>
        <w:t>of</w:t>
      </w:r>
      <w:r>
        <w:rPr>
          <w:spacing w:val="-4"/>
        </w:rPr>
        <w:t> </w:t>
      </w:r>
      <w:r>
        <w:rPr/>
        <w:t>the</w:t>
      </w:r>
      <w:r>
        <w:rPr>
          <w:spacing w:val="-3"/>
        </w:rPr>
        <w:t> </w:t>
      </w:r>
      <w:r>
        <w:rPr>
          <w:spacing w:val="-2"/>
        </w:rPr>
        <w:t>division</w:t>
      </w:r>
    </w:p>
    <w:p>
      <w:pPr>
        <w:pStyle w:val="BodyText"/>
        <w:spacing w:line="208" w:lineRule="auto" w:before="233"/>
        <w:ind w:right="775" w:firstLine="432"/>
      </w:pPr>
      <w:r>
        <w:rPr/>
        <w:t>The</w:t>
      </w:r>
      <w:r>
        <w:rPr>
          <w:spacing w:val="-4"/>
        </w:rPr>
        <w:t> </w:t>
      </w:r>
      <w:r>
        <w:rPr/>
        <w:t>division</w:t>
      </w:r>
      <w:r>
        <w:rPr>
          <w:spacing w:val="-4"/>
        </w:rPr>
        <w:t> </w:t>
      </w:r>
      <w:r>
        <w:rPr/>
        <w:t>of</w:t>
      </w:r>
      <w:r>
        <w:rPr>
          <w:spacing w:val="-3"/>
        </w:rPr>
        <w:t> </w:t>
      </w:r>
      <w:r>
        <w:rPr/>
        <w:t>Management</w:t>
      </w:r>
      <w:r>
        <w:rPr>
          <w:spacing w:val="-4"/>
        </w:rPr>
        <w:t> </w:t>
      </w:r>
      <w:r>
        <w:rPr/>
        <w:t>Services</w:t>
      </w:r>
      <w:r>
        <w:rPr>
          <w:spacing w:val="-4"/>
        </w:rPr>
        <w:t> </w:t>
      </w:r>
      <w:r>
        <w:rPr/>
        <w:t>provides</w:t>
      </w:r>
      <w:r>
        <w:rPr>
          <w:spacing w:val="-4"/>
        </w:rPr>
        <w:t> </w:t>
      </w:r>
      <w:r>
        <w:rPr/>
        <w:t>all</w:t>
      </w:r>
      <w:r>
        <w:rPr>
          <w:spacing w:val="-4"/>
        </w:rPr>
        <w:t> </w:t>
      </w:r>
      <w:r>
        <w:rPr/>
        <w:t>components</w:t>
      </w:r>
      <w:r>
        <w:rPr>
          <w:spacing w:val="-4"/>
        </w:rPr>
        <w:t> </w:t>
      </w:r>
      <w:r>
        <w:rPr/>
        <w:t>of</w:t>
      </w:r>
      <w:r>
        <w:rPr>
          <w:spacing w:val="-3"/>
        </w:rPr>
        <w:t> </w:t>
      </w:r>
      <w:r>
        <w:rPr/>
        <w:t>the</w:t>
      </w:r>
      <w:r>
        <w:rPr>
          <w:spacing w:val="-4"/>
        </w:rPr>
        <w:t> </w:t>
      </w:r>
      <w:r>
        <w:rPr/>
        <w:t>Department administrative and programmatic support including human resources, purchasing, contracts, property management, material management, information services, policy management, program standards and fund raising.</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4-28-</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tabs>
          <w:tab w:pos="1439" w:val="left" w:leader="none"/>
        </w:tabs>
        <w:spacing w:before="0"/>
        <w:ind w:left="359" w:right="6600" w:firstLine="1080"/>
        <w:jc w:val="left"/>
        <w:rPr>
          <w:sz w:val="22"/>
        </w:rPr>
      </w:pPr>
      <w:r>
        <w:rPr>
          <w:sz w:val="22"/>
        </w:rPr>
        <w:t>Emergency,</w:t>
      </w:r>
      <w:r>
        <w:rPr>
          <w:spacing w:val="-16"/>
          <w:sz w:val="22"/>
        </w:rPr>
        <w:t> </w:t>
      </w:r>
      <w:r>
        <w:rPr>
          <w:sz w:val="22"/>
        </w:rPr>
        <w:t>new</w:t>
      </w:r>
      <w:r>
        <w:rPr>
          <w:spacing w:val="-15"/>
          <w:sz w:val="22"/>
        </w:rPr>
        <w:t> </w:t>
      </w:r>
      <w:r>
        <w:rPr>
          <w:sz w:val="22"/>
        </w:rPr>
        <w:t>section </w:t>
      </w:r>
      <w:r>
        <w:rPr>
          <w:spacing w:val="-2"/>
          <w:sz w:val="22"/>
        </w:rPr>
        <w:t>7-1-96</w:t>
      </w:r>
      <w:r>
        <w:rPr>
          <w:sz w:val="22"/>
        </w:rPr>
        <w:tab/>
        <w:t>PT Memo #96-6</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4-28-95 </w:t>
      </w:r>
      <w:r>
        <w:rPr>
          <w:spacing w:val="-2"/>
          <w:sz w:val="22"/>
        </w:rPr>
        <w:t>7-1-02</w:t>
      </w:r>
      <w:r>
        <w:rPr>
          <w:sz w:val="22"/>
        </w:rPr>
        <w:tab/>
        <w:t>POL Memo #02-02</w:t>
      </w:r>
    </w:p>
    <w:p>
      <w:pPr>
        <w:tabs>
          <w:tab w:pos="1439" w:val="left" w:leader="none"/>
        </w:tabs>
        <w:spacing w:before="0"/>
        <w:ind w:left="359" w:right="3424" w:firstLine="1080"/>
        <w:jc w:val="left"/>
        <w:rPr>
          <w:sz w:val="22"/>
        </w:rPr>
      </w:pPr>
      <w:r>
        <w:rPr>
          <w:sz w:val="22"/>
        </w:rPr>
        <w:t>Permanent,</w:t>
      </w:r>
      <w:r>
        <w:rPr>
          <w:spacing w:val="-6"/>
          <w:sz w:val="22"/>
        </w:rPr>
        <w:t> </w:t>
      </w:r>
      <w:r>
        <w:rPr>
          <w:sz w:val="22"/>
        </w:rPr>
        <w:t>removed</w:t>
      </w:r>
      <w:r>
        <w:rPr>
          <w:spacing w:val="-7"/>
          <w:sz w:val="22"/>
        </w:rPr>
        <w:t> </w:t>
      </w:r>
      <w:r>
        <w:rPr>
          <w:sz w:val="22"/>
        </w:rPr>
        <w:t>Travel</w:t>
      </w:r>
      <w:r>
        <w:rPr>
          <w:spacing w:val="-7"/>
          <w:sz w:val="22"/>
        </w:rPr>
        <w:t> </w:t>
      </w:r>
      <w:r>
        <w:rPr>
          <w:sz w:val="22"/>
        </w:rPr>
        <w:t>Coordination</w:t>
      </w:r>
      <w:r>
        <w:rPr>
          <w:spacing w:val="-7"/>
          <w:sz w:val="22"/>
        </w:rPr>
        <w:t> </w:t>
      </w:r>
      <w:r>
        <w:rPr>
          <w:sz w:val="22"/>
        </w:rPr>
        <w:t>from</w:t>
      </w:r>
      <w:r>
        <w:rPr>
          <w:spacing w:val="-8"/>
          <w:sz w:val="22"/>
        </w:rPr>
        <w:t> </w:t>
      </w:r>
      <w:r>
        <w:rPr>
          <w:sz w:val="22"/>
        </w:rPr>
        <w:t>C/DS</w:t>
      </w:r>
      <w:r>
        <w:rPr>
          <w:spacing w:val="-7"/>
          <w:sz w:val="22"/>
        </w:rPr>
        <w:t> </w:t>
      </w:r>
      <w:r>
        <w:rPr>
          <w:sz w:val="22"/>
        </w:rPr>
        <w:t>Unit </w:t>
      </w:r>
      <w:r>
        <w:rPr>
          <w:spacing w:val="-2"/>
          <w:sz w:val="22"/>
        </w:rPr>
        <w:t>7-1-03</w:t>
      </w:r>
      <w:r>
        <w:rPr>
          <w:sz w:val="22"/>
        </w:rPr>
        <w:tab/>
        <w:t>PT Memo #03-07</w:t>
      </w:r>
    </w:p>
    <w:p>
      <w:pPr>
        <w:tabs>
          <w:tab w:pos="1439" w:val="left" w:leader="none"/>
        </w:tabs>
        <w:spacing w:before="0"/>
        <w:ind w:left="359" w:right="3557" w:firstLine="1080"/>
        <w:jc w:val="left"/>
        <w:rPr>
          <w:sz w:val="22"/>
        </w:rPr>
      </w:pPr>
      <w:r>
        <w:rPr>
          <w:sz w:val="22"/>
        </w:rPr>
        <w:t>Permanent,</w:t>
      </w:r>
      <w:r>
        <w:rPr>
          <w:spacing w:val="-6"/>
          <w:sz w:val="22"/>
        </w:rPr>
        <w:t> </w:t>
      </w:r>
      <w:r>
        <w:rPr>
          <w:sz w:val="22"/>
        </w:rPr>
        <w:t>removed</w:t>
      </w:r>
      <w:r>
        <w:rPr>
          <w:spacing w:val="-7"/>
          <w:sz w:val="22"/>
        </w:rPr>
        <w:t> </w:t>
      </w:r>
      <w:r>
        <w:rPr>
          <w:sz w:val="22"/>
        </w:rPr>
        <w:t>reference</w:t>
      </w:r>
      <w:r>
        <w:rPr>
          <w:spacing w:val="-7"/>
          <w:sz w:val="22"/>
        </w:rPr>
        <w:t> </w:t>
      </w:r>
      <w:r>
        <w:rPr>
          <w:sz w:val="22"/>
        </w:rPr>
        <w:t>to</w:t>
      </w:r>
      <w:r>
        <w:rPr>
          <w:spacing w:val="-7"/>
          <w:sz w:val="22"/>
        </w:rPr>
        <w:t> </w:t>
      </w:r>
      <w:r>
        <w:rPr>
          <w:sz w:val="22"/>
        </w:rPr>
        <w:t>Administrator</w:t>
      </w:r>
      <w:r>
        <w:rPr>
          <w:spacing w:val="-7"/>
          <w:sz w:val="22"/>
        </w:rPr>
        <w:t> </w:t>
      </w:r>
      <w:r>
        <w:rPr>
          <w:sz w:val="22"/>
        </w:rPr>
        <w:t>of</w:t>
      </w:r>
      <w:r>
        <w:rPr>
          <w:spacing w:val="-7"/>
          <w:sz w:val="22"/>
        </w:rPr>
        <w:t> </w:t>
      </w:r>
      <w:r>
        <w:rPr>
          <w:sz w:val="22"/>
        </w:rPr>
        <w:t>MSD </w:t>
      </w:r>
      <w:r>
        <w:rPr>
          <w:spacing w:val="-2"/>
          <w:sz w:val="22"/>
        </w:rPr>
        <w:t>7-1-04</w:t>
      </w:r>
      <w:r>
        <w:rPr>
          <w:sz w:val="22"/>
        </w:rPr>
        <w:tab/>
        <w:t>PT Memo #05-01</w:t>
      </w:r>
    </w:p>
    <w:p>
      <w:pPr>
        <w:tabs>
          <w:tab w:pos="1439" w:val="left" w:leader="none"/>
        </w:tabs>
        <w:spacing w:before="0"/>
        <w:ind w:left="359" w:right="4595" w:firstLine="1080"/>
        <w:jc w:val="left"/>
        <w:rPr>
          <w:sz w:val="22"/>
        </w:rPr>
      </w:pPr>
      <w:r>
        <w:rPr>
          <w:sz w:val="22"/>
        </w:rPr>
        <w:t>Permanent,</w:t>
      </w:r>
      <w:r>
        <w:rPr>
          <w:spacing w:val="-12"/>
          <w:sz w:val="22"/>
        </w:rPr>
        <w:t> </w:t>
      </w:r>
      <w:r>
        <w:rPr>
          <w:sz w:val="22"/>
        </w:rPr>
        <w:t>removed</w:t>
      </w:r>
      <w:r>
        <w:rPr>
          <w:spacing w:val="-13"/>
          <w:sz w:val="22"/>
        </w:rPr>
        <w:t> </w:t>
      </w:r>
      <w:r>
        <w:rPr>
          <w:sz w:val="22"/>
        </w:rPr>
        <w:t>superfluous</w:t>
      </w:r>
      <w:r>
        <w:rPr>
          <w:spacing w:val="-13"/>
          <w:sz w:val="22"/>
        </w:rPr>
        <w:t> </w:t>
      </w:r>
      <w:r>
        <w:rPr>
          <w:sz w:val="22"/>
        </w:rPr>
        <w:t>information </w:t>
      </w:r>
      <w:r>
        <w:rPr>
          <w:spacing w:val="-2"/>
          <w:sz w:val="22"/>
        </w:rPr>
        <w:t>7-1-10</w:t>
      </w:r>
      <w:r>
        <w:rPr>
          <w:sz w:val="22"/>
        </w:rPr>
        <w:tab/>
        <w:t>PT Memo #10-02</w:t>
      </w:r>
    </w:p>
    <w:p>
      <w:pPr>
        <w:spacing w:before="0"/>
        <w:ind w:left="1439" w:right="0" w:firstLine="0"/>
        <w:jc w:val="left"/>
        <w:rPr>
          <w:sz w:val="22"/>
        </w:rPr>
      </w:pPr>
      <w:r>
        <w:rPr>
          <w:sz w:val="22"/>
        </w:rPr>
        <w:t>Permanent,</w:t>
      </w:r>
      <w:r>
        <w:rPr>
          <w:spacing w:val="-8"/>
          <w:sz w:val="22"/>
        </w:rPr>
        <w:t> </w:t>
      </w:r>
      <w:r>
        <w:rPr>
          <w:sz w:val="22"/>
        </w:rPr>
        <w:t>Removed</w:t>
      </w:r>
      <w:r>
        <w:rPr>
          <w:spacing w:val="-8"/>
          <w:sz w:val="22"/>
        </w:rPr>
        <w:t> </w:t>
      </w:r>
      <w:r>
        <w:rPr>
          <w:sz w:val="22"/>
        </w:rPr>
        <w:t>budget</w:t>
      </w:r>
      <w:r>
        <w:rPr>
          <w:spacing w:val="-7"/>
          <w:sz w:val="22"/>
        </w:rPr>
        <w:t> </w:t>
      </w:r>
      <w:r>
        <w:rPr>
          <w:sz w:val="22"/>
        </w:rPr>
        <w:t>and</w:t>
      </w:r>
      <w:r>
        <w:rPr>
          <w:spacing w:val="-8"/>
          <w:sz w:val="22"/>
        </w:rPr>
        <w:t> </w:t>
      </w:r>
      <w:r>
        <w:rPr>
          <w:sz w:val="22"/>
        </w:rPr>
        <w:t>finance</w:t>
      </w:r>
      <w:r>
        <w:rPr>
          <w:spacing w:val="-8"/>
          <w:sz w:val="22"/>
        </w:rPr>
        <w:t> </w:t>
      </w:r>
      <w:r>
        <w:rPr>
          <w:sz w:val="22"/>
        </w:rPr>
        <w:t>from</w:t>
      </w:r>
      <w:r>
        <w:rPr>
          <w:spacing w:val="-9"/>
          <w:sz w:val="22"/>
        </w:rPr>
        <w:t> </w:t>
      </w:r>
      <w:r>
        <w:rPr>
          <w:spacing w:val="-5"/>
          <w:sz w:val="22"/>
        </w:rPr>
        <w:t>MSD</w:t>
      </w:r>
    </w:p>
    <w:p>
      <w:pPr>
        <w:spacing w:after="0"/>
        <w:jc w:val="left"/>
        <w:rPr>
          <w:sz w:val="22"/>
        </w:rPr>
        <w:sectPr>
          <w:pgSz w:w="12240" w:h="15840"/>
          <w:pgMar w:top="1340" w:bottom="280" w:left="1080" w:right="720"/>
        </w:sectPr>
      </w:pPr>
    </w:p>
    <w:p>
      <w:pPr>
        <w:pStyle w:val="BodyText"/>
        <w:spacing w:before="0"/>
        <w:ind w:left="0"/>
      </w:pPr>
    </w:p>
    <w:p>
      <w:pPr>
        <w:pStyle w:val="BodyText"/>
        <w:spacing w:before="0"/>
        <w:ind w:left="0"/>
      </w:pPr>
    </w:p>
    <w:p>
      <w:pPr>
        <w:pStyle w:val="BodyText"/>
        <w:spacing w:before="198"/>
        <w:ind w:left="0"/>
      </w:pPr>
    </w:p>
    <w:p>
      <w:pPr>
        <w:pStyle w:val="BodyText"/>
        <w:spacing w:before="1"/>
      </w:pPr>
      <w:bookmarkStart w:name="SUBCHAPTER 3. HUMAN RESOURCES UNIT" w:id="80"/>
      <w:bookmarkEnd w:id="80"/>
      <w:r>
        <w:rPr/>
      </w:r>
      <w:r>
        <w:rPr>
          <w:spacing w:val="-2"/>
        </w:rPr>
        <w:t>Section</w:t>
      </w:r>
    </w:p>
    <w:p>
      <w:pPr>
        <w:pStyle w:val="Heading1"/>
        <w:spacing w:line="417" w:lineRule="auto"/>
        <w:ind w:left="360" w:right="2470" w:firstLine="373"/>
        <w:jc w:val="left"/>
      </w:pPr>
      <w:r>
        <w:rPr>
          <w:b w:val="0"/>
        </w:rPr>
        <w:br w:type="column"/>
      </w:r>
      <w:r>
        <w:rPr/>
        <w:t>SUBCHAPTER 3. HUMAN RESOURCES UNIT PART</w:t>
      </w:r>
      <w:r>
        <w:rPr>
          <w:spacing w:val="-6"/>
        </w:rPr>
        <w:t> </w:t>
      </w:r>
      <w:r>
        <w:rPr/>
        <w:t>1.</w:t>
      </w:r>
      <w:r>
        <w:rPr>
          <w:spacing w:val="-8"/>
        </w:rPr>
        <w:t> </w:t>
      </w:r>
      <w:r>
        <w:rPr/>
        <w:t>OVERVIEW</w:t>
      </w:r>
      <w:r>
        <w:rPr>
          <w:spacing w:val="-7"/>
        </w:rPr>
        <w:t> </w:t>
      </w:r>
      <w:r>
        <w:rPr/>
        <w:t>OF</w:t>
      </w:r>
      <w:r>
        <w:rPr>
          <w:spacing w:val="-7"/>
        </w:rPr>
        <w:t> </w:t>
      </w:r>
      <w:r>
        <w:rPr/>
        <w:t>HUMAN</w:t>
      </w:r>
      <w:r>
        <w:rPr>
          <w:spacing w:val="-7"/>
        </w:rPr>
        <w:t> </w:t>
      </w:r>
      <w:r>
        <w:rPr/>
        <w:t>RESOURCES</w:t>
      </w:r>
      <w:r>
        <w:rPr>
          <w:spacing w:val="-7"/>
        </w:rPr>
        <w:t> </w:t>
      </w:r>
      <w:r>
        <w:rPr/>
        <w:t>UNIT</w:t>
      </w:r>
    </w:p>
    <w:p>
      <w:pPr>
        <w:pStyle w:val="Heading1"/>
        <w:spacing w:after="0" w:line="417" w:lineRule="auto"/>
        <w:jc w:val="left"/>
        <w:sectPr>
          <w:pgSz w:w="12240" w:h="15840"/>
          <w:pgMar w:top="1340" w:bottom="280" w:left="1080" w:right="720"/>
          <w:cols w:num="2" w:equalWidth="0">
            <w:col w:w="1200" w:space="553"/>
            <w:col w:w="8687"/>
          </w:cols>
        </w:sectPr>
      </w:pPr>
    </w:p>
    <w:p>
      <w:pPr>
        <w:pStyle w:val="BodyText"/>
        <w:tabs>
          <w:tab w:pos="1799" w:val="left" w:leader="none"/>
        </w:tabs>
        <w:spacing w:before="204"/>
      </w:pPr>
      <w:r>
        <w:rPr>
          <w:spacing w:val="-2"/>
        </w:rPr>
        <w:t>612:3-3-</w:t>
      </w:r>
      <w:r>
        <w:rPr>
          <w:spacing w:val="-5"/>
        </w:rPr>
        <w:t>1.</w:t>
      </w:r>
      <w:r>
        <w:rPr/>
        <w:tab/>
        <w:t>Mission</w:t>
      </w:r>
      <w:r>
        <w:rPr>
          <w:spacing w:val="-3"/>
        </w:rPr>
        <w:t> </w:t>
      </w:r>
      <w:r>
        <w:rPr/>
        <w:t>of</w:t>
      </w:r>
      <w:r>
        <w:rPr>
          <w:spacing w:val="-2"/>
        </w:rPr>
        <w:t> </w:t>
      </w:r>
      <w:r>
        <w:rPr/>
        <w:t>the</w:t>
      </w:r>
      <w:r>
        <w:rPr>
          <w:spacing w:val="-3"/>
        </w:rPr>
        <w:t> </w:t>
      </w:r>
      <w:r>
        <w:rPr/>
        <w:t>Human</w:t>
      </w:r>
      <w:r>
        <w:rPr>
          <w:spacing w:val="-3"/>
        </w:rPr>
        <w:t> </w:t>
      </w:r>
      <w:r>
        <w:rPr/>
        <w:t>Resources</w:t>
      </w:r>
      <w:r>
        <w:rPr>
          <w:spacing w:val="-2"/>
        </w:rPr>
        <w:t> </w:t>
      </w:r>
      <w:r>
        <w:rPr>
          <w:spacing w:val="-4"/>
        </w:rPr>
        <w:t>Unit</w:t>
      </w:r>
    </w:p>
    <w:p>
      <w:pPr>
        <w:pStyle w:val="Heading1"/>
        <w:spacing w:line="208" w:lineRule="auto" w:before="233"/>
        <w:ind w:left="4333" w:right="775" w:hanging="3381"/>
        <w:jc w:val="left"/>
      </w:pPr>
      <w:r>
        <w:rPr/>
        <w:t>PART</w:t>
      </w:r>
      <w:r>
        <w:rPr>
          <w:spacing w:val="-5"/>
        </w:rPr>
        <w:t> </w:t>
      </w:r>
      <w:r>
        <w:rPr/>
        <w:t>3.</w:t>
      </w:r>
      <w:r>
        <w:rPr>
          <w:spacing w:val="-7"/>
        </w:rPr>
        <w:t> </w:t>
      </w:r>
      <w:r>
        <w:rPr/>
        <w:t>HUMAN</w:t>
      </w:r>
      <w:r>
        <w:rPr>
          <w:spacing w:val="-6"/>
        </w:rPr>
        <w:t> </w:t>
      </w:r>
      <w:r>
        <w:rPr/>
        <w:t>RESOURCES</w:t>
      </w:r>
      <w:r>
        <w:rPr>
          <w:spacing w:val="-5"/>
        </w:rPr>
        <w:t> </w:t>
      </w:r>
      <w:r>
        <w:rPr/>
        <w:t>MANAGEMENT</w:t>
      </w:r>
      <w:r>
        <w:rPr>
          <w:spacing w:val="-5"/>
        </w:rPr>
        <w:t> </w:t>
      </w:r>
      <w:r>
        <w:rPr/>
        <w:t>SECTION</w:t>
      </w:r>
      <w:r>
        <w:rPr>
          <w:spacing w:val="-6"/>
        </w:rPr>
        <w:t> </w:t>
      </w:r>
      <w:r>
        <w:rPr/>
        <w:t>–</w:t>
      </w:r>
      <w:r>
        <w:rPr>
          <w:spacing w:val="-8"/>
        </w:rPr>
        <w:t> </w:t>
      </w:r>
      <w:r>
        <w:rPr/>
        <w:t>PERSONNEL </w:t>
      </w:r>
      <w:r>
        <w:rPr>
          <w:spacing w:val="-2"/>
        </w:rPr>
        <w:t>PROGRAMS</w:t>
      </w:r>
    </w:p>
    <w:p>
      <w:pPr>
        <w:pStyle w:val="BodyText"/>
        <w:spacing w:before="211"/>
      </w:pPr>
      <w:r>
        <w:rPr>
          <w:spacing w:val="-2"/>
        </w:rPr>
        <w:t>Section</w:t>
      </w:r>
    </w:p>
    <w:p>
      <w:pPr>
        <w:pStyle w:val="BodyText"/>
        <w:tabs>
          <w:tab w:pos="1799" w:val="left" w:leader="none"/>
        </w:tabs>
        <w:spacing w:before="204"/>
      </w:pPr>
      <w:r>
        <w:rPr>
          <w:spacing w:val="-2"/>
        </w:rPr>
        <w:t>612:3-3-</w:t>
      </w:r>
      <w:r>
        <w:rPr>
          <w:spacing w:val="-5"/>
        </w:rPr>
        <w:t>20.</w:t>
      </w:r>
      <w:r>
        <w:rPr/>
        <w:tab/>
        <w:t>Department</w:t>
      </w:r>
      <w:r>
        <w:rPr>
          <w:spacing w:val="-6"/>
        </w:rPr>
        <w:t> </w:t>
      </w:r>
      <w:r>
        <w:rPr/>
        <w:t>of</w:t>
      </w:r>
      <w:r>
        <w:rPr>
          <w:spacing w:val="-6"/>
        </w:rPr>
        <w:t> </w:t>
      </w:r>
      <w:r>
        <w:rPr/>
        <w:t>Rehabilitation</w:t>
      </w:r>
      <w:r>
        <w:rPr>
          <w:spacing w:val="-5"/>
        </w:rPr>
        <w:t> </w:t>
      </w:r>
      <w:r>
        <w:rPr/>
        <w:t>Services</w:t>
      </w:r>
      <w:r>
        <w:rPr>
          <w:spacing w:val="-5"/>
        </w:rPr>
        <w:t> </w:t>
      </w:r>
      <w:r>
        <w:rPr/>
        <w:t>recruitment</w:t>
      </w:r>
      <w:r>
        <w:rPr>
          <w:spacing w:val="-4"/>
        </w:rPr>
        <w:t> </w:t>
      </w:r>
      <w:r>
        <w:rPr/>
        <w:t>and</w:t>
      </w:r>
      <w:r>
        <w:rPr>
          <w:spacing w:val="-5"/>
        </w:rPr>
        <w:t> </w:t>
      </w:r>
      <w:r>
        <w:rPr/>
        <w:t>selection</w:t>
      </w:r>
      <w:r>
        <w:rPr>
          <w:spacing w:val="-4"/>
        </w:rPr>
        <w:t> plan</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4-28-</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tabs>
          <w:tab w:pos="1439" w:val="left" w:leader="none"/>
        </w:tabs>
        <w:spacing w:before="0"/>
        <w:ind w:left="359" w:right="6600" w:firstLine="1080"/>
        <w:jc w:val="left"/>
        <w:rPr>
          <w:sz w:val="22"/>
        </w:rPr>
      </w:pPr>
      <w:r>
        <w:rPr>
          <w:sz w:val="22"/>
        </w:rPr>
        <w:t>Emergency,</w:t>
      </w:r>
      <w:r>
        <w:rPr>
          <w:spacing w:val="-16"/>
          <w:sz w:val="22"/>
        </w:rPr>
        <w:t> </w:t>
      </w:r>
      <w:r>
        <w:rPr>
          <w:sz w:val="22"/>
        </w:rPr>
        <w:t>new</w:t>
      </w:r>
      <w:r>
        <w:rPr>
          <w:spacing w:val="-15"/>
          <w:sz w:val="22"/>
        </w:rPr>
        <w:t> </w:t>
      </w:r>
      <w:r>
        <w:rPr>
          <w:sz w:val="22"/>
        </w:rPr>
        <w:t>section </w:t>
      </w:r>
      <w:r>
        <w:rPr>
          <w:spacing w:val="-2"/>
          <w:sz w:val="22"/>
        </w:rPr>
        <w:t>7-1-96</w:t>
      </w:r>
      <w:r>
        <w:rPr>
          <w:sz w:val="22"/>
        </w:rPr>
        <w:tab/>
        <w:t>PT Memo #96-6</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4-28-95 </w:t>
      </w:r>
      <w:r>
        <w:rPr>
          <w:spacing w:val="-2"/>
          <w:sz w:val="22"/>
        </w:rPr>
        <w:t>7-1-97</w:t>
      </w:r>
      <w:r>
        <w:rPr>
          <w:sz w:val="22"/>
        </w:rPr>
        <w:tab/>
        <w:t>PT Memo #97-8</w:t>
      </w:r>
    </w:p>
    <w:p>
      <w:pPr>
        <w:tabs>
          <w:tab w:pos="1439" w:val="left" w:leader="none"/>
        </w:tabs>
        <w:spacing w:before="0"/>
        <w:ind w:left="359" w:right="1061" w:firstLine="1080"/>
        <w:jc w:val="left"/>
        <w:rPr>
          <w:sz w:val="22"/>
        </w:rPr>
      </w:pPr>
      <w:r>
        <w:rPr>
          <w:sz w:val="22"/>
        </w:rPr>
        <w:t>Permanent,</w:t>
      </w:r>
      <w:r>
        <w:rPr>
          <w:spacing w:val="-4"/>
          <w:sz w:val="22"/>
        </w:rPr>
        <w:t> </w:t>
      </w:r>
      <w:r>
        <w:rPr>
          <w:sz w:val="22"/>
        </w:rPr>
        <w:t>removed</w:t>
      </w:r>
      <w:r>
        <w:rPr>
          <w:spacing w:val="-5"/>
          <w:sz w:val="22"/>
        </w:rPr>
        <w:t> </w:t>
      </w:r>
      <w:r>
        <w:rPr>
          <w:sz w:val="22"/>
        </w:rPr>
        <w:t>listings</w:t>
      </w:r>
      <w:r>
        <w:rPr>
          <w:spacing w:val="-5"/>
          <w:sz w:val="22"/>
        </w:rPr>
        <w:t> </w:t>
      </w:r>
      <w:r>
        <w:rPr>
          <w:sz w:val="22"/>
        </w:rPr>
        <w:t>for</w:t>
      </w:r>
      <w:r>
        <w:rPr>
          <w:spacing w:val="-5"/>
          <w:sz w:val="22"/>
        </w:rPr>
        <w:t> </w:t>
      </w:r>
      <w:r>
        <w:rPr>
          <w:sz w:val="22"/>
        </w:rPr>
        <w:t>revoked</w:t>
      </w:r>
      <w:r>
        <w:rPr>
          <w:spacing w:val="-5"/>
          <w:sz w:val="22"/>
        </w:rPr>
        <w:t> </w:t>
      </w:r>
      <w:r>
        <w:rPr>
          <w:sz w:val="22"/>
        </w:rPr>
        <w:t>sections,</w:t>
      </w:r>
      <w:r>
        <w:rPr>
          <w:spacing w:val="-5"/>
          <w:sz w:val="22"/>
        </w:rPr>
        <w:t> </w:t>
      </w:r>
      <w:r>
        <w:rPr>
          <w:sz w:val="22"/>
        </w:rPr>
        <w:t>changed</w:t>
      </w:r>
      <w:r>
        <w:rPr>
          <w:spacing w:val="-5"/>
          <w:sz w:val="22"/>
        </w:rPr>
        <w:t> </w:t>
      </w:r>
      <w:r>
        <w:rPr>
          <w:sz w:val="22"/>
        </w:rPr>
        <w:t>tagline</w:t>
      </w:r>
      <w:r>
        <w:rPr>
          <w:spacing w:val="-5"/>
          <w:sz w:val="22"/>
        </w:rPr>
        <w:t> </w:t>
      </w:r>
      <w:r>
        <w:rPr>
          <w:sz w:val="22"/>
        </w:rPr>
        <w:t>for</w:t>
      </w:r>
      <w:r>
        <w:rPr>
          <w:spacing w:val="-5"/>
          <w:sz w:val="22"/>
        </w:rPr>
        <w:t> </w:t>
      </w:r>
      <w:r>
        <w:rPr>
          <w:sz w:val="22"/>
        </w:rPr>
        <w:t>612:3-3-20 </w:t>
      </w:r>
      <w:r>
        <w:rPr>
          <w:spacing w:val="-2"/>
          <w:sz w:val="22"/>
        </w:rPr>
        <w:t>7-1-03</w:t>
      </w:r>
      <w:r>
        <w:rPr>
          <w:sz w:val="22"/>
        </w:rPr>
        <w:tab/>
        <w:t>PT Memo #03-07</w:t>
      </w:r>
    </w:p>
    <w:p>
      <w:pPr>
        <w:spacing w:line="252" w:lineRule="exact" w:before="0"/>
        <w:ind w:left="1439" w:right="0" w:firstLine="0"/>
        <w:jc w:val="left"/>
        <w:rPr>
          <w:sz w:val="22"/>
        </w:rPr>
      </w:pPr>
      <w:r>
        <w:rPr>
          <w:sz w:val="22"/>
        </w:rPr>
        <w:t>Permanent,</w:t>
      </w:r>
      <w:r>
        <w:rPr>
          <w:spacing w:val="-8"/>
          <w:sz w:val="22"/>
        </w:rPr>
        <w:t> </w:t>
      </w:r>
      <w:r>
        <w:rPr>
          <w:sz w:val="22"/>
        </w:rPr>
        <w:t>revoked</w:t>
      </w:r>
      <w:r>
        <w:rPr>
          <w:spacing w:val="-9"/>
          <w:sz w:val="22"/>
        </w:rPr>
        <w:t> </w:t>
      </w:r>
      <w:r>
        <w:rPr>
          <w:sz w:val="22"/>
        </w:rPr>
        <w:t>section</w:t>
      </w:r>
      <w:r>
        <w:rPr>
          <w:spacing w:val="-9"/>
          <w:sz w:val="22"/>
        </w:rPr>
        <w:t> </w:t>
      </w:r>
      <w:r>
        <w:rPr>
          <w:sz w:val="22"/>
        </w:rPr>
        <w:t>Part</w:t>
      </w:r>
      <w:r>
        <w:rPr>
          <w:spacing w:val="-9"/>
          <w:sz w:val="22"/>
        </w:rPr>
        <w:t> </w:t>
      </w:r>
      <w:r>
        <w:rPr>
          <w:spacing w:val="-5"/>
          <w:sz w:val="22"/>
        </w:rPr>
        <w:t>5.</w:t>
      </w:r>
    </w:p>
    <w:p>
      <w:pPr>
        <w:spacing w:after="0" w:line="252" w:lineRule="exact"/>
        <w:jc w:val="left"/>
        <w:rPr>
          <w:sz w:val="22"/>
        </w:rPr>
        <w:sectPr>
          <w:type w:val="continuous"/>
          <w:pgSz w:w="12240" w:h="15840"/>
          <w:pgMar w:top="1820" w:bottom="280" w:left="1080" w:right="720"/>
        </w:sectPr>
      </w:pPr>
    </w:p>
    <w:p>
      <w:pPr>
        <w:pStyle w:val="Heading1"/>
        <w:ind w:right="777"/>
      </w:pPr>
      <w:bookmarkStart w:name="PART 1. OVERVIEW OF HUMAN RESOURCES UNIT" w:id="81"/>
      <w:bookmarkEnd w:id="81"/>
      <w:r>
        <w:rPr>
          <w:b w:val="0"/>
        </w:rPr>
      </w:r>
      <w:r>
        <w:rPr/>
        <w:t>PART</w:t>
      </w:r>
      <w:r>
        <w:rPr>
          <w:spacing w:val="-2"/>
        </w:rPr>
        <w:t> </w:t>
      </w:r>
      <w:r>
        <w:rPr/>
        <w:t>1.</w:t>
      </w:r>
      <w:r>
        <w:rPr>
          <w:spacing w:val="-4"/>
        </w:rPr>
        <w:t> </w:t>
      </w:r>
      <w:r>
        <w:rPr/>
        <w:t>OVERVIEW</w:t>
      </w:r>
      <w:r>
        <w:rPr>
          <w:spacing w:val="-2"/>
        </w:rPr>
        <w:t> </w:t>
      </w:r>
      <w:r>
        <w:rPr/>
        <w:t>OF</w:t>
      </w:r>
      <w:r>
        <w:rPr>
          <w:spacing w:val="-3"/>
        </w:rPr>
        <w:t> </w:t>
      </w:r>
      <w:r>
        <w:rPr/>
        <w:t>HUMAN</w:t>
      </w:r>
      <w:r>
        <w:rPr>
          <w:spacing w:val="-3"/>
        </w:rPr>
        <w:t> </w:t>
      </w:r>
      <w:r>
        <w:rPr/>
        <w:t>RESOURCES</w:t>
      </w:r>
      <w:r>
        <w:rPr>
          <w:spacing w:val="-2"/>
        </w:rPr>
        <w:t> </w:t>
      </w:r>
      <w:r>
        <w:rPr>
          <w:spacing w:val="-4"/>
        </w:rPr>
        <w:t>UNIT</w:t>
      </w:r>
    </w:p>
    <w:p>
      <w:pPr>
        <w:pStyle w:val="BodyText"/>
        <w:spacing w:before="204"/>
      </w:pPr>
      <w:r>
        <w:rPr>
          <w:spacing w:val="-2"/>
        </w:rPr>
        <w:t>Section</w:t>
      </w:r>
    </w:p>
    <w:p>
      <w:pPr>
        <w:pStyle w:val="BodyText"/>
        <w:tabs>
          <w:tab w:pos="1799" w:val="left" w:leader="none"/>
        </w:tabs>
        <w:spacing w:before="204"/>
      </w:pPr>
      <w:r>
        <w:rPr>
          <w:spacing w:val="-2"/>
        </w:rPr>
        <w:t>612:3-3-</w:t>
      </w:r>
      <w:r>
        <w:rPr>
          <w:spacing w:val="-5"/>
        </w:rPr>
        <w:t>1.</w:t>
      </w:r>
      <w:r>
        <w:rPr/>
        <w:tab/>
        <w:t>Mission</w:t>
      </w:r>
      <w:r>
        <w:rPr>
          <w:spacing w:val="-3"/>
        </w:rPr>
        <w:t> </w:t>
      </w:r>
      <w:r>
        <w:rPr/>
        <w:t>of</w:t>
      </w:r>
      <w:r>
        <w:rPr>
          <w:spacing w:val="-2"/>
        </w:rPr>
        <w:t> </w:t>
      </w:r>
      <w:r>
        <w:rPr/>
        <w:t>the</w:t>
      </w:r>
      <w:r>
        <w:rPr>
          <w:spacing w:val="-3"/>
        </w:rPr>
        <w:t> </w:t>
      </w:r>
      <w:r>
        <w:rPr/>
        <w:t>Human</w:t>
      </w:r>
      <w:r>
        <w:rPr>
          <w:spacing w:val="-3"/>
        </w:rPr>
        <w:t> </w:t>
      </w:r>
      <w:r>
        <w:rPr/>
        <w:t>Resources</w:t>
      </w:r>
      <w:r>
        <w:rPr>
          <w:spacing w:val="-2"/>
        </w:rPr>
        <w:t> </w:t>
      </w:r>
      <w:r>
        <w:rPr>
          <w:spacing w:val="-4"/>
        </w:rPr>
        <w:t>Unit</w:t>
      </w:r>
    </w:p>
    <w:p>
      <w:pPr>
        <w:pStyle w:val="BodyText"/>
        <w:spacing w:after="0"/>
        <w:sectPr>
          <w:pgSz w:w="12240" w:h="15840"/>
          <w:pgMar w:top="1340" w:bottom="280" w:left="1080" w:right="720"/>
        </w:sectPr>
      </w:pPr>
    </w:p>
    <w:p>
      <w:pPr>
        <w:pStyle w:val="Heading2"/>
      </w:pPr>
      <w:bookmarkStart w:name="612:3-3-1.  Mission of the Human Resourc" w:id="82"/>
      <w:bookmarkEnd w:id="82"/>
      <w:r>
        <w:rPr>
          <w:b w:val="0"/>
        </w:rPr>
      </w:r>
      <w:r>
        <w:rPr/>
        <w:t>612:3-3-1.</w:t>
      </w:r>
      <w:r>
        <w:rPr>
          <w:spacing w:val="60"/>
        </w:rPr>
        <w:t> </w:t>
      </w:r>
      <w:r>
        <w:rPr/>
        <w:t>Mission</w:t>
      </w:r>
      <w:r>
        <w:rPr>
          <w:spacing w:val="-3"/>
        </w:rPr>
        <w:t> </w:t>
      </w:r>
      <w:r>
        <w:rPr/>
        <w:t>of</w:t>
      </w:r>
      <w:r>
        <w:rPr>
          <w:spacing w:val="-2"/>
        </w:rPr>
        <w:t> </w:t>
      </w:r>
      <w:r>
        <w:rPr/>
        <w:t>the</w:t>
      </w:r>
      <w:r>
        <w:rPr>
          <w:spacing w:val="-4"/>
        </w:rPr>
        <w:t> </w:t>
      </w:r>
      <w:r>
        <w:rPr/>
        <w:t>Human</w:t>
      </w:r>
      <w:r>
        <w:rPr>
          <w:spacing w:val="-3"/>
        </w:rPr>
        <w:t> </w:t>
      </w:r>
      <w:r>
        <w:rPr/>
        <w:t>Resources</w:t>
      </w:r>
      <w:r>
        <w:rPr>
          <w:spacing w:val="-3"/>
        </w:rPr>
        <w:t> </w:t>
      </w:r>
      <w:r>
        <w:rPr>
          <w:spacing w:val="-4"/>
        </w:rPr>
        <w:t>Unit</w:t>
      </w:r>
    </w:p>
    <w:p>
      <w:pPr>
        <w:pStyle w:val="BodyText"/>
        <w:spacing w:line="208" w:lineRule="auto" w:before="233"/>
        <w:ind w:right="775" w:firstLine="432"/>
      </w:pPr>
      <w:r>
        <w:rPr/>
        <w:t>The mission of the Human Resources Unit is to provide comprehensive human resource</w:t>
      </w:r>
      <w:r>
        <w:rPr>
          <w:spacing w:val="-2"/>
        </w:rPr>
        <w:t> </w:t>
      </w:r>
      <w:r>
        <w:rPr/>
        <w:t>management and</w:t>
      </w:r>
      <w:r>
        <w:rPr>
          <w:spacing w:val="-2"/>
        </w:rPr>
        <w:t> </w:t>
      </w:r>
      <w:r>
        <w:rPr/>
        <w:t>development</w:t>
      </w:r>
      <w:r>
        <w:rPr>
          <w:spacing w:val="-1"/>
        </w:rPr>
        <w:t> </w:t>
      </w:r>
      <w:r>
        <w:rPr/>
        <w:t>programs</w:t>
      </w:r>
      <w:r>
        <w:rPr>
          <w:spacing w:val="-2"/>
        </w:rPr>
        <w:t> </w:t>
      </w:r>
      <w:r>
        <w:rPr/>
        <w:t>which</w:t>
      </w:r>
      <w:r>
        <w:rPr>
          <w:spacing w:val="-2"/>
        </w:rPr>
        <w:t> </w:t>
      </w:r>
      <w:r>
        <w:rPr/>
        <w:t>support</w:t>
      </w:r>
      <w:r>
        <w:rPr>
          <w:spacing w:val="-1"/>
        </w:rPr>
        <w:t> </w:t>
      </w:r>
      <w:r>
        <w:rPr/>
        <w:t>the</w:t>
      </w:r>
      <w:r>
        <w:rPr>
          <w:spacing w:val="-2"/>
        </w:rPr>
        <w:t> </w:t>
      </w:r>
      <w:r>
        <w:rPr/>
        <w:t>achievement</w:t>
      </w:r>
      <w:r>
        <w:rPr>
          <w:spacing w:val="-1"/>
        </w:rPr>
        <w:t> </w:t>
      </w:r>
      <w:r>
        <w:rPr/>
        <w:t>of the Agency's mission, values and goals.</w:t>
      </w:r>
      <w:r>
        <w:rPr>
          <w:spacing w:val="40"/>
        </w:rPr>
        <w:t> </w:t>
      </w:r>
      <w:r>
        <w:rPr/>
        <w:t>Human Resources Unit programs focus on recruiting, retaining and developing qualified Agency staff.</w:t>
      </w:r>
      <w:r>
        <w:rPr>
          <w:spacing w:val="40"/>
        </w:rPr>
        <w:t> </w:t>
      </w:r>
      <w:r>
        <w:rPr/>
        <w:t>An effective and efficient human</w:t>
      </w:r>
      <w:r>
        <w:rPr>
          <w:spacing w:val="-5"/>
        </w:rPr>
        <w:t> </w:t>
      </w:r>
      <w:r>
        <w:rPr/>
        <w:t>resources</w:t>
      </w:r>
      <w:r>
        <w:rPr>
          <w:spacing w:val="-5"/>
        </w:rPr>
        <w:t> </w:t>
      </w:r>
      <w:r>
        <w:rPr/>
        <w:t>system</w:t>
      </w:r>
      <w:r>
        <w:rPr>
          <w:spacing w:val="-4"/>
        </w:rPr>
        <w:t> </w:t>
      </w:r>
      <w:r>
        <w:rPr/>
        <w:t>increases</w:t>
      </w:r>
      <w:r>
        <w:rPr>
          <w:spacing w:val="-5"/>
        </w:rPr>
        <w:t> </w:t>
      </w:r>
      <w:r>
        <w:rPr/>
        <w:t>overall</w:t>
      </w:r>
      <w:r>
        <w:rPr>
          <w:spacing w:val="-5"/>
        </w:rPr>
        <w:t> </w:t>
      </w:r>
      <w:r>
        <w:rPr/>
        <w:t>individual</w:t>
      </w:r>
      <w:r>
        <w:rPr>
          <w:spacing w:val="-5"/>
        </w:rPr>
        <w:t> </w:t>
      </w:r>
      <w:r>
        <w:rPr/>
        <w:t>and</w:t>
      </w:r>
      <w:r>
        <w:rPr>
          <w:spacing w:val="-5"/>
        </w:rPr>
        <w:t> </w:t>
      </w:r>
      <w:r>
        <w:rPr/>
        <w:t>organizational</w:t>
      </w:r>
      <w:r>
        <w:rPr>
          <w:spacing w:val="-5"/>
        </w:rPr>
        <w:t> </w:t>
      </w:r>
      <w:r>
        <w:rPr/>
        <w:t>performance and the quality of services to persons with disabilities.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4-28-</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tabs>
          <w:tab w:pos="1439" w:val="left" w:leader="none"/>
        </w:tabs>
        <w:spacing w:before="0"/>
        <w:ind w:left="359" w:right="6600" w:firstLine="1080"/>
        <w:jc w:val="left"/>
        <w:rPr>
          <w:sz w:val="22"/>
        </w:rPr>
      </w:pPr>
      <w:r>
        <w:rPr>
          <w:sz w:val="22"/>
        </w:rPr>
        <w:t>Emergency,</w:t>
      </w:r>
      <w:r>
        <w:rPr>
          <w:spacing w:val="-16"/>
          <w:sz w:val="22"/>
        </w:rPr>
        <w:t> </w:t>
      </w:r>
      <w:r>
        <w:rPr>
          <w:sz w:val="22"/>
        </w:rPr>
        <w:t>new</w:t>
      </w:r>
      <w:r>
        <w:rPr>
          <w:spacing w:val="-15"/>
          <w:sz w:val="22"/>
        </w:rPr>
        <w:t> </w:t>
      </w:r>
      <w:r>
        <w:rPr>
          <w:sz w:val="22"/>
        </w:rPr>
        <w:t>section </w:t>
      </w:r>
      <w:r>
        <w:rPr>
          <w:spacing w:val="-2"/>
          <w:sz w:val="22"/>
        </w:rPr>
        <w:t>7-1-96</w:t>
      </w:r>
      <w:r>
        <w:rPr>
          <w:sz w:val="22"/>
        </w:rPr>
        <w:tab/>
        <w:t>PT Memo #96-6</w:t>
      </w:r>
    </w:p>
    <w:p>
      <w:pPr>
        <w:spacing w:before="0"/>
        <w:ind w:left="1439" w:right="0" w:firstLine="0"/>
        <w:jc w:val="left"/>
        <w:rPr>
          <w:sz w:val="22"/>
        </w:rPr>
      </w:pPr>
      <w:r>
        <w:rPr>
          <w:sz w:val="22"/>
        </w:rPr>
        <w:t>Permanent,</w:t>
      </w:r>
      <w:r>
        <w:rPr>
          <w:spacing w:val="-10"/>
          <w:sz w:val="22"/>
        </w:rPr>
        <w:t> </w:t>
      </w:r>
      <w:r>
        <w:rPr>
          <w:sz w:val="22"/>
        </w:rPr>
        <w:t>supersedes</w:t>
      </w:r>
      <w:r>
        <w:rPr>
          <w:spacing w:val="-12"/>
          <w:sz w:val="22"/>
        </w:rPr>
        <w:t> </w:t>
      </w:r>
      <w:r>
        <w:rPr>
          <w:sz w:val="22"/>
        </w:rPr>
        <w:t>emergency</w:t>
      </w:r>
      <w:r>
        <w:rPr>
          <w:spacing w:val="-11"/>
          <w:sz w:val="22"/>
        </w:rPr>
        <w:t> </w:t>
      </w:r>
      <w:r>
        <w:rPr>
          <w:sz w:val="22"/>
        </w:rPr>
        <w:t>rules</w:t>
      </w:r>
      <w:r>
        <w:rPr>
          <w:spacing w:val="-11"/>
          <w:sz w:val="22"/>
        </w:rPr>
        <w:t> </w:t>
      </w:r>
      <w:r>
        <w:rPr>
          <w:sz w:val="22"/>
        </w:rPr>
        <w:t>issued</w:t>
      </w:r>
      <w:r>
        <w:rPr>
          <w:spacing w:val="-11"/>
          <w:sz w:val="22"/>
        </w:rPr>
        <w:t> </w:t>
      </w:r>
      <w:r>
        <w:rPr>
          <w:sz w:val="22"/>
        </w:rPr>
        <w:t>4-28-</w:t>
      </w:r>
      <w:r>
        <w:rPr>
          <w:spacing w:val="-5"/>
          <w:sz w:val="22"/>
        </w:rPr>
        <w:t>95</w:t>
      </w:r>
    </w:p>
    <w:p>
      <w:pPr>
        <w:spacing w:after="0"/>
        <w:jc w:val="left"/>
        <w:rPr>
          <w:sz w:val="22"/>
        </w:rPr>
        <w:sectPr>
          <w:pgSz w:w="12240" w:h="15840"/>
          <w:pgMar w:top="1340" w:bottom="280" w:left="1080" w:right="720"/>
        </w:sectPr>
      </w:pPr>
    </w:p>
    <w:p>
      <w:pPr>
        <w:pStyle w:val="Heading1"/>
        <w:spacing w:line="208" w:lineRule="auto" w:before="96"/>
        <w:ind w:left="4333" w:right="775" w:hanging="3381"/>
        <w:jc w:val="left"/>
      </w:pPr>
      <w:bookmarkStart w:name="PART 3. HUMAN RESOURCES MANAGEMENT SECTI" w:id="83"/>
      <w:bookmarkEnd w:id="83"/>
      <w:r>
        <w:rPr>
          <w:b w:val="0"/>
        </w:rPr>
      </w:r>
      <w:r>
        <w:rPr/>
        <w:t>PART</w:t>
      </w:r>
      <w:r>
        <w:rPr>
          <w:spacing w:val="-5"/>
        </w:rPr>
        <w:t> </w:t>
      </w:r>
      <w:r>
        <w:rPr/>
        <w:t>3.</w:t>
      </w:r>
      <w:r>
        <w:rPr>
          <w:spacing w:val="-7"/>
        </w:rPr>
        <w:t> </w:t>
      </w:r>
      <w:r>
        <w:rPr/>
        <w:t>HUMAN</w:t>
      </w:r>
      <w:r>
        <w:rPr>
          <w:spacing w:val="-6"/>
        </w:rPr>
        <w:t> </w:t>
      </w:r>
      <w:r>
        <w:rPr/>
        <w:t>RESOURCES</w:t>
      </w:r>
      <w:r>
        <w:rPr>
          <w:spacing w:val="-5"/>
        </w:rPr>
        <w:t> </w:t>
      </w:r>
      <w:r>
        <w:rPr/>
        <w:t>MANAGEMENT</w:t>
      </w:r>
      <w:r>
        <w:rPr>
          <w:spacing w:val="-5"/>
        </w:rPr>
        <w:t> </w:t>
      </w:r>
      <w:r>
        <w:rPr/>
        <w:t>SECTION</w:t>
      </w:r>
      <w:r>
        <w:rPr>
          <w:spacing w:val="-6"/>
        </w:rPr>
        <w:t> </w:t>
      </w:r>
      <w:r>
        <w:rPr/>
        <w:t>–</w:t>
      </w:r>
      <w:r>
        <w:rPr>
          <w:spacing w:val="-8"/>
        </w:rPr>
        <w:t> </w:t>
      </w:r>
      <w:r>
        <w:rPr/>
        <w:t>PERSONNEL </w:t>
      </w:r>
      <w:r>
        <w:rPr>
          <w:spacing w:val="-2"/>
        </w:rPr>
        <w:t>PROGRAMS</w:t>
      </w:r>
    </w:p>
    <w:p>
      <w:pPr>
        <w:pStyle w:val="BodyText"/>
        <w:spacing w:before="210"/>
        <w:ind w:left="359"/>
      </w:pPr>
      <w:r>
        <w:rPr>
          <w:spacing w:val="-2"/>
        </w:rPr>
        <w:t>Section</w:t>
      </w:r>
    </w:p>
    <w:p>
      <w:pPr>
        <w:pStyle w:val="BodyText"/>
        <w:tabs>
          <w:tab w:pos="1799" w:val="left" w:leader="none"/>
        </w:tabs>
        <w:spacing w:before="204"/>
        <w:ind w:left="359"/>
      </w:pPr>
      <w:r>
        <w:rPr>
          <w:spacing w:val="-2"/>
        </w:rPr>
        <w:t>612:3-3-</w:t>
      </w:r>
      <w:r>
        <w:rPr>
          <w:spacing w:val="-5"/>
        </w:rPr>
        <w:t>20.</w:t>
      </w:r>
      <w:r>
        <w:rPr/>
        <w:tab/>
        <w:t>Department</w:t>
      </w:r>
      <w:r>
        <w:rPr>
          <w:spacing w:val="-6"/>
        </w:rPr>
        <w:t> </w:t>
      </w:r>
      <w:r>
        <w:rPr/>
        <w:t>of</w:t>
      </w:r>
      <w:r>
        <w:rPr>
          <w:spacing w:val="-6"/>
        </w:rPr>
        <w:t> </w:t>
      </w:r>
      <w:r>
        <w:rPr/>
        <w:t>Rehabilitation</w:t>
      </w:r>
      <w:r>
        <w:rPr>
          <w:spacing w:val="-5"/>
        </w:rPr>
        <w:t> </w:t>
      </w:r>
      <w:r>
        <w:rPr/>
        <w:t>Services</w:t>
      </w:r>
      <w:r>
        <w:rPr>
          <w:spacing w:val="-5"/>
        </w:rPr>
        <w:t> </w:t>
      </w:r>
      <w:r>
        <w:rPr/>
        <w:t>recruitment</w:t>
      </w:r>
      <w:r>
        <w:rPr>
          <w:spacing w:val="-4"/>
        </w:rPr>
        <w:t> </w:t>
      </w:r>
      <w:r>
        <w:rPr/>
        <w:t>and</w:t>
      </w:r>
      <w:r>
        <w:rPr>
          <w:spacing w:val="-5"/>
        </w:rPr>
        <w:t> </w:t>
      </w:r>
      <w:r>
        <w:rPr/>
        <w:t>selection</w:t>
      </w:r>
      <w:r>
        <w:rPr>
          <w:spacing w:val="-4"/>
        </w:rPr>
        <w:t> plan</w:t>
      </w:r>
    </w:p>
    <w:p>
      <w:pPr>
        <w:pStyle w:val="BodyText"/>
        <w:spacing w:after="0"/>
        <w:sectPr>
          <w:pgSz w:w="12240" w:h="15840"/>
          <w:pgMar w:top="1340" w:bottom="280" w:left="1080" w:right="720"/>
        </w:sectPr>
      </w:pPr>
    </w:p>
    <w:p>
      <w:pPr>
        <w:pStyle w:val="Heading2"/>
      </w:pPr>
      <w:bookmarkStart w:name="612:3-3-20.  Department of Rehabilitatio" w:id="84"/>
      <w:bookmarkEnd w:id="84"/>
      <w:r>
        <w:rPr>
          <w:b w:val="0"/>
        </w:rPr>
      </w:r>
      <w:bookmarkStart w:name="_bookmark1" w:id="85"/>
      <w:bookmarkEnd w:id="85"/>
      <w:r>
        <w:rPr>
          <w:b w:val="0"/>
        </w:rPr>
      </w:r>
      <w:r>
        <w:rPr/>
        <w:t>612:3-3-20.</w:t>
      </w:r>
      <w:r>
        <w:rPr>
          <w:spacing w:val="56"/>
        </w:rPr>
        <w:t> </w:t>
      </w:r>
      <w:r>
        <w:rPr/>
        <w:t>Department</w:t>
      </w:r>
      <w:r>
        <w:rPr>
          <w:spacing w:val="-4"/>
        </w:rPr>
        <w:t> </w:t>
      </w:r>
      <w:r>
        <w:rPr/>
        <w:t>of</w:t>
      </w:r>
      <w:r>
        <w:rPr>
          <w:spacing w:val="-3"/>
        </w:rPr>
        <w:t> </w:t>
      </w:r>
      <w:r>
        <w:rPr/>
        <w:t>Rehabilitation</w:t>
      </w:r>
      <w:r>
        <w:rPr>
          <w:spacing w:val="-6"/>
        </w:rPr>
        <w:t> </w:t>
      </w:r>
      <w:r>
        <w:rPr/>
        <w:t>Services</w:t>
      </w:r>
      <w:r>
        <w:rPr>
          <w:spacing w:val="-4"/>
        </w:rPr>
        <w:t> </w:t>
      </w:r>
      <w:r>
        <w:rPr/>
        <w:t>recruitment</w:t>
      </w:r>
      <w:r>
        <w:rPr>
          <w:spacing w:val="-6"/>
        </w:rPr>
        <w:t> </w:t>
      </w:r>
      <w:r>
        <w:rPr/>
        <w:t>and</w:t>
      </w:r>
      <w:r>
        <w:rPr>
          <w:spacing w:val="-4"/>
        </w:rPr>
        <w:t> </w:t>
      </w:r>
      <w:r>
        <w:rPr/>
        <w:t>selection</w:t>
      </w:r>
      <w:r>
        <w:rPr>
          <w:spacing w:val="-4"/>
        </w:rPr>
        <w:t> plan</w:t>
      </w:r>
    </w:p>
    <w:p>
      <w:pPr>
        <w:pStyle w:val="ListParagraph"/>
        <w:numPr>
          <w:ilvl w:val="0"/>
          <w:numId w:val="59"/>
        </w:numPr>
        <w:tabs>
          <w:tab w:pos="784" w:val="left" w:leader="none"/>
        </w:tabs>
        <w:spacing w:line="208" w:lineRule="auto" w:before="233" w:after="0"/>
        <w:ind w:left="359" w:right="752" w:firstLine="0"/>
        <w:jc w:val="left"/>
        <w:rPr>
          <w:b/>
          <w:sz w:val="24"/>
        </w:rPr>
      </w:pPr>
      <w:r>
        <w:rPr>
          <w:b/>
          <w:sz w:val="24"/>
        </w:rPr>
        <w:t>Method of application. </w:t>
      </w:r>
      <w:r>
        <w:rPr>
          <w:sz w:val="24"/>
        </w:rPr>
        <w:t>All applicants who are permanent classified employees, or former permanent classified state employees eligible for reinstatement to the classified service, shall submit a completed official State of Oklahoma employment application-1 online with OMES-HCM at jobs.ok.gov no later than the closing date and time stated in the posted notice. DRS does not carry over completed applications from one posting to the next unless specified on the posting. All other applicants for classified positions</w:t>
      </w:r>
      <w:r>
        <w:rPr>
          <w:spacing w:val="40"/>
          <w:sz w:val="24"/>
        </w:rPr>
        <w:t> </w:t>
      </w:r>
      <w:r>
        <w:rPr>
          <w:sz w:val="24"/>
        </w:rPr>
        <w:t>must apply by means of the method indicated on the vacancy notice. OMES-HCM notifies applicants who did not meet minimum education and experience requirements for the position.</w:t>
      </w:r>
      <w:r>
        <w:rPr>
          <w:spacing w:val="40"/>
          <w:sz w:val="24"/>
        </w:rPr>
        <w:t> </w:t>
      </w:r>
      <w:r>
        <w:rPr>
          <w:sz w:val="24"/>
        </w:rPr>
        <w:t>Applicants may submit additional information to OMES-Human Capital Management which reflects they meet the minimum qualifications for the position. If Human</w:t>
      </w:r>
      <w:r>
        <w:rPr>
          <w:spacing w:val="-4"/>
          <w:sz w:val="24"/>
        </w:rPr>
        <w:t> </w:t>
      </w:r>
      <w:r>
        <w:rPr>
          <w:sz w:val="24"/>
        </w:rPr>
        <w:t>Capital</w:t>
      </w:r>
      <w:r>
        <w:rPr>
          <w:spacing w:val="-4"/>
          <w:sz w:val="24"/>
        </w:rPr>
        <w:t> </w:t>
      </w:r>
      <w:r>
        <w:rPr>
          <w:sz w:val="24"/>
        </w:rPr>
        <w:t>Management</w:t>
      </w:r>
      <w:r>
        <w:rPr>
          <w:spacing w:val="-3"/>
          <w:sz w:val="24"/>
        </w:rPr>
        <w:t> </w:t>
      </w:r>
      <w:r>
        <w:rPr>
          <w:sz w:val="24"/>
        </w:rPr>
        <w:t>determines</w:t>
      </w:r>
      <w:r>
        <w:rPr>
          <w:spacing w:val="-4"/>
          <w:sz w:val="24"/>
        </w:rPr>
        <w:t> </w:t>
      </w:r>
      <w:r>
        <w:rPr>
          <w:sz w:val="24"/>
        </w:rPr>
        <w:t>that</w:t>
      </w:r>
      <w:r>
        <w:rPr>
          <w:spacing w:val="-3"/>
          <w:sz w:val="24"/>
        </w:rPr>
        <w:t> </w:t>
      </w:r>
      <w:r>
        <w:rPr>
          <w:sz w:val="24"/>
        </w:rPr>
        <w:t>minimum</w:t>
      </w:r>
      <w:r>
        <w:rPr>
          <w:spacing w:val="-3"/>
          <w:sz w:val="24"/>
        </w:rPr>
        <w:t> </w:t>
      </w:r>
      <w:r>
        <w:rPr>
          <w:sz w:val="24"/>
        </w:rPr>
        <w:t>qualifications</w:t>
      </w:r>
      <w:r>
        <w:rPr>
          <w:spacing w:val="-4"/>
          <w:sz w:val="24"/>
        </w:rPr>
        <w:t> </w:t>
      </w:r>
      <w:r>
        <w:rPr>
          <w:sz w:val="24"/>
        </w:rPr>
        <w:t>for</w:t>
      </w:r>
      <w:r>
        <w:rPr>
          <w:spacing w:val="-3"/>
          <w:sz w:val="24"/>
        </w:rPr>
        <w:t> </w:t>
      </w:r>
      <w:r>
        <w:rPr>
          <w:sz w:val="24"/>
        </w:rPr>
        <w:t>the</w:t>
      </w:r>
      <w:r>
        <w:rPr>
          <w:spacing w:val="-5"/>
          <w:sz w:val="24"/>
        </w:rPr>
        <w:t> </w:t>
      </w:r>
      <w:r>
        <w:rPr>
          <w:sz w:val="24"/>
        </w:rPr>
        <w:t>position</w:t>
      </w:r>
      <w:r>
        <w:rPr>
          <w:spacing w:val="-4"/>
          <w:sz w:val="24"/>
        </w:rPr>
        <w:t> </w:t>
      </w:r>
      <w:r>
        <w:rPr>
          <w:sz w:val="24"/>
        </w:rPr>
        <w:t>are met, the applicant log may be amended and the applicant given consideration for the position if a final selection has not been made by the selecting official. </w:t>
      </w:r>
      <w:r>
        <w:rPr>
          <w:b/>
          <w:sz w:val="24"/>
        </w:rPr>
        <w:t>1</w:t>
      </w:r>
    </w:p>
    <w:p>
      <w:pPr>
        <w:pStyle w:val="ListParagraph"/>
        <w:numPr>
          <w:ilvl w:val="0"/>
          <w:numId w:val="59"/>
        </w:numPr>
        <w:tabs>
          <w:tab w:pos="784" w:val="left" w:leader="none"/>
        </w:tabs>
        <w:spacing w:line="208" w:lineRule="auto" w:before="239" w:after="0"/>
        <w:ind w:left="359" w:right="835" w:firstLine="0"/>
        <w:jc w:val="left"/>
        <w:rPr>
          <w:b/>
          <w:sz w:val="24"/>
        </w:rPr>
      </w:pPr>
      <w:r>
        <w:rPr>
          <w:b/>
          <w:sz w:val="24"/>
        </w:rPr>
        <w:t>Optional Program for Hiring Applicants with Disabilities. </w:t>
      </w:r>
      <w:r>
        <w:rPr>
          <w:sz w:val="24"/>
        </w:rPr>
        <w:t>Applicants that have been</w:t>
      </w:r>
      <w:r>
        <w:rPr>
          <w:spacing w:val="-3"/>
          <w:sz w:val="24"/>
        </w:rPr>
        <w:t> </w:t>
      </w:r>
      <w:r>
        <w:rPr>
          <w:sz w:val="24"/>
        </w:rPr>
        <w:t>certified</w:t>
      </w:r>
      <w:r>
        <w:rPr>
          <w:spacing w:val="-3"/>
          <w:sz w:val="24"/>
        </w:rPr>
        <w:t> </w:t>
      </w:r>
      <w:r>
        <w:rPr>
          <w:sz w:val="24"/>
        </w:rPr>
        <w:t>as</w:t>
      </w:r>
      <w:r>
        <w:rPr>
          <w:spacing w:val="-3"/>
          <w:sz w:val="24"/>
        </w:rPr>
        <w:t> </w:t>
      </w:r>
      <w:r>
        <w:rPr>
          <w:sz w:val="24"/>
        </w:rPr>
        <w:t>"a</w:t>
      </w:r>
      <w:r>
        <w:rPr>
          <w:spacing w:val="-3"/>
          <w:sz w:val="24"/>
        </w:rPr>
        <w:t> </w:t>
      </w:r>
      <w:r>
        <w:rPr>
          <w:sz w:val="24"/>
        </w:rPr>
        <w:t>person</w:t>
      </w:r>
      <w:r>
        <w:rPr>
          <w:spacing w:val="-3"/>
          <w:sz w:val="24"/>
        </w:rPr>
        <w:t> </w:t>
      </w:r>
      <w:r>
        <w:rPr>
          <w:sz w:val="24"/>
        </w:rPr>
        <w:t>with</w:t>
      </w:r>
      <w:r>
        <w:rPr>
          <w:spacing w:val="-3"/>
          <w:sz w:val="24"/>
        </w:rPr>
        <w:t> </w:t>
      </w:r>
      <w:r>
        <w:rPr>
          <w:sz w:val="24"/>
        </w:rPr>
        <w:t>a</w:t>
      </w:r>
      <w:r>
        <w:rPr>
          <w:spacing w:val="-3"/>
          <w:sz w:val="24"/>
        </w:rPr>
        <w:t> </w:t>
      </w:r>
      <w:r>
        <w:rPr>
          <w:sz w:val="24"/>
        </w:rPr>
        <w:t>severe</w:t>
      </w:r>
      <w:r>
        <w:rPr>
          <w:spacing w:val="-3"/>
          <w:sz w:val="24"/>
        </w:rPr>
        <w:t> </w:t>
      </w:r>
      <w:r>
        <w:rPr>
          <w:sz w:val="24"/>
        </w:rPr>
        <w:t>disability"</w:t>
      </w:r>
      <w:r>
        <w:rPr>
          <w:spacing w:val="-3"/>
          <w:sz w:val="24"/>
        </w:rPr>
        <w:t> </w:t>
      </w:r>
      <w:r>
        <w:rPr>
          <w:sz w:val="24"/>
        </w:rPr>
        <w:t>by</w:t>
      </w:r>
      <w:r>
        <w:rPr>
          <w:spacing w:val="-3"/>
          <w:sz w:val="24"/>
        </w:rPr>
        <w:t> </w:t>
      </w:r>
      <w:r>
        <w:rPr>
          <w:sz w:val="24"/>
        </w:rPr>
        <w:t>Human</w:t>
      </w:r>
      <w:r>
        <w:rPr>
          <w:spacing w:val="-3"/>
          <w:sz w:val="24"/>
        </w:rPr>
        <w:t> </w:t>
      </w:r>
      <w:r>
        <w:rPr>
          <w:sz w:val="24"/>
        </w:rPr>
        <w:t>Capital</w:t>
      </w:r>
      <w:r>
        <w:rPr>
          <w:spacing w:val="-3"/>
          <w:sz w:val="24"/>
        </w:rPr>
        <w:t> </w:t>
      </w:r>
      <w:r>
        <w:rPr>
          <w:sz w:val="24"/>
        </w:rPr>
        <w:t>Management</w:t>
      </w:r>
      <w:r>
        <w:rPr>
          <w:spacing w:val="-2"/>
          <w:sz w:val="24"/>
        </w:rPr>
        <w:t> </w:t>
      </w:r>
      <w:r>
        <w:rPr>
          <w:sz w:val="24"/>
        </w:rPr>
        <w:t>will be included on the Special Appointment/Free Names list through HCM and may be considered along with other qualified internal and external applicants. </w:t>
      </w:r>
      <w:r>
        <w:rPr>
          <w:b/>
          <w:sz w:val="24"/>
        </w:rPr>
        <w:t>2</w:t>
      </w:r>
    </w:p>
    <w:p>
      <w:pPr>
        <w:pStyle w:val="ListParagraph"/>
        <w:numPr>
          <w:ilvl w:val="0"/>
          <w:numId w:val="59"/>
        </w:numPr>
        <w:tabs>
          <w:tab w:pos="772" w:val="left" w:leader="none"/>
        </w:tabs>
        <w:spacing w:line="208" w:lineRule="auto" w:before="239" w:after="0"/>
        <w:ind w:left="359" w:right="726" w:firstLine="0"/>
        <w:jc w:val="left"/>
        <w:rPr>
          <w:sz w:val="24"/>
        </w:rPr>
      </w:pPr>
      <w:r>
        <w:rPr>
          <w:b/>
          <w:sz w:val="24"/>
        </w:rPr>
        <w:t>Eligibility for consideration. </w:t>
      </w:r>
      <w:r>
        <w:rPr>
          <w:sz w:val="24"/>
        </w:rPr>
        <w:t>The agency may consider external applicants concurrently with internal applicants following closing of the announcement. To be eligible</w:t>
      </w:r>
      <w:r>
        <w:rPr>
          <w:spacing w:val="-4"/>
          <w:sz w:val="24"/>
        </w:rPr>
        <w:t> </w:t>
      </w:r>
      <w:r>
        <w:rPr>
          <w:sz w:val="24"/>
        </w:rPr>
        <w:t>for</w:t>
      </w:r>
      <w:r>
        <w:rPr>
          <w:spacing w:val="-5"/>
          <w:sz w:val="24"/>
        </w:rPr>
        <w:t> </w:t>
      </w:r>
      <w:r>
        <w:rPr>
          <w:sz w:val="24"/>
        </w:rPr>
        <w:t>consideration,</w:t>
      </w:r>
      <w:r>
        <w:rPr>
          <w:spacing w:val="-3"/>
          <w:sz w:val="24"/>
        </w:rPr>
        <w:t> </w:t>
      </w:r>
      <w:r>
        <w:rPr>
          <w:sz w:val="24"/>
        </w:rPr>
        <w:t>applicants</w:t>
      </w:r>
      <w:r>
        <w:rPr>
          <w:spacing w:val="-4"/>
          <w:sz w:val="24"/>
        </w:rPr>
        <w:t> </w:t>
      </w:r>
      <w:r>
        <w:rPr>
          <w:sz w:val="24"/>
        </w:rPr>
        <w:t>must</w:t>
      </w:r>
      <w:r>
        <w:rPr>
          <w:spacing w:val="-5"/>
          <w:sz w:val="24"/>
        </w:rPr>
        <w:t> </w:t>
      </w:r>
      <w:r>
        <w:rPr>
          <w:sz w:val="24"/>
        </w:rPr>
        <w:t>meet</w:t>
      </w:r>
      <w:r>
        <w:rPr>
          <w:spacing w:val="-3"/>
          <w:sz w:val="24"/>
        </w:rPr>
        <w:t> </w:t>
      </w:r>
      <w:r>
        <w:rPr>
          <w:sz w:val="24"/>
        </w:rPr>
        <w:t>the</w:t>
      </w:r>
      <w:r>
        <w:rPr>
          <w:spacing w:val="-4"/>
          <w:sz w:val="24"/>
        </w:rPr>
        <w:t> </w:t>
      </w:r>
      <w:r>
        <w:rPr>
          <w:sz w:val="24"/>
        </w:rPr>
        <w:t>requirements</w:t>
      </w:r>
      <w:r>
        <w:rPr>
          <w:spacing w:val="-4"/>
          <w:sz w:val="24"/>
        </w:rPr>
        <w:t> </w:t>
      </w:r>
      <w:r>
        <w:rPr>
          <w:sz w:val="24"/>
        </w:rPr>
        <w:t>set</w:t>
      </w:r>
      <w:r>
        <w:rPr>
          <w:spacing w:val="-3"/>
          <w:sz w:val="24"/>
        </w:rPr>
        <w:t> </w:t>
      </w:r>
      <w:r>
        <w:rPr>
          <w:sz w:val="24"/>
        </w:rPr>
        <w:t>forth</w:t>
      </w:r>
      <w:r>
        <w:rPr>
          <w:spacing w:val="-4"/>
          <w:sz w:val="24"/>
        </w:rPr>
        <w:t> </w:t>
      </w:r>
      <w:r>
        <w:rPr>
          <w:sz w:val="24"/>
        </w:rPr>
        <w:t>in</w:t>
      </w:r>
      <w:r>
        <w:rPr>
          <w:spacing w:val="-5"/>
          <w:sz w:val="24"/>
        </w:rPr>
        <w:t> </w:t>
      </w:r>
      <w:r>
        <w:rPr>
          <w:sz w:val="24"/>
        </w:rPr>
        <w:t>Paragraphs</w:t>
      </w:r>
    </w:p>
    <w:p>
      <w:pPr>
        <w:pStyle w:val="BodyText"/>
        <w:spacing w:line="246" w:lineRule="exact" w:before="0"/>
        <w:ind w:left="359"/>
      </w:pPr>
      <w:r>
        <w:rPr/>
        <w:t>(1)</w:t>
      </w:r>
      <w:r>
        <w:rPr>
          <w:spacing w:val="-1"/>
        </w:rPr>
        <w:t> </w:t>
      </w:r>
      <w:r>
        <w:rPr/>
        <w:t>or</w:t>
      </w:r>
      <w:r>
        <w:rPr>
          <w:spacing w:val="-2"/>
        </w:rPr>
        <w:t> </w:t>
      </w:r>
      <w:r>
        <w:rPr/>
        <w:t>(2)</w:t>
      </w:r>
      <w:r>
        <w:rPr>
          <w:spacing w:val="-2"/>
        </w:rPr>
        <w:t> </w:t>
      </w:r>
      <w:r>
        <w:rPr/>
        <w:t>of</w:t>
      </w:r>
      <w:r>
        <w:rPr>
          <w:spacing w:val="-2"/>
        </w:rPr>
        <w:t> </w:t>
      </w:r>
      <w:r>
        <w:rPr/>
        <w:t>this</w:t>
      </w:r>
      <w:r>
        <w:rPr>
          <w:spacing w:val="-1"/>
        </w:rPr>
        <w:t> </w:t>
      </w:r>
      <w:r>
        <w:rPr>
          <w:spacing w:val="-2"/>
        </w:rPr>
        <w:t>Subsection.</w:t>
      </w:r>
    </w:p>
    <w:p>
      <w:pPr>
        <w:pStyle w:val="ListParagraph"/>
        <w:numPr>
          <w:ilvl w:val="1"/>
          <w:numId w:val="59"/>
        </w:numPr>
        <w:tabs>
          <w:tab w:pos="1217" w:val="left" w:leader="none"/>
        </w:tabs>
        <w:spacing w:line="208" w:lineRule="auto" w:before="233" w:after="0"/>
        <w:ind w:left="791" w:right="841" w:firstLine="0"/>
        <w:jc w:val="left"/>
        <w:rPr>
          <w:sz w:val="24"/>
        </w:rPr>
      </w:pPr>
      <w:r>
        <w:rPr>
          <w:sz w:val="24"/>
        </w:rPr>
        <w:t>A</w:t>
      </w:r>
      <w:r>
        <w:rPr>
          <w:spacing w:val="-4"/>
          <w:sz w:val="24"/>
        </w:rPr>
        <w:t> </w:t>
      </w:r>
      <w:r>
        <w:rPr>
          <w:sz w:val="24"/>
        </w:rPr>
        <w:t>permanent</w:t>
      </w:r>
      <w:r>
        <w:rPr>
          <w:spacing w:val="-3"/>
          <w:sz w:val="24"/>
        </w:rPr>
        <w:t> </w:t>
      </w:r>
      <w:r>
        <w:rPr>
          <w:sz w:val="24"/>
        </w:rPr>
        <w:t>classified</w:t>
      </w:r>
      <w:r>
        <w:rPr>
          <w:spacing w:val="-4"/>
          <w:sz w:val="24"/>
        </w:rPr>
        <w:t> </w:t>
      </w:r>
      <w:r>
        <w:rPr>
          <w:sz w:val="24"/>
        </w:rPr>
        <w:t>employee</w:t>
      </w:r>
      <w:r>
        <w:rPr>
          <w:spacing w:val="-4"/>
          <w:sz w:val="24"/>
        </w:rPr>
        <w:t> </w:t>
      </w:r>
      <w:r>
        <w:rPr>
          <w:sz w:val="24"/>
        </w:rPr>
        <w:t>or</w:t>
      </w:r>
      <w:r>
        <w:rPr>
          <w:spacing w:val="-3"/>
          <w:sz w:val="24"/>
        </w:rPr>
        <w:t> </w:t>
      </w:r>
      <w:r>
        <w:rPr>
          <w:sz w:val="24"/>
        </w:rPr>
        <w:t>a</w:t>
      </w:r>
      <w:r>
        <w:rPr>
          <w:spacing w:val="-4"/>
          <w:sz w:val="24"/>
        </w:rPr>
        <w:t> </w:t>
      </w:r>
      <w:r>
        <w:rPr>
          <w:sz w:val="24"/>
        </w:rPr>
        <w:t>former</w:t>
      </w:r>
      <w:r>
        <w:rPr>
          <w:spacing w:val="-3"/>
          <w:sz w:val="24"/>
        </w:rPr>
        <w:t> </w:t>
      </w:r>
      <w:r>
        <w:rPr>
          <w:sz w:val="24"/>
        </w:rPr>
        <w:t>state</w:t>
      </w:r>
      <w:r>
        <w:rPr>
          <w:spacing w:val="-4"/>
          <w:sz w:val="24"/>
        </w:rPr>
        <w:t> </w:t>
      </w:r>
      <w:r>
        <w:rPr>
          <w:sz w:val="24"/>
        </w:rPr>
        <w:t>employee</w:t>
      </w:r>
      <w:r>
        <w:rPr>
          <w:spacing w:val="-4"/>
          <w:sz w:val="24"/>
        </w:rPr>
        <w:t> </w:t>
      </w:r>
      <w:r>
        <w:rPr>
          <w:sz w:val="24"/>
        </w:rPr>
        <w:t>who</w:t>
      </w:r>
      <w:r>
        <w:rPr>
          <w:spacing w:val="-4"/>
          <w:sz w:val="24"/>
        </w:rPr>
        <w:t> </w:t>
      </w:r>
      <w:r>
        <w:rPr>
          <w:sz w:val="24"/>
        </w:rPr>
        <w:t>is</w:t>
      </w:r>
      <w:r>
        <w:rPr>
          <w:spacing w:val="-4"/>
          <w:sz w:val="24"/>
        </w:rPr>
        <w:t> </w:t>
      </w:r>
      <w:r>
        <w:rPr>
          <w:sz w:val="24"/>
        </w:rPr>
        <w:t>eligible</w:t>
      </w:r>
      <w:r>
        <w:rPr>
          <w:spacing w:val="-4"/>
          <w:sz w:val="24"/>
        </w:rPr>
        <w:t> </w:t>
      </w:r>
      <w:r>
        <w:rPr>
          <w:sz w:val="24"/>
        </w:rPr>
        <w:t>for reinstatement must:</w:t>
      </w:r>
    </w:p>
    <w:p>
      <w:pPr>
        <w:pStyle w:val="ListParagraph"/>
        <w:numPr>
          <w:ilvl w:val="2"/>
          <w:numId w:val="59"/>
        </w:numPr>
        <w:tabs>
          <w:tab w:pos="1676" w:val="left" w:leader="none"/>
        </w:tabs>
        <w:spacing w:line="208" w:lineRule="auto" w:before="240" w:after="0"/>
        <w:ind w:left="1223" w:right="995" w:firstLine="0"/>
        <w:jc w:val="left"/>
        <w:rPr>
          <w:sz w:val="24"/>
        </w:rPr>
      </w:pPr>
      <w:r>
        <w:rPr>
          <w:sz w:val="24"/>
        </w:rPr>
        <w:t>submit a completed official State of Oklahoma employment application online</w:t>
      </w:r>
      <w:r>
        <w:rPr>
          <w:spacing w:val="-4"/>
          <w:sz w:val="24"/>
        </w:rPr>
        <w:t> </w:t>
      </w:r>
      <w:r>
        <w:rPr>
          <w:sz w:val="24"/>
        </w:rPr>
        <w:t>with</w:t>
      </w:r>
      <w:r>
        <w:rPr>
          <w:spacing w:val="-3"/>
          <w:sz w:val="24"/>
        </w:rPr>
        <w:t> </w:t>
      </w:r>
      <w:r>
        <w:rPr>
          <w:sz w:val="24"/>
        </w:rPr>
        <w:t>OMES-HCM</w:t>
      </w:r>
      <w:r>
        <w:rPr>
          <w:spacing w:val="-3"/>
          <w:sz w:val="24"/>
        </w:rPr>
        <w:t> </w:t>
      </w:r>
      <w:r>
        <w:rPr>
          <w:sz w:val="24"/>
        </w:rPr>
        <w:t>at</w:t>
      </w:r>
      <w:r>
        <w:rPr>
          <w:spacing w:val="-3"/>
          <w:sz w:val="24"/>
        </w:rPr>
        <w:t> </w:t>
      </w:r>
      <w:r>
        <w:rPr>
          <w:sz w:val="24"/>
        </w:rPr>
        <w:t>jobs.ok.gov</w:t>
      </w:r>
      <w:r>
        <w:rPr>
          <w:spacing w:val="-4"/>
          <w:sz w:val="24"/>
        </w:rPr>
        <w:t> </w:t>
      </w:r>
      <w:r>
        <w:rPr>
          <w:sz w:val="24"/>
        </w:rPr>
        <w:t>no</w:t>
      </w:r>
      <w:r>
        <w:rPr>
          <w:spacing w:val="-4"/>
          <w:sz w:val="24"/>
        </w:rPr>
        <w:t> </w:t>
      </w:r>
      <w:r>
        <w:rPr>
          <w:sz w:val="24"/>
        </w:rPr>
        <w:t>later</w:t>
      </w:r>
      <w:r>
        <w:rPr>
          <w:spacing w:val="-3"/>
          <w:sz w:val="24"/>
        </w:rPr>
        <w:t> </w:t>
      </w:r>
      <w:r>
        <w:rPr>
          <w:sz w:val="24"/>
        </w:rPr>
        <w:t>than</w:t>
      </w:r>
      <w:r>
        <w:rPr>
          <w:spacing w:val="-4"/>
          <w:sz w:val="24"/>
        </w:rPr>
        <w:t> </w:t>
      </w:r>
      <w:r>
        <w:rPr>
          <w:sz w:val="24"/>
        </w:rPr>
        <w:t>the</w:t>
      </w:r>
      <w:r>
        <w:rPr>
          <w:spacing w:val="-5"/>
          <w:sz w:val="24"/>
        </w:rPr>
        <w:t> </w:t>
      </w:r>
      <w:r>
        <w:rPr>
          <w:sz w:val="24"/>
        </w:rPr>
        <w:t>closing</w:t>
      </w:r>
      <w:r>
        <w:rPr>
          <w:spacing w:val="-4"/>
          <w:sz w:val="24"/>
        </w:rPr>
        <w:t> </w:t>
      </w:r>
      <w:r>
        <w:rPr>
          <w:sz w:val="24"/>
        </w:rPr>
        <w:t>date</w:t>
      </w:r>
      <w:r>
        <w:rPr>
          <w:spacing w:val="-4"/>
          <w:sz w:val="24"/>
        </w:rPr>
        <w:t> </w:t>
      </w:r>
      <w:r>
        <w:rPr>
          <w:sz w:val="24"/>
        </w:rPr>
        <w:t>and</w:t>
      </w:r>
      <w:r>
        <w:rPr>
          <w:spacing w:val="-4"/>
          <w:sz w:val="24"/>
        </w:rPr>
        <w:t> </w:t>
      </w:r>
      <w:r>
        <w:rPr>
          <w:sz w:val="24"/>
        </w:rPr>
        <w:t>time specified on the posting notice; and</w:t>
      </w:r>
    </w:p>
    <w:p>
      <w:pPr>
        <w:pStyle w:val="ListParagraph"/>
        <w:numPr>
          <w:ilvl w:val="2"/>
          <w:numId w:val="59"/>
        </w:numPr>
        <w:tabs>
          <w:tab w:pos="1676" w:val="left" w:leader="none"/>
        </w:tabs>
        <w:spacing w:line="208" w:lineRule="auto" w:before="240" w:after="0"/>
        <w:ind w:left="1223" w:right="781" w:firstLine="0"/>
        <w:jc w:val="left"/>
        <w:rPr>
          <w:sz w:val="24"/>
        </w:rPr>
      </w:pPr>
      <w:r>
        <w:rPr>
          <w:sz w:val="24"/>
        </w:rPr>
        <w:t>be certified by the HCM Applicant Services Division as meeting the minimum qualifications for the posted Level(s) of the Job Family.</w:t>
      </w:r>
      <w:r>
        <w:rPr>
          <w:spacing w:val="40"/>
          <w:sz w:val="24"/>
        </w:rPr>
        <w:t> </w:t>
      </w:r>
      <w:r>
        <w:rPr>
          <w:sz w:val="24"/>
        </w:rPr>
        <w:t>However, career progression promotions shall be exempt from this requirement provided that an employee has been in a lower level of the job family for an amount of time</w:t>
      </w:r>
      <w:r>
        <w:rPr>
          <w:spacing w:val="-3"/>
          <w:sz w:val="24"/>
        </w:rPr>
        <w:t> </w:t>
      </w:r>
      <w:r>
        <w:rPr>
          <w:sz w:val="24"/>
        </w:rPr>
        <w:t>equal</w:t>
      </w:r>
      <w:r>
        <w:rPr>
          <w:spacing w:val="-3"/>
          <w:sz w:val="24"/>
        </w:rPr>
        <w:t> </w:t>
      </w:r>
      <w:r>
        <w:rPr>
          <w:sz w:val="24"/>
        </w:rPr>
        <w:t>to</w:t>
      </w:r>
      <w:r>
        <w:rPr>
          <w:spacing w:val="-3"/>
          <w:sz w:val="24"/>
        </w:rPr>
        <w:t> </w:t>
      </w:r>
      <w:r>
        <w:rPr>
          <w:sz w:val="24"/>
        </w:rPr>
        <w:t>the</w:t>
      </w:r>
      <w:r>
        <w:rPr>
          <w:spacing w:val="-3"/>
          <w:sz w:val="24"/>
        </w:rPr>
        <w:t> </w:t>
      </w:r>
      <w:r>
        <w:rPr>
          <w:sz w:val="24"/>
        </w:rPr>
        <w:t>difference</w:t>
      </w:r>
      <w:r>
        <w:rPr>
          <w:spacing w:val="-3"/>
          <w:sz w:val="24"/>
        </w:rPr>
        <w:t> </w:t>
      </w:r>
      <w:r>
        <w:rPr>
          <w:sz w:val="24"/>
        </w:rPr>
        <w:t>in</w:t>
      </w:r>
      <w:r>
        <w:rPr>
          <w:spacing w:val="-3"/>
          <w:sz w:val="24"/>
        </w:rPr>
        <w:t> </w:t>
      </w:r>
      <w:r>
        <w:rPr>
          <w:sz w:val="24"/>
        </w:rPr>
        <w:t>the</w:t>
      </w:r>
      <w:r>
        <w:rPr>
          <w:spacing w:val="-3"/>
          <w:sz w:val="24"/>
        </w:rPr>
        <w:t> </w:t>
      </w:r>
      <w:r>
        <w:rPr>
          <w:sz w:val="24"/>
        </w:rPr>
        <w:t>lengths</w:t>
      </w:r>
      <w:r>
        <w:rPr>
          <w:spacing w:val="-3"/>
          <w:sz w:val="24"/>
        </w:rPr>
        <w:t> </w:t>
      </w:r>
      <w:r>
        <w:rPr>
          <w:sz w:val="24"/>
        </w:rPr>
        <w:t>of</w:t>
      </w:r>
      <w:r>
        <w:rPr>
          <w:spacing w:val="-4"/>
          <w:sz w:val="24"/>
        </w:rPr>
        <w:t> </w:t>
      </w:r>
      <w:r>
        <w:rPr>
          <w:sz w:val="24"/>
        </w:rPr>
        <w:t>the</w:t>
      </w:r>
      <w:r>
        <w:rPr>
          <w:spacing w:val="-3"/>
          <w:sz w:val="24"/>
        </w:rPr>
        <w:t> </w:t>
      </w:r>
      <w:r>
        <w:rPr>
          <w:sz w:val="24"/>
        </w:rPr>
        <w:t>experience</w:t>
      </w:r>
      <w:r>
        <w:rPr>
          <w:spacing w:val="-3"/>
          <w:sz w:val="24"/>
        </w:rPr>
        <w:t> </w:t>
      </w:r>
      <w:r>
        <w:rPr>
          <w:sz w:val="24"/>
        </w:rPr>
        <w:t>requirements</w:t>
      </w:r>
      <w:r>
        <w:rPr>
          <w:spacing w:val="-3"/>
          <w:sz w:val="24"/>
        </w:rPr>
        <w:t> </w:t>
      </w:r>
      <w:r>
        <w:rPr>
          <w:sz w:val="24"/>
        </w:rPr>
        <w:t>of</w:t>
      </w:r>
      <w:r>
        <w:rPr>
          <w:spacing w:val="-4"/>
          <w:sz w:val="24"/>
        </w:rPr>
        <w:t> </w:t>
      </w:r>
      <w:r>
        <w:rPr>
          <w:sz w:val="24"/>
        </w:rPr>
        <w:t>the two levels.</w:t>
      </w:r>
    </w:p>
    <w:p>
      <w:pPr>
        <w:pStyle w:val="ListParagraph"/>
        <w:numPr>
          <w:ilvl w:val="1"/>
          <w:numId w:val="59"/>
        </w:numPr>
        <w:tabs>
          <w:tab w:pos="1217" w:val="left" w:leader="none"/>
        </w:tabs>
        <w:spacing w:line="240" w:lineRule="auto" w:before="210" w:after="0"/>
        <w:ind w:left="1217" w:right="0" w:hanging="426"/>
        <w:jc w:val="left"/>
        <w:rPr>
          <w:sz w:val="24"/>
        </w:rPr>
      </w:pPr>
      <w:r>
        <w:rPr>
          <w:sz w:val="24"/>
        </w:rPr>
        <w:t>All</w:t>
      </w:r>
      <w:r>
        <w:rPr>
          <w:spacing w:val="-6"/>
          <w:sz w:val="24"/>
        </w:rPr>
        <w:t> </w:t>
      </w:r>
      <w:r>
        <w:rPr>
          <w:sz w:val="24"/>
        </w:rPr>
        <w:t>other</w:t>
      </w:r>
      <w:r>
        <w:rPr>
          <w:spacing w:val="-3"/>
          <w:sz w:val="24"/>
        </w:rPr>
        <w:t> </w:t>
      </w:r>
      <w:r>
        <w:rPr>
          <w:sz w:val="24"/>
        </w:rPr>
        <w:t>applicants</w:t>
      </w:r>
      <w:r>
        <w:rPr>
          <w:spacing w:val="-2"/>
          <w:sz w:val="24"/>
        </w:rPr>
        <w:t> </w:t>
      </w:r>
      <w:r>
        <w:rPr>
          <w:sz w:val="24"/>
        </w:rPr>
        <w:t>for</w:t>
      </w:r>
      <w:r>
        <w:rPr>
          <w:spacing w:val="-3"/>
          <w:sz w:val="24"/>
        </w:rPr>
        <w:t> </w:t>
      </w:r>
      <w:r>
        <w:rPr>
          <w:sz w:val="24"/>
        </w:rPr>
        <w:t>employment</w:t>
      </w:r>
      <w:r>
        <w:rPr>
          <w:spacing w:val="-3"/>
          <w:sz w:val="24"/>
        </w:rPr>
        <w:t> </w:t>
      </w:r>
      <w:r>
        <w:rPr>
          <w:sz w:val="24"/>
        </w:rPr>
        <w:t>may</w:t>
      </w:r>
      <w:r>
        <w:rPr>
          <w:spacing w:val="-4"/>
          <w:sz w:val="24"/>
        </w:rPr>
        <w:t> </w:t>
      </w:r>
      <w:r>
        <w:rPr>
          <w:sz w:val="24"/>
        </w:rPr>
        <w:t>be</w:t>
      </w:r>
      <w:r>
        <w:rPr>
          <w:spacing w:val="-4"/>
          <w:sz w:val="24"/>
        </w:rPr>
        <w:t> </w:t>
      </w:r>
      <w:r>
        <w:rPr>
          <w:sz w:val="24"/>
        </w:rPr>
        <w:t>eligible</w:t>
      </w:r>
      <w:r>
        <w:rPr>
          <w:spacing w:val="-3"/>
          <w:sz w:val="24"/>
        </w:rPr>
        <w:t> </w:t>
      </w:r>
      <w:r>
        <w:rPr>
          <w:sz w:val="24"/>
        </w:rPr>
        <w:t>for</w:t>
      </w:r>
      <w:r>
        <w:rPr>
          <w:spacing w:val="-3"/>
          <w:sz w:val="24"/>
        </w:rPr>
        <w:t> </w:t>
      </w:r>
      <w:r>
        <w:rPr>
          <w:sz w:val="24"/>
        </w:rPr>
        <w:t>consideration</w:t>
      </w:r>
      <w:r>
        <w:rPr>
          <w:spacing w:val="-3"/>
          <w:sz w:val="24"/>
        </w:rPr>
        <w:t> </w:t>
      </w:r>
      <w:r>
        <w:rPr>
          <w:spacing w:val="-2"/>
          <w:sz w:val="24"/>
        </w:rPr>
        <w:t>through:</w:t>
      </w:r>
    </w:p>
    <w:p>
      <w:pPr>
        <w:pStyle w:val="ListParagraph"/>
        <w:numPr>
          <w:ilvl w:val="2"/>
          <w:numId w:val="59"/>
        </w:numPr>
        <w:tabs>
          <w:tab w:pos="1676" w:val="left" w:leader="none"/>
        </w:tabs>
        <w:spacing w:line="240" w:lineRule="auto" w:before="204" w:after="0"/>
        <w:ind w:left="1676" w:right="0" w:hanging="453"/>
        <w:jc w:val="left"/>
        <w:rPr>
          <w:sz w:val="24"/>
        </w:rPr>
      </w:pPr>
      <w:r>
        <w:rPr>
          <w:sz w:val="24"/>
        </w:rPr>
        <w:t>an</w:t>
      </w:r>
      <w:r>
        <w:rPr>
          <w:spacing w:val="-6"/>
          <w:sz w:val="24"/>
        </w:rPr>
        <w:t> </w:t>
      </w:r>
      <w:r>
        <w:rPr>
          <w:sz w:val="24"/>
        </w:rPr>
        <w:t>open</w:t>
      </w:r>
      <w:r>
        <w:rPr>
          <w:spacing w:val="-3"/>
          <w:sz w:val="24"/>
        </w:rPr>
        <w:t> </w:t>
      </w:r>
      <w:r>
        <w:rPr>
          <w:sz w:val="24"/>
        </w:rPr>
        <w:t>competitive</w:t>
      </w:r>
      <w:r>
        <w:rPr>
          <w:spacing w:val="-4"/>
          <w:sz w:val="24"/>
        </w:rPr>
        <w:t> </w:t>
      </w:r>
      <w:r>
        <w:rPr>
          <w:sz w:val="24"/>
        </w:rPr>
        <w:t>certificate</w:t>
      </w:r>
      <w:r>
        <w:rPr>
          <w:spacing w:val="-3"/>
          <w:sz w:val="24"/>
        </w:rPr>
        <w:t> </w:t>
      </w:r>
      <w:r>
        <w:rPr>
          <w:sz w:val="24"/>
        </w:rPr>
        <w:t>from</w:t>
      </w:r>
      <w:r>
        <w:rPr>
          <w:spacing w:val="-4"/>
          <w:sz w:val="24"/>
        </w:rPr>
        <w:t> HCM;</w:t>
      </w:r>
    </w:p>
    <w:p>
      <w:pPr>
        <w:pStyle w:val="ListParagraph"/>
        <w:numPr>
          <w:ilvl w:val="2"/>
          <w:numId w:val="59"/>
        </w:numPr>
        <w:tabs>
          <w:tab w:pos="1676" w:val="left" w:leader="none"/>
        </w:tabs>
        <w:spacing w:line="208" w:lineRule="auto" w:before="233" w:after="0"/>
        <w:ind w:left="1223" w:right="1062" w:firstLine="0"/>
        <w:jc w:val="left"/>
        <w:rPr>
          <w:sz w:val="24"/>
        </w:rPr>
      </w:pPr>
      <w:r>
        <w:rPr>
          <w:sz w:val="24"/>
        </w:rPr>
        <w:t>Certification</w:t>
      </w:r>
      <w:r>
        <w:rPr>
          <w:spacing w:val="-4"/>
          <w:sz w:val="24"/>
        </w:rPr>
        <w:t> </w:t>
      </w:r>
      <w:r>
        <w:rPr>
          <w:sz w:val="24"/>
        </w:rPr>
        <w:t>as</w:t>
      </w:r>
      <w:r>
        <w:rPr>
          <w:spacing w:val="-4"/>
          <w:sz w:val="24"/>
        </w:rPr>
        <w:t> </w:t>
      </w:r>
      <w:r>
        <w:rPr>
          <w:sz w:val="24"/>
        </w:rPr>
        <w:t>a</w:t>
      </w:r>
      <w:r>
        <w:rPr>
          <w:spacing w:val="-4"/>
          <w:sz w:val="24"/>
        </w:rPr>
        <w:t> </w:t>
      </w:r>
      <w:r>
        <w:rPr>
          <w:sz w:val="24"/>
        </w:rPr>
        <w:t>person</w:t>
      </w:r>
      <w:r>
        <w:rPr>
          <w:spacing w:val="-4"/>
          <w:sz w:val="24"/>
        </w:rPr>
        <w:t> </w:t>
      </w:r>
      <w:r>
        <w:rPr>
          <w:sz w:val="24"/>
        </w:rPr>
        <w:t>with</w:t>
      </w:r>
      <w:r>
        <w:rPr>
          <w:spacing w:val="-3"/>
          <w:sz w:val="24"/>
        </w:rPr>
        <w:t> </w:t>
      </w:r>
      <w:r>
        <w:rPr>
          <w:sz w:val="24"/>
        </w:rPr>
        <w:t>a</w:t>
      </w:r>
      <w:r>
        <w:rPr>
          <w:spacing w:val="-4"/>
          <w:sz w:val="24"/>
        </w:rPr>
        <w:t> </w:t>
      </w:r>
      <w:r>
        <w:rPr>
          <w:sz w:val="24"/>
        </w:rPr>
        <w:t>severe</w:t>
      </w:r>
      <w:r>
        <w:rPr>
          <w:spacing w:val="-4"/>
          <w:sz w:val="24"/>
        </w:rPr>
        <w:t> </w:t>
      </w:r>
      <w:r>
        <w:rPr>
          <w:sz w:val="24"/>
        </w:rPr>
        <w:t>disability</w:t>
      </w:r>
      <w:r>
        <w:rPr>
          <w:spacing w:val="-4"/>
          <w:sz w:val="24"/>
        </w:rPr>
        <w:t> </w:t>
      </w:r>
      <w:r>
        <w:rPr>
          <w:sz w:val="24"/>
        </w:rPr>
        <w:t>under</w:t>
      </w:r>
      <w:r>
        <w:rPr>
          <w:spacing w:val="-3"/>
          <w:sz w:val="24"/>
        </w:rPr>
        <w:t> </w:t>
      </w:r>
      <w:r>
        <w:rPr>
          <w:sz w:val="24"/>
        </w:rPr>
        <w:t>74</w:t>
      </w:r>
      <w:r>
        <w:rPr>
          <w:spacing w:val="-4"/>
          <w:sz w:val="24"/>
        </w:rPr>
        <w:t> </w:t>
      </w:r>
      <w:r>
        <w:rPr>
          <w:sz w:val="24"/>
        </w:rPr>
        <w:t>O.S.</w:t>
      </w:r>
      <w:r>
        <w:rPr>
          <w:spacing w:val="-5"/>
          <w:sz w:val="24"/>
        </w:rPr>
        <w:t> </w:t>
      </w:r>
      <w:r>
        <w:rPr>
          <w:sz w:val="24"/>
        </w:rPr>
        <w:t>840-4.12; </w:t>
      </w:r>
      <w:r>
        <w:rPr>
          <w:spacing w:val="-2"/>
          <w:sz w:val="24"/>
        </w:rPr>
        <w:t>and/or</w:t>
      </w:r>
    </w:p>
    <w:p>
      <w:pPr>
        <w:pStyle w:val="ListParagraph"/>
        <w:numPr>
          <w:ilvl w:val="2"/>
          <w:numId w:val="59"/>
        </w:numPr>
        <w:tabs>
          <w:tab w:pos="1689" w:val="left" w:leader="none"/>
        </w:tabs>
        <w:spacing w:line="240" w:lineRule="auto" w:before="211" w:after="0"/>
        <w:ind w:left="1689" w:right="0" w:hanging="466"/>
        <w:jc w:val="left"/>
        <w:rPr>
          <w:sz w:val="24"/>
        </w:rPr>
      </w:pPr>
      <w:r>
        <w:rPr>
          <w:sz w:val="24"/>
        </w:rPr>
        <w:t>Special</w:t>
      </w:r>
      <w:r>
        <w:rPr>
          <w:spacing w:val="-5"/>
          <w:sz w:val="24"/>
        </w:rPr>
        <w:t> </w:t>
      </w:r>
      <w:r>
        <w:rPr>
          <w:sz w:val="24"/>
        </w:rPr>
        <w:t>Disabled</w:t>
      </w:r>
      <w:r>
        <w:rPr>
          <w:spacing w:val="-5"/>
          <w:sz w:val="24"/>
        </w:rPr>
        <w:t> </w:t>
      </w:r>
      <w:r>
        <w:rPr>
          <w:sz w:val="24"/>
        </w:rPr>
        <w:t>Veterans</w:t>
      </w:r>
      <w:r>
        <w:rPr>
          <w:spacing w:val="-4"/>
          <w:sz w:val="24"/>
        </w:rPr>
        <w:t> </w:t>
      </w:r>
      <w:r>
        <w:rPr>
          <w:spacing w:val="-2"/>
          <w:sz w:val="24"/>
        </w:rPr>
        <w:t>Certification.</w:t>
      </w:r>
    </w:p>
    <w:p>
      <w:pPr>
        <w:pStyle w:val="ListParagraph"/>
        <w:numPr>
          <w:ilvl w:val="0"/>
          <w:numId w:val="59"/>
        </w:numPr>
        <w:tabs>
          <w:tab w:pos="785" w:val="left" w:leader="none"/>
        </w:tabs>
        <w:spacing w:line="208" w:lineRule="auto" w:before="233" w:after="0"/>
        <w:ind w:left="359" w:right="1635" w:firstLine="0"/>
        <w:jc w:val="left"/>
        <w:rPr>
          <w:sz w:val="24"/>
        </w:rPr>
      </w:pPr>
      <w:r>
        <w:rPr>
          <w:b/>
          <w:sz w:val="24"/>
        </w:rPr>
        <w:t>Factors</w:t>
      </w:r>
      <w:r>
        <w:rPr>
          <w:b/>
          <w:spacing w:val="-4"/>
          <w:sz w:val="24"/>
        </w:rPr>
        <w:t> </w:t>
      </w:r>
      <w:r>
        <w:rPr>
          <w:b/>
          <w:sz w:val="24"/>
        </w:rPr>
        <w:t>for</w:t>
      </w:r>
      <w:r>
        <w:rPr>
          <w:b/>
          <w:spacing w:val="-4"/>
          <w:sz w:val="24"/>
        </w:rPr>
        <w:t> </w:t>
      </w:r>
      <w:r>
        <w:rPr>
          <w:b/>
          <w:sz w:val="24"/>
        </w:rPr>
        <w:t>consideration.</w:t>
      </w:r>
      <w:r>
        <w:rPr>
          <w:b/>
          <w:spacing w:val="-5"/>
          <w:sz w:val="24"/>
        </w:rPr>
        <w:t> </w:t>
      </w:r>
      <w:r>
        <w:rPr>
          <w:sz w:val="24"/>
        </w:rPr>
        <w:t>Paragraphs</w:t>
      </w:r>
      <w:r>
        <w:rPr>
          <w:spacing w:val="-4"/>
          <w:sz w:val="24"/>
        </w:rPr>
        <w:t> </w:t>
      </w:r>
      <w:r>
        <w:rPr>
          <w:sz w:val="24"/>
        </w:rPr>
        <w:t>(1)</w:t>
      </w:r>
      <w:r>
        <w:rPr>
          <w:spacing w:val="-5"/>
          <w:sz w:val="24"/>
        </w:rPr>
        <w:t> </w:t>
      </w:r>
      <w:r>
        <w:rPr>
          <w:sz w:val="24"/>
        </w:rPr>
        <w:t>through</w:t>
      </w:r>
      <w:r>
        <w:rPr>
          <w:spacing w:val="-4"/>
          <w:sz w:val="24"/>
        </w:rPr>
        <w:t> </w:t>
      </w:r>
      <w:r>
        <w:rPr>
          <w:sz w:val="24"/>
        </w:rPr>
        <w:t>(5)</w:t>
      </w:r>
      <w:r>
        <w:rPr>
          <w:spacing w:val="-3"/>
          <w:sz w:val="24"/>
        </w:rPr>
        <w:t> </w:t>
      </w:r>
      <w:r>
        <w:rPr>
          <w:sz w:val="24"/>
        </w:rPr>
        <w:t>establish</w:t>
      </w:r>
      <w:r>
        <w:rPr>
          <w:spacing w:val="-4"/>
          <w:sz w:val="24"/>
        </w:rPr>
        <w:t> </w:t>
      </w:r>
      <w:r>
        <w:rPr>
          <w:sz w:val="24"/>
        </w:rPr>
        <w:t>factors</w:t>
      </w:r>
      <w:r>
        <w:rPr>
          <w:spacing w:val="-4"/>
          <w:sz w:val="24"/>
        </w:rPr>
        <w:t> </w:t>
      </w:r>
      <w:r>
        <w:rPr>
          <w:sz w:val="24"/>
        </w:rPr>
        <w:t>for </w:t>
      </w:r>
      <w:r>
        <w:rPr>
          <w:spacing w:val="-2"/>
          <w:sz w:val="24"/>
        </w:rPr>
        <w:t>consideration.</w:t>
      </w:r>
    </w:p>
    <w:p>
      <w:pPr>
        <w:pStyle w:val="ListParagraph"/>
        <w:spacing w:after="0" w:line="208" w:lineRule="auto"/>
        <w:jc w:val="left"/>
        <w:rPr>
          <w:sz w:val="24"/>
        </w:rPr>
        <w:sectPr>
          <w:pgSz w:w="12240" w:h="15840"/>
          <w:pgMar w:top="1340" w:bottom="280" w:left="1080" w:right="720"/>
        </w:sectPr>
      </w:pPr>
    </w:p>
    <w:p>
      <w:pPr>
        <w:pStyle w:val="ListParagraph"/>
        <w:numPr>
          <w:ilvl w:val="1"/>
          <w:numId w:val="59"/>
        </w:numPr>
        <w:tabs>
          <w:tab w:pos="1216" w:val="left" w:leader="none"/>
        </w:tabs>
        <w:spacing w:line="208" w:lineRule="auto" w:before="96" w:after="0"/>
        <w:ind w:left="791" w:right="960" w:firstLine="0"/>
        <w:jc w:val="left"/>
        <w:rPr>
          <w:sz w:val="24"/>
        </w:rPr>
      </w:pPr>
      <w:r>
        <w:rPr>
          <w:sz w:val="24"/>
        </w:rPr>
        <w:t>In filling vacancies, the agency will consider factors such as performance appraisals,</w:t>
      </w:r>
      <w:r>
        <w:rPr>
          <w:spacing w:val="-4"/>
          <w:sz w:val="24"/>
        </w:rPr>
        <w:t> </w:t>
      </w:r>
      <w:r>
        <w:rPr>
          <w:sz w:val="24"/>
        </w:rPr>
        <w:t>education,</w:t>
      </w:r>
      <w:r>
        <w:rPr>
          <w:spacing w:val="-4"/>
          <w:sz w:val="24"/>
        </w:rPr>
        <w:t> </w:t>
      </w:r>
      <w:r>
        <w:rPr>
          <w:sz w:val="24"/>
        </w:rPr>
        <w:t>experience,</w:t>
      </w:r>
      <w:r>
        <w:rPr>
          <w:spacing w:val="-4"/>
          <w:sz w:val="24"/>
        </w:rPr>
        <w:t> </w:t>
      </w:r>
      <w:r>
        <w:rPr>
          <w:sz w:val="24"/>
        </w:rPr>
        <w:t>and</w:t>
      </w:r>
      <w:r>
        <w:rPr>
          <w:spacing w:val="-5"/>
          <w:sz w:val="24"/>
        </w:rPr>
        <w:t> </w:t>
      </w:r>
      <w:r>
        <w:rPr>
          <w:sz w:val="24"/>
        </w:rPr>
        <w:t>other</w:t>
      </w:r>
      <w:r>
        <w:rPr>
          <w:spacing w:val="-6"/>
          <w:sz w:val="24"/>
        </w:rPr>
        <w:t> </w:t>
      </w:r>
      <w:r>
        <w:rPr>
          <w:sz w:val="24"/>
        </w:rPr>
        <w:t>qualifications</w:t>
      </w:r>
      <w:r>
        <w:rPr>
          <w:spacing w:val="-5"/>
          <w:sz w:val="24"/>
        </w:rPr>
        <w:t> </w:t>
      </w:r>
      <w:r>
        <w:rPr>
          <w:sz w:val="24"/>
        </w:rPr>
        <w:t>related</w:t>
      </w:r>
      <w:r>
        <w:rPr>
          <w:spacing w:val="-5"/>
          <w:sz w:val="24"/>
        </w:rPr>
        <w:t> </w:t>
      </w:r>
      <w:r>
        <w:rPr>
          <w:sz w:val="24"/>
        </w:rPr>
        <w:t>to</w:t>
      </w:r>
      <w:r>
        <w:rPr>
          <w:spacing w:val="-5"/>
          <w:sz w:val="24"/>
        </w:rPr>
        <w:t> </w:t>
      </w:r>
      <w:r>
        <w:rPr>
          <w:sz w:val="24"/>
        </w:rPr>
        <w:t>the</w:t>
      </w:r>
      <w:r>
        <w:rPr>
          <w:spacing w:val="-5"/>
          <w:sz w:val="24"/>
        </w:rPr>
        <w:t> </w:t>
      </w:r>
      <w:r>
        <w:rPr>
          <w:sz w:val="24"/>
        </w:rPr>
        <w:t>expected ability of an individual to perform the work successfully.</w:t>
      </w:r>
    </w:p>
    <w:p>
      <w:pPr>
        <w:pStyle w:val="ListParagraph"/>
        <w:numPr>
          <w:ilvl w:val="1"/>
          <w:numId w:val="59"/>
        </w:numPr>
        <w:tabs>
          <w:tab w:pos="1218" w:val="left" w:leader="none"/>
        </w:tabs>
        <w:spacing w:line="208" w:lineRule="auto" w:before="240" w:after="0"/>
        <w:ind w:left="792" w:right="1387" w:firstLine="0"/>
        <w:jc w:val="left"/>
        <w:rPr>
          <w:sz w:val="24"/>
        </w:rPr>
      </w:pPr>
      <w:r>
        <w:rPr>
          <w:sz w:val="24"/>
        </w:rPr>
        <w:t>The</w:t>
      </w:r>
      <w:r>
        <w:rPr>
          <w:spacing w:val="-4"/>
          <w:sz w:val="24"/>
        </w:rPr>
        <w:t> </w:t>
      </w:r>
      <w:r>
        <w:rPr>
          <w:sz w:val="24"/>
        </w:rPr>
        <w:t>agency</w:t>
      </w:r>
      <w:r>
        <w:rPr>
          <w:spacing w:val="-4"/>
          <w:sz w:val="24"/>
        </w:rPr>
        <w:t> </w:t>
      </w:r>
      <w:r>
        <w:rPr>
          <w:sz w:val="24"/>
        </w:rPr>
        <w:t>may</w:t>
      </w:r>
      <w:r>
        <w:rPr>
          <w:spacing w:val="-4"/>
          <w:sz w:val="24"/>
        </w:rPr>
        <w:t> </w:t>
      </w:r>
      <w:r>
        <w:rPr>
          <w:sz w:val="24"/>
        </w:rPr>
        <w:t>also</w:t>
      </w:r>
      <w:r>
        <w:rPr>
          <w:spacing w:val="-4"/>
          <w:sz w:val="24"/>
        </w:rPr>
        <w:t> </w:t>
      </w:r>
      <w:r>
        <w:rPr>
          <w:sz w:val="24"/>
        </w:rPr>
        <w:t>post</w:t>
      </w:r>
      <w:r>
        <w:rPr>
          <w:spacing w:val="-3"/>
          <w:sz w:val="24"/>
        </w:rPr>
        <w:t> </w:t>
      </w:r>
      <w:r>
        <w:rPr>
          <w:sz w:val="24"/>
        </w:rPr>
        <w:t>and</w:t>
      </w:r>
      <w:r>
        <w:rPr>
          <w:spacing w:val="-4"/>
          <w:sz w:val="24"/>
        </w:rPr>
        <w:t> </w:t>
      </w:r>
      <w:r>
        <w:rPr>
          <w:sz w:val="24"/>
        </w:rPr>
        <w:t>consider</w:t>
      </w:r>
      <w:r>
        <w:rPr>
          <w:spacing w:val="-3"/>
          <w:sz w:val="24"/>
        </w:rPr>
        <w:t> </w:t>
      </w:r>
      <w:r>
        <w:rPr>
          <w:sz w:val="24"/>
        </w:rPr>
        <w:t>special</w:t>
      </w:r>
      <w:r>
        <w:rPr>
          <w:spacing w:val="-4"/>
          <w:sz w:val="24"/>
        </w:rPr>
        <w:t> </w:t>
      </w:r>
      <w:r>
        <w:rPr>
          <w:sz w:val="24"/>
        </w:rPr>
        <w:t>additional</w:t>
      </w:r>
      <w:r>
        <w:rPr>
          <w:spacing w:val="-4"/>
          <w:sz w:val="24"/>
        </w:rPr>
        <w:t> </w:t>
      </w:r>
      <w:r>
        <w:rPr>
          <w:sz w:val="24"/>
        </w:rPr>
        <w:t>factors</w:t>
      </w:r>
      <w:r>
        <w:rPr>
          <w:spacing w:val="-4"/>
          <w:sz w:val="24"/>
        </w:rPr>
        <w:t> </w:t>
      </w:r>
      <w:r>
        <w:rPr>
          <w:sz w:val="24"/>
        </w:rPr>
        <w:t>such</w:t>
      </w:r>
      <w:r>
        <w:rPr>
          <w:spacing w:val="-4"/>
          <w:sz w:val="24"/>
        </w:rPr>
        <w:t> </w:t>
      </w:r>
      <w:r>
        <w:rPr>
          <w:sz w:val="24"/>
        </w:rPr>
        <w:t>as limiting consideration to permanent classified employees of the DRS, special working conditions that an applicant must be willing to accept and selective qualifications required for a position.</w:t>
      </w:r>
    </w:p>
    <w:p>
      <w:pPr>
        <w:pStyle w:val="ListParagraph"/>
        <w:numPr>
          <w:ilvl w:val="1"/>
          <w:numId w:val="59"/>
        </w:numPr>
        <w:tabs>
          <w:tab w:pos="1218" w:val="left" w:leader="none"/>
        </w:tabs>
        <w:spacing w:line="208" w:lineRule="auto" w:before="239" w:after="0"/>
        <w:ind w:left="792" w:right="921" w:firstLine="0"/>
        <w:jc w:val="left"/>
        <w:rPr>
          <w:sz w:val="24"/>
        </w:rPr>
      </w:pPr>
      <w:r>
        <w:rPr>
          <w:sz w:val="24"/>
        </w:rPr>
        <w:t>A</w:t>
      </w:r>
      <w:r>
        <w:rPr>
          <w:spacing w:val="-4"/>
          <w:sz w:val="24"/>
        </w:rPr>
        <w:t> </w:t>
      </w:r>
      <w:r>
        <w:rPr>
          <w:sz w:val="24"/>
        </w:rPr>
        <w:t>qualified</w:t>
      </w:r>
      <w:r>
        <w:rPr>
          <w:spacing w:val="-4"/>
          <w:sz w:val="24"/>
        </w:rPr>
        <w:t> </w:t>
      </w:r>
      <w:r>
        <w:rPr>
          <w:sz w:val="24"/>
        </w:rPr>
        <w:t>permanent</w:t>
      </w:r>
      <w:r>
        <w:rPr>
          <w:spacing w:val="-3"/>
          <w:sz w:val="24"/>
        </w:rPr>
        <w:t> </w:t>
      </w:r>
      <w:r>
        <w:rPr>
          <w:sz w:val="24"/>
        </w:rPr>
        <w:t>classified</w:t>
      </w:r>
      <w:r>
        <w:rPr>
          <w:spacing w:val="-4"/>
          <w:sz w:val="24"/>
        </w:rPr>
        <w:t> </w:t>
      </w:r>
      <w:r>
        <w:rPr>
          <w:sz w:val="24"/>
        </w:rPr>
        <w:t>DRS</w:t>
      </w:r>
      <w:r>
        <w:rPr>
          <w:spacing w:val="-4"/>
          <w:sz w:val="24"/>
        </w:rPr>
        <w:t> </w:t>
      </w:r>
      <w:r>
        <w:rPr>
          <w:sz w:val="24"/>
        </w:rPr>
        <w:t>employee</w:t>
      </w:r>
      <w:r>
        <w:rPr>
          <w:spacing w:val="-4"/>
          <w:sz w:val="24"/>
        </w:rPr>
        <w:t> </w:t>
      </w:r>
      <w:r>
        <w:rPr>
          <w:sz w:val="24"/>
        </w:rPr>
        <w:t>will</w:t>
      </w:r>
      <w:r>
        <w:rPr>
          <w:spacing w:val="-4"/>
          <w:sz w:val="24"/>
        </w:rPr>
        <w:t> </w:t>
      </w:r>
      <w:r>
        <w:rPr>
          <w:sz w:val="24"/>
        </w:rPr>
        <w:t>be</w:t>
      </w:r>
      <w:r>
        <w:rPr>
          <w:spacing w:val="-4"/>
          <w:sz w:val="24"/>
        </w:rPr>
        <w:t> </w:t>
      </w:r>
      <w:r>
        <w:rPr>
          <w:sz w:val="24"/>
        </w:rPr>
        <w:t>given</w:t>
      </w:r>
      <w:r>
        <w:rPr>
          <w:spacing w:val="-4"/>
          <w:sz w:val="24"/>
        </w:rPr>
        <w:t> </w:t>
      </w:r>
      <w:r>
        <w:rPr>
          <w:sz w:val="24"/>
        </w:rPr>
        <w:t>preference</w:t>
      </w:r>
      <w:r>
        <w:rPr>
          <w:spacing w:val="-4"/>
          <w:sz w:val="24"/>
        </w:rPr>
        <w:t> </w:t>
      </w:r>
      <w:r>
        <w:rPr>
          <w:sz w:val="24"/>
        </w:rPr>
        <w:t>when the merit, ability, and capacity of that employee is relatively equal to that of applicants from outside DRS as determined by the selection process.</w:t>
      </w:r>
    </w:p>
    <w:p>
      <w:pPr>
        <w:pStyle w:val="ListParagraph"/>
        <w:numPr>
          <w:ilvl w:val="1"/>
          <w:numId w:val="59"/>
        </w:numPr>
        <w:tabs>
          <w:tab w:pos="1218" w:val="left" w:leader="none"/>
        </w:tabs>
        <w:spacing w:line="208" w:lineRule="auto" w:before="240" w:after="0"/>
        <w:ind w:left="792" w:right="987" w:firstLine="0"/>
        <w:jc w:val="left"/>
        <w:rPr>
          <w:sz w:val="24"/>
        </w:rPr>
      </w:pPr>
      <w:r>
        <w:rPr>
          <w:sz w:val="24"/>
        </w:rPr>
        <w:t>A qualified permanent classified DRS employee with the greatest seniority based</w:t>
      </w:r>
      <w:r>
        <w:rPr>
          <w:spacing w:val="-4"/>
          <w:sz w:val="24"/>
        </w:rPr>
        <w:t> </w:t>
      </w:r>
      <w:r>
        <w:rPr>
          <w:sz w:val="24"/>
        </w:rPr>
        <w:t>upon</w:t>
      </w:r>
      <w:r>
        <w:rPr>
          <w:spacing w:val="-4"/>
          <w:sz w:val="24"/>
        </w:rPr>
        <w:t> </w:t>
      </w:r>
      <w:r>
        <w:rPr>
          <w:sz w:val="24"/>
        </w:rPr>
        <w:t>the</w:t>
      </w:r>
      <w:r>
        <w:rPr>
          <w:spacing w:val="-4"/>
          <w:sz w:val="24"/>
        </w:rPr>
        <w:t> </w:t>
      </w:r>
      <w:r>
        <w:rPr>
          <w:sz w:val="24"/>
        </w:rPr>
        <w:t>last</w:t>
      </w:r>
      <w:r>
        <w:rPr>
          <w:spacing w:val="-3"/>
          <w:sz w:val="24"/>
        </w:rPr>
        <w:t> </w:t>
      </w:r>
      <w:r>
        <w:rPr>
          <w:sz w:val="24"/>
        </w:rPr>
        <w:t>date</w:t>
      </w:r>
      <w:r>
        <w:rPr>
          <w:spacing w:val="-4"/>
          <w:sz w:val="24"/>
        </w:rPr>
        <w:t> </w:t>
      </w:r>
      <w:r>
        <w:rPr>
          <w:sz w:val="24"/>
        </w:rPr>
        <w:t>of</w:t>
      </w:r>
      <w:r>
        <w:rPr>
          <w:spacing w:val="-3"/>
          <w:sz w:val="24"/>
        </w:rPr>
        <w:t> </w:t>
      </w:r>
      <w:r>
        <w:rPr>
          <w:sz w:val="24"/>
        </w:rPr>
        <w:t>continuous</w:t>
      </w:r>
      <w:r>
        <w:rPr>
          <w:spacing w:val="-4"/>
          <w:sz w:val="24"/>
        </w:rPr>
        <w:t> </w:t>
      </w:r>
      <w:r>
        <w:rPr>
          <w:sz w:val="24"/>
        </w:rPr>
        <w:t>DRS</w:t>
      </w:r>
      <w:r>
        <w:rPr>
          <w:spacing w:val="-3"/>
          <w:sz w:val="24"/>
        </w:rPr>
        <w:t> </w:t>
      </w:r>
      <w:r>
        <w:rPr>
          <w:sz w:val="24"/>
        </w:rPr>
        <w:t>employment</w:t>
      </w:r>
      <w:r>
        <w:rPr>
          <w:spacing w:val="-3"/>
          <w:sz w:val="24"/>
        </w:rPr>
        <w:t> </w:t>
      </w:r>
      <w:r>
        <w:rPr>
          <w:sz w:val="24"/>
        </w:rPr>
        <w:t>will</w:t>
      </w:r>
      <w:r>
        <w:rPr>
          <w:spacing w:val="-4"/>
          <w:sz w:val="24"/>
        </w:rPr>
        <w:t> </w:t>
      </w:r>
      <w:r>
        <w:rPr>
          <w:sz w:val="24"/>
        </w:rPr>
        <w:t>be</w:t>
      </w:r>
      <w:r>
        <w:rPr>
          <w:spacing w:val="-4"/>
          <w:sz w:val="24"/>
        </w:rPr>
        <w:t> </w:t>
      </w:r>
      <w:r>
        <w:rPr>
          <w:sz w:val="24"/>
        </w:rPr>
        <w:t>given</w:t>
      </w:r>
      <w:r>
        <w:rPr>
          <w:spacing w:val="-4"/>
          <w:sz w:val="24"/>
        </w:rPr>
        <w:t> </w:t>
      </w:r>
      <w:r>
        <w:rPr>
          <w:sz w:val="24"/>
        </w:rPr>
        <w:t>preference when the merit, ability, and capacity of that employee is relatively equal to other applicants as determined by the selection process.</w:t>
      </w:r>
    </w:p>
    <w:p>
      <w:pPr>
        <w:pStyle w:val="ListParagraph"/>
        <w:numPr>
          <w:ilvl w:val="1"/>
          <w:numId w:val="59"/>
        </w:numPr>
        <w:tabs>
          <w:tab w:pos="1218" w:val="left" w:leader="none"/>
        </w:tabs>
        <w:spacing w:line="208" w:lineRule="auto" w:before="239" w:after="0"/>
        <w:ind w:left="792" w:right="1307" w:firstLine="0"/>
        <w:jc w:val="left"/>
        <w:rPr>
          <w:sz w:val="24"/>
        </w:rPr>
      </w:pPr>
      <w:r>
        <w:rPr>
          <w:sz w:val="24"/>
        </w:rPr>
        <w:t>Consideration</w:t>
      </w:r>
      <w:r>
        <w:rPr>
          <w:spacing w:val="-5"/>
          <w:sz w:val="24"/>
        </w:rPr>
        <w:t> </w:t>
      </w:r>
      <w:r>
        <w:rPr>
          <w:sz w:val="24"/>
        </w:rPr>
        <w:t>may</w:t>
      </w:r>
      <w:r>
        <w:rPr>
          <w:spacing w:val="-5"/>
          <w:sz w:val="24"/>
        </w:rPr>
        <w:t> </w:t>
      </w:r>
      <w:r>
        <w:rPr>
          <w:sz w:val="24"/>
        </w:rPr>
        <w:t>be</w:t>
      </w:r>
      <w:r>
        <w:rPr>
          <w:spacing w:val="-5"/>
          <w:sz w:val="24"/>
        </w:rPr>
        <w:t> </w:t>
      </w:r>
      <w:r>
        <w:rPr>
          <w:sz w:val="24"/>
        </w:rPr>
        <w:t>given</w:t>
      </w:r>
      <w:r>
        <w:rPr>
          <w:spacing w:val="-5"/>
          <w:sz w:val="24"/>
        </w:rPr>
        <w:t> </w:t>
      </w:r>
      <w:r>
        <w:rPr>
          <w:sz w:val="24"/>
        </w:rPr>
        <w:t>to</w:t>
      </w:r>
      <w:r>
        <w:rPr>
          <w:spacing w:val="-5"/>
          <w:sz w:val="24"/>
        </w:rPr>
        <w:t> </w:t>
      </w:r>
      <w:r>
        <w:rPr>
          <w:sz w:val="24"/>
        </w:rPr>
        <w:t>redress</w:t>
      </w:r>
      <w:r>
        <w:rPr>
          <w:spacing w:val="-5"/>
          <w:sz w:val="24"/>
        </w:rPr>
        <w:t> </w:t>
      </w:r>
      <w:r>
        <w:rPr>
          <w:sz w:val="24"/>
        </w:rPr>
        <w:t>underutilization</w:t>
      </w:r>
      <w:r>
        <w:rPr>
          <w:spacing w:val="-5"/>
          <w:sz w:val="24"/>
        </w:rPr>
        <w:t> </w:t>
      </w:r>
      <w:r>
        <w:rPr>
          <w:sz w:val="24"/>
        </w:rPr>
        <w:t>of</w:t>
      </w:r>
      <w:r>
        <w:rPr>
          <w:spacing w:val="-4"/>
          <w:sz w:val="24"/>
        </w:rPr>
        <w:t> </w:t>
      </w:r>
      <w:r>
        <w:rPr>
          <w:sz w:val="24"/>
        </w:rPr>
        <w:t>targeted</w:t>
      </w:r>
      <w:r>
        <w:rPr>
          <w:spacing w:val="-5"/>
          <w:sz w:val="24"/>
        </w:rPr>
        <w:t> </w:t>
      </w:r>
      <w:r>
        <w:rPr>
          <w:sz w:val="24"/>
        </w:rPr>
        <w:t>minority groups. To meet affirmative action goals, all available applicants may be </w:t>
      </w:r>
      <w:r>
        <w:rPr>
          <w:spacing w:val="-2"/>
          <w:sz w:val="24"/>
        </w:rPr>
        <w:t>considered.</w:t>
      </w:r>
    </w:p>
    <w:p>
      <w:pPr>
        <w:pStyle w:val="ListParagraph"/>
        <w:numPr>
          <w:ilvl w:val="0"/>
          <w:numId w:val="59"/>
        </w:numPr>
        <w:tabs>
          <w:tab w:pos="785" w:val="left" w:leader="none"/>
        </w:tabs>
        <w:spacing w:line="208" w:lineRule="auto" w:before="240" w:after="0"/>
        <w:ind w:left="360" w:right="1314" w:firstLine="0"/>
        <w:jc w:val="left"/>
        <w:rPr>
          <w:sz w:val="24"/>
        </w:rPr>
      </w:pPr>
      <w:r>
        <w:rPr>
          <w:b/>
          <w:sz w:val="24"/>
        </w:rPr>
        <w:t>Methods</w:t>
      </w:r>
      <w:r>
        <w:rPr>
          <w:b/>
          <w:spacing w:val="-4"/>
          <w:sz w:val="24"/>
        </w:rPr>
        <w:t> </w:t>
      </w:r>
      <w:r>
        <w:rPr>
          <w:b/>
          <w:sz w:val="24"/>
        </w:rPr>
        <w:t>for</w:t>
      </w:r>
      <w:r>
        <w:rPr>
          <w:b/>
          <w:spacing w:val="-4"/>
          <w:sz w:val="24"/>
        </w:rPr>
        <w:t> </w:t>
      </w:r>
      <w:r>
        <w:rPr>
          <w:b/>
          <w:sz w:val="24"/>
        </w:rPr>
        <w:t>consideration.</w:t>
      </w:r>
      <w:r>
        <w:rPr>
          <w:b/>
          <w:spacing w:val="-5"/>
          <w:sz w:val="24"/>
        </w:rPr>
        <w:t> </w:t>
      </w:r>
      <w:r>
        <w:rPr>
          <w:sz w:val="24"/>
        </w:rPr>
        <w:t>Paragraphs</w:t>
      </w:r>
      <w:r>
        <w:rPr>
          <w:spacing w:val="-4"/>
          <w:sz w:val="24"/>
        </w:rPr>
        <w:t> </w:t>
      </w:r>
      <w:r>
        <w:rPr>
          <w:sz w:val="24"/>
        </w:rPr>
        <w:t>(1)</w:t>
      </w:r>
      <w:r>
        <w:rPr>
          <w:spacing w:val="-5"/>
          <w:sz w:val="24"/>
        </w:rPr>
        <w:t> </w:t>
      </w:r>
      <w:r>
        <w:rPr>
          <w:sz w:val="24"/>
        </w:rPr>
        <w:t>through</w:t>
      </w:r>
      <w:r>
        <w:rPr>
          <w:spacing w:val="-4"/>
          <w:sz w:val="24"/>
        </w:rPr>
        <w:t> </w:t>
      </w:r>
      <w:r>
        <w:rPr>
          <w:sz w:val="24"/>
        </w:rPr>
        <w:t>(3)</w:t>
      </w:r>
      <w:r>
        <w:rPr>
          <w:spacing w:val="-3"/>
          <w:sz w:val="24"/>
        </w:rPr>
        <w:t> </w:t>
      </w:r>
      <w:r>
        <w:rPr>
          <w:sz w:val="24"/>
        </w:rPr>
        <w:t>establish</w:t>
      </w:r>
      <w:r>
        <w:rPr>
          <w:spacing w:val="-4"/>
          <w:sz w:val="24"/>
        </w:rPr>
        <w:t> </w:t>
      </w:r>
      <w:r>
        <w:rPr>
          <w:sz w:val="24"/>
        </w:rPr>
        <w:t>methods</w:t>
      </w:r>
      <w:r>
        <w:rPr>
          <w:spacing w:val="-4"/>
          <w:sz w:val="24"/>
        </w:rPr>
        <w:t> </w:t>
      </w:r>
      <w:r>
        <w:rPr>
          <w:sz w:val="24"/>
        </w:rPr>
        <w:t>for </w:t>
      </w:r>
      <w:r>
        <w:rPr>
          <w:spacing w:val="-2"/>
          <w:sz w:val="24"/>
        </w:rPr>
        <w:t>consideration.</w:t>
      </w:r>
    </w:p>
    <w:p>
      <w:pPr>
        <w:pStyle w:val="ListParagraph"/>
        <w:numPr>
          <w:ilvl w:val="1"/>
          <w:numId w:val="59"/>
        </w:numPr>
        <w:tabs>
          <w:tab w:pos="1218" w:val="left" w:leader="none"/>
        </w:tabs>
        <w:spacing w:line="208" w:lineRule="auto" w:before="240" w:after="0"/>
        <w:ind w:left="792" w:right="1107" w:firstLine="0"/>
        <w:jc w:val="left"/>
        <w:rPr>
          <w:sz w:val="24"/>
        </w:rPr>
      </w:pPr>
      <w:r>
        <w:rPr>
          <w:sz w:val="24"/>
        </w:rPr>
        <w:t>The methods for consideration may include review of personnel records, applications,</w:t>
      </w:r>
      <w:r>
        <w:rPr>
          <w:spacing w:val="-4"/>
          <w:sz w:val="24"/>
        </w:rPr>
        <w:t> </w:t>
      </w:r>
      <w:r>
        <w:rPr>
          <w:sz w:val="24"/>
        </w:rPr>
        <w:t>ratings,</w:t>
      </w:r>
      <w:r>
        <w:rPr>
          <w:spacing w:val="-6"/>
          <w:sz w:val="24"/>
        </w:rPr>
        <w:t> </w:t>
      </w:r>
      <w:r>
        <w:rPr>
          <w:sz w:val="24"/>
        </w:rPr>
        <w:t>work</w:t>
      </w:r>
      <w:r>
        <w:rPr>
          <w:spacing w:val="-5"/>
          <w:sz w:val="24"/>
        </w:rPr>
        <w:t> </w:t>
      </w:r>
      <w:r>
        <w:rPr>
          <w:sz w:val="24"/>
        </w:rPr>
        <w:t>histories,</w:t>
      </w:r>
      <w:r>
        <w:rPr>
          <w:spacing w:val="-4"/>
          <w:sz w:val="24"/>
        </w:rPr>
        <w:t> </w:t>
      </w:r>
      <w:r>
        <w:rPr>
          <w:sz w:val="24"/>
        </w:rPr>
        <w:t>attendance</w:t>
      </w:r>
      <w:r>
        <w:rPr>
          <w:spacing w:val="-5"/>
          <w:sz w:val="24"/>
        </w:rPr>
        <w:t> </w:t>
      </w:r>
      <w:r>
        <w:rPr>
          <w:sz w:val="24"/>
        </w:rPr>
        <w:t>records,</w:t>
      </w:r>
      <w:r>
        <w:rPr>
          <w:spacing w:val="-4"/>
          <w:sz w:val="24"/>
        </w:rPr>
        <w:t> </w:t>
      </w:r>
      <w:r>
        <w:rPr>
          <w:sz w:val="24"/>
        </w:rPr>
        <w:t>test</w:t>
      </w:r>
      <w:r>
        <w:rPr>
          <w:spacing w:val="-4"/>
          <w:sz w:val="24"/>
        </w:rPr>
        <w:t> </w:t>
      </w:r>
      <w:r>
        <w:rPr>
          <w:sz w:val="24"/>
        </w:rPr>
        <w:t>results,</w:t>
      </w:r>
      <w:r>
        <w:rPr>
          <w:spacing w:val="-6"/>
          <w:sz w:val="24"/>
        </w:rPr>
        <w:t> </w:t>
      </w:r>
      <w:r>
        <w:rPr>
          <w:sz w:val="24"/>
        </w:rPr>
        <w:t>references, and other documents and information relating to a person's eligibility or </w:t>
      </w:r>
      <w:r>
        <w:rPr>
          <w:spacing w:val="-2"/>
          <w:sz w:val="24"/>
        </w:rPr>
        <w:t>qualifications.</w:t>
      </w:r>
    </w:p>
    <w:p>
      <w:pPr>
        <w:pStyle w:val="ListParagraph"/>
        <w:numPr>
          <w:ilvl w:val="1"/>
          <w:numId w:val="59"/>
        </w:numPr>
        <w:tabs>
          <w:tab w:pos="1218" w:val="left" w:leader="none"/>
        </w:tabs>
        <w:spacing w:line="208" w:lineRule="auto" w:before="240" w:after="0"/>
        <w:ind w:left="792" w:right="1136" w:firstLine="0"/>
        <w:jc w:val="left"/>
        <w:rPr>
          <w:sz w:val="24"/>
        </w:rPr>
      </w:pPr>
      <w:r>
        <w:rPr>
          <w:sz w:val="24"/>
        </w:rPr>
        <w:t>Applicants</w:t>
      </w:r>
      <w:r>
        <w:rPr>
          <w:spacing w:val="-4"/>
          <w:sz w:val="24"/>
        </w:rPr>
        <w:t> </w:t>
      </w:r>
      <w:r>
        <w:rPr>
          <w:sz w:val="24"/>
        </w:rPr>
        <w:t>may</w:t>
      </w:r>
      <w:r>
        <w:rPr>
          <w:spacing w:val="-4"/>
          <w:sz w:val="24"/>
        </w:rPr>
        <w:t> </w:t>
      </w:r>
      <w:r>
        <w:rPr>
          <w:sz w:val="24"/>
        </w:rPr>
        <w:t>be</w:t>
      </w:r>
      <w:r>
        <w:rPr>
          <w:spacing w:val="-5"/>
          <w:sz w:val="24"/>
        </w:rPr>
        <w:t> </w:t>
      </w:r>
      <w:r>
        <w:rPr>
          <w:sz w:val="24"/>
        </w:rPr>
        <w:t>required</w:t>
      </w:r>
      <w:r>
        <w:rPr>
          <w:spacing w:val="-4"/>
          <w:sz w:val="24"/>
        </w:rPr>
        <w:t> </w:t>
      </w:r>
      <w:r>
        <w:rPr>
          <w:sz w:val="24"/>
        </w:rPr>
        <w:t>to</w:t>
      </w:r>
      <w:r>
        <w:rPr>
          <w:spacing w:val="-4"/>
          <w:sz w:val="24"/>
        </w:rPr>
        <w:t> </w:t>
      </w:r>
      <w:r>
        <w:rPr>
          <w:sz w:val="24"/>
        </w:rPr>
        <w:t>participate</w:t>
      </w:r>
      <w:r>
        <w:rPr>
          <w:spacing w:val="-4"/>
          <w:sz w:val="24"/>
        </w:rPr>
        <w:t> </w:t>
      </w:r>
      <w:r>
        <w:rPr>
          <w:sz w:val="24"/>
        </w:rPr>
        <w:t>in</w:t>
      </w:r>
      <w:r>
        <w:rPr>
          <w:spacing w:val="-4"/>
          <w:sz w:val="24"/>
        </w:rPr>
        <w:t> </w:t>
      </w:r>
      <w:r>
        <w:rPr>
          <w:sz w:val="24"/>
        </w:rPr>
        <w:t>interviews</w:t>
      </w:r>
      <w:r>
        <w:rPr>
          <w:spacing w:val="-4"/>
          <w:sz w:val="24"/>
        </w:rPr>
        <w:t> </w:t>
      </w:r>
      <w:r>
        <w:rPr>
          <w:sz w:val="24"/>
        </w:rPr>
        <w:t>and</w:t>
      </w:r>
      <w:r>
        <w:rPr>
          <w:spacing w:val="-4"/>
          <w:sz w:val="24"/>
        </w:rPr>
        <w:t> </w:t>
      </w:r>
      <w:r>
        <w:rPr>
          <w:sz w:val="24"/>
        </w:rPr>
        <w:t>in</w:t>
      </w:r>
      <w:r>
        <w:rPr>
          <w:spacing w:val="-4"/>
          <w:sz w:val="24"/>
        </w:rPr>
        <w:t> </w:t>
      </w:r>
      <w:r>
        <w:rPr>
          <w:sz w:val="24"/>
        </w:rPr>
        <w:t>other</w:t>
      </w:r>
      <w:r>
        <w:rPr>
          <w:spacing w:val="-3"/>
          <w:sz w:val="24"/>
        </w:rPr>
        <w:t> </w:t>
      </w:r>
      <w:r>
        <w:rPr>
          <w:sz w:val="24"/>
        </w:rPr>
        <w:t>selection </w:t>
      </w:r>
      <w:r>
        <w:rPr>
          <w:spacing w:val="-2"/>
          <w:sz w:val="24"/>
        </w:rPr>
        <w:t>procedures.</w:t>
      </w:r>
    </w:p>
    <w:p>
      <w:pPr>
        <w:pStyle w:val="ListParagraph"/>
        <w:numPr>
          <w:ilvl w:val="1"/>
          <w:numId w:val="59"/>
        </w:numPr>
        <w:tabs>
          <w:tab w:pos="1218" w:val="left" w:leader="none"/>
        </w:tabs>
        <w:spacing w:line="208" w:lineRule="auto" w:before="239" w:after="0"/>
        <w:ind w:left="792" w:right="1132" w:firstLine="0"/>
        <w:jc w:val="left"/>
        <w:rPr>
          <w:sz w:val="24"/>
        </w:rPr>
      </w:pPr>
      <w:r>
        <w:rPr>
          <w:sz w:val="24"/>
        </w:rPr>
        <w:t>A</w:t>
      </w:r>
      <w:r>
        <w:rPr>
          <w:spacing w:val="-5"/>
          <w:sz w:val="24"/>
        </w:rPr>
        <w:t> </w:t>
      </w:r>
      <w:r>
        <w:rPr>
          <w:sz w:val="24"/>
        </w:rPr>
        <w:t>personal</w:t>
      </w:r>
      <w:r>
        <w:rPr>
          <w:spacing w:val="-5"/>
          <w:sz w:val="24"/>
        </w:rPr>
        <w:t> </w:t>
      </w:r>
      <w:r>
        <w:rPr>
          <w:sz w:val="24"/>
        </w:rPr>
        <w:t>background</w:t>
      </w:r>
      <w:r>
        <w:rPr>
          <w:spacing w:val="-5"/>
          <w:sz w:val="24"/>
        </w:rPr>
        <w:t> </w:t>
      </w:r>
      <w:r>
        <w:rPr>
          <w:sz w:val="24"/>
        </w:rPr>
        <w:t>investigation,</w:t>
      </w:r>
      <w:r>
        <w:rPr>
          <w:spacing w:val="-4"/>
          <w:sz w:val="24"/>
        </w:rPr>
        <w:t> </w:t>
      </w:r>
      <w:r>
        <w:rPr>
          <w:sz w:val="24"/>
        </w:rPr>
        <w:t>including</w:t>
      </w:r>
      <w:r>
        <w:rPr>
          <w:spacing w:val="-5"/>
          <w:sz w:val="24"/>
        </w:rPr>
        <w:t> </w:t>
      </w:r>
      <w:r>
        <w:rPr>
          <w:sz w:val="24"/>
        </w:rPr>
        <w:t>any</w:t>
      </w:r>
      <w:r>
        <w:rPr>
          <w:spacing w:val="-4"/>
          <w:sz w:val="24"/>
        </w:rPr>
        <w:t> </w:t>
      </w:r>
      <w:r>
        <w:rPr>
          <w:sz w:val="24"/>
        </w:rPr>
        <w:t>civilian</w:t>
      </w:r>
      <w:r>
        <w:rPr>
          <w:spacing w:val="-5"/>
          <w:sz w:val="24"/>
        </w:rPr>
        <w:t> </w:t>
      </w:r>
      <w:r>
        <w:rPr>
          <w:sz w:val="24"/>
        </w:rPr>
        <w:t>and</w:t>
      </w:r>
      <w:r>
        <w:rPr>
          <w:spacing w:val="-5"/>
          <w:sz w:val="24"/>
        </w:rPr>
        <w:t> </w:t>
      </w:r>
      <w:r>
        <w:rPr>
          <w:sz w:val="24"/>
        </w:rPr>
        <w:t>military</w:t>
      </w:r>
      <w:r>
        <w:rPr>
          <w:spacing w:val="-5"/>
          <w:sz w:val="24"/>
        </w:rPr>
        <w:t> </w:t>
      </w:r>
      <w:r>
        <w:rPr>
          <w:sz w:val="24"/>
        </w:rPr>
        <w:t>court records may be conducted.</w:t>
      </w:r>
    </w:p>
    <w:p>
      <w:pPr>
        <w:pStyle w:val="ListParagraph"/>
        <w:numPr>
          <w:ilvl w:val="0"/>
          <w:numId w:val="59"/>
        </w:numPr>
        <w:tabs>
          <w:tab w:pos="719" w:val="left" w:leader="none"/>
        </w:tabs>
        <w:spacing w:line="208" w:lineRule="auto" w:before="240" w:after="0"/>
        <w:ind w:left="360" w:right="888" w:firstLine="0"/>
        <w:jc w:val="left"/>
        <w:rPr>
          <w:sz w:val="24"/>
        </w:rPr>
      </w:pPr>
      <w:r>
        <w:rPr>
          <w:b/>
          <w:sz w:val="24"/>
        </w:rPr>
        <w:t>Entrance</w:t>
      </w:r>
      <w:r>
        <w:rPr>
          <w:b/>
          <w:spacing w:val="-4"/>
          <w:sz w:val="24"/>
        </w:rPr>
        <w:t> </w:t>
      </w:r>
      <w:r>
        <w:rPr>
          <w:b/>
          <w:sz w:val="24"/>
        </w:rPr>
        <w:t>salary.</w:t>
      </w:r>
      <w:r>
        <w:rPr>
          <w:b/>
          <w:spacing w:val="-5"/>
          <w:sz w:val="24"/>
        </w:rPr>
        <w:t> </w:t>
      </w:r>
      <w:r>
        <w:rPr>
          <w:sz w:val="24"/>
        </w:rPr>
        <w:t>The</w:t>
      </w:r>
      <w:r>
        <w:rPr>
          <w:spacing w:val="-4"/>
          <w:sz w:val="24"/>
        </w:rPr>
        <w:t> </w:t>
      </w:r>
      <w:r>
        <w:rPr>
          <w:sz w:val="24"/>
        </w:rPr>
        <w:t>entrance</w:t>
      </w:r>
      <w:r>
        <w:rPr>
          <w:spacing w:val="-4"/>
          <w:sz w:val="24"/>
        </w:rPr>
        <w:t> </w:t>
      </w:r>
      <w:r>
        <w:rPr>
          <w:sz w:val="24"/>
        </w:rPr>
        <w:t>salary</w:t>
      </w:r>
      <w:r>
        <w:rPr>
          <w:spacing w:val="-4"/>
          <w:sz w:val="24"/>
        </w:rPr>
        <w:t> </w:t>
      </w:r>
      <w:r>
        <w:rPr>
          <w:sz w:val="24"/>
        </w:rPr>
        <w:t>for</w:t>
      </w:r>
      <w:r>
        <w:rPr>
          <w:spacing w:val="-3"/>
          <w:sz w:val="24"/>
        </w:rPr>
        <w:t> </w:t>
      </w:r>
      <w:r>
        <w:rPr>
          <w:sz w:val="24"/>
        </w:rPr>
        <w:t>any</w:t>
      </w:r>
      <w:r>
        <w:rPr>
          <w:spacing w:val="-4"/>
          <w:sz w:val="24"/>
        </w:rPr>
        <w:t> </w:t>
      </w:r>
      <w:r>
        <w:rPr>
          <w:sz w:val="24"/>
        </w:rPr>
        <w:t>position</w:t>
      </w:r>
      <w:r>
        <w:rPr>
          <w:spacing w:val="-4"/>
          <w:sz w:val="24"/>
        </w:rPr>
        <w:t> </w:t>
      </w:r>
      <w:r>
        <w:rPr>
          <w:sz w:val="24"/>
        </w:rPr>
        <w:t>in</w:t>
      </w:r>
      <w:r>
        <w:rPr>
          <w:spacing w:val="-4"/>
          <w:sz w:val="24"/>
        </w:rPr>
        <w:t> </w:t>
      </w:r>
      <w:r>
        <w:rPr>
          <w:sz w:val="24"/>
        </w:rPr>
        <w:t>the</w:t>
      </w:r>
      <w:r>
        <w:rPr>
          <w:spacing w:val="-4"/>
          <w:sz w:val="24"/>
        </w:rPr>
        <w:t> </w:t>
      </w:r>
      <w:r>
        <w:rPr>
          <w:sz w:val="24"/>
        </w:rPr>
        <w:t>classified</w:t>
      </w:r>
      <w:r>
        <w:rPr>
          <w:spacing w:val="-4"/>
          <w:sz w:val="24"/>
        </w:rPr>
        <w:t> </w:t>
      </w:r>
      <w:r>
        <w:rPr>
          <w:sz w:val="24"/>
        </w:rPr>
        <w:t>service</w:t>
      </w:r>
      <w:r>
        <w:rPr>
          <w:spacing w:val="-4"/>
          <w:sz w:val="24"/>
        </w:rPr>
        <w:t> </w:t>
      </w:r>
      <w:r>
        <w:rPr>
          <w:sz w:val="24"/>
        </w:rPr>
        <w:t>shall be governed by the Merit Rules.</w:t>
      </w:r>
    </w:p>
    <w:p>
      <w:pPr>
        <w:pStyle w:val="ListParagraph"/>
        <w:numPr>
          <w:ilvl w:val="0"/>
          <w:numId w:val="59"/>
        </w:numPr>
        <w:tabs>
          <w:tab w:pos="786" w:val="left" w:leader="none"/>
        </w:tabs>
        <w:spacing w:line="208" w:lineRule="auto" w:before="240" w:after="0"/>
        <w:ind w:left="360" w:right="765" w:firstLine="0"/>
        <w:jc w:val="left"/>
        <w:rPr>
          <w:sz w:val="24"/>
        </w:rPr>
      </w:pPr>
      <w:r>
        <w:rPr>
          <w:b/>
          <w:sz w:val="24"/>
        </w:rPr>
        <w:t>Probationary period (classified service). </w:t>
      </w:r>
      <w:r>
        <w:rPr>
          <w:sz w:val="24"/>
        </w:rPr>
        <w:t>Individuals newly hired into the classified service will serve a probationary period. The probationary period gives the new employee an opportunity to demonstrate the ability to perform the assigned duties of</w:t>
      </w:r>
      <w:r>
        <w:rPr>
          <w:spacing w:val="-2"/>
          <w:sz w:val="24"/>
        </w:rPr>
        <w:t> </w:t>
      </w:r>
      <w:r>
        <w:rPr>
          <w:sz w:val="24"/>
        </w:rPr>
        <w:t>the</w:t>
      </w:r>
      <w:r>
        <w:rPr>
          <w:spacing w:val="-3"/>
          <w:sz w:val="24"/>
        </w:rPr>
        <w:t> </w:t>
      </w:r>
      <w:r>
        <w:rPr>
          <w:sz w:val="24"/>
        </w:rPr>
        <w:t>position.</w:t>
      </w:r>
      <w:r>
        <w:rPr>
          <w:spacing w:val="-2"/>
          <w:sz w:val="24"/>
        </w:rPr>
        <w:t> </w:t>
      </w:r>
      <w:r>
        <w:rPr>
          <w:sz w:val="24"/>
        </w:rPr>
        <w:t>The</w:t>
      </w:r>
      <w:r>
        <w:rPr>
          <w:spacing w:val="-3"/>
          <w:sz w:val="24"/>
        </w:rPr>
        <w:t> </w:t>
      </w:r>
      <w:r>
        <w:rPr>
          <w:sz w:val="24"/>
        </w:rPr>
        <w:t>initial</w:t>
      </w:r>
      <w:r>
        <w:rPr>
          <w:spacing w:val="-3"/>
          <w:sz w:val="24"/>
        </w:rPr>
        <w:t> </w:t>
      </w:r>
      <w:r>
        <w:rPr>
          <w:sz w:val="24"/>
        </w:rPr>
        <w:t>probationary</w:t>
      </w:r>
      <w:r>
        <w:rPr>
          <w:spacing w:val="-3"/>
          <w:sz w:val="24"/>
        </w:rPr>
        <w:t> </w:t>
      </w:r>
      <w:r>
        <w:rPr>
          <w:sz w:val="24"/>
        </w:rPr>
        <w:t>period</w:t>
      </w:r>
      <w:r>
        <w:rPr>
          <w:spacing w:val="-2"/>
          <w:sz w:val="24"/>
        </w:rPr>
        <w:t> </w:t>
      </w:r>
      <w:r>
        <w:rPr>
          <w:sz w:val="24"/>
        </w:rPr>
        <w:t>lasts</w:t>
      </w:r>
      <w:r>
        <w:rPr>
          <w:spacing w:val="-3"/>
          <w:sz w:val="24"/>
        </w:rPr>
        <w:t> </w:t>
      </w:r>
      <w:r>
        <w:rPr>
          <w:sz w:val="24"/>
        </w:rPr>
        <w:t>for</w:t>
      </w:r>
      <w:r>
        <w:rPr>
          <w:spacing w:val="-4"/>
          <w:sz w:val="24"/>
        </w:rPr>
        <w:t> </w:t>
      </w:r>
      <w:r>
        <w:rPr>
          <w:sz w:val="24"/>
        </w:rPr>
        <w:t>one</w:t>
      </w:r>
      <w:r>
        <w:rPr>
          <w:spacing w:val="-3"/>
          <w:sz w:val="24"/>
        </w:rPr>
        <w:t> </w:t>
      </w:r>
      <w:r>
        <w:rPr>
          <w:sz w:val="24"/>
        </w:rPr>
        <w:t>year,</w:t>
      </w:r>
      <w:r>
        <w:rPr>
          <w:spacing w:val="-2"/>
          <w:sz w:val="24"/>
        </w:rPr>
        <w:t> </w:t>
      </w:r>
      <w:r>
        <w:rPr>
          <w:sz w:val="24"/>
        </w:rPr>
        <w:t>except</w:t>
      </w:r>
      <w:r>
        <w:rPr>
          <w:spacing w:val="-2"/>
          <w:sz w:val="24"/>
        </w:rPr>
        <w:t> </w:t>
      </w:r>
      <w:r>
        <w:rPr>
          <w:sz w:val="24"/>
        </w:rPr>
        <w:t>that</w:t>
      </w:r>
      <w:r>
        <w:rPr>
          <w:spacing w:val="-4"/>
          <w:sz w:val="24"/>
        </w:rPr>
        <w:t> </w:t>
      </w:r>
      <w:r>
        <w:rPr>
          <w:sz w:val="24"/>
        </w:rPr>
        <w:t>the</w:t>
      </w:r>
      <w:r>
        <w:rPr>
          <w:spacing w:val="-3"/>
          <w:sz w:val="24"/>
        </w:rPr>
        <w:t> </w:t>
      </w:r>
      <w:r>
        <w:rPr>
          <w:sz w:val="24"/>
        </w:rPr>
        <w:t>Director or Chief of Staff may waive the remainder of the probationary period at any time after a probationary employee has served six months by notifying the employee and Human Capital Management in writing as to the waiver and the reasons for it. The Appointing Authority may not extend the probationary period, but may adjust the probationary period due to an extended absence as provided in 260:25-11-36:</w:t>
      </w:r>
    </w:p>
    <w:p>
      <w:pPr>
        <w:pStyle w:val="ListParagraph"/>
        <w:numPr>
          <w:ilvl w:val="1"/>
          <w:numId w:val="59"/>
        </w:numPr>
        <w:tabs>
          <w:tab w:pos="1217" w:val="left" w:leader="none"/>
        </w:tabs>
        <w:spacing w:line="208" w:lineRule="auto" w:before="239" w:after="0"/>
        <w:ind w:left="791" w:right="1066" w:firstLine="0"/>
        <w:jc w:val="left"/>
        <w:rPr>
          <w:sz w:val="24"/>
        </w:rPr>
      </w:pPr>
      <w:r>
        <w:rPr>
          <w:sz w:val="24"/>
        </w:rPr>
        <w:t>Upon written request, a probationary employee may be granted leave of absence</w:t>
      </w:r>
      <w:r>
        <w:rPr>
          <w:spacing w:val="-4"/>
          <w:sz w:val="24"/>
        </w:rPr>
        <w:t> </w:t>
      </w:r>
      <w:r>
        <w:rPr>
          <w:sz w:val="24"/>
        </w:rPr>
        <w:t>without</w:t>
      </w:r>
      <w:r>
        <w:rPr>
          <w:spacing w:val="-3"/>
          <w:sz w:val="24"/>
        </w:rPr>
        <w:t> </w:t>
      </w:r>
      <w:r>
        <w:rPr>
          <w:sz w:val="24"/>
        </w:rPr>
        <w:t>pay</w:t>
      </w:r>
      <w:r>
        <w:rPr>
          <w:spacing w:val="-4"/>
          <w:sz w:val="24"/>
        </w:rPr>
        <w:t> </w:t>
      </w:r>
      <w:r>
        <w:rPr>
          <w:sz w:val="24"/>
        </w:rPr>
        <w:t>from</w:t>
      </w:r>
      <w:r>
        <w:rPr>
          <w:spacing w:val="-3"/>
          <w:sz w:val="24"/>
        </w:rPr>
        <w:t> </w:t>
      </w:r>
      <w:r>
        <w:rPr>
          <w:sz w:val="24"/>
        </w:rPr>
        <w:t>the</w:t>
      </w:r>
      <w:r>
        <w:rPr>
          <w:spacing w:val="-4"/>
          <w:sz w:val="24"/>
        </w:rPr>
        <w:t> </w:t>
      </w:r>
      <w:r>
        <w:rPr>
          <w:sz w:val="24"/>
        </w:rPr>
        <w:t>agency</w:t>
      </w:r>
      <w:r>
        <w:rPr>
          <w:spacing w:val="-4"/>
          <w:sz w:val="24"/>
        </w:rPr>
        <w:t> </w:t>
      </w:r>
      <w:r>
        <w:rPr>
          <w:sz w:val="24"/>
        </w:rPr>
        <w:t>in</w:t>
      </w:r>
      <w:r>
        <w:rPr>
          <w:spacing w:val="-4"/>
          <w:sz w:val="24"/>
        </w:rPr>
        <w:t> </w:t>
      </w:r>
      <w:r>
        <w:rPr>
          <w:sz w:val="24"/>
        </w:rPr>
        <w:t>accordance</w:t>
      </w:r>
      <w:r>
        <w:rPr>
          <w:spacing w:val="-4"/>
          <w:sz w:val="24"/>
        </w:rPr>
        <w:t> </w:t>
      </w:r>
      <w:r>
        <w:rPr>
          <w:sz w:val="24"/>
        </w:rPr>
        <w:t>with</w:t>
      </w:r>
      <w:r>
        <w:rPr>
          <w:spacing w:val="-3"/>
          <w:sz w:val="24"/>
        </w:rPr>
        <w:t> </w:t>
      </w:r>
      <w:r>
        <w:rPr>
          <w:sz w:val="24"/>
        </w:rPr>
        <w:t>260:25-15-47,</w:t>
      </w:r>
      <w:r>
        <w:rPr>
          <w:spacing w:val="-3"/>
          <w:sz w:val="24"/>
        </w:rPr>
        <w:t> </w:t>
      </w:r>
      <w:r>
        <w:rPr>
          <w:sz w:val="24"/>
        </w:rPr>
        <w:t>Leave</w:t>
      </w:r>
      <w:r>
        <w:rPr>
          <w:spacing w:val="-4"/>
          <w:sz w:val="24"/>
        </w:rPr>
        <w:t> </w:t>
      </w:r>
      <w:r>
        <w:rPr>
          <w:sz w:val="24"/>
        </w:rPr>
        <w:t>of absence without pay, or 260:25-15-49, Leave because of absence due to job related illness or injury.</w:t>
      </w:r>
    </w:p>
    <w:p>
      <w:pPr>
        <w:pStyle w:val="ListParagraph"/>
        <w:spacing w:after="0" w:line="208" w:lineRule="auto"/>
        <w:jc w:val="left"/>
        <w:rPr>
          <w:sz w:val="24"/>
        </w:rPr>
        <w:sectPr>
          <w:pgSz w:w="12240" w:h="15840"/>
          <w:pgMar w:top="1340" w:bottom="280" w:left="1080" w:right="720"/>
        </w:sectPr>
      </w:pPr>
    </w:p>
    <w:p>
      <w:pPr>
        <w:pStyle w:val="ListParagraph"/>
        <w:numPr>
          <w:ilvl w:val="1"/>
          <w:numId w:val="59"/>
        </w:numPr>
        <w:tabs>
          <w:tab w:pos="1216" w:val="left" w:leader="none"/>
        </w:tabs>
        <w:spacing w:line="208" w:lineRule="auto" w:before="96" w:after="0"/>
        <w:ind w:left="791" w:right="786" w:firstLine="0"/>
        <w:jc w:val="left"/>
        <w:rPr>
          <w:sz w:val="24"/>
        </w:rPr>
      </w:pPr>
      <w:r>
        <w:rPr>
          <w:sz w:val="24"/>
        </w:rPr>
        <w:t>If a probationary employee is absent from work in excess of 30 continuous calendar days, the</w:t>
      </w:r>
      <w:r>
        <w:rPr>
          <w:spacing w:val="-1"/>
          <w:sz w:val="24"/>
        </w:rPr>
        <w:t> </w:t>
      </w:r>
      <w:r>
        <w:rPr>
          <w:sz w:val="24"/>
        </w:rPr>
        <w:t>probationary period</w:t>
      </w:r>
      <w:r>
        <w:rPr>
          <w:spacing w:val="-1"/>
          <w:sz w:val="24"/>
        </w:rPr>
        <w:t> </w:t>
      </w:r>
      <w:r>
        <w:rPr>
          <w:sz w:val="24"/>
        </w:rPr>
        <w:t>shall be</w:t>
      </w:r>
      <w:r>
        <w:rPr>
          <w:spacing w:val="-1"/>
          <w:sz w:val="24"/>
        </w:rPr>
        <w:t> </w:t>
      </w:r>
      <w:r>
        <w:rPr>
          <w:sz w:val="24"/>
        </w:rPr>
        <w:t>adjusted</w:t>
      </w:r>
      <w:r>
        <w:rPr>
          <w:spacing w:val="-1"/>
          <w:sz w:val="24"/>
        </w:rPr>
        <w:t> </w:t>
      </w:r>
      <w:r>
        <w:rPr>
          <w:sz w:val="24"/>
        </w:rPr>
        <w:t>by</w:t>
      </w:r>
      <w:r>
        <w:rPr>
          <w:spacing w:val="-1"/>
          <w:sz w:val="24"/>
        </w:rPr>
        <w:t> </w:t>
      </w:r>
      <w:r>
        <w:rPr>
          <w:sz w:val="24"/>
        </w:rPr>
        <w:t>the</w:t>
      </w:r>
      <w:r>
        <w:rPr>
          <w:spacing w:val="-1"/>
          <w:sz w:val="24"/>
        </w:rPr>
        <w:t> </w:t>
      </w:r>
      <w:r>
        <w:rPr>
          <w:sz w:val="24"/>
        </w:rPr>
        <w:t>number of calendar days the probationary employee was absent.</w:t>
      </w:r>
      <w:r>
        <w:rPr>
          <w:spacing w:val="40"/>
          <w:sz w:val="24"/>
        </w:rPr>
        <w:t> </w:t>
      </w:r>
      <w:r>
        <w:rPr>
          <w:sz w:val="24"/>
        </w:rPr>
        <w:t>The employee shall be notified at the earliest date that the probationary period is to be adjusted.</w:t>
      </w:r>
      <w:r>
        <w:rPr>
          <w:spacing w:val="40"/>
          <w:sz w:val="24"/>
        </w:rPr>
        <w:t> </w:t>
      </w:r>
      <w:r>
        <w:rPr>
          <w:sz w:val="24"/>
        </w:rPr>
        <w:t>Upon the employee’s return to work, notification of such adjustment shall be provided to the employee and</w:t>
      </w:r>
      <w:r>
        <w:rPr>
          <w:spacing w:val="-4"/>
          <w:sz w:val="24"/>
        </w:rPr>
        <w:t> </w:t>
      </w:r>
      <w:r>
        <w:rPr>
          <w:sz w:val="24"/>
        </w:rPr>
        <w:t>the</w:t>
      </w:r>
      <w:r>
        <w:rPr>
          <w:spacing w:val="-4"/>
          <w:sz w:val="24"/>
        </w:rPr>
        <w:t> </w:t>
      </w:r>
      <w:r>
        <w:rPr>
          <w:sz w:val="24"/>
        </w:rPr>
        <w:t>Human</w:t>
      </w:r>
      <w:r>
        <w:rPr>
          <w:spacing w:val="-4"/>
          <w:sz w:val="24"/>
        </w:rPr>
        <w:t> </w:t>
      </w:r>
      <w:r>
        <w:rPr>
          <w:sz w:val="24"/>
        </w:rPr>
        <w:t>Capital</w:t>
      </w:r>
      <w:r>
        <w:rPr>
          <w:spacing w:val="-4"/>
          <w:sz w:val="24"/>
        </w:rPr>
        <w:t> </w:t>
      </w:r>
      <w:r>
        <w:rPr>
          <w:sz w:val="24"/>
        </w:rPr>
        <w:t>Management</w:t>
      </w:r>
      <w:r>
        <w:rPr>
          <w:spacing w:val="-3"/>
          <w:sz w:val="24"/>
        </w:rPr>
        <w:t> </w:t>
      </w:r>
      <w:r>
        <w:rPr>
          <w:sz w:val="24"/>
        </w:rPr>
        <w:t>Division</w:t>
      </w:r>
      <w:r>
        <w:rPr>
          <w:spacing w:val="-4"/>
          <w:sz w:val="24"/>
        </w:rPr>
        <w:t> </w:t>
      </w:r>
      <w:r>
        <w:rPr>
          <w:sz w:val="24"/>
        </w:rPr>
        <w:t>and</w:t>
      </w:r>
      <w:r>
        <w:rPr>
          <w:spacing w:val="-4"/>
          <w:sz w:val="24"/>
        </w:rPr>
        <w:t> </w:t>
      </w:r>
      <w:r>
        <w:rPr>
          <w:sz w:val="24"/>
        </w:rPr>
        <w:t>shall</w:t>
      </w:r>
      <w:r>
        <w:rPr>
          <w:spacing w:val="-3"/>
          <w:sz w:val="24"/>
        </w:rPr>
        <w:t> </w:t>
      </w:r>
      <w:r>
        <w:rPr>
          <w:sz w:val="24"/>
        </w:rPr>
        <w:t>include</w:t>
      </w:r>
      <w:r>
        <w:rPr>
          <w:spacing w:val="-4"/>
          <w:sz w:val="24"/>
        </w:rPr>
        <w:t> </w:t>
      </w:r>
      <w:r>
        <w:rPr>
          <w:sz w:val="24"/>
        </w:rPr>
        <w:t>the</w:t>
      </w:r>
      <w:r>
        <w:rPr>
          <w:spacing w:val="-4"/>
          <w:sz w:val="24"/>
        </w:rPr>
        <w:t> </w:t>
      </w:r>
      <w:r>
        <w:rPr>
          <w:sz w:val="24"/>
        </w:rPr>
        <w:t>adjusted</w:t>
      </w:r>
      <w:r>
        <w:rPr>
          <w:spacing w:val="-4"/>
          <w:sz w:val="24"/>
        </w:rPr>
        <w:t> </w:t>
      </w:r>
      <w:r>
        <w:rPr>
          <w:sz w:val="24"/>
        </w:rPr>
        <w:t>date</w:t>
      </w:r>
      <w:r>
        <w:rPr>
          <w:spacing w:val="-4"/>
          <w:sz w:val="24"/>
        </w:rPr>
        <w:t> </w:t>
      </w:r>
      <w:r>
        <w:rPr>
          <w:sz w:val="24"/>
        </w:rPr>
        <w:t>of the final working day of the probationary period.</w:t>
      </w:r>
    </w:p>
    <w:p>
      <w:pPr>
        <w:pStyle w:val="BodyText"/>
        <w:spacing w:line="208" w:lineRule="auto" w:before="239"/>
        <w:ind w:left="791" w:right="775"/>
        <w:rPr>
          <w:b/>
        </w:rPr>
      </w:pPr>
      <w:r>
        <w:rPr/>
        <w:t>The appointment of an employee on probationary status may be terminated whenever the performance is determined to</w:t>
      </w:r>
      <w:r>
        <w:rPr>
          <w:spacing w:val="-1"/>
        </w:rPr>
        <w:t> </w:t>
      </w:r>
      <w:r>
        <w:rPr/>
        <w:t>be unsatisfactory.</w:t>
      </w:r>
      <w:r>
        <w:rPr>
          <w:spacing w:val="40"/>
        </w:rPr>
        <w:t> </w:t>
      </w:r>
      <w:r>
        <w:rPr/>
        <w:t>The probationary employee does not have the right of appeal to the Merit Protection Commission when</w:t>
      </w:r>
      <w:r>
        <w:rPr>
          <w:spacing w:val="-5"/>
        </w:rPr>
        <w:t> </w:t>
      </w:r>
      <w:r>
        <w:rPr/>
        <w:t>terminated</w:t>
      </w:r>
      <w:r>
        <w:rPr>
          <w:spacing w:val="-5"/>
        </w:rPr>
        <w:t> </w:t>
      </w:r>
      <w:r>
        <w:rPr/>
        <w:t>during</w:t>
      </w:r>
      <w:r>
        <w:rPr>
          <w:spacing w:val="-5"/>
        </w:rPr>
        <w:t> </w:t>
      </w:r>
      <w:r>
        <w:rPr/>
        <w:t>the</w:t>
      </w:r>
      <w:r>
        <w:rPr>
          <w:spacing w:val="-5"/>
        </w:rPr>
        <w:t> </w:t>
      </w:r>
      <w:r>
        <w:rPr/>
        <w:t>probationary</w:t>
      </w:r>
      <w:r>
        <w:rPr>
          <w:spacing w:val="-5"/>
        </w:rPr>
        <w:t> </w:t>
      </w:r>
      <w:r>
        <w:rPr/>
        <w:t>period</w:t>
      </w:r>
      <w:r>
        <w:rPr>
          <w:spacing w:val="-5"/>
        </w:rPr>
        <w:t> </w:t>
      </w:r>
      <w:r>
        <w:rPr/>
        <w:t>[260:25-11-32].</w:t>
      </w:r>
      <w:r>
        <w:rPr>
          <w:spacing w:val="40"/>
        </w:rPr>
        <w:t> </w:t>
      </w:r>
      <w:r>
        <w:rPr/>
        <w:t>The</w:t>
      </w:r>
      <w:r>
        <w:rPr>
          <w:spacing w:val="-5"/>
        </w:rPr>
        <w:t> </w:t>
      </w:r>
      <w:r>
        <w:rPr/>
        <w:t>employee’s immediate supervisor is responsible for carefully observing and evaluation performance.</w:t>
      </w:r>
      <w:r>
        <w:rPr>
          <w:spacing w:val="40"/>
        </w:rPr>
        <w:t> </w:t>
      </w:r>
      <w:r>
        <w:rPr/>
        <w:t>The performance evaluation of a probationary employee must be completed no later than thirty days prior to the end of the probationary period. </w:t>
      </w:r>
      <w:r>
        <w:rPr>
          <w:b/>
        </w:rPr>
        <w:t>3</w:t>
      </w:r>
    </w:p>
    <w:p>
      <w:pPr>
        <w:pStyle w:val="ListParagraph"/>
        <w:numPr>
          <w:ilvl w:val="0"/>
          <w:numId w:val="59"/>
        </w:numPr>
        <w:tabs>
          <w:tab w:pos="786" w:val="left" w:leader="none"/>
        </w:tabs>
        <w:spacing w:line="208" w:lineRule="auto" w:before="239" w:after="0"/>
        <w:ind w:left="360" w:right="954" w:firstLine="0"/>
        <w:jc w:val="left"/>
        <w:rPr>
          <w:sz w:val="24"/>
        </w:rPr>
      </w:pPr>
      <w:r>
        <w:rPr>
          <w:b/>
          <w:sz w:val="24"/>
        </w:rPr>
        <w:t>Related</w:t>
      </w:r>
      <w:r>
        <w:rPr>
          <w:b/>
          <w:spacing w:val="-7"/>
          <w:sz w:val="24"/>
        </w:rPr>
        <w:t> </w:t>
      </w:r>
      <w:r>
        <w:rPr>
          <w:b/>
          <w:sz w:val="24"/>
        </w:rPr>
        <w:t>employees</w:t>
      </w:r>
      <w:r>
        <w:rPr>
          <w:b/>
          <w:spacing w:val="-7"/>
          <w:sz w:val="24"/>
        </w:rPr>
        <w:t> </w:t>
      </w:r>
      <w:r>
        <w:rPr>
          <w:b/>
          <w:sz w:val="24"/>
        </w:rPr>
        <w:t>(classified/unclassified</w:t>
      </w:r>
      <w:r>
        <w:rPr>
          <w:b/>
          <w:spacing w:val="-7"/>
          <w:sz w:val="24"/>
        </w:rPr>
        <w:t> </w:t>
      </w:r>
      <w:r>
        <w:rPr>
          <w:b/>
          <w:sz w:val="24"/>
        </w:rPr>
        <w:t>service).</w:t>
      </w:r>
      <w:r>
        <w:rPr>
          <w:b/>
          <w:spacing w:val="-7"/>
          <w:sz w:val="24"/>
        </w:rPr>
        <w:t> </w:t>
      </w:r>
      <w:r>
        <w:rPr>
          <w:sz w:val="24"/>
        </w:rPr>
        <w:t>The</w:t>
      </w:r>
      <w:r>
        <w:rPr>
          <w:spacing w:val="-7"/>
          <w:sz w:val="24"/>
        </w:rPr>
        <w:t> </w:t>
      </w:r>
      <w:r>
        <w:rPr>
          <w:sz w:val="24"/>
        </w:rPr>
        <w:t>Department</w:t>
      </w:r>
      <w:r>
        <w:rPr>
          <w:spacing w:val="-6"/>
          <w:sz w:val="24"/>
        </w:rPr>
        <w:t> </w:t>
      </w:r>
      <w:r>
        <w:rPr>
          <w:sz w:val="24"/>
        </w:rPr>
        <w:t>reserves the right to make placements and work assignments of personnel as necessary to eliminate and/or prevent situations in which a position is occupied by a relative of the senior administrator of the relevant division, facility, or office. The Director may waive the prohibitions in this Subsection. The Department prohibits the employment of any person in a position which would result in:</w:t>
      </w:r>
    </w:p>
    <w:p>
      <w:pPr>
        <w:pStyle w:val="ListParagraph"/>
        <w:numPr>
          <w:ilvl w:val="1"/>
          <w:numId w:val="59"/>
        </w:numPr>
        <w:tabs>
          <w:tab w:pos="1217" w:val="left" w:leader="none"/>
        </w:tabs>
        <w:spacing w:line="208" w:lineRule="auto" w:before="240" w:after="0"/>
        <w:ind w:left="791" w:right="724" w:firstLine="0"/>
        <w:jc w:val="left"/>
        <w:rPr>
          <w:sz w:val="24"/>
        </w:rPr>
      </w:pPr>
      <w:r>
        <w:rPr>
          <w:sz w:val="24"/>
        </w:rPr>
        <w:t>immediate supervision by a relative. Relative is defined to include wife, husband, children, parents, stepparents, parents-in-law, grandchildren, grandparents,</w:t>
      </w:r>
      <w:r>
        <w:rPr>
          <w:spacing w:val="-7"/>
          <w:sz w:val="24"/>
        </w:rPr>
        <w:t> </w:t>
      </w:r>
      <w:r>
        <w:rPr>
          <w:sz w:val="24"/>
        </w:rPr>
        <w:t>brothers,</w:t>
      </w:r>
      <w:r>
        <w:rPr>
          <w:spacing w:val="-7"/>
          <w:sz w:val="24"/>
        </w:rPr>
        <w:t> </w:t>
      </w:r>
      <w:r>
        <w:rPr>
          <w:sz w:val="24"/>
        </w:rPr>
        <w:t>sisters,</w:t>
      </w:r>
      <w:r>
        <w:rPr>
          <w:spacing w:val="-8"/>
          <w:sz w:val="24"/>
        </w:rPr>
        <w:t> </w:t>
      </w:r>
      <w:r>
        <w:rPr>
          <w:sz w:val="24"/>
        </w:rPr>
        <w:t>stepchildren,</w:t>
      </w:r>
      <w:r>
        <w:rPr>
          <w:spacing w:val="-7"/>
          <w:sz w:val="24"/>
        </w:rPr>
        <w:t> </w:t>
      </w:r>
      <w:r>
        <w:rPr>
          <w:sz w:val="24"/>
        </w:rPr>
        <w:t>brothers-in-law,</w:t>
      </w:r>
      <w:r>
        <w:rPr>
          <w:spacing w:val="-7"/>
          <w:sz w:val="24"/>
        </w:rPr>
        <w:t> </w:t>
      </w:r>
      <w:r>
        <w:rPr>
          <w:sz w:val="24"/>
        </w:rPr>
        <w:t>sisters-in-law,</w:t>
      </w:r>
      <w:r>
        <w:rPr>
          <w:spacing w:val="-7"/>
          <w:sz w:val="24"/>
        </w:rPr>
        <w:t> </w:t>
      </w:r>
      <w:r>
        <w:rPr>
          <w:sz w:val="24"/>
        </w:rPr>
        <w:t>sons-in- law, daughters-in-law, aunts, uncles, nieces, nephews, first cousins or any of the above with whom the employee shares a foster relationship; or</w:t>
      </w:r>
    </w:p>
    <w:p>
      <w:pPr>
        <w:pStyle w:val="ListParagraph"/>
        <w:numPr>
          <w:ilvl w:val="1"/>
          <w:numId w:val="59"/>
        </w:numPr>
        <w:tabs>
          <w:tab w:pos="1216" w:val="left" w:leader="none"/>
        </w:tabs>
        <w:spacing w:line="240" w:lineRule="auto" w:before="210" w:after="0"/>
        <w:ind w:left="1216" w:right="0" w:hanging="425"/>
        <w:jc w:val="left"/>
        <w:rPr>
          <w:sz w:val="24"/>
        </w:rPr>
      </w:pPr>
      <w:r>
        <w:rPr>
          <w:sz w:val="24"/>
        </w:rPr>
        <w:t>two</w:t>
      </w:r>
      <w:r>
        <w:rPr>
          <w:spacing w:val="-5"/>
          <w:sz w:val="24"/>
        </w:rPr>
        <w:t> </w:t>
      </w:r>
      <w:r>
        <w:rPr>
          <w:sz w:val="24"/>
        </w:rPr>
        <w:t>or</w:t>
      </w:r>
      <w:r>
        <w:rPr>
          <w:spacing w:val="-4"/>
          <w:sz w:val="24"/>
        </w:rPr>
        <w:t> </w:t>
      </w:r>
      <w:r>
        <w:rPr>
          <w:sz w:val="24"/>
        </w:rPr>
        <w:t>more</w:t>
      </w:r>
      <w:r>
        <w:rPr>
          <w:spacing w:val="-2"/>
          <w:sz w:val="24"/>
        </w:rPr>
        <w:t> </w:t>
      </w:r>
      <w:r>
        <w:rPr>
          <w:sz w:val="24"/>
        </w:rPr>
        <w:t>relatives</w:t>
      </w:r>
      <w:r>
        <w:rPr>
          <w:spacing w:val="-3"/>
          <w:sz w:val="24"/>
        </w:rPr>
        <w:t> </w:t>
      </w:r>
      <w:r>
        <w:rPr>
          <w:sz w:val="24"/>
        </w:rPr>
        <w:t>reporting</w:t>
      </w:r>
      <w:r>
        <w:rPr>
          <w:spacing w:val="-2"/>
          <w:sz w:val="24"/>
        </w:rPr>
        <w:t> </w:t>
      </w:r>
      <w:r>
        <w:rPr>
          <w:sz w:val="24"/>
        </w:rPr>
        <w:t>to</w:t>
      </w:r>
      <w:r>
        <w:rPr>
          <w:spacing w:val="-3"/>
          <w:sz w:val="24"/>
        </w:rPr>
        <w:t> </w:t>
      </w:r>
      <w:r>
        <w:rPr>
          <w:sz w:val="24"/>
        </w:rPr>
        <w:t>the</w:t>
      </w:r>
      <w:r>
        <w:rPr>
          <w:spacing w:val="-2"/>
          <w:sz w:val="24"/>
        </w:rPr>
        <w:t> </w:t>
      </w:r>
      <w:r>
        <w:rPr>
          <w:sz w:val="24"/>
        </w:rPr>
        <w:t>same</w:t>
      </w:r>
      <w:r>
        <w:rPr>
          <w:spacing w:val="-3"/>
          <w:sz w:val="24"/>
        </w:rPr>
        <w:t> </w:t>
      </w:r>
      <w:r>
        <w:rPr>
          <w:sz w:val="24"/>
        </w:rPr>
        <w:t>immediate</w:t>
      </w:r>
      <w:r>
        <w:rPr>
          <w:spacing w:val="-2"/>
          <w:sz w:val="24"/>
        </w:rPr>
        <w:t> supervisor.</w:t>
      </w:r>
    </w:p>
    <w:p>
      <w:pPr>
        <w:pStyle w:val="ListParagraph"/>
        <w:numPr>
          <w:ilvl w:val="0"/>
          <w:numId w:val="59"/>
        </w:numPr>
        <w:tabs>
          <w:tab w:pos="705" w:val="left" w:leader="none"/>
        </w:tabs>
        <w:spacing w:line="208" w:lineRule="auto" w:before="233" w:after="0"/>
        <w:ind w:left="360" w:right="769" w:firstLine="0"/>
        <w:jc w:val="left"/>
        <w:rPr>
          <w:sz w:val="24"/>
        </w:rPr>
      </w:pPr>
      <w:r>
        <w:rPr>
          <w:b/>
          <w:sz w:val="24"/>
        </w:rPr>
        <w:t>Other employment, prohibition against use of position for personal gain and avoidance</w:t>
      </w:r>
      <w:r>
        <w:rPr>
          <w:b/>
          <w:spacing w:val="-3"/>
          <w:sz w:val="24"/>
        </w:rPr>
        <w:t> </w:t>
      </w:r>
      <w:r>
        <w:rPr>
          <w:b/>
          <w:sz w:val="24"/>
        </w:rPr>
        <w:t>of</w:t>
      </w:r>
      <w:r>
        <w:rPr>
          <w:b/>
          <w:spacing w:val="-3"/>
          <w:sz w:val="24"/>
        </w:rPr>
        <w:t> </w:t>
      </w:r>
      <w:r>
        <w:rPr>
          <w:b/>
          <w:sz w:val="24"/>
        </w:rPr>
        <w:t>conflict</w:t>
      </w:r>
      <w:r>
        <w:rPr>
          <w:b/>
          <w:spacing w:val="-5"/>
          <w:sz w:val="24"/>
        </w:rPr>
        <w:t> </w:t>
      </w:r>
      <w:r>
        <w:rPr>
          <w:b/>
          <w:sz w:val="24"/>
        </w:rPr>
        <w:t>of</w:t>
      </w:r>
      <w:r>
        <w:rPr>
          <w:b/>
          <w:spacing w:val="-5"/>
          <w:sz w:val="24"/>
        </w:rPr>
        <w:t> </w:t>
      </w:r>
      <w:r>
        <w:rPr>
          <w:b/>
          <w:sz w:val="24"/>
        </w:rPr>
        <w:t>interest.</w:t>
      </w:r>
      <w:r>
        <w:rPr>
          <w:b/>
          <w:spacing w:val="40"/>
          <w:sz w:val="24"/>
        </w:rPr>
        <w:t> </w:t>
      </w:r>
      <w:r>
        <w:rPr>
          <w:sz w:val="24"/>
        </w:rPr>
        <w:t>Oklahoma</w:t>
      </w:r>
      <w:r>
        <w:rPr>
          <w:spacing w:val="-4"/>
          <w:sz w:val="24"/>
        </w:rPr>
        <w:t> </w:t>
      </w:r>
      <w:r>
        <w:rPr>
          <w:sz w:val="24"/>
        </w:rPr>
        <w:t>Ethics</w:t>
      </w:r>
      <w:r>
        <w:rPr>
          <w:spacing w:val="-4"/>
          <w:sz w:val="24"/>
        </w:rPr>
        <w:t> </w:t>
      </w:r>
      <w:r>
        <w:rPr>
          <w:sz w:val="24"/>
        </w:rPr>
        <w:t>Commission</w:t>
      </w:r>
      <w:r>
        <w:rPr>
          <w:spacing w:val="-4"/>
          <w:sz w:val="24"/>
        </w:rPr>
        <w:t> </w:t>
      </w:r>
      <w:r>
        <w:rPr>
          <w:sz w:val="24"/>
        </w:rPr>
        <w:t>rules</w:t>
      </w:r>
      <w:r>
        <w:rPr>
          <w:spacing w:val="-4"/>
          <w:sz w:val="24"/>
        </w:rPr>
        <w:t> </w:t>
      </w:r>
      <w:r>
        <w:rPr>
          <w:sz w:val="24"/>
        </w:rPr>
        <w:t>[OAC</w:t>
      </w:r>
      <w:r>
        <w:rPr>
          <w:spacing w:val="-4"/>
          <w:sz w:val="24"/>
        </w:rPr>
        <w:t> </w:t>
      </w:r>
      <w:r>
        <w:rPr>
          <w:sz w:val="24"/>
        </w:rPr>
        <w:t>Title</w:t>
      </w:r>
      <w:r>
        <w:rPr>
          <w:spacing w:val="-4"/>
          <w:sz w:val="24"/>
        </w:rPr>
        <w:t> </w:t>
      </w:r>
      <w:r>
        <w:rPr>
          <w:sz w:val="24"/>
        </w:rPr>
        <w:t>257] are applicable regarding prohibition against use of position for personal use.</w:t>
      </w:r>
    </w:p>
    <w:p>
      <w:pPr>
        <w:pStyle w:val="ListParagraph"/>
        <w:numPr>
          <w:ilvl w:val="1"/>
          <w:numId w:val="59"/>
        </w:numPr>
        <w:tabs>
          <w:tab w:pos="1218" w:val="left" w:leader="none"/>
        </w:tabs>
        <w:spacing w:line="208" w:lineRule="auto" w:before="240" w:after="0"/>
        <w:ind w:left="792" w:right="920" w:firstLine="0"/>
        <w:jc w:val="left"/>
        <w:rPr>
          <w:sz w:val="24"/>
        </w:rPr>
      </w:pPr>
      <w:r>
        <w:rPr>
          <w:sz w:val="24"/>
        </w:rPr>
        <w:t>Each</w:t>
      </w:r>
      <w:r>
        <w:rPr>
          <w:spacing w:val="-4"/>
          <w:sz w:val="24"/>
        </w:rPr>
        <w:t> </w:t>
      </w:r>
      <w:r>
        <w:rPr>
          <w:sz w:val="24"/>
        </w:rPr>
        <w:t>employee</w:t>
      </w:r>
      <w:r>
        <w:rPr>
          <w:spacing w:val="-4"/>
          <w:sz w:val="24"/>
        </w:rPr>
        <w:t> </w:t>
      </w:r>
      <w:r>
        <w:rPr>
          <w:sz w:val="24"/>
        </w:rPr>
        <w:t>must,</w:t>
      </w:r>
      <w:r>
        <w:rPr>
          <w:spacing w:val="-3"/>
          <w:sz w:val="24"/>
        </w:rPr>
        <w:t> </w:t>
      </w:r>
      <w:r>
        <w:rPr>
          <w:sz w:val="24"/>
        </w:rPr>
        <w:t>during</w:t>
      </w:r>
      <w:r>
        <w:rPr>
          <w:spacing w:val="-5"/>
          <w:sz w:val="24"/>
        </w:rPr>
        <w:t> </w:t>
      </w:r>
      <w:r>
        <w:rPr>
          <w:sz w:val="24"/>
        </w:rPr>
        <w:t>office</w:t>
      </w:r>
      <w:r>
        <w:rPr>
          <w:spacing w:val="-4"/>
          <w:sz w:val="24"/>
        </w:rPr>
        <w:t> </w:t>
      </w:r>
      <w:r>
        <w:rPr>
          <w:sz w:val="24"/>
        </w:rPr>
        <w:t>hours,</w:t>
      </w:r>
      <w:r>
        <w:rPr>
          <w:spacing w:val="-3"/>
          <w:sz w:val="24"/>
        </w:rPr>
        <w:t> </w:t>
      </w:r>
      <w:r>
        <w:rPr>
          <w:sz w:val="24"/>
        </w:rPr>
        <w:t>devote</w:t>
      </w:r>
      <w:r>
        <w:rPr>
          <w:spacing w:val="-4"/>
          <w:sz w:val="24"/>
        </w:rPr>
        <w:t> </w:t>
      </w:r>
      <w:r>
        <w:rPr>
          <w:sz w:val="24"/>
        </w:rPr>
        <w:t>full</w:t>
      </w:r>
      <w:r>
        <w:rPr>
          <w:spacing w:val="-4"/>
          <w:sz w:val="24"/>
        </w:rPr>
        <w:t> </w:t>
      </w:r>
      <w:r>
        <w:rPr>
          <w:sz w:val="24"/>
        </w:rPr>
        <w:t>time,</w:t>
      </w:r>
      <w:r>
        <w:rPr>
          <w:spacing w:val="-3"/>
          <w:sz w:val="24"/>
        </w:rPr>
        <w:t> </w:t>
      </w:r>
      <w:r>
        <w:rPr>
          <w:sz w:val="24"/>
        </w:rPr>
        <w:t>attention,</w:t>
      </w:r>
      <w:r>
        <w:rPr>
          <w:spacing w:val="-3"/>
          <w:sz w:val="24"/>
        </w:rPr>
        <w:t> </w:t>
      </w:r>
      <w:r>
        <w:rPr>
          <w:sz w:val="24"/>
        </w:rPr>
        <w:t>and</w:t>
      </w:r>
      <w:r>
        <w:rPr>
          <w:spacing w:val="-3"/>
          <w:sz w:val="24"/>
        </w:rPr>
        <w:t> </w:t>
      </w:r>
      <w:r>
        <w:rPr>
          <w:sz w:val="24"/>
        </w:rPr>
        <w:t>effort to the Department's business. The employee may not use office hours for private </w:t>
      </w:r>
      <w:r>
        <w:rPr>
          <w:spacing w:val="-2"/>
          <w:sz w:val="24"/>
        </w:rPr>
        <w:t>gain.</w:t>
      </w:r>
    </w:p>
    <w:p>
      <w:pPr>
        <w:pStyle w:val="ListParagraph"/>
        <w:numPr>
          <w:ilvl w:val="1"/>
          <w:numId w:val="59"/>
        </w:numPr>
        <w:tabs>
          <w:tab w:pos="1218" w:val="left" w:leader="none"/>
        </w:tabs>
        <w:spacing w:line="208" w:lineRule="auto" w:before="240" w:after="0"/>
        <w:ind w:left="792" w:right="774" w:firstLine="0"/>
        <w:jc w:val="left"/>
        <w:rPr>
          <w:b/>
          <w:sz w:val="24"/>
        </w:rPr>
      </w:pPr>
      <w:r>
        <w:rPr>
          <w:sz w:val="24"/>
        </w:rPr>
        <w:t>An employee may accept other employment outside the employee's assigned hours of duty as long as such other employment does not interfere with the employee's work with the Department. If an employee engages in other employment</w:t>
      </w:r>
      <w:r>
        <w:rPr>
          <w:spacing w:val="-3"/>
          <w:sz w:val="24"/>
        </w:rPr>
        <w:t> </w:t>
      </w:r>
      <w:r>
        <w:rPr>
          <w:sz w:val="24"/>
        </w:rPr>
        <w:t>while</w:t>
      </w:r>
      <w:r>
        <w:rPr>
          <w:spacing w:val="-4"/>
          <w:sz w:val="24"/>
        </w:rPr>
        <w:t> </w:t>
      </w:r>
      <w:r>
        <w:rPr>
          <w:sz w:val="24"/>
        </w:rPr>
        <w:t>an</w:t>
      </w:r>
      <w:r>
        <w:rPr>
          <w:spacing w:val="-3"/>
          <w:sz w:val="24"/>
        </w:rPr>
        <w:t> </w:t>
      </w:r>
      <w:r>
        <w:rPr>
          <w:sz w:val="24"/>
        </w:rPr>
        <w:t>employee</w:t>
      </w:r>
      <w:r>
        <w:rPr>
          <w:spacing w:val="-3"/>
          <w:sz w:val="24"/>
        </w:rPr>
        <w:t> </w:t>
      </w:r>
      <w:r>
        <w:rPr>
          <w:sz w:val="24"/>
        </w:rPr>
        <w:t>of</w:t>
      </w:r>
      <w:r>
        <w:rPr>
          <w:spacing w:val="-3"/>
          <w:sz w:val="24"/>
        </w:rPr>
        <w:t> </w:t>
      </w:r>
      <w:r>
        <w:rPr>
          <w:sz w:val="24"/>
        </w:rPr>
        <w:t>the</w:t>
      </w:r>
      <w:r>
        <w:rPr>
          <w:spacing w:val="-5"/>
          <w:sz w:val="24"/>
        </w:rPr>
        <w:t> </w:t>
      </w:r>
      <w:r>
        <w:rPr>
          <w:sz w:val="24"/>
        </w:rPr>
        <w:t>Department,</w:t>
      </w:r>
      <w:r>
        <w:rPr>
          <w:spacing w:val="-5"/>
          <w:sz w:val="24"/>
        </w:rPr>
        <w:t> </w:t>
      </w:r>
      <w:r>
        <w:rPr>
          <w:sz w:val="24"/>
        </w:rPr>
        <w:t>such</w:t>
      </w:r>
      <w:r>
        <w:rPr>
          <w:spacing w:val="-4"/>
          <w:sz w:val="24"/>
        </w:rPr>
        <w:t> </w:t>
      </w:r>
      <w:r>
        <w:rPr>
          <w:sz w:val="24"/>
        </w:rPr>
        <w:t>employment</w:t>
      </w:r>
      <w:r>
        <w:rPr>
          <w:spacing w:val="-3"/>
          <w:sz w:val="24"/>
        </w:rPr>
        <w:t> </w:t>
      </w:r>
      <w:r>
        <w:rPr>
          <w:sz w:val="24"/>
        </w:rPr>
        <w:t>or</w:t>
      </w:r>
      <w:r>
        <w:rPr>
          <w:spacing w:val="-3"/>
          <w:sz w:val="24"/>
        </w:rPr>
        <w:t> </w:t>
      </w:r>
      <w:r>
        <w:rPr>
          <w:sz w:val="24"/>
        </w:rPr>
        <w:t>changes</w:t>
      </w:r>
      <w:r>
        <w:rPr>
          <w:spacing w:val="-4"/>
          <w:sz w:val="24"/>
        </w:rPr>
        <w:t> </w:t>
      </w:r>
      <w:r>
        <w:rPr>
          <w:sz w:val="24"/>
        </w:rPr>
        <w:t>in the employment, as it occurs shall be reported by use of the Report of Other Employment form. Such notification shall be given to the employee's immediate supervisor. </w:t>
      </w:r>
      <w:r>
        <w:rPr>
          <w:b/>
          <w:sz w:val="24"/>
        </w:rPr>
        <w:t>4</w:t>
      </w:r>
    </w:p>
    <w:p>
      <w:pPr>
        <w:pStyle w:val="ListParagraph"/>
        <w:numPr>
          <w:ilvl w:val="0"/>
          <w:numId w:val="59"/>
        </w:numPr>
        <w:tabs>
          <w:tab w:pos="706" w:val="left" w:leader="none"/>
        </w:tabs>
        <w:spacing w:line="208" w:lineRule="auto" w:before="239" w:after="0"/>
        <w:ind w:left="360" w:right="870" w:firstLine="0"/>
        <w:jc w:val="left"/>
        <w:rPr>
          <w:b/>
          <w:sz w:val="24"/>
        </w:rPr>
      </w:pPr>
      <w:r>
        <w:rPr>
          <w:b/>
          <w:sz w:val="24"/>
        </w:rPr>
        <w:t>Final selection. </w:t>
      </w:r>
      <w:r>
        <w:rPr>
          <w:sz w:val="24"/>
        </w:rPr>
        <w:t>While others may recruit, screen, consider and make recommendations, the decision on all appointments and changes in classification is tentative until it has the approval of the Director or designee.</w:t>
      </w:r>
      <w:r>
        <w:rPr>
          <w:spacing w:val="40"/>
          <w:sz w:val="24"/>
        </w:rPr>
        <w:t> </w:t>
      </w:r>
      <w:r>
        <w:rPr>
          <w:sz w:val="24"/>
        </w:rPr>
        <w:t>No offer of employment may</w:t>
      </w:r>
      <w:r>
        <w:rPr>
          <w:spacing w:val="-3"/>
          <w:sz w:val="24"/>
        </w:rPr>
        <w:t> </w:t>
      </w:r>
      <w:r>
        <w:rPr>
          <w:sz w:val="24"/>
        </w:rPr>
        <w:t>be</w:t>
      </w:r>
      <w:r>
        <w:rPr>
          <w:spacing w:val="-3"/>
          <w:sz w:val="24"/>
        </w:rPr>
        <w:t> </w:t>
      </w:r>
      <w:r>
        <w:rPr>
          <w:sz w:val="24"/>
        </w:rPr>
        <w:t>made</w:t>
      </w:r>
      <w:r>
        <w:rPr>
          <w:spacing w:val="-3"/>
          <w:sz w:val="24"/>
        </w:rPr>
        <w:t> </w:t>
      </w:r>
      <w:r>
        <w:rPr>
          <w:sz w:val="24"/>
        </w:rPr>
        <w:t>until</w:t>
      </w:r>
      <w:r>
        <w:rPr>
          <w:spacing w:val="-3"/>
          <w:sz w:val="24"/>
        </w:rPr>
        <w:t> </w:t>
      </w:r>
      <w:r>
        <w:rPr>
          <w:sz w:val="24"/>
        </w:rPr>
        <w:t>notification</w:t>
      </w:r>
      <w:r>
        <w:rPr>
          <w:spacing w:val="-3"/>
          <w:sz w:val="24"/>
        </w:rPr>
        <w:t> </w:t>
      </w:r>
      <w:r>
        <w:rPr>
          <w:sz w:val="24"/>
        </w:rPr>
        <w:t>of</w:t>
      </w:r>
      <w:r>
        <w:rPr>
          <w:spacing w:val="-2"/>
          <w:sz w:val="24"/>
        </w:rPr>
        <w:t> </w:t>
      </w:r>
      <w:r>
        <w:rPr>
          <w:sz w:val="24"/>
        </w:rPr>
        <w:t>final</w:t>
      </w:r>
      <w:r>
        <w:rPr>
          <w:spacing w:val="-3"/>
          <w:sz w:val="24"/>
        </w:rPr>
        <w:t> </w:t>
      </w:r>
      <w:r>
        <w:rPr>
          <w:sz w:val="24"/>
        </w:rPr>
        <w:t>approval</w:t>
      </w:r>
      <w:r>
        <w:rPr>
          <w:spacing w:val="-3"/>
          <w:sz w:val="24"/>
        </w:rPr>
        <w:t> </w:t>
      </w:r>
      <w:r>
        <w:rPr>
          <w:sz w:val="24"/>
        </w:rPr>
        <w:t>is</w:t>
      </w:r>
      <w:r>
        <w:rPr>
          <w:spacing w:val="-3"/>
          <w:sz w:val="24"/>
        </w:rPr>
        <w:t> </w:t>
      </w:r>
      <w:r>
        <w:rPr>
          <w:sz w:val="24"/>
        </w:rPr>
        <w:t>received</w:t>
      </w:r>
      <w:r>
        <w:rPr>
          <w:spacing w:val="-3"/>
          <w:sz w:val="24"/>
        </w:rPr>
        <w:t> </w:t>
      </w:r>
      <w:r>
        <w:rPr>
          <w:sz w:val="24"/>
        </w:rPr>
        <w:t>from</w:t>
      </w:r>
      <w:r>
        <w:rPr>
          <w:spacing w:val="-4"/>
          <w:sz w:val="24"/>
        </w:rPr>
        <w:t> </w:t>
      </w:r>
      <w:r>
        <w:rPr>
          <w:sz w:val="24"/>
        </w:rPr>
        <w:t>the</w:t>
      </w:r>
      <w:r>
        <w:rPr>
          <w:spacing w:val="-3"/>
          <w:sz w:val="24"/>
        </w:rPr>
        <w:t> </w:t>
      </w:r>
      <w:r>
        <w:rPr>
          <w:sz w:val="24"/>
        </w:rPr>
        <w:t>Personnel</w:t>
      </w:r>
      <w:r>
        <w:rPr>
          <w:spacing w:val="-2"/>
          <w:sz w:val="24"/>
        </w:rPr>
        <w:t> </w:t>
      </w:r>
      <w:r>
        <w:rPr>
          <w:sz w:val="24"/>
        </w:rPr>
        <w:t>Office</w:t>
      </w:r>
      <w:r>
        <w:rPr>
          <w:spacing w:val="-3"/>
          <w:sz w:val="24"/>
        </w:rPr>
        <w:t> </w:t>
      </w:r>
      <w:r>
        <w:rPr>
          <w:sz w:val="24"/>
        </w:rPr>
        <w:t>of the DRS Human Resources Unit. </w:t>
      </w:r>
      <w:r>
        <w:rPr>
          <w:b/>
          <w:sz w:val="24"/>
        </w:rPr>
        <w:t>5</w:t>
      </w:r>
    </w:p>
    <w:p>
      <w:pPr>
        <w:pStyle w:val="BodyText"/>
        <w:spacing w:before="210"/>
        <w:ind w:left="359"/>
      </w:pPr>
      <w:r>
        <w:rPr/>
        <w:t>Instructions</w:t>
      </w:r>
      <w:r>
        <w:rPr>
          <w:spacing w:val="-5"/>
        </w:rPr>
        <w:t> </w:t>
      </w:r>
      <w:r>
        <w:rPr/>
        <w:t>to</w:t>
      </w:r>
      <w:r>
        <w:rPr>
          <w:spacing w:val="-2"/>
        </w:rPr>
        <w:t> </w:t>
      </w:r>
      <w:r>
        <w:rPr>
          <w:spacing w:val="-4"/>
        </w:rPr>
        <w:t>Staff</w:t>
      </w:r>
    </w:p>
    <w:p>
      <w:pPr>
        <w:pStyle w:val="BodyText"/>
        <w:spacing w:after="0"/>
        <w:sectPr>
          <w:pgSz w:w="12240" w:h="15840"/>
          <w:pgMar w:top="1340" w:bottom="280" w:left="1080" w:right="720"/>
        </w:sectPr>
      </w:pPr>
    </w:p>
    <w:p>
      <w:pPr>
        <w:pStyle w:val="ListParagraph"/>
        <w:numPr>
          <w:ilvl w:val="0"/>
          <w:numId w:val="60"/>
        </w:numPr>
        <w:tabs>
          <w:tab w:pos="1077" w:val="left" w:leader="none"/>
        </w:tabs>
        <w:spacing w:line="208" w:lineRule="auto" w:before="96" w:after="0"/>
        <w:ind w:left="791" w:right="874" w:firstLine="0"/>
        <w:jc w:val="left"/>
        <w:rPr>
          <w:sz w:val="24"/>
        </w:rPr>
      </w:pPr>
      <w:r>
        <w:rPr>
          <w:sz w:val="24"/>
        </w:rPr>
        <w:t>The</w:t>
      </w:r>
      <w:r>
        <w:rPr>
          <w:spacing w:val="-4"/>
          <w:sz w:val="24"/>
        </w:rPr>
        <w:t> </w:t>
      </w:r>
      <w:r>
        <w:rPr>
          <w:sz w:val="24"/>
        </w:rPr>
        <w:t>DRS</w:t>
      </w:r>
      <w:r>
        <w:rPr>
          <w:spacing w:val="-4"/>
          <w:sz w:val="24"/>
        </w:rPr>
        <w:t> </w:t>
      </w:r>
      <w:r>
        <w:rPr>
          <w:sz w:val="24"/>
        </w:rPr>
        <w:t>Human</w:t>
      </w:r>
      <w:r>
        <w:rPr>
          <w:spacing w:val="-4"/>
          <w:sz w:val="24"/>
        </w:rPr>
        <w:t> </w:t>
      </w:r>
      <w:r>
        <w:rPr>
          <w:sz w:val="24"/>
        </w:rPr>
        <w:t>Resources</w:t>
      </w:r>
      <w:r>
        <w:rPr>
          <w:spacing w:val="-4"/>
          <w:sz w:val="24"/>
        </w:rPr>
        <w:t> </w:t>
      </w:r>
      <w:r>
        <w:rPr>
          <w:sz w:val="24"/>
        </w:rPr>
        <w:t>Unit</w:t>
      </w:r>
      <w:r>
        <w:rPr>
          <w:spacing w:val="-3"/>
          <w:sz w:val="24"/>
        </w:rPr>
        <w:t> </w:t>
      </w:r>
      <w:r>
        <w:rPr>
          <w:sz w:val="24"/>
        </w:rPr>
        <w:t>issues</w:t>
      </w:r>
      <w:r>
        <w:rPr>
          <w:spacing w:val="-4"/>
          <w:sz w:val="24"/>
        </w:rPr>
        <w:t> </w:t>
      </w:r>
      <w:r>
        <w:rPr>
          <w:sz w:val="24"/>
        </w:rPr>
        <w:t>a</w:t>
      </w:r>
      <w:r>
        <w:rPr>
          <w:spacing w:val="-4"/>
          <w:sz w:val="24"/>
        </w:rPr>
        <w:t> </w:t>
      </w:r>
      <w:r>
        <w:rPr>
          <w:sz w:val="24"/>
        </w:rPr>
        <w:t>DRS</w:t>
      </w:r>
      <w:r>
        <w:rPr>
          <w:spacing w:val="-4"/>
          <w:sz w:val="24"/>
        </w:rPr>
        <w:t> </w:t>
      </w:r>
      <w:r>
        <w:rPr>
          <w:sz w:val="24"/>
        </w:rPr>
        <w:t>Applicant</w:t>
      </w:r>
      <w:r>
        <w:rPr>
          <w:spacing w:val="-3"/>
          <w:sz w:val="24"/>
        </w:rPr>
        <w:t> </w:t>
      </w:r>
      <w:r>
        <w:rPr>
          <w:sz w:val="24"/>
        </w:rPr>
        <w:t>Log</w:t>
      </w:r>
      <w:r>
        <w:rPr>
          <w:spacing w:val="-4"/>
          <w:sz w:val="24"/>
        </w:rPr>
        <w:t> </w:t>
      </w:r>
      <w:r>
        <w:rPr>
          <w:sz w:val="24"/>
        </w:rPr>
        <w:t>to</w:t>
      </w:r>
      <w:r>
        <w:rPr>
          <w:spacing w:val="-4"/>
          <w:sz w:val="24"/>
        </w:rPr>
        <w:t> </w:t>
      </w:r>
      <w:r>
        <w:rPr>
          <w:sz w:val="24"/>
        </w:rPr>
        <w:t>the</w:t>
      </w:r>
      <w:r>
        <w:rPr>
          <w:spacing w:val="-4"/>
          <w:sz w:val="24"/>
        </w:rPr>
        <w:t> </w:t>
      </w:r>
      <w:r>
        <w:rPr>
          <w:sz w:val="24"/>
        </w:rPr>
        <w:t>designated selecting official. The log contains a listing of applicants who meet the minimum education and experience requirements for the position.</w:t>
      </w:r>
      <w:r>
        <w:rPr>
          <w:spacing w:val="40"/>
          <w:sz w:val="24"/>
        </w:rPr>
        <w:t> </w:t>
      </w:r>
      <w:r>
        <w:rPr>
          <w:sz w:val="24"/>
        </w:rPr>
        <w:t>Amended applicant logs may be issued if a final selection has not been made.</w:t>
      </w:r>
      <w:r>
        <w:rPr>
          <w:spacing w:val="40"/>
          <w:sz w:val="24"/>
        </w:rPr>
        <w:t> </w:t>
      </w:r>
      <w:r>
        <w:rPr>
          <w:sz w:val="24"/>
        </w:rPr>
        <w:t>The designated selecting official determines which applicants on the applicant log will be interviewed.</w:t>
      </w:r>
    </w:p>
    <w:p>
      <w:pPr>
        <w:pStyle w:val="ListParagraph"/>
        <w:numPr>
          <w:ilvl w:val="0"/>
          <w:numId w:val="60"/>
        </w:numPr>
        <w:tabs>
          <w:tab w:pos="1077" w:val="left" w:leader="none"/>
        </w:tabs>
        <w:spacing w:line="208" w:lineRule="auto" w:before="239" w:after="0"/>
        <w:ind w:left="791" w:right="781" w:firstLine="0"/>
        <w:jc w:val="left"/>
        <w:rPr>
          <w:sz w:val="24"/>
        </w:rPr>
      </w:pPr>
      <w:r>
        <w:rPr>
          <w:sz w:val="24"/>
        </w:rPr>
        <w:t>Human Capital Management administers the Optional Program for Hiring Applicants with Disabilities through which persons with severe disabilities who are legal residents of Oklahoma may gain access to state employment.</w:t>
      </w:r>
      <w:r>
        <w:rPr>
          <w:spacing w:val="40"/>
          <w:sz w:val="24"/>
        </w:rPr>
        <w:t> </w:t>
      </w:r>
      <w:r>
        <w:rPr>
          <w:sz w:val="24"/>
        </w:rPr>
        <w:t>Tests for all state jobs may be waived for those qualified applicants certified as eligible for this program through the Oklahoma Department of Rehabilitation Services.</w:t>
      </w:r>
      <w:r>
        <w:rPr>
          <w:spacing w:val="40"/>
          <w:sz w:val="24"/>
        </w:rPr>
        <w:t> </w:t>
      </w:r>
      <w:r>
        <w:rPr>
          <w:sz w:val="24"/>
        </w:rPr>
        <w:t>In order to participate in the program, the applicant must obtain a certification letter from the Department of</w:t>
      </w:r>
      <w:r>
        <w:rPr>
          <w:spacing w:val="-2"/>
          <w:sz w:val="24"/>
        </w:rPr>
        <w:t> </w:t>
      </w:r>
      <w:r>
        <w:rPr>
          <w:sz w:val="24"/>
        </w:rPr>
        <w:t>Rehabilitation</w:t>
      </w:r>
      <w:r>
        <w:rPr>
          <w:spacing w:val="-1"/>
          <w:sz w:val="24"/>
        </w:rPr>
        <w:t> </w:t>
      </w:r>
      <w:r>
        <w:rPr>
          <w:sz w:val="24"/>
        </w:rPr>
        <w:t>Services</w:t>
      </w:r>
      <w:r>
        <w:rPr>
          <w:spacing w:val="-1"/>
          <w:sz w:val="24"/>
        </w:rPr>
        <w:t> </w:t>
      </w:r>
      <w:r>
        <w:rPr>
          <w:sz w:val="24"/>
        </w:rPr>
        <w:t>stating</w:t>
      </w:r>
      <w:r>
        <w:rPr>
          <w:spacing w:val="-1"/>
          <w:sz w:val="24"/>
        </w:rPr>
        <w:t> </w:t>
      </w:r>
      <w:r>
        <w:rPr>
          <w:sz w:val="24"/>
        </w:rPr>
        <w:t>that he</w:t>
      </w:r>
      <w:r>
        <w:rPr>
          <w:spacing w:val="-1"/>
          <w:sz w:val="24"/>
        </w:rPr>
        <w:t> </w:t>
      </w:r>
      <w:r>
        <w:rPr>
          <w:sz w:val="24"/>
        </w:rPr>
        <w:t>is</w:t>
      </w:r>
      <w:r>
        <w:rPr>
          <w:spacing w:val="-1"/>
          <w:sz w:val="24"/>
        </w:rPr>
        <w:t> </w:t>
      </w:r>
      <w:r>
        <w:rPr>
          <w:sz w:val="24"/>
        </w:rPr>
        <w:t>certified</w:t>
      </w:r>
      <w:r>
        <w:rPr>
          <w:spacing w:val="-1"/>
          <w:sz w:val="24"/>
        </w:rPr>
        <w:t> </w:t>
      </w:r>
      <w:r>
        <w:rPr>
          <w:sz w:val="24"/>
        </w:rPr>
        <w:t>as</w:t>
      </w:r>
      <w:r>
        <w:rPr>
          <w:spacing w:val="-1"/>
          <w:sz w:val="24"/>
        </w:rPr>
        <w:t> </w:t>
      </w:r>
      <w:r>
        <w:rPr>
          <w:sz w:val="24"/>
        </w:rPr>
        <w:t>having</w:t>
      </w:r>
      <w:r>
        <w:rPr>
          <w:spacing w:val="-1"/>
          <w:sz w:val="24"/>
        </w:rPr>
        <w:t> </w:t>
      </w:r>
      <w:r>
        <w:rPr>
          <w:sz w:val="24"/>
        </w:rPr>
        <w:t>a</w:t>
      </w:r>
      <w:r>
        <w:rPr>
          <w:spacing w:val="-1"/>
          <w:sz w:val="24"/>
        </w:rPr>
        <w:t> </w:t>
      </w:r>
      <w:r>
        <w:rPr>
          <w:sz w:val="24"/>
        </w:rPr>
        <w:t>severe disability</w:t>
      </w:r>
      <w:r>
        <w:rPr>
          <w:spacing w:val="-3"/>
          <w:sz w:val="24"/>
        </w:rPr>
        <w:t> </w:t>
      </w:r>
      <w:r>
        <w:rPr>
          <w:sz w:val="24"/>
        </w:rPr>
        <w:t>as</w:t>
      </w:r>
      <w:r>
        <w:rPr>
          <w:spacing w:val="-3"/>
          <w:sz w:val="24"/>
        </w:rPr>
        <w:t> </w:t>
      </w:r>
      <w:r>
        <w:rPr>
          <w:sz w:val="24"/>
        </w:rPr>
        <w:t>defined</w:t>
      </w:r>
      <w:r>
        <w:rPr>
          <w:spacing w:val="-3"/>
          <w:sz w:val="24"/>
        </w:rPr>
        <w:t> </w:t>
      </w:r>
      <w:r>
        <w:rPr>
          <w:sz w:val="24"/>
        </w:rPr>
        <w:t>by</w:t>
      </w:r>
      <w:r>
        <w:rPr>
          <w:spacing w:val="-3"/>
          <w:sz w:val="24"/>
        </w:rPr>
        <w:t> </w:t>
      </w:r>
      <w:r>
        <w:rPr>
          <w:sz w:val="24"/>
        </w:rPr>
        <w:t>state</w:t>
      </w:r>
      <w:r>
        <w:rPr>
          <w:spacing w:val="-3"/>
          <w:sz w:val="24"/>
        </w:rPr>
        <w:t> </w:t>
      </w:r>
      <w:r>
        <w:rPr>
          <w:sz w:val="24"/>
        </w:rPr>
        <w:t>law</w:t>
      </w:r>
      <w:r>
        <w:rPr>
          <w:spacing w:val="-5"/>
          <w:sz w:val="24"/>
        </w:rPr>
        <w:t> </w:t>
      </w:r>
      <w:r>
        <w:rPr>
          <w:sz w:val="24"/>
        </w:rPr>
        <w:t>then</w:t>
      </w:r>
      <w:r>
        <w:rPr>
          <w:spacing w:val="-3"/>
          <w:sz w:val="24"/>
        </w:rPr>
        <w:t> </w:t>
      </w:r>
      <w:r>
        <w:rPr>
          <w:sz w:val="24"/>
        </w:rPr>
        <w:t>submit</w:t>
      </w:r>
      <w:r>
        <w:rPr>
          <w:spacing w:val="-2"/>
          <w:sz w:val="24"/>
        </w:rPr>
        <w:t> </w:t>
      </w:r>
      <w:r>
        <w:rPr>
          <w:sz w:val="24"/>
        </w:rPr>
        <w:t>an</w:t>
      </w:r>
      <w:r>
        <w:rPr>
          <w:spacing w:val="-3"/>
          <w:sz w:val="24"/>
        </w:rPr>
        <w:t> </w:t>
      </w:r>
      <w:r>
        <w:rPr>
          <w:sz w:val="24"/>
        </w:rPr>
        <w:t>on-line</w:t>
      </w:r>
      <w:r>
        <w:rPr>
          <w:spacing w:val="-2"/>
          <w:sz w:val="24"/>
        </w:rPr>
        <w:t> </w:t>
      </w:r>
      <w:r>
        <w:rPr>
          <w:sz w:val="24"/>
        </w:rPr>
        <w:t>application</w:t>
      </w:r>
      <w:r>
        <w:rPr>
          <w:spacing w:val="-2"/>
          <w:sz w:val="24"/>
        </w:rPr>
        <w:t> </w:t>
      </w:r>
      <w:r>
        <w:rPr>
          <w:sz w:val="24"/>
        </w:rPr>
        <w:t>for</w:t>
      </w:r>
      <w:r>
        <w:rPr>
          <w:spacing w:val="-2"/>
          <w:sz w:val="24"/>
        </w:rPr>
        <w:t> </w:t>
      </w:r>
      <w:r>
        <w:rPr>
          <w:sz w:val="24"/>
        </w:rPr>
        <w:t>employment, along with the required disability certification letter,</w:t>
      </w:r>
      <w:r>
        <w:rPr>
          <w:spacing w:val="-1"/>
          <w:sz w:val="24"/>
        </w:rPr>
        <w:t> </w:t>
      </w:r>
      <w:r>
        <w:rPr>
          <w:sz w:val="24"/>
        </w:rPr>
        <w:t>to Human Capital Management. HCM will review the applicant's qualifications and send the applicant a notice confirming that his name has been placed on the list titled Special Appointment/Free Names.</w:t>
      </w:r>
      <w:r>
        <w:rPr>
          <w:spacing w:val="80"/>
          <w:sz w:val="24"/>
        </w:rPr>
        <w:t> </w:t>
      </w:r>
      <w:r>
        <w:rPr>
          <w:sz w:val="24"/>
        </w:rPr>
        <w:t>As vacancies occur in the job family level, HCM will send</w:t>
      </w:r>
      <w:r>
        <w:rPr>
          <w:spacing w:val="-3"/>
          <w:sz w:val="24"/>
        </w:rPr>
        <w:t> </w:t>
      </w:r>
      <w:r>
        <w:rPr>
          <w:sz w:val="24"/>
        </w:rPr>
        <w:t>the</w:t>
      </w:r>
      <w:r>
        <w:rPr>
          <w:spacing w:val="-3"/>
          <w:sz w:val="24"/>
        </w:rPr>
        <w:t> </w:t>
      </w:r>
      <w:r>
        <w:rPr>
          <w:sz w:val="24"/>
        </w:rPr>
        <w:t>applicant's</w:t>
      </w:r>
      <w:r>
        <w:rPr>
          <w:spacing w:val="-3"/>
          <w:sz w:val="24"/>
        </w:rPr>
        <w:t> </w:t>
      </w:r>
      <w:r>
        <w:rPr>
          <w:sz w:val="24"/>
        </w:rPr>
        <w:t>name</w:t>
      </w:r>
      <w:r>
        <w:rPr>
          <w:spacing w:val="-3"/>
          <w:sz w:val="24"/>
        </w:rPr>
        <w:t> </w:t>
      </w:r>
      <w:r>
        <w:rPr>
          <w:sz w:val="24"/>
        </w:rPr>
        <w:t>to</w:t>
      </w:r>
      <w:r>
        <w:rPr>
          <w:spacing w:val="-3"/>
          <w:sz w:val="24"/>
        </w:rPr>
        <w:t> </w:t>
      </w:r>
      <w:r>
        <w:rPr>
          <w:sz w:val="24"/>
        </w:rPr>
        <w:t>all</w:t>
      </w:r>
      <w:r>
        <w:rPr>
          <w:spacing w:val="-3"/>
          <w:sz w:val="24"/>
        </w:rPr>
        <w:t> </w:t>
      </w:r>
      <w:r>
        <w:rPr>
          <w:sz w:val="24"/>
        </w:rPr>
        <w:t>State</w:t>
      </w:r>
      <w:r>
        <w:rPr>
          <w:spacing w:val="-3"/>
          <w:sz w:val="24"/>
        </w:rPr>
        <w:t> </w:t>
      </w:r>
      <w:r>
        <w:rPr>
          <w:sz w:val="24"/>
        </w:rPr>
        <w:t>of</w:t>
      </w:r>
      <w:r>
        <w:rPr>
          <w:spacing w:val="-4"/>
          <w:sz w:val="24"/>
        </w:rPr>
        <w:t> </w:t>
      </w:r>
      <w:r>
        <w:rPr>
          <w:sz w:val="24"/>
        </w:rPr>
        <w:t>Oklahoma</w:t>
      </w:r>
      <w:r>
        <w:rPr>
          <w:spacing w:val="-4"/>
          <w:sz w:val="24"/>
        </w:rPr>
        <w:t> </w:t>
      </w:r>
      <w:r>
        <w:rPr>
          <w:sz w:val="24"/>
        </w:rPr>
        <w:t>agencies</w:t>
      </w:r>
      <w:r>
        <w:rPr>
          <w:spacing w:val="-3"/>
          <w:sz w:val="24"/>
        </w:rPr>
        <w:t> </w:t>
      </w:r>
      <w:r>
        <w:rPr>
          <w:sz w:val="24"/>
        </w:rPr>
        <w:t>who</w:t>
      </w:r>
      <w:r>
        <w:rPr>
          <w:spacing w:val="-2"/>
          <w:sz w:val="24"/>
        </w:rPr>
        <w:t> </w:t>
      </w:r>
      <w:r>
        <w:rPr>
          <w:sz w:val="24"/>
        </w:rPr>
        <w:t>request</w:t>
      </w:r>
      <w:r>
        <w:rPr>
          <w:spacing w:val="-2"/>
          <w:sz w:val="24"/>
        </w:rPr>
        <w:t> </w:t>
      </w:r>
      <w:r>
        <w:rPr>
          <w:sz w:val="24"/>
        </w:rPr>
        <w:t>a</w:t>
      </w:r>
      <w:r>
        <w:rPr>
          <w:spacing w:val="-4"/>
          <w:sz w:val="24"/>
        </w:rPr>
        <w:t> </w:t>
      </w:r>
      <w:r>
        <w:rPr>
          <w:sz w:val="24"/>
        </w:rPr>
        <w:t>Special Appointment/Free Names list for that job family level.</w:t>
      </w:r>
    </w:p>
    <w:p>
      <w:pPr>
        <w:pStyle w:val="ListParagraph"/>
        <w:numPr>
          <w:ilvl w:val="0"/>
          <w:numId w:val="60"/>
        </w:numPr>
        <w:tabs>
          <w:tab w:pos="1077" w:val="left" w:leader="none"/>
        </w:tabs>
        <w:spacing w:line="208" w:lineRule="auto" w:before="239" w:after="0"/>
        <w:ind w:left="791" w:right="1054" w:firstLine="0"/>
        <w:jc w:val="left"/>
        <w:rPr>
          <w:sz w:val="24"/>
        </w:rPr>
      </w:pPr>
      <w:r>
        <w:rPr>
          <w:sz w:val="24"/>
        </w:rPr>
        <w:t>The supervisor submits a request with justification through the appropriate supervisory channels to the Division Administrator/Superintendent to waive the remainder of the probationary period of an employee.</w:t>
      </w:r>
      <w:r>
        <w:rPr>
          <w:spacing w:val="40"/>
          <w:sz w:val="24"/>
        </w:rPr>
        <w:t> </w:t>
      </w:r>
      <w:r>
        <w:rPr>
          <w:sz w:val="24"/>
        </w:rPr>
        <w:t>If the Division Administrator/Superintendent</w:t>
      </w:r>
      <w:r>
        <w:rPr>
          <w:spacing w:val="-4"/>
          <w:sz w:val="24"/>
        </w:rPr>
        <w:t> </w:t>
      </w:r>
      <w:r>
        <w:rPr>
          <w:sz w:val="24"/>
        </w:rPr>
        <w:t>approves</w:t>
      </w:r>
      <w:r>
        <w:rPr>
          <w:spacing w:val="-4"/>
          <w:sz w:val="24"/>
        </w:rPr>
        <w:t> </w:t>
      </w:r>
      <w:r>
        <w:rPr>
          <w:sz w:val="24"/>
        </w:rPr>
        <w:t>the</w:t>
      </w:r>
      <w:r>
        <w:rPr>
          <w:spacing w:val="-4"/>
          <w:sz w:val="24"/>
        </w:rPr>
        <w:t> </w:t>
      </w:r>
      <w:r>
        <w:rPr>
          <w:sz w:val="24"/>
        </w:rPr>
        <w:t>request,</w:t>
      </w:r>
      <w:r>
        <w:rPr>
          <w:spacing w:val="-3"/>
          <w:sz w:val="24"/>
        </w:rPr>
        <w:t> </w:t>
      </w:r>
      <w:r>
        <w:rPr>
          <w:sz w:val="24"/>
        </w:rPr>
        <w:t>it</w:t>
      </w:r>
      <w:r>
        <w:rPr>
          <w:spacing w:val="-3"/>
          <w:sz w:val="24"/>
        </w:rPr>
        <w:t> </w:t>
      </w:r>
      <w:r>
        <w:rPr>
          <w:sz w:val="24"/>
        </w:rPr>
        <w:t>is</w:t>
      </w:r>
      <w:r>
        <w:rPr>
          <w:spacing w:val="-4"/>
          <w:sz w:val="24"/>
        </w:rPr>
        <w:t> </w:t>
      </w:r>
      <w:r>
        <w:rPr>
          <w:sz w:val="24"/>
        </w:rPr>
        <w:t>submitted</w:t>
      </w:r>
      <w:r>
        <w:rPr>
          <w:spacing w:val="-5"/>
          <w:sz w:val="24"/>
        </w:rPr>
        <w:t> </w:t>
      </w:r>
      <w:r>
        <w:rPr>
          <w:sz w:val="24"/>
        </w:rPr>
        <w:t>to</w:t>
      </w:r>
      <w:r>
        <w:rPr>
          <w:spacing w:val="-4"/>
          <w:sz w:val="24"/>
        </w:rPr>
        <w:t> </w:t>
      </w:r>
      <w:r>
        <w:rPr>
          <w:sz w:val="24"/>
        </w:rPr>
        <w:t>the</w:t>
      </w:r>
      <w:r>
        <w:rPr>
          <w:spacing w:val="-4"/>
          <w:sz w:val="24"/>
        </w:rPr>
        <w:t> </w:t>
      </w:r>
      <w:r>
        <w:rPr>
          <w:sz w:val="24"/>
        </w:rPr>
        <w:t>Chief</w:t>
      </w:r>
      <w:r>
        <w:rPr>
          <w:spacing w:val="-3"/>
          <w:sz w:val="24"/>
        </w:rPr>
        <w:t> </w:t>
      </w:r>
      <w:r>
        <w:rPr>
          <w:sz w:val="24"/>
        </w:rPr>
        <w:t>of Staff and Director for review and final approval.</w:t>
      </w:r>
    </w:p>
    <w:p>
      <w:pPr>
        <w:pStyle w:val="ListParagraph"/>
        <w:numPr>
          <w:ilvl w:val="0"/>
          <w:numId w:val="60"/>
        </w:numPr>
        <w:tabs>
          <w:tab w:pos="1078" w:val="left" w:leader="none"/>
        </w:tabs>
        <w:spacing w:line="208" w:lineRule="auto" w:before="239" w:after="0"/>
        <w:ind w:left="792" w:right="1807" w:firstLine="0"/>
        <w:jc w:val="left"/>
        <w:rPr>
          <w:sz w:val="24"/>
        </w:rPr>
      </w:pPr>
      <w:r>
        <w:rPr>
          <w:sz w:val="24"/>
        </w:rPr>
        <w:t>The</w:t>
      </w:r>
      <w:r>
        <w:rPr>
          <w:spacing w:val="-3"/>
          <w:sz w:val="24"/>
        </w:rPr>
        <w:t> </w:t>
      </w:r>
      <w:r>
        <w:rPr>
          <w:sz w:val="24"/>
        </w:rPr>
        <w:t>supervisor</w:t>
      </w:r>
      <w:r>
        <w:rPr>
          <w:spacing w:val="-2"/>
          <w:sz w:val="24"/>
        </w:rPr>
        <w:t> </w:t>
      </w:r>
      <w:r>
        <w:rPr>
          <w:sz w:val="24"/>
        </w:rPr>
        <w:t>completes</w:t>
      </w:r>
      <w:r>
        <w:rPr>
          <w:spacing w:val="-3"/>
          <w:sz w:val="24"/>
        </w:rPr>
        <w:t> </w:t>
      </w:r>
      <w:r>
        <w:rPr>
          <w:sz w:val="24"/>
        </w:rPr>
        <w:t>Part</w:t>
      </w:r>
      <w:r>
        <w:rPr>
          <w:spacing w:val="-4"/>
          <w:sz w:val="24"/>
        </w:rPr>
        <w:t> </w:t>
      </w:r>
      <w:r>
        <w:rPr>
          <w:sz w:val="24"/>
        </w:rPr>
        <w:t>II</w:t>
      </w:r>
      <w:r>
        <w:rPr>
          <w:spacing w:val="-4"/>
          <w:sz w:val="24"/>
        </w:rPr>
        <w:t> </w:t>
      </w:r>
      <w:r>
        <w:rPr>
          <w:sz w:val="24"/>
        </w:rPr>
        <w:t>of</w:t>
      </w:r>
      <w:r>
        <w:rPr>
          <w:spacing w:val="-2"/>
          <w:sz w:val="24"/>
        </w:rPr>
        <w:t> </w:t>
      </w:r>
      <w:r>
        <w:rPr>
          <w:sz w:val="24"/>
        </w:rPr>
        <w:t>the</w:t>
      </w:r>
      <w:r>
        <w:rPr>
          <w:spacing w:val="-4"/>
          <w:sz w:val="24"/>
        </w:rPr>
        <w:t> </w:t>
      </w:r>
      <w:r>
        <w:rPr>
          <w:sz w:val="24"/>
        </w:rPr>
        <w:t>form</w:t>
      </w:r>
      <w:r>
        <w:rPr>
          <w:spacing w:val="-4"/>
          <w:sz w:val="24"/>
        </w:rPr>
        <w:t> </w:t>
      </w:r>
      <w:r>
        <w:rPr>
          <w:sz w:val="24"/>
        </w:rPr>
        <w:t>and</w:t>
      </w:r>
      <w:r>
        <w:rPr>
          <w:spacing w:val="-3"/>
          <w:sz w:val="24"/>
        </w:rPr>
        <w:t> </w:t>
      </w:r>
      <w:r>
        <w:rPr>
          <w:sz w:val="24"/>
        </w:rPr>
        <w:t>provides</w:t>
      </w:r>
      <w:r>
        <w:rPr>
          <w:spacing w:val="-3"/>
          <w:sz w:val="24"/>
        </w:rPr>
        <w:t> </w:t>
      </w:r>
      <w:r>
        <w:rPr>
          <w:sz w:val="24"/>
        </w:rPr>
        <w:t>a</w:t>
      </w:r>
      <w:r>
        <w:rPr>
          <w:spacing w:val="-3"/>
          <w:sz w:val="24"/>
        </w:rPr>
        <w:t> </w:t>
      </w:r>
      <w:r>
        <w:rPr>
          <w:sz w:val="24"/>
        </w:rPr>
        <w:t>copy</w:t>
      </w:r>
      <w:r>
        <w:rPr>
          <w:spacing w:val="-3"/>
          <w:sz w:val="24"/>
        </w:rPr>
        <w:t> </w:t>
      </w:r>
      <w:r>
        <w:rPr>
          <w:sz w:val="24"/>
        </w:rPr>
        <w:t>to</w:t>
      </w:r>
      <w:r>
        <w:rPr>
          <w:spacing w:val="-4"/>
          <w:sz w:val="24"/>
        </w:rPr>
        <w:t> </w:t>
      </w:r>
      <w:r>
        <w:rPr>
          <w:sz w:val="24"/>
        </w:rPr>
        <w:t>the employee and places a copy in the employee's unit file.</w:t>
      </w:r>
    </w:p>
    <w:p>
      <w:pPr>
        <w:pStyle w:val="ListParagraph"/>
        <w:numPr>
          <w:ilvl w:val="0"/>
          <w:numId w:val="60"/>
        </w:numPr>
        <w:tabs>
          <w:tab w:pos="1078" w:val="left" w:leader="none"/>
        </w:tabs>
        <w:spacing w:line="208" w:lineRule="auto" w:before="240" w:after="0"/>
        <w:ind w:left="792" w:right="854" w:firstLine="0"/>
        <w:jc w:val="left"/>
        <w:rPr>
          <w:sz w:val="24"/>
        </w:rPr>
      </w:pPr>
      <w:r>
        <w:rPr>
          <w:sz w:val="24"/>
        </w:rPr>
        <w:t>The selecting official completes and returns final selection recommendations in accordance</w:t>
      </w:r>
      <w:r>
        <w:rPr>
          <w:spacing w:val="-4"/>
          <w:sz w:val="24"/>
        </w:rPr>
        <w:t> </w:t>
      </w:r>
      <w:r>
        <w:rPr>
          <w:sz w:val="24"/>
        </w:rPr>
        <w:t>with</w:t>
      </w:r>
      <w:r>
        <w:rPr>
          <w:spacing w:val="-4"/>
          <w:sz w:val="24"/>
        </w:rPr>
        <w:t> </w:t>
      </w:r>
      <w:r>
        <w:rPr>
          <w:sz w:val="24"/>
        </w:rPr>
        <w:t>Instructions</w:t>
      </w:r>
      <w:r>
        <w:rPr>
          <w:spacing w:val="-4"/>
          <w:sz w:val="24"/>
        </w:rPr>
        <w:t> </w:t>
      </w:r>
      <w:r>
        <w:rPr>
          <w:sz w:val="24"/>
        </w:rPr>
        <w:t>to</w:t>
      </w:r>
      <w:r>
        <w:rPr>
          <w:spacing w:val="-4"/>
          <w:sz w:val="24"/>
        </w:rPr>
        <w:t> </w:t>
      </w:r>
      <w:r>
        <w:rPr>
          <w:sz w:val="24"/>
        </w:rPr>
        <w:t>Staff</w:t>
      </w:r>
      <w:r>
        <w:rPr>
          <w:spacing w:val="-3"/>
          <w:sz w:val="24"/>
        </w:rPr>
        <w:t> </w:t>
      </w:r>
      <w:r>
        <w:rPr>
          <w:sz w:val="24"/>
        </w:rPr>
        <w:t>on</w:t>
      </w:r>
      <w:r>
        <w:rPr>
          <w:spacing w:val="-5"/>
          <w:sz w:val="24"/>
        </w:rPr>
        <w:t> </w:t>
      </w:r>
      <w:r>
        <w:rPr>
          <w:sz w:val="24"/>
        </w:rPr>
        <w:t>the</w:t>
      </w:r>
      <w:r>
        <w:rPr>
          <w:spacing w:val="-4"/>
          <w:sz w:val="24"/>
        </w:rPr>
        <w:t> </w:t>
      </w:r>
      <w:r>
        <w:rPr>
          <w:sz w:val="24"/>
        </w:rPr>
        <w:t>DRS</w:t>
      </w:r>
      <w:r>
        <w:rPr>
          <w:spacing w:val="-4"/>
          <w:sz w:val="24"/>
        </w:rPr>
        <w:t> </w:t>
      </w:r>
      <w:r>
        <w:rPr>
          <w:sz w:val="24"/>
        </w:rPr>
        <w:t>Applicant</w:t>
      </w:r>
      <w:r>
        <w:rPr>
          <w:spacing w:val="-3"/>
          <w:sz w:val="24"/>
        </w:rPr>
        <w:t> </w:t>
      </w:r>
      <w:r>
        <w:rPr>
          <w:sz w:val="24"/>
        </w:rPr>
        <w:t>Log</w:t>
      </w:r>
      <w:r>
        <w:rPr>
          <w:spacing w:val="-4"/>
          <w:sz w:val="24"/>
        </w:rPr>
        <w:t> </w:t>
      </w:r>
      <w:r>
        <w:rPr>
          <w:sz w:val="24"/>
        </w:rPr>
        <w:t>form.</w:t>
      </w:r>
      <w:r>
        <w:rPr>
          <w:spacing w:val="-5"/>
          <w:sz w:val="24"/>
        </w:rPr>
        <w:t> </w:t>
      </w:r>
      <w:r>
        <w:rPr>
          <w:sz w:val="24"/>
        </w:rPr>
        <w:t>The</w:t>
      </w:r>
      <w:r>
        <w:rPr>
          <w:spacing w:val="-4"/>
          <w:sz w:val="24"/>
        </w:rPr>
        <w:t> </w:t>
      </w:r>
      <w:r>
        <w:rPr>
          <w:sz w:val="24"/>
        </w:rPr>
        <w:t>selecting official is also responsible for ensuring that the selected employee completes all necessary personnel enrollment forms, including payroll, insurance, retirement, longevity and the DRS Post-Employment Supplement form.</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4-28-</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tabs>
          <w:tab w:pos="1439" w:val="left" w:leader="none"/>
        </w:tabs>
        <w:spacing w:before="0"/>
        <w:ind w:left="359" w:right="6600" w:firstLine="1080"/>
        <w:jc w:val="left"/>
        <w:rPr>
          <w:sz w:val="22"/>
        </w:rPr>
      </w:pPr>
      <w:r>
        <w:rPr>
          <w:sz w:val="22"/>
        </w:rPr>
        <w:t>Emergency,</w:t>
      </w:r>
      <w:r>
        <w:rPr>
          <w:spacing w:val="-16"/>
          <w:sz w:val="22"/>
        </w:rPr>
        <w:t> </w:t>
      </w:r>
      <w:r>
        <w:rPr>
          <w:sz w:val="22"/>
        </w:rPr>
        <w:t>new</w:t>
      </w:r>
      <w:r>
        <w:rPr>
          <w:spacing w:val="-15"/>
          <w:sz w:val="22"/>
        </w:rPr>
        <w:t> </w:t>
      </w:r>
      <w:r>
        <w:rPr>
          <w:sz w:val="22"/>
        </w:rPr>
        <w:t>section </w:t>
      </w:r>
      <w:r>
        <w:rPr>
          <w:spacing w:val="-2"/>
          <w:sz w:val="22"/>
        </w:rPr>
        <w:t>7-1-96</w:t>
      </w:r>
      <w:r>
        <w:rPr>
          <w:sz w:val="22"/>
        </w:rPr>
        <w:tab/>
        <w:t>PT Memo #96-6</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4-28-95 </w:t>
      </w:r>
      <w:r>
        <w:rPr>
          <w:spacing w:val="-2"/>
          <w:sz w:val="22"/>
        </w:rPr>
        <w:t>7-1-97</w:t>
      </w:r>
      <w:r>
        <w:rPr>
          <w:sz w:val="22"/>
        </w:rPr>
        <w:tab/>
        <w:t>PT Memo #97-8</w:t>
      </w:r>
    </w:p>
    <w:p>
      <w:pPr>
        <w:tabs>
          <w:tab w:pos="1439" w:val="left" w:leader="none"/>
        </w:tabs>
        <w:spacing w:before="0"/>
        <w:ind w:left="359" w:right="867" w:firstLine="1080"/>
        <w:jc w:val="left"/>
        <w:rPr>
          <w:sz w:val="22"/>
        </w:rPr>
      </w:pPr>
      <w:r>
        <w:rPr>
          <w:sz w:val="22"/>
        </w:rPr>
        <w:t>Permanent,</w:t>
      </w:r>
      <w:r>
        <w:rPr>
          <w:spacing w:val="-4"/>
          <w:sz w:val="22"/>
        </w:rPr>
        <w:t> </w:t>
      </w:r>
      <w:r>
        <w:rPr>
          <w:sz w:val="22"/>
        </w:rPr>
        <w:t>Section</w:t>
      </w:r>
      <w:r>
        <w:rPr>
          <w:spacing w:val="-5"/>
          <w:sz w:val="22"/>
        </w:rPr>
        <w:t> </w:t>
      </w:r>
      <w:r>
        <w:rPr>
          <w:sz w:val="22"/>
        </w:rPr>
        <w:t>tagline</w:t>
      </w:r>
      <w:r>
        <w:rPr>
          <w:spacing w:val="-5"/>
          <w:sz w:val="22"/>
        </w:rPr>
        <w:t> </w:t>
      </w:r>
      <w:r>
        <w:rPr>
          <w:sz w:val="22"/>
        </w:rPr>
        <w:t>changed.</w:t>
      </w:r>
      <w:r>
        <w:rPr>
          <w:spacing w:val="-6"/>
          <w:sz w:val="22"/>
        </w:rPr>
        <w:t> </w:t>
      </w:r>
      <w:r>
        <w:rPr>
          <w:sz w:val="22"/>
        </w:rPr>
        <w:t>Promotional</w:t>
      </w:r>
      <w:r>
        <w:rPr>
          <w:spacing w:val="-5"/>
          <w:sz w:val="22"/>
        </w:rPr>
        <w:t> </w:t>
      </w:r>
      <w:r>
        <w:rPr>
          <w:sz w:val="22"/>
        </w:rPr>
        <w:t>plan</w:t>
      </w:r>
      <w:r>
        <w:rPr>
          <w:spacing w:val="-5"/>
          <w:sz w:val="22"/>
        </w:rPr>
        <w:t> </w:t>
      </w:r>
      <w:r>
        <w:rPr>
          <w:sz w:val="22"/>
        </w:rPr>
        <w:t>policy</w:t>
      </w:r>
      <w:r>
        <w:rPr>
          <w:spacing w:val="-5"/>
          <w:sz w:val="22"/>
        </w:rPr>
        <w:t> </w:t>
      </w:r>
      <w:r>
        <w:rPr>
          <w:sz w:val="22"/>
        </w:rPr>
        <w:t>moved</w:t>
      </w:r>
      <w:r>
        <w:rPr>
          <w:spacing w:val="-5"/>
          <w:sz w:val="22"/>
        </w:rPr>
        <w:t> </w:t>
      </w:r>
      <w:r>
        <w:rPr>
          <w:sz w:val="22"/>
        </w:rPr>
        <w:t>to</w:t>
      </w:r>
      <w:r>
        <w:rPr>
          <w:spacing w:val="-5"/>
          <w:sz w:val="22"/>
        </w:rPr>
        <w:t> </w:t>
      </w:r>
      <w:r>
        <w:rPr>
          <w:sz w:val="22"/>
        </w:rPr>
        <w:t>DRS:3-3-27 </w:t>
      </w:r>
      <w:r>
        <w:rPr>
          <w:spacing w:val="-2"/>
          <w:sz w:val="22"/>
        </w:rPr>
        <w:t>3-1-98</w:t>
      </w:r>
      <w:r>
        <w:rPr>
          <w:sz w:val="22"/>
        </w:rPr>
        <w:tab/>
        <w:t>PT Memo #98-11</w:t>
      </w:r>
    </w:p>
    <w:p>
      <w:pPr>
        <w:spacing w:line="252" w:lineRule="exact" w:before="0"/>
        <w:ind w:left="1439" w:right="0" w:firstLine="0"/>
        <w:jc w:val="left"/>
        <w:rPr>
          <w:sz w:val="22"/>
        </w:rPr>
      </w:pPr>
      <w:r>
        <w:rPr>
          <w:sz w:val="22"/>
        </w:rPr>
        <w:t>ITS</w:t>
      </w:r>
      <w:r>
        <w:rPr>
          <w:spacing w:val="-6"/>
          <w:sz w:val="22"/>
        </w:rPr>
        <w:t> </w:t>
      </w:r>
      <w:r>
        <w:rPr>
          <w:sz w:val="22"/>
        </w:rPr>
        <w:t>revised</w:t>
      </w:r>
      <w:r>
        <w:rPr>
          <w:spacing w:val="-7"/>
          <w:sz w:val="22"/>
        </w:rPr>
        <w:t> </w:t>
      </w:r>
      <w:r>
        <w:rPr>
          <w:sz w:val="22"/>
        </w:rPr>
        <w:t>to</w:t>
      </w:r>
      <w:r>
        <w:rPr>
          <w:spacing w:val="-6"/>
          <w:sz w:val="22"/>
        </w:rPr>
        <w:t> </w:t>
      </w:r>
      <w:r>
        <w:rPr>
          <w:sz w:val="22"/>
        </w:rPr>
        <w:t>formalize</w:t>
      </w:r>
      <w:r>
        <w:rPr>
          <w:spacing w:val="-7"/>
          <w:sz w:val="22"/>
        </w:rPr>
        <w:t> </w:t>
      </w:r>
      <w:r>
        <w:rPr>
          <w:sz w:val="22"/>
        </w:rPr>
        <w:t>written</w:t>
      </w:r>
      <w:r>
        <w:rPr>
          <w:spacing w:val="-6"/>
          <w:sz w:val="22"/>
        </w:rPr>
        <w:t> </w:t>
      </w:r>
      <w:r>
        <w:rPr>
          <w:sz w:val="22"/>
        </w:rPr>
        <w:t>designation</w:t>
      </w:r>
      <w:r>
        <w:rPr>
          <w:spacing w:val="-5"/>
          <w:sz w:val="22"/>
        </w:rPr>
        <w:t> </w:t>
      </w:r>
      <w:r>
        <w:rPr>
          <w:sz w:val="22"/>
        </w:rPr>
        <w:t>of</w:t>
      </w:r>
      <w:r>
        <w:rPr>
          <w:spacing w:val="-6"/>
          <w:sz w:val="22"/>
        </w:rPr>
        <w:t> </w:t>
      </w:r>
      <w:r>
        <w:rPr>
          <w:sz w:val="22"/>
        </w:rPr>
        <w:t>final</w:t>
      </w:r>
      <w:r>
        <w:rPr>
          <w:spacing w:val="-6"/>
          <w:sz w:val="22"/>
        </w:rPr>
        <w:t> </w:t>
      </w:r>
      <w:r>
        <w:rPr>
          <w:sz w:val="22"/>
        </w:rPr>
        <w:t>hiring</w:t>
      </w:r>
      <w:r>
        <w:rPr>
          <w:spacing w:val="-6"/>
          <w:sz w:val="22"/>
        </w:rPr>
        <w:t> </w:t>
      </w:r>
      <w:r>
        <w:rPr>
          <w:sz w:val="22"/>
        </w:rPr>
        <w:t>authority</w:t>
      </w:r>
      <w:r>
        <w:rPr>
          <w:spacing w:val="-6"/>
          <w:sz w:val="22"/>
        </w:rPr>
        <w:t> </w:t>
      </w:r>
      <w:r>
        <w:rPr>
          <w:sz w:val="22"/>
        </w:rPr>
        <w:t>by</w:t>
      </w:r>
      <w:r>
        <w:rPr>
          <w:spacing w:val="-6"/>
          <w:sz w:val="22"/>
        </w:rPr>
        <w:t> </w:t>
      </w:r>
      <w:r>
        <w:rPr>
          <w:sz w:val="22"/>
        </w:rPr>
        <w:t>the</w:t>
      </w:r>
      <w:r>
        <w:rPr>
          <w:spacing w:val="-6"/>
          <w:sz w:val="22"/>
        </w:rPr>
        <w:t> </w:t>
      </w:r>
      <w:r>
        <w:rPr>
          <w:spacing w:val="-2"/>
          <w:sz w:val="22"/>
        </w:rPr>
        <w:t>Director.</w:t>
      </w:r>
    </w:p>
    <w:p>
      <w:pPr>
        <w:tabs>
          <w:tab w:pos="1439" w:val="left" w:leader="none"/>
        </w:tabs>
        <w:spacing w:before="1"/>
        <w:ind w:left="359" w:right="0" w:firstLine="0"/>
        <w:jc w:val="left"/>
        <w:rPr>
          <w:sz w:val="22"/>
        </w:rPr>
      </w:pPr>
      <w:r>
        <w:rPr>
          <w:spacing w:val="-2"/>
          <w:sz w:val="22"/>
        </w:rPr>
        <w:t>7-1-</w:t>
      </w:r>
      <w:r>
        <w:rPr>
          <w:spacing w:val="-5"/>
          <w:sz w:val="22"/>
        </w:rPr>
        <w:t>99</w:t>
      </w:r>
      <w:r>
        <w:rPr>
          <w:sz w:val="22"/>
        </w:rPr>
        <w:tab/>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359" w:right="2177" w:firstLine="1080"/>
        <w:jc w:val="left"/>
        <w:rPr>
          <w:sz w:val="22"/>
        </w:rPr>
      </w:pPr>
      <w:r>
        <w:rPr>
          <w:sz w:val="22"/>
        </w:rPr>
        <w:t>Permanent,</w:t>
      </w:r>
      <w:r>
        <w:rPr>
          <w:spacing w:val="-5"/>
          <w:sz w:val="22"/>
        </w:rPr>
        <w:t> </w:t>
      </w:r>
      <w:r>
        <w:rPr>
          <w:sz w:val="22"/>
        </w:rPr>
        <w:t>updated</w:t>
      </w:r>
      <w:r>
        <w:rPr>
          <w:spacing w:val="-6"/>
          <w:sz w:val="22"/>
        </w:rPr>
        <w:t> </w:t>
      </w:r>
      <w:r>
        <w:rPr>
          <w:sz w:val="22"/>
        </w:rPr>
        <w:t>legal</w:t>
      </w:r>
      <w:r>
        <w:rPr>
          <w:spacing w:val="-6"/>
          <w:sz w:val="22"/>
        </w:rPr>
        <w:t> </w:t>
      </w:r>
      <w:r>
        <w:rPr>
          <w:sz w:val="22"/>
        </w:rPr>
        <w:t>reference</w:t>
      </w:r>
      <w:r>
        <w:rPr>
          <w:spacing w:val="-7"/>
          <w:sz w:val="22"/>
        </w:rPr>
        <w:t> </w:t>
      </w:r>
      <w:r>
        <w:rPr>
          <w:sz w:val="22"/>
        </w:rPr>
        <w:t>for</w:t>
      </w:r>
      <w:r>
        <w:rPr>
          <w:spacing w:val="-6"/>
          <w:sz w:val="22"/>
        </w:rPr>
        <w:t> </w:t>
      </w:r>
      <w:r>
        <w:rPr>
          <w:sz w:val="22"/>
        </w:rPr>
        <w:t>Oklahoma</w:t>
      </w:r>
      <w:r>
        <w:rPr>
          <w:spacing w:val="-6"/>
          <w:sz w:val="22"/>
        </w:rPr>
        <w:t> </w:t>
      </w:r>
      <w:r>
        <w:rPr>
          <w:sz w:val="22"/>
        </w:rPr>
        <w:t>Ethics</w:t>
      </w:r>
      <w:r>
        <w:rPr>
          <w:spacing w:val="-6"/>
          <w:sz w:val="22"/>
        </w:rPr>
        <w:t> </w:t>
      </w:r>
      <w:r>
        <w:rPr>
          <w:sz w:val="22"/>
        </w:rPr>
        <w:t>Commission </w:t>
      </w:r>
      <w:r>
        <w:rPr>
          <w:spacing w:val="-2"/>
          <w:sz w:val="22"/>
        </w:rPr>
        <w:t>1-1-00</w:t>
      </w:r>
      <w:r>
        <w:rPr>
          <w:sz w:val="22"/>
        </w:rPr>
        <w:tab/>
        <w:t>POL Memo #00-3</w:t>
      </w:r>
    </w:p>
    <w:p>
      <w:pPr>
        <w:tabs>
          <w:tab w:pos="1439" w:val="left" w:leader="none"/>
        </w:tabs>
        <w:spacing w:before="0"/>
        <w:ind w:left="359" w:right="2664" w:firstLine="1080"/>
        <w:jc w:val="left"/>
        <w:rPr>
          <w:sz w:val="22"/>
        </w:rPr>
      </w:pPr>
      <w:r>
        <w:rPr>
          <w:sz w:val="22"/>
        </w:rPr>
        <w:t>Emergency,</w:t>
      </w:r>
      <w:r>
        <w:rPr>
          <w:spacing w:val="-8"/>
          <w:sz w:val="22"/>
        </w:rPr>
        <w:t> </w:t>
      </w:r>
      <w:r>
        <w:rPr>
          <w:sz w:val="22"/>
        </w:rPr>
        <w:t>Class/Comp</w:t>
      </w:r>
      <w:r>
        <w:rPr>
          <w:spacing w:val="-8"/>
          <w:sz w:val="22"/>
        </w:rPr>
        <w:t> </w:t>
      </w:r>
      <w:r>
        <w:rPr>
          <w:sz w:val="22"/>
        </w:rPr>
        <w:t>changes,</w:t>
      </w:r>
      <w:r>
        <w:rPr>
          <w:spacing w:val="-9"/>
          <w:sz w:val="22"/>
        </w:rPr>
        <w:t> </w:t>
      </w:r>
      <w:r>
        <w:rPr>
          <w:sz w:val="22"/>
        </w:rPr>
        <w:t>Probationary</w:t>
      </w:r>
      <w:r>
        <w:rPr>
          <w:spacing w:val="-8"/>
          <w:sz w:val="22"/>
        </w:rPr>
        <w:t> </w:t>
      </w:r>
      <w:r>
        <w:rPr>
          <w:sz w:val="22"/>
        </w:rPr>
        <w:t>period</w:t>
      </w:r>
      <w:r>
        <w:rPr>
          <w:spacing w:val="-8"/>
          <w:sz w:val="22"/>
        </w:rPr>
        <w:t> </w:t>
      </w:r>
      <w:r>
        <w:rPr>
          <w:sz w:val="22"/>
        </w:rPr>
        <w:t>extended </w:t>
      </w:r>
      <w:r>
        <w:rPr>
          <w:spacing w:val="-2"/>
          <w:sz w:val="22"/>
        </w:rPr>
        <w:t>7-1-02</w:t>
      </w:r>
      <w:r>
        <w:rPr>
          <w:sz w:val="22"/>
        </w:rPr>
        <w:tab/>
        <w:t>POL Memo #02-02</w:t>
      </w:r>
    </w:p>
    <w:p>
      <w:pPr>
        <w:spacing w:before="0"/>
        <w:ind w:left="1439" w:right="739" w:firstLine="0"/>
        <w:jc w:val="left"/>
        <w:rPr>
          <w:sz w:val="22"/>
        </w:rPr>
      </w:pPr>
      <w:r>
        <w:rPr>
          <w:sz w:val="22"/>
        </w:rPr>
        <w:t>Permanent,</w:t>
      </w:r>
      <w:r>
        <w:rPr>
          <w:spacing w:val="-3"/>
          <w:sz w:val="22"/>
        </w:rPr>
        <w:t> </w:t>
      </w:r>
      <w:r>
        <w:rPr>
          <w:sz w:val="22"/>
        </w:rPr>
        <w:t>changes</w:t>
      </w:r>
      <w:r>
        <w:rPr>
          <w:spacing w:val="-4"/>
          <w:sz w:val="22"/>
        </w:rPr>
        <w:t> </w:t>
      </w:r>
      <w:r>
        <w:rPr>
          <w:sz w:val="22"/>
        </w:rPr>
        <w:t>required</w:t>
      </w:r>
      <w:r>
        <w:rPr>
          <w:spacing w:val="-4"/>
          <w:sz w:val="22"/>
        </w:rPr>
        <w:t> </w:t>
      </w:r>
      <w:r>
        <w:rPr>
          <w:sz w:val="22"/>
        </w:rPr>
        <w:t>by</w:t>
      </w:r>
      <w:r>
        <w:rPr>
          <w:spacing w:val="-4"/>
          <w:sz w:val="22"/>
        </w:rPr>
        <w:t> </w:t>
      </w:r>
      <w:r>
        <w:rPr>
          <w:sz w:val="22"/>
        </w:rPr>
        <w:t>the</w:t>
      </w:r>
      <w:r>
        <w:rPr>
          <w:spacing w:val="-5"/>
          <w:sz w:val="22"/>
        </w:rPr>
        <w:t> </w:t>
      </w:r>
      <w:r>
        <w:rPr>
          <w:sz w:val="22"/>
        </w:rPr>
        <w:t>Classification</w:t>
      </w:r>
      <w:r>
        <w:rPr>
          <w:spacing w:val="-4"/>
          <w:sz w:val="22"/>
        </w:rPr>
        <w:t> </w:t>
      </w:r>
      <w:r>
        <w:rPr>
          <w:sz w:val="22"/>
        </w:rPr>
        <w:t>and</w:t>
      </w:r>
      <w:r>
        <w:rPr>
          <w:spacing w:val="-4"/>
          <w:sz w:val="22"/>
        </w:rPr>
        <w:t> </w:t>
      </w:r>
      <w:r>
        <w:rPr>
          <w:sz w:val="22"/>
        </w:rPr>
        <w:t>Compensation</w:t>
      </w:r>
      <w:r>
        <w:rPr>
          <w:spacing w:val="-4"/>
          <w:sz w:val="22"/>
        </w:rPr>
        <w:t> </w:t>
      </w:r>
      <w:r>
        <w:rPr>
          <w:sz w:val="22"/>
        </w:rPr>
        <w:t>Reform</w:t>
      </w:r>
      <w:r>
        <w:rPr>
          <w:spacing w:val="-5"/>
          <w:sz w:val="22"/>
        </w:rPr>
        <w:t> </w:t>
      </w:r>
      <w:r>
        <w:rPr>
          <w:sz w:val="22"/>
        </w:rPr>
        <w:t>Act</w:t>
      </w:r>
      <w:r>
        <w:rPr>
          <w:spacing w:val="-4"/>
          <w:sz w:val="22"/>
        </w:rPr>
        <w:t> </w:t>
      </w:r>
      <w:r>
        <w:rPr>
          <w:sz w:val="22"/>
        </w:rPr>
        <w:t>of </w:t>
      </w:r>
      <w:r>
        <w:rPr>
          <w:spacing w:val="-4"/>
          <w:sz w:val="22"/>
        </w:rPr>
        <w:t>1999</w:t>
      </w:r>
    </w:p>
    <w:p>
      <w:pPr>
        <w:tabs>
          <w:tab w:pos="1439" w:val="left" w:leader="none"/>
        </w:tabs>
        <w:spacing w:before="0"/>
        <w:ind w:left="359" w:right="0" w:firstLine="0"/>
        <w:jc w:val="left"/>
        <w:rPr>
          <w:sz w:val="22"/>
        </w:rPr>
      </w:pPr>
      <w:r>
        <w:rPr>
          <w:spacing w:val="-2"/>
          <w:sz w:val="22"/>
        </w:rPr>
        <w:t>12-1-</w:t>
      </w:r>
      <w:r>
        <w:rPr>
          <w:spacing w:val="-5"/>
          <w:sz w:val="22"/>
        </w:rPr>
        <w:t>03</w:t>
      </w:r>
      <w:r>
        <w:rPr>
          <w:sz w:val="22"/>
        </w:rPr>
        <w:tab/>
        <w:t>POL</w:t>
      </w:r>
      <w:r>
        <w:rPr>
          <w:spacing w:val="-9"/>
          <w:sz w:val="22"/>
        </w:rPr>
        <w:t> </w:t>
      </w:r>
      <w:r>
        <w:rPr>
          <w:sz w:val="22"/>
        </w:rPr>
        <w:t>Memo</w:t>
      </w:r>
      <w:r>
        <w:rPr>
          <w:spacing w:val="-8"/>
          <w:sz w:val="22"/>
        </w:rPr>
        <w:t> </w:t>
      </w:r>
      <w:r>
        <w:rPr>
          <w:sz w:val="22"/>
        </w:rPr>
        <w:t>#04-</w:t>
      </w:r>
      <w:r>
        <w:rPr>
          <w:spacing w:val="-5"/>
          <w:sz w:val="22"/>
        </w:rPr>
        <w:t>02</w:t>
      </w:r>
    </w:p>
    <w:p>
      <w:pPr>
        <w:spacing w:after="0"/>
        <w:jc w:val="left"/>
        <w:rPr>
          <w:sz w:val="22"/>
        </w:rPr>
        <w:sectPr>
          <w:pgSz w:w="12240" w:h="15840"/>
          <w:pgMar w:top="1340" w:bottom="280" w:left="1080" w:right="720"/>
        </w:sectPr>
      </w:pPr>
    </w:p>
    <w:p>
      <w:pPr>
        <w:spacing w:before="80"/>
        <w:ind w:left="1440" w:right="954" w:firstLine="0"/>
        <w:jc w:val="left"/>
        <w:rPr>
          <w:sz w:val="22"/>
        </w:rPr>
      </w:pPr>
      <w:r>
        <w:rPr>
          <w:sz w:val="22"/>
        </w:rPr>
        <w:t>Permanent,</w:t>
      </w:r>
      <w:r>
        <w:rPr>
          <w:spacing w:val="-3"/>
          <w:sz w:val="22"/>
        </w:rPr>
        <w:t> </w:t>
      </w:r>
      <w:r>
        <w:rPr>
          <w:sz w:val="22"/>
        </w:rPr>
        <w:t>removed</w:t>
      </w:r>
      <w:r>
        <w:rPr>
          <w:spacing w:val="-4"/>
          <w:sz w:val="22"/>
        </w:rPr>
        <w:t> </w:t>
      </w:r>
      <w:r>
        <w:rPr>
          <w:sz w:val="22"/>
        </w:rPr>
        <w:t>#8</w:t>
      </w:r>
      <w:r>
        <w:rPr>
          <w:spacing w:val="-4"/>
          <w:sz w:val="22"/>
        </w:rPr>
        <w:t> </w:t>
      </w:r>
      <w:r>
        <w:rPr>
          <w:sz w:val="22"/>
        </w:rPr>
        <w:t>ITS</w:t>
      </w:r>
      <w:r>
        <w:rPr>
          <w:spacing w:val="-4"/>
          <w:sz w:val="22"/>
        </w:rPr>
        <w:t> </w:t>
      </w:r>
      <w:r>
        <w:rPr>
          <w:sz w:val="22"/>
        </w:rPr>
        <w:t>giving</w:t>
      </w:r>
      <w:r>
        <w:rPr>
          <w:spacing w:val="-4"/>
          <w:sz w:val="22"/>
        </w:rPr>
        <w:t> </w:t>
      </w:r>
      <w:r>
        <w:rPr>
          <w:sz w:val="22"/>
        </w:rPr>
        <w:t>Deputy</w:t>
      </w:r>
      <w:r>
        <w:rPr>
          <w:spacing w:val="-4"/>
          <w:sz w:val="22"/>
        </w:rPr>
        <w:t> </w:t>
      </w:r>
      <w:r>
        <w:rPr>
          <w:sz w:val="22"/>
        </w:rPr>
        <w:t>Director</w:t>
      </w:r>
      <w:r>
        <w:rPr>
          <w:spacing w:val="-4"/>
          <w:sz w:val="22"/>
        </w:rPr>
        <w:t> </w:t>
      </w:r>
      <w:r>
        <w:rPr>
          <w:sz w:val="22"/>
        </w:rPr>
        <w:t>final</w:t>
      </w:r>
      <w:r>
        <w:rPr>
          <w:spacing w:val="-4"/>
          <w:sz w:val="22"/>
        </w:rPr>
        <w:t> </w:t>
      </w:r>
      <w:r>
        <w:rPr>
          <w:sz w:val="22"/>
        </w:rPr>
        <w:t>hiring</w:t>
      </w:r>
      <w:r>
        <w:rPr>
          <w:spacing w:val="-4"/>
          <w:sz w:val="22"/>
        </w:rPr>
        <w:t> </w:t>
      </w:r>
      <w:r>
        <w:rPr>
          <w:sz w:val="22"/>
        </w:rPr>
        <w:t>authority.</w:t>
      </w:r>
      <w:r>
        <w:rPr>
          <w:spacing w:val="-4"/>
          <w:sz w:val="22"/>
        </w:rPr>
        <w:t> </w:t>
      </w:r>
      <w:r>
        <w:rPr>
          <w:sz w:val="22"/>
        </w:rPr>
        <w:t>(See</w:t>
      </w:r>
      <w:r>
        <w:rPr>
          <w:spacing w:val="-4"/>
          <w:sz w:val="22"/>
        </w:rPr>
        <w:t> </w:t>
      </w:r>
      <w:r>
        <w:rPr>
          <w:sz w:val="22"/>
        </w:rPr>
        <w:t>DIR: </w:t>
      </w:r>
      <w:r>
        <w:rPr>
          <w:spacing w:val="-2"/>
          <w:sz w:val="22"/>
        </w:rPr>
        <w:t>2004-0002)</w:t>
      </w:r>
    </w:p>
    <w:p>
      <w:pPr>
        <w:tabs>
          <w:tab w:pos="1439" w:val="left" w:leader="none"/>
        </w:tabs>
        <w:spacing w:line="252" w:lineRule="exact" w:before="0"/>
        <w:ind w:left="360" w:right="0" w:firstLine="0"/>
        <w:jc w:val="left"/>
        <w:rPr>
          <w:sz w:val="22"/>
        </w:rPr>
      </w:pPr>
      <w:r>
        <w:rPr>
          <w:spacing w:val="-2"/>
          <w:sz w:val="22"/>
        </w:rPr>
        <w:t>1-5-</w:t>
      </w:r>
      <w:r>
        <w:rPr>
          <w:spacing w:val="-5"/>
          <w:sz w:val="22"/>
        </w:rPr>
        <w:t>08</w:t>
      </w:r>
      <w:r>
        <w:rPr>
          <w:sz w:val="22"/>
        </w:rPr>
        <w:tab/>
        <w:t>POL</w:t>
      </w:r>
      <w:r>
        <w:rPr>
          <w:spacing w:val="-9"/>
          <w:sz w:val="22"/>
        </w:rPr>
        <w:t> </w:t>
      </w:r>
      <w:r>
        <w:rPr>
          <w:sz w:val="22"/>
        </w:rPr>
        <w:t>Memo</w:t>
      </w:r>
      <w:r>
        <w:rPr>
          <w:spacing w:val="-8"/>
          <w:sz w:val="22"/>
        </w:rPr>
        <w:t> </w:t>
      </w:r>
      <w:r>
        <w:rPr>
          <w:sz w:val="22"/>
        </w:rPr>
        <w:t>#09-</w:t>
      </w:r>
      <w:r>
        <w:rPr>
          <w:spacing w:val="-5"/>
          <w:sz w:val="22"/>
        </w:rPr>
        <w:t>08</w:t>
      </w:r>
    </w:p>
    <w:p>
      <w:pPr>
        <w:spacing w:before="0"/>
        <w:ind w:left="1439" w:right="0" w:firstLine="0"/>
        <w:jc w:val="left"/>
        <w:rPr>
          <w:sz w:val="22"/>
        </w:rPr>
      </w:pPr>
      <w:r>
        <w:rPr>
          <w:sz w:val="22"/>
        </w:rPr>
        <w:t>Permanent,</w:t>
      </w:r>
      <w:r>
        <w:rPr>
          <w:spacing w:val="-5"/>
          <w:sz w:val="22"/>
        </w:rPr>
        <w:t> </w:t>
      </w:r>
      <w:r>
        <w:rPr>
          <w:sz w:val="22"/>
        </w:rPr>
        <w:t>#4</w:t>
      </w:r>
      <w:r>
        <w:rPr>
          <w:spacing w:val="-5"/>
          <w:sz w:val="22"/>
        </w:rPr>
        <w:t> </w:t>
      </w:r>
      <w:r>
        <w:rPr>
          <w:sz w:val="22"/>
        </w:rPr>
        <w:t>ITS</w:t>
      </w:r>
      <w:r>
        <w:rPr>
          <w:spacing w:val="-5"/>
          <w:sz w:val="22"/>
        </w:rPr>
        <w:t> </w:t>
      </w:r>
      <w:r>
        <w:rPr>
          <w:sz w:val="22"/>
        </w:rPr>
        <w:t>changed</w:t>
      </w:r>
      <w:r>
        <w:rPr>
          <w:spacing w:val="-5"/>
          <w:sz w:val="22"/>
        </w:rPr>
        <w:t> </w:t>
      </w:r>
      <w:r>
        <w:rPr>
          <w:sz w:val="22"/>
        </w:rPr>
        <w:t>from</w:t>
      </w:r>
      <w:r>
        <w:rPr>
          <w:spacing w:val="-6"/>
          <w:sz w:val="22"/>
        </w:rPr>
        <w:t> </w:t>
      </w:r>
      <w:r>
        <w:rPr>
          <w:sz w:val="22"/>
        </w:rPr>
        <w:t>6</w:t>
      </w:r>
      <w:r>
        <w:rPr>
          <w:spacing w:val="-5"/>
          <w:sz w:val="22"/>
        </w:rPr>
        <w:t> </w:t>
      </w:r>
      <w:r>
        <w:rPr>
          <w:sz w:val="22"/>
        </w:rPr>
        <w:t>months</w:t>
      </w:r>
      <w:r>
        <w:rPr>
          <w:spacing w:val="-5"/>
          <w:sz w:val="22"/>
        </w:rPr>
        <w:t> </w:t>
      </w:r>
      <w:r>
        <w:rPr>
          <w:sz w:val="22"/>
        </w:rPr>
        <w:t>to</w:t>
      </w:r>
      <w:r>
        <w:rPr>
          <w:spacing w:val="-5"/>
          <w:sz w:val="22"/>
        </w:rPr>
        <w:t> </w:t>
      </w:r>
      <w:r>
        <w:rPr>
          <w:sz w:val="22"/>
        </w:rPr>
        <w:t>12</w:t>
      </w:r>
      <w:r>
        <w:rPr>
          <w:spacing w:val="-5"/>
          <w:sz w:val="22"/>
        </w:rPr>
        <w:t> </w:t>
      </w:r>
      <w:r>
        <w:rPr>
          <w:spacing w:val="-2"/>
          <w:sz w:val="22"/>
        </w:rPr>
        <w:t>months.</w:t>
      </w:r>
    </w:p>
    <w:p>
      <w:pPr>
        <w:tabs>
          <w:tab w:pos="1439" w:val="left" w:leader="none"/>
        </w:tabs>
        <w:spacing w:before="0"/>
        <w:ind w:left="360" w:right="0" w:firstLine="0"/>
        <w:jc w:val="left"/>
        <w:rPr>
          <w:sz w:val="22"/>
        </w:rPr>
      </w:pPr>
      <w:r>
        <w:rPr>
          <w:spacing w:val="-2"/>
          <w:sz w:val="22"/>
        </w:rPr>
        <w:t>5-20-</w:t>
      </w:r>
      <w:r>
        <w:rPr>
          <w:spacing w:val="-5"/>
          <w:sz w:val="22"/>
        </w:rPr>
        <w:t>09</w:t>
      </w:r>
      <w:r>
        <w:rPr>
          <w:sz w:val="22"/>
        </w:rPr>
        <w:tab/>
        <w:t>POL</w:t>
      </w:r>
      <w:r>
        <w:rPr>
          <w:spacing w:val="-9"/>
          <w:sz w:val="22"/>
        </w:rPr>
        <w:t> </w:t>
      </w:r>
      <w:r>
        <w:rPr>
          <w:sz w:val="22"/>
        </w:rPr>
        <w:t>Memo</w:t>
      </w:r>
      <w:r>
        <w:rPr>
          <w:spacing w:val="-8"/>
          <w:sz w:val="22"/>
        </w:rPr>
        <w:t> </w:t>
      </w:r>
      <w:r>
        <w:rPr>
          <w:sz w:val="22"/>
        </w:rPr>
        <w:t>#10-</w:t>
      </w:r>
      <w:r>
        <w:rPr>
          <w:spacing w:val="-5"/>
          <w:sz w:val="22"/>
        </w:rPr>
        <w:t>01</w:t>
      </w:r>
    </w:p>
    <w:p>
      <w:pPr>
        <w:spacing w:before="0"/>
        <w:ind w:left="1439" w:right="0" w:firstLine="0"/>
        <w:jc w:val="left"/>
        <w:rPr>
          <w:sz w:val="22"/>
        </w:rPr>
      </w:pPr>
      <w:r>
        <w:rPr>
          <w:sz w:val="22"/>
        </w:rPr>
        <w:t>Permanent,</w:t>
      </w:r>
      <w:r>
        <w:rPr>
          <w:spacing w:val="-5"/>
          <w:sz w:val="22"/>
        </w:rPr>
        <w:t> </w:t>
      </w:r>
      <w:r>
        <w:rPr>
          <w:sz w:val="22"/>
        </w:rPr>
        <w:t>#6</w:t>
      </w:r>
      <w:r>
        <w:rPr>
          <w:spacing w:val="-6"/>
          <w:sz w:val="22"/>
        </w:rPr>
        <w:t> </w:t>
      </w:r>
      <w:r>
        <w:rPr>
          <w:sz w:val="22"/>
        </w:rPr>
        <w:t>ITS</w:t>
      </w:r>
      <w:r>
        <w:rPr>
          <w:spacing w:val="-6"/>
          <w:sz w:val="22"/>
        </w:rPr>
        <w:t> </w:t>
      </w:r>
      <w:r>
        <w:rPr>
          <w:sz w:val="22"/>
        </w:rPr>
        <w:t>deleted</w:t>
      </w:r>
      <w:r>
        <w:rPr>
          <w:spacing w:val="-6"/>
          <w:sz w:val="22"/>
        </w:rPr>
        <w:t> </w:t>
      </w:r>
      <w:r>
        <w:rPr>
          <w:sz w:val="22"/>
        </w:rPr>
        <w:t>copy</w:t>
      </w:r>
      <w:r>
        <w:rPr>
          <w:spacing w:val="-6"/>
          <w:sz w:val="22"/>
        </w:rPr>
        <w:t> </w:t>
      </w:r>
      <w:r>
        <w:rPr>
          <w:sz w:val="22"/>
        </w:rPr>
        <w:t>being</w:t>
      </w:r>
      <w:r>
        <w:rPr>
          <w:spacing w:val="-6"/>
          <w:sz w:val="22"/>
        </w:rPr>
        <w:t> </w:t>
      </w:r>
      <w:r>
        <w:rPr>
          <w:sz w:val="22"/>
        </w:rPr>
        <w:t>sent</w:t>
      </w:r>
      <w:r>
        <w:rPr>
          <w:spacing w:val="-5"/>
          <w:sz w:val="22"/>
        </w:rPr>
        <w:t> </w:t>
      </w:r>
      <w:r>
        <w:rPr>
          <w:sz w:val="22"/>
        </w:rPr>
        <w:t>to</w:t>
      </w:r>
      <w:r>
        <w:rPr>
          <w:spacing w:val="-6"/>
          <w:sz w:val="22"/>
        </w:rPr>
        <w:t> </w:t>
      </w:r>
      <w:r>
        <w:rPr>
          <w:sz w:val="22"/>
        </w:rPr>
        <w:t>Human</w:t>
      </w:r>
      <w:r>
        <w:rPr>
          <w:spacing w:val="-6"/>
          <w:sz w:val="22"/>
        </w:rPr>
        <w:t> </w:t>
      </w:r>
      <w:r>
        <w:rPr>
          <w:spacing w:val="-2"/>
          <w:sz w:val="22"/>
        </w:rPr>
        <w:t>Resources.</w:t>
      </w:r>
    </w:p>
    <w:p>
      <w:pPr>
        <w:pStyle w:val="ListParagraph"/>
        <w:numPr>
          <w:ilvl w:val="2"/>
          <w:numId w:val="61"/>
        </w:numPr>
        <w:tabs>
          <w:tab w:pos="1439" w:val="left" w:leader="none"/>
        </w:tabs>
        <w:spacing w:line="240" w:lineRule="auto" w:before="1" w:after="0"/>
        <w:ind w:left="1439" w:right="0" w:hanging="1079"/>
        <w:jc w:val="left"/>
        <w:rPr>
          <w:sz w:val="22"/>
        </w:rPr>
      </w:pPr>
      <w:r>
        <w:rPr>
          <w:sz w:val="22"/>
        </w:rPr>
        <w:t>PT</w:t>
      </w:r>
      <w:r>
        <w:rPr>
          <w:spacing w:val="-8"/>
          <w:sz w:val="22"/>
        </w:rPr>
        <w:t> </w:t>
      </w:r>
      <w:r>
        <w:rPr>
          <w:sz w:val="22"/>
        </w:rPr>
        <w:t>Memo</w:t>
      </w:r>
      <w:r>
        <w:rPr>
          <w:spacing w:val="-8"/>
          <w:sz w:val="22"/>
        </w:rPr>
        <w:t> </w:t>
      </w:r>
      <w:r>
        <w:rPr>
          <w:sz w:val="22"/>
        </w:rPr>
        <w:t>#10-</w:t>
      </w:r>
      <w:r>
        <w:rPr>
          <w:spacing w:val="-5"/>
          <w:sz w:val="22"/>
        </w:rPr>
        <w:t>02</w:t>
      </w:r>
    </w:p>
    <w:p>
      <w:pPr>
        <w:spacing w:line="253" w:lineRule="exact" w:before="0"/>
        <w:ind w:left="1440" w:right="0" w:firstLine="0"/>
        <w:jc w:val="left"/>
        <w:rPr>
          <w:sz w:val="22"/>
        </w:rPr>
      </w:pPr>
      <w:r>
        <w:rPr>
          <w:sz w:val="22"/>
        </w:rPr>
        <w:t>Permanent,</w:t>
      </w:r>
      <w:r>
        <w:rPr>
          <w:spacing w:val="-9"/>
          <w:sz w:val="22"/>
        </w:rPr>
        <w:t> </w:t>
      </w:r>
      <w:r>
        <w:rPr>
          <w:sz w:val="22"/>
        </w:rPr>
        <w:t>Deleted</w:t>
      </w:r>
      <w:r>
        <w:rPr>
          <w:spacing w:val="-9"/>
          <w:sz w:val="22"/>
        </w:rPr>
        <w:t> </w:t>
      </w:r>
      <w:r>
        <w:rPr>
          <w:sz w:val="22"/>
        </w:rPr>
        <w:t>Fair</w:t>
      </w:r>
      <w:r>
        <w:rPr>
          <w:spacing w:val="-9"/>
          <w:sz w:val="22"/>
        </w:rPr>
        <w:t> </w:t>
      </w:r>
      <w:r>
        <w:rPr>
          <w:sz w:val="22"/>
        </w:rPr>
        <w:t>Employment</w:t>
      </w:r>
      <w:r>
        <w:rPr>
          <w:spacing w:val="-9"/>
          <w:sz w:val="22"/>
        </w:rPr>
        <w:t> </w:t>
      </w:r>
      <w:r>
        <w:rPr>
          <w:sz w:val="22"/>
        </w:rPr>
        <w:t>Practices</w:t>
      </w:r>
      <w:r>
        <w:rPr>
          <w:spacing w:val="-10"/>
          <w:sz w:val="22"/>
        </w:rPr>
        <w:t> </w:t>
      </w:r>
      <w:r>
        <w:rPr>
          <w:sz w:val="22"/>
        </w:rPr>
        <w:t>Act</w:t>
      </w:r>
      <w:r>
        <w:rPr>
          <w:spacing w:val="-9"/>
          <w:sz w:val="22"/>
        </w:rPr>
        <w:t> </w:t>
      </w:r>
      <w:r>
        <w:rPr>
          <w:spacing w:val="-2"/>
          <w:sz w:val="22"/>
        </w:rPr>
        <w:t>reference.</w:t>
      </w:r>
    </w:p>
    <w:p>
      <w:pPr>
        <w:tabs>
          <w:tab w:pos="1439" w:val="left" w:leader="none"/>
        </w:tabs>
        <w:spacing w:before="0"/>
        <w:ind w:left="1440" w:right="1331" w:hanging="1080"/>
        <w:jc w:val="left"/>
        <w:rPr>
          <w:sz w:val="22"/>
        </w:rPr>
      </w:pPr>
      <w:r>
        <w:rPr>
          <w:spacing w:val="-2"/>
          <w:sz w:val="22"/>
        </w:rPr>
        <w:t>9-12-14</w:t>
      </w:r>
      <w:r>
        <w:rPr>
          <w:sz w:val="22"/>
        </w:rPr>
        <w:tab/>
        <w:t>Updated</w:t>
      </w:r>
      <w:r>
        <w:rPr>
          <w:spacing w:val="-4"/>
          <w:sz w:val="22"/>
        </w:rPr>
        <w:t> </w:t>
      </w:r>
      <w:r>
        <w:rPr>
          <w:sz w:val="22"/>
        </w:rPr>
        <w:t>to</w:t>
      </w:r>
      <w:r>
        <w:rPr>
          <w:spacing w:val="-4"/>
          <w:sz w:val="22"/>
        </w:rPr>
        <w:t> </w:t>
      </w:r>
      <w:r>
        <w:rPr>
          <w:sz w:val="22"/>
        </w:rPr>
        <w:t>reflect</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Office</w:t>
      </w:r>
      <w:r>
        <w:rPr>
          <w:spacing w:val="-4"/>
          <w:sz w:val="22"/>
        </w:rPr>
        <w:t> </w:t>
      </w:r>
      <w:r>
        <w:rPr>
          <w:sz w:val="22"/>
        </w:rPr>
        <w:t>of</w:t>
      </w:r>
      <w:r>
        <w:rPr>
          <w:spacing w:val="-4"/>
          <w:sz w:val="22"/>
        </w:rPr>
        <w:t> </w:t>
      </w:r>
      <w:r>
        <w:rPr>
          <w:sz w:val="22"/>
        </w:rPr>
        <w:t>Personnel</w:t>
      </w:r>
      <w:r>
        <w:rPr>
          <w:spacing w:val="-4"/>
          <w:sz w:val="22"/>
        </w:rPr>
        <w:t> </w:t>
      </w:r>
      <w:r>
        <w:rPr>
          <w:sz w:val="22"/>
        </w:rPr>
        <w:t>Management</w:t>
      </w:r>
      <w:r>
        <w:rPr>
          <w:spacing w:val="-4"/>
          <w:sz w:val="22"/>
        </w:rPr>
        <w:t> </w:t>
      </w:r>
      <w:r>
        <w:rPr>
          <w:sz w:val="22"/>
        </w:rPr>
        <w:t>to</w:t>
      </w:r>
      <w:r>
        <w:rPr>
          <w:spacing w:val="-4"/>
          <w:sz w:val="22"/>
        </w:rPr>
        <w:t> </w:t>
      </w:r>
      <w:r>
        <w:rPr>
          <w:sz w:val="22"/>
        </w:rPr>
        <w:t>Human Capital Management (HCM).</w:t>
      </w:r>
    </w:p>
    <w:p>
      <w:pPr>
        <w:tabs>
          <w:tab w:pos="1439" w:val="left" w:leader="none"/>
        </w:tabs>
        <w:spacing w:before="0"/>
        <w:ind w:left="1439" w:right="1331" w:hanging="1080"/>
        <w:jc w:val="left"/>
        <w:rPr>
          <w:sz w:val="22"/>
        </w:rPr>
      </w:pPr>
      <w:r>
        <w:rPr>
          <w:spacing w:val="-2"/>
          <w:sz w:val="22"/>
        </w:rPr>
        <w:t>8-27-15</w:t>
      </w:r>
      <w:r>
        <w:rPr>
          <w:sz w:val="22"/>
        </w:rPr>
        <w:tab/>
        <w:t>Updated</w:t>
      </w:r>
      <w:r>
        <w:rPr>
          <w:spacing w:val="-4"/>
          <w:sz w:val="22"/>
        </w:rPr>
        <w:t> </w:t>
      </w:r>
      <w:r>
        <w:rPr>
          <w:sz w:val="22"/>
        </w:rPr>
        <w:t>to</w:t>
      </w:r>
      <w:r>
        <w:rPr>
          <w:spacing w:val="-4"/>
          <w:sz w:val="22"/>
        </w:rPr>
        <w:t> </w:t>
      </w:r>
      <w:r>
        <w:rPr>
          <w:sz w:val="22"/>
        </w:rPr>
        <w:t>reflect</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Office</w:t>
      </w:r>
      <w:r>
        <w:rPr>
          <w:spacing w:val="-4"/>
          <w:sz w:val="22"/>
        </w:rPr>
        <w:t> </w:t>
      </w:r>
      <w:r>
        <w:rPr>
          <w:sz w:val="22"/>
        </w:rPr>
        <w:t>of</w:t>
      </w:r>
      <w:r>
        <w:rPr>
          <w:spacing w:val="-4"/>
          <w:sz w:val="22"/>
        </w:rPr>
        <w:t> </w:t>
      </w:r>
      <w:r>
        <w:rPr>
          <w:sz w:val="22"/>
        </w:rPr>
        <w:t>Personnel</w:t>
      </w:r>
      <w:r>
        <w:rPr>
          <w:spacing w:val="-4"/>
          <w:sz w:val="22"/>
        </w:rPr>
        <w:t> </w:t>
      </w:r>
      <w:r>
        <w:rPr>
          <w:sz w:val="22"/>
        </w:rPr>
        <w:t>Management</w:t>
      </w:r>
      <w:r>
        <w:rPr>
          <w:spacing w:val="-4"/>
          <w:sz w:val="22"/>
        </w:rPr>
        <w:t> </w:t>
      </w:r>
      <w:r>
        <w:rPr>
          <w:sz w:val="22"/>
        </w:rPr>
        <w:t>to</w:t>
      </w:r>
      <w:r>
        <w:rPr>
          <w:spacing w:val="-4"/>
          <w:sz w:val="22"/>
        </w:rPr>
        <w:t> </w:t>
      </w:r>
      <w:r>
        <w:rPr>
          <w:sz w:val="22"/>
        </w:rPr>
        <w:t>Human Capital Management (HCM).</w:t>
      </w:r>
    </w:p>
    <w:p>
      <w:pPr>
        <w:tabs>
          <w:tab w:pos="1439" w:val="left" w:leader="none"/>
        </w:tabs>
        <w:spacing w:before="0"/>
        <w:ind w:left="1439" w:right="854" w:hanging="1080"/>
        <w:jc w:val="left"/>
        <w:rPr>
          <w:sz w:val="22"/>
        </w:rPr>
      </w:pPr>
      <w:r>
        <w:rPr>
          <w:spacing w:val="-2"/>
          <w:sz w:val="22"/>
        </w:rPr>
        <w:t>9-14-18</w:t>
      </w:r>
      <w:r>
        <w:rPr>
          <w:sz w:val="22"/>
        </w:rPr>
        <w:tab/>
        <w:t>Changes</w:t>
      </w:r>
      <w:r>
        <w:rPr>
          <w:spacing w:val="-4"/>
          <w:sz w:val="22"/>
        </w:rPr>
        <w:t> </w:t>
      </w:r>
      <w:r>
        <w:rPr>
          <w:sz w:val="22"/>
        </w:rPr>
        <w:t>to</w:t>
      </w:r>
      <w:r>
        <w:rPr>
          <w:spacing w:val="-4"/>
          <w:sz w:val="22"/>
        </w:rPr>
        <w:t> </w:t>
      </w:r>
      <w:r>
        <w:rPr>
          <w:sz w:val="22"/>
        </w:rPr>
        <w:t>clarify</w:t>
      </w:r>
      <w:r>
        <w:rPr>
          <w:spacing w:val="-5"/>
          <w:sz w:val="22"/>
        </w:rPr>
        <w:t> </w:t>
      </w:r>
      <w:r>
        <w:rPr>
          <w:sz w:val="22"/>
        </w:rPr>
        <w:t>career</w:t>
      </w:r>
      <w:r>
        <w:rPr>
          <w:spacing w:val="-4"/>
          <w:sz w:val="22"/>
        </w:rPr>
        <w:t> </w:t>
      </w:r>
      <w:r>
        <w:rPr>
          <w:sz w:val="22"/>
        </w:rPr>
        <w:t>progression</w:t>
      </w:r>
      <w:r>
        <w:rPr>
          <w:spacing w:val="-4"/>
          <w:sz w:val="22"/>
        </w:rPr>
        <w:t> </w:t>
      </w:r>
      <w:r>
        <w:rPr>
          <w:sz w:val="22"/>
        </w:rPr>
        <w:t>to</w:t>
      </w:r>
      <w:r>
        <w:rPr>
          <w:spacing w:val="-4"/>
          <w:sz w:val="22"/>
        </w:rPr>
        <w:t> </w:t>
      </w:r>
      <w:r>
        <w:rPr>
          <w:sz w:val="22"/>
        </w:rPr>
        <w:t>supervisory</w:t>
      </w:r>
      <w:r>
        <w:rPr>
          <w:spacing w:val="-4"/>
          <w:sz w:val="22"/>
        </w:rPr>
        <w:t> </w:t>
      </w:r>
      <w:r>
        <w:rPr>
          <w:sz w:val="22"/>
        </w:rPr>
        <w:t>levels,</w:t>
      </w:r>
      <w:r>
        <w:rPr>
          <w:spacing w:val="-5"/>
          <w:sz w:val="22"/>
        </w:rPr>
        <w:t> </w:t>
      </w:r>
      <w:r>
        <w:rPr>
          <w:sz w:val="22"/>
        </w:rPr>
        <w:t>employment</w:t>
      </w:r>
      <w:r>
        <w:rPr>
          <w:spacing w:val="-3"/>
          <w:sz w:val="22"/>
        </w:rPr>
        <w:t> </w:t>
      </w:r>
      <w:r>
        <w:rPr>
          <w:sz w:val="22"/>
        </w:rPr>
        <w:t>application process and probationary period guidelines to meet current merit rules.</w:t>
      </w:r>
    </w:p>
    <w:p>
      <w:pPr>
        <w:spacing w:after="0"/>
        <w:jc w:val="left"/>
        <w:rPr>
          <w:sz w:val="22"/>
        </w:rPr>
        <w:sectPr>
          <w:pgSz w:w="12240" w:h="15840"/>
          <w:pgMar w:top="1360" w:bottom="280" w:left="1080" w:right="720"/>
        </w:sectPr>
      </w:pPr>
    </w:p>
    <w:p>
      <w:pPr>
        <w:pStyle w:val="Heading1"/>
        <w:ind w:left="0" w:right="0"/>
      </w:pPr>
      <w:bookmarkStart w:name="CHAPTER 5.  MANAGEMENT SERVICES DIVISION" w:id="86"/>
      <w:bookmarkEnd w:id="86"/>
      <w:r>
        <w:rPr>
          <w:b w:val="0"/>
        </w:rPr>
      </w:r>
      <w:r>
        <w:rPr/>
        <w:t>CHAPTER</w:t>
      </w:r>
      <w:r>
        <w:rPr>
          <w:spacing w:val="-3"/>
        </w:rPr>
        <w:t> </w:t>
      </w:r>
      <w:r>
        <w:rPr/>
        <w:t>5.</w:t>
      </w:r>
      <w:r>
        <w:rPr>
          <w:spacing w:val="61"/>
        </w:rPr>
        <w:t> </w:t>
      </w:r>
      <w:r>
        <w:rPr/>
        <w:t>MANAGEMENT</w:t>
      </w:r>
      <w:r>
        <w:rPr>
          <w:spacing w:val="-3"/>
        </w:rPr>
        <w:t> </w:t>
      </w:r>
      <w:r>
        <w:rPr/>
        <w:t>SERVICES</w:t>
      </w:r>
      <w:r>
        <w:rPr>
          <w:spacing w:val="-2"/>
        </w:rPr>
        <w:t> DIVISION</w:t>
      </w:r>
    </w:p>
    <w:p>
      <w:pPr>
        <w:pStyle w:val="BodyText"/>
        <w:tabs>
          <w:tab w:pos="8279" w:val="left" w:leader="none"/>
        </w:tabs>
        <w:spacing w:before="204"/>
      </w:pPr>
      <w:r>
        <w:rPr>
          <w:spacing w:val="-2"/>
        </w:rPr>
        <w:t>Subchapter</w:t>
      </w:r>
      <w:r>
        <w:rPr/>
        <w:tab/>
      </w:r>
      <w:r>
        <w:rPr>
          <w:spacing w:val="-2"/>
        </w:rPr>
        <w:t>Section</w:t>
      </w:r>
    </w:p>
    <w:p>
      <w:pPr>
        <w:pStyle w:val="BodyText"/>
        <w:tabs>
          <w:tab w:pos="1079" w:val="left" w:leader="none"/>
          <w:tab w:pos="8279" w:val="left" w:leader="none"/>
        </w:tabs>
        <w:spacing w:before="204"/>
      </w:pPr>
      <w:r>
        <w:rPr>
          <w:spacing w:val="-5"/>
        </w:rPr>
        <w:t>1.</w:t>
      </w:r>
      <w:r>
        <w:rPr/>
        <w:tab/>
        <w:t>General</w:t>
      </w:r>
      <w:r>
        <w:rPr>
          <w:spacing w:val="-5"/>
        </w:rPr>
        <w:t> </w:t>
      </w:r>
      <w:r>
        <w:rPr>
          <w:spacing w:val="-2"/>
        </w:rPr>
        <w:t>provisions</w:t>
      </w:r>
      <w:r>
        <w:rPr/>
        <w:tab/>
      </w:r>
      <w:r>
        <w:rPr>
          <w:spacing w:val="-2"/>
        </w:rPr>
        <w:t>612:5-1-</w:t>
      </w:r>
      <w:r>
        <w:rPr>
          <w:spacing w:val="-10"/>
        </w:rPr>
        <w:t>1</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10</w:t>
      </w:r>
      <w:r>
        <w:rPr>
          <w:sz w:val="22"/>
        </w:rPr>
        <w:tab/>
        <w:t>PT</w:t>
      </w:r>
      <w:r>
        <w:rPr>
          <w:spacing w:val="-4"/>
          <w:sz w:val="22"/>
        </w:rPr>
        <w:t> Memo</w:t>
      </w:r>
    </w:p>
    <w:p>
      <w:pPr>
        <w:spacing w:line="253" w:lineRule="exact" w:before="0"/>
        <w:ind w:left="1439" w:right="0" w:firstLine="0"/>
        <w:jc w:val="left"/>
        <w:rPr>
          <w:sz w:val="22"/>
        </w:rPr>
      </w:pPr>
      <w:r>
        <w:rPr>
          <w:sz w:val="22"/>
        </w:rPr>
        <w:t>Permanent</w:t>
      </w:r>
      <w:r>
        <w:rPr>
          <w:spacing w:val="-13"/>
          <w:sz w:val="22"/>
        </w:rPr>
        <w:t> </w:t>
      </w:r>
      <w:r>
        <w:rPr>
          <w:spacing w:val="-4"/>
          <w:sz w:val="22"/>
        </w:rPr>
        <w:t>rule</w:t>
      </w:r>
    </w:p>
    <w:p>
      <w:pPr>
        <w:spacing w:after="0" w:line="253" w:lineRule="exact"/>
        <w:jc w:val="left"/>
        <w:rPr>
          <w:sz w:val="22"/>
        </w:rPr>
        <w:sectPr>
          <w:pgSz w:w="12240" w:h="15840"/>
          <w:pgMar w:top="1340" w:bottom="280" w:left="1080" w:right="720"/>
        </w:sectPr>
      </w:pPr>
    </w:p>
    <w:p>
      <w:pPr>
        <w:pStyle w:val="Heading2"/>
      </w:pPr>
      <w:bookmarkStart w:name="612:5-1-1.  Purpose for Financial Policy" w:id="87"/>
      <w:bookmarkEnd w:id="87"/>
      <w:r>
        <w:rPr>
          <w:b w:val="0"/>
        </w:rPr>
      </w:r>
      <w:r>
        <w:rPr/>
        <w:t>612:5-1-1.</w:t>
      </w:r>
      <w:r>
        <w:rPr>
          <w:spacing w:val="59"/>
        </w:rPr>
        <w:t> </w:t>
      </w:r>
      <w:r>
        <w:rPr/>
        <w:t>Purpose</w:t>
      </w:r>
      <w:r>
        <w:rPr>
          <w:spacing w:val="-4"/>
        </w:rPr>
        <w:t> </w:t>
      </w:r>
      <w:r>
        <w:rPr/>
        <w:t>for</w:t>
      </w:r>
      <w:r>
        <w:rPr>
          <w:spacing w:val="-3"/>
        </w:rPr>
        <w:t> </w:t>
      </w:r>
      <w:r>
        <w:rPr/>
        <w:t>Financial</w:t>
      </w:r>
      <w:r>
        <w:rPr>
          <w:spacing w:val="-3"/>
        </w:rPr>
        <w:t> </w:t>
      </w:r>
      <w:r>
        <w:rPr>
          <w:spacing w:val="-2"/>
        </w:rPr>
        <w:t>Policy</w:t>
      </w:r>
    </w:p>
    <w:p>
      <w:pPr>
        <w:pStyle w:val="BodyText"/>
        <w:spacing w:line="208" w:lineRule="auto" w:before="233"/>
        <w:ind w:left="359" w:right="775" w:firstLine="432"/>
      </w:pPr>
      <w:r>
        <w:rPr/>
        <w:t>The purpose is to set forth the policies and procedures governing the Financial Services Division of the Department of Rehabilitation Services (the agency). Authority for</w:t>
      </w:r>
      <w:r>
        <w:rPr>
          <w:spacing w:val="-2"/>
        </w:rPr>
        <w:t> </w:t>
      </w:r>
      <w:r>
        <w:rPr/>
        <w:t>the</w:t>
      </w:r>
      <w:r>
        <w:rPr>
          <w:spacing w:val="-3"/>
        </w:rPr>
        <w:t> </w:t>
      </w:r>
      <w:r>
        <w:rPr/>
        <w:t>policies</w:t>
      </w:r>
      <w:r>
        <w:rPr>
          <w:spacing w:val="-3"/>
        </w:rPr>
        <w:t> </w:t>
      </w:r>
      <w:r>
        <w:rPr/>
        <w:t>contained</w:t>
      </w:r>
      <w:r>
        <w:rPr>
          <w:spacing w:val="-3"/>
        </w:rPr>
        <w:t> </w:t>
      </w:r>
      <w:r>
        <w:rPr/>
        <w:t>herein</w:t>
      </w:r>
      <w:r>
        <w:rPr>
          <w:spacing w:val="-2"/>
        </w:rPr>
        <w:t> </w:t>
      </w:r>
      <w:r>
        <w:rPr/>
        <w:t>derive</w:t>
      </w:r>
      <w:r>
        <w:rPr>
          <w:spacing w:val="-3"/>
        </w:rPr>
        <w:t> </w:t>
      </w:r>
      <w:r>
        <w:rPr/>
        <w:t>from</w:t>
      </w:r>
      <w:r>
        <w:rPr>
          <w:spacing w:val="-4"/>
        </w:rPr>
        <w:t> </w:t>
      </w:r>
      <w:r>
        <w:rPr/>
        <w:t>enabling</w:t>
      </w:r>
      <w:r>
        <w:rPr>
          <w:spacing w:val="-3"/>
        </w:rPr>
        <w:t> </w:t>
      </w:r>
      <w:r>
        <w:rPr/>
        <w:t>legislation</w:t>
      </w:r>
      <w:r>
        <w:rPr>
          <w:spacing w:val="-3"/>
        </w:rPr>
        <w:t> </w:t>
      </w:r>
      <w:r>
        <w:rPr/>
        <w:t>for</w:t>
      </w:r>
      <w:r>
        <w:rPr>
          <w:spacing w:val="-2"/>
        </w:rPr>
        <w:t> </w:t>
      </w:r>
      <w:r>
        <w:rPr/>
        <w:t>the</w:t>
      </w:r>
      <w:r>
        <w:rPr>
          <w:spacing w:val="-3"/>
        </w:rPr>
        <w:t> </w:t>
      </w:r>
      <w:r>
        <w:rPr/>
        <w:t>agency,</w:t>
      </w:r>
      <w:r>
        <w:rPr>
          <w:spacing w:val="-2"/>
        </w:rPr>
        <w:t> </w:t>
      </w:r>
      <w:r>
        <w:rPr/>
        <w:t>Title</w:t>
      </w:r>
      <w:r>
        <w:rPr>
          <w:spacing w:val="-3"/>
        </w:rPr>
        <w:t> </w:t>
      </w:r>
      <w:r>
        <w:rPr/>
        <w:t>74</w:t>
      </w:r>
    </w:p>
    <w:p>
      <w:pPr>
        <w:pStyle w:val="BodyText"/>
        <w:spacing w:line="228" w:lineRule="exact" w:before="0"/>
        <w:ind w:left="359"/>
      </w:pPr>
      <w:r>
        <w:rPr/>
        <w:t>O.S.</w:t>
      </w:r>
      <w:r>
        <w:rPr>
          <w:spacing w:val="-5"/>
        </w:rPr>
        <w:t> </w:t>
      </w:r>
      <w:r>
        <w:rPr/>
        <w:t>§166.1,</w:t>
      </w:r>
      <w:r>
        <w:rPr>
          <w:spacing w:val="-3"/>
        </w:rPr>
        <w:t> </w:t>
      </w:r>
      <w:r>
        <w:rPr/>
        <w:t>et</w:t>
      </w:r>
      <w:r>
        <w:rPr>
          <w:spacing w:val="-3"/>
        </w:rPr>
        <w:t> </w:t>
      </w:r>
      <w:r>
        <w:rPr/>
        <w:t>seq.,</w:t>
      </w:r>
      <w:r>
        <w:rPr>
          <w:spacing w:val="-5"/>
        </w:rPr>
        <w:t> </w:t>
      </w:r>
      <w:r>
        <w:rPr/>
        <w:t>and</w:t>
      </w:r>
      <w:r>
        <w:rPr>
          <w:spacing w:val="-4"/>
        </w:rPr>
        <w:t> </w:t>
      </w:r>
      <w:r>
        <w:rPr/>
        <w:t>legislation</w:t>
      </w:r>
      <w:r>
        <w:rPr>
          <w:spacing w:val="-3"/>
        </w:rPr>
        <w:t> </w:t>
      </w:r>
      <w:r>
        <w:rPr/>
        <w:t>governing</w:t>
      </w:r>
      <w:r>
        <w:rPr>
          <w:spacing w:val="-4"/>
        </w:rPr>
        <w:t> </w:t>
      </w:r>
      <w:r>
        <w:rPr/>
        <w:t>public</w:t>
      </w:r>
      <w:r>
        <w:rPr>
          <w:spacing w:val="-4"/>
        </w:rPr>
        <w:t> </w:t>
      </w:r>
      <w:r>
        <w:rPr/>
        <w:t>finance,</w:t>
      </w:r>
      <w:r>
        <w:rPr>
          <w:spacing w:val="-3"/>
        </w:rPr>
        <w:t> </w:t>
      </w:r>
      <w:r>
        <w:rPr/>
        <w:t>Oklahoma</w:t>
      </w:r>
      <w:r>
        <w:rPr>
          <w:spacing w:val="-4"/>
        </w:rPr>
        <w:t> </w:t>
      </w:r>
      <w:r>
        <w:rPr/>
        <w:t>Statutes</w:t>
      </w:r>
      <w:r>
        <w:rPr>
          <w:spacing w:val="-3"/>
        </w:rPr>
        <w:t> </w:t>
      </w:r>
      <w:r>
        <w:rPr>
          <w:spacing w:val="-2"/>
        </w:rPr>
        <w:t>Title</w:t>
      </w:r>
    </w:p>
    <w:p>
      <w:pPr>
        <w:pStyle w:val="BodyText"/>
        <w:spacing w:line="208" w:lineRule="auto" w:before="11"/>
        <w:ind w:left="359" w:right="1036"/>
      </w:pPr>
      <w:r>
        <w:rPr/>
        <w:t>62. This is also based upon rules published by the Office of Management and Enterprise</w:t>
      </w:r>
      <w:r>
        <w:rPr>
          <w:spacing w:val="-4"/>
        </w:rPr>
        <w:t> </w:t>
      </w:r>
      <w:r>
        <w:rPr/>
        <w:t>Services,</w:t>
      </w:r>
      <w:r>
        <w:rPr>
          <w:spacing w:val="-3"/>
        </w:rPr>
        <w:t> </w:t>
      </w:r>
      <w:r>
        <w:rPr/>
        <w:t>Oklahoma</w:t>
      </w:r>
      <w:r>
        <w:rPr>
          <w:spacing w:val="-4"/>
        </w:rPr>
        <w:t> </w:t>
      </w:r>
      <w:r>
        <w:rPr/>
        <w:t>Administrative</w:t>
      </w:r>
      <w:r>
        <w:rPr>
          <w:spacing w:val="-4"/>
        </w:rPr>
        <w:t> </w:t>
      </w:r>
      <w:r>
        <w:rPr/>
        <w:t>Code</w:t>
      </w:r>
      <w:r>
        <w:rPr>
          <w:spacing w:val="-4"/>
        </w:rPr>
        <w:t> </w:t>
      </w:r>
      <w:r>
        <w:rPr/>
        <w:t>Title</w:t>
      </w:r>
      <w:r>
        <w:rPr>
          <w:spacing w:val="-4"/>
        </w:rPr>
        <w:t> </w:t>
      </w:r>
      <w:r>
        <w:rPr/>
        <w:t>260.</w:t>
      </w:r>
      <w:r>
        <w:rPr>
          <w:spacing w:val="-3"/>
        </w:rPr>
        <w:t> </w:t>
      </w:r>
      <w:r>
        <w:rPr/>
        <w:t>In</w:t>
      </w:r>
      <w:r>
        <w:rPr>
          <w:spacing w:val="-5"/>
        </w:rPr>
        <w:t> </w:t>
      </w:r>
      <w:r>
        <w:rPr/>
        <w:t>good</w:t>
      </w:r>
      <w:r>
        <w:rPr>
          <w:spacing w:val="-4"/>
        </w:rPr>
        <w:t> </w:t>
      </w:r>
      <w:r>
        <w:rPr/>
        <w:t>faith,</w:t>
      </w:r>
      <w:r>
        <w:rPr>
          <w:spacing w:val="-3"/>
        </w:rPr>
        <w:t> </w:t>
      </w:r>
      <w:r>
        <w:rPr/>
        <w:t>these policies reproduce Office of Management and Enterprise Services Requirements.</w:t>
      </w:r>
    </w:p>
    <w:p>
      <w:pPr>
        <w:spacing w:before="244"/>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62"/>
        </w:numPr>
        <w:tabs>
          <w:tab w:pos="1439" w:val="left" w:leader="none"/>
        </w:tabs>
        <w:spacing w:line="253" w:lineRule="exact" w:before="0" w:after="0"/>
        <w:ind w:left="1439" w:right="0" w:hanging="1079"/>
        <w:jc w:val="left"/>
        <w:rPr>
          <w:sz w:val="22"/>
        </w:rPr>
      </w:pPr>
      <w:r>
        <w:rPr>
          <w:sz w:val="22"/>
        </w:rPr>
        <w:t>PT</w:t>
      </w:r>
      <w:r>
        <w:rPr>
          <w:spacing w:val="-4"/>
          <w:sz w:val="22"/>
        </w:rPr>
        <w:t> Memo</w:t>
      </w:r>
    </w:p>
    <w:p>
      <w:pPr>
        <w:spacing w:line="253" w:lineRule="exact" w:before="0"/>
        <w:ind w:left="1439" w:right="0" w:firstLine="0"/>
        <w:jc w:val="left"/>
        <w:rPr>
          <w:sz w:val="22"/>
        </w:rPr>
      </w:pPr>
      <w:r>
        <w:rPr>
          <w:sz w:val="22"/>
        </w:rPr>
        <w:t>Permanent</w:t>
      </w:r>
      <w:r>
        <w:rPr>
          <w:spacing w:val="-13"/>
          <w:sz w:val="22"/>
        </w:rPr>
        <w:t> </w:t>
      </w:r>
      <w:r>
        <w:rPr>
          <w:spacing w:val="-4"/>
          <w:sz w:val="22"/>
        </w:rPr>
        <w:t>rule</w:t>
      </w:r>
    </w:p>
    <w:p>
      <w:pPr>
        <w:tabs>
          <w:tab w:pos="1439" w:val="left" w:leader="none"/>
        </w:tabs>
        <w:spacing w:before="0"/>
        <w:ind w:left="360" w:right="0" w:firstLine="0"/>
        <w:jc w:val="left"/>
        <w:rPr>
          <w:sz w:val="22"/>
        </w:rPr>
      </w:pPr>
      <w:r>
        <w:rPr>
          <w:spacing w:val="-2"/>
          <w:sz w:val="22"/>
        </w:rPr>
        <w:t>9-12-</w:t>
      </w:r>
      <w:r>
        <w:rPr>
          <w:spacing w:val="-5"/>
          <w:sz w:val="22"/>
        </w:rPr>
        <w:t>14</w:t>
      </w:r>
      <w:r>
        <w:rPr>
          <w:sz w:val="22"/>
        </w:rPr>
        <w:tab/>
        <w:t>Amended,</w:t>
      </w:r>
      <w:r>
        <w:rPr>
          <w:spacing w:val="-11"/>
          <w:sz w:val="22"/>
        </w:rPr>
        <w:t> </w:t>
      </w:r>
      <w:r>
        <w:rPr>
          <w:sz w:val="22"/>
        </w:rPr>
        <w:t>removed</w:t>
      </w:r>
      <w:r>
        <w:rPr>
          <w:spacing w:val="-10"/>
          <w:sz w:val="22"/>
        </w:rPr>
        <w:t> </w:t>
      </w:r>
      <w:r>
        <w:rPr>
          <w:sz w:val="22"/>
        </w:rPr>
        <w:t>antiquated</w:t>
      </w:r>
      <w:r>
        <w:rPr>
          <w:spacing w:val="-10"/>
          <w:sz w:val="22"/>
        </w:rPr>
        <w:t> </w:t>
      </w:r>
      <w:r>
        <w:rPr>
          <w:spacing w:val="-2"/>
          <w:sz w:val="22"/>
        </w:rPr>
        <w:t>language.</w:t>
      </w:r>
    </w:p>
    <w:p>
      <w:pPr>
        <w:spacing w:after="0"/>
        <w:jc w:val="left"/>
        <w:rPr>
          <w:sz w:val="22"/>
        </w:rPr>
        <w:sectPr>
          <w:pgSz w:w="12240" w:h="15840"/>
          <w:pgMar w:top="1340" w:bottom="280" w:left="1080" w:right="720"/>
        </w:sectPr>
      </w:pPr>
    </w:p>
    <w:p>
      <w:pPr>
        <w:pStyle w:val="Heading2"/>
      </w:pPr>
      <w:bookmarkStart w:name="612:5-1-2. Mission of the Financial Serv" w:id="88"/>
      <w:bookmarkEnd w:id="88"/>
      <w:r>
        <w:rPr>
          <w:b w:val="0"/>
        </w:rPr>
      </w:r>
      <w:r>
        <w:rPr/>
        <w:t>612:5-1-2.</w:t>
      </w:r>
      <w:r>
        <w:rPr>
          <w:spacing w:val="-7"/>
        </w:rPr>
        <w:t> </w:t>
      </w:r>
      <w:r>
        <w:rPr/>
        <w:t>Mission</w:t>
      </w:r>
      <w:r>
        <w:rPr>
          <w:spacing w:val="-4"/>
        </w:rPr>
        <w:t> </w:t>
      </w:r>
      <w:r>
        <w:rPr/>
        <w:t>of</w:t>
      </w:r>
      <w:r>
        <w:rPr>
          <w:spacing w:val="-5"/>
        </w:rPr>
        <w:t> </w:t>
      </w:r>
      <w:r>
        <w:rPr/>
        <w:t>the</w:t>
      </w:r>
      <w:r>
        <w:rPr>
          <w:spacing w:val="-4"/>
        </w:rPr>
        <w:t> </w:t>
      </w:r>
      <w:r>
        <w:rPr/>
        <w:t>Financial</w:t>
      </w:r>
      <w:r>
        <w:rPr>
          <w:spacing w:val="-3"/>
        </w:rPr>
        <w:t> </w:t>
      </w:r>
      <w:r>
        <w:rPr/>
        <w:t>Services</w:t>
      </w:r>
      <w:r>
        <w:rPr>
          <w:spacing w:val="-3"/>
        </w:rPr>
        <w:t> </w:t>
      </w:r>
      <w:r>
        <w:rPr>
          <w:spacing w:val="-2"/>
        </w:rPr>
        <w:t>Division</w:t>
      </w:r>
    </w:p>
    <w:p>
      <w:pPr>
        <w:pStyle w:val="BodyText"/>
        <w:spacing w:before="237"/>
        <w:ind w:right="775" w:firstLine="720"/>
      </w:pPr>
      <w:r>
        <w:rPr/>
        <w:t>The</w:t>
      </w:r>
      <w:r>
        <w:rPr>
          <w:spacing w:val="-4"/>
        </w:rPr>
        <w:t> </w:t>
      </w:r>
      <w:r>
        <w:rPr/>
        <w:t>mission</w:t>
      </w:r>
      <w:r>
        <w:rPr>
          <w:spacing w:val="-4"/>
        </w:rPr>
        <w:t> </w:t>
      </w:r>
      <w:r>
        <w:rPr/>
        <w:t>of</w:t>
      </w:r>
      <w:r>
        <w:rPr>
          <w:spacing w:val="-3"/>
        </w:rPr>
        <w:t> </w:t>
      </w:r>
      <w:r>
        <w:rPr/>
        <w:t>the</w:t>
      </w:r>
      <w:r>
        <w:rPr>
          <w:spacing w:val="-4"/>
        </w:rPr>
        <w:t> </w:t>
      </w:r>
      <w:r>
        <w:rPr/>
        <w:t>Financial</w:t>
      </w:r>
      <w:r>
        <w:rPr>
          <w:spacing w:val="-4"/>
        </w:rPr>
        <w:t> </w:t>
      </w:r>
      <w:r>
        <w:rPr/>
        <w:t>Services</w:t>
      </w:r>
      <w:r>
        <w:rPr>
          <w:spacing w:val="-4"/>
        </w:rPr>
        <w:t> </w:t>
      </w:r>
      <w:r>
        <w:rPr/>
        <w:t>Division</w:t>
      </w:r>
      <w:r>
        <w:rPr>
          <w:spacing w:val="-4"/>
        </w:rPr>
        <w:t> </w:t>
      </w:r>
      <w:r>
        <w:rPr/>
        <w:t>is</w:t>
      </w:r>
      <w:r>
        <w:rPr>
          <w:spacing w:val="-4"/>
        </w:rPr>
        <w:t> </w:t>
      </w:r>
      <w:r>
        <w:rPr/>
        <w:t>to</w:t>
      </w:r>
      <w:r>
        <w:rPr>
          <w:spacing w:val="-4"/>
        </w:rPr>
        <w:t> </w:t>
      </w:r>
      <w:r>
        <w:rPr/>
        <w:t>provide</w:t>
      </w:r>
      <w:r>
        <w:rPr>
          <w:spacing w:val="-4"/>
        </w:rPr>
        <w:t> </w:t>
      </w:r>
      <w:r>
        <w:rPr/>
        <w:t>quality</w:t>
      </w:r>
      <w:r>
        <w:rPr>
          <w:spacing w:val="-4"/>
        </w:rPr>
        <w:t> </w:t>
      </w:r>
      <w:r>
        <w:rPr/>
        <w:t>financial management and administration of all agency budgeting, federal and general accounting, revenue, claims processing, and reporting for our customers.</w:t>
      </w:r>
    </w:p>
    <w:p>
      <w:pPr>
        <w:spacing w:line="253" w:lineRule="exact" w:before="253"/>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63"/>
        </w:numPr>
        <w:tabs>
          <w:tab w:pos="1439" w:val="left" w:leader="none"/>
        </w:tabs>
        <w:spacing w:line="253" w:lineRule="exact" w:before="0" w:after="0"/>
        <w:ind w:left="1439" w:right="0" w:hanging="1079"/>
        <w:jc w:val="left"/>
        <w:rPr>
          <w:sz w:val="22"/>
        </w:rPr>
      </w:pPr>
      <w:r>
        <w:rPr>
          <w:sz w:val="22"/>
        </w:rPr>
        <w:t>PT</w:t>
      </w:r>
      <w:r>
        <w:rPr>
          <w:spacing w:val="-4"/>
          <w:sz w:val="22"/>
        </w:rPr>
        <w:t> Memo</w:t>
      </w:r>
    </w:p>
    <w:p>
      <w:pPr>
        <w:spacing w:before="0"/>
        <w:ind w:left="1439" w:right="0" w:firstLine="0"/>
        <w:jc w:val="left"/>
        <w:rPr>
          <w:sz w:val="22"/>
        </w:rPr>
      </w:pPr>
      <w:r>
        <w:rPr>
          <w:sz w:val="22"/>
        </w:rPr>
        <w:t>Permanent</w:t>
      </w:r>
      <w:r>
        <w:rPr>
          <w:spacing w:val="-13"/>
          <w:sz w:val="22"/>
        </w:rPr>
        <w:t> </w:t>
      </w:r>
      <w:r>
        <w:rPr>
          <w:spacing w:val="-4"/>
          <w:sz w:val="22"/>
        </w:rPr>
        <w:t>rule</w:t>
      </w:r>
    </w:p>
    <w:p>
      <w:pPr>
        <w:spacing w:after="0"/>
        <w:jc w:val="left"/>
        <w:rPr>
          <w:sz w:val="22"/>
        </w:rPr>
        <w:sectPr>
          <w:pgSz w:w="12240" w:h="15840"/>
          <w:pgMar w:top="1340" w:bottom="280" w:left="1080" w:right="720"/>
        </w:sectPr>
      </w:pPr>
    </w:p>
    <w:p>
      <w:pPr>
        <w:pStyle w:val="Heading1"/>
        <w:spacing w:line="208" w:lineRule="auto" w:before="96"/>
        <w:ind w:left="3314" w:right="775" w:hanging="2241"/>
        <w:jc w:val="left"/>
      </w:pPr>
      <w:bookmarkStart w:name="CHAPTER 10. VOCATIONAL REHABILITATION AN" w:id="89"/>
      <w:bookmarkEnd w:id="89"/>
      <w:r>
        <w:rPr>
          <w:b w:val="0"/>
        </w:rPr>
      </w:r>
      <w:r>
        <w:rPr/>
        <w:t>CHAPTER</w:t>
      </w:r>
      <w:r>
        <w:rPr>
          <w:spacing w:val="-6"/>
        </w:rPr>
        <w:t> </w:t>
      </w:r>
      <w:r>
        <w:rPr/>
        <w:t>10.</w:t>
      </w:r>
      <w:r>
        <w:rPr>
          <w:spacing w:val="-5"/>
        </w:rPr>
        <w:t> </w:t>
      </w:r>
      <w:r>
        <w:rPr/>
        <w:t>VOCATIONAL</w:t>
      </w:r>
      <w:r>
        <w:rPr>
          <w:spacing w:val="-6"/>
        </w:rPr>
        <w:t> </w:t>
      </w:r>
      <w:r>
        <w:rPr/>
        <w:t>REHABILITATION</w:t>
      </w:r>
      <w:r>
        <w:rPr>
          <w:spacing w:val="-8"/>
        </w:rPr>
        <w:t> </w:t>
      </w:r>
      <w:r>
        <w:rPr/>
        <w:t>AND</w:t>
      </w:r>
      <w:r>
        <w:rPr>
          <w:spacing w:val="-6"/>
        </w:rPr>
        <w:t> </w:t>
      </w:r>
      <w:r>
        <w:rPr/>
        <w:t>SERVICES</w:t>
      </w:r>
      <w:r>
        <w:rPr>
          <w:spacing w:val="-6"/>
        </w:rPr>
        <w:t> </w:t>
      </w:r>
      <w:r>
        <w:rPr/>
        <w:t>FOR</w:t>
      </w:r>
      <w:r>
        <w:rPr>
          <w:spacing w:val="-6"/>
        </w:rPr>
        <w:t> </w:t>
      </w:r>
      <w:r>
        <w:rPr/>
        <w:t>THE BLIND AND VISUALLY IMPAIRED</w:t>
      </w:r>
    </w:p>
    <w:p>
      <w:pPr>
        <w:pStyle w:val="BodyText"/>
        <w:tabs>
          <w:tab w:pos="8279" w:val="left" w:leader="none"/>
        </w:tabs>
        <w:spacing w:before="210"/>
      </w:pPr>
      <w:r>
        <w:rPr>
          <w:spacing w:val="-2"/>
        </w:rPr>
        <w:t>Subchapter</w:t>
      </w:r>
      <w:r>
        <w:rPr/>
        <w:tab/>
      </w:r>
      <w:r>
        <w:rPr>
          <w:spacing w:val="-2"/>
        </w:rPr>
        <w:t>Section</w:t>
      </w:r>
    </w:p>
    <w:p>
      <w:pPr>
        <w:pStyle w:val="BodyText"/>
        <w:tabs>
          <w:tab w:pos="1079" w:val="left" w:leader="none"/>
          <w:tab w:pos="8279" w:val="left" w:leader="none"/>
        </w:tabs>
        <w:spacing w:before="204"/>
      </w:pPr>
      <w:r>
        <w:rPr>
          <w:spacing w:val="-5"/>
        </w:rPr>
        <w:t>1.</w:t>
      </w:r>
      <w:r>
        <w:rPr/>
        <w:tab/>
        <w:t>General</w:t>
      </w:r>
      <w:r>
        <w:rPr>
          <w:spacing w:val="-4"/>
        </w:rPr>
        <w:t> </w:t>
      </w:r>
      <w:r>
        <w:rPr>
          <w:spacing w:val="-2"/>
        </w:rPr>
        <w:t>Provisions</w:t>
      </w:r>
      <w:r>
        <w:rPr/>
        <w:tab/>
      </w:r>
      <w:r>
        <w:rPr>
          <w:spacing w:val="-2"/>
        </w:rPr>
        <w:t>612:10-1-</w:t>
      </w:r>
      <w:r>
        <w:rPr>
          <w:spacing w:val="-10"/>
        </w:rPr>
        <w:t>1</w:t>
      </w:r>
    </w:p>
    <w:p>
      <w:pPr>
        <w:pStyle w:val="BodyText"/>
        <w:tabs>
          <w:tab w:pos="1079" w:val="left" w:leader="none"/>
          <w:tab w:pos="8279" w:val="left" w:leader="none"/>
        </w:tabs>
        <w:spacing w:before="204"/>
      </w:pPr>
      <w:r>
        <w:rPr>
          <w:spacing w:val="-5"/>
        </w:rPr>
        <w:t>3.</w:t>
      </w:r>
      <w:r>
        <w:rPr/>
        <w:tab/>
        <w:t>Client</w:t>
      </w:r>
      <w:r>
        <w:rPr>
          <w:spacing w:val="-3"/>
        </w:rPr>
        <w:t> </w:t>
      </w:r>
      <w:r>
        <w:rPr/>
        <w:t>Participation</w:t>
      </w:r>
      <w:r>
        <w:rPr>
          <w:spacing w:val="-2"/>
        </w:rPr>
        <w:t> </w:t>
      </w:r>
      <w:r>
        <w:rPr/>
        <w:t>in</w:t>
      </w:r>
      <w:r>
        <w:rPr>
          <w:spacing w:val="-3"/>
        </w:rPr>
        <w:t> </w:t>
      </w:r>
      <w:r>
        <w:rPr/>
        <w:t>Cost</w:t>
      </w:r>
      <w:r>
        <w:rPr>
          <w:spacing w:val="-2"/>
        </w:rPr>
        <w:t> </w:t>
      </w:r>
      <w:r>
        <w:rPr/>
        <w:t>of</w:t>
      </w:r>
      <w:r>
        <w:rPr>
          <w:spacing w:val="-2"/>
        </w:rPr>
        <w:t> Services</w:t>
      </w:r>
      <w:r>
        <w:rPr/>
        <w:tab/>
      </w:r>
      <w:r>
        <w:rPr>
          <w:spacing w:val="-2"/>
        </w:rPr>
        <w:t>612:10-3-</w:t>
      </w:r>
      <w:r>
        <w:rPr>
          <w:spacing w:val="-10"/>
        </w:rPr>
        <w:t>1</w:t>
      </w:r>
    </w:p>
    <w:p>
      <w:pPr>
        <w:pStyle w:val="BodyText"/>
        <w:tabs>
          <w:tab w:pos="1079" w:val="left" w:leader="none"/>
        </w:tabs>
        <w:spacing w:line="258" w:lineRule="exact" w:before="204"/>
      </w:pPr>
      <w:r>
        <w:rPr>
          <w:spacing w:val="-5"/>
        </w:rPr>
        <w:t>5.</w:t>
      </w:r>
      <w:r>
        <w:rPr/>
        <w:tab/>
        <w:t>Guidelines</w:t>
      </w:r>
      <w:r>
        <w:rPr>
          <w:spacing w:val="-6"/>
        </w:rPr>
        <w:t> </w:t>
      </w:r>
      <w:r>
        <w:rPr/>
        <w:t>for</w:t>
      </w:r>
      <w:r>
        <w:rPr>
          <w:spacing w:val="-3"/>
        </w:rPr>
        <w:t> </w:t>
      </w:r>
      <w:r>
        <w:rPr/>
        <w:t>Evaluating</w:t>
      </w:r>
      <w:r>
        <w:rPr>
          <w:spacing w:val="-4"/>
        </w:rPr>
        <w:t> </w:t>
      </w:r>
      <w:r>
        <w:rPr/>
        <w:t>the</w:t>
      </w:r>
      <w:r>
        <w:rPr>
          <w:spacing w:val="-4"/>
        </w:rPr>
        <w:t> </w:t>
      </w:r>
      <w:r>
        <w:rPr/>
        <w:t>Limitations</w:t>
      </w:r>
      <w:r>
        <w:rPr>
          <w:spacing w:val="-4"/>
        </w:rPr>
        <w:t> </w:t>
      </w:r>
      <w:r>
        <w:rPr/>
        <w:t>and</w:t>
      </w:r>
      <w:r>
        <w:rPr>
          <w:spacing w:val="-4"/>
        </w:rPr>
        <w:t> </w:t>
      </w:r>
      <w:r>
        <w:rPr>
          <w:spacing w:val="-2"/>
        </w:rPr>
        <w:t>Rehabilitation</w:t>
      </w:r>
    </w:p>
    <w:p>
      <w:pPr>
        <w:pStyle w:val="BodyText"/>
        <w:tabs>
          <w:tab w:pos="8279" w:val="left" w:leader="none"/>
        </w:tabs>
        <w:spacing w:line="258" w:lineRule="exact" w:before="0"/>
        <w:ind w:left="1080"/>
      </w:pPr>
      <w:r>
        <w:rPr/>
        <w:t>Needs</w:t>
      </w:r>
      <w:r>
        <w:rPr>
          <w:spacing w:val="-4"/>
        </w:rPr>
        <w:t> </w:t>
      </w:r>
      <w:r>
        <w:rPr/>
        <w:t>of</w:t>
      </w:r>
      <w:r>
        <w:rPr>
          <w:spacing w:val="-3"/>
        </w:rPr>
        <w:t> </w:t>
      </w:r>
      <w:r>
        <w:rPr/>
        <w:t>Certain</w:t>
      </w:r>
      <w:r>
        <w:rPr>
          <w:spacing w:val="-3"/>
        </w:rPr>
        <w:t> </w:t>
      </w:r>
      <w:r>
        <w:rPr/>
        <w:t>Disability</w:t>
      </w:r>
      <w:r>
        <w:rPr>
          <w:spacing w:val="-3"/>
        </w:rPr>
        <w:t> </w:t>
      </w:r>
      <w:r>
        <w:rPr>
          <w:spacing w:val="-2"/>
        </w:rPr>
        <w:t>Groups</w:t>
      </w:r>
      <w:r>
        <w:rPr/>
        <w:tab/>
      </w:r>
      <w:r>
        <w:rPr>
          <w:spacing w:val="-2"/>
        </w:rPr>
        <w:t>612:10-5-</w:t>
      </w:r>
      <w:r>
        <w:rPr>
          <w:spacing w:val="-10"/>
        </w:rPr>
        <w:t>1</w:t>
      </w:r>
    </w:p>
    <w:p>
      <w:pPr>
        <w:pStyle w:val="BodyText"/>
        <w:tabs>
          <w:tab w:pos="1079" w:val="left" w:leader="none"/>
        </w:tabs>
        <w:spacing w:line="258" w:lineRule="exact" w:before="244"/>
      </w:pPr>
      <w:r>
        <w:rPr>
          <w:spacing w:val="-5"/>
        </w:rPr>
        <w:t>7.</w:t>
      </w:r>
      <w:r>
        <w:rPr/>
        <w:tab/>
        <w:t>Vocational</w:t>
      </w:r>
      <w:r>
        <w:rPr>
          <w:spacing w:val="-5"/>
        </w:rPr>
        <w:t> </w:t>
      </w:r>
      <w:r>
        <w:rPr/>
        <w:t>Rehabilitation</w:t>
      </w:r>
      <w:r>
        <w:rPr>
          <w:spacing w:val="-4"/>
        </w:rPr>
        <w:t> </w:t>
      </w:r>
      <w:r>
        <w:rPr/>
        <w:t>and</w:t>
      </w:r>
      <w:r>
        <w:rPr>
          <w:spacing w:val="-3"/>
        </w:rPr>
        <w:t> </w:t>
      </w:r>
      <w:r>
        <w:rPr/>
        <w:t>Services</w:t>
      </w:r>
      <w:r>
        <w:rPr>
          <w:spacing w:val="-4"/>
        </w:rPr>
        <w:t> </w:t>
      </w:r>
      <w:r>
        <w:rPr/>
        <w:t>for</w:t>
      </w:r>
      <w:r>
        <w:rPr>
          <w:spacing w:val="-3"/>
        </w:rPr>
        <w:t> </w:t>
      </w:r>
      <w:r>
        <w:rPr/>
        <w:t>the</w:t>
      </w:r>
      <w:r>
        <w:rPr>
          <w:spacing w:val="-3"/>
        </w:rPr>
        <w:t> </w:t>
      </w:r>
      <w:r>
        <w:rPr/>
        <w:t>Blind</w:t>
      </w:r>
      <w:r>
        <w:rPr>
          <w:spacing w:val="-4"/>
        </w:rPr>
        <w:t> </w:t>
      </w:r>
      <w:r>
        <w:rPr/>
        <w:t>and</w:t>
      </w:r>
      <w:r>
        <w:rPr>
          <w:spacing w:val="-2"/>
        </w:rPr>
        <w:t> Visually</w:t>
      </w:r>
    </w:p>
    <w:p>
      <w:pPr>
        <w:pStyle w:val="BodyText"/>
        <w:tabs>
          <w:tab w:pos="8279" w:val="left" w:leader="none"/>
        </w:tabs>
        <w:spacing w:line="258" w:lineRule="exact" w:before="0"/>
        <w:ind w:left="1080"/>
      </w:pPr>
      <w:r>
        <w:rPr>
          <w:spacing w:val="-2"/>
        </w:rPr>
        <w:t>Impaired</w:t>
      </w:r>
      <w:r>
        <w:rPr/>
        <w:tab/>
      </w:r>
      <w:r>
        <w:rPr>
          <w:spacing w:val="-2"/>
        </w:rPr>
        <w:t>612:10-7-</w:t>
      </w:r>
      <w:r>
        <w:rPr>
          <w:spacing w:val="-10"/>
        </w:rPr>
        <w:t>1</w:t>
      </w:r>
    </w:p>
    <w:p>
      <w:pPr>
        <w:pStyle w:val="BodyText"/>
        <w:tabs>
          <w:tab w:pos="1079" w:val="left" w:leader="none"/>
          <w:tab w:pos="8279" w:val="left" w:leader="none"/>
        </w:tabs>
        <w:spacing w:before="245"/>
      </w:pPr>
      <w:r>
        <w:rPr>
          <w:spacing w:val="-5"/>
        </w:rPr>
        <w:t>9.</w:t>
      </w:r>
      <w:r>
        <w:rPr/>
        <w:tab/>
        <w:t>Rehabilitation</w:t>
      </w:r>
      <w:r>
        <w:rPr>
          <w:spacing w:val="-7"/>
        </w:rPr>
        <w:t> </w:t>
      </w:r>
      <w:r>
        <w:rPr/>
        <w:t>Teaching</w:t>
      </w:r>
      <w:r>
        <w:rPr>
          <w:spacing w:val="-6"/>
        </w:rPr>
        <w:t> </w:t>
      </w:r>
      <w:r>
        <w:rPr>
          <w:spacing w:val="-2"/>
        </w:rPr>
        <w:t>Services</w:t>
      </w:r>
      <w:r>
        <w:rPr/>
        <w:tab/>
      </w:r>
      <w:r>
        <w:rPr>
          <w:spacing w:val="-2"/>
        </w:rPr>
        <w:t>612:10-9-</w:t>
      </w:r>
      <w:r>
        <w:rPr>
          <w:spacing w:val="-10"/>
        </w:rPr>
        <w:t>1</w:t>
      </w:r>
    </w:p>
    <w:p>
      <w:pPr>
        <w:pStyle w:val="BodyText"/>
        <w:tabs>
          <w:tab w:pos="1079" w:val="left" w:leader="none"/>
          <w:tab w:pos="8279" w:val="left" w:leader="none"/>
        </w:tabs>
        <w:spacing w:before="244"/>
      </w:pPr>
      <w:r>
        <w:rPr>
          <w:spacing w:val="-5"/>
        </w:rPr>
        <w:t>11.</w:t>
      </w:r>
      <w:r>
        <w:rPr/>
        <w:tab/>
        <w:t>Independent</w:t>
      </w:r>
      <w:r>
        <w:rPr>
          <w:spacing w:val="-5"/>
        </w:rPr>
        <w:t> </w:t>
      </w:r>
      <w:r>
        <w:rPr/>
        <w:t>Living</w:t>
      </w:r>
      <w:r>
        <w:rPr>
          <w:spacing w:val="-4"/>
        </w:rPr>
        <w:t> </w:t>
      </w:r>
      <w:r>
        <w:rPr/>
        <w:t>Services</w:t>
      </w:r>
      <w:r>
        <w:rPr>
          <w:spacing w:val="-3"/>
        </w:rPr>
        <w:t> </w:t>
      </w:r>
      <w:r>
        <w:rPr/>
        <w:t>for</w:t>
      </w:r>
      <w:r>
        <w:rPr>
          <w:spacing w:val="-5"/>
        </w:rPr>
        <w:t> </w:t>
      </w:r>
      <w:r>
        <w:rPr/>
        <w:t>Older</w:t>
      </w:r>
      <w:r>
        <w:rPr>
          <w:spacing w:val="-3"/>
        </w:rPr>
        <w:t> </w:t>
      </w:r>
      <w:r>
        <w:rPr/>
        <w:t>Individuals</w:t>
      </w:r>
      <w:r>
        <w:rPr>
          <w:spacing w:val="-3"/>
        </w:rPr>
        <w:t> </w:t>
      </w:r>
      <w:r>
        <w:rPr/>
        <w:t>who</w:t>
      </w:r>
      <w:r>
        <w:rPr>
          <w:spacing w:val="-4"/>
        </w:rPr>
        <w:t> </w:t>
      </w:r>
      <w:r>
        <w:rPr/>
        <w:t>are</w:t>
      </w:r>
      <w:r>
        <w:rPr>
          <w:spacing w:val="-3"/>
        </w:rPr>
        <w:t> </w:t>
      </w:r>
      <w:r>
        <w:rPr>
          <w:spacing w:val="-2"/>
        </w:rPr>
        <w:t>Blind</w:t>
      </w:r>
      <w:r>
        <w:rPr/>
        <w:tab/>
      </w:r>
      <w:r>
        <w:rPr>
          <w:spacing w:val="-2"/>
        </w:rPr>
        <w:t>612:10-11-</w:t>
      </w:r>
      <w:r>
        <w:rPr>
          <w:spacing w:val="-10"/>
        </w:rPr>
        <w:t>1</w:t>
      </w:r>
    </w:p>
    <w:p>
      <w:pPr>
        <w:pStyle w:val="BodyText"/>
        <w:tabs>
          <w:tab w:pos="1079" w:val="left" w:leader="none"/>
          <w:tab w:pos="8279" w:val="left" w:leader="none"/>
        </w:tabs>
        <w:spacing w:before="204"/>
        <w:ind w:left="359"/>
      </w:pPr>
      <w:r>
        <w:rPr>
          <w:spacing w:val="-5"/>
        </w:rPr>
        <w:t>13.</w:t>
      </w:r>
      <w:r>
        <w:rPr/>
        <w:tab/>
        <w:t>Special</w:t>
      </w:r>
      <w:r>
        <w:rPr>
          <w:spacing w:val="-5"/>
        </w:rPr>
        <w:t> </w:t>
      </w:r>
      <w:r>
        <w:rPr/>
        <w:t>Services</w:t>
      </w:r>
      <w:r>
        <w:rPr>
          <w:spacing w:val="-2"/>
        </w:rPr>
        <w:t> </w:t>
      </w:r>
      <w:r>
        <w:rPr/>
        <w:t>for</w:t>
      </w:r>
      <w:r>
        <w:rPr>
          <w:spacing w:val="-1"/>
        </w:rPr>
        <w:t> </w:t>
      </w:r>
      <w:r>
        <w:rPr/>
        <w:t>the</w:t>
      </w:r>
      <w:r>
        <w:rPr>
          <w:spacing w:val="-2"/>
        </w:rPr>
        <w:t> </w:t>
      </w:r>
      <w:r>
        <w:rPr/>
        <w:t>Deaf</w:t>
      </w:r>
      <w:r>
        <w:rPr>
          <w:spacing w:val="-2"/>
        </w:rPr>
        <w:t> </w:t>
      </w:r>
      <w:r>
        <w:rPr/>
        <w:t>and</w:t>
      </w:r>
      <w:r>
        <w:rPr>
          <w:spacing w:val="-2"/>
        </w:rPr>
        <w:t> </w:t>
      </w:r>
      <w:r>
        <w:rPr/>
        <w:t>Hard</w:t>
      </w:r>
      <w:r>
        <w:rPr>
          <w:spacing w:val="-2"/>
        </w:rPr>
        <w:t> </w:t>
      </w:r>
      <w:r>
        <w:rPr/>
        <w:t>of</w:t>
      </w:r>
      <w:r>
        <w:rPr>
          <w:spacing w:val="-1"/>
        </w:rPr>
        <w:t> </w:t>
      </w:r>
      <w:r>
        <w:rPr>
          <w:spacing w:val="-2"/>
        </w:rPr>
        <w:t>Hearing</w:t>
      </w:r>
      <w:r>
        <w:rPr/>
        <w:tab/>
      </w:r>
      <w:r>
        <w:rPr>
          <w:spacing w:val="-2"/>
        </w:rPr>
        <w:t>612:10-13-</w:t>
      </w:r>
      <w:r>
        <w:rPr>
          <w:spacing w:val="-10"/>
        </w:rPr>
        <w:t>1</w:t>
      </w:r>
    </w:p>
    <w:p>
      <w:pPr>
        <w:pStyle w:val="BodyText"/>
        <w:tabs>
          <w:tab w:pos="1079" w:val="left" w:leader="none"/>
          <w:tab w:pos="8279" w:val="left" w:leader="none"/>
        </w:tabs>
        <w:spacing w:before="204"/>
        <w:ind w:left="359"/>
      </w:pPr>
      <w:r>
        <w:rPr>
          <w:spacing w:val="-5"/>
        </w:rPr>
        <w:t>15.</w:t>
      </w:r>
      <w:r>
        <w:rPr/>
        <w:tab/>
        <w:t>Transitional</w:t>
      </w:r>
      <w:r>
        <w:rPr>
          <w:spacing w:val="-5"/>
        </w:rPr>
        <w:t> </w:t>
      </w:r>
      <w:r>
        <w:rPr/>
        <w:t>Living</w:t>
      </w:r>
      <w:r>
        <w:rPr>
          <w:spacing w:val="-3"/>
        </w:rPr>
        <w:t> </w:t>
      </w:r>
      <w:r>
        <w:rPr/>
        <w:t>Center</w:t>
      </w:r>
      <w:r>
        <w:rPr>
          <w:spacing w:val="-3"/>
        </w:rPr>
        <w:t> </w:t>
      </w:r>
      <w:r>
        <w:rPr/>
        <w:t>for</w:t>
      </w:r>
      <w:r>
        <w:rPr>
          <w:spacing w:val="-3"/>
        </w:rPr>
        <w:t> </w:t>
      </w:r>
      <w:r>
        <w:rPr/>
        <w:t>the</w:t>
      </w:r>
      <w:r>
        <w:rPr>
          <w:spacing w:val="-4"/>
        </w:rPr>
        <w:t> </w:t>
      </w:r>
      <w:r>
        <w:rPr/>
        <w:t>Deaf</w:t>
      </w:r>
      <w:r>
        <w:rPr>
          <w:spacing w:val="-2"/>
        </w:rPr>
        <w:t> (TLC)</w:t>
      </w:r>
      <w:r>
        <w:rPr/>
        <w:tab/>
      </w:r>
      <w:r>
        <w:rPr>
          <w:spacing w:val="-2"/>
        </w:rPr>
        <w:t>612:10-15-</w:t>
      </w:r>
      <w:r>
        <w:rPr>
          <w:spacing w:val="-10"/>
        </w:rPr>
        <w:t>1</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775" w:firstLine="0"/>
        <w:jc w:val="left"/>
        <w:rPr>
          <w:sz w:val="22"/>
        </w:rPr>
      </w:pPr>
      <w:r>
        <w:rPr>
          <w:sz w:val="22"/>
        </w:rPr>
        <w:t>Permanent,</w:t>
      </w:r>
      <w:r>
        <w:rPr>
          <w:spacing w:val="-2"/>
          <w:sz w:val="22"/>
        </w:rPr>
        <w:t> </w:t>
      </w:r>
      <w:r>
        <w:rPr>
          <w:sz w:val="22"/>
        </w:rPr>
        <w:t>first</w:t>
      </w:r>
      <w:r>
        <w:rPr>
          <w:spacing w:val="-3"/>
          <w:sz w:val="22"/>
        </w:rPr>
        <w:t> </w:t>
      </w:r>
      <w:r>
        <w:rPr>
          <w:sz w:val="22"/>
        </w:rPr>
        <w:t>adoption</w:t>
      </w:r>
      <w:r>
        <w:rPr>
          <w:spacing w:val="-3"/>
          <w:sz w:val="22"/>
        </w:rPr>
        <w:t> </w:t>
      </w:r>
      <w:r>
        <w:rPr>
          <w:sz w:val="22"/>
        </w:rPr>
        <w:t>under</w:t>
      </w:r>
      <w:r>
        <w:rPr>
          <w:spacing w:val="-3"/>
          <w:sz w:val="22"/>
        </w:rPr>
        <w:t> </w:t>
      </w:r>
      <w:r>
        <w:rPr>
          <w:sz w:val="22"/>
        </w:rPr>
        <w:t>OAC</w:t>
      </w:r>
      <w:r>
        <w:rPr>
          <w:spacing w:val="-4"/>
          <w:sz w:val="22"/>
        </w:rPr>
        <w:t> </w:t>
      </w:r>
      <w:r>
        <w:rPr>
          <w:sz w:val="22"/>
        </w:rPr>
        <w:t>Title</w:t>
      </w:r>
      <w:r>
        <w:rPr>
          <w:spacing w:val="-3"/>
          <w:sz w:val="22"/>
        </w:rPr>
        <w:t> </w:t>
      </w:r>
      <w:r>
        <w:rPr>
          <w:sz w:val="22"/>
        </w:rPr>
        <w:t>612,</w:t>
      </w:r>
      <w:r>
        <w:rPr>
          <w:spacing w:val="-4"/>
          <w:sz w:val="22"/>
        </w:rPr>
        <w:t> </w:t>
      </w:r>
      <w:r>
        <w:rPr>
          <w:sz w:val="22"/>
        </w:rPr>
        <w:t>took</w:t>
      </w:r>
      <w:r>
        <w:rPr>
          <w:spacing w:val="-3"/>
          <w:sz w:val="22"/>
        </w:rPr>
        <w:t> </w:t>
      </w:r>
      <w:r>
        <w:rPr>
          <w:sz w:val="22"/>
        </w:rPr>
        <w:t>out</w:t>
      </w:r>
      <w:r>
        <w:rPr>
          <w:spacing w:val="-3"/>
          <w:sz w:val="22"/>
        </w:rPr>
        <w:t> </w:t>
      </w:r>
      <w:r>
        <w:rPr>
          <w:sz w:val="22"/>
        </w:rPr>
        <w:t>Appendices</w:t>
      </w:r>
      <w:r>
        <w:rPr>
          <w:spacing w:val="-3"/>
          <w:sz w:val="22"/>
        </w:rPr>
        <w:t> </w:t>
      </w:r>
      <w:r>
        <w:rPr>
          <w:sz w:val="22"/>
        </w:rPr>
        <w:t>Q</w:t>
      </w:r>
      <w:r>
        <w:rPr>
          <w:spacing w:val="-5"/>
          <w:sz w:val="22"/>
        </w:rPr>
        <w:t> </w:t>
      </w:r>
      <w:r>
        <w:rPr>
          <w:sz w:val="22"/>
        </w:rPr>
        <w:t>&amp;</w:t>
      </w:r>
      <w:r>
        <w:rPr>
          <w:spacing w:val="-3"/>
          <w:sz w:val="22"/>
        </w:rPr>
        <w:t> </w:t>
      </w:r>
      <w:r>
        <w:rPr>
          <w:sz w:val="22"/>
        </w:rPr>
        <w:t>R,</w:t>
      </w:r>
      <w:r>
        <w:rPr>
          <w:spacing w:val="-3"/>
          <w:sz w:val="22"/>
        </w:rPr>
        <w:t> </w:t>
      </w:r>
      <w:r>
        <w:rPr>
          <w:sz w:val="22"/>
        </w:rPr>
        <w:t>added Appendix T</w:t>
      </w:r>
    </w:p>
    <w:p>
      <w:pPr>
        <w:pStyle w:val="ListParagraph"/>
        <w:numPr>
          <w:ilvl w:val="2"/>
          <w:numId w:val="64"/>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#96-</w:t>
      </w:r>
      <w:r>
        <w:rPr>
          <w:spacing w:val="-10"/>
          <w:sz w:val="22"/>
        </w:rPr>
        <w:t>5</w:t>
      </w:r>
    </w:p>
    <w:p>
      <w:pPr>
        <w:tabs>
          <w:tab w:pos="1439" w:val="left" w:leader="none"/>
        </w:tabs>
        <w:spacing w:before="1"/>
        <w:ind w:left="359" w:right="4888" w:firstLine="1080"/>
        <w:jc w:val="left"/>
        <w:rPr>
          <w:sz w:val="22"/>
        </w:rPr>
      </w:pPr>
      <w:r>
        <w:rPr>
          <w:sz w:val="22"/>
        </w:rPr>
        <w:t>Permanent,</w:t>
      </w:r>
      <w:r>
        <w:rPr>
          <w:spacing w:val="-7"/>
          <w:sz w:val="22"/>
        </w:rPr>
        <w:t> </w:t>
      </w:r>
      <w:r>
        <w:rPr>
          <w:sz w:val="22"/>
        </w:rPr>
        <w:t>removed</w:t>
      </w:r>
      <w:r>
        <w:rPr>
          <w:spacing w:val="-8"/>
          <w:sz w:val="22"/>
        </w:rPr>
        <w:t> </w:t>
      </w:r>
      <w:r>
        <w:rPr>
          <w:sz w:val="22"/>
        </w:rPr>
        <w:t>entry</w:t>
      </w:r>
      <w:r>
        <w:rPr>
          <w:spacing w:val="-8"/>
          <w:sz w:val="22"/>
        </w:rPr>
        <w:t> </w:t>
      </w:r>
      <w:r>
        <w:rPr>
          <w:sz w:val="22"/>
        </w:rPr>
        <w:t>for</w:t>
      </w:r>
      <w:r>
        <w:rPr>
          <w:spacing w:val="-8"/>
          <w:sz w:val="22"/>
        </w:rPr>
        <w:t> </w:t>
      </w:r>
      <w:r>
        <w:rPr>
          <w:sz w:val="22"/>
        </w:rPr>
        <w:t>Appendix</w:t>
      </w:r>
      <w:r>
        <w:rPr>
          <w:spacing w:val="-8"/>
          <w:sz w:val="22"/>
        </w:rPr>
        <w:t> </w:t>
      </w:r>
      <w:r>
        <w:rPr>
          <w:sz w:val="22"/>
        </w:rPr>
        <w:t>P </w:t>
      </w:r>
      <w:r>
        <w:rPr>
          <w:spacing w:val="-2"/>
          <w:sz w:val="22"/>
        </w:rPr>
        <w:t>8-1-96</w:t>
      </w:r>
      <w:r>
        <w:rPr>
          <w:sz w:val="22"/>
        </w:rPr>
        <w:tab/>
        <w:t>PT Memo #97-2</w:t>
      </w:r>
    </w:p>
    <w:p>
      <w:pPr>
        <w:tabs>
          <w:tab w:pos="1439" w:val="left" w:leader="none"/>
        </w:tabs>
        <w:spacing w:before="0"/>
        <w:ind w:left="359" w:right="3874" w:firstLine="1080"/>
        <w:jc w:val="left"/>
        <w:rPr>
          <w:sz w:val="22"/>
        </w:rPr>
      </w:pPr>
      <w:r>
        <w:rPr>
          <w:sz w:val="22"/>
        </w:rPr>
        <w:t>Permanent,</w:t>
      </w:r>
      <w:r>
        <w:rPr>
          <w:spacing w:val="-7"/>
          <w:sz w:val="22"/>
        </w:rPr>
        <w:t> </w:t>
      </w:r>
      <w:r>
        <w:rPr>
          <w:sz w:val="22"/>
        </w:rPr>
        <w:t>removed</w:t>
      </w:r>
      <w:r>
        <w:rPr>
          <w:spacing w:val="-8"/>
          <w:sz w:val="22"/>
        </w:rPr>
        <w:t> </w:t>
      </w:r>
      <w:r>
        <w:rPr>
          <w:sz w:val="22"/>
        </w:rPr>
        <w:t>entries</w:t>
      </w:r>
      <w:r>
        <w:rPr>
          <w:spacing w:val="-8"/>
          <w:sz w:val="22"/>
        </w:rPr>
        <w:t> </w:t>
      </w:r>
      <w:r>
        <w:rPr>
          <w:sz w:val="22"/>
        </w:rPr>
        <w:t>for</w:t>
      </w:r>
      <w:r>
        <w:rPr>
          <w:spacing w:val="-8"/>
          <w:sz w:val="22"/>
        </w:rPr>
        <w:t> </w:t>
      </w:r>
      <w:r>
        <w:rPr>
          <w:sz w:val="22"/>
        </w:rPr>
        <w:t>revoked</w:t>
      </w:r>
      <w:r>
        <w:rPr>
          <w:spacing w:val="-8"/>
          <w:sz w:val="22"/>
        </w:rPr>
        <w:t> </w:t>
      </w:r>
      <w:r>
        <w:rPr>
          <w:sz w:val="22"/>
        </w:rPr>
        <w:t>appendices </w:t>
      </w:r>
      <w:r>
        <w:rPr>
          <w:spacing w:val="-2"/>
          <w:sz w:val="22"/>
        </w:rPr>
        <w:t>7-1-97</w:t>
      </w:r>
      <w:r>
        <w:rPr>
          <w:sz w:val="22"/>
        </w:rPr>
        <w:tab/>
        <w:t>PT Memo #97-9</w:t>
      </w:r>
    </w:p>
    <w:p>
      <w:pPr>
        <w:tabs>
          <w:tab w:pos="1439" w:val="left" w:leader="none"/>
        </w:tabs>
        <w:spacing w:before="0"/>
        <w:ind w:left="359" w:right="4435" w:firstLine="1080"/>
        <w:jc w:val="left"/>
        <w:rPr>
          <w:sz w:val="22"/>
        </w:rPr>
      </w:pPr>
      <w:r>
        <w:rPr>
          <w:sz w:val="22"/>
        </w:rPr>
        <w:t>Permanent,</w:t>
      </w:r>
      <w:r>
        <w:rPr>
          <w:spacing w:val="-7"/>
          <w:sz w:val="22"/>
        </w:rPr>
        <w:t> </w:t>
      </w:r>
      <w:r>
        <w:rPr>
          <w:sz w:val="22"/>
        </w:rPr>
        <w:t>removed</w:t>
      </w:r>
      <w:r>
        <w:rPr>
          <w:spacing w:val="-8"/>
          <w:sz w:val="22"/>
        </w:rPr>
        <w:t> </w:t>
      </w:r>
      <w:r>
        <w:rPr>
          <w:sz w:val="22"/>
        </w:rPr>
        <w:t>entries</w:t>
      </w:r>
      <w:r>
        <w:rPr>
          <w:spacing w:val="-8"/>
          <w:sz w:val="22"/>
        </w:rPr>
        <w:t> </w:t>
      </w:r>
      <w:r>
        <w:rPr>
          <w:sz w:val="22"/>
        </w:rPr>
        <w:t>for</w:t>
      </w:r>
      <w:r>
        <w:rPr>
          <w:spacing w:val="-8"/>
          <w:sz w:val="22"/>
        </w:rPr>
        <w:t> </w:t>
      </w:r>
      <w:r>
        <w:rPr>
          <w:sz w:val="22"/>
        </w:rPr>
        <w:t>all</w:t>
      </w:r>
      <w:r>
        <w:rPr>
          <w:spacing w:val="-8"/>
          <w:sz w:val="22"/>
        </w:rPr>
        <w:t> </w:t>
      </w:r>
      <w:r>
        <w:rPr>
          <w:sz w:val="22"/>
        </w:rPr>
        <w:t>appendices </w:t>
      </w:r>
      <w:r>
        <w:rPr>
          <w:spacing w:val="-2"/>
          <w:sz w:val="22"/>
        </w:rPr>
        <w:t>6-14-99</w:t>
      </w:r>
      <w:r>
        <w:rPr>
          <w:sz w:val="22"/>
        </w:rPr>
        <w:tab/>
        <w:t>POL Memo #99-7</w:t>
      </w:r>
    </w:p>
    <w:p>
      <w:pPr>
        <w:tabs>
          <w:tab w:pos="1439" w:val="left" w:leader="none"/>
        </w:tabs>
        <w:spacing w:before="0"/>
        <w:ind w:left="359" w:right="3227" w:firstLine="1080"/>
        <w:jc w:val="left"/>
        <w:rPr>
          <w:sz w:val="22"/>
        </w:rPr>
      </w:pPr>
      <w:r>
        <w:rPr>
          <w:sz w:val="22"/>
        </w:rPr>
        <w:t>Emergency,</w:t>
      </w:r>
      <w:r>
        <w:rPr>
          <w:spacing w:val="-6"/>
          <w:sz w:val="22"/>
        </w:rPr>
        <w:t> </w:t>
      </w:r>
      <w:r>
        <w:rPr>
          <w:sz w:val="22"/>
        </w:rPr>
        <w:t>changed</w:t>
      </w:r>
      <w:r>
        <w:rPr>
          <w:spacing w:val="-6"/>
          <w:sz w:val="22"/>
        </w:rPr>
        <w:t> </w:t>
      </w:r>
      <w:r>
        <w:rPr>
          <w:sz w:val="22"/>
        </w:rPr>
        <w:t>taglines</w:t>
      </w:r>
      <w:r>
        <w:rPr>
          <w:spacing w:val="-6"/>
          <w:sz w:val="22"/>
        </w:rPr>
        <w:t> </w:t>
      </w:r>
      <w:r>
        <w:rPr>
          <w:sz w:val="22"/>
        </w:rPr>
        <w:t>for</w:t>
      </w:r>
      <w:r>
        <w:rPr>
          <w:spacing w:val="-8"/>
          <w:sz w:val="22"/>
        </w:rPr>
        <w:t> </w:t>
      </w:r>
      <w:r>
        <w:rPr>
          <w:sz w:val="22"/>
        </w:rPr>
        <w:t>chapter</w:t>
      </w:r>
      <w:r>
        <w:rPr>
          <w:spacing w:val="-6"/>
          <w:sz w:val="22"/>
        </w:rPr>
        <w:t> </w:t>
      </w:r>
      <w:r>
        <w:rPr>
          <w:sz w:val="22"/>
        </w:rPr>
        <w:t>and</w:t>
      </w:r>
      <w:r>
        <w:rPr>
          <w:spacing w:val="-6"/>
          <w:sz w:val="22"/>
        </w:rPr>
        <w:t> </w:t>
      </w:r>
      <w:r>
        <w:rPr>
          <w:sz w:val="22"/>
        </w:rPr>
        <w:t>subchapter</w:t>
      </w:r>
      <w:r>
        <w:rPr>
          <w:spacing w:val="-6"/>
          <w:sz w:val="22"/>
        </w:rPr>
        <w:t> </w:t>
      </w:r>
      <w:r>
        <w:rPr>
          <w:sz w:val="22"/>
        </w:rPr>
        <w:t>7 </w:t>
      </w:r>
      <w:r>
        <w:rPr>
          <w:spacing w:val="-2"/>
          <w:sz w:val="22"/>
        </w:rPr>
        <w:t>7-1-99</w:t>
      </w:r>
      <w:r>
        <w:rPr>
          <w:sz w:val="22"/>
        </w:rPr>
        <w:tab/>
        <w:t>POL Memo #00-1</w:t>
      </w:r>
    </w:p>
    <w:p>
      <w:pPr>
        <w:spacing w:before="0"/>
        <w:ind w:left="1439" w:right="0" w:firstLine="0"/>
        <w:jc w:val="left"/>
        <w:rPr>
          <w:sz w:val="22"/>
        </w:rPr>
      </w:pPr>
      <w:r>
        <w:rPr>
          <w:sz w:val="22"/>
        </w:rPr>
        <w:t>Permanent,</w:t>
      </w:r>
      <w:r>
        <w:rPr>
          <w:spacing w:val="-10"/>
          <w:sz w:val="22"/>
        </w:rPr>
        <w:t> </w:t>
      </w:r>
      <w:r>
        <w:rPr>
          <w:sz w:val="22"/>
        </w:rPr>
        <w:t>supersedes</w:t>
      </w:r>
      <w:r>
        <w:rPr>
          <w:spacing w:val="-12"/>
          <w:sz w:val="22"/>
        </w:rPr>
        <w:t> </w:t>
      </w:r>
      <w:r>
        <w:rPr>
          <w:sz w:val="22"/>
        </w:rPr>
        <w:t>emergency</w:t>
      </w:r>
      <w:r>
        <w:rPr>
          <w:spacing w:val="-11"/>
          <w:sz w:val="22"/>
        </w:rPr>
        <w:t> </w:t>
      </w:r>
      <w:r>
        <w:rPr>
          <w:sz w:val="22"/>
        </w:rPr>
        <w:t>rules</w:t>
      </w:r>
      <w:r>
        <w:rPr>
          <w:spacing w:val="-11"/>
          <w:sz w:val="22"/>
        </w:rPr>
        <w:t> </w:t>
      </w:r>
      <w:r>
        <w:rPr>
          <w:sz w:val="22"/>
        </w:rPr>
        <w:t>issued</w:t>
      </w:r>
      <w:r>
        <w:rPr>
          <w:spacing w:val="-11"/>
          <w:sz w:val="22"/>
        </w:rPr>
        <w:t> </w:t>
      </w:r>
      <w:r>
        <w:rPr>
          <w:sz w:val="22"/>
        </w:rPr>
        <w:t>6-14-</w:t>
      </w:r>
      <w:r>
        <w:rPr>
          <w:spacing w:val="-5"/>
          <w:sz w:val="22"/>
        </w:rPr>
        <w:t>99</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1439" w:right="13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to</w:t>
      </w:r>
      <w:r>
        <w:rPr>
          <w:spacing w:val="-4"/>
          <w:sz w:val="22"/>
        </w:rPr>
        <w:t> </w:t>
      </w:r>
      <w:r>
        <w:rPr>
          <w:sz w:val="22"/>
        </w:rPr>
        <w:t>Services</w:t>
      </w:r>
      <w:r>
        <w:rPr>
          <w:spacing w:val="-3"/>
          <w:sz w:val="22"/>
        </w:rPr>
        <w:t> </w:t>
      </w:r>
      <w:r>
        <w:rPr>
          <w:sz w:val="22"/>
        </w:rPr>
        <w:t>for</w:t>
      </w:r>
      <w:r>
        <w:rPr>
          <w:spacing w:val="-4"/>
          <w:sz w:val="22"/>
        </w:rPr>
        <w:t> </w:t>
      </w:r>
      <w:r>
        <w:rPr>
          <w:sz w:val="22"/>
        </w:rPr>
        <w:t>the</w:t>
      </w:r>
      <w:r>
        <w:rPr>
          <w:spacing w:val="-4"/>
          <w:sz w:val="22"/>
        </w:rPr>
        <w:t> </w:t>
      </w:r>
      <w:r>
        <w:rPr>
          <w:sz w:val="22"/>
        </w:rPr>
        <w:t>Blind</w:t>
      </w:r>
      <w:r>
        <w:rPr>
          <w:spacing w:val="-3"/>
          <w:sz w:val="22"/>
        </w:rPr>
        <w:t> </w:t>
      </w:r>
      <w:r>
        <w:rPr>
          <w:sz w:val="22"/>
        </w:rPr>
        <w:t>and</w:t>
      </w:r>
      <w:r>
        <w:rPr>
          <w:spacing w:val="-3"/>
          <w:sz w:val="22"/>
        </w:rPr>
        <w:t> </w:t>
      </w:r>
      <w:r>
        <w:rPr>
          <w:sz w:val="22"/>
        </w:rPr>
        <w:t>Visually </w:t>
      </w:r>
      <w:r>
        <w:rPr>
          <w:spacing w:val="-2"/>
          <w:sz w:val="22"/>
        </w:rPr>
        <w:t>Impaired.</w:t>
      </w:r>
    </w:p>
    <w:p>
      <w:pPr>
        <w:spacing w:after="0"/>
        <w:jc w:val="left"/>
        <w:rPr>
          <w:sz w:val="22"/>
        </w:rPr>
        <w:sectPr>
          <w:pgSz w:w="12240" w:h="15840"/>
          <w:pgMar w:top="1340" w:bottom="280" w:left="1080" w:right="720"/>
        </w:sectPr>
      </w:pPr>
    </w:p>
    <w:p>
      <w:pPr>
        <w:pStyle w:val="Heading1"/>
      </w:pPr>
      <w:bookmarkStart w:name="SUBCHAPTER 1. GENERAL PROVISIONS" w:id="90"/>
      <w:bookmarkEnd w:id="90"/>
      <w:r>
        <w:rPr>
          <w:b w:val="0"/>
        </w:rPr>
      </w:r>
      <w:r>
        <w:rPr/>
        <w:t>SUBCHAPTER</w:t>
      </w:r>
      <w:r>
        <w:rPr>
          <w:spacing w:val="-4"/>
        </w:rPr>
        <w:t> </w:t>
      </w:r>
      <w:r>
        <w:rPr/>
        <w:t>1.</w:t>
      </w:r>
      <w:r>
        <w:rPr>
          <w:spacing w:val="-3"/>
        </w:rPr>
        <w:t> </w:t>
      </w:r>
      <w:r>
        <w:rPr/>
        <w:t>GENERAL</w:t>
      </w:r>
      <w:r>
        <w:rPr>
          <w:spacing w:val="-3"/>
        </w:rPr>
        <w:t> </w:t>
      </w:r>
      <w:r>
        <w:rPr>
          <w:spacing w:val="-2"/>
        </w:rPr>
        <w:t>PROVISIONS</w:t>
      </w:r>
    </w:p>
    <w:p>
      <w:pPr>
        <w:pStyle w:val="BodyText"/>
        <w:spacing w:before="204"/>
      </w:pPr>
      <w:r>
        <w:rPr>
          <w:spacing w:val="-2"/>
        </w:rPr>
        <w:t>Section</w:t>
      </w:r>
    </w:p>
    <w:p>
      <w:pPr>
        <w:pStyle w:val="BodyText"/>
        <w:tabs>
          <w:tab w:pos="1979" w:val="left" w:leader="none"/>
        </w:tabs>
        <w:spacing w:before="204"/>
      </w:pPr>
      <w:r>
        <w:rPr>
          <w:spacing w:val="-2"/>
        </w:rPr>
        <w:t>612:10-1-</w:t>
      </w:r>
      <w:r>
        <w:rPr>
          <w:spacing w:val="-5"/>
        </w:rPr>
        <w:t>1.</w:t>
      </w:r>
      <w:r>
        <w:rPr/>
        <w:tab/>
      </w:r>
      <w:r>
        <w:rPr>
          <w:spacing w:val="-2"/>
        </w:rPr>
        <w:t>Purpose</w:t>
      </w:r>
    </w:p>
    <w:p>
      <w:pPr>
        <w:pStyle w:val="BodyText"/>
        <w:spacing w:before="204"/>
      </w:pPr>
      <w:r>
        <w:rPr/>
        <w:t>612:10-1-1.1.</w:t>
      </w:r>
      <w:r>
        <w:rPr>
          <w:spacing w:val="24"/>
        </w:rPr>
        <w:t>  </w:t>
      </w:r>
      <w:r>
        <w:rPr/>
        <w:t>Legal</w:t>
      </w:r>
      <w:r>
        <w:rPr>
          <w:spacing w:val="-2"/>
        </w:rPr>
        <w:t> Authority</w:t>
      </w:r>
    </w:p>
    <w:p>
      <w:pPr>
        <w:pStyle w:val="BodyText"/>
        <w:tabs>
          <w:tab w:pos="1979" w:val="left" w:leader="none"/>
        </w:tabs>
        <w:spacing w:before="204"/>
      </w:pPr>
      <w:r>
        <w:rPr>
          <w:spacing w:val="-2"/>
        </w:rPr>
        <w:t>612:10-1-</w:t>
      </w:r>
      <w:r>
        <w:rPr>
          <w:spacing w:val="-5"/>
        </w:rPr>
        <w:t>2.</w:t>
      </w:r>
      <w:r>
        <w:rPr/>
        <w:tab/>
      </w:r>
      <w:r>
        <w:rPr>
          <w:spacing w:val="-2"/>
        </w:rPr>
        <w:t>Definitions</w:t>
      </w:r>
    </w:p>
    <w:p>
      <w:pPr>
        <w:pStyle w:val="BodyText"/>
        <w:tabs>
          <w:tab w:pos="1979" w:val="left" w:leader="none"/>
        </w:tabs>
        <w:spacing w:line="417" w:lineRule="auto" w:before="204"/>
        <w:ind w:right="3881"/>
      </w:pPr>
      <w:r>
        <w:rPr>
          <w:spacing w:val="-2"/>
        </w:rPr>
        <w:t>612:10-1-3.</w:t>
      </w:r>
      <w:r>
        <w:rPr/>
        <w:tab/>
        <w:t>Basic</w:t>
      </w:r>
      <w:r>
        <w:rPr>
          <w:spacing w:val="-10"/>
        </w:rPr>
        <w:t> </w:t>
      </w:r>
      <w:r>
        <w:rPr/>
        <w:t>philosophy</w:t>
      </w:r>
      <w:r>
        <w:rPr>
          <w:spacing w:val="-10"/>
        </w:rPr>
        <w:t> </w:t>
      </w:r>
      <w:r>
        <w:rPr/>
        <w:t>of</w:t>
      </w:r>
      <w:r>
        <w:rPr>
          <w:spacing w:val="-9"/>
        </w:rPr>
        <w:t> </w:t>
      </w:r>
      <w:r>
        <w:rPr/>
        <w:t>rehabilitation</w:t>
      </w:r>
      <w:r>
        <w:rPr>
          <w:spacing w:val="-9"/>
        </w:rPr>
        <w:t> </w:t>
      </w:r>
      <w:r>
        <w:rPr/>
        <w:t>programs 612:10-1-3.1.</w:t>
      </w:r>
      <w:r>
        <w:rPr>
          <w:spacing w:val="80"/>
        </w:rPr>
        <w:t> </w:t>
      </w:r>
      <w:r>
        <w:rPr/>
        <w:t>Procedural exceptions</w:t>
      </w:r>
    </w:p>
    <w:p>
      <w:pPr>
        <w:pStyle w:val="BodyText"/>
        <w:spacing w:line="276" w:lineRule="exact" w:before="0"/>
      </w:pPr>
      <w:r>
        <w:rPr/>
        <w:t>612:10-1-3.2.</w:t>
      </w:r>
      <w:r>
        <w:rPr>
          <w:spacing w:val="24"/>
        </w:rPr>
        <w:t>  </w:t>
      </w:r>
      <w:r>
        <w:rPr/>
        <w:t>Pilot</w:t>
      </w:r>
      <w:r>
        <w:rPr>
          <w:spacing w:val="-1"/>
        </w:rPr>
        <w:t> </w:t>
      </w:r>
      <w:r>
        <w:rPr>
          <w:spacing w:val="-2"/>
        </w:rPr>
        <w:t>projects</w:t>
      </w:r>
    </w:p>
    <w:p>
      <w:pPr>
        <w:pStyle w:val="BodyText"/>
        <w:tabs>
          <w:tab w:pos="1979" w:val="left" w:leader="none"/>
        </w:tabs>
        <w:spacing w:line="417" w:lineRule="auto" w:before="204"/>
        <w:ind w:right="3308"/>
      </w:pPr>
      <w:r>
        <w:rPr>
          <w:spacing w:val="-2"/>
        </w:rPr>
        <w:t>612:10-1-4.</w:t>
      </w:r>
      <w:r>
        <w:rPr/>
        <w:tab/>
        <w:t>Consultants</w:t>
      </w:r>
      <w:r>
        <w:rPr>
          <w:spacing w:val="-10"/>
        </w:rPr>
        <w:t> </w:t>
      </w:r>
      <w:r>
        <w:rPr/>
        <w:t>(medical,</w:t>
      </w:r>
      <w:r>
        <w:rPr>
          <w:spacing w:val="-11"/>
        </w:rPr>
        <w:t> </w:t>
      </w:r>
      <w:r>
        <w:rPr/>
        <w:t>dental,</w:t>
      </w:r>
      <w:r>
        <w:rPr>
          <w:spacing w:val="-9"/>
        </w:rPr>
        <w:t> </w:t>
      </w:r>
      <w:r>
        <w:rPr/>
        <w:t>and</w:t>
      </w:r>
      <w:r>
        <w:rPr>
          <w:spacing w:val="-9"/>
        </w:rPr>
        <w:t> </w:t>
      </w:r>
      <w:r>
        <w:rPr/>
        <w:t>psychological) </w:t>
      </w:r>
      <w:r>
        <w:rPr>
          <w:spacing w:val="-2"/>
        </w:rPr>
        <w:t>612:10-1-5.</w:t>
      </w:r>
      <w:r>
        <w:rPr/>
        <w:tab/>
      </w:r>
      <w:r>
        <w:rPr>
          <w:spacing w:val="-2"/>
        </w:rPr>
        <w:t>Confidentiality</w:t>
      </w:r>
    </w:p>
    <w:p>
      <w:pPr>
        <w:pStyle w:val="BodyText"/>
        <w:tabs>
          <w:tab w:pos="1979" w:val="left" w:leader="none"/>
        </w:tabs>
        <w:spacing w:line="276" w:lineRule="exact" w:before="0"/>
      </w:pPr>
      <w:r>
        <w:rPr>
          <w:spacing w:val="-2"/>
        </w:rPr>
        <w:t>612:10-1-</w:t>
      </w:r>
      <w:r>
        <w:rPr>
          <w:spacing w:val="-5"/>
        </w:rPr>
        <w:t>6.</w:t>
      </w:r>
      <w:r>
        <w:rPr/>
        <w:tab/>
        <w:t>Due</w:t>
      </w:r>
      <w:r>
        <w:rPr>
          <w:spacing w:val="-2"/>
        </w:rPr>
        <w:t> process</w:t>
      </w:r>
    </w:p>
    <w:p>
      <w:pPr>
        <w:pStyle w:val="BodyText"/>
        <w:tabs>
          <w:tab w:pos="1979" w:val="left" w:leader="none"/>
        </w:tabs>
        <w:spacing w:before="204"/>
      </w:pPr>
      <w:r>
        <w:rPr>
          <w:spacing w:val="-2"/>
        </w:rPr>
        <w:t>612:10-1-</w:t>
      </w:r>
      <w:r>
        <w:rPr>
          <w:spacing w:val="-5"/>
        </w:rPr>
        <w:t>7.</w:t>
      </w:r>
      <w:r>
        <w:rPr/>
        <w:tab/>
        <w:t>Purchase</w:t>
      </w:r>
      <w:r>
        <w:rPr>
          <w:spacing w:val="-5"/>
        </w:rPr>
        <w:t> </w:t>
      </w:r>
      <w:r>
        <w:rPr/>
        <w:t>of</w:t>
      </w:r>
      <w:r>
        <w:rPr>
          <w:spacing w:val="-3"/>
        </w:rPr>
        <w:t> </w:t>
      </w:r>
      <w:r>
        <w:rPr/>
        <w:t>services</w:t>
      </w:r>
      <w:r>
        <w:rPr>
          <w:spacing w:val="-3"/>
        </w:rPr>
        <w:t> </w:t>
      </w:r>
      <w:r>
        <w:rPr/>
        <w:t>and</w:t>
      </w:r>
      <w:r>
        <w:rPr>
          <w:spacing w:val="-2"/>
        </w:rPr>
        <w:t> </w:t>
      </w:r>
      <w:r>
        <w:rPr/>
        <w:t>goods</w:t>
      </w:r>
      <w:r>
        <w:rPr>
          <w:spacing w:val="-3"/>
        </w:rPr>
        <w:t> </w:t>
      </w:r>
      <w:r>
        <w:rPr/>
        <w:t>for</w:t>
      </w:r>
      <w:r>
        <w:rPr>
          <w:spacing w:val="-3"/>
        </w:rPr>
        <w:t> </w:t>
      </w:r>
      <w:r>
        <w:rPr/>
        <w:t>individuals</w:t>
      </w:r>
      <w:r>
        <w:rPr>
          <w:spacing w:val="-3"/>
        </w:rPr>
        <w:t> </w:t>
      </w:r>
      <w:r>
        <w:rPr/>
        <w:t>with</w:t>
      </w:r>
      <w:r>
        <w:rPr>
          <w:spacing w:val="-2"/>
        </w:rPr>
        <w:t> disabilities</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3-1-97</w:t>
      </w:r>
      <w:r>
        <w:rPr>
          <w:sz w:val="22"/>
        </w:rPr>
        <w:tab/>
        <w:t>PT Memo #97-5</w:t>
      </w:r>
    </w:p>
    <w:p>
      <w:pPr>
        <w:tabs>
          <w:tab w:pos="1439" w:val="left" w:leader="none"/>
        </w:tabs>
        <w:spacing w:before="1"/>
        <w:ind w:left="359" w:right="5255" w:firstLine="1080"/>
        <w:jc w:val="left"/>
        <w:rPr>
          <w:sz w:val="22"/>
        </w:rPr>
      </w:pPr>
      <w:r>
        <w:rPr>
          <w:sz w:val="22"/>
        </w:rPr>
        <w:t>Revised</w:t>
      </w:r>
      <w:r>
        <w:rPr>
          <w:spacing w:val="-10"/>
          <w:sz w:val="22"/>
        </w:rPr>
        <w:t> </w:t>
      </w:r>
      <w:r>
        <w:rPr>
          <w:sz w:val="22"/>
        </w:rPr>
        <w:t>tagline</w:t>
      </w:r>
      <w:r>
        <w:rPr>
          <w:spacing w:val="-10"/>
          <w:sz w:val="22"/>
        </w:rPr>
        <w:t> </w:t>
      </w:r>
      <w:r>
        <w:rPr>
          <w:sz w:val="22"/>
        </w:rPr>
        <w:t>for</w:t>
      </w:r>
      <w:r>
        <w:rPr>
          <w:spacing w:val="-10"/>
          <w:sz w:val="22"/>
        </w:rPr>
        <w:t> </w:t>
      </w:r>
      <w:r>
        <w:rPr>
          <w:sz w:val="22"/>
        </w:rPr>
        <w:t>Section</w:t>
      </w:r>
      <w:r>
        <w:rPr>
          <w:spacing w:val="-10"/>
          <w:sz w:val="22"/>
        </w:rPr>
        <w:t> </w:t>
      </w:r>
      <w:r>
        <w:rPr>
          <w:sz w:val="22"/>
        </w:rPr>
        <w:t>612:10-1-7 </w:t>
      </w:r>
      <w:r>
        <w:rPr>
          <w:spacing w:val="-2"/>
          <w:sz w:val="22"/>
        </w:rPr>
        <w:t>7-1-97</w:t>
      </w:r>
      <w:r>
        <w:rPr>
          <w:sz w:val="22"/>
        </w:rPr>
        <w:tab/>
        <w:t>PT Memo #97-9</w:t>
      </w:r>
    </w:p>
    <w:p>
      <w:pPr>
        <w:tabs>
          <w:tab w:pos="1439" w:val="left" w:leader="none"/>
        </w:tabs>
        <w:spacing w:before="0"/>
        <w:ind w:left="359" w:right="4853" w:firstLine="1079"/>
        <w:jc w:val="left"/>
        <w:rPr>
          <w:sz w:val="22"/>
        </w:rPr>
      </w:pPr>
      <w:r>
        <w:rPr>
          <w:sz w:val="22"/>
        </w:rPr>
        <w:t>Removed</w:t>
      </w:r>
      <w:r>
        <w:rPr>
          <w:spacing w:val="-8"/>
          <w:sz w:val="22"/>
        </w:rPr>
        <w:t> </w:t>
      </w:r>
      <w:r>
        <w:rPr>
          <w:sz w:val="22"/>
        </w:rPr>
        <w:t>entry</w:t>
      </w:r>
      <w:r>
        <w:rPr>
          <w:spacing w:val="-8"/>
          <w:sz w:val="22"/>
        </w:rPr>
        <w:t> </w:t>
      </w:r>
      <w:r>
        <w:rPr>
          <w:sz w:val="22"/>
        </w:rPr>
        <w:t>for</w:t>
      </w:r>
      <w:r>
        <w:rPr>
          <w:spacing w:val="-8"/>
          <w:sz w:val="22"/>
        </w:rPr>
        <w:t> </w:t>
      </w:r>
      <w:r>
        <w:rPr>
          <w:sz w:val="22"/>
        </w:rPr>
        <w:t>revoked</w:t>
      </w:r>
      <w:r>
        <w:rPr>
          <w:spacing w:val="-8"/>
          <w:sz w:val="22"/>
        </w:rPr>
        <w:t> </w:t>
      </w:r>
      <w:r>
        <w:rPr>
          <w:sz w:val="22"/>
        </w:rPr>
        <w:t>Section</w:t>
      </w:r>
      <w:r>
        <w:rPr>
          <w:spacing w:val="-9"/>
          <w:sz w:val="22"/>
        </w:rPr>
        <w:t> </w:t>
      </w:r>
      <w:r>
        <w:rPr>
          <w:sz w:val="22"/>
        </w:rPr>
        <w:t>10-1-9 </w:t>
      </w:r>
      <w:r>
        <w:rPr>
          <w:spacing w:val="-2"/>
          <w:sz w:val="22"/>
        </w:rPr>
        <w:t>7-1-11</w:t>
      </w:r>
      <w:r>
        <w:rPr>
          <w:sz w:val="22"/>
        </w:rPr>
        <w:tab/>
        <w:t>PT Memo #12-01</w:t>
      </w:r>
    </w:p>
    <w:p>
      <w:pPr>
        <w:spacing w:before="0"/>
        <w:ind w:left="1439" w:right="0" w:firstLine="0"/>
        <w:jc w:val="left"/>
        <w:rPr>
          <w:sz w:val="22"/>
        </w:rPr>
      </w:pPr>
      <w:r>
        <w:rPr>
          <w:sz w:val="22"/>
        </w:rPr>
        <w:t>Permanent,</w:t>
      </w:r>
      <w:r>
        <w:rPr>
          <w:spacing w:val="-7"/>
          <w:sz w:val="22"/>
        </w:rPr>
        <w:t> </w:t>
      </w:r>
      <w:r>
        <w:rPr>
          <w:sz w:val="22"/>
        </w:rPr>
        <w:t>added</w:t>
      </w:r>
      <w:r>
        <w:rPr>
          <w:spacing w:val="-7"/>
          <w:sz w:val="22"/>
        </w:rPr>
        <w:t> </w:t>
      </w:r>
      <w:r>
        <w:rPr>
          <w:sz w:val="22"/>
        </w:rPr>
        <w:t>10-1-1.1,</w:t>
      </w:r>
      <w:r>
        <w:rPr>
          <w:spacing w:val="-7"/>
          <w:sz w:val="22"/>
        </w:rPr>
        <w:t> </w:t>
      </w:r>
      <w:r>
        <w:rPr>
          <w:sz w:val="22"/>
        </w:rPr>
        <w:t>3.1</w:t>
      </w:r>
      <w:r>
        <w:rPr>
          <w:spacing w:val="-7"/>
          <w:sz w:val="22"/>
        </w:rPr>
        <w:t> </w:t>
      </w:r>
      <w:r>
        <w:rPr>
          <w:sz w:val="22"/>
        </w:rPr>
        <w:t>and</w:t>
      </w:r>
      <w:r>
        <w:rPr>
          <w:spacing w:val="-8"/>
          <w:sz w:val="22"/>
        </w:rPr>
        <w:t> </w:t>
      </w:r>
      <w:r>
        <w:rPr>
          <w:spacing w:val="-5"/>
          <w:sz w:val="22"/>
        </w:rPr>
        <w:t>3.2</w:t>
      </w:r>
    </w:p>
    <w:p>
      <w:pPr>
        <w:tabs>
          <w:tab w:pos="1439" w:val="left" w:leader="none"/>
        </w:tabs>
        <w:spacing w:before="0"/>
        <w:ind w:left="359" w:right="0" w:firstLine="0"/>
        <w:jc w:val="left"/>
        <w:rPr>
          <w:sz w:val="22"/>
        </w:rPr>
      </w:pPr>
      <w:r>
        <w:rPr>
          <w:spacing w:val="-2"/>
          <w:sz w:val="22"/>
        </w:rPr>
        <w:t>9-12-</w:t>
      </w:r>
      <w:r>
        <w:rPr>
          <w:spacing w:val="-5"/>
          <w:sz w:val="22"/>
        </w:rPr>
        <w:t>14</w:t>
      </w:r>
      <w:r>
        <w:rPr>
          <w:sz w:val="22"/>
        </w:rPr>
        <w:tab/>
        <w:t>Revoked</w:t>
      </w:r>
      <w:r>
        <w:rPr>
          <w:spacing w:val="-8"/>
          <w:sz w:val="22"/>
        </w:rPr>
        <w:t> </w:t>
      </w:r>
      <w:r>
        <w:rPr>
          <w:sz w:val="22"/>
        </w:rPr>
        <w:t>612:10-1-10,</w:t>
      </w:r>
      <w:r>
        <w:rPr>
          <w:spacing w:val="-8"/>
          <w:sz w:val="22"/>
        </w:rPr>
        <w:t> </w:t>
      </w:r>
      <w:r>
        <w:rPr>
          <w:sz w:val="22"/>
        </w:rPr>
        <w:t>CAR</w:t>
      </w:r>
      <w:r>
        <w:rPr>
          <w:spacing w:val="-9"/>
          <w:sz w:val="22"/>
        </w:rPr>
        <w:t> </w:t>
      </w:r>
      <w:r>
        <w:rPr>
          <w:sz w:val="22"/>
        </w:rPr>
        <w:t>–</w:t>
      </w:r>
      <w:r>
        <w:rPr>
          <w:spacing w:val="-8"/>
          <w:sz w:val="22"/>
        </w:rPr>
        <w:t> </w:t>
      </w:r>
      <w:r>
        <w:rPr>
          <w:spacing w:val="-2"/>
          <w:sz w:val="22"/>
        </w:rPr>
        <w:t>Vendor</w:t>
      </w:r>
    </w:p>
    <w:p>
      <w:pPr>
        <w:tabs>
          <w:tab w:pos="1439" w:val="left" w:leader="none"/>
        </w:tabs>
        <w:spacing w:before="0"/>
        <w:ind w:left="359" w:right="0" w:firstLine="0"/>
        <w:jc w:val="left"/>
        <w:rPr>
          <w:sz w:val="22"/>
        </w:rPr>
      </w:pPr>
      <w:r>
        <w:rPr>
          <w:spacing w:val="-2"/>
          <w:sz w:val="22"/>
        </w:rPr>
        <w:t>8-26-</w:t>
      </w:r>
      <w:r>
        <w:rPr>
          <w:spacing w:val="-5"/>
          <w:sz w:val="22"/>
        </w:rPr>
        <w:t>21</w:t>
      </w:r>
      <w:r>
        <w:rPr>
          <w:sz w:val="22"/>
        </w:rPr>
        <w:tab/>
        <w:t>Revoked</w:t>
      </w:r>
      <w:r>
        <w:rPr>
          <w:spacing w:val="-10"/>
          <w:sz w:val="22"/>
        </w:rPr>
        <w:t> </w:t>
      </w:r>
      <w:r>
        <w:rPr>
          <w:sz w:val="22"/>
        </w:rPr>
        <w:t>612:10-1-8</w:t>
      </w:r>
      <w:r>
        <w:rPr>
          <w:spacing w:val="-10"/>
          <w:sz w:val="22"/>
        </w:rPr>
        <w:t> </w:t>
      </w:r>
      <w:r>
        <w:rPr>
          <w:sz w:val="22"/>
        </w:rPr>
        <w:t>Vendor</w:t>
      </w:r>
      <w:r>
        <w:rPr>
          <w:spacing w:val="-10"/>
          <w:sz w:val="22"/>
        </w:rPr>
        <w:t> </w:t>
      </w:r>
      <w:r>
        <w:rPr>
          <w:spacing w:val="-2"/>
          <w:sz w:val="22"/>
        </w:rPr>
        <w:t>contracts</w:t>
      </w:r>
    </w:p>
    <w:p>
      <w:pPr>
        <w:spacing w:after="0"/>
        <w:jc w:val="left"/>
        <w:rPr>
          <w:sz w:val="22"/>
        </w:rPr>
        <w:sectPr>
          <w:pgSz w:w="12240" w:h="15840"/>
          <w:pgMar w:top="1340" w:bottom="280" w:left="1080" w:right="720"/>
        </w:sectPr>
      </w:pPr>
    </w:p>
    <w:p>
      <w:pPr>
        <w:pStyle w:val="Heading2"/>
      </w:pPr>
      <w:bookmarkStart w:name="612:10-1-1.  Purpose" w:id="91"/>
      <w:bookmarkEnd w:id="91"/>
      <w:r>
        <w:rPr>
          <w:b w:val="0"/>
        </w:rPr>
      </w:r>
      <w:r>
        <w:rPr/>
        <w:t>612:10-1-1.</w:t>
      </w:r>
      <w:r>
        <w:rPr>
          <w:spacing w:val="58"/>
        </w:rPr>
        <w:t> </w:t>
      </w:r>
      <w:r>
        <w:rPr>
          <w:spacing w:val="-2"/>
        </w:rPr>
        <w:t>Purpose</w:t>
      </w:r>
    </w:p>
    <w:p>
      <w:pPr>
        <w:pStyle w:val="BodyText"/>
        <w:spacing w:line="208" w:lineRule="auto" w:before="233"/>
        <w:ind w:right="775" w:firstLine="432"/>
      </w:pPr>
      <w:r>
        <w:rPr/>
        <w:t>The purpose of this Chapter is to set forth rules for the provision of services provided</w:t>
      </w:r>
      <w:r>
        <w:rPr>
          <w:spacing w:val="-3"/>
        </w:rPr>
        <w:t> </w:t>
      </w:r>
      <w:r>
        <w:rPr/>
        <w:t>by</w:t>
      </w:r>
      <w:r>
        <w:rPr>
          <w:spacing w:val="-3"/>
        </w:rPr>
        <w:t> </w:t>
      </w:r>
      <w:r>
        <w:rPr/>
        <w:t>the</w:t>
      </w:r>
      <w:r>
        <w:rPr>
          <w:spacing w:val="-3"/>
        </w:rPr>
        <w:t> </w:t>
      </w:r>
      <w:r>
        <w:rPr/>
        <w:t>Division</w:t>
      </w:r>
      <w:r>
        <w:rPr>
          <w:spacing w:val="-3"/>
        </w:rPr>
        <w:t> </w:t>
      </w:r>
      <w:r>
        <w:rPr/>
        <w:t>of</w:t>
      </w:r>
      <w:r>
        <w:rPr>
          <w:spacing w:val="-2"/>
        </w:rPr>
        <w:t> </w:t>
      </w:r>
      <w:r>
        <w:rPr/>
        <w:t>Vocational</w:t>
      </w:r>
      <w:r>
        <w:rPr>
          <w:spacing w:val="-3"/>
        </w:rPr>
        <w:t> </w:t>
      </w:r>
      <w:r>
        <w:rPr/>
        <w:t>Rehabilitation</w:t>
      </w:r>
      <w:r>
        <w:rPr>
          <w:spacing w:val="-3"/>
        </w:rPr>
        <w:t> </w:t>
      </w:r>
      <w:r>
        <w:rPr/>
        <w:t>and</w:t>
      </w:r>
      <w:r>
        <w:rPr>
          <w:spacing w:val="-3"/>
        </w:rPr>
        <w:t> </w:t>
      </w:r>
      <w:r>
        <w:rPr/>
        <w:t>the</w:t>
      </w:r>
      <w:r>
        <w:rPr>
          <w:spacing w:val="-3"/>
        </w:rPr>
        <w:t> </w:t>
      </w:r>
      <w:r>
        <w:rPr/>
        <w:t>Division</w:t>
      </w:r>
      <w:r>
        <w:rPr>
          <w:spacing w:val="-3"/>
        </w:rPr>
        <w:t> </w:t>
      </w:r>
      <w:r>
        <w:rPr/>
        <w:t>of</w:t>
      </w:r>
      <w:r>
        <w:rPr>
          <w:spacing w:val="-2"/>
        </w:rPr>
        <w:t> </w:t>
      </w:r>
      <w:r>
        <w:rPr/>
        <w:t>Services</w:t>
      </w:r>
      <w:r>
        <w:rPr>
          <w:spacing w:val="-3"/>
        </w:rPr>
        <w:t> </w:t>
      </w:r>
      <w:r>
        <w:rPr/>
        <w:t>for</w:t>
      </w:r>
      <w:r>
        <w:rPr>
          <w:spacing w:val="-4"/>
        </w:rPr>
        <w:t> </w:t>
      </w:r>
      <w:r>
        <w:rPr/>
        <w:t>the Blind and Visually Impaired.</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7-1-99</w:t>
      </w:r>
      <w:r>
        <w:rPr>
          <w:sz w:val="22"/>
        </w:rPr>
        <w:tab/>
        <w:t>POL Memo #00-1</w:t>
      </w:r>
    </w:p>
    <w:p>
      <w:pPr>
        <w:tabs>
          <w:tab w:pos="1439" w:val="left" w:leader="none"/>
        </w:tabs>
        <w:spacing w:before="0"/>
        <w:ind w:left="359" w:right="3397" w:firstLine="1080"/>
        <w:jc w:val="left"/>
        <w:rPr>
          <w:sz w:val="22"/>
        </w:rPr>
      </w:pPr>
      <w:r>
        <w:rPr>
          <w:sz w:val="22"/>
        </w:rPr>
        <w:t>Permanent,</w:t>
      </w:r>
      <w:r>
        <w:rPr>
          <w:spacing w:val="-6"/>
          <w:sz w:val="22"/>
        </w:rPr>
        <w:t> </w:t>
      </w:r>
      <w:r>
        <w:rPr>
          <w:sz w:val="22"/>
        </w:rPr>
        <w:t>updated</w:t>
      </w:r>
      <w:r>
        <w:rPr>
          <w:spacing w:val="-7"/>
          <w:sz w:val="22"/>
        </w:rPr>
        <w:t> </w:t>
      </w:r>
      <w:r>
        <w:rPr>
          <w:sz w:val="22"/>
        </w:rPr>
        <w:t>DVR/DVS</w:t>
      </w:r>
      <w:r>
        <w:rPr>
          <w:spacing w:val="-7"/>
          <w:sz w:val="22"/>
        </w:rPr>
        <w:t> </w:t>
      </w:r>
      <w:r>
        <w:rPr>
          <w:sz w:val="22"/>
        </w:rPr>
        <w:t>and</w:t>
      </w:r>
      <w:r>
        <w:rPr>
          <w:spacing w:val="-6"/>
          <w:sz w:val="22"/>
        </w:rPr>
        <w:t> </w:t>
      </w:r>
      <w:r>
        <w:rPr>
          <w:sz w:val="22"/>
        </w:rPr>
        <w:t>Rehab.</w:t>
      </w:r>
      <w:r>
        <w:rPr>
          <w:spacing w:val="-7"/>
          <w:sz w:val="22"/>
        </w:rPr>
        <w:t> </w:t>
      </w:r>
      <w:r>
        <w:rPr>
          <w:sz w:val="22"/>
        </w:rPr>
        <w:t>Act</w:t>
      </w:r>
      <w:r>
        <w:rPr>
          <w:spacing w:val="-7"/>
          <w:sz w:val="22"/>
        </w:rPr>
        <w:t> </w:t>
      </w:r>
      <w:r>
        <w:rPr>
          <w:sz w:val="22"/>
        </w:rPr>
        <w:t>reference </w:t>
      </w:r>
      <w:r>
        <w:rPr>
          <w:spacing w:val="-2"/>
          <w:sz w:val="22"/>
        </w:rPr>
        <w:t>7-1-11</w:t>
      </w:r>
      <w:r>
        <w:rPr>
          <w:sz w:val="22"/>
        </w:rPr>
        <w:tab/>
        <w:t>PT Memo #12-01</w:t>
      </w:r>
    </w:p>
    <w:p>
      <w:pPr>
        <w:tabs>
          <w:tab w:pos="1439" w:val="left" w:leader="none"/>
        </w:tabs>
        <w:spacing w:before="0"/>
        <w:ind w:left="359" w:right="855" w:firstLine="1080"/>
        <w:jc w:val="left"/>
        <w:rPr>
          <w:sz w:val="22"/>
        </w:rPr>
      </w:pPr>
      <w:r>
        <w:rPr>
          <w:sz w:val="22"/>
        </w:rPr>
        <w:t>Permanent,</w:t>
      </w:r>
      <w:r>
        <w:rPr>
          <w:spacing w:val="-1"/>
          <w:sz w:val="22"/>
        </w:rPr>
        <w:t> </w:t>
      </w:r>
      <w:r>
        <w:rPr>
          <w:sz w:val="22"/>
        </w:rPr>
        <w:t>amended</w:t>
      </w:r>
      <w:r>
        <w:rPr>
          <w:spacing w:val="-2"/>
          <w:sz w:val="22"/>
        </w:rPr>
        <w:t> </w:t>
      </w:r>
      <w:r>
        <w:rPr>
          <w:sz w:val="22"/>
        </w:rPr>
        <w:t>to</w:t>
      </w:r>
      <w:r>
        <w:rPr>
          <w:spacing w:val="-2"/>
          <w:sz w:val="22"/>
        </w:rPr>
        <w:t> </w:t>
      </w:r>
      <w:r>
        <w:rPr>
          <w:sz w:val="22"/>
        </w:rPr>
        <w:t>state</w:t>
      </w:r>
      <w:r>
        <w:rPr>
          <w:spacing w:val="-2"/>
          <w:sz w:val="22"/>
        </w:rPr>
        <w:t> </w:t>
      </w:r>
      <w:r>
        <w:rPr>
          <w:sz w:val="22"/>
        </w:rPr>
        <w:t>purpose</w:t>
      </w:r>
      <w:r>
        <w:rPr>
          <w:spacing w:val="-2"/>
          <w:sz w:val="22"/>
        </w:rPr>
        <w:t> </w:t>
      </w:r>
      <w:r>
        <w:rPr>
          <w:sz w:val="22"/>
        </w:rPr>
        <w:t>only.</w:t>
      </w:r>
      <w:r>
        <w:rPr>
          <w:spacing w:val="40"/>
          <w:sz w:val="22"/>
        </w:rPr>
        <w:t> </w:t>
      </w:r>
      <w:r>
        <w:rPr>
          <w:sz w:val="22"/>
        </w:rPr>
        <w:t>Legal</w:t>
      </w:r>
      <w:r>
        <w:rPr>
          <w:spacing w:val="-2"/>
          <w:sz w:val="22"/>
        </w:rPr>
        <w:t> </w:t>
      </w:r>
      <w:r>
        <w:rPr>
          <w:sz w:val="22"/>
        </w:rPr>
        <w:t>authority</w:t>
      </w:r>
      <w:r>
        <w:rPr>
          <w:spacing w:val="-3"/>
          <w:sz w:val="22"/>
        </w:rPr>
        <w:t> </w:t>
      </w:r>
      <w:r>
        <w:rPr>
          <w:sz w:val="22"/>
        </w:rPr>
        <w:t>moved</w:t>
      </w:r>
      <w:r>
        <w:rPr>
          <w:spacing w:val="-2"/>
          <w:sz w:val="22"/>
        </w:rPr>
        <w:t> </w:t>
      </w:r>
      <w:r>
        <w:rPr>
          <w:sz w:val="22"/>
        </w:rPr>
        <w:t>to</w:t>
      </w:r>
      <w:r>
        <w:rPr>
          <w:spacing w:val="-2"/>
          <w:sz w:val="22"/>
        </w:rPr>
        <w:t> </w:t>
      </w:r>
      <w:r>
        <w:rPr>
          <w:sz w:val="22"/>
        </w:rPr>
        <w:t>612:10-1-1.1 </w:t>
      </w:r>
      <w:r>
        <w:rPr>
          <w:spacing w:val="-2"/>
          <w:sz w:val="22"/>
        </w:rPr>
        <w:t>8-27-</w:t>
      </w:r>
      <w:r>
        <w:rPr>
          <w:spacing w:val="-5"/>
          <w:sz w:val="22"/>
        </w:rPr>
        <w:t>15</w:t>
      </w:r>
      <w:r>
        <w:rPr>
          <w:sz w:val="22"/>
        </w:rPr>
        <w:tab/>
        <w:t>Division</w:t>
      </w:r>
      <w:r>
        <w:rPr>
          <w:spacing w:val="-7"/>
          <w:sz w:val="22"/>
        </w:rPr>
        <w:t> </w:t>
      </w:r>
      <w:r>
        <w:rPr>
          <w:sz w:val="22"/>
        </w:rPr>
        <w:t>name</w:t>
      </w:r>
      <w:r>
        <w:rPr>
          <w:spacing w:val="-7"/>
          <w:sz w:val="22"/>
        </w:rPr>
        <w:t> </w:t>
      </w:r>
      <w:r>
        <w:rPr>
          <w:sz w:val="22"/>
        </w:rPr>
        <w:t>change</w:t>
      </w:r>
      <w:r>
        <w:rPr>
          <w:spacing w:val="-7"/>
          <w:sz w:val="22"/>
        </w:rPr>
        <w:t> </w:t>
      </w:r>
      <w:r>
        <w:rPr>
          <w:sz w:val="22"/>
        </w:rPr>
        <w:t>of</w:t>
      </w:r>
      <w:r>
        <w:rPr>
          <w:spacing w:val="-7"/>
          <w:sz w:val="22"/>
        </w:rPr>
        <w:t> </w:t>
      </w:r>
      <w:r>
        <w:rPr>
          <w:sz w:val="22"/>
        </w:rPr>
        <w:t>Visual</w:t>
      </w:r>
      <w:r>
        <w:rPr>
          <w:spacing w:val="-7"/>
          <w:sz w:val="22"/>
        </w:rPr>
        <w:t> </w:t>
      </w:r>
      <w:r>
        <w:rPr>
          <w:sz w:val="22"/>
        </w:rPr>
        <w:t>Services</w:t>
      </w:r>
      <w:r>
        <w:rPr>
          <w:spacing w:val="-7"/>
          <w:sz w:val="22"/>
        </w:rPr>
        <w:t> </w:t>
      </w:r>
      <w:r>
        <w:rPr>
          <w:sz w:val="22"/>
        </w:rPr>
        <w:t>to</w:t>
      </w:r>
      <w:r>
        <w:rPr>
          <w:spacing w:val="-8"/>
          <w:sz w:val="22"/>
        </w:rPr>
        <w:t> </w:t>
      </w:r>
      <w:r>
        <w:rPr>
          <w:sz w:val="22"/>
        </w:rPr>
        <w:t>Vocational</w:t>
      </w:r>
      <w:r>
        <w:rPr>
          <w:spacing w:val="-7"/>
          <w:sz w:val="22"/>
        </w:rPr>
        <w:t> </w:t>
      </w:r>
      <w:r>
        <w:rPr>
          <w:sz w:val="22"/>
        </w:rPr>
        <w:t>Rehabilitation</w:t>
      </w:r>
      <w:r>
        <w:rPr>
          <w:spacing w:val="-8"/>
          <w:sz w:val="22"/>
        </w:rPr>
        <w:t> </w:t>
      </w:r>
      <w:r>
        <w:rPr>
          <w:sz w:val="22"/>
        </w:rPr>
        <w:t>for</w:t>
      </w:r>
      <w:r>
        <w:rPr>
          <w:spacing w:val="-7"/>
          <w:sz w:val="22"/>
        </w:rPr>
        <w:t> </w:t>
      </w:r>
      <w:r>
        <w:rPr>
          <w:sz w:val="22"/>
        </w:rPr>
        <w:t>the</w:t>
      </w:r>
      <w:r>
        <w:rPr>
          <w:spacing w:val="-7"/>
          <w:sz w:val="22"/>
        </w:rPr>
        <w:t> </w:t>
      </w:r>
      <w:r>
        <w:rPr>
          <w:sz w:val="22"/>
        </w:rPr>
        <w:t>Blind</w:t>
      </w:r>
      <w:r>
        <w:rPr>
          <w:spacing w:val="-7"/>
          <w:sz w:val="22"/>
        </w:rPr>
        <w:t> </w:t>
      </w:r>
      <w:r>
        <w:rPr>
          <w:spacing w:val="-10"/>
          <w:sz w:val="22"/>
        </w:rPr>
        <w:t>&amp;</w:t>
      </w:r>
    </w:p>
    <w:p>
      <w:pPr>
        <w:spacing w:before="0"/>
        <w:ind w:left="1439" w:right="0" w:firstLine="0"/>
        <w:jc w:val="left"/>
        <w:rPr>
          <w:sz w:val="22"/>
        </w:rPr>
      </w:pPr>
      <w:r>
        <w:rPr>
          <w:sz w:val="22"/>
        </w:rPr>
        <w:t>Visually</w:t>
      </w:r>
      <w:r>
        <w:rPr>
          <w:spacing w:val="-9"/>
          <w:sz w:val="22"/>
        </w:rPr>
        <w:t> </w:t>
      </w:r>
      <w:r>
        <w:rPr>
          <w:spacing w:val="-2"/>
          <w:sz w:val="22"/>
        </w:rPr>
        <w:t>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1439" w:right="13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to</w:t>
      </w:r>
      <w:r>
        <w:rPr>
          <w:spacing w:val="-4"/>
          <w:sz w:val="22"/>
        </w:rPr>
        <w:t> </w:t>
      </w:r>
      <w:r>
        <w:rPr>
          <w:sz w:val="22"/>
        </w:rPr>
        <w:t>Services</w:t>
      </w:r>
      <w:r>
        <w:rPr>
          <w:spacing w:val="-3"/>
          <w:sz w:val="22"/>
        </w:rPr>
        <w:t> </w:t>
      </w:r>
      <w:r>
        <w:rPr>
          <w:sz w:val="22"/>
        </w:rPr>
        <w:t>for</w:t>
      </w:r>
      <w:r>
        <w:rPr>
          <w:spacing w:val="-4"/>
          <w:sz w:val="22"/>
        </w:rPr>
        <w:t> </w:t>
      </w:r>
      <w:r>
        <w:rPr>
          <w:sz w:val="22"/>
        </w:rPr>
        <w:t>the</w:t>
      </w:r>
      <w:r>
        <w:rPr>
          <w:spacing w:val="-4"/>
          <w:sz w:val="22"/>
        </w:rPr>
        <w:t> </w:t>
      </w:r>
      <w:r>
        <w:rPr>
          <w:sz w:val="22"/>
        </w:rPr>
        <w:t>Blind</w:t>
      </w:r>
      <w:r>
        <w:rPr>
          <w:spacing w:val="-3"/>
          <w:sz w:val="22"/>
        </w:rPr>
        <w:t> </w:t>
      </w:r>
      <w:r>
        <w:rPr>
          <w:sz w:val="22"/>
        </w:rPr>
        <w:t>and</w:t>
      </w:r>
      <w:r>
        <w:rPr>
          <w:spacing w:val="-3"/>
          <w:sz w:val="22"/>
        </w:rPr>
        <w:t> </w:t>
      </w:r>
      <w:r>
        <w:rPr>
          <w:sz w:val="22"/>
        </w:rPr>
        <w:t>Visually </w:t>
      </w:r>
      <w:r>
        <w:rPr>
          <w:spacing w:val="-2"/>
          <w:sz w:val="22"/>
        </w:rPr>
        <w:t>Impaired.</w:t>
      </w:r>
    </w:p>
    <w:p>
      <w:pPr>
        <w:spacing w:after="0"/>
        <w:jc w:val="left"/>
        <w:rPr>
          <w:sz w:val="22"/>
        </w:rPr>
        <w:sectPr>
          <w:pgSz w:w="12240" w:h="15840"/>
          <w:pgMar w:top="1340" w:bottom="280" w:left="1080" w:right="720"/>
        </w:sectPr>
      </w:pPr>
    </w:p>
    <w:p>
      <w:pPr>
        <w:pStyle w:val="Heading2"/>
      </w:pPr>
      <w:bookmarkStart w:name="612:10-1-1.1.  Legal Authority" w:id="92"/>
      <w:bookmarkEnd w:id="92"/>
      <w:r>
        <w:rPr>
          <w:b w:val="0"/>
        </w:rPr>
      </w:r>
      <w:r>
        <w:rPr/>
        <w:t>612:10-1-1.1.</w:t>
      </w:r>
      <w:r>
        <w:rPr>
          <w:spacing w:val="58"/>
        </w:rPr>
        <w:t> </w:t>
      </w:r>
      <w:r>
        <w:rPr/>
        <w:t>Legal</w:t>
      </w:r>
      <w:r>
        <w:rPr>
          <w:spacing w:val="-5"/>
        </w:rPr>
        <w:t> </w:t>
      </w:r>
      <w:r>
        <w:rPr>
          <w:spacing w:val="-2"/>
        </w:rPr>
        <w:t>Authority</w:t>
      </w:r>
    </w:p>
    <w:p>
      <w:pPr>
        <w:pStyle w:val="BodyText"/>
        <w:spacing w:line="208" w:lineRule="auto" w:before="233"/>
        <w:ind w:right="746" w:firstLine="432"/>
      </w:pPr>
      <w:r>
        <w:rPr/>
        <w:t>The administrative rules presented in this Chapter are based upon the</w:t>
      </w:r>
      <w:r>
        <w:rPr/>
        <w:t> Rehabilitation Act [29 USC 701 et seq.], and were promulgated by the Commission for Rehabilitation Services under the authority of 74 O.S., Section 166.1, et seq. and reauthorized under the Workforce Innovation and Opportunity Act (WIOA) (P.L. 113- 128), signed into law on July 22, 2014. To the extent that any of these administrative rules</w:t>
      </w:r>
      <w:r>
        <w:rPr>
          <w:spacing w:val="-4"/>
        </w:rPr>
        <w:t> </w:t>
      </w:r>
      <w:r>
        <w:rPr/>
        <w:t>are</w:t>
      </w:r>
      <w:r>
        <w:rPr>
          <w:spacing w:val="-4"/>
        </w:rPr>
        <w:t> </w:t>
      </w:r>
      <w:r>
        <w:rPr/>
        <w:t>inconsistent</w:t>
      </w:r>
      <w:r>
        <w:rPr>
          <w:spacing w:val="-3"/>
        </w:rPr>
        <w:t> </w:t>
      </w:r>
      <w:r>
        <w:rPr/>
        <w:t>with</w:t>
      </w:r>
      <w:r>
        <w:rPr>
          <w:spacing w:val="-4"/>
        </w:rPr>
        <w:t> </w:t>
      </w:r>
      <w:r>
        <w:rPr/>
        <w:t>federal</w:t>
      </w:r>
      <w:r>
        <w:rPr>
          <w:spacing w:val="-3"/>
        </w:rPr>
        <w:t> </w:t>
      </w:r>
      <w:r>
        <w:rPr/>
        <w:t>laws</w:t>
      </w:r>
      <w:r>
        <w:rPr>
          <w:spacing w:val="-4"/>
        </w:rPr>
        <w:t> </w:t>
      </w:r>
      <w:r>
        <w:rPr/>
        <w:t>or</w:t>
      </w:r>
      <w:r>
        <w:rPr>
          <w:spacing w:val="-3"/>
        </w:rPr>
        <w:t> </w:t>
      </w:r>
      <w:r>
        <w:rPr/>
        <w:t>accompanying</w:t>
      </w:r>
      <w:r>
        <w:rPr>
          <w:spacing w:val="-4"/>
        </w:rPr>
        <w:t> </w:t>
      </w:r>
      <w:r>
        <w:rPr/>
        <w:t>regulations,</w:t>
      </w:r>
      <w:r>
        <w:rPr>
          <w:spacing w:val="-3"/>
        </w:rPr>
        <w:t> </w:t>
      </w:r>
      <w:r>
        <w:rPr/>
        <w:t>the</w:t>
      </w:r>
      <w:r>
        <w:rPr>
          <w:spacing w:val="-5"/>
        </w:rPr>
        <w:t> </w:t>
      </w:r>
      <w:r>
        <w:rPr/>
        <w:t>federal</w:t>
      </w:r>
      <w:r>
        <w:rPr>
          <w:spacing w:val="-4"/>
        </w:rPr>
        <w:t> </w:t>
      </w:r>
      <w:r>
        <w:rPr/>
        <w:t>laws</w:t>
      </w:r>
      <w:r>
        <w:rPr>
          <w:spacing w:val="-4"/>
        </w:rPr>
        <w:t> </w:t>
      </w:r>
      <w:r>
        <w:rPr/>
        <w:t>or regulations shall govern and supersede the applicable administrative rule.</w:t>
      </w:r>
    </w:p>
    <w:p>
      <w:pPr>
        <w:spacing w:before="243"/>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63"/>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tabs>
          <w:tab w:pos="1440" w:val="left" w:leader="none"/>
        </w:tabs>
        <w:spacing w:before="0"/>
        <w:ind w:left="360" w:right="5512" w:firstLine="1079"/>
        <w:jc w:val="left"/>
        <w:rPr>
          <w:sz w:val="22"/>
        </w:rPr>
      </w:pPr>
      <w:r>
        <w:rPr>
          <w:sz w:val="22"/>
        </w:rPr>
        <w:t>Permanent,</w:t>
      </w:r>
      <w:r>
        <w:rPr>
          <w:spacing w:val="-12"/>
          <w:sz w:val="22"/>
        </w:rPr>
        <w:t> </w:t>
      </w:r>
      <w:r>
        <w:rPr>
          <w:sz w:val="22"/>
        </w:rPr>
        <w:t>Moved</w:t>
      </w:r>
      <w:r>
        <w:rPr>
          <w:spacing w:val="-13"/>
          <w:sz w:val="22"/>
        </w:rPr>
        <w:t> </w:t>
      </w:r>
      <w:r>
        <w:rPr>
          <w:sz w:val="22"/>
        </w:rPr>
        <w:t>from</w:t>
      </w:r>
      <w:r>
        <w:rPr>
          <w:spacing w:val="-13"/>
          <w:sz w:val="22"/>
        </w:rPr>
        <w:t> </w:t>
      </w:r>
      <w:r>
        <w:rPr>
          <w:sz w:val="22"/>
        </w:rPr>
        <w:t>612:10-1-1 </w:t>
      </w:r>
      <w:r>
        <w:rPr>
          <w:spacing w:val="-2"/>
          <w:sz w:val="22"/>
        </w:rPr>
        <w:t>8-26-21</w:t>
      </w:r>
      <w:r>
        <w:rPr>
          <w:sz w:val="22"/>
        </w:rPr>
        <w:tab/>
        <w:t>Update adding WIOA language.</w:t>
      </w:r>
    </w:p>
    <w:p>
      <w:pPr>
        <w:spacing w:after="0"/>
        <w:jc w:val="left"/>
        <w:rPr>
          <w:sz w:val="22"/>
        </w:rPr>
        <w:sectPr>
          <w:pgSz w:w="12240" w:h="15840"/>
          <w:pgMar w:top="1340" w:bottom="280" w:left="1080" w:right="720"/>
        </w:sectPr>
      </w:pPr>
    </w:p>
    <w:p>
      <w:pPr>
        <w:pStyle w:val="Heading2"/>
      </w:pPr>
      <w:bookmarkStart w:name="612:10-1-2.  Definitions" w:id="93"/>
      <w:bookmarkEnd w:id="93"/>
      <w:r>
        <w:rPr>
          <w:b w:val="0"/>
        </w:rPr>
      </w:r>
      <w:bookmarkStart w:name="_bookmark2" w:id="94"/>
      <w:bookmarkEnd w:id="94"/>
      <w:r>
        <w:rPr>
          <w:b w:val="0"/>
        </w:rPr>
      </w:r>
      <w:r>
        <w:rPr/>
        <w:t>612:10-1-2.</w:t>
      </w:r>
      <w:r>
        <w:rPr>
          <w:spacing w:val="60"/>
        </w:rPr>
        <w:t> </w:t>
      </w:r>
      <w:r>
        <w:rPr>
          <w:spacing w:val="-2"/>
        </w:rPr>
        <w:t>Definitions</w:t>
      </w:r>
    </w:p>
    <w:p>
      <w:pPr>
        <w:pStyle w:val="BodyText"/>
        <w:spacing w:line="208" w:lineRule="auto" w:before="233"/>
        <w:ind w:right="775" w:firstLine="432"/>
      </w:pPr>
      <w:r>
        <w:rPr/>
        <w:t>The</w:t>
      </w:r>
      <w:r>
        <w:rPr>
          <w:spacing w:val="-3"/>
        </w:rPr>
        <w:t> </w:t>
      </w:r>
      <w:r>
        <w:rPr/>
        <w:t>following</w:t>
      </w:r>
      <w:r>
        <w:rPr>
          <w:spacing w:val="-3"/>
        </w:rPr>
        <w:t> </w:t>
      </w:r>
      <w:r>
        <w:rPr/>
        <w:t>words</w:t>
      </w:r>
      <w:r>
        <w:rPr>
          <w:spacing w:val="-3"/>
        </w:rPr>
        <w:t> </w:t>
      </w:r>
      <w:r>
        <w:rPr/>
        <w:t>and</w:t>
      </w:r>
      <w:r>
        <w:rPr>
          <w:spacing w:val="-3"/>
        </w:rPr>
        <w:t> </w:t>
      </w:r>
      <w:r>
        <w:rPr/>
        <w:t>terms,</w:t>
      </w:r>
      <w:r>
        <w:rPr>
          <w:spacing w:val="-5"/>
        </w:rPr>
        <w:t> </w:t>
      </w:r>
      <w:r>
        <w:rPr/>
        <w:t>when</w:t>
      </w:r>
      <w:r>
        <w:rPr>
          <w:spacing w:val="-3"/>
        </w:rPr>
        <w:t> </w:t>
      </w:r>
      <w:r>
        <w:rPr/>
        <w:t>used</w:t>
      </w:r>
      <w:r>
        <w:rPr>
          <w:spacing w:val="-2"/>
        </w:rPr>
        <w:t> </w:t>
      </w:r>
      <w:r>
        <w:rPr/>
        <w:t>in</w:t>
      </w:r>
      <w:r>
        <w:rPr>
          <w:spacing w:val="-3"/>
        </w:rPr>
        <w:t> </w:t>
      </w:r>
      <w:r>
        <w:rPr/>
        <w:t>this</w:t>
      </w:r>
      <w:r>
        <w:rPr>
          <w:spacing w:val="-3"/>
        </w:rPr>
        <w:t> </w:t>
      </w:r>
      <w:r>
        <w:rPr/>
        <w:t>Chapter,</w:t>
      </w:r>
      <w:r>
        <w:rPr>
          <w:spacing w:val="-2"/>
        </w:rPr>
        <w:t> </w:t>
      </w:r>
      <w:r>
        <w:rPr/>
        <w:t>shall</w:t>
      </w:r>
      <w:r>
        <w:rPr>
          <w:spacing w:val="-3"/>
        </w:rPr>
        <w:t> </w:t>
      </w:r>
      <w:r>
        <w:rPr/>
        <w:t>have</w:t>
      </w:r>
      <w:r>
        <w:rPr>
          <w:spacing w:val="-3"/>
        </w:rPr>
        <w:t> </w:t>
      </w:r>
      <w:r>
        <w:rPr/>
        <w:t>the</w:t>
      </w:r>
      <w:r>
        <w:rPr>
          <w:spacing w:val="-3"/>
        </w:rPr>
        <w:t> </w:t>
      </w:r>
      <w:r>
        <w:rPr/>
        <w:t>following meaning, unless the context clearly indicates otherwise:</w:t>
      </w:r>
    </w:p>
    <w:p>
      <w:pPr>
        <w:pStyle w:val="BodyText"/>
        <w:spacing w:before="210"/>
        <w:ind w:left="791"/>
      </w:pPr>
      <w:r>
        <w:rPr>
          <w:b/>
        </w:rPr>
        <w:t>"Act"</w:t>
      </w:r>
      <w:r>
        <w:rPr>
          <w:b/>
          <w:spacing w:val="-4"/>
        </w:rPr>
        <w:t> </w:t>
      </w:r>
      <w:r>
        <w:rPr/>
        <w:t>means</w:t>
      </w:r>
      <w:r>
        <w:rPr>
          <w:spacing w:val="-2"/>
        </w:rPr>
        <w:t> </w:t>
      </w:r>
      <w:r>
        <w:rPr/>
        <w:t>the</w:t>
      </w:r>
      <w:r>
        <w:rPr>
          <w:spacing w:val="-3"/>
        </w:rPr>
        <w:t> </w:t>
      </w:r>
      <w:r>
        <w:rPr/>
        <w:t>Rehabilitation</w:t>
      </w:r>
      <w:r>
        <w:rPr>
          <w:spacing w:val="-1"/>
        </w:rPr>
        <w:t> </w:t>
      </w:r>
      <w:r>
        <w:rPr/>
        <w:t>Act</w:t>
      </w:r>
      <w:r>
        <w:rPr>
          <w:spacing w:val="-2"/>
        </w:rPr>
        <w:t> </w:t>
      </w:r>
      <w:r>
        <w:rPr/>
        <w:t>[29</w:t>
      </w:r>
      <w:r>
        <w:rPr>
          <w:spacing w:val="-2"/>
        </w:rPr>
        <w:t> </w:t>
      </w:r>
      <w:r>
        <w:rPr/>
        <w:t>USC</w:t>
      </w:r>
      <w:r>
        <w:rPr>
          <w:spacing w:val="-3"/>
        </w:rPr>
        <w:t> </w:t>
      </w:r>
      <w:r>
        <w:rPr/>
        <w:t>701</w:t>
      </w:r>
      <w:r>
        <w:rPr>
          <w:spacing w:val="-2"/>
        </w:rPr>
        <w:t> </w:t>
      </w:r>
      <w:r>
        <w:rPr/>
        <w:t>et</w:t>
      </w:r>
      <w:r>
        <w:rPr>
          <w:spacing w:val="-1"/>
        </w:rPr>
        <w:t> </w:t>
      </w:r>
      <w:r>
        <w:rPr>
          <w:spacing w:val="-2"/>
        </w:rPr>
        <w:t>seq.].</w:t>
      </w:r>
    </w:p>
    <w:p>
      <w:pPr>
        <w:pStyle w:val="BodyText"/>
        <w:spacing w:line="208" w:lineRule="auto" w:before="234"/>
        <w:ind w:left="359" w:right="727" w:firstLine="432"/>
      </w:pPr>
      <w:r>
        <w:rPr>
          <w:b/>
        </w:rPr>
        <w:t>"ADL" </w:t>
      </w:r>
      <w:r>
        <w:rPr/>
        <w:t>Activities of Daily Living often refer to the routine activities carried out for personal</w:t>
      </w:r>
      <w:r>
        <w:rPr>
          <w:spacing w:val="-4"/>
        </w:rPr>
        <w:t> </w:t>
      </w:r>
      <w:r>
        <w:rPr/>
        <w:t>hygiene</w:t>
      </w:r>
      <w:r>
        <w:rPr>
          <w:spacing w:val="-4"/>
        </w:rPr>
        <w:t> </w:t>
      </w:r>
      <w:r>
        <w:rPr/>
        <w:t>and</w:t>
      </w:r>
      <w:r>
        <w:rPr>
          <w:spacing w:val="-3"/>
        </w:rPr>
        <w:t> </w:t>
      </w:r>
      <w:r>
        <w:rPr/>
        <w:t>health</w:t>
      </w:r>
      <w:r>
        <w:rPr>
          <w:spacing w:val="-4"/>
        </w:rPr>
        <w:t> </w:t>
      </w:r>
      <w:r>
        <w:rPr/>
        <w:t>(including</w:t>
      </w:r>
      <w:r>
        <w:rPr>
          <w:spacing w:val="-4"/>
        </w:rPr>
        <w:t> </w:t>
      </w:r>
      <w:r>
        <w:rPr/>
        <w:t>bathing,</w:t>
      </w:r>
      <w:r>
        <w:rPr>
          <w:spacing w:val="-3"/>
        </w:rPr>
        <w:t> </w:t>
      </w:r>
      <w:r>
        <w:rPr/>
        <w:t>dressing,</w:t>
      </w:r>
      <w:r>
        <w:rPr>
          <w:spacing w:val="-3"/>
        </w:rPr>
        <w:t> </w:t>
      </w:r>
      <w:r>
        <w:rPr/>
        <w:t>feeding)</w:t>
      </w:r>
      <w:r>
        <w:rPr>
          <w:spacing w:val="-3"/>
        </w:rPr>
        <w:t> </w:t>
      </w:r>
      <w:r>
        <w:rPr/>
        <w:t>and</w:t>
      </w:r>
      <w:r>
        <w:rPr>
          <w:spacing w:val="-4"/>
        </w:rPr>
        <w:t> </w:t>
      </w:r>
      <w:r>
        <w:rPr/>
        <w:t>for</w:t>
      </w:r>
      <w:r>
        <w:rPr>
          <w:spacing w:val="-3"/>
        </w:rPr>
        <w:t> </w:t>
      </w:r>
      <w:r>
        <w:rPr/>
        <w:t>operation</w:t>
      </w:r>
      <w:r>
        <w:rPr>
          <w:spacing w:val="-4"/>
        </w:rPr>
        <w:t> </w:t>
      </w:r>
      <w:r>
        <w:rPr/>
        <w:t>of</w:t>
      </w:r>
      <w:r>
        <w:rPr>
          <w:spacing w:val="-3"/>
        </w:rPr>
        <w:t> </w:t>
      </w:r>
      <w:r>
        <w:rPr/>
        <w:t>a </w:t>
      </w:r>
      <w:r>
        <w:rPr>
          <w:spacing w:val="-2"/>
        </w:rPr>
        <w:t>household.</w:t>
      </w:r>
    </w:p>
    <w:p>
      <w:pPr>
        <w:pStyle w:val="BodyText"/>
        <w:spacing w:line="208" w:lineRule="auto" w:before="239"/>
        <w:ind w:left="359" w:right="775" w:firstLine="432"/>
      </w:pPr>
      <w:r>
        <w:rPr>
          <w:b/>
        </w:rPr>
        <w:t>"Applicant" </w:t>
      </w:r>
      <w:r>
        <w:rPr/>
        <w:t>means an individual who has completed and signed an agency application</w:t>
      </w:r>
      <w:r>
        <w:rPr>
          <w:spacing w:val="-3"/>
        </w:rPr>
        <w:t> </w:t>
      </w:r>
      <w:r>
        <w:rPr/>
        <w:t>form</w:t>
      </w:r>
      <w:r>
        <w:rPr>
          <w:spacing w:val="-3"/>
        </w:rPr>
        <w:t> </w:t>
      </w:r>
      <w:r>
        <w:rPr/>
        <w:t>or</w:t>
      </w:r>
      <w:r>
        <w:rPr>
          <w:spacing w:val="-3"/>
        </w:rPr>
        <w:t> </w:t>
      </w:r>
      <w:r>
        <w:rPr/>
        <w:t>has</w:t>
      </w:r>
      <w:r>
        <w:rPr>
          <w:spacing w:val="-5"/>
        </w:rPr>
        <w:t> </w:t>
      </w:r>
      <w:r>
        <w:rPr/>
        <w:t>otherwise</w:t>
      </w:r>
      <w:r>
        <w:rPr>
          <w:spacing w:val="-4"/>
        </w:rPr>
        <w:t> </w:t>
      </w:r>
      <w:r>
        <w:rPr/>
        <w:t>requested</w:t>
      </w:r>
      <w:r>
        <w:rPr>
          <w:spacing w:val="-4"/>
        </w:rPr>
        <w:t> </w:t>
      </w:r>
      <w:r>
        <w:rPr/>
        <w:t>vocational</w:t>
      </w:r>
      <w:r>
        <w:rPr>
          <w:spacing w:val="-4"/>
        </w:rPr>
        <w:t> </w:t>
      </w:r>
      <w:r>
        <w:rPr/>
        <w:t>rehabilitation</w:t>
      </w:r>
      <w:r>
        <w:rPr>
          <w:spacing w:val="-4"/>
        </w:rPr>
        <w:t> </w:t>
      </w:r>
      <w:r>
        <w:rPr/>
        <w:t>services;</w:t>
      </w:r>
      <w:r>
        <w:rPr>
          <w:spacing w:val="-5"/>
        </w:rPr>
        <w:t> </w:t>
      </w:r>
      <w:r>
        <w:rPr/>
        <w:t>who</w:t>
      </w:r>
      <w:r>
        <w:rPr>
          <w:spacing w:val="-4"/>
        </w:rPr>
        <w:t> </w:t>
      </w:r>
      <w:r>
        <w:rPr/>
        <w:t>has provided information necessary to initiate an assessment to determine eligibility and priority for services; and who is available to complete the assessment process.</w:t>
      </w:r>
    </w:p>
    <w:p>
      <w:pPr>
        <w:pStyle w:val="BodyText"/>
        <w:spacing w:line="208" w:lineRule="auto"/>
        <w:ind w:right="739" w:firstLine="432"/>
      </w:pPr>
      <w:r>
        <w:rPr>
          <w:b/>
        </w:rPr>
        <w:t>"Appropriate modes of communication" </w:t>
      </w:r>
      <w:r>
        <w:rPr/>
        <w:t>means specialized aids and supports that</w:t>
      </w:r>
      <w:r>
        <w:rPr>
          <w:spacing w:val="-3"/>
        </w:rPr>
        <w:t> </w:t>
      </w:r>
      <w:r>
        <w:rPr/>
        <w:t>enable</w:t>
      </w:r>
      <w:r>
        <w:rPr>
          <w:spacing w:val="-3"/>
        </w:rPr>
        <w:t> </w:t>
      </w:r>
      <w:r>
        <w:rPr/>
        <w:t>an</w:t>
      </w:r>
      <w:r>
        <w:rPr>
          <w:spacing w:val="-4"/>
        </w:rPr>
        <w:t> </w:t>
      </w:r>
      <w:r>
        <w:rPr/>
        <w:t>individual</w:t>
      </w:r>
      <w:r>
        <w:rPr>
          <w:spacing w:val="-4"/>
        </w:rPr>
        <w:t> </w:t>
      </w:r>
      <w:r>
        <w:rPr/>
        <w:t>with</w:t>
      </w:r>
      <w:r>
        <w:rPr>
          <w:spacing w:val="-4"/>
        </w:rPr>
        <w:t> </w:t>
      </w:r>
      <w:r>
        <w:rPr/>
        <w:t>a</w:t>
      </w:r>
      <w:r>
        <w:rPr>
          <w:spacing w:val="-4"/>
        </w:rPr>
        <w:t> </w:t>
      </w:r>
      <w:r>
        <w:rPr/>
        <w:t>disability</w:t>
      </w:r>
      <w:r>
        <w:rPr>
          <w:spacing w:val="-4"/>
        </w:rPr>
        <w:t> </w:t>
      </w:r>
      <w:r>
        <w:rPr/>
        <w:t>to</w:t>
      </w:r>
      <w:r>
        <w:rPr>
          <w:spacing w:val="-4"/>
        </w:rPr>
        <w:t> </w:t>
      </w:r>
      <w:r>
        <w:rPr/>
        <w:t>comprehend</w:t>
      </w:r>
      <w:r>
        <w:rPr>
          <w:spacing w:val="-3"/>
        </w:rPr>
        <w:t> </w:t>
      </w:r>
      <w:r>
        <w:rPr/>
        <w:t>and</w:t>
      </w:r>
      <w:r>
        <w:rPr>
          <w:spacing w:val="-4"/>
        </w:rPr>
        <w:t> </w:t>
      </w:r>
      <w:r>
        <w:rPr/>
        <w:t>respond</w:t>
      </w:r>
      <w:r>
        <w:rPr>
          <w:spacing w:val="-4"/>
        </w:rPr>
        <w:t> </w:t>
      </w:r>
      <w:r>
        <w:rPr/>
        <w:t>to</w:t>
      </w:r>
      <w:r>
        <w:rPr>
          <w:spacing w:val="-4"/>
        </w:rPr>
        <w:t> </w:t>
      </w:r>
      <w:r>
        <w:rPr/>
        <w:t>information</w:t>
      </w:r>
      <w:r>
        <w:rPr>
          <w:spacing w:val="-4"/>
        </w:rPr>
        <w:t> </w:t>
      </w:r>
      <w:r>
        <w:rPr/>
        <w:t>that is being communicated. Appropriate modes of communication include, but are not limited to, the use of interpreters, open and closed captioned videos, specialized telecommunications services and audio recordings, Brailed and large print materials, materials in electronic formats, augmentative communication devices, graphic presentations, and simple language materials.</w:t>
      </w:r>
    </w:p>
    <w:p>
      <w:pPr>
        <w:pStyle w:val="BodyText"/>
        <w:spacing w:line="208" w:lineRule="auto" w:before="239"/>
        <w:ind w:right="775" w:firstLine="432"/>
      </w:pPr>
      <w:r>
        <w:rPr>
          <w:b/>
        </w:rPr>
        <w:t>"Assessment</w:t>
      </w:r>
      <w:r>
        <w:rPr>
          <w:b/>
          <w:spacing w:val="-5"/>
        </w:rPr>
        <w:t> </w:t>
      </w:r>
      <w:r>
        <w:rPr>
          <w:b/>
        </w:rPr>
        <w:t>for</w:t>
      </w:r>
      <w:r>
        <w:rPr>
          <w:b/>
          <w:spacing w:val="-6"/>
        </w:rPr>
        <w:t> </w:t>
      </w:r>
      <w:r>
        <w:rPr>
          <w:b/>
        </w:rPr>
        <w:t>determining</w:t>
      </w:r>
      <w:r>
        <w:rPr>
          <w:b/>
          <w:spacing w:val="-6"/>
        </w:rPr>
        <w:t> </w:t>
      </w:r>
      <w:r>
        <w:rPr>
          <w:b/>
        </w:rPr>
        <w:t>eligibility</w:t>
      </w:r>
      <w:r>
        <w:rPr>
          <w:b/>
          <w:spacing w:val="-6"/>
        </w:rPr>
        <w:t> </w:t>
      </w:r>
      <w:r>
        <w:rPr>
          <w:b/>
        </w:rPr>
        <w:t>and</w:t>
      </w:r>
      <w:r>
        <w:rPr>
          <w:b/>
          <w:spacing w:val="-6"/>
        </w:rPr>
        <w:t> </w:t>
      </w:r>
      <w:r>
        <w:rPr>
          <w:b/>
        </w:rPr>
        <w:t>vocational</w:t>
      </w:r>
      <w:r>
        <w:rPr>
          <w:b/>
          <w:spacing w:val="-5"/>
        </w:rPr>
        <w:t> </w:t>
      </w:r>
      <w:r>
        <w:rPr>
          <w:b/>
        </w:rPr>
        <w:t>rehabilitation</w:t>
      </w:r>
      <w:r>
        <w:rPr>
          <w:b/>
          <w:spacing w:val="-7"/>
        </w:rPr>
        <w:t> </w:t>
      </w:r>
      <w:r>
        <w:rPr>
          <w:b/>
        </w:rPr>
        <w:t>needs" </w:t>
      </w:r>
      <w:r>
        <w:rPr/>
        <w:t>means, as appropriate in each case a review of existing data to determine if an individual is eligible for vocational rehabilitation services; and to assign priority for an order of selection described in 34 CFR 361.36 in the States that use an order of selection; and to the extent necessary, the provision of appropriate assessment activities to obtain necessary additional data to make the eligibility determination and </w:t>
      </w:r>
      <w:r>
        <w:rPr>
          <w:spacing w:val="-2"/>
        </w:rPr>
        <w:t>assignment.</w:t>
      </w:r>
    </w:p>
    <w:p>
      <w:pPr>
        <w:spacing w:line="208" w:lineRule="auto" w:before="240"/>
        <w:ind w:left="360" w:right="775" w:firstLine="432"/>
        <w:jc w:val="left"/>
        <w:rPr>
          <w:sz w:val="24"/>
        </w:rPr>
      </w:pPr>
      <w:r>
        <w:rPr>
          <w:b/>
          <w:sz w:val="24"/>
        </w:rPr>
        <w:t>"Assistive</w:t>
      </w:r>
      <w:r>
        <w:rPr>
          <w:b/>
          <w:spacing w:val="-5"/>
          <w:sz w:val="24"/>
        </w:rPr>
        <w:t> </w:t>
      </w:r>
      <w:r>
        <w:rPr>
          <w:b/>
          <w:sz w:val="24"/>
        </w:rPr>
        <w:t>technology"</w:t>
      </w:r>
      <w:r>
        <w:rPr>
          <w:b/>
          <w:spacing w:val="-4"/>
          <w:sz w:val="24"/>
        </w:rPr>
        <w:t> </w:t>
      </w:r>
      <w:r>
        <w:rPr>
          <w:sz w:val="24"/>
        </w:rPr>
        <w:t>means</w:t>
      </w:r>
      <w:r>
        <w:rPr>
          <w:spacing w:val="-4"/>
          <w:sz w:val="24"/>
        </w:rPr>
        <w:t> </w:t>
      </w:r>
      <w:r>
        <w:rPr>
          <w:sz w:val="24"/>
        </w:rPr>
        <w:t>technology</w:t>
      </w:r>
      <w:r>
        <w:rPr>
          <w:spacing w:val="-4"/>
          <w:sz w:val="24"/>
        </w:rPr>
        <w:t> </w:t>
      </w:r>
      <w:r>
        <w:rPr>
          <w:sz w:val="24"/>
        </w:rPr>
        <w:t>designed</w:t>
      </w:r>
      <w:r>
        <w:rPr>
          <w:spacing w:val="-4"/>
          <w:sz w:val="24"/>
        </w:rPr>
        <w:t> </w:t>
      </w:r>
      <w:r>
        <w:rPr>
          <w:sz w:val="24"/>
        </w:rPr>
        <w:t>to</w:t>
      </w:r>
      <w:r>
        <w:rPr>
          <w:spacing w:val="-4"/>
          <w:sz w:val="24"/>
        </w:rPr>
        <w:t> </w:t>
      </w:r>
      <w:r>
        <w:rPr>
          <w:sz w:val="24"/>
        </w:rPr>
        <w:t>be</w:t>
      </w:r>
      <w:r>
        <w:rPr>
          <w:spacing w:val="-4"/>
          <w:sz w:val="24"/>
        </w:rPr>
        <w:t> </w:t>
      </w:r>
      <w:r>
        <w:rPr>
          <w:sz w:val="24"/>
        </w:rPr>
        <w:t>utilized</w:t>
      </w:r>
      <w:r>
        <w:rPr>
          <w:spacing w:val="-4"/>
          <w:sz w:val="24"/>
        </w:rPr>
        <w:t> </w:t>
      </w:r>
      <w:r>
        <w:rPr>
          <w:sz w:val="24"/>
        </w:rPr>
        <w:t>in</w:t>
      </w:r>
      <w:r>
        <w:rPr>
          <w:spacing w:val="-4"/>
          <w:sz w:val="24"/>
        </w:rPr>
        <w:t> </w:t>
      </w:r>
      <w:r>
        <w:rPr>
          <w:sz w:val="24"/>
        </w:rPr>
        <w:t>an</w:t>
      </w:r>
      <w:r>
        <w:rPr>
          <w:spacing w:val="-4"/>
          <w:sz w:val="24"/>
        </w:rPr>
        <w:t> </w:t>
      </w:r>
      <w:r>
        <w:rPr>
          <w:sz w:val="24"/>
        </w:rPr>
        <w:t>assistive technology device or service.</w:t>
      </w:r>
    </w:p>
    <w:p>
      <w:pPr>
        <w:pStyle w:val="BodyText"/>
        <w:spacing w:line="208" w:lineRule="auto" w:before="239"/>
        <w:ind w:right="775" w:firstLine="432"/>
      </w:pPr>
      <w:r>
        <w:rPr>
          <w:b/>
        </w:rPr>
        <w:t>"Assistive</w:t>
      </w:r>
      <w:r>
        <w:rPr>
          <w:b/>
          <w:spacing w:val="-5"/>
        </w:rPr>
        <w:t> </w:t>
      </w:r>
      <w:r>
        <w:rPr>
          <w:b/>
        </w:rPr>
        <w:t>technology</w:t>
      </w:r>
      <w:r>
        <w:rPr>
          <w:b/>
          <w:spacing w:val="-5"/>
        </w:rPr>
        <w:t> </w:t>
      </w:r>
      <w:r>
        <w:rPr>
          <w:b/>
        </w:rPr>
        <w:t>device"</w:t>
      </w:r>
      <w:r>
        <w:rPr>
          <w:b/>
          <w:spacing w:val="-5"/>
        </w:rPr>
        <w:t> </w:t>
      </w:r>
      <w:r>
        <w:rPr/>
        <w:t>means</w:t>
      </w:r>
      <w:r>
        <w:rPr>
          <w:spacing w:val="-5"/>
        </w:rPr>
        <w:t> </w:t>
      </w:r>
      <w:r>
        <w:rPr/>
        <w:t>any</w:t>
      </w:r>
      <w:r>
        <w:rPr>
          <w:spacing w:val="-5"/>
        </w:rPr>
        <w:t> </w:t>
      </w:r>
      <w:r>
        <w:rPr/>
        <w:t>item,</w:t>
      </w:r>
      <w:r>
        <w:rPr>
          <w:spacing w:val="-4"/>
        </w:rPr>
        <w:t> </w:t>
      </w:r>
      <w:r>
        <w:rPr/>
        <w:t>piece</w:t>
      </w:r>
      <w:r>
        <w:rPr>
          <w:spacing w:val="-5"/>
        </w:rPr>
        <w:t> </w:t>
      </w:r>
      <w:r>
        <w:rPr/>
        <w:t>of</w:t>
      </w:r>
      <w:r>
        <w:rPr>
          <w:spacing w:val="-4"/>
        </w:rPr>
        <w:t> </w:t>
      </w:r>
      <w:r>
        <w:rPr/>
        <w:t>equipment,</w:t>
      </w:r>
      <w:r>
        <w:rPr>
          <w:spacing w:val="-4"/>
        </w:rPr>
        <w:t> </w:t>
      </w:r>
      <w:r>
        <w:rPr/>
        <w:t>or</w:t>
      </w:r>
      <w:r>
        <w:rPr>
          <w:spacing w:val="-4"/>
        </w:rPr>
        <w:t> </w:t>
      </w:r>
      <w:r>
        <w:rPr/>
        <w:t>product system, whether acquired commercially, modified, or customized, that is used to increase, maintain, or improve functional capabilities of individuals with disabilities.</w:t>
      </w:r>
    </w:p>
    <w:p>
      <w:pPr>
        <w:pStyle w:val="BodyText"/>
        <w:spacing w:line="208" w:lineRule="auto"/>
        <w:ind w:right="775" w:firstLine="432"/>
      </w:pPr>
      <w:r>
        <w:rPr>
          <w:b/>
        </w:rPr>
        <w:t>"Assistive technology service" </w:t>
      </w:r>
      <w:r>
        <w:rPr/>
        <w:t>means any service that directly assists an individual</w:t>
      </w:r>
      <w:r>
        <w:rPr>
          <w:spacing w:val="-4"/>
        </w:rPr>
        <w:t> </w:t>
      </w:r>
      <w:r>
        <w:rPr/>
        <w:t>with</w:t>
      </w:r>
      <w:r>
        <w:rPr>
          <w:spacing w:val="-4"/>
        </w:rPr>
        <w:t> </w:t>
      </w:r>
      <w:r>
        <w:rPr/>
        <w:t>a</w:t>
      </w:r>
      <w:r>
        <w:rPr>
          <w:spacing w:val="-4"/>
        </w:rPr>
        <w:t> </w:t>
      </w:r>
      <w:r>
        <w:rPr/>
        <w:t>disability</w:t>
      </w:r>
      <w:r>
        <w:rPr>
          <w:spacing w:val="-4"/>
        </w:rPr>
        <w:t> </w:t>
      </w:r>
      <w:r>
        <w:rPr/>
        <w:t>in</w:t>
      </w:r>
      <w:r>
        <w:rPr>
          <w:spacing w:val="-4"/>
        </w:rPr>
        <w:t> </w:t>
      </w:r>
      <w:r>
        <w:rPr/>
        <w:t>the</w:t>
      </w:r>
      <w:r>
        <w:rPr>
          <w:spacing w:val="-5"/>
        </w:rPr>
        <w:t> </w:t>
      </w:r>
      <w:r>
        <w:rPr/>
        <w:t>selection,</w:t>
      </w:r>
      <w:r>
        <w:rPr>
          <w:spacing w:val="-3"/>
        </w:rPr>
        <w:t> </w:t>
      </w:r>
      <w:r>
        <w:rPr/>
        <w:t>acquisition,</w:t>
      </w:r>
      <w:r>
        <w:rPr>
          <w:spacing w:val="-3"/>
        </w:rPr>
        <w:t> </w:t>
      </w:r>
      <w:r>
        <w:rPr/>
        <w:t>or</w:t>
      </w:r>
      <w:r>
        <w:rPr>
          <w:spacing w:val="-3"/>
        </w:rPr>
        <w:t> </w:t>
      </w:r>
      <w:r>
        <w:rPr/>
        <w:t>use</w:t>
      </w:r>
      <w:r>
        <w:rPr>
          <w:spacing w:val="-4"/>
        </w:rPr>
        <w:t> </w:t>
      </w:r>
      <w:r>
        <w:rPr/>
        <w:t>of</w:t>
      </w:r>
      <w:r>
        <w:rPr>
          <w:spacing w:val="-3"/>
        </w:rPr>
        <w:t> </w:t>
      </w:r>
      <w:r>
        <w:rPr/>
        <w:t>an</w:t>
      </w:r>
      <w:r>
        <w:rPr>
          <w:spacing w:val="-4"/>
        </w:rPr>
        <w:t> </w:t>
      </w:r>
      <w:r>
        <w:rPr/>
        <w:t>assistive</w:t>
      </w:r>
      <w:r>
        <w:rPr>
          <w:spacing w:val="-4"/>
        </w:rPr>
        <w:t> </w:t>
      </w:r>
      <w:r>
        <w:rPr/>
        <w:t>technology </w:t>
      </w:r>
      <w:r>
        <w:rPr>
          <w:spacing w:val="-2"/>
        </w:rPr>
        <w:t>device.</w:t>
      </w:r>
    </w:p>
    <w:p>
      <w:pPr>
        <w:pStyle w:val="BodyText"/>
        <w:spacing w:line="208" w:lineRule="auto"/>
        <w:ind w:right="775" w:firstLine="432"/>
      </w:pPr>
      <w:r>
        <w:rPr>
          <w:b/>
        </w:rPr>
        <w:t>"Best</w:t>
      </w:r>
      <w:r>
        <w:rPr>
          <w:b/>
          <w:spacing w:val="-3"/>
        </w:rPr>
        <w:t> </w:t>
      </w:r>
      <w:r>
        <w:rPr>
          <w:b/>
        </w:rPr>
        <w:t>correction"</w:t>
      </w:r>
      <w:r>
        <w:rPr>
          <w:b/>
          <w:spacing w:val="-4"/>
        </w:rPr>
        <w:t> </w:t>
      </w:r>
      <w:r>
        <w:rPr/>
        <w:t>refers</w:t>
      </w:r>
      <w:r>
        <w:rPr>
          <w:spacing w:val="-4"/>
        </w:rPr>
        <w:t> </w:t>
      </w:r>
      <w:r>
        <w:rPr/>
        <w:t>to</w:t>
      </w:r>
      <w:r>
        <w:rPr>
          <w:spacing w:val="-5"/>
        </w:rPr>
        <w:t> </w:t>
      </w:r>
      <w:r>
        <w:rPr/>
        <w:t>the</w:t>
      </w:r>
      <w:r>
        <w:rPr>
          <w:spacing w:val="-4"/>
        </w:rPr>
        <w:t> </w:t>
      </w:r>
      <w:r>
        <w:rPr/>
        <w:t>use</w:t>
      </w:r>
      <w:r>
        <w:rPr>
          <w:spacing w:val="-4"/>
        </w:rPr>
        <w:t> </w:t>
      </w:r>
      <w:r>
        <w:rPr/>
        <w:t>of</w:t>
      </w:r>
      <w:r>
        <w:rPr>
          <w:spacing w:val="-3"/>
        </w:rPr>
        <w:t> </w:t>
      </w:r>
      <w:r>
        <w:rPr/>
        <w:t>standard</w:t>
      </w:r>
      <w:r>
        <w:rPr>
          <w:spacing w:val="-4"/>
        </w:rPr>
        <w:t> </w:t>
      </w:r>
      <w:r>
        <w:rPr/>
        <w:t>eyeglasses</w:t>
      </w:r>
      <w:r>
        <w:rPr>
          <w:spacing w:val="-4"/>
        </w:rPr>
        <w:t> </w:t>
      </w:r>
      <w:r>
        <w:rPr/>
        <w:t>or</w:t>
      </w:r>
      <w:r>
        <w:rPr>
          <w:spacing w:val="-3"/>
        </w:rPr>
        <w:t> </w:t>
      </w:r>
      <w:r>
        <w:rPr/>
        <w:t>contact</w:t>
      </w:r>
      <w:r>
        <w:rPr>
          <w:spacing w:val="-3"/>
        </w:rPr>
        <w:t> </w:t>
      </w:r>
      <w:r>
        <w:rPr/>
        <w:t>lenses</w:t>
      </w:r>
      <w:r>
        <w:rPr>
          <w:spacing w:val="-4"/>
        </w:rPr>
        <w:t> </w:t>
      </w:r>
      <w:r>
        <w:rPr/>
        <w:t>and does not include the use of bioptic telescopic systems or specialized lenses which cannot be worn by the individual on a sustained basis.</w:t>
      </w:r>
    </w:p>
    <w:p>
      <w:pPr>
        <w:pStyle w:val="BodyText"/>
        <w:spacing w:line="208" w:lineRule="auto"/>
        <w:ind w:right="893" w:firstLine="432"/>
        <w:jc w:val="both"/>
      </w:pPr>
      <w:r>
        <w:rPr>
          <w:b/>
        </w:rPr>
        <w:t>"Blind"</w:t>
      </w:r>
      <w:r>
        <w:rPr>
          <w:b/>
          <w:spacing w:val="-4"/>
        </w:rPr>
        <w:t> </w:t>
      </w:r>
      <w:r>
        <w:rPr/>
        <w:t>means</w:t>
      </w:r>
      <w:r>
        <w:rPr>
          <w:spacing w:val="-4"/>
        </w:rPr>
        <w:t> </w:t>
      </w:r>
      <w:r>
        <w:rPr/>
        <w:t>persons</w:t>
      </w:r>
      <w:r>
        <w:rPr>
          <w:spacing w:val="-4"/>
        </w:rPr>
        <w:t> </w:t>
      </w:r>
      <w:r>
        <w:rPr/>
        <w:t>who</w:t>
      </w:r>
      <w:r>
        <w:rPr>
          <w:spacing w:val="-4"/>
        </w:rPr>
        <w:t> </w:t>
      </w:r>
      <w:r>
        <w:rPr/>
        <w:t>are</w:t>
      </w:r>
      <w:r>
        <w:rPr>
          <w:spacing w:val="-4"/>
        </w:rPr>
        <w:t> </w:t>
      </w:r>
      <w:r>
        <w:rPr/>
        <w:t>blind</w:t>
      </w:r>
      <w:r>
        <w:rPr>
          <w:spacing w:val="-4"/>
        </w:rPr>
        <w:t> </w:t>
      </w:r>
      <w:r>
        <w:rPr/>
        <w:t>within</w:t>
      </w:r>
      <w:r>
        <w:rPr>
          <w:spacing w:val="-3"/>
        </w:rPr>
        <w:t> </w:t>
      </w:r>
      <w:r>
        <w:rPr/>
        <w:t>the</w:t>
      </w:r>
      <w:r>
        <w:rPr>
          <w:spacing w:val="-4"/>
        </w:rPr>
        <w:t> </w:t>
      </w:r>
      <w:r>
        <w:rPr/>
        <w:t>meaning</w:t>
      </w:r>
      <w:r>
        <w:rPr>
          <w:spacing w:val="-4"/>
        </w:rPr>
        <w:t> </w:t>
      </w:r>
      <w:r>
        <w:rPr/>
        <w:t>of</w:t>
      </w:r>
      <w:r>
        <w:rPr>
          <w:spacing w:val="-3"/>
        </w:rPr>
        <w:t> </w:t>
      </w:r>
      <w:r>
        <w:rPr/>
        <w:t>the</w:t>
      </w:r>
      <w:r>
        <w:rPr>
          <w:spacing w:val="-4"/>
        </w:rPr>
        <w:t> </w:t>
      </w:r>
      <w:r>
        <w:rPr/>
        <w:t>State</w:t>
      </w:r>
      <w:r>
        <w:rPr>
          <w:spacing w:val="-4"/>
        </w:rPr>
        <w:t> </w:t>
      </w:r>
      <w:r>
        <w:rPr/>
        <w:t>Law</w:t>
      </w:r>
      <w:r>
        <w:rPr>
          <w:spacing w:val="-4"/>
        </w:rPr>
        <w:t> </w:t>
      </w:r>
      <w:r>
        <w:rPr/>
        <w:t>relating to</w:t>
      </w:r>
      <w:r>
        <w:rPr>
          <w:spacing w:val="-2"/>
        </w:rPr>
        <w:t> </w:t>
      </w:r>
      <w:r>
        <w:rPr/>
        <w:t>Vocational</w:t>
      </w:r>
      <w:r>
        <w:rPr>
          <w:spacing w:val="-2"/>
        </w:rPr>
        <w:t> </w:t>
      </w:r>
      <w:r>
        <w:rPr/>
        <w:t>Rehabilitation.</w:t>
      </w:r>
      <w:r>
        <w:rPr>
          <w:spacing w:val="-1"/>
        </w:rPr>
        <w:t> </w:t>
      </w:r>
      <w:r>
        <w:rPr/>
        <w:t>Legal</w:t>
      </w:r>
      <w:r>
        <w:rPr>
          <w:spacing w:val="-2"/>
        </w:rPr>
        <w:t> </w:t>
      </w:r>
      <w:r>
        <w:rPr/>
        <w:t>blindness</w:t>
      </w:r>
      <w:r>
        <w:rPr>
          <w:spacing w:val="-1"/>
        </w:rPr>
        <w:t> </w:t>
      </w:r>
      <w:r>
        <w:rPr/>
        <w:t>means</w:t>
      </w:r>
      <w:r>
        <w:rPr>
          <w:spacing w:val="-2"/>
        </w:rPr>
        <w:t> </w:t>
      </w:r>
      <w:r>
        <w:rPr/>
        <w:t>a</w:t>
      </w:r>
      <w:r>
        <w:rPr>
          <w:spacing w:val="-2"/>
        </w:rPr>
        <w:t> </w:t>
      </w:r>
      <w:r>
        <w:rPr/>
        <w:t>visual</w:t>
      </w:r>
      <w:r>
        <w:rPr>
          <w:spacing w:val="-2"/>
        </w:rPr>
        <w:t> </w:t>
      </w:r>
      <w:r>
        <w:rPr/>
        <w:t>acuity</w:t>
      </w:r>
      <w:r>
        <w:rPr>
          <w:spacing w:val="-2"/>
        </w:rPr>
        <w:t> </w:t>
      </w:r>
      <w:r>
        <w:rPr/>
        <w:t>of</w:t>
      </w:r>
      <w:r>
        <w:rPr>
          <w:spacing w:val="-1"/>
        </w:rPr>
        <w:t> </w:t>
      </w:r>
      <w:r>
        <w:rPr/>
        <w:t>20/200</w:t>
      </w:r>
      <w:r>
        <w:rPr>
          <w:spacing w:val="-2"/>
        </w:rPr>
        <w:t> </w:t>
      </w:r>
      <w:r>
        <w:rPr/>
        <w:t>or</w:t>
      </w:r>
      <w:r>
        <w:rPr>
          <w:spacing w:val="-1"/>
        </w:rPr>
        <w:t> </w:t>
      </w:r>
      <w:r>
        <w:rPr/>
        <w:t>less</w:t>
      </w:r>
      <w:r>
        <w:rPr>
          <w:spacing w:val="-2"/>
        </w:rPr>
        <w:t> </w:t>
      </w:r>
      <w:r>
        <w:rPr/>
        <w:t>in the better eye with best correction, or a visual field of 20 degrees or less.</w:t>
      </w:r>
    </w:p>
    <w:p>
      <w:pPr>
        <w:pStyle w:val="BodyText"/>
        <w:spacing w:before="210"/>
        <w:ind w:left="792"/>
      </w:pPr>
      <w:r>
        <w:rPr>
          <w:b/>
        </w:rPr>
        <w:t>"Client"</w:t>
      </w:r>
      <w:r>
        <w:rPr>
          <w:b/>
          <w:spacing w:val="-7"/>
        </w:rPr>
        <w:t> </w:t>
      </w:r>
      <w:r>
        <w:rPr/>
        <w:t>means</w:t>
      </w:r>
      <w:r>
        <w:rPr>
          <w:spacing w:val="-3"/>
        </w:rPr>
        <w:t> </w:t>
      </w:r>
      <w:r>
        <w:rPr/>
        <w:t>an</w:t>
      </w:r>
      <w:r>
        <w:rPr>
          <w:spacing w:val="-3"/>
        </w:rPr>
        <w:t> </w:t>
      </w:r>
      <w:r>
        <w:rPr/>
        <w:t>individual</w:t>
      </w:r>
      <w:r>
        <w:rPr>
          <w:spacing w:val="-3"/>
        </w:rPr>
        <w:t> </w:t>
      </w:r>
      <w:r>
        <w:rPr/>
        <w:t>found</w:t>
      </w:r>
      <w:r>
        <w:rPr>
          <w:spacing w:val="-3"/>
        </w:rPr>
        <w:t> </w:t>
      </w:r>
      <w:r>
        <w:rPr/>
        <w:t>eligible</w:t>
      </w:r>
      <w:r>
        <w:rPr>
          <w:spacing w:val="-4"/>
        </w:rPr>
        <w:t> </w:t>
      </w:r>
      <w:r>
        <w:rPr/>
        <w:t>and</w:t>
      </w:r>
      <w:r>
        <w:rPr>
          <w:spacing w:val="-3"/>
        </w:rPr>
        <w:t> </w:t>
      </w:r>
      <w:r>
        <w:rPr/>
        <w:t>receiving</w:t>
      </w:r>
      <w:r>
        <w:rPr>
          <w:spacing w:val="-3"/>
        </w:rPr>
        <w:t> </w:t>
      </w:r>
      <w:r>
        <w:rPr/>
        <w:t>services</w:t>
      </w:r>
      <w:r>
        <w:rPr>
          <w:spacing w:val="-3"/>
        </w:rPr>
        <w:t> </w:t>
      </w:r>
      <w:r>
        <w:rPr/>
        <w:t>under</w:t>
      </w:r>
      <w:r>
        <w:rPr>
          <w:spacing w:val="-2"/>
        </w:rPr>
        <w:t> </w:t>
      </w:r>
      <w:r>
        <w:rPr/>
        <w:t>the</w:t>
      </w:r>
      <w:r>
        <w:rPr>
          <w:spacing w:val="-4"/>
        </w:rPr>
        <w:t> Act.</w:t>
      </w:r>
    </w:p>
    <w:p>
      <w:pPr>
        <w:pStyle w:val="BodyText"/>
        <w:spacing w:after="0"/>
        <w:sectPr>
          <w:pgSz w:w="12240" w:h="15840"/>
          <w:pgMar w:top="1340" w:bottom="280" w:left="1080" w:right="720"/>
        </w:sectPr>
      </w:pPr>
    </w:p>
    <w:p>
      <w:pPr>
        <w:pStyle w:val="BodyText"/>
        <w:spacing w:line="208" w:lineRule="auto" w:before="96"/>
        <w:ind w:left="359" w:right="775" w:firstLine="432"/>
      </w:pPr>
      <w:r>
        <w:rPr>
          <w:b/>
        </w:rPr>
        <w:t>"Community rehabilitation program" </w:t>
      </w:r>
      <w:r>
        <w:rPr/>
        <w:t>(CRP) means a program that directly provides or facilitates the provision of vocational rehabilitation services to individuals with</w:t>
      </w:r>
      <w:r>
        <w:rPr>
          <w:spacing w:val="-4"/>
        </w:rPr>
        <w:t> </w:t>
      </w:r>
      <w:r>
        <w:rPr/>
        <w:t>disabilities,</w:t>
      </w:r>
      <w:r>
        <w:rPr>
          <w:spacing w:val="-3"/>
        </w:rPr>
        <w:t> </w:t>
      </w:r>
      <w:r>
        <w:rPr/>
        <w:t>and</w:t>
      </w:r>
      <w:r>
        <w:rPr>
          <w:spacing w:val="-4"/>
        </w:rPr>
        <w:t> </w:t>
      </w:r>
      <w:r>
        <w:rPr/>
        <w:t>provides</w:t>
      </w:r>
      <w:r>
        <w:rPr>
          <w:spacing w:val="-4"/>
        </w:rPr>
        <w:t> </w:t>
      </w:r>
      <w:r>
        <w:rPr/>
        <w:t>singly</w:t>
      </w:r>
      <w:r>
        <w:rPr>
          <w:spacing w:val="-4"/>
        </w:rPr>
        <w:t> </w:t>
      </w:r>
      <w:r>
        <w:rPr/>
        <w:t>or</w:t>
      </w:r>
      <w:r>
        <w:rPr>
          <w:spacing w:val="-3"/>
        </w:rPr>
        <w:t> </w:t>
      </w:r>
      <w:r>
        <w:rPr/>
        <w:t>in</w:t>
      </w:r>
      <w:r>
        <w:rPr>
          <w:spacing w:val="-4"/>
        </w:rPr>
        <w:t> </w:t>
      </w:r>
      <w:r>
        <w:rPr/>
        <w:t>combination,</w:t>
      </w:r>
      <w:r>
        <w:rPr>
          <w:spacing w:val="-3"/>
        </w:rPr>
        <w:t> </w:t>
      </w:r>
      <w:r>
        <w:rPr/>
        <w:t>services</w:t>
      </w:r>
      <w:r>
        <w:rPr>
          <w:spacing w:val="-4"/>
        </w:rPr>
        <w:t> </w:t>
      </w:r>
      <w:r>
        <w:rPr/>
        <w:t>for</w:t>
      </w:r>
      <w:r>
        <w:rPr>
          <w:spacing w:val="-3"/>
        </w:rPr>
        <w:t> </w:t>
      </w:r>
      <w:r>
        <w:rPr/>
        <w:t>an</w:t>
      </w:r>
      <w:r>
        <w:rPr>
          <w:spacing w:val="-4"/>
        </w:rPr>
        <w:t> </w:t>
      </w:r>
      <w:r>
        <w:rPr/>
        <w:t>individual</w:t>
      </w:r>
      <w:r>
        <w:rPr>
          <w:spacing w:val="-3"/>
        </w:rPr>
        <w:t> </w:t>
      </w:r>
      <w:r>
        <w:rPr/>
        <w:t>with</w:t>
      </w:r>
      <w:r>
        <w:rPr>
          <w:spacing w:val="-4"/>
        </w:rPr>
        <w:t> </w:t>
      </w:r>
      <w:r>
        <w:rPr/>
        <w:t>a disability to enable the individual to maximize opportunities for employment, including career advancement.</w:t>
      </w:r>
    </w:p>
    <w:p>
      <w:pPr>
        <w:pStyle w:val="BodyText"/>
        <w:spacing w:line="208" w:lineRule="auto" w:before="239"/>
        <w:ind w:left="359" w:right="775" w:firstLine="432"/>
      </w:pPr>
      <w:r>
        <w:rPr>
          <w:b/>
        </w:rPr>
        <w:t>"Comparable</w:t>
      </w:r>
      <w:r>
        <w:rPr>
          <w:b/>
          <w:spacing w:val="-4"/>
        </w:rPr>
        <w:t> </w:t>
      </w:r>
      <w:r>
        <w:rPr>
          <w:b/>
        </w:rPr>
        <w:t>services</w:t>
      </w:r>
      <w:r>
        <w:rPr>
          <w:b/>
          <w:spacing w:val="-4"/>
        </w:rPr>
        <w:t> </w:t>
      </w:r>
      <w:r>
        <w:rPr>
          <w:b/>
        </w:rPr>
        <w:t>and</w:t>
      </w:r>
      <w:r>
        <w:rPr>
          <w:b/>
          <w:spacing w:val="-4"/>
        </w:rPr>
        <w:t> </w:t>
      </w:r>
      <w:r>
        <w:rPr>
          <w:b/>
        </w:rPr>
        <w:t>benefits"</w:t>
      </w:r>
      <w:r>
        <w:rPr>
          <w:b/>
          <w:spacing w:val="-5"/>
        </w:rPr>
        <w:t> </w:t>
      </w:r>
      <w:r>
        <w:rPr/>
        <w:t>means</w:t>
      </w:r>
      <w:r>
        <w:rPr>
          <w:spacing w:val="-4"/>
        </w:rPr>
        <w:t> </w:t>
      </w:r>
      <w:r>
        <w:rPr/>
        <w:t>services</w:t>
      </w:r>
      <w:r>
        <w:rPr>
          <w:spacing w:val="-4"/>
        </w:rPr>
        <w:t> </w:t>
      </w:r>
      <w:r>
        <w:rPr/>
        <w:t>that</w:t>
      </w:r>
      <w:r>
        <w:rPr>
          <w:spacing w:val="-3"/>
        </w:rPr>
        <w:t> </w:t>
      </w:r>
      <w:r>
        <w:rPr/>
        <w:t>are</w:t>
      </w:r>
      <w:r>
        <w:rPr>
          <w:spacing w:val="-5"/>
        </w:rPr>
        <w:t> </w:t>
      </w:r>
      <w:r>
        <w:rPr/>
        <w:t>provided</w:t>
      </w:r>
      <w:r>
        <w:rPr>
          <w:spacing w:val="-4"/>
        </w:rPr>
        <w:t> </w:t>
      </w:r>
      <w:r>
        <w:rPr/>
        <w:t>or</w:t>
      </w:r>
      <w:r>
        <w:rPr>
          <w:spacing w:val="-3"/>
        </w:rPr>
        <w:t> </w:t>
      </w:r>
      <w:r>
        <w:rPr/>
        <w:t>paid</w:t>
      </w:r>
      <w:r>
        <w:rPr>
          <w:spacing w:val="-4"/>
        </w:rPr>
        <w:t> </w:t>
      </w:r>
      <w:r>
        <w:rPr/>
        <w:t>for in whole or in part by other Federal, state or local public agencies, health insurance or employee benefits, and are available to the individual at the time needed to ensure the progress of the individual toward achieving the employment outcome in the individual's individualized plan for employment in accordance with 34 CFR 361.53, and commensurate to the services that the individual would otherwise receive from the designated State vocational rehabilitation agency. For the purposes of this definition, comparable services and benefits do not include awards and scholarships based on </w:t>
      </w:r>
      <w:r>
        <w:rPr>
          <w:spacing w:val="-2"/>
        </w:rPr>
        <w:t>merit.</w:t>
      </w:r>
    </w:p>
    <w:p>
      <w:pPr>
        <w:pStyle w:val="BodyText"/>
        <w:spacing w:line="208" w:lineRule="auto" w:before="239"/>
        <w:ind w:left="359" w:right="775" w:firstLine="432"/>
      </w:pPr>
      <w:r>
        <w:rPr>
          <w:b/>
        </w:rPr>
        <w:t>"Compensatory training" </w:t>
      </w:r>
      <w:r>
        <w:rPr/>
        <w:t>means training required before the client can enter a formal</w:t>
      </w:r>
      <w:r>
        <w:rPr>
          <w:spacing w:val="-5"/>
        </w:rPr>
        <w:t> </w:t>
      </w:r>
      <w:r>
        <w:rPr/>
        <w:t>training</w:t>
      </w:r>
      <w:r>
        <w:rPr>
          <w:spacing w:val="-5"/>
        </w:rPr>
        <w:t> </w:t>
      </w:r>
      <w:r>
        <w:rPr/>
        <w:t>program</w:t>
      </w:r>
      <w:r>
        <w:rPr>
          <w:spacing w:val="-4"/>
        </w:rPr>
        <w:t> </w:t>
      </w:r>
      <w:r>
        <w:rPr/>
        <w:t>or</w:t>
      </w:r>
      <w:r>
        <w:rPr>
          <w:spacing w:val="-4"/>
        </w:rPr>
        <w:t> </w:t>
      </w:r>
      <w:r>
        <w:rPr/>
        <w:t>employment,</w:t>
      </w:r>
      <w:r>
        <w:rPr>
          <w:spacing w:val="-4"/>
        </w:rPr>
        <w:t> </w:t>
      </w:r>
      <w:r>
        <w:rPr/>
        <w:t>such</w:t>
      </w:r>
      <w:r>
        <w:rPr>
          <w:spacing w:val="-5"/>
        </w:rPr>
        <w:t> </w:t>
      </w:r>
      <w:r>
        <w:rPr/>
        <w:t>as</w:t>
      </w:r>
      <w:r>
        <w:rPr>
          <w:spacing w:val="-5"/>
        </w:rPr>
        <w:t> </w:t>
      </w:r>
      <w:r>
        <w:rPr/>
        <w:t>pre-vocational</w:t>
      </w:r>
      <w:r>
        <w:rPr>
          <w:spacing w:val="-5"/>
        </w:rPr>
        <w:t> </w:t>
      </w:r>
      <w:r>
        <w:rPr/>
        <w:t>or</w:t>
      </w:r>
      <w:r>
        <w:rPr>
          <w:spacing w:val="-4"/>
        </w:rPr>
        <w:t> </w:t>
      </w:r>
      <w:r>
        <w:rPr/>
        <w:t>personal</w:t>
      </w:r>
      <w:r>
        <w:rPr>
          <w:spacing w:val="-5"/>
        </w:rPr>
        <w:t> </w:t>
      </w:r>
      <w:r>
        <w:rPr/>
        <w:t>adjustment </w:t>
      </w:r>
      <w:r>
        <w:rPr>
          <w:spacing w:val="-2"/>
        </w:rPr>
        <w:t>training.</w:t>
      </w:r>
    </w:p>
    <w:p>
      <w:pPr>
        <w:pStyle w:val="BodyText"/>
        <w:spacing w:line="208" w:lineRule="auto"/>
        <w:ind w:left="359" w:right="775" w:firstLine="432"/>
        <w:rPr>
          <w:b/>
        </w:rPr>
      </w:pPr>
      <w:r>
        <w:rPr>
          <w:b/>
        </w:rPr>
        <w:t>"Competitive integrated employment" </w:t>
      </w:r>
      <w:r>
        <w:rPr/>
        <w:t>means full or part-time work that is compensated at or above minimum wage, offers an individual with a disability benefits and</w:t>
      </w:r>
      <w:r>
        <w:rPr>
          <w:spacing w:val="-2"/>
        </w:rPr>
        <w:t> </w:t>
      </w:r>
      <w:r>
        <w:rPr/>
        <w:t>opportunities</w:t>
      </w:r>
      <w:r>
        <w:rPr>
          <w:spacing w:val="-2"/>
        </w:rPr>
        <w:t> </w:t>
      </w:r>
      <w:r>
        <w:rPr/>
        <w:t>for</w:t>
      </w:r>
      <w:r>
        <w:rPr>
          <w:spacing w:val="-1"/>
        </w:rPr>
        <w:t> </w:t>
      </w:r>
      <w:r>
        <w:rPr/>
        <w:t>advancement</w:t>
      </w:r>
      <w:r>
        <w:rPr>
          <w:spacing w:val="-1"/>
        </w:rPr>
        <w:t> </w:t>
      </w:r>
      <w:r>
        <w:rPr/>
        <w:t>comparable</w:t>
      </w:r>
      <w:r>
        <w:rPr>
          <w:spacing w:val="-2"/>
        </w:rPr>
        <w:t> </w:t>
      </w:r>
      <w:r>
        <w:rPr/>
        <w:t>to</w:t>
      </w:r>
      <w:r>
        <w:rPr>
          <w:spacing w:val="-2"/>
        </w:rPr>
        <w:t> </w:t>
      </w:r>
      <w:r>
        <w:rPr/>
        <w:t>those</w:t>
      </w:r>
      <w:r>
        <w:rPr>
          <w:spacing w:val="-2"/>
        </w:rPr>
        <w:t> </w:t>
      </w:r>
      <w:r>
        <w:rPr/>
        <w:t>offered</w:t>
      </w:r>
      <w:r>
        <w:rPr>
          <w:spacing w:val="-2"/>
        </w:rPr>
        <w:t> </w:t>
      </w:r>
      <w:r>
        <w:rPr/>
        <w:t>to</w:t>
      </w:r>
      <w:r>
        <w:rPr>
          <w:spacing w:val="-2"/>
        </w:rPr>
        <w:t> </w:t>
      </w:r>
      <w:r>
        <w:rPr/>
        <w:t>employees</w:t>
      </w:r>
      <w:r>
        <w:rPr>
          <w:spacing w:val="-2"/>
        </w:rPr>
        <w:t> </w:t>
      </w:r>
      <w:r>
        <w:rPr/>
        <w:t>in</w:t>
      </w:r>
      <w:r>
        <w:rPr>
          <w:spacing w:val="-2"/>
        </w:rPr>
        <w:t> </w:t>
      </w:r>
      <w:r>
        <w:rPr/>
        <w:t>similar positions, and is performed in a setting where the individual with a disability interacts with persons without disabilities to the same extent that employees who are not individuals with disabilities and who are in comparable positions interact with these persons.</w:t>
      </w:r>
      <w:r>
        <w:rPr>
          <w:spacing w:val="40"/>
        </w:rPr>
        <w:t> </w:t>
      </w:r>
      <w:r>
        <w:rPr/>
        <w:t>Specific</w:t>
      </w:r>
      <w:r>
        <w:rPr>
          <w:spacing w:val="-4"/>
        </w:rPr>
        <w:t> </w:t>
      </w:r>
      <w:r>
        <w:rPr/>
        <w:t>criteria</w:t>
      </w:r>
      <w:r>
        <w:rPr>
          <w:spacing w:val="-4"/>
        </w:rPr>
        <w:t> </w:t>
      </w:r>
      <w:r>
        <w:rPr/>
        <w:t>defining</w:t>
      </w:r>
      <w:r>
        <w:rPr>
          <w:spacing w:val="-3"/>
        </w:rPr>
        <w:t> </w:t>
      </w:r>
      <w:r>
        <w:rPr/>
        <w:t>competitive</w:t>
      </w:r>
      <w:r>
        <w:rPr>
          <w:spacing w:val="-4"/>
        </w:rPr>
        <w:t> </w:t>
      </w:r>
      <w:r>
        <w:rPr/>
        <w:t>integrated</w:t>
      </w:r>
      <w:r>
        <w:rPr>
          <w:spacing w:val="-4"/>
        </w:rPr>
        <w:t> </w:t>
      </w:r>
      <w:r>
        <w:rPr/>
        <w:t>employment</w:t>
      </w:r>
      <w:r>
        <w:rPr>
          <w:spacing w:val="-3"/>
        </w:rPr>
        <w:t> </w:t>
      </w:r>
      <w:r>
        <w:rPr/>
        <w:t>are</w:t>
      </w:r>
      <w:r>
        <w:rPr>
          <w:spacing w:val="-4"/>
        </w:rPr>
        <w:t> </w:t>
      </w:r>
      <w:r>
        <w:rPr/>
        <w:t>detailed</w:t>
      </w:r>
      <w:r>
        <w:rPr>
          <w:spacing w:val="-4"/>
        </w:rPr>
        <w:t> </w:t>
      </w:r>
      <w:r>
        <w:rPr/>
        <w:t>in</w:t>
      </w:r>
      <w:r>
        <w:rPr>
          <w:spacing w:val="-4"/>
        </w:rPr>
        <w:t> </w:t>
      </w:r>
      <w:r>
        <w:rPr/>
        <w:t>34 CFR 361.5(c)(9).</w:t>
      </w:r>
      <w:r>
        <w:rPr>
          <w:b/>
        </w:rPr>
        <w:t>"</w:t>
      </w:r>
    </w:p>
    <w:p>
      <w:pPr>
        <w:pStyle w:val="BodyText"/>
        <w:spacing w:line="208" w:lineRule="auto" w:before="239"/>
        <w:ind w:left="359" w:right="775" w:firstLine="432"/>
      </w:pPr>
      <w:r>
        <w:rPr>
          <w:b/>
        </w:rPr>
        <w:t>"Consumer</w:t>
      </w:r>
      <w:r>
        <w:rPr>
          <w:b/>
          <w:spacing w:val="-4"/>
        </w:rPr>
        <w:t> </w:t>
      </w:r>
      <w:r>
        <w:rPr>
          <w:b/>
        </w:rPr>
        <w:t>Independence</w:t>
      </w:r>
      <w:r>
        <w:rPr>
          <w:b/>
          <w:spacing w:val="-4"/>
        </w:rPr>
        <w:t> </w:t>
      </w:r>
      <w:r>
        <w:rPr>
          <w:b/>
        </w:rPr>
        <w:t>Support</w:t>
      </w:r>
      <w:r>
        <w:rPr>
          <w:b/>
          <w:spacing w:val="-3"/>
        </w:rPr>
        <w:t> </w:t>
      </w:r>
      <w:r>
        <w:rPr>
          <w:b/>
        </w:rPr>
        <w:t>Services"</w:t>
      </w:r>
      <w:r>
        <w:rPr>
          <w:b/>
          <w:spacing w:val="-4"/>
        </w:rPr>
        <w:t> </w:t>
      </w:r>
      <w:r>
        <w:rPr>
          <w:b/>
        </w:rPr>
        <w:t>(CISS)</w:t>
      </w:r>
      <w:r>
        <w:rPr>
          <w:b/>
          <w:spacing w:val="-3"/>
        </w:rPr>
        <w:t> </w:t>
      </w:r>
      <w:r>
        <w:rPr/>
        <w:t>are</w:t>
      </w:r>
      <w:r>
        <w:rPr>
          <w:spacing w:val="-4"/>
        </w:rPr>
        <w:t> </w:t>
      </w:r>
      <w:r>
        <w:rPr/>
        <w:t>defined</w:t>
      </w:r>
      <w:r>
        <w:rPr>
          <w:spacing w:val="-4"/>
        </w:rPr>
        <w:t> </w:t>
      </w:r>
      <w:r>
        <w:rPr/>
        <w:t>as</w:t>
      </w:r>
      <w:r>
        <w:rPr>
          <w:spacing w:val="-4"/>
        </w:rPr>
        <w:t> </w:t>
      </w:r>
      <w:r>
        <w:rPr/>
        <w:t>providing independent living assessment, intensive counseling, community integration, and housing</w:t>
      </w:r>
      <w:r>
        <w:rPr>
          <w:spacing w:val="-4"/>
        </w:rPr>
        <w:t> </w:t>
      </w:r>
      <w:r>
        <w:rPr/>
        <w:t>modifications</w:t>
      </w:r>
      <w:r>
        <w:rPr>
          <w:spacing w:val="-3"/>
        </w:rPr>
        <w:t> </w:t>
      </w:r>
      <w:r>
        <w:rPr/>
        <w:t>to</w:t>
      </w:r>
      <w:r>
        <w:rPr>
          <w:spacing w:val="-5"/>
        </w:rPr>
        <w:t> </w:t>
      </w:r>
      <w:r>
        <w:rPr/>
        <w:t>further</w:t>
      </w:r>
      <w:r>
        <w:rPr>
          <w:spacing w:val="-5"/>
        </w:rPr>
        <w:t> </w:t>
      </w:r>
      <w:r>
        <w:rPr/>
        <w:t>assist</w:t>
      </w:r>
      <w:r>
        <w:rPr>
          <w:spacing w:val="-3"/>
        </w:rPr>
        <w:t> </w:t>
      </w:r>
      <w:r>
        <w:rPr/>
        <w:t>individuals</w:t>
      </w:r>
      <w:r>
        <w:rPr>
          <w:spacing w:val="-4"/>
        </w:rPr>
        <w:t> </w:t>
      </w:r>
      <w:r>
        <w:rPr/>
        <w:t>with</w:t>
      </w:r>
      <w:r>
        <w:rPr>
          <w:spacing w:val="-4"/>
        </w:rPr>
        <w:t> </w:t>
      </w:r>
      <w:r>
        <w:rPr/>
        <w:t>severe</w:t>
      </w:r>
      <w:r>
        <w:rPr>
          <w:spacing w:val="-4"/>
        </w:rPr>
        <w:t> </w:t>
      </w:r>
      <w:r>
        <w:rPr/>
        <w:t>disabilities</w:t>
      </w:r>
      <w:r>
        <w:rPr>
          <w:spacing w:val="-4"/>
        </w:rPr>
        <w:t> </w:t>
      </w:r>
      <w:r>
        <w:rPr/>
        <w:t>in</w:t>
      </w:r>
      <w:r>
        <w:rPr>
          <w:spacing w:val="-4"/>
        </w:rPr>
        <w:t> </w:t>
      </w:r>
      <w:r>
        <w:rPr/>
        <w:t>achieving </w:t>
      </w:r>
      <w:r>
        <w:rPr>
          <w:spacing w:val="-2"/>
        </w:rPr>
        <w:t>independence.</w:t>
      </w:r>
    </w:p>
    <w:p>
      <w:pPr>
        <w:pStyle w:val="BodyText"/>
        <w:spacing w:line="208" w:lineRule="auto"/>
        <w:ind w:left="359" w:right="775" w:firstLine="432"/>
      </w:pPr>
      <w:r>
        <w:rPr>
          <w:b/>
        </w:rPr>
        <w:t>"Continuity of Services" </w:t>
      </w:r>
      <w:r>
        <w:rPr/>
        <w:t>means once an individual is selected for services in accordance</w:t>
      </w:r>
      <w:r>
        <w:rPr>
          <w:spacing w:val="-4"/>
        </w:rPr>
        <w:t> </w:t>
      </w:r>
      <w:r>
        <w:rPr/>
        <w:t>with</w:t>
      </w:r>
      <w:r>
        <w:rPr>
          <w:spacing w:val="-4"/>
        </w:rPr>
        <w:t> </w:t>
      </w:r>
      <w:r>
        <w:rPr/>
        <w:t>administrative</w:t>
      </w:r>
      <w:r>
        <w:rPr>
          <w:spacing w:val="-4"/>
        </w:rPr>
        <w:t> </w:t>
      </w:r>
      <w:r>
        <w:rPr/>
        <w:t>rules,</w:t>
      </w:r>
      <w:r>
        <w:rPr>
          <w:spacing w:val="-3"/>
        </w:rPr>
        <w:t> </w:t>
      </w:r>
      <w:r>
        <w:rPr/>
        <w:t>regardless</w:t>
      </w:r>
      <w:r>
        <w:rPr>
          <w:spacing w:val="-4"/>
        </w:rPr>
        <w:t> </w:t>
      </w:r>
      <w:r>
        <w:rPr/>
        <w:t>of</w:t>
      </w:r>
      <w:r>
        <w:rPr>
          <w:spacing w:val="-3"/>
        </w:rPr>
        <w:t> </w:t>
      </w:r>
      <w:r>
        <w:rPr/>
        <w:t>the</w:t>
      </w:r>
      <w:r>
        <w:rPr>
          <w:spacing w:val="-4"/>
        </w:rPr>
        <w:t> </w:t>
      </w:r>
      <w:r>
        <w:rPr/>
        <w:t>priority</w:t>
      </w:r>
      <w:r>
        <w:rPr>
          <w:spacing w:val="-4"/>
        </w:rPr>
        <w:t> </w:t>
      </w:r>
      <w:r>
        <w:rPr/>
        <w:t>category</w:t>
      </w:r>
      <w:r>
        <w:rPr>
          <w:spacing w:val="-4"/>
        </w:rPr>
        <w:t> </w:t>
      </w:r>
      <w:r>
        <w:rPr/>
        <w:t>from</w:t>
      </w:r>
      <w:r>
        <w:rPr>
          <w:spacing w:val="-6"/>
        </w:rPr>
        <w:t> </w:t>
      </w:r>
      <w:r>
        <w:rPr/>
        <w:t>which</w:t>
      </w:r>
      <w:r>
        <w:rPr>
          <w:spacing w:val="-4"/>
        </w:rPr>
        <w:t> </w:t>
      </w:r>
      <w:r>
        <w:rPr/>
        <w:t>the individual was selected, the individual will receive the necessary purchased services, including post-employment services.</w:t>
      </w:r>
    </w:p>
    <w:p>
      <w:pPr>
        <w:pStyle w:val="BodyText"/>
        <w:spacing w:line="208" w:lineRule="auto"/>
        <w:ind w:left="359" w:right="727" w:firstLine="432"/>
      </w:pPr>
      <w:r>
        <w:rPr>
          <w:b/>
        </w:rPr>
        <w:t>"Counselor" </w:t>
      </w:r>
      <w:r>
        <w:rPr/>
        <w:t>means the qualified vocational rehabilitation professional, who is an employee of the designated state unit, and who has primary responsibility for the management of an individual's rehabilitation services record of service, including determination</w:t>
      </w:r>
      <w:r>
        <w:rPr>
          <w:spacing w:val="-5"/>
        </w:rPr>
        <w:t> </w:t>
      </w:r>
      <w:r>
        <w:rPr/>
        <w:t>of</w:t>
      </w:r>
      <w:r>
        <w:rPr>
          <w:spacing w:val="-4"/>
        </w:rPr>
        <w:t> </w:t>
      </w:r>
      <w:r>
        <w:rPr/>
        <w:t>eligibility,</w:t>
      </w:r>
      <w:r>
        <w:rPr>
          <w:spacing w:val="-4"/>
        </w:rPr>
        <w:t> </w:t>
      </w:r>
      <w:r>
        <w:rPr/>
        <w:t>service</w:t>
      </w:r>
      <w:r>
        <w:rPr>
          <w:spacing w:val="-5"/>
        </w:rPr>
        <w:t> </w:t>
      </w:r>
      <w:r>
        <w:rPr/>
        <w:t>planning</w:t>
      </w:r>
      <w:r>
        <w:rPr>
          <w:spacing w:val="-5"/>
        </w:rPr>
        <w:t> </w:t>
      </w:r>
      <w:r>
        <w:rPr/>
        <w:t>and</w:t>
      </w:r>
      <w:r>
        <w:rPr>
          <w:spacing w:val="-5"/>
        </w:rPr>
        <w:t> </w:t>
      </w:r>
      <w:r>
        <w:rPr/>
        <w:t>management,</w:t>
      </w:r>
      <w:r>
        <w:rPr>
          <w:spacing w:val="-4"/>
        </w:rPr>
        <w:t> </w:t>
      </w:r>
      <w:r>
        <w:rPr/>
        <w:t>counseling</w:t>
      </w:r>
      <w:r>
        <w:rPr>
          <w:spacing w:val="-5"/>
        </w:rPr>
        <w:t> </w:t>
      </w:r>
      <w:r>
        <w:rPr/>
        <w:t>and</w:t>
      </w:r>
      <w:r>
        <w:rPr>
          <w:spacing w:val="-5"/>
        </w:rPr>
        <w:t> </w:t>
      </w:r>
      <w:r>
        <w:rPr/>
        <w:t>guidance, and determination of successful or unsuccessful rehabilitation. Counselor is equivalent to such terms as VR/SBVI Specialist and VR/SBVI Coordinator.</w:t>
      </w:r>
    </w:p>
    <w:p>
      <w:pPr>
        <w:pStyle w:val="BodyText"/>
        <w:spacing w:line="208" w:lineRule="auto" w:before="239"/>
        <w:ind w:left="359" w:right="724" w:firstLine="432"/>
      </w:pPr>
      <w:r>
        <w:rPr>
          <w:b/>
        </w:rPr>
        <w:t>"Credential attainment" </w:t>
      </w:r>
      <w:r>
        <w:rPr/>
        <w:t>means the percentage of those clients enrolled in an education or training program (excluding those in OJT and customized training) who attained a recognized postsecondary credential or a secondary school diploma, or its recognized equivalent, during participation in or within one year after exit from the program. Under the WIOA, workforce agencies are required to report this percentage during participation in or within one year after closure of the case. This is based on the sub-regulatory</w:t>
      </w:r>
      <w:r>
        <w:rPr>
          <w:spacing w:val="-4"/>
        </w:rPr>
        <w:t> </w:t>
      </w:r>
      <w:r>
        <w:rPr/>
        <w:t>guidance</w:t>
      </w:r>
      <w:r>
        <w:rPr>
          <w:spacing w:val="-4"/>
        </w:rPr>
        <w:t> </w:t>
      </w:r>
      <w:r>
        <w:rPr/>
        <w:t>related</w:t>
      </w:r>
      <w:r>
        <w:rPr>
          <w:spacing w:val="-4"/>
        </w:rPr>
        <w:t> </w:t>
      </w:r>
      <w:r>
        <w:rPr/>
        <w:t>to</w:t>
      </w:r>
      <w:r>
        <w:rPr>
          <w:spacing w:val="-4"/>
        </w:rPr>
        <w:t> </w:t>
      </w:r>
      <w:r>
        <w:rPr/>
        <w:t>the</w:t>
      </w:r>
      <w:r>
        <w:rPr>
          <w:spacing w:val="-4"/>
        </w:rPr>
        <w:t> </w:t>
      </w:r>
      <w:r>
        <w:rPr/>
        <w:t>implementation</w:t>
      </w:r>
      <w:r>
        <w:rPr>
          <w:spacing w:val="-4"/>
        </w:rPr>
        <w:t> </w:t>
      </w:r>
      <w:r>
        <w:rPr/>
        <w:t>and</w:t>
      </w:r>
      <w:r>
        <w:rPr>
          <w:spacing w:val="-4"/>
        </w:rPr>
        <w:t> </w:t>
      </w:r>
      <w:r>
        <w:rPr/>
        <w:t>operation</w:t>
      </w:r>
      <w:r>
        <w:rPr>
          <w:spacing w:val="-4"/>
        </w:rPr>
        <w:t> </w:t>
      </w:r>
      <w:r>
        <w:rPr/>
        <w:t>of</w:t>
      </w:r>
      <w:r>
        <w:rPr>
          <w:spacing w:val="-3"/>
        </w:rPr>
        <w:t> </w:t>
      </w:r>
      <w:r>
        <w:rPr/>
        <w:t>the</w:t>
      </w:r>
      <w:r>
        <w:rPr>
          <w:spacing w:val="-4"/>
        </w:rPr>
        <w:t> </w:t>
      </w:r>
      <w:r>
        <w:rPr/>
        <w:t>performance</w:t>
      </w:r>
    </w:p>
    <w:p>
      <w:pPr>
        <w:pStyle w:val="BodyText"/>
        <w:spacing w:after="0" w:line="208" w:lineRule="auto"/>
        <w:sectPr>
          <w:pgSz w:w="12240" w:h="15840"/>
          <w:pgMar w:top="1340" w:bottom="280" w:left="1080" w:right="720"/>
        </w:sectPr>
      </w:pPr>
    </w:p>
    <w:p>
      <w:pPr>
        <w:pStyle w:val="BodyText"/>
        <w:spacing w:line="208" w:lineRule="auto" w:before="96"/>
        <w:ind w:right="855"/>
      </w:pPr>
      <w:r>
        <w:rPr/>
        <w:t>accountability</w:t>
      </w:r>
      <w:r>
        <w:rPr>
          <w:spacing w:val="-4"/>
        </w:rPr>
        <w:t> </w:t>
      </w:r>
      <w:r>
        <w:rPr/>
        <w:t>system</w:t>
      </w:r>
      <w:r>
        <w:rPr>
          <w:spacing w:val="-6"/>
        </w:rPr>
        <w:t> </w:t>
      </w:r>
      <w:r>
        <w:rPr/>
        <w:t>under</w:t>
      </w:r>
      <w:r>
        <w:rPr>
          <w:spacing w:val="-3"/>
        </w:rPr>
        <w:t> </w:t>
      </w:r>
      <w:r>
        <w:rPr/>
        <w:t>section</w:t>
      </w:r>
      <w:r>
        <w:rPr>
          <w:spacing w:val="-4"/>
        </w:rPr>
        <w:t> </w:t>
      </w:r>
      <w:r>
        <w:rPr/>
        <w:t>116</w:t>
      </w:r>
      <w:r>
        <w:rPr>
          <w:spacing w:val="-4"/>
        </w:rPr>
        <w:t> </w:t>
      </w:r>
      <w:r>
        <w:rPr/>
        <w:t>of</w:t>
      </w:r>
      <w:r>
        <w:rPr>
          <w:spacing w:val="-3"/>
        </w:rPr>
        <w:t> </w:t>
      </w:r>
      <w:r>
        <w:rPr/>
        <w:t>WIOA</w:t>
      </w:r>
      <w:r>
        <w:rPr>
          <w:spacing w:val="-4"/>
        </w:rPr>
        <w:t> </w:t>
      </w:r>
      <w:r>
        <w:rPr/>
        <w:t>and</w:t>
      </w:r>
      <w:r>
        <w:rPr>
          <w:spacing w:val="-5"/>
        </w:rPr>
        <w:t> </w:t>
      </w:r>
      <w:r>
        <w:rPr/>
        <w:t>the</w:t>
      </w:r>
      <w:r>
        <w:rPr>
          <w:spacing w:val="-4"/>
        </w:rPr>
        <w:t> </w:t>
      </w:r>
      <w:r>
        <w:rPr/>
        <w:t>implementing</w:t>
      </w:r>
      <w:r>
        <w:rPr>
          <w:spacing w:val="-4"/>
        </w:rPr>
        <w:t> </w:t>
      </w:r>
      <w:r>
        <w:rPr/>
        <w:t>regulations</w:t>
      </w:r>
      <w:r>
        <w:rPr>
          <w:spacing w:val="-4"/>
        </w:rPr>
        <w:t> </w:t>
      </w:r>
      <w:r>
        <w:rPr/>
        <w:t>in 34 CFR parts 361 subpart E.</w:t>
      </w:r>
    </w:p>
    <w:p>
      <w:pPr>
        <w:pStyle w:val="BodyText"/>
        <w:spacing w:line="208" w:lineRule="auto"/>
        <w:ind w:right="787" w:firstLine="432"/>
      </w:pPr>
      <w:r>
        <w:rPr>
          <w:b/>
        </w:rPr>
        <w:t>"Customized employment" </w:t>
      </w:r>
      <w:r>
        <w:rPr/>
        <w:t>means competitive integrated employment, for an individual</w:t>
      </w:r>
      <w:r>
        <w:rPr>
          <w:spacing w:val="-4"/>
        </w:rPr>
        <w:t> </w:t>
      </w:r>
      <w:r>
        <w:rPr/>
        <w:t>with</w:t>
      </w:r>
      <w:r>
        <w:rPr>
          <w:spacing w:val="-4"/>
        </w:rPr>
        <w:t> </w:t>
      </w:r>
      <w:r>
        <w:rPr/>
        <w:t>a</w:t>
      </w:r>
      <w:r>
        <w:rPr>
          <w:spacing w:val="-4"/>
        </w:rPr>
        <w:t> </w:t>
      </w:r>
      <w:r>
        <w:rPr/>
        <w:t>significant</w:t>
      </w:r>
      <w:r>
        <w:rPr>
          <w:spacing w:val="-3"/>
        </w:rPr>
        <w:t> </w:t>
      </w:r>
      <w:r>
        <w:rPr/>
        <w:t>disability,</w:t>
      </w:r>
      <w:r>
        <w:rPr>
          <w:spacing w:val="-3"/>
        </w:rPr>
        <w:t> </w:t>
      </w:r>
      <w:r>
        <w:rPr/>
        <w:t>that</w:t>
      </w:r>
      <w:r>
        <w:rPr>
          <w:spacing w:val="-3"/>
        </w:rPr>
        <w:t> </w:t>
      </w:r>
      <w:r>
        <w:rPr/>
        <w:t>is</w:t>
      </w:r>
      <w:r>
        <w:rPr>
          <w:spacing w:val="-5"/>
        </w:rPr>
        <w:t> </w:t>
      </w:r>
      <w:r>
        <w:rPr/>
        <w:t>based</w:t>
      </w:r>
      <w:r>
        <w:rPr>
          <w:spacing w:val="-4"/>
        </w:rPr>
        <w:t> </w:t>
      </w:r>
      <w:r>
        <w:rPr/>
        <w:t>on</w:t>
      </w:r>
      <w:r>
        <w:rPr>
          <w:spacing w:val="-4"/>
        </w:rPr>
        <w:t> </w:t>
      </w:r>
      <w:r>
        <w:rPr/>
        <w:t>an</w:t>
      </w:r>
      <w:r>
        <w:rPr>
          <w:spacing w:val="-4"/>
        </w:rPr>
        <w:t> </w:t>
      </w:r>
      <w:r>
        <w:rPr/>
        <w:t>individualized</w:t>
      </w:r>
      <w:r>
        <w:rPr>
          <w:spacing w:val="-4"/>
        </w:rPr>
        <w:t> </w:t>
      </w:r>
      <w:r>
        <w:rPr/>
        <w:t>determination</w:t>
      </w:r>
      <w:r>
        <w:rPr>
          <w:spacing w:val="-4"/>
        </w:rPr>
        <w:t> </w:t>
      </w:r>
      <w:r>
        <w:rPr/>
        <w:t>of the unique strengths, needs and interests of the individual; designed to meet the specific abilities of the individual and the business needs of the employer; and carried out using flexible strategies such as those detailed in 34 CFR 361.5(c) (11).</w:t>
      </w:r>
    </w:p>
    <w:p>
      <w:pPr>
        <w:pStyle w:val="BodyText"/>
        <w:spacing w:line="208" w:lineRule="auto" w:before="239"/>
        <w:ind w:right="775" w:firstLine="432"/>
      </w:pPr>
      <w:r>
        <w:rPr>
          <w:b/>
        </w:rPr>
        <w:t>"Department"</w:t>
      </w:r>
      <w:r>
        <w:rPr>
          <w:b/>
          <w:spacing w:val="-4"/>
        </w:rPr>
        <w:t> </w:t>
      </w:r>
      <w:r>
        <w:rPr/>
        <w:t>unless</w:t>
      </w:r>
      <w:r>
        <w:rPr>
          <w:spacing w:val="-4"/>
        </w:rPr>
        <w:t> </w:t>
      </w:r>
      <w:r>
        <w:rPr/>
        <w:t>otherwise</w:t>
      </w:r>
      <w:r>
        <w:rPr>
          <w:spacing w:val="-4"/>
        </w:rPr>
        <w:t> </w:t>
      </w:r>
      <w:r>
        <w:rPr/>
        <w:t>indicated</w:t>
      </w:r>
      <w:r>
        <w:rPr>
          <w:spacing w:val="-4"/>
        </w:rPr>
        <w:t> </w:t>
      </w:r>
      <w:r>
        <w:rPr/>
        <w:t>in</w:t>
      </w:r>
      <w:r>
        <w:rPr>
          <w:spacing w:val="-3"/>
        </w:rPr>
        <w:t> </w:t>
      </w:r>
      <w:r>
        <w:rPr/>
        <w:t>the</w:t>
      </w:r>
      <w:r>
        <w:rPr>
          <w:spacing w:val="-4"/>
        </w:rPr>
        <w:t> </w:t>
      </w:r>
      <w:r>
        <w:rPr/>
        <w:t>text,</w:t>
      </w:r>
      <w:r>
        <w:rPr>
          <w:spacing w:val="-3"/>
        </w:rPr>
        <w:t> </w:t>
      </w:r>
      <w:r>
        <w:rPr/>
        <w:t>means</w:t>
      </w:r>
      <w:r>
        <w:rPr>
          <w:spacing w:val="-4"/>
        </w:rPr>
        <w:t> </w:t>
      </w:r>
      <w:r>
        <w:rPr/>
        <w:t>the</w:t>
      </w:r>
      <w:r>
        <w:rPr>
          <w:spacing w:val="-4"/>
        </w:rPr>
        <w:t> </w:t>
      </w:r>
      <w:r>
        <w:rPr/>
        <w:t>Department</w:t>
      </w:r>
      <w:r>
        <w:rPr>
          <w:spacing w:val="-5"/>
        </w:rPr>
        <w:t> </w:t>
      </w:r>
      <w:r>
        <w:rPr/>
        <w:t>of Rehabilitation Services as constituted in 74 O.S., Section 166.1 et seq.</w:t>
      </w:r>
    </w:p>
    <w:p>
      <w:pPr>
        <w:pStyle w:val="BodyText"/>
        <w:spacing w:before="244"/>
        <w:ind w:right="855" w:firstLine="450"/>
      </w:pPr>
      <w:r>
        <w:rPr>
          <w:b/>
        </w:rPr>
        <w:t>"Designated State Unit" </w:t>
      </w:r>
      <w:r>
        <w:rPr/>
        <w:t>or </w:t>
      </w:r>
      <w:r>
        <w:rPr>
          <w:b/>
        </w:rPr>
        <w:t>"State Unit" </w:t>
      </w:r>
      <w:r>
        <w:rPr/>
        <w:t>means either the State vocational rehabilitation bureau, division, or other organizational unit that is primarily concerned with vocational rehabilitation or vocational and other rehabilitation of individuals with disabilities</w:t>
      </w:r>
      <w:r>
        <w:rPr>
          <w:spacing w:val="-4"/>
        </w:rPr>
        <w:t> </w:t>
      </w:r>
      <w:r>
        <w:rPr/>
        <w:t>and</w:t>
      </w:r>
      <w:r>
        <w:rPr>
          <w:spacing w:val="-4"/>
        </w:rPr>
        <w:t> </w:t>
      </w:r>
      <w:r>
        <w:rPr/>
        <w:t>that</w:t>
      </w:r>
      <w:r>
        <w:rPr>
          <w:spacing w:val="-3"/>
        </w:rPr>
        <w:t> </w:t>
      </w:r>
      <w:r>
        <w:rPr/>
        <w:t>is</w:t>
      </w:r>
      <w:r>
        <w:rPr>
          <w:spacing w:val="-5"/>
        </w:rPr>
        <w:t> </w:t>
      </w:r>
      <w:r>
        <w:rPr/>
        <w:t>responsible</w:t>
      </w:r>
      <w:r>
        <w:rPr>
          <w:spacing w:val="-3"/>
        </w:rPr>
        <w:t> </w:t>
      </w:r>
      <w:r>
        <w:rPr/>
        <w:t>for</w:t>
      </w:r>
      <w:r>
        <w:rPr>
          <w:spacing w:val="-5"/>
        </w:rPr>
        <w:t> </w:t>
      </w:r>
      <w:r>
        <w:rPr/>
        <w:t>the</w:t>
      </w:r>
      <w:r>
        <w:rPr>
          <w:spacing w:val="-4"/>
        </w:rPr>
        <w:t> </w:t>
      </w:r>
      <w:r>
        <w:rPr/>
        <w:t>administration</w:t>
      </w:r>
      <w:r>
        <w:rPr>
          <w:spacing w:val="-3"/>
        </w:rPr>
        <w:t> </w:t>
      </w:r>
      <w:r>
        <w:rPr/>
        <w:t>of</w:t>
      </w:r>
      <w:r>
        <w:rPr>
          <w:spacing w:val="-5"/>
        </w:rPr>
        <w:t> </w:t>
      </w:r>
      <w:r>
        <w:rPr/>
        <w:t>the</w:t>
      </w:r>
      <w:r>
        <w:rPr>
          <w:spacing w:val="-4"/>
        </w:rPr>
        <w:t> </w:t>
      </w:r>
      <w:r>
        <w:rPr/>
        <w:t>vocational</w:t>
      </w:r>
      <w:r>
        <w:rPr>
          <w:spacing w:val="-4"/>
        </w:rPr>
        <w:t> </w:t>
      </w:r>
      <w:r>
        <w:rPr/>
        <w:t>rehabilitation program of the State agency, as required under 361.13(b); or the State agency that is primarily</w:t>
      </w:r>
      <w:r>
        <w:rPr>
          <w:spacing w:val="-2"/>
        </w:rPr>
        <w:t> </w:t>
      </w:r>
      <w:r>
        <w:rPr/>
        <w:t>concerned</w:t>
      </w:r>
      <w:r>
        <w:rPr>
          <w:spacing w:val="-2"/>
        </w:rPr>
        <w:t> </w:t>
      </w:r>
      <w:r>
        <w:rPr/>
        <w:t>with</w:t>
      </w:r>
      <w:r>
        <w:rPr>
          <w:spacing w:val="-2"/>
        </w:rPr>
        <w:t> </w:t>
      </w:r>
      <w:r>
        <w:rPr/>
        <w:t>vocational</w:t>
      </w:r>
      <w:r>
        <w:rPr>
          <w:spacing w:val="-2"/>
        </w:rPr>
        <w:t> </w:t>
      </w:r>
      <w:r>
        <w:rPr/>
        <w:t>rehabilitation</w:t>
      </w:r>
      <w:r>
        <w:rPr>
          <w:spacing w:val="-2"/>
        </w:rPr>
        <w:t> </w:t>
      </w:r>
      <w:r>
        <w:rPr/>
        <w:t>or</w:t>
      </w:r>
      <w:r>
        <w:rPr>
          <w:spacing w:val="-1"/>
        </w:rPr>
        <w:t> </w:t>
      </w:r>
      <w:r>
        <w:rPr/>
        <w:t>vocational</w:t>
      </w:r>
      <w:r>
        <w:rPr>
          <w:spacing w:val="-2"/>
        </w:rPr>
        <w:t> </w:t>
      </w:r>
      <w:r>
        <w:rPr/>
        <w:t>and</w:t>
      </w:r>
      <w:r>
        <w:rPr>
          <w:spacing w:val="-2"/>
        </w:rPr>
        <w:t> </w:t>
      </w:r>
      <w:r>
        <w:rPr/>
        <w:t>other</w:t>
      </w:r>
      <w:r>
        <w:rPr>
          <w:spacing w:val="-1"/>
        </w:rPr>
        <w:t> </w:t>
      </w:r>
      <w:r>
        <w:rPr/>
        <w:t>rehabilitation of individuals with disabilities. (Authority: Sections 7(8)(B) and 101(a)(2)(B) of the Rehabilitation Act of 1973, as amended; 29 U.S.C. 705(20)(A) and722(a)(1))</w:t>
      </w:r>
    </w:p>
    <w:p>
      <w:pPr>
        <w:pStyle w:val="BodyText"/>
        <w:spacing w:before="246"/>
        <w:ind w:left="792"/>
      </w:pPr>
      <w:r>
        <w:rPr>
          <w:b/>
        </w:rPr>
        <w:t>"DRS"</w:t>
      </w:r>
      <w:r>
        <w:rPr>
          <w:b/>
          <w:spacing w:val="-4"/>
        </w:rPr>
        <w:t> </w:t>
      </w:r>
      <w:r>
        <w:rPr/>
        <w:t>means</w:t>
      </w:r>
      <w:r>
        <w:rPr>
          <w:spacing w:val="-4"/>
        </w:rPr>
        <w:t> </w:t>
      </w:r>
      <w:r>
        <w:rPr/>
        <w:t>the</w:t>
      </w:r>
      <w:r>
        <w:rPr>
          <w:spacing w:val="-4"/>
        </w:rPr>
        <w:t> </w:t>
      </w:r>
      <w:r>
        <w:rPr/>
        <w:t>Department</w:t>
      </w:r>
      <w:r>
        <w:rPr>
          <w:spacing w:val="-3"/>
        </w:rPr>
        <w:t> </w:t>
      </w:r>
      <w:r>
        <w:rPr/>
        <w:t>of</w:t>
      </w:r>
      <w:r>
        <w:rPr>
          <w:spacing w:val="-5"/>
        </w:rPr>
        <w:t> </w:t>
      </w:r>
      <w:r>
        <w:rPr/>
        <w:t>Rehabilitation</w:t>
      </w:r>
      <w:r>
        <w:rPr>
          <w:spacing w:val="-3"/>
        </w:rPr>
        <w:t> </w:t>
      </w:r>
      <w:r>
        <w:rPr>
          <w:spacing w:val="-2"/>
        </w:rPr>
        <w:t>Services.</w:t>
      </w:r>
    </w:p>
    <w:p>
      <w:pPr>
        <w:pStyle w:val="BodyText"/>
        <w:spacing w:before="204"/>
        <w:ind w:left="792"/>
      </w:pPr>
      <w:r>
        <w:rPr>
          <w:b/>
        </w:rPr>
        <w:t>"DSBVI"</w:t>
      </w:r>
      <w:r>
        <w:rPr>
          <w:b/>
          <w:spacing w:val="-5"/>
        </w:rPr>
        <w:t> </w:t>
      </w:r>
      <w:r>
        <w:rPr/>
        <w:t>means</w:t>
      </w:r>
      <w:r>
        <w:rPr>
          <w:spacing w:val="-3"/>
        </w:rPr>
        <w:t> </w:t>
      </w:r>
      <w:r>
        <w:rPr/>
        <w:t>the</w:t>
      </w:r>
      <w:r>
        <w:rPr>
          <w:spacing w:val="-2"/>
        </w:rPr>
        <w:t> </w:t>
      </w:r>
      <w:r>
        <w:rPr/>
        <w:t>Division</w:t>
      </w:r>
      <w:r>
        <w:rPr>
          <w:spacing w:val="-3"/>
        </w:rPr>
        <w:t> </w:t>
      </w:r>
      <w:r>
        <w:rPr/>
        <w:t>of</w:t>
      </w:r>
      <w:r>
        <w:rPr>
          <w:spacing w:val="-1"/>
        </w:rPr>
        <w:t> </w:t>
      </w:r>
      <w:r>
        <w:rPr/>
        <w:t>Services</w:t>
      </w:r>
      <w:r>
        <w:rPr>
          <w:spacing w:val="-3"/>
        </w:rPr>
        <w:t> </w:t>
      </w:r>
      <w:r>
        <w:rPr/>
        <w:t>for</w:t>
      </w:r>
      <w:r>
        <w:rPr>
          <w:spacing w:val="-3"/>
        </w:rPr>
        <w:t> </w:t>
      </w:r>
      <w:r>
        <w:rPr/>
        <w:t>the</w:t>
      </w:r>
      <w:r>
        <w:rPr>
          <w:spacing w:val="-3"/>
        </w:rPr>
        <w:t> </w:t>
      </w:r>
      <w:r>
        <w:rPr/>
        <w:t>Blind</w:t>
      </w:r>
      <w:r>
        <w:rPr>
          <w:spacing w:val="-2"/>
        </w:rPr>
        <w:t> </w:t>
      </w:r>
      <w:r>
        <w:rPr/>
        <w:t>and</w:t>
      </w:r>
      <w:r>
        <w:rPr>
          <w:spacing w:val="-3"/>
        </w:rPr>
        <w:t> </w:t>
      </w:r>
      <w:r>
        <w:rPr/>
        <w:t>Visually</w:t>
      </w:r>
      <w:r>
        <w:rPr>
          <w:spacing w:val="-1"/>
        </w:rPr>
        <w:t> </w:t>
      </w:r>
      <w:r>
        <w:rPr>
          <w:spacing w:val="-2"/>
        </w:rPr>
        <w:t>Impaired.</w:t>
      </w:r>
    </w:p>
    <w:p>
      <w:pPr>
        <w:pStyle w:val="BodyText"/>
        <w:spacing w:before="205"/>
        <w:ind w:left="792"/>
      </w:pPr>
      <w:r>
        <w:rPr>
          <w:b/>
        </w:rPr>
        <w:t>"DVR"</w:t>
      </w:r>
      <w:r>
        <w:rPr>
          <w:b/>
          <w:spacing w:val="-6"/>
        </w:rPr>
        <w:t> </w:t>
      </w:r>
      <w:r>
        <w:rPr/>
        <w:t>means</w:t>
      </w:r>
      <w:r>
        <w:rPr>
          <w:spacing w:val="-3"/>
        </w:rPr>
        <w:t> </w:t>
      </w:r>
      <w:r>
        <w:rPr/>
        <w:t>the</w:t>
      </w:r>
      <w:r>
        <w:rPr>
          <w:spacing w:val="-3"/>
        </w:rPr>
        <w:t> </w:t>
      </w:r>
      <w:r>
        <w:rPr/>
        <w:t>Division</w:t>
      </w:r>
      <w:r>
        <w:rPr>
          <w:spacing w:val="-3"/>
        </w:rPr>
        <w:t> </w:t>
      </w:r>
      <w:r>
        <w:rPr/>
        <w:t>of</w:t>
      </w:r>
      <w:r>
        <w:rPr>
          <w:spacing w:val="-2"/>
        </w:rPr>
        <w:t> </w:t>
      </w:r>
      <w:r>
        <w:rPr/>
        <w:t>Vocational</w:t>
      </w:r>
      <w:r>
        <w:rPr>
          <w:spacing w:val="-3"/>
        </w:rPr>
        <w:t> </w:t>
      </w:r>
      <w:r>
        <w:rPr>
          <w:spacing w:val="-2"/>
        </w:rPr>
        <w:t>Rehabilitation.</w:t>
      </w:r>
    </w:p>
    <w:p>
      <w:pPr>
        <w:pStyle w:val="BodyText"/>
        <w:spacing w:line="208" w:lineRule="auto" w:before="233"/>
        <w:ind w:right="727" w:firstLine="432"/>
      </w:pPr>
      <w:r>
        <w:rPr>
          <w:b/>
        </w:rPr>
        <w:t>"Electronic Case Management System" </w:t>
      </w:r>
      <w:r>
        <w:rPr/>
        <w:t>means a "system of records" which is a group</w:t>
      </w:r>
      <w:r>
        <w:rPr>
          <w:spacing w:val="-3"/>
        </w:rPr>
        <w:t> </w:t>
      </w:r>
      <w:r>
        <w:rPr/>
        <w:t>of</w:t>
      </w:r>
      <w:r>
        <w:rPr>
          <w:spacing w:val="-2"/>
        </w:rPr>
        <w:t> </w:t>
      </w:r>
      <w:r>
        <w:rPr/>
        <w:t>any</w:t>
      </w:r>
      <w:r>
        <w:rPr>
          <w:spacing w:val="-3"/>
        </w:rPr>
        <w:t> </w:t>
      </w:r>
      <w:r>
        <w:rPr/>
        <w:t>records</w:t>
      </w:r>
      <w:r>
        <w:rPr>
          <w:spacing w:val="-3"/>
        </w:rPr>
        <w:t> </w:t>
      </w:r>
      <w:r>
        <w:rPr/>
        <w:t>under</w:t>
      </w:r>
      <w:r>
        <w:rPr>
          <w:spacing w:val="-2"/>
        </w:rPr>
        <w:t> </w:t>
      </w:r>
      <w:r>
        <w:rPr/>
        <w:t>the</w:t>
      </w:r>
      <w:r>
        <w:rPr>
          <w:spacing w:val="-3"/>
        </w:rPr>
        <w:t> </w:t>
      </w:r>
      <w:r>
        <w:rPr/>
        <w:t>control</w:t>
      </w:r>
      <w:r>
        <w:rPr>
          <w:spacing w:val="-3"/>
        </w:rPr>
        <w:t> </w:t>
      </w:r>
      <w:r>
        <w:rPr/>
        <w:t>of</w:t>
      </w:r>
      <w:r>
        <w:rPr>
          <w:spacing w:val="-2"/>
        </w:rPr>
        <w:t> </w:t>
      </w:r>
      <w:r>
        <w:rPr/>
        <w:t>any</w:t>
      </w:r>
      <w:r>
        <w:rPr>
          <w:spacing w:val="-4"/>
        </w:rPr>
        <w:t> </w:t>
      </w:r>
      <w:r>
        <w:rPr/>
        <w:t>agency</w:t>
      </w:r>
      <w:r>
        <w:rPr>
          <w:spacing w:val="-3"/>
        </w:rPr>
        <w:t> </w:t>
      </w:r>
      <w:r>
        <w:rPr/>
        <w:t>from</w:t>
      </w:r>
      <w:r>
        <w:rPr>
          <w:spacing w:val="-2"/>
        </w:rPr>
        <w:t> </w:t>
      </w:r>
      <w:r>
        <w:rPr/>
        <w:t>which</w:t>
      </w:r>
      <w:r>
        <w:rPr>
          <w:spacing w:val="-3"/>
        </w:rPr>
        <w:t> </w:t>
      </w:r>
      <w:r>
        <w:rPr/>
        <w:t>information</w:t>
      </w:r>
      <w:r>
        <w:rPr>
          <w:spacing w:val="-3"/>
        </w:rPr>
        <w:t> </w:t>
      </w:r>
      <w:r>
        <w:rPr/>
        <w:t>is</w:t>
      </w:r>
      <w:r>
        <w:rPr>
          <w:spacing w:val="-3"/>
        </w:rPr>
        <w:t> </w:t>
      </w:r>
      <w:r>
        <w:rPr/>
        <w:t>retrieved by</w:t>
      </w:r>
      <w:r>
        <w:rPr>
          <w:spacing w:val="-3"/>
        </w:rPr>
        <w:t> </w:t>
      </w:r>
      <w:r>
        <w:rPr/>
        <w:t>the</w:t>
      </w:r>
      <w:r>
        <w:rPr>
          <w:spacing w:val="-3"/>
        </w:rPr>
        <w:t> </w:t>
      </w:r>
      <w:r>
        <w:rPr/>
        <w:t>name</w:t>
      </w:r>
      <w:r>
        <w:rPr>
          <w:spacing w:val="-3"/>
        </w:rPr>
        <w:t> </w:t>
      </w:r>
      <w:r>
        <w:rPr/>
        <w:t>of</w:t>
      </w:r>
      <w:r>
        <w:rPr>
          <w:spacing w:val="-2"/>
        </w:rPr>
        <w:t> </w:t>
      </w:r>
      <w:r>
        <w:rPr/>
        <w:t>the</w:t>
      </w:r>
      <w:r>
        <w:rPr>
          <w:spacing w:val="-3"/>
        </w:rPr>
        <w:t> </w:t>
      </w:r>
      <w:r>
        <w:rPr/>
        <w:t>individual</w:t>
      </w:r>
      <w:r>
        <w:rPr>
          <w:spacing w:val="-3"/>
        </w:rPr>
        <w:t> </w:t>
      </w:r>
      <w:r>
        <w:rPr/>
        <w:t>or</w:t>
      </w:r>
      <w:r>
        <w:rPr>
          <w:spacing w:val="-2"/>
        </w:rPr>
        <w:t> </w:t>
      </w:r>
      <w:r>
        <w:rPr/>
        <w:t>by</w:t>
      </w:r>
      <w:r>
        <w:rPr>
          <w:spacing w:val="-3"/>
        </w:rPr>
        <w:t> </w:t>
      </w:r>
      <w:r>
        <w:rPr/>
        <w:t>some</w:t>
      </w:r>
      <w:r>
        <w:rPr>
          <w:spacing w:val="-3"/>
        </w:rPr>
        <w:t> </w:t>
      </w:r>
      <w:r>
        <w:rPr/>
        <w:t>identifying</w:t>
      </w:r>
      <w:r>
        <w:rPr>
          <w:spacing w:val="-3"/>
        </w:rPr>
        <w:t> </w:t>
      </w:r>
      <w:r>
        <w:rPr/>
        <w:t>number,</w:t>
      </w:r>
      <w:r>
        <w:rPr>
          <w:spacing w:val="-2"/>
        </w:rPr>
        <w:t> </w:t>
      </w:r>
      <w:r>
        <w:rPr/>
        <w:t>symbol,</w:t>
      </w:r>
      <w:r>
        <w:rPr>
          <w:spacing w:val="-2"/>
        </w:rPr>
        <w:t> </w:t>
      </w:r>
      <w:r>
        <w:rPr/>
        <w:t>or</w:t>
      </w:r>
      <w:r>
        <w:rPr>
          <w:spacing w:val="-2"/>
        </w:rPr>
        <w:t> </w:t>
      </w:r>
      <w:r>
        <w:rPr/>
        <w:t>other</w:t>
      </w:r>
      <w:r>
        <w:rPr>
          <w:spacing w:val="-2"/>
        </w:rPr>
        <w:t> </w:t>
      </w:r>
      <w:r>
        <w:rPr/>
        <w:t>identifying particular assigned to the individual.</w:t>
      </w:r>
    </w:p>
    <w:p>
      <w:pPr>
        <w:pStyle w:val="BodyText"/>
        <w:spacing w:line="208" w:lineRule="auto" w:before="239"/>
        <w:ind w:right="775" w:firstLine="432"/>
      </w:pPr>
      <w:r>
        <w:rPr>
          <w:b/>
        </w:rPr>
        <w:t>"Eligible</w:t>
      </w:r>
      <w:r>
        <w:rPr>
          <w:b/>
          <w:spacing w:val="-6"/>
        </w:rPr>
        <w:t> </w:t>
      </w:r>
      <w:r>
        <w:rPr>
          <w:b/>
        </w:rPr>
        <w:t>individual"</w:t>
      </w:r>
      <w:r>
        <w:rPr>
          <w:b/>
          <w:spacing w:val="-5"/>
        </w:rPr>
        <w:t> </w:t>
      </w:r>
      <w:r>
        <w:rPr/>
        <w:t>means</w:t>
      </w:r>
      <w:r>
        <w:rPr>
          <w:spacing w:val="-5"/>
        </w:rPr>
        <w:t> </w:t>
      </w:r>
      <w:r>
        <w:rPr/>
        <w:t>an</w:t>
      </w:r>
      <w:r>
        <w:rPr>
          <w:spacing w:val="-6"/>
        </w:rPr>
        <w:t> </w:t>
      </w:r>
      <w:r>
        <w:rPr/>
        <w:t>applicant</w:t>
      </w:r>
      <w:r>
        <w:rPr>
          <w:spacing w:val="-4"/>
        </w:rPr>
        <w:t> </w:t>
      </w:r>
      <w:r>
        <w:rPr/>
        <w:t>for</w:t>
      </w:r>
      <w:r>
        <w:rPr>
          <w:spacing w:val="-4"/>
        </w:rPr>
        <w:t> </w:t>
      </w:r>
      <w:r>
        <w:rPr/>
        <w:t>vocational</w:t>
      </w:r>
      <w:r>
        <w:rPr>
          <w:spacing w:val="-4"/>
        </w:rPr>
        <w:t> </w:t>
      </w:r>
      <w:r>
        <w:rPr/>
        <w:t>rehabilitation</w:t>
      </w:r>
      <w:r>
        <w:rPr>
          <w:spacing w:val="-5"/>
        </w:rPr>
        <w:t> </w:t>
      </w:r>
      <w:r>
        <w:rPr/>
        <w:t>services</w:t>
      </w:r>
      <w:r>
        <w:rPr>
          <w:spacing w:val="-5"/>
        </w:rPr>
        <w:t> </w:t>
      </w:r>
      <w:r>
        <w:rPr/>
        <w:t>who meets the eligibility requirements of 34 CFR 361.42(a).</w:t>
      </w:r>
    </w:p>
    <w:p>
      <w:pPr>
        <w:pStyle w:val="BodyText"/>
        <w:spacing w:before="245"/>
        <w:ind w:right="775" w:firstLine="432"/>
      </w:pPr>
      <w:r>
        <w:rPr>
          <w:b/>
        </w:rPr>
        <w:t>"Employment</w:t>
      </w:r>
      <w:r>
        <w:rPr>
          <w:b/>
          <w:spacing w:val="-3"/>
        </w:rPr>
        <w:t> </w:t>
      </w:r>
      <w:r>
        <w:rPr>
          <w:b/>
        </w:rPr>
        <w:t>and</w:t>
      </w:r>
      <w:r>
        <w:rPr>
          <w:b/>
          <w:spacing w:val="-4"/>
        </w:rPr>
        <w:t> </w:t>
      </w:r>
      <w:r>
        <w:rPr>
          <w:b/>
        </w:rPr>
        <w:t>Retention"</w:t>
      </w:r>
      <w:r>
        <w:rPr>
          <w:b/>
          <w:spacing w:val="-4"/>
        </w:rPr>
        <w:t> </w:t>
      </w:r>
      <w:r>
        <w:rPr/>
        <w:t>or</w:t>
      </w:r>
      <w:r>
        <w:rPr>
          <w:spacing w:val="-5"/>
        </w:rPr>
        <w:t> </w:t>
      </w:r>
      <w:r>
        <w:rPr>
          <w:b/>
        </w:rPr>
        <w:t>"(E&amp;R)"</w:t>
      </w:r>
      <w:r>
        <w:rPr>
          <w:b/>
          <w:spacing w:val="-4"/>
        </w:rPr>
        <w:t> </w:t>
      </w:r>
      <w:r>
        <w:rPr/>
        <w:t>means</w:t>
      </w:r>
      <w:r>
        <w:rPr>
          <w:spacing w:val="-4"/>
        </w:rPr>
        <w:t> </w:t>
      </w:r>
      <w:r>
        <w:rPr/>
        <w:t>short-term</w:t>
      </w:r>
      <w:r>
        <w:rPr>
          <w:spacing w:val="-3"/>
        </w:rPr>
        <w:t> </w:t>
      </w:r>
      <w:r>
        <w:rPr/>
        <w:t>on-site</w:t>
      </w:r>
      <w:r>
        <w:rPr>
          <w:spacing w:val="-4"/>
        </w:rPr>
        <w:t> </w:t>
      </w:r>
      <w:r>
        <w:rPr/>
        <w:t>and/or</w:t>
      </w:r>
      <w:r>
        <w:rPr>
          <w:spacing w:val="-3"/>
        </w:rPr>
        <w:t> </w:t>
      </w:r>
      <w:r>
        <w:rPr/>
        <w:t>off-site support for individuals with significant disabilities who require assistance preparing for, obtaining, and maintaining employment. If Employment and Retention Services are used</w:t>
      </w:r>
      <w:r>
        <w:rPr>
          <w:spacing w:val="-4"/>
        </w:rPr>
        <w:t> </w:t>
      </w:r>
      <w:r>
        <w:rPr/>
        <w:t>with</w:t>
      </w:r>
      <w:r>
        <w:rPr>
          <w:spacing w:val="-4"/>
        </w:rPr>
        <w:t> </w:t>
      </w:r>
      <w:r>
        <w:rPr/>
        <w:t>an</w:t>
      </w:r>
      <w:r>
        <w:rPr>
          <w:spacing w:val="-4"/>
        </w:rPr>
        <w:t> </w:t>
      </w:r>
      <w:r>
        <w:rPr/>
        <w:t>individual</w:t>
      </w:r>
      <w:r>
        <w:rPr>
          <w:spacing w:val="-3"/>
        </w:rPr>
        <w:t> </w:t>
      </w:r>
      <w:r>
        <w:rPr/>
        <w:t>with</w:t>
      </w:r>
      <w:r>
        <w:rPr>
          <w:spacing w:val="-4"/>
        </w:rPr>
        <w:t> </w:t>
      </w:r>
      <w:r>
        <w:rPr/>
        <w:t>a</w:t>
      </w:r>
      <w:r>
        <w:rPr>
          <w:spacing w:val="-4"/>
        </w:rPr>
        <w:t> </w:t>
      </w:r>
      <w:r>
        <w:rPr/>
        <w:t>most</w:t>
      </w:r>
      <w:r>
        <w:rPr>
          <w:spacing w:val="-3"/>
        </w:rPr>
        <w:t> </w:t>
      </w:r>
      <w:r>
        <w:rPr/>
        <w:t>significant</w:t>
      </w:r>
      <w:r>
        <w:rPr>
          <w:spacing w:val="-3"/>
        </w:rPr>
        <w:t> </w:t>
      </w:r>
      <w:r>
        <w:rPr/>
        <w:t>disability,</w:t>
      </w:r>
      <w:r>
        <w:rPr>
          <w:spacing w:val="-3"/>
        </w:rPr>
        <w:t> </w:t>
      </w:r>
      <w:r>
        <w:rPr/>
        <w:t>the</w:t>
      </w:r>
      <w:r>
        <w:rPr>
          <w:spacing w:val="-4"/>
        </w:rPr>
        <w:t> </w:t>
      </w:r>
      <w:r>
        <w:rPr/>
        <w:t>DRS</w:t>
      </w:r>
      <w:r>
        <w:rPr>
          <w:spacing w:val="-4"/>
        </w:rPr>
        <w:t> </w:t>
      </w:r>
      <w:r>
        <w:rPr/>
        <w:t>Counselor</w:t>
      </w:r>
      <w:r>
        <w:rPr>
          <w:spacing w:val="-3"/>
        </w:rPr>
        <w:t> </w:t>
      </w:r>
      <w:r>
        <w:rPr/>
        <w:t>must</w:t>
      </w:r>
      <w:r>
        <w:rPr>
          <w:spacing w:val="-3"/>
        </w:rPr>
        <w:t> </w:t>
      </w:r>
      <w:r>
        <w:rPr/>
        <w:t>justify in a case narrative how Employment and Retention is the most appropriate placement service rather than Supported Employment.</w:t>
      </w:r>
    </w:p>
    <w:p>
      <w:pPr>
        <w:pStyle w:val="BodyText"/>
        <w:spacing w:line="208" w:lineRule="auto" w:before="235"/>
        <w:ind w:right="775" w:firstLine="432"/>
      </w:pPr>
      <w:r>
        <w:rPr>
          <w:b/>
        </w:rPr>
        <w:t>"Employment Consultant" </w:t>
      </w:r>
      <w:r>
        <w:rPr/>
        <w:t>or </w:t>
      </w:r>
      <w:r>
        <w:rPr>
          <w:b/>
        </w:rPr>
        <w:t>"(EC)" </w:t>
      </w:r>
      <w:r>
        <w:rPr/>
        <w:t>refers to a specialist who uses structured intervention techniques to help the individual learn job tasks to the employer's specifications and learn the interpersonal skills necessary to be accepted as an employee at the job site. In addition to job site training, job coaching includes related assessment,</w:t>
      </w:r>
      <w:r>
        <w:rPr>
          <w:spacing w:val="-4"/>
        </w:rPr>
        <w:t> </w:t>
      </w:r>
      <w:r>
        <w:rPr/>
        <w:t>job</w:t>
      </w:r>
      <w:r>
        <w:rPr>
          <w:spacing w:val="-5"/>
        </w:rPr>
        <w:t> </w:t>
      </w:r>
      <w:r>
        <w:rPr/>
        <w:t>development,</w:t>
      </w:r>
      <w:r>
        <w:rPr>
          <w:spacing w:val="-4"/>
        </w:rPr>
        <w:t> </w:t>
      </w:r>
      <w:r>
        <w:rPr/>
        <w:t>advocacy,</w:t>
      </w:r>
      <w:r>
        <w:rPr>
          <w:spacing w:val="-4"/>
        </w:rPr>
        <w:t> </w:t>
      </w:r>
      <w:r>
        <w:rPr/>
        <w:t>travel</w:t>
      </w:r>
      <w:r>
        <w:rPr>
          <w:spacing w:val="-5"/>
        </w:rPr>
        <w:t> </w:t>
      </w:r>
      <w:r>
        <w:rPr/>
        <w:t>training,</w:t>
      </w:r>
      <w:r>
        <w:rPr>
          <w:spacing w:val="-3"/>
        </w:rPr>
        <w:t> </w:t>
      </w:r>
      <w:r>
        <w:rPr/>
        <w:t>and</w:t>
      </w:r>
      <w:r>
        <w:rPr>
          <w:spacing w:val="-5"/>
        </w:rPr>
        <w:t> </w:t>
      </w:r>
      <w:r>
        <w:rPr/>
        <w:t>other</w:t>
      </w:r>
      <w:r>
        <w:rPr>
          <w:spacing w:val="-6"/>
        </w:rPr>
        <w:t> </w:t>
      </w:r>
      <w:r>
        <w:rPr/>
        <w:t>services</w:t>
      </w:r>
      <w:r>
        <w:rPr>
          <w:spacing w:val="-5"/>
        </w:rPr>
        <w:t> </w:t>
      </w:r>
      <w:r>
        <w:rPr/>
        <w:t>needed</w:t>
      </w:r>
      <w:r>
        <w:rPr>
          <w:spacing w:val="-5"/>
        </w:rPr>
        <w:t> </w:t>
      </w:r>
      <w:r>
        <w:rPr/>
        <w:t>to maintain the employment.</w:t>
      </w:r>
    </w:p>
    <w:p>
      <w:pPr>
        <w:pStyle w:val="BodyText"/>
        <w:spacing w:line="208" w:lineRule="auto"/>
        <w:ind w:right="775" w:firstLine="432"/>
      </w:pPr>
      <w:r>
        <w:rPr>
          <w:b/>
        </w:rPr>
        <w:t>"Employment outcome" </w:t>
      </w:r>
      <w:r>
        <w:rPr/>
        <w:t>means, with respect to an eligible individual, entering, advancing</w:t>
      </w:r>
      <w:r>
        <w:rPr>
          <w:spacing w:val="-4"/>
        </w:rPr>
        <w:t> </w:t>
      </w:r>
      <w:r>
        <w:rPr/>
        <w:t>in,</w:t>
      </w:r>
      <w:r>
        <w:rPr>
          <w:spacing w:val="-3"/>
        </w:rPr>
        <w:t> </w:t>
      </w:r>
      <w:r>
        <w:rPr/>
        <w:t>or</w:t>
      </w:r>
      <w:r>
        <w:rPr>
          <w:spacing w:val="-5"/>
        </w:rPr>
        <w:t> </w:t>
      </w:r>
      <w:r>
        <w:rPr/>
        <w:t>retaining</w:t>
      </w:r>
      <w:r>
        <w:rPr>
          <w:spacing w:val="-4"/>
        </w:rPr>
        <w:t> </w:t>
      </w:r>
      <w:r>
        <w:rPr/>
        <w:t>full-time</w:t>
      </w:r>
      <w:r>
        <w:rPr>
          <w:spacing w:val="-4"/>
        </w:rPr>
        <w:t> </w:t>
      </w:r>
      <w:r>
        <w:rPr/>
        <w:t>or</w:t>
      </w:r>
      <w:r>
        <w:rPr>
          <w:spacing w:val="-3"/>
        </w:rPr>
        <w:t> </w:t>
      </w:r>
      <w:r>
        <w:rPr/>
        <w:t>part-time</w:t>
      </w:r>
      <w:r>
        <w:rPr>
          <w:spacing w:val="-4"/>
        </w:rPr>
        <w:t> </w:t>
      </w:r>
      <w:r>
        <w:rPr/>
        <w:t>competitive</w:t>
      </w:r>
      <w:r>
        <w:rPr>
          <w:spacing w:val="-4"/>
        </w:rPr>
        <w:t> </w:t>
      </w:r>
      <w:r>
        <w:rPr/>
        <w:t>integrated</w:t>
      </w:r>
      <w:r>
        <w:rPr>
          <w:spacing w:val="-4"/>
        </w:rPr>
        <w:t> </w:t>
      </w:r>
      <w:r>
        <w:rPr/>
        <w:t>employment</w:t>
      </w:r>
      <w:r>
        <w:rPr>
          <w:spacing w:val="-3"/>
        </w:rPr>
        <w:t> </w:t>
      </w:r>
      <w:r>
        <w:rPr/>
        <w:t>as</w:t>
      </w:r>
    </w:p>
    <w:p>
      <w:pPr>
        <w:pStyle w:val="BodyText"/>
        <w:spacing w:after="0" w:line="208" w:lineRule="auto"/>
        <w:sectPr>
          <w:pgSz w:w="12240" w:h="15840"/>
          <w:pgMar w:top="1340" w:bottom="280" w:left="1080" w:right="720"/>
        </w:sectPr>
      </w:pPr>
    </w:p>
    <w:p>
      <w:pPr>
        <w:pStyle w:val="BodyText"/>
        <w:spacing w:line="208" w:lineRule="auto" w:before="96"/>
      </w:pPr>
      <w:r>
        <w:rPr/>
        <w:t>defined in 34 CFR §361.5(c) (9) (including customized employment, self-employment, telecommuting,</w:t>
      </w:r>
      <w:r>
        <w:rPr>
          <w:spacing w:val="-3"/>
        </w:rPr>
        <w:t> </w:t>
      </w:r>
      <w:r>
        <w:rPr/>
        <w:t>or</w:t>
      </w:r>
      <w:r>
        <w:rPr>
          <w:spacing w:val="-3"/>
        </w:rPr>
        <w:t> </w:t>
      </w:r>
      <w:r>
        <w:rPr/>
        <w:t>business</w:t>
      </w:r>
      <w:r>
        <w:rPr>
          <w:spacing w:val="-4"/>
        </w:rPr>
        <w:t> </w:t>
      </w:r>
      <w:r>
        <w:rPr/>
        <w:t>ownership),</w:t>
      </w:r>
      <w:r>
        <w:rPr>
          <w:spacing w:val="-3"/>
        </w:rPr>
        <w:t> </w:t>
      </w:r>
      <w:r>
        <w:rPr/>
        <w:t>or</w:t>
      </w:r>
      <w:r>
        <w:rPr>
          <w:spacing w:val="-3"/>
        </w:rPr>
        <w:t> </w:t>
      </w:r>
      <w:r>
        <w:rPr/>
        <w:t>supported</w:t>
      </w:r>
      <w:r>
        <w:rPr>
          <w:spacing w:val="-4"/>
        </w:rPr>
        <w:t> </w:t>
      </w:r>
      <w:r>
        <w:rPr/>
        <w:t>employment</w:t>
      </w:r>
      <w:r>
        <w:rPr>
          <w:spacing w:val="-3"/>
        </w:rPr>
        <w:t> </w:t>
      </w:r>
      <w:r>
        <w:rPr/>
        <w:t>as</w:t>
      </w:r>
      <w:r>
        <w:rPr>
          <w:spacing w:val="-4"/>
        </w:rPr>
        <w:t> </w:t>
      </w:r>
      <w:r>
        <w:rPr/>
        <w:t>defined</w:t>
      </w:r>
      <w:r>
        <w:rPr>
          <w:spacing w:val="-4"/>
        </w:rPr>
        <w:t> </w:t>
      </w:r>
      <w:r>
        <w:rPr/>
        <w:t>in</w:t>
      </w:r>
      <w:r>
        <w:rPr>
          <w:spacing w:val="-4"/>
        </w:rPr>
        <w:t> </w:t>
      </w:r>
      <w:r>
        <w:rPr/>
        <w:t>34</w:t>
      </w:r>
      <w:r>
        <w:rPr>
          <w:spacing w:val="-4"/>
        </w:rPr>
        <w:t> </w:t>
      </w:r>
      <w:r>
        <w:rPr/>
        <w:t>CFR</w:t>
      </w:r>
    </w:p>
    <w:p>
      <w:pPr>
        <w:pStyle w:val="BodyText"/>
        <w:spacing w:line="208" w:lineRule="auto" w:before="0"/>
        <w:ind w:right="775"/>
      </w:pPr>
      <w:r>
        <w:rPr/>
        <w:t>§361.5(c) (53), that is consistent with an individual's unique strengths, resources, priorities, concerns, abilities, capabilities, interests, and informed choice. (Note: As specified</w:t>
      </w:r>
      <w:r>
        <w:rPr>
          <w:spacing w:val="-4"/>
        </w:rPr>
        <w:t> </w:t>
      </w:r>
      <w:r>
        <w:rPr/>
        <w:t>in</w:t>
      </w:r>
      <w:r>
        <w:rPr>
          <w:spacing w:val="-3"/>
        </w:rPr>
        <w:t> </w:t>
      </w:r>
      <w:r>
        <w:rPr/>
        <w:t>federal</w:t>
      </w:r>
      <w:r>
        <w:rPr>
          <w:spacing w:val="-4"/>
        </w:rPr>
        <w:t> </w:t>
      </w:r>
      <w:r>
        <w:rPr/>
        <w:t>rule,</w:t>
      </w:r>
      <w:r>
        <w:rPr>
          <w:spacing w:val="-3"/>
        </w:rPr>
        <w:t> </w:t>
      </w:r>
      <w:r>
        <w:rPr/>
        <w:t>a</w:t>
      </w:r>
      <w:r>
        <w:rPr>
          <w:spacing w:val="-4"/>
        </w:rPr>
        <w:t> </w:t>
      </w:r>
      <w:r>
        <w:rPr/>
        <w:t>designated</w:t>
      </w:r>
      <w:r>
        <w:rPr>
          <w:spacing w:val="-4"/>
        </w:rPr>
        <w:t> </w:t>
      </w:r>
      <w:r>
        <w:rPr/>
        <w:t>State</w:t>
      </w:r>
      <w:r>
        <w:rPr>
          <w:spacing w:val="-5"/>
        </w:rPr>
        <w:t> </w:t>
      </w:r>
      <w:r>
        <w:rPr/>
        <w:t>unit</w:t>
      </w:r>
      <w:r>
        <w:rPr>
          <w:spacing w:val="-3"/>
        </w:rPr>
        <w:t> </w:t>
      </w:r>
      <w:r>
        <w:rPr/>
        <w:t>may</w:t>
      </w:r>
      <w:r>
        <w:rPr>
          <w:spacing w:val="-4"/>
        </w:rPr>
        <w:t> </w:t>
      </w:r>
      <w:r>
        <w:rPr/>
        <w:t>continue</w:t>
      </w:r>
      <w:r>
        <w:rPr>
          <w:spacing w:val="-4"/>
        </w:rPr>
        <w:t> </w:t>
      </w:r>
      <w:r>
        <w:rPr/>
        <w:t>services</w:t>
      </w:r>
      <w:r>
        <w:rPr>
          <w:spacing w:val="-4"/>
        </w:rPr>
        <w:t> </w:t>
      </w:r>
      <w:r>
        <w:rPr/>
        <w:t>to</w:t>
      </w:r>
      <w:r>
        <w:rPr>
          <w:spacing w:val="-4"/>
        </w:rPr>
        <w:t> </w:t>
      </w:r>
      <w:r>
        <w:rPr/>
        <w:t>individuals with uncompensated employment goals on their approved individualized plans for employment prior to the effective date of the final federal regulations until June 30, 2017, unless</w:t>
      </w:r>
      <w:r>
        <w:rPr>
          <w:spacing w:val="-1"/>
        </w:rPr>
        <w:t> </w:t>
      </w:r>
      <w:r>
        <w:rPr/>
        <w:t>a</w:t>
      </w:r>
      <w:r>
        <w:rPr>
          <w:spacing w:val="-1"/>
        </w:rPr>
        <w:t> </w:t>
      </w:r>
      <w:r>
        <w:rPr/>
        <w:t>longer period</w:t>
      </w:r>
      <w:r>
        <w:rPr>
          <w:spacing w:val="-1"/>
        </w:rPr>
        <w:t> </w:t>
      </w:r>
      <w:r>
        <w:rPr/>
        <w:t>of time</w:t>
      </w:r>
      <w:r>
        <w:rPr>
          <w:spacing w:val="-1"/>
        </w:rPr>
        <w:t> </w:t>
      </w:r>
      <w:r>
        <w:rPr/>
        <w:t>is</w:t>
      </w:r>
      <w:r>
        <w:rPr>
          <w:spacing w:val="-1"/>
        </w:rPr>
        <w:t> </w:t>
      </w:r>
      <w:r>
        <w:rPr/>
        <w:t>required</w:t>
      </w:r>
      <w:r>
        <w:rPr>
          <w:spacing w:val="-1"/>
        </w:rPr>
        <w:t> </w:t>
      </w:r>
      <w:r>
        <w:rPr/>
        <w:t>based</w:t>
      </w:r>
      <w:r>
        <w:rPr>
          <w:spacing w:val="-1"/>
        </w:rPr>
        <w:t> </w:t>
      </w:r>
      <w:r>
        <w:rPr/>
        <w:t>on</w:t>
      </w:r>
      <w:r>
        <w:rPr>
          <w:spacing w:val="-1"/>
        </w:rPr>
        <w:t> </w:t>
      </w:r>
      <w:r>
        <w:rPr/>
        <w:t>the</w:t>
      </w:r>
      <w:r>
        <w:rPr>
          <w:spacing w:val="-1"/>
        </w:rPr>
        <w:t> </w:t>
      </w:r>
      <w:r>
        <w:rPr/>
        <w:t>needs</w:t>
      </w:r>
      <w:r>
        <w:rPr>
          <w:spacing w:val="-1"/>
        </w:rPr>
        <w:t> </w:t>
      </w:r>
      <w:r>
        <w:rPr/>
        <w:t>of the</w:t>
      </w:r>
      <w:r>
        <w:rPr>
          <w:spacing w:val="-1"/>
        </w:rPr>
        <w:t> </w:t>
      </w:r>
      <w:r>
        <w:rPr/>
        <w:t>individual with the disability, as documented in the individual's service record.)</w:t>
      </w:r>
    </w:p>
    <w:p>
      <w:pPr>
        <w:pStyle w:val="BodyText"/>
        <w:spacing w:line="208" w:lineRule="auto" w:before="239"/>
        <w:ind w:right="775" w:firstLine="432"/>
      </w:pPr>
      <w:r>
        <w:rPr>
          <w:b/>
        </w:rPr>
        <w:t>"Extended</w:t>
      </w:r>
      <w:r>
        <w:rPr>
          <w:b/>
          <w:spacing w:val="-3"/>
        </w:rPr>
        <w:t> </w:t>
      </w:r>
      <w:r>
        <w:rPr>
          <w:b/>
        </w:rPr>
        <w:t>employment"</w:t>
      </w:r>
      <w:r>
        <w:rPr>
          <w:b/>
          <w:spacing w:val="-4"/>
        </w:rPr>
        <w:t> </w:t>
      </w:r>
      <w:r>
        <w:rPr/>
        <w:t>means</w:t>
      </w:r>
      <w:r>
        <w:rPr>
          <w:spacing w:val="-4"/>
        </w:rPr>
        <w:t> </w:t>
      </w:r>
      <w:r>
        <w:rPr/>
        <w:t>work</w:t>
      </w:r>
      <w:r>
        <w:rPr>
          <w:spacing w:val="-4"/>
        </w:rPr>
        <w:t> </w:t>
      </w:r>
      <w:r>
        <w:rPr/>
        <w:t>in</w:t>
      </w:r>
      <w:r>
        <w:rPr>
          <w:spacing w:val="-4"/>
        </w:rPr>
        <w:t> </w:t>
      </w:r>
      <w:r>
        <w:rPr/>
        <w:t>a</w:t>
      </w:r>
      <w:r>
        <w:rPr>
          <w:spacing w:val="-5"/>
        </w:rPr>
        <w:t> </w:t>
      </w:r>
      <w:r>
        <w:rPr/>
        <w:t>non-integrated</w:t>
      </w:r>
      <w:r>
        <w:rPr>
          <w:spacing w:val="-4"/>
        </w:rPr>
        <w:t> </w:t>
      </w:r>
      <w:r>
        <w:rPr/>
        <w:t>or</w:t>
      </w:r>
      <w:r>
        <w:rPr>
          <w:spacing w:val="-3"/>
        </w:rPr>
        <w:t> </w:t>
      </w:r>
      <w:r>
        <w:rPr/>
        <w:t>sheltered</w:t>
      </w:r>
      <w:r>
        <w:rPr>
          <w:spacing w:val="-4"/>
        </w:rPr>
        <w:t> </w:t>
      </w:r>
      <w:r>
        <w:rPr/>
        <w:t>setting</w:t>
      </w:r>
      <w:r>
        <w:rPr>
          <w:spacing w:val="-4"/>
        </w:rPr>
        <w:t> </w:t>
      </w:r>
      <w:r>
        <w:rPr/>
        <w:t>for</w:t>
      </w:r>
      <w:r>
        <w:rPr>
          <w:spacing w:val="-3"/>
        </w:rPr>
        <w:t> </w:t>
      </w:r>
      <w:r>
        <w:rPr/>
        <w:t>a public or private nonprofit agency or organization that provides compensation in accordance with the Fair Labor Standards Act.</w:t>
      </w:r>
    </w:p>
    <w:p>
      <w:pPr>
        <w:pStyle w:val="BodyText"/>
        <w:spacing w:line="208" w:lineRule="auto"/>
        <w:ind w:right="775" w:firstLine="432"/>
      </w:pPr>
      <w:r>
        <w:rPr>
          <w:b/>
        </w:rPr>
        <w:t>"Extended period of time" </w:t>
      </w:r>
      <w:r>
        <w:rPr/>
        <w:t>means, with respect to duration of vocational rehabilitation,</w:t>
      </w:r>
      <w:r>
        <w:rPr>
          <w:spacing w:val="-3"/>
        </w:rPr>
        <w:t> </w:t>
      </w:r>
      <w:r>
        <w:rPr/>
        <w:t>services</w:t>
      </w:r>
      <w:r>
        <w:rPr>
          <w:spacing w:val="-5"/>
        </w:rPr>
        <w:t> </w:t>
      </w:r>
      <w:r>
        <w:rPr/>
        <w:t>that</w:t>
      </w:r>
      <w:r>
        <w:rPr>
          <w:spacing w:val="-3"/>
        </w:rPr>
        <w:t> </w:t>
      </w:r>
      <w:r>
        <w:rPr/>
        <w:t>are</w:t>
      </w:r>
      <w:r>
        <w:rPr>
          <w:spacing w:val="-4"/>
        </w:rPr>
        <w:t> </w:t>
      </w:r>
      <w:r>
        <w:rPr/>
        <w:t>expected</w:t>
      </w:r>
      <w:r>
        <w:rPr>
          <w:spacing w:val="-4"/>
        </w:rPr>
        <w:t> </w:t>
      </w:r>
      <w:r>
        <w:rPr/>
        <w:t>to</w:t>
      </w:r>
      <w:r>
        <w:rPr>
          <w:spacing w:val="-4"/>
        </w:rPr>
        <w:t> </w:t>
      </w:r>
      <w:r>
        <w:rPr/>
        <w:t>extend</w:t>
      </w:r>
      <w:r>
        <w:rPr>
          <w:spacing w:val="-4"/>
        </w:rPr>
        <w:t> </w:t>
      </w:r>
      <w:r>
        <w:rPr/>
        <w:t>at</w:t>
      </w:r>
      <w:r>
        <w:rPr>
          <w:spacing w:val="-3"/>
        </w:rPr>
        <w:t> </w:t>
      </w:r>
      <w:r>
        <w:rPr/>
        <w:t>least</w:t>
      </w:r>
      <w:r>
        <w:rPr>
          <w:spacing w:val="-3"/>
        </w:rPr>
        <w:t> </w:t>
      </w:r>
      <w:r>
        <w:rPr/>
        <w:t>6</w:t>
      </w:r>
      <w:r>
        <w:rPr>
          <w:spacing w:val="-4"/>
        </w:rPr>
        <w:t> </w:t>
      </w:r>
      <w:r>
        <w:rPr/>
        <w:t>months</w:t>
      </w:r>
      <w:r>
        <w:rPr>
          <w:spacing w:val="-4"/>
        </w:rPr>
        <w:t> </w:t>
      </w:r>
      <w:r>
        <w:rPr/>
        <w:t>from</w:t>
      </w:r>
      <w:r>
        <w:rPr>
          <w:spacing w:val="-5"/>
        </w:rPr>
        <w:t> </w:t>
      </w:r>
      <w:r>
        <w:rPr/>
        <w:t>eligibility.</w:t>
      </w:r>
    </w:p>
    <w:p>
      <w:pPr>
        <w:pStyle w:val="BodyText"/>
        <w:spacing w:line="208" w:lineRule="auto" w:before="239"/>
        <w:ind w:right="804" w:firstLine="432"/>
      </w:pPr>
      <w:r>
        <w:rPr>
          <w:b/>
        </w:rPr>
        <w:t>"Extended services" </w:t>
      </w:r>
      <w:r>
        <w:rPr/>
        <w:t>means ongoing support services</w:t>
      </w:r>
      <w:r>
        <w:rPr>
          <w:spacing w:val="-1"/>
        </w:rPr>
        <w:t> </w:t>
      </w:r>
      <w:r>
        <w:rPr/>
        <w:t>provided to individuals with the most significant disabilities, including youth with the most significant disabilities, after the time-limited vocational rehabilitation services have been completed and job stabilization has been achieved. They consist of specific services, including natural supports,</w:t>
      </w:r>
      <w:r>
        <w:rPr>
          <w:spacing w:val="-4"/>
        </w:rPr>
        <w:t> </w:t>
      </w:r>
      <w:r>
        <w:rPr/>
        <w:t>needed</w:t>
      </w:r>
      <w:r>
        <w:rPr>
          <w:spacing w:val="-5"/>
        </w:rPr>
        <w:t> </w:t>
      </w:r>
      <w:r>
        <w:rPr/>
        <w:t>to</w:t>
      </w:r>
      <w:r>
        <w:rPr>
          <w:spacing w:val="-5"/>
        </w:rPr>
        <w:t> </w:t>
      </w:r>
      <w:r>
        <w:rPr/>
        <w:t>maintain</w:t>
      </w:r>
      <w:r>
        <w:rPr>
          <w:spacing w:val="-5"/>
        </w:rPr>
        <w:t> </w:t>
      </w:r>
      <w:r>
        <w:rPr/>
        <w:t>the</w:t>
      </w:r>
      <w:r>
        <w:rPr>
          <w:spacing w:val="-5"/>
        </w:rPr>
        <w:t> </w:t>
      </w:r>
      <w:r>
        <w:rPr/>
        <w:t>supported</w:t>
      </w:r>
      <w:r>
        <w:rPr>
          <w:spacing w:val="-5"/>
        </w:rPr>
        <w:t> </w:t>
      </w:r>
      <w:r>
        <w:rPr/>
        <w:t>employment</w:t>
      </w:r>
      <w:r>
        <w:rPr>
          <w:spacing w:val="-4"/>
        </w:rPr>
        <w:t> </w:t>
      </w:r>
      <w:r>
        <w:rPr/>
        <w:t>placement.</w:t>
      </w:r>
      <w:r>
        <w:rPr>
          <w:spacing w:val="-4"/>
        </w:rPr>
        <w:t> </w:t>
      </w:r>
      <w:r>
        <w:rPr/>
        <w:t>Extended</w:t>
      </w:r>
      <w:r>
        <w:rPr>
          <w:spacing w:val="-5"/>
        </w:rPr>
        <w:t> </w:t>
      </w:r>
      <w:r>
        <w:rPr/>
        <w:t>services are paid from funding sources other than DRS and are specifically identified in the IPE, except that DRS may provide and pay for extended services for youth with the most significant disabilities for a period not to exceed 4 years or extend beyond the date when the youth reaches age 25.</w:t>
      </w:r>
    </w:p>
    <w:p>
      <w:pPr>
        <w:pStyle w:val="BodyText"/>
        <w:spacing w:line="208" w:lineRule="auto"/>
        <w:ind w:right="775" w:firstLine="432"/>
      </w:pPr>
      <w:r>
        <w:rPr>
          <w:b/>
        </w:rPr>
        <w:t>"Extreme medical risk" </w:t>
      </w:r>
      <w:r>
        <w:rPr/>
        <w:t>means a risk of substantially increasing functional impairment</w:t>
      </w:r>
      <w:r>
        <w:rPr>
          <w:spacing w:val="-3"/>
        </w:rPr>
        <w:t> </w:t>
      </w:r>
      <w:r>
        <w:rPr/>
        <w:t>or</w:t>
      </w:r>
      <w:r>
        <w:rPr>
          <w:spacing w:val="-3"/>
        </w:rPr>
        <w:t> </w:t>
      </w:r>
      <w:r>
        <w:rPr/>
        <w:t>risk</w:t>
      </w:r>
      <w:r>
        <w:rPr>
          <w:spacing w:val="-4"/>
        </w:rPr>
        <w:t> </w:t>
      </w:r>
      <w:r>
        <w:rPr/>
        <w:t>of</w:t>
      </w:r>
      <w:r>
        <w:rPr>
          <w:spacing w:val="-3"/>
        </w:rPr>
        <w:t> </w:t>
      </w:r>
      <w:r>
        <w:rPr/>
        <w:t>death</w:t>
      </w:r>
      <w:r>
        <w:rPr>
          <w:spacing w:val="-4"/>
        </w:rPr>
        <w:t> </w:t>
      </w:r>
      <w:r>
        <w:rPr/>
        <w:t>if</w:t>
      </w:r>
      <w:r>
        <w:rPr>
          <w:spacing w:val="-3"/>
        </w:rPr>
        <w:t> </w:t>
      </w:r>
      <w:r>
        <w:rPr/>
        <w:t>medical</w:t>
      </w:r>
      <w:r>
        <w:rPr>
          <w:spacing w:val="-4"/>
        </w:rPr>
        <w:t> </w:t>
      </w:r>
      <w:r>
        <w:rPr/>
        <w:t>services</w:t>
      </w:r>
      <w:r>
        <w:rPr>
          <w:spacing w:val="-4"/>
        </w:rPr>
        <w:t> </w:t>
      </w:r>
      <w:r>
        <w:rPr/>
        <w:t>including</w:t>
      </w:r>
      <w:r>
        <w:rPr>
          <w:spacing w:val="-3"/>
        </w:rPr>
        <w:t> </w:t>
      </w:r>
      <w:r>
        <w:rPr/>
        <w:t>mental</w:t>
      </w:r>
      <w:r>
        <w:rPr>
          <w:spacing w:val="-4"/>
        </w:rPr>
        <w:t> </w:t>
      </w:r>
      <w:r>
        <w:rPr/>
        <w:t>health</w:t>
      </w:r>
      <w:r>
        <w:rPr>
          <w:spacing w:val="-4"/>
        </w:rPr>
        <w:t> </w:t>
      </w:r>
      <w:r>
        <w:rPr/>
        <w:t>services,</w:t>
      </w:r>
      <w:r>
        <w:rPr>
          <w:spacing w:val="-3"/>
        </w:rPr>
        <w:t> </w:t>
      </w:r>
      <w:r>
        <w:rPr/>
        <w:t>are</w:t>
      </w:r>
      <w:r>
        <w:rPr>
          <w:spacing w:val="-4"/>
        </w:rPr>
        <w:t> </w:t>
      </w:r>
      <w:r>
        <w:rPr/>
        <w:t>not provided expeditiously.</w:t>
      </w:r>
    </w:p>
    <w:p>
      <w:pPr>
        <w:pStyle w:val="BodyText"/>
        <w:spacing w:line="208" w:lineRule="auto" w:before="239"/>
        <w:ind w:right="775" w:firstLine="432"/>
      </w:pPr>
      <w:r>
        <w:rPr>
          <w:b/>
        </w:rPr>
        <w:t>"Family member" </w:t>
      </w:r>
      <w:r>
        <w:rPr/>
        <w:t>means for purposes of receiving vocational rehabilitation services in accordance with 34 CFR 361.48(b)(9), means an individual who either is a relative</w:t>
      </w:r>
      <w:r>
        <w:rPr>
          <w:spacing w:val="-4"/>
        </w:rPr>
        <w:t> </w:t>
      </w:r>
      <w:r>
        <w:rPr/>
        <w:t>or</w:t>
      </w:r>
      <w:r>
        <w:rPr>
          <w:spacing w:val="-3"/>
        </w:rPr>
        <w:t> </w:t>
      </w:r>
      <w:r>
        <w:rPr/>
        <w:t>guardian</w:t>
      </w:r>
      <w:r>
        <w:rPr>
          <w:spacing w:val="-4"/>
        </w:rPr>
        <w:t> </w:t>
      </w:r>
      <w:r>
        <w:rPr/>
        <w:t>of</w:t>
      </w:r>
      <w:r>
        <w:rPr>
          <w:spacing w:val="-2"/>
        </w:rPr>
        <w:t> </w:t>
      </w:r>
      <w:r>
        <w:rPr/>
        <w:t>an</w:t>
      </w:r>
      <w:r>
        <w:rPr>
          <w:spacing w:val="-4"/>
        </w:rPr>
        <w:t> </w:t>
      </w:r>
      <w:r>
        <w:rPr/>
        <w:t>applicant</w:t>
      </w:r>
      <w:r>
        <w:rPr>
          <w:spacing w:val="-3"/>
        </w:rPr>
        <w:t> </w:t>
      </w:r>
      <w:r>
        <w:rPr/>
        <w:t>or</w:t>
      </w:r>
      <w:r>
        <w:rPr>
          <w:spacing w:val="-3"/>
        </w:rPr>
        <w:t> </w:t>
      </w:r>
      <w:r>
        <w:rPr/>
        <w:t>eligible</w:t>
      </w:r>
      <w:r>
        <w:rPr>
          <w:spacing w:val="-4"/>
        </w:rPr>
        <w:t> </w:t>
      </w:r>
      <w:r>
        <w:rPr/>
        <w:t>individual;</w:t>
      </w:r>
      <w:r>
        <w:rPr>
          <w:spacing w:val="-3"/>
        </w:rPr>
        <w:t> </w:t>
      </w:r>
      <w:r>
        <w:rPr/>
        <w:t>or</w:t>
      </w:r>
      <w:r>
        <w:rPr>
          <w:spacing w:val="-3"/>
        </w:rPr>
        <w:t> </w:t>
      </w:r>
      <w:r>
        <w:rPr/>
        <w:t>lives</w:t>
      </w:r>
      <w:r>
        <w:rPr>
          <w:spacing w:val="-4"/>
        </w:rPr>
        <w:t> </w:t>
      </w:r>
      <w:r>
        <w:rPr/>
        <w:t>in</w:t>
      </w:r>
      <w:r>
        <w:rPr>
          <w:spacing w:val="-5"/>
        </w:rPr>
        <w:t> </w:t>
      </w:r>
      <w:r>
        <w:rPr/>
        <w:t>the</w:t>
      </w:r>
      <w:r>
        <w:rPr>
          <w:spacing w:val="-4"/>
        </w:rPr>
        <w:t> </w:t>
      </w:r>
      <w:r>
        <w:rPr/>
        <w:t>same</w:t>
      </w:r>
      <w:r>
        <w:rPr>
          <w:spacing w:val="-4"/>
        </w:rPr>
        <w:t> </w:t>
      </w:r>
      <w:r>
        <w:rPr/>
        <w:t>household as an applicant or eligible individual; who has a substantial interest in the well-being of that individual; and whose receipt of vocational rehabilitation services is necessary to enable the applicant or eligible individual to achieve an employment outcome.</w:t>
      </w:r>
    </w:p>
    <w:p>
      <w:pPr>
        <w:pStyle w:val="BodyText"/>
        <w:spacing w:line="208" w:lineRule="auto"/>
        <w:ind w:right="775" w:firstLine="432"/>
      </w:pPr>
      <w:r>
        <w:rPr>
          <w:b/>
        </w:rPr>
        <w:t>"Functional capacities" </w:t>
      </w:r>
      <w:r>
        <w:rPr/>
        <w:t>means a client's assets, strengths, and resources which maintain or increase the individual's ability to work. Functional capacities include mobility,</w:t>
      </w:r>
      <w:r>
        <w:rPr>
          <w:spacing w:val="-5"/>
        </w:rPr>
        <w:t> </w:t>
      </w:r>
      <w:r>
        <w:rPr/>
        <w:t>communication,</w:t>
      </w:r>
      <w:r>
        <w:rPr>
          <w:spacing w:val="-5"/>
        </w:rPr>
        <w:t> </w:t>
      </w:r>
      <w:r>
        <w:rPr/>
        <w:t>self-care,</w:t>
      </w:r>
      <w:r>
        <w:rPr>
          <w:spacing w:val="-5"/>
        </w:rPr>
        <w:t> </w:t>
      </w:r>
      <w:r>
        <w:rPr/>
        <w:t>self-direction,</w:t>
      </w:r>
      <w:r>
        <w:rPr>
          <w:spacing w:val="-5"/>
        </w:rPr>
        <w:t> </w:t>
      </w:r>
      <w:r>
        <w:rPr/>
        <w:t>interpersonal</w:t>
      </w:r>
      <w:r>
        <w:rPr>
          <w:spacing w:val="-6"/>
        </w:rPr>
        <w:t> </w:t>
      </w:r>
      <w:r>
        <w:rPr/>
        <w:t>skills,</w:t>
      </w:r>
      <w:r>
        <w:rPr>
          <w:spacing w:val="-4"/>
        </w:rPr>
        <w:t> </w:t>
      </w:r>
      <w:r>
        <w:rPr/>
        <w:t>work</w:t>
      </w:r>
      <w:r>
        <w:rPr>
          <w:spacing w:val="-6"/>
        </w:rPr>
        <w:t> </w:t>
      </w:r>
      <w:r>
        <w:rPr/>
        <w:t>tolerance,</w:t>
      </w:r>
      <w:r>
        <w:rPr>
          <w:spacing w:val="-5"/>
        </w:rPr>
        <w:t> </w:t>
      </w:r>
      <w:r>
        <w:rPr/>
        <w:t>or work skills.</w:t>
      </w:r>
    </w:p>
    <w:p>
      <w:pPr>
        <w:pStyle w:val="BodyText"/>
        <w:spacing w:line="208" w:lineRule="auto" w:before="239"/>
        <w:ind w:right="1036" w:firstLine="432"/>
      </w:pPr>
      <w:r>
        <w:rPr>
          <w:b/>
        </w:rPr>
        <w:t>"Functional</w:t>
      </w:r>
      <w:r>
        <w:rPr>
          <w:b/>
          <w:spacing w:val="-4"/>
        </w:rPr>
        <w:t> </w:t>
      </w:r>
      <w:r>
        <w:rPr>
          <w:b/>
        </w:rPr>
        <w:t>limitations"</w:t>
      </w:r>
      <w:r>
        <w:rPr>
          <w:b/>
          <w:spacing w:val="-5"/>
        </w:rPr>
        <w:t> </w:t>
      </w:r>
      <w:r>
        <w:rPr/>
        <w:t>means</w:t>
      </w:r>
      <w:r>
        <w:rPr>
          <w:spacing w:val="-5"/>
        </w:rPr>
        <w:t> </w:t>
      </w:r>
      <w:r>
        <w:rPr/>
        <w:t>physical</w:t>
      </w:r>
      <w:r>
        <w:rPr>
          <w:spacing w:val="-5"/>
        </w:rPr>
        <w:t> </w:t>
      </w:r>
      <w:r>
        <w:rPr/>
        <w:t>or</w:t>
      </w:r>
      <w:r>
        <w:rPr>
          <w:spacing w:val="-4"/>
        </w:rPr>
        <w:t> </w:t>
      </w:r>
      <w:r>
        <w:rPr/>
        <w:t>mental</w:t>
      </w:r>
      <w:r>
        <w:rPr>
          <w:spacing w:val="-5"/>
        </w:rPr>
        <w:t> </w:t>
      </w:r>
      <w:r>
        <w:rPr/>
        <w:t>conditions,</w:t>
      </w:r>
      <w:r>
        <w:rPr>
          <w:spacing w:val="-4"/>
        </w:rPr>
        <w:t> </w:t>
      </w:r>
      <w:r>
        <w:rPr/>
        <w:t>emergent</w:t>
      </w:r>
      <w:r>
        <w:rPr>
          <w:spacing w:val="-4"/>
        </w:rPr>
        <w:t> </w:t>
      </w:r>
      <w:r>
        <w:rPr/>
        <w:t>from</w:t>
      </w:r>
      <w:r>
        <w:rPr>
          <w:spacing w:val="-4"/>
        </w:rPr>
        <w:t> </w:t>
      </w:r>
      <w:r>
        <w:rPr/>
        <w:t>a disability, which impair, interfere with, or impede one or more of an individual's functional capacities.</w:t>
      </w:r>
    </w:p>
    <w:p>
      <w:pPr>
        <w:pStyle w:val="BodyText"/>
        <w:spacing w:line="208" w:lineRule="auto"/>
        <w:ind w:right="775" w:firstLine="432"/>
      </w:pPr>
      <w:r>
        <w:rPr>
          <w:b/>
        </w:rPr>
        <w:t>"Higher</w:t>
      </w:r>
      <w:r>
        <w:rPr>
          <w:b/>
          <w:spacing w:val="-7"/>
        </w:rPr>
        <w:t> </w:t>
      </w:r>
      <w:r>
        <w:rPr>
          <w:b/>
        </w:rPr>
        <w:t>education"</w:t>
      </w:r>
      <w:r>
        <w:rPr>
          <w:b/>
          <w:spacing w:val="-8"/>
        </w:rPr>
        <w:t> </w:t>
      </w:r>
      <w:r>
        <w:rPr/>
        <w:t>means</w:t>
      </w:r>
      <w:r>
        <w:rPr>
          <w:spacing w:val="-7"/>
        </w:rPr>
        <w:t> </w:t>
      </w:r>
      <w:r>
        <w:rPr/>
        <w:t>universities,</w:t>
      </w:r>
      <w:r>
        <w:rPr>
          <w:spacing w:val="-6"/>
        </w:rPr>
        <w:t> </w:t>
      </w:r>
      <w:r>
        <w:rPr/>
        <w:t>colleges,</w:t>
      </w:r>
      <w:r>
        <w:rPr>
          <w:spacing w:val="-6"/>
        </w:rPr>
        <w:t> </w:t>
      </w:r>
      <w:r>
        <w:rPr/>
        <w:t>community/junior</w:t>
      </w:r>
      <w:r>
        <w:rPr>
          <w:spacing w:val="-6"/>
        </w:rPr>
        <w:t> </w:t>
      </w:r>
      <w:r>
        <w:rPr/>
        <w:t>colleges, vocational schools, technical institutes, or hospital schools of nursing.</w:t>
      </w:r>
    </w:p>
    <w:p>
      <w:pPr>
        <w:pStyle w:val="BodyText"/>
        <w:spacing w:before="244"/>
        <w:ind w:right="775"/>
      </w:pPr>
      <w:r>
        <w:rPr>
          <w:b/>
        </w:rPr>
        <w:t>"Highly</w:t>
      </w:r>
      <w:r>
        <w:rPr>
          <w:b/>
          <w:spacing w:val="-5"/>
        </w:rPr>
        <w:t> </w:t>
      </w:r>
      <w:r>
        <w:rPr>
          <w:b/>
        </w:rPr>
        <w:t>challenged"</w:t>
      </w:r>
      <w:r>
        <w:rPr>
          <w:b/>
          <w:spacing w:val="-5"/>
        </w:rPr>
        <w:t> </w:t>
      </w:r>
      <w:r>
        <w:rPr/>
        <w:t>describes</w:t>
      </w:r>
      <w:r>
        <w:rPr>
          <w:spacing w:val="-5"/>
        </w:rPr>
        <w:t> </w:t>
      </w:r>
      <w:r>
        <w:rPr/>
        <w:t>an</w:t>
      </w:r>
      <w:r>
        <w:rPr>
          <w:spacing w:val="-5"/>
        </w:rPr>
        <w:t> </w:t>
      </w:r>
      <w:r>
        <w:rPr/>
        <w:t>individual</w:t>
      </w:r>
      <w:r>
        <w:rPr>
          <w:spacing w:val="-4"/>
        </w:rPr>
        <w:t> </w:t>
      </w:r>
      <w:r>
        <w:rPr/>
        <w:t>receiving</w:t>
      </w:r>
      <w:r>
        <w:rPr>
          <w:spacing w:val="-5"/>
        </w:rPr>
        <w:t> </w:t>
      </w:r>
      <w:r>
        <w:rPr/>
        <w:t>supported</w:t>
      </w:r>
      <w:r>
        <w:rPr>
          <w:spacing w:val="-5"/>
        </w:rPr>
        <w:t> </w:t>
      </w:r>
      <w:r>
        <w:rPr/>
        <w:t>employment</w:t>
      </w:r>
      <w:r>
        <w:rPr>
          <w:spacing w:val="-4"/>
        </w:rPr>
        <w:t> </w:t>
      </w:r>
      <w:r>
        <w:rPr/>
        <w:t>services who, due to the nature of the disability, requires a greater level of support from the job</w:t>
      </w:r>
    </w:p>
    <w:p>
      <w:pPr>
        <w:pStyle w:val="BodyText"/>
        <w:spacing w:after="0"/>
        <w:sectPr>
          <w:pgSz w:w="12240" w:h="15840"/>
          <w:pgMar w:top="1340" w:bottom="280" w:left="1080" w:right="720"/>
        </w:sectPr>
      </w:pPr>
    </w:p>
    <w:p>
      <w:pPr>
        <w:pStyle w:val="BodyText"/>
        <w:spacing w:before="80"/>
        <w:ind w:right="775"/>
      </w:pPr>
      <w:r>
        <w:rPr/>
        <w:t>coach</w:t>
      </w:r>
      <w:r>
        <w:rPr>
          <w:spacing w:val="-3"/>
        </w:rPr>
        <w:t> </w:t>
      </w:r>
      <w:r>
        <w:rPr/>
        <w:t>to</w:t>
      </w:r>
      <w:r>
        <w:rPr>
          <w:spacing w:val="-3"/>
        </w:rPr>
        <w:t> </w:t>
      </w:r>
      <w:r>
        <w:rPr/>
        <w:t>maintain</w:t>
      </w:r>
      <w:r>
        <w:rPr>
          <w:spacing w:val="-3"/>
        </w:rPr>
        <w:t> </w:t>
      </w:r>
      <w:r>
        <w:rPr/>
        <w:t>employment.</w:t>
      </w:r>
      <w:r>
        <w:rPr>
          <w:spacing w:val="-2"/>
        </w:rPr>
        <w:t> </w:t>
      </w:r>
      <w:r>
        <w:rPr/>
        <w:t>The</w:t>
      </w:r>
      <w:r>
        <w:rPr>
          <w:spacing w:val="-3"/>
        </w:rPr>
        <w:t> </w:t>
      </w:r>
      <w:r>
        <w:rPr/>
        <w:t>individual</w:t>
      </w:r>
      <w:r>
        <w:rPr>
          <w:spacing w:val="-3"/>
        </w:rPr>
        <w:t> </w:t>
      </w:r>
      <w:r>
        <w:rPr/>
        <w:t>must</w:t>
      </w:r>
      <w:r>
        <w:rPr>
          <w:spacing w:val="-2"/>
        </w:rPr>
        <w:t> </w:t>
      </w:r>
      <w:r>
        <w:rPr/>
        <w:t>meet</w:t>
      </w:r>
      <w:r>
        <w:rPr>
          <w:spacing w:val="-2"/>
        </w:rPr>
        <w:t> </w:t>
      </w:r>
      <w:r>
        <w:rPr/>
        <w:t>at</w:t>
      </w:r>
      <w:r>
        <w:rPr>
          <w:spacing w:val="-2"/>
        </w:rPr>
        <w:t> </w:t>
      </w:r>
      <w:r>
        <w:rPr/>
        <w:t>least</w:t>
      </w:r>
      <w:r>
        <w:rPr>
          <w:spacing w:val="-4"/>
        </w:rPr>
        <w:t> </w:t>
      </w:r>
      <w:r>
        <w:rPr/>
        <w:t>two</w:t>
      </w:r>
      <w:r>
        <w:rPr>
          <w:spacing w:val="-3"/>
        </w:rPr>
        <w:t> </w:t>
      </w:r>
      <w:r>
        <w:rPr/>
        <w:t>(2)</w:t>
      </w:r>
      <w:r>
        <w:rPr>
          <w:spacing w:val="-4"/>
        </w:rPr>
        <w:t> </w:t>
      </w:r>
      <w:r>
        <w:rPr/>
        <w:t>or</w:t>
      </w:r>
      <w:r>
        <w:rPr>
          <w:spacing w:val="-4"/>
        </w:rPr>
        <w:t> </w:t>
      </w:r>
      <w:r>
        <w:rPr/>
        <w:t>more</w:t>
      </w:r>
      <w:r>
        <w:rPr>
          <w:spacing w:val="-3"/>
        </w:rPr>
        <w:t> </w:t>
      </w:r>
      <w:r>
        <w:rPr/>
        <w:t>of</w:t>
      </w:r>
      <w:r>
        <w:rPr>
          <w:spacing w:val="-4"/>
        </w:rPr>
        <w:t> </w:t>
      </w:r>
      <w:r>
        <w:rPr/>
        <w:t>the following criteria to be considered highly challenged:</w:t>
      </w:r>
    </w:p>
    <w:p>
      <w:pPr>
        <w:pStyle w:val="ListParagraph"/>
        <w:numPr>
          <w:ilvl w:val="3"/>
          <w:numId w:val="63"/>
        </w:numPr>
        <w:tabs>
          <w:tab w:pos="1533" w:val="left" w:leader="none"/>
        </w:tabs>
        <w:spacing w:line="240" w:lineRule="auto" w:before="120" w:after="0"/>
        <w:ind w:left="1533" w:right="0" w:hanging="453"/>
        <w:jc w:val="left"/>
        <w:rPr>
          <w:sz w:val="24"/>
        </w:rPr>
      </w:pPr>
      <w:r>
        <w:rPr>
          <w:sz w:val="24"/>
        </w:rPr>
        <w:t>Requires</w:t>
      </w:r>
      <w:r>
        <w:rPr>
          <w:spacing w:val="-4"/>
          <w:sz w:val="24"/>
        </w:rPr>
        <w:t> </w:t>
      </w:r>
      <w:r>
        <w:rPr>
          <w:sz w:val="24"/>
        </w:rPr>
        <w:t>a</w:t>
      </w:r>
      <w:r>
        <w:rPr>
          <w:spacing w:val="-3"/>
          <w:sz w:val="24"/>
        </w:rPr>
        <w:t> </w:t>
      </w:r>
      <w:r>
        <w:rPr>
          <w:sz w:val="24"/>
        </w:rPr>
        <w:t>personal</w:t>
      </w:r>
      <w:r>
        <w:rPr>
          <w:spacing w:val="-3"/>
          <w:sz w:val="24"/>
        </w:rPr>
        <w:t> </w:t>
      </w:r>
      <w:r>
        <w:rPr>
          <w:sz w:val="24"/>
        </w:rPr>
        <w:t>care</w:t>
      </w:r>
      <w:r>
        <w:rPr>
          <w:spacing w:val="-3"/>
          <w:sz w:val="24"/>
        </w:rPr>
        <w:t> </w:t>
      </w:r>
      <w:r>
        <w:rPr>
          <w:sz w:val="24"/>
        </w:rPr>
        <w:t>attendant</w:t>
      </w:r>
      <w:r>
        <w:rPr>
          <w:spacing w:val="-2"/>
          <w:sz w:val="24"/>
        </w:rPr>
        <w:t> </w:t>
      </w:r>
      <w:r>
        <w:rPr>
          <w:sz w:val="24"/>
        </w:rPr>
        <w:t>at</w:t>
      </w:r>
      <w:r>
        <w:rPr>
          <w:spacing w:val="-2"/>
          <w:sz w:val="24"/>
        </w:rPr>
        <w:t> </w:t>
      </w:r>
      <w:r>
        <w:rPr>
          <w:sz w:val="24"/>
        </w:rPr>
        <w:t>the</w:t>
      </w:r>
      <w:r>
        <w:rPr>
          <w:spacing w:val="-3"/>
          <w:sz w:val="24"/>
        </w:rPr>
        <w:t> </w:t>
      </w:r>
      <w:r>
        <w:rPr>
          <w:sz w:val="24"/>
        </w:rPr>
        <w:t>job</w:t>
      </w:r>
      <w:r>
        <w:rPr>
          <w:spacing w:val="-3"/>
          <w:sz w:val="24"/>
        </w:rPr>
        <w:t> </w:t>
      </w:r>
      <w:r>
        <w:rPr>
          <w:spacing w:val="-2"/>
          <w:sz w:val="24"/>
        </w:rPr>
        <w:t>site.</w:t>
      </w:r>
    </w:p>
    <w:p>
      <w:pPr>
        <w:pStyle w:val="ListParagraph"/>
        <w:numPr>
          <w:ilvl w:val="3"/>
          <w:numId w:val="63"/>
        </w:numPr>
        <w:tabs>
          <w:tab w:pos="1533" w:val="left" w:leader="none"/>
        </w:tabs>
        <w:spacing w:line="240" w:lineRule="auto" w:before="120" w:after="0"/>
        <w:ind w:left="1080" w:right="1220" w:firstLine="0"/>
        <w:jc w:val="left"/>
        <w:rPr>
          <w:sz w:val="24"/>
        </w:rPr>
      </w:pPr>
      <w:r>
        <w:rPr>
          <w:sz w:val="24"/>
        </w:rPr>
        <w:t>Has exhibited an ongoing, documented pattern of explosive behavior, physical aggression, self-abuse, or destruction of property which would jeopardize</w:t>
      </w:r>
      <w:r>
        <w:rPr>
          <w:spacing w:val="-6"/>
          <w:sz w:val="24"/>
        </w:rPr>
        <w:t> </w:t>
      </w:r>
      <w:r>
        <w:rPr>
          <w:sz w:val="24"/>
        </w:rPr>
        <w:t>their</w:t>
      </w:r>
      <w:r>
        <w:rPr>
          <w:spacing w:val="-5"/>
          <w:sz w:val="24"/>
        </w:rPr>
        <w:t> </w:t>
      </w:r>
      <w:r>
        <w:rPr>
          <w:sz w:val="24"/>
        </w:rPr>
        <w:t>opportunity</w:t>
      </w:r>
      <w:r>
        <w:rPr>
          <w:spacing w:val="-6"/>
          <w:sz w:val="24"/>
        </w:rPr>
        <w:t> </w:t>
      </w:r>
      <w:r>
        <w:rPr>
          <w:sz w:val="24"/>
        </w:rPr>
        <w:t>for</w:t>
      </w:r>
      <w:r>
        <w:rPr>
          <w:spacing w:val="-5"/>
          <w:sz w:val="24"/>
        </w:rPr>
        <w:t> </w:t>
      </w:r>
      <w:r>
        <w:rPr>
          <w:sz w:val="24"/>
        </w:rPr>
        <w:t>achieving</w:t>
      </w:r>
      <w:r>
        <w:rPr>
          <w:spacing w:val="-6"/>
          <w:sz w:val="24"/>
        </w:rPr>
        <w:t> </w:t>
      </w:r>
      <w:r>
        <w:rPr>
          <w:sz w:val="24"/>
        </w:rPr>
        <w:t>a</w:t>
      </w:r>
      <w:r>
        <w:rPr>
          <w:spacing w:val="-6"/>
          <w:sz w:val="24"/>
        </w:rPr>
        <w:t> </w:t>
      </w:r>
      <w:r>
        <w:rPr>
          <w:sz w:val="24"/>
        </w:rPr>
        <w:t>successful</w:t>
      </w:r>
      <w:r>
        <w:rPr>
          <w:spacing w:val="-6"/>
          <w:sz w:val="24"/>
        </w:rPr>
        <w:t> </w:t>
      </w:r>
      <w:r>
        <w:rPr>
          <w:sz w:val="24"/>
        </w:rPr>
        <w:t>employment</w:t>
      </w:r>
      <w:r>
        <w:rPr>
          <w:spacing w:val="-5"/>
          <w:sz w:val="24"/>
        </w:rPr>
        <w:t> </w:t>
      </w:r>
      <w:r>
        <w:rPr>
          <w:sz w:val="24"/>
        </w:rPr>
        <w:t>outcome.</w:t>
      </w:r>
    </w:p>
    <w:p>
      <w:pPr>
        <w:pStyle w:val="ListParagraph"/>
        <w:numPr>
          <w:ilvl w:val="3"/>
          <w:numId w:val="63"/>
        </w:numPr>
        <w:tabs>
          <w:tab w:pos="1546" w:val="left" w:leader="none"/>
        </w:tabs>
        <w:spacing w:line="240" w:lineRule="auto" w:before="120" w:after="0"/>
        <w:ind w:left="1080" w:right="781" w:firstLine="0"/>
        <w:jc w:val="left"/>
        <w:rPr>
          <w:sz w:val="24"/>
        </w:rPr>
      </w:pPr>
      <w:r>
        <w:rPr>
          <w:sz w:val="24"/>
        </w:rPr>
        <w:t>During</w:t>
      </w:r>
      <w:r>
        <w:rPr>
          <w:spacing w:val="-1"/>
          <w:sz w:val="24"/>
        </w:rPr>
        <w:t> </w:t>
      </w:r>
      <w:r>
        <w:rPr>
          <w:sz w:val="24"/>
        </w:rPr>
        <w:t>the</w:t>
      </w:r>
      <w:r>
        <w:rPr>
          <w:spacing w:val="-1"/>
          <w:sz w:val="24"/>
        </w:rPr>
        <w:t> </w:t>
      </w:r>
      <w:r>
        <w:rPr>
          <w:sz w:val="24"/>
        </w:rPr>
        <w:t>last</w:t>
      </w:r>
      <w:r>
        <w:rPr>
          <w:spacing w:val="-2"/>
          <w:sz w:val="24"/>
        </w:rPr>
        <w:t> </w:t>
      </w:r>
      <w:r>
        <w:rPr>
          <w:sz w:val="24"/>
        </w:rPr>
        <w:t>two</w:t>
      </w:r>
      <w:r>
        <w:rPr>
          <w:spacing w:val="-1"/>
          <w:sz w:val="24"/>
        </w:rPr>
        <w:t> </w:t>
      </w:r>
      <w:r>
        <w:rPr>
          <w:sz w:val="24"/>
        </w:rPr>
        <w:t>(2) years</w:t>
      </w:r>
      <w:r>
        <w:rPr>
          <w:spacing w:val="-3"/>
          <w:sz w:val="24"/>
        </w:rPr>
        <w:t> </w:t>
      </w:r>
      <w:r>
        <w:rPr>
          <w:sz w:val="24"/>
        </w:rPr>
        <w:t>has</w:t>
      </w:r>
      <w:r>
        <w:rPr>
          <w:spacing w:val="-1"/>
          <w:sz w:val="24"/>
        </w:rPr>
        <w:t> </w:t>
      </w:r>
      <w:r>
        <w:rPr>
          <w:sz w:val="24"/>
        </w:rPr>
        <w:t>experienced</w:t>
      </w:r>
      <w:r>
        <w:rPr>
          <w:spacing w:val="-1"/>
          <w:sz w:val="24"/>
        </w:rPr>
        <w:t> </w:t>
      </w:r>
      <w:r>
        <w:rPr>
          <w:sz w:val="24"/>
        </w:rPr>
        <w:t>three</w:t>
      </w:r>
      <w:r>
        <w:rPr>
          <w:spacing w:val="-1"/>
          <w:sz w:val="24"/>
        </w:rPr>
        <w:t> </w:t>
      </w:r>
      <w:r>
        <w:rPr>
          <w:sz w:val="24"/>
        </w:rPr>
        <w:t>(3) or</w:t>
      </w:r>
      <w:r>
        <w:rPr>
          <w:spacing w:val="-2"/>
          <w:sz w:val="24"/>
        </w:rPr>
        <w:t> </w:t>
      </w:r>
      <w:r>
        <w:rPr>
          <w:sz w:val="24"/>
        </w:rPr>
        <w:t>more</w:t>
      </w:r>
      <w:r>
        <w:rPr>
          <w:spacing w:val="-1"/>
          <w:sz w:val="24"/>
        </w:rPr>
        <w:t> </w:t>
      </w:r>
      <w:r>
        <w:rPr>
          <w:sz w:val="24"/>
        </w:rPr>
        <w:t>events</w:t>
      </w:r>
      <w:r>
        <w:rPr>
          <w:spacing w:val="-1"/>
          <w:sz w:val="24"/>
        </w:rPr>
        <w:t> </w:t>
      </w:r>
      <w:r>
        <w:rPr>
          <w:sz w:val="24"/>
        </w:rPr>
        <w:t>(e.g., hospitalization,</w:t>
      </w:r>
      <w:r>
        <w:rPr>
          <w:spacing w:val="-3"/>
          <w:sz w:val="24"/>
        </w:rPr>
        <w:t> </w:t>
      </w:r>
      <w:r>
        <w:rPr>
          <w:sz w:val="24"/>
        </w:rPr>
        <w:t>recurring</w:t>
      </w:r>
      <w:r>
        <w:rPr>
          <w:spacing w:val="-4"/>
          <w:sz w:val="24"/>
        </w:rPr>
        <w:t> </w:t>
      </w:r>
      <w:r>
        <w:rPr>
          <w:sz w:val="24"/>
        </w:rPr>
        <w:t>health,</w:t>
      </w:r>
      <w:r>
        <w:rPr>
          <w:spacing w:val="-3"/>
          <w:sz w:val="24"/>
        </w:rPr>
        <w:t> </w:t>
      </w:r>
      <w:r>
        <w:rPr>
          <w:sz w:val="24"/>
        </w:rPr>
        <w:t>or</w:t>
      </w:r>
      <w:r>
        <w:rPr>
          <w:spacing w:val="-3"/>
          <w:sz w:val="24"/>
        </w:rPr>
        <w:t> </w:t>
      </w:r>
      <w:r>
        <w:rPr>
          <w:sz w:val="24"/>
        </w:rPr>
        <w:t>mental</w:t>
      </w:r>
      <w:r>
        <w:rPr>
          <w:spacing w:val="-4"/>
          <w:sz w:val="24"/>
        </w:rPr>
        <w:t> </w:t>
      </w:r>
      <w:r>
        <w:rPr>
          <w:sz w:val="24"/>
        </w:rPr>
        <w:t>health</w:t>
      </w:r>
      <w:r>
        <w:rPr>
          <w:spacing w:val="-4"/>
          <w:sz w:val="24"/>
        </w:rPr>
        <w:t> </w:t>
      </w:r>
      <w:r>
        <w:rPr>
          <w:sz w:val="24"/>
        </w:rPr>
        <w:t>issues),</w:t>
      </w:r>
      <w:r>
        <w:rPr>
          <w:spacing w:val="-3"/>
          <w:sz w:val="24"/>
        </w:rPr>
        <w:t> </w:t>
      </w:r>
      <w:r>
        <w:rPr>
          <w:sz w:val="24"/>
        </w:rPr>
        <w:t>or</w:t>
      </w:r>
      <w:r>
        <w:rPr>
          <w:spacing w:val="-5"/>
          <w:sz w:val="24"/>
        </w:rPr>
        <w:t> </w:t>
      </w:r>
      <w:r>
        <w:rPr>
          <w:sz w:val="24"/>
        </w:rPr>
        <w:t>a</w:t>
      </w:r>
      <w:r>
        <w:rPr>
          <w:spacing w:val="-5"/>
          <w:sz w:val="24"/>
        </w:rPr>
        <w:t> </w:t>
      </w:r>
      <w:r>
        <w:rPr>
          <w:sz w:val="24"/>
        </w:rPr>
        <w:t>total</w:t>
      </w:r>
      <w:r>
        <w:rPr>
          <w:spacing w:val="-4"/>
          <w:sz w:val="24"/>
        </w:rPr>
        <w:t> </w:t>
      </w:r>
      <w:r>
        <w:rPr>
          <w:sz w:val="24"/>
        </w:rPr>
        <w:t>of</w:t>
      </w:r>
      <w:r>
        <w:rPr>
          <w:spacing w:val="-3"/>
          <w:sz w:val="24"/>
        </w:rPr>
        <w:t> </w:t>
      </w:r>
      <w:r>
        <w:rPr>
          <w:sz w:val="24"/>
        </w:rPr>
        <w:t>twelve</w:t>
      </w:r>
      <w:r>
        <w:rPr>
          <w:spacing w:val="-4"/>
          <w:sz w:val="24"/>
        </w:rPr>
        <w:t> </w:t>
      </w:r>
      <w:r>
        <w:rPr>
          <w:sz w:val="24"/>
        </w:rPr>
        <w:t>(12) weeks incarceration or other institutionalization, which interrupted work or ability to live independently.</w:t>
      </w:r>
    </w:p>
    <w:p>
      <w:pPr>
        <w:pStyle w:val="ListParagraph"/>
        <w:numPr>
          <w:ilvl w:val="3"/>
          <w:numId w:val="63"/>
        </w:numPr>
        <w:tabs>
          <w:tab w:pos="1546" w:val="left" w:leader="none"/>
        </w:tabs>
        <w:spacing w:line="240" w:lineRule="auto" w:before="120" w:after="0"/>
        <w:ind w:left="1080" w:right="943" w:firstLine="0"/>
        <w:jc w:val="left"/>
        <w:rPr>
          <w:sz w:val="24"/>
        </w:rPr>
      </w:pPr>
      <w:r>
        <w:rPr>
          <w:sz w:val="24"/>
        </w:rPr>
        <w:t>Documentation</w:t>
      </w:r>
      <w:r>
        <w:rPr>
          <w:spacing w:val="-6"/>
          <w:sz w:val="24"/>
        </w:rPr>
        <w:t> </w:t>
      </w:r>
      <w:r>
        <w:rPr>
          <w:sz w:val="24"/>
        </w:rPr>
        <w:t>(e.g.</w:t>
      </w:r>
      <w:r>
        <w:rPr>
          <w:spacing w:val="-6"/>
          <w:sz w:val="24"/>
        </w:rPr>
        <w:t> </w:t>
      </w:r>
      <w:r>
        <w:rPr>
          <w:sz w:val="24"/>
        </w:rPr>
        <w:t>client</w:t>
      </w:r>
      <w:r>
        <w:rPr>
          <w:spacing w:val="-5"/>
          <w:sz w:val="24"/>
        </w:rPr>
        <w:t> </w:t>
      </w:r>
      <w:r>
        <w:rPr>
          <w:sz w:val="24"/>
        </w:rPr>
        <w:t>statement,</w:t>
      </w:r>
      <w:r>
        <w:rPr>
          <w:spacing w:val="-5"/>
          <w:sz w:val="24"/>
        </w:rPr>
        <w:t> </w:t>
      </w:r>
      <w:r>
        <w:rPr>
          <w:sz w:val="24"/>
        </w:rPr>
        <w:t>DRS</w:t>
      </w:r>
      <w:r>
        <w:rPr>
          <w:spacing w:val="-6"/>
          <w:sz w:val="24"/>
        </w:rPr>
        <w:t> </w:t>
      </w:r>
      <w:r>
        <w:rPr>
          <w:sz w:val="24"/>
        </w:rPr>
        <w:t>Counselor</w:t>
      </w:r>
      <w:r>
        <w:rPr>
          <w:spacing w:val="-5"/>
          <w:sz w:val="24"/>
        </w:rPr>
        <w:t> </w:t>
      </w:r>
      <w:r>
        <w:rPr>
          <w:sz w:val="24"/>
        </w:rPr>
        <w:t>confirmation,</w:t>
      </w:r>
      <w:r>
        <w:rPr>
          <w:spacing w:val="-5"/>
          <w:sz w:val="24"/>
        </w:rPr>
        <w:t> </w:t>
      </w:r>
      <w:r>
        <w:rPr>
          <w:sz w:val="24"/>
        </w:rPr>
        <w:t>etc.)</w:t>
      </w:r>
      <w:r>
        <w:rPr>
          <w:spacing w:val="-7"/>
          <w:sz w:val="24"/>
        </w:rPr>
        <w:t> </w:t>
      </w:r>
      <w:r>
        <w:rPr>
          <w:sz w:val="24"/>
        </w:rPr>
        <w:t>of rejection of the individual by other Contractors (e.g., employment, educational etc.) as being too difficult to serve.</w:t>
      </w:r>
    </w:p>
    <w:p>
      <w:pPr>
        <w:pStyle w:val="ListParagraph"/>
        <w:numPr>
          <w:ilvl w:val="3"/>
          <w:numId w:val="63"/>
        </w:numPr>
        <w:tabs>
          <w:tab w:pos="1532" w:val="left" w:leader="none"/>
        </w:tabs>
        <w:spacing w:line="240" w:lineRule="auto" w:before="120" w:after="0"/>
        <w:ind w:left="1532" w:right="0" w:hanging="452"/>
        <w:jc w:val="left"/>
        <w:rPr>
          <w:sz w:val="24"/>
        </w:rPr>
      </w:pPr>
      <w:r>
        <w:rPr>
          <w:sz w:val="24"/>
        </w:rPr>
        <w:t>Is</w:t>
      </w:r>
      <w:r>
        <w:rPr>
          <w:spacing w:val="-2"/>
          <w:sz w:val="24"/>
        </w:rPr>
        <w:t> </w:t>
      </w:r>
      <w:r>
        <w:rPr>
          <w:sz w:val="24"/>
        </w:rPr>
        <w:t>a</w:t>
      </w:r>
      <w:r>
        <w:rPr>
          <w:spacing w:val="-2"/>
          <w:sz w:val="24"/>
        </w:rPr>
        <w:t> </w:t>
      </w:r>
      <w:r>
        <w:rPr>
          <w:sz w:val="24"/>
        </w:rPr>
        <w:t>member</w:t>
      </w:r>
      <w:r>
        <w:rPr>
          <w:spacing w:val="-1"/>
          <w:sz w:val="24"/>
        </w:rPr>
        <w:t> </w:t>
      </w:r>
      <w:r>
        <w:rPr>
          <w:sz w:val="24"/>
        </w:rPr>
        <w:t>of</w:t>
      </w:r>
      <w:r>
        <w:rPr>
          <w:spacing w:val="-2"/>
          <w:sz w:val="24"/>
        </w:rPr>
        <w:t> </w:t>
      </w:r>
      <w:r>
        <w:rPr>
          <w:sz w:val="24"/>
        </w:rPr>
        <w:t>the</w:t>
      </w:r>
      <w:r>
        <w:rPr>
          <w:spacing w:val="-2"/>
          <w:sz w:val="24"/>
        </w:rPr>
        <w:t> </w:t>
      </w:r>
      <w:r>
        <w:rPr>
          <w:sz w:val="24"/>
        </w:rPr>
        <w:t>Hissom </w:t>
      </w:r>
      <w:r>
        <w:rPr>
          <w:spacing w:val="-2"/>
          <w:sz w:val="24"/>
        </w:rPr>
        <w:t>class.</w:t>
      </w:r>
    </w:p>
    <w:p>
      <w:pPr>
        <w:pStyle w:val="ListParagraph"/>
        <w:numPr>
          <w:ilvl w:val="3"/>
          <w:numId w:val="63"/>
        </w:numPr>
        <w:tabs>
          <w:tab w:pos="1518" w:val="left" w:leader="none"/>
        </w:tabs>
        <w:spacing w:line="240" w:lineRule="auto" w:before="121" w:after="0"/>
        <w:ind w:left="1080" w:right="1009" w:firstLine="0"/>
        <w:jc w:val="left"/>
        <w:rPr>
          <w:sz w:val="24"/>
        </w:rPr>
      </w:pPr>
      <w:r>
        <w:rPr>
          <w:sz w:val="24"/>
        </w:rPr>
        <w:t>Meets</w:t>
      </w:r>
      <w:r>
        <w:rPr>
          <w:spacing w:val="-5"/>
          <w:sz w:val="24"/>
        </w:rPr>
        <w:t> </w:t>
      </w:r>
      <w:r>
        <w:rPr>
          <w:sz w:val="24"/>
        </w:rPr>
        <w:t>eligibility</w:t>
      </w:r>
      <w:r>
        <w:rPr>
          <w:spacing w:val="-4"/>
          <w:sz w:val="24"/>
        </w:rPr>
        <w:t> </w:t>
      </w:r>
      <w:r>
        <w:rPr>
          <w:sz w:val="24"/>
        </w:rPr>
        <w:t>criteria</w:t>
      </w:r>
      <w:r>
        <w:rPr>
          <w:spacing w:val="-4"/>
          <w:sz w:val="24"/>
        </w:rPr>
        <w:t> </w:t>
      </w:r>
      <w:r>
        <w:rPr>
          <w:sz w:val="24"/>
        </w:rPr>
        <w:t>for</w:t>
      </w:r>
      <w:r>
        <w:rPr>
          <w:spacing w:val="-5"/>
          <w:sz w:val="24"/>
        </w:rPr>
        <w:t> </w:t>
      </w:r>
      <w:r>
        <w:rPr>
          <w:sz w:val="24"/>
        </w:rPr>
        <w:t>the</w:t>
      </w:r>
      <w:r>
        <w:rPr>
          <w:spacing w:val="-4"/>
          <w:sz w:val="24"/>
        </w:rPr>
        <w:t> </w:t>
      </w:r>
      <w:r>
        <w:rPr>
          <w:sz w:val="24"/>
        </w:rPr>
        <w:t>Program</w:t>
      </w:r>
      <w:r>
        <w:rPr>
          <w:spacing w:val="-3"/>
          <w:sz w:val="24"/>
        </w:rPr>
        <w:t> </w:t>
      </w:r>
      <w:r>
        <w:rPr>
          <w:sz w:val="24"/>
        </w:rPr>
        <w:t>of</w:t>
      </w:r>
      <w:r>
        <w:rPr>
          <w:spacing w:val="-3"/>
          <w:sz w:val="24"/>
        </w:rPr>
        <w:t> </w:t>
      </w:r>
      <w:r>
        <w:rPr>
          <w:sz w:val="24"/>
        </w:rPr>
        <w:t>Assertive</w:t>
      </w:r>
      <w:r>
        <w:rPr>
          <w:spacing w:val="-5"/>
          <w:sz w:val="24"/>
        </w:rPr>
        <w:t> </w:t>
      </w:r>
      <w:r>
        <w:rPr>
          <w:sz w:val="24"/>
        </w:rPr>
        <w:t>Community</w:t>
      </w:r>
      <w:r>
        <w:rPr>
          <w:spacing w:val="-4"/>
          <w:sz w:val="24"/>
        </w:rPr>
        <w:t> </w:t>
      </w:r>
      <w:r>
        <w:rPr>
          <w:sz w:val="24"/>
        </w:rPr>
        <w:t>Treatment (PACT) program.</w:t>
      </w:r>
    </w:p>
    <w:p>
      <w:pPr>
        <w:pStyle w:val="ListParagraph"/>
        <w:numPr>
          <w:ilvl w:val="3"/>
          <w:numId w:val="63"/>
        </w:numPr>
        <w:tabs>
          <w:tab w:pos="1558" w:val="left" w:leader="none"/>
        </w:tabs>
        <w:spacing w:line="240" w:lineRule="auto" w:before="120" w:after="0"/>
        <w:ind w:left="1079" w:right="807" w:firstLine="0"/>
        <w:jc w:val="left"/>
        <w:rPr>
          <w:sz w:val="24"/>
        </w:rPr>
      </w:pPr>
      <w:r>
        <w:rPr>
          <w:sz w:val="24"/>
        </w:rPr>
        <w:t>Alcohol</w:t>
      </w:r>
      <w:r>
        <w:rPr>
          <w:spacing w:val="-4"/>
          <w:sz w:val="24"/>
        </w:rPr>
        <w:t> </w:t>
      </w:r>
      <w:r>
        <w:rPr>
          <w:sz w:val="24"/>
        </w:rPr>
        <w:t>and/or</w:t>
      </w:r>
      <w:r>
        <w:rPr>
          <w:spacing w:val="-3"/>
          <w:sz w:val="24"/>
        </w:rPr>
        <w:t> </w:t>
      </w:r>
      <w:r>
        <w:rPr>
          <w:sz w:val="24"/>
        </w:rPr>
        <w:t>substance</w:t>
      </w:r>
      <w:r>
        <w:rPr>
          <w:spacing w:val="-4"/>
          <w:sz w:val="24"/>
        </w:rPr>
        <w:t> </w:t>
      </w:r>
      <w:r>
        <w:rPr>
          <w:sz w:val="24"/>
        </w:rPr>
        <w:t>abuse</w:t>
      </w:r>
      <w:r>
        <w:rPr>
          <w:spacing w:val="-4"/>
          <w:sz w:val="24"/>
        </w:rPr>
        <w:t> </w:t>
      </w:r>
      <w:r>
        <w:rPr>
          <w:sz w:val="24"/>
        </w:rPr>
        <w:t>is</w:t>
      </w:r>
      <w:r>
        <w:rPr>
          <w:spacing w:val="-4"/>
          <w:sz w:val="24"/>
        </w:rPr>
        <w:t> </w:t>
      </w:r>
      <w:r>
        <w:rPr>
          <w:sz w:val="24"/>
        </w:rPr>
        <w:t>a</w:t>
      </w:r>
      <w:r>
        <w:rPr>
          <w:spacing w:val="-4"/>
          <w:sz w:val="24"/>
        </w:rPr>
        <w:t> </w:t>
      </w:r>
      <w:r>
        <w:rPr>
          <w:sz w:val="24"/>
        </w:rPr>
        <w:t>secondary</w:t>
      </w:r>
      <w:r>
        <w:rPr>
          <w:spacing w:val="-4"/>
          <w:sz w:val="24"/>
        </w:rPr>
        <w:t> </w:t>
      </w:r>
      <w:r>
        <w:rPr>
          <w:sz w:val="24"/>
        </w:rPr>
        <w:t>disability</w:t>
      </w:r>
      <w:r>
        <w:rPr>
          <w:spacing w:val="-4"/>
          <w:sz w:val="24"/>
        </w:rPr>
        <w:t> </w:t>
      </w:r>
      <w:r>
        <w:rPr>
          <w:sz w:val="24"/>
        </w:rPr>
        <w:t>which</w:t>
      </w:r>
      <w:r>
        <w:rPr>
          <w:spacing w:val="-4"/>
          <w:sz w:val="24"/>
        </w:rPr>
        <w:t> </w:t>
      </w:r>
      <w:r>
        <w:rPr>
          <w:sz w:val="24"/>
        </w:rPr>
        <w:t>has</w:t>
      </w:r>
      <w:r>
        <w:rPr>
          <w:spacing w:val="-4"/>
          <w:sz w:val="24"/>
        </w:rPr>
        <w:t> </w:t>
      </w:r>
      <w:r>
        <w:rPr>
          <w:sz w:val="24"/>
        </w:rPr>
        <w:t>resulted in loss of employment within the last two (2) years.</w:t>
      </w:r>
    </w:p>
    <w:p>
      <w:pPr>
        <w:pStyle w:val="ListParagraph"/>
        <w:numPr>
          <w:ilvl w:val="3"/>
          <w:numId w:val="63"/>
        </w:numPr>
        <w:tabs>
          <w:tab w:pos="1545" w:val="left" w:leader="none"/>
        </w:tabs>
        <w:spacing w:line="240" w:lineRule="auto" w:before="120" w:after="0"/>
        <w:ind w:left="1079" w:right="1216" w:firstLine="0"/>
        <w:jc w:val="left"/>
        <w:rPr>
          <w:sz w:val="24"/>
        </w:rPr>
      </w:pPr>
      <w:r>
        <w:rPr>
          <w:sz w:val="24"/>
        </w:rPr>
        <w:t>The</w:t>
      </w:r>
      <w:r>
        <w:rPr>
          <w:spacing w:val="-5"/>
          <w:sz w:val="24"/>
        </w:rPr>
        <w:t> </w:t>
      </w:r>
      <w:r>
        <w:rPr>
          <w:sz w:val="24"/>
        </w:rPr>
        <w:t>individual's</w:t>
      </w:r>
      <w:r>
        <w:rPr>
          <w:spacing w:val="-5"/>
          <w:sz w:val="24"/>
        </w:rPr>
        <w:t> </w:t>
      </w:r>
      <w:r>
        <w:rPr>
          <w:sz w:val="24"/>
        </w:rPr>
        <w:t>primary</w:t>
      </w:r>
      <w:r>
        <w:rPr>
          <w:spacing w:val="-5"/>
          <w:sz w:val="24"/>
        </w:rPr>
        <w:t> </w:t>
      </w:r>
      <w:r>
        <w:rPr>
          <w:sz w:val="24"/>
        </w:rPr>
        <w:t>or</w:t>
      </w:r>
      <w:r>
        <w:rPr>
          <w:spacing w:val="-6"/>
          <w:sz w:val="24"/>
        </w:rPr>
        <w:t> </w:t>
      </w:r>
      <w:r>
        <w:rPr>
          <w:sz w:val="24"/>
        </w:rPr>
        <w:t>secondary</w:t>
      </w:r>
      <w:r>
        <w:rPr>
          <w:spacing w:val="-5"/>
          <w:sz w:val="24"/>
        </w:rPr>
        <w:t> </w:t>
      </w:r>
      <w:r>
        <w:rPr>
          <w:sz w:val="24"/>
        </w:rPr>
        <w:t>disability</w:t>
      </w:r>
      <w:r>
        <w:rPr>
          <w:spacing w:val="-5"/>
          <w:sz w:val="24"/>
        </w:rPr>
        <w:t> </w:t>
      </w:r>
      <w:r>
        <w:rPr>
          <w:sz w:val="24"/>
        </w:rPr>
        <w:t>is</w:t>
      </w:r>
      <w:r>
        <w:rPr>
          <w:spacing w:val="-5"/>
          <w:sz w:val="24"/>
        </w:rPr>
        <w:t> </w:t>
      </w:r>
      <w:r>
        <w:rPr>
          <w:sz w:val="24"/>
        </w:rPr>
        <w:t>Borderline</w:t>
      </w:r>
      <w:r>
        <w:rPr>
          <w:spacing w:val="-5"/>
          <w:sz w:val="24"/>
        </w:rPr>
        <w:t> </w:t>
      </w:r>
      <w:r>
        <w:rPr>
          <w:sz w:val="24"/>
        </w:rPr>
        <w:t>Personality, Autism, Deaf-Blindness, Intellectual Disability, or Traumatic Brain Injury.</w:t>
      </w:r>
    </w:p>
    <w:p>
      <w:pPr>
        <w:pStyle w:val="ListParagraph"/>
        <w:numPr>
          <w:ilvl w:val="3"/>
          <w:numId w:val="63"/>
        </w:numPr>
        <w:tabs>
          <w:tab w:pos="1439" w:val="left" w:leader="none"/>
        </w:tabs>
        <w:spacing w:line="240" w:lineRule="auto" w:before="120" w:after="0"/>
        <w:ind w:left="1080" w:right="914" w:firstLine="0"/>
        <w:jc w:val="left"/>
        <w:rPr>
          <w:sz w:val="24"/>
        </w:rPr>
      </w:pPr>
      <w:r>
        <w:rPr>
          <w:sz w:val="24"/>
        </w:rPr>
        <w:t>Has</w:t>
      </w:r>
      <w:r>
        <w:rPr>
          <w:spacing w:val="-4"/>
          <w:sz w:val="24"/>
        </w:rPr>
        <w:t> </w:t>
      </w:r>
      <w:r>
        <w:rPr>
          <w:sz w:val="24"/>
        </w:rPr>
        <w:t>had</w:t>
      </w:r>
      <w:r>
        <w:rPr>
          <w:spacing w:val="-4"/>
          <w:sz w:val="24"/>
        </w:rPr>
        <w:t> </w:t>
      </w:r>
      <w:r>
        <w:rPr>
          <w:sz w:val="24"/>
        </w:rPr>
        <w:t>three</w:t>
      </w:r>
      <w:r>
        <w:rPr>
          <w:spacing w:val="-4"/>
          <w:sz w:val="24"/>
        </w:rPr>
        <w:t> </w:t>
      </w:r>
      <w:r>
        <w:rPr>
          <w:sz w:val="24"/>
        </w:rPr>
        <w:t>(3)</w:t>
      </w:r>
      <w:r>
        <w:rPr>
          <w:spacing w:val="-6"/>
          <w:sz w:val="24"/>
        </w:rPr>
        <w:t> </w:t>
      </w:r>
      <w:r>
        <w:rPr>
          <w:sz w:val="24"/>
        </w:rPr>
        <w:t>or</w:t>
      </w:r>
      <w:r>
        <w:rPr>
          <w:spacing w:val="-3"/>
          <w:sz w:val="24"/>
        </w:rPr>
        <w:t> </w:t>
      </w:r>
      <w:r>
        <w:rPr>
          <w:sz w:val="24"/>
        </w:rPr>
        <w:t>more</w:t>
      </w:r>
      <w:r>
        <w:rPr>
          <w:spacing w:val="-5"/>
          <w:sz w:val="24"/>
        </w:rPr>
        <w:t> </w:t>
      </w:r>
      <w:r>
        <w:rPr>
          <w:sz w:val="24"/>
        </w:rPr>
        <w:t>required</w:t>
      </w:r>
      <w:r>
        <w:rPr>
          <w:spacing w:val="-4"/>
          <w:sz w:val="24"/>
        </w:rPr>
        <w:t> </w:t>
      </w:r>
      <w:r>
        <w:rPr>
          <w:sz w:val="24"/>
        </w:rPr>
        <w:t>changes</w:t>
      </w:r>
      <w:r>
        <w:rPr>
          <w:spacing w:val="-4"/>
          <w:sz w:val="24"/>
        </w:rPr>
        <w:t> </w:t>
      </w:r>
      <w:r>
        <w:rPr>
          <w:sz w:val="24"/>
        </w:rPr>
        <w:t>of</w:t>
      </w:r>
      <w:r>
        <w:rPr>
          <w:spacing w:val="-3"/>
          <w:sz w:val="24"/>
        </w:rPr>
        <w:t> </w:t>
      </w:r>
      <w:r>
        <w:rPr>
          <w:sz w:val="24"/>
        </w:rPr>
        <w:t>anti-psychotic</w:t>
      </w:r>
      <w:r>
        <w:rPr>
          <w:spacing w:val="-4"/>
          <w:sz w:val="24"/>
        </w:rPr>
        <w:t> </w:t>
      </w:r>
      <w:r>
        <w:rPr>
          <w:sz w:val="24"/>
        </w:rPr>
        <w:t>medications</w:t>
      </w:r>
      <w:r>
        <w:rPr>
          <w:spacing w:val="-4"/>
          <w:sz w:val="24"/>
        </w:rPr>
        <w:t> </w:t>
      </w:r>
      <w:r>
        <w:rPr>
          <w:sz w:val="24"/>
        </w:rPr>
        <w:t>in the past year.</w:t>
      </w:r>
    </w:p>
    <w:p>
      <w:pPr>
        <w:pStyle w:val="ListParagraph"/>
        <w:numPr>
          <w:ilvl w:val="3"/>
          <w:numId w:val="63"/>
        </w:numPr>
        <w:tabs>
          <w:tab w:pos="1493" w:val="left" w:leader="none"/>
        </w:tabs>
        <w:spacing w:line="240" w:lineRule="auto" w:before="120" w:after="0"/>
        <w:ind w:left="1080" w:right="1925" w:firstLine="0"/>
        <w:jc w:val="left"/>
        <w:rPr>
          <w:sz w:val="24"/>
        </w:rPr>
      </w:pPr>
      <w:r>
        <w:rPr>
          <w:sz w:val="24"/>
        </w:rPr>
        <w:t>Requires specialized assistive technology such as sensory aids, telecommunication</w:t>
      </w:r>
      <w:r>
        <w:rPr>
          <w:spacing w:val="-8"/>
          <w:sz w:val="24"/>
        </w:rPr>
        <w:t> </w:t>
      </w:r>
      <w:r>
        <w:rPr>
          <w:sz w:val="24"/>
        </w:rPr>
        <w:t>devices,</w:t>
      </w:r>
      <w:r>
        <w:rPr>
          <w:spacing w:val="-7"/>
          <w:sz w:val="24"/>
        </w:rPr>
        <w:t> </w:t>
      </w:r>
      <w:r>
        <w:rPr>
          <w:sz w:val="24"/>
        </w:rPr>
        <w:t>adaptive</w:t>
      </w:r>
      <w:r>
        <w:rPr>
          <w:spacing w:val="-8"/>
          <w:sz w:val="24"/>
        </w:rPr>
        <w:t> </w:t>
      </w:r>
      <w:r>
        <w:rPr>
          <w:sz w:val="24"/>
        </w:rPr>
        <w:t>equipment,</w:t>
      </w:r>
      <w:r>
        <w:rPr>
          <w:spacing w:val="-7"/>
          <w:sz w:val="24"/>
        </w:rPr>
        <w:t> </w:t>
      </w:r>
      <w:r>
        <w:rPr>
          <w:sz w:val="24"/>
        </w:rPr>
        <w:t>and/or</w:t>
      </w:r>
      <w:r>
        <w:rPr>
          <w:spacing w:val="-9"/>
          <w:sz w:val="24"/>
        </w:rPr>
        <w:t> </w:t>
      </w:r>
      <w:r>
        <w:rPr>
          <w:sz w:val="24"/>
        </w:rPr>
        <w:t>augmentative communication devices to succeed in Employment.</w:t>
      </w:r>
    </w:p>
    <w:p>
      <w:pPr>
        <w:pStyle w:val="ListParagraph"/>
        <w:numPr>
          <w:ilvl w:val="3"/>
          <w:numId w:val="63"/>
        </w:numPr>
        <w:tabs>
          <w:tab w:pos="1532" w:val="left" w:leader="none"/>
        </w:tabs>
        <w:spacing w:line="240" w:lineRule="auto" w:before="119" w:after="0"/>
        <w:ind w:left="1080" w:right="767" w:firstLine="0"/>
        <w:jc w:val="left"/>
        <w:rPr>
          <w:sz w:val="24"/>
        </w:rPr>
      </w:pPr>
      <w:r>
        <w:rPr>
          <w:sz w:val="24"/>
        </w:rPr>
        <w:t>Other - Contractor must provide documentation to assigned ESS TA to support</w:t>
      </w:r>
      <w:r>
        <w:rPr>
          <w:spacing w:val="-3"/>
          <w:sz w:val="24"/>
        </w:rPr>
        <w:t> </w:t>
      </w:r>
      <w:r>
        <w:rPr>
          <w:sz w:val="24"/>
        </w:rPr>
        <w:t>an</w:t>
      </w:r>
      <w:r>
        <w:rPr>
          <w:spacing w:val="-4"/>
          <w:sz w:val="24"/>
        </w:rPr>
        <w:t> </w:t>
      </w:r>
      <w:r>
        <w:rPr>
          <w:sz w:val="24"/>
        </w:rPr>
        <w:t>additional</w:t>
      </w:r>
      <w:r>
        <w:rPr>
          <w:spacing w:val="-4"/>
          <w:sz w:val="24"/>
        </w:rPr>
        <w:t> </w:t>
      </w:r>
      <w:r>
        <w:rPr>
          <w:sz w:val="24"/>
        </w:rPr>
        <w:t>employment</w:t>
      </w:r>
      <w:r>
        <w:rPr>
          <w:spacing w:val="-3"/>
          <w:sz w:val="24"/>
        </w:rPr>
        <w:t> </w:t>
      </w:r>
      <w:r>
        <w:rPr>
          <w:sz w:val="24"/>
        </w:rPr>
        <w:t>limiting</w:t>
      </w:r>
      <w:r>
        <w:rPr>
          <w:spacing w:val="-4"/>
          <w:sz w:val="24"/>
        </w:rPr>
        <w:t> </w:t>
      </w:r>
      <w:r>
        <w:rPr>
          <w:sz w:val="24"/>
        </w:rPr>
        <w:t>factor</w:t>
      </w:r>
      <w:r>
        <w:rPr>
          <w:spacing w:val="-3"/>
          <w:sz w:val="24"/>
        </w:rPr>
        <w:t> </w:t>
      </w:r>
      <w:r>
        <w:rPr>
          <w:sz w:val="24"/>
        </w:rPr>
        <w:t>not</w:t>
      </w:r>
      <w:r>
        <w:rPr>
          <w:spacing w:val="-3"/>
          <w:sz w:val="24"/>
        </w:rPr>
        <w:t> </w:t>
      </w:r>
      <w:r>
        <w:rPr>
          <w:sz w:val="24"/>
        </w:rPr>
        <w:t>listed</w:t>
      </w:r>
      <w:r>
        <w:rPr>
          <w:spacing w:val="-4"/>
          <w:sz w:val="24"/>
        </w:rPr>
        <w:t> </w:t>
      </w:r>
      <w:r>
        <w:rPr>
          <w:sz w:val="24"/>
        </w:rPr>
        <w:t>above</w:t>
      </w:r>
      <w:r>
        <w:rPr>
          <w:spacing w:val="-4"/>
          <w:sz w:val="24"/>
        </w:rPr>
        <w:t> </w:t>
      </w:r>
      <w:r>
        <w:rPr>
          <w:sz w:val="24"/>
        </w:rPr>
        <w:t>that</w:t>
      </w:r>
      <w:r>
        <w:rPr>
          <w:spacing w:val="-3"/>
          <w:sz w:val="24"/>
        </w:rPr>
        <w:t> </w:t>
      </w:r>
      <w:r>
        <w:rPr>
          <w:sz w:val="24"/>
        </w:rPr>
        <w:t>would</w:t>
      </w:r>
      <w:r>
        <w:rPr>
          <w:spacing w:val="-4"/>
          <w:sz w:val="24"/>
        </w:rPr>
        <w:t> </w:t>
      </w:r>
      <w:r>
        <w:rPr>
          <w:sz w:val="24"/>
        </w:rPr>
        <w:t>likely increase service costs and difficulty to serve.</w:t>
      </w:r>
    </w:p>
    <w:p>
      <w:pPr>
        <w:pStyle w:val="BodyText"/>
        <w:spacing w:line="208" w:lineRule="auto" w:before="235"/>
        <w:ind w:right="775" w:firstLine="432"/>
      </w:pPr>
      <w:r>
        <w:rPr>
          <w:b/>
        </w:rPr>
        <w:t>"IEP"</w:t>
      </w:r>
      <w:r>
        <w:rPr>
          <w:b/>
          <w:spacing w:val="-4"/>
        </w:rPr>
        <w:t> </w:t>
      </w:r>
      <w:r>
        <w:rPr/>
        <w:t>means</w:t>
      </w:r>
      <w:r>
        <w:rPr>
          <w:spacing w:val="-4"/>
        </w:rPr>
        <w:t> </w:t>
      </w:r>
      <w:r>
        <w:rPr/>
        <w:t>Individualized</w:t>
      </w:r>
      <w:r>
        <w:rPr>
          <w:spacing w:val="-4"/>
        </w:rPr>
        <w:t> </w:t>
      </w:r>
      <w:r>
        <w:rPr/>
        <w:t>Education</w:t>
      </w:r>
      <w:r>
        <w:rPr>
          <w:spacing w:val="-4"/>
        </w:rPr>
        <w:t> </w:t>
      </w:r>
      <w:r>
        <w:rPr/>
        <w:t>Program</w:t>
      </w:r>
      <w:r>
        <w:rPr>
          <w:spacing w:val="-3"/>
        </w:rPr>
        <w:t> </w:t>
      </w:r>
      <w:r>
        <w:rPr/>
        <w:t>as</w:t>
      </w:r>
      <w:r>
        <w:rPr>
          <w:spacing w:val="-5"/>
        </w:rPr>
        <w:t> </w:t>
      </w:r>
      <w:r>
        <w:rPr/>
        <w:t>required</w:t>
      </w:r>
      <w:r>
        <w:rPr>
          <w:spacing w:val="-4"/>
        </w:rPr>
        <w:t> </w:t>
      </w:r>
      <w:r>
        <w:rPr/>
        <w:t>by</w:t>
      </w:r>
      <w:r>
        <w:rPr>
          <w:spacing w:val="-4"/>
        </w:rPr>
        <w:t> </w:t>
      </w:r>
      <w:r>
        <w:rPr/>
        <w:t>the</w:t>
      </w:r>
      <w:r>
        <w:rPr>
          <w:spacing w:val="-4"/>
        </w:rPr>
        <w:t> </w:t>
      </w:r>
      <w:r>
        <w:rPr/>
        <w:t>Individuals</w:t>
      </w:r>
      <w:r>
        <w:rPr>
          <w:spacing w:val="-4"/>
        </w:rPr>
        <w:t> </w:t>
      </w:r>
      <w:r>
        <w:rPr/>
        <w:t>with Disabilities Education Act.</w:t>
      </w:r>
    </w:p>
    <w:p>
      <w:pPr>
        <w:pStyle w:val="BodyText"/>
        <w:spacing w:line="208" w:lineRule="auto"/>
        <w:ind w:right="775" w:firstLine="432"/>
      </w:pPr>
      <w:r>
        <w:rPr>
          <w:b/>
        </w:rPr>
        <w:t>"Individual</w:t>
      </w:r>
      <w:r>
        <w:rPr>
          <w:b/>
          <w:spacing w:val="-3"/>
        </w:rPr>
        <w:t> </w:t>
      </w:r>
      <w:r>
        <w:rPr>
          <w:b/>
        </w:rPr>
        <w:t>with</w:t>
      </w:r>
      <w:r>
        <w:rPr>
          <w:b/>
          <w:spacing w:val="-4"/>
        </w:rPr>
        <w:t> </w:t>
      </w:r>
      <w:r>
        <w:rPr>
          <w:b/>
        </w:rPr>
        <w:t>a</w:t>
      </w:r>
      <w:r>
        <w:rPr>
          <w:b/>
          <w:spacing w:val="-5"/>
        </w:rPr>
        <w:t> </w:t>
      </w:r>
      <w:r>
        <w:rPr>
          <w:b/>
        </w:rPr>
        <w:t>disability"</w:t>
      </w:r>
      <w:r>
        <w:rPr>
          <w:b/>
          <w:spacing w:val="-5"/>
        </w:rPr>
        <w:t> </w:t>
      </w:r>
      <w:r>
        <w:rPr/>
        <w:t>means</w:t>
      </w:r>
      <w:r>
        <w:rPr>
          <w:spacing w:val="-4"/>
        </w:rPr>
        <w:t> </w:t>
      </w:r>
      <w:r>
        <w:rPr/>
        <w:t>an</w:t>
      </w:r>
      <w:r>
        <w:rPr>
          <w:spacing w:val="-4"/>
        </w:rPr>
        <w:t> </w:t>
      </w:r>
      <w:r>
        <w:rPr/>
        <w:t>individual</w:t>
      </w:r>
      <w:r>
        <w:rPr>
          <w:spacing w:val="-4"/>
        </w:rPr>
        <w:t> </w:t>
      </w:r>
      <w:r>
        <w:rPr/>
        <w:t>who</w:t>
      </w:r>
      <w:r>
        <w:rPr>
          <w:spacing w:val="-3"/>
        </w:rPr>
        <w:t> </w:t>
      </w:r>
      <w:r>
        <w:rPr/>
        <w:t>has</w:t>
      </w:r>
      <w:r>
        <w:rPr>
          <w:spacing w:val="-4"/>
        </w:rPr>
        <w:t> </w:t>
      </w:r>
      <w:r>
        <w:rPr/>
        <w:t>a</w:t>
      </w:r>
      <w:r>
        <w:rPr>
          <w:spacing w:val="-4"/>
        </w:rPr>
        <w:t> </w:t>
      </w:r>
      <w:r>
        <w:rPr/>
        <w:t>physical</w:t>
      </w:r>
      <w:r>
        <w:rPr>
          <w:spacing w:val="-4"/>
        </w:rPr>
        <w:t> </w:t>
      </w:r>
      <w:r>
        <w:rPr/>
        <w:t>or</w:t>
      </w:r>
      <w:r>
        <w:rPr>
          <w:spacing w:val="-3"/>
        </w:rPr>
        <w:t> </w:t>
      </w:r>
      <w:r>
        <w:rPr/>
        <w:t>mental impairment; whose impairment constitutes or results in a substantial impediment to employment; and who can benefit in terms of an employment outcome from the provision of vocational rehabilitation services.</w:t>
      </w:r>
    </w:p>
    <w:p>
      <w:pPr>
        <w:pStyle w:val="BodyText"/>
        <w:spacing w:line="208" w:lineRule="auto"/>
        <w:ind w:left="359" w:right="763" w:firstLine="432"/>
      </w:pPr>
      <w:r>
        <w:rPr>
          <w:b/>
        </w:rPr>
        <w:t>"Individual</w:t>
      </w:r>
      <w:r>
        <w:rPr>
          <w:b/>
          <w:spacing w:val="-3"/>
        </w:rPr>
        <w:t> </w:t>
      </w:r>
      <w:r>
        <w:rPr>
          <w:b/>
        </w:rPr>
        <w:t>with</w:t>
      </w:r>
      <w:r>
        <w:rPr>
          <w:b/>
          <w:spacing w:val="-3"/>
        </w:rPr>
        <w:t> </w:t>
      </w:r>
      <w:r>
        <w:rPr>
          <w:b/>
        </w:rPr>
        <w:t>a</w:t>
      </w:r>
      <w:r>
        <w:rPr>
          <w:b/>
          <w:spacing w:val="-4"/>
        </w:rPr>
        <w:t> </w:t>
      </w:r>
      <w:r>
        <w:rPr>
          <w:b/>
        </w:rPr>
        <w:t>severe</w:t>
      </w:r>
      <w:r>
        <w:rPr>
          <w:b/>
          <w:spacing w:val="-3"/>
        </w:rPr>
        <w:t> </w:t>
      </w:r>
      <w:r>
        <w:rPr>
          <w:b/>
        </w:rPr>
        <w:t>disability"</w:t>
      </w:r>
      <w:r>
        <w:rPr>
          <w:b/>
          <w:spacing w:val="-4"/>
        </w:rPr>
        <w:t> </w:t>
      </w:r>
      <w:r>
        <w:rPr/>
        <w:t>means</w:t>
      </w:r>
      <w:r>
        <w:rPr>
          <w:spacing w:val="-3"/>
        </w:rPr>
        <w:t> </w:t>
      </w:r>
      <w:r>
        <w:rPr/>
        <w:t>with</w:t>
      </w:r>
      <w:r>
        <w:rPr>
          <w:spacing w:val="-3"/>
        </w:rPr>
        <w:t> </w:t>
      </w:r>
      <w:r>
        <w:rPr/>
        <w:t>respect</w:t>
      </w:r>
      <w:r>
        <w:rPr>
          <w:spacing w:val="-3"/>
        </w:rPr>
        <w:t> </w:t>
      </w:r>
      <w:r>
        <w:rPr/>
        <w:t>to</w:t>
      </w:r>
      <w:r>
        <w:rPr>
          <w:spacing w:val="-3"/>
        </w:rPr>
        <w:t> </w:t>
      </w:r>
      <w:r>
        <w:rPr/>
        <w:t>eligibility</w:t>
      </w:r>
      <w:r>
        <w:rPr>
          <w:spacing w:val="-3"/>
        </w:rPr>
        <w:t> </w:t>
      </w:r>
      <w:r>
        <w:rPr/>
        <w:t>for</w:t>
      </w:r>
      <w:r>
        <w:rPr>
          <w:spacing w:val="-3"/>
        </w:rPr>
        <w:t> </w:t>
      </w:r>
      <w:r>
        <w:rPr/>
        <w:t>the</w:t>
      </w:r>
      <w:r>
        <w:rPr>
          <w:spacing w:val="-4"/>
        </w:rPr>
        <w:t> </w:t>
      </w:r>
      <w:r>
        <w:rPr/>
        <w:t>state's Optional Program for Hiring Applicants with Disabilities, an individual who has a</w:t>
      </w:r>
      <w:r>
        <w:rPr>
          <w:spacing w:val="40"/>
        </w:rPr>
        <w:t> </w:t>
      </w:r>
      <w:r>
        <w:rPr/>
        <w:t>physical or mental impairment which seriously limits one or more functional capacities (such as mobility, communication, self-care, self-direction, interpersonal skills, work tolerance, or work skills) in terms of an employment outcome.</w:t>
      </w:r>
    </w:p>
    <w:p>
      <w:pPr>
        <w:spacing w:before="210"/>
        <w:ind w:left="791" w:right="0" w:firstLine="0"/>
        <w:jc w:val="left"/>
        <w:rPr>
          <w:sz w:val="24"/>
        </w:rPr>
      </w:pPr>
      <w:r>
        <w:rPr>
          <w:b/>
          <w:sz w:val="24"/>
        </w:rPr>
        <w:t>"Individual</w:t>
      </w:r>
      <w:r>
        <w:rPr>
          <w:b/>
          <w:spacing w:val="-5"/>
          <w:sz w:val="24"/>
        </w:rPr>
        <w:t> </w:t>
      </w:r>
      <w:r>
        <w:rPr>
          <w:b/>
          <w:sz w:val="24"/>
        </w:rPr>
        <w:t>with</w:t>
      </w:r>
      <w:r>
        <w:rPr>
          <w:b/>
          <w:spacing w:val="-3"/>
          <w:sz w:val="24"/>
        </w:rPr>
        <w:t> </w:t>
      </w:r>
      <w:r>
        <w:rPr>
          <w:b/>
          <w:sz w:val="24"/>
        </w:rPr>
        <w:t>a</w:t>
      </w:r>
      <w:r>
        <w:rPr>
          <w:b/>
          <w:spacing w:val="-4"/>
          <w:sz w:val="24"/>
        </w:rPr>
        <w:t> </w:t>
      </w:r>
      <w:r>
        <w:rPr>
          <w:b/>
          <w:sz w:val="24"/>
        </w:rPr>
        <w:t>significant</w:t>
      </w:r>
      <w:r>
        <w:rPr>
          <w:b/>
          <w:spacing w:val="-3"/>
          <w:sz w:val="24"/>
        </w:rPr>
        <w:t> </w:t>
      </w:r>
      <w:r>
        <w:rPr>
          <w:b/>
          <w:sz w:val="24"/>
        </w:rPr>
        <w:t>disability"</w:t>
      </w:r>
      <w:r>
        <w:rPr>
          <w:b/>
          <w:spacing w:val="-4"/>
          <w:sz w:val="24"/>
        </w:rPr>
        <w:t> </w:t>
      </w:r>
      <w:r>
        <w:rPr>
          <w:sz w:val="24"/>
        </w:rPr>
        <w:t>means</w:t>
      </w:r>
      <w:r>
        <w:rPr>
          <w:spacing w:val="-3"/>
          <w:sz w:val="24"/>
        </w:rPr>
        <w:t> </w:t>
      </w:r>
      <w:r>
        <w:rPr>
          <w:sz w:val="24"/>
        </w:rPr>
        <w:t>an</w:t>
      </w:r>
      <w:r>
        <w:rPr>
          <w:spacing w:val="-4"/>
          <w:sz w:val="24"/>
        </w:rPr>
        <w:t> </w:t>
      </w:r>
      <w:r>
        <w:rPr>
          <w:sz w:val="24"/>
        </w:rPr>
        <w:t>individual</w:t>
      </w:r>
      <w:r>
        <w:rPr>
          <w:spacing w:val="-3"/>
          <w:sz w:val="24"/>
        </w:rPr>
        <w:t> </w:t>
      </w:r>
      <w:r>
        <w:rPr>
          <w:sz w:val="24"/>
        </w:rPr>
        <w:t>with</w:t>
      </w:r>
      <w:r>
        <w:rPr>
          <w:spacing w:val="-3"/>
          <w:sz w:val="24"/>
        </w:rPr>
        <w:t> </w:t>
      </w:r>
      <w:r>
        <w:rPr>
          <w:sz w:val="24"/>
        </w:rPr>
        <w:t>a</w:t>
      </w:r>
      <w:r>
        <w:rPr>
          <w:spacing w:val="-3"/>
          <w:sz w:val="24"/>
        </w:rPr>
        <w:t> </w:t>
      </w:r>
      <w:r>
        <w:rPr>
          <w:spacing w:val="-2"/>
          <w:sz w:val="24"/>
        </w:rPr>
        <w:t>disability:</w:t>
      </w:r>
    </w:p>
    <w:p>
      <w:pPr>
        <w:spacing w:after="0"/>
        <w:jc w:val="left"/>
        <w:rPr>
          <w:sz w:val="24"/>
        </w:rPr>
        <w:sectPr>
          <w:pgSz w:w="12240" w:h="15840"/>
          <w:pgMar w:top="1360" w:bottom="280" w:left="1080" w:right="720"/>
        </w:sectPr>
      </w:pPr>
    </w:p>
    <w:p>
      <w:pPr>
        <w:pStyle w:val="ListParagraph"/>
        <w:numPr>
          <w:ilvl w:val="0"/>
          <w:numId w:val="65"/>
        </w:numPr>
        <w:tabs>
          <w:tab w:pos="1532" w:val="left" w:leader="none"/>
        </w:tabs>
        <w:spacing w:line="208" w:lineRule="auto" w:before="96" w:after="0"/>
        <w:ind w:left="1079" w:right="929" w:firstLine="0"/>
        <w:jc w:val="left"/>
        <w:rPr>
          <w:sz w:val="24"/>
        </w:rPr>
      </w:pPr>
      <w:r>
        <w:rPr>
          <w:sz w:val="24"/>
        </w:rPr>
        <w:t>who</w:t>
      </w:r>
      <w:r>
        <w:rPr>
          <w:spacing w:val="-4"/>
          <w:sz w:val="24"/>
        </w:rPr>
        <w:t> </w:t>
      </w:r>
      <w:r>
        <w:rPr>
          <w:sz w:val="24"/>
        </w:rPr>
        <w:t>has</w:t>
      </w:r>
      <w:r>
        <w:rPr>
          <w:spacing w:val="-4"/>
          <w:sz w:val="24"/>
        </w:rPr>
        <w:t> </w:t>
      </w:r>
      <w:r>
        <w:rPr>
          <w:sz w:val="24"/>
        </w:rPr>
        <w:t>a</w:t>
      </w:r>
      <w:r>
        <w:rPr>
          <w:spacing w:val="-4"/>
          <w:sz w:val="24"/>
        </w:rPr>
        <w:t> </w:t>
      </w:r>
      <w:r>
        <w:rPr>
          <w:sz w:val="24"/>
        </w:rPr>
        <w:t>severe</w:t>
      </w:r>
      <w:r>
        <w:rPr>
          <w:spacing w:val="-5"/>
          <w:sz w:val="24"/>
        </w:rPr>
        <w:t> </w:t>
      </w:r>
      <w:r>
        <w:rPr>
          <w:sz w:val="24"/>
        </w:rPr>
        <w:t>physical</w:t>
      </w:r>
      <w:r>
        <w:rPr>
          <w:spacing w:val="-4"/>
          <w:sz w:val="24"/>
        </w:rPr>
        <w:t> </w:t>
      </w:r>
      <w:r>
        <w:rPr>
          <w:sz w:val="24"/>
        </w:rPr>
        <w:t>or</w:t>
      </w:r>
      <w:r>
        <w:rPr>
          <w:spacing w:val="-5"/>
          <w:sz w:val="24"/>
        </w:rPr>
        <w:t> </w:t>
      </w:r>
      <w:r>
        <w:rPr>
          <w:sz w:val="24"/>
        </w:rPr>
        <w:t>mental</w:t>
      </w:r>
      <w:r>
        <w:rPr>
          <w:spacing w:val="-4"/>
          <w:sz w:val="24"/>
        </w:rPr>
        <w:t> </w:t>
      </w:r>
      <w:r>
        <w:rPr>
          <w:sz w:val="24"/>
        </w:rPr>
        <w:t>impairment</w:t>
      </w:r>
      <w:r>
        <w:rPr>
          <w:spacing w:val="-3"/>
          <w:sz w:val="24"/>
        </w:rPr>
        <w:t> </w:t>
      </w:r>
      <w:r>
        <w:rPr>
          <w:sz w:val="24"/>
        </w:rPr>
        <w:t>that</w:t>
      </w:r>
      <w:r>
        <w:rPr>
          <w:spacing w:val="-3"/>
          <w:sz w:val="24"/>
        </w:rPr>
        <w:t> </w:t>
      </w:r>
      <w:r>
        <w:rPr>
          <w:sz w:val="24"/>
        </w:rPr>
        <w:t>seriously</w:t>
      </w:r>
      <w:r>
        <w:rPr>
          <w:spacing w:val="-4"/>
          <w:sz w:val="24"/>
        </w:rPr>
        <w:t> </w:t>
      </w:r>
      <w:r>
        <w:rPr>
          <w:sz w:val="24"/>
        </w:rPr>
        <w:t>limits</w:t>
      </w:r>
      <w:r>
        <w:rPr>
          <w:spacing w:val="-4"/>
          <w:sz w:val="24"/>
        </w:rPr>
        <w:t> </w:t>
      </w:r>
      <w:r>
        <w:rPr>
          <w:sz w:val="24"/>
        </w:rPr>
        <w:t>one</w:t>
      </w:r>
      <w:r>
        <w:rPr>
          <w:spacing w:val="-4"/>
          <w:sz w:val="24"/>
        </w:rPr>
        <w:t> </w:t>
      </w:r>
      <w:r>
        <w:rPr>
          <w:sz w:val="24"/>
        </w:rPr>
        <w:t>or more functional capacities (such as mobility, communication, self-care, self- direction, interpersonal skills, work tolerance, or work skills) in terms of an employment outcome;</w:t>
      </w:r>
    </w:p>
    <w:p>
      <w:pPr>
        <w:pStyle w:val="ListParagraph"/>
        <w:numPr>
          <w:ilvl w:val="0"/>
          <w:numId w:val="65"/>
        </w:numPr>
        <w:tabs>
          <w:tab w:pos="1532" w:val="left" w:leader="none"/>
        </w:tabs>
        <w:spacing w:line="208" w:lineRule="auto" w:before="239" w:after="0"/>
        <w:ind w:left="1079" w:right="1835" w:firstLine="0"/>
        <w:jc w:val="left"/>
        <w:rPr>
          <w:sz w:val="24"/>
        </w:rPr>
      </w:pPr>
      <w:r>
        <w:rPr>
          <w:sz w:val="24"/>
        </w:rPr>
        <w:t>whose</w:t>
      </w:r>
      <w:r>
        <w:rPr>
          <w:spacing w:val="-6"/>
          <w:sz w:val="24"/>
        </w:rPr>
        <w:t> </w:t>
      </w:r>
      <w:r>
        <w:rPr>
          <w:sz w:val="24"/>
        </w:rPr>
        <w:t>vocational</w:t>
      </w:r>
      <w:r>
        <w:rPr>
          <w:spacing w:val="-5"/>
          <w:sz w:val="24"/>
        </w:rPr>
        <w:t> </w:t>
      </w:r>
      <w:r>
        <w:rPr>
          <w:sz w:val="24"/>
        </w:rPr>
        <w:t>rehabilitation</w:t>
      </w:r>
      <w:r>
        <w:rPr>
          <w:spacing w:val="-5"/>
          <w:sz w:val="24"/>
        </w:rPr>
        <w:t> </w:t>
      </w:r>
      <w:r>
        <w:rPr>
          <w:sz w:val="24"/>
        </w:rPr>
        <w:t>can</w:t>
      </w:r>
      <w:r>
        <w:rPr>
          <w:spacing w:val="-5"/>
          <w:sz w:val="24"/>
        </w:rPr>
        <w:t> </w:t>
      </w:r>
      <w:r>
        <w:rPr>
          <w:sz w:val="24"/>
        </w:rPr>
        <w:t>be</w:t>
      </w:r>
      <w:r>
        <w:rPr>
          <w:spacing w:val="-5"/>
          <w:sz w:val="24"/>
        </w:rPr>
        <w:t> </w:t>
      </w:r>
      <w:r>
        <w:rPr>
          <w:sz w:val="24"/>
        </w:rPr>
        <w:t>expected</w:t>
      </w:r>
      <w:r>
        <w:rPr>
          <w:spacing w:val="-5"/>
          <w:sz w:val="24"/>
        </w:rPr>
        <w:t> </w:t>
      </w:r>
      <w:r>
        <w:rPr>
          <w:sz w:val="24"/>
        </w:rPr>
        <w:t>to</w:t>
      </w:r>
      <w:r>
        <w:rPr>
          <w:spacing w:val="-6"/>
          <w:sz w:val="24"/>
        </w:rPr>
        <w:t> </w:t>
      </w:r>
      <w:r>
        <w:rPr>
          <w:sz w:val="24"/>
        </w:rPr>
        <w:t>require</w:t>
      </w:r>
      <w:r>
        <w:rPr>
          <w:spacing w:val="-5"/>
          <w:sz w:val="24"/>
        </w:rPr>
        <w:t> </w:t>
      </w:r>
      <w:r>
        <w:rPr>
          <w:sz w:val="24"/>
        </w:rPr>
        <w:t>multiple vocational rehabilitation services over an extended period of time; and</w:t>
      </w:r>
    </w:p>
    <w:p>
      <w:pPr>
        <w:pStyle w:val="ListParagraph"/>
        <w:numPr>
          <w:ilvl w:val="0"/>
          <w:numId w:val="65"/>
        </w:numPr>
        <w:tabs>
          <w:tab w:pos="1545" w:val="left" w:leader="none"/>
        </w:tabs>
        <w:spacing w:line="208" w:lineRule="auto" w:before="240" w:after="0"/>
        <w:ind w:left="1079" w:right="727" w:firstLine="0"/>
        <w:jc w:val="left"/>
        <w:rPr>
          <w:sz w:val="24"/>
        </w:rPr>
      </w:pPr>
      <w:r>
        <w:rPr>
          <w:sz w:val="24"/>
        </w:rPr>
        <w:t>who has one or more physical or mental disabilities resulting from amputation, arthritis, autism, blindness, burn injury, cancer, cerebral palsy, cystic fibrosis,</w:t>
      </w:r>
      <w:r>
        <w:rPr>
          <w:spacing w:val="-2"/>
          <w:sz w:val="24"/>
        </w:rPr>
        <w:t> </w:t>
      </w:r>
      <w:r>
        <w:rPr>
          <w:sz w:val="24"/>
        </w:rPr>
        <w:t>deafness,</w:t>
      </w:r>
      <w:r>
        <w:rPr>
          <w:spacing w:val="-2"/>
          <w:sz w:val="24"/>
        </w:rPr>
        <w:t> </w:t>
      </w:r>
      <w:r>
        <w:rPr>
          <w:sz w:val="24"/>
        </w:rPr>
        <w:t>head</w:t>
      </w:r>
      <w:r>
        <w:rPr>
          <w:spacing w:val="-3"/>
          <w:sz w:val="24"/>
        </w:rPr>
        <w:t> </w:t>
      </w:r>
      <w:r>
        <w:rPr>
          <w:sz w:val="24"/>
        </w:rPr>
        <w:t>injury,</w:t>
      </w:r>
      <w:r>
        <w:rPr>
          <w:spacing w:val="-2"/>
          <w:sz w:val="24"/>
        </w:rPr>
        <w:t> </w:t>
      </w:r>
      <w:r>
        <w:rPr>
          <w:sz w:val="24"/>
        </w:rPr>
        <w:t>heart</w:t>
      </w:r>
      <w:r>
        <w:rPr>
          <w:spacing w:val="-2"/>
          <w:sz w:val="24"/>
        </w:rPr>
        <w:t> </w:t>
      </w:r>
      <w:r>
        <w:rPr>
          <w:sz w:val="24"/>
        </w:rPr>
        <w:t>disease,</w:t>
      </w:r>
      <w:r>
        <w:rPr>
          <w:spacing w:val="-2"/>
          <w:sz w:val="24"/>
        </w:rPr>
        <w:t> </w:t>
      </w:r>
      <w:r>
        <w:rPr>
          <w:sz w:val="24"/>
        </w:rPr>
        <w:t>hemiplegia,</w:t>
      </w:r>
      <w:r>
        <w:rPr>
          <w:spacing w:val="-2"/>
          <w:sz w:val="24"/>
        </w:rPr>
        <w:t> </w:t>
      </w:r>
      <w:r>
        <w:rPr>
          <w:sz w:val="24"/>
        </w:rPr>
        <w:t>hemophilia,</w:t>
      </w:r>
      <w:r>
        <w:rPr>
          <w:spacing w:val="-2"/>
          <w:sz w:val="24"/>
        </w:rPr>
        <w:t> </w:t>
      </w:r>
      <w:r>
        <w:rPr>
          <w:sz w:val="24"/>
        </w:rPr>
        <w:t>respiratory or pulmonary dysfunction, mental illness, intellectual disability, multiple sclerosis, muscular dystrophy, musculoskeletal disorder, neurological disorders (including stroke</w:t>
      </w:r>
      <w:r>
        <w:rPr>
          <w:spacing w:val="-5"/>
          <w:sz w:val="24"/>
        </w:rPr>
        <w:t> </w:t>
      </w:r>
      <w:r>
        <w:rPr>
          <w:sz w:val="24"/>
        </w:rPr>
        <w:t>and</w:t>
      </w:r>
      <w:r>
        <w:rPr>
          <w:spacing w:val="-6"/>
          <w:sz w:val="24"/>
        </w:rPr>
        <w:t> </w:t>
      </w:r>
      <w:r>
        <w:rPr>
          <w:sz w:val="24"/>
        </w:rPr>
        <w:t>epilepsy),</w:t>
      </w:r>
      <w:r>
        <w:rPr>
          <w:spacing w:val="-4"/>
          <w:sz w:val="24"/>
        </w:rPr>
        <w:t> </w:t>
      </w:r>
      <w:r>
        <w:rPr>
          <w:sz w:val="24"/>
        </w:rPr>
        <w:t>paraplegia,</w:t>
      </w:r>
      <w:r>
        <w:rPr>
          <w:spacing w:val="-4"/>
          <w:sz w:val="24"/>
        </w:rPr>
        <w:t> </w:t>
      </w:r>
      <w:r>
        <w:rPr>
          <w:sz w:val="24"/>
        </w:rPr>
        <w:t>quadriplegia,</w:t>
      </w:r>
      <w:r>
        <w:rPr>
          <w:spacing w:val="-4"/>
          <w:sz w:val="24"/>
        </w:rPr>
        <w:t> </w:t>
      </w:r>
      <w:r>
        <w:rPr>
          <w:sz w:val="24"/>
        </w:rPr>
        <w:t>other</w:t>
      </w:r>
      <w:r>
        <w:rPr>
          <w:spacing w:val="-4"/>
          <w:sz w:val="24"/>
        </w:rPr>
        <w:t> </w:t>
      </w:r>
      <w:r>
        <w:rPr>
          <w:sz w:val="24"/>
        </w:rPr>
        <w:t>spinal</w:t>
      </w:r>
      <w:r>
        <w:rPr>
          <w:spacing w:val="-5"/>
          <w:sz w:val="24"/>
        </w:rPr>
        <w:t> </w:t>
      </w:r>
      <w:r>
        <w:rPr>
          <w:sz w:val="24"/>
        </w:rPr>
        <w:t>cord</w:t>
      </w:r>
      <w:r>
        <w:rPr>
          <w:spacing w:val="-5"/>
          <w:sz w:val="24"/>
        </w:rPr>
        <w:t> </w:t>
      </w:r>
      <w:r>
        <w:rPr>
          <w:sz w:val="24"/>
        </w:rPr>
        <w:t>conditions,</w:t>
      </w:r>
      <w:r>
        <w:rPr>
          <w:spacing w:val="-4"/>
          <w:sz w:val="24"/>
        </w:rPr>
        <w:t> </w:t>
      </w:r>
      <w:r>
        <w:rPr>
          <w:sz w:val="24"/>
        </w:rPr>
        <w:t>sickle cell</w:t>
      </w:r>
      <w:r>
        <w:rPr>
          <w:spacing w:val="-5"/>
          <w:sz w:val="24"/>
        </w:rPr>
        <w:t> </w:t>
      </w:r>
      <w:r>
        <w:rPr>
          <w:sz w:val="24"/>
        </w:rPr>
        <w:t>anemia,</w:t>
      </w:r>
      <w:r>
        <w:rPr>
          <w:spacing w:val="-4"/>
          <w:sz w:val="24"/>
        </w:rPr>
        <w:t> </w:t>
      </w:r>
      <w:r>
        <w:rPr>
          <w:sz w:val="24"/>
        </w:rPr>
        <w:t>specific</w:t>
      </w:r>
      <w:r>
        <w:rPr>
          <w:spacing w:val="-5"/>
          <w:sz w:val="24"/>
        </w:rPr>
        <w:t> </w:t>
      </w:r>
      <w:r>
        <w:rPr>
          <w:sz w:val="24"/>
        </w:rPr>
        <w:t>learning</w:t>
      </w:r>
      <w:r>
        <w:rPr>
          <w:spacing w:val="-5"/>
          <w:sz w:val="24"/>
        </w:rPr>
        <w:t> </w:t>
      </w:r>
      <w:r>
        <w:rPr>
          <w:sz w:val="24"/>
        </w:rPr>
        <w:t>disability,</w:t>
      </w:r>
      <w:r>
        <w:rPr>
          <w:spacing w:val="-4"/>
          <w:sz w:val="24"/>
        </w:rPr>
        <w:t> </w:t>
      </w:r>
      <w:r>
        <w:rPr>
          <w:sz w:val="24"/>
        </w:rPr>
        <w:t>end-stage</w:t>
      </w:r>
      <w:r>
        <w:rPr>
          <w:spacing w:val="-5"/>
          <w:sz w:val="24"/>
        </w:rPr>
        <w:t> </w:t>
      </w:r>
      <w:r>
        <w:rPr>
          <w:sz w:val="24"/>
        </w:rPr>
        <w:t>renal</w:t>
      </w:r>
      <w:r>
        <w:rPr>
          <w:spacing w:val="-5"/>
          <w:sz w:val="24"/>
        </w:rPr>
        <w:t> </w:t>
      </w:r>
      <w:r>
        <w:rPr>
          <w:sz w:val="24"/>
        </w:rPr>
        <w:t>disease</w:t>
      </w:r>
      <w:r>
        <w:rPr>
          <w:spacing w:val="-5"/>
          <w:sz w:val="24"/>
        </w:rPr>
        <w:t> </w:t>
      </w:r>
      <w:r>
        <w:rPr>
          <w:sz w:val="24"/>
        </w:rPr>
        <w:t>or</w:t>
      </w:r>
      <w:r>
        <w:rPr>
          <w:spacing w:val="-4"/>
          <w:sz w:val="24"/>
        </w:rPr>
        <w:t> </w:t>
      </w:r>
      <w:r>
        <w:rPr>
          <w:sz w:val="24"/>
        </w:rPr>
        <w:t>other</w:t>
      </w:r>
      <w:r>
        <w:rPr>
          <w:spacing w:val="-4"/>
          <w:sz w:val="24"/>
        </w:rPr>
        <w:t> </w:t>
      </w:r>
      <w:r>
        <w:rPr>
          <w:sz w:val="24"/>
        </w:rPr>
        <w:t>disability or combination of disabilities determined on the basis of an assessment for determining eligibility and vocational rehabilitation needs to cause comparable substantial functional limitation.</w:t>
      </w:r>
    </w:p>
    <w:p>
      <w:pPr>
        <w:pStyle w:val="BodyText"/>
        <w:spacing w:line="208" w:lineRule="auto" w:before="239"/>
        <w:ind w:left="359" w:right="855" w:firstLine="432"/>
      </w:pPr>
      <w:r>
        <w:rPr>
          <w:b/>
        </w:rPr>
        <w:t>"Individual with the most significant disability" </w:t>
      </w:r>
      <w:r>
        <w:rPr/>
        <w:t>means an individual with a significant</w:t>
      </w:r>
      <w:r>
        <w:rPr>
          <w:spacing w:val="-3"/>
        </w:rPr>
        <w:t> </w:t>
      </w:r>
      <w:r>
        <w:rPr/>
        <w:t>disability</w:t>
      </w:r>
      <w:r>
        <w:rPr>
          <w:spacing w:val="-4"/>
        </w:rPr>
        <w:t> </w:t>
      </w:r>
      <w:r>
        <w:rPr/>
        <w:t>who</w:t>
      </w:r>
      <w:r>
        <w:rPr>
          <w:spacing w:val="-4"/>
        </w:rPr>
        <w:t> </w:t>
      </w:r>
      <w:r>
        <w:rPr/>
        <w:t>meets</w:t>
      </w:r>
      <w:r>
        <w:rPr>
          <w:spacing w:val="-4"/>
        </w:rPr>
        <w:t> </w:t>
      </w:r>
      <w:r>
        <w:rPr/>
        <w:t>the</w:t>
      </w:r>
      <w:r>
        <w:rPr>
          <w:spacing w:val="-4"/>
        </w:rPr>
        <w:t> </w:t>
      </w:r>
      <w:r>
        <w:rPr/>
        <w:t>designated</w:t>
      </w:r>
      <w:r>
        <w:rPr>
          <w:spacing w:val="-4"/>
        </w:rPr>
        <w:t> </w:t>
      </w:r>
      <w:r>
        <w:rPr/>
        <w:t>State</w:t>
      </w:r>
      <w:r>
        <w:rPr>
          <w:spacing w:val="-4"/>
        </w:rPr>
        <w:t> </w:t>
      </w:r>
      <w:r>
        <w:rPr/>
        <w:t>unit's</w:t>
      </w:r>
      <w:r>
        <w:rPr>
          <w:spacing w:val="-4"/>
        </w:rPr>
        <w:t> </w:t>
      </w:r>
      <w:r>
        <w:rPr/>
        <w:t>criteria</w:t>
      </w:r>
      <w:r>
        <w:rPr>
          <w:spacing w:val="-4"/>
        </w:rPr>
        <w:t> </w:t>
      </w:r>
      <w:r>
        <w:rPr/>
        <w:t>for</w:t>
      </w:r>
      <w:r>
        <w:rPr>
          <w:spacing w:val="-3"/>
        </w:rPr>
        <w:t> </w:t>
      </w:r>
      <w:r>
        <w:rPr/>
        <w:t>an</w:t>
      </w:r>
      <w:r>
        <w:rPr>
          <w:spacing w:val="-4"/>
        </w:rPr>
        <w:t> </w:t>
      </w:r>
      <w:r>
        <w:rPr/>
        <w:t>individual</w:t>
      </w:r>
      <w:r>
        <w:rPr>
          <w:spacing w:val="-4"/>
        </w:rPr>
        <w:t> </w:t>
      </w:r>
      <w:r>
        <w:rPr/>
        <w:t>with a most significant disability. These criteria must be consistent with the requirements in 34 CFR 361.36(d)(1) and (2):</w:t>
      </w:r>
    </w:p>
    <w:p>
      <w:pPr>
        <w:pStyle w:val="ListParagraph"/>
        <w:numPr>
          <w:ilvl w:val="1"/>
          <w:numId w:val="65"/>
        </w:numPr>
        <w:tabs>
          <w:tab w:pos="1676" w:val="left" w:leader="none"/>
        </w:tabs>
        <w:spacing w:line="208" w:lineRule="auto" w:before="240" w:after="0"/>
        <w:ind w:left="1223" w:right="917" w:firstLine="0"/>
        <w:jc w:val="left"/>
        <w:rPr>
          <w:sz w:val="24"/>
        </w:rPr>
      </w:pPr>
      <w:r>
        <w:rPr>
          <w:sz w:val="24"/>
        </w:rPr>
        <w:t>who</w:t>
      </w:r>
      <w:r>
        <w:rPr>
          <w:spacing w:val="-4"/>
          <w:sz w:val="24"/>
        </w:rPr>
        <w:t> </w:t>
      </w:r>
      <w:r>
        <w:rPr>
          <w:sz w:val="24"/>
        </w:rPr>
        <w:t>has</w:t>
      </w:r>
      <w:r>
        <w:rPr>
          <w:spacing w:val="-4"/>
          <w:sz w:val="24"/>
        </w:rPr>
        <w:t> </w:t>
      </w:r>
      <w:r>
        <w:rPr>
          <w:sz w:val="24"/>
        </w:rPr>
        <w:t>a</w:t>
      </w:r>
      <w:r>
        <w:rPr>
          <w:spacing w:val="-4"/>
          <w:sz w:val="24"/>
        </w:rPr>
        <w:t> </w:t>
      </w:r>
      <w:r>
        <w:rPr>
          <w:sz w:val="24"/>
        </w:rPr>
        <w:t>severe</w:t>
      </w:r>
      <w:r>
        <w:rPr>
          <w:spacing w:val="-5"/>
          <w:sz w:val="24"/>
        </w:rPr>
        <w:t> </w:t>
      </w:r>
      <w:r>
        <w:rPr>
          <w:sz w:val="24"/>
        </w:rPr>
        <w:t>physical</w:t>
      </w:r>
      <w:r>
        <w:rPr>
          <w:spacing w:val="-4"/>
          <w:sz w:val="24"/>
        </w:rPr>
        <w:t> </w:t>
      </w:r>
      <w:r>
        <w:rPr>
          <w:sz w:val="24"/>
        </w:rPr>
        <w:t>or</w:t>
      </w:r>
      <w:r>
        <w:rPr>
          <w:spacing w:val="-5"/>
          <w:sz w:val="24"/>
        </w:rPr>
        <w:t> </w:t>
      </w:r>
      <w:r>
        <w:rPr>
          <w:sz w:val="24"/>
        </w:rPr>
        <w:t>mental</w:t>
      </w:r>
      <w:r>
        <w:rPr>
          <w:spacing w:val="-4"/>
          <w:sz w:val="24"/>
        </w:rPr>
        <w:t> </w:t>
      </w:r>
      <w:r>
        <w:rPr>
          <w:sz w:val="24"/>
        </w:rPr>
        <w:t>impairment</w:t>
      </w:r>
      <w:r>
        <w:rPr>
          <w:spacing w:val="-3"/>
          <w:sz w:val="24"/>
        </w:rPr>
        <w:t> </w:t>
      </w:r>
      <w:r>
        <w:rPr>
          <w:sz w:val="24"/>
        </w:rPr>
        <w:t>that</w:t>
      </w:r>
      <w:r>
        <w:rPr>
          <w:spacing w:val="-3"/>
          <w:sz w:val="24"/>
        </w:rPr>
        <w:t> </w:t>
      </w:r>
      <w:r>
        <w:rPr>
          <w:sz w:val="24"/>
        </w:rPr>
        <w:t>seriously</w:t>
      </w:r>
      <w:r>
        <w:rPr>
          <w:spacing w:val="-4"/>
          <w:sz w:val="24"/>
        </w:rPr>
        <w:t> </w:t>
      </w:r>
      <w:r>
        <w:rPr>
          <w:sz w:val="24"/>
        </w:rPr>
        <w:t>limits</w:t>
      </w:r>
      <w:r>
        <w:rPr>
          <w:spacing w:val="-4"/>
          <w:sz w:val="24"/>
        </w:rPr>
        <w:t> </w:t>
      </w:r>
      <w:r>
        <w:rPr>
          <w:sz w:val="24"/>
        </w:rPr>
        <w:t>three or more functional capacities in terms of an employment outcome;</w:t>
      </w:r>
    </w:p>
    <w:p>
      <w:pPr>
        <w:pStyle w:val="ListParagraph"/>
        <w:numPr>
          <w:ilvl w:val="1"/>
          <w:numId w:val="65"/>
        </w:numPr>
        <w:tabs>
          <w:tab w:pos="1676" w:val="left" w:leader="none"/>
        </w:tabs>
        <w:spacing w:line="208" w:lineRule="auto" w:before="240" w:after="0"/>
        <w:ind w:left="1223" w:right="1691" w:firstLine="0"/>
        <w:jc w:val="left"/>
        <w:rPr>
          <w:sz w:val="24"/>
        </w:rPr>
      </w:pPr>
      <w:r>
        <w:rPr>
          <w:sz w:val="24"/>
        </w:rPr>
        <w:t>whose</w:t>
      </w:r>
      <w:r>
        <w:rPr>
          <w:spacing w:val="-6"/>
          <w:sz w:val="24"/>
        </w:rPr>
        <w:t> </w:t>
      </w:r>
      <w:r>
        <w:rPr>
          <w:sz w:val="24"/>
        </w:rPr>
        <w:t>vocational</w:t>
      </w:r>
      <w:r>
        <w:rPr>
          <w:spacing w:val="-5"/>
          <w:sz w:val="24"/>
        </w:rPr>
        <w:t> </w:t>
      </w:r>
      <w:r>
        <w:rPr>
          <w:sz w:val="24"/>
        </w:rPr>
        <w:t>rehabilitation</w:t>
      </w:r>
      <w:r>
        <w:rPr>
          <w:spacing w:val="-5"/>
          <w:sz w:val="24"/>
        </w:rPr>
        <w:t> </w:t>
      </w:r>
      <w:r>
        <w:rPr>
          <w:sz w:val="24"/>
        </w:rPr>
        <w:t>can</w:t>
      </w:r>
      <w:r>
        <w:rPr>
          <w:spacing w:val="-5"/>
          <w:sz w:val="24"/>
        </w:rPr>
        <w:t> </w:t>
      </w:r>
      <w:r>
        <w:rPr>
          <w:sz w:val="24"/>
        </w:rPr>
        <w:t>be</w:t>
      </w:r>
      <w:r>
        <w:rPr>
          <w:spacing w:val="-5"/>
          <w:sz w:val="24"/>
        </w:rPr>
        <w:t> </w:t>
      </w:r>
      <w:r>
        <w:rPr>
          <w:sz w:val="24"/>
        </w:rPr>
        <w:t>expected</w:t>
      </w:r>
      <w:r>
        <w:rPr>
          <w:spacing w:val="-5"/>
          <w:sz w:val="24"/>
        </w:rPr>
        <w:t> </w:t>
      </w:r>
      <w:r>
        <w:rPr>
          <w:sz w:val="24"/>
        </w:rPr>
        <w:t>to</w:t>
      </w:r>
      <w:r>
        <w:rPr>
          <w:spacing w:val="-6"/>
          <w:sz w:val="24"/>
        </w:rPr>
        <w:t> </w:t>
      </w:r>
      <w:r>
        <w:rPr>
          <w:sz w:val="24"/>
        </w:rPr>
        <w:t>require</w:t>
      </w:r>
      <w:r>
        <w:rPr>
          <w:spacing w:val="-5"/>
          <w:sz w:val="24"/>
        </w:rPr>
        <w:t> </w:t>
      </w:r>
      <w:r>
        <w:rPr>
          <w:sz w:val="24"/>
        </w:rPr>
        <w:t>multiple vocational rehabilitation services over an extended period of time; and</w:t>
      </w:r>
    </w:p>
    <w:p>
      <w:pPr>
        <w:pStyle w:val="ListParagraph"/>
        <w:numPr>
          <w:ilvl w:val="1"/>
          <w:numId w:val="65"/>
        </w:numPr>
        <w:tabs>
          <w:tab w:pos="1689" w:val="left" w:leader="none"/>
        </w:tabs>
        <w:spacing w:line="208" w:lineRule="auto" w:before="239" w:after="0"/>
        <w:ind w:left="1223" w:right="795" w:firstLine="0"/>
        <w:jc w:val="left"/>
        <w:rPr>
          <w:sz w:val="24"/>
        </w:rPr>
      </w:pPr>
      <w:r>
        <w:rPr>
          <w:sz w:val="24"/>
        </w:rPr>
        <w:t>who has one or more physical or mental disabilities resulting from amputation, arthritis, autism, blindness, burn injury, cancer, cerebral palsy, cystic fibrosis, deafness, head injury, heart disease, hemiplegia, hemophilia, respiratory or pulmonary dysfunction, mental illness, intellectual disability, multiple sclerosis, muscular dystrophy, musculoskeletal disorder, neurological disorders (including stroke and epilepsy), paraplegia, quadriplegia, other spinal cord conditions, sickle cell anemia, specific learning disability, end-stage renal disease</w:t>
      </w:r>
      <w:r>
        <w:rPr>
          <w:spacing w:val="-4"/>
          <w:sz w:val="24"/>
        </w:rPr>
        <w:t> </w:t>
      </w:r>
      <w:r>
        <w:rPr>
          <w:sz w:val="24"/>
        </w:rPr>
        <w:t>or</w:t>
      </w:r>
      <w:r>
        <w:rPr>
          <w:spacing w:val="-3"/>
          <w:sz w:val="24"/>
        </w:rPr>
        <w:t> </w:t>
      </w:r>
      <w:r>
        <w:rPr>
          <w:sz w:val="24"/>
        </w:rPr>
        <w:t>other</w:t>
      </w:r>
      <w:r>
        <w:rPr>
          <w:spacing w:val="-3"/>
          <w:sz w:val="24"/>
        </w:rPr>
        <w:t> </w:t>
      </w:r>
      <w:r>
        <w:rPr>
          <w:sz w:val="24"/>
        </w:rPr>
        <w:t>disability</w:t>
      </w:r>
      <w:r>
        <w:rPr>
          <w:spacing w:val="-4"/>
          <w:sz w:val="24"/>
        </w:rPr>
        <w:t> </w:t>
      </w:r>
      <w:r>
        <w:rPr>
          <w:sz w:val="24"/>
        </w:rPr>
        <w:t>or</w:t>
      </w:r>
      <w:r>
        <w:rPr>
          <w:spacing w:val="-3"/>
          <w:sz w:val="24"/>
        </w:rPr>
        <w:t> </w:t>
      </w:r>
      <w:r>
        <w:rPr>
          <w:sz w:val="24"/>
        </w:rPr>
        <w:t>combination</w:t>
      </w:r>
      <w:r>
        <w:rPr>
          <w:spacing w:val="-4"/>
          <w:sz w:val="24"/>
        </w:rPr>
        <w:t> </w:t>
      </w:r>
      <w:r>
        <w:rPr>
          <w:sz w:val="24"/>
        </w:rPr>
        <w:t>of</w:t>
      </w:r>
      <w:r>
        <w:rPr>
          <w:spacing w:val="-5"/>
          <w:sz w:val="24"/>
        </w:rPr>
        <w:t> </w:t>
      </w:r>
      <w:r>
        <w:rPr>
          <w:sz w:val="24"/>
        </w:rPr>
        <w:t>disabilities</w:t>
      </w:r>
      <w:r>
        <w:rPr>
          <w:spacing w:val="-4"/>
          <w:sz w:val="24"/>
        </w:rPr>
        <w:t> </w:t>
      </w:r>
      <w:r>
        <w:rPr>
          <w:sz w:val="24"/>
        </w:rPr>
        <w:t>determined</w:t>
      </w:r>
      <w:r>
        <w:rPr>
          <w:spacing w:val="-3"/>
          <w:sz w:val="24"/>
        </w:rPr>
        <w:t> </w:t>
      </w:r>
      <w:r>
        <w:rPr>
          <w:sz w:val="24"/>
        </w:rPr>
        <w:t>on</w:t>
      </w:r>
      <w:r>
        <w:rPr>
          <w:spacing w:val="-4"/>
          <w:sz w:val="24"/>
        </w:rPr>
        <w:t> </w:t>
      </w:r>
      <w:r>
        <w:rPr>
          <w:sz w:val="24"/>
        </w:rPr>
        <w:t>the</w:t>
      </w:r>
      <w:r>
        <w:rPr>
          <w:spacing w:val="-4"/>
          <w:sz w:val="24"/>
        </w:rPr>
        <w:t> </w:t>
      </w:r>
      <w:r>
        <w:rPr>
          <w:sz w:val="24"/>
        </w:rPr>
        <w:t>basis of an assessment for determining eligibility and vocational rehabilitation needs to cause comparable substantial functional limitation.</w:t>
      </w:r>
    </w:p>
    <w:p>
      <w:pPr>
        <w:pStyle w:val="BodyText"/>
        <w:spacing w:line="208" w:lineRule="auto" w:before="239"/>
        <w:ind w:right="775" w:firstLine="432"/>
      </w:pPr>
      <w:r>
        <w:rPr>
          <w:b/>
        </w:rPr>
        <w:t>"Individual's</w:t>
      </w:r>
      <w:r>
        <w:rPr>
          <w:b/>
          <w:spacing w:val="-5"/>
        </w:rPr>
        <w:t> </w:t>
      </w:r>
      <w:r>
        <w:rPr>
          <w:b/>
        </w:rPr>
        <w:t>representative"</w:t>
      </w:r>
      <w:r>
        <w:rPr>
          <w:b/>
          <w:spacing w:val="-5"/>
        </w:rPr>
        <w:t> </w:t>
      </w:r>
      <w:r>
        <w:rPr/>
        <w:t>means</w:t>
      </w:r>
      <w:r>
        <w:rPr>
          <w:spacing w:val="-5"/>
        </w:rPr>
        <w:t> </w:t>
      </w:r>
      <w:r>
        <w:rPr/>
        <w:t>any</w:t>
      </w:r>
      <w:r>
        <w:rPr>
          <w:spacing w:val="-5"/>
        </w:rPr>
        <w:t> </w:t>
      </w:r>
      <w:r>
        <w:rPr/>
        <w:t>representative</w:t>
      </w:r>
      <w:r>
        <w:rPr>
          <w:spacing w:val="-5"/>
        </w:rPr>
        <w:t> </w:t>
      </w:r>
      <w:r>
        <w:rPr/>
        <w:t>chosen</w:t>
      </w:r>
      <w:r>
        <w:rPr>
          <w:spacing w:val="-5"/>
        </w:rPr>
        <w:t> </w:t>
      </w:r>
      <w:r>
        <w:rPr/>
        <w:t>by</w:t>
      </w:r>
      <w:r>
        <w:rPr>
          <w:spacing w:val="-5"/>
        </w:rPr>
        <w:t> </w:t>
      </w:r>
      <w:r>
        <w:rPr/>
        <w:t>an</w:t>
      </w:r>
      <w:r>
        <w:rPr>
          <w:spacing w:val="-5"/>
        </w:rPr>
        <w:t> </w:t>
      </w:r>
      <w:r>
        <w:rPr/>
        <w:t>applicant</w:t>
      </w:r>
      <w:r>
        <w:rPr>
          <w:spacing w:val="-4"/>
        </w:rPr>
        <w:t> </w:t>
      </w:r>
      <w:r>
        <w:rPr/>
        <w:t>or eligible individual, as appropriate, including a parent, guardian, other family member, or advocate, unless a representative has been appointed by a court to represent the individual, in which case the court-appointed representative is the individual's </w:t>
      </w:r>
      <w:r>
        <w:rPr>
          <w:spacing w:val="-2"/>
        </w:rPr>
        <w:t>representative.</w:t>
      </w:r>
    </w:p>
    <w:p>
      <w:pPr>
        <w:spacing w:before="211"/>
        <w:ind w:left="791" w:right="0" w:firstLine="0"/>
        <w:jc w:val="left"/>
        <w:rPr>
          <w:sz w:val="24"/>
        </w:rPr>
      </w:pPr>
      <w:r>
        <w:rPr>
          <w:b/>
          <w:sz w:val="24"/>
        </w:rPr>
        <w:t>"Integrated</w:t>
      </w:r>
      <w:r>
        <w:rPr>
          <w:b/>
          <w:spacing w:val="-6"/>
          <w:sz w:val="24"/>
        </w:rPr>
        <w:t> </w:t>
      </w:r>
      <w:r>
        <w:rPr>
          <w:b/>
          <w:sz w:val="24"/>
        </w:rPr>
        <w:t>setting"</w:t>
      </w:r>
      <w:r>
        <w:rPr>
          <w:b/>
          <w:spacing w:val="-5"/>
          <w:sz w:val="24"/>
        </w:rPr>
        <w:t> </w:t>
      </w:r>
      <w:r>
        <w:rPr>
          <w:spacing w:val="-2"/>
          <w:sz w:val="24"/>
        </w:rPr>
        <w:t>means:</w:t>
      </w:r>
    </w:p>
    <w:p>
      <w:pPr>
        <w:pStyle w:val="ListParagraph"/>
        <w:numPr>
          <w:ilvl w:val="0"/>
          <w:numId w:val="66"/>
        </w:numPr>
        <w:tabs>
          <w:tab w:pos="1675" w:val="left" w:leader="none"/>
        </w:tabs>
        <w:spacing w:line="208" w:lineRule="auto" w:before="233" w:after="0"/>
        <w:ind w:left="1223" w:right="902" w:firstLine="0"/>
        <w:jc w:val="left"/>
        <w:rPr>
          <w:sz w:val="24"/>
        </w:rPr>
      </w:pPr>
      <w:r>
        <w:rPr>
          <w:sz w:val="24"/>
        </w:rPr>
        <w:t>With respect to the provision of services, a setting typically found in the community</w:t>
      </w:r>
      <w:r>
        <w:rPr>
          <w:spacing w:val="-5"/>
          <w:sz w:val="24"/>
        </w:rPr>
        <w:t> </w:t>
      </w:r>
      <w:r>
        <w:rPr>
          <w:sz w:val="24"/>
        </w:rPr>
        <w:t>in</w:t>
      </w:r>
      <w:r>
        <w:rPr>
          <w:spacing w:val="-4"/>
          <w:sz w:val="24"/>
        </w:rPr>
        <w:t> </w:t>
      </w:r>
      <w:r>
        <w:rPr>
          <w:sz w:val="24"/>
        </w:rPr>
        <w:t>which</w:t>
      </w:r>
      <w:r>
        <w:rPr>
          <w:spacing w:val="-4"/>
          <w:sz w:val="24"/>
        </w:rPr>
        <w:t> </w:t>
      </w:r>
      <w:r>
        <w:rPr>
          <w:sz w:val="24"/>
        </w:rPr>
        <w:t>applicants</w:t>
      </w:r>
      <w:r>
        <w:rPr>
          <w:spacing w:val="-4"/>
          <w:sz w:val="24"/>
        </w:rPr>
        <w:t> </w:t>
      </w:r>
      <w:r>
        <w:rPr>
          <w:sz w:val="24"/>
        </w:rPr>
        <w:t>or</w:t>
      </w:r>
      <w:r>
        <w:rPr>
          <w:spacing w:val="-5"/>
          <w:sz w:val="24"/>
        </w:rPr>
        <w:t> </w:t>
      </w:r>
      <w:r>
        <w:rPr>
          <w:sz w:val="24"/>
        </w:rPr>
        <w:t>eligible</w:t>
      </w:r>
      <w:r>
        <w:rPr>
          <w:spacing w:val="-4"/>
          <w:sz w:val="24"/>
        </w:rPr>
        <w:t> </w:t>
      </w:r>
      <w:r>
        <w:rPr>
          <w:sz w:val="24"/>
        </w:rPr>
        <w:t>individuals</w:t>
      </w:r>
      <w:r>
        <w:rPr>
          <w:spacing w:val="-4"/>
          <w:sz w:val="24"/>
        </w:rPr>
        <w:t> </w:t>
      </w:r>
      <w:r>
        <w:rPr>
          <w:sz w:val="24"/>
        </w:rPr>
        <w:t>interact</w:t>
      </w:r>
      <w:r>
        <w:rPr>
          <w:spacing w:val="-3"/>
          <w:sz w:val="24"/>
        </w:rPr>
        <w:t> </w:t>
      </w:r>
      <w:r>
        <w:rPr>
          <w:sz w:val="24"/>
        </w:rPr>
        <w:t>with</w:t>
      </w:r>
      <w:r>
        <w:rPr>
          <w:spacing w:val="-4"/>
          <w:sz w:val="24"/>
        </w:rPr>
        <w:t> </w:t>
      </w:r>
      <w:r>
        <w:rPr>
          <w:sz w:val="24"/>
        </w:rPr>
        <w:t>non-disabled individuals other than non-disabled individuals who are providing services to those applicants or eligible individuals.</w:t>
      </w:r>
    </w:p>
    <w:p>
      <w:pPr>
        <w:pStyle w:val="ListParagraph"/>
        <w:spacing w:after="0" w:line="208" w:lineRule="auto"/>
        <w:jc w:val="left"/>
        <w:rPr>
          <w:sz w:val="24"/>
        </w:rPr>
        <w:sectPr>
          <w:pgSz w:w="12240" w:h="15840"/>
          <w:pgMar w:top="1340" w:bottom="280" w:left="1080" w:right="720"/>
        </w:sectPr>
      </w:pPr>
    </w:p>
    <w:p>
      <w:pPr>
        <w:pStyle w:val="ListParagraph"/>
        <w:numPr>
          <w:ilvl w:val="0"/>
          <w:numId w:val="66"/>
        </w:numPr>
        <w:tabs>
          <w:tab w:pos="1675" w:val="left" w:leader="none"/>
        </w:tabs>
        <w:spacing w:line="208" w:lineRule="auto" w:before="96" w:after="0"/>
        <w:ind w:left="1223" w:right="756" w:firstLine="0"/>
        <w:jc w:val="left"/>
        <w:rPr>
          <w:sz w:val="24"/>
        </w:rPr>
      </w:pPr>
      <w:r>
        <w:rPr>
          <w:sz w:val="24"/>
        </w:rPr>
        <w:t>With respect to an</w:t>
      </w:r>
      <w:r>
        <w:rPr>
          <w:spacing w:val="-1"/>
          <w:sz w:val="24"/>
        </w:rPr>
        <w:t> </w:t>
      </w:r>
      <w:r>
        <w:rPr>
          <w:sz w:val="24"/>
        </w:rPr>
        <w:t>employment outcome, means a</w:t>
      </w:r>
      <w:r>
        <w:rPr>
          <w:spacing w:val="-1"/>
          <w:sz w:val="24"/>
        </w:rPr>
        <w:t> </w:t>
      </w:r>
      <w:r>
        <w:rPr>
          <w:sz w:val="24"/>
        </w:rPr>
        <w:t>setting typically found in the</w:t>
      </w:r>
      <w:r>
        <w:rPr>
          <w:spacing w:val="-3"/>
          <w:sz w:val="24"/>
        </w:rPr>
        <w:t> </w:t>
      </w:r>
      <w:r>
        <w:rPr>
          <w:sz w:val="24"/>
        </w:rPr>
        <w:t>community</w:t>
      </w:r>
      <w:r>
        <w:rPr>
          <w:spacing w:val="-3"/>
          <w:sz w:val="24"/>
        </w:rPr>
        <w:t> </w:t>
      </w:r>
      <w:r>
        <w:rPr>
          <w:sz w:val="24"/>
        </w:rPr>
        <w:t>where</w:t>
      </w:r>
      <w:r>
        <w:rPr>
          <w:spacing w:val="-3"/>
          <w:sz w:val="24"/>
        </w:rPr>
        <w:t> </w:t>
      </w:r>
      <w:r>
        <w:rPr>
          <w:sz w:val="24"/>
        </w:rPr>
        <w:t>the</w:t>
      </w:r>
      <w:r>
        <w:rPr>
          <w:spacing w:val="-3"/>
          <w:sz w:val="24"/>
        </w:rPr>
        <w:t> </w:t>
      </w:r>
      <w:r>
        <w:rPr>
          <w:sz w:val="24"/>
        </w:rPr>
        <w:t>employee</w:t>
      </w:r>
      <w:r>
        <w:rPr>
          <w:spacing w:val="-3"/>
          <w:sz w:val="24"/>
        </w:rPr>
        <w:t> </w:t>
      </w:r>
      <w:r>
        <w:rPr>
          <w:sz w:val="24"/>
        </w:rPr>
        <w:t>with</w:t>
      </w:r>
      <w:r>
        <w:rPr>
          <w:spacing w:val="-3"/>
          <w:sz w:val="24"/>
        </w:rPr>
        <w:t> </w:t>
      </w:r>
      <w:r>
        <w:rPr>
          <w:sz w:val="24"/>
        </w:rPr>
        <w:t>a</w:t>
      </w:r>
      <w:r>
        <w:rPr>
          <w:spacing w:val="-3"/>
          <w:sz w:val="24"/>
        </w:rPr>
        <w:t> </w:t>
      </w:r>
      <w:r>
        <w:rPr>
          <w:sz w:val="24"/>
        </w:rPr>
        <w:t>disability</w:t>
      </w:r>
      <w:r>
        <w:rPr>
          <w:spacing w:val="-3"/>
          <w:sz w:val="24"/>
        </w:rPr>
        <w:t> </w:t>
      </w:r>
      <w:r>
        <w:rPr>
          <w:sz w:val="24"/>
        </w:rPr>
        <w:t>interacts,</w:t>
      </w:r>
      <w:r>
        <w:rPr>
          <w:spacing w:val="-4"/>
          <w:sz w:val="24"/>
        </w:rPr>
        <w:t> </w:t>
      </w:r>
      <w:r>
        <w:rPr>
          <w:sz w:val="24"/>
        </w:rPr>
        <w:t>for</w:t>
      </w:r>
      <w:r>
        <w:rPr>
          <w:spacing w:val="-4"/>
          <w:sz w:val="24"/>
        </w:rPr>
        <w:t> </w:t>
      </w:r>
      <w:r>
        <w:rPr>
          <w:sz w:val="24"/>
        </w:rPr>
        <w:t>the</w:t>
      </w:r>
      <w:r>
        <w:rPr>
          <w:spacing w:val="-3"/>
          <w:sz w:val="24"/>
        </w:rPr>
        <w:t> </w:t>
      </w:r>
      <w:r>
        <w:rPr>
          <w:sz w:val="24"/>
        </w:rPr>
        <w:t>purpose</w:t>
      </w:r>
      <w:r>
        <w:rPr>
          <w:spacing w:val="-3"/>
          <w:sz w:val="24"/>
        </w:rPr>
        <w:t> </w:t>
      </w:r>
      <w:r>
        <w:rPr>
          <w:sz w:val="24"/>
        </w:rPr>
        <w:t>of performing the duties of the position, with other employees within the particular work unit and the entire work site, and, as appropriate to the work performed, other persons (e.g., customers and vendors) who are not individuals with disabilities</w:t>
      </w:r>
      <w:r>
        <w:rPr>
          <w:spacing w:val="-3"/>
          <w:sz w:val="24"/>
        </w:rPr>
        <w:t> </w:t>
      </w:r>
      <w:r>
        <w:rPr>
          <w:sz w:val="24"/>
        </w:rPr>
        <w:t>(not</w:t>
      </w:r>
      <w:r>
        <w:rPr>
          <w:spacing w:val="-2"/>
          <w:sz w:val="24"/>
        </w:rPr>
        <w:t> </w:t>
      </w:r>
      <w:r>
        <w:rPr>
          <w:sz w:val="24"/>
        </w:rPr>
        <w:t>including</w:t>
      </w:r>
      <w:r>
        <w:rPr>
          <w:spacing w:val="-3"/>
          <w:sz w:val="24"/>
        </w:rPr>
        <w:t> </w:t>
      </w:r>
      <w:r>
        <w:rPr>
          <w:sz w:val="24"/>
        </w:rPr>
        <w:t>supervisory</w:t>
      </w:r>
      <w:r>
        <w:rPr>
          <w:spacing w:val="-3"/>
          <w:sz w:val="24"/>
        </w:rPr>
        <w:t> </w:t>
      </w:r>
      <w:r>
        <w:rPr>
          <w:sz w:val="24"/>
        </w:rPr>
        <w:t>personnel</w:t>
      </w:r>
      <w:r>
        <w:rPr>
          <w:spacing w:val="-3"/>
          <w:sz w:val="24"/>
        </w:rPr>
        <w:t> </w:t>
      </w:r>
      <w:r>
        <w:rPr>
          <w:sz w:val="24"/>
        </w:rPr>
        <w:t>or</w:t>
      </w:r>
      <w:r>
        <w:rPr>
          <w:spacing w:val="-2"/>
          <w:sz w:val="24"/>
        </w:rPr>
        <w:t> </w:t>
      </w:r>
      <w:r>
        <w:rPr>
          <w:sz w:val="24"/>
        </w:rPr>
        <w:t>individuals</w:t>
      </w:r>
      <w:r>
        <w:rPr>
          <w:spacing w:val="-3"/>
          <w:sz w:val="24"/>
        </w:rPr>
        <w:t> </w:t>
      </w:r>
      <w:r>
        <w:rPr>
          <w:sz w:val="24"/>
        </w:rPr>
        <w:t>who</w:t>
      </w:r>
      <w:r>
        <w:rPr>
          <w:spacing w:val="-3"/>
          <w:sz w:val="24"/>
        </w:rPr>
        <w:t> </w:t>
      </w:r>
      <w:r>
        <w:rPr>
          <w:sz w:val="24"/>
        </w:rPr>
        <w:t>are</w:t>
      </w:r>
      <w:r>
        <w:rPr>
          <w:spacing w:val="-3"/>
          <w:sz w:val="24"/>
        </w:rPr>
        <w:t> </w:t>
      </w:r>
      <w:r>
        <w:rPr>
          <w:sz w:val="24"/>
        </w:rPr>
        <w:t>providing services to such employee) to the same extent that employees who are not individuals with disabilities and who are in comparable positions interact with these persons.</w:t>
      </w:r>
    </w:p>
    <w:p>
      <w:pPr>
        <w:pStyle w:val="BodyText"/>
        <w:spacing w:line="208" w:lineRule="auto" w:before="239"/>
        <w:ind w:right="775" w:firstLine="432"/>
      </w:pPr>
      <w:r>
        <w:rPr>
          <w:b/>
        </w:rPr>
        <w:t>"Intercurrent (acute)</w:t>
      </w:r>
      <w:r>
        <w:rPr>
          <w:b/>
          <w:spacing w:val="-2"/>
        </w:rPr>
        <w:t> </w:t>
      </w:r>
      <w:r>
        <w:rPr>
          <w:b/>
        </w:rPr>
        <w:t>conditions"</w:t>
      </w:r>
      <w:r>
        <w:rPr>
          <w:b/>
          <w:spacing w:val="-1"/>
        </w:rPr>
        <w:t> </w:t>
      </w:r>
      <w:r>
        <w:rPr/>
        <w:t>means</w:t>
      </w:r>
      <w:r>
        <w:rPr>
          <w:spacing w:val="-2"/>
        </w:rPr>
        <w:t> </w:t>
      </w:r>
      <w:r>
        <w:rPr/>
        <w:t>an</w:t>
      </w:r>
      <w:r>
        <w:rPr>
          <w:spacing w:val="-1"/>
        </w:rPr>
        <w:t> </w:t>
      </w:r>
      <w:r>
        <w:rPr/>
        <w:t>illness</w:t>
      </w:r>
      <w:r>
        <w:rPr>
          <w:spacing w:val="-1"/>
        </w:rPr>
        <w:t> </w:t>
      </w:r>
      <w:r>
        <w:rPr/>
        <w:t>or injury</w:t>
      </w:r>
      <w:r>
        <w:rPr>
          <w:spacing w:val="-1"/>
        </w:rPr>
        <w:t> </w:t>
      </w:r>
      <w:r>
        <w:rPr/>
        <w:t>occurring</w:t>
      </w:r>
      <w:r>
        <w:rPr>
          <w:spacing w:val="-1"/>
        </w:rPr>
        <w:t> </w:t>
      </w:r>
      <w:r>
        <w:rPr/>
        <w:t>during</w:t>
      </w:r>
      <w:r>
        <w:rPr>
          <w:spacing w:val="-1"/>
        </w:rPr>
        <w:t> </w:t>
      </w:r>
      <w:r>
        <w:rPr/>
        <w:t>the actual course of an individual's rehabilitation which, if not cared for, will complicate or delay</w:t>
      </w:r>
      <w:r>
        <w:rPr>
          <w:spacing w:val="-4"/>
        </w:rPr>
        <w:t> </w:t>
      </w:r>
      <w:r>
        <w:rPr/>
        <w:t>achievement</w:t>
      </w:r>
      <w:r>
        <w:rPr>
          <w:spacing w:val="-3"/>
        </w:rPr>
        <w:t> </w:t>
      </w:r>
      <w:r>
        <w:rPr/>
        <w:t>of</w:t>
      </w:r>
      <w:r>
        <w:rPr>
          <w:spacing w:val="-5"/>
        </w:rPr>
        <w:t> </w:t>
      </w:r>
      <w:r>
        <w:rPr/>
        <w:t>the</w:t>
      </w:r>
      <w:r>
        <w:rPr>
          <w:spacing w:val="-4"/>
        </w:rPr>
        <w:t> </w:t>
      </w:r>
      <w:r>
        <w:rPr/>
        <w:t>client's</w:t>
      </w:r>
      <w:r>
        <w:rPr>
          <w:spacing w:val="-3"/>
        </w:rPr>
        <w:t> </w:t>
      </w:r>
      <w:r>
        <w:rPr/>
        <w:t>employment</w:t>
      </w:r>
      <w:r>
        <w:rPr>
          <w:spacing w:val="-3"/>
        </w:rPr>
        <w:t> </w:t>
      </w:r>
      <w:r>
        <w:rPr/>
        <w:t>outcome</w:t>
      </w:r>
      <w:r>
        <w:rPr>
          <w:spacing w:val="-5"/>
        </w:rPr>
        <w:t> </w:t>
      </w:r>
      <w:r>
        <w:rPr/>
        <w:t>as</w:t>
      </w:r>
      <w:r>
        <w:rPr>
          <w:spacing w:val="-4"/>
        </w:rPr>
        <w:t> </w:t>
      </w:r>
      <w:r>
        <w:rPr/>
        <w:t>identified</w:t>
      </w:r>
      <w:r>
        <w:rPr>
          <w:spacing w:val="-4"/>
        </w:rPr>
        <w:t> </w:t>
      </w:r>
      <w:r>
        <w:rPr/>
        <w:t>in</w:t>
      </w:r>
      <w:r>
        <w:rPr>
          <w:spacing w:val="-4"/>
        </w:rPr>
        <w:t> </w:t>
      </w:r>
      <w:r>
        <w:rPr/>
        <w:t>the</w:t>
      </w:r>
      <w:r>
        <w:rPr>
          <w:spacing w:val="-4"/>
        </w:rPr>
        <w:t> </w:t>
      </w:r>
      <w:r>
        <w:rPr/>
        <w:t>client's</w:t>
      </w:r>
      <w:r>
        <w:rPr>
          <w:spacing w:val="-4"/>
        </w:rPr>
        <w:t> </w:t>
      </w:r>
      <w:r>
        <w:rPr/>
        <w:t>IPE.</w:t>
      </w:r>
    </w:p>
    <w:p>
      <w:pPr>
        <w:pStyle w:val="BodyText"/>
        <w:spacing w:before="210"/>
        <w:ind w:left="792"/>
      </w:pPr>
      <w:r>
        <w:rPr>
          <w:b/>
        </w:rPr>
        <w:t>"IPE"</w:t>
      </w:r>
      <w:r>
        <w:rPr>
          <w:b/>
          <w:spacing w:val="-3"/>
        </w:rPr>
        <w:t> </w:t>
      </w:r>
      <w:r>
        <w:rPr/>
        <w:t>means</w:t>
      </w:r>
      <w:r>
        <w:rPr>
          <w:spacing w:val="-3"/>
        </w:rPr>
        <w:t> </w:t>
      </w:r>
      <w:r>
        <w:rPr/>
        <w:t>the</w:t>
      </w:r>
      <w:r>
        <w:rPr>
          <w:spacing w:val="-3"/>
        </w:rPr>
        <w:t> </w:t>
      </w:r>
      <w:r>
        <w:rPr/>
        <w:t>Individualized</w:t>
      </w:r>
      <w:r>
        <w:rPr>
          <w:spacing w:val="-3"/>
        </w:rPr>
        <w:t> </w:t>
      </w:r>
      <w:r>
        <w:rPr/>
        <w:t>Plan</w:t>
      </w:r>
      <w:r>
        <w:rPr>
          <w:spacing w:val="-3"/>
        </w:rPr>
        <w:t> </w:t>
      </w:r>
      <w:r>
        <w:rPr/>
        <w:t>for</w:t>
      </w:r>
      <w:r>
        <w:rPr>
          <w:spacing w:val="-1"/>
        </w:rPr>
        <w:t> </w:t>
      </w:r>
      <w:r>
        <w:rPr>
          <w:spacing w:val="-2"/>
        </w:rPr>
        <w:t>Employment.</w:t>
      </w:r>
    </w:p>
    <w:p>
      <w:pPr>
        <w:pStyle w:val="BodyText"/>
        <w:spacing w:line="208" w:lineRule="auto" w:before="234"/>
        <w:ind w:right="775" w:firstLine="432"/>
      </w:pPr>
      <w:r>
        <w:rPr>
          <w:b/>
        </w:rPr>
        <w:t>"Job Club" </w:t>
      </w:r>
      <w:r>
        <w:rPr/>
        <w:t>is a structured learning experience for a client to build skills in self- assessment,</w:t>
      </w:r>
      <w:r>
        <w:rPr>
          <w:spacing w:val="-6"/>
        </w:rPr>
        <w:t> </w:t>
      </w:r>
      <w:r>
        <w:rPr/>
        <w:t>resume</w:t>
      </w:r>
      <w:r>
        <w:rPr>
          <w:spacing w:val="-5"/>
        </w:rPr>
        <w:t> </w:t>
      </w:r>
      <w:r>
        <w:rPr/>
        <w:t>development,</w:t>
      </w:r>
      <w:r>
        <w:rPr>
          <w:spacing w:val="-4"/>
        </w:rPr>
        <w:t> </w:t>
      </w:r>
      <w:r>
        <w:rPr/>
        <w:t>job</w:t>
      </w:r>
      <w:r>
        <w:rPr>
          <w:spacing w:val="-5"/>
        </w:rPr>
        <w:t> </w:t>
      </w:r>
      <w:r>
        <w:rPr/>
        <w:t>search</w:t>
      </w:r>
      <w:r>
        <w:rPr>
          <w:spacing w:val="-5"/>
        </w:rPr>
        <w:t> </w:t>
      </w:r>
      <w:r>
        <w:rPr/>
        <w:t>and</w:t>
      </w:r>
      <w:r>
        <w:rPr>
          <w:spacing w:val="-5"/>
        </w:rPr>
        <w:t> </w:t>
      </w:r>
      <w:r>
        <w:rPr/>
        <w:t>research</w:t>
      </w:r>
      <w:r>
        <w:rPr>
          <w:spacing w:val="-5"/>
        </w:rPr>
        <w:t> </w:t>
      </w:r>
      <w:r>
        <w:rPr/>
        <w:t>strategies,</w:t>
      </w:r>
      <w:r>
        <w:rPr>
          <w:spacing w:val="-4"/>
        </w:rPr>
        <w:t> </w:t>
      </w:r>
      <w:r>
        <w:rPr/>
        <w:t>and</w:t>
      </w:r>
      <w:r>
        <w:rPr>
          <w:spacing w:val="-5"/>
        </w:rPr>
        <w:t> </w:t>
      </w:r>
      <w:r>
        <w:rPr/>
        <w:t>interview techniques to assist the person to enter a career of their choice.</w:t>
      </w:r>
    </w:p>
    <w:p>
      <w:pPr>
        <w:pStyle w:val="BodyText"/>
        <w:spacing w:line="208" w:lineRule="auto" w:before="239"/>
        <w:ind w:right="739" w:firstLine="432"/>
      </w:pPr>
      <w:r>
        <w:rPr>
          <w:b/>
        </w:rPr>
        <w:t>"Job Coach" </w:t>
      </w:r>
      <w:r>
        <w:rPr/>
        <w:t>means a qualified individual providing support services to eligible individuals in employment programs. Services directly support the eligible individual's work</w:t>
      </w:r>
      <w:r>
        <w:rPr>
          <w:spacing w:val="-5"/>
        </w:rPr>
        <w:t> </w:t>
      </w:r>
      <w:r>
        <w:rPr/>
        <w:t>activity</w:t>
      </w:r>
      <w:r>
        <w:rPr>
          <w:spacing w:val="-5"/>
        </w:rPr>
        <w:t> </w:t>
      </w:r>
      <w:r>
        <w:rPr/>
        <w:t>including</w:t>
      </w:r>
      <w:r>
        <w:rPr>
          <w:spacing w:val="-4"/>
        </w:rPr>
        <w:t> </w:t>
      </w:r>
      <w:r>
        <w:rPr/>
        <w:t>applied</w:t>
      </w:r>
      <w:r>
        <w:rPr>
          <w:spacing w:val="-5"/>
        </w:rPr>
        <w:t> </w:t>
      </w:r>
      <w:r>
        <w:rPr/>
        <w:t>behavioral</w:t>
      </w:r>
      <w:r>
        <w:rPr>
          <w:spacing w:val="-5"/>
        </w:rPr>
        <w:t> </w:t>
      </w:r>
      <w:r>
        <w:rPr/>
        <w:t>analysis,</w:t>
      </w:r>
      <w:r>
        <w:rPr>
          <w:spacing w:val="-4"/>
        </w:rPr>
        <w:t> </w:t>
      </w:r>
      <w:r>
        <w:rPr/>
        <w:t>training</w:t>
      </w:r>
      <w:r>
        <w:rPr>
          <w:spacing w:val="-5"/>
        </w:rPr>
        <w:t> </w:t>
      </w:r>
      <w:r>
        <w:rPr/>
        <w:t>and</w:t>
      </w:r>
      <w:r>
        <w:rPr>
          <w:spacing w:val="-5"/>
        </w:rPr>
        <w:t> </w:t>
      </w:r>
      <w:r>
        <w:rPr/>
        <w:t>worker</w:t>
      </w:r>
      <w:r>
        <w:rPr>
          <w:spacing w:val="-4"/>
        </w:rPr>
        <w:t> </w:t>
      </w:r>
      <w:r>
        <w:rPr/>
        <w:t>assessment,</w:t>
      </w:r>
      <w:r>
        <w:rPr>
          <w:spacing w:val="-4"/>
        </w:rPr>
        <w:t> </w:t>
      </w:r>
      <w:r>
        <w:rPr/>
        <w:t>and teaching job skills.</w:t>
      </w:r>
    </w:p>
    <w:p>
      <w:pPr>
        <w:pStyle w:val="BodyText"/>
        <w:spacing w:line="208" w:lineRule="auto"/>
        <w:ind w:right="775" w:firstLine="432"/>
      </w:pPr>
      <w:r>
        <w:rPr>
          <w:b/>
        </w:rPr>
        <w:t>"Long-term</w:t>
      </w:r>
      <w:r>
        <w:rPr>
          <w:b/>
          <w:spacing w:val="-5"/>
        </w:rPr>
        <w:t> </w:t>
      </w:r>
      <w:r>
        <w:rPr>
          <w:b/>
        </w:rPr>
        <w:t>treatment"</w:t>
      </w:r>
      <w:r>
        <w:rPr>
          <w:b/>
          <w:spacing w:val="-5"/>
        </w:rPr>
        <w:t> </w:t>
      </w:r>
      <w:r>
        <w:rPr/>
        <w:t>means</w:t>
      </w:r>
      <w:r>
        <w:rPr>
          <w:spacing w:val="-6"/>
        </w:rPr>
        <w:t> </w:t>
      </w:r>
      <w:r>
        <w:rPr/>
        <w:t>medical</w:t>
      </w:r>
      <w:r>
        <w:rPr>
          <w:spacing w:val="-5"/>
        </w:rPr>
        <w:t> </w:t>
      </w:r>
      <w:r>
        <w:rPr/>
        <w:t>or</w:t>
      </w:r>
      <w:r>
        <w:rPr>
          <w:spacing w:val="-4"/>
        </w:rPr>
        <w:t> </w:t>
      </w:r>
      <w:r>
        <w:rPr/>
        <w:t>psychological</w:t>
      </w:r>
      <w:r>
        <w:rPr>
          <w:spacing w:val="-5"/>
        </w:rPr>
        <w:t> </w:t>
      </w:r>
      <w:r>
        <w:rPr/>
        <w:t>treatment</w:t>
      </w:r>
      <w:r>
        <w:rPr>
          <w:spacing w:val="-4"/>
        </w:rPr>
        <w:t> </w:t>
      </w:r>
      <w:r>
        <w:rPr/>
        <w:t>that</w:t>
      </w:r>
      <w:r>
        <w:rPr>
          <w:spacing w:val="-6"/>
        </w:rPr>
        <w:t> </w:t>
      </w:r>
      <w:r>
        <w:rPr/>
        <w:t>is</w:t>
      </w:r>
      <w:r>
        <w:rPr>
          <w:spacing w:val="-5"/>
        </w:rPr>
        <w:t> </w:t>
      </w:r>
      <w:r>
        <w:rPr/>
        <w:t>expected to last more than three months.</w:t>
      </w:r>
    </w:p>
    <w:p>
      <w:pPr>
        <w:pStyle w:val="BodyText"/>
        <w:spacing w:line="208" w:lineRule="auto"/>
        <w:ind w:right="727" w:firstLine="432"/>
      </w:pPr>
      <w:r>
        <w:rPr>
          <w:b/>
        </w:rPr>
        <w:t>"Maintenance" </w:t>
      </w:r>
      <w:r>
        <w:rPr/>
        <w:t>means monetary support provided to an individual for expenses, such as food, shelter, and clothing, that are in excess of the normal expenses of the individual</w:t>
      </w:r>
      <w:r>
        <w:rPr>
          <w:spacing w:val="-4"/>
        </w:rPr>
        <w:t> </w:t>
      </w:r>
      <w:r>
        <w:rPr/>
        <w:t>and</w:t>
      </w:r>
      <w:r>
        <w:rPr>
          <w:spacing w:val="-4"/>
        </w:rPr>
        <w:t> </w:t>
      </w:r>
      <w:r>
        <w:rPr/>
        <w:t>that</w:t>
      </w:r>
      <w:r>
        <w:rPr>
          <w:spacing w:val="-3"/>
        </w:rPr>
        <w:t> </w:t>
      </w:r>
      <w:r>
        <w:rPr/>
        <w:t>are</w:t>
      </w:r>
      <w:r>
        <w:rPr>
          <w:spacing w:val="-5"/>
        </w:rPr>
        <w:t> </w:t>
      </w:r>
      <w:r>
        <w:rPr/>
        <w:t>necessitated</w:t>
      </w:r>
      <w:r>
        <w:rPr>
          <w:spacing w:val="-4"/>
        </w:rPr>
        <w:t> </w:t>
      </w:r>
      <w:r>
        <w:rPr/>
        <w:t>by</w:t>
      </w:r>
      <w:r>
        <w:rPr>
          <w:spacing w:val="-4"/>
        </w:rPr>
        <w:t> </w:t>
      </w:r>
      <w:r>
        <w:rPr/>
        <w:t>the</w:t>
      </w:r>
      <w:r>
        <w:rPr>
          <w:spacing w:val="-4"/>
        </w:rPr>
        <w:t> </w:t>
      </w:r>
      <w:r>
        <w:rPr/>
        <w:t>individual's</w:t>
      </w:r>
      <w:r>
        <w:rPr>
          <w:spacing w:val="-4"/>
        </w:rPr>
        <w:t> </w:t>
      </w:r>
      <w:r>
        <w:rPr/>
        <w:t>participation</w:t>
      </w:r>
      <w:r>
        <w:rPr>
          <w:spacing w:val="-3"/>
        </w:rPr>
        <w:t> </w:t>
      </w:r>
      <w:r>
        <w:rPr/>
        <w:t>in</w:t>
      </w:r>
      <w:r>
        <w:rPr>
          <w:spacing w:val="-4"/>
        </w:rPr>
        <w:t> </w:t>
      </w:r>
      <w:r>
        <w:rPr/>
        <w:t>an</w:t>
      </w:r>
      <w:r>
        <w:rPr>
          <w:spacing w:val="-4"/>
        </w:rPr>
        <w:t> </w:t>
      </w:r>
      <w:r>
        <w:rPr/>
        <w:t>assessment</w:t>
      </w:r>
      <w:r>
        <w:rPr>
          <w:spacing w:val="-3"/>
        </w:rPr>
        <w:t> </w:t>
      </w:r>
      <w:r>
        <w:rPr/>
        <w:t>for determining eligibility and vocational rehabilitation needs or the individual's receipt of vocational rehabilitation services under an individualized plan for employment.</w:t>
      </w:r>
    </w:p>
    <w:p>
      <w:pPr>
        <w:pStyle w:val="BodyText"/>
        <w:spacing w:line="208" w:lineRule="auto" w:before="239"/>
        <w:ind w:right="822" w:firstLine="432"/>
      </w:pPr>
      <w:r>
        <w:rPr>
          <w:b/>
        </w:rPr>
        <w:t>"Measurable Skill Gains" or "(MSG)" </w:t>
      </w:r>
      <w:r>
        <w:rPr/>
        <w:t>means a measure of the documented progress (academic, technical, occupational, or other) that a client makes in a training or education program toward obtaining a recognized postsecondary credential. This progress</w:t>
      </w:r>
      <w:r>
        <w:rPr>
          <w:spacing w:val="-3"/>
        </w:rPr>
        <w:t> </w:t>
      </w:r>
      <w:r>
        <w:rPr/>
        <w:t>is</w:t>
      </w:r>
      <w:r>
        <w:rPr>
          <w:spacing w:val="-3"/>
        </w:rPr>
        <w:t> </w:t>
      </w:r>
      <w:r>
        <w:rPr/>
        <w:t>reported</w:t>
      </w:r>
      <w:r>
        <w:rPr>
          <w:spacing w:val="-3"/>
        </w:rPr>
        <w:t> </w:t>
      </w:r>
      <w:r>
        <w:rPr/>
        <w:t>throughout</w:t>
      </w:r>
      <w:r>
        <w:rPr>
          <w:spacing w:val="-2"/>
        </w:rPr>
        <w:t> </w:t>
      </w:r>
      <w:r>
        <w:rPr/>
        <w:t>the</w:t>
      </w:r>
      <w:r>
        <w:rPr>
          <w:spacing w:val="-3"/>
        </w:rPr>
        <w:t> </w:t>
      </w:r>
      <w:r>
        <w:rPr/>
        <w:t>life</w:t>
      </w:r>
      <w:r>
        <w:rPr>
          <w:spacing w:val="-3"/>
        </w:rPr>
        <w:t> </w:t>
      </w:r>
      <w:r>
        <w:rPr/>
        <w:t>of</w:t>
      </w:r>
      <w:r>
        <w:rPr>
          <w:spacing w:val="-2"/>
        </w:rPr>
        <w:t> </w:t>
      </w:r>
      <w:r>
        <w:rPr/>
        <w:t>the</w:t>
      </w:r>
      <w:r>
        <w:rPr>
          <w:spacing w:val="-4"/>
        </w:rPr>
        <w:t> </w:t>
      </w:r>
      <w:r>
        <w:rPr/>
        <w:t>case.</w:t>
      </w:r>
      <w:r>
        <w:rPr>
          <w:spacing w:val="-2"/>
        </w:rPr>
        <w:t> </w:t>
      </w:r>
      <w:r>
        <w:rPr/>
        <w:t>Examples</w:t>
      </w:r>
      <w:r>
        <w:rPr>
          <w:spacing w:val="-3"/>
        </w:rPr>
        <w:t> </w:t>
      </w:r>
      <w:r>
        <w:rPr/>
        <w:t>of</w:t>
      </w:r>
      <w:r>
        <w:rPr>
          <w:spacing w:val="-2"/>
        </w:rPr>
        <w:t> </w:t>
      </w:r>
      <w:r>
        <w:rPr/>
        <w:t>a</w:t>
      </w:r>
      <w:r>
        <w:rPr>
          <w:spacing w:val="-4"/>
        </w:rPr>
        <w:t> </w:t>
      </w:r>
      <w:r>
        <w:rPr/>
        <w:t>valid</w:t>
      </w:r>
      <w:r>
        <w:rPr>
          <w:spacing w:val="-3"/>
        </w:rPr>
        <w:t> </w:t>
      </w:r>
      <w:r>
        <w:rPr/>
        <w:t>skill</w:t>
      </w:r>
      <w:r>
        <w:rPr>
          <w:spacing w:val="-3"/>
        </w:rPr>
        <w:t> </w:t>
      </w:r>
      <w:r>
        <w:rPr/>
        <w:t>gain</w:t>
      </w:r>
      <w:r>
        <w:rPr>
          <w:spacing w:val="-3"/>
        </w:rPr>
        <w:t> </w:t>
      </w:r>
      <w:r>
        <w:rPr/>
        <w:t>would be the documented completion of a high school semester or a minimum of 12 college hours successfully completed over a one year period.</w:t>
      </w:r>
    </w:p>
    <w:p>
      <w:pPr>
        <w:pStyle w:val="BodyText"/>
        <w:spacing w:line="208" w:lineRule="auto"/>
        <w:ind w:left="359" w:right="775" w:firstLine="432"/>
      </w:pPr>
      <w:r>
        <w:rPr>
          <w:b/>
        </w:rPr>
        <w:t>"Milestones" </w:t>
      </w:r>
      <w:r>
        <w:rPr/>
        <w:t>means a payment system that reimburses a vendor based on incentives</w:t>
      </w:r>
      <w:r>
        <w:rPr>
          <w:spacing w:val="-3"/>
        </w:rPr>
        <w:t> </w:t>
      </w:r>
      <w:r>
        <w:rPr/>
        <w:t>and</w:t>
      </w:r>
      <w:r>
        <w:rPr>
          <w:spacing w:val="-4"/>
        </w:rPr>
        <w:t> </w:t>
      </w:r>
      <w:r>
        <w:rPr/>
        <w:t>outcomes.</w:t>
      </w:r>
      <w:r>
        <w:rPr>
          <w:spacing w:val="-3"/>
        </w:rPr>
        <w:t> </w:t>
      </w:r>
      <w:r>
        <w:rPr/>
        <w:t>The</w:t>
      </w:r>
      <w:r>
        <w:rPr>
          <w:spacing w:val="-4"/>
        </w:rPr>
        <w:t> </w:t>
      </w:r>
      <w:r>
        <w:rPr/>
        <w:t>vendor</w:t>
      </w:r>
      <w:r>
        <w:rPr>
          <w:spacing w:val="-3"/>
        </w:rPr>
        <w:t> </w:t>
      </w:r>
      <w:r>
        <w:rPr/>
        <w:t>is</w:t>
      </w:r>
      <w:r>
        <w:rPr>
          <w:spacing w:val="-4"/>
        </w:rPr>
        <w:t> </w:t>
      </w:r>
      <w:r>
        <w:rPr/>
        <w:t>paid</w:t>
      </w:r>
      <w:r>
        <w:rPr>
          <w:spacing w:val="-4"/>
        </w:rPr>
        <w:t> </w:t>
      </w:r>
      <w:r>
        <w:rPr/>
        <w:t>when</w:t>
      </w:r>
      <w:r>
        <w:rPr>
          <w:spacing w:val="-4"/>
        </w:rPr>
        <w:t> </w:t>
      </w:r>
      <w:r>
        <w:rPr/>
        <w:t>the</w:t>
      </w:r>
      <w:r>
        <w:rPr>
          <w:spacing w:val="-3"/>
        </w:rPr>
        <w:t> </w:t>
      </w:r>
      <w:r>
        <w:rPr/>
        <w:t>client</w:t>
      </w:r>
      <w:r>
        <w:rPr>
          <w:spacing w:val="-3"/>
        </w:rPr>
        <w:t> </w:t>
      </w:r>
      <w:r>
        <w:rPr/>
        <w:t>completes</w:t>
      </w:r>
      <w:r>
        <w:rPr>
          <w:spacing w:val="-4"/>
        </w:rPr>
        <w:t> </w:t>
      </w:r>
      <w:r>
        <w:rPr/>
        <w:t>pre-defined checkpoints on the way to a desired employment goal.</w:t>
      </w:r>
    </w:p>
    <w:p>
      <w:pPr>
        <w:pStyle w:val="BodyText"/>
        <w:spacing w:line="208" w:lineRule="auto" w:before="239"/>
        <w:ind w:left="359" w:right="775" w:firstLine="432"/>
      </w:pPr>
      <w:r>
        <w:rPr>
          <w:b/>
        </w:rPr>
        <w:t>"Multiple</w:t>
      </w:r>
      <w:r>
        <w:rPr>
          <w:b/>
          <w:spacing w:val="-4"/>
        </w:rPr>
        <w:t> </w:t>
      </w:r>
      <w:r>
        <w:rPr>
          <w:b/>
        </w:rPr>
        <w:t>services"</w:t>
      </w:r>
      <w:r>
        <w:rPr>
          <w:b/>
          <w:spacing w:val="-4"/>
        </w:rPr>
        <w:t> </w:t>
      </w:r>
      <w:r>
        <w:rPr/>
        <w:t>means</w:t>
      </w:r>
      <w:r>
        <w:rPr>
          <w:spacing w:val="-4"/>
        </w:rPr>
        <w:t> </w:t>
      </w:r>
      <w:r>
        <w:rPr/>
        <w:t>the</w:t>
      </w:r>
      <w:r>
        <w:rPr>
          <w:spacing w:val="-4"/>
        </w:rPr>
        <w:t> </w:t>
      </w:r>
      <w:r>
        <w:rPr/>
        <w:t>counseling</w:t>
      </w:r>
      <w:r>
        <w:rPr>
          <w:spacing w:val="-4"/>
        </w:rPr>
        <w:t> </w:t>
      </w:r>
      <w:r>
        <w:rPr/>
        <w:t>and</w:t>
      </w:r>
      <w:r>
        <w:rPr>
          <w:spacing w:val="-4"/>
        </w:rPr>
        <w:t> </w:t>
      </w:r>
      <w:r>
        <w:rPr/>
        <w:t>guidance</w:t>
      </w:r>
      <w:r>
        <w:rPr>
          <w:spacing w:val="-4"/>
        </w:rPr>
        <w:t> </w:t>
      </w:r>
      <w:r>
        <w:rPr/>
        <w:t>provided</w:t>
      </w:r>
      <w:r>
        <w:rPr>
          <w:spacing w:val="-3"/>
        </w:rPr>
        <w:t> </w:t>
      </w:r>
      <w:r>
        <w:rPr/>
        <w:t>as</w:t>
      </w:r>
      <w:r>
        <w:rPr>
          <w:spacing w:val="-4"/>
        </w:rPr>
        <w:t> </w:t>
      </w:r>
      <w:r>
        <w:rPr/>
        <w:t>a</w:t>
      </w:r>
      <w:r>
        <w:rPr>
          <w:spacing w:val="-4"/>
        </w:rPr>
        <w:t> </w:t>
      </w:r>
      <w:r>
        <w:rPr/>
        <w:t>routine</w:t>
      </w:r>
      <w:r>
        <w:rPr>
          <w:spacing w:val="-4"/>
        </w:rPr>
        <w:t> </w:t>
      </w:r>
      <w:r>
        <w:rPr/>
        <w:t>part of case management plus two or more VR services. Comparable benefits and/or services</w:t>
      </w:r>
      <w:r>
        <w:rPr>
          <w:spacing w:val="-1"/>
        </w:rPr>
        <w:t> </w:t>
      </w:r>
      <w:r>
        <w:rPr/>
        <w:t>can</w:t>
      </w:r>
      <w:r>
        <w:rPr>
          <w:spacing w:val="-1"/>
        </w:rPr>
        <w:t> </w:t>
      </w:r>
      <w:r>
        <w:rPr/>
        <w:t>count toward</w:t>
      </w:r>
      <w:r>
        <w:rPr>
          <w:spacing w:val="-1"/>
        </w:rPr>
        <w:t> </w:t>
      </w:r>
      <w:r>
        <w:rPr/>
        <w:t>meeting</w:t>
      </w:r>
      <w:r>
        <w:rPr>
          <w:spacing w:val="-1"/>
        </w:rPr>
        <w:t> </w:t>
      </w:r>
      <w:r>
        <w:rPr/>
        <w:t>the</w:t>
      </w:r>
      <w:r>
        <w:rPr>
          <w:spacing w:val="-1"/>
        </w:rPr>
        <w:t> </w:t>
      </w:r>
      <w:r>
        <w:rPr/>
        <w:t>definition</w:t>
      </w:r>
      <w:r>
        <w:rPr>
          <w:spacing w:val="-1"/>
        </w:rPr>
        <w:t> </w:t>
      </w:r>
      <w:r>
        <w:rPr/>
        <w:t>of multiple</w:t>
      </w:r>
      <w:r>
        <w:rPr>
          <w:spacing w:val="-1"/>
        </w:rPr>
        <w:t> </w:t>
      </w:r>
      <w:r>
        <w:rPr/>
        <w:t>services. Services</w:t>
      </w:r>
      <w:r>
        <w:rPr>
          <w:spacing w:val="-1"/>
        </w:rPr>
        <w:t> </w:t>
      </w:r>
      <w:r>
        <w:rPr/>
        <w:t>routinely provided as a package do not count as multiple services for the purpose of determining the presence of a significant disability, even if two or more services are included in the </w:t>
      </w:r>
      <w:r>
        <w:rPr>
          <w:spacing w:val="-2"/>
        </w:rPr>
        <w:t>package.</w:t>
      </w:r>
    </w:p>
    <w:p>
      <w:pPr>
        <w:pStyle w:val="BodyText"/>
        <w:spacing w:line="208" w:lineRule="auto"/>
        <w:ind w:left="359" w:right="718" w:firstLine="432"/>
      </w:pPr>
      <w:r>
        <w:rPr>
          <w:b/>
        </w:rPr>
        <w:t>"Natural</w:t>
      </w:r>
      <w:r>
        <w:rPr>
          <w:b/>
          <w:spacing w:val="-3"/>
        </w:rPr>
        <w:t> </w:t>
      </w:r>
      <w:r>
        <w:rPr>
          <w:b/>
        </w:rPr>
        <w:t>supports"</w:t>
      </w:r>
      <w:r>
        <w:rPr>
          <w:b/>
          <w:spacing w:val="-4"/>
        </w:rPr>
        <w:t> </w:t>
      </w:r>
      <w:r>
        <w:rPr/>
        <w:t>means</w:t>
      </w:r>
      <w:r>
        <w:rPr>
          <w:spacing w:val="-4"/>
        </w:rPr>
        <w:t> </w:t>
      </w:r>
      <w:r>
        <w:rPr/>
        <w:t>any</w:t>
      </w:r>
      <w:r>
        <w:rPr>
          <w:spacing w:val="-4"/>
        </w:rPr>
        <w:t> </w:t>
      </w:r>
      <w:r>
        <w:rPr/>
        <w:t>assistance,</w:t>
      </w:r>
      <w:r>
        <w:rPr>
          <w:spacing w:val="-3"/>
        </w:rPr>
        <w:t> </w:t>
      </w:r>
      <w:r>
        <w:rPr/>
        <w:t>relationships</w:t>
      </w:r>
      <w:r>
        <w:rPr>
          <w:spacing w:val="-4"/>
        </w:rPr>
        <w:t> </w:t>
      </w:r>
      <w:r>
        <w:rPr/>
        <w:t>or</w:t>
      </w:r>
      <w:r>
        <w:rPr>
          <w:spacing w:val="-3"/>
        </w:rPr>
        <w:t> </w:t>
      </w:r>
      <w:r>
        <w:rPr/>
        <w:t>interactions</w:t>
      </w:r>
      <w:r>
        <w:rPr>
          <w:spacing w:val="-4"/>
        </w:rPr>
        <w:t> </w:t>
      </w:r>
      <w:r>
        <w:rPr/>
        <w:t>that</w:t>
      </w:r>
      <w:r>
        <w:rPr>
          <w:spacing w:val="-5"/>
        </w:rPr>
        <w:t> </w:t>
      </w:r>
      <w:r>
        <w:rPr/>
        <w:t>allow</w:t>
      </w:r>
      <w:r>
        <w:rPr>
          <w:spacing w:val="-4"/>
        </w:rPr>
        <w:t> </w:t>
      </w:r>
      <w:r>
        <w:rPr/>
        <w:t>a person</w:t>
      </w:r>
      <w:r>
        <w:rPr>
          <w:spacing w:val="-5"/>
        </w:rPr>
        <w:t> </w:t>
      </w:r>
      <w:r>
        <w:rPr/>
        <w:t>to</w:t>
      </w:r>
      <w:r>
        <w:rPr>
          <w:spacing w:val="-4"/>
        </w:rPr>
        <w:t> </w:t>
      </w:r>
      <w:r>
        <w:rPr/>
        <w:t>maintain</w:t>
      </w:r>
      <w:r>
        <w:rPr>
          <w:spacing w:val="-3"/>
        </w:rPr>
        <w:t> </w:t>
      </w:r>
      <w:r>
        <w:rPr/>
        <w:t>employment</w:t>
      </w:r>
      <w:r>
        <w:rPr>
          <w:spacing w:val="-2"/>
        </w:rPr>
        <w:t> </w:t>
      </w:r>
      <w:r>
        <w:rPr/>
        <w:t>in</w:t>
      </w:r>
      <w:r>
        <w:rPr>
          <w:spacing w:val="-3"/>
        </w:rPr>
        <w:t> </w:t>
      </w:r>
      <w:r>
        <w:rPr/>
        <w:t>ways</w:t>
      </w:r>
      <w:r>
        <w:rPr>
          <w:spacing w:val="-3"/>
        </w:rPr>
        <w:t> </w:t>
      </w:r>
      <w:r>
        <w:rPr/>
        <w:t>that</w:t>
      </w:r>
      <w:r>
        <w:rPr>
          <w:spacing w:val="-1"/>
        </w:rPr>
        <w:t> </w:t>
      </w:r>
      <w:r>
        <w:rPr/>
        <w:t>correspond</w:t>
      </w:r>
      <w:r>
        <w:rPr>
          <w:spacing w:val="-3"/>
        </w:rPr>
        <w:t> </w:t>
      </w:r>
      <w:r>
        <w:rPr/>
        <w:t>to</w:t>
      </w:r>
      <w:r>
        <w:rPr>
          <w:spacing w:val="-3"/>
        </w:rPr>
        <w:t> </w:t>
      </w:r>
      <w:r>
        <w:rPr/>
        <w:t>the</w:t>
      </w:r>
      <w:r>
        <w:rPr>
          <w:spacing w:val="-3"/>
        </w:rPr>
        <w:t> </w:t>
      </w:r>
      <w:r>
        <w:rPr/>
        <w:t>typical</w:t>
      </w:r>
      <w:r>
        <w:rPr>
          <w:spacing w:val="-3"/>
        </w:rPr>
        <w:t> </w:t>
      </w:r>
      <w:r>
        <w:rPr/>
        <w:t>work</w:t>
      </w:r>
      <w:r>
        <w:rPr>
          <w:spacing w:val="-3"/>
        </w:rPr>
        <w:t> </w:t>
      </w:r>
      <w:r>
        <w:rPr/>
        <w:t>routines</w:t>
      </w:r>
      <w:r>
        <w:rPr>
          <w:spacing w:val="-2"/>
        </w:rPr>
        <w:t> </w:t>
      </w:r>
      <w:r>
        <w:rPr>
          <w:spacing w:val="-5"/>
        </w:rPr>
        <w:t>and</w:t>
      </w:r>
    </w:p>
    <w:p>
      <w:pPr>
        <w:pStyle w:val="BodyText"/>
        <w:spacing w:after="0" w:line="208" w:lineRule="auto"/>
        <w:sectPr>
          <w:pgSz w:w="12240" w:h="15840"/>
          <w:pgMar w:top="1340" w:bottom="280" w:left="1080" w:right="720"/>
        </w:sectPr>
      </w:pPr>
    </w:p>
    <w:p>
      <w:pPr>
        <w:pStyle w:val="BodyText"/>
        <w:spacing w:line="208" w:lineRule="auto" w:before="96"/>
        <w:ind w:right="775"/>
      </w:pPr>
      <w:r>
        <w:rPr/>
        <w:t>social interactions of other employees. Natural supports may be developed through relationships</w:t>
      </w:r>
      <w:r>
        <w:rPr>
          <w:spacing w:val="-4"/>
        </w:rPr>
        <w:t> </w:t>
      </w:r>
      <w:r>
        <w:rPr/>
        <w:t>with</w:t>
      </w:r>
      <w:r>
        <w:rPr>
          <w:spacing w:val="-4"/>
        </w:rPr>
        <w:t> </w:t>
      </w:r>
      <w:r>
        <w:rPr/>
        <w:t>people</w:t>
      </w:r>
      <w:r>
        <w:rPr>
          <w:spacing w:val="-4"/>
        </w:rPr>
        <w:t> </w:t>
      </w:r>
      <w:r>
        <w:rPr/>
        <w:t>or</w:t>
      </w:r>
      <w:r>
        <w:rPr>
          <w:spacing w:val="-3"/>
        </w:rPr>
        <w:t> </w:t>
      </w:r>
      <w:r>
        <w:rPr/>
        <w:t>put</w:t>
      </w:r>
      <w:r>
        <w:rPr>
          <w:spacing w:val="-3"/>
        </w:rPr>
        <w:t> </w:t>
      </w:r>
      <w:r>
        <w:rPr/>
        <w:t>into</w:t>
      </w:r>
      <w:r>
        <w:rPr>
          <w:spacing w:val="-4"/>
        </w:rPr>
        <w:t> </w:t>
      </w:r>
      <w:r>
        <w:rPr/>
        <w:t>place</w:t>
      </w:r>
      <w:r>
        <w:rPr>
          <w:spacing w:val="-4"/>
        </w:rPr>
        <w:t> </w:t>
      </w:r>
      <w:r>
        <w:rPr/>
        <w:t>by</w:t>
      </w:r>
      <w:r>
        <w:rPr>
          <w:spacing w:val="-4"/>
        </w:rPr>
        <w:t> </w:t>
      </w:r>
      <w:r>
        <w:rPr/>
        <w:t>the</w:t>
      </w:r>
      <w:r>
        <w:rPr>
          <w:spacing w:val="-4"/>
        </w:rPr>
        <w:t> </w:t>
      </w:r>
      <w:r>
        <w:rPr/>
        <w:t>adaptation</w:t>
      </w:r>
      <w:r>
        <w:rPr>
          <w:spacing w:val="-4"/>
        </w:rPr>
        <w:t> </w:t>
      </w:r>
      <w:r>
        <w:rPr/>
        <w:t>of</w:t>
      </w:r>
      <w:r>
        <w:rPr>
          <w:spacing w:val="-3"/>
        </w:rPr>
        <w:t> </w:t>
      </w:r>
      <w:r>
        <w:rPr/>
        <w:t>the</w:t>
      </w:r>
      <w:r>
        <w:rPr>
          <w:spacing w:val="-4"/>
        </w:rPr>
        <w:t> </w:t>
      </w:r>
      <w:r>
        <w:rPr/>
        <w:t>work</w:t>
      </w:r>
      <w:r>
        <w:rPr>
          <w:spacing w:val="-4"/>
        </w:rPr>
        <w:t> </w:t>
      </w:r>
      <w:r>
        <w:rPr/>
        <w:t>environment itself, depending on the support needs of the person and the environment.</w:t>
      </w:r>
    </w:p>
    <w:p>
      <w:pPr>
        <w:pStyle w:val="BodyText"/>
        <w:spacing w:line="208" w:lineRule="auto"/>
        <w:ind w:right="775" w:firstLine="432"/>
      </w:pPr>
      <w:r>
        <w:rPr>
          <w:b/>
        </w:rPr>
        <w:t>"Occupational license" </w:t>
      </w:r>
      <w:r>
        <w:rPr/>
        <w:t>means any license, permit, or other written authority required</w:t>
      </w:r>
      <w:r>
        <w:rPr>
          <w:spacing w:val="-3"/>
        </w:rPr>
        <w:t> </w:t>
      </w:r>
      <w:r>
        <w:rPr/>
        <w:t>by</w:t>
      </w:r>
      <w:r>
        <w:rPr>
          <w:spacing w:val="-2"/>
        </w:rPr>
        <w:t> </w:t>
      </w:r>
      <w:r>
        <w:rPr/>
        <w:t>a</w:t>
      </w:r>
      <w:r>
        <w:rPr>
          <w:spacing w:val="-3"/>
        </w:rPr>
        <w:t> </w:t>
      </w:r>
      <w:r>
        <w:rPr/>
        <w:t>state,</w:t>
      </w:r>
      <w:r>
        <w:rPr>
          <w:spacing w:val="-2"/>
        </w:rPr>
        <w:t> </w:t>
      </w:r>
      <w:r>
        <w:rPr/>
        <w:t>city</w:t>
      </w:r>
      <w:r>
        <w:rPr>
          <w:spacing w:val="-3"/>
        </w:rPr>
        <w:t> </w:t>
      </w:r>
      <w:r>
        <w:rPr/>
        <w:t>or</w:t>
      </w:r>
      <w:r>
        <w:rPr>
          <w:spacing w:val="-2"/>
        </w:rPr>
        <w:t> </w:t>
      </w:r>
      <w:r>
        <w:rPr/>
        <w:t>other</w:t>
      </w:r>
      <w:r>
        <w:rPr>
          <w:spacing w:val="-4"/>
        </w:rPr>
        <w:t> </w:t>
      </w:r>
      <w:r>
        <w:rPr/>
        <w:t>governmental</w:t>
      </w:r>
      <w:r>
        <w:rPr>
          <w:spacing w:val="-3"/>
        </w:rPr>
        <w:t> </w:t>
      </w:r>
      <w:r>
        <w:rPr/>
        <w:t>unit</w:t>
      </w:r>
      <w:r>
        <w:rPr>
          <w:spacing w:val="-2"/>
        </w:rPr>
        <w:t> </w:t>
      </w:r>
      <w:r>
        <w:rPr/>
        <w:t>to</w:t>
      </w:r>
      <w:r>
        <w:rPr>
          <w:spacing w:val="-3"/>
        </w:rPr>
        <w:t> </w:t>
      </w:r>
      <w:r>
        <w:rPr/>
        <w:t>be</w:t>
      </w:r>
      <w:r>
        <w:rPr>
          <w:spacing w:val="-3"/>
        </w:rPr>
        <w:t> </w:t>
      </w:r>
      <w:r>
        <w:rPr/>
        <w:t>obtained</w:t>
      </w:r>
      <w:r>
        <w:rPr>
          <w:spacing w:val="-2"/>
        </w:rPr>
        <w:t> </w:t>
      </w:r>
      <w:r>
        <w:rPr/>
        <w:t>in</w:t>
      </w:r>
      <w:r>
        <w:rPr>
          <w:spacing w:val="-3"/>
        </w:rPr>
        <w:t> </w:t>
      </w:r>
      <w:r>
        <w:rPr/>
        <w:t>order</w:t>
      </w:r>
      <w:r>
        <w:rPr>
          <w:spacing w:val="-2"/>
        </w:rPr>
        <w:t> </w:t>
      </w:r>
      <w:r>
        <w:rPr/>
        <w:t>to</w:t>
      </w:r>
      <w:r>
        <w:rPr>
          <w:spacing w:val="-4"/>
        </w:rPr>
        <w:t> </w:t>
      </w:r>
      <w:r>
        <w:rPr/>
        <w:t>enter</w:t>
      </w:r>
      <w:r>
        <w:rPr>
          <w:spacing w:val="-2"/>
        </w:rPr>
        <w:t> </w:t>
      </w:r>
      <w:r>
        <w:rPr/>
        <w:t>an </w:t>
      </w:r>
      <w:r>
        <w:rPr>
          <w:spacing w:val="-2"/>
        </w:rPr>
        <w:t>occupation.</w:t>
      </w:r>
    </w:p>
    <w:p>
      <w:pPr>
        <w:pStyle w:val="BodyText"/>
        <w:spacing w:line="208" w:lineRule="auto" w:before="239"/>
        <w:ind w:right="775" w:firstLine="432"/>
      </w:pPr>
      <w:r>
        <w:rPr>
          <w:b/>
        </w:rPr>
        <w:t>"OMES-DCAM"</w:t>
      </w:r>
      <w:r>
        <w:rPr>
          <w:b/>
          <w:spacing w:val="-6"/>
        </w:rPr>
        <w:t> </w:t>
      </w:r>
      <w:r>
        <w:rPr/>
        <w:t>means</w:t>
      </w:r>
      <w:r>
        <w:rPr>
          <w:spacing w:val="-5"/>
        </w:rPr>
        <w:t> </w:t>
      </w:r>
      <w:r>
        <w:rPr/>
        <w:t>Office</w:t>
      </w:r>
      <w:r>
        <w:rPr>
          <w:spacing w:val="-5"/>
        </w:rPr>
        <w:t> </w:t>
      </w:r>
      <w:r>
        <w:rPr/>
        <w:t>of</w:t>
      </w:r>
      <w:r>
        <w:rPr>
          <w:spacing w:val="-6"/>
        </w:rPr>
        <w:t> </w:t>
      </w:r>
      <w:r>
        <w:rPr/>
        <w:t>Management</w:t>
      </w:r>
      <w:r>
        <w:rPr>
          <w:spacing w:val="-4"/>
        </w:rPr>
        <w:t> </w:t>
      </w:r>
      <w:r>
        <w:rPr/>
        <w:t>&amp;</w:t>
      </w:r>
      <w:r>
        <w:rPr>
          <w:spacing w:val="-5"/>
        </w:rPr>
        <w:t> </w:t>
      </w:r>
      <w:r>
        <w:rPr/>
        <w:t>Enterprise</w:t>
      </w:r>
      <w:r>
        <w:rPr>
          <w:spacing w:val="-5"/>
        </w:rPr>
        <w:t> </w:t>
      </w:r>
      <w:r>
        <w:rPr/>
        <w:t>Services-Division</w:t>
      </w:r>
      <w:r>
        <w:rPr>
          <w:spacing w:val="-5"/>
        </w:rPr>
        <w:t> </w:t>
      </w:r>
      <w:r>
        <w:rPr/>
        <w:t>of Capital Assets Management, which sets thresholds for State Purchasing guidelines.</w:t>
      </w:r>
    </w:p>
    <w:p>
      <w:pPr>
        <w:spacing w:before="244"/>
        <w:ind w:left="360" w:right="0" w:firstLine="0"/>
        <w:jc w:val="left"/>
        <w:rPr>
          <w:sz w:val="24"/>
        </w:rPr>
      </w:pPr>
      <w:r>
        <w:rPr>
          <w:b/>
          <w:sz w:val="24"/>
        </w:rPr>
        <w:t>"Ongoing</w:t>
      </w:r>
      <w:r>
        <w:rPr>
          <w:b/>
          <w:spacing w:val="-16"/>
          <w:sz w:val="24"/>
        </w:rPr>
        <w:t> </w:t>
      </w:r>
      <w:r>
        <w:rPr>
          <w:b/>
          <w:sz w:val="24"/>
        </w:rPr>
        <w:t>support</w:t>
      </w:r>
      <w:r>
        <w:rPr>
          <w:b/>
          <w:spacing w:val="-14"/>
          <w:sz w:val="24"/>
        </w:rPr>
        <w:t> </w:t>
      </w:r>
      <w:r>
        <w:rPr>
          <w:b/>
          <w:sz w:val="24"/>
        </w:rPr>
        <w:t>services"</w:t>
      </w:r>
      <w:r>
        <w:rPr>
          <w:b/>
          <w:spacing w:val="-14"/>
          <w:sz w:val="24"/>
        </w:rPr>
        <w:t> </w:t>
      </w:r>
      <w:r>
        <w:rPr>
          <w:sz w:val="24"/>
        </w:rPr>
        <w:t>means,</w:t>
      </w:r>
      <w:r>
        <w:rPr>
          <w:spacing w:val="-14"/>
          <w:sz w:val="24"/>
        </w:rPr>
        <w:t> </w:t>
      </w:r>
      <w:r>
        <w:rPr>
          <w:sz w:val="24"/>
        </w:rPr>
        <w:t>as</w:t>
      </w:r>
      <w:r>
        <w:rPr>
          <w:spacing w:val="-16"/>
          <w:sz w:val="24"/>
        </w:rPr>
        <w:t> </w:t>
      </w:r>
      <w:r>
        <w:rPr>
          <w:sz w:val="24"/>
        </w:rPr>
        <w:t>used</w:t>
      </w:r>
      <w:r>
        <w:rPr>
          <w:spacing w:val="-15"/>
          <w:sz w:val="24"/>
        </w:rPr>
        <w:t> </w:t>
      </w:r>
      <w:r>
        <w:rPr>
          <w:sz w:val="24"/>
        </w:rPr>
        <w:t>in</w:t>
      </w:r>
      <w:r>
        <w:rPr>
          <w:spacing w:val="-15"/>
          <w:sz w:val="24"/>
        </w:rPr>
        <w:t> </w:t>
      </w:r>
      <w:r>
        <w:rPr>
          <w:sz w:val="24"/>
        </w:rPr>
        <w:t>the</w:t>
      </w:r>
      <w:r>
        <w:rPr>
          <w:spacing w:val="-16"/>
          <w:sz w:val="24"/>
        </w:rPr>
        <w:t> </w:t>
      </w:r>
      <w:r>
        <w:rPr>
          <w:sz w:val="24"/>
        </w:rPr>
        <w:t>definition</w:t>
      </w:r>
      <w:r>
        <w:rPr>
          <w:spacing w:val="-15"/>
          <w:sz w:val="24"/>
        </w:rPr>
        <w:t> </w:t>
      </w:r>
      <w:r>
        <w:rPr>
          <w:sz w:val="24"/>
        </w:rPr>
        <w:t>of</w:t>
      </w:r>
      <w:r>
        <w:rPr>
          <w:spacing w:val="-14"/>
          <w:sz w:val="24"/>
        </w:rPr>
        <w:t> </w:t>
      </w:r>
      <w:r>
        <w:rPr>
          <w:sz w:val="24"/>
        </w:rPr>
        <w:t>supported</w:t>
      </w:r>
      <w:r>
        <w:rPr>
          <w:spacing w:val="-15"/>
          <w:sz w:val="24"/>
        </w:rPr>
        <w:t> </w:t>
      </w:r>
      <w:r>
        <w:rPr>
          <w:sz w:val="24"/>
        </w:rPr>
        <w:t>employment, services that:</w:t>
      </w:r>
    </w:p>
    <w:p>
      <w:pPr>
        <w:pStyle w:val="ListParagraph"/>
        <w:numPr>
          <w:ilvl w:val="0"/>
          <w:numId w:val="67"/>
        </w:numPr>
        <w:tabs>
          <w:tab w:pos="1533" w:val="left" w:leader="none"/>
        </w:tabs>
        <w:spacing w:line="240" w:lineRule="auto" w:before="120" w:after="0"/>
        <w:ind w:left="1080" w:right="1273" w:firstLine="0"/>
        <w:jc w:val="left"/>
        <w:rPr>
          <w:sz w:val="24"/>
        </w:rPr>
      </w:pPr>
      <w:r>
        <w:rPr>
          <w:sz w:val="24"/>
        </w:rPr>
        <w:t>Are</w:t>
      </w:r>
      <w:r>
        <w:rPr>
          <w:spacing w:val="-4"/>
          <w:sz w:val="24"/>
        </w:rPr>
        <w:t> </w:t>
      </w:r>
      <w:r>
        <w:rPr>
          <w:sz w:val="24"/>
        </w:rPr>
        <w:t>needed</w:t>
      </w:r>
      <w:r>
        <w:rPr>
          <w:spacing w:val="-4"/>
          <w:sz w:val="24"/>
        </w:rPr>
        <w:t> </w:t>
      </w:r>
      <w:r>
        <w:rPr>
          <w:sz w:val="24"/>
        </w:rPr>
        <w:t>to</w:t>
      </w:r>
      <w:r>
        <w:rPr>
          <w:spacing w:val="-4"/>
          <w:sz w:val="24"/>
        </w:rPr>
        <w:t> </w:t>
      </w:r>
      <w:r>
        <w:rPr>
          <w:sz w:val="24"/>
        </w:rPr>
        <w:t>support</w:t>
      </w:r>
      <w:r>
        <w:rPr>
          <w:spacing w:val="-3"/>
          <w:sz w:val="24"/>
        </w:rPr>
        <w:t> </w:t>
      </w:r>
      <w:r>
        <w:rPr>
          <w:sz w:val="24"/>
        </w:rPr>
        <w:t>and</w:t>
      </w:r>
      <w:r>
        <w:rPr>
          <w:spacing w:val="-4"/>
          <w:sz w:val="24"/>
        </w:rPr>
        <w:t> </w:t>
      </w:r>
      <w:r>
        <w:rPr>
          <w:sz w:val="24"/>
        </w:rPr>
        <w:t>maintain</w:t>
      </w:r>
      <w:r>
        <w:rPr>
          <w:spacing w:val="-4"/>
          <w:sz w:val="24"/>
        </w:rPr>
        <w:t> </w:t>
      </w:r>
      <w:r>
        <w:rPr>
          <w:sz w:val="24"/>
        </w:rPr>
        <w:t>an</w:t>
      </w:r>
      <w:r>
        <w:rPr>
          <w:spacing w:val="-4"/>
          <w:sz w:val="24"/>
        </w:rPr>
        <w:t> </w:t>
      </w:r>
      <w:r>
        <w:rPr>
          <w:sz w:val="24"/>
        </w:rPr>
        <w:t>individual</w:t>
      </w:r>
      <w:r>
        <w:rPr>
          <w:spacing w:val="-3"/>
          <w:sz w:val="24"/>
        </w:rPr>
        <w:t> </w:t>
      </w:r>
      <w:r>
        <w:rPr>
          <w:sz w:val="24"/>
        </w:rPr>
        <w:t>with</w:t>
      </w:r>
      <w:r>
        <w:rPr>
          <w:spacing w:val="-4"/>
          <w:sz w:val="24"/>
        </w:rPr>
        <w:t> </w:t>
      </w:r>
      <w:r>
        <w:rPr>
          <w:sz w:val="24"/>
        </w:rPr>
        <w:t>a</w:t>
      </w:r>
      <w:r>
        <w:rPr>
          <w:spacing w:val="-4"/>
          <w:sz w:val="24"/>
        </w:rPr>
        <w:t> </w:t>
      </w:r>
      <w:r>
        <w:rPr>
          <w:sz w:val="24"/>
        </w:rPr>
        <w:t>most</w:t>
      </w:r>
      <w:r>
        <w:rPr>
          <w:spacing w:val="-3"/>
          <w:sz w:val="24"/>
        </w:rPr>
        <w:t> </w:t>
      </w:r>
      <w:r>
        <w:rPr>
          <w:sz w:val="24"/>
        </w:rPr>
        <w:t>significant disability, including a youth with a most significant disability, in supported </w:t>
      </w:r>
      <w:r>
        <w:rPr>
          <w:spacing w:val="-2"/>
          <w:sz w:val="24"/>
        </w:rPr>
        <w:t>employment;</w:t>
      </w:r>
    </w:p>
    <w:p>
      <w:pPr>
        <w:pStyle w:val="ListParagraph"/>
        <w:numPr>
          <w:ilvl w:val="0"/>
          <w:numId w:val="67"/>
        </w:numPr>
        <w:tabs>
          <w:tab w:pos="1533" w:val="left" w:leader="none"/>
        </w:tabs>
        <w:spacing w:line="240" w:lineRule="auto" w:before="121" w:after="0"/>
        <w:ind w:left="1080" w:right="927" w:firstLine="0"/>
        <w:jc w:val="left"/>
        <w:rPr>
          <w:sz w:val="24"/>
        </w:rPr>
      </w:pPr>
      <w:r>
        <w:rPr>
          <w:sz w:val="24"/>
        </w:rPr>
        <w:t>Are</w:t>
      </w:r>
      <w:r>
        <w:rPr>
          <w:spacing w:val="-4"/>
          <w:sz w:val="24"/>
        </w:rPr>
        <w:t> </w:t>
      </w:r>
      <w:r>
        <w:rPr>
          <w:sz w:val="24"/>
        </w:rPr>
        <w:t>identified</w:t>
      </w:r>
      <w:r>
        <w:rPr>
          <w:spacing w:val="-4"/>
          <w:sz w:val="24"/>
        </w:rPr>
        <w:t> </w:t>
      </w:r>
      <w:r>
        <w:rPr>
          <w:sz w:val="24"/>
        </w:rPr>
        <w:t>based</w:t>
      </w:r>
      <w:r>
        <w:rPr>
          <w:spacing w:val="-4"/>
          <w:sz w:val="24"/>
        </w:rPr>
        <w:t> </w:t>
      </w:r>
      <w:r>
        <w:rPr>
          <w:sz w:val="24"/>
        </w:rPr>
        <w:t>on</w:t>
      </w:r>
      <w:r>
        <w:rPr>
          <w:spacing w:val="-4"/>
          <w:sz w:val="24"/>
        </w:rPr>
        <w:t> </w:t>
      </w:r>
      <w:r>
        <w:rPr>
          <w:sz w:val="24"/>
        </w:rPr>
        <w:t>a</w:t>
      </w:r>
      <w:r>
        <w:rPr>
          <w:spacing w:val="-4"/>
          <w:sz w:val="24"/>
        </w:rPr>
        <w:t> </w:t>
      </w:r>
      <w:r>
        <w:rPr>
          <w:sz w:val="24"/>
        </w:rPr>
        <w:t>determination</w:t>
      </w:r>
      <w:r>
        <w:rPr>
          <w:spacing w:val="-4"/>
          <w:sz w:val="24"/>
        </w:rPr>
        <w:t> </w:t>
      </w:r>
      <w:r>
        <w:rPr>
          <w:sz w:val="24"/>
        </w:rPr>
        <w:t>by</w:t>
      </w:r>
      <w:r>
        <w:rPr>
          <w:spacing w:val="-4"/>
          <w:sz w:val="24"/>
        </w:rPr>
        <w:t> </w:t>
      </w:r>
      <w:r>
        <w:rPr>
          <w:sz w:val="24"/>
        </w:rPr>
        <w:t>the</w:t>
      </w:r>
      <w:r>
        <w:rPr>
          <w:spacing w:val="-4"/>
          <w:sz w:val="24"/>
        </w:rPr>
        <w:t> </w:t>
      </w:r>
      <w:r>
        <w:rPr>
          <w:sz w:val="24"/>
        </w:rPr>
        <w:t>DRS</w:t>
      </w:r>
      <w:r>
        <w:rPr>
          <w:spacing w:val="-4"/>
          <w:sz w:val="24"/>
        </w:rPr>
        <w:t> </w:t>
      </w:r>
      <w:r>
        <w:rPr>
          <w:sz w:val="24"/>
        </w:rPr>
        <w:t>of</w:t>
      </w:r>
      <w:r>
        <w:rPr>
          <w:spacing w:val="-3"/>
          <w:sz w:val="24"/>
        </w:rPr>
        <w:t> </w:t>
      </w:r>
      <w:r>
        <w:rPr>
          <w:sz w:val="24"/>
        </w:rPr>
        <w:t>the</w:t>
      </w:r>
      <w:r>
        <w:rPr>
          <w:spacing w:val="-4"/>
          <w:sz w:val="24"/>
        </w:rPr>
        <w:t> </w:t>
      </w:r>
      <w:r>
        <w:rPr>
          <w:sz w:val="24"/>
        </w:rPr>
        <w:t>individual’s</w:t>
      </w:r>
      <w:r>
        <w:rPr>
          <w:spacing w:val="-4"/>
          <w:sz w:val="24"/>
        </w:rPr>
        <w:t> </w:t>
      </w:r>
      <w:r>
        <w:rPr>
          <w:sz w:val="24"/>
        </w:rPr>
        <w:t>need as specified in an individualized plan for employment;</w:t>
      </w:r>
    </w:p>
    <w:p>
      <w:pPr>
        <w:pStyle w:val="ListParagraph"/>
        <w:numPr>
          <w:ilvl w:val="0"/>
          <w:numId w:val="67"/>
        </w:numPr>
        <w:tabs>
          <w:tab w:pos="1546" w:val="left" w:leader="none"/>
        </w:tabs>
        <w:spacing w:line="240" w:lineRule="auto" w:before="120" w:after="0"/>
        <w:ind w:left="1080" w:right="804" w:firstLine="0"/>
        <w:jc w:val="left"/>
        <w:rPr>
          <w:sz w:val="24"/>
        </w:rPr>
      </w:pPr>
      <w:r>
        <w:rPr>
          <w:sz w:val="24"/>
        </w:rPr>
        <w:t>Are furnished by the DRS from the time of job placement until transition to extended services, unless post-employment services are provided following transition,</w:t>
      </w:r>
      <w:r>
        <w:rPr>
          <w:spacing w:val="-3"/>
          <w:sz w:val="24"/>
        </w:rPr>
        <w:t> </w:t>
      </w:r>
      <w:r>
        <w:rPr>
          <w:sz w:val="24"/>
        </w:rPr>
        <w:t>and</w:t>
      </w:r>
      <w:r>
        <w:rPr>
          <w:spacing w:val="-4"/>
          <w:sz w:val="24"/>
        </w:rPr>
        <w:t> </w:t>
      </w:r>
      <w:r>
        <w:rPr>
          <w:sz w:val="24"/>
        </w:rPr>
        <w:t>thereafter</w:t>
      </w:r>
      <w:r>
        <w:rPr>
          <w:spacing w:val="-3"/>
          <w:sz w:val="24"/>
        </w:rPr>
        <w:t> </w:t>
      </w:r>
      <w:r>
        <w:rPr>
          <w:sz w:val="24"/>
        </w:rPr>
        <w:t>by</w:t>
      </w:r>
      <w:r>
        <w:rPr>
          <w:spacing w:val="-4"/>
          <w:sz w:val="24"/>
        </w:rPr>
        <w:t> </w:t>
      </w:r>
      <w:r>
        <w:rPr>
          <w:sz w:val="24"/>
        </w:rPr>
        <w:t>one</w:t>
      </w:r>
      <w:r>
        <w:rPr>
          <w:spacing w:val="-5"/>
          <w:sz w:val="24"/>
        </w:rPr>
        <w:t> </w:t>
      </w:r>
      <w:r>
        <w:rPr>
          <w:sz w:val="24"/>
        </w:rPr>
        <w:t>or</w:t>
      </w:r>
      <w:r>
        <w:rPr>
          <w:spacing w:val="-3"/>
          <w:sz w:val="24"/>
        </w:rPr>
        <w:t> </w:t>
      </w:r>
      <w:r>
        <w:rPr>
          <w:sz w:val="24"/>
        </w:rPr>
        <w:t>more</w:t>
      </w:r>
      <w:r>
        <w:rPr>
          <w:spacing w:val="-4"/>
          <w:sz w:val="24"/>
        </w:rPr>
        <w:t> </w:t>
      </w:r>
      <w:r>
        <w:rPr>
          <w:sz w:val="24"/>
        </w:rPr>
        <w:t>extended</w:t>
      </w:r>
      <w:r>
        <w:rPr>
          <w:spacing w:val="-4"/>
          <w:sz w:val="24"/>
        </w:rPr>
        <w:t> </w:t>
      </w:r>
      <w:r>
        <w:rPr>
          <w:sz w:val="24"/>
        </w:rPr>
        <w:t>services</w:t>
      </w:r>
      <w:r>
        <w:rPr>
          <w:spacing w:val="-4"/>
          <w:sz w:val="24"/>
        </w:rPr>
        <w:t> </w:t>
      </w:r>
      <w:r>
        <w:rPr>
          <w:sz w:val="24"/>
        </w:rPr>
        <w:t>providers</w:t>
      </w:r>
      <w:r>
        <w:rPr>
          <w:spacing w:val="-4"/>
          <w:sz w:val="24"/>
        </w:rPr>
        <w:t> </w:t>
      </w:r>
      <w:r>
        <w:rPr>
          <w:sz w:val="24"/>
        </w:rPr>
        <w:t>throughout the individual's term of employment in a particular job placement;</w:t>
      </w:r>
    </w:p>
    <w:p>
      <w:pPr>
        <w:pStyle w:val="ListParagraph"/>
        <w:numPr>
          <w:ilvl w:val="0"/>
          <w:numId w:val="67"/>
        </w:numPr>
        <w:tabs>
          <w:tab w:pos="1545" w:val="left" w:leader="none"/>
        </w:tabs>
        <w:spacing w:line="240" w:lineRule="auto" w:before="120" w:after="0"/>
        <w:ind w:left="1080" w:right="1259" w:firstLine="0"/>
        <w:jc w:val="both"/>
        <w:rPr>
          <w:sz w:val="24"/>
        </w:rPr>
      </w:pPr>
      <w:r>
        <w:rPr>
          <w:sz w:val="24"/>
        </w:rPr>
        <w:t>Include an assessment of employment stability and provision of specific services</w:t>
      </w:r>
      <w:r>
        <w:rPr>
          <w:spacing w:val="-3"/>
          <w:sz w:val="24"/>
        </w:rPr>
        <w:t> </w:t>
      </w:r>
      <w:r>
        <w:rPr>
          <w:sz w:val="24"/>
        </w:rPr>
        <w:t>or</w:t>
      </w:r>
      <w:r>
        <w:rPr>
          <w:spacing w:val="-4"/>
          <w:sz w:val="24"/>
        </w:rPr>
        <w:t> </w:t>
      </w:r>
      <w:r>
        <w:rPr>
          <w:sz w:val="24"/>
        </w:rPr>
        <w:t>the</w:t>
      </w:r>
      <w:r>
        <w:rPr>
          <w:spacing w:val="-3"/>
          <w:sz w:val="24"/>
        </w:rPr>
        <w:t> </w:t>
      </w:r>
      <w:r>
        <w:rPr>
          <w:sz w:val="24"/>
        </w:rPr>
        <w:t>coordination</w:t>
      </w:r>
      <w:r>
        <w:rPr>
          <w:spacing w:val="-3"/>
          <w:sz w:val="24"/>
        </w:rPr>
        <w:t> </w:t>
      </w:r>
      <w:r>
        <w:rPr>
          <w:sz w:val="24"/>
        </w:rPr>
        <w:t>of</w:t>
      </w:r>
      <w:r>
        <w:rPr>
          <w:spacing w:val="-2"/>
          <w:sz w:val="24"/>
        </w:rPr>
        <w:t> </w:t>
      </w:r>
      <w:r>
        <w:rPr>
          <w:sz w:val="24"/>
        </w:rPr>
        <w:t>services</w:t>
      </w:r>
      <w:r>
        <w:rPr>
          <w:spacing w:val="-3"/>
          <w:sz w:val="24"/>
        </w:rPr>
        <w:t> </w:t>
      </w:r>
      <w:r>
        <w:rPr>
          <w:sz w:val="24"/>
        </w:rPr>
        <w:t>at</w:t>
      </w:r>
      <w:r>
        <w:rPr>
          <w:spacing w:val="-2"/>
          <w:sz w:val="24"/>
        </w:rPr>
        <w:t> </w:t>
      </w:r>
      <w:r>
        <w:rPr>
          <w:sz w:val="24"/>
        </w:rPr>
        <w:t>or</w:t>
      </w:r>
      <w:r>
        <w:rPr>
          <w:spacing w:val="-4"/>
          <w:sz w:val="24"/>
        </w:rPr>
        <w:t> </w:t>
      </w:r>
      <w:r>
        <w:rPr>
          <w:sz w:val="24"/>
        </w:rPr>
        <w:t>away</w:t>
      </w:r>
      <w:r>
        <w:rPr>
          <w:spacing w:val="-3"/>
          <w:sz w:val="24"/>
        </w:rPr>
        <w:t> </w:t>
      </w:r>
      <w:r>
        <w:rPr>
          <w:sz w:val="24"/>
        </w:rPr>
        <w:t>from</w:t>
      </w:r>
      <w:r>
        <w:rPr>
          <w:spacing w:val="-4"/>
          <w:sz w:val="24"/>
        </w:rPr>
        <w:t> </w:t>
      </w:r>
      <w:r>
        <w:rPr>
          <w:sz w:val="24"/>
        </w:rPr>
        <w:t>the</w:t>
      </w:r>
      <w:r>
        <w:rPr>
          <w:spacing w:val="-3"/>
          <w:sz w:val="24"/>
        </w:rPr>
        <w:t> </w:t>
      </w:r>
      <w:r>
        <w:rPr>
          <w:sz w:val="24"/>
        </w:rPr>
        <w:t>worksite</w:t>
      </w:r>
      <w:r>
        <w:rPr>
          <w:spacing w:val="-3"/>
          <w:sz w:val="24"/>
        </w:rPr>
        <w:t> </w:t>
      </w:r>
      <w:r>
        <w:rPr>
          <w:sz w:val="24"/>
        </w:rPr>
        <w:t>that</w:t>
      </w:r>
      <w:r>
        <w:rPr>
          <w:spacing w:val="-2"/>
          <w:sz w:val="24"/>
        </w:rPr>
        <w:t> </w:t>
      </w:r>
      <w:r>
        <w:rPr>
          <w:sz w:val="24"/>
        </w:rPr>
        <w:t>are needed to maintain stability based on:</w:t>
      </w:r>
    </w:p>
    <w:p>
      <w:pPr>
        <w:pStyle w:val="ListParagraph"/>
        <w:numPr>
          <w:ilvl w:val="1"/>
          <w:numId w:val="67"/>
        </w:numPr>
        <w:tabs>
          <w:tab w:pos="1966" w:val="left" w:leader="none"/>
        </w:tabs>
        <w:spacing w:line="240" w:lineRule="auto" w:before="120" w:after="0"/>
        <w:ind w:left="1620" w:right="749" w:firstLine="0"/>
        <w:jc w:val="left"/>
        <w:rPr>
          <w:sz w:val="24"/>
        </w:rPr>
      </w:pPr>
      <w:r>
        <w:rPr>
          <w:sz w:val="24"/>
        </w:rPr>
        <w:t>A</w:t>
      </w:r>
      <w:r>
        <w:rPr>
          <w:spacing w:val="-6"/>
          <w:sz w:val="24"/>
        </w:rPr>
        <w:t> </w:t>
      </w:r>
      <w:r>
        <w:rPr>
          <w:sz w:val="24"/>
        </w:rPr>
        <w:t>minimum</w:t>
      </w:r>
      <w:r>
        <w:rPr>
          <w:spacing w:val="-3"/>
          <w:sz w:val="24"/>
        </w:rPr>
        <w:t> </w:t>
      </w:r>
      <w:r>
        <w:rPr>
          <w:sz w:val="24"/>
        </w:rPr>
        <w:t>of</w:t>
      </w:r>
      <w:r>
        <w:rPr>
          <w:spacing w:val="-5"/>
          <w:sz w:val="24"/>
        </w:rPr>
        <w:t> </w:t>
      </w:r>
      <w:r>
        <w:rPr>
          <w:sz w:val="24"/>
        </w:rPr>
        <w:t>twice-monthly</w:t>
      </w:r>
      <w:r>
        <w:rPr>
          <w:spacing w:val="-4"/>
          <w:sz w:val="24"/>
        </w:rPr>
        <w:t> </w:t>
      </w:r>
      <w:r>
        <w:rPr>
          <w:sz w:val="24"/>
        </w:rPr>
        <w:t>monitoring</w:t>
      </w:r>
      <w:r>
        <w:rPr>
          <w:spacing w:val="-4"/>
          <w:sz w:val="24"/>
        </w:rPr>
        <w:t> </w:t>
      </w:r>
      <w:r>
        <w:rPr>
          <w:sz w:val="24"/>
        </w:rPr>
        <w:t>at</w:t>
      </w:r>
      <w:r>
        <w:rPr>
          <w:spacing w:val="-3"/>
          <w:sz w:val="24"/>
        </w:rPr>
        <w:t> </w:t>
      </w:r>
      <w:r>
        <w:rPr>
          <w:sz w:val="24"/>
        </w:rPr>
        <w:t>the</w:t>
      </w:r>
      <w:r>
        <w:rPr>
          <w:spacing w:val="-4"/>
          <w:sz w:val="24"/>
        </w:rPr>
        <w:t> </w:t>
      </w:r>
      <w:r>
        <w:rPr>
          <w:sz w:val="24"/>
        </w:rPr>
        <w:t>worksite</w:t>
      </w:r>
      <w:r>
        <w:rPr>
          <w:spacing w:val="-4"/>
          <w:sz w:val="24"/>
        </w:rPr>
        <w:t> </w:t>
      </w:r>
      <w:r>
        <w:rPr>
          <w:sz w:val="24"/>
        </w:rPr>
        <w:t>of</w:t>
      </w:r>
      <w:r>
        <w:rPr>
          <w:spacing w:val="-3"/>
          <w:sz w:val="24"/>
        </w:rPr>
        <w:t> </w:t>
      </w:r>
      <w:r>
        <w:rPr>
          <w:sz w:val="24"/>
        </w:rPr>
        <w:t>each</w:t>
      </w:r>
      <w:r>
        <w:rPr>
          <w:spacing w:val="-4"/>
          <w:sz w:val="24"/>
        </w:rPr>
        <w:t> </w:t>
      </w:r>
      <w:r>
        <w:rPr>
          <w:sz w:val="24"/>
        </w:rPr>
        <w:t>individual in supported employment; or</w:t>
      </w:r>
    </w:p>
    <w:p>
      <w:pPr>
        <w:pStyle w:val="ListParagraph"/>
        <w:numPr>
          <w:ilvl w:val="1"/>
          <w:numId w:val="67"/>
        </w:numPr>
        <w:tabs>
          <w:tab w:pos="2018" w:val="left" w:leader="none"/>
        </w:tabs>
        <w:spacing w:line="240" w:lineRule="auto" w:before="120" w:after="0"/>
        <w:ind w:left="1620" w:right="1492" w:firstLine="0"/>
        <w:jc w:val="left"/>
        <w:rPr>
          <w:sz w:val="24"/>
        </w:rPr>
      </w:pPr>
      <w:r>
        <w:rPr>
          <w:sz w:val="24"/>
        </w:rPr>
        <w:t>If under specific circumstances, especially at the request of the individual,</w:t>
      </w:r>
      <w:r>
        <w:rPr>
          <w:spacing w:val="-5"/>
          <w:sz w:val="24"/>
        </w:rPr>
        <w:t> </w:t>
      </w:r>
      <w:r>
        <w:rPr>
          <w:sz w:val="24"/>
        </w:rPr>
        <w:t>the</w:t>
      </w:r>
      <w:r>
        <w:rPr>
          <w:spacing w:val="-6"/>
          <w:sz w:val="24"/>
        </w:rPr>
        <w:t> </w:t>
      </w:r>
      <w:r>
        <w:rPr>
          <w:sz w:val="24"/>
        </w:rPr>
        <w:t>individualized</w:t>
      </w:r>
      <w:r>
        <w:rPr>
          <w:spacing w:val="-6"/>
          <w:sz w:val="24"/>
        </w:rPr>
        <w:t> </w:t>
      </w:r>
      <w:r>
        <w:rPr>
          <w:sz w:val="24"/>
        </w:rPr>
        <w:t>plan</w:t>
      </w:r>
      <w:r>
        <w:rPr>
          <w:spacing w:val="-5"/>
          <w:sz w:val="24"/>
        </w:rPr>
        <w:t> </w:t>
      </w:r>
      <w:r>
        <w:rPr>
          <w:sz w:val="24"/>
        </w:rPr>
        <w:t>for</w:t>
      </w:r>
      <w:r>
        <w:rPr>
          <w:spacing w:val="-5"/>
          <w:sz w:val="24"/>
        </w:rPr>
        <w:t> </w:t>
      </w:r>
      <w:r>
        <w:rPr>
          <w:sz w:val="24"/>
        </w:rPr>
        <w:t>employment</w:t>
      </w:r>
      <w:r>
        <w:rPr>
          <w:spacing w:val="-5"/>
          <w:sz w:val="24"/>
        </w:rPr>
        <w:t> </w:t>
      </w:r>
      <w:r>
        <w:rPr>
          <w:sz w:val="24"/>
        </w:rPr>
        <w:t>provides</w:t>
      </w:r>
      <w:r>
        <w:rPr>
          <w:spacing w:val="-6"/>
          <w:sz w:val="24"/>
        </w:rPr>
        <w:t> </w:t>
      </w:r>
      <w:r>
        <w:rPr>
          <w:sz w:val="24"/>
        </w:rPr>
        <w:t>for</w:t>
      </w:r>
      <w:r>
        <w:rPr>
          <w:spacing w:val="-5"/>
          <w:sz w:val="24"/>
        </w:rPr>
        <w:t> </w:t>
      </w:r>
      <w:r>
        <w:rPr>
          <w:sz w:val="24"/>
        </w:rPr>
        <w:t>off-site monitoring, twice monthly meetings with the individual;</w:t>
      </w:r>
    </w:p>
    <w:p>
      <w:pPr>
        <w:pStyle w:val="ListParagraph"/>
        <w:numPr>
          <w:ilvl w:val="0"/>
          <w:numId w:val="67"/>
        </w:numPr>
        <w:tabs>
          <w:tab w:pos="1533" w:val="left" w:leader="none"/>
        </w:tabs>
        <w:spacing w:line="240" w:lineRule="auto" w:before="120" w:after="0"/>
        <w:ind w:left="1533" w:right="0" w:hanging="453"/>
        <w:jc w:val="left"/>
        <w:rPr>
          <w:sz w:val="24"/>
        </w:rPr>
      </w:pPr>
      <w:r>
        <w:rPr>
          <w:sz w:val="24"/>
        </w:rPr>
        <w:t>Consist</w:t>
      </w:r>
      <w:r>
        <w:rPr>
          <w:spacing w:val="-5"/>
          <w:sz w:val="24"/>
        </w:rPr>
        <w:t> of:</w:t>
      </w:r>
    </w:p>
    <w:p>
      <w:pPr>
        <w:pStyle w:val="ListParagraph"/>
        <w:numPr>
          <w:ilvl w:val="1"/>
          <w:numId w:val="67"/>
        </w:numPr>
        <w:tabs>
          <w:tab w:pos="1966" w:val="left" w:leader="none"/>
        </w:tabs>
        <w:spacing w:line="240" w:lineRule="auto" w:before="120" w:after="0"/>
        <w:ind w:left="1620" w:right="879" w:firstLine="0"/>
        <w:jc w:val="left"/>
        <w:rPr>
          <w:sz w:val="24"/>
        </w:rPr>
      </w:pPr>
      <w:r>
        <w:rPr>
          <w:sz w:val="24"/>
        </w:rPr>
        <w:t>Any particularized assessment supplementary to the comprehensive assessment</w:t>
      </w:r>
      <w:r>
        <w:rPr>
          <w:spacing w:val="-4"/>
          <w:sz w:val="24"/>
        </w:rPr>
        <w:t> </w:t>
      </w:r>
      <w:r>
        <w:rPr>
          <w:sz w:val="24"/>
        </w:rPr>
        <w:t>of</w:t>
      </w:r>
      <w:r>
        <w:rPr>
          <w:spacing w:val="-6"/>
          <w:sz w:val="24"/>
        </w:rPr>
        <w:t> </w:t>
      </w:r>
      <w:r>
        <w:rPr>
          <w:sz w:val="24"/>
        </w:rPr>
        <w:t>rehabilitation</w:t>
      </w:r>
      <w:r>
        <w:rPr>
          <w:spacing w:val="-5"/>
          <w:sz w:val="24"/>
        </w:rPr>
        <w:t> </w:t>
      </w:r>
      <w:r>
        <w:rPr>
          <w:sz w:val="24"/>
        </w:rPr>
        <w:t>needs</w:t>
      </w:r>
      <w:r>
        <w:rPr>
          <w:spacing w:val="-5"/>
          <w:sz w:val="24"/>
        </w:rPr>
        <w:t> </w:t>
      </w:r>
      <w:r>
        <w:rPr>
          <w:sz w:val="24"/>
        </w:rPr>
        <w:t>described</w:t>
      </w:r>
      <w:r>
        <w:rPr>
          <w:spacing w:val="-4"/>
          <w:sz w:val="24"/>
        </w:rPr>
        <w:t> </w:t>
      </w:r>
      <w:r>
        <w:rPr>
          <w:sz w:val="24"/>
        </w:rPr>
        <w:t>at</w:t>
      </w:r>
      <w:r>
        <w:rPr>
          <w:spacing w:val="-4"/>
          <w:sz w:val="24"/>
        </w:rPr>
        <w:t> </w:t>
      </w:r>
      <w:r>
        <w:rPr>
          <w:sz w:val="24"/>
        </w:rPr>
        <w:t>34</w:t>
      </w:r>
      <w:r>
        <w:rPr>
          <w:spacing w:val="-5"/>
          <w:sz w:val="24"/>
        </w:rPr>
        <w:t> </w:t>
      </w:r>
      <w:r>
        <w:rPr>
          <w:sz w:val="24"/>
        </w:rPr>
        <w:t>C.F.R.</w:t>
      </w:r>
      <w:r>
        <w:rPr>
          <w:spacing w:val="-4"/>
          <w:sz w:val="24"/>
        </w:rPr>
        <w:t> </w:t>
      </w:r>
      <w:r>
        <w:rPr>
          <w:sz w:val="24"/>
        </w:rPr>
        <w:t>§</w:t>
      </w:r>
      <w:r>
        <w:rPr>
          <w:spacing w:val="-5"/>
          <w:sz w:val="24"/>
        </w:rPr>
        <w:t> </w:t>
      </w:r>
      <w:r>
        <w:rPr>
          <w:sz w:val="24"/>
        </w:rPr>
        <w:t>361.5(c)(5)(ii);</w:t>
      </w:r>
    </w:p>
    <w:p>
      <w:pPr>
        <w:pStyle w:val="ListParagraph"/>
        <w:numPr>
          <w:ilvl w:val="1"/>
          <w:numId w:val="67"/>
        </w:numPr>
        <w:tabs>
          <w:tab w:pos="2018" w:val="left" w:leader="none"/>
        </w:tabs>
        <w:spacing w:line="240" w:lineRule="auto" w:before="120" w:after="0"/>
        <w:ind w:left="1620" w:right="1108" w:firstLine="0"/>
        <w:jc w:val="left"/>
        <w:rPr>
          <w:sz w:val="24"/>
        </w:rPr>
      </w:pPr>
      <w:r>
        <w:rPr>
          <w:sz w:val="24"/>
        </w:rPr>
        <w:t>The</w:t>
      </w:r>
      <w:r>
        <w:rPr>
          <w:spacing w:val="-4"/>
          <w:sz w:val="24"/>
        </w:rPr>
        <w:t> </w:t>
      </w:r>
      <w:r>
        <w:rPr>
          <w:sz w:val="24"/>
        </w:rPr>
        <w:t>provision</w:t>
      </w:r>
      <w:r>
        <w:rPr>
          <w:spacing w:val="-4"/>
          <w:sz w:val="24"/>
        </w:rPr>
        <w:t> </w:t>
      </w:r>
      <w:r>
        <w:rPr>
          <w:sz w:val="24"/>
        </w:rPr>
        <w:t>of</w:t>
      </w:r>
      <w:r>
        <w:rPr>
          <w:spacing w:val="-3"/>
          <w:sz w:val="24"/>
        </w:rPr>
        <w:t> </w:t>
      </w:r>
      <w:r>
        <w:rPr>
          <w:sz w:val="24"/>
        </w:rPr>
        <w:t>skilled</w:t>
      </w:r>
      <w:r>
        <w:rPr>
          <w:spacing w:val="-4"/>
          <w:sz w:val="24"/>
        </w:rPr>
        <w:t> </w:t>
      </w:r>
      <w:r>
        <w:rPr>
          <w:sz w:val="24"/>
        </w:rPr>
        <w:t>job</w:t>
      </w:r>
      <w:r>
        <w:rPr>
          <w:spacing w:val="-4"/>
          <w:sz w:val="24"/>
        </w:rPr>
        <w:t> </w:t>
      </w:r>
      <w:r>
        <w:rPr>
          <w:sz w:val="24"/>
        </w:rPr>
        <w:t>trainers</w:t>
      </w:r>
      <w:r>
        <w:rPr>
          <w:spacing w:val="-4"/>
          <w:sz w:val="24"/>
        </w:rPr>
        <w:t> </w:t>
      </w:r>
      <w:r>
        <w:rPr>
          <w:sz w:val="24"/>
        </w:rPr>
        <w:t>who</w:t>
      </w:r>
      <w:r>
        <w:rPr>
          <w:spacing w:val="-4"/>
          <w:sz w:val="24"/>
        </w:rPr>
        <w:t> </w:t>
      </w:r>
      <w:r>
        <w:rPr>
          <w:sz w:val="24"/>
        </w:rPr>
        <w:t>accompany</w:t>
      </w:r>
      <w:r>
        <w:rPr>
          <w:spacing w:val="-4"/>
          <w:sz w:val="24"/>
        </w:rPr>
        <w:t> </w:t>
      </w:r>
      <w:r>
        <w:rPr>
          <w:sz w:val="24"/>
        </w:rPr>
        <w:t>the</w:t>
      </w:r>
      <w:r>
        <w:rPr>
          <w:spacing w:val="-4"/>
          <w:sz w:val="24"/>
        </w:rPr>
        <w:t> </w:t>
      </w:r>
      <w:r>
        <w:rPr>
          <w:sz w:val="24"/>
        </w:rPr>
        <w:t>individual</w:t>
      </w:r>
      <w:r>
        <w:rPr>
          <w:spacing w:val="-4"/>
          <w:sz w:val="24"/>
        </w:rPr>
        <w:t> </w:t>
      </w:r>
      <w:r>
        <w:rPr>
          <w:sz w:val="24"/>
        </w:rPr>
        <w:t>for intensive job skill training at the worksite;</w:t>
      </w:r>
    </w:p>
    <w:p>
      <w:pPr>
        <w:pStyle w:val="ListParagraph"/>
        <w:numPr>
          <w:ilvl w:val="1"/>
          <w:numId w:val="67"/>
        </w:numPr>
        <w:tabs>
          <w:tab w:pos="2071" w:val="left" w:leader="none"/>
        </w:tabs>
        <w:spacing w:line="240" w:lineRule="auto" w:before="120" w:after="0"/>
        <w:ind w:left="2071" w:right="0" w:hanging="451"/>
        <w:jc w:val="left"/>
        <w:rPr>
          <w:sz w:val="24"/>
        </w:rPr>
      </w:pPr>
      <w:r>
        <w:rPr>
          <w:sz w:val="24"/>
        </w:rPr>
        <w:t>Job</w:t>
      </w:r>
      <w:r>
        <w:rPr>
          <w:spacing w:val="-4"/>
          <w:sz w:val="24"/>
        </w:rPr>
        <w:t> </w:t>
      </w:r>
      <w:r>
        <w:rPr>
          <w:sz w:val="24"/>
        </w:rPr>
        <w:t>development</w:t>
      </w:r>
      <w:r>
        <w:rPr>
          <w:spacing w:val="-3"/>
          <w:sz w:val="24"/>
        </w:rPr>
        <w:t> </w:t>
      </w:r>
      <w:r>
        <w:rPr>
          <w:sz w:val="24"/>
        </w:rPr>
        <w:t>and</w:t>
      </w:r>
      <w:r>
        <w:rPr>
          <w:spacing w:val="-3"/>
          <w:sz w:val="24"/>
        </w:rPr>
        <w:t> </w:t>
      </w:r>
      <w:r>
        <w:rPr>
          <w:spacing w:val="-2"/>
          <w:sz w:val="24"/>
        </w:rPr>
        <w:t>training;</w:t>
      </w:r>
    </w:p>
    <w:p>
      <w:pPr>
        <w:pStyle w:val="ListParagraph"/>
        <w:numPr>
          <w:ilvl w:val="1"/>
          <w:numId w:val="67"/>
        </w:numPr>
        <w:tabs>
          <w:tab w:pos="2086" w:val="left" w:leader="none"/>
        </w:tabs>
        <w:spacing w:line="240" w:lineRule="auto" w:before="120" w:after="0"/>
        <w:ind w:left="2086" w:right="0" w:hanging="466"/>
        <w:jc w:val="left"/>
        <w:rPr>
          <w:sz w:val="24"/>
        </w:rPr>
      </w:pPr>
      <w:r>
        <w:rPr>
          <w:sz w:val="24"/>
        </w:rPr>
        <w:t>Social</w:t>
      </w:r>
      <w:r>
        <w:rPr>
          <w:spacing w:val="-4"/>
          <w:sz w:val="24"/>
        </w:rPr>
        <w:t> </w:t>
      </w:r>
      <w:r>
        <w:rPr>
          <w:sz w:val="24"/>
        </w:rPr>
        <w:t>skills</w:t>
      </w:r>
      <w:r>
        <w:rPr>
          <w:spacing w:val="-3"/>
          <w:sz w:val="24"/>
        </w:rPr>
        <w:t> </w:t>
      </w:r>
      <w:r>
        <w:rPr>
          <w:spacing w:val="-2"/>
          <w:sz w:val="24"/>
        </w:rPr>
        <w:t>training;</w:t>
      </w:r>
    </w:p>
    <w:p>
      <w:pPr>
        <w:pStyle w:val="ListParagraph"/>
        <w:numPr>
          <w:ilvl w:val="1"/>
          <w:numId w:val="67"/>
        </w:numPr>
        <w:tabs>
          <w:tab w:pos="2033" w:val="left" w:leader="none"/>
        </w:tabs>
        <w:spacing w:line="240" w:lineRule="auto" w:before="119" w:after="0"/>
        <w:ind w:left="2033" w:right="0" w:hanging="413"/>
        <w:jc w:val="left"/>
        <w:rPr>
          <w:sz w:val="24"/>
        </w:rPr>
      </w:pPr>
      <w:r>
        <w:rPr>
          <w:sz w:val="24"/>
        </w:rPr>
        <w:t>Regular</w:t>
      </w:r>
      <w:r>
        <w:rPr>
          <w:spacing w:val="-3"/>
          <w:sz w:val="24"/>
        </w:rPr>
        <w:t> </w:t>
      </w:r>
      <w:r>
        <w:rPr>
          <w:sz w:val="24"/>
        </w:rPr>
        <w:t>observation</w:t>
      </w:r>
      <w:r>
        <w:rPr>
          <w:spacing w:val="-3"/>
          <w:sz w:val="24"/>
        </w:rPr>
        <w:t> </w:t>
      </w:r>
      <w:r>
        <w:rPr>
          <w:sz w:val="24"/>
        </w:rPr>
        <w:t>or</w:t>
      </w:r>
      <w:r>
        <w:rPr>
          <w:spacing w:val="-3"/>
          <w:sz w:val="24"/>
        </w:rPr>
        <w:t> </w:t>
      </w:r>
      <w:r>
        <w:rPr>
          <w:sz w:val="24"/>
        </w:rPr>
        <w:t>supervision</w:t>
      </w:r>
      <w:r>
        <w:rPr>
          <w:spacing w:val="-3"/>
          <w:sz w:val="24"/>
        </w:rPr>
        <w:t> </w:t>
      </w:r>
      <w:r>
        <w:rPr>
          <w:sz w:val="24"/>
        </w:rPr>
        <w:t>of</w:t>
      </w:r>
      <w:r>
        <w:rPr>
          <w:spacing w:val="-2"/>
          <w:sz w:val="24"/>
        </w:rPr>
        <w:t> </w:t>
      </w:r>
      <w:r>
        <w:rPr>
          <w:sz w:val="24"/>
        </w:rPr>
        <w:t>the</w:t>
      </w:r>
      <w:r>
        <w:rPr>
          <w:spacing w:val="-3"/>
          <w:sz w:val="24"/>
        </w:rPr>
        <w:t> </w:t>
      </w:r>
      <w:r>
        <w:rPr>
          <w:spacing w:val="-2"/>
          <w:sz w:val="24"/>
        </w:rPr>
        <w:t>individual;</w:t>
      </w:r>
    </w:p>
    <w:p>
      <w:pPr>
        <w:pStyle w:val="ListParagraph"/>
        <w:numPr>
          <w:ilvl w:val="1"/>
          <w:numId w:val="67"/>
        </w:numPr>
        <w:tabs>
          <w:tab w:pos="2086" w:val="left" w:leader="none"/>
        </w:tabs>
        <w:spacing w:line="240" w:lineRule="auto" w:before="120" w:after="0"/>
        <w:ind w:left="1620" w:right="729" w:firstLine="0"/>
        <w:jc w:val="left"/>
        <w:rPr>
          <w:sz w:val="24"/>
        </w:rPr>
      </w:pPr>
      <w:r>
        <w:rPr>
          <w:sz w:val="24"/>
        </w:rPr>
        <w:t>Follow-up services including regular contact with the employers, the individuals, the parents, family members, guardians, advocates or authorized</w:t>
      </w:r>
      <w:r>
        <w:rPr>
          <w:spacing w:val="-4"/>
          <w:sz w:val="24"/>
        </w:rPr>
        <w:t> </w:t>
      </w:r>
      <w:r>
        <w:rPr>
          <w:sz w:val="24"/>
        </w:rPr>
        <w:t>representatives</w:t>
      </w:r>
      <w:r>
        <w:rPr>
          <w:spacing w:val="-5"/>
          <w:sz w:val="24"/>
        </w:rPr>
        <w:t> </w:t>
      </w:r>
      <w:r>
        <w:rPr>
          <w:sz w:val="24"/>
        </w:rPr>
        <w:t>of</w:t>
      </w:r>
      <w:r>
        <w:rPr>
          <w:spacing w:val="-4"/>
          <w:sz w:val="24"/>
        </w:rPr>
        <w:t> </w:t>
      </w:r>
      <w:r>
        <w:rPr>
          <w:sz w:val="24"/>
        </w:rPr>
        <w:t>the</w:t>
      </w:r>
      <w:r>
        <w:rPr>
          <w:spacing w:val="-5"/>
          <w:sz w:val="24"/>
        </w:rPr>
        <w:t> </w:t>
      </w:r>
      <w:r>
        <w:rPr>
          <w:sz w:val="24"/>
        </w:rPr>
        <w:t>individuals,</w:t>
      </w:r>
      <w:r>
        <w:rPr>
          <w:spacing w:val="-3"/>
          <w:sz w:val="24"/>
        </w:rPr>
        <w:t> </w:t>
      </w:r>
      <w:r>
        <w:rPr>
          <w:sz w:val="24"/>
        </w:rPr>
        <w:t>and</w:t>
      </w:r>
      <w:r>
        <w:rPr>
          <w:spacing w:val="-5"/>
          <w:sz w:val="24"/>
        </w:rPr>
        <w:t> </w:t>
      </w:r>
      <w:r>
        <w:rPr>
          <w:sz w:val="24"/>
        </w:rPr>
        <w:t>other</w:t>
      </w:r>
      <w:r>
        <w:rPr>
          <w:spacing w:val="-4"/>
          <w:sz w:val="24"/>
        </w:rPr>
        <w:t> </w:t>
      </w:r>
      <w:r>
        <w:rPr>
          <w:sz w:val="24"/>
        </w:rPr>
        <w:t>suitable</w:t>
      </w:r>
      <w:r>
        <w:rPr>
          <w:spacing w:val="-5"/>
          <w:sz w:val="24"/>
        </w:rPr>
        <w:t> </w:t>
      </w:r>
      <w:r>
        <w:rPr>
          <w:sz w:val="24"/>
        </w:rPr>
        <w:t>professional and informed advisors, in order to reinforce and stabilize the job placement;</w:t>
      </w:r>
    </w:p>
    <w:p>
      <w:pPr>
        <w:pStyle w:val="ListParagraph"/>
        <w:spacing w:after="0" w:line="240" w:lineRule="auto"/>
        <w:jc w:val="left"/>
        <w:rPr>
          <w:sz w:val="24"/>
        </w:rPr>
        <w:sectPr>
          <w:pgSz w:w="12240" w:h="15840"/>
          <w:pgMar w:top="1340" w:bottom="280" w:left="1080" w:right="720"/>
        </w:sectPr>
      </w:pPr>
    </w:p>
    <w:p>
      <w:pPr>
        <w:pStyle w:val="ListParagraph"/>
        <w:numPr>
          <w:ilvl w:val="1"/>
          <w:numId w:val="67"/>
        </w:numPr>
        <w:tabs>
          <w:tab w:pos="2138" w:val="left" w:leader="none"/>
        </w:tabs>
        <w:spacing w:line="240" w:lineRule="auto" w:before="80" w:after="0"/>
        <w:ind w:left="2138" w:right="0" w:hanging="518"/>
        <w:jc w:val="left"/>
        <w:rPr>
          <w:sz w:val="24"/>
        </w:rPr>
      </w:pPr>
      <w:r>
        <w:rPr>
          <w:sz w:val="24"/>
        </w:rPr>
        <w:t>Facilitation</w:t>
      </w:r>
      <w:r>
        <w:rPr>
          <w:spacing w:val="-3"/>
          <w:sz w:val="24"/>
        </w:rPr>
        <w:t> </w:t>
      </w:r>
      <w:r>
        <w:rPr>
          <w:sz w:val="24"/>
        </w:rPr>
        <w:t>of</w:t>
      </w:r>
      <w:r>
        <w:rPr>
          <w:spacing w:val="-3"/>
          <w:sz w:val="24"/>
        </w:rPr>
        <w:t> </w:t>
      </w:r>
      <w:r>
        <w:rPr>
          <w:sz w:val="24"/>
        </w:rPr>
        <w:t>natural</w:t>
      </w:r>
      <w:r>
        <w:rPr>
          <w:spacing w:val="-3"/>
          <w:sz w:val="24"/>
        </w:rPr>
        <w:t> </w:t>
      </w:r>
      <w:r>
        <w:rPr>
          <w:sz w:val="24"/>
        </w:rPr>
        <w:t>supports</w:t>
      </w:r>
      <w:r>
        <w:rPr>
          <w:spacing w:val="-3"/>
          <w:sz w:val="24"/>
        </w:rPr>
        <w:t> </w:t>
      </w:r>
      <w:r>
        <w:rPr>
          <w:sz w:val="24"/>
        </w:rPr>
        <w:t>at</w:t>
      </w:r>
      <w:r>
        <w:rPr>
          <w:spacing w:val="-3"/>
          <w:sz w:val="24"/>
        </w:rPr>
        <w:t> </w:t>
      </w:r>
      <w:r>
        <w:rPr>
          <w:sz w:val="24"/>
        </w:rPr>
        <w:t>the</w:t>
      </w:r>
      <w:r>
        <w:rPr>
          <w:spacing w:val="-3"/>
          <w:sz w:val="24"/>
        </w:rPr>
        <w:t> </w:t>
      </w:r>
      <w:r>
        <w:rPr>
          <w:spacing w:val="-2"/>
          <w:sz w:val="24"/>
        </w:rPr>
        <w:t>worksite;</w:t>
      </w:r>
    </w:p>
    <w:p>
      <w:pPr>
        <w:pStyle w:val="ListParagraph"/>
        <w:numPr>
          <w:ilvl w:val="1"/>
          <w:numId w:val="67"/>
        </w:numPr>
        <w:tabs>
          <w:tab w:pos="2191" w:val="left" w:leader="none"/>
        </w:tabs>
        <w:spacing w:line="240" w:lineRule="auto" w:before="120" w:after="0"/>
        <w:ind w:left="1620" w:right="1161" w:firstLine="0"/>
        <w:jc w:val="left"/>
        <w:rPr>
          <w:sz w:val="24"/>
        </w:rPr>
      </w:pPr>
      <w:r>
        <w:rPr>
          <w:sz w:val="24"/>
        </w:rPr>
        <w:t>Any</w:t>
      </w:r>
      <w:r>
        <w:rPr>
          <w:spacing w:val="-5"/>
          <w:sz w:val="24"/>
        </w:rPr>
        <w:t> </w:t>
      </w:r>
      <w:r>
        <w:rPr>
          <w:sz w:val="24"/>
        </w:rPr>
        <w:t>other</w:t>
      </w:r>
      <w:r>
        <w:rPr>
          <w:spacing w:val="-4"/>
          <w:sz w:val="24"/>
        </w:rPr>
        <w:t> </w:t>
      </w:r>
      <w:r>
        <w:rPr>
          <w:sz w:val="24"/>
        </w:rPr>
        <w:t>service</w:t>
      </w:r>
      <w:r>
        <w:rPr>
          <w:spacing w:val="-5"/>
          <w:sz w:val="24"/>
        </w:rPr>
        <w:t> </w:t>
      </w:r>
      <w:r>
        <w:rPr>
          <w:sz w:val="24"/>
        </w:rPr>
        <w:t>identified</w:t>
      </w:r>
      <w:r>
        <w:rPr>
          <w:spacing w:val="-4"/>
          <w:sz w:val="24"/>
        </w:rPr>
        <w:t> </w:t>
      </w:r>
      <w:r>
        <w:rPr>
          <w:sz w:val="24"/>
        </w:rPr>
        <w:t>in</w:t>
      </w:r>
      <w:r>
        <w:rPr>
          <w:spacing w:val="-5"/>
          <w:sz w:val="24"/>
        </w:rPr>
        <w:t> </w:t>
      </w:r>
      <w:r>
        <w:rPr>
          <w:sz w:val="24"/>
        </w:rPr>
        <w:t>the</w:t>
      </w:r>
      <w:r>
        <w:rPr>
          <w:spacing w:val="-5"/>
          <w:sz w:val="24"/>
        </w:rPr>
        <w:t> </w:t>
      </w:r>
      <w:r>
        <w:rPr>
          <w:sz w:val="24"/>
        </w:rPr>
        <w:t>scope</w:t>
      </w:r>
      <w:r>
        <w:rPr>
          <w:spacing w:val="-5"/>
          <w:sz w:val="24"/>
        </w:rPr>
        <w:t> </w:t>
      </w:r>
      <w:r>
        <w:rPr>
          <w:sz w:val="24"/>
        </w:rPr>
        <w:t>of</w:t>
      </w:r>
      <w:r>
        <w:rPr>
          <w:spacing w:val="-4"/>
          <w:sz w:val="24"/>
        </w:rPr>
        <w:t> </w:t>
      </w:r>
      <w:r>
        <w:rPr>
          <w:sz w:val="24"/>
        </w:rPr>
        <w:t>vocational</w:t>
      </w:r>
      <w:r>
        <w:rPr>
          <w:spacing w:val="-5"/>
          <w:sz w:val="24"/>
        </w:rPr>
        <w:t> </w:t>
      </w:r>
      <w:r>
        <w:rPr>
          <w:sz w:val="24"/>
        </w:rPr>
        <w:t>rehabilitation services for individuals, described in § 361.48(b); or</w:t>
      </w:r>
    </w:p>
    <w:p>
      <w:pPr>
        <w:pStyle w:val="ListParagraph"/>
        <w:numPr>
          <w:ilvl w:val="1"/>
          <w:numId w:val="67"/>
        </w:numPr>
        <w:tabs>
          <w:tab w:pos="2086" w:val="left" w:leader="none"/>
        </w:tabs>
        <w:spacing w:line="240" w:lineRule="auto" w:before="120" w:after="0"/>
        <w:ind w:left="2086" w:right="0" w:hanging="466"/>
        <w:jc w:val="left"/>
        <w:rPr>
          <w:sz w:val="24"/>
        </w:rPr>
      </w:pPr>
      <w:r>
        <w:rPr>
          <w:sz w:val="24"/>
        </w:rPr>
        <w:t>Any</w:t>
      </w:r>
      <w:r>
        <w:rPr>
          <w:spacing w:val="-3"/>
          <w:sz w:val="24"/>
        </w:rPr>
        <w:t> </w:t>
      </w:r>
      <w:r>
        <w:rPr>
          <w:sz w:val="24"/>
        </w:rPr>
        <w:t>service</w:t>
      </w:r>
      <w:r>
        <w:rPr>
          <w:spacing w:val="-3"/>
          <w:sz w:val="24"/>
        </w:rPr>
        <w:t> </w:t>
      </w:r>
      <w:r>
        <w:rPr>
          <w:sz w:val="24"/>
        </w:rPr>
        <w:t>similar</w:t>
      </w:r>
      <w:r>
        <w:rPr>
          <w:spacing w:val="-2"/>
          <w:sz w:val="24"/>
        </w:rPr>
        <w:t> </w:t>
      </w:r>
      <w:r>
        <w:rPr>
          <w:sz w:val="24"/>
        </w:rPr>
        <w:t>to</w:t>
      </w:r>
      <w:r>
        <w:rPr>
          <w:spacing w:val="-3"/>
          <w:sz w:val="24"/>
        </w:rPr>
        <w:t> </w:t>
      </w:r>
      <w:r>
        <w:rPr>
          <w:sz w:val="24"/>
        </w:rPr>
        <w:t>the</w:t>
      </w:r>
      <w:r>
        <w:rPr>
          <w:spacing w:val="-3"/>
          <w:sz w:val="24"/>
        </w:rPr>
        <w:t> </w:t>
      </w:r>
      <w:r>
        <w:rPr>
          <w:sz w:val="24"/>
        </w:rPr>
        <w:t>foregoing</w:t>
      </w:r>
      <w:r>
        <w:rPr>
          <w:spacing w:val="-2"/>
          <w:sz w:val="24"/>
        </w:rPr>
        <w:t> services.</w:t>
      </w:r>
    </w:p>
    <w:p>
      <w:pPr>
        <w:pStyle w:val="BodyText"/>
        <w:spacing w:line="208" w:lineRule="auto" w:before="236"/>
        <w:ind w:right="775" w:firstLine="432"/>
      </w:pPr>
      <w:r>
        <w:rPr>
          <w:b/>
        </w:rPr>
        <w:t>"Other Qualified Rehabilitation Personnel" </w:t>
      </w:r>
      <w:r>
        <w:rPr/>
        <w:t>means qualified rehabilitation personnel who, in addition to rehabilitation counselors, are necessary to facilitate the accomplishment</w:t>
      </w:r>
      <w:r>
        <w:rPr>
          <w:spacing w:val="-3"/>
        </w:rPr>
        <w:t> </w:t>
      </w:r>
      <w:r>
        <w:rPr/>
        <w:t>of</w:t>
      </w:r>
      <w:r>
        <w:rPr>
          <w:spacing w:val="-5"/>
        </w:rPr>
        <w:t> </w:t>
      </w:r>
      <w:r>
        <w:rPr/>
        <w:t>the</w:t>
      </w:r>
      <w:r>
        <w:rPr>
          <w:spacing w:val="-4"/>
        </w:rPr>
        <w:t> </w:t>
      </w:r>
      <w:r>
        <w:rPr/>
        <w:t>employment</w:t>
      </w:r>
      <w:r>
        <w:rPr>
          <w:spacing w:val="-3"/>
        </w:rPr>
        <w:t> </w:t>
      </w:r>
      <w:r>
        <w:rPr/>
        <w:t>outcomes</w:t>
      </w:r>
      <w:r>
        <w:rPr>
          <w:spacing w:val="-4"/>
        </w:rPr>
        <w:t> </w:t>
      </w:r>
      <w:r>
        <w:rPr/>
        <w:t>and</w:t>
      </w:r>
      <w:r>
        <w:rPr>
          <w:spacing w:val="-4"/>
        </w:rPr>
        <w:t> </w:t>
      </w:r>
      <w:r>
        <w:rPr/>
        <w:t>objectives</w:t>
      </w:r>
      <w:r>
        <w:rPr>
          <w:spacing w:val="-4"/>
        </w:rPr>
        <w:t> </w:t>
      </w:r>
      <w:r>
        <w:rPr/>
        <w:t>of</w:t>
      </w:r>
      <w:r>
        <w:rPr>
          <w:spacing w:val="-3"/>
        </w:rPr>
        <w:t> </w:t>
      </w:r>
      <w:r>
        <w:rPr/>
        <w:t>an</w:t>
      </w:r>
      <w:r>
        <w:rPr>
          <w:spacing w:val="-4"/>
        </w:rPr>
        <w:t> </w:t>
      </w:r>
      <w:r>
        <w:rPr/>
        <w:t>individual</w:t>
      </w:r>
      <w:r>
        <w:rPr>
          <w:spacing w:val="-4"/>
        </w:rPr>
        <w:t> </w:t>
      </w:r>
      <w:r>
        <w:rPr/>
        <w:t>(Section 100(a)(3)(E) of the Act.) Other qualified rehabilitation personnel include, but are not limited to, rehabilitation teachers of the blind who are certified at the national level.</w:t>
      </w:r>
    </w:p>
    <w:p>
      <w:pPr>
        <w:pStyle w:val="BodyText"/>
        <w:spacing w:line="208" w:lineRule="auto" w:before="239"/>
        <w:ind w:right="855" w:firstLine="432"/>
      </w:pPr>
      <w:r>
        <w:rPr>
          <w:b/>
        </w:rPr>
        <w:t>"Package of services" </w:t>
      </w:r>
      <w:r>
        <w:rPr/>
        <w:t>means several services which are usually provided together</w:t>
      </w:r>
      <w:r>
        <w:rPr>
          <w:spacing w:val="-2"/>
        </w:rPr>
        <w:t> </w:t>
      </w:r>
      <w:r>
        <w:rPr/>
        <w:t>for</w:t>
      </w:r>
      <w:r>
        <w:rPr>
          <w:spacing w:val="-4"/>
        </w:rPr>
        <w:t> </w:t>
      </w:r>
      <w:r>
        <w:rPr/>
        <w:t>the</w:t>
      </w:r>
      <w:r>
        <w:rPr>
          <w:spacing w:val="-3"/>
        </w:rPr>
        <w:t> </w:t>
      </w:r>
      <w:r>
        <w:rPr/>
        <w:t>same</w:t>
      </w:r>
      <w:r>
        <w:rPr>
          <w:spacing w:val="-4"/>
        </w:rPr>
        <w:t> </w:t>
      </w:r>
      <w:r>
        <w:rPr/>
        <w:t>purpose.</w:t>
      </w:r>
      <w:r>
        <w:rPr>
          <w:spacing w:val="-2"/>
        </w:rPr>
        <w:t> </w:t>
      </w:r>
      <w:r>
        <w:rPr/>
        <w:t>The</w:t>
      </w:r>
      <w:r>
        <w:rPr>
          <w:spacing w:val="-3"/>
        </w:rPr>
        <w:t> </w:t>
      </w:r>
      <w:r>
        <w:rPr/>
        <w:t>services</w:t>
      </w:r>
      <w:r>
        <w:rPr>
          <w:spacing w:val="-3"/>
        </w:rPr>
        <w:t> </w:t>
      </w:r>
      <w:r>
        <w:rPr/>
        <w:t>in</w:t>
      </w:r>
      <w:r>
        <w:rPr>
          <w:spacing w:val="-3"/>
        </w:rPr>
        <w:t> </w:t>
      </w:r>
      <w:r>
        <w:rPr/>
        <w:t>a</w:t>
      </w:r>
      <w:r>
        <w:rPr>
          <w:spacing w:val="-3"/>
        </w:rPr>
        <w:t> </w:t>
      </w:r>
      <w:r>
        <w:rPr/>
        <w:t>package</w:t>
      </w:r>
      <w:r>
        <w:rPr>
          <w:spacing w:val="-3"/>
        </w:rPr>
        <w:t> </w:t>
      </w:r>
      <w:r>
        <w:rPr/>
        <w:t>are</w:t>
      </w:r>
      <w:r>
        <w:rPr>
          <w:spacing w:val="-3"/>
        </w:rPr>
        <w:t> </w:t>
      </w:r>
      <w:r>
        <w:rPr/>
        <w:t>usually,</w:t>
      </w:r>
      <w:r>
        <w:rPr>
          <w:spacing w:val="-2"/>
        </w:rPr>
        <w:t> </w:t>
      </w:r>
      <w:r>
        <w:rPr/>
        <w:t>but</w:t>
      </w:r>
      <w:r>
        <w:rPr>
          <w:spacing w:val="-2"/>
        </w:rPr>
        <w:t> </w:t>
      </w:r>
      <w:r>
        <w:rPr/>
        <w:t>not</w:t>
      </w:r>
      <w:r>
        <w:rPr>
          <w:spacing w:val="-2"/>
        </w:rPr>
        <w:t> </w:t>
      </w:r>
      <w:r>
        <w:rPr/>
        <w:t>always, from the same category of services (see definition of multiple services, this section).</w:t>
      </w:r>
    </w:p>
    <w:p>
      <w:pPr>
        <w:pStyle w:val="BodyText"/>
        <w:spacing w:line="208" w:lineRule="auto" w:before="0"/>
        <w:ind w:right="775"/>
      </w:pPr>
      <w:r>
        <w:rPr/>
        <w:t>Examples</w:t>
      </w:r>
      <w:r>
        <w:rPr>
          <w:spacing w:val="-5"/>
        </w:rPr>
        <w:t> </w:t>
      </w:r>
      <w:r>
        <w:rPr/>
        <w:t>include,</w:t>
      </w:r>
      <w:r>
        <w:rPr>
          <w:spacing w:val="-4"/>
        </w:rPr>
        <w:t> </w:t>
      </w:r>
      <w:r>
        <w:rPr/>
        <w:t>but</w:t>
      </w:r>
      <w:r>
        <w:rPr>
          <w:spacing w:val="-4"/>
        </w:rPr>
        <w:t> </w:t>
      </w:r>
      <w:r>
        <w:rPr/>
        <w:t>are</w:t>
      </w:r>
      <w:r>
        <w:rPr>
          <w:spacing w:val="-5"/>
        </w:rPr>
        <w:t> </w:t>
      </w:r>
      <w:r>
        <w:rPr/>
        <w:t>not</w:t>
      </w:r>
      <w:r>
        <w:rPr>
          <w:spacing w:val="-4"/>
        </w:rPr>
        <w:t> </w:t>
      </w:r>
      <w:r>
        <w:rPr/>
        <w:t>limited</w:t>
      </w:r>
      <w:r>
        <w:rPr>
          <w:spacing w:val="-5"/>
        </w:rPr>
        <w:t> </w:t>
      </w:r>
      <w:r>
        <w:rPr/>
        <w:t>to:</w:t>
      </w:r>
      <w:r>
        <w:rPr>
          <w:spacing w:val="-4"/>
        </w:rPr>
        <w:t> </w:t>
      </w:r>
      <w:r>
        <w:rPr/>
        <w:t>surgery,</w:t>
      </w:r>
      <w:r>
        <w:rPr>
          <w:spacing w:val="-4"/>
        </w:rPr>
        <w:t> </w:t>
      </w:r>
      <w:r>
        <w:rPr/>
        <w:t>anesthesia,</w:t>
      </w:r>
      <w:r>
        <w:rPr>
          <w:spacing w:val="-4"/>
        </w:rPr>
        <w:t> </w:t>
      </w:r>
      <w:r>
        <w:rPr/>
        <w:t>and</w:t>
      </w:r>
      <w:r>
        <w:rPr>
          <w:spacing w:val="-5"/>
        </w:rPr>
        <w:t> </w:t>
      </w:r>
      <w:r>
        <w:rPr/>
        <w:t>hospitalization;</w:t>
      </w:r>
      <w:r>
        <w:rPr>
          <w:spacing w:val="-4"/>
        </w:rPr>
        <w:t> </w:t>
      </w:r>
      <w:r>
        <w:rPr/>
        <w:t>or personal computer, software, and peripheral equipment.</w:t>
      </w:r>
    </w:p>
    <w:p>
      <w:pPr>
        <w:pStyle w:val="BodyText"/>
        <w:spacing w:line="208" w:lineRule="auto"/>
        <w:ind w:right="787" w:firstLine="432"/>
      </w:pPr>
      <w:r>
        <w:rPr>
          <w:b/>
        </w:rPr>
        <w:t>"Personal assistance services" </w:t>
      </w:r>
      <w:r>
        <w:rPr/>
        <w:t>means a range of services including, among other things, training in managing, supervising, and directing personal assistance services, provided by one or more persons, that are designed to assist an individual with</w:t>
      </w:r>
      <w:r>
        <w:rPr>
          <w:spacing w:val="-3"/>
        </w:rPr>
        <w:t> </w:t>
      </w:r>
      <w:r>
        <w:rPr/>
        <w:t>a</w:t>
      </w:r>
      <w:r>
        <w:rPr>
          <w:spacing w:val="-3"/>
        </w:rPr>
        <w:t> </w:t>
      </w:r>
      <w:r>
        <w:rPr/>
        <w:t>disability</w:t>
      </w:r>
      <w:r>
        <w:rPr>
          <w:spacing w:val="-3"/>
        </w:rPr>
        <w:t> </w:t>
      </w:r>
      <w:r>
        <w:rPr/>
        <w:t>to</w:t>
      </w:r>
      <w:r>
        <w:rPr>
          <w:spacing w:val="-3"/>
        </w:rPr>
        <w:t> </w:t>
      </w:r>
      <w:r>
        <w:rPr/>
        <w:t>perform</w:t>
      </w:r>
      <w:r>
        <w:rPr>
          <w:spacing w:val="-2"/>
        </w:rPr>
        <w:t> </w:t>
      </w:r>
      <w:r>
        <w:rPr/>
        <w:t>daily</w:t>
      </w:r>
      <w:r>
        <w:rPr>
          <w:spacing w:val="-3"/>
        </w:rPr>
        <w:t> </w:t>
      </w:r>
      <w:r>
        <w:rPr/>
        <w:t>living</w:t>
      </w:r>
      <w:r>
        <w:rPr>
          <w:spacing w:val="-3"/>
        </w:rPr>
        <w:t> </w:t>
      </w:r>
      <w:r>
        <w:rPr/>
        <w:t>activities</w:t>
      </w:r>
      <w:r>
        <w:rPr>
          <w:spacing w:val="-3"/>
        </w:rPr>
        <w:t> </w:t>
      </w:r>
      <w:r>
        <w:rPr/>
        <w:t>on</w:t>
      </w:r>
      <w:r>
        <w:rPr>
          <w:spacing w:val="-3"/>
        </w:rPr>
        <w:t> </w:t>
      </w:r>
      <w:r>
        <w:rPr/>
        <w:t>or</w:t>
      </w:r>
      <w:r>
        <w:rPr>
          <w:spacing w:val="-2"/>
        </w:rPr>
        <w:t> </w:t>
      </w:r>
      <w:r>
        <w:rPr/>
        <w:t>off</w:t>
      </w:r>
      <w:r>
        <w:rPr>
          <w:spacing w:val="-4"/>
        </w:rPr>
        <w:t> </w:t>
      </w:r>
      <w:r>
        <w:rPr/>
        <w:t>the</w:t>
      </w:r>
      <w:r>
        <w:rPr>
          <w:spacing w:val="-3"/>
        </w:rPr>
        <w:t> </w:t>
      </w:r>
      <w:r>
        <w:rPr/>
        <w:t>job</w:t>
      </w:r>
      <w:r>
        <w:rPr>
          <w:spacing w:val="-3"/>
        </w:rPr>
        <w:t> </w:t>
      </w:r>
      <w:r>
        <w:rPr/>
        <w:t>that</w:t>
      </w:r>
      <w:r>
        <w:rPr>
          <w:spacing w:val="-2"/>
        </w:rPr>
        <w:t> </w:t>
      </w:r>
      <w:r>
        <w:rPr/>
        <w:t>the</w:t>
      </w:r>
      <w:r>
        <w:rPr>
          <w:spacing w:val="-3"/>
        </w:rPr>
        <w:t> </w:t>
      </w:r>
      <w:r>
        <w:rPr/>
        <w:t>individual</w:t>
      </w:r>
      <w:r>
        <w:rPr>
          <w:spacing w:val="-3"/>
        </w:rPr>
        <w:t> </w:t>
      </w:r>
      <w:r>
        <w:rPr/>
        <w:t>would typically perform without assistance if the individual did not have a disability. The services are also designed to increase the individual's control in life and ability to perform everyday activities on or off the job; necessary to the achievement of an employment outcome; and provided only while the individual is receiving other vocational rehabilitation services.</w:t>
      </w:r>
    </w:p>
    <w:p>
      <w:pPr>
        <w:pStyle w:val="BodyText"/>
        <w:spacing w:line="208" w:lineRule="auto" w:before="239"/>
        <w:ind w:right="775" w:firstLine="432"/>
      </w:pPr>
      <w:r>
        <w:rPr>
          <w:b/>
        </w:rPr>
        <w:t>"Physical and mental restoration services" </w:t>
      </w:r>
      <w:r>
        <w:rPr/>
        <w:t>means corrective surgery or therapeutic treatment that is likely, within a reasonable period of time, to correct or modify</w:t>
      </w:r>
      <w:r>
        <w:rPr>
          <w:spacing w:val="-4"/>
        </w:rPr>
        <w:t> </w:t>
      </w:r>
      <w:r>
        <w:rPr/>
        <w:t>substantially</w:t>
      </w:r>
      <w:r>
        <w:rPr>
          <w:spacing w:val="-4"/>
        </w:rPr>
        <w:t> </w:t>
      </w:r>
      <w:r>
        <w:rPr/>
        <w:t>a</w:t>
      </w:r>
      <w:r>
        <w:rPr>
          <w:spacing w:val="-4"/>
        </w:rPr>
        <w:t> </w:t>
      </w:r>
      <w:r>
        <w:rPr/>
        <w:t>stable</w:t>
      </w:r>
      <w:r>
        <w:rPr>
          <w:spacing w:val="-4"/>
        </w:rPr>
        <w:t> </w:t>
      </w:r>
      <w:r>
        <w:rPr/>
        <w:t>or</w:t>
      </w:r>
      <w:r>
        <w:rPr>
          <w:spacing w:val="-3"/>
        </w:rPr>
        <w:t> </w:t>
      </w:r>
      <w:r>
        <w:rPr/>
        <w:t>slowly</w:t>
      </w:r>
      <w:r>
        <w:rPr>
          <w:spacing w:val="-4"/>
        </w:rPr>
        <w:t> </w:t>
      </w:r>
      <w:r>
        <w:rPr/>
        <w:t>progressive</w:t>
      </w:r>
      <w:r>
        <w:rPr>
          <w:spacing w:val="-4"/>
        </w:rPr>
        <w:t> </w:t>
      </w:r>
      <w:r>
        <w:rPr/>
        <w:t>physical</w:t>
      </w:r>
      <w:r>
        <w:rPr>
          <w:spacing w:val="-4"/>
        </w:rPr>
        <w:t> </w:t>
      </w:r>
      <w:r>
        <w:rPr/>
        <w:t>or</w:t>
      </w:r>
      <w:r>
        <w:rPr>
          <w:spacing w:val="-3"/>
        </w:rPr>
        <w:t> </w:t>
      </w:r>
      <w:r>
        <w:rPr/>
        <w:t>mental</w:t>
      </w:r>
      <w:r>
        <w:rPr>
          <w:spacing w:val="-4"/>
        </w:rPr>
        <w:t> </w:t>
      </w:r>
      <w:r>
        <w:rPr/>
        <w:t>impairment</w:t>
      </w:r>
      <w:r>
        <w:rPr>
          <w:spacing w:val="-3"/>
        </w:rPr>
        <w:t> </w:t>
      </w:r>
      <w:r>
        <w:rPr/>
        <w:t>that constitutes a substantial impediment to employment.</w:t>
      </w:r>
    </w:p>
    <w:p>
      <w:pPr>
        <w:pStyle w:val="BodyText"/>
        <w:spacing w:line="208" w:lineRule="auto"/>
        <w:ind w:right="775" w:firstLine="432"/>
      </w:pPr>
      <w:r>
        <w:rPr>
          <w:b/>
        </w:rPr>
        <w:t>"Physical</w:t>
      </w:r>
      <w:r>
        <w:rPr>
          <w:b/>
          <w:spacing w:val="-4"/>
        </w:rPr>
        <w:t> </w:t>
      </w:r>
      <w:r>
        <w:rPr>
          <w:b/>
        </w:rPr>
        <w:t>or</w:t>
      </w:r>
      <w:r>
        <w:rPr>
          <w:b/>
          <w:spacing w:val="-5"/>
        </w:rPr>
        <w:t> </w:t>
      </w:r>
      <w:r>
        <w:rPr>
          <w:b/>
        </w:rPr>
        <w:t>mental</w:t>
      </w:r>
      <w:r>
        <w:rPr>
          <w:b/>
          <w:spacing w:val="-6"/>
        </w:rPr>
        <w:t> </w:t>
      </w:r>
      <w:r>
        <w:rPr>
          <w:b/>
        </w:rPr>
        <w:t>impairment"</w:t>
      </w:r>
      <w:r>
        <w:rPr>
          <w:b/>
          <w:spacing w:val="-5"/>
        </w:rPr>
        <w:t> </w:t>
      </w:r>
      <w:r>
        <w:rPr/>
        <w:t>means</w:t>
      </w:r>
      <w:r>
        <w:rPr>
          <w:spacing w:val="-5"/>
        </w:rPr>
        <w:t> </w:t>
      </w:r>
      <w:r>
        <w:rPr/>
        <w:t>any</w:t>
      </w:r>
      <w:r>
        <w:rPr>
          <w:spacing w:val="-5"/>
        </w:rPr>
        <w:t> </w:t>
      </w:r>
      <w:r>
        <w:rPr/>
        <w:t>physiological</w:t>
      </w:r>
      <w:r>
        <w:rPr>
          <w:spacing w:val="-5"/>
        </w:rPr>
        <w:t> </w:t>
      </w:r>
      <w:r>
        <w:rPr/>
        <w:t>disorder</w:t>
      </w:r>
      <w:r>
        <w:rPr>
          <w:spacing w:val="-4"/>
        </w:rPr>
        <w:t> </w:t>
      </w:r>
      <w:r>
        <w:rPr/>
        <w:t>or</w:t>
      </w:r>
      <w:r>
        <w:rPr>
          <w:spacing w:val="-4"/>
        </w:rPr>
        <w:t> </w:t>
      </w:r>
      <w:r>
        <w:rPr/>
        <w:t>condition, cosmetic</w:t>
      </w:r>
      <w:r>
        <w:rPr>
          <w:spacing w:val="-2"/>
        </w:rPr>
        <w:t> </w:t>
      </w:r>
      <w:r>
        <w:rPr/>
        <w:t>disfigurement,</w:t>
      </w:r>
      <w:r>
        <w:rPr>
          <w:spacing w:val="-1"/>
        </w:rPr>
        <w:t> </w:t>
      </w:r>
      <w:r>
        <w:rPr/>
        <w:t>or</w:t>
      </w:r>
      <w:r>
        <w:rPr>
          <w:spacing w:val="-3"/>
        </w:rPr>
        <w:t> </w:t>
      </w:r>
      <w:r>
        <w:rPr/>
        <w:t>anatomical</w:t>
      </w:r>
      <w:r>
        <w:rPr>
          <w:spacing w:val="-2"/>
        </w:rPr>
        <w:t> </w:t>
      </w:r>
      <w:r>
        <w:rPr/>
        <w:t>loss</w:t>
      </w:r>
      <w:r>
        <w:rPr>
          <w:spacing w:val="-2"/>
        </w:rPr>
        <w:t> </w:t>
      </w:r>
      <w:r>
        <w:rPr/>
        <w:t>affecting</w:t>
      </w:r>
      <w:r>
        <w:rPr>
          <w:spacing w:val="-2"/>
        </w:rPr>
        <w:t> </w:t>
      </w:r>
      <w:r>
        <w:rPr/>
        <w:t>one</w:t>
      </w:r>
      <w:r>
        <w:rPr>
          <w:spacing w:val="-2"/>
        </w:rPr>
        <w:t> </w:t>
      </w:r>
      <w:r>
        <w:rPr/>
        <w:t>or</w:t>
      </w:r>
      <w:r>
        <w:rPr>
          <w:spacing w:val="-1"/>
        </w:rPr>
        <w:t> </w:t>
      </w:r>
      <w:r>
        <w:rPr/>
        <w:t>more</w:t>
      </w:r>
      <w:r>
        <w:rPr>
          <w:spacing w:val="-3"/>
        </w:rPr>
        <w:t> </w:t>
      </w:r>
      <w:r>
        <w:rPr/>
        <w:t>of</w:t>
      </w:r>
      <w:r>
        <w:rPr>
          <w:spacing w:val="-1"/>
        </w:rPr>
        <w:t> </w:t>
      </w:r>
      <w:r>
        <w:rPr/>
        <w:t>the</w:t>
      </w:r>
      <w:r>
        <w:rPr>
          <w:spacing w:val="-3"/>
        </w:rPr>
        <w:t> </w:t>
      </w:r>
      <w:r>
        <w:rPr/>
        <w:t>following</w:t>
      </w:r>
      <w:r>
        <w:rPr>
          <w:spacing w:val="-2"/>
        </w:rPr>
        <w:t> </w:t>
      </w:r>
      <w:r>
        <w:rPr/>
        <w:t>body systems: neurological, musculo-skeletal, special sense organs, respiratory (including speech organs), cardiovascular, reproductive, digestive, genitourinary, hemic and lymphatic, skin, and endocrine; or any mental or psychological disorder such as intellectual disability organic brain syndrome, emotional or mental illness, and specific learning disabilities.</w:t>
      </w:r>
    </w:p>
    <w:p>
      <w:pPr>
        <w:spacing w:before="243"/>
        <w:ind w:left="450" w:right="0" w:firstLine="0"/>
        <w:jc w:val="left"/>
        <w:rPr>
          <w:sz w:val="24"/>
        </w:rPr>
      </w:pPr>
      <w:r>
        <w:rPr>
          <w:b/>
          <w:sz w:val="24"/>
        </w:rPr>
        <w:t>"Post-employment</w:t>
      </w:r>
      <w:r>
        <w:rPr>
          <w:b/>
          <w:spacing w:val="-6"/>
          <w:sz w:val="24"/>
        </w:rPr>
        <w:t> </w:t>
      </w:r>
      <w:r>
        <w:rPr>
          <w:b/>
          <w:sz w:val="24"/>
        </w:rPr>
        <w:t>services"</w:t>
      </w:r>
      <w:r>
        <w:rPr>
          <w:b/>
          <w:spacing w:val="-4"/>
          <w:sz w:val="24"/>
        </w:rPr>
        <w:t> </w:t>
      </w:r>
      <w:r>
        <w:rPr>
          <w:sz w:val="24"/>
        </w:rPr>
        <w:t>means</w:t>
      </w:r>
      <w:r>
        <w:rPr>
          <w:spacing w:val="-5"/>
          <w:sz w:val="24"/>
        </w:rPr>
        <w:t> </w:t>
      </w:r>
      <w:r>
        <w:rPr>
          <w:sz w:val="24"/>
        </w:rPr>
        <w:t>Post-employment</w:t>
      </w:r>
      <w:r>
        <w:rPr>
          <w:spacing w:val="-3"/>
          <w:sz w:val="24"/>
        </w:rPr>
        <w:t> </w:t>
      </w:r>
      <w:r>
        <w:rPr>
          <w:sz w:val="24"/>
        </w:rPr>
        <w:t>services</w:t>
      </w:r>
      <w:r>
        <w:rPr>
          <w:spacing w:val="-5"/>
          <w:sz w:val="24"/>
        </w:rPr>
        <w:t> </w:t>
      </w:r>
      <w:r>
        <w:rPr>
          <w:sz w:val="24"/>
        </w:rPr>
        <w:t>are</w:t>
      </w:r>
      <w:r>
        <w:rPr>
          <w:spacing w:val="-5"/>
          <w:sz w:val="24"/>
        </w:rPr>
        <w:t> </w:t>
      </w:r>
      <w:r>
        <w:rPr>
          <w:sz w:val="24"/>
        </w:rPr>
        <w:t>defined</w:t>
      </w:r>
      <w:r>
        <w:rPr>
          <w:spacing w:val="-3"/>
          <w:sz w:val="24"/>
        </w:rPr>
        <w:t> </w:t>
      </w:r>
      <w:r>
        <w:rPr>
          <w:sz w:val="24"/>
        </w:rPr>
        <w:t>in</w:t>
      </w:r>
      <w:r>
        <w:rPr>
          <w:spacing w:val="-4"/>
          <w:sz w:val="24"/>
        </w:rPr>
        <w:t> </w:t>
      </w:r>
      <w:r>
        <w:rPr>
          <w:spacing w:val="-5"/>
          <w:sz w:val="24"/>
        </w:rPr>
        <w:t>34</w:t>
      </w:r>
    </w:p>
    <w:p>
      <w:pPr>
        <w:pStyle w:val="BodyText"/>
        <w:spacing w:before="0"/>
        <w:ind w:left="450" w:right="757"/>
      </w:pPr>
      <w:r>
        <w:rPr/>
        <w:t>C.F.R.</w:t>
      </w:r>
      <w:r>
        <w:rPr>
          <w:spacing w:val="-2"/>
        </w:rPr>
        <w:t> </w:t>
      </w:r>
      <w:r>
        <w:rPr/>
        <w:t>§</w:t>
      </w:r>
      <w:r>
        <w:rPr>
          <w:spacing w:val="-3"/>
        </w:rPr>
        <w:t> </w:t>
      </w:r>
      <w:r>
        <w:rPr/>
        <w:t>361.5(c)(41)</w:t>
      </w:r>
      <w:r>
        <w:rPr>
          <w:spacing w:val="-5"/>
        </w:rPr>
        <w:t> </w:t>
      </w:r>
      <w:r>
        <w:rPr/>
        <w:t>as</w:t>
      </w:r>
      <w:r>
        <w:rPr>
          <w:spacing w:val="-3"/>
        </w:rPr>
        <w:t> </w:t>
      </w:r>
      <w:r>
        <w:rPr/>
        <w:t>one</w:t>
      </w:r>
      <w:r>
        <w:rPr>
          <w:spacing w:val="-3"/>
        </w:rPr>
        <w:t> </w:t>
      </w:r>
      <w:r>
        <w:rPr/>
        <w:t>or</w:t>
      </w:r>
      <w:r>
        <w:rPr>
          <w:spacing w:val="-4"/>
        </w:rPr>
        <w:t> </w:t>
      </w:r>
      <w:r>
        <w:rPr/>
        <w:t>more</w:t>
      </w:r>
      <w:r>
        <w:rPr>
          <w:spacing w:val="-3"/>
        </w:rPr>
        <w:t> </w:t>
      </w:r>
      <w:r>
        <w:rPr/>
        <w:t>of</w:t>
      </w:r>
      <w:r>
        <w:rPr>
          <w:spacing w:val="-4"/>
        </w:rPr>
        <w:t> </w:t>
      </w:r>
      <w:r>
        <w:rPr/>
        <w:t>the</w:t>
      </w:r>
      <w:r>
        <w:rPr>
          <w:spacing w:val="-3"/>
        </w:rPr>
        <w:t> </w:t>
      </w:r>
      <w:r>
        <w:rPr/>
        <w:t>VR</w:t>
      </w:r>
      <w:r>
        <w:rPr>
          <w:spacing w:val="-3"/>
        </w:rPr>
        <w:t> </w:t>
      </w:r>
      <w:r>
        <w:rPr/>
        <w:t>services</w:t>
      </w:r>
      <w:r>
        <w:rPr>
          <w:spacing w:val="-3"/>
        </w:rPr>
        <w:t> </w:t>
      </w:r>
      <w:r>
        <w:rPr/>
        <w:t>identified</w:t>
      </w:r>
      <w:r>
        <w:rPr>
          <w:spacing w:val="-2"/>
        </w:rPr>
        <w:t> </w:t>
      </w:r>
      <w:r>
        <w:rPr/>
        <w:t>in</w:t>
      </w:r>
      <w:r>
        <w:rPr>
          <w:spacing w:val="-3"/>
        </w:rPr>
        <w:t> </w:t>
      </w:r>
      <w:r>
        <w:rPr/>
        <w:t>34</w:t>
      </w:r>
      <w:r>
        <w:rPr>
          <w:spacing w:val="-3"/>
        </w:rPr>
        <w:t> </w:t>
      </w:r>
      <w:r>
        <w:rPr/>
        <w:t>CFR</w:t>
      </w:r>
      <w:r>
        <w:rPr>
          <w:spacing w:val="-2"/>
        </w:rPr>
        <w:t> </w:t>
      </w:r>
      <w:r>
        <w:rPr/>
        <w:t>361.48(b) that are provided subsequent to the achievement of an employment outcome and that are necessary for an individual to maintain, regain, or advance in employment, consistent with the individual's unique strengths, resources, priorities, concerns, abilities, capabilities, interests, and informed choice. As described in the note following the regulatory definition of "post-employment services" at 34 C.F.R. § 361.5(c)(41), post-employment services are:</w:t>
      </w:r>
    </w:p>
    <w:p>
      <w:pPr>
        <w:pStyle w:val="ListParagraph"/>
        <w:numPr>
          <w:ilvl w:val="0"/>
          <w:numId w:val="68"/>
        </w:numPr>
        <w:tabs>
          <w:tab w:pos="1533" w:val="left" w:leader="none"/>
        </w:tabs>
        <w:spacing w:line="240" w:lineRule="auto" w:before="120" w:after="0"/>
        <w:ind w:left="1080" w:right="860" w:firstLine="0"/>
        <w:jc w:val="left"/>
        <w:rPr>
          <w:sz w:val="24"/>
        </w:rPr>
      </w:pPr>
      <w:r>
        <w:rPr>
          <w:sz w:val="24"/>
        </w:rPr>
        <w:t>Provided</w:t>
      </w:r>
      <w:r>
        <w:rPr>
          <w:spacing w:val="-5"/>
          <w:sz w:val="24"/>
        </w:rPr>
        <w:t> </w:t>
      </w:r>
      <w:r>
        <w:rPr>
          <w:sz w:val="24"/>
        </w:rPr>
        <w:t>under</w:t>
      </w:r>
      <w:r>
        <w:rPr>
          <w:spacing w:val="-4"/>
          <w:sz w:val="24"/>
        </w:rPr>
        <w:t> </w:t>
      </w:r>
      <w:r>
        <w:rPr>
          <w:sz w:val="24"/>
        </w:rPr>
        <w:t>an</w:t>
      </w:r>
      <w:r>
        <w:rPr>
          <w:spacing w:val="-5"/>
          <w:sz w:val="24"/>
        </w:rPr>
        <w:t> </w:t>
      </w:r>
      <w:r>
        <w:rPr>
          <w:sz w:val="24"/>
        </w:rPr>
        <w:t>amended</w:t>
      </w:r>
      <w:r>
        <w:rPr>
          <w:spacing w:val="-4"/>
          <w:sz w:val="24"/>
        </w:rPr>
        <w:t> </w:t>
      </w:r>
      <w:r>
        <w:rPr>
          <w:sz w:val="24"/>
        </w:rPr>
        <w:t>individualized</w:t>
      </w:r>
      <w:r>
        <w:rPr>
          <w:spacing w:val="-5"/>
          <w:sz w:val="24"/>
        </w:rPr>
        <w:t> </w:t>
      </w:r>
      <w:r>
        <w:rPr>
          <w:sz w:val="24"/>
        </w:rPr>
        <w:t>plan</w:t>
      </w:r>
      <w:r>
        <w:rPr>
          <w:spacing w:val="-5"/>
          <w:sz w:val="24"/>
        </w:rPr>
        <w:t> </w:t>
      </w:r>
      <w:r>
        <w:rPr>
          <w:sz w:val="24"/>
        </w:rPr>
        <w:t>for</w:t>
      </w:r>
      <w:r>
        <w:rPr>
          <w:spacing w:val="-4"/>
          <w:sz w:val="24"/>
        </w:rPr>
        <w:t> </w:t>
      </w:r>
      <w:r>
        <w:rPr>
          <w:sz w:val="24"/>
        </w:rPr>
        <w:t>employment</w:t>
      </w:r>
      <w:r>
        <w:rPr>
          <w:spacing w:val="-4"/>
          <w:sz w:val="24"/>
        </w:rPr>
        <w:t> </w:t>
      </w:r>
      <w:r>
        <w:rPr>
          <w:sz w:val="24"/>
        </w:rPr>
        <w:t>(IPE);</w:t>
      </w:r>
      <w:r>
        <w:rPr>
          <w:spacing w:val="-6"/>
          <w:sz w:val="24"/>
        </w:rPr>
        <w:t> </w:t>
      </w:r>
      <w:r>
        <w:rPr>
          <w:sz w:val="24"/>
        </w:rPr>
        <w:t>thus, a re-determination of eligibility is not required;</w:t>
      </w:r>
    </w:p>
    <w:p>
      <w:pPr>
        <w:pStyle w:val="ListParagraph"/>
        <w:spacing w:after="0" w:line="240" w:lineRule="auto"/>
        <w:jc w:val="left"/>
        <w:rPr>
          <w:sz w:val="24"/>
        </w:rPr>
        <w:sectPr>
          <w:pgSz w:w="12240" w:h="15840"/>
          <w:pgMar w:top="1360" w:bottom="280" w:left="1080" w:right="720"/>
        </w:sectPr>
      </w:pPr>
    </w:p>
    <w:p>
      <w:pPr>
        <w:pStyle w:val="ListParagraph"/>
        <w:numPr>
          <w:ilvl w:val="0"/>
          <w:numId w:val="68"/>
        </w:numPr>
        <w:tabs>
          <w:tab w:pos="1533" w:val="left" w:leader="none"/>
        </w:tabs>
        <w:spacing w:line="240" w:lineRule="auto" w:before="80" w:after="0"/>
        <w:ind w:left="1533" w:right="0" w:hanging="453"/>
        <w:jc w:val="left"/>
        <w:rPr>
          <w:sz w:val="24"/>
        </w:rPr>
      </w:pPr>
      <w:r>
        <w:rPr>
          <w:sz w:val="24"/>
        </w:rPr>
        <w:t>Limited</w:t>
      </w:r>
      <w:r>
        <w:rPr>
          <w:spacing w:val="-4"/>
          <w:sz w:val="24"/>
        </w:rPr>
        <w:t> </w:t>
      </w:r>
      <w:r>
        <w:rPr>
          <w:sz w:val="24"/>
        </w:rPr>
        <w:t>in</w:t>
      </w:r>
      <w:r>
        <w:rPr>
          <w:spacing w:val="-3"/>
          <w:sz w:val="24"/>
        </w:rPr>
        <w:t> </w:t>
      </w:r>
      <w:r>
        <w:rPr>
          <w:sz w:val="24"/>
        </w:rPr>
        <w:t>scope</w:t>
      </w:r>
      <w:r>
        <w:rPr>
          <w:spacing w:val="-3"/>
          <w:sz w:val="24"/>
        </w:rPr>
        <w:t> </w:t>
      </w:r>
      <w:r>
        <w:rPr>
          <w:sz w:val="24"/>
        </w:rPr>
        <w:t>and</w:t>
      </w:r>
      <w:r>
        <w:rPr>
          <w:spacing w:val="-3"/>
          <w:sz w:val="24"/>
        </w:rPr>
        <w:t> </w:t>
      </w:r>
      <w:r>
        <w:rPr>
          <w:sz w:val="24"/>
        </w:rPr>
        <w:t>duration;</w:t>
      </w:r>
      <w:r>
        <w:rPr>
          <w:spacing w:val="-1"/>
          <w:sz w:val="24"/>
        </w:rPr>
        <w:t> </w:t>
      </w:r>
      <w:r>
        <w:rPr>
          <w:spacing w:val="-5"/>
          <w:sz w:val="24"/>
        </w:rPr>
        <w:t>and</w:t>
      </w:r>
    </w:p>
    <w:p>
      <w:pPr>
        <w:pStyle w:val="ListParagraph"/>
        <w:numPr>
          <w:ilvl w:val="0"/>
          <w:numId w:val="68"/>
        </w:numPr>
        <w:tabs>
          <w:tab w:pos="1546" w:val="left" w:leader="none"/>
        </w:tabs>
        <w:spacing w:line="240" w:lineRule="auto" w:before="120" w:after="0"/>
        <w:ind w:left="1080" w:right="1260" w:firstLine="0"/>
        <w:jc w:val="left"/>
        <w:rPr>
          <w:sz w:val="24"/>
        </w:rPr>
      </w:pPr>
      <w:r>
        <w:rPr>
          <w:sz w:val="24"/>
        </w:rPr>
        <w:t>Available</w:t>
      </w:r>
      <w:r>
        <w:rPr>
          <w:spacing w:val="-4"/>
          <w:sz w:val="24"/>
        </w:rPr>
        <w:t> </w:t>
      </w:r>
      <w:r>
        <w:rPr>
          <w:sz w:val="24"/>
        </w:rPr>
        <w:t>to</w:t>
      </w:r>
      <w:r>
        <w:rPr>
          <w:spacing w:val="-4"/>
          <w:sz w:val="24"/>
        </w:rPr>
        <w:t> </w:t>
      </w:r>
      <w:r>
        <w:rPr>
          <w:sz w:val="24"/>
        </w:rPr>
        <w:t>meet</w:t>
      </w:r>
      <w:r>
        <w:rPr>
          <w:spacing w:val="-5"/>
          <w:sz w:val="24"/>
        </w:rPr>
        <w:t> </w:t>
      </w:r>
      <w:r>
        <w:rPr>
          <w:sz w:val="24"/>
        </w:rPr>
        <w:t>rehabilitation</w:t>
      </w:r>
      <w:r>
        <w:rPr>
          <w:spacing w:val="-4"/>
          <w:sz w:val="24"/>
        </w:rPr>
        <w:t> </w:t>
      </w:r>
      <w:r>
        <w:rPr>
          <w:sz w:val="24"/>
        </w:rPr>
        <w:t>needs</w:t>
      </w:r>
      <w:r>
        <w:rPr>
          <w:spacing w:val="-4"/>
          <w:sz w:val="24"/>
        </w:rPr>
        <w:t> </w:t>
      </w:r>
      <w:r>
        <w:rPr>
          <w:sz w:val="24"/>
        </w:rPr>
        <w:t>that</w:t>
      </w:r>
      <w:r>
        <w:rPr>
          <w:spacing w:val="-3"/>
          <w:sz w:val="24"/>
        </w:rPr>
        <w:t> </w:t>
      </w:r>
      <w:r>
        <w:rPr>
          <w:sz w:val="24"/>
        </w:rPr>
        <w:t>do</w:t>
      </w:r>
      <w:r>
        <w:rPr>
          <w:spacing w:val="-4"/>
          <w:sz w:val="24"/>
        </w:rPr>
        <w:t> </w:t>
      </w:r>
      <w:r>
        <w:rPr>
          <w:sz w:val="24"/>
        </w:rPr>
        <w:t>not</w:t>
      </w:r>
      <w:r>
        <w:rPr>
          <w:spacing w:val="-3"/>
          <w:sz w:val="24"/>
        </w:rPr>
        <w:t> </w:t>
      </w:r>
      <w:r>
        <w:rPr>
          <w:sz w:val="24"/>
        </w:rPr>
        <w:t>require</w:t>
      </w:r>
      <w:r>
        <w:rPr>
          <w:spacing w:val="-4"/>
          <w:sz w:val="24"/>
        </w:rPr>
        <w:t> </w:t>
      </w:r>
      <w:r>
        <w:rPr>
          <w:sz w:val="24"/>
        </w:rPr>
        <w:t>a</w:t>
      </w:r>
      <w:r>
        <w:rPr>
          <w:spacing w:val="-4"/>
          <w:sz w:val="24"/>
        </w:rPr>
        <w:t> </w:t>
      </w:r>
      <w:r>
        <w:rPr>
          <w:sz w:val="24"/>
        </w:rPr>
        <w:t>complex</w:t>
      </w:r>
      <w:r>
        <w:rPr>
          <w:spacing w:val="-4"/>
          <w:sz w:val="24"/>
        </w:rPr>
        <w:t> </w:t>
      </w:r>
      <w:r>
        <w:rPr>
          <w:sz w:val="24"/>
        </w:rPr>
        <w:t>and comprehensive provision of services.</w:t>
      </w:r>
    </w:p>
    <w:p>
      <w:pPr>
        <w:pStyle w:val="ListParagraph"/>
        <w:numPr>
          <w:ilvl w:val="0"/>
          <w:numId w:val="68"/>
        </w:numPr>
        <w:tabs>
          <w:tab w:pos="1545" w:val="left" w:leader="none"/>
        </w:tabs>
        <w:spacing w:line="259" w:lineRule="auto" w:before="120" w:after="0"/>
        <w:ind w:left="1079" w:right="967" w:firstLine="0"/>
        <w:jc w:val="left"/>
        <w:rPr>
          <w:sz w:val="24"/>
        </w:rPr>
      </w:pPr>
      <w:r>
        <w:rPr>
          <w:sz w:val="24"/>
        </w:rPr>
        <w:t>Thus, after the employment outcome has been achieved but before the individual</w:t>
      </w:r>
      <w:r>
        <w:rPr>
          <w:spacing w:val="-3"/>
          <w:sz w:val="24"/>
        </w:rPr>
        <w:t> </w:t>
      </w:r>
      <w:r>
        <w:rPr>
          <w:sz w:val="24"/>
        </w:rPr>
        <w:t>is</w:t>
      </w:r>
      <w:r>
        <w:rPr>
          <w:spacing w:val="-3"/>
          <w:sz w:val="24"/>
        </w:rPr>
        <w:t> </w:t>
      </w:r>
      <w:r>
        <w:rPr>
          <w:sz w:val="24"/>
        </w:rPr>
        <w:t>reported</w:t>
      </w:r>
      <w:r>
        <w:rPr>
          <w:spacing w:val="-4"/>
          <w:sz w:val="24"/>
        </w:rPr>
        <w:t> </w:t>
      </w:r>
      <w:r>
        <w:rPr>
          <w:sz w:val="24"/>
        </w:rPr>
        <w:t>as</w:t>
      </w:r>
      <w:r>
        <w:rPr>
          <w:spacing w:val="-3"/>
          <w:sz w:val="24"/>
        </w:rPr>
        <w:t> </w:t>
      </w:r>
      <w:r>
        <w:rPr>
          <w:sz w:val="24"/>
        </w:rPr>
        <w:t>having</w:t>
      </w:r>
      <w:r>
        <w:rPr>
          <w:spacing w:val="-3"/>
          <w:sz w:val="24"/>
        </w:rPr>
        <w:t> </w:t>
      </w:r>
      <w:r>
        <w:rPr>
          <w:sz w:val="24"/>
        </w:rPr>
        <w:t>exited</w:t>
      </w:r>
      <w:r>
        <w:rPr>
          <w:spacing w:val="-3"/>
          <w:sz w:val="24"/>
        </w:rPr>
        <w:t> </w:t>
      </w:r>
      <w:r>
        <w:rPr>
          <w:sz w:val="24"/>
        </w:rPr>
        <w:t>the</w:t>
      </w:r>
      <w:r>
        <w:rPr>
          <w:spacing w:val="-3"/>
          <w:sz w:val="24"/>
        </w:rPr>
        <w:t> </w:t>
      </w:r>
      <w:r>
        <w:rPr>
          <w:sz w:val="24"/>
        </w:rPr>
        <w:t>VR</w:t>
      </w:r>
      <w:r>
        <w:rPr>
          <w:spacing w:val="-3"/>
          <w:sz w:val="24"/>
        </w:rPr>
        <w:t> </w:t>
      </w:r>
      <w:r>
        <w:rPr>
          <w:sz w:val="24"/>
        </w:rPr>
        <w:t>program</w:t>
      </w:r>
      <w:r>
        <w:rPr>
          <w:spacing w:val="-4"/>
          <w:sz w:val="24"/>
        </w:rPr>
        <w:t> </w:t>
      </w:r>
      <w:r>
        <w:rPr>
          <w:sz w:val="24"/>
        </w:rPr>
        <w:t>is</w:t>
      </w:r>
      <w:r>
        <w:rPr>
          <w:spacing w:val="-3"/>
          <w:sz w:val="24"/>
        </w:rPr>
        <w:t> </w:t>
      </w:r>
      <w:r>
        <w:rPr>
          <w:sz w:val="24"/>
        </w:rPr>
        <w:t>the</w:t>
      </w:r>
      <w:r>
        <w:rPr>
          <w:spacing w:val="-3"/>
          <w:sz w:val="24"/>
        </w:rPr>
        <w:t> </w:t>
      </w:r>
      <w:r>
        <w:rPr>
          <w:sz w:val="24"/>
        </w:rPr>
        <w:t>period</w:t>
      </w:r>
      <w:r>
        <w:rPr>
          <w:spacing w:val="-3"/>
          <w:sz w:val="24"/>
        </w:rPr>
        <w:t> </w:t>
      </w:r>
      <w:r>
        <w:rPr>
          <w:sz w:val="24"/>
        </w:rPr>
        <w:t>of</w:t>
      </w:r>
      <w:r>
        <w:rPr>
          <w:spacing w:val="-2"/>
          <w:sz w:val="24"/>
        </w:rPr>
        <w:t> </w:t>
      </w:r>
      <w:r>
        <w:rPr>
          <w:sz w:val="24"/>
        </w:rPr>
        <w:t>time</w:t>
      </w:r>
      <w:r>
        <w:rPr>
          <w:spacing w:val="-4"/>
          <w:sz w:val="24"/>
        </w:rPr>
        <w:t> </w:t>
      </w:r>
      <w:r>
        <w:rPr>
          <w:sz w:val="24"/>
        </w:rPr>
        <w:t>that the individual is most likely to need discrete short-term services (i.e., post- employment services) to ensure that the employment outcome can be </w:t>
      </w:r>
      <w:r>
        <w:rPr>
          <w:spacing w:val="-2"/>
          <w:sz w:val="24"/>
        </w:rPr>
        <w:t>maintained.</w:t>
      </w:r>
    </w:p>
    <w:p>
      <w:pPr>
        <w:spacing w:line="208" w:lineRule="auto" w:before="154"/>
        <w:ind w:left="359" w:right="775" w:firstLine="432"/>
        <w:jc w:val="left"/>
        <w:rPr>
          <w:sz w:val="24"/>
        </w:rPr>
      </w:pPr>
      <w:r>
        <w:rPr>
          <w:b/>
          <w:sz w:val="24"/>
        </w:rPr>
        <w:t>"Pre-employment</w:t>
      </w:r>
      <w:r>
        <w:rPr>
          <w:b/>
          <w:spacing w:val="-5"/>
          <w:sz w:val="24"/>
        </w:rPr>
        <w:t> </w:t>
      </w:r>
      <w:r>
        <w:rPr>
          <w:b/>
          <w:sz w:val="24"/>
        </w:rPr>
        <w:t>transition</w:t>
      </w:r>
      <w:r>
        <w:rPr>
          <w:b/>
          <w:spacing w:val="-6"/>
          <w:sz w:val="24"/>
        </w:rPr>
        <w:t> </w:t>
      </w:r>
      <w:r>
        <w:rPr>
          <w:b/>
          <w:sz w:val="24"/>
        </w:rPr>
        <w:t>services"</w:t>
      </w:r>
      <w:r>
        <w:rPr>
          <w:b/>
          <w:spacing w:val="-6"/>
          <w:sz w:val="24"/>
        </w:rPr>
        <w:t> </w:t>
      </w:r>
      <w:r>
        <w:rPr>
          <w:sz w:val="24"/>
        </w:rPr>
        <w:t>means</w:t>
      </w:r>
      <w:r>
        <w:rPr>
          <w:spacing w:val="-6"/>
          <w:sz w:val="24"/>
        </w:rPr>
        <w:t> </w:t>
      </w:r>
      <w:r>
        <w:rPr>
          <w:sz w:val="24"/>
        </w:rPr>
        <w:t>the</w:t>
      </w:r>
      <w:r>
        <w:rPr>
          <w:spacing w:val="-6"/>
          <w:sz w:val="24"/>
        </w:rPr>
        <w:t> </w:t>
      </w:r>
      <w:r>
        <w:rPr>
          <w:sz w:val="24"/>
        </w:rPr>
        <w:t>required</w:t>
      </w:r>
      <w:r>
        <w:rPr>
          <w:spacing w:val="-6"/>
          <w:sz w:val="24"/>
        </w:rPr>
        <w:t> </w:t>
      </w:r>
      <w:r>
        <w:rPr>
          <w:sz w:val="24"/>
        </w:rPr>
        <w:t>activities</w:t>
      </w:r>
      <w:r>
        <w:rPr>
          <w:spacing w:val="-6"/>
          <w:sz w:val="24"/>
        </w:rPr>
        <w:t> </w:t>
      </w:r>
      <w:r>
        <w:rPr>
          <w:sz w:val="24"/>
        </w:rPr>
        <w:t>and authorized activities specified in 34 CFR 361.48(a)(2) and (3).</w:t>
      </w:r>
    </w:p>
    <w:p>
      <w:pPr>
        <w:pStyle w:val="BodyText"/>
        <w:spacing w:line="208" w:lineRule="auto"/>
        <w:ind w:left="359" w:right="718" w:firstLine="432"/>
      </w:pPr>
      <w:r>
        <w:rPr>
          <w:b/>
        </w:rPr>
        <w:t>"Prior</w:t>
      </w:r>
      <w:r>
        <w:rPr>
          <w:b/>
          <w:spacing w:val="-3"/>
        </w:rPr>
        <w:t> </w:t>
      </w:r>
      <w:r>
        <w:rPr>
          <w:b/>
        </w:rPr>
        <w:t>approval"</w:t>
      </w:r>
      <w:r>
        <w:rPr>
          <w:b/>
          <w:spacing w:val="-3"/>
        </w:rPr>
        <w:t> </w:t>
      </w:r>
      <w:r>
        <w:rPr/>
        <w:t>refers</w:t>
      </w:r>
      <w:r>
        <w:rPr>
          <w:spacing w:val="-3"/>
        </w:rPr>
        <w:t> </w:t>
      </w:r>
      <w:r>
        <w:rPr/>
        <w:t>to</w:t>
      </w:r>
      <w:r>
        <w:rPr>
          <w:spacing w:val="-4"/>
        </w:rPr>
        <w:t> </w:t>
      </w:r>
      <w:r>
        <w:rPr/>
        <w:t>the</w:t>
      </w:r>
      <w:r>
        <w:rPr>
          <w:spacing w:val="-3"/>
        </w:rPr>
        <w:t> </w:t>
      </w:r>
      <w:r>
        <w:rPr/>
        <w:t>receipt</w:t>
      </w:r>
      <w:r>
        <w:rPr>
          <w:spacing w:val="-2"/>
        </w:rPr>
        <w:t> </w:t>
      </w:r>
      <w:r>
        <w:rPr/>
        <w:t>of</w:t>
      </w:r>
      <w:r>
        <w:rPr>
          <w:spacing w:val="-2"/>
        </w:rPr>
        <w:t> </w:t>
      </w:r>
      <w:r>
        <w:rPr/>
        <w:t>approval</w:t>
      </w:r>
      <w:r>
        <w:rPr>
          <w:spacing w:val="-3"/>
        </w:rPr>
        <w:t> </w:t>
      </w:r>
      <w:r>
        <w:rPr/>
        <w:t>from</w:t>
      </w:r>
      <w:r>
        <w:rPr>
          <w:spacing w:val="-4"/>
        </w:rPr>
        <w:t> </w:t>
      </w:r>
      <w:r>
        <w:rPr/>
        <w:t>the</w:t>
      </w:r>
      <w:r>
        <w:rPr>
          <w:spacing w:val="-3"/>
        </w:rPr>
        <w:t> </w:t>
      </w:r>
      <w:r>
        <w:rPr/>
        <w:t>granting</w:t>
      </w:r>
      <w:r>
        <w:rPr>
          <w:spacing w:val="-3"/>
        </w:rPr>
        <w:t> </w:t>
      </w:r>
      <w:r>
        <w:rPr/>
        <w:t>authority</w:t>
      </w:r>
      <w:r>
        <w:rPr>
          <w:spacing w:val="-4"/>
        </w:rPr>
        <w:t> </w:t>
      </w:r>
      <w:r>
        <w:rPr/>
        <w:t>prior</w:t>
      </w:r>
      <w:r>
        <w:rPr>
          <w:spacing w:val="-2"/>
        </w:rPr>
        <w:t> </w:t>
      </w:r>
      <w:r>
        <w:rPr/>
        <w:t>to issuing the authorization for the purchase of goods and services.</w:t>
      </w:r>
    </w:p>
    <w:p>
      <w:pPr>
        <w:pStyle w:val="BodyText"/>
        <w:spacing w:line="208" w:lineRule="auto"/>
        <w:ind w:left="359" w:right="775" w:firstLine="432"/>
      </w:pPr>
      <w:r>
        <w:rPr>
          <w:b/>
        </w:rPr>
        <w:t>"Record</w:t>
      </w:r>
      <w:r>
        <w:rPr>
          <w:b/>
          <w:spacing w:val="-4"/>
        </w:rPr>
        <w:t> </w:t>
      </w:r>
      <w:r>
        <w:rPr>
          <w:b/>
        </w:rPr>
        <w:t>of</w:t>
      </w:r>
      <w:r>
        <w:rPr>
          <w:b/>
          <w:spacing w:val="-3"/>
        </w:rPr>
        <w:t> </w:t>
      </w:r>
      <w:r>
        <w:rPr>
          <w:b/>
        </w:rPr>
        <w:t>Service"</w:t>
      </w:r>
      <w:r>
        <w:rPr>
          <w:b/>
          <w:spacing w:val="-5"/>
        </w:rPr>
        <w:t> </w:t>
      </w:r>
      <w:r>
        <w:rPr/>
        <w:t>means</w:t>
      </w:r>
      <w:r>
        <w:rPr>
          <w:spacing w:val="-4"/>
        </w:rPr>
        <w:t> </w:t>
      </w:r>
      <w:r>
        <w:rPr/>
        <w:t>any</w:t>
      </w:r>
      <w:r>
        <w:rPr>
          <w:spacing w:val="-4"/>
        </w:rPr>
        <w:t> </w:t>
      </w:r>
      <w:r>
        <w:rPr/>
        <w:t>item,</w:t>
      </w:r>
      <w:r>
        <w:rPr>
          <w:spacing w:val="-3"/>
        </w:rPr>
        <w:t> </w:t>
      </w:r>
      <w:r>
        <w:rPr/>
        <w:t>collection,</w:t>
      </w:r>
      <w:r>
        <w:rPr>
          <w:spacing w:val="-3"/>
        </w:rPr>
        <w:t> </w:t>
      </w:r>
      <w:r>
        <w:rPr/>
        <w:t>or</w:t>
      </w:r>
      <w:r>
        <w:rPr>
          <w:spacing w:val="-3"/>
        </w:rPr>
        <w:t> </w:t>
      </w:r>
      <w:r>
        <w:rPr/>
        <w:t>grouping</w:t>
      </w:r>
      <w:r>
        <w:rPr>
          <w:spacing w:val="-4"/>
        </w:rPr>
        <w:t> </w:t>
      </w:r>
      <w:r>
        <w:rPr/>
        <w:t>of</w:t>
      </w:r>
      <w:r>
        <w:rPr>
          <w:spacing w:val="-3"/>
        </w:rPr>
        <w:t> </w:t>
      </w:r>
      <w:r>
        <w:rPr/>
        <w:t>information</w:t>
      </w:r>
      <w:r>
        <w:rPr>
          <w:spacing w:val="-5"/>
        </w:rPr>
        <w:t> </w:t>
      </w:r>
      <w:r>
        <w:rPr/>
        <w:t>about an individual that is maintained by an agency, including, but not limited to, the individual's education, financial transactions, medical history, and criminal or employment history and that contains his name, or the identifying number, symbol, or other identifying particular assigned to the individual.</w:t>
      </w:r>
    </w:p>
    <w:p>
      <w:pPr>
        <w:spacing w:before="210"/>
        <w:ind w:left="791" w:right="0" w:firstLine="0"/>
        <w:jc w:val="left"/>
        <w:rPr>
          <w:sz w:val="24"/>
        </w:rPr>
      </w:pPr>
      <w:r>
        <w:rPr>
          <w:b/>
          <w:sz w:val="24"/>
        </w:rPr>
        <w:t>"Rehabilitation</w:t>
      </w:r>
      <w:r>
        <w:rPr>
          <w:b/>
          <w:spacing w:val="-5"/>
          <w:sz w:val="24"/>
        </w:rPr>
        <w:t> </w:t>
      </w:r>
      <w:r>
        <w:rPr>
          <w:b/>
          <w:sz w:val="24"/>
        </w:rPr>
        <w:t>Act"</w:t>
      </w:r>
      <w:r>
        <w:rPr>
          <w:b/>
          <w:spacing w:val="-4"/>
          <w:sz w:val="24"/>
        </w:rPr>
        <w:t> </w:t>
      </w:r>
      <w:r>
        <w:rPr>
          <w:sz w:val="24"/>
        </w:rPr>
        <w:t>means</w:t>
      </w:r>
      <w:r>
        <w:rPr>
          <w:spacing w:val="-3"/>
          <w:sz w:val="24"/>
        </w:rPr>
        <w:t> </w:t>
      </w:r>
      <w:r>
        <w:rPr>
          <w:sz w:val="24"/>
        </w:rPr>
        <w:t>the</w:t>
      </w:r>
      <w:r>
        <w:rPr>
          <w:spacing w:val="-4"/>
          <w:sz w:val="24"/>
        </w:rPr>
        <w:t> </w:t>
      </w:r>
      <w:r>
        <w:rPr>
          <w:sz w:val="24"/>
        </w:rPr>
        <w:t>Rehabilitation</w:t>
      </w:r>
      <w:r>
        <w:rPr>
          <w:spacing w:val="-3"/>
          <w:sz w:val="24"/>
        </w:rPr>
        <w:t> </w:t>
      </w:r>
      <w:r>
        <w:rPr>
          <w:sz w:val="24"/>
        </w:rPr>
        <w:t>Act</w:t>
      </w:r>
      <w:r>
        <w:rPr>
          <w:spacing w:val="-2"/>
          <w:sz w:val="24"/>
        </w:rPr>
        <w:t> </w:t>
      </w:r>
      <w:r>
        <w:rPr>
          <w:sz w:val="24"/>
        </w:rPr>
        <w:t>[29</w:t>
      </w:r>
      <w:r>
        <w:rPr>
          <w:spacing w:val="-4"/>
          <w:sz w:val="24"/>
        </w:rPr>
        <w:t> </w:t>
      </w:r>
      <w:r>
        <w:rPr>
          <w:sz w:val="24"/>
        </w:rPr>
        <w:t>USC</w:t>
      </w:r>
      <w:r>
        <w:rPr>
          <w:spacing w:val="-3"/>
          <w:sz w:val="24"/>
        </w:rPr>
        <w:t> </w:t>
      </w:r>
      <w:r>
        <w:rPr>
          <w:sz w:val="24"/>
        </w:rPr>
        <w:t>701</w:t>
      </w:r>
      <w:r>
        <w:rPr>
          <w:spacing w:val="-3"/>
          <w:sz w:val="24"/>
        </w:rPr>
        <w:t> </w:t>
      </w:r>
      <w:r>
        <w:rPr>
          <w:sz w:val="24"/>
        </w:rPr>
        <w:t>et</w:t>
      </w:r>
      <w:r>
        <w:rPr>
          <w:spacing w:val="-1"/>
          <w:sz w:val="24"/>
        </w:rPr>
        <w:t> </w:t>
      </w:r>
      <w:r>
        <w:rPr>
          <w:spacing w:val="-2"/>
          <w:sz w:val="24"/>
        </w:rPr>
        <w:t>seq.].</w:t>
      </w:r>
    </w:p>
    <w:p>
      <w:pPr>
        <w:pStyle w:val="BodyText"/>
        <w:spacing w:line="208" w:lineRule="auto" w:before="234"/>
        <w:ind w:left="359" w:right="775" w:firstLine="432"/>
      </w:pPr>
      <w:r>
        <w:rPr>
          <w:b/>
        </w:rPr>
        <w:t>"Rehabilitation engineering" </w:t>
      </w:r>
      <w:r>
        <w:rPr/>
        <w:t>means the systematic application of engineering sciences to design, develop, adapt, test, evaluate, apply, and distribute technological solutions</w:t>
      </w:r>
      <w:r>
        <w:rPr>
          <w:spacing w:val="-4"/>
        </w:rPr>
        <w:t> </w:t>
      </w:r>
      <w:r>
        <w:rPr/>
        <w:t>to</w:t>
      </w:r>
      <w:r>
        <w:rPr>
          <w:spacing w:val="-3"/>
        </w:rPr>
        <w:t> </w:t>
      </w:r>
      <w:r>
        <w:rPr/>
        <w:t>problems</w:t>
      </w:r>
      <w:r>
        <w:rPr>
          <w:spacing w:val="-4"/>
        </w:rPr>
        <w:t> </w:t>
      </w:r>
      <w:r>
        <w:rPr/>
        <w:t>confronted</w:t>
      </w:r>
      <w:r>
        <w:rPr>
          <w:spacing w:val="-4"/>
        </w:rPr>
        <w:t> </w:t>
      </w:r>
      <w:r>
        <w:rPr/>
        <w:t>by</w:t>
      </w:r>
      <w:r>
        <w:rPr>
          <w:spacing w:val="-4"/>
        </w:rPr>
        <w:t> </w:t>
      </w:r>
      <w:r>
        <w:rPr/>
        <w:t>individuals</w:t>
      </w:r>
      <w:r>
        <w:rPr>
          <w:spacing w:val="-4"/>
        </w:rPr>
        <w:t> </w:t>
      </w:r>
      <w:r>
        <w:rPr/>
        <w:t>with</w:t>
      </w:r>
      <w:r>
        <w:rPr>
          <w:spacing w:val="-4"/>
        </w:rPr>
        <w:t> </w:t>
      </w:r>
      <w:r>
        <w:rPr/>
        <w:t>disabilities</w:t>
      </w:r>
      <w:r>
        <w:rPr>
          <w:spacing w:val="-4"/>
        </w:rPr>
        <w:t> </w:t>
      </w:r>
      <w:r>
        <w:rPr/>
        <w:t>in</w:t>
      </w:r>
      <w:r>
        <w:rPr>
          <w:spacing w:val="-4"/>
        </w:rPr>
        <w:t> </w:t>
      </w:r>
      <w:r>
        <w:rPr/>
        <w:t>functional</w:t>
      </w:r>
      <w:r>
        <w:rPr>
          <w:spacing w:val="-4"/>
        </w:rPr>
        <w:t> </w:t>
      </w:r>
      <w:r>
        <w:rPr/>
        <w:t>areas,</w:t>
      </w:r>
      <w:r>
        <w:rPr>
          <w:spacing w:val="-3"/>
        </w:rPr>
        <w:t> </w:t>
      </w:r>
      <w:r>
        <w:rPr/>
        <w:t>such as mobility, communications, hearing, vision, and cognition, and in activities associated with employment, independent living, education, and integration into the community.</w:t>
      </w:r>
    </w:p>
    <w:p>
      <w:pPr>
        <w:pStyle w:val="BodyText"/>
        <w:spacing w:line="208" w:lineRule="auto" w:before="239"/>
        <w:ind w:right="775" w:firstLine="432"/>
      </w:pPr>
      <w:r>
        <w:rPr>
          <w:b/>
        </w:rPr>
        <w:t>"Rehabilitation technology" </w:t>
      </w:r>
      <w:r>
        <w:rPr/>
        <w:t>means the systematic application of technologies, engineering methodologies, or scientific principles to meet the needs of, and address the barriers confronted by, individuals with disabilities in areas that include education, rehabilitation,</w:t>
      </w:r>
      <w:r>
        <w:rPr>
          <w:spacing w:val="-4"/>
        </w:rPr>
        <w:t> </w:t>
      </w:r>
      <w:r>
        <w:rPr/>
        <w:t>employment,</w:t>
      </w:r>
      <w:r>
        <w:rPr>
          <w:spacing w:val="-6"/>
        </w:rPr>
        <w:t> </w:t>
      </w:r>
      <w:r>
        <w:rPr/>
        <w:t>transportation,</w:t>
      </w:r>
      <w:r>
        <w:rPr>
          <w:spacing w:val="-4"/>
        </w:rPr>
        <w:t> </w:t>
      </w:r>
      <w:r>
        <w:rPr/>
        <w:t>independent</w:t>
      </w:r>
      <w:r>
        <w:rPr>
          <w:spacing w:val="-4"/>
        </w:rPr>
        <w:t> </w:t>
      </w:r>
      <w:r>
        <w:rPr/>
        <w:t>living,</w:t>
      </w:r>
      <w:r>
        <w:rPr>
          <w:spacing w:val="-4"/>
        </w:rPr>
        <w:t> </w:t>
      </w:r>
      <w:r>
        <w:rPr/>
        <w:t>and</w:t>
      </w:r>
      <w:r>
        <w:rPr>
          <w:spacing w:val="-4"/>
        </w:rPr>
        <w:t> </w:t>
      </w:r>
      <w:r>
        <w:rPr/>
        <w:t>recreation.</w:t>
      </w:r>
      <w:r>
        <w:rPr>
          <w:spacing w:val="-6"/>
        </w:rPr>
        <w:t> </w:t>
      </w:r>
      <w:r>
        <w:rPr/>
        <w:t>The</w:t>
      </w:r>
      <w:r>
        <w:rPr>
          <w:spacing w:val="-5"/>
        </w:rPr>
        <w:t> </w:t>
      </w:r>
      <w:r>
        <w:rPr/>
        <w:t>term includes rehabilitation engineering, assistive technology devices, and assistive technology services.</w:t>
      </w:r>
    </w:p>
    <w:p>
      <w:pPr>
        <w:pStyle w:val="BodyText"/>
        <w:spacing w:line="208" w:lineRule="auto" w:before="239"/>
        <w:ind w:right="775" w:firstLine="432"/>
      </w:pPr>
      <w:r>
        <w:rPr>
          <w:b/>
        </w:rPr>
        <w:t>"SBVI"</w:t>
      </w:r>
      <w:r>
        <w:rPr>
          <w:b/>
          <w:spacing w:val="-4"/>
        </w:rPr>
        <w:t> </w:t>
      </w:r>
      <w:r>
        <w:rPr/>
        <w:t>means</w:t>
      </w:r>
      <w:r>
        <w:rPr>
          <w:spacing w:val="-4"/>
        </w:rPr>
        <w:t> </w:t>
      </w:r>
      <w:r>
        <w:rPr/>
        <w:t>the</w:t>
      </w:r>
      <w:r>
        <w:rPr>
          <w:spacing w:val="-4"/>
        </w:rPr>
        <w:t> </w:t>
      </w:r>
      <w:r>
        <w:rPr/>
        <w:t>Division</w:t>
      </w:r>
      <w:r>
        <w:rPr>
          <w:spacing w:val="-4"/>
        </w:rPr>
        <w:t> </w:t>
      </w:r>
      <w:r>
        <w:rPr/>
        <w:t>of</w:t>
      </w:r>
      <w:r>
        <w:rPr>
          <w:spacing w:val="-3"/>
        </w:rPr>
        <w:t> </w:t>
      </w:r>
      <w:r>
        <w:rPr/>
        <w:t>Services</w:t>
      </w:r>
      <w:r>
        <w:rPr>
          <w:spacing w:val="-4"/>
        </w:rPr>
        <w:t> </w:t>
      </w:r>
      <w:r>
        <w:rPr/>
        <w:t>for</w:t>
      </w:r>
      <w:r>
        <w:rPr>
          <w:spacing w:val="-3"/>
        </w:rPr>
        <w:t> </w:t>
      </w:r>
      <w:r>
        <w:rPr/>
        <w:t>the</w:t>
      </w:r>
      <w:r>
        <w:rPr>
          <w:spacing w:val="-4"/>
        </w:rPr>
        <w:t> </w:t>
      </w:r>
      <w:r>
        <w:rPr/>
        <w:t>Blind</w:t>
      </w:r>
      <w:r>
        <w:rPr>
          <w:spacing w:val="-4"/>
        </w:rPr>
        <w:t> </w:t>
      </w:r>
      <w:r>
        <w:rPr/>
        <w:t>and</w:t>
      </w:r>
      <w:r>
        <w:rPr>
          <w:spacing w:val="-3"/>
        </w:rPr>
        <w:t> </w:t>
      </w:r>
      <w:r>
        <w:rPr/>
        <w:t>Visually</w:t>
      </w:r>
      <w:r>
        <w:rPr>
          <w:spacing w:val="-4"/>
        </w:rPr>
        <w:t> </w:t>
      </w:r>
      <w:r>
        <w:rPr/>
        <w:t>Impaired, depending upon the context.</w:t>
      </w:r>
    </w:p>
    <w:p>
      <w:pPr>
        <w:pStyle w:val="BodyText"/>
        <w:spacing w:line="208" w:lineRule="auto"/>
        <w:ind w:right="727" w:firstLine="432"/>
      </w:pPr>
      <w:r>
        <w:rPr>
          <w:b/>
        </w:rPr>
        <w:t>"Section 504 Plan" </w:t>
      </w:r>
      <w:r>
        <w:rPr/>
        <w:t>is a plan designed as a protection for students with disabilities who</w:t>
      </w:r>
      <w:r>
        <w:rPr>
          <w:spacing w:val="-4"/>
        </w:rPr>
        <w:t> </w:t>
      </w:r>
      <w:r>
        <w:rPr/>
        <w:t>may</w:t>
      </w:r>
      <w:r>
        <w:rPr>
          <w:spacing w:val="-4"/>
        </w:rPr>
        <w:t> </w:t>
      </w:r>
      <w:r>
        <w:rPr/>
        <w:t>not</w:t>
      </w:r>
      <w:r>
        <w:rPr>
          <w:spacing w:val="-3"/>
        </w:rPr>
        <w:t> </w:t>
      </w:r>
      <w:r>
        <w:rPr/>
        <w:t>be</w:t>
      </w:r>
      <w:r>
        <w:rPr>
          <w:spacing w:val="-4"/>
        </w:rPr>
        <w:t> </w:t>
      </w:r>
      <w:r>
        <w:rPr/>
        <w:t>considered</w:t>
      </w:r>
      <w:r>
        <w:rPr>
          <w:spacing w:val="-4"/>
        </w:rPr>
        <w:t> </w:t>
      </w:r>
      <w:r>
        <w:rPr/>
        <w:t>eligible</w:t>
      </w:r>
      <w:r>
        <w:rPr>
          <w:spacing w:val="-4"/>
        </w:rPr>
        <w:t> </w:t>
      </w:r>
      <w:r>
        <w:rPr/>
        <w:t>for</w:t>
      </w:r>
      <w:r>
        <w:rPr>
          <w:spacing w:val="-3"/>
        </w:rPr>
        <w:t> </w:t>
      </w:r>
      <w:r>
        <w:rPr/>
        <w:t>special</w:t>
      </w:r>
      <w:r>
        <w:rPr>
          <w:spacing w:val="-4"/>
        </w:rPr>
        <w:t> </w:t>
      </w:r>
      <w:r>
        <w:rPr/>
        <w:t>education</w:t>
      </w:r>
      <w:r>
        <w:rPr>
          <w:spacing w:val="-4"/>
        </w:rPr>
        <w:t> </w:t>
      </w:r>
      <w:r>
        <w:rPr/>
        <w:t>under</w:t>
      </w:r>
      <w:r>
        <w:rPr>
          <w:spacing w:val="-3"/>
        </w:rPr>
        <w:t> </w:t>
      </w:r>
      <w:r>
        <w:rPr/>
        <w:t>IDEA</w:t>
      </w:r>
      <w:r>
        <w:rPr>
          <w:spacing w:val="-4"/>
        </w:rPr>
        <w:t> </w:t>
      </w:r>
      <w:r>
        <w:rPr/>
        <w:t>in</w:t>
      </w:r>
      <w:r>
        <w:rPr>
          <w:spacing w:val="-4"/>
        </w:rPr>
        <w:t> </w:t>
      </w:r>
      <w:r>
        <w:rPr/>
        <w:t>compliance</w:t>
      </w:r>
      <w:r>
        <w:rPr>
          <w:spacing w:val="-4"/>
        </w:rPr>
        <w:t> </w:t>
      </w:r>
      <w:r>
        <w:rPr/>
        <w:t>with Section 504 of the Rehabilitation Act of 1973 as amended.</w:t>
      </w:r>
    </w:p>
    <w:p>
      <w:pPr>
        <w:pStyle w:val="BodyText"/>
        <w:spacing w:line="259" w:lineRule="auto" w:before="244"/>
        <w:ind w:right="775" w:firstLine="450"/>
      </w:pPr>
      <w:r>
        <w:rPr>
          <w:b/>
        </w:rPr>
        <w:t>"Situational Assessment" </w:t>
      </w:r>
      <w:r>
        <w:rPr/>
        <w:t>means to determine the best match between an individual, a type of job, and a work environment. Situational assessment (also known as</w:t>
      </w:r>
      <w:r>
        <w:rPr>
          <w:spacing w:val="-5"/>
        </w:rPr>
        <w:t> </w:t>
      </w:r>
      <w:r>
        <w:rPr/>
        <w:t>job</w:t>
      </w:r>
      <w:r>
        <w:rPr>
          <w:spacing w:val="-5"/>
        </w:rPr>
        <w:t> </w:t>
      </w:r>
      <w:r>
        <w:rPr/>
        <w:t>sampling,</w:t>
      </w:r>
      <w:r>
        <w:rPr>
          <w:spacing w:val="-4"/>
        </w:rPr>
        <w:t> </w:t>
      </w:r>
      <w:r>
        <w:rPr/>
        <w:t>on-the-job</w:t>
      </w:r>
      <w:r>
        <w:rPr>
          <w:spacing w:val="-5"/>
        </w:rPr>
        <w:t> </w:t>
      </w:r>
      <w:r>
        <w:rPr/>
        <w:t>assessment,</w:t>
      </w:r>
      <w:r>
        <w:rPr>
          <w:spacing w:val="-4"/>
        </w:rPr>
        <w:t> </w:t>
      </w:r>
      <w:r>
        <w:rPr/>
        <w:t>or</w:t>
      </w:r>
      <w:r>
        <w:rPr>
          <w:spacing w:val="-6"/>
        </w:rPr>
        <w:t> </w:t>
      </w:r>
      <w:r>
        <w:rPr/>
        <w:t>environmental</w:t>
      </w:r>
      <w:r>
        <w:rPr>
          <w:spacing w:val="-5"/>
        </w:rPr>
        <w:t> </w:t>
      </w:r>
      <w:r>
        <w:rPr/>
        <w:t>assessment),</w:t>
      </w:r>
      <w:r>
        <w:rPr>
          <w:spacing w:val="-4"/>
        </w:rPr>
        <w:t> </w:t>
      </w:r>
      <w:r>
        <w:rPr/>
        <w:t>is</w:t>
      </w:r>
      <w:r>
        <w:rPr>
          <w:spacing w:val="-5"/>
        </w:rPr>
        <w:t> </w:t>
      </w:r>
      <w:r>
        <w:rPr/>
        <w:t>assessment using actual employment and community settings.</w:t>
      </w:r>
    </w:p>
    <w:p>
      <w:pPr>
        <w:pStyle w:val="BodyText"/>
        <w:spacing w:line="208" w:lineRule="auto" w:before="155"/>
        <w:ind w:right="775" w:firstLine="432"/>
      </w:pPr>
      <w:r>
        <w:rPr>
          <w:b/>
        </w:rPr>
        <w:t>"Small business enterprises" </w:t>
      </w:r>
      <w:r>
        <w:rPr/>
        <w:t>means a small business operated by blind or other individuals with severe disabilities under the management and supervision of the state DRS.</w:t>
      </w:r>
      <w:r>
        <w:rPr>
          <w:spacing w:val="-4"/>
        </w:rPr>
        <w:t> </w:t>
      </w:r>
      <w:r>
        <w:rPr/>
        <w:t>Such</w:t>
      </w:r>
      <w:r>
        <w:rPr>
          <w:spacing w:val="-4"/>
        </w:rPr>
        <w:t> </w:t>
      </w:r>
      <w:r>
        <w:rPr/>
        <w:t>businesses</w:t>
      </w:r>
      <w:r>
        <w:rPr>
          <w:spacing w:val="-5"/>
        </w:rPr>
        <w:t> </w:t>
      </w:r>
      <w:r>
        <w:rPr/>
        <w:t>include</w:t>
      </w:r>
      <w:r>
        <w:rPr>
          <w:spacing w:val="-5"/>
        </w:rPr>
        <w:t> </w:t>
      </w:r>
      <w:r>
        <w:rPr/>
        <w:t>only</w:t>
      </w:r>
      <w:r>
        <w:rPr>
          <w:spacing w:val="-5"/>
        </w:rPr>
        <w:t> </w:t>
      </w:r>
      <w:r>
        <w:rPr/>
        <w:t>those</w:t>
      </w:r>
      <w:r>
        <w:rPr>
          <w:spacing w:val="-5"/>
        </w:rPr>
        <w:t> </w:t>
      </w:r>
      <w:r>
        <w:rPr/>
        <w:t>selling,</w:t>
      </w:r>
      <w:r>
        <w:rPr>
          <w:spacing w:val="-4"/>
        </w:rPr>
        <w:t> </w:t>
      </w:r>
      <w:r>
        <w:rPr/>
        <w:t>manufacturing,</w:t>
      </w:r>
      <w:r>
        <w:rPr>
          <w:spacing w:val="-6"/>
        </w:rPr>
        <w:t> </w:t>
      </w:r>
      <w:r>
        <w:rPr/>
        <w:t>processing,</w:t>
      </w:r>
      <w:r>
        <w:rPr>
          <w:spacing w:val="-3"/>
        </w:rPr>
        <w:t> </w:t>
      </w:r>
      <w:r>
        <w:rPr/>
        <w:t>servicing,</w:t>
      </w:r>
    </w:p>
    <w:p>
      <w:pPr>
        <w:pStyle w:val="BodyText"/>
        <w:spacing w:after="0" w:line="208" w:lineRule="auto"/>
        <w:sectPr>
          <w:pgSz w:w="12240" w:h="15840"/>
          <w:pgMar w:top="1360" w:bottom="280" w:left="1080" w:right="720"/>
        </w:sectPr>
      </w:pPr>
    </w:p>
    <w:p>
      <w:pPr>
        <w:pStyle w:val="BodyText"/>
        <w:spacing w:line="208" w:lineRule="auto" w:before="96"/>
        <w:ind w:right="765"/>
      </w:pPr>
      <w:r>
        <w:rPr/>
        <w:t>agricultural, and other activities which are suitable and practical for the effective utilization</w:t>
      </w:r>
      <w:r>
        <w:rPr>
          <w:spacing w:val="-1"/>
        </w:rPr>
        <w:t> </w:t>
      </w:r>
      <w:r>
        <w:rPr/>
        <w:t>of the</w:t>
      </w:r>
      <w:r>
        <w:rPr>
          <w:spacing w:val="-1"/>
        </w:rPr>
        <w:t> </w:t>
      </w:r>
      <w:r>
        <w:rPr/>
        <w:t>skills</w:t>
      </w:r>
      <w:r>
        <w:rPr>
          <w:spacing w:val="-1"/>
        </w:rPr>
        <w:t> </w:t>
      </w:r>
      <w:r>
        <w:rPr/>
        <w:t>and</w:t>
      </w:r>
      <w:r>
        <w:rPr>
          <w:spacing w:val="-1"/>
        </w:rPr>
        <w:t> </w:t>
      </w:r>
      <w:r>
        <w:rPr/>
        <w:t>aptitudes</w:t>
      </w:r>
      <w:r>
        <w:rPr>
          <w:spacing w:val="-1"/>
        </w:rPr>
        <w:t> </w:t>
      </w:r>
      <w:r>
        <w:rPr/>
        <w:t>of individuals</w:t>
      </w:r>
      <w:r>
        <w:rPr>
          <w:spacing w:val="-1"/>
        </w:rPr>
        <w:t> </w:t>
      </w:r>
      <w:r>
        <w:rPr/>
        <w:t>who</w:t>
      </w:r>
      <w:r>
        <w:rPr>
          <w:spacing w:val="-1"/>
        </w:rPr>
        <w:t> </w:t>
      </w:r>
      <w:r>
        <w:rPr/>
        <w:t>are</w:t>
      </w:r>
      <w:r>
        <w:rPr>
          <w:spacing w:val="-1"/>
        </w:rPr>
        <w:t> </w:t>
      </w:r>
      <w:r>
        <w:rPr/>
        <w:t>blind</w:t>
      </w:r>
      <w:r>
        <w:rPr>
          <w:spacing w:val="-1"/>
        </w:rPr>
        <w:t> </w:t>
      </w:r>
      <w:r>
        <w:rPr/>
        <w:t>or individuals who</w:t>
      </w:r>
      <w:r>
        <w:rPr>
          <w:spacing w:val="-1"/>
        </w:rPr>
        <w:t> </w:t>
      </w:r>
      <w:r>
        <w:rPr/>
        <w:t>have severe disabilities. Small business enterprise provides substantial gainful employment or self-employment commensurate with the time devoted by the operators to the business,</w:t>
      </w:r>
      <w:r>
        <w:rPr>
          <w:spacing w:val="-2"/>
        </w:rPr>
        <w:t> </w:t>
      </w:r>
      <w:r>
        <w:rPr/>
        <w:t>the</w:t>
      </w:r>
      <w:r>
        <w:rPr>
          <w:spacing w:val="-3"/>
        </w:rPr>
        <w:t> </w:t>
      </w:r>
      <w:r>
        <w:rPr/>
        <w:t>cost</w:t>
      </w:r>
      <w:r>
        <w:rPr>
          <w:spacing w:val="-2"/>
        </w:rPr>
        <w:t> </w:t>
      </w:r>
      <w:r>
        <w:rPr/>
        <w:t>of</w:t>
      </w:r>
      <w:r>
        <w:rPr>
          <w:spacing w:val="-4"/>
        </w:rPr>
        <w:t> </w:t>
      </w:r>
      <w:r>
        <w:rPr/>
        <w:t>establishing</w:t>
      </w:r>
      <w:r>
        <w:rPr>
          <w:spacing w:val="-3"/>
        </w:rPr>
        <w:t> </w:t>
      </w:r>
      <w:r>
        <w:rPr/>
        <w:t>the</w:t>
      </w:r>
      <w:r>
        <w:rPr>
          <w:spacing w:val="-3"/>
        </w:rPr>
        <w:t> </w:t>
      </w:r>
      <w:r>
        <w:rPr/>
        <w:t>business</w:t>
      </w:r>
      <w:r>
        <w:rPr>
          <w:spacing w:val="-3"/>
        </w:rPr>
        <w:t> </w:t>
      </w:r>
      <w:r>
        <w:rPr/>
        <w:t>and</w:t>
      </w:r>
      <w:r>
        <w:rPr>
          <w:spacing w:val="-3"/>
        </w:rPr>
        <w:t> </w:t>
      </w:r>
      <w:r>
        <w:rPr/>
        <w:t>other</w:t>
      </w:r>
      <w:r>
        <w:rPr>
          <w:spacing w:val="-2"/>
        </w:rPr>
        <w:t> </w:t>
      </w:r>
      <w:r>
        <w:rPr/>
        <w:t>factors</w:t>
      </w:r>
      <w:r>
        <w:rPr>
          <w:spacing w:val="-5"/>
        </w:rPr>
        <w:t> </w:t>
      </w:r>
      <w:r>
        <w:rPr/>
        <w:t>of</w:t>
      </w:r>
      <w:r>
        <w:rPr>
          <w:spacing w:val="-2"/>
        </w:rPr>
        <w:t> </w:t>
      </w:r>
      <w:r>
        <w:rPr/>
        <w:t>an</w:t>
      </w:r>
      <w:r>
        <w:rPr>
          <w:spacing w:val="-3"/>
        </w:rPr>
        <w:t> </w:t>
      </w:r>
      <w:r>
        <w:rPr/>
        <w:t>economic</w:t>
      </w:r>
      <w:r>
        <w:rPr>
          <w:spacing w:val="-3"/>
        </w:rPr>
        <w:t> </w:t>
      </w:r>
      <w:r>
        <w:rPr/>
        <w:t>nature.</w:t>
      </w:r>
    </w:p>
    <w:p>
      <w:pPr>
        <w:pStyle w:val="BodyText"/>
        <w:spacing w:line="208" w:lineRule="auto" w:before="239"/>
        <w:ind w:left="359" w:right="775" w:firstLine="432"/>
      </w:pPr>
      <w:r>
        <w:rPr>
          <w:b/>
        </w:rPr>
        <w:t>"Sole local agency" </w:t>
      </w:r>
      <w:r>
        <w:rPr/>
        <w:t>means a unit or combination of units of general local government or one or more Indian tribes that has the sole responsibility under an agreement</w:t>
      </w:r>
      <w:r>
        <w:rPr>
          <w:spacing w:val="-2"/>
        </w:rPr>
        <w:t> </w:t>
      </w:r>
      <w:r>
        <w:rPr/>
        <w:t>with,</w:t>
      </w:r>
      <w:r>
        <w:rPr>
          <w:spacing w:val="-2"/>
        </w:rPr>
        <w:t> </w:t>
      </w:r>
      <w:r>
        <w:rPr/>
        <w:t>and</w:t>
      </w:r>
      <w:r>
        <w:rPr>
          <w:spacing w:val="-3"/>
        </w:rPr>
        <w:t> </w:t>
      </w:r>
      <w:r>
        <w:rPr/>
        <w:t>the</w:t>
      </w:r>
      <w:r>
        <w:rPr>
          <w:spacing w:val="-3"/>
        </w:rPr>
        <w:t> </w:t>
      </w:r>
      <w:r>
        <w:rPr/>
        <w:t>supervision</w:t>
      </w:r>
      <w:r>
        <w:rPr>
          <w:spacing w:val="-3"/>
        </w:rPr>
        <w:t> </w:t>
      </w:r>
      <w:r>
        <w:rPr/>
        <w:t>of,</w:t>
      </w:r>
      <w:r>
        <w:rPr>
          <w:spacing w:val="-4"/>
        </w:rPr>
        <w:t> </w:t>
      </w:r>
      <w:r>
        <w:rPr/>
        <w:t>the</w:t>
      </w:r>
      <w:r>
        <w:rPr>
          <w:spacing w:val="-3"/>
        </w:rPr>
        <w:t> </w:t>
      </w:r>
      <w:r>
        <w:rPr/>
        <w:t>State</w:t>
      </w:r>
      <w:r>
        <w:rPr>
          <w:spacing w:val="-3"/>
        </w:rPr>
        <w:t> </w:t>
      </w:r>
      <w:r>
        <w:rPr/>
        <w:t>agency</w:t>
      </w:r>
      <w:r>
        <w:rPr>
          <w:spacing w:val="-3"/>
        </w:rPr>
        <w:t> </w:t>
      </w:r>
      <w:r>
        <w:rPr/>
        <w:t>to</w:t>
      </w:r>
      <w:r>
        <w:rPr>
          <w:spacing w:val="-3"/>
        </w:rPr>
        <w:t> </w:t>
      </w:r>
      <w:r>
        <w:rPr/>
        <w:t>conduct</w:t>
      </w:r>
      <w:r>
        <w:rPr>
          <w:spacing w:val="-2"/>
        </w:rPr>
        <w:t> </w:t>
      </w:r>
      <w:r>
        <w:rPr/>
        <w:t>a</w:t>
      </w:r>
      <w:r>
        <w:rPr>
          <w:spacing w:val="-3"/>
        </w:rPr>
        <w:t> </w:t>
      </w:r>
      <w:r>
        <w:rPr/>
        <w:t>local</w:t>
      </w:r>
      <w:r>
        <w:rPr>
          <w:spacing w:val="-3"/>
        </w:rPr>
        <w:t> </w:t>
      </w:r>
      <w:r>
        <w:rPr/>
        <w:t>or</w:t>
      </w:r>
      <w:r>
        <w:rPr>
          <w:spacing w:val="-4"/>
        </w:rPr>
        <w:t> </w:t>
      </w:r>
      <w:r>
        <w:rPr/>
        <w:t>tribal vocational rehabilitation program, in accordance with the vocational rehabilitation services portion of the Unified or Combined State Plan.</w:t>
      </w:r>
    </w:p>
    <w:p>
      <w:pPr>
        <w:pStyle w:val="BodyText"/>
        <w:spacing w:line="259" w:lineRule="auto" w:before="244"/>
        <w:ind w:left="359" w:right="1036" w:firstLine="450"/>
      </w:pPr>
      <w:r>
        <w:rPr>
          <w:b/>
        </w:rPr>
        <w:t>"Stabilization"</w:t>
      </w:r>
      <w:r>
        <w:rPr>
          <w:b/>
          <w:spacing w:val="-3"/>
        </w:rPr>
        <w:t> </w:t>
      </w:r>
      <w:r>
        <w:rPr/>
        <w:t>means</w:t>
      </w:r>
      <w:r>
        <w:rPr>
          <w:spacing w:val="-3"/>
        </w:rPr>
        <w:t> </w:t>
      </w:r>
      <w:r>
        <w:rPr/>
        <w:t>the</w:t>
      </w:r>
      <w:r>
        <w:rPr>
          <w:spacing w:val="-3"/>
        </w:rPr>
        <w:t> </w:t>
      </w:r>
      <w:r>
        <w:rPr/>
        <w:t>time</w:t>
      </w:r>
      <w:r>
        <w:rPr>
          <w:spacing w:val="-4"/>
        </w:rPr>
        <w:t> </w:t>
      </w:r>
      <w:r>
        <w:rPr/>
        <w:t>period</w:t>
      </w:r>
      <w:r>
        <w:rPr>
          <w:spacing w:val="-3"/>
        </w:rPr>
        <w:t> </w:t>
      </w:r>
      <w:r>
        <w:rPr/>
        <w:t>when</w:t>
      </w:r>
      <w:r>
        <w:rPr>
          <w:spacing w:val="-3"/>
        </w:rPr>
        <w:t> </w:t>
      </w:r>
      <w:r>
        <w:rPr/>
        <w:t>EC</w:t>
      </w:r>
      <w:r>
        <w:rPr>
          <w:spacing w:val="-3"/>
        </w:rPr>
        <w:t> </w:t>
      </w:r>
      <w:r>
        <w:rPr/>
        <w:t>support</w:t>
      </w:r>
      <w:r>
        <w:rPr>
          <w:spacing w:val="-3"/>
        </w:rPr>
        <w:t> </w:t>
      </w:r>
      <w:r>
        <w:rPr/>
        <w:t>is</w:t>
      </w:r>
      <w:r>
        <w:rPr>
          <w:spacing w:val="-3"/>
        </w:rPr>
        <w:t> </w:t>
      </w:r>
      <w:r>
        <w:rPr/>
        <w:t>reduced</w:t>
      </w:r>
      <w:r>
        <w:rPr>
          <w:spacing w:val="-3"/>
        </w:rPr>
        <w:t> </w:t>
      </w:r>
      <w:r>
        <w:rPr/>
        <w:t>to</w:t>
      </w:r>
      <w:r>
        <w:rPr>
          <w:spacing w:val="-3"/>
        </w:rPr>
        <w:t> </w:t>
      </w:r>
      <w:r>
        <w:rPr/>
        <w:t>the</w:t>
      </w:r>
      <w:r>
        <w:rPr>
          <w:spacing w:val="-3"/>
        </w:rPr>
        <w:t> </w:t>
      </w:r>
      <w:r>
        <w:rPr/>
        <w:t>long- term maintenance level where the individual retains employment, and personal satisfaction with the job, as well as employer satisfaction with the individual’s job </w:t>
      </w:r>
      <w:r>
        <w:rPr>
          <w:spacing w:val="-2"/>
        </w:rPr>
        <w:t>performance.</w:t>
      </w:r>
    </w:p>
    <w:p>
      <w:pPr>
        <w:pStyle w:val="BodyText"/>
        <w:spacing w:line="208" w:lineRule="auto" w:before="235"/>
        <w:ind w:left="359" w:right="775" w:firstLine="432"/>
      </w:pPr>
      <w:r>
        <w:rPr>
          <w:b/>
        </w:rPr>
        <w:t>"Student</w:t>
      </w:r>
      <w:r>
        <w:rPr>
          <w:b/>
          <w:spacing w:val="-3"/>
        </w:rPr>
        <w:t> </w:t>
      </w:r>
      <w:r>
        <w:rPr>
          <w:b/>
        </w:rPr>
        <w:t>with</w:t>
      </w:r>
      <w:r>
        <w:rPr>
          <w:b/>
          <w:spacing w:val="-4"/>
        </w:rPr>
        <w:t> </w:t>
      </w:r>
      <w:r>
        <w:rPr>
          <w:b/>
        </w:rPr>
        <w:t>a</w:t>
      </w:r>
      <w:r>
        <w:rPr>
          <w:b/>
          <w:spacing w:val="-3"/>
        </w:rPr>
        <w:t> </w:t>
      </w:r>
      <w:r>
        <w:rPr>
          <w:b/>
        </w:rPr>
        <w:t>disability"</w:t>
      </w:r>
      <w:r>
        <w:rPr>
          <w:b/>
          <w:spacing w:val="-3"/>
        </w:rPr>
        <w:t> </w:t>
      </w:r>
      <w:r>
        <w:rPr/>
        <w:t>means,</w:t>
      </w:r>
      <w:r>
        <w:rPr>
          <w:spacing w:val="-3"/>
        </w:rPr>
        <w:t> </w:t>
      </w:r>
      <w:r>
        <w:rPr/>
        <w:t>in</w:t>
      </w:r>
      <w:r>
        <w:rPr>
          <w:spacing w:val="-3"/>
        </w:rPr>
        <w:t> </w:t>
      </w:r>
      <w:r>
        <w:rPr/>
        <w:t>general,</w:t>
      </w:r>
      <w:r>
        <w:rPr>
          <w:spacing w:val="-3"/>
        </w:rPr>
        <w:t> </w:t>
      </w:r>
      <w:r>
        <w:rPr/>
        <w:t>an</w:t>
      </w:r>
      <w:r>
        <w:rPr>
          <w:spacing w:val="-3"/>
        </w:rPr>
        <w:t> </w:t>
      </w:r>
      <w:r>
        <w:rPr/>
        <w:t>individual</w:t>
      </w:r>
      <w:r>
        <w:rPr>
          <w:spacing w:val="-3"/>
        </w:rPr>
        <w:t> </w:t>
      </w:r>
      <w:r>
        <w:rPr/>
        <w:t>with</w:t>
      </w:r>
      <w:r>
        <w:rPr>
          <w:spacing w:val="-3"/>
        </w:rPr>
        <w:t> </w:t>
      </w:r>
      <w:r>
        <w:rPr/>
        <w:t>a</w:t>
      </w:r>
      <w:r>
        <w:rPr>
          <w:spacing w:val="-3"/>
        </w:rPr>
        <w:t> </w:t>
      </w:r>
      <w:r>
        <w:rPr/>
        <w:t>disability</w:t>
      </w:r>
      <w:r>
        <w:rPr>
          <w:spacing w:val="-3"/>
        </w:rPr>
        <w:t> </w:t>
      </w:r>
      <w:r>
        <w:rPr/>
        <w:t>in</w:t>
      </w:r>
      <w:r>
        <w:rPr>
          <w:spacing w:val="-3"/>
        </w:rPr>
        <w:t> </w:t>
      </w:r>
      <w:r>
        <w:rPr/>
        <w:t>a secondary, postsecondary, or other recognized education program who meets the requirements set forth in 34 CFR 361.5(c)(51).</w:t>
      </w:r>
    </w:p>
    <w:p>
      <w:pPr>
        <w:pStyle w:val="BodyText"/>
        <w:spacing w:line="208" w:lineRule="auto"/>
        <w:ind w:right="775" w:firstLine="432"/>
      </w:pPr>
      <w:r>
        <w:rPr>
          <w:b/>
        </w:rPr>
        <w:t>"Substantial impediment to employment" </w:t>
      </w:r>
      <w:r>
        <w:rPr/>
        <w:t>means that a physical or mental impairment (in the light of attendant medical, psychological, vocational, educational, communication, and other related factors) hinders an individual from preparing for, entering</w:t>
      </w:r>
      <w:r>
        <w:rPr>
          <w:spacing w:val="-5"/>
        </w:rPr>
        <w:t> </w:t>
      </w:r>
      <w:r>
        <w:rPr/>
        <w:t>into,</w:t>
      </w:r>
      <w:r>
        <w:rPr>
          <w:spacing w:val="-4"/>
        </w:rPr>
        <w:t> </w:t>
      </w:r>
      <w:r>
        <w:rPr/>
        <w:t>engaging</w:t>
      </w:r>
      <w:r>
        <w:rPr>
          <w:spacing w:val="-5"/>
        </w:rPr>
        <w:t> </w:t>
      </w:r>
      <w:r>
        <w:rPr/>
        <w:t>in,</w:t>
      </w:r>
      <w:r>
        <w:rPr>
          <w:spacing w:val="-4"/>
        </w:rPr>
        <w:t> </w:t>
      </w:r>
      <w:r>
        <w:rPr/>
        <w:t>advancing</w:t>
      </w:r>
      <w:r>
        <w:rPr>
          <w:spacing w:val="-5"/>
        </w:rPr>
        <w:t> </w:t>
      </w:r>
      <w:r>
        <w:rPr/>
        <w:t>in,</w:t>
      </w:r>
      <w:r>
        <w:rPr>
          <w:spacing w:val="-4"/>
        </w:rPr>
        <w:t> </w:t>
      </w:r>
      <w:r>
        <w:rPr/>
        <w:t>or</w:t>
      </w:r>
      <w:r>
        <w:rPr>
          <w:spacing w:val="-4"/>
        </w:rPr>
        <w:t> </w:t>
      </w:r>
      <w:r>
        <w:rPr/>
        <w:t>retaining</w:t>
      </w:r>
      <w:r>
        <w:rPr>
          <w:spacing w:val="-5"/>
        </w:rPr>
        <w:t> </w:t>
      </w:r>
      <w:r>
        <w:rPr/>
        <w:t>employment</w:t>
      </w:r>
      <w:r>
        <w:rPr>
          <w:spacing w:val="-4"/>
        </w:rPr>
        <w:t> </w:t>
      </w:r>
      <w:r>
        <w:rPr/>
        <w:t>consistent</w:t>
      </w:r>
      <w:r>
        <w:rPr>
          <w:spacing w:val="-4"/>
        </w:rPr>
        <w:t> </w:t>
      </w:r>
      <w:r>
        <w:rPr/>
        <w:t>with</w:t>
      </w:r>
      <w:r>
        <w:rPr>
          <w:spacing w:val="-5"/>
        </w:rPr>
        <w:t> </w:t>
      </w:r>
      <w:r>
        <w:rPr/>
        <w:t>the individual's abilities and capabilities.</w:t>
      </w:r>
    </w:p>
    <w:p>
      <w:pPr>
        <w:pStyle w:val="BodyText"/>
        <w:spacing w:line="208" w:lineRule="auto" w:before="239"/>
        <w:ind w:right="769" w:firstLine="432"/>
      </w:pPr>
      <w:r>
        <w:rPr>
          <w:b/>
        </w:rPr>
        <w:t>"Supplemental Wage Record" </w:t>
      </w:r>
      <w:r>
        <w:rPr/>
        <w:t>means wage information used to determine both employment status and wages within a reporting period. This information is required when</w:t>
      </w:r>
      <w:r>
        <w:rPr>
          <w:spacing w:val="-4"/>
        </w:rPr>
        <w:t> </w:t>
      </w:r>
      <w:r>
        <w:rPr/>
        <w:t>wage</w:t>
      </w:r>
      <w:r>
        <w:rPr>
          <w:spacing w:val="-3"/>
        </w:rPr>
        <w:t> </w:t>
      </w:r>
      <w:r>
        <w:rPr/>
        <w:t>information</w:t>
      </w:r>
      <w:r>
        <w:rPr>
          <w:spacing w:val="-4"/>
        </w:rPr>
        <w:t> </w:t>
      </w:r>
      <w:r>
        <w:rPr/>
        <w:t>cannot</w:t>
      </w:r>
      <w:r>
        <w:rPr>
          <w:spacing w:val="-3"/>
        </w:rPr>
        <w:t> </w:t>
      </w:r>
      <w:r>
        <w:rPr/>
        <w:t>be</w:t>
      </w:r>
      <w:r>
        <w:rPr>
          <w:spacing w:val="-4"/>
        </w:rPr>
        <w:t> </w:t>
      </w:r>
      <w:r>
        <w:rPr/>
        <w:t>obtained</w:t>
      </w:r>
      <w:r>
        <w:rPr>
          <w:spacing w:val="-3"/>
        </w:rPr>
        <w:t> </w:t>
      </w:r>
      <w:r>
        <w:rPr/>
        <w:t>through</w:t>
      </w:r>
      <w:r>
        <w:rPr>
          <w:spacing w:val="-4"/>
        </w:rPr>
        <w:t> </w:t>
      </w:r>
      <w:r>
        <w:rPr/>
        <w:t>other</w:t>
      </w:r>
      <w:r>
        <w:rPr>
          <w:spacing w:val="-3"/>
        </w:rPr>
        <w:t> </w:t>
      </w:r>
      <w:r>
        <w:rPr/>
        <w:t>means</w:t>
      </w:r>
      <w:r>
        <w:rPr>
          <w:spacing w:val="-4"/>
        </w:rPr>
        <w:t> </w:t>
      </w:r>
      <w:r>
        <w:rPr/>
        <w:t>such</w:t>
      </w:r>
      <w:r>
        <w:rPr>
          <w:spacing w:val="-4"/>
        </w:rPr>
        <w:t> </w:t>
      </w:r>
      <w:r>
        <w:rPr/>
        <w:t>as</w:t>
      </w:r>
      <w:r>
        <w:rPr>
          <w:spacing w:val="-4"/>
        </w:rPr>
        <w:t> </w:t>
      </w:r>
      <w:r>
        <w:rPr/>
        <w:t>the</w:t>
      </w:r>
      <w:r>
        <w:rPr>
          <w:spacing w:val="-5"/>
        </w:rPr>
        <w:t> </w:t>
      </w:r>
      <w:r>
        <w:rPr/>
        <w:t>Oklahoma Employment Security Commission. The requirement to make the effort to obtain this supplemental wage information is necessary to carry out the accountability requirements under Section 116 of the Workforce Innovation and Opportunity Act.</w:t>
      </w:r>
    </w:p>
    <w:p>
      <w:pPr>
        <w:pStyle w:val="BodyText"/>
        <w:spacing w:line="208" w:lineRule="auto"/>
        <w:ind w:right="855" w:firstLine="432"/>
      </w:pPr>
      <w:r>
        <w:rPr>
          <w:b/>
        </w:rPr>
        <w:t>"Support Service Providers" </w:t>
      </w:r>
      <w:r>
        <w:rPr/>
        <w:t>or </w:t>
      </w:r>
      <w:r>
        <w:rPr>
          <w:b/>
        </w:rPr>
        <w:t>"(SSP)" </w:t>
      </w:r>
      <w:r>
        <w:rPr/>
        <w:t>means a Support Service Provider, commonly</w:t>
      </w:r>
      <w:r>
        <w:rPr>
          <w:spacing w:val="-3"/>
        </w:rPr>
        <w:t> </w:t>
      </w:r>
      <w:r>
        <w:rPr/>
        <w:t>referred</w:t>
      </w:r>
      <w:r>
        <w:rPr>
          <w:spacing w:val="-4"/>
        </w:rPr>
        <w:t> </w:t>
      </w:r>
      <w:r>
        <w:rPr/>
        <w:t>to</w:t>
      </w:r>
      <w:r>
        <w:rPr>
          <w:spacing w:val="-4"/>
        </w:rPr>
        <w:t> </w:t>
      </w:r>
      <w:r>
        <w:rPr/>
        <w:t>as</w:t>
      </w:r>
      <w:r>
        <w:rPr>
          <w:spacing w:val="-3"/>
        </w:rPr>
        <w:t> </w:t>
      </w:r>
      <w:r>
        <w:rPr/>
        <w:t>an</w:t>
      </w:r>
      <w:r>
        <w:rPr>
          <w:spacing w:val="-3"/>
        </w:rPr>
        <w:t> </w:t>
      </w:r>
      <w:r>
        <w:rPr/>
        <w:t>SSP,</w:t>
      </w:r>
      <w:r>
        <w:rPr>
          <w:spacing w:val="-1"/>
        </w:rPr>
        <w:t> </w:t>
      </w:r>
      <w:r>
        <w:rPr/>
        <w:t>is</w:t>
      </w:r>
      <w:r>
        <w:rPr>
          <w:spacing w:val="-3"/>
        </w:rPr>
        <w:t> </w:t>
      </w:r>
      <w:r>
        <w:rPr/>
        <w:t>a</w:t>
      </w:r>
      <w:r>
        <w:rPr>
          <w:spacing w:val="-3"/>
        </w:rPr>
        <w:t> </w:t>
      </w:r>
      <w:r>
        <w:rPr/>
        <w:t>specially</w:t>
      </w:r>
      <w:r>
        <w:rPr>
          <w:spacing w:val="-3"/>
        </w:rPr>
        <w:t> </w:t>
      </w:r>
      <w:r>
        <w:rPr/>
        <w:t>trained</w:t>
      </w:r>
      <w:r>
        <w:rPr>
          <w:spacing w:val="-3"/>
        </w:rPr>
        <w:t> </w:t>
      </w:r>
      <w:r>
        <w:rPr/>
        <w:t>individual</w:t>
      </w:r>
      <w:r>
        <w:rPr>
          <w:spacing w:val="-3"/>
        </w:rPr>
        <w:t> </w:t>
      </w:r>
      <w:r>
        <w:rPr/>
        <w:t>who</w:t>
      </w:r>
      <w:r>
        <w:rPr>
          <w:spacing w:val="-3"/>
        </w:rPr>
        <w:t> </w:t>
      </w:r>
      <w:r>
        <w:rPr/>
        <w:t>provides</w:t>
      </w:r>
      <w:r>
        <w:rPr>
          <w:spacing w:val="-3"/>
        </w:rPr>
        <w:t> </w:t>
      </w:r>
      <w:r>
        <w:rPr/>
        <w:t>access to the community for people who are deaf-blind. The SSP is responsible for human guide assistance and facilitation of communication for the deaf-blind person.</w:t>
      </w:r>
    </w:p>
    <w:p>
      <w:pPr>
        <w:spacing w:before="210"/>
        <w:ind w:left="792" w:right="0" w:firstLine="0"/>
        <w:jc w:val="left"/>
        <w:rPr>
          <w:sz w:val="24"/>
        </w:rPr>
      </w:pPr>
      <w:r>
        <w:rPr>
          <w:b/>
          <w:sz w:val="24"/>
        </w:rPr>
        <w:t>"Supported</w:t>
      </w:r>
      <w:r>
        <w:rPr>
          <w:b/>
          <w:spacing w:val="-4"/>
          <w:sz w:val="24"/>
        </w:rPr>
        <w:t> </w:t>
      </w:r>
      <w:r>
        <w:rPr>
          <w:b/>
          <w:sz w:val="24"/>
        </w:rPr>
        <w:t>employment"</w:t>
      </w:r>
      <w:r>
        <w:rPr>
          <w:b/>
          <w:spacing w:val="-3"/>
          <w:sz w:val="24"/>
        </w:rPr>
        <w:t> </w:t>
      </w:r>
      <w:r>
        <w:rPr>
          <w:sz w:val="24"/>
        </w:rPr>
        <w:t>or</w:t>
      </w:r>
      <w:r>
        <w:rPr>
          <w:spacing w:val="-5"/>
          <w:sz w:val="24"/>
        </w:rPr>
        <w:t> </w:t>
      </w:r>
      <w:r>
        <w:rPr>
          <w:b/>
          <w:sz w:val="24"/>
        </w:rPr>
        <w:t>"(SE)"</w:t>
      </w:r>
      <w:r>
        <w:rPr>
          <w:b/>
          <w:spacing w:val="-3"/>
          <w:sz w:val="24"/>
        </w:rPr>
        <w:t> </w:t>
      </w:r>
      <w:r>
        <w:rPr>
          <w:spacing w:val="-2"/>
          <w:sz w:val="24"/>
        </w:rPr>
        <w:t>means</w:t>
      </w:r>
    </w:p>
    <w:p>
      <w:pPr>
        <w:pStyle w:val="ListParagraph"/>
        <w:numPr>
          <w:ilvl w:val="0"/>
          <w:numId w:val="69"/>
        </w:numPr>
        <w:tabs>
          <w:tab w:pos="1533" w:val="left" w:leader="none"/>
        </w:tabs>
        <w:spacing w:line="240" w:lineRule="auto" w:before="238" w:after="0"/>
        <w:ind w:left="1080" w:right="766" w:firstLine="0"/>
        <w:jc w:val="left"/>
        <w:rPr>
          <w:sz w:val="24"/>
        </w:rPr>
      </w:pPr>
      <w:r>
        <w:rPr>
          <w:sz w:val="24"/>
        </w:rPr>
        <w:t>competitive integrated employment, including customized employment, or employment in an integrated work settings in which an individual with a most significant</w:t>
      </w:r>
      <w:r>
        <w:rPr>
          <w:spacing w:val="-3"/>
          <w:sz w:val="24"/>
        </w:rPr>
        <w:t> </w:t>
      </w:r>
      <w:r>
        <w:rPr>
          <w:sz w:val="24"/>
        </w:rPr>
        <w:t>disability,</w:t>
      </w:r>
      <w:r>
        <w:rPr>
          <w:spacing w:val="-3"/>
          <w:sz w:val="24"/>
        </w:rPr>
        <w:t> </w:t>
      </w:r>
      <w:r>
        <w:rPr>
          <w:sz w:val="24"/>
        </w:rPr>
        <w:t>including</w:t>
      </w:r>
      <w:r>
        <w:rPr>
          <w:spacing w:val="-4"/>
          <w:sz w:val="24"/>
        </w:rPr>
        <w:t> </w:t>
      </w:r>
      <w:r>
        <w:rPr>
          <w:sz w:val="24"/>
        </w:rPr>
        <w:t>a</w:t>
      </w:r>
      <w:r>
        <w:rPr>
          <w:spacing w:val="-4"/>
          <w:sz w:val="24"/>
        </w:rPr>
        <w:t> </w:t>
      </w:r>
      <w:r>
        <w:rPr>
          <w:sz w:val="24"/>
        </w:rPr>
        <w:t>youth</w:t>
      </w:r>
      <w:r>
        <w:rPr>
          <w:spacing w:val="-4"/>
          <w:sz w:val="24"/>
        </w:rPr>
        <w:t> </w:t>
      </w:r>
      <w:r>
        <w:rPr>
          <w:sz w:val="24"/>
        </w:rPr>
        <w:t>with</w:t>
      </w:r>
      <w:r>
        <w:rPr>
          <w:spacing w:val="-4"/>
          <w:sz w:val="24"/>
        </w:rPr>
        <w:t> </w:t>
      </w:r>
      <w:r>
        <w:rPr>
          <w:sz w:val="24"/>
        </w:rPr>
        <w:t>a</w:t>
      </w:r>
      <w:r>
        <w:rPr>
          <w:spacing w:val="-4"/>
          <w:sz w:val="24"/>
        </w:rPr>
        <w:t> </w:t>
      </w:r>
      <w:r>
        <w:rPr>
          <w:sz w:val="24"/>
        </w:rPr>
        <w:t>most</w:t>
      </w:r>
      <w:r>
        <w:rPr>
          <w:spacing w:val="-3"/>
          <w:sz w:val="24"/>
        </w:rPr>
        <w:t> </w:t>
      </w:r>
      <w:r>
        <w:rPr>
          <w:sz w:val="24"/>
        </w:rPr>
        <w:t>significant</w:t>
      </w:r>
      <w:r>
        <w:rPr>
          <w:spacing w:val="-3"/>
          <w:sz w:val="24"/>
        </w:rPr>
        <w:t> </w:t>
      </w:r>
      <w:r>
        <w:rPr>
          <w:sz w:val="24"/>
        </w:rPr>
        <w:t>disability,</w:t>
      </w:r>
      <w:r>
        <w:rPr>
          <w:spacing w:val="-3"/>
          <w:sz w:val="24"/>
        </w:rPr>
        <w:t> </w:t>
      </w:r>
      <w:r>
        <w:rPr>
          <w:sz w:val="24"/>
        </w:rPr>
        <w:t>is</w:t>
      </w:r>
      <w:r>
        <w:rPr>
          <w:spacing w:val="-4"/>
          <w:sz w:val="24"/>
        </w:rPr>
        <w:t> </w:t>
      </w:r>
      <w:r>
        <w:rPr>
          <w:sz w:val="24"/>
        </w:rPr>
        <w:t>working on a short-term basis toward competitive integrated employment that is individualized, and customized, consistent with the unique strengths, abilities, interests, and informed choice of the individual, including with ongoing support services for individuals with the most significant disabilities who meet the requirements set forth in 34 CFR 361.5(c)(53).</w:t>
      </w:r>
    </w:p>
    <w:p>
      <w:pPr>
        <w:pStyle w:val="ListParagraph"/>
        <w:spacing w:after="0" w:line="240" w:lineRule="auto"/>
        <w:jc w:val="left"/>
        <w:rPr>
          <w:sz w:val="24"/>
        </w:rPr>
        <w:sectPr>
          <w:pgSz w:w="12240" w:h="15840"/>
          <w:pgMar w:top="1340" w:bottom="280" w:left="1080" w:right="720"/>
        </w:sectPr>
      </w:pPr>
    </w:p>
    <w:p>
      <w:pPr>
        <w:pStyle w:val="ListParagraph"/>
        <w:numPr>
          <w:ilvl w:val="1"/>
          <w:numId w:val="69"/>
        </w:numPr>
        <w:tabs>
          <w:tab w:pos="1966" w:val="left" w:leader="none"/>
        </w:tabs>
        <w:spacing w:line="240" w:lineRule="auto" w:before="80" w:after="0"/>
        <w:ind w:left="1620" w:right="1576" w:firstLine="0"/>
        <w:jc w:val="both"/>
        <w:rPr>
          <w:sz w:val="24"/>
        </w:rPr>
      </w:pPr>
      <w:r>
        <w:rPr>
          <w:sz w:val="24"/>
        </w:rPr>
        <w:t>For</w:t>
      </w:r>
      <w:r>
        <w:rPr>
          <w:spacing w:val="-7"/>
          <w:sz w:val="24"/>
        </w:rPr>
        <w:t> </w:t>
      </w:r>
      <w:r>
        <w:rPr>
          <w:sz w:val="24"/>
        </w:rPr>
        <w:t>whom</w:t>
      </w:r>
      <w:r>
        <w:rPr>
          <w:spacing w:val="-5"/>
          <w:sz w:val="24"/>
        </w:rPr>
        <w:t> </w:t>
      </w:r>
      <w:r>
        <w:rPr>
          <w:sz w:val="24"/>
        </w:rPr>
        <w:t>competitive</w:t>
      </w:r>
      <w:r>
        <w:rPr>
          <w:spacing w:val="-6"/>
          <w:sz w:val="24"/>
        </w:rPr>
        <w:t> </w:t>
      </w:r>
      <w:r>
        <w:rPr>
          <w:sz w:val="24"/>
        </w:rPr>
        <w:t>integrated</w:t>
      </w:r>
      <w:r>
        <w:rPr>
          <w:spacing w:val="-6"/>
          <w:sz w:val="24"/>
        </w:rPr>
        <w:t> </w:t>
      </w:r>
      <w:r>
        <w:rPr>
          <w:sz w:val="24"/>
        </w:rPr>
        <w:t>employment</w:t>
      </w:r>
      <w:r>
        <w:rPr>
          <w:spacing w:val="-5"/>
          <w:sz w:val="24"/>
        </w:rPr>
        <w:t> </w:t>
      </w:r>
      <w:r>
        <w:rPr>
          <w:sz w:val="24"/>
        </w:rPr>
        <w:t>has</w:t>
      </w:r>
      <w:r>
        <w:rPr>
          <w:spacing w:val="-6"/>
          <w:sz w:val="24"/>
        </w:rPr>
        <w:t> </w:t>
      </w:r>
      <w:r>
        <w:rPr>
          <w:sz w:val="24"/>
        </w:rPr>
        <w:t>not</w:t>
      </w:r>
      <w:r>
        <w:rPr>
          <w:spacing w:val="-5"/>
          <w:sz w:val="24"/>
        </w:rPr>
        <w:t> </w:t>
      </w:r>
      <w:r>
        <w:rPr>
          <w:sz w:val="24"/>
        </w:rPr>
        <w:t>historically occurred, or for whom competitive integrated employment has been interrupted or intermittent as a result of a significant disability; and</w:t>
      </w:r>
    </w:p>
    <w:p>
      <w:pPr>
        <w:pStyle w:val="ListParagraph"/>
        <w:numPr>
          <w:ilvl w:val="1"/>
          <w:numId w:val="69"/>
        </w:numPr>
        <w:tabs>
          <w:tab w:pos="2018" w:val="left" w:leader="none"/>
        </w:tabs>
        <w:spacing w:line="240" w:lineRule="auto" w:before="120" w:after="0"/>
        <w:ind w:left="1620" w:right="999" w:firstLine="0"/>
        <w:jc w:val="left"/>
        <w:rPr>
          <w:sz w:val="24"/>
        </w:rPr>
      </w:pPr>
      <w:r>
        <w:rPr>
          <w:sz w:val="24"/>
        </w:rPr>
        <w:t>Who, because of the nature and severity of their disabilities, need intensive</w:t>
      </w:r>
      <w:r>
        <w:rPr>
          <w:spacing w:val="-5"/>
          <w:sz w:val="24"/>
        </w:rPr>
        <w:t> </w:t>
      </w:r>
      <w:r>
        <w:rPr>
          <w:sz w:val="24"/>
        </w:rPr>
        <w:t>supported</w:t>
      </w:r>
      <w:r>
        <w:rPr>
          <w:spacing w:val="-5"/>
          <w:sz w:val="24"/>
        </w:rPr>
        <w:t> </w:t>
      </w:r>
      <w:r>
        <w:rPr>
          <w:sz w:val="24"/>
        </w:rPr>
        <w:t>employment</w:t>
      </w:r>
      <w:r>
        <w:rPr>
          <w:spacing w:val="-4"/>
          <w:sz w:val="24"/>
        </w:rPr>
        <w:t> </w:t>
      </w:r>
      <w:r>
        <w:rPr>
          <w:sz w:val="24"/>
        </w:rPr>
        <w:t>services</w:t>
      </w:r>
      <w:r>
        <w:rPr>
          <w:spacing w:val="-5"/>
          <w:sz w:val="24"/>
        </w:rPr>
        <w:t> </w:t>
      </w:r>
      <w:r>
        <w:rPr>
          <w:sz w:val="24"/>
        </w:rPr>
        <w:t>and</w:t>
      </w:r>
      <w:r>
        <w:rPr>
          <w:spacing w:val="-5"/>
          <w:sz w:val="24"/>
        </w:rPr>
        <w:t> </w:t>
      </w:r>
      <w:r>
        <w:rPr>
          <w:sz w:val="24"/>
        </w:rPr>
        <w:t>extended</w:t>
      </w:r>
      <w:r>
        <w:rPr>
          <w:spacing w:val="-5"/>
          <w:sz w:val="24"/>
        </w:rPr>
        <w:t> </w:t>
      </w:r>
      <w:r>
        <w:rPr>
          <w:sz w:val="24"/>
        </w:rPr>
        <w:t>services</w:t>
      </w:r>
      <w:r>
        <w:rPr>
          <w:spacing w:val="-5"/>
          <w:sz w:val="24"/>
        </w:rPr>
        <w:t> </w:t>
      </w:r>
      <w:r>
        <w:rPr>
          <w:sz w:val="24"/>
        </w:rPr>
        <w:t>after</w:t>
      </w:r>
      <w:r>
        <w:rPr>
          <w:spacing w:val="-6"/>
          <w:sz w:val="24"/>
        </w:rPr>
        <w:t> </w:t>
      </w:r>
      <w:r>
        <w:rPr>
          <w:sz w:val="24"/>
        </w:rPr>
        <w:t>the transition from support provided by the designated state unit, in order to perform this work.</w:t>
      </w:r>
    </w:p>
    <w:p>
      <w:pPr>
        <w:pStyle w:val="ListParagraph"/>
        <w:numPr>
          <w:ilvl w:val="0"/>
          <w:numId w:val="69"/>
        </w:numPr>
        <w:tabs>
          <w:tab w:pos="1532" w:val="left" w:leader="none"/>
        </w:tabs>
        <w:spacing w:line="240" w:lineRule="auto" w:before="120" w:after="0"/>
        <w:ind w:left="1079" w:right="738" w:firstLine="0"/>
        <w:jc w:val="left"/>
        <w:rPr>
          <w:sz w:val="24"/>
        </w:rPr>
      </w:pPr>
      <w:r>
        <w:rPr>
          <w:sz w:val="24"/>
        </w:rPr>
        <w:t>For purposes of this part, an individual with a most significant disability, whose</w:t>
      </w:r>
      <w:r>
        <w:rPr>
          <w:spacing w:val="-4"/>
          <w:sz w:val="24"/>
        </w:rPr>
        <w:t> </w:t>
      </w:r>
      <w:r>
        <w:rPr>
          <w:sz w:val="24"/>
        </w:rPr>
        <w:t>supported</w:t>
      </w:r>
      <w:r>
        <w:rPr>
          <w:spacing w:val="-4"/>
          <w:sz w:val="24"/>
        </w:rPr>
        <w:t> </w:t>
      </w:r>
      <w:r>
        <w:rPr>
          <w:sz w:val="24"/>
        </w:rPr>
        <w:t>employment</w:t>
      </w:r>
      <w:r>
        <w:rPr>
          <w:spacing w:val="-3"/>
          <w:sz w:val="24"/>
        </w:rPr>
        <w:t> </w:t>
      </w:r>
      <w:r>
        <w:rPr>
          <w:sz w:val="24"/>
        </w:rPr>
        <w:t>in</w:t>
      </w:r>
      <w:r>
        <w:rPr>
          <w:spacing w:val="-4"/>
          <w:sz w:val="24"/>
        </w:rPr>
        <w:t> </w:t>
      </w:r>
      <w:r>
        <w:rPr>
          <w:sz w:val="24"/>
        </w:rPr>
        <w:t>an</w:t>
      </w:r>
      <w:r>
        <w:rPr>
          <w:spacing w:val="-4"/>
          <w:sz w:val="24"/>
        </w:rPr>
        <w:t> </w:t>
      </w:r>
      <w:r>
        <w:rPr>
          <w:sz w:val="24"/>
        </w:rPr>
        <w:t>integrated</w:t>
      </w:r>
      <w:r>
        <w:rPr>
          <w:spacing w:val="-4"/>
          <w:sz w:val="24"/>
        </w:rPr>
        <w:t> </w:t>
      </w:r>
      <w:r>
        <w:rPr>
          <w:sz w:val="24"/>
        </w:rPr>
        <w:t>setting</w:t>
      </w:r>
      <w:r>
        <w:rPr>
          <w:spacing w:val="-4"/>
          <w:sz w:val="24"/>
        </w:rPr>
        <w:t> </w:t>
      </w:r>
      <w:r>
        <w:rPr>
          <w:sz w:val="24"/>
        </w:rPr>
        <w:t>does</w:t>
      </w:r>
      <w:r>
        <w:rPr>
          <w:spacing w:val="-4"/>
          <w:sz w:val="24"/>
        </w:rPr>
        <w:t> </w:t>
      </w:r>
      <w:r>
        <w:rPr>
          <w:sz w:val="24"/>
        </w:rPr>
        <w:t>not</w:t>
      </w:r>
      <w:r>
        <w:rPr>
          <w:spacing w:val="-3"/>
          <w:sz w:val="24"/>
        </w:rPr>
        <w:t> </w:t>
      </w:r>
      <w:r>
        <w:rPr>
          <w:sz w:val="24"/>
        </w:rPr>
        <w:t>satisfy</w:t>
      </w:r>
      <w:r>
        <w:rPr>
          <w:spacing w:val="-4"/>
          <w:sz w:val="24"/>
        </w:rPr>
        <w:t> </w:t>
      </w:r>
      <w:r>
        <w:rPr>
          <w:sz w:val="24"/>
        </w:rPr>
        <w:t>the</w:t>
      </w:r>
      <w:r>
        <w:rPr>
          <w:spacing w:val="-4"/>
          <w:sz w:val="24"/>
        </w:rPr>
        <w:t> </w:t>
      </w:r>
      <w:r>
        <w:rPr>
          <w:sz w:val="24"/>
        </w:rPr>
        <w:t>criteria of competitive integrated employment, as defined in paragraph (c)(9) of this section is considered to be working on a short-term basis toward competitive integrated employment so long as the individual can reasonably anticipate achieving competitive integrated employment –</w:t>
      </w:r>
    </w:p>
    <w:p>
      <w:pPr>
        <w:pStyle w:val="ListParagraph"/>
        <w:numPr>
          <w:ilvl w:val="1"/>
          <w:numId w:val="69"/>
        </w:numPr>
        <w:tabs>
          <w:tab w:pos="1965" w:val="left" w:leader="none"/>
        </w:tabs>
        <w:spacing w:line="240" w:lineRule="auto" w:before="240" w:after="0"/>
        <w:ind w:left="1965" w:right="0" w:hanging="346"/>
        <w:jc w:val="left"/>
        <w:rPr>
          <w:sz w:val="24"/>
        </w:rPr>
      </w:pPr>
      <w:r>
        <w:rPr>
          <w:sz w:val="24"/>
        </w:rPr>
        <w:t>Within</w:t>
      </w:r>
      <w:r>
        <w:rPr>
          <w:spacing w:val="-4"/>
          <w:sz w:val="24"/>
        </w:rPr>
        <w:t> </w:t>
      </w:r>
      <w:r>
        <w:rPr>
          <w:sz w:val="24"/>
        </w:rPr>
        <w:t>six</w:t>
      </w:r>
      <w:r>
        <w:rPr>
          <w:spacing w:val="-4"/>
          <w:sz w:val="24"/>
        </w:rPr>
        <w:t> </w:t>
      </w:r>
      <w:r>
        <w:rPr>
          <w:sz w:val="24"/>
        </w:rPr>
        <w:t>months</w:t>
      </w:r>
      <w:r>
        <w:rPr>
          <w:spacing w:val="-3"/>
          <w:sz w:val="24"/>
        </w:rPr>
        <w:t> </w:t>
      </w:r>
      <w:r>
        <w:rPr>
          <w:sz w:val="24"/>
        </w:rPr>
        <w:t>of</w:t>
      </w:r>
      <w:r>
        <w:rPr>
          <w:spacing w:val="-3"/>
          <w:sz w:val="24"/>
        </w:rPr>
        <w:t> </w:t>
      </w:r>
      <w:r>
        <w:rPr>
          <w:sz w:val="24"/>
        </w:rPr>
        <w:t>achieving</w:t>
      </w:r>
      <w:r>
        <w:rPr>
          <w:spacing w:val="-2"/>
          <w:sz w:val="24"/>
        </w:rPr>
        <w:t> </w:t>
      </w:r>
      <w:r>
        <w:rPr>
          <w:sz w:val="24"/>
        </w:rPr>
        <w:t>a</w:t>
      </w:r>
      <w:r>
        <w:rPr>
          <w:spacing w:val="-4"/>
          <w:sz w:val="24"/>
        </w:rPr>
        <w:t> </w:t>
      </w:r>
      <w:r>
        <w:rPr>
          <w:sz w:val="24"/>
        </w:rPr>
        <w:t>supported</w:t>
      </w:r>
      <w:r>
        <w:rPr>
          <w:spacing w:val="-3"/>
          <w:sz w:val="24"/>
        </w:rPr>
        <w:t> </w:t>
      </w:r>
      <w:r>
        <w:rPr>
          <w:sz w:val="24"/>
        </w:rPr>
        <w:t>employment</w:t>
      </w:r>
      <w:r>
        <w:rPr>
          <w:spacing w:val="-3"/>
          <w:sz w:val="24"/>
        </w:rPr>
        <w:t> </w:t>
      </w:r>
      <w:r>
        <w:rPr>
          <w:sz w:val="24"/>
        </w:rPr>
        <w:t>outcome;</w:t>
      </w:r>
      <w:r>
        <w:rPr>
          <w:spacing w:val="-2"/>
          <w:sz w:val="24"/>
        </w:rPr>
        <w:t> </w:t>
      </w:r>
      <w:r>
        <w:rPr>
          <w:spacing w:val="-5"/>
          <w:sz w:val="24"/>
        </w:rPr>
        <w:t>or</w:t>
      </w:r>
    </w:p>
    <w:p>
      <w:pPr>
        <w:pStyle w:val="ListParagraph"/>
        <w:numPr>
          <w:ilvl w:val="1"/>
          <w:numId w:val="69"/>
        </w:numPr>
        <w:tabs>
          <w:tab w:pos="2017" w:val="left" w:leader="none"/>
        </w:tabs>
        <w:spacing w:line="240" w:lineRule="auto" w:before="241" w:after="0"/>
        <w:ind w:left="1619" w:right="732" w:firstLine="0"/>
        <w:jc w:val="left"/>
        <w:rPr>
          <w:sz w:val="24"/>
        </w:rPr>
      </w:pPr>
      <w:r>
        <w:rPr>
          <w:sz w:val="24"/>
        </w:rPr>
        <w:t>In limited circumstances, within a period not to exceed 12 months from the</w:t>
      </w:r>
      <w:r>
        <w:rPr>
          <w:spacing w:val="-4"/>
          <w:sz w:val="24"/>
        </w:rPr>
        <w:t> </w:t>
      </w:r>
      <w:r>
        <w:rPr>
          <w:sz w:val="24"/>
        </w:rPr>
        <w:t>achievement</w:t>
      </w:r>
      <w:r>
        <w:rPr>
          <w:spacing w:val="-3"/>
          <w:sz w:val="24"/>
        </w:rPr>
        <w:t> </w:t>
      </w:r>
      <w:r>
        <w:rPr>
          <w:sz w:val="24"/>
        </w:rPr>
        <w:t>of</w:t>
      </w:r>
      <w:r>
        <w:rPr>
          <w:spacing w:val="-5"/>
          <w:sz w:val="24"/>
        </w:rPr>
        <w:t> </w:t>
      </w:r>
      <w:r>
        <w:rPr>
          <w:sz w:val="24"/>
        </w:rPr>
        <w:t>the</w:t>
      </w:r>
      <w:r>
        <w:rPr>
          <w:spacing w:val="-4"/>
          <w:sz w:val="24"/>
        </w:rPr>
        <w:t> </w:t>
      </w:r>
      <w:r>
        <w:rPr>
          <w:sz w:val="24"/>
        </w:rPr>
        <w:t>supported</w:t>
      </w:r>
      <w:r>
        <w:rPr>
          <w:spacing w:val="-4"/>
          <w:sz w:val="24"/>
        </w:rPr>
        <w:t> </w:t>
      </w:r>
      <w:r>
        <w:rPr>
          <w:sz w:val="24"/>
        </w:rPr>
        <w:t>employment</w:t>
      </w:r>
      <w:r>
        <w:rPr>
          <w:spacing w:val="-3"/>
          <w:sz w:val="24"/>
        </w:rPr>
        <w:t> </w:t>
      </w:r>
      <w:r>
        <w:rPr>
          <w:sz w:val="24"/>
        </w:rPr>
        <w:t>outcome,</w:t>
      </w:r>
      <w:r>
        <w:rPr>
          <w:spacing w:val="-3"/>
          <w:sz w:val="24"/>
        </w:rPr>
        <w:t> </w:t>
      </w:r>
      <w:r>
        <w:rPr>
          <w:sz w:val="24"/>
        </w:rPr>
        <w:t>if</w:t>
      </w:r>
      <w:r>
        <w:rPr>
          <w:spacing w:val="-3"/>
          <w:sz w:val="24"/>
        </w:rPr>
        <w:t> </w:t>
      </w:r>
      <w:r>
        <w:rPr>
          <w:sz w:val="24"/>
        </w:rPr>
        <w:t>a</w:t>
      </w:r>
      <w:r>
        <w:rPr>
          <w:spacing w:val="-5"/>
          <w:sz w:val="24"/>
        </w:rPr>
        <w:t> </w:t>
      </w:r>
      <w:r>
        <w:rPr>
          <w:sz w:val="24"/>
        </w:rPr>
        <w:t>longer</w:t>
      </w:r>
      <w:r>
        <w:rPr>
          <w:spacing w:val="-3"/>
          <w:sz w:val="24"/>
        </w:rPr>
        <w:t> </w:t>
      </w:r>
      <w:r>
        <w:rPr>
          <w:sz w:val="24"/>
        </w:rPr>
        <w:t>period</w:t>
      </w:r>
      <w:r>
        <w:rPr>
          <w:spacing w:val="-4"/>
          <w:sz w:val="24"/>
        </w:rPr>
        <w:t> </w:t>
      </w:r>
      <w:r>
        <w:rPr>
          <w:sz w:val="24"/>
        </w:rPr>
        <w:t>is necessary based on the needs of the individual, and the individual has demonstrated progress toward competitive earnings based on information contained in the service record.</w:t>
      </w:r>
    </w:p>
    <w:p>
      <w:pPr>
        <w:pStyle w:val="BodyText"/>
        <w:spacing w:line="208" w:lineRule="auto" w:before="235"/>
        <w:ind w:left="359" w:right="775" w:firstLine="432"/>
      </w:pPr>
      <w:r>
        <w:rPr>
          <w:b/>
        </w:rPr>
        <w:t>"Supported</w:t>
      </w:r>
      <w:r>
        <w:rPr>
          <w:b/>
          <w:spacing w:val="-7"/>
        </w:rPr>
        <w:t> </w:t>
      </w:r>
      <w:r>
        <w:rPr>
          <w:b/>
        </w:rPr>
        <w:t>employment</w:t>
      </w:r>
      <w:r>
        <w:rPr>
          <w:b/>
          <w:spacing w:val="-6"/>
        </w:rPr>
        <w:t> </w:t>
      </w:r>
      <w:r>
        <w:rPr>
          <w:b/>
        </w:rPr>
        <w:t>services"</w:t>
      </w:r>
      <w:r>
        <w:rPr>
          <w:b/>
          <w:spacing w:val="-6"/>
        </w:rPr>
        <w:t> </w:t>
      </w:r>
      <w:r>
        <w:rPr/>
        <w:t>means</w:t>
      </w:r>
      <w:r>
        <w:rPr>
          <w:spacing w:val="-7"/>
        </w:rPr>
        <w:t> </w:t>
      </w:r>
      <w:r>
        <w:rPr/>
        <w:t>ongoing</w:t>
      </w:r>
      <w:r>
        <w:rPr>
          <w:spacing w:val="-7"/>
        </w:rPr>
        <w:t> </w:t>
      </w:r>
      <w:r>
        <w:rPr/>
        <w:t>support</w:t>
      </w:r>
      <w:r>
        <w:rPr>
          <w:spacing w:val="-6"/>
        </w:rPr>
        <w:t> </w:t>
      </w:r>
      <w:r>
        <w:rPr/>
        <w:t>services,</w:t>
      </w:r>
      <w:r>
        <w:rPr>
          <w:spacing w:val="-6"/>
        </w:rPr>
        <w:t> </w:t>
      </w:r>
      <w:r>
        <w:rPr/>
        <w:t>including customized employment, and other appropriate services needed to support and maintain an individual with a most significant disability, including a youth with a most significant disability, in supported employment that are:</w:t>
      </w:r>
    </w:p>
    <w:p>
      <w:pPr>
        <w:pStyle w:val="ListParagraph"/>
        <w:numPr>
          <w:ilvl w:val="0"/>
          <w:numId w:val="70"/>
        </w:numPr>
        <w:tabs>
          <w:tab w:pos="1262" w:val="left" w:leader="none"/>
        </w:tabs>
        <w:spacing w:line="208" w:lineRule="auto" w:before="240" w:after="0"/>
        <w:ind w:left="810" w:right="1102" w:firstLine="0"/>
        <w:jc w:val="left"/>
        <w:rPr>
          <w:sz w:val="24"/>
        </w:rPr>
      </w:pPr>
      <w:r>
        <w:rPr>
          <w:sz w:val="24"/>
        </w:rPr>
        <w:t>Organized</w:t>
      </w:r>
      <w:r>
        <w:rPr>
          <w:spacing w:val="-3"/>
          <w:sz w:val="24"/>
        </w:rPr>
        <w:t> </w:t>
      </w:r>
      <w:r>
        <w:rPr>
          <w:sz w:val="24"/>
        </w:rPr>
        <w:t>and</w:t>
      </w:r>
      <w:r>
        <w:rPr>
          <w:spacing w:val="-3"/>
          <w:sz w:val="24"/>
        </w:rPr>
        <w:t> </w:t>
      </w:r>
      <w:r>
        <w:rPr>
          <w:sz w:val="24"/>
        </w:rPr>
        <w:t>made</w:t>
      </w:r>
      <w:r>
        <w:rPr>
          <w:spacing w:val="-3"/>
          <w:sz w:val="24"/>
        </w:rPr>
        <w:t> </w:t>
      </w:r>
      <w:r>
        <w:rPr>
          <w:sz w:val="24"/>
        </w:rPr>
        <w:t>available,</w:t>
      </w:r>
      <w:r>
        <w:rPr>
          <w:spacing w:val="-2"/>
          <w:sz w:val="24"/>
        </w:rPr>
        <w:t> </w:t>
      </w:r>
      <w:r>
        <w:rPr>
          <w:sz w:val="24"/>
        </w:rPr>
        <w:t>singly</w:t>
      </w:r>
      <w:r>
        <w:rPr>
          <w:spacing w:val="-3"/>
          <w:sz w:val="24"/>
        </w:rPr>
        <w:t> </w:t>
      </w:r>
      <w:r>
        <w:rPr>
          <w:sz w:val="24"/>
        </w:rPr>
        <w:t>or</w:t>
      </w:r>
      <w:r>
        <w:rPr>
          <w:spacing w:val="-2"/>
          <w:sz w:val="24"/>
        </w:rPr>
        <w:t> </w:t>
      </w:r>
      <w:r>
        <w:rPr>
          <w:sz w:val="24"/>
        </w:rPr>
        <w:t>in</w:t>
      </w:r>
      <w:r>
        <w:rPr>
          <w:spacing w:val="-3"/>
          <w:sz w:val="24"/>
        </w:rPr>
        <w:t> </w:t>
      </w:r>
      <w:r>
        <w:rPr>
          <w:sz w:val="24"/>
        </w:rPr>
        <w:t>combination,</w:t>
      </w:r>
      <w:r>
        <w:rPr>
          <w:spacing w:val="-2"/>
          <w:sz w:val="24"/>
        </w:rPr>
        <w:t> </w:t>
      </w:r>
      <w:r>
        <w:rPr>
          <w:sz w:val="24"/>
        </w:rPr>
        <w:t>in</w:t>
      </w:r>
      <w:r>
        <w:rPr>
          <w:spacing w:val="-3"/>
          <w:sz w:val="24"/>
        </w:rPr>
        <w:t> </w:t>
      </w:r>
      <w:r>
        <w:rPr>
          <w:sz w:val="24"/>
        </w:rPr>
        <w:t>such</w:t>
      </w:r>
      <w:r>
        <w:rPr>
          <w:spacing w:val="-3"/>
          <w:sz w:val="24"/>
        </w:rPr>
        <w:t> </w:t>
      </w:r>
      <w:r>
        <w:rPr>
          <w:sz w:val="24"/>
        </w:rPr>
        <w:t>a</w:t>
      </w:r>
      <w:r>
        <w:rPr>
          <w:spacing w:val="-3"/>
          <w:sz w:val="24"/>
        </w:rPr>
        <w:t> </w:t>
      </w:r>
      <w:r>
        <w:rPr>
          <w:sz w:val="24"/>
        </w:rPr>
        <w:t>way</w:t>
      </w:r>
      <w:r>
        <w:rPr>
          <w:spacing w:val="-3"/>
          <w:sz w:val="24"/>
        </w:rPr>
        <w:t> </w:t>
      </w:r>
      <w:r>
        <w:rPr>
          <w:sz w:val="24"/>
        </w:rPr>
        <w:t>as</w:t>
      </w:r>
      <w:r>
        <w:rPr>
          <w:spacing w:val="-3"/>
          <w:sz w:val="24"/>
        </w:rPr>
        <w:t> </w:t>
      </w:r>
      <w:r>
        <w:rPr>
          <w:sz w:val="24"/>
        </w:rPr>
        <w:t>to assist an eligible individual to achieve competitive integrated employment;</w:t>
      </w:r>
    </w:p>
    <w:p>
      <w:pPr>
        <w:pStyle w:val="ListParagraph"/>
        <w:numPr>
          <w:ilvl w:val="0"/>
          <w:numId w:val="70"/>
        </w:numPr>
        <w:tabs>
          <w:tab w:pos="1263" w:val="left" w:leader="none"/>
        </w:tabs>
        <w:spacing w:line="208" w:lineRule="auto" w:before="240" w:after="0"/>
        <w:ind w:left="810" w:right="914" w:firstLine="0"/>
        <w:jc w:val="left"/>
        <w:rPr>
          <w:sz w:val="24"/>
        </w:rPr>
      </w:pPr>
      <w:r>
        <w:rPr>
          <w:sz w:val="24"/>
        </w:rPr>
        <w:t>Based</w:t>
      </w:r>
      <w:r>
        <w:rPr>
          <w:spacing w:val="-4"/>
          <w:sz w:val="24"/>
        </w:rPr>
        <w:t> </w:t>
      </w:r>
      <w:r>
        <w:rPr>
          <w:sz w:val="24"/>
        </w:rPr>
        <w:t>on</w:t>
      </w:r>
      <w:r>
        <w:rPr>
          <w:spacing w:val="-3"/>
          <w:sz w:val="24"/>
        </w:rPr>
        <w:t> </w:t>
      </w:r>
      <w:r>
        <w:rPr>
          <w:sz w:val="24"/>
        </w:rPr>
        <w:t>a</w:t>
      </w:r>
      <w:r>
        <w:rPr>
          <w:spacing w:val="-3"/>
          <w:sz w:val="24"/>
        </w:rPr>
        <w:t> </w:t>
      </w:r>
      <w:r>
        <w:rPr>
          <w:sz w:val="24"/>
        </w:rPr>
        <w:t>determination</w:t>
      </w:r>
      <w:r>
        <w:rPr>
          <w:spacing w:val="-3"/>
          <w:sz w:val="24"/>
        </w:rPr>
        <w:t> </w:t>
      </w:r>
      <w:r>
        <w:rPr>
          <w:sz w:val="24"/>
        </w:rPr>
        <w:t>of</w:t>
      </w:r>
      <w:r>
        <w:rPr>
          <w:spacing w:val="-2"/>
          <w:sz w:val="24"/>
        </w:rPr>
        <w:t> </w:t>
      </w:r>
      <w:r>
        <w:rPr>
          <w:sz w:val="24"/>
        </w:rPr>
        <w:t>the</w:t>
      </w:r>
      <w:r>
        <w:rPr>
          <w:spacing w:val="-3"/>
          <w:sz w:val="24"/>
        </w:rPr>
        <w:t> </w:t>
      </w:r>
      <w:r>
        <w:rPr>
          <w:sz w:val="24"/>
        </w:rPr>
        <w:t>needs</w:t>
      </w:r>
      <w:r>
        <w:rPr>
          <w:spacing w:val="-3"/>
          <w:sz w:val="24"/>
        </w:rPr>
        <w:t> </w:t>
      </w:r>
      <w:r>
        <w:rPr>
          <w:sz w:val="24"/>
        </w:rPr>
        <w:t>of</w:t>
      </w:r>
      <w:r>
        <w:rPr>
          <w:spacing w:val="-2"/>
          <w:sz w:val="24"/>
        </w:rPr>
        <w:t> </w:t>
      </w:r>
      <w:r>
        <w:rPr>
          <w:sz w:val="24"/>
        </w:rPr>
        <w:t>an</w:t>
      </w:r>
      <w:r>
        <w:rPr>
          <w:spacing w:val="-3"/>
          <w:sz w:val="24"/>
        </w:rPr>
        <w:t> </w:t>
      </w:r>
      <w:r>
        <w:rPr>
          <w:sz w:val="24"/>
        </w:rPr>
        <w:t>eligible</w:t>
      </w:r>
      <w:r>
        <w:rPr>
          <w:spacing w:val="-3"/>
          <w:sz w:val="24"/>
        </w:rPr>
        <w:t> </w:t>
      </w:r>
      <w:r>
        <w:rPr>
          <w:sz w:val="24"/>
        </w:rPr>
        <w:t>individual,</w:t>
      </w:r>
      <w:r>
        <w:rPr>
          <w:spacing w:val="-2"/>
          <w:sz w:val="24"/>
        </w:rPr>
        <w:t> </w:t>
      </w:r>
      <w:r>
        <w:rPr>
          <w:sz w:val="24"/>
        </w:rPr>
        <w:t>as</w:t>
      </w:r>
      <w:r>
        <w:rPr>
          <w:spacing w:val="-3"/>
          <w:sz w:val="24"/>
        </w:rPr>
        <w:t> </w:t>
      </w:r>
      <w:r>
        <w:rPr>
          <w:sz w:val="24"/>
        </w:rPr>
        <w:t>specified</w:t>
      </w:r>
      <w:r>
        <w:rPr>
          <w:spacing w:val="-3"/>
          <w:sz w:val="24"/>
        </w:rPr>
        <w:t> </w:t>
      </w:r>
      <w:r>
        <w:rPr>
          <w:sz w:val="24"/>
        </w:rPr>
        <w:t>in an individualized plan for employment;</w:t>
      </w:r>
    </w:p>
    <w:p>
      <w:pPr>
        <w:pStyle w:val="ListParagraph"/>
        <w:numPr>
          <w:ilvl w:val="0"/>
          <w:numId w:val="70"/>
        </w:numPr>
        <w:tabs>
          <w:tab w:pos="1276" w:val="left" w:leader="none"/>
        </w:tabs>
        <w:spacing w:line="208" w:lineRule="auto" w:before="239" w:after="0"/>
        <w:ind w:left="810" w:right="889" w:firstLine="0"/>
        <w:jc w:val="left"/>
        <w:rPr>
          <w:sz w:val="24"/>
        </w:rPr>
      </w:pPr>
      <w:r>
        <w:rPr>
          <w:sz w:val="24"/>
        </w:rPr>
        <w:t>Provided by the designated State unit for a period of time not to exceed 24 months, unless under special circumstances the eligible individual and the rehabilitation</w:t>
      </w:r>
      <w:r>
        <w:rPr>
          <w:spacing w:val="-4"/>
          <w:sz w:val="24"/>
        </w:rPr>
        <w:t> </w:t>
      </w:r>
      <w:r>
        <w:rPr>
          <w:sz w:val="24"/>
        </w:rPr>
        <w:t>counselor</w:t>
      </w:r>
      <w:r>
        <w:rPr>
          <w:spacing w:val="-3"/>
          <w:sz w:val="24"/>
        </w:rPr>
        <w:t> </w:t>
      </w:r>
      <w:r>
        <w:rPr>
          <w:sz w:val="24"/>
        </w:rPr>
        <w:t>jointly</w:t>
      </w:r>
      <w:r>
        <w:rPr>
          <w:spacing w:val="-4"/>
          <w:sz w:val="24"/>
        </w:rPr>
        <w:t> </w:t>
      </w:r>
      <w:r>
        <w:rPr>
          <w:sz w:val="24"/>
        </w:rPr>
        <w:t>agree</w:t>
      </w:r>
      <w:r>
        <w:rPr>
          <w:spacing w:val="-4"/>
          <w:sz w:val="24"/>
        </w:rPr>
        <w:t> </w:t>
      </w:r>
      <w:r>
        <w:rPr>
          <w:sz w:val="24"/>
        </w:rPr>
        <w:t>to</w:t>
      </w:r>
      <w:r>
        <w:rPr>
          <w:spacing w:val="-4"/>
          <w:sz w:val="24"/>
        </w:rPr>
        <w:t> </w:t>
      </w:r>
      <w:r>
        <w:rPr>
          <w:sz w:val="24"/>
        </w:rPr>
        <w:t>extend</w:t>
      </w:r>
      <w:r>
        <w:rPr>
          <w:spacing w:val="-4"/>
          <w:sz w:val="24"/>
        </w:rPr>
        <w:t> </w:t>
      </w:r>
      <w:r>
        <w:rPr>
          <w:sz w:val="24"/>
        </w:rPr>
        <w:t>the</w:t>
      </w:r>
      <w:r>
        <w:rPr>
          <w:spacing w:val="-4"/>
          <w:sz w:val="24"/>
        </w:rPr>
        <w:t> </w:t>
      </w:r>
      <w:r>
        <w:rPr>
          <w:sz w:val="24"/>
        </w:rPr>
        <w:t>time</w:t>
      </w:r>
      <w:r>
        <w:rPr>
          <w:spacing w:val="-5"/>
          <w:sz w:val="24"/>
        </w:rPr>
        <w:t> </w:t>
      </w:r>
      <w:r>
        <w:rPr>
          <w:sz w:val="24"/>
        </w:rPr>
        <w:t>to</w:t>
      </w:r>
      <w:r>
        <w:rPr>
          <w:spacing w:val="-4"/>
          <w:sz w:val="24"/>
        </w:rPr>
        <w:t> </w:t>
      </w:r>
      <w:r>
        <w:rPr>
          <w:sz w:val="24"/>
        </w:rPr>
        <w:t>achieve</w:t>
      </w:r>
      <w:r>
        <w:rPr>
          <w:spacing w:val="-4"/>
          <w:sz w:val="24"/>
        </w:rPr>
        <w:t> </w:t>
      </w:r>
      <w:r>
        <w:rPr>
          <w:sz w:val="24"/>
        </w:rPr>
        <w:t>the</w:t>
      </w:r>
      <w:r>
        <w:rPr>
          <w:spacing w:val="-4"/>
          <w:sz w:val="24"/>
        </w:rPr>
        <w:t> </w:t>
      </w:r>
      <w:r>
        <w:rPr>
          <w:sz w:val="24"/>
        </w:rPr>
        <w:t>employment outcome identified in the individualized plan for employment; and</w:t>
      </w:r>
    </w:p>
    <w:p>
      <w:pPr>
        <w:pStyle w:val="BodyText"/>
        <w:spacing w:line="208" w:lineRule="auto"/>
        <w:ind w:right="775" w:firstLine="450"/>
      </w:pPr>
      <w:r>
        <w:rPr>
          <w:b/>
        </w:rPr>
        <w:t>"Team Meeting" </w:t>
      </w:r>
      <w:r>
        <w:rPr/>
        <w:t>means a meeting between the individual, guardian, EC, DRS Counselor,</w:t>
      </w:r>
      <w:r>
        <w:rPr>
          <w:spacing w:val="-3"/>
        </w:rPr>
        <w:t> </w:t>
      </w:r>
      <w:r>
        <w:rPr/>
        <w:t>and</w:t>
      </w:r>
      <w:r>
        <w:rPr>
          <w:spacing w:val="-4"/>
        </w:rPr>
        <w:t> </w:t>
      </w:r>
      <w:r>
        <w:rPr/>
        <w:t>all</w:t>
      </w:r>
      <w:r>
        <w:rPr>
          <w:spacing w:val="-4"/>
        </w:rPr>
        <w:t> </w:t>
      </w:r>
      <w:r>
        <w:rPr/>
        <w:t>other</w:t>
      </w:r>
      <w:r>
        <w:rPr>
          <w:spacing w:val="-3"/>
        </w:rPr>
        <w:t> </w:t>
      </w:r>
      <w:r>
        <w:rPr/>
        <w:t>team</w:t>
      </w:r>
      <w:r>
        <w:rPr>
          <w:spacing w:val="-5"/>
        </w:rPr>
        <w:t> </w:t>
      </w:r>
      <w:r>
        <w:rPr/>
        <w:t>members</w:t>
      </w:r>
      <w:r>
        <w:rPr>
          <w:spacing w:val="-4"/>
        </w:rPr>
        <w:t> </w:t>
      </w:r>
      <w:r>
        <w:rPr/>
        <w:t>chosen</w:t>
      </w:r>
      <w:r>
        <w:rPr>
          <w:spacing w:val="-4"/>
        </w:rPr>
        <w:t> </w:t>
      </w:r>
      <w:r>
        <w:rPr/>
        <w:t>by</w:t>
      </w:r>
      <w:r>
        <w:rPr>
          <w:spacing w:val="-4"/>
        </w:rPr>
        <w:t> </w:t>
      </w:r>
      <w:r>
        <w:rPr/>
        <w:t>the</w:t>
      </w:r>
      <w:r>
        <w:rPr>
          <w:spacing w:val="-4"/>
        </w:rPr>
        <w:t> </w:t>
      </w:r>
      <w:r>
        <w:rPr/>
        <w:t>individual</w:t>
      </w:r>
      <w:r>
        <w:rPr>
          <w:spacing w:val="-4"/>
        </w:rPr>
        <w:t> </w:t>
      </w:r>
      <w:r>
        <w:rPr/>
        <w:t>and/or</w:t>
      </w:r>
      <w:r>
        <w:rPr>
          <w:spacing w:val="-3"/>
        </w:rPr>
        <w:t> </w:t>
      </w:r>
      <w:r>
        <w:rPr/>
        <w:t>guardian.</w:t>
      </w:r>
      <w:r>
        <w:rPr>
          <w:spacing w:val="-3"/>
        </w:rPr>
        <w:t> </w:t>
      </w:r>
      <w:r>
        <w:rPr/>
        <w:t>The individual, or with the support of a designee identified by the individual, will lead the </w:t>
      </w:r>
      <w:r>
        <w:rPr>
          <w:spacing w:val="-2"/>
        </w:rPr>
        <w:t>meeting.</w:t>
      </w:r>
    </w:p>
    <w:p>
      <w:pPr>
        <w:pStyle w:val="BodyText"/>
        <w:spacing w:line="208" w:lineRule="auto"/>
        <w:ind w:right="739" w:firstLine="432"/>
      </w:pPr>
      <w:r>
        <w:rPr>
          <w:b/>
        </w:rPr>
        <w:t>"Transition services" </w:t>
      </w:r>
      <w:r>
        <w:rPr/>
        <w:t>means, for a student or a youth with a disability, a coordinated</w:t>
      </w:r>
      <w:r>
        <w:rPr>
          <w:spacing w:val="-4"/>
        </w:rPr>
        <w:t> </w:t>
      </w:r>
      <w:r>
        <w:rPr/>
        <w:t>set</w:t>
      </w:r>
      <w:r>
        <w:rPr>
          <w:spacing w:val="-3"/>
        </w:rPr>
        <w:t> </w:t>
      </w:r>
      <w:r>
        <w:rPr/>
        <w:t>of</w:t>
      </w:r>
      <w:r>
        <w:rPr>
          <w:spacing w:val="-5"/>
        </w:rPr>
        <w:t> </w:t>
      </w:r>
      <w:r>
        <w:rPr/>
        <w:t>activities</w:t>
      </w:r>
      <w:r>
        <w:rPr>
          <w:spacing w:val="-4"/>
        </w:rPr>
        <w:t> </w:t>
      </w:r>
      <w:r>
        <w:rPr/>
        <w:t>designed</w:t>
      </w:r>
      <w:r>
        <w:rPr>
          <w:spacing w:val="-4"/>
        </w:rPr>
        <w:t> </w:t>
      </w:r>
      <w:r>
        <w:rPr/>
        <w:t>within</w:t>
      </w:r>
      <w:r>
        <w:rPr>
          <w:spacing w:val="-4"/>
        </w:rPr>
        <w:t> </w:t>
      </w:r>
      <w:r>
        <w:rPr/>
        <w:t>an</w:t>
      </w:r>
      <w:r>
        <w:rPr>
          <w:spacing w:val="-4"/>
        </w:rPr>
        <w:t> </w:t>
      </w:r>
      <w:r>
        <w:rPr/>
        <w:t>outcome-oriented</w:t>
      </w:r>
      <w:r>
        <w:rPr>
          <w:spacing w:val="-4"/>
        </w:rPr>
        <w:t> </w:t>
      </w:r>
      <w:r>
        <w:rPr/>
        <w:t>process</w:t>
      </w:r>
      <w:r>
        <w:rPr>
          <w:spacing w:val="-4"/>
        </w:rPr>
        <w:t> </w:t>
      </w:r>
      <w:r>
        <w:rPr/>
        <w:t>that</w:t>
      </w:r>
      <w:r>
        <w:rPr>
          <w:spacing w:val="-3"/>
        </w:rPr>
        <w:t> </w:t>
      </w:r>
      <w:r>
        <w:rPr/>
        <w:t>promotes movement from school to post-school activities, including postsecondary education, vocational training, competitive integrated employment, supported employment, continuing and adult education, adult services, independent living, or community participation. Transition services (1) are based upon the individual student's or youth's needs, preferences and interests; (2) include instruction, community experiences, the</w:t>
      </w:r>
    </w:p>
    <w:p>
      <w:pPr>
        <w:pStyle w:val="BodyText"/>
        <w:spacing w:after="0" w:line="208" w:lineRule="auto"/>
        <w:sectPr>
          <w:pgSz w:w="12240" w:h="15840"/>
          <w:pgMar w:top="1360" w:bottom="280" w:left="1080" w:right="720"/>
        </w:sectPr>
      </w:pPr>
    </w:p>
    <w:p>
      <w:pPr>
        <w:pStyle w:val="BodyText"/>
        <w:spacing w:line="208" w:lineRule="auto" w:before="96"/>
        <w:ind w:right="775"/>
      </w:pPr>
      <w:r>
        <w:rPr/>
        <w:t>development of employment and other post-school adult living objectives, and, if appropriate, acquisition of daily living skills and functional vocational evaluation; (3) promote or facilitate the achievement of the employment outcome identified in the student's</w:t>
      </w:r>
      <w:r>
        <w:rPr>
          <w:spacing w:val="-4"/>
        </w:rPr>
        <w:t> </w:t>
      </w:r>
      <w:r>
        <w:rPr/>
        <w:t>or</w:t>
      </w:r>
      <w:r>
        <w:rPr>
          <w:spacing w:val="-3"/>
        </w:rPr>
        <w:t> </w:t>
      </w:r>
      <w:r>
        <w:rPr/>
        <w:t>youth's</w:t>
      </w:r>
      <w:r>
        <w:rPr>
          <w:spacing w:val="-4"/>
        </w:rPr>
        <w:t> </w:t>
      </w:r>
      <w:r>
        <w:rPr/>
        <w:t>individualized</w:t>
      </w:r>
      <w:r>
        <w:rPr>
          <w:spacing w:val="-4"/>
        </w:rPr>
        <w:t> </w:t>
      </w:r>
      <w:r>
        <w:rPr/>
        <w:t>plan</w:t>
      </w:r>
      <w:r>
        <w:rPr>
          <w:spacing w:val="-4"/>
        </w:rPr>
        <w:t> </w:t>
      </w:r>
      <w:r>
        <w:rPr/>
        <w:t>for</w:t>
      </w:r>
      <w:r>
        <w:rPr>
          <w:spacing w:val="-3"/>
        </w:rPr>
        <w:t> </w:t>
      </w:r>
      <w:r>
        <w:rPr/>
        <w:t>employment;</w:t>
      </w:r>
      <w:r>
        <w:rPr>
          <w:spacing w:val="-3"/>
        </w:rPr>
        <w:t> </w:t>
      </w:r>
      <w:r>
        <w:rPr/>
        <w:t>and</w:t>
      </w:r>
      <w:r>
        <w:rPr>
          <w:spacing w:val="-4"/>
        </w:rPr>
        <w:t> </w:t>
      </w:r>
      <w:r>
        <w:rPr/>
        <w:t>(4)</w:t>
      </w:r>
      <w:r>
        <w:rPr>
          <w:spacing w:val="-5"/>
        </w:rPr>
        <w:t> </w:t>
      </w:r>
      <w:r>
        <w:rPr/>
        <w:t>include</w:t>
      </w:r>
      <w:r>
        <w:rPr>
          <w:spacing w:val="-4"/>
        </w:rPr>
        <w:t> </w:t>
      </w:r>
      <w:r>
        <w:rPr/>
        <w:t>outreach</w:t>
      </w:r>
      <w:r>
        <w:rPr>
          <w:spacing w:val="-4"/>
        </w:rPr>
        <w:t> </w:t>
      </w:r>
      <w:r>
        <w:rPr/>
        <w:t>to</w:t>
      </w:r>
      <w:r>
        <w:rPr>
          <w:spacing w:val="-4"/>
        </w:rPr>
        <w:t> </w:t>
      </w:r>
      <w:r>
        <w:rPr/>
        <w:t>and engagement of the parents, or, as appropriate, the representative of such a student or youth with a disability.</w:t>
      </w:r>
    </w:p>
    <w:p>
      <w:pPr>
        <w:pStyle w:val="BodyText"/>
        <w:spacing w:line="208" w:lineRule="auto" w:before="239"/>
        <w:ind w:right="775" w:firstLine="432"/>
      </w:pPr>
      <w:r>
        <w:rPr>
          <w:b/>
        </w:rPr>
        <w:t>"Transportation"</w:t>
      </w:r>
      <w:r>
        <w:rPr>
          <w:b/>
          <w:spacing w:val="-4"/>
        </w:rPr>
        <w:t> </w:t>
      </w:r>
      <w:r>
        <w:rPr/>
        <w:t>means</w:t>
      </w:r>
      <w:r>
        <w:rPr>
          <w:spacing w:val="-3"/>
        </w:rPr>
        <w:t> </w:t>
      </w:r>
      <w:r>
        <w:rPr/>
        <w:t>travel</w:t>
      </w:r>
      <w:r>
        <w:rPr>
          <w:spacing w:val="-3"/>
        </w:rPr>
        <w:t> </w:t>
      </w:r>
      <w:r>
        <w:rPr/>
        <w:t>and</w:t>
      </w:r>
      <w:r>
        <w:rPr>
          <w:spacing w:val="-3"/>
        </w:rPr>
        <w:t> </w:t>
      </w:r>
      <w:r>
        <w:rPr/>
        <w:t>related</w:t>
      </w:r>
      <w:r>
        <w:rPr>
          <w:spacing w:val="-2"/>
        </w:rPr>
        <w:t> </w:t>
      </w:r>
      <w:r>
        <w:rPr/>
        <w:t>expenses</w:t>
      </w:r>
      <w:r>
        <w:rPr>
          <w:spacing w:val="-3"/>
        </w:rPr>
        <w:t> </w:t>
      </w:r>
      <w:r>
        <w:rPr/>
        <w:t>that</w:t>
      </w:r>
      <w:r>
        <w:rPr>
          <w:spacing w:val="-2"/>
        </w:rPr>
        <w:t> </w:t>
      </w:r>
      <w:r>
        <w:rPr/>
        <w:t>are</w:t>
      </w:r>
      <w:r>
        <w:rPr>
          <w:spacing w:val="-3"/>
        </w:rPr>
        <w:t> </w:t>
      </w:r>
      <w:r>
        <w:rPr/>
        <w:t>necessary</w:t>
      </w:r>
      <w:r>
        <w:rPr>
          <w:spacing w:val="-3"/>
        </w:rPr>
        <w:t> </w:t>
      </w:r>
      <w:r>
        <w:rPr/>
        <w:t>to</w:t>
      </w:r>
      <w:r>
        <w:rPr>
          <w:spacing w:val="-3"/>
        </w:rPr>
        <w:t> </w:t>
      </w:r>
      <w:r>
        <w:rPr/>
        <w:t>enable an applicant or eligible individual to participate in a vocational rehabilitation services, including</w:t>
      </w:r>
      <w:r>
        <w:rPr>
          <w:spacing w:val="-4"/>
        </w:rPr>
        <w:t> </w:t>
      </w:r>
      <w:r>
        <w:rPr/>
        <w:t>expenses</w:t>
      </w:r>
      <w:r>
        <w:rPr>
          <w:spacing w:val="-4"/>
        </w:rPr>
        <w:t> </w:t>
      </w:r>
      <w:r>
        <w:rPr/>
        <w:t>for</w:t>
      </w:r>
      <w:r>
        <w:rPr>
          <w:spacing w:val="-3"/>
        </w:rPr>
        <w:t> </w:t>
      </w:r>
      <w:r>
        <w:rPr/>
        <w:t>training</w:t>
      </w:r>
      <w:r>
        <w:rPr>
          <w:spacing w:val="-4"/>
        </w:rPr>
        <w:t> </w:t>
      </w:r>
      <w:r>
        <w:rPr/>
        <w:t>in</w:t>
      </w:r>
      <w:r>
        <w:rPr>
          <w:spacing w:val="-3"/>
        </w:rPr>
        <w:t> </w:t>
      </w:r>
      <w:r>
        <w:rPr/>
        <w:t>the</w:t>
      </w:r>
      <w:r>
        <w:rPr>
          <w:spacing w:val="-4"/>
        </w:rPr>
        <w:t> </w:t>
      </w:r>
      <w:r>
        <w:rPr/>
        <w:t>use</w:t>
      </w:r>
      <w:r>
        <w:rPr>
          <w:spacing w:val="-4"/>
        </w:rPr>
        <w:t> </w:t>
      </w:r>
      <w:r>
        <w:rPr/>
        <w:t>of</w:t>
      </w:r>
      <w:r>
        <w:rPr>
          <w:spacing w:val="-5"/>
        </w:rPr>
        <w:t> </w:t>
      </w:r>
      <w:r>
        <w:rPr/>
        <w:t>public</w:t>
      </w:r>
      <w:r>
        <w:rPr>
          <w:spacing w:val="-4"/>
        </w:rPr>
        <w:t> </w:t>
      </w:r>
      <w:r>
        <w:rPr/>
        <w:t>transportation</w:t>
      </w:r>
      <w:r>
        <w:rPr>
          <w:spacing w:val="-4"/>
        </w:rPr>
        <w:t> </w:t>
      </w:r>
      <w:r>
        <w:rPr/>
        <w:t>vehicles</w:t>
      </w:r>
      <w:r>
        <w:rPr>
          <w:spacing w:val="-4"/>
        </w:rPr>
        <w:t> </w:t>
      </w:r>
      <w:r>
        <w:rPr/>
        <w:t>and</w:t>
      </w:r>
      <w:r>
        <w:rPr>
          <w:spacing w:val="-3"/>
        </w:rPr>
        <w:t> </w:t>
      </w:r>
      <w:r>
        <w:rPr/>
        <w:t>systems.</w:t>
      </w:r>
    </w:p>
    <w:p>
      <w:pPr>
        <w:pStyle w:val="BodyText"/>
        <w:spacing w:line="208" w:lineRule="auto"/>
        <w:ind w:right="775" w:firstLine="432"/>
      </w:pPr>
      <w:r>
        <w:rPr>
          <w:b/>
        </w:rPr>
        <w:t>"Vocational rehabilitation services"</w:t>
      </w:r>
      <w:r>
        <w:rPr/>
        <w:t>, if provided to an individual, means those services</w:t>
      </w:r>
      <w:r>
        <w:rPr>
          <w:spacing w:val="-3"/>
        </w:rPr>
        <w:t> </w:t>
      </w:r>
      <w:r>
        <w:rPr/>
        <w:t>listed</w:t>
      </w:r>
      <w:r>
        <w:rPr>
          <w:spacing w:val="-3"/>
        </w:rPr>
        <w:t> </w:t>
      </w:r>
      <w:r>
        <w:rPr/>
        <w:t>in</w:t>
      </w:r>
      <w:r>
        <w:rPr>
          <w:spacing w:val="-3"/>
        </w:rPr>
        <w:t> </w:t>
      </w:r>
      <w:r>
        <w:rPr/>
        <w:t>34</w:t>
      </w:r>
      <w:r>
        <w:rPr>
          <w:spacing w:val="-3"/>
        </w:rPr>
        <w:t> </w:t>
      </w:r>
      <w:r>
        <w:rPr/>
        <w:t>CFR</w:t>
      </w:r>
      <w:r>
        <w:rPr>
          <w:spacing w:val="-4"/>
        </w:rPr>
        <w:t> </w:t>
      </w:r>
      <w:r>
        <w:rPr/>
        <w:t>361.48;</w:t>
      </w:r>
      <w:r>
        <w:rPr>
          <w:spacing w:val="-2"/>
        </w:rPr>
        <w:t> </w:t>
      </w:r>
      <w:r>
        <w:rPr/>
        <w:t>and</w:t>
      </w:r>
      <w:r>
        <w:rPr>
          <w:spacing w:val="-3"/>
        </w:rPr>
        <w:t> </w:t>
      </w:r>
      <w:r>
        <w:rPr/>
        <w:t>if</w:t>
      </w:r>
      <w:r>
        <w:rPr>
          <w:spacing w:val="-2"/>
        </w:rPr>
        <w:t> </w:t>
      </w:r>
      <w:r>
        <w:rPr/>
        <w:t>provided</w:t>
      </w:r>
      <w:r>
        <w:rPr>
          <w:spacing w:val="-3"/>
        </w:rPr>
        <w:t> </w:t>
      </w:r>
      <w:r>
        <w:rPr/>
        <w:t>for</w:t>
      </w:r>
      <w:r>
        <w:rPr>
          <w:spacing w:val="-2"/>
        </w:rPr>
        <w:t> </w:t>
      </w:r>
      <w:r>
        <w:rPr/>
        <w:t>the</w:t>
      </w:r>
      <w:r>
        <w:rPr>
          <w:spacing w:val="-3"/>
        </w:rPr>
        <w:t> </w:t>
      </w:r>
      <w:r>
        <w:rPr/>
        <w:t>benefit</w:t>
      </w:r>
      <w:r>
        <w:rPr>
          <w:spacing w:val="-2"/>
        </w:rPr>
        <w:t> </w:t>
      </w:r>
      <w:r>
        <w:rPr/>
        <w:t>of</w:t>
      </w:r>
      <w:r>
        <w:rPr>
          <w:spacing w:val="-4"/>
        </w:rPr>
        <w:t> </w:t>
      </w:r>
      <w:r>
        <w:rPr/>
        <w:t>groups</w:t>
      </w:r>
      <w:r>
        <w:rPr>
          <w:spacing w:val="-3"/>
        </w:rPr>
        <w:t> </w:t>
      </w:r>
      <w:r>
        <w:rPr/>
        <w:t>of</w:t>
      </w:r>
      <w:r>
        <w:rPr>
          <w:spacing w:val="-2"/>
        </w:rPr>
        <w:t> </w:t>
      </w:r>
      <w:r>
        <w:rPr/>
        <w:t>individuals, means those services listed in 34 CFR 361.49.</w:t>
      </w:r>
    </w:p>
    <w:p>
      <w:pPr>
        <w:pStyle w:val="BodyText"/>
        <w:spacing w:line="208" w:lineRule="auto"/>
        <w:ind w:right="775" w:firstLine="432"/>
      </w:pPr>
      <w:r>
        <w:rPr>
          <w:b/>
        </w:rPr>
        <w:t>"VR"</w:t>
      </w:r>
      <w:r>
        <w:rPr>
          <w:b/>
          <w:spacing w:val="-4"/>
        </w:rPr>
        <w:t> </w:t>
      </w:r>
      <w:r>
        <w:rPr/>
        <w:t>means</w:t>
      </w:r>
      <w:r>
        <w:rPr>
          <w:spacing w:val="-4"/>
        </w:rPr>
        <w:t> </w:t>
      </w:r>
      <w:r>
        <w:rPr/>
        <w:t>the</w:t>
      </w:r>
      <w:r>
        <w:rPr>
          <w:spacing w:val="-4"/>
        </w:rPr>
        <w:t> </w:t>
      </w:r>
      <w:r>
        <w:rPr/>
        <w:t>Division</w:t>
      </w:r>
      <w:r>
        <w:rPr>
          <w:spacing w:val="-4"/>
        </w:rPr>
        <w:t> </w:t>
      </w:r>
      <w:r>
        <w:rPr/>
        <w:t>of</w:t>
      </w:r>
      <w:r>
        <w:rPr>
          <w:spacing w:val="-3"/>
        </w:rPr>
        <w:t> </w:t>
      </w:r>
      <w:r>
        <w:rPr/>
        <w:t>Vocational</w:t>
      </w:r>
      <w:r>
        <w:rPr>
          <w:spacing w:val="-4"/>
        </w:rPr>
        <w:t> </w:t>
      </w:r>
      <w:r>
        <w:rPr/>
        <w:t>Rehabilitation,</w:t>
      </w:r>
      <w:r>
        <w:rPr>
          <w:spacing w:val="-3"/>
        </w:rPr>
        <w:t> </w:t>
      </w:r>
      <w:r>
        <w:rPr/>
        <w:t>or</w:t>
      </w:r>
      <w:r>
        <w:rPr>
          <w:spacing w:val="-3"/>
        </w:rPr>
        <w:t> </w:t>
      </w:r>
      <w:r>
        <w:rPr/>
        <w:t>the</w:t>
      </w:r>
      <w:r>
        <w:rPr>
          <w:spacing w:val="-4"/>
        </w:rPr>
        <w:t> </w:t>
      </w:r>
      <w:r>
        <w:rPr/>
        <w:t>more</w:t>
      </w:r>
      <w:r>
        <w:rPr>
          <w:spacing w:val="-5"/>
        </w:rPr>
        <w:t> </w:t>
      </w:r>
      <w:r>
        <w:rPr/>
        <w:t>general</w:t>
      </w:r>
      <w:r>
        <w:rPr>
          <w:spacing w:val="-4"/>
        </w:rPr>
        <w:t> </w:t>
      </w:r>
      <w:r>
        <w:rPr/>
        <w:t>term vocational rehabilitation services, depending upon the context.</w:t>
      </w:r>
    </w:p>
    <w:p>
      <w:pPr>
        <w:pStyle w:val="BodyText"/>
        <w:spacing w:line="208" w:lineRule="auto" w:before="239"/>
        <w:ind w:right="775" w:firstLine="432"/>
      </w:pPr>
      <w:r>
        <w:rPr>
          <w:b/>
        </w:rPr>
        <w:t>"Youth with a disability" </w:t>
      </w:r>
      <w:r>
        <w:rPr/>
        <w:t>means an individual with a disability who is not younger than</w:t>
      </w:r>
      <w:r>
        <w:rPr>
          <w:spacing w:val="-3"/>
        </w:rPr>
        <w:t> </w:t>
      </w:r>
      <w:r>
        <w:rPr/>
        <w:t>14</w:t>
      </w:r>
      <w:r>
        <w:rPr>
          <w:spacing w:val="-3"/>
        </w:rPr>
        <w:t> </w:t>
      </w:r>
      <w:r>
        <w:rPr/>
        <w:t>years</w:t>
      </w:r>
      <w:r>
        <w:rPr>
          <w:spacing w:val="-3"/>
        </w:rPr>
        <w:t> </w:t>
      </w:r>
      <w:r>
        <w:rPr/>
        <w:t>of</w:t>
      </w:r>
      <w:r>
        <w:rPr>
          <w:spacing w:val="-2"/>
        </w:rPr>
        <w:t> </w:t>
      </w:r>
      <w:r>
        <w:rPr/>
        <w:t>age;</w:t>
      </w:r>
      <w:r>
        <w:rPr>
          <w:spacing w:val="-4"/>
        </w:rPr>
        <w:t> </w:t>
      </w:r>
      <w:r>
        <w:rPr/>
        <w:t>or</w:t>
      </w:r>
      <w:r>
        <w:rPr>
          <w:spacing w:val="-2"/>
        </w:rPr>
        <w:t> </w:t>
      </w:r>
      <w:r>
        <w:rPr/>
        <w:t>older</w:t>
      </w:r>
      <w:r>
        <w:rPr>
          <w:spacing w:val="-2"/>
        </w:rPr>
        <w:t> </w:t>
      </w:r>
      <w:r>
        <w:rPr/>
        <w:t>than</w:t>
      </w:r>
      <w:r>
        <w:rPr>
          <w:spacing w:val="-3"/>
        </w:rPr>
        <w:t> </w:t>
      </w:r>
      <w:r>
        <w:rPr/>
        <w:t>24</w:t>
      </w:r>
      <w:r>
        <w:rPr>
          <w:spacing w:val="-3"/>
        </w:rPr>
        <w:t> </w:t>
      </w:r>
      <w:r>
        <w:rPr/>
        <w:t>years</w:t>
      </w:r>
      <w:r>
        <w:rPr>
          <w:spacing w:val="-4"/>
        </w:rPr>
        <w:t> </w:t>
      </w:r>
      <w:r>
        <w:rPr/>
        <w:t>of</w:t>
      </w:r>
      <w:r>
        <w:rPr>
          <w:spacing w:val="-2"/>
        </w:rPr>
        <w:t> </w:t>
      </w:r>
      <w:r>
        <w:rPr/>
        <w:t>age.</w:t>
      </w:r>
      <w:r>
        <w:rPr>
          <w:spacing w:val="-2"/>
        </w:rPr>
        <w:t> </w:t>
      </w:r>
      <w:r>
        <w:rPr/>
        <w:t>Youth</w:t>
      </w:r>
      <w:r>
        <w:rPr>
          <w:spacing w:val="-3"/>
        </w:rPr>
        <w:t> </w:t>
      </w:r>
      <w:r>
        <w:rPr/>
        <w:t>with</w:t>
      </w:r>
      <w:r>
        <w:rPr>
          <w:spacing w:val="-3"/>
        </w:rPr>
        <w:t> </w:t>
      </w:r>
      <w:r>
        <w:rPr/>
        <w:t>disabilities</w:t>
      </w:r>
      <w:r>
        <w:rPr>
          <w:spacing w:val="-3"/>
        </w:rPr>
        <w:t> </w:t>
      </w:r>
      <w:r>
        <w:rPr/>
        <w:t>means</w:t>
      </w:r>
      <w:r>
        <w:rPr>
          <w:spacing w:val="-3"/>
        </w:rPr>
        <w:t> </w:t>
      </w:r>
      <w:r>
        <w:rPr/>
        <w:t>more than one youth with a disability.</w:t>
      </w:r>
    </w:p>
    <w:p>
      <w:pPr>
        <w:spacing w:before="230"/>
        <w:ind w:left="360" w:right="0" w:firstLine="0"/>
        <w:jc w:val="both"/>
        <w:rPr>
          <w:sz w:val="22"/>
        </w:rPr>
      </w:pPr>
      <w:r>
        <w:rPr>
          <w:sz w:val="22"/>
        </w:rPr>
        <w:t>Section</w:t>
      </w:r>
      <w:r>
        <w:rPr>
          <w:spacing w:val="-9"/>
          <w:sz w:val="22"/>
        </w:rPr>
        <w:t> </w:t>
      </w:r>
      <w:r>
        <w:rPr>
          <w:spacing w:val="-2"/>
          <w:sz w:val="22"/>
        </w:rPr>
        <w:t>History</w:t>
      </w:r>
    </w:p>
    <w:p>
      <w:pPr>
        <w:spacing w:before="1"/>
        <w:ind w:left="360" w:right="0" w:firstLine="0"/>
        <w:jc w:val="both"/>
        <w:rPr>
          <w:sz w:val="22"/>
        </w:rPr>
      </w:pPr>
      <w:r>
        <w:rPr>
          <w:sz w:val="22"/>
        </w:rPr>
        <w:t>9-1-93</w:t>
      </w:r>
      <w:r>
        <w:rPr>
          <w:spacing w:val="52"/>
          <w:w w:val="150"/>
          <w:sz w:val="22"/>
        </w:rPr>
        <w:t>   </w:t>
      </w:r>
      <w:r>
        <w:rPr>
          <w:sz w:val="22"/>
        </w:rPr>
        <w:t>No</w:t>
      </w:r>
      <w:r>
        <w:rPr>
          <w:spacing w:val="-1"/>
          <w:sz w:val="22"/>
        </w:rPr>
        <w:t> </w:t>
      </w:r>
      <w:r>
        <w:rPr>
          <w:sz w:val="22"/>
        </w:rPr>
        <w:t>PT</w:t>
      </w:r>
      <w:r>
        <w:rPr>
          <w:spacing w:val="-1"/>
          <w:sz w:val="22"/>
        </w:rPr>
        <w:t> </w:t>
      </w:r>
      <w:r>
        <w:rPr>
          <w:spacing w:val="-4"/>
          <w:sz w:val="22"/>
        </w:rPr>
        <w:t>Memo</w:t>
      </w:r>
    </w:p>
    <w:p>
      <w:pPr>
        <w:spacing w:before="0"/>
        <w:ind w:left="359" w:right="4436" w:firstLine="1080"/>
        <w:jc w:val="both"/>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7-1-94</w:t>
      </w:r>
      <w:r>
        <w:rPr>
          <w:spacing w:val="80"/>
          <w:w w:val="150"/>
          <w:sz w:val="22"/>
        </w:rPr>
        <w:t>  </w:t>
      </w:r>
      <w:r>
        <w:rPr>
          <w:sz w:val="22"/>
        </w:rPr>
        <w:t>PT Memo #94-1</w:t>
      </w:r>
    </w:p>
    <w:p>
      <w:pPr>
        <w:spacing w:before="0"/>
        <w:ind w:left="1439" w:right="902" w:firstLine="0"/>
        <w:jc w:val="both"/>
        <w:rPr>
          <w:sz w:val="22"/>
        </w:rPr>
      </w:pPr>
      <w:r>
        <w:rPr>
          <w:sz w:val="22"/>
        </w:rPr>
        <w:t>Permanent,</w:t>
      </w:r>
      <w:r>
        <w:rPr>
          <w:spacing w:val="-3"/>
          <w:sz w:val="22"/>
        </w:rPr>
        <w:t> </w:t>
      </w:r>
      <w:r>
        <w:rPr>
          <w:sz w:val="22"/>
        </w:rPr>
        <w:t>first</w:t>
      </w:r>
      <w:r>
        <w:rPr>
          <w:spacing w:val="-4"/>
          <w:sz w:val="22"/>
        </w:rPr>
        <w:t> </w:t>
      </w:r>
      <w:r>
        <w:rPr>
          <w:sz w:val="22"/>
        </w:rPr>
        <w:t>adoption</w:t>
      </w:r>
      <w:r>
        <w:rPr>
          <w:spacing w:val="-4"/>
          <w:sz w:val="22"/>
        </w:rPr>
        <w:t> </w:t>
      </w:r>
      <w:r>
        <w:rPr>
          <w:sz w:val="22"/>
        </w:rPr>
        <w:t>under</w:t>
      </w:r>
      <w:r>
        <w:rPr>
          <w:spacing w:val="-4"/>
          <w:sz w:val="22"/>
        </w:rPr>
        <w:t> </w:t>
      </w:r>
      <w:r>
        <w:rPr>
          <w:sz w:val="22"/>
        </w:rPr>
        <w:t>OAC</w:t>
      </w:r>
      <w:r>
        <w:rPr>
          <w:spacing w:val="-5"/>
          <w:sz w:val="22"/>
        </w:rPr>
        <w:t> </w:t>
      </w:r>
      <w:r>
        <w:rPr>
          <w:sz w:val="22"/>
        </w:rPr>
        <w:t>Title</w:t>
      </w:r>
      <w:r>
        <w:rPr>
          <w:spacing w:val="-4"/>
          <w:sz w:val="22"/>
        </w:rPr>
        <w:t> </w:t>
      </w:r>
      <w:r>
        <w:rPr>
          <w:sz w:val="22"/>
        </w:rPr>
        <w:t>612,</w:t>
      </w:r>
      <w:r>
        <w:rPr>
          <w:spacing w:val="-5"/>
          <w:sz w:val="22"/>
        </w:rPr>
        <w:t> </w:t>
      </w:r>
      <w:r>
        <w:rPr>
          <w:sz w:val="22"/>
        </w:rPr>
        <w:t>added</w:t>
      </w:r>
      <w:r>
        <w:rPr>
          <w:spacing w:val="-4"/>
          <w:sz w:val="22"/>
        </w:rPr>
        <w:t> </w:t>
      </w:r>
      <w:r>
        <w:rPr>
          <w:sz w:val="22"/>
        </w:rPr>
        <w:t>definition</w:t>
      </w:r>
      <w:r>
        <w:rPr>
          <w:spacing w:val="-4"/>
          <w:sz w:val="22"/>
        </w:rPr>
        <w:t> </w:t>
      </w:r>
      <w:r>
        <w:rPr>
          <w:sz w:val="22"/>
        </w:rPr>
        <w:t>for</w:t>
      </w:r>
      <w:r>
        <w:rPr>
          <w:spacing w:val="-4"/>
          <w:sz w:val="22"/>
        </w:rPr>
        <w:t> </w:t>
      </w:r>
      <w:r>
        <w:rPr>
          <w:sz w:val="22"/>
        </w:rPr>
        <w:t>durable</w:t>
      </w:r>
      <w:r>
        <w:rPr>
          <w:spacing w:val="-4"/>
          <w:sz w:val="22"/>
        </w:rPr>
        <w:t> </w:t>
      </w:r>
      <w:r>
        <w:rPr>
          <w:sz w:val="22"/>
        </w:rPr>
        <w:t>training supplies; changed definition of eligibility to include VR, SE, RT, and IL</w:t>
      </w:r>
    </w:p>
    <w:p>
      <w:pPr>
        <w:spacing w:before="0"/>
        <w:ind w:left="359" w:right="0" w:firstLine="0"/>
        <w:jc w:val="both"/>
        <w:rPr>
          <w:sz w:val="22"/>
        </w:rPr>
      </w:pPr>
      <w:r>
        <w:rPr>
          <w:sz w:val="22"/>
        </w:rPr>
        <w:t>4-3-96</w:t>
      </w:r>
      <w:r>
        <w:rPr>
          <w:spacing w:val="50"/>
          <w:w w:val="150"/>
          <w:sz w:val="22"/>
        </w:rPr>
        <w:t>   </w:t>
      </w:r>
      <w:r>
        <w:rPr>
          <w:sz w:val="22"/>
        </w:rPr>
        <w:t>PT</w:t>
      </w:r>
      <w:r>
        <w:rPr>
          <w:spacing w:val="-2"/>
          <w:sz w:val="22"/>
        </w:rPr>
        <w:t> </w:t>
      </w:r>
      <w:r>
        <w:rPr>
          <w:sz w:val="22"/>
        </w:rPr>
        <w:t>Memo</w:t>
      </w:r>
      <w:r>
        <w:rPr>
          <w:spacing w:val="-2"/>
          <w:sz w:val="22"/>
        </w:rPr>
        <w:t> </w:t>
      </w:r>
      <w:r>
        <w:rPr>
          <w:sz w:val="22"/>
        </w:rPr>
        <w:t>#96-</w:t>
      </w:r>
      <w:r>
        <w:rPr>
          <w:spacing w:val="-10"/>
          <w:sz w:val="22"/>
        </w:rPr>
        <w:t>2</w:t>
      </w:r>
    </w:p>
    <w:p>
      <w:pPr>
        <w:spacing w:before="0"/>
        <w:ind w:left="1439" w:right="1012" w:firstLine="0"/>
        <w:jc w:val="both"/>
        <w:rPr>
          <w:sz w:val="22"/>
        </w:rPr>
      </w:pPr>
      <w:r>
        <w:rPr>
          <w:sz w:val="22"/>
        </w:rPr>
        <w:t>Emergency,</w:t>
      </w:r>
      <w:r>
        <w:rPr>
          <w:spacing w:val="-6"/>
          <w:sz w:val="22"/>
        </w:rPr>
        <w:t> </w:t>
      </w:r>
      <w:r>
        <w:rPr>
          <w:sz w:val="22"/>
        </w:rPr>
        <w:t>refined</w:t>
      </w:r>
      <w:r>
        <w:rPr>
          <w:spacing w:val="-6"/>
          <w:sz w:val="22"/>
        </w:rPr>
        <w:t> </w:t>
      </w:r>
      <w:r>
        <w:rPr>
          <w:sz w:val="22"/>
        </w:rPr>
        <w:t>definitions</w:t>
      </w:r>
      <w:r>
        <w:rPr>
          <w:spacing w:val="-6"/>
          <w:sz w:val="22"/>
        </w:rPr>
        <w:t> </w:t>
      </w:r>
      <w:r>
        <w:rPr>
          <w:sz w:val="22"/>
        </w:rPr>
        <w:t>for</w:t>
      </w:r>
      <w:r>
        <w:rPr>
          <w:spacing w:val="-6"/>
          <w:sz w:val="22"/>
        </w:rPr>
        <w:t> </w:t>
      </w:r>
      <w:r>
        <w:rPr>
          <w:sz w:val="22"/>
        </w:rPr>
        <w:t>authorized</w:t>
      </w:r>
      <w:r>
        <w:rPr>
          <w:spacing w:val="-6"/>
          <w:sz w:val="22"/>
        </w:rPr>
        <w:t> </w:t>
      </w:r>
      <w:r>
        <w:rPr>
          <w:sz w:val="22"/>
        </w:rPr>
        <w:t>representative,</w:t>
      </w:r>
      <w:r>
        <w:rPr>
          <w:spacing w:val="-6"/>
          <w:sz w:val="22"/>
        </w:rPr>
        <w:t> </w:t>
      </w:r>
      <w:r>
        <w:rPr>
          <w:sz w:val="22"/>
        </w:rPr>
        <w:t>comparable</w:t>
      </w:r>
      <w:r>
        <w:rPr>
          <w:spacing w:val="-6"/>
          <w:sz w:val="22"/>
        </w:rPr>
        <w:t> </w:t>
      </w:r>
      <w:r>
        <w:rPr>
          <w:sz w:val="22"/>
        </w:rPr>
        <w:t>benefits, competitive</w:t>
      </w:r>
      <w:r>
        <w:rPr>
          <w:spacing w:val="-1"/>
          <w:sz w:val="22"/>
        </w:rPr>
        <w:t> </w:t>
      </w:r>
      <w:r>
        <w:rPr>
          <w:sz w:val="22"/>
        </w:rPr>
        <w:t>work, maintenance and</w:t>
      </w:r>
      <w:r>
        <w:rPr>
          <w:spacing w:val="-1"/>
          <w:sz w:val="22"/>
        </w:rPr>
        <w:t> </w:t>
      </w:r>
      <w:r>
        <w:rPr>
          <w:sz w:val="22"/>
        </w:rPr>
        <w:t>transportation; added definitions for long-term treatment, package of services; deleted definition for unanticipated event</w:t>
      </w:r>
    </w:p>
    <w:p>
      <w:pPr>
        <w:pStyle w:val="ListParagraph"/>
        <w:numPr>
          <w:ilvl w:val="2"/>
          <w:numId w:val="71"/>
        </w:numPr>
        <w:tabs>
          <w:tab w:pos="1437" w:val="left" w:leader="none"/>
        </w:tabs>
        <w:spacing w:line="253" w:lineRule="exact" w:before="0" w:after="0"/>
        <w:ind w:left="1437" w:right="0" w:hanging="1078"/>
        <w:jc w:val="both"/>
        <w:rPr>
          <w:sz w:val="22"/>
        </w:rPr>
      </w:pPr>
      <w:r>
        <w:rPr>
          <w:sz w:val="22"/>
        </w:rPr>
        <w:t>PT</w:t>
      </w:r>
      <w:r>
        <w:rPr>
          <w:spacing w:val="-8"/>
          <w:sz w:val="22"/>
        </w:rPr>
        <w:t> </w:t>
      </w:r>
      <w:r>
        <w:rPr>
          <w:sz w:val="22"/>
        </w:rPr>
        <w:t>Memo</w:t>
      </w:r>
      <w:r>
        <w:rPr>
          <w:spacing w:val="-8"/>
          <w:sz w:val="22"/>
        </w:rPr>
        <w:t> </w:t>
      </w:r>
      <w:r>
        <w:rPr>
          <w:sz w:val="22"/>
        </w:rPr>
        <w:t>#96-</w:t>
      </w:r>
      <w:r>
        <w:rPr>
          <w:spacing w:val="-10"/>
          <w:sz w:val="22"/>
        </w:rPr>
        <w:t>5</w:t>
      </w:r>
    </w:p>
    <w:p>
      <w:pPr>
        <w:spacing w:before="0"/>
        <w:ind w:left="1439" w:right="1392" w:firstLine="0"/>
        <w:jc w:val="both"/>
        <w:rPr>
          <w:sz w:val="22"/>
        </w:rPr>
      </w:pPr>
      <w:r>
        <w:rPr>
          <w:sz w:val="22"/>
        </w:rPr>
        <w:t>Permanent,</w:t>
      </w:r>
      <w:r>
        <w:rPr>
          <w:spacing w:val="-4"/>
          <w:sz w:val="22"/>
        </w:rPr>
        <w:t> </w:t>
      </w:r>
      <w:r>
        <w:rPr>
          <w:sz w:val="22"/>
        </w:rPr>
        <w:t>defined</w:t>
      </w:r>
      <w:r>
        <w:rPr>
          <w:spacing w:val="-5"/>
          <w:sz w:val="22"/>
        </w:rPr>
        <w:t> </w:t>
      </w:r>
      <w:r>
        <w:rPr>
          <w:sz w:val="22"/>
        </w:rPr>
        <w:t>competitive</w:t>
      </w:r>
      <w:r>
        <w:rPr>
          <w:spacing w:val="-5"/>
          <w:sz w:val="22"/>
        </w:rPr>
        <w:t> </w:t>
      </w:r>
      <w:r>
        <w:rPr>
          <w:sz w:val="22"/>
        </w:rPr>
        <w:t>work</w:t>
      </w:r>
      <w:r>
        <w:rPr>
          <w:spacing w:val="-6"/>
          <w:sz w:val="22"/>
        </w:rPr>
        <w:t> </w:t>
      </w:r>
      <w:r>
        <w:rPr>
          <w:sz w:val="22"/>
        </w:rPr>
        <w:t>for</w:t>
      </w:r>
      <w:r>
        <w:rPr>
          <w:spacing w:val="-5"/>
          <w:sz w:val="22"/>
        </w:rPr>
        <w:t> </w:t>
      </w:r>
      <w:r>
        <w:rPr>
          <w:sz w:val="22"/>
        </w:rPr>
        <w:t>those</w:t>
      </w:r>
      <w:r>
        <w:rPr>
          <w:spacing w:val="-5"/>
          <w:sz w:val="22"/>
        </w:rPr>
        <w:t> </w:t>
      </w:r>
      <w:r>
        <w:rPr>
          <w:sz w:val="22"/>
        </w:rPr>
        <w:t>individuals</w:t>
      </w:r>
      <w:r>
        <w:rPr>
          <w:spacing w:val="-5"/>
          <w:sz w:val="22"/>
        </w:rPr>
        <w:t> </w:t>
      </w:r>
      <w:r>
        <w:rPr>
          <w:sz w:val="22"/>
        </w:rPr>
        <w:t>receiving</w:t>
      </w:r>
      <w:r>
        <w:rPr>
          <w:spacing w:val="-5"/>
          <w:sz w:val="22"/>
        </w:rPr>
        <w:t> </w:t>
      </w:r>
      <w:r>
        <w:rPr>
          <w:sz w:val="22"/>
        </w:rPr>
        <w:t>supported employment services in a group setting</w:t>
      </w:r>
    </w:p>
    <w:p>
      <w:pPr>
        <w:pStyle w:val="ListParagraph"/>
        <w:numPr>
          <w:ilvl w:val="2"/>
          <w:numId w:val="71"/>
        </w:numPr>
        <w:tabs>
          <w:tab w:pos="1437" w:val="left" w:leader="none"/>
        </w:tabs>
        <w:spacing w:line="253" w:lineRule="exact" w:before="1" w:after="0"/>
        <w:ind w:left="1437" w:right="0" w:hanging="1078"/>
        <w:jc w:val="both"/>
        <w:rPr>
          <w:sz w:val="22"/>
        </w:rPr>
      </w:pPr>
      <w:r>
        <w:rPr>
          <w:sz w:val="22"/>
        </w:rPr>
        <w:t>PT</w:t>
      </w:r>
      <w:r>
        <w:rPr>
          <w:spacing w:val="-8"/>
          <w:sz w:val="22"/>
        </w:rPr>
        <w:t> </w:t>
      </w:r>
      <w:r>
        <w:rPr>
          <w:sz w:val="22"/>
        </w:rPr>
        <w:t>Memo</w:t>
      </w:r>
      <w:r>
        <w:rPr>
          <w:spacing w:val="-8"/>
          <w:sz w:val="22"/>
        </w:rPr>
        <w:t> </w:t>
      </w:r>
      <w:r>
        <w:rPr>
          <w:sz w:val="22"/>
        </w:rPr>
        <w:t>#97-</w:t>
      </w:r>
      <w:r>
        <w:rPr>
          <w:spacing w:val="-10"/>
          <w:sz w:val="22"/>
        </w:rPr>
        <w:t>9</w:t>
      </w:r>
    </w:p>
    <w:p>
      <w:pPr>
        <w:spacing w:before="0"/>
        <w:ind w:left="359" w:right="3214" w:firstLine="1080"/>
        <w:jc w:val="both"/>
        <w:rPr>
          <w:sz w:val="22"/>
        </w:rPr>
      </w:pPr>
      <w:r>
        <w:rPr>
          <w:sz w:val="22"/>
        </w:rPr>
        <w:t>Permanent</w:t>
      </w:r>
      <w:r>
        <w:rPr>
          <w:spacing w:val="-7"/>
          <w:sz w:val="22"/>
        </w:rPr>
        <w:t> </w:t>
      </w:r>
      <w:r>
        <w:rPr>
          <w:sz w:val="22"/>
        </w:rPr>
        <w:t>rules</w:t>
      </w:r>
      <w:r>
        <w:rPr>
          <w:spacing w:val="-7"/>
          <w:sz w:val="22"/>
        </w:rPr>
        <w:t> </w:t>
      </w:r>
      <w:r>
        <w:rPr>
          <w:sz w:val="22"/>
        </w:rPr>
        <w:t>supersede</w:t>
      </w:r>
      <w:r>
        <w:rPr>
          <w:spacing w:val="-7"/>
          <w:sz w:val="22"/>
        </w:rPr>
        <w:t> </w:t>
      </w:r>
      <w:r>
        <w:rPr>
          <w:sz w:val="22"/>
        </w:rPr>
        <w:t>emergency</w:t>
      </w:r>
      <w:r>
        <w:rPr>
          <w:spacing w:val="-7"/>
          <w:sz w:val="22"/>
        </w:rPr>
        <w:t> </w:t>
      </w:r>
      <w:r>
        <w:rPr>
          <w:sz w:val="22"/>
        </w:rPr>
        <w:t>rules</w:t>
      </w:r>
      <w:r>
        <w:rPr>
          <w:spacing w:val="-7"/>
          <w:sz w:val="22"/>
        </w:rPr>
        <w:t> </w:t>
      </w:r>
      <w:r>
        <w:rPr>
          <w:sz w:val="22"/>
        </w:rPr>
        <w:t>issued</w:t>
      </w:r>
      <w:r>
        <w:rPr>
          <w:spacing w:val="-7"/>
          <w:sz w:val="22"/>
        </w:rPr>
        <w:t> </w:t>
      </w:r>
      <w:r>
        <w:rPr>
          <w:sz w:val="22"/>
        </w:rPr>
        <w:t>4-3-96 10-1-97</w:t>
      </w:r>
      <w:r>
        <w:rPr>
          <w:spacing w:val="80"/>
          <w:sz w:val="22"/>
        </w:rPr>
        <w:t>  </w:t>
      </w:r>
      <w:r>
        <w:rPr>
          <w:sz w:val="22"/>
        </w:rPr>
        <w:t>PT Memo #98-4</w:t>
      </w:r>
    </w:p>
    <w:p>
      <w:pPr>
        <w:spacing w:before="0"/>
        <w:ind w:left="1439" w:right="739" w:firstLine="0"/>
        <w:jc w:val="left"/>
        <w:rPr>
          <w:sz w:val="22"/>
        </w:rPr>
      </w:pPr>
      <w:r>
        <w:rPr>
          <w:sz w:val="22"/>
        </w:rPr>
        <w:t>Emergency, changed following definitions to match new RSA regulations: applicant, competitive work, employment outcome, integrated setting, maintenance, multiple services,</w:t>
      </w:r>
      <w:r>
        <w:rPr>
          <w:spacing w:val="-5"/>
          <w:sz w:val="22"/>
        </w:rPr>
        <w:t> </w:t>
      </w:r>
      <w:r>
        <w:rPr>
          <w:sz w:val="22"/>
        </w:rPr>
        <w:t>ongoing</w:t>
      </w:r>
      <w:r>
        <w:rPr>
          <w:spacing w:val="-5"/>
          <w:sz w:val="22"/>
        </w:rPr>
        <w:t> </w:t>
      </w:r>
      <w:r>
        <w:rPr>
          <w:sz w:val="22"/>
        </w:rPr>
        <w:t>support</w:t>
      </w:r>
      <w:r>
        <w:rPr>
          <w:spacing w:val="-5"/>
          <w:sz w:val="22"/>
        </w:rPr>
        <w:t> </w:t>
      </w:r>
      <w:r>
        <w:rPr>
          <w:sz w:val="22"/>
        </w:rPr>
        <w:t>services,</w:t>
      </w:r>
      <w:r>
        <w:rPr>
          <w:spacing w:val="-6"/>
          <w:sz w:val="22"/>
        </w:rPr>
        <w:t> </w:t>
      </w:r>
      <w:r>
        <w:rPr>
          <w:sz w:val="22"/>
        </w:rPr>
        <w:t>personal</w:t>
      </w:r>
      <w:r>
        <w:rPr>
          <w:spacing w:val="-5"/>
          <w:sz w:val="22"/>
        </w:rPr>
        <w:t> </w:t>
      </w:r>
      <w:r>
        <w:rPr>
          <w:sz w:val="22"/>
        </w:rPr>
        <w:t>assistance</w:t>
      </w:r>
      <w:r>
        <w:rPr>
          <w:spacing w:val="-6"/>
          <w:sz w:val="22"/>
        </w:rPr>
        <w:t> </w:t>
      </w:r>
      <w:r>
        <w:rPr>
          <w:sz w:val="22"/>
        </w:rPr>
        <w:t>services,</w:t>
      </w:r>
      <w:r>
        <w:rPr>
          <w:spacing w:val="-5"/>
          <w:sz w:val="22"/>
        </w:rPr>
        <w:t> </w:t>
      </w:r>
      <w:r>
        <w:rPr>
          <w:sz w:val="22"/>
        </w:rPr>
        <w:t>referral,</w:t>
      </w:r>
      <w:r>
        <w:rPr>
          <w:spacing w:val="-5"/>
          <w:sz w:val="22"/>
        </w:rPr>
        <w:t> </w:t>
      </w:r>
      <w:r>
        <w:rPr>
          <w:sz w:val="22"/>
        </w:rPr>
        <w:t>supported employment, transitional</w:t>
      </w:r>
      <w:r>
        <w:rPr>
          <w:spacing w:val="40"/>
          <w:sz w:val="22"/>
        </w:rPr>
        <w:t> </w:t>
      </w:r>
      <w:r>
        <w:rPr>
          <w:sz w:val="22"/>
        </w:rPr>
        <w:t>employment; deleted definition for major life activities</w:t>
      </w:r>
    </w:p>
    <w:p>
      <w:pPr>
        <w:pStyle w:val="ListParagraph"/>
        <w:numPr>
          <w:ilvl w:val="2"/>
          <w:numId w:val="71"/>
        </w:numPr>
        <w:tabs>
          <w:tab w:pos="1439" w:val="left" w:leader="none"/>
        </w:tabs>
        <w:spacing w:line="253"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#98-</w:t>
      </w:r>
      <w:r>
        <w:rPr>
          <w:spacing w:val="-5"/>
          <w:sz w:val="22"/>
        </w:rPr>
        <w:t>15</w:t>
      </w:r>
    </w:p>
    <w:p>
      <w:pPr>
        <w:spacing w:before="0"/>
        <w:ind w:left="1439" w:right="1036" w:firstLine="0"/>
        <w:jc w:val="left"/>
        <w:rPr>
          <w:sz w:val="22"/>
        </w:rPr>
      </w:pPr>
      <w:r>
        <w:rPr>
          <w:sz w:val="22"/>
        </w:rPr>
        <w:t>Permanent rules supersede emergency rules issued 10-1-97; especially note definitions</w:t>
      </w:r>
      <w:r>
        <w:rPr>
          <w:spacing w:val="-5"/>
          <w:sz w:val="22"/>
        </w:rPr>
        <w:t> </w:t>
      </w:r>
      <w:r>
        <w:rPr>
          <w:sz w:val="22"/>
        </w:rPr>
        <w:t>for</w:t>
      </w:r>
      <w:r>
        <w:rPr>
          <w:spacing w:val="-4"/>
          <w:sz w:val="22"/>
        </w:rPr>
        <w:t> </w:t>
      </w:r>
      <w:r>
        <w:rPr>
          <w:sz w:val="22"/>
        </w:rPr>
        <w:t>applicant,</w:t>
      </w:r>
      <w:r>
        <w:rPr>
          <w:spacing w:val="-5"/>
          <w:sz w:val="22"/>
        </w:rPr>
        <w:t> </w:t>
      </w:r>
      <w:r>
        <w:rPr>
          <w:sz w:val="22"/>
        </w:rPr>
        <w:t>those</w:t>
      </w:r>
      <w:r>
        <w:rPr>
          <w:spacing w:val="-4"/>
          <w:sz w:val="22"/>
        </w:rPr>
        <w:t> </w:t>
      </w:r>
      <w:r>
        <w:rPr>
          <w:sz w:val="22"/>
        </w:rPr>
        <w:t>related</w:t>
      </w:r>
      <w:r>
        <w:rPr>
          <w:spacing w:val="-4"/>
          <w:sz w:val="22"/>
        </w:rPr>
        <w:t> </w:t>
      </w:r>
      <w:r>
        <w:rPr>
          <w:sz w:val="22"/>
        </w:rPr>
        <w:t>to</w:t>
      </w:r>
      <w:r>
        <w:rPr>
          <w:spacing w:val="-4"/>
          <w:sz w:val="22"/>
        </w:rPr>
        <w:t> </w:t>
      </w:r>
      <w:r>
        <w:rPr>
          <w:sz w:val="22"/>
        </w:rPr>
        <w:t>employment</w:t>
      </w:r>
      <w:r>
        <w:rPr>
          <w:spacing w:val="-4"/>
          <w:sz w:val="22"/>
        </w:rPr>
        <w:t> </w:t>
      </w:r>
      <w:r>
        <w:rPr>
          <w:sz w:val="22"/>
        </w:rPr>
        <w:t>and</w:t>
      </w:r>
      <w:r>
        <w:rPr>
          <w:spacing w:val="-4"/>
          <w:sz w:val="22"/>
        </w:rPr>
        <w:t> </w:t>
      </w:r>
      <w:r>
        <w:rPr>
          <w:sz w:val="22"/>
        </w:rPr>
        <w:t>work,</w:t>
      </w:r>
      <w:r>
        <w:rPr>
          <w:spacing w:val="-4"/>
          <w:sz w:val="22"/>
        </w:rPr>
        <w:t> </w:t>
      </w:r>
      <w:r>
        <w:rPr>
          <w:sz w:val="22"/>
        </w:rPr>
        <w:t>multiple</w:t>
      </w:r>
      <w:r>
        <w:rPr>
          <w:spacing w:val="-5"/>
          <w:sz w:val="22"/>
        </w:rPr>
        <w:t> </w:t>
      </w:r>
      <w:r>
        <w:rPr>
          <w:sz w:val="22"/>
        </w:rPr>
        <w:t>services, and referral</w:t>
      </w:r>
    </w:p>
    <w:p>
      <w:pPr>
        <w:tabs>
          <w:tab w:pos="1439" w:val="left" w:leader="none"/>
        </w:tabs>
        <w:spacing w:line="253" w:lineRule="exact" w:before="1"/>
        <w:ind w:left="359" w:right="0" w:firstLine="0"/>
        <w:jc w:val="left"/>
        <w:rPr>
          <w:sz w:val="22"/>
        </w:rPr>
      </w:pPr>
      <w:r>
        <w:rPr>
          <w:spacing w:val="-2"/>
          <w:sz w:val="22"/>
        </w:rPr>
        <w:t>6-14-</w:t>
      </w:r>
      <w:r>
        <w:rPr>
          <w:spacing w:val="-5"/>
          <w:sz w:val="22"/>
        </w:rPr>
        <w:t>99</w:t>
      </w:r>
      <w:r>
        <w:rPr>
          <w:sz w:val="22"/>
        </w:rPr>
        <w:tab/>
        <w:t>POL</w:t>
      </w:r>
      <w:r>
        <w:rPr>
          <w:spacing w:val="-9"/>
          <w:sz w:val="22"/>
        </w:rPr>
        <w:t> </w:t>
      </w:r>
      <w:r>
        <w:rPr>
          <w:sz w:val="22"/>
        </w:rPr>
        <w:t>Memo</w:t>
      </w:r>
      <w:r>
        <w:rPr>
          <w:spacing w:val="-8"/>
          <w:sz w:val="22"/>
        </w:rPr>
        <w:t> </w:t>
      </w:r>
      <w:r>
        <w:rPr>
          <w:sz w:val="22"/>
        </w:rPr>
        <w:t>#99-</w:t>
      </w:r>
      <w:r>
        <w:rPr>
          <w:spacing w:val="-10"/>
          <w:sz w:val="22"/>
        </w:rPr>
        <w:t>7</w:t>
      </w:r>
    </w:p>
    <w:p>
      <w:pPr>
        <w:spacing w:before="0"/>
        <w:ind w:left="1439" w:right="744" w:firstLine="0"/>
        <w:jc w:val="left"/>
        <w:rPr>
          <w:sz w:val="22"/>
        </w:rPr>
      </w:pPr>
      <w:r>
        <w:rPr>
          <w:sz w:val="22"/>
        </w:rPr>
        <w:t>Emergency, ADDED: DVR, DVS, IPE, VR Cslr.; DELETED: IRP, Public Safety Officer (&amp; w/a disability), RS, RVS; AMENDED: Act. Competitive Employment, Eligibility/Eligible, Employment Outcome, Extended Period of Time, Extended Services,</w:t>
      </w:r>
      <w:r>
        <w:rPr>
          <w:spacing w:val="-4"/>
          <w:sz w:val="22"/>
        </w:rPr>
        <w:t> </w:t>
      </w:r>
      <w:r>
        <w:rPr>
          <w:sz w:val="22"/>
        </w:rPr>
        <w:t>Individual</w:t>
      </w:r>
      <w:r>
        <w:rPr>
          <w:spacing w:val="-4"/>
          <w:sz w:val="22"/>
        </w:rPr>
        <w:t> </w:t>
      </w:r>
      <w:r>
        <w:rPr>
          <w:sz w:val="22"/>
        </w:rPr>
        <w:t>with</w:t>
      </w:r>
      <w:r>
        <w:rPr>
          <w:spacing w:val="-5"/>
          <w:sz w:val="22"/>
        </w:rPr>
        <w:t> </w:t>
      </w:r>
      <w:r>
        <w:rPr>
          <w:sz w:val="22"/>
        </w:rPr>
        <w:t>a</w:t>
      </w:r>
      <w:r>
        <w:rPr>
          <w:spacing w:val="-4"/>
          <w:sz w:val="22"/>
        </w:rPr>
        <w:t> </w:t>
      </w:r>
      <w:r>
        <w:rPr>
          <w:sz w:val="22"/>
        </w:rPr>
        <w:t>severe</w:t>
      </w:r>
      <w:r>
        <w:rPr>
          <w:spacing w:val="-4"/>
          <w:sz w:val="22"/>
        </w:rPr>
        <w:t> </w:t>
      </w:r>
      <w:r>
        <w:rPr>
          <w:sz w:val="22"/>
        </w:rPr>
        <w:t>disability,</w:t>
      </w:r>
      <w:r>
        <w:rPr>
          <w:spacing w:val="-4"/>
          <w:sz w:val="22"/>
        </w:rPr>
        <w:t> </w:t>
      </w:r>
      <w:r>
        <w:rPr>
          <w:sz w:val="22"/>
        </w:rPr>
        <w:t>Individual</w:t>
      </w:r>
      <w:r>
        <w:rPr>
          <w:spacing w:val="-4"/>
          <w:sz w:val="22"/>
        </w:rPr>
        <w:t> </w:t>
      </w:r>
      <w:r>
        <w:rPr>
          <w:sz w:val="22"/>
        </w:rPr>
        <w:t>with</w:t>
      </w:r>
      <w:r>
        <w:rPr>
          <w:spacing w:val="-4"/>
          <w:sz w:val="22"/>
        </w:rPr>
        <w:t> </w:t>
      </w:r>
      <w:r>
        <w:rPr>
          <w:sz w:val="22"/>
        </w:rPr>
        <w:t>the</w:t>
      </w:r>
      <w:r>
        <w:rPr>
          <w:spacing w:val="-4"/>
          <w:sz w:val="22"/>
        </w:rPr>
        <w:t> </w:t>
      </w:r>
      <w:r>
        <w:rPr>
          <w:sz w:val="22"/>
        </w:rPr>
        <w:t>most</w:t>
      </w:r>
      <w:r>
        <w:rPr>
          <w:spacing w:val="-4"/>
          <w:sz w:val="22"/>
        </w:rPr>
        <w:t> </w:t>
      </w:r>
      <w:r>
        <w:rPr>
          <w:sz w:val="22"/>
        </w:rPr>
        <w:t>severe</w:t>
      </w:r>
      <w:r>
        <w:rPr>
          <w:spacing w:val="-4"/>
          <w:sz w:val="22"/>
        </w:rPr>
        <w:t> </w:t>
      </w:r>
      <w:r>
        <w:rPr>
          <w:sz w:val="22"/>
        </w:rPr>
        <w:t>disability,</w:t>
      </w:r>
    </w:p>
    <w:p>
      <w:pPr>
        <w:spacing w:after="0"/>
        <w:jc w:val="left"/>
        <w:rPr>
          <w:sz w:val="22"/>
        </w:rPr>
        <w:sectPr>
          <w:pgSz w:w="12240" w:h="15840"/>
          <w:pgMar w:top="1340" w:bottom="280" w:left="1080" w:right="720"/>
        </w:sectPr>
      </w:pPr>
    </w:p>
    <w:p>
      <w:pPr>
        <w:spacing w:before="80"/>
        <w:ind w:left="1440" w:right="775" w:firstLine="0"/>
        <w:jc w:val="left"/>
        <w:rPr>
          <w:sz w:val="22"/>
        </w:rPr>
      </w:pPr>
      <w:r>
        <w:rPr>
          <w:sz w:val="22"/>
        </w:rPr>
        <w:t>Intercurrent</w:t>
      </w:r>
      <w:r>
        <w:rPr>
          <w:spacing w:val="-6"/>
          <w:sz w:val="22"/>
        </w:rPr>
        <w:t> </w:t>
      </w:r>
      <w:r>
        <w:rPr>
          <w:sz w:val="22"/>
        </w:rPr>
        <w:t>(acute)</w:t>
      </w:r>
      <w:r>
        <w:rPr>
          <w:spacing w:val="-5"/>
          <w:sz w:val="22"/>
        </w:rPr>
        <w:t> </w:t>
      </w:r>
      <w:r>
        <w:rPr>
          <w:sz w:val="22"/>
        </w:rPr>
        <w:t>Conditions,</w:t>
      </w:r>
      <w:r>
        <w:rPr>
          <w:spacing w:val="-5"/>
          <w:sz w:val="22"/>
        </w:rPr>
        <w:t> </w:t>
      </w:r>
      <w:r>
        <w:rPr>
          <w:sz w:val="22"/>
        </w:rPr>
        <w:t>Ongoing</w:t>
      </w:r>
      <w:r>
        <w:rPr>
          <w:spacing w:val="-5"/>
          <w:sz w:val="22"/>
        </w:rPr>
        <w:t> </w:t>
      </w:r>
      <w:r>
        <w:rPr>
          <w:sz w:val="22"/>
        </w:rPr>
        <w:t>Support</w:t>
      </w:r>
      <w:r>
        <w:rPr>
          <w:spacing w:val="-5"/>
          <w:sz w:val="22"/>
        </w:rPr>
        <w:t> </w:t>
      </w:r>
      <w:r>
        <w:rPr>
          <w:sz w:val="22"/>
        </w:rPr>
        <w:t>Services,</w:t>
      </w:r>
      <w:r>
        <w:rPr>
          <w:spacing w:val="-6"/>
          <w:sz w:val="22"/>
        </w:rPr>
        <w:t> </w:t>
      </w:r>
      <w:r>
        <w:rPr>
          <w:sz w:val="22"/>
        </w:rPr>
        <w:t>Rehab.</w:t>
      </w:r>
      <w:r>
        <w:rPr>
          <w:spacing w:val="-5"/>
          <w:sz w:val="22"/>
        </w:rPr>
        <w:t> </w:t>
      </w:r>
      <w:r>
        <w:rPr>
          <w:sz w:val="22"/>
        </w:rPr>
        <w:t>Act.,</w:t>
      </w:r>
      <w:r>
        <w:rPr>
          <w:spacing w:val="-5"/>
          <w:sz w:val="22"/>
        </w:rPr>
        <w:t> </w:t>
      </w:r>
      <w:r>
        <w:rPr>
          <w:sz w:val="22"/>
        </w:rPr>
        <w:t>Supported Employment, Supportive Services, Transportation, VR</w:t>
      </w:r>
    </w:p>
    <w:p>
      <w:pPr>
        <w:pStyle w:val="ListParagraph"/>
        <w:numPr>
          <w:ilvl w:val="2"/>
          <w:numId w:val="71"/>
        </w:numPr>
        <w:tabs>
          <w:tab w:pos="1439" w:val="left" w:leader="none"/>
        </w:tabs>
        <w:spacing w:line="252" w:lineRule="exact" w:before="0" w:after="0"/>
        <w:ind w:left="1439" w:right="0" w:hanging="1079"/>
        <w:jc w:val="left"/>
        <w:rPr>
          <w:sz w:val="22"/>
        </w:rPr>
      </w:pPr>
      <w:r>
        <w:rPr>
          <w:sz w:val="22"/>
        </w:rPr>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360"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7-1-03</w:t>
      </w:r>
      <w:r>
        <w:rPr>
          <w:sz w:val="22"/>
        </w:rPr>
        <w:tab/>
        <w:t>PT Memo #03-07</w:t>
      </w:r>
    </w:p>
    <w:p>
      <w:pPr>
        <w:spacing w:before="0"/>
        <w:ind w:left="1440" w:right="0" w:firstLine="0"/>
        <w:jc w:val="left"/>
        <w:rPr>
          <w:sz w:val="22"/>
        </w:rPr>
      </w:pPr>
      <w:r>
        <w:rPr>
          <w:sz w:val="22"/>
        </w:rPr>
        <w:t>Permanent,</w:t>
      </w:r>
      <w:r>
        <w:rPr>
          <w:spacing w:val="-8"/>
          <w:sz w:val="22"/>
        </w:rPr>
        <w:t> </w:t>
      </w:r>
      <w:r>
        <w:rPr>
          <w:sz w:val="22"/>
        </w:rPr>
        <w:t>definitions</w:t>
      </w:r>
      <w:r>
        <w:rPr>
          <w:spacing w:val="-8"/>
          <w:sz w:val="22"/>
        </w:rPr>
        <w:t> </w:t>
      </w:r>
      <w:r>
        <w:rPr>
          <w:sz w:val="22"/>
        </w:rPr>
        <w:t>added</w:t>
      </w:r>
      <w:r>
        <w:rPr>
          <w:spacing w:val="-8"/>
          <w:sz w:val="22"/>
        </w:rPr>
        <w:t> </w:t>
      </w:r>
      <w:r>
        <w:rPr>
          <w:sz w:val="22"/>
        </w:rPr>
        <w:t>to</w:t>
      </w:r>
      <w:r>
        <w:rPr>
          <w:spacing w:val="-8"/>
          <w:sz w:val="22"/>
        </w:rPr>
        <w:t> </w:t>
      </w:r>
      <w:r>
        <w:rPr>
          <w:sz w:val="22"/>
        </w:rPr>
        <w:t>update</w:t>
      </w:r>
      <w:r>
        <w:rPr>
          <w:spacing w:val="-8"/>
          <w:sz w:val="22"/>
        </w:rPr>
        <w:t> </w:t>
      </w:r>
      <w:r>
        <w:rPr>
          <w:spacing w:val="-2"/>
          <w:sz w:val="22"/>
        </w:rPr>
        <w:t>language.</w:t>
      </w:r>
    </w:p>
    <w:p>
      <w:pPr>
        <w:pStyle w:val="ListParagraph"/>
        <w:numPr>
          <w:ilvl w:val="2"/>
          <w:numId w:val="24"/>
        </w:numPr>
        <w:tabs>
          <w:tab w:pos="1439" w:val="left" w:leader="none"/>
        </w:tabs>
        <w:spacing w:line="240" w:lineRule="auto" w:before="1" w:after="0"/>
        <w:ind w:left="1439" w:right="0" w:hanging="1079"/>
        <w:jc w:val="left"/>
        <w:rPr>
          <w:sz w:val="22"/>
        </w:rPr>
      </w:pPr>
      <w:r>
        <w:rPr>
          <w:sz w:val="22"/>
        </w:rPr>
        <w:t>PT</w:t>
      </w:r>
      <w:r>
        <w:rPr>
          <w:spacing w:val="-8"/>
          <w:sz w:val="22"/>
        </w:rPr>
        <w:t> </w:t>
      </w:r>
      <w:r>
        <w:rPr>
          <w:sz w:val="22"/>
        </w:rPr>
        <w:t>Memo</w:t>
      </w:r>
      <w:r>
        <w:rPr>
          <w:spacing w:val="-8"/>
          <w:sz w:val="22"/>
        </w:rPr>
        <w:t> </w:t>
      </w:r>
      <w:r>
        <w:rPr>
          <w:sz w:val="22"/>
        </w:rPr>
        <w:t>#05-</w:t>
      </w:r>
      <w:r>
        <w:rPr>
          <w:spacing w:val="-5"/>
          <w:sz w:val="22"/>
        </w:rPr>
        <w:t>01</w:t>
      </w:r>
    </w:p>
    <w:p>
      <w:pPr>
        <w:spacing w:line="253" w:lineRule="exact" w:before="0"/>
        <w:ind w:left="1440" w:right="0" w:firstLine="0"/>
        <w:jc w:val="left"/>
        <w:rPr>
          <w:sz w:val="22"/>
        </w:rPr>
      </w:pPr>
      <w:r>
        <w:rPr>
          <w:sz w:val="22"/>
        </w:rPr>
        <w:t>Permanent,</w:t>
      </w:r>
      <w:r>
        <w:rPr>
          <w:spacing w:val="-9"/>
          <w:sz w:val="22"/>
        </w:rPr>
        <w:t> </w:t>
      </w:r>
      <w:r>
        <w:rPr>
          <w:sz w:val="22"/>
        </w:rPr>
        <w:t>definitions</w:t>
      </w:r>
      <w:r>
        <w:rPr>
          <w:spacing w:val="-10"/>
          <w:sz w:val="22"/>
        </w:rPr>
        <w:t> </w:t>
      </w:r>
      <w:r>
        <w:rPr>
          <w:sz w:val="22"/>
        </w:rPr>
        <w:t>revised</w:t>
      </w:r>
      <w:r>
        <w:rPr>
          <w:spacing w:val="-9"/>
          <w:sz w:val="22"/>
        </w:rPr>
        <w:t> </w:t>
      </w:r>
      <w:r>
        <w:rPr>
          <w:sz w:val="22"/>
        </w:rPr>
        <w:t>and</w:t>
      </w:r>
      <w:r>
        <w:rPr>
          <w:spacing w:val="-10"/>
          <w:sz w:val="22"/>
        </w:rPr>
        <w:t> </w:t>
      </w:r>
      <w:r>
        <w:rPr>
          <w:spacing w:val="-2"/>
          <w:sz w:val="22"/>
        </w:rPr>
        <w:t>updated.</w:t>
      </w:r>
    </w:p>
    <w:p>
      <w:pPr>
        <w:pStyle w:val="ListParagraph"/>
        <w:numPr>
          <w:ilvl w:val="2"/>
          <w:numId w:val="24"/>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#06-</w:t>
      </w:r>
      <w:r>
        <w:rPr>
          <w:spacing w:val="-5"/>
          <w:sz w:val="22"/>
        </w:rPr>
        <w:t>01</w:t>
      </w:r>
    </w:p>
    <w:p>
      <w:pPr>
        <w:spacing w:before="0"/>
        <w:ind w:left="1440" w:right="0" w:firstLine="0"/>
        <w:jc w:val="left"/>
        <w:rPr>
          <w:sz w:val="22"/>
        </w:rPr>
      </w:pPr>
      <w:r>
        <w:rPr>
          <w:sz w:val="22"/>
        </w:rPr>
        <w:t>Permanent,</w:t>
      </w:r>
      <w:r>
        <w:rPr>
          <w:spacing w:val="-6"/>
          <w:sz w:val="22"/>
        </w:rPr>
        <w:t> </w:t>
      </w:r>
      <w:r>
        <w:rPr>
          <w:sz w:val="22"/>
        </w:rPr>
        <w:t>added</w:t>
      </w:r>
      <w:r>
        <w:rPr>
          <w:spacing w:val="-7"/>
          <w:sz w:val="22"/>
        </w:rPr>
        <w:t> </w:t>
      </w:r>
      <w:r>
        <w:rPr>
          <w:sz w:val="22"/>
        </w:rPr>
        <w:t>Section</w:t>
      </w:r>
      <w:r>
        <w:rPr>
          <w:spacing w:val="-6"/>
          <w:sz w:val="22"/>
        </w:rPr>
        <w:t> </w:t>
      </w:r>
      <w:r>
        <w:rPr>
          <w:sz w:val="22"/>
        </w:rPr>
        <w:t>504</w:t>
      </w:r>
      <w:r>
        <w:rPr>
          <w:spacing w:val="-7"/>
          <w:sz w:val="22"/>
        </w:rPr>
        <w:t> </w:t>
      </w:r>
      <w:r>
        <w:rPr>
          <w:sz w:val="22"/>
        </w:rPr>
        <w:t>Plan</w:t>
      </w:r>
      <w:r>
        <w:rPr>
          <w:spacing w:val="-7"/>
          <w:sz w:val="22"/>
        </w:rPr>
        <w:t> </w:t>
      </w:r>
      <w:r>
        <w:rPr>
          <w:sz w:val="22"/>
        </w:rPr>
        <w:t>to</w:t>
      </w:r>
      <w:r>
        <w:rPr>
          <w:spacing w:val="-6"/>
          <w:sz w:val="22"/>
        </w:rPr>
        <w:t> </w:t>
      </w:r>
      <w:r>
        <w:rPr>
          <w:spacing w:val="-2"/>
          <w:sz w:val="22"/>
        </w:rPr>
        <w:t>definitions.</w:t>
      </w:r>
    </w:p>
    <w:p>
      <w:pPr>
        <w:pStyle w:val="ListParagraph"/>
        <w:numPr>
          <w:ilvl w:val="2"/>
          <w:numId w:val="24"/>
        </w:numPr>
        <w:tabs>
          <w:tab w:pos="1439" w:val="left" w:leader="none"/>
        </w:tabs>
        <w:spacing w:line="240" w:lineRule="auto"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#07-</w:t>
      </w:r>
      <w:r>
        <w:rPr>
          <w:spacing w:val="-5"/>
          <w:sz w:val="22"/>
        </w:rPr>
        <w:t>01</w:t>
      </w:r>
    </w:p>
    <w:p>
      <w:pPr>
        <w:tabs>
          <w:tab w:pos="1439" w:val="left" w:leader="none"/>
        </w:tabs>
        <w:spacing w:before="1"/>
        <w:ind w:left="360" w:right="6038" w:firstLine="1080"/>
        <w:jc w:val="left"/>
        <w:rPr>
          <w:sz w:val="22"/>
        </w:rPr>
      </w:pPr>
      <w:r>
        <w:rPr>
          <w:sz w:val="22"/>
        </w:rPr>
        <w:t>Permanent,</w:t>
      </w:r>
      <w:r>
        <w:rPr>
          <w:spacing w:val="-16"/>
          <w:sz w:val="22"/>
        </w:rPr>
        <w:t> </w:t>
      </w:r>
      <w:r>
        <w:rPr>
          <w:sz w:val="22"/>
        </w:rPr>
        <w:t>revised</w:t>
      </w:r>
      <w:r>
        <w:rPr>
          <w:spacing w:val="-15"/>
          <w:sz w:val="22"/>
        </w:rPr>
        <w:t> </w:t>
      </w:r>
      <w:r>
        <w:rPr>
          <w:sz w:val="22"/>
        </w:rPr>
        <w:t>definitions </w:t>
      </w:r>
      <w:r>
        <w:rPr>
          <w:spacing w:val="-2"/>
          <w:sz w:val="22"/>
        </w:rPr>
        <w:t>7-1-07</w:t>
      </w:r>
      <w:r>
        <w:rPr>
          <w:sz w:val="22"/>
        </w:rPr>
        <w:tab/>
        <w:t>PT Memo #08-01</w:t>
      </w:r>
    </w:p>
    <w:p>
      <w:pPr>
        <w:tabs>
          <w:tab w:pos="1439" w:val="left" w:leader="none"/>
        </w:tabs>
        <w:spacing w:before="0"/>
        <w:ind w:left="360" w:right="3985" w:firstLine="1080"/>
        <w:jc w:val="left"/>
        <w:rPr>
          <w:sz w:val="22"/>
        </w:rPr>
      </w:pPr>
      <w:r>
        <w:rPr>
          <w:sz w:val="22"/>
        </w:rPr>
        <w:t>Permanent,</w:t>
      </w:r>
      <w:r>
        <w:rPr>
          <w:spacing w:val="-10"/>
          <w:sz w:val="22"/>
        </w:rPr>
        <w:t> </w:t>
      </w:r>
      <w:r>
        <w:rPr>
          <w:sz w:val="22"/>
        </w:rPr>
        <w:t>Added</w:t>
      </w:r>
      <w:r>
        <w:rPr>
          <w:spacing w:val="-10"/>
          <w:sz w:val="22"/>
        </w:rPr>
        <w:t> </w:t>
      </w:r>
      <w:r>
        <w:rPr>
          <w:sz w:val="22"/>
        </w:rPr>
        <w:t>Assistive</w:t>
      </w:r>
      <w:r>
        <w:rPr>
          <w:spacing w:val="-10"/>
          <w:sz w:val="22"/>
        </w:rPr>
        <w:t> </w:t>
      </w:r>
      <w:r>
        <w:rPr>
          <w:sz w:val="22"/>
        </w:rPr>
        <w:t>Technology</w:t>
      </w:r>
      <w:r>
        <w:rPr>
          <w:spacing w:val="-10"/>
          <w:sz w:val="22"/>
        </w:rPr>
        <w:t> </w:t>
      </w:r>
      <w:r>
        <w:rPr>
          <w:sz w:val="22"/>
        </w:rPr>
        <w:t>definitions </w:t>
      </w:r>
      <w:r>
        <w:rPr>
          <w:spacing w:val="-2"/>
          <w:sz w:val="22"/>
        </w:rPr>
        <w:t>7-1-08</w:t>
      </w:r>
      <w:r>
        <w:rPr>
          <w:sz w:val="22"/>
        </w:rPr>
        <w:tab/>
        <w:t>PT Memo #09-01</w:t>
      </w:r>
    </w:p>
    <w:p>
      <w:pPr>
        <w:tabs>
          <w:tab w:pos="1439" w:val="left" w:leader="none"/>
        </w:tabs>
        <w:spacing w:before="0"/>
        <w:ind w:left="360" w:right="4343" w:firstLine="1080"/>
        <w:jc w:val="left"/>
        <w:rPr>
          <w:sz w:val="22"/>
        </w:rPr>
      </w:pPr>
      <w:r>
        <w:rPr>
          <w:sz w:val="22"/>
        </w:rPr>
        <w:t>Permanent,</w:t>
      </w:r>
      <w:r>
        <w:rPr>
          <w:spacing w:val="-9"/>
          <w:sz w:val="22"/>
        </w:rPr>
        <w:t> </w:t>
      </w:r>
      <w:r>
        <w:rPr>
          <w:sz w:val="22"/>
        </w:rPr>
        <w:t>Replaced</w:t>
      </w:r>
      <w:r>
        <w:rPr>
          <w:spacing w:val="-10"/>
          <w:sz w:val="22"/>
        </w:rPr>
        <w:t> </w:t>
      </w:r>
      <w:r>
        <w:rPr>
          <w:sz w:val="22"/>
        </w:rPr>
        <w:t>"severe"</w:t>
      </w:r>
      <w:r>
        <w:rPr>
          <w:spacing w:val="-10"/>
          <w:sz w:val="22"/>
        </w:rPr>
        <w:t> </w:t>
      </w:r>
      <w:r>
        <w:rPr>
          <w:sz w:val="22"/>
        </w:rPr>
        <w:t>with</w:t>
      </w:r>
      <w:r>
        <w:rPr>
          <w:spacing w:val="-10"/>
          <w:sz w:val="22"/>
        </w:rPr>
        <w:t> </w:t>
      </w:r>
      <w:r>
        <w:rPr>
          <w:sz w:val="22"/>
        </w:rPr>
        <w:t>"significant" </w:t>
      </w:r>
      <w:r>
        <w:rPr>
          <w:spacing w:val="-2"/>
          <w:sz w:val="22"/>
        </w:rPr>
        <w:t>7-1-09</w:t>
      </w:r>
      <w:r>
        <w:rPr>
          <w:sz w:val="22"/>
        </w:rPr>
        <w:tab/>
        <w:t>PT Memo #10-01</w:t>
      </w:r>
    </w:p>
    <w:p>
      <w:pPr>
        <w:spacing w:line="253" w:lineRule="exact" w:before="0"/>
        <w:ind w:left="1440" w:right="0" w:firstLine="0"/>
        <w:jc w:val="left"/>
        <w:rPr>
          <w:sz w:val="22"/>
        </w:rPr>
      </w:pPr>
      <w:r>
        <w:rPr>
          <w:sz w:val="22"/>
        </w:rPr>
        <w:t>Permanent,</w:t>
      </w:r>
      <w:r>
        <w:rPr>
          <w:spacing w:val="-7"/>
          <w:sz w:val="22"/>
        </w:rPr>
        <w:t> </w:t>
      </w:r>
      <w:r>
        <w:rPr>
          <w:sz w:val="22"/>
        </w:rPr>
        <w:t>clarified</w:t>
      </w:r>
      <w:r>
        <w:rPr>
          <w:spacing w:val="-7"/>
          <w:sz w:val="22"/>
        </w:rPr>
        <w:t> </w:t>
      </w:r>
      <w:r>
        <w:rPr>
          <w:sz w:val="22"/>
        </w:rPr>
        <w:t>definition</w:t>
      </w:r>
      <w:r>
        <w:rPr>
          <w:spacing w:val="-7"/>
          <w:sz w:val="22"/>
        </w:rPr>
        <w:t> </w:t>
      </w:r>
      <w:r>
        <w:rPr>
          <w:sz w:val="22"/>
        </w:rPr>
        <w:t>of</w:t>
      </w:r>
      <w:r>
        <w:rPr>
          <w:spacing w:val="-7"/>
          <w:sz w:val="22"/>
        </w:rPr>
        <w:t> </w:t>
      </w:r>
      <w:r>
        <w:rPr>
          <w:sz w:val="22"/>
        </w:rPr>
        <w:t>"Individual</w:t>
      </w:r>
      <w:r>
        <w:rPr>
          <w:spacing w:val="-7"/>
          <w:sz w:val="22"/>
        </w:rPr>
        <w:t> </w:t>
      </w:r>
      <w:r>
        <w:rPr>
          <w:sz w:val="22"/>
        </w:rPr>
        <w:t>with</w:t>
      </w:r>
      <w:r>
        <w:rPr>
          <w:spacing w:val="-9"/>
          <w:sz w:val="22"/>
        </w:rPr>
        <w:t> </w:t>
      </w:r>
      <w:r>
        <w:rPr>
          <w:sz w:val="22"/>
        </w:rPr>
        <w:t>a</w:t>
      </w:r>
      <w:r>
        <w:rPr>
          <w:spacing w:val="-7"/>
          <w:sz w:val="22"/>
        </w:rPr>
        <w:t> </w:t>
      </w:r>
      <w:r>
        <w:rPr>
          <w:sz w:val="22"/>
        </w:rPr>
        <w:t>severe</w:t>
      </w:r>
      <w:r>
        <w:rPr>
          <w:spacing w:val="-7"/>
          <w:sz w:val="22"/>
        </w:rPr>
        <w:t> </w:t>
      </w:r>
      <w:r>
        <w:rPr>
          <w:spacing w:val="-2"/>
          <w:sz w:val="22"/>
        </w:rPr>
        <w:t>disability".</w:t>
      </w:r>
    </w:p>
    <w:p>
      <w:pPr>
        <w:pStyle w:val="ListParagraph"/>
        <w:numPr>
          <w:ilvl w:val="2"/>
          <w:numId w:val="62"/>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before="0"/>
        <w:ind w:left="1439" w:right="0" w:firstLine="0"/>
        <w:jc w:val="left"/>
        <w:rPr>
          <w:sz w:val="22"/>
        </w:rPr>
      </w:pPr>
      <w:r>
        <w:rPr>
          <w:sz w:val="22"/>
        </w:rPr>
        <w:t>Permanent,</w:t>
      </w:r>
      <w:r>
        <w:rPr>
          <w:spacing w:val="-11"/>
          <w:sz w:val="22"/>
        </w:rPr>
        <w:t> </w:t>
      </w:r>
      <w:r>
        <w:rPr>
          <w:sz w:val="22"/>
        </w:rPr>
        <w:t>Updated</w:t>
      </w:r>
      <w:r>
        <w:rPr>
          <w:spacing w:val="-11"/>
          <w:sz w:val="22"/>
        </w:rPr>
        <w:t> </w:t>
      </w:r>
      <w:r>
        <w:rPr>
          <w:spacing w:val="-2"/>
          <w:sz w:val="22"/>
        </w:rPr>
        <w:t>language</w:t>
      </w:r>
    </w:p>
    <w:p>
      <w:pPr>
        <w:pStyle w:val="ListParagraph"/>
        <w:numPr>
          <w:ilvl w:val="2"/>
          <w:numId w:val="62"/>
        </w:numPr>
        <w:tabs>
          <w:tab w:pos="1439" w:val="left" w:leader="none"/>
        </w:tabs>
        <w:spacing w:line="240" w:lineRule="auto" w:before="0" w:after="0"/>
        <w:ind w:left="1439" w:right="0" w:hanging="1079"/>
        <w:jc w:val="left"/>
        <w:rPr>
          <w:sz w:val="22"/>
        </w:rPr>
      </w:pPr>
      <w:r>
        <w:rPr>
          <w:sz w:val="22"/>
        </w:rPr>
        <w:t>Permanent,</w:t>
      </w:r>
      <w:r>
        <w:rPr>
          <w:spacing w:val="-9"/>
          <w:sz w:val="22"/>
        </w:rPr>
        <w:t> </w:t>
      </w:r>
      <w:r>
        <w:rPr>
          <w:sz w:val="22"/>
        </w:rPr>
        <w:t>added</w:t>
      </w:r>
      <w:r>
        <w:rPr>
          <w:spacing w:val="-9"/>
          <w:sz w:val="22"/>
        </w:rPr>
        <w:t> </w:t>
      </w:r>
      <w:r>
        <w:rPr>
          <w:sz w:val="22"/>
        </w:rPr>
        <w:t>Best</w:t>
      </w:r>
      <w:r>
        <w:rPr>
          <w:spacing w:val="-10"/>
          <w:sz w:val="22"/>
        </w:rPr>
        <w:t> </w:t>
      </w:r>
      <w:r>
        <w:rPr>
          <w:sz w:val="22"/>
        </w:rPr>
        <w:t>Correction</w:t>
      </w:r>
      <w:r>
        <w:rPr>
          <w:spacing w:val="-9"/>
          <w:sz w:val="22"/>
        </w:rPr>
        <w:t> </w:t>
      </w:r>
      <w:r>
        <w:rPr>
          <w:spacing w:val="-2"/>
          <w:sz w:val="22"/>
        </w:rPr>
        <w:t>definition</w:t>
      </w:r>
    </w:p>
    <w:p>
      <w:pPr>
        <w:pStyle w:val="ListParagraph"/>
        <w:numPr>
          <w:ilvl w:val="2"/>
          <w:numId w:val="62"/>
        </w:numPr>
        <w:tabs>
          <w:tab w:pos="1439" w:val="left" w:leader="none"/>
        </w:tabs>
        <w:spacing w:line="240" w:lineRule="auto" w:before="0" w:after="0"/>
        <w:ind w:left="1439" w:right="0" w:hanging="1079"/>
        <w:jc w:val="left"/>
        <w:rPr>
          <w:sz w:val="22"/>
        </w:rPr>
      </w:pPr>
      <w:r>
        <w:rPr>
          <w:sz w:val="22"/>
        </w:rPr>
        <w:t>Permanent,</w:t>
      </w:r>
      <w:r>
        <w:rPr>
          <w:spacing w:val="-9"/>
          <w:sz w:val="22"/>
        </w:rPr>
        <w:t> </w:t>
      </w:r>
      <w:r>
        <w:rPr>
          <w:sz w:val="22"/>
        </w:rPr>
        <w:t>changed</w:t>
      </w:r>
      <w:r>
        <w:rPr>
          <w:spacing w:val="-9"/>
          <w:sz w:val="22"/>
        </w:rPr>
        <w:t> </w:t>
      </w:r>
      <w:r>
        <w:rPr>
          <w:sz w:val="22"/>
        </w:rPr>
        <w:t>Mental</w:t>
      </w:r>
      <w:r>
        <w:rPr>
          <w:spacing w:val="-9"/>
          <w:sz w:val="22"/>
        </w:rPr>
        <w:t> </w:t>
      </w:r>
      <w:r>
        <w:rPr>
          <w:sz w:val="22"/>
        </w:rPr>
        <w:t>Retardation</w:t>
      </w:r>
      <w:r>
        <w:rPr>
          <w:spacing w:val="-9"/>
          <w:sz w:val="22"/>
        </w:rPr>
        <w:t> </w:t>
      </w:r>
      <w:r>
        <w:rPr>
          <w:sz w:val="22"/>
        </w:rPr>
        <w:t>to</w:t>
      </w:r>
      <w:r>
        <w:rPr>
          <w:spacing w:val="-9"/>
          <w:sz w:val="22"/>
        </w:rPr>
        <w:t> </w:t>
      </w:r>
      <w:r>
        <w:rPr>
          <w:sz w:val="22"/>
        </w:rPr>
        <w:t>Intellectual</w:t>
      </w:r>
      <w:r>
        <w:rPr>
          <w:spacing w:val="-10"/>
          <w:sz w:val="22"/>
        </w:rPr>
        <w:t> </w:t>
      </w:r>
      <w:r>
        <w:rPr>
          <w:spacing w:val="-2"/>
          <w:sz w:val="22"/>
        </w:rPr>
        <w:t>Disability</w:t>
      </w:r>
    </w:p>
    <w:p>
      <w:pPr>
        <w:tabs>
          <w:tab w:pos="1439" w:val="left" w:leader="none"/>
        </w:tabs>
        <w:spacing w:before="1"/>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0"/>
        <w:ind w:left="1439" w:right="779" w:hanging="1080"/>
        <w:jc w:val="left"/>
        <w:rPr>
          <w:sz w:val="22"/>
        </w:rPr>
      </w:pPr>
      <w:r>
        <w:rPr>
          <w:spacing w:val="-2"/>
          <w:sz w:val="22"/>
        </w:rPr>
        <w:t>8-25-16</w:t>
      </w:r>
      <w:r>
        <w:rPr>
          <w:sz w:val="22"/>
        </w:rPr>
        <w:tab/>
        <w:t>Updated language replacing “severe” with “significant”.</w:t>
      </w:r>
      <w:r>
        <w:rPr>
          <w:spacing w:val="40"/>
          <w:sz w:val="22"/>
        </w:rPr>
        <w:t> </w:t>
      </w:r>
      <w:r>
        <w:rPr>
          <w:sz w:val="22"/>
        </w:rPr>
        <w:t>Added language under “Eligibility” (C) regarding secondary</w:t>
      </w:r>
      <w:r>
        <w:rPr>
          <w:spacing w:val="-1"/>
          <w:sz w:val="22"/>
        </w:rPr>
        <w:t> </w:t>
      </w:r>
      <w:r>
        <w:rPr>
          <w:sz w:val="22"/>
        </w:rPr>
        <w:t>disabilities results in</w:t>
      </w:r>
      <w:r>
        <w:rPr>
          <w:spacing w:val="-1"/>
          <w:sz w:val="22"/>
        </w:rPr>
        <w:t> </w:t>
      </w:r>
      <w:r>
        <w:rPr>
          <w:sz w:val="22"/>
        </w:rPr>
        <w:t>functional visual limitations. Added</w:t>
      </w:r>
      <w:r>
        <w:rPr>
          <w:spacing w:val="-4"/>
          <w:sz w:val="22"/>
        </w:rPr>
        <w:t> </w:t>
      </w:r>
      <w:r>
        <w:rPr>
          <w:sz w:val="22"/>
        </w:rPr>
        <w:t>language</w:t>
      </w:r>
      <w:r>
        <w:rPr>
          <w:spacing w:val="-4"/>
          <w:sz w:val="22"/>
        </w:rPr>
        <w:t> </w:t>
      </w:r>
      <w:r>
        <w:rPr>
          <w:sz w:val="22"/>
        </w:rPr>
        <w:t>under</w:t>
      </w:r>
      <w:r>
        <w:rPr>
          <w:spacing w:val="-4"/>
          <w:sz w:val="22"/>
        </w:rPr>
        <w:t> </w:t>
      </w:r>
      <w:r>
        <w:rPr>
          <w:sz w:val="22"/>
        </w:rPr>
        <w:t>“Extended</w:t>
      </w:r>
      <w:r>
        <w:rPr>
          <w:spacing w:val="-4"/>
          <w:sz w:val="22"/>
        </w:rPr>
        <w:t> </w:t>
      </w:r>
      <w:r>
        <w:rPr>
          <w:sz w:val="22"/>
        </w:rPr>
        <w:t>services”</w:t>
      </w:r>
      <w:r>
        <w:rPr>
          <w:spacing w:val="-4"/>
          <w:sz w:val="22"/>
        </w:rPr>
        <w:t> </w:t>
      </w:r>
      <w:r>
        <w:rPr>
          <w:sz w:val="22"/>
        </w:rPr>
        <w:t>regarding</w:t>
      </w:r>
      <w:r>
        <w:rPr>
          <w:spacing w:val="-4"/>
          <w:sz w:val="22"/>
        </w:rPr>
        <w:t> </w:t>
      </w:r>
      <w:r>
        <w:rPr>
          <w:sz w:val="22"/>
        </w:rPr>
        <w:t>youth</w:t>
      </w:r>
      <w:r>
        <w:rPr>
          <w:spacing w:val="-5"/>
          <w:sz w:val="22"/>
        </w:rPr>
        <w:t> </w:t>
      </w:r>
      <w:r>
        <w:rPr>
          <w:sz w:val="22"/>
        </w:rPr>
        <w:t>with</w:t>
      </w:r>
      <w:r>
        <w:rPr>
          <w:spacing w:val="-4"/>
          <w:sz w:val="22"/>
        </w:rPr>
        <w:t> </w:t>
      </w:r>
      <w:r>
        <w:rPr>
          <w:sz w:val="22"/>
        </w:rPr>
        <w:t>the</w:t>
      </w:r>
      <w:r>
        <w:rPr>
          <w:spacing w:val="-4"/>
          <w:sz w:val="22"/>
        </w:rPr>
        <w:t> </w:t>
      </w:r>
      <w:r>
        <w:rPr>
          <w:sz w:val="22"/>
        </w:rPr>
        <w:t>most</w:t>
      </w:r>
      <w:r>
        <w:rPr>
          <w:spacing w:val="-4"/>
          <w:sz w:val="22"/>
        </w:rPr>
        <w:t> </w:t>
      </w:r>
      <w:r>
        <w:rPr>
          <w:sz w:val="22"/>
        </w:rPr>
        <w:t>significant disabilities may receive extended services for a period not to exceed 4 years.</w:t>
      </w:r>
    </w:p>
    <w:p>
      <w:pPr>
        <w:spacing w:before="0"/>
        <w:ind w:left="1439" w:right="746" w:hanging="1080"/>
        <w:jc w:val="both"/>
        <w:rPr>
          <w:sz w:val="22"/>
        </w:rPr>
      </w:pPr>
      <w:r>
        <w:rPr>
          <w:sz w:val="22"/>
        </w:rPr>
        <w:t>9-11-17</w:t>
      </w:r>
      <w:r>
        <w:rPr>
          <w:spacing w:val="80"/>
          <w:w w:val="150"/>
          <w:sz w:val="22"/>
        </w:rPr>
        <w:t> </w:t>
      </w:r>
      <w:r>
        <w:rPr>
          <w:sz w:val="22"/>
        </w:rPr>
        <w:t>Removal</w:t>
      </w:r>
      <w:r>
        <w:rPr>
          <w:spacing w:val="-2"/>
          <w:sz w:val="22"/>
        </w:rPr>
        <w:t> </w:t>
      </w:r>
      <w:r>
        <w:rPr>
          <w:sz w:val="22"/>
        </w:rPr>
        <w:t>of</w:t>
      </w:r>
      <w:r>
        <w:rPr>
          <w:spacing w:val="-2"/>
          <w:sz w:val="22"/>
        </w:rPr>
        <w:t> </w:t>
      </w:r>
      <w:r>
        <w:rPr>
          <w:sz w:val="22"/>
        </w:rPr>
        <w:t>definitions:</w:t>
      </w:r>
      <w:r>
        <w:rPr>
          <w:spacing w:val="-3"/>
          <w:sz w:val="22"/>
        </w:rPr>
        <w:t> </w:t>
      </w:r>
      <w:r>
        <w:rPr>
          <w:sz w:val="22"/>
        </w:rPr>
        <w:t>Homemaker,</w:t>
      </w:r>
      <w:r>
        <w:rPr>
          <w:spacing w:val="-2"/>
          <w:sz w:val="22"/>
        </w:rPr>
        <w:t> </w:t>
      </w:r>
      <w:r>
        <w:rPr>
          <w:sz w:val="22"/>
        </w:rPr>
        <w:t>Transitional</w:t>
      </w:r>
      <w:r>
        <w:rPr>
          <w:spacing w:val="-2"/>
          <w:sz w:val="22"/>
        </w:rPr>
        <w:t> </w:t>
      </w:r>
      <w:r>
        <w:rPr>
          <w:sz w:val="22"/>
        </w:rPr>
        <w:t>employment,</w:t>
      </w:r>
      <w:r>
        <w:rPr>
          <w:spacing w:val="-2"/>
          <w:sz w:val="22"/>
        </w:rPr>
        <w:t> </w:t>
      </w:r>
      <w:r>
        <w:rPr>
          <w:sz w:val="22"/>
        </w:rPr>
        <w:t>Unpaid</w:t>
      </w:r>
      <w:r>
        <w:rPr>
          <w:spacing w:val="-2"/>
          <w:sz w:val="22"/>
        </w:rPr>
        <w:t> </w:t>
      </w:r>
      <w:r>
        <w:rPr>
          <w:sz w:val="22"/>
        </w:rPr>
        <w:t>family</w:t>
      </w:r>
      <w:r>
        <w:rPr>
          <w:spacing w:val="-2"/>
          <w:sz w:val="22"/>
        </w:rPr>
        <w:t> </w:t>
      </w:r>
      <w:r>
        <w:rPr>
          <w:sz w:val="22"/>
        </w:rPr>
        <w:t>worker. Addition</w:t>
      </w:r>
      <w:r>
        <w:rPr>
          <w:spacing w:val="-6"/>
          <w:sz w:val="22"/>
        </w:rPr>
        <w:t> </w:t>
      </w:r>
      <w:r>
        <w:rPr>
          <w:sz w:val="22"/>
        </w:rPr>
        <w:t>of</w:t>
      </w:r>
      <w:r>
        <w:rPr>
          <w:spacing w:val="-6"/>
          <w:sz w:val="22"/>
        </w:rPr>
        <w:t> </w:t>
      </w:r>
      <w:r>
        <w:rPr>
          <w:sz w:val="22"/>
        </w:rPr>
        <w:t>definitions:</w:t>
      </w:r>
      <w:r>
        <w:rPr>
          <w:spacing w:val="-6"/>
          <w:sz w:val="22"/>
        </w:rPr>
        <w:t> </w:t>
      </w:r>
      <w:r>
        <w:rPr>
          <w:sz w:val="22"/>
        </w:rPr>
        <w:t>Customized</w:t>
      </w:r>
      <w:r>
        <w:rPr>
          <w:spacing w:val="-6"/>
          <w:sz w:val="22"/>
        </w:rPr>
        <w:t> </w:t>
      </w:r>
      <w:r>
        <w:rPr>
          <w:sz w:val="22"/>
        </w:rPr>
        <w:t>employment,</w:t>
      </w:r>
      <w:r>
        <w:rPr>
          <w:spacing w:val="-6"/>
          <w:sz w:val="22"/>
        </w:rPr>
        <w:t> </w:t>
      </w:r>
      <w:r>
        <w:rPr>
          <w:sz w:val="22"/>
        </w:rPr>
        <w:t>Pre-employment</w:t>
      </w:r>
      <w:r>
        <w:rPr>
          <w:spacing w:val="-6"/>
          <w:sz w:val="22"/>
        </w:rPr>
        <w:t> </w:t>
      </w:r>
      <w:r>
        <w:rPr>
          <w:sz w:val="22"/>
        </w:rPr>
        <w:t>transition</w:t>
      </w:r>
      <w:r>
        <w:rPr>
          <w:spacing w:val="-6"/>
          <w:sz w:val="22"/>
        </w:rPr>
        <w:t> </w:t>
      </w:r>
      <w:r>
        <w:rPr>
          <w:sz w:val="22"/>
        </w:rPr>
        <w:t>services, Transition services.</w:t>
      </w:r>
    </w:p>
    <w:p>
      <w:pPr>
        <w:spacing w:before="0"/>
        <w:ind w:left="1439" w:right="775" w:firstLine="0"/>
        <w:jc w:val="left"/>
        <w:rPr>
          <w:sz w:val="22"/>
        </w:rPr>
      </w:pPr>
      <w:r>
        <w:rPr>
          <w:sz w:val="22"/>
        </w:rPr>
        <w:t>Updated</w:t>
      </w:r>
      <w:r>
        <w:rPr>
          <w:spacing w:val="-6"/>
          <w:sz w:val="22"/>
        </w:rPr>
        <w:t> </w:t>
      </w:r>
      <w:r>
        <w:rPr>
          <w:sz w:val="22"/>
        </w:rPr>
        <w:t>language</w:t>
      </w:r>
      <w:r>
        <w:rPr>
          <w:spacing w:val="-6"/>
          <w:sz w:val="22"/>
        </w:rPr>
        <w:t> </w:t>
      </w:r>
      <w:r>
        <w:rPr>
          <w:sz w:val="22"/>
        </w:rPr>
        <w:t>in</w:t>
      </w:r>
      <w:r>
        <w:rPr>
          <w:spacing w:val="-6"/>
          <w:sz w:val="22"/>
        </w:rPr>
        <w:t> </w:t>
      </w:r>
      <w:r>
        <w:rPr>
          <w:sz w:val="22"/>
        </w:rPr>
        <w:t>definitions:</w:t>
      </w:r>
      <w:r>
        <w:rPr>
          <w:spacing w:val="-6"/>
          <w:sz w:val="22"/>
        </w:rPr>
        <w:t> </w:t>
      </w:r>
      <w:r>
        <w:rPr>
          <w:sz w:val="22"/>
        </w:rPr>
        <w:t>Competitive</w:t>
      </w:r>
      <w:r>
        <w:rPr>
          <w:spacing w:val="-6"/>
          <w:sz w:val="22"/>
        </w:rPr>
        <w:t> </w:t>
      </w:r>
      <w:r>
        <w:rPr>
          <w:sz w:val="22"/>
        </w:rPr>
        <w:t>integrated</w:t>
      </w:r>
      <w:r>
        <w:rPr>
          <w:spacing w:val="-6"/>
          <w:sz w:val="22"/>
        </w:rPr>
        <w:t> </w:t>
      </w:r>
      <w:r>
        <w:rPr>
          <w:sz w:val="22"/>
        </w:rPr>
        <w:t>employment,</w:t>
      </w:r>
      <w:r>
        <w:rPr>
          <w:spacing w:val="-6"/>
          <w:sz w:val="22"/>
        </w:rPr>
        <w:t> </w:t>
      </w:r>
      <w:r>
        <w:rPr>
          <w:sz w:val="22"/>
        </w:rPr>
        <w:t>Employment outcome, Extended employment, Ongoing support services, Other Qualified Rehabilitation Personnel, Supported employment.</w:t>
      </w:r>
    </w:p>
    <w:p>
      <w:pPr>
        <w:spacing w:before="0"/>
        <w:ind w:left="1439" w:right="855" w:firstLine="0"/>
        <w:jc w:val="left"/>
        <w:rPr>
          <w:sz w:val="22"/>
        </w:rPr>
      </w:pPr>
      <w:r>
        <w:rPr>
          <w:sz w:val="22"/>
        </w:rPr>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1439" w:right="787" w:hanging="1080"/>
        <w:jc w:val="left"/>
        <w:rPr>
          <w:sz w:val="22"/>
        </w:rPr>
      </w:pPr>
      <w:r>
        <w:rPr>
          <w:spacing w:val="-2"/>
          <w:sz w:val="22"/>
        </w:rPr>
        <w:t>9-14-18</w:t>
      </w:r>
      <w:r>
        <w:rPr>
          <w:sz w:val="22"/>
        </w:rPr>
        <w:tab/>
        <w:t>Updated definitions of significant and most significant disability to match federal definitions</w:t>
      </w:r>
      <w:r>
        <w:rPr>
          <w:spacing w:val="-4"/>
          <w:sz w:val="22"/>
        </w:rPr>
        <w:t> </w:t>
      </w:r>
      <w:r>
        <w:rPr>
          <w:sz w:val="22"/>
        </w:rPr>
        <w:t>and</w:t>
      </w:r>
      <w:r>
        <w:rPr>
          <w:spacing w:val="-4"/>
          <w:sz w:val="22"/>
        </w:rPr>
        <w:t> </w:t>
      </w:r>
      <w:r>
        <w:rPr>
          <w:sz w:val="22"/>
        </w:rPr>
        <w:t>related</w:t>
      </w:r>
      <w:r>
        <w:rPr>
          <w:spacing w:val="-4"/>
          <w:sz w:val="22"/>
        </w:rPr>
        <w:t> </w:t>
      </w:r>
      <w:r>
        <w:rPr>
          <w:sz w:val="22"/>
        </w:rPr>
        <w:t>definitions</w:t>
      </w:r>
      <w:r>
        <w:rPr>
          <w:spacing w:val="-4"/>
          <w:sz w:val="22"/>
        </w:rPr>
        <w:t> </w:t>
      </w:r>
      <w:r>
        <w:rPr>
          <w:sz w:val="22"/>
        </w:rPr>
        <w:t>are</w:t>
      </w:r>
      <w:r>
        <w:rPr>
          <w:spacing w:val="-4"/>
          <w:sz w:val="22"/>
        </w:rPr>
        <w:t> </w:t>
      </w:r>
      <w:r>
        <w:rPr>
          <w:sz w:val="22"/>
        </w:rPr>
        <w:t>modified</w:t>
      </w:r>
      <w:r>
        <w:rPr>
          <w:spacing w:val="-4"/>
          <w:sz w:val="22"/>
        </w:rPr>
        <w:t> </w:t>
      </w:r>
      <w:r>
        <w:rPr>
          <w:sz w:val="22"/>
        </w:rPr>
        <w:t>to</w:t>
      </w:r>
      <w:r>
        <w:rPr>
          <w:spacing w:val="-4"/>
          <w:sz w:val="22"/>
        </w:rPr>
        <w:t> </w:t>
      </w:r>
      <w:r>
        <w:rPr>
          <w:sz w:val="22"/>
        </w:rPr>
        <w:t>ensure</w:t>
      </w:r>
      <w:r>
        <w:rPr>
          <w:spacing w:val="-4"/>
          <w:sz w:val="22"/>
        </w:rPr>
        <w:t> </w:t>
      </w:r>
      <w:r>
        <w:rPr>
          <w:sz w:val="22"/>
        </w:rPr>
        <w:t>that</w:t>
      </w:r>
      <w:r>
        <w:rPr>
          <w:spacing w:val="-4"/>
          <w:sz w:val="22"/>
        </w:rPr>
        <w:t> </w:t>
      </w:r>
      <w:r>
        <w:rPr>
          <w:sz w:val="22"/>
        </w:rPr>
        <w:t>severity</w:t>
      </w:r>
      <w:r>
        <w:rPr>
          <w:spacing w:val="-4"/>
          <w:sz w:val="22"/>
        </w:rPr>
        <w:t> </w:t>
      </w:r>
      <w:r>
        <w:rPr>
          <w:sz w:val="22"/>
        </w:rPr>
        <w:t>of</w:t>
      </w:r>
      <w:r>
        <w:rPr>
          <w:spacing w:val="-4"/>
          <w:sz w:val="22"/>
        </w:rPr>
        <w:t> </w:t>
      </w:r>
      <w:r>
        <w:rPr>
          <w:sz w:val="22"/>
        </w:rPr>
        <w:t>disability</w:t>
      </w:r>
      <w:r>
        <w:rPr>
          <w:spacing w:val="-4"/>
          <w:sz w:val="22"/>
        </w:rPr>
        <w:t> </w:t>
      </w:r>
      <w:r>
        <w:rPr>
          <w:sz w:val="22"/>
        </w:rPr>
        <w:t>will be the deciding factor in determining who will receive services when funds are insufficient to serve all applicants.</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spacing w:before="0"/>
        <w:ind w:left="1440" w:right="775" w:firstLine="0"/>
        <w:jc w:val="left"/>
        <w:rPr>
          <w:sz w:val="22"/>
        </w:rPr>
      </w:pPr>
      <w:r>
        <w:rPr>
          <w:sz w:val="22"/>
        </w:rPr>
        <w:t>Added</w:t>
      </w:r>
      <w:r>
        <w:rPr>
          <w:spacing w:val="-4"/>
          <w:sz w:val="22"/>
        </w:rPr>
        <w:t> </w:t>
      </w:r>
      <w:r>
        <w:rPr>
          <w:sz w:val="22"/>
        </w:rPr>
        <w:t>definition:</w:t>
      </w:r>
      <w:r>
        <w:rPr>
          <w:spacing w:val="-4"/>
          <w:sz w:val="22"/>
        </w:rPr>
        <w:t> </w:t>
      </w:r>
      <w:r>
        <w:rPr>
          <w:sz w:val="22"/>
        </w:rPr>
        <w:t>"Prior</w:t>
      </w:r>
      <w:r>
        <w:rPr>
          <w:spacing w:val="-4"/>
          <w:sz w:val="22"/>
        </w:rPr>
        <w:t> </w:t>
      </w:r>
      <w:r>
        <w:rPr>
          <w:sz w:val="22"/>
        </w:rPr>
        <w:t>Approval"</w:t>
      </w:r>
      <w:r>
        <w:rPr>
          <w:spacing w:val="-4"/>
          <w:sz w:val="22"/>
        </w:rPr>
        <w:t> </w:t>
      </w:r>
      <w:r>
        <w:rPr>
          <w:sz w:val="22"/>
        </w:rPr>
        <w:t>refers</w:t>
      </w:r>
      <w:r>
        <w:rPr>
          <w:spacing w:val="-4"/>
          <w:sz w:val="22"/>
        </w:rPr>
        <w:t> </w:t>
      </w:r>
      <w:r>
        <w:rPr>
          <w:sz w:val="22"/>
        </w:rPr>
        <w:t>to</w:t>
      </w:r>
      <w:r>
        <w:rPr>
          <w:spacing w:val="-4"/>
          <w:sz w:val="22"/>
        </w:rPr>
        <w:t> </w:t>
      </w:r>
      <w:r>
        <w:rPr>
          <w:sz w:val="22"/>
        </w:rPr>
        <w:t>the</w:t>
      </w:r>
      <w:r>
        <w:rPr>
          <w:spacing w:val="-4"/>
          <w:sz w:val="22"/>
        </w:rPr>
        <w:t> </w:t>
      </w:r>
      <w:r>
        <w:rPr>
          <w:sz w:val="22"/>
        </w:rPr>
        <w:t>receipt</w:t>
      </w:r>
      <w:r>
        <w:rPr>
          <w:spacing w:val="-4"/>
          <w:sz w:val="22"/>
        </w:rPr>
        <w:t> </w:t>
      </w:r>
      <w:r>
        <w:rPr>
          <w:sz w:val="22"/>
        </w:rPr>
        <w:t>of</w:t>
      </w:r>
      <w:r>
        <w:rPr>
          <w:spacing w:val="-4"/>
          <w:sz w:val="22"/>
        </w:rPr>
        <w:t> </w:t>
      </w:r>
      <w:r>
        <w:rPr>
          <w:sz w:val="22"/>
        </w:rPr>
        <w:t>approval</w:t>
      </w:r>
      <w:r>
        <w:rPr>
          <w:spacing w:val="-4"/>
          <w:sz w:val="22"/>
        </w:rPr>
        <w:t> </w:t>
      </w:r>
      <w:r>
        <w:rPr>
          <w:sz w:val="22"/>
        </w:rPr>
        <w:t>from</w:t>
      </w:r>
      <w:r>
        <w:rPr>
          <w:spacing w:val="-5"/>
          <w:sz w:val="22"/>
        </w:rPr>
        <w:t> </w:t>
      </w:r>
      <w:r>
        <w:rPr>
          <w:sz w:val="22"/>
        </w:rPr>
        <w:t>the</w:t>
      </w:r>
      <w:r>
        <w:rPr>
          <w:spacing w:val="-4"/>
          <w:sz w:val="22"/>
        </w:rPr>
        <w:t> </w:t>
      </w:r>
      <w:r>
        <w:rPr>
          <w:sz w:val="22"/>
        </w:rPr>
        <w:t>granting authority prior to issuing the authorization for the purchase of goods and services.</w:t>
      </w:r>
    </w:p>
    <w:p>
      <w:pPr>
        <w:tabs>
          <w:tab w:pos="1439" w:val="left" w:leader="none"/>
        </w:tabs>
        <w:spacing w:before="0"/>
        <w:ind w:left="1439" w:right="753" w:hanging="1080"/>
        <w:jc w:val="left"/>
        <w:rPr>
          <w:sz w:val="22"/>
        </w:rPr>
      </w:pPr>
      <w:r>
        <w:rPr>
          <w:spacing w:val="-2"/>
          <w:sz w:val="22"/>
        </w:rPr>
        <w:t>8-26-21</w:t>
      </w:r>
      <w:r>
        <w:rPr>
          <w:sz w:val="22"/>
        </w:rPr>
        <w:tab/>
        <w:t>Added the following definitions: Appropriate modes of communication; Assessment for determining eligibility and vocational rehabilitation needs; Electronic Case Management</w:t>
      </w:r>
      <w:r>
        <w:rPr>
          <w:spacing w:val="-6"/>
          <w:sz w:val="22"/>
        </w:rPr>
        <w:t> </w:t>
      </w:r>
      <w:r>
        <w:rPr>
          <w:sz w:val="22"/>
        </w:rPr>
        <w:t>System;</w:t>
      </w:r>
      <w:r>
        <w:rPr>
          <w:spacing w:val="-6"/>
          <w:sz w:val="22"/>
        </w:rPr>
        <w:t> </w:t>
      </w:r>
      <w:r>
        <w:rPr>
          <w:sz w:val="22"/>
        </w:rPr>
        <w:t>Eligible</w:t>
      </w:r>
      <w:r>
        <w:rPr>
          <w:spacing w:val="-6"/>
          <w:sz w:val="22"/>
        </w:rPr>
        <w:t> </w:t>
      </w:r>
      <w:r>
        <w:rPr>
          <w:sz w:val="22"/>
        </w:rPr>
        <w:t>individual;</w:t>
      </w:r>
      <w:r>
        <w:rPr>
          <w:spacing w:val="-6"/>
          <w:sz w:val="22"/>
        </w:rPr>
        <w:t> </w:t>
      </w:r>
      <w:r>
        <w:rPr>
          <w:sz w:val="22"/>
        </w:rPr>
        <w:t>Family</w:t>
      </w:r>
      <w:r>
        <w:rPr>
          <w:spacing w:val="-7"/>
          <w:sz w:val="22"/>
        </w:rPr>
        <w:t> </w:t>
      </w:r>
      <w:r>
        <w:rPr>
          <w:sz w:val="22"/>
        </w:rPr>
        <w:t>member;</w:t>
      </w:r>
      <w:r>
        <w:rPr>
          <w:spacing w:val="-6"/>
          <w:sz w:val="22"/>
        </w:rPr>
        <w:t> </w:t>
      </w:r>
      <w:r>
        <w:rPr>
          <w:sz w:val="22"/>
        </w:rPr>
        <w:t>Individual's</w:t>
      </w:r>
      <w:r>
        <w:rPr>
          <w:spacing w:val="-6"/>
          <w:sz w:val="22"/>
        </w:rPr>
        <w:t> </w:t>
      </w:r>
      <w:r>
        <w:rPr>
          <w:sz w:val="22"/>
        </w:rPr>
        <w:t>representative; OMES-DCAM; Post-employment services; Record of Service; Rehabilitation engineering; Rehabilitation technology; Sole local agency; Student with a disability; Supported employment services; Vocation rehabilitation services; Youth with a </w:t>
      </w:r>
      <w:r>
        <w:rPr>
          <w:spacing w:val="-2"/>
          <w:sz w:val="22"/>
        </w:rPr>
        <w:t>disability.</w:t>
      </w:r>
    </w:p>
    <w:p>
      <w:pPr>
        <w:spacing w:after="0"/>
        <w:jc w:val="left"/>
        <w:rPr>
          <w:sz w:val="22"/>
        </w:rPr>
        <w:sectPr>
          <w:pgSz w:w="12240" w:h="15840"/>
          <w:pgMar w:top="1360" w:bottom="280" w:left="1080" w:right="720"/>
        </w:sectPr>
      </w:pPr>
    </w:p>
    <w:p>
      <w:pPr>
        <w:spacing w:before="80"/>
        <w:ind w:left="1439" w:right="718" w:firstLine="0"/>
        <w:jc w:val="left"/>
        <w:rPr>
          <w:sz w:val="22"/>
        </w:rPr>
      </w:pPr>
      <w:r>
        <w:rPr>
          <w:sz w:val="22"/>
        </w:rPr>
        <w:t>Deleted</w:t>
      </w:r>
      <w:r>
        <w:rPr>
          <w:spacing w:val="-4"/>
          <w:sz w:val="22"/>
        </w:rPr>
        <w:t> </w:t>
      </w:r>
      <w:r>
        <w:rPr>
          <w:sz w:val="22"/>
        </w:rPr>
        <w:t>the</w:t>
      </w:r>
      <w:r>
        <w:rPr>
          <w:spacing w:val="-4"/>
          <w:sz w:val="22"/>
        </w:rPr>
        <w:t> </w:t>
      </w:r>
      <w:r>
        <w:rPr>
          <w:sz w:val="22"/>
        </w:rPr>
        <w:t>following</w:t>
      </w:r>
      <w:r>
        <w:rPr>
          <w:spacing w:val="-4"/>
          <w:sz w:val="22"/>
        </w:rPr>
        <w:t> </w:t>
      </w:r>
      <w:r>
        <w:rPr>
          <w:sz w:val="22"/>
        </w:rPr>
        <w:t>definitions:</w:t>
      </w:r>
      <w:r>
        <w:rPr>
          <w:spacing w:val="-4"/>
          <w:sz w:val="22"/>
        </w:rPr>
        <w:t> </w:t>
      </w:r>
      <w:r>
        <w:rPr>
          <w:sz w:val="22"/>
        </w:rPr>
        <w:t>Authorized</w:t>
      </w:r>
      <w:r>
        <w:rPr>
          <w:spacing w:val="-4"/>
          <w:sz w:val="22"/>
        </w:rPr>
        <w:t> </w:t>
      </w:r>
      <w:r>
        <w:rPr>
          <w:sz w:val="22"/>
        </w:rPr>
        <w:t>Representative;</w:t>
      </w:r>
      <w:r>
        <w:rPr>
          <w:spacing w:val="-5"/>
          <w:sz w:val="22"/>
        </w:rPr>
        <w:t> </w:t>
      </w:r>
      <w:r>
        <w:rPr>
          <w:sz w:val="22"/>
        </w:rPr>
        <w:t>Club</w:t>
      </w:r>
      <w:r>
        <w:rPr>
          <w:spacing w:val="-4"/>
          <w:sz w:val="22"/>
        </w:rPr>
        <w:t> </w:t>
      </w:r>
      <w:r>
        <w:rPr>
          <w:sz w:val="22"/>
        </w:rPr>
        <w:t>model;</w:t>
      </w:r>
      <w:r>
        <w:rPr>
          <w:spacing w:val="-4"/>
          <w:sz w:val="22"/>
        </w:rPr>
        <w:t> </w:t>
      </w:r>
      <w:r>
        <w:rPr>
          <w:sz w:val="22"/>
        </w:rPr>
        <w:t>Eligibility</w:t>
      </w:r>
      <w:r>
        <w:rPr>
          <w:spacing w:val="-4"/>
          <w:sz w:val="22"/>
        </w:rPr>
        <w:t> </w:t>
      </w:r>
      <w:r>
        <w:rPr>
          <w:sz w:val="22"/>
        </w:rPr>
        <w:t>or Eligible; Related factors; Stabilization.</w:t>
      </w:r>
    </w:p>
    <w:p>
      <w:pPr>
        <w:spacing w:line="252" w:lineRule="exact" w:before="0"/>
        <w:ind w:left="1439" w:right="0" w:firstLine="0"/>
        <w:jc w:val="left"/>
        <w:rPr>
          <w:sz w:val="22"/>
        </w:rPr>
      </w:pPr>
      <w:r>
        <w:rPr>
          <w:sz w:val="22"/>
        </w:rPr>
        <w:t>Updated</w:t>
      </w:r>
      <w:r>
        <w:rPr>
          <w:spacing w:val="-8"/>
          <w:sz w:val="22"/>
        </w:rPr>
        <w:t> </w:t>
      </w:r>
      <w:r>
        <w:rPr>
          <w:sz w:val="22"/>
        </w:rPr>
        <w:t>additional</w:t>
      </w:r>
      <w:r>
        <w:rPr>
          <w:spacing w:val="-8"/>
          <w:sz w:val="22"/>
        </w:rPr>
        <w:t> </w:t>
      </w:r>
      <w:r>
        <w:rPr>
          <w:sz w:val="22"/>
        </w:rPr>
        <w:t>definitions</w:t>
      </w:r>
      <w:r>
        <w:rPr>
          <w:spacing w:val="-8"/>
          <w:sz w:val="22"/>
        </w:rPr>
        <w:t> </w:t>
      </w:r>
      <w:r>
        <w:rPr>
          <w:sz w:val="22"/>
        </w:rPr>
        <w:t>to</w:t>
      </w:r>
      <w:r>
        <w:rPr>
          <w:spacing w:val="-7"/>
          <w:sz w:val="22"/>
        </w:rPr>
        <w:t> </w:t>
      </w:r>
      <w:r>
        <w:rPr>
          <w:sz w:val="22"/>
        </w:rPr>
        <w:t>reflect</w:t>
      </w:r>
      <w:r>
        <w:rPr>
          <w:spacing w:val="-8"/>
          <w:sz w:val="22"/>
        </w:rPr>
        <w:t> </w:t>
      </w:r>
      <w:r>
        <w:rPr>
          <w:sz w:val="22"/>
        </w:rPr>
        <w:t>WIOA</w:t>
      </w:r>
      <w:r>
        <w:rPr>
          <w:spacing w:val="-8"/>
          <w:sz w:val="22"/>
        </w:rPr>
        <w:t> </w:t>
      </w:r>
      <w:r>
        <w:rPr>
          <w:spacing w:val="-2"/>
          <w:sz w:val="22"/>
        </w:rPr>
        <w:t>language.</w:t>
      </w:r>
    </w:p>
    <w:p>
      <w:pPr>
        <w:tabs>
          <w:tab w:pos="1439" w:val="left" w:leader="none"/>
        </w:tabs>
        <w:spacing w:before="0"/>
        <w:ind w:left="1439" w:right="1443" w:hanging="1080"/>
        <w:jc w:val="left"/>
        <w:rPr>
          <w:sz w:val="22"/>
        </w:rPr>
      </w:pPr>
      <w:r>
        <w:rPr>
          <w:spacing w:val="-2"/>
          <w:sz w:val="22"/>
        </w:rPr>
        <w:t>9-11-22</w:t>
      </w:r>
      <w:r>
        <w:rPr>
          <w:sz w:val="22"/>
        </w:rPr>
        <w:tab/>
        <w:t>Added</w:t>
      </w:r>
      <w:r>
        <w:rPr>
          <w:spacing w:val="-5"/>
          <w:sz w:val="22"/>
        </w:rPr>
        <w:t> </w:t>
      </w:r>
      <w:r>
        <w:rPr>
          <w:sz w:val="22"/>
        </w:rPr>
        <w:t>the</w:t>
      </w:r>
      <w:r>
        <w:rPr>
          <w:spacing w:val="-5"/>
          <w:sz w:val="22"/>
        </w:rPr>
        <w:t> </w:t>
      </w:r>
      <w:r>
        <w:rPr>
          <w:sz w:val="22"/>
        </w:rPr>
        <w:t>following</w:t>
      </w:r>
      <w:r>
        <w:rPr>
          <w:spacing w:val="-5"/>
          <w:sz w:val="22"/>
        </w:rPr>
        <w:t> </w:t>
      </w:r>
      <w:r>
        <w:rPr>
          <w:sz w:val="22"/>
        </w:rPr>
        <w:t>definitions:</w:t>
      </w:r>
      <w:r>
        <w:rPr>
          <w:spacing w:val="-5"/>
          <w:sz w:val="22"/>
        </w:rPr>
        <w:t> </w:t>
      </w:r>
      <w:r>
        <w:rPr>
          <w:sz w:val="22"/>
        </w:rPr>
        <w:t>Credential</w:t>
      </w:r>
      <w:r>
        <w:rPr>
          <w:spacing w:val="-5"/>
          <w:sz w:val="22"/>
        </w:rPr>
        <w:t> </w:t>
      </w:r>
      <w:r>
        <w:rPr>
          <w:sz w:val="22"/>
        </w:rPr>
        <w:t>attainment;</w:t>
      </w:r>
      <w:r>
        <w:rPr>
          <w:spacing w:val="-5"/>
          <w:sz w:val="22"/>
        </w:rPr>
        <w:t> </w:t>
      </w:r>
      <w:r>
        <w:rPr>
          <w:sz w:val="22"/>
        </w:rPr>
        <w:t>Measurable</w:t>
      </w:r>
      <w:r>
        <w:rPr>
          <w:spacing w:val="-5"/>
          <w:sz w:val="22"/>
        </w:rPr>
        <w:t> </w:t>
      </w:r>
      <w:r>
        <w:rPr>
          <w:sz w:val="22"/>
        </w:rPr>
        <w:t>Skill</w:t>
      </w:r>
      <w:r>
        <w:rPr>
          <w:spacing w:val="-6"/>
          <w:sz w:val="22"/>
        </w:rPr>
        <w:t> </w:t>
      </w:r>
      <w:r>
        <w:rPr>
          <w:sz w:val="22"/>
        </w:rPr>
        <w:t>Gains (MSG); Supplemental Wage Record; Support Service Providers.</w:t>
      </w:r>
    </w:p>
    <w:p>
      <w:pPr>
        <w:spacing w:before="0"/>
        <w:ind w:left="1439" w:right="739" w:firstLine="0"/>
        <w:jc w:val="left"/>
        <w:rPr>
          <w:sz w:val="22"/>
        </w:rPr>
      </w:pPr>
      <w:r>
        <w:rPr>
          <w:sz w:val="22"/>
        </w:rPr>
        <w:t>Deleted</w:t>
      </w:r>
      <w:r>
        <w:rPr>
          <w:spacing w:val="-5"/>
          <w:sz w:val="22"/>
        </w:rPr>
        <w:t> </w:t>
      </w:r>
      <w:r>
        <w:rPr>
          <w:sz w:val="22"/>
        </w:rPr>
        <w:t>the</w:t>
      </w:r>
      <w:r>
        <w:rPr>
          <w:spacing w:val="-5"/>
          <w:sz w:val="22"/>
        </w:rPr>
        <w:t> </w:t>
      </w:r>
      <w:r>
        <w:rPr>
          <w:sz w:val="22"/>
        </w:rPr>
        <w:t>following</w:t>
      </w:r>
      <w:r>
        <w:rPr>
          <w:spacing w:val="-5"/>
          <w:sz w:val="22"/>
        </w:rPr>
        <w:t> </w:t>
      </w:r>
      <w:r>
        <w:rPr>
          <w:sz w:val="22"/>
        </w:rPr>
        <w:t>definitions:</w:t>
      </w:r>
      <w:r>
        <w:rPr>
          <w:spacing w:val="-5"/>
          <w:sz w:val="22"/>
        </w:rPr>
        <w:t> </w:t>
      </w:r>
      <w:r>
        <w:rPr>
          <w:sz w:val="22"/>
        </w:rPr>
        <w:t>Independent</w:t>
      </w:r>
      <w:r>
        <w:rPr>
          <w:spacing w:val="-5"/>
          <w:sz w:val="22"/>
        </w:rPr>
        <w:t> </w:t>
      </w:r>
      <w:r>
        <w:rPr>
          <w:sz w:val="22"/>
        </w:rPr>
        <w:t>Living</w:t>
      </w:r>
      <w:r>
        <w:rPr>
          <w:spacing w:val="-5"/>
          <w:sz w:val="22"/>
        </w:rPr>
        <w:t> </w:t>
      </w:r>
      <w:r>
        <w:rPr>
          <w:sz w:val="22"/>
        </w:rPr>
        <w:t>(IL)</w:t>
      </w:r>
      <w:r>
        <w:rPr>
          <w:spacing w:val="-5"/>
          <w:sz w:val="22"/>
        </w:rPr>
        <w:t> </w:t>
      </w:r>
      <w:r>
        <w:rPr>
          <w:sz w:val="22"/>
        </w:rPr>
        <w:t>Core</w:t>
      </w:r>
      <w:r>
        <w:rPr>
          <w:spacing w:val="-5"/>
          <w:sz w:val="22"/>
        </w:rPr>
        <w:t> </w:t>
      </w:r>
      <w:r>
        <w:rPr>
          <w:sz w:val="22"/>
        </w:rPr>
        <w:t>Services;</w:t>
      </w:r>
      <w:r>
        <w:rPr>
          <w:spacing w:val="-5"/>
          <w:sz w:val="22"/>
        </w:rPr>
        <w:t> </w:t>
      </w:r>
      <w:r>
        <w:rPr>
          <w:sz w:val="22"/>
        </w:rPr>
        <w:t>Independent Living Services.</w:t>
      </w:r>
    </w:p>
    <w:p>
      <w:pPr>
        <w:pStyle w:val="ListParagraph"/>
        <w:numPr>
          <w:ilvl w:val="2"/>
          <w:numId w:val="72"/>
        </w:numPr>
        <w:tabs>
          <w:tab w:pos="1439" w:val="left" w:leader="none"/>
        </w:tabs>
        <w:spacing w:line="240" w:lineRule="auto" w:before="1" w:after="0"/>
        <w:ind w:left="1439" w:right="856" w:hanging="1080"/>
        <w:jc w:val="left"/>
        <w:rPr>
          <w:sz w:val="22"/>
        </w:rPr>
      </w:pPr>
      <w:r>
        <w:rPr>
          <w:sz w:val="22"/>
        </w:rPr>
        <w:t>Amended</w:t>
      </w:r>
      <w:r>
        <w:rPr>
          <w:spacing w:val="-5"/>
          <w:sz w:val="22"/>
        </w:rPr>
        <w:t> </w:t>
      </w:r>
      <w:r>
        <w:rPr>
          <w:sz w:val="22"/>
        </w:rPr>
        <w:t>language</w:t>
      </w:r>
      <w:r>
        <w:rPr>
          <w:spacing w:val="-5"/>
          <w:sz w:val="22"/>
        </w:rPr>
        <w:t> </w:t>
      </w:r>
      <w:r>
        <w:rPr>
          <w:sz w:val="22"/>
        </w:rPr>
        <w:t>in</w:t>
      </w:r>
      <w:r>
        <w:rPr>
          <w:spacing w:val="-5"/>
          <w:sz w:val="22"/>
        </w:rPr>
        <w:t> </w:t>
      </w:r>
      <w:r>
        <w:rPr>
          <w:sz w:val="22"/>
        </w:rPr>
        <w:t>Post-employment</w:t>
      </w:r>
      <w:r>
        <w:rPr>
          <w:spacing w:val="-5"/>
          <w:sz w:val="22"/>
        </w:rPr>
        <w:t> </w:t>
      </w:r>
      <w:r>
        <w:rPr>
          <w:sz w:val="22"/>
        </w:rPr>
        <w:t>services</w:t>
      </w:r>
      <w:r>
        <w:rPr>
          <w:spacing w:val="-5"/>
          <w:sz w:val="22"/>
        </w:rPr>
        <w:t> </w:t>
      </w:r>
      <w:r>
        <w:rPr>
          <w:sz w:val="22"/>
        </w:rPr>
        <w:t>definition.</w:t>
      </w:r>
      <w:r>
        <w:rPr>
          <w:spacing w:val="-5"/>
          <w:sz w:val="22"/>
        </w:rPr>
        <w:t> </w:t>
      </w:r>
      <w:r>
        <w:rPr>
          <w:sz w:val="22"/>
        </w:rPr>
        <w:t>Removed</w:t>
      </w:r>
      <w:r>
        <w:rPr>
          <w:spacing w:val="-5"/>
          <w:sz w:val="22"/>
        </w:rPr>
        <w:t> </w:t>
      </w:r>
      <w:r>
        <w:rPr>
          <w:sz w:val="22"/>
        </w:rPr>
        <w:t>section</w:t>
      </w:r>
      <w:r>
        <w:rPr>
          <w:spacing w:val="-5"/>
          <w:sz w:val="22"/>
        </w:rPr>
        <w:t> </w:t>
      </w:r>
      <w:r>
        <w:rPr>
          <w:sz w:val="22"/>
        </w:rPr>
        <w:t>(D)</w:t>
      </w:r>
      <w:r>
        <w:rPr>
          <w:spacing w:val="-5"/>
          <w:sz w:val="22"/>
        </w:rPr>
        <w:t> </w:t>
      </w:r>
      <w:r>
        <w:rPr>
          <w:sz w:val="22"/>
        </w:rPr>
        <w:t>in Supported employment services.</w:t>
      </w:r>
    </w:p>
    <w:p>
      <w:pPr>
        <w:pStyle w:val="ListParagraph"/>
        <w:numPr>
          <w:ilvl w:val="2"/>
          <w:numId w:val="72"/>
        </w:numPr>
        <w:tabs>
          <w:tab w:pos="1440" w:val="left" w:leader="none"/>
        </w:tabs>
        <w:spacing w:line="240" w:lineRule="auto" w:before="0" w:after="0"/>
        <w:ind w:left="1440" w:right="927" w:hanging="1081"/>
        <w:jc w:val="left"/>
        <w:rPr>
          <w:sz w:val="22"/>
        </w:rPr>
      </w:pPr>
      <w:r>
        <w:rPr>
          <w:sz w:val="22"/>
        </w:rPr>
        <w:t>Added new definitions: Designated State Unit or State Unit (DSU), Situational Assessment, Stabilization, Team Meeting. Revised definitions: Employment and Retention,</w:t>
      </w:r>
      <w:r>
        <w:rPr>
          <w:spacing w:val="-6"/>
          <w:sz w:val="22"/>
        </w:rPr>
        <w:t> </w:t>
      </w:r>
      <w:r>
        <w:rPr>
          <w:sz w:val="22"/>
        </w:rPr>
        <w:t>Highly</w:t>
      </w:r>
      <w:r>
        <w:rPr>
          <w:spacing w:val="-6"/>
          <w:sz w:val="22"/>
        </w:rPr>
        <w:t> </w:t>
      </w:r>
      <w:r>
        <w:rPr>
          <w:sz w:val="22"/>
        </w:rPr>
        <w:t>challenged,</w:t>
      </w:r>
      <w:r>
        <w:rPr>
          <w:spacing w:val="-6"/>
          <w:sz w:val="22"/>
        </w:rPr>
        <w:t> </w:t>
      </w:r>
      <w:r>
        <w:rPr>
          <w:sz w:val="22"/>
        </w:rPr>
        <w:t>Job</w:t>
      </w:r>
      <w:r>
        <w:rPr>
          <w:spacing w:val="-6"/>
          <w:sz w:val="22"/>
        </w:rPr>
        <w:t> </w:t>
      </w:r>
      <w:r>
        <w:rPr>
          <w:sz w:val="22"/>
        </w:rPr>
        <w:t>Coach/Employment</w:t>
      </w:r>
      <w:r>
        <w:rPr>
          <w:spacing w:val="-6"/>
          <w:sz w:val="22"/>
        </w:rPr>
        <w:t> </w:t>
      </w:r>
      <w:r>
        <w:rPr>
          <w:sz w:val="22"/>
        </w:rPr>
        <w:t>Training</w:t>
      </w:r>
      <w:r>
        <w:rPr>
          <w:spacing w:val="-6"/>
          <w:sz w:val="22"/>
        </w:rPr>
        <w:t> </w:t>
      </w:r>
      <w:r>
        <w:rPr>
          <w:sz w:val="22"/>
        </w:rPr>
        <w:t>Specialist,</w:t>
      </w:r>
      <w:r>
        <w:rPr>
          <w:spacing w:val="-7"/>
          <w:sz w:val="22"/>
        </w:rPr>
        <w:t> </w:t>
      </w:r>
      <w:r>
        <w:rPr>
          <w:sz w:val="22"/>
        </w:rPr>
        <w:t>Ongoing support services, Post-employment services, Supported Employment (SE).</w:t>
      </w:r>
    </w:p>
    <w:p>
      <w:pPr>
        <w:pStyle w:val="ListParagraph"/>
        <w:spacing w:after="0" w:line="240" w:lineRule="auto"/>
        <w:jc w:val="left"/>
        <w:rPr>
          <w:sz w:val="22"/>
        </w:rPr>
        <w:sectPr>
          <w:pgSz w:w="12240" w:h="15840"/>
          <w:pgMar w:top="1360" w:bottom="280" w:left="1080" w:right="720"/>
        </w:sectPr>
      </w:pPr>
    </w:p>
    <w:p>
      <w:pPr>
        <w:pStyle w:val="Heading2"/>
      </w:pPr>
      <w:bookmarkStart w:name="612:10-1-3.  Basic philosophy of rehabil" w:id="95"/>
      <w:bookmarkEnd w:id="95"/>
      <w:r>
        <w:rPr>
          <w:b w:val="0"/>
        </w:rPr>
      </w:r>
      <w:r>
        <w:rPr/>
        <w:t>612:10-1-3.</w:t>
      </w:r>
      <w:r>
        <w:rPr>
          <w:spacing w:val="56"/>
        </w:rPr>
        <w:t> </w:t>
      </w:r>
      <w:r>
        <w:rPr/>
        <w:t>Basic</w:t>
      </w:r>
      <w:r>
        <w:rPr>
          <w:spacing w:val="-5"/>
        </w:rPr>
        <w:t> </w:t>
      </w:r>
      <w:r>
        <w:rPr/>
        <w:t>philosophy</w:t>
      </w:r>
      <w:r>
        <w:rPr>
          <w:spacing w:val="-4"/>
        </w:rPr>
        <w:t> </w:t>
      </w:r>
      <w:r>
        <w:rPr/>
        <w:t>of</w:t>
      </w:r>
      <w:r>
        <w:rPr>
          <w:spacing w:val="-4"/>
        </w:rPr>
        <w:t> </w:t>
      </w:r>
      <w:r>
        <w:rPr/>
        <w:t>rehabilitation</w:t>
      </w:r>
      <w:r>
        <w:rPr>
          <w:spacing w:val="-4"/>
        </w:rPr>
        <w:t> </w:t>
      </w:r>
      <w:r>
        <w:rPr>
          <w:spacing w:val="-2"/>
        </w:rPr>
        <w:t>programs</w:t>
      </w:r>
    </w:p>
    <w:p>
      <w:pPr>
        <w:pStyle w:val="ListParagraph"/>
        <w:numPr>
          <w:ilvl w:val="0"/>
          <w:numId w:val="73"/>
        </w:numPr>
        <w:tabs>
          <w:tab w:pos="786" w:val="left" w:leader="none"/>
        </w:tabs>
        <w:spacing w:line="208" w:lineRule="auto" w:before="233" w:after="0"/>
        <w:ind w:left="360" w:right="900" w:firstLine="0"/>
        <w:jc w:val="left"/>
        <w:rPr>
          <w:sz w:val="24"/>
        </w:rPr>
      </w:pPr>
      <w:r>
        <w:rPr>
          <w:b/>
          <w:sz w:val="24"/>
        </w:rPr>
        <w:t>Purpose. </w:t>
      </w:r>
      <w:r>
        <w:rPr>
          <w:sz w:val="24"/>
        </w:rPr>
        <w:t>The purpose of programs and services provided by the Division of Vocational Rehabilitation (DVR) and the Division of Services for the Blind and Visually Impaired (DSBVI) is to empower individuals with disabilities to maximize employment, economic self-sufficiency, independence, and inclusion and integration into society by operating statewide comprehensive, coordinated, effective, efficient, and accountable vocational rehabilitation programs, each of which is an integral part of a statewide workforce development system. Vocational rehabilitation programs are designed to assess,</w:t>
      </w:r>
      <w:r>
        <w:rPr>
          <w:spacing w:val="-4"/>
          <w:sz w:val="24"/>
        </w:rPr>
        <w:t> </w:t>
      </w:r>
      <w:r>
        <w:rPr>
          <w:sz w:val="24"/>
        </w:rPr>
        <w:t>plan,</w:t>
      </w:r>
      <w:r>
        <w:rPr>
          <w:spacing w:val="-4"/>
          <w:sz w:val="24"/>
        </w:rPr>
        <w:t> </w:t>
      </w:r>
      <w:r>
        <w:rPr>
          <w:sz w:val="24"/>
        </w:rPr>
        <w:t>develop</w:t>
      </w:r>
      <w:r>
        <w:rPr>
          <w:spacing w:val="-5"/>
          <w:sz w:val="24"/>
        </w:rPr>
        <w:t> </w:t>
      </w:r>
      <w:r>
        <w:rPr>
          <w:sz w:val="24"/>
        </w:rPr>
        <w:t>and</w:t>
      </w:r>
      <w:r>
        <w:rPr>
          <w:spacing w:val="-5"/>
          <w:sz w:val="24"/>
        </w:rPr>
        <w:t> </w:t>
      </w:r>
      <w:r>
        <w:rPr>
          <w:sz w:val="24"/>
        </w:rPr>
        <w:t>provide</w:t>
      </w:r>
      <w:r>
        <w:rPr>
          <w:spacing w:val="-5"/>
          <w:sz w:val="24"/>
        </w:rPr>
        <w:t> </w:t>
      </w:r>
      <w:r>
        <w:rPr>
          <w:sz w:val="24"/>
        </w:rPr>
        <w:t>vocational</w:t>
      </w:r>
      <w:r>
        <w:rPr>
          <w:spacing w:val="-5"/>
          <w:sz w:val="24"/>
        </w:rPr>
        <w:t> </w:t>
      </w:r>
      <w:r>
        <w:rPr>
          <w:sz w:val="24"/>
        </w:rPr>
        <w:t>rehabilitation</w:t>
      </w:r>
      <w:r>
        <w:rPr>
          <w:spacing w:val="-5"/>
          <w:sz w:val="24"/>
        </w:rPr>
        <w:t> </w:t>
      </w:r>
      <w:r>
        <w:rPr>
          <w:sz w:val="24"/>
        </w:rPr>
        <w:t>services</w:t>
      </w:r>
      <w:r>
        <w:rPr>
          <w:spacing w:val="-5"/>
          <w:sz w:val="24"/>
        </w:rPr>
        <w:t> </w:t>
      </w:r>
      <w:r>
        <w:rPr>
          <w:sz w:val="24"/>
        </w:rPr>
        <w:t>for</w:t>
      </w:r>
      <w:r>
        <w:rPr>
          <w:spacing w:val="-4"/>
          <w:sz w:val="24"/>
        </w:rPr>
        <w:t> </w:t>
      </w:r>
      <w:r>
        <w:rPr>
          <w:sz w:val="24"/>
        </w:rPr>
        <w:t>individuals</w:t>
      </w:r>
      <w:r>
        <w:rPr>
          <w:spacing w:val="-5"/>
          <w:sz w:val="24"/>
        </w:rPr>
        <w:t> </w:t>
      </w:r>
      <w:r>
        <w:rPr>
          <w:sz w:val="24"/>
        </w:rPr>
        <w:t>with disabilities, consistent with their unique strengths, resources, priorities, concerns, abilities, capabilities, interests and informed choice, so that they may prepare for and engage in competitive integrated employment and achieve economic self-sufficiency.</w:t>
      </w:r>
    </w:p>
    <w:p>
      <w:pPr>
        <w:pStyle w:val="ListParagraph"/>
        <w:numPr>
          <w:ilvl w:val="0"/>
          <w:numId w:val="73"/>
        </w:numPr>
        <w:tabs>
          <w:tab w:pos="786" w:val="left" w:leader="none"/>
        </w:tabs>
        <w:spacing w:line="208" w:lineRule="auto" w:before="239" w:after="0"/>
        <w:ind w:left="360" w:right="899" w:firstLine="0"/>
        <w:jc w:val="left"/>
        <w:rPr>
          <w:sz w:val="24"/>
        </w:rPr>
      </w:pPr>
      <w:r>
        <w:rPr>
          <w:b/>
          <w:sz w:val="24"/>
        </w:rPr>
        <w:t>Basic</w:t>
      </w:r>
      <w:r>
        <w:rPr>
          <w:b/>
          <w:spacing w:val="-5"/>
          <w:sz w:val="24"/>
        </w:rPr>
        <w:t> </w:t>
      </w:r>
      <w:r>
        <w:rPr>
          <w:b/>
          <w:sz w:val="24"/>
        </w:rPr>
        <w:t>philosophy.</w:t>
      </w:r>
      <w:r>
        <w:rPr>
          <w:b/>
          <w:spacing w:val="-4"/>
          <w:sz w:val="24"/>
        </w:rPr>
        <w:t> </w:t>
      </w:r>
      <w:r>
        <w:rPr>
          <w:sz w:val="24"/>
        </w:rPr>
        <w:t>DVR</w:t>
      </w:r>
      <w:r>
        <w:rPr>
          <w:spacing w:val="-4"/>
          <w:sz w:val="24"/>
        </w:rPr>
        <w:t> </w:t>
      </w:r>
      <w:r>
        <w:rPr>
          <w:sz w:val="24"/>
        </w:rPr>
        <w:t>and</w:t>
      </w:r>
      <w:r>
        <w:rPr>
          <w:spacing w:val="-4"/>
          <w:sz w:val="24"/>
        </w:rPr>
        <w:t> </w:t>
      </w:r>
      <w:r>
        <w:rPr>
          <w:sz w:val="24"/>
        </w:rPr>
        <w:t>DSBVI</w:t>
      </w:r>
      <w:r>
        <w:rPr>
          <w:spacing w:val="-3"/>
          <w:sz w:val="24"/>
        </w:rPr>
        <w:t> </w:t>
      </w:r>
      <w:r>
        <w:rPr>
          <w:sz w:val="24"/>
        </w:rPr>
        <w:t>vocational</w:t>
      </w:r>
      <w:r>
        <w:rPr>
          <w:spacing w:val="-4"/>
          <w:sz w:val="24"/>
        </w:rPr>
        <w:t> </w:t>
      </w:r>
      <w:r>
        <w:rPr>
          <w:sz w:val="24"/>
        </w:rPr>
        <w:t>rehabilitation</w:t>
      </w:r>
      <w:r>
        <w:rPr>
          <w:spacing w:val="-4"/>
          <w:sz w:val="24"/>
        </w:rPr>
        <w:t> </w:t>
      </w:r>
      <w:r>
        <w:rPr>
          <w:sz w:val="24"/>
        </w:rPr>
        <w:t>programs</w:t>
      </w:r>
      <w:r>
        <w:rPr>
          <w:spacing w:val="-5"/>
          <w:sz w:val="24"/>
        </w:rPr>
        <w:t> </w:t>
      </w:r>
      <w:r>
        <w:rPr>
          <w:sz w:val="24"/>
        </w:rPr>
        <w:t>are</w:t>
      </w:r>
      <w:r>
        <w:rPr>
          <w:spacing w:val="-4"/>
          <w:sz w:val="24"/>
        </w:rPr>
        <w:t> </w:t>
      </w:r>
      <w:r>
        <w:rPr>
          <w:sz w:val="24"/>
        </w:rPr>
        <w:t>carried out in accordance with the principles stated in Section 101 (a) of</w:t>
      </w:r>
      <w:r>
        <w:rPr>
          <w:spacing w:val="-1"/>
          <w:sz w:val="24"/>
        </w:rPr>
        <w:t> </w:t>
      </w:r>
      <w:r>
        <w:rPr>
          <w:sz w:val="24"/>
        </w:rPr>
        <w:t>the</w:t>
      </w:r>
      <w:r>
        <w:rPr>
          <w:spacing w:val="-1"/>
          <w:sz w:val="24"/>
        </w:rPr>
        <w:t> </w:t>
      </w:r>
      <w:r>
        <w:rPr>
          <w:sz w:val="24"/>
        </w:rPr>
        <w:t>Rehabilitation Act as amended by the Workforce Innovation and Opportunity Act (WIOA) (P.L. 113-128), signed into law on July 22, 2014 seeks to empower individuals with disabilities.</w:t>
      </w:r>
    </w:p>
    <w:p>
      <w:pPr>
        <w:pStyle w:val="ListParagraph"/>
        <w:numPr>
          <w:ilvl w:val="1"/>
          <w:numId w:val="73"/>
        </w:numPr>
        <w:tabs>
          <w:tab w:pos="1217" w:val="left" w:leader="none"/>
        </w:tabs>
        <w:spacing w:line="208" w:lineRule="auto" w:before="239" w:after="0"/>
        <w:ind w:left="792" w:right="959" w:firstLine="0"/>
        <w:jc w:val="left"/>
        <w:rPr>
          <w:sz w:val="24"/>
        </w:rPr>
      </w:pPr>
      <w:r>
        <w:rPr>
          <w:sz w:val="24"/>
        </w:rPr>
        <w:t>Individuals with disabilities, including individuals with the most significant disabilities, are generally presumed to be capable of engaging in competitive integrated</w:t>
      </w:r>
      <w:r>
        <w:rPr>
          <w:spacing w:val="-5"/>
          <w:sz w:val="24"/>
        </w:rPr>
        <w:t> </w:t>
      </w:r>
      <w:r>
        <w:rPr>
          <w:sz w:val="24"/>
        </w:rPr>
        <w:t>employment</w:t>
      </w:r>
      <w:r>
        <w:rPr>
          <w:spacing w:val="-4"/>
          <w:sz w:val="24"/>
        </w:rPr>
        <w:t> </w:t>
      </w:r>
      <w:r>
        <w:rPr>
          <w:sz w:val="24"/>
        </w:rPr>
        <w:t>and</w:t>
      </w:r>
      <w:r>
        <w:rPr>
          <w:spacing w:val="-5"/>
          <w:sz w:val="24"/>
        </w:rPr>
        <w:t> </w:t>
      </w:r>
      <w:r>
        <w:rPr>
          <w:sz w:val="24"/>
        </w:rPr>
        <w:t>the</w:t>
      </w:r>
      <w:r>
        <w:rPr>
          <w:spacing w:val="-6"/>
          <w:sz w:val="24"/>
        </w:rPr>
        <w:t> </w:t>
      </w:r>
      <w:r>
        <w:rPr>
          <w:sz w:val="24"/>
        </w:rPr>
        <w:t>provision</w:t>
      </w:r>
      <w:r>
        <w:rPr>
          <w:spacing w:val="-5"/>
          <w:sz w:val="24"/>
        </w:rPr>
        <w:t> </w:t>
      </w:r>
      <w:r>
        <w:rPr>
          <w:sz w:val="24"/>
        </w:rPr>
        <w:t>of</w:t>
      </w:r>
      <w:r>
        <w:rPr>
          <w:spacing w:val="-3"/>
          <w:sz w:val="24"/>
        </w:rPr>
        <w:t> </w:t>
      </w:r>
      <w:r>
        <w:rPr>
          <w:sz w:val="24"/>
        </w:rPr>
        <w:t>individualized</w:t>
      </w:r>
      <w:r>
        <w:rPr>
          <w:spacing w:val="-5"/>
          <w:sz w:val="24"/>
        </w:rPr>
        <w:t> </w:t>
      </w:r>
      <w:r>
        <w:rPr>
          <w:sz w:val="24"/>
        </w:rPr>
        <w:t>vocational</w:t>
      </w:r>
      <w:r>
        <w:rPr>
          <w:spacing w:val="-5"/>
          <w:sz w:val="24"/>
        </w:rPr>
        <w:t> </w:t>
      </w:r>
      <w:r>
        <w:rPr>
          <w:sz w:val="24"/>
        </w:rPr>
        <w:t>rehabilitation services can improve their ability to become gainfully employed.</w:t>
      </w:r>
    </w:p>
    <w:p>
      <w:pPr>
        <w:pStyle w:val="ListParagraph"/>
        <w:numPr>
          <w:ilvl w:val="1"/>
          <w:numId w:val="73"/>
        </w:numPr>
        <w:tabs>
          <w:tab w:pos="1217" w:val="left" w:leader="none"/>
        </w:tabs>
        <w:spacing w:line="208" w:lineRule="auto" w:before="240" w:after="0"/>
        <w:ind w:left="792" w:right="1149" w:firstLine="0"/>
        <w:jc w:val="left"/>
        <w:rPr>
          <w:sz w:val="24"/>
        </w:rPr>
      </w:pPr>
      <w:r>
        <w:rPr>
          <w:sz w:val="24"/>
        </w:rPr>
        <w:t>Individuals with disabilities must be provided the opportunities to obtain competitive</w:t>
      </w:r>
      <w:r>
        <w:rPr>
          <w:spacing w:val="-5"/>
          <w:sz w:val="24"/>
        </w:rPr>
        <w:t> </w:t>
      </w:r>
      <w:r>
        <w:rPr>
          <w:sz w:val="24"/>
        </w:rPr>
        <w:t>integrated</w:t>
      </w:r>
      <w:r>
        <w:rPr>
          <w:spacing w:val="-5"/>
          <w:sz w:val="24"/>
        </w:rPr>
        <w:t> </w:t>
      </w:r>
      <w:r>
        <w:rPr>
          <w:sz w:val="24"/>
        </w:rPr>
        <w:t>employment</w:t>
      </w:r>
      <w:r>
        <w:rPr>
          <w:spacing w:val="-4"/>
          <w:sz w:val="24"/>
        </w:rPr>
        <w:t> </w:t>
      </w:r>
      <w:r>
        <w:rPr>
          <w:sz w:val="24"/>
        </w:rPr>
        <w:t>performed</w:t>
      </w:r>
      <w:r>
        <w:rPr>
          <w:spacing w:val="-5"/>
          <w:sz w:val="24"/>
        </w:rPr>
        <w:t> </w:t>
      </w:r>
      <w:r>
        <w:rPr>
          <w:sz w:val="24"/>
        </w:rPr>
        <w:t>on</w:t>
      </w:r>
      <w:r>
        <w:rPr>
          <w:spacing w:val="-5"/>
          <w:sz w:val="24"/>
        </w:rPr>
        <w:t> </w:t>
      </w:r>
      <w:r>
        <w:rPr>
          <w:sz w:val="24"/>
        </w:rPr>
        <w:t>a</w:t>
      </w:r>
      <w:r>
        <w:rPr>
          <w:spacing w:val="-5"/>
          <w:sz w:val="24"/>
        </w:rPr>
        <w:t> </w:t>
      </w:r>
      <w:r>
        <w:rPr>
          <w:sz w:val="24"/>
        </w:rPr>
        <w:t>full-time</w:t>
      </w:r>
      <w:r>
        <w:rPr>
          <w:spacing w:val="-5"/>
          <w:sz w:val="24"/>
        </w:rPr>
        <w:t> </w:t>
      </w:r>
      <w:r>
        <w:rPr>
          <w:sz w:val="24"/>
        </w:rPr>
        <w:t>or</w:t>
      </w:r>
      <w:r>
        <w:rPr>
          <w:spacing w:val="-4"/>
          <w:sz w:val="24"/>
        </w:rPr>
        <w:t> </w:t>
      </w:r>
      <w:r>
        <w:rPr>
          <w:sz w:val="24"/>
        </w:rPr>
        <w:t>part-time</w:t>
      </w:r>
      <w:r>
        <w:rPr>
          <w:spacing w:val="-5"/>
          <w:sz w:val="24"/>
        </w:rPr>
        <w:t> </w:t>
      </w:r>
      <w:r>
        <w:rPr>
          <w:sz w:val="24"/>
        </w:rPr>
        <w:t>basis</w:t>
      </w:r>
      <w:r>
        <w:rPr>
          <w:spacing w:val="-5"/>
          <w:sz w:val="24"/>
        </w:rPr>
        <w:t> </w:t>
      </w:r>
      <w:r>
        <w:rPr>
          <w:sz w:val="24"/>
        </w:rPr>
        <w:t>in integrated settings.</w:t>
      </w:r>
    </w:p>
    <w:p>
      <w:pPr>
        <w:pStyle w:val="ListParagraph"/>
        <w:numPr>
          <w:ilvl w:val="1"/>
          <w:numId w:val="73"/>
        </w:numPr>
        <w:tabs>
          <w:tab w:pos="1217" w:val="left" w:leader="none"/>
        </w:tabs>
        <w:spacing w:line="208" w:lineRule="auto" w:before="240" w:after="0"/>
        <w:ind w:left="792" w:right="1455" w:firstLine="0"/>
        <w:jc w:val="left"/>
        <w:rPr>
          <w:sz w:val="24"/>
        </w:rPr>
      </w:pPr>
      <w:r>
        <w:rPr>
          <w:sz w:val="24"/>
        </w:rPr>
        <w:t>Individuals</w:t>
      </w:r>
      <w:r>
        <w:rPr>
          <w:spacing w:val="-4"/>
          <w:sz w:val="24"/>
        </w:rPr>
        <w:t> </w:t>
      </w:r>
      <w:r>
        <w:rPr>
          <w:sz w:val="24"/>
        </w:rPr>
        <w:t>with</w:t>
      </w:r>
      <w:r>
        <w:rPr>
          <w:spacing w:val="-4"/>
          <w:sz w:val="24"/>
        </w:rPr>
        <w:t> </w:t>
      </w:r>
      <w:r>
        <w:rPr>
          <w:sz w:val="24"/>
        </w:rPr>
        <w:t>disabilities</w:t>
      </w:r>
      <w:r>
        <w:rPr>
          <w:spacing w:val="-4"/>
          <w:sz w:val="24"/>
        </w:rPr>
        <w:t> </w:t>
      </w:r>
      <w:r>
        <w:rPr>
          <w:sz w:val="24"/>
        </w:rPr>
        <w:t>must</w:t>
      </w:r>
      <w:r>
        <w:rPr>
          <w:spacing w:val="-3"/>
          <w:sz w:val="24"/>
        </w:rPr>
        <w:t> </w:t>
      </w:r>
      <w:r>
        <w:rPr>
          <w:sz w:val="24"/>
        </w:rPr>
        <w:t>have</w:t>
      </w:r>
      <w:r>
        <w:rPr>
          <w:spacing w:val="-4"/>
          <w:sz w:val="24"/>
        </w:rPr>
        <w:t> </w:t>
      </w:r>
      <w:r>
        <w:rPr>
          <w:sz w:val="24"/>
        </w:rPr>
        <w:t>the</w:t>
      </w:r>
      <w:r>
        <w:rPr>
          <w:spacing w:val="-4"/>
          <w:sz w:val="24"/>
        </w:rPr>
        <w:t> </w:t>
      </w:r>
      <w:r>
        <w:rPr>
          <w:sz w:val="24"/>
        </w:rPr>
        <w:t>opportunity</w:t>
      </w:r>
      <w:r>
        <w:rPr>
          <w:spacing w:val="-4"/>
          <w:sz w:val="24"/>
        </w:rPr>
        <w:t> </w:t>
      </w:r>
      <w:r>
        <w:rPr>
          <w:sz w:val="24"/>
        </w:rPr>
        <w:t>to</w:t>
      </w:r>
      <w:r>
        <w:rPr>
          <w:spacing w:val="-5"/>
          <w:sz w:val="24"/>
        </w:rPr>
        <w:t> </w:t>
      </w:r>
      <w:r>
        <w:rPr>
          <w:sz w:val="24"/>
        </w:rPr>
        <w:t>be</w:t>
      </w:r>
      <w:r>
        <w:rPr>
          <w:spacing w:val="-4"/>
          <w:sz w:val="24"/>
        </w:rPr>
        <w:t> </w:t>
      </w:r>
      <w:r>
        <w:rPr>
          <w:sz w:val="24"/>
        </w:rPr>
        <w:t>active</w:t>
      </w:r>
      <w:r>
        <w:rPr>
          <w:spacing w:val="-4"/>
          <w:sz w:val="24"/>
        </w:rPr>
        <w:t> </w:t>
      </w:r>
      <w:r>
        <w:rPr>
          <w:sz w:val="24"/>
        </w:rPr>
        <w:t>and</w:t>
      </w:r>
      <w:r>
        <w:rPr>
          <w:spacing w:val="-4"/>
          <w:sz w:val="24"/>
        </w:rPr>
        <w:t> </w:t>
      </w:r>
      <w:r>
        <w:rPr>
          <w:sz w:val="24"/>
        </w:rPr>
        <w:t>full partners in their vocational rehabilitation process.</w:t>
      </w:r>
    </w:p>
    <w:p>
      <w:pPr>
        <w:pStyle w:val="ListParagraph"/>
        <w:numPr>
          <w:ilvl w:val="1"/>
          <w:numId w:val="73"/>
        </w:numPr>
        <w:tabs>
          <w:tab w:pos="1217" w:val="left" w:leader="none"/>
        </w:tabs>
        <w:spacing w:line="208" w:lineRule="auto" w:before="239" w:after="0"/>
        <w:ind w:left="792" w:right="920" w:firstLine="0"/>
        <w:jc w:val="left"/>
        <w:rPr>
          <w:sz w:val="24"/>
        </w:rPr>
      </w:pPr>
      <w:r>
        <w:rPr>
          <w:sz w:val="24"/>
        </w:rPr>
        <w:t>Qualified vocational rehabilitation counselors and other qualified and specialized</w:t>
      </w:r>
      <w:r>
        <w:rPr>
          <w:spacing w:val="-4"/>
          <w:sz w:val="24"/>
        </w:rPr>
        <w:t> </w:t>
      </w:r>
      <w:r>
        <w:rPr>
          <w:sz w:val="24"/>
        </w:rPr>
        <w:t>rehabilitation</w:t>
      </w:r>
      <w:r>
        <w:rPr>
          <w:spacing w:val="-5"/>
          <w:sz w:val="24"/>
        </w:rPr>
        <w:t> </w:t>
      </w:r>
      <w:r>
        <w:rPr>
          <w:sz w:val="24"/>
        </w:rPr>
        <w:t>personnel</w:t>
      </w:r>
      <w:r>
        <w:rPr>
          <w:spacing w:val="-5"/>
          <w:sz w:val="24"/>
        </w:rPr>
        <w:t> </w:t>
      </w:r>
      <w:r>
        <w:rPr>
          <w:sz w:val="24"/>
        </w:rPr>
        <w:t>are</w:t>
      </w:r>
      <w:r>
        <w:rPr>
          <w:spacing w:val="-5"/>
          <w:sz w:val="24"/>
        </w:rPr>
        <w:t> </w:t>
      </w:r>
      <w:r>
        <w:rPr>
          <w:sz w:val="24"/>
        </w:rPr>
        <w:t>necessary</w:t>
      </w:r>
      <w:r>
        <w:rPr>
          <w:spacing w:val="-5"/>
          <w:sz w:val="24"/>
        </w:rPr>
        <w:t> </w:t>
      </w:r>
      <w:r>
        <w:rPr>
          <w:sz w:val="24"/>
        </w:rPr>
        <w:t>to</w:t>
      </w:r>
      <w:r>
        <w:rPr>
          <w:spacing w:val="-6"/>
          <w:sz w:val="24"/>
        </w:rPr>
        <w:t> </w:t>
      </w:r>
      <w:r>
        <w:rPr>
          <w:sz w:val="24"/>
        </w:rPr>
        <w:t>facilitate</w:t>
      </w:r>
      <w:r>
        <w:rPr>
          <w:spacing w:val="-5"/>
          <w:sz w:val="24"/>
        </w:rPr>
        <w:t> </w:t>
      </w:r>
      <w:r>
        <w:rPr>
          <w:sz w:val="24"/>
        </w:rPr>
        <w:t>the</w:t>
      </w:r>
      <w:r>
        <w:rPr>
          <w:spacing w:val="-5"/>
          <w:sz w:val="24"/>
        </w:rPr>
        <w:t> </w:t>
      </w:r>
      <w:r>
        <w:rPr>
          <w:sz w:val="24"/>
        </w:rPr>
        <w:t>accomplishment of the employment outcomes and objectives of an individual.</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6-14-99</w:t>
      </w:r>
      <w:r>
        <w:rPr>
          <w:sz w:val="22"/>
        </w:rPr>
        <w:tab/>
        <w:t>POL Memo #99-7</w:t>
      </w:r>
    </w:p>
    <w:p>
      <w:pPr>
        <w:spacing w:before="1"/>
        <w:ind w:left="1439" w:right="775" w:firstLine="0"/>
        <w:jc w:val="left"/>
        <w:rPr>
          <w:sz w:val="22"/>
        </w:rPr>
      </w:pPr>
      <w:r>
        <w:rPr>
          <w:sz w:val="22"/>
        </w:rPr>
        <w:t>Emergency,</w:t>
      </w:r>
      <w:r>
        <w:rPr>
          <w:spacing w:val="-4"/>
          <w:sz w:val="22"/>
        </w:rPr>
        <w:t> </w:t>
      </w:r>
      <w:r>
        <w:rPr>
          <w:sz w:val="22"/>
        </w:rPr>
        <w:t>Updated</w:t>
      </w:r>
      <w:r>
        <w:rPr>
          <w:spacing w:val="-4"/>
          <w:sz w:val="22"/>
        </w:rPr>
        <w:t> </w:t>
      </w:r>
      <w:r>
        <w:rPr>
          <w:sz w:val="22"/>
        </w:rPr>
        <w:t>with</w:t>
      </w:r>
      <w:r>
        <w:rPr>
          <w:spacing w:val="-4"/>
          <w:sz w:val="22"/>
        </w:rPr>
        <w:t> </w:t>
      </w:r>
      <w:r>
        <w:rPr>
          <w:sz w:val="22"/>
        </w:rPr>
        <w:t>DVR/DVS</w:t>
      </w:r>
      <w:r>
        <w:rPr>
          <w:spacing w:val="-3"/>
          <w:sz w:val="22"/>
        </w:rPr>
        <w:t> </w:t>
      </w:r>
      <w:r>
        <w:rPr>
          <w:sz w:val="22"/>
        </w:rPr>
        <w:t>and</w:t>
      </w:r>
      <w:r>
        <w:rPr>
          <w:spacing w:val="-4"/>
          <w:sz w:val="22"/>
        </w:rPr>
        <w:t> </w:t>
      </w:r>
      <w:r>
        <w:rPr>
          <w:sz w:val="22"/>
        </w:rPr>
        <w:t>Rehab.</w:t>
      </w:r>
      <w:r>
        <w:rPr>
          <w:spacing w:val="-4"/>
          <w:sz w:val="22"/>
        </w:rPr>
        <w:t> </w:t>
      </w:r>
      <w:r>
        <w:rPr>
          <w:sz w:val="22"/>
        </w:rPr>
        <w:t>Act</w:t>
      </w:r>
      <w:r>
        <w:rPr>
          <w:spacing w:val="-4"/>
          <w:sz w:val="22"/>
        </w:rPr>
        <w:t> </w:t>
      </w:r>
      <w:r>
        <w:rPr>
          <w:sz w:val="22"/>
        </w:rPr>
        <w:t>reference;</w:t>
      </w:r>
      <w:r>
        <w:rPr>
          <w:spacing w:val="-4"/>
          <w:sz w:val="22"/>
        </w:rPr>
        <w:t> </w:t>
      </w:r>
      <w:r>
        <w:rPr>
          <w:sz w:val="22"/>
        </w:rPr>
        <w:t>Blueprint</w:t>
      </w:r>
      <w:r>
        <w:rPr>
          <w:spacing w:val="-5"/>
          <w:sz w:val="22"/>
        </w:rPr>
        <w:t> </w:t>
      </w:r>
      <w:r>
        <w:rPr>
          <w:sz w:val="22"/>
        </w:rPr>
        <w:t>for</w:t>
      </w:r>
      <w:r>
        <w:rPr>
          <w:spacing w:val="-4"/>
          <w:sz w:val="22"/>
        </w:rPr>
        <w:t> </w:t>
      </w:r>
      <w:r>
        <w:rPr>
          <w:sz w:val="22"/>
        </w:rPr>
        <w:t>the future (Subsection (d)) changed to Value based decision plan</w:t>
      </w:r>
    </w:p>
    <w:p>
      <w:pPr>
        <w:tabs>
          <w:tab w:pos="1439" w:val="left" w:leader="none"/>
        </w:tabs>
        <w:spacing w:line="252" w:lineRule="exact" w:before="0"/>
        <w:ind w:left="359" w:right="0" w:firstLine="0"/>
        <w:jc w:val="left"/>
        <w:rPr>
          <w:sz w:val="22"/>
        </w:rPr>
      </w:pPr>
      <w:r>
        <w:rPr>
          <w:spacing w:val="-2"/>
          <w:sz w:val="22"/>
        </w:rPr>
        <w:t>7-1-</w:t>
      </w:r>
      <w:r>
        <w:rPr>
          <w:spacing w:val="-5"/>
          <w:sz w:val="22"/>
        </w:rPr>
        <w:t>99</w:t>
      </w:r>
      <w:r>
        <w:rPr>
          <w:sz w:val="22"/>
        </w:rPr>
        <w:tab/>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7-1-01</w:t>
      </w:r>
      <w:r>
        <w:rPr>
          <w:sz w:val="22"/>
        </w:rPr>
        <w:tab/>
        <w:t>PT Memo #01-08</w:t>
      </w:r>
    </w:p>
    <w:p>
      <w:pPr>
        <w:tabs>
          <w:tab w:pos="1439" w:val="left" w:leader="none"/>
        </w:tabs>
        <w:spacing w:before="0"/>
        <w:ind w:left="359" w:right="5170" w:firstLine="1080"/>
        <w:jc w:val="left"/>
        <w:rPr>
          <w:sz w:val="22"/>
        </w:rPr>
      </w:pPr>
      <w:r>
        <w:rPr>
          <w:sz w:val="22"/>
        </w:rPr>
        <w:t>Permanent,</w:t>
      </w:r>
      <w:r>
        <w:rPr>
          <w:spacing w:val="-12"/>
          <w:sz w:val="22"/>
        </w:rPr>
        <w:t> </w:t>
      </w:r>
      <w:r>
        <w:rPr>
          <w:sz w:val="22"/>
        </w:rPr>
        <w:t>Incorporating</w:t>
      </w:r>
      <w:r>
        <w:rPr>
          <w:spacing w:val="-13"/>
          <w:sz w:val="22"/>
        </w:rPr>
        <w:t> </w:t>
      </w:r>
      <w:r>
        <w:rPr>
          <w:sz w:val="22"/>
        </w:rPr>
        <w:t>Pilot</w:t>
      </w:r>
      <w:r>
        <w:rPr>
          <w:spacing w:val="-13"/>
          <w:sz w:val="22"/>
        </w:rPr>
        <w:t> </w:t>
      </w:r>
      <w:r>
        <w:rPr>
          <w:sz w:val="22"/>
        </w:rPr>
        <w:t>Projects </w:t>
      </w:r>
      <w:r>
        <w:rPr>
          <w:spacing w:val="-2"/>
          <w:sz w:val="22"/>
        </w:rPr>
        <w:t>7-1-03</w:t>
      </w:r>
      <w:r>
        <w:rPr>
          <w:sz w:val="22"/>
        </w:rPr>
        <w:tab/>
        <w:t>PT Memo #03-07</w:t>
      </w:r>
    </w:p>
    <w:p>
      <w:pPr>
        <w:tabs>
          <w:tab w:pos="1439" w:val="left" w:leader="none"/>
        </w:tabs>
        <w:spacing w:before="0"/>
        <w:ind w:left="359" w:right="3427" w:firstLine="1080"/>
        <w:jc w:val="left"/>
        <w:rPr>
          <w:sz w:val="22"/>
        </w:rPr>
      </w:pPr>
      <w:r>
        <w:rPr>
          <w:sz w:val="22"/>
        </w:rPr>
        <w:t>Permanent,</w:t>
      </w:r>
      <w:r>
        <w:rPr>
          <w:spacing w:val="-7"/>
          <w:sz w:val="22"/>
        </w:rPr>
        <w:t> </w:t>
      </w:r>
      <w:r>
        <w:rPr>
          <w:sz w:val="22"/>
        </w:rPr>
        <w:t>changed</w:t>
      </w:r>
      <w:r>
        <w:rPr>
          <w:spacing w:val="-8"/>
          <w:sz w:val="22"/>
        </w:rPr>
        <w:t> </w:t>
      </w:r>
      <w:r>
        <w:rPr>
          <w:sz w:val="22"/>
        </w:rPr>
        <w:t>"supervisor"</w:t>
      </w:r>
      <w:r>
        <w:rPr>
          <w:spacing w:val="-8"/>
          <w:sz w:val="22"/>
        </w:rPr>
        <w:t> </w:t>
      </w:r>
      <w:r>
        <w:rPr>
          <w:sz w:val="22"/>
        </w:rPr>
        <w:t>to</w:t>
      </w:r>
      <w:r>
        <w:rPr>
          <w:spacing w:val="-9"/>
          <w:sz w:val="22"/>
        </w:rPr>
        <w:t> </w:t>
      </w:r>
      <w:r>
        <w:rPr>
          <w:sz w:val="22"/>
        </w:rPr>
        <w:t>"Program</w:t>
      </w:r>
      <w:r>
        <w:rPr>
          <w:spacing w:val="-8"/>
          <w:sz w:val="22"/>
        </w:rPr>
        <w:t> </w:t>
      </w:r>
      <w:r>
        <w:rPr>
          <w:sz w:val="22"/>
        </w:rPr>
        <w:t>Manager." </w:t>
      </w:r>
      <w:r>
        <w:rPr>
          <w:spacing w:val="-2"/>
          <w:sz w:val="22"/>
        </w:rPr>
        <w:t>7-1-11</w:t>
      </w:r>
      <w:r>
        <w:rPr>
          <w:sz w:val="22"/>
        </w:rPr>
        <w:tab/>
        <w:t>PT Memo #12-01</w:t>
      </w:r>
    </w:p>
    <w:p>
      <w:pPr>
        <w:spacing w:before="0"/>
        <w:ind w:left="1439" w:right="0" w:firstLine="0"/>
        <w:jc w:val="left"/>
        <w:rPr>
          <w:sz w:val="22"/>
        </w:rPr>
      </w:pPr>
      <w:r>
        <w:rPr>
          <w:sz w:val="22"/>
        </w:rPr>
        <w:t>Permanent,</w:t>
      </w:r>
      <w:r>
        <w:rPr>
          <w:spacing w:val="-10"/>
          <w:sz w:val="22"/>
        </w:rPr>
        <w:t> </w:t>
      </w:r>
      <w:r>
        <w:rPr>
          <w:sz w:val="22"/>
        </w:rPr>
        <w:t>reducing</w:t>
      </w:r>
      <w:r>
        <w:rPr>
          <w:spacing w:val="-11"/>
          <w:sz w:val="22"/>
        </w:rPr>
        <w:t> </w:t>
      </w:r>
      <w:r>
        <w:rPr>
          <w:spacing w:val="-2"/>
          <w:sz w:val="22"/>
        </w:rPr>
        <w:t>duplication.</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spacing w:after="0"/>
        <w:jc w:val="left"/>
        <w:rPr>
          <w:sz w:val="22"/>
        </w:rPr>
        <w:sectPr>
          <w:pgSz w:w="12240" w:h="15840"/>
          <w:pgMar w:top="1340" w:bottom="280" w:left="1080" w:right="720"/>
        </w:sectPr>
      </w:pPr>
    </w:p>
    <w:p>
      <w:pPr>
        <w:tabs>
          <w:tab w:pos="1439" w:val="left" w:leader="none"/>
        </w:tabs>
        <w:spacing w:before="8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tabs>
          <w:tab w:pos="1439" w:val="left" w:leader="none"/>
        </w:tabs>
        <w:spacing w:before="0"/>
        <w:ind w:left="1439" w:right="1674" w:hanging="1080"/>
        <w:jc w:val="left"/>
        <w:rPr>
          <w:sz w:val="22"/>
        </w:rPr>
      </w:pPr>
      <w:r>
        <w:rPr>
          <w:spacing w:val="-2"/>
          <w:sz w:val="22"/>
        </w:rPr>
        <w:t>8-26-21</w:t>
      </w:r>
      <w:r>
        <w:rPr>
          <w:sz w:val="22"/>
        </w:rPr>
        <w:tab/>
        <w:t>Added</w:t>
      </w:r>
      <w:r>
        <w:rPr>
          <w:spacing w:val="-5"/>
          <w:sz w:val="22"/>
        </w:rPr>
        <w:t> </w:t>
      </w:r>
      <w:r>
        <w:rPr>
          <w:sz w:val="22"/>
        </w:rPr>
        <w:t>language</w:t>
      </w:r>
      <w:r>
        <w:rPr>
          <w:spacing w:val="-5"/>
          <w:sz w:val="22"/>
        </w:rPr>
        <w:t> </w:t>
      </w:r>
      <w:r>
        <w:rPr>
          <w:sz w:val="22"/>
        </w:rPr>
        <w:t>for</w:t>
      </w:r>
      <w:r>
        <w:rPr>
          <w:spacing w:val="-5"/>
          <w:sz w:val="22"/>
        </w:rPr>
        <w:t> </w:t>
      </w:r>
      <w:r>
        <w:rPr>
          <w:sz w:val="22"/>
        </w:rPr>
        <w:t>the</w:t>
      </w:r>
      <w:r>
        <w:rPr>
          <w:spacing w:val="-6"/>
          <w:sz w:val="22"/>
        </w:rPr>
        <w:t> </w:t>
      </w:r>
      <w:r>
        <w:rPr>
          <w:sz w:val="22"/>
        </w:rPr>
        <w:t>statewide</w:t>
      </w:r>
      <w:r>
        <w:rPr>
          <w:spacing w:val="-5"/>
          <w:sz w:val="22"/>
        </w:rPr>
        <w:t> </w:t>
      </w:r>
      <w:r>
        <w:rPr>
          <w:sz w:val="22"/>
        </w:rPr>
        <w:t>workforce</w:t>
      </w:r>
      <w:r>
        <w:rPr>
          <w:spacing w:val="-5"/>
          <w:sz w:val="22"/>
        </w:rPr>
        <w:t> </w:t>
      </w:r>
      <w:r>
        <w:rPr>
          <w:sz w:val="22"/>
        </w:rPr>
        <w:t>development</w:t>
      </w:r>
      <w:r>
        <w:rPr>
          <w:spacing w:val="-5"/>
          <w:sz w:val="22"/>
        </w:rPr>
        <w:t> </w:t>
      </w:r>
      <w:r>
        <w:rPr>
          <w:sz w:val="22"/>
        </w:rPr>
        <w:t>system.</w:t>
      </w:r>
      <w:r>
        <w:rPr>
          <w:spacing w:val="-5"/>
          <w:sz w:val="22"/>
        </w:rPr>
        <w:t> </w:t>
      </w:r>
      <w:r>
        <w:rPr>
          <w:sz w:val="22"/>
        </w:rPr>
        <w:t>Updated language to reflect the WIOA.</w:t>
      </w:r>
    </w:p>
    <w:p>
      <w:pPr>
        <w:spacing w:after="0"/>
        <w:jc w:val="left"/>
        <w:rPr>
          <w:sz w:val="22"/>
        </w:rPr>
        <w:sectPr>
          <w:pgSz w:w="12240" w:h="15840"/>
          <w:pgMar w:top="1360" w:bottom="280" w:left="1080" w:right="720"/>
        </w:sectPr>
      </w:pPr>
    </w:p>
    <w:p>
      <w:pPr>
        <w:pStyle w:val="Heading2"/>
      </w:pPr>
      <w:bookmarkStart w:name="612:10-1-3.1.  Procedural exceptions" w:id="96"/>
      <w:bookmarkEnd w:id="96"/>
      <w:r>
        <w:rPr>
          <w:b w:val="0"/>
        </w:rPr>
      </w:r>
      <w:r>
        <w:rPr/>
        <w:t>612:10-1-3.1.</w:t>
      </w:r>
      <w:r>
        <w:rPr>
          <w:spacing w:val="56"/>
        </w:rPr>
        <w:t> </w:t>
      </w:r>
      <w:r>
        <w:rPr/>
        <w:t>Procedural</w:t>
      </w:r>
      <w:r>
        <w:rPr>
          <w:spacing w:val="-4"/>
        </w:rPr>
        <w:t> </w:t>
      </w:r>
      <w:r>
        <w:rPr>
          <w:spacing w:val="-2"/>
        </w:rPr>
        <w:t>exceptions</w:t>
      </w:r>
    </w:p>
    <w:p>
      <w:pPr>
        <w:pStyle w:val="BodyText"/>
        <w:spacing w:line="208" w:lineRule="auto" w:before="233"/>
        <w:ind w:left="359" w:right="855" w:firstLine="432"/>
      </w:pPr>
      <w:r>
        <w:rPr/>
        <w:t>Procedures</w:t>
      </w:r>
      <w:r>
        <w:rPr>
          <w:spacing w:val="-2"/>
        </w:rPr>
        <w:t> </w:t>
      </w:r>
      <w:r>
        <w:rPr/>
        <w:t>set</w:t>
      </w:r>
      <w:r>
        <w:rPr>
          <w:spacing w:val="-4"/>
        </w:rPr>
        <w:t> </w:t>
      </w:r>
      <w:r>
        <w:rPr/>
        <w:t>forth</w:t>
      </w:r>
      <w:r>
        <w:rPr>
          <w:spacing w:val="-3"/>
        </w:rPr>
        <w:t> </w:t>
      </w:r>
      <w:r>
        <w:rPr/>
        <w:t>in</w:t>
      </w:r>
      <w:r>
        <w:rPr>
          <w:spacing w:val="-4"/>
        </w:rPr>
        <w:t> </w:t>
      </w:r>
      <w:r>
        <w:rPr/>
        <w:t>this</w:t>
      </w:r>
      <w:r>
        <w:rPr>
          <w:spacing w:val="-3"/>
        </w:rPr>
        <w:t> </w:t>
      </w:r>
      <w:r>
        <w:rPr/>
        <w:t>Chapter</w:t>
      </w:r>
      <w:r>
        <w:rPr>
          <w:spacing w:val="-2"/>
        </w:rPr>
        <w:t> </w:t>
      </w:r>
      <w:r>
        <w:rPr/>
        <w:t>are</w:t>
      </w:r>
      <w:r>
        <w:rPr>
          <w:spacing w:val="-3"/>
        </w:rPr>
        <w:t> </w:t>
      </w:r>
      <w:r>
        <w:rPr/>
        <w:t>not</w:t>
      </w:r>
      <w:r>
        <w:rPr>
          <w:spacing w:val="-2"/>
        </w:rPr>
        <w:t> </w:t>
      </w:r>
      <w:r>
        <w:rPr/>
        <w:t>intended</w:t>
      </w:r>
      <w:r>
        <w:rPr>
          <w:spacing w:val="-3"/>
        </w:rPr>
        <w:t> </w:t>
      </w:r>
      <w:r>
        <w:rPr/>
        <w:t>to</w:t>
      </w:r>
      <w:r>
        <w:rPr>
          <w:spacing w:val="-3"/>
        </w:rPr>
        <w:t> </w:t>
      </w:r>
      <w:r>
        <w:rPr/>
        <w:t>reflect</w:t>
      </w:r>
      <w:r>
        <w:rPr>
          <w:spacing w:val="-2"/>
        </w:rPr>
        <w:t> </w:t>
      </w:r>
      <w:r>
        <w:rPr/>
        <w:t>every</w:t>
      </w:r>
      <w:r>
        <w:rPr>
          <w:spacing w:val="-3"/>
        </w:rPr>
        <w:t> </w:t>
      </w:r>
      <w:r>
        <w:rPr/>
        <w:t>situation</w:t>
      </w:r>
      <w:r>
        <w:rPr>
          <w:spacing w:val="-3"/>
        </w:rPr>
        <w:t> </w:t>
      </w:r>
      <w:r>
        <w:rPr/>
        <w:t>that might confront DVR or DSBVI staff or to replace the staff's use of good judgment. In individual cases an exception from basic procedures may be requested. Authority to approve certain deviations from standard procedure rests; as appropriate, with either the DVR or DSBVI Division Administrator. Authority to approve certain procedural exceptions may</w:t>
      </w:r>
      <w:r>
        <w:rPr>
          <w:spacing w:val="-1"/>
        </w:rPr>
        <w:t> </w:t>
      </w:r>
      <w:r>
        <w:rPr/>
        <w:t>be</w:t>
      </w:r>
      <w:r>
        <w:rPr>
          <w:spacing w:val="-1"/>
        </w:rPr>
        <w:t> </w:t>
      </w:r>
      <w:r>
        <w:rPr/>
        <w:t>delegated</w:t>
      </w:r>
      <w:r>
        <w:rPr>
          <w:spacing w:val="-1"/>
        </w:rPr>
        <w:t> </w:t>
      </w:r>
      <w:r>
        <w:rPr/>
        <w:t>to</w:t>
      </w:r>
      <w:r>
        <w:rPr>
          <w:spacing w:val="-1"/>
        </w:rPr>
        <w:t> </w:t>
      </w:r>
      <w:r>
        <w:rPr/>
        <w:t>the</w:t>
      </w:r>
      <w:r>
        <w:rPr>
          <w:spacing w:val="-1"/>
        </w:rPr>
        <w:t> </w:t>
      </w:r>
      <w:r>
        <w:rPr/>
        <w:t>Program Managers</w:t>
      </w:r>
      <w:r>
        <w:rPr>
          <w:spacing w:val="-1"/>
        </w:rPr>
        <w:t> </w:t>
      </w:r>
      <w:r>
        <w:rPr/>
        <w:t>and</w:t>
      </w:r>
      <w:r>
        <w:rPr>
          <w:spacing w:val="-1"/>
        </w:rPr>
        <w:t> </w:t>
      </w:r>
      <w:r>
        <w:rPr/>
        <w:t>Area</w:t>
      </w:r>
      <w:r>
        <w:rPr>
          <w:spacing w:val="-1"/>
        </w:rPr>
        <w:t> </w:t>
      </w:r>
      <w:r>
        <w:rPr/>
        <w:t>Field</w:t>
      </w:r>
      <w:r>
        <w:rPr>
          <w:spacing w:val="-1"/>
        </w:rPr>
        <w:t> </w:t>
      </w:r>
      <w:r>
        <w:rPr/>
        <w:t>Coordinators. Only those procedural exceptions stated in a rule may be applied to that rule.</w:t>
      </w:r>
    </w:p>
    <w:p>
      <w:pPr>
        <w:pStyle w:val="BodyText"/>
        <w:spacing w:before="210"/>
      </w:pPr>
      <w:r>
        <w:rPr/>
        <w:t>Instructions</w:t>
      </w:r>
      <w:r>
        <w:rPr>
          <w:spacing w:val="-5"/>
        </w:rPr>
        <w:t> </w:t>
      </w:r>
      <w:r>
        <w:rPr/>
        <w:t>to</w:t>
      </w:r>
      <w:r>
        <w:rPr>
          <w:spacing w:val="-2"/>
        </w:rPr>
        <w:t> </w:t>
      </w:r>
      <w:r>
        <w:rPr>
          <w:spacing w:val="-4"/>
        </w:rPr>
        <w:t>Staff</w:t>
      </w:r>
    </w:p>
    <w:p>
      <w:pPr>
        <w:pStyle w:val="ListParagraph"/>
        <w:numPr>
          <w:ilvl w:val="0"/>
          <w:numId w:val="74"/>
        </w:numPr>
        <w:tabs>
          <w:tab w:pos="693" w:val="left" w:leader="none"/>
        </w:tabs>
        <w:spacing w:line="208" w:lineRule="auto" w:before="233" w:after="0"/>
        <w:ind w:left="360" w:right="1166" w:firstLine="0"/>
        <w:jc w:val="left"/>
        <w:rPr>
          <w:sz w:val="24"/>
        </w:rPr>
      </w:pPr>
      <w:r>
        <w:rPr>
          <w:sz w:val="24"/>
        </w:rPr>
        <w:t>Counselors</w:t>
      </w:r>
      <w:r>
        <w:rPr>
          <w:spacing w:val="-4"/>
          <w:sz w:val="24"/>
        </w:rPr>
        <w:t> </w:t>
      </w:r>
      <w:r>
        <w:rPr>
          <w:sz w:val="24"/>
        </w:rPr>
        <w:t>should</w:t>
      </w:r>
      <w:r>
        <w:rPr>
          <w:spacing w:val="-4"/>
          <w:sz w:val="24"/>
        </w:rPr>
        <w:t> </w:t>
      </w:r>
      <w:r>
        <w:rPr>
          <w:sz w:val="24"/>
        </w:rPr>
        <w:t>also</w:t>
      </w:r>
      <w:r>
        <w:rPr>
          <w:spacing w:val="-4"/>
          <w:sz w:val="24"/>
        </w:rPr>
        <w:t> </w:t>
      </w:r>
      <w:r>
        <w:rPr>
          <w:sz w:val="24"/>
        </w:rPr>
        <w:t>seek</w:t>
      </w:r>
      <w:r>
        <w:rPr>
          <w:spacing w:val="-4"/>
          <w:sz w:val="24"/>
        </w:rPr>
        <w:t> </w:t>
      </w:r>
      <w:r>
        <w:rPr>
          <w:sz w:val="24"/>
        </w:rPr>
        <w:t>supervisory</w:t>
      </w:r>
      <w:r>
        <w:rPr>
          <w:spacing w:val="-4"/>
          <w:sz w:val="24"/>
        </w:rPr>
        <w:t> </w:t>
      </w:r>
      <w:r>
        <w:rPr>
          <w:sz w:val="24"/>
        </w:rPr>
        <w:t>guidance</w:t>
      </w:r>
      <w:r>
        <w:rPr>
          <w:spacing w:val="-4"/>
          <w:sz w:val="24"/>
        </w:rPr>
        <w:t> </w:t>
      </w:r>
      <w:r>
        <w:rPr>
          <w:sz w:val="24"/>
        </w:rPr>
        <w:t>in</w:t>
      </w:r>
      <w:r>
        <w:rPr>
          <w:spacing w:val="-3"/>
          <w:sz w:val="24"/>
        </w:rPr>
        <w:t> </w:t>
      </w:r>
      <w:r>
        <w:rPr>
          <w:sz w:val="24"/>
        </w:rPr>
        <w:t>situations</w:t>
      </w:r>
      <w:r>
        <w:rPr>
          <w:spacing w:val="-4"/>
          <w:sz w:val="24"/>
        </w:rPr>
        <w:t> </w:t>
      </w:r>
      <w:r>
        <w:rPr>
          <w:sz w:val="24"/>
        </w:rPr>
        <w:t>not</w:t>
      </w:r>
      <w:r>
        <w:rPr>
          <w:spacing w:val="-3"/>
          <w:sz w:val="24"/>
        </w:rPr>
        <w:t> </w:t>
      </w:r>
      <w:r>
        <w:rPr>
          <w:sz w:val="24"/>
        </w:rPr>
        <w:t>addressed</w:t>
      </w:r>
      <w:r>
        <w:rPr>
          <w:spacing w:val="-4"/>
          <w:sz w:val="24"/>
        </w:rPr>
        <w:t> </w:t>
      </w:r>
      <w:r>
        <w:rPr>
          <w:sz w:val="24"/>
        </w:rPr>
        <w:t>in policy and procedures.</w:t>
      </w:r>
    </w:p>
    <w:p>
      <w:pPr>
        <w:pStyle w:val="ListParagraph"/>
        <w:numPr>
          <w:ilvl w:val="0"/>
          <w:numId w:val="74"/>
        </w:numPr>
        <w:tabs>
          <w:tab w:pos="692" w:val="left" w:leader="none"/>
        </w:tabs>
        <w:spacing w:line="208" w:lineRule="auto" w:before="240" w:after="0"/>
        <w:ind w:left="360" w:right="886" w:firstLine="0"/>
        <w:jc w:val="left"/>
        <w:rPr>
          <w:sz w:val="24"/>
        </w:rPr>
      </w:pPr>
      <w:r>
        <w:rPr>
          <w:sz w:val="24"/>
        </w:rPr>
        <w:t>It will be the program manager's responsibility to respond in writing or submit the request</w:t>
      </w:r>
      <w:r>
        <w:rPr>
          <w:spacing w:val="-3"/>
          <w:sz w:val="24"/>
        </w:rPr>
        <w:t> </w:t>
      </w:r>
      <w:r>
        <w:rPr>
          <w:sz w:val="24"/>
        </w:rPr>
        <w:t>to</w:t>
      </w:r>
      <w:r>
        <w:rPr>
          <w:spacing w:val="-4"/>
          <w:sz w:val="24"/>
        </w:rPr>
        <w:t> </w:t>
      </w:r>
      <w:r>
        <w:rPr>
          <w:sz w:val="24"/>
        </w:rPr>
        <w:t>the</w:t>
      </w:r>
      <w:r>
        <w:rPr>
          <w:spacing w:val="-4"/>
          <w:sz w:val="24"/>
        </w:rPr>
        <w:t> </w:t>
      </w:r>
      <w:r>
        <w:rPr>
          <w:sz w:val="24"/>
        </w:rPr>
        <w:t>next</w:t>
      </w:r>
      <w:r>
        <w:rPr>
          <w:spacing w:val="-3"/>
          <w:sz w:val="24"/>
        </w:rPr>
        <w:t> </w:t>
      </w:r>
      <w:r>
        <w:rPr>
          <w:sz w:val="24"/>
        </w:rPr>
        <w:t>level</w:t>
      </w:r>
      <w:r>
        <w:rPr>
          <w:spacing w:val="-4"/>
          <w:sz w:val="24"/>
        </w:rPr>
        <w:t> </w:t>
      </w:r>
      <w:r>
        <w:rPr>
          <w:sz w:val="24"/>
        </w:rPr>
        <w:t>of</w:t>
      </w:r>
      <w:r>
        <w:rPr>
          <w:spacing w:val="-3"/>
          <w:sz w:val="24"/>
        </w:rPr>
        <w:t> </w:t>
      </w:r>
      <w:r>
        <w:rPr>
          <w:sz w:val="24"/>
        </w:rPr>
        <w:t>administration</w:t>
      </w:r>
      <w:r>
        <w:rPr>
          <w:spacing w:val="-4"/>
          <w:sz w:val="24"/>
        </w:rPr>
        <w:t> </w:t>
      </w:r>
      <w:r>
        <w:rPr>
          <w:sz w:val="24"/>
        </w:rPr>
        <w:t>with</w:t>
      </w:r>
      <w:r>
        <w:rPr>
          <w:spacing w:val="-4"/>
          <w:sz w:val="24"/>
        </w:rPr>
        <w:t> </w:t>
      </w:r>
      <w:r>
        <w:rPr>
          <w:sz w:val="24"/>
        </w:rPr>
        <w:t>recommendations.</w:t>
      </w:r>
      <w:r>
        <w:rPr>
          <w:spacing w:val="-3"/>
          <w:sz w:val="24"/>
        </w:rPr>
        <w:t> </w:t>
      </w:r>
      <w:r>
        <w:rPr>
          <w:sz w:val="24"/>
        </w:rPr>
        <w:t>Written</w:t>
      </w:r>
      <w:r>
        <w:rPr>
          <w:spacing w:val="-4"/>
          <w:sz w:val="24"/>
        </w:rPr>
        <w:t> </w:t>
      </w:r>
      <w:r>
        <w:rPr>
          <w:sz w:val="24"/>
        </w:rPr>
        <w:t>response</w:t>
      </w:r>
      <w:r>
        <w:rPr>
          <w:spacing w:val="-4"/>
          <w:sz w:val="24"/>
        </w:rPr>
        <w:t> </w:t>
      </w:r>
      <w:r>
        <w:rPr>
          <w:sz w:val="24"/>
        </w:rPr>
        <w:t>will be given from the level where the decision is made. No action is to be taken until a response is received.</w:t>
      </w:r>
    </w:p>
    <w:p>
      <w:pPr>
        <w:spacing w:before="243"/>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61"/>
        </w:numPr>
        <w:tabs>
          <w:tab w:pos="1439" w:val="left" w:leader="none"/>
        </w:tabs>
        <w:spacing w:line="253" w:lineRule="exact" w:before="1" w:after="0"/>
        <w:ind w:left="1439" w:right="0" w:hanging="1079"/>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z w:val="22"/>
        </w:rPr>
        <w:t>section</w:t>
      </w:r>
      <w:r>
        <w:rPr>
          <w:spacing w:val="-8"/>
          <w:sz w:val="22"/>
        </w:rPr>
        <w:t> </w:t>
      </w:r>
      <w:r>
        <w:rPr>
          <w:spacing w:val="-2"/>
          <w:sz w:val="22"/>
        </w:rPr>
        <w:t>added</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1"/>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tabs>
          <w:tab w:pos="1439" w:val="left" w:leader="none"/>
        </w:tabs>
        <w:spacing w:line="252" w:lineRule="exact" w:before="0"/>
        <w:ind w:left="360" w:right="0" w:firstLine="0"/>
        <w:jc w:val="left"/>
        <w:rPr>
          <w:sz w:val="22"/>
        </w:rPr>
      </w:pPr>
      <w:r>
        <w:rPr>
          <w:spacing w:val="-2"/>
          <w:sz w:val="22"/>
        </w:rPr>
        <w:t>8-26-</w:t>
      </w:r>
      <w:r>
        <w:rPr>
          <w:spacing w:val="-5"/>
          <w:sz w:val="22"/>
        </w:rPr>
        <w:t>21</w:t>
      </w:r>
      <w:r>
        <w:rPr>
          <w:sz w:val="22"/>
        </w:rPr>
        <w:tab/>
        <w:t>Updated</w:t>
      </w:r>
      <w:r>
        <w:rPr>
          <w:spacing w:val="-10"/>
          <w:sz w:val="22"/>
        </w:rPr>
        <w:t> </w:t>
      </w:r>
      <w:r>
        <w:rPr>
          <w:sz w:val="22"/>
        </w:rPr>
        <w:t>antiquated</w:t>
      </w:r>
      <w:r>
        <w:rPr>
          <w:spacing w:val="-10"/>
          <w:sz w:val="22"/>
        </w:rPr>
        <w:t> </w:t>
      </w:r>
      <w:r>
        <w:rPr>
          <w:spacing w:val="-2"/>
          <w:sz w:val="22"/>
        </w:rPr>
        <w:t>language.</w:t>
      </w:r>
    </w:p>
    <w:p>
      <w:pPr>
        <w:spacing w:after="0" w:line="252" w:lineRule="exact"/>
        <w:jc w:val="left"/>
        <w:rPr>
          <w:sz w:val="22"/>
        </w:rPr>
        <w:sectPr>
          <w:pgSz w:w="12240" w:h="15840"/>
          <w:pgMar w:top="1340" w:bottom="280" w:left="1080" w:right="720"/>
        </w:sectPr>
      </w:pPr>
    </w:p>
    <w:p>
      <w:pPr>
        <w:pStyle w:val="Heading2"/>
      </w:pPr>
      <w:bookmarkStart w:name="612:10-1-3.2  Pilot projects" w:id="97"/>
      <w:bookmarkEnd w:id="97"/>
      <w:r>
        <w:rPr>
          <w:b w:val="0"/>
        </w:rPr>
      </w:r>
      <w:r>
        <w:rPr/>
        <w:t>612:10-1-3.2</w:t>
      </w:r>
      <w:r>
        <w:rPr>
          <w:spacing w:val="60"/>
        </w:rPr>
        <w:t> </w:t>
      </w:r>
      <w:r>
        <w:rPr/>
        <w:t>Pilot</w:t>
      </w:r>
      <w:r>
        <w:rPr>
          <w:spacing w:val="-3"/>
        </w:rPr>
        <w:t> </w:t>
      </w:r>
      <w:r>
        <w:rPr>
          <w:spacing w:val="-2"/>
        </w:rPr>
        <w:t>projects</w:t>
      </w:r>
    </w:p>
    <w:p>
      <w:pPr>
        <w:pStyle w:val="BodyText"/>
        <w:spacing w:line="208" w:lineRule="auto" w:before="233"/>
        <w:ind w:right="775" w:firstLine="432"/>
      </w:pPr>
      <w:r>
        <w:rPr/>
        <w:t>The purpose of pilot projects is to allow the Divisions of Vocational Rehabilitation and</w:t>
      </w:r>
      <w:r>
        <w:rPr>
          <w:spacing w:val="-3"/>
        </w:rPr>
        <w:t> </w:t>
      </w:r>
      <w:r>
        <w:rPr/>
        <w:t>Services</w:t>
      </w:r>
      <w:r>
        <w:rPr>
          <w:spacing w:val="-3"/>
        </w:rPr>
        <w:t> </w:t>
      </w:r>
      <w:r>
        <w:rPr/>
        <w:t>for</w:t>
      </w:r>
      <w:r>
        <w:rPr>
          <w:spacing w:val="-4"/>
        </w:rPr>
        <w:t> </w:t>
      </w:r>
      <w:r>
        <w:rPr/>
        <w:t>the</w:t>
      </w:r>
      <w:r>
        <w:rPr>
          <w:spacing w:val="-3"/>
        </w:rPr>
        <w:t> </w:t>
      </w:r>
      <w:r>
        <w:rPr/>
        <w:t>Blind</w:t>
      </w:r>
      <w:r>
        <w:rPr>
          <w:spacing w:val="-3"/>
        </w:rPr>
        <w:t> </w:t>
      </w:r>
      <w:r>
        <w:rPr/>
        <w:t>and</w:t>
      </w:r>
      <w:r>
        <w:rPr>
          <w:spacing w:val="-3"/>
        </w:rPr>
        <w:t> </w:t>
      </w:r>
      <w:r>
        <w:rPr/>
        <w:t>Visually</w:t>
      </w:r>
      <w:r>
        <w:rPr>
          <w:spacing w:val="-3"/>
        </w:rPr>
        <w:t> </w:t>
      </w:r>
      <w:r>
        <w:rPr/>
        <w:t>Impaired</w:t>
      </w:r>
      <w:r>
        <w:rPr>
          <w:spacing w:val="-3"/>
        </w:rPr>
        <w:t> </w:t>
      </w:r>
      <w:r>
        <w:rPr/>
        <w:t>to</w:t>
      </w:r>
      <w:r>
        <w:rPr>
          <w:spacing w:val="-3"/>
        </w:rPr>
        <w:t> </w:t>
      </w:r>
      <w:r>
        <w:rPr/>
        <w:t>design</w:t>
      </w:r>
      <w:r>
        <w:rPr>
          <w:spacing w:val="-3"/>
        </w:rPr>
        <w:t> </w:t>
      </w:r>
      <w:r>
        <w:rPr/>
        <w:t>and</w:t>
      </w:r>
      <w:r>
        <w:rPr>
          <w:spacing w:val="-3"/>
        </w:rPr>
        <w:t> </w:t>
      </w:r>
      <w:r>
        <w:rPr/>
        <w:t>evaluate</w:t>
      </w:r>
      <w:r>
        <w:rPr>
          <w:spacing w:val="-3"/>
        </w:rPr>
        <w:t> </w:t>
      </w:r>
      <w:r>
        <w:rPr/>
        <w:t>service</w:t>
      </w:r>
      <w:r>
        <w:rPr>
          <w:spacing w:val="-3"/>
        </w:rPr>
        <w:t> </w:t>
      </w:r>
      <w:r>
        <w:rPr/>
        <w:t>delivery innovations on a scale that will provide for an effective trial without being disruptive to the entire organization. Such pilot projects might include trials of innovative policies, standards, and/or procedures.</w:t>
      </w:r>
    </w:p>
    <w:p>
      <w:pPr>
        <w:pStyle w:val="ListParagraph"/>
        <w:numPr>
          <w:ilvl w:val="0"/>
          <w:numId w:val="75"/>
        </w:numPr>
        <w:tabs>
          <w:tab w:pos="1217" w:val="left" w:leader="none"/>
        </w:tabs>
        <w:spacing w:line="208" w:lineRule="auto" w:before="239" w:after="0"/>
        <w:ind w:left="792" w:right="748" w:firstLine="0"/>
        <w:jc w:val="left"/>
        <w:rPr>
          <w:sz w:val="24"/>
        </w:rPr>
      </w:pPr>
      <w:r>
        <w:rPr>
          <w:b/>
          <w:sz w:val="24"/>
        </w:rPr>
        <w:t>Authorization of pilot projects.</w:t>
      </w:r>
      <w:r>
        <w:rPr>
          <w:b/>
          <w:spacing w:val="40"/>
          <w:sz w:val="24"/>
        </w:rPr>
        <w:t> </w:t>
      </w:r>
      <w:r>
        <w:rPr>
          <w:sz w:val="24"/>
        </w:rPr>
        <w:t>The Division Administrator may approve applications for pilot projects after review and approval of the pilot by the DVR/DSBVI</w:t>
      </w:r>
      <w:r>
        <w:rPr>
          <w:spacing w:val="-3"/>
          <w:sz w:val="24"/>
        </w:rPr>
        <w:t> </w:t>
      </w:r>
      <w:r>
        <w:rPr>
          <w:sz w:val="24"/>
        </w:rPr>
        <w:t>Management</w:t>
      </w:r>
      <w:r>
        <w:rPr>
          <w:spacing w:val="-3"/>
          <w:sz w:val="24"/>
        </w:rPr>
        <w:t> </w:t>
      </w:r>
      <w:r>
        <w:rPr>
          <w:sz w:val="24"/>
        </w:rPr>
        <w:t>Team.</w:t>
      </w:r>
      <w:r>
        <w:rPr>
          <w:spacing w:val="-5"/>
          <w:sz w:val="24"/>
        </w:rPr>
        <w:t> </w:t>
      </w:r>
      <w:r>
        <w:rPr>
          <w:sz w:val="24"/>
        </w:rPr>
        <w:t>Approval</w:t>
      </w:r>
      <w:r>
        <w:rPr>
          <w:spacing w:val="-4"/>
          <w:sz w:val="24"/>
        </w:rPr>
        <w:t> </w:t>
      </w:r>
      <w:r>
        <w:rPr>
          <w:sz w:val="24"/>
        </w:rPr>
        <w:t>of</w:t>
      </w:r>
      <w:r>
        <w:rPr>
          <w:spacing w:val="-2"/>
          <w:sz w:val="24"/>
        </w:rPr>
        <w:t> </w:t>
      </w:r>
      <w:r>
        <w:rPr>
          <w:sz w:val="24"/>
        </w:rPr>
        <w:t>an</w:t>
      </w:r>
      <w:r>
        <w:rPr>
          <w:spacing w:val="-4"/>
          <w:sz w:val="24"/>
        </w:rPr>
        <w:t> </w:t>
      </w:r>
      <w:r>
        <w:rPr>
          <w:sz w:val="24"/>
        </w:rPr>
        <w:t>application</w:t>
      </w:r>
      <w:r>
        <w:rPr>
          <w:spacing w:val="-4"/>
          <w:sz w:val="24"/>
        </w:rPr>
        <w:t> </w:t>
      </w:r>
      <w:r>
        <w:rPr>
          <w:sz w:val="24"/>
        </w:rPr>
        <w:t>for</w:t>
      </w:r>
      <w:r>
        <w:rPr>
          <w:spacing w:val="-3"/>
          <w:sz w:val="24"/>
        </w:rPr>
        <w:t> </w:t>
      </w:r>
      <w:r>
        <w:rPr>
          <w:sz w:val="24"/>
        </w:rPr>
        <w:t>a</w:t>
      </w:r>
      <w:r>
        <w:rPr>
          <w:spacing w:val="-4"/>
          <w:sz w:val="24"/>
        </w:rPr>
        <w:t> </w:t>
      </w:r>
      <w:r>
        <w:rPr>
          <w:sz w:val="24"/>
        </w:rPr>
        <w:t>pilot</w:t>
      </w:r>
      <w:r>
        <w:rPr>
          <w:spacing w:val="-3"/>
          <w:sz w:val="24"/>
        </w:rPr>
        <w:t> </w:t>
      </w:r>
      <w:r>
        <w:rPr>
          <w:sz w:val="24"/>
        </w:rPr>
        <w:t>project</w:t>
      </w:r>
      <w:r>
        <w:rPr>
          <w:spacing w:val="-3"/>
          <w:sz w:val="24"/>
        </w:rPr>
        <w:t> </w:t>
      </w:r>
      <w:r>
        <w:rPr>
          <w:sz w:val="24"/>
        </w:rPr>
        <w:t>by</w:t>
      </w:r>
      <w:r>
        <w:rPr>
          <w:spacing w:val="-4"/>
          <w:sz w:val="24"/>
        </w:rPr>
        <w:t> </w:t>
      </w:r>
      <w:r>
        <w:rPr>
          <w:sz w:val="24"/>
        </w:rPr>
        <w:t>the Division Administrator will constitute authority to implement the pilot project for a length of time to be specified by the Division Administrator. The Division Administrator</w:t>
      </w:r>
      <w:r>
        <w:rPr>
          <w:spacing w:val="-2"/>
          <w:sz w:val="24"/>
        </w:rPr>
        <w:t> </w:t>
      </w:r>
      <w:r>
        <w:rPr>
          <w:sz w:val="24"/>
        </w:rPr>
        <w:t>can</w:t>
      </w:r>
      <w:r>
        <w:rPr>
          <w:spacing w:val="-3"/>
          <w:sz w:val="24"/>
        </w:rPr>
        <w:t> </w:t>
      </w:r>
      <w:r>
        <w:rPr>
          <w:sz w:val="24"/>
        </w:rPr>
        <w:t>terminate</w:t>
      </w:r>
      <w:r>
        <w:rPr>
          <w:spacing w:val="-3"/>
          <w:sz w:val="24"/>
        </w:rPr>
        <w:t> </w:t>
      </w:r>
      <w:r>
        <w:rPr>
          <w:sz w:val="24"/>
        </w:rPr>
        <w:t>the</w:t>
      </w:r>
      <w:r>
        <w:rPr>
          <w:spacing w:val="-3"/>
          <w:sz w:val="24"/>
        </w:rPr>
        <w:t> </w:t>
      </w:r>
      <w:r>
        <w:rPr>
          <w:sz w:val="24"/>
        </w:rPr>
        <w:t>pilot</w:t>
      </w:r>
      <w:r>
        <w:rPr>
          <w:spacing w:val="-2"/>
          <w:sz w:val="24"/>
        </w:rPr>
        <w:t> </w:t>
      </w:r>
      <w:r>
        <w:rPr>
          <w:sz w:val="24"/>
        </w:rPr>
        <w:t>project</w:t>
      </w:r>
      <w:r>
        <w:rPr>
          <w:spacing w:val="-2"/>
          <w:sz w:val="24"/>
        </w:rPr>
        <w:t> </w:t>
      </w:r>
      <w:r>
        <w:rPr>
          <w:sz w:val="24"/>
        </w:rPr>
        <w:t>at</w:t>
      </w:r>
      <w:r>
        <w:rPr>
          <w:spacing w:val="-2"/>
          <w:sz w:val="24"/>
        </w:rPr>
        <w:t> </w:t>
      </w:r>
      <w:r>
        <w:rPr>
          <w:sz w:val="24"/>
        </w:rPr>
        <w:t>any</w:t>
      </w:r>
      <w:r>
        <w:rPr>
          <w:spacing w:val="-3"/>
          <w:sz w:val="24"/>
        </w:rPr>
        <w:t> </w:t>
      </w:r>
      <w:r>
        <w:rPr>
          <w:sz w:val="24"/>
        </w:rPr>
        <w:t>time</w:t>
      </w:r>
      <w:r>
        <w:rPr>
          <w:spacing w:val="-4"/>
          <w:sz w:val="24"/>
        </w:rPr>
        <w:t> </w:t>
      </w:r>
      <w:r>
        <w:rPr>
          <w:sz w:val="24"/>
        </w:rPr>
        <w:t>prior</w:t>
      </w:r>
      <w:r>
        <w:rPr>
          <w:spacing w:val="-2"/>
          <w:sz w:val="24"/>
        </w:rPr>
        <w:t> </w:t>
      </w:r>
      <w:r>
        <w:rPr>
          <w:sz w:val="24"/>
        </w:rPr>
        <w:t>to</w:t>
      </w:r>
      <w:r>
        <w:rPr>
          <w:spacing w:val="-3"/>
          <w:sz w:val="24"/>
        </w:rPr>
        <w:t> </w:t>
      </w:r>
      <w:r>
        <w:rPr>
          <w:sz w:val="24"/>
        </w:rPr>
        <w:t>the</w:t>
      </w:r>
      <w:r>
        <w:rPr>
          <w:spacing w:val="-4"/>
          <w:sz w:val="24"/>
        </w:rPr>
        <w:t> </w:t>
      </w:r>
      <w:r>
        <w:rPr>
          <w:sz w:val="24"/>
        </w:rPr>
        <w:t>specified</w:t>
      </w:r>
      <w:r>
        <w:rPr>
          <w:spacing w:val="-3"/>
          <w:sz w:val="24"/>
        </w:rPr>
        <w:t> </w:t>
      </w:r>
      <w:r>
        <w:rPr>
          <w:sz w:val="24"/>
        </w:rPr>
        <w:t>project duration.</w:t>
      </w:r>
      <w:r>
        <w:rPr>
          <w:spacing w:val="-1"/>
          <w:sz w:val="24"/>
        </w:rPr>
        <w:t> </w:t>
      </w:r>
      <w:r>
        <w:rPr>
          <w:sz w:val="24"/>
        </w:rPr>
        <w:t>The</w:t>
      </w:r>
      <w:r>
        <w:rPr>
          <w:spacing w:val="-2"/>
          <w:sz w:val="24"/>
        </w:rPr>
        <w:t> </w:t>
      </w:r>
      <w:r>
        <w:rPr>
          <w:sz w:val="24"/>
        </w:rPr>
        <w:t>pilot</w:t>
      </w:r>
      <w:r>
        <w:rPr>
          <w:spacing w:val="-1"/>
          <w:sz w:val="24"/>
        </w:rPr>
        <w:t> </w:t>
      </w:r>
      <w:r>
        <w:rPr>
          <w:sz w:val="24"/>
        </w:rPr>
        <w:t>project</w:t>
      </w:r>
      <w:r>
        <w:rPr>
          <w:spacing w:val="-1"/>
          <w:sz w:val="24"/>
        </w:rPr>
        <w:t> </w:t>
      </w:r>
      <w:r>
        <w:rPr>
          <w:sz w:val="24"/>
        </w:rPr>
        <w:t>may</w:t>
      </w:r>
      <w:r>
        <w:rPr>
          <w:spacing w:val="-2"/>
          <w:sz w:val="24"/>
        </w:rPr>
        <w:t> </w:t>
      </w:r>
      <w:r>
        <w:rPr>
          <w:sz w:val="24"/>
        </w:rPr>
        <w:t>not</w:t>
      </w:r>
      <w:r>
        <w:rPr>
          <w:spacing w:val="-1"/>
          <w:sz w:val="24"/>
        </w:rPr>
        <w:t> </w:t>
      </w:r>
      <w:r>
        <w:rPr>
          <w:sz w:val="24"/>
        </w:rPr>
        <w:t>be</w:t>
      </w:r>
      <w:r>
        <w:rPr>
          <w:spacing w:val="-2"/>
          <w:sz w:val="24"/>
        </w:rPr>
        <w:t> </w:t>
      </w:r>
      <w:r>
        <w:rPr>
          <w:sz w:val="24"/>
        </w:rPr>
        <w:t>extended</w:t>
      </w:r>
      <w:r>
        <w:rPr>
          <w:spacing w:val="-2"/>
          <w:sz w:val="24"/>
        </w:rPr>
        <w:t> </w:t>
      </w:r>
      <w:r>
        <w:rPr>
          <w:sz w:val="24"/>
        </w:rPr>
        <w:t>beyond</w:t>
      </w:r>
      <w:r>
        <w:rPr>
          <w:spacing w:val="-1"/>
          <w:sz w:val="24"/>
        </w:rPr>
        <w:t> </w:t>
      </w:r>
      <w:r>
        <w:rPr>
          <w:sz w:val="24"/>
        </w:rPr>
        <w:t>the</w:t>
      </w:r>
      <w:r>
        <w:rPr>
          <w:spacing w:val="-2"/>
          <w:sz w:val="24"/>
        </w:rPr>
        <w:t> </w:t>
      </w:r>
      <w:r>
        <w:rPr>
          <w:sz w:val="24"/>
        </w:rPr>
        <w:t>originally</w:t>
      </w:r>
      <w:r>
        <w:rPr>
          <w:spacing w:val="-2"/>
          <w:sz w:val="24"/>
        </w:rPr>
        <w:t> </w:t>
      </w:r>
      <w:r>
        <w:rPr>
          <w:sz w:val="24"/>
        </w:rPr>
        <w:t>approved</w:t>
      </w:r>
      <w:r>
        <w:rPr>
          <w:spacing w:val="-1"/>
          <w:sz w:val="24"/>
        </w:rPr>
        <w:t> </w:t>
      </w:r>
      <w:r>
        <w:rPr>
          <w:sz w:val="24"/>
        </w:rPr>
        <w:t>time </w:t>
      </w:r>
      <w:r>
        <w:rPr>
          <w:spacing w:val="-2"/>
          <w:sz w:val="24"/>
        </w:rPr>
        <w:t>period.</w:t>
      </w:r>
    </w:p>
    <w:p>
      <w:pPr>
        <w:pStyle w:val="ListParagraph"/>
        <w:numPr>
          <w:ilvl w:val="0"/>
          <w:numId w:val="75"/>
        </w:numPr>
        <w:tabs>
          <w:tab w:pos="1218" w:val="left" w:leader="none"/>
        </w:tabs>
        <w:spacing w:line="208" w:lineRule="auto" w:before="240" w:after="0"/>
        <w:ind w:left="792" w:right="934" w:firstLine="0"/>
        <w:jc w:val="left"/>
        <w:rPr>
          <w:sz w:val="24"/>
        </w:rPr>
      </w:pPr>
      <w:r>
        <w:rPr>
          <w:b/>
          <w:sz w:val="24"/>
        </w:rPr>
        <w:t>Effect of DRS policy on pilot projects. </w:t>
      </w:r>
      <w:r>
        <w:rPr>
          <w:sz w:val="24"/>
        </w:rPr>
        <w:t>The Director of the Department of Rehabilitation Services may waive the applicability of specified departmental policies when necessary to implement a meaningful trial of the approved pilot project.</w:t>
      </w:r>
      <w:r>
        <w:rPr>
          <w:spacing w:val="-2"/>
          <w:sz w:val="24"/>
        </w:rPr>
        <w:t> </w:t>
      </w:r>
      <w:r>
        <w:rPr>
          <w:sz w:val="24"/>
        </w:rPr>
        <w:t>The</w:t>
      </w:r>
      <w:r>
        <w:rPr>
          <w:spacing w:val="-3"/>
          <w:sz w:val="24"/>
        </w:rPr>
        <w:t> </w:t>
      </w:r>
      <w:r>
        <w:rPr>
          <w:sz w:val="24"/>
        </w:rPr>
        <w:t>waiver</w:t>
      </w:r>
      <w:r>
        <w:rPr>
          <w:spacing w:val="-2"/>
          <w:sz w:val="24"/>
        </w:rPr>
        <w:t> </w:t>
      </w:r>
      <w:r>
        <w:rPr>
          <w:sz w:val="24"/>
        </w:rPr>
        <w:t>will</w:t>
      </w:r>
      <w:r>
        <w:rPr>
          <w:spacing w:val="-3"/>
          <w:sz w:val="24"/>
        </w:rPr>
        <w:t> </w:t>
      </w:r>
      <w:r>
        <w:rPr>
          <w:sz w:val="24"/>
        </w:rPr>
        <w:t>apply</w:t>
      </w:r>
      <w:r>
        <w:rPr>
          <w:spacing w:val="-3"/>
          <w:sz w:val="24"/>
        </w:rPr>
        <w:t> </w:t>
      </w:r>
      <w:r>
        <w:rPr>
          <w:sz w:val="24"/>
        </w:rPr>
        <w:t>only</w:t>
      </w:r>
      <w:r>
        <w:rPr>
          <w:spacing w:val="-3"/>
          <w:sz w:val="24"/>
        </w:rPr>
        <w:t> </w:t>
      </w:r>
      <w:r>
        <w:rPr>
          <w:sz w:val="24"/>
        </w:rPr>
        <w:t>to</w:t>
      </w:r>
      <w:r>
        <w:rPr>
          <w:spacing w:val="-4"/>
          <w:sz w:val="24"/>
        </w:rPr>
        <w:t> </w:t>
      </w:r>
      <w:r>
        <w:rPr>
          <w:sz w:val="24"/>
        </w:rPr>
        <w:t>the</w:t>
      </w:r>
      <w:r>
        <w:rPr>
          <w:spacing w:val="-3"/>
          <w:sz w:val="24"/>
        </w:rPr>
        <w:t> </w:t>
      </w:r>
      <w:r>
        <w:rPr>
          <w:sz w:val="24"/>
        </w:rPr>
        <w:t>pilot</w:t>
      </w:r>
      <w:r>
        <w:rPr>
          <w:spacing w:val="-2"/>
          <w:sz w:val="24"/>
        </w:rPr>
        <w:t> </w:t>
      </w:r>
      <w:r>
        <w:rPr>
          <w:sz w:val="24"/>
        </w:rPr>
        <w:t>project</w:t>
      </w:r>
      <w:r>
        <w:rPr>
          <w:spacing w:val="-2"/>
          <w:sz w:val="24"/>
        </w:rPr>
        <w:t> </w:t>
      </w:r>
      <w:r>
        <w:rPr>
          <w:sz w:val="24"/>
        </w:rPr>
        <w:t>specified</w:t>
      </w:r>
      <w:r>
        <w:rPr>
          <w:spacing w:val="-3"/>
          <w:sz w:val="24"/>
        </w:rPr>
        <w:t> </w:t>
      </w:r>
      <w:r>
        <w:rPr>
          <w:sz w:val="24"/>
        </w:rPr>
        <w:t>by</w:t>
      </w:r>
      <w:r>
        <w:rPr>
          <w:spacing w:val="-3"/>
          <w:sz w:val="24"/>
        </w:rPr>
        <w:t> </w:t>
      </w:r>
      <w:r>
        <w:rPr>
          <w:sz w:val="24"/>
        </w:rPr>
        <w:t>the</w:t>
      </w:r>
      <w:r>
        <w:rPr>
          <w:spacing w:val="-3"/>
          <w:sz w:val="24"/>
        </w:rPr>
        <w:t> </w:t>
      </w:r>
      <w:r>
        <w:rPr>
          <w:sz w:val="24"/>
        </w:rPr>
        <w:t>Director,</w:t>
      </w:r>
      <w:r>
        <w:rPr>
          <w:spacing w:val="-2"/>
          <w:sz w:val="24"/>
        </w:rPr>
        <w:t> </w:t>
      </w:r>
      <w:r>
        <w:rPr>
          <w:sz w:val="24"/>
        </w:rPr>
        <w:t>and will be effective only for the duration of the pilot project. The waiver will end immediately upon termination or completion of the model project.</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11</w:t>
      </w:r>
      <w:r>
        <w:rPr>
          <w:sz w:val="22"/>
        </w:rPr>
        <w:tab/>
        <w:t>PT</w:t>
      </w:r>
      <w:r>
        <w:rPr>
          <w:spacing w:val="-8"/>
          <w:sz w:val="22"/>
        </w:rPr>
        <w:t> </w:t>
      </w:r>
      <w:r>
        <w:rPr>
          <w:sz w:val="22"/>
        </w:rPr>
        <w:t>Memo</w:t>
      </w:r>
      <w:r>
        <w:rPr>
          <w:spacing w:val="-8"/>
          <w:sz w:val="22"/>
        </w:rPr>
        <w:t> </w:t>
      </w:r>
      <w:r>
        <w:rPr>
          <w:sz w:val="22"/>
        </w:rPr>
        <w:t>#12-</w:t>
      </w:r>
      <w:r>
        <w:rPr>
          <w:spacing w:val="-5"/>
          <w:sz w:val="22"/>
        </w:rPr>
        <w:t>01</w:t>
      </w:r>
    </w:p>
    <w:p>
      <w:pPr>
        <w:spacing w:line="253" w:lineRule="exact" w:before="0"/>
        <w:ind w:left="1439" w:right="0" w:firstLine="0"/>
        <w:jc w:val="left"/>
        <w:rPr>
          <w:sz w:val="22"/>
        </w:rPr>
      </w:pPr>
      <w:r>
        <w:rPr>
          <w:sz w:val="22"/>
        </w:rPr>
        <w:t>Permanent,</w:t>
      </w:r>
      <w:r>
        <w:rPr>
          <w:spacing w:val="-8"/>
          <w:sz w:val="22"/>
        </w:rPr>
        <w:t> </w:t>
      </w:r>
      <w:r>
        <w:rPr>
          <w:sz w:val="22"/>
        </w:rPr>
        <w:t>Added</w:t>
      </w:r>
      <w:r>
        <w:rPr>
          <w:spacing w:val="-8"/>
          <w:sz w:val="22"/>
        </w:rPr>
        <w:t> </w:t>
      </w:r>
      <w:r>
        <w:rPr>
          <w:sz w:val="22"/>
        </w:rPr>
        <w:t>new</w:t>
      </w:r>
      <w:r>
        <w:rPr>
          <w:spacing w:val="-9"/>
          <w:sz w:val="22"/>
        </w:rPr>
        <w:t> </w:t>
      </w:r>
      <w:r>
        <w:rPr>
          <w:spacing w:val="-2"/>
          <w:sz w:val="22"/>
        </w:rPr>
        <w:t>section</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1"/>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spacing w:after="0"/>
        <w:jc w:val="left"/>
        <w:rPr>
          <w:sz w:val="22"/>
        </w:rPr>
        <w:sectPr>
          <w:pgSz w:w="12240" w:h="15840"/>
          <w:pgMar w:top="1340" w:bottom="280" w:left="1080" w:right="720"/>
        </w:sectPr>
      </w:pPr>
    </w:p>
    <w:p>
      <w:pPr>
        <w:pStyle w:val="Heading2"/>
      </w:pPr>
      <w:bookmarkStart w:name="612:10-1-4.  Consultants (medical, denta" w:id="98"/>
      <w:bookmarkEnd w:id="98"/>
      <w:r>
        <w:rPr>
          <w:b w:val="0"/>
        </w:rPr>
      </w:r>
      <w:r>
        <w:rPr/>
        <w:t>612:10-1-4.</w:t>
      </w:r>
      <w:r>
        <w:rPr>
          <w:spacing w:val="56"/>
        </w:rPr>
        <w:t> </w:t>
      </w:r>
      <w:r>
        <w:rPr/>
        <w:t>Consultants</w:t>
      </w:r>
      <w:r>
        <w:rPr>
          <w:spacing w:val="-5"/>
        </w:rPr>
        <w:t> </w:t>
      </w:r>
      <w:r>
        <w:rPr/>
        <w:t>(medical,</w:t>
      </w:r>
      <w:r>
        <w:rPr>
          <w:spacing w:val="-3"/>
        </w:rPr>
        <w:t> </w:t>
      </w:r>
      <w:r>
        <w:rPr/>
        <w:t>dental</w:t>
      </w:r>
      <w:r>
        <w:rPr>
          <w:spacing w:val="-6"/>
        </w:rPr>
        <w:t> </w:t>
      </w:r>
      <w:r>
        <w:rPr/>
        <w:t>and</w:t>
      </w:r>
      <w:r>
        <w:rPr>
          <w:spacing w:val="-4"/>
        </w:rPr>
        <w:t> </w:t>
      </w:r>
      <w:r>
        <w:rPr>
          <w:spacing w:val="-2"/>
        </w:rPr>
        <w:t>psychological)</w:t>
      </w:r>
    </w:p>
    <w:p>
      <w:pPr>
        <w:pStyle w:val="BodyText"/>
        <w:spacing w:line="208" w:lineRule="auto" w:before="233"/>
        <w:ind w:left="359" w:right="778" w:firstLine="432"/>
      </w:pPr>
      <w:r>
        <w:rPr/>
        <w:t>Medical, dental and psychological consultants are employed by the Department to provide review, evaluation, advice, guidance, and staff training regarding the medical and</w:t>
      </w:r>
      <w:r>
        <w:rPr>
          <w:spacing w:val="-4"/>
        </w:rPr>
        <w:t> </w:t>
      </w:r>
      <w:r>
        <w:rPr/>
        <w:t>psychological</w:t>
      </w:r>
      <w:r>
        <w:rPr>
          <w:spacing w:val="-4"/>
        </w:rPr>
        <w:t> </w:t>
      </w:r>
      <w:r>
        <w:rPr/>
        <w:t>aspects</w:t>
      </w:r>
      <w:r>
        <w:rPr>
          <w:spacing w:val="-4"/>
        </w:rPr>
        <w:t> </w:t>
      </w:r>
      <w:r>
        <w:rPr/>
        <w:t>of</w:t>
      </w:r>
      <w:r>
        <w:rPr>
          <w:spacing w:val="-5"/>
        </w:rPr>
        <w:t> </w:t>
      </w:r>
      <w:r>
        <w:rPr/>
        <w:t>the</w:t>
      </w:r>
      <w:r>
        <w:rPr>
          <w:spacing w:val="-5"/>
        </w:rPr>
        <w:t> </w:t>
      </w:r>
      <w:r>
        <w:rPr/>
        <w:t>rehabilitation</w:t>
      </w:r>
      <w:r>
        <w:rPr>
          <w:spacing w:val="-4"/>
        </w:rPr>
        <w:t> </w:t>
      </w:r>
      <w:r>
        <w:rPr/>
        <w:t>process.</w:t>
      </w:r>
      <w:r>
        <w:rPr>
          <w:spacing w:val="-5"/>
        </w:rPr>
        <w:t> </w:t>
      </w:r>
      <w:r>
        <w:rPr/>
        <w:t>The</w:t>
      </w:r>
      <w:r>
        <w:rPr>
          <w:spacing w:val="-4"/>
        </w:rPr>
        <w:t> </w:t>
      </w:r>
      <w:r>
        <w:rPr/>
        <w:t>major</w:t>
      </w:r>
      <w:r>
        <w:rPr>
          <w:spacing w:val="-3"/>
        </w:rPr>
        <w:t> </w:t>
      </w:r>
      <w:r>
        <w:rPr/>
        <w:t>role</w:t>
      </w:r>
      <w:r>
        <w:rPr>
          <w:spacing w:val="-4"/>
        </w:rPr>
        <w:t> </w:t>
      </w:r>
      <w:r>
        <w:rPr/>
        <w:t>of</w:t>
      </w:r>
      <w:r>
        <w:rPr>
          <w:spacing w:val="-3"/>
        </w:rPr>
        <w:t> </w:t>
      </w:r>
      <w:r>
        <w:rPr/>
        <w:t>the</w:t>
      </w:r>
      <w:r>
        <w:rPr>
          <w:spacing w:val="-4"/>
        </w:rPr>
        <w:t> </w:t>
      </w:r>
      <w:r>
        <w:rPr/>
        <w:t>consultant is to serve as a resource in providing and interpreting medical and psychological information which will assist staff in making sound decisions regarding eligibility and plans of service. The consultant will advise staff, as requested, regarding the functional limitations and prognosis of the medical, dental or psychological assessment. The consultant may be asked to review medical, dental or psychological reports to determine whether the reports are sufficiently clear and complete for use by staff in determining eligibility or planning services.</w:t>
      </w:r>
    </w:p>
    <w:p>
      <w:pPr>
        <w:pStyle w:val="ListParagraph"/>
        <w:numPr>
          <w:ilvl w:val="0"/>
          <w:numId w:val="76"/>
        </w:numPr>
        <w:tabs>
          <w:tab w:pos="1217" w:val="left" w:leader="none"/>
        </w:tabs>
        <w:spacing w:line="208" w:lineRule="auto" w:before="239" w:after="0"/>
        <w:ind w:left="791" w:right="888" w:firstLine="0"/>
        <w:jc w:val="left"/>
        <w:rPr>
          <w:sz w:val="24"/>
        </w:rPr>
      </w:pPr>
      <w:r>
        <w:rPr>
          <w:b/>
          <w:sz w:val="24"/>
        </w:rPr>
        <w:t>Consultant's responsibility. </w:t>
      </w:r>
      <w:r>
        <w:rPr>
          <w:sz w:val="24"/>
        </w:rPr>
        <w:t>The appropriate consultant can help interpret available data and recommends appropriate additional diagnosis. The consultant assists</w:t>
      </w:r>
      <w:r>
        <w:rPr>
          <w:spacing w:val="-4"/>
          <w:sz w:val="24"/>
        </w:rPr>
        <w:t> </w:t>
      </w:r>
      <w:r>
        <w:rPr>
          <w:sz w:val="24"/>
        </w:rPr>
        <w:t>staff</w:t>
      </w:r>
      <w:r>
        <w:rPr>
          <w:spacing w:val="-3"/>
          <w:sz w:val="24"/>
        </w:rPr>
        <w:t> </w:t>
      </w:r>
      <w:r>
        <w:rPr>
          <w:sz w:val="24"/>
        </w:rPr>
        <w:t>in</w:t>
      </w:r>
      <w:r>
        <w:rPr>
          <w:spacing w:val="-4"/>
          <w:sz w:val="24"/>
        </w:rPr>
        <w:t> </w:t>
      </w:r>
      <w:r>
        <w:rPr>
          <w:sz w:val="24"/>
        </w:rPr>
        <w:t>defining</w:t>
      </w:r>
      <w:r>
        <w:rPr>
          <w:spacing w:val="-3"/>
          <w:sz w:val="24"/>
        </w:rPr>
        <w:t> </w:t>
      </w:r>
      <w:r>
        <w:rPr>
          <w:sz w:val="24"/>
        </w:rPr>
        <w:t>the</w:t>
      </w:r>
      <w:r>
        <w:rPr>
          <w:spacing w:val="-4"/>
          <w:sz w:val="24"/>
        </w:rPr>
        <w:t> </w:t>
      </w:r>
      <w:r>
        <w:rPr>
          <w:sz w:val="24"/>
        </w:rPr>
        <w:t>client's</w:t>
      </w:r>
      <w:r>
        <w:rPr>
          <w:spacing w:val="-4"/>
          <w:sz w:val="24"/>
        </w:rPr>
        <w:t> </w:t>
      </w:r>
      <w:r>
        <w:rPr>
          <w:sz w:val="24"/>
        </w:rPr>
        <w:t>limitations,</w:t>
      </w:r>
      <w:r>
        <w:rPr>
          <w:spacing w:val="-3"/>
          <w:sz w:val="24"/>
        </w:rPr>
        <w:t> </w:t>
      </w:r>
      <w:r>
        <w:rPr>
          <w:sz w:val="24"/>
        </w:rPr>
        <w:t>strengths</w:t>
      </w:r>
      <w:r>
        <w:rPr>
          <w:spacing w:val="-5"/>
          <w:sz w:val="24"/>
        </w:rPr>
        <w:t> </w:t>
      </w:r>
      <w:r>
        <w:rPr>
          <w:sz w:val="24"/>
        </w:rPr>
        <w:t>and</w:t>
      </w:r>
      <w:r>
        <w:rPr>
          <w:spacing w:val="-4"/>
          <w:sz w:val="24"/>
        </w:rPr>
        <w:t> </w:t>
      </w:r>
      <w:r>
        <w:rPr>
          <w:sz w:val="24"/>
        </w:rPr>
        <w:t>medical,</w:t>
      </w:r>
      <w:r>
        <w:rPr>
          <w:spacing w:val="-3"/>
          <w:sz w:val="24"/>
        </w:rPr>
        <w:t> </w:t>
      </w:r>
      <w:r>
        <w:rPr>
          <w:sz w:val="24"/>
        </w:rPr>
        <w:t>dental</w:t>
      </w:r>
      <w:r>
        <w:rPr>
          <w:spacing w:val="-4"/>
          <w:sz w:val="24"/>
        </w:rPr>
        <w:t> </w:t>
      </w:r>
      <w:r>
        <w:rPr>
          <w:sz w:val="24"/>
        </w:rPr>
        <w:t>and/or psychological potential for employment.</w:t>
      </w:r>
    </w:p>
    <w:p>
      <w:pPr>
        <w:pStyle w:val="ListParagraph"/>
        <w:numPr>
          <w:ilvl w:val="0"/>
          <w:numId w:val="76"/>
        </w:numPr>
        <w:tabs>
          <w:tab w:pos="1217" w:val="left" w:leader="none"/>
        </w:tabs>
        <w:spacing w:line="208" w:lineRule="auto" w:before="239" w:after="0"/>
        <w:ind w:left="791" w:right="938" w:firstLine="0"/>
        <w:jc w:val="left"/>
        <w:rPr>
          <w:sz w:val="24"/>
        </w:rPr>
      </w:pPr>
      <w:r>
        <w:rPr>
          <w:b/>
          <w:sz w:val="24"/>
        </w:rPr>
        <w:t>Nature</w:t>
      </w:r>
      <w:r>
        <w:rPr>
          <w:b/>
          <w:spacing w:val="-5"/>
          <w:sz w:val="24"/>
        </w:rPr>
        <w:t> </w:t>
      </w:r>
      <w:r>
        <w:rPr>
          <w:b/>
          <w:sz w:val="24"/>
        </w:rPr>
        <w:t>and</w:t>
      </w:r>
      <w:r>
        <w:rPr>
          <w:b/>
          <w:spacing w:val="-4"/>
          <w:sz w:val="24"/>
        </w:rPr>
        <w:t> </w:t>
      </w:r>
      <w:r>
        <w:rPr>
          <w:b/>
          <w:sz w:val="24"/>
        </w:rPr>
        <w:t>scope</w:t>
      </w:r>
      <w:r>
        <w:rPr>
          <w:b/>
          <w:spacing w:val="-4"/>
          <w:sz w:val="24"/>
        </w:rPr>
        <w:t> </w:t>
      </w:r>
      <w:r>
        <w:rPr>
          <w:b/>
          <w:sz w:val="24"/>
        </w:rPr>
        <w:t>of</w:t>
      </w:r>
      <w:r>
        <w:rPr>
          <w:b/>
          <w:spacing w:val="-3"/>
          <w:sz w:val="24"/>
        </w:rPr>
        <w:t> </w:t>
      </w:r>
      <w:r>
        <w:rPr>
          <w:b/>
          <w:sz w:val="24"/>
        </w:rPr>
        <w:t>services</w:t>
      </w:r>
      <w:r>
        <w:rPr>
          <w:b/>
          <w:spacing w:val="-4"/>
          <w:sz w:val="24"/>
        </w:rPr>
        <w:t> </w:t>
      </w:r>
      <w:r>
        <w:rPr>
          <w:b/>
          <w:sz w:val="24"/>
        </w:rPr>
        <w:t>in</w:t>
      </w:r>
      <w:r>
        <w:rPr>
          <w:b/>
          <w:spacing w:val="-4"/>
          <w:sz w:val="24"/>
        </w:rPr>
        <w:t> </w:t>
      </w:r>
      <w:r>
        <w:rPr>
          <w:b/>
          <w:sz w:val="24"/>
        </w:rPr>
        <w:t>Individualized</w:t>
      </w:r>
      <w:r>
        <w:rPr>
          <w:b/>
          <w:spacing w:val="-5"/>
          <w:sz w:val="24"/>
        </w:rPr>
        <w:t> </w:t>
      </w:r>
      <w:r>
        <w:rPr>
          <w:b/>
          <w:sz w:val="24"/>
        </w:rPr>
        <w:t>Plan</w:t>
      </w:r>
      <w:r>
        <w:rPr>
          <w:b/>
          <w:spacing w:val="-4"/>
          <w:sz w:val="24"/>
        </w:rPr>
        <w:t> </w:t>
      </w:r>
      <w:r>
        <w:rPr>
          <w:b/>
          <w:sz w:val="24"/>
        </w:rPr>
        <w:t>for</w:t>
      </w:r>
      <w:r>
        <w:rPr>
          <w:b/>
          <w:spacing w:val="-4"/>
          <w:sz w:val="24"/>
        </w:rPr>
        <w:t> </w:t>
      </w:r>
      <w:r>
        <w:rPr>
          <w:b/>
          <w:sz w:val="24"/>
        </w:rPr>
        <w:t>Employment.</w:t>
      </w:r>
      <w:r>
        <w:rPr>
          <w:b/>
          <w:spacing w:val="-3"/>
          <w:sz w:val="24"/>
        </w:rPr>
        <w:t> </w:t>
      </w:r>
      <w:r>
        <w:rPr>
          <w:sz w:val="24"/>
        </w:rPr>
        <w:t>The consultant assists staff in determining specific services of physical and/or mental restoration appropriate to achieving the employment outcome planned in the IPE.</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6-14-99</w:t>
      </w:r>
      <w:r>
        <w:rPr>
          <w:sz w:val="22"/>
        </w:rPr>
        <w:tab/>
        <w:t>POL Memo #99-7</w:t>
      </w:r>
    </w:p>
    <w:p>
      <w:pPr>
        <w:tabs>
          <w:tab w:pos="1439" w:val="left" w:leader="none"/>
        </w:tabs>
        <w:spacing w:before="1"/>
        <w:ind w:left="359" w:right="1028" w:firstLine="1080"/>
        <w:jc w:val="left"/>
        <w:rPr>
          <w:sz w:val="22"/>
        </w:rPr>
      </w:pPr>
      <w:r>
        <w:rPr>
          <w:sz w:val="22"/>
        </w:rPr>
        <w:t>Emergency,</w:t>
      </w:r>
      <w:r>
        <w:rPr>
          <w:spacing w:val="-4"/>
          <w:sz w:val="22"/>
        </w:rPr>
        <w:t> </w:t>
      </w:r>
      <w:r>
        <w:rPr>
          <w:sz w:val="22"/>
        </w:rPr>
        <w:t>Updated</w:t>
      </w:r>
      <w:r>
        <w:rPr>
          <w:spacing w:val="-4"/>
          <w:sz w:val="22"/>
        </w:rPr>
        <w:t> </w:t>
      </w:r>
      <w:r>
        <w:rPr>
          <w:sz w:val="22"/>
        </w:rPr>
        <w:t>IRP</w:t>
      </w:r>
      <w:r>
        <w:rPr>
          <w:spacing w:val="-4"/>
          <w:sz w:val="22"/>
        </w:rPr>
        <w:t> </w:t>
      </w:r>
      <w:r>
        <w:rPr>
          <w:sz w:val="22"/>
        </w:rPr>
        <w:t>to</w:t>
      </w:r>
      <w:r>
        <w:rPr>
          <w:spacing w:val="-4"/>
          <w:sz w:val="22"/>
        </w:rPr>
        <w:t> </w:t>
      </w:r>
      <w:r>
        <w:rPr>
          <w:sz w:val="22"/>
        </w:rPr>
        <w:t>IPE</w:t>
      </w:r>
      <w:r>
        <w:rPr>
          <w:spacing w:val="-4"/>
          <w:sz w:val="22"/>
        </w:rPr>
        <w:t> </w:t>
      </w:r>
      <w:r>
        <w:rPr>
          <w:sz w:val="22"/>
        </w:rPr>
        <w:t>and</w:t>
      </w:r>
      <w:r>
        <w:rPr>
          <w:spacing w:val="-4"/>
          <w:sz w:val="22"/>
        </w:rPr>
        <w:t> </w:t>
      </w:r>
      <w:r>
        <w:rPr>
          <w:sz w:val="22"/>
        </w:rPr>
        <w:t>vocational</w:t>
      </w:r>
      <w:r>
        <w:rPr>
          <w:spacing w:val="-5"/>
          <w:sz w:val="22"/>
        </w:rPr>
        <w:t> </w:t>
      </w:r>
      <w:r>
        <w:rPr>
          <w:sz w:val="22"/>
        </w:rPr>
        <w:t>objective</w:t>
      </w:r>
      <w:r>
        <w:rPr>
          <w:spacing w:val="-4"/>
          <w:sz w:val="22"/>
        </w:rPr>
        <w:t> </w:t>
      </w:r>
      <w:r>
        <w:rPr>
          <w:sz w:val="22"/>
        </w:rPr>
        <w:t>to</w:t>
      </w:r>
      <w:r>
        <w:rPr>
          <w:spacing w:val="-5"/>
          <w:sz w:val="22"/>
        </w:rPr>
        <w:t> </w:t>
      </w:r>
      <w:r>
        <w:rPr>
          <w:sz w:val="22"/>
        </w:rPr>
        <w:t>employment</w:t>
      </w:r>
      <w:r>
        <w:rPr>
          <w:spacing w:val="-4"/>
          <w:sz w:val="22"/>
        </w:rPr>
        <w:t> </w:t>
      </w:r>
      <w:r>
        <w:rPr>
          <w:sz w:val="22"/>
        </w:rPr>
        <w:t>outcome </w:t>
      </w:r>
      <w:r>
        <w:rPr>
          <w:spacing w:val="-2"/>
          <w:sz w:val="22"/>
        </w:rPr>
        <w:t>7-1-99</w:t>
      </w:r>
      <w:r>
        <w:rPr>
          <w:sz w:val="22"/>
        </w:rPr>
        <w:tab/>
        <w:t>POL Memo #00-1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7-1-11</w:t>
      </w:r>
      <w:r>
        <w:rPr>
          <w:sz w:val="22"/>
        </w:rPr>
        <w:tab/>
        <w:t>PT Memo #12-01</w:t>
      </w:r>
    </w:p>
    <w:p>
      <w:pPr>
        <w:spacing w:before="0"/>
        <w:ind w:left="1439" w:right="0" w:firstLine="0"/>
        <w:jc w:val="left"/>
        <w:rPr>
          <w:sz w:val="22"/>
        </w:rPr>
      </w:pPr>
      <w:r>
        <w:rPr>
          <w:sz w:val="22"/>
        </w:rPr>
        <w:t>Permanent,</w:t>
      </w:r>
      <w:r>
        <w:rPr>
          <w:spacing w:val="-10"/>
          <w:sz w:val="22"/>
        </w:rPr>
        <w:t> </w:t>
      </w:r>
      <w:r>
        <w:rPr>
          <w:sz w:val="22"/>
        </w:rPr>
        <w:t>deleted</w:t>
      </w:r>
      <w:r>
        <w:rPr>
          <w:spacing w:val="-9"/>
          <w:sz w:val="22"/>
        </w:rPr>
        <w:t> </w:t>
      </w:r>
      <w:r>
        <w:rPr>
          <w:sz w:val="22"/>
        </w:rPr>
        <w:t>obsolete</w:t>
      </w:r>
      <w:r>
        <w:rPr>
          <w:spacing w:val="-10"/>
          <w:sz w:val="22"/>
        </w:rPr>
        <w:t> </w:t>
      </w:r>
      <w:r>
        <w:rPr>
          <w:spacing w:val="-2"/>
          <w:sz w:val="22"/>
        </w:rPr>
        <w:t>provisions</w:t>
      </w:r>
    </w:p>
    <w:p>
      <w:pPr>
        <w:spacing w:after="0"/>
        <w:jc w:val="left"/>
        <w:rPr>
          <w:sz w:val="22"/>
        </w:rPr>
        <w:sectPr>
          <w:pgSz w:w="12240" w:h="15840"/>
          <w:pgMar w:top="1340" w:bottom="280" w:left="1080" w:right="720"/>
        </w:sectPr>
      </w:pPr>
    </w:p>
    <w:p>
      <w:pPr>
        <w:pStyle w:val="Heading2"/>
      </w:pPr>
      <w:bookmarkStart w:name="612:10-1-5.  Confidentiality" w:id="99"/>
      <w:bookmarkEnd w:id="99"/>
      <w:r>
        <w:rPr>
          <w:b w:val="0"/>
        </w:rPr>
      </w:r>
      <w:bookmarkStart w:name="_bookmark3" w:id="100"/>
      <w:bookmarkEnd w:id="100"/>
      <w:r>
        <w:rPr>
          <w:b w:val="0"/>
        </w:rPr>
      </w:r>
      <w:r>
        <w:rPr/>
        <w:t>612:10-1-5.</w:t>
      </w:r>
      <w:r>
        <w:rPr>
          <w:spacing w:val="60"/>
        </w:rPr>
        <w:t> </w:t>
      </w:r>
      <w:r>
        <w:rPr>
          <w:spacing w:val="-2"/>
        </w:rPr>
        <w:t>Confidentiality</w:t>
      </w:r>
    </w:p>
    <w:p>
      <w:pPr>
        <w:pStyle w:val="ListParagraph"/>
        <w:numPr>
          <w:ilvl w:val="0"/>
          <w:numId w:val="77"/>
        </w:numPr>
        <w:tabs>
          <w:tab w:pos="785" w:val="left" w:leader="none"/>
        </w:tabs>
        <w:spacing w:line="208" w:lineRule="auto" w:before="233" w:after="0"/>
        <w:ind w:left="360" w:right="779" w:firstLine="0"/>
        <w:jc w:val="left"/>
        <w:rPr>
          <w:sz w:val="24"/>
        </w:rPr>
      </w:pPr>
      <w:r>
        <w:rPr>
          <w:b/>
          <w:sz w:val="24"/>
        </w:rPr>
        <w:t>General guidelines. </w:t>
      </w:r>
      <w:r>
        <w:rPr>
          <w:sz w:val="24"/>
        </w:rPr>
        <w:t>All client or applicant information acquired will remain the property of DRS. All casework materials are to be maintained in the appropriate record of service in the electronic case management system to safeguard the confidentiality of all personal information, including photographs and lists of names. The terms "release of information", "release of personal information", and similar terms refer to providing access to the record, or providing copies, summaries, descriptions, or other reproductions of the actual case record materials and not to the materials themselves. All applicants, clients, or client representatives will be informed of the Department's policies</w:t>
      </w:r>
      <w:r>
        <w:rPr>
          <w:spacing w:val="-4"/>
          <w:sz w:val="24"/>
        </w:rPr>
        <w:t> </w:t>
      </w:r>
      <w:r>
        <w:rPr>
          <w:sz w:val="24"/>
        </w:rPr>
        <w:t>on</w:t>
      </w:r>
      <w:r>
        <w:rPr>
          <w:spacing w:val="-3"/>
          <w:sz w:val="24"/>
        </w:rPr>
        <w:t> </w:t>
      </w:r>
      <w:r>
        <w:rPr>
          <w:sz w:val="24"/>
        </w:rPr>
        <w:t>confidentiality</w:t>
      </w:r>
      <w:r>
        <w:rPr>
          <w:spacing w:val="-4"/>
          <w:sz w:val="24"/>
        </w:rPr>
        <w:t> </w:t>
      </w:r>
      <w:r>
        <w:rPr>
          <w:sz w:val="24"/>
        </w:rPr>
        <w:t>of</w:t>
      </w:r>
      <w:r>
        <w:rPr>
          <w:spacing w:val="-3"/>
          <w:sz w:val="24"/>
        </w:rPr>
        <w:t> </w:t>
      </w:r>
      <w:r>
        <w:rPr>
          <w:sz w:val="24"/>
        </w:rPr>
        <w:t>personal</w:t>
      </w:r>
      <w:r>
        <w:rPr>
          <w:spacing w:val="-4"/>
          <w:sz w:val="24"/>
        </w:rPr>
        <w:t> </w:t>
      </w:r>
      <w:r>
        <w:rPr>
          <w:sz w:val="24"/>
        </w:rPr>
        <w:t>information.</w:t>
      </w:r>
      <w:r>
        <w:rPr>
          <w:spacing w:val="-3"/>
          <w:sz w:val="24"/>
        </w:rPr>
        <w:t> </w:t>
      </w:r>
      <w:r>
        <w:rPr>
          <w:sz w:val="24"/>
        </w:rPr>
        <w:t>This</w:t>
      </w:r>
      <w:r>
        <w:rPr>
          <w:spacing w:val="-4"/>
          <w:sz w:val="24"/>
        </w:rPr>
        <w:t> </w:t>
      </w:r>
      <w:r>
        <w:rPr>
          <w:sz w:val="24"/>
        </w:rPr>
        <w:t>information</w:t>
      </w:r>
      <w:r>
        <w:rPr>
          <w:spacing w:val="-5"/>
          <w:sz w:val="24"/>
        </w:rPr>
        <w:t> </w:t>
      </w:r>
      <w:r>
        <w:rPr>
          <w:sz w:val="24"/>
        </w:rPr>
        <w:t>will</w:t>
      </w:r>
      <w:r>
        <w:rPr>
          <w:spacing w:val="-4"/>
          <w:sz w:val="24"/>
        </w:rPr>
        <w:t> </w:t>
      </w:r>
      <w:r>
        <w:rPr>
          <w:sz w:val="24"/>
        </w:rPr>
        <w:t>only</w:t>
      </w:r>
      <w:r>
        <w:rPr>
          <w:spacing w:val="-4"/>
          <w:sz w:val="24"/>
        </w:rPr>
        <w:t> </w:t>
      </w:r>
      <w:r>
        <w:rPr>
          <w:sz w:val="24"/>
        </w:rPr>
        <w:t>be</w:t>
      </w:r>
      <w:r>
        <w:rPr>
          <w:spacing w:val="-3"/>
          <w:sz w:val="24"/>
        </w:rPr>
        <w:t> </w:t>
      </w:r>
      <w:r>
        <w:rPr>
          <w:sz w:val="24"/>
        </w:rPr>
        <w:t>used</w:t>
      </w:r>
      <w:r>
        <w:rPr>
          <w:spacing w:val="-4"/>
          <w:sz w:val="24"/>
        </w:rPr>
        <w:t> </w:t>
      </w:r>
      <w:r>
        <w:rPr>
          <w:sz w:val="24"/>
        </w:rPr>
        <w:t>and released for purposes directly related to the administration of the Vocational Rehabilitation and Services for the Blind and Visually Impaired programs. Information containing identifiable personal information will not be shared with advisory or other bodies who do not have official responsibility for the administration of these programs. In the administration of the program, the DVR and DSBVI units may obtain personal information from service providers and cooperating agencies under assurances the information will not be further divulged. Use and release of personal information will conform to applicable state and federal laws and regulations. Questions regarding release of information are to be directed to the Department's general counsel. Staff are to consult the general counsel before providing trial testimony, depositional testimony, or a sworn affidavit concerning consumer information. Moreover, if served with a subpoena for the release of client information, staff should notify the general counsel immediately. In a legal proceeding, client information can only be released without the client's consent in response to a court order. A subpoena by itself is not sufficient to authorize disclosure of client information.</w:t>
      </w:r>
    </w:p>
    <w:p>
      <w:pPr>
        <w:pStyle w:val="ListParagraph"/>
        <w:numPr>
          <w:ilvl w:val="0"/>
          <w:numId w:val="77"/>
        </w:numPr>
        <w:tabs>
          <w:tab w:pos="785" w:val="left" w:leader="none"/>
        </w:tabs>
        <w:spacing w:line="208" w:lineRule="auto" w:before="237" w:after="0"/>
        <w:ind w:left="360" w:right="726" w:firstLine="0"/>
        <w:jc w:val="left"/>
        <w:rPr>
          <w:sz w:val="24"/>
        </w:rPr>
      </w:pPr>
      <w:r>
        <w:rPr>
          <w:b/>
          <w:sz w:val="24"/>
        </w:rPr>
        <w:t>Written release required. </w:t>
      </w:r>
      <w:r>
        <w:rPr>
          <w:sz w:val="24"/>
        </w:rPr>
        <w:t>Release of personal information must be by written consent of the individual or authorized individual's representative. If requested in writing by an applicant or eligible individual, DRS will make all requested information in that individual's record of services available to the individual in a timely manner except as provided in subsection (c). The Department's Authorization for Release of Information form may be used when the client requests that personal information be released by DRS</w:t>
      </w:r>
      <w:r>
        <w:rPr>
          <w:spacing w:val="-3"/>
          <w:sz w:val="24"/>
        </w:rPr>
        <w:t> </w:t>
      </w:r>
      <w:r>
        <w:rPr>
          <w:sz w:val="24"/>
        </w:rPr>
        <w:t>to</w:t>
      </w:r>
      <w:r>
        <w:rPr>
          <w:spacing w:val="-3"/>
          <w:sz w:val="24"/>
        </w:rPr>
        <w:t> </w:t>
      </w:r>
      <w:r>
        <w:rPr>
          <w:sz w:val="24"/>
        </w:rPr>
        <w:t>a</w:t>
      </w:r>
      <w:r>
        <w:rPr>
          <w:spacing w:val="-3"/>
          <w:sz w:val="24"/>
        </w:rPr>
        <w:t> </w:t>
      </w:r>
      <w:r>
        <w:rPr>
          <w:sz w:val="24"/>
        </w:rPr>
        <w:t>third</w:t>
      </w:r>
      <w:r>
        <w:rPr>
          <w:spacing w:val="-3"/>
          <w:sz w:val="24"/>
        </w:rPr>
        <w:t> </w:t>
      </w:r>
      <w:r>
        <w:rPr>
          <w:sz w:val="24"/>
        </w:rPr>
        <w:t>party</w:t>
      </w:r>
      <w:r>
        <w:rPr>
          <w:spacing w:val="-3"/>
          <w:sz w:val="24"/>
        </w:rPr>
        <w:t> </w:t>
      </w:r>
      <w:r>
        <w:rPr>
          <w:sz w:val="24"/>
        </w:rPr>
        <w:t>and</w:t>
      </w:r>
      <w:r>
        <w:rPr>
          <w:spacing w:val="-3"/>
          <w:sz w:val="24"/>
        </w:rPr>
        <w:t> </w:t>
      </w:r>
      <w:r>
        <w:rPr>
          <w:sz w:val="24"/>
        </w:rPr>
        <w:t>may</w:t>
      </w:r>
      <w:r>
        <w:rPr>
          <w:spacing w:val="-3"/>
          <w:sz w:val="24"/>
        </w:rPr>
        <w:t> </w:t>
      </w:r>
      <w:r>
        <w:rPr>
          <w:sz w:val="24"/>
        </w:rPr>
        <w:t>also</w:t>
      </w:r>
      <w:r>
        <w:rPr>
          <w:spacing w:val="-3"/>
          <w:sz w:val="24"/>
        </w:rPr>
        <w:t> </w:t>
      </w:r>
      <w:r>
        <w:rPr>
          <w:sz w:val="24"/>
        </w:rPr>
        <w:t>be</w:t>
      </w:r>
      <w:r>
        <w:rPr>
          <w:spacing w:val="-3"/>
          <w:sz w:val="24"/>
        </w:rPr>
        <w:t> </w:t>
      </w:r>
      <w:r>
        <w:rPr>
          <w:sz w:val="24"/>
        </w:rPr>
        <w:t>used</w:t>
      </w:r>
      <w:r>
        <w:rPr>
          <w:spacing w:val="-3"/>
          <w:sz w:val="24"/>
        </w:rPr>
        <w:t> </w:t>
      </w:r>
      <w:r>
        <w:rPr>
          <w:sz w:val="24"/>
        </w:rPr>
        <w:t>to</w:t>
      </w:r>
      <w:r>
        <w:rPr>
          <w:spacing w:val="-3"/>
          <w:sz w:val="24"/>
        </w:rPr>
        <w:t> </w:t>
      </w:r>
      <w:r>
        <w:rPr>
          <w:sz w:val="24"/>
        </w:rPr>
        <w:t>request</w:t>
      </w:r>
      <w:r>
        <w:rPr>
          <w:spacing w:val="-2"/>
          <w:sz w:val="24"/>
        </w:rPr>
        <w:t> </w:t>
      </w:r>
      <w:r>
        <w:rPr>
          <w:sz w:val="24"/>
        </w:rPr>
        <w:t>confidential</w:t>
      </w:r>
      <w:r>
        <w:rPr>
          <w:spacing w:val="-3"/>
          <w:sz w:val="24"/>
        </w:rPr>
        <w:t> </w:t>
      </w:r>
      <w:r>
        <w:rPr>
          <w:sz w:val="24"/>
        </w:rPr>
        <w:t>information</w:t>
      </w:r>
      <w:r>
        <w:rPr>
          <w:spacing w:val="-4"/>
          <w:sz w:val="24"/>
        </w:rPr>
        <w:t> </w:t>
      </w:r>
      <w:r>
        <w:rPr>
          <w:sz w:val="24"/>
        </w:rPr>
        <w:t>from</w:t>
      </w:r>
      <w:r>
        <w:rPr>
          <w:spacing w:val="-2"/>
          <w:sz w:val="24"/>
        </w:rPr>
        <w:t> </w:t>
      </w:r>
      <w:r>
        <w:rPr>
          <w:sz w:val="24"/>
        </w:rPr>
        <w:t>other sources. Other release forms are acceptable, as long as they provide the required information. Written authorization for release of information must include:</w:t>
      </w:r>
    </w:p>
    <w:p>
      <w:pPr>
        <w:pStyle w:val="ListParagraph"/>
        <w:numPr>
          <w:ilvl w:val="1"/>
          <w:numId w:val="77"/>
        </w:numPr>
        <w:tabs>
          <w:tab w:pos="1216" w:val="left" w:leader="none"/>
        </w:tabs>
        <w:spacing w:line="240" w:lineRule="auto" w:before="210" w:after="0"/>
        <w:ind w:left="1216" w:right="0" w:hanging="425"/>
        <w:jc w:val="left"/>
        <w:rPr>
          <w:sz w:val="24"/>
        </w:rPr>
      </w:pPr>
      <w:r>
        <w:rPr>
          <w:sz w:val="24"/>
        </w:rPr>
        <w:t>the</w:t>
      </w:r>
      <w:r>
        <w:rPr>
          <w:spacing w:val="-5"/>
          <w:sz w:val="24"/>
        </w:rPr>
        <w:t> </w:t>
      </w:r>
      <w:r>
        <w:rPr>
          <w:sz w:val="24"/>
        </w:rPr>
        <w:t>nature</w:t>
      </w:r>
      <w:r>
        <w:rPr>
          <w:spacing w:val="-2"/>
          <w:sz w:val="24"/>
        </w:rPr>
        <w:t> </w:t>
      </w:r>
      <w:r>
        <w:rPr>
          <w:sz w:val="24"/>
        </w:rPr>
        <w:t>of</w:t>
      </w:r>
      <w:r>
        <w:rPr>
          <w:spacing w:val="-1"/>
          <w:sz w:val="24"/>
        </w:rPr>
        <w:t> </w:t>
      </w:r>
      <w:r>
        <w:rPr>
          <w:sz w:val="24"/>
        </w:rPr>
        <w:t>the</w:t>
      </w:r>
      <w:r>
        <w:rPr>
          <w:spacing w:val="-2"/>
          <w:sz w:val="24"/>
        </w:rPr>
        <w:t> </w:t>
      </w:r>
      <w:r>
        <w:rPr>
          <w:sz w:val="24"/>
        </w:rPr>
        <w:t>information</w:t>
      </w:r>
      <w:r>
        <w:rPr>
          <w:spacing w:val="-3"/>
          <w:sz w:val="24"/>
        </w:rPr>
        <w:t> </w:t>
      </w:r>
      <w:r>
        <w:rPr>
          <w:sz w:val="24"/>
        </w:rPr>
        <w:t>to</w:t>
      </w:r>
      <w:r>
        <w:rPr>
          <w:spacing w:val="-2"/>
          <w:sz w:val="24"/>
        </w:rPr>
        <w:t> </w:t>
      </w:r>
      <w:r>
        <w:rPr>
          <w:sz w:val="24"/>
        </w:rPr>
        <w:t>be</w:t>
      </w:r>
      <w:r>
        <w:rPr>
          <w:spacing w:val="-2"/>
          <w:sz w:val="24"/>
        </w:rPr>
        <w:t> released;</w:t>
      </w:r>
    </w:p>
    <w:p>
      <w:pPr>
        <w:pStyle w:val="ListParagraph"/>
        <w:numPr>
          <w:ilvl w:val="1"/>
          <w:numId w:val="77"/>
        </w:numPr>
        <w:tabs>
          <w:tab w:pos="1217" w:val="left" w:leader="none"/>
        </w:tabs>
        <w:spacing w:line="240" w:lineRule="auto" w:before="204" w:after="0"/>
        <w:ind w:left="1217" w:right="0" w:hanging="426"/>
        <w:jc w:val="left"/>
        <w:rPr>
          <w:sz w:val="24"/>
        </w:rPr>
      </w:pPr>
      <w:r>
        <w:rPr>
          <w:sz w:val="24"/>
        </w:rPr>
        <w:t>designation</w:t>
      </w:r>
      <w:r>
        <w:rPr>
          <w:spacing w:val="-5"/>
          <w:sz w:val="24"/>
        </w:rPr>
        <w:t> </w:t>
      </w:r>
      <w:r>
        <w:rPr>
          <w:sz w:val="24"/>
        </w:rPr>
        <w:t>of</w:t>
      </w:r>
      <w:r>
        <w:rPr>
          <w:spacing w:val="-1"/>
          <w:sz w:val="24"/>
        </w:rPr>
        <w:t> </w:t>
      </w:r>
      <w:r>
        <w:rPr>
          <w:sz w:val="24"/>
        </w:rPr>
        <w:t>the</w:t>
      </w:r>
      <w:r>
        <w:rPr>
          <w:spacing w:val="-3"/>
          <w:sz w:val="24"/>
        </w:rPr>
        <w:t> </w:t>
      </w:r>
      <w:r>
        <w:rPr>
          <w:sz w:val="24"/>
        </w:rPr>
        <w:t>parties</w:t>
      </w:r>
      <w:r>
        <w:rPr>
          <w:spacing w:val="-2"/>
          <w:sz w:val="24"/>
        </w:rPr>
        <w:t> </w:t>
      </w:r>
      <w:r>
        <w:rPr>
          <w:sz w:val="24"/>
        </w:rPr>
        <w:t>to</w:t>
      </w:r>
      <w:r>
        <w:rPr>
          <w:spacing w:val="-3"/>
          <w:sz w:val="24"/>
        </w:rPr>
        <w:t> </w:t>
      </w:r>
      <w:r>
        <w:rPr>
          <w:sz w:val="24"/>
        </w:rPr>
        <w:t>whom</w:t>
      </w:r>
      <w:r>
        <w:rPr>
          <w:spacing w:val="-2"/>
          <w:sz w:val="24"/>
        </w:rPr>
        <w:t> </w:t>
      </w:r>
      <w:r>
        <w:rPr>
          <w:sz w:val="24"/>
        </w:rPr>
        <w:t>the</w:t>
      </w:r>
      <w:r>
        <w:rPr>
          <w:spacing w:val="-2"/>
          <w:sz w:val="24"/>
        </w:rPr>
        <w:t> </w:t>
      </w:r>
      <w:r>
        <w:rPr>
          <w:sz w:val="24"/>
        </w:rPr>
        <w:t>information</w:t>
      </w:r>
      <w:r>
        <w:rPr>
          <w:spacing w:val="-3"/>
          <w:sz w:val="24"/>
        </w:rPr>
        <w:t> </w:t>
      </w:r>
      <w:r>
        <w:rPr>
          <w:sz w:val="24"/>
        </w:rPr>
        <w:t>is</w:t>
      </w:r>
      <w:r>
        <w:rPr>
          <w:spacing w:val="-3"/>
          <w:sz w:val="24"/>
        </w:rPr>
        <w:t> </w:t>
      </w:r>
      <w:r>
        <w:rPr>
          <w:sz w:val="24"/>
        </w:rPr>
        <w:t>to</w:t>
      </w:r>
      <w:r>
        <w:rPr>
          <w:spacing w:val="-2"/>
          <w:sz w:val="24"/>
        </w:rPr>
        <w:t> </w:t>
      </w:r>
      <w:r>
        <w:rPr>
          <w:sz w:val="24"/>
        </w:rPr>
        <w:t>be</w:t>
      </w:r>
      <w:r>
        <w:rPr>
          <w:spacing w:val="-2"/>
          <w:sz w:val="24"/>
        </w:rPr>
        <w:t> released;</w:t>
      </w:r>
    </w:p>
    <w:p>
      <w:pPr>
        <w:pStyle w:val="ListParagraph"/>
        <w:numPr>
          <w:ilvl w:val="1"/>
          <w:numId w:val="77"/>
        </w:numPr>
        <w:tabs>
          <w:tab w:pos="1216" w:val="left" w:leader="none"/>
        </w:tabs>
        <w:spacing w:line="240" w:lineRule="auto" w:before="204" w:after="0"/>
        <w:ind w:left="1216" w:right="0" w:hanging="425"/>
        <w:jc w:val="left"/>
        <w:rPr>
          <w:sz w:val="24"/>
        </w:rPr>
      </w:pPr>
      <w:r>
        <w:rPr>
          <w:sz w:val="24"/>
        </w:rPr>
        <w:t>the</w:t>
      </w:r>
      <w:r>
        <w:rPr>
          <w:spacing w:val="-5"/>
          <w:sz w:val="24"/>
        </w:rPr>
        <w:t> </w:t>
      </w:r>
      <w:r>
        <w:rPr>
          <w:sz w:val="24"/>
        </w:rPr>
        <w:t>specific</w:t>
      </w:r>
      <w:r>
        <w:rPr>
          <w:spacing w:val="-3"/>
          <w:sz w:val="24"/>
        </w:rPr>
        <w:t> </w:t>
      </w:r>
      <w:r>
        <w:rPr>
          <w:sz w:val="24"/>
        </w:rPr>
        <w:t>purpose</w:t>
      </w:r>
      <w:r>
        <w:rPr>
          <w:spacing w:val="-2"/>
          <w:sz w:val="24"/>
        </w:rPr>
        <w:t> </w:t>
      </w:r>
      <w:r>
        <w:rPr>
          <w:sz w:val="24"/>
        </w:rPr>
        <w:t>for</w:t>
      </w:r>
      <w:r>
        <w:rPr>
          <w:spacing w:val="-2"/>
          <w:sz w:val="24"/>
        </w:rPr>
        <w:t> </w:t>
      </w:r>
      <w:r>
        <w:rPr>
          <w:sz w:val="24"/>
        </w:rPr>
        <w:t>which</w:t>
      </w:r>
      <w:r>
        <w:rPr>
          <w:spacing w:val="-3"/>
          <w:sz w:val="24"/>
        </w:rPr>
        <w:t> </w:t>
      </w:r>
      <w:r>
        <w:rPr>
          <w:sz w:val="24"/>
        </w:rPr>
        <w:t>the</w:t>
      </w:r>
      <w:r>
        <w:rPr>
          <w:spacing w:val="-2"/>
          <w:sz w:val="24"/>
        </w:rPr>
        <w:t> </w:t>
      </w:r>
      <w:r>
        <w:rPr>
          <w:sz w:val="24"/>
        </w:rPr>
        <w:t>released</w:t>
      </w:r>
      <w:r>
        <w:rPr>
          <w:spacing w:val="-3"/>
          <w:sz w:val="24"/>
        </w:rPr>
        <w:t> </w:t>
      </w:r>
      <w:r>
        <w:rPr>
          <w:sz w:val="24"/>
        </w:rPr>
        <w:t>information</w:t>
      </w:r>
      <w:r>
        <w:rPr>
          <w:spacing w:val="-2"/>
          <w:sz w:val="24"/>
        </w:rPr>
        <w:t> </w:t>
      </w:r>
      <w:r>
        <w:rPr>
          <w:sz w:val="24"/>
        </w:rPr>
        <w:t>may</w:t>
      </w:r>
      <w:r>
        <w:rPr>
          <w:spacing w:val="-3"/>
          <w:sz w:val="24"/>
        </w:rPr>
        <w:t> </w:t>
      </w:r>
      <w:r>
        <w:rPr>
          <w:sz w:val="24"/>
        </w:rPr>
        <w:t>be</w:t>
      </w:r>
      <w:r>
        <w:rPr>
          <w:spacing w:val="-3"/>
          <w:sz w:val="24"/>
        </w:rPr>
        <w:t> </w:t>
      </w:r>
      <w:r>
        <w:rPr>
          <w:spacing w:val="-2"/>
          <w:sz w:val="24"/>
        </w:rPr>
        <w:t>used;</w:t>
      </w:r>
    </w:p>
    <w:p>
      <w:pPr>
        <w:pStyle w:val="ListParagraph"/>
        <w:numPr>
          <w:ilvl w:val="1"/>
          <w:numId w:val="77"/>
        </w:numPr>
        <w:tabs>
          <w:tab w:pos="1217" w:val="left" w:leader="none"/>
        </w:tabs>
        <w:spacing w:line="240" w:lineRule="auto" w:before="204" w:after="0"/>
        <w:ind w:left="1217" w:right="0" w:hanging="426"/>
        <w:jc w:val="left"/>
        <w:rPr>
          <w:sz w:val="24"/>
        </w:rPr>
      </w:pPr>
      <w:r>
        <w:rPr>
          <w:sz w:val="24"/>
        </w:rPr>
        <w:t>designation</w:t>
      </w:r>
      <w:r>
        <w:rPr>
          <w:spacing w:val="-6"/>
          <w:sz w:val="24"/>
        </w:rPr>
        <w:t> </w:t>
      </w:r>
      <w:r>
        <w:rPr>
          <w:sz w:val="24"/>
        </w:rPr>
        <w:t>of</w:t>
      </w:r>
      <w:r>
        <w:rPr>
          <w:spacing w:val="-2"/>
          <w:sz w:val="24"/>
        </w:rPr>
        <w:t> </w:t>
      </w:r>
      <w:r>
        <w:rPr>
          <w:sz w:val="24"/>
        </w:rPr>
        <w:t>the</w:t>
      </w:r>
      <w:r>
        <w:rPr>
          <w:spacing w:val="-3"/>
          <w:sz w:val="24"/>
        </w:rPr>
        <w:t> </w:t>
      </w:r>
      <w:r>
        <w:rPr>
          <w:sz w:val="24"/>
        </w:rPr>
        <w:t>agency</w:t>
      </w:r>
      <w:r>
        <w:rPr>
          <w:spacing w:val="-3"/>
          <w:sz w:val="24"/>
        </w:rPr>
        <w:t> </w:t>
      </w:r>
      <w:r>
        <w:rPr>
          <w:sz w:val="24"/>
        </w:rPr>
        <w:t>or</w:t>
      </w:r>
      <w:r>
        <w:rPr>
          <w:spacing w:val="-4"/>
          <w:sz w:val="24"/>
        </w:rPr>
        <w:t> </w:t>
      </w:r>
      <w:r>
        <w:rPr>
          <w:sz w:val="24"/>
        </w:rPr>
        <w:t>person</w:t>
      </w:r>
      <w:r>
        <w:rPr>
          <w:spacing w:val="-4"/>
          <w:sz w:val="24"/>
        </w:rPr>
        <w:t> </w:t>
      </w:r>
      <w:r>
        <w:rPr>
          <w:sz w:val="24"/>
        </w:rPr>
        <w:t>authorized</w:t>
      </w:r>
      <w:r>
        <w:rPr>
          <w:spacing w:val="-3"/>
          <w:sz w:val="24"/>
        </w:rPr>
        <w:t> </w:t>
      </w:r>
      <w:r>
        <w:rPr>
          <w:sz w:val="24"/>
        </w:rPr>
        <w:t>to</w:t>
      </w:r>
      <w:r>
        <w:rPr>
          <w:spacing w:val="-3"/>
          <w:sz w:val="24"/>
        </w:rPr>
        <w:t> </w:t>
      </w:r>
      <w:r>
        <w:rPr>
          <w:sz w:val="24"/>
        </w:rPr>
        <w:t>disclose</w:t>
      </w:r>
      <w:r>
        <w:rPr>
          <w:spacing w:val="-3"/>
          <w:sz w:val="24"/>
        </w:rPr>
        <w:t> </w:t>
      </w:r>
      <w:r>
        <w:rPr>
          <w:sz w:val="24"/>
        </w:rPr>
        <w:t>the</w:t>
      </w:r>
      <w:r>
        <w:rPr>
          <w:spacing w:val="-3"/>
          <w:sz w:val="24"/>
        </w:rPr>
        <w:t> </w:t>
      </w:r>
      <w:r>
        <w:rPr>
          <w:sz w:val="24"/>
        </w:rPr>
        <w:t>information;</w:t>
      </w:r>
      <w:r>
        <w:rPr>
          <w:spacing w:val="-2"/>
          <w:sz w:val="24"/>
        </w:rPr>
        <w:t> </w:t>
      </w:r>
      <w:r>
        <w:rPr>
          <w:spacing w:val="-5"/>
          <w:sz w:val="24"/>
        </w:rPr>
        <w:t>and</w:t>
      </w:r>
    </w:p>
    <w:p>
      <w:pPr>
        <w:pStyle w:val="ListParagraph"/>
        <w:numPr>
          <w:ilvl w:val="1"/>
          <w:numId w:val="77"/>
        </w:numPr>
        <w:tabs>
          <w:tab w:pos="1217" w:val="left" w:leader="none"/>
        </w:tabs>
        <w:spacing w:line="240" w:lineRule="auto" w:before="204" w:after="0"/>
        <w:ind w:left="1217" w:right="0" w:hanging="426"/>
        <w:jc w:val="left"/>
        <w:rPr>
          <w:sz w:val="24"/>
        </w:rPr>
      </w:pPr>
      <w:r>
        <w:rPr>
          <w:sz w:val="24"/>
        </w:rPr>
        <w:t>dates</w:t>
      </w:r>
      <w:r>
        <w:rPr>
          <w:spacing w:val="-5"/>
          <w:sz w:val="24"/>
        </w:rPr>
        <w:t> </w:t>
      </w:r>
      <w:r>
        <w:rPr>
          <w:sz w:val="24"/>
        </w:rPr>
        <w:t>of</w:t>
      </w:r>
      <w:r>
        <w:rPr>
          <w:spacing w:val="-2"/>
          <w:sz w:val="24"/>
        </w:rPr>
        <w:t> </w:t>
      </w:r>
      <w:r>
        <w:rPr>
          <w:sz w:val="24"/>
        </w:rPr>
        <w:t>initiation</w:t>
      </w:r>
      <w:r>
        <w:rPr>
          <w:spacing w:val="-3"/>
          <w:sz w:val="24"/>
        </w:rPr>
        <w:t> </w:t>
      </w:r>
      <w:r>
        <w:rPr>
          <w:sz w:val="24"/>
        </w:rPr>
        <w:t>and</w:t>
      </w:r>
      <w:r>
        <w:rPr>
          <w:spacing w:val="-4"/>
          <w:sz w:val="24"/>
        </w:rPr>
        <w:t> </w:t>
      </w:r>
      <w:r>
        <w:rPr>
          <w:sz w:val="24"/>
        </w:rPr>
        <w:t>termination</w:t>
      </w:r>
      <w:r>
        <w:rPr>
          <w:spacing w:val="-3"/>
          <w:sz w:val="24"/>
        </w:rPr>
        <w:t> </w:t>
      </w:r>
      <w:r>
        <w:rPr>
          <w:sz w:val="24"/>
        </w:rPr>
        <w:t>of</w:t>
      </w:r>
      <w:r>
        <w:rPr>
          <w:spacing w:val="-2"/>
          <w:sz w:val="24"/>
        </w:rPr>
        <w:t> consent.</w:t>
      </w:r>
    </w:p>
    <w:p>
      <w:pPr>
        <w:pStyle w:val="ListParagraph"/>
        <w:numPr>
          <w:ilvl w:val="0"/>
          <w:numId w:val="77"/>
        </w:numPr>
        <w:tabs>
          <w:tab w:pos="772" w:val="left" w:leader="none"/>
        </w:tabs>
        <w:spacing w:line="208" w:lineRule="auto" w:before="234" w:after="0"/>
        <w:ind w:left="359" w:right="911" w:firstLine="0"/>
        <w:jc w:val="left"/>
        <w:rPr>
          <w:sz w:val="24"/>
        </w:rPr>
      </w:pPr>
      <w:r>
        <w:rPr>
          <w:b/>
          <w:sz w:val="24"/>
        </w:rPr>
        <w:t>Release of information to the individual. </w:t>
      </w:r>
      <w:r>
        <w:rPr>
          <w:sz w:val="24"/>
        </w:rPr>
        <w:t>The individual, or the individual's representative, will be given access to the relevant case record, or provided copies of requested</w:t>
      </w:r>
      <w:r>
        <w:rPr>
          <w:spacing w:val="-4"/>
          <w:sz w:val="24"/>
        </w:rPr>
        <w:t> </w:t>
      </w:r>
      <w:r>
        <w:rPr>
          <w:sz w:val="24"/>
        </w:rPr>
        <w:t>information</w:t>
      </w:r>
      <w:r>
        <w:rPr>
          <w:spacing w:val="-5"/>
          <w:sz w:val="24"/>
        </w:rPr>
        <w:t> </w:t>
      </w:r>
      <w:r>
        <w:rPr>
          <w:sz w:val="24"/>
        </w:rPr>
        <w:t>upon</w:t>
      </w:r>
      <w:r>
        <w:rPr>
          <w:spacing w:val="-4"/>
          <w:sz w:val="24"/>
        </w:rPr>
        <w:t> </w:t>
      </w:r>
      <w:r>
        <w:rPr>
          <w:sz w:val="24"/>
        </w:rPr>
        <w:t>providing</w:t>
      </w:r>
      <w:r>
        <w:rPr>
          <w:spacing w:val="-4"/>
          <w:sz w:val="24"/>
        </w:rPr>
        <w:t> </w:t>
      </w:r>
      <w:r>
        <w:rPr>
          <w:sz w:val="24"/>
        </w:rPr>
        <w:t>a</w:t>
      </w:r>
      <w:r>
        <w:rPr>
          <w:spacing w:val="-4"/>
          <w:sz w:val="24"/>
        </w:rPr>
        <w:t> </w:t>
      </w:r>
      <w:r>
        <w:rPr>
          <w:sz w:val="24"/>
        </w:rPr>
        <w:t>written</w:t>
      </w:r>
      <w:r>
        <w:rPr>
          <w:spacing w:val="-4"/>
          <w:sz w:val="24"/>
        </w:rPr>
        <w:t> </w:t>
      </w:r>
      <w:r>
        <w:rPr>
          <w:sz w:val="24"/>
        </w:rPr>
        <w:t>authorization</w:t>
      </w:r>
      <w:r>
        <w:rPr>
          <w:spacing w:val="-4"/>
          <w:sz w:val="24"/>
        </w:rPr>
        <w:t> </w:t>
      </w:r>
      <w:r>
        <w:rPr>
          <w:sz w:val="24"/>
        </w:rPr>
        <w:t>for</w:t>
      </w:r>
      <w:r>
        <w:rPr>
          <w:spacing w:val="-3"/>
          <w:sz w:val="24"/>
        </w:rPr>
        <w:t> </w:t>
      </w:r>
      <w:r>
        <w:rPr>
          <w:sz w:val="24"/>
        </w:rPr>
        <w:t>release</w:t>
      </w:r>
      <w:r>
        <w:rPr>
          <w:spacing w:val="-4"/>
          <w:sz w:val="24"/>
        </w:rPr>
        <w:t> </w:t>
      </w:r>
      <w:r>
        <w:rPr>
          <w:sz w:val="24"/>
        </w:rPr>
        <w:t>of</w:t>
      </w:r>
      <w:r>
        <w:rPr>
          <w:spacing w:val="-3"/>
          <w:sz w:val="24"/>
        </w:rPr>
        <w:t> </w:t>
      </w:r>
      <w:r>
        <w:rPr>
          <w:sz w:val="24"/>
        </w:rPr>
        <w:t>information, except as in (1) through (3) of this Subsection.</w:t>
      </w:r>
    </w:p>
    <w:p>
      <w:pPr>
        <w:pStyle w:val="ListParagraph"/>
        <w:numPr>
          <w:ilvl w:val="1"/>
          <w:numId w:val="77"/>
        </w:numPr>
        <w:tabs>
          <w:tab w:pos="1217" w:val="left" w:leader="none"/>
        </w:tabs>
        <w:spacing w:line="208" w:lineRule="auto" w:before="239" w:after="0"/>
        <w:ind w:left="791" w:right="1483" w:firstLine="0"/>
        <w:jc w:val="left"/>
        <w:rPr>
          <w:sz w:val="24"/>
        </w:rPr>
      </w:pPr>
      <w:r>
        <w:rPr>
          <w:sz w:val="24"/>
        </w:rPr>
        <w:t>Psychological,</w:t>
      </w:r>
      <w:r>
        <w:rPr>
          <w:spacing w:val="-5"/>
          <w:sz w:val="24"/>
        </w:rPr>
        <w:t> </w:t>
      </w:r>
      <w:r>
        <w:rPr>
          <w:sz w:val="24"/>
        </w:rPr>
        <w:t>psychiatric,</w:t>
      </w:r>
      <w:r>
        <w:rPr>
          <w:spacing w:val="-5"/>
          <w:sz w:val="24"/>
        </w:rPr>
        <w:t> </w:t>
      </w:r>
      <w:r>
        <w:rPr>
          <w:sz w:val="24"/>
        </w:rPr>
        <w:t>mental</w:t>
      </w:r>
      <w:r>
        <w:rPr>
          <w:spacing w:val="-7"/>
          <w:sz w:val="24"/>
        </w:rPr>
        <w:t> </w:t>
      </w:r>
      <w:r>
        <w:rPr>
          <w:sz w:val="24"/>
        </w:rPr>
        <w:t>health</w:t>
      </w:r>
      <w:r>
        <w:rPr>
          <w:spacing w:val="-6"/>
          <w:sz w:val="24"/>
        </w:rPr>
        <w:t> </w:t>
      </w:r>
      <w:r>
        <w:rPr>
          <w:sz w:val="24"/>
        </w:rPr>
        <w:t>and</w:t>
      </w:r>
      <w:r>
        <w:rPr>
          <w:spacing w:val="-6"/>
          <w:sz w:val="24"/>
        </w:rPr>
        <w:t> </w:t>
      </w:r>
      <w:r>
        <w:rPr>
          <w:sz w:val="24"/>
        </w:rPr>
        <w:t>substance</w:t>
      </w:r>
      <w:r>
        <w:rPr>
          <w:spacing w:val="-6"/>
          <w:sz w:val="24"/>
        </w:rPr>
        <w:t> </w:t>
      </w:r>
      <w:r>
        <w:rPr>
          <w:sz w:val="24"/>
        </w:rPr>
        <w:t>abuse</w:t>
      </w:r>
      <w:r>
        <w:rPr>
          <w:spacing w:val="-6"/>
          <w:sz w:val="24"/>
        </w:rPr>
        <w:t> </w:t>
      </w:r>
      <w:r>
        <w:rPr>
          <w:sz w:val="24"/>
        </w:rPr>
        <w:t>treatment records and information from psychological, psychiatric, mental health and</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791" w:right="775"/>
      </w:pPr>
      <w:r>
        <w:rPr/>
        <w:t>substance abuse treatment practitioners may only be obtained provided the requirements</w:t>
      </w:r>
      <w:r>
        <w:rPr>
          <w:spacing w:val="-3"/>
        </w:rPr>
        <w:t> </w:t>
      </w:r>
      <w:r>
        <w:rPr/>
        <w:t>of</w:t>
      </w:r>
      <w:r>
        <w:rPr>
          <w:spacing w:val="-4"/>
        </w:rPr>
        <w:t> </w:t>
      </w:r>
      <w:r>
        <w:rPr/>
        <w:t>Section</w:t>
      </w:r>
      <w:r>
        <w:rPr>
          <w:spacing w:val="-3"/>
        </w:rPr>
        <w:t> </w:t>
      </w:r>
      <w:r>
        <w:rPr/>
        <w:t>1-109</w:t>
      </w:r>
      <w:r>
        <w:rPr>
          <w:spacing w:val="-3"/>
        </w:rPr>
        <w:t> </w:t>
      </w:r>
      <w:r>
        <w:rPr/>
        <w:t>of</w:t>
      </w:r>
      <w:r>
        <w:rPr>
          <w:spacing w:val="-4"/>
        </w:rPr>
        <w:t> </w:t>
      </w:r>
      <w:r>
        <w:rPr/>
        <w:t>Title</w:t>
      </w:r>
      <w:r>
        <w:rPr>
          <w:spacing w:val="-3"/>
        </w:rPr>
        <w:t> </w:t>
      </w:r>
      <w:r>
        <w:rPr/>
        <w:t>43A</w:t>
      </w:r>
      <w:r>
        <w:rPr>
          <w:spacing w:val="-3"/>
        </w:rPr>
        <w:t> </w:t>
      </w:r>
      <w:r>
        <w:rPr/>
        <w:t>of</w:t>
      </w:r>
      <w:r>
        <w:rPr>
          <w:spacing w:val="-1"/>
        </w:rPr>
        <w:t> </w:t>
      </w:r>
      <w:r>
        <w:rPr/>
        <w:t>the</w:t>
      </w:r>
      <w:r>
        <w:rPr>
          <w:spacing w:val="-3"/>
        </w:rPr>
        <w:t> </w:t>
      </w:r>
      <w:r>
        <w:rPr/>
        <w:t>Oklahoma</w:t>
      </w:r>
      <w:r>
        <w:rPr>
          <w:spacing w:val="-3"/>
        </w:rPr>
        <w:t> </w:t>
      </w:r>
      <w:r>
        <w:rPr/>
        <w:t>Statues</w:t>
      </w:r>
      <w:r>
        <w:rPr>
          <w:spacing w:val="-3"/>
        </w:rPr>
        <w:t> </w:t>
      </w:r>
      <w:r>
        <w:rPr/>
        <w:t>are</w:t>
      </w:r>
      <w:r>
        <w:rPr>
          <w:spacing w:val="-3"/>
        </w:rPr>
        <w:t> </w:t>
      </w:r>
      <w:r>
        <w:rPr/>
        <w:t>met.</w:t>
      </w:r>
      <w:r>
        <w:rPr>
          <w:spacing w:val="-2"/>
        </w:rPr>
        <w:t> </w:t>
      </w:r>
      <w:r>
        <w:rPr/>
        <w:t>Under these circumstances, refer the individual, or the individual's representative, to the treating health professional.</w:t>
      </w:r>
    </w:p>
    <w:p>
      <w:pPr>
        <w:pStyle w:val="ListParagraph"/>
        <w:numPr>
          <w:ilvl w:val="1"/>
          <w:numId w:val="77"/>
        </w:numPr>
        <w:tabs>
          <w:tab w:pos="1216" w:val="left" w:leader="none"/>
        </w:tabs>
        <w:spacing w:line="208" w:lineRule="auto" w:before="239" w:after="0"/>
        <w:ind w:left="791" w:right="733" w:firstLine="0"/>
        <w:jc w:val="left"/>
        <w:rPr>
          <w:sz w:val="24"/>
        </w:rPr>
      </w:pPr>
      <w:r>
        <w:rPr>
          <w:sz w:val="24"/>
        </w:rPr>
        <w:t>When</w:t>
      </w:r>
      <w:r>
        <w:rPr>
          <w:spacing w:val="-2"/>
          <w:sz w:val="24"/>
        </w:rPr>
        <w:t> </w:t>
      </w:r>
      <w:r>
        <w:rPr>
          <w:sz w:val="24"/>
        </w:rPr>
        <w:t>a</w:t>
      </w:r>
      <w:r>
        <w:rPr>
          <w:spacing w:val="-2"/>
          <w:sz w:val="24"/>
        </w:rPr>
        <w:t> </w:t>
      </w:r>
      <w:r>
        <w:rPr>
          <w:sz w:val="24"/>
        </w:rPr>
        <w:t>DRS</w:t>
      </w:r>
      <w:r>
        <w:rPr>
          <w:spacing w:val="-3"/>
          <w:sz w:val="24"/>
        </w:rPr>
        <w:t> </w:t>
      </w:r>
      <w:r>
        <w:rPr>
          <w:sz w:val="24"/>
        </w:rPr>
        <w:t>professional</w:t>
      </w:r>
      <w:r>
        <w:rPr>
          <w:spacing w:val="-2"/>
          <w:sz w:val="24"/>
        </w:rPr>
        <w:t> </w:t>
      </w:r>
      <w:r>
        <w:rPr>
          <w:sz w:val="24"/>
        </w:rPr>
        <w:t>staff</w:t>
      </w:r>
      <w:r>
        <w:rPr>
          <w:spacing w:val="-2"/>
          <w:sz w:val="24"/>
        </w:rPr>
        <w:t> </w:t>
      </w:r>
      <w:r>
        <w:rPr>
          <w:sz w:val="24"/>
        </w:rPr>
        <w:t>person</w:t>
      </w:r>
      <w:r>
        <w:rPr>
          <w:spacing w:val="-3"/>
          <w:sz w:val="24"/>
        </w:rPr>
        <w:t> </w:t>
      </w:r>
      <w:r>
        <w:rPr>
          <w:sz w:val="24"/>
        </w:rPr>
        <w:t>believes</w:t>
      </w:r>
      <w:r>
        <w:rPr>
          <w:spacing w:val="-2"/>
          <w:sz w:val="24"/>
        </w:rPr>
        <w:t> </w:t>
      </w:r>
      <w:r>
        <w:rPr>
          <w:sz w:val="24"/>
        </w:rPr>
        <w:t>medical</w:t>
      </w:r>
      <w:r>
        <w:rPr>
          <w:spacing w:val="-2"/>
          <w:sz w:val="24"/>
        </w:rPr>
        <w:t> </w:t>
      </w:r>
      <w:r>
        <w:rPr>
          <w:sz w:val="24"/>
        </w:rPr>
        <w:t>or</w:t>
      </w:r>
      <w:r>
        <w:rPr>
          <w:spacing w:val="-2"/>
          <w:sz w:val="24"/>
        </w:rPr>
        <w:t> </w:t>
      </w:r>
      <w:r>
        <w:rPr>
          <w:sz w:val="24"/>
        </w:rPr>
        <w:t>other</w:t>
      </w:r>
      <w:r>
        <w:rPr>
          <w:spacing w:val="-2"/>
          <w:sz w:val="24"/>
        </w:rPr>
        <w:t> </w:t>
      </w:r>
      <w:r>
        <w:rPr>
          <w:sz w:val="24"/>
        </w:rPr>
        <w:t>information</w:t>
      </w:r>
      <w:r>
        <w:rPr>
          <w:spacing w:val="-2"/>
          <w:sz w:val="24"/>
        </w:rPr>
        <w:t> </w:t>
      </w:r>
      <w:r>
        <w:rPr>
          <w:sz w:val="24"/>
        </w:rPr>
        <w:t>not covered in (1) of this Subsection may be harmful to the individual, the information may not be released directly to the individual but must be provided to the individual through a third party chosen by the individual, which may include, among others, an advocate, a family member, or a qualified medical or mental health professional, unless</w:t>
      </w:r>
      <w:r>
        <w:rPr>
          <w:spacing w:val="-4"/>
          <w:sz w:val="24"/>
        </w:rPr>
        <w:t> </w:t>
      </w:r>
      <w:r>
        <w:rPr>
          <w:sz w:val="24"/>
        </w:rPr>
        <w:t>a</w:t>
      </w:r>
      <w:r>
        <w:rPr>
          <w:spacing w:val="-4"/>
          <w:sz w:val="24"/>
        </w:rPr>
        <w:t> </w:t>
      </w:r>
      <w:r>
        <w:rPr>
          <w:sz w:val="24"/>
        </w:rPr>
        <w:t>representative</w:t>
      </w:r>
      <w:r>
        <w:rPr>
          <w:spacing w:val="-4"/>
          <w:sz w:val="24"/>
        </w:rPr>
        <w:t> </w:t>
      </w:r>
      <w:r>
        <w:rPr>
          <w:sz w:val="24"/>
        </w:rPr>
        <w:t>has</w:t>
      </w:r>
      <w:r>
        <w:rPr>
          <w:spacing w:val="-4"/>
          <w:sz w:val="24"/>
        </w:rPr>
        <w:t> </w:t>
      </w:r>
      <w:r>
        <w:rPr>
          <w:sz w:val="24"/>
        </w:rPr>
        <w:t>been</w:t>
      </w:r>
      <w:r>
        <w:rPr>
          <w:spacing w:val="-3"/>
          <w:sz w:val="24"/>
        </w:rPr>
        <w:t> </w:t>
      </w:r>
      <w:r>
        <w:rPr>
          <w:sz w:val="24"/>
        </w:rPr>
        <w:t>appointed</w:t>
      </w:r>
      <w:r>
        <w:rPr>
          <w:spacing w:val="-3"/>
          <w:sz w:val="24"/>
        </w:rPr>
        <w:t> </w:t>
      </w:r>
      <w:r>
        <w:rPr>
          <w:sz w:val="24"/>
        </w:rPr>
        <w:t>by</w:t>
      </w:r>
      <w:r>
        <w:rPr>
          <w:spacing w:val="-4"/>
          <w:sz w:val="24"/>
        </w:rPr>
        <w:t> </w:t>
      </w:r>
      <w:r>
        <w:rPr>
          <w:sz w:val="24"/>
        </w:rPr>
        <w:t>a</w:t>
      </w:r>
      <w:r>
        <w:rPr>
          <w:spacing w:val="-4"/>
          <w:sz w:val="24"/>
        </w:rPr>
        <w:t> </w:t>
      </w:r>
      <w:r>
        <w:rPr>
          <w:sz w:val="24"/>
        </w:rPr>
        <w:t>court</w:t>
      </w:r>
      <w:r>
        <w:rPr>
          <w:spacing w:val="-4"/>
          <w:sz w:val="24"/>
        </w:rPr>
        <w:t> </w:t>
      </w:r>
      <w:r>
        <w:rPr>
          <w:sz w:val="24"/>
        </w:rPr>
        <w:t>to</w:t>
      </w:r>
      <w:r>
        <w:rPr>
          <w:spacing w:val="-4"/>
          <w:sz w:val="24"/>
        </w:rPr>
        <w:t> </w:t>
      </w:r>
      <w:r>
        <w:rPr>
          <w:sz w:val="24"/>
        </w:rPr>
        <w:t>represent</w:t>
      </w:r>
      <w:r>
        <w:rPr>
          <w:spacing w:val="-3"/>
          <w:sz w:val="24"/>
        </w:rPr>
        <w:t> </w:t>
      </w:r>
      <w:r>
        <w:rPr>
          <w:sz w:val="24"/>
        </w:rPr>
        <w:t>the</w:t>
      </w:r>
      <w:r>
        <w:rPr>
          <w:spacing w:val="-4"/>
          <w:sz w:val="24"/>
        </w:rPr>
        <w:t> </w:t>
      </w:r>
      <w:r>
        <w:rPr>
          <w:sz w:val="24"/>
        </w:rPr>
        <w:t>individual,</w:t>
      </w:r>
      <w:r>
        <w:rPr>
          <w:spacing w:val="-3"/>
          <w:sz w:val="24"/>
        </w:rPr>
        <w:t> </w:t>
      </w:r>
      <w:r>
        <w:rPr>
          <w:sz w:val="24"/>
        </w:rPr>
        <w:t>in which case the information must be released to the court-appointed representative.</w:t>
      </w:r>
    </w:p>
    <w:p>
      <w:pPr>
        <w:pStyle w:val="ListParagraph"/>
        <w:numPr>
          <w:ilvl w:val="1"/>
          <w:numId w:val="77"/>
        </w:numPr>
        <w:tabs>
          <w:tab w:pos="1216" w:val="left" w:leader="none"/>
        </w:tabs>
        <w:spacing w:line="208" w:lineRule="auto" w:before="240" w:after="0"/>
        <w:ind w:left="791" w:right="762" w:firstLine="0"/>
        <w:jc w:val="left"/>
        <w:rPr>
          <w:sz w:val="24"/>
        </w:rPr>
      </w:pPr>
      <w:r>
        <w:rPr>
          <w:sz w:val="24"/>
        </w:rPr>
        <w:t>Information</w:t>
      </w:r>
      <w:r>
        <w:rPr>
          <w:spacing w:val="-4"/>
          <w:sz w:val="24"/>
        </w:rPr>
        <w:t> </w:t>
      </w:r>
      <w:r>
        <w:rPr>
          <w:sz w:val="24"/>
        </w:rPr>
        <w:t>obtained</w:t>
      </w:r>
      <w:r>
        <w:rPr>
          <w:spacing w:val="-4"/>
          <w:sz w:val="24"/>
        </w:rPr>
        <w:t> </w:t>
      </w:r>
      <w:r>
        <w:rPr>
          <w:sz w:val="24"/>
        </w:rPr>
        <w:t>from</w:t>
      </w:r>
      <w:r>
        <w:rPr>
          <w:spacing w:val="-3"/>
          <w:sz w:val="24"/>
        </w:rPr>
        <w:t> </w:t>
      </w:r>
      <w:r>
        <w:rPr>
          <w:sz w:val="24"/>
        </w:rPr>
        <w:t>another</w:t>
      </w:r>
      <w:r>
        <w:rPr>
          <w:spacing w:val="-3"/>
          <w:sz w:val="24"/>
        </w:rPr>
        <w:t> </w:t>
      </w:r>
      <w:r>
        <w:rPr>
          <w:sz w:val="24"/>
        </w:rPr>
        <w:t>organization</w:t>
      </w:r>
      <w:r>
        <w:rPr>
          <w:spacing w:val="-4"/>
          <w:sz w:val="24"/>
        </w:rPr>
        <w:t> </w:t>
      </w:r>
      <w:r>
        <w:rPr>
          <w:sz w:val="24"/>
        </w:rPr>
        <w:t>or</w:t>
      </w:r>
      <w:r>
        <w:rPr>
          <w:spacing w:val="-3"/>
          <w:sz w:val="24"/>
        </w:rPr>
        <w:t> </w:t>
      </w:r>
      <w:r>
        <w:rPr>
          <w:sz w:val="24"/>
        </w:rPr>
        <w:t>agency</w:t>
      </w:r>
      <w:r>
        <w:rPr>
          <w:spacing w:val="-4"/>
          <w:sz w:val="24"/>
        </w:rPr>
        <w:t> </w:t>
      </w:r>
      <w:r>
        <w:rPr>
          <w:sz w:val="24"/>
        </w:rPr>
        <w:t>may</w:t>
      </w:r>
      <w:r>
        <w:rPr>
          <w:spacing w:val="-4"/>
          <w:sz w:val="24"/>
        </w:rPr>
        <w:t> </w:t>
      </w:r>
      <w:r>
        <w:rPr>
          <w:sz w:val="24"/>
        </w:rPr>
        <w:t>be</w:t>
      </w:r>
      <w:r>
        <w:rPr>
          <w:spacing w:val="-4"/>
          <w:sz w:val="24"/>
        </w:rPr>
        <w:t> </w:t>
      </w:r>
      <w:r>
        <w:rPr>
          <w:sz w:val="24"/>
        </w:rPr>
        <w:t>released</w:t>
      </w:r>
      <w:r>
        <w:rPr>
          <w:spacing w:val="-4"/>
          <w:sz w:val="24"/>
        </w:rPr>
        <w:t> </w:t>
      </w:r>
      <w:r>
        <w:rPr>
          <w:sz w:val="24"/>
        </w:rPr>
        <w:t>only through that agency, or under the conditions established by the outside agency, organization or providers. For example, information from the Veteran's Administration and Social Security Administration may not be released. Refer the individual requesting such information to the source from which the information was </w:t>
      </w:r>
      <w:r>
        <w:rPr>
          <w:spacing w:val="-2"/>
          <w:sz w:val="24"/>
        </w:rPr>
        <w:t>obtained.</w:t>
      </w:r>
    </w:p>
    <w:p>
      <w:pPr>
        <w:pStyle w:val="ListParagraph"/>
        <w:numPr>
          <w:ilvl w:val="1"/>
          <w:numId w:val="77"/>
        </w:numPr>
        <w:tabs>
          <w:tab w:pos="1235" w:val="left" w:leader="none"/>
        </w:tabs>
        <w:spacing w:line="208" w:lineRule="auto" w:before="239" w:after="0"/>
        <w:ind w:left="809" w:right="777" w:firstLine="0"/>
        <w:jc w:val="left"/>
        <w:rPr>
          <w:sz w:val="24"/>
        </w:rPr>
      </w:pPr>
      <w:r>
        <w:rPr>
          <w:sz w:val="24"/>
        </w:rPr>
        <w:t>An explanation of State policies and procedures affecting personal information will</w:t>
      </w:r>
      <w:r>
        <w:rPr>
          <w:spacing w:val="-4"/>
          <w:sz w:val="24"/>
        </w:rPr>
        <w:t> </w:t>
      </w:r>
      <w:r>
        <w:rPr>
          <w:sz w:val="24"/>
        </w:rPr>
        <w:t>be</w:t>
      </w:r>
      <w:r>
        <w:rPr>
          <w:spacing w:val="-4"/>
          <w:sz w:val="24"/>
        </w:rPr>
        <w:t> </w:t>
      </w:r>
      <w:r>
        <w:rPr>
          <w:sz w:val="24"/>
        </w:rPr>
        <w:t>provided</w:t>
      </w:r>
      <w:r>
        <w:rPr>
          <w:spacing w:val="-4"/>
          <w:sz w:val="24"/>
        </w:rPr>
        <w:t> </w:t>
      </w:r>
      <w:r>
        <w:rPr>
          <w:sz w:val="24"/>
        </w:rPr>
        <w:t>to</w:t>
      </w:r>
      <w:r>
        <w:rPr>
          <w:spacing w:val="-4"/>
          <w:sz w:val="24"/>
        </w:rPr>
        <w:t> </w:t>
      </w:r>
      <w:r>
        <w:rPr>
          <w:sz w:val="24"/>
        </w:rPr>
        <w:t>each</w:t>
      </w:r>
      <w:r>
        <w:rPr>
          <w:spacing w:val="-4"/>
          <w:sz w:val="24"/>
        </w:rPr>
        <w:t> </w:t>
      </w:r>
      <w:r>
        <w:rPr>
          <w:sz w:val="24"/>
        </w:rPr>
        <w:t>individual</w:t>
      </w:r>
      <w:r>
        <w:rPr>
          <w:spacing w:val="-3"/>
          <w:sz w:val="24"/>
        </w:rPr>
        <w:t> </w:t>
      </w:r>
      <w:r>
        <w:rPr>
          <w:sz w:val="24"/>
        </w:rPr>
        <w:t>in</w:t>
      </w:r>
      <w:r>
        <w:rPr>
          <w:spacing w:val="-4"/>
          <w:sz w:val="24"/>
        </w:rPr>
        <w:t> </w:t>
      </w:r>
      <w:r>
        <w:rPr>
          <w:sz w:val="24"/>
        </w:rPr>
        <w:t>that</w:t>
      </w:r>
      <w:r>
        <w:rPr>
          <w:spacing w:val="-3"/>
          <w:sz w:val="24"/>
        </w:rPr>
        <w:t> </w:t>
      </w:r>
      <w:r>
        <w:rPr>
          <w:sz w:val="24"/>
        </w:rPr>
        <w:t>individual's</w:t>
      </w:r>
      <w:r>
        <w:rPr>
          <w:spacing w:val="-4"/>
          <w:sz w:val="24"/>
        </w:rPr>
        <w:t> </w:t>
      </w:r>
      <w:r>
        <w:rPr>
          <w:sz w:val="24"/>
        </w:rPr>
        <w:t>native</w:t>
      </w:r>
      <w:r>
        <w:rPr>
          <w:spacing w:val="-4"/>
          <w:sz w:val="24"/>
        </w:rPr>
        <w:t> </w:t>
      </w:r>
      <w:r>
        <w:rPr>
          <w:sz w:val="24"/>
        </w:rPr>
        <w:t>language</w:t>
      </w:r>
      <w:r>
        <w:rPr>
          <w:spacing w:val="-4"/>
          <w:sz w:val="24"/>
        </w:rPr>
        <w:t> </w:t>
      </w:r>
      <w:r>
        <w:rPr>
          <w:sz w:val="24"/>
        </w:rPr>
        <w:t>or</w:t>
      </w:r>
      <w:r>
        <w:rPr>
          <w:spacing w:val="-3"/>
          <w:sz w:val="24"/>
        </w:rPr>
        <w:t> </w:t>
      </w:r>
      <w:r>
        <w:rPr>
          <w:sz w:val="24"/>
        </w:rPr>
        <w:t>through</w:t>
      </w:r>
      <w:r>
        <w:rPr>
          <w:spacing w:val="-4"/>
          <w:sz w:val="24"/>
        </w:rPr>
        <w:t> </w:t>
      </w:r>
      <w:r>
        <w:rPr>
          <w:sz w:val="24"/>
        </w:rPr>
        <w:t>the appropriate mode of communication.</w:t>
      </w:r>
    </w:p>
    <w:p>
      <w:pPr>
        <w:pStyle w:val="ListParagraph"/>
        <w:numPr>
          <w:ilvl w:val="0"/>
          <w:numId w:val="77"/>
        </w:numPr>
        <w:tabs>
          <w:tab w:pos="785" w:val="left" w:leader="none"/>
        </w:tabs>
        <w:spacing w:line="208" w:lineRule="auto" w:before="240" w:after="0"/>
        <w:ind w:left="359" w:right="767" w:firstLine="0"/>
        <w:jc w:val="left"/>
        <w:rPr>
          <w:sz w:val="24"/>
        </w:rPr>
      </w:pPr>
      <w:r>
        <w:rPr>
          <w:b/>
          <w:sz w:val="24"/>
        </w:rPr>
        <w:t>Request</w:t>
      </w:r>
      <w:r>
        <w:rPr>
          <w:b/>
          <w:spacing w:val="-3"/>
          <w:sz w:val="24"/>
        </w:rPr>
        <w:t> </w:t>
      </w:r>
      <w:r>
        <w:rPr>
          <w:b/>
          <w:sz w:val="24"/>
        </w:rPr>
        <w:t>for</w:t>
      </w:r>
      <w:r>
        <w:rPr>
          <w:b/>
          <w:spacing w:val="-5"/>
          <w:sz w:val="24"/>
        </w:rPr>
        <w:t> </w:t>
      </w:r>
      <w:r>
        <w:rPr>
          <w:b/>
          <w:sz w:val="24"/>
        </w:rPr>
        <w:t>information</w:t>
      </w:r>
      <w:r>
        <w:rPr>
          <w:b/>
          <w:spacing w:val="-4"/>
          <w:sz w:val="24"/>
        </w:rPr>
        <w:t> </w:t>
      </w:r>
      <w:r>
        <w:rPr>
          <w:b/>
          <w:sz w:val="24"/>
        </w:rPr>
        <w:t>correction.</w:t>
      </w:r>
      <w:r>
        <w:rPr>
          <w:b/>
          <w:spacing w:val="-3"/>
          <w:sz w:val="24"/>
        </w:rPr>
        <w:t> </w:t>
      </w:r>
      <w:r>
        <w:rPr>
          <w:sz w:val="24"/>
        </w:rPr>
        <w:t>An</w:t>
      </w:r>
      <w:r>
        <w:rPr>
          <w:spacing w:val="-4"/>
          <w:sz w:val="24"/>
        </w:rPr>
        <w:t> </w:t>
      </w:r>
      <w:r>
        <w:rPr>
          <w:sz w:val="24"/>
        </w:rPr>
        <w:t>individual</w:t>
      </w:r>
      <w:r>
        <w:rPr>
          <w:spacing w:val="-3"/>
          <w:sz w:val="24"/>
        </w:rPr>
        <w:t> </w:t>
      </w:r>
      <w:r>
        <w:rPr>
          <w:sz w:val="24"/>
        </w:rPr>
        <w:t>who</w:t>
      </w:r>
      <w:r>
        <w:rPr>
          <w:spacing w:val="-4"/>
          <w:sz w:val="24"/>
        </w:rPr>
        <w:t> </w:t>
      </w:r>
      <w:r>
        <w:rPr>
          <w:sz w:val="24"/>
        </w:rPr>
        <w:t>believes</w:t>
      </w:r>
      <w:r>
        <w:rPr>
          <w:spacing w:val="-4"/>
          <w:sz w:val="24"/>
        </w:rPr>
        <w:t> </w:t>
      </w:r>
      <w:r>
        <w:rPr>
          <w:sz w:val="24"/>
        </w:rPr>
        <w:t>that</w:t>
      </w:r>
      <w:r>
        <w:rPr>
          <w:spacing w:val="-3"/>
          <w:sz w:val="24"/>
        </w:rPr>
        <w:t> </w:t>
      </w:r>
      <w:r>
        <w:rPr>
          <w:sz w:val="24"/>
        </w:rPr>
        <w:t>information</w:t>
      </w:r>
      <w:r>
        <w:rPr>
          <w:spacing w:val="-4"/>
          <w:sz w:val="24"/>
        </w:rPr>
        <w:t> </w:t>
      </w:r>
      <w:r>
        <w:rPr>
          <w:sz w:val="24"/>
        </w:rPr>
        <w:t>in the</w:t>
      </w:r>
      <w:r>
        <w:rPr>
          <w:spacing w:val="-3"/>
          <w:sz w:val="24"/>
        </w:rPr>
        <w:t> </w:t>
      </w:r>
      <w:r>
        <w:rPr>
          <w:sz w:val="24"/>
        </w:rPr>
        <w:t>individual's</w:t>
      </w:r>
      <w:r>
        <w:rPr>
          <w:spacing w:val="-3"/>
          <w:sz w:val="24"/>
        </w:rPr>
        <w:t> </w:t>
      </w:r>
      <w:r>
        <w:rPr>
          <w:sz w:val="24"/>
        </w:rPr>
        <w:t>case</w:t>
      </w:r>
      <w:r>
        <w:rPr>
          <w:spacing w:val="-3"/>
          <w:sz w:val="24"/>
        </w:rPr>
        <w:t> </w:t>
      </w:r>
      <w:r>
        <w:rPr>
          <w:sz w:val="24"/>
        </w:rPr>
        <w:t>record</w:t>
      </w:r>
      <w:r>
        <w:rPr>
          <w:spacing w:val="-3"/>
          <w:sz w:val="24"/>
        </w:rPr>
        <w:t> </w:t>
      </w:r>
      <w:r>
        <w:rPr>
          <w:sz w:val="24"/>
        </w:rPr>
        <w:t>is</w:t>
      </w:r>
      <w:r>
        <w:rPr>
          <w:spacing w:val="-3"/>
          <w:sz w:val="24"/>
        </w:rPr>
        <w:t> </w:t>
      </w:r>
      <w:r>
        <w:rPr>
          <w:sz w:val="24"/>
        </w:rPr>
        <w:t>inaccurate</w:t>
      </w:r>
      <w:r>
        <w:rPr>
          <w:spacing w:val="-3"/>
          <w:sz w:val="24"/>
        </w:rPr>
        <w:t> </w:t>
      </w:r>
      <w:r>
        <w:rPr>
          <w:sz w:val="24"/>
        </w:rPr>
        <w:t>or</w:t>
      </w:r>
      <w:r>
        <w:rPr>
          <w:spacing w:val="-4"/>
          <w:sz w:val="24"/>
        </w:rPr>
        <w:t> </w:t>
      </w:r>
      <w:r>
        <w:rPr>
          <w:sz w:val="24"/>
        </w:rPr>
        <w:t>misleading</w:t>
      </w:r>
      <w:r>
        <w:rPr>
          <w:spacing w:val="-3"/>
          <w:sz w:val="24"/>
        </w:rPr>
        <w:t> </w:t>
      </w:r>
      <w:r>
        <w:rPr>
          <w:sz w:val="24"/>
        </w:rPr>
        <w:t>may</w:t>
      </w:r>
      <w:r>
        <w:rPr>
          <w:spacing w:val="-3"/>
          <w:sz w:val="24"/>
        </w:rPr>
        <w:t> </w:t>
      </w:r>
      <w:r>
        <w:rPr>
          <w:sz w:val="24"/>
        </w:rPr>
        <w:t>request</w:t>
      </w:r>
      <w:r>
        <w:rPr>
          <w:spacing w:val="-4"/>
          <w:sz w:val="24"/>
        </w:rPr>
        <w:t> </w:t>
      </w:r>
      <w:r>
        <w:rPr>
          <w:sz w:val="24"/>
        </w:rPr>
        <w:t>that</w:t>
      </w:r>
      <w:r>
        <w:rPr>
          <w:spacing w:val="-2"/>
          <w:sz w:val="24"/>
        </w:rPr>
        <w:t> </w:t>
      </w:r>
      <w:r>
        <w:rPr>
          <w:sz w:val="24"/>
        </w:rPr>
        <w:t>the</w:t>
      </w:r>
      <w:r>
        <w:rPr>
          <w:spacing w:val="-3"/>
          <w:sz w:val="24"/>
        </w:rPr>
        <w:t> </w:t>
      </w:r>
      <w:r>
        <w:rPr>
          <w:sz w:val="24"/>
        </w:rPr>
        <w:t>information be amended. Even if the information is not amended, the request for amendment must be documented in the case record.</w:t>
      </w:r>
    </w:p>
    <w:p>
      <w:pPr>
        <w:pStyle w:val="ListParagraph"/>
        <w:numPr>
          <w:ilvl w:val="0"/>
          <w:numId w:val="77"/>
        </w:numPr>
        <w:tabs>
          <w:tab w:pos="785" w:val="left" w:leader="none"/>
        </w:tabs>
        <w:spacing w:line="208" w:lineRule="auto" w:before="239" w:after="0"/>
        <w:ind w:left="359" w:right="1596" w:firstLine="0"/>
        <w:jc w:val="left"/>
        <w:rPr>
          <w:sz w:val="24"/>
        </w:rPr>
      </w:pPr>
      <w:r>
        <w:rPr>
          <w:b/>
          <w:sz w:val="24"/>
        </w:rPr>
        <w:t>Release</w:t>
      </w:r>
      <w:r>
        <w:rPr>
          <w:b/>
          <w:spacing w:val="-4"/>
          <w:sz w:val="24"/>
        </w:rPr>
        <w:t> </w:t>
      </w:r>
      <w:r>
        <w:rPr>
          <w:b/>
          <w:sz w:val="24"/>
        </w:rPr>
        <w:t>of</w:t>
      </w:r>
      <w:r>
        <w:rPr>
          <w:b/>
          <w:spacing w:val="-3"/>
          <w:sz w:val="24"/>
        </w:rPr>
        <w:t> </w:t>
      </w:r>
      <w:r>
        <w:rPr>
          <w:b/>
          <w:sz w:val="24"/>
        </w:rPr>
        <w:t>information</w:t>
      </w:r>
      <w:r>
        <w:rPr>
          <w:b/>
          <w:spacing w:val="-4"/>
          <w:sz w:val="24"/>
        </w:rPr>
        <w:t> </w:t>
      </w:r>
      <w:r>
        <w:rPr>
          <w:b/>
          <w:sz w:val="24"/>
        </w:rPr>
        <w:t>to</w:t>
      </w:r>
      <w:r>
        <w:rPr>
          <w:b/>
          <w:spacing w:val="-7"/>
          <w:sz w:val="24"/>
        </w:rPr>
        <w:t> </w:t>
      </w:r>
      <w:r>
        <w:rPr>
          <w:b/>
          <w:sz w:val="24"/>
        </w:rPr>
        <w:t>other</w:t>
      </w:r>
      <w:r>
        <w:rPr>
          <w:b/>
          <w:spacing w:val="-4"/>
          <w:sz w:val="24"/>
        </w:rPr>
        <w:t> </w:t>
      </w:r>
      <w:r>
        <w:rPr>
          <w:b/>
          <w:sz w:val="24"/>
        </w:rPr>
        <w:t>programs</w:t>
      </w:r>
      <w:r>
        <w:rPr>
          <w:b/>
          <w:spacing w:val="-4"/>
          <w:sz w:val="24"/>
        </w:rPr>
        <w:t> </w:t>
      </w:r>
      <w:r>
        <w:rPr>
          <w:b/>
          <w:sz w:val="24"/>
        </w:rPr>
        <w:t>or</w:t>
      </w:r>
      <w:r>
        <w:rPr>
          <w:b/>
          <w:spacing w:val="-4"/>
          <w:sz w:val="24"/>
        </w:rPr>
        <w:t> </w:t>
      </w:r>
      <w:r>
        <w:rPr>
          <w:b/>
          <w:sz w:val="24"/>
        </w:rPr>
        <w:t>authorities.</w:t>
      </w:r>
      <w:r>
        <w:rPr>
          <w:b/>
          <w:spacing w:val="-4"/>
          <w:sz w:val="24"/>
        </w:rPr>
        <w:t> </w:t>
      </w:r>
      <w:r>
        <w:rPr>
          <w:sz w:val="24"/>
        </w:rPr>
        <w:t>Paragraphs</w:t>
      </w:r>
      <w:r>
        <w:rPr>
          <w:spacing w:val="-4"/>
          <w:sz w:val="24"/>
        </w:rPr>
        <w:t> </w:t>
      </w:r>
      <w:r>
        <w:rPr>
          <w:sz w:val="24"/>
        </w:rPr>
        <w:t>(1) through (4) of this Subsection provide the rules governing release of personal information to other programs or authorities.</w:t>
      </w:r>
    </w:p>
    <w:p>
      <w:pPr>
        <w:pStyle w:val="ListParagraph"/>
        <w:numPr>
          <w:ilvl w:val="1"/>
          <w:numId w:val="77"/>
        </w:numPr>
        <w:tabs>
          <w:tab w:pos="1217" w:val="left" w:leader="none"/>
        </w:tabs>
        <w:spacing w:line="208" w:lineRule="auto" w:before="240" w:after="0"/>
        <w:ind w:left="791" w:right="823" w:firstLine="0"/>
        <w:jc w:val="left"/>
        <w:rPr>
          <w:b/>
          <w:sz w:val="24"/>
        </w:rPr>
      </w:pPr>
      <w:r>
        <w:rPr>
          <w:sz w:val="24"/>
        </w:rPr>
        <w:t>Upon</w:t>
      </w:r>
      <w:r>
        <w:rPr>
          <w:spacing w:val="-4"/>
          <w:sz w:val="24"/>
        </w:rPr>
        <w:t> </w:t>
      </w:r>
      <w:r>
        <w:rPr>
          <w:sz w:val="24"/>
        </w:rPr>
        <w:t>receiving</w:t>
      </w:r>
      <w:r>
        <w:rPr>
          <w:spacing w:val="-4"/>
          <w:sz w:val="24"/>
        </w:rPr>
        <w:t> </w:t>
      </w:r>
      <w:r>
        <w:rPr>
          <w:sz w:val="24"/>
        </w:rPr>
        <w:t>the</w:t>
      </w:r>
      <w:r>
        <w:rPr>
          <w:spacing w:val="-4"/>
          <w:sz w:val="24"/>
        </w:rPr>
        <w:t> </w:t>
      </w:r>
      <w:r>
        <w:rPr>
          <w:sz w:val="24"/>
        </w:rPr>
        <w:t>informed</w:t>
      </w:r>
      <w:r>
        <w:rPr>
          <w:spacing w:val="-5"/>
          <w:sz w:val="24"/>
        </w:rPr>
        <w:t> </w:t>
      </w:r>
      <w:r>
        <w:rPr>
          <w:sz w:val="24"/>
        </w:rPr>
        <w:t>written</w:t>
      </w:r>
      <w:r>
        <w:rPr>
          <w:spacing w:val="-4"/>
          <w:sz w:val="24"/>
        </w:rPr>
        <w:t> </w:t>
      </w:r>
      <w:r>
        <w:rPr>
          <w:sz w:val="24"/>
        </w:rPr>
        <w:t>consent</w:t>
      </w:r>
      <w:r>
        <w:rPr>
          <w:spacing w:val="-3"/>
          <w:sz w:val="24"/>
        </w:rPr>
        <w:t> </w:t>
      </w:r>
      <w:r>
        <w:rPr>
          <w:sz w:val="24"/>
        </w:rPr>
        <w:t>of</w:t>
      </w:r>
      <w:r>
        <w:rPr>
          <w:spacing w:val="-5"/>
          <w:sz w:val="24"/>
        </w:rPr>
        <w:t> </w:t>
      </w:r>
      <w:r>
        <w:rPr>
          <w:sz w:val="24"/>
        </w:rPr>
        <w:t>the</w:t>
      </w:r>
      <w:r>
        <w:rPr>
          <w:spacing w:val="-4"/>
          <w:sz w:val="24"/>
        </w:rPr>
        <w:t> </w:t>
      </w:r>
      <w:r>
        <w:rPr>
          <w:sz w:val="24"/>
        </w:rPr>
        <w:t>individual,</w:t>
      </w:r>
      <w:r>
        <w:rPr>
          <w:spacing w:val="-3"/>
          <w:sz w:val="24"/>
        </w:rPr>
        <w:t> </w:t>
      </w:r>
      <w:r>
        <w:rPr>
          <w:sz w:val="24"/>
        </w:rPr>
        <w:t>or</w:t>
      </w:r>
      <w:r>
        <w:rPr>
          <w:spacing w:val="-3"/>
          <w:sz w:val="24"/>
        </w:rPr>
        <w:t> </w:t>
      </w:r>
      <w:r>
        <w:rPr>
          <w:sz w:val="24"/>
        </w:rPr>
        <w:t>the</w:t>
      </w:r>
      <w:r>
        <w:rPr>
          <w:spacing w:val="-4"/>
          <w:sz w:val="24"/>
        </w:rPr>
        <w:t> </w:t>
      </w:r>
      <w:r>
        <w:rPr>
          <w:sz w:val="24"/>
        </w:rPr>
        <w:t>individual's representative, information may be released to another agency or organization. Only that information that would be released to the involved individual, or the individual's representative will be released, and only to the extent that the other program or organization demonstrates that the information requested is necessary for its program. </w:t>
      </w:r>
      <w:r>
        <w:rPr>
          <w:b/>
          <w:sz w:val="24"/>
        </w:rPr>
        <w:t>1</w:t>
      </w:r>
    </w:p>
    <w:p>
      <w:pPr>
        <w:pStyle w:val="ListParagraph"/>
        <w:numPr>
          <w:ilvl w:val="1"/>
          <w:numId w:val="77"/>
        </w:numPr>
        <w:tabs>
          <w:tab w:pos="1217" w:val="left" w:leader="none"/>
        </w:tabs>
        <w:spacing w:line="240" w:lineRule="auto" w:before="210" w:after="0"/>
        <w:ind w:left="1217" w:right="0" w:hanging="426"/>
        <w:jc w:val="left"/>
        <w:rPr>
          <w:sz w:val="24"/>
        </w:rPr>
      </w:pPr>
      <w:r>
        <w:rPr>
          <w:sz w:val="24"/>
        </w:rPr>
        <w:t>Personal</w:t>
      </w:r>
      <w:r>
        <w:rPr>
          <w:spacing w:val="-4"/>
          <w:sz w:val="24"/>
        </w:rPr>
        <w:t> </w:t>
      </w:r>
      <w:r>
        <w:rPr>
          <w:sz w:val="24"/>
        </w:rPr>
        <w:t>information</w:t>
      </w:r>
      <w:r>
        <w:rPr>
          <w:spacing w:val="-3"/>
          <w:sz w:val="24"/>
        </w:rPr>
        <w:t> </w:t>
      </w:r>
      <w:r>
        <w:rPr>
          <w:sz w:val="24"/>
        </w:rPr>
        <w:t>will</w:t>
      </w:r>
      <w:r>
        <w:rPr>
          <w:spacing w:val="-3"/>
          <w:sz w:val="24"/>
        </w:rPr>
        <w:t> </w:t>
      </w:r>
      <w:r>
        <w:rPr>
          <w:sz w:val="24"/>
        </w:rPr>
        <w:t>be</w:t>
      </w:r>
      <w:r>
        <w:rPr>
          <w:spacing w:val="-3"/>
          <w:sz w:val="24"/>
        </w:rPr>
        <w:t> </w:t>
      </w:r>
      <w:r>
        <w:rPr>
          <w:sz w:val="24"/>
        </w:rPr>
        <w:t>released</w:t>
      </w:r>
      <w:r>
        <w:rPr>
          <w:spacing w:val="-3"/>
          <w:sz w:val="24"/>
        </w:rPr>
        <w:t> </w:t>
      </w:r>
      <w:r>
        <w:rPr>
          <w:sz w:val="24"/>
        </w:rPr>
        <w:t>if</w:t>
      </w:r>
      <w:r>
        <w:rPr>
          <w:spacing w:val="-2"/>
          <w:sz w:val="24"/>
        </w:rPr>
        <w:t> </w:t>
      </w:r>
      <w:r>
        <w:rPr>
          <w:sz w:val="24"/>
        </w:rPr>
        <w:t>required</w:t>
      </w:r>
      <w:r>
        <w:rPr>
          <w:spacing w:val="-3"/>
          <w:sz w:val="24"/>
        </w:rPr>
        <w:t> </w:t>
      </w:r>
      <w:r>
        <w:rPr>
          <w:sz w:val="24"/>
        </w:rPr>
        <w:t>by</w:t>
      </w:r>
      <w:r>
        <w:rPr>
          <w:spacing w:val="-2"/>
          <w:sz w:val="24"/>
        </w:rPr>
        <w:t> </w:t>
      </w:r>
      <w:r>
        <w:rPr>
          <w:sz w:val="24"/>
        </w:rPr>
        <w:t>Federal</w:t>
      </w:r>
      <w:r>
        <w:rPr>
          <w:spacing w:val="-3"/>
          <w:sz w:val="24"/>
        </w:rPr>
        <w:t> </w:t>
      </w:r>
      <w:r>
        <w:rPr>
          <w:sz w:val="24"/>
        </w:rPr>
        <w:t>law</w:t>
      </w:r>
      <w:r>
        <w:rPr>
          <w:spacing w:val="-3"/>
          <w:sz w:val="24"/>
        </w:rPr>
        <w:t> </w:t>
      </w:r>
      <w:r>
        <w:rPr>
          <w:sz w:val="24"/>
        </w:rPr>
        <w:t>or</w:t>
      </w:r>
      <w:r>
        <w:rPr>
          <w:spacing w:val="-2"/>
          <w:sz w:val="24"/>
        </w:rPr>
        <w:t> regulations.</w:t>
      </w:r>
    </w:p>
    <w:p>
      <w:pPr>
        <w:pStyle w:val="ListParagraph"/>
        <w:numPr>
          <w:ilvl w:val="1"/>
          <w:numId w:val="77"/>
        </w:numPr>
        <w:tabs>
          <w:tab w:pos="1217" w:val="left" w:leader="none"/>
        </w:tabs>
        <w:spacing w:line="208" w:lineRule="auto" w:before="234" w:after="0"/>
        <w:ind w:left="791" w:right="721" w:firstLine="0"/>
        <w:jc w:val="left"/>
        <w:rPr>
          <w:sz w:val="24"/>
        </w:rPr>
      </w:pPr>
      <w:r>
        <w:rPr>
          <w:sz w:val="24"/>
        </w:rPr>
        <w:t>Personal</w:t>
      </w:r>
      <w:r>
        <w:rPr>
          <w:spacing w:val="-4"/>
          <w:sz w:val="24"/>
        </w:rPr>
        <w:t> </w:t>
      </w:r>
      <w:r>
        <w:rPr>
          <w:sz w:val="24"/>
        </w:rPr>
        <w:t>information</w:t>
      </w:r>
      <w:r>
        <w:rPr>
          <w:spacing w:val="-4"/>
          <w:sz w:val="24"/>
        </w:rPr>
        <w:t> </w:t>
      </w:r>
      <w:r>
        <w:rPr>
          <w:sz w:val="24"/>
        </w:rPr>
        <w:t>will</w:t>
      </w:r>
      <w:r>
        <w:rPr>
          <w:spacing w:val="-4"/>
          <w:sz w:val="24"/>
        </w:rPr>
        <w:t> </w:t>
      </w:r>
      <w:r>
        <w:rPr>
          <w:sz w:val="24"/>
        </w:rPr>
        <w:t>be</w:t>
      </w:r>
      <w:r>
        <w:rPr>
          <w:spacing w:val="-4"/>
          <w:sz w:val="24"/>
        </w:rPr>
        <w:t> </w:t>
      </w:r>
      <w:r>
        <w:rPr>
          <w:sz w:val="24"/>
        </w:rPr>
        <w:t>released</w:t>
      </w:r>
      <w:r>
        <w:rPr>
          <w:spacing w:val="-4"/>
          <w:sz w:val="24"/>
        </w:rPr>
        <w:t> </w:t>
      </w:r>
      <w:r>
        <w:rPr>
          <w:sz w:val="24"/>
        </w:rPr>
        <w:t>in</w:t>
      </w:r>
      <w:r>
        <w:rPr>
          <w:spacing w:val="-4"/>
          <w:sz w:val="24"/>
        </w:rPr>
        <w:t> </w:t>
      </w:r>
      <w:r>
        <w:rPr>
          <w:sz w:val="24"/>
        </w:rPr>
        <w:t>response</w:t>
      </w:r>
      <w:r>
        <w:rPr>
          <w:spacing w:val="-4"/>
          <w:sz w:val="24"/>
        </w:rPr>
        <w:t> </w:t>
      </w:r>
      <w:r>
        <w:rPr>
          <w:sz w:val="24"/>
        </w:rPr>
        <w:t>to</w:t>
      </w:r>
      <w:r>
        <w:rPr>
          <w:spacing w:val="-4"/>
          <w:sz w:val="24"/>
        </w:rPr>
        <w:t> </w:t>
      </w:r>
      <w:r>
        <w:rPr>
          <w:sz w:val="24"/>
        </w:rPr>
        <w:t>investigations</w:t>
      </w:r>
      <w:r>
        <w:rPr>
          <w:spacing w:val="-4"/>
          <w:sz w:val="24"/>
        </w:rPr>
        <w:t> </w:t>
      </w:r>
      <w:r>
        <w:rPr>
          <w:sz w:val="24"/>
        </w:rPr>
        <w:t>in</w:t>
      </w:r>
      <w:r>
        <w:rPr>
          <w:spacing w:val="-4"/>
          <w:sz w:val="24"/>
        </w:rPr>
        <w:t> </w:t>
      </w:r>
      <w:r>
        <w:rPr>
          <w:sz w:val="24"/>
        </w:rPr>
        <w:t>connection with law enforcement, fraud, or abuse, unless expressly prohibited by Federal or State laws or regulations, and in response to an order issued by a judge,</w:t>
      </w:r>
      <w:r>
        <w:rPr>
          <w:spacing w:val="40"/>
          <w:sz w:val="24"/>
        </w:rPr>
        <w:t> </w:t>
      </w:r>
      <w:r>
        <w:rPr>
          <w:sz w:val="24"/>
        </w:rPr>
        <w:t>magistrate, or other authorized judicial officer.</w:t>
      </w:r>
    </w:p>
    <w:p>
      <w:pPr>
        <w:pStyle w:val="ListParagraph"/>
        <w:numPr>
          <w:ilvl w:val="1"/>
          <w:numId w:val="77"/>
        </w:numPr>
        <w:tabs>
          <w:tab w:pos="1218" w:val="left" w:leader="none"/>
        </w:tabs>
        <w:spacing w:line="208" w:lineRule="auto" w:before="239" w:after="0"/>
        <w:ind w:left="792" w:right="749" w:firstLine="0"/>
        <w:jc w:val="left"/>
        <w:rPr>
          <w:sz w:val="24"/>
        </w:rPr>
      </w:pPr>
      <w:r>
        <w:rPr>
          <w:sz w:val="24"/>
        </w:rPr>
        <w:t>Personal</w:t>
      </w:r>
      <w:r>
        <w:rPr>
          <w:spacing w:val="-4"/>
          <w:sz w:val="24"/>
        </w:rPr>
        <w:t> </w:t>
      </w:r>
      <w:r>
        <w:rPr>
          <w:sz w:val="24"/>
        </w:rPr>
        <w:t>information</w:t>
      </w:r>
      <w:r>
        <w:rPr>
          <w:spacing w:val="-4"/>
          <w:sz w:val="24"/>
        </w:rPr>
        <w:t> </w:t>
      </w:r>
      <w:r>
        <w:rPr>
          <w:sz w:val="24"/>
        </w:rPr>
        <w:t>may</w:t>
      </w:r>
      <w:r>
        <w:rPr>
          <w:spacing w:val="-4"/>
          <w:sz w:val="24"/>
        </w:rPr>
        <w:t> </w:t>
      </w:r>
      <w:r>
        <w:rPr>
          <w:sz w:val="24"/>
        </w:rPr>
        <w:t>be</w:t>
      </w:r>
      <w:r>
        <w:rPr>
          <w:spacing w:val="-5"/>
          <w:sz w:val="24"/>
        </w:rPr>
        <w:t> </w:t>
      </w:r>
      <w:r>
        <w:rPr>
          <w:sz w:val="24"/>
        </w:rPr>
        <w:t>released</w:t>
      </w:r>
      <w:r>
        <w:rPr>
          <w:spacing w:val="-4"/>
          <w:sz w:val="24"/>
        </w:rPr>
        <w:t> </w:t>
      </w:r>
      <w:r>
        <w:rPr>
          <w:sz w:val="24"/>
        </w:rPr>
        <w:t>in</w:t>
      </w:r>
      <w:r>
        <w:rPr>
          <w:spacing w:val="-3"/>
          <w:sz w:val="24"/>
        </w:rPr>
        <w:t> </w:t>
      </w:r>
      <w:r>
        <w:rPr>
          <w:sz w:val="24"/>
        </w:rPr>
        <w:t>order</w:t>
      </w:r>
      <w:r>
        <w:rPr>
          <w:spacing w:val="-3"/>
          <w:sz w:val="24"/>
        </w:rPr>
        <w:t> </w:t>
      </w:r>
      <w:r>
        <w:rPr>
          <w:sz w:val="24"/>
        </w:rPr>
        <w:t>to</w:t>
      </w:r>
      <w:r>
        <w:rPr>
          <w:spacing w:val="-5"/>
          <w:sz w:val="24"/>
        </w:rPr>
        <w:t> </w:t>
      </w:r>
      <w:r>
        <w:rPr>
          <w:sz w:val="24"/>
        </w:rPr>
        <w:t>protect</w:t>
      </w:r>
      <w:r>
        <w:rPr>
          <w:spacing w:val="-3"/>
          <w:sz w:val="24"/>
        </w:rPr>
        <w:t> </w:t>
      </w:r>
      <w:r>
        <w:rPr>
          <w:sz w:val="24"/>
        </w:rPr>
        <w:t>the</w:t>
      </w:r>
      <w:r>
        <w:rPr>
          <w:spacing w:val="-4"/>
          <w:sz w:val="24"/>
        </w:rPr>
        <w:t> </w:t>
      </w:r>
      <w:r>
        <w:rPr>
          <w:sz w:val="24"/>
        </w:rPr>
        <w:t>individual</w:t>
      </w:r>
      <w:r>
        <w:rPr>
          <w:spacing w:val="-4"/>
          <w:sz w:val="24"/>
        </w:rPr>
        <w:t> </w:t>
      </w:r>
      <w:r>
        <w:rPr>
          <w:sz w:val="24"/>
        </w:rPr>
        <w:t>or</w:t>
      </w:r>
      <w:r>
        <w:rPr>
          <w:spacing w:val="-3"/>
          <w:sz w:val="24"/>
        </w:rPr>
        <w:t> </w:t>
      </w:r>
      <w:r>
        <w:rPr>
          <w:sz w:val="24"/>
        </w:rPr>
        <w:t>others if the individual poses a threat to his or her safety or to the safety of others.</w:t>
      </w:r>
    </w:p>
    <w:p>
      <w:pPr>
        <w:pStyle w:val="ListParagraph"/>
        <w:numPr>
          <w:ilvl w:val="0"/>
          <w:numId w:val="77"/>
        </w:numPr>
        <w:tabs>
          <w:tab w:pos="719" w:val="left" w:leader="none"/>
        </w:tabs>
        <w:spacing w:line="208" w:lineRule="auto" w:before="240" w:after="0"/>
        <w:ind w:left="360" w:right="870" w:firstLine="0"/>
        <w:jc w:val="left"/>
        <w:rPr>
          <w:sz w:val="24"/>
        </w:rPr>
      </w:pPr>
      <w:r>
        <w:rPr>
          <w:b/>
          <w:sz w:val="24"/>
        </w:rPr>
        <w:t>Release of information for audit, evaluation or research. </w:t>
      </w:r>
      <w:r>
        <w:rPr>
          <w:sz w:val="24"/>
        </w:rPr>
        <w:t>Personal information may</w:t>
      </w:r>
      <w:r>
        <w:rPr>
          <w:spacing w:val="-4"/>
          <w:sz w:val="24"/>
        </w:rPr>
        <w:t> </w:t>
      </w:r>
      <w:r>
        <w:rPr>
          <w:sz w:val="24"/>
        </w:rPr>
        <w:t>be</w:t>
      </w:r>
      <w:r>
        <w:rPr>
          <w:spacing w:val="-4"/>
          <w:sz w:val="24"/>
        </w:rPr>
        <w:t> </w:t>
      </w:r>
      <w:r>
        <w:rPr>
          <w:sz w:val="24"/>
        </w:rPr>
        <w:t>released</w:t>
      </w:r>
      <w:r>
        <w:rPr>
          <w:spacing w:val="-4"/>
          <w:sz w:val="24"/>
        </w:rPr>
        <w:t> </w:t>
      </w:r>
      <w:r>
        <w:rPr>
          <w:sz w:val="24"/>
        </w:rPr>
        <w:t>to</w:t>
      </w:r>
      <w:r>
        <w:rPr>
          <w:spacing w:val="-4"/>
          <w:sz w:val="24"/>
        </w:rPr>
        <w:t> </w:t>
      </w:r>
      <w:r>
        <w:rPr>
          <w:sz w:val="24"/>
        </w:rPr>
        <w:t>an</w:t>
      </w:r>
      <w:r>
        <w:rPr>
          <w:spacing w:val="-4"/>
          <w:sz w:val="24"/>
        </w:rPr>
        <w:t> </w:t>
      </w:r>
      <w:r>
        <w:rPr>
          <w:sz w:val="24"/>
        </w:rPr>
        <w:t>organization,</w:t>
      </w:r>
      <w:r>
        <w:rPr>
          <w:spacing w:val="-3"/>
          <w:sz w:val="24"/>
        </w:rPr>
        <w:t> </w:t>
      </w:r>
      <w:r>
        <w:rPr>
          <w:sz w:val="24"/>
        </w:rPr>
        <w:t>agency,</w:t>
      </w:r>
      <w:r>
        <w:rPr>
          <w:spacing w:val="-3"/>
          <w:sz w:val="24"/>
        </w:rPr>
        <w:t> </w:t>
      </w:r>
      <w:r>
        <w:rPr>
          <w:sz w:val="24"/>
        </w:rPr>
        <w:t>or</w:t>
      </w:r>
      <w:r>
        <w:rPr>
          <w:spacing w:val="-3"/>
          <w:sz w:val="24"/>
        </w:rPr>
        <w:t> </w:t>
      </w:r>
      <w:r>
        <w:rPr>
          <w:sz w:val="24"/>
        </w:rPr>
        <w:t>individual</w:t>
      </w:r>
      <w:r>
        <w:rPr>
          <w:spacing w:val="-4"/>
          <w:sz w:val="24"/>
        </w:rPr>
        <w:t> </w:t>
      </w:r>
      <w:r>
        <w:rPr>
          <w:sz w:val="24"/>
        </w:rPr>
        <w:t>engaged</w:t>
      </w:r>
      <w:r>
        <w:rPr>
          <w:spacing w:val="-3"/>
          <w:sz w:val="24"/>
        </w:rPr>
        <w:t> </w:t>
      </w:r>
      <w:r>
        <w:rPr>
          <w:sz w:val="24"/>
        </w:rPr>
        <w:t>in</w:t>
      </w:r>
      <w:r>
        <w:rPr>
          <w:spacing w:val="-4"/>
          <w:sz w:val="24"/>
        </w:rPr>
        <w:t> </w:t>
      </w:r>
      <w:r>
        <w:rPr>
          <w:sz w:val="24"/>
        </w:rPr>
        <w:t>audit,</w:t>
      </w:r>
      <w:r>
        <w:rPr>
          <w:spacing w:val="-3"/>
          <w:sz w:val="24"/>
        </w:rPr>
        <w:t> </w:t>
      </w:r>
      <w:r>
        <w:rPr>
          <w:sz w:val="24"/>
        </w:rPr>
        <w:t>evaluation, or research, only:</w:t>
      </w:r>
    </w:p>
    <w:p>
      <w:pPr>
        <w:pStyle w:val="ListParagraph"/>
        <w:spacing w:after="0" w:line="208" w:lineRule="auto"/>
        <w:jc w:val="left"/>
        <w:rPr>
          <w:sz w:val="24"/>
        </w:rPr>
        <w:sectPr>
          <w:pgSz w:w="12240" w:h="15840"/>
          <w:pgMar w:top="1340" w:bottom="280" w:left="1080" w:right="720"/>
        </w:sectPr>
      </w:pPr>
    </w:p>
    <w:p>
      <w:pPr>
        <w:pStyle w:val="ListParagraph"/>
        <w:numPr>
          <w:ilvl w:val="1"/>
          <w:numId w:val="77"/>
        </w:numPr>
        <w:tabs>
          <w:tab w:pos="1216" w:val="left" w:leader="none"/>
        </w:tabs>
        <w:spacing w:line="208" w:lineRule="auto" w:before="96" w:after="0"/>
        <w:ind w:left="791" w:right="722" w:firstLine="0"/>
        <w:jc w:val="left"/>
        <w:rPr>
          <w:sz w:val="24"/>
        </w:rPr>
      </w:pPr>
      <w:r>
        <w:rPr>
          <w:sz w:val="24"/>
        </w:rPr>
        <w:t>for</w:t>
      </w:r>
      <w:r>
        <w:rPr>
          <w:spacing w:val="-4"/>
          <w:sz w:val="24"/>
        </w:rPr>
        <w:t> </w:t>
      </w:r>
      <w:r>
        <w:rPr>
          <w:sz w:val="24"/>
        </w:rPr>
        <w:t>the</w:t>
      </w:r>
      <w:r>
        <w:rPr>
          <w:spacing w:val="-4"/>
          <w:sz w:val="24"/>
        </w:rPr>
        <w:t> </w:t>
      </w:r>
      <w:r>
        <w:rPr>
          <w:sz w:val="24"/>
        </w:rPr>
        <w:t>purposes</w:t>
      </w:r>
      <w:r>
        <w:rPr>
          <w:spacing w:val="-3"/>
          <w:sz w:val="24"/>
        </w:rPr>
        <w:t> </w:t>
      </w:r>
      <w:r>
        <w:rPr>
          <w:sz w:val="24"/>
        </w:rPr>
        <w:t>directly</w:t>
      </w:r>
      <w:r>
        <w:rPr>
          <w:spacing w:val="-3"/>
          <w:sz w:val="24"/>
        </w:rPr>
        <w:t> </w:t>
      </w:r>
      <w:r>
        <w:rPr>
          <w:sz w:val="24"/>
        </w:rPr>
        <w:t>connected</w:t>
      </w:r>
      <w:r>
        <w:rPr>
          <w:spacing w:val="-3"/>
          <w:sz w:val="24"/>
        </w:rPr>
        <w:t> </w:t>
      </w:r>
      <w:r>
        <w:rPr>
          <w:sz w:val="24"/>
        </w:rPr>
        <w:t>with</w:t>
      </w:r>
      <w:r>
        <w:rPr>
          <w:spacing w:val="-3"/>
          <w:sz w:val="24"/>
        </w:rPr>
        <w:t> </w:t>
      </w:r>
      <w:r>
        <w:rPr>
          <w:sz w:val="24"/>
        </w:rPr>
        <w:t>the</w:t>
      </w:r>
      <w:r>
        <w:rPr>
          <w:spacing w:val="-3"/>
          <w:sz w:val="24"/>
        </w:rPr>
        <w:t> </w:t>
      </w:r>
      <w:r>
        <w:rPr>
          <w:sz w:val="24"/>
        </w:rPr>
        <w:t>administration</w:t>
      </w:r>
      <w:r>
        <w:rPr>
          <w:spacing w:val="-3"/>
          <w:sz w:val="24"/>
        </w:rPr>
        <w:t> </w:t>
      </w:r>
      <w:r>
        <w:rPr>
          <w:sz w:val="24"/>
        </w:rPr>
        <w:t>of</w:t>
      </w:r>
      <w:r>
        <w:rPr>
          <w:spacing w:val="-3"/>
          <w:sz w:val="24"/>
        </w:rPr>
        <w:t> </w:t>
      </w:r>
      <w:r>
        <w:rPr>
          <w:sz w:val="24"/>
        </w:rPr>
        <w:t>the</w:t>
      </w:r>
      <w:r>
        <w:rPr>
          <w:spacing w:val="-3"/>
          <w:sz w:val="24"/>
        </w:rPr>
        <w:t> </w:t>
      </w:r>
      <w:r>
        <w:rPr>
          <w:sz w:val="24"/>
        </w:rPr>
        <w:t>DVR</w:t>
      </w:r>
      <w:r>
        <w:rPr>
          <w:spacing w:val="-3"/>
          <w:sz w:val="24"/>
        </w:rPr>
        <w:t> </w:t>
      </w:r>
      <w:r>
        <w:rPr>
          <w:sz w:val="24"/>
        </w:rPr>
        <w:t>or</w:t>
      </w:r>
      <w:r>
        <w:rPr>
          <w:spacing w:val="-3"/>
          <w:sz w:val="24"/>
        </w:rPr>
        <w:t> </w:t>
      </w:r>
      <w:r>
        <w:rPr>
          <w:sz w:val="24"/>
        </w:rPr>
        <w:t>DSBVI </w:t>
      </w:r>
      <w:r>
        <w:rPr>
          <w:spacing w:val="-2"/>
          <w:sz w:val="24"/>
        </w:rPr>
        <w:t>program;</w:t>
      </w:r>
    </w:p>
    <w:p>
      <w:pPr>
        <w:pStyle w:val="ListParagraph"/>
        <w:numPr>
          <w:ilvl w:val="1"/>
          <w:numId w:val="77"/>
        </w:numPr>
        <w:tabs>
          <w:tab w:pos="1216" w:val="left" w:leader="none"/>
        </w:tabs>
        <w:spacing w:line="208" w:lineRule="auto" w:before="240" w:after="0"/>
        <w:ind w:left="791" w:right="721" w:firstLine="0"/>
        <w:jc w:val="left"/>
        <w:rPr>
          <w:sz w:val="24"/>
        </w:rPr>
      </w:pPr>
      <w:r>
        <w:rPr>
          <w:sz w:val="24"/>
        </w:rPr>
        <w:t>for</w:t>
      </w:r>
      <w:r>
        <w:rPr>
          <w:spacing w:val="-2"/>
          <w:sz w:val="24"/>
        </w:rPr>
        <w:t> </w:t>
      </w:r>
      <w:r>
        <w:rPr>
          <w:sz w:val="24"/>
        </w:rPr>
        <w:t>purposes</w:t>
      </w:r>
      <w:r>
        <w:rPr>
          <w:spacing w:val="-3"/>
          <w:sz w:val="24"/>
        </w:rPr>
        <w:t> </w:t>
      </w:r>
      <w:r>
        <w:rPr>
          <w:sz w:val="24"/>
        </w:rPr>
        <w:t>which</w:t>
      </w:r>
      <w:r>
        <w:rPr>
          <w:spacing w:val="-3"/>
          <w:sz w:val="24"/>
        </w:rPr>
        <w:t> </w:t>
      </w:r>
      <w:r>
        <w:rPr>
          <w:sz w:val="24"/>
        </w:rPr>
        <w:t>would</w:t>
      </w:r>
      <w:r>
        <w:rPr>
          <w:spacing w:val="-3"/>
          <w:sz w:val="24"/>
        </w:rPr>
        <w:t> </w:t>
      </w:r>
      <w:r>
        <w:rPr>
          <w:sz w:val="24"/>
        </w:rPr>
        <w:t>significantly</w:t>
      </w:r>
      <w:r>
        <w:rPr>
          <w:spacing w:val="-3"/>
          <w:sz w:val="24"/>
        </w:rPr>
        <w:t> </w:t>
      </w:r>
      <w:r>
        <w:rPr>
          <w:sz w:val="24"/>
        </w:rPr>
        <w:t>improve</w:t>
      </w:r>
      <w:r>
        <w:rPr>
          <w:spacing w:val="-3"/>
          <w:sz w:val="24"/>
        </w:rPr>
        <w:t> </w:t>
      </w:r>
      <w:r>
        <w:rPr>
          <w:sz w:val="24"/>
        </w:rPr>
        <w:t>the</w:t>
      </w:r>
      <w:r>
        <w:rPr>
          <w:spacing w:val="-4"/>
          <w:sz w:val="24"/>
        </w:rPr>
        <w:t> </w:t>
      </w:r>
      <w:r>
        <w:rPr>
          <w:sz w:val="24"/>
        </w:rPr>
        <w:t>quality</w:t>
      </w:r>
      <w:r>
        <w:rPr>
          <w:spacing w:val="-3"/>
          <w:sz w:val="24"/>
        </w:rPr>
        <w:t> </w:t>
      </w:r>
      <w:r>
        <w:rPr>
          <w:sz w:val="24"/>
        </w:rPr>
        <w:t>of</w:t>
      </w:r>
      <w:r>
        <w:rPr>
          <w:spacing w:val="-2"/>
          <w:sz w:val="24"/>
        </w:rPr>
        <w:t> </w:t>
      </w:r>
      <w:r>
        <w:rPr>
          <w:sz w:val="24"/>
        </w:rPr>
        <w:t>life</w:t>
      </w:r>
      <w:r>
        <w:rPr>
          <w:spacing w:val="-3"/>
          <w:sz w:val="24"/>
        </w:rPr>
        <w:t> </w:t>
      </w:r>
      <w:r>
        <w:rPr>
          <w:sz w:val="24"/>
        </w:rPr>
        <w:t>for</w:t>
      </w:r>
      <w:r>
        <w:rPr>
          <w:spacing w:val="-4"/>
          <w:sz w:val="24"/>
        </w:rPr>
        <w:t> </w:t>
      </w:r>
      <w:r>
        <w:rPr>
          <w:sz w:val="24"/>
        </w:rPr>
        <w:t>persons</w:t>
      </w:r>
      <w:r>
        <w:rPr>
          <w:spacing w:val="-3"/>
          <w:sz w:val="24"/>
        </w:rPr>
        <w:t> </w:t>
      </w:r>
      <w:r>
        <w:rPr>
          <w:sz w:val="24"/>
        </w:rPr>
        <w:t>with disabilities; and</w:t>
      </w:r>
    </w:p>
    <w:p>
      <w:pPr>
        <w:pStyle w:val="ListParagraph"/>
        <w:numPr>
          <w:ilvl w:val="1"/>
          <w:numId w:val="77"/>
        </w:numPr>
        <w:tabs>
          <w:tab w:pos="1217" w:val="left" w:leader="none"/>
        </w:tabs>
        <w:spacing w:line="240" w:lineRule="auto" w:before="210" w:after="0"/>
        <w:ind w:left="1217" w:right="0" w:hanging="426"/>
        <w:jc w:val="left"/>
        <w:rPr>
          <w:sz w:val="24"/>
        </w:rPr>
      </w:pPr>
      <w:r>
        <w:rPr>
          <w:sz w:val="24"/>
        </w:rPr>
        <w:t>if</w:t>
      </w:r>
      <w:r>
        <w:rPr>
          <w:spacing w:val="-5"/>
          <w:sz w:val="24"/>
        </w:rPr>
        <w:t> </w:t>
      </w:r>
      <w:r>
        <w:rPr>
          <w:sz w:val="24"/>
        </w:rPr>
        <w:t>the</w:t>
      </w:r>
      <w:r>
        <w:rPr>
          <w:spacing w:val="-4"/>
          <w:sz w:val="24"/>
        </w:rPr>
        <w:t> </w:t>
      </w:r>
      <w:r>
        <w:rPr>
          <w:sz w:val="24"/>
        </w:rPr>
        <w:t>organization,</w:t>
      </w:r>
      <w:r>
        <w:rPr>
          <w:spacing w:val="-3"/>
          <w:sz w:val="24"/>
        </w:rPr>
        <w:t> </w:t>
      </w:r>
      <w:r>
        <w:rPr>
          <w:sz w:val="24"/>
        </w:rPr>
        <w:t>agency</w:t>
      </w:r>
      <w:r>
        <w:rPr>
          <w:spacing w:val="-4"/>
          <w:sz w:val="24"/>
        </w:rPr>
        <w:t> </w:t>
      </w:r>
      <w:r>
        <w:rPr>
          <w:sz w:val="24"/>
        </w:rPr>
        <w:t>or</w:t>
      </w:r>
      <w:r>
        <w:rPr>
          <w:spacing w:val="-3"/>
          <w:sz w:val="24"/>
        </w:rPr>
        <w:t> </w:t>
      </w:r>
      <w:r>
        <w:rPr>
          <w:sz w:val="24"/>
        </w:rPr>
        <w:t>individual</w:t>
      </w:r>
      <w:r>
        <w:rPr>
          <w:spacing w:val="-3"/>
          <w:sz w:val="24"/>
        </w:rPr>
        <w:t> </w:t>
      </w:r>
      <w:r>
        <w:rPr>
          <w:spacing w:val="-2"/>
          <w:sz w:val="24"/>
        </w:rPr>
        <w:t>assures:</w:t>
      </w:r>
    </w:p>
    <w:p>
      <w:pPr>
        <w:pStyle w:val="ListParagraph"/>
        <w:numPr>
          <w:ilvl w:val="2"/>
          <w:numId w:val="77"/>
        </w:numPr>
        <w:tabs>
          <w:tab w:pos="1677" w:val="left" w:leader="none"/>
        </w:tabs>
        <w:spacing w:line="240" w:lineRule="auto" w:before="204" w:after="0"/>
        <w:ind w:left="1677" w:right="0" w:hanging="453"/>
        <w:jc w:val="left"/>
        <w:rPr>
          <w:sz w:val="24"/>
        </w:rPr>
      </w:pPr>
      <w:r>
        <w:rPr>
          <w:sz w:val="24"/>
        </w:rPr>
        <w:t>The</w:t>
      </w:r>
      <w:r>
        <w:rPr>
          <w:spacing w:val="-3"/>
          <w:sz w:val="24"/>
        </w:rPr>
        <w:t> </w:t>
      </w:r>
      <w:r>
        <w:rPr>
          <w:sz w:val="24"/>
        </w:rPr>
        <w:t>information</w:t>
      </w:r>
      <w:r>
        <w:rPr>
          <w:spacing w:val="-2"/>
          <w:sz w:val="24"/>
        </w:rPr>
        <w:t> </w:t>
      </w:r>
      <w:r>
        <w:rPr>
          <w:sz w:val="24"/>
        </w:rPr>
        <w:t>will</w:t>
      </w:r>
      <w:r>
        <w:rPr>
          <w:spacing w:val="-2"/>
          <w:sz w:val="24"/>
        </w:rPr>
        <w:t> </w:t>
      </w:r>
      <w:r>
        <w:rPr>
          <w:sz w:val="24"/>
        </w:rPr>
        <w:t>be</w:t>
      </w:r>
      <w:r>
        <w:rPr>
          <w:spacing w:val="-3"/>
          <w:sz w:val="24"/>
        </w:rPr>
        <w:t> </w:t>
      </w:r>
      <w:r>
        <w:rPr>
          <w:sz w:val="24"/>
        </w:rPr>
        <w:t>used</w:t>
      </w:r>
      <w:r>
        <w:rPr>
          <w:spacing w:val="-2"/>
          <w:sz w:val="24"/>
        </w:rPr>
        <w:t> </w:t>
      </w:r>
      <w:r>
        <w:rPr>
          <w:sz w:val="24"/>
        </w:rPr>
        <w:t>only</w:t>
      </w:r>
      <w:r>
        <w:rPr>
          <w:spacing w:val="-2"/>
          <w:sz w:val="24"/>
        </w:rPr>
        <w:t> </w:t>
      </w:r>
      <w:r>
        <w:rPr>
          <w:sz w:val="24"/>
        </w:rPr>
        <w:t>for</w:t>
      </w:r>
      <w:r>
        <w:rPr>
          <w:spacing w:val="-2"/>
          <w:sz w:val="24"/>
        </w:rPr>
        <w:t> </w:t>
      </w:r>
      <w:r>
        <w:rPr>
          <w:sz w:val="24"/>
        </w:rPr>
        <w:t>the</w:t>
      </w:r>
      <w:r>
        <w:rPr>
          <w:spacing w:val="-3"/>
          <w:sz w:val="24"/>
        </w:rPr>
        <w:t> </w:t>
      </w:r>
      <w:r>
        <w:rPr>
          <w:sz w:val="24"/>
        </w:rPr>
        <w:t>purpose</w:t>
      </w:r>
      <w:r>
        <w:rPr>
          <w:spacing w:val="-2"/>
          <w:sz w:val="24"/>
        </w:rPr>
        <w:t> </w:t>
      </w:r>
      <w:r>
        <w:rPr>
          <w:sz w:val="24"/>
        </w:rPr>
        <w:t>it</w:t>
      </w:r>
      <w:r>
        <w:rPr>
          <w:spacing w:val="-2"/>
          <w:sz w:val="24"/>
        </w:rPr>
        <w:t> </w:t>
      </w:r>
      <w:r>
        <w:rPr>
          <w:sz w:val="24"/>
        </w:rPr>
        <w:t>is</w:t>
      </w:r>
      <w:r>
        <w:rPr>
          <w:spacing w:val="-2"/>
          <w:sz w:val="24"/>
        </w:rPr>
        <w:t> </w:t>
      </w:r>
      <w:r>
        <w:rPr>
          <w:sz w:val="24"/>
        </w:rPr>
        <w:t>being</w:t>
      </w:r>
      <w:r>
        <w:rPr>
          <w:spacing w:val="-2"/>
          <w:sz w:val="24"/>
        </w:rPr>
        <w:t> provided;</w:t>
      </w:r>
    </w:p>
    <w:p>
      <w:pPr>
        <w:pStyle w:val="ListParagraph"/>
        <w:numPr>
          <w:ilvl w:val="2"/>
          <w:numId w:val="77"/>
        </w:numPr>
        <w:tabs>
          <w:tab w:pos="1677" w:val="left" w:leader="none"/>
        </w:tabs>
        <w:spacing w:line="208" w:lineRule="auto" w:before="233" w:after="0"/>
        <w:ind w:left="1224" w:right="1090" w:firstLine="0"/>
        <w:jc w:val="left"/>
        <w:rPr>
          <w:sz w:val="24"/>
        </w:rPr>
      </w:pPr>
      <w:r>
        <w:rPr>
          <w:sz w:val="24"/>
        </w:rPr>
        <w:t>The</w:t>
      </w:r>
      <w:r>
        <w:rPr>
          <w:spacing w:val="-4"/>
          <w:sz w:val="24"/>
        </w:rPr>
        <w:t> </w:t>
      </w:r>
      <w:r>
        <w:rPr>
          <w:sz w:val="24"/>
        </w:rPr>
        <w:t>information</w:t>
      </w:r>
      <w:r>
        <w:rPr>
          <w:spacing w:val="-4"/>
          <w:sz w:val="24"/>
        </w:rPr>
        <w:t> </w:t>
      </w:r>
      <w:r>
        <w:rPr>
          <w:sz w:val="24"/>
        </w:rPr>
        <w:t>will</w:t>
      </w:r>
      <w:r>
        <w:rPr>
          <w:spacing w:val="-4"/>
          <w:sz w:val="24"/>
        </w:rPr>
        <w:t> </w:t>
      </w:r>
      <w:r>
        <w:rPr>
          <w:sz w:val="24"/>
        </w:rPr>
        <w:t>be</w:t>
      </w:r>
      <w:r>
        <w:rPr>
          <w:spacing w:val="-4"/>
          <w:sz w:val="24"/>
        </w:rPr>
        <w:t> </w:t>
      </w:r>
      <w:r>
        <w:rPr>
          <w:sz w:val="24"/>
        </w:rPr>
        <w:t>released</w:t>
      </w:r>
      <w:r>
        <w:rPr>
          <w:spacing w:val="-4"/>
          <w:sz w:val="24"/>
        </w:rPr>
        <w:t> </w:t>
      </w:r>
      <w:r>
        <w:rPr>
          <w:sz w:val="24"/>
        </w:rPr>
        <w:t>only</w:t>
      </w:r>
      <w:r>
        <w:rPr>
          <w:spacing w:val="-4"/>
          <w:sz w:val="24"/>
        </w:rPr>
        <w:t> </w:t>
      </w:r>
      <w:r>
        <w:rPr>
          <w:sz w:val="24"/>
        </w:rPr>
        <w:t>to</w:t>
      </w:r>
      <w:r>
        <w:rPr>
          <w:spacing w:val="-4"/>
          <w:sz w:val="24"/>
        </w:rPr>
        <w:t> </w:t>
      </w:r>
      <w:r>
        <w:rPr>
          <w:sz w:val="24"/>
        </w:rPr>
        <w:t>persons</w:t>
      </w:r>
      <w:r>
        <w:rPr>
          <w:spacing w:val="-4"/>
          <w:sz w:val="24"/>
        </w:rPr>
        <w:t> </w:t>
      </w:r>
      <w:r>
        <w:rPr>
          <w:sz w:val="24"/>
        </w:rPr>
        <w:t>officially</w:t>
      </w:r>
      <w:r>
        <w:rPr>
          <w:spacing w:val="-4"/>
          <w:sz w:val="24"/>
        </w:rPr>
        <w:t> </w:t>
      </w:r>
      <w:r>
        <w:rPr>
          <w:sz w:val="24"/>
        </w:rPr>
        <w:t>connected</w:t>
      </w:r>
      <w:r>
        <w:rPr>
          <w:spacing w:val="-4"/>
          <w:sz w:val="24"/>
        </w:rPr>
        <w:t> </w:t>
      </w:r>
      <w:r>
        <w:rPr>
          <w:sz w:val="24"/>
        </w:rPr>
        <w:t>with the audit, evaluation or research;</w:t>
      </w:r>
    </w:p>
    <w:p>
      <w:pPr>
        <w:pStyle w:val="ListParagraph"/>
        <w:numPr>
          <w:ilvl w:val="2"/>
          <w:numId w:val="77"/>
        </w:numPr>
        <w:tabs>
          <w:tab w:pos="1690" w:val="left" w:leader="none"/>
        </w:tabs>
        <w:spacing w:line="240" w:lineRule="auto" w:before="211" w:after="0"/>
        <w:ind w:left="1690" w:right="0" w:hanging="466"/>
        <w:jc w:val="left"/>
        <w:rPr>
          <w:sz w:val="24"/>
        </w:rPr>
      </w:pPr>
      <w:r>
        <w:rPr>
          <w:sz w:val="24"/>
        </w:rPr>
        <w:t>The</w:t>
      </w:r>
      <w:r>
        <w:rPr>
          <w:spacing w:val="-3"/>
          <w:sz w:val="24"/>
        </w:rPr>
        <w:t> </w:t>
      </w:r>
      <w:r>
        <w:rPr>
          <w:sz w:val="24"/>
        </w:rPr>
        <w:t>information</w:t>
      </w:r>
      <w:r>
        <w:rPr>
          <w:spacing w:val="-2"/>
          <w:sz w:val="24"/>
        </w:rPr>
        <w:t> </w:t>
      </w:r>
      <w:r>
        <w:rPr>
          <w:sz w:val="24"/>
        </w:rPr>
        <w:t>will</w:t>
      </w:r>
      <w:r>
        <w:rPr>
          <w:spacing w:val="-4"/>
          <w:sz w:val="24"/>
        </w:rPr>
        <w:t> </w:t>
      </w:r>
      <w:r>
        <w:rPr>
          <w:sz w:val="24"/>
        </w:rPr>
        <w:t>not</w:t>
      </w:r>
      <w:r>
        <w:rPr>
          <w:spacing w:val="-1"/>
          <w:sz w:val="24"/>
        </w:rPr>
        <w:t> </w:t>
      </w:r>
      <w:r>
        <w:rPr>
          <w:sz w:val="24"/>
        </w:rPr>
        <w:t>be</w:t>
      </w:r>
      <w:r>
        <w:rPr>
          <w:spacing w:val="-3"/>
          <w:sz w:val="24"/>
        </w:rPr>
        <w:t> </w:t>
      </w:r>
      <w:r>
        <w:rPr>
          <w:sz w:val="24"/>
        </w:rPr>
        <w:t>released</w:t>
      </w:r>
      <w:r>
        <w:rPr>
          <w:spacing w:val="-2"/>
          <w:sz w:val="24"/>
        </w:rPr>
        <w:t> </w:t>
      </w:r>
      <w:r>
        <w:rPr>
          <w:sz w:val="24"/>
        </w:rPr>
        <w:t>to</w:t>
      </w:r>
      <w:r>
        <w:rPr>
          <w:spacing w:val="-3"/>
          <w:sz w:val="24"/>
        </w:rPr>
        <w:t> </w:t>
      </w:r>
      <w:r>
        <w:rPr>
          <w:sz w:val="24"/>
        </w:rPr>
        <w:t>the</w:t>
      </w:r>
      <w:r>
        <w:rPr>
          <w:spacing w:val="-2"/>
          <w:sz w:val="24"/>
        </w:rPr>
        <w:t> individual;</w:t>
      </w:r>
    </w:p>
    <w:p>
      <w:pPr>
        <w:pStyle w:val="ListParagraph"/>
        <w:numPr>
          <w:ilvl w:val="2"/>
          <w:numId w:val="77"/>
        </w:numPr>
        <w:tabs>
          <w:tab w:pos="1690" w:val="left" w:leader="none"/>
        </w:tabs>
        <w:spacing w:line="208" w:lineRule="auto" w:before="233" w:after="0"/>
        <w:ind w:left="1224" w:right="954" w:firstLine="0"/>
        <w:jc w:val="left"/>
        <w:rPr>
          <w:sz w:val="24"/>
        </w:rPr>
      </w:pPr>
      <w:r>
        <w:rPr>
          <w:sz w:val="24"/>
        </w:rPr>
        <w:t>The</w:t>
      </w:r>
      <w:r>
        <w:rPr>
          <w:spacing w:val="-4"/>
          <w:sz w:val="24"/>
        </w:rPr>
        <w:t> </w:t>
      </w:r>
      <w:r>
        <w:rPr>
          <w:sz w:val="24"/>
        </w:rPr>
        <w:t>information</w:t>
      </w:r>
      <w:r>
        <w:rPr>
          <w:spacing w:val="-4"/>
          <w:sz w:val="24"/>
        </w:rPr>
        <w:t> </w:t>
      </w:r>
      <w:r>
        <w:rPr>
          <w:sz w:val="24"/>
        </w:rPr>
        <w:t>will</w:t>
      </w:r>
      <w:r>
        <w:rPr>
          <w:spacing w:val="-5"/>
          <w:sz w:val="24"/>
        </w:rPr>
        <w:t> </w:t>
      </w:r>
      <w:r>
        <w:rPr>
          <w:sz w:val="24"/>
        </w:rPr>
        <w:t>be</w:t>
      </w:r>
      <w:r>
        <w:rPr>
          <w:spacing w:val="-4"/>
          <w:sz w:val="24"/>
        </w:rPr>
        <w:t> </w:t>
      </w:r>
      <w:r>
        <w:rPr>
          <w:sz w:val="24"/>
        </w:rPr>
        <w:t>managed</w:t>
      </w:r>
      <w:r>
        <w:rPr>
          <w:spacing w:val="-4"/>
          <w:sz w:val="24"/>
        </w:rPr>
        <w:t> </w:t>
      </w:r>
      <w:r>
        <w:rPr>
          <w:sz w:val="24"/>
        </w:rPr>
        <w:t>in</w:t>
      </w:r>
      <w:r>
        <w:rPr>
          <w:spacing w:val="-4"/>
          <w:sz w:val="24"/>
        </w:rPr>
        <w:t> </w:t>
      </w:r>
      <w:r>
        <w:rPr>
          <w:sz w:val="24"/>
        </w:rPr>
        <w:t>a</w:t>
      </w:r>
      <w:r>
        <w:rPr>
          <w:spacing w:val="-4"/>
          <w:sz w:val="24"/>
        </w:rPr>
        <w:t> </w:t>
      </w:r>
      <w:r>
        <w:rPr>
          <w:sz w:val="24"/>
        </w:rPr>
        <w:t>manner</w:t>
      </w:r>
      <w:r>
        <w:rPr>
          <w:spacing w:val="-3"/>
          <w:sz w:val="24"/>
        </w:rPr>
        <w:t> </w:t>
      </w:r>
      <w:r>
        <w:rPr>
          <w:sz w:val="24"/>
        </w:rPr>
        <w:t>to</w:t>
      </w:r>
      <w:r>
        <w:rPr>
          <w:spacing w:val="-4"/>
          <w:sz w:val="24"/>
        </w:rPr>
        <w:t> </w:t>
      </w:r>
      <w:r>
        <w:rPr>
          <w:sz w:val="24"/>
        </w:rPr>
        <w:t>safeguard</w:t>
      </w:r>
      <w:r>
        <w:rPr>
          <w:spacing w:val="-4"/>
          <w:sz w:val="24"/>
        </w:rPr>
        <w:t> </w:t>
      </w:r>
      <w:r>
        <w:rPr>
          <w:sz w:val="24"/>
        </w:rPr>
        <w:t>confidentiality; </w:t>
      </w:r>
      <w:r>
        <w:rPr>
          <w:spacing w:val="-4"/>
          <w:sz w:val="24"/>
        </w:rPr>
        <w:t>and</w:t>
      </w:r>
    </w:p>
    <w:p>
      <w:pPr>
        <w:pStyle w:val="ListParagraph"/>
        <w:numPr>
          <w:ilvl w:val="2"/>
          <w:numId w:val="77"/>
        </w:numPr>
        <w:tabs>
          <w:tab w:pos="1677" w:val="left" w:leader="none"/>
        </w:tabs>
        <w:spacing w:line="208" w:lineRule="auto" w:before="240" w:after="0"/>
        <w:ind w:left="1224" w:right="782" w:firstLine="0"/>
        <w:jc w:val="left"/>
        <w:rPr>
          <w:sz w:val="24"/>
        </w:rPr>
      </w:pPr>
      <w:r>
        <w:rPr>
          <w:sz w:val="24"/>
        </w:rPr>
        <w:t>The</w:t>
      </w:r>
      <w:r>
        <w:rPr>
          <w:spacing w:val="-5"/>
          <w:sz w:val="24"/>
        </w:rPr>
        <w:t> </w:t>
      </w:r>
      <w:r>
        <w:rPr>
          <w:sz w:val="24"/>
        </w:rPr>
        <w:t>final</w:t>
      </w:r>
      <w:r>
        <w:rPr>
          <w:spacing w:val="-4"/>
          <w:sz w:val="24"/>
        </w:rPr>
        <w:t> </w:t>
      </w:r>
      <w:r>
        <w:rPr>
          <w:sz w:val="24"/>
        </w:rPr>
        <w:t>product</w:t>
      </w:r>
      <w:r>
        <w:rPr>
          <w:spacing w:val="-3"/>
          <w:sz w:val="24"/>
        </w:rPr>
        <w:t> </w:t>
      </w:r>
      <w:r>
        <w:rPr>
          <w:sz w:val="24"/>
        </w:rPr>
        <w:t>will</w:t>
      </w:r>
      <w:r>
        <w:rPr>
          <w:spacing w:val="-4"/>
          <w:sz w:val="24"/>
        </w:rPr>
        <w:t> </w:t>
      </w:r>
      <w:r>
        <w:rPr>
          <w:sz w:val="24"/>
        </w:rPr>
        <w:t>not</w:t>
      </w:r>
      <w:r>
        <w:rPr>
          <w:spacing w:val="-3"/>
          <w:sz w:val="24"/>
        </w:rPr>
        <w:t> </w:t>
      </w:r>
      <w:r>
        <w:rPr>
          <w:sz w:val="24"/>
        </w:rPr>
        <w:t>reveal</w:t>
      </w:r>
      <w:r>
        <w:rPr>
          <w:spacing w:val="-4"/>
          <w:sz w:val="24"/>
        </w:rPr>
        <w:t> </w:t>
      </w:r>
      <w:r>
        <w:rPr>
          <w:sz w:val="24"/>
        </w:rPr>
        <w:t>any</w:t>
      </w:r>
      <w:r>
        <w:rPr>
          <w:spacing w:val="-4"/>
          <w:sz w:val="24"/>
        </w:rPr>
        <w:t> </w:t>
      </w:r>
      <w:r>
        <w:rPr>
          <w:sz w:val="24"/>
        </w:rPr>
        <w:t>personal</w:t>
      </w:r>
      <w:r>
        <w:rPr>
          <w:spacing w:val="-4"/>
          <w:sz w:val="24"/>
        </w:rPr>
        <w:t> </w:t>
      </w:r>
      <w:r>
        <w:rPr>
          <w:sz w:val="24"/>
        </w:rPr>
        <w:t>identifying</w:t>
      </w:r>
      <w:r>
        <w:rPr>
          <w:spacing w:val="-4"/>
          <w:sz w:val="24"/>
        </w:rPr>
        <w:t> </w:t>
      </w:r>
      <w:r>
        <w:rPr>
          <w:sz w:val="24"/>
        </w:rPr>
        <w:t>information</w:t>
      </w:r>
      <w:r>
        <w:rPr>
          <w:spacing w:val="-4"/>
          <w:sz w:val="24"/>
        </w:rPr>
        <w:t> </w:t>
      </w:r>
      <w:r>
        <w:rPr>
          <w:sz w:val="24"/>
        </w:rPr>
        <w:t>without the informed written consent of the involved individual or the individual's representative. [34CFR361.38]</w:t>
      </w:r>
    </w:p>
    <w:p>
      <w:pPr>
        <w:pStyle w:val="BodyText"/>
        <w:spacing w:before="211"/>
      </w:pPr>
      <w:r>
        <w:rPr/>
        <w:t>INSTRUCTIONS</w:t>
      </w:r>
      <w:r>
        <w:rPr>
          <w:spacing w:val="-3"/>
        </w:rPr>
        <w:t> </w:t>
      </w:r>
      <w:r>
        <w:rPr/>
        <w:t>TO</w:t>
      </w:r>
      <w:r>
        <w:rPr>
          <w:spacing w:val="-2"/>
        </w:rPr>
        <w:t> </w:t>
      </w:r>
      <w:r>
        <w:rPr>
          <w:spacing w:val="-4"/>
        </w:rPr>
        <w:t>STAFF</w:t>
      </w:r>
    </w:p>
    <w:p>
      <w:pPr>
        <w:pStyle w:val="BodyText"/>
        <w:spacing w:before="204"/>
        <w:ind w:left="540"/>
      </w:pPr>
      <w:r>
        <w:rPr/>
        <w:t>1.</w:t>
      </w:r>
      <w:r>
        <w:rPr>
          <w:spacing w:val="-3"/>
        </w:rPr>
        <w:t> </w:t>
      </w:r>
      <w:r>
        <w:rPr/>
        <w:t>Includes</w:t>
      </w:r>
      <w:r>
        <w:rPr>
          <w:spacing w:val="-3"/>
        </w:rPr>
        <w:t> </w:t>
      </w:r>
      <w:r>
        <w:rPr/>
        <w:t>cooperation</w:t>
      </w:r>
      <w:r>
        <w:rPr>
          <w:spacing w:val="-2"/>
        </w:rPr>
        <w:t> </w:t>
      </w:r>
      <w:r>
        <w:rPr/>
        <w:t>with</w:t>
      </w:r>
      <w:r>
        <w:rPr>
          <w:spacing w:val="-3"/>
        </w:rPr>
        <w:t> </w:t>
      </w:r>
      <w:r>
        <w:rPr/>
        <w:t>the</w:t>
      </w:r>
      <w:r>
        <w:rPr>
          <w:spacing w:val="-3"/>
        </w:rPr>
        <w:t> </w:t>
      </w:r>
      <w:r>
        <w:rPr/>
        <w:t>Tribal</w:t>
      </w:r>
      <w:r>
        <w:rPr>
          <w:spacing w:val="-3"/>
        </w:rPr>
        <w:t> </w:t>
      </w:r>
      <w:r>
        <w:rPr>
          <w:spacing w:val="-2"/>
        </w:rPr>
        <w:t>Programs.</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3-1-97</w:t>
      </w:r>
      <w:r>
        <w:rPr>
          <w:sz w:val="22"/>
        </w:rPr>
        <w:tab/>
        <w:t>PT Memo #97-5</w:t>
      </w:r>
    </w:p>
    <w:p>
      <w:pPr>
        <w:tabs>
          <w:tab w:pos="1439" w:val="left" w:leader="none"/>
        </w:tabs>
        <w:spacing w:before="0"/>
        <w:ind w:left="359" w:right="811" w:firstLine="1080"/>
        <w:jc w:val="left"/>
        <w:rPr>
          <w:sz w:val="22"/>
        </w:rPr>
      </w:pPr>
      <w:r>
        <w:rPr>
          <w:sz w:val="22"/>
        </w:rPr>
        <w:t>Emergency,</w:t>
      </w:r>
      <w:r>
        <w:rPr>
          <w:spacing w:val="-5"/>
          <w:sz w:val="22"/>
        </w:rPr>
        <w:t> </w:t>
      </w:r>
      <w:r>
        <w:rPr>
          <w:sz w:val="22"/>
        </w:rPr>
        <w:t>incorporate</w:t>
      </w:r>
      <w:r>
        <w:rPr>
          <w:spacing w:val="-6"/>
          <w:sz w:val="22"/>
        </w:rPr>
        <w:t> </w:t>
      </w:r>
      <w:r>
        <w:rPr>
          <w:sz w:val="22"/>
        </w:rPr>
        <w:t>state</w:t>
      </w:r>
      <w:r>
        <w:rPr>
          <w:spacing w:val="-5"/>
          <w:sz w:val="22"/>
        </w:rPr>
        <w:t> </w:t>
      </w:r>
      <w:r>
        <w:rPr>
          <w:sz w:val="22"/>
        </w:rPr>
        <w:t>statutory</w:t>
      </w:r>
      <w:r>
        <w:rPr>
          <w:spacing w:val="-5"/>
          <w:sz w:val="22"/>
        </w:rPr>
        <w:t> </w:t>
      </w:r>
      <w:r>
        <w:rPr>
          <w:sz w:val="22"/>
        </w:rPr>
        <w:t>restriction</w:t>
      </w:r>
      <w:r>
        <w:rPr>
          <w:spacing w:val="-6"/>
          <w:sz w:val="22"/>
        </w:rPr>
        <w:t> </w:t>
      </w:r>
      <w:r>
        <w:rPr>
          <w:sz w:val="22"/>
        </w:rPr>
        <w:t>on</w:t>
      </w:r>
      <w:r>
        <w:rPr>
          <w:spacing w:val="-5"/>
          <w:sz w:val="22"/>
        </w:rPr>
        <w:t> </w:t>
      </w:r>
      <w:r>
        <w:rPr>
          <w:sz w:val="22"/>
        </w:rPr>
        <w:t>releasing psychological</w:t>
      </w:r>
      <w:r>
        <w:rPr>
          <w:spacing w:val="-5"/>
          <w:sz w:val="22"/>
        </w:rPr>
        <w:t> </w:t>
      </w:r>
      <w:r>
        <w:rPr>
          <w:sz w:val="22"/>
        </w:rPr>
        <w:t>reports </w:t>
      </w:r>
      <w:r>
        <w:rPr>
          <w:spacing w:val="-2"/>
          <w:sz w:val="22"/>
        </w:rPr>
        <w:t>7-1-97</w:t>
      </w:r>
      <w:r>
        <w:rPr>
          <w:sz w:val="22"/>
        </w:rPr>
        <w:tab/>
        <w:t>PT Memo #97-9</w:t>
      </w:r>
    </w:p>
    <w:p>
      <w:pPr>
        <w:tabs>
          <w:tab w:pos="1439" w:val="left" w:leader="none"/>
        </w:tabs>
        <w:spacing w:before="0"/>
        <w:ind w:left="359" w:right="3214" w:firstLine="1080"/>
        <w:jc w:val="left"/>
        <w:rPr>
          <w:sz w:val="22"/>
        </w:rPr>
      </w:pPr>
      <w:r>
        <w:rPr>
          <w:sz w:val="22"/>
        </w:rPr>
        <w:t>Permanent</w:t>
      </w:r>
      <w:r>
        <w:rPr>
          <w:spacing w:val="-7"/>
          <w:sz w:val="22"/>
        </w:rPr>
        <w:t> </w:t>
      </w:r>
      <w:r>
        <w:rPr>
          <w:sz w:val="22"/>
        </w:rPr>
        <w:t>rules</w:t>
      </w:r>
      <w:r>
        <w:rPr>
          <w:spacing w:val="-7"/>
          <w:sz w:val="22"/>
        </w:rPr>
        <w:t> </w:t>
      </w:r>
      <w:r>
        <w:rPr>
          <w:sz w:val="22"/>
        </w:rPr>
        <w:t>supersede</w:t>
      </w:r>
      <w:r>
        <w:rPr>
          <w:spacing w:val="-7"/>
          <w:sz w:val="22"/>
        </w:rPr>
        <w:t> </w:t>
      </w:r>
      <w:r>
        <w:rPr>
          <w:sz w:val="22"/>
        </w:rPr>
        <w:t>emergency</w:t>
      </w:r>
      <w:r>
        <w:rPr>
          <w:spacing w:val="-7"/>
          <w:sz w:val="22"/>
        </w:rPr>
        <w:t> </w:t>
      </w:r>
      <w:r>
        <w:rPr>
          <w:sz w:val="22"/>
        </w:rPr>
        <w:t>rules</w:t>
      </w:r>
      <w:r>
        <w:rPr>
          <w:spacing w:val="-7"/>
          <w:sz w:val="22"/>
        </w:rPr>
        <w:t> </w:t>
      </w:r>
      <w:r>
        <w:rPr>
          <w:sz w:val="22"/>
        </w:rPr>
        <w:t>issued</w:t>
      </w:r>
      <w:r>
        <w:rPr>
          <w:spacing w:val="-7"/>
          <w:sz w:val="22"/>
        </w:rPr>
        <w:t> </w:t>
      </w:r>
      <w:r>
        <w:rPr>
          <w:sz w:val="22"/>
        </w:rPr>
        <w:t>3-1-97 </w:t>
      </w:r>
      <w:r>
        <w:rPr>
          <w:spacing w:val="-2"/>
          <w:sz w:val="22"/>
        </w:rPr>
        <w:t>7-1-98</w:t>
      </w:r>
      <w:r>
        <w:rPr>
          <w:sz w:val="22"/>
        </w:rPr>
        <w:tab/>
        <w:t>PT Memo #98-15</w:t>
      </w:r>
    </w:p>
    <w:p>
      <w:pPr>
        <w:spacing w:before="0"/>
        <w:ind w:left="1439" w:right="775" w:firstLine="0"/>
        <w:jc w:val="left"/>
        <w:rPr>
          <w:sz w:val="22"/>
        </w:rPr>
      </w:pPr>
      <w:r>
        <w:rPr>
          <w:sz w:val="22"/>
        </w:rPr>
        <w:t>Permanent,</w:t>
      </w:r>
      <w:r>
        <w:rPr>
          <w:spacing w:val="-3"/>
          <w:sz w:val="22"/>
        </w:rPr>
        <w:t> </w:t>
      </w:r>
      <w:r>
        <w:rPr>
          <w:sz w:val="22"/>
        </w:rPr>
        <w:t>reorganized</w:t>
      </w:r>
      <w:r>
        <w:rPr>
          <w:spacing w:val="-5"/>
          <w:sz w:val="22"/>
        </w:rPr>
        <w:t> </w:t>
      </w:r>
      <w:r>
        <w:rPr>
          <w:sz w:val="22"/>
        </w:rPr>
        <w:t>to</w:t>
      </w:r>
      <w:r>
        <w:rPr>
          <w:spacing w:val="-4"/>
          <w:sz w:val="22"/>
        </w:rPr>
        <w:t> </w:t>
      </w:r>
      <w:r>
        <w:rPr>
          <w:sz w:val="22"/>
        </w:rPr>
        <w:t>be</w:t>
      </w:r>
      <w:r>
        <w:rPr>
          <w:spacing w:val="-4"/>
          <w:sz w:val="22"/>
        </w:rPr>
        <w:t> </w:t>
      </w:r>
      <w:r>
        <w:rPr>
          <w:sz w:val="22"/>
        </w:rPr>
        <w:t>more</w:t>
      </w:r>
      <w:r>
        <w:rPr>
          <w:spacing w:val="-4"/>
          <w:sz w:val="22"/>
        </w:rPr>
        <w:t> </w:t>
      </w:r>
      <w:r>
        <w:rPr>
          <w:sz w:val="22"/>
        </w:rPr>
        <w:t>logical.</w:t>
      </w:r>
      <w:r>
        <w:rPr>
          <w:spacing w:val="-4"/>
          <w:sz w:val="22"/>
        </w:rPr>
        <w:t> </w:t>
      </w:r>
      <w:r>
        <w:rPr>
          <w:sz w:val="22"/>
        </w:rPr>
        <w:t>Clearer</w:t>
      </w:r>
      <w:r>
        <w:rPr>
          <w:spacing w:val="-4"/>
          <w:sz w:val="22"/>
        </w:rPr>
        <w:t> </w:t>
      </w:r>
      <w:r>
        <w:rPr>
          <w:sz w:val="22"/>
        </w:rPr>
        <w:t>restrictions</w:t>
      </w:r>
      <w:r>
        <w:rPr>
          <w:spacing w:val="-4"/>
          <w:sz w:val="22"/>
        </w:rPr>
        <w:t> </w:t>
      </w:r>
      <w:r>
        <w:rPr>
          <w:sz w:val="22"/>
        </w:rPr>
        <w:t>on</w:t>
      </w:r>
      <w:r>
        <w:rPr>
          <w:spacing w:val="-4"/>
          <w:sz w:val="22"/>
        </w:rPr>
        <w:t> </w:t>
      </w:r>
      <w:r>
        <w:rPr>
          <w:sz w:val="22"/>
        </w:rPr>
        <w:t>release</w:t>
      </w:r>
      <w:r>
        <w:rPr>
          <w:spacing w:val="-5"/>
          <w:sz w:val="22"/>
        </w:rPr>
        <w:t> </w:t>
      </w:r>
      <w:r>
        <w:rPr>
          <w:sz w:val="22"/>
        </w:rPr>
        <w:t>to</w:t>
      </w:r>
      <w:r>
        <w:rPr>
          <w:spacing w:val="-4"/>
          <w:sz w:val="22"/>
        </w:rPr>
        <w:t> </w:t>
      </w:r>
      <w:r>
        <w:rPr>
          <w:sz w:val="22"/>
        </w:rPr>
        <w:t>the consumer. Call our general counsel when receiving subpoena or other legal document demanding release of information</w:t>
      </w:r>
    </w:p>
    <w:p>
      <w:pPr>
        <w:tabs>
          <w:tab w:pos="1439" w:val="left" w:leader="none"/>
        </w:tabs>
        <w:spacing w:line="253" w:lineRule="exact" w:before="0"/>
        <w:ind w:left="359" w:right="0" w:firstLine="0"/>
        <w:jc w:val="left"/>
        <w:rPr>
          <w:sz w:val="22"/>
        </w:rPr>
      </w:pPr>
      <w:r>
        <w:rPr>
          <w:spacing w:val="-2"/>
          <w:sz w:val="22"/>
        </w:rPr>
        <w:t>7-1-</w:t>
      </w:r>
      <w:r>
        <w:rPr>
          <w:spacing w:val="-5"/>
          <w:sz w:val="22"/>
        </w:rPr>
        <w:t>99</w:t>
      </w:r>
      <w:r>
        <w:rPr>
          <w:sz w:val="22"/>
        </w:rPr>
        <w:tab/>
        <w:t>POL</w:t>
      </w:r>
      <w:r>
        <w:rPr>
          <w:spacing w:val="-9"/>
          <w:sz w:val="22"/>
        </w:rPr>
        <w:t> </w:t>
      </w:r>
      <w:r>
        <w:rPr>
          <w:sz w:val="22"/>
        </w:rPr>
        <w:t>Memo</w:t>
      </w:r>
      <w:r>
        <w:rPr>
          <w:spacing w:val="-8"/>
          <w:sz w:val="22"/>
        </w:rPr>
        <w:t> </w:t>
      </w:r>
      <w:r>
        <w:rPr>
          <w:sz w:val="22"/>
        </w:rPr>
        <w:t>#00-</w:t>
      </w:r>
      <w:r>
        <w:rPr>
          <w:spacing w:val="-10"/>
          <w:sz w:val="22"/>
        </w:rPr>
        <w:t>1</w:t>
      </w:r>
    </w:p>
    <w:p>
      <w:pPr>
        <w:spacing w:before="0"/>
        <w:ind w:left="1439" w:right="775" w:firstLine="0"/>
        <w:jc w:val="left"/>
        <w:rPr>
          <w:sz w:val="22"/>
        </w:rPr>
      </w:pPr>
      <w:r>
        <w:rPr>
          <w:sz w:val="22"/>
        </w:rPr>
        <w:t>Permanent, Updated DVR/DVS; clarified that release of personal information and similar</w:t>
      </w:r>
      <w:r>
        <w:rPr>
          <w:spacing w:val="-3"/>
          <w:sz w:val="22"/>
        </w:rPr>
        <w:t> </w:t>
      </w:r>
      <w:r>
        <w:rPr>
          <w:sz w:val="22"/>
        </w:rPr>
        <w:t>terms</w:t>
      </w:r>
      <w:r>
        <w:rPr>
          <w:spacing w:val="-3"/>
          <w:sz w:val="22"/>
        </w:rPr>
        <w:t> </w:t>
      </w:r>
      <w:r>
        <w:rPr>
          <w:sz w:val="22"/>
        </w:rPr>
        <w:t>refer</w:t>
      </w:r>
      <w:r>
        <w:rPr>
          <w:spacing w:val="-3"/>
          <w:sz w:val="22"/>
        </w:rPr>
        <w:t> </w:t>
      </w:r>
      <w:r>
        <w:rPr>
          <w:sz w:val="22"/>
        </w:rPr>
        <w:t>to</w:t>
      </w:r>
      <w:r>
        <w:rPr>
          <w:spacing w:val="-3"/>
          <w:sz w:val="22"/>
        </w:rPr>
        <w:t> </w:t>
      </w:r>
      <w:r>
        <w:rPr>
          <w:sz w:val="22"/>
        </w:rPr>
        <w:t>providing</w:t>
      </w:r>
      <w:r>
        <w:rPr>
          <w:spacing w:val="-3"/>
          <w:sz w:val="22"/>
        </w:rPr>
        <w:t> </w:t>
      </w:r>
      <w:r>
        <w:rPr>
          <w:sz w:val="22"/>
        </w:rPr>
        <w:t>access</w:t>
      </w:r>
      <w:r>
        <w:rPr>
          <w:spacing w:val="-3"/>
          <w:sz w:val="22"/>
        </w:rPr>
        <w:t> </w:t>
      </w:r>
      <w:r>
        <w:rPr>
          <w:sz w:val="22"/>
        </w:rPr>
        <w:t>to</w:t>
      </w:r>
      <w:r>
        <w:rPr>
          <w:spacing w:val="-3"/>
          <w:sz w:val="22"/>
        </w:rPr>
        <w:t> </w:t>
      </w:r>
      <w:r>
        <w:rPr>
          <w:sz w:val="22"/>
        </w:rPr>
        <w:t>the</w:t>
      </w:r>
      <w:r>
        <w:rPr>
          <w:spacing w:val="-3"/>
          <w:sz w:val="22"/>
        </w:rPr>
        <w:t> </w:t>
      </w:r>
      <w:r>
        <w:rPr>
          <w:sz w:val="22"/>
        </w:rPr>
        <w:t>record,</w:t>
      </w:r>
      <w:r>
        <w:rPr>
          <w:spacing w:val="-3"/>
          <w:sz w:val="22"/>
        </w:rPr>
        <w:t> </w:t>
      </w:r>
      <w:r>
        <w:rPr>
          <w:sz w:val="22"/>
        </w:rPr>
        <w:t>or</w:t>
      </w:r>
      <w:r>
        <w:rPr>
          <w:spacing w:val="-3"/>
          <w:sz w:val="22"/>
        </w:rPr>
        <w:t> </w:t>
      </w:r>
      <w:r>
        <w:rPr>
          <w:sz w:val="22"/>
        </w:rPr>
        <w:t>providing</w:t>
      </w:r>
      <w:r>
        <w:rPr>
          <w:spacing w:val="-3"/>
          <w:sz w:val="22"/>
        </w:rPr>
        <w:t> </w:t>
      </w:r>
      <w:r>
        <w:rPr>
          <w:sz w:val="22"/>
        </w:rPr>
        <w:t>copies,</w:t>
      </w:r>
      <w:r>
        <w:rPr>
          <w:spacing w:val="-4"/>
          <w:sz w:val="22"/>
        </w:rPr>
        <w:t> </w:t>
      </w:r>
      <w:r>
        <w:rPr>
          <w:sz w:val="22"/>
        </w:rPr>
        <w:t>etc.,</w:t>
      </w:r>
      <w:r>
        <w:rPr>
          <w:spacing w:val="-3"/>
          <w:sz w:val="22"/>
        </w:rPr>
        <w:t> </w:t>
      </w:r>
      <w:r>
        <w:rPr>
          <w:sz w:val="22"/>
        </w:rPr>
        <w:t>not</w:t>
      </w:r>
      <w:r>
        <w:rPr>
          <w:spacing w:val="-3"/>
          <w:sz w:val="22"/>
        </w:rPr>
        <w:t> </w:t>
      </w:r>
      <w:r>
        <w:rPr>
          <w:sz w:val="22"/>
        </w:rPr>
        <w:t>to the materials themselves</w:t>
      </w:r>
    </w:p>
    <w:p>
      <w:pPr>
        <w:pStyle w:val="ListParagraph"/>
        <w:numPr>
          <w:ilvl w:val="2"/>
          <w:numId w:val="78"/>
        </w:numPr>
        <w:tabs>
          <w:tab w:pos="1439" w:val="left" w:leader="none"/>
        </w:tabs>
        <w:spacing w:line="253" w:lineRule="exact" w:before="1" w:after="0"/>
        <w:ind w:left="1439" w:right="0" w:hanging="1080"/>
        <w:jc w:val="left"/>
        <w:rPr>
          <w:sz w:val="22"/>
        </w:rPr>
      </w:pPr>
      <w:r>
        <w:rPr>
          <w:sz w:val="22"/>
        </w:rPr>
        <w:t>PT</w:t>
      </w:r>
      <w:r>
        <w:rPr>
          <w:spacing w:val="-8"/>
          <w:sz w:val="22"/>
        </w:rPr>
        <w:t> </w:t>
      </w:r>
      <w:r>
        <w:rPr>
          <w:sz w:val="22"/>
        </w:rPr>
        <w:t>Memo</w:t>
      </w:r>
      <w:r>
        <w:rPr>
          <w:spacing w:val="-8"/>
          <w:sz w:val="22"/>
        </w:rPr>
        <w:t> </w:t>
      </w:r>
      <w:r>
        <w:rPr>
          <w:sz w:val="22"/>
        </w:rPr>
        <w:t>#07-</w:t>
      </w:r>
      <w:r>
        <w:rPr>
          <w:spacing w:val="-5"/>
          <w:sz w:val="22"/>
        </w:rPr>
        <w:t>01</w:t>
      </w:r>
    </w:p>
    <w:p>
      <w:pPr>
        <w:spacing w:line="253" w:lineRule="exact" w:before="0"/>
        <w:ind w:left="1439" w:right="0" w:firstLine="0"/>
        <w:jc w:val="left"/>
        <w:rPr>
          <w:sz w:val="22"/>
        </w:rPr>
      </w:pPr>
      <w:r>
        <w:rPr>
          <w:sz w:val="22"/>
        </w:rPr>
        <w:t>Permanent,</w:t>
      </w:r>
      <w:r>
        <w:rPr>
          <w:spacing w:val="-7"/>
          <w:sz w:val="22"/>
        </w:rPr>
        <w:t> </w:t>
      </w:r>
      <w:r>
        <w:rPr>
          <w:sz w:val="22"/>
        </w:rPr>
        <w:t>reflects</w:t>
      </w:r>
      <w:r>
        <w:rPr>
          <w:spacing w:val="-8"/>
          <w:sz w:val="22"/>
        </w:rPr>
        <w:t> </w:t>
      </w:r>
      <w:r>
        <w:rPr>
          <w:sz w:val="22"/>
        </w:rPr>
        <w:t>update</w:t>
      </w:r>
      <w:r>
        <w:rPr>
          <w:spacing w:val="-7"/>
          <w:sz w:val="22"/>
        </w:rPr>
        <w:t> </w:t>
      </w:r>
      <w:r>
        <w:rPr>
          <w:sz w:val="22"/>
        </w:rPr>
        <w:t>to</w:t>
      </w:r>
      <w:r>
        <w:rPr>
          <w:spacing w:val="-8"/>
          <w:sz w:val="22"/>
        </w:rPr>
        <w:t> </w:t>
      </w:r>
      <w:r>
        <w:rPr>
          <w:spacing w:val="-2"/>
          <w:sz w:val="22"/>
        </w:rPr>
        <w:t>confidentiality.</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1"/>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spacing w:after="0"/>
        <w:jc w:val="left"/>
        <w:rPr>
          <w:sz w:val="22"/>
        </w:rPr>
        <w:sectPr>
          <w:pgSz w:w="12240" w:h="15840"/>
          <w:pgMar w:top="1340" w:bottom="280" w:left="1080" w:right="720"/>
        </w:sectPr>
      </w:pPr>
    </w:p>
    <w:p>
      <w:pPr>
        <w:tabs>
          <w:tab w:pos="1439" w:val="left" w:leader="none"/>
        </w:tabs>
        <w:spacing w:before="80"/>
        <w:ind w:left="1439" w:right="740" w:hanging="1080"/>
        <w:jc w:val="left"/>
        <w:rPr>
          <w:sz w:val="22"/>
        </w:rPr>
      </w:pPr>
      <w:r>
        <w:rPr>
          <w:spacing w:val="-2"/>
          <w:sz w:val="22"/>
        </w:rPr>
        <w:t>8-26-21</w:t>
      </w:r>
      <w:r>
        <w:rPr>
          <w:sz w:val="22"/>
        </w:rPr>
        <w:tab/>
        <w:t>Updated language for client confidentiality: casework will be maintained in the electronic case management system. Under (c), added section (4), to provide each individual</w:t>
      </w:r>
      <w:r>
        <w:rPr>
          <w:spacing w:val="-4"/>
          <w:sz w:val="22"/>
        </w:rPr>
        <w:t> </w:t>
      </w:r>
      <w:r>
        <w:rPr>
          <w:sz w:val="22"/>
        </w:rPr>
        <w:t>the</w:t>
      </w:r>
      <w:r>
        <w:rPr>
          <w:spacing w:val="-4"/>
          <w:sz w:val="22"/>
        </w:rPr>
        <w:t> </w:t>
      </w:r>
      <w:r>
        <w:rPr>
          <w:sz w:val="22"/>
        </w:rPr>
        <w:t>appropriate</w:t>
      </w:r>
      <w:r>
        <w:rPr>
          <w:spacing w:val="-4"/>
          <w:sz w:val="22"/>
        </w:rPr>
        <w:t> </w:t>
      </w:r>
      <w:r>
        <w:rPr>
          <w:sz w:val="22"/>
        </w:rPr>
        <w:t>mode</w:t>
      </w:r>
      <w:r>
        <w:rPr>
          <w:spacing w:val="-4"/>
          <w:sz w:val="22"/>
        </w:rPr>
        <w:t> </w:t>
      </w:r>
      <w:r>
        <w:rPr>
          <w:sz w:val="22"/>
        </w:rPr>
        <w:t>of</w:t>
      </w:r>
      <w:r>
        <w:rPr>
          <w:spacing w:val="-4"/>
          <w:sz w:val="22"/>
        </w:rPr>
        <w:t> </w:t>
      </w:r>
      <w:r>
        <w:rPr>
          <w:sz w:val="22"/>
        </w:rPr>
        <w:t>communication</w:t>
      </w:r>
      <w:r>
        <w:rPr>
          <w:spacing w:val="-4"/>
          <w:sz w:val="22"/>
        </w:rPr>
        <w:t> </w:t>
      </w:r>
      <w:r>
        <w:rPr>
          <w:sz w:val="22"/>
        </w:rPr>
        <w:t>in</w:t>
      </w:r>
      <w:r>
        <w:rPr>
          <w:spacing w:val="-4"/>
          <w:sz w:val="22"/>
        </w:rPr>
        <w:t> </w:t>
      </w:r>
      <w:r>
        <w:rPr>
          <w:sz w:val="22"/>
        </w:rPr>
        <w:t>that</w:t>
      </w:r>
      <w:r>
        <w:rPr>
          <w:spacing w:val="-4"/>
          <w:sz w:val="22"/>
        </w:rPr>
        <w:t> </w:t>
      </w:r>
      <w:r>
        <w:rPr>
          <w:sz w:val="22"/>
        </w:rPr>
        <w:t>individual's</w:t>
      </w:r>
      <w:r>
        <w:rPr>
          <w:spacing w:val="-4"/>
          <w:sz w:val="22"/>
        </w:rPr>
        <w:t> </w:t>
      </w:r>
      <w:r>
        <w:rPr>
          <w:sz w:val="22"/>
        </w:rPr>
        <w:t>native</w:t>
      </w:r>
      <w:r>
        <w:rPr>
          <w:spacing w:val="-4"/>
          <w:sz w:val="22"/>
        </w:rPr>
        <w:t> </w:t>
      </w:r>
      <w:r>
        <w:rPr>
          <w:sz w:val="22"/>
        </w:rPr>
        <w:t>language any State policies and procedures affecting personal information.</w:t>
      </w:r>
    </w:p>
    <w:p>
      <w:pPr>
        <w:spacing w:after="0"/>
        <w:jc w:val="left"/>
        <w:rPr>
          <w:sz w:val="22"/>
        </w:rPr>
        <w:sectPr>
          <w:pgSz w:w="12240" w:h="15840"/>
          <w:pgMar w:top="1360" w:bottom="280" w:left="1080" w:right="720"/>
        </w:sectPr>
      </w:pPr>
    </w:p>
    <w:p>
      <w:pPr>
        <w:pStyle w:val="Heading2"/>
      </w:pPr>
      <w:bookmarkStart w:name="612:10-1-6.  Due process" w:id="101"/>
      <w:bookmarkEnd w:id="101"/>
      <w:r>
        <w:rPr>
          <w:b w:val="0"/>
        </w:rPr>
      </w:r>
      <w:bookmarkStart w:name="_bookmark4" w:id="102"/>
      <w:bookmarkEnd w:id="102"/>
      <w:r>
        <w:rPr>
          <w:b w:val="0"/>
        </w:rPr>
      </w:r>
      <w:r>
        <w:rPr/>
        <w:t>612:10-1-6.</w:t>
      </w:r>
      <w:r>
        <w:rPr>
          <w:spacing w:val="61"/>
        </w:rPr>
        <w:t> </w:t>
      </w:r>
      <w:r>
        <w:rPr/>
        <w:t>Due</w:t>
      </w:r>
      <w:r>
        <w:rPr>
          <w:spacing w:val="-3"/>
        </w:rPr>
        <w:t> </w:t>
      </w:r>
      <w:r>
        <w:rPr>
          <w:spacing w:val="-2"/>
        </w:rPr>
        <w:t>process</w:t>
      </w:r>
    </w:p>
    <w:p>
      <w:pPr>
        <w:pStyle w:val="ListParagraph"/>
        <w:numPr>
          <w:ilvl w:val="0"/>
          <w:numId w:val="79"/>
        </w:numPr>
        <w:tabs>
          <w:tab w:pos="786" w:val="left" w:leader="none"/>
        </w:tabs>
        <w:spacing w:line="208" w:lineRule="auto" w:before="233" w:after="0"/>
        <w:ind w:left="360" w:right="1007" w:firstLine="0"/>
        <w:jc w:val="left"/>
        <w:rPr>
          <w:sz w:val="24"/>
        </w:rPr>
      </w:pPr>
      <w:r>
        <w:rPr>
          <w:b/>
          <w:sz w:val="24"/>
        </w:rPr>
        <w:t>Notification of rights to due process. </w:t>
      </w:r>
      <w:r>
        <w:rPr>
          <w:sz w:val="24"/>
        </w:rPr>
        <w:t>Any applicant or client of DVR or DSBVI dissatisfied with a determination that affects the provision of vocational rehabilitation services</w:t>
      </w:r>
      <w:r>
        <w:rPr>
          <w:spacing w:val="-4"/>
          <w:sz w:val="24"/>
        </w:rPr>
        <w:t> </w:t>
      </w:r>
      <w:r>
        <w:rPr>
          <w:sz w:val="24"/>
        </w:rPr>
        <w:t>may</w:t>
      </w:r>
      <w:r>
        <w:rPr>
          <w:spacing w:val="-4"/>
          <w:sz w:val="24"/>
        </w:rPr>
        <w:t> </w:t>
      </w:r>
      <w:r>
        <w:rPr>
          <w:sz w:val="24"/>
        </w:rPr>
        <w:t>request</w:t>
      </w:r>
      <w:r>
        <w:rPr>
          <w:spacing w:val="-5"/>
          <w:sz w:val="24"/>
        </w:rPr>
        <w:t> </w:t>
      </w:r>
      <w:r>
        <w:rPr>
          <w:sz w:val="24"/>
        </w:rPr>
        <w:t>a</w:t>
      </w:r>
      <w:r>
        <w:rPr>
          <w:spacing w:val="-4"/>
          <w:sz w:val="24"/>
        </w:rPr>
        <w:t> </w:t>
      </w:r>
      <w:r>
        <w:rPr>
          <w:sz w:val="24"/>
        </w:rPr>
        <w:t>timely</w:t>
      </w:r>
      <w:r>
        <w:rPr>
          <w:spacing w:val="-4"/>
          <w:sz w:val="24"/>
        </w:rPr>
        <w:t> </w:t>
      </w:r>
      <w:r>
        <w:rPr>
          <w:sz w:val="24"/>
        </w:rPr>
        <w:t>review</w:t>
      </w:r>
      <w:r>
        <w:rPr>
          <w:spacing w:val="-4"/>
          <w:sz w:val="24"/>
        </w:rPr>
        <w:t> </w:t>
      </w:r>
      <w:r>
        <w:rPr>
          <w:sz w:val="24"/>
        </w:rPr>
        <w:t>of</w:t>
      </w:r>
      <w:r>
        <w:rPr>
          <w:spacing w:val="-3"/>
          <w:sz w:val="24"/>
        </w:rPr>
        <w:t> </w:t>
      </w:r>
      <w:r>
        <w:rPr>
          <w:sz w:val="24"/>
        </w:rPr>
        <w:t>the</w:t>
      </w:r>
      <w:r>
        <w:rPr>
          <w:spacing w:val="-4"/>
          <w:sz w:val="24"/>
        </w:rPr>
        <w:t> </w:t>
      </w:r>
      <w:r>
        <w:rPr>
          <w:sz w:val="24"/>
        </w:rPr>
        <w:t>determination.</w:t>
      </w:r>
      <w:r>
        <w:rPr>
          <w:spacing w:val="-3"/>
          <w:sz w:val="24"/>
        </w:rPr>
        <w:t> </w:t>
      </w:r>
      <w:r>
        <w:rPr>
          <w:sz w:val="24"/>
        </w:rPr>
        <w:t>Each</w:t>
      </w:r>
      <w:r>
        <w:rPr>
          <w:spacing w:val="-4"/>
          <w:sz w:val="24"/>
        </w:rPr>
        <w:t> </w:t>
      </w:r>
      <w:r>
        <w:rPr>
          <w:sz w:val="24"/>
        </w:rPr>
        <w:t>applicant</w:t>
      </w:r>
      <w:r>
        <w:rPr>
          <w:spacing w:val="-3"/>
          <w:sz w:val="24"/>
        </w:rPr>
        <w:t> </w:t>
      </w:r>
      <w:r>
        <w:rPr>
          <w:sz w:val="24"/>
        </w:rPr>
        <w:t>or</w:t>
      </w:r>
      <w:r>
        <w:rPr>
          <w:spacing w:val="-3"/>
          <w:sz w:val="24"/>
        </w:rPr>
        <w:t> </w:t>
      </w:r>
      <w:r>
        <w:rPr>
          <w:sz w:val="24"/>
        </w:rPr>
        <w:t>client,</w:t>
      </w:r>
      <w:r>
        <w:rPr>
          <w:spacing w:val="-3"/>
          <w:sz w:val="24"/>
        </w:rPr>
        <w:t> </w:t>
      </w:r>
      <w:r>
        <w:rPr>
          <w:sz w:val="24"/>
        </w:rPr>
        <w:t>or as appropriate, the individual's authorized representative will be informed of:</w:t>
      </w:r>
    </w:p>
    <w:p>
      <w:pPr>
        <w:pStyle w:val="ListParagraph"/>
        <w:numPr>
          <w:ilvl w:val="1"/>
          <w:numId w:val="79"/>
        </w:numPr>
        <w:tabs>
          <w:tab w:pos="1217" w:val="left" w:leader="none"/>
        </w:tabs>
        <w:spacing w:line="208" w:lineRule="auto" w:before="239" w:after="0"/>
        <w:ind w:left="792" w:right="1647" w:firstLine="0"/>
        <w:jc w:val="left"/>
        <w:rPr>
          <w:sz w:val="24"/>
        </w:rPr>
      </w:pPr>
      <w:r>
        <w:rPr>
          <w:sz w:val="24"/>
        </w:rPr>
        <w:t>the</w:t>
      </w:r>
      <w:r>
        <w:rPr>
          <w:spacing w:val="-4"/>
          <w:sz w:val="24"/>
        </w:rPr>
        <w:t> </w:t>
      </w:r>
      <w:r>
        <w:rPr>
          <w:sz w:val="24"/>
        </w:rPr>
        <w:t>right</w:t>
      </w:r>
      <w:r>
        <w:rPr>
          <w:spacing w:val="-3"/>
          <w:sz w:val="24"/>
        </w:rPr>
        <w:t> </w:t>
      </w:r>
      <w:r>
        <w:rPr>
          <w:sz w:val="24"/>
        </w:rPr>
        <w:t>to</w:t>
      </w:r>
      <w:r>
        <w:rPr>
          <w:spacing w:val="-5"/>
          <w:sz w:val="24"/>
        </w:rPr>
        <w:t> </w:t>
      </w:r>
      <w:r>
        <w:rPr>
          <w:sz w:val="24"/>
        </w:rPr>
        <w:t>get</w:t>
      </w:r>
      <w:r>
        <w:rPr>
          <w:spacing w:val="-3"/>
          <w:sz w:val="24"/>
        </w:rPr>
        <w:t> </w:t>
      </w:r>
      <w:r>
        <w:rPr>
          <w:sz w:val="24"/>
        </w:rPr>
        <w:t>decisions</w:t>
      </w:r>
      <w:r>
        <w:rPr>
          <w:spacing w:val="-4"/>
          <w:sz w:val="24"/>
        </w:rPr>
        <w:t> </w:t>
      </w:r>
      <w:r>
        <w:rPr>
          <w:sz w:val="24"/>
        </w:rPr>
        <w:t>regarding</w:t>
      </w:r>
      <w:r>
        <w:rPr>
          <w:spacing w:val="-4"/>
          <w:sz w:val="24"/>
        </w:rPr>
        <w:t> </w:t>
      </w:r>
      <w:r>
        <w:rPr>
          <w:sz w:val="24"/>
        </w:rPr>
        <w:t>the</w:t>
      </w:r>
      <w:r>
        <w:rPr>
          <w:spacing w:val="-4"/>
          <w:sz w:val="24"/>
        </w:rPr>
        <w:t> </w:t>
      </w:r>
      <w:r>
        <w:rPr>
          <w:sz w:val="24"/>
        </w:rPr>
        <w:t>individual's</w:t>
      </w:r>
      <w:r>
        <w:rPr>
          <w:spacing w:val="-4"/>
          <w:sz w:val="24"/>
        </w:rPr>
        <w:t> </w:t>
      </w:r>
      <w:r>
        <w:rPr>
          <w:sz w:val="24"/>
        </w:rPr>
        <w:t>case</w:t>
      </w:r>
      <w:r>
        <w:rPr>
          <w:spacing w:val="-4"/>
          <w:sz w:val="24"/>
        </w:rPr>
        <w:t> </w:t>
      </w:r>
      <w:r>
        <w:rPr>
          <w:sz w:val="24"/>
        </w:rPr>
        <w:t>reviewed</w:t>
      </w:r>
      <w:r>
        <w:rPr>
          <w:spacing w:val="-4"/>
          <w:sz w:val="24"/>
        </w:rPr>
        <w:t> </w:t>
      </w:r>
      <w:r>
        <w:rPr>
          <w:sz w:val="24"/>
        </w:rPr>
        <w:t>by</w:t>
      </w:r>
      <w:r>
        <w:rPr>
          <w:spacing w:val="-4"/>
          <w:sz w:val="24"/>
        </w:rPr>
        <w:t> </w:t>
      </w:r>
      <w:r>
        <w:rPr>
          <w:sz w:val="24"/>
        </w:rPr>
        <w:t>an impartial hearing officer;</w:t>
      </w:r>
    </w:p>
    <w:p>
      <w:pPr>
        <w:pStyle w:val="ListParagraph"/>
        <w:numPr>
          <w:ilvl w:val="1"/>
          <w:numId w:val="79"/>
        </w:numPr>
        <w:tabs>
          <w:tab w:pos="1217" w:val="left" w:leader="none"/>
        </w:tabs>
        <w:spacing w:line="240" w:lineRule="auto" w:before="211" w:after="0"/>
        <w:ind w:left="1217" w:right="0" w:hanging="425"/>
        <w:jc w:val="left"/>
        <w:rPr>
          <w:sz w:val="24"/>
        </w:rPr>
      </w:pPr>
      <w:r>
        <w:rPr>
          <w:sz w:val="24"/>
        </w:rPr>
        <w:t>the</w:t>
      </w:r>
      <w:r>
        <w:rPr>
          <w:spacing w:val="-6"/>
          <w:sz w:val="24"/>
        </w:rPr>
        <w:t> </w:t>
      </w:r>
      <w:r>
        <w:rPr>
          <w:sz w:val="24"/>
        </w:rPr>
        <w:t>right</w:t>
      </w:r>
      <w:r>
        <w:rPr>
          <w:spacing w:val="-2"/>
          <w:sz w:val="24"/>
        </w:rPr>
        <w:t> </w:t>
      </w:r>
      <w:r>
        <w:rPr>
          <w:sz w:val="24"/>
        </w:rPr>
        <w:t>to</w:t>
      </w:r>
      <w:r>
        <w:rPr>
          <w:spacing w:val="-5"/>
          <w:sz w:val="24"/>
        </w:rPr>
        <w:t> </w:t>
      </w:r>
      <w:r>
        <w:rPr>
          <w:sz w:val="24"/>
        </w:rPr>
        <w:t>pursue</w:t>
      </w:r>
      <w:r>
        <w:rPr>
          <w:spacing w:val="-3"/>
          <w:sz w:val="24"/>
        </w:rPr>
        <w:t> </w:t>
      </w:r>
      <w:r>
        <w:rPr>
          <w:sz w:val="24"/>
        </w:rPr>
        <w:t>mediation</w:t>
      </w:r>
      <w:r>
        <w:rPr>
          <w:spacing w:val="-2"/>
          <w:sz w:val="24"/>
        </w:rPr>
        <w:t> </w:t>
      </w:r>
      <w:r>
        <w:rPr>
          <w:sz w:val="24"/>
        </w:rPr>
        <w:t>on</w:t>
      </w:r>
      <w:r>
        <w:rPr>
          <w:spacing w:val="-4"/>
          <w:sz w:val="24"/>
        </w:rPr>
        <w:t> </w:t>
      </w:r>
      <w:r>
        <w:rPr>
          <w:sz w:val="24"/>
        </w:rPr>
        <w:t>decisions</w:t>
      </w:r>
      <w:r>
        <w:rPr>
          <w:spacing w:val="-3"/>
          <w:sz w:val="24"/>
        </w:rPr>
        <w:t> </w:t>
      </w:r>
      <w:r>
        <w:rPr>
          <w:sz w:val="24"/>
        </w:rPr>
        <w:t>regarding</w:t>
      </w:r>
      <w:r>
        <w:rPr>
          <w:spacing w:val="-3"/>
          <w:sz w:val="24"/>
        </w:rPr>
        <w:t> </w:t>
      </w:r>
      <w:r>
        <w:rPr>
          <w:sz w:val="24"/>
        </w:rPr>
        <w:t>the</w:t>
      </w:r>
      <w:r>
        <w:rPr>
          <w:spacing w:val="-3"/>
          <w:sz w:val="24"/>
        </w:rPr>
        <w:t> </w:t>
      </w:r>
      <w:r>
        <w:rPr>
          <w:sz w:val="24"/>
        </w:rPr>
        <w:t>individual's</w:t>
      </w:r>
      <w:r>
        <w:rPr>
          <w:spacing w:val="-3"/>
          <w:sz w:val="24"/>
        </w:rPr>
        <w:t> </w:t>
      </w:r>
      <w:r>
        <w:rPr>
          <w:spacing w:val="-2"/>
          <w:sz w:val="24"/>
        </w:rPr>
        <w:t>case;</w:t>
      </w:r>
    </w:p>
    <w:p>
      <w:pPr>
        <w:pStyle w:val="ListParagraph"/>
        <w:numPr>
          <w:ilvl w:val="1"/>
          <w:numId w:val="79"/>
        </w:numPr>
        <w:tabs>
          <w:tab w:pos="1217" w:val="left" w:leader="none"/>
        </w:tabs>
        <w:spacing w:line="208" w:lineRule="auto" w:before="233" w:after="0"/>
        <w:ind w:left="792" w:right="1081" w:firstLine="0"/>
        <w:jc w:val="left"/>
        <w:rPr>
          <w:sz w:val="24"/>
        </w:rPr>
      </w:pPr>
      <w:r>
        <w:rPr>
          <w:sz w:val="24"/>
        </w:rPr>
        <w:t>the</w:t>
      </w:r>
      <w:r>
        <w:rPr>
          <w:spacing w:val="-4"/>
          <w:sz w:val="24"/>
        </w:rPr>
        <w:t> </w:t>
      </w:r>
      <w:r>
        <w:rPr>
          <w:sz w:val="24"/>
        </w:rPr>
        <w:t>names</w:t>
      </w:r>
      <w:r>
        <w:rPr>
          <w:spacing w:val="-4"/>
          <w:sz w:val="24"/>
        </w:rPr>
        <w:t> </w:t>
      </w:r>
      <w:r>
        <w:rPr>
          <w:sz w:val="24"/>
        </w:rPr>
        <w:t>and</w:t>
      </w:r>
      <w:r>
        <w:rPr>
          <w:spacing w:val="-4"/>
          <w:sz w:val="24"/>
        </w:rPr>
        <w:t> </w:t>
      </w:r>
      <w:r>
        <w:rPr>
          <w:sz w:val="24"/>
        </w:rPr>
        <w:t>addresses</w:t>
      </w:r>
      <w:r>
        <w:rPr>
          <w:spacing w:val="-4"/>
          <w:sz w:val="24"/>
        </w:rPr>
        <w:t> </w:t>
      </w:r>
      <w:r>
        <w:rPr>
          <w:sz w:val="24"/>
        </w:rPr>
        <w:t>of</w:t>
      </w:r>
      <w:r>
        <w:rPr>
          <w:spacing w:val="-3"/>
          <w:sz w:val="24"/>
        </w:rPr>
        <w:t> </w:t>
      </w:r>
      <w:r>
        <w:rPr>
          <w:sz w:val="24"/>
        </w:rPr>
        <w:t>individuals</w:t>
      </w:r>
      <w:r>
        <w:rPr>
          <w:spacing w:val="-4"/>
          <w:sz w:val="24"/>
        </w:rPr>
        <w:t> </w:t>
      </w:r>
      <w:r>
        <w:rPr>
          <w:sz w:val="24"/>
        </w:rPr>
        <w:t>with</w:t>
      </w:r>
      <w:r>
        <w:rPr>
          <w:spacing w:val="-4"/>
          <w:sz w:val="24"/>
        </w:rPr>
        <w:t> </w:t>
      </w:r>
      <w:r>
        <w:rPr>
          <w:sz w:val="24"/>
        </w:rPr>
        <w:t>whom</w:t>
      </w:r>
      <w:r>
        <w:rPr>
          <w:spacing w:val="-3"/>
          <w:sz w:val="24"/>
        </w:rPr>
        <w:t> </w:t>
      </w:r>
      <w:r>
        <w:rPr>
          <w:sz w:val="24"/>
        </w:rPr>
        <w:t>requests</w:t>
      </w:r>
      <w:r>
        <w:rPr>
          <w:spacing w:val="-5"/>
          <w:sz w:val="24"/>
        </w:rPr>
        <w:t> </w:t>
      </w:r>
      <w:r>
        <w:rPr>
          <w:sz w:val="24"/>
        </w:rPr>
        <w:t>for</w:t>
      </w:r>
      <w:r>
        <w:rPr>
          <w:spacing w:val="-5"/>
          <w:sz w:val="24"/>
        </w:rPr>
        <w:t> </w:t>
      </w:r>
      <w:r>
        <w:rPr>
          <w:sz w:val="24"/>
        </w:rPr>
        <w:t>mediation</w:t>
      </w:r>
      <w:r>
        <w:rPr>
          <w:spacing w:val="-4"/>
          <w:sz w:val="24"/>
        </w:rPr>
        <w:t> </w:t>
      </w:r>
      <w:r>
        <w:rPr>
          <w:sz w:val="24"/>
        </w:rPr>
        <w:t>or due process hearings may be filed;</w:t>
      </w:r>
    </w:p>
    <w:p>
      <w:pPr>
        <w:pStyle w:val="ListParagraph"/>
        <w:numPr>
          <w:ilvl w:val="1"/>
          <w:numId w:val="79"/>
        </w:numPr>
        <w:tabs>
          <w:tab w:pos="1217" w:val="left" w:leader="none"/>
        </w:tabs>
        <w:spacing w:line="208" w:lineRule="auto" w:before="240" w:after="0"/>
        <w:ind w:left="792" w:right="1149" w:firstLine="0"/>
        <w:jc w:val="left"/>
        <w:rPr>
          <w:sz w:val="24"/>
        </w:rPr>
      </w:pPr>
      <w:r>
        <w:rPr>
          <w:sz w:val="24"/>
        </w:rPr>
        <w:t>the</w:t>
      </w:r>
      <w:r>
        <w:rPr>
          <w:spacing w:val="-4"/>
          <w:sz w:val="24"/>
        </w:rPr>
        <w:t> </w:t>
      </w:r>
      <w:r>
        <w:rPr>
          <w:sz w:val="24"/>
        </w:rPr>
        <w:t>manner</w:t>
      </w:r>
      <w:r>
        <w:rPr>
          <w:spacing w:val="-3"/>
          <w:sz w:val="24"/>
        </w:rPr>
        <w:t> </w:t>
      </w:r>
      <w:r>
        <w:rPr>
          <w:sz w:val="24"/>
        </w:rPr>
        <w:t>in</w:t>
      </w:r>
      <w:r>
        <w:rPr>
          <w:spacing w:val="-4"/>
          <w:sz w:val="24"/>
        </w:rPr>
        <w:t> </w:t>
      </w:r>
      <w:r>
        <w:rPr>
          <w:sz w:val="24"/>
        </w:rPr>
        <w:t>which</w:t>
      </w:r>
      <w:r>
        <w:rPr>
          <w:spacing w:val="-4"/>
          <w:sz w:val="24"/>
        </w:rPr>
        <w:t> </w:t>
      </w:r>
      <w:r>
        <w:rPr>
          <w:sz w:val="24"/>
        </w:rPr>
        <w:t>a</w:t>
      </w:r>
      <w:r>
        <w:rPr>
          <w:spacing w:val="-4"/>
          <w:sz w:val="24"/>
        </w:rPr>
        <w:t> </w:t>
      </w:r>
      <w:r>
        <w:rPr>
          <w:sz w:val="24"/>
        </w:rPr>
        <w:t>mediator</w:t>
      </w:r>
      <w:r>
        <w:rPr>
          <w:spacing w:val="-3"/>
          <w:sz w:val="24"/>
        </w:rPr>
        <w:t> </w:t>
      </w:r>
      <w:r>
        <w:rPr>
          <w:sz w:val="24"/>
        </w:rPr>
        <w:t>or</w:t>
      </w:r>
      <w:r>
        <w:rPr>
          <w:spacing w:val="-5"/>
          <w:sz w:val="24"/>
        </w:rPr>
        <w:t> </w:t>
      </w:r>
      <w:r>
        <w:rPr>
          <w:sz w:val="24"/>
        </w:rPr>
        <w:t>impartial</w:t>
      </w:r>
      <w:r>
        <w:rPr>
          <w:spacing w:val="-4"/>
          <w:sz w:val="24"/>
        </w:rPr>
        <w:t> </w:t>
      </w:r>
      <w:r>
        <w:rPr>
          <w:sz w:val="24"/>
        </w:rPr>
        <w:t>hearing</w:t>
      </w:r>
      <w:r>
        <w:rPr>
          <w:spacing w:val="-3"/>
          <w:sz w:val="24"/>
        </w:rPr>
        <w:t> </w:t>
      </w:r>
      <w:r>
        <w:rPr>
          <w:sz w:val="24"/>
        </w:rPr>
        <w:t>officer</w:t>
      </w:r>
      <w:r>
        <w:rPr>
          <w:spacing w:val="-5"/>
          <w:sz w:val="24"/>
        </w:rPr>
        <w:t> </w:t>
      </w:r>
      <w:r>
        <w:rPr>
          <w:sz w:val="24"/>
        </w:rPr>
        <w:t>may</w:t>
      </w:r>
      <w:r>
        <w:rPr>
          <w:spacing w:val="-4"/>
          <w:sz w:val="24"/>
        </w:rPr>
        <w:t> </w:t>
      </w:r>
      <w:r>
        <w:rPr>
          <w:sz w:val="24"/>
        </w:rPr>
        <w:t>be</w:t>
      </w:r>
      <w:r>
        <w:rPr>
          <w:spacing w:val="-4"/>
          <w:sz w:val="24"/>
        </w:rPr>
        <w:t> </w:t>
      </w:r>
      <w:r>
        <w:rPr>
          <w:sz w:val="24"/>
        </w:rPr>
        <w:t>selected; </w:t>
      </w:r>
      <w:r>
        <w:rPr>
          <w:spacing w:val="-4"/>
          <w:sz w:val="24"/>
        </w:rPr>
        <w:t>and</w:t>
      </w:r>
    </w:p>
    <w:p>
      <w:pPr>
        <w:pStyle w:val="ListParagraph"/>
        <w:numPr>
          <w:ilvl w:val="1"/>
          <w:numId w:val="79"/>
        </w:numPr>
        <w:tabs>
          <w:tab w:pos="1217" w:val="left" w:leader="none"/>
        </w:tabs>
        <w:spacing w:line="240" w:lineRule="auto" w:before="211" w:after="0"/>
        <w:ind w:left="1217" w:right="0" w:hanging="425"/>
        <w:jc w:val="left"/>
        <w:rPr>
          <w:sz w:val="24"/>
        </w:rPr>
      </w:pPr>
      <w:r>
        <w:rPr>
          <w:sz w:val="24"/>
        </w:rPr>
        <w:t>the</w:t>
      </w:r>
      <w:r>
        <w:rPr>
          <w:spacing w:val="-6"/>
          <w:sz w:val="24"/>
        </w:rPr>
        <w:t> </w:t>
      </w:r>
      <w:r>
        <w:rPr>
          <w:sz w:val="24"/>
        </w:rPr>
        <w:t>availability</w:t>
      </w:r>
      <w:r>
        <w:rPr>
          <w:spacing w:val="-3"/>
          <w:sz w:val="24"/>
        </w:rPr>
        <w:t> </w:t>
      </w:r>
      <w:r>
        <w:rPr>
          <w:sz w:val="24"/>
        </w:rPr>
        <w:t>of</w:t>
      </w:r>
      <w:r>
        <w:rPr>
          <w:spacing w:val="-2"/>
          <w:sz w:val="24"/>
        </w:rPr>
        <w:t> </w:t>
      </w:r>
      <w:r>
        <w:rPr>
          <w:sz w:val="24"/>
        </w:rPr>
        <w:t>assistance</w:t>
      </w:r>
      <w:r>
        <w:rPr>
          <w:spacing w:val="-3"/>
          <w:sz w:val="24"/>
        </w:rPr>
        <w:t> </w:t>
      </w:r>
      <w:r>
        <w:rPr>
          <w:sz w:val="24"/>
        </w:rPr>
        <w:t>from</w:t>
      </w:r>
      <w:r>
        <w:rPr>
          <w:spacing w:val="-2"/>
          <w:sz w:val="24"/>
        </w:rPr>
        <w:t> </w:t>
      </w:r>
      <w:r>
        <w:rPr>
          <w:sz w:val="24"/>
        </w:rPr>
        <w:t>the</w:t>
      </w:r>
      <w:r>
        <w:rPr>
          <w:spacing w:val="-3"/>
          <w:sz w:val="24"/>
        </w:rPr>
        <w:t> </w:t>
      </w:r>
      <w:r>
        <w:rPr>
          <w:sz w:val="24"/>
        </w:rPr>
        <w:t>client</w:t>
      </w:r>
      <w:r>
        <w:rPr>
          <w:spacing w:val="-2"/>
          <w:sz w:val="24"/>
        </w:rPr>
        <w:t> </w:t>
      </w:r>
      <w:r>
        <w:rPr>
          <w:sz w:val="24"/>
        </w:rPr>
        <w:t>assistance</w:t>
      </w:r>
      <w:r>
        <w:rPr>
          <w:spacing w:val="-3"/>
          <w:sz w:val="24"/>
        </w:rPr>
        <w:t> </w:t>
      </w:r>
      <w:r>
        <w:rPr>
          <w:spacing w:val="-2"/>
          <w:sz w:val="24"/>
        </w:rPr>
        <w:t>program.</w:t>
      </w:r>
    </w:p>
    <w:p>
      <w:pPr>
        <w:pStyle w:val="ListParagraph"/>
        <w:numPr>
          <w:ilvl w:val="0"/>
          <w:numId w:val="79"/>
        </w:numPr>
        <w:tabs>
          <w:tab w:pos="785" w:val="left" w:leader="none"/>
        </w:tabs>
        <w:spacing w:line="208" w:lineRule="auto" w:before="233" w:after="0"/>
        <w:ind w:left="360" w:right="1551" w:firstLine="0"/>
        <w:jc w:val="left"/>
        <w:rPr>
          <w:sz w:val="24"/>
        </w:rPr>
      </w:pPr>
      <w:r>
        <w:rPr>
          <w:b/>
          <w:sz w:val="24"/>
        </w:rPr>
        <w:t>When notification of rights to due process is required. </w:t>
      </w:r>
      <w:r>
        <w:rPr>
          <w:sz w:val="24"/>
        </w:rPr>
        <w:t>The notifications specified</w:t>
      </w:r>
      <w:r>
        <w:rPr>
          <w:spacing w:val="-4"/>
          <w:sz w:val="24"/>
        </w:rPr>
        <w:t> </w:t>
      </w:r>
      <w:r>
        <w:rPr>
          <w:sz w:val="24"/>
        </w:rPr>
        <w:t>in</w:t>
      </w:r>
      <w:r>
        <w:rPr>
          <w:spacing w:val="-3"/>
          <w:sz w:val="24"/>
        </w:rPr>
        <w:t> </w:t>
      </w:r>
      <w:r>
        <w:rPr>
          <w:sz w:val="24"/>
        </w:rPr>
        <w:t>(a)</w:t>
      </w:r>
      <w:r>
        <w:rPr>
          <w:spacing w:val="-3"/>
          <w:sz w:val="24"/>
        </w:rPr>
        <w:t> </w:t>
      </w:r>
      <w:r>
        <w:rPr>
          <w:sz w:val="24"/>
        </w:rPr>
        <w:t>shall</w:t>
      </w:r>
      <w:r>
        <w:rPr>
          <w:spacing w:val="-4"/>
          <w:sz w:val="24"/>
        </w:rPr>
        <w:t> </w:t>
      </w:r>
      <w:r>
        <w:rPr>
          <w:sz w:val="24"/>
        </w:rPr>
        <w:t>be</w:t>
      </w:r>
      <w:r>
        <w:rPr>
          <w:spacing w:val="-4"/>
          <w:sz w:val="24"/>
        </w:rPr>
        <w:t> </w:t>
      </w:r>
      <w:r>
        <w:rPr>
          <w:sz w:val="24"/>
        </w:rPr>
        <w:t>provided</w:t>
      </w:r>
      <w:r>
        <w:rPr>
          <w:spacing w:val="-3"/>
          <w:sz w:val="24"/>
        </w:rPr>
        <w:t> </w:t>
      </w:r>
      <w:r>
        <w:rPr>
          <w:sz w:val="24"/>
        </w:rPr>
        <w:t>in</w:t>
      </w:r>
      <w:r>
        <w:rPr>
          <w:spacing w:val="-4"/>
          <w:sz w:val="24"/>
        </w:rPr>
        <w:t> </w:t>
      </w:r>
      <w:r>
        <w:rPr>
          <w:sz w:val="24"/>
        </w:rPr>
        <w:t>writing,</w:t>
      </w:r>
      <w:r>
        <w:rPr>
          <w:spacing w:val="-3"/>
          <w:sz w:val="24"/>
        </w:rPr>
        <w:t> </w:t>
      </w:r>
      <w:r>
        <w:rPr>
          <w:sz w:val="24"/>
        </w:rPr>
        <w:t>and</w:t>
      </w:r>
      <w:r>
        <w:rPr>
          <w:spacing w:val="-4"/>
          <w:sz w:val="24"/>
        </w:rPr>
        <w:t> </w:t>
      </w:r>
      <w:r>
        <w:rPr>
          <w:sz w:val="24"/>
        </w:rPr>
        <w:t>in</w:t>
      </w:r>
      <w:r>
        <w:rPr>
          <w:spacing w:val="-4"/>
          <w:sz w:val="24"/>
        </w:rPr>
        <w:t> </w:t>
      </w:r>
      <w:r>
        <w:rPr>
          <w:sz w:val="24"/>
        </w:rPr>
        <w:t>appropriate</w:t>
      </w:r>
      <w:r>
        <w:rPr>
          <w:spacing w:val="-4"/>
          <w:sz w:val="24"/>
        </w:rPr>
        <w:t> </w:t>
      </w:r>
      <w:r>
        <w:rPr>
          <w:sz w:val="24"/>
        </w:rPr>
        <w:t>accessible</w:t>
      </w:r>
      <w:r>
        <w:rPr>
          <w:spacing w:val="-4"/>
          <w:sz w:val="24"/>
        </w:rPr>
        <w:t> </w:t>
      </w:r>
      <w:r>
        <w:rPr>
          <w:sz w:val="24"/>
        </w:rPr>
        <w:t>format:</w:t>
      </w:r>
    </w:p>
    <w:p>
      <w:pPr>
        <w:pStyle w:val="ListParagraph"/>
        <w:numPr>
          <w:ilvl w:val="1"/>
          <w:numId w:val="79"/>
        </w:numPr>
        <w:tabs>
          <w:tab w:pos="1218" w:val="left" w:leader="none"/>
        </w:tabs>
        <w:spacing w:line="240" w:lineRule="auto" w:before="210" w:after="0"/>
        <w:ind w:left="1218" w:right="0" w:hanging="426"/>
        <w:jc w:val="left"/>
        <w:rPr>
          <w:sz w:val="24"/>
        </w:rPr>
      </w:pPr>
      <w:r>
        <w:rPr>
          <w:sz w:val="24"/>
        </w:rPr>
        <w:t>at</w:t>
      </w:r>
      <w:r>
        <w:rPr>
          <w:spacing w:val="-4"/>
          <w:sz w:val="24"/>
        </w:rPr>
        <w:t> </w:t>
      </w:r>
      <w:r>
        <w:rPr>
          <w:sz w:val="24"/>
        </w:rPr>
        <w:t>the</w:t>
      </w:r>
      <w:r>
        <w:rPr>
          <w:spacing w:val="-2"/>
          <w:sz w:val="24"/>
        </w:rPr>
        <w:t> </w:t>
      </w:r>
      <w:r>
        <w:rPr>
          <w:sz w:val="24"/>
        </w:rPr>
        <w:t>time</w:t>
      </w:r>
      <w:r>
        <w:rPr>
          <w:spacing w:val="-2"/>
          <w:sz w:val="24"/>
        </w:rPr>
        <w:t> </w:t>
      </w:r>
      <w:r>
        <w:rPr>
          <w:sz w:val="24"/>
        </w:rPr>
        <w:t>an</w:t>
      </w:r>
      <w:r>
        <w:rPr>
          <w:spacing w:val="-2"/>
          <w:sz w:val="24"/>
        </w:rPr>
        <w:t> </w:t>
      </w:r>
      <w:r>
        <w:rPr>
          <w:sz w:val="24"/>
        </w:rPr>
        <w:t>individual</w:t>
      </w:r>
      <w:r>
        <w:rPr>
          <w:spacing w:val="-3"/>
          <w:sz w:val="24"/>
        </w:rPr>
        <w:t> </w:t>
      </w:r>
      <w:r>
        <w:rPr>
          <w:sz w:val="24"/>
        </w:rPr>
        <w:t>applies</w:t>
      </w:r>
      <w:r>
        <w:rPr>
          <w:spacing w:val="-2"/>
          <w:sz w:val="24"/>
        </w:rPr>
        <w:t> </w:t>
      </w:r>
      <w:r>
        <w:rPr>
          <w:sz w:val="24"/>
        </w:rPr>
        <w:t>for</w:t>
      </w:r>
      <w:r>
        <w:rPr>
          <w:spacing w:val="-1"/>
          <w:sz w:val="24"/>
        </w:rPr>
        <w:t> </w:t>
      </w:r>
      <w:r>
        <w:rPr>
          <w:sz w:val="24"/>
        </w:rPr>
        <w:t>VR</w:t>
      </w:r>
      <w:r>
        <w:rPr>
          <w:spacing w:val="-2"/>
          <w:sz w:val="24"/>
        </w:rPr>
        <w:t> services;</w:t>
      </w:r>
    </w:p>
    <w:p>
      <w:pPr>
        <w:pStyle w:val="ListParagraph"/>
        <w:numPr>
          <w:ilvl w:val="1"/>
          <w:numId w:val="79"/>
        </w:numPr>
        <w:tabs>
          <w:tab w:pos="1218" w:val="left" w:leader="none"/>
        </w:tabs>
        <w:spacing w:line="240" w:lineRule="auto" w:before="204" w:after="0"/>
        <w:ind w:left="1218" w:right="0" w:hanging="426"/>
        <w:jc w:val="left"/>
        <w:rPr>
          <w:sz w:val="24"/>
        </w:rPr>
      </w:pPr>
      <w:r>
        <w:rPr>
          <w:sz w:val="24"/>
        </w:rPr>
        <w:t>at</w:t>
      </w:r>
      <w:r>
        <w:rPr>
          <w:spacing w:val="-4"/>
          <w:sz w:val="24"/>
        </w:rPr>
        <w:t> </w:t>
      </w:r>
      <w:r>
        <w:rPr>
          <w:sz w:val="24"/>
        </w:rPr>
        <w:t>the</w:t>
      </w:r>
      <w:r>
        <w:rPr>
          <w:spacing w:val="-2"/>
          <w:sz w:val="24"/>
        </w:rPr>
        <w:t> </w:t>
      </w:r>
      <w:r>
        <w:rPr>
          <w:sz w:val="24"/>
        </w:rPr>
        <w:t>time</w:t>
      </w:r>
      <w:r>
        <w:rPr>
          <w:spacing w:val="-2"/>
          <w:sz w:val="24"/>
        </w:rPr>
        <w:t> </w:t>
      </w:r>
      <w:r>
        <w:rPr>
          <w:sz w:val="24"/>
        </w:rPr>
        <w:t>an</w:t>
      </w:r>
      <w:r>
        <w:rPr>
          <w:spacing w:val="-3"/>
          <w:sz w:val="24"/>
        </w:rPr>
        <w:t> </w:t>
      </w:r>
      <w:r>
        <w:rPr>
          <w:sz w:val="24"/>
        </w:rPr>
        <w:t>individual</w:t>
      </w:r>
      <w:r>
        <w:rPr>
          <w:spacing w:val="-2"/>
          <w:sz w:val="24"/>
        </w:rPr>
        <w:t> </w:t>
      </w:r>
      <w:r>
        <w:rPr>
          <w:sz w:val="24"/>
        </w:rPr>
        <w:t>is</w:t>
      </w:r>
      <w:r>
        <w:rPr>
          <w:spacing w:val="-2"/>
          <w:sz w:val="24"/>
        </w:rPr>
        <w:t> </w:t>
      </w:r>
      <w:r>
        <w:rPr>
          <w:sz w:val="24"/>
        </w:rPr>
        <w:t>assigned</w:t>
      </w:r>
      <w:r>
        <w:rPr>
          <w:spacing w:val="-3"/>
          <w:sz w:val="24"/>
        </w:rPr>
        <w:t> </w:t>
      </w:r>
      <w:r>
        <w:rPr>
          <w:sz w:val="24"/>
        </w:rPr>
        <w:t>to</w:t>
      </w:r>
      <w:r>
        <w:rPr>
          <w:spacing w:val="-2"/>
          <w:sz w:val="24"/>
        </w:rPr>
        <w:t> </w:t>
      </w:r>
      <w:r>
        <w:rPr>
          <w:sz w:val="24"/>
        </w:rPr>
        <w:t>the</w:t>
      </w:r>
      <w:r>
        <w:rPr>
          <w:spacing w:val="-2"/>
          <w:sz w:val="24"/>
        </w:rPr>
        <w:t> </w:t>
      </w:r>
      <w:r>
        <w:rPr>
          <w:sz w:val="24"/>
        </w:rPr>
        <w:t>State's</w:t>
      </w:r>
      <w:r>
        <w:rPr>
          <w:spacing w:val="-3"/>
          <w:sz w:val="24"/>
        </w:rPr>
        <w:t> </w:t>
      </w:r>
      <w:r>
        <w:rPr>
          <w:sz w:val="24"/>
        </w:rPr>
        <w:t>order</w:t>
      </w:r>
      <w:r>
        <w:rPr>
          <w:spacing w:val="-1"/>
          <w:sz w:val="24"/>
        </w:rPr>
        <w:t> </w:t>
      </w:r>
      <w:r>
        <w:rPr>
          <w:sz w:val="24"/>
        </w:rPr>
        <w:t>of</w:t>
      </w:r>
      <w:r>
        <w:rPr>
          <w:spacing w:val="-1"/>
          <w:sz w:val="24"/>
        </w:rPr>
        <w:t> </w:t>
      </w:r>
      <w:r>
        <w:rPr>
          <w:spacing w:val="-2"/>
          <w:sz w:val="24"/>
        </w:rPr>
        <w:t>selection;</w:t>
      </w:r>
    </w:p>
    <w:p>
      <w:pPr>
        <w:pStyle w:val="ListParagraph"/>
        <w:numPr>
          <w:ilvl w:val="1"/>
          <w:numId w:val="79"/>
        </w:numPr>
        <w:tabs>
          <w:tab w:pos="1218" w:val="left" w:leader="none"/>
        </w:tabs>
        <w:spacing w:line="240" w:lineRule="auto" w:before="205" w:after="0"/>
        <w:ind w:left="1218" w:right="0" w:hanging="426"/>
        <w:jc w:val="left"/>
        <w:rPr>
          <w:sz w:val="24"/>
        </w:rPr>
      </w:pPr>
      <w:r>
        <w:rPr>
          <w:sz w:val="24"/>
        </w:rPr>
        <w:t>at</w:t>
      </w:r>
      <w:r>
        <w:rPr>
          <w:spacing w:val="-7"/>
          <w:sz w:val="24"/>
        </w:rPr>
        <w:t> </w:t>
      </w:r>
      <w:r>
        <w:rPr>
          <w:sz w:val="24"/>
        </w:rPr>
        <w:t>the</w:t>
      </w:r>
      <w:r>
        <w:rPr>
          <w:spacing w:val="-3"/>
          <w:sz w:val="24"/>
        </w:rPr>
        <w:t> </w:t>
      </w:r>
      <w:r>
        <w:rPr>
          <w:sz w:val="24"/>
        </w:rPr>
        <w:t>time</w:t>
      </w:r>
      <w:r>
        <w:rPr>
          <w:spacing w:val="-4"/>
          <w:sz w:val="24"/>
        </w:rPr>
        <w:t> </w:t>
      </w:r>
      <w:r>
        <w:rPr>
          <w:sz w:val="24"/>
        </w:rPr>
        <w:t>the</w:t>
      </w:r>
      <w:r>
        <w:rPr>
          <w:spacing w:val="-3"/>
          <w:sz w:val="24"/>
        </w:rPr>
        <w:t> </w:t>
      </w:r>
      <w:r>
        <w:rPr>
          <w:sz w:val="24"/>
        </w:rPr>
        <w:t>Individualized</w:t>
      </w:r>
      <w:r>
        <w:rPr>
          <w:spacing w:val="-2"/>
          <w:sz w:val="24"/>
        </w:rPr>
        <w:t> </w:t>
      </w:r>
      <w:r>
        <w:rPr>
          <w:sz w:val="24"/>
        </w:rPr>
        <w:t>Plan</w:t>
      </w:r>
      <w:r>
        <w:rPr>
          <w:spacing w:val="-4"/>
          <w:sz w:val="24"/>
        </w:rPr>
        <w:t> </w:t>
      </w:r>
      <w:r>
        <w:rPr>
          <w:sz w:val="24"/>
        </w:rPr>
        <w:t>for</w:t>
      </w:r>
      <w:r>
        <w:rPr>
          <w:spacing w:val="-2"/>
          <w:sz w:val="24"/>
        </w:rPr>
        <w:t> </w:t>
      </w:r>
      <w:r>
        <w:rPr>
          <w:sz w:val="24"/>
        </w:rPr>
        <w:t>Employment</w:t>
      </w:r>
      <w:r>
        <w:rPr>
          <w:spacing w:val="-3"/>
          <w:sz w:val="24"/>
        </w:rPr>
        <w:t> </w:t>
      </w:r>
      <w:r>
        <w:rPr>
          <w:sz w:val="24"/>
        </w:rPr>
        <w:t>is</w:t>
      </w:r>
      <w:r>
        <w:rPr>
          <w:spacing w:val="-3"/>
          <w:sz w:val="24"/>
        </w:rPr>
        <w:t> </w:t>
      </w:r>
      <w:r>
        <w:rPr>
          <w:sz w:val="24"/>
        </w:rPr>
        <w:t>developed;</w:t>
      </w:r>
      <w:r>
        <w:rPr>
          <w:spacing w:val="-2"/>
          <w:sz w:val="24"/>
        </w:rPr>
        <w:t> </w:t>
      </w:r>
      <w:r>
        <w:rPr>
          <w:spacing w:val="-5"/>
          <w:sz w:val="24"/>
        </w:rPr>
        <w:t>and</w:t>
      </w:r>
    </w:p>
    <w:p>
      <w:pPr>
        <w:pStyle w:val="ListParagraph"/>
        <w:numPr>
          <w:ilvl w:val="1"/>
          <w:numId w:val="79"/>
        </w:numPr>
        <w:tabs>
          <w:tab w:pos="1218" w:val="left" w:leader="none"/>
        </w:tabs>
        <w:spacing w:line="240" w:lineRule="auto" w:before="204" w:after="0"/>
        <w:ind w:left="1218" w:right="0" w:hanging="426"/>
        <w:jc w:val="left"/>
        <w:rPr>
          <w:sz w:val="24"/>
        </w:rPr>
      </w:pPr>
      <w:r>
        <w:rPr>
          <w:sz w:val="24"/>
        </w:rPr>
        <w:t>upon</w:t>
      </w:r>
      <w:r>
        <w:rPr>
          <w:spacing w:val="-5"/>
          <w:sz w:val="24"/>
        </w:rPr>
        <w:t> </w:t>
      </w:r>
      <w:r>
        <w:rPr>
          <w:sz w:val="24"/>
        </w:rPr>
        <w:t>reduction,</w:t>
      </w:r>
      <w:r>
        <w:rPr>
          <w:spacing w:val="-2"/>
          <w:sz w:val="24"/>
        </w:rPr>
        <w:t> </w:t>
      </w:r>
      <w:r>
        <w:rPr>
          <w:sz w:val="24"/>
        </w:rPr>
        <w:t>suspension,</w:t>
      </w:r>
      <w:r>
        <w:rPr>
          <w:spacing w:val="-3"/>
          <w:sz w:val="24"/>
        </w:rPr>
        <w:t> </w:t>
      </w:r>
      <w:r>
        <w:rPr>
          <w:sz w:val="24"/>
        </w:rPr>
        <w:t>or</w:t>
      </w:r>
      <w:r>
        <w:rPr>
          <w:spacing w:val="-2"/>
          <w:sz w:val="24"/>
        </w:rPr>
        <w:t> </w:t>
      </w:r>
      <w:r>
        <w:rPr>
          <w:sz w:val="24"/>
        </w:rPr>
        <w:t>cessation</w:t>
      </w:r>
      <w:r>
        <w:rPr>
          <w:spacing w:val="-3"/>
          <w:sz w:val="24"/>
        </w:rPr>
        <w:t> </w:t>
      </w:r>
      <w:r>
        <w:rPr>
          <w:sz w:val="24"/>
        </w:rPr>
        <w:t>of</w:t>
      </w:r>
      <w:r>
        <w:rPr>
          <w:spacing w:val="-2"/>
          <w:sz w:val="24"/>
        </w:rPr>
        <w:t> </w:t>
      </w:r>
      <w:r>
        <w:rPr>
          <w:sz w:val="24"/>
        </w:rPr>
        <w:t>VR</w:t>
      </w:r>
      <w:r>
        <w:rPr>
          <w:spacing w:val="-3"/>
          <w:sz w:val="24"/>
        </w:rPr>
        <w:t> </w:t>
      </w:r>
      <w:r>
        <w:rPr>
          <w:sz w:val="24"/>
        </w:rPr>
        <w:t>services</w:t>
      </w:r>
      <w:r>
        <w:rPr>
          <w:spacing w:val="-2"/>
          <w:sz w:val="24"/>
        </w:rPr>
        <w:t> </w:t>
      </w:r>
      <w:r>
        <w:rPr>
          <w:sz w:val="24"/>
        </w:rPr>
        <w:t>for</w:t>
      </w:r>
      <w:r>
        <w:rPr>
          <w:spacing w:val="-3"/>
          <w:sz w:val="24"/>
        </w:rPr>
        <w:t> </w:t>
      </w:r>
      <w:r>
        <w:rPr>
          <w:sz w:val="24"/>
        </w:rPr>
        <w:t>the</w:t>
      </w:r>
      <w:r>
        <w:rPr>
          <w:spacing w:val="-2"/>
          <w:sz w:val="24"/>
        </w:rPr>
        <w:t> individual.</w:t>
      </w:r>
    </w:p>
    <w:p>
      <w:pPr>
        <w:pStyle w:val="ListParagraph"/>
        <w:numPr>
          <w:ilvl w:val="0"/>
          <w:numId w:val="79"/>
        </w:numPr>
        <w:tabs>
          <w:tab w:pos="773" w:val="left" w:leader="none"/>
        </w:tabs>
        <w:spacing w:line="208" w:lineRule="auto" w:before="233" w:after="0"/>
        <w:ind w:left="360" w:right="794" w:firstLine="0"/>
        <w:jc w:val="left"/>
        <w:rPr>
          <w:sz w:val="24"/>
        </w:rPr>
      </w:pPr>
      <w:r>
        <w:rPr>
          <w:b/>
          <w:sz w:val="24"/>
        </w:rPr>
        <w:t>Client</w:t>
      </w:r>
      <w:r>
        <w:rPr>
          <w:b/>
          <w:spacing w:val="-2"/>
          <w:sz w:val="24"/>
        </w:rPr>
        <w:t> </w:t>
      </w:r>
      <w:r>
        <w:rPr>
          <w:b/>
          <w:sz w:val="24"/>
        </w:rPr>
        <w:t>Assistance Program (CAP).</w:t>
      </w:r>
      <w:r>
        <w:rPr>
          <w:b/>
          <w:spacing w:val="-1"/>
          <w:sz w:val="24"/>
        </w:rPr>
        <w:t> </w:t>
      </w:r>
      <w:r>
        <w:rPr>
          <w:sz w:val="24"/>
        </w:rPr>
        <w:t>The purpose of the Client Assistance Program (CAP) as described in this Section is to provide assistance with informing and advising clients and applicants of all available benefits under the Rehabilitation Act. When requested by clients and applicants, CAP will assist them in their relationships with projects,</w:t>
      </w:r>
      <w:r>
        <w:rPr>
          <w:spacing w:val="-4"/>
          <w:sz w:val="24"/>
        </w:rPr>
        <w:t> </w:t>
      </w:r>
      <w:r>
        <w:rPr>
          <w:sz w:val="24"/>
        </w:rPr>
        <w:t>programs,</w:t>
      </w:r>
      <w:r>
        <w:rPr>
          <w:spacing w:val="-4"/>
          <w:sz w:val="24"/>
        </w:rPr>
        <w:t> </w:t>
      </w:r>
      <w:r>
        <w:rPr>
          <w:sz w:val="24"/>
        </w:rPr>
        <w:t>and</w:t>
      </w:r>
      <w:r>
        <w:rPr>
          <w:spacing w:val="-5"/>
          <w:sz w:val="24"/>
        </w:rPr>
        <w:t> </w:t>
      </w:r>
      <w:r>
        <w:rPr>
          <w:sz w:val="24"/>
        </w:rPr>
        <w:t>Community</w:t>
      </w:r>
      <w:r>
        <w:rPr>
          <w:spacing w:val="-5"/>
          <w:sz w:val="24"/>
        </w:rPr>
        <w:t> </w:t>
      </w:r>
      <w:r>
        <w:rPr>
          <w:sz w:val="24"/>
        </w:rPr>
        <w:t>Rehabilitation</w:t>
      </w:r>
      <w:r>
        <w:rPr>
          <w:spacing w:val="-5"/>
          <w:sz w:val="24"/>
        </w:rPr>
        <w:t> </w:t>
      </w:r>
      <w:r>
        <w:rPr>
          <w:sz w:val="24"/>
        </w:rPr>
        <w:t>Programs</w:t>
      </w:r>
      <w:r>
        <w:rPr>
          <w:spacing w:val="-5"/>
          <w:sz w:val="24"/>
        </w:rPr>
        <w:t> </w:t>
      </w:r>
      <w:r>
        <w:rPr>
          <w:sz w:val="24"/>
        </w:rPr>
        <w:t>providing</w:t>
      </w:r>
      <w:r>
        <w:rPr>
          <w:spacing w:val="-5"/>
          <w:sz w:val="24"/>
        </w:rPr>
        <w:t> </w:t>
      </w:r>
      <w:r>
        <w:rPr>
          <w:sz w:val="24"/>
        </w:rPr>
        <w:t>services</w:t>
      </w:r>
      <w:r>
        <w:rPr>
          <w:spacing w:val="-5"/>
          <w:sz w:val="24"/>
        </w:rPr>
        <w:t> </w:t>
      </w:r>
      <w:r>
        <w:rPr>
          <w:sz w:val="24"/>
        </w:rPr>
        <w:t>to</w:t>
      </w:r>
      <w:r>
        <w:rPr>
          <w:spacing w:val="-6"/>
          <w:sz w:val="24"/>
        </w:rPr>
        <w:t> </w:t>
      </w:r>
      <w:r>
        <w:rPr>
          <w:sz w:val="24"/>
        </w:rPr>
        <w:t>them under the Act.</w:t>
      </w:r>
    </w:p>
    <w:p>
      <w:pPr>
        <w:pStyle w:val="ListParagraph"/>
        <w:numPr>
          <w:ilvl w:val="1"/>
          <w:numId w:val="79"/>
        </w:numPr>
        <w:tabs>
          <w:tab w:pos="1218" w:val="left" w:leader="none"/>
        </w:tabs>
        <w:spacing w:line="208" w:lineRule="auto" w:before="239" w:after="0"/>
        <w:ind w:left="792" w:right="908" w:firstLine="0"/>
        <w:jc w:val="left"/>
        <w:rPr>
          <w:sz w:val="24"/>
        </w:rPr>
      </w:pPr>
      <w:r>
        <w:rPr>
          <w:sz w:val="24"/>
        </w:rPr>
        <w:t>The</w:t>
      </w:r>
      <w:r>
        <w:rPr>
          <w:spacing w:val="-5"/>
          <w:sz w:val="24"/>
        </w:rPr>
        <w:t> </w:t>
      </w:r>
      <w:r>
        <w:rPr>
          <w:sz w:val="24"/>
        </w:rPr>
        <w:t>Oklahoma</w:t>
      </w:r>
      <w:r>
        <w:rPr>
          <w:spacing w:val="-4"/>
          <w:sz w:val="24"/>
        </w:rPr>
        <w:t> </w:t>
      </w:r>
      <w:r>
        <w:rPr>
          <w:sz w:val="24"/>
        </w:rPr>
        <w:t>CAP</w:t>
      </w:r>
      <w:r>
        <w:rPr>
          <w:spacing w:val="-4"/>
          <w:sz w:val="24"/>
        </w:rPr>
        <w:t> </w:t>
      </w:r>
      <w:r>
        <w:rPr>
          <w:sz w:val="24"/>
        </w:rPr>
        <w:t>has</w:t>
      </w:r>
      <w:r>
        <w:rPr>
          <w:spacing w:val="-4"/>
          <w:sz w:val="24"/>
        </w:rPr>
        <w:t> </w:t>
      </w:r>
      <w:r>
        <w:rPr>
          <w:sz w:val="24"/>
        </w:rPr>
        <w:t>the</w:t>
      </w:r>
      <w:r>
        <w:rPr>
          <w:spacing w:val="-4"/>
          <w:sz w:val="24"/>
        </w:rPr>
        <w:t> </w:t>
      </w:r>
      <w:r>
        <w:rPr>
          <w:sz w:val="24"/>
        </w:rPr>
        <w:t>authority</w:t>
      </w:r>
      <w:r>
        <w:rPr>
          <w:spacing w:val="-4"/>
          <w:sz w:val="24"/>
        </w:rPr>
        <w:t> </w:t>
      </w:r>
      <w:r>
        <w:rPr>
          <w:sz w:val="24"/>
        </w:rPr>
        <w:t>to</w:t>
      </w:r>
      <w:r>
        <w:rPr>
          <w:spacing w:val="-5"/>
          <w:sz w:val="24"/>
        </w:rPr>
        <w:t> </w:t>
      </w:r>
      <w:r>
        <w:rPr>
          <w:sz w:val="24"/>
        </w:rPr>
        <w:t>pursue</w:t>
      </w:r>
      <w:r>
        <w:rPr>
          <w:spacing w:val="-4"/>
          <w:sz w:val="24"/>
        </w:rPr>
        <w:t> </w:t>
      </w:r>
      <w:r>
        <w:rPr>
          <w:sz w:val="24"/>
        </w:rPr>
        <w:t>legal,</w:t>
      </w:r>
      <w:r>
        <w:rPr>
          <w:spacing w:val="-3"/>
          <w:sz w:val="24"/>
        </w:rPr>
        <w:t> </w:t>
      </w:r>
      <w:r>
        <w:rPr>
          <w:sz w:val="24"/>
        </w:rPr>
        <w:t>administrative</w:t>
      </w:r>
      <w:r>
        <w:rPr>
          <w:spacing w:val="-4"/>
          <w:sz w:val="24"/>
        </w:rPr>
        <w:t> </w:t>
      </w:r>
      <w:r>
        <w:rPr>
          <w:sz w:val="24"/>
        </w:rPr>
        <w:t>and</w:t>
      </w:r>
      <w:r>
        <w:rPr>
          <w:spacing w:val="-4"/>
          <w:sz w:val="24"/>
        </w:rPr>
        <w:t> </w:t>
      </w:r>
      <w:r>
        <w:rPr>
          <w:sz w:val="24"/>
        </w:rPr>
        <w:t>other appropriate remedies to ensure the protection of the rights of individuals with disabilities who are receiving treatment, services or rehabilitation under the Act within the State.</w:t>
      </w:r>
    </w:p>
    <w:p>
      <w:pPr>
        <w:pStyle w:val="ListParagraph"/>
        <w:numPr>
          <w:ilvl w:val="1"/>
          <w:numId w:val="79"/>
        </w:numPr>
        <w:tabs>
          <w:tab w:pos="1218" w:val="left" w:leader="none"/>
        </w:tabs>
        <w:spacing w:line="208" w:lineRule="auto" w:before="240" w:after="0"/>
        <w:ind w:left="792" w:right="787" w:firstLine="0"/>
        <w:jc w:val="left"/>
        <w:rPr>
          <w:sz w:val="24"/>
        </w:rPr>
      </w:pPr>
      <w:r>
        <w:rPr>
          <w:sz w:val="24"/>
        </w:rPr>
        <w:t>Vocational Rehabilitation agencies are required by Federal statute to advise all clients and applicants of the existence of CAP, the services provided by the program,</w:t>
      </w:r>
      <w:r>
        <w:rPr>
          <w:spacing w:val="-2"/>
          <w:sz w:val="24"/>
        </w:rPr>
        <w:t> </w:t>
      </w:r>
      <w:r>
        <w:rPr>
          <w:sz w:val="24"/>
        </w:rPr>
        <w:t>and</w:t>
      </w:r>
      <w:r>
        <w:rPr>
          <w:spacing w:val="-3"/>
          <w:sz w:val="24"/>
        </w:rPr>
        <w:t> </w:t>
      </w:r>
      <w:r>
        <w:rPr>
          <w:sz w:val="24"/>
        </w:rPr>
        <w:t>how</w:t>
      </w:r>
      <w:r>
        <w:rPr>
          <w:spacing w:val="-3"/>
          <w:sz w:val="24"/>
        </w:rPr>
        <w:t> </w:t>
      </w:r>
      <w:r>
        <w:rPr>
          <w:sz w:val="24"/>
        </w:rPr>
        <w:t>to</w:t>
      </w:r>
      <w:r>
        <w:rPr>
          <w:spacing w:val="-3"/>
          <w:sz w:val="24"/>
        </w:rPr>
        <w:t> </w:t>
      </w:r>
      <w:r>
        <w:rPr>
          <w:sz w:val="24"/>
        </w:rPr>
        <w:t>contact</w:t>
      </w:r>
      <w:r>
        <w:rPr>
          <w:spacing w:val="-2"/>
          <w:sz w:val="24"/>
        </w:rPr>
        <w:t> </w:t>
      </w:r>
      <w:r>
        <w:rPr>
          <w:sz w:val="24"/>
        </w:rPr>
        <w:t>the</w:t>
      </w:r>
      <w:r>
        <w:rPr>
          <w:spacing w:val="-4"/>
          <w:sz w:val="24"/>
        </w:rPr>
        <w:t> </w:t>
      </w:r>
      <w:r>
        <w:rPr>
          <w:sz w:val="24"/>
        </w:rPr>
        <w:t>program.</w:t>
      </w:r>
      <w:r>
        <w:rPr>
          <w:spacing w:val="-2"/>
          <w:sz w:val="24"/>
        </w:rPr>
        <w:t> </w:t>
      </w:r>
      <w:r>
        <w:rPr>
          <w:sz w:val="24"/>
        </w:rPr>
        <w:t>A</w:t>
      </w:r>
      <w:r>
        <w:rPr>
          <w:spacing w:val="-5"/>
          <w:sz w:val="24"/>
        </w:rPr>
        <w:t> </w:t>
      </w:r>
      <w:r>
        <w:rPr>
          <w:sz w:val="24"/>
        </w:rPr>
        <w:t>brochure</w:t>
      </w:r>
      <w:r>
        <w:rPr>
          <w:spacing w:val="-3"/>
          <w:sz w:val="24"/>
        </w:rPr>
        <w:t> </w:t>
      </w:r>
      <w:r>
        <w:rPr>
          <w:sz w:val="24"/>
        </w:rPr>
        <w:t>is</w:t>
      </w:r>
      <w:r>
        <w:rPr>
          <w:spacing w:val="-3"/>
          <w:sz w:val="24"/>
        </w:rPr>
        <w:t> </w:t>
      </w:r>
      <w:r>
        <w:rPr>
          <w:sz w:val="24"/>
        </w:rPr>
        <w:t>provided</w:t>
      </w:r>
      <w:r>
        <w:rPr>
          <w:spacing w:val="-3"/>
          <w:sz w:val="24"/>
        </w:rPr>
        <w:t> </w:t>
      </w:r>
      <w:r>
        <w:rPr>
          <w:sz w:val="24"/>
        </w:rPr>
        <w:t>to</w:t>
      </w:r>
      <w:r>
        <w:rPr>
          <w:spacing w:val="-3"/>
          <w:sz w:val="24"/>
        </w:rPr>
        <w:t> </w:t>
      </w:r>
      <w:r>
        <w:rPr>
          <w:sz w:val="24"/>
        </w:rPr>
        <w:t>each</w:t>
      </w:r>
      <w:r>
        <w:rPr>
          <w:spacing w:val="-3"/>
          <w:sz w:val="24"/>
        </w:rPr>
        <w:t> </w:t>
      </w:r>
      <w:r>
        <w:rPr>
          <w:sz w:val="24"/>
        </w:rPr>
        <w:t>individual at the time of application and development of the IPE.</w:t>
      </w:r>
    </w:p>
    <w:p>
      <w:pPr>
        <w:pStyle w:val="ListParagraph"/>
        <w:numPr>
          <w:ilvl w:val="1"/>
          <w:numId w:val="79"/>
        </w:numPr>
        <w:tabs>
          <w:tab w:pos="1218" w:val="left" w:leader="none"/>
        </w:tabs>
        <w:spacing w:line="208" w:lineRule="auto" w:before="239" w:after="0"/>
        <w:ind w:left="792" w:right="734" w:firstLine="0"/>
        <w:jc w:val="left"/>
        <w:rPr>
          <w:sz w:val="24"/>
        </w:rPr>
      </w:pPr>
      <w:r>
        <w:rPr>
          <w:sz w:val="24"/>
        </w:rPr>
        <w:t>Counselors</w:t>
      </w:r>
      <w:r>
        <w:rPr>
          <w:spacing w:val="-4"/>
          <w:sz w:val="24"/>
        </w:rPr>
        <w:t> </w:t>
      </w:r>
      <w:r>
        <w:rPr>
          <w:sz w:val="24"/>
        </w:rPr>
        <w:t>must</w:t>
      </w:r>
      <w:r>
        <w:rPr>
          <w:spacing w:val="-5"/>
          <w:sz w:val="24"/>
        </w:rPr>
        <w:t> </w:t>
      </w:r>
      <w:r>
        <w:rPr>
          <w:sz w:val="24"/>
        </w:rPr>
        <w:t>assure</w:t>
      </w:r>
      <w:r>
        <w:rPr>
          <w:spacing w:val="-4"/>
          <w:sz w:val="24"/>
        </w:rPr>
        <w:t> </w:t>
      </w:r>
      <w:r>
        <w:rPr>
          <w:sz w:val="24"/>
        </w:rPr>
        <w:t>clients</w:t>
      </w:r>
      <w:r>
        <w:rPr>
          <w:spacing w:val="-4"/>
          <w:sz w:val="24"/>
        </w:rPr>
        <w:t> </w:t>
      </w:r>
      <w:r>
        <w:rPr>
          <w:sz w:val="24"/>
        </w:rPr>
        <w:t>and</w:t>
      </w:r>
      <w:r>
        <w:rPr>
          <w:spacing w:val="-4"/>
          <w:sz w:val="24"/>
        </w:rPr>
        <w:t> </w:t>
      </w:r>
      <w:r>
        <w:rPr>
          <w:sz w:val="24"/>
        </w:rPr>
        <w:t>applicants</w:t>
      </w:r>
      <w:r>
        <w:rPr>
          <w:spacing w:val="-4"/>
          <w:sz w:val="24"/>
        </w:rPr>
        <w:t> </w:t>
      </w:r>
      <w:r>
        <w:rPr>
          <w:sz w:val="24"/>
        </w:rPr>
        <w:t>have</w:t>
      </w:r>
      <w:r>
        <w:rPr>
          <w:spacing w:val="-4"/>
          <w:sz w:val="24"/>
        </w:rPr>
        <w:t> </w:t>
      </w:r>
      <w:r>
        <w:rPr>
          <w:sz w:val="24"/>
        </w:rPr>
        <w:t>access</w:t>
      </w:r>
      <w:r>
        <w:rPr>
          <w:spacing w:val="-4"/>
          <w:sz w:val="24"/>
        </w:rPr>
        <w:t> </w:t>
      </w:r>
      <w:r>
        <w:rPr>
          <w:sz w:val="24"/>
        </w:rPr>
        <w:t>to</w:t>
      </w:r>
      <w:r>
        <w:rPr>
          <w:spacing w:val="-4"/>
          <w:sz w:val="24"/>
        </w:rPr>
        <w:t> </w:t>
      </w:r>
      <w:r>
        <w:rPr>
          <w:sz w:val="24"/>
        </w:rPr>
        <w:t>CAP</w:t>
      </w:r>
      <w:r>
        <w:rPr>
          <w:spacing w:val="-4"/>
          <w:sz w:val="24"/>
        </w:rPr>
        <w:t> </w:t>
      </w:r>
      <w:r>
        <w:rPr>
          <w:sz w:val="24"/>
        </w:rPr>
        <w:t>without</w:t>
      </w:r>
      <w:r>
        <w:rPr>
          <w:spacing w:val="-3"/>
          <w:sz w:val="24"/>
        </w:rPr>
        <w:t> </w:t>
      </w:r>
      <w:r>
        <w:rPr>
          <w:sz w:val="24"/>
        </w:rPr>
        <w:t>fear of reprisal and are not pressured against or otherwise discouraged from using CAP </w:t>
      </w:r>
      <w:r>
        <w:rPr>
          <w:spacing w:val="-2"/>
          <w:sz w:val="24"/>
        </w:rPr>
        <w:t>services.</w:t>
      </w:r>
    </w:p>
    <w:p>
      <w:pPr>
        <w:pStyle w:val="ListParagraph"/>
        <w:numPr>
          <w:ilvl w:val="1"/>
          <w:numId w:val="79"/>
        </w:numPr>
        <w:tabs>
          <w:tab w:pos="1218" w:val="left" w:leader="none"/>
        </w:tabs>
        <w:spacing w:line="240" w:lineRule="auto" w:before="211" w:after="0"/>
        <w:ind w:left="1218" w:right="0" w:hanging="426"/>
        <w:jc w:val="left"/>
        <w:rPr>
          <w:sz w:val="24"/>
        </w:rPr>
      </w:pPr>
      <w:r>
        <w:rPr>
          <w:sz w:val="24"/>
        </w:rPr>
        <w:t>The</w:t>
      </w:r>
      <w:r>
        <w:rPr>
          <w:spacing w:val="-3"/>
          <w:sz w:val="24"/>
        </w:rPr>
        <w:t> </w:t>
      </w:r>
      <w:r>
        <w:rPr>
          <w:sz w:val="24"/>
        </w:rPr>
        <w:t>CAP</w:t>
      </w:r>
      <w:r>
        <w:rPr>
          <w:spacing w:val="-3"/>
          <w:sz w:val="24"/>
        </w:rPr>
        <w:t> </w:t>
      </w:r>
      <w:r>
        <w:rPr>
          <w:sz w:val="24"/>
        </w:rPr>
        <w:t>staff</w:t>
      </w:r>
      <w:r>
        <w:rPr>
          <w:spacing w:val="-4"/>
          <w:sz w:val="24"/>
        </w:rPr>
        <w:t> </w:t>
      </w:r>
      <w:r>
        <w:rPr>
          <w:sz w:val="24"/>
        </w:rPr>
        <w:t>members</w:t>
      </w:r>
      <w:r>
        <w:rPr>
          <w:spacing w:val="-3"/>
          <w:sz w:val="24"/>
        </w:rPr>
        <w:t> </w:t>
      </w:r>
      <w:r>
        <w:rPr>
          <w:sz w:val="24"/>
        </w:rPr>
        <w:t>will</w:t>
      </w:r>
      <w:r>
        <w:rPr>
          <w:spacing w:val="-2"/>
          <w:sz w:val="24"/>
        </w:rPr>
        <w:t> </w:t>
      </w:r>
      <w:r>
        <w:rPr>
          <w:sz w:val="24"/>
        </w:rPr>
        <w:t>provide</w:t>
      </w:r>
      <w:r>
        <w:rPr>
          <w:spacing w:val="-3"/>
          <w:sz w:val="24"/>
        </w:rPr>
        <w:t> </w:t>
      </w:r>
      <w:r>
        <w:rPr>
          <w:sz w:val="24"/>
        </w:rPr>
        <w:t>the</w:t>
      </w:r>
      <w:r>
        <w:rPr>
          <w:spacing w:val="-3"/>
          <w:sz w:val="24"/>
        </w:rPr>
        <w:t> </w:t>
      </w:r>
      <w:r>
        <w:rPr>
          <w:sz w:val="24"/>
        </w:rPr>
        <w:t>following</w:t>
      </w:r>
      <w:r>
        <w:rPr>
          <w:spacing w:val="-2"/>
          <w:sz w:val="24"/>
        </w:rPr>
        <w:t> services:</w:t>
      </w:r>
    </w:p>
    <w:p>
      <w:pPr>
        <w:pStyle w:val="ListParagraph"/>
        <w:spacing w:after="0" w:line="240" w:lineRule="auto"/>
        <w:jc w:val="left"/>
        <w:rPr>
          <w:sz w:val="24"/>
        </w:rPr>
        <w:sectPr>
          <w:pgSz w:w="12240" w:h="15840"/>
          <w:pgMar w:top="1340" w:bottom="280" w:left="1080" w:right="720"/>
        </w:sectPr>
      </w:pPr>
    </w:p>
    <w:p>
      <w:pPr>
        <w:pStyle w:val="ListParagraph"/>
        <w:numPr>
          <w:ilvl w:val="2"/>
          <w:numId w:val="79"/>
        </w:numPr>
        <w:tabs>
          <w:tab w:pos="1677" w:val="left" w:leader="none"/>
        </w:tabs>
        <w:spacing w:line="208" w:lineRule="auto" w:before="96" w:after="0"/>
        <w:ind w:left="1224" w:right="902" w:firstLine="0"/>
        <w:jc w:val="left"/>
        <w:rPr>
          <w:sz w:val="24"/>
        </w:rPr>
      </w:pPr>
      <w:r>
        <w:rPr>
          <w:sz w:val="24"/>
        </w:rPr>
        <w:t>Helping</w:t>
      </w:r>
      <w:r>
        <w:rPr>
          <w:spacing w:val="-5"/>
          <w:sz w:val="24"/>
        </w:rPr>
        <w:t> </w:t>
      </w:r>
      <w:r>
        <w:rPr>
          <w:sz w:val="24"/>
        </w:rPr>
        <w:t>clients</w:t>
      </w:r>
      <w:r>
        <w:rPr>
          <w:spacing w:val="-5"/>
          <w:sz w:val="24"/>
        </w:rPr>
        <w:t> </w:t>
      </w:r>
      <w:r>
        <w:rPr>
          <w:sz w:val="24"/>
        </w:rPr>
        <w:t>or</w:t>
      </w:r>
      <w:r>
        <w:rPr>
          <w:spacing w:val="-4"/>
          <w:sz w:val="24"/>
        </w:rPr>
        <w:t> </w:t>
      </w:r>
      <w:r>
        <w:rPr>
          <w:sz w:val="24"/>
        </w:rPr>
        <w:t>applicants</w:t>
      </w:r>
      <w:r>
        <w:rPr>
          <w:spacing w:val="-5"/>
          <w:sz w:val="24"/>
        </w:rPr>
        <w:t> </w:t>
      </w:r>
      <w:r>
        <w:rPr>
          <w:sz w:val="24"/>
        </w:rPr>
        <w:t>to</w:t>
      </w:r>
      <w:r>
        <w:rPr>
          <w:spacing w:val="-5"/>
          <w:sz w:val="24"/>
        </w:rPr>
        <w:t> </w:t>
      </w:r>
      <w:r>
        <w:rPr>
          <w:sz w:val="24"/>
        </w:rPr>
        <w:t>understand</w:t>
      </w:r>
      <w:r>
        <w:rPr>
          <w:spacing w:val="-5"/>
          <w:sz w:val="24"/>
        </w:rPr>
        <w:t> </w:t>
      </w:r>
      <w:r>
        <w:rPr>
          <w:sz w:val="24"/>
        </w:rPr>
        <w:t>rehabilitation</w:t>
      </w:r>
      <w:r>
        <w:rPr>
          <w:spacing w:val="-5"/>
          <w:sz w:val="24"/>
        </w:rPr>
        <w:t> </w:t>
      </w:r>
      <w:r>
        <w:rPr>
          <w:sz w:val="24"/>
        </w:rPr>
        <w:t>service</w:t>
      </w:r>
      <w:r>
        <w:rPr>
          <w:spacing w:val="-5"/>
          <w:sz w:val="24"/>
        </w:rPr>
        <w:t> </w:t>
      </w:r>
      <w:r>
        <w:rPr>
          <w:sz w:val="24"/>
        </w:rPr>
        <w:t>programs under the Act;</w:t>
      </w:r>
    </w:p>
    <w:p>
      <w:pPr>
        <w:pStyle w:val="ListParagraph"/>
        <w:numPr>
          <w:ilvl w:val="2"/>
          <w:numId w:val="79"/>
        </w:numPr>
        <w:tabs>
          <w:tab w:pos="1677" w:val="left" w:leader="none"/>
        </w:tabs>
        <w:spacing w:line="208" w:lineRule="auto" w:before="240" w:after="0"/>
        <w:ind w:left="1224" w:right="1743" w:firstLine="0"/>
        <w:jc w:val="left"/>
        <w:rPr>
          <w:sz w:val="24"/>
        </w:rPr>
      </w:pPr>
      <w:r>
        <w:rPr>
          <w:sz w:val="24"/>
        </w:rPr>
        <w:t>Advising</w:t>
      </w:r>
      <w:r>
        <w:rPr>
          <w:spacing w:val="-5"/>
          <w:sz w:val="24"/>
        </w:rPr>
        <w:t> </w:t>
      </w:r>
      <w:r>
        <w:rPr>
          <w:sz w:val="24"/>
        </w:rPr>
        <w:t>clients</w:t>
      </w:r>
      <w:r>
        <w:rPr>
          <w:spacing w:val="-5"/>
          <w:sz w:val="24"/>
        </w:rPr>
        <w:t> </w:t>
      </w:r>
      <w:r>
        <w:rPr>
          <w:sz w:val="24"/>
        </w:rPr>
        <w:t>or</w:t>
      </w:r>
      <w:r>
        <w:rPr>
          <w:spacing w:val="-4"/>
          <w:sz w:val="24"/>
        </w:rPr>
        <w:t> </w:t>
      </w:r>
      <w:r>
        <w:rPr>
          <w:sz w:val="24"/>
        </w:rPr>
        <w:t>applicants</w:t>
      </w:r>
      <w:r>
        <w:rPr>
          <w:spacing w:val="-5"/>
          <w:sz w:val="24"/>
        </w:rPr>
        <w:t> </w:t>
      </w:r>
      <w:r>
        <w:rPr>
          <w:sz w:val="24"/>
        </w:rPr>
        <w:t>of</w:t>
      </w:r>
      <w:r>
        <w:rPr>
          <w:spacing w:val="-4"/>
          <w:sz w:val="24"/>
        </w:rPr>
        <w:t> </w:t>
      </w:r>
      <w:r>
        <w:rPr>
          <w:sz w:val="24"/>
        </w:rPr>
        <w:t>benefits</w:t>
      </w:r>
      <w:r>
        <w:rPr>
          <w:spacing w:val="-6"/>
          <w:sz w:val="24"/>
        </w:rPr>
        <w:t> </w:t>
      </w:r>
      <w:r>
        <w:rPr>
          <w:sz w:val="24"/>
        </w:rPr>
        <w:t>available</w:t>
      </w:r>
      <w:r>
        <w:rPr>
          <w:spacing w:val="-5"/>
          <w:sz w:val="24"/>
        </w:rPr>
        <w:t> </w:t>
      </w:r>
      <w:r>
        <w:rPr>
          <w:sz w:val="24"/>
        </w:rPr>
        <w:t>to</w:t>
      </w:r>
      <w:r>
        <w:rPr>
          <w:spacing w:val="-4"/>
          <w:sz w:val="24"/>
        </w:rPr>
        <w:t> </w:t>
      </w:r>
      <w:r>
        <w:rPr>
          <w:sz w:val="24"/>
        </w:rPr>
        <w:t>them</w:t>
      </w:r>
      <w:r>
        <w:rPr>
          <w:spacing w:val="-6"/>
          <w:sz w:val="24"/>
        </w:rPr>
        <w:t> </w:t>
      </w:r>
      <w:r>
        <w:rPr>
          <w:sz w:val="24"/>
        </w:rPr>
        <w:t>through rehabilitation programs authorized under the Act and their rights and responsibilities in connection with those benefits;</w:t>
      </w:r>
    </w:p>
    <w:p>
      <w:pPr>
        <w:pStyle w:val="ListParagraph"/>
        <w:numPr>
          <w:ilvl w:val="2"/>
          <w:numId w:val="79"/>
        </w:numPr>
        <w:tabs>
          <w:tab w:pos="1688" w:val="left" w:leader="none"/>
        </w:tabs>
        <w:spacing w:line="208" w:lineRule="auto" w:before="239" w:after="0"/>
        <w:ind w:left="1223" w:right="1610" w:firstLine="0"/>
        <w:jc w:val="left"/>
        <w:rPr>
          <w:sz w:val="24"/>
        </w:rPr>
      </w:pPr>
      <w:r>
        <w:rPr>
          <w:sz w:val="24"/>
        </w:rPr>
        <w:t>Otherwise</w:t>
      </w:r>
      <w:r>
        <w:rPr>
          <w:spacing w:val="-5"/>
          <w:sz w:val="24"/>
        </w:rPr>
        <w:t> </w:t>
      </w:r>
      <w:r>
        <w:rPr>
          <w:sz w:val="24"/>
        </w:rPr>
        <w:t>assisting</w:t>
      </w:r>
      <w:r>
        <w:rPr>
          <w:spacing w:val="-5"/>
          <w:sz w:val="24"/>
        </w:rPr>
        <w:t> </w:t>
      </w:r>
      <w:r>
        <w:rPr>
          <w:sz w:val="24"/>
        </w:rPr>
        <w:t>clients</w:t>
      </w:r>
      <w:r>
        <w:rPr>
          <w:spacing w:val="-5"/>
          <w:sz w:val="24"/>
        </w:rPr>
        <w:t> </w:t>
      </w:r>
      <w:r>
        <w:rPr>
          <w:sz w:val="24"/>
        </w:rPr>
        <w:t>and</w:t>
      </w:r>
      <w:r>
        <w:rPr>
          <w:spacing w:val="-5"/>
          <w:sz w:val="24"/>
        </w:rPr>
        <w:t> </w:t>
      </w:r>
      <w:r>
        <w:rPr>
          <w:sz w:val="24"/>
        </w:rPr>
        <w:t>applicants</w:t>
      </w:r>
      <w:r>
        <w:rPr>
          <w:spacing w:val="-5"/>
          <w:sz w:val="24"/>
        </w:rPr>
        <w:t> </w:t>
      </w:r>
      <w:r>
        <w:rPr>
          <w:sz w:val="24"/>
        </w:rPr>
        <w:t>in</w:t>
      </w:r>
      <w:r>
        <w:rPr>
          <w:spacing w:val="-5"/>
          <w:sz w:val="24"/>
        </w:rPr>
        <w:t> </w:t>
      </w:r>
      <w:r>
        <w:rPr>
          <w:sz w:val="24"/>
        </w:rPr>
        <w:t>their</w:t>
      </w:r>
      <w:r>
        <w:rPr>
          <w:spacing w:val="-4"/>
          <w:sz w:val="24"/>
        </w:rPr>
        <w:t> </w:t>
      </w:r>
      <w:r>
        <w:rPr>
          <w:sz w:val="24"/>
        </w:rPr>
        <w:t>relationships</w:t>
      </w:r>
      <w:r>
        <w:rPr>
          <w:spacing w:val="-5"/>
          <w:sz w:val="24"/>
        </w:rPr>
        <w:t> </w:t>
      </w:r>
      <w:r>
        <w:rPr>
          <w:sz w:val="24"/>
        </w:rPr>
        <w:t>with projects, programs, and Community Rehabilitation Programs providing rehabilitation services under the Act;</w:t>
      </w:r>
    </w:p>
    <w:p>
      <w:pPr>
        <w:pStyle w:val="ListParagraph"/>
        <w:numPr>
          <w:ilvl w:val="2"/>
          <w:numId w:val="79"/>
        </w:numPr>
        <w:tabs>
          <w:tab w:pos="1689" w:val="left" w:leader="none"/>
        </w:tabs>
        <w:spacing w:line="208" w:lineRule="auto" w:before="240" w:after="0"/>
        <w:ind w:left="1223" w:right="1007" w:firstLine="0"/>
        <w:jc w:val="left"/>
        <w:rPr>
          <w:sz w:val="24"/>
        </w:rPr>
      </w:pPr>
      <w:r>
        <w:rPr>
          <w:sz w:val="24"/>
        </w:rPr>
        <w:t>Helping clients or applicants by pursuing or assisting them in pursuing legal,</w:t>
      </w:r>
      <w:r>
        <w:rPr>
          <w:spacing w:val="-4"/>
          <w:sz w:val="24"/>
        </w:rPr>
        <w:t> </w:t>
      </w:r>
      <w:r>
        <w:rPr>
          <w:sz w:val="24"/>
        </w:rPr>
        <w:t>administrative,</w:t>
      </w:r>
      <w:r>
        <w:rPr>
          <w:spacing w:val="-4"/>
          <w:sz w:val="24"/>
        </w:rPr>
        <w:t> </w:t>
      </w:r>
      <w:r>
        <w:rPr>
          <w:sz w:val="24"/>
        </w:rPr>
        <w:t>and</w:t>
      </w:r>
      <w:r>
        <w:rPr>
          <w:spacing w:val="-5"/>
          <w:sz w:val="24"/>
        </w:rPr>
        <w:t> </w:t>
      </w:r>
      <w:r>
        <w:rPr>
          <w:sz w:val="24"/>
        </w:rPr>
        <w:t>other</w:t>
      </w:r>
      <w:r>
        <w:rPr>
          <w:spacing w:val="-4"/>
          <w:sz w:val="24"/>
        </w:rPr>
        <w:t> </w:t>
      </w:r>
      <w:r>
        <w:rPr>
          <w:sz w:val="24"/>
        </w:rPr>
        <w:t>available</w:t>
      </w:r>
      <w:r>
        <w:rPr>
          <w:spacing w:val="-5"/>
          <w:sz w:val="24"/>
        </w:rPr>
        <w:t> </w:t>
      </w:r>
      <w:r>
        <w:rPr>
          <w:sz w:val="24"/>
        </w:rPr>
        <w:t>remedies</w:t>
      </w:r>
      <w:r>
        <w:rPr>
          <w:spacing w:val="-5"/>
          <w:sz w:val="24"/>
        </w:rPr>
        <w:t> </w:t>
      </w:r>
      <w:r>
        <w:rPr>
          <w:sz w:val="24"/>
        </w:rPr>
        <w:t>when</w:t>
      </w:r>
      <w:r>
        <w:rPr>
          <w:spacing w:val="-4"/>
          <w:sz w:val="24"/>
        </w:rPr>
        <w:t> </w:t>
      </w:r>
      <w:r>
        <w:rPr>
          <w:sz w:val="24"/>
        </w:rPr>
        <w:t>necessary</w:t>
      </w:r>
      <w:r>
        <w:rPr>
          <w:spacing w:val="-5"/>
          <w:sz w:val="24"/>
        </w:rPr>
        <w:t> </w:t>
      </w:r>
      <w:r>
        <w:rPr>
          <w:sz w:val="24"/>
        </w:rPr>
        <w:t>to</w:t>
      </w:r>
      <w:r>
        <w:rPr>
          <w:spacing w:val="-5"/>
          <w:sz w:val="24"/>
        </w:rPr>
        <w:t> </w:t>
      </w:r>
      <w:r>
        <w:rPr>
          <w:sz w:val="24"/>
        </w:rPr>
        <w:t>ensure the protection of their rights under the Act;</w:t>
      </w:r>
    </w:p>
    <w:p>
      <w:pPr>
        <w:pStyle w:val="ListParagraph"/>
        <w:numPr>
          <w:ilvl w:val="2"/>
          <w:numId w:val="79"/>
        </w:numPr>
        <w:tabs>
          <w:tab w:pos="1676" w:val="left" w:leader="none"/>
        </w:tabs>
        <w:spacing w:line="208" w:lineRule="auto" w:before="240" w:after="0"/>
        <w:ind w:left="1223" w:right="929" w:firstLine="0"/>
        <w:jc w:val="left"/>
        <w:rPr>
          <w:sz w:val="24"/>
        </w:rPr>
      </w:pPr>
      <w:r>
        <w:rPr>
          <w:sz w:val="24"/>
        </w:rPr>
        <w:t>Advising State and other agencies of identified problem areas in the delivery</w:t>
      </w:r>
      <w:r>
        <w:rPr>
          <w:spacing w:val="-5"/>
          <w:sz w:val="24"/>
        </w:rPr>
        <w:t> </w:t>
      </w:r>
      <w:r>
        <w:rPr>
          <w:sz w:val="24"/>
        </w:rPr>
        <w:t>of</w:t>
      </w:r>
      <w:r>
        <w:rPr>
          <w:spacing w:val="-6"/>
          <w:sz w:val="24"/>
        </w:rPr>
        <w:t> </w:t>
      </w:r>
      <w:r>
        <w:rPr>
          <w:sz w:val="24"/>
        </w:rPr>
        <w:t>rehabilitation</w:t>
      </w:r>
      <w:r>
        <w:rPr>
          <w:spacing w:val="-5"/>
          <w:sz w:val="24"/>
        </w:rPr>
        <w:t> </w:t>
      </w:r>
      <w:r>
        <w:rPr>
          <w:sz w:val="24"/>
        </w:rPr>
        <w:t>services</w:t>
      </w:r>
      <w:r>
        <w:rPr>
          <w:spacing w:val="-5"/>
          <w:sz w:val="24"/>
        </w:rPr>
        <w:t> </w:t>
      </w:r>
      <w:r>
        <w:rPr>
          <w:sz w:val="24"/>
        </w:rPr>
        <w:t>to</w:t>
      </w:r>
      <w:r>
        <w:rPr>
          <w:spacing w:val="-5"/>
          <w:sz w:val="24"/>
        </w:rPr>
        <w:t> </w:t>
      </w:r>
      <w:r>
        <w:rPr>
          <w:sz w:val="24"/>
        </w:rPr>
        <w:t>individuals</w:t>
      </w:r>
      <w:r>
        <w:rPr>
          <w:spacing w:val="-5"/>
          <w:sz w:val="24"/>
        </w:rPr>
        <w:t> </w:t>
      </w:r>
      <w:r>
        <w:rPr>
          <w:sz w:val="24"/>
        </w:rPr>
        <w:t>with</w:t>
      </w:r>
      <w:r>
        <w:rPr>
          <w:spacing w:val="-5"/>
          <w:sz w:val="24"/>
        </w:rPr>
        <w:t> </w:t>
      </w:r>
      <w:r>
        <w:rPr>
          <w:sz w:val="24"/>
        </w:rPr>
        <w:t>disabilities</w:t>
      </w:r>
      <w:r>
        <w:rPr>
          <w:spacing w:val="-5"/>
          <w:sz w:val="24"/>
        </w:rPr>
        <w:t> </w:t>
      </w:r>
      <w:r>
        <w:rPr>
          <w:sz w:val="24"/>
        </w:rPr>
        <w:t>and</w:t>
      </w:r>
      <w:r>
        <w:rPr>
          <w:spacing w:val="-4"/>
          <w:sz w:val="24"/>
        </w:rPr>
        <w:t> </w:t>
      </w:r>
      <w:r>
        <w:rPr>
          <w:sz w:val="24"/>
        </w:rPr>
        <w:t>suggesting methods and means of improving agency performance; and</w:t>
      </w:r>
    </w:p>
    <w:p>
      <w:pPr>
        <w:pStyle w:val="ListParagraph"/>
        <w:numPr>
          <w:ilvl w:val="2"/>
          <w:numId w:val="79"/>
        </w:numPr>
        <w:tabs>
          <w:tab w:pos="1661" w:val="left" w:leader="none"/>
        </w:tabs>
        <w:spacing w:line="208" w:lineRule="auto" w:before="239" w:after="0"/>
        <w:ind w:left="1223" w:right="1168" w:firstLine="0"/>
        <w:jc w:val="left"/>
        <w:rPr>
          <w:sz w:val="24"/>
        </w:rPr>
      </w:pPr>
      <w:r>
        <w:rPr>
          <w:sz w:val="24"/>
        </w:rPr>
        <w:t>Providing</w:t>
      </w:r>
      <w:r>
        <w:rPr>
          <w:spacing w:val="-3"/>
          <w:sz w:val="24"/>
        </w:rPr>
        <w:t> </w:t>
      </w:r>
      <w:r>
        <w:rPr>
          <w:sz w:val="24"/>
        </w:rPr>
        <w:t>information</w:t>
      </w:r>
      <w:r>
        <w:rPr>
          <w:spacing w:val="-3"/>
          <w:sz w:val="24"/>
        </w:rPr>
        <w:t> </w:t>
      </w:r>
      <w:r>
        <w:rPr>
          <w:sz w:val="24"/>
        </w:rPr>
        <w:t>to</w:t>
      </w:r>
      <w:r>
        <w:rPr>
          <w:spacing w:val="-3"/>
          <w:sz w:val="24"/>
        </w:rPr>
        <w:t> </w:t>
      </w:r>
      <w:r>
        <w:rPr>
          <w:sz w:val="24"/>
        </w:rPr>
        <w:t>the</w:t>
      </w:r>
      <w:r>
        <w:rPr>
          <w:spacing w:val="-3"/>
          <w:sz w:val="24"/>
        </w:rPr>
        <w:t> </w:t>
      </w:r>
      <w:r>
        <w:rPr>
          <w:sz w:val="24"/>
        </w:rPr>
        <w:t>public</w:t>
      </w:r>
      <w:r>
        <w:rPr>
          <w:spacing w:val="-3"/>
          <w:sz w:val="24"/>
        </w:rPr>
        <w:t> </w:t>
      </w:r>
      <w:r>
        <w:rPr>
          <w:sz w:val="24"/>
        </w:rPr>
        <w:t>concerning</w:t>
      </w:r>
      <w:r>
        <w:rPr>
          <w:spacing w:val="-3"/>
          <w:sz w:val="24"/>
        </w:rPr>
        <w:t> </w:t>
      </w:r>
      <w:r>
        <w:rPr>
          <w:sz w:val="24"/>
        </w:rPr>
        <w:t>the</w:t>
      </w:r>
      <w:r>
        <w:rPr>
          <w:spacing w:val="-3"/>
          <w:sz w:val="24"/>
        </w:rPr>
        <w:t> </w:t>
      </w:r>
      <w:r>
        <w:rPr>
          <w:sz w:val="24"/>
        </w:rPr>
        <w:t>CAP</w:t>
      </w:r>
      <w:r>
        <w:rPr>
          <w:spacing w:val="-3"/>
          <w:sz w:val="24"/>
        </w:rPr>
        <w:t> </w:t>
      </w:r>
      <w:r>
        <w:rPr>
          <w:sz w:val="24"/>
        </w:rPr>
        <w:t>and</w:t>
      </w:r>
      <w:r>
        <w:rPr>
          <w:spacing w:val="-3"/>
          <w:sz w:val="24"/>
        </w:rPr>
        <w:t> </w:t>
      </w:r>
      <w:r>
        <w:rPr>
          <w:sz w:val="24"/>
        </w:rPr>
        <w:t>Title</w:t>
      </w:r>
      <w:r>
        <w:rPr>
          <w:spacing w:val="-3"/>
          <w:sz w:val="24"/>
        </w:rPr>
        <w:t> </w:t>
      </w:r>
      <w:r>
        <w:rPr>
          <w:sz w:val="24"/>
        </w:rPr>
        <w:t>I</w:t>
      </w:r>
      <w:r>
        <w:rPr>
          <w:spacing w:val="-2"/>
          <w:sz w:val="24"/>
        </w:rPr>
        <w:t> </w:t>
      </w:r>
      <w:r>
        <w:rPr>
          <w:sz w:val="24"/>
        </w:rPr>
        <w:t>of</w:t>
      </w:r>
      <w:r>
        <w:rPr>
          <w:spacing w:val="-4"/>
          <w:sz w:val="24"/>
        </w:rPr>
        <w:t> </w:t>
      </w:r>
      <w:r>
        <w:rPr>
          <w:sz w:val="24"/>
        </w:rPr>
        <w:t>the </w:t>
      </w:r>
      <w:r>
        <w:rPr>
          <w:spacing w:val="-4"/>
          <w:sz w:val="24"/>
        </w:rPr>
        <w:t>ADA.</w:t>
      </w:r>
    </w:p>
    <w:p>
      <w:pPr>
        <w:pStyle w:val="ListParagraph"/>
        <w:numPr>
          <w:ilvl w:val="1"/>
          <w:numId w:val="79"/>
        </w:numPr>
        <w:tabs>
          <w:tab w:pos="1217" w:val="left" w:leader="none"/>
        </w:tabs>
        <w:spacing w:line="240" w:lineRule="auto" w:before="211" w:after="0"/>
        <w:ind w:left="1217" w:right="0" w:hanging="426"/>
        <w:jc w:val="left"/>
        <w:rPr>
          <w:sz w:val="24"/>
        </w:rPr>
      </w:pPr>
      <w:r>
        <w:rPr>
          <w:sz w:val="24"/>
        </w:rPr>
        <w:t>Clients</w:t>
      </w:r>
      <w:r>
        <w:rPr>
          <w:spacing w:val="-5"/>
          <w:sz w:val="24"/>
        </w:rPr>
        <w:t> </w:t>
      </w:r>
      <w:r>
        <w:rPr>
          <w:sz w:val="24"/>
        </w:rPr>
        <w:t>may</w:t>
      </w:r>
      <w:r>
        <w:rPr>
          <w:spacing w:val="-2"/>
          <w:sz w:val="24"/>
        </w:rPr>
        <w:t> </w:t>
      </w:r>
      <w:r>
        <w:rPr>
          <w:sz w:val="24"/>
        </w:rPr>
        <w:t>be</w:t>
      </w:r>
      <w:r>
        <w:rPr>
          <w:spacing w:val="-2"/>
          <w:sz w:val="24"/>
        </w:rPr>
        <w:t> </w:t>
      </w:r>
      <w:r>
        <w:rPr>
          <w:sz w:val="24"/>
        </w:rPr>
        <w:t>referred</w:t>
      </w:r>
      <w:r>
        <w:rPr>
          <w:spacing w:val="-2"/>
          <w:sz w:val="24"/>
        </w:rPr>
        <w:t> </w:t>
      </w:r>
      <w:r>
        <w:rPr>
          <w:sz w:val="24"/>
        </w:rPr>
        <w:t>to</w:t>
      </w:r>
      <w:r>
        <w:rPr>
          <w:spacing w:val="-2"/>
          <w:sz w:val="24"/>
        </w:rPr>
        <w:t> </w:t>
      </w:r>
      <w:r>
        <w:rPr>
          <w:sz w:val="24"/>
        </w:rPr>
        <w:t>CAP</w:t>
      </w:r>
      <w:r>
        <w:rPr>
          <w:spacing w:val="-1"/>
          <w:sz w:val="24"/>
        </w:rPr>
        <w:t> </w:t>
      </w:r>
      <w:r>
        <w:rPr>
          <w:sz w:val="24"/>
        </w:rPr>
        <w:t>by</w:t>
      </w:r>
      <w:r>
        <w:rPr>
          <w:spacing w:val="-2"/>
          <w:sz w:val="24"/>
        </w:rPr>
        <w:t> </w:t>
      </w:r>
      <w:r>
        <w:rPr>
          <w:sz w:val="24"/>
        </w:rPr>
        <w:t>any</w:t>
      </w:r>
      <w:r>
        <w:rPr>
          <w:spacing w:val="-2"/>
          <w:sz w:val="24"/>
        </w:rPr>
        <w:t> </w:t>
      </w:r>
      <w:r>
        <w:rPr>
          <w:sz w:val="24"/>
        </w:rPr>
        <w:t>one</w:t>
      </w:r>
      <w:r>
        <w:rPr>
          <w:spacing w:val="-2"/>
          <w:sz w:val="24"/>
        </w:rPr>
        <w:t> </w:t>
      </w:r>
      <w:r>
        <w:rPr>
          <w:sz w:val="24"/>
        </w:rPr>
        <w:t>of</w:t>
      </w:r>
      <w:r>
        <w:rPr>
          <w:spacing w:val="-1"/>
          <w:sz w:val="24"/>
        </w:rPr>
        <w:t> </w:t>
      </w:r>
      <w:r>
        <w:rPr>
          <w:sz w:val="24"/>
        </w:rPr>
        <w:t>the</w:t>
      </w:r>
      <w:r>
        <w:rPr>
          <w:spacing w:val="-1"/>
          <w:sz w:val="24"/>
        </w:rPr>
        <w:t> </w:t>
      </w:r>
      <w:r>
        <w:rPr>
          <w:spacing w:val="-2"/>
          <w:sz w:val="24"/>
        </w:rPr>
        <w:t>following:</w:t>
      </w:r>
    </w:p>
    <w:p>
      <w:pPr>
        <w:pStyle w:val="ListParagraph"/>
        <w:numPr>
          <w:ilvl w:val="2"/>
          <w:numId w:val="79"/>
        </w:numPr>
        <w:tabs>
          <w:tab w:pos="1676" w:val="left" w:leader="none"/>
        </w:tabs>
        <w:spacing w:line="240" w:lineRule="auto" w:before="204" w:after="0"/>
        <w:ind w:left="1676" w:right="0" w:hanging="453"/>
        <w:jc w:val="left"/>
        <w:rPr>
          <w:sz w:val="24"/>
        </w:rPr>
      </w:pPr>
      <w:r>
        <w:rPr>
          <w:sz w:val="24"/>
        </w:rPr>
        <w:t>The</w:t>
      </w:r>
      <w:r>
        <w:rPr>
          <w:spacing w:val="-4"/>
          <w:sz w:val="24"/>
        </w:rPr>
        <w:t> </w:t>
      </w:r>
      <w:r>
        <w:rPr>
          <w:sz w:val="24"/>
        </w:rPr>
        <w:t>client's</w:t>
      </w:r>
      <w:r>
        <w:rPr>
          <w:spacing w:val="-3"/>
          <w:sz w:val="24"/>
        </w:rPr>
        <w:t> </w:t>
      </w:r>
      <w:r>
        <w:rPr>
          <w:spacing w:val="-2"/>
          <w:sz w:val="24"/>
        </w:rPr>
        <w:t>counselor;</w:t>
      </w:r>
    </w:p>
    <w:p>
      <w:pPr>
        <w:pStyle w:val="ListParagraph"/>
        <w:numPr>
          <w:ilvl w:val="2"/>
          <w:numId w:val="79"/>
        </w:numPr>
        <w:tabs>
          <w:tab w:pos="1676" w:val="left" w:leader="none"/>
        </w:tabs>
        <w:spacing w:line="240" w:lineRule="auto" w:before="204" w:after="0"/>
        <w:ind w:left="1676" w:right="0" w:hanging="452"/>
        <w:jc w:val="left"/>
        <w:rPr>
          <w:sz w:val="24"/>
        </w:rPr>
      </w:pPr>
      <w:r>
        <w:rPr>
          <w:sz w:val="24"/>
        </w:rPr>
        <w:t>Other</w:t>
      </w:r>
      <w:r>
        <w:rPr>
          <w:spacing w:val="-4"/>
          <w:sz w:val="24"/>
        </w:rPr>
        <w:t> </w:t>
      </w:r>
      <w:r>
        <w:rPr>
          <w:sz w:val="24"/>
        </w:rPr>
        <w:t>DRS</w:t>
      </w:r>
      <w:r>
        <w:rPr>
          <w:spacing w:val="-2"/>
          <w:sz w:val="24"/>
        </w:rPr>
        <w:t> representative;</w:t>
      </w:r>
    </w:p>
    <w:p>
      <w:pPr>
        <w:pStyle w:val="ListParagraph"/>
        <w:numPr>
          <w:ilvl w:val="2"/>
          <w:numId w:val="79"/>
        </w:numPr>
        <w:tabs>
          <w:tab w:pos="1689" w:val="left" w:leader="none"/>
        </w:tabs>
        <w:spacing w:line="240" w:lineRule="auto" w:before="204" w:after="0"/>
        <w:ind w:left="1689" w:right="0" w:hanging="465"/>
        <w:jc w:val="left"/>
        <w:rPr>
          <w:sz w:val="24"/>
        </w:rPr>
      </w:pPr>
      <w:r>
        <w:rPr>
          <w:sz w:val="24"/>
        </w:rPr>
        <w:t>Office</w:t>
      </w:r>
      <w:r>
        <w:rPr>
          <w:spacing w:val="-4"/>
          <w:sz w:val="24"/>
        </w:rPr>
        <w:t> </w:t>
      </w:r>
      <w:r>
        <w:rPr>
          <w:sz w:val="24"/>
        </w:rPr>
        <w:t>of</w:t>
      </w:r>
      <w:r>
        <w:rPr>
          <w:spacing w:val="-2"/>
          <w:sz w:val="24"/>
        </w:rPr>
        <w:t> </w:t>
      </w:r>
      <w:r>
        <w:rPr>
          <w:sz w:val="24"/>
        </w:rPr>
        <w:t>Disability</w:t>
      </w:r>
      <w:r>
        <w:rPr>
          <w:spacing w:val="-3"/>
          <w:sz w:val="24"/>
        </w:rPr>
        <w:t> </w:t>
      </w:r>
      <w:r>
        <w:rPr>
          <w:sz w:val="24"/>
        </w:rPr>
        <w:t>Concerns'</w:t>
      </w:r>
      <w:r>
        <w:rPr>
          <w:spacing w:val="-3"/>
          <w:sz w:val="24"/>
        </w:rPr>
        <w:t> </w:t>
      </w:r>
      <w:r>
        <w:rPr>
          <w:spacing w:val="-2"/>
          <w:sz w:val="24"/>
        </w:rPr>
        <w:t>Hotline;</w:t>
      </w:r>
    </w:p>
    <w:p>
      <w:pPr>
        <w:pStyle w:val="ListParagraph"/>
        <w:numPr>
          <w:ilvl w:val="2"/>
          <w:numId w:val="79"/>
        </w:numPr>
        <w:tabs>
          <w:tab w:pos="1690" w:val="left" w:leader="none"/>
        </w:tabs>
        <w:spacing w:line="240" w:lineRule="auto" w:before="204" w:after="0"/>
        <w:ind w:left="1690" w:right="0" w:hanging="466"/>
        <w:jc w:val="left"/>
        <w:rPr>
          <w:sz w:val="24"/>
        </w:rPr>
      </w:pPr>
      <w:r>
        <w:rPr>
          <w:spacing w:val="-2"/>
          <w:sz w:val="24"/>
        </w:rPr>
        <w:t>Self;</w:t>
      </w:r>
    </w:p>
    <w:p>
      <w:pPr>
        <w:pStyle w:val="ListParagraph"/>
        <w:numPr>
          <w:ilvl w:val="2"/>
          <w:numId w:val="79"/>
        </w:numPr>
        <w:tabs>
          <w:tab w:pos="1677" w:val="left" w:leader="none"/>
        </w:tabs>
        <w:spacing w:line="240" w:lineRule="auto" w:before="204" w:after="0"/>
        <w:ind w:left="1677" w:right="0" w:hanging="453"/>
        <w:jc w:val="left"/>
        <w:rPr>
          <w:sz w:val="24"/>
        </w:rPr>
      </w:pPr>
      <w:r>
        <w:rPr>
          <w:sz w:val="24"/>
        </w:rPr>
        <w:t>Any</w:t>
      </w:r>
      <w:r>
        <w:rPr>
          <w:spacing w:val="-4"/>
          <w:sz w:val="24"/>
        </w:rPr>
        <w:t> </w:t>
      </w:r>
      <w:r>
        <w:rPr>
          <w:sz w:val="24"/>
        </w:rPr>
        <w:t>other</w:t>
      </w:r>
      <w:r>
        <w:rPr>
          <w:spacing w:val="-4"/>
          <w:sz w:val="24"/>
        </w:rPr>
        <w:t> </w:t>
      </w:r>
      <w:r>
        <w:rPr>
          <w:sz w:val="24"/>
        </w:rPr>
        <w:t>interested</w:t>
      </w:r>
      <w:r>
        <w:rPr>
          <w:spacing w:val="-3"/>
          <w:sz w:val="24"/>
        </w:rPr>
        <w:t> </w:t>
      </w:r>
      <w:r>
        <w:rPr>
          <w:spacing w:val="-2"/>
          <w:sz w:val="24"/>
        </w:rPr>
        <w:t>party.</w:t>
      </w:r>
    </w:p>
    <w:p>
      <w:pPr>
        <w:pStyle w:val="ListParagraph"/>
        <w:numPr>
          <w:ilvl w:val="1"/>
          <w:numId w:val="79"/>
        </w:numPr>
        <w:tabs>
          <w:tab w:pos="1218" w:val="left" w:leader="none"/>
        </w:tabs>
        <w:spacing w:line="208" w:lineRule="auto" w:before="233" w:after="0"/>
        <w:ind w:left="792" w:right="737" w:firstLine="0"/>
        <w:jc w:val="left"/>
        <w:rPr>
          <w:sz w:val="24"/>
        </w:rPr>
      </w:pPr>
      <w:r>
        <w:rPr>
          <w:sz w:val="24"/>
        </w:rPr>
        <w:t>Every client or applicant has the right to protection of information provided by him/her</w:t>
      </w:r>
      <w:r>
        <w:rPr>
          <w:spacing w:val="-4"/>
          <w:sz w:val="24"/>
        </w:rPr>
        <w:t> </w:t>
      </w:r>
      <w:r>
        <w:rPr>
          <w:sz w:val="24"/>
        </w:rPr>
        <w:t>from</w:t>
      </w:r>
      <w:r>
        <w:rPr>
          <w:spacing w:val="-4"/>
          <w:sz w:val="24"/>
        </w:rPr>
        <w:t> </w:t>
      </w:r>
      <w:r>
        <w:rPr>
          <w:sz w:val="24"/>
        </w:rPr>
        <w:t>unauthorized</w:t>
      </w:r>
      <w:r>
        <w:rPr>
          <w:spacing w:val="-5"/>
          <w:sz w:val="24"/>
        </w:rPr>
        <w:t> </w:t>
      </w:r>
      <w:r>
        <w:rPr>
          <w:sz w:val="24"/>
        </w:rPr>
        <w:t>or</w:t>
      </w:r>
      <w:r>
        <w:rPr>
          <w:spacing w:val="-4"/>
          <w:sz w:val="24"/>
        </w:rPr>
        <w:t> </w:t>
      </w:r>
      <w:r>
        <w:rPr>
          <w:sz w:val="24"/>
        </w:rPr>
        <w:t>indiscriminate</w:t>
      </w:r>
      <w:r>
        <w:rPr>
          <w:spacing w:val="-5"/>
          <w:sz w:val="24"/>
        </w:rPr>
        <w:t> </w:t>
      </w:r>
      <w:r>
        <w:rPr>
          <w:sz w:val="24"/>
        </w:rPr>
        <w:t>disclosure.</w:t>
      </w:r>
      <w:r>
        <w:rPr>
          <w:spacing w:val="-6"/>
          <w:sz w:val="24"/>
        </w:rPr>
        <w:t> </w:t>
      </w:r>
      <w:r>
        <w:rPr>
          <w:sz w:val="24"/>
        </w:rPr>
        <w:t>DVR</w:t>
      </w:r>
      <w:r>
        <w:rPr>
          <w:spacing w:val="-5"/>
          <w:sz w:val="24"/>
        </w:rPr>
        <w:t> </w:t>
      </w:r>
      <w:r>
        <w:rPr>
          <w:sz w:val="24"/>
        </w:rPr>
        <w:t>and</w:t>
      </w:r>
      <w:r>
        <w:rPr>
          <w:spacing w:val="-5"/>
          <w:sz w:val="24"/>
        </w:rPr>
        <w:t> </w:t>
      </w:r>
      <w:r>
        <w:rPr>
          <w:sz w:val="24"/>
        </w:rPr>
        <w:t>DSBVI</w:t>
      </w:r>
      <w:r>
        <w:rPr>
          <w:spacing w:val="-4"/>
          <w:sz w:val="24"/>
        </w:rPr>
        <w:t> </w:t>
      </w:r>
      <w:r>
        <w:rPr>
          <w:sz w:val="24"/>
        </w:rPr>
        <w:t>will</w:t>
      </w:r>
      <w:r>
        <w:rPr>
          <w:spacing w:val="-5"/>
          <w:sz w:val="24"/>
        </w:rPr>
        <w:t> </w:t>
      </w:r>
      <w:r>
        <w:rPr>
          <w:sz w:val="24"/>
        </w:rPr>
        <w:t>provide CAP officials information regarding an individual's case in accordance with 612:10- 1-5 and applicable Federal law and regulations.</w:t>
      </w:r>
    </w:p>
    <w:p>
      <w:pPr>
        <w:pStyle w:val="ListParagraph"/>
        <w:numPr>
          <w:ilvl w:val="1"/>
          <w:numId w:val="79"/>
        </w:numPr>
        <w:tabs>
          <w:tab w:pos="1218" w:val="left" w:leader="none"/>
        </w:tabs>
        <w:spacing w:line="208" w:lineRule="auto" w:before="240" w:after="0"/>
        <w:ind w:left="792" w:right="1277" w:firstLine="0"/>
        <w:jc w:val="left"/>
        <w:rPr>
          <w:sz w:val="24"/>
        </w:rPr>
      </w:pPr>
      <w:r>
        <w:rPr>
          <w:sz w:val="24"/>
        </w:rPr>
        <w:t>The</w:t>
      </w:r>
      <w:r>
        <w:rPr>
          <w:spacing w:val="-4"/>
          <w:sz w:val="24"/>
        </w:rPr>
        <w:t> </w:t>
      </w:r>
      <w:r>
        <w:rPr>
          <w:sz w:val="24"/>
        </w:rPr>
        <w:t>CAP</w:t>
      </w:r>
      <w:r>
        <w:rPr>
          <w:spacing w:val="-4"/>
          <w:sz w:val="24"/>
        </w:rPr>
        <w:t> </w:t>
      </w:r>
      <w:r>
        <w:rPr>
          <w:sz w:val="24"/>
        </w:rPr>
        <w:t>staff</w:t>
      </w:r>
      <w:r>
        <w:rPr>
          <w:spacing w:val="-3"/>
          <w:sz w:val="24"/>
        </w:rPr>
        <w:t> </w:t>
      </w:r>
      <w:r>
        <w:rPr>
          <w:sz w:val="24"/>
        </w:rPr>
        <w:t>will</w:t>
      </w:r>
      <w:r>
        <w:rPr>
          <w:spacing w:val="-4"/>
          <w:sz w:val="24"/>
        </w:rPr>
        <w:t> </w:t>
      </w:r>
      <w:r>
        <w:rPr>
          <w:sz w:val="24"/>
        </w:rPr>
        <w:t>make</w:t>
      </w:r>
      <w:r>
        <w:rPr>
          <w:spacing w:val="-4"/>
          <w:sz w:val="24"/>
        </w:rPr>
        <w:t> </w:t>
      </w:r>
      <w:r>
        <w:rPr>
          <w:sz w:val="24"/>
        </w:rPr>
        <w:t>periodic</w:t>
      </w:r>
      <w:r>
        <w:rPr>
          <w:spacing w:val="-4"/>
          <w:sz w:val="24"/>
        </w:rPr>
        <w:t> </w:t>
      </w:r>
      <w:r>
        <w:rPr>
          <w:sz w:val="24"/>
        </w:rPr>
        <w:t>field</w:t>
      </w:r>
      <w:r>
        <w:rPr>
          <w:spacing w:val="-4"/>
          <w:sz w:val="24"/>
        </w:rPr>
        <w:t> </w:t>
      </w:r>
      <w:r>
        <w:rPr>
          <w:sz w:val="24"/>
        </w:rPr>
        <w:t>visits</w:t>
      </w:r>
      <w:r>
        <w:rPr>
          <w:spacing w:val="-4"/>
          <w:sz w:val="24"/>
        </w:rPr>
        <w:t> </w:t>
      </w:r>
      <w:r>
        <w:rPr>
          <w:sz w:val="24"/>
        </w:rPr>
        <w:t>to</w:t>
      </w:r>
      <w:r>
        <w:rPr>
          <w:spacing w:val="-5"/>
          <w:sz w:val="24"/>
        </w:rPr>
        <w:t> </w:t>
      </w:r>
      <w:r>
        <w:rPr>
          <w:sz w:val="24"/>
        </w:rPr>
        <w:t>facilitate</w:t>
      </w:r>
      <w:r>
        <w:rPr>
          <w:spacing w:val="-4"/>
          <w:sz w:val="24"/>
        </w:rPr>
        <w:t> </w:t>
      </w:r>
      <w:r>
        <w:rPr>
          <w:sz w:val="24"/>
        </w:rPr>
        <w:t>CAP's</w:t>
      </w:r>
      <w:r>
        <w:rPr>
          <w:spacing w:val="-4"/>
          <w:sz w:val="24"/>
        </w:rPr>
        <w:t> </w:t>
      </w:r>
      <w:r>
        <w:rPr>
          <w:sz w:val="24"/>
        </w:rPr>
        <w:t>availability</w:t>
      </w:r>
      <w:r>
        <w:rPr>
          <w:spacing w:val="-4"/>
          <w:sz w:val="24"/>
        </w:rPr>
        <w:t> </w:t>
      </w:r>
      <w:r>
        <w:rPr>
          <w:sz w:val="24"/>
        </w:rPr>
        <w:t>to clients or applicants who cannot travel to Oklahoma City.</w:t>
      </w:r>
    </w:p>
    <w:p>
      <w:pPr>
        <w:pStyle w:val="ListParagraph"/>
        <w:numPr>
          <w:ilvl w:val="0"/>
          <w:numId w:val="79"/>
        </w:numPr>
        <w:tabs>
          <w:tab w:pos="786" w:val="left" w:leader="none"/>
        </w:tabs>
        <w:spacing w:line="208" w:lineRule="auto" w:before="240" w:after="0"/>
        <w:ind w:left="360" w:right="833" w:firstLine="0"/>
        <w:jc w:val="left"/>
        <w:rPr>
          <w:sz w:val="24"/>
        </w:rPr>
      </w:pPr>
      <w:r>
        <w:rPr>
          <w:b/>
          <w:sz w:val="24"/>
        </w:rPr>
        <w:t>Supervisory</w:t>
      </w:r>
      <w:r>
        <w:rPr>
          <w:b/>
          <w:spacing w:val="-4"/>
          <w:sz w:val="24"/>
        </w:rPr>
        <w:t> </w:t>
      </w:r>
      <w:r>
        <w:rPr>
          <w:b/>
          <w:sz w:val="24"/>
        </w:rPr>
        <w:t>review.</w:t>
      </w:r>
      <w:r>
        <w:rPr>
          <w:b/>
          <w:spacing w:val="-4"/>
          <w:sz w:val="24"/>
        </w:rPr>
        <w:t> </w:t>
      </w:r>
      <w:r>
        <w:rPr>
          <w:sz w:val="24"/>
        </w:rPr>
        <w:t>DVR</w:t>
      </w:r>
      <w:r>
        <w:rPr>
          <w:spacing w:val="-4"/>
          <w:sz w:val="24"/>
        </w:rPr>
        <w:t> </w:t>
      </w:r>
      <w:r>
        <w:rPr>
          <w:sz w:val="24"/>
        </w:rPr>
        <w:t>and</w:t>
      </w:r>
      <w:r>
        <w:rPr>
          <w:spacing w:val="-4"/>
          <w:sz w:val="24"/>
        </w:rPr>
        <w:t> </w:t>
      </w:r>
      <w:r>
        <w:rPr>
          <w:sz w:val="24"/>
        </w:rPr>
        <w:t>DSBVI</w:t>
      </w:r>
      <w:r>
        <w:rPr>
          <w:spacing w:val="-3"/>
          <w:sz w:val="24"/>
        </w:rPr>
        <w:t> </w:t>
      </w:r>
      <w:r>
        <w:rPr>
          <w:sz w:val="24"/>
        </w:rPr>
        <w:t>use</w:t>
      </w:r>
      <w:r>
        <w:rPr>
          <w:spacing w:val="-4"/>
          <w:sz w:val="24"/>
        </w:rPr>
        <w:t> </w:t>
      </w:r>
      <w:r>
        <w:rPr>
          <w:sz w:val="24"/>
        </w:rPr>
        <w:t>a</w:t>
      </w:r>
      <w:r>
        <w:rPr>
          <w:spacing w:val="-4"/>
          <w:sz w:val="24"/>
        </w:rPr>
        <w:t> </w:t>
      </w:r>
      <w:r>
        <w:rPr>
          <w:sz w:val="24"/>
        </w:rPr>
        <w:t>supervisory</w:t>
      </w:r>
      <w:r>
        <w:rPr>
          <w:spacing w:val="-4"/>
          <w:sz w:val="24"/>
        </w:rPr>
        <w:t> </w:t>
      </w:r>
      <w:r>
        <w:rPr>
          <w:sz w:val="24"/>
        </w:rPr>
        <w:t>review</w:t>
      </w:r>
      <w:r>
        <w:rPr>
          <w:spacing w:val="-4"/>
          <w:sz w:val="24"/>
        </w:rPr>
        <w:t> </w:t>
      </w:r>
      <w:r>
        <w:rPr>
          <w:sz w:val="24"/>
        </w:rPr>
        <w:t>process</w:t>
      </w:r>
      <w:r>
        <w:rPr>
          <w:spacing w:val="-4"/>
          <w:sz w:val="24"/>
        </w:rPr>
        <w:t> </w:t>
      </w:r>
      <w:r>
        <w:rPr>
          <w:sz w:val="24"/>
        </w:rPr>
        <w:t>to</w:t>
      </w:r>
      <w:r>
        <w:rPr>
          <w:spacing w:val="-4"/>
          <w:sz w:val="24"/>
        </w:rPr>
        <w:t> </w:t>
      </w:r>
      <w:r>
        <w:rPr>
          <w:sz w:val="24"/>
        </w:rPr>
        <w:t>resolve disagreements as close to the field service delivery level as possible. The objective of the</w:t>
      </w:r>
      <w:r>
        <w:rPr>
          <w:spacing w:val="-1"/>
          <w:sz w:val="24"/>
        </w:rPr>
        <w:t> </w:t>
      </w:r>
      <w:r>
        <w:rPr>
          <w:sz w:val="24"/>
        </w:rPr>
        <w:t>supervisory</w:t>
      </w:r>
      <w:r>
        <w:rPr>
          <w:spacing w:val="-1"/>
          <w:sz w:val="24"/>
        </w:rPr>
        <w:t> </w:t>
      </w:r>
      <w:r>
        <w:rPr>
          <w:sz w:val="24"/>
        </w:rPr>
        <w:t>review</w:t>
      </w:r>
      <w:r>
        <w:rPr>
          <w:spacing w:val="-1"/>
          <w:sz w:val="24"/>
        </w:rPr>
        <w:t> </w:t>
      </w:r>
      <w:r>
        <w:rPr>
          <w:sz w:val="24"/>
        </w:rPr>
        <w:t>process</w:t>
      </w:r>
      <w:r>
        <w:rPr>
          <w:spacing w:val="-1"/>
          <w:sz w:val="24"/>
        </w:rPr>
        <w:t> </w:t>
      </w:r>
      <w:r>
        <w:rPr>
          <w:sz w:val="24"/>
        </w:rPr>
        <w:t>is</w:t>
      </w:r>
      <w:r>
        <w:rPr>
          <w:spacing w:val="-2"/>
          <w:sz w:val="24"/>
        </w:rPr>
        <w:t> </w:t>
      </w:r>
      <w:r>
        <w:rPr>
          <w:sz w:val="24"/>
        </w:rPr>
        <w:t>a</w:t>
      </w:r>
      <w:r>
        <w:rPr>
          <w:spacing w:val="-1"/>
          <w:sz w:val="24"/>
        </w:rPr>
        <w:t> </w:t>
      </w:r>
      <w:r>
        <w:rPr>
          <w:sz w:val="24"/>
        </w:rPr>
        <w:t>timely</w:t>
      </w:r>
      <w:r>
        <w:rPr>
          <w:spacing w:val="-1"/>
          <w:sz w:val="24"/>
        </w:rPr>
        <w:t> </w:t>
      </w:r>
      <w:r>
        <w:rPr>
          <w:sz w:val="24"/>
        </w:rPr>
        <w:t>resolution</w:t>
      </w:r>
      <w:r>
        <w:rPr>
          <w:spacing w:val="-1"/>
          <w:sz w:val="24"/>
        </w:rPr>
        <w:t> </w:t>
      </w:r>
      <w:r>
        <w:rPr>
          <w:sz w:val="24"/>
        </w:rPr>
        <w:t>of disagreements, and</w:t>
      </w:r>
      <w:r>
        <w:rPr>
          <w:spacing w:val="-1"/>
          <w:sz w:val="24"/>
        </w:rPr>
        <w:t> </w:t>
      </w:r>
      <w:r>
        <w:rPr>
          <w:sz w:val="24"/>
        </w:rPr>
        <w:t>is</w:t>
      </w:r>
      <w:r>
        <w:rPr>
          <w:spacing w:val="-1"/>
          <w:sz w:val="24"/>
        </w:rPr>
        <w:t> </w:t>
      </w:r>
      <w:r>
        <w:rPr>
          <w:sz w:val="24"/>
        </w:rPr>
        <w:t>not to</w:t>
      </w:r>
      <w:r>
        <w:rPr>
          <w:spacing w:val="-1"/>
          <w:sz w:val="24"/>
        </w:rPr>
        <w:t> </w:t>
      </w:r>
      <w:r>
        <w:rPr>
          <w:sz w:val="24"/>
        </w:rPr>
        <w:t>be used to delay or deny a fair hearing before a hearing officer or the services of an impartial mediator. The supervisory review of a counselor determination starts the 60 day</w:t>
      </w:r>
      <w:r>
        <w:rPr>
          <w:spacing w:val="-2"/>
          <w:sz w:val="24"/>
        </w:rPr>
        <w:t> </w:t>
      </w:r>
      <w:r>
        <w:rPr>
          <w:sz w:val="24"/>
        </w:rPr>
        <w:t>time</w:t>
      </w:r>
      <w:r>
        <w:rPr>
          <w:spacing w:val="-2"/>
          <w:sz w:val="24"/>
        </w:rPr>
        <w:t> </w:t>
      </w:r>
      <w:r>
        <w:rPr>
          <w:sz w:val="24"/>
        </w:rPr>
        <w:t>period</w:t>
      </w:r>
      <w:r>
        <w:rPr>
          <w:spacing w:val="-2"/>
          <w:sz w:val="24"/>
        </w:rPr>
        <w:t> </w:t>
      </w:r>
      <w:r>
        <w:rPr>
          <w:sz w:val="24"/>
        </w:rPr>
        <w:t>established</w:t>
      </w:r>
      <w:r>
        <w:rPr>
          <w:spacing w:val="-2"/>
          <w:sz w:val="24"/>
        </w:rPr>
        <w:t> </w:t>
      </w:r>
      <w:r>
        <w:rPr>
          <w:sz w:val="24"/>
        </w:rPr>
        <w:t>under</w:t>
      </w:r>
      <w:r>
        <w:rPr>
          <w:spacing w:val="-1"/>
          <w:sz w:val="24"/>
        </w:rPr>
        <w:t> </w:t>
      </w:r>
      <w:r>
        <w:rPr>
          <w:sz w:val="24"/>
        </w:rPr>
        <w:t>(f)(5)</w:t>
      </w:r>
      <w:r>
        <w:rPr>
          <w:spacing w:val="-1"/>
          <w:sz w:val="24"/>
        </w:rPr>
        <w:t> </w:t>
      </w:r>
      <w:r>
        <w:rPr>
          <w:sz w:val="24"/>
        </w:rPr>
        <w:t>of</w:t>
      </w:r>
      <w:r>
        <w:rPr>
          <w:spacing w:val="-3"/>
          <w:sz w:val="24"/>
        </w:rPr>
        <w:t> </w:t>
      </w:r>
      <w:r>
        <w:rPr>
          <w:sz w:val="24"/>
        </w:rPr>
        <w:t>this</w:t>
      </w:r>
      <w:r>
        <w:rPr>
          <w:spacing w:val="-2"/>
          <w:sz w:val="24"/>
        </w:rPr>
        <w:t> </w:t>
      </w:r>
      <w:r>
        <w:rPr>
          <w:sz w:val="24"/>
        </w:rPr>
        <w:t>Section.</w:t>
      </w:r>
      <w:r>
        <w:rPr>
          <w:spacing w:val="-1"/>
          <w:sz w:val="24"/>
        </w:rPr>
        <w:t> </w:t>
      </w:r>
      <w:r>
        <w:rPr>
          <w:sz w:val="24"/>
        </w:rPr>
        <w:t>The</w:t>
      </w:r>
      <w:r>
        <w:rPr>
          <w:spacing w:val="-2"/>
          <w:sz w:val="24"/>
        </w:rPr>
        <w:t> </w:t>
      </w:r>
      <w:r>
        <w:rPr>
          <w:sz w:val="24"/>
        </w:rPr>
        <w:t>request</w:t>
      </w:r>
      <w:r>
        <w:rPr>
          <w:spacing w:val="-1"/>
          <w:sz w:val="24"/>
        </w:rPr>
        <w:t> </w:t>
      </w:r>
      <w:r>
        <w:rPr>
          <w:sz w:val="24"/>
        </w:rPr>
        <w:t>for</w:t>
      </w:r>
      <w:r>
        <w:rPr>
          <w:spacing w:val="-3"/>
          <w:sz w:val="24"/>
        </w:rPr>
        <w:t> </w:t>
      </w:r>
      <w:r>
        <w:rPr>
          <w:sz w:val="24"/>
        </w:rPr>
        <w:t>a</w:t>
      </w:r>
      <w:r>
        <w:rPr>
          <w:spacing w:val="-3"/>
          <w:sz w:val="24"/>
        </w:rPr>
        <w:t> </w:t>
      </w:r>
      <w:r>
        <w:rPr>
          <w:sz w:val="24"/>
        </w:rPr>
        <w:t>fair</w:t>
      </w:r>
      <w:r>
        <w:rPr>
          <w:spacing w:val="-1"/>
          <w:sz w:val="24"/>
        </w:rPr>
        <w:t> </w:t>
      </w:r>
      <w:r>
        <w:rPr>
          <w:sz w:val="24"/>
        </w:rPr>
        <w:t>hearing</w:t>
      </w:r>
      <w:r>
        <w:rPr>
          <w:spacing w:val="-2"/>
          <w:sz w:val="24"/>
        </w:rPr>
        <w:t> </w:t>
      </w:r>
      <w:r>
        <w:rPr>
          <w:sz w:val="24"/>
        </w:rPr>
        <w:t>is submitted at this time in accordance with (f)(2) of this Section.</w:t>
      </w:r>
    </w:p>
    <w:p>
      <w:pPr>
        <w:pStyle w:val="ListParagraph"/>
        <w:numPr>
          <w:ilvl w:val="1"/>
          <w:numId w:val="79"/>
        </w:numPr>
        <w:tabs>
          <w:tab w:pos="1218" w:val="left" w:leader="none"/>
        </w:tabs>
        <w:spacing w:line="208" w:lineRule="auto" w:before="239" w:after="0"/>
        <w:ind w:left="792" w:right="908" w:firstLine="0"/>
        <w:jc w:val="left"/>
        <w:rPr>
          <w:sz w:val="24"/>
        </w:rPr>
      </w:pPr>
      <w:r>
        <w:rPr>
          <w:sz w:val="24"/>
        </w:rPr>
        <w:t>The supervisory review is usually conducted by the program manager. If the program</w:t>
      </w:r>
      <w:r>
        <w:rPr>
          <w:spacing w:val="-4"/>
          <w:sz w:val="24"/>
        </w:rPr>
        <w:t> </w:t>
      </w:r>
      <w:r>
        <w:rPr>
          <w:sz w:val="24"/>
        </w:rPr>
        <w:t>manager</w:t>
      </w:r>
      <w:r>
        <w:rPr>
          <w:spacing w:val="-4"/>
          <w:sz w:val="24"/>
        </w:rPr>
        <w:t> </w:t>
      </w:r>
      <w:r>
        <w:rPr>
          <w:sz w:val="24"/>
        </w:rPr>
        <w:t>was</w:t>
      </w:r>
      <w:r>
        <w:rPr>
          <w:spacing w:val="-5"/>
          <w:sz w:val="24"/>
        </w:rPr>
        <w:t> </w:t>
      </w:r>
      <w:r>
        <w:rPr>
          <w:sz w:val="24"/>
        </w:rPr>
        <w:t>involved</w:t>
      </w:r>
      <w:r>
        <w:rPr>
          <w:spacing w:val="-5"/>
          <w:sz w:val="24"/>
        </w:rPr>
        <w:t> </w:t>
      </w:r>
      <w:r>
        <w:rPr>
          <w:sz w:val="24"/>
        </w:rPr>
        <w:t>in</w:t>
      </w:r>
      <w:r>
        <w:rPr>
          <w:spacing w:val="-5"/>
          <w:sz w:val="24"/>
        </w:rPr>
        <w:t> </w:t>
      </w:r>
      <w:r>
        <w:rPr>
          <w:sz w:val="24"/>
        </w:rPr>
        <w:t>the</w:t>
      </w:r>
      <w:r>
        <w:rPr>
          <w:spacing w:val="-5"/>
          <w:sz w:val="24"/>
        </w:rPr>
        <w:t> </w:t>
      </w:r>
      <w:r>
        <w:rPr>
          <w:sz w:val="24"/>
        </w:rPr>
        <w:t>disputed</w:t>
      </w:r>
      <w:r>
        <w:rPr>
          <w:spacing w:val="-5"/>
          <w:sz w:val="24"/>
        </w:rPr>
        <w:t> </w:t>
      </w:r>
      <w:r>
        <w:rPr>
          <w:sz w:val="24"/>
        </w:rPr>
        <w:t>determination,</w:t>
      </w:r>
      <w:r>
        <w:rPr>
          <w:spacing w:val="-4"/>
          <w:sz w:val="24"/>
        </w:rPr>
        <w:t> </w:t>
      </w:r>
      <w:r>
        <w:rPr>
          <w:sz w:val="24"/>
        </w:rPr>
        <w:t>the</w:t>
      </w:r>
      <w:r>
        <w:rPr>
          <w:spacing w:val="-5"/>
          <w:sz w:val="24"/>
        </w:rPr>
        <w:t> </w:t>
      </w:r>
      <w:r>
        <w:rPr>
          <w:sz w:val="24"/>
        </w:rPr>
        <w:t>field</w:t>
      </w:r>
      <w:r>
        <w:rPr>
          <w:spacing w:val="-5"/>
          <w:sz w:val="24"/>
        </w:rPr>
        <w:t> </w:t>
      </w:r>
      <w:r>
        <w:rPr>
          <w:sz w:val="24"/>
        </w:rPr>
        <w:t>coordinator conducts the administrative review. If the field coordinator was involved in the</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791" w:right="775"/>
      </w:pPr>
      <w:r>
        <w:rPr/>
        <w:t>disputed</w:t>
      </w:r>
      <w:r>
        <w:rPr>
          <w:spacing w:val="-6"/>
        </w:rPr>
        <w:t> </w:t>
      </w:r>
      <w:r>
        <w:rPr/>
        <w:t>determination,</w:t>
      </w:r>
      <w:r>
        <w:rPr>
          <w:spacing w:val="-5"/>
        </w:rPr>
        <w:t> </w:t>
      </w:r>
      <w:r>
        <w:rPr/>
        <w:t>the</w:t>
      </w:r>
      <w:r>
        <w:rPr>
          <w:spacing w:val="-6"/>
        </w:rPr>
        <w:t> </w:t>
      </w:r>
      <w:r>
        <w:rPr/>
        <w:t>division</w:t>
      </w:r>
      <w:r>
        <w:rPr>
          <w:spacing w:val="-6"/>
        </w:rPr>
        <w:t> </w:t>
      </w:r>
      <w:r>
        <w:rPr/>
        <w:t>administrator</w:t>
      </w:r>
      <w:r>
        <w:rPr>
          <w:spacing w:val="-5"/>
        </w:rPr>
        <w:t> </w:t>
      </w:r>
      <w:r>
        <w:rPr/>
        <w:t>conducts</w:t>
      </w:r>
      <w:r>
        <w:rPr>
          <w:spacing w:val="-6"/>
        </w:rPr>
        <w:t> </w:t>
      </w:r>
      <w:r>
        <w:rPr/>
        <w:t>the</w:t>
      </w:r>
      <w:r>
        <w:rPr>
          <w:spacing w:val="-6"/>
        </w:rPr>
        <w:t> </w:t>
      </w:r>
      <w:r>
        <w:rPr/>
        <w:t>administrative </w:t>
      </w:r>
      <w:r>
        <w:rPr>
          <w:spacing w:val="-2"/>
        </w:rPr>
        <w:t>review.</w:t>
      </w:r>
    </w:p>
    <w:p>
      <w:pPr>
        <w:pStyle w:val="ListParagraph"/>
        <w:numPr>
          <w:ilvl w:val="1"/>
          <w:numId w:val="79"/>
        </w:numPr>
        <w:tabs>
          <w:tab w:pos="1217" w:val="left" w:leader="none"/>
        </w:tabs>
        <w:spacing w:line="208" w:lineRule="auto" w:before="240" w:after="0"/>
        <w:ind w:left="791" w:right="768" w:firstLine="0"/>
        <w:jc w:val="left"/>
        <w:rPr>
          <w:sz w:val="24"/>
        </w:rPr>
      </w:pPr>
      <w:r>
        <w:rPr>
          <w:sz w:val="24"/>
        </w:rPr>
        <w:t>The decision that results from the administrative review will be stated in a letter to</w:t>
      </w:r>
      <w:r>
        <w:rPr>
          <w:spacing w:val="-4"/>
          <w:sz w:val="24"/>
        </w:rPr>
        <w:t> </w:t>
      </w:r>
      <w:r>
        <w:rPr>
          <w:sz w:val="24"/>
        </w:rPr>
        <w:t>the</w:t>
      </w:r>
      <w:r>
        <w:rPr>
          <w:spacing w:val="-4"/>
          <w:sz w:val="24"/>
        </w:rPr>
        <w:t> </w:t>
      </w:r>
      <w:r>
        <w:rPr>
          <w:sz w:val="24"/>
        </w:rPr>
        <w:t>individual,</w:t>
      </w:r>
      <w:r>
        <w:rPr>
          <w:spacing w:val="-3"/>
          <w:sz w:val="24"/>
        </w:rPr>
        <w:t> </w:t>
      </w:r>
      <w:r>
        <w:rPr>
          <w:sz w:val="24"/>
        </w:rPr>
        <w:t>or</w:t>
      </w:r>
      <w:r>
        <w:rPr>
          <w:spacing w:val="-3"/>
          <w:sz w:val="24"/>
        </w:rPr>
        <w:t> </w:t>
      </w:r>
      <w:r>
        <w:rPr>
          <w:sz w:val="24"/>
        </w:rPr>
        <w:t>to</w:t>
      </w:r>
      <w:r>
        <w:rPr>
          <w:spacing w:val="-4"/>
          <w:sz w:val="24"/>
        </w:rPr>
        <w:t> </w:t>
      </w:r>
      <w:r>
        <w:rPr>
          <w:sz w:val="24"/>
        </w:rPr>
        <w:t>the</w:t>
      </w:r>
      <w:r>
        <w:rPr>
          <w:spacing w:val="-4"/>
          <w:sz w:val="24"/>
        </w:rPr>
        <w:t> </w:t>
      </w:r>
      <w:r>
        <w:rPr>
          <w:sz w:val="24"/>
        </w:rPr>
        <w:t>individual's</w:t>
      </w:r>
      <w:r>
        <w:rPr>
          <w:spacing w:val="-4"/>
          <w:sz w:val="24"/>
        </w:rPr>
        <w:t> </w:t>
      </w:r>
      <w:r>
        <w:rPr>
          <w:sz w:val="24"/>
        </w:rPr>
        <w:t>representative,</w:t>
      </w:r>
      <w:r>
        <w:rPr>
          <w:spacing w:val="-3"/>
          <w:sz w:val="24"/>
        </w:rPr>
        <w:t> </w:t>
      </w:r>
      <w:r>
        <w:rPr>
          <w:sz w:val="24"/>
        </w:rPr>
        <w:t>with</w:t>
      </w:r>
      <w:r>
        <w:rPr>
          <w:spacing w:val="-4"/>
          <w:sz w:val="24"/>
        </w:rPr>
        <w:t> </w:t>
      </w:r>
      <w:r>
        <w:rPr>
          <w:sz w:val="24"/>
        </w:rPr>
        <w:t>copies</w:t>
      </w:r>
      <w:r>
        <w:rPr>
          <w:spacing w:val="-4"/>
          <w:sz w:val="24"/>
        </w:rPr>
        <w:t> </w:t>
      </w:r>
      <w:r>
        <w:rPr>
          <w:sz w:val="24"/>
        </w:rPr>
        <w:t>to</w:t>
      </w:r>
      <w:r>
        <w:rPr>
          <w:spacing w:val="-4"/>
          <w:sz w:val="24"/>
        </w:rPr>
        <w:t> </w:t>
      </w:r>
      <w:r>
        <w:rPr>
          <w:sz w:val="24"/>
        </w:rPr>
        <w:t>the</w:t>
      </w:r>
      <w:r>
        <w:rPr>
          <w:spacing w:val="-4"/>
          <w:sz w:val="24"/>
        </w:rPr>
        <w:t> </w:t>
      </w:r>
      <w:r>
        <w:rPr>
          <w:sz w:val="24"/>
        </w:rPr>
        <w:t>case</w:t>
      </w:r>
      <w:r>
        <w:rPr>
          <w:spacing w:val="-4"/>
          <w:sz w:val="24"/>
        </w:rPr>
        <w:t> </w:t>
      </w:r>
      <w:r>
        <w:rPr>
          <w:sz w:val="24"/>
        </w:rPr>
        <w:t>record, the program manager, and the hearings coordinator. </w:t>
      </w:r>
      <w:r>
        <w:rPr>
          <w:b/>
          <w:sz w:val="24"/>
        </w:rPr>
        <w:t>2 </w:t>
      </w:r>
      <w:r>
        <w:rPr>
          <w:sz w:val="24"/>
        </w:rPr>
        <w:t>The letter will identify the individual, case number, caseload, and office location. The body of the letter will state the reason for the administrative review and the decision resulting from that review. If the administrative review resolves the disagreement, the Withdrawal of Request for Hearing form must be submitted with the copy of the letter that is sent to the hearings coordinator.</w:t>
      </w:r>
    </w:p>
    <w:p>
      <w:pPr>
        <w:pStyle w:val="ListParagraph"/>
        <w:numPr>
          <w:ilvl w:val="0"/>
          <w:numId w:val="79"/>
        </w:numPr>
        <w:tabs>
          <w:tab w:pos="785" w:val="left" w:leader="none"/>
        </w:tabs>
        <w:spacing w:line="208" w:lineRule="auto" w:before="239" w:after="0"/>
        <w:ind w:left="360" w:right="725" w:firstLine="0"/>
        <w:jc w:val="left"/>
        <w:rPr>
          <w:sz w:val="24"/>
        </w:rPr>
      </w:pPr>
      <w:r>
        <w:rPr>
          <w:b/>
          <w:sz w:val="24"/>
        </w:rPr>
        <w:t>Mediation.</w:t>
      </w:r>
      <w:r>
        <w:rPr>
          <w:b/>
          <w:spacing w:val="-3"/>
          <w:sz w:val="24"/>
        </w:rPr>
        <w:t> </w:t>
      </w:r>
      <w:r>
        <w:rPr>
          <w:sz w:val="24"/>
        </w:rPr>
        <w:t>Whenever</w:t>
      </w:r>
      <w:r>
        <w:rPr>
          <w:spacing w:val="-2"/>
          <w:sz w:val="24"/>
        </w:rPr>
        <w:t> </w:t>
      </w:r>
      <w:r>
        <w:rPr>
          <w:sz w:val="24"/>
        </w:rPr>
        <w:t>a</w:t>
      </w:r>
      <w:r>
        <w:rPr>
          <w:spacing w:val="-3"/>
          <w:sz w:val="24"/>
        </w:rPr>
        <w:t> </w:t>
      </w:r>
      <w:r>
        <w:rPr>
          <w:sz w:val="24"/>
        </w:rPr>
        <w:t>fair</w:t>
      </w:r>
      <w:r>
        <w:rPr>
          <w:spacing w:val="-4"/>
          <w:sz w:val="24"/>
        </w:rPr>
        <w:t> </w:t>
      </w:r>
      <w:r>
        <w:rPr>
          <w:sz w:val="24"/>
        </w:rPr>
        <w:t>hearing</w:t>
      </w:r>
      <w:r>
        <w:rPr>
          <w:spacing w:val="-3"/>
          <w:sz w:val="24"/>
        </w:rPr>
        <w:t> </w:t>
      </w:r>
      <w:r>
        <w:rPr>
          <w:sz w:val="24"/>
        </w:rPr>
        <w:t>is</w:t>
      </w:r>
      <w:r>
        <w:rPr>
          <w:spacing w:val="-3"/>
          <w:sz w:val="24"/>
        </w:rPr>
        <w:t> </w:t>
      </w:r>
      <w:r>
        <w:rPr>
          <w:sz w:val="24"/>
        </w:rPr>
        <w:t>requested</w:t>
      </w:r>
      <w:r>
        <w:rPr>
          <w:spacing w:val="-3"/>
          <w:sz w:val="24"/>
        </w:rPr>
        <w:t> </w:t>
      </w:r>
      <w:r>
        <w:rPr>
          <w:sz w:val="24"/>
        </w:rPr>
        <w:t>under</w:t>
      </w:r>
      <w:r>
        <w:rPr>
          <w:spacing w:val="-2"/>
          <w:sz w:val="24"/>
        </w:rPr>
        <w:t> </w:t>
      </w:r>
      <w:r>
        <w:rPr>
          <w:sz w:val="24"/>
        </w:rPr>
        <w:t>this</w:t>
      </w:r>
      <w:r>
        <w:rPr>
          <w:spacing w:val="-3"/>
          <w:sz w:val="24"/>
        </w:rPr>
        <w:t> </w:t>
      </w:r>
      <w:r>
        <w:rPr>
          <w:sz w:val="24"/>
        </w:rPr>
        <w:t>Section,</w:t>
      </w:r>
      <w:r>
        <w:rPr>
          <w:spacing w:val="-2"/>
          <w:sz w:val="24"/>
        </w:rPr>
        <w:t> </w:t>
      </w:r>
      <w:r>
        <w:rPr>
          <w:sz w:val="24"/>
        </w:rPr>
        <w:t>mediation</w:t>
      </w:r>
      <w:r>
        <w:rPr>
          <w:spacing w:val="-3"/>
          <w:sz w:val="24"/>
        </w:rPr>
        <w:t> </w:t>
      </w:r>
      <w:r>
        <w:rPr>
          <w:sz w:val="24"/>
        </w:rPr>
        <w:t>shall be offered as an option to resolve a disputed decision. </w:t>
      </w:r>
      <w:r>
        <w:rPr>
          <w:b/>
          <w:sz w:val="24"/>
        </w:rPr>
        <w:t>3 </w:t>
      </w:r>
      <w:r>
        <w:rPr>
          <w:sz w:val="24"/>
        </w:rPr>
        <w:t>DRS uses the voluntary mediation services of the Oklahoma Supreme Court. The supervisor will arrange for a mediator</w:t>
      </w:r>
      <w:r>
        <w:rPr>
          <w:spacing w:val="-3"/>
          <w:sz w:val="24"/>
        </w:rPr>
        <w:t> </w:t>
      </w:r>
      <w:r>
        <w:rPr>
          <w:sz w:val="24"/>
        </w:rPr>
        <w:t>with</w:t>
      </w:r>
      <w:r>
        <w:rPr>
          <w:spacing w:val="-4"/>
          <w:sz w:val="24"/>
        </w:rPr>
        <w:t> </w:t>
      </w:r>
      <w:r>
        <w:rPr>
          <w:sz w:val="24"/>
        </w:rPr>
        <w:t>the</w:t>
      </w:r>
      <w:r>
        <w:rPr>
          <w:spacing w:val="-4"/>
          <w:sz w:val="24"/>
        </w:rPr>
        <w:t> </w:t>
      </w:r>
      <w:r>
        <w:rPr>
          <w:sz w:val="24"/>
        </w:rPr>
        <w:t>Early</w:t>
      </w:r>
      <w:r>
        <w:rPr>
          <w:spacing w:val="-4"/>
          <w:sz w:val="24"/>
        </w:rPr>
        <w:t> </w:t>
      </w:r>
      <w:r>
        <w:rPr>
          <w:sz w:val="24"/>
        </w:rPr>
        <w:t>Settlement</w:t>
      </w:r>
      <w:r>
        <w:rPr>
          <w:spacing w:val="-3"/>
          <w:sz w:val="24"/>
        </w:rPr>
        <w:t> </w:t>
      </w:r>
      <w:r>
        <w:rPr>
          <w:sz w:val="24"/>
        </w:rPr>
        <w:t>Center</w:t>
      </w:r>
      <w:r>
        <w:rPr>
          <w:spacing w:val="-3"/>
          <w:sz w:val="24"/>
        </w:rPr>
        <w:t> </w:t>
      </w:r>
      <w:r>
        <w:rPr>
          <w:sz w:val="24"/>
        </w:rPr>
        <w:t>that</w:t>
      </w:r>
      <w:r>
        <w:rPr>
          <w:spacing w:val="-3"/>
          <w:sz w:val="24"/>
        </w:rPr>
        <w:t> </w:t>
      </w:r>
      <w:r>
        <w:rPr>
          <w:sz w:val="24"/>
        </w:rPr>
        <w:t>is</w:t>
      </w:r>
      <w:r>
        <w:rPr>
          <w:spacing w:val="-4"/>
          <w:sz w:val="24"/>
        </w:rPr>
        <w:t> </w:t>
      </w:r>
      <w:r>
        <w:rPr>
          <w:sz w:val="24"/>
        </w:rPr>
        <w:t>most</w:t>
      </w:r>
      <w:r>
        <w:rPr>
          <w:spacing w:val="-5"/>
          <w:sz w:val="24"/>
        </w:rPr>
        <w:t> </w:t>
      </w:r>
      <w:r>
        <w:rPr>
          <w:sz w:val="24"/>
        </w:rPr>
        <w:t>convenient</w:t>
      </w:r>
      <w:r>
        <w:rPr>
          <w:spacing w:val="-3"/>
          <w:sz w:val="24"/>
        </w:rPr>
        <w:t> </w:t>
      </w:r>
      <w:r>
        <w:rPr>
          <w:sz w:val="24"/>
        </w:rPr>
        <w:t>to</w:t>
      </w:r>
      <w:r>
        <w:rPr>
          <w:spacing w:val="-5"/>
          <w:sz w:val="24"/>
        </w:rPr>
        <w:t> </w:t>
      </w:r>
      <w:r>
        <w:rPr>
          <w:sz w:val="24"/>
        </w:rPr>
        <w:t>the</w:t>
      </w:r>
      <w:r>
        <w:rPr>
          <w:spacing w:val="-4"/>
          <w:sz w:val="24"/>
        </w:rPr>
        <w:t> </w:t>
      </w:r>
      <w:r>
        <w:rPr>
          <w:sz w:val="24"/>
        </w:rPr>
        <w:t>consumer</w:t>
      </w:r>
      <w:r>
        <w:rPr>
          <w:spacing w:val="-3"/>
          <w:sz w:val="24"/>
        </w:rPr>
        <w:t> </w:t>
      </w:r>
      <w:r>
        <w:rPr>
          <w:sz w:val="24"/>
        </w:rPr>
        <w:t>upon receipt of a request for mediation. DRS will bear the cost of the mediation. The mediation session will be scheduled in a timely manner. An agreement reached by the parties to the dispute in the mediation will be set forth in writing. Discussions that occur during the mediation process will be confidential and may not be used as evidence in any subsequent due process hearing or civil proceeding. Should the dispute be</w:t>
      </w:r>
      <w:r>
        <w:rPr>
          <w:spacing w:val="40"/>
          <w:sz w:val="24"/>
        </w:rPr>
        <w:t> </w:t>
      </w:r>
      <w:r>
        <w:rPr>
          <w:sz w:val="24"/>
        </w:rPr>
        <w:t>resolved through mediation, a withdrawal of request for hearing must be submitted to the hearings coordinator. The parties to the mediation may be required to sign a confidentiality pledge prior to commencement of</w:t>
      </w:r>
      <w:r>
        <w:rPr>
          <w:spacing w:val="-1"/>
          <w:sz w:val="24"/>
        </w:rPr>
        <w:t> </w:t>
      </w:r>
      <w:r>
        <w:rPr>
          <w:sz w:val="24"/>
        </w:rPr>
        <w:t>the process. Nothing in this Subsection shall be construed to preclude the parties from informally resolving the dispute. The Departmental representative attending the mediation must be the individual who has final decision making authority for the question in dispute. The mediation:</w:t>
      </w:r>
    </w:p>
    <w:p>
      <w:pPr>
        <w:pStyle w:val="ListParagraph"/>
        <w:numPr>
          <w:ilvl w:val="1"/>
          <w:numId w:val="79"/>
        </w:numPr>
        <w:tabs>
          <w:tab w:pos="1217" w:val="left" w:leader="none"/>
        </w:tabs>
        <w:spacing w:line="240" w:lineRule="auto" w:before="209" w:after="0"/>
        <w:ind w:left="1217" w:right="0" w:hanging="425"/>
        <w:jc w:val="left"/>
        <w:rPr>
          <w:sz w:val="24"/>
        </w:rPr>
      </w:pPr>
      <w:r>
        <w:rPr>
          <w:sz w:val="24"/>
        </w:rPr>
        <w:t>must</w:t>
      </w:r>
      <w:r>
        <w:rPr>
          <w:spacing w:val="-4"/>
          <w:sz w:val="24"/>
        </w:rPr>
        <w:t> </w:t>
      </w:r>
      <w:r>
        <w:rPr>
          <w:sz w:val="24"/>
        </w:rPr>
        <w:t>be</w:t>
      </w:r>
      <w:r>
        <w:rPr>
          <w:spacing w:val="-3"/>
          <w:sz w:val="24"/>
        </w:rPr>
        <w:t> </w:t>
      </w:r>
      <w:r>
        <w:rPr>
          <w:sz w:val="24"/>
        </w:rPr>
        <w:t>entered</w:t>
      </w:r>
      <w:r>
        <w:rPr>
          <w:spacing w:val="-2"/>
          <w:sz w:val="24"/>
        </w:rPr>
        <w:t> </w:t>
      </w:r>
      <w:r>
        <w:rPr>
          <w:sz w:val="24"/>
        </w:rPr>
        <w:t>into</w:t>
      </w:r>
      <w:r>
        <w:rPr>
          <w:spacing w:val="-3"/>
          <w:sz w:val="24"/>
        </w:rPr>
        <w:t> </w:t>
      </w:r>
      <w:r>
        <w:rPr>
          <w:sz w:val="24"/>
        </w:rPr>
        <w:t>voluntarily</w:t>
      </w:r>
      <w:r>
        <w:rPr>
          <w:spacing w:val="-2"/>
          <w:sz w:val="24"/>
        </w:rPr>
        <w:t> </w:t>
      </w:r>
      <w:r>
        <w:rPr>
          <w:sz w:val="24"/>
        </w:rPr>
        <w:t>by</w:t>
      </w:r>
      <w:r>
        <w:rPr>
          <w:spacing w:val="-3"/>
          <w:sz w:val="24"/>
        </w:rPr>
        <w:t> </w:t>
      </w:r>
      <w:r>
        <w:rPr>
          <w:sz w:val="24"/>
        </w:rPr>
        <w:t>all</w:t>
      </w:r>
      <w:r>
        <w:rPr>
          <w:spacing w:val="-2"/>
          <w:sz w:val="24"/>
        </w:rPr>
        <w:t> parties;</w:t>
      </w:r>
    </w:p>
    <w:p>
      <w:pPr>
        <w:pStyle w:val="ListParagraph"/>
        <w:numPr>
          <w:ilvl w:val="1"/>
          <w:numId w:val="79"/>
        </w:numPr>
        <w:tabs>
          <w:tab w:pos="1218" w:val="left" w:leader="none"/>
        </w:tabs>
        <w:spacing w:line="240" w:lineRule="auto" w:before="204" w:after="0"/>
        <w:ind w:left="1218" w:right="0" w:hanging="426"/>
        <w:jc w:val="left"/>
        <w:rPr>
          <w:sz w:val="24"/>
        </w:rPr>
      </w:pPr>
      <w:r>
        <w:rPr>
          <w:sz w:val="24"/>
        </w:rPr>
        <w:t>is</w:t>
      </w:r>
      <w:r>
        <w:rPr>
          <w:spacing w:val="-3"/>
          <w:sz w:val="24"/>
        </w:rPr>
        <w:t> </w:t>
      </w:r>
      <w:r>
        <w:rPr>
          <w:sz w:val="24"/>
        </w:rPr>
        <w:t>not</w:t>
      </w:r>
      <w:r>
        <w:rPr>
          <w:spacing w:val="-3"/>
          <w:sz w:val="24"/>
        </w:rPr>
        <w:t> </w:t>
      </w:r>
      <w:r>
        <w:rPr>
          <w:sz w:val="24"/>
        </w:rPr>
        <w:t>used</w:t>
      </w:r>
      <w:r>
        <w:rPr>
          <w:spacing w:val="-2"/>
          <w:sz w:val="24"/>
        </w:rPr>
        <w:t> </w:t>
      </w:r>
      <w:r>
        <w:rPr>
          <w:sz w:val="24"/>
        </w:rPr>
        <w:t>to</w:t>
      </w:r>
      <w:r>
        <w:rPr>
          <w:spacing w:val="-3"/>
          <w:sz w:val="24"/>
        </w:rPr>
        <w:t> </w:t>
      </w:r>
      <w:r>
        <w:rPr>
          <w:sz w:val="24"/>
        </w:rPr>
        <w:t>deny</w:t>
      </w:r>
      <w:r>
        <w:rPr>
          <w:spacing w:val="-2"/>
          <w:sz w:val="24"/>
        </w:rPr>
        <w:t> </w:t>
      </w:r>
      <w:r>
        <w:rPr>
          <w:sz w:val="24"/>
        </w:rPr>
        <w:t>or</w:t>
      </w:r>
      <w:r>
        <w:rPr>
          <w:spacing w:val="-1"/>
          <w:sz w:val="24"/>
        </w:rPr>
        <w:t> </w:t>
      </w:r>
      <w:r>
        <w:rPr>
          <w:sz w:val="24"/>
        </w:rPr>
        <w:t>delay</w:t>
      </w:r>
      <w:r>
        <w:rPr>
          <w:spacing w:val="-3"/>
          <w:sz w:val="24"/>
        </w:rPr>
        <w:t> </w:t>
      </w:r>
      <w:r>
        <w:rPr>
          <w:sz w:val="24"/>
        </w:rPr>
        <w:t>the</w:t>
      </w:r>
      <w:r>
        <w:rPr>
          <w:spacing w:val="-2"/>
          <w:sz w:val="24"/>
        </w:rPr>
        <w:t> </w:t>
      </w:r>
      <w:r>
        <w:rPr>
          <w:sz w:val="24"/>
        </w:rPr>
        <w:t>hearing</w:t>
      </w:r>
      <w:r>
        <w:rPr>
          <w:spacing w:val="-1"/>
          <w:sz w:val="24"/>
        </w:rPr>
        <w:t> </w:t>
      </w:r>
      <w:r>
        <w:rPr>
          <w:sz w:val="24"/>
        </w:rPr>
        <w:t>or</w:t>
      </w:r>
      <w:r>
        <w:rPr>
          <w:spacing w:val="-2"/>
          <w:sz w:val="24"/>
        </w:rPr>
        <w:t> </w:t>
      </w:r>
      <w:r>
        <w:rPr>
          <w:sz w:val="24"/>
        </w:rPr>
        <w:t>any</w:t>
      </w:r>
      <w:r>
        <w:rPr>
          <w:spacing w:val="-2"/>
          <w:sz w:val="24"/>
        </w:rPr>
        <w:t> </w:t>
      </w:r>
      <w:r>
        <w:rPr>
          <w:sz w:val="24"/>
        </w:rPr>
        <w:t>other</w:t>
      </w:r>
      <w:r>
        <w:rPr>
          <w:spacing w:val="-1"/>
          <w:sz w:val="24"/>
        </w:rPr>
        <w:t> </w:t>
      </w:r>
      <w:r>
        <w:rPr>
          <w:sz w:val="24"/>
        </w:rPr>
        <w:t>right;</w:t>
      </w:r>
      <w:r>
        <w:rPr>
          <w:spacing w:val="-3"/>
          <w:sz w:val="24"/>
        </w:rPr>
        <w:t> </w:t>
      </w:r>
      <w:r>
        <w:rPr>
          <w:spacing w:val="-5"/>
          <w:sz w:val="24"/>
        </w:rPr>
        <w:t>and</w:t>
      </w:r>
    </w:p>
    <w:p>
      <w:pPr>
        <w:pStyle w:val="ListParagraph"/>
        <w:numPr>
          <w:ilvl w:val="1"/>
          <w:numId w:val="79"/>
        </w:numPr>
        <w:tabs>
          <w:tab w:pos="1217" w:val="left" w:leader="none"/>
        </w:tabs>
        <w:spacing w:line="240" w:lineRule="auto" w:before="204" w:after="0"/>
        <w:ind w:left="1217" w:right="0" w:hanging="425"/>
        <w:jc w:val="left"/>
        <w:rPr>
          <w:sz w:val="24"/>
        </w:rPr>
      </w:pPr>
      <w:r>
        <w:rPr>
          <w:sz w:val="24"/>
        </w:rPr>
        <w:t>Is</w:t>
      </w:r>
      <w:r>
        <w:rPr>
          <w:spacing w:val="-3"/>
          <w:sz w:val="24"/>
        </w:rPr>
        <w:t> </w:t>
      </w:r>
      <w:r>
        <w:rPr>
          <w:sz w:val="24"/>
        </w:rPr>
        <w:t>conducted</w:t>
      </w:r>
      <w:r>
        <w:rPr>
          <w:spacing w:val="-3"/>
          <w:sz w:val="24"/>
        </w:rPr>
        <w:t> </w:t>
      </w:r>
      <w:r>
        <w:rPr>
          <w:sz w:val="24"/>
        </w:rPr>
        <w:t>by</w:t>
      </w:r>
      <w:r>
        <w:rPr>
          <w:spacing w:val="-3"/>
          <w:sz w:val="24"/>
        </w:rPr>
        <w:t> </w:t>
      </w:r>
      <w:r>
        <w:rPr>
          <w:sz w:val="24"/>
        </w:rPr>
        <w:t>a</w:t>
      </w:r>
      <w:r>
        <w:rPr>
          <w:spacing w:val="-3"/>
          <w:sz w:val="24"/>
        </w:rPr>
        <w:t> </w:t>
      </w:r>
      <w:r>
        <w:rPr>
          <w:sz w:val="24"/>
        </w:rPr>
        <w:t>qualified</w:t>
      </w:r>
      <w:r>
        <w:rPr>
          <w:spacing w:val="-3"/>
          <w:sz w:val="24"/>
        </w:rPr>
        <w:t> </w:t>
      </w:r>
      <w:r>
        <w:rPr>
          <w:sz w:val="24"/>
        </w:rPr>
        <w:t>and</w:t>
      </w:r>
      <w:r>
        <w:rPr>
          <w:spacing w:val="-3"/>
          <w:sz w:val="24"/>
        </w:rPr>
        <w:t> </w:t>
      </w:r>
      <w:r>
        <w:rPr>
          <w:sz w:val="24"/>
        </w:rPr>
        <w:t>impartial</w:t>
      </w:r>
      <w:r>
        <w:rPr>
          <w:spacing w:val="-2"/>
          <w:sz w:val="24"/>
        </w:rPr>
        <w:t> mediator.</w:t>
      </w:r>
    </w:p>
    <w:p>
      <w:pPr>
        <w:pStyle w:val="ListParagraph"/>
        <w:numPr>
          <w:ilvl w:val="0"/>
          <w:numId w:val="79"/>
        </w:numPr>
        <w:tabs>
          <w:tab w:pos="719" w:val="left" w:leader="none"/>
        </w:tabs>
        <w:spacing w:line="208" w:lineRule="auto" w:before="233" w:after="0"/>
        <w:ind w:left="360" w:right="1167" w:firstLine="0"/>
        <w:jc w:val="left"/>
        <w:rPr>
          <w:sz w:val="24"/>
        </w:rPr>
      </w:pPr>
      <w:r>
        <w:rPr>
          <w:b/>
          <w:sz w:val="24"/>
        </w:rPr>
        <w:t>Fair</w:t>
      </w:r>
      <w:r>
        <w:rPr>
          <w:b/>
          <w:spacing w:val="-5"/>
          <w:sz w:val="24"/>
        </w:rPr>
        <w:t> </w:t>
      </w:r>
      <w:r>
        <w:rPr>
          <w:b/>
          <w:sz w:val="24"/>
        </w:rPr>
        <w:t>hearing</w:t>
      </w:r>
      <w:r>
        <w:rPr>
          <w:b/>
          <w:spacing w:val="-4"/>
          <w:sz w:val="24"/>
        </w:rPr>
        <w:t> </w:t>
      </w:r>
      <w:r>
        <w:rPr>
          <w:b/>
          <w:sz w:val="24"/>
        </w:rPr>
        <w:t>process.</w:t>
      </w:r>
      <w:r>
        <w:rPr>
          <w:b/>
          <w:spacing w:val="-4"/>
          <w:sz w:val="24"/>
        </w:rPr>
        <w:t> </w:t>
      </w:r>
      <w:r>
        <w:rPr>
          <w:sz w:val="24"/>
        </w:rPr>
        <w:t>The</w:t>
      </w:r>
      <w:r>
        <w:rPr>
          <w:spacing w:val="-4"/>
          <w:sz w:val="24"/>
        </w:rPr>
        <w:t> </w:t>
      </w:r>
      <w:r>
        <w:rPr>
          <w:sz w:val="24"/>
        </w:rPr>
        <w:t>fair</w:t>
      </w:r>
      <w:r>
        <w:rPr>
          <w:spacing w:val="-3"/>
          <w:sz w:val="24"/>
        </w:rPr>
        <w:t> </w:t>
      </w:r>
      <w:r>
        <w:rPr>
          <w:sz w:val="24"/>
        </w:rPr>
        <w:t>hearing</w:t>
      </w:r>
      <w:r>
        <w:rPr>
          <w:spacing w:val="-4"/>
          <w:sz w:val="24"/>
        </w:rPr>
        <w:t> </w:t>
      </w:r>
      <w:r>
        <w:rPr>
          <w:sz w:val="24"/>
        </w:rPr>
        <w:t>process</w:t>
      </w:r>
      <w:r>
        <w:rPr>
          <w:spacing w:val="-4"/>
          <w:sz w:val="24"/>
        </w:rPr>
        <w:t> </w:t>
      </w:r>
      <w:r>
        <w:rPr>
          <w:sz w:val="24"/>
        </w:rPr>
        <w:t>will</w:t>
      </w:r>
      <w:r>
        <w:rPr>
          <w:spacing w:val="-3"/>
          <w:sz w:val="24"/>
        </w:rPr>
        <w:t> </w:t>
      </w:r>
      <w:r>
        <w:rPr>
          <w:sz w:val="24"/>
        </w:rPr>
        <w:t>be</w:t>
      </w:r>
      <w:r>
        <w:rPr>
          <w:spacing w:val="-4"/>
          <w:sz w:val="24"/>
        </w:rPr>
        <w:t> </w:t>
      </w:r>
      <w:r>
        <w:rPr>
          <w:sz w:val="24"/>
        </w:rPr>
        <w:t>conducted</w:t>
      </w:r>
      <w:r>
        <w:rPr>
          <w:spacing w:val="-4"/>
          <w:sz w:val="24"/>
        </w:rPr>
        <w:t> </w:t>
      </w:r>
      <w:r>
        <w:rPr>
          <w:sz w:val="24"/>
        </w:rPr>
        <w:t>in</w:t>
      </w:r>
      <w:r>
        <w:rPr>
          <w:spacing w:val="-4"/>
          <w:sz w:val="24"/>
        </w:rPr>
        <w:t> </w:t>
      </w:r>
      <w:r>
        <w:rPr>
          <w:sz w:val="24"/>
        </w:rPr>
        <w:t>accordance with (1) through (10) of this Subsection.</w:t>
      </w:r>
    </w:p>
    <w:p>
      <w:pPr>
        <w:pStyle w:val="ListParagraph"/>
        <w:numPr>
          <w:ilvl w:val="1"/>
          <w:numId w:val="79"/>
        </w:numPr>
        <w:tabs>
          <w:tab w:pos="1218" w:val="left" w:leader="none"/>
        </w:tabs>
        <w:spacing w:line="208" w:lineRule="auto" w:before="240" w:after="0"/>
        <w:ind w:left="792" w:right="867" w:firstLine="0"/>
        <w:jc w:val="left"/>
        <w:rPr>
          <w:sz w:val="24"/>
        </w:rPr>
      </w:pPr>
      <w:r>
        <w:rPr>
          <w:b/>
          <w:sz w:val="24"/>
        </w:rPr>
        <w:t>Services under IPE to continue. </w:t>
      </w:r>
      <w:r>
        <w:rPr>
          <w:sz w:val="24"/>
        </w:rPr>
        <w:t>No services being provided under the IPE shall</w:t>
      </w:r>
      <w:r>
        <w:rPr>
          <w:spacing w:val="-4"/>
          <w:sz w:val="24"/>
        </w:rPr>
        <w:t> </w:t>
      </w:r>
      <w:r>
        <w:rPr>
          <w:sz w:val="24"/>
        </w:rPr>
        <w:t>be</w:t>
      </w:r>
      <w:r>
        <w:rPr>
          <w:spacing w:val="-4"/>
          <w:sz w:val="24"/>
        </w:rPr>
        <w:t> </w:t>
      </w:r>
      <w:r>
        <w:rPr>
          <w:sz w:val="24"/>
        </w:rPr>
        <w:t>stopped,</w:t>
      </w:r>
      <w:r>
        <w:rPr>
          <w:spacing w:val="-3"/>
          <w:sz w:val="24"/>
        </w:rPr>
        <w:t> </w:t>
      </w:r>
      <w:r>
        <w:rPr>
          <w:sz w:val="24"/>
        </w:rPr>
        <w:t>delayed,</w:t>
      </w:r>
      <w:r>
        <w:rPr>
          <w:spacing w:val="-3"/>
          <w:sz w:val="24"/>
        </w:rPr>
        <w:t> </w:t>
      </w:r>
      <w:r>
        <w:rPr>
          <w:sz w:val="24"/>
        </w:rPr>
        <w:t>or</w:t>
      </w:r>
      <w:r>
        <w:rPr>
          <w:spacing w:val="-3"/>
          <w:sz w:val="24"/>
        </w:rPr>
        <w:t> </w:t>
      </w:r>
      <w:r>
        <w:rPr>
          <w:sz w:val="24"/>
        </w:rPr>
        <w:t>reduced</w:t>
      </w:r>
      <w:r>
        <w:rPr>
          <w:spacing w:val="-4"/>
          <w:sz w:val="24"/>
        </w:rPr>
        <w:t> </w:t>
      </w:r>
      <w:r>
        <w:rPr>
          <w:sz w:val="24"/>
        </w:rPr>
        <w:t>by</w:t>
      </w:r>
      <w:r>
        <w:rPr>
          <w:spacing w:val="-4"/>
          <w:sz w:val="24"/>
        </w:rPr>
        <w:t> </w:t>
      </w:r>
      <w:r>
        <w:rPr>
          <w:sz w:val="24"/>
        </w:rPr>
        <w:t>the</w:t>
      </w:r>
      <w:r>
        <w:rPr>
          <w:spacing w:val="-4"/>
          <w:sz w:val="24"/>
        </w:rPr>
        <w:t> </w:t>
      </w:r>
      <w:r>
        <w:rPr>
          <w:sz w:val="24"/>
        </w:rPr>
        <w:t>Department</w:t>
      </w:r>
      <w:r>
        <w:rPr>
          <w:spacing w:val="-3"/>
          <w:sz w:val="24"/>
        </w:rPr>
        <w:t> </w:t>
      </w:r>
      <w:r>
        <w:rPr>
          <w:sz w:val="24"/>
        </w:rPr>
        <w:t>pending</w:t>
      </w:r>
      <w:r>
        <w:rPr>
          <w:spacing w:val="-4"/>
          <w:sz w:val="24"/>
        </w:rPr>
        <w:t> </w:t>
      </w:r>
      <w:r>
        <w:rPr>
          <w:sz w:val="24"/>
        </w:rPr>
        <w:t>a</w:t>
      </w:r>
      <w:r>
        <w:rPr>
          <w:spacing w:val="-4"/>
          <w:sz w:val="24"/>
        </w:rPr>
        <w:t> </w:t>
      </w:r>
      <w:r>
        <w:rPr>
          <w:sz w:val="24"/>
        </w:rPr>
        <w:t>final</w:t>
      </w:r>
      <w:r>
        <w:rPr>
          <w:spacing w:val="-4"/>
          <w:sz w:val="24"/>
        </w:rPr>
        <w:t> </w:t>
      </w:r>
      <w:r>
        <w:rPr>
          <w:sz w:val="24"/>
        </w:rPr>
        <w:t>resolution of a requested hearing unless so requested by the individual or individual's authorized representative; or the service was obtained through misrepresentation, fraud, collusion, or criminal conduct on the part of the individual with disabilities.</w:t>
      </w:r>
    </w:p>
    <w:p>
      <w:pPr>
        <w:pStyle w:val="ListParagraph"/>
        <w:numPr>
          <w:ilvl w:val="1"/>
          <w:numId w:val="79"/>
        </w:numPr>
        <w:tabs>
          <w:tab w:pos="1218" w:val="left" w:leader="none"/>
        </w:tabs>
        <w:spacing w:line="208" w:lineRule="auto" w:before="240" w:after="0"/>
        <w:ind w:left="792" w:right="948" w:firstLine="0"/>
        <w:jc w:val="left"/>
        <w:rPr>
          <w:b/>
          <w:sz w:val="24"/>
        </w:rPr>
      </w:pPr>
      <w:r>
        <w:rPr>
          <w:b/>
          <w:sz w:val="24"/>
        </w:rPr>
        <w:t>Request</w:t>
      </w:r>
      <w:r>
        <w:rPr>
          <w:b/>
          <w:spacing w:val="-3"/>
          <w:sz w:val="24"/>
        </w:rPr>
        <w:t> </w:t>
      </w:r>
      <w:r>
        <w:rPr>
          <w:b/>
          <w:sz w:val="24"/>
        </w:rPr>
        <w:t>for</w:t>
      </w:r>
      <w:r>
        <w:rPr>
          <w:b/>
          <w:spacing w:val="-4"/>
          <w:sz w:val="24"/>
        </w:rPr>
        <w:t> </w:t>
      </w:r>
      <w:r>
        <w:rPr>
          <w:b/>
          <w:sz w:val="24"/>
        </w:rPr>
        <w:t>a</w:t>
      </w:r>
      <w:r>
        <w:rPr>
          <w:b/>
          <w:spacing w:val="-5"/>
          <w:sz w:val="24"/>
        </w:rPr>
        <w:t> </w:t>
      </w:r>
      <w:r>
        <w:rPr>
          <w:b/>
          <w:sz w:val="24"/>
        </w:rPr>
        <w:t>fair</w:t>
      </w:r>
      <w:r>
        <w:rPr>
          <w:b/>
          <w:spacing w:val="-4"/>
          <w:sz w:val="24"/>
        </w:rPr>
        <w:t> </w:t>
      </w:r>
      <w:r>
        <w:rPr>
          <w:b/>
          <w:sz w:val="24"/>
        </w:rPr>
        <w:t>hearing.</w:t>
      </w:r>
      <w:r>
        <w:rPr>
          <w:b/>
          <w:spacing w:val="-5"/>
          <w:sz w:val="24"/>
        </w:rPr>
        <w:t> </w:t>
      </w:r>
      <w:r>
        <w:rPr>
          <w:sz w:val="24"/>
        </w:rPr>
        <w:t>The</w:t>
      </w:r>
      <w:r>
        <w:rPr>
          <w:spacing w:val="-4"/>
          <w:sz w:val="24"/>
        </w:rPr>
        <w:t> </w:t>
      </w:r>
      <w:r>
        <w:rPr>
          <w:sz w:val="24"/>
        </w:rPr>
        <w:t>individual</w:t>
      </w:r>
      <w:r>
        <w:rPr>
          <w:spacing w:val="-4"/>
          <w:sz w:val="24"/>
        </w:rPr>
        <w:t> </w:t>
      </w:r>
      <w:r>
        <w:rPr>
          <w:sz w:val="24"/>
        </w:rPr>
        <w:t>has</w:t>
      </w:r>
      <w:r>
        <w:rPr>
          <w:spacing w:val="-4"/>
          <w:sz w:val="24"/>
        </w:rPr>
        <w:t> </w:t>
      </w:r>
      <w:r>
        <w:rPr>
          <w:sz w:val="24"/>
        </w:rPr>
        <w:t>30</w:t>
      </w:r>
      <w:r>
        <w:rPr>
          <w:spacing w:val="-4"/>
          <w:sz w:val="24"/>
        </w:rPr>
        <w:t> </w:t>
      </w:r>
      <w:r>
        <w:rPr>
          <w:sz w:val="24"/>
        </w:rPr>
        <w:t>calendar</w:t>
      </w:r>
      <w:r>
        <w:rPr>
          <w:spacing w:val="-3"/>
          <w:sz w:val="24"/>
        </w:rPr>
        <w:t> </w:t>
      </w:r>
      <w:r>
        <w:rPr>
          <w:sz w:val="24"/>
        </w:rPr>
        <w:t>days</w:t>
      </w:r>
      <w:r>
        <w:rPr>
          <w:spacing w:val="-4"/>
          <w:sz w:val="24"/>
        </w:rPr>
        <w:t> </w:t>
      </w:r>
      <w:r>
        <w:rPr>
          <w:sz w:val="24"/>
        </w:rPr>
        <w:t>following</w:t>
      </w:r>
      <w:r>
        <w:rPr>
          <w:spacing w:val="-4"/>
          <w:sz w:val="24"/>
        </w:rPr>
        <w:t> </w:t>
      </w:r>
      <w:r>
        <w:rPr>
          <w:sz w:val="24"/>
        </w:rPr>
        <w:t>the date on the notice of the adverse decision to request a fair hearing. </w:t>
      </w:r>
      <w:r>
        <w:rPr>
          <w:b/>
          <w:sz w:val="24"/>
        </w:rPr>
        <w:t>1</w:t>
      </w:r>
    </w:p>
    <w:p>
      <w:pPr>
        <w:pStyle w:val="ListParagraph"/>
        <w:numPr>
          <w:ilvl w:val="2"/>
          <w:numId w:val="79"/>
        </w:numPr>
        <w:tabs>
          <w:tab w:pos="1677" w:val="left" w:leader="none"/>
        </w:tabs>
        <w:spacing w:line="208" w:lineRule="auto" w:before="240" w:after="0"/>
        <w:ind w:left="1224" w:right="770" w:firstLine="0"/>
        <w:jc w:val="left"/>
        <w:rPr>
          <w:sz w:val="24"/>
        </w:rPr>
      </w:pPr>
      <w:r>
        <w:rPr>
          <w:sz w:val="24"/>
        </w:rPr>
        <w:t>The individual requesting a fair hearing, may submit it to the local office, or may</w:t>
      </w:r>
      <w:r>
        <w:rPr>
          <w:spacing w:val="-3"/>
          <w:sz w:val="24"/>
        </w:rPr>
        <w:t> </w:t>
      </w:r>
      <w:r>
        <w:rPr>
          <w:sz w:val="24"/>
        </w:rPr>
        <w:t>send</w:t>
      </w:r>
      <w:r>
        <w:rPr>
          <w:spacing w:val="-3"/>
          <w:sz w:val="24"/>
        </w:rPr>
        <w:t> </w:t>
      </w:r>
      <w:r>
        <w:rPr>
          <w:sz w:val="24"/>
        </w:rPr>
        <w:t>it</w:t>
      </w:r>
      <w:r>
        <w:rPr>
          <w:spacing w:val="-2"/>
          <w:sz w:val="24"/>
        </w:rPr>
        <w:t> </w:t>
      </w:r>
      <w:r>
        <w:rPr>
          <w:sz w:val="24"/>
        </w:rPr>
        <w:t>directly</w:t>
      </w:r>
      <w:r>
        <w:rPr>
          <w:spacing w:val="-3"/>
          <w:sz w:val="24"/>
        </w:rPr>
        <w:t> </w:t>
      </w:r>
      <w:r>
        <w:rPr>
          <w:sz w:val="24"/>
        </w:rPr>
        <w:t>to</w:t>
      </w:r>
      <w:r>
        <w:rPr>
          <w:spacing w:val="-3"/>
          <w:sz w:val="24"/>
        </w:rPr>
        <w:t> </w:t>
      </w:r>
      <w:r>
        <w:rPr>
          <w:sz w:val="24"/>
        </w:rPr>
        <w:t>the</w:t>
      </w:r>
      <w:r>
        <w:rPr>
          <w:spacing w:val="-3"/>
          <w:sz w:val="24"/>
        </w:rPr>
        <w:t> </w:t>
      </w:r>
      <w:r>
        <w:rPr>
          <w:sz w:val="24"/>
        </w:rPr>
        <w:t>hearings</w:t>
      </w:r>
      <w:r>
        <w:rPr>
          <w:spacing w:val="-3"/>
          <w:sz w:val="24"/>
        </w:rPr>
        <w:t> </w:t>
      </w:r>
      <w:r>
        <w:rPr>
          <w:sz w:val="24"/>
        </w:rPr>
        <w:t>coordinator</w:t>
      </w:r>
      <w:r>
        <w:rPr>
          <w:spacing w:val="-2"/>
          <w:sz w:val="24"/>
        </w:rPr>
        <w:t> </w:t>
      </w:r>
      <w:r>
        <w:rPr>
          <w:sz w:val="24"/>
        </w:rPr>
        <w:t>in</w:t>
      </w:r>
      <w:r>
        <w:rPr>
          <w:spacing w:val="-3"/>
          <w:sz w:val="24"/>
        </w:rPr>
        <w:t> </w:t>
      </w:r>
      <w:r>
        <w:rPr>
          <w:sz w:val="24"/>
        </w:rPr>
        <w:t>State</w:t>
      </w:r>
      <w:r>
        <w:rPr>
          <w:spacing w:val="-4"/>
          <w:sz w:val="24"/>
        </w:rPr>
        <w:t> </w:t>
      </w:r>
      <w:r>
        <w:rPr>
          <w:sz w:val="24"/>
        </w:rPr>
        <w:t>Office.</w:t>
      </w:r>
      <w:r>
        <w:rPr>
          <w:spacing w:val="-4"/>
          <w:sz w:val="24"/>
        </w:rPr>
        <w:t> </w:t>
      </w:r>
      <w:r>
        <w:rPr>
          <w:sz w:val="24"/>
        </w:rPr>
        <w:t>DVR</w:t>
      </w:r>
      <w:r>
        <w:rPr>
          <w:spacing w:val="-3"/>
          <w:sz w:val="24"/>
        </w:rPr>
        <w:t> </w:t>
      </w:r>
      <w:r>
        <w:rPr>
          <w:sz w:val="24"/>
        </w:rPr>
        <w:t>and</w:t>
      </w:r>
      <w:r>
        <w:rPr>
          <w:spacing w:val="-3"/>
          <w:sz w:val="24"/>
        </w:rPr>
        <w:t> </w:t>
      </w:r>
      <w:r>
        <w:rPr>
          <w:sz w:val="24"/>
        </w:rPr>
        <w:t>DSBVI staff will assist the individual in completing this form and with preparation of evidence</w:t>
      </w:r>
      <w:r>
        <w:rPr>
          <w:spacing w:val="-3"/>
          <w:sz w:val="24"/>
        </w:rPr>
        <w:t> </w:t>
      </w:r>
      <w:r>
        <w:rPr>
          <w:sz w:val="24"/>
        </w:rPr>
        <w:t>from</w:t>
      </w:r>
      <w:r>
        <w:rPr>
          <w:spacing w:val="-2"/>
          <w:sz w:val="24"/>
        </w:rPr>
        <w:t> </w:t>
      </w:r>
      <w:r>
        <w:rPr>
          <w:sz w:val="24"/>
        </w:rPr>
        <w:t>the</w:t>
      </w:r>
      <w:r>
        <w:rPr>
          <w:spacing w:val="-3"/>
          <w:sz w:val="24"/>
        </w:rPr>
        <w:t> </w:t>
      </w:r>
      <w:r>
        <w:rPr>
          <w:sz w:val="24"/>
        </w:rPr>
        <w:t>case</w:t>
      </w:r>
      <w:r>
        <w:rPr>
          <w:spacing w:val="-3"/>
          <w:sz w:val="24"/>
        </w:rPr>
        <w:t> </w:t>
      </w:r>
      <w:r>
        <w:rPr>
          <w:sz w:val="24"/>
        </w:rPr>
        <w:t>record</w:t>
      </w:r>
      <w:r>
        <w:rPr>
          <w:spacing w:val="-3"/>
          <w:sz w:val="24"/>
        </w:rPr>
        <w:t> </w:t>
      </w:r>
      <w:r>
        <w:rPr>
          <w:sz w:val="24"/>
        </w:rPr>
        <w:t>in</w:t>
      </w:r>
      <w:r>
        <w:rPr>
          <w:spacing w:val="-4"/>
          <w:sz w:val="24"/>
        </w:rPr>
        <w:t> </w:t>
      </w:r>
      <w:r>
        <w:rPr>
          <w:sz w:val="24"/>
        </w:rPr>
        <w:t>conformance</w:t>
      </w:r>
      <w:r>
        <w:rPr>
          <w:spacing w:val="-3"/>
          <w:sz w:val="24"/>
        </w:rPr>
        <w:t> </w:t>
      </w:r>
      <w:r>
        <w:rPr>
          <w:sz w:val="24"/>
        </w:rPr>
        <w:t>with</w:t>
      </w:r>
      <w:r>
        <w:rPr>
          <w:spacing w:val="-3"/>
          <w:sz w:val="24"/>
        </w:rPr>
        <w:t> </w:t>
      </w:r>
      <w:r>
        <w:rPr>
          <w:sz w:val="24"/>
        </w:rPr>
        <w:t>612:10-1-5,</w:t>
      </w:r>
      <w:r>
        <w:rPr>
          <w:spacing w:val="-2"/>
          <w:sz w:val="24"/>
        </w:rPr>
        <w:t> </w:t>
      </w:r>
      <w:r>
        <w:rPr>
          <w:sz w:val="24"/>
        </w:rPr>
        <w:t>if</w:t>
      </w:r>
      <w:r>
        <w:rPr>
          <w:spacing w:val="-4"/>
          <w:sz w:val="24"/>
        </w:rPr>
        <w:t> </w:t>
      </w:r>
      <w:r>
        <w:rPr>
          <w:sz w:val="24"/>
        </w:rPr>
        <w:t>so</w:t>
      </w:r>
      <w:r>
        <w:rPr>
          <w:spacing w:val="-3"/>
          <w:sz w:val="24"/>
        </w:rPr>
        <w:t> </w:t>
      </w:r>
      <w:r>
        <w:rPr>
          <w:sz w:val="24"/>
        </w:rPr>
        <w:t>requested.</w:t>
      </w:r>
    </w:p>
    <w:p>
      <w:pPr>
        <w:pStyle w:val="ListParagraph"/>
        <w:numPr>
          <w:ilvl w:val="2"/>
          <w:numId w:val="79"/>
        </w:numPr>
        <w:tabs>
          <w:tab w:pos="1677" w:val="left" w:leader="none"/>
        </w:tabs>
        <w:spacing w:line="208" w:lineRule="auto" w:before="239" w:after="0"/>
        <w:ind w:left="1224" w:right="849" w:firstLine="0"/>
        <w:jc w:val="left"/>
        <w:rPr>
          <w:sz w:val="24"/>
        </w:rPr>
      </w:pPr>
      <w:r>
        <w:rPr>
          <w:sz w:val="24"/>
        </w:rPr>
        <w:t>DVR</w:t>
      </w:r>
      <w:r>
        <w:rPr>
          <w:spacing w:val="-4"/>
          <w:sz w:val="24"/>
        </w:rPr>
        <w:t> </w:t>
      </w:r>
      <w:r>
        <w:rPr>
          <w:sz w:val="24"/>
        </w:rPr>
        <w:t>and</w:t>
      </w:r>
      <w:r>
        <w:rPr>
          <w:spacing w:val="-4"/>
          <w:sz w:val="24"/>
        </w:rPr>
        <w:t> </w:t>
      </w:r>
      <w:r>
        <w:rPr>
          <w:sz w:val="24"/>
        </w:rPr>
        <w:t>DSBVI</w:t>
      </w:r>
      <w:r>
        <w:rPr>
          <w:spacing w:val="-3"/>
          <w:sz w:val="24"/>
        </w:rPr>
        <w:t> </w:t>
      </w:r>
      <w:r>
        <w:rPr>
          <w:sz w:val="24"/>
        </w:rPr>
        <w:t>staff</w:t>
      </w:r>
      <w:r>
        <w:rPr>
          <w:spacing w:val="-5"/>
          <w:sz w:val="24"/>
        </w:rPr>
        <w:t> </w:t>
      </w:r>
      <w:r>
        <w:rPr>
          <w:sz w:val="24"/>
        </w:rPr>
        <w:t>will</w:t>
      </w:r>
      <w:r>
        <w:rPr>
          <w:spacing w:val="-4"/>
          <w:sz w:val="24"/>
        </w:rPr>
        <w:t> </w:t>
      </w:r>
      <w:r>
        <w:rPr>
          <w:sz w:val="24"/>
        </w:rPr>
        <w:t>immediately</w:t>
      </w:r>
      <w:r>
        <w:rPr>
          <w:spacing w:val="-4"/>
          <w:sz w:val="24"/>
        </w:rPr>
        <w:t> </w:t>
      </w:r>
      <w:r>
        <w:rPr>
          <w:sz w:val="24"/>
        </w:rPr>
        <w:t>notify</w:t>
      </w:r>
      <w:r>
        <w:rPr>
          <w:spacing w:val="-4"/>
          <w:sz w:val="24"/>
        </w:rPr>
        <w:t> </w:t>
      </w:r>
      <w:r>
        <w:rPr>
          <w:sz w:val="24"/>
        </w:rPr>
        <w:t>their</w:t>
      </w:r>
      <w:r>
        <w:rPr>
          <w:spacing w:val="-3"/>
          <w:sz w:val="24"/>
        </w:rPr>
        <w:t> </w:t>
      </w:r>
      <w:r>
        <w:rPr>
          <w:sz w:val="24"/>
        </w:rPr>
        <w:t>supervisor</w:t>
      </w:r>
      <w:r>
        <w:rPr>
          <w:spacing w:val="-3"/>
          <w:sz w:val="24"/>
        </w:rPr>
        <w:t> </w:t>
      </w:r>
      <w:r>
        <w:rPr>
          <w:sz w:val="24"/>
        </w:rPr>
        <w:t>of</w:t>
      </w:r>
      <w:r>
        <w:rPr>
          <w:spacing w:val="-3"/>
          <w:sz w:val="24"/>
        </w:rPr>
        <w:t> </w:t>
      </w:r>
      <w:r>
        <w:rPr>
          <w:sz w:val="24"/>
        </w:rPr>
        <w:t>the</w:t>
      </w:r>
      <w:r>
        <w:rPr>
          <w:spacing w:val="-5"/>
          <w:sz w:val="24"/>
        </w:rPr>
        <w:t> </w:t>
      </w:r>
      <w:r>
        <w:rPr>
          <w:sz w:val="24"/>
        </w:rPr>
        <w:t>request for a fair hearing so that the administrative review can be started by the appropriate staff person. The completed Hearing Summary form, a copy of the</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1224" w:right="775"/>
      </w:pPr>
      <w:r>
        <w:rPr/>
        <w:t>notice of the adverse decision, and all supporting materials to be used in the hearing must be sent to the hearings coordinator as soon as possible. If a request</w:t>
      </w:r>
      <w:r>
        <w:rPr>
          <w:spacing w:val="-2"/>
        </w:rPr>
        <w:t> </w:t>
      </w:r>
      <w:r>
        <w:rPr/>
        <w:t>for</w:t>
      </w:r>
      <w:r>
        <w:rPr>
          <w:spacing w:val="-4"/>
        </w:rPr>
        <w:t> </w:t>
      </w:r>
      <w:r>
        <w:rPr/>
        <w:t>a</w:t>
      </w:r>
      <w:r>
        <w:rPr>
          <w:spacing w:val="-3"/>
        </w:rPr>
        <w:t> </w:t>
      </w:r>
      <w:r>
        <w:rPr/>
        <w:t>fair</w:t>
      </w:r>
      <w:r>
        <w:rPr>
          <w:spacing w:val="-2"/>
        </w:rPr>
        <w:t> </w:t>
      </w:r>
      <w:r>
        <w:rPr/>
        <w:t>hearing</w:t>
      </w:r>
      <w:r>
        <w:rPr>
          <w:spacing w:val="-3"/>
        </w:rPr>
        <w:t> </w:t>
      </w:r>
      <w:r>
        <w:rPr/>
        <w:t>is</w:t>
      </w:r>
      <w:r>
        <w:rPr>
          <w:spacing w:val="-3"/>
        </w:rPr>
        <w:t> </w:t>
      </w:r>
      <w:r>
        <w:rPr/>
        <w:t>submitted</w:t>
      </w:r>
      <w:r>
        <w:rPr>
          <w:spacing w:val="-3"/>
        </w:rPr>
        <w:t> </w:t>
      </w:r>
      <w:r>
        <w:rPr/>
        <w:t>to</w:t>
      </w:r>
      <w:r>
        <w:rPr>
          <w:spacing w:val="-4"/>
        </w:rPr>
        <w:t> </w:t>
      </w:r>
      <w:r>
        <w:rPr/>
        <w:t>the</w:t>
      </w:r>
      <w:r>
        <w:rPr>
          <w:spacing w:val="-3"/>
        </w:rPr>
        <w:t> </w:t>
      </w:r>
      <w:r>
        <w:rPr/>
        <w:t>local</w:t>
      </w:r>
      <w:r>
        <w:rPr>
          <w:spacing w:val="-3"/>
        </w:rPr>
        <w:t> </w:t>
      </w:r>
      <w:r>
        <w:rPr/>
        <w:t>office,</w:t>
      </w:r>
      <w:r>
        <w:rPr>
          <w:spacing w:val="-2"/>
        </w:rPr>
        <w:t> </w:t>
      </w:r>
      <w:r>
        <w:rPr/>
        <w:t>staff</w:t>
      </w:r>
      <w:r>
        <w:rPr>
          <w:spacing w:val="-4"/>
        </w:rPr>
        <w:t> </w:t>
      </w:r>
      <w:r>
        <w:rPr/>
        <w:t>will</w:t>
      </w:r>
      <w:r>
        <w:rPr>
          <w:spacing w:val="-3"/>
        </w:rPr>
        <w:t> </w:t>
      </w:r>
      <w:r>
        <w:rPr/>
        <w:t>immediately forward it with the other materials.</w:t>
      </w:r>
    </w:p>
    <w:p>
      <w:pPr>
        <w:pStyle w:val="ListParagraph"/>
        <w:numPr>
          <w:ilvl w:val="2"/>
          <w:numId w:val="79"/>
        </w:numPr>
        <w:tabs>
          <w:tab w:pos="1689" w:val="left" w:leader="none"/>
        </w:tabs>
        <w:spacing w:line="208" w:lineRule="auto" w:before="239" w:after="0"/>
        <w:ind w:left="1223" w:right="861" w:firstLine="0"/>
        <w:jc w:val="left"/>
        <w:rPr>
          <w:sz w:val="24"/>
        </w:rPr>
      </w:pPr>
      <w:r>
        <w:rPr>
          <w:sz w:val="24"/>
        </w:rPr>
        <w:t>Prior</w:t>
      </w:r>
      <w:r>
        <w:rPr>
          <w:spacing w:val="-5"/>
          <w:sz w:val="24"/>
        </w:rPr>
        <w:t> </w:t>
      </w:r>
      <w:r>
        <w:rPr>
          <w:sz w:val="24"/>
        </w:rPr>
        <w:t>to</w:t>
      </w:r>
      <w:r>
        <w:rPr>
          <w:spacing w:val="-4"/>
          <w:sz w:val="24"/>
        </w:rPr>
        <w:t> </w:t>
      </w:r>
      <w:r>
        <w:rPr>
          <w:sz w:val="24"/>
        </w:rPr>
        <w:t>the</w:t>
      </w:r>
      <w:r>
        <w:rPr>
          <w:spacing w:val="-4"/>
          <w:sz w:val="24"/>
        </w:rPr>
        <w:t> </w:t>
      </w:r>
      <w:r>
        <w:rPr>
          <w:sz w:val="24"/>
        </w:rPr>
        <w:t>actual</w:t>
      </w:r>
      <w:r>
        <w:rPr>
          <w:spacing w:val="-4"/>
          <w:sz w:val="24"/>
        </w:rPr>
        <w:t> </w:t>
      </w:r>
      <w:r>
        <w:rPr>
          <w:sz w:val="24"/>
        </w:rPr>
        <w:t>fair</w:t>
      </w:r>
      <w:r>
        <w:rPr>
          <w:spacing w:val="-3"/>
          <w:sz w:val="24"/>
        </w:rPr>
        <w:t> </w:t>
      </w:r>
      <w:r>
        <w:rPr>
          <w:sz w:val="24"/>
        </w:rPr>
        <w:t>hearing,</w:t>
      </w:r>
      <w:r>
        <w:rPr>
          <w:spacing w:val="-3"/>
          <w:sz w:val="24"/>
        </w:rPr>
        <w:t> </w:t>
      </w:r>
      <w:r>
        <w:rPr>
          <w:sz w:val="24"/>
        </w:rPr>
        <w:t>the</w:t>
      </w:r>
      <w:r>
        <w:rPr>
          <w:spacing w:val="-4"/>
          <w:sz w:val="24"/>
        </w:rPr>
        <w:t> </w:t>
      </w:r>
      <w:r>
        <w:rPr>
          <w:sz w:val="24"/>
        </w:rPr>
        <w:t>hearings</w:t>
      </w:r>
      <w:r>
        <w:rPr>
          <w:spacing w:val="-4"/>
          <w:sz w:val="24"/>
        </w:rPr>
        <w:t> </w:t>
      </w:r>
      <w:r>
        <w:rPr>
          <w:sz w:val="24"/>
        </w:rPr>
        <w:t>coordinator</w:t>
      </w:r>
      <w:r>
        <w:rPr>
          <w:spacing w:val="-3"/>
          <w:sz w:val="24"/>
        </w:rPr>
        <w:t> </w:t>
      </w:r>
      <w:r>
        <w:rPr>
          <w:sz w:val="24"/>
        </w:rPr>
        <w:t>will</w:t>
      </w:r>
      <w:r>
        <w:rPr>
          <w:spacing w:val="-4"/>
          <w:sz w:val="24"/>
        </w:rPr>
        <w:t> </w:t>
      </w:r>
      <w:r>
        <w:rPr>
          <w:sz w:val="24"/>
        </w:rPr>
        <w:t>provide</w:t>
      </w:r>
      <w:r>
        <w:rPr>
          <w:spacing w:val="-4"/>
          <w:sz w:val="24"/>
        </w:rPr>
        <w:t> </w:t>
      </w:r>
      <w:r>
        <w:rPr>
          <w:sz w:val="24"/>
        </w:rPr>
        <w:t>copies of materials the agency will use in the fair hearing to the individual and/or the individual's representative in conformance with 612:10-1-5.</w:t>
      </w:r>
    </w:p>
    <w:p>
      <w:pPr>
        <w:pStyle w:val="ListParagraph"/>
        <w:numPr>
          <w:ilvl w:val="1"/>
          <w:numId w:val="79"/>
        </w:numPr>
        <w:tabs>
          <w:tab w:pos="1217" w:val="left" w:leader="none"/>
        </w:tabs>
        <w:spacing w:line="208" w:lineRule="auto" w:before="240" w:after="0"/>
        <w:ind w:left="792" w:right="796" w:firstLine="0"/>
        <w:jc w:val="left"/>
        <w:rPr>
          <w:sz w:val="24"/>
        </w:rPr>
      </w:pPr>
      <w:r>
        <w:rPr>
          <w:b/>
          <w:sz w:val="24"/>
        </w:rPr>
        <w:t>Withdrawal of request for a fair hearing. </w:t>
      </w:r>
      <w:r>
        <w:rPr>
          <w:sz w:val="24"/>
        </w:rPr>
        <w:t>The individual, or the individual's representative, may submit a withdrawal of request for hearing any time following the submission of a request for a fair hearing up to the time the hearing is actually held. If the issue is resolved prior to the fair hearing, the individual, or the individual's</w:t>
      </w:r>
      <w:r>
        <w:rPr>
          <w:spacing w:val="-3"/>
          <w:sz w:val="24"/>
        </w:rPr>
        <w:t> </w:t>
      </w:r>
      <w:r>
        <w:rPr>
          <w:sz w:val="24"/>
        </w:rPr>
        <w:t>representative,</w:t>
      </w:r>
      <w:r>
        <w:rPr>
          <w:spacing w:val="-3"/>
          <w:sz w:val="24"/>
        </w:rPr>
        <w:t> </w:t>
      </w:r>
      <w:r>
        <w:rPr>
          <w:sz w:val="24"/>
        </w:rPr>
        <w:t>must</w:t>
      </w:r>
      <w:r>
        <w:rPr>
          <w:spacing w:val="-5"/>
          <w:sz w:val="24"/>
        </w:rPr>
        <w:t> </w:t>
      </w:r>
      <w:r>
        <w:rPr>
          <w:sz w:val="24"/>
        </w:rPr>
        <w:t>submit</w:t>
      </w:r>
      <w:r>
        <w:rPr>
          <w:spacing w:val="-3"/>
          <w:sz w:val="24"/>
        </w:rPr>
        <w:t> </w:t>
      </w:r>
      <w:r>
        <w:rPr>
          <w:sz w:val="24"/>
        </w:rPr>
        <w:t>a</w:t>
      </w:r>
      <w:r>
        <w:rPr>
          <w:spacing w:val="-4"/>
          <w:sz w:val="24"/>
        </w:rPr>
        <w:t> </w:t>
      </w:r>
      <w:r>
        <w:rPr>
          <w:sz w:val="24"/>
        </w:rPr>
        <w:t>Withdrawal</w:t>
      </w:r>
      <w:r>
        <w:rPr>
          <w:spacing w:val="-4"/>
          <w:sz w:val="24"/>
        </w:rPr>
        <w:t> </w:t>
      </w:r>
      <w:r>
        <w:rPr>
          <w:sz w:val="24"/>
        </w:rPr>
        <w:t>of</w:t>
      </w:r>
      <w:r>
        <w:rPr>
          <w:spacing w:val="-3"/>
          <w:sz w:val="24"/>
        </w:rPr>
        <w:t> </w:t>
      </w:r>
      <w:r>
        <w:rPr>
          <w:sz w:val="24"/>
        </w:rPr>
        <w:t>Request</w:t>
      </w:r>
      <w:r>
        <w:rPr>
          <w:spacing w:val="-3"/>
          <w:sz w:val="24"/>
        </w:rPr>
        <w:t> </w:t>
      </w:r>
      <w:r>
        <w:rPr>
          <w:sz w:val="24"/>
        </w:rPr>
        <w:t>for</w:t>
      </w:r>
      <w:r>
        <w:rPr>
          <w:spacing w:val="-3"/>
          <w:sz w:val="24"/>
        </w:rPr>
        <w:t> </w:t>
      </w:r>
      <w:r>
        <w:rPr>
          <w:sz w:val="24"/>
        </w:rPr>
        <w:t>Hearing</w:t>
      </w:r>
      <w:r>
        <w:rPr>
          <w:spacing w:val="-4"/>
          <w:sz w:val="24"/>
        </w:rPr>
        <w:t> </w:t>
      </w:r>
      <w:r>
        <w:rPr>
          <w:sz w:val="24"/>
        </w:rPr>
        <w:t>to</w:t>
      </w:r>
      <w:r>
        <w:rPr>
          <w:spacing w:val="-4"/>
          <w:sz w:val="24"/>
        </w:rPr>
        <w:t> </w:t>
      </w:r>
      <w:r>
        <w:rPr>
          <w:sz w:val="24"/>
        </w:rPr>
        <w:t>end the fair hearing process.</w:t>
      </w:r>
    </w:p>
    <w:p>
      <w:pPr>
        <w:pStyle w:val="ListParagraph"/>
        <w:numPr>
          <w:ilvl w:val="1"/>
          <w:numId w:val="79"/>
        </w:numPr>
        <w:tabs>
          <w:tab w:pos="1218" w:val="left" w:leader="none"/>
        </w:tabs>
        <w:spacing w:line="208" w:lineRule="auto" w:before="240" w:after="0"/>
        <w:ind w:left="792" w:right="799" w:firstLine="0"/>
        <w:jc w:val="left"/>
        <w:rPr>
          <w:sz w:val="24"/>
        </w:rPr>
      </w:pPr>
      <w:r>
        <w:rPr>
          <w:b/>
          <w:sz w:val="24"/>
        </w:rPr>
        <w:t>Selection</w:t>
      </w:r>
      <w:r>
        <w:rPr>
          <w:b/>
          <w:spacing w:val="-1"/>
          <w:sz w:val="24"/>
        </w:rPr>
        <w:t> </w:t>
      </w:r>
      <w:r>
        <w:rPr>
          <w:b/>
          <w:sz w:val="24"/>
        </w:rPr>
        <w:t>of impartial</w:t>
      </w:r>
      <w:r>
        <w:rPr>
          <w:b/>
          <w:spacing w:val="-2"/>
          <w:sz w:val="24"/>
        </w:rPr>
        <w:t> </w:t>
      </w:r>
      <w:r>
        <w:rPr>
          <w:b/>
          <w:sz w:val="24"/>
        </w:rPr>
        <w:t>hearing</w:t>
      </w:r>
      <w:r>
        <w:rPr>
          <w:b/>
          <w:spacing w:val="-1"/>
          <w:sz w:val="24"/>
        </w:rPr>
        <w:t> </w:t>
      </w:r>
      <w:r>
        <w:rPr>
          <w:b/>
          <w:sz w:val="24"/>
        </w:rPr>
        <w:t>officer. </w:t>
      </w:r>
      <w:r>
        <w:rPr>
          <w:sz w:val="24"/>
        </w:rPr>
        <w:t>The</w:t>
      </w:r>
      <w:r>
        <w:rPr>
          <w:spacing w:val="-1"/>
          <w:sz w:val="24"/>
        </w:rPr>
        <w:t> </w:t>
      </w:r>
      <w:r>
        <w:rPr>
          <w:sz w:val="24"/>
        </w:rPr>
        <w:t>hearings</w:t>
      </w:r>
      <w:r>
        <w:rPr>
          <w:spacing w:val="-1"/>
          <w:sz w:val="24"/>
        </w:rPr>
        <w:t> </w:t>
      </w:r>
      <w:r>
        <w:rPr>
          <w:sz w:val="24"/>
        </w:rPr>
        <w:t>coordinator will</w:t>
      </w:r>
      <w:r>
        <w:rPr>
          <w:spacing w:val="-1"/>
          <w:sz w:val="24"/>
        </w:rPr>
        <w:t> </w:t>
      </w:r>
      <w:r>
        <w:rPr>
          <w:sz w:val="24"/>
        </w:rPr>
        <w:t>select an impartial hearing officer from a list of qualified impartial hearing officers maintained and identified by the State unit. Once selected, the impartial hearing officer will assume responsibility for arranging and conducting the fair hearing with the assistance of agency staff as necessary. The hearings coordinator will be apprised of</w:t>
      </w:r>
      <w:r>
        <w:rPr>
          <w:spacing w:val="-3"/>
          <w:sz w:val="24"/>
        </w:rPr>
        <w:t> </w:t>
      </w:r>
      <w:r>
        <w:rPr>
          <w:sz w:val="24"/>
        </w:rPr>
        <w:t>events</w:t>
      </w:r>
      <w:r>
        <w:rPr>
          <w:spacing w:val="-4"/>
          <w:sz w:val="24"/>
        </w:rPr>
        <w:t> </w:t>
      </w:r>
      <w:r>
        <w:rPr>
          <w:sz w:val="24"/>
        </w:rPr>
        <w:t>in</w:t>
      </w:r>
      <w:r>
        <w:rPr>
          <w:spacing w:val="-4"/>
          <w:sz w:val="24"/>
        </w:rPr>
        <w:t> </w:t>
      </w:r>
      <w:r>
        <w:rPr>
          <w:sz w:val="24"/>
        </w:rPr>
        <w:t>the</w:t>
      </w:r>
      <w:r>
        <w:rPr>
          <w:spacing w:val="-4"/>
          <w:sz w:val="24"/>
        </w:rPr>
        <w:t> </w:t>
      </w:r>
      <w:r>
        <w:rPr>
          <w:sz w:val="24"/>
        </w:rPr>
        <w:t>hearing</w:t>
      </w:r>
      <w:r>
        <w:rPr>
          <w:spacing w:val="-4"/>
          <w:sz w:val="24"/>
        </w:rPr>
        <w:t> </w:t>
      </w:r>
      <w:r>
        <w:rPr>
          <w:sz w:val="24"/>
        </w:rPr>
        <w:t>process,</w:t>
      </w:r>
      <w:r>
        <w:rPr>
          <w:spacing w:val="-4"/>
          <w:sz w:val="24"/>
        </w:rPr>
        <w:t> </w:t>
      </w:r>
      <w:r>
        <w:rPr>
          <w:sz w:val="24"/>
        </w:rPr>
        <w:t>and</w:t>
      </w:r>
      <w:r>
        <w:rPr>
          <w:spacing w:val="-4"/>
          <w:sz w:val="24"/>
        </w:rPr>
        <w:t> </w:t>
      </w:r>
      <w:r>
        <w:rPr>
          <w:sz w:val="24"/>
        </w:rPr>
        <w:t>will</w:t>
      </w:r>
      <w:r>
        <w:rPr>
          <w:spacing w:val="-4"/>
          <w:sz w:val="24"/>
        </w:rPr>
        <w:t> </w:t>
      </w:r>
      <w:r>
        <w:rPr>
          <w:sz w:val="24"/>
        </w:rPr>
        <w:t>be</w:t>
      </w:r>
      <w:r>
        <w:rPr>
          <w:spacing w:val="-3"/>
          <w:sz w:val="24"/>
        </w:rPr>
        <w:t> </w:t>
      </w:r>
      <w:r>
        <w:rPr>
          <w:sz w:val="24"/>
        </w:rPr>
        <w:t>provided</w:t>
      </w:r>
      <w:r>
        <w:rPr>
          <w:spacing w:val="-4"/>
          <w:sz w:val="24"/>
        </w:rPr>
        <w:t> </w:t>
      </w:r>
      <w:r>
        <w:rPr>
          <w:sz w:val="24"/>
        </w:rPr>
        <w:t>copies</w:t>
      </w:r>
      <w:r>
        <w:rPr>
          <w:spacing w:val="-4"/>
          <w:sz w:val="24"/>
        </w:rPr>
        <w:t> </w:t>
      </w:r>
      <w:r>
        <w:rPr>
          <w:sz w:val="24"/>
        </w:rPr>
        <w:t>of</w:t>
      </w:r>
      <w:r>
        <w:rPr>
          <w:spacing w:val="-3"/>
          <w:sz w:val="24"/>
        </w:rPr>
        <w:t> </w:t>
      </w:r>
      <w:r>
        <w:rPr>
          <w:sz w:val="24"/>
        </w:rPr>
        <w:t>all</w:t>
      </w:r>
      <w:r>
        <w:rPr>
          <w:spacing w:val="-3"/>
          <w:sz w:val="24"/>
        </w:rPr>
        <w:t> </w:t>
      </w:r>
      <w:r>
        <w:rPr>
          <w:sz w:val="24"/>
        </w:rPr>
        <w:t>correspondence.</w:t>
      </w:r>
    </w:p>
    <w:p>
      <w:pPr>
        <w:pStyle w:val="ListParagraph"/>
        <w:numPr>
          <w:ilvl w:val="2"/>
          <w:numId w:val="79"/>
        </w:numPr>
        <w:tabs>
          <w:tab w:pos="1677" w:val="left" w:leader="none"/>
        </w:tabs>
        <w:spacing w:line="208" w:lineRule="auto" w:before="239" w:after="0"/>
        <w:ind w:left="1224" w:right="810" w:firstLine="0"/>
        <w:jc w:val="left"/>
        <w:rPr>
          <w:sz w:val="24"/>
        </w:rPr>
      </w:pPr>
      <w:r>
        <w:rPr>
          <w:sz w:val="24"/>
        </w:rPr>
        <w:t>Selections</w:t>
      </w:r>
      <w:r>
        <w:rPr>
          <w:spacing w:val="-4"/>
          <w:sz w:val="24"/>
        </w:rPr>
        <w:t> </w:t>
      </w:r>
      <w:r>
        <w:rPr>
          <w:sz w:val="24"/>
        </w:rPr>
        <w:t>will</w:t>
      </w:r>
      <w:r>
        <w:rPr>
          <w:spacing w:val="-4"/>
          <w:sz w:val="24"/>
        </w:rPr>
        <w:t> </w:t>
      </w:r>
      <w:r>
        <w:rPr>
          <w:sz w:val="24"/>
        </w:rPr>
        <w:t>be</w:t>
      </w:r>
      <w:r>
        <w:rPr>
          <w:spacing w:val="-4"/>
          <w:sz w:val="24"/>
        </w:rPr>
        <w:t> </w:t>
      </w:r>
      <w:r>
        <w:rPr>
          <w:sz w:val="24"/>
        </w:rPr>
        <w:t>made</w:t>
      </w:r>
      <w:r>
        <w:rPr>
          <w:spacing w:val="-4"/>
          <w:sz w:val="24"/>
        </w:rPr>
        <w:t> </w:t>
      </w:r>
      <w:r>
        <w:rPr>
          <w:sz w:val="24"/>
        </w:rPr>
        <w:t>randomly;</w:t>
      </w:r>
      <w:r>
        <w:rPr>
          <w:spacing w:val="-3"/>
          <w:sz w:val="24"/>
        </w:rPr>
        <w:t> </w:t>
      </w:r>
      <w:r>
        <w:rPr>
          <w:sz w:val="24"/>
        </w:rPr>
        <w:t>or</w:t>
      </w:r>
      <w:r>
        <w:rPr>
          <w:spacing w:val="-3"/>
          <w:sz w:val="24"/>
        </w:rPr>
        <w:t> </w:t>
      </w:r>
      <w:r>
        <w:rPr>
          <w:sz w:val="24"/>
        </w:rPr>
        <w:t>by</w:t>
      </w:r>
      <w:r>
        <w:rPr>
          <w:spacing w:val="-5"/>
          <w:sz w:val="24"/>
        </w:rPr>
        <w:t> </w:t>
      </w:r>
      <w:r>
        <w:rPr>
          <w:sz w:val="24"/>
        </w:rPr>
        <w:t>agreement</w:t>
      </w:r>
      <w:r>
        <w:rPr>
          <w:spacing w:val="-3"/>
          <w:sz w:val="24"/>
        </w:rPr>
        <w:t> </w:t>
      </w:r>
      <w:r>
        <w:rPr>
          <w:sz w:val="24"/>
        </w:rPr>
        <w:t>between</w:t>
      </w:r>
      <w:r>
        <w:rPr>
          <w:spacing w:val="-4"/>
          <w:sz w:val="24"/>
        </w:rPr>
        <w:t> </w:t>
      </w:r>
      <w:r>
        <w:rPr>
          <w:sz w:val="24"/>
        </w:rPr>
        <w:t>the</w:t>
      </w:r>
      <w:r>
        <w:rPr>
          <w:spacing w:val="-4"/>
          <w:sz w:val="24"/>
        </w:rPr>
        <w:t> </w:t>
      </w:r>
      <w:r>
        <w:rPr>
          <w:sz w:val="24"/>
        </w:rPr>
        <w:t>director</w:t>
      </w:r>
      <w:r>
        <w:rPr>
          <w:spacing w:val="-5"/>
          <w:sz w:val="24"/>
        </w:rPr>
        <w:t> </w:t>
      </w:r>
      <w:r>
        <w:rPr>
          <w:sz w:val="24"/>
        </w:rPr>
        <w:t>of the designated State unit and the applicant or eligible individual or, as appropriate, the individual's representative; from the list of available impartial hearing officers. The hearings coordinator will forward all relevant materials to the assigned impartial hearing officer.</w:t>
      </w:r>
    </w:p>
    <w:p>
      <w:pPr>
        <w:pStyle w:val="ListParagraph"/>
        <w:numPr>
          <w:ilvl w:val="2"/>
          <w:numId w:val="79"/>
        </w:numPr>
        <w:tabs>
          <w:tab w:pos="1677" w:val="left" w:leader="none"/>
        </w:tabs>
        <w:spacing w:line="208" w:lineRule="auto" w:before="239" w:after="0"/>
        <w:ind w:left="1224" w:right="808" w:firstLine="0"/>
        <w:jc w:val="left"/>
        <w:rPr>
          <w:sz w:val="24"/>
        </w:rPr>
      </w:pPr>
      <w:r>
        <w:rPr>
          <w:sz w:val="24"/>
        </w:rPr>
        <w:t>The</w:t>
      </w:r>
      <w:r>
        <w:rPr>
          <w:spacing w:val="-3"/>
          <w:sz w:val="24"/>
        </w:rPr>
        <w:t> </w:t>
      </w:r>
      <w:r>
        <w:rPr>
          <w:sz w:val="24"/>
        </w:rPr>
        <w:t>impartial</w:t>
      </w:r>
      <w:r>
        <w:rPr>
          <w:spacing w:val="-3"/>
          <w:sz w:val="24"/>
        </w:rPr>
        <w:t> </w:t>
      </w:r>
      <w:r>
        <w:rPr>
          <w:sz w:val="24"/>
        </w:rPr>
        <w:t>hearing</w:t>
      </w:r>
      <w:r>
        <w:rPr>
          <w:spacing w:val="-3"/>
          <w:sz w:val="24"/>
        </w:rPr>
        <w:t> </w:t>
      </w:r>
      <w:r>
        <w:rPr>
          <w:sz w:val="24"/>
        </w:rPr>
        <w:t>officer</w:t>
      </w:r>
      <w:r>
        <w:rPr>
          <w:spacing w:val="-2"/>
          <w:sz w:val="24"/>
        </w:rPr>
        <w:t> </w:t>
      </w:r>
      <w:r>
        <w:rPr>
          <w:sz w:val="24"/>
        </w:rPr>
        <w:t>will</w:t>
      </w:r>
      <w:r>
        <w:rPr>
          <w:spacing w:val="-3"/>
          <w:sz w:val="24"/>
        </w:rPr>
        <w:t> </w:t>
      </w:r>
      <w:r>
        <w:rPr>
          <w:sz w:val="24"/>
        </w:rPr>
        <w:t>send</w:t>
      </w:r>
      <w:r>
        <w:rPr>
          <w:spacing w:val="-3"/>
          <w:sz w:val="24"/>
        </w:rPr>
        <w:t> </w:t>
      </w:r>
      <w:r>
        <w:rPr>
          <w:sz w:val="24"/>
        </w:rPr>
        <w:t>written</w:t>
      </w:r>
      <w:r>
        <w:rPr>
          <w:spacing w:val="-3"/>
          <w:sz w:val="24"/>
        </w:rPr>
        <w:t> </w:t>
      </w:r>
      <w:r>
        <w:rPr>
          <w:sz w:val="24"/>
        </w:rPr>
        <w:t>notice</w:t>
      </w:r>
      <w:r>
        <w:rPr>
          <w:spacing w:val="-3"/>
          <w:sz w:val="24"/>
        </w:rPr>
        <w:t> </w:t>
      </w:r>
      <w:r>
        <w:rPr>
          <w:sz w:val="24"/>
        </w:rPr>
        <w:t>of</w:t>
      </w:r>
      <w:r>
        <w:rPr>
          <w:spacing w:val="-2"/>
          <w:sz w:val="24"/>
        </w:rPr>
        <w:t> </w:t>
      </w:r>
      <w:r>
        <w:rPr>
          <w:sz w:val="24"/>
        </w:rPr>
        <w:t>the</w:t>
      </w:r>
      <w:r>
        <w:rPr>
          <w:spacing w:val="-4"/>
          <w:sz w:val="24"/>
        </w:rPr>
        <w:t> </w:t>
      </w:r>
      <w:r>
        <w:rPr>
          <w:sz w:val="24"/>
        </w:rPr>
        <w:t>fair</w:t>
      </w:r>
      <w:r>
        <w:rPr>
          <w:spacing w:val="-2"/>
          <w:sz w:val="24"/>
        </w:rPr>
        <w:t> </w:t>
      </w:r>
      <w:r>
        <w:rPr>
          <w:sz w:val="24"/>
        </w:rPr>
        <w:t>hearing</w:t>
      </w:r>
      <w:r>
        <w:rPr>
          <w:spacing w:val="-3"/>
          <w:sz w:val="24"/>
        </w:rPr>
        <w:t> </w:t>
      </w:r>
      <w:r>
        <w:rPr>
          <w:sz w:val="24"/>
        </w:rPr>
        <w:t>to</w:t>
      </w:r>
      <w:r>
        <w:rPr>
          <w:spacing w:val="-3"/>
          <w:sz w:val="24"/>
        </w:rPr>
        <w:t> </w:t>
      </w:r>
      <w:r>
        <w:rPr>
          <w:sz w:val="24"/>
        </w:rPr>
        <w:t>all parties involved. The written notice of the fair hearing will include the name, address, and a brief vita of the impartial hearing officer.</w:t>
      </w:r>
    </w:p>
    <w:p>
      <w:pPr>
        <w:pStyle w:val="ListParagraph"/>
        <w:numPr>
          <w:ilvl w:val="2"/>
          <w:numId w:val="79"/>
        </w:numPr>
        <w:tabs>
          <w:tab w:pos="1690" w:val="left" w:leader="none"/>
        </w:tabs>
        <w:spacing w:line="208" w:lineRule="auto" w:before="240" w:after="0"/>
        <w:ind w:left="1224" w:right="863" w:firstLine="0"/>
        <w:jc w:val="left"/>
        <w:rPr>
          <w:sz w:val="24"/>
        </w:rPr>
      </w:pPr>
      <w:r>
        <w:rPr>
          <w:sz w:val="24"/>
        </w:rPr>
        <w:t>The</w:t>
      </w:r>
      <w:r>
        <w:rPr>
          <w:spacing w:val="-4"/>
          <w:sz w:val="24"/>
        </w:rPr>
        <w:t> </w:t>
      </w:r>
      <w:r>
        <w:rPr>
          <w:sz w:val="24"/>
        </w:rPr>
        <w:t>individual</w:t>
      </w:r>
      <w:r>
        <w:rPr>
          <w:spacing w:val="-4"/>
          <w:sz w:val="24"/>
        </w:rPr>
        <w:t> </w:t>
      </w:r>
      <w:r>
        <w:rPr>
          <w:sz w:val="24"/>
        </w:rPr>
        <w:t>may</w:t>
      </w:r>
      <w:r>
        <w:rPr>
          <w:spacing w:val="-4"/>
          <w:sz w:val="24"/>
        </w:rPr>
        <w:t> </w:t>
      </w:r>
      <w:r>
        <w:rPr>
          <w:sz w:val="24"/>
        </w:rPr>
        <w:t>request</w:t>
      </w:r>
      <w:r>
        <w:rPr>
          <w:spacing w:val="-4"/>
          <w:sz w:val="24"/>
        </w:rPr>
        <w:t> </w:t>
      </w:r>
      <w:r>
        <w:rPr>
          <w:sz w:val="24"/>
        </w:rPr>
        <w:t>a</w:t>
      </w:r>
      <w:r>
        <w:rPr>
          <w:spacing w:val="-5"/>
          <w:sz w:val="24"/>
        </w:rPr>
        <w:t> </w:t>
      </w:r>
      <w:r>
        <w:rPr>
          <w:sz w:val="24"/>
        </w:rPr>
        <w:t>different</w:t>
      </w:r>
      <w:r>
        <w:rPr>
          <w:spacing w:val="-4"/>
          <w:sz w:val="24"/>
        </w:rPr>
        <w:t> </w:t>
      </w:r>
      <w:r>
        <w:rPr>
          <w:sz w:val="24"/>
        </w:rPr>
        <w:t>impartial</w:t>
      </w:r>
      <w:r>
        <w:rPr>
          <w:spacing w:val="-4"/>
          <w:sz w:val="24"/>
        </w:rPr>
        <w:t> </w:t>
      </w:r>
      <w:r>
        <w:rPr>
          <w:sz w:val="24"/>
        </w:rPr>
        <w:t>hearing</w:t>
      </w:r>
      <w:r>
        <w:rPr>
          <w:spacing w:val="-4"/>
          <w:sz w:val="24"/>
        </w:rPr>
        <w:t> </w:t>
      </w:r>
      <w:r>
        <w:rPr>
          <w:sz w:val="24"/>
        </w:rPr>
        <w:t>officer</w:t>
      </w:r>
      <w:r>
        <w:rPr>
          <w:spacing w:val="-4"/>
          <w:sz w:val="24"/>
        </w:rPr>
        <w:t> </w:t>
      </w:r>
      <w:r>
        <w:rPr>
          <w:sz w:val="24"/>
        </w:rPr>
        <w:t>based</w:t>
      </w:r>
      <w:r>
        <w:rPr>
          <w:spacing w:val="-4"/>
          <w:sz w:val="24"/>
        </w:rPr>
        <w:t> </w:t>
      </w:r>
      <w:r>
        <w:rPr>
          <w:sz w:val="24"/>
        </w:rPr>
        <w:t>upon presented evidence that a conflict of interest exists consistent with Section 7</w:t>
      </w:r>
    </w:p>
    <w:p>
      <w:pPr>
        <w:pStyle w:val="BodyText"/>
        <w:spacing w:line="208" w:lineRule="auto" w:before="0"/>
        <w:ind w:left="1224" w:right="775"/>
      </w:pPr>
      <w:r>
        <w:rPr/>
        <w:t>(16)</w:t>
      </w:r>
      <w:r>
        <w:rPr>
          <w:spacing w:val="-3"/>
        </w:rPr>
        <w:t> </w:t>
      </w:r>
      <w:r>
        <w:rPr/>
        <w:t>of</w:t>
      </w:r>
      <w:r>
        <w:rPr>
          <w:spacing w:val="-4"/>
        </w:rPr>
        <w:t> </w:t>
      </w:r>
      <w:r>
        <w:rPr/>
        <w:t>the</w:t>
      </w:r>
      <w:r>
        <w:rPr>
          <w:spacing w:val="-4"/>
        </w:rPr>
        <w:t> </w:t>
      </w:r>
      <w:r>
        <w:rPr/>
        <w:t>Rehabilitation</w:t>
      </w:r>
      <w:r>
        <w:rPr>
          <w:spacing w:val="-3"/>
        </w:rPr>
        <w:t> </w:t>
      </w:r>
      <w:r>
        <w:rPr/>
        <w:t>Act</w:t>
      </w:r>
      <w:r>
        <w:rPr>
          <w:spacing w:val="-3"/>
        </w:rPr>
        <w:t> </w:t>
      </w:r>
      <w:r>
        <w:rPr/>
        <w:t>and</w:t>
      </w:r>
      <w:r>
        <w:rPr>
          <w:spacing w:val="-3"/>
        </w:rPr>
        <w:t> </w:t>
      </w:r>
      <w:r>
        <w:rPr/>
        <w:t>34</w:t>
      </w:r>
      <w:r>
        <w:rPr>
          <w:spacing w:val="-3"/>
        </w:rPr>
        <w:t> </w:t>
      </w:r>
      <w:r>
        <w:rPr/>
        <w:t>CFR</w:t>
      </w:r>
      <w:r>
        <w:rPr>
          <w:spacing w:val="-3"/>
        </w:rPr>
        <w:t> </w:t>
      </w:r>
      <w:r>
        <w:rPr/>
        <w:t>361.5(b)(25).</w:t>
      </w:r>
      <w:r>
        <w:rPr>
          <w:spacing w:val="-5"/>
        </w:rPr>
        <w:t> </w:t>
      </w:r>
      <w:r>
        <w:rPr/>
        <w:t>A</w:t>
      </w:r>
      <w:r>
        <w:rPr>
          <w:spacing w:val="-3"/>
        </w:rPr>
        <w:t> </w:t>
      </w:r>
      <w:r>
        <w:rPr/>
        <w:t>request</w:t>
      </w:r>
      <w:r>
        <w:rPr>
          <w:spacing w:val="-3"/>
        </w:rPr>
        <w:t> </w:t>
      </w:r>
      <w:r>
        <w:rPr/>
        <w:t>for</w:t>
      </w:r>
      <w:r>
        <w:rPr>
          <w:spacing w:val="-3"/>
        </w:rPr>
        <w:t> </w:t>
      </w:r>
      <w:r>
        <w:rPr/>
        <w:t>a</w:t>
      </w:r>
      <w:r>
        <w:rPr>
          <w:spacing w:val="-3"/>
        </w:rPr>
        <w:t> </w:t>
      </w:r>
      <w:r>
        <w:rPr/>
        <w:t>different impartial hearing officer must be made within five days of receiving the fair hearing notice.</w:t>
      </w:r>
    </w:p>
    <w:p>
      <w:pPr>
        <w:pStyle w:val="ListParagraph"/>
        <w:numPr>
          <w:ilvl w:val="1"/>
          <w:numId w:val="79"/>
        </w:numPr>
        <w:tabs>
          <w:tab w:pos="1218" w:val="left" w:leader="none"/>
        </w:tabs>
        <w:spacing w:line="208" w:lineRule="auto" w:before="240" w:after="0"/>
        <w:ind w:left="792" w:right="828" w:firstLine="0"/>
        <w:jc w:val="left"/>
        <w:rPr>
          <w:sz w:val="24"/>
        </w:rPr>
      </w:pPr>
      <w:r>
        <w:rPr>
          <w:b/>
          <w:sz w:val="24"/>
        </w:rPr>
        <w:t>Scheduling of the fair hearing. </w:t>
      </w:r>
      <w:r>
        <w:rPr>
          <w:sz w:val="24"/>
        </w:rPr>
        <w:t>The fair hearing must be held within 60 calendar days from the date the request for a fair hearing is received, unless the issue</w:t>
      </w:r>
      <w:r>
        <w:rPr>
          <w:spacing w:val="-3"/>
          <w:sz w:val="24"/>
        </w:rPr>
        <w:t> </w:t>
      </w:r>
      <w:r>
        <w:rPr>
          <w:sz w:val="24"/>
        </w:rPr>
        <w:t>is</w:t>
      </w:r>
      <w:r>
        <w:rPr>
          <w:spacing w:val="-3"/>
          <w:sz w:val="24"/>
        </w:rPr>
        <w:t> </w:t>
      </w:r>
      <w:r>
        <w:rPr>
          <w:sz w:val="24"/>
        </w:rPr>
        <w:t>resolved</w:t>
      </w:r>
      <w:r>
        <w:rPr>
          <w:spacing w:val="-3"/>
          <w:sz w:val="24"/>
        </w:rPr>
        <w:t> </w:t>
      </w:r>
      <w:r>
        <w:rPr>
          <w:sz w:val="24"/>
        </w:rPr>
        <w:t>prior</w:t>
      </w:r>
      <w:r>
        <w:rPr>
          <w:spacing w:val="-2"/>
          <w:sz w:val="24"/>
        </w:rPr>
        <w:t> </w:t>
      </w:r>
      <w:r>
        <w:rPr>
          <w:sz w:val="24"/>
        </w:rPr>
        <w:t>to</w:t>
      </w:r>
      <w:r>
        <w:rPr>
          <w:spacing w:val="-3"/>
          <w:sz w:val="24"/>
        </w:rPr>
        <w:t> </w:t>
      </w:r>
      <w:r>
        <w:rPr>
          <w:sz w:val="24"/>
        </w:rPr>
        <w:t>the</w:t>
      </w:r>
      <w:r>
        <w:rPr>
          <w:spacing w:val="-3"/>
          <w:sz w:val="24"/>
        </w:rPr>
        <w:t> </w:t>
      </w:r>
      <w:r>
        <w:rPr>
          <w:sz w:val="24"/>
        </w:rPr>
        <w:t>60th</w:t>
      </w:r>
      <w:r>
        <w:rPr>
          <w:spacing w:val="-4"/>
          <w:sz w:val="24"/>
        </w:rPr>
        <w:t> </w:t>
      </w:r>
      <w:r>
        <w:rPr>
          <w:sz w:val="24"/>
        </w:rPr>
        <w:t>day</w:t>
      </w:r>
      <w:r>
        <w:rPr>
          <w:spacing w:val="-3"/>
          <w:sz w:val="24"/>
        </w:rPr>
        <w:t> </w:t>
      </w:r>
      <w:r>
        <w:rPr>
          <w:sz w:val="24"/>
        </w:rPr>
        <w:t>or</w:t>
      </w:r>
      <w:r>
        <w:rPr>
          <w:spacing w:val="-2"/>
          <w:sz w:val="24"/>
        </w:rPr>
        <w:t> </w:t>
      </w:r>
      <w:r>
        <w:rPr>
          <w:sz w:val="24"/>
        </w:rPr>
        <w:t>the</w:t>
      </w:r>
      <w:r>
        <w:rPr>
          <w:spacing w:val="-4"/>
          <w:sz w:val="24"/>
        </w:rPr>
        <w:t> </w:t>
      </w:r>
      <w:r>
        <w:rPr>
          <w:sz w:val="24"/>
        </w:rPr>
        <w:t>parties</w:t>
      </w:r>
      <w:r>
        <w:rPr>
          <w:spacing w:val="-3"/>
          <w:sz w:val="24"/>
        </w:rPr>
        <w:t> </w:t>
      </w:r>
      <w:r>
        <w:rPr>
          <w:sz w:val="24"/>
        </w:rPr>
        <w:t>agree</w:t>
      </w:r>
      <w:r>
        <w:rPr>
          <w:spacing w:val="-3"/>
          <w:sz w:val="24"/>
        </w:rPr>
        <w:t> </w:t>
      </w:r>
      <w:r>
        <w:rPr>
          <w:sz w:val="24"/>
        </w:rPr>
        <w:t>to</w:t>
      </w:r>
      <w:r>
        <w:rPr>
          <w:spacing w:val="-3"/>
          <w:sz w:val="24"/>
        </w:rPr>
        <w:t> </w:t>
      </w:r>
      <w:r>
        <w:rPr>
          <w:sz w:val="24"/>
        </w:rPr>
        <w:t>a</w:t>
      </w:r>
      <w:r>
        <w:rPr>
          <w:spacing w:val="-3"/>
          <w:sz w:val="24"/>
        </w:rPr>
        <w:t> </w:t>
      </w:r>
      <w:r>
        <w:rPr>
          <w:sz w:val="24"/>
        </w:rPr>
        <w:t>specific</w:t>
      </w:r>
      <w:r>
        <w:rPr>
          <w:spacing w:val="-3"/>
          <w:sz w:val="24"/>
        </w:rPr>
        <w:t> </w:t>
      </w:r>
      <w:r>
        <w:rPr>
          <w:sz w:val="24"/>
        </w:rPr>
        <w:t>extension</w:t>
      </w:r>
      <w:r>
        <w:rPr>
          <w:spacing w:val="-3"/>
          <w:sz w:val="24"/>
        </w:rPr>
        <w:t> </w:t>
      </w:r>
      <w:r>
        <w:rPr>
          <w:sz w:val="24"/>
        </w:rPr>
        <w:t>of time. The administrative review must be conducted and concluded within the same 60 days. Delays or continuances will not be given for the purpose of extending the provision of services. Any agreement to an extension of time must be formalized in </w:t>
      </w:r>
      <w:r>
        <w:rPr>
          <w:spacing w:val="-2"/>
          <w:sz w:val="24"/>
        </w:rPr>
        <w:t>writing.</w:t>
      </w:r>
    </w:p>
    <w:p>
      <w:pPr>
        <w:pStyle w:val="ListParagraph"/>
        <w:numPr>
          <w:ilvl w:val="1"/>
          <w:numId w:val="79"/>
        </w:numPr>
        <w:tabs>
          <w:tab w:pos="1218" w:val="left" w:leader="none"/>
        </w:tabs>
        <w:spacing w:line="208" w:lineRule="auto" w:before="239" w:after="0"/>
        <w:ind w:left="792" w:right="1011" w:firstLine="0"/>
        <w:jc w:val="left"/>
        <w:rPr>
          <w:sz w:val="24"/>
        </w:rPr>
      </w:pPr>
      <w:r>
        <w:rPr>
          <w:b/>
          <w:sz w:val="24"/>
        </w:rPr>
        <w:t>Consumer's</w:t>
      </w:r>
      <w:r>
        <w:rPr>
          <w:b/>
          <w:spacing w:val="-4"/>
          <w:sz w:val="24"/>
        </w:rPr>
        <w:t> </w:t>
      </w:r>
      <w:r>
        <w:rPr>
          <w:b/>
          <w:sz w:val="24"/>
        </w:rPr>
        <w:t>participation</w:t>
      </w:r>
      <w:r>
        <w:rPr>
          <w:b/>
          <w:spacing w:val="-4"/>
          <w:sz w:val="24"/>
        </w:rPr>
        <w:t> </w:t>
      </w:r>
      <w:r>
        <w:rPr>
          <w:b/>
          <w:sz w:val="24"/>
        </w:rPr>
        <w:t>in</w:t>
      </w:r>
      <w:r>
        <w:rPr>
          <w:b/>
          <w:spacing w:val="-5"/>
          <w:sz w:val="24"/>
        </w:rPr>
        <w:t> </w:t>
      </w:r>
      <w:r>
        <w:rPr>
          <w:b/>
          <w:sz w:val="24"/>
        </w:rPr>
        <w:t>hearing.</w:t>
      </w:r>
      <w:r>
        <w:rPr>
          <w:b/>
          <w:spacing w:val="-3"/>
          <w:sz w:val="24"/>
        </w:rPr>
        <w:t> </w:t>
      </w:r>
      <w:r>
        <w:rPr>
          <w:sz w:val="24"/>
        </w:rPr>
        <w:t>At</w:t>
      </w:r>
      <w:r>
        <w:rPr>
          <w:spacing w:val="-3"/>
          <w:sz w:val="24"/>
        </w:rPr>
        <w:t> </w:t>
      </w:r>
      <w:r>
        <w:rPr>
          <w:sz w:val="24"/>
        </w:rPr>
        <w:t>a</w:t>
      </w:r>
      <w:r>
        <w:rPr>
          <w:spacing w:val="-5"/>
          <w:sz w:val="24"/>
        </w:rPr>
        <w:t> </w:t>
      </w:r>
      <w:r>
        <w:rPr>
          <w:sz w:val="24"/>
        </w:rPr>
        <w:t>fair</w:t>
      </w:r>
      <w:r>
        <w:rPr>
          <w:spacing w:val="-3"/>
          <w:sz w:val="24"/>
        </w:rPr>
        <w:t> </w:t>
      </w:r>
      <w:r>
        <w:rPr>
          <w:sz w:val="24"/>
        </w:rPr>
        <w:t>hearing,</w:t>
      </w:r>
      <w:r>
        <w:rPr>
          <w:spacing w:val="-3"/>
          <w:sz w:val="24"/>
        </w:rPr>
        <w:t> </w:t>
      </w:r>
      <w:r>
        <w:rPr>
          <w:sz w:val="24"/>
        </w:rPr>
        <w:t>the</w:t>
      </w:r>
      <w:r>
        <w:rPr>
          <w:spacing w:val="-4"/>
          <w:sz w:val="24"/>
        </w:rPr>
        <w:t> </w:t>
      </w:r>
      <w:r>
        <w:rPr>
          <w:sz w:val="24"/>
        </w:rPr>
        <w:t>individual,</w:t>
      </w:r>
      <w:r>
        <w:rPr>
          <w:spacing w:val="-3"/>
          <w:sz w:val="24"/>
        </w:rPr>
        <w:t> </w:t>
      </w:r>
      <w:r>
        <w:rPr>
          <w:sz w:val="24"/>
        </w:rPr>
        <w:t>or</w:t>
      </w:r>
      <w:r>
        <w:rPr>
          <w:spacing w:val="-3"/>
          <w:sz w:val="24"/>
        </w:rPr>
        <w:t> </w:t>
      </w:r>
      <w:r>
        <w:rPr>
          <w:sz w:val="24"/>
        </w:rPr>
        <w:t>the individual's representative, is afforded the opportunity to:</w:t>
      </w:r>
    </w:p>
    <w:p>
      <w:pPr>
        <w:pStyle w:val="ListParagraph"/>
        <w:numPr>
          <w:ilvl w:val="2"/>
          <w:numId w:val="79"/>
        </w:numPr>
        <w:tabs>
          <w:tab w:pos="1677" w:val="left" w:leader="none"/>
        </w:tabs>
        <w:spacing w:line="208" w:lineRule="auto" w:before="240" w:after="0"/>
        <w:ind w:left="1224" w:right="1223" w:firstLine="0"/>
        <w:jc w:val="left"/>
        <w:rPr>
          <w:sz w:val="24"/>
        </w:rPr>
      </w:pPr>
      <w:r>
        <w:rPr>
          <w:sz w:val="24"/>
        </w:rPr>
        <w:t>present</w:t>
      </w:r>
      <w:r>
        <w:rPr>
          <w:spacing w:val="-5"/>
          <w:sz w:val="24"/>
        </w:rPr>
        <w:t> </w:t>
      </w:r>
      <w:r>
        <w:rPr>
          <w:sz w:val="24"/>
        </w:rPr>
        <w:t>additional</w:t>
      </w:r>
      <w:r>
        <w:rPr>
          <w:spacing w:val="-5"/>
          <w:sz w:val="24"/>
        </w:rPr>
        <w:t> </w:t>
      </w:r>
      <w:r>
        <w:rPr>
          <w:sz w:val="24"/>
        </w:rPr>
        <w:t>evidence,</w:t>
      </w:r>
      <w:r>
        <w:rPr>
          <w:spacing w:val="-5"/>
          <w:sz w:val="24"/>
        </w:rPr>
        <w:t> </w:t>
      </w:r>
      <w:r>
        <w:rPr>
          <w:sz w:val="24"/>
        </w:rPr>
        <w:t>information,</w:t>
      </w:r>
      <w:r>
        <w:rPr>
          <w:spacing w:val="-6"/>
          <w:sz w:val="24"/>
        </w:rPr>
        <w:t> </w:t>
      </w:r>
      <w:r>
        <w:rPr>
          <w:sz w:val="24"/>
        </w:rPr>
        <w:t>and</w:t>
      </w:r>
      <w:r>
        <w:rPr>
          <w:spacing w:val="-5"/>
          <w:sz w:val="24"/>
        </w:rPr>
        <w:t> </w:t>
      </w:r>
      <w:r>
        <w:rPr>
          <w:sz w:val="24"/>
        </w:rPr>
        <w:t>witnesses</w:t>
      </w:r>
      <w:r>
        <w:rPr>
          <w:spacing w:val="-5"/>
          <w:sz w:val="24"/>
        </w:rPr>
        <w:t> </w:t>
      </w:r>
      <w:r>
        <w:rPr>
          <w:sz w:val="24"/>
        </w:rPr>
        <w:t>to</w:t>
      </w:r>
      <w:r>
        <w:rPr>
          <w:spacing w:val="-5"/>
          <w:sz w:val="24"/>
        </w:rPr>
        <w:t> </w:t>
      </w:r>
      <w:r>
        <w:rPr>
          <w:sz w:val="24"/>
        </w:rPr>
        <w:t>the</w:t>
      </w:r>
      <w:r>
        <w:rPr>
          <w:spacing w:val="-5"/>
          <w:sz w:val="24"/>
        </w:rPr>
        <w:t> </w:t>
      </w:r>
      <w:r>
        <w:rPr>
          <w:sz w:val="24"/>
        </w:rPr>
        <w:t>impartial hearing officer;</w:t>
      </w:r>
    </w:p>
    <w:p>
      <w:pPr>
        <w:pStyle w:val="ListParagraph"/>
        <w:spacing w:after="0" w:line="208" w:lineRule="auto"/>
        <w:jc w:val="left"/>
        <w:rPr>
          <w:sz w:val="24"/>
        </w:rPr>
        <w:sectPr>
          <w:pgSz w:w="12240" w:h="15840"/>
          <w:pgMar w:top="1340" w:bottom="280" w:left="1080" w:right="720"/>
        </w:sectPr>
      </w:pPr>
    </w:p>
    <w:p>
      <w:pPr>
        <w:pStyle w:val="ListParagraph"/>
        <w:numPr>
          <w:ilvl w:val="2"/>
          <w:numId w:val="79"/>
        </w:numPr>
        <w:tabs>
          <w:tab w:pos="1677" w:val="left" w:leader="none"/>
        </w:tabs>
        <w:spacing w:line="208" w:lineRule="auto" w:before="96" w:after="0"/>
        <w:ind w:left="1224" w:right="1009" w:firstLine="0"/>
        <w:jc w:val="left"/>
        <w:rPr>
          <w:sz w:val="24"/>
        </w:rPr>
      </w:pPr>
      <w:r>
        <w:rPr>
          <w:sz w:val="24"/>
        </w:rPr>
        <w:t>be</w:t>
      </w:r>
      <w:r>
        <w:rPr>
          <w:spacing w:val="-5"/>
          <w:sz w:val="24"/>
        </w:rPr>
        <w:t> </w:t>
      </w:r>
      <w:r>
        <w:rPr>
          <w:sz w:val="24"/>
        </w:rPr>
        <w:t>represented</w:t>
      </w:r>
      <w:r>
        <w:rPr>
          <w:spacing w:val="-4"/>
          <w:sz w:val="24"/>
        </w:rPr>
        <w:t> </w:t>
      </w:r>
      <w:r>
        <w:rPr>
          <w:sz w:val="24"/>
        </w:rPr>
        <w:t>by</w:t>
      </w:r>
      <w:r>
        <w:rPr>
          <w:spacing w:val="-4"/>
          <w:sz w:val="24"/>
        </w:rPr>
        <w:t> </w:t>
      </w:r>
      <w:r>
        <w:rPr>
          <w:sz w:val="24"/>
        </w:rPr>
        <w:t>counsel</w:t>
      </w:r>
      <w:r>
        <w:rPr>
          <w:spacing w:val="-4"/>
          <w:sz w:val="24"/>
        </w:rPr>
        <w:t> </w:t>
      </w:r>
      <w:r>
        <w:rPr>
          <w:sz w:val="24"/>
        </w:rPr>
        <w:t>or</w:t>
      </w:r>
      <w:r>
        <w:rPr>
          <w:spacing w:val="-3"/>
          <w:sz w:val="24"/>
        </w:rPr>
        <w:t> </w:t>
      </w:r>
      <w:r>
        <w:rPr>
          <w:sz w:val="24"/>
        </w:rPr>
        <w:t>other</w:t>
      </w:r>
      <w:r>
        <w:rPr>
          <w:spacing w:val="-3"/>
          <w:sz w:val="24"/>
        </w:rPr>
        <w:t> </w:t>
      </w:r>
      <w:r>
        <w:rPr>
          <w:sz w:val="24"/>
        </w:rPr>
        <w:t>advocate</w:t>
      </w:r>
      <w:r>
        <w:rPr>
          <w:spacing w:val="-4"/>
          <w:sz w:val="24"/>
        </w:rPr>
        <w:t> </w:t>
      </w:r>
      <w:r>
        <w:rPr>
          <w:sz w:val="24"/>
        </w:rPr>
        <w:t>selected</w:t>
      </w:r>
      <w:r>
        <w:rPr>
          <w:spacing w:val="-4"/>
          <w:sz w:val="24"/>
        </w:rPr>
        <w:t> </w:t>
      </w:r>
      <w:r>
        <w:rPr>
          <w:sz w:val="24"/>
        </w:rPr>
        <w:t>by</w:t>
      </w:r>
      <w:r>
        <w:rPr>
          <w:spacing w:val="-4"/>
          <w:sz w:val="24"/>
        </w:rPr>
        <w:t> </w:t>
      </w:r>
      <w:r>
        <w:rPr>
          <w:sz w:val="24"/>
        </w:rPr>
        <w:t>the</w:t>
      </w:r>
      <w:r>
        <w:rPr>
          <w:spacing w:val="-4"/>
          <w:sz w:val="24"/>
        </w:rPr>
        <w:t> </w:t>
      </w:r>
      <w:r>
        <w:rPr>
          <w:sz w:val="24"/>
        </w:rPr>
        <w:t>applicant</w:t>
      </w:r>
      <w:r>
        <w:rPr>
          <w:spacing w:val="-3"/>
          <w:sz w:val="24"/>
        </w:rPr>
        <w:t> </w:t>
      </w:r>
      <w:r>
        <w:rPr>
          <w:sz w:val="24"/>
        </w:rPr>
        <w:t>or eligible individual; and</w:t>
      </w:r>
    </w:p>
    <w:p>
      <w:pPr>
        <w:pStyle w:val="ListParagraph"/>
        <w:numPr>
          <w:ilvl w:val="2"/>
          <w:numId w:val="79"/>
        </w:numPr>
        <w:tabs>
          <w:tab w:pos="1690" w:val="left" w:leader="none"/>
        </w:tabs>
        <w:spacing w:line="208" w:lineRule="auto" w:before="240" w:after="0"/>
        <w:ind w:left="1224" w:right="1516" w:firstLine="0"/>
        <w:jc w:val="left"/>
        <w:rPr>
          <w:sz w:val="24"/>
        </w:rPr>
      </w:pPr>
      <w:r>
        <w:rPr>
          <w:sz w:val="24"/>
        </w:rPr>
        <w:t>examine</w:t>
      </w:r>
      <w:r>
        <w:rPr>
          <w:spacing w:val="-5"/>
          <w:sz w:val="24"/>
        </w:rPr>
        <w:t> </w:t>
      </w:r>
      <w:r>
        <w:rPr>
          <w:sz w:val="24"/>
        </w:rPr>
        <w:t>all</w:t>
      </w:r>
      <w:r>
        <w:rPr>
          <w:spacing w:val="-5"/>
          <w:sz w:val="24"/>
        </w:rPr>
        <w:t> </w:t>
      </w:r>
      <w:r>
        <w:rPr>
          <w:sz w:val="24"/>
        </w:rPr>
        <w:t>witnesses</w:t>
      </w:r>
      <w:r>
        <w:rPr>
          <w:spacing w:val="-5"/>
          <w:sz w:val="24"/>
        </w:rPr>
        <w:t> </w:t>
      </w:r>
      <w:r>
        <w:rPr>
          <w:sz w:val="24"/>
        </w:rPr>
        <w:t>and</w:t>
      </w:r>
      <w:r>
        <w:rPr>
          <w:spacing w:val="-5"/>
          <w:sz w:val="24"/>
        </w:rPr>
        <w:t> </w:t>
      </w:r>
      <w:r>
        <w:rPr>
          <w:sz w:val="24"/>
        </w:rPr>
        <w:t>other</w:t>
      </w:r>
      <w:r>
        <w:rPr>
          <w:spacing w:val="-4"/>
          <w:sz w:val="24"/>
        </w:rPr>
        <w:t> </w:t>
      </w:r>
      <w:r>
        <w:rPr>
          <w:sz w:val="24"/>
        </w:rPr>
        <w:t>relevant</w:t>
      </w:r>
      <w:r>
        <w:rPr>
          <w:spacing w:val="-4"/>
          <w:sz w:val="24"/>
        </w:rPr>
        <w:t> </w:t>
      </w:r>
      <w:r>
        <w:rPr>
          <w:sz w:val="24"/>
        </w:rPr>
        <w:t>sources</w:t>
      </w:r>
      <w:r>
        <w:rPr>
          <w:spacing w:val="-5"/>
          <w:sz w:val="24"/>
        </w:rPr>
        <w:t> </w:t>
      </w:r>
      <w:r>
        <w:rPr>
          <w:sz w:val="24"/>
        </w:rPr>
        <w:t>of</w:t>
      </w:r>
      <w:r>
        <w:rPr>
          <w:spacing w:val="-4"/>
          <w:sz w:val="24"/>
        </w:rPr>
        <w:t> </w:t>
      </w:r>
      <w:r>
        <w:rPr>
          <w:sz w:val="24"/>
        </w:rPr>
        <w:t>information</w:t>
      </w:r>
      <w:r>
        <w:rPr>
          <w:spacing w:val="-5"/>
          <w:sz w:val="24"/>
        </w:rPr>
        <w:t> </w:t>
      </w:r>
      <w:r>
        <w:rPr>
          <w:sz w:val="24"/>
        </w:rPr>
        <w:t>and </w:t>
      </w:r>
      <w:r>
        <w:rPr>
          <w:spacing w:val="-2"/>
          <w:sz w:val="24"/>
        </w:rPr>
        <w:t>evidence.</w:t>
      </w:r>
    </w:p>
    <w:p>
      <w:pPr>
        <w:pStyle w:val="ListParagraph"/>
        <w:numPr>
          <w:ilvl w:val="1"/>
          <w:numId w:val="79"/>
        </w:numPr>
        <w:tabs>
          <w:tab w:pos="1217" w:val="left" w:leader="none"/>
        </w:tabs>
        <w:spacing w:line="208" w:lineRule="auto" w:before="239" w:after="0"/>
        <w:ind w:left="792" w:right="1319" w:firstLine="0"/>
        <w:jc w:val="left"/>
        <w:rPr>
          <w:sz w:val="24"/>
        </w:rPr>
      </w:pPr>
      <w:r>
        <w:rPr>
          <w:b/>
          <w:sz w:val="24"/>
        </w:rPr>
        <w:t>Agency staff attendance. </w:t>
      </w:r>
      <w:r>
        <w:rPr>
          <w:sz w:val="24"/>
        </w:rPr>
        <w:t>Professional staff involved in the disputed determination</w:t>
      </w:r>
      <w:r>
        <w:rPr>
          <w:spacing w:val="-4"/>
          <w:sz w:val="24"/>
        </w:rPr>
        <w:t> </w:t>
      </w:r>
      <w:r>
        <w:rPr>
          <w:sz w:val="24"/>
        </w:rPr>
        <w:t>will</w:t>
      </w:r>
      <w:r>
        <w:rPr>
          <w:spacing w:val="-4"/>
          <w:sz w:val="24"/>
        </w:rPr>
        <w:t> </w:t>
      </w:r>
      <w:r>
        <w:rPr>
          <w:sz w:val="24"/>
        </w:rPr>
        <w:t>appear</w:t>
      </w:r>
      <w:r>
        <w:rPr>
          <w:spacing w:val="-3"/>
          <w:sz w:val="24"/>
        </w:rPr>
        <w:t> </w:t>
      </w:r>
      <w:r>
        <w:rPr>
          <w:sz w:val="24"/>
        </w:rPr>
        <w:t>at</w:t>
      </w:r>
      <w:r>
        <w:rPr>
          <w:spacing w:val="-3"/>
          <w:sz w:val="24"/>
        </w:rPr>
        <w:t> </w:t>
      </w:r>
      <w:r>
        <w:rPr>
          <w:sz w:val="24"/>
        </w:rPr>
        <w:t>the</w:t>
      </w:r>
      <w:r>
        <w:rPr>
          <w:spacing w:val="-4"/>
          <w:sz w:val="24"/>
        </w:rPr>
        <w:t> </w:t>
      </w:r>
      <w:r>
        <w:rPr>
          <w:sz w:val="24"/>
        </w:rPr>
        <w:t>hearing</w:t>
      </w:r>
      <w:r>
        <w:rPr>
          <w:spacing w:val="-4"/>
          <w:sz w:val="24"/>
        </w:rPr>
        <w:t> </w:t>
      </w:r>
      <w:r>
        <w:rPr>
          <w:sz w:val="24"/>
        </w:rPr>
        <w:t>to</w:t>
      </w:r>
      <w:r>
        <w:rPr>
          <w:spacing w:val="-4"/>
          <w:sz w:val="24"/>
        </w:rPr>
        <w:t> </w:t>
      </w:r>
      <w:r>
        <w:rPr>
          <w:sz w:val="24"/>
        </w:rPr>
        <w:t>provide</w:t>
      </w:r>
      <w:r>
        <w:rPr>
          <w:spacing w:val="-4"/>
          <w:sz w:val="24"/>
        </w:rPr>
        <w:t> </w:t>
      </w:r>
      <w:r>
        <w:rPr>
          <w:sz w:val="24"/>
        </w:rPr>
        <w:t>appropriate</w:t>
      </w:r>
      <w:r>
        <w:rPr>
          <w:spacing w:val="-4"/>
          <w:sz w:val="24"/>
        </w:rPr>
        <w:t> </w:t>
      </w:r>
      <w:r>
        <w:rPr>
          <w:sz w:val="24"/>
        </w:rPr>
        <w:t>information</w:t>
      </w:r>
      <w:r>
        <w:rPr>
          <w:spacing w:val="-4"/>
          <w:sz w:val="24"/>
        </w:rPr>
        <w:t> </w:t>
      </w:r>
      <w:r>
        <w:rPr>
          <w:sz w:val="24"/>
        </w:rPr>
        <w:t>and evidence and testimony. Other staff will appear as directed.</w:t>
      </w:r>
    </w:p>
    <w:p>
      <w:pPr>
        <w:pStyle w:val="ListParagraph"/>
        <w:numPr>
          <w:ilvl w:val="1"/>
          <w:numId w:val="79"/>
        </w:numPr>
        <w:tabs>
          <w:tab w:pos="1217" w:val="left" w:leader="none"/>
        </w:tabs>
        <w:spacing w:line="208" w:lineRule="auto" w:before="240" w:after="0"/>
        <w:ind w:left="792" w:right="1083" w:firstLine="0"/>
        <w:jc w:val="left"/>
        <w:rPr>
          <w:sz w:val="24"/>
        </w:rPr>
      </w:pPr>
      <w:r>
        <w:rPr>
          <w:b/>
          <w:sz w:val="24"/>
        </w:rPr>
        <w:t>Order</w:t>
      </w:r>
      <w:r>
        <w:rPr>
          <w:b/>
          <w:spacing w:val="-4"/>
          <w:sz w:val="24"/>
        </w:rPr>
        <w:t> </w:t>
      </w:r>
      <w:r>
        <w:rPr>
          <w:b/>
          <w:sz w:val="24"/>
        </w:rPr>
        <w:t>of</w:t>
      </w:r>
      <w:r>
        <w:rPr>
          <w:b/>
          <w:spacing w:val="-3"/>
          <w:sz w:val="24"/>
        </w:rPr>
        <w:t> </w:t>
      </w:r>
      <w:r>
        <w:rPr>
          <w:b/>
          <w:sz w:val="24"/>
        </w:rPr>
        <w:t>proceedings</w:t>
      </w:r>
      <w:r>
        <w:rPr>
          <w:b/>
          <w:spacing w:val="-4"/>
          <w:sz w:val="24"/>
        </w:rPr>
        <w:t> </w:t>
      </w:r>
      <w:r>
        <w:rPr>
          <w:b/>
          <w:sz w:val="24"/>
        </w:rPr>
        <w:t>in</w:t>
      </w:r>
      <w:r>
        <w:rPr>
          <w:b/>
          <w:spacing w:val="-4"/>
          <w:sz w:val="24"/>
        </w:rPr>
        <w:t> </w:t>
      </w:r>
      <w:r>
        <w:rPr>
          <w:b/>
          <w:sz w:val="24"/>
        </w:rPr>
        <w:t>the</w:t>
      </w:r>
      <w:r>
        <w:rPr>
          <w:b/>
          <w:spacing w:val="-4"/>
          <w:sz w:val="24"/>
        </w:rPr>
        <w:t> </w:t>
      </w:r>
      <w:r>
        <w:rPr>
          <w:b/>
          <w:sz w:val="24"/>
        </w:rPr>
        <w:t>fair</w:t>
      </w:r>
      <w:r>
        <w:rPr>
          <w:b/>
          <w:spacing w:val="-4"/>
          <w:sz w:val="24"/>
        </w:rPr>
        <w:t> </w:t>
      </w:r>
      <w:r>
        <w:rPr>
          <w:b/>
          <w:sz w:val="24"/>
        </w:rPr>
        <w:t>hearing.</w:t>
      </w:r>
      <w:r>
        <w:rPr>
          <w:b/>
          <w:spacing w:val="-3"/>
          <w:sz w:val="24"/>
        </w:rPr>
        <w:t> </w:t>
      </w:r>
      <w:r>
        <w:rPr>
          <w:sz w:val="24"/>
        </w:rPr>
        <w:t>The</w:t>
      </w:r>
      <w:r>
        <w:rPr>
          <w:spacing w:val="-4"/>
          <w:sz w:val="24"/>
        </w:rPr>
        <w:t> </w:t>
      </w:r>
      <w:r>
        <w:rPr>
          <w:sz w:val="24"/>
        </w:rPr>
        <w:t>Impartial</w:t>
      </w:r>
      <w:r>
        <w:rPr>
          <w:spacing w:val="-4"/>
          <w:sz w:val="24"/>
        </w:rPr>
        <w:t> </w:t>
      </w:r>
      <w:r>
        <w:rPr>
          <w:sz w:val="24"/>
        </w:rPr>
        <w:t>Hearing</w:t>
      </w:r>
      <w:r>
        <w:rPr>
          <w:spacing w:val="-4"/>
          <w:sz w:val="24"/>
        </w:rPr>
        <w:t> </w:t>
      </w:r>
      <w:r>
        <w:rPr>
          <w:sz w:val="24"/>
        </w:rPr>
        <w:t>Officer</w:t>
      </w:r>
      <w:r>
        <w:rPr>
          <w:spacing w:val="-4"/>
          <w:sz w:val="24"/>
        </w:rPr>
        <w:t> </w:t>
      </w:r>
      <w:r>
        <w:rPr>
          <w:sz w:val="24"/>
        </w:rPr>
        <w:t>will conduct the fair hearing in accordance with State laws regarding conduct of individual proceedings before an agency, and applicable Federal laws and regulations. Although the order of proceedings is at the discretion of the Hearing Officer, generally, the fair hearing follows this order of proceedings:</w:t>
      </w:r>
    </w:p>
    <w:p>
      <w:pPr>
        <w:pStyle w:val="ListParagraph"/>
        <w:numPr>
          <w:ilvl w:val="2"/>
          <w:numId w:val="79"/>
        </w:numPr>
        <w:tabs>
          <w:tab w:pos="1676" w:val="left" w:leader="none"/>
        </w:tabs>
        <w:spacing w:line="208" w:lineRule="auto" w:before="240" w:after="0"/>
        <w:ind w:left="1223" w:right="1251" w:firstLine="0"/>
        <w:jc w:val="left"/>
        <w:rPr>
          <w:sz w:val="24"/>
        </w:rPr>
      </w:pPr>
      <w:r>
        <w:rPr>
          <w:sz w:val="24"/>
        </w:rPr>
        <w:t>presentation,</w:t>
      </w:r>
      <w:r>
        <w:rPr>
          <w:spacing w:val="-5"/>
          <w:sz w:val="24"/>
        </w:rPr>
        <w:t> </w:t>
      </w:r>
      <w:r>
        <w:rPr>
          <w:sz w:val="24"/>
        </w:rPr>
        <w:t>arguments,</w:t>
      </w:r>
      <w:r>
        <w:rPr>
          <w:spacing w:val="-5"/>
          <w:sz w:val="24"/>
        </w:rPr>
        <w:t> </w:t>
      </w:r>
      <w:r>
        <w:rPr>
          <w:sz w:val="24"/>
        </w:rPr>
        <w:t>and</w:t>
      </w:r>
      <w:r>
        <w:rPr>
          <w:spacing w:val="-7"/>
          <w:sz w:val="24"/>
        </w:rPr>
        <w:t> </w:t>
      </w:r>
      <w:r>
        <w:rPr>
          <w:sz w:val="24"/>
        </w:rPr>
        <w:t>disposition</w:t>
      </w:r>
      <w:r>
        <w:rPr>
          <w:spacing w:val="-5"/>
          <w:sz w:val="24"/>
        </w:rPr>
        <w:t> </w:t>
      </w:r>
      <w:r>
        <w:rPr>
          <w:sz w:val="24"/>
        </w:rPr>
        <w:t>of</w:t>
      </w:r>
      <w:r>
        <w:rPr>
          <w:spacing w:val="-5"/>
          <w:sz w:val="24"/>
        </w:rPr>
        <w:t> </w:t>
      </w:r>
      <w:r>
        <w:rPr>
          <w:sz w:val="24"/>
        </w:rPr>
        <w:t>all</w:t>
      </w:r>
      <w:r>
        <w:rPr>
          <w:spacing w:val="-6"/>
          <w:sz w:val="24"/>
        </w:rPr>
        <w:t> </w:t>
      </w:r>
      <w:r>
        <w:rPr>
          <w:sz w:val="24"/>
        </w:rPr>
        <w:t>preliminary</w:t>
      </w:r>
      <w:r>
        <w:rPr>
          <w:spacing w:val="-6"/>
          <w:sz w:val="24"/>
        </w:rPr>
        <w:t> </w:t>
      </w:r>
      <w:r>
        <w:rPr>
          <w:sz w:val="24"/>
        </w:rPr>
        <w:t>motions</w:t>
      </w:r>
      <w:r>
        <w:rPr>
          <w:spacing w:val="-6"/>
          <w:sz w:val="24"/>
        </w:rPr>
        <w:t> </w:t>
      </w:r>
      <w:r>
        <w:rPr>
          <w:sz w:val="24"/>
        </w:rPr>
        <w:t>and </w:t>
      </w:r>
      <w:r>
        <w:rPr>
          <w:spacing w:val="-2"/>
          <w:sz w:val="24"/>
        </w:rPr>
        <w:t>matters;</w:t>
      </w:r>
    </w:p>
    <w:p>
      <w:pPr>
        <w:pStyle w:val="ListParagraph"/>
        <w:numPr>
          <w:ilvl w:val="2"/>
          <w:numId w:val="79"/>
        </w:numPr>
        <w:tabs>
          <w:tab w:pos="1676" w:val="left" w:leader="none"/>
        </w:tabs>
        <w:spacing w:line="240" w:lineRule="auto" w:before="210" w:after="0"/>
        <w:ind w:left="1676" w:right="0" w:hanging="453"/>
        <w:jc w:val="left"/>
        <w:rPr>
          <w:sz w:val="24"/>
        </w:rPr>
      </w:pPr>
      <w:r>
        <w:rPr>
          <w:sz w:val="24"/>
        </w:rPr>
        <w:t>opening</w:t>
      </w:r>
      <w:r>
        <w:rPr>
          <w:spacing w:val="-6"/>
          <w:sz w:val="24"/>
        </w:rPr>
        <w:t> </w:t>
      </w:r>
      <w:r>
        <w:rPr>
          <w:spacing w:val="-2"/>
          <w:sz w:val="24"/>
        </w:rPr>
        <w:t>statements;</w:t>
      </w:r>
    </w:p>
    <w:p>
      <w:pPr>
        <w:pStyle w:val="ListParagraph"/>
        <w:numPr>
          <w:ilvl w:val="2"/>
          <w:numId w:val="79"/>
        </w:numPr>
        <w:tabs>
          <w:tab w:pos="1689" w:val="left" w:leader="none"/>
        </w:tabs>
        <w:spacing w:line="240" w:lineRule="auto" w:before="204" w:after="0"/>
        <w:ind w:left="1689" w:right="0" w:hanging="466"/>
        <w:jc w:val="left"/>
        <w:rPr>
          <w:sz w:val="24"/>
        </w:rPr>
      </w:pPr>
      <w:r>
        <w:rPr>
          <w:sz w:val="24"/>
        </w:rPr>
        <w:t>information</w:t>
      </w:r>
      <w:r>
        <w:rPr>
          <w:spacing w:val="-4"/>
          <w:sz w:val="24"/>
        </w:rPr>
        <w:t> </w:t>
      </w:r>
      <w:r>
        <w:rPr>
          <w:sz w:val="24"/>
        </w:rPr>
        <w:t>and</w:t>
      </w:r>
      <w:r>
        <w:rPr>
          <w:spacing w:val="-3"/>
          <w:sz w:val="24"/>
        </w:rPr>
        <w:t> </w:t>
      </w:r>
      <w:r>
        <w:rPr>
          <w:sz w:val="24"/>
        </w:rPr>
        <w:t>evidence</w:t>
      </w:r>
      <w:r>
        <w:rPr>
          <w:spacing w:val="-3"/>
          <w:sz w:val="24"/>
        </w:rPr>
        <w:t> </w:t>
      </w:r>
      <w:r>
        <w:rPr>
          <w:sz w:val="24"/>
        </w:rPr>
        <w:t>presented</w:t>
      </w:r>
      <w:r>
        <w:rPr>
          <w:spacing w:val="-4"/>
          <w:sz w:val="24"/>
        </w:rPr>
        <w:t> </w:t>
      </w:r>
      <w:r>
        <w:rPr>
          <w:sz w:val="24"/>
        </w:rPr>
        <w:t>by</w:t>
      </w:r>
      <w:r>
        <w:rPr>
          <w:spacing w:val="-3"/>
          <w:sz w:val="24"/>
        </w:rPr>
        <w:t> </w:t>
      </w:r>
      <w:r>
        <w:rPr>
          <w:sz w:val="24"/>
        </w:rPr>
        <w:t>the</w:t>
      </w:r>
      <w:r>
        <w:rPr>
          <w:spacing w:val="-3"/>
          <w:sz w:val="24"/>
        </w:rPr>
        <w:t> </w:t>
      </w:r>
      <w:r>
        <w:rPr>
          <w:spacing w:val="-2"/>
          <w:sz w:val="24"/>
        </w:rPr>
        <w:t>agency;</w:t>
      </w:r>
    </w:p>
    <w:p>
      <w:pPr>
        <w:pStyle w:val="ListParagraph"/>
        <w:numPr>
          <w:ilvl w:val="2"/>
          <w:numId w:val="79"/>
        </w:numPr>
        <w:tabs>
          <w:tab w:pos="1689" w:val="left" w:leader="none"/>
        </w:tabs>
        <w:spacing w:line="240" w:lineRule="auto" w:before="204" w:after="0"/>
        <w:ind w:left="1689" w:right="0" w:hanging="466"/>
        <w:jc w:val="left"/>
        <w:rPr>
          <w:sz w:val="24"/>
        </w:rPr>
      </w:pPr>
      <w:r>
        <w:rPr>
          <w:sz w:val="24"/>
        </w:rPr>
        <w:t>evidence</w:t>
      </w:r>
      <w:r>
        <w:rPr>
          <w:spacing w:val="-3"/>
          <w:sz w:val="24"/>
        </w:rPr>
        <w:t> </w:t>
      </w:r>
      <w:r>
        <w:rPr>
          <w:sz w:val="24"/>
        </w:rPr>
        <w:t>presented</w:t>
      </w:r>
      <w:r>
        <w:rPr>
          <w:spacing w:val="-3"/>
          <w:sz w:val="24"/>
        </w:rPr>
        <w:t> </w:t>
      </w:r>
      <w:r>
        <w:rPr>
          <w:sz w:val="24"/>
        </w:rPr>
        <w:t>by</w:t>
      </w:r>
      <w:r>
        <w:rPr>
          <w:spacing w:val="-3"/>
          <w:sz w:val="24"/>
        </w:rPr>
        <w:t> </w:t>
      </w:r>
      <w:r>
        <w:rPr>
          <w:sz w:val="24"/>
        </w:rPr>
        <w:t>the</w:t>
      </w:r>
      <w:r>
        <w:rPr>
          <w:spacing w:val="-3"/>
          <w:sz w:val="24"/>
        </w:rPr>
        <w:t> </w:t>
      </w:r>
      <w:r>
        <w:rPr>
          <w:spacing w:val="-2"/>
          <w:sz w:val="24"/>
        </w:rPr>
        <w:t>grievant;</w:t>
      </w:r>
    </w:p>
    <w:p>
      <w:pPr>
        <w:pStyle w:val="ListParagraph"/>
        <w:numPr>
          <w:ilvl w:val="2"/>
          <w:numId w:val="79"/>
        </w:numPr>
        <w:tabs>
          <w:tab w:pos="1675" w:val="left" w:leader="none"/>
        </w:tabs>
        <w:spacing w:line="240" w:lineRule="auto" w:before="204" w:after="0"/>
        <w:ind w:left="1675" w:right="0" w:hanging="452"/>
        <w:jc w:val="left"/>
        <w:rPr>
          <w:sz w:val="24"/>
        </w:rPr>
      </w:pPr>
      <w:r>
        <w:rPr>
          <w:sz w:val="24"/>
        </w:rPr>
        <w:t>rebuttal</w:t>
      </w:r>
      <w:r>
        <w:rPr>
          <w:spacing w:val="-3"/>
          <w:sz w:val="24"/>
        </w:rPr>
        <w:t> </w:t>
      </w:r>
      <w:r>
        <w:rPr>
          <w:sz w:val="24"/>
        </w:rPr>
        <w:t>by</w:t>
      </w:r>
      <w:r>
        <w:rPr>
          <w:spacing w:val="-3"/>
          <w:sz w:val="24"/>
        </w:rPr>
        <w:t> </w:t>
      </w:r>
      <w:r>
        <w:rPr>
          <w:sz w:val="24"/>
        </w:rPr>
        <w:t>either</w:t>
      </w:r>
      <w:r>
        <w:rPr>
          <w:spacing w:val="-1"/>
          <w:sz w:val="24"/>
        </w:rPr>
        <w:t> </w:t>
      </w:r>
      <w:r>
        <w:rPr>
          <w:sz w:val="24"/>
        </w:rPr>
        <w:t>or</w:t>
      </w:r>
      <w:r>
        <w:rPr>
          <w:spacing w:val="-2"/>
          <w:sz w:val="24"/>
        </w:rPr>
        <w:t> </w:t>
      </w:r>
      <w:r>
        <w:rPr>
          <w:sz w:val="24"/>
        </w:rPr>
        <w:t>both</w:t>
      </w:r>
      <w:r>
        <w:rPr>
          <w:spacing w:val="-2"/>
          <w:sz w:val="24"/>
        </w:rPr>
        <w:t> sides;</w:t>
      </w:r>
    </w:p>
    <w:p>
      <w:pPr>
        <w:pStyle w:val="ListParagraph"/>
        <w:numPr>
          <w:ilvl w:val="2"/>
          <w:numId w:val="79"/>
        </w:numPr>
        <w:tabs>
          <w:tab w:pos="1661" w:val="left" w:leader="none"/>
        </w:tabs>
        <w:spacing w:line="240" w:lineRule="auto" w:before="204" w:after="0"/>
        <w:ind w:left="1661" w:right="0" w:hanging="438"/>
        <w:jc w:val="left"/>
        <w:rPr>
          <w:sz w:val="24"/>
        </w:rPr>
      </w:pPr>
      <w:r>
        <w:rPr>
          <w:sz w:val="24"/>
        </w:rPr>
        <w:t>closing</w:t>
      </w:r>
      <w:r>
        <w:rPr>
          <w:spacing w:val="-2"/>
          <w:sz w:val="24"/>
        </w:rPr>
        <w:t> </w:t>
      </w:r>
      <w:r>
        <w:rPr>
          <w:sz w:val="24"/>
        </w:rPr>
        <w:t>statements</w:t>
      </w:r>
      <w:r>
        <w:rPr>
          <w:spacing w:val="-3"/>
          <w:sz w:val="24"/>
        </w:rPr>
        <w:t> </w:t>
      </w:r>
      <w:r>
        <w:rPr>
          <w:sz w:val="24"/>
        </w:rPr>
        <w:t>by</w:t>
      </w:r>
      <w:r>
        <w:rPr>
          <w:spacing w:val="-3"/>
          <w:sz w:val="24"/>
        </w:rPr>
        <w:t> </w:t>
      </w:r>
      <w:r>
        <w:rPr>
          <w:sz w:val="24"/>
        </w:rPr>
        <w:t>the</w:t>
      </w:r>
      <w:r>
        <w:rPr>
          <w:spacing w:val="-2"/>
          <w:sz w:val="24"/>
        </w:rPr>
        <w:t> grievant;</w:t>
      </w:r>
    </w:p>
    <w:p>
      <w:pPr>
        <w:pStyle w:val="ListParagraph"/>
        <w:numPr>
          <w:ilvl w:val="2"/>
          <w:numId w:val="79"/>
        </w:numPr>
        <w:tabs>
          <w:tab w:pos="1702" w:val="left" w:leader="none"/>
        </w:tabs>
        <w:spacing w:line="240" w:lineRule="auto" w:before="204" w:after="0"/>
        <w:ind w:left="1702" w:right="0" w:hanging="479"/>
        <w:jc w:val="left"/>
        <w:rPr>
          <w:sz w:val="24"/>
        </w:rPr>
      </w:pPr>
      <w:r>
        <w:rPr>
          <w:sz w:val="24"/>
        </w:rPr>
        <w:t>closing</w:t>
      </w:r>
      <w:r>
        <w:rPr>
          <w:spacing w:val="-4"/>
          <w:sz w:val="24"/>
        </w:rPr>
        <w:t> </w:t>
      </w:r>
      <w:r>
        <w:rPr>
          <w:sz w:val="24"/>
        </w:rPr>
        <w:t>statements</w:t>
      </w:r>
      <w:r>
        <w:rPr>
          <w:spacing w:val="-3"/>
          <w:sz w:val="24"/>
        </w:rPr>
        <w:t> </w:t>
      </w:r>
      <w:r>
        <w:rPr>
          <w:sz w:val="24"/>
        </w:rPr>
        <w:t>by</w:t>
      </w:r>
      <w:r>
        <w:rPr>
          <w:spacing w:val="-3"/>
          <w:sz w:val="24"/>
        </w:rPr>
        <w:t> </w:t>
      </w:r>
      <w:r>
        <w:rPr>
          <w:sz w:val="24"/>
        </w:rPr>
        <w:t>the</w:t>
      </w:r>
      <w:r>
        <w:rPr>
          <w:spacing w:val="-3"/>
          <w:sz w:val="24"/>
        </w:rPr>
        <w:t> </w:t>
      </w:r>
      <w:r>
        <w:rPr>
          <w:sz w:val="24"/>
        </w:rPr>
        <w:t>agency;</w:t>
      </w:r>
      <w:r>
        <w:rPr>
          <w:spacing w:val="-2"/>
          <w:sz w:val="24"/>
        </w:rPr>
        <w:t> </w:t>
      </w:r>
      <w:r>
        <w:rPr>
          <w:spacing w:val="-5"/>
          <w:sz w:val="24"/>
        </w:rPr>
        <w:t>and</w:t>
      </w:r>
    </w:p>
    <w:p>
      <w:pPr>
        <w:pStyle w:val="ListParagraph"/>
        <w:numPr>
          <w:ilvl w:val="2"/>
          <w:numId w:val="79"/>
        </w:numPr>
        <w:tabs>
          <w:tab w:pos="1688" w:val="left" w:leader="none"/>
        </w:tabs>
        <w:spacing w:line="240" w:lineRule="auto" w:before="204" w:after="0"/>
        <w:ind w:left="1688" w:right="0" w:hanging="465"/>
        <w:jc w:val="left"/>
        <w:rPr>
          <w:sz w:val="24"/>
        </w:rPr>
      </w:pPr>
      <w:r>
        <w:rPr>
          <w:sz w:val="24"/>
        </w:rPr>
        <w:t>rebuttal</w:t>
      </w:r>
      <w:r>
        <w:rPr>
          <w:spacing w:val="-3"/>
          <w:sz w:val="24"/>
        </w:rPr>
        <w:t> </w:t>
      </w:r>
      <w:r>
        <w:rPr>
          <w:sz w:val="24"/>
        </w:rPr>
        <w:t>by</w:t>
      </w:r>
      <w:r>
        <w:rPr>
          <w:spacing w:val="-3"/>
          <w:sz w:val="24"/>
        </w:rPr>
        <w:t> </w:t>
      </w:r>
      <w:r>
        <w:rPr>
          <w:spacing w:val="-2"/>
          <w:sz w:val="24"/>
        </w:rPr>
        <w:t>grievant.</w:t>
      </w:r>
    </w:p>
    <w:p>
      <w:pPr>
        <w:pStyle w:val="ListParagraph"/>
        <w:numPr>
          <w:ilvl w:val="1"/>
          <w:numId w:val="79"/>
        </w:numPr>
        <w:tabs>
          <w:tab w:pos="1217" w:val="left" w:leader="none"/>
        </w:tabs>
        <w:spacing w:line="208" w:lineRule="auto" w:before="234" w:after="0"/>
        <w:ind w:left="791" w:right="839" w:firstLine="0"/>
        <w:jc w:val="left"/>
        <w:rPr>
          <w:sz w:val="24"/>
        </w:rPr>
      </w:pPr>
      <w:r>
        <w:rPr>
          <w:b/>
          <w:sz w:val="24"/>
        </w:rPr>
        <w:t>Decision. </w:t>
      </w:r>
      <w:r>
        <w:rPr>
          <w:sz w:val="24"/>
        </w:rPr>
        <w:t>The hearing officer makes a decision based on the provisions of the approved State Plan, the Act, Federal vocational rehabilitation regulations, and State</w:t>
      </w:r>
      <w:r>
        <w:rPr>
          <w:spacing w:val="-4"/>
          <w:sz w:val="24"/>
        </w:rPr>
        <w:t> </w:t>
      </w:r>
      <w:r>
        <w:rPr>
          <w:sz w:val="24"/>
        </w:rPr>
        <w:t>regulations</w:t>
      </w:r>
      <w:r>
        <w:rPr>
          <w:spacing w:val="-4"/>
          <w:sz w:val="24"/>
        </w:rPr>
        <w:t> </w:t>
      </w:r>
      <w:r>
        <w:rPr>
          <w:sz w:val="24"/>
        </w:rPr>
        <w:t>and</w:t>
      </w:r>
      <w:r>
        <w:rPr>
          <w:spacing w:val="-4"/>
          <w:sz w:val="24"/>
        </w:rPr>
        <w:t> </w:t>
      </w:r>
      <w:r>
        <w:rPr>
          <w:sz w:val="24"/>
        </w:rPr>
        <w:t>policies</w:t>
      </w:r>
      <w:r>
        <w:rPr>
          <w:spacing w:val="-4"/>
          <w:sz w:val="24"/>
        </w:rPr>
        <w:t> </w:t>
      </w:r>
      <w:r>
        <w:rPr>
          <w:sz w:val="24"/>
        </w:rPr>
        <w:t>that</w:t>
      </w:r>
      <w:r>
        <w:rPr>
          <w:spacing w:val="-3"/>
          <w:sz w:val="24"/>
        </w:rPr>
        <w:t> </w:t>
      </w:r>
      <w:r>
        <w:rPr>
          <w:sz w:val="24"/>
        </w:rPr>
        <w:t>are</w:t>
      </w:r>
      <w:r>
        <w:rPr>
          <w:spacing w:val="-4"/>
          <w:sz w:val="24"/>
        </w:rPr>
        <w:t> </w:t>
      </w:r>
      <w:r>
        <w:rPr>
          <w:sz w:val="24"/>
        </w:rPr>
        <w:t>consistent</w:t>
      </w:r>
      <w:r>
        <w:rPr>
          <w:spacing w:val="-3"/>
          <w:sz w:val="24"/>
        </w:rPr>
        <w:t> </w:t>
      </w:r>
      <w:r>
        <w:rPr>
          <w:sz w:val="24"/>
        </w:rPr>
        <w:t>with</w:t>
      </w:r>
      <w:r>
        <w:rPr>
          <w:spacing w:val="-4"/>
          <w:sz w:val="24"/>
        </w:rPr>
        <w:t> </w:t>
      </w:r>
      <w:r>
        <w:rPr>
          <w:sz w:val="24"/>
        </w:rPr>
        <w:t>Federal</w:t>
      </w:r>
      <w:r>
        <w:rPr>
          <w:spacing w:val="-4"/>
          <w:sz w:val="24"/>
        </w:rPr>
        <w:t> </w:t>
      </w:r>
      <w:r>
        <w:rPr>
          <w:sz w:val="24"/>
        </w:rPr>
        <w:t>requirements</w:t>
      </w:r>
      <w:r>
        <w:rPr>
          <w:spacing w:val="-4"/>
          <w:sz w:val="24"/>
        </w:rPr>
        <w:t> </w:t>
      </w:r>
      <w:r>
        <w:rPr>
          <w:sz w:val="24"/>
        </w:rPr>
        <w:t>and</w:t>
      </w:r>
      <w:r>
        <w:rPr>
          <w:spacing w:val="-4"/>
          <w:sz w:val="24"/>
        </w:rPr>
        <w:t> </w:t>
      </w:r>
      <w:r>
        <w:rPr>
          <w:sz w:val="24"/>
        </w:rPr>
        <w:t>on whether or not the counselor properly applied rules. The hearing officer does not have the authority to rule upon the legality of DRS rules that are consistent with Federal requirements. A decision made after a fair hearing shall be final, unless a party</w:t>
      </w:r>
      <w:r>
        <w:rPr>
          <w:spacing w:val="-3"/>
          <w:sz w:val="24"/>
        </w:rPr>
        <w:t> </w:t>
      </w:r>
      <w:r>
        <w:rPr>
          <w:sz w:val="24"/>
        </w:rPr>
        <w:t>to</w:t>
      </w:r>
      <w:r>
        <w:rPr>
          <w:spacing w:val="-4"/>
          <w:sz w:val="24"/>
        </w:rPr>
        <w:t> </w:t>
      </w:r>
      <w:r>
        <w:rPr>
          <w:sz w:val="24"/>
        </w:rPr>
        <w:t>the</w:t>
      </w:r>
      <w:r>
        <w:rPr>
          <w:spacing w:val="-3"/>
          <w:sz w:val="24"/>
        </w:rPr>
        <w:t> </w:t>
      </w:r>
      <w:r>
        <w:rPr>
          <w:sz w:val="24"/>
        </w:rPr>
        <w:t>fair</w:t>
      </w:r>
      <w:r>
        <w:rPr>
          <w:spacing w:val="-2"/>
          <w:sz w:val="24"/>
        </w:rPr>
        <w:t> </w:t>
      </w:r>
      <w:r>
        <w:rPr>
          <w:sz w:val="24"/>
        </w:rPr>
        <w:t>hearing</w:t>
      </w:r>
      <w:r>
        <w:rPr>
          <w:spacing w:val="-3"/>
          <w:sz w:val="24"/>
        </w:rPr>
        <w:t> </w:t>
      </w:r>
      <w:r>
        <w:rPr>
          <w:sz w:val="24"/>
        </w:rPr>
        <w:t>requests</w:t>
      </w:r>
      <w:r>
        <w:rPr>
          <w:spacing w:val="-4"/>
          <w:sz w:val="24"/>
        </w:rPr>
        <w:t> </w:t>
      </w:r>
      <w:r>
        <w:rPr>
          <w:sz w:val="24"/>
        </w:rPr>
        <w:t>a</w:t>
      </w:r>
      <w:r>
        <w:rPr>
          <w:spacing w:val="-3"/>
          <w:sz w:val="24"/>
        </w:rPr>
        <w:t> </w:t>
      </w:r>
      <w:r>
        <w:rPr>
          <w:sz w:val="24"/>
        </w:rPr>
        <w:t>review</w:t>
      </w:r>
      <w:r>
        <w:rPr>
          <w:spacing w:val="-3"/>
          <w:sz w:val="24"/>
        </w:rPr>
        <w:t> </w:t>
      </w:r>
      <w:r>
        <w:rPr>
          <w:sz w:val="24"/>
        </w:rPr>
        <w:t>under</w:t>
      </w:r>
      <w:r>
        <w:rPr>
          <w:spacing w:val="-2"/>
          <w:sz w:val="24"/>
        </w:rPr>
        <w:t> </w:t>
      </w:r>
      <w:r>
        <w:rPr>
          <w:sz w:val="24"/>
        </w:rPr>
        <w:t>Paragraph</w:t>
      </w:r>
      <w:r>
        <w:rPr>
          <w:spacing w:val="-3"/>
          <w:sz w:val="24"/>
        </w:rPr>
        <w:t> </w:t>
      </w:r>
      <w:r>
        <w:rPr>
          <w:sz w:val="24"/>
        </w:rPr>
        <w:t>(10)</w:t>
      </w:r>
      <w:r>
        <w:rPr>
          <w:spacing w:val="-2"/>
          <w:sz w:val="24"/>
        </w:rPr>
        <w:t> </w:t>
      </w:r>
      <w:r>
        <w:rPr>
          <w:sz w:val="24"/>
        </w:rPr>
        <w:t>of</w:t>
      </w:r>
      <w:r>
        <w:rPr>
          <w:spacing w:val="-4"/>
          <w:sz w:val="24"/>
        </w:rPr>
        <w:t> </w:t>
      </w:r>
      <w:r>
        <w:rPr>
          <w:sz w:val="24"/>
        </w:rPr>
        <w:t>this</w:t>
      </w:r>
      <w:r>
        <w:rPr>
          <w:spacing w:val="-3"/>
          <w:sz w:val="24"/>
        </w:rPr>
        <w:t> </w:t>
      </w:r>
      <w:r>
        <w:rPr>
          <w:sz w:val="24"/>
        </w:rPr>
        <w:t>Subsection. The hearing officer provides the individual, or the individual's representative, and the hearings coordinator a full written report of the findings and grounds for the decision within 30 days of the completion of the hearing. The hearings coordinator will immediately forward the decision to the Director of DRS. The impartial hearing officer may make one of several decisions, which include, but are not limited to:</w:t>
      </w:r>
    </w:p>
    <w:p>
      <w:pPr>
        <w:pStyle w:val="ListParagraph"/>
        <w:numPr>
          <w:ilvl w:val="2"/>
          <w:numId w:val="79"/>
        </w:numPr>
        <w:tabs>
          <w:tab w:pos="1676" w:val="left" w:leader="none"/>
        </w:tabs>
        <w:spacing w:line="240" w:lineRule="auto" w:before="209" w:after="0"/>
        <w:ind w:left="1676" w:right="0" w:hanging="452"/>
        <w:jc w:val="left"/>
        <w:rPr>
          <w:sz w:val="24"/>
        </w:rPr>
      </w:pPr>
      <w:r>
        <w:rPr>
          <w:sz w:val="24"/>
        </w:rPr>
        <w:t>finding</w:t>
      </w:r>
      <w:r>
        <w:rPr>
          <w:spacing w:val="-2"/>
          <w:sz w:val="24"/>
        </w:rPr>
        <w:t> </w:t>
      </w:r>
      <w:r>
        <w:rPr>
          <w:sz w:val="24"/>
        </w:rPr>
        <w:t>in</w:t>
      </w:r>
      <w:r>
        <w:rPr>
          <w:spacing w:val="-2"/>
          <w:sz w:val="24"/>
        </w:rPr>
        <w:t> </w:t>
      </w:r>
      <w:r>
        <w:rPr>
          <w:sz w:val="24"/>
        </w:rPr>
        <w:t>favor</w:t>
      </w:r>
      <w:r>
        <w:rPr>
          <w:spacing w:val="-1"/>
          <w:sz w:val="24"/>
        </w:rPr>
        <w:t> </w:t>
      </w:r>
      <w:r>
        <w:rPr>
          <w:sz w:val="24"/>
        </w:rPr>
        <w:t>of</w:t>
      </w:r>
      <w:r>
        <w:rPr>
          <w:spacing w:val="-3"/>
          <w:sz w:val="24"/>
        </w:rPr>
        <w:t> </w:t>
      </w:r>
      <w:r>
        <w:rPr>
          <w:sz w:val="24"/>
        </w:rPr>
        <w:t>the</w:t>
      </w:r>
      <w:r>
        <w:rPr>
          <w:spacing w:val="-2"/>
          <w:sz w:val="24"/>
        </w:rPr>
        <w:t> grievant;</w:t>
      </w:r>
    </w:p>
    <w:p>
      <w:pPr>
        <w:pStyle w:val="ListParagraph"/>
        <w:numPr>
          <w:ilvl w:val="2"/>
          <w:numId w:val="79"/>
        </w:numPr>
        <w:tabs>
          <w:tab w:pos="1677" w:val="left" w:leader="none"/>
        </w:tabs>
        <w:spacing w:line="240" w:lineRule="auto" w:before="204" w:after="0"/>
        <w:ind w:left="1677" w:right="0" w:hanging="453"/>
        <w:jc w:val="left"/>
        <w:rPr>
          <w:sz w:val="24"/>
        </w:rPr>
      </w:pPr>
      <w:r>
        <w:rPr>
          <w:sz w:val="24"/>
        </w:rPr>
        <w:t>upholding</w:t>
      </w:r>
      <w:r>
        <w:rPr>
          <w:spacing w:val="-4"/>
          <w:sz w:val="24"/>
        </w:rPr>
        <w:t> </w:t>
      </w:r>
      <w:r>
        <w:rPr>
          <w:sz w:val="24"/>
        </w:rPr>
        <w:t>the</w:t>
      </w:r>
      <w:r>
        <w:rPr>
          <w:spacing w:val="-3"/>
          <w:sz w:val="24"/>
        </w:rPr>
        <w:t> </w:t>
      </w:r>
      <w:r>
        <w:rPr>
          <w:sz w:val="24"/>
        </w:rPr>
        <w:t>determination</w:t>
      </w:r>
      <w:r>
        <w:rPr>
          <w:spacing w:val="-3"/>
          <w:sz w:val="24"/>
        </w:rPr>
        <w:t> </w:t>
      </w:r>
      <w:r>
        <w:rPr>
          <w:sz w:val="24"/>
        </w:rPr>
        <w:t>or</w:t>
      </w:r>
      <w:r>
        <w:rPr>
          <w:spacing w:val="-3"/>
          <w:sz w:val="24"/>
        </w:rPr>
        <w:t> </w:t>
      </w:r>
      <w:r>
        <w:rPr>
          <w:sz w:val="24"/>
        </w:rPr>
        <w:t>action</w:t>
      </w:r>
      <w:r>
        <w:rPr>
          <w:spacing w:val="-3"/>
          <w:sz w:val="24"/>
        </w:rPr>
        <w:t> </w:t>
      </w:r>
      <w:r>
        <w:rPr>
          <w:sz w:val="24"/>
        </w:rPr>
        <w:t>of</w:t>
      </w:r>
      <w:r>
        <w:rPr>
          <w:spacing w:val="-4"/>
          <w:sz w:val="24"/>
        </w:rPr>
        <w:t> </w:t>
      </w:r>
      <w:r>
        <w:rPr>
          <w:sz w:val="24"/>
        </w:rPr>
        <w:t>the</w:t>
      </w:r>
      <w:r>
        <w:rPr>
          <w:spacing w:val="-3"/>
          <w:sz w:val="24"/>
        </w:rPr>
        <w:t> </w:t>
      </w:r>
      <w:r>
        <w:rPr>
          <w:spacing w:val="-2"/>
          <w:sz w:val="24"/>
        </w:rPr>
        <w:t>agency;</w:t>
      </w:r>
    </w:p>
    <w:p>
      <w:pPr>
        <w:pStyle w:val="ListParagraph"/>
        <w:numPr>
          <w:ilvl w:val="2"/>
          <w:numId w:val="79"/>
        </w:numPr>
        <w:tabs>
          <w:tab w:pos="1690" w:val="left" w:leader="none"/>
        </w:tabs>
        <w:spacing w:line="208" w:lineRule="auto" w:before="233" w:after="0"/>
        <w:ind w:left="1224" w:right="1235" w:firstLine="0"/>
        <w:jc w:val="left"/>
        <w:rPr>
          <w:sz w:val="24"/>
        </w:rPr>
      </w:pPr>
      <w:r>
        <w:rPr>
          <w:sz w:val="24"/>
        </w:rPr>
        <w:t>accepting</w:t>
      </w:r>
      <w:r>
        <w:rPr>
          <w:spacing w:val="-4"/>
          <w:sz w:val="24"/>
        </w:rPr>
        <w:t> </w:t>
      </w:r>
      <w:r>
        <w:rPr>
          <w:sz w:val="24"/>
        </w:rPr>
        <w:t>a</w:t>
      </w:r>
      <w:r>
        <w:rPr>
          <w:spacing w:val="-4"/>
          <w:sz w:val="24"/>
        </w:rPr>
        <w:t> </w:t>
      </w:r>
      <w:r>
        <w:rPr>
          <w:sz w:val="24"/>
        </w:rPr>
        <w:t>withdrawal</w:t>
      </w:r>
      <w:r>
        <w:rPr>
          <w:spacing w:val="-4"/>
          <w:sz w:val="24"/>
        </w:rPr>
        <w:t> </w:t>
      </w:r>
      <w:r>
        <w:rPr>
          <w:sz w:val="24"/>
        </w:rPr>
        <w:t>of</w:t>
      </w:r>
      <w:r>
        <w:rPr>
          <w:spacing w:val="-3"/>
          <w:sz w:val="24"/>
        </w:rPr>
        <w:t> </w:t>
      </w:r>
      <w:r>
        <w:rPr>
          <w:sz w:val="24"/>
        </w:rPr>
        <w:t>the</w:t>
      </w:r>
      <w:r>
        <w:rPr>
          <w:spacing w:val="-4"/>
          <w:sz w:val="24"/>
        </w:rPr>
        <w:t> </w:t>
      </w:r>
      <w:r>
        <w:rPr>
          <w:sz w:val="24"/>
        </w:rPr>
        <w:t>appeal</w:t>
      </w:r>
      <w:r>
        <w:rPr>
          <w:spacing w:val="-4"/>
          <w:sz w:val="24"/>
        </w:rPr>
        <w:t> </w:t>
      </w:r>
      <w:r>
        <w:rPr>
          <w:sz w:val="24"/>
        </w:rPr>
        <w:t>confirmed</w:t>
      </w:r>
      <w:r>
        <w:rPr>
          <w:spacing w:val="-4"/>
          <w:sz w:val="24"/>
        </w:rPr>
        <w:t> </w:t>
      </w:r>
      <w:r>
        <w:rPr>
          <w:sz w:val="24"/>
        </w:rPr>
        <w:t>in</w:t>
      </w:r>
      <w:r>
        <w:rPr>
          <w:spacing w:val="-4"/>
          <w:sz w:val="24"/>
        </w:rPr>
        <w:t> </w:t>
      </w:r>
      <w:r>
        <w:rPr>
          <w:sz w:val="24"/>
        </w:rPr>
        <w:t>writing</w:t>
      </w:r>
      <w:r>
        <w:rPr>
          <w:spacing w:val="-4"/>
          <w:sz w:val="24"/>
        </w:rPr>
        <w:t> </w:t>
      </w:r>
      <w:r>
        <w:rPr>
          <w:sz w:val="24"/>
        </w:rPr>
        <w:t>signed</w:t>
      </w:r>
      <w:r>
        <w:rPr>
          <w:spacing w:val="-4"/>
          <w:sz w:val="24"/>
        </w:rPr>
        <w:t> </w:t>
      </w:r>
      <w:r>
        <w:rPr>
          <w:sz w:val="24"/>
        </w:rPr>
        <w:t>by</w:t>
      </w:r>
      <w:r>
        <w:rPr>
          <w:spacing w:val="-4"/>
          <w:sz w:val="24"/>
        </w:rPr>
        <w:t> </w:t>
      </w:r>
      <w:r>
        <w:rPr>
          <w:sz w:val="24"/>
        </w:rPr>
        <w:t>the grievant, or the grievant's representative; or</w:t>
      </w:r>
    </w:p>
    <w:p>
      <w:pPr>
        <w:pStyle w:val="ListParagraph"/>
        <w:spacing w:after="0" w:line="208" w:lineRule="auto"/>
        <w:jc w:val="left"/>
        <w:rPr>
          <w:sz w:val="24"/>
        </w:rPr>
        <w:sectPr>
          <w:pgSz w:w="12240" w:h="15840"/>
          <w:pgMar w:top="1340" w:bottom="280" w:left="1080" w:right="720"/>
        </w:sectPr>
      </w:pPr>
    </w:p>
    <w:p>
      <w:pPr>
        <w:pStyle w:val="ListParagraph"/>
        <w:numPr>
          <w:ilvl w:val="2"/>
          <w:numId w:val="79"/>
        </w:numPr>
        <w:tabs>
          <w:tab w:pos="1690" w:val="left" w:leader="none"/>
        </w:tabs>
        <w:spacing w:line="208" w:lineRule="auto" w:before="96" w:after="0"/>
        <w:ind w:left="1224" w:right="1341" w:firstLine="0"/>
        <w:jc w:val="left"/>
        <w:rPr>
          <w:sz w:val="24"/>
        </w:rPr>
      </w:pPr>
      <w:r>
        <w:rPr>
          <w:sz w:val="24"/>
        </w:rPr>
        <w:t>accepting</w:t>
      </w:r>
      <w:r>
        <w:rPr>
          <w:spacing w:val="-4"/>
          <w:sz w:val="24"/>
        </w:rPr>
        <w:t> </w:t>
      </w:r>
      <w:r>
        <w:rPr>
          <w:sz w:val="24"/>
        </w:rPr>
        <w:t>a</w:t>
      </w:r>
      <w:r>
        <w:rPr>
          <w:spacing w:val="-4"/>
          <w:sz w:val="24"/>
        </w:rPr>
        <w:t> </w:t>
      </w:r>
      <w:r>
        <w:rPr>
          <w:sz w:val="24"/>
        </w:rPr>
        <w:t>settlement</w:t>
      </w:r>
      <w:r>
        <w:rPr>
          <w:spacing w:val="-3"/>
          <w:sz w:val="24"/>
        </w:rPr>
        <w:t> </w:t>
      </w:r>
      <w:r>
        <w:rPr>
          <w:sz w:val="24"/>
        </w:rPr>
        <w:t>of</w:t>
      </w:r>
      <w:r>
        <w:rPr>
          <w:spacing w:val="-5"/>
          <w:sz w:val="24"/>
        </w:rPr>
        <w:t> </w:t>
      </w:r>
      <w:r>
        <w:rPr>
          <w:sz w:val="24"/>
        </w:rPr>
        <w:t>the</w:t>
      </w:r>
      <w:r>
        <w:rPr>
          <w:spacing w:val="-4"/>
          <w:sz w:val="24"/>
        </w:rPr>
        <w:t> </w:t>
      </w:r>
      <w:r>
        <w:rPr>
          <w:sz w:val="24"/>
        </w:rPr>
        <w:t>issues</w:t>
      </w:r>
      <w:r>
        <w:rPr>
          <w:spacing w:val="-4"/>
          <w:sz w:val="24"/>
        </w:rPr>
        <w:t> </w:t>
      </w:r>
      <w:r>
        <w:rPr>
          <w:sz w:val="24"/>
        </w:rPr>
        <w:t>agreed</w:t>
      </w:r>
      <w:r>
        <w:rPr>
          <w:spacing w:val="-4"/>
          <w:sz w:val="24"/>
        </w:rPr>
        <w:t> </w:t>
      </w:r>
      <w:r>
        <w:rPr>
          <w:sz w:val="24"/>
        </w:rPr>
        <w:t>to</w:t>
      </w:r>
      <w:r>
        <w:rPr>
          <w:spacing w:val="-4"/>
          <w:sz w:val="24"/>
        </w:rPr>
        <w:t> </w:t>
      </w:r>
      <w:r>
        <w:rPr>
          <w:sz w:val="24"/>
        </w:rPr>
        <w:t>by</w:t>
      </w:r>
      <w:r>
        <w:rPr>
          <w:spacing w:val="-4"/>
          <w:sz w:val="24"/>
        </w:rPr>
        <w:t> </w:t>
      </w:r>
      <w:r>
        <w:rPr>
          <w:sz w:val="24"/>
        </w:rPr>
        <w:t>the</w:t>
      </w:r>
      <w:r>
        <w:rPr>
          <w:spacing w:val="-4"/>
          <w:sz w:val="24"/>
        </w:rPr>
        <w:t> </w:t>
      </w:r>
      <w:r>
        <w:rPr>
          <w:sz w:val="24"/>
        </w:rPr>
        <w:t>grievant</w:t>
      </w:r>
      <w:r>
        <w:rPr>
          <w:spacing w:val="-2"/>
          <w:sz w:val="24"/>
        </w:rPr>
        <w:t> </w:t>
      </w:r>
      <w:r>
        <w:rPr>
          <w:sz w:val="24"/>
        </w:rPr>
        <w:t>and</w:t>
      </w:r>
      <w:r>
        <w:rPr>
          <w:spacing w:val="-4"/>
          <w:sz w:val="24"/>
        </w:rPr>
        <w:t> </w:t>
      </w:r>
      <w:r>
        <w:rPr>
          <w:sz w:val="24"/>
        </w:rPr>
        <w:t>the agency which must include a written withdrawal of request for a hearing.</w:t>
      </w:r>
    </w:p>
    <w:p>
      <w:pPr>
        <w:pStyle w:val="ListParagraph"/>
        <w:numPr>
          <w:ilvl w:val="1"/>
          <w:numId w:val="79"/>
        </w:numPr>
        <w:tabs>
          <w:tab w:pos="1350" w:val="left" w:leader="none"/>
        </w:tabs>
        <w:spacing w:line="208" w:lineRule="auto" w:before="240" w:after="0"/>
        <w:ind w:left="791" w:right="838" w:firstLine="0"/>
        <w:jc w:val="left"/>
        <w:rPr>
          <w:sz w:val="24"/>
        </w:rPr>
      </w:pPr>
      <w:r>
        <w:rPr>
          <w:b/>
          <w:sz w:val="24"/>
        </w:rPr>
        <w:t>Review of impartial hearing officer's decision. </w:t>
      </w:r>
      <w:r>
        <w:rPr>
          <w:sz w:val="24"/>
        </w:rPr>
        <w:t>Any party involved in a fair hearing may request an impartial review of the impartial hearing officer's decision within 20 calendar days of that decision. This review will be conducted by the Governor</w:t>
      </w:r>
      <w:r>
        <w:rPr>
          <w:spacing w:val="-3"/>
          <w:sz w:val="24"/>
        </w:rPr>
        <w:t> </w:t>
      </w:r>
      <w:r>
        <w:rPr>
          <w:sz w:val="24"/>
        </w:rPr>
        <w:t>or</w:t>
      </w:r>
      <w:r>
        <w:rPr>
          <w:spacing w:val="-3"/>
          <w:sz w:val="24"/>
        </w:rPr>
        <w:t> </w:t>
      </w:r>
      <w:r>
        <w:rPr>
          <w:sz w:val="24"/>
        </w:rPr>
        <w:t>the</w:t>
      </w:r>
      <w:r>
        <w:rPr>
          <w:spacing w:val="-5"/>
          <w:sz w:val="24"/>
        </w:rPr>
        <w:t> </w:t>
      </w:r>
      <w:r>
        <w:rPr>
          <w:sz w:val="24"/>
        </w:rPr>
        <w:t>Governor's</w:t>
      </w:r>
      <w:r>
        <w:rPr>
          <w:spacing w:val="-4"/>
          <w:sz w:val="24"/>
        </w:rPr>
        <w:t> </w:t>
      </w:r>
      <w:r>
        <w:rPr>
          <w:sz w:val="24"/>
        </w:rPr>
        <w:t>designee</w:t>
      </w:r>
      <w:r>
        <w:rPr>
          <w:spacing w:val="-4"/>
          <w:sz w:val="24"/>
        </w:rPr>
        <w:t> </w:t>
      </w:r>
      <w:r>
        <w:rPr>
          <w:sz w:val="24"/>
        </w:rPr>
        <w:t>to</w:t>
      </w:r>
      <w:r>
        <w:rPr>
          <w:spacing w:val="-4"/>
          <w:sz w:val="24"/>
        </w:rPr>
        <w:t> </w:t>
      </w:r>
      <w:r>
        <w:rPr>
          <w:sz w:val="24"/>
        </w:rPr>
        <w:t>whom</w:t>
      </w:r>
      <w:r>
        <w:rPr>
          <w:spacing w:val="-3"/>
          <w:sz w:val="24"/>
        </w:rPr>
        <w:t> </w:t>
      </w:r>
      <w:r>
        <w:rPr>
          <w:sz w:val="24"/>
        </w:rPr>
        <w:t>DRS</w:t>
      </w:r>
      <w:r>
        <w:rPr>
          <w:spacing w:val="-4"/>
          <w:sz w:val="24"/>
        </w:rPr>
        <w:t> </w:t>
      </w:r>
      <w:r>
        <w:rPr>
          <w:sz w:val="24"/>
        </w:rPr>
        <w:t>is</w:t>
      </w:r>
      <w:r>
        <w:rPr>
          <w:spacing w:val="-4"/>
          <w:sz w:val="24"/>
        </w:rPr>
        <w:t> </w:t>
      </w:r>
      <w:r>
        <w:rPr>
          <w:sz w:val="24"/>
        </w:rPr>
        <w:t>assigned.</w:t>
      </w:r>
      <w:r>
        <w:rPr>
          <w:spacing w:val="-3"/>
          <w:sz w:val="24"/>
        </w:rPr>
        <w:t> </w:t>
      </w:r>
      <w:r>
        <w:rPr>
          <w:sz w:val="24"/>
        </w:rPr>
        <w:t>The</w:t>
      </w:r>
      <w:r>
        <w:rPr>
          <w:spacing w:val="-4"/>
          <w:sz w:val="24"/>
        </w:rPr>
        <w:t> </w:t>
      </w:r>
      <w:r>
        <w:rPr>
          <w:sz w:val="24"/>
        </w:rPr>
        <w:t>review</w:t>
      </w:r>
      <w:r>
        <w:rPr>
          <w:spacing w:val="-4"/>
          <w:sz w:val="24"/>
        </w:rPr>
        <w:t> </w:t>
      </w:r>
      <w:r>
        <w:rPr>
          <w:sz w:val="24"/>
        </w:rPr>
        <w:t>will</w:t>
      </w:r>
      <w:r>
        <w:rPr>
          <w:spacing w:val="-4"/>
          <w:sz w:val="24"/>
        </w:rPr>
        <w:t> </w:t>
      </w:r>
      <w:r>
        <w:rPr>
          <w:sz w:val="24"/>
        </w:rPr>
        <w:t>be conducted in accordance with the standards in (A) through (E) of this paragraph:</w:t>
      </w:r>
    </w:p>
    <w:p>
      <w:pPr>
        <w:pStyle w:val="ListParagraph"/>
        <w:numPr>
          <w:ilvl w:val="2"/>
          <w:numId w:val="79"/>
        </w:numPr>
        <w:tabs>
          <w:tab w:pos="1676" w:val="left" w:leader="none"/>
        </w:tabs>
        <w:spacing w:line="208" w:lineRule="auto" w:before="239" w:after="0"/>
        <w:ind w:left="1223" w:right="735" w:firstLine="0"/>
        <w:jc w:val="left"/>
        <w:rPr>
          <w:sz w:val="24"/>
        </w:rPr>
      </w:pPr>
      <w:r>
        <w:rPr>
          <w:sz w:val="24"/>
        </w:rPr>
        <w:t>The</w:t>
      </w:r>
      <w:r>
        <w:rPr>
          <w:spacing w:val="-5"/>
          <w:sz w:val="24"/>
        </w:rPr>
        <w:t> </w:t>
      </w:r>
      <w:r>
        <w:rPr>
          <w:sz w:val="24"/>
        </w:rPr>
        <w:t>Governor</w:t>
      </w:r>
      <w:r>
        <w:rPr>
          <w:spacing w:val="-3"/>
          <w:sz w:val="24"/>
        </w:rPr>
        <w:t> </w:t>
      </w:r>
      <w:r>
        <w:rPr>
          <w:sz w:val="24"/>
        </w:rPr>
        <w:t>or</w:t>
      </w:r>
      <w:r>
        <w:rPr>
          <w:spacing w:val="-3"/>
          <w:sz w:val="24"/>
        </w:rPr>
        <w:t> </w:t>
      </w:r>
      <w:r>
        <w:rPr>
          <w:sz w:val="24"/>
        </w:rPr>
        <w:t>the</w:t>
      </w:r>
      <w:r>
        <w:rPr>
          <w:spacing w:val="-4"/>
          <w:sz w:val="24"/>
        </w:rPr>
        <w:t> </w:t>
      </w:r>
      <w:r>
        <w:rPr>
          <w:sz w:val="24"/>
        </w:rPr>
        <w:t>Governor's</w:t>
      </w:r>
      <w:r>
        <w:rPr>
          <w:spacing w:val="-4"/>
          <w:sz w:val="24"/>
        </w:rPr>
        <w:t> </w:t>
      </w:r>
      <w:r>
        <w:rPr>
          <w:sz w:val="24"/>
        </w:rPr>
        <w:t>designee</w:t>
      </w:r>
      <w:r>
        <w:rPr>
          <w:spacing w:val="-4"/>
          <w:sz w:val="24"/>
        </w:rPr>
        <w:t> </w:t>
      </w:r>
      <w:r>
        <w:rPr>
          <w:sz w:val="24"/>
        </w:rPr>
        <w:t>will</w:t>
      </w:r>
      <w:r>
        <w:rPr>
          <w:spacing w:val="-4"/>
          <w:sz w:val="24"/>
        </w:rPr>
        <w:t> </w:t>
      </w:r>
      <w:r>
        <w:rPr>
          <w:sz w:val="24"/>
        </w:rPr>
        <w:t>not</w:t>
      </w:r>
      <w:r>
        <w:rPr>
          <w:spacing w:val="-3"/>
          <w:sz w:val="24"/>
        </w:rPr>
        <w:t> </w:t>
      </w:r>
      <w:r>
        <w:rPr>
          <w:sz w:val="24"/>
        </w:rPr>
        <w:t>delegate</w:t>
      </w:r>
      <w:r>
        <w:rPr>
          <w:spacing w:val="-4"/>
          <w:sz w:val="24"/>
        </w:rPr>
        <w:t> </w:t>
      </w:r>
      <w:r>
        <w:rPr>
          <w:sz w:val="24"/>
        </w:rPr>
        <w:t>responsibility</w:t>
      </w:r>
      <w:r>
        <w:rPr>
          <w:spacing w:val="-4"/>
          <w:sz w:val="24"/>
        </w:rPr>
        <w:t> </w:t>
      </w:r>
      <w:r>
        <w:rPr>
          <w:sz w:val="24"/>
        </w:rPr>
        <w:t>for this review to any officer or employee of DRS.</w:t>
      </w:r>
    </w:p>
    <w:p>
      <w:pPr>
        <w:pStyle w:val="ListParagraph"/>
        <w:numPr>
          <w:ilvl w:val="2"/>
          <w:numId w:val="79"/>
        </w:numPr>
        <w:tabs>
          <w:tab w:pos="1676" w:val="left" w:leader="none"/>
        </w:tabs>
        <w:spacing w:line="208" w:lineRule="auto" w:before="240" w:after="0"/>
        <w:ind w:left="1223" w:right="737" w:firstLine="0"/>
        <w:jc w:val="left"/>
        <w:rPr>
          <w:sz w:val="24"/>
        </w:rPr>
      </w:pPr>
      <w:r>
        <w:rPr>
          <w:sz w:val="24"/>
        </w:rPr>
        <w:t>The</w:t>
      </w:r>
      <w:r>
        <w:rPr>
          <w:spacing w:val="-5"/>
          <w:sz w:val="24"/>
        </w:rPr>
        <w:t> </w:t>
      </w:r>
      <w:r>
        <w:rPr>
          <w:sz w:val="24"/>
        </w:rPr>
        <w:t>Governor</w:t>
      </w:r>
      <w:r>
        <w:rPr>
          <w:spacing w:val="-3"/>
          <w:sz w:val="24"/>
        </w:rPr>
        <w:t> </w:t>
      </w:r>
      <w:r>
        <w:rPr>
          <w:sz w:val="24"/>
        </w:rPr>
        <w:t>or</w:t>
      </w:r>
      <w:r>
        <w:rPr>
          <w:spacing w:val="-3"/>
          <w:sz w:val="24"/>
        </w:rPr>
        <w:t> </w:t>
      </w:r>
      <w:r>
        <w:rPr>
          <w:sz w:val="24"/>
        </w:rPr>
        <w:t>the</w:t>
      </w:r>
      <w:r>
        <w:rPr>
          <w:spacing w:val="-4"/>
          <w:sz w:val="24"/>
        </w:rPr>
        <w:t> </w:t>
      </w:r>
      <w:r>
        <w:rPr>
          <w:sz w:val="24"/>
        </w:rPr>
        <w:t>Governor's</w:t>
      </w:r>
      <w:r>
        <w:rPr>
          <w:spacing w:val="-4"/>
          <w:sz w:val="24"/>
        </w:rPr>
        <w:t> </w:t>
      </w:r>
      <w:r>
        <w:rPr>
          <w:sz w:val="24"/>
        </w:rPr>
        <w:t>designee</w:t>
      </w:r>
      <w:r>
        <w:rPr>
          <w:spacing w:val="-4"/>
          <w:sz w:val="24"/>
        </w:rPr>
        <w:t> </w:t>
      </w:r>
      <w:r>
        <w:rPr>
          <w:sz w:val="24"/>
        </w:rPr>
        <w:t>will</w:t>
      </w:r>
      <w:r>
        <w:rPr>
          <w:spacing w:val="-4"/>
          <w:sz w:val="24"/>
        </w:rPr>
        <w:t> </w:t>
      </w:r>
      <w:r>
        <w:rPr>
          <w:sz w:val="24"/>
        </w:rPr>
        <w:t>provide</w:t>
      </w:r>
      <w:r>
        <w:rPr>
          <w:spacing w:val="-4"/>
          <w:sz w:val="24"/>
        </w:rPr>
        <w:t> </w:t>
      </w:r>
      <w:r>
        <w:rPr>
          <w:sz w:val="24"/>
        </w:rPr>
        <w:t>an</w:t>
      </w:r>
      <w:r>
        <w:rPr>
          <w:spacing w:val="-4"/>
          <w:sz w:val="24"/>
        </w:rPr>
        <w:t> </w:t>
      </w:r>
      <w:r>
        <w:rPr>
          <w:sz w:val="24"/>
        </w:rPr>
        <w:t>opportunity</w:t>
      </w:r>
      <w:r>
        <w:rPr>
          <w:spacing w:val="-4"/>
          <w:sz w:val="24"/>
        </w:rPr>
        <w:t> </w:t>
      </w:r>
      <w:r>
        <w:rPr>
          <w:sz w:val="24"/>
        </w:rPr>
        <w:t>for</w:t>
      </w:r>
      <w:r>
        <w:rPr>
          <w:spacing w:val="-6"/>
          <w:sz w:val="24"/>
        </w:rPr>
        <w:t> </w:t>
      </w:r>
      <w:r>
        <w:rPr>
          <w:sz w:val="24"/>
        </w:rPr>
        <w:t>the submission of additional evidence and information relevant to a final decision concerning the matter under review.</w:t>
      </w:r>
    </w:p>
    <w:p>
      <w:pPr>
        <w:pStyle w:val="ListParagraph"/>
        <w:numPr>
          <w:ilvl w:val="2"/>
          <w:numId w:val="79"/>
        </w:numPr>
        <w:tabs>
          <w:tab w:pos="1689" w:val="left" w:leader="none"/>
        </w:tabs>
        <w:spacing w:line="208" w:lineRule="auto" w:before="240" w:after="0"/>
        <w:ind w:left="1223" w:right="889" w:firstLine="0"/>
        <w:jc w:val="left"/>
        <w:rPr>
          <w:sz w:val="24"/>
        </w:rPr>
      </w:pPr>
      <w:r>
        <w:rPr>
          <w:sz w:val="24"/>
        </w:rPr>
        <w:t>The</w:t>
      </w:r>
      <w:r>
        <w:rPr>
          <w:spacing w:val="-2"/>
          <w:sz w:val="24"/>
        </w:rPr>
        <w:t> </w:t>
      </w:r>
      <w:r>
        <w:rPr>
          <w:sz w:val="24"/>
        </w:rPr>
        <w:t>Governor or the</w:t>
      </w:r>
      <w:r>
        <w:rPr>
          <w:spacing w:val="-1"/>
          <w:sz w:val="24"/>
        </w:rPr>
        <w:t> </w:t>
      </w:r>
      <w:r>
        <w:rPr>
          <w:sz w:val="24"/>
        </w:rPr>
        <w:t>Governor's</w:t>
      </w:r>
      <w:r>
        <w:rPr>
          <w:spacing w:val="-1"/>
          <w:sz w:val="24"/>
        </w:rPr>
        <w:t> </w:t>
      </w:r>
      <w:r>
        <w:rPr>
          <w:sz w:val="24"/>
        </w:rPr>
        <w:t>designee</w:t>
      </w:r>
      <w:r>
        <w:rPr>
          <w:spacing w:val="-1"/>
          <w:sz w:val="24"/>
        </w:rPr>
        <w:t> </w:t>
      </w:r>
      <w:r>
        <w:rPr>
          <w:sz w:val="24"/>
        </w:rPr>
        <w:t>will</w:t>
      </w:r>
      <w:r>
        <w:rPr>
          <w:spacing w:val="-1"/>
          <w:sz w:val="24"/>
        </w:rPr>
        <w:t> </w:t>
      </w:r>
      <w:r>
        <w:rPr>
          <w:sz w:val="24"/>
        </w:rPr>
        <w:t>make</w:t>
      </w:r>
      <w:r>
        <w:rPr>
          <w:spacing w:val="-1"/>
          <w:sz w:val="24"/>
        </w:rPr>
        <w:t> </w:t>
      </w:r>
      <w:r>
        <w:rPr>
          <w:sz w:val="24"/>
        </w:rPr>
        <w:t>a</w:t>
      </w:r>
      <w:r>
        <w:rPr>
          <w:spacing w:val="-1"/>
          <w:sz w:val="24"/>
        </w:rPr>
        <w:t> </w:t>
      </w:r>
      <w:r>
        <w:rPr>
          <w:sz w:val="24"/>
        </w:rPr>
        <w:t>final</w:t>
      </w:r>
      <w:r>
        <w:rPr>
          <w:spacing w:val="-1"/>
          <w:sz w:val="24"/>
        </w:rPr>
        <w:t> </w:t>
      </w:r>
      <w:r>
        <w:rPr>
          <w:sz w:val="24"/>
        </w:rPr>
        <w:t>decision</w:t>
      </w:r>
      <w:r>
        <w:rPr>
          <w:spacing w:val="-1"/>
          <w:sz w:val="24"/>
        </w:rPr>
        <w:t> </w:t>
      </w:r>
      <w:r>
        <w:rPr>
          <w:sz w:val="24"/>
        </w:rPr>
        <w:t>within 30 days of the request for administrative review. The decision will be provided to all parties, and/or to the parties' authorized representatives, in writing. The written</w:t>
      </w:r>
      <w:r>
        <w:rPr>
          <w:spacing w:val="-3"/>
          <w:sz w:val="24"/>
        </w:rPr>
        <w:t> </w:t>
      </w:r>
      <w:r>
        <w:rPr>
          <w:sz w:val="24"/>
        </w:rPr>
        <w:t>decision</w:t>
      </w:r>
      <w:r>
        <w:rPr>
          <w:spacing w:val="-3"/>
          <w:sz w:val="24"/>
        </w:rPr>
        <w:t> </w:t>
      </w:r>
      <w:r>
        <w:rPr>
          <w:sz w:val="24"/>
        </w:rPr>
        <w:t>will</w:t>
      </w:r>
      <w:r>
        <w:rPr>
          <w:spacing w:val="-3"/>
          <w:sz w:val="24"/>
        </w:rPr>
        <w:t> </w:t>
      </w:r>
      <w:r>
        <w:rPr>
          <w:sz w:val="24"/>
        </w:rPr>
        <w:t>include</w:t>
      </w:r>
      <w:r>
        <w:rPr>
          <w:spacing w:val="-3"/>
          <w:sz w:val="24"/>
        </w:rPr>
        <w:t> </w:t>
      </w:r>
      <w:r>
        <w:rPr>
          <w:sz w:val="24"/>
        </w:rPr>
        <w:t>a</w:t>
      </w:r>
      <w:r>
        <w:rPr>
          <w:spacing w:val="-3"/>
          <w:sz w:val="24"/>
        </w:rPr>
        <w:t> </w:t>
      </w:r>
      <w:r>
        <w:rPr>
          <w:sz w:val="24"/>
        </w:rPr>
        <w:t>full</w:t>
      </w:r>
      <w:r>
        <w:rPr>
          <w:spacing w:val="-3"/>
          <w:sz w:val="24"/>
        </w:rPr>
        <w:t> </w:t>
      </w:r>
      <w:r>
        <w:rPr>
          <w:sz w:val="24"/>
        </w:rPr>
        <w:t>report</w:t>
      </w:r>
      <w:r>
        <w:rPr>
          <w:spacing w:val="-2"/>
          <w:sz w:val="24"/>
        </w:rPr>
        <w:t> </w:t>
      </w:r>
      <w:r>
        <w:rPr>
          <w:sz w:val="24"/>
        </w:rPr>
        <w:t>of</w:t>
      </w:r>
      <w:r>
        <w:rPr>
          <w:spacing w:val="-4"/>
          <w:sz w:val="24"/>
        </w:rPr>
        <w:t> </w:t>
      </w:r>
      <w:r>
        <w:rPr>
          <w:sz w:val="24"/>
        </w:rPr>
        <w:t>the</w:t>
      </w:r>
      <w:r>
        <w:rPr>
          <w:spacing w:val="-3"/>
          <w:sz w:val="24"/>
        </w:rPr>
        <w:t> </w:t>
      </w:r>
      <w:r>
        <w:rPr>
          <w:sz w:val="24"/>
        </w:rPr>
        <w:t>findings,</w:t>
      </w:r>
      <w:r>
        <w:rPr>
          <w:spacing w:val="-2"/>
          <w:sz w:val="24"/>
        </w:rPr>
        <w:t> </w:t>
      </w:r>
      <w:r>
        <w:rPr>
          <w:sz w:val="24"/>
        </w:rPr>
        <w:t>and</w:t>
      </w:r>
      <w:r>
        <w:rPr>
          <w:spacing w:val="-3"/>
          <w:sz w:val="24"/>
        </w:rPr>
        <w:t> </w:t>
      </w:r>
      <w:r>
        <w:rPr>
          <w:sz w:val="24"/>
        </w:rPr>
        <w:t>the</w:t>
      </w:r>
      <w:r>
        <w:rPr>
          <w:spacing w:val="-3"/>
          <w:sz w:val="24"/>
        </w:rPr>
        <w:t> </w:t>
      </w:r>
      <w:r>
        <w:rPr>
          <w:sz w:val="24"/>
        </w:rPr>
        <w:t>grounds</w:t>
      </w:r>
      <w:r>
        <w:rPr>
          <w:spacing w:val="-3"/>
          <w:sz w:val="24"/>
        </w:rPr>
        <w:t> </w:t>
      </w:r>
      <w:r>
        <w:rPr>
          <w:sz w:val="24"/>
        </w:rPr>
        <w:t>for</w:t>
      </w:r>
      <w:r>
        <w:rPr>
          <w:spacing w:val="-2"/>
          <w:sz w:val="24"/>
        </w:rPr>
        <w:t> </w:t>
      </w:r>
      <w:r>
        <w:rPr>
          <w:sz w:val="24"/>
        </w:rPr>
        <w:t>the </w:t>
      </w:r>
      <w:r>
        <w:rPr>
          <w:spacing w:val="-2"/>
          <w:sz w:val="24"/>
        </w:rPr>
        <w:t>decision.</w:t>
      </w:r>
    </w:p>
    <w:p>
      <w:pPr>
        <w:pStyle w:val="ListParagraph"/>
        <w:numPr>
          <w:ilvl w:val="2"/>
          <w:numId w:val="79"/>
        </w:numPr>
        <w:tabs>
          <w:tab w:pos="1689" w:val="left" w:leader="none"/>
        </w:tabs>
        <w:spacing w:line="208" w:lineRule="auto" w:before="239" w:after="0"/>
        <w:ind w:left="1223" w:right="1062" w:firstLine="0"/>
        <w:jc w:val="left"/>
        <w:rPr>
          <w:sz w:val="24"/>
        </w:rPr>
      </w:pPr>
      <w:r>
        <w:rPr>
          <w:sz w:val="24"/>
        </w:rPr>
        <w:t>The Governor or the Governor's designee cannot overturn or modify a decision, or part of a decision, made by an impartial hearing officer that supports the position of the individual unless the Governor or the Governor's designee concludes, based upon clear and convincing evidence, that the decision of the hearing officer is clearly erroneous on the basis of being contrary</w:t>
      </w:r>
      <w:r>
        <w:rPr>
          <w:spacing w:val="-4"/>
          <w:sz w:val="24"/>
        </w:rPr>
        <w:t> </w:t>
      </w:r>
      <w:r>
        <w:rPr>
          <w:sz w:val="24"/>
        </w:rPr>
        <w:t>to</w:t>
      </w:r>
      <w:r>
        <w:rPr>
          <w:spacing w:val="-7"/>
          <w:sz w:val="24"/>
        </w:rPr>
        <w:t> </w:t>
      </w:r>
      <w:r>
        <w:rPr>
          <w:sz w:val="24"/>
        </w:rPr>
        <w:t>the</w:t>
      </w:r>
      <w:r>
        <w:rPr>
          <w:spacing w:val="-4"/>
          <w:sz w:val="24"/>
        </w:rPr>
        <w:t> </w:t>
      </w:r>
      <w:r>
        <w:rPr>
          <w:sz w:val="24"/>
        </w:rPr>
        <w:t>approved</w:t>
      </w:r>
      <w:r>
        <w:rPr>
          <w:spacing w:val="-4"/>
          <w:sz w:val="24"/>
        </w:rPr>
        <w:t> </w:t>
      </w:r>
      <w:r>
        <w:rPr>
          <w:sz w:val="24"/>
        </w:rPr>
        <w:t>State</w:t>
      </w:r>
      <w:r>
        <w:rPr>
          <w:spacing w:val="-4"/>
          <w:sz w:val="24"/>
        </w:rPr>
        <w:t> </w:t>
      </w:r>
      <w:r>
        <w:rPr>
          <w:sz w:val="24"/>
        </w:rPr>
        <w:t>plan,</w:t>
      </w:r>
      <w:r>
        <w:rPr>
          <w:spacing w:val="-3"/>
          <w:sz w:val="24"/>
        </w:rPr>
        <w:t> </w:t>
      </w:r>
      <w:r>
        <w:rPr>
          <w:sz w:val="24"/>
        </w:rPr>
        <w:t>the</w:t>
      </w:r>
      <w:r>
        <w:rPr>
          <w:spacing w:val="-4"/>
          <w:sz w:val="24"/>
        </w:rPr>
        <w:t> </w:t>
      </w:r>
      <w:r>
        <w:rPr>
          <w:sz w:val="24"/>
        </w:rPr>
        <w:t>Act,</w:t>
      </w:r>
      <w:r>
        <w:rPr>
          <w:spacing w:val="-5"/>
          <w:sz w:val="24"/>
        </w:rPr>
        <w:t> </w:t>
      </w:r>
      <w:r>
        <w:rPr>
          <w:sz w:val="24"/>
        </w:rPr>
        <w:t>Federal</w:t>
      </w:r>
      <w:r>
        <w:rPr>
          <w:spacing w:val="-4"/>
          <w:sz w:val="24"/>
        </w:rPr>
        <w:t> </w:t>
      </w:r>
      <w:r>
        <w:rPr>
          <w:sz w:val="24"/>
        </w:rPr>
        <w:t>vocational</w:t>
      </w:r>
      <w:r>
        <w:rPr>
          <w:spacing w:val="-4"/>
          <w:sz w:val="24"/>
        </w:rPr>
        <w:t> </w:t>
      </w:r>
      <w:r>
        <w:rPr>
          <w:sz w:val="24"/>
        </w:rPr>
        <w:t>rehabilitation regulations,</w:t>
      </w:r>
      <w:r>
        <w:rPr>
          <w:spacing w:val="-1"/>
          <w:sz w:val="24"/>
        </w:rPr>
        <w:t> </w:t>
      </w:r>
      <w:r>
        <w:rPr>
          <w:sz w:val="24"/>
        </w:rPr>
        <w:t>or</w:t>
      </w:r>
      <w:r>
        <w:rPr>
          <w:spacing w:val="-1"/>
          <w:sz w:val="24"/>
        </w:rPr>
        <w:t> </w:t>
      </w:r>
      <w:r>
        <w:rPr>
          <w:sz w:val="24"/>
        </w:rPr>
        <w:t>State</w:t>
      </w:r>
      <w:r>
        <w:rPr>
          <w:spacing w:val="-2"/>
          <w:sz w:val="24"/>
        </w:rPr>
        <w:t> </w:t>
      </w:r>
      <w:r>
        <w:rPr>
          <w:sz w:val="24"/>
        </w:rPr>
        <w:t>regulations</w:t>
      </w:r>
      <w:r>
        <w:rPr>
          <w:spacing w:val="-2"/>
          <w:sz w:val="24"/>
        </w:rPr>
        <w:t> </w:t>
      </w:r>
      <w:r>
        <w:rPr>
          <w:sz w:val="24"/>
        </w:rPr>
        <w:t>and</w:t>
      </w:r>
      <w:r>
        <w:rPr>
          <w:spacing w:val="-2"/>
          <w:sz w:val="24"/>
        </w:rPr>
        <w:t> </w:t>
      </w:r>
      <w:r>
        <w:rPr>
          <w:sz w:val="24"/>
        </w:rPr>
        <w:t>policies</w:t>
      </w:r>
      <w:r>
        <w:rPr>
          <w:spacing w:val="-2"/>
          <w:sz w:val="24"/>
        </w:rPr>
        <w:t> </w:t>
      </w:r>
      <w:r>
        <w:rPr>
          <w:sz w:val="24"/>
        </w:rPr>
        <w:t>that</w:t>
      </w:r>
      <w:r>
        <w:rPr>
          <w:spacing w:val="-1"/>
          <w:sz w:val="24"/>
        </w:rPr>
        <w:t> </w:t>
      </w:r>
      <w:r>
        <w:rPr>
          <w:sz w:val="24"/>
        </w:rPr>
        <w:t>are</w:t>
      </w:r>
      <w:r>
        <w:rPr>
          <w:spacing w:val="-3"/>
          <w:sz w:val="24"/>
        </w:rPr>
        <w:t> </w:t>
      </w:r>
      <w:r>
        <w:rPr>
          <w:sz w:val="24"/>
        </w:rPr>
        <w:t>consistent</w:t>
      </w:r>
      <w:r>
        <w:rPr>
          <w:spacing w:val="-1"/>
          <w:sz w:val="24"/>
        </w:rPr>
        <w:t> </w:t>
      </w:r>
      <w:r>
        <w:rPr>
          <w:sz w:val="24"/>
        </w:rPr>
        <w:t>with</w:t>
      </w:r>
      <w:r>
        <w:rPr>
          <w:spacing w:val="-2"/>
          <w:sz w:val="24"/>
        </w:rPr>
        <w:t> </w:t>
      </w:r>
      <w:r>
        <w:rPr>
          <w:sz w:val="24"/>
        </w:rPr>
        <w:t>Federal requirements. The Governor or the Governor's designee will apply the standards</w:t>
      </w:r>
      <w:r>
        <w:rPr>
          <w:spacing w:val="-4"/>
          <w:sz w:val="24"/>
        </w:rPr>
        <w:t> </w:t>
      </w:r>
      <w:r>
        <w:rPr>
          <w:sz w:val="24"/>
        </w:rPr>
        <w:t>presented</w:t>
      </w:r>
      <w:r>
        <w:rPr>
          <w:spacing w:val="-4"/>
          <w:sz w:val="24"/>
        </w:rPr>
        <w:t> </w:t>
      </w:r>
      <w:r>
        <w:rPr>
          <w:sz w:val="24"/>
        </w:rPr>
        <w:t>in</w:t>
      </w:r>
      <w:r>
        <w:rPr>
          <w:spacing w:val="-4"/>
          <w:sz w:val="24"/>
        </w:rPr>
        <w:t> </w:t>
      </w:r>
      <w:r>
        <w:rPr>
          <w:sz w:val="24"/>
        </w:rPr>
        <w:t>(i)</w:t>
      </w:r>
      <w:r>
        <w:rPr>
          <w:spacing w:val="-3"/>
          <w:sz w:val="24"/>
        </w:rPr>
        <w:t> </w:t>
      </w:r>
      <w:r>
        <w:rPr>
          <w:sz w:val="24"/>
        </w:rPr>
        <w:t>through</w:t>
      </w:r>
      <w:r>
        <w:rPr>
          <w:spacing w:val="-4"/>
          <w:sz w:val="24"/>
        </w:rPr>
        <w:t> </w:t>
      </w:r>
      <w:r>
        <w:rPr>
          <w:sz w:val="24"/>
        </w:rPr>
        <w:t>(iii)</w:t>
      </w:r>
      <w:r>
        <w:rPr>
          <w:spacing w:val="-4"/>
          <w:sz w:val="24"/>
        </w:rPr>
        <w:t> </w:t>
      </w:r>
      <w:r>
        <w:rPr>
          <w:sz w:val="24"/>
        </w:rPr>
        <w:t>of</w:t>
      </w:r>
      <w:r>
        <w:rPr>
          <w:spacing w:val="-3"/>
          <w:sz w:val="24"/>
        </w:rPr>
        <w:t> </w:t>
      </w:r>
      <w:r>
        <w:rPr>
          <w:sz w:val="24"/>
        </w:rPr>
        <w:t>this</w:t>
      </w:r>
      <w:r>
        <w:rPr>
          <w:spacing w:val="-5"/>
          <w:sz w:val="24"/>
        </w:rPr>
        <w:t> </w:t>
      </w:r>
      <w:r>
        <w:rPr>
          <w:sz w:val="24"/>
        </w:rPr>
        <w:t>Subparagraph</w:t>
      </w:r>
      <w:r>
        <w:rPr>
          <w:spacing w:val="-4"/>
          <w:sz w:val="24"/>
        </w:rPr>
        <w:t> </w:t>
      </w:r>
      <w:r>
        <w:rPr>
          <w:sz w:val="24"/>
        </w:rPr>
        <w:t>when</w:t>
      </w:r>
      <w:r>
        <w:rPr>
          <w:spacing w:val="-4"/>
          <w:sz w:val="24"/>
        </w:rPr>
        <w:t> </w:t>
      </w:r>
      <w:r>
        <w:rPr>
          <w:sz w:val="24"/>
        </w:rPr>
        <w:t>conducting the review of the hearing officer's decision.</w:t>
      </w:r>
    </w:p>
    <w:p>
      <w:pPr>
        <w:pStyle w:val="ListParagraph"/>
        <w:numPr>
          <w:ilvl w:val="3"/>
          <w:numId w:val="79"/>
        </w:numPr>
        <w:tabs>
          <w:tab w:pos="2001" w:val="left" w:leader="none"/>
        </w:tabs>
        <w:spacing w:line="208" w:lineRule="auto" w:before="239" w:after="0"/>
        <w:ind w:left="1655" w:right="744" w:firstLine="0"/>
        <w:jc w:val="left"/>
        <w:rPr>
          <w:sz w:val="24"/>
        </w:rPr>
      </w:pPr>
      <w:r>
        <w:rPr>
          <w:sz w:val="24"/>
        </w:rPr>
        <w:t>The</w:t>
      </w:r>
      <w:r>
        <w:rPr>
          <w:spacing w:val="-4"/>
          <w:sz w:val="24"/>
        </w:rPr>
        <w:t> </w:t>
      </w:r>
      <w:r>
        <w:rPr>
          <w:sz w:val="24"/>
        </w:rPr>
        <w:t>hearing</w:t>
      </w:r>
      <w:r>
        <w:rPr>
          <w:spacing w:val="-4"/>
          <w:sz w:val="24"/>
        </w:rPr>
        <w:t> </w:t>
      </w:r>
      <w:r>
        <w:rPr>
          <w:sz w:val="24"/>
        </w:rPr>
        <w:t>officer's</w:t>
      </w:r>
      <w:r>
        <w:rPr>
          <w:spacing w:val="-4"/>
          <w:sz w:val="24"/>
        </w:rPr>
        <w:t> </w:t>
      </w:r>
      <w:r>
        <w:rPr>
          <w:sz w:val="24"/>
        </w:rPr>
        <w:t>decision</w:t>
      </w:r>
      <w:r>
        <w:rPr>
          <w:spacing w:val="-3"/>
          <w:sz w:val="24"/>
        </w:rPr>
        <w:t> </w:t>
      </w:r>
      <w:r>
        <w:rPr>
          <w:sz w:val="24"/>
        </w:rPr>
        <w:t>shall</w:t>
      </w:r>
      <w:r>
        <w:rPr>
          <w:spacing w:val="-4"/>
          <w:sz w:val="24"/>
        </w:rPr>
        <w:t> </w:t>
      </w:r>
      <w:r>
        <w:rPr>
          <w:sz w:val="24"/>
        </w:rPr>
        <w:t>not</w:t>
      </w:r>
      <w:r>
        <w:rPr>
          <w:spacing w:val="-3"/>
          <w:sz w:val="24"/>
        </w:rPr>
        <w:t> </w:t>
      </w:r>
      <w:r>
        <w:rPr>
          <w:sz w:val="24"/>
        </w:rPr>
        <w:t>be</w:t>
      </w:r>
      <w:r>
        <w:rPr>
          <w:spacing w:val="-3"/>
          <w:sz w:val="24"/>
        </w:rPr>
        <w:t> </w:t>
      </w:r>
      <w:r>
        <w:rPr>
          <w:sz w:val="24"/>
        </w:rPr>
        <w:t>arbitrary,</w:t>
      </w:r>
      <w:r>
        <w:rPr>
          <w:spacing w:val="-5"/>
          <w:sz w:val="24"/>
        </w:rPr>
        <w:t> </w:t>
      </w:r>
      <w:r>
        <w:rPr>
          <w:sz w:val="24"/>
        </w:rPr>
        <w:t>capricious,</w:t>
      </w:r>
      <w:r>
        <w:rPr>
          <w:spacing w:val="-3"/>
          <w:sz w:val="24"/>
        </w:rPr>
        <w:t> </w:t>
      </w:r>
      <w:r>
        <w:rPr>
          <w:sz w:val="24"/>
        </w:rPr>
        <w:t>an</w:t>
      </w:r>
      <w:r>
        <w:rPr>
          <w:spacing w:val="-4"/>
          <w:sz w:val="24"/>
        </w:rPr>
        <w:t> </w:t>
      </w:r>
      <w:r>
        <w:rPr>
          <w:sz w:val="24"/>
        </w:rPr>
        <w:t>abuse of discretion, or otherwise unreasonable.</w:t>
      </w:r>
    </w:p>
    <w:p>
      <w:pPr>
        <w:pStyle w:val="ListParagraph"/>
        <w:numPr>
          <w:ilvl w:val="3"/>
          <w:numId w:val="79"/>
        </w:numPr>
        <w:tabs>
          <w:tab w:pos="2053" w:val="left" w:leader="none"/>
        </w:tabs>
        <w:spacing w:line="208" w:lineRule="auto" w:before="240" w:after="0"/>
        <w:ind w:left="1655" w:right="812" w:firstLine="0"/>
        <w:jc w:val="left"/>
        <w:rPr>
          <w:sz w:val="24"/>
        </w:rPr>
      </w:pPr>
      <w:r>
        <w:rPr>
          <w:sz w:val="24"/>
        </w:rPr>
        <w:t>The</w:t>
      </w:r>
      <w:r>
        <w:rPr>
          <w:spacing w:val="-5"/>
          <w:sz w:val="24"/>
        </w:rPr>
        <w:t> </w:t>
      </w:r>
      <w:r>
        <w:rPr>
          <w:sz w:val="24"/>
        </w:rPr>
        <w:t>hearing</w:t>
      </w:r>
      <w:r>
        <w:rPr>
          <w:spacing w:val="-5"/>
          <w:sz w:val="24"/>
        </w:rPr>
        <w:t> </w:t>
      </w:r>
      <w:r>
        <w:rPr>
          <w:sz w:val="24"/>
        </w:rPr>
        <w:t>officer's</w:t>
      </w:r>
      <w:r>
        <w:rPr>
          <w:spacing w:val="-5"/>
          <w:sz w:val="24"/>
        </w:rPr>
        <w:t> </w:t>
      </w:r>
      <w:r>
        <w:rPr>
          <w:sz w:val="24"/>
        </w:rPr>
        <w:t>decision</w:t>
      </w:r>
      <w:r>
        <w:rPr>
          <w:spacing w:val="-4"/>
          <w:sz w:val="24"/>
        </w:rPr>
        <w:t> </w:t>
      </w:r>
      <w:r>
        <w:rPr>
          <w:sz w:val="24"/>
        </w:rPr>
        <w:t>shall</w:t>
      </w:r>
      <w:r>
        <w:rPr>
          <w:spacing w:val="-5"/>
          <w:sz w:val="24"/>
        </w:rPr>
        <w:t> </w:t>
      </w:r>
      <w:r>
        <w:rPr>
          <w:sz w:val="24"/>
        </w:rPr>
        <w:t>be</w:t>
      </w:r>
      <w:r>
        <w:rPr>
          <w:spacing w:val="-5"/>
          <w:sz w:val="24"/>
        </w:rPr>
        <w:t> </w:t>
      </w:r>
      <w:r>
        <w:rPr>
          <w:sz w:val="24"/>
        </w:rPr>
        <w:t>supported</w:t>
      </w:r>
      <w:r>
        <w:rPr>
          <w:spacing w:val="-5"/>
          <w:sz w:val="24"/>
        </w:rPr>
        <w:t> </w:t>
      </w:r>
      <w:r>
        <w:rPr>
          <w:sz w:val="24"/>
        </w:rPr>
        <w:t>by</w:t>
      </w:r>
      <w:r>
        <w:rPr>
          <w:spacing w:val="-5"/>
          <w:sz w:val="24"/>
        </w:rPr>
        <w:t> </w:t>
      </w:r>
      <w:r>
        <w:rPr>
          <w:sz w:val="24"/>
        </w:rPr>
        <w:t>substantial</w:t>
      </w:r>
      <w:r>
        <w:rPr>
          <w:spacing w:val="-4"/>
          <w:sz w:val="24"/>
        </w:rPr>
        <w:t> </w:t>
      </w:r>
      <w:r>
        <w:rPr>
          <w:sz w:val="24"/>
        </w:rPr>
        <w:t>findings of fact.</w:t>
      </w:r>
    </w:p>
    <w:p>
      <w:pPr>
        <w:pStyle w:val="ListParagraph"/>
        <w:numPr>
          <w:ilvl w:val="3"/>
          <w:numId w:val="79"/>
        </w:numPr>
        <w:tabs>
          <w:tab w:pos="2106" w:val="left" w:leader="none"/>
        </w:tabs>
        <w:spacing w:line="208" w:lineRule="auto" w:before="240" w:after="0"/>
        <w:ind w:left="1655" w:right="1124" w:firstLine="0"/>
        <w:jc w:val="left"/>
        <w:rPr>
          <w:sz w:val="24"/>
        </w:rPr>
      </w:pPr>
      <w:r>
        <w:rPr>
          <w:sz w:val="24"/>
        </w:rPr>
        <w:t>In reaching the initial decision, the impartial hearing officer shall correctly</w:t>
      </w:r>
      <w:r>
        <w:rPr>
          <w:spacing w:val="-4"/>
          <w:sz w:val="24"/>
        </w:rPr>
        <w:t> </w:t>
      </w:r>
      <w:r>
        <w:rPr>
          <w:sz w:val="24"/>
        </w:rPr>
        <w:t>apply</w:t>
      </w:r>
      <w:r>
        <w:rPr>
          <w:spacing w:val="-4"/>
          <w:sz w:val="24"/>
        </w:rPr>
        <w:t> </w:t>
      </w:r>
      <w:r>
        <w:rPr>
          <w:sz w:val="24"/>
        </w:rPr>
        <w:t>Federal</w:t>
      </w:r>
      <w:r>
        <w:rPr>
          <w:spacing w:val="-4"/>
          <w:sz w:val="24"/>
        </w:rPr>
        <w:t> </w:t>
      </w:r>
      <w:r>
        <w:rPr>
          <w:sz w:val="24"/>
        </w:rPr>
        <w:t>and</w:t>
      </w:r>
      <w:r>
        <w:rPr>
          <w:spacing w:val="-4"/>
          <w:sz w:val="24"/>
        </w:rPr>
        <w:t> </w:t>
      </w:r>
      <w:r>
        <w:rPr>
          <w:sz w:val="24"/>
        </w:rPr>
        <w:t>State</w:t>
      </w:r>
      <w:r>
        <w:rPr>
          <w:spacing w:val="-4"/>
          <w:sz w:val="24"/>
        </w:rPr>
        <w:t> </w:t>
      </w:r>
      <w:r>
        <w:rPr>
          <w:sz w:val="24"/>
        </w:rPr>
        <w:t>law,</w:t>
      </w:r>
      <w:r>
        <w:rPr>
          <w:spacing w:val="-4"/>
          <w:sz w:val="24"/>
        </w:rPr>
        <w:t> </w:t>
      </w:r>
      <w:r>
        <w:rPr>
          <w:sz w:val="24"/>
        </w:rPr>
        <w:t>regulation,</w:t>
      </w:r>
      <w:r>
        <w:rPr>
          <w:spacing w:val="-4"/>
          <w:sz w:val="24"/>
        </w:rPr>
        <w:t> </w:t>
      </w:r>
      <w:r>
        <w:rPr>
          <w:sz w:val="24"/>
        </w:rPr>
        <w:t>agency</w:t>
      </w:r>
      <w:r>
        <w:rPr>
          <w:spacing w:val="-4"/>
          <w:sz w:val="24"/>
        </w:rPr>
        <w:t> </w:t>
      </w:r>
      <w:r>
        <w:rPr>
          <w:sz w:val="24"/>
        </w:rPr>
        <w:t>policy,</w:t>
      </w:r>
      <w:r>
        <w:rPr>
          <w:spacing w:val="-4"/>
          <w:sz w:val="24"/>
        </w:rPr>
        <w:t> </w:t>
      </w:r>
      <w:r>
        <w:rPr>
          <w:sz w:val="24"/>
        </w:rPr>
        <w:t>and</w:t>
      </w:r>
      <w:r>
        <w:rPr>
          <w:spacing w:val="-4"/>
          <w:sz w:val="24"/>
        </w:rPr>
        <w:t> </w:t>
      </w:r>
      <w:r>
        <w:rPr>
          <w:sz w:val="24"/>
        </w:rPr>
        <w:t>the approved State Plan as they pertain to the specific issue in question.</w:t>
      </w:r>
    </w:p>
    <w:p>
      <w:pPr>
        <w:pStyle w:val="ListParagraph"/>
        <w:numPr>
          <w:ilvl w:val="2"/>
          <w:numId w:val="79"/>
        </w:numPr>
        <w:tabs>
          <w:tab w:pos="1676" w:val="left" w:leader="none"/>
        </w:tabs>
        <w:spacing w:line="208" w:lineRule="auto" w:before="239" w:after="0"/>
        <w:ind w:left="1223" w:right="769" w:firstLine="0"/>
        <w:jc w:val="left"/>
        <w:rPr>
          <w:sz w:val="24"/>
        </w:rPr>
      </w:pPr>
      <w:r>
        <w:rPr>
          <w:sz w:val="24"/>
        </w:rPr>
        <w:t>A</w:t>
      </w:r>
      <w:r>
        <w:rPr>
          <w:spacing w:val="-4"/>
          <w:sz w:val="24"/>
        </w:rPr>
        <w:t> </w:t>
      </w:r>
      <w:r>
        <w:rPr>
          <w:sz w:val="24"/>
        </w:rPr>
        <w:t>decision</w:t>
      </w:r>
      <w:r>
        <w:rPr>
          <w:spacing w:val="-4"/>
          <w:sz w:val="24"/>
        </w:rPr>
        <w:t> </w:t>
      </w:r>
      <w:r>
        <w:rPr>
          <w:sz w:val="24"/>
        </w:rPr>
        <w:t>made</w:t>
      </w:r>
      <w:r>
        <w:rPr>
          <w:spacing w:val="-4"/>
          <w:sz w:val="24"/>
        </w:rPr>
        <w:t> </w:t>
      </w:r>
      <w:r>
        <w:rPr>
          <w:sz w:val="24"/>
        </w:rPr>
        <w:t>under</w:t>
      </w:r>
      <w:r>
        <w:rPr>
          <w:spacing w:val="-3"/>
          <w:sz w:val="24"/>
        </w:rPr>
        <w:t> </w:t>
      </w:r>
      <w:r>
        <w:rPr>
          <w:sz w:val="24"/>
        </w:rPr>
        <w:t>this</w:t>
      </w:r>
      <w:r>
        <w:rPr>
          <w:spacing w:val="-4"/>
          <w:sz w:val="24"/>
        </w:rPr>
        <w:t> </w:t>
      </w:r>
      <w:r>
        <w:rPr>
          <w:sz w:val="24"/>
        </w:rPr>
        <w:t>Paragraph</w:t>
      </w:r>
      <w:r>
        <w:rPr>
          <w:spacing w:val="-3"/>
          <w:sz w:val="24"/>
        </w:rPr>
        <w:t> </w:t>
      </w:r>
      <w:r>
        <w:rPr>
          <w:sz w:val="24"/>
        </w:rPr>
        <w:t>shall</w:t>
      </w:r>
      <w:r>
        <w:rPr>
          <w:spacing w:val="-4"/>
          <w:sz w:val="24"/>
        </w:rPr>
        <w:t> </w:t>
      </w:r>
      <w:r>
        <w:rPr>
          <w:sz w:val="24"/>
        </w:rPr>
        <w:t>be</w:t>
      </w:r>
      <w:r>
        <w:rPr>
          <w:spacing w:val="-4"/>
          <w:sz w:val="24"/>
        </w:rPr>
        <w:t> </w:t>
      </w:r>
      <w:r>
        <w:rPr>
          <w:sz w:val="24"/>
        </w:rPr>
        <w:t>final</w:t>
      </w:r>
      <w:r>
        <w:rPr>
          <w:spacing w:val="-4"/>
          <w:sz w:val="24"/>
        </w:rPr>
        <w:t> </w:t>
      </w:r>
      <w:r>
        <w:rPr>
          <w:sz w:val="24"/>
        </w:rPr>
        <w:t>unless</w:t>
      </w:r>
      <w:r>
        <w:rPr>
          <w:spacing w:val="-4"/>
          <w:sz w:val="24"/>
        </w:rPr>
        <w:t> </w:t>
      </w:r>
      <w:r>
        <w:rPr>
          <w:sz w:val="24"/>
        </w:rPr>
        <w:t>a</w:t>
      </w:r>
      <w:r>
        <w:rPr>
          <w:spacing w:val="-3"/>
          <w:sz w:val="24"/>
        </w:rPr>
        <w:t> </w:t>
      </w:r>
      <w:r>
        <w:rPr>
          <w:sz w:val="24"/>
        </w:rPr>
        <w:t>party</w:t>
      </w:r>
      <w:r>
        <w:rPr>
          <w:spacing w:val="-4"/>
          <w:sz w:val="24"/>
        </w:rPr>
        <w:t> </w:t>
      </w:r>
      <w:r>
        <w:rPr>
          <w:sz w:val="24"/>
        </w:rPr>
        <w:t>involved in the hearing brings a civil action.</w:t>
      </w:r>
    </w:p>
    <w:p>
      <w:pPr>
        <w:pStyle w:val="ListParagraph"/>
        <w:numPr>
          <w:ilvl w:val="0"/>
          <w:numId w:val="79"/>
        </w:numPr>
        <w:tabs>
          <w:tab w:pos="785" w:val="left" w:leader="none"/>
        </w:tabs>
        <w:spacing w:line="208" w:lineRule="auto" w:before="240" w:after="0"/>
        <w:ind w:left="359" w:right="885" w:firstLine="0"/>
        <w:jc w:val="left"/>
        <w:rPr>
          <w:sz w:val="24"/>
        </w:rPr>
      </w:pPr>
      <w:r>
        <w:rPr>
          <w:b/>
          <w:sz w:val="24"/>
        </w:rPr>
        <w:t>Civil proceedings. </w:t>
      </w:r>
      <w:r>
        <w:rPr>
          <w:sz w:val="24"/>
        </w:rPr>
        <w:t>Any party aggrieved by a final decision of an impartial hearing officer, or by the Governor or the Governor's designee, may bring a civil action for review of the decision. The action may be brought in any State court of competent jurisdiction or in a district court of the United States of competent jurisdiction without regard to the amount in controversy. If a party brings a civil action, the final decision of the impartial hearing officer, or of the Governor or the Governor's designee, shall be implemented</w:t>
      </w:r>
      <w:r>
        <w:rPr>
          <w:spacing w:val="-4"/>
          <w:sz w:val="24"/>
        </w:rPr>
        <w:t> </w:t>
      </w:r>
      <w:r>
        <w:rPr>
          <w:sz w:val="24"/>
        </w:rPr>
        <w:t>pending</w:t>
      </w:r>
      <w:r>
        <w:rPr>
          <w:spacing w:val="-3"/>
          <w:sz w:val="24"/>
        </w:rPr>
        <w:t> </w:t>
      </w:r>
      <w:r>
        <w:rPr>
          <w:sz w:val="24"/>
        </w:rPr>
        <w:t>review</w:t>
      </w:r>
      <w:r>
        <w:rPr>
          <w:spacing w:val="-4"/>
          <w:sz w:val="24"/>
        </w:rPr>
        <w:t> </w:t>
      </w:r>
      <w:r>
        <w:rPr>
          <w:sz w:val="24"/>
        </w:rPr>
        <w:t>by</w:t>
      </w:r>
      <w:r>
        <w:rPr>
          <w:spacing w:val="-4"/>
          <w:sz w:val="24"/>
        </w:rPr>
        <w:t> </w:t>
      </w:r>
      <w:r>
        <w:rPr>
          <w:sz w:val="24"/>
        </w:rPr>
        <w:t>the</w:t>
      </w:r>
      <w:r>
        <w:rPr>
          <w:spacing w:val="-4"/>
          <w:sz w:val="24"/>
        </w:rPr>
        <w:t> </w:t>
      </w:r>
      <w:r>
        <w:rPr>
          <w:sz w:val="24"/>
        </w:rPr>
        <w:t>court.</w:t>
      </w:r>
      <w:r>
        <w:rPr>
          <w:spacing w:val="-5"/>
          <w:sz w:val="24"/>
        </w:rPr>
        <w:t> </w:t>
      </w:r>
      <w:r>
        <w:rPr>
          <w:sz w:val="24"/>
        </w:rPr>
        <w:t>In</w:t>
      </w:r>
      <w:r>
        <w:rPr>
          <w:spacing w:val="-4"/>
          <w:sz w:val="24"/>
        </w:rPr>
        <w:t> </w:t>
      </w:r>
      <w:r>
        <w:rPr>
          <w:sz w:val="24"/>
        </w:rPr>
        <w:t>any</w:t>
      </w:r>
      <w:r>
        <w:rPr>
          <w:spacing w:val="-4"/>
          <w:sz w:val="24"/>
        </w:rPr>
        <w:t> </w:t>
      </w:r>
      <w:r>
        <w:rPr>
          <w:sz w:val="24"/>
        </w:rPr>
        <w:t>action</w:t>
      </w:r>
      <w:r>
        <w:rPr>
          <w:spacing w:val="-4"/>
          <w:sz w:val="24"/>
        </w:rPr>
        <w:t> </w:t>
      </w:r>
      <w:r>
        <w:rPr>
          <w:sz w:val="24"/>
        </w:rPr>
        <w:t>brought</w:t>
      </w:r>
      <w:r>
        <w:rPr>
          <w:spacing w:val="-3"/>
          <w:sz w:val="24"/>
        </w:rPr>
        <w:t> </w:t>
      </w:r>
      <w:r>
        <w:rPr>
          <w:sz w:val="24"/>
        </w:rPr>
        <w:t>under</w:t>
      </w:r>
      <w:r>
        <w:rPr>
          <w:spacing w:val="-3"/>
          <w:sz w:val="24"/>
        </w:rPr>
        <w:t> </w:t>
      </w:r>
      <w:r>
        <w:rPr>
          <w:sz w:val="24"/>
        </w:rPr>
        <w:t>this</w:t>
      </w:r>
      <w:r>
        <w:rPr>
          <w:spacing w:val="-4"/>
          <w:sz w:val="24"/>
        </w:rPr>
        <w:t> </w:t>
      </w:r>
      <w:r>
        <w:rPr>
          <w:sz w:val="24"/>
        </w:rPr>
        <w:t>Subsection, the court:</w:t>
      </w:r>
    </w:p>
    <w:p>
      <w:pPr>
        <w:pStyle w:val="ListParagraph"/>
        <w:spacing w:after="0" w:line="208" w:lineRule="auto"/>
        <w:jc w:val="left"/>
        <w:rPr>
          <w:sz w:val="24"/>
        </w:rPr>
        <w:sectPr>
          <w:pgSz w:w="12240" w:h="15840"/>
          <w:pgMar w:top="1340" w:bottom="280" w:left="1080" w:right="720"/>
        </w:sectPr>
      </w:pPr>
    </w:p>
    <w:p>
      <w:pPr>
        <w:pStyle w:val="ListParagraph"/>
        <w:numPr>
          <w:ilvl w:val="1"/>
          <w:numId w:val="79"/>
        </w:numPr>
        <w:tabs>
          <w:tab w:pos="1217" w:val="left" w:leader="none"/>
        </w:tabs>
        <w:spacing w:line="208" w:lineRule="auto" w:before="96" w:after="0"/>
        <w:ind w:left="791" w:right="854" w:firstLine="0"/>
        <w:jc w:val="left"/>
        <w:rPr>
          <w:sz w:val="24"/>
        </w:rPr>
      </w:pPr>
      <w:r>
        <w:rPr>
          <w:sz w:val="24"/>
        </w:rPr>
        <w:t>shall</w:t>
      </w:r>
      <w:r>
        <w:rPr>
          <w:spacing w:val="-3"/>
          <w:sz w:val="24"/>
        </w:rPr>
        <w:t> </w:t>
      </w:r>
      <w:r>
        <w:rPr>
          <w:sz w:val="24"/>
        </w:rPr>
        <w:t>receive</w:t>
      </w:r>
      <w:r>
        <w:rPr>
          <w:spacing w:val="-3"/>
          <w:sz w:val="24"/>
        </w:rPr>
        <w:t> </w:t>
      </w:r>
      <w:r>
        <w:rPr>
          <w:sz w:val="24"/>
        </w:rPr>
        <w:t>the</w:t>
      </w:r>
      <w:r>
        <w:rPr>
          <w:spacing w:val="-3"/>
          <w:sz w:val="24"/>
        </w:rPr>
        <w:t> </w:t>
      </w:r>
      <w:r>
        <w:rPr>
          <w:sz w:val="24"/>
        </w:rPr>
        <w:t>records</w:t>
      </w:r>
      <w:r>
        <w:rPr>
          <w:spacing w:val="-3"/>
          <w:sz w:val="24"/>
        </w:rPr>
        <w:t> </w:t>
      </w:r>
      <w:r>
        <w:rPr>
          <w:sz w:val="24"/>
        </w:rPr>
        <w:t>relating</w:t>
      </w:r>
      <w:r>
        <w:rPr>
          <w:spacing w:val="-3"/>
          <w:sz w:val="24"/>
        </w:rPr>
        <w:t> </w:t>
      </w:r>
      <w:r>
        <w:rPr>
          <w:sz w:val="24"/>
        </w:rPr>
        <w:t>to</w:t>
      </w:r>
      <w:r>
        <w:rPr>
          <w:spacing w:val="-3"/>
          <w:sz w:val="24"/>
        </w:rPr>
        <w:t> </w:t>
      </w:r>
      <w:r>
        <w:rPr>
          <w:sz w:val="24"/>
        </w:rPr>
        <w:t>the</w:t>
      </w:r>
      <w:r>
        <w:rPr>
          <w:spacing w:val="-4"/>
          <w:sz w:val="24"/>
        </w:rPr>
        <w:t> </w:t>
      </w:r>
      <w:r>
        <w:rPr>
          <w:sz w:val="24"/>
        </w:rPr>
        <w:t>hearing,</w:t>
      </w:r>
      <w:r>
        <w:rPr>
          <w:spacing w:val="-2"/>
          <w:sz w:val="24"/>
        </w:rPr>
        <w:t> </w:t>
      </w:r>
      <w:r>
        <w:rPr>
          <w:sz w:val="24"/>
        </w:rPr>
        <w:t>and</w:t>
      </w:r>
      <w:r>
        <w:rPr>
          <w:spacing w:val="-3"/>
          <w:sz w:val="24"/>
        </w:rPr>
        <w:t> </w:t>
      </w:r>
      <w:r>
        <w:rPr>
          <w:sz w:val="24"/>
        </w:rPr>
        <w:t>the</w:t>
      </w:r>
      <w:r>
        <w:rPr>
          <w:spacing w:val="-3"/>
          <w:sz w:val="24"/>
        </w:rPr>
        <w:t> </w:t>
      </w:r>
      <w:r>
        <w:rPr>
          <w:sz w:val="24"/>
        </w:rPr>
        <w:t>records</w:t>
      </w:r>
      <w:r>
        <w:rPr>
          <w:spacing w:val="-3"/>
          <w:sz w:val="24"/>
        </w:rPr>
        <w:t> </w:t>
      </w:r>
      <w:r>
        <w:rPr>
          <w:sz w:val="24"/>
        </w:rPr>
        <w:t>relating</w:t>
      </w:r>
      <w:r>
        <w:rPr>
          <w:spacing w:val="-3"/>
          <w:sz w:val="24"/>
        </w:rPr>
        <w:t> </w:t>
      </w:r>
      <w:r>
        <w:rPr>
          <w:sz w:val="24"/>
        </w:rPr>
        <w:t>to</w:t>
      </w:r>
      <w:r>
        <w:rPr>
          <w:spacing w:val="-3"/>
          <w:sz w:val="24"/>
        </w:rPr>
        <w:t> </w:t>
      </w:r>
      <w:r>
        <w:rPr>
          <w:sz w:val="24"/>
        </w:rPr>
        <w:t>any review conducted under (f)(10), if applicable;</w:t>
      </w:r>
    </w:p>
    <w:p>
      <w:pPr>
        <w:pStyle w:val="ListParagraph"/>
        <w:numPr>
          <w:ilvl w:val="1"/>
          <w:numId w:val="79"/>
        </w:numPr>
        <w:tabs>
          <w:tab w:pos="1217" w:val="left" w:leader="none"/>
        </w:tabs>
        <w:spacing w:line="240" w:lineRule="auto" w:before="210" w:after="0"/>
        <w:ind w:left="1217" w:right="0" w:hanging="426"/>
        <w:jc w:val="left"/>
        <w:rPr>
          <w:sz w:val="24"/>
        </w:rPr>
      </w:pPr>
      <w:r>
        <w:rPr>
          <w:sz w:val="24"/>
        </w:rPr>
        <w:t>shall</w:t>
      </w:r>
      <w:r>
        <w:rPr>
          <w:spacing w:val="-3"/>
          <w:sz w:val="24"/>
        </w:rPr>
        <w:t> </w:t>
      </w:r>
      <w:r>
        <w:rPr>
          <w:sz w:val="24"/>
        </w:rPr>
        <w:t>hear</w:t>
      </w:r>
      <w:r>
        <w:rPr>
          <w:spacing w:val="-1"/>
          <w:sz w:val="24"/>
        </w:rPr>
        <w:t> </w:t>
      </w:r>
      <w:r>
        <w:rPr>
          <w:sz w:val="24"/>
        </w:rPr>
        <w:t>additional</w:t>
      </w:r>
      <w:r>
        <w:rPr>
          <w:spacing w:val="-3"/>
          <w:sz w:val="24"/>
        </w:rPr>
        <w:t> </w:t>
      </w:r>
      <w:r>
        <w:rPr>
          <w:sz w:val="24"/>
        </w:rPr>
        <w:t>evidence</w:t>
      </w:r>
      <w:r>
        <w:rPr>
          <w:spacing w:val="-2"/>
          <w:sz w:val="24"/>
        </w:rPr>
        <w:t> </w:t>
      </w:r>
      <w:r>
        <w:rPr>
          <w:sz w:val="24"/>
        </w:rPr>
        <w:t>at</w:t>
      </w:r>
      <w:r>
        <w:rPr>
          <w:spacing w:val="-1"/>
          <w:sz w:val="24"/>
        </w:rPr>
        <w:t> </w:t>
      </w:r>
      <w:r>
        <w:rPr>
          <w:sz w:val="24"/>
        </w:rPr>
        <w:t>the</w:t>
      </w:r>
      <w:r>
        <w:rPr>
          <w:spacing w:val="-4"/>
          <w:sz w:val="24"/>
        </w:rPr>
        <w:t> </w:t>
      </w:r>
      <w:r>
        <w:rPr>
          <w:sz w:val="24"/>
        </w:rPr>
        <w:t>request</w:t>
      </w:r>
      <w:r>
        <w:rPr>
          <w:spacing w:val="-1"/>
          <w:sz w:val="24"/>
        </w:rPr>
        <w:t> </w:t>
      </w:r>
      <w:r>
        <w:rPr>
          <w:sz w:val="24"/>
        </w:rPr>
        <w:t>of</w:t>
      </w:r>
      <w:r>
        <w:rPr>
          <w:spacing w:val="-2"/>
          <w:sz w:val="24"/>
        </w:rPr>
        <w:t> </w:t>
      </w:r>
      <w:r>
        <w:rPr>
          <w:sz w:val="24"/>
        </w:rPr>
        <w:t>a</w:t>
      </w:r>
      <w:r>
        <w:rPr>
          <w:spacing w:val="-2"/>
          <w:sz w:val="24"/>
        </w:rPr>
        <w:t> </w:t>
      </w:r>
      <w:r>
        <w:rPr>
          <w:sz w:val="24"/>
        </w:rPr>
        <w:t>party</w:t>
      </w:r>
      <w:r>
        <w:rPr>
          <w:spacing w:val="-2"/>
          <w:sz w:val="24"/>
        </w:rPr>
        <w:t> </w:t>
      </w:r>
      <w:r>
        <w:rPr>
          <w:sz w:val="24"/>
        </w:rPr>
        <w:t>to</w:t>
      </w:r>
      <w:r>
        <w:rPr>
          <w:spacing w:val="-4"/>
          <w:sz w:val="24"/>
        </w:rPr>
        <w:t> </w:t>
      </w:r>
      <w:r>
        <w:rPr>
          <w:sz w:val="24"/>
        </w:rPr>
        <w:t>the</w:t>
      </w:r>
      <w:r>
        <w:rPr>
          <w:spacing w:val="-3"/>
          <w:sz w:val="24"/>
        </w:rPr>
        <w:t> </w:t>
      </w:r>
      <w:r>
        <w:rPr>
          <w:sz w:val="24"/>
        </w:rPr>
        <w:t>action;</w:t>
      </w:r>
      <w:r>
        <w:rPr>
          <w:spacing w:val="-1"/>
          <w:sz w:val="24"/>
        </w:rPr>
        <w:t> </w:t>
      </w:r>
      <w:r>
        <w:rPr>
          <w:spacing w:val="-5"/>
          <w:sz w:val="24"/>
        </w:rPr>
        <w:t>and</w:t>
      </w:r>
    </w:p>
    <w:p>
      <w:pPr>
        <w:pStyle w:val="ListParagraph"/>
        <w:numPr>
          <w:ilvl w:val="1"/>
          <w:numId w:val="79"/>
        </w:numPr>
        <w:tabs>
          <w:tab w:pos="1217" w:val="left" w:leader="none"/>
        </w:tabs>
        <w:spacing w:line="208" w:lineRule="auto" w:before="234" w:after="0"/>
        <w:ind w:left="791" w:right="1160" w:firstLine="0"/>
        <w:jc w:val="left"/>
        <w:rPr>
          <w:sz w:val="24"/>
        </w:rPr>
      </w:pPr>
      <w:r>
        <w:rPr>
          <w:sz w:val="24"/>
        </w:rPr>
        <w:t>basing</w:t>
      </w:r>
      <w:r>
        <w:rPr>
          <w:spacing w:val="-5"/>
          <w:sz w:val="24"/>
        </w:rPr>
        <w:t> </w:t>
      </w:r>
      <w:r>
        <w:rPr>
          <w:sz w:val="24"/>
        </w:rPr>
        <w:t>the</w:t>
      </w:r>
      <w:r>
        <w:rPr>
          <w:spacing w:val="-4"/>
          <w:sz w:val="24"/>
        </w:rPr>
        <w:t> </w:t>
      </w:r>
      <w:r>
        <w:rPr>
          <w:sz w:val="24"/>
        </w:rPr>
        <w:t>decision</w:t>
      </w:r>
      <w:r>
        <w:rPr>
          <w:spacing w:val="-4"/>
          <w:sz w:val="24"/>
        </w:rPr>
        <w:t> </w:t>
      </w:r>
      <w:r>
        <w:rPr>
          <w:sz w:val="24"/>
        </w:rPr>
        <w:t>of</w:t>
      </w:r>
      <w:r>
        <w:rPr>
          <w:spacing w:val="-3"/>
          <w:sz w:val="24"/>
        </w:rPr>
        <w:t> </w:t>
      </w:r>
      <w:r>
        <w:rPr>
          <w:sz w:val="24"/>
        </w:rPr>
        <w:t>the</w:t>
      </w:r>
      <w:r>
        <w:rPr>
          <w:spacing w:val="-4"/>
          <w:sz w:val="24"/>
        </w:rPr>
        <w:t> </w:t>
      </w:r>
      <w:r>
        <w:rPr>
          <w:sz w:val="24"/>
        </w:rPr>
        <w:t>court</w:t>
      </w:r>
      <w:r>
        <w:rPr>
          <w:spacing w:val="-3"/>
          <w:sz w:val="24"/>
        </w:rPr>
        <w:t> </w:t>
      </w:r>
      <w:r>
        <w:rPr>
          <w:sz w:val="24"/>
        </w:rPr>
        <w:t>on</w:t>
      </w:r>
      <w:r>
        <w:rPr>
          <w:spacing w:val="-4"/>
          <w:sz w:val="24"/>
        </w:rPr>
        <w:t> </w:t>
      </w:r>
      <w:r>
        <w:rPr>
          <w:sz w:val="24"/>
        </w:rPr>
        <w:t>the</w:t>
      </w:r>
      <w:r>
        <w:rPr>
          <w:spacing w:val="-4"/>
          <w:sz w:val="24"/>
        </w:rPr>
        <w:t> </w:t>
      </w:r>
      <w:r>
        <w:rPr>
          <w:sz w:val="24"/>
        </w:rPr>
        <w:t>preponderance</w:t>
      </w:r>
      <w:r>
        <w:rPr>
          <w:spacing w:val="-4"/>
          <w:sz w:val="24"/>
        </w:rPr>
        <w:t> </w:t>
      </w:r>
      <w:r>
        <w:rPr>
          <w:sz w:val="24"/>
        </w:rPr>
        <w:t>of</w:t>
      </w:r>
      <w:r>
        <w:rPr>
          <w:spacing w:val="-3"/>
          <w:sz w:val="24"/>
        </w:rPr>
        <w:t> </w:t>
      </w:r>
      <w:r>
        <w:rPr>
          <w:sz w:val="24"/>
        </w:rPr>
        <w:t>the</w:t>
      </w:r>
      <w:r>
        <w:rPr>
          <w:spacing w:val="-4"/>
          <w:sz w:val="24"/>
        </w:rPr>
        <w:t> </w:t>
      </w:r>
      <w:r>
        <w:rPr>
          <w:sz w:val="24"/>
        </w:rPr>
        <w:t>evidence,</w:t>
      </w:r>
      <w:r>
        <w:rPr>
          <w:spacing w:val="-3"/>
          <w:sz w:val="24"/>
        </w:rPr>
        <w:t> </w:t>
      </w:r>
      <w:r>
        <w:rPr>
          <w:sz w:val="24"/>
        </w:rPr>
        <w:t>shall grant such relief as the court determines to be appropriate. [29 USC 722]</w:t>
      </w:r>
    </w:p>
    <w:p>
      <w:pPr>
        <w:pStyle w:val="ListParagraph"/>
        <w:numPr>
          <w:ilvl w:val="0"/>
          <w:numId w:val="79"/>
        </w:numPr>
        <w:tabs>
          <w:tab w:pos="786" w:val="left" w:leader="none"/>
        </w:tabs>
        <w:spacing w:line="208" w:lineRule="auto" w:before="239" w:after="0"/>
        <w:ind w:left="360" w:right="795" w:firstLine="0"/>
        <w:jc w:val="left"/>
        <w:rPr>
          <w:sz w:val="24"/>
        </w:rPr>
      </w:pPr>
      <w:r>
        <w:rPr>
          <w:b/>
          <w:sz w:val="24"/>
        </w:rPr>
        <w:t>Standards</w:t>
      </w:r>
      <w:r>
        <w:rPr>
          <w:b/>
          <w:spacing w:val="-4"/>
          <w:sz w:val="24"/>
        </w:rPr>
        <w:t> </w:t>
      </w:r>
      <w:r>
        <w:rPr>
          <w:b/>
          <w:sz w:val="24"/>
        </w:rPr>
        <w:t>for</w:t>
      </w:r>
      <w:r>
        <w:rPr>
          <w:b/>
          <w:spacing w:val="-4"/>
          <w:sz w:val="24"/>
        </w:rPr>
        <w:t> </w:t>
      </w:r>
      <w:r>
        <w:rPr>
          <w:b/>
          <w:sz w:val="24"/>
        </w:rPr>
        <w:t>impartial</w:t>
      </w:r>
      <w:r>
        <w:rPr>
          <w:b/>
          <w:spacing w:val="-3"/>
          <w:sz w:val="24"/>
        </w:rPr>
        <w:t> </w:t>
      </w:r>
      <w:r>
        <w:rPr>
          <w:b/>
          <w:sz w:val="24"/>
        </w:rPr>
        <w:t>hearing</w:t>
      </w:r>
      <w:r>
        <w:rPr>
          <w:b/>
          <w:spacing w:val="-4"/>
          <w:sz w:val="24"/>
        </w:rPr>
        <w:t> </w:t>
      </w:r>
      <w:r>
        <w:rPr>
          <w:b/>
          <w:sz w:val="24"/>
        </w:rPr>
        <w:t>officers.</w:t>
      </w:r>
      <w:r>
        <w:rPr>
          <w:b/>
          <w:spacing w:val="-3"/>
          <w:sz w:val="24"/>
        </w:rPr>
        <w:t> </w:t>
      </w:r>
      <w:r>
        <w:rPr>
          <w:sz w:val="24"/>
        </w:rPr>
        <w:t>In</w:t>
      </w:r>
      <w:r>
        <w:rPr>
          <w:spacing w:val="-4"/>
          <w:sz w:val="24"/>
        </w:rPr>
        <w:t> </w:t>
      </w:r>
      <w:r>
        <w:rPr>
          <w:sz w:val="24"/>
        </w:rPr>
        <w:t>addition</w:t>
      </w:r>
      <w:r>
        <w:rPr>
          <w:spacing w:val="-4"/>
          <w:sz w:val="24"/>
        </w:rPr>
        <w:t> </w:t>
      </w:r>
      <w:r>
        <w:rPr>
          <w:sz w:val="24"/>
        </w:rPr>
        <w:t>to</w:t>
      </w:r>
      <w:r>
        <w:rPr>
          <w:spacing w:val="-4"/>
          <w:sz w:val="24"/>
        </w:rPr>
        <w:t> </w:t>
      </w:r>
      <w:r>
        <w:rPr>
          <w:sz w:val="24"/>
        </w:rPr>
        <w:t>qualifications</w:t>
      </w:r>
      <w:r>
        <w:rPr>
          <w:spacing w:val="-4"/>
          <w:sz w:val="24"/>
        </w:rPr>
        <w:t> </w:t>
      </w:r>
      <w:r>
        <w:rPr>
          <w:sz w:val="24"/>
        </w:rPr>
        <w:t>required</w:t>
      </w:r>
      <w:r>
        <w:rPr>
          <w:spacing w:val="-4"/>
          <w:sz w:val="24"/>
        </w:rPr>
        <w:t> </w:t>
      </w:r>
      <w:r>
        <w:rPr>
          <w:sz w:val="24"/>
        </w:rPr>
        <w:t>in</w:t>
      </w:r>
      <w:r>
        <w:rPr>
          <w:spacing w:val="-4"/>
          <w:sz w:val="24"/>
        </w:rPr>
        <w:t> </w:t>
      </w:r>
      <w:r>
        <w:rPr>
          <w:sz w:val="24"/>
        </w:rPr>
        <w:t>a contract with the Department, an impartial hearing officer must meet the standards set forth in (1) through (6) of this Subsection:</w:t>
      </w:r>
    </w:p>
    <w:p>
      <w:pPr>
        <w:pStyle w:val="ListParagraph"/>
        <w:numPr>
          <w:ilvl w:val="1"/>
          <w:numId w:val="79"/>
        </w:numPr>
        <w:tabs>
          <w:tab w:pos="1218" w:val="left" w:leader="none"/>
        </w:tabs>
        <w:spacing w:line="208" w:lineRule="auto" w:before="240" w:after="0"/>
        <w:ind w:left="792" w:right="1184" w:firstLine="0"/>
        <w:jc w:val="left"/>
        <w:rPr>
          <w:sz w:val="24"/>
        </w:rPr>
      </w:pPr>
      <w:r>
        <w:rPr>
          <w:sz w:val="24"/>
        </w:rPr>
        <w:t>cannot</w:t>
      </w:r>
      <w:r>
        <w:rPr>
          <w:spacing w:val="-4"/>
          <w:sz w:val="24"/>
        </w:rPr>
        <w:t> </w:t>
      </w:r>
      <w:r>
        <w:rPr>
          <w:sz w:val="24"/>
        </w:rPr>
        <w:t>be</w:t>
      </w:r>
      <w:r>
        <w:rPr>
          <w:spacing w:val="-3"/>
          <w:sz w:val="24"/>
        </w:rPr>
        <w:t> </w:t>
      </w:r>
      <w:r>
        <w:rPr>
          <w:sz w:val="24"/>
        </w:rPr>
        <w:t>an</w:t>
      </w:r>
      <w:r>
        <w:rPr>
          <w:spacing w:val="-3"/>
          <w:sz w:val="24"/>
        </w:rPr>
        <w:t> </w:t>
      </w:r>
      <w:r>
        <w:rPr>
          <w:sz w:val="24"/>
        </w:rPr>
        <w:t>employee</w:t>
      </w:r>
      <w:r>
        <w:rPr>
          <w:spacing w:val="-3"/>
          <w:sz w:val="24"/>
        </w:rPr>
        <w:t> </w:t>
      </w:r>
      <w:r>
        <w:rPr>
          <w:sz w:val="24"/>
        </w:rPr>
        <w:t>of</w:t>
      </w:r>
      <w:r>
        <w:rPr>
          <w:spacing w:val="-2"/>
          <w:sz w:val="24"/>
        </w:rPr>
        <w:t> </w:t>
      </w:r>
      <w:r>
        <w:rPr>
          <w:sz w:val="24"/>
        </w:rPr>
        <w:t>a</w:t>
      </w:r>
      <w:r>
        <w:rPr>
          <w:spacing w:val="-3"/>
          <w:sz w:val="24"/>
        </w:rPr>
        <w:t> </w:t>
      </w:r>
      <w:r>
        <w:rPr>
          <w:sz w:val="24"/>
        </w:rPr>
        <w:t>public</w:t>
      </w:r>
      <w:r>
        <w:rPr>
          <w:spacing w:val="-3"/>
          <w:sz w:val="24"/>
        </w:rPr>
        <w:t> </w:t>
      </w:r>
      <w:r>
        <w:rPr>
          <w:sz w:val="24"/>
        </w:rPr>
        <w:t>agency</w:t>
      </w:r>
      <w:r>
        <w:rPr>
          <w:spacing w:val="-3"/>
          <w:sz w:val="24"/>
        </w:rPr>
        <w:t> </w:t>
      </w:r>
      <w:r>
        <w:rPr>
          <w:sz w:val="24"/>
        </w:rPr>
        <w:t>(other</w:t>
      </w:r>
      <w:r>
        <w:rPr>
          <w:spacing w:val="-4"/>
          <w:sz w:val="24"/>
        </w:rPr>
        <w:t> </w:t>
      </w:r>
      <w:r>
        <w:rPr>
          <w:sz w:val="24"/>
        </w:rPr>
        <w:t>than</w:t>
      </w:r>
      <w:r>
        <w:rPr>
          <w:spacing w:val="-3"/>
          <w:sz w:val="24"/>
        </w:rPr>
        <w:t> </w:t>
      </w:r>
      <w:r>
        <w:rPr>
          <w:sz w:val="24"/>
        </w:rPr>
        <w:t>an</w:t>
      </w:r>
      <w:r>
        <w:rPr>
          <w:spacing w:val="-3"/>
          <w:sz w:val="24"/>
        </w:rPr>
        <w:t> </w:t>
      </w:r>
      <w:r>
        <w:rPr>
          <w:sz w:val="24"/>
        </w:rPr>
        <w:t>administrative</w:t>
      </w:r>
      <w:r>
        <w:rPr>
          <w:spacing w:val="-3"/>
          <w:sz w:val="24"/>
        </w:rPr>
        <w:t> </w:t>
      </w:r>
      <w:r>
        <w:rPr>
          <w:sz w:val="24"/>
        </w:rPr>
        <w:t>law judge, hearing examiner, or employee of an institution of higher learning);</w:t>
      </w:r>
    </w:p>
    <w:p>
      <w:pPr>
        <w:pStyle w:val="ListParagraph"/>
        <w:numPr>
          <w:ilvl w:val="1"/>
          <w:numId w:val="79"/>
        </w:numPr>
        <w:tabs>
          <w:tab w:pos="1218" w:val="left" w:leader="none"/>
        </w:tabs>
        <w:spacing w:line="240" w:lineRule="auto" w:before="211" w:after="0"/>
        <w:ind w:left="1218" w:right="0" w:hanging="426"/>
        <w:jc w:val="left"/>
        <w:rPr>
          <w:sz w:val="24"/>
        </w:rPr>
      </w:pPr>
      <w:r>
        <w:rPr>
          <w:sz w:val="24"/>
        </w:rPr>
        <w:t>cannot</w:t>
      </w:r>
      <w:r>
        <w:rPr>
          <w:spacing w:val="-4"/>
          <w:sz w:val="24"/>
        </w:rPr>
        <w:t> </w:t>
      </w:r>
      <w:r>
        <w:rPr>
          <w:sz w:val="24"/>
        </w:rPr>
        <w:t>be</w:t>
      </w:r>
      <w:r>
        <w:rPr>
          <w:spacing w:val="-3"/>
          <w:sz w:val="24"/>
        </w:rPr>
        <w:t> </w:t>
      </w:r>
      <w:r>
        <w:rPr>
          <w:sz w:val="24"/>
        </w:rPr>
        <w:t>a</w:t>
      </w:r>
      <w:r>
        <w:rPr>
          <w:spacing w:val="-3"/>
          <w:sz w:val="24"/>
        </w:rPr>
        <w:t> </w:t>
      </w:r>
      <w:r>
        <w:rPr>
          <w:sz w:val="24"/>
        </w:rPr>
        <w:t>member</w:t>
      </w:r>
      <w:r>
        <w:rPr>
          <w:spacing w:val="-3"/>
          <w:sz w:val="24"/>
        </w:rPr>
        <w:t> </w:t>
      </w:r>
      <w:r>
        <w:rPr>
          <w:sz w:val="24"/>
        </w:rPr>
        <w:t>of</w:t>
      </w:r>
      <w:r>
        <w:rPr>
          <w:spacing w:val="-3"/>
          <w:sz w:val="24"/>
        </w:rPr>
        <w:t> </w:t>
      </w:r>
      <w:r>
        <w:rPr>
          <w:sz w:val="24"/>
        </w:rPr>
        <w:t>the</w:t>
      </w:r>
      <w:r>
        <w:rPr>
          <w:spacing w:val="-3"/>
          <w:sz w:val="24"/>
        </w:rPr>
        <w:t> </w:t>
      </w:r>
      <w:r>
        <w:rPr>
          <w:sz w:val="24"/>
        </w:rPr>
        <w:t>Oklahoma</w:t>
      </w:r>
      <w:r>
        <w:rPr>
          <w:spacing w:val="-3"/>
          <w:sz w:val="24"/>
        </w:rPr>
        <w:t> </w:t>
      </w:r>
      <w:r>
        <w:rPr>
          <w:sz w:val="24"/>
        </w:rPr>
        <w:t>Rehabilitation</w:t>
      </w:r>
      <w:r>
        <w:rPr>
          <w:spacing w:val="-3"/>
          <w:sz w:val="24"/>
        </w:rPr>
        <w:t> </w:t>
      </w:r>
      <w:r>
        <w:rPr>
          <w:spacing w:val="-2"/>
          <w:sz w:val="24"/>
        </w:rPr>
        <w:t>Council;</w:t>
      </w:r>
    </w:p>
    <w:p>
      <w:pPr>
        <w:pStyle w:val="ListParagraph"/>
        <w:numPr>
          <w:ilvl w:val="1"/>
          <w:numId w:val="79"/>
        </w:numPr>
        <w:tabs>
          <w:tab w:pos="1218" w:val="left" w:leader="none"/>
        </w:tabs>
        <w:spacing w:line="208" w:lineRule="auto" w:before="233" w:after="0"/>
        <w:ind w:left="792" w:right="814" w:firstLine="0"/>
        <w:jc w:val="left"/>
        <w:rPr>
          <w:sz w:val="24"/>
        </w:rPr>
      </w:pPr>
      <w:r>
        <w:rPr>
          <w:sz w:val="24"/>
        </w:rPr>
        <w:t>has</w:t>
      </w:r>
      <w:r>
        <w:rPr>
          <w:spacing w:val="-4"/>
          <w:sz w:val="24"/>
        </w:rPr>
        <w:t> </w:t>
      </w:r>
      <w:r>
        <w:rPr>
          <w:sz w:val="24"/>
        </w:rPr>
        <w:t>not</w:t>
      </w:r>
      <w:r>
        <w:rPr>
          <w:spacing w:val="-5"/>
          <w:sz w:val="24"/>
        </w:rPr>
        <w:t> </w:t>
      </w:r>
      <w:r>
        <w:rPr>
          <w:sz w:val="24"/>
        </w:rPr>
        <w:t>been</w:t>
      </w:r>
      <w:r>
        <w:rPr>
          <w:spacing w:val="-4"/>
          <w:sz w:val="24"/>
        </w:rPr>
        <w:t> </w:t>
      </w:r>
      <w:r>
        <w:rPr>
          <w:sz w:val="24"/>
        </w:rPr>
        <w:t>involved</w:t>
      </w:r>
      <w:r>
        <w:rPr>
          <w:spacing w:val="-4"/>
          <w:sz w:val="24"/>
        </w:rPr>
        <w:t> </w:t>
      </w:r>
      <w:r>
        <w:rPr>
          <w:sz w:val="24"/>
        </w:rPr>
        <w:t>previously</w:t>
      </w:r>
      <w:r>
        <w:rPr>
          <w:spacing w:val="-4"/>
          <w:sz w:val="24"/>
        </w:rPr>
        <w:t> </w:t>
      </w:r>
      <w:r>
        <w:rPr>
          <w:sz w:val="24"/>
        </w:rPr>
        <w:t>in</w:t>
      </w:r>
      <w:r>
        <w:rPr>
          <w:spacing w:val="-4"/>
          <w:sz w:val="24"/>
        </w:rPr>
        <w:t> </w:t>
      </w:r>
      <w:r>
        <w:rPr>
          <w:sz w:val="24"/>
        </w:rPr>
        <w:t>the</w:t>
      </w:r>
      <w:r>
        <w:rPr>
          <w:spacing w:val="-4"/>
          <w:sz w:val="24"/>
        </w:rPr>
        <w:t> </w:t>
      </w:r>
      <w:r>
        <w:rPr>
          <w:sz w:val="24"/>
        </w:rPr>
        <w:t>vocational</w:t>
      </w:r>
      <w:r>
        <w:rPr>
          <w:spacing w:val="-4"/>
          <w:sz w:val="24"/>
        </w:rPr>
        <w:t> </w:t>
      </w:r>
      <w:r>
        <w:rPr>
          <w:sz w:val="24"/>
        </w:rPr>
        <w:t>rehabilitation</w:t>
      </w:r>
      <w:r>
        <w:rPr>
          <w:spacing w:val="-4"/>
          <w:sz w:val="24"/>
        </w:rPr>
        <w:t> </w:t>
      </w:r>
      <w:r>
        <w:rPr>
          <w:sz w:val="24"/>
        </w:rPr>
        <w:t>of</w:t>
      </w:r>
      <w:r>
        <w:rPr>
          <w:spacing w:val="-3"/>
          <w:sz w:val="24"/>
        </w:rPr>
        <w:t> </w:t>
      </w:r>
      <w:r>
        <w:rPr>
          <w:sz w:val="24"/>
        </w:rPr>
        <w:t>the</w:t>
      </w:r>
      <w:r>
        <w:rPr>
          <w:spacing w:val="-4"/>
          <w:sz w:val="24"/>
        </w:rPr>
        <w:t> </w:t>
      </w:r>
      <w:r>
        <w:rPr>
          <w:sz w:val="24"/>
        </w:rPr>
        <w:t>applicant or eligible individual;</w:t>
      </w:r>
    </w:p>
    <w:p>
      <w:pPr>
        <w:pStyle w:val="ListParagraph"/>
        <w:numPr>
          <w:ilvl w:val="1"/>
          <w:numId w:val="79"/>
        </w:numPr>
        <w:tabs>
          <w:tab w:pos="1217" w:val="left" w:leader="none"/>
        </w:tabs>
        <w:spacing w:line="208" w:lineRule="auto" w:before="240" w:after="0"/>
        <w:ind w:left="792" w:right="1026" w:firstLine="0"/>
        <w:jc w:val="left"/>
        <w:rPr>
          <w:sz w:val="24"/>
        </w:rPr>
      </w:pPr>
      <w:r>
        <w:rPr>
          <w:sz w:val="24"/>
        </w:rPr>
        <w:t>must have knowledge of the delivery of vocational rehabilitation services, the State</w:t>
      </w:r>
      <w:r>
        <w:rPr>
          <w:spacing w:val="-3"/>
          <w:sz w:val="24"/>
        </w:rPr>
        <w:t> </w:t>
      </w:r>
      <w:r>
        <w:rPr>
          <w:sz w:val="24"/>
        </w:rPr>
        <w:t>plan</w:t>
      </w:r>
      <w:r>
        <w:rPr>
          <w:spacing w:val="-3"/>
          <w:sz w:val="24"/>
        </w:rPr>
        <w:t> </w:t>
      </w:r>
      <w:r>
        <w:rPr>
          <w:sz w:val="24"/>
        </w:rPr>
        <w:t>required</w:t>
      </w:r>
      <w:r>
        <w:rPr>
          <w:spacing w:val="-3"/>
          <w:sz w:val="24"/>
        </w:rPr>
        <w:t> </w:t>
      </w:r>
      <w:r>
        <w:rPr>
          <w:sz w:val="24"/>
        </w:rPr>
        <w:t>under</w:t>
      </w:r>
      <w:r>
        <w:rPr>
          <w:spacing w:val="-2"/>
          <w:sz w:val="24"/>
        </w:rPr>
        <w:t> </w:t>
      </w:r>
      <w:r>
        <w:rPr>
          <w:sz w:val="24"/>
        </w:rPr>
        <w:t>Section</w:t>
      </w:r>
      <w:r>
        <w:rPr>
          <w:spacing w:val="-2"/>
          <w:sz w:val="24"/>
        </w:rPr>
        <w:t> </w:t>
      </w:r>
      <w:r>
        <w:rPr>
          <w:sz w:val="24"/>
        </w:rPr>
        <w:t>101</w:t>
      </w:r>
      <w:r>
        <w:rPr>
          <w:spacing w:val="-3"/>
          <w:sz w:val="24"/>
        </w:rPr>
        <w:t> </w:t>
      </w:r>
      <w:r>
        <w:rPr>
          <w:sz w:val="24"/>
        </w:rPr>
        <w:t>of</w:t>
      </w:r>
      <w:r>
        <w:rPr>
          <w:spacing w:val="-2"/>
          <w:sz w:val="24"/>
        </w:rPr>
        <w:t> </w:t>
      </w:r>
      <w:r>
        <w:rPr>
          <w:sz w:val="24"/>
        </w:rPr>
        <w:t>the</w:t>
      </w:r>
      <w:r>
        <w:rPr>
          <w:spacing w:val="-4"/>
          <w:sz w:val="24"/>
        </w:rPr>
        <w:t> </w:t>
      </w:r>
      <w:r>
        <w:rPr>
          <w:sz w:val="24"/>
        </w:rPr>
        <w:t>Act,</w:t>
      </w:r>
      <w:r>
        <w:rPr>
          <w:spacing w:val="-2"/>
          <w:sz w:val="24"/>
        </w:rPr>
        <w:t> </w:t>
      </w:r>
      <w:r>
        <w:rPr>
          <w:sz w:val="24"/>
        </w:rPr>
        <w:t>and</w:t>
      </w:r>
      <w:r>
        <w:rPr>
          <w:spacing w:val="-3"/>
          <w:sz w:val="24"/>
        </w:rPr>
        <w:t> </w:t>
      </w:r>
      <w:r>
        <w:rPr>
          <w:sz w:val="24"/>
        </w:rPr>
        <w:t>the</w:t>
      </w:r>
      <w:r>
        <w:rPr>
          <w:spacing w:val="-3"/>
          <w:sz w:val="24"/>
        </w:rPr>
        <w:t> </w:t>
      </w:r>
      <w:r>
        <w:rPr>
          <w:sz w:val="24"/>
        </w:rPr>
        <w:t>Federal</w:t>
      </w:r>
      <w:r>
        <w:rPr>
          <w:spacing w:val="-3"/>
          <w:sz w:val="24"/>
        </w:rPr>
        <w:t> </w:t>
      </w:r>
      <w:r>
        <w:rPr>
          <w:sz w:val="24"/>
        </w:rPr>
        <w:t>and</w:t>
      </w:r>
      <w:r>
        <w:rPr>
          <w:spacing w:val="-3"/>
          <w:sz w:val="24"/>
        </w:rPr>
        <w:t> </w:t>
      </w:r>
      <w:r>
        <w:rPr>
          <w:sz w:val="24"/>
        </w:rPr>
        <w:t>State</w:t>
      </w:r>
      <w:r>
        <w:rPr>
          <w:spacing w:val="-3"/>
          <w:sz w:val="24"/>
        </w:rPr>
        <w:t> </w:t>
      </w:r>
      <w:r>
        <w:rPr>
          <w:sz w:val="24"/>
        </w:rPr>
        <w:t>rules governing the provision of such services and training with respect to the performance of official duties;</w:t>
      </w:r>
    </w:p>
    <w:p>
      <w:pPr>
        <w:pStyle w:val="ListParagraph"/>
        <w:numPr>
          <w:ilvl w:val="1"/>
          <w:numId w:val="79"/>
        </w:numPr>
        <w:tabs>
          <w:tab w:pos="1217" w:val="left" w:leader="none"/>
        </w:tabs>
        <w:spacing w:line="208" w:lineRule="auto" w:before="239" w:after="0"/>
        <w:ind w:left="792" w:right="719" w:firstLine="0"/>
        <w:jc w:val="left"/>
        <w:rPr>
          <w:sz w:val="24"/>
        </w:rPr>
      </w:pPr>
      <w:r>
        <w:rPr>
          <w:sz w:val="24"/>
        </w:rPr>
        <w:t>must</w:t>
      </w:r>
      <w:r>
        <w:rPr>
          <w:spacing w:val="-4"/>
          <w:sz w:val="24"/>
        </w:rPr>
        <w:t> </w:t>
      </w:r>
      <w:r>
        <w:rPr>
          <w:sz w:val="24"/>
        </w:rPr>
        <w:t>have</w:t>
      </w:r>
      <w:r>
        <w:rPr>
          <w:spacing w:val="-3"/>
          <w:sz w:val="24"/>
        </w:rPr>
        <w:t> </w:t>
      </w:r>
      <w:r>
        <w:rPr>
          <w:sz w:val="24"/>
        </w:rPr>
        <w:t>no</w:t>
      </w:r>
      <w:r>
        <w:rPr>
          <w:spacing w:val="-3"/>
          <w:sz w:val="24"/>
        </w:rPr>
        <w:t> </w:t>
      </w:r>
      <w:r>
        <w:rPr>
          <w:sz w:val="24"/>
        </w:rPr>
        <w:t>personal,</w:t>
      </w:r>
      <w:r>
        <w:rPr>
          <w:spacing w:val="-2"/>
          <w:sz w:val="24"/>
        </w:rPr>
        <w:t> </w:t>
      </w:r>
      <w:r>
        <w:rPr>
          <w:sz w:val="24"/>
        </w:rPr>
        <w:t>professional</w:t>
      </w:r>
      <w:r>
        <w:rPr>
          <w:spacing w:val="-3"/>
          <w:sz w:val="24"/>
        </w:rPr>
        <w:t> </w:t>
      </w:r>
      <w:r>
        <w:rPr>
          <w:sz w:val="24"/>
        </w:rPr>
        <w:t>or</w:t>
      </w:r>
      <w:r>
        <w:rPr>
          <w:spacing w:val="-2"/>
          <w:sz w:val="24"/>
        </w:rPr>
        <w:t> </w:t>
      </w:r>
      <w:r>
        <w:rPr>
          <w:sz w:val="24"/>
        </w:rPr>
        <w:t>financial</w:t>
      </w:r>
      <w:r>
        <w:rPr>
          <w:spacing w:val="-3"/>
          <w:sz w:val="24"/>
        </w:rPr>
        <w:t> </w:t>
      </w:r>
      <w:r>
        <w:rPr>
          <w:sz w:val="24"/>
        </w:rPr>
        <w:t>interest</w:t>
      </w:r>
      <w:r>
        <w:rPr>
          <w:spacing w:val="-2"/>
          <w:sz w:val="24"/>
        </w:rPr>
        <w:t> </w:t>
      </w:r>
      <w:r>
        <w:rPr>
          <w:sz w:val="24"/>
        </w:rPr>
        <w:t>that</w:t>
      </w:r>
      <w:r>
        <w:rPr>
          <w:spacing w:val="-5"/>
          <w:sz w:val="24"/>
        </w:rPr>
        <w:t> </w:t>
      </w:r>
      <w:r>
        <w:rPr>
          <w:sz w:val="24"/>
        </w:rPr>
        <w:t>would</w:t>
      </w:r>
      <w:r>
        <w:rPr>
          <w:spacing w:val="-3"/>
          <w:sz w:val="24"/>
        </w:rPr>
        <w:t> </w:t>
      </w:r>
      <w:r>
        <w:rPr>
          <w:sz w:val="24"/>
        </w:rPr>
        <w:t>be</w:t>
      </w:r>
      <w:r>
        <w:rPr>
          <w:spacing w:val="-3"/>
          <w:sz w:val="24"/>
        </w:rPr>
        <w:t> </w:t>
      </w:r>
      <w:r>
        <w:rPr>
          <w:sz w:val="24"/>
        </w:rPr>
        <w:t>in</w:t>
      </w:r>
      <w:r>
        <w:rPr>
          <w:spacing w:val="-2"/>
          <w:sz w:val="24"/>
        </w:rPr>
        <w:t> </w:t>
      </w:r>
      <w:r>
        <w:rPr>
          <w:sz w:val="24"/>
        </w:rPr>
        <w:t>conflict with the objectivity of the impartial hearing officer; and</w:t>
      </w:r>
    </w:p>
    <w:p>
      <w:pPr>
        <w:pStyle w:val="ListParagraph"/>
        <w:numPr>
          <w:ilvl w:val="1"/>
          <w:numId w:val="79"/>
        </w:numPr>
        <w:tabs>
          <w:tab w:pos="1217" w:val="left" w:leader="none"/>
        </w:tabs>
        <w:spacing w:line="208" w:lineRule="auto" w:before="240" w:after="0"/>
        <w:ind w:left="792" w:right="1029" w:firstLine="0"/>
        <w:jc w:val="left"/>
        <w:rPr>
          <w:sz w:val="24"/>
        </w:rPr>
      </w:pPr>
      <w:r>
        <w:rPr>
          <w:sz w:val="24"/>
        </w:rPr>
        <w:t>must</w:t>
      </w:r>
      <w:r>
        <w:rPr>
          <w:spacing w:val="-6"/>
          <w:sz w:val="24"/>
        </w:rPr>
        <w:t> </w:t>
      </w:r>
      <w:r>
        <w:rPr>
          <w:sz w:val="24"/>
        </w:rPr>
        <w:t>have</w:t>
      </w:r>
      <w:r>
        <w:rPr>
          <w:spacing w:val="-5"/>
          <w:sz w:val="24"/>
        </w:rPr>
        <w:t> </w:t>
      </w:r>
      <w:r>
        <w:rPr>
          <w:sz w:val="24"/>
        </w:rPr>
        <w:t>successfully</w:t>
      </w:r>
      <w:r>
        <w:rPr>
          <w:spacing w:val="-5"/>
          <w:sz w:val="24"/>
        </w:rPr>
        <w:t> </w:t>
      </w:r>
      <w:r>
        <w:rPr>
          <w:sz w:val="24"/>
        </w:rPr>
        <w:t>completed</w:t>
      </w:r>
      <w:r>
        <w:rPr>
          <w:spacing w:val="-5"/>
          <w:sz w:val="24"/>
        </w:rPr>
        <w:t> </w:t>
      </w:r>
      <w:r>
        <w:rPr>
          <w:sz w:val="24"/>
        </w:rPr>
        <w:t>impartial</w:t>
      </w:r>
      <w:r>
        <w:rPr>
          <w:spacing w:val="-5"/>
          <w:sz w:val="24"/>
        </w:rPr>
        <w:t> </w:t>
      </w:r>
      <w:r>
        <w:rPr>
          <w:sz w:val="24"/>
        </w:rPr>
        <w:t>hearing</w:t>
      </w:r>
      <w:r>
        <w:rPr>
          <w:spacing w:val="-4"/>
          <w:sz w:val="24"/>
        </w:rPr>
        <w:t> </w:t>
      </w:r>
      <w:r>
        <w:rPr>
          <w:sz w:val="24"/>
        </w:rPr>
        <w:t>officer</w:t>
      </w:r>
      <w:r>
        <w:rPr>
          <w:spacing w:val="-6"/>
          <w:sz w:val="24"/>
        </w:rPr>
        <w:t> </w:t>
      </w:r>
      <w:r>
        <w:rPr>
          <w:sz w:val="24"/>
        </w:rPr>
        <w:t>training</w:t>
      </w:r>
      <w:r>
        <w:rPr>
          <w:spacing w:val="-5"/>
          <w:sz w:val="24"/>
        </w:rPr>
        <w:t> </w:t>
      </w:r>
      <w:r>
        <w:rPr>
          <w:sz w:val="24"/>
        </w:rPr>
        <w:t>presented by DRS.</w:t>
      </w:r>
    </w:p>
    <w:p>
      <w:pPr>
        <w:pStyle w:val="ListParagraph"/>
        <w:numPr>
          <w:ilvl w:val="0"/>
          <w:numId w:val="79"/>
        </w:numPr>
        <w:tabs>
          <w:tab w:pos="706" w:val="left" w:leader="none"/>
        </w:tabs>
        <w:spacing w:line="208" w:lineRule="auto" w:before="240" w:after="0"/>
        <w:ind w:left="360" w:right="1527" w:firstLine="0"/>
        <w:jc w:val="left"/>
        <w:rPr>
          <w:sz w:val="24"/>
        </w:rPr>
      </w:pPr>
      <w:r>
        <w:rPr>
          <w:b/>
          <w:sz w:val="24"/>
        </w:rPr>
        <w:t>Standards</w:t>
      </w:r>
      <w:r>
        <w:rPr>
          <w:b/>
          <w:spacing w:val="-4"/>
          <w:sz w:val="24"/>
        </w:rPr>
        <w:t> </w:t>
      </w:r>
      <w:r>
        <w:rPr>
          <w:b/>
          <w:sz w:val="24"/>
        </w:rPr>
        <w:t>for</w:t>
      </w:r>
      <w:r>
        <w:rPr>
          <w:b/>
          <w:spacing w:val="-4"/>
          <w:sz w:val="24"/>
        </w:rPr>
        <w:t> </w:t>
      </w:r>
      <w:r>
        <w:rPr>
          <w:b/>
          <w:sz w:val="24"/>
        </w:rPr>
        <w:t>impartial</w:t>
      </w:r>
      <w:r>
        <w:rPr>
          <w:b/>
          <w:spacing w:val="-3"/>
          <w:sz w:val="24"/>
        </w:rPr>
        <w:t> </w:t>
      </w:r>
      <w:r>
        <w:rPr>
          <w:b/>
          <w:sz w:val="24"/>
        </w:rPr>
        <w:t>mediators.</w:t>
      </w:r>
      <w:r>
        <w:rPr>
          <w:b/>
          <w:spacing w:val="-4"/>
          <w:sz w:val="24"/>
        </w:rPr>
        <w:t> </w:t>
      </w:r>
      <w:r>
        <w:rPr>
          <w:sz w:val="24"/>
        </w:rPr>
        <w:t>In</w:t>
      </w:r>
      <w:r>
        <w:rPr>
          <w:spacing w:val="-5"/>
          <w:sz w:val="24"/>
        </w:rPr>
        <w:t> </w:t>
      </w:r>
      <w:r>
        <w:rPr>
          <w:sz w:val="24"/>
        </w:rPr>
        <w:t>addition</w:t>
      </w:r>
      <w:r>
        <w:rPr>
          <w:spacing w:val="-4"/>
          <w:sz w:val="24"/>
        </w:rPr>
        <w:t> </w:t>
      </w:r>
      <w:r>
        <w:rPr>
          <w:sz w:val="24"/>
        </w:rPr>
        <w:t>to</w:t>
      </w:r>
      <w:r>
        <w:rPr>
          <w:spacing w:val="-5"/>
          <w:sz w:val="24"/>
        </w:rPr>
        <w:t> </w:t>
      </w:r>
      <w:r>
        <w:rPr>
          <w:sz w:val="24"/>
        </w:rPr>
        <w:t>qualifications</w:t>
      </w:r>
      <w:r>
        <w:rPr>
          <w:spacing w:val="-4"/>
          <w:sz w:val="24"/>
        </w:rPr>
        <w:t> </w:t>
      </w:r>
      <w:r>
        <w:rPr>
          <w:sz w:val="24"/>
        </w:rPr>
        <w:t>required</w:t>
      </w:r>
      <w:r>
        <w:rPr>
          <w:spacing w:val="-3"/>
          <w:sz w:val="24"/>
        </w:rPr>
        <w:t> </w:t>
      </w:r>
      <w:r>
        <w:rPr>
          <w:sz w:val="24"/>
        </w:rPr>
        <w:t>in</w:t>
      </w:r>
      <w:r>
        <w:rPr>
          <w:spacing w:val="-4"/>
          <w:sz w:val="24"/>
        </w:rPr>
        <w:t> </w:t>
      </w:r>
      <w:r>
        <w:rPr>
          <w:sz w:val="24"/>
        </w:rPr>
        <w:t>a contract with the Department, an impartial mediator:</w:t>
      </w:r>
    </w:p>
    <w:p>
      <w:pPr>
        <w:pStyle w:val="ListParagraph"/>
        <w:numPr>
          <w:ilvl w:val="1"/>
          <w:numId w:val="79"/>
        </w:numPr>
        <w:tabs>
          <w:tab w:pos="1218" w:val="left" w:leader="none"/>
        </w:tabs>
        <w:spacing w:line="240" w:lineRule="auto" w:before="211" w:after="0"/>
        <w:ind w:left="1218" w:right="0" w:hanging="426"/>
        <w:jc w:val="left"/>
        <w:rPr>
          <w:sz w:val="24"/>
        </w:rPr>
      </w:pPr>
      <w:r>
        <w:rPr>
          <w:sz w:val="24"/>
        </w:rPr>
        <w:t>will</w:t>
      </w:r>
      <w:r>
        <w:rPr>
          <w:spacing w:val="-5"/>
          <w:sz w:val="24"/>
        </w:rPr>
        <w:t> </w:t>
      </w:r>
      <w:r>
        <w:rPr>
          <w:sz w:val="24"/>
        </w:rPr>
        <w:t>be</w:t>
      </w:r>
      <w:r>
        <w:rPr>
          <w:spacing w:val="-3"/>
          <w:sz w:val="24"/>
        </w:rPr>
        <w:t> </w:t>
      </w:r>
      <w:r>
        <w:rPr>
          <w:sz w:val="24"/>
        </w:rPr>
        <w:t>trained</w:t>
      </w:r>
      <w:r>
        <w:rPr>
          <w:spacing w:val="-3"/>
          <w:sz w:val="24"/>
        </w:rPr>
        <w:t> </w:t>
      </w:r>
      <w:r>
        <w:rPr>
          <w:sz w:val="24"/>
        </w:rPr>
        <w:t>and</w:t>
      </w:r>
      <w:r>
        <w:rPr>
          <w:spacing w:val="-3"/>
          <w:sz w:val="24"/>
        </w:rPr>
        <w:t> </w:t>
      </w:r>
      <w:r>
        <w:rPr>
          <w:sz w:val="24"/>
        </w:rPr>
        <w:t>certified</w:t>
      </w:r>
      <w:r>
        <w:rPr>
          <w:spacing w:val="-3"/>
          <w:sz w:val="24"/>
        </w:rPr>
        <w:t> </w:t>
      </w:r>
      <w:r>
        <w:rPr>
          <w:sz w:val="24"/>
        </w:rPr>
        <w:t>or</w:t>
      </w:r>
      <w:r>
        <w:rPr>
          <w:spacing w:val="-3"/>
          <w:sz w:val="24"/>
        </w:rPr>
        <w:t> </w:t>
      </w:r>
      <w:r>
        <w:rPr>
          <w:sz w:val="24"/>
        </w:rPr>
        <w:t>licensed</w:t>
      </w:r>
      <w:r>
        <w:rPr>
          <w:spacing w:val="-3"/>
          <w:sz w:val="24"/>
        </w:rPr>
        <w:t> </w:t>
      </w:r>
      <w:r>
        <w:rPr>
          <w:sz w:val="24"/>
        </w:rPr>
        <w:t>in</w:t>
      </w:r>
      <w:r>
        <w:rPr>
          <w:spacing w:val="-2"/>
          <w:sz w:val="24"/>
        </w:rPr>
        <w:t> </w:t>
      </w:r>
      <w:r>
        <w:rPr>
          <w:sz w:val="24"/>
        </w:rPr>
        <w:t>effective</w:t>
      </w:r>
      <w:r>
        <w:rPr>
          <w:spacing w:val="-3"/>
          <w:sz w:val="24"/>
        </w:rPr>
        <w:t> </w:t>
      </w:r>
      <w:r>
        <w:rPr>
          <w:sz w:val="24"/>
        </w:rPr>
        <w:t>mediation</w:t>
      </w:r>
      <w:r>
        <w:rPr>
          <w:spacing w:val="-3"/>
          <w:sz w:val="24"/>
        </w:rPr>
        <w:t> </w:t>
      </w:r>
      <w:r>
        <w:rPr>
          <w:spacing w:val="-2"/>
          <w:sz w:val="24"/>
        </w:rPr>
        <w:t>techniques;</w:t>
      </w:r>
    </w:p>
    <w:p>
      <w:pPr>
        <w:pStyle w:val="ListParagraph"/>
        <w:numPr>
          <w:ilvl w:val="1"/>
          <w:numId w:val="79"/>
        </w:numPr>
        <w:tabs>
          <w:tab w:pos="1218" w:val="left" w:leader="none"/>
        </w:tabs>
        <w:spacing w:line="208" w:lineRule="auto" w:before="233" w:after="0"/>
        <w:ind w:left="792" w:right="933" w:firstLine="0"/>
        <w:jc w:val="left"/>
        <w:rPr>
          <w:sz w:val="24"/>
        </w:rPr>
      </w:pPr>
      <w:r>
        <w:rPr>
          <w:sz w:val="24"/>
        </w:rPr>
        <w:t>will not be an employee of a public agency (other than an Administrative Law Judge,</w:t>
      </w:r>
      <w:r>
        <w:rPr>
          <w:spacing w:val="-3"/>
          <w:sz w:val="24"/>
        </w:rPr>
        <w:t> </w:t>
      </w:r>
      <w:r>
        <w:rPr>
          <w:sz w:val="24"/>
        </w:rPr>
        <w:t>hearing</w:t>
      </w:r>
      <w:r>
        <w:rPr>
          <w:spacing w:val="-4"/>
          <w:sz w:val="24"/>
        </w:rPr>
        <w:t> </w:t>
      </w:r>
      <w:r>
        <w:rPr>
          <w:sz w:val="24"/>
        </w:rPr>
        <w:t>examiner,</w:t>
      </w:r>
      <w:r>
        <w:rPr>
          <w:spacing w:val="-3"/>
          <w:sz w:val="24"/>
        </w:rPr>
        <w:t> </w:t>
      </w:r>
      <w:r>
        <w:rPr>
          <w:sz w:val="24"/>
        </w:rPr>
        <w:t>employee</w:t>
      </w:r>
      <w:r>
        <w:rPr>
          <w:spacing w:val="-4"/>
          <w:sz w:val="24"/>
        </w:rPr>
        <w:t> </w:t>
      </w:r>
      <w:r>
        <w:rPr>
          <w:sz w:val="24"/>
        </w:rPr>
        <w:t>of</w:t>
      </w:r>
      <w:r>
        <w:rPr>
          <w:spacing w:val="-3"/>
          <w:sz w:val="24"/>
        </w:rPr>
        <w:t> </w:t>
      </w:r>
      <w:r>
        <w:rPr>
          <w:sz w:val="24"/>
        </w:rPr>
        <w:t>a</w:t>
      </w:r>
      <w:r>
        <w:rPr>
          <w:spacing w:val="-4"/>
          <w:sz w:val="24"/>
        </w:rPr>
        <w:t> </w:t>
      </w:r>
      <w:r>
        <w:rPr>
          <w:sz w:val="24"/>
        </w:rPr>
        <w:t>State</w:t>
      </w:r>
      <w:r>
        <w:rPr>
          <w:spacing w:val="-4"/>
          <w:sz w:val="24"/>
        </w:rPr>
        <w:t> </w:t>
      </w:r>
      <w:r>
        <w:rPr>
          <w:sz w:val="24"/>
        </w:rPr>
        <w:t>Office</w:t>
      </w:r>
      <w:r>
        <w:rPr>
          <w:spacing w:val="-4"/>
          <w:sz w:val="24"/>
        </w:rPr>
        <w:t> </w:t>
      </w:r>
      <w:r>
        <w:rPr>
          <w:sz w:val="24"/>
        </w:rPr>
        <w:t>of</w:t>
      </w:r>
      <w:r>
        <w:rPr>
          <w:spacing w:val="-3"/>
          <w:sz w:val="24"/>
        </w:rPr>
        <w:t> </w:t>
      </w:r>
      <w:r>
        <w:rPr>
          <w:sz w:val="24"/>
        </w:rPr>
        <w:t>Mediators,</w:t>
      </w:r>
      <w:r>
        <w:rPr>
          <w:spacing w:val="-3"/>
          <w:sz w:val="24"/>
        </w:rPr>
        <w:t> </w:t>
      </w:r>
      <w:r>
        <w:rPr>
          <w:sz w:val="24"/>
        </w:rPr>
        <w:t>or</w:t>
      </w:r>
      <w:r>
        <w:rPr>
          <w:spacing w:val="-3"/>
          <w:sz w:val="24"/>
        </w:rPr>
        <w:t> </w:t>
      </w:r>
      <w:r>
        <w:rPr>
          <w:sz w:val="24"/>
        </w:rPr>
        <w:t>employee</w:t>
      </w:r>
      <w:r>
        <w:rPr>
          <w:spacing w:val="-4"/>
          <w:sz w:val="24"/>
        </w:rPr>
        <w:t> </w:t>
      </w:r>
      <w:r>
        <w:rPr>
          <w:sz w:val="24"/>
        </w:rPr>
        <w:t>of an institution of higher education);</w:t>
      </w:r>
    </w:p>
    <w:p>
      <w:pPr>
        <w:pStyle w:val="ListParagraph"/>
        <w:numPr>
          <w:ilvl w:val="1"/>
          <w:numId w:val="79"/>
        </w:numPr>
        <w:tabs>
          <w:tab w:pos="1218" w:val="left" w:leader="none"/>
        </w:tabs>
        <w:spacing w:line="240" w:lineRule="auto" w:before="210" w:after="0"/>
        <w:ind w:left="1218" w:right="0" w:hanging="426"/>
        <w:jc w:val="left"/>
        <w:rPr>
          <w:sz w:val="24"/>
        </w:rPr>
      </w:pPr>
      <w:r>
        <w:rPr>
          <w:sz w:val="24"/>
        </w:rPr>
        <w:t>will</w:t>
      </w:r>
      <w:r>
        <w:rPr>
          <w:spacing w:val="-3"/>
          <w:sz w:val="24"/>
        </w:rPr>
        <w:t> </w:t>
      </w:r>
      <w:r>
        <w:rPr>
          <w:sz w:val="24"/>
        </w:rPr>
        <w:t>not</w:t>
      </w:r>
      <w:r>
        <w:rPr>
          <w:spacing w:val="-4"/>
          <w:sz w:val="24"/>
        </w:rPr>
        <w:t> </w:t>
      </w:r>
      <w:r>
        <w:rPr>
          <w:sz w:val="24"/>
        </w:rPr>
        <w:t>be</w:t>
      </w:r>
      <w:r>
        <w:rPr>
          <w:spacing w:val="-3"/>
          <w:sz w:val="24"/>
        </w:rPr>
        <w:t> </w:t>
      </w:r>
      <w:r>
        <w:rPr>
          <w:sz w:val="24"/>
        </w:rPr>
        <w:t>a</w:t>
      </w:r>
      <w:r>
        <w:rPr>
          <w:spacing w:val="-3"/>
          <w:sz w:val="24"/>
        </w:rPr>
        <w:t> </w:t>
      </w:r>
      <w:r>
        <w:rPr>
          <w:sz w:val="24"/>
        </w:rPr>
        <w:t>member</w:t>
      </w:r>
      <w:r>
        <w:rPr>
          <w:spacing w:val="-1"/>
          <w:sz w:val="24"/>
        </w:rPr>
        <w:t> </w:t>
      </w:r>
      <w:r>
        <w:rPr>
          <w:sz w:val="24"/>
        </w:rPr>
        <w:t>of</w:t>
      </w:r>
      <w:r>
        <w:rPr>
          <w:spacing w:val="-4"/>
          <w:sz w:val="24"/>
        </w:rPr>
        <w:t> </w:t>
      </w:r>
      <w:r>
        <w:rPr>
          <w:sz w:val="24"/>
        </w:rPr>
        <w:t>the</w:t>
      </w:r>
      <w:r>
        <w:rPr>
          <w:spacing w:val="-3"/>
          <w:sz w:val="24"/>
        </w:rPr>
        <w:t> </w:t>
      </w:r>
      <w:r>
        <w:rPr>
          <w:sz w:val="24"/>
        </w:rPr>
        <w:t>Oklahoma</w:t>
      </w:r>
      <w:r>
        <w:rPr>
          <w:spacing w:val="-3"/>
          <w:sz w:val="24"/>
        </w:rPr>
        <w:t> </w:t>
      </w:r>
      <w:r>
        <w:rPr>
          <w:sz w:val="24"/>
        </w:rPr>
        <w:t>Rehabilitation</w:t>
      </w:r>
      <w:r>
        <w:rPr>
          <w:spacing w:val="-2"/>
          <w:sz w:val="24"/>
        </w:rPr>
        <w:t> Council;</w:t>
      </w:r>
    </w:p>
    <w:p>
      <w:pPr>
        <w:pStyle w:val="ListParagraph"/>
        <w:numPr>
          <w:ilvl w:val="1"/>
          <w:numId w:val="79"/>
        </w:numPr>
        <w:tabs>
          <w:tab w:pos="1217" w:val="left" w:leader="none"/>
        </w:tabs>
        <w:spacing w:line="208" w:lineRule="auto" w:before="234" w:after="0"/>
        <w:ind w:left="792" w:right="972" w:firstLine="0"/>
        <w:jc w:val="left"/>
        <w:rPr>
          <w:sz w:val="24"/>
        </w:rPr>
      </w:pPr>
      <w:r>
        <w:rPr>
          <w:sz w:val="24"/>
        </w:rPr>
        <w:t>must</w:t>
      </w:r>
      <w:r>
        <w:rPr>
          <w:spacing w:val="-4"/>
          <w:sz w:val="24"/>
        </w:rPr>
        <w:t> </w:t>
      </w:r>
      <w:r>
        <w:rPr>
          <w:sz w:val="24"/>
        </w:rPr>
        <w:t>be</w:t>
      </w:r>
      <w:r>
        <w:rPr>
          <w:spacing w:val="-3"/>
          <w:sz w:val="24"/>
        </w:rPr>
        <w:t> </w:t>
      </w:r>
      <w:r>
        <w:rPr>
          <w:sz w:val="24"/>
        </w:rPr>
        <w:t>knowledgeable</w:t>
      </w:r>
      <w:r>
        <w:rPr>
          <w:spacing w:val="-3"/>
          <w:sz w:val="24"/>
        </w:rPr>
        <w:t> </w:t>
      </w:r>
      <w:r>
        <w:rPr>
          <w:sz w:val="24"/>
        </w:rPr>
        <w:t>in</w:t>
      </w:r>
      <w:r>
        <w:rPr>
          <w:spacing w:val="-3"/>
          <w:sz w:val="24"/>
        </w:rPr>
        <w:t> </w:t>
      </w:r>
      <w:r>
        <w:rPr>
          <w:sz w:val="24"/>
        </w:rPr>
        <w:t>laws</w:t>
      </w:r>
      <w:r>
        <w:rPr>
          <w:spacing w:val="-3"/>
          <w:sz w:val="24"/>
        </w:rPr>
        <w:t> </w:t>
      </w:r>
      <w:r>
        <w:rPr>
          <w:sz w:val="24"/>
        </w:rPr>
        <w:t>and</w:t>
      </w:r>
      <w:r>
        <w:rPr>
          <w:spacing w:val="-3"/>
          <w:sz w:val="24"/>
        </w:rPr>
        <w:t> </w:t>
      </w:r>
      <w:r>
        <w:rPr>
          <w:sz w:val="24"/>
        </w:rPr>
        <w:t>regulations</w:t>
      </w:r>
      <w:r>
        <w:rPr>
          <w:spacing w:val="-3"/>
          <w:sz w:val="24"/>
        </w:rPr>
        <w:t> </w:t>
      </w:r>
      <w:r>
        <w:rPr>
          <w:sz w:val="24"/>
        </w:rPr>
        <w:t>relating</w:t>
      </w:r>
      <w:r>
        <w:rPr>
          <w:spacing w:val="-3"/>
          <w:sz w:val="24"/>
        </w:rPr>
        <w:t> </w:t>
      </w:r>
      <w:r>
        <w:rPr>
          <w:sz w:val="24"/>
        </w:rPr>
        <w:t>to</w:t>
      </w:r>
      <w:r>
        <w:rPr>
          <w:spacing w:val="-3"/>
          <w:sz w:val="24"/>
        </w:rPr>
        <w:t> </w:t>
      </w:r>
      <w:r>
        <w:rPr>
          <w:sz w:val="24"/>
        </w:rPr>
        <w:t>the</w:t>
      </w:r>
      <w:r>
        <w:rPr>
          <w:spacing w:val="-3"/>
          <w:sz w:val="24"/>
        </w:rPr>
        <w:t> </w:t>
      </w:r>
      <w:r>
        <w:rPr>
          <w:sz w:val="24"/>
        </w:rPr>
        <w:t>provision</w:t>
      </w:r>
      <w:r>
        <w:rPr>
          <w:spacing w:val="-3"/>
          <w:sz w:val="24"/>
        </w:rPr>
        <w:t> </w:t>
      </w:r>
      <w:r>
        <w:rPr>
          <w:sz w:val="24"/>
        </w:rPr>
        <w:t>of</w:t>
      </w:r>
      <w:r>
        <w:rPr>
          <w:spacing w:val="-2"/>
          <w:sz w:val="24"/>
        </w:rPr>
        <w:t> </w:t>
      </w:r>
      <w:r>
        <w:rPr>
          <w:sz w:val="24"/>
        </w:rPr>
        <w:t>VR </w:t>
      </w:r>
      <w:r>
        <w:rPr>
          <w:spacing w:val="-2"/>
          <w:sz w:val="24"/>
        </w:rPr>
        <w:t>services;</w:t>
      </w:r>
    </w:p>
    <w:p>
      <w:pPr>
        <w:pStyle w:val="ListParagraph"/>
        <w:numPr>
          <w:ilvl w:val="1"/>
          <w:numId w:val="79"/>
        </w:numPr>
        <w:tabs>
          <w:tab w:pos="1218" w:val="left" w:leader="none"/>
        </w:tabs>
        <w:spacing w:line="208" w:lineRule="auto" w:before="239" w:after="0"/>
        <w:ind w:left="792" w:right="813" w:firstLine="0"/>
        <w:jc w:val="left"/>
        <w:rPr>
          <w:sz w:val="24"/>
        </w:rPr>
      </w:pPr>
      <w:r>
        <w:rPr>
          <w:sz w:val="24"/>
        </w:rPr>
        <w:t>has</w:t>
      </w:r>
      <w:r>
        <w:rPr>
          <w:spacing w:val="-4"/>
          <w:sz w:val="24"/>
        </w:rPr>
        <w:t> </w:t>
      </w:r>
      <w:r>
        <w:rPr>
          <w:sz w:val="24"/>
        </w:rPr>
        <w:t>not</w:t>
      </w:r>
      <w:r>
        <w:rPr>
          <w:spacing w:val="-5"/>
          <w:sz w:val="24"/>
        </w:rPr>
        <w:t> </w:t>
      </w:r>
      <w:r>
        <w:rPr>
          <w:sz w:val="24"/>
        </w:rPr>
        <w:t>been</w:t>
      </w:r>
      <w:r>
        <w:rPr>
          <w:spacing w:val="-4"/>
          <w:sz w:val="24"/>
        </w:rPr>
        <w:t> </w:t>
      </w:r>
      <w:r>
        <w:rPr>
          <w:sz w:val="24"/>
        </w:rPr>
        <w:t>involved</w:t>
      </w:r>
      <w:r>
        <w:rPr>
          <w:spacing w:val="-4"/>
          <w:sz w:val="24"/>
        </w:rPr>
        <w:t> </w:t>
      </w:r>
      <w:r>
        <w:rPr>
          <w:sz w:val="24"/>
        </w:rPr>
        <w:t>previously</w:t>
      </w:r>
      <w:r>
        <w:rPr>
          <w:spacing w:val="-4"/>
          <w:sz w:val="24"/>
        </w:rPr>
        <w:t> </w:t>
      </w:r>
      <w:r>
        <w:rPr>
          <w:sz w:val="24"/>
        </w:rPr>
        <w:t>in</w:t>
      </w:r>
      <w:r>
        <w:rPr>
          <w:spacing w:val="-4"/>
          <w:sz w:val="24"/>
        </w:rPr>
        <w:t> </w:t>
      </w:r>
      <w:r>
        <w:rPr>
          <w:sz w:val="24"/>
        </w:rPr>
        <w:t>the</w:t>
      </w:r>
      <w:r>
        <w:rPr>
          <w:spacing w:val="-4"/>
          <w:sz w:val="24"/>
        </w:rPr>
        <w:t> </w:t>
      </w:r>
      <w:r>
        <w:rPr>
          <w:sz w:val="24"/>
        </w:rPr>
        <w:t>vocational</w:t>
      </w:r>
      <w:r>
        <w:rPr>
          <w:spacing w:val="-4"/>
          <w:sz w:val="24"/>
        </w:rPr>
        <w:t> </w:t>
      </w:r>
      <w:r>
        <w:rPr>
          <w:sz w:val="24"/>
        </w:rPr>
        <w:t>rehabilitation</w:t>
      </w:r>
      <w:r>
        <w:rPr>
          <w:spacing w:val="-4"/>
          <w:sz w:val="24"/>
        </w:rPr>
        <w:t> </w:t>
      </w:r>
      <w:r>
        <w:rPr>
          <w:sz w:val="24"/>
        </w:rPr>
        <w:t>of</w:t>
      </w:r>
      <w:r>
        <w:rPr>
          <w:spacing w:val="-3"/>
          <w:sz w:val="24"/>
        </w:rPr>
        <w:t> </w:t>
      </w:r>
      <w:r>
        <w:rPr>
          <w:sz w:val="24"/>
        </w:rPr>
        <w:t>the</w:t>
      </w:r>
      <w:r>
        <w:rPr>
          <w:spacing w:val="-4"/>
          <w:sz w:val="24"/>
        </w:rPr>
        <w:t> </w:t>
      </w:r>
      <w:r>
        <w:rPr>
          <w:sz w:val="24"/>
        </w:rPr>
        <w:t>applicant or eligible individual; and</w:t>
      </w:r>
    </w:p>
    <w:p>
      <w:pPr>
        <w:pStyle w:val="ListParagraph"/>
        <w:numPr>
          <w:ilvl w:val="1"/>
          <w:numId w:val="79"/>
        </w:numPr>
        <w:tabs>
          <w:tab w:pos="1217" w:val="left" w:leader="none"/>
        </w:tabs>
        <w:spacing w:line="208" w:lineRule="auto" w:before="240" w:after="0"/>
        <w:ind w:left="792" w:right="719" w:firstLine="0"/>
        <w:jc w:val="left"/>
        <w:rPr>
          <w:sz w:val="24"/>
        </w:rPr>
      </w:pPr>
      <w:r>
        <w:rPr>
          <w:sz w:val="24"/>
        </w:rPr>
        <w:t>must</w:t>
      </w:r>
      <w:r>
        <w:rPr>
          <w:spacing w:val="-4"/>
          <w:sz w:val="24"/>
        </w:rPr>
        <w:t> </w:t>
      </w:r>
      <w:r>
        <w:rPr>
          <w:sz w:val="24"/>
        </w:rPr>
        <w:t>have</w:t>
      </w:r>
      <w:r>
        <w:rPr>
          <w:spacing w:val="-3"/>
          <w:sz w:val="24"/>
        </w:rPr>
        <w:t> </w:t>
      </w:r>
      <w:r>
        <w:rPr>
          <w:sz w:val="24"/>
        </w:rPr>
        <w:t>no</w:t>
      </w:r>
      <w:r>
        <w:rPr>
          <w:spacing w:val="-3"/>
          <w:sz w:val="24"/>
        </w:rPr>
        <w:t> </w:t>
      </w:r>
      <w:r>
        <w:rPr>
          <w:sz w:val="24"/>
        </w:rPr>
        <w:t>personal,</w:t>
      </w:r>
      <w:r>
        <w:rPr>
          <w:spacing w:val="-2"/>
          <w:sz w:val="24"/>
        </w:rPr>
        <w:t> </w:t>
      </w:r>
      <w:r>
        <w:rPr>
          <w:sz w:val="24"/>
        </w:rPr>
        <w:t>professional</w:t>
      </w:r>
      <w:r>
        <w:rPr>
          <w:spacing w:val="-3"/>
          <w:sz w:val="24"/>
        </w:rPr>
        <w:t> </w:t>
      </w:r>
      <w:r>
        <w:rPr>
          <w:sz w:val="24"/>
        </w:rPr>
        <w:t>or</w:t>
      </w:r>
      <w:r>
        <w:rPr>
          <w:spacing w:val="-2"/>
          <w:sz w:val="24"/>
        </w:rPr>
        <w:t> </w:t>
      </w:r>
      <w:r>
        <w:rPr>
          <w:sz w:val="24"/>
        </w:rPr>
        <w:t>financial</w:t>
      </w:r>
      <w:r>
        <w:rPr>
          <w:spacing w:val="-3"/>
          <w:sz w:val="24"/>
        </w:rPr>
        <w:t> </w:t>
      </w:r>
      <w:r>
        <w:rPr>
          <w:sz w:val="24"/>
        </w:rPr>
        <w:t>interest</w:t>
      </w:r>
      <w:r>
        <w:rPr>
          <w:spacing w:val="-2"/>
          <w:sz w:val="24"/>
        </w:rPr>
        <w:t> </w:t>
      </w:r>
      <w:r>
        <w:rPr>
          <w:sz w:val="24"/>
        </w:rPr>
        <w:t>that</w:t>
      </w:r>
      <w:r>
        <w:rPr>
          <w:spacing w:val="-5"/>
          <w:sz w:val="24"/>
        </w:rPr>
        <w:t> </w:t>
      </w:r>
      <w:r>
        <w:rPr>
          <w:sz w:val="24"/>
        </w:rPr>
        <w:t>would</w:t>
      </w:r>
      <w:r>
        <w:rPr>
          <w:spacing w:val="-3"/>
          <w:sz w:val="24"/>
        </w:rPr>
        <w:t> </w:t>
      </w:r>
      <w:r>
        <w:rPr>
          <w:sz w:val="24"/>
        </w:rPr>
        <w:t>be</w:t>
      </w:r>
      <w:r>
        <w:rPr>
          <w:spacing w:val="-3"/>
          <w:sz w:val="24"/>
        </w:rPr>
        <w:t> </w:t>
      </w:r>
      <w:r>
        <w:rPr>
          <w:sz w:val="24"/>
        </w:rPr>
        <w:t>in</w:t>
      </w:r>
      <w:r>
        <w:rPr>
          <w:spacing w:val="-2"/>
          <w:sz w:val="24"/>
        </w:rPr>
        <w:t> </w:t>
      </w:r>
      <w:r>
        <w:rPr>
          <w:sz w:val="24"/>
        </w:rPr>
        <w:t>conflict with the impartiality of the mediator.</w:t>
      </w:r>
    </w:p>
    <w:p>
      <w:pPr>
        <w:pStyle w:val="BodyText"/>
        <w:spacing w:before="211"/>
      </w:pPr>
      <w:r>
        <w:rPr/>
        <w:t>Instructions</w:t>
      </w:r>
      <w:r>
        <w:rPr>
          <w:spacing w:val="-5"/>
        </w:rPr>
        <w:t> </w:t>
      </w:r>
      <w:r>
        <w:rPr/>
        <w:t>to</w:t>
      </w:r>
      <w:r>
        <w:rPr>
          <w:spacing w:val="-2"/>
        </w:rPr>
        <w:t> </w:t>
      </w:r>
      <w:r>
        <w:rPr>
          <w:spacing w:val="-4"/>
        </w:rPr>
        <w:t>Staff</w:t>
      </w:r>
    </w:p>
    <w:p>
      <w:pPr>
        <w:pStyle w:val="ListParagraph"/>
        <w:numPr>
          <w:ilvl w:val="0"/>
          <w:numId w:val="80"/>
        </w:numPr>
        <w:tabs>
          <w:tab w:pos="628" w:val="left" w:leader="none"/>
        </w:tabs>
        <w:spacing w:line="240" w:lineRule="auto" w:before="204" w:after="0"/>
        <w:ind w:left="628" w:right="0" w:hanging="268"/>
        <w:jc w:val="left"/>
        <w:rPr>
          <w:sz w:val="24"/>
        </w:rPr>
      </w:pPr>
      <w:hyperlink w:history="true" w:anchor="_bookmark7">
        <w:r>
          <w:rPr>
            <w:color w:val="0000FF"/>
            <w:sz w:val="24"/>
            <w:u w:val="single" w:color="0000FF"/>
          </w:rPr>
          <w:t>612:10-7-2(e)</w:t>
        </w:r>
      </w:hyperlink>
      <w:r>
        <w:rPr>
          <w:color w:val="0000FF"/>
          <w:spacing w:val="-4"/>
          <w:sz w:val="24"/>
          <w:u w:val="none"/>
        </w:rPr>
        <w:t> </w:t>
      </w:r>
      <w:r>
        <w:rPr>
          <w:sz w:val="24"/>
          <w:u w:val="none"/>
        </w:rPr>
        <w:t>Field</w:t>
      </w:r>
      <w:r>
        <w:rPr>
          <w:spacing w:val="-4"/>
          <w:sz w:val="24"/>
          <w:u w:val="none"/>
        </w:rPr>
        <w:t> </w:t>
      </w:r>
      <w:r>
        <w:rPr>
          <w:sz w:val="24"/>
          <w:u w:val="none"/>
        </w:rPr>
        <w:t>staff</w:t>
      </w:r>
      <w:r>
        <w:rPr>
          <w:spacing w:val="-3"/>
          <w:sz w:val="24"/>
          <w:u w:val="none"/>
        </w:rPr>
        <w:t> </w:t>
      </w:r>
      <w:r>
        <w:rPr>
          <w:spacing w:val="-2"/>
          <w:sz w:val="24"/>
          <w:u w:val="none"/>
        </w:rPr>
        <w:t>responsibilities</w:t>
      </w:r>
    </w:p>
    <w:p>
      <w:pPr>
        <w:pStyle w:val="ListParagraph"/>
        <w:spacing w:after="0" w:line="240" w:lineRule="auto"/>
        <w:jc w:val="left"/>
        <w:rPr>
          <w:sz w:val="24"/>
        </w:rPr>
        <w:sectPr>
          <w:pgSz w:w="12240" w:h="15840"/>
          <w:pgMar w:top="1340" w:bottom="280" w:left="1080" w:right="720"/>
        </w:sectPr>
      </w:pPr>
    </w:p>
    <w:p>
      <w:pPr>
        <w:pStyle w:val="ListParagraph"/>
        <w:numPr>
          <w:ilvl w:val="0"/>
          <w:numId w:val="80"/>
        </w:numPr>
        <w:tabs>
          <w:tab w:pos="358" w:val="left" w:leader="none"/>
          <w:tab w:pos="360" w:val="left" w:leader="none"/>
        </w:tabs>
        <w:spacing w:line="208" w:lineRule="auto" w:before="96" w:after="0"/>
        <w:ind w:left="360" w:right="1086" w:hanging="270"/>
        <w:jc w:val="left"/>
        <w:rPr>
          <w:sz w:val="24"/>
        </w:rPr>
      </w:pPr>
      <w:r>
        <w:rPr>
          <w:sz w:val="24"/>
        </w:rPr>
        <w:t>The</w:t>
      </w:r>
      <w:r>
        <w:rPr>
          <w:spacing w:val="-4"/>
          <w:sz w:val="24"/>
        </w:rPr>
        <w:t> </w:t>
      </w:r>
      <w:r>
        <w:rPr>
          <w:sz w:val="24"/>
        </w:rPr>
        <w:t>fair</w:t>
      </w:r>
      <w:r>
        <w:rPr>
          <w:spacing w:val="-3"/>
          <w:sz w:val="24"/>
        </w:rPr>
        <w:t> </w:t>
      </w:r>
      <w:r>
        <w:rPr>
          <w:sz w:val="24"/>
        </w:rPr>
        <w:t>hearing</w:t>
      </w:r>
      <w:r>
        <w:rPr>
          <w:spacing w:val="-4"/>
          <w:sz w:val="24"/>
        </w:rPr>
        <w:t> </w:t>
      </w:r>
      <w:r>
        <w:rPr>
          <w:sz w:val="24"/>
        </w:rPr>
        <w:t>coordinator</w:t>
      </w:r>
      <w:r>
        <w:rPr>
          <w:spacing w:val="-3"/>
          <w:sz w:val="24"/>
        </w:rPr>
        <w:t> </w:t>
      </w:r>
      <w:r>
        <w:rPr>
          <w:sz w:val="24"/>
        </w:rPr>
        <w:t>for</w:t>
      </w:r>
      <w:r>
        <w:rPr>
          <w:spacing w:val="-3"/>
          <w:sz w:val="24"/>
        </w:rPr>
        <w:t> </w:t>
      </w:r>
      <w:r>
        <w:rPr>
          <w:sz w:val="24"/>
        </w:rPr>
        <w:t>DVR,</w:t>
      </w:r>
      <w:r>
        <w:rPr>
          <w:spacing w:val="-3"/>
          <w:sz w:val="24"/>
        </w:rPr>
        <w:t> </w:t>
      </w:r>
      <w:r>
        <w:rPr>
          <w:sz w:val="24"/>
        </w:rPr>
        <w:t>SBVI,</w:t>
      </w:r>
      <w:r>
        <w:rPr>
          <w:spacing w:val="-3"/>
          <w:sz w:val="24"/>
        </w:rPr>
        <w:t> </w:t>
      </w:r>
      <w:r>
        <w:rPr>
          <w:sz w:val="24"/>
        </w:rPr>
        <w:t>OSB</w:t>
      </w:r>
      <w:r>
        <w:rPr>
          <w:spacing w:val="-4"/>
          <w:sz w:val="24"/>
        </w:rPr>
        <w:t> </w:t>
      </w:r>
      <w:r>
        <w:rPr>
          <w:sz w:val="24"/>
        </w:rPr>
        <w:t>and</w:t>
      </w:r>
      <w:r>
        <w:rPr>
          <w:spacing w:val="-4"/>
          <w:sz w:val="24"/>
        </w:rPr>
        <w:t> </w:t>
      </w:r>
      <w:r>
        <w:rPr>
          <w:sz w:val="24"/>
        </w:rPr>
        <w:t>OSD</w:t>
      </w:r>
      <w:r>
        <w:rPr>
          <w:spacing w:val="-4"/>
          <w:sz w:val="24"/>
        </w:rPr>
        <w:t> </w:t>
      </w:r>
      <w:r>
        <w:rPr>
          <w:sz w:val="24"/>
        </w:rPr>
        <w:t>is</w:t>
      </w:r>
      <w:r>
        <w:rPr>
          <w:spacing w:val="-4"/>
          <w:sz w:val="24"/>
        </w:rPr>
        <w:t> </w:t>
      </w:r>
      <w:r>
        <w:rPr>
          <w:sz w:val="24"/>
        </w:rPr>
        <w:t>Tina</w:t>
      </w:r>
      <w:r>
        <w:rPr>
          <w:spacing w:val="-3"/>
          <w:sz w:val="24"/>
        </w:rPr>
        <w:t> </w:t>
      </w:r>
      <w:r>
        <w:rPr>
          <w:sz w:val="24"/>
        </w:rPr>
        <w:t>Calloway,</w:t>
      </w:r>
      <w:r>
        <w:rPr>
          <w:spacing w:val="-2"/>
          <w:sz w:val="24"/>
        </w:rPr>
        <w:t> </w:t>
      </w:r>
      <w:r>
        <w:rPr>
          <w:sz w:val="24"/>
        </w:rPr>
        <w:t>and</w:t>
      </w:r>
      <w:r>
        <w:rPr>
          <w:spacing w:val="-4"/>
          <w:sz w:val="24"/>
        </w:rPr>
        <w:t> </w:t>
      </w:r>
      <w:r>
        <w:rPr>
          <w:sz w:val="24"/>
        </w:rPr>
        <w:t>the alternate is Elaine Woodward.</w:t>
      </w:r>
    </w:p>
    <w:p>
      <w:pPr>
        <w:pStyle w:val="BodyText"/>
        <w:spacing w:line="258" w:lineRule="exact" w:before="210"/>
        <w:ind w:left="558"/>
      </w:pPr>
      <w:r>
        <w:rPr/>
        <w:t>Fair</w:t>
      </w:r>
      <w:r>
        <w:rPr>
          <w:spacing w:val="-3"/>
        </w:rPr>
        <w:t> </w:t>
      </w:r>
      <w:r>
        <w:rPr/>
        <w:t>Hearing</w:t>
      </w:r>
      <w:r>
        <w:rPr>
          <w:spacing w:val="-3"/>
        </w:rPr>
        <w:t> </w:t>
      </w:r>
      <w:r>
        <w:rPr>
          <w:spacing w:val="-2"/>
        </w:rPr>
        <w:t>Coordinator</w:t>
      </w:r>
    </w:p>
    <w:p>
      <w:pPr>
        <w:pStyle w:val="BodyText"/>
        <w:spacing w:line="208" w:lineRule="auto" w:before="12"/>
        <w:ind w:left="558" w:right="5450"/>
      </w:pPr>
      <w:r>
        <w:rPr/>
        <w:t>Department</w:t>
      </w:r>
      <w:r>
        <w:rPr>
          <w:spacing w:val="-13"/>
        </w:rPr>
        <w:t> </w:t>
      </w:r>
      <w:r>
        <w:rPr/>
        <w:t>of</w:t>
      </w:r>
      <w:r>
        <w:rPr>
          <w:spacing w:val="-14"/>
        </w:rPr>
        <w:t> </w:t>
      </w:r>
      <w:r>
        <w:rPr/>
        <w:t>Rehabilitation</w:t>
      </w:r>
      <w:r>
        <w:rPr>
          <w:spacing w:val="-13"/>
        </w:rPr>
        <w:t> </w:t>
      </w:r>
      <w:r>
        <w:rPr/>
        <w:t>Services 3535 N.W. 58th, Suite 500</w:t>
      </w:r>
    </w:p>
    <w:p>
      <w:pPr>
        <w:pStyle w:val="BodyText"/>
        <w:spacing w:line="229" w:lineRule="exact" w:before="0"/>
        <w:ind w:left="558"/>
      </w:pPr>
      <w:r>
        <w:rPr/>
        <w:t>Oklahoma</w:t>
      </w:r>
      <w:r>
        <w:rPr>
          <w:spacing w:val="-4"/>
        </w:rPr>
        <w:t> </w:t>
      </w:r>
      <w:r>
        <w:rPr/>
        <w:t>City,</w:t>
      </w:r>
      <w:r>
        <w:rPr>
          <w:spacing w:val="-2"/>
        </w:rPr>
        <w:t> </w:t>
      </w:r>
      <w:r>
        <w:rPr/>
        <w:t>Oklahoma</w:t>
      </w:r>
      <w:r>
        <w:rPr>
          <w:spacing w:val="-3"/>
        </w:rPr>
        <w:t> </w:t>
      </w:r>
      <w:r>
        <w:rPr>
          <w:spacing w:val="-2"/>
        </w:rPr>
        <w:t>73112</w:t>
      </w:r>
    </w:p>
    <w:p>
      <w:pPr>
        <w:pStyle w:val="BodyText"/>
        <w:spacing w:line="240" w:lineRule="exact" w:before="0"/>
        <w:ind w:left="557"/>
      </w:pPr>
      <w:r>
        <w:rPr/>
        <w:t>(405)</w:t>
      </w:r>
      <w:r>
        <w:rPr>
          <w:spacing w:val="-5"/>
        </w:rPr>
        <w:t> </w:t>
      </w:r>
      <w:r>
        <w:rPr/>
        <w:t>951-</w:t>
      </w:r>
      <w:r>
        <w:rPr>
          <w:spacing w:val="-4"/>
        </w:rPr>
        <w:t>3552</w:t>
      </w:r>
    </w:p>
    <w:p>
      <w:pPr>
        <w:pStyle w:val="BodyText"/>
        <w:spacing w:line="258" w:lineRule="exact" w:before="0"/>
        <w:ind w:left="557"/>
      </w:pPr>
      <w:r>
        <w:rPr/>
        <w:t>(405)</w:t>
      </w:r>
      <w:r>
        <w:rPr>
          <w:spacing w:val="-4"/>
        </w:rPr>
        <w:t> </w:t>
      </w:r>
      <w:r>
        <w:rPr/>
        <w:t>951-3529</w:t>
      </w:r>
      <w:r>
        <w:rPr>
          <w:spacing w:val="-4"/>
        </w:rPr>
        <w:t> </w:t>
      </w:r>
      <w:r>
        <w:rPr>
          <w:spacing w:val="-2"/>
        </w:rPr>
        <w:t>(Fax)</w:t>
      </w:r>
    </w:p>
    <w:p>
      <w:pPr>
        <w:pStyle w:val="ListParagraph"/>
        <w:numPr>
          <w:ilvl w:val="0"/>
          <w:numId w:val="80"/>
        </w:numPr>
        <w:tabs>
          <w:tab w:pos="357" w:val="left" w:leader="none"/>
        </w:tabs>
        <w:spacing w:line="240" w:lineRule="auto" w:before="243" w:after="0"/>
        <w:ind w:left="357" w:right="0" w:hanging="268"/>
        <w:jc w:val="left"/>
        <w:rPr>
          <w:sz w:val="24"/>
        </w:rPr>
      </w:pPr>
      <w:r>
        <w:rPr>
          <w:sz w:val="24"/>
        </w:rPr>
        <w:t>The</w:t>
      </w:r>
      <w:r>
        <w:rPr>
          <w:spacing w:val="-3"/>
          <w:sz w:val="24"/>
        </w:rPr>
        <w:t> </w:t>
      </w:r>
      <w:r>
        <w:rPr>
          <w:sz w:val="24"/>
        </w:rPr>
        <w:t>request</w:t>
      </w:r>
      <w:r>
        <w:rPr>
          <w:spacing w:val="-2"/>
          <w:sz w:val="24"/>
        </w:rPr>
        <w:t> </w:t>
      </w:r>
      <w:r>
        <w:rPr>
          <w:sz w:val="24"/>
        </w:rPr>
        <w:t>for</w:t>
      </w:r>
      <w:r>
        <w:rPr>
          <w:spacing w:val="-3"/>
          <w:sz w:val="24"/>
        </w:rPr>
        <w:t> </w:t>
      </w:r>
      <w:r>
        <w:rPr>
          <w:sz w:val="24"/>
        </w:rPr>
        <w:t>mediation</w:t>
      </w:r>
      <w:r>
        <w:rPr>
          <w:spacing w:val="-3"/>
          <w:sz w:val="24"/>
        </w:rPr>
        <w:t> </w:t>
      </w:r>
      <w:r>
        <w:rPr>
          <w:sz w:val="24"/>
        </w:rPr>
        <w:t>is</w:t>
      </w:r>
      <w:r>
        <w:rPr>
          <w:spacing w:val="-3"/>
          <w:sz w:val="24"/>
        </w:rPr>
        <w:t> </w:t>
      </w:r>
      <w:r>
        <w:rPr>
          <w:sz w:val="24"/>
        </w:rPr>
        <w:t>indicated</w:t>
      </w:r>
      <w:r>
        <w:rPr>
          <w:spacing w:val="-2"/>
          <w:sz w:val="24"/>
        </w:rPr>
        <w:t> </w:t>
      </w:r>
      <w:r>
        <w:rPr>
          <w:sz w:val="24"/>
        </w:rPr>
        <w:t>on</w:t>
      </w:r>
      <w:r>
        <w:rPr>
          <w:spacing w:val="-3"/>
          <w:sz w:val="24"/>
        </w:rPr>
        <w:t> </w:t>
      </w:r>
      <w:r>
        <w:rPr>
          <w:sz w:val="24"/>
        </w:rPr>
        <w:t>the</w:t>
      </w:r>
      <w:r>
        <w:rPr>
          <w:spacing w:val="-2"/>
          <w:sz w:val="24"/>
        </w:rPr>
        <w:t> </w:t>
      </w:r>
      <w:r>
        <w:rPr>
          <w:sz w:val="24"/>
        </w:rPr>
        <w:t>Request</w:t>
      </w:r>
      <w:r>
        <w:rPr>
          <w:spacing w:val="-2"/>
          <w:sz w:val="24"/>
        </w:rPr>
        <w:t> </w:t>
      </w:r>
      <w:r>
        <w:rPr>
          <w:sz w:val="24"/>
        </w:rPr>
        <w:t>for</w:t>
      </w:r>
      <w:r>
        <w:rPr>
          <w:spacing w:val="-2"/>
          <w:sz w:val="24"/>
        </w:rPr>
        <w:t> </w:t>
      </w:r>
      <w:r>
        <w:rPr>
          <w:sz w:val="24"/>
        </w:rPr>
        <w:t>a</w:t>
      </w:r>
      <w:r>
        <w:rPr>
          <w:spacing w:val="-2"/>
          <w:sz w:val="24"/>
        </w:rPr>
        <w:t> </w:t>
      </w:r>
      <w:r>
        <w:rPr>
          <w:sz w:val="24"/>
        </w:rPr>
        <w:t>Fair</w:t>
      </w:r>
      <w:r>
        <w:rPr>
          <w:spacing w:val="-2"/>
          <w:sz w:val="24"/>
        </w:rPr>
        <w:t> </w:t>
      </w:r>
      <w:r>
        <w:rPr>
          <w:sz w:val="24"/>
        </w:rPr>
        <w:t>Hearing</w:t>
      </w:r>
      <w:r>
        <w:rPr>
          <w:spacing w:val="-2"/>
          <w:sz w:val="24"/>
        </w:rPr>
        <w:t> form.</w:t>
      </w:r>
    </w:p>
    <w:p>
      <w:pPr>
        <w:pStyle w:val="BodyText"/>
        <w:spacing w:line="208" w:lineRule="auto" w:before="274"/>
        <w:ind w:left="359" w:right="765"/>
        <w:jc w:val="both"/>
      </w:pPr>
      <w:r>
        <w:rPr/>
        <w:t>When a consumer asks for mediation, the VR Professional will discuss the request with the immediate supervisor immediately. If it is agreed to proceed with mediation, the VR Supervisor</w:t>
      </w:r>
      <w:r>
        <w:rPr>
          <w:spacing w:val="-3"/>
        </w:rPr>
        <w:t> </w:t>
      </w:r>
      <w:r>
        <w:rPr/>
        <w:t>will</w:t>
      </w:r>
      <w:r>
        <w:rPr>
          <w:spacing w:val="-4"/>
        </w:rPr>
        <w:t> </w:t>
      </w:r>
      <w:r>
        <w:rPr/>
        <w:t>arrange</w:t>
      </w:r>
      <w:r>
        <w:rPr>
          <w:spacing w:val="-3"/>
        </w:rPr>
        <w:t> </w:t>
      </w:r>
      <w:r>
        <w:rPr/>
        <w:t>for</w:t>
      </w:r>
      <w:r>
        <w:rPr>
          <w:spacing w:val="-5"/>
        </w:rPr>
        <w:t> </w:t>
      </w:r>
      <w:r>
        <w:rPr/>
        <w:t>the</w:t>
      </w:r>
      <w:r>
        <w:rPr>
          <w:spacing w:val="-4"/>
        </w:rPr>
        <w:t> </w:t>
      </w:r>
      <w:r>
        <w:rPr/>
        <w:t>mediation</w:t>
      </w:r>
      <w:r>
        <w:rPr>
          <w:spacing w:val="-4"/>
        </w:rPr>
        <w:t> </w:t>
      </w:r>
      <w:r>
        <w:rPr/>
        <w:t>by</w:t>
      </w:r>
      <w:r>
        <w:rPr>
          <w:spacing w:val="-4"/>
        </w:rPr>
        <w:t> </w:t>
      </w:r>
      <w:r>
        <w:rPr/>
        <w:t>calling</w:t>
      </w:r>
      <w:r>
        <w:rPr>
          <w:spacing w:val="-4"/>
        </w:rPr>
        <w:t> </w:t>
      </w:r>
      <w:r>
        <w:rPr/>
        <w:t>the</w:t>
      </w:r>
      <w:r>
        <w:rPr>
          <w:spacing w:val="-4"/>
        </w:rPr>
        <w:t> </w:t>
      </w:r>
      <w:r>
        <w:rPr/>
        <w:t>nearest</w:t>
      </w:r>
      <w:r>
        <w:rPr>
          <w:spacing w:val="-3"/>
        </w:rPr>
        <w:t> </w:t>
      </w:r>
      <w:r>
        <w:rPr/>
        <w:t>Early</w:t>
      </w:r>
      <w:r>
        <w:rPr>
          <w:spacing w:val="-4"/>
        </w:rPr>
        <w:t> </w:t>
      </w:r>
      <w:r>
        <w:rPr/>
        <w:t>Settlement</w:t>
      </w:r>
      <w:r>
        <w:rPr>
          <w:spacing w:val="-3"/>
        </w:rPr>
        <w:t> </w:t>
      </w:r>
      <w:r>
        <w:rPr/>
        <w:t>Center.</w:t>
      </w:r>
    </w:p>
    <w:p>
      <w:pPr>
        <w:pStyle w:val="BodyText"/>
        <w:spacing w:line="208" w:lineRule="auto"/>
        <w:ind w:left="359" w:right="1036"/>
      </w:pPr>
      <w:r>
        <w:rPr/>
        <w:t>Certified</w:t>
      </w:r>
      <w:r>
        <w:rPr>
          <w:spacing w:val="-6"/>
        </w:rPr>
        <w:t> </w:t>
      </w:r>
      <w:r>
        <w:rPr/>
        <w:t>Oklahoma</w:t>
      </w:r>
      <w:r>
        <w:rPr>
          <w:spacing w:val="-6"/>
        </w:rPr>
        <w:t> </w:t>
      </w:r>
      <w:r>
        <w:rPr/>
        <w:t>Alternative</w:t>
      </w:r>
      <w:r>
        <w:rPr>
          <w:spacing w:val="-6"/>
        </w:rPr>
        <w:t> </w:t>
      </w:r>
      <w:r>
        <w:rPr/>
        <w:t>Dispute</w:t>
      </w:r>
      <w:r>
        <w:rPr>
          <w:spacing w:val="-6"/>
        </w:rPr>
        <w:t> </w:t>
      </w:r>
      <w:r>
        <w:rPr/>
        <w:t>Resolution</w:t>
      </w:r>
      <w:r>
        <w:rPr>
          <w:spacing w:val="-6"/>
        </w:rPr>
        <w:t> </w:t>
      </w:r>
      <w:r>
        <w:rPr/>
        <w:t>Programs</w:t>
      </w:r>
      <w:r>
        <w:rPr>
          <w:spacing w:val="-6"/>
        </w:rPr>
        <w:t> </w:t>
      </w:r>
      <w:r>
        <w:rPr/>
        <w:t>offering</w:t>
      </w:r>
      <w:r>
        <w:rPr>
          <w:spacing w:val="-6"/>
        </w:rPr>
        <w:t> </w:t>
      </w:r>
      <w:r>
        <w:rPr/>
        <w:t>mediation services regionally throughout the state:</w:t>
      </w:r>
    </w:p>
    <w:p>
      <w:pPr>
        <w:pStyle w:val="BodyText"/>
        <w:tabs>
          <w:tab w:pos="5399" w:val="left" w:leader="none"/>
        </w:tabs>
        <w:spacing w:line="208" w:lineRule="auto"/>
        <w:ind w:left="359" w:right="1636"/>
      </w:pPr>
      <w:r>
        <w:rPr/>
        <w:t>PEER Mediation Program</w:t>
        <w:tab/>
        <w:t>Area</w:t>
      </w:r>
      <w:r>
        <w:rPr>
          <w:spacing w:val="-8"/>
        </w:rPr>
        <w:t> </w:t>
      </w:r>
      <w:r>
        <w:rPr/>
        <w:t>Served,</w:t>
      </w:r>
      <w:r>
        <w:rPr>
          <w:spacing w:val="-7"/>
        </w:rPr>
        <w:t> </w:t>
      </w:r>
      <w:r>
        <w:rPr/>
        <w:t>Entire</w:t>
      </w:r>
      <w:r>
        <w:rPr>
          <w:spacing w:val="-8"/>
        </w:rPr>
        <w:t> </w:t>
      </w:r>
      <w:r>
        <w:rPr/>
        <w:t>State</w:t>
      </w:r>
      <w:r>
        <w:rPr>
          <w:spacing w:val="-8"/>
        </w:rPr>
        <w:t> </w:t>
      </w:r>
      <w:r>
        <w:rPr/>
        <w:t>of</w:t>
      </w:r>
      <w:r>
        <w:rPr>
          <w:spacing w:val="-9"/>
        </w:rPr>
        <w:t> </w:t>
      </w:r>
      <w:r>
        <w:rPr/>
        <w:t>OK Andrew Aldridge, Director</w:t>
      </w:r>
    </w:p>
    <w:p>
      <w:pPr>
        <w:pStyle w:val="BodyText"/>
        <w:spacing w:line="208" w:lineRule="auto" w:before="0"/>
        <w:ind w:left="359" w:right="6600"/>
      </w:pPr>
      <w:r>
        <w:rPr/>
        <w:t>University of Central Oklahoma Education</w:t>
      </w:r>
      <w:r>
        <w:rPr>
          <w:spacing w:val="-13"/>
        </w:rPr>
        <w:t> </w:t>
      </w:r>
      <w:r>
        <w:rPr/>
        <w:t>Building,</w:t>
      </w:r>
      <w:r>
        <w:rPr>
          <w:spacing w:val="-13"/>
        </w:rPr>
        <w:t> </w:t>
      </w:r>
      <w:r>
        <w:rPr/>
        <w:t>Room</w:t>
      </w:r>
      <w:r>
        <w:rPr>
          <w:spacing w:val="-13"/>
        </w:rPr>
        <w:t> </w:t>
      </w:r>
      <w:r>
        <w:rPr/>
        <w:t>205C 100 North University Drive Edmond, OK 73034</w:t>
      </w:r>
    </w:p>
    <w:p>
      <w:pPr>
        <w:pStyle w:val="BodyText"/>
        <w:spacing w:line="228" w:lineRule="exact" w:before="0"/>
        <w:ind w:left="359"/>
      </w:pPr>
      <w:r>
        <w:rPr>
          <w:spacing w:val="-2"/>
        </w:rPr>
        <w:t>405-974-</w:t>
      </w:r>
      <w:r>
        <w:rPr>
          <w:spacing w:val="-4"/>
        </w:rPr>
        <w:t>5144</w:t>
      </w:r>
    </w:p>
    <w:p>
      <w:pPr>
        <w:pStyle w:val="BodyText"/>
        <w:spacing w:line="258" w:lineRule="exact" w:before="0"/>
        <w:ind w:left="359"/>
      </w:pPr>
      <w:r>
        <w:rPr/>
        <w:t>Email:</w:t>
      </w:r>
      <w:r>
        <w:rPr>
          <w:spacing w:val="-4"/>
        </w:rPr>
        <w:t> </w:t>
      </w:r>
      <w:hyperlink r:id="rId7">
        <w:r>
          <w:rPr>
            <w:color w:val="0000FF"/>
            <w:spacing w:val="-2"/>
            <w:u w:val="single" w:color="0000FF"/>
          </w:rPr>
          <w:t>aaldridge2@uco.edu</w:t>
        </w:r>
      </w:hyperlink>
    </w:p>
    <w:p>
      <w:pPr>
        <w:pStyle w:val="BodyText"/>
        <w:tabs>
          <w:tab w:pos="5399" w:val="left" w:leader="none"/>
        </w:tabs>
        <w:spacing w:line="258" w:lineRule="exact" w:before="204"/>
      </w:pPr>
      <w:r>
        <w:rPr/>
        <w:t>Early</w:t>
      </w:r>
      <w:r>
        <w:rPr>
          <w:spacing w:val="-5"/>
        </w:rPr>
        <w:t> </w:t>
      </w:r>
      <w:r>
        <w:rPr/>
        <w:t>Settlement:</w:t>
      </w:r>
      <w:r>
        <w:rPr>
          <w:spacing w:val="-4"/>
        </w:rPr>
        <w:t> </w:t>
      </w:r>
      <w:r>
        <w:rPr>
          <w:spacing w:val="-2"/>
        </w:rPr>
        <w:t>Oklahoma</w:t>
      </w:r>
      <w:r>
        <w:rPr/>
        <w:tab/>
        <w:t>Area</w:t>
      </w:r>
      <w:r>
        <w:rPr>
          <w:spacing w:val="-6"/>
        </w:rPr>
        <w:t> </w:t>
      </w:r>
      <w:r>
        <w:rPr/>
        <w:t>Served,</w:t>
      </w:r>
      <w:r>
        <w:rPr>
          <w:spacing w:val="-2"/>
        </w:rPr>
        <w:t> </w:t>
      </w:r>
      <w:r>
        <w:rPr/>
        <w:t>Central</w:t>
      </w:r>
      <w:r>
        <w:rPr>
          <w:spacing w:val="-3"/>
        </w:rPr>
        <w:t> </w:t>
      </w:r>
      <w:r>
        <w:rPr>
          <w:spacing w:val="-5"/>
        </w:rPr>
        <w:t>OK</w:t>
      </w:r>
    </w:p>
    <w:p>
      <w:pPr>
        <w:pStyle w:val="BodyText"/>
        <w:tabs>
          <w:tab w:pos="5399" w:val="left" w:leader="none"/>
        </w:tabs>
        <w:spacing w:line="208" w:lineRule="auto" w:before="11"/>
        <w:ind w:right="3117"/>
      </w:pPr>
      <w:r>
        <w:rPr/>
        <w:t>Lauren Craig O’Brien, Director</w:t>
        <w:tab/>
        <w:t>Oklahoma</w:t>
      </w:r>
      <w:r>
        <w:rPr>
          <w:spacing w:val="-17"/>
        </w:rPr>
        <w:t> </w:t>
      </w:r>
      <w:r>
        <w:rPr/>
        <w:t>County Oklahoma State University – OKC</w:t>
      </w:r>
    </w:p>
    <w:p>
      <w:pPr>
        <w:pStyle w:val="BodyText"/>
        <w:spacing w:line="208" w:lineRule="auto" w:before="0"/>
        <w:ind w:right="7056"/>
      </w:pPr>
      <w:r>
        <w:rPr/>
        <w:t>Health</w:t>
      </w:r>
      <w:r>
        <w:rPr>
          <w:spacing w:val="-17"/>
        </w:rPr>
        <w:t> </w:t>
      </w:r>
      <w:r>
        <w:rPr/>
        <w:t>Technology</w:t>
      </w:r>
      <w:r>
        <w:rPr>
          <w:spacing w:val="-17"/>
        </w:rPr>
        <w:t> </w:t>
      </w:r>
      <w:r>
        <w:rPr/>
        <w:t>Building 900 North Portland Oklahoma City, OK 73107</w:t>
      </w:r>
    </w:p>
    <w:p>
      <w:pPr>
        <w:pStyle w:val="BodyText"/>
        <w:spacing w:line="228" w:lineRule="exact" w:before="0"/>
      </w:pPr>
      <w:r>
        <w:rPr/>
        <w:t>405-945-8664</w:t>
      </w:r>
      <w:r>
        <w:rPr>
          <w:spacing w:val="-6"/>
        </w:rPr>
        <w:t> </w:t>
      </w:r>
      <w:r>
        <w:rPr/>
        <w:t>or</w:t>
      </w:r>
      <w:r>
        <w:rPr>
          <w:spacing w:val="-5"/>
        </w:rPr>
        <w:t> </w:t>
      </w:r>
      <w:r>
        <w:rPr/>
        <w:t>Fax</w:t>
      </w:r>
      <w:r>
        <w:rPr>
          <w:spacing w:val="-5"/>
        </w:rPr>
        <w:t> </w:t>
      </w:r>
      <w:r>
        <w:rPr/>
        <w:t>405-945-</w:t>
      </w:r>
      <w:r>
        <w:rPr>
          <w:spacing w:val="-4"/>
        </w:rPr>
        <w:t>3325</w:t>
      </w:r>
    </w:p>
    <w:p>
      <w:pPr>
        <w:pStyle w:val="BodyText"/>
        <w:spacing w:line="208" w:lineRule="auto" w:before="11"/>
        <w:ind w:right="4395"/>
      </w:pPr>
      <w:r>
        <w:rPr/>
        <w:t>Email: </w:t>
      </w:r>
      <w:hyperlink r:id="rId8">
        <w:r>
          <w:rPr>
            <w:color w:val="0000FF"/>
            <w:u w:val="single" w:color="0000FF"/>
          </w:rPr>
          <w:t>okc.earlysettlement@okstate.edu</w:t>
        </w:r>
      </w:hyperlink>
      <w:r>
        <w:rPr>
          <w:color w:val="0000FF"/>
          <w:u w:val="none"/>
        </w:rPr>
        <w:t> </w:t>
      </w:r>
      <w:hyperlink r:id="rId9">
        <w:r>
          <w:rPr>
            <w:color w:val="0000FF"/>
            <w:spacing w:val="-2"/>
            <w:u w:val="single" w:color="0000FF"/>
          </w:rPr>
          <w:t>https://adrs.oscn.net/programs/OklahomaCo-program</w:t>
        </w:r>
      </w:hyperlink>
    </w:p>
    <w:p>
      <w:pPr>
        <w:pStyle w:val="BodyText"/>
        <w:tabs>
          <w:tab w:pos="5399" w:val="left" w:leader="none"/>
        </w:tabs>
        <w:spacing w:line="258" w:lineRule="exact" w:before="211"/>
      </w:pPr>
      <w:r>
        <w:rPr/>
        <w:t>Early</w:t>
      </w:r>
      <w:r>
        <w:rPr>
          <w:spacing w:val="-4"/>
        </w:rPr>
        <w:t> </w:t>
      </w:r>
      <w:r>
        <w:rPr/>
        <w:t>Settlement:</w:t>
      </w:r>
      <w:r>
        <w:rPr>
          <w:spacing w:val="-3"/>
        </w:rPr>
        <w:t> </w:t>
      </w:r>
      <w:r>
        <w:rPr>
          <w:spacing w:val="-4"/>
        </w:rPr>
        <w:t>North</w:t>
      </w:r>
      <w:r>
        <w:rPr/>
        <w:tab/>
        <w:t>Area</w:t>
      </w:r>
      <w:r>
        <w:rPr>
          <w:spacing w:val="-6"/>
        </w:rPr>
        <w:t> </w:t>
      </w:r>
      <w:r>
        <w:rPr/>
        <w:t>Served,</w:t>
      </w:r>
      <w:r>
        <w:rPr>
          <w:spacing w:val="-4"/>
        </w:rPr>
        <w:t> </w:t>
      </w:r>
      <w:r>
        <w:rPr/>
        <w:t>NORTHERN</w:t>
      </w:r>
      <w:r>
        <w:rPr>
          <w:spacing w:val="-4"/>
        </w:rPr>
        <w:t> </w:t>
      </w:r>
      <w:r>
        <w:rPr>
          <w:spacing w:val="-5"/>
        </w:rPr>
        <w:t>OK:</w:t>
      </w:r>
    </w:p>
    <w:p>
      <w:pPr>
        <w:pStyle w:val="BodyText"/>
        <w:tabs>
          <w:tab w:pos="5399" w:val="left" w:leader="none"/>
        </w:tabs>
        <w:spacing w:line="240" w:lineRule="exact" w:before="0"/>
      </w:pPr>
      <w:r>
        <w:rPr/>
        <w:t>Payne</w:t>
      </w:r>
      <w:r>
        <w:rPr>
          <w:spacing w:val="-3"/>
        </w:rPr>
        <w:t> </w:t>
      </w:r>
      <w:r>
        <w:rPr/>
        <w:t>County</w:t>
      </w:r>
      <w:r>
        <w:rPr>
          <w:spacing w:val="-2"/>
        </w:rPr>
        <w:t> Courthouse</w:t>
      </w:r>
      <w:r>
        <w:rPr/>
        <w:tab/>
        <w:t>Kay,</w:t>
      </w:r>
      <w:r>
        <w:rPr>
          <w:spacing w:val="-3"/>
        </w:rPr>
        <w:t> </w:t>
      </w:r>
      <w:r>
        <w:rPr/>
        <w:t>Lincoln,</w:t>
      </w:r>
      <w:r>
        <w:rPr>
          <w:spacing w:val="-3"/>
        </w:rPr>
        <w:t> </w:t>
      </w:r>
      <w:r>
        <w:rPr/>
        <w:t>Logan,</w:t>
      </w:r>
      <w:r>
        <w:rPr>
          <w:spacing w:val="-3"/>
        </w:rPr>
        <w:t> </w:t>
      </w:r>
      <w:r>
        <w:rPr>
          <w:spacing w:val="-2"/>
        </w:rPr>
        <w:t>Noble,</w:t>
      </w:r>
    </w:p>
    <w:p>
      <w:pPr>
        <w:pStyle w:val="BodyText"/>
        <w:tabs>
          <w:tab w:pos="5399" w:val="left" w:leader="none"/>
        </w:tabs>
        <w:spacing w:line="208" w:lineRule="auto" w:before="11"/>
        <w:ind w:right="1877"/>
      </w:pPr>
      <w:r>
        <w:rPr/>
        <w:t>Jay Irby, Director</w:t>
        <w:tab/>
        <w:t>Pawnee,</w:t>
      </w:r>
      <w:r>
        <w:rPr>
          <w:spacing w:val="-13"/>
        </w:rPr>
        <w:t> </w:t>
      </w:r>
      <w:r>
        <w:rPr/>
        <w:t>and</w:t>
      </w:r>
      <w:r>
        <w:rPr>
          <w:spacing w:val="-14"/>
        </w:rPr>
        <w:t> </w:t>
      </w:r>
      <w:r>
        <w:rPr/>
        <w:t>Payne</w:t>
      </w:r>
      <w:r>
        <w:rPr>
          <w:spacing w:val="-13"/>
        </w:rPr>
        <w:t> </w:t>
      </w:r>
      <w:r>
        <w:rPr/>
        <w:t>Counties 606 S. Husband, Suite 201</w:t>
      </w:r>
    </w:p>
    <w:p>
      <w:pPr>
        <w:pStyle w:val="BodyText"/>
        <w:spacing w:line="229" w:lineRule="exact" w:before="0"/>
      </w:pPr>
      <w:r>
        <w:rPr/>
        <w:t>Stillwater,</w:t>
      </w:r>
      <w:r>
        <w:rPr>
          <w:spacing w:val="-4"/>
        </w:rPr>
        <w:t> </w:t>
      </w:r>
      <w:r>
        <w:rPr/>
        <w:t>OK</w:t>
      </w:r>
      <w:r>
        <w:rPr>
          <w:spacing w:val="-3"/>
        </w:rPr>
        <w:t> </w:t>
      </w:r>
      <w:r>
        <w:rPr>
          <w:spacing w:val="-2"/>
        </w:rPr>
        <w:t>74074</w:t>
      </w:r>
    </w:p>
    <w:p>
      <w:pPr>
        <w:pStyle w:val="BodyText"/>
        <w:spacing w:line="240" w:lineRule="exact" w:before="0"/>
      </w:pPr>
      <w:r>
        <w:rPr/>
        <w:t>405-533-6878</w:t>
      </w:r>
      <w:r>
        <w:rPr>
          <w:spacing w:val="-6"/>
        </w:rPr>
        <w:t> </w:t>
      </w:r>
      <w:r>
        <w:rPr/>
        <w:t>or</w:t>
      </w:r>
      <w:r>
        <w:rPr>
          <w:spacing w:val="-5"/>
        </w:rPr>
        <w:t> </w:t>
      </w:r>
      <w:r>
        <w:rPr/>
        <w:t>Fax</w:t>
      </w:r>
      <w:r>
        <w:rPr>
          <w:spacing w:val="-5"/>
        </w:rPr>
        <w:t> </w:t>
      </w:r>
      <w:r>
        <w:rPr/>
        <w:t>405-372-</w:t>
      </w:r>
      <w:r>
        <w:rPr>
          <w:spacing w:val="-4"/>
        </w:rPr>
        <w:t>3230</w:t>
      </w:r>
    </w:p>
    <w:p>
      <w:pPr>
        <w:pStyle w:val="BodyText"/>
        <w:spacing w:line="208" w:lineRule="auto" w:before="11"/>
        <w:ind w:right="5183"/>
      </w:pPr>
      <w:r>
        <w:rPr/>
        <w:t>Email: </w:t>
      </w:r>
      <w:hyperlink r:id="rId10">
        <w:r>
          <w:rPr>
            <w:color w:val="0000FF"/>
            <w:u w:val="single" w:color="0000FF"/>
          </w:rPr>
          <w:t>jay.irby@oscn.net</w:t>
        </w:r>
      </w:hyperlink>
      <w:r>
        <w:rPr>
          <w:color w:val="0000FF"/>
          <w:u w:val="none"/>
        </w:rPr>
        <w:t> </w:t>
      </w:r>
      <w:hyperlink r:id="rId11">
        <w:r>
          <w:rPr>
            <w:color w:val="0000FF"/>
            <w:spacing w:val="-2"/>
            <w:u w:val="single" w:color="0000FF"/>
          </w:rPr>
          <w:t>https://adrs.oscn.net/programs/north-program/</w:t>
        </w:r>
      </w:hyperlink>
    </w:p>
    <w:p>
      <w:pPr>
        <w:pStyle w:val="BodyText"/>
        <w:tabs>
          <w:tab w:pos="5399" w:val="left" w:leader="none"/>
        </w:tabs>
        <w:spacing w:line="258" w:lineRule="exact" w:before="250"/>
      </w:pPr>
      <w:r>
        <w:rPr/>
        <w:t>Early</w:t>
      </w:r>
      <w:r>
        <w:rPr>
          <w:spacing w:val="-4"/>
        </w:rPr>
        <w:t> </w:t>
      </w:r>
      <w:r>
        <w:rPr/>
        <w:t>Settlement:</w:t>
      </w:r>
      <w:r>
        <w:rPr>
          <w:spacing w:val="-3"/>
        </w:rPr>
        <w:t> </w:t>
      </w:r>
      <w:r>
        <w:rPr>
          <w:spacing w:val="-2"/>
        </w:rPr>
        <w:t>Northeast</w:t>
      </w:r>
      <w:r>
        <w:rPr/>
        <w:tab/>
        <w:t>Area</w:t>
      </w:r>
      <w:r>
        <w:rPr>
          <w:spacing w:val="-7"/>
        </w:rPr>
        <w:t> </w:t>
      </w:r>
      <w:r>
        <w:rPr/>
        <w:t>Served,</w:t>
      </w:r>
      <w:r>
        <w:rPr>
          <w:spacing w:val="-3"/>
        </w:rPr>
        <w:t> </w:t>
      </w:r>
      <w:r>
        <w:rPr/>
        <w:t>NORTHEAST</w:t>
      </w:r>
      <w:r>
        <w:rPr>
          <w:spacing w:val="-4"/>
        </w:rPr>
        <w:t> </w:t>
      </w:r>
      <w:r>
        <w:rPr>
          <w:spacing w:val="-5"/>
        </w:rPr>
        <w:t>OK:</w:t>
      </w:r>
    </w:p>
    <w:p>
      <w:pPr>
        <w:pStyle w:val="BodyText"/>
        <w:tabs>
          <w:tab w:pos="5399" w:val="left" w:leader="none"/>
        </w:tabs>
        <w:spacing w:line="240" w:lineRule="exact" w:before="0"/>
      </w:pPr>
      <w:r>
        <w:rPr/>
        <w:t>Ever</w:t>
      </w:r>
      <w:r>
        <w:rPr>
          <w:spacing w:val="-3"/>
        </w:rPr>
        <w:t> </w:t>
      </w:r>
      <w:r>
        <w:rPr/>
        <w:t>Vidana,</w:t>
      </w:r>
      <w:r>
        <w:rPr>
          <w:spacing w:val="-2"/>
        </w:rPr>
        <w:t> Director</w:t>
      </w:r>
      <w:r>
        <w:rPr/>
        <w:tab/>
        <w:t>Craig,</w:t>
      </w:r>
      <w:r>
        <w:rPr>
          <w:spacing w:val="-5"/>
        </w:rPr>
        <w:t> </w:t>
      </w:r>
      <w:r>
        <w:rPr/>
        <w:t>Nowata,</w:t>
      </w:r>
      <w:r>
        <w:rPr>
          <w:spacing w:val="-3"/>
        </w:rPr>
        <w:t> </w:t>
      </w:r>
      <w:r>
        <w:rPr/>
        <w:t>Osage,</w:t>
      </w:r>
      <w:r>
        <w:rPr>
          <w:spacing w:val="-3"/>
        </w:rPr>
        <w:t> </w:t>
      </w:r>
      <w:r>
        <w:rPr/>
        <w:t>Ottawa,</w:t>
      </w:r>
      <w:r>
        <w:rPr>
          <w:spacing w:val="-3"/>
        </w:rPr>
        <w:t> </w:t>
      </w:r>
      <w:r>
        <w:rPr>
          <w:spacing w:val="-2"/>
        </w:rPr>
        <w:t>Rogers,</w:t>
      </w:r>
    </w:p>
    <w:p>
      <w:pPr>
        <w:pStyle w:val="BodyText"/>
        <w:tabs>
          <w:tab w:pos="5399" w:val="left" w:leader="none"/>
        </w:tabs>
        <w:spacing w:line="208" w:lineRule="auto" w:before="12"/>
        <w:ind w:right="2289"/>
      </w:pPr>
      <w:r>
        <w:rPr/>
        <w:t>Rogers State University</w:t>
        <w:tab/>
        <w:t>and</w:t>
      </w:r>
      <w:r>
        <w:rPr>
          <w:spacing w:val="-17"/>
        </w:rPr>
        <w:t> </w:t>
      </w:r>
      <w:r>
        <w:rPr/>
        <w:t>Washington</w:t>
      </w:r>
      <w:r>
        <w:rPr>
          <w:spacing w:val="-17"/>
        </w:rPr>
        <w:t> </w:t>
      </w:r>
      <w:r>
        <w:rPr/>
        <w:t>Counties Bartlesville Campus</w:t>
      </w:r>
    </w:p>
    <w:p>
      <w:pPr>
        <w:pStyle w:val="BodyText"/>
        <w:spacing w:line="229" w:lineRule="exact" w:before="0"/>
        <w:ind w:left="359"/>
      </w:pPr>
      <w:r>
        <w:rPr/>
        <w:t>401</w:t>
      </w:r>
      <w:r>
        <w:rPr>
          <w:spacing w:val="-5"/>
        </w:rPr>
        <w:t> </w:t>
      </w:r>
      <w:r>
        <w:rPr/>
        <w:t>South</w:t>
      </w:r>
      <w:r>
        <w:rPr>
          <w:spacing w:val="-3"/>
        </w:rPr>
        <w:t> </w:t>
      </w:r>
      <w:r>
        <w:rPr/>
        <w:t>Dewey,</w:t>
      </w:r>
      <w:r>
        <w:rPr>
          <w:spacing w:val="-2"/>
        </w:rPr>
        <w:t> </w:t>
      </w:r>
      <w:r>
        <w:rPr/>
        <w:t>Suite</w:t>
      </w:r>
      <w:r>
        <w:rPr>
          <w:spacing w:val="-2"/>
        </w:rPr>
        <w:t> </w:t>
      </w:r>
      <w:r>
        <w:rPr>
          <w:spacing w:val="-5"/>
        </w:rPr>
        <w:t>217</w:t>
      </w:r>
    </w:p>
    <w:p>
      <w:pPr>
        <w:pStyle w:val="BodyText"/>
        <w:spacing w:line="258" w:lineRule="exact" w:before="0"/>
      </w:pPr>
      <w:r>
        <w:rPr/>
        <w:t>Bartlesville,</w:t>
      </w:r>
      <w:r>
        <w:rPr>
          <w:spacing w:val="-2"/>
        </w:rPr>
        <w:t> </w:t>
      </w:r>
      <w:r>
        <w:rPr/>
        <w:t>OK</w:t>
      </w:r>
      <w:r>
        <w:rPr>
          <w:spacing w:val="-3"/>
        </w:rPr>
        <w:t> </w:t>
      </w:r>
      <w:r>
        <w:rPr>
          <w:spacing w:val="-2"/>
        </w:rPr>
        <w:t>74003</w:t>
      </w:r>
    </w:p>
    <w:p>
      <w:pPr>
        <w:pStyle w:val="BodyText"/>
        <w:spacing w:after="0" w:line="258" w:lineRule="exact"/>
        <w:sectPr>
          <w:pgSz w:w="12240" w:h="15840"/>
          <w:pgMar w:top="1340" w:bottom="280" w:left="1080" w:right="720"/>
        </w:sectPr>
      </w:pPr>
    </w:p>
    <w:p>
      <w:pPr>
        <w:pStyle w:val="BodyText"/>
        <w:spacing w:line="258" w:lineRule="exact" w:before="67"/>
      </w:pPr>
      <w:r>
        <w:rPr/>
        <w:t>918-338-8027</w:t>
      </w:r>
      <w:r>
        <w:rPr>
          <w:spacing w:val="-6"/>
        </w:rPr>
        <w:t> </w:t>
      </w:r>
      <w:r>
        <w:rPr/>
        <w:t>or</w:t>
      </w:r>
      <w:r>
        <w:rPr>
          <w:spacing w:val="-5"/>
        </w:rPr>
        <w:t> </w:t>
      </w:r>
      <w:r>
        <w:rPr/>
        <w:t>Fax</w:t>
      </w:r>
      <w:r>
        <w:rPr>
          <w:spacing w:val="-5"/>
        </w:rPr>
        <w:t> </w:t>
      </w:r>
      <w:r>
        <w:rPr/>
        <w:t>918-338-</w:t>
      </w:r>
      <w:r>
        <w:rPr>
          <w:spacing w:val="-4"/>
        </w:rPr>
        <w:t>8028</w:t>
      </w:r>
    </w:p>
    <w:p>
      <w:pPr>
        <w:pStyle w:val="BodyText"/>
        <w:spacing w:line="208" w:lineRule="auto" w:before="11"/>
        <w:ind w:right="4730"/>
      </w:pPr>
      <w:r>
        <w:rPr/>
        <w:t>Email: </w:t>
      </w:r>
      <w:hyperlink r:id="rId12">
        <w:r>
          <w:rPr>
            <w:color w:val="0000FF"/>
            <w:u w:val="single" w:color="0000FF"/>
          </w:rPr>
          <w:t>mcox@rsu.edu</w:t>
        </w:r>
      </w:hyperlink>
      <w:r>
        <w:rPr>
          <w:color w:val="0000FF"/>
          <w:u w:val="none"/>
        </w:rPr>
        <w:t> </w:t>
      </w:r>
      <w:hyperlink r:id="rId13">
        <w:r>
          <w:rPr>
            <w:color w:val="0000FF"/>
            <w:spacing w:val="-2"/>
            <w:u w:val="single" w:color="0000FF"/>
          </w:rPr>
          <w:t>https://adrs.oscn.net/programs/northeast-program/</w:t>
        </w:r>
      </w:hyperlink>
    </w:p>
    <w:p>
      <w:pPr>
        <w:pStyle w:val="BodyText"/>
        <w:tabs>
          <w:tab w:pos="5399" w:val="left" w:leader="none"/>
        </w:tabs>
        <w:spacing w:line="258" w:lineRule="exact" w:before="210"/>
      </w:pPr>
      <w:r>
        <w:rPr/>
        <w:t>Early</w:t>
      </w:r>
      <w:r>
        <w:rPr>
          <w:spacing w:val="-4"/>
        </w:rPr>
        <w:t> </w:t>
      </w:r>
      <w:r>
        <w:rPr/>
        <w:t>Settlement:</w:t>
      </w:r>
      <w:r>
        <w:rPr>
          <w:spacing w:val="-3"/>
        </w:rPr>
        <w:t> </w:t>
      </w:r>
      <w:r>
        <w:rPr>
          <w:spacing w:val="-2"/>
        </w:rPr>
        <w:t>Northwest</w:t>
      </w:r>
      <w:r>
        <w:rPr/>
        <w:tab/>
        <w:t>Area</w:t>
      </w:r>
      <w:r>
        <w:rPr>
          <w:spacing w:val="-6"/>
        </w:rPr>
        <w:t> </w:t>
      </w:r>
      <w:r>
        <w:rPr/>
        <w:t>Served,</w:t>
      </w:r>
      <w:r>
        <w:rPr>
          <w:spacing w:val="-4"/>
        </w:rPr>
        <w:t> </w:t>
      </w:r>
      <w:r>
        <w:rPr/>
        <w:t>NORTHWEST</w:t>
      </w:r>
      <w:r>
        <w:rPr>
          <w:spacing w:val="-3"/>
        </w:rPr>
        <w:t> </w:t>
      </w:r>
      <w:r>
        <w:rPr>
          <w:spacing w:val="-5"/>
        </w:rPr>
        <w:t>OK:</w:t>
      </w:r>
    </w:p>
    <w:p>
      <w:pPr>
        <w:pStyle w:val="BodyText"/>
        <w:tabs>
          <w:tab w:pos="5399" w:val="left" w:leader="none"/>
        </w:tabs>
        <w:spacing w:line="208" w:lineRule="auto" w:before="12"/>
        <w:ind w:left="359" w:right="1013"/>
      </w:pPr>
      <w:r>
        <w:rPr/>
        <w:t>Michael Nalley, Director</w:t>
        <w:tab/>
        <w:t>Alfalfa, Beaver, Cimarron, Ellis, Northwestern Oklahoma State University</w:t>
        <w:tab/>
        <w:t>Garfield,</w:t>
      </w:r>
      <w:r>
        <w:rPr>
          <w:spacing w:val="-10"/>
        </w:rPr>
        <w:t> </w:t>
      </w:r>
      <w:r>
        <w:rPr/>
        <w:t>Grant,</w:t>
      </w:r>
      <w:r>
        <w:rPr>
          <w:spacing w:val="-10"/>
        </w:rPr>
        <w:t> </w:t>
      </w:r>
      <w:r>
        <w:rPr/>
        <w:t>Harper,</w:t>
      </w:r>
      <w:r>
        <w:rPr>
          <w:spacing w:val="-11"/>
        </w:rPr>
        <w:t> </w:t>
      </w:r>
      <w:r>
        <w:rPr/>
        <w:t>Major,</w:t>
      </w:r>
      <w:r>
        <w:rPr>
          <w:spacing w:val="-10"/>
        </w:rPr>
        <w:t> </w:t>
      </w:r>
      <w:r>
        <w:rPr/>
        <w:t>Texas, 2929 E. Randolph, Room 220A</w:t>
        <w:tab/>
        <w:t>Woods, and Woodward Counties Enid, OK 73701</w:t>
      </w:r>
    </w:p>
    <w:p>
      <w:pPr>
        <w:pStyle w:val="BodyText"/>
        <w:spacing w:line="228" w:lineRule="exact" w:before="0"/>
        <w:ind w:left="359"/>
      </w:pPr>
      <w:r>
        <w:rPr/>
        <w:t>580-213-3123</w:t>
      </w:r>
      <w:r>
        <w:rPr>
          <w:spacing w:val="-6"/>
        </w:rPr>
        <w:t> </w:t>
      </w:r>
      <w:r>
        <w:rPr/>
        <w:t>or</w:t>
      </w:r>
      <w:r>
        <w:rPr>
          <w:spacing w:val="-5"/>
        </w:rPr>
        <w:t> </w:t>
      </w:r>
      <w:r>
        <w:rPr/>
        <w:t>Fax</w:t>
      </w:r>
      <w:r>
        <w:rPr>
          <w:spacing w:val="-5"/>
        </w:rPr>
        <w:t> </w:t>
      </w:r>
      <w:r>
        <w:rPr/>
        <w:t>580-213-</w:t>
      </w:r>
      <w:r>
        <w:rPr>
          <w:spacing w:val="-4"/>
        </w:rPr>
        <w:t>3124</w:t>
      </w:r>
    </w:p>
    <w:p>
      <w:pPr>
        <w:pStyle w:val="BodyText"/>
        <w:spacing w:line="208" w:lineRule="auto" w:before="11"/>
        <w:ind w:right="4690"/>
      </w:pPr>
      <w:r>
        <w:rPr/>
        <w:t>Email: </w:t>
      </w:r>
      <w:hyperlink r:id="rId14">
        <w:r>
          <w:rPr>
            <w:color w:val="0000FF"/>
            <w:u w:val="single" w:color="0000FF"/>
          </w:rPr>
          <w:t>NWMediator@nwosu.edu</w:t>
        </w:r>
      </w:hyperlink>
      <w:r>
        <w:rPr>
          <w:color w:val="0000FF"/>
          <w:u w:val="none"/>
        </w:rPr>
        <w:t> </w:t>
      </w:r>
      <w:hyperlink r:id="rId15">
        <w:r>
          <w:rPr>
            <w:color w:val="0000FF"/>
            <w:spacing w:val="-2"/>
            <w:u w:val="single" w:color="0000FF"/>
          </w:rPr>
          <w:t>https://adrs.oscn.net/programs/northwest-program/</w:t>
        </w:r>
      </w:hyperlink>
    </w:p>
    <w:p>
      <w:pPr>
        <w:pStyle w:val="BodyText"/>
        <w:tabs>
          <w:tab w:pos="5399" w:val="left" w:leader="none"/>
        </w:tabs>
        <w:spacing w:line="258" w:lineRule="exact" w:before="210"/>
      </w:pPr>
      <w:r>
        <w:rPr/>
        <w:t>Early</w:t>
      </w:r>
      <w:r>
        <w:rPr>
          <w:spacing w:val="-4"/>
        </w:rPr>
        <w:t> </w:t>
      </w:r>
      <w:r>
        <w:rPr/>
        <w:t>Settlement:</w:t>
      </w:r>
      <w:r>
        <w:rPr>
          <w:spacing w:val="-3"/>
        </w:rPr>
        <w:t> </w:t>
      </w:r>
      <w:r>
        <w:rPr>
          <w:spacing w:val="-2"/>
        </w:rPr>
        <w:t>Tulsa</w:t>
      </w:r>
      <w:r>
        <w:rPr/>
        <w:tab/>
        <w:t>Area</w:t>
      </w:r>
      <w:r>
        <w:rPr>
          <w:spacing w:val="-5"/>
        </w:rPr>
        <w:t> </w:t>
      </w:r>
      <w:r>
        <w:rPr/>
        <w:t>Served,</w:t>
      </w:r>
      <w:r>
        <w:rPr>
          <w:spacing w:val="-3"/>
        </w:rPr>
        <w:t> </w:t>
      </w:r>
      <w:r>
        <w:rPr/>
        <w:t>METRO</w:t>
      </w:r>
      <w:r>
        <w:rPr>
          <w:spacing w:val="-3"/>
        </w:rPr>
        <w:t> </w:t>
      </w:r>
      <w:r>
        <w:rPr>
          <w:spacing w:val="-2"/>
        </w:rPr>
        <w:t>TULSA:</w:t>
      </w:r>
    </w:p>
    <w:p>
      <w:pPr>
        <w:pStyle w:val="BodyText"/>
        <w:tabs>
          <w:tab w:pos="5399" w:val="left" w:leader="none"/>
        </w:tabs>
        <w:spacing w:line="208" w:lineRule="auto" w:before="12"/>
        <w:ind w:left="359" w:right="1036"/>
      </w:pPr>
      <w:r>
        <w:rPr/>
        <w:t>LeiLani Armstrong, Director</w:t>
        <w:tab/>
        <w:t>Creek</w:t>
      </w:r>
      <w:r>
        <w:rPr>
          <w:spacing w:val="-10"/>
        </w:rPr>
        <w:t> </w:t>
      </w:r>
      <w:r>
        <w:rPr/>
        <w:t>Okmulgee,</w:t>
      </w:r>
      <w:r>
        <w:rPr>
          <w:spacing w:val="-10"/>
        </w:rPr>
        <w:t> </w:t>
      </w:r>
      <w:r>
        <w:rPr/>
        <w:t>and</w:t>
      </w:r>
      <w:r>
        <w:rPr>
          <w:spacing w:val="-9"/>
        </w:rPr>
        <w:t> </w:t>
      </w:r>
      <w:r>
        <w:rPr/>
        <w:t>Tulsa</w:t>
      </w:r>
      <w:r>
        <w:rPr>
          <w:spacing w:val="-10"/>
        </w:rPr>
        <w:t> </w:t>
      </w:r>
      <w:r>
        <w:rPr/>
        <w:t>Counties 2315 Charles Page Blvd</w:t>
      </w:r>
    </w:p>
    <w:p>
      <w:pPr>
        <w:pStyle w:val="BodyText"/>
        <w:spacing w:line="229" w:lineRule="exact" w:before="0"/>
        <w:ind w:left="359"/>
      </w:pPr>
      <w:r>
        <w:rPr/>
        <w:t>Tulsa,</w:t>
      </w:r>
      <w:r>
        <w:rPr>
          <w:spacing w:val="-2"/>
        </w:rPr>
        <w:t> </w:t>
      </w:r>
      <w:r>
        <w:rPr/>
        <w:t>OK</w:t>
      </w:r>
      <w:r>
        <w:rPr>
          <w:spacing w:val="-1"/>
        </w:rPr>
        <w:t> </w:t>
      </w:r>
      <w:r>
        <w:rPr>
          <w:spacing w:val="-2"/>
        </w:rPr>
        <w:t>74127</w:t>
      </w:r>
    </w:p>
    <w:p>
      <w:pPr>
        <w:pStyle w:val="BodyText"/>
        <w:spacing w:line="240" w:lineRule="exact" w:before="0"/>
        <w:ind w:left="359"/>
      </w:pPr>
      <w:r>
        <w:rPr/>
        <w:t>918-596-7786</w:t>
      </w:r>
      <w:r>
        <w:rPr>
          <w:spacing w:val="-8"/>
        </w:rPr>
        <w:t> </w:t>
      </w:r>
      <w:r>
        <w:rPr/>
        <w:t>Fax</w:t>
      </w:r>
      <w:r>
        <w:rPr>
          <w:spacing w:val="-7"/>
        </w:rPr>
        <w:t> </w:t>
      </w:r>
      <w:r>
        <w:rPr/>
        <w:t>918-596-</w:t>
      </w:r>
      <w:r>
        <w:rPr>
          <w:spacing w:val="-4"/>
        </w:rPr>
        <w:t>7873</w:t>
      </w:r>
    </w:p>
    <w:p>
      <w:pPr>
        <w:pStyle w:val="BodyText"/>
        <w:spacing w:line="208" w:lineRule="auto" w:before="11"/>
        <w:ind w:right="1997"/>
      </w:pPr>
      <w:r>
        <w:rPr/>
        <w:t>Email: </w:t>
      </w:r>
      <w:hyperlink r:id="rId16">
        <w:r>
          <w:rPr>
            <w:color w:val="0000FF"/>
            <w:u w:val="single" w:color="0000FF"/>
          </w:rPr>
          <w:t>larmstrong@tulsacounty.org</w:t>
        </w:r>
      </w:hyperlink>
      <w:r>
        <w:rPr>
          <w:color w:val="0000FF"/>
          <w:u w:val="none"/>
        </w:rPr>
        <w:t> </w:t>
      </w:r>
      <w:hyperlink r:id="rId17">
        <w:r>
          <w:rPr>
            <w:color w:val="0000FF"/>
            <w:spacing w:val="-2"/>
            <w:u w:val="single" w:color="0000FF"/>
          </w:rPr>
          <w:t>https://www2.tulsacounty.org/services/early-settlement-center-for-mediation/</w:t>
        </w:r>
      </w:hyperlink>
    </w:p>
    <w:p>
      <w:pPr>
        <w:pStyle w:val="BodyText"/>
        <w:tabs>
          <w:tab w:pos="5399" w:val="left" w:leader="none"/>
        </w:tabs>
        <w:spacing w:line="258" w:lineRule="exact" w:before="211"/>
      </w:pPr>
      <w:r>
        <w:rPr/>
        <w:t>Early</w:t>
      </w:r>
      <w:r>
        <w:rPr>
          <w:spacing w:val="-4"/>
        </w:rPr>
        <w:t> </w:t>
      </w:r>
      <w:r>
        <w:rPr/>
        <w:t>Settlement:</w:t>
      </w:r>
      <w:r>
        <w:rPr>
          <w:spacing w:val="-3"/>
        </w:rPr>
        <w:t> </w:t>
      </w:r>
      <w:r>
        <w:rPr>
          <w:spacing w:val="-2"/>
        </w:rPr>
        <w:t>Southwest</w:t>
      </w:r>
      <w:r>
        <w:rPr/>
        <w:tab/>
        <w:t>Area</w:t>
      </w:r>
      <w:r>
        <w:rPr>
          <w:spacing w:val="-7"/>
        </w:rPr>
        <w:t> </w:t>
      </w:r>
      <w:r>
        <w:rPr/>
        <w:t>Served,</w:t>
      </w:r>
      <w:r>
        <w:rPr>
          <w:spacing w:val="-4"/>
        </w:rPr>
        <w:t> </w:t>
      </w:r>
      <w:r>
        <w:rPr/>
        <w:t>SOUTHWESTERN</w:t>
      </w:r>
      <w:r>
        <w:rPr>
          <w:spacing w:val="-3"/>
        </w:rPr>
        <w:t> </w:t>
      </w:r>
      <w:r>
        <w:rPr>
          <w:spacing w:val="-5"/>
        </w:rPr>
        <w:t>OK:</w:t>
      </w:r>
    </w:p>
    <w:p>
      <w:pPr>
        <w:pStyle w:val="BodyText"/>
        <w:tabs>
          <w:tab w:pos="5399" w:val="left" w:leader="none"/>
        </w:tabs>
        <w:spacing w:line="240" w:lineRule="exact" w:before="0"/>
      </w:pPr>
      <w:r>
        <w:rPr/>
        <w:t>Sarah</w:t>
      </w:r>
      <w:r>
        <w:rPr>
          <w:spacing w:val="-3"/>
        </w:rPr>
        <w:t> </w:t>
      </w:r>
      <w:r>
        <w:rPr/>
        <w:t>Head,</w:t>
      </w:r>
      <w:r>
        <w:rPr>
          <w:spacing w:val="-2"/>
        </w:rPr>
        <w:t> Director</w:t>
      </w:r>
      <w:r>
        <w:rPr/>
        <w:tab/>
        <w:t>Beckham,</w:t>
      </w:r>
      <w:r>
        <w:rPr>
          <w:spacing w:val="-6"/>
        </w:rPr>
        <w:t> </w:t>
      </w:r>
      <w:r>
        <w:rPr/>
        <w:t>Caddo,</w:t>
      </w:r>
      <w:r>
        <w:rPr>
          <w:spacing w:val="-4"/>
        </w:rPr>
        <w:t> </w:t>
      </w:r>
      <w:r>
        <w:rPr/>
        <w:t>Comanche,</w:t>
      </w:r>
      <w:r>
        <w:rPr>
          <w:spacing w:val="-3"/>
        </w:rPr>
        <w:t> </w:t>
      </w:r>
      <w:r>
        <w:rPr>
          <w:spacing w:val="-2"/>
        </w:rPr>
        <w:t>Cotton,</w:t>
      </w:r>
    </w:p>
    <w:p>
      <w:pPr>
        <w:pStyle w:val="BodyText"/>
        <w:tabs>
          <w:tab w:pos="5399" w:val="left" w:leader="none"/>
        </w:tabs>
        <w:spacing w:line="240" w:lineRule="exact" w:before="0"/>
      </w:pPr>
      <w:r>
        <w:rPr/>
        <w:t>Cameron</w:t>
      </w:r>
      <w:r>
        <w:rPr>
          <w:spacing w:val="-4"/>
        </w:rPr>
        <w:t> </w:t>
      </w:r>
      <w:r>
        <w:rPr>
          <w:spacing w:val="-2"/>
        </w:rPr>
        <w:t>University</w:t>
      </w:r>
      <w:r>
        <w:rPr/>
        <w:tab/>
        <w:t>Greer,</w:t>
      </w:r>
      <w:r>
        <w:rPr>
          <w:spacing w:val="-7"/>
        </w:rPr>
        <w:t> </w:t>
      </w:r>
      <w:r>
        <w:rPr/>
        <w:t>Harmon,</w:t>
      </w:r>
      <w:r>
        <w:rPr>
          <w:spacing w:val="-3"/>
        </w:rPr>
        <w:t> </w:t>
      </w:r>
      <w:r>
        <w:rPr/>
        <w:t>Jackson,</w:t>
      </w:r>
      <w:r>
        <w:rPr>
          <w:spacing w:val="-2"/>
        </w:rPr>
        <w:t> Jefferson,</w:t>
      </w:r>
    </w:p>
    <w:p>
      <w:pPr>
        <w:pStyle w:val="BodyText"/>
        <w:tabs>
          <w:tab w:pos="5399" w:val="left" w:leader="none"/>
        </w:tabs>
        <w:spacing w:line="240" w:lineRule="exact" w:before="0"/>
      </w:pPr>
      <w:r>
        <w:rPr/>
        <w:t>North</w:t>
      </w:r>
      <w:r>
        <w:rPr>
          <w:spacing w:val="-4"/>
        </w:rPr>
        <w:t> </w:t>
      </w:r>
      <w:r>
        <w:rPr/>
        <w:t>Shepler,</w:t>
      </w:r>
      <w:r>
        <w:rPr>
          <w:spacing w:val="-2"/>
        </w:rPr>
        <w:t> </w:t>
      </w:r>
      <w:r>
        <w:rPr/>
        <w:t>Room</w:t>
      </w:r>
      <w:r>
        <w:rPr>
          <w:spacing w:val="-4"/>
        </w:rPr>
        <w:t> </w:t>
      </w:r>
      <w:r>
        <w:rPr>
          <w:spacing w:val="-5"/>
        </w:rPr>
        <w:t>418</w:t>
      </w:r>
      <w:r>
        <w:rPr/>
        <w:tab/>
        <w:t>Kiowa,</w:t>
      </w:r>
      <w:r>
        <w:rPr>
          <w:spacing w:val="-4"/>
        </w:rPr>
        <w:t> </w:t>
      </w:r>
      <w:r>
        <w:rPr/>
        <w:t>Stephens,</w:t>
      </w:r>
      <w:r>
        <w:rPr>
          <w:spacing w:val="-3"/>
        </w:rPr>
        <w:t> </w:t>
      </w:r>
      <w:r>
        <w:rPr/>
        <w:t>Tillman,</w:t>
      </w:r>
      <w:r>
        <w:rPr>
          <w:spacing w:val="-3"/>
        </w:rPr>
        <w:t> </w:t>
      </w:r>
      <w:r>
        <w:rPr/>
        <w:t>and</w:t>
      </w:r>
      <w:r>
        <w:rPr>
          <w:spacing w:val="-5"/>
        </w:rPr>
        <w:t> </w:t>
      </w:r>
      <w:r>
        <w:rPr>
          <w:spacing w:val="-2"/>
        </w:rPr>
        <w:t>Washita</w:t>
      </w:r>
    </w:p>
    <w:p>
      <w:pPr>
        <w:pStyle w:val="BodyText"/>
        <w:tabs>
          <w:tab w:pos="5399" w:val="left" w:leader="none"/>
        </w:tabs>
        <w:spacing w:line="208" w:lineRule="auto" w:before="11"/>
        <w:ind w:right="4092"/>
      </w:pPr>
      <w:r>
        <w:rPr/>
        <w:t>2800 West Gore Blvd</w:t>
        <w:tab/>
      </w:r>
      <w:r>
        <w:rPr>
          <w:spacing w:val="-2"/>
        </w:rPr>
        <w:t>Counties </w:t>
      </w:r>
      <w:r>
        <w:rPr/>
        <w:t>Lawton, OK 73505</w:t>
      </w:r>
    </w:p>
    <w:p>
      <w:pPr>
        <w:pStyle w:val="BodyText"/>
        <w:spacing w:line="229" w:lineRule="exact" w:before="0"/>
      </w:pPr>
      <w:r>
        <w:rPr/>
        <w:t>580-581-5420</w:t>
      </w:r>
      <w:r>
        <w:rPr>
          <w:spacing w:val="-6"/>
        </w:rPr>
        <w:t> </w:t>
      </w:r>
      <w:r>
        <w:rPr/>
        <w:t>or</w:t>
      </w:r>
      <w:r>
        <w:rPr>
          <w:spacing w:val="-5"/>
        </w:rPr>
        <w:t> </w:t>
      </w:r>
      <w:r>
        <w:rPr/>
        <w:t>Fax</w:t>
      </w:r>
      <w:r>
        <w:rPr>
          <w:spacing w:val="-5"/>
        </w:rPr>
        <w:t> </w:t>
      </w:r>
      <w:r>
        <w:rPr/>
        <w:t>580-581-</w:t>
      </w:r>
      <w:r>
        <w:rPr>
          <w:spacing w:val="-4"/>
        </w:rPr>
        <w:t>5560</w:t>
      </w:r>
    </w:p>
    <w:p>
      <w:pPr>
        <w:pStyle w:val="BodyText"/>
        <w:spacing w:line="208" w:lineRule="auto" w:before="11"/>
        <w:ind w:right="4649"/>
      </w:pPr>
      <w:r>
        <w:rPr/>
        <w:t>Email: </w:t>
      </w:r>
      <w:hyperlink r:id="rId18">
        <w:r>
          <w:rPr>
            <w:color w:val="0000FF"/>
            <w:u w:val="single" w:color="0000FF"/>
          </w:rPr>
          <w:t>shead@cameron.edu</w:t>
        </w:r>
      </w:hyperlink>
      <w:r>
        <w:rPr>
          <w:color w:val="0000FF"/>
          <w:u w:val="none"/>
        </w:rPr>
        <w:t> </w:t>
      </w:r>
      <w:hyperlink r:id="rId19">
        <w:r>
          <w:rPr>
            <w:color w:val="0000FF"/>
            <w:spacing w:val="-2"/>
            <w:u w:val="single" w:color="0000FF"/>
          </w:rPr>
          <w:t>https://adrs.oscn.net/programs/southwest-program/</w:t>
        </w:r>
      </w:hyperlink>
    </w:p>
    <w:p>
      <w:pPr>
        <w:pStyle w:val="BodyText"/>
        <w:tabs>
          <w:tab w:pos="5399" w:val="left" w:leader="none"/>
        </w:tabs>
        <w:spacing w:line="258" w:lineRule="exact" w:before="211"/>
      </w:pPr>
      <w:r>
        <w:rPr/>
        <w:t>Early</w:t>
      </w:r>
      <w:r>
        <w:rPr>
          <w:spacing w:val="-4"/>
        </w:rPr>
        <w:t> </w:t>
      </w:r>
      <w:r>
        <w:rPr/>
        <w:t>Settlement:</w:t>
      </w:r>
      <w:r>
        <w:rPr>
          <w:spacing w:val="-3"/>
        </w:rPr>
        <w:t> </w:t>
      </w:r>
      <w:r>
        <w:rPr>
          <w:spacing w:val="-2"/>
        </w:rPr>
        <w:t>Southeast</w:t>
      </w:r>
      <w:r>
        <w:rPr/>
        <w:tab/>
        <w:t>Area</w:t>
      </w:r>
      <w:r>
        <w:rPr>
          <w:spacing w:val="-7"/>
        </w:rPr>
        <w:t> </w:t>
      </w:r>
      <w:r>
        <w:rPr/>
        <w:t>Served,</w:t>
      </w:r>
      <w:r>
        <w:rPr>
          <w:spacing w:val="-4"/>
        </w:rPr>
        <w:t> </w:t>
      </w:r>
      <w:r>
        <w:rPr/>
        <w:t>SOUTHEASTERN</w:t>
      </w:r>
      <w:r>
        <w:rPr>
          <w:spacing w:val="-4"/>
        </w:rPr>
        <w:t> </w:t>
      </w:r>
      <w:r>
        <w:rPr>
          <w:spacing w:val="-5"/>
        </w:rPr>
        <w:t>OK:</w:t>
      </w:r>
    </w:p>
    <w:p>
      <w:pPr>
        <w:pStyle w:val="BodyText"/>
        <w:tabs>
          <w:tab w:pos="5399" w:val="left" w:leader="none"/>
        </w:tabs>
        <w:spacing w:line="240" w:lineRule="exact" w:before="0"/>
      </w:pPr>
      <w:r>
        <w:rPr/>
        <w:t>Regan</w:t>
      </w:r>
      <w:r>
        <w:rPr>
          <w:spacing w:val="-4"/>
        </w:rPr>
        <w:t> </w:t>
      </w:r>
      <w:r>
        <w:rPr/>
        <w:t>Glinton,</w:t>
      </w:r>
      <w:r>
        <w:rPr>
          <w:spacing w:val="-2"/>
        </w:rPr>
        <w:t> Director</w:t>
      </w:r>
      <w:r>
        <w:rPr/>
        <w:tab/>
        <w:t>Choctaw,</w:t>
      </w:r>
      <w:r>
        <w:rPr>
          <w:spacing w:val="-6"/>
        </w:rPr>
        <w:t> </w:t>
      </w:r>
      <w:r>
        <w:rPr/>
        <w:t>Haskell,</w:t>
      </w:r>
      <w:r>
        <w:rPr>
          <w:spacing w:val="-3"/>
        </w:rPr>
        <w:t> </w:t>
      </w:r>
      <w:r>
        <w:rPr/>
        <w:t>Latimer,</w:t>
      </w:r>
      <w:r>
        <w:rPr>
          <w:spacing w:val="-3"/>
        </w:rPr>
        <w:t> </w:t>
      </w:r>
      <w:r>
        <w:rPr>
          <w:spacing w:val="-2"/>
        </w:rPr>
        <w:t>Leflore,</w:t>
      </w:r>
    </w:p>
    <w:p>
      <w:pPr>
        <w:pStyle w:val="BodyText"/>
        <w:tabs>
          <w:tab w:pos="5399" w:val="left" w:leader="none"/>
        </w:tabs>
        <w:spacing w:line="240" w:lineRule="exact" w:before="0"/>
      </w:pPr>
      <w:r>
        <w:rPr/>
        <w:t>Pittsburg</w:t>
      </w:r>
      <w:r>
        <w:rPr>
          <w:spacing w:val="-4"/>
        </w:rPr>
        <w:t> </w:t>
      </w:r>
      <w:r>
        <w:rPr/>
        <w:t>County</w:t>
      </w:r>
      <w:r>
        <w:rPr>
          <w:spacing w:val="-4"/>
        </w:rPr>
        <w:t> </w:t>
      </w:r>
      <w:r>
        <w:rPr>
          <w:spacing w:val="-2"/>
        </w:rPr>
        <w:t>Courthouse</w:t>
      </w:r>
      <w:r>
        <w:rPr/>
        <w:tab/>
        <w:t>McCurtain,</w:t>
      </w:r>
      <w:r>
        <w:rPr>
          <w:spacing w:val="-8"/>
        </w:rPr>
        <w:t> </w:t>
      </w:r>
      <w:r>
        <w:rPr/>
        <w:t>Mcintosh,</w:t>
      </w:r>
      <w:r>
        <w:rPr>
          <w:spacing w:val="-6"/>
        </w:rPr>
        <w:t> </w:t>
      </w:r>
      <w:r>
        <w:rPr/>
        <w:t>Pittsburg,</w:t>
      </w:r>
      <w:r>
        <w:rPr>
          <w:spacing w:val="-3"/>
        </w:rPr>
        <w:t> </w:t>
      </w:r>
      <w:r>
        <w:rPr>
          <w:spacing w:val="-5"/>
        </w:rPr>
        <w:t>and</w:t>
      </w:r>
    </w:p>
    <w:p>
      <w:pPr>
        <w:pStyle w:val="BodyText"/>
        <w:tabs>
          <w:tab w:pos="5399" w:val="left" w:leader="none"/>
        </w:tabs>
        <w:spacing w:line="208" w:lineRule="auto" w:before="11"/>
        <w:ind w:right="2677"/>
      </w:pPr>
      <w:r>
        <w:rPr/>
        <w:t>115 East Carl Albert Pkwy</w:t>
        <w:tab/>
        <w:t>Pushmataha</w:t>
      </w:r>
      <w:r>
        <w:rPr>
          <w:spacing w:val="-17"/>
        </w:rPr>
        <w:t> </w:t>
      </w:r>
      <w:r>
        <w:rPr/>
        <w:t>Counties Room 201</w:t>
      </w:r>
    </w:p>
    <w:p>
      <w:pPr>
        <w:pStyle w:val="BodyText"/>
        <w:spacing w:line="229" w:lineRule="exact" w:before="0"/>
      </w:pPr>
      <w:r>
        <w:rPr/>
        <w:t>McAlester,</w:t>
      </w:r>
      <w:r>
        <w:rPr>
          <w:spacing w:val="-3"/>
        </w:rPr>
        <w:t> </w:t>
      </w:r>
      <w:r>
        <w:rPr/>
        <w:t>OK</w:t>
      </w:r>
      <w:r>
        <w:rPr>
          <w:spacing w:val="64"/>
        </w:rPr>
        <w:t> </w:t>
      </w:r>
      <w:r>
        <w:rPr>
          <w:spacing w:val="-2"/>
        </w:rPr>
        <w:t>74501</w:t>
      </w:r>
    </w:p>
    <w:p>
      <w:pPr>
        <w:pStyle w:val="BodyText"/>
        <w:spacing w:line="240" w:lineRule="exact" w:before="0"/>
      </w:pPr>
      <w:r>
        <w:rPr/>
        <w:t>918-429-0386</w:t>
      </w:r>
      <w:r>
        <w:rPr>
          <w:spacing w:val="-4"/>
        </w:rPr>
        <w:t> </w:t>
      </w:r>
      <w:r>
        <w:rPr/>
        <w:t>-</w:t>
      </w:r>
      <w:r>
        <w:rPr>
          <w:spacing w:val="-3"/>
        </w:rPr>
        <w:t> </w:t>
      </w:r>
      <w:r>
        <w:rPr/>
        <w:t>McAlester</w:t>
      </w:r>
      <w:r>
        <w:rPr>
          <w:spacing w:val="-3"/>
        </w:rPr>
        <w:t> </w:t>
      </w:r>
      <w:r>
        <w:rPr>
          <w:spacing w:val="-2"/>
        </w:rPr>
        <w:t>Office</w:t>
      </w:r>
    </w:p>
    <w:p>
      <w:pPr>
        <w:pStyle w:val="BodyText"/>
        <w:spacing w:line="208" w:lineRule="auto" w:before="11"/>
        <w:ind w:right="4689"/>
      </w:pPr>
      <w:r>
        <w:rPr/>
        <w:t>580-407-4100 ext. 340 - Idabel Satellite Office Email: </w:t>
      </w:r>
      <w:hyperlink r:id="rId20">
        <w:r>
          <w:rPr>
            <w:color w:val="0000FF"/>
            <w:u w:val="single" w:color="0000FF"/>
          </w:rPr>
          <w:t>essoutheast@oscn.net</w:t>
        </w:r>
      </w:hyperlink>
      <w:r>
        <w:rPr>
          <w:color w:val="0000FF"/>
          <w:u w:val="none"/>
        </w:rPr>
        <w:t> </w:t>
      </w:r>
      <w:hyperlink r:id="rId21">
        <w:r>
          <w:rPr>
            <w:color w:val="0000FF"/>
            <w:spacing w:val="-2"/>
            <w:u w:val="single" w:color="0000FF"/>
          </w:rPr>
          <w:t>https://adrs.oscn.net/programs/southeast-program/</w:t>
        </w:r>
      </w:hyperlink>
    </w:p>
    <w:p>
      <w:pPr>
        <w:pStyle w:val="BodyText"/>
        <w:tabs>
          <w:tab w:pos="5399" w:val="left" w:leader="none"/>
        </w:tabs>
        <w:spacing w:line="208" w:lineRule="auto"/>
        <w:ind w:right="1036"/>
      </w:pPr>
      <w:r>
        <w:rPr/>
        <w:t>Early Settlement: South Central</w:t>
        <w:tab/>
        <w:t>Area</w:t>
      </w:r>
      <w:r>
        <w:rPr>
          <w:spacing w:val="-3"/>
        </w:rPr>
        <w:t> </w:t>
      </w:r>
      <w:r>
        <w:rPr/>
        <w:t>Served,</w:t>
      </w:r>
      <w:r>
        <w:rPr>
          <w:spacing w:val="-2"/>
        </w:rPr>
        <w:t> </w:t>
      </w:r>
      <w:r>
        <w:rPr/>
        <w:t>SOUTH</w:t>
      </w:r>
      <w:r>
        <w:rPr>
          <w:spacing w:val="-3"/>
        </w:rPr>
        <w:t> </w:t>
      </w:r>
      <w:r>
        <w:rPr/>
        <w:t>CENTRAL</w:t>
      </w:r>
      <w:r>
        <w:rPr>
          <w:spacing w:val="-2"/>
        </w:rPr>
        <w:t> </w:t>
      </w:r>
      <w:r>
        <w:rPr/>
        <w:t>OK: Jaxie</w:t>
      </w:r>
      <w:r>
        <w:rPr>
          <w:spacing w:val="-3"/>
        </w:rPr>
        <w:t> </w:t>
      </w:r>
      <w:r>
        <w:rPr/>
        <w:t>Johnston,</w:t>
      </w:r>
      <w:r>
        <w:rPr>
          <w:spacing w:val="-2"/>
        </w:rPr>
        <w:t> Director</w:t>
      </w:r>
      <w:r>
        <w:rPr/>
        <w:tab/>
        <w:t>Atoka,</w:t>
      </w:r>
      <w:r>
        <w:rPr>
          <w:spacing w:val="-5"/>
        </w:rPr>
        <w:t> </w:t>
      </w:r>
      <w:r>
        <w:rPr/>
        <w:t>Bryan,</w:t>
      </w:r>
      <w:r>
        <w:rPr>
          <w:spacing w:val="-3"/>
        </w:rPr>
        <w:t> </w:t>
      </w:r>
      <w:r>
        <w:rPr/>
        <w:t>Carter,</w:t>
      </w:r>
      <w:r>
        <w:rPr>
          <w:spacing w:val="-5"/>
        </w:rPr>
        <w:t> </w:t>
      </w:r>
      <w:r>
        <w:rPr/>
        <w:t>Johnston,</w:t>
      </w:r>
      <w:r>
        <w:rPr>
          <w:spacing w:val="-2"/>
        </w:rPr>
        <w:t> Love,</w:t>
      </w:r>
    </w:p>
    <w:p>
      <w:pPr>
        <w:pStyle w:val="BodyText"/>
        <w:tabs>
          <w:tab w:pos="5399" w:val="left" w:leader="none"/>
        </w:tabs>
        <w:spacing w:line="208" w:lineRule="auto" w:before="0"/>
        <w:ind w:right="1772"/>
      </w:pPr>
      <w:r>
        <w:rPr/>
        <w:t>Carter County Courthouse</w:t>
        <w:tab/>
        <w:t>Marshall,</w:t>
      </w:r>
      <w:r>
        <w:rPr>
          <w:spacing w:val="-13"/>
        </w:rPr>
        <w:t> </w:t>
      </w:r>
      <w:r>
        <w:rPr/>
        <w:t>and</w:t>
      </w:r>
      <w:r>
        <w:rPr>
          <w:spacing w:val="-13"/>
        </w:rPr>
        <w:t> </w:t>
      </w:r>
      <w:r>
        <w:rPr/>
        <w:t>Murray</w:t>
      </w:r>
      <w:r>
        <w:rPr>
          <w:spacing w:val="-14"/>
        </w:rPr>
        <w:t> </w:t>
      </w:r>
      <w:r>
        <w:rPr/>
        <w:t>Counties 20 B Street SW, Suite 101</w:t>
      </w:r>
    </w:p>
    <w:p>
      <w:pPr>
        <w:pStyle w:val="BodyText"/>
        <w:spacing w:line="229" w:lineRule="exact" w:before="0"/>
      </w:pPr>
      <w:r>
        <w:rPr/>
        <w:t>Ardmore,</w:t>
      </w:r>
      <w:r>
        <w:rPr>
          <w:spacing w:val="-3"/>
        </w:rPr>
        <w:t> </w:t>
      </w:r>
      <w:r>
        <w:rPr/>
        <w:t>OK</w:t>
      </w:r>
      <w:r>
        <w:rPr>
          <w:spacing w:val="-2"/>
        </w:rPr>
        <w:t> 73401</w:t>
      </w:r>
    </w:p>
    <w:p>
      <w:pPr>
        <w:pStyle w:val="BodyText"/>
        <w:spacing w:line="240" w:lineRule="exact" w:before="0"/>
      </w:pPr>
      <w:r>
        <w:rPr>
          <w:spacing w:val="-2"/>
        </w:rPr>
        <w:t>580-221-</w:t>
      </w:r>
      <w:r>
        <w:rPr>
          <w:spacing w:val="-4"/>
        </w:rPr>
        <w:t>5524</w:t>
      </w:r>
    </w:p>
    <w:p>
      <w:pPr>
        <w:pStyle w:val="BodyText"/>
        <w:spacing w:line="208" w:lineRule="auto" w:before="11"/>
        <w:ind w:right="4343"/>
      </w:pPr>
      <w:r>
        <w:rPr/>
        <w:t>Email: </w:t>
      </w:r>
      <w:hyperlink r:id="rId22">
        <w:r>
          <w:rPr>
            <w:color w:val="0000FF"/>
            <w:u w:val="single" w:color="0000FF"/>
          </w:rPr>
          <w:t>mediationsc@ecok.edu</w:t>
        </w:r>
      </w:hyperlink>
      <w:r>
        <w:rPr>
          <w:color w:val="0000FF"/>
          <w:u w:val="none"/>
        </w:rPr>
        <w:t> </w:t>
      </w:r>
      <w:hyperlink r:id="rId23">
        <w:r>
          <w:rPr>
            <w:color w:val="0000FF"/>
            <w:spacing w:val="-2"/>
            <w:u w:val="single" w:color="0000FF"/>
          </w:rPr>
          <w:t>https://adrs.oscn.net/programs/south-central-program/</w:t>
        </w:r>
      </w:hyperlink>
    </w:p>
    <w:p>
      <w:pPr>
        <w:pStyle w:val="BodyText"/>
        <w:tabs>
          <w:tab w:pos="5399" w:val="left" w:leader="none"/>
        </w:tabs>
        <w:spacing w:line="258" w:lineRule="exact" w:before="211"/>
      </w:pPr>
      <w:r>
        <w:rPr/>
        <w:t>Early</w:t>
      </w:r>
      <w:r>
        <w:rPr>
          <w:spacing w:val="-3"/>
        </w:rPr>
        <w:t> </w:t>
      </w:r>
      <w:r>
        <w:rPr/>
        <w:t>Settlement:</w:t>
      </w:r>
      <w:r>
        <w:rPr>
          <w:spacing w:val="-2"/>
        </w:rPr>
        <w:t> </w:t>
      </w:r>
      <w:r>
        <w:rPr/>
        <w:t>City</w:t>
      </w:r>
      <w:r>
        <w:rPr>
          <w:spacing w:val="-4"/>
        </w:rPr>
        <w:t> </w:t>
      </w:r>
      <w:r>
        <w:rPr/>
        <w:t>of</w:t>
      </w:r>
      <w:r>
        <w:rPr>
          <w:spacing w:val="-1"/>
        </w:rPr>
        <w:t> </w:t>
      </w:r>
      <w:r>
        <w:rPr>
          <w:spacing w:val="-2"/>
        </w:rPr>
        <w:t>Norman</w:t>
      </w:r>
      <w:r>
        <w:rPr/>
        <w:tab/>
        <w:t>Area</w:t>
      </w:r>
      <w:r>
        <w:rPr>
          <w:spacing w:val="-5"/>
        </w:rPr>
        <w:t> </w:t>
      </w:r>
      <w:r>
        <w:rPr/>
        <w:t>Served,</w:t>
      </w:r>
      <w:r>
        <w:rPr>
          <w:spacing w:val="-2"/>
        </w:rPr>
        <w:t> NORMAN:</w:t>
      </w:r>
    </w:p>
    <w:p>
      <w:pPr>
        <w:pStyle w:val="BodyText"/>
        <w:tabs>
          <w:tab w:pos="5399" w:val="left" w:leader="none"/>
        </w:tabs>
        <w:spacing w:line="208" w:lineRule="auto" w:before="11"/>
        <w:ind w:left="359" w:right="3437"/>
      </w:pPr>
      <w:r>
        <w:rPr/>
        <w:t>Maggie Griffith, Director</w:t>
        <w:tab/>
        <w:t>City</w:t>
      </w:r>
      <w:r>
        <w:rPr>
          <w:spacing w:val="-17"/>
        </w:rPr>
        <w:t> </w:t>
      </w:r>
      <w:r>
        <w:rPr/>
        <w:t>of</w:t>
      </w:r>
      <w:r>
        <w:rPr>
          <w:spacing w:val="-17"/>
        </w:rPr>
        <w:t> </w:t>
      </w:r>
      <w:r>
        <w:rPr/>
        <w:t>Norman City of Norman</w:t>
      </w:r>
    </w:p>
    <w:p>
      <w:pPr>
        <w:pStyle w:val="BodyText"/>
        <w:spacing w:after="0" w:line="208" w:lineRule="auto"/>
        <w:sectPr>
          <w:pgSz w:w="12240" w:h="15840"/>
          <w:pgMar w:top="1340" w:bottom="280" w:left="1080" w:right="720"/>
        </w:sectPr>
      </w:pPr>
    </w:p>
    <w:p>
      <w:pPr>
        <w:pStyle w:val="BodyText"/>
        <w:spacing w:line="208" w:lineRule="auto" w:before="96"/>
        <w:ind w:right="6600"/>
      </w:pPr>
      <w:r>
        <w:rPr/>
        <w:t>321</w:t>
      </w:r>
      <w:r>
        <w:rPr>
          <w:spacing w:val="-13"/>
        </w:rPr>
        <w:t> </w:t>
      </w:r>
      <w:r>
        <w:rPr/>
        <w:t>North</w:t>
      </w:r>
      <w:r>
        <w:rPr>
          <w:spacing w:val="-13"/>
        </w:rPr>
        <w:t> </w:t>
      </w:r>
      <w:r>
        <w:rPr/>
        <w:t>Webster</w:t>
      </w:r>
      <w:r>
        <w:rPr>
          <w:spacing w:val="-13"/>
        </w:rPr>
        <w:t> </w:t>
      </w:r>
      <w:r>
        <w:rPr/>
        <w:t>Avenue Norman, OK 73069</w:t>
      </w:r>
    </w:p>
    <w:p>
      <w:pPr>
        <w:pStyle w:val="BodyText"/>
        <w:spacing w:line="229" w:lineRule="exact" w:before="0"/>
      </w:pPr>
      <w:r>
        <w:rPr>
          <w:spacing w:val="-2"/>
        </w:rPr>
        <w:t>405-366-</w:t>
      </w:r>
      <w:r>
        <w:rPr>
          <w:spacing w:val="-4"/>
        </w:rPr>
        <w:t>5325</w:t>
      </w:r>
    </w:p>
    <w:p>
      <w:pPr>
        <w:pStyle w:val="BodyText"/>
        <w:spacing w:line="208" w:lineRule="auto" w:before="11"/>
        <w:ind w:right="4983"/>
      </w:pPr>
      <w:r>
        <w:rPr/>
        <w:t>Email: </w:t>
      </w:r>
      <w:hyperlink r:id="rId24">
        <w:r>
          <w:rPr>
            <w:color w:val="0000FF"/>
            <w:u w:val="single" w:color="0000FF"/>
          </w:rPr>
          <w:t>Maggie.Griffith@NormanOK.gov</w:t>
        </w:r>
      </w:hyperlink>
      <w:r>
        <w:rPr>
          <w:color w:val="0000FF"/>
          <w:u w:val="none"/>
        </w:rPr>
        <w:t> </w:t>
      </w:r>
      <w:hyperlink r:id="rId25">
        <w:r>
          <w:rPr>
            <w:color w:val="0000FF"/>
            <w:spacing w:val="-2"/>
            <w:u w:val="single" w:color="0000FF"/>
          </w:rPr>
          <w:t>https://adrs.oscn.net/programs/nornan-program/</w:t>
        </w:r>
      </w:hyperlink>
    </w:p>
    <w:p>
      <w:pPr>
        <w:pStyle w:val="BodyText"/>
        <w:tabs>
          <w:tab w:pos="5399" w:val="left" w:leader="none"/>
        </w:tabs>
        <w:spacing w:line="258" w:lineRule="exact" w:before="211"/>
      </w:pPr>
      <w:r>
        <w:rPr/>
        <w:t>Early</w:t>
      </w:r>
      <w:r>
        <w:rPr>
          <w:spacing w:val="-4"/>
        </w:rPr>
        <w:t> </w:t>
      </w:r>
      <w:r>
        <w:rPr/>
        <w:t>Settlement:</w:t>
      </w:r>
      <w:r>
        <w:rPr>
          <w:spacing w:val="-3"/>
        </w:rPr>
        <w:t> </w:t>
      </w:r>
      <w:r>
        <w:rPr>
          <w:spacing w:val="-2"/>
        </w:rPr>
        <w:t>Central</w:t>
      </w:r>
      <w:r>
        <w:rPr/>
        <w:tab/>
        <w:t>Area</w:t>
      </w:r>
      <w:r>
        <w:rPr>
          <w:spacing w:val="-6"/>
        </w:rPr>
        <w:t> </w:t>
      </w:r>
      <w:r>
        <w:rPr/>
        <w:t>Served,</w:t>
      </w:r>
      <w:r>
        <w:rPr>
          <w:spacing w:val="-3"/>
        </w:rPr>
        <w:t> </w:t>
      </w:r>
      <w:r>
        <w:rPr/>
        <w:t>CENTRAL</w:t>
      </w:r>
      <w:r>
        <w:rPr>
          <w:spacing w:val="-3"/>
        </w:rPr>
        <w:t> </w:t>
      </w:r>
      <w:r>
        <w:rPr>
          <w:spacing w:val="-5"/>
        </w:rPr>
        <w:t>OK:</w:t>
      </w:r>
    </w:p>
    <w:p>
      <w:pPr>
        <w:pStyle w:val="BodyText"/>
        <w:tabs>
          <w:tab w:pos="5399" w:val="left" w:leader="none"/>
        </w:tabs>
        <w:spacing w:line="208" w:lineRule="auto" w:before="11"/>
        <w:ind w:right="1557"/>
      </w:pPr>
      <w:r>
        <w:rPr/>
        <w:t>Tylnn Childress, Director</w:t>
        <w:tab/>
        <w:t>Cleveland</w:t>
      </w:r>
      <w:r>
        <w:rPr>
          <w:spacing w:val="-13"/>
        </w:rPr>
        <w:t> </w:t>
      </w:r>
      <w:r>
        <w:rPr/>
        <w:t>and</w:t>
      </w:r>
      <w:r>
        <w:rPr>
          <w:spacing w:val="-13"/>
        </w:rPr>
        <w:t> </w:t>
      </w:r>
      <w:r>
        <w:rPr/>
        <w:t>McClain</w:t>
      </w:r>
      <w:r>
        <w:rPr>
          <w:spacing w:val="-13"/>
        </w:rPr>
        <w:t> </w:t>
      </w:r>
      <w:r>
        <w:rPr/>
        <w:t>Counties Cleveland County Courthouse</w:t>
      </w:r>
    </w:p>
    <w:p>
      <w:pPr>
        <w:pStyle w:val="BodyText"/>
        <w:spacing w:line="208" w:lineRule="auto" w:before="0"/>
        <w:ind w:right="7056"/>
      </w:pPr>
      <w:r>
        <w:rPr/>
        <w:t>201</w:t>
      </w:r>
      <w:r>
        <w:rPr>
          <w:spacing w:val="-13"/>
        </w:rPr>
        <w:t> </w:t>
      </w:r>
      <w:r>
        <w:rPr/>
        <w:t>South</w:t>
      </w:r>
      <w:r>
        <w:rPr>
          <w:spacing w:val="-13"/>
        </w:rPr>
        <w:t> </w:t>
      </w:r>
      <w:r>
        <w:rPr/>
        <w:t>Jones</w:t>
      </w:r>
      <w:r>
        <w:rPr>
          <w:spacing w:val="-13"/>
        </w:rPr>
        <w:t> </w:t>
      </w:r>
      <w:r>
        <w:rPr/>
        <w:t>Avenue 2nd Floor West</w:t>
      </w:r>
    </w:p>
    <w:p>
      <w:pPr>
        <w:pStyle w:val="BodyText"/>
        <w:spacing w:line="229" w:lineRule="exact" w:before="0"/>
      </w:pPr>
      <w:r>
        <w:rPr/>
        <w:t>Norman,</w:t>
      </w:r>
      <w:r>
        <w:rPr>
          <w:spacing w:val="-4"/>
        </w:rPr>
        <w:t> </w:t>
      </w:r>
      <w:r>
        <w:rPr/>
        <w:t>OK</w:t>
      </w:r>
      <w:r>
        <w:rPr>
          <w:spacing w:val="-2"/>
        </w:rPr>
        <w:t> 73069</w:t>
      </w:r>
    </w:p>
    <w:p>
      <w:pPr>
        <w:pStyle w:val="BodyText"/>
        <w:spacing w:line="240" w:lineRule="exact" w:before="0"/>
      </w:pPr>
      <w:r>
        <w:rPr>
          <w:spacing w:val="-2"/>
        </w:rPr>
        <w:t>405-366-</w:t>
      </w:r>
      <w:r>
        <w:rPr>
          <w:spacing w:val="-4"/>
        </w:rPr>
        <w:t>0640</w:t>
      </w:r>
    </w:p>
    <w:p>
      <w:pPr>
        <w:pStyle w:val="BodyText"/>
        <w:spacing w:line="208" w:lineRule="auto" w:before="11"/>
        <w:ind w:right="5009"/>
      </w:pPr>
      <w:r>
        <w:rPr/>
        <w:t>Email: </w:t>
      </w:r>
      <w:hyperlink r:id="rId26">
        <w:r>
          <w:rPr>
            <w:color w:val="0000FF"/>
            <w:u w:val="single" w:color="0000FF"/>
          </w:rPr>
          <w:t>early.settlement@oscn.net</w:t>
        </w:r>
      </w:hyperlink>
      <w:r>
        <w:rPr>
          <w:color w:val="0000FF"/>
          <w:u w:val="none"/>
        </w:rPr>
        <w:t> </w:t>
      </w:r>
      <w:hyperlink r:id="rId27">
        <w:r>
          <w:rPr>
            <w:color w:val="0000FF"/>
            <w:spacing w:val="-2"/>
            <w:u w:val="single" w:color="0000FF"/>
          </w:rPr>
          <w:t>https://adrs.oscn.net/programs/central-program/</w:t>
        </w:r>
      </w:hyperlink>
    </w:p>
    <w:p>
      <w:pPr>
        <w:pStyle w:val="BodyText"/>
        <w:tabs>
          <w:tab w:pos="5399" w:val="left" w:leader="none"/>
        </w:tabs>
        <w:spacing w:line="258" w:lineRule="exact" w:before="211"/>
      </w:pPr>
      <w:r>
        <w:rPr/>
        <w:t>Early</w:t>
      </w:r>
      <w:r>
        <w:rPr>
          <w:spacing w:val="-4"/>
        </w:rPr>
        <w:t> </w:t>
      </w:r>
      <w:r>
        <w:rPr/>
        <w:t>Settlement:</w:t>
      </w:r>
      <w:r>
        <w:rPr>
          <w:spacing w:val="-2"/>
        </w:rPr>
        <w:t> </w:t>
      </w:r>
      <w:r>
        <w:rPr/>
        <w:t>East</w:t>
      </w:r>
      <w:r>
        <w:rPr>
          <w:spacing w:val="-5"/>
        </w:rPr>
        <w:t> </w:t>
      </w:r>
      <w:r>
        <w:rPr>
          <w:spacing w:val="-2"/>
        </w:rPr>
        <w:t>Central</w:t>
      </w:r>
      <w:r>
        <w:rPr/>
        <w:tab/>
        <w:t>Area</w:t>
      </w:r>
      <w:r>
        <w:rPr>
          <w:spacing w:val="-6"/>
        </w:rPr>
        <w:t> </w:t>
      </w:r>
      <w:r>
        <w:rPr/>
        <w:t>Served,</w:t>
      </w:r>
      <w:r>
        <w:rPr>
          <w:spacing w:val="-2"/>
        </w:rPr>
        <w:t> </w:t>
      </w:r>
      <w:r>
        <w:rPr/>
        <w:t>EAST</w:t>
      </w:r>
      <w:r>
        <w:rPr>
          <w:spacing w:val="-3"/>
        </w:rPr>
        <w:t> </w:t>
      </w:r>
      <w:r>
        <w:rPr/>
        <w:t>CENTRAL</w:t>
      </w:r>
      <w:r>
        <w:rPr>
          <w:spacing w:val="-3"/>
        </w:rPr>
        <w:t> </w:t>
      </w:r>
      <w:r>
        <w:rPr>
          <w:spacing w:val="-5"/>
        </w:rPr>
        <w:t>OK:</w:t>
      </w:r>
    </w:p>
    <w:p>
      <w:pPr>
        <w:pStyle w:val="BodyText"/>
        <w:tabs>
          <w:tab w:pos="5399" w:val="left" w:leader="none"/>
        </w:tabs>
        <w:spacing w:line="240" w:lineRule="exact" w:before="0"/>
        <w:ind w:left="359"/>
      </w:pPr>
      <w:r>
        <w:rPr/>
        <w:t>Jorjia</w:t>
      </w:r>
      <w:r>
        <w:rPr>
          <w:spacing w:val="-3"/>
        </w:rPr>
        <w:t> </w:t>
      </w:r>
      <w:r>
        <w:rPr/>
        <w:t>Cash,</w:t>
      </w:r>
      <w:r>
        <w:rPr>
          <w:spacing w:val="-1"/>
        </w:rPr>
        <w:t> </w:t>
      </w:r>
      <w:r>
        <w:rPr>
          <w:spacing w:val="-2"/>
        </w:rPr>
        <w:t>Director</w:t>
      </w:r>
      <w:r>
        <w:rPr/>
        <w:tab/>
        <w:t>Coal,</w:t>
      </w:r>
      <w:r>
        <w:rPr>
          <w:spacing w:val="-6"/>
        </w:rPr>
        <w:t> </w:t>
      </w:r>
      <w:r>
        <w:rPr/>
        <w:t>Garvin,</w:t>
      </w:r>
      <w:r>
        <w:rPr>
          <w:spacing w:val="-3"/>
        </w:rPr>
        <w:t> </w:t>
      </w:r>
      <w:r>
        <w:rPr/>
        <w:t>Hughes,</w:t>
      </w:r>
      <w:r>
        <w:rPr>
          <w:spacing w:val="-3"/>
        </w:rPr>
        <w:t> </w:t>
      </w:r>
      <w:r>
        <w:rPr>
          <w:spacing w:val="-2"/>
        </w:rPr>
        <w:t>Okfuskee,</w:t>
      </w:r>
    </w:p>
    <w:p>
      <w:pPr>
        <w:pStyle w:val="BodyText"/>
        <w:tabs>
          <w:tab w:pos="5399" w:val="left" w:leader="none"/>
        </w:tabs>
        <w:spacing w:line="240" w:lineRule="exact" w:before="0"/>
        <w:ind w:left="359"/>
      </w:pPr>
      <w:r>
        <w:rPr/>
        <w:t>East</w:t>
      </w:r>
      <w:r>
        <w:rPr>
          <w:spacing w:val="-3"/>
        </w:rPr>
        <w:t> </w:t>
      </w:r>
      <w:r>
        <w:rPr/>
        <w:t>Central</w:t>
      </w:r>
      <w:r>
        <w:rPr>
          <w:spacing w:val="-2"/>
        </w:rPr>
        <w:t> University</w:t>
      </w:r>
      <w:r>
        <w:rPr/>
        <w:tab/>
        <w:t>Pontotoc,</w:t>
      </w:r>
      <w:r>
        <w:rPr>
          <w:spacing w:val="-6"/>
        </w:rPr>
        <w:t> </w:t>
      </w:r>
      <w:r>
        <w:rPr>
          <w:spacing w:val="-2"/>
        </w:rPr>
        <w:t>Pottawatomie,</w:t>
      </w:r>
    </w:p>
    <w:p>
      <w:pPr>
        <w:pStyle w:val="BodyText"/>
        <w:tabs>
          <w:tab w:pos="5399" w:val="left" w:leader="none"/>
        </w:tabs>
        <w:spacing w:line="208" w:lineRule="auto" w:before="11"/>
        <w:ind w:left="359" w:right="2556"/>
      </w:pPr>
      <w:r>
        <w:rPr/>
        <w:t>Student Memorial Union, K102</w:t>
        <w:tab/>
        <w:t>and</w:t>
      </w:r>
      <w:r>
        <w:rPr>
          <w:spacing w:val="-17"/>
        </w:rPr>
        <w:t> </w:t>
      </w:r>
      <w:r>
        <w:rPr/>
        <w:t>Seminole</w:t>
      </w:r>
      <w:r>
        <w:rPr>
          <w:spacing w:val="-17"/>
        </w:rPr>
        <w:t> </w:t>
      </w:r>
      <w:r>
        <w:rPr/>
        <w:t>Counties Ada, OK 74820-6899</w:t>
      </w:r>
    </w:p>
    <w:p>
      <w:pPr>
        <w:pStyle w:val="BodyText"/>
        <w:spacing w:line="229" w:lineRule="exact" w:before="0"/>
        <w:ind w:left="359"/>
      </w:pPr>
      <w:r>
        <w:rPr/>
        <w:t>580-559-5674</w:t>
      </w:r>
      <w:r>
        <w:rPr>
          <w:spacing w:val="-6"/>
        </w:rPr>
        <w:t> </w:t>
      </w:r>
      <w:r>
        <w:rPr/>
        <w:t>or</w:t>
      </w:r>
      <w:r>
        <w:rPr>
          <w:spacing w:val="-5"/>
        </w:rPr>
        <w:t> </w:t>
      </w:r>
      <w:r>
        <w:rPr/>
        <w:t>Fax</w:t>
      </w:r>
      <w:r>
        <w:rPr>
          <w:spacing w:val="-5"/>
        </w:rPr>
        <w:t> </w:t>
      </w:r>
      <w:r>
        <w:rPr/>
        <w:t>580-559-</w:t>
      </w:r>
      <w:r>
        <w:rPr>
          <w:spacing w:val="-4"/>
        </w:rPr>
        <w:t>5816</w:t>
      </w:r>
    </w:p>
    <w:p>
      <w:pPr>
        <w:pStyle w:val="BodyText"/>
        <w:spacing w:line="208" w:lineRule="auto" w:before="11"/>
        <w:ind w:right="4476"/>
      </w:pPr>
      <w:r>
        <w:rPr/>
        <w:t>Email: </w:t>
      </w:r>
      <w:hyperlink r:id="rId28">
        <w:r>
          <w:rPr>
            <w:color w:val="0000FF"/>
            <w:u w:val="single" w:color="0000FF"/>
          </w:rPr>
          <w:t>earlysettlement@ecok.edu</w:t>
        </w:r>
      </w:hyperlink>
      <w:r>
        <w:rPr>
          <w:color w:val="0000FF"/>
          <w:u w:val="none"/>
        </w:rPr>
        <w:t> </w:t>
      </w:r>
      <w:hyperlink r:id="rId29">
        <w:r>
          <w:rPr>
            <w:color w:val="0000FF"/>
            <w:spacing w:val="-2"/>
            <w:u w:val="single" w:color="0000FF"/>
          </w:rPr>
          <w:t>https://adrs.oscn.net/programs/east-central-program/</w:t>
        </w:r>
      </w:hyperlink>
    </w:p>
    <w:p>
      <w:pPr>
        <w:pStyle w:val="BodyText"/>
        <w:tabs>
          <w:tab w:pos="5399" w:val="left" w:leader="none"/>
        </w:tabs>
        <w:spacing w:line="258" w:lineRule="exact" w:before="211"/>
      </w:pPr>
      <w:r>
        <w:rPr/>
        <w:t>Early</w:t>
      </w:r>
      <w:r>
        <w:rPr>
          <w:spacing w:val="-4"/>
        </w:rPr>
        <w:t> </w:t>
      </w:r>
      <w:r>
        <w:rPr/>
        <w:t>Settlement:</w:t>
      </w:r>
      <w:r>
        <w:rPr>
          <w:spacing w:val="-3"/>
        </w:rPr>
        <w:t> </w:t>
      </w:r>
      <w:r>
        <w:rPr>
          <w:spacing w:val="-4"/>
        </w:rPr>
        <w:t>East</w:t>
      </w:r>
      <w:r>
        <w:rPr/>
        <w:tab/>
        <w:t>Area</w:t>
      </w:r>
      <w:r>
        <w:rPr>
          <w:spacing w:val="-6"/>
        </w:rPr>
        <w:t> </w:t>
      </w:r>
      <w:r>
        <w:rPr/>
        <w:t>Served,</w:t>
      </w:r>
      <w:r>
        <w:rPr>
          <w:spacing w:val="-2"/>
        </w:rPr>
        <w:t> </w:t>
      </w:r>
      <w:r>
        <w:rPr/>
        <w:t>EASTERN</w:t>
      </w:r>
      <w:r>
        <w:rPr>
          <w:spacing w:val="-3"/>
        </w:rPr>
        <w:t> </w:t>
      </w:r>
      <w:r>
        <w:rPr>
          <w:spacing w:val="-5"/>
        </w:rPr>
        <w:t>OK:</w:t>
      </w:r>
    </w:p>
    <w:p>
      <w:pPr>
        <w:pStyle w:val="BodyText"/>
        <w:tabs>
          <w:tab w:pos="5399" w:val="left" w:leader="none"/>
        </w:tabs>
        <w:spacing w:line="240" w:lineRule="exact" w:before="0"/>
        <w:ind w:left="359"/>
      </w:pPr>
      <w:r>
        <w:rPr/>
        <w:t>Julie</w:t>
      </w:r>
      <w:r>
        <w:rPr>
          <w:spacing w:val="-3"/>
        </w:rPr>
        <w:t> </w:t>
      </w:r>
      <w:r>
        <w:rPr/>
        <w:t>Easley,</w:t>
      </w:r>
      <w:r>
        <w:rPr>
          <w:spacing w:val="-1"/>
        </w:rPr>
        <w:t> </w:t>
      </w:r>
      <w:r>
        <w:rPr>
          <w:spacing w:val="-2"/>
        </w:rPr>
        <w:t>Director</w:t>
      </w:r>
      <w:r>
        <w:rPr/>
        <w:tab/>
        <w:t>Adair,</w:t>
      </w:r>
      <w:r>
        <w:rPr>
          <w:spacing w:val="-7"/>
        </w:rPr>
        <w:t> </w:t>
      </w:r>
      <w:r>
        <w:rPr/>
        <w:t>Cherokee,</w:t>
      </w:r>
      <w:r>
        <w:rPr>
          <w:spacing w:val="-4"/>
        </w:rPr>
        <w:t> </w:t>
      </w:r>
      <w:r>
        <w:rPr/>
        <w:t>Delaware,</w:t>
      </w:r>
      <w:r>
        <w:rPr>
          <w:spacing w:val="-4"/>
        </w:rPr>
        <w:t> </w:t>
      </w:r>
      <w:r>
        <w:rPr>
          <w:spacing w:val="-2"/>
        </w:rPr>
        <w:t>Mayes,</w:t>
      </w:r>
    </w:p>
    <w:p>
      <w:pPr>
        <w:pStyle w:val="BodyText"/>
        <w:tabs>
          <w:tab w:pos="5399" w:val="left" w:leader="none"/>
        </w:tabs>
        <w:spacing w:line="240" w:lineRule="exact" w:before="0"/>
        <w:ind w:left="359"/>
      </w:pPr>
      <w:r>
        <w:rPr/>
        <w:t>Northeastern</w:t>
      </w:r>
      <w:r>
        <w:rPr>
          <w:spacing w:val="-4"/>
        </w:rPr>
        <w:t> </w:t>
      </w:r>
      <w:r>
        <w:rPr/>
        <w:t>State</w:t>
      </w:r>
      <w:r>
        <w:rPr>
          <w:spacing w:val="-4"/>
        </w:rPr>
        <w:t> </w:t>
      </w:r>
      <w:r>
        <w:rPr>
          <w:spacing w:val="-2"/>
        </w:rPr>
        <w:t>University</w:t>
      </w:r>
      <w:r>
        <w:rPr/>
        <w:tab/>
        <w:t>Muskogee,</w:t>
      </w:r>
      <w:r>
        <w:rPr>
          <w:spacing w:val="-6"/>
        </w:rPr>
        <w:t> </w:t>
      </w:r>
      <w:r>
        <w:rPr/>
        <w:t>Sequoyah,</w:t>
      </w:r>
      <w:r>
        <w:rPr>
          <w:spacing w:val="-3"/>
        </w:rPr>
        <w:t> </w:t>
      </w:r>
      <w:r>
        <w:rPr/>
        <w:t>and</w:t>
      </w:r>
      <w:r>
        <w:rPr>
          <w:spacing w:val="-4"/>
        </w:rPr>
        <w:t> </w:t>
      </w:r>
      <w:r>
        <w:rPr>
          <w:spacing w:val="-2"/>
        </w:rPr>
        <w:t>Wagoner</w:t>
      </w:r>
    </w:p>
    <w:p>
      <w:pPr>
        <w:pStyle w:val="BodyText"/>
        <w:tabs>
          <w:tab w:pos="5399" w:val="left" w:leader="none"/>
        </w:tabs>
        <w:spacing w:line="240" w:lineRule="exact" w:before="0"/>
        <w:ind w:left="359"/>
      </w:pPr>
      <w:r>
        <w:rPr/>
        <w:t>601</w:t>
      </w:r>
      <w:r>
        <w:rPr>
          <w:spacing w:val="-2"/>
        </w:rPr>
        <w:t> </w:t>
      </w:r>
      <w:r>
        <w:rPr/>
        <w:t>N</w:t>
      </w:r>
      <w:r>
        <w:rPr>
          <w:spacing w:val="-1"/>
        </w:rPr>
        <w:t> </w:t>
      </w:r>
      <w:r>
        <w:rPr/>
        <w:t>Grand</w:t>
      </w:r>
      <w:r>
        <w:rPr>
          <w:spacing w:val="-1"/>
        </w:rPr>
        <w:t> </w:t>
      </w:r>
      <w:r>
        <w:rPr>
          <w:spacing w:val="-5"/>
        </w:rPr>
        <w:t>Ave</w:t>
      </w:r>
      <w:r>
        <w:rPr/>
        <w:tab/>
      </w:r>
      <w:r>
        <w:rPr>
          <w:spacing w:val="-2"/>
        </w:rPr>
        <w:t>Counties</w:t>
      </w:r>
    </w:p>
    <w:p>
      <w:pPr>
        <w:pStyle w:val="BodyText"/>
        <w:spacing w:line="240" w:lineRule="exact" w:before="0"/>
        <w:ind w:left="359"/>
      </w:pPr>
      <w:r>
        <w:rPr/>
        <w:t>Tahlequah,</w:t>
      </w:r>
      <w:r>
        <w:rPr>
          <w:spacing w:val="-1"/>
        </w:rPr>
        <w:t> </w:t>
      </w:r>
      <w:r>
        <w:rPr/>
        <w:t>OK</w:t>
      </w:r>
      <w:r>
        <w:rPr>
          <w:spacing w:val="61"/>
        </w:rPr>
        <w:t> </w:t>
      </w:r>
      <w:r>
        <w:rPr>
          <w:spacing w:val="-4"/>
        </w:rPr>
        <w:t>74464</w:t>
      </w:r>
    </w:p>
    <w:p>
      <w:pPr>
        <w:pStyle w:val="BodyText"/>
        <w:spacing w:line="240" w:lineRule="exact" w:before="0"/>
        <w:ind w:left="359"/>
      </w:pPr>
      <w:r>
        <w:rPr/>
        <w:t>918-444-3008</w:t>
      </w:r>
      <w:r>
        <w:rPr>
          <w:spacing w:val="-6"/>
        </w:rPr>
        <w:t> </w:t>
      </w:r>
      <w:r>
        <w:rPr/>
        <w:t>or</w:t>
      </w:r>
      <w:r>
        <w:rPr>
          <w:spacing w:val="-5"/>
        </w:rPr>
        <w:t> </w:t>
      </w:r>
      <w:r>
        <w:rPr/>
        <w:t>Fax</w:t>
      </w:r>
      <w:r>
        <w:rPr>
          <w:spacing w:val="-5"/>
        </w:rPr>
        <w:t> </w:t>
      </w:r>
      <w:r>
        <w:rPr/>
        <w:t>918-458-</w:t>
      </w:r>
      <w:r>
        <w:rPr>
          <w:spacing w:val="-4"/>
        </w:rPr>
        <w:t>2371</w:t>
      </w:r>
    </w:p>
    <w:p>
      <w:pPr>
        <w:pStyle w:val="BodyText"/>
        <w:spacing w:line="208" w:lineRule="auto" w:before="11"/>
        <w:ind w:right="5277"/>
      </w:pPr>
      <w:r>
        <w:rPr/>
        <w:t>Email: </w:t>
      </w:r>
      <w:hyperlink r:id="rId30">
        <w:r>
          <w:rPr>
            <w:color w:val="0000FF"/>
            <w:u w:val="single" w:color="0000FF"/>
          </w:rPr>
          <w:t>adr-mediation@nsuok.edu</w:t>
        </w:r>
      </w:hyperlink>
      <w:r>
        <w:rPr>
          <w:color w:val="0000FF"/>
          <w:u w:val="none"/>
        </w:rPr>
        <w:t> </w:t>
      </w:r>
      <w:hyperlink r:id="rId31">
        <w:r>
          <w:rPr>
            <w:color w:val="0000FF"/>
            <w:spacing w:val="-2"/>
            <w:u w:val="single" w:color="0000FF"/>
          </w:rPr>
          <w:t>https://adrs.oscn.net/programs/east-program/</w:t>
        </w:r>
      </w:hyperlink>
    </w:p>
    <w:p>
      <w:pPr>
        <w:pStyle w:val="BodyText"/>
        <w:tabs>
          <w:tab w:pos="5399" w:val="left" w:leader="none"/>
        </w:tabs>
        <w:spacing w:line="208" w:lineRule="auto"/>
        <w:ind w:right="1211"/>
      </w:pPr>
      <w:r>
        <w:rPr/>
        <w:t>Early Settlement: West Central</w:t>
        <w:tab/>
        <w:t>Area</w:t>
      </w:r>
      <w:r>
        <w:rPr>
          <w:spacing w:val="-10"/>
        </w:rPr>
        <w:t> </w:t>
      </w:r>
      <w:r>
        <w:rPr/>
        <w:t>Served,</w:t>
      </w:r>
      <w:r>
        <w:rPr>
          <w:spacing w:val="-9"/>
        </w:rPr>
        <w:t> </w:t>
      </w:r>
      <w:r>
        <w:rPr/>
        <w:t>WEST</w:t>
      </w:r>
      <w:r>
        <w:rPr>
          <w:spacing w:val="-10"/>
        </w:rPr>
        <w:t> </w:t>
      </w:r>
      <w:r>
        <w:rPr/>
        <w:t>CENTRAL</w:t>
      </w:r>
      <w:r>
        <w:rPr>
          <w:spacing w:val="-10"/>
        </w:rPr>
        <w:t> </w:t>
      </w:r>
      <w:r>
        <w:rPr/>
        <w:t>OK: Stacy Horner, Director</w:t>
        <w:tab/>
        <w:t>Blaine, Canadian, Custer, Dewey,</w:t>
      </w:r>
    </w:p>
    <w:p>
      <w:pPr>
        <w:pStyle w:val="BodyText"/>
        <w:tabs>
          <w:tab w:pos="5399" w:val="left" w:leader="none"/>
        </w:tabs>
        <w:spacing w:line="229" w:lineRule="exact" w:before="0"/>
      </w:pPr>
      <w:r>
        <w:rPr/>
        <w:t>Canadian</w:t>
      </w:r>
      <w:r>
        <w:rPr>
          <w:spacing w:val="-5"/>
        </w:rPr>
        <w:t> </w:t>
      </w:r>
      <w:r>
        <w:rPr/>
        <w:t>County</w:t>
      </w:r>
      <w:r>
        <w:rPr>
          <w:spacing w:val="-4"/>
        </w:rPr>
        <w:t> </w:t>
      </w:r>
      <w:r>
        <w:rPr>
          <w:spacing w:val="-2"/>
        </w:rPr>
        <w:t>Courthouse</w:t>
      </w:r>
      <w:r>
        <w:rPr/>
        <w:tab/>
        <w:t>Grady,</w:t>
      </w:r>
      <w:r>
        <w:rPr>
          <w:spacing w:val="-5"/>
        </w:rPr>
        <w:t> </w:t>
      </w:r>
      <w:r>
        <w:rPr/>
        <w:t>Kingfisher,</w:t>
      </w:r>
      <w:r>
        <w:rPr>
          <w:spacing w:val="-3"/>
        </w:rPr>
        <w:t> </w:t>
      </w:r>
      <w:r>
        <w:rPr/>
        <w:t>and</w:t>
      </w:r>
      <w:r>
        <w:rPr>
          <w:spacing w:val="-4"/>
        </w:rPr>
        <w:t> </w:t>
      </w:r>
      <w:r>
        <w:rPr/>
        <w:t>Roger</w:t>
      </w:r>
      <w:r>
        <w:rPr>
          <w:spacing w:val="-2"/>
        </w:rPr>
        <w:t> Mills</w:t>
      </w:r>
    </w:p>
    <w:p>
      <w:pPr>
        <w:pStyle w:val="BodyText"/>
        <w:tabs>
          <w:tab w:pos="5399" w:val="left" w:leader="none"/>
        </w:tabs>
        <w:spacing w:line="208" w:lineRule="auto" w:before="11"/>
        <w:ind w:right="4092"/>
      </w:pPr>
      <w:r>
        <w:rPr/>
        <w:t>301 North Choctaw, 2nd Floor</w:t>
        <w:tab/>
      </w:r>
      <w:r>
        <w:rPr>
          <w:spacing w:val="-2"/>
        </w:rPr>
        <w:t>Countie</w:t>
      </w:r>
      <w:r>
        <w:rPr>
          <w:spacing w:val="-2"/>
        </w:rPr>
        <w:t>s</w:t>
      </w:r>
      <w:r>
        <w:rPr>
          <w:spacing w:val="-2"/>
        </w:rPr>
        <w:t> </w:t>
      </w:r>
      <w:r>
        <w:rPr/>
        <w:t>El Reno, OK 73036</w:t>
      </w:r>
    </w:p>
    <w:p>
      <w:pPr>
        <w:pStyle w:val="BodyText"/>
        <w:spacing w:line="229" w:lineRule="exact" w:before="0"/>
      </w:pPr>
      <w:r>
        <w:rPr/>
        <w:t>405-295-6180</w:t>
      </w:r>
      <w:r>
        <w:rPr>
          <w:spacing w:val="-6"/>
        </w:rPr>
        <w:t> </w:t>
      </w:r>
      <w:r>
        <w:rPr/>
        <w:t>or</w:t>
      </w:r>
      <w:r>
        <w:rPr>
          <w:spacing w:val="-5"/>
        </w:rPr>
        <w:t> </w:t>
      </w:r>
      <w:r>
        <w:rPr/>
        <w:t>Fax</w:t>
      </w:r>
      <w:r>
        <w:rPr>
          <w:spacing w:val="-5"/>
        </w:rPr>
        <w:t> </w:t>
      </w:r>
      <w:r>
        <w:rPr/>
        <w:t>405-556-</w:t>
      </w:r>
      <w:r>
        <w:rPr>
          <w:spacing w:val="-4"/>
        </w:rPr>
        <w:t>9150</w:t>
      </w:r>
    </w:p>
    <w:p>
      <w:pPr>
        <w:pStyle w:val="BodyText"/>
        <w:spacing w:line="208" w:lineRule="auto" w:before="11"/>
        <w:ind w:right="5237"/>
      </w:pPr>
      <w:r>
        <w:rPr/>
        <w:t>Email: </w:t>
      </w:r>
      <w:hyperlink r:id="rId32">
        <w:r>
          <w:rPr>
            <w:color w:val="0000FF"/>
            <w:u w:val="single" w:color="0000FF"/>
          </w:rPr>
          <w:t>eswest@oscn.net</w:t>
        </w:r>
      </w:hyperlink>
      <w:r>
        <w:rPr>
          <w:color w:val="0000FF"/>
          <w:u w:val="none"/>
        </w:rPr>
        <w:t> </w:t>
      </w:r>
      <w:hyperlink r:id="rId33">
        <w:r>
          <w:rPr>
            <w:color w:val="0000FF"/>
            <w:spacing w:val="-2"/>
            <w:u w:val="single" w:color="0000FF"/>
          </w:rPr>
          <w:t>https://adrs.oscn.net/programs/west-program/</w:t>
        </w:r>
      </w:hyperlink>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7-1-94 PT Memo #94-1</w:t>
      </w:r>
    </w:p>
    <w:p>
      <w:pPr>
        <w:spacing w:before="0"/>
        <w:ind w:left="1439" w:right="775" w:firstLine="0"/>
        <w:jc w:val="left"/>
        <w:rPr>
          <w:sz w:val="22"/>
        </w:rPr>
      </w:pPr>
      <w:r>
        <w:rPr>
          <w:sz w:val="22"/>
        </w:rPr>
        <w:t>Permanent,</w:t>
      </w:r>
      <w:r>
        <w:rPr>
          <w:spacing w:val="-2"/>
          <w:sz w:val="22"/>
        </w:rPr>
        <w:t> </w:t>
      </w:r>
      <w:r>
        <w:rPr>
          <w:sz w:val="22"/>
        </w:rPr>
        <w:t>first</w:t>
      </w:r>
      <w:r>
        <w:rPr>
          <w:spacing w:val="-3"/>
          <w:sz w:val="22"/>
        </w:rPr>
        <w:t> </w:t>
      </w:r>
      <w:r>
        <w:rPr>
          <w:sz w:val="22"/>
        </w:rPr>
        <w:t>adoption</w:t>
      </w:r>
      <w:r>
        <w:rPr>
          <w:spacing w:val="-3"/>
          <w:sz w:val="22"/>
        </w:rPr>
        <w:t> </w:t>
      </w:r>
      <w:r>
        <w:rPr>
          <w:sz w:val="22"/>
        </w:rPr>
        <w:t>under</w:t>
      </w:r>
      <w:r>
        <w:rPr>
          <w:spacing w:val="-3"/>
          <w:sz w:val="22"/>
        </w:rPr>
        <w:t> </w:t>
      </w:r>
      <w:r>
        <w:rPr>
          <w:sz w:val="22"/>
        </w:rPr>
        <w:t>OAC</w:t>
      </w:r>
      <w:r>
        <w:rPr>
          <w:spacing w:val="-4"/>
          <w:sz w:val="22"/>
        </w:rPr>
        <w:t> </w:t>
      </w:r>
      <w:r>
        <w:rPr>
          <w:sz w:val="22"/>
        </w:rPr>
        <w:t>Title</w:t>
      </w:r>
      <w:r>
        <w:rPr>
          <w:spacing w:val="-3"/>
          <w:sz w:val="22"/>
        </w:rPr>
        <w:t> </w:t>
      </w:r>
      <w:r>
        <w:rPr>
          <w:sz w:val="22"/>
        </w:rPr>
        <w:t>612,</w:t>
      </w:r>
      <w:r>
        <w:rPr>
          <w:spacing w:val="-4"/>
          <w:sz w:val="22"/>
        </w:rPr>
        <w:t> </w:t>
      </w:r>
      <w:r>
        <w:rPr>
          <w:sz w:val="22"/>
        </w:rPr>
        <w:t>added</w:t>
      </w:r>
      <w:r>
        <w:rPr>
          <w:spacing w:val="-3"/>
          <w:sz w:val="22"/>
        </w:rPr>
        <w:t> </w:t>
      </w:r>
      <w:r>
        <w:rPr>
          <w:sz w:val="22"/>
        </w:rPr>
        <w:t>in</w:t>
      </w:r>
      <w:r>
        <w:rPr>
          <w:spacing w:val="-3"/>
          <w:sz w:val="22"/>
        </w:rPr>
        <w:t> </w:t>
      </w:r>
      <w:r>
        <w:rPr>
          <w:sz w:val="22"/>
        </w:rPr>
        <w:t>Subsection</w:t>
      </w:r>
      <w:r>
        <w:rPr>
          <w:spacing w:val="-3"/>
          <w:sz w:val="22"/>
        </w:rPr>
        <w:t> </w:t>
      </w:r>
      <w:r>
        <w:rPr>
          <w:sz w:val="22"/>
        </w:rPr>
        <w:t>(a)</w:t>
      </w:r>
      <w:r>
        <w:rPr>
          <w:spacing w:val="-5"/>
          <w:sz w:val="22"/>
        </w:rPr>
        <w:t> </w:t>
      </w:r>
      <w:r>
        <w:rPr>
          <w:sz w:val="22"/>
        </w:rPr>
        <w:t>"under</w:t>
      </w:r>
      <w:r>
        <w:rPr>
          <w:spacing w:val="-3"/>
          <w:sz w:val="22"/>
        </w:rPr>
        <w:t> </w:t>
      </w:r>
      <w:r>
        <w:rPr>
          <w:sz w:val="22"/>
        </w:rPr>
        <w:t>the IRP" to no services shall be stopped; Department not obligated to continue or resume services stopped by the client.</w:t>
      </w:r>
      <w:r>
        <w:rPr>
          <w:spacing w:val="40"/>
          <w:sz w:val="22"/>
        </w:rPr>
        <w:t> </w:t>
      </w:r>
      <w:r>
        <w:rPr>
          <w:sz w:val="22"/>
        </w:rPr>
        <w:t>In Subsection (c) changed the Division Administrator reviews hearing to the Director does. In (c)(5)(M), added that copies from case record given to client for use in hearing is okay</w:t>
      </w:r>
    </w:p>
    <w:p>
      <w:pPr>
        <w:pStyle w:val="ListParagraph"/>
        <w:numPr>
          <w:ilvl w:val="2"/>
          <w:numId w:val="20"/>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#95-</w:t>
      </w:r>
      <w:r>
        <w:rPr>
          <w:spacing w:val="-10"/>
          <w:sz w:val="22"/>
        </w:rPr>
        <w:t>2</w:t>
      </w:r>
    </w:p>
    <w:p>
      <w:pPr>
        <w:pStyle w:val="ListParagraph"/>
        <w:spacing w:after="0" w:line="240" w:lineRule="auto"/>
        <w:jc w:val="left"/>
        <w:rPr>
          <w:sz w:val="22"/>
        </w:rPr>
        <w:sectPr>
          <w:pgSz w:w="12240" w:h="15840"/>
          <w:pgMar w:top="1340" w:bottom="280" w:left="1080" w:right="720"/>
        </w:sectPr>
      </w:pPr>
    </w:p>
    <w:p>
      <w:pPr>
        <w:spacing w:before="80"/>
        <w:ind w:left="1440" w:right="775" w:firstLine="0"/>
        <w:jc w:val="left"/>
        <w:rPr>
          <w:sz w:val="22"/>
        </w:rPr>
      </w:pPr>
      <w:r>
        <w:rPr>
          <w:sz w:val="22"/>
        </w:rPr>
        <w:t>Permanent,</w:t>
      </w:r>
      <w:r>
        <w:rPr>
          <w:spacing w:val="-3"/>
          <w:sz w:val="22"/>
        </w:rPr>
        <w:t> </w:t>
      </w:r>
      <w:r>
        <w:rPr>
          <w:sz w:val="22"/>
        </w:rPr>
        <w:t>impartial</w:t>
      </w:r>
      <w:r>
        <w:rPr>
          <w:spacing w:val="-4"/>
          <w:sz w:val="22"/>
        </w:rPr>
        <w:t> </w:t>
      </w:r>
      <w:r>
        <w:rPr>
          <w:sz w:val="22"/>
        </w:rPr>
        <w:t>hearing</w:t>
      </w:r>
      <w:r>
        <w:rPr>
          <w:spacing w:val="-4"/>
          <w:sz w:val="22"/>
        </w:rPr>
        <w:t> </w:t>
      </w:r>
      <w:r>
        <w:rPr>
          <w:sz w:val="22"/>
        </w:rPr>
        <w:t>officer</w:t>
      </w:r>
      <w:r>
        <w:rPr>
          <w:spacing w:val="-6"/>
          <w:sz w:val="22"/>
        </w:rPr>
        <w:t> </w:t>
      </w:r>
      <w:r>
        <w:rPr>
          <w:sz w:val="22"/>
        </w:rPr>
        <w:t>changes</w:t>
      </w:r>
      <w:r>
        <w:rPr>
          <w:spacing w:val="-4"/>
          <w:sz w:val="22"/>
        </w:rPr>
        <w:t> </w:t>
      </w:r>
      <w:r>
        <w:rPr>
          <w:sz w:val="22"/>
        </w:rPr>
        <w:t>made</w:t>
      </w:r>
      <w:r>
        <w:rPr>
          <w:spacing w:val="-4"/>
          <w:sz w:val="22"/>
        </w:rPr>
        <w:t> </w:t>
      </w:r>
      <w:r>
        <w:rPr>
          <w:sz w:val="22"/>
        </w:rPr>
        <w:t>to</w:t>
      </w:r>
      <w:r>
        <w:rPr>
          <w:spacing w:val="-4"/>
          <w:sz w:val="22"/>
        </w:rPr>
        <w:t> </w:t>
      </w:r>
      <w:r>
        <w:rPr>
          <w:sz w:val="22"/>
        </w:rPr>
        <w:t>match</w:t>
      </w:r>
      <w:r>
        <w:rPr>
          <w:spacing w:val="-4"/>
          <w:sz w:val="22"/>
        </w:rPr>
        <w:t> </w:t>
      </w:r>
      <w:r>
        <w:rPr>
          <w:sz w:val="22"/>
        </w:rPr>
        <w:t>1992</w:t>
      </w:r>
      <w:r>
        <w:rPr>
          <w:spacing w:val="-4"/>
          <w:sz w:val="22"/>
        </w:rPr>
        <w:t> </w:t>
      </w:r>
      <w:r>
        <w:rPr>
          <w:sz w:val="22"/>
        </w:rPr>
        <w:t>amendments</w:t>
      </w:r>
      <w:r>
        <w:rPr>
          <w:spacing w:val="-4"/>
          <w:sz w:val="22"/>
        </w:rPr>
        <w:t> </w:t>
      </w:r>
      <w:r>
        <w:rPr>
          <w:sz w:val="22"/>
        </w:rPr>
        <w:t>to the Act</w:t>
      </w:r>
    </w:p>
    <w:p>
      <w:pPr>
        <w:tabs>
          <w:tab w:pos="1439" w:val="left" w:leader="none"/>
        </w:tabs>
        <w:spacing w:line="252" w:lineRule="exact" w:before="0"/>
        <w:ind w:left="360" w:right="0" w:firstLine="0"/>
        <w:jc w:val="left"/>
        <w:rPr>
          <w:sz w:val="22"/>
        </w:rPr>
      </w:pPr>
      <w:r>
        <w:rPr>
          <w:spacing w:val="-2"/>
          <w:sz w:val="22"/>
        </w:rPr>
        <w:t>8-1-</w:t>
      </w:r>
      <w:r>
        <w:rPr>
          <w:spacing w:val="-5"/>
          <w:sz w:val="22"/>
        </w:rPr>
        <w:t>96</w:t>
      </w:r>
      <w:r>
        <w:rPr>
          <w:sz w:val="22"/>
        </w:rPr>
        <w:tab/>
        <w:t>PT</w:t>
      </w:r>
      <w:r>
        <w:rPr>
          <w:spacing w:val="-8"/>
          <w:sz w:val="22"/>
        </w:rPr>
        <w:t> </w:t>
      </w:r>
      <w:r>
        <w:rPr>
          <w:sz w:val="22"/>
        </w:rPr>
        <w:t>Memo</w:t>
      </w:r>
      <w:r>
        <w:rPr>
          <w:spacing w:val="-8"/>
          <w:sz w:val="22"/>
        </w:rPr>
        <w:t> </w:t>
      </w:r>
      <w:r>
        <w:rPr>
          <w:sz w:val="22"/>
        </w:rPr>
        <w:t>#97-</w:t>
      </w:r>
      <w:r>
        <w:rPr>
          <w:spacing w:val="-10"/>
          <w:sz w:val="22"/>
        </w:rPr>
        <w:t>2</w:t>
      </w:r>
    </w:p>
    <w:p>
      <w:pPr>
        <w:spacing w:before="0"/>
        <w:ind w:left="1440" w:right="775" w:firstLine="0"/>
        <w:jc w:val="left"/>
        <w:rPr>
          <w:sz w:val="22"/>
        </w:rPr>
      </w:pPr>
      <w:r>
        <w:rPr>
          <w:sz w:val="22"/>
        </w:rPr>
        <w:t>Permanent,</w:t>
      </w:r>
      <w:r>
        <w:rPr>
          <w:spacing w:val="-3"/>
          <w:sz w:val="22"/>
        </w:rPr>
        <w:t> </w:t>
      </w:r>
      <w:r>
        <w:rPr>
          <w:sz w:val="22"/>
        </w:rPr>
        <w:t>changed</w:t>
      </w:r>
      <w:r>
        <w:rPr>
          <w:spacing w:val="-4"/>
          <w:sz w:val="22"/>
        </w:rPr>
        <w:t> </w:t>
      </w:r>
      <w:r>
        <w:rPr>
          <w:sz w:val="22"/>
        </w:rPr>
        <w:t>references</w:t>
      </w:r>
      <w:r>
        <w:rPr>
          <w:spacing w:val="-4"/>
          <w:sz w:val="22"/>
        </w:rPr>
        <w:t> </w:t>
      </w:r>
      <w:r>
        <w:rPr>
          <w:sz w:val="22"/>
        </w:rPr>
        <w:t>for</w:t>
      </w:r>
      <w:r>
        <w:rPr>
          <w:spacing w:val="-5"/>
          <w:sz w:val="22"/>
        </w:rPr>
        <w:t> </w:t>
      </w:r>
      <w:r>
        <w:rPr>
          <w:sz w:val="22"/>
        </w:rPr>
        <w:t>Appendix</w:t>
      </w:r>
      <w:r>
        <w:rPr>
          <w:spacing w:val="-4"/>
          <w:sz w:val="22"/>
        </w:rPr>
        <w:t> </w:t>
      </w:r>
      <w:r>
        <w:rPr>
          <w:sz w:val="22"/>
        </w:rPr>
        <w:t>G</w:t>
      </w:r>
      <w:r>
        <w:rPr>
          <w:spacing w:val="-5"/>
          <w:sz w:val="22"/>
        </w:rPr>
        <w:t> </w:t>
      </w:r>
      <w:r>
        <w:rPr>
          <w:sz w:val="22"/>
        </w:rPr>
        <w:t>to</w:t>
      </w:r>
      <w:r>
        <w:rPr>
          <w:spacing w:val="-4"/>
          <w:sz w:val="22"/>
        </w:rPr>
        <w:t> </w:t>
      </w:r>
      <w:r>
        <w:rPr>
          <w:sz w:val="22"/>
        </w:rPr>
        <w:t>Request</w:t>
      </w:r>
      <w:r>
        <w:rPr>
          <w:spacing w:val="-4"/>
          <w:sz w:val="22"/>
        </w:rPr>
        <w:t> </w:t>
      </w:r>
      <w:r>
        <w:rPr>
          <w:sz w:val="22"/>
        </w:rPr>
        <w:t>for</w:t>
      </w:r>
      <w:r>
        <w:rPr>
          <w:spacing w:val="-4"/>
          <w:sz w:val="22"/>
        </w:rPr>
        <w:t> </w:t>
      </w:r>
      <w:r>
        <w:rPr>
          <w:sz w:val="22"/>
        </w:rPr>
        <w:t>a</w:t>
      </w:r>
      <w:r>
        <w:rPr>
          <w:spacing w:val="-4"/>
          <w:sz w:val="22"/>
        </w:rPr>
        <w:t> </w:t>
      </w:r>
      <w:r>
        <w:rPr>
          <w:sz w:val="22"/>
        </w:rPr>
        <w:t>Fair</w:t>
      </w:r>
      <w:r>
        <w:rPr>
          <w:spacing w:val="-4"/>
          <w:sz w:val="22"/>
        </w:rPr>
        <w:t> </w:t>
      </w:r>
      <w:r>
        <w:rPr>
          <w:sz w:val="22"/>
        </w:rPr>
        <w:t>Hearing</w:t>
      </w:r>
      <w:r>
        <w:rPr>
          <w:spacing w:val="-4"/>
          <w:sz w:val="22"/>
        </w:rPr>
        <w:t> </w:t>
      </w:r>
      <w:r>
        <w:rPr>
          <w:sz w:val="22"/>
        </w:rPr>
        <w:t>form. Added that the request for a formal hearing should be in writing</w:t>
      </w:r>
    </w:p>
    <w:p>
      <w:pPr>
        <w:pStyle w:val="ListParagraph"/>
        <w:numPr>
          <w:ilvl w:val="2"/>
          <w:numId w:val="81"/>
        </w:numPr>
        <w:tabs>
          <w:tab w:pos="1439" w:val="left" w:leader="none"/>
        </w:tabs>
        <w:spacing w:line="240" w:lineRule="auto"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#98-</w:t>
      </w:r>
      <w:r>
        <w:rPr>
          <w:spacing w:val="-5"/>
          <w:sz w:val="22"/>
        </w:rPr>
        <w:t>15</w:t>
      </w:r>
    </w:p>
    <w:p>
      <w:pPr>
        <w:spacing w:before="1"/>
        <w:ind w:left="1440" w:right="775" w:firstLine="0"/>
        <w:jc w:val="left"/>
        <w:rPr>
          <w:sz w:val="22"/>
        </w:rPr>
      </w:pPr>
      <w:r>
        <w:rPr>
          <w:sz w:val="22"/>
        </w:rPr>
        <w:t>Permanent, more logical organization to policy. Some steps now require written decision</w:t>
      </w:r>
      <w:r>
        <w:rPr>
          <w:spacing w:val="-4"/>
          <w:sz w:val="22"/>
        </w:rPr>
        <w:t> </w:t>
      </w:r>
      <w:r>
        <w:rPr>
          <w:sz w:val="22"/>
        </w:rPr>
        <w:t>that</w:t>
      </w:r>
      <w:r>
        <w:rPr>
          <w:spacing w:val="-4"/>
          <w:sz w:val="22"/>
        </w:rPr>
        <w:t> </w:t>
      </w:r>
      <w:r>
        <w:rPr>
          <w:sz w:val="22"/>
        </w:rPr>
        <w:t>didn't</w:t>
      </w:r>
      <w:r>
        <w:rPr>
          <w:spacing w:val="-4"/>
          <w:sz w:val="22"/>
        </w:rPr>
        <w:t> </w:t>
      </w:r>
      <w:r>
        <w:rPr>
          <w:sz w:val="22"/>
        </w:rPr>
        <w:t>require</w:t>
      </w:r>
      <w:r>
        <w:rPr>
          <w:spacing w:val="-4"/>
          <w:sz w:val="22"/>
        </w:rPr>
        <w:t> </w:t>
      </w:r>
      <w:r>
        <w:rPr>
          <w:sz w:val="22"/>
        </w:rPr>
        <w:t>it</w:t>
      </w:r>
      <w:r>
        <w:rPr>
          <w:spacing w:val="-4"/>
          <w:sz w:val="22"/>
        </w:rPr>
        <w:t> </w:t>
      </w:r>
      <w:r>
        <w:rPr>
          <w:sz w:val="22"/>
        </w:rPr>
        <w:t>before.</w:t>
      </w:r>
      <w:r>
        <w:rPr>
          <w:spacing w:val="-4"/>
          <w:sz w:val="22"/>
        </w:rPr>
        <w:t> </w:t>
      </w:r>
      <w:r>
        <w:rPr>
          <w:sz w:val="22"/>
        </w:rPr>
        <w:t>Adverse</w:t>
      </w:r>
      <w:r>
        <w:rPr>
          <w:spacing w:val="-4"/>
          <w:sz w:val="22"/>
        </w:rPr>
        <w:t> </w:t>
      </w:r>
      <w:r>
        <w:rPr>
          <w:sz w:val="22"/>
        </w:rPr>
        <w:t>counselor</w:t>
      </w:r>
      <w:r>
        <w:rPr>
          <w:spacing w:val="-4"/>
          <w:sz w:val="22"/>
        </w:rPr>
        <w:t> </w:t>
      </w:r>
      <w:r>
        <w:rPr>
          <w:sz w:val="22"/>
        </w:rPr>
        <w:t>decision</w:t>
      </w:r>
      <w:r>
        <w:rPr>
          <w:spacing w:val="-4"/>
          <w:sz w:val="22"/>
        </w:rPr>
        <w:t> </w:t>
      </w:r>
      <w:r>
        <w:rPr>
          <w:sz w:val="22"/>
        </w:rPr>
        <w:t>must</w:t>
      </w:r>
      <w:r>
        <w:rPr>
          <w:spacing w:val="-4"/>
          <w:sz w:val="22"/>
        </w:rPr>
        <w:t> </w:t>
      </w:r>
      <w:r>
        <w:rPr>
          <w:sz w:val="22"/>
        </w:rPr>
        <w:t>be</w:t>
      </w:r>
      <w:r>
        <w:rPr>
          <w:spacing w:val="-4"/>
          <w:sz w:val="22"/>
        </w:rPr>
        <w:t> </w:t>
      </w:r>
      <w:r>
        <w:rPr>
          <w:sz w:val="22"/>
        </w:rPr>
        <w:t>given</w:t>
      </w:r>
      <w:r>
        <w:rPr>
          <w:spacing w:val="-4"/>
          <w:sz w:val="22"/>
        </w:rPr>
        <w:t> </w:t>
      </w:r>
      <w:r>
        <w:rPr>
          <w:sz w:val="22"/>
        </w:rPr>
        <w:t>to consumer in writing</w:t>
      </w:r>
    </w:p>
    <w:p>
      <w:pPr>
        <w:tabs>
          <w:tab w:pos="1439" w:val="left" w:leader="none"/>
        </w:tabs>
        <w:spacing w:line="253" w:lineRule="exact" w:before="0"/>
        <w:ind w:left="360" w:right="0" w:firstLine="0"/>
        <w:jc w:val="left"/>
        <w:rPr>
          <w:sz w:val="22"/>
        </w:rPr>
      </w:pPr>
      <w:r>
        <w:rPr>
          <w:spacing w:val="-2"/>
          <w:sz w:val="22"/>
        </w:rPr>
        <w:t>6-14-</w:t>
      </w:r>
      <w:r>
        <w:rPr>
          <w:spacing w:val="-5"/>
          <w:sz w:val="22"/>
        </w:rPr>
        <w:t>99</w:t>
      </w:r>
      <w:r>
        <w:rPr>
          <w:sz w:val="22"/>
        </w:rPr>
        <w:tab/>
        <w:t>POL</w:t>
      </w:r>
      <w:r>
        <w:rPr>
          <w:spacing w:val="-9"/>
          <w:sz w:val="22"/>
        </w:rPr>
        <w:t> </w:t>
      </w:r>
      <w:r>
        <w:rPr>
          <w:sz w:val="22"/>
        </w:rPr>
        <w:t>Memo</w:t>
      </w:r>
      <w:r>
        <w:rPr>
          <w:spacing w:val="-8"/>
          <w:sz w:val="22"/>
        </w:rPr>
        <w:t> </w:t>
      </w:r>
      <w:r>
        <w:rPr>
          <w:sz w:val="22"/>
        </w:rPr>
        <w:t>#99-</w:t>
      </w:r>
      <w:r>
        <w:rPr>
          <w:spacing w:val="-10"/>
          <w:sz w:val="22"/>
        </w:rPr>
        <w:t>7</w:t>
      </w:r>
    </w:p>
    <w:p>
      <w:pPr>
        <w:spacing w:before="0"/>
        <w:ind w:left="1440" w:right="775" w:firstLine="0"/>
        <w:jc w:val="left"/>
        <w:rPr>
          <w:sz w:val="22"/>
        </w:rPr>
      </w:pPr>
      <w:r>
        <w:rPr>
          <w:sz w:val="22"/>
        </w:rPr>
        <w:t>Emergency,</w:t>
      </w:r>
      <w:r>
        <w:rPr>
          <w:spacing w:val="-4"/>
          <w:sz w:val="22"/>
        </w:rPr>
        <w:t> </w:t>
      </w:r>
      <w:r>
        <w:rPr>
          <w:sz w:val="22"/>
        </w:rPr>
        <w:t>Updated</w:t>
      </w:r>
      <w:r>
        <w:rPr>
          <w:spacing w:val="-4"/>
          <w:sz w:val="22"/>
        </w:rPr>
        <w:t> </w:t>
      </w:r>
      <w:r>
        <w:rPr>
          <w:sz w:val="22"/>
        </w:rPr>
        <w:t>to</w:t>
      </w:r>
      <w:r>
        <w:rPr>
          <w:spacing w:val="-4"/>
          <w:sz w:val="22"/>
        </w:rPr>
        <w:t> </w:t>
      </w:r>
      <w:r>
        <w:rPr>
          <w:sz w:val="22"/>
        </w:rPr>
        <w:t>add</w:t>
      </w:r>
      <w:r>
        <w:rPr>
          <w:spacing w:val="-4"/>
          <w:sz w:val="22"/>
        </w:rPr>
        <w:t> </w:t>
      </w:r>
      <w:r>
        <w:rPr>
          <w:sz w:val="22"/>
        </w:rPr>
        <w:t>mediation</w:t>
      </w:r>
      <w:r>
        <w:rPr>
          <w:spacing w:val="-4"/>
          <w:sz w:val="22"/>
        </w:rPr>
        <w:t> </w:t>
      </w:r>
      <w:r>
        <w:rPr>
          <w:sz w:val="22"/>
        </w:rPr>
        <w:t>and</w:t>
      </w:r>
      <w:r>
        <w:rPr>
          <w:spacing w:val="-4"/>
          <w:sz w:val="22"/>
        </w:rPr>
        <w:t> </w:t>
      </w:r>
      <w:r>
        <w:rPr>
          <w:sz w:val="22"/>
        </w:rPr>
        <w:t>to</w:t>
      </w:r>
      <w:r>
        <w:rPr>
          <w:spacing w:val="-4"/>
          <w:sz w:val="22"/>
        </w:rPr>
        <w:t> </w:t>
      </w:r>
      <w:r>
        <w:rPr>
          <w:sz w:val="22"/>
        </w:rPr>
        <w:t>change</w:t>
      </w:r>
      <w:r>
        <w:rPr>
          <w:spacing w:val="-4"/>
          <w:sz w:val="22"/>
        </w:rPr>
        <w:t> </w:t>
      </w:r>
      <w:r>
        <w:rPr>
          <w:sz w:val="22"/>
        </w:rPr>
        <w:t>IHO</w:t>
      </w:r>
      <w:r>
        <w:rPr>
          <w:spacing w:val="-5"/>
          <w:sz w:val="22"/>
        </w:rPr>
        <w:t> </w:t>
      </w:r>
      <w:r>
        <w:rPr>
          <w:sz w:val="22"/>
        </w:rPr>
        <w:t>decision</w:t>
      </w:r>
      <w:r>
        <w:rPr>
          <w:spacing w:val="-4"/>
          <w:sz w:val="22"/>
        </w:rPr>
        <w:t> </w:t>
      </w:r>
      <w:r>
        <w:rPr>
          <w:sz w:val="22"/>
        </w:rPr>
        <w:t>review</w:t>
      </w:r>
      <w:r>
        <w:rPr>
          <w:spacing w:val="-5"/>
          <w:sz w:val="22"/>
        </w:rPr>
        <w:t> </w:t>
      </w:r>
      <w:r>
        <w:rPr>
          <w:sz w:val="22"/>
        </w:rPr>
        <w:t>process. Director no longer can review IHO decisions, must be done by Governor's office</w:t>
      </w:r>
    </w:p>
    <w:p>
      <w:pPr>
        <w:pStyle w:val="ListParagraph"/>
        <w:numPr>
          <w:ilvl w:val="2"/>
          <w:numId w:val="81"/>
        </w:numPr>
        <w:tabs>
          <w:tab w:pos="1439" w:val="left" w:leader="none"/>
        </w:tabs>
        <w:spacing w:line="253" w:lineRule="exact" w:before="0" w:after="0"/>
        <w:ind w:left="1439" w:right="0" w:hanging="1079"/>
        <w:jc w:val="left"/>
        <w:rPr>
          <w:sz w:val="22"/>
        </w:rPr>
      </w:pPr>
      <w:r>
        <w:rPr>
          <w:sz w:val="22"/>
        </w:rPr>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360"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7-1-01</w:t>
      </w:r>
      <w:r>
        <w:rPr>
          <w:sz w:val="22"/>
        </w:rPr>
        <w:tab/>
        <w:t>PT Memo #01-08</w:t>
      </w:r>
    </w:p>
    <w:p>
      <w:pPr>
        <w:tabs>
          <w:tab w:pos="1439" w:val="left" w:leader="none"/>
        </w:tabs>
        <w:spacing w:before="0"/>
        <w:ind w:left="360" w:right="3886" w:firstLine="1080"/>
        <w:jc w:val="left"/>
        <w:rPr>
          <w:sz w:val="22"/>
        </w:rPr>
      </w:pPr>
      <w:r>
        <w:rPr>
          <w:sz w:val="22"/>
        </w:rPr>
        <w:t>Permanent,</w:t>
      </w:r>
      <w:r>
        <w:rPr>
          <w:spacing w:val="-7"/>
          <w:sz w:val="22"/>
        </w:rPr>
        <w:t> </w:t>
      </w:r>
      <w:r>
        <w:rPr>
          <w:sz w:val="22"/>
        </w:rPr>
        <w:t>Amendment</w:t>
      </w:r>
      <w:r>
        <w:rPr>
          <w:spacing w:val="-8"/>
          <w:sz w:val="22"/>
        </w:rPr>
        <w:t> </w:t>
      </w:r>
      <w:r>
        <w:rPr>
          <w:sz w:val="22"/>
        </w:rPr>
        <w:t>to</w:t>
      </w:r>
      <w:r>
        <w:rPr>
          <w:spacing w:val="-8"/>
          <w:sz w:val="22"/>
        </w:rPr>
        <w:t> </w:t>
      </w:r>
      <w:r>
        <w:rPr>
          <w:sz w:val="22"/>
        </w:rPr>
        <w:t>Due</w:t>
      </w:r>
      <w:r>
        <w:rPr>
          <w:spacing w:val="-8"/>
          <w:sz w:val="22"/>
        </w:rPr>
        <w:t> </w:t>
      </w:r>
      <w:r>
        <w:rPr>
          <w:sz w:val="22"/>
        </w:rPr>
        <w:t>Process</w:t>
      </w:r>
      <w:r>
        <w:rPr>
          <w:spacing w:val="-8"/>
          <w:sz w:val="22"/>
        </w:rPr>
        <w:t> </w:t>
      </w:r>
      <w:r>
        <w:rPr>
          <w:sz w:val="22"/>
        </w:rPr>
        <w:t>procedures </w:t>
      </w:r>
      <w:r>
        <w:rPr>
          <w:spacing w:val="-2"/>
          <w:sz w:val="22"/>
        </w:rPr>
        <w:t>7-1-02</w:t>
      </w:r>
      <w:r>
        <w:rPr>
          <w:sz w:val="22"/>
        </w:rPr>
        <w:tab/>
        <w:t>POL Memo #02-02</w:t>
      </w:r>
    </w:p>
    <w:p>
      <w:pPr>
        <w:spacing w:before="1"/>
        <w:ind w:left="1439" w:right="775" w:firstLine="0"/>
        <w:jc w:val="left"/>
        <w:rPr>
          <w:sz w:val="22"/>
        </w:rPr>
      </w:pPr>
      <w:r>
        <w:rPr>
          <w:sz w:val="22"/>
        </w:rPr>
        <w:t>Permanent,</w:t>
      </w:r>
      <w:r>
        <w:rPr>
          <w:spacing w:val="-4"/>
          <w:sz w:val="22"/>
        </w:rPr>
        <w:t> </w:t>
      </w:r>
      <w:r>
        <w:rPr>
          <w:sz w:val="22"/>
        </w:rPr>
        <w:t>changes</w:t>
      </w:r>
      <w:r>
        <w:rPr>
          <w:spacing w:val="-5"/>
          <w:sz w:val="22"/>
        </w:rPr>
        <w:t> </w:t>
      </w:r>
      <w:r>
        <w:rPr>
          <w:sz w:val="22"/>
        </w:rPr>
        <w:t>resulting</w:t>
      </w:r>
      <w:r>
        <w:rPr>
          <w:spacing w:val="-5"/>
          <w:sz w:val="22"/>
        </w:rPr>
        <w:t> </w:t>
      </w:r>
      <w:r>
        <w:rPr>
          <w:sz w:val="22"/>
        </w:rPr>
        <w:t>from</w:t>
      </w:r>
      <w:r>
        <w:rPr>
          <w:spacing w:val="-6"/>
          <w:sz w:val="22"/>
        </w:rPr>
        <w:t> </w:t>
      </w:r>
      <w:r>
        <w:rPr>
          <w:sz w:val="22"/>
        </w:rPr>
        <w:t>DRS</w:t>
      </w:r>
      <w:r>
        <w:rPr>
          <w:spacing w:val="-5"/>
          <w:sz w:val="22"/>
        </w:rPr>
        <w:t> </w:t>
      </w:r>
      <w:r>
        <w:rPr>
          <w:sz w:val="22"/>
        </w:rPr>
        <w:t>Legal</w:t>
      </w:r>
      <w:r>
        <w:rPr>
          <w:spacing w:val="-5"/>
          <w:sz w:val="22"/>
        </w:rPr>
        <w:t> </w:t>
      </w:r>
      <w:r>
        <w:rPr>
          <w:sz w:val="22"/>
        </w:rPr>
        <w:t>Counsel</w:t>
      </w:r>
      <w:r>
        <w:rPr>
          <w:spacing w:val="-5"/>
          <w:sz w:val="22"/>
        </w:rPr>
        <w:t> </w:t>
      </w:r>
      <w:r>
        <w:rPr>
          <w:sz w:val="22"/>
        </w:rPr>
        <w:t>recommendations</w:t>
      </w:r>
      <w:r>
        <w:rPr>
          <w:spacing w:val="-5"/>
          <w:sz w:val="22"/>
        </w:rPr>
        <w:t> </w:t>
      </w:r>
      <w:r>
        <w:rPr>
          <w:sz w:val="22"/>
        </w:rPr>
        <w:t>and resignation of</w:t>
      </w:r>
      <w:r>
        <w:rPr>
          <w:spacing w:val="40"/>
          <w:sz w:val="22"/>
        </w:rPr>
        <w:t> </w:t>
      </w:r>
      <w:r>
        <w:rPr>
          <w:sz w:val="22"/>
        </w:rPr>
        <w:t>Cabinet Secretary</w:t>
      </w:r>
    </w:p>
    <w:p>
      <w:pPr>
        <w:pStyle w:val="ListParagraph"/>
        <w:numPr>
          <w:ilvl w:val="2"/>
          <w:numId w:val="82"/>
        </w:numPr>
        <w:tabs>
          <w:tab w:pos="1439" w:val="left" w:leader="none"/>
        </w:tabs>
        <w:spacing w:line="252"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#03-</w:t>
      </w:r>
      <w:r>
        <w:rPr>
          <w:spacing w:val="-5"/>
          <w:sz w:val="22"/>
        </w:rPr>
        <w:t>07</w:t>
      </w:r>
    </w:p>
    <w:p>
      <w:pPr>
        <w:spacing w:before="0"/>
        <w:ind w:left="1439" w:right="0" w:firstLine="0"/>
        <w:jc w:val="left"/>
        <w:rPr>
          <w:sz w:val="22"/>
        </w:rPr>
      </w:pPr>
      <w:r>
        <w:rPr>
          <w:sz w:val="22"/>
        </w:rPr>
        <w:t>Permanent,</w:t>
      </w:r>
      <w:r>
        <w:rPr>
          <w:spacing w:val="-8"/>
          <w:sz w:val="22"/>
        </w:rPr>
        <w:t> </w:t>
      </w:r>
      <w:r>
        <w:rPr>
          <w:sz w:val="22"/>
        </w:rPr>
        <w:t>changes</w:t>
      </w:r>
      <w:r>
        <w:rPr>
          <w:spacing w:val="-8"/>
          <w:sz w:val="22"/>
        </w:rPr>
        <w:t> </w:t>
      </w:r>
      <w:r>
        <w:rPr>
          <w:sz w:val="22"/>
        </w:rPr>
        <w:t>resulting</w:t>
      </w:r>
      <w:r>
        <w:rPr>
          <w:spacing w:val="-9"/>
          <w:sz w:val="22"/>
        </w:rPr>
        <w:t> </w:t>
      </w:r>
      <w:r>
        <w:rPr>
          <w:sz w:val="22"/>
        </w:rPr>
        <w:t>from</w:t>
      </w:r>
      <w:r>
        <w:rPr>
          <w:spacing w:val="-9"/>
          <w:sz w:val="22"/>
        </w:rPr>
        <w:t> </w:t>
      </w:r>
      <w:r>
        <w:rPr>
          <w:sz w:val="22"/>
        </w:rPr>
        <w:t>RSA</w:t>
      </w:r>
      <w:r>
        <w:rPr>
          <w:spacing w:val="-8"/>
          <w:sz w:val="22"/>
        </w:rPr>
        <w:t> </w:t>
      </w:r>
      <w:r>
        <w:rPr>
          <w:spacing w:val="-2"/>
          <w:sz w:val="22"/>
        </w:rPr>
        <w:t>audit.</w:t>
      </w:r>
    </w:p>
    <w:p>
      <w:pPr>
        <w:pStyle w:val="ListParagraph"/>
        <w:numPr>
          <w:ilvl w:val="2"/>
          <w:numId w:val="78"/>
        </w:numPr>
        <w:tabs>
          <w:tab w:pos="1439" w:val="left" w:leader="none"/>
        </w:tabs>
        <w:spacing w:line="240" w:lineRule="auto"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#08-</w:t>
      </w:r>
      <w:r>
        <w:rPr>
          <w:spacing w:val="-5"/>
          <w:sz w:val="22"/>
        </w:rPr>
        <w:t>01</w:t>
      </w:r>
    </w:p>
    <w:p>
      <w:pPr>
        <w:spacing w:before="0"/>
        <w:ind w:left="1439" w:right="775" w:firstLine="0"/>
        <w:jc w:val="left"/>
        <w:rPr>
          <w:sz w:val="22"/>
        </w:rPr>
      </w:pPr>
      <w:r>
        <w:rPr>
          <w:sz w:val="22"/>
        </w:rPr>
        <w:t>Permanent,</w:t>
      </w:r>
      <w:r>
        <w:rPr>
          <w:spacing w:val="-5"/>
          <w:sz w:val="22"/>
        </w:rPr>
        <w:t> </w:t>
      </w:r>
      <w:r>
        <w:rPr>
          <w:sz w:val="22"/>
        </w:rPr>
        <w:t>changed</w:t>
      </w:r>
      <w:r>
        <w:rPr>
          <w:spacing w:val="-6"/>
          <w:sz w:val="22"/>
        </w:rPr>
        <w:t> </w:t>
      </w:r>
      <w:r>
        <w:rPr>
          <w:sz w:val="22"/>
        </w:rPr>
        <w:t>State</w:t>
      </w:r>
      <w:r>
        <w:rPr>
          <w:spacing w:val="-6"/>
          <w:sz w:val="22"/>
        </w:rPr>
        <w:t> </w:t>
      </w:r>
      <w:r>
        <w:rPr>
          <w:sz w:val="22"/>
        </w:rPr>
        <w:t>Rehabilitation</w:t>
      </w:r>
      <w:r>
        <w:rPr>
          <w:spacing w:val="-6"/>
          <w:sz w:val="22"/>
        </w:rPr>
        <w:t> </w:t>
      </w:r>
      <w:r>
        <w:rPr>
          <w:sz w:val="22"/>
        </w:rPr>
        <w:t>Council</w:t>
      </w:r>
      <w:r>
        <w:rPr>
          <w:spacing w:val="-6"/>
          <w:sz w:val="22"/>
        </w:rPr>
        <w:t> </w:t>
      </w:r>
      <w:r>
        <w:rPr>
          <w:sz w:val="22"/>
        </w:rPr>
        <w:t>to</w:t>
      </w:r>
      <w:r>
        <w:rPr>
          <w:spacing w:val="-6"/>
          <w:sz w:val="22"/>
        </w:rPr>
        <w:t> </w:t>
      </w:r>
      <w:r>
        <w:rPr>
          <w:sz w:val="22"/>
        </w:rPr>
        <w:t>Oklahoma</w:t>
      </w:r>
      <w:r>
        <w:rPr>
          <w:spacing w:val="-6"/>
          <w:sz w:val="22"/>
        </w:rPr>
        <w:t> </w:t>
      </w:r>
      <w:r>
        <w:rPr>
          <w:sz w:val="22"/>
        </w:rPr>
        <w:t>Rehabilitation </w:t>
      </w:r>
      <w:r>
        <w:rPr>
          <w:spacing w:val="-2"/>
          <w:sz w:val="22"/>
        </w:rPr>
        <w:t>Council.</w:t>
      </w:r>
    </w:p>
    <w:p>
      <w:pPr>
        <w:tabs>
          <w:tab w:pos="1439" w:val="left" w:leader="none"/>
        </w:tabs>
        <w:spacing w:line="252" w:lineRule="exact" w:before="0"/>
        <w:ind w:left="359" w:right="0" w:firstLine="0"/>
        <w:jc w:val="left"/>
        <w:rPr>
          <w:sz w:val="22"/>
        </w:rPr>
      </w:pPr>
      <w:r>
        <w:rPr>
          <w:spacing w:val="-2"/>
          <w:sz w:val="22"/>
        </w:rPr>
        <w:t>1-1-</w:t>
      </w:r>
      <w:r>
        <w:rPr>
          <w:spacing w:val="-5"/>
          <w:sz w:val="22"/>
        </w:rPr>
        <w:t>10</w:t>
      </w:r>
      <w:r>
        <w:rPr>
          <w:sz w:val="22"/>
        </w:rPr>
        <w:tab/>
        <w:t>PT</w:t>
      </w:r>
      <w:r>
        <w:rPr>
          <w:spacing w:val="-8"/>
          <w:sz w:val="22"/>
        </w:rPr>
        <w:t> </w:t>
      </w:r>
      <w:r>
        <w:rPr>
          <w:sz w:val="22"/>
        </w:rPr>
        <w:t>Memo</w:t>
      </w:r>
      <w:r>
        <w:rPr>
          <w:spacing w:val="-8"/>
          <w:sz w:val="22"/>
        </w:rPr>
        <w:t> </w:t>
      </w:r>
      <w:r>
        <w:rPr>
          <w:sz w:val="22"/>
        </w:rPr>
        <w:t>#10-</w:t>
      </w:r>
      <w:r>
        <w:rPr>
          <w:spacing w:val="-5"/>
          <w:sz w:val="22"/>
        </w:rPr>
        <w:t>02</w:t>
      </w:r>
    </w:p>
    <w:p>
      <w:pPr>
        <w:spacing w:before="1"/>
        <w:ind w:left="359" w:right="2053" w:firstLine="1080"/>
        <w:jc w:val="both"/>
        <w:rPr>
          <w:sz w:val="22"/>
        </w:rPr>
      </w:pPr>
      <w:r>
        <w:rPr>
          <w:sz w:val="22"/>
        </w:rPr>
        <w:t>Permanent,</w:t>
      </w:r>
      <w:r>
        <w:rPr>
          <w:spacing w:val="-4"/>
          <w:sz w:val="22"/>
        </w:rPr>
        <w:t> </w:t>
      </w:r>
      <w:r>
        <w:rPr>
          <w:sz w:val="22"/>
        </w:rPr>
        <w:t>updated</w:t>
      </w:r>
      <w:r>
        <w:rPr>
          <w:spacing w:val="-5"/>
          <w:sz w:val="22"/>
        </w:rPr>
        <w:t> </w:t>
      </w:r>
      <w:r>
        <w:rPr>
          <w:sz w:val="22"/>
        </w:rPr>
        <w:t>the</w:t>
      </w:r>
      <w:r>
        <w:rPr>
          <w:spacing w:val="-6"/>
          <w:sz w:val="22"/>
        </w:rPr>
        <w:t> </w:t>
      </w:r>
      <w:r>
        <w:rPr>
          <w:sz w:val="22"/>
        </w:rPr>
        <w:t>Early</w:t>
      </w:r>
      <w:r>
        <w:rPr>
          <w:spacing w:val="-5"/>
          <w:sz w:val="22"/>
        </w:rPr>
        <w:t> </w:t>
      </w:r>
      <w:r>
        <w:rPr>
          <w:sz w:val="22"/>
        </w:rPr>
        <w:t>Settlement</w:t>
      </w:r>
      <w:r>
        <w:rPr>
          <w:spacing w:val="-5"/>
          <w:sz w:val="22"/>
        </w:rPr>
        <w:t> </w:t>
      </w:r>
      <w:r>
        <w:rPr>
          <w:sz w:val="22"/>
        </w:rPr>
        <w:t>Mediation</w:t>
      </w:r>
      <w:r>
        <w:rPr>
          <w:spacing w:val="-5"/>
          <w:sz w:val="22"/>
        </w:rPr>
        <w:t> </w:t>
      </w:r>
      <w:r>
        <w:rPr>
          <w:sz w:val="22"/>
        </w:rPr>
        <w:t>Centers</w:t>
      </w:r>
      <w:r>
        <w:rPr>
          <w:spacing w:val="-6"/>
          <w:sz w:val="22"/>
        </w:rPr>
        <w:t> </w:t>
      </w:r>
      <w:r>
        <w:rPr>
          <w:sz w:val="22"/>
        </w:rPr>
        <w:t>in</w:t>
      </w:r>
      <w:r>
        <w:rPr>
          <w:spacing w:val="-5"/>
          <w:sz w:val="22"/>
        </w:rPr>
        <w:t> </w:t>
      </w:r>
      <w:r>
        <w:rPr>
          <w:sz w:val="22"/>
        </w:rPr>
        <w:t>the</w:t>
      </w:r>
      <w:r>
        <w:rPr>
          <w:spacing w:val="-5"/>
          <w:sz w:val="22"/>
        </w:rPr>
        <w:t> </w:t>
      </w:r>
      <w:r>
        <w:rPr>
          <w:sz w:val="22"/>
        </w:rPr>
        <w:t>ITS. 2-24-12</w:t>
      </w:r>
      <w:r>
        <w:rPr>
          <w:spacing w:val="80"/>
          <w:sz w:val="22"/>
        </w:rPr>
        <w:t>  </w:t>
      </w:r>
      <w:r>
        <w:rPr>
          <w:sz w:val="22"/>
        </w:rPr>
        <w:t>Permanent,</w:t>
      </w:r>
      <w:r>
        <w:rPr>
          <w:spacing w:val="-2"/>
          <w:sz w:val="22"/>
        </w:rPr>
        <w:t> </w:t>
      </w:r>
      <w:r>
        <w:rPr>
          <w:sz w:val="22"/>
        </w:rPr>
        <w:t>updated</w:t>
      </w:r>
      <w:r>
        <w:rPr>
          <w:spacing w:val="-3"/>
          <w:sz w:val="22"/>
        </w:rPr>
        <w:t> </w:t>
      </w:r>
      <w:r>
        <w:rPr>
          <w:sz w:val="22"/>
        </w:rPr>
        <w:t>the</w:t>
      </w:r>
      <w:r>
        <w:rPr>
          <w:spacing w:val="-4"/>
          <w:sz w:val="22"/>
        </w:rPr>
        <w:t> </w:t>
      </w:r>
      <w:r>
        <w:rPr>
          <w:sz w:val="22"/>
        </w:rPr>
        <w:t>Early</w:t>
      </w:r>
      <w:r>
        <w:rPr>
          <w:spacing w:val="-3"/>
          <w:sz w:val="22"/>
        </w:rPr>
        <w:t> </w:t>
      </w:r>
      <w:r>
        <w:rPr>
          <w:sz w:val="22"/>
        </w:rPr>
        <w:t>Settlement</w:t>
      </w:r>
      <w:r>
        <w:rPr>
          <w:spacing w:val="-3"/>
          <w:sz w:val="22"/>
        </w:rPr>
        <w:t> </w:t>
      </w:r>
      <w:r>
        <w:rPr>
          <w:sz w:val="22"/>
        </w:rPr>
        <w:t>Mediation</w:t>
      </w:r>
      <w:r>
        <w:rPr>
          <w:spacing w:val="-3"/>
          <w:sz w:val="22"/>
        </w:rPr>
        <w:t> </w:t>
      </w:r>
      <w:r>
        <w:rPr>
          <w:sz w:val="22"/>
        </w:rPr>
        <w:t>Centers</w:t>
      </w:r>
      <w:r>
        <w:rPr>
          <w:spacing w:val="-4"/>
          <w:sz w:val="22"/>
        </w:rPr>
        <w:t> </w:t>
      </w:r>
      <w:r>
        <w:rPr>
          <w:sz w:val="22"/>
        </w:rPr>
        <w:t>in</w:t>
      </w:r>
      <w:r>
        <w:rPr>
          <w:spacing w:val="-3"/>
          <w:sz w:val="22"/>
        </w:rPr>
        <w:t> </w:t>
      </w:r>
      <w:r>
        <w:rPr>
          <w:sz w:val="22"/>
        </w:rPr>
        <w:t>the</w:t>
      </w:r>
      <w:r>
        <w:rPr>
          <w:spacing w:val="-3"/>
          <w:sz w:val="22"/>
        </w:rPr>
        <w:t> </w:t>
      </w:r>
      <w:r>
        <w:rPr>
          <w:sz w:val="22"/>
        </w:rPr>
        <w:t>ITS. 6-5-12</w:t>
      </w:r>
      <w:r>
        <w:rPr>
          <w:spacing w:val="75"/>
          <w:sz w:val="22"/>
        </w:rPr>
        <w:t>   </w:t>
      </w:r>
      <w:r>
        <w:rPr>
          <w:sz w:val="22"/>
        </w:rPr>
        <w:t>Permanent,</w:t>
      </w:r>
      <w:r>
        <w:rPr>
          <w:spacing w:val="-2"/>
          <w:sz w:val="22"/>
        </w:rPr>
        <w:t> </w:t>
      </w:r>
      <w:r>
        <w:rPr>
          <w:sz w:val="22"/>
        </w:rPr>
        <w:t>updated</w:t>
      </w:r>
      <w:r>
        <w:rPr>
          <w:spacing w:val="-5"/>
          <w:sz w:val="22"/>
        </w:rPr>
        <w:t> </w:t>
      </w:r>
      <w:r>
        <w:rPr>
          <w:sz w:val="22"/>
        </w:rPr>
        <w:t>the</w:t>
      </w:r>
      <w:r>
        <w:rPr>
          <w:spacing w:val="-5"/>
          <w:sz w:val="22"/>
        </w:rPr>
        <w:t> </w:t>
      </w:r>
      <w:r>
        <w:rPr>
          <w:sz w:val="22"/>
        </w:rPr>
        <w:t>Early</w:t>
      </w:r>
      <w:r>
        <w:rPr>
          <w:spacing w:val="-5"/>
          <w:sz w:val="22"/>
        </w:rPr>
        <w:t> </w:t>
      </w:r>
      <w:r>
        <w:rPr>
          <w:sz w:val="22"/>
        </w:rPr>
        <w:t>Settlement</w:t>
      </w:r>
      <w:r>
        <w:rPr>
          <w:spacing w:val="-4"/>
          <w:sz w:val="22"/>
        </w:rPr>
        <w:t> </w:t>
      </w:r>
      <w:r>
        <w:rPr>
          <w:sz w:val="22"/>
        </w:rPr>
        <w:t>Mediation</w:t>
      </w:r>
      <w:r>
        <w:rPr>
          <w:spacing w:val="-5"/>
          <w:sz w:val="22"/>
        </w:rPr>
        <w:t> </w:t>
      </w:r>
      <w:r>
        <w:rPr>
          <w:sz w:val="22"/>
        </w:rPr>
        <w:t>Centers</w:t>
      </w:r>
      <w:r>
        <w:rPr>
          <w:spacing w:val="-5"/>
          <w:sz w:val="22"/>
        </w:rPr>
        <w:t> </w:t>
      </w:r>
      <w:r>
        <w:rPr>
          <w:sz w:val="22"/>
        </w:rPr>
        <w:t>in</w:t>
      </w:r>
      <w:r>
        <w:rPr>
          <w:spacing w:val="-5"/>
          <w:sz w:val="22"/>
        </w:rPr>
        <w:t> </w:t>
      </w:r>
      <w:r>
        <w:rPr>
          <w:sz w:val="22"/>
        </w:rPr>
        <w:t>the</w:t>
      </w:r>
      <w:r>
        <w:rPr>
          <w:spacing w:val="-4"/>
          <w:sz w:val="22"/>
        </w:rPr>
        <w:t> ITS.</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359" w:right="0" w:firstLine="0"/>
        <w:jc w:val="left"/>
        <w:rPr>
          <w:sz w:val="22"/>
        </w:rPr>
      </w:pPr>
      <w:r>
        <w:rPr>
          <w:spacing w:val="-2"/>
          <w:sz w:val="22"/>
        </w:rPr>
        <w:t>1-31-</w:t>
      </w:r>
      <w:r>
        <w:rPr>
          <w:spacing w:val="-5"/>
          <w:sz w:val="22"/>
        </w:rPr>
        <w:t>18</w:t>
      </w:r>
      <w:r>
        <w:rPr>
          <w:sz w:val="22"/>
        </w:rPr>
        <w:tab/>
        <w:t>Update</w:t>
      </w:r>
      <w:r>
        <w:rPr>
          <w:spacing w:val="-7"/>
          <w:sz w:val="22"/>
        </w:rPr>
        <w:t> </w:t>
      </w:r>
      <w:r>
        <w:rPr>
          <w:sz w:val="22"/>
        </w:rPr>
        <w:t>ITS</w:t>
      </w:r>
      <w:r>
        <w:rPr>
          <w:spacing w:val="-6"/>
          <w:sz w:val="22"/>
        </w:rPr>
        <w:t> </w:t>
      </w:r>
      <w:r>
        <w:rPr>
          <w:sz w:val="22"/>
        </w:rPr>
        <w:t>#3</w:t>
      </w:r>
      <w:r>
        <w:rPr>
          <w:spacing w:val="-7"/>
          <w:sz w:val="22"/>
        </w:rPr>
        <w:t> </w:t>
      </w:r>
      <w:r>
        <w:rPr>
          <w:sz w:val="22"/>
        </w:rPr>
        <w:t>Early</w:t>
      </w:r>
      <w:r>
        <w:rPr>
          <w:spacing w:val="-6"/>
          <w:sz w:val="22"/>
        </w:rPr>
        <w:t> </w:t>
      </w:r>
      <w:r>
        <w:rPr>
          <w:sz w:val="22"/>
        </w:rPr>
        <w:t>Settlement</w:t>
      </w:r>
      <w:r>
        <w:rPr>
          <w:spacing w:val="-7"/>
          <w:sz w:val="22"/>
        </w:rPr>
        <w:t> </w:t>
      </w:r>
      <w:r>
        <w:rPr>
          <w:sz w:val="22"/>
        </w:rPr>
        <w:t>contact</w:t>
      </w:r>
      <w:r>
        <w:rPr>
          <w:spacing w:val="-6"/>
          <w:sz w:val="22"/>
        </w:rPr>
        <w:t> </w:t>
      </w:r>
      <w:r>
        <w:rPr>
          <w:sz w:val="22"/>
        </w:rPr>
        <w:t>and</w:t>
      </w:r>
      <w:r>
        <w:rPr>
          <w:spacing w:val="-7"/>
          <w:sz w:val="22"/>
        </w:rPr>
        <w:t> </w:t>
      </w:r>
      <w:r>
        <w:rPr>
          <w:sz w:val="22"/>
        </w:rPr>
        <w:t>location</w:t>
      </w:r>
      <w:r>
        <w:rPr>
          <w:spacing w:val="-6"/>
          <w:sz w:val="22"/>
        </w:rPr>
        <w:t> </w:t>
      </w:r>
      <w:r>
        <w:rPr>
          <w:spacing w:val="-2"/>
          <w:sz w:val="22"/>
        </w:rPr>
        <w:t>information.</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tabs>
          <w:tab w:pos="1439" w:val="left" w:leader="none"/>
        </w:tabs>
        <w:spacing w:before="0"/>
        <w:ind w:left="1439" w:right="1563" w:hanging="1080"/>
        <w:jc w:val="left"/>
        <w:rPr>
          <w:sz w:val="22"/>
        </w:rPr>
      </w:pPr>
      <w:r>
        <w:rPr>
          <w:spacing w:val="-2"/>
          <w:sz w:val="22"/>
        </w:rPr>
        <w:t>3-16-22</w:t>
      </w:r>
      <w:r>
        <w:rPr>
          <w:sz w:val="22"/>
        </w:rPr>
        <w:tab/>
        <w:t>Updated</w:t>
      </w:r>
      <w:r>
        <w:rPr>
          <w:spacing w:val="-4"/>
          <w:sz w:val="22"/>
        </w:rPr>
        <w:t> </w:t>
      </w:r>
      <w:r>
        <w:rPr>
          <w:sz w:val="22"/>
        </w:rPr>
        <w:t>ITS</w:t>
      </w:r>
      <w:r>
        <w:rPr>
          <w:spacing w:val="-4"/>
          <w:sz w:val="22"/>
        </w:rPr>
        <w:t> </w:t>
      </w:r>
      <w:r>
        <w:rPr>
          <w:sz w:val="22"/>
        </w:rPr>
        <w:t>#2</w:t>
      </w:r>
      <w:r>
        <w:rPr>
          <w:spacing w:val="-4"/>
          <w:sz w:val="22"/>
        </w:rPr>
        <w:t> </w:t>
      </w:r>
      <w:r>
        <w:rPr>
          <w:sz w:val="22"/>
        </w:rPr>
        <w:t>fair</w:t>
      </w:r>
      <w:r>
        <w:rPr>
          <w:spacing w:val="-4"/>
          <w:sz w:val="22"/>
        </w:rPr>
        <w:t> </w:t>
      </w:r>
      <w:r>
        <w:rPr>
          <w:sz w:val="22"/>
        </w:rPr>
        <w:t>hearing</w:t>
      </w:r>
      <w:r>
        <w:rPr>
          <w:spacing w:val="-4"/>
          <w:sz w:val="22"/>
        </w:rPr>
        <w:t> </w:t>
      </w:r>
      <w:r>
        <w:rPr>
          <w:sz w:val="22"/>
        </w:rPr>
        <w:t>coordinator</w:t>
      </w:r>
      <w:r>
        <w:rPr>
          <w:spacing w:val="-4"/>
          <w:sz w:val="22"/>
        </w:rPr>
        <w:t> </w:t>
      </w:r>
      <w:r>
        <w:rPr>
          <w:sz w:val="22"/>
        </w:rPr>
        <w:t>and</w:t>
      </w:r>
      <w:r>
        <w:rPr>
          <w:spacing w:val="-4"/>
          <w:sz w:val="22"/>
        </w:rPr>
        <w:t> </w:t>
      </w:r>
      <w:r>
        <w:rPr>
          <w:sz w:val="22"/>
        </w:rPr>
        <w:t>alternate.</w:t>
      </w:r>
      <w:r>
        <w:rPr>
          <w:spacing w:val="-4"/>
          <w:sz w:val="22"/>
        </w:rPr>
        <w:t> </w:t>
      </w:r>
      <w:r>
        <w:rPr>
          <w:sz w:val="22"/>
        </w:rPr>
        <w:t>Updated</w:t>
      </w:r>
      <w:r>
        <w:rPr>
          <w:spacing w:val="-4"/>
          <w:sz w:val="22"/>
        </w:rPr>
        <w:t> </w:t>
      </w:r>
      <w:r>
        <w:rPr>
          <w:sz w:val="22"/>
        </w:rPr>
        <w:t>ITS</w:t>
      </w:r>
      <w:r>
        <w:rPr>
          <w:spacing w:val="-4"/>
          <w:sz w:val="22"/>
        </w:rPr>
        <w:t> </w:t>
      </w:r>
      <w:r>
        <w:rPr>
          <w:sz w:val="22"/>
        </w:rPr>
        <w:t>#3</w:t>
      </w:r>
      <w:r>
        <w:rPr>
          <w:spacing w:val="-4"/>
          <w:sz w:val="22"/>
        </w:rPr>
        <w:t> </w:t>
      </w:r>
      <w:r>
        <w:rPr>
          <w:sz w:val="22"/>
        </w:rPr>
        <w:t>Early Settlement contact and location information.</w:t>
      </w:r>
    </w:p>
    <w:p>
      <w:pPr>
        <w:tabs>
          <w:tab w:pos="1439" w:val="left" w:leader="none"/>
        </w:tabs>
        <w:spacing w:before="0"/>
        <w:ind w:left="359" w:right="2553" w:firstLine="0"/>
        <w:jc w:val="left"/>
        <w:rPr>
          <w:sz w:val="22"/>
        </w:rPr>
      </w:pPr>
      <w:r>
        <w:rPr>
          <w:spacing w:val="-2"/>
          <w:sz w:val="22"/>
        </w:rPr>
        <w:t>2-13-23</w:t>
      </w:r>
      <w:r>
        <w:rPr>
          <w:sz w:val="22"/>
        </w:rPr>
        <w:tab/>
        <w:t>Updated</w:t>
      </w:r>
      <w:r>
        <w:rPr>
          <w:spacing w:val="-5"/>
          <w:sz w:val="22"/>
        </w:rPr>
        <w:t> </w:t>
      </w:r>
      <w:r>
        <w:rPr>
          <w:sz w:val="22"/>
        </w:rPr>
        <w:t>ITS</w:t>
      </w:r>
      <w:r>
        <w:rPr>
          <w:spacing w:val="-5"/>
          <w:sz w:val="22"/>
        </w:rPr>
        <w:t> </w:t>
      </w:r>
      <w:r>
        <w:rPr>
          <w:sz w:val="22"/>
        </w:rPr>
        <w:t>#3</w:t>
      </w:r>
      <w:r>
        <w:rPr>
          <w:spacing w:val="-5"/>
          <w:sz w:val="22"/>
        </w:rPr>
        <w:t> </w:t>
      </w:r>
      <w:r>
        <w:rPr>
          <w:sz w:val="22"/>
        </w:rPr>
        <w:t>Early</w:t>
      </w:r>
      <w:r>
        <w:rPr>
          <w:spacing w:val="-5"/>
          <w:sz w:val="22"/>
        </w:rPr>
        <w:t> </w:t>
      </w:r>
      <w:r>
        <w:rPr>
          <w:sz w:val="22"/>
        </w:rPr>
        <w:t>Settlement</w:t>
      </w:r>
      <w:r>
        <w:rPr>
          <w:spacing w:val="-5"/>
          <w:sz w:val="22"/>
        </w:rPr>
        <w:t> </w:t>
      </w:r>
      <w:r>
        <w:rPr>
          <w:sz w:val="22"/>
        </w:rPr>
        <w:t>contact</w:t>
      </w:r>
      <w:r>
        <w:rPr>
          <w:spacing w:val="-5"/>
          <w:sz w:val="22"/>
        </w:rPr>
        <w:t> </w:t>
      </w:r>
      <w:r>
        <w:rPr>
          <w:sz w:val="22"/>
        </w:rPr>
        <w:t>and</w:t>
      </w:r>
      <w:r>
        <w:rPr>
          <w:spacing w:val="-5"/>
          <w:sz w:val="22"/>
        </w:rPr>
        <w:t> </w:t>
      </w:r>
      <w:r>
        <w:rPr>
          <w:sz w:val="22"/>
        </w:rPr>
        <w:t>location</w:t>
      </w:r>
      <w:r>
        <w:rPr>
          <w:spacing w:val="-5"/>
          <w:sz w:val="22"/>
        </w:rPr>
        <w:t> </w:t>
      </w:r>
      <w:r>
        <w:rPr>
          <w:sz w:val="22"/>
        </w:rPr>
        <w:t>information. </w:t>
      </w:r>
      <w:r>
        <w:rPr>
          <w:spacing w:val="-2"/>
          <w:sz w:val="22"/>
        </w:rPr>
        <w:t>1-23-</w:t>
      </w:r>
      <w:r>
        <w:rPr>
          <w:spacing w:val="-5"/>
          <w:sz w:val="22"/>
        </w:rPr>
        <w:t>24</w:t>
      </w:r>
      <w:r>
        <w:rPr>
          <w:sz w:val="22"/>
        </w:rPr>
        <w:tab/>
        <w:t>Updated</w:t>
      </w:r>
      <w:r>
        <w:rPr>
          <w:spacing w:val="-7"/>
          <w:sz w:val="22"/>
        </w:rPr>
        <w:t> </w:t>
      </w:r>
      <w:r>
        <w:rPr>
          <w:sz w:val="22"/>
        </w:rPr>
        <w:t>ITS</w:t>
      </w:r>
      <w:r>
        <w:rPr>
          <w:spacing w:val="-7"/>
          <w:sz w:val="22"/>
        </w:rPr>
        <w:t> </w:t>
      </w:r>
      <w:r>
        <w:rPr>
          <w:sz w:val="22"/>
        </w:rPr>
        <w:t>#3</w:t>
      </w:r>
      <w:r>
        <w:rPr>
          <w:spacing w:val="-6"/>
          <w:sz w:val="22"/>
        </w:rPr>
        <w:t> </w:t>
      </w:r>
      <w:r>
        <w:rPr>
          <w:sz w:val="22"/>
        </w:rPr>
        <w:t>Early</w:t>
      </w:r>
      <w:r>
        <w:rPr>
          <w:spacing w:val="-7"/>
          <w:sz w:val="22"/>
        </w:rPr>
        <w:t> </w:t>
      </w:r>
      <w:r>
        <w:rPr>
          <w:sz w:val="22"/>
        </w:rPr>
        <w:t>Settlement</w:t>
      </w:r>
      <w:r>
        <w:rPr>
          <w:spacing w:val="-7"/>
          <w:sz w:val="22"/>
        </w:rPr>
        <w:t> </w:t>
      </w:r>
      <w:r>
        <w:rPr>
          <w:sz w:val="22"/>
        </w:rPr>
        <w:t>contact</w:t>
      </w:r>
      <w:r>
        <w:rPr>
          <w:spacing w:val="-6"/>
          <w:sz w:val="22"/>
        </w:rPr>
        <w:t> </w:t>
      </w:r>
      <w:r>
        <w:rPr>
          <w:sz w:val="22"/>
        </w:rPr>
        <w:t>and</w:t>
      </w:r>
      <w:r>
        <w:rPr>
          <w:spacing w:val="-7"/>
          <w:sz w:val="22"/>
        </w:rPr>
        <w:t> </w:t>
      </w:r>
      <w:r>
        <w:rPr>
          <w:sz w:val="22"/>
        </w:rPr>
        <w:t>location</w:t>
      </w:r>
      <w:r>
        <w:rPr>
          <w:spacing w:val="-7"/>
          <w:sz w:val="22"/>
        </w:rPr>
        <w:t> </w:t>
      </w:r>
      <w:r>
        <w:rPr>
          <w:spacing w:val="-2"/>
          <w:sz w:val="22"/>
        </w:rPr>
        <w:t>information.</w:t>
      </w:r>
    </w:p>
    <w:p>
      <w:pPr>
        <w:tabs>
          <w:tab w:pos="1439" w:val="left" w:leader="none"/>
        </w:tabs>
        <w:spacing w:before="0"/>
        <w:ind w:left="1439" w:right="1515" w:hanging="1080"/>
        <w:jc w:val="left"/>
        <w:rPr>
          <w:sz w:val="22"/>
        </w:rPr>
      </w:pPr>
      <w:r>
        <w:rPr>
          <w:spacing w:val="-2"/>
          <w:sz w:val="22"/>
        </w:rPr>
        <w:t>2-10-25</w:t>
      </w:r>
      <w:r>
        <w:rPr>
          <w:sz w:val="22"/>
        </w:rPr>
        <w:tab/>
        <w:t>Updated</w:t>
      </w:r>
      <w:r>
        <w:rPr>
          <w:spacing w:val="-4"/>
          <w:sz w:val="22"/>
        </w:rPr>
        <w:t> </w:t>
      </w:r>
      <w:r>
        <w:rPr>
          <w:sz w:val="22"/>
        </w:rPr>
        <w:t>ITS</w:t>
      </w:r>
      <w:r>
        <w:rPr>
          <w:spacing w:val="-4"/>
          <w:sz w:val="22"/>
        </w:rPr>
        <w:t> </w:t>
      </w:r>
      <w:r>
        <w:rPr>
          <w:sz w:val="22"/>
        </w:rPr>
        <w:t>#3</w:t>
      </w:r>
      <w:r>
        <w:rPr>
          <w:spacing w:val="-4"/>
          <w:sz w:val="22"/>
        </w:rPr>
        <w:t> </w:t>
      </w:r>
      <w:r>
        <w:rPr>
          <w:sz w:val="22"/>
        </w:rPr>
        <w:t>Early</w:t>
      </w:r>
      <w:r>
        <w:rPr>
          <w:spacing w:val="-4"/>
          <w:sz w:val="22"/>
        </w:rPr>
        <w:t> </w:t>
      </w:r>
      <w:r>
        <w:rPr>
          <w:sz w:val="22"/>
        </w:rPr>
        <w:t>Settlement</w:t>
      </w:r>
      <w:r>
        <w:rPr>
          <w:spacing w:val="-4"/>
          <w:sz w:val="22"/>
        </w:rPr>
        <w:t> </w:t>
      </w:r>
      <w:r>
        <w:rPr>
          <w:sz w:val="22"/>
        </w:rPr>
        <w:t>contact</w:t>
      </w:r>
      <w:r>
        <w:rPr>
          <w:spacing w:val="-4"/>
          <w:sz w:val="22"/>
        </w:rPr>
        <w:t> </w:t>
      </w:r>
      <w:r>
        <w:rPr>
          <w:sz w:val="22"/>
        </w:rPr>
        <w:t>and</w:t>
      </w:r>
      <w:r>
        <w:rPr>
          <w:spacing w:val="-4"/>
          <w:sz w:val="22"/>
        </w:rPr>
        <w:t> </w:t>
      </w:r>
      <w:r>
        <w:rPr>
          <w:sz w:val="22"/>
        </w:rPr>
        <w:t>location</w:t>
      </w:r>
      <w:r>
        <w:rPr>
          <w:spacing w:val="-4"/>
          <w:sz w:val="22"/>
        </w:rPr>
        <w:t> </w:t>
      </w:r>
      <w:r>
        <w:rPr>
          <w:sz w:val="22"/>
        </w:rPr>
        <w:t>information.</w:t>
      </w:r>
      <w:r>
        <w:rPr>
          <w:spacing w:val="-4"/>
          <w:sz w:val="22"/>
        </w:rPr>
        <w:t> </w:t>
      </w:r>
      <w:r>
        <w:rPr>
          <w:sz w:val="22"/>
        </w:rPr>
        <w:t>New</w:t>
      </w:r>
      <w:r>
        <w:rPr>
          <w:spacing w:val="-3"/>
          <w:sz w:val="22"/>
        </w:rPr>
        <w:t> </w:t>
      </w:r>
      <w:r>
        <w:rPr>
          <w:sz w:val="22"/>
        </w:rPr>
        <w:t>early settlement program: Peer Mediation serves the entire state of Oklahoma.</w:t>
      </w:r>
    </w:p>
    <w:p>
      <w:pPr>
        <w:spacing w:after="0"/>
        <w:jc w:val="left"/>
        <w:rPr>
          <w:sz w:val="22"/>
        </w:rPr>
        <w:sectPr>
          <w:pgSz w:w="12240" w:h="15840"/>
          <w:pgMar w:top="1360" w:bottom="280" w:left="1080" w:right="720"/>
        </w:sectPr>
      </w:pPr>
    </w:p>
    <w:p>
      <w:pPr>
        <w:pStyle w:val="Heading2"/>
      </w:pPr>
      <w:bookmarkStart w:name="612:10-1-7.  Purchase of services and go" w:id="103"/>
      <w:bookmarkEnd w:id="103"/>
      <w:r>
        <w:rPr>
          <w:b w:val="0"/>
        </w:rPr>
      </w:r>
      <w:r>
        <w:rPr/>
        <w:t>612:10-1-7.</w:t>
      </w:r>
      <w:r>
        <w:rPr>
          <w:spacing w:val="58"/>
        </w:rPr>
        <w:t> </w:t>
      </w:r>
      <w:r>
        <w:rPr/>
        <w:t>Purchase</w:t>
      </w:r>
      <w:r>
        <w:rPr>
          <w:spacing w:val="-4"/>
        </w:rPr>
        <w:t> </w:t>
      </w:r>
      <w:r>
        <w:rPr/>
        <w:t>of</w:t>
      </w:r>
      <w:r>
        <w:rPr>
          <w:spacing w:val="-2"/>
        </w:rPr>
        <w:t> </w:t>
      </w:r>
      <w:r>
        <w:rPr/>
        <w:t>services</w:t>
      </w:r>
      <w:r>
        <w:rPr>
          <w:spacing w:val="-4"/>
        </w:rPr>
        <w:t> </w:t>
      </w:r>
      <w:r>
        <w:rPr/>
        <w:t>and</w:t>
      </w:r>
      <w:r>
        <w:rPr>
          <w:spacing w:val="-3"/>
        </w:rPr>
        <w:t> </w:t>
      </w:r>
      <w:r>
        <w:rPr/>
        <w:t>goods</w:t>
      </w:r>
      <w:r>
        <w:rPr>
          <w:spacing w:val="-3"/>
        </w:rPr>
        <w:t> </w:t>
      </w:r>
      <w:r>
        <w:rPr/>
        <w:t>for</w:t>
      </w:r>
      <w:r>
        <w:rPr>
          <w:spacing w:val="-4"/>
        </w:rPr>
        <w:t> </w:t>
      </w:r>
      <w:r>
        <w:rPr/>
        <w:t>individuals</w:t>
      </w:r>
      <w:r>
        <w:rPr>
          <w:spacing w:val="-4"/>
        </w:rPr>
        <w:t> </w:t>
      </w:r>
      <w:r>
        <w:rPr/>
        <w:t>with</w:t>
      </w:r>
      <w:r>
        <w:rPr>
          <w:spacing w:val="-4"/>
        </w:rPr>
        <w:t> </w:t>
      </w:r>
      <w:r>
        <w:rPr>
          <w:spacing w:val="-2"/>
        </w:rPr>
        <w:t>disabilities</w:t>
      </w:r>
    </w:p>
    <w:p>
      <w:pPr>
        <w:pStyle w:val="ListParagraph"/>
        <w:numPr>
          <w:ilvl w:val="0"/>
          <w:numId w:val="83"/>
        </w:numPr>
        <w:tabs>
          <w:tab w:pos="785" w:val="left" w:leader="none"/>
        </w:tabs>
        <w:spacing w:line="208" w:lineRule="auto" w:before="233" w:after="0"/>
        <w:ind w:left="359" w:right="806" w:firstLine="0"/>
        <w:jc w:val="left"/>
        <w:rPr>
          <w:sz w:val="24"/>
        </w:rPr>
      </w:pPr>
      <w:r>
        <w:rPr>
          <w:sz w:val="24"/>
        </w:rPr>
        <w:t>All Department authorizations are made in compliance with the state purchasing policy under legal authority of the Director or by an employee to whom the Director has delegated</w:t>
      </w:r>
      <w:r>
        <w:rPr>
          <w:spacing w:val="-5"/>
          <w:sz w:val="24"/>
        </w:rPr>
        <w:t> </w:t>
      </w:r>
      <w:r>
        <w:rPr>
          <w:sz w:val="24"/>
        </w:rPr>
        <w:t>such</w:t>
      </w:r>
      <w:r>
        <w:rPr>
          <w:spacing w:val="-5"/>
          <w:sz w:val="24"/>
        </w:rPr>
        <w:t> </w:t>
      </w:r>
      <w:r>
        <w:rPr>
          <w:sz w:val="24"/>
        </w:rPr>
        <w:t>authority.</w:t>
      </w:r>
      <w:r>
        <w:rPr>
          <w:spacing w:val="-4"/>
          <w:sz w:val="24"/>
        </w:rPr>
        <w:t> </w:t>
      </w:r>
      <w:r>
        <w:rPr>
          <w:sz w:val="24"/>
        </w:rPr>
        <w:t>Services,</w:t>
      </w:r>
      <w:r>
        <w:rPr>
          <w:spacing w:val="-4"/>
          <w:sz w:val="24"/>
        </w:rPr>
        <w:t> </w:t>
      </w:r>
      <w:r>
        <w:rPr>
          <w:sz w:val="24"/>
        </w:rPr>
        <w:t>other</w:t>
      </w:r>
      <w:r>
        <w:rPr>
          <w:spacing w:val="-6"/>
          <w:sz w:val="24"/>
        </w:rPr>
        <w:t> </w:t>
      </w:r>
      <w:r>
        <w:rPr>
          <w:sz w:val="24"/>
        </w:rPr>
        <w:t>than</w:t>
      </w:r>
      <w:r>
        <w:rPr>
          <w:spacing w:val="-5"/>
          <w:sz w:val="24"/>
        </w:rPr>
        <w:t> </w:t>
      </w:r>
      <w:r>
        <w:rPr>
          <w:sz w:val="24"/>
        </w:rPr>
        <w:t>diagnosis</w:t>
      </w:r>
      <w:r>
        <w:rPr>
          <w:spacing w:val="-5"/>
          <w:sz w:val="24"/>
        </w:rPr>
        <w:t> </w:t>
      </w:r>
      <w:r>
        <w:rPr>
          <w:sz w:val="24"/>
        </w:rPr>
        <w:t>and</w:t>
      </w:r>
      <w:r>
        <w:rPr>
          <w:spacing w:val="-5"/>
          <w:sz w:val="24"/>
        </w:rPr>
        <w:t> </w:t>
      </w:r>
      <w:r>
        <w:rPr>
          <w:sz w:val="24"/>
        </w:rPr>
        <w:t>pre-employment</w:t>
      </w:r>
      <w:r>
        <w:rPr>
          <w:spacing w:val="-4"/>
          <w:sz w:val="24"/>
        </w:rPr>
        <w:t> </w:t>
      </w:r>
      <w:r>
        <w:rPr>
          <w:sz w:val="24"/>
        </w:rPr>
        <w:t>transition services for students with disabilities regardless of whether the student has applied or been determined eligible for vocational rehabilitation services, must be in an approved Individualized Plan for Employment prior to authorization.</w:t>
      </w:r>
    </w:p>
    <w:p>
      <w:pPr>
        <w:pStyle w:val="ListParagraph"/>
        <w:numPr>
          <w:ilvl w:val="1"/>
          <w:numId w:val="83"/>
        </w:numPr>
        <w:tabs>
          <w:tab w:pos="1236" w:val="left" w:leader="none"/>
        </w:tabs>
        <w:spacing w:line="208" w:lineRule="auto" w:before="239" w:after="0"/>
        <w:ind w:left="810" w:right="930" w:firstLine="0"/>
        <w:jc w:val="left"/>
        <w:rPr>
          <w:sz w:val="24"/>
        </w:rPr>
      </w:pPr>
      <w:r>
        <w:rPr>
          <w:sz w:val="24"/>
        </w:rPr>
        <w:t>All</w:t>
      </w:r>
      <w:r>
        <w:rPr>
          <w:spacing w:val="-4"/>
          <w:sz w:val="24"/>
        </w:rPr>
        <w:t> </w:t>
      </w:r>
      <w:r>
        <w:rPr>
          <w:sz w:val="24"/>
        </w:rPr>
        <w:t>authorizations</w:t>
      </w:r>
      <w:r>
        <w:rPr>
          <w:spacing w:val="-4"/>
          <w:sz w:val="24"/>
        </w:rPr>
        <w:t> </w:t>
      </w:r>
      <w:r>
        <w:rPr>
          <w:sz w:val="24"/>
        </w:rPr>
        <w:t>are</w:t>
      </w:r>
      <w:r>
        <w:rPr>
          <w:spacing w:val="-4"/>
          <w:sz w:val="24"/>
        </w:rPr>
        <w:t> </w:t>
      </w:r>
      <w:r>
        <w:rPr>
          <w:sz w:val="24"/>
        </w:rPr>
        <w:t>to</w:t>
      </w:r>
      <w:r>
        <w:rPr>
          <w:spacing w:val="-4"/>
          <w:sz w:val="24"/>
        </w:rPr>
        <w:t> </w:t>
      </w:r>
      <w:r>
        <w:rPr>
          <w:sz w:val="24"/>
        </w:rPr>
        <w:t>be</w:t>
      </w:r>
      <w:r>
        <w:rPr>
          <w:spacing w:val="-4"/>
          <w:sz w:val="24"/>
        </w:rPr>
        <w:t> </w:t>
      </w:r>
      <w:r>
        <w:rPr>
          <w:sz w:val="24"/>
        </w:rPr>
        <w:t>issued</w:t>
      </w:r>
      <w:r>
        <w:rPr>
          <w:spacing w:val="-4"/>
          <w:sz w:val="24"/>
        </w:rPr>
        <w:t> </w:t>
      </w:r>
      <w:r>
        <w:rPr>
          <w:sz w:val="24"/>
        </w:rPr>
        <w:t>prior</w:t>
      </w:r>
      <w:r>
        <w:rPr>
          <w:spacing w:val="-3"/>
          <w:sz w:val="24"/>
        </w:rPr>
        <w:t> </w:t>
      </w:r>
      <w:r>
        <w:rPr>
          <w:sz w:val="24"/>
        </w:rPr>
        <w:t>to</w:t>
      </w:r>
      <w:r>
        <w:rPr>
          <w:spacing w:val="-4"/>
          <w:sz w:val="24"/>
        </w:rPr>
        <w:t> </w:t>
      </w:r>
      <w:r>
        <w:rPr>
          <w:sz w:val="24"/>
        </w:rPr>
        <w:t>or</w:t>
      </w:r>
      <w:r>
        <w:rPr>
          <w:spacing w:val="-3"/>
          <w:sz w:val="24"/>
        </w:rPr>
        <w:t> </w:t>
      </w:r>
      <w:r>
        <w:rPr>
          <w:sz w:val="24"/>
        </w:rPr>
        <w:t>simultaneously</w:t>
      </w:r>
      <w:r>
        <w:rPr>
          <w:spacing w:val="-4"/>
          <w:sz w:val="24"/>
        </w:rPr>
        <w:t> </w:t>
      </w:r>
      <w:r>
        <w:rPr>
          <w:sz w:val="24"/>
        </w:rPr>
        <w:t>with</w:t>
      </w:r>
      <w:r>
        <w:rPr>
          <w:spacing w:val="-4"/>
          <w:sz w:val="24"/>
        </w:rPr>
        <w:t> </w:t>
      </w:r>
      <w:r>
        <w:rPr>
          <w:sz w:val="24"/>
        </w:rPr>
        <w:t>the</w:t>
      </w:r>
      <w:r>
        <w:rPr>
          <w:spacing w:val="-4"/>
          <w:sz w:val="24"/>
        </w:rPr>
        <w:t> </w:t>
      </w:r>
      <w:r>
        <w:rPr>
          <w:sz w:val="24"/>
        </w:rPr>
        <w:t>provision of the services.</w:t>
      </w:r>
    </w:p>
    <w:p>
      <w:pPr>
        <w:pStyle w:val="ListParagraph"/>
        <w:numPr>
          <w:ilvl w:val="1"/>
          <w:numId w:val="83"/>
        </w:numPr>
        <w:tabs>
          <w:tab w:pos="1236" w:val="left" w:leader="none"/>
        </w:tabs>
        <w:spacing w:line="208" w:lineRule="auto" w:before="240" w:after="0"/>
        <w:ind w:left="810" w:right="728" w:firstLine="0"/>
        <w:jc w:val="left"/>
        <w:rPr>
          <w:sz w:val="24"/>
        </w:rPr>
      </w:pPr>
      <w:r>
        <w:rPr>
          <w:sz w:val="24"/>
        </w:rPr>
        <w:t>Verbal</w:t>
      </w:r>
      <w:r>
        <w:rPr>
          <w:spacing w:val="-6"/>
          <w:sz w:val="24"/>
        </w:rPr>
        <w:t> </w:t>
      </w:r>
      <w:r>
        <w:rPr>
          <w:sz w:val="24"/>
        </w:rPr>
        <w:t>authorizations</w:t>
      </w:r>
      <w:r>
        <w:rPr>
          <w:spacing w:val="-4"/>
          <w:sz w:val="24"/>
        </w:rPr>
        <w:t> </w:t>
      </w:r>
      <w:r>
        <w:rPr>
          <w:sz w:val="24"/>
        </w:rPr>
        <w:t>may</w:t>
      </w:r>
      <w:r>
        <w:rPr>
          <w:spacing w:val="-4"/>
          <w:sz w:val="24"/>
        </w:rPr>
        <w:t> </w:t>
      </w:r>
      <w:r>
        <w:rPr>
          <w:sz w:val="24"/>
        </w:rPr>
        <w:t>be</w:t>
      </w:r>
      <w:r>
        <w:rPr>
          <w:spacing w:val="-4"/>
          <w:sz w:val="24"/>
        </w:rPr>
        <w:t> </w:t>
      </w:r>
      <w:r>
        <w:rPr>
          <w:sz w:val="24"/>
        </w:rPr>
        <w:t>made</w:t>
      </w:r>
      <w:r>
        <w:rPr>
          <w:spacing w:val="-4"/>
          <w:sz w:val="24"/>
        </w:rPr>
        <w:t> </w:t>
      </w:r>
      <w:r>
        <w:rPr>
          <w:sz w:val="24"/>
        </w:rPr>
        <w:t>when</w:t>
      </w:r>
      <w:r>
        <w:rPr>
          <w:spacing w:val="-4"/>
          <w:sz w:val="24"/>
        </w:rPr>
        <w:t> </w:t>
      </w:r>
      <w:r>
        <w:rPr>
          <w:sz w:val="24"/>
        </w:rPr>
        <w:t>needed</w:t>
      </w:r>
      <w:r>
        <w:rPr>
          <w:spacing w:val="-3"/>
          <w:sz w:val="24"/>
        </w:rPr>
        <w:t> </w:t>
      </w:r>
      <w:r>
        <w:rPr>
          <w:sz w:val="24"/>
        </w:rPr>
        <w:t>to</w:t>
      </w:r>
      <w:r>
        <w:rPr>
          <w:spacing w:val="-4"/>
          <w:sz w:val="24"/>
        </w:rPr>
        <w:t> </w:t>
      </w:r>
      <w:r>
        <w:rPr>
          <w:sz w:val="24"/>
        </w:rPr>
        <w:t>ensure</w:t>
      </w:r>
      <w:r>
        <w:rPr>
          <w:spacing w:val="-4"/>
          <w:sz w:val="24"/>
        </w:rPr>
        <w:t> </w:t>
      </w:r>
      <w:r>
        <w:rPr>
          <w:sz w:val="24"/>
        </w:rPr>
        <w:t>effective</w:t>
      </w:r>
      <w:r>
        <w:rPr>
          <w:spacing w:val="-4"/>
          <w:sz w:val="24"/>
        </w:rPr>
        <w:t> </w:t>
      </w:r>
      <w:r>
        <w:rPr>
          <w:sz w:val="24"/>
        </w:rPr>
        <w:t>delivery</w:t>
      </w:r>
      <w:r>
        <w:rPr>
          <w:spacing w:val="-4"/>
          <w:sz w:val="24"/>
        </w:rPr>
        <w:t> </w:t>
      </w:r>
      <w:r>
        <w:rPr>
          <w:sz w:val="24"/>
        </w:rPr>
        <w:t>of services. Verbal authorization must be followed immediately by the actual </w:t>
      </w:r>
      <w:r>
        <w:rPr>
          <w:spacing w:val="-2"/>
          <w:sz w:val="24"/>
        </w:rPr>
        <w:t>authorization.</w:t>
      </w:r>
    </w:p>
    <w:p>
      <w:pPr>
        <w:pStyle w:val="ListParagraph"/>
        <w:numPr>
          <w:ilvl w:val="1"/>
          <w:numId w:val="83"/>
        </w:numPr>
        <w:tabs>
          <w:tab w:pos="1236" w:val="left" w:leader="none"/>
        </w:tabs>
        <w:spacing w:line="208" w:lineRule="auto" w:before="240" w:after="0"/>
        <w:ind w:left="810" w:right="755" w:firstLine="0"/>
        <w:jc w:val="left"/>
        <w:rPr>
          <w:sz w:val="24"/>
        </w:rPr>
      </w:pPr>
      <w:r>
        <w:rPr>
          <w:sz w:val="24"/>
        </w:rPr>
        <w:t>Separate authorizations for each fiscal year are required when a planned service extends beyond a single fiscal year. Rehabilitation professionals may not authorize</w:t>
      </w:r>
      <w:r>
        <w:rPr>
          <w:spacing w:val="-4"/>
          <w:sz w:val="24"/>
        </w:rPr>
        <w:t> </w:t>
      </w:r>
      <w:r>
        <w:rPr>
          <w:sz w:val="24"/>
        </w:rPr>
        <w:t>fees</w:t>
      </w:r>
      <w:r>
        <w:rPr>
          <w:spacing w:val="-4"/>
          <w:sz w:val="24"/>
        </w:rPr>
        <w:t> </w:t>
      </w:r>
      <w:r>
        <w:rPr>
          <w:sz w:val="24"/>
        </w:rPr>
        <w:t>for</w:t>
      </w:r>
      <w:r>
        <w:rPr>
          <w:spacing w:val="-3"/>
          <w:sz w:val="24"/>
        </w:rPr>
        <w:t> </w:t>
      </w:r>
      <w:r>
        <w:rPr>
          <w:sz w:val="24"/>
        </w:rPr>
        <w:t>services</w:t>
      </w:r>
      <w:r>
        <w:rPr>
          <w:spacing w:val="-4"/>
          <w:sz w:val="24"/>
        </w:rPr>
        <w:t> </w:t>
      </w:r>
      <w:r>
        <w:rPr>
          <w:sz w:val="24"/>
        </w:rPr>
        <w:t>in</w:t>
      </w:r>
      <w:r>
        <w:rPr>
          <w:spacing w:val="-4"/>
          <w:sz w:val="24"/>
        </w:rPr>
        <w:t> </w:t>
      </w:r>
      <w:r>
        <w:rPr>
          <w:sz w:val="24"/>
        </w:rPr>
        <w:t>excess</w:t>
      </w:r>
      <w:r>
        <w:rPr>
          <w:spacing w:val="-4"/>
          <w:sz w:val="24"/>
        </w:rPr>
        <w:t> </w:t>
      </w:r>
      <w:r>
        <w:rPr>
          <w:sz w:val="24"/>
        </w:rPr>
        <w:t>of</w:t>
      </w:r>
      <w:r>
        <w:rPr>
          <w:spacing w:val="-3"/>
          <w:sz w:val="24"/>
        </w:rPr>
        <w:t> </w:t>
      </w:r>
      <w:r>
        <w:rPr>
          <w:sz w:val="24"/>
        </w:rPr>
        <w:t>those</w:t>
      </w:r>
      <w:r>
        <w:rPr>
          <w:spacing w:val="-4"/>
          <w:sz w:val="24"/>
        </w:rPr>
        <w:t> </w:t>
      </w:r>
      <w:r>
        <w:rPr>
          <w:sz w:val="24"/>
        </w:rPr>
        <w:t>established</w:t>
      </w:r>
      <w:r>
        <w:rPr>
          <w:spacing w:val="-4"/>
          <w:sz w:val="24"/>
        </w:rPr>
        <w:t> </w:t>
      </w:r>
      <w:r>
        <w:rPr>
          <w:sz w:val="24"/>
        </w:rPr>
        <w:t>by</w:t>
      </w:r>
      <w:r>
        <w:rPr>
          <w:spacing w:val="-4"/>
          <w:sz w:val="24"/>
        </w:rPr>
        <w:t> </w:t>
      </w:r>
      <w:r>
        <w:rPr>
          <w:sz w:val="24"/>
        </w:rPr>
        <w:t>the</w:t>
      </w:r>
      <w:r>
        <w:rPr>
          <w:spacing w:val="-4"/>
          <w:sz w:val="24"/>
        </w:rPr>
        <w:t> </w:t>
      </w:r>
      <w:r>
        <w:rPr>
          <w:sz w:val="24"/>
        </w:rPr>
        <w:t>Department</w:t>
      </w:r>
      <w:r>
        <w:rPr>
          <w:spacing w:val="-3"/>
          <w:sz w:val="24"/>
        </w:rPr>
        <w:t> </w:t>
      </w:r>
      <w:r>
        <w:rPr>
          <w:sz w:val="24"/>
        </w:rPr>
        <w:t>unless approved by the Division Administrator.</w:t>
      </w:r>
    </w:p>
    <w:p>
      <w:pPr>
        <w:pStyle w:val="ListParagraph"/>
        <w:numPr>
          <w:ilvl w:val="0"/>
          <w:numId w:val="83"/>
        </w:numPr>
        <w:tabs>
          <w:tab w:pos="786" w:val="left" w:leader="none"/>
        </w:tabs>
        <w:spacing w:line="208" w:lineRule="auto" w:before="239" w:after="0"/>
        <w:ind w:left="360" w:right="952" w:firstLine="0"/>
        <w:jc w:val="left"/>
        <w:rPr>
          <w:sz w:val="24"/>
        </w:rPr>
      </w:pPr>
      <w:r>
        <w:rPr>
          <w:sz w:val="24"/>
        </w:rPr>
        <w:t>A</w:t>
      </w:r>
      <w:r>
        <w:rPr>
          <w:spacing w:val="-3"/>
          <w:sz w:val="24"/>
        </w:rPr>
        <w:t> </w:t>
      </w:r>
      <w:r>
        <w:rPr>
          <w:sz w:val="24"/>
        </w:rPr>
        <w:t>prior</w:t>
      </w:r>
      <w:r>
        <w:rPr>
          <w:spacing w:val="-4"/>
          <w:sz w:val="24"/>
        </w:rPr>
        <w:t> </w:t>
      </w:r>
      <w:r>
        <w:rPr>
          <w:sz w:val="24"/>
        </w:rPr>
        <w:t>vendor</w:t>
      </w:r>
      <w:r>
        <w:rPr>
          <w:spacing w:val="-2"/>
          <w:sz w:val="24"/>
        </w:rPr>
        <w:t> </w:t>
      </w:r>
      <w:r>
        <w:rPr>
          <w:sz w:val="24"/>
        </w:rPr>
        <w:t>contract</w:t>
      </w:r>
      <w:r>
        <w:rPr>
          <w:spacing w:val="-2"/>
          <w:sz w:val="24"/>
        </w:rPr>
        <w:t> </w:t>
      </w:r>
      <w:r>
        <w:rPr>
          <w:sz w:val="24"/>
        </w:rPr>
        <w:t>is</w:t>
      </w:r>
      <w:r>
        <w:rPr>
          <w:spacing w:val="-4"/>
          <w:sz w:val="24"/>
        </w:rPr>
        <w:t> </w:t>
      </w:r>
      <w:r>
        <w:rPr>
          <w:sz w:val="24"/>
        </w:rPr>
        <w:t>required</w:t>
      </w:r>
      <w:r>
        <w:rPr>
          <w:spacing w:val="-3"/>
          <w:sz w:val="24"/>
        </w:rPr>
        <w:t> </w:t>
      </w:r>
      <w:r>
        <w:rPr>
          <w:sz w:val="24"/>
        </w:rPr>
        <w:t>before</w:t>
      </w:r>
      <w:r>
        <w:rPr>
          <w:spacing w:val="-3"/>
          <w:sz w:val="24"/>
        </w:rPr>
        <w:t> </w:t>
      </w:r>
      <w:r>
        <w:rPr>
          <w:sz w:val="24"/>
        </w:rPr>
        <w:t>authorizations</w:t>
      </w:r>
      <w:r>
        <w:rPr>
          <w:spacing w:val="-3"/>
          <w:sz w:val="24"/>
        </w:rPr>
        <w:t> </w:t>
      </w:r>
      <w:r>
        <w:rPr>
          <w:sz w:val="24"/>
        </w:rPr>
        <w:t>can</w:t>
      </w:r>
      <w:r>
        <w:rPr>
          <w:spacing w:val="-3"/>
          <w:sz w:val="24"/>
        </w:rPr>
        <w:t> </w:t>
      </w:r>
      <w:r>
        <w:rPr>
          <w:sz w:val="24"/>
        </w:rPr>
        <w:t>be</w:t>
      </w:r>
      <w:r>
        <w:rPr>
          <w:spacing w:val="-3"/>
          <w:sz w:val="24"/>
        </w:rPr>
        <w:t> </w:t>
      </w:r>
      <w:r>
        <w:rPr>
          <w:sz w:val="24"/>
        </w:rPr>
        <w:t>made</w:t>
      </w:r>
      <w:r>
        <w:rPr>
          <w:spacing w:val="-3"/>
          <w:sz w:val="24"/>
        </w:rPr>
        <w:t> </w:t>
      </w:r>
      <w:r>
        <w:rPr>
          <w:sz w:val="24"/>
        </w:rPr>
        <w:t>to</w:t>
      </w:r>
      <w:r>
        <w:rPr>
          <w:spacing w:val="-4"/>
          <w:sz w:val="24"/>
        </w:rPr>
        <w:t> </w:t>
      </w:r>
      <w:r>
        <w:rPr>
          <w:sz w:val="24"/>
        </w:rPr>
        <w:t>any</w:t>
      </w:r>
      <w:r>
        <w:rPr>
          <w:spacing w:val="-3"/>
          <w:sz w:val="24"/>
        </w:rPr>
        <w:t> </w:t>
      </w:r>
      <w:r>
        <w:rPr>
          <w:sz w:val="24"/>
        </w:rPr>
        <w:t>post- secondary school.</w:t>
      </w:r>
    </w:p>
    <w:p>
      <w:pPr>
        <w:pStyle w:val="ListParagraph"/>
        <w:numPr>
          <w:ilvl w:val="1"/>
          <w:numId w:val="83"/>
        </w:numPr>
        <w:tabs>
          <w:tab w:pos="1235" w:val="left" w:leader="none"/>
        </w:tabs>
        <w:spacing w:line="208" w:lineRule="auto" w:before="240" w:after="0"/>
        <w:ind w:left="809" w:right="779" w:firstLine="0"/>
        <w:jc w:val="left"/>
        <w:rPr>
          <w:sz w:val="24"/>
        </w:rPr>
      </w:pPr>
      <w:r>
        <w:rPr>
          <w:sz w:val="24"/>
        </w:rPr>
        <w:t>By state law, a vendor contract cannot be issued for more than 12 months. If this</w:t>
      </w:r>
      <w:r>
        <w:rPr>
          <w:spacing w:val="-4"/>
          <w:sz w:val="24"/>
        </w:rPr>
        <w:t> </w:t>
      </w:r>
      <w:r>
        <w:rPr>
          <w:sz w:val="24"/>
        </w:rPr>
        <w:t>written</w:t>
      </w:r>
      <w:r>
        <w:rPr>
          <w:spacing w:val="-5"/>
          <w:sz w:val="24"/>
        </w:rPr>
        <w:t> </w:t>
      </w:r>
      <w:r>
        <w:rPr>
          <w:sz w:val="24"/>
        </w:rPr>
        <w:t>purchase</w:t>
      </w:r>
      <w:r>
        <w:rPr>
          <w:spacing w:val="-4"/>
          <w:sz w:val="24"/>
        </w:rPr>
        <w:t> </w:t>
      </w:r>
      <w:r>
        <w:rPr>
          <w:sz w:val="24"/>
        </w:rPr>
        <w:t>agreement</w:t>
      </w:r>
      <w:r>
        <w:rPr>
          <w:spacing w:val="-3"/>
          <w:sz w:val="24"/>
        </w:rPr>
        <w:t> </w:t>
      </w:r>
      <w:r>
        <w:rPr>
          <w:sz w:val="24"/>
        </w:rPr>
        <w:t>should</w:t>
      </w:r>
      <w:r>
        <w:rPr>
          <w:spacing w:val="-4"/>
          <w:sz w:val="24"/>
        </w:rPr>
        <w:t> </w:t>
      </w:r>
      <w:r>
        <w:rPr>
          <w:sz w:val="24"/>
        </w:rPr>
        <w:t>lapse,</w:t>
      </w:r>
      <w:r>
        <w:rPr>
          <w:spacing w:val="-3"/>
          <w:sz w:val="24"/>
        </w:rPr>
        <w:t> </w:t>
      </w:r>
      <w:r>
        <w:rPr>
          <w:sz w:val="24"/>
        </w:rPr>
        <w:t>vendor's</w:t>
      </w:r>
      <w:r>
        <w:rPr>
          <w:spacing w:val="-4"/>
          <w:sz w:val="24"/>
        </w:rPr>
        <w:t> </w:t>
      </w:r>
      <w:r>
        <w:rPr>
          <w:sz w:val="24"/>
        </w:rPr>
        <w:t>claims</w:t>
      </w:r>
      <w:r>
        <w:rPr>
          <w:spacing w:val="-4"/>
          <w:sz w:val="24"/>
        </w:rPr>
        <w:t> </w:t>
      </w:r>
      <w:r>
        <w:rPr>
          <w:sz w:val="24"/>
        </w:rPr>
        <w:t>will</w:t>
      </w:r>
      <w:r>
        <w:rPr>
          <w:spacing w:val="-4"/>
          <w:sz w:val="24"/>
        </w:rPr>
        <w:t> </w:t>
      </w:r>
      <w:r>
        <w:rPr>
          <w:sz w:val="24"/>
        </w:rPr>
        <w:t>be</w:t>
      </w:r>
      <w:r>
        <w:rPr>
          <w:spacing w:val="-4"/>
          <w:sz w:val="24"/>
        </w:rPr>
        <w:t> </w:t>
      </w:r>
      <w:r>
        <w:rPr>
          <w:sz w:val="24"/>
        </w:rPr>
        <w:t>denied</w:t>
      </w:r>
      <w:r>
        <w:rPr>
          <w:spacing w:val="-4"/>
          <w:sz w:val="24"/>
        </w:rPr>
        <w:t> </w:t>
      </w:r>
      <w:r>
        <w:rPr>
          <w:sz w:val="24"/>
        </w:rPr>
        <w:t>by</w:t>
      </w:r>
      <w:r>
        <w:rPr>
          <w:spacing w:val="-4"/>
          <w:sz w:val="24"/>
        </w:rPr>
        <w:t> </w:t>
      </w:r>
      <w:r>
        <w:rPr>
          <w:sz w:val="24"/>
        </w:rPr>
        <w:t>the </w:t>
      </w:r>
      <w:r>
        <w:rPr>
          <w:spacing w:val="-2"/>
          <w:sz w:val="24"/>
        </w:rPr>
        <w:t>Department.</w:t>
      </w:r>
    </w:p>
    <w:p>
      <w:pPr>
        <w:pStyle w:val="ListParagraph"/>
        <w:numPr>
          <w:ilvl w:val="2"/>
          <w:numId w:val="83"/>
        </w:numPr>
        <w:tabs>
          <w:tab w:pos="1712" w:val="left" w:leader="none"/>
        </w:tabs>
        <w:spacing w:line="208" w:lineRule="auto" w:before="240" w:after="0"/>
        <w:ind w:left="1259" w:right="889" w:firstLine="0"/>
        <w:jc w:val="left"/>
        <w:rPr>
          <w:sz w:val="24"/>
        </w:rPr>
      </w:pPr>
      <w:r>
        <w:rPr>
          <w:sz w:val="24"/>
        </w:rPr>
        <w:t>Training facility agreements. Training services are purchased from a specific</w:t>
      </w:r>
      <w:r>
        <w:rPr>
          <w:spacing w:val="-4"/>
          <w:sz w:val="24"/>
        </w:rPr>
        <w:t> </w:t>
      </w:r>
      <w:r>
        <w:rPr>
          <w:sz w:val="24"/>
        </w:rPr>
        <w:t>vendor</w:t>
      </w:r>
      <w:r>
        <w:rPr>
          <w:spacing w:val="-3"/>
          <w:sz w:val="24"/>
        </w:rPr>
        <w:t> </w:t>
      </w:r>
      <w:r>
        <w:rPr>
          <w:sz w:val="24"/>
        </w:rPr>
        <w:t>when</w:t>
      </w:r>
      <w:r>
        <w:rPr>
          <w:spacing w:val="-3"/>
          <w:sz w:val="24"/>
        </w:rPr>
        <w:t> </w:t>
      </w:r>
      <w:r>
        <w:rPr>
          <w:sz w:val="24"/>
        </w:rPr>
        <w:t>a</w:t>
      </w:r>
      <w:r>
        <w:rPr>
          <w:spacing w:val="-4"/>
          <w:sz w:val="24"/>
        </w:rPr>
        <w:t> </w:t>
      </w:r>
      <w:r>
        <w:rPr>
          <w:sz w:val="24"/>
        </w:rPr>
        <w:t>written</w:t>
      </w:r>
      <w:r>
        <w:rPr>
          <w:spacing w:val="-4"/>
          <w:sz w:val="24"/>
        </w:rPr>
        <w:t> </w:t>
      </w:r>
      <w:r>
        <w:rPr>
          <w:sz w:val="24"/>
        </w:rPr>
        <w:t>agreement</w:t>
      </w:r>
      <w:r>
        <w:rPr>
          <w:spacing w:val="-3"/>
          <w:sz w:val="24"/>
        </w:rPr>
        <w:t> </w:t>
      </w:r>
      <w:r>
        <w:rPr>
          <w:sz w:val="24"/>
        </w:rPr>
        <w:t>has</w:t>
      </w:r>
      <w:r>
        <w:rPr>
          <w:spacing w:val="-4"/>
          <w:sz w:val="24"/>
        </w:rPr>
        <w:t> </w:t>
      </w:r>
      <w:r>
        <w:rPr>
          <w:sz w:val="24"/>
        </w:rPr>
        <w:t>been</w:t>
      </w:r>
      <w:r>
        <w:rPr>
          <w:spacing w:val="-4"/>
          <w:sz w:val="24"/>
        </w:rPr>
        <w:t> </w:t>
      </w:r>
      <w:r>
        <w:rPr>
          <w:sz w:val="24"/>
        </w:rPr>
        <w:t>approved.</w:t>
      </w:r>
      <w:r>
        <w:rPr>
          <w:spacing w:val="-3"/>
          <w:sz w:val="24"/>
        </w:rPr>
        <w:t> </w:t>
      </w:r>
      <w:r>
        <w:rPr>
          <w:sz w:val="24"/>
        </w:rPr>
        <w:t>Training</w:t>
      </w:r>
      <w:r>
        <w:rPr>
          <w:spacing w:val="-4"/>
          <w:sz w:val="24"/>
        </w:rPr>
        <w:t> </w:t>
      </w:r>
      <w:r>
        <w:rPr>
          <w:sz w:val="24"/>
        </w:rPr>
        <w:t>facility are any type of facility that provides training such as colleges, real estate school, private trade schools, private vocational schools, and career techs. A post-secondary school (private or public) must have a prior written vendor contract</w:t>
      </w:r>
      <w:r>
        <w:rPr>
          <w:spacing w:val="-2"/>
          <w:sz w:val="24"/>
        </w:rPr>
        <w:t> </w:t>
      </w:r>
      <w:r>
        <w:rPr>
          <w:sz w:val="24"/>
        </w:rPr>
        <w:t>with</w:t>
      </w:r>
      <w:r>
        <w:rPr>
          <w:spacing w:val="-3"/>
          <w:sz w:val="24"/>
        </w:rPr>
        <w:t> </w:t>
      </w:r>
      <w:r>
        <w:rPr>
          <w:sz w:val="24"/>
        </w:rPr>
        <w:t>DRS</w:t>
      </w:r>
      <w:r>
        <w:rPr>
          <w:spacing w:val="-3"/>
          <w:sz w:val="24"/>
        </w:rPr>
        <w:t> </w:t>
      </w:r>
      <w:r>
        <w:rPr>
          <w:sz w:val="24"/>
        </w:rPr>
        <w:t>before</w:t>
      </w:r>
      <w:r>
        <w:rPr>
          <w:spacing w:val="-3"/>
          <w:sz w:val="24"/>
        </w:rPr>
        <w:t> </w:t>
      </w:r>
      <w:r>
        <w:rPr>
          <w:sz w:val="24"/>
        </w:rPr>
        <w:t>services</w:t>
      </w:r>
      <w:r>
        <w:rPr>
          <w:spacing w:val="-3"/>
          <w:sz w:val="24"/>
        </w:rPr>
        <w:t> </w:t>
      </w:r>
      <w:r>
        <w:rPr>
          <w:sz w:val="24"/>
        </w:rPr>
        <w:t>can</w:t>
      </w:r>
      <w:r>
        <w:rPr>
          <w:spacing w:val="-3"/>
          <w:sz w:val="24"/>
        </w:rPr>
        <w:t> </w:t>
      </w:r>
      <w:r>
        <w:rPr>
          <w:sz w:val="24"/>
        </w:rPr>
        <w:t>be</w:t>
      </w:r>
      <w:r>
        <w:rPr>
          <w:spacing w:val="-3"/>
          <w:sz w:val="24"/>
        </w:rPr>
        <w:t> </w:t>
      </w:r>
      <w:r>
        <w:rPr>
          <w:sz w:val="24"/>
        </w:rPr>
        <w:t>authorized</w:t>
      </w:r>
      <w:r>
        <w:rPr>
          <w:spacing w:val="-3"/>
          <w:sz w:val="24"/>
        </w:rPr>
        <w:t> </w:t>
      </w:r>
      <w:r>
        <w:rPr>
          <w:sz w:val="24"/>
        </w:rPr>
        <w:t>to</w:t>
      </w:r>
      <w:r>
        <w:rPr>
          <w:spacing w:val="-3"/>
          <w:sz w:val="24"/>
        </w:rPr>
        <w:t> </w:t>
      </w:r>
      <w:r>
        <w:rPr>
          <w:sz w:val="24"/>
        </w:rPr>
        <w:t>that</w:t>
      </w:r>
      <w:r>
        <w:rPr>
          <w:spacing w:val="-2"/>
          <w:sz w:val="24"/>
        </w:rPr>
        <w:t> </w:t>
      </w:r>
      <w:r>
        <w:rPr>
          <w:sz w:val="24"/>
        </w:rPr>
        <w:t>vendor</w:t>
      </w:r>
      <w:r>
        <w:rPr>
          <w:spacing w:val="-2"/>
          <w:sz w:val="24"/>
        </w:rPr>
        <w:t> </w:t>
      </w:r>
      <w:r>
        <w:rPr>
          <w:sz w:val="24"/>
        </w:rPr>
        <w:t>unless</w:t>
      </w:r>
      <w:r>
        <w:rPr>
          <w:spacing w:val="-3"/>
          <w:sz w:val="24"/>
        </w:rPr>
        <w:t> </w:t>
      </w:r>
      <w:r>
        <w:rPr>
          <w:sz w:val="24"/>
        </w:rPr>
        <w:t>the school is participating in a direct payment program.</w:t>
      </w:r>
    </w:p>
    <w:p>
      <w:pPr>
        <w:pStyle w:val="ListParagraph"/>
        <w:numPr>
          <w:ilvl w:val="2"/>
          <w:numId w:val="83"/>
        </w:numPr>
        <w:tabs>
          <w:tab w:pos="1712" w:val="left" w:leader="none"/>
        </w:tabs>
        <w:spacing w:line="208" w:lineRule="auto" w:before="239" w:after="0"/>
        <w:ind w:left="1260" w:right="879" w:firstLine="0"/>
        <w:jc w:val="left"/>
        <w:rPr>
          <w:sz w:val="24"/>
        </w:rPr>
      </w:pPr>
      <w:r>
        <w:rPr>
          <w:sz w:val="24"/>
        </w:rPr>
        <w:t>Out-of-state vendor contracts. Are required to have a prior written vendor contract</w:t>
      </w:r>
      <w:r>
        <w:rPr>
          <w:spacing w:val="-3"/>
          <w:sz w:val="24"/>
        </w:rPr>
        <w:t> </w:t>
      </w:r>
      <w:r>
        <w:rPr>
          <w:sz w:val="24"/>
        </w:rPr>
        <w:t>with</w:t>
      </w:r>
      <w:r>
        <w:rPr>
          <w:spacing w:val="-4"/>
          <w:sz w:val="24"/>
        </w:rPr>
        <w:t> </w:t>
      </w:r>
      <w:r>
        <w:rPr>
          <w:sz w:val="24"/>
        </w:rPr>
        <w:t>DRS</w:t>
      </w:r>
      <w:r>
        <w:rPr>
          <w:spacing w:val="-4"/>
          <w:sz w:val="24"/>
        </w:rPr>
        <w:t> </w:t>
      </w:r>
      <w:r>
        <w:rPr>
          <w:sz w:val="24"/>
        </w:rPr>
        <w:t>before</w:t>
      </w:r>
      <w:r>
        <w:rPr>
          <w:spacing w:val="-4"/>
          <w:sz w:val="24"/>
        </w:rPr>
        <w:t> </w:t>
      </w:r>
      <w:r>
        <w:rPr>
          <w:sz w:val="24"/>
        </w:rPr>
        <w:t>services</w:t>
      </w:r>
      <w:r>
        <w:rPr>
          <w:spacing w:val="-4"/>
          <w:sz w:val="24"/>
        </w:rPr>
        <w:t> </w:t>
      </w:r>
      <w:r>
        <w:rPr>
          <w:sz w:val="24"/>
        </w:rPr>
        <w:t>can</w:t>
      </w:r>
      <w:r>
        <w:rPr>
          <w:spacing w:val="-4"/>
          <w:sz w:val="24"/>
        </w:rPr>
        <w:t> </w:t>
      </w:r>
      <w:r>
        <w:rPr>
          <w:sz w:val="24"/>
        </w:rPr>
        <w:t>be</w:t>
      </w:r>
      <w:r>
        <w:rPr>
          <w:spacing w:val="-4"/>
          <w:sz w:val="24"/>
        </w:rPr>
        <w:t> </w:t>
      </w:r>
      <w:r>
        <w:rPr>
          <w:sz w:val="24"/>
        </w:rPr>
        <w:t>authorized</w:t>
      </w:r>
      <w:r>
        <w:rPr>
          <w:spacing w:val="-4"/>
          <w:sz w:val="24"/>
        </w:rPr>
        <w:t> </w:t>
      </w:r>
      <w:r>
        <w:rPr>
          <w:sz w:val="24"/>
        </w:rPr>
        <w:t>to</w:t>
      </w:r>
      <w:r>
        <w:rPr>
          <w:spacing w:val="-4"/>
          <w:sz w:val="24"/>
        </w:rPr>
        <w:t> </w:t>
      </w:r>
      <w:r>
        <w:rPr>
          <w:sz w:val="24"/>
        </w:rPr>
        <w:t>that</w:t>
      </w:r>
      <w:r>
        <w:rPr>
          <w:spacing w:val="-3"/>
          <w:sz w:val="24"/>
        </w:rPr>
        <w:t> </w:t>
      </w:r>
      <w:r>
        <w:rPr>
          <w:sz w:val="24"/>
        </w:rPr>
        <w:t>vendor.</w:t>
      </w:r>
      <w:r>
        <w:rPr>
          <w:spacing w:val="-3"/>
          <w:sz w:val="24"/>
        </w:rPr>
        <w:t> </w:t>
      </w:r>
      <w:r>
        <w:rPr>
          <w:sz w:val="24"/>
        </w:rPr>
        <w:t>The</w:t>
      </w:r>
      <w:r>
        <w:rPr>
          <w:spacing w:val="-4"/>
          <w:sz w:val="24"/>
        </w:rPr>
        <w:t> </w:t>
      </w:r>
      <w:r>
        <w:rPr>
          <w:sz w:val="24"/>
        </w:rPr>
        <w:t>client will be provided an opportunity to attend the training facility of choice provided the facility has a written agreement with the Department.</w:t>
      </w:r>
    </w:p>
    <w:p>
      <w:pPr>
        <w:pStyle w:val="ListParagraph"/>
        <w:numPr>
          <w:ilvl w:val="1"/>
          <w:numId w:val="83"/>
        </w:numPr>
        <w:tabs>
          <w:tab w:pos="1235" w:val="left" w:leader="none"/>
        </w:tabs>
        <w:spacing w:line="208" w:lineRule="auto" w:before="240" w:after="0"/>
        <w:ind w:left="810" w:right="1248" w:firstLine="0"/>
        <w:jc w:val="left"/>
        <w:rPr>
          <w:sz w:val="24"/>
        </w:rPr>
      </w:pPr>
      <w:r>
        <w:rPr>
          <w:sz w:val="24"/>
        </w:rPr>
        <w:t>When a vendor has this prior written purchasing agreement with the Department,</w:t>
      </w:r>
      <w:r>
        <w:rPr>
          <w:spacing w:val="-4"/>
          <w:sz w:val="24"/>
        </w:rPr>
        <w:t> </w:t>
      </w:r>
      <w:r>
        <w:rPr>
          <w:sz w:val="24"/>
        </w:rPr>
        <w:t>and</w:t>
      </w:r>
      <w:r>
        <w:rPr>
          <w:spacing w:val="-5"/>
          <w:sz w:val="24"/>
        </w:rPr>
        <w:t> </w:t>
      </w:r>
      <w:r>
        <w:rPr>
          <w:sz w:val="24"/>
        </w:rPr>
        <w:t>required</w:t>
      </w:r>
      <w:r>
        <w:rPr>
          <w:spacing w:val="-5"/>
          <w:sz w:val="24"/>
        </w:rPr>
        <w:t> </w:t>
      </w:r>
      <w:r>
        <w:rPr>
          <w:sz w:val="24"/>
        </w:rPr>
        <w:t>approvals</w:t>
      </w:r>
      <w:r>
        <w:rPr>
          <w:spacing w:val="-5"/>
          <w:sz w:val="24"/>
        </w:rPr>
        <w:t> </w:t>
      </w:r>
      <w:r>
        <w:rPr>
          <w:sz w:val="24"/>
        </w:rPr>
        <w:t>have</w:t>
      </w:r>
      <w:r>
        <w:rPr>
          <w:spacing w:val="-5"/>
          <w:sz w:val="24"/>
        </w:rPr>
        <w:t> </w:t>
      </w:r>
      <w:r>
        <w:rPr>
          <w:sz w:val="24"/>
        </w:rPr>
        <w:t>been</w:t>
      </w:r>
      <w:r>
        <w:rPr>
          <w:spacing w:val="-5"/>
          <w:sz w:val="24"/>
        </w:rPr>
        <w:t> </w:t>
      </w:r>
      <w:r>
        <w:rPr>
          <w:sz w:val="24"/>
        </w:rPr>
        <w:t>obtained,</w:t>
      </w:r>
      <w:r>
        <w:rPr>
          <w:spacing w:val="-4"/>
          <w:sz w:val="24"/>
        </w:rPr>
        <w:t> </w:t>
      </w:r>
      <w:r>
        <w:rPr>
          <w:sz w:val="24"/>
        </w:rPr>
        <w:t>authorization</w:t>
      </w:r>
      <w:r>
        <w:rPr>
          <w:spacing w:val="-5"/>
          <w:sz w:val="24"/>
        </w:rPr>
        <w:t> </w:t>
      </w:r>
      <w:r>
        <w:rPr>
          <w:sz w:val="24"/>
        </w:rPr>
        <w:t>may</w:t>
      </w:r>
      <w:r>
        <w:rPr>
          <w:spacing w:val="-5"/>
          <w:sz w:val="24"/>
        </w:rPr>
        <w:t> </w:t>
      </w:r>
      <w:r>
        <w:rPr>
          <w:sz w:val="24"/>
        </w:rPr>
        <w:t>be issued for vocational rehabilitation services directly to that vendor.</w:t>
      </w:r>
    </w:p>
    <w:p>
      <w:pPr>
        <w:pStyle w:val="ListParagraph"/>
        <w:numPr>
          <w:ilvl w:val="0"/>
          <w:numId w:val="83"/>
        </w:numPr>
        <w:tabs>
          <w:tab w:pos="773" w:val="left" w:leader="none"/>
        </w:tabs>
        <w:spacing w:line="208" w:lineRule="auto" w:before="239" w:after="0"/>
        <w:ind w:left="360" w:right="1261" w:firstLine="0"/>
        <w:jc w:val="left"/>
        <w:rPr>
          <w:sz w:val="24"/>
        </w:rPr>
      </w:pPr>
      <w:r>
        <w:rPr>
          <w:sz w:val="24"/>
        </w:rPr>
        <w:t>Other</w:t>
      </w:r>
      <w:r>
        <w:rPr>
          <w:spacing w:val="-4"/>
          <w:sz w:val="24"/>
        </w:rPr>
        <w:t> </w:t>
      </w:r>
      <w:r>
        <w:rPr>
          <w:sz w:val="24"/>
        </w:rPr>
        <w:t>nonmedical</w:t>
      </w:r>
      <w:r>
        <w:rPr>
          <w:spacing w:val="-5"/>
          <w:sz w:val="24"/>
        </w:rPr>
        <w:t> </w:t>
      </w:r>
      <w:r>
        <w:rPr>
          <w:sz w:val="24"/>
        </w:rPr>
        <w:t>vendors</w:t>
      </w:r>
      <w:r>
        <w:rPr>
          <w:spacing w:val="-5"/>
          <w:sz w:val="24"/>
        </w:rPr>
        <w:t> </w:t>
      </w:r>
      <w:r>
        <w:rPr>
          <w:sz w:val="24"/>
        </w:rPr>
        <w:t>will</w:t>
      </w:r>
      <w:r>
        <w:rPr>
          <w:spacing w:val="-5"/>
          <w:sz w:val="24"/>
        </w:rPr>
        <w:t> </w:t>
      </w:r>
      <w:r>
        <w:rPr>
          <w:sz w:val="24"/>
        </w:rPr>
        <w:t>not</w:t>
      </w:r>
      <w:r>
        <w:rPr>
          <w:spacing w:val="-4"/>
          <w:sz w:val="24"/>
        </w:rPr>
        <w:t> </w:t>
      </w:r>
      <w:r>
        <w:rPr>
          <w:sz w:val="24"/>
        </w:rPr>
        <w:t>require</w:t>
      </w:r>
      <w:r>
        <w:rPr>
          <w:spacing w:val="-5"/>
          <w:sz w:val="24"/>
        </w:rPr>
        <w:t> </w:t>
      </w:r>
      <w:r>
        <w:rPr>
          <w:sz w:val="24"/>
        </w:rPr>
        <w:t>a</w:t>
      </w:r>
      <w:r>
        <w:rPr>
          <w:spacing w:val="-5"/>
          <w:sz w:val="24"/>
        </w:rPr>
        <w:t> </w:t>
      </w:r>
      <w:r>
        <w:rPr>
          <w:sz w:val="24"/>
        </w:rPr>
        <w:t>prior</w:t>
      </w:r>
      <w:r>
        <w:rPr>
          <w:spacing w:val="-4"/>
          <w:sz w:val="24"/>
        </w:rPr>
        <w:t> </w:t>
      </w:r>
      <w:r>
        <w:rPr>
          <w:sz w:val="24"/>
        </w:rPr>
        <w:t>written</w:t>
      </w:r>
      <w:r>
        <w:rPr>
          <w:spacing w:val="-5"/>
          <w:sz w:val="24"/>
        </w:rPr>
        <w:t> </w:t>
      </w:r>
      <w:r>
        <w:rPr>
          <w:sz w:val="24"/>
        </w:rPr>
        <w:t>purchasing</w:t>
      </w:r>
      <w:r>
        <w:rPr>
          <w:spacing w:val="-5"/>
          <w:sz w:val="24"/>
        </w:rPr>
        <w:t> </w:t>
      </w:r>
      <w:r>
        <w:rPr>
          <w:sz w:val="24"/>
        </w:rPr>
        <w:t>agreement unless stated otherwise in the DRS administrative rule manual section(s) for that </w:t>
      </w:r>
      <w:r>
        <w:rPr>
          <w:spacing w:val="-2"/>
          <w:sz w:val="24"/>
        </w:rPr>
        <w:t>service.</w:t>
      </w:r>
    </w:p>
    <w:p>
      <w:pPr>
        <w:pStyle w:val="ListParagraph"/>
        <w:numPr>
          <w:ilvl w:val="0"/>
          <w:numId w:val="83"/>
        </w:numPr>
        <w:tabs>
          <w:tab w:pos="786" w:val="left" w:leader="none"/>
        </w:tabs>
        <w:spacing w:line="208" w:lineRule="auto" w:before="240" w:after="0"/>
        <w:ind w:left="360" w:right="978" w:firstLine="0"/>
        <w:jc w:val="left"/>
        <w:rPr>
          <w:sz w:val="24"/>
        </w:rPr>
      </w:pPr>
      <w:r>
        <w:rPr>
          <w:sz w:val="24"/>
        </w:rPr>
        <w:t>All other vocational rehabilitation services will be purchased pursuant to the administrative rules in (j) and (m) of this Section. However, a requisition may be submitted to the DRS Purchasing Section if, in the judgment of the responsible rehabilitation</w:t>
      </w:r>
      <w:r>
        <w:rPr>
          <w:spacing w:val="-4"/>
          <w:sz w:val="24"/>
        </w:rPr>
        <w:t> </w:t>
      </w:r>
      <w:r>
        <w:rPr>
          <w:sz w:val="24"/>
        </w:rPr>
        <w:t>professional,</w:t>
      </w:r>
      <w:r>
        <w:rPr>
          <w:spacing w:val="-3"/>
          <w:sz w:val="24"/>
        </w:rPr>
        <w:t> </w:t>
      </w:r>
      <w:r>
        <w:rPr>
          <w:sz w:val="24"/>
        </w:rPr>
        <w:t>the</w:t>
      </w:r>
      <w:r>
        <w:rPr>
          <w:spacing w:val="-4"/>
          <w:sz w:val="24"/>
        </w:rPr>
        <w:t> </w:t>
      </w:r>
      <w:r>
        <w:rPr>
          <w:sz w:val="24"/>
        </w:rPr>
        <w:t>best</w:t>
      </w:r>
      <w:r>
        <w:rPr>
          <w:spacing w:val="-3"/>
          <w:sz w:val="24"/>
        </w:rPr>
        <w:t> </w:t>
      </w:r>
      <w:r>
        <w:rPr>
          <w:sz w:val="24"/>
        </w:rPr>
        <w:t>interests</w:t>
      </w:r>
      <w:r>
        <w:rPr>
          <w:spacing w:val="-5"/>
          <w:sz w:val="24"/>
        </w:rPr>
        <w:t> </w:t>
      </w:r>
      <w:r>
        <w:rPr>
          <w:sz w:val="24"/>
        </w:rPr>
        <w:t>of</w:t>
      </w:r>
      <w:r>
        <w:rPr>
          <w:spacing w:val="-3"/>
          <w:sz w:val="24"/>
        </w:rPr>
        <w:t> </w:t>
      </w:r>
      <w:r>
        <w:rPr>
          <w:sz w:val="24"/>
        </w:rPr>
        <w:t>the</w:t>
      </w:r>
      <w:r>
        <w:rPr>
          <w:spacing w:val="-4"/>
          <w:sz w:val="24"/>
        </w:rPr>
        <w:t> </w:t>
      </w:r>
      <w:r>
        <w:rPr>
          <w:sz w:val="24"/>
        </w:rPr>
        <w:t>individual</w:t>
      </w:r>
      <w:r>
        <w:rPr>
          <w:spacing w:val="-4"/>
          <w:sz w:val="24"/>
        </w:rPr>
        <w:t> </w:t>
      </w:r>
      <w:r>
        <w:rPr>
          <w:sz w:val="24"/>
        </w:rPr>
        <w:t>and/or</w:t>
      </w:r>
      <w:r>
        <w:rPr>
          <w:spacing w:val="-2"/>
          <w:sz w:val="24"/>
        </w:rPr>
        <w:t> </w:t>
      </w:r>
      <w:r>
        <w:rPr>
          <w:sz w:val="24"/>
        </w:rPr>
        <w:t>the</w:t>
      </w:r>
      <w:r>
        <w:rPr>
          <w:spacing w:val="-4"/>
          <w:sz w:val="24"/>
        </w:rPr>
        <w:t> </w:t>
      </w:r>
      <w:r>
        <w:rPr>
          <w:sz w:val="24"/>
        </w:rPr>
        <w:t>agency</w:t>
      </w:r>
      <w:r>
        <w:rPr>
          <w:spacing w:val="-4"/>
          <w:sz w:val="24"/>
        </w:rPr>
        <w:t> </w:t>
      </w:r>
      <w:r>
        <w:rPr>
          <w:sz w:val="24"/>
        </w:rPr>
        <w:t>would be served by having the Purchasing Section handle the procurement. In either case,</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right="895"/>
        <w:jc w:val="both"/>
      </w:pPr>
      <w:r>
        <w:rPr/>
        <w:t>once</w:t>
      </w:r>
      <w:r>
        <w:rPr>
          <w:spacing w:val="-4"/>
        </w:rPr>
        <w:t> </w:t>
      </w:r>
      <w:r>
        <w:rPr/>
        <w:t>items</w:t>
      </w:r>
      <w:r>
        <w:rPr>
          <w:spacing w:val="-4"/>
        </w:rPr>
        <w:t> </w:t>
      </w:r>
      <w:r>
        <w:rPr/>
        <w:t>have</w:t>
      </w:r>
      <w:r>
        <w:rPr>
          <w:spacing w:val="-4"/>
        </w:rPr>
        <w:t> </w:t>
      </w:r>
      <w:r>
        <w:rPr/>
        <w:t>been</w:t>
      </w:r>
      <w:r>
        <w:rPr>
          <w:spacing w:val="-3"/>
        </w:rPr>
        <w:t> </w:t>
      </w:r>
      <w:r>
        <w:rPr/>
        <w:t>received</w:t>
      </w:r>
      <w:r>
        <w:rPr>
          <w:spacing w:val="-4"/>
        </w:rPr>
        <w:t> </w:t>
      </w:r>
      <w:r>
        <w:rPr/>
        <w:t>and</w:t>
      </w:r>
      <w:r>
        <w:rPr>
          <w:spacing w:val="-4"/>
        </w:rPr>
        <w:t> </w:t>
      </w:r>
      <w:r>
        <w:rPr/>
        <w:t>checked</w:t>
      </w:r>
      <w:r>
        <w:rPr>
          <w:spacing w:val="-3"/>
        </w:rPr>
        <w:t> </w:t>
      </w:r>
      <w:r>
        <w:rPr/>
        <w:t>against</w:t>
      </w:r>
      <w:r>
        <w:rPr>
          <w:spacing w:val="-3"/>
        </w:rPr>
        <w:t> </w:t>
      </w:r>
      <w:r>
        <w:rPr/>
        <w:t>the</w:t>
      </w:r>
      <w:r>
        <w:rPr>
          <w:spacing w:val="-4"/>
        </w:rPr>
        <w:t> </w:t>
      </w:r>
      <w:r>
        <w:rPr/>
        <w:t>authorization,</w:t>
      </w:r>
      <w:r>
        <w:rPr>
          <w:spacing w:val="-3"/>
        </w:rPr>
        <w:t> </w:t>
      </w:r>
      <w:r>
        <w:rPr/>
        <w:t>the</w:t>
      </w:r>
      <w:r>
        <w:rPr>
          <w:spacing w:val="-4"/>
        </w:rPr>
        <w:t> </w:t>
      </w:r>
      <w:r>
        <w:rPr/>
        <w:t>appropriate DVR</w:t>
      </w:r>
      <w:r>
        <w:rPr>
          <w:spacing w:val="-3"/>
        </w:rPr>
        <w:t> </w:t>
      </w:r>
      <w:r>
        <w:rPr/>
        <w:t>or</w:t>
      </w:r>
      <w:r>
        <w:rPr>
          <w:spacing w:val="-2"/>
        </w:rPr>
        <w:t> </w:t>
      </w:r>
      <w:r>
        <w:rPr/>
        <w:t>DSBVI</w:t>
      </w:r>
      <w:r>
        <w:rPr>
          <w:spacing w:val="-2"/>
        </w:rPr>
        <w:t> </w:t>
      </w:r>
      <w:r>
        <w:rPr/>
        <w:t>staff,</w:t>
      </w:r>
      <w:r>
        <w:rPr>
          <w:spacing w:val="-2"/>
        </w:rPr>
        <w:t> </w:t>
      </w:r>
      <w:r>
        <w:rPr/>
        <w:t>in</w:t>
      </w:r>
      <w:r>
        <w:rPr>
          <w:spacing w:val="-3"/>
        </w:rPr>
        <w:t> </w:t>
      </w:r>
      <w:r>
        <w:rPr/>
        <w:t>accordance</w:t>
      </w:r>
      <w:r>
        <w:rPr>
          <w:spacing w:val="-3"/>
        </w:rPr>
        <w:t> </w:t>
      </w:r>
      <w:r>
        <w:rPr/>
        <w:t>with</w:t>
      </w:r>
      <w:r>
        <w:rPr>
          <w:spacing w:val="-3"/>
        </w:rPr>
        <w:t> </w:t>
      </w:r>
      <w:r>
        <w:rPr/>
        <w:t>(j)</w:t>
      </w:r>
      <w:r>
        <w:rPr>
          <w:spacing w:val="-2"/>
        </w:rPr>
        <w:t> </w:t>
      </w:r>
      <w:r>
        <w:rPr/>
        <w:t>and</w:t>
      </w:r>
      <w:r>
        <w:rPr>
          <w:spacing w:val="-3"/>
        </w:rPr>
        <w:t> </w:t>
      </w:r>
      <w:r>
        <w:rPr/>
        <w:t>(m)</w:t>
      </w:r>
      <w:r>
        <w:rPr>
          <w:spacing w:val="-4"/>
        </w:rPr>
        <w:t> </w:t>
      </w:r>
      <w:r>
        <w:rPr/>
        <w:t>of</w:t>
      </w:r>
      <w:r>
        <w:rPr>
          <w:spacing w:val="-4"/>
        </w:rPr>
        <w:t> </w:t>
      </w:r>
      <w:r>
        <w:rPr/>
        <w:t>this</w:t>
      </w:r>
      <w:r>
        <w:rPr>
          <w:spacing w:val="-3"/>
        </w:rPr>
        <w:t> </w:t>
      </w:r>
      <w:r>
        <w:rPr/>
        <w:t>Section,</w:t>
      </w:r>
      <w:r>
        <w:rPr>
          <w:spacing w:val="-2"/>
        </w:rPr>
        <w:t> </w:t>
      </w:r>
      <w:r>
        <w:rPr/>
        <w:t>approves</w:t>
      </w:r>
      <w:r>
        <w:rPr>
          <w:spacing w:val="-3"/>
        </w:rPr>
        <w:t> </w:t>
      </w:r>
      <w:r>
        <w:rPr/>
        <w:t>the</w:t>
      </w:r>
      <w:r>
        <w:rPr>
          <w:spacing w:val="-3"/>
        </w:rPr>
        <w:t> </w:t>
      </w:r>
      <w:r>
        <w:rPr/>
        <w:t>claim, then forwards it to the DRS Finance Services Division.</w:t>
      </w:r>
    </w:p>
    <w:p>
      <w:pPr>
        <w:pStyle w:val="ListParagraph"/>
        <w:numPr>
          <w:ilvl w:val="1"/>
          <w:numId w:val="83"/>
        </w:numPr>
        <w:tabs>
          <w:tab w:pos="1145" w:val="left" w:leader="none"/>
        </w:tabs>
        <w:spacing w:line="208" w:lineRule="auto" w:before="240" w:after="0"/>
        <w:ind w:left="720" w:right="991" w:firstLine="0"/>
        <w:jc w:val="left"/>
        <w:rPr>
          <w:sz w:val="24"/>
        </w:rPr>
      </w:pPr>
      <w:r>
        <w:rPr>
          <w:sz w:val="24"/>
        </w:rPr>
        <w:t>When a vendor does not abide by the authorization or written purchasing agreement</w:t>
      </w:r>
      <w:r>
        <w:rPr>
          <w:spacing w:val="-3"/>
          <w:sz w:val="24"/>
        </w:rPr>
        <w:t> </w:t>
      </w:r>
      <w:r>
        <w:rPr>
          <w:sz w:val="24"/>
        </w:rPr>
        <w:t>or</w:t>
      </w:r>
      <w:r>
        <w:rPr>
          <w:spacing w:val="-3"/>
          <w:sz w:val="24"/>
        </w:rPr>
        <w:t> </w:t>
      </w:r>
      <w:r>
        <w:rPr>
          <w:sz w:val="24"/>
        </w:rPr>
        <w:t>bills</w:t>
      </w:r>
      <w:r>
        <w:rPr>
          <w:spacing w:val="-4"/>
          <w:sz w:val="24"/>
        </w:rPr>
        <w:t> </w:t>
      </w:r>
      <w:r>
        <w:rPr>
          <w:sz w:val="24"/>
        </w:rPr>
        <w:t>and</w:t>
      </w:r>
      <w:r>
        <w:rPr>
          <w:spacing w:val="-3"/>
          <w:sz w:val="24"/>
        </w:rPr>
        <w:t> </w:t>
      </w:r>
      <w:r>
        <w:rPr>
          <w:sz w:val="24"/>
        </w:rPr>
        <w:t>accepts</w:t>
      </w:r>
      <w:r>
        <w:rPr>
          <w:spacing w:val="-4"/>
          <w:sz w:val="24"/>
        </w:rPr>
        <w:t> </w:t>
      </w:r>
      <w:r>
        <w:rPr>
          <w:sz w:val="24"/>
        </w:rPr>
        <w:t>payment</w:t>
      </w:r>
      <w:r>
        <w:rPr>
          <w:spacing w:val="-3"/>
          <w:sz w:val="24"/>
        </w:rPr>
        <w:t> </w:t>
      </w:r>
      <w:r>
        <w:rPr>
          <w:sz w:val="24"/>
        </w:rPr>
        <w:t>from</w:t>
      </w:r>
      <w:r>
        <w:rPr>
          <w:spacing w:val="-5"/>
          <w:sz w:val="24"/>
        </w:rPr>
        <w:t> </w:t>
      </w:r>
      <w:r>
        <w:rPr>
          <w:sz w:val="24"/>
        </w:rPr>
        <w:t>the</w:t>
      </w:r>
      <w:r>
        <w:rPr>
          <w:spacing w:val="-4"/>
          <w:sz w:val="24"/>
        </w:rPr>
        <w:t> </w:t>
      </w:r>
      <w:r>
        <w:rPr>
          <w:sz w:val="24"/>
        </w:rPr>
        <w:t>client</w:t>
      </w:r>
      <w:r>
        <w:rPr>
          <w:spacing w:val="-3"/>
          <w:sz w:val="24"/>
        </w:rPr>
        <w:t> </w:t>
      </w:r>
      <w:r>
        <w:rPr>
          <w:sz w:val="24"/>
        </w:rPr>
        <w:t>in</w:t>
      </w:r>
      <w:r>
        <w:rPr>
          <w:spacing w:val="-4"/>
          <w:sz w:val="24"/>
        </w:rPr>
        <w:t> </w:t>
      </w:r>
      <w:r>
        <w:rPr>
          <w:sz w:val="24"/>
        </w:rPr>
        <w:t>addition</w:t>
      </w:r>
      <w:r>
        <w:rPr>
          <w:spacing w:val="-4"/>
          <w:sz w:val="24"/>
        </w:rPr>
        <w:t> </w:t>
      </w:r>
      <w:r>
        <w:rPr>
          <w:sz w:val="24"/>
        </w:rPr>
        <w:t>to</w:t>
      </w:r>
      <w:r>
        <w:rPr>
          <w:spacing w:val="-4"/>
          <w:sz w:val="24"/>
        </w:rPr>
        <w:t> </w:t>
      </w:r>
      <w:r>
        <w:rPr>
          <w:sz w:val="24"/>
        </w:rPr>
        <w:t>those</w:t>
      </w:r>
      <w:r>
        <w:rPr>
          <w:spacing w:val="-4"/>
          <w:sz w:val="24"/>
        </w:rPr>
        <w:t> </w:t>
      </w:r>
      <w:r>
        <w:rPr>
          <w:sz w:val="24"/>
        </w:rPr>
        <w:t>agreed upon,</w:t>
      </w:r>
      <w:r>
        <w:rPr>
          <w:spacing w:val="-3"/>
          <w:sz w:val="24"/>
        </w:rPr>
        <w:t> </w:t>
      </w:r>
      <w:r>
        <w:rPr>
          <w:sz w:val="24"/>
        </w:rPr>
        <w:t>the</w:t>
      </w:r>
      <w:r>
        <w:rPr>
          <w:spacing w:val="-4"/>
          <w:sz w:val="24"/>
        </w:rPr>
        <w:t> </w:t>
      </w:r>
      <w:r>
        <w:rPr>
          <w:sz w:val="24"/>
        </w:rPr>
        <w:t>rehabilitation</w:t>
      </w:r>
      <w:r>
        <w:rPr>
          <w:spacing w:val="-4"/>
          <w:sz w:val="24"/>
        </w:rPr>
        <w:t> </w:t>
      </w:r>
      <w:r>
        <w:rPr>
          <w:sz w:val="24"/>
        </w:rPr>
        <w:t>professional</w:t>
      </w:r>
      <w:r>
        <w:rPr>
          <w:spacing w:val="-4"/>
          <w:sz w:val="24"/>
        </w:rPr>
        <w:t> </w:t>
      </w:r>
      <w:r>
        <w:rPr>
          <w:sz w:val="24"/>
        </w:rPr>
        <w:t>will</w:t>
      </w:r>
      <w:r>
        <w:rPr>
          <w:spacing w:val="-4"/>
          <w:sz w:val="24"/>
        </w:rPr>
        <w:t> </w:t>
      </w:r>
      <w:r>
        <w:rPr>
          <w:sz w:val="24"/>
        </w:rPr>
        <w:t>bring</w:t>
      </w:r>
      <w:r>
        <w:rPr>
          <w:spacing w:val="-4"/>
          <w:sz w:val="24"/>
        </w:rPr>
        <w:t> </w:t>
      </w:r>
      <w:r>
        <w:rPr>
          <w:sz w:val="24"/>
        </w:rPr>
        <w:t>this</w:t>
      </w:r>
      <w:r>
        <w:rPr>
          <w:spacing w:val="-4"/>
          <w:sz w:val="24"/>
        </w:rPr>
        <w:t> </w:t>
      </w:r>
      <w:r>
        <w:rPr>
          <w:sz w:val="24"/>
        </w:rPr>
        <w:t>to</w:t>
      </w:r>
      <w:r>
        <w:rPr>
          <w:spacing w:val="-5"/>
          <w:sz w:val="24"/>
        </w:rPr>
        <w:t> </w:t>
      </w:r>
      <w:r>
        <w:rPr>
          <w:sz w:val="24"/>
        </w:rPr>
        <w:t>the</w:t>
      </w:r>
      <w:r>
        <w:rPr>
          <w:spacing w:val="-4"/>
          <w:sz w:val="24"/>
        </w:rPr>
        <w:t> </w:t>
      </w:r>
      <w:r>
        <w:rPr>
          <w:sz w:val="24"/>
        </w:rPr>
        <w:t>immediate</w:t>
      </w:r>
      <w:r>
        <w:rPr>
          <w:spacing w:val="-4"/>
          <w:sz w:val="24"/>
        </w:rPr>
        <w:t> </w:t>
      </w:r>
      <w:r>
        <w:rPr>
          <w:sz w:val="24"/>
        </w:rPr>
        <w:t>attention</w:t>
      </w:r>
      <w:r>
        <w:rPr>
          <w:spacing w:val="-4"/>
          <w:sz w:val="24"/>
        </w:rPr>
        <w:t> </w:t>
      </w:r>
      <w:r>
        <w:rPr>
          <w:sz w:val="24"/>
        </w:rPr>
        <w:t>of</w:t>
      </w:r>
      <w:r>
        <w:rPr>
          <w:spacing w:val="-3"/>
          <w:sz w:val="24"/>
        </w:rPr>
        <w:t> </w:t>
      </w:r>
      <w:r>
        <w:rPr>
          <w:sz w:val="24"/>
        </w:rPr>
        <w:t>the supervisor for action by the administration.</w:t>
      </w:r>
    </w:p>
    <w:p>
      <w:pPr>
        <w:pStyle w:val="ListParagraph"/>
        <w:numPr>
          <w:ilvl w:val="1"/>
          <w:numId w:val="83"/>
        </w:numPr>
        <w:tabs>
          <w:tab w:pos="1145" w:val="left" w:leader="none"/>
        </w:tabs>
        <w:spacing w:line="208" w:lineRule="auto" w:before="239" w:after="0"/>
        <w:ind w:left="719" w:right="883" w:firstLine="0"/>
        <w:jc w:val="left"/>
        <w:rPr>
          <w:sz w:val="24"/>
        </w:rPr>
      </w:pPr>
      <w:r>
        <w:rPr>
          <w:sz w:val="24"/>
        </w:rPr>
        <w:t>The</w:t>
      </w:r>
      <w:r>
        <w:rPr>
          <w:spacing w:val="-4"/>
          <w:sz w:val="24"/>
        </w:rPr>
        <w:t> </w:t>
      </w:r>
      <w:r>
        <w:rPr>
          <w:sz w:val="24"/>
        </w:rPr>
        <w:t>vendor</w:t>
      </w:r>
      <w:r>
        <w:rPr>
          <w:spacing w:val="-3"/>
          <w:sz w:val="24"/>
        </w:rPr>
        <w:t> </w:t>
      </w:r>
      <w:r>
        <w:rPr>
          <w:sz w:val="24"/>
        </w:rPr>
        <w:t>will</w:t>
      </w:r>
      <w:r>
        <w:rPr>
          <w:spacing w:val="-4"/>
          <w:sz w:val="24"/>
        </w:rPr>
        <w:t> </w:t>
      </w:r>
      <w:r>
        <w:rPr>
          <w:sz w:val="24"/>
        </w:rPr>
        <w:t>not</w:t>
      </w:r>
      <w:r>
        <w:rPr>
          <w:spacing w:val="-3"/>
          <w:sz w:val="24"/>
        </w:rPr>
        <w:t> </w:t>
      </w:r>
      <w:r>
        <w:rPr>
          <w:sz w:val="24"/>
        </w:rPr>
        <w:t>be</w:t>
      </w:r>
      <w:r>
        <w:rPr>
          <w:spacing w:val="-4"/>
          <w:sz w:val="24"/>
        </w:rPr>
        <w:t> </w:t>
      </w:r>
      <w:r>
        <w:rPr>
          <w:sz w:val="24"/>
        </w:rPr>
        <w:t>used</w:t>
      </w:r>
      <w:r>
        <w:rPr>
          <w:spacing w:val="-4"/>
          <w:sz w:val="24"/>
        </w:rPr>
        <w:t> </w:t>
      </w:r>
      <w:r>
        <w:rPr>
          <w:sz w:val="24"/>
        </w:rPr>
        <w:t>for</w:t>
      </w:r>
      <w:r>
        <w:rPr>
          <w:spacing w:val="-3"/>
          <w:sz w:val="24"/>
        </w:rPr>
        <w:t> </w:t>
      </w:r>
      <w:r>
        <w:rPr>
          <w:sz w:val="24"/>
        </w:rPr>
        <w:t>further</w:t>
      </w:r>
      <w:r>
        <w:rPr>
          <w:spacing w:val="-3"/>
          <w:sz w:val="24"/>
        </w:rPr>
        <w:t> </w:t>
      </w:r>
      <w:r>
        <w:rPr>
          <w:sz w:val="24"/>
        </w:rPr>
        <w:t>rehabilitation</w:t>
      </w:r>
      <w:r>
        <w:rPr>
          <w:spacing w:val="-4"/>
          <w:sz w:val="24"/>
        </w:rPr>
        <w:t> </w:t>
      </w:r>
      <w:r>
        <w:rPr>
          <w:sz w:val="24"/>
        </w:rPr>
        <w:t>services</w:t>
      </w:r>
      <w:r>
        <w:rPr>
          <w:spacing w:val="-4"/>
          <w:sz w:val="24"/>
        </w:rPr>
        <w:t> </w:t>
      </w:r>
      <w:r>
        <w:rPr>
          <w:sz w:val="24"/>
        </w:rPr>
        <w:t>until</w:t>
      </w:r>
      <w:r>
        <w:rPr>
          <w:spacing w:val="-4"/>
          <w:sz w:val="24"/>
        </w:rPr>
        <w:t> </w:t>
      </w:r>
      <w:r>
        <w:rPr>
          <w:sz w:val="24"/>
        </w:rPr>
        <w:t>agreement</w:t>
      </w:r>
      <w:r>
        <w:rPr>
          <w:spacing w:val="-3"/>
          <w:sz w:val="24"/>
        </w:rPr>
        <w:t> </w:t>
      </w:r>
      <w:r>
        <w:rPr>
          <w:sz w:val="24"/>
        </w:rPr>
        <w:t>to discontinue the objectionable practice is reached.</w:t>
      </w:r>
    </w:p>
    <w:p>
      <w:pPr>
        <w:pStyle w:val="ListParagraph"/>
        <w:numPr>
          <w:ilvl w:val="0"/>
          <w:numId w:val="83"/>
        </w:numPr>
        <w:tabs>
          <w:tab w:pos="786" w:val="left" w:leader="none"/>
        </w:tabs>
        <w:spacing w:line="208" w:lineRule="auto" w:before="240" w:after="0"/>
        <w:ind w:left="360" w:right="1165" w:firstLine="0"/>
        <w:jc w:val="left"/>
        <w:rPr>
          <w:sz w:val="24"/>
        </w:rPr>
      </w:pPr>
      <w:r>
        <w:rPr>
          <w:sz w:val="24"/>
        </w:rPr>
        <w:t>Since</w:t>
      </w:r>
      <w:r>
        <w:rPr>
          <w:spacing w:val="-4"/>
          <w:sz w:val="24"/>
        </w:rPr>
        <w:t> </w:t>
      </w:r>
      <w:r>
        <w:rPr>
          <w:sz w:val="24"/>
        </w:rPr>
        <w:t>the</w:t>
      </w:r>
      <w:r>
        <w:rPr>
          <w:spacing w:val="-4"/>
          <w:sz w:val="24"/>
        </w:rPr>
        <w:t> </w:t>
      </w:r>
      <w:r>
        <w:rPr>
          <w:sz w:val="24"/>
        </w:rPr>
        <w:t>Department</w:t>
      </w:r>
      <w:r>
        <w:rPr>
          <w:spacing w:val="-3"/>
          <w:sz w:val="24"/>
        </w:rPr>
        <w:t> </w:t>
      </w:r>
      <w:r>
        <w:rPr>
          <w:sz w:val="24"/>
        </w:rPr>
        <w:t>is</w:t>
      </w:r>
      <w:r>
        <w:rPr>
          <w:spacing w:val="-4"/>
          <w:sz w:val="24"/>
        </w:rPr>
        <w:t> </w:t>
      </w:r>
      <w:r>
        <w:rPr>
          <w:sz w:val="24"/>
        </w:rPr>
        <w:t>a</w:t>
      </w:r>
      <w:r>
        <w:rPr>
          <w:spacing w:val="-4"/>
          <w:sz w:val="24"/>
        </w:rPr>
        <w:t> </w:t>
      </w:r>
      <w:r>
        <w:rPr>
          <w:sz w:val="24"/>
        </w:rPr>
        <w:t>state-federal</w:t>
      </w:r>
      <w:r>
        <w:rPr>
          <w:spacing w:val="-4"/>
          <w:sz w:val="24"/>
        </w:rPr>
        <w:t> </w:t>
      </w:r>
      <w:r>
        <w:rPr>
          <w:sz w:val="24"/>
        </w:rPr>
        <w:t>agency,</w:t>
      </w:r>
      <w:r>
        <w:rPr>
          <w:spacing w:val="-3"/>
          <w:sz w:val="24"/>
        </w:rPr>
        <w:t> </w:t>
      </w:r>
      <w:r>
        <w:rPr>
          <w:sz w:val="24"/>
        </w:rPr>
        <w:t>it</w:t>
      </w:r>
      <w:r>
        <w:rPr>
          <w:spacing w:val="-3"/>
          <w:sz w:val="24"/>
        </w:rPr>
        <w:t> </w:t>
      </w:r>
      <w:r>
        <w:rPr>
          <w:sz w:val="24"/>
        </w:rPr>
        <w:t>does</w:t>
      </w:r>
      <w:r>
        <w:rPr>
          <w:spacing w:val="-4"/>
          <w:sz w:val="24"/>
        </w:rPr>
        <w:t> </w:t>
      </w:r>
      <w:r>
        <w:rPr>
          <w:sz w:val="24"/>
        </w:rPr>
        <w:t>not</w:t>
      </w:r>
      <w:r>
        <w:rPr>
          <w:spacing w:val="-3"/>
          <w:sz w:val="24"/>
        </w:rPr>
        <w:t> </w:t>
      </w:r>
      <w:r>
        <w:rPr>
          <w:sz w:val="24"/>
        </w:rPr>
        <w:t>pay</w:t>
      </w:r>
      <w:r>
        <w:rPr>
          <w:spacing w:val="-4"/>
          <w:sz w:val="24"/>
        </w:rPr>
        <w:t> </w:t>
      </w:r>
      <w:r>
        <w:rPr>
          <w:sz w:val="24"/>
        </w:rPr>
        <w:t>sales,</w:t>
      </w:r>
      <w:r>
        <w:rPr>
          <w:spacing w:val="-3"/>
          <w:sz w:val="24"/>
        </w:rPr>
        <w:t> </w:t>
      </w:r>
      <w:r>
        <w:rPr>
          <w:sz w:val="24"/>
        </w:rPr>
        <w:t>excise,</w:t>
      </w:r>
      <w:r>
        <w:rPr>
          <w:spacing w:val="-3"/>
          <w:sz w:val="24"/>
        </w:rPr>
        <w:t> </w:t>
      </w:r>
      <w:r>
        <w:rPr>
          <w:sz w:val="24"/>
        </w:rPr>
        <w:t>or transportation taxes.</w:t>
      </w:r>
    </w:p>
    <w:p>
      <w:pPr>
        <w:pStyle w:val="ListParagraph"/>
        <w:numPr>
          <w:ilvl w:val="0"/>
          <w:numId w:val="83"/>
        </w:numPr>
        <w:tabs>
          <w:tab w:pos="719" w:val="left" w:leader="none"/>
        </w:tabs>
        <w:spacing w:line="208" w:lineRule="auto" w:before="240" w:after="0"/>
        <w:ind w:left="360" w:right="723" w:firstLine="0"/>
        <w:jc w:val="left"/>
        <w:rPr>
          <w:sz w:val="24"/>
        </w:rPr>
      </w:pPr>
      <w:r>
        <w:rPr>
          <w:sz w:val="24"/>
        </w:rPr>
        <w:t>All claims for medical and/or nonmedical client services must be filed on claim forms approved by the Department. When the provision of an authorization is fulfilled,</w:t>
      </w:r>
      <w:r>
        <w:rPr>
          <w:spacing w:val="40"/>
          <w:sz w:val="24"/>
        </w:rPr>
        <w:t> </w:t>
      </w:r>
      <w:r>
        <w:rPr>
          <w:sz w:val="24"/>
        </w:rPr>
        <w:t>payment for the authorized client services constitutes payment in full. The client will not have</w:t>
      </w:r>
      <w:r>
        <w:rPr>
          <w:spacing w:val="-3"/>
          <w:sz w:val="24"/>
        </w:rPr>
        <w:t> </w:t>
      </w:r>
      <w:r>
        <w:rPr>
          <w:sz w:val="24"/>
        </w:rPr>
        <w:t>any</w:t>
      </w:r>
      <w:r>
        <w:rPr>
          <w:spacing w:val="-3"/>
          <w:sz w:val="24"/>
        </w:rPr>
        <w:t> </w:t>
      </w:r>
      <w:r>
        <w:rPr>
          <w:sz w:val="24"/>
        </w:rPr>
        <w:t>financial</w:t>
      </w:r>
      <w:r>
        <w:rPr>
          <w:spacing w:val="-3"/>
          <w:sz w:val="24"/>
        </w:rPr>
        <w:t> </w:t>
      </w:r>
      <w:r>
        <w:rPr>
          <w:sz w:val="24"/>
        </w:rPr>
        <w:t>liability</w:t>
      </w:r>
      <w:r>
        <w:rPr>
          <w:spacing w:val="-3"/>
          <w:sz w:val="24"/>
        </w:rPr>
        <w:t> </w:t>
      </w:r>
      <w:r>
        <w:rPr>
          <w:sz w:val="24"/>
        </w:rPr>
        <w:t>other</w:t>
      </w:r>
      <w:r>
        <w:rPr>
          <w:spacing w:val="-3"/>
          <w:sz w:val="24"/>
        </w:rPr>
        <w:t> </w:t>
      </w:r>
      <w:r>
        <w:rPr>
          <w:sz w:val="24"/>
        </w:rPr>
        <w:t>than</w:t>
      </w:r>
      <w:r>
        <w:rPr>
          <w:spacing w:val="-3"/>
          <w:sz w:val="24"/>
        </w:rPr>
        <w:t> </w:t>
      </w:r>
      <w:r>
        <w:rPr>
          <w:sz w:val="24"/>
        </w:rPr>
        <w:t>the</w:t>
      </w:r>
      <w:r>
        <w:rPr>
          <w:spacing w:val="-3"/>
          <w:sz w:val="24"/>
        </w:rPr>
        <w:t> </w:t>
      </w:r>
      <w:r>
        <w:rPr>
          <w:sz w:val="24"/>
        </w:rPr>
        <w:t>amount</w:t>
      </w:r>
      <w:r>
        <w:rPr>
          <w:spacing w:val="-3"/>
          <w:sz w:val="24"/>
        </w:rPr>
        <w:t> </w:t>
      </w:r>
      <w:r>
        <w:rPr>
          <w:sz w:val="24"/>
        </w:rPr>
        <w:t>required</w:t>
      </w:r>
      <w:r>
        <w:rPr>
          <w:spacing w:val="-3"/>
          <w:sz w:val="24"/>
        </w:rPr>
        <w:t> </w:t>
      </w:r>
      <w:r>
        <w:rPr>
          <w:sz w:val="24"/>
        </w:rPr>
        <w:t>of</w:t>
      </w:r>
      <w:r>
        <w:rPr>
          <w:spacing w:val="-3"/>
          <w:sz w:val="24"/>
        </w:rPr>
        <w:t> </w:t>
      </w:r>
      <w:r>
        <w:rPr>
          <w:sz w:val="24"/>
        </w:rPr>
        <w:t>clients</w:t>
      </w:r>
      <w:r>
        <w:rPr>
          <w:spacing w:val="-3"/>
          <w:sz w:val="24"/>
        </w:rPr>
        <w:t> </w:t>
      </w:r>
      <w:r>
        <w:rPr>
          <w:sz w:val="24"/>
        </w:rPr>
        <w:t>who</w:t>
      </w:r>
      <w:r>
        <w:rPr>
          <w:spacing w:val="-3"/>
          <w:sz w:val="24"/>
        </w:rPr>
        <w:t> </w:t>
      </w:r>
      <w:r>
        <w:rPr>
          <w:sz w:val="24"/>
        </w:rPr>
        <w:t>must</w:t>
      </w:r>
      <w:r>
        <w:rPr>
          <w:spacing w:val="-3"/>
          <w:sz w:val="24"/>
        </w:rPr>
        <w:t> </w:t>
      </w:r>
      <w:r>
        <w:rPr>
          <w:sz w:val="24"/>
        </w:rPr>
        <w:t>participate in the cost of the service provided.</w:t>
      </w:r>
    </w:p>
    <w:p>
      <w:pPr>
        <w:pStyle w:val="ListParagraph"/>
        <w:numPr>
          <w:ilvl w:val="0"/>
          <w:numId w:val="83"/>
        </w:numPr>
        <w:tabs>
          <w:tab w:pos="786" w:val="left" w:leader="none"/>
        </w:tabs>
        <w:spacing w:line="208" w:lineRule="auto" w:before="239" w:after="0"/>
        <w:ind w:left="360" w:right="1138" w:firstLine="0"/>
        <w:jc w:val="left"/>
        <w:rPr>
          <w:sz w:val="24"/>
        </w:rPr>
      </w:pPr>
      <w:r>
        <w:rPr>
          <w:sz w:val="24"/>
        </w:rPr>
        <w:t>The</w:t>
      </w:r>
      <w:r>
        <w:rPr>
          <w:spacing w:val="-4"/>
          <w:sz w:val="24"/>
        </w:rPr>
        <w:t> </w:t>
      </w:r>
      <w:r>
        <w:rPr>
          <w:sz w:val="24"/>
        </w:rPr>
        <w:t>individual</w:t>
      </w:r>
      <w:r>
        <w:rPr>
          <w:spacing w:val="-4"/>
          <w:sz w:val="24"/>
        </w:rPr>
        <w:t> </w:t>
      </w:r>
      <w:r>
        <w:rPr>
          <w:sz w:val="24"/>
        </w:rPr>
        <w:t>is</w:t>
      </w:r>
      <w:r>
        <w:rPr>
          <w:spacing w:val="-4"/>
          <w:sz w:val="24"/>
        </w:rPr>
        <w:t> </w:t>
      </w:r>
      <w:r>
        <w:rPr>
          <w:sz w:val="24"/>
        </w:rPr>
        <w:t>liable</w:t>
      </w:r>
      <w:r>
        <w:rPr>
          <w:spacing w:val="-4"/>
          <w:sz w:val="24"/>
        </w:rPr>
        <w:t> </w:t>
      </w:r>
      <w:r>
        <w:rPr>
          <w:sz w:val="24"/>
        </w:rPr>
        <w:t>for</w:t>
      </w:r>
      <w:r>
        <w:rPr>
          <w:spacing w:val="-3"/>
          <w:sz w:val="24"/>
        </w:rPr>
        <w:t> </w:t>
      </w:r>
      <w:r>
        <w:rPr>
          <w:sz w:val="24"/>
        </w:rPr>
        <w:t>services</w:t>
      </w:r>
      <w:r>
        <w:rPr>
          <w:spacing w:val="-4"/>
          <w:sz w:val="24"/>
        </w:rPr>
        <w:t> </w:t>
      </w:r>
      <w:r>
        <w:rPr>
          <w:sz w:val="24"/>
        </w:rPr>
        <w:t>he/she</w:t>
      </w:r>
      <w:r>
        <w:rPr>
          <w:spacing w:val="-3"/>
          <w:sz w:val="24"/>
        </w:rPr>
        <w:t> </w:t>
      </w:r>
      <w:r>
        <w:rPr>
          <w:sz w:val="24"/>
        </w:rPr>
        <w:t>arranged</w:t>
      </w:r>
      <w:r>
        <w:rPr>
          <w:spacing w:val="-4"/>
          <w:sz w:val="24"/>
        </w:rPr>
        <w:t> </w:t>
      </w:r>
      <w:r>
        <w:rPr>
          <w:sz w:val="24"/>
        </w:rPr>
        <w:t>which</w:t>
      </w:r>
      <w:r>
        <w:rPr>
          <w:spacing w:val="-4"/>
          <w:sz w:val="24"/>
        </w:rPr>
        <w:t> </w:t>
      </w:r>
      <w:r>
        <w:rPr>
          <w:sz w:val="24"/>
        </w:rPr>
        <w:t>were</w:t>
      </w:r>
      <w:r>
        <w:rPr>
          <w:spacing w:val="-4"/>
          <w:sz w:val="24"/>
        </w:rPr>
        <w:t> </w:t>
      </w:r>
      <w:r>
        <w:rPr>
          <w:sz w:val="24"/>
        </w:rPr>
        <w:t>not</w:t>
      </w:r>
      <w:r>
        <w:rPr>
          <w:spacing w:val="-3"/>
          <w:sz w:val="24"/>
        </w:rPr>
        <w:t> </w:t>
      </w:r>
      <w:r>
        <w:rPr>
          <w:sz w:val="24"/>
        </w:rPr>
        <w:t>planned</w:t>
      </w:r>
      <w:r>
        <w:rPr>
          <w:spacing w:val="-4"/>
          <w:sz w:val="24"/>
        </w:rPr>
        <w:t> </w:t>
      </w:r>
      <w:r>
        <w:rPr>
          <w:sz w:val="24"/>
        </w:rPr>
        <w:t>and initiated under the auspices of DRS.</w:t>
      </w:r>
    </w:p>
    <w:p>
      <w:pPr>
        <w:pStyle w:val="ListParagraph"/>
        <w:numPr>
          <w:ilvl w:val="0"/>
          <w:numId w:val="83"/>
        </w:numPr>
        <w:tabs>
          <w:tab w:pos="786" w:val="left" w:leader="none"/>
        </w:tabs>
        <w:spacing w:line="208" w:lineRule="auto" w:before="240" w:after="0"/>
        <w:ind w:left="360" w:right="724" w:firstLine="0"/>
        <w:jc w:val="left"/>
        <w:rPr>
          <w:sz w:val="24"/>
        </w:rPr>
      </w:pPr>
      <w:r>
        <w:rPr>
          <w:sz w:val="24"/>
        </w:rPr>
        <w:t>The Department retains right and title to any tools, equipment, durable medical equipment,</w:t>
      </w:r>
      <w:r>
        <w:rPr>
          <w:spacing w:val="-2"/>
          <w:sz w:val="24"/>
        </w:rPr>
        <w:t> </w:t>
      </w:r>
      <w:r>
        <w:rPr>
          <w:sz w:val="24"/>
        </w:rPr>
        <w:t>or</w:t>
      </w:r>
      <w:r>
        <w:rPr>
          <w:spacing w:val="-3"/>
          <w:sz w:val="24"/>
        </w:rPr>
        <w:t> </w:t>
      </w:r>
      <w:r>
        <w:rPr>
          <w:sz w:val="24"/>
        </w:rPr>
        <w:t>other</w:t>
      </w:r>
      <w:r>
        <w:rPr>
          <w:spacing w:val="-5"/>
          <w:sz w:val="24"/>
        </w:rPr>
        <w:t> </w:t>
      </w:r>
      <w:r>
        <w:rPr>
          <w:sz w:val="24"/>
        </w:rPr>
        <w:t>goods</w:t>
      </w:r>
      <w:r>
        <w:rPr>
          <w:spacing w:val="-4"/>
          <w:sz w:val="24"/>
        </w:rPr>
        <w:t> </w:t>
      </w:r>
      <w:r>
        <w:rPr>
          <w:sz w:val="24"/>
        </w:rPr>
        <w:t>costing</w:t>
      </w:r>
      <w:r>
        <w:rPr>
          <w:spacing w:val="-3"/>
          <w:sz w:val="24"/>
        </w:rPr>
        <w:t> </w:t>
      </w:r>
      <w:r>
        <w:rPr>
          <w:sz w:val="24"/>
        </w:rPr>
        <w:t>$500</w:t>
      </w:r>
      <w:r>
        <w:rPr>
          <w:spacing w:val="-4"/>
          <w:sz w:val="24"/>
        </w:rPr>
        <w:t> </w:t>
      </w:r>
      <w:r>
        <w:rPr>
          <w:sz w:val="24"/>
        </w:rPr>
        <w:t>or</w:t>
      </w:r>
      <w:r>
        <w:rPr>
          <w:spacing w:val="-3"/>
          <w:sz w:val="24"/>
        </w:rPr>
        <w:t> </w:t>
      </w:r>
      <w:r>
        <w:rPr>
          <w:sz w:val="24"/>
        </w:rPr>
        <w:t>more</w:t>
      </w:r>
      <w:r>
        <w:rPr>
          <w:spacing w:val="-4"/>
          <w:sz w:val="24"/>
        </w:rPr>
        <w:t> </w:t>
      </w:r>
      <w:r>
        <w:rPr>
          <w:sz w:val="24"/>
        </w:rPr>
        <w:t>purchased</w:t>
      </w:r>
      <w:r>
        <w:rPr>
          <w:spacing w:val="-4"/>
          <w:sz w:val="24"/>
        </w:rPr>
        <w:t> </w:t>
      </w:r>
      <w:r>
        <w:rPr>
          <w:sz w:val="24"/>
        </w:rPr>
        <w:t>with</w:t>
      </w:r>
      <w:r>
        <w:rPr>
          <w:spacing w:val="-4"/>
          <w:sz w:val="24"/>
        </w:rPr>
        <w:t> </w:t>
      </w:r>
      <w:r>
        <w:rPr>
          <w:sz w:val="24"/>
        </w:rPr>
        <w:t>DVR</w:t>
      </w:r>
      <w:r>
        <w:rPr>
          <w:spacing w:val="-4"/>
          <w:sz w:val="24"/>
        </w:rPr>
        <w:t> </w:t>
      </w:r>
      <w:r>
        <w:rPr>
          <w:sz w:val="24"/>
        </w:rPr>
        <w:t>and</w:t>
      </w:r>
      <w:r>
        <w:rPr>
          <w:spacing w:val="-4"/>
          <w:sz w:val="24"/>
        </w:rPr>
        <w:t> </w:t>
      </w:r>
      <w:r>
        <w:rPr>
          <w:sz w:val="24"/>
        </w:rPr>
        <w:t>DSBVI</w:t>
      </w:r>
      <w:r>
        <w:rPr>
          <w:spacing w:val="-3"/>
          <w:sz w:val="24"/>
        </w:rPr>
        <w:t> </w:t>
      </w:r>
      <w:r>
        <w:rPr>
          <w:sz w:val="24"/>
        </w:rPr>
        <w:t>funds, until and unless such goods are released to the client. Upon delivery of any such goods to the client, a Receipt for Equipment and Title Agreement must be completed and </w:t>
      </w:r>
      <w:r>
        <w:rPr>
          <w:spacing w:val="-2"/>
          <w:sz w:val="24"/>
        </w:rPr>
        <w:t>approved.</w:t>
      </w:r>
    </w:p>
    <w:p>
      <w:pPr>
        <w:pStyle w:val="ListParagraph"/>
        <w:numPr>
          <w:ilvl w:val="1"/>
          <w:numId w:val="83"/>
        </w:numPr>
        <w:tabs>
          <w:tab w:pos="1217" w:val="left" w:leader="none"/>
        </w:tabs>
        <w:spacing w:line="208" w:lineRule="auto" w:before="240" w:after="0"/>
        <w:ind w:left="791" w:right="1228" w:firstLine="0"/>
        <w:jc w:val="left"/>
        <w:rPr>
          <w:b/>
          <w:sz w:val="24"/>
        </w:rPr>
      </w:pPr>
      <w:r>
        <w:rPr>
          <w:sz w:val="24"/>
        </w:rPr>
        <w:t>Completion of Program: Any tools, equipment or durable medical goods purchased for training or occupational purposes remain with the client after completion of the program of services if they</w:t>
      </w:r>
      <w:r>
        <w:rPr>
          <w:spacing w:val="-1"/>
          <w:sz w:val="24"/>
        </w:rPr>
        <w:t> </w:t>
      </w:r>
      <w:r>
        <w:rPr>
          <w:sz w:val="24"/>
        </w:rPr>
        <w:t>can be used in the client's chosen vocation.</w:t>
      </w:r>
      <w:r>
        <w:rPr>
          <w:spacing w:val="-3"/>
          <w:sz w:val="24"/>
        </w:rPr>
        <w:t> </w:t>
      </w:r>
      <w:r>
        <w:rPr>
          <w:sz w:val="24"/>
        </w:rPr>
        <w:t>If</w:t>
      </w:r>
      <w:r>
        <w:rPr>
          <w:spacing w:val="-5"/>
          <w:sz w:val="24"/>
        </w:rPr>
        <w:t> </w:t>
      </w:r>
      <w:r>
        <w:rPr>
          <w:sz w:val="24"/>
        </w:rPr>
        <w:t>the</w:t>
      </w:r>
      <w:r>
        <w:rPr>
          <w:spacing w:val="-4"/>
          <w:sz w:val="24"/>
        </w:rPr>
        <w:t> </w:t>
      </w:r>
      <w:r>
        <w:rPr>
          <w:sz w:val="24"/>
        </w:rPr>
        <w:t>client</w:t>
      </w:r>
      <w:r>
        <w:rPr>
          <w:spacing w:val="-3"/>
          <w:sz w:val="24"/>
        </w:rPr>
        <w:t> </w:t>
      </w:r>
      <w:r>
        <w:rPr>
          <w:sz w:val="24"/>
        </w:rPr>
        <w:t>fails</w:t>
      </w:r>
      <w:r>
        <w:rPr>
          <w:spacing w:val="-4"/>
          <w:sz w:val="24"/>
        </w:rPr>
        <w:t> </w:t>
      </w:r>
      <w:r>
        <w:rPr>
          <w:sz w:val="24"/>
        </w:rPr>
        <w:t>to</w:t>
      </w:r>
      <w:r>
        <w:rPr>
          <w:spacing w:val="-4"/>
          <w:sz w:val="24"/>
        </w:rPr>
        <w:t> </w:t>
      </w:r>
      <w:r>
        <w:rPr>
          <w:sz w:val="24"/>
        </w:rPr>
        <w:t>complete</w:t>
      </w:r>
      <w:r>
        <w:rPr>
          <w:spacing w:val="-4"/>
          <w:sz w:val="24"/>
        </w:rPr>
        <w:t> </w:t>
      </w:r>
      <w:r>
        <w:rPr>
          <w:sz w:val="24"/>
        </w:rPr>
        <w:t>the</w:t>
      </w:r>
      <w:r>
        <w:rPr>
          <w:spacing w:val="-4"/>
          <w:sz w:val="24"/>
        </w:rPr>
        <w:t> </w:t>
      </w:r>
      <w:r>
        <w:rPr>
          <w:sz w:val="24"/>
        </w:rPr>
        <w:t>program</w:t>
      </w:r>
      <w:r>
        <w:rPr>
          <w:spacing w:val="-3"/>
          <w:sz w:val="24"/>
        </w:rPr>
        <w:t> </w:t>
      </w:r>
      <w:r>
        <w:rPr>
          <w:sz w:val="24"/>
        </w:rPr>
        <w:t>of</w:t>
      </w:r>
      <w:r>
        <w:rPr>
          <w:spacing w:val="-3"/>
          <w:sz w:val="24"/>
        </w:rPr>
        <w:t> </w:t>
      </w:r>
      <w:r>
        <w:rPr>
          <w:sz w:val="24"/>
        </w:rPr>
        <w:t>service,</w:t>
      </w:r>
      <w:r>
        <w:rPr>
          <w:spacing w:val="-3"/>
          <w:sz w:val="24"/>
        </w:rPr>
        <w:t> </w:t>
      </w:r>
      <w:r>
        <w:rPr>
          <w:sz w:val="24"/>
        </w:rPr>
        <w:t>the</w:t>
      </w:r>
      <w:r>
        <w:rPr>
          <w:spacing w:val="-4"/>
          <w:sz w:val="24"/>
        </w:rPr>
        <w:t> </w:t>
      </w:r>
      <w:r>
        <w:rPr>
          <w:sz w:val="24"/>
        </w:rPr>
        <w:t>counselor</w:t>
      </w:r>
      <w:r>
        <w:rPr>
          <w:spacing w:val="-3"/>
          <w:sz w:val="24"/>
        </w:rPr>
        <w:t> </w:t>
      </w:r>
      <w:r>
        <w:rPr>
          <w:sz w:val="24"/>
        </w:rPr>
        <w:t>will make effort to reclaim the goods to transfer to another client. </w:t>
      </w:r>
      <w:r>
        <w:rPr>
          <w:b/>
          <w:sz w:val="24"/>
        </w:rPr>
        <w:t>2</w:t>
      </w:r>
    </w:p>
    <w:p>
      <w:pPr>
        <w:pStyle w:val="ListParagraph"/>
        <w:numPr>
          <w:ilvl w:val="1"/>
          <w:numId w:val="83"/>
        </w:numPr>
        <w:tabs>
          <w:tab w:pos="1217" w:val="left" w:leader="none"/>
        </w:tabs>
        <w:spacing w:line="208" w:lineRule="auto" w:before="239" w:after="0"/>
        <w:ind w:left="791" w:right="815" w:firstLine="0"/>
        <w:jc w:val="left"/>
        <w:rPr>
          <w:sz w:val="24"/>
        </w:rPr>
      </w:pPr>
      <w:r>
        <w:rPr>
          <w:sz w:val="24"/>
        </w:rPr>
        <w:t>Disposition</w:t>
      </w:r>
      <w:r>
        <w:rPr>
          <w:spacing w:val="-4"/>
          <w:sz w:val="24"/>
        </w:rPr>
        <w:t> </w:t>
      </w:r>
      <w:r>
        <w:rPr>
          <w:sz w:val="24"/>
        </w:rPr>
        <w:t>at</w:t>
      </w:r>
      <w:r>
        <w:rPr>
          <w:spacing w:val="-3"/>
          <w:sz w:val="24"/>
        </w:rPr>
        <w:t> </w:t>
      </w:r>
      <w:r>
        <w:rPr>
          <w:sz w:val="24"/>
        </w:rPr>
        <w:t>closure:</w:t>
      </w:r>
      <w:r>
        <w:rPr>
          <w:spacing w:val="-4"/>
          <w:sz w:val="24"/>
        </w:rPr>
        <w:t> </w:t>
      </w:r>
      <w:r>
        <w:rPr>
          <w:sz w:val="24"/>
        </w:rPr>
        <w:t>Case</w:t>
      </w:r>
      <w:r>
        <w:rPr>
          <w:spacing w:val="-4"/>
          <w:sz w:val="24"/>
        </w:rPr>
        <w:t> </w:t>
      </w:r>
      <w:r>
        <w:rPr>
          <w:sz w:val="24"/>
        </w:rPr>
        <w:t>recording</w:t>
      </w:r>
      <w:r>
        <w:rPr>
          <w:spacing w:val="-4"/>
          <w:sz w:val="24"/>
        </w:rPr>
        <w:t> </w:t>
      </w:r>
      <w:r>
        <w:rPr>
          <w:sz w:val="24"/>
        </w:rPr>
        <w:t>must</w:t>
      </w:r>
      <w:r>
        <w:rPr>
          <w:spacing w:val="-3"/>
          <w:sz w:val="24"/>
        </w:rPr>
        <w:t> </w:t>
      </w:r>
      <w:r>
        <w:rPr>
          <w:sz w:val="24"/>
        </w:rPr>
        <w:t>reflect</w:t>
      </w:r>
      <w:r>
        <w:rPr>
          <w:spacing w:val="-5"/>
          <w:sz w:val="24"/>
        </w:rPr>
        <w:t> </w:t>
      </w:r>
      <w:r>
        <w:rPr>
          <w:sz w:val="24"/>
        </w:rPr>
        <w:t>the</w:t>
      </w:r>
      <w:r>
        <w:rPr>
          <w:spacing w:val="-4"/>
          <w:sz w:val="24"/>
        </w:rPr>
        <w:t> </w:t>
      </w:r>
      <w:r>
        <w:rPr>
          <w:sz w:val="24"/>
        </w:rPr>
        <w:t>disposition</w:t>
      </w:r>
      <w:r>
        <w:rPr>
          <w:spacing w:val="-4"/>
          <w:sz w:val="24"/>
        </w:rPr>
        <w:t> </w:t>
      </w:r>
      <w:r>
        <w:rPr>
          <w:sz w:val="24"/>
        </w:rPr>
        <w:t>at</w:t>
      </w:r>
      <w:r>
        <w:rPr>
          <w:spacing w:val="-3"/>
          <w:sz w:val="24"/>
        </w:rPr>
        <w:t> </w:t>
      </w:r>
      <w:r>
        <w:rPr>
          <w:sz w:val="24"/>
        </w:rPr>
        <w:t>the</w:t>
      </w:r>
      <w:r>
        <w:rPr>
          <w:spacing w:val="-4"/>
          <w:sz w:val="24"/>
        </w:rPr>
        <w:t> </w:t>
      </w:r>
      <w:r>
        <w:rPr>
          <w:sz w:val="24"/>
        </w:rPr>
        <w:t>time</w:t>
      </w:r>
      <w:r>
        <w:rPr>
          <w:spacing w:val="-4"/>
          <w:sz w:val="24"/>
        </w:rPr>
        <w:t> </w:t>
      </w:r>
      <w:r>
        <w:rPr>
          <w:sz w:val="24"/>
        </w:rPr>
        <w:t>of closure of tools, equipment, and goods provided the client. All occupational tools, equipment, and durable medical goods remain the property of the agency until released. If the client is not using the items, the counselor will pick them up if an economical savings to the agency will result, and if the transfer will not endanger the health or safety of the client.</w:t>
      </w:r>
    </w:p>
    <w:p>
      <w:pPr>
        <w:pStyle w:val="ListParagraph"/>
        <w:numPr>
          <w:ilvl w:val="1"/>
          <w:numId w:val="83"/>
        </w:numPr>
        <w:tabs>
          <w:tab w:pos="1218" w:val="left" w:leader="none"/>
        </w:tabs>
        <w:spacing w:line="208" w:lineRule="auto" w:before="239" w:after="0"/>
        <w:ind w:left="792" w:right="732" w:firstLine="0"/>
        <w:jc w:val="left"/>
        <w:rPr>
          <w:sz w:val="24"/>
        </w:rPr>
      </w:pPr>
      <w:r>
        <w:rPr>
          <w:sz w:val="24"/>
        </w:rPr>
        <w:t>Title Release: Title on any tools, equipment or durable medical equipment purchased</w:t>
      </w:r>
      <w:r>
        <w:rPr>
          <w:spacing w:val="-3"/>
          <w:sz w:val="24"/>
        </w:rPr>
        <w:t> </w:t>
      </w:r>
      <w:r>
        <w:rPr>
          <w:sz w:val="24"/>
        </w:rPr>
        <w:t>with</w:t>
      </w:r>
      <w:r>
        <w:rPr>
          <w:spacing w:val="-4"/>
          <w:sz w:val="24"/>
        </w:rPr>
        <w:t> </w:t>
      </w:r>
      <w:r>
        <w:rPr>
          <w:sz w:val="24"/>
        </w:rPr>
        <w:t>DRS</w:t>
      </w:r>
      <w:r>
        <w:rPr>
          <w:spacing w:val="-4"/>
          <w:sz w:val="24"/>
        </w:rPr>
        <w:t> </w:t>
      </w:r>
      <w:r>
        <w:rPr>
          <w:sz w:val="24"/>
        </w:rPr>
        <w:t>funds</w:t>
      </w:r>
      <w:r>
        <w:rPr>
          <w:spacing w:val="-4"/>
          <w:sz w:val="24"/>
        </w:rPr>
        <w:t> </w:t>
      </w:r>
      <w:r>
        <w:rPr>
          <w:sz w:val="24"/>
        </w:rPr>
        <w:t>for</w:t>
      </w:r>
      <w:r>
        <w:rPr>
          <w:spacing w:val="-3"/>
          <w:sz w:val="24"/>
        </w:rPr>
        <w:t> </w:t>
      </w:r>
      <w:r>
        <w:rPr>
          <w:sz w:val="24"/>
        </w:rPr>
        <w:t>training</w:t>
      </w:r>
      <w:r>
        <w:rPr>
          <w:spacing w:val="-4"/>
          <w:sz w:val="24"/>
        </w:rPr>
        <w:t> </w:t>
      </w:r>
      <w:r>
        <w:rPr>
          <w:sz w:val="24"/>
        </w:rPr>
        <w:t>or</w:t>
      </w:r>
      <w:r>
        <w:rPr>
          <w:spacing w:val="-3"/>
          <w:sz w:val="24"/>
        </w:rPr>
        <w:t> </w:t>
      </w:r>
      <w:r>
        <w:rPr>
          <w:sz w:val="24"/>
        </w:rPr>
        <w:t>occupational</w:t>
      </w:r>
      <w:r>
        <w:rPr>
          <w:spacing w:val="-4"/>
          <w:sz w:val="24"/>
        </w:rPr>
        <w:t> </w:t>
      </w:r>
      <w:r>
        <w:rPr>
          <w:sz w:val="24"/>
        </w:rPr>
        <w:t>purposes</w:t>
      </w:r>
      <w:r>
        <w:rPr>
          <w:spacing w:val="-4"/>
          <w:sz w:val="24"/>
        </w:rPr>
        <w:t> </w:t>
      </w:r>
      <w:r>
        <w:rPr>
          <w:sz w:val="24"/>
        </w:rPr>
        <w:t>will</w:t>
      </w:r>
      <w:r>
        <w:rPr>
          <w:spacing w:val="-4"/>
          <w:sz w:val="24"/>
        </w:rPr>
        <w:t> </w:t>
      </w:r>
      <w:r>
        <w:rPr>
          <w:sz w:val="24"/>
        </w:rPr>
        <w:t>not</w:t>
      </w:r>
      <w:r>
        <w:rPr>
          <w:spacing w:val="-3"/>
          <w:sz w:val="24"/>
        </w:rPr>
        <w:t> </w:t>
      </w:r>
      <w:r>
        <w:rPr>
          <w:sz w:val="24"/>
        </w:rPr>
        <w:t>be</w:t>
      </w:r>
      <w:r>
        <w:rPr>
          <w:spacing w:val="-4"/>
          <w:sz w:val="24"/>
        </w:rPr>
        <w:t> </w:t>
      </w:r>
      <w:r>
        <w:rPr>
          <w:sz w:val="24"/>
        </w:rPr>
        <w:t>released to the client until the counselor has determined the client is using the items as </w:t>
      </w:r>
      <w:r>
        <w:rPr>
          <w:spacing w:val="-2"/>
          <w:sz w:val="24"/>
        </w:rPr>
        <w:t>planned.</w:t>
      </w:r>
    </w:p>
    <w:p>
      <w:pPr>
        <w:pStyle w:val="ListParagraph"/>
        <w:numPr>
          <w:ilvl w:val="0"/>
          <w:numId w:val="83"/>
        </w:numPr>
        <w:tabs>
          <w:tab w:pos="706" w:val="left" w:leader="none"/>
        </w:tabs>
        <w:spacing w:line="208" w:lineRule="auto" w:before="240" w:after="0"/>
        <w:ind w:left="360" w:right="913" w:firstLine="0"/>
        <w:jc w:val="left"/>
        <w:rPr>
          <w:sz w:val="24"/>
        </w:rPr>
      </w:pPr>
      <w:r>
        <w:rPr>
          <w:sz w:val="24"/>
        </w:rPr>
        <w:t>When the rehabilitation professional determines an authorization or portion of an authorization will not be utilized, procedures to cancel the remaining services will be completed.</w:t>
      </w:r>
      <w:r>
        <w:rPr>
          <w:spacing w:val="-3"/>
          <w:sz w:val="24"/>
        </w:rPr>
        <w:t> </w:t>
      </w:r>
      <w:r>
        <w:rPr>
          <w:sz w:val="24"/>
        </w:rPr>
        <w:t>Before</w:t>
      </w:r>
      <w:r>
        <w:rPr>
          <w:spacing w:val="-4"/>
          <w:sz w:val="24"/>
        </w:rPr>
        <w:t> </w:t>
      </w:r>
      <w:r>
        <w:rPr>
          <w:sz w:val="24"/>
        </w:rPr>
        <w:t>the</w:t>
      </w:r>
      <w:r>
        <w:rPr>
          <w:spacing w:val="-5"/>
          <w:sz w:val="24"/>
        </w:rPr>
        <w:t> </w:t>
      </w:r>
      <w:r>
        <w:rPr>
          <w:sz w:val="24"/>
        </w:rPr>
        <w:t>case</w:t>
      </w:r>
      <w:r>
        <w:rPr>
          <w:spacing w:val="-4"/>
          <w:sz w:val="24"/>
        </w:rPr>
        <w:t> </w:t>
      </w:r>
      <w:r>
        <w:rPr>
          <w:sz w:val="24"/>
        </w:rPr>
        <w:t>is</w:t>
      </w:r>
      <w:r>
        <w:rPr>
          <w:spacing w:val="-4"/>
          <w:sz w:val="24"/>
        </w:rPr>
        <w:t> </w:t>
      </w:r>
      <w:r>
        <w:rPr>
          <w:sz w:val="24"/>
        </w:rPr>
        <w:t>closed,</w:t>
      </w:r>
      <w:r>
        <w:rPr>
          <w:spacing w:val="-3"/>
          <w:sz w:val="24"/>
        </w:rPr>
        <w:t> </w:t>
      </w:r>
      <w:r>
        <w:rPr>
          <w:sz w:val="24"/>
        </w:rPr>
        <w:t>all</w:t>
      </w:r>
      <w:r>
        <w:rPr>
          <w:spacing w:val="-4"/>
          <w:sz w:val="24"/>
        </w:rPr>
        <w:t> </w:t>
      </w:r>
      <w:r>
        <w:rPr>
          <w:sz w:val="24"/>
        </w:rPr>
        <w:t>unliquidated</w:t>
      </w:r>
      <w:r>
        <w:rPr>
          <w:spacing w:val="-4"/>
          <w:sz w:val="24"/>
        </w:rPr>
        <w:t> </w:t>
      </w:r>
      <w:r>
        <w:rPr>
          <w:sz w:val="24"/>
        </w:rPr>
        <w:t>authorizations</w:t>
      </w:r>
      <w:r>
        <w:rPr>
          <w:spacing w:val="-4"/>
          <w:sz w:val="24"/>
        </w:rPr>
        <w:t> </w:t>
      </w:r>
      <w:r>
        <w:rPr>
          <w:sz w:val="24"/>
        </w:rPr>
        <w:t>must</w:t>
      </w:r>
      <w:r>
        <w:rPr>
          <w:spacing w:val="-3"/>
          <w:sz w:val="24"/>
        </w:rPr>
        <w:t> </w:t>
      </w:r>
      <w:r>
        <w:rPr>
          <w:sz w:val="24"/>
        </w:rPr>
        <w:t>be</w:t>
      </w:r>
      <w:r>
        <w:rPr>
          <w:spacing w:val="-5"/>
          <w:sz w:val="24"/>
        </w:rPr>
        <w:t> </w:t>
      </w:r>
      <w:r>
        <w:rPr>
          <w:sz w:val="24"/>
        </w:rPr>
        <w:t>canceled or accounted for to determine if a claim will be made against any outstanding </w:t>
      </w:r>
      <w:r>
        <w:rPr>
          <w:spacing w:val="-2"/>
          <w:sz w:val="24"/>
        </w:rPr>
        <w:t>authorization.</w:t>
      </w:r>
    </w:p>
    <w:p>
      <w:pPr>
        <w:pStyle w:val="ListParagraph"/>
        <w:spacing w:after="0" w:line="208" w:lineRule="auto"/>
        <w:jc w:val="left"/>
        <w:rPr>
          <w:sz w:val="24"/>
        </w:rPr>
        <w:sectPr>
          <w:pgSz w:w="12240" w:h="15840"/>
          <w:pgMar w:top="1340" w:bottom="280" w:left="1080" w:right="720"/>
        </w:sectPr>
      </w:pPr>
    </w:p>
    <w:p>
      <w:pPr>
        <w:pStyle w:val="ListParagraph"/>
        <w:numPr>
          <w:ilvl w:val="0"/>
          <w:numId w:val="83"/>
        </w:numPr>
        <w:tabs>
          <w:tab w:pos="705" w:val="left" w:leader="none"/>
        </w:tabs>
        <w:spacing w:line="208" w:lineRule="auto" w:before="96" w:after="0"/>
        <w:ind w:left="359" w:right="793" w:firstLine="0"/>
        <w:jc w:val="left"/>
        <w:rPr>
          <w:sz w:val="24"/>
        </w:rPr>
      </w:pPr>
      <w:r>
        <w:rPr>
          <w:sz w:val="24"/>
        </w:rPr>
        <w:t>Purchasing vocational rehabilitation goods or services, other than direct client payments,</w:t>
      </w:r>
      <w:r>
        <w:rPr>
          <w:spacing w:val="-4"/>
          <w:sz w:val="24"/>
        </w:rPr>
        <w:t> </w:t>
      </w:r>
      <w:r>
        <w:rPr>
          <w:sz w:val="24"/>
        </w:rPr>
        <w:t>when</w:t>
      </w:r>
      <w:r>
        <w:rPr>
          <w:spacing w:val="-3"/>
          <w:sz w:val="24"/>
        </w:rPr>
        <w:t> </w:t>
      </w:r>
      <w:r>
        <w:rPr>
          <w:sz w:val="24"/>
        </w:rPr>
        <w:t>there</w:t>
      </w:r>
      <w:r>
        <w:rPr>
          <w:spacing w:val="-3"/>
          <w:sz w:val="24"/>
        </w:rPr>
        <w:t> </w:t>
      </w:r>
      <w:r>
        <w:rPr>
          <w:sz w:val="24"/>
        </w:rPr>
        <w:t>is</w:t>
      </w:r>
      <w:r>
        <w:rPr>
          <w:spacing w:val="-3"/>
          <w:sz w:val="24"/>
        </w:rPr>
        <w:t> </w:t>
      </w:r>
      <w:r>
        <w:rPr>
          <w:sz w:val="24"/>
        </w:rPr>
        <w:t>no</w:t>
      </w:r>
      <w:r>
        <w:rPr>
          <w:spacing w:val="-3"/>
          <w:sz w:val="24"/>
        </w:rPr>
        <w:t> </w:t>
      </w:r>
      <w:r>
        <w:rPr>
          <w:sz w:val="24"/>
        </w:rPr>
        <w:t>prior</w:t>
      </w:r>
      <w:r>
        <w:rPr>
          <w:spacing w:val="-4"/>
          <w:sz w:val="24"/>
        </w:rPr>
        <w:t> </w:t>
      </w:r>
      <w:r>
        <w:rPr>
          <w:sz w:val="24"/>
        </w:rPr>
        <w:t>written</w:t>
      </w:r>
      <w:r>
        <w:rPr>
          <w:spacing w:val="-3"/>
          <w:sz w:val="24"/>
        </w:rPr>
        <w:t> </w:t>
      </w:r>
      <w:r>
        <w:rPr>
          <w:sz w:val="24"/>
        </w:rPr>
        <w:t>purchasing</w:t>
      </w:r>
      <w:r>
        <w:rPr>
          <w:spacing w:val="-3"/>
          <w:sz w:val="24"/>
        </w:rPr>
        <w:t> </w:t>
      </w:r>
      <w:r>
        <w:rPr>
          <w:sz w:val="24"/>
        </w:rPr>
        <w:t>agreement</w:t>
      </w:r>
      <w:r>
        <w:rPr>
          <w:spacing w:val="-3"/>
          <w:sz w:val="24"/>
        </w:rPr>
        <w:t> </w:t>
      </w:r>
      <w:r>
        <w:rPr>
          <w:sz w:val="24"/>
        </w:rPr>
        <w:t>is</w:t>
      </w:r>
      <w:r>
        <w:rPr>
          <w:spacing w:val="-4"/>
          <w:sz w:val="24"/>
        </w:rPr>
        <w:t> </w:t>
      </w:r>
      <w:r>
        <w:rPr>
          <w:sz w:val="24"/>
        </w:rPr>
        <w:t>basically</w:t>
      </w:r>
      <w:r>
        <w:rPr>
          <w:spacing w:val="-3"/>
          <w:sz w:val="24"/>
        </w:rPr>
        <w:t> </w:t>
      </w:r>
      <w:r>
        <w:rPr>
          <w:sz w:val="24"/>
        </w:rPr>
        <w:t>a</w:t>
      </w:r>
      <w:r>
        <w:rPr>
          <w:spacing w:val="-3"/>
          <w:sz w:val="24"/>
        </w:rPr>
        <w:t> </w:t>
      </w:r>
      <w:r>
        <w:rPr>
          <w:sz w:val="24"/>
        </w:rPr>
        <w:t>three-step process. These steps include specifying the requirements for the goods or services, authorizing for the purchase, and receiving delivery of the goods or services. For audit purposes, no one person can perform more than one of these steps. A different person is required for:</w:t>
      </w:r>
    </w:p>
    <w:p>
      <w:pPr>
        <w:pStyle w:val="ListParagraph"/>
        <w:numPr>
          <w:ilvl w:val="1"/>
          <w:numId w:val="83"/>
        </w:numPr>
        <w:tabs>
          <w:tab w:pos="1217" w:val="left" w:leader="none"/>
        </w:tabs>
        <w:spacing w:line="240" w:lineRule="auto" w:before="210" w:after="0"/>
        <w:ind w:left="1217" w:right="0" w:hanging="426"/>
        <w:jc w:val="left"/>
        <w:rPr>
          <w:sz w:val="24"/>
        </w:rPr>
      </w:pPr>
      <w:r>
        <w:rPr>
          <w:sz w:val="24"/>
        </w:rPr>
        <w:t>identifying</w:t>
      </w:r>
      <w:r>
        <w:rPr>
          <w:spacing w:val="-4"/>
          <w:sz w:val="24"/>
        </w:rPr>
        <w:t> </w:t>
      </w:r>
      <w:r>
        <w:rPr>
          <w:sz w:val="24"/>
        </w:rPr>
        <w:t>the</w:t>
      </w:r>
      <w:r>
        <w:rPr>
          <w:spacing w:val="-4"/>
          <w:sz w:val="24"/>
        </w:rPr>
        <w:t> </w:t>
      </w:r>
      <w:r>
        <w:rPr>
          <w:sz w:val="24"/>
        </w:rPr>
        <w:t>requirement</w:t>
      </w:r>
      <w:r>
        <w:rPr>
          <w:spacing w:val="-3"/>
          <w:sz w:val="24"/>
        </w:rPr>
        <w:t> </w:t>
      </w:r>
      <w:r>
        <w:rPr>
          <w:sz w:val="24"/>
        </w:rPr>
        <w:t>for</w:t>
      </w:r>
      <w:r>
        <w:rPr>
          <w:spacing w:val="-4"/>
          <w:sz w:val="24"/>
        </w:rPr>
        <w:t> </w:t>
      </w:r>
      <w:r>
        <w:rPr>
          <w:sz w:val="24"/>
        </w:rPr>
        <w:t>the</w:t>
      </w:r>
      <w:r>
        <w:rPr>
          <w:spacing w:val="-3"/>
          <w:sz w:val="24"/>
        </w:rPr>
        <w:t> </w:t>
      </w:r>
      <w:r>
        <w:rPr>
          <w:spacing w:val="-2"/>
          <w:sz w:val="24"/>
        </w:rPr>
        <w:t>purchase;</w:t>
      </w:r>
    </w:p>
    <w:p>
      <w:pPr>
        <w:pStyle w:val="ListParagraph"/>
        <w:numPr>
          <w:ilvl w:val="1"/>
          <w:numId w:val="83"/>
        </w:numPr>
        <w:tabs>
          <w:tab w:pos="1217" w:val="left" w:leader="none"/>
        </w:tabs>
        <w:spacing w:line="240" w:lineRule="auto" w:before="204" w:after="0"/>
        <w:ind w:left="1217" w:right="0" w:hanging="426"/>
        <w:jc w:val="left"/>
        <w:rPr>
          <w:sz w:val="24"/>
        </w:rPr>
      </w:pPr>
      <w:r>
        <w:rPr>
          <w:sz w:val="24"/>
        </w:rPr>
        <w:t>placing</w:t>
      </w:r>
      <w:r>
        <w:rPr>
          <w:spacing w:val="-4"/>
          <w:sz w:val="24"/>
        </w:rPr>
        <w:t> </w:t>
      </w:r>
      <w:r>
        <w:rPr>
          <w:sz w:val="24"/>
        </w:rPr>
        <w:t>the</w:t>
      </w:r>
      <w:r>
        <w:rPr>
          <w:spacing w:val="-3"/>
          <w:sz w:val="24"/>
        </w:rPr>
        <w:t> </w:t>
      </w:r>
      <w:r>
        <w:rPr>
          <w:sz w:val="24"/>
        </w:rPr>
        <w:t>order;</w:t>
      </w:r>
      <w:r>
        <w:rPr>
          <w:spacing w:val="-4"/>
          <w:sz w:val="24"/>
        </w:rPr>
        <w:t> </w:t>
      </w:r>
      <w:r>
        <w:rPr>
          <w:spacing w:val="-5"/>
          <w:sz w:val="24"/>
        </w:rPr>
        <w:t>and</w:t>
      </w:r>
    </w:p>
    <w:p>
      <w:pPr>
        <w:pStyle w:val="ListParagraph"/>
        <w:numPr>
          <w:ilvl w:val="1"/>
          <w:numId w:val="83"/>
        </w:numPr>
        <w:tabs>
          <w:tab w:pos="1235" w:val="left" w:leader="none"/>
        </w:tabs>
        <w:spacing w:line="240" w:lineRule="auto" w:before="204" w:after="0"/>
        <w:ind w:left="1235" w:right="0" w:hanging="426"/>
        <w:jc w:val="left"/>
        <w:rPr>
          <w:sz w:val="24"/>
        </w:rPr>
      </w:pPr>
      <w:r>
        <w:rPr>
          <w:sz w:val="24"/>
        </w:rPr>
        <w:t>accepting</w:t>
      </w:r>
      <w:r>
        <w:rPr>
          <w:spacing w:val="-4"/>
          <w:sz w:val="24"/>
        </w:rPr>
        <w:t> </w:t>
      </w:r>
      <w:r>
        <w:rPr>
          <w:sz w:val="24"/>
        </w:rPr>
        <w:t>the</w:t>
      </w:r>
      <w:r>
        <w:rPr>
          <w:spacing w:val="-3"/>
          <w:sz w:val="24"/>
        </w:rPr>
        <w:t> </w:t>
      </w:r>
      <w:r>
        <w:rPr>
          <w:sz w:val="24"/>
        </w:rPr>
        <w:t>material</w:t>
      </w:r>
      <w:r>
        <w:rPr>
          <w:spacing w:val="-3"/>
          <w:sz w:val="24"/>
        </w:rPr>
        <w:t> </w:t>
      </w:r>
      <w:r>
        <w:rPr>
          <w:sz w:val="24"/>
        </w:rPr>
        <w:t>or</w:t>
      </w:r>
      <w:r>
        <w:rPr>
          <w:spacing w:val="-2"/>
          <w:sz w:val="24"/>
        </w:rPr>
        <w:t> service.</w:t>
      </w:r>
    </w:p>
    <w:p>
      <w:pPr>
        <w:pStyle w:val="ListParagraph"/>
        <w:numPr>
          <w:ilvl w:val="0"/>
          <w:numId w:val="83"/>
        </w:numPr>
        <w:tabs>
          <w:tab w:pos="772" w:val="left" w:leader="none"/>
        </w:tabs>
        <w:spacing w:line="208" w:lineRule="auto" w:before="233" w:after="0"/>
        <w:ind w:left="359" w:right="737" w:firstLine="0"/>
        <w:jc w:val="left"/>
        <w:rPr>
          <w:sz w:val="24"/>
        </w:rPr>
      </w:pPr>
      <w:r>
        <w:rPr>
          <w:sz w:val="24"/>
        </w:rPr>
        <w:t>When a prior written purchasing agreement for vocational rehabilitation goods or services, other than direct client payments, is not required, and the service or package of services to be obtained will cost the amount of the OMES-DCAM authority order limit or less, the rehabilitation professional and client will jointly choose an appropriate vendor.</w:t>
      </w:r>
      <w:r>
        <w:rPr>
          <w:spacing w:val="-2"/>
          <w:sz w:val="24"/>
        </w:rPr>
        <w:t> </w:t>
      </w:r>
      <w:r>
        <w:rPr>
          <w:sz w:val="24"/>
        </w:rPr>
        <w:t>The</w:t>
      </w:r>
      <w:r>
        <w:rPr>
          <w:spacing w:val="-3"/>
          <w:sz w:val="24"/>
        </w:rPr>
        <w:t> </w:t>
      </w:r>
      <w:r>
        <w:rPr>
          <w:sz w:val="24"/>
        </w:rPr>
        <w:t>rehabilitation</w:t>
      </w:r>
      <w:r>
        <w:rPr>
          <w:spacing w:val="-3"/>
          <w:sz w:val="24"/>
        </w:rPr>
        <w:t> </w:t>
      </w:r>
      <w:r>
        <w:rPr>
          <w:sz w:val="24"/>
        </w:rPr>
        <w:t>professional</w:t>
      </w:r>
      <w:r>
        <w:rPr>
          <w:spacing w:val="-3"/>
          <w:sz w:val="24"/>
        </w:rPr>
        <w:t> </w:t>
      </w:r>
      <w:r>
        <w:rPr>
          <w:sz w:val="24"/>
        </w:rPr>
        <w:t>will</w:t>
      </w:r>
      <w:r>
        <w:rPr>
          <w:spacing w:val="-3"/>
          <w:sz w:val="24"/>
        </w:rPr>
        <w:t> </w:t>
      </w:r>
      <w:r>
        <w:rPr>
          <w:sz w:val="24"/>
        </w:rPr>
        <w:t>then</w:t>
      </w:r>
      <w:r>
        <w:rPr>
          <w:spacing w:val="-3"/>
          <w:sz w:val="24"/>
        </w:rPr>
        <w:t> </w:t>
      </w:r>
      <w:r>
        <w:rPr>
          <w:sz w:val="24"/>
        </w:rPr>
        <w:t>authorize</w:t>
      </w:r>
      <w:r>
        <w:rPr>
          <w:spacing w:val="-3"/>
          <w:sz w:val="24"/>
        </w:rPr>
        <w:t> </w:t>
      </w:r>
      <w:r>
        <w:rPr>
          <w:sz w:val="24"/>
        </w:rPr>
        <w:t>for</w:t>
      </w:r>
      <w:r>
        <w:rPr>
          <w:spacing w:val="-4"/>
          <w:sz w:val="24"/>
        </w:rPr>
        <w:t> </w:t>
      </w:r>
      <w:r>
        <w:rPr>
          <w:sz w:val="24"/>
        </w:rPr>
        <w:t>the</w:t>
      </w:r>
      <w:r>
        <w:rPr>
          <w:spacing w:val="-3"/>
          <w:sz w:val="24"/>
        </w:rPr>
        <w:t> </w:t>
      </w:r>
      <w:r>
        <w:rPr>
          <w:sz w:val="24"/>
        </w:rPr>
        <w:t>planned</w:t>
      </w:r>
      <w:r>
        <w:rPr>
          <w:spacing w:val="-3"/>
          <w:sz w:val="24"/>
        </w:rPr>
        <w:t> </w:t>
      </w:r>
      <w:r>
        <w:rPr>
          <w:sz w:val="24"/>
        </w:rPr>
        <w:t>services</w:t>
      </w:r>
      <w:r>
        <w:rPr>
          <w:spacing w:val="-3"/>
          <w:sz w:val="24"/>
        </w:rPr>
        <w:t> </w:t>
      </w:r>
      <w:r>
        <w:rPr>
          <w:sz w:val="24"/>
        </w:rPr>
        <w:t>to</w:t>
      </w:r>
      <w:r>
        <w:rPr>
          <w:spacing w:val="-3"/>
          <w:sz w:val="24"/>
        </w:rPr>
        <w:t> </w:t>
      </w:r>
      <w:r>
        <w:rPr>
          <w:sz w:val="24"/>
        </w:rPr>
        <w:t>the chosen vendor. When a prior written purchasing agreement for vocational rehabilitation services, other than direct client payments, is not required, and the service or package of services will cost more than the OMES-DCAM authority order limit, the rehabilitation professional will follow administrative rules in (1) through (7) of this Subsection.</w:t>
      </w:r>
    </w:p>
    <w:p>
      <w:pPr>
        <w:pStyle w:val="ListParagraph"/>
        <w:numPr>
          <w:ilvl w:val="1"/>
          <w:numId w:val="83"/>
        </w:numPr>
        <w:tabs>
          <w:tab w:pos="1217" w:val="left" w:leader="none"/>
        </w:tabs>
        <w:spacing w:line="208" w:lineRule="auto" w:before="239" w:after="0"/>
        <w:ind w:left="791" w:right="1172" w:firstLine="0"/>
        <w:jc w:val="left"/>
        <w:rPr>
          <w:sz w:val="24"/>
        </w:rPr>
      </w:pPr>
      <w:r>
        <w:rPr>
          <w:sz w:val="24"/>
        </w:rPr>
        <w:t>The rehabilitation professional will obtain specialist recommendations for purchase</w:t>
      </w:r>
      <w:r>
        <w:rPr>
          <w:spacing w:val="-5"/>
          <w:sz w:val="24"/>
        </w:rPr>
        <w:t> </w:t>
      </w:r>
      <w:r>
        <w:rPr>
          <w:sz w:val="24"/>
        </w:rPr>
        <w:t>requirements</w:t>
      </w:r>
      <w:r>
        <w:rPr>
          <w:spacing w:val="-5"/>
          <w:sz w:val="24"/>
        </w:rPr>
        <w:t> </w:t>
      </w:r>
      <w:r>
        <w:rPr>
          <w:sz w:val="24"/>
        </w:rPr>
        <w:t>and</w:t>
      </w:r>
      <w:r>
        <w:rPr>
          <w:spacing w:val="-5"/>
          <w:sz w:val="24"/>
        </w:rPr>
        <w:t> </w:t>
      </w:r>
      <w:r>
        <w:rPr>
          <w:sz w:val="24"/>
        </w:rPr>
        <w:t>approvals</w:t>
      </w:r>
      <w:r>
        <w:rPr>
          <w:spacing w:val="-5"/>
          <w:sz w:val="24"/>
        </w:rPr>
        <w:t> </w:t>
      </w:r>
      <w:r>
        <w:rPr>
          <w:sz w:val="24"/>
        </w:rPr>
        <w:t>in</w:t>
      </w:r>
      <w:r>
        <w:rPr>
          <w:spacing w:val="-5"/>
          <w:sz w:val="24"/>
        </w:rPr>
        <w:t> </w:t>
      </w:r>
      <w:r>
        <w:rPr>
          <w:sz w:val="24"/>
        </w:rPr>
        <w:t>accordance</w:t>
      </w:r>
      <w:r>
        <w:rPr>
          <w:spacing w:val="-5"/>
          <w:sz w:val="24"/>
        </w:rPr>
        <w:t> </w:t>
      </w:r>
      <w:r>
        <w:rPr>
          <w:sz w:val="24"/>
        </w:rPr>
        <w:t>with</w:t>
      </w:r>
      <w:r>
        <w:rPr>
          <w:spacing w:val="-5"/>
          <w:sz w:val="24"/>
        </w:rPr>
        <w:t> </w:t>
      </w:r>
      <w:r>
        <w:rPr>
          <w:sz w:val="24"/>
        </w:rPr>
        <w:t>agency</w:t>
      </w:r>
      <w:r>
        <w:rPr>
          <w:spacing w:val="-5"/>
          <w:sz w:val="24"/>
        </w:rPr>
        <w:t> </w:t>
      </w:r>
      <w:r>
        <w:rPr>
          <w:sz w:val="24"/>
        </w:rPr>
        <w:t>administrative </w:t>
      </w:r>
      <w:r>
        <w:rPr>
          <w:spacing w:val="-2"/>
          <w:sz w:val="24"/>
        </w:rPr>
        <w:t>rules.</w:t>
      </w:r>
    </w:p>
    <w:p>
      <w:pPr>
        <w:pStyle w:val="ListParagraph"/>
        <w:numPr>
          <w:ilvl w:val="1"/>
          <w:numId w:val="83"/>
        </w:numPr>
        <w:tabs>
          <w:tab w:pos="1217" w:val="left" w:leader="none"/>
        </w:tabs>
        <w:spacing w:line="208" w:lineRule="auto" w:before="240" w:after="0"/>
        <w:ind w:left="791" w:right="760" w:firstLine="0"/>
        <w:jc w:val="left"/>
        <w:rPr>
          <w:sz w:val="24"/>
        </w:rPr>
      </w:pPr>
      <w:r>
        <w:rPr>
          <w:sz w:val="24"/>
        </w:rPr>
        <w:t>The participation of the client, or the client's authorized representative, will be obtained in deciding upon at least three vendors to be contacted by the rehabilitation</w:t>
      </w:r>
      <w:r>
        <w:rPr>
          <w:spacing w:val="-4"/>
          <w:sz w:val="24"/>
        </w:rPr>
        <w:t> </w:t>
      </w:r>
      <w:r>
        <w:rPr>
          <w:sz w:val="24"/>
        </w:rPr>
        <w:t>professional</w:t>
      </w:r>
      <w:r>
        <w:rPr>
          <w:spacing w:val="-4"/>
          <w:sz w:val="24"/>
        </w:rPr>
        <w:t> </w:t>
      </w:r>
      <w:r>
        <w:rPr>
          <w:sz w:val="24"/>
        </w:rPr>
        <w:t>to</w:t>
      </w:r>
      <w:r>
        <w:rPr>
          <w:spacing w:val="-4"/>
          <w:sz w:val="24"/>
        </w:rPr>
        <w:t> </w:t>
      </w:r>
      <w:r>
        <w:rPr>
          <w:sz w:val="24"/>
        </w:rPr>
        <w:t>obtain</w:t>
      </w:r>
      <w:r>
        <w:rPr>
          <w:spacing w:val="-4"/>
          <w:sz w:val="24"/>
        </w:rPr>
        <w:t> </w:t>
      </w:r>
      <w:r>
        <w:rPr>
          <w:sz w:val="24"/>
        </w:rPr>
        <w:t>bids</w:t>
      </w:r>
      <w:r>
        <w:rPr>
          <w:spacing w:val="-4"/>
          <w:sz w:val="24"/>
        </w:rPr>
        <w:t> </w:t>
      </w:r>
      <w:r>
        <w:rPr>
          <w:sz w:val="24"/>
        </w:rPr>
        <w:t>for</w:t>
      </w:r>
      <w:r>
        <w:rPr>
          <w:spacing w:val="-3"/>
          <w:sz w:val="24"/>
        </w:rPr>
        <w:t> </w:t>
      </w:r>
      <w:r>
        <w:rPr>
          <w:sz w:val="24"/>
        </w:rPr>
        <w:t>the</w:t>
      </w:r>
      <w:r>
        <w:rPr>
          <w:spacing w:val="-4"/>
          <w:sz w:val="24"/>
        </w:rPr>
        <w:t> </w:t>
      </w:r>
      <w:r>
        <w:rPr>
          <w:sz w:val="24"/>
        </w:rPr>
        <w:t>goods</w:t>
      </w:r>
      <w:r>
        <w:rPr>
          <w:spacing w:val="-4"/>
          <w:sz w:val="24"/>
        </w:rPr>
        <w:t> </w:t>
      </w:r>
      <w:r>
        <w:rPr>
          <w:sz w:val="24"/>
        </w:rPr>
        <w:t>or</w:t>
      </w:r>
      <w:r>
        <w:rPr>
          <w:spacing w:val="-3"/>
          <w:sz w:val="24"/>
        </w:rPr>
        <w:t> </w:t>
      </w:r>
      <w:r>
        <w:rPr>
          <w:sz w:val="24"/>
        </w:rPr>
        <w:t>services.</w:t>
      </w:r>
      <w:r>
        <w:rPr>
          <w:spacing w:val="-5"/>
          <w:sz w:val="24"/>
        </w:rPr>
        <w:t> </w:t>
      </w:r>
      <w:r>
        <w:rPr>
          <w:sz w:val="24"/>
        </w:rPr>
        <w:t>The</w:t>
      </w:r>
      <w:r>
        <w:rPr>
          <w:spacing w:val="-4"/>
          <w:sz w:val="24"/>
        </w:rPr>
        <w:t> </w:t>
      </w:r>
      <w:r>
        <w:rPr>
          <w:sz w:val="24"/>
        </w:rPr>
        <w:t>rehabilitation professional will review available vendor information with the client, or client's authorized representative, to jointly determine which vendor(s) can best meet the needs of the client in terms of product and service function, quality, and vendor </w:t>
      </w:r>
      <w:r>
        <w:rPr>
          <w:spacing w:val="-2"/>
          <w:sz w:val="24"/>
        </w:rPr>
        <w:t>accessibility.</w:t>
      </w:r>
    </w:p>
    <w:p>
      <w:pPr>
        <w:pStyle w:val="ListParagraph"/>
        <w:numPr>
          <w:ilvl w:val="1"/>
          <w:numId w:val="83"/>
        </w:numPr>
        <w:tabs>
          <w:tab w:pos="1217" w:val="left" w:leader="none"/>
        </w:tabs>
        <w:spacing w:line="208" w:lineRule="auto" w:before="239" w:after="0"/>
        <w:ind w:left="791" w:right="761" w:firstLine="0"/>
        <w:jc w:val="left"/>
        <w:rPr>
          <w:sz w:val="24"/>
        </w:rPr>
      </w:pPr>
      <w:r>
        <w:rPr>
          <w:sz w:val="24"/>
        </w:rPr>
        <w:t>At least three vendors offering the goods or services will be contacted to obtain bids. To expedite planning and service delivery, bids may be obtained verbally. Upon request, contacted vendors will be afforded at least 24 hours in which to prepare</w:t>
      </w:r>
      <w:r>
        <w:rPr>
          <w:spacing w:val="-4"/>
          <w:sz w:val="24"/>
        </w:rPr>
        <w:t> </w:t>
      </w:r>
      <w:r>
        <w:rPr>
          <w:sz w:val="24"/>
        </w:rPr>
        <w:t>and</w:t>
      </w:r>
      <w:r>
        <w:rPr>
          <w:spacing w:val="-4"/>
          <w:sz w:val="24"/>
        </w:rPr>
        <w:t> </w:t>
      </w:r>
      <w:r>
        <w:rPr>
          <w:sz w:val="24"/>
        </w:rPr>
        <w:t>submit</w:t>
      </w:r>
      <w:r>
        <w:rPr>
          <w:spacing w:val="-3"/>
          <w:sz w:val="24"/>
        </w:rPr>
        <w:t> </w:t>
      </w:r>
      <w:r>
        <w:rPr>
          <w:sz w:val="24"/>
        </w:rPr>
        <w:t>the</w:t>
      </w:r>
      <w:r>
        <w:rPr>
          <w:spacing w:val="-4"/>
          <w:sz w:val="24"/>
        </w:rPr>
        <w:t> </w:t>
      </w:r>
      <w:r>
        <w:rPr>
          <w:sz w:val="24"/>
        </w:rPr>
        <w:t>verbal</w:t>
      </w:r>
      <w:r>
        <w:rPr>
          <w:spacing w:val="-4"/>
          <w:sz w:val="24"/>
        </w:rPr>
        <w:t> </w:t>
      </w:r>
      <w:r>
        <w:rPr>
          <w:sz w:val="24"/>
        </w:rPr>
        <w:t>bid.</w:t>
      </w:r>
      <w:r>
        <w:rPr>
          <w:spacing w:val="-3"/>
          <w:sz w:val="24"/>
        </w:rPr>
        <w:t> </w:t>
      </w:r>
      <w:r>
        <w:rPr>
          <w:sz w:val="24"/>
        </w:rPr>
        <w:t>The</w:t>
      </w:r>
      <w:r>
        <w:rPr>
          <w:spacing w:val="-4"/>
          <w:sz w:val="24"/>
        </w:rPr>
        <w:t> </w:t>
      </w:r>
      <w:r>
        <w:rPr>
          <w:sz w:val="24"/>
        </w:rPr>
        <w:t>rehabilitation</w:t>
      </w:r>
      <w:r>
        <w:rPr>
          <w:spacing w:val="-4"/>
          <w:sz w:val="24"/>
        </w:rPr>
        <w:t> </w:t>
      </w:r>
      <w:r>
        <w:rPr>
          <w:sz w:val="24"/>
        </w:rPr>
        <w:t>professional</w:t>
      </w:r>
      <w:r>
        <w:rPr>
          <w:spacing w:val="-4"/>
          <w:sz w:val="24"/>
        </w:rPr>
        <w:t> </w:t>
      </w:r>
      <w:r>
        <w:rPr>
          <w:sz w:val="24"/>
        </w:rPr>
        <w:t>will</w:t>
      </w:r>
      <w:r>
        <w:rPr>
          <w:spacing w:val="-4"/>
          <w:sz w:val="24"/>
        </w:rPr>
        <w:t> </w:t>
      </w:r>
      <w:r>
        <w:rPr>
          <w:sz w:val="24"/>
        </w:rPr>
        <w:t>ensure</w:t>
      </w:r>
      <w:r>
        <w:rPr>
          <w:spacing w:val="-4"/>
          <w:sz w:val="24"/>
        </w:rPr>
        <w:t> </w:t>
      </w:r>
      <w:r>
        <w:rPr>
          <w:sz w:val="24"/>
        </w:rPr>
        <w:t>that</w:t>
      </w:r>
      <w:r>
        <w:rPr>
          <w:spacing w:val="-3"/>
          <w:sz w:val="24"/>
        </w:rPr>
        <w:t> </w:t>
      </w:r>
      <w:r>
        <w:rPr>
          <w:sz w:val="24"/>
        </w:rPr>
        <w:t>all bids</w:t>
      </w:r>
      <w:r>
        <w:rPr>
          <w:spacing w:val="-3"/>
          <w:sz w:val="24"/>
        </w:rPr>
        <w:t> </w:t>
      </w:r>
      <w:r>
        <w:rPr>
          <w:sz w:val="24"/>
        </w:rPr>
        <w:t>are</w:t>
      </w:r>
      <w:r>
        <w:rPr>
          <w:spacing w:val="-3"/>
          <w:sz w:val="24"/>
        </w:rPr>
        <w:t> </w:t>
      </w:r>
      <w:r>
        <w:rPr>
          <w:sz w:val="24"/>
        </w:rPr>
        <w:t>submitted</w:t>
      </w:r>
      <w:r>
        <w:rPr>
          <w:spacing w:val="-3"/>
          <w:sz w:val="24"/>
        </w:rPr>
        <w:t> </w:t>
      </w:r>
      <w:r>
        <w:rPr>
          <w:sz w:val="24"/>
        </w:rPr>
        <w:t>in</w:t>
      </w:r>
      <w:r>
        <w:rPr>
          <w:spacing w:val="-3"/>
          <w:sz w:val="24"/>
        </w:rPr>
        <w:t> </w:t>
      </w:r>
      <w:r>
        <w:rPr>
          <w:sz w:val="24"/>
        </w:rPr>
        <w:t>writing</w:t>
      </w:r>
      <w:r>
        <w:rPr>
          <w:spacing w:val="-3"/>
          <w:sz w:val="24"/>
        </w:rPr>
        <w:t> </w:t>
      </w:r>
      <w:r>
        <w:rPr>
          <w:sz w:val="24"/>
        </w:rPr>
        <w:t>for</w:t>
      </w:r>
      <w:r>
        <w:rPr>
          <w:spacing w:val="-2"/>
          <w:sz w:val="24"/>
        </w:rPr>
        <w:t> </w:t>
      </w:r>
      <w:r>
        <w:rPr>
          <w:sz w:val="24"/>
        </w:rPr>
        <w:t>the</w:t>
      </w:r>
      <w:r>
        <w:rPr>
          <w:spacing w:val="-3"/>
          <w:sz w:val="24"/>
        </w:rPr>
        <w:t> </w:t>
      </w:r>
      <w:r>
        <w:rPr>
          <w:sz w:val="24"/>
        </w:rPr>
        <w:t>same</w:t>
      </w:r>
      <w:r>
        <w:rPr>
          <w:spacing w:val="-3"/>
          <w:sz w:val="24"/>
        </w:rPr>
        <w:t> </w:t>
      </w:r>
      <w:r>
        <w:rPr>
          <w:sz w:val="24"/>
        </w:rPr>
        <w:t>or</w:t>
      </w:r>
      <w:r>
        <w:rPr>
          <w:spacing w:val="-4"/>
          <w:sz w:val="24"/>
        </w:rPr>
        <w:t> </w:t>
      </w:r>
      <w:r>
        <w:rPr>
          <w:sz w:val="24"/>
        </w:rPr>
        <w:t>comparable</w:t>
      </w:r>
      <w:r>
        <w:rPr>
          <w:spacing w:val="-3"/>
          <w:sz w:val="24"/>
        </w:rPr>
        <w:t> </w:t>
      </w:r>
      <w:r>
        <w:rPr>
          <w:sz w:val="24"/>
        </w:rPr>
        <w:t>item</w:t>
      </w:r>
      <w:r>
        <w:rPr>
          <w:spacing w:val="-2"/>
          <w:sz w:val="24"/>
        </w:rPr>
        <w:t> </w:t>
      </w:r>
      <w:r>
        <w:rPr>
          <w:sz w:val="24"/>
        </w:rPr>
        <w:t>and</w:t>
      </w:r>
      <w:r>
        <w:rPr>
          <w:spacing w:val="-4"/>
          <w:sz w:val="24"/>
        </w:rPr>
        <w:t> </w:t>
      </w:r>
      <w:r>
        <w:rPr>
          <w:sz w:val="24"/>
        </w:rPr>
        <w:t>will</w:t>
      </w:r>
      <w:r>
        <w:rPr>
          <w:spacing w:val="-3"/>
          <w:sz w:val="24"/>
        </w:rPr>
        <w:t> </w:t>
      </w:r>
      <w:r>
        <w:rPr>
          <w:sz w:val="24"/>
        </w:rPr>
        <w:t>document</w:t>
      </w:r>
      <w:r>
        <w:rPr>
          <w:spacing w:val="-2"/>
          <w:sz w:val="24"/>
        </w:rPr>
        <w:t> </w:t>
      </w:r>
      <w:r>
        <w:rPr>
          <w:sz w:val="24"/>
        </w:rPr>
        <w:t>the bids received by using the Vendor Bid Documentation Form.</w:t>
      </w:r>
    </w:p>
    <w:p>
      <w:pPr>
        <w:pStyle w:val="ListParagraph"/>
        <w:numPr>
          <w:ilvl w:val="1"/>
          <w:numId w:val="83"/>
        </w:numPr>
        <w:tabs>
          <w:tab w:pos="1217" w:val="left" w:leader="none"/>
        </w:tabs>
        <w:spacing w:line="208" w:lineRule="auto" w:before="240" w:after="0"/>
        <w:ind w:left="791" w:right="774" w:firstLine="0"/>
        <w:jc w:val="left"/>
        <w:rPr>
          <w:sz w:val="24"/>
        </w:rPr>
      </w:pPr>
      <w:r>
        <w:rPr>
          <w:sz w:val="24"/>
        </w:rPr>
        <w:t>The</w:t>
      </w:r>
      <w:r>
        <w:rPr>
          <w:spacing w:val="-6"/>
          <w:sz w:val="24"/>
        </w:rPr>
        <w:t> </w:t>
      </w:r>
      <w:r>
        <w:rPr>
          <w:sz w:val="24"/>
        </w:rPr>
        <w:t>rehabilitation</w:t>
      </w:r>
      <w:r>
        <w:rPr>
          <w:spacing w:val="-4"/>
          <w:sz w:val="24"/>
        </w:rPr>
        <w:t> </w:t>
      </w:r>
      <w:r>
        <w:rPr>
          <w:sz w:val="24"/>
        </w:rPr>
        <w:t>professional</w:t>
      </w:r>
      <w:r>
        <w:rPr>
          <w:spacing w:val="-5"/>
          <w:sz w:val="24"/>
        </w:rPr>
        <w:t> </w:t>
      </w:r>
      <w:r>
        <w:rPr>
          <w:sz w:val="24"/>
        </w:rPr>
        <w:t>will</w:t>
      </w:r>
      <w:r>
        <w:rPr>
          <w:spacing w:val="-5"/>
          <w:sz w:val="24"/>
        </w:rPr>
        <w:t> </w:t>
      </w:r>
      <w:r>
        <w:rPr>
          <w:sz w:val="24"/>
        </w:rPr>
        <w:t>issue</w:t>
      </w:r>
      <w:r>
        <w:rPr>
          <w:spacing w:val="-4"/>
          <w:sz w:val="24"/>
        </w:rPr>
        <w:t> </w:t>
      </w:r>
      <w:r>
        <w:rPr>
          <w:sz w:val="24"/>
        </w:rPr>
        <w:t>the</w:t>
      </w:r>
      <w:r>
        <w:rPr>
          <w:spacing w:val="-5"/>
          <w:sz w:val="24"/>
        </w:rPr>
        <w:t> </w:t>
      </w:r>
      <w:r>
        <w:rPr>
          <w:sz w:val="24"/>
        </w:rPr>
        <w:t>appropriate</w:t>
      </w:r>
      <w:r>
        <w:rPr>
          <w:spacing w:val="-5"/>
          <w:sz w:val="24"/>
        </w:rPr>
        <w:t> </w:t>
      </w:r>
      <w:r>
        <w:rPr>
          <w:sz w:val="24"/>
        </w:rPr>
        <w:t>authorization</w:t>
      </w:r>
      <w:r>
        <w:rPr>
          <w:spacing w:val="-5"/>
          <w:sz w:val="24"/>
        </w:rPr>
        <w:t> </w:t>
      </w:r>
      <w:r>
        <w:rPr>
          <w:sz w:val="24"/>
        </w:rPr>
        <w:t>and</w:t>
      </w:r>
      <w:r>
        <w:rPr>
          <w:spacing w:val="-4"/>
          <w:sz w:val="24"/>
        </w:rPr>
        <w:t> </w:t>
      </w:r>
      <w:r>
        <w:rPr>
          <w:sz w:val="24"/>
        </w:rPr>
        <w:t>claim to the vendor submitting the lowest and best bid. If the rehabilitation professional managing the case is also the recognized specialist who identified the purchase requirements, then the supervisor will issue the appropriate authorization. Authorization may be issued to a vendor not submitting the lowest bid only with strong documentation that the selected vendor can best meet the needs of the client. When the bid is in excess of $5,000.00 the successful bidder will sign a non- collusion statement (to be sent with the claim), which will be maintained in the case service record.</w:t>
      </w:r>
    </w:p>
    <w:p>
      <w:pPr>
        <w:pStyle w:val="ListParagraph"/>
        <w:numPr>
          <w:ilvl w:val="1"/>
          <w:numId w:val="83"/>
        </w:numPr>
        <w:tabs>
          <w:tab w:pos="1216" w:val="left" w:leader="none"/>
        </w:tabs>
        <w:spacing w:line="208" w:lineRule="auto" w:before="239" w:after="0"/>
        <w:ind w:left="791" w:right="721" w:firstLine="0"/>
        <w:jc w:val="left"/>
        <w:rPr>
          <w:sz w:val="24"/>
        </w:rPr>
      </w:pPr>
      <w:r>
        <w:rPr>
          <w:sz w:val="24"/>
        </w:rPr>
        <w:t>In</w:t>
      </w:r>
      <w:r>
        <w:rPr>
          <w:spacing w:val="-5"/>
          <w:sz w:val="24"/>
        </w:rPr>
        <w:t> </w:t>
      </w:r>
      <w:r>
        <w:rPr>
          <w:sz w:val="24"/>
        </w:rPr>
        <w:t>the</w:t>
      </w:r>
      <w:r>
        <w:rPr>
          <w:spacing w:val="-4"/>
          <w:sz w:val="24"/>
        </w:rPr>
        <w:t> </w:t>
      </w:r>
      <w:r>
        <w:rPr>
          <w:sz w:val="24"/>
        </w:rPr>
        <w:t>case</w:t>
      </w:r>
      <w:r>
        <w:rPr>
          <w:spacing w:val="-4"/>
          <w:sz w:val="24"/>
        </w:rPr>
        <w:t> </w:t>
      </w:r>
      <w:r>
        <w:rPr>
          <w:sz w:val="24"/>
        </w:rPr>
        <w:t>of</w:t>
      </w:r>
      <w:r>
        <w:rPr>
          <w:spacing w:val="-3"/>
          <w:sz w:val="24"/>
        </w:rPr>
        <w:t> </w:t>
      </w:r>
      <w:r>
        <w:rPr>
          <w:sz w:val="24"/>
        </w:rPr>
        <w:t>a</w:t>
      </w:r>
      <w:r>
        <w:rPr>
          <w:spacing w:val="-4"/>
          <w:sz w:val="24"/>
        </w:rPr>
        <w:t> </w:t>
      </w:r>
      <w:r>
        <w:rPr>
          <w:sz w:val="24"/>
        </w:rPr>
        <w:t>vehicle</w:t>
      </w:r>
      <w:r>
        <w:rPr>
          <w:spacing w:val="-4"/>
          <w:sz w:val="24"/>
        </w:rPr>
        <w:t> </w:t>
      </w:r>
      <w:r>
        <w:rPr>
          <w:sz w:val="24"/>
        </w:rPr>
        <w:t>modification</w:t>
      </w:r>
      <w:r>
        <w:rPr>
          <w:spacing w:val="-4"/>
          <w:sz w:val="24"/>
        </w:rPr>
        <w:t> </w:t>
      </w:r>
      <w:r>
        <w:rPr>
          <w:sz w:val="24"/>
        </w:rPr>
        <w:t>or</w:t>
      </w:r>
      <w:r>
        <w:rPr>
          <w:spacing w:val="-3"/>
          <w:sz w:val="24"/>
        </w:rPr>
        <w:t> </w:t>
      </w:r>
      <w:r>
        <w:rPr>
          <w:sz w:val="24"/>
        </w:rPr>
        <w:t>housing</w:t>
      </w:r>
      <w:r>
        <w:rPr>
          <w:spacing w:val="-4"/>
          <w:sz w:val="24"/>
        </w:rPr>
        <w:t> </w:t>
      </w:r>
      <w:r>
        <w:rPr>
          <w:sz w:val="24"/>
        </w:rPr>
        <w:t>modification,</w:t>
      </w:r>
      <w:r>
        <w:rPr>
          <w:spacing w:val="-3"/>
          <w:sz w:val="24"/>
        </w:rPr>
        <w:t> </w:t>
      </w:r>
      <w:r>
        <w:rPr>
          <w:sz w:val="24"/>
        </w:rPr>
        <w:t>upon</w:t>
      </w:r>
      <w:r>
        <w:rPr>
          <w:spacing w:val="-4"/>
          <w:sz w:val="24"/>
        </w:rPr>
        <w:t> </w:t>
      </w:r>
      <w:r>
        <w:rPr>
          <w:sz w:val="24"/>
        </w:rPr>
        <w:t>completion</w:t>
      </w:r>
      <w:r>
        <w:rPr>
          <w:spacing w:val="-4"/>
          <w:sz w:val="24"/>
        </w:rPr>
        <w:t> </w:t>
      </w:r>
      <w:r>
        <w:rPr>
          <w:sz w:val="24"/>
        </w:rPr>
        <w:t>of the authorized services, the counselor will contact the AT Specialist to schedule</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792" w:right="775"/>
        <w:rPr>
          <w:b/>
        </w:rPr>
      </w:pPr>
      <w:r>
        <w:rPr/>
        <w:t>inspection of the work in accordance with agency administrative rules. </w:t>
      </w:r>
      <w:r>
        <w:rPr>
          <w:b/>
        </w:rPr>
        <w:t>4 </w:t>
      </w:r>
      <w:r>
        <w:rPr/>
        <w:t>The AT Specialist</w:t>
      </w:r>
      <w:r>
        <w:rPr>
          <w:spacing w:val="-4"/>
        </w:rPr>
        <w:t> </w:t>
      </w:r>
      <w:r>
        <w:rPr/>
        <w:t>will</w:t>
      </w:r>
      <w:r>
        <w:rPr>
          <w:spacing w:val="-5"/>
        </w:rPr>
        <w:t> </w:t>
      </w:r>
      <w:r>
        <w:rPr/>
        <w:t>complete</w:t>
      </w:r>
      <w:r>
        <w:rPr>
          <w:spacing w:val="-5"/>
        </w:rPr>
        <w:t> </w:t>
      </w:r>
      <w:r>
        <w:rPr/>
        <w:t>the</w:t>
      </w:r>
      <w:r>
        <w:rPr>
          <w:spacing w:val="-5"/>
        </w:rPr>
        <w:t> </w:t>
      </w:r>
      <w:r>
        <w:rPr/>
        <w:t>"Assistive</w:t>
      </w:r>
      <w:r>
        <w:rPr>
          <w:spacing w:val="-5"/>
        </w:rPr>
        <w:t> </w:t>
      </w:r>
      <w:r>
        <w:rPr/>
        <w:t>Technology</w:t>
      </w:r>
      <w:r>
        <w:rPr>
          <w:spacing w:val="-5"/>
        </w:rPr>
        <w:t> </w:t>
      </w:r>
      <w:r>
        <w:rPr/>
        <w:t>Inspection</w:t>
      </w:r>
      <w:r>
        <w:rPr>
          <w:spacing w:val="-5"/>
        </w:rPr>
        <w:t> </w:t>
      </w:r>
      <w:r>
        <w:rPr/>
        <w:t>Report"</w:t>
      </w:r>
      <w:r>
        <w:rPr>
          <w:spacing w:val="-5"/>
        </w:rPr>
        <w:t> </w:t>
      </w:r>
      <w:r>
        <w:rPr/>
        <w:t>verifying</w:t>
      </w:r>
      <w:r>
        <w:rPr>
          <w:spacing w:val="-6"/>
        </w:rPr>
        <w:t> </w:t>
      </w:r>
      <w:r>
        <w:rPr/>
        <w:t>the modification conforms to acceptable standards and the work is satisfactory. </w:t>
      </w:r>
      <w:r>
        <w:rPr>
          <w:b/>
        </w:rPr>
        <w:t>3</w:t>
      </w:r>
    </w:p>
    <w:p>
      <w:pPr>
        <w:pStyle w:val="ListParagraph"/>
        <w:numPr>
          <w:ilvl w:val="1"/>
          <w:numId w:val="83"/>
        </w:numPr>
        <w:tabs>
          <w:tab w:pos="1218" w:val="left" w:leader="none"/>
        </w:tabs>
        <w:spacing w:line="208" w:lineRule="auto" w:before="240" w:after="0"/>
        <w:ind w:left="792" w:right="734" w:firstLine="0"/>
        <w:jc w:val="left"/>
        <w:rPr>
          <w:sz w:val="24"/>
        </w:rPr>
      </w:pPr>
      <w:r>
        <w:rPr>
          <w:sz w:val="24"/>
        </w:rPr>
        <w:t>Upon delivery of the goods or services in accordance with the IPE and authorization,</w:t>
      </w:r>
      <w:r>
        <w:rPr>
          <w:spacing w:val="-3"/>
          <w:sz w:val="24"/>
        </w:rPr>
        <w:t> </w:t>
      </w:r>
      <w:r>
        <w:rPr>
          <w:sz w:val="24"/>
        </w:rPr>
        <w:t>a</w:t>
      </w:r>
      <w:r>
        <w:rPr>
          <w:spacing w:val="-4"/>
          <w:sz w:val="24"/>
        </w:rPr>
        <w:t> </w:t>
      </w:r>
      <w:r>
        <w:rPr>
          <w:sz w:val="24"/>
        </w:rPr>
        <w:t>rehabilitation</w:t>
      </w:r>
      <w:r>
        <w:rPr>
          <w:spacing w:val="-4"/>
          <w:sz w:val="24"/>
        </w:rPr>
        <w:t> </w:t>
      </w:r>
      <w:r>
        <w:rPr>
          <w:sz w:val="24"/>
        </w:rPr>
        <w:t>staff</w:t>
      </w:r>
      <w:r>
        <w:rPr>
          <w:spacing w:val="-3"/>
          <w:sz w:val="24"/>
        </w:rPr>
        <w:t> </w:t>
      </w:r>
      <w:r>
        <w:rPr>
          <w:sz w:val="24"/>
        </w:rPr>
        <w:t>person</w:t>
      </w:r>
      <w:r>
        <w:rPr>
          <w:spacing w:val="-4"/>
          <w:sz w:val="24"/>
        </w:rPr>
        <w:t> </w:t>
      </w:r>
      <w:r>
        <w:rPr>
          <w:sz w:val="24"/>
        </w:rPr>
        <w:t>other</w:t>
      </w:r>
      <w:r>
        <w:rPr>
          <w:spacing w:val="-3"/>
          <w:sz w:val="24"/>
        </w:rPr>
        <w:t> </w:t>
      </w:r>
      <w:r>
        <w:rPr>
          <w:sz w:val="24"/>
        </w:rPr>
        <w:t>than</w:t>
      </w:r>
      <w:r>
        <w:rPr>
          <w:spacing w:val="-4"/>
          <w:sz w:val="24"/>
        </w:rPr>
        <w:t> </w:t>
      </w:r>
      <w:r>
        <w:rPr>
          <w:sz w:val="24"/>
        </w:rPr>
        <w:t>the</w:t>
      </w:r>
      <w:r>
        <w:rPr>
          <w:spacing w:val="-4"/>
          <w:sz w:val="24"/>
        </w:rPr>
        <w:t> </w:t>
      </w:r>
      <w:r>
        <w:rPr>
          <w:sz w:val="24"/>
        </w:rPr>
        <w:t>specialist</w:t>
      </w:r>
      <w:r>
        <w:rPr>
          <w:spacing w:val="-3"/>
          <w:sz w:val="24"/>
        </w:rPr>
        <w:t> </w:t>
      </w:r>
      <w:r>
        <w:rPr>
          <w:sz w:val="24"/>
        </w:rPr>
        <w:t>who</w:t>
      </w:r>
      <w:r>
        <w:rPr>
          <w:spacing w:val="-4"/>
          <w:sz w:val="24"/>
        </w:rPr>
        <w:t> </w:t>
      </w:r>
      <w:r>
        <w:rPr>
          <w:sz w:val="24"/>
        </w:rPr>
        <w:t>specified</w:t>
      </w:r>
      <w:r>
        <w:rPr>
          <w:spacing w:val="-4"/>
          <w:sz w:val="24"/>
        </w:rPr>
        <w:t> </w:t>
      </w:r>
      <w:r>
        <w:rPr>
          <w:sz w:val="24"/>
        </w:rPr>
        <w:t>the purchase requirements and the rehabilitation professional who authorized the purchase will accept delivery, verify that goods received match the vendor invoice, sign the appropriate claim form, sign and attach the invoice and forward them</w:t>
      </w:r>
      <w:r>
        <w:rPr>
          <w:spacing w:val="-1"/>
          <w:sz w:val="24"/>
        </w:rPr>
        <w:t> </w:t>
      </w:r>
      <w:r>
        <w:rPr>
          <w:sz w:val="24"/>
        </w:rPr>
        <w:t>to</w:t>
      </w:r>
      <w:r>
        <w:rPr>
          <w:spacing w:val="-1"/>
          <w:sz w:val="24"/>
        </w:rPr>
        <w:t> </w:t>
      </w:r>
      <w:r>
        <w:rPr>
          <w:sz w:val="24"/>
        </w:rPr>
        <w:t>the DRS Finance Services Division.</w:t>
      </w:r>
    </w:p>
    <w:p>
      <w:pPr>
        <w:pStyle w:val="ListParagraph"/>
        <w:numPr>
          <w:ilvl w:val="1"/>
          <w:numId w:val="83"/>
        </w:numPr>
        <w:tabs>
          <w:tab w:pos="1218" w:val="left" w:leader="none"/>
        </w:tabs>
        <w:spacing w:line="208" w:lineRule="auto" w:before="239" w:after="0"/>
        <w:ind w:left="792" w:right="1201" w:firstLine="0"/>
        <w:jc w:val="left"/>
        <w:rPr>
          <w:sz w:val="24"/>
        </w:rPr>
      </w:pPr>
      <w:r>
        <w:rPr>
          <w:sz w:val="24"/>
        </w:rPr>
        <w:t>Upon</w:t>
      </w:r>
      <w:r>
        <w:rPr>
          <w:spacing w:val="-3"/>
          <w:sz w:val="24"/>
        </w:rPr>
        <w:t> </w:t>
      </w:r>
      <w:r>
        <w:rPr>
          <w:sz w:val="24"/>
        </w:rPr>
        <w:t>delivery</w:t>
      </w:r>
      <w:r>
        <w:rPr>
          <w:spacing w:val="-3"/>
          <w:sz w:val="24"/>
        </w:rPr>
        <w:t> </w:t>
      </w:r>
      <w:r>
        <w:rPr>
          <w:sz w:val="24"/>
        </w:rPr>
        <w:t>of</w:t>
      </w:r>
      <w:r>
        <w:rPr>
          <w:spacing w:val="-2"/>
          <w:sz w:val="24"/>
        </w:rPr>
        <w:t> </w:t>
      </w:r>
      <w:r>
        <w:rPr>
          <w:sz w:val="24"/>
        </w:rPr>
        <w:t>any</w:t>
      </w:r>
      <w:r>
        <w:rPr>
          <w:spacing w:val="-3"/>
          <w:sz w:val="24"/>
        </w:rPr>
        <w:t> </w:t>
      </w:r>
      <w:r>
        <w:rPr>
          <w:sz w:val="24"/>
        </w:rPr>
        <w:t>goods</w:t>
      </w:r>
      <w:r>
        <w:rPr>
          <w:spacing w:val="-3"/>
          <w:sz w:val="24"/>
        </w:rPr>
        <w:t> </w:t>
      </w:r>
      <w:r>
        <w:rPr>
          <w:sz w:val="24"/>
        </w:rPr>
        <w:t>costing</w:t>
      </w:r>
      <w:r>
        <w:rPr>
          <w:spacing w:val="-3"/>
          <w:sz w:val="24"/>
        </w:rPr>
        <w:t> </w:t>
      </w:r>
      <w:r>
        <w:rPr>
          <w:sz w:val="24"/>
        </w:rPr>
        <w:t>$500</w:t>
      </w:r>
      <w:r>
        <w:rPr>
          <w:spacing w:val="-3"/>
          <w:sz w:val="24"/>
        </w:rPr>
        <w:t> </w:t>
      </w:r>
      <w:r>
        <w:rPr>
          <w:sz w:val="24"/>
        </w:rPr>
        <w:t>or</w:t>
      </w:r>
      <w:r>
        <w:rPr>
          <w:spacing w:val="-2"/>
          <w:sz w:val="24"/>
        </w:rPr>
        <w:t> </w:t>
      </w:r>
      <w:r>
        <w:rPr>
          <w:sz w:val="24"/>
        </w:rPr>
        <w:t>more</w:t>
      </w:r>
      <w:r>
        <w:rPr>
          <w:spacing w:val="-4"/>
          <w:sz w:val="24"/>
        </w:rPr>
        <w:t> </w:t>
      </w:r>
      <w:r>
        <w:rPr>
          <w:sz w:val="24"/>
        </w:rPr>
        <w:t>to</w:t>
      </w:r>
      <w:r>
        <w:rPr>
          <w:spacing w:val="-3"/>
          <w:sz w:val="24"/>
        </w:rPr>
        <w:t> </w:t>
      </w:r>
      <w:r>
        <w:rPr>
          <w:sz w:val="24"/>
        </w:rPr>
        <w:t>the</w:t>
      </w:r>
      <w:r>
        <w:rPr>
          <w:spacing w:val="-3"/>
          <w:sz w:val="24"/>
        </w:rPr>
        <w:t> </w:t>
      </w:r>
      <w:r>
        <w:rPr>
          <w:sz w:val="24"/>
        </w:rPr>
        <w:t>client,</w:t>
      </w:r>
      <w:r>
        <w:rPr>
          <w:spacing w:val="-2"/>
          <w:sz w:val="24"/>
        </w:rPr>
        <w:t> </w:t>
      </w:r>
      <w:r>
        <w:rPr>
          <w:sz w:val="24"/>
        </w:rPr>
        <w:t>a</w:t>
      </w:r>
      <w:r>
        <w:rPr>
          <w:spacing w:val="-3"/>
          <w:sz w:val="24"/>
        </w:rPr>
        <w:t> </w:t>
      </w:r>
      <w:r>
        <w:rPr>
          <w:sz w:val="24"/>
        </w:rPr>
        <w:t>Receipt</w:t>
      </w:r>
      <w:r>
        <w:rPr>
          <w:spacing w:val="-2"/>
          <w:sz w:val="24"/>
        </w:rPr>
        <w:t> </w:t>
      </w:r>
      <w:r>
        <w:rPr>
          <w:sz w:val="24"/>
        </w:rPr>
        <w:t>for Equipment and Title Agreement must be completed and approved.</w:t>
      </w:r>
    </w:p>
    <w:p>
      <w:pPr>
        <w:pStyle w:val="ListParagraph"/>
        <w:numPr>
          <w:ilvl w:val="1"/>
          <w:numId w:val="83"/>
        </w:numPr>
        <w:tabs>
          <w:tab w:pos="1217" w:val="left" w:leader="none"/>
        </w:tabs>
        <w:spacing w:line="258" w:lineRule="exact" w:before="210" w:after="0"/>
        <w:ind w:left="1217" w:right="0" w:hanging="425"/>
        <w:jc w:val="left"/>
        <w:rPr>
          <w:sz w:val="24"/>
        </w:rPr>
      </w:pPr>
      <w:r>
        <w:rPr>
          <w:sz w:val="24"/>
        </w:rPr>
        <w:t>Itemized</w:t>
      </w:r>
      <w:r>
        <w:rPr>
          <w:spacing w:val="-5"/>
          <w:sz w:val="24"/>
        </w:rPr>
        <w:t> </w:t>
      </w:r>
      <w:r>
        <w:rPr>
          <w:sz w:val="24"/>
        </w:rPr>
        <w:t>documentation</w:t>
      </w:r>
      <w:r>
        <w:rPr>
          <w:spacing w:val="-2"/>
          <w:sz w:val="24"/>
        </w:rPr>
        <w:t> </w:t>
      </w:r>
      <w:r>
        <w:rPr>
          <w:sz w:val="24"/>
        </w:rPr>
        <w:t>will</w:t>
      </w:r>
      <w:r>
        <w:rPr>
          <w:spacing w:val="-2"/>
          <w:sz w:val="24"/>
        </w:rPr>
        <w:t> </w:t>
      </w:r>
      <w:r>
        <w:rPr>
          <w:sz w:val="24"/>
        </w:rPr>
        <w:t>be</w:t>
      </w:r>
      <w:r>
        <w:rPr>
          <w:spacing w:val="-2"/>
          <w:sz w:val="24"/>
        </w:rPr>
        <w:t> </w:t>
      </w:r>
      <w:r>
        <w:rPr>
          <w:sz w:val="24"/>
        </w:rPr>
        <w:t>in</w:t>
      </w:r>
      <w:r>
        <w:rPr>
          <w:spacing w:val="-3"/>
          <w:sz w:val="24"/>
        </w:rPr>
        <w:t> </w:t>
      </w:r>
      <w:r>
        <w:rPr>
          <w:sz w:val="24"/>
        </w:rPr>
        <w:t>the</w:t>
      </w:r>
      <w:r>
        <w:rPr>
          <w:spacing w:val="-2"/>
          <w:sz w:val="24"/>
        </w:rPr>
        <w:t> </w:t>
      </w:r>
      <w:r>
        <w:rPr>
          <w:sz w:val="24"/>
        </w:rPr>
        <w:t>case</w:t>
      </w:r>
      <w:r>
        <w:rPr>
          <w:spacing w:val="-2"/>
          <w:sz w:val="24"/>
        </w:rPr>
        <w:t> </w:t>
      </w:r>
      <w:r>
        <w:rPr>
          <w:sz w:val="24"/>
        </w:rPr>
        <w:t>record</w:t>
      </w:r>
      <w:r>
        <w:rPr>
          <w:spacing w:val="-2"/>
          <w:sz w:val="24"/>
        </w:rPr>
        <w:t> </w:t>
      </w:r>
      <w:r>
        <w:rPr>
          <w:sz w:val="24"/>
        </w:rPr>
        <w:t>on</w:t>
      </w:r>
      <w:r>
        <w:rPr>
          <w:spacing w:val="-3"/>
          <w:sz w:val="24"/>
        </w:rPr>
        <w:t> </w:t>
      </w:r>
      <w:r>
        <w:rPr>
          <w:sz w:val="24"/>
        </w:rPr>
        <w:t>all</w:t>
      </w:r>
      <w:r>
        <w:rPr>
          <w:spacing w:val="-2"/>
          <w:sz w:val="24"/>
        </w:rPr>
        <w:t> </w:t>
      </w:r>
      <w:r>
        <w:rPr>
          <w:sz w:val="24"/>
        </w:rPr>
        <w:t>orders</w:t>
      </w:r>
      <w:r>
        <w:rPr>
          <w:spacing w:val="-2"/>
          <w:sz w:val="24"/>
        </w:rPr>
        <w:t> </w:t>
      </w:r>
      <w:r>
        <w:rPr>
          <w:sz w:val="24"/>
        </w:rPr>
        <w:t>costing</w:t>
      </w:r>
      <w:r>
        <w:rPr>
          <w:spacing w:val="-2"/>
          <w:sz w:val="24"/>
        </w:rPr>
        <w:t> </w:t>
      </w:r>
      <w:r>
        <w:rPr>
          <w:sz w:val="24"/>
        </w:rPr>
        <w:t>less</w:t>
      </w:r>
      <w:r>
        <w:rPr>
          <w:spacing w:val="-2"/>
          <w:sz w:val="24"/>
        </w:rPr>
        <w:t> </w:t>
      </w:r>
      <w:r>
        <w:rPr>
          <w:spacing w:val="-4"/>
          <w:sz w:val="24"/>
        </w:rPr>
        <w:t>than</w:t>
      </w:r>
    </w:p>
    <w:p>
      <w:pPr>
        <w:pStyle w:val="BodyText"/>
        <w:spacing w:line="208" w:lineRule="auto" w:before="12"/>
        <w:ind w:left="792" w:right="775"/>
      </w:pPr>
      <w:r>
        <w:rPr/>
        <w:t>$500</w:t>
      </w:r>
      <w:r>
        <w:rPr>
          <w:spacing w:val="-4"/>
        </w:rPr>
        <w:t> </w:t>
      </w:r>
      <w:r>
        <w:rPr/>
        <w:t>and</w:t>
      </w:r>
      <w:r>
        <w:rPr>
          <w:spacing w:val="-4"/>
        </w:rPr>
        <w:t> </w:t>
      </w:r>
      <w:r>
        <w:rPr/>
        <w:t>the</w:t>
      </w:r>
      <w:r>
        <w:rPr>
          <w:spacing w:val="-4"/>
        </w:rPr>
        <w:t> </w:t>
      </w:r>
      <w:r>
        <w:rPr/>
        <w:t>client</w:t>
      </w:r>
      <w:r>
        <w:rPr>
          <w:spacing w:val="-3"/>
        </w:rPr>
        <w:t> </w:t>
      </w:r>
      <w:r>
        <w:rPr/>
        <w:t>will</w:t>
      </w:r>
      <w:r>
        <w:rPr>
          <w:spacing w:val="-4"/>
        </w:rPr>
        <w:t> </w:t>
      </w:r>
      <w:r>
        <w:rPr/>
        <w:t>acknowledge</w:t>
      </w:r>
      <w:r>
        <w:rPr>
          <w:spacing w:val="-4"/>
        </w:rPr>
        <w:t> </w:t>
      </w:r>
      <w:r>
        <w:rPr/>
        <w:t>their</w:t>
      </w:r>
      <w:r>
        <w:rPr>
          <w:spacing w:val="-3"/>
        </w:rPr>
        <w:t> </w:t>
      </w:r>
      <w:r>
        <w:rPr/>
        <w:t>receipt.</w:t>
      </w:r>
      <w:r>
        <w:rPr>
          <w:spacing w:val="-3"/>
        </w:rPr>
        <w:t> </w:t>
      </w:r>
      <w:r>
        <w:rPr/>
        <w:t>(For</w:t>
      </w:r>
      <w:r>
        <w:rPr>
          <w:spacing w:val="-5"/>
        </w:rPr>
        <w:t> </w:t>
      </w:r>
      <w:r>
        <w:rPr/>
        <w:t>example,</w:t>
      </w:r>
      <w:r>
        <w:rPr>
          <w:spacing w:val="-3"/>
        </w:rPr>
        <w:t> </w:t>
      </w:r>
      <w:r>
        <w:rPr/>
        <w:t>signing</w:t>
      </w:r>
      <w:r>
        <w:rPr>
          <w:spacing w:val="-4"/>
        </w:rPr>
        <w:t> </w:t>
      </w:r>
      <w:r>
        <w:rPr/>
        <w:t>and</w:t>
      </w:r>
      <w:r>
        <w:rPr>
          <w:spacing w:val="-4"/>
        </w:rPr>
        <w:t> </w:t>
      </w:r>
      <w:r>
        <w:rPr/>
        <w:t>dating the packaging slip, vendor's invoice, or typed list of goods.)</w:t>
      </w:r>
    </w:p>
    <w:p>
      <w:pPr>
        <w:pStyle w:val="ListParagraph"/>
        <w:numPr>
          <w:ilvl w:val="1"/>
          <w:numId w:val="83"/>
        </w:numPr>
        <w:tabs>
          <w:tab w:pos="1218" w:val="left" w:leader="none"/>
        </w:tabs>
        <w:spacing w:line="208" w:lineRule="auto" w:before="240" w:after="0"/>
        <w:ind w:left="792" w:right="1021" w:firstLine="0"/>
        <w:jc w:val="left"/>
        <w:rPr>
          <w:sz w:val="24"/>
        </w:rPr>
      </w:pPr>
      <w:r>
        <w:rPr>
          <w:sz w:val="24"/>
        </w:rPr>
        <w:t>Returned or repossessed items must be documented on for "Receipt for Equipment</w:t>
      </w:r>
      <w:r>
        <w:rPr>
          <w:spacing w:val="-3"/>
          <w:sz w:val="24"/>
        </w:rPr>
        <w:t> </w:t>
      </w:r>
      <w:r>
        <w:rPr>
          <w:sz w:val="24"/>
        </w:rPr>
        <w:t>and</w:t>
      </w:r>
      <w:r>
        <w:rPr>
          <w:spacing w:val="-4"/>
          <w:sz w:val="24"/>
        </w:rPr>
        <w:t> </w:t>
      </w:r>
      <w:r>
        <w:rPr>
          <w:sz w:val="24"/>
        </w:rPr>
        <w:t>Title</w:t>
      </w:r>
      <w:r>
        <w:rPr>
          <w:spacing w:val="-4"/>
          <w:sz w:val="24"/>
        </w:rPr>
        <w:t> </w:t>
      </w:r>
      <w:r>
        <w:rPr>
          <w:sz w:val="24"/>
        </w:rPr>
        <w:t>Agreement"</w:t>
      </w:r>
      <w:r>
        <w:rPr>
          <w:spacing w:val="-5"/>
          <w:sz w:val="24"/>
        </w:rPr>
        <w:t> </w:t>
      </w:r>
      <w:r>
        <w:rPr>
          <w:sz w:val="24"/>
        </w:rPr>
        <w:t>and</w:t>
      </w:r>
      <w:r>
        <w:rPr>
          <w:spacing w:val="-4"/>
          <w:sz w:val="24"/>
        </w:rPr>
        <w:t> </w:t>
      </w:r>
      <w:r>
        <w:rPr>
          <w:sz w:val="24"/>
        </w:rPr>
        <w:t>the</w:t>
      </w:r>
      <w:r>
        <w:rPr>
          <w:spacing w:val="-4"/>
          <w:sz w:val="24"/>
        </w:rPr>
        <w:t> </w:t>
      </w:r>
      <w:r>
        <w:rPr>
          <w:sz w:val="24"/>
        </w:rPr>
        <w:t>final</w:t>
      </w:r>
      <w:r>
        <w:rPr>
          <w:spacing w:val="-4"/>
          <w:sz w:val="24"/>
        </w:rPr>
        <w:t> </w:t>
      </w:r>
      <w:r>
        <w:rPr>
          <w:sz w:val="24"/>
        </w:rPr>
        <w:t>disposition</w:t>
      </w:r>
      <w:r>
        <w:rPr>
          <w:spacing w:val="-4"/>
          <w:sz w:val="24"/>
        </w:rPr>
        <w:t> </w:t>
      </w:r>
      <w:r>
        <w:rPr>
          <w:sz w:val="24"/>
        </w:rPr>
        <w:t>noted</w:t>
      </w:r>
      <w:r>
        <w:rPr>
          <w:spacing w:val="-4"/>
          <w:sz w:val="24"/>
        </w:rPr>
        <w:t> </w:t>
      </w:r>
      <w:r>
        <w:rPr>
          <w:sz w:val="24"/>
        </w:rPr>
        <w:t>in</w:t>
      </w:r>
      <w:r>
        <w:rPr>
          <w:spacing w:val="-3"/>
          <w:sz w:val="24"/>
        </w:rPr>
        <w:t> </w:t>
      </w:r>
      <w:r>
        <w:rPr>
          <w:sz w:val="24"/>
        </w:rPr>
        <w:t>Case</w:t>
      </w:r>
      <w:r>
        <w:rPr>
          <w:spacing w:val="-4"/>
          <w:sz w:val="24"/>
        </w:rPr>
        <w:t> </w:t>
      </w:r>
      <w:r>
        <w:rPr>
          <w:sz w:val="24"/>
        </w:rPr>
        <w:t>Narrative </w:t>
      </w:r>
      <w:r>
        <w:rPr>
          <w:spacing w:val="-2"/>
          <w:sz w:val="24"/>
        </w:rPr>
        <w:t>entry.</w:t>
      </w:r>
    </w:p>
    <w:p>
      <w:pPr>
        <w:pStyle w:val="ListParagraph"/>
        <w:numPr>
          <w:ilvl w:val="0"/>
          <w:numId w:val="83"/>
        </w:numPr>
        <w:tabs>
          <w:tab w:pos="706" w:val="left" w:leader="none"/>
        </w:tabs>
        <w:spacing w:line="208" w:lineRule="auto" w:before="239" w:after="0"/>
        <w:ind w:left="360" w:right="807" w:firstLine="0"/>
        <w:jc w:val="left"/>
        <w:rPr>
          <w:sz w:val="24"/>
        </w:rPr>
      </w:pPr>
      <w:r>
        <w:rPr>
          <w:sz w:val="24"/>
        </w:rPr>
        <w:t>Program Managers will review record of services when submitted for approvals to ensure that purchases are being awarded in a manner that ensures competition and client participation within the scope of DRS and applicable fiscal rules. At least once each fiscal year a random selection of record of services will be reviewed by the DRS Central/Departmental Services Unit to monitor compliance with DRS and applicable fiscal rules. If a Program Manager has reason to believe that a rehabilitation professional is not making a good faith effort to award purchases in a competitive manner and in accordance with agency administrative rules, a fiscal audit of the entire caseload will be requested to determine the appropriate action to take. Prior to the initiation</w:t>
      </w:r>
      <w:r>
        <w:rPr>
          <w:spacing w:val="-4"/>
          <w:sz w:val="24"/>
        </w:rPr>
        <w:t> </w:t>
      </w:r>
      <w:r>
        <w:rPr>
          <w:sz w:val="24"/>
        </w:rPr>
        <w:t>of</w:t>
      </w:r>
      <w:r>
        <w:rPr>
          <w:spacing w:val="-3"/>
          <w:sz w:val="24"/>
        </w:rPr>
        <w:t> </w:t>
      </w:r>
      <w:r>
        <w:rPr>
          <w:sz w:val="24"/>
        </w:rPr>
        <w:t>the</w:t>
      </w:r>
      <w:r>
        <w:rPr>
          <w:spacing w:val="-4"/>
          <w:sz w:val="24"/>
        </w:rPr>
        <w:t> </w:t>
      </w:r>
      <w:r>
        <w:rPr>
          <w:sz w:val="24"/>
        </w:rPr>
        <w:t>Individualized</w:t>
      </w:r>
      <w:r>
        <w:rPr>
          <w:spacing w:val="-4"/>
          <w:sz w:val="24"/>
        </w:rPr>
        <w:t> </w:t>
      </w:r>
      <w:r>
        <w:rPr>
          <w:sz w:val="24"/>
        </w:rPr>
        <w:t>Plan</w:t>
      </w:r>
      <w:r>
        <w:rPr>
          <w:spacing w:val="-3"/>
          <w:sz w:val="24"/>
        </w:rPr>
        <w:t> </w:t>
      </w:r>
      <w:r>
        <w:rPr>
          <w:sz w:val="24"/>
        </w:rPr>
        <w:t>for</w:t>
      </w:r>
      <w:r>
        <w:rPr>
          <w:spacing w:val="-3"/>
          <w:sz w:val="24"/>
        </w:rPr>
        <w:t> </w:t>
      </w:r>
      <w:r>
        <w:rPr>
          <w:sz w:val="24"/>
        </w:rPr>
        <w:t>Employment</w:t>
      </w:r>
      <w:r>
        <w:rPr>
          <w:spacing w:val="-3"/>
          <w:sz w:val="24"/>
        </w:rPr>
        <w:t> </w:t>
      </w:r>
      <w:r>
        <w:rPr>
          <w:sz w:val="24"/>
        </w:rPr>
        <w:t>(IPE),</w:t>
      </w:r>
      <w:r>
        <w:rPr>
          <w:spacing w:val="-5"/>
          <w:sz w:val="24"/>
        </w:rPr>
        <w:t> </w:t>
      </w:r>
      <w:r>
        <w:rPr>
          <w:sz w:val="24"/>
        </w:rPr>
        <w:t>the</w:t>
      </w:r>
      <w:r>
        <w:rPr>
          <w:spacing w:val="-4"/>
          <w:sz w:val="24"/>
        </w:rPr>
        <w:t> </w:t>
      </w:r>
      <w:r>
        <w:rPr>
          <w:sz w:val="24"/>
        </w:rPr>
        <w:t>counselor</w:t>
      </w:r>
      <w:r>
        <w:rPr>
          <w:spacing w:val="-3"/>
          <w:sz w:val="24"/>
        </w:rPr>
        <w:t> </w:t>
      </w:r>
      <w:r>
        <w:rPr>
          <w:sz w:val="24"/>
        </w:rPr>
        <w:t>must</w:t>
      </w:r>
      <w:r>
        <w:rPr>
          <w:spacing w:val="-3"/>
          <w:sz w:val="24"/>
        </w:rPr>
        <w:t> </w:t>
      </w:r>
      <w:r>
        <w:rPr>
          <w:sz w:val="24"/>
        </w:rPr>
        <w:t>determine </w:t>
      </w:r>
      <w:r>
        <w:rPr>
          <w:spacing w:val="-4"/>
          <w:sz w:val="24"/>
        </w:rPr>
        <w:t>if:</w:t>
      </w:r>
    </w:p>
    <w:p>
      <w:pPr>
        <w:pStyle w:val="ListParagraph"/>
        <w:numPr>
          <w:ilvl w:val="1"/>
          <w:numId w:val="83"/>
        </w:numPr>
        <w:tabs>
          <w:tab w:pos="1686" w:val="left" w:leader="none"/>
        </w:tabs>
        <w:spacing w:line="240" w:lineRule="auto" w:before="210" w:after="0"/>
        <w:ind w:left="1686" w:right="0" w:hanging="426"/>
        <w:jc w:val="left"/>
        <w:rPr>
          <w:sz w:val="24"/>
        </w:rPr>
      </w:pPr>
      <w:r>
        <w:rPr>
          <w:sz w:val="24"/>
        </w:rPr>
        <w:t>a</w:t>
      </w:r>
      <w:r>
        <w:rPr>
          <w:spacing w:val="-4"/>
          <w:sz w:val="24"/>
        </w:rPr>
        <w:t> </w:t>
      </w:r>
      <w:r>
        <w:rPr>
          <w:sz w:val="24"/>
        </w:rPr>
        <w:t>vendor</w:t>
      </w:r>
      <w:r>
        <w:rPr>
          <w:spacing w:val="-2"/>
          <w:sz w:val="24"/>
        </w:rPr>
        <w:t> </w:t>
      </w:r>
      <w:r>
        <w:rPr>
          <w:sz w:val="24"/>
        </w:rPr>
        <w:t>agreement</w:t>
      </w:r>
      <w:r>
        <w:rPr>
          <w:spacing w:val="-2"/>
          <w:sz w:val="24"/>
        </w:rPr>
        <w:t> </w:t>
      </w:r>
      <w:r>
        <w:rPr>
          <w:sz w:val="24"/>
        </w:rPr>
        <w:t>is</w:t>
      </w:r>
      <w:r>
        <w:rPr>
          <w:spacing w:val="-2"/>
          <w:sz w:val="24"/>
        </w:rPr>
        <w:t> needed;</w:t>
      </w:r>
    </w:p>
    <w:p>
      <w:pPr>
        <w:pStyle w:val="ListParagraph"/>
        <w:numPr>
          <w:ilvl w:val="1"/>
          <w:numId w:val="83"/>
        </w:numPr>
        <w:tabs>
          <w:tab w:pos="1685" w:val="left" w:leader="none"/>
        </w:tabs>
        <w:spacing w:line="240" w:lineRule="auto" w:before="204" w:after="0"/>
        <w:ind w:left="1685" w:right="0" w:hanging="425"/>
        <w:jc w:val="left"/>
        <w:rPr>
          <w:sz w:val="24"/>
        </w:rPr>
      </w:pPr>
      <w:r>
        <w:rPr>
          <w:sz w:val="24"/>
        </w:rPr>
        <w:t>there</w:t>
      </w:r>
      <w:r>
        <w:rPr>
          <w:spacing w:val="-3"/>
          <w:sz w:val="24"/>
        </w:rPr>
        <w:t> </w:t>
      </w:r>
      <w:r>
        <w:rPr>
          <w:sz w:val="24"/>
        </w:rPr>
        <w:t>is</w:t>
      </w:r>
      <w:r>
        <w:rPr>
          <w:spacing w:val="-3"/>
          <w:sz w:val="24"/>
        </w:rPr>
        <w:t> </w:t>
      </w:r>
      <w:r>
        <w:rPr>
          <w:sz w:val="24"/>
        </w:rPr>
        <w:t>an</w:t>
      </w:r>
      <w:r>
        <w:rPr>
          <w:spacing w:val="-2"/>
          <w:sz w:val="24"/>
        </w:rPr>
        <w:t> </w:t>
      </w:r>
      <w:r>
        <w:rPr>
          <w:sz w:val="24"/>
        </w:rPr>
        <w:t>established</w:t>
      </w:r>
      <w:r>
        <w:rPr>
          <w:spacing w:val="-2"/>
          <w:sz w:val="24"/>
        </w:rPr>
        <w:t> </w:t>
      </w:r>
      <w:r>
        <w:rPr>
          <w:sz w:val="24"/>
        </w:rPr>
        <w:t>rate</w:t>
      </w:r>
      <w:r>
        <w:rPr>
          <w:spacing w:val="-3"/>
          <w:sz w:val="24"/>
        </w:rPr>
        <w:t> </w:t>
      </w:r>
      <w:r>
        <w:rPr>
          <w:sz w:val="24"/>
        </w:rPr>
        <w:t>or</w:t>
      </w:r>
      <w:r>
        <w:rPr>
          <w:spacing w:val="-3"/>
          <w:sz w:val="24"/>
        </w:rPr>
        <w:t> </w:t>
      </w:r>
      <w:r>
        <w:rPr>
          <w:sz w:val="24"/>
        </w:rPr>
        <w:t>fee</w:t>
      </w:r>
      <w:r>
        <w:rPr>
          <w:spacing w:val="-2"/>
          <w:sz w:val="24"/>
        </w:rPr>
        <w:t> </w:t>
      </w:r>
      <w:r>
        <w:rPr>
          <w:sz w:val="24"/>
        </w:rPr>
        <w:t>schedule;</w:t>
      </w:r>
      <w:r>
        <w:rPr>
          <w:spacing w:val="-1"/>
          <w:sz w:val="24"/>
        </w:rPr>
        <w:t> </w:t>
      </w:r>
      <w:r>
        <w:rPr>
          <w:spacing w:val="-5"/>
          <w:sz w:val="24"/>
        </w:rPr>
        <w:t>and</w:t>
      </w:r>
    </w:p>
    <w:p>
      <w:pPr>
        <w:pStyle w:val="ListParagraph"/>
        <w:numPr>
          <w:ilvl w:val="1"/>
          <w:numId w:val="83"/>
        </w:numPr>
        <w:tabs>
          <w:tab w:pos="1686" w:val="left" w:leader="none"/>
        </w:tabs>
        <w:spacing w:line="240" w:lineRule="auto" w:before="204" w:after="0"/>
        <w:ind w:left="1686" w:right="0" w:hanging="426"/>
        <w:jc w:val="left"/>
        <w:rPr>
          <w:sz w:val="24"/>
        </w:rPr>
      </w:pPr>
      <w:r>
        <w:rPr>
          <w:sz w:val="24"/>
        </w:rPr>
        <w:t>client's</w:t>
      </w:r>
      <w:r>
        <w:rPr>
          <w:spacing w:val="-6"/>
          <w:sz w:val="24"/>
        </w:rPr>
        <w:t> </w:t>
      </w:r>
      <w:r>
        <w:rPr>
          <w:sz w:val="24"/>
        </w:rPr>
        <w:t>participation</w:t>
      </w:r>
      <w:r>
        <w:rPr>
          <w:spacing w:val="-3"/>
          <w:sz w:val="24"/>
        </w:rPr>
        <w:t> </w:t>
      </w:r>
      <w:r>
        <w:rPr>
          <w:sz w:val="24"/>
        </w:rPr>
        <w:t>in</w:t>
      </w:r>
      <w:r>
        <w:rPr>
          <w:spacing w:val="-3"/>
          <w:sz w:val="24"/>
        </w:rPr>
        <w:t> </w:t>
      </w:r>
      <w:r>
        <w:rPr>
          <w:sz w:val="24"/>
        </w:rPr>
        <w:t>cost</w:t>
      </w:r>
      <w:r>
        <w:rPr>
          <w:spacing w:val="-1"/>
          <w:sz w:val="24"/>
        </w:rPr>
        <w:t> </w:t>
      </w:r>
      <w:r>
        <w:rPr>
          <w:sz w:val="24"/>
        </w:rPr>
        <w:t>of</w:t>
      </w:r>
      <w:r>
        <w:rPr>
          <w:spacing w:val="-4"/>
          <w:sz w:val="24"/>
        </w:rPr>
        <w:t> </w:t>
      </w:r>
      <w:r>
        <w:rPr>
          <w:sz w:val="24"/>
        </w:rPr>
        <w:t>services</w:t>
      </w:r>
      <w:r>
        <w:rPr>
          <w:spacing w:val="-3"/>
          <w:sz w:val="24"/>
        </w:rPr>
        <w:t> </w:t>
      </w:r>
      <w:r>
        <w:rPr>
          <w:sz w:val="24"/>
        </w:rPr>
        <w:t>is</w:t>
      </w:r>
      <w:r>
        <w:rPr>
          <w:spacing w:val="-2"/>
          <w:sz w:val="24"/>
        </w:rPr>
        <w:t> required.</w:t>
      </w:r>
    </w:p>
    <w:p>
      <w:pPr>
        <w:pStyle w:val="ListParagraph"/>
        <w:numPr>
          <w:ilvl w:val="0"/>
          <w:numId w:val="83"/>
        </w:numPr>
        <w:tabs>
          <w:tab w:pos="853" w:val="left" w:leader="none"/>
        </w:tabs>
        <w:spacing w:line="208" w:lineRule="auto" w:before="233" w:after="0"/>
        <w:ind w:left="360" w:right="1125" w:firstLine="0"/>
        <w:jc w:val="left"/>
        <w:rPr>
          <w:sz w:val="24"/>
        </w:rPr>
      </w:pPr>
      <w:r>
        <w:rPr>
          <w:sz w:val="24"/>
        </w:rPr>
        <w:t>Pursuant</w:t>
      </w:r>
      <w:r>
        <w:rPr>
          <w:spacing w:val="-3"/>
          <w:sz w:val="24"/>
        </w:rPr>
        <w:t> </w:t>
      </w:r>
      <w:r>
        <w:rPr>
          <w:sz w:val="24"/>
        </w:rPr>
        <w:t>to</w:t>
      </w:r>
      <w:r>
        <w:rPr>
          <w:spacing w:val="-4"/>
          <w:sz w:val="24"/>
        </w:rPr>
        <w:t> </w:t>
      </w:r>
      <w:r>
        <w:rPr>
          <w:sz w:val="24"/>
        </w:rPr>
        <w:t>74</w:t>
      </w:r>
      <w:r>
        <w:rPr>
          <w:spacing w:val="-4"/>
          <w:sz w:val="24"/>
        </w:rPr>
        <w:t> </w:t>
      </w:r>
      <w:r>
        <w:rPr>
          <w:sz w:val="24"/>
        </w:rPr>
        <w:t>O.S.</w:t>
      </w:r>
      <w:r>
        <w:rPr>
          <w:spacing w:val="-3"/>
          <w:sz w:val="24"/>
        </w:rPr>
        <w:t> </w:t>
      </w:r>
      <w:r>
        <w:rPr>
          <w:sz w:val="24"/>
        </w:rPr>
        <w:t>85.44A,</w:t>
      </w:r>
      <w:r>
        <w:rPr>
          <w:spacing w:val="-3"/>
          <w:sz w:val="24"/>
        </w:rPr>
        <w:t> </w:t>
      </w:r>
      <w:r>
        <w:rPr>
          <w:sz w:val="24"/>
        </w:rPr>
        <w:t>any</w:t>
      </w:r>
      <w:r>
        <w:rPr>
          <w:spacing w:val="-4"/>
          <w:sz w:val="24"/>
        </w:rPr>
        <w:t> </w:t>
      </w:r>
      <w:r>
        <w:rPr>
          <w:sz w:val="24"/>
        </w:rPr>
        <w:t>goods</w:t>
      </w:r>
      <w:r>
        <w:rPr>
          <w:spacing w:val="-4"/>
          <w:sz w:val="24"/>
        </w:rPr>
        <w:t> </w:t>
      </w:r>
      <w:r>
        <w:rPr>
          <w:sz w:val="24"/>
        </w:rPr>
        <w:t>or</w:t>
      </w:r>
      <w:r>
        <w:rPr>
          <w:spacing w:val="-3"/>
          <w:sz w:val="24"/>
        </w:rPr>
        <w:t> </w:t>
      </w:r>
      <w:r>
        <w:rPr>
          <w:sz w:val="24"/>
        </w:rPr>
        <w:t>services</w:t>
      </w:r>
      <w:r>
        <w:rPr>
          <w:spacing w:val="-5"/>
          <w:sz w:val="24"/>
        </w:rPr>
        <w:t> </w:t>
      </w:r>
      <w:r>
        <w:rPr>
          <w:sz w:val="24"/>
        </w:rPr>
        <w:t>required</w:t>
      </w:r>
      <w:r>
        <w:rPr>
          <w:spacing w:val="-4"/>
          <w:sz w:val="24"/>
        </w:rPr>
        <w:t> </w:t>
      </w:r>
      <w:r>
        <w:rPr>
          <w:sz w:val="24"/>
        </w:rPr>
        <w:t>under</w:t>
      </w:r>
      <w:r>
        <w:rPr>
          <w:spacing w:val="-3"/>
          <w:sz w:val="24"/>
        </w:rPr>
        <w:t> </w:t>
      </w:r>
      <w:r>
        <w:rPr>
          <w:sz w:val="24"/>
        </w:rPr>
        <w:t>a</w:t>
      </w:r>
      <w:r>
        <w:rPr>
          <w:spacing w:val="-4"/>
          <w:sz w:val="24"/>
        </w:rPr>
        <w:t> </w:t>
      </w:r>
      <w:r>
        <w:rPr>
          <w:sz w:val="24"/>
        </w:rPr>
        <w:t>court</w:t>
      </w:r>
      <w:r>
        <w:rPr>
          <w:spacing w:val="-3"/>
          <w:sz w:val="24"/>
        </w:rPr>
        <w:t> </w:t>
      </w:r>
      <w:r>
        <w:rPr>
          <w:sz w:val="24"/>
        </w:rPr>
        <w:t>order shall be purchased in accordance with DRS fiscal rules.</w:t>
      </w:r>
    </w:p>
    <w:p>
      <w:pPr>
        <w:pStyle w:val="BodyText"/>
        <w:spacing w:before="211"/>
      </w:pPr>
      <w:r>
        <w:rPr/>
        <w:t>Instructions</w:t>
      </w:r>
      <w:r>
        <w:rPr>
          <w:spacing w:val="-5"/>
        </w:rPr>
        <w:t> </w:t>
      </w:r>
      <w:r>
        <w:rPr/>
        <w:t>to</w:t>
      </w:r>
      <w:r>
        <w:rPr>
          <w:spacing w:val="-2"/>
        </w:rPr>
        <w:t> </w:t>
      </w:r>
      <w:r>
        <w:rPr>
          <w:spacing w:val="-4"/>
        </w:rPr>
        <w:t>Staff</w:t>
      </w:r>
    </w:p>
    <w:p>
      <w:pPr>
        <w:pStyle w:val="ListParagraph"/>
        <w:numPr>
          <w:ilvl w:val="0"/>
          <w:numId w:val="84"/>
        </w:numPr>
        <w:tabs>
          <w:tab w:pos="1125" w:val="left" w:leader="none"/>
        </w:tabs>
        <w:spacing w:line="208" w:lineRule="auto" w:before="233" w:after="0"/>
        <w:ind w:left="792" w:right="893" w:firstLine="0"/>
        <w:jc w:val="left"/>
        <w:rPr>
          <w:sz w:val="24"/>
        </w:rPr>
      </w:pPr>
      <w:r>
        <w:rPr>
          <w:sz w:val="24"/>
        </w:rPr>
        <w:t>Counselors</w:t>
      </w:r>
      <w:r>
        <w:rPr>
          <w:spacing w:val="-5"/>
          <w:sz w:val="24"/>
        </w:rPr>
        <w:t> </w:t>
      </w:r>
      <w:r>
        <w:rPr>
          <w:sz w:val="24"/>
        </w:rPr>
        <w:t>are</w:t>
      </w:r>
      <w:r>
        <w:rPr>
          <w:spacing w:val="-5"/>
          <w:sz w:val="24"/>
        </w:rPr>
        <w:t> </w:t>
      </w:r>
      <w:r>
        <w:rPr>
          <w:sz w:val="24"/>
        </w:rPr>
        <w:t>advised</w:t>
      </w:r>
      <w:r>
        <w:rPr>
          <w:spacing w:val="-5"/>
          <w:sz w:val="24"/>
        </w:rPr>
        <w:t> </w:t>
      </w:r>
      <w:r>
        <w:rPr>
          <w:sz w:val="24"/>
        </w:rPr>
        <w:t>to</w:t>
      </w:r>
      <w:r>
        <w:rPr>
          <w:spacing w:val="-5"/>
          <w:sz w:val="24"/>
        </w:rPr>
        <w:t> </w:t>
      </w:r>
      <w:r>
        <w:rPr>
          <w:sz w:val="24"/>
        </w:rPr>
        <w:t>release</w:t>
      </w:r>
      <w:r>
        <w:rPr>
          <w:spacing w:val="-5"/>
          <w:sz w:val="24"/>
        </w:rPr>
        <w:t> </w:t>
      </w:r>
      <w:r>
        <w:rPr>
          <w:sz w:val="24"/>
        </w:rPr>
        <w:t>software</w:t>
      </w:r>
      <w:r>
        <w:rPr>
          <w:spacing w:val="-5"/>
          <w:sz w:val="24"/>
        </w:rPr>
        <w:t> </w:t>
      </w:r>
      <w:r>
        <w:rPr>
          <w:sz w:val="24"/>
        </w:rPr>
        <w:t>disks</w:t>
      </w:r>
      <w:r>
        <w:rPr>
          <w:spacing w:val="-5"/>
          <w:sz w:val="24"/>
        </w:rPr>
        <w:t> </w:t>
      </w:r>
      <w:r>
        <w:rPr>
          <w:sz w:val="24"/>
        </w:rPr>
        <w:t>and</w:t>
      </w:r>
      <w:r>
        <w:rPr>
          <w:spacing w:val="-4"/>
          <w:sz w:val="24"/>
        </w:rPr>
        <w:t> </w:t>
      </w:r>
      <w:r>
        <w:rPr>
          <w:sz w:val="24"/>
        </w:rPr>
        <w:t>any</w:t>
      </w:r>
      <w:r>
        <w:rPr>
          <w:spacing w:val="-5"/>
          <w:sz w:val="24"/>
        </w:rPr>
        <w:t> </w:t>
      </w:r>
      <w:r>
        <w:rPr>
          <w:sz w:val="24"/>
        </w:rPr>
        <w:t>maintenance/service agreements to the client at the time computer title is released.</w:t>
      </w:r>
    </w:p>
    <w:p>
      <w:pPr>
        <w:pStyle w:val="ListParagraph"/>
        <w:numPr>
          <w:ilvl w:val="0"/>
          <w:numId w:val="84"/>
        </w:numPr>
        <w:tabs>
          <w:tab w:pos="1125" w:val="left" w:leader="none"/>
        </w:tabs>
        <w:spacing w:line="240" w:lineRule="auto" w:before="211" w:after="0"/>
        <w:ind w:left="1125" w:right="0" w:hanging="333"/>
        <w:jc w:val="left"/>
        <w:rPr>
          <w:sz w:val="24"/>
        </w:rPr>
      </w:pPr>
      <w:hyperlink r:id="rId34">
        <w:r>
          <w:rPr>
            <w:color w:val="0000FF"/>
            <w:sz w:val="24"/>
            <w:u w:val="single" w:color="0000FF"/>
          </w:rPr>
          <w:t>612:1-3-10</w:t>
        </w:r>
      </w:hyperlink>
      <w:r>
        <w:rPr>
          <w:sz w:val="24"/>
          <w:u w:val="none"/>
        </w:rPr>
        <w:t>,</w:t>
      </w:r>
      <w:r>
        <w:rPr>
          <w:spacing w:val="-13"/>
          <w:sz w:val="24"/>
          <w:u w:val="none"/>
        </w:rPr>
        <w:t> </w:t>
      </w:r>
      <w:hyperlink r:id="rId35">
        <w:r>
          <w:rPr>
            <w:color w:val="0000FF"/>
            <w:sz w:val="24"/>
            <w:u w:val="single" w:color="0000FF"/>
          </w:rPr>
          <w:t>612:10-7-</w:t>
        </w:r>
        <w:r>
          <w:rPr>
            <w:color w:val="0000FF"/>
            <w:spacing w:val="-5"/>
            <w:sz w:val="24"/>
            <w:u w:val="single" w:color="0000FF"/>
          </w:rPr>
          <w:t>87</w:t>
        </w:r>
      </w:hyperlink>
    </w:p>
    <w:p>
      <w:pPr>
        <w:pStyle w:val="ListParagraph"/>
        <w:numPr>
          <w:ilvl w:val="0"/>
          <w:numId w:val="84"/>
        </w:numPr>
        <w:tabs>
          <w:tab w:pos="1123" w:val="left" w:leader="none"/>
        </w:tabs>
        <w:spacing w:line="208" w:lineRule="auto" w:before="233" w:after="0"/>
        <w:ind w:left="791" w:right="869" w:firstLine="0"/>
        <w:jc w:val="left"/>
        <w:rPr>
          <w:sz w:val="24"/>
        </w:rPr>
      </w:pPr>
      <w:r>
        <w:rPr>
          <w:sz w:val="24"/>
        </w:rPr>
        <w:t>On vehicle or home modifications, the counselor will submit a copy of the "Assistive Technology Inspection Report" to the Field Coordinator with the invoice and</w:t>
      </w:r>
      <w:r>
        <w:rPr>
          <w:spacing w:val="-4"/>
          <w:sz w:val="24"/>
        </w:rPr>
        <w:t> </w:t>
      </w:r>
      <w:r>
        <w:rPr>
          <w:sz w:val="24"/>
        </w:rPr>
        <w:t>claim</w:t>
      </w:r>
      <w:r>
        <w:rPr>
          <w:spacing w:val="-3"/>
          <w:sz w:val="24"/>
        </w:rPr>
        <w:t> </w:t>
      </w:r>
      <w:r>
        <w:rPr>
          <w:sz w:val="24"/>
        </w:rPr>
        <w:t>for</w:t>
      </w:r>
      <w:r>
        <w:rPr>
          <w:spacing w:val="-3"/>
          <w:sz w:val="24"/>
        </w:rPr>
        <w:t> </w:t>
      </w:r>
      <w:r>
        <w:rPr>
          <w:sz w:val="24"/>
        </w:rPr>
        <w:t>signature.</w:t>
      </w:r>
      <w:r>
        <w:rPr>
          <w:spacing w:val="40"/>
          <w:sz w:val="24"/>
        </w:rPr>
        <w:t> </w:t>
      </w:r>
      <w:r>
        <w:rPr>
          <w:sz w:val="24"/>
        </w:rPr>
        <w:t>The</w:t>
      </w:r>
      <w:r>
        <w:rPr>
          <w:spacing w:val="-4"/>
          <w:sz w:val="24"/>
        </w:rPr>
        <w:t> </w:t>
      </w:r>
      <w:r>
        <w:rPr>
          <w:sz w:val="24"/>
        </w:rPr>
        <w:t>Field</w:t>
      </w:r>
      <w:r>
        <w:rPr>
          <w:spacing w:val="-4"/>
          <w:sz w:val="24"/>
        </w:rPr>
        <w:t> </w:t>
      </w:r>
      <w:r>
        <w:rPr>
          <w:sz w:val="24"/>
        </w:rPr>
        <w:t>Coordinator</w:t>
      </w:r>
      <w:r>
        <w:rPr>
          <w:spacing w:val="-3"/>
          <w:sz w:val="24"/>
        </w:rPr>
        <w:t> </w:t>
      </w:r>
      <w:r>
        <w:rPr>
          <w:sz w:val="24"/>
        </w:rPr>
        <w:t>will</w:t>
      </w:r>
      <w:r>
        <w:rPr>
          <w:spacing w:val="-4"/>
          <w:sz w:val="24"/>
        </w:rPr>
        <w:t> </w:t>
      </w:r>
      <w:r>
        <w:rPr>
          <w:sz w:val="24"/>
        </w:rPr>
        <w:t>forward</w:t>
      </w:r>
      <w:r>
        <w:rPr>
          <w:spacing w:val="-4"/>
          <w:sz w:val="24"/>
        </w:rPr>
        <w:t> </w:t>
      </w:r>
      <w:r>
        <w:rPr>
          <w:sz w:val="24"/>
        </w:rPr>
        <w:t>the</w:t>
      </w:r>
      <w:r>
        <w:rPr>
          <w:spacing w:val="-4"/>
          <w:sz w:val="24"/>
        </w:rPr>
        <w:t> </w:t>
      </w:r>
      <w:r>
        <w:rPr>
          <w:sz w:val="24"/>
        </w:rPr>
        <w:t>package</w:t>
      </w:r>
      <w:r>
        <w:rPr>
          <w:spacing w:val="-4"/>
          <w:sz w:val="24"/>
        </w:rPr>
        <w:t> </w:t>
      </w:r>
      <w:r>
        <w:rPr>
          <w:sz w:val="24"/>
        </w:rPr>
        <w:t>to</w:t>
      </w:r>
      <w:r>
        <w:rPr>
          <w:spacing w:val="-4"/>
          <w:sz w:val="24"/>
        </w:rPr>
        <w:t> </w:t>
      </w:r>
      <w:r>
        <w:rPr>
          <w:sz w:val="24"/>
        </w:rPr>
        <w:t>Finance for payment.</w:t>
      </w:r>
    </w:p>
    <w:p>
      <w:pPr>
        <w:pStyle w:val="ListParagraph"/>
        <w:spacing w:after="0" w:line="208" w:lineRule="auto"/>
        <w:jc w:val="left"/>
        <w:rPr>
          <w:sz w:val="24"/>
        </w:rPr>
        <w:sectPr>
          <w:pgSz w:w="12240" w:h="15840"/>
          <w:pgMar w:top="1340" w:bottom="280" w:left="1080" w:right="720"/>
        </w:sectPr>
      </w:pPr>
    </w:p>
    <w:p>
      <w:pPr>
        <w:pStyle w:val="ListParagraph"/>
        <w:numPr>
          <w:ilvl w:val="0"/>
          <w:numId w:val="84"/>
        </w:numPr>
        <w:tabs>
          <w:tab w:pos="1124" w:val="left" w:leader="none"/>
        </w:tabs>
        <w:spacing w:line="240" w:lineRule="auto" w:before="67" w:after="0"/>
        <w:ind w:left="1124" w:right="0" w:hanging="333"/>
        <w:jc w:val="left"/>
        <w:rPr>
          <w:sz w:val="24"/>
        </w:rPr>
      </w:pPr>
      <w:hyperlink w:history="true" w:anchor="_bookmark29">
        <w:r>
          <w:rPr>
            <w:color w:val="0000FF"/>
            <w:spacing w:val="-2"/>
            <w:sz w:val="24"/>
            <w:u w:val="single" w:color="0000FF"/>
          </w:rPr>
          <w:t>612:10-7-</w:t>
        </w:r>
        <w:r>
          <w:rPr>
            <w:color w:val="0000FF"/>
            <w:spacing w:val="-5"/>
            <w:sz w:val="24"/>
            <w:u w:val="single" w:color="0000FF"/>
          </w:rPr>
          <w:t>220</w:t>
        </w:r>
      </w:hyperlink>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855" w:firstLine="0"/>
        <w:jc w:val="left"/>
        <w:rPr>
          <w:sz w:val="22"/>
        </w:rPr>
      </w:pPr>
      <w:r>
        <w:rPr>
          <w:sz w:val="22"/>
        </w:rPr>
        <w:t>Permanent, first adoption under OAC Title 612, Subsection (a) - claim handling for under</w:t>
      </w:r>
      <w:r>
        <w:rPr>
          <w:spacing w:val="-3"/>
          <w:sz w:val="22"/>
        </w:rPr>
        <w:t> </w:t>
      </w:r>
      <w:r>
        <w:rPr>
          <w:sz w:val="22"/>
        </w:rPr>
        <w:t>$750,</w:t>
      </w:r>
      <w:r>
        <w:rPr>
          <w:spacing w:val="-3"/>
          <w:sz w:val="22"/>
        </w:rPr>
        <w:t> </w:t>
      </w:r>
      <w:r>
        <w:rPr>
          <w:sz w:val="22"/>
        </w:rPr>
        <w:t>vendor</w:t>
      </w:r>
      <w:r>
        <w:rPr>
          <w:spacing w:val="-3"/>
          <w:sz w:val="22"/>
        </w:rPr>
        <w:t> </w:t>
      </w:r>
      <w:r>
        <w:rPr>
          <w:sz w:val="22"/>
        </w:rPr>
        <w:t>signs</w:t>
      </w:r>
      <w:r>
        <w:rPr>
          <w:spacing w:val="-3"/>
          <w:sz w:val="22"/>
        </w:rPr>
        <w:t> </w:t>
      </w:r>
      <w:r>
        <w:rPr>
          <w:sz w:val="22"/>
        </w:rPr>
        <w:t>claim.</w:t>
      </w:r>
      <w:r>
        <w:rPr>
          <w:spacing w:val="-3"/>
          <w:sz w:val="22"/>
        </w:rPr>
        <w:t> </w:t>
      </w:r>
      <w:r>
        <w:rPr>
          <w:sz w:val="22"/>
        </w:rPr>
        <w:t>Change</w:t>
      </w:r>
      <w:r>
        <w:rPr>
          <w:spacing w:val="-3"/>
          <w:sz w:val="22"/>
        </w:rPr>
        <w:t> </w:t>
      </w:r>
      <w:r>
        <w:rPr>
          <w:sz w:val="22"/>
        </w:rPr>
        <w:t>vendor</w:t>
      </w:r>
      <w:r>
        <w:rPr>
          <w:spacing w:val="-5"/>
          <w:sz w:val="22"/>
        </w:rPr>
        <w:t> </w:t>
      </w:r>
      <w:r>
        <w:rPr>
          <w:sz w:val="22"/>
        </w:rPr>
        <w:t>contacts</w:t>
      </w:r>
      <w:r>
        <w:rPr>
          <w:spacing w:val="-4"/>
          <w:sz w:val="22"/>
        </w:rPr>
        <w:t> </w:t>
      </w:r>
      <w:r>
        <w:rPr>
          <w:sz w:val="22"/>
        </w:rPr>
        <w:t>contracts</w:t>
      </w:r>
      <w:r>
        <w:rPr>
          <w:spacing w:val="-3"/>
          <w:sz w:val="22"/>
        </w:rPr>
        <w:t> </w:t>
      </w:r>
      <w:r>
        <w:rPr>
          <w:sz w:val="22"/>
        </w:rPr>
        <w:t>unit</w:t>
      </w:r>
      <w:r>
        <w:rPr>
          <w:spacing w:val="-3"/>
          <w:sz w:val="22"/>
        </w:rPr>
        <w:t> </w:t>
      </w:r>
      <w:r>
        <w:rPr>
          <w:sz w:val="22"/>
        </w:rPr>
        <w:t>for</w:t>
      </w:r>
      <w:r>
        <w:rPr>
          <w:spacing w:val="-3"/>
          <w:sz w:val="22"/>
        </w:rPr>
        <w:t> </w:t>
      </w:r>
      <w:r>
        <w:rPr>
          <w:sz w:val="22"/>
        </w:rPr>
        <w:t>contract to the counselor does. (g)(1)(b) - added specify side door type for van lift.</w:t>
      </w:r>
    </w:p>
    <w:p>
      <w:pPr>
        <w:pStyle w:val="ListParagraph"/>
        <w:numPr>
          <w:ilvl w:val="2"/>
          <w:numId w:val="85"/>
        </w:numPr>
        <w:tabs>
          <w:tab w:pos="1439" w:val="left" w:leader="none"/>
        </w:tabs>
        <w:spacing w:line="253" w:lineRule="exact" w:before="1" w:after="0"/>
        <w:ind w:left="1439" w:right="0" w:hanging="1080"/>
        <w:jc w:val="left"/>
        <w:rPr>
          <w:sz w:val="22"/>
        </w:rPr>
      </w:pPr>
      <w:r>
        <w:rPr>
          <w:sz w:val="22"/>
        </w:rPr>
        <w:t>PT</w:t>
      </w:r>
      <w:r>
        <w:rPr>
          <w:spacing w:val="-8"/>
          <w:sz w:val="22"/>
        </w:rPr>
        <w:t> </w:t>
      </w:r>
      <w:r>
        <w:rPr>
          <w:sz w:val="22"/>
        </w:rPr>
        <w:t>Memo</w:t>
      </w:r>
      <w:r>
        <w:rPr>
          <w:spacing w:val="-8"/>
          <w:sz w:val="22"/>
        </w:rPr>
        <w:t> </w:t>
      </w:r>
      <w:r>
        <w:rPr>
          <w:sz w:val="22"/>
        </w:rPr>
        <w:t>#95-</w:t>
      </w:r>
      <w:r>
        <w:rPr>
          <w:spacing w:val="-10"/>
          <w:sz w:val="22"/>
        </w:rPr>
        <w:t>2</w:t>
      </w:r>
    </w:p>
    <w:p>
      <w:pPr>
        <w:tabs>
          <w:tab w:pos="1439" w:val="left" w:leader="none"/>
        </w:tabs>
        <w:spacing w:before="0"/>
        <w:ind w:left="359" w:right="1000" w:firstLine="1080"/>
        <w:jc w:val="left"/>
        <w:rPr>
          <w:sz w:val="22"/>
        </w:rPr>
      </w:pPr>
      <w:r>
        <w:rPr>
          <w:sz w:val="22"/>
        </w:rPr>
        <w:t>Permanent,</w:t>
      </w:r>
      <w:r>
        <w:rPr>
          <w:spacing w:val="-3"/>
          <w:sz w:val="22"/>
        </w:rPr>
        <w:t> </w:t>
      </w:r>
      <w:r>
        <w:rPr>
          <w:sz w:val="22"/>
        </w:rPr>
        <w:t>took</w:t>
      </w:r>
      <w:r>
        <w:rPr>
          <w:spacing w:val="-4"/>
          <w:sz w:val="22"/>
        </w:rPr>
        <w:t> </w:t>
      </w:r>
      <w:r>
        <w:rPr>
          <w:sz w:val="22"/>
        </w:rPr>
        <w:t>out</w:t>
      </w:r>
      <w:r>
        <w:rPr>
          <w:spacing w:val="-4"/>
          <w:sz w:val="22"/>
        </w:rPr>
        <w:t> </w:t>
      </w:r>
      <w:r>
        <w:rPr>
          <w:sz w:val="22"/>
        </w:rPr>
        <w:t>contradictory</w:t>
      </w:r>
      <w:r>
        <w:rPr>
          <w:spacing w:val="-4"/>
          <w:sz w:val="22"/>
        </w:rPr>
        <w:t> </w:t>
      </w:r>
      <w:r>
        <w:rPr>
          <w:sz w:val="22"/>
        </w:rPr>
        <w:t>language</w:t>
      </w:r>
      <w:r>
        <w:rPr>
          <w:spacing w:val="-4"/>
          <w:sz w:val="22"/>
        </w:rPr>
        <w:t> </w:t>
      </w:r>
      <w:r>
        <w:rPr>
          <w:sz w:val="22"/>
        </w:rPr>
        <w:t>on</w:t>
      </w:r>
      <w:r>
        <w:rPr>
          <w:spacing w:val="-4"/>
          <w:sz w:val="22"/>
        </w:rPr>
        <w:t> </w:t>
      </w:r>
      <w:r>
        <w:rPr>
          <w:sz w:val="22"/>
        </w:rPr>
        <w:t>adaptive</w:t>
      </w:r>
      <w:r>
        <w:rPr>
          <w:spacing w:val="-4"/>
          <w:sz w:val="22"/>
        </w:rPr>
        <w:t> </w:t>
      </w:r>
      <w:r>
        <w:rPr>
          <w:sz w:val="22"/>
        </w:rPr>
        <w:t>aids</w:t>
      </w:r>
      <w:r>
        <w:rPr>
          <w:spacing w:val="-5"/>
          <w:sz w:val="22"/>
        </w:rPr>
        <w:t> </w:t>
      </w:r>
      <w:r>
        <w:rPr>
          <w:sz w:val="22"/>
        </w:rPr>
        <w:t>and</w:t>
      </w:r>
      <w:r>
        <w:rPr>
          <w:spacing w:val="-4"/>
          <w:sz w:val="22"/>
        </w:rPr>
        <w:t> </w:t>
      </w:r>
      <w:r>
        <w:rPr>
          <w:sz w:val="22"/>
        </w:rPr>
        <w:t>devices</w:t>
      </w:r>
      <w:r>
        <w:rPr>
          <w:spacing w:val="-4"/>
          <w:sz w:val="22"/>
        </w:rPr>
        <w:t> </w:t>
      </w:r>
      <w:r>
        <w:rPr>
          <w:sz w:val="22"/>
        </w:rPr>
        <w:t>in</w:t>
      </w:r>
      <w:r>
        <w:rPr>
          <w:spacing w:val="-4"/>
          <w:sz w:val="22"/>
        </w:rPr>
        <w:t> </w:t>
      </w:r>
      <w:r>
        <w:rPr>
          <w:sz w:val="22"/>
        </w:rPr>
        <w:t>(g)(3) </w:t>
      </w:r>
      <w:r>
        <w:rPr>
          <w:spacing w:val="-2"/>
          <w:sz w:val="22"/>
        </w:rPr>
        <w:t>4-3-96</w:t>
      </w:r>
      <w:r>
        <w:rPr>
          <w:sz w:val="22"/>
        </w:rPr>
        <w:tab/>
        <w:t>PT Memo #96-2</w:t>
      </w:r>
    </w:p>
    <w:p>
      <w:pPr>
        <w:spacing w:before="0"/>
        <w:ind w:left="1439" w:right="775" w:firstLine="0"/>
        <w:jc w:val="left"/>
        <w:rPr>
          <w:sz w:val="22"/>
        </w:rPr>
      </w:pPr>
      <w:r>
        <w:rPr>
          <w:sz w:val="22"/>
        </w:rPr>
        <w:t>Emergency,</w:t>
      </w:r>
      <w:r>
        <w:rPr>
          <w:spacing w:val="-4"/>
          <w:sz w:val="22"/>
        </w:rPr>
        <w:t> </w:t>
      </w:r>
      <w:r>
        <w:rPr>
          <w:sz w:val="22"/>
        </w:rPr>
        <w:t>amended</w:t>
      </w:r>
      <w:r>
        <w:rPr>
          <w:spacing w:val="-4"/>
          <w:sz w:val="22"/>
        </w:rPr>
        <w:t> </w:t>
      </w:r>
      <w:r>
        <w:rPr>
          <w:sz w:val="22"/>
        </w:rPr>
        <w:t>to</w:t>
      </w:r>
      <w:r>
        <w:rPr>
          <w:spacing w:val="-4"/>
          <w:sz w:val="22"/>
        </w:rPr>
        <w:t> </w:t>
      </w:r>
      <w:r>
        <w:rPr>
          <w:sz w:val="22"/>
        </w:rPr>
        <w:t>state</w:t>
      </w:r>
      <w:r>
        <w:rPr>
          <w:spacing w:val="-4"/>
          <w:sz w:val="22"/>
        </w:rPr>
        <w:t> </w:t>
      </w:r>
      <w:r>
        <w:rPr>
          <w:sz w:val="22"/>
        </w:rPr>
        <w:t>RVS</w:t>
      </w:r>
      <w:r>
        <w:rPr>
          <w:spacing w:val="-4"/>
          <w:sz w:val="22"/>
        </w:rPr>
        <w:t> </w:t>
      </w:r>
      <w:r>
        <w:rPr>
          <w:sz w:val="22"/>
        </w:rPr>
        <w:t>funds</w:t>
      </w:r>
      <w:r>
        <w:rPr>
          <w:spacing w:val="-4"/>
          <w:sz w:val="22"/>
        </w:rPr>
        <w:t> </w:t>
      </w:r>
      <w:r>
        <w:rPr>
          <w:sz w:val="22"/>
        </w:rPr>
        <w:t>cannot</w:t>
      </w:r>
      <w:r>
        <w:rPr>
          <w:spacing w:val="-5"/>
          <w:sz w:val="22"/>
        </w:rPr>
        <w:t> </w:t>
      </w:r>
      <w:r>
        <w:rPr>
          <w:sz w:val="22"/>
        </w:rPr>
        <w:t>be</w:t>
      </w:r>
      <w:r>
        <w:rPr>
          <w:spacing w:val="-4"/>
          <w:sz w:val="22"/>
        </w:rPr>
        <w:t> </w:t>
      </w:r>
      <w:r>
        <w:rPr>
          <w:sz w:val="22"/>
        </w:rPr>
        <w:t>used</w:t>
      </w:r>
      <w:r>
        <w:rPr>
          <w:spacing w:val="-4"/>
          <w:sz w:val="22"/>
        </w:rPr>
        <w:t> </w:t>
      </w:r>
      <w:r>
        <w:rPr>
          <w:sz w:val="22"/>
        </w:rPr>
        <w:t>to</w:t>
      </w:r>
      <w:r>
        <w:rPr>
          <w:spacing w:val="-5"/>
          <w:sz w:val="22"/>
        </w:rPr>
        <w:t> </w:t>
      </w:r>
      <w:r>
        <w:rPr>
          <w:sz w:val="22"/>
        </w:rPr>
        <w:t>supplement</w:t>
      </w:r>
      <w:r>
        <w:rPr>
          <w:spacing w:val="-4"/>
          <w:sz w:val="22"/>
        </w:rPr>
        <w:t> </w:t>
      </w:r>
      <w:r>
        <w:rPr>
          <w:sz w:val="22"/>
        </w:rPr>
        <w:t>third-party medical resources</w:t>
      </w:r>
    </w:p>
    <w:p>
      <w:pPr>
        <w:tabs>
          <w:tab w:pos="1439" w:val="left" w:leader="none"/>
        </w:tabs>
        <w:spacing w:line="253" w:lineRule="exact" w:before="0"/>
        <w:ind w:left="359" w:right="0" w:firstLine="0"/>
        <w:jc w:val="left"/>
        <w:rPr>
          <w:sz w:val="22"/>
        </w:rPr>
      </w:pPr>
      <w:r>
        <w:rPr>
          <w:spacing w:val="-2"/>
          <w:sz w:val="22"/>
        </w:rPr>
        <w:t>3-1-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5</w:t>
      </w:r>
    </w:p>
    <w:p>
      <w:pPr>
        <w:spacing w:before="0"/>
        <w:ind w:left="1439" w:right="775" w:firstLine="0"/>
        <w:jc w:val="left"/>
        <w:rPr>
          <w:sz w:val="22"/>
        </w:rPr>
      </w:pPr>
      <w:r>
        <w:rPr>
          <w:sz w:val="22"/>
        </w:rPr>
        <w:t>Emergency, new Section tagline, "Purchase of services and goods for individuals with</w:t>
      </w:r>
      <w:r>
        <w:rPr>
          <w:spacing w:val="-4"/>
          <w:sz w:val="22"/>
        </w:rPr>
        <w:t> </w:t>
      </w:r>
      <w:r>
        <w:rPr>
          <w:sz w:val="22"/>
        </w:rPr>
        <w:t>disabilities";</w:t>
      </w:r>
      <w:r>
        <w:rPr>
          <w:spacing w:val="-5"/>
          <w:sz w:val="22"/>
        </w:rPr>
        <w:t> </w:t>
      </w:r>
      <w:r>
        <w:rPr>
          <w:sz w:val="22"/>
        </w:rPr>
        <w:t>all</w:t>
      </w:r>
      <w:r>
        <w:rPr>
          <w:spacing w:val="-5"/>
          <w:sz w:val="22"/>
        </w:rPr>
        <w:t> </w:t>
      </w:r>
      <w:r>
        <w:rPr>
          <w:sz w:val="22"/>
        </w:rPr>
        <w:t>client</w:t>
      </w:r>
      <w:r>
        <w:rPr>
          <w:spacing w:val="-4"/>
          <w:sz w:val="22"/>
        </w:rPr>
        <w:t> </w:t>
      </w:r>
      <w:r>
        <w:rPr>
          <w:sz w:val="22"/>
        </w:rPr>
        <w:t>services</w:t>
      </w:r>
      <w:r>
        <w:rPr>
          <w:spacing w:val="-5"/>
          <w:sz w:val="22"/>
        </w:rPr>
        <w:t> </w:t>
      </w:r>
      <w:r>
        <w:rPr>
          <w:sz w:val="22"/>
        </w:rPr>
        <w:t>exempted</w:t>
      </w:r>
      <w:r>
        <w:rPr>
          <w:spacing w:val="-4"/>
          <w:sz w:val="22"/>
        </w:rPr>
        <w:t> </w:t>
      </w:r>
      <w:r>
        <w:rPr>
          <w:sz w:val="22"/>
        </w:rPr>
        <w:t>from</w:t>
      </w:r>
      <w:r>
        <w:rPr>
          <w:spacing w:val="-5"/>
          <w:sz w:val="22"/>
        </w:rPr>
        <w:t> </w:t>
      </w:r>
      <w:r>
        <w:rPr>
          <w:sz w:val="22"/>
        </w:rPr>
        <w:t>Central</w:t>
      </w:r>
      <w:r>
        <w:rPr>
          <w:spacing w:val="-4"/>
          <w:sz w:val="22"/>
        </w:rPr>
        <w:t> </w:t>
      </w:r>
      <w:r>
        <w:rPr>
          <w:sz w:val="22"/>
        </w:rPr>
        <w:t>Purchasing</w:t>
      </w:r>
      <w:r>
        <w:rPr>
          <w:spacing w:val="-5"/>
          <w:sz w:val="22"/>
        </w:rPr>
        <w:t> </w:t>
      </w:r>
      <w:r>
        <w:rPr>
          <w:sz w:val="22"/>
        </w:rPr>
        <w:t>competitive bids; allows for direct authorization by counselor on most services</w:t>
      </w:r>
    </w:p>
    <w:p>
      <w:pPr>
        <w:pStyle w:val="ListParagraph"/>
        <w:numPr>
          <w:ilvl w:val="2"/>
          <w:numId w:val="86"/>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#97-</w:t>
      </w:r>
      <w:r>
        <w:rPr>
          <w:spacing w:val="-10"/>
          <w:sz w:val="22"/>
        </w:rPr>
        <w:t>9</w:t>
      </w:r>
    </w:p>
    <w:p>
      <w:pPr>
        <w:spacing w:line="253" w:lineRule="exact" w:before="1"/>
        <w:ind w:left="1439" w:right="0" w:firstLine="0"/>
        <w:jc w:val="left"/>
        <w:rPr>
          <w:sz w:val="22"/>
        </w:rPr>
      </w:pPr>
      <w:r>
        <w:rPr>
          <w:sz w:val="22"/>
        </w:rPr>
        <w:t>Permanent,</w:t>
      </w:r>
      <w:r>
        <w:rPr>
          <w:spacing w:val="-8"/>
          <w:sz w:val="22"/>
        </w:rPr>
        <w:t> </w:t>
      </w:r>
      <w:r>
        <w:rPr>
          <w:sz w:val="22"/>
        </w:rPr>
        <w:t>allows</w:t>
      </w:r>
      <w:r>
        <w:rPr>
          <w:spacing w:val="-8"/>
          <w:sz w:val="22"/>
        </w:rPr>
        <w:t> </w:t>
      </w:r>
      <w:r>
        <w:rPr>
          <w:sz w:val="22"/>
        </w:rPr>
        <w:t>direct</w:t>
      </w:r>
      <w:r>
        <w:rPr>
          <w:spacing w:val="-10"/>
          <w:sz w:val="22"/>
        </w:rPr>
        <w:t> </w:t>
      </w:r>
      <w:r>
        <w:rPr>
          <w:sz w:val="22"/>
        </w:rPr>
        <w:t>authorization</w:t>
      </w:r>
      <w:r>
        <w:rPr>
          <w:spacing w:val="-8"/>
          <w:sz w:val="22"/>
        </w:rPr>
        <w:t> </w:t>
      </w:r>
      <w:r>
        <w:rPr>
          <w:sz w:val="22"/>
        </w:rPr>
        <w:t>for</w:t>
      </w:r>
      <w:r>
        <w:rPr>
          <w:spacing w:val="-9"/>
          <w:sz w:val="22"/>
        </w:rPr>
        <w:t> </w:t>
      </w:r>
      <w:r>
        <w:rPr>
          <w:sz w:val="22"/>
        </w:rPr>
        <w:t>non-medical</w:t>
      </w:r>
      <w:r>
        <w:rPr>
          <w:spacing w:val="-8"/>
          <w:sz w:val="22"/>
        </w:rPr>
        <w:t> </w:t>
      </w:r>
      <w:r>
        <w:rPr>
          <w:sz w:val="22"/>
        </w:rPr>
        <w:t>goods</w:t>
      </w:r>
      <w:r>
        <w:rPr>
          <w:spacing w:val="-8"/>
          <w:sz w:val="22"/>
        </w:rPr>
        <w:t> </w:t>
      </w:r>
      <w:r>
        <w:rPr>
          <w:sz w:val="22"/>
        </w:rPr>
        <w:t>and</w:t>
      </w:r>
      <w:r>
        <w:rPr>
          <w:spacing w:val="-9"/>
          <w:sz w:val="22"/>
        </w:rPr>
        <w:t> </w:t>
      </w:r>
      <w:r>
        <w:rPr>
          <w:sz w:val="22"/>
        </w:rPr>
        <w:t>services</w:t>
      </w:r>
      <w:r>
        <w:rPr>
          <w:spacing w:val="-8"/>
          <w:sz w:val="22"/>
        </w:rPr>
        <w:t> </w:t>
      </w:r>
      <w:r>
        <w:rPr>
          <w:spacing w:val="-2"/>
          <w:sz w:val="22"/>
        </w:rPr>
        <w:t>costing</w:t>
      </w:r>
    </w:p>
    <w:p>
      <w:pPr>
        <w:spacing w:before="0"/>
        <w:ind w:left="1439" w:right="775" w:firstLine="0"/>
        <w:jc w:val="left"/>
        <w:rPr>
          <w:sz w:val="22"/>
        </w:rPr>
      </w:pPr>
      <w:r>
        <w:rPr>
          <w:sz w:val="22"/>
        </w:rPr>
        <w:t>$2500</w:t>
      </w:r>
      <w:r>
        <w:rPr>
          <w:spacing w:val="-4"/>
          <w:sz w:val="22"/>
        </w:rPr>
        <w:t> </w:t>
      </w:r>
      <w:r>
        <w:rPr>
          <w:sz w:val="22"/>
        </w:rPr>
        <w:t>or</w:t>
      </w:r>
      <w:r>
        <w:rPr>
          <w:spacing w:val="-4"/>
          <w:sz w:val="22"/>
        </w:rPr>
        <w:t> </w:t>
      </w:r>
      <w:r>
        <w:rPr>
          <w:sz w:val="22"/>
        </w:rPr>
        <w:t>less;</w:t>
      </w:r>
      <w:r>
        <w:rPr>
          <w:spacing w:val="-4"/>
          <w:sz w:val="22"/>
        </w:rPr>
        <w:t> </w:t>
      </w:r>
      <w:r>
        <w:rPr>
          <w:sz w:val="22"/>
        </w:rPr>
        <w:t>establishes</w:t>
      </w:r>
      <w:r>
        <w:rPr>
          <w:spacing w:val="-4"/>
          <w:sz w:val="22"/>
        </w:rPr>
        <w:t> </w:t>
      </w:r>
      <w:r>
        <w:rPr>
          <w:sz w:val="22"/>
        </w:rPr>
        <w:t>counselor/client</w:t>
      </w:r>
      <w:r>
        <w:rPr>
          <w:spacing w:val="-4"/>
          <w:sz w:val="22"/>
        </w:rPr>
        <w:t> </w:t>
      </w:r>
      <w:r>
        <w:rPr>
          <w:sz w:val="22"/>
        </w:rPr>
        <w:t>driven</w:t>
      </w:r>
      <w:r>
        <w:rPr>
          <w:spacing w:val="-5"/>
          <w:sz w:val="22"/>
        </w:rPr>
        <w:t> </w:t>
      </w:r>
      <w:r>
        <w:rPr>
          <w:sz w:val="22"/>
        </w:rPr>
        <w:t>phone</w:t>
      </w:r>
      <w:r>
        <w:rPr>
          <w:spacing w:val="-4"/>
          <w:sz w:val="22"/>
        </w:rPr>
        <w:t> </w:t>
      </w:r>
      <w:r>
        <w:rPr>
          <w:sz w:val="22"/>
        </w:rPr>
        <w:t>bid</w:t>
      </w:r>
      <w:r>
        <w:rPr>
          <w:spacing w:val="-4"/>
          <w:sz w:val="22"/>
        </w:rPr>
        <w:t> </w:t>
      </w:r>
      <w:r>
        <w:rPr>
          <w:sz w:val="22"/>
        </w:rPr>
        <w:t>process</w:t>
      </w:r>
      <w:r>
        <w:rPr>
          <w:spacing w:val="-4"/>
          <w:sz w:val="22"/>
        </w:rPr>
        <w:t> </w:t>
      </w:r>
      <w:r>
        <w:rPr>
          <w:sz w:val="22"/>
        </w:rPr>
        <w:t>over</w:t>
      </w:r>
      <w:r>
        <w:rPr>
          <w:spacing w:val="-6"/>
          <w:sz w:val="22"/>
        </w:rPr>
        <w:t> </w:t>
      </w:r>
      <w:r>
        <w:rPr>
          <w:sz w:val="22"/>
        </w:rPr>
        <w:t>$2500; rules supersede emergency rules issued 4-3-96; rules make emergency rules changes issued 3-1-97 permanent</w:t>
      </w:r>
    </w:p>
    <w:p>
      <w:pPr>
        <w:tabs>
          <w:tab w:pos="1439" w:val="left" w:leader="none"/>
        </w:tabs>
        <w:spacing w:before="0"/>
        <w:ind w:left="359" w:right="0" w:firstLine="0"/>
        <w:jc w:val="left"/>
        <w:rPr>
          <w:sz w:val="22"/>
        </w:rPr>
      </w:pPr>
      <w:r>
        <w:rPr>
          <w:spacing w:val="-2"/>
          <w:sz w:val="22"/>
        </w:rPr>
        <w:t>6-14-</w:t>
      </w:r>
      <w:r>
        <w:rPr>
          <w:spacing w:val="-5"/>
          <w:sz w:val="22"/>
        </w:rPr>
        <w:t>99</w:t>
      </w:r>
      <w:r>
        <w:rPr>
          <w:sz w:val="22"/>
        </w:rPr>
        <w:tab/>
        <w:t>POL</w:t>
      </w:r>
      <w:r>
        <w:rPr>
          <w:spacing w:val="-9"/>
          <w:sz w:val="22"/>
        </w:rPr>
        <w:t> </w:t>
      </w:r>
      <w:r>
        <w:rPr>
          <w:sz w:val="22"/>
        </w:rPr>
        <w:t>Memo</w:t>
      </w:r>
      <w:r>
        <w:rPr>
          <w:spacing w:val="-8"/>
          <w:sz w:val="22"/>
        </w:rPr>
        <w:t> </w:t>
      </w:r>
      <w:r>
        <w:rPr>
          <w:sz w:val="22"/>
        </w:rPr>
        <w:t>#99-</w:t>
      </w:r>
      <w:r>
        <w:rPr>
          <w:spacing w:val="-10"/>
          <w:sz w:val="22"/>
        </w:rPr>
        <w:t>7</w:t>
      </w:r>
    </w:p>
    <w:p>
      <w:pPr>
        <w:spacing w:before="0"/>
        <w:ind w:left="1439" w:right="775" w:firstLine="0"/>
        <w:jc w:val="left"/>
        <w:rPr>
          <w:sz w:val="22"/>
        </w:rPr>
      </w:pPr>
      <w:r>
        <w:rPr>
          <w:sz w:val="22"/>
        </w:rPr>
        <w:t>Emergency,</w:t>
      </w:r>
      <w:r>
        <w:rPr>
          <w:spacing w:val="-4"/>
          <w:sz w:val="22"/>
        </w:rPr>
        <w:t> </w:t>
      </w:r>
      <w:r>
        <w:rPr>
          <w:sz w:val="22"/>
        </w:rPr>
        <w:t>Updated</w:t>
      </w:r>
      <w:r>
        <w:rPr>
          <w:spacing w:val="-4"/>
          <w:sz w:val="22"/>
        </w:rPr>
        <w:t> </w:t>
      </w:r>
      <w:r>
        <w:rPr>
          <w:sz w:val="22"/>
        </w:rPr>
        <w:t>with</w:t>
      </w:r>
      <w:r>
        <w:rPr>
          <w:spacing w:val="-4"/>
          <w:sz w:val="22"/>
        </w:rPr>
        <w:t> </w:t>
      </w:r>
      <w:r>
        <w:rPr>
          <w:sz w:val="22"/>
        </w:rPr>
        <w:t>DVR/DVS;</w:t>
      </w:r>
      <w:r>
        <w:rPr>
          <w:spacing w:val="-3"/>
          <w:sz w:val="22"/>
        </w:rPr>
        <w:t> </w:t>
      </w:r>
      <w:r>
        <w:rPr>
          <w:sz w:val="22"/>
        </w:rPr>
        <w:t>changed</w:t>
      </w:r>
      <w:r>
        <w:rPr>
          <w:spacing w:val="-4"/>
          <w:sz w:val="22"/>
        </w:rPr>
        <w:t> </w:t>
      </w:r>
      <w:r>
        <w:rPr>
          <w:sz w:val="22"/>
        </w:rPr>
        <w:t>IRP</w:t>
      </w:r>
      <w:r>
        <w:rPr>
          <w:spacing w:val="-4"/>
          <w:sz w:val="22"/>
        </w:rPr>
        <w:t> </w:t>
      </w:r>
      <w:r>
        <w:rPr>
          <w:sz w:val="22"/>
        </w:rPr>
        <w:t>to</w:t>
      </w:r>
      <w:r>
        <w:rPr>
          <w:spacing w:val="-4"/>
          <w:sz w:val="22"/>
        </w:rPr>
        <w:t> </w:t>
      </w:r>
      <w:r>
        <w:rPr>
          <w:sz w:val="22"/>
        </w:rPr>
        <w:t>IPE;</w:t>
      </w:r>
      <w:r>
        <w:rPr>
          <w:spacing w:val="-4"/>
          <w:sz w:val="22"/>
        </w:rPr>
        <w:t> </w:t>
      </w:r>
      <w:r>
        <w:rPr>
          <w:sz w:val="22"/>
        </w:rPr>
        <w:t>added</w:t>
      </w:r>
      <w:r>
        <w:rPr>
          <w:spacing w:val="-4"/>
          <w:sz w:val="22"/>
        </w:rPr>
        <w:t> </w:t>
      </w:r>
      <w:r>
        <w:rPr>
          <w:sz w:val="22"/>
        </w:rPr>
        <w:t>that</w:t>
      </w:r>
      <w:r>
        <w:rPr>
          <w:spacing w:val="-4"/>
          <w:sz w:val="22"/>
        </w:rPr>
        <w:t> </w:t>
      </w:r>
      <w:r>
        <w:rPr>
          <w:sz w:val="22"/>
        </w:rPr>
        <w:t>the</w:t>
      </w:r>
      <w:r>
        <w:rPr>
          <w:spacing w:val="-5"/>
          <w:sz w:val="22"/>
        </w:rPr>
        <w:t> </w:t>
      </w:r>
      <w:r>
        <w:rPr>
          <w:sz w:val="22"/>
        </w:rPr>
        <w:t>rehab. professional</w:t>
      </w:r>
      <w:r>
        <w:rPr>
          <w:spacing w:val="-9"/>
          <w:sz w:val="22"/>
        </w:rPr>
        <w:t> </w:t>
      </w:r>
      <w:r>
        <w:rPr>
          <w:sz w:val="22"/>
        </w:rPr>
        <w:t>will</w:t>
      </w:r>
      <w:r>
        <w:rPr>
          <w:spacing w:val="-8"/>
          <w:sz w:val="22"/>
        </w:rPr>
        <w:t> </w:t>
      </w:r>
      <w:r>
        <w:rPr>
          <w:sz w:val="22"/>
        </w:rPr>
        <w:t>document</w:t>
      </w:r>
      <w:r>
        <w:rPr>
          <w:spacing w:val="-7"/>
          <w:sz w:val="22"/>
        </w:rPr>
        <w:t> </w:t>
      </w:r>
      <w:r>
        <w:rPr>
          <w:sz w:val="22"/>
        </w:rPr>
        <w:t>bids</w:t>
      </w:r>
      <w:r>
        <w:rPr>
          <w:spacing w:val="-8"/>
          <w:sz w:val="22"/>
        </w:rPr>
        <w:t> </w:t>
      </w:r>
      <w:r>
        <w:rPr>
          <w:sz w:val="22"/>
        </w:rPr>
        <w:t>received</w:t>
      </w:r>
      <w:r>
        <w:rPr>
          <w:spacing w:val="-7"/>
          <w:sz w:val="22"/>
        </w:rPr>
        <w:t> </w:t>
      </w:r>
      <w:r>
        <w:rPr>
          <w:sz w:val="22"/>
        </w:rPr>
        <w:t>on</w:t>
      </w:r>
      <w:r>
        <w:rPr>
          <w:spacing w:val="-8"/>
          <w:sz w:val="22"/>
        </w:rPr>
        <w:t> </w:t>
      </w:r>
      <w:r>
        <w:rPr>
          <w:sz w:val="22"/>
        </w:rPr>
        <w:t>the</w:t>
      </w:r>
      <w:r>
        <w:rPr>
          <w:spacing w:val="-8"/>
          <w:sz w:val="22"/>
        </w:rPr>
        <w:t> </w:t>
      </w:r>
      <w:r>
        <w:rPr>
          <w:sz w:val="22"/>
        </w:rPr>
        <w:t>Vendor</w:t>
      </w:r>
      <w:r>
        <w:rPr>
          <w:spacing w:val="-8"/>
          <w:sz w:val="22"/>
        </w:rPr>
        <w:t> </w:t>
      </w:r>
      <w:r>
        <w:rPr>
          <w:sz w:val="22"/>
        </w:rPr>
        <w:t>Bid</w:t>
      </w:r>
      <w:r>
        <w:rPr>
          <w:spacing w:val="-7"/>
          <w:sz w:val="22"/>
        </w:rPr>
        <w:t> </w:t>
      </w:r>
      <w:r>
        <w:rPr>
          <w:sz w:val="22"/>
        </w:rPr>
        <w:t>Documentation</w:t>
      </w:r>
      <w:r>
        <w:rPr>
          <w:spacing w:val="-8"/>
          <w:sz w:val="22"/>
        </w:rPr>
        <w:t> </w:t>
      </w:r>
      <w:r>
        <w:rPr>
          <w:spacing w:val="-4"/>
          <w:sz w:val="22"/>
        </w:rPr>
        <w:t>form</w:t>
      </w:r>
    </w:p>
    <w:p>
      <w:pPr>
        <w:tabs>
          <w:tab w:pos="1439" w:val="left" w:leader="none"/>
        </w:tabs>
        <w:spacing w:line="252" w:lineRule="exact" w:before="0"/>
        <w:ind w:left="359" w:right="0" w:firstLine="0"/>
        <w:jc w:val="left"/>
        <w:rPr>
          <w:sz w:val="22"/>
        </w:rPr>
      </w:pPr>
      <w:r>
        <w:rPr>
          <w:spacing w:val="-2"/>
          <w:sz w:val="22"/>
        </w:rPr>
        <w:t>7-1-</w:t>
      </w:r>
      <w:r>
        <w:rPr>
          <w:spacing w:val="-5"/>
          <w:sz w:val="22"/>
        </w:rPr>
        <w:t>99</w:t>
      </w:r>
      <w:r>
        <w:rPr>
          <w:sz w:val="22"/>
        </w:rPr>
        <w:tab/>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7-15-00</w:t>
      </w:r>
      <w:r>
        <w:rPr>
          <w:sz w:val="22"/>
        </w:rPr>
        <w:tab/>
        <w:t>POL #00-09</w:t>
      </w:r>
    </w:p>
    <w:p>
      <w:pPr>
        <w:tabs>
          <w:tab w:pos="1439" w:val="left" w:leader="none"/>
        </w:tabs>
        <w:spacing w:before="1"/>
        <w:ind w:left="359" w:right="1321" w:firstLine="1080"/>
        <w:jc w:val="left"/>
        <w:rPr>
          <w:sz w:val="22"/>
        </w:rPr>
      </w:pPr>
      <w:r>
        <w:rPr>
          <w:sz w:val="22"/>
        </w:rPr>
        <w:t>Permanent,</w:t>
      </w:r>
      <w:r>
        <w:rPr>
          <w:spacing w:val="-5"/>
          <w:sz w:val="22"/>
        </w:rPr>
        <w:t> </w:t>
      </w:r>
      <w:r>
        <w:rPr>
          <w:sz w:val="22"/>
        </w:rPr>
        <w:t>procedure</w:t>
      </w:r>
      <w:r>
        <w:rPr>
          <w:spacing w:val="-6"/>
          <w:sz w:val="22"/>
        </w:rPr>
        <w:t> </w:t>
      </w:r>
      <w:r>
        <w:rPr>
          <w:sz w:val="22"/>
        </w:rPr>
        <w:t>for</w:t>
      </w:r>
      <w:r>
        <w:rPr>
          <w:spacing w:val="-6"/>
          <w:sz w:val="22"/>
        </w:rPr>
        <w:t> </w:t>
      </w:r>
      <w:r>
        <w:rPr>
          <w:sz w:val="22"/>
        </w:rPr>
        <w:t>repossession</w:t>
      </w:r>
      <w:r>
        <w:rPr>
          <w:spacing w:val="-6"/>
          <w:sz w:val="22"/>
        </w:rPr>
        <w:t> </w:t>
      </w:r>
      <w:r>
        <w:rPr>
          <w:sz w:val="22"/>
        </w:rPr>
        <w:t>of</w:t>
      </w:r>
      <w:r>
        <w:rPr>
          <w:spacing w:val="-6"/>
          <w:sz w:val="22"/>
        </w:rPr>
        <w:t> </w:t>
      </w:r>
      <w:r>
        <w:rPr>
          <w:sz w:val="22"/>
        </w:rPr>
        <w:t>goods,</w:t>
      </w:r>
      <w:r>
        <w:rPr>
          <w:spacing w:val="-6"/>
          <w:sz w:val="22"/>
        </w:rPr>
        <w:t> </w:t>
      </w:r>
      <w:r>
        <w:rPr>
          <w:sz w:val="22"/>
        </w:rPr>
        <w:t>case</w:t>
      </w:r>
      <w:r>
        <w:rPr>
          <w:spacing w:val="-6"/>
          <w:sz w:val="22"/>
        </w:rPr>
        <w:t> </w:t>
      </w:r>
      <w:r>
        <w:rPr>
          <w:sz w:val="22"/>
        </w:rPr>
        <w:t>recording</w:t>
      </w:r>
      <w:r>
        <w:rPr>
          <w:spacing w:val="-6"/>
          <w:sz w:val="22"/>
        </w:rPr>
        <w:t> </w:t>
      </w:r>
      <w:r>
        <w:rPr>
          <w:sz w:val="22"/>
        </w:rPr>
        <w:t>requirements </w:t>
      </w:r>
      <w:r>
        <w:rPr>
          <w:spacing w:val="-2"/>
          <w:sz w:val="22"/>
        </w:rPr>
        <w:t>7-1-01</w:t>
      </w:r>
      <w:r>
        <w:rPr>
          <w:sz w:val="22"/>
        </w:rPr>
        <w:tab/>
        <w:t>PT Memo #01-08</w:t>
      </w:r>
    </w:p>
    <w:p>
      <w:pPr>
        <w:tabs>
          <w:tab w:pos="1439" w:val="left" w:leader="none"/>
        </w:tabs>
        <w:spacing w:before="0"/>
        <w:ind w:left="359" w:right="1918" w:firstLine="1080"/>
        <w:jc w:val="left"/>
        <w:rPr>
          <w:sz w:val="22"/>
        </w:rPr>
      </w:pPr>
      <w:r>
        <w:rPr>
          <w:sz w:val="22"/>
        </w:rPr>
        <w:t>Permanent,</w:t>
      </w:r>
      <w:r>
        <w:rPr>
          <w:spacing w:val="-4"/>
          <w:sz w:val="22"/>
        </w:rPr>
        <w:t> </w:t>
      </w:r>
      <w:r>
        <w:rPr>
          <w:sz w:val="22"/>
        </w:rPr>
        <w:t>Amended</w:t>
      </w:r>
      <w:r>
        <w:rPr>
          <w:spacing w:val="-5"/>
          <w:sz w:val="22"/>
        </w:rPr>
        <w:t> </w:t>
      </w:r>
      <w:r>
        <w:rPr>
          <w:sz w:val="22"/>
        </w:rPr>
        <w:t>ownership</w:t>
      </w:r>
      <w:r>
        <w:rPr>
          <w:spacing w:val="-5"/>
          <w:sz w:val="22"/>
        </w:rPr>
        <w:t> </w:t>
      </w:r>
      <w:r>
        <w:rPr>
          <w:sz w:val="22"/>
        </w:rPr>
        <w:t>of</w:t>
      </w:r>
      <w:r>
        <w:rPr>
          <w:spacing w:val="-6"/>
          <w:sz w:val="22"/>
        </w:rPr>
        <w:t> </w:t>
      </w:r>
      <w:r>
        <w:rPr>
          <w:sz w:val="22"/>
        </w:rPr>
        <w:t>equipment</w:t>
      </w:r>
      <w:r>
        <w:rPr>
          <w:spacing w:val="-5"/>
          <w:sz w:val="22"/>
        </w:rPr>
        <w:t> </w:t>
      </w:r>
      <w:r>
        <w:rPr>
          <w:sz w:val="22"/>
        </w:rPr>
        <w:t>and</w:t>
      </w:r>
      <w:r>
        <w:rPr>
          <w:spacing w:val="-5"/>
          <w:sz w:val="22"/>
        </w:rPr>
        <w:t> </w:t>
      </w:r>
      <w:r>
        <w:rPr>
          <w:sz w:val="22"/>
        </w:rPr>
        <w:t>Direct</w:t>
      </w:r>
      <w:r>
        <w:rPr>
          <w:spacing w:val="-5"/>
          <w:sz w:val="22"/>
        </w:rPr>
        <w:t> </w:t>
      </w:r>
      <w:r>
        <w:rPr>
          <w:sz w:val="22"/>
        </w:rPr>
        <w:t>client</w:t>
      </w:r>
      <w:r>
        <w:rPr>
          <w:spacing w:val="-5"/>
          <w:sz w:val="22"/>
        </w:rPr>
        <w:t> </w:t>
      </w:r>
      <w:r>
        <w:rPr>
          <w:sz w:val="22"/>
        </w:rPr>
        <w:t>payment </w:t>
      </w:r>
      <w:r>
        <w:rPr>
          <w:spacing w:val="-2"/>
          <w:sz w:val="22"/>
        </w:rPr>
        <w:t>7-1-03</w:t>
      </w:r>
      <w:r>
        <w:rPr>
          <w:sz w:val="22"/>
        </w:rPr>
        <w:tab/>
        <w:t>PT Memo #03-07</w:t>
      </w:r>
    </w:p>
    <w:p>
      <w:pPr>
        <w:spacing w:before="0"/>
        <w:ind w:left="1438" w:right="0" w:firstLine="0"/>
        <w:jc w:val="left"/>
        <w:rPr>
          <w:sz w:val="22"/>
        </w:rPr>
      </w:pPr>
      <w:r>
        <w:rPr>
          <w:sz w:val="22"/>
        </w:rPr>
        <w:t>Permanent,</w:t>
      </w:r>
      <w:r>
        <w:rPr>
          <w:spacing w:val="-10"/>
          <w:sz w:val="22"/>
        </w:rPr>
        <w:t> </w:t>
      </w:r>
      <w:r>
        <w:rPr>
          <w:sz w:val="22"/>
        </w:rPr>
        <w:t>updated</w:t>
      </w:r>
      <w:r>
        <w:rPr>
          <w:spacing w:val="-11"/>
          <w:sz w:val="22"/>
        </w:rPr>
        <w:t> </w:t>
      </w:r>
      <w:r>
        <w:rPr>
          <w:spacing w:val="-2"/>
          <w:sz w:val="22"/>
        </w:rPr>
        <w:t>language.</w:t>
      </w:r>
    </w:p>
    <w:p>
      <w:pPr>
        <w:tabs>
          <w:tab w:pos="1438" w:val="left" w:leader="none"/>
        </w:tabs>
        <w:spacing w:before="0"/>
        <w:ind w:left="358" w:right="0" w:firstLine="0"/>
        <w:jc w:val="left"/>
        <w:rPr>
          <w:sz w:val="22"/>
        </w:rPr>
      </w:pPr>
      <w:r>
        <w:rPr>
          <w:spacing w:val="-2"/>
          <w:sz w:val="22"/>
        </w:rPr>
        <w:t>7-1-</w:t>
      </w:r>
      <w:r>
        <w:rPr>
          <w:spacing w:val="-5"/>
          <w:sz w:val="22"/>
        </w:rPr>
        <w:t>05</w:t>
      </w:r>
      <w:r>
        <w:rPr>
          <w:sz w:val="22"/>
        </w:rPr>
        <w:tab/>
        <w:t>PT</w:t>
      </w:r>
      <w:r>
        <w:rPr>
          <w:spacing w:val="-8"/>
          <w:sz w:val="22"/>
        </w:rPr>
        <w:t> </w:t>
      </w:r>
      <w:r>
        <w:rPr>
          <w:sz w:val="22"/>
        </w:rPr>
        <w:t>Memo</w:t>
      </w:r>
      <w:r>
        <w:rPr>
          <w:spacing w:val="-8"/>
          <w:sz w:val="22"/>
        </w:rPr>
        <w:t> </w:t>
      </w:r>
      <w:r>
        <w:rPr>
          <w:sz w:val="22"/>
        </w:rPr>
        <w:t>#06-</w:t>
      </w:r>
      <w:r>
        <w:rPr>
          <w:spacing w:val="-5"/>
          <w:sz w:val="22"/>
        </w:rPr>
        <w:t>01</w:t>
      </w:r>
    </w:p>
    <w:p>
      <w:pPr>
        <w:spacing w:before="0"/>
        <w:ind w:left="1438" w:right="855" w:firstLine="0"/>
        <w:jc w:val="left"/>
        <w:rPr>
          <w:sz w:val="22"/>
        </w:rPr>
      </w:pPr>
      <w:r>
        <w:rPr>
          <w:sz w:val="22"/>
        </w:rPr>
        <w:t>Permanent,</w:t>
      </w:r>
      <w:r>
        <w:rPr>
          <w:spacing w:val="-3"/>
          <w:sz w:val="22"/>
        </w:rPr>
        <w:t> </w:t>
      </w:r>
      <w:r>
        <w:rPr>
          <w:sz w:val="22"/>
        </w:rPr>
        <w:t>clean</w:t>
      </w:r>
      <w:r>
        <w:rPr>
          <w:spacing w:val="-4"/>
          <w:sz w:val="22"/>
        </w:rPr>
        <w:t> </w:t>
      </w:r>
      <w:r>
        <w:rPr>
          <w:sz w:val="22"/>
        </w:rPr>
        <w:t>up</w:t>
      </w:r>
      <w:r>
        <w:rPr>
          <w:spacing w:val="-4"/>
          <w:sz w:val="22"/>
        </w:rPr>
        <w:t> </w:t>
      </w:r>
      <w:r>
        <w:rPr>
          <w:sz w:val="22"/>
        </w:rPr>
        <w:t>of</w:t>
      </w:r>
      <w:r>
        <w:rPr>
          <w:spacing w:val="-4"/>
          <w:sz w:val="22"/>
        </w:rPr>
        <w:t> </w:t>
      </w:r>
      <w:r>
        <w:rPr>
          <w:sz w:val="22"/>
        </w:rPr>
        <w:t>language</w:t>
      </w:r>
      <w:r>
        <w:rPr>
          <w:spacing w:val="-4"/>
          <w:sz w:val="22"/>
        </w:rPr>
        <w:t> </w:t>
      </w:r>
      <w:r>
        <w:rPr>
          <w:sz w:val="22"/>
        </w:rPr>
        <w:t>(h)(4)</w:t>
      </w:r>
      <w:r>
        <w:rPr>
          <w:spacing w:val="-4"/>
          <w:sz w:val="22"/>
        </w:rPr>
        <w:t> </w:t>
      </w:r>
      <w:r>
        <w:rPr>
          <w:sz w:val="22"/>
        </w:rPr>
        <w:t>non-collusion</w:t>
      </w:r>
      <w:r>
        <w:rPr>
          <w:spacing w:val="-4"/>
          <w:sz w:val="22"/>
        </w:rPr>
        <w:t> </w:t>
      </w:r>
      <w:r>
        <w:rPr>
          <w:sz w:val="22"/>
        </w:rPr>
        <w:t>statement</w:t>
      </w:r>
      <w:r>
        <w:rPr>
          <w:spacing w:val="-4"/>
          <w:sz w:val="22"/>
        </w:rPr>
        <w:t> </w:t>
      </w:r>
      <w:r>
        <w:rPr>
          <w:sz w:val="22"/>
        </w:rPr>
        <w:t>required</w:t>
      </w:r>
      <w:r>
        <w:rPr>
          <w:spacing w:val="-5"/>
          <w:sz w:val="22"/>
        </w:rPr>
        <w:t> </w:t>
      </w:r>
      <w:r>
        <w:rPr>
          <w:sz w:val="22"/>
        </w:rPr>
        <w:t>in</w:t>
      </w:r>
      <w:r>
        <w:rPr>
          <w:spacing w:val="-4"/>
          <w:sz w:val="22"/>
        </w:rPr>
        <w:t> </w:t>
      </w:r>
      <w:r>
        <w:rPr>
          <w:sz w:val="22"/>
        </w:rPr>
        <w:t>excess of $10,000.00.</w:t>
      </w:r>
    </w:p>
    <w:p>
      <w:pPr>
        <w:pStyle w:val="ListParagraph"/>
        <w:numPr>
          <w:ilvl w:val="2"/>
          <w:numId w:val="87"/>
        </w:numPr>
        <w:tabs>
          <w:tab w:pos="1438" w:val="left" w:leader="none"/>
        </w:tabs>
        <w:spacing w:line="252" w:lineRule="exact" w:before="0" w:after="0"/>
        <w:ind w:left="1438" w:right="0" w:hanging="1080"/>
        <w:jc w:val="left"/>
        <w:rPr>
          <w:sz w:val="22"/>
        </w:rPr>
      </w:pPr>
      <w:r>
        <w:rPr>
          <w:sz w:val="22"/>
        </w:rPr>
        <w:t>PT</w:t>
      </w:r>
      <w:r>
        <w:rPr>
          <w:spacing w:val="-8"/>
          <w:sz w:val="22"/>
        </w:rPr>
        <w:t> </w:t>
      </w:r>
      <w:r>
        <w:rPr>
          <w:sz w:val="22"/>
        </w:rPr>
        <w:t>Memo</w:t>
      </w:r>
      <w:r>
        <w:rPr>
          <w:spacing w:val="-8"/>
          <w:sz w:val="22"/>
        </w:rPr>
        <w:t> </w:t>
      </w:r>
      <w:r>
        <w:rPr>
          <w:sz w:val="22"/>
        </w:rPr>
        <w:t>#10-</w:t>
      </w:r>
      <w:r>
        <w:rPr>
          <w:spacing w:val="-5"/>
          <w:sz w:val="22"/>
        </w:rPr>
        <w:t>02</w:t>
      </w:r>
    </w:p>
    <w:p>
      <w:pPr>
        <w:spacing w:before="0"/>
        <w:ind w:left="1438" w:right="0" w:firstLine="0"/>
        <w:jc w:val="left"/>
        <w:rPr>
          <w:sz w:val="22"/>
        </w:rPr>
      </w:pPr>
      <w:r>
        <w:rPr>
          <w:sz w:val="22"/>
        </w:rPr>
        <w:t>Permanent,</w:t>
      </w:r>
      <w:r>
        <w:rPr>
          <w:spacing w:val="-6"/>
          <w:sz w:val="22"/>
        </w:rPr>
        <w:t> </w:t>
      </w:r>
      <w:r>
        <w:rPr>
          <w:sz w:val="22"/>
        </w:rPr>
        <w:t>aligning</w:t>
      </w:r>
      <w:r>
        <w:rPr>
          <w:spacing w:val="-7"/>
          <w:sz w:val="22"/>
        </w:rPr>
        <w:t> </w:t>
      </w:r>
      <w:r>
        <w:rPr>
          <w:sz w:val="22"/>
        </w:rPr>
        <w:t>policy</w:t>
      </w:r>
      <w:r>
        <w:rPr>
          <w:spacing w:val="-7"/>
          <w:sz w:val="22"/>
        </w:rPr>
        <w:t> </w:t>
      </w:r>
      <w:r>
        <w:rPr>
          <w:sz w:val="22"/>
        </w:rPr>
        <w:t>with</w:t>
      </w:r>
      <w:r>
        <w:rPr>
          <w:spacing w:val="-6"/>
          <w:sz w:val="22"/>
        </w:rPr>
        <w:t> </w:t>
      </w:r>
      <w:r>
        <w:rPr>
          <w:sz w:val="22"/>
        </w:rPr>
        <w:t>state</w:t>
      </w:r>
      <w:r>
        <w:rPr>
          <w:spacing w:val="-8"/>
          <w:sz w:val="22"/>
        </w:rPr>
        <w:t> </w:t>
      </w:r>
      <w:r>
        <w:rPr>
          <w:sz w:val="22"/>
        </w:rPr>
        <w:t>law</w:t>
      </w:r>
      <w:r>
        <w:rPr>
          <w:spacing w:val="-8"/>
          <w:sz w:val="22"/>
        </w:rPr>
        <w:t> </w:t>
      </w:r>
      <w:r>
        <w:rPr>
          <w:sz w:val="22"/>
        </w:rPr>
        <w:t>(2009</w:t>
      </w:r>
      <w:r>
        <w:rPr>
          <w:spacing w:val="-6"/>
          <w:sz w:val="22"/>
        </w:rPr>
        <w:t> </w:t>
      </w:r>
      <w:r>
        <w:rPr>
          <w:sz w:val="22"/>
        </w:rPr>
        <w:t>H.B.</w:t>
      </w:r>
      <w:r>
        <w:rPr>
          <w:spacing w:val="-7"/>
          <w:sz w:val="22"/>
        </w:rPr>
        <w:t> </w:t>
      </w:r>
      <w:r>
        <w:rPr>
          <w:spacing w:val="-2"/>
          <w:sz w:val="22"/>
        </w:rPr>
        <w:t>1032)</w:t>
      </w:r>
    </w:p>
    <w:p>
      <w:pPr>
        <w:tabs>
          <w:tab w:pos="1438" w:val="left" w:leader="none"/>
        </w:tabs>
        <w:spacing w:before="0"/>
        <w:ind w:left="358" w:right="1185" w:firstLine="0"/>
        <w:jc w:val="left"/>
        <w:rPr>
          <w:sz w:val="22"/>
        </w:rPr>
      </w:pPr>
      <w:r>
        <w:rPr>
          <w:spacing w:val="-2"/>
          <w:sz w:val="22"/>
        </w:rPr>
        <w:t>7-1-12</w:t>
      </w:r>
      <w:r>
        <w:rPr>
          <w:sz w:val="22"/>
        </w:rPr>
        <w:tab/>
        <w:t>Permanent,</w:t>
      </w:r>
      <w:r>
        <w:rPr>
          <w:spacing w:val="-4"/>
          <w:sz w:val="22"/>
        </w:rPr>
        <w:t> </w:t>
      </w:r>
      <w:r>
        <w:rPr>
          <w:sz w:val="22"/>
        </w:rPr>
        <w:t>changed</w:t>
      </w:r>
      <w:r>
        <w:rPr>
          <w:spacing w:val="-5"/>
          <w:sz w:val="22"/>
        </w:rPr>
        <w:t> </w:t>
      </w:r>
      <w:r>
        <w:rPr>
          <w:sz w:val="22"/>
        </w:rPr>
        <w:t>non-collusion</w:t>
      </w:r>
      <w:r>
        <w:rPr>
          <w:spacing w:val="-5"/>
          <w:sz w:val="22"/>
        </w:rPr>
        <w:t> </w:t>
      </w:r>
      <w:r>
        <w:rPr>
          <w:sz w:val="22"/>
        </w:rPr>
        <w:t>statement</w:t>
      </w:r>
      <w:r>
        <w:rPr>
          <w:spacing w:val="-5"/>
          <w:sz w:val="22"/>
        </w:rPr>
        <w:t> </w:t>
      </w:r>
      <w:r>
        <w:rPr>
          <w:sz w:val="22"/>
        </w:rPr>
        <w:t>requirement</w:t>
      </w:r>
      <w:r>
        <w:rPr>
          <w:spacing w:val="-5"/>
          <w:sz w:val="22"/>
        </w:rPr>
        <w:t> </w:t>
      </w:r>
      <w:r>
        <w:rPr>
          <w:sz w:val="22"/>
        </w:rPr>
        <w:t>from</w:t>
      </w:r>
      <w:r>
        <w:rPr>
          <w:spacing w:val="-6"/>
          <w:sz w:val="22"/>
        </w:rPr>
        <w:t> </w:t>
      </w:r>
      <w:r>
        <w:rPr>
          <w:sz w:val="22"/>
        </w:rPr>
        <w:t>10,000</w:t>
      </w:r>
      <w:r>
        <w:rPr>
          <w:spacing w:val="-5"/>
          <w:sz w:val="22"/>
        </w:rPr>
        <w:t> </w:t>
      </w:r>
      <w:r>
        <w:rPr>
          <w:sz w:val="22"/>
        </w:rPr>
        <w:t>to</w:t>
      </w:r>
      <w:r>
        <w:rPr>
          <w:spacing w:val="-5"/>
          <w:sz w:val="22"/>
        </w:rPr>
        <w:t> </w:t>
      </w:r>
      <w:r>
        <w:rPr>
          <w:sz w:val="22"/>
        </w:rPr>
        <w:t>5,000. </w:t>
      </w:r>
      <w:r>
        <w:rPr>
          <w:spacing w:val="-2"/>
          <w:sz w:val="22"/>
        </w:rPr>
        <w:t>7-1-13</w:t>
      </w:r>
      <w:r>
        <w:rPr>
          <w:sz w:val="22"/>
        </w:rPr>
        <w:tab/>
        <w:t>Permanent, removed verbal and replaced with written faxed or email</w:t>
      </w:r>
    </w:p>
    <w:p>
      <w:pPr>
        <w:tabs>
          <w:tab w:pos="1438" w:val="left" w:leader="none"/>
        </w:tabs>
        <w:spacing w:before="1"/>
        <w:ind w:left="1438" w:right="1172" w:hanging="1080"/>
        <w:jc w:val="left"/>
        <w:rPr>
          <w:sz w:val="22"/>
        </w:rPr>
      </w:pPr>
      <w:r>
        <w:rPr>
          <w:spacing w:val="-2"/>
          <w:sz w:val="22"/>
        </w:rPr>
        <w:t>9-12-14</w:t>
      </w:r>
      <w:r>
        <w:rPr>
          <w:sz w:val="22"/>
        </w:rPr>
        <w:tab/>
        <w:t>Updated</w:t>
      </w:r>
      <w:r>
        <w:rPr>
          <w:spacing w:val="-3"/>
          <w:sz w:val="22"/>
        </w:rPr>
        <w:t> </w:t>
      </w:r>
      <w:r>
        <w:rPr>
          <w:sz w:val="22"/>
        </w:rPr>
        <w:t>to</w:t>
      </w:r>
      <w:r>
        <w:rPr>
          <w:spacing w:val="-3"/>
          <w:sz w:val="22"/>
        </w:rPr>
        <w:t> </w:t>
      </w:r>
      <w:r>
        <w:rPr>
          <w:sz w:val="22"/>
        </w:rPr>
        <w:t>reflect</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Department</w:t>
      </w:r>
      <w:r>
        <w:rPr>
          <w:spacing w:val="-3"/>
          <w:sz w:val="22"/>
        </w:rPr>
        <w:t> </w:t>
      </w:r>
      <w:r>
        <w:rPr>
          <w:sz w:val="22"/>
        </w:rPr>
        <w:t>of</w:t>
      </w:r>
      <w:r>
        <w:rPr>
          <w:spacing w:val="-3"/>
          <w:sz w:val="22"/>
        </w:rPr>
        <w:t> </w:t>
      </w:r>
      <w:r>
        <w:rPr>
          <w:sz w:val="22"/>
        </w:rPr>
        <w:t>Central</w:t>
      </w:r>
      <w:r>
        <w:rPr>
          <w:spacing w:val="-3"/>
          <w:sz w:val="22"/>
        </w:rPr>
        <w:t> </w:t>
      </w:r>
      <w:r>
        <w:rPr>
          <w:sz w:val="22"/>
        </w:rPr>
        <w:t>Services</w:t>
      </w:r>
      <w:r>
        <w:rPr>
          <w:spacing w:val="-3"/>
          <w:sz w:val="22"/>
        </w:rPr>
        <w:t> </w:t>
      </w:r>
      <w:r>
        <w:rPr>
          <w:sz w:val="22"/>
        </w:rPr>
        <w:t>to</w:t>
      </w:r>
      <w:r>
        <w:rPr>
          <w:spacing w:val="-4"/>
          <w:sz w:val="22"/>
        </w:rPr>
        <w:t> </w:t>
      </w:r>
      <w:r>
        <w:rPr>
          <w:sz w:val="22"/>
        </w:rPr>
        <w:t>Division</w:t>
      </w:r>
      <w:r>
        <w:rPr>
          <w:spacing w:val="-3"/>
          <w:sz w:val="22"/>
        </w:rPr>
        <w:t> </w:t>
      </w:r>
      <w:r>
        <w:rPr>
          <w:sz w:val="22"/>
        </w:rPr>
        <w:t>of Capital Assets Management (DCAM).</w:t>
      </w:r>
    </w:p>
    <w:p>
      <w:pPr>
        <w:tabs>
          <w:tab w:pos="1438" w:val="left" w:leader="none"/>
        </w:tabs>
        <w:spacing w:before="0"/>
        <w:ind w:left="1438" w:right="867"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8" w:val="left" w:leader="none"/>
        </w:tabs>
        <w:spacing w:before="0"/>
        <w:ind w:left="1438"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8" w:val="left" w:leader="none"/>
        </w:tabs>
        <w:spacing w:before="0"/>
        <w:ind w:left="1438"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spacing w:after="0"/>
        <w:jc w:val="left"/>
        <w:rPr>
          <w:sz w:val="22"/>
        </w:rPr>
        <w:sectPr>
          <w:pgSz w:w="12240" w:h="15840"/>
          <w:pgMar w:top="1340" w:bottom="280" w:left="1080" w:right="720"/>
        </w:sectPr>
      </w:pPr>
    </w:p>
    <w:p>
      <w:pPr>
        <w:tabs>
          <w:tab w:pos="1439" w:val="left" w:leader="none"/>
        </w:tabs>
        <w:spacing w:before="80"/>
        <w:ind w:left="1439" w:right="879" w:hanging="1080"/>
        <w:jc w:val="left"/>
        <w:rPr>
          <w:sz w:val="22"/>
        </w:rPr>
      </w:pPr>
      <w:r>
        <w:rPr>
          <w:spacing w:val="-2"/>
          <w:sz w:val="22"/>
        </w:rPr>
        <w:t>8-26-21</w:t>
      </w:r>
      <w:r>
        <w:rPr>
          <w:sz w:val="22"/>
        </w:rPr>
        <w:tab/>
        <w:t>Under (a) added sections (1) – (3). Language provides clarification on purchasing authorizations.</w:t>
      </w:r>
      <w:r>
        <w:rPr>
          <w:spacing w:val="-5"/>
          <w:sz w:val="22"/>
        </w:rPr>
        <w:t> </w:t>
      </w:r>
      <w:r>
        <w:rPr>
          <w:sz w:val="22"/>
        </w:rPr>
        <w:t>Under</w:t>
      </w:r>
      <w:r>
        <w:rPr>
          <w:spacing w:val="-5"/>
          <w:sz w:val="22"/>
        </w:rPr>
        <w:t> </w:t>
      </w:r>
      <w:r>
        <w:rPr>
          <w:sz w:val="22"/>
        </w:rPr>
        <w:t>(b)</w:t>
      </w:r>
      <w:r>
        <w:rPr>
          <w:spacing w:val="-5"/>
          <w:sz w:val="22"/>
        </w:rPr>
        <w:t> </w:t>
      </w:r>
      <w:r>
        <w:rPr>
          <w:sz w:val="22"/>
        </w:rPr>
        <w:t>added</w:t>
      </w:r>
      <w:r>
        <w:rPr>
          <w:spacing w:val="-5"/>
          <w:sz w:val="22"/>
        </w:rPr>
        <w:t> </w:t>
      </w:r>
      <w:r>
        <w:rPr>
          <w:sz w:val="22"/>
        </w:rPr>
        <w:t>sections</w:t>
      </w:r>
      <w:r>
        <w:rPr>
          <w:spacing w:val="-5"/>
          <w:sz w:val="22"/>
        </w:rPr>
        <w:t> </w:t>
      </w:r>
      <w:r>
        <w:rPr>
          <w:sz w:val="22"/>
        </w:rPr>
        <w:t>explaining</w:t>
      </w:r>
      <w:r>
        <w:rPr>
          <w:spacing w:val="-5"/>
          <w:sz w:val="22"/>
        </w:rPr>
        <w:t> </w:t>
      </w:r>
      <w:r>
        <w:rPr>
          <w:sz w:val="22"/>
        </w:rPr>
        <w:t>training</w:t>
      </w:r>
      <w:r>
        <w:rPr>
          <w:spacing w:val="-5"/>
          <w:sz w:val="22"/>
        </w:rPr>
        <w:t> </w:t>
      </w:r>
      <w:r>
        <w:rPr>
          <w:sz w:val="22"/>
        </w:rPr>
        <w:t>facility</w:t>
      </w:r>
      <w:r>
        <w:rPr>
          <w:spacing w:val="-5"/>
          <w:sz w:val="22"/>
        </w:rPr>
        <w:t> </w:t>
      </w:r>
      <w:r>
        <w:rPr>
          <w:sz w:val="22"/>
        </w:rPr>
        <w:t>agreements</w:t>
      </w:r>
      <w:r>
        <w:rPr>
          <w:spacing w:val="-5"/>
          <w:sz w:val="22"/>
        </w:rPr>
        <w:t> </w:t>
      </w:r>
      <w:r>
        <w:rPr>
          <w:sz w:val="22"/>
        </w:rPr>
        <w:t>and out-of-state vendor contracts. Additional language was revised to reflect WIOA.</w:t>
      </w:r>
    </w:p>
    <w:p>
      <w:pPr>
        <w:pStyle w:val="ListParagraph"/>
        <w:numPr>
          <w:ilvl w:val="2"/>
          <w:numId w:val="88"/>
        </w:numPr>
        <w:tabs>
          <w:tab w:pos="1439" w:val="left" w:leader="none"/>
        </w:tabs>
        <w:spacing w:line="238" w:lineRule="exact" w:before="0" w:after="0"/>
        <w:ind w:left="1439" w:right="0" w:hanging="1079"/>
        <w:jc w:val="left"/>
        <w:rPr>
          <w:sz w:val="22"/>
        </w:rPr>
      </w:pPr>
      <w:r>
        <w:rPr>
          <w:sz w:val="22"/>
        </w:rPr>
        <w:t>Removed</w:t>
      </w:r>
      <w:r>
        <w:rPr>
          <w:spacing w:val="-7"/>
          <w:sz w:val="22"/>
        </w:rPr>
        <w:t> </w:t>
      </w:r>
      <w:r>
        <w:rPr>
          <w:sz w:val="22"/>
        </w:rPr>
        <w:t>cited</w:t>
      </w:r>
      <w:r>
        <w:rPr>
          <w:spacing w:val="-6"/>
          <w:sz w:val="22"/>
        </w:rPr>
        <w:t> </w:t>
      </w:r>
      <w:r>
        <w:rPr>
          <w:sz w:val="22"/>
        </w:rPr>
        <w:t>rule</w:t>
      </w:r>
      <w:r>
        <w:rPr>
          <w:spacing w:val="-6"/>
          <w:sz w:val="22"/>
        </w:rPr>
        <w:t> </w:t>
      </w:r>
      <w:r>
        <w:rPr>
          <w:sz w:val="22"/>
        </w:rPr>
        <w:t>612:10-7-220</w:t>
      </w:r>
      <w:r>
        <w:rPr>
          <w:spacing w:val="-6"/>
          <w:sz w:val="22"/>
        </w:rPr>
        <w:t> </w:t>
      </w:r>
      <w:r>
        <w:rPr>
          <w:sz w:val="22"/>
        </w:rPr>
        <w:t>from</w:t>
      </w:r>
      <w:r>
        <w:rPr>
          <w:spacing w:val="-7"/>
          <w:sz w:val="22"/>
        </w:rPr>
        <w:t> </w:t>
      </w:r>
      <w:r>
        <w:rPr>
          <w:sz w:val="22"/>
        </w:rPr>
        <w:t>section</w:t>
      </w:r>
      <w:r>
        <w:rPr>
          <w:spacing w:val="-6"/>
          <w:sz w:val="22"/>
        </w:rPr>
        <w:t> </w:t>
      </w:r>
      <w:r>
        <w:rPr>
          <w:sz w:val="22"/>
        </w:rPr>
        <w:t>(k)</w:t>
      </w:r>
      <w:r>
        <w:rPr>
          <w:spacing w:val="-7"/>
          <w:sz w:val="22"/>
        </w:rPr>
        <w:t> </w:t>
      </w:r>
      <w:r>
        <w:rPr>
          <w:sz w:val="22"/>
        </w:rPr>
        <w:t>(5),</w:t>
      </w:r>
      <w:r>
        <w:rPr>
          <w:spacing w:val="-6"/>
          <w:sz w:val="22"/>
        </w:rPr>
        <w:t> </w:t>
      </w:r>
      <w:r>
        <w:rPr>
          <w:sz w:val="22"/>
        </w:rPr>
        <w:t>moved</w:t>
      </w:r>
      <w:r>
        <w:rPr>
          <w:spacing w:val="-6"/>
          <w:sz w:val="22"/>
        </w:rPr>
        <w:t> </w:t>
      </w:r>
      <w:r>
        <w:rPr>
          <w:sz w:val="22"/>
        </w:rPr>
        <w:t>to</w:t>
      </w:r>
      <w:r>
        <w:rPr>
          <w:spacing w:val="-6"/>
          <w:sz w:val="22"/>
        </w:rPr>
        <w:t> </w:t>
      </w:r>
      <w:r>
        <w:rPr>
          <w:spacing w:val="-4"/>
          <w:sz w:val="22"/>
        </w:rPr>
        <w:t>ITS.</w:t>
      </w:r>
    </w:p>
    <w:p>
      <w:pPr>
        <w:pStyle w:val="ListParagraph"/>
        <w:spacing w:after="0" w:line="238" w:lineRule="exact"/>
        <w:jc w:val="left"/>
        <w:rPr>
          <w:sz w:val="22"/>
        </w:rPr>
        <w:sectPr>
          <w:pgSz w:w="12240" w:h="15840"/>
          <w:pgMar w:top="1360" w:bottom="280" w:left="1080" w:right="720"/>
        </w:sectPr>
      </w:pPr>
    </w:p>
    <w:p>
      <w:pPr>
        <w:pStyle w:val="Heading1"/>
        <w:ind w:right="778"/>
      </w:pPr>
      <w:bookmarkStart w:name="SUBCHAPTER 3. CLIENT PARTICIPATION IN CO" w:id="104"/>
      <w:bookmarkEnd w:id="104"/>
      <w:r>
        <w:rPr>
          <w:b w:val="0"/>
        </w:rPr>
      </w:r>
      <w:r>
        <w:rPr/>
        <w:t>SUBCHAPTER</w:t>
      </w:r>
      <w:r>
        <w:rPr>
          <w:spacing w:val="-3"/>
        </w:rPr>
        <w:t> </w:t>
      </w:r>
      <w:r>
        <w:rPr/>
        <w:t>3.</w:t>
      </w:r>
      <w:r>
        <w:rPr>
          <w:spacing w:val="-2"/>
        </w:rPr>
        <w:t> </w:t>
      </w:r>
      <w:r>
        <w:rPr/>
        <w:t>CLIENT</w:t>
      </w:r>
      <w:r>
        <w:rPr>
          <w:spacing w:val="-1"/>
        </w:rPr>
        <w:t> </w:t>
      </w:r>
      <w:r>
        <w:rPr/>
        <w:t>PARTICIPATION</w:t>
      </w:r>
      <w:r>
        <w:rPr>
          <w:spacing w:val="-5"/>
        </w:rPr>
        <w:t> </w:t>
      </w:r>
      <w:r>
        <w:rPr/>
        <w:t>IN</w:t>
      </w:r>
      <w:r>
        <w:rPr>
          <w:spacing w:val="-2"/>
        </w:rPr>
        <w:t> </w:t>
      </w:r>
      <w:r>
        <w:rPr/>
        <w:t>COST</w:t>
      </w:r>
      <w:r>
        <w:rPr>
          <w:spacing w:val="-4"/>
        </w:rPr>
        <w:t> </w:t>
      </w:r>
      <w:r>
        <w:rPr/>
        <w:t>OF</w:t>
      </w:r>
      <w:r>
        <w:rPr>
          <w:spacing w:val="-2"/>
        </w:rPr>
        <w:t> SERVICES</w:t>
      </w:r>
    </w:p>
    <w:p>
      <w:pPr>
        <w:pStyle w:val="BodyText"/>
        <w:spacing w:before="204"/>
        <w:ind w:left="359"/>
      </w:pPr>
      <w:r>
        <w:rPr>
          <w:spacing w:val="-2"/>
        </w:rPr>
        <w:t>Section</w:t>
      </w:r>
    </w:p>
    <w:p>
      <w:pPr>
        <w:pStyle w:val="BodyText"/>
        <w:spacing w:before="204"/>
        <w:ind w:left="359"/>
        <w:jc w:val="both"/>
      </w:pPr>
      <w:r>
        <w:rPr/>
        <w:t>612:10-3-2.</w:t>
      </w:r>
      <w:r>
        <w:rPr>
          <w:spacing w:val="33"/>
        </w:rPr>
        <w:t>  </w:t>
      </w:r>
      <w:r>
        <w:rPr/>
        <w:t>Consideration</w:t>
      </w:r>
      <w:r>
        <w:rPr>
          <w:spacing w:val="-2"/>
        </w:rPr>
        <w:t> </w:t>
      </w:r>
      <w:r>
        <w:rPr/>
        <w:t>of</w:t>
      </w:r>
      <w:r>
        <w:rPr>
          <w:spacing w:val="-2"/>
        </w:rPr>
        <w:t> </w:t>
      </w:r>
      <w:r>
        <w:rPr/>
        <w:t>comparable</w:t>
      </w:r>
      <w:r>
        <w:rPr>
          <w:spacing w:val="-4"/>
        </w:rPr>
        <w:t> </w:t>
      </w:r>
      <w:r>
        <w:rPr/>
        <w:t>services</w:t>
      </w:r>
      <w:r>
        <w:rPr>
          <w:spacing w:val="-3"/>
        </w:rPr>
        <w:t> </w:t>
      </w:r>
      <w:r>
        <w:rPr/>
        <w:t>and</w:t>
      </w:r>
      <w:r>
        <w:rPr>
          <w:spacing w:val="-3"/>
        </w:rPr>
        <w:t> </w:t>
      </w:r>
      <w:r>
        <w:rPr>
          <w:spacing w:val="-2"/>
        </w:rPr>
        <w:t>benefits</w:t>
      </w:r>
    </w:p>
    <w:p>
      <w:pPr>
        <w:pStyle w:val="BodyText"/>
        <w:spacing w:before="204"/>
        <w:ind w:left="359"/>
        <w:jc w:val="both"/>
      </w:pPr>
      <w:r>
        <w:rPr/>
        <w:t>612:10-3-3.</w:t>
      </w:r>
      <w:r>
        <w:rPr>
          <w:spacing w:val="34"/>
        </w:rPr>
        <w:t>  </w:t>
      </w:r>
      <w:r>
        <w:rPr/>
        <w:t>Participation</w:t>
      </w:r>
      <w:r>
        <w:rPr>
          <w:spacing w:val="-2"/>
        </w:rPr>
        <w:t> </w:t>
      </w:r>
      <w:r>
        <w:rPr/>
        <w:t>of</w:t>
      </w:r>
      <w:r>
        <w:rPr>
          <w:spacing w:val="-2"/>
        </w:rPr>
        <w:t> </w:t>
      </w:r>
      <w:r>
        <w:rPr/>
        <w:t>individuals</w:t>
      </w:r>
      <w:r>
        <w:rPr>
          <w:spacing w:val="-3"/>
        </w:rPr>
        <w:t> </w:t>
      </w:r>
      <w:r>
        <w:rPr/>
        <w:t>in</w:t>
      </w:r>
      <w:r>
        <w:rPr>
          <w:spacing w:val="-3"/>
        </w:rPr>
        <w:t> </w:t>
      </w:r>
      <w:r>
        <w:rPr/>
        <w:t>cost</w:t>
      </w:r>
      <w:r>
        <w:rPr>
          <w:spacing w:val="-2"/>
        </w:rPr>
        <w:t> </w:t>
      </w:r>
      <w:r>
        <w:rPr/>
        <w:t>of</w:t>
      </w:r>
      <w:r>
        <w:rPr>
          <w:spacing w:val="-2"/>
        </w:rPr>
        <w:t> </w:t>
      </w:r>
      <w:r>
        <w:rPr/>
        <w:t>services</w:t>
      </w:r>
      <w:r>
        <w:rPr>
          <w:spacing w:val="-4"/>
        </w:rPr>
        <w:t> </w:t>
      </w:r>
      <w:r>
        <w:rPr/>
        <w:t>based</w:t>
      </w:r>
      <w:r>
        <w:rPr>
          <w:spacing w:val="-3"/>
        </w:rPr>
        <w:t> </w:t>
      </w:r>
      <w:r>
        <w:rPr/>
        <w:t>on</w:t>
      </w:r>
      <w:r>
        <w:rPr>
          <w:spacing w:val="-3"/>
        </w:rPr>
        <w:t> </w:t>
      </w:r>
      <w:r>
        <w:rPr/>
        <w:t>financial</w:t>
      </w:r>
      <w:r>
        <w:rPr>
          <w:spacing w:val="-3"/>
        </w:rPr>
        <w:t> </w:t>
      </w:r>
      <w:r>
        <w:rPr>
          <w:spacing w:val="-4"/>
        </w:rPr>
        <w:t>need</w:t>
      </w:r>
    </w:p>
    <w:p>
      <w:pPr>
        <w:spacing w:before="237"/>
        <w:ind w:left="360" w:right="0" w:firstLine="0"/>
        <w:jc w:val="both"/>
        <w:rPr>
          <w:sz w:val="22"/>
        </w:rPr>
      </w:pPr>
      <w:r>
        <w:rPr>
          <w:sz w:val="22"/>
        </w:rPr>
        <w:t>Section</w:t>
      </w:r>
      <w:r>
        <w:rPr>
          <w:spacing w:val="-9"/>
          <w:sz w:val="22"/>
        </w:rPr>
        <w:t> </w:t>
      </w:r>
      <w:r>
        <w:rPr>
          <w:spacing w:val="-2"/>
          <w:sz w:val="22"/>
        </w:rPr>
        <w:t>History</w:t>
      </w:r>
    </w:p>
    <w:p>
      <w:pPr>
        <w:spacing w:line="253" w:lineRule="exact" w:before="0"/>
        <w:ind w:left="360" w:right="0" w:firstLine="0"/>
        <w:jc w:val="both"/>
        <w:rPr>
          <w:sz w:val="22"/>
        </w:rPr>
      </w:pPr>
      <w:r>
        <w:rPr>
          <w:sz w:val="22"/>
        </w:rPr>
        <w:t>9-1-93</w:t>
      </w:r>
      <w:r>
        <w:rPr>
          <w:spacing w:val="69"/>
          <w:sz w:val="22"/>
        </w:rPr>
        <w:t>    </w:t>
      </w:r>
      <w:r>
        <w:rPr>
          <w:sz w:val="22"/>
        </w:rPr>
        <w:t>No</w:t>
      </w:r>
      <w:r>
        <w:rPr>
          <w:spacing w:val="-1"/>
          <w:sz w:val="22"/>
        </w:rPr>
        <w:t> </w:t>
      </w:r>
      <w:r>
        <w:rPr>
          <w:sz w:val="22"/>
        </w:rPr>
        <w:t>PT</w:t>
      </w:r>
      <w:r>
        <w:rPr>
          <w:spacing w:val="-1"/>
          <w:sz w:val="22"/>
        </w:rPr>
        <w:t> </w:t>
      </w:r>
      <w:r>
        <w:rPr>
          <w:spacing w:val="-4"/>
          <w:sz w:val="22"/>
        </w:rPr>
        <w:t>Memo</w:t>
      </w:r>
    </w:p>
    <w:p>
      <w:pPr>
        <w:spacing w:before="0"/>
        <w:ind w:left="360" w:right="4346" w:firstLine="1170"/>
        <w:jc w:val="both"/>
        <w:rPr>
          <w:sz w:val="22"/>
        </w:rPr>
      </w:pPr>
      <w:r>
        <w:rPr>
          <w:sz w:val="22"/>
        </w:rPr>
        <w:t>Emergency,</w:t>
      </w:r>
      <w:r>
        <w:rPr>
          <w:spacing w:val="-7"/>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7"/>
          <w:sz w:val="22"/>
        </w:rPr>
        <w:t> </w:t>
      </w:r>
      <w:r>
        <w:rPr>
          <w:sz w:val="22"/>
        </w:rPr>
        <w:t>Title</w:t>
      </w:r>
      <w:r>
        <w:rPr>
          <w:spacing w:val="-7"/>
          <w:sz w:val="22"/>
        </w:rPr>
        <w:t> </w:t>
      </w:r>
      <w:r>
        <w:rPr>
          <w:sz w:val="22"/>
        </w:rPr>
        <w:t>612 7-1-94</w:t>
      </w:r>
      <w:r>
        <w:rPr>
          <w:spacing w:val="80"/>
          <w:sz w:val="22"/>
        </w:rPr>
        <w:t>   </w:t>
      </w:r>
      <w:r>
        <w:rPr>
          <w:sz w:val="22"/>
        </w:rPr>
        <w:t>PT Memo #94-1</w:t>
      </w:r>
    </w:p>
    <w:p>
      <w:pPr>
        <w:spacing w:before="0"/>
        <w:ind w:left="360" w:right="4382" w:firstLine="1169"/>
        <w:jc w:val="both"/>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8-27-15</w:t>
      </w:r>
      <w:r>
        <w:rPr>
          <w:spacing w:val="80"/>
          <w:w w:val="150"/>
          <w:sz w:val="22"/>
        </w:rPr>
        <w:t>  </w:t>
      </w:r>
      <w:r>
        <w:rPr>
          <w:sz w:val="22"/>
        </w:rPr>
        <w:t>Deleted "Assets" from tag line in 612:10-3-6.</w:t>
      </w:r>
    </w:p>
    <w:p>
      <w:pPr>
        <w:spacing w:before="0"/>
        <w:ind w:left="1530" w:right="1161" w:hanging="1170"/>
        <w:jc w:val="both"/>
        <w:rPr>
          <w:sz w:val="22"/>
        </w:rPr>
      </w:pPr>
      <w:r>
        <w:rPr>
          <w:sz w:val="22"/>
        </w:rPr>
        <w:t>8-26-21</w:t>
      </w:r>
      <w:r>
        <w:rPr>
          <w:spacing w:val="80"/>
          <w:sz w:val="22"/>
        </w:rPr>
        <w:t>  </w:t>
      </w:r>
      <w:r>
        <w:rPr>
          <w:sz w:val="22"/>
        </w:rPr>
        <w:t>Rule</w:t>
      </w:r>
      <w:r>
        <w:rPr>
          <w:spacing w:val="-3"/>
          <w:sz w:val="22"/>
        </w:rPr>
        <w:t> </w:t>
      </w:r>
      <w:r>
        <w:rPr>
          <w:sz w:val="22"/>
        </w:rPr>
        <w:t>name</w:t>
      </w:r>
      <w:r>
        <w:rPr>
          <w:spacing w:val="-3"/>
          <w:sz w:val="22"/>
        </w:rPr>
        <w:t> </w:t>
      </w:r>
      <w:r>
        <w:rPr>
          <w:sz w:val="22"/>
        </w:rPr>
        <w:t>change</w:t>
      </w:r>
      <w:r>
        <w:rPr>
          <w:spacing w:val="-3"/>
          <w:sz w:val="22"/>
        </w:rPr>
        <w:t> </w:t>
      </w:r>
      <w:r>
        <w:rPr>
          <w:sz w:val="22"/>
        </w:rPr>
        <w:t>612:10-3-3</w:t>
      </w:r>
      <w:r>
        <w:rPr>
          <w:spacing w:val="-3"/>
          <w:sz w:val="22"/>
        </w:rPr>
        <w:t> </w:t>
      </w:r>
      <w:r>
        <w:rPr>
          <w:sz w:val="22"/>
        </w:rPr>
        <w:t>'Client</w:t>
      </w:r>
      <w:r>
        <w:rPr>
          <w:spacing w:val="-3"/>
          <w:sz w:val="22"/>
        </w:rPr>
        <w:t> </w:t>
      </w:r>
      <w:r>
        <w:rPr>
          <w:sz w:val="22"/>
        </w:rPr>
        <w:t>participation</w:t>
      </w:r>
      <w:r>
        <w:rPr>
          <w:spacing w:val="-3"/>
          <w:sz w:val="22"/>
        </w:rPr>
        <w:t> </w:t>
      </w:r>
      <w:r>
        <w:rPr>
          <w:sz w:val="22"/>
        </w:rPr>
        <w:t>in</w:t>
      </w:r>
      <w:r>
        <w:rPr>
          <w:spacing w:val="-3"/>
          <w:sz w:val="22"/>
        </w:rPr>
        <w:t> </w:t>
      </w:r>
      <w:r>
        <w:rPr>
          <w:sz w:val="22"/>
        </w:rPr>
        <w:t>services</w:t>
      </w:r>
      <w:r>
        <w:rPr>
          <w:spacing w:val="-3"/>
          <w:sz w:val="22"/>
        </w:rPr>
        <w:t> </w:t>
      </w:r>
      <w:r>
        <w:rPr>
          <w:sz w:val="22"/>
        </w:rPr>
        <w:t>cost</w:t>
      </w:r>
      <w:r>
        <w:rPr>
          <w:spacing w:val="-3"/>
          <w:sz w:val="22"/>
        </w:rPr>
        <w:t> </w:t>
      </w:r>
      <w:r>
        <w:rPr>
          <w:sz w:val="22"/>
        </w:rPr>
        <w:t>and</w:t>
      </w:r>
      <w:r>
        <w:rPr>
          <w:spacing w:val="-4"/>
          <w:sz w:val="22"/>
        </w:rPr>
        <w:t> </w:t>
      </w:r>
      <w:r>
        <w:rPr>
          <w:sz w:val="22"/>
        </w:rPr>
        <w:t>financial status determination' to 'Participation of individuals in cost of services based on financial need.</w:t>
      </w:r>
    </w:p>
    <w:p>
      <w:pPr>
        <w:spacing w:line="253" w:lineRule="exact" w:before="0"/>
        <w:ind w:left="1530" w:right="0" w:firstLine="0"/>
        <w:jc w:val="both"/>
        <w:rPr>
          <w:sz w:val="22"/>
        </w:rPr>
      </w:pPr>
      <w:r>
        <w:rPr>
          <w:sz w:val="22"/>
        </w:rPr>
        <w:t>Revoked</w:t>
      </w:r>
      <w:r>
        <w:rPr>
          <w:spacing w:val="-12"/>
          <w:sz w:val="22"/>
        </w:rPr>
        <w:t> </w:t>
      </w:r>
      <w:r>
        <w:rPr>
          <w:sz w:val="22"/>
        </w:rPr>
        <w:t>612:10-3-4,</w:t>
      </w:r>
      <w:r>
        <w:rPr>
          <w:spacing w:val="-11"/>
          <w:sz w:val="22"/>
        </w:rPr>
        <w:t> </w:t>
      </w:r>
      <w:r>
        <w:rPr>
          <w:sz w:val="22"/>
        </w:rPr>
        <w:t>612:10-3-5,</w:t>
      </w:r>
      <w:r>
        <w:rPr>
          <w:spacing w:val="-11"/>
          <w:sz w:val="22"/>
        </w:rPr>
        <w:t> </w:t>
      </w:r>
      <w:r>
        <w:rPr>
          <w:sz w:val="22"/>
        </w:rPr>
        <w:t>612:10-3-6.</w:t>
      </w:r>
      <w:r>
        <w:rPr>
          <w:spacing w:val="-11"/>
          <w:sz w:val="22"/>
        </w:rPr>
        <w:t> </w:t>
      </w:r>
      <w:r>
        <w:rPr>
          <w:sz w:val="22"/>
        </w:rPr>
        <w:t>Rules</w:t>
      </w:r>
      <w:r>
        <w:rPr>
          <w:spacing w:val="-11"/>
          <w:sz w:val="22"/>
        </w:rPr>
        <w:t> </w:t>
      </w:r>
      <w:r>
        <w:rPr>
          <w:sz w:val="22"/>
        </w:rPr>
        <w:t>incorporated</w:t>
      </w:r>
      <w:r>
        <w:rPr>
          <w:spacing w:val="-12"/>
          <w:sz w:val="22"/>
        </w:rPr>
        <w:t> </w:t>
      </w:r>
      <w:r>
        <w:rPr>
          <w:sz w:val="22"/>
        </w:rPr>
        <w:t>into</w:t>
      </w:r>
      <w:r>
        <w:rPr>
          <w:spacing w:val="-11"/>
          <w:sz w:val="22"/>
        </w:rPr>
        <w:t> </w:t>
      </w:r>
      <w:r>
        <w:rPr>
          <w:sz w:val="22"/>
        </w:rPr>
        <w:t>612:10-3-</w:t>
      </w:r>
      <w:r>
        <w:rPr>
          <w:spacing w:val="-5"/>
          <w:sz w:val="22"/>
        </w:rPr>
        <w:t>3.</w:t>
      </w:r>
    </w:p>
    <w:p>
      <w:pPr>
        <w:spacing w:after="0" w:line="253" w:lineRule="exact"/>
        <w:jc w:val="both"/>
        <w:rPr>
          <w:sz w:val="22"/>
        </w:rPr>
        <w:sectPr>
          <w:pgSz w:w="12240" w:h="15840"/>
          <w:pgMar w:top="1340" w:bottom="280" w:left="1080" w:right="720"/>
        </w:sectPr>
      </w:pPr>
    </w:p>
    <w:p>
      <w:pPr>
        <w:pStyle w:val="Heading2"/>
      </w:pPr>
      <w:bookmarkStart w:name="612:10-3-2.  Consideration of comparable" w:id="105"/>
      <w:bookmarkEnd w:id="105"/>
      <w:r>
        <w:rPr>
          <w:b w:val="0"/>
        </w:rPr>
      </w:r>
      <w:bookmarkStart w:name="_bookmark5" w:id="106"/>
      <w:bookmarkEnd w:id="106"/>
      <w:r>
        <w:rPr>
          <w:b w:val="0"/>
        </w:rPr>
      </w:r>
      <w:r>
        <w:rPr/>
        <w:t>612:10-3-2.</w:t>
      </w:r>
      <w:r>
        <w:rPr>
          <w:spacing w:val="56"/>
        </w:rPr>
        <w:t> </w:t>
      </w:r>
      <w:r>
        <w:rPr/>
        <w:t>Consideration</w:t>
      </w:r>
      <w:r>
        <w:rPr>
          <w:spacing w:val="-4"/>
        </w:rPr>
        <w:t> </w:t>
      </w:r>
      <w:r>
        <w:rPr/>
        <w:t>of</w:t>
      </w:r>
      <w:r>
        <w:rPr>
          <w:spacing w:val="-5"/>
        </w:rPr>
        <w:t> </w:t>
      </w:r>
      <w:r>
        <w:rPr/>
        <w:t>comparable</w:t>
      </w:r>
      <w:r>
        <w:rPr>
          <w:spacing w:val="-4"/>
        </w:rPr>
        <w:t> </w:t>
      </w:r>
      <w:r>
        <w:rPr/>
        <w:t>services</w:t>
      </w:r>
      <w:r>
        <w:rPr>
          <w:spacing w:val="-4"/>
        </w:rPr>
        <w:t> </w:t>
      </w:r>
      <w:r>
        <w:rPr/>
        <w:t>and</w:t>
      </w:r>
      <w:r>
        <w:rPr>
          <w:spacing w:val="-4"/>
        </w:rPr>
        <w:t> </w:t>
      </w:r>
      <w:r>
        <w:rPr>
          <w:spacing w:val="-2"/>
        </w:rPr>
        <w:t>benefits</w:t>
      </w:r>
    </w:p>
    <w:p>
      <w:pPr>
        <w:pStyle w:val="BodyText"/>
        <w:spacing w:line="208" w:lineRule="auto" w:before="233"/>
        <w:ind w:right="822"/>
      </w:pPr>
      <w:r>
        <w:rPr/>
        <w:t>(a)</w:t>
      </w:r>
      <w:r>
        <w:rPr>
          <w:spacing w:val="40"/>
        </w:rPr>
        <w:t> </w:t>
      </w:r>
      <w:r>
        <w:rPr>
          <w:b/>
        </w:rPr>
        <w:t>Determination</w:t>
      </w:r>
      <w:r>
        <w:rPr>
          <w:b/>
          <w:spacing w:val="-4"/>
        </w:rPr>
        <w:t> </w:t>
      </w:r>
      <w:r>
        <w:rPr>
          <w:b/>
        </w:rPr>
        <w:t>of</w:t>
      </w:r>
      <w:r>
        <w:rPr>
          <w:b/>
          <w:spacing w:val="-3"/>
        </w:rPr>
        <w:t> </w:t>
      </w:r>
      <w:r>
        <w:rPr>
          <w:b/>
        </w:rPr>
        <w:t>availability.</w:t>
      </w:r>
      <w:r>
        <w:rPr>
          <w:b/>
          <w:spacing w:val="-3"/>
        </w:rPr>
        <w:t> </w:t>
      </w:r>
      <w:r>
        <w:rPr/>
        <w:t>Prior</w:t>
      </w:r>
      <w:r>
        <w:rPr>
          <w:spacing w:val="-5"/>
        </w:rPr>
        <w:t> </w:t>
      </w:r>
      <w:r>
        <w:rPr/>
        <w:t>to</w:t>
      </w:r>
      <w:r>
        <w:rPr>
          <w:spacing w:val="-5"/>
        </w:rPr>
        <w:t> </w:t>
      </w:r>
      <w:r>
        <w:rPr/>
        <w:t>providing</w:t>
      </w:r>
      <w:r>
        <w:rPr>
          <w:spacing w:val="-4"/>
        </w:rPr>
        <w:t> </w:t>
      </w:r>
      <w:r>
        <w:rPr/>
        <w:t>an</w:t>
      </w:r>
      <w:r>
        <w:rPr>
          <w:spacing w:val="-4"/>
        </w:rPr>
        <w:t> </w:t>
      </w:r>
      <w:r>
        <w:rPr/>
        <w:t>accommodation</w:t>
      </w:r>
      <w:r>
        <w:rPr>
          <w:spacing w:val="-4"/>
        </w:rPr>
        <w:t> </w:t>
      </w:r>
      <w:r>
        <w:rPr/>
        <w:t>or</w:t>
      </w:r>
      <w:r>
        <w:rPr>
          <w:spacing w:val="-3"/>
        </w:rPr>
        <w:t> </w:t>
      </w:r>
      <w:r>
        <w:rPr/>
        <w:t>auxiliary</w:t>
      </w:r>
      <w:r>
        <w:rPr>
          <w:spacing w:val="-4"/>
        </w:rPr>
        <w:t> </w:t>
      </w:r>
      <w:r>
        <w:rPr/>
        <w:t>aid or service or any vocational rehabilitation services, except those services listed under 34 CFR 361.53 (b), to an eligible individual or to members of the individual's family, the VR or SBVI counselor must determine whether comparable services and benefits, as defined in 34 CFR 361.5 (c) (8) are available to the individual unless such a determination would interrupt or delay services according to 34 CFR 361.53 (a-c).</w:t>
      </w:r>
    </w:p>
    <w:p>
      <w:pPr>
        <w:pStyle w:val="ListParagraph"/>
        <w:numPr>
          <w:ilvl w:val="0"/>
          <w:numId w:val="89"/>
        </w:numPr>
        <w:tabs>
          <w:tab w:pos="786" w:val="left" w:leader="none"/>
        </w:tabs>
        <w:spacing w:line="258" w:lineRule="exact" w:before="210" w:after="0"/>
        <w:ind w:left="786" w:right="0" w:hanging="426"/>
        <w:jc w:val="left"/>
        <w:rPr>
          <w:sz w:val="24"/>
        </w:rPr>
      </w:pPr>
      <w:r>
        <w:rPr>
          <w:b/>
          <w:sz w:val="24"/>
        </w:rPr>
        <w:t>Exempt</w:t>
      </w:r>
      <w:r>
        <w:rPr>
          <w:b/>
          <w:spacing w:val="-6"/>
          <w:sz w:val="24"/>
        </w:rPr>
        <w:t> </w:t>
      </w:r>
      <w:r>
        <w:rPr>
          <w:b/>
          <w:sz w:val="24"/>
        </w:rPr>
        <w:t>services.</w:t>
      </w:r>
      <w:r>
        <w:rPr>
          <w:b/>
          <w:spacing w:val="-4"/>
          <w:sz w:val="24"/>
        </w:rPr>
        <w:t> </w:t>
      </w:r>
      <w:r>
        <w:rPr>
          <w:sz w:val="24"/>
        </w:rPr>
        <w:t>The</w:t>
      </w:r>
      <w:r>
        <w:rPr>
          <w:spacing w:val="-4"/>
          <w:sz w:val="24"/>
        </w:rPr>
        <w:t> </w:t>
      </w:r>
      <w:r>
        <w:rPr>
          <w:sz w:val="24"/>
        </w:rPr>
        <w:t>vocational</w:t>
      </w:r>
      <w:r>
        <w:rPr>
          <w:spacing w:val="-4"/>
          <w:sz w:val="24"/>
        </w:rPr>
        <w:t> </w:t>
      </w:r>
      <w:r>
        <w:rPr>
          <w:sz w:val="24"/>
        </w:rPr>
        <w:t>rehabilitation</w:t>
      </w:r>
      <w:r>
        <w:rPr>
          <w:spacing w:val="-4"/>
          <w:sz w:val="24"/>
        </w:rPr>
        <w:t> </w:t>
      </w:r>
      <w:r>
        <w:rPr>
          <w:sz w:val="24"/>
        </w:rPr>
        <w:t>services</w:t>
      </w:r>
      <w:r>
        <w:rPr>
          <w:spacing w:val="-4"/>
          <w:sz w:val="24"/>
        </w:rPr>
        <w:t> </w:t>
      </w:r>
      <w:r>
        <w:rPr>
          <w:sz w:val="24"/>
        </w:rPr>
        <w:t>described</w:t>
      </w:r>
      <w:r>
        <w:rPr>
          <w:spacing w:val="-4"/>
          <w:sz w:val="24"/>
        </w:rPr>
        <w:t> </w:t>
      </w:r>
      <w:r>
        <w:rPr>
          <w:sz w:val="24"/>
        </w:rPr>
        <w:t>in</w:t>
      </w:r>
      <w:r>
        <w:rPr>
          <w:spacing w:val="-4"/>
          <w:sz w:val="24"/>
        </w:rPr>
        <w:t> </w:t>
      </w:r>
      <w:r>
        <w:rPr>
          <w:sz w:val="24"/>
        </w:rPr>
        <w:t>34</w:t>
      </w:r>
      <w:r>
        <w:rPr>
          <w:spacing w:val="-4"/>
          <w:sz w:val="24"/>
        </w:rPr>
        <w:t> </w:t>
      </w:r>
      <w:r>
        <w:rPr>
          <w:spacing w:val="-5"/>
          <w:sz w:val="24"/>
        </w:rPr>
        <w:t>CFR</w:t>
      </w:r>
    </w:p>
    <w:p>
      <w:pPr>
        <w:pStyle w:val="BodyText"/>
        <w:spacing w:line="208" w:lineRule="auto" w:before="11"/>
        <w:ind w:right="739"/>
      </w:pPr>
      <w:r>
        <w:rPr/>
        <w:t>361.48 (b) are exempt from a determination of the availability of comparable services and</w:t>
      </w:r>
      <w:r>
        <w:rPr>
          <w:spacing w:val="-3"/>
        </w:rPr>
        <w:t> </w:t>
      </w:r>
      <w:r>
        <w:rPr/>
        <w:t>benefits</w:t>
      </w:r>
      <w:r>
        <w:rPr>
          <w:spacing w:val="-3"/>
        </w:rPr>
        <w:t> </w:t>
      </w:r>
      <w:r>
        <w:rPr/>
        <w:t>under</w:t>
      </w:r>
      <w:r>
        <w:rPr>
          <w:spacing w:val="-2"/>
        </w:rPr>
        <w:t> </w:t>
      </w:r>
      <w:r>
        <w:rPr/>
        <w:t>paragraph</w:t>
      </w:r>
      <w:r>
        <w:rPr>
          <w:spacing w:val="-3"/>
        </w:rPr>
        <w:t> </w:t>
      </w:r>
      <w:r>
        <w:rPr/>
        <w:t>(a)</w:t>
      </w:r>
      <w:r>
        <w:rPr>
          <w:spacing w:val="-4"/>
        </w:rPr>
        <w:t> </w:t>
      </w:r>
      <w:r>
        <w:rPr/>
        <w:t>of</w:t>
      </w:r>
      <w:r>
        <w:rPr>
          <w:spacing w:val="-2"/>
        </w:rPr>
        <w:t> </w:t>
      </w:r>
      <w:r>
        <w:rPr/>
        <w:t>this</w:t>
      </w:r>
      <w:r>
        <w:rPr>
          <w:spacing w:val="-3"/>
        </w:rPr>
        <w:t> </w:t>
      </w:r>
      <w:r>
        <w:rPr/>
        <w:t>section</w:t>
      </w:r>
      <w:r>
        <w:rPr>
          <w:spacing w:val="-3"/>
        </w:rPr>
        <w:t> </w:t>
      </w:r>
      <w:r>
        <w:rPr/>
        <w:t>as</w:t>
      </w:r>
      <w:r>
        <w:rPr>
          <w:spacing w:val="-3"/>
        </w:rPr>
        <w:t> </w:t>
      </w:r>
      <w:r>
        <w:rPr/>
        <w:t>identified</w:t>
      </w:r>
      <w:r>
        <w:rPr>
          <w:spacing w:val="-3"/>
        </w:rPr>
        <w:t> </w:t>
      </w:r>
      <w:r>
        <w:rPr/>
        <w:t>in</w:t>
      </w:r>
      <w:r>
        <w:rPr>
          <w:spacing w:val="-3"/>
        </w:rPr>
        <w:t> </w:t>
      </w:r>
      <w:r>
        <w:rPr/>
        <w:t>34</w:t>
      </w:r>
      <w:r>
        <w:rPr>
          <w:spacing w:val="-3"/>
        </w:rPr>
        <w:t> </w:t>
      </w:r>
      <w:r>
        <w:rPr/>
        <w:t>CFR</w:t>
      </w:r>
      <w:r>
        <w:rPr>
          <w:spacing w:val="-3"/>
        </w:rPr>
        <w:t> </w:t>
      </w:r>
      <w:r>
        <w:rPr/>
        <w:t>361.53</w:t>
      </w:r>
      <w:r>
        <w:rPr>
          <w:spacing w:val="-3"/>
        </w:rPr>
        <w:t> </w:t>
      </w:r>
      <w:r>
        <w:rPr/>
        <w:t>(b)</w:t>
      </w:r>
      <w:r>
        <w:rPr>
          <w:spacing w:val="-2"/>
        </w:rPr>
        <w:t> </w:t>
      </w:r>
      <w:r>
        <w:rPr/>
        <w:t>(1-6). </w:t>
      </w:r>
      <w:r>
        <w:rPr>
          <w:b/>
        </w:rPr>
        <w:t>2 </w:t>
      </w:r>
      <w:r>
        <w:rPr/>
        <w:t>However, comparable services and benefits may be used for these VR services if the comparable services and benefits are readily available at the time the VR services are </w:t>
      </w:r>
      <w:r>
        <w:rPr>
          <w:spacing w:val="-2"/>
        </w:rPr>
        <w:t>needed.</w:t>
      </w:r>
    </w:p>
    <w:p>
      <w:pPr>
        <w:pStyle w:val="Heading2"/>
        <w:numPr>
          <w:ilvl w:val="0"/>
          <w:numId w:val="89"/>
        </w:numPr>
        <w:tabs>
          <w:tab w:pos="773" w:val="left" w:leader="none"/>
        </w:tabs>
        <w:spacing w:line="240" w:lineRule="auto" w:before="211" w:after="0"/>
        <w:ind w:left="773" w:right="0" w:hanging="413"/>
        <w:jc w:val="left"/>
      </w:pPr>
      <w:r>
        <w:rPr/>
        <w:t>Provision</w:t>
      </w:r>
      <w:r>
        <w:rPr>
          <w:spacing w:val="-6"/>
        </w:rPr>
        <w:t> </w:t>
      </w:r>
      <w:r>
        <w:rPr/>
        <w:t>of</w:t>
      </w:r>
      <w:r>
        <w:rPr>
          <w:spacing w:val="-2"/>
        </w:rPr>
        <w:t> services.</w:t>
      </w:r>
    </w:p>
    <w:p>
      <w:pPr>
        <w:pStyle w:val="ListParagraph"/>
        <w:numPr>
          <w:ilvl w:val="1"/>
          <w:numId w:val="89"/>
        </w:numPr>
        <w:tabs>
          <w:tab w:pos="1235" w:val="left" w:leader="none"/>
        </w:tabs>
        <w:spacing w:line="208" w:lineRule="auto" w:before="233" w:after="0"/>
        <w:ind w:left="810" w:right="795" w:firstLine="0"/>
        <w:jc w:val="left"/>
        <w:rPr>
          <w:sz w:val="24"/>
        </w:rPr>
      </w:pPr>
      <w:r>
        <w:rPr>
          <w:sz w:val="24"/>
        </w:rPr>
        <w:t>If comparable services or benefits exist under any other program and are available to the individual at the time needed to ensure the progress of the individual toward achieving the employment outcome in the individual's individualized plan for employment, DRS must use those comparable services or benefits</w:t>
      </w:r>
      <w:r>
        <w:rPr>
          <w:spacing w:val="-3"/>
          <w:sz w:val="24"/>
        </w:rPr>
        <w:t> </w:t>
      </w:r>
      <w:r>
        <w:rPr>
          <w:sz w:val="24"/>
        </w:rPr>
        <w:t>to</w:t>
      </w:r>
      <w:r>
        <w:rPr>
          <w:spacing w:val="-4"/>
          <w:sz w:val="24"/>
        </w:rPr>
        <w:t> </w:t>
      </w:r>
      <w:r>
        <w:rPr>
          <w:sz w:val="24"/>
        </w:rPr>
        <w:t>meet,</w:t>
      </w:r>
      <w:r>
        <w:rPr>
          <w:spacing w:val="-2"/>
          <w:sz w:val="24"/>
        </w:rPr>
        <w:t> </w:t>
      </w:r>
      <w:r>
        <w:rPr>
          <w:sz w:val="24"/>
        </w:rPr>
        <w:t>in</w:t>
      </w:r>
      <w:r>
        <w:rPr>
          <w:spacing w:val="-3"/>
          <w:sz w:val="24"/>
        </w:rPr>
        <w:t> </w:t>
      </w:r>
      <w:r>
        <w:rPr>
          <w:sz w:val="24"/>
        </w:rPr>
        <w:t>whole</w:t>
      </w:r>
      <w:r>
        <w:rPr>
          <w:spacing w:val="-3"/>
          <w:sz w:val="24"/>
        </w:rPr>
        <w:t> </w:t>
      </w:r>
      <w:r>
        <w:rPr>
          <w:sz w:val="24"/>
        </w:rPr>
        <w:t>or</w:t>
      </w:r>
      <w:r>
        <w:rPr>
          <w:spacing w:val="-2"/>
          <w:sz w:val="24"/>
        </w:rPr>
        <w:t> </w:t>
      </w:r>
      <w:r>
        <w:rPr>
          <w:sz w:val="24"/>
        </w:rPr>
        <w:t>part,</w:t>
      </w:r>
      <w:r>
        <w:rPr>
          <w:spacing w:val="-4"/>
          <w:sz w:val="24"/>
        </w:rPr>
        <w:t> </w:t>
      </w:r>
      <w:r>
        <w:rPr>
          <w:sz w:val="24"/>
        </w:rPr>
        <w:t>the</w:t>
      </w:r>
      <w:r>
        <w:rPr>
          <w:spacing w:val="-3"/>
          <w:sz w:val="24"/>
        </w:rPr>
        <w:t> </w:t>
      </w:r>
      <w:r>
        <w:rPr>
          <w:sz w:val="24"/>
        </w:rPr>
        <w:t>costs</w:t>
      </w:r>
      <w:r>
        <w:rPr>
          <w:spacing w:val="-3"/>
          <w:sz w:val="24"/>
        </w:rPr>
        <w:t> </w:t>
      </w:r>
      <w:r>
        <w:rPr>
          <w:sz w:val="24"/>
        </w:rPr>
        <w:t>of</w:t>
      </w:r>
      <w:r>
        <w:rPr>
          <w:spacing w:val="-4"/>
          <w:sz w:val="24"/>
        </w:rPr>
        <w:t> </w:t>
      </w:r>
      <w:r>
        <w:rPr>
          <w:sz w:val="24"/>
        </w:rPr>
        <w:t>the</w:t>
      </w:r>
      <w:r>
        <w:rPr>
          <w:spacing w:val="-3"/>
          <w:sz w:val="24"/>
        </w:rPr>
        <w:t> </w:t>
      </w:r>
      <w:r>
        <w:rPr>
          <w:sz w:val="24"/>
        </w:rPr>
        <w:t>vocational</w:t>
      </w:r>
      <w:r>
        <w:rPr>
          <w:spacing w:val="-3"/>
          <w:sz w:val="24"/>
        </w:rPr>
        <w:t> </w:t>
      </w:r>
      <w:r>
        <w:rPr>
          <w:sz w:val="24"/>
        </w:rPr>
        <w:t>rehabilitation</w:t>
      </w:r>
      <w:r>
        <w:rPr>
          <w:spacing w:val="-3"/>
          <w:sz w:val="24"/>
        </w:rPr>
        <w:t> </w:t>
      </w:r>
      <w:r>
        <w:rPr>
          <w:sz w:val="24"/>
        </w:rPr>
        <w:t>services.</w:t>
      </w:r>
    </w:p>
    <w:p>
      <w:pPr>
        <w:pStyle w:val="ListParagraph"/>
        <w:numPr>
          <w:ilvl w:val="1"/>
          <w:numId w:val="89"/>
        </w:numPr>
        <w:tabs>
          <w:tab w:pos="1235" w:val="left" w:leader="none"/>
        </w:tabs>
        <w:spacing w:line="208" w:lineRule="auto" w:before="239" w:after="0"/>
        <w:ind w:left="810" w:right="823" w:firstLine="0"/>
        <w:jc w:val="left"/>
        <w:rPr>
          <w:sz w:val="24"/>
        </w:rPr>
      </w:pPr>
      <w:r>
        <w:rPr>
          <w:sz w:val="24"/>
        </w:rPr>
        <w:t>If comparable services or benefits exist under any other program, but are not available to the individual at the time needed to ensure the progress of the individual</w:t>
      </w:r>
      <w:r>
        <w:rPr>
          <w:spacing w:val="-5"/>
          <w:sz w:val="24"/>
        </w:rPr>
        <w:t> </w:t>
      </w:r>
      <w:r>
        <w:rPr>
          <w:sz w:val="24"/>
        </w:rPr>
        <w:t>toward</w:t>
      </w:r>
      <w:r>
        <w:rPr>
          <w:spacing w:val="-5"/>
          <w:sz w:val="24"/>
        </w:rPr>
        <w:t> </w:t>
      </w:r>
      <w:r>
        <w:rPr>
          <w:sz w:val="24"/>
        </w:rPr>
        <w:t>achieving</w:t>
      </w:r>
      <w:r>
        <w:rPr>
          <w:spacing w:val="-5"/>
          <w:sz w:val="24"/>
        </w:rPr>
        <w:t> </w:t>
      </w:r>
      <w:r>
        <w:rPr>
          <w:sz w:val="24"/>
        </w:rPr>
        <w:t>the</w:t>
      </w:r>
      <w:r>
        <w:rPr>
          <w:spacing w:val="-5"/>
          <w:sz w:val="24"/>
        </w:rPr>
        <w:t> </w:t>
      </w:r>
      <w:r>
        <w:rPr>
          <w:sz w:val="24"/>
        </w:rPr>
        <w:t>employment</w:t>
      </w:r>
      <w:r>
        <w:rPr>
          <w:spacing w:val="-4"/>
          <w:sz w:val="24"/>
        </w:rPr>
        <w:t> </w:t>
      </w:r>
      <w:r>
        <w:rPr>
          <w:sz w:val="24"/>
        </w:rPr>
        <w:t>outcome</w:t>
      </w:r>
      <w:r>
        <w:rPr>
          <w:spacing w:val="-5"/>
          <w:sz w:val="24"/>
        </w:rPr>
        <w:t> </w:t>
      </w:r>
      <w:r>
        <w:rPr>
          <w:sz w:val="24"/>
        </w:rPr>
        <w:t>specified</w:t>
      </w:r>
      <w:r>
        <w:rPr>
          <w:spacing w:val="-5"/>
          <w:sz w:val="24"/>
        </w:rPr>
        <w:t> </w:t>
      </w:r>
      <w:r>
        <w:rPr>
          <w:sz w:val="24"/>
        </w:rPr>
        <w:t>in</w:t>
      </w:r>
      <w:r>
        <w:rPr>
          <w:spacing w:val="-5"/>
          <w:sz w:val="24"/>
        </w:rPr>
        <w:t> </w:t>
      </w:r>
      <w:r>
        <w:rPr>
          <w:sz w:val="24"/>
        </w:rPr>
        <w:t>the</w:t>
      </w:r>
      <w:r>
        <w:rPr>
          <w:spacing w:val="-5"/>
          <w:sz w:val="24"/>
        </w:rPr>
        <w:t> </w:t>
      </w:r>
      <w:r>
        <w:rPr>
          <w:sz w:val="24"/>
        </w:rPr>
        <w:t>individualized plan for employment, DRS must provide vocational rehabilitation services until those comparable services and benefits become available.</w:t>
      </w:r>
    </w:p>
    <w:p>
      <w:pPr>
        <w:pStyle w:val="ListParagraph"/>
        <w:numPr>
          <w:ilvl w:val="1"/>
          <w:numId w:val="89"/>
        </w:numPr>
        <w:tabs>
          <w:tab w:pos="1236" w:val="left" w:leader="none"/>
        </w:tabs>
        <w:spacing w:line="208" w:lineRule="auto" w:before="240" w:after="0"/>
        <w:ind w:left="810" w:right="956" w:firstLine="0"/>
        <w:jc w:val="left"/>
        <w:rPr>
          <w:sz w:val="24"/>
        </w:rPr>
      </w:pPr>
      <w:r>
        <w:rPr>
          <w:sz w:val="24"/>
        </w:rPr>
        <w:t>Each</w:t>
      </w:r>
      <w:r>
        <w:rPr>
          <w:spacing w:val="-4"/>
          <w:sz w:val="24"/>
        </w:rPr>
        <w:t> </w:t>
      </w:r>
      <w:r>
        <w:rPr>
          <w:sz w:val="24"/>
        </w:rPr>
        <w:t>eligible</w:t>
      </w:r>
      <w:r>
        <w:rPr>
          <w:spacing w:val="-4"/>
          <w:sz w:val="24"/>
        </w:rPr>
        <w:t> </w:t>
      </w:r>
      <w:r>
        <w:rPr>
          <w:sz w:val="24"/>
        </w:rPr>
        <w:t>individual</w:t>
      </w:r>
      <w:r>
        <w:rPr>
          <w:spacing w:val="-4"/>
          <w:sz w:val="24"/>
        </w:rPr>
        <w:t> </w:t>
      </w:r>
      <w:r>
        <w:rPr>
          <w:sz w:val="24"/>
        </w:rPr>
        <w:t>is</w:t>
      </w:r>
      <w:r>
        <w:rPr>
          <w:spacing w:val="-4"/>
          <w:sz w:val="24"/>
        </w:rPr>
        <w:t> </w:t>
      </w:r>
      <w:r>
        <w:rPr>
          <w:sz w:val="24"/>
        </w:rPr>
        <w:t>required</w:t>
      </w:r>
      <w:r>
        <w:rPr>
          <w:spacing w:val="-4"/>
          <w:sz w:val="24"/>
        </w:rPr>
        <w:t> </w:t>
      </w:r>
      <w:r>
        <w:rPr>
          <w:sz w:val="24"/>
        </w:rPr>
        <w:t>to</w:t>
      </w:r>
      <w:r>
        <w:rPr>
          <w:spacing w:val="-4"/>
          <w:sz w:val="24"/>
        </w:rPr>
        <w:t> </w:t>
      </w:r>
      <w:r>
        <w:rPr>
          <w:sz w:val="24"/>
        </w:rPr>
        <w:t>apply</w:t>
      </w:r>
      <w:r>
        <w:rPr>
          <w:spacing w:val="-4"/>
          <w:sz w:val="24"/>
        </w:rPr>
        <w:t> </w:t>
      </w:r>
      <w:r>
        <w:rPr>
          <w:sz w:val="24"/>
        </w:rPr>
        <w:t>for</w:t>
      </w:r>
      <w:r>
        <w:rPr>
          <w:spacing w:val="-3"/>
          <w:sz w:val="24"/>
        </w:rPr>
        <w:t> </w:t>
      </w:r>
      <w:r>
        <w:rPr>
          <w:sz w:val="24"/>
        </w:rPr>
        <w:t>such</w:t>
      </w:r>
      <w:r>
        <w:rPr>
          <w:spacing w:val="-4"/>
          <w:sz w:val="24"/>
        </w:rPr>
        <w:t> </w:t>
      </w:r>
      <w:r>
        <w:rPr>
          <w:sz w:val="24"/>
        </w:rPr>
        <w:t>benefits.</w:t>
      </w:r>
      <w:r>
        <w:rPr>
          <w:spacing w:val="-3"/>
          <w:sz w:val="24"/>
        </w:rPr>
        <w:t> </w:t>
      </w:r>
      <w:r>
        <w:rPr>
          <w:sz w:val="24"/>
        </w:rPr>
        <w:t>DVR</w:t>
      </w:r>
      <w:r>
        <w:rPr>
          <w:spacing w:val="-4"/>
          <w:sz w:val="24"/>
        </w:rPr>
        <w:t> </w:t>
      </w:r>
      <w:r>
        <w:rPr>
          <w:sz w:val="24"/>
        </w:rPr>
        <w:t>and</w:t>
      </w:r>
      <w:r>
        <w:rPr>
          <w:spacing w:val="-4"/>
          <w:sz w:val="24"/>
        </w:rPr>
        <w:t> </w:t>
      </w:r>
      <w:r>
        <w:rPr>
          <w:sz w:val="24"/>
        </w:rPr>
        <w:t>DSBVI will not participate in the cost of services for any client who fails to apply for and accept available comparable benefits.</w:t>
      </w:r>
    </w:p>
    <w:p>
      <w:pPr>
        <w:pStyle w:val="ListParagraph"/>
        <w:numPr>
          <w:ilvl w:val="1"/>
          <w:numId w:val="89"/>
        </w:numPr>
        <w:tabs>
          <w:tab w:pos="1235" w:val="left" w:leader="none"/>
        </w:tabs>
        <w:spacing w:line="208" w:lineRule="auto" w:before="240" w:after="0"/>
        <w:ind w:left="810" w:right="834" w:firstLine="0"/>
        <w:jc w:val="left"/>
        <w:rPr>
          <w:sz w:val="24"/>
        </w:rPr>
      </w:pPr>
      <w:r>
        <w:rPr>
          <w:sz w:val="24"/>
        </w:rPr>
        <w:t>Whether or not the client must participate in the cost of VR services has absolutely no effect upon the required search for, or use of, available comparable benefits.</w:t>
      </w:r>
      <w:r>
        <w:rPr>
          <w:spacing w:val="-3"/>
          <w:sz w:val="24"/>
        </w:rPr>
        <w:t> </w:t>
      </w:r>
      <w:r>
        <w:rPr>
          <w:sz w:val="24"/>
        </w:rPr>
        <w:t>Available</w:t>
      </w:r>
      <w:r>
        <w:rPr>
          <w:spacing w:val="-4"/>
          <w:sz w:val="24"/>
        </w:rPr>
        <w:t> </w:t>
      </w:r>
      <w:r>
        <w:rPr>
          <w:sz w:val="24"/>
        </w:rPr>
        <w:t>comparable</w:t>
      </w:r>
      <w:r>
        <w:rPr>
          <w:spacing w:val="-4"/>
          <w:sz w:val="24"/>
        </w:rPr>
        <w:t> </w:t>
      </w:r>
      <w:r>
        <w:rPr>
          <w:sz w:val="24"/>
        </w:rPr>
        <w:t>benefits</w:t>
      </w:r>
      <w:r>
        <w:rPr>
          <w:spacing w:val="-4"/>
          <w:sz w:val="24"/>
        </w:rPr>
        <w:t> </w:t>
      </w:r>
      <w:r>
        <w:rPr>
          <w:sz w:val="24"/>
        </w:rPr>
        <w:t>cannot</w:t>
      </w:r>
      <w:r>
        <w:rPr>
          <w:spacing w:val="-3"/>
          <w:sz w:val="24"/>
        </w:rPr>
        <w:t> </w:t>
      </w:r>
      <w:r>
        <w:rPr>
          <w:sz w:val="24"/>
        </w:rPr>
        <w:t>be</w:t>
      </w:r>
      <w:r>
        <w:rPr>
          <w:spacing w:val="-4"/>
          <w:sz w:val="24"/>
        </w:rPr>
        <w:t> </w:t>
      </w:r>
      <w:r>
        <w:rPr>
          <w:sz w:val="24"/>
        </w:rPr>
        <w:t>used</w:t>
      </w:r>
      <w:r>
        <w:rPr>
          <w:spacing w:val="-4"/>
          <w:sz w:val="24"/>
        </w:rPr>
        <w:t> </w:t>
      </w:r>
      <w:r>
        <w:rPr>
          <w:sz w:val="24"/>
        </w:rPr>
        <w:t>in</w:t>
      </w:r>
      <w:r>
        <w:rPr>
          <w:spacing w:val="-4"/>
          <w:sz w:val="24"/>
        </w:rPr>
        <w:t> </w:t>
      </w:r>
      <w:r>
        <w:rPr>
          <w:sz w:val="24"/>
        </w:rPr>
        <w:t>place</w:t>
      </w:r>
      <w:r>
        <w:rPr>
          <w:spacing w:val="-4"/>
          <w:sz w:val="24"/>
        </w:rPr>
        <w:t> </w:t>
      </w:r>
      <w:r>
        <w:rPr>
          <w:sz w:val="24"/>
        </w:rPr>
        <w:t>of</w:t>
      </w:r>
      <w:r>
        <w:rPr>
          <w:spacing w:val="-3"/>
          <w:sz w:val="24"/>
        </w:rPr>
        <w:t> </w:t>
      </w:r>
      <w:r>
        <w:rPr>
          <w:sz w:val="24"/>
        </w:rPr>
        <w:t>client</w:t>
      </w:r>
      <w:r>
        <w:rPr>
          <w:spacing w:val="-3"/>
          <w:sz w:val="24"/>
        </w:rPr>
        <w:t> </w:t>
      </w:r>
      <w:r>
        <w:rPr>
          <w:sz w:val="24"/>
        </w:rPr>
        <w:t>resources when the client is required to participate in the cost of VR services.</w:t>
      </w:r>
    </w:p>
    <w:p>
      <w:pPr>
        <w:pStyle w:val="ListParagraph"/>
        <w:numPr>
          <w:ilvl w:val="1"/>
          <w:numId w:val="89"/>
        </w:numPr>
        <w:tabs>
          <w:tab w:pos="1236" w:val="left" w:leader="none"/>
        </w:tabs>
        <w:spacing w:line="208" w:lineRule="auto" w:before="239" w:after="0"/>
        <w:ind w:left="810" w:right="808" w:firstLine="0"/>
        <w:jc w:val="left"/>
        <w:rPr>
          <w:sz w:val="24"/>
        </w:rPr>
      </w:pPr>
      <w:r>
        <w:rPr>
          <w:sz w:val="24"/>
        </w:rPr>
        <w:t>A student loan is not a comparable benefit. Failure to apply for a student loan which must be repaid will not be cause to withhold participation by DVR or DSBVI. Clients who have defaulted on a student loan will not be assisted with post- secondary</w:t>
      </w:r>
      <w:r>
        <w:rPr>
          <w:spacing w:val="-4"/>
          <w:sz w:val="24"/>
        </w:rPr>
        <w:t> </w:t>
      </w:r>
      <w:r>
        <w:rPr>
          <w:sz w:val="24"/>
        </w:rPr>
        <w:t>training</w:t>
      </w:r>
      <w:r>
        <w:rPr>
          <w:spacing w:val="-4"/>
          <w:sz w:val="24"/>
        </w:rPr>
        <w:t> </w:t>
      </w:r>
      <w:r>
        <w:rPr>
          <w:sz w:val="24"/>
        </w:rPr>
        <w:t>until</w:t>
      </w:r>
      <w:r>
        <w:rPr>
          <w:spacing w:val="-4"/>
          <w:sz w:val="24"/>
        </w:rPr>
        <w:t> </w:t>
      </w:r>
      <w:r>
        <w:rPr>
          <w:sz w:val="24"/>
        </w:rPr>
        <w:t>the</w:t>
      </w:r>
      <w:r>
        <w:rPr>
          <w:spacing w:val="-4"/>
          <w:sz w:val="24"/>
        </w:rPr>
        <w:t> </w:t>
      </w:r>
      <w:r>
        <w:rPr>
          <w:sz w:val="24"/>
        </w:rPr>
        <w:t>client</w:t>
      </w:r>
      <w:r>
        <w:rPr>
          <w:spacing w:val="-3"/>
          <w:sz w:val="24"/>
        </w:rPr>
        <w:t> </w:t>
      </w:r>
      <w:r>
        <w:rPr>
          <w:sz w:val="24"/>
        </w:rPr>
        <w:t>has</w:t>
      </w:r>
      <w:r>
        <w:rPr>
          <w:spacing w:val="-4"/>
          <w:sz w:val="24"/>
        </w:rPr>
        <w:t> </w:t>
      </w:r>
      <w:r>
        <w:rPr>
          <w:sz w:val="24"/>
        </w:rPr>
        <w:t>cleared</w:t>
      </w:r>
      <w:r>
        <w:rPr>
          <w:spacing w:val="-4"/>
          <w:sz w:val="24"/>
        </w:rPr>
        <w:t> </w:t>
      </w:r>
      <w:r>
        <w:rPr>
          <w:sz w:val="24"/>
        </w:rPr>
        <w:t>the</w:t>
      </w:r>
      <w:r>
        <w:rPr>
          <w:spacing w:val="-4"/>
          <w:sz w:val="24"/>
        </w:rPr>
        <w:t> </w:t>
      </w:r>
      <w:r>
        <w:rPr>
          <w:sz w:val="24"/>
        </w:rPr>
        <w:t>default</w:t>
      </w:r>
      <w:r>
        <w:rPr>
          <w:spacing w:val="-3"/>
          <w:sz w:val="24"/>
        </w:rPr>
        <w:t> </w:t>
      </w:r>
      <w:r>
        <w:rPr>
          <w:sz w:val="24"/>
        </w:rPr>
        <w:t>or</w:t>
      </w:r>
      <w:r>
        <w:rPr>
          <w:spacing w:val="-3"/>
          <w:sz w:val="24"/>
        </w:rPr>
        <w:t> </w:t>
      </w:r>
      <w:r>
        <w:rPr>
          <w:sz w:val="24"/>
        </w:rPr>
        <w:t>has</w:t>
      </w:r>
      <w:r>
        <w:rPr>
          <w:spacing w:val="-4"/>
          <w:sz w:val="24"/>
        </w:rPr>
        <w:t> </w:t>
      </w:r>
      <w:r>
        <w:rPr>
          <w:sz w:val="24"/>
        </w:rPr>
        <w:t>made</w:t>
      </w:r>
      <w:r>
        <w:rPr>
          <w:spacing w:val="-4"/>
          <w:sz w:val="24"/>
        </w:rPr>
        <w:t> </w:t>
      </w:r>
      <w:r>
        <w:rPr>
          <w:sz w:val="24"/>
        </w:rPr>
        <w:t>arrangement with the lender on the terms of payment.</w:t>
      </w:r>
    </w:p>
    <w:p>
      <w:pPr>
        <w:pStyle w:val="ListParagraph"/>
        <w:numPr>
          <w:ilvl w:val="1"/>
          <w:numId w:val="89"/>
        </w:numPr>
        <w:tabs>
          <w:tab w:pos="1236" w:val="left" w:leader="none"/>
        </w:tabs>
        <w:spacing w:line="208" w:lineRule="auto" w:before="240" w:after="0"/>
        <w:ind w:left="810" w:right="877" w:firstLine="0"/>
        <w:jc w:val="left"/>
        <w:rPr>
          <w:sz w:val="24"/>
        </w:rPr>
      </w:pPr>
      <w:r>
        <w:rPr>
          <w:sz w:val="24"/>
        </w:rPr>
        <w:t>Clients</w:t>
      </w:r>
      <w:r>
        <w:rPr>
          <w:spacing w:val="-4"/>
          <w:sz w:val="24"/>
        </w:rPr>
        <w:t> </w:t>
      </w:r>
      <w:r>
        <w:rPr>
          <w:sz w:val="24"/>
        </w:rPr>
        <w:t>will</w:t>
      </w:r>
      <w:r>
        <w:rPr>
          <w:spacing w:val="-3"/>
          <w:sz w:val="24"/>
        </w:rPr>
        <w:t> </w:t>
      </w:r>
      <w:r>
        <w:rPr>
          <w:sz w:val="24"/>
        </w:rPr>
        <w:t>be</w:t>
      </w:r>
      <w:r>
        <w:rPr>
          <w:spacing w:val="-3"/>
          <w:sz w:val="24"/>
        </w:rPr>
        <w:t> </w:t>
      </w:r>
      <w:r>
        <w:rPr>
          <w:sz w:val="24"/>
        </w:rPr>
        <w:t>informed</w:t>
      </w:r>
      <w:r>
        <w:rPr>
          <w:spacing w:val="-3"/>
          <w:sz w:val="24"/>
        </w:rPr>
        <w:t> </w:t>
      </w:r>
      <w:r>
        <w:rPr>
          <w:sz w:val="24"/>
        </w:rPr>
        <w:t>of</w:t>
      </w:r>
      <w:r>
        <w:rPr>
          <w:spacing w:val="-2"/>
          <w:sz w:val="24"/>
        </w:rPr>
        <w:t> </w:t>
      </w:r>
      <w:r>
        <w:rPr>
          <w:sz w:val="24"/>
        </w:rPr>
        <w:t>and</w:t>
      </w:r>
      <w:r>
        <w:rPr>
          <w:spacing w:val="-3"/>
          <w:sz w:val="24"/>
        </w:rPr>
        <w:t> </w:t>
      </w:r>
      <w:r>
        <w:rPr>
          <w:sz w:val="24"/>
        </w:rPr>
        <w:t>are</w:t>
      </w:r>
      <w:r>
        <w:rPr>
          <w:spacing w:val="-3"/>
          <w:sz w:val="24"/>
        </w:rPr>
        <w:t> </w:t>
      </w:r>
      <w:r>
        <w:rPr>
          <w:sz w:val="24"/>
        </w:rPr>
        <w:t>expected</w:t>
      </w:r>
      <w:r>
        <w:rPr>
          <w:spacing w:val="-3"/>
          <w:sz w:val="24"/>
        </w:rPr>
        <w:t> </w:t>
      </w:r>
      <w:r>
        <w:rPr>
          <w:sz w:val="24"/>
        </w:rPr>
        <w:t>to</w:t>
      </w:r>
      <w:r>
        <w:rPr>
          <w:spacing w:val="-3"/>
          <w:sz w:val="24"/>
        </w:rPr>
        <w:t> </w:t>
      </w:r>
      <w:r>
        <w:rPr>
          <w:sz w:val="24"/>
        </w:rPr>
        <w:t>provide</w:t>
      </w:r>
      <w:r>
        <w:rPr>
          <w:spacing w:val="-3"/>
          <w:sz w:val="24"/>
        </w:rPr>
        <w:t> </w:t>
      </w:r>
      <w:r>
        <w:rPr>
          <w:sz w:val="24"/>
        </w:rPr>
        <w:t>the</w:t>
      </w:r>
      <w:r>
        <w:rPr>
          <w:spacing w:val="-3"/>
          <w:sz w:val="24"/>
        </w:rPr>
        <w:t> </w:t>
      </w:r>
      <w:r>
        <w:rPr>
          <w:sz w:val="24"/>
        </w:rPr>
        <w:t>counselor</w:t>
      </w:r>
      <w:r>
        <w:rPr>
          <w:spacing w:val="-2"/>
          <w:sz w:val="24"/>
        </w:rPr>
        <w:t> </w:t>
      </w:r>
      <w:r>
        <w:rPr>
          <w:sz w:val="24"/>
        </w:rPr>
        <w:t>a</w:t>
      </w:r>
      <w:r>
        <w:rPr>
          <w:spacing w:val="-3"/>
          <w:sz w:val="24"/>
        </w:rPr>
        <w:t> </w:t>
      </w:r>
      <w:r>
        <w:rPr>
          <w:sz w:val="24"/>
        </w:rPr>
        <w:t>copy</w:t>
      </w:r>
      <w:r>
        <w:rPr>
          <w:spacing w:val="-3"/>
          <w:sz w:val="24"/>
        </w:rPr>
        <w:t> </w:t>
      </w:r>
      <w:r>
        <w:rPr>
          <w:sz w:val="24"/>
        </w:rPr>
        <w:t>of the award letter(s) or other written notice of comparable benefits received from other sources.</w:t>
      </w:r>
    </w:p>
    <w:p>
      <w:pPr>
        <w:pStyle w:val="ListParagraph"/>
        <w:numPr>
          <w:ilvl w:val="0"/>
          <w:numId w:val="89"/>
        </w:numPr>
        <w:tabs>
          <w:tab w:pos="785" w:val="left" w:leader="none"/>
        </w:tabs>
        <w:spacing w:line="208" w:lineRule="auto" w:before="239" w:after="0"/>
        <w:ind w:left="360" w:right="1244" w:firstLine="0"/>
        <w:jc w:val="left"/>
        <w:rPr>
          <w:sz w:val="24"/>
        </w:rPr>
      </w:pPr>
      <w:r>
        <w:rPr>
          <w:b/>
          <w:sz w:val="24"/>
        </w:rPr>
        <w:t>Interagency</w:t>
      </w:r>
      <w:r>
        <w:rPr>
          <w:b/>
          <w:spacing w:val="-5"/>
          <w:sz w:val="24"/>
        </w:rPr>
        <w:t> </w:t>
      </w:r>
      <w:r>
        <w:rPr>
          <w:b/>
          <w:sz w:val="24"/>
        </w:rPr>
        <w:t>coordination.</w:t>
      </w:r>
      <w:r>
        <w:rPr>
          <w:b/>
          <w:spacing w:val="-4"/>
          <w:sz w:val="24"/>
        </w:rPr>
        <w:t> </w:t>
      </w:r>
      <w:r>
        <w:rPr>
          <w:sz w:val="24"/>
        </w:rPr>
        <w:t>The</w:t>
      </w:r>
      <w:r>
        <w:rPr>
          <w:spacing w:val="-5"/>
          <w:sz w:val="24"/>
        </w:rPr>
        <w:t> </w:t>
      </w:r>
      <w:r>
        <w:rPr>
          <w:sz w:val="24"/>
        </w:rPr>
        <w:t>vocational</w:t>
      </w:r>
      <w:r>
        <w:rPr>
          <w:spacing w:val="-5"/>
          <w:sz w:val="24"/>
        </w:rPr>
        <w:t> </w:t>
      </w:r>
      <w:r>
        <w:rPr>
          <w:sz w:val="24"/>
        </w:rPr>
        <w:t>rehabilitation</w:t>
      </w:r>
      <w:r>
        <w:rPr>
          <w:spacing w:val="-5"/>
          <w:sz w:val="24"/>
        </w:rPr>
        <w:t> </w:t>
      </w:r>
      <w:r>
        <w:rPr>
          <w:sz w:val="24"/>
        </w:rPr>
        <w:t>services</w:t>
      </w:r>
      <w:r>
        <w:rPr>
          <w:spacing w:val="-5"/>
          <w:sz w:val="24"/>
        </w:rPr>
        <w:t> </w:t>
      </w:r>
      <w:r>
        <w:rPr>
          <w:sz w:val="24"/>
        </w:rPr>
        <w:t>portion</w:t>
      </w:r>
      <w:r>
        <w:rPr>
          <w:spacing w:val="-5"/>
          <w:sz w:val="24"/>
        </w:rPr>
        <w:t> </w:t>
      </w:r>
      <w:r>
        <w:rPr>
          <w:sz w:val="24"/>
        </w:rPr>
        <w:t>of</w:t>
      </w:r>
      <w:r>
        <w:rPr>
          <w:spacing w:val="-6"/>
          <w:sz w:val="24"/>
        </w:rPr>
        <w:t> </w:t>
      </w:r>
      <w:r>
        <w:rPr>
          <w:sz w:val="24"/>
        </w:rPr>
        <w:t>the Unified</w:t>
      </w:r>
      <w:r>
        <w:rPr>
          <w:spacing w:val="-3"/>
          <w:sz w:val="24"/>
        </w:rPr>
        <w:t> </w:t>
      </w:r>
      <w:r>
        <w:rPr>
          <w:sz w:val="24"/>
        </w:rPr>
        <w:t>or</w:t>
      </w:r>
      <w:r>
        <w:rPr>
          <w:spacing w:val="-4"/>
          <w:sz w:val="24"/>
        </w:rPr>
        <w:t> </w:t>
      </w:r>
      <w:r>
        <w:rPr>
          <w:sz w:val="24"/>
        </w:rPr>
        <w:t>Combined</w:t>
      </w:r>
      <w:r>
        <w:rPr>
          <w:spacing w:val="-3"/>
          <w:sz w:val="24"/>
        </w:rPr>
        <w:t> </w:t>
      </w:r>
      <w:r>
        <w:rPr>
          <w:sz w:val="24"/>
        </w:rPr>
        <w:t>State</w:t>
      </w:r>
      <w:r>
        <w:rPr>
          <w:spacing w:val="-3"/>
          <w:sz w:val="24"/>
        </w:rPr>
        <w:t> </w:t>
      </w:r>
      <w:r>
        <w:rPr>
          <w:sz w:val="24"/>
        </w:rPr>
        <w:t>Plan</w:t>
      </w:r>
      <w:r>
        <w:rPr>
          <w:spacing w:val="-3"/>
          <w:sz w:val="24"/>
        </w:rPr>
        <w:t> </w:t>
      </w:r>
      <w:r>
        <w:rPr>
          <w:sz w:val="24"/>
        </w:rPr>
        <w:t>must</w:t>
      </w:r>
      <w:r>
        <w:rPr>
          <w:spacing w:val="-2"/>
          <w:sz w:val="24"/>
        </w:rPr>
        <w:t> </w:t>
      </w:r>
      <w:r>
        <w:rPr>
          <w:sz w:val="24"/>
        </w:rPr>
        <w:t>assure</w:t>
      </w:r>
      <w:r>
        <w:rPr>
          <w:spacing w:val="-3"/>
          <w:sz w:val="24"/>
        </w:rPr>
        <w:t> </w:t>
      </w:r>
      <w:r>
        <w:rPr>
          <w:sz w:val="24"/>
        </w:rPr>
        <w:t>that</w:t>
      </w:r>
      <w:r>
        <w:rPr>
          <w:spacing w:val="-4"/>
          <w:sz w:val="24"/>
        </w:rPr>
        <w:t> </w:t>
      </w:r>
      <w:r>
        <w:rPr>
          <w:sz w:val="24"/>
        </w:rPr>
        <w:t>the</w:t>
      </w:r>
      <w:r>
        <w:rPr>
          <w:spacing w:val="-3"/>
          <w:sz w:val="24"/>
        </w:rPr>
        <w:t> </w:t>
      </w:r>
      <w:r>
        <w:rPr>
          <w:sz w:val="24"/>
        </w:rPr>
        <w:t>Governor,</w:t>
      </w:r>
      <w:r>
        <w:rPr>
          <w:spacing w:val="-2"/>
          <w:sz w:val="24"/>
        </w:rPr>
        <w:t> </w:t>
      </w:r>
      <w:r>
        <w:rPr>
          <w:sz w:val="24"/>
        </w:rPr>
        <w:t>in</w:t>
      </w:r>
      <w:r>
        <w:rPr>
          <w:spacing w:val="-3"/>
          <w:sz w:val="24"/>
        </w:rPr>
        <w:t> </w:t>
      </w:r>
      <w:r>
        <w:rPr>
          <w:sz w:val="24"/>
        </w:rPr>
        <w:t>consultation</w:t>
      </w:r>
      <w:r>
        <w:rPr>
          <w:spacing w:val="-3"/>
          <w:sz w:val="24"/>
        </w:rPr>
        <w:t> </w:t>
      </w:r>
      <w:r>
        <w:rPr>
          <w:sz w:val="24"/>
        </w:rPr>
        <w:t>with DRS and other appropriate agencies, will ensure that an interagency agreement or other mechanism for interagency coordination takes effect between DRS and any appropriate</w:t>
      </w:r>
      <w:r>
        <w:rPr>
          <w:spacing w:val="-4"/>
          <w:sz w:val="24"/>
        </w:rPr>
        <w:t> </w:t>
      </w:r>
      <w:r>
        <w:rPr>
          <w:sz w:val="24"/>
        </w:rPr>
        <w:t>public</w:t>
      </w:r>
      <w:r>
        <w:rPr>
          <w:spacing w:val="-4"/>
          <w:sz w:val="24"/>
        </w:rPr>
        <w:t> </w:t>
      </w:r>
      <w:r>
        <w:rPr>
          <w:sz w:val="24"/>
        </w:rPr>
        <w:t>entity,</w:t>
      </w:r>
      <w:r>
        <w:rPr>
          <w:spacing w:val="-4"/>
          <w:sz w:val="24"/>
        </w:rPr>
        <w:t> </w:t>
      </w:r>
      <w:r>
        <w:rPr>
          <w:sz w:val="24"/>
        </w:rPr>
        <w:t>including</w:t>
      </w:r>
      <w:r>
        <w:rPr>
          <w:spacing w:val="-4"/>
          <w:sz w:val="24"/>
        </w:rPr>
        <w:t> </w:t>
      </w:r>
      <w:r>
        <w:rPr>
          <w:sz w:val="24"/>
        </w:rPr>
        <w:t>the</w:t>
      </w:r>
      <w:r>
        <w:rPr>
          <w:spacing w:val="-4"/>
          <w:sz w:val="24"/>
        </w:rPr>
        <w:t> </w:t>
      </w:r>
      <w:r>
        <w:rPr>
          <w:sz w:val="24"/>
        </w:rPr>
        <w:t>State</w:t>
      </w:r>
      <w:r>
        <w:rPr>
          <w:spacing w:val="-4"/>
          <w:sz w:val="24"/>
        </w:rPr>
        <w:t> </w:t>
      </w:r>
      <w:r>
        <w:rPr>
          <w:sz w:val="24"/>
        </w:rPr>
        <w:t>entity</w:t>
      </w:r>
      <w:r>
        <w:rPr>
          <w:spacing w:val="-4"/>
          <w:sz w:val="24"/>
        </w:rPr>
        <w:t> </w:t>
      </w:r>
      <w:r>
        <w:rPr>
          <w:sz w:val="24"/>
        </w:rPr>
        <w:t>responsible</w:t>
      </w:r>
      <w:r>
        <w:rPr>
          <w:spacing w:val="-4"/>
          <w:sz w:val="24"/>
        </w:rPr>
        <w:t> </w:t>
      </w:r>
      <w:r>
        <w:rPr>
          <w:sz w:val="24"/>
        </w:rPr>
        <w:t>for</w:t>
      </w:r>
      <w:r>
        <w:rPr>
          <w:spacing w:val="-4"/>
          <w:sz w:val="24"/>
        </w:rPr>
        <w:t> </w:t>
      </w:r>
      <w:r>
        <w:rPr>
          <w:sz w:val="24"/>
        </w:rPr>
        <w:t>administering</w:t>
      </w:r>
      <w:r>
        <w:rPr>
          <w:spacing w:val="-4"/>
          <w:sz w:val="24"/>
        </w:rPr>
        <w:t> </w:t>
      </w:r>
      <w:r>
        <w:rPr>
          <w:sz w:val="24"/>
        </w:rPr>
        <w:t>the</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right="748"/>
      </w:pPr>
      <w:r>
        <w:rPr/>
        <w:t>State</w:t>
      </w:r>
      <w:r>
        <w:rPr>
          <w:spacing w:val="-4"/>
        </w:rPr>
        <w:t> </w:t>
      </w:r>
      <w:r>
        <w:rPr/>
        <w:t>Medicaid</w:t>
      </w:r>
      <w:r>
        <w:rPr>
          <w:spacing w:val="-4"/>
        </w:rPr>
        <w:t> </w:t>
      </w:r>
      <w:r>
        <w:rPr/>
        <w:t>program,</w:t>
      </w:r>
      <w:r>
        <w:rPr>
          <w:spacing w:val="-3"/>
        </w:rPr>
        <w:t> </w:t>
      </w:r>
      <w:r>
        <w:rPr/>
        <w:t>a</w:t>
      </w:r>
      <w:r>
        <w:rPr>
          <w:spacing w:val="-4"/>
        </w:rPr>
        <w:t> </w:t>
      </w:r>
      <w:r>
        <w:rPr/>
        <w:t>public</w:t>
      </w:r>
      <w:r>
        <w:rPr>
          <w:spacing w:val="-4"/>
        </w:rPr>
        <w:t> </w:t>
      </w:r>
      <w:r>
        <w:rPr/>
        <w:t>institution</w:t>
      </w:r>
      <w:r>
        <w:rPr>
          <w:spacing w:val="-4"/>
        </w:rPr>
        <w:t> </w:t>
      </w:r>
      <w:r>
        <w:rPr/>
        <w:t>of</w:t>
      </w:r>
      <w:r>
        <w:rPr>
          <w:spacing w:val="-3"/>
        </w:rPr>
        <w:t> </w:t>
      </w:r>
      <w:r>
        <w:rPr/>
        <w:t>higher</w:t>
      </w:r>
      <w:r>
        <w:rPr>
          <w:spacing w:val="-3"/>
        </w:rPr>
        <w:t> </w:t>
      </w:r>
      <w:r>
        <w:rPr/>
        <w:t>education,</w:t>
      </w:r>
      <w:r>
        <w:rPr>
          <w:spacing w:val="-3"/>
        </w:rPr>
        <w:t> </w:t>
      </w:r>
      <w:r>
        <w:rPr/>
        <w:t>and</w:t>
      </w:r>
      <w:r>
        <w:rPr>
          <w:spacing w:val="-4"/>
        </w:rPr>
        <w:t> </w:t>
      </w:r>
      <w:r>
        <w:rPr/>
        <w:t>a</w:t>
      </w:r>
      <w:r>
        <w:rPr>
          <w:spacing w:val="-4"/>
        </w:rPr>
        <w:t> </w:t>
      </w:r>
      <w:r>
        <w:rPr/>
        <w:t>component</w:t>
      </w:r>
      <w:r>
        <w:rPr>
          <w:spacing w:val="-3"/>
        </w:rPr>
        <w:t> </w:t>
      </w:r>
      <w:r>
        <w:rPr/>
        <w:t>of</w:t>
      </w:r>
      <w:r>
        <w:rPr>
          <w:spacing w:val="-3"/>
        </w:rPr>
        <w:t> </w:t>
      </w:r>
      <w:r>
        <w:rPr/>
        <w:t>the statewide workforce development system, to ensure the provision of vocational rehabilitation services, and if appropriate, accommodations or auxiliary aids and services, (other than those services listed in paragraph (b) of this section) that are included in the individualized plan for employment of an eligible individual, including the provision of those vocational rehabilitation services (including, if appropriate, accommodations or auxiliary aids and services) during the pendency of any</w:t>
      </w:r>
      <w:r>
        <w:rPr>
          <w:spacing w:val="40"/>
        </w:rPr>
        <w:t> </w:t>
      </w:r>
      <w:r>
        <w:rPr/>
        <w:t>interagency, dispute in accordance with the provisions of paragraph (d) (3) (iii) of 34 CFR 361.53 (d) (1-3).</w:t>
      </w:r>
    </w:p>
    <w:p>
      <w:pPr>
        <w:pStyle w:val="ListParagraph"/>
        <w:numPr>
          <w:ilvl w:val="0"/>
          <w:numId w:val="89"/>
        </w:numPr>
        <w:tabs>
          <w:tab w:pos="786" w:val="left" w:leader="none"/>
        </w:tabs>
        <w:spacing w:line="208" w:lineRule="auto" w:before="239" w:after="0"/>
        <w:ind w:left="360" w:right="820" w:firstLine="0"/>
        <w:jc w:val="left"/>
        <w:rPr>
          <w:sz w:val="24"/>
        </w:rPr>
      </w:pPr>
      <w:r>
        <w:rPr>
          <w:b/>
          <w:sz w:val="24"/>
        </w:rPr>
        <w:t>Responsibilites under other law. </w:t>
      </w:r>
      <w:r>
        <w:rPr>
          <w:sz w:val="24"/>
        </w:rPr>
        <w:t>If a public entity other than DRS is obligated under</w:t>
      </w:r>
      <w:r>
        <w:rPr>
          <w:spacing w:val="-2"/>
          <w:sz w:val="24"/>
        </w:rPr>
        <w:t> </w:t>
      </w:r>
      <w:r>
        <w:rPr>
          <w:sz w:val="24"/>
        </w:rPr>
        <w:t>Federal</w:t>
      </w:r>
      <w:r>
        <w:rPr>
          <w:spacing w:val="-3"/>
          <w:sz w:val="24"/>
        </w:rPr>
        <w:t> </w:t>
      </w:r>
      <w:r>
        <w:rPr>
          <w:sz w:val="24"/>
        </w:rPr>
        <w:t>law</w:t>
      </w:r>
      <w:r>
        <w:rPr>
          <w:spacing w:val="-3"/>
          <w:sz w:val="24"/>
        </w:rPr>
        <w:t> </w:t>
      </w:r>
      <w:r>
        <w:rPr>
          <w:sz w:val="24"/>
        </w:rPr>
        <w:t>(such</w:t>
      </w:r>
      <w:r>
        <w:rPr>
          <w:spacing w:val="-3"/>
          <w:sz w:val="24"/>
        </w:rPr>
        <w:t> </w:t>
      </w:r>
      <w:r>
        <w:rPr>
          <w:sz w:val="24"/>
        </w:rPr>
        <w:t>as</w:t>
      </w:r>
      <w:r>
        <w:rPr>
          <w:spacing w:val="-3"/>
          <w:sz w:val="24"/>
        </w:rPr>
        <w:t> </w:t>
      </w:r>
      <w:r>
        <w:rPr>
          <w:sz w:val="24"/>
        </w:rPr>
        <w:t>the</w:t>
      </w:r>
      <w:r>
        <w:rPr>
          <w:spacing w:val="-3"/>
          <w:sz w:val="24"/>
        </w:rPr>
        <w:t> </w:t>
      </w:r>
      <w:r>
        <w:rPr>
          <w:sz w:val="24"/>
        </w:rPr>
        <w:t>Americans</w:t>
      </w:r>
      <w:r>
        <w:rPr>
          <w:spacing w:val="-3"/>
          <w:sz w:val="24"/>
        </w:rPr>
        <w:t> </w:t>
      </w:r>
      <w:r>
        <w:rPr>
          <w:sz w:val="24"/>
        </w:rPr>
        <w:t>with</w:t>
      </w:r>
      <w:r>
        <w:rPr>
          <w:spacing w:val="-3"/>
          <w:sz w:val="24"/>
        </w:rPr>
        <w:t> </w:t>
      </w:r>
      <w:r>
        <w:rPr>
          <w:sz w:val="24"/>
        </w:rPr>
        <w:t>Disability</w:t>
      </w:r>
      <w:r>
        <w:rPr>
          <w:spacing w:val="-3"/>
          <w:sz w:val="24"/>
        </w:rPr>
        <w:t> </w:t>
      </w:r>
      <w:r>
        <w:rPr>
          <w:sz w:val="24"/>
        </w:rPr>
        <w:t>Act,</w:t>
      </w:r>
      <w:r>
        <w:rPr>
          <w:spacing w:val="-2"/>
          <w:sz w:val="24"/>
        </w:rPr>
        <w:t> </w:t>
      </w:r>
      <w:r>
        <w:rPr>
          <w:sz w:val="24"/>
        </w:rPr>
        <w:t>Section</w:t>
      </w:r>
      <w:r>
        <w:rPr>
          <w:spacing w:val="-3"/>
          <w:sz w:val="24"/>
        </w:rPr>
        <w:t> </w:t>
      </w:r>
      <w:r>
        <w:rPr>
          <w:sz w:val="24"/>
        </w:rPr>
        <w:t>504</w:t>
      </w:r>
      <w:r>
        <w:rPr>
          <w:spacing w:val="-3"/>
          <w:sz w:val="24"/>
        </w:rPr>
        <w:t> </w:t>
      </w:r>
      <w:r>
        <w:rPr>
          <w:sz w:val="24"/>
        </w:rPr>
        <w:t>of</w:t>
      </w:r>
      <w:r>
        <w:rPr>
          <w:spacing w:val="-2"/>
          <w:sz w:val="24"/>
        </w:rPr>
        <w:t> </w:t>
      </w:r>
      <w:r>
        <w:rPr>
          <w:sz w:val="24"/>
        </w:rPr>
        <w:t>the</w:t>
      </w:r>
      <w:r>
        <w:rPr>
          <w:spacing w:val="-3"/>
          <w:sz w:val="24"/>
        </w:rPr>
        <w:t> </w:t>
      </w:r>
      <w:r>
        <w:rPr>
          <w:sz w:val="24"/>
        </w:rPr>
        <w:t>Act,</w:t>
      </w:r>
      <w:r>
        <w:rPr>
          <w:spacing w:val="-2"/>
          <w:sz w:val="24"/>
        </w:rPr>
        <w:t> </w:t>
      </w:r>
      <w:r>
        <w:rPr>
          <w:sz w:val="24"/>
        </w:rPr>
        <w:t>or section 188 of the Workforce Innovation and Opportunity Act) or State law, or assigned responsibility</w:t>
      </w:r>
      <w:r>
        <w:rPr>
          <w:spacing w:val="-4"/>
          <w:sz w:val="24"/>
        </w:rPr>
        <w:t> </w:t>
      </w:r>
      <w:r>
        <w:rPr>
          <w:sz w:val="24"/>
        </w:rPr>
        <w:t>under</w:t>
      </w:r>
      <w:r>
        <w:rPr>
          <w:spacing w:val="-3"/>
          <w:sz w:val="24"/>
        </w:rPr>
        <w:t> </w:t>
      </w:r>
      <w:r>
        <w:rPr>
          <w:sz w:val="24"/>
        </w:rPr>
        <w:t>State</w:t>
      </w:r>
      <w:r>
        <w:rPr>
          <w:spacing w:val="-4"/>
          <w:sz w:val="24"/>
        </w:rPr>
        <w:t> </w:t>
      </w:r>
      <w:r>
        <w:rPr>
          <w:sz w:val="24"/>
        </w:rPr>
        <w:t>administrative</w:t>
      </w:r>
      <w:r>
        <w:rPr>
          <w:spacing w:val="-4"/>
          <w:sz w:val="24"/>
        </w:rPr>
        <w:t> </w:t>
      </w:r>
      <w:r>
        <w:rPr>
          <w:sz w:val="24"/>
        </w:rPr>
        <w:t>rules</w:t>
      </w:r>
      <w:r>
        <w:rPr>
          <w:spacing w:val="-4"/>
          <w:sz w:val="24"/>
        </w:rPr>
        <w:t> </w:t>
      </w:r>
      <w:r>
        <w:rPr>
          <w:sz w:val="24"/>
        </w:rPr>
        <w:t>or</w:t>
      </w:r>
      <w:r>
        <w:rPr>
          <w:spacing w:val="-3"/>
          <w:sz w:val="24"/>
        </w:rPr>
        <w:t> </w:t>
      </w:r>
      <w:r>
        <w:rPr>
          <w:sz w:val="24"/>
        </w:rPr>
        <w:t>an</w:t>
      </w:r>
      <w:r>
        <w:rPr>
          <w:spacing w:val="-4"/>
          <w:sz w:val="24"/>
        </w:rPr>
        <w:t> </w:t>
      </w:r>
      <w:r>
        <w:rPr>
          <w:sz w:val="24"/>
        </w:rPr>
        <w:t>interagency</w:t>
      </w:r>
      <w:r>
        <w:rPr>
          <w:spacing w:val="-4"/>
          <w:sz w:val="24"/>
        </w:rPr>
        <w:t> </w:t>
      </w:r>
      <w:r>
        <w:rPr>
          <w:sz w:val="24"/>
        </w:rPr>
        <w:t>agreement</w:t>
      </w:r>
      <w:r>
        <w:rPr>
          <w:spacing w:val="-3"/>
          <w:sz w:val="24"/>
        </w:rPr>
        <w:t> </w:t>
      </w:r>
      <w:r>
        <w:rPr>
          <w:sz w:val="24"/>
        </w:rPr>
        <w:t>established under this section, to provide or pay for any services considered to be vocational rehabilitation services (e.g., interpreter services under 34 CFR 361.48 (j)), and, if appropriate, accommodations or auxiliary aids and services other than those services listed in paragraph (b) of this section, the public entity must fulfill that obligation or responsibility according to the terms in 34 CFR 361.53 (e) (1-2).</w:t>
      </w:r>
    </w:p>
    <w:p>
      <w:pPr>
        <w:pStyle w:val="BodyText"/>
        <w:spacing w:before="210"/>
      </w:pPr>
      <w:r>
        <w:rPr/>
        <w:t>Instructions</w:t>
      </w:r>
      <w:r>
        <w:rPr>
          <w:spacing w:val="-5"/>
        </w:rPr>
        <w:t> </w:t>
      </w:r>
      <w:r>
        <w:rPr/>
        <w:t>to</w:t>
      </w:r>
      <w:r>
        <w:rPr>
          <w:spacing w:val="-2"/>
        </w:rPr>
        <w:t> </w:t>
      </w:r>
      <w:r>
        <w:rPr>
          <w:spacing w:val="-4"/>
        </w:rPr>
        <w:t>Staff</w:t>
      </w:r>
    </w:p>
    <w:p>
      <w:pPr>
        <w:pStyle w:val="ListParagraph"/>
        <w:numPr>
          <w:ilvl w:val="0"/>
          <w:numId w:val="90"/>
        </w:numPr>
        <w:tabs>
          <w:tab w:pos="1077" w:val="left" w:leader="none"/>
        </w:tabs>
        <w:spacing w:line="208" w:lineRule="auto" w:before="233" w:after="0"/>
        <w:ind w:left="791" w:right="812" w:firstLine="0"/>
        <w:jc w:val="left"/>
        <w:rPr>
          <w:sz w:val="24"/>
        </w:rPr>
      </w:pPr>
      <w:hyperlink r:id="rId36">
        <w:r>
          <w:rPr>
            <w:color w:val="0000FF"/>
            <w:sz w:val="24"/>
            <w:u w:val="single" w:color="0000FF"/>
          </w:rPr>
          <w:t>34 CFR 361.5(c)(8)</w:t>
        </w:r>
      </w:hyperlink>
      <w:r>
        <w:rPr>
          <w:color w:val="0000FF"/>
          <w:sz w:val="24"/>
          <w:u w:val="none"/>
        </w:rPr>
        <w:t> </w:t>
      </w:r>
      <w:r>
        <w:rPr>
          <w:sz w:val="24"/>
          <w:u w:val="none"/>
        </w:rPr>
        <w:t>defines comparable services and benefits as services and benefits</w:t>
      </w:r>
      <w:r>
        <w:rPr>
          <w:spacing w:val="-3"/>
          <w:sz w:val="24"/>
          <w:u w:val="none"/>
        </w:rPr>
        <w:t> </w:t>
      </w:r>
      <w:r>
        <w:rPr>
          <w:sz w:val="24"/>
          <w:u w:val="none"/>
        </w:rPr>
        <w:t>which</w:t>
      </w:r>
      <w:r>
        <w:rPr>
          <w:spacing w:val="-3"/>
          <w:sz w:val="24"/>
          <w:u w:val="none"/>
        </w:rPr>
        <w:t> </w:t>
      </w:r>
      <w:r>
        <w:rPr>
          <w:sz w:val="24"/>
          <w:u w:val="none"/>
        </w:rPr>
        <w:t>are</w:t>
      </w:r>
      <w:r>
        <w:rPr>
          <w:spacing w:val="-3"/>
          <w:sz w:val="24"/>
          <w:u w:val="none"/>
        </w:rPr>
        <w:t> </w:t>
      </w:r>
      <w:r>
        <w:rPr>
          <w:sz w:val="24"/>
          <w:u w:val="none"/>
        </w:rPr>
        <w:t>provided</w:t>
      </w:r>
      <w:r>
        <w:rPr>
          <w:spacing w:val="-3"/>
          <w:sz w:val="24"/>
          <w:u w:val="none"/>
        </w:rPr>
        <w:t> </w:t>
      </w:r>
      <w:r>
        <w:rPr>
          <w:sz w:val="24"/>
          <w:u w:val="none"/>
        </w:rPr>
        <w:t>or</w:t>
      </w:r>
      <w:r>
        <w:rPr>
          <w:spacing w:val="-2"/>
          <w:sz w:val="24"/>
          <w:u w:val="none"/>
        </w:rPr>
        <w:t> </w:t>
      </w:r>
      <w:r>
        <w:rPr>
          <w:sz w:val="24"/>
          <w:u w:val="none"/>
        </w:rPr>
        <w:t>paid</w:t>
      </w:r>
      <w:r>
        <w:rPr>
          <w:spacing w:val="-3"/>
          <w:sz w:val="24"/>
          <w:u w:val="none"/>
        </w:rPr>
        <w:t> </w:t>
      </w:r>
      <w:r>
        <w:rPr>
          <w:sz w:val="24"/>
          <w:u w:val="none"/>
        </w:rPr>
        <w:t>for,</w:t>
      </w:r>
      <w:r>
        <w:rPr>
          <w:spacing w:val="-2"/>
          <w:sz w:val="24"/>
          <w:u w:val="none"/>
        </w:rPr>
        <w:t> </w:t>
      </w:r>
      <w:r>
        <w:rPr>
          <w:sz w:val="24"/>
          <w:u w:val="none"/>
        </w:rPr>
        <w:t>in</w:t>
      </w:r>
      <w:r>
        <w:rPr>
          <w:spacing w:val="-3"/>
          <w:sz w:val="24"/>
          <w:u w:val="none"/>
        </w:rPr>
        <w:t> </w:t>
      </w:r>
      <w:r>
        <w:rPr>
          <w:sz w:val="24"/>
          <w:u w:val="none"/>
        </w:rPr>
        <w:t>whole</w:t>
      </w:r>
      <w:r>
        <w:rPr>
          <w:spacing w:val="-3"/>
          <w:sz w:val="24"/>
          <w:u w:val="none"/>
        </w:rPr>
        <w:t> </w:t>
      </w:r>
      <w:r>
        <w:rPr>
          <w:sz w:val="24"/>
          <w:u w:val="none"/>
        </w:rPr>
        <w:t>or</w:t>
      </w:r>
      <w:r>
        <w:rPr>
          <w:spacing w:val="-2"/>
          <w:sz w:val="24"/>
          <w:u w:val="none"/>
        </w:rPr>
        <w:t> </w:t>
      </w:r>
      <w:r>
        <w:rPr>
          <w:sz w:val="24"/>
          <w:u w:val="none"/>
        </w:rPr>
        <w:t>in</w:t>
      </w:r>
      <w:r>
        <w:rPr>
          <w:spacing w:val="-3"/>
          <w:sz w:val="24"/>
          <w:u w:val="none"/>
        </w:rPr>
        <w:t> </w:t>
      </w:r>
      <w:r>
        <w:rPr>
          <w:sz w:val="24"/>
          <w:u w:val="none"/>
        </w:rPr>
        <w:t>part,</w:t>
      </w:r>
      <w:r>
        <w:rPr>
          <w:spacing w:val="-4"/>
          <w:sz w:val="24"/>
          <w:u w:val="none"/>
        </w:rPr>
        <w:t> </w:t>
      </w:r>
      <w:r>
        <w:rPr>
          <w:sz w:val="24"/>
          <w:u w:val="none"/>
        </w:rPr>
        <w:t>by</w:t>
      </w:r>
      <w:r>
        <w:rPr>
          <w:spacing w:val="-3"/>
          <w:sz w:val="24"/>
          <w:u w:val="none"/>
        </w:rPr>
        <w:t> </w:t>
      </w:r>
      <w:r>
        <w:rPr>
          <w:sz w:val="24"/>
          <w:u w:val="none"/>
        </w:rPr>
        <w:t>other</w:t>
      </w:r>
      <w:r>
        <w:rPr>
          <w:spacing w:val="-5"/>
          <w:sz w:val="24"/>
          <w:u w:val="none"/>
        </w:rPr>
        <w:t> </w:t>
      </w:r>
      <w:r>
        <w:rPr>
          <w:sz w:val="24"/>
          <w:u w:val="none"/>
        </w:rPr>
        <w:t>federal,</w:t>
      </w:r>
      <w:r>
        <w:rPr>
          <w:spacing w:val="-2"/>
          <w:sz w:val="24"/>
          <w:u w:val="none"/>
        </w:rPr>
        <w:t> </w:t>
      </w:r>
      <w:r>
        <w:rPr>
          <w:sz w:val="24"/>
          <w:u w:val="none"/>
        </w:rPr>
        <w:t>state</w:t>
      </w:r>
      <w:r>
        <w:rPr>
          <w:spacing w:val="-3"/>
          <w:sz w:val="24"/>
          <w:u w:val="none"/>
        </w:rPr>
        <w:t> </w:t>
      </w:r>
      <w:r>
        <w:rPr>
          <w:sz w:val="24"/>
          <w:u w:val="none"/>
        </w:rPr>
        <w:t>or local</w:t>
      </w:r>
      <w:r>
        <w:rPr>
          <w:spacing w:val="-4"/>
          <w:sz w:val="24"/>
          <w:u w:val="none"/>
        </w:rPr>
        <w:t> </w:t>
      </w:r>
      <w:r>
        <w:rPr>
          <w:sz w:val="24"/>
          <w:u w:val="none"/>
        </w:rPr>
        <w:t>public</w:t>
      </w:r>
      <w:r>
        <w:rPr>
          <w:spacing w:val="-3"/>
          <w:sz w:val="24"/>
          <w:u w:val="none"/>
        </w:rPr>
        <w:t> </w:t>
      </w:r>
      <w:r>
        <w:rPr>
          <w:sz w:val="24"/>
          <w:u w:val="none"/>
        </w:rPr>
        <w:t>agencies,</w:t>
      </w:r>
      <w:r>
        <w:rPr>
          <w:spacing w:val="-3"/>
          <w:sz w:val="24"/>
          <w:u w:val="none"/>
        </w:rPr>
        <w:t> </w:t>
      </w:r>
      <w:r>
        <w:rPr>
          <w:sz w:val="24"/>
          <w:u w:val="none"/>
        </w:rPr>
        <w:t>by</w:t>
      </w:r>
      <w:r>
        <w:rPr>
          <w:spacing w:val="-4"/>
          <w:sz w:val="24"/>
          <w:u w:val="none"/>
        </w:rPr>
        <w:t> </w:t>
      </w:r>
      <w:r>
        <w:rPr>
          <w:sz w:val="24"/>
          <w:u w:val="none"/>
        </w:rPr>
        <w:t>health</w:t>
      </w:r>
      <w:r>
        <w:rPr>
          <w:spacing w:val="-4"/>
          <w:sz w:val="24"/>
          <w:u w:val="none"/>
        </w:rPr>
        <w:t> </w:t>
      </w:r>
      <w:r>
        <w:rPr>
          <w:sz w:val="24"/>
          <w:u w:val="none"/>
        </w:rPr>
        <w:t>insurance,</w:t>
      </w:r>
      <w:r>
        <w:rPr>
          <w:spacing w:val="-3"/>
          <w:sz w:val="24"/>
          <w:u w:val="none"/>
        </w:rPr>
        <w:t> </w:t>
      </w:r>
      <w:r>
        <w:rPr>
          <w:sz w:val="24"/>
          <w:u w:val="none"/>
        </w:rPr>
        <w:t>or</w:t>
      </w:r>
      <w:r>
        <w:rPr>
          <w:spacing w:val="-4"/>
          <w:sz w:val="24"/>
          <w:u w:val="none"/>
        </w:rPr>
        <w:t> </w:t>
      </w:r>
      <w:r>
        <w:rPr>
          <w:sz w:val="24"/>
          <w:u w:val="none"/>
        </w:rPr>
        <w:t>by</w:t>
      </w:r>
      <w:r>
        <w:rPr>
          <w:spacing w:val="-4"/>
          <w:sz w:val="24"/>
          <w:u w:val="none"/>
        </w:rPr>
        <w:t> </w:t>
      </w:r>
      <w:r>
        <w:rPr>
          <w:sz w:val="24"/>
          <w:u w:val="none"/>
        </w:rPr>
        <w:t>employee</w:t>
      </w:r>
      <w:r>
        <w:rPr>
          <w:spacing w:val="-4"/>
          <w:sz w:val="24"/>
          <w:u w:val="none"/>
        </w:rPr>
        <w:t> </w:t>
      </w:r>
      <w:r>
        <w:rPr>
          <w:sz w:val="24"/>
          <w:u w:val="none"/>
        </w:rPr>
        <w:t>benefits.</w:t>
      </w:r>
      <w:r>
        <w:rPr>
          <w:spacing w:val="40"/>
          <w:sz w:val="24"/>
          <w:u w:val="none"/>
        </w:rPr>
        <w:t> </w:t>
      </w:r>
      <w:r>
        <w:rPr>
          <w:sz w:val="24"/>
          <w:u w:val="none"/>
        </w:rPr>
        <w:t>See</w:t>
      </w:r>
      <w:r>
        <w:rPr>
          <w:spacing w:val="-4"/>
          <w:sz w:val="24"/>
          <w:u w:val="none"/>
        </w:rPr>
        <w:t> </w:t>
      </w:r>
      <w:hyperlink w:history="true" w:anchor="_bookmark2">
        <w:r>
          <w:rPr>
            <w:color w:val="0000FF"/>
            <w:sz w:val="24"/>
            <w:u w:val="single" w:color="0000FF"/>
          </w:rPr>
          <w:t>612:10-1-</w:t>
        </w:r>
      </w:hyperlink>
      <w:r>
        <w:rPr>
          <w:color w:val="0000FF"/>
          <w:sz w:val="24"/>
          <w:u w:val="none"/>
        </w:rPr>
        <w:t> </w:t>
      </w:r>
      <w:hyperlink w:history="true" w:anchor="_bookmark2">
        <w:r>
          <w:rPr>
            <w:color w:val="0000FF"/>
            <w:spacing w:val="-6"/>
            <w:sz w:val="24"/>
            <w:u w:val="single" w:color="0000FF"/>
          </w:rPr>
          <w:t>2</w:t>
        </w:r>
      </w:hyperlink>
      <w:r>
        <w:rPr>
          <w:color w:val="0000FF"/>
          <w:spacing w:val="-6"/>
          <w:sz w:val="24"/>
          <w:u w:val="single" w:color="0000FF"/>
        </w:rPr>
        <w:t>.</w:t>
      </w:r>
    </w:p>
    <w:p>
      <w:pPr>
        <w:pStyle w:val="ListParagraph"/>
        <w:numPr>
          <w:ilvl w:val="0"/>
          <w:numId w:val="90"/>
        </w:numPr>
        <w:tabs>
          <w:tab w:pos="1077" w:val="left" w:leader="none"/>
        </w:tabs>
        <w:spacing w:line="240" w:lineRule="auto" w:before="210" w:after="0"/>
        <w:ind w:left="1077" w:right="0" w:hanging="286"/>
        <w:jc w:val="left"/>
        <w:rPr>
          <w:sz w:val="24"/>
        </w:rPr>
      </w:pPr>
      <w:r>
        <w:rPr>
          <w:sz w:val="24"/>
        </w:rPr>
        <w:t>See</w:t>
      </w:r>
      <w:r>
        <w:rPr>
          <w:spacing w:val="-7"/>
          <w:sz w:val="24"/>
        </w:rPr>
        <w:t> </w:t>
      </w:r>
      <w:hyperlink w:history="true" w:anchor="_bookmark20">
        <w:r>
          <w:rPr>
            <w:color w:val="0000FF"/>
            <w:sz w:val="24"/>
            <w:u w:val="single" w:color="0000FF"/>
          </w:rPr>
          <w:t>612:10-7-98(a)&amp;(d)</w:t>
        </w:r>
      </w:hyperlink>
      <w:r>
        <w:rPr>
          <w:sz w:val="24"/>
          <w:u w:val="none"/>
        </w:rPr>
        <w:t>,</w:t>
      </w:r>
      <w:r>
        <w:rPr>
          <w:spacing w:val="-7"/>
          <w:sz w:val="24"/>
          <w:u w:val="none"/>
        </w:rPr>
        <w:t> </w:t>
      </w:r>
      <w:r>
        <w:rPr>
          <w:sz w:val="24"/>
          <w:u w:val="none"/>
        </w:rPr>
        <w:t>and</w:t>
      </w:r>
      <w:r>
        <w:rPr>
          <w:spacing w:val="-6"/>
          <w:sz w:val="24"/>
          <w:u w:val="none"/>
        </w:rPr>
        <w:t> </w:t>
      </w:r>
      <w:hyperlink w:history="true" w:anchor="_bookmark22">
        <w:r>
          <w:rPr>
            <w:color w:val="0000FF"/>
            <w:sz w:val="24"/>
            <w:u w:val="single" w:color="0000FF"/>
          </w:rPr>
          <w:t>612:10-7-</w:t>
        </w:r>
        <w:r>
          <w:rPr>
            <w:color w:val="0000FF"/>
            <w:spacing w:val="-2"/>
            <w:sz w:val="24"/>
            <w:u w:val="single" w:color="0000FF"/>
          </w:rPr>
          <w:t>142(d)&amp;(e)</w:t>
        </w:r>
      </w:hyperlink>
      <w:r>
        <w:rPr>
          <w:color w:val="0000FF"/>
          <w:spacing w:val="-2"/>
          <w:sz w:val="24"/>
          <w:u w:val="single" w:color="0000FF"/>
        </w:rPr>
        <w:t>.</w:t>
      </w:r>
    </w:p>
    <w:p>
      <w:pPr>
        <w:pStyle w:val="ListParagraph"/>
        <w:numPr>
          <w:ilvl w:val="0"/>
          <w:numId w:val="90"/>
        </w:numPr>
        <w:tabs>
          <w:tab w:pos="1077" w:val="left" w:leader="none"/>
        </w:tabs>
        <w:spacing w:line="240" w:lineRule="auto" w:before="204" w:after="0"/>
        <w:ind w:left="1077" w:right="0" w:hanging="286"/>
        <w:jc w:val="left"/>
        <w:rPr>
          <w:sz w:val="24"/>
        </w:rPr>
      </w:pPr>
      <w:r>
        <w:rPr>
          <w:sz w:val="24"/>
        </w:rPr>
        <w:t>See</w:t>
      </w:r>
      <w:r>
        <w:rPr>
          <w:spacing w:val="-6"/>
          <w:sz w:val="24"/>
        </w:rPr>
        <w:t> </w:t>
      </w:r>
      <w:hyperlink w:history="true" w:anchor="_bookmark22">
        <w:r>
          <w:rPr>
            <w:color w:val="0000FF"/>
            <w:sz w:val="24"/>
            <w:u w:val="single" w:color="0000FF"/>
          </w:rPr>
          <w:t>612:10-7-142</w:t>
        </w:r>
      </w:hyperlink>
      <w:r>
        <w:rPr>
          <w:color w:val="0000FF"/>
          <w:spacing w:val="-6"/>
          <w:sz w:val="24"/>
          <w:u w:val="none"/>
        </w:rPr>
        <w:t> </w:t>
      </w:r>
      <w:r>
        <w:rPr>
          <w:sz w:val="24"/>
          <w:u w:val="none"/>
        </w:rPr>
        <w:t>and</w:t>
      </w:r>
      <w:r>
        <w:rPr>
          <w:spacing w:val="-5"/>
          <w:sz w:val="24"/>
          <w:u w:val="none"/>
        </w:rPr>
        <w:t> </w:t>
      </w:r>
      <w:hyperlink w:history="true" w:anchor="_bookmark22">
        <w:r>
          <w:rPr>
            <w:color w:val="0000FF"/>
            <w:sz w:val="24"/>
            <w:u w:val="single" w:color="0000FF"/>
          </w:rPr>
          <w:t>612:10-7-</w:t>
        </w:r>
        <w:r>
          <w:rPr>
            <w:color w:val="0000FF"/>
            <w:spacing w:val="-2"/>
            <w:sz w:val="24"/>
            <w:u w:val="single" w:color="0000FF"/>
          </w:rPr>
          <w:t>149(a)</w:t>
        </w:r>
      </w:hyperlink>
      <w:r>
        <w:rPr>
          <w:color w:val="0000FF"/>
          <w:spacing w:val="-2"/>
          <w:sz w:val="24"/>
          <w:u w:val="single" w:color="0000FF"/>
        </w:rPr>
        <w:t>.</w:t>
      </w:r>
    </w:p>
    <w:p>
      <w:pPr>
        <w:spacing w:before="238"/>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4-3-96</w:t>
      </w:r>
      <w:r>
        <w:rPr>
          <w:sz w:val="22"/>
        </w:rPr>
        <w:tab/>
        <w:t>PT Memo #96-2</w:t>
      </w:r>
    </w:p>
    <w:p>
      <w:pPr>
        <w:spacing w:before="0"/>
        <w:ind w:left="1439" w:right="775" w:firstLine="0"/>
        <w:jc w:val="left"/>
        <w:rPr>
          <w:sz w:val="22"/>
        </w:rPr>
      </w:pPr>
      <w:r>
        <w:rPr>
          <w:sz w:val="22"/>
        </w:rPr>
        <w:t>Emergency, clarify that all comparable benefits are to be used when available, not just</w:t>
      </w:r>
      <w:r>
        <w:rPr>
          <w:spacing w:val="-3"/>
          <w:sz w:val="22"/>
        </w:rPr>
        <w:t> </w:t>
      </w:r>
      <w:r>
        <w:rPr>
          <w:sz w:val="22"/>
        </w:rPr>
        <w:t>those</w:t>
      </w:r>
      <w:r>
        <w:rPr>
          <w:spacing w:val="-4"/>
          <w:sz w:val="22"/>
        </w:rPr>
        <w:t> </w:t>
      </w:r>
      <w:r>
        <w:rPr>
          <w:sz w:val="22"/>
        </w:rPr>
        <w:t>listed;</w:t>
      </w:r>
      <w:r>
        <w:rPr>
          <w:spacing w:val="-3"/>
          <w:sz w:val="22"/>
        </w:rPr>
        <w:t> </w:t>
      </w:r>
      <w:r>
        <w:rPr>
          <w:sz w:val="22"/>
        </w:rPr>
        <w:t>also,</w:t>
      </w:r>
      <w:r>
        <w:rPr>
          <w:spacing w:val="-3"/>
          <w:sz w:val="22"/>
        </w:rPr>
        <w:t> </w:t>
      </w:r>
      <w:r>
        <w:rPr>
          <w:sz w:val="22"/>
        </w:rPr>
        <w:t>counselor</w:t>
      </w:r>
      <w:r>
        <w:rPr>
          <w:spacing w:val="-3"/>
          <w:sz w:val="22"/>
        </w:rPr>
        <w:t> </w:t>
      </w:r>
      <w:r>
        <w:rPr>
          <w:sz w:val="22"/>
        </w:rPr>
        <w:t>to</w:t>
      </w:r>
      <w:r>
        <w:rPr>
          <w:spacing w:val="-3"/>
          <w:sz w:val="22"/>
        </w:rPr>
        <w:t> </w:t>
      </w:r>
      <w:r>
        <w:rPr>
          <w:sz w:val="22"/>
        </w:rPr>
        <w:t>help</w:t>
      </w:r>
      <w:r>
        <w:rPr>
          <w:spacing w:val="-3"/>
          <w:sz w:val="22"/>
        </w:rPr>
        <w:t> </w:t>
      </w:r>
      <w:r>
        <w:rPr>
          <w:sz w:val="22"/>
        </w:rPr>
        <w:t>with</w:t>
      </w:r>
      <w:r>
        <w:rPr>
          <w:spacing w:val="-3"/>
          <w:sz w:val="22"/>
        </w:rPr>
        <w:t> </w:t>
      </w:r>
      <w:r>
        <w:rPr>
          <w:sz w:val="22"/>
        </w:rPr>
        <w:t>application</w:t>
      </w:r>
      <w:r>
        <w:rPr>
          <w:spacing w:val="-3"/>
          <w:sz w:val="22"/>
        </w:rPr>
        <w:t> </w:t>
      </w:r>
      <w:r>
        <w:rPr>
          <w:sz w:val="22"/>
        </w:rPr>
        <w:t>for</w:t>
      </w:r>
      <w:r>
        <w:rPr>
          <w:spacing w:val="-3"/>
          <w:sz w:val="22"/>
        </w:rPr>
        <w:t> </w:t>
      </w:r>
      <w:r>
        <w:rPr>
          <w:sz w:val="22"/>
        </w:rPr>
        <w:t>other</w:t>
      </w:r>
      <w:r>
        <w:rPr>
          <w:spacing w:val="-3"/>
          <w:sz w:val="22"/>
        </w:rPr>
        <w:t> </w:t>
      </w:r>
      <w:r>
        <w:rPr>
          <w:sz w:val="22"/>
        </w:rPr>
        <w:t>pay</w:t>
      </w:r>
      <w:r>
        <w:rPr>
          <w:spacing w:val="-3"/>
          <w:sz w:val="22"/>
        </w:rPr>
        <w:t> </w:t>
      </w:r>
      <w:r>
        <w:rPr>
          <w:sz w:val="22"/>
        </w:rPr>
        <w:t>sources</w:t>
      </w:r>
      <w:r>
        <w:rPr>
          <w:spacing w:val="-3"/>
          <w:sz w:val="22"/>
        </w:rPr>
        <w:t> </w:t>
      </w:r>
      <w:r>
        <w:rPr>
          <w:sz w:val="22"/>
        </w:rPr>
        <w:t>when needed; a loan is not a comparable benefit; in cases of default, tell about credit </w:t>
      </w:r>
      <w:r>
        <w:rPr>
          <w:spacing w:val="-2"/>
          <w:sz w:val="22"/>
        </w:rPr>
        <w:t>services</w:t>
      </w:r>
    </w:p>
    <w:p>
      <w:pPr>
        <w:pStyle w:val="ListParagraph"/>
        <w:numPr>
          <w:ilvl w:val="2"/>
          <w:numId w:val="91"/>
        </w:numPr>
        <w:tabs>
          <w:tab w:pos="1439" w:val="left" w:leader="none"/>
        </w:tabs>
        <w:spacing w:line="253"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1"/>
        <w:ind w:left="359" w:right="3214" w:firstLine="1080"/>
        <w:jc w:val="left"/>
        <w:rPr>
          <w:sz w:val="22"/>
        </w:rPr>
      </w:pPr>
      <w:r>
        <w:rPr>
          <w:sz w:val="22"/>
        </w:rPr>
        <w:t>Permanent</w:t>
      </w:r>
      <w:r>
        <w:rPr>
          <w:spacing w:val="-7"/>
          <w:sz w:val="22"/>
        </w:rPr>
        <w:t> </w:t>
      </w:r>
      <w:r>
        <w:rPr>
          <w:sz w:val="22"/>
        </w:rPr>
        <w:t>rules</w:t>
      </w:r>
      <w:r>
        <w:rPr>
          <w:spacing w:val="-7"/>
          <w:sz w:val="22"/>
        </w:rPr>
        <w:t> </w:t>
      </w:r>
      <w:r>
        <w:rPr>
          <w:sz w:val="22"/>
        </w:rPr>
        <w:t>supersede</w:t>
      </w:r>
      <w:r>
        <w:rPr>
          <w:spacing w:val="-7"/>
          <w:sz w:val="22"/>
        </w:rPr>
        <w:t> </w:t>
      </w:r>
      <w:r>
        <w:rPr>
          <w:sz w:val="22"/>
        </w:rPr>
        <w:t>emergency</w:t>
      </w:r>
      <w:r>
        <w:rPr>
          <w:spacing w:val="-7"/>
          <w:sz w:val="22"/>
        </w:rPr>
        <w:t> </w:t>
      </w:r>
      <w:r>
        <w:rPr>
          <w:sz w:val="22"/>
        </w:rPr>
        <w:t>rules</w:t>
      </w:r>
      <w:r>
        <w:rPr>
          <w:spacing w:val="-7"/>
          <w:sz w:val="22"/>
        </w:rPr>
        <w:t> </w:t>
      </w:r>
      <w:r>
        <w:rPr>
          <w:sz w:val="22"/>
        </w:rPr>
        <w:t>issued</w:t>
      </w:r>
      <w:r>
        <w:rPr>
          <w:spacing w:val="-7"/>
          <w:sz w:val="22"/>
        </w:rPr>
        <w:t> </w:t>
      </w:r>
      <w:r>
        <w:rPr>
          <w:sz w:val="22"/>
        </w:rPr>
        <w:t>4-3-96 </w:t>
      </w:r>
      <w:r>
        <w:rPr>
          <w:spacing w:val="-2"/>
          <w:sz w:val="22"/>
        </w:rPr>
        <w:t>10-1-97</w:t>
      </w:r>
      <w:r>
        <w:rPr>
          <w:sz w:val="22"/>
        </w:rPr>
        <w:tab/>
        <w:t>PT Memo #98-4</w:t>
      </w:r>
    </w:p>
    <w:p>
      <w:pPr>
        <w:spacing w:before="0"/>
        <w:ind w:left="1439" w:right="1036" w:firstLine="0"/>
        <w:jc w:val="left"/>
        <w:rPr>
          <w:sz w:val="22"/>
        </w:rPr>
      </w:pPr>
      <w:r>
        <w:rPr>
          <w:sz w:val="22"/>
        </w:rPr>
        <w:t>Emergency, added requirements for search and use of comparable benefits are same</w:t>
      </w:r>
      <w:r>
        <w:rPr>
          <w:spacing w:val="-4"/>
          <w:sz w:val="22"/>
        </w:rPr>
        <w:t> </w:t>
      </w:r>
      <w:r>
        <w:rPr>
          <w:sz w:val="22"/>
        </w:rPr>
        <w:t>under</w:t>
      </w:r>
      <w:r>
        <w:rPr>
          <w:spacing w:val="-4"/>
          <w:sz w:val="22"/>
        </w:rPr>
        <w:t> </w:t>
      </w:r>
      <w:r>
        <w:rPr>
          <w:sz w:val="22"/>
        </w:rPr>
        <w:t>IRP</w:t>
      </w:r>
      <w:r>
        <w:rPr>
          <w:spacing w:val="-4"/>
          <w:sz w:val="22"/>
        </w:rPr>
        <w:t> </w:t>
      </w:r>
      <w:r>
        <w:rPr>
          <w:sz w:val="22"/>
        </w:rPr>
        <w:t>and</w:t>
      </w:r>
      <w:r>
        <w:rPr>
          <w:spacing w:val="-4"/>
          <w:sz w:val="22"/>
        </w:rPr>
        <w:t> </w:t>
      </w:r>
      <w:r>
        <w:rPr>
          <w:sz w:val="22"/>
        </w:rPr>
        <w:t>extended</w:t>
      </w:r>
      <w:r>
        <w:rPr>
          <w:spacing w:val="-4"/>
          <w:sz w:val="22"/>
        </w:rPr>
        <w:t> </w:t>
      </w:r>
      <w:r>
        <w:rPr>
          <w:sz w:val="22"/>
        </w:rPr>
        <w:t>evaluation;</w:t>
      </w:r>
      <w:r>
        <w:rPr>
          <w:spacing w:val="-4"/>
          <w:sz w:val="22"/>
        </w:rPr>
        <w:t> </w:t>
      </w:r>
      <w:r>
        <w:rPr>
          <w:sz w:val="22"/>
        </w:rPr>
        <w:t>clarified</w:t>
      </w:r>
      <w:r>
        <w:rPr>
          <w:spacing w:val="-4"/>
          <w:sz w:val="22"/>
        </w:rPr>
        <w:t> </w:t>
      </w:r>
      <w:r>
        <w:rPr>
          <w:sz w:val="22"/>
        </w:rPr>
        <w:t>failure</w:t>
      </w:r>
      <w:r>
        <w:rPr>
          <w:spacing w:val="-4"/>
          <w:sz w:val="22"/>
        </w:rPr>
        <w:t> </w:t>
      </w:r>
      <w:r>
        <w:rPr>
          <w:sz w:val="22"/>
        </w:rPr>
        <w:t>to</w:t>
      </w:r>
      <w:r>
        <w:rPr>
          <w:spacing w:val="-5"/>
          <w:sz w:val="22"/>
        </w:rPr>
        <w:t> </w:t>
      </w:r>
      <w:r>
        <w:rPr>
          <w:sz w:val="22"/>
        </w:rPr>
        <w:t>repay</w:t>
      </w:r>
      <w:r>
        <w:rPr>
          <w:spacing w:val="-4"/>
          <w:sz w:val="22"/>
        </w:rPr>
        <w:t> </w:t>
      </w:r>
      <w:r>
        <w:rPr>
          <w:sz w:val="22"/>
        </w:rPr>
        <w:t>a</w:t>
      </w:r>
      <w:r>
        <w:rPr>
          <w:spacing w:val="-4"/>
          <w:sz w:val="22"/>
        </w:rPr>
        <w:t> </w:t>
      </w:r>
      <w:r>
        <w:rPr>
          <w:sz w:val="22"/>
        </w:rPr>
        <w:t>student</w:t>
      </w:r>
      <w:r>
        <w:rPr>
          <w:spacing w:val="-4"/>
          <w:sz w:val="22"/>
        </w:rPr>
        <w:t> </w:t>
      </w:r>
      <w:r>
        <w:rPr>
          <w:sz w:val="22"/>
        </w:rPr>
        <w:t>loan only affects post-secondary training</w:t>
      </w:r>
    </w:p>
    <w:p>
      <w:pPr>
        <w:pStyle w:val="ListParagraph"/>
        <w:numPr>
          <w:ilvl w:val="2"/>
          <w:numId w:val="91"/>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#98-</w:t>
      </w:r>
      <w:r>
        <w:rPr>
          <w:spacing w:val="-5"/>
          <w:sz w:val="22"/>
        </w:rPr>
        <w:t>15</w:t>
      </w:r>
    </w:p>
    <w:p>
      <w:pPr>
        <w:spacing w:before="0"/>
        <w:ind w:left="1439" w:right="775" w:firstLine="0"/>
        <w:jc w:val="left"/>
        <w:rPr>
          <w:sz w:val="22"/>
        </w:rPr>
      </w:pPr>
      <w:r>
        <w:rPr>
          <w:sz w:val="22"/>
        </w:rPr>
        <w:t>Permanent</w:t>
      </w:r>
      <w:r>
        <w:rPr>
          <w:spacing w:val="-4"/>
          <w:sz w:val="22"/>
        </w:rPr>
        <w:t> </w:t>
      </w:r>
      <w:r>
        <w:rPr>
          <w:sz w:val="22"/>
        </w:rPr>
        <w:t>rules</w:t>
      </w:r>
      <w:r>
        <w:rPr>
          <w:spacing w:val="-4"/>
          <w:sz w:val="22"/>
        </w:rPr>
        <w:t> </w:t>
      </w:r>
      <w:r>
        <w:rPr>
          <w:sz w:val="22"/>
        </w:rPr>
        <w:t>supersede</w:t>
      </w:r>
      <w:r>
        <w:rPr>
          <w:spacing w:val="-4"/>
          <w:sz w:val="22"/>
        </w:rPr>
        <w:t> </w:t>
      </w:r>
      <w:r>
        <w:rPr>
          <w:sz w:val="22"/>
        </w:rPr>
        <w:t>emergency</w:t>
      </w:r>
      <w:r>
        <w:rPr>
          <w:spacing w:val="-4"/>
          <w:sz w:val="22"/>
        </w:rPr>
        <w:t> </w:t>
      </w:r>
      <w:r>
        <w:rPr>
          <w:sz w:val="22"/>
        </w:rPr>
        <w:t>rules</w:t>
      </w:r>
      <w:r>
        <w:rPr>
          <w:spacing w:val="-5"/>
          <w:sz w:val="22"/>
        </w:rPr>
        <w:t> </w:t>
      </w:r>
      <w:r>
        <w:rPr>
          <w:sz w:val="22"/>
        </w:rPr>
        <w:t>issued</w:t>
      </w:r>
      <w:r>
        <w:rPr>
          <w:spacing w:val="-4"/>
          <w:sz w:val="22"/>
        </w:rPr>
        <w:t> </w:t>
      </w:r>
      <w:r>
        <w:rPr>
          <w:sz w:val="22"/>
        </w:rPr>
        <w:t>10-1-97;</w:t>
      </w:r>
      <w:r>
        <w:rPr>
          <w:spacing w:val="-4"/>
          <w:sz w:val="22"/>
        </w:rPr>
        <w:t> </w:t>
      </w:r>
      <w:r>
        <w:rPr>
          <w:sz w:val="22"/>
        </w:rPr>
        <w:t>clarification</w:t>
      </w:r>
      <w:r>
        <w:rPr>
          <w:spacing w:val="-5"/>
          <w:sz w:val="22"/>
        </w:rPr>
        <w:t> </w:t>
      </w:r>
      <w:r>
        <w:rPr>
          <w:sz w:val="22"/>
        </w:rPr>
        <w:t>on</w:t>
      </w:r>
      <w:r>
        <w:rPr>
          <w:spacing w:val="-4"/>
          <w:sz w:val="22"/>
        </w:rPr>
        <w:t> </w:t>
      </w:r>
      <w:r>
        <w:rPr>
          <w:sz w:val="22"/>
        </w:rPr>
        <w:t>use</w:t>
      </w:r>
      <w:r>
        <w:rPr>
          <w:spacing w:val="-4"/>
          <w:sz w:val="22"/>
        </w:rPr>
        <w:t> </w:t>
      </w:r>
      <w:r>
        <w:rPr>
          <w:sz w:val="22"/>
        </w:rPr>
        <w:t>of consumer resource during extended eval, and on defaulted student loans</w:t>
      </w:r>
    </w:p>
    <w:p>
      <w:pPr>
        <w:tabs>
          <w:tab w:pos="1439" w:val="left" w:leader="none"/>
        </w:tabs>
        <w:spacing w:line="252" w:lineRule="exact" w:before="0"/>
        <w:ind w:left="359" w:right="0" w:firstLine="0"/>
        <w:jc w:val="left"/>
        <w:rPr>
          <w:sz w:val="22"/>
        </w:rPr>
      </w:pPr>
      <w:r>
        <w:rPr>
          <w:spacing w:val="-2"/>
          <w:sz w:val="22"/>
        </w:rPr>
        <w:t>6-14-</w:t>
      </w:r>
      <w:r>
        <w:rPr>
          <w:spacing w:val="-5"/>
          <w:sz w:val="22"/>
        </w:rPr>
        <w:t>99</w:t>
      </w:r>
      <w:r>
        <w:rPr>
          <w:sz w:val="22"/>
        </w:rPr>
        <w:tab/>
        <w:t>POL</w:t>
      </w:r>
      <w:r>
        <w:rPr>
          <w:spacing w:val="-9"/>
          <w:sz w:val="22"/>
        </w:rPr>
        <w:t> </w:t>
      </w:r>
      <w:r>
        <w:rPr>
          <w:sz w:val="22"/>
        </w:rPr>
        <w:t>Memo</w:t>
      </w:r>
      <w:r>
        <w:rPr>
          <w:spacing w:val="-8"/>
          <w:sz w:val="22"/>
        </w:rPr>
        <w:t> </w:t>
      </w:r>
      <w:r>
        <w:rPr>
          <w:sz w:val="22"/>
        </w:rPr>
        <w:t>#99-</w:t>
      </w:r>
      <w:r>
        <w:rPr>
          <w:spacing w:val="-10"/>
          <w:sz w:val="22"/>
        </w:rPr>
        <w:t>7</w:t>
      </w:r>
    </w:p>
    <w:p>
      <w:pPr>
        <w:spacing w:after="0" w:line="252" w:lineRule="exact"/>
        <w:jc w:val="left"/>
        <w:rPr>
          <w:sz w:val="22"/>
        </w:rPr>
        <w:sectPr>
          <w:pgSz w:w="12240" w:h="15840"/>
          <w:pgMar w:top="1340" w:bottom="280" w:left="1080" w:right="720"/>
        </w:sectPr>
      </w:pPr>
    </w:p>
    <w:p>
      <w:pPr>
        <w:spacing w:before="80"/>
        <w:ind w:left="1440" w:right="775" w:firstLine="0"/>
        <w:jc w:val="left"/>
        <w:rPr>
          <w:sz w:val="22"/>
        </w:rPr>
      </w:pPr>
      <w:r>
        <w:rPr>
          <w:sz w:val="22"/>
        </w:rPr>
        <w:t>Emergency,</w:t>
      </w:r>
      <w:r>
        <w:rPr>
          <w:spacing w:val="-4"/>
          <w:sz w:val="22"/>
        </w:rPr>
        <w:t> </w:t>
      </w:r>
      <w:r>
        <w:rPr>
          <w:sz w:val="22"/>
        </w:rPr>
        <w:t>Updated</w:t>
      </w:r>
      <w:r>
        <w:rPr>
          <w:spacing w:val="-4"/>
          <w:sz w:val="22"/>
        </w:rPr>
        <w:t> </w:t>
      </w:r>
      <w:r>
        <w:rPr>
          <w:sz w:val="22"/>
        </w:rPr>
        <w:t>to</w:t>
      </w:r>
      <w:r>
        <w:rPr>
          <w:spacing w:val="-4"/>
          <w:sz w:val="22"/>
        </w:rPr>
        <w:t> </w:t>
      </w:r>
      <w:r>
        <w:rPr>
          <w:sz w:val="22"/>
        </w:rPr>
        <w:t>reflect</w:t>
      </w:r>
      <w:r>
        <w:rPr>
          <w:spacing w:val="-4"/>
          <w:sz w:val="22"/>
        </w:rPr>
        <w:t> </w:t>
      </w:r>
      <w:r>
        <w:rPr>
          <w:sz w:val="22"/>
        </w:rPr>
        <w:t>changes</w:t>
      </w:r>
      <w:r>
        <w:rPr>
          <w:spacing w:val="-4"/>
          <w:sz w:val="22"/>
        </w:rPr>
        <w:t> </w:t>
      </w:r>
      <w:r>
        <w:rPr>
          <w:sz w:val="22"/>
        </w:rPr>
        <w:t>to</w:t>
      </w:r>
      <w:r>
        <w:rPr>
          <w:spacing w:val="-4"/>
          <w:sz w:val="22"/>
        </w:rPr>
        <w:t> </w:t>
      </w:r>
      <w:r>
        <w:rPr>
          <w:sz w:val="22"/>
        </w:rPr>
        <w:t>comparable</w:t>
      </w:r>
      <w:r>
        <w:rPr>
          <w:spacing w:val="-4"/>
          <w:sz w:val="22"/>
        </w:rPr>
        <w:t> </w:t>
      </w:r>
      <w:r>
        <w:rPr>
          <w:sz w:val="22"/>
        </w:rPr>
        <w:t>benefits</w:t>
      </w:r>
      <w:r>
        <w:rPr>
          <w:spacing w:val="-4"/>
          <w:sz w:val="22"/>
        </w:rPr>
        <w:t> </w:t>
      </w:r>
      <w:r>
        <w:rPr>
          <w:sz w:val="22"/>
        </w:rPr>
        <w:t>made</w:t>
      </w:r>
      <w:r>
        <w:rPr>
          <w:spacing w:val="-4"/>
          <w:sz w:val="22"/>
        </w:rPr>
        <w:t> </w:t>
      </w:r>
      <w:r>
        <w:rPr>
          <w:sz w:val="22"/>
        </w:rPr>
        <w:t>in</w:t>
      </w:r>
      <w:r>
        <w:rPr>
          <w:spacing w:val="-5"/>
          <w:sz w:val="22"/>
        </w:rPr>
        <w:t> </w:t>
      </w:r>
      <w:r>
        <w:rPr>
          <w:sz w:val="22"/>
        </w:rPr>
        <w:t>1998 amendments to Rehabilitation Act</w:t>
      </w:r>
    </w:p>
    <w:p>
      <w:pPr>
        <w:pStyle w:val="ListParagraph"/>
        <w:numPr>
          <w:ilvl w:val="2"/>
          <w:numId w:val="91"/>
        </w:numPr>
        <w:tabs>
          <w:tab w:pos="1439" w:val="left" w:leader="none"/>
        </w:tabs>
        <w:spacing w:line="252" w:lineRule="exact" w:before="0" w:after="0"/>
        <w:ind w:left="1439" w:right="0" w:hanging="1079"/>
        <w:jc w:val="left"/>
        <w:rPr>
          <w:sz w:val="22"/>
        </w:rPr>
      </w:pPr>
      <w:r>
        <w:rPr>
          <w:sz w:val="22"/>
        </w:rPr>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360"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12-1-03</w:t>
      </w:r>
      <w:r>
        <w:rPr>
          <w:sz w:val="22"/>
        </w:rPr>
        <w:tab/>
        <w:t>POL Memo 04-02</w:t>
      </w:r>
    </w:p>
    <w:p>
      <w:pPr>
        <w:tabs>
          <w:tab w:pos="1439" w:val="left" w:leader="none"/>
        </w:tabs>
        <w:spacing w:before="0"/>
        <w:ind w:left="360" w:right="5500" w:firstLine="1080"/>
        <w:jc w:val="left"/>
        <w:rPr>
          <w:sz w:val="22"/>
        </w:rPr>
      </w:pPr>
      <w:r>
        <w:rPr>
          <w:sz w:val="22"/>
        </w:rPr>
        <w:t>Permanent,</w:t>
      </w:r>
      <w:r>
        <w:rPr>
          <w:spacing w:val="-7"/>
          <w:sz w:val="22"/>
        </w:rPr>
        <w:t> </w:t>
      </w:r>
      <w:r>
        <w:rPr>
          <w:sz w:val="22"/>
        </w:rPr>
        <w:t>added</w:t>
      </w:r>
      <w:r>
        <w:rPr>
          <w:spacing w:val="-8"/>
          <w:sz w:val="22"/>
        </w:rPr>
        <w:t> </w:t>
      </w:r>
      <w:r>
        <w:rPr>
          <w:sz w:val="22"/>
        </w:rPr>
        <w:t>footnote</w:t>
      </w:r>
      <w:r>
        <w:rPr>
          <w:spacing w:val="-8"/>
          <w:sz w:val="22"/>
        </w:rPr>
        <w:t> </w:t>
      </w:r>
      <w:r>
        <w:rPr>
          <w:sz w:val="22"/>
        </w:rPr>
        <w:t>2</w:t>
      </w:r>
      <w:r>
        <w:rPr>
          <w:spacing w:val="-8"/>
          <w:sz w:val="22"/>
        </w:rPr>
        <w:t> </w:t>
      </w:r>
      <w:r>
        <w:rPr>
          <w:sz w:val="22"/>
        </w:rPr>
        <w:t>to</w:t>
      </w:r>
      <w:r>
        <w:rPr>
          <w:spacing w:val="-8"/>
          <w:sz w:val="22"/>
        </w:rPr>
        <w:t> </w:t>
      </w:r>
      <w:r>
        <w:rPr>
          <w:sz w:val="22"/>
        </w:rPr>
        <w:t>ITS </w:t>
      </w:r>
      <w:r>
        <w:rPr>
          <w:spacing w:val="-2"/>
          <w:sz w:val="22"/>
        </w:rPr>
        <w:t>7-1-11</w:t>
      </w:r>
      <w:r>
        <w:rPr>
          <w:sz w:val="22"/>
        </w:rPr>
        <w:tab/>
        <w:t>PT Memo #12-01</w:t>
      </w:r>
    </w:p>
    <w:p>
      <w:pPr>
        <w:tabs>
          <w:tab w:pos="1439" w:val="left" w:leader="none"/>
        </w:tabs>
        <w:spacing w:before="1"/>
        <w:ind w:left="360" w:right="6135" w:firstLine="1080"/>
        <w:jc w:val="left"/>
        <w:rPr>
          <w:sz w:val="22"/>
        </w:rPr>
      </w:pPr>
      <w:r>
        <w:rPr>
          <w:sz w:val="22"/>
        </w:rPr>
        <w:t>Permanent,</w:t>
      </w:r>
      <w:r>
        <w:rPr>
          <w:spacing w:val="-12"/>
          <w:sz w:val="22"/>
        </w:rPr>
        <w:t> </w:t>
      </w:r>
      <w:r>
        <w:rPr>
          <w:sz w:val="22"/>
        </w:rPr>
        <w:t>updated</w:t>
      </w:r>
      <w:r>
        <w:rPr>
          <w:spacing w:val="-13"/>
          <w:sz w:val="22"/>
        </w:rPr>
        <w:t> </w:t>
      </w:r>
      <w:r>
        <w:rPr>
          <w:sz w:val="22"/>
        </w:rPr>
        <w:t>ITS</w:t>
      </w:r>
      <w:r>
        <w:rPr>
          <w:spacing w:val="-13"/>
          <w:sz w:val="22"/>
        </w:rPr>
        <w:t> </w:t>
      </w:r>
      <w:r>
        <w:rPr>
          <w:sz w:val="22"/>
        </w:rPr>
        <w:t>only </w:t>
      </w:r>
      <w:r>
        <w:rPr>
          <w:spacing w:val="-2"/>
          <w:sz w:val="22"/>
        </w:rPr>
        <w:t>7-1-</w:t>
      </w:r>
      <w:r>
        <w:rPr>
          <w:spacing w:val="-5"/>
          <w:sz w:val="22"/>
        </w:rPr>
        <w:t>12</w:t>
      </w:r>
      <w:r>
        <w:rPr>
          <w:sz w:val="22"/>
        </w:rPr>
        <w:tab/>
        <w:t>Permanent,</w:t>
      </w:r>
      <w:r>
        <w:rPr>
          <w:spacing w:val="-8"/>
          <w:sz w:val="22"/>
        </w:rPr>
        <w:t> </w:t>
      </w:r>
      <w:r>
        <w:rPr>
          <w:sz w:val="22"/>
        </w:rPr>
        <w:t>updated</w:t>
      </w:r>
      <w:r>
        <w:rPr>
          <w:spacing w:val="-8"/>
          <w:sz w:val="22"/>
        </w:rPr>
        <w:t> </w:t>
      </w:r>
      <w:r>
        <w:rPr>
          <w:sz w:val="22"/>
        </w:rPr>
        <w:t>ITS</w:t>
      </w:r>
      <w:r>
        <w:rPr>
          <w:spacing w:val="-8"/>
          <w:sz w:val="22"/>
        </w:rPr>
        <w:t> </w:t>
      </w:r>
      <w:r>
        <w:rPr>
          <w:spacing w:val="-4"/>
          <w:sz w:val="22"/>
        </w:rPr>
        <w:t>only</w:t>
      </w:r>
    </w:p>
    <w:p>
      <w:pPr>
        <w:tabs>
          <w:tab w:pos="1439" w:val="left" w:leader="none"/>
        </w:tabs>
        <w:spacing w:before="0"/>
        <w:ind w:left="1439" w:right="854" w:hanging="1080"/>
        <w:jc w:val="left"/>
        <w:rPr>
          <w:sz w:val="22"/>
        </w:rPr>
      </w:pPr>
      <w:r>
        <w:rPr>
          <w:spacing w:val="-2"/>
          <w:sz w:val="22"/>
        </w:rPr>
        <w:t>8-27-15</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to</w:t>
      </w:r>
      <w:r>
        <w:rPr>
          <w:spacing w:val="-4"/>
          <w:sz w:val="22"/>
        </w:rPr>
        <w:t> </w:t>
      </w:r>
      <w:r>
        <w:rPr>
          <w:sz w:val="22"/>
        </w:rPr>
        <w:t>Vocational</w:t>
      </w:r>
      <w:r>
        <w:rPr>
          <w:spacing w:val="-3"/>
          <w:sz w:val="22"/>
        </w:rPr>
        <w:t> </w:t>
      </w:r>
      <w:r>
        <w:rPr>
          <w:sz w:val="22"/>
        </w:rPr>
        <w:t>Rehabilitation</w:t>
      </w:r>
      <w:r>
        <w:rPr>
          <w:spacing w:val="-4"/>
          <w:sz w:val="22"/>
        </w:rPr>
        <w:t> </w:t>
      </w:r>
      <w:r>
        <w:rPr>
          <w:sz w:val="22"/>
        </w:rPr>
        <w:t>for</w:t>
      </w:r>
      <w:r>
        <w:rPr>
          <w:spacing w:val="-3"/>
          <w:sz w:val="22"/>
        </w:rPr>
        <w:t> </w:t>
      </w:r>
      <w:r>
        <w:rPr>
          <w:sz w:val="22"/>
        </w:rPr>
        <w:t>the</w:t>
      </w:r>
      <w:r>
        <w:rPr>
          <w:spacing w:val="-3"/>
          <w:sz w:val="22"/>
        </w:rPr>
        <w:t> </w:t>
      </w:r>
      <w:r>
        <w:rPr>
          <w:sz w:val="22"/>
        </w:rPr>
        <w:t>Blind</w:t>
      </w:r>
      <w:r>
        <w:rPr>
          <w:spacing w:val="-3"/>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spacing w:before="0"/>
        <w:ind w:left="1439" w:right="775" w:hanging="1080"/>
        <w:jc w:val="left"/>
        <w:rPr>
          <w:sz w:val="22"/>
        </w:rPr>
      </w:pPr>
      <w:r>
        <w:rPr>
          <w:sz w:val="22"/>
        </w:rPr>
        <w:t>11-30-17</w:t>
      </w:r>
      <w:r>
        <w:rPr>
          <w:spacing w:val="80"/>
          <w:w w:val="150"/>
          <w:sz w:val="22"/>
        </w:rPr>
        <w:t> </w:t>
      </w:r>
      <w:r>
        <w:rPr>
          <w:sz w:val="22"/>
        </w:rPr>
        <w:t>Update</w:t>
      </w:r>
      <w:r>
        <w:rPr>
          <w:spacing w:val="-3"/>
          <w:sz w:val="22"/>
        </w:rPr>
        <w:t> </w:t>
      </w:r>
      <w:r>
        <w:rPr>
          <w:sz w:val="22"/>
        </w:rPr>
        <w:t>ITS</w:t>
      </w:r>
      <w:r>
        <w:rPr>
          <w:spacing w:val="-3"/>
          <w:sz w:val="22"/>
        </w:rPr>
        <w:t> </w:t>
      </w:r>
      <w:r>
        <w:rPr>
          <w:sz w:val="22"/>
        </w:rPr>
        <w:t>#1</w:t>
      </w:r>
      <w:r>
        <w:rPr>
          <w:spacing w:val="-3"/>
          <w:sz w:val="22"/>
        </w:rPr>
        <w:t> </w:t>
      </w:r>
      <w:r>
        <w:rPr>
          <w:sz w:val="22"/>
        </w:rPr>
        <w:t>replacing</w:t>
      </w:r>
      <w:r>
        <w:rPr>
          <w:spacing w:val="-4"/>
          <w:sz w:val="22"/>
        </w:rPr>
        <w:t> </w:t>
      </w:r>
      <w:r>
        <w:rPr>
          <w:sz w:val="22"/>
        </w:rPr>
        <w:t>hyperlink</w:t>
      </w:r>
      <w:r>
        <w:rPr>
          <w:spacing w:val="-4"/>
          <w:sz w:val="22"/>
        </w:rPr>
        <w:t> </w:t>
      </w:r>
      <w:r>
        <w:rPr>
          <w:sz w:val="22"/>
        </w:rPr>
        <w:t>34.</w:t>
      </w:r>
      <w:r>
        <w:rPr>
          <w:spacing w:val="-3"/>
          <w:sz w:val="22"/>
        </w:rPr>
        <w:t> </w:t>
      </w:r>
      <w:r>
        <w:rPr>
          <w:sz w:val="22"/>
        </w:rPr>
        <w:t>CFR</w:t>
      </w:r>
      <w:r>
        <w:rPr>
          <w:spacing w:val="-4"/>
          <w:sz w:val="22"/>
        </w:rPr>
        <w:t> </w:t>
      </w:r>
      <w:r>
        <w:rPr>
          <w:sz w:val="22"/>
        </w:rPr>
        <w:t>361.5(b)(10)</w:t>
      </w:r>
      <w:r>
        <w:rPr>
          <w:spacing w:val="-3"/>
          <w:sz w:val="22"/>
        </w:rPr>
        <w:t> </w:t>
      </w:r>
      <w:r>
        <w:rPr>
          <w:sz w:val="22"/>
        </w:rPr>
        <w:t>becoming</w:t>
      </w:r>
      <w:r>
        <w:rPr>
          <w:spacing w:val="-3"/>
          <w:sz w:val="22"/>
        </w:rPr>
        <w:t> </w:t>
      </w:r>
      <w:r>
        <w:rPr>
          <w:sz w:val="22"/>
        </w:rPr>
        <w:t>34.</w:t>
      </w:r>
      <w:r>
        <w:rPr>
          <w:spacing w:val="-3"/>
          <w:sz w:val="22"/>
        </w:rPr>
        <w:t> </w:t>
      </w:r>
      <w:r>
        <w:rPr>
          <w:sz w:val="22"/>
        </w:rPr>
        <w:t>CFR </w:t>
      </w:r>
      <w:r>
        <w:rPr>
          <w:spacing w:val="-2"/>
          <w:sz w:val="22"/>
        </w:rPr>
        <w:t>361.5(c)(8).</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tabs>
          <w:tab w:pos="1439" w:val="left" w:leader="none"/>
        </w:tabs>
        <w:spacing w:before="0"/>
        <w:ind w:left="360" w:right="0" w:firstLine="0"/>
        <w:jc w:val="left"/>
        <w:rPr>
          <w:sz w:val="22"/>
        </w:rPr>
      </w:pPr>
      <w:r>
        <w:rPr>
          <w:spacing w:val="-2"/>
          <w:sz w:val="22"/>
        </w:rPr>
        <w:t>8-26-</w:t>
      </w:r>
      <w:r>
        <w:rPr>
          <w:spacing w:val="-5"/>
          <w:sz w:val="22"/>
        </w:rPr>
        <w:t>21</w:t>
      </w:r>
      <w:r>
        <w:rPr>
          <w:sz w:val="22"/>
        </w:rPr>
        <w:tab/>
        <w:t>Revised</w:t>
      </w:r>
      <w:r>
        <w:rPr>
          <w:spacing w:val="-7"/>
          <w:sz w:val="22"/>
        </w:rPr>
        <w:t> </w:t>
      </w:r>
      <w:r>
        <w:rPr>
          <w:sz w:val="22"/>
        </w:rPr>
        <w:t>to</w:t>
      </w:r>
      <w:r>
        <w:rPr>
          <w:spacing w:val="-6"/>
          <w:sz w:val="22"/>
        </w:rPr>
        <w:t> </w:t>
      </w:r>
      <w:r>
        <w:rPr>
          <w:sz w:val="22"/>
        </w:rPr>
        <w:t>reflect</w:t>
      </w:r>
      <w:r>
        <w:rPr>
          <w:spacing w:val="-6"/>
          <w:sz w:val="22"/>
        </w:rPr>
        <w:t> </w:t>
      </w:r>
      <w:r>
        <w:rPr>
          <w:spacing w:val="-4"/>
          <w:sz w:val="22"/>
        </w:rPr>
        <w:t>WIOA.</w:t>
      </w:r>
    </w:p>
    <w:p>
      <w:pPr>
        <w:pStyle w:val="ListParagraph"/>
        <w:numPr>
          <w:ilvl w:val="2"/>
          <w:numId w:val="92"/>
        </w:numPr>
        <w:tabs>
          <w:tab w:pos="1439" w:val="left" w:leader="none"/>
        </w:tabs>
        <w:spacing w:line="240" w:lineRule="auto" w:before="0" w:after="0"/>
        <w:ind w:left="1439" w:right="0" w:hanging="1079"/>
        <w:jc w:val="left"/>
        <w:rPr>
          <w:sz w:val="24"/>
        </w:rPr>
      </w:pPr>
      <w:r>
        <w:rPr>
          <w:sz w:val="22"/>
        </w:rPr>
        <w:t>Amended,</w:t>
      </w:r>
      <w:r>
        <w:rPr>
          <w:spacing w:val="-4"/>
          <w:sz w:val="22"/>
        </w:rPr>
        <w:t> </w:t>
      </w:r>
      <w:r>
        <w:rPr>
          <w:sz w:val="22"/>
        </w:rPr>
        <w:t>c</w:t>
      </w:r>
      <w:r>
        <w:rPr>
          <w:sz w:val="24"/>
        </w:rPr>
        <w:t>orrection</w:t>
      </w:r>
      <w:r>
        <w:rPr>
          <w:spacing w:val="-3"/>
          <w:sz w:val="24"/>
        </w:rPr>
        <w:t> </w:t>
      </w:r>
      <w:r>
        <w:rPr>
          <w:sz w:val="24"/>
        </w:rPr>
        <w:t>of</w:t>
      </w:r>
      <w:r>
        <w:rPr>
          <w:spacing w:val="-4"/>
          <w:sz w:val="24"/>
        </w:rPr>
        <w:t> </w:t>
      </w:r>
      <w:r>
        <w:rPr>
          <w:sz w:val="24"/>
        </w:rPr>
        <w:t>spelling</w:t>
      </w:r>
      <w:r>
        <w:rPr>
          <w:spacing w:val="-3"/>
          <w:sz w:val="24"/>
        </w:rPr>
        <w:t> </w:t>
      </w:r>
      <w:r>
        <w:rPr>
          <w:sz w:val="24"/>
        </w:rPr>
        <w:t>error,</w:t>
      </w:r>
      <w:r>
        <w:rPr>
          <w:spacing w:val="-5"/>
          <w:sz w:val="24"/>
        </w:rPr>
        <w:t> </w:t>
      </w:r>
      <w:r>
        <w:rPr>
          <w:sz w:val="24"/>
        </w:rPr>
        <w:t>(d)</w:t>
      </w:r>
      <w:r>
        <w:rPr>
          <w:spacing w:val="-2"/>
          <w:sz w:val="24"/>
        </w:rPr>
        <w:t> </w:t>
      </w:r>
      <w:r>
        <w:rPr>
          <w:sz w:val="24"/>
        </w:rPr>
        <w:t>line</w:t>
      </w:r>
      <w:r>
        <w:rPr>
          <w:spacing w:val="-4"/>
          <w:sz w:val="24"/>
        </w:rPr>
        <w:t> </w:t>
      </w:r>
      <w:r>
        <w:rPr>
          <w:sz w:val="24"/>
        </w:rPr>
        <w:t>44</w:t>
      </w:r>
      <w:r>
        <w:rPr>
          <w:spacing w:val="-4"/>
          <w:sz w:val="24"/>
        </w:rPr>
        <w:t> </w:t>
      </w:r>
      <w:r>
        <w:rPr>
          <w:sz w:val="24"/>
        </w:rPr>
        <w:t>and</w:t>
      </w:r>
      <w:r>
        <w:rPr>
          <w:spacing w:val="-3"/>
          <w:sz w:val="24"/>
        </w:rPr>
        <w:t> </w:t>
      </w:r>
      <w:r>
        <w:rPr>
          <w:sz w:val="24"/>
        </w:rPr>
        <w:t>(e)</w:t>
      </w:r>
      <w:r>
        <w:rPr>
          <w:spacing w:val="-2"/>
          <w:sz w:val="24"/>
        </w:rPr>
        <w:t> </w:t>
      </w:r>
      <w:r>
        <w:rPr>
          <w:sz w:val="24"/>
        </w:rPr>
        <w:t>line</w:t>
      </w:r>
      <w:r>
        <w:rPr>
          <w:spacing w:val="-4"/>
          <w:sz w:val="24"/>
        </w:rPr>
        <w:t> </w:t>
      </w:r>
      <w:bookmarkStart w:name="_bookmark6" w:id="107"/>
      <w:bookmarkEnd w:id="107"/>
      <w:r>
        <w:rPr>
          <w:spacing w:val="-5"/>
          <w:sz w:val="24"/>
        </w:rPr>
        <w:t>54.</w:t>
      </w:r>
    </w:p>
    <w:p>
      <w:pPr>
        <w:pStyle w:val="ListParagraph"/>
        <w:spacing w:after="0" w:line="240" w:lineRule="auto"/>
        <w:jc w:val="left"/>
        <w:rPr>
          <w:sz w:val="24"/>
        </w:rPr>
        <w:sectPr>
          <w:pgSz w:w="12240" w:h="15840"/>
          <w:pgMar w:top="1360" w:bottom="280" w:left="1080" w:right="720"/>
        </w:sectPr>
      </w:pPr>
    </w:p>
    <w:p>
      <w:pPr>
        <w:pStyle w:val="Heading2"/>
        <w:spacing w:line="208" w:lineRule="auto" w:before="96"/>
        <w:ind w:right="1036"/>
      </w:pPr>
      <w:bookmarkStart w:name="612:10-3-3.  Participation of individual" w:id="108"/>
      <w:bookmarkEnd w:id="108"/>
      <w:r>
        <w:rPr>
          <w:b w:val="0"/>
        </w:rPr>
      </w:r>
      <w:r>
        <w:rPr/>
        <w:t>612:10-3-3.</w:t>
      </w:r>
      <w:r>
        <w:rPr>
          <w:spacing w:val="40"/>
        </w:rPr>
        <w:t> </w:t>
      </w:r>
      <w:r>
        <w:rPr/>
        <w:t>Participation</w:t>
      </w:r>
      <w:r>
        <w:rPr>
          <w:spacing w:val="-4"/>
        </w:rPr>
        <w:t> </w:t>
      </w:r>
      <w:r>
        <w:rPr/>
        <w:t>of</w:t>
      </w:r>
      <w:r>
        <w:rPr>
          <w:spacing w:val="-5"/>
        </w:rPr>
        <w:t> </w:t>
      </w:r>
      <w:r>
        <w:rPr/>
        <w:t>individuals</w:t>
      </w:r>
      <w:r>
        <w:rPr>
          <w:spacing w:val="-4"/>
        </w:rPr>
        <w:t> </w:t>
      </w:r>
      <w:r>
        <w:rPr/>
        <w:t>in</w:t>
      </w:r>
      <w:r>
        <w:rPr>
          <w:spacing w:val="-5"/>
        </w:rPr>
        <w:t> </w:t>
      </w:r>
      <w:r>
        <w:rPr/>
        <w:t>cost</w:t>
      </w:r>
      <w:r>
        <w:rPr>
          <w:spacing w:val="-3"/>
        </w:rPr>
        <w:t> </w:t>
      </w:r>
      <w:r>
        <w:rPr/>
        <w:t>of</w:t>
      </w:r>
      <w:r>
        <w:rPr>
          <w:spacing w:val="-3"/>
        </w:rPr>
        <w:t> </w:t>
      </w:r>
      <w:r>
        <w:rPr/>
        <w:t>services</w:t>
      </w:r>
      <w:r>
        <w:rPr>
          <w:spacing w:val="-4"/>
        </w:rPr>
        <w:t> </w:t>
      </w:r>
      <w:r>
        <w:rPr/>
        <w:t>based</w:t>
      </w:r>
      <w:r>
        <w:rPr>
          <w:spacing w:val="-4"/>
        </w:rPr>
        <w:t> </w:t>
      </w:r>
      <w:r>
        <w:rPr/>
        <w:t>on</w:t>
      </w:r>
      <w:r>
        <w:rPr>
          <w:spacing w:val="-4"/>
        </w:rPr>
        <w:t> </w:t>
      </w:r>
      <w:r>
        <w:rPr/>
        <w:t>financial </w:t>
      </w:r>
      <w:r>
        <w:rPr>
          <w:spacing w:val="-4"/>
        </w:rPr>
        <w:t>need</w:t>
      </w:r>
    </w:p>
    <w:p>
      <w:pPr>
        <w:pStyle w:val="ListParagraph"/>
        <w:numPr>
          <w:ilvl w:val="0"/>
          <w:numId w:val="93"/>
        </w:numPr>
        <w:tabs>
          <w:tab w:pos="786" w:val="left" w:leader="none"/>
        </w:tabs>
        <w:spacing w:line="208" w:lineRule="auto" w:before="240" w:after="0"/>
        <w:ind w:left="360" w:right="846" w:firstLine="0"/>
        <w:jc w:val="left"/>
        <w:rPr>
          <w:sz w:val="24"/>
        </w:rPr>
      </w:pPr>
      <w:r>
        <w:rPr>
          <w:sz w:val="24"/>
        </w:rPr>
        <w:t>DRS has chosen to consider the financial need of eligible individuals or individuals who</w:t>
      </w:r>
      <w:r>
        <w:rPr>
          <w:spacing w:val="-3"/>
          <w:sz w:val="24"/>
        </w:rPr>
        <w:t> </w:t>
      </w:r>
      <w:r>
        <w:rPr>
          <w:sz w:val="24"/>
        </w:rPr>
        <w:t>are</w:t>
      </w:r>
      <w:r>
        <w:rPr>
          <w:spacing w:val="-3"/>
          <w:sz w:val="24"/>
        </w:rPr>
        <w:t> </w:t>
      </w:r>
      <w:r>
        <w:rPr>
          <w:sz w:val="24"/>
        </w:rPr>
        <w:t>receiving</w:t>
      </w:r>
      <w:r>
        <w:rPr>
          <w:spacing w:val="-3"/>
          <w:sz w:val="24"/>
        </w:rPr>
        <w:t> </w:t>
      </w:r>
      <w:r>
        <w:rPr>
          <w:sz w:val="24"/>
        </w:rPr>
        <w:t>services</w:t>
      </w:r>
      <w:r>
        <w:rPr>
          <w:spacing w:val="-3"/>
          <w:sz w:val="24"/>
        </w:rPr>
        <w:t> </w:t>
      </w:r>
      <w:r>
        <w:rPr>
          <w:sz w:val="24"/>
        </w:rPr>
        <w:t>through</w:t>
      </w:r>
      <w:r>
        <w:rPr>
          <w:spacing w:val="-3"/>
          <w:sz w:val="24"/>
        </w:rPr>
        <w:t> </w:t>
      </w:r>
      <w:r>
        <w:rPr>
          <w:sz w:val="24"/>
        </w:rPr>
        <w:t>the</w:t>
      </w:r>
      <w:r>
        <w:rPr>
          <w:spacing w:val="-3"/>
          <w:sz w:val="24"/>
        </w:rPr>
        <w:t> </w:t>
      </w:r>
      <w:r>
        <w:rPr>
          <w:sz w:val="24"/>
        </w:rPr>
        <w:t>trial</w:t>
      </w:r>
      <w:r>
        <w:rPr>
          <w:spacing w:val="-5"/>
          <w:sz w:val="24"/>
        </w:rPr>
        <w:t> </w:t>
      </w:r>
      <w:r>
        <w:rPr>
          <w:sz w:val="24"/>
        </w:rPr>
        <w:t>work</w:t>
      </w:r>
      <w:r>
        <w:rPr>
          <w:spacing w:val="-3"/>
          <w:sz w:val="24"/>
        </w:rPr>
        <w:t> </w:t>
      </w:r>
      <w:r>
        <w:rPr>
          <w:sz w:val="24"/>
        </w:rPr>
        <w:t>experiences</w:t>
      </w:r>
      <w:r>
        <w:rPr>
          <w:spacing w:val="-3"/>
          <w:sz w:val="24"/>
        </w:rPr>
        <w:t> </w:t>
      </w:r>
      <w:r>
        <w:rPr>
          <w:sz w:val="24"/>
        </w:rPr>
        <w:t>under</w:t>
      </w:r>
      <w:r>
        <w:rPr>
          <w:spacing w:val="-2"/>
          <w:sz w:val="24"/>
        </w:rPr>
        <w:t> </w:t>
      </w:r>
      <w:r>
        <w:rPr>
          <w:sz w:val="24"/>
        </w:rPr>
        <w:t>34</w:t>
      </w:r>
      <w:r>
        <w:rPr>
          <w:spacing w:val="-3"/>
          <w:sz w:val="24"/>
        </w:rPr>
        <w:t> </w:t>
      </w:r>
      <w:r>
        <w:rPr>
          <w:sz w:val="24"/>
        </w:rPr>
        <w:t>CFR</w:t>
      </w:r>
      <w:r>
        <w:rPr>
          <w:spacing w:val="-3"/>
          <w:sz w:val="24"/>
        </w:rPr>
        <w:t> </w:t>
      </w:r>
      <w:r>
        <w:rPr>
          <w:sz w:val="24"/>
        </w:rPr>
        <w:t>361.42</w:t>
      </w:r>
      <w:r>
        <w:rPr>
          <w:spacing w:val="-3"/>
          <w:sz w:val="24"/>
        </w:rPr>
        <w:t> </w:t>
      </w:r>
      <w:r>
        <w:rPr>
          <w:sz w:val="24"/>
        </w:rPr>
        <w:t>(e) for purposes of determining the extent of their participation in the costs of vocational rehabilitation services, other than those services identified in paragraph (c) in this section according to the criteria set forth in 34 CFR 361.54 (b) (1-2).</w:t>
      </w:r>
    </w:p>
    <w:p>
      <w:pPr>
        <w:pStyle w:val="ListParagraph"/>
        <w:numPr>
          <w:ilvl w:val="0"/>
          <w:numId w:val="93"/>
        </w:numPr>
        <w:tabs>
          <w:tab w:pos="785" w:val="left" w:leader="none"/>
        </w:tabs>
        <w:spacing w:line="208" w:lineRule="auto" w:before="239" w:after="0"/>
        <w:ind w:left="359" w:right="753" w:firstLine="0"/>
        <w:jc w:val="left"/>
        <w:rPr>
          <w:sz w:val="24"/>
        </w:rPr>
      </w:pPr>
      <w:r>
        <w:rPr>
          <w:sz w:val="24"/>
        </w:rPr>
        <w:t>DVR and DSBVI requires the client to participate in the cost of some vocational rehabilitation services if the client and/or client's family income exceeds the established basic living requirement for the applicable family size. </w:t>
      </w:r>
      <w:r>
        <w:rPr>
          <w:b/>
          <w:sz w:val="24"/>
        </w:rPr>
        <w:t>1 </w:t>
      </w:r>
      <w:r>
        <w:rPr>
          <w:sz w:val="24"/>
        </w:rPr>
        <w:t>Any client whose available family income exceeds the applicable basic living requirements is required to apply the monthly</w:t>
      </w:r>
      <w:r>
        <w:rPr>
          <w:spacing w:val="-3"/>
          <w:sz w:val="24"/>
        </w:rPr>
        <w:t> </w:t>
      </w:r>
      <w:r>
        <w:rPr>
          <w:sz w:val="24"/>
        </w:rPr>
        <w:t>surplus</w:t>
      </w:r>
      <w:r>
        <w:rPr>
          <w:spacing w:val="-3"/>
          <w:sz w:val="24"/>
        </w:rPr>
        <w:t> </w:t>
      </w:r>
      <w:r>
        <w:rPr>
          <w:sz w:val="24"/>
        </w:rPr>
        <w:t>to</w:t>
      </w:r>
      <w:r>
        <w:rPr>
          <w:spacing w:val="-3"/>
          <w:sz w:val="24"/>
        </w:rPr>
        <w:t> </w:t>
      </w:r>
      <w:r>
        <w:rPr>
          <w:sz w:val="24"/>
        </w:rPr>
        <w:t>the</w:t>
      </w:r>
      <w:r>
        <w:rPr>
          <w:spacing w:val="-4"/>
          <w:sz w:val="24"/>
        </w:rPr>
        <w:t> </w:t>
      </w:r>
      <w:r>
        <w:rPr>
          <w:sz w:val="24"/>
        </w:rPr>
        <w:t>cost</w:t>
      </w:r>
      <w:r>
        <w:rPr>
          <w:spacing w:val="-2"/>
          <w:sz w:val="24"/>
        </w:rPr>
        <w:t> </w:t>
      </w:r>
      <w:r>
        <w:rPr>
          <w:sz w:val="24"/>
        </w:rPr>
        <w:t>of</w:t>
      </w:r>
      <w:r>
        <w:rPr>
          <w:spacing w:val="-4"/>
          <w:sz w:val="24"/>
        </w:rPr>
        <w:t> </w:t>
      </w:r>
      <w:r>
        <w:rPr>
          <w:sz w:val="24"/>
        </w:rPr>
        <w:t>services</w:t>
      </w:r>
      <w:r>
        <w:rPr>
          <w:spacing w:val="-3"/>
          <w:sz w:val="24"/>
        </w:rPr>
        <w:t> </w:t>
      </w:r>
      <w:r>
        <w:rPr>
          <w:sz w:val="24"/>
        </w:rPr>
        <w:t>during</w:t>
      </w:r>
      <w:r>
        <w:rPr>
          <w:spacing w:val="-3"/>
          <w:sz w:val="24"/>
        </w:rPr>
        <w:t> </w:t>
      </w:r>
      <w:r>
        <w:rPr>
          <w:sz w:val="24"/>
        </w:rPr>
        <w:t>each</w:t>
      </w:r>
      <w:r>
        <w:rPr>
          <w:spacing w:val="-3"/>
          <w:sz w:val="24"/>
        </w:rPr>
        <w:t> </w:t>
      </w:r>
      <w:r>
        <w:rPr>
          <w:sz w:val="24"/>
        </w:rPr>
        <w:t>30</w:t>
      </w:r>
      <w:r>
        <w:rPr>
          <w:spacing w:val="-3"/>
          <w:sz w:val="24"/>
        </w:rPr>
        <w:t> </w:t>
      </w:r>
      <w:r>
        <w:rPr>
          <w:sz w:val="24"/>
        </w:rPr>
        <w:t>day</w:t>
      </w:r>
      <w:r>
        <w:rPr>
          <w:spacing w:val="-3"/>
          <w:sz w:val="24"/>
        </w:rPr>
        <w:t> </w:t>
      </w:r>
      <w:r>
        <w:rPr>
          <w:sz w:val="24"/>
        </w:rPr>
        <w:t>period</w:t>
      </w:r>
      <w:r>
        <w:rPr>
          <w:spacing w:val="-2"/>
          <w:sz w:val="24"/>
        </w:rPr>
        <w:t> </w:t>
      </w:r>
      <w:r>
        <w:rPr>
          <w:sz w:val="24"/>
        </w:rPr>
        <w:t>services</w:t>
      </w:r>
      <w:r>
        <w:rPr>
          <w:spacing w:val="-3"/>
          <w:sz w:val="24"/>
        </w:rPr>
        <w:t> </w:t>
      </w:r>
      <w:r>
        <w:rPr>
          <w:sz w:val="24"/>
        </w:rPr>
        <w:t>are</w:t>
      </w:r>
      <w:r>
        <w:rPr>
          <w:spacing w:val="-3"/>
          <w:sz w:val="24"/>
        </w:rPr>
        <w:t> </w:t>
      </w:r>
      <w:r>
        <w:rPr>
          <w:sz w:val="24"/>
        </w:rPr>
        <w:t>provided.</w:t>
      </w:r>
    </w:p>
    <w:p>
      <w:pPr>
        <w:pStyle w:val="ListParagraph"/>
        <w:numPr>
          <w:ilvl w:val="0"/>
          <w:numId w:val="93"/>
        </w:numPr>
        <w:tabs>
          <w:tab w:pos="772" w:val="left" w:leader="none"/>
        </w:tabs>
        <w:spacing w:line="208" w:lineRule="auto" w:before="240" w:after="0"/>
        <w:ind w:left="359" w:right="822" w:firstLine="0"/>
        <w:jc w:val="left"/>
        <w:rPr>
          <w:sz w:val="24"/>
        </w:rPr>
      </w:pPr>
      <w:r>
        <w:rPr>
          <w:sz w:val="24"/>
        </w:rPr>
        <w:t>A basic living requirement has been established for different size family groups. A family member is an individual who is a relative or guardian of an applicant or eligible individual. Basis living requirements are based on 200% of the Federal poverty level adjusted</w:t>
      </w:r>
      <w:r>
        <w:rPr>
          <w:spacing w:val="-4"/>
          <w:sz w:val="24"/>
        </w:rPr>
        <w:t> </w:t>
      </w:r>
      <w:r>
        <w:rPr>
          <w:sz w:val="24"/>
        </w:rPr>
        <w:t>annually</w:t>
      </w:r>
      <w:r>
        <w:rPr>
          <w:spacing w:val="-4"/>
          <w:sz w:val="24"/>
        </w:rPr>
        <w:t> </w:t>
      </w:r>
      <w:r>
        <w:rPr>
          <w:sz w:val="24"/>
        </w:rPr>
        <w:t>for</w:t>
      </w:r>
      <w:r>
        <w:rPr>
          <w:spacing w:val="-4"/>
          <w:sz w:val="24"/>
        </w:rPr>
        <w:t> </w:t>
      </w:r>
      <w:r>
        <w:rPr>
          <w:sz w:val="24"/>
        </w:rPr>
        <w:t>family</w:t>
      </w:r>
      <w:r>
        <w:rPr>
          <w:spacing w:val="-4"/>
          <w:sz w:val="24"/>
        </w:rPr>
        <w:t> </w:t>
      </w:r>
      <w:r>
        <w:rPr>
          <w:sz w:val="24"/>
        </w:rPr>
        <w:t>size.</w:t>
      </w:r>
      <w:r>
        <w:rPr>
          <w:spacing w:val="-3"/>
          <w:sz w:val="24"/>
        </w:rPr>
        <w:t> </w:t>
      </w:r>
      <w:r>
        <w:rPr>
          <w:sz w:val="24"/>
        </w:rPr>
        <w:t>The</w:t>
      </w:r>
      <w:r>
        <w:rPr>
          <w:spacing w:val="-4"/>
          <w:sz w:val="24"/>
        </w:rPr>
        <w:t> </w:t>
      </w:r>
      <w:r>
        <w:rPr>
          <w:sz w:val="24"/>
        </w:rPr>
        <w:t>standard</w:t>
      </w:r>
      <w:r>
        <w:rPr>
          <w:spacing w:val="-4"/>
          <w:sz w:val="24"/>
        </w:rPr>
        <w:t> </w:t>
      </w:r>
      <w:r>
        <w:rPr>
          <w:sz w:val="24"/>
        </w:rPr>
        <w:t>is</w:t>
      </w:r>
      <w:r>
        <w:rPr>
          <w:spacing w:val="-4"/>
          <w:sz w:val="24"/>
        </w:rPr>
        <w:t> </w:t>
      </w:r>
      <w:r>
        <w:rPr>
          <w:sz w:val="24"/>
        </w:rPr>
        <w:t>intended</w:t>
      </w:r>
      <w:r>
        <w:rPr>
          <w:spacing w:val="-4"/>
          <w:sz w:val="24"/>
        </w:rPr>
        <w:t> </w:t>
      </w:r>
      <w:r>
        <w:rPr>
          <w:sz w:val="24"/>
        </w:rPr>
        <w:t>to</w:t>
      </w:r>
      <w:r>
        <w:rPr>
          <w:spacing w:val="-4"/>
          <w:sz w:val="24"/>
        </w:rPr>
        <w:t> </w:t>
      </w:r>
      <w:r>
        <w:rPr>
          <w:sz w:val="24"/>
        </w:rPr>
        <w:t>cover</w:t>
      </w:r>
      <w:r>
        <w:rPr>
          <w:spacing w:val="-3"/>
          <w:sz w:val="24"/>
        </w:rPr>
        <w:t> </w:t>
      </w:r>
      <w:r>
        <w:rPr>
          <w:sz w:val="24"/>
        </w:rPr>
        <w:t>only</w:t>
      </w:r>
      <w:r>
        <w:rPr>
          <w:spacing w:val="-4"/>
          <w:sz w:val="24"/>
        </w:rPr>
        <w:t> </w:t>
      </w:r>
      <w:r>
        <w:rPr>
          <w:sz w:val="24"/>
        </w:rPr>
        <w:t>the</w:t>
      </w:r>
      <w:r>
        <w:rPr>
          <w:spacing w:val="-4"/>
          <w:sz w:val="24"/>
        </w:rPr>
        <w:t> </w:t>
      </w:r>
      <w:r>
        <w:rPr>
          <w:sz w:val="24"/>
        </w:rPr>
        <w:t>necessities of food, shelter, utilities, clothing, transportation, and incidentals to give the counselor some criteria by which to measure the financial need of a client. To qualify as independent from the family group, the client must meet one of the following criteria:</w:t>
      </w:r>
    </w:p>
    <w:p>
      <w:pPr>
        <w:pStyle w:val="ListParagraph"/>
        <w:numPr>
          <w:ilvl w:val="1"/>
          <w:numId w:val="93"/>
        </w:numPr>
        <w:tabs>
          <w:tab w:pos="1235" w:val="left" w:leader="none"/>
        </w:tabs>
        <w:spacing w:line="208" w:lineRule="auto" w:before="239" w:after="0"/>
        <w:ind w:left="809" w:right="1451" w:firstLine="0"/>
        <w:jc w:val="left"/>
        <w:rPr>
          <w:sz w:val="24"/>
        </w:rPr>
      </w:pPr>
      <w:r>
        <w:rPr>
          <w:sz w:val="24"/>
        </w:rPr>
        <w:t>Beneficiary</w:t>
      </w:r>
      <w:r>
        <w:rPr>
          <w:spacing w:val="-4"/>
          <w:sz w:val="24"/>
        </w:rPr>
        <w:t> </w:t>
      </w:r>
      <w:r>
        <w:rPr>
          <w:sz w:val="24"/>
        </w:rPr>
        <w:t>of</w:t>
      </w:r>
      <w:r>
        <w:rPr>
          <w:spacing w:val="-3"/>
          <w:sz w:val="24"/>
        </w:rPr>
        <w:t> </w:t>
      </w:r>
      <w:r>
        <w:rPr>
          <w:sz w:val="24"/>
        </w:rPr>
        <w:t>Titles</w:t>
      </w:r>
      <w:r>
        <w:rPr>
          <w:spacing w:val="-4"/>
          <w:sz w:val="24"/>
        </w:rPr>
        <w:t> </w:t>
      </w:r>
      <w:r>
        <w:rPr>
          <w:sz w:val="24"/>
        </w:rPr>
        <w:t>II</w:t>
      </w:r>
      <w:r>
        <w:rPr>
          <w:spacing w:val="-5"/>
          <w:sz w:val="24"/>
        </w:rPr>
        <w:t> </w:t>
      </w:r>
      <w:r>
        <w:rPr>
          <w:sz w:val="24"/>
        </w:rPr>
        <w:t>(federal</w:t>
      </w:r>
      <w:r>
        <w:rPr>
          <w:spacing w:val="-4"/>
          <w:sz w:val="24"/>
        </w:rPr>
        <w:t> </w:t>
      </w:r>
      <w:r>
        <w:rPr>
          <w:sz w:val="24"/>
        </w:rPr>
        <w:t>old</w:t>
      </w:r>
      <w:r>
        <w:rPr>
          <w:spacing w:val="-4"/>
          <w:sz w:val="24"/>
        </w:rPr>
        <w:t> </w:t>
      </w:r>
      <w:r>
        <w:rPr>
          <w:sz w:val="24"/>
        </w:rPr>
        <w:t>age,</w:t>
      </w:r>
      <w:r>
        <w:rPr>
          <w:spacing w:val="-3"/>
          <w:sz w:val="24"/>
        </w:rPr>
        <w:t> </w:t>
      </w:r>
      <w:r>
        <w:rPr>
          <w:sz w:val="24"/>
        </w:rPr>
        <w:t>survivors,</w:t>
      </w:r>
      <w:r>
        <w:rPr>
          <w:spacing w:val="-3"/>
          <w:sz w:val="24"/>
        </w:rPr>
        <w:t> </w:t>
      </w:r>
      <w:r>
        <w:rPr>
          <w:sz w:val="24"/>
        </w:rPr>
        <w:t>and</w:t>
      </w:r>
      <w:r>
        <w:rPr>
          <w:spacing w:val="-4"/>
          <w:sz w:val="24"/>
        </w:rPr>
        <w:t> </w:t>
      </w:r>
      <w:r>
        <w:rPr>
          <w:sz w:val="24"/>
        </w:rPr>
        <w:t>disability</w:t>
      </w:r>
      <w:r>
        <w:rPr>
          <w:spacing w:val="-4"/>
          <w:sz w:val="24"/>
        </w:rPr>
        <w:t> </w:t>
      </w:r>
      <w:r>
        <w:rPr>
          <w:sz w:val="24"/>
        </w:rPr>
        <w:t>insurance benefits) or XVI (SSI);</w:t>
      </w:r>
    </w:p>
    <w:p>
      <w:pPr>
        <w:pStyle w:val="ListParagraph"/>
        <w:numPr>
          <w:ilvl w:val="1"/>
          <w:numId w:val="93"/>
        </w:numPr>
        <w:tabs>
          <w:tab w:pos="1235" w:val="left" w:leader="none"/>
        </w:tabs>
        <w:spacing w:line="240" w:lineRule="auto" w:before="210" w:after="0"/>
        <w:ind w:left="1235" w:right="0" w:hanging="426"/>
        <w:jc w:val="left"/>
        <w:rPr>
          <w:sz w:val="24"/>
        </w:rPr>
      </w:pPr>
      <w:r>
        <w:rPr>
          <w:sz w:val="24"/>
        </w:rPr>
        <w:t>At</w:t>
      </w:r>
      <w:r>
        <w:rPr>
          <w:spacing w:val="-3"/>
          <w:sz w:val="24"/>
        </w:rPr>
        <w:t> </w:t>
      </w:r>
      <w:r>
        <w:rPr>
          <w:sz w:val="24"/>
        </w:rPr>
        <w:t>least</w:t>
      </w:r>
      <w:r>
        <w:rPr>
          <w:spacing w:val="-1"/>
          <w:sz w:val="24"/>
        </w:rPr>
        <w:t> </w:t>
      </w:r>
      <w:r>
        <w:rPr>
          <w:sz w:val="24"/>
        </w:rPr>
        <w:t>24</w:t>
      </w:r>
      <w:r>
        <w:rPr>
          <w:spacing w:val="-2"/>
          <w:sz w:val="24"/>
        </w:rPr>
        <w:t> </w:t>
      </w:r>
      <w:r>
        <w:rPr>
          <w:sz w:val="24"/>
        </w:rPr>
        <w:t>years</w:t>
      </w:r>
      <w:r>
        <w:rPr>
          <w:spacing w:val="-2"/>
          <w:sz w:val="24"/>
        </w:rPr>
        <w:t> </w:t>
      </w:r>
      <w:r>
        <w:rPr>
          <w:sz w:val="24"/>
        </w:rPr>
        <w:t>of</w:t>
      </w:r>
      <w:r>
        <w:rPr>
          <w:spacing w:val="-1"/>
          <w:sz w:val="24"/>
        </w:rPr>
        <w:t> </w:t>
      </w:r>
      <w:r>
        <w:rPr>
          <w:sz w:val="24"/>
        </w:rPr>
        <w:t>age</w:t>
      </w:r>
      <w:r>
        <w:rPr>
          <w:spacing w:val="-2"/>
          <w:sz w:val="24"/>
        </w:rPr>
        <w:t> </w:t>
      </w:r>
      <w:r>
        <w:rPr>
          <w:sz w:val="24"/>
        </w:rPr>
        <w:t>and</w:t>
      </w:r>
      <w:r>
        <w:rPr>
          <w:spacing w:val="-1"/>
          <w:sz w:val="24"/>
        </w:rPr>
        <w:t> </w:t>
      </w:r>
      <w:r>
        <w:rPr>
          <w:spacing w:val="-2"/>
          <w:sz w:val="24"/>
        </w:rPr>
        <w:t>single;</w:t>
      </w:r>
    </w:p>
    <w:p>
      <w:pPr>
        <w:pStyle w:val="ListParagraph"/>
        <w:numPr>
          <w:ilvl w:val="1"/>
          <w:numId w:val="93"/>
        </w:numPr>
        <w:tabs>
          <w:tab w:pos="1235" w:val="left" w:leader="none"/>
        </w:tabs>
        <w:spacing w:line="240" w:lineRule="auto" w:before="205" w:after="0"/>
        <w:ind w:left="1235" w:right="0" w:hanging="426"/>
        <w:jc w:val="left"/>
        <w:rPr>
          <w:sz w:val="24"/>
        </w:rPr>
      </w:pPr>
      <w:r>
        <w:rPr>
          <w:sz w:val="24"/>
        </w:rPr>
        <w:t>A</w:t>
      </w:r>
      <w:r>
        <w:rPr>
          <w:spacing w:val="-2"/>
          <w:sz w:val="24"/>
        </w:rPr>
        <w:t> </w:t>
      </w:r>
      <w:r>
        <w:rPr>
          <w:sz w:val="24"/>
        </w:rPr>
        <w:t>ward</w:t>
      </w:r>
      <w:r>
        <w:rPr>
          <w:spacing w:val="-2"/>
          <w:sz w:val="24"/>
        </w:rPr>
        <w:t> </w:t>
      </w:r>
      <w:r>
        <w:rPr>
          <w:sz w:val="24"/>
        </w:rPr>
        <w:t>of</w:t>
      </w:r>
      <w:r>
        <w:rPr>
          <w:spacing w:val="-3"/>
          <w:sz w:val="24"/>
        </w:rPr>
        <w:t> </w:t>
      </w:r>
      <w:r>
        <w:rPr>
          <w:sz w:val="24"/>
        </w:rPr>
        <w:t>the</w:t>
      </w:r>
      <w:r>
        <w:rPr>
          <w:spacing w:val="-1"/>
          <w:sz w:val="24"/>
        </w:rPr>
        <w:t> </w:t>
      </w:r>
      <w:r>
        <w:rPr>
          <w:sz w:val="24"/>
        </w:rPr>
        <w:t>court</w:t>
      </w:r>
      <w:r>
        <w:rPr>
          <w:spacing w:val="-1"/>
          <w:sz w:val="24"/>
        </w:rPr>
        <w:t> </w:t>
      </w:r>
      <w:r>
        <w:rPr>
          <w:sz w:val="24"/>
        </w:rPr>
        <w:t>and</w:t>
      </w:r>
      <w:r>
        <w:rPr>
          <w:spacing w:val="-1"/>
          <w:sz w:val="24"/>
        </w:rPr>
        <w:t> </w:t>
      </w:r>
      <w:r>
        <w:rPr>
          <w:sz w:val="24"/>
        </w:rPr>
        <w:t>in</w:t>
      </w:r>
      <w:r>
        <w:rPr>
          <w:spacing w:val="-2"/>
          <w:sz w:val="24"/>
        </w:rPr>
        <w:t> </w:t>
      </w:r>
      <w:r>
        <w:rPr>
          <w:sz w:val="24"/>
        </w:rPr>
        <w:t>custody</w:t>
      </w:r>
      <w:r>
        <w:rPr>
          <w:spacing w:val="-1"/>
          <w:sz w:val="24"/>
        </w:rPr>
        <w:t> </w:t>
      </w:r>
      <w:r>
        <w:rPr>
          <w:sz w:val="24"/>
        </w:rPr>
        <w:t>of </w:t>
      </w:r>
      <w:r>
        <w:rPr>
          <w:spacing w:val="-4"/>
          <w:sz w:val="24"/>
        </w:rPr>
        <w:t>DHS;</w:t>
      </w:r>
    </w:p>
    <w:p>
      <w:pPr>
        <w:pStyle w:val="ListParagraph"/>
        <w:numPr>
          <w:ilvl w:val="1"/>
          <w:numId w:val="93"/>
        </w:numPr>
        <w:tabs>
          <w:tab w:pos="1234" w:val="left" w:leader="none"/>
        </w:tabs>
        <w:spacing w:line="240" w:lineRule="auto" w:before="204" w:after="0"/>
        <w:ind w:left="1234" w:right="0" w:hanging="425"/>
        <w:jc w:val="left"/>
        <w:rPr>
          <w:sz w:val="24"/>
        </w:rPr>
      </w:pPr>
      <w:r>
        <w:rPr>
          <w:sz w:val="24"/>
        </w:rPr>
        <w:t>Married</w:t>
      </w:r>
      <w:r>
        <w:rPr>
          <w:spacing w:val="-4"/>
          <w:sz w:val="24"/>
        </w:rPr>
        <w:t> </w:t>
      </w:r>
      <w:r>
        <w:rPr>
          <w:sz w:val="24"/>
        </w:rPr>
        <w:t>and</w:t>
      </w:r>
      <w:r>
        <w:rPr>
          <w:spacing w:val="-3"/>
          <w:sz w:val="24"/>
        </w:rPr>
        <w:t> </w:t>
      </w:r>
      <w:r>
        <w:rPr>
          <w:sz w:val="24"/>
        </w:rPr>
        <w:t>maintaining</w:t>
      </w:r>
      <w:r>
        <w:rPr>
          <w:spacing w:val="-3"/>
          <w:sz w:val="24"/>
        </w:rPr>
        <w:t> </w:t>
      </w:r>
      <w:r>
        <w:rPr>
          <w:sz w:val="24"/>
        </w:rPr>
        <w:t>a</w:t>
      </w:r>
      <w:r>
        <w:rPr>
          <w:spacing w:val="-3"/>
          <w:sz w:val="24"/>
        </w:rPr>
        <w:t> </w:t>
      </w:r>
      <w:r>
        <w:rPr>
          <w:sz w:val="24"/>
        </w:rPr>
        <w:t>separate</w:t>
      </w:r>
      <w:r>
        <w:rPr>
          <w:spacing w:val="-3"/>
          <w:sz w:val="24"/>
        </w:rPr>
        <w:t> </w:t>
      </w:r>
      <w:r>
        <w:rPr>
          <w:spacing w:val="-2"/>
          <w:sz w:val="24"/>
        </w:rPr>
        <w:t>household;</w:t>
      </w:r>
    </w:p>
    <w:p>
      <w:pPr>
        <w:pStyle w:val="ListParagraph"/>
        <w:numPr>
          <w:ilvl w:val="1"/>
          <w:numId w:val="93"/>
        </w:numPr>
        <w:tabs>
          <w:tab w:pos="1235" w:val="left" w:leader="none"/>
        </w:tabs>
        <w:spacing w:line="240" w:lineRule="auto" w:before="204" w:after="0"/>
        <w:ind w:left="1235" w:right="0" w:hanging="425"/>
        <w:jc w:val="left"/>
        <w:rPr>
          <w:sz w:val="24"/>
        </w:rPr>
      </w:pPr>
      <w:r>
        <w:rPr>
          <w:sz w:val="24"/>
        </w:rPr>
        <w:t>Meets</w:t>
      </w:r>
      <w:r>
        <w:rPr>
          <w:spacing w:val="-6"/>
          <w:sz w:val="24"/>
        </w:rPr>
        <w:t> </w:t>
      </w:r>
      <w:r>
        <w:rPr>
          <w:sz w:val="24"/>
        </w:rPr>
        <w:t>the</w:t>
      </w:r>
      <w:r>
        <w:rPr>
          <w:spacing w:val="-3"/>
          <w:sz w:val="24"/>
        </w:rPr>
        <w:t> </w:t>
      </w:r>
      <w:r>
        <w:rPr>
          <w:sz w:val="24"/>
        </w:rPr>
        <w:t>criteria</w:t>
      </w:r>
      <w:r>
        <w:rPr>
          <w:spacing w:val="-2"/>
          <w:sz w:val="24"/>
        </w:rPr>
        <w:t> </w:t>
      </w:r>
      <w:r>
        <w:rPr>
          <w:sz w:val="24"/>
        </w:rPr>
        <w:t>for</w:t>
      </w:r>
      <w:r>
        <w:rPr>
          <w:spacing w:val="-2"/>
          <w:sz w:val="24"/>
        </w:rPr>
        <w:t> </w:t>
      </w:r>
      <w:r>
        <w:rPr>
          <w:sz w:val="24"/>
        </w:rPr>
        <w:t>temporary</w:t>
      </w:r>
      <w:r>
        <w:rPr>
          <w:spacing w:val="-2"/>
          <w:sz w:val="24"/>
        </w:rPr>
        <w:t> </w:t>
      </w:r>
      <w:r>
        <w:rPr>
          <w:sz w:val="24"/>
        </w:rPr>
        <w:t>housing</w:t>
      </w:r>
      <w:r>
        <w:rPr>
          <w:spacing w:val="-3"/>
          <w:sz w:val="24"/>
        </w:rPr>
        <w:t> </w:t>
      </w:r>
      <w:r>
        <w:rPr>
          <w:sz w:val="24"/>
        </w:rPr>
        <w:t>as</w:t>
      </w:r>
      <w:r>
        <w:rPr>
          <w:spacing w:val="-3"/>
          <w:sz w:val="24"/>
        </w:rPr>
        <w:t> </w:t>
      </w:r>
      <w:r>
        <w:rPr>
          <w:sz w:val="24"/>
        </w:rPr>
        <w:t>described</w:t>
      </w:r>
      <w:r>
        <w:rPr>
          <w:spacing w:val="-2"/>
          <w:sz w:val="24"/>
        </w:rPr>
        <w:t> </w:t>
      </w:r>
      <w:r>
        <w:rPr>
          <w:sz w:val="24"/>
        </w:rPr>
        <w:t>(7)</w:t>
      </w:r>
      <w:r>
        <w:rPr>
          <w:spacing w:val="-2"/>
          <w:sz w:val="24"/>
        </w:rPr>
        <w:t> </w:t>
      </w:r>
      <w:r>
        <w:rPr>
          <w:sz w:val="24"/>
        </w:rPr>
        <w:t>of</w:t>
      </w:r>
      <w:r>
        <w:rPr>
          <w:spacing w:val="-3"/>
          <w:sz w:val="24"/>
        </w:rPr>
        <w:t> </w:t>
      </w:r>
      <w:r>
        <w:rPr>
          <w:sz w:val="24"/>
        </w:rPr>
        <w:t>this</w:t>
      </w:r>
      <w:r>
        <w:rPr>
          <w:spacing w:val="-4"/>
          <w:sz w:val="24"/>
        </w:rPr>
        <w:t> </w:t>
      </w:r>
      <w:r>
        <w:rPr>
          <w:sz w:val="24"/>
        </w:rPr>
        <w:t>section</w:t>
      </w:r>
      <w:r>
        <w:rPr>
          <w:spacing w:val="-2"/>
          <w:sz w:val="24"/>
        </w:rPr>
        <w:t> </w:t>
      </w:r>
      <w:r>
        <w:rPr>
          <w:spacing w:val="-5"/>
          <w:sz w:val="24"/>
        </w:rPr>
        <w:t>or;</w:t>
      </w:r>
    </w:p>
    <w:p>
      <w:pPr>
        <w:pStyle w:val="ListParagraph"/>
        <w:numPr>
          <w:ilvl w:val="1"/>
          <w:numId w:val="93"/>
        </w:numPr>
        <w:tabs>
          <w:tab w:pos="1236" w:val="left" w:leader="none"/>
        </w:tabs>
        <w:spacing w:line="208" w:lineRule="auto" w:before="233" w:after="0"/>
        <w:ind w:left="810" w:right="782" w:firstLine="0"/>
        <w:jc w:val="left"/>
        <w:rPr>
          <w:b/>
          <w:sz w:val="24"/>
        </w:rPr>
      </w:pPr>
      <w:r>
        <w:rPr>
          <w:sz w:val="24"/>
        </w:rPr>
        <w:t>The</w:t>
      </w:r>
      <w:r>
        <w:rPr>
          <w:spacing w:val="-4"/>
          <w:sz w:val="24"/>
        </w:rPr>
        <w:t> </w:t>
      </w:r>
      <w:r>
        <w:rPr>
          <w:sz w:val="24"/>
        </w:rPr>
        <w:t>counselor</w:t>
      </w:r>
      <w:r>
        <w:rPr>
          <w:spacing w:val="-3"/>
          <w:sz w:val="24"/>
        </w:rPr>
        <w:t> </w:t>
      </w:r>
      <w:r>
        <w:rPr>
          <w:sz w:val="24"/>
        </w:rPr>
        <w:t>has</w:t>
      </w:r>
      <w:r>
        <w:rPr>
          <w:spacing w:val="-4"/>
          <w:sz w:val="24"/>
        </w:rPr>
        <w:t> </w:t>
      </w:r>
      <w:r>
        <w:rPr>
          <w:sz w:val="24"/>
        </w:rPr>
        <w:t>adequate</w:t>
      </w:r>
      <w:r>
        <w:rPr>
          <w:spacing w:val="-3"/>
          <w:sz w:val="24"/>
        </w:rPr>
        <w:t> </w:t>
      </w:r>
      <w:r>
        <w:rPr>
          <w:sz w:val="24"/>
        </w:rPr>
        <w:t>documentation</w:t>
      </w:r>
      <w:r>
        <w:rPr>
          <w:spacing w:val="-4"/>
          <w:sz w:val="24"/>
        </w:rPr>
        <w:t> </w:t>
      </w:r>
      <w:r>
        <w:rPr>
          <w:sz w:val="24"/>
        </w:rPr>
        <w:t>to</w:t>
      </w:r>
      <w:r>
        <w:rPr>
          <w:spacing w:val="-4"/>
          <w:sz w:val="24"/>
        </w:rPr>
        <w:t> </w:t>
      </w:r>
      <w:r>
        <w:rPr>
          <w:sz w:val="24"/>
        </w:rPr>
        <w:t>verify</w:t>
      </w:r>
      <w:r>
        <w:rPr>
          <w:spacing w:val="-4"/>
          <w:sz w:val="24"/>
        </w:rPr>
        <w:t> </w:t>
      </w:r>
      <w:r>
        <w:rPr>
          <w:sz w:val="24"/>
        </w:rPr>
        <w:t>the</w:t>
      </w:r>
      <w:r>
        <w:rPr>
          <w:spacing w:val="-4"/>
          <w:sz w:val="24"/>
        </w:rPr>
        <w:t> </w:t>
      </w:r>
      <w:r>
        <w:rPr>
          <w:sz w:val="24"/>
        </w:rPr>
        <w:t>client</w:t>
      </w:r>
      <w:r>
        <w:rPr>
          <w:spacing w:val="-3"/>
          <w:sz w:val="24"/>
        </w:rPr>
        <w:t> </w:t>
      </w:r>
      <w:r>
        <w:rPr>
          <w:sz w:val="24"/>
        </w:rPr>
        <w:t>has</w:t>
      </w:r>
      <w:r>
        <w:rPr>
          <w:spacing w:val="-4"/>
          <w:sz w:val="24"/>
        </w:rPr>
        <w:t> </w:t>
      </w:r>
      <w:r>
        <w:rPr>
          <w:sz w:val="24"/>
        </w:rPr>
        <w:t>the</w:t>
      </w:r>
      <w:r>
        <w:rPr>
          <w:spacing w:val="-5"/>
          <w:sz w:val="24"/>
        </w:rPr>
        <w:t> </w:t>
      </w:r>
      <w:r>
        <w:rPr>
          <w:sz w:val="24"/>
        </w:rPr>
        <w:t>financial resources to demonstrate self-sufficiency and that no family contributions are available. </w:t>
      </w:r>
      <w:r>
        <w:rPr>
          <w:b/>
          <w:sz w:val="24"/>
        </w:rPr>
        <w:t>4</w:t>
      </w:r>
    </w:p>
    <w:p>
      <w:pPr>
        <w:pStyle w:val="ListParagraph"/>
        <w:numPr>
          <w:ilvl w:val="1"/>
          <w:numId w:val="93"/>
        </w:numPr>
        <w:tabs>
          <w:tab w:pos="1236" w:val="left" w:leader="none"/>
        </w:tabs>
        <w:spacing w:line="208" w:lineRule="auto" w:before="240" w:after="0"/>
        <w:ind w:left="810" w:right="765" w:firstLine="0"/>
        <w:jc w:val="both"/>
        <w:rPr>
          <w:sz w:val="24"/>
        </w:rPr>
      </w:pPr>
      <w:r>
        <w:rPr>
          <w:sz w:val="24"/>
        </w:rPr>
        <w:t>An</w:t>
      </w:r>
      <w:r>
        <w:rPr>
          <w:spacing w:val="-3"/>
          <w:sz w:val="24"/>
        </w:rPr>
        <w:t> </w:t>
      </w:r>
      <w:r>
        <w:rPr>
          <w:sz w:val="24"/>
        </w:rPr>
        <w:t>eligible</w:t>
      </w:r>
      <w:r>
        <w:rPr>
          <w:spacing w:val="-3"/>
          <w:sz w:val="24"/>
        </w:rPr>
        <w:t> </w:t>
      </w:r>
      <w:r>
        <w:rPr>
          <w:sz w:val="24"/>
        </w:rPr>
        <w:t>individual</w:t>
      </w:r>
      <w:r>
        <w:rPr>
          <w:spacing w:val="-3"/>
          <w:sz w:val="24"/>
        </w:rPr>
        <w:t> </w:t>
      </w:r>
      <w:r>
        <w:rPr>
          <w:sz w:val="24"/>
        </w:rPr>
        <w:t>whose</w:t>
      </w:r>
      <w:r>
        <w:rPr>
          <w:spacing w:val="-3"/>
          <w:sz w:val="24"/>
        </w:rPr>
        <w:t> </w:t>
      </w:r>
      <w:r>
        <w:rPr>
          <w:sz w:val="24"/>
        </w:rPr>
        <w:t>disability</w:t>
      </w:r>
      <w:r>
        <w:rPr>
          <w:spacing w:val="-3"/>
          <w:sz w:val="24"/>
        </w:rPr>
        <w:t> </w:t>
      </w:r>
      <w:r>
        <w:rPr>
          <w:sz w:val="24"/>
        </w:rPr>
        <w:t>has</w:t>
      </w:r>
      <w:r>
        <w:rPr>
          <w:spacing w:val="-3"/>
          <w:sz w:val="24"/>
        </w:rPr>
        <w:t> </w:t>
      </w:r>
      <w:r>
        <w:rPr>
          <w:sz w:val="24"/>
        </w:rPr>
        <w:t>resulted</w:t>
      </w:r>
      <w:r>
        <w:rPr>
          <w:spacing w:val="-3"/>
          <w:sz w:val="24"/>
        </w:rPr>
        <w:t> </w:t>
      </w:r>
      <w:r>
        <w:rPr>
          <w:sz w:val="24"/>
        </w:rPr>
        <w:t>in</w:t>
      </w:r>
      <w:r>
        <w:rPr>
          <w:spacing w:val="-3"/>
          <w:sz w:val="24"/>
        </w:rPr>
        <w:t> </w:t>
      </w:r>
      <w:r>
        <w:rPr>
          <w:sz w:val="24"/>
        </w:rPr>
        <w:t>the</w:t>
      </w:r>
      <w:r>
        <w:rPr>
          <w:spacing w:val="-3"/>
          <w:sz w:val="24"/>
        </w:rPr>
        <w:t> </w:t>
      </w:r>
      <w:r>
        <w:rPr>
          <w:sz w:val="24"/>
        </w:rPr>
        <w:t>need</w:t>
      </w:r>
      <w:r>
        <w:rPr>
          <w:spacing w:val="-3"/>
          <w:sz w:val="24"/>
        </w:rPr>
        <w:t> </w:t>
      </w:r>
      <w:r>
        <w:rPr>
          <w:sz w:val="24"/>
        </w:rPr>
        <w:t>to</w:t>
      </w:r>
      <w:r>
        <w:rPr>
          <w:spacing w:val="-3"/>
          <w:sz w:val="24"/>
        </w:rPr>
        <w:t> </w:t>
      </w:r>
      <w:r>
        <w:rPr>
          <w:sz w:val="24"/>
        </w:rPr>
        <w:t>live</w:t>
      </w:r>
      <w:r>
        <w:rPr>
          <w:spacing w:val="-3"/>
          <w:sz w:val="24"/>
        </w:rPr>
        <w:t> </w:t>
      </w:r>
      <w:r>
        <w:rPr>
          <w:sz w:val="24"/>
        </w:rPr>
        <w:t>with</w:t>
      </w:r>
      <w:r>
        <w:rPr>
          <w:spacing w:val="-3"/>
          <w:sz w:val="24"/>
        </w:rPr>
        <w:t> </w:t>
      </w:r>
      <w:r>
        <w:rPr>
          <w:sz w:val="24"/>
        </w:rPr>
        <w:t>family or</w:t>
      </w:r>
      <w:r>
        <w:rPr>
          <w:spacing w:val="-3"/>
          <w:sz w:val="24"/>
        </w:rPr>
        <w:t> </w:t>
      </w:r>
      <w:r>
        <w:rPr>
          <w:sz w:val="24"/>
        </w:rPr>
        <w:t>friend,</w:t>
      </w:r>
      <w:r>
        <w:rPr>
          <w:spacing w:val="-3"/>
          <w:sz w:val="24"/>
        </w:rPr>
        <w:t> </w:t>
      </w:r>
      <w:r>
        <w:rPr>
          <w:sz w:val="24"/>
        </w:rPr>
        <w:t>and</w:t>
      </w:r>
      <w:r>
        <w:rPr>
          <w:spacing w:val="-4"/>
          <w:sz w:val="24"/>
        </w:rPr>
        <w:t> </w:t>
      </w:r>
      <w:r>
        <w:rPr>
          <w:sz w:val="24"/>
        </w:rPr>
        <w:t>as</w:t>
      </w:r>
      <w:r>
        <w:rPr>
          <w:spacing w:val="-4"/>
          <w:sz w:val="24"/>
        </w:rPr>
        <w:t> </w:t>
      </w:r>
      <w:r>
        <w:rPr>
          <w:sz w:val="24"/>
        </w:rPr>
        <w:t>appropriate</w:t>
      </w:r>
      <w:r>
        <w:rPr>
          <w:spacing w:val="-4"/>
          <w:sz w:val="24"/>
        </w:rPr>
        <w:t> </w:t>
      </w:r>
      <w:r>
        <w:rPr>
          <w:sz w:val="24"/>
        </w:rPr>
        <w:t>the</w:t>
      </w:r>
      <w:r>
        <w:rPr>
          <w:spacing w:val="-4"/>
          <w:sz w:val="24"/>
        </w:rPr>
        <w:t> </w:t>
      </w:r>
      <w:r>
        <w:rPr>
          <w:sz w:val="24"/>
        </w:rPr>
        <w:t>individual's</w:t>
      </w:r>
      <w:r>
        <w:rPr>
          <w:spacing w:val="-3"/>
          <w:sz w:val="24"/>
        </w:rPr>
        <w:t> </w:t>
      </w:r>
      <w:r>
        <w:rPr>
          <w:sz w:val="24"/>
        </w:rPr>
        <w:t>spouse</w:t>
      </w:r>
      <w:r>
        <w:rPr>
          <w:spacing w:val="-4"/>
          <w:sz w:val="24"/>
        </w:rPr>
        <w:t> </w:t>
      </w:r>
      <w:r>
        <w:rPr>
          <w:sz w:val="24"/>
        </w:rPr>
        <w:t>and</w:t>
      </w:r>
      <w:r>
        <w:rPr>
          <w:spacing w:val="-4"/>
          <w:sz w:val="24"/>
        </w:rPr>
        <w:t> </w:t>
      </w:r>
      <w:r>
        <w:rPr>
          <w:sz w:val="24"/>
        </w:rPr>
        <w:t>dependent</w:t>
      </w:r>
      <w:r>
        <w:rPr>
          <w:spacing w:val="-3"/>
          <w:sz w:val="24"/>
        </w:rPr>
        <w:t> </w:t>
      </w:r>
      <w:r>
        <w:rPr>
          <w:sz w:val="24"/>
        </w:rPr>
        <w:t>children,</w:t>
      </w:r>
      <w:r>
        <w:rPr>
          <w:spacing w:val="-3"/>
          <w:sz w:val="24"/>
        </w:rPr>
        <w:t> </w:t>
      </w:r>
      <w:r>
        <w:rPr>
          <w:sz w:val="24"/>
        </w:rPr>
        <w:t>will</w:t>
      </w:r>
      <w:r>
        <w:rPr>
          <w:spacing w:val="-4"/>
          <w:sz w:val="24"/>
        </w:rPr>
        <w:t> </w:t>
      </w:r>
      <w:r>
        <w:rPr>
          <w:sz w:val="24"/>
        </w:rPr>
        <w:t>be considered as a separate household regardless of living arrangements.</w:t>
      </w:r>
    </w:p>
    <w:p>
      <w:pPr>
        <w:pStyle w:val="ListParagraph"/>
        <w:numPr>
          <w:ilvl w:val="2"/>
          <w:numId w:val="93"/>
        </w:numPr>
        <w:tabs>
          <w:tab w:pos="1713" w:val="left" w:leader="none"/>
        </w:tabs>
        <w:spacing w:line="208" w:lineRule="auto" w:before="239" w:after="0"/>
        <w:ind w:left="1260" w:right="801" w:firstLine="0"/>
        <w:jc w:val="left"/>
        <w:rPr>
          <w:sz w:val="24"/>
        </w:rPr>
      </w:pPr>
      <w:r>
        <w:rPr>
          <w:sz w:val="24"/>
        </w:rPr>
        <w:t>Verification of family membership should be based upon whatever available</w:t>
      </w:r>
      <w:r>
        <w:rPr>
          <w:spacing w:val="-6"/>
          <w:sz w:val="24"/>
        </w:rPr>
        <w:t> </w:t>
      </w:r>
      <w:r>
        <w:rPr>
          <w:sz w:val="24"/>
        </w:rPr>
        <w:t>information</w:t>
      </w:r>
      <w:r>
        <w:rPr>
          <w:spacing w:val="-7"/>
          <w:sz w:val="24"/>
        </w:rPr>
        <w:t> </w:t>
      </w:r>
      <w:r>
        <w:rPr>
          <w:sz w:val="24"/>
        </w:rPr>
        <w:t>most</w:t>
      </w:r>
      <w:r>
        <w:rPr>
          <w:spacing w:val="-5"/>
          <w:sz w:val="24"/>
        </w:rPr>
        <w:t> </w:t>
      </w:r>
      <w:r>
        <w:rPr>
          <w:sz w:val="24"/>
        </w:rPr>
        <w:t>accurately</w:t>
      </w:r>
      <w:r>
        <w:rPr>
          <w:spacing w:val="-6"/>
          <w:sz w:val="24"/>
        </w:rPr>
        <w:t> </w:t>
      </w:r>
      <w:r>
        <w:rPr>
          <w:sz w:val="24"/>
        </w:rPr>
        <w:t>documents</w:t>
      </w:r>
      <w:r>
        <w:rPr>
          <w:spacing w:val="-6"/>
          <w:sz w:val="24"/>
        </w:rPr>
        <w:t> </w:t>
      </w:r>
      <w:r>
        <w:rPr>
          <w:sz w:val="24"/>
        </w:rPr>
        <w:t>family</w:t>
      </w:r>
      <w:r>
        <w:rPr>
          <w:spacing w:val="-6"/>
          <w:sz w:val="24"/>
        </w:rPr>
        <w:t> </w:t>
      </w:r>
      <w:r>
        <w:rPr>
          <w:sz w:val="24"/>
        </w:rPr>
        <w:t>membership</w:t>
      </w:r>
      <w:r>
        <w:rPr>
          <w:spacing w:val="-6"/>
          <w:sz w:val="24"/>
        </w:rPr>
        <w:t> </w:t>
      </w:r>
      <w:r>
        <w:rPr>
          <w:sz w:val="24"/>
        </w:rPr>
        <w:t>according to the definition given in this administrative rule.</w:t>
      </w:r>
    </w:p>
    <w:p>
      <w:pPr>
        <w:pStyle w:val="ListParagraph"/>
        <w:numPr>
          <w:ilvl w:val="2"/>
          <w:numId w:val="93"/>
        </w:numPr>
        <w:tabs>
          <w:tab w:pos="1713" w:val="left" w:leader="none"/>
        </w:tabs>
        <w:spacing w:line="208" w:lineRule="auto" w:before="240" w:after="0"/>
        <w:ind w:left="1260" w:right="986" w:firstLine="0"/>
        <w:jc w:val="left"/>
        <w:rPr>
          <w:b/>
          <w:sz w:val="24"/>
        </w:rPr>
      </w:pPr>
      <w:r>
        <w:rPr>
          <w:sz w:val="24"/>
        </w:rPr>
        <w:t>Examples</w:t>
      </w:r>
      <w:r>
        <w:rPr>
          <w:spacing w:val="-5"/>
          <w:sz w:val="24"/>
        </w:rPr>
        <w:t> </w:t>
      </w:r>
      <w:r>
        <w:rPr>
          <w:sz w:val="24"/>
        </w:rPr>
        <w:t>of</w:t>
      </w:r>
      <w:r>
        <w:rPr>
          <w:spacing w:val="-4"/>
          <w:sz w:val="24"/>
        </w:rPr>
        <w:t> </w:t>
      </w:r>
      <w:r>
        <w:rPr>
          <w:sz w:val="24"/>
        </w:rPr>
        <w:t>acceptable</w:t>
      </w:r>
      <w:r>
        <w:rPr>
          <w:spacing w:val="-5"/>
          <w:sz w:val="24"/>
        </w:rPr>
        <w:t> </w:t>
      </w:r>
      <w:r>
        <w:rPr>
          <w:sz w:val="24"/>
        </w:rPr>
        <w:t>verification</w:t>
      </w:r>
      <w:r>
        <w:rPr>
          <w:spacing w:val="-5"/>
          <w:sz w:val="24"/>
        </w:rPr>
        <w:t> </w:t>
      </w:r>
      <w:r>
        <w:rPr>
          <w:sz w:val="24"/>
        </w:rPr>
        <w:t>include</w:t>
      </w:r>
      <w:r>
        <w:rPr>
          <w:spacing w:val="-5"/>
          <w:sz w:val="24"/>
        </w:rPr>
        <w:t> </w:t>
      </w:r>
      <w:r>
        <w:rPr>
          <w:sz w:val="24"/>
        </w:rPr>
        <w:t>the</w:t>
      </w:r>
      <w:r>
        <w:rPr>
          <w:spacing w:val="-5"/>
          <w:sz w:val="24"/>
        </w:rPr>
        <w:t> </w:t>
      </w:r>
      <w:r>
        <w:rPr>
          <w:sz w:val="24"/>
        </w:rPr>
        <w:t>latest</w:t>
      </w:r>
      <w:r>
        <w:rPr>
          <w:spacing w:val="-4"/>
          <w:sz w:val="24"/>
        </w:rPr>
        <w:t> </w:t>
      </w:r>
      <w:r>
        <w:rPr>
          <w:sz w:val="24"/>
        </w:rPr>
        <w:t>Federal</w:t>
      </w:r>
      <w:r>
        <w:rPr>
          <w:spacing w:val="-5"/>
          <w:sz w:val="24"/>
        </w:rPr>
        <w:t> </w:t>
      </w:r>
      <w:r>
        <w:rPr>
          <w:sz w:val="24"/>
        </w:rPr>
        <w:t>income</w:t>
      </w:r>
      <w:r>
        <w:rPr>
          <w:spacing w:val="-5"/>
          <w:sz w:val="24"/>
        </w:rPr>
        <w:t> </w:t>
      </w:r>
      <w:r>
        <w:rPr>
          <w:sz w:val="24"/>
        </w:rPr>
        <w:t>tax return, payroll information, insurance policies, client report, and/or counselor observation. </w:t>
      </w:r>
      <w:r>
        <w:rPr>
          <w:b/>
          <w:sz w:val="24"/>
        </w:rPr>
        <w:t>4</w:t>
      </w:r>
    </w:p>
    <w:p>
      <w:pPr>
        <w:pStyle w:val="ListParagraph"/>
        <w:numPr>
          <w:ilvl w:val="0"/>
          <w:numId w:val="93"/>
        </w:numPr>
        <w:tabs>
          <w:tab w:pos="786" w:val="left" w:leader="none"/>
        </w:tabs>
        <w:spacing w:line="208" w:lineRule="auto" w:before="240" w:after="0"/>
        <w:ind w:left="360" w:right="1299" w:firstLine="0"/>
        <w:jc w:val="left"/>
        <w:rPr>
          <w:sz w:val="24"/>
        </w:rPr>
      </w:pPr>
      <w:r>
        <w:rPr>
          <w:sz w:val="24"/>
        </w:rPr>
        <w:t>The</w:t>
      </w:r>
      <w:r>
        <w:rPr>
          <w:spacing w:val="-4"/>
          <w:sz w:val="24"/>
        </w:rPr>
        <w:t> </w:t>
      </w:r>
      <w:r>
        <w:rPr>
          <w:sz w:val="24"/>
        </w:rPr>
        <w:t>client</w:t>
      </w:r>
      <w:r>
        <w:rPr>
          <w:spacing w:val="-3"/>
          <w:sz w:val="24"/>
        </w:rPr>
        <w:t> </w:t>
      </w:r>
      <w:r>
        <w:rPr>
          <w:sz w:val="24"/>
        </w:rPr>
        <w:t>can</w:t>
      </w:r>
      <w:r>
        <w:rPr>
          <w:spacing w:val="-4"/>
          <w:sz w:val="24"/>
        </w:rPr>
        <w:t> </w:t>
      </w:r>
      <w:r>
        <w:rPr>
          <w:sz w:val="24"/>
        </w:rPr>
        <w:t>be</w:t>
      </w:r>
      <w:r>
        <w:rPr>
          <w:spacing w:val="-4"/>
          <w:sz w:val="24"/>
        </w:rPr>
        <w:t> </w:t>
      </w:r>
      <w:r>
        <w:rPr>
          <w:sz w:val="24"/>
        </w:rPr>
        <w:t>provided</w:t>
      </w:r>
      <w:r>
        <w:rPr>
          <w:spacing w:val="-4"/>
          <w:sz w:val="24"/>
        </w:rPr>
        <w:t> </w:t>
      </w:r>
      <w:r>
        <w:rPr>
          <w:sz w:val="24"/>
        </w:rPr>
        <w:t>services</w:t>
      </w:r>
      <w:r>
        <w:rPr>
          <w:spacing w:val="-4"/>
          <w:sz w:val="24"/>
        </w:rPr>
        <w:t> </w:t>
      </w:r>
      <w:r>
        <w:rPr>
          <w:sz w:val="24"/>
        </w:rPr>
        <w:t>not</w:t>
      </w:r>
      <w:r>
        <w:rPr>
          <w:spacing w:val="-3"/>
          <w:sz w:val="24"/>
        </w:rPr>
        <w:t> </w:t>
      </w:r>
      <w:r>
        <w:rPr>
          <w:sz w:val="24"/>
        </w:rPr>
        <w:t>based</w:t>
      </w:r>
      <w:r>
        <w:rPr>
          <w:spacing w:val="-4"/>
          <w:sz w:val="24"/>
        </w:rPr>
        <w:t> </w:t>
      </w:r>
      <w:r>
        <w:rPr>
          <w:sz w:val="24"/>
        </w:rPr>
        <w:t>on</w:t>
      </w:r>
      <w:r>
        <w:rPr>
          <w:spacing w:val="-4"/>
          <w:sz w:val="24"/>
        </w:rPr>
        <w:t> </w:t>
      </w:r>
      <w:r>
        <w:rPr>
          <w:sz w:val="24"/>
        </w:rPr>
        <w:t>financial</w:t>
      </w:r>
      <w:r>
        <w:rPr>
          <w:spacing w:val="-4"/>
          <w:sz w:val="24"/>
        </w:rPr>
        <w:t> </w:t>
      </w:r>
      <w:r>
        <w:rPr>
          <w:sz w:val="24"/>
        </w:rPr>
        <w:t>needs,</w:t>
      </w:r>
      <w:r>
        <w:rPr>
          <w:spacing w:val="-3"/>
          <w:sz w:val="24"/>
        </w:rPr>
        <w:t> </w:t>
      </w:r>
      <w:r>
        <w:rPr>
          <w:sz w:val="24"/>
        </w:rPr>
        <w:t>the</w:t>
      </w:r>
      <w:r>
        <w:rPr>
          <w:spacing w:val="-5"/>
          <w:sz w:val="24"/>
        </w:rPr>
        <w:t> </w:t>
      </w:r>
      <w:r>
        <w:rPr>
          <w:sz w:val="24"/>
        </w:rPr>
        <w:t>following services do not require a determination of financial need status:</w:t>
      </w:r>
    </w:p>
    <w:p>
      <w:pPr>
        <w:pStyle w:val="ListParagraph"/>
        <w:spacing w:after="0" w:line="208" w:lineRule="auto"/>
        <w:jc w:val="left"/>
        <w:rPr>
          <w:sz w:val="24"/>
        </w:rPr>
        <w:sectPr>
          <w:pgSz w:w="12240" w:h="15840"/>
          <w:pgMar w:top="1340" w:bottom="280" w:left="1080" w:right="720"/>
        </w:sectPr>
      </w:pPr>
    </w:p>
    <w:p>
      <w:pPr>
        <w:pStyle w:val="ListParagraph"/>
        <w:numPr>
          <w:ilvl w:val="1"/>
          <w:numId w:val="93"/>
        </w:numPr>
        <w:tabs>
          <w:tab w:pos="1236" w:val="left" w:leader="none"/>
        </w:tabs>
        <w:spacing w:line="208" w:lineRule="auto" w:before="96" w:after="0"/>
        <w:ind w:left="810" w:right="843" w:firstLine="0"/>
        <w:jc w:val="left"/>
        <w:rPr>
          <w:sz w:val="24"/>
        </w:rPr>
      </w:pPr>
      <w:r>
        <w:rPr>
          <w:sz w:val="24"/>
        </w:rPr>
        <w:t>services provided to assess eligibility and priority for services (services which would</w:t>
      </w:r>
      <w:r>
        <w:rPr>
          <w:spacing w:val="-3"/>
          <w:sz w:val="24"/>
        </w:rPr>
        <w:t> </w:t>
      </w:r>
      <w:r>
        <w:rPr>
          <w:sz w:val="24"/>
        </w:rPr>
        <w:t>require</w:t>
      </w:r>
      <w:r>
        <w:rPr>
          <w:spacing w:val="-3"/>
          <w:sz w:val="24"/>
        </w:rPr>
        <w:t> </w:t>
      </w:r>
      <w:r>
        <w:rPr>
          <w:sz w:val="24"/>
        </w:rPr>
        <w:t>the</w:t>
      </w:r>
      <w:r>
        <w:rPr>
          <w:spacing w:val="-3"/>
          <w:sz w:val="24"/>
        </w:rPr>
        <w:t> </w:t>
      </w:r>
      <w:r>
        <w:rPr>
          <w:sz w:val="24"/>
        </w:rPr>
        <w:t>individual's</w:t>
      </w:r>
      <w:r>
        <w:rPr>
          <w:spacing w:val="-3"/>
          <w:sz w:val="24"/>
        </w:rPr>
        <w:t> </w:t>
      </w:r>
      <w:r>
        <w:rPr>
          <w:sz w:val="24"/>
        </w:rPr>
        <w:t>participation</w:t>
      </w:r>
      <w:r>
        <w:rPr>
          <w:spacing w:val="-3"/>
          <w:sz w:val="24"/>
        </w:rPr>
        <w:t> </w:t>
      </w:r>
      <w:r>
        <w:rPr>
          <w:sz w:val="24"/>
        </w:rPr>
        <w:t>in</w:t>
      </w:r>
      <w:r>
        <w:rPr>
          <w:spacing w:val="-3"/>
          <w:sz w:val="24"/>
        </w:rPr>
        <w:t> </w:t>
      </w:r>
      <w:r>
        <w:rPr>
          <w:sz w:val="24"/>
        </w:rPr>
        <w:t>cost</w:t>
      </w:r>
      <w:r>
        <w:rPr>
          <w:spacing w:val="-2"/>
          <w:sz w:val="24"/>
        </w:rPr>
        <w:t> </w:t>
      </w:r>
      <w:r>
        <w:rPr>
          <w:sz w:val="24"/>
        </w:rPr>
        <w:t>under</w:t>
      </w:r>
      <w:r>
        <w:rPr>
          <w:spacing w:val="-4"/>
          <w:sz w:val="24"/>
        </w:rPr>
        <w:t> </w:t>
      </w:r>
      <w:r>
        <w:rPr>
          <w:sz w:val="24"/>
        </w:rPr>
        <w:t>an</w:t>
      </w:r>
      <w:r>
        <w:rPr>
          <w:spacing w:val="-3"/>
          <w:sz w:val="24"/>
        </w:rPr>
        <w:t> </w:t>
      </w:r>
      <w:r>
        <w:rPr>
          <w:sz w:val="24"/>
        </w:rPr>
        <w:t>IPE</w:t>
      </w:r>
      <w:r>
        <w:rPr>
          <w:spacing w:val="-3"/>
          <w:sz w:val="24"/>
        </w:rPr>
        <w:t> </w:t>
      </w:r>
      <w:r>
        <w:rPr>
          <w:sz w:val="24"/>
        </w:rPr>
        <w:t>will</w:t>
      </w:r>
      <w:r>
        <w:rPr>
          <w:spacing w:val="-3"/>
          <w:sz w:val="24"/>
        </w:rPr>
        <w:t> </w:t>
      </w:r>
      <w:r>
        <w:rPr>
          <w:sz w:val="24"/>
        </w:rPr>
        <w:t>also</w:t>
      </w:r>
      <w:r>
        <w:rPr>
          <w:spacing w:val="-3"/>
          <w:sz w:val="24"/>
        </w:rPr>
        <w:t> </w:t>
      </w:r>
      <w:r>
        <w:rPr>
          <w:sz w:val="24"/>
        </w:rPr>
        <w:t>require</w:t>
      </w:r>
      <w:r>
        <w:rPr>
          <w:spacing w:val="-3"/>
          <w:sz w:val="24"/>
        </w:rPr>
        <w:t> </w:t>
      </w:r>
      <w:r>
        <w:rPr>
          <w:sz w:val="24"/>
        </w:rPr>
        <w:t>the individual's participation in cost during an evaluation of the individual's ability to benefit from VR services);</w:t>
      </w:r>
    </w:p>
    <w:p>
      <w:pPr>
        <w:pStyle w:val="ListParagraph"/>
        <w:numPr>
          <w:ilvl w:val="1"/>
          <w:numId w:val="93"/>
        </w:numPr>
        <w:tabs>
          <w:tab w:pos="1236" w:val="left" w:leader="none"/>
        </w:tabs>
        <w:spacing w:line="208" w:lineRule="auto" w:before="239" w:after="0"/>
        <w:ind w:left="810" w:right="1051" w:firstLine="0"/>
        <w:jc w:val="left"/>
        <w:rPr>
          <w:sz w:val="24"/>
        </w:rPr>
      </w:pPr>
      <w:r>
        <w:rPr>
          <w:sz w:val="24"/>
        </w:rPr>
        <w:t>counseling</w:t>
      </w:r>
      <w:r>
        <w:rPr>
          <w:spacing w:val="-5"/>
          <w:sz w:val="24"/>
        </w:rPr>
        <w:t> </w:t>
      </w:r>
      <w:r>
        <w:rPr>
          <w:sz w:val="24"/>
        </w:rPr>
        <w:t>and</w:t>
      </w:r>
      <w:r>
        <w:rPr>
          <w:spacing w:val="-5"/>
          <w:sz w:val="24"/>
        </w:rPr>
        <w:t> </w:t>
      </w:r>
      <w:r>
        <w:rPr>
          <w:sz w:val="24"/>
        </w:rPr>
        <w:t>guidance</w:t>
      </w:r>
      <w:r>
        <w:rPr>
          <w:spacing w:val="-5"/>
          <w:sz w:val="24"/>
        </w:rPr>
        <w:t> </w:t>
      </w:r>
      <w:r>
        <w:rPr>
          <w:sz w:val="24"/>
        </w:rPr>
        <w:t>including</w:t>
      </w:r>
      <w:r>
        <w:rPr>
          <w:spacing w:val="-5"/>
          <w:sz w:val="24"/>
        </w:rPr>
        <w:t> </w:t>
      </w:r>
      <w:r>
        <w:rPr>
          <w:sz w:val="24"/>
        </w:rPr>
        <w:t>information</w:t>
      </w:r>
      <w:r>
        <w:rPr>
          <w:spacing w:val="-5"/>
          <w:sz w:val="24"/>
        </w:rPr>
        <w:t> </w:t>
      </w:r>
      <w:r>
        <w:rPr>
          <w:sz w:val="24"/>
        </w:rPr>
        <w:t>and</w:t>
      </w:r>
      <w:r>
        <w:rPr>
          <w:spacing w:val="-5"/>
          <w:sz w:val="24"/>
        </w:rPr>
        <w:t> </w:t>
      </w:r>
      <w:r>
        <w:rPr>
          <w:sz w:val="24"/>
        </w:rPr>
        <w:t>support</w:t>
      </w:r>
      <w:r>
        <w:rPr>
          <w:spacing w:val="-4"/>
          <w:sz w:val="24"/>
        </w:rPr>
        <w:t> </w:t>
      </w:r>
      <w:r>
        <w:rPr>
          <w:sz w:val="24"/>
        </w:rPr>
        <w:t>services</w:t>
      </w:r>
      <w:r>
        <w:rPr>
          <w:spacing w:val="-5"/>
          <w:sz w:val="24"/>
        </w:rPr>
        <w:t> </w:t>
      </w:r>
      <w:r>
        <w:rPr>
          <w:sz w:val="24"/>
        </w:rPr>
        <w:t>to</w:t>
      </w:r>
      <w:r>
        <w:rPr>
          <w:spacing w:val="-5"/>
          <w:sz w:val="24"/>
        </w:rPr>
        <w:t> </w:t>
      </w:r>
      <w:r>
        <w:rPr>
          <w:sz w:val="24"/>
        </w:rPr>
        <w:t>assist an individual in exercising informed choice;</w:t>
      </w:r>
    </w:p>
    <w:p>
      <w:pPr>
        <w:pStyle w:val="ListParagraph"/>
        <w:numPr>
          <w:ilvl w:val="1"/>
          <w:numId w:val="93"/>
        </w:numPr>
        <w:tabs>
          <w:tab w:pos="1235" w:val="left" w:leader="none"/>
        </w:tabs>
        <w:spacing w:line="208" w:lineRule="auto" w:before="240" w:after="0"/>
        <w:ind w:left="810" w:right="1291" w:firstLine="0"/>
        <w:jc w:val="left"/>
        <w:rPr>
          <w:sz w:val="24"/>
        </w:rPr>
      </w:pPr>
      <w:r>
        <w:rPr>
          <w:sz w:val="24"/>
        </w:rPr>
        <w:t>referral</w:t>
      </w:r>
      <w:r>
        <w:rPr>
          <w:spacing w:val="-4"/>
          <w:sz w:val="24"/>
        </w:rPr>
        <w:t> </w:t>
      </w:r>
      <w:r>
        <w:rPr>
          <w:sz w:val="24"/>
        </w:rPr>
        <w:t>and</w:t>
      </w:r>
      <w:r>
        <w:rPr>
          <w:spacing w:val="-4"/>
          <w:sz w:val="24"/>
        </w:rPr>
        <w:t> </w:t>
      </w:r>
      <w:r>
        <w:rPr>
          <w:sz w:val="24"/>
        </w:rPr>
        <w:t>other</w:t>
      </w:r>
      <w:r>
        <w:rPr>
          <w:spacing w:val="-5"/>
          <w:sz w:val="24"/>
        </w:rPr>
        <w:t> </w:t>
      </w:r>
      <w:r>
        <w:rPr>
          <w:sz w:val="24"/>
        </w:rPr>
        <w:t>services</w:t>
      </w:r>
      <w:r>
        <w:rPr>
          <w:spacing w:val="-4"/>
          <w:sz w:val="24"/>
        </w:rPr>
        <w:t> </w:t>
      </w:r>
      <w:r>
        <w:rPr>
          <w:sz w:val="24"/>
        </w:rPr>
        <w:t>to</w:t>
      </w:r>
      <w:r>
        <w:rPr>
          <w:spacing w:val="-5"/>
          <w:sz w:val="24"/>
        </w:rPr>
        <w:t> </w:t>
      </w:r>
      <w:r>
        <w:rPr>
          <w:sz w:val="24"/>
        </w:rPr>
        <w:t>secure</w:t>
      </w:r>
      <w:r>
        <w:rPr>
          <w:spacing w:val="-4"/>
          <w:sz w:val="24"/>
        </w:rPr>
        <w:t> </w:t>
      </w:r>
      <w:r>
        <w:rPr>
          <w:sz w:val="24"/>
        </w:rPr>
        <w:t>needed</w:t>
      </w:r>
      <w:r>
        <w:rPr>
          <w:spacing w:val="-4"/>
          <w:sz w:val="24"/>
        </w:rPr>
        <w:t> </w:t>
      </w:r>
      <w:r>
        <w:rPr>
          <w:sz w:val="24"/>
        </w:rPr>
        <w:t>services</w:t>
      </w:r>
      <w:r>
        <w:rPr>
          <w:spacing w:val="-4"/>
          <w:sz w:val="24"/>
        </w:rPr>
        <w:t> </w:t>
      </w:r>
      <w:r>
        <w:rPr>
          <w:sz w:val="24"/>
        </w:rPr>
        <w:t>from</w:t>
      </w:r>
      <w:r>
        <w:rPr>
          <w:spacing w:val="-5"/>
          <w:sz w:val="24"/>
        </w:rPr>
        <w:t> </w:t>
      </w:r>
      <w:r>
        <w:rPr>
          <w:sz w:val="24"/>
        </w:rPr>
        <w:t>other</w:t>
      </w:r>
      <w:r>
        <w:rPr>
          <w:spacing w:val="-3"/>
          <w:sz w:val="24"/>
        </w:rPr>
        <w:t> </w:t>
      </w:r>
      <w:r>
        <w:rPr>
          <w:sz w:val="24"/>
        </w:rPr>
        <w:t>agencies, including other components of the statewide workforce development system;</w:t>
      </w:r>
    </w:p>
    <w:p>
      <w:pPr>
        <w:pStyle w:val="ListParagraph"/>
        <w:numPr>
          <w:ilvl w:val="1"/>
          <w:numId w:val="93"/>
        </w:numPr>
        <w:tabs>
          <w:tab w:pos="1236" w:val="left" w:leader="none"/>
        </w:tabs>
        <w:spacing w:line="240" w:lineRule="auto" w:before="211" w:after="0"/>
        <w:ind w:left="1236" w:right="0" w:hanging="426"/>
        <w:jc w:val="left"/>
        <w:rPr>
          <w:sz w:val="24"/>
        </w:rPr>
      </w:pPr>
      <w:r>
        <w:rPr>
          <w:sz w:val="24"/>
        </w:rPr>
        <w:t>on-the-job</w:t>
      </w:r>
      <w:r>
        <w:rPr>
          <w:spacing w:val="-7"/>
          <w:sz w:val="24"/>
        </w:rPr>
        <w:t> </w:t>
      </w:r>
      <w:r>
        <w:rPr>
          <w:sz w:val="24"/>
        </w:rPr>
        <w:t>training,</w:t>
      </w:r>
      <w:r>
        <w:rPr>
          <w:spacing w:val="-5"/>
          <w:sz w:val="24"/>
        </w:rPr>
        <w:t> </w:t>
      </w:r>
      <w:r>
        <w:rPr>
          <w:sz w:val="24"/>
        </w:rPr>
        <w:t>work</w:t>
      </w:r>
      <w:r>
        <w:rPr>
          <w:spacing w:val="-4"/>
          <w:sz w:val="24"/>
        </w:rPr>
        <w:t> </w:t>
      </w:r>
      <w:r>
        <w:rPr>
          <w:sz w:val="24"/>
        </w:rPr>
        <w:t>experience,</w:t>
      </w:r>
      <w:r>
        <w:rPr>
          <w:spacing w:val="-5"/>
          <w:sz w:val="24"/>
        </w:rPr>
        <w:t> </w:t>
      </w:r>
      <w:r>
        <w:rPr>
          <w:sz w:val="24"/>
        </w:rPr>
        <w:t>internships</w:t>
      </w:r>
      <w:r>
        <w:rPr>
          <w:spacing w:val="-5"/>
          <w:sz w:val="24"/>
        </w:rPr>
        <w:t> </w:t>
      </w:r>
      <w:r>
        <w:rPr>
          <w:sz w:val="24"/>
        </w:rPr>
        <w:t>and</w:t>
      </w:r>
      <w:r>
        <w:rPr>
          <w:spacing w:val="-4"/>
          <w:sz w:val="24"/>
        </w:rPr>
        <w:t> </w:t>
      </w:r>
      <w:r>
        <w:rPr>
          <w:spacing w:val="-2"/>
          <w:sz w:val="24"/>
        </w:rPr>
        <w:t>apprenticeships;</w:t>
      </w:r>
    </w:p>
    <w:p>
      <w:pPr>
        <w:pStyle w:val="ListParagraph"/>
        <w:numPr>
          <w:ilvl w:val="1"/>
          <w:numId w:val="93"/>
        </w:numPr>
        <w:tabs>
          <w:tab w:pos="1235" w:val="left" w:leader="none"/>
        </w:tabs>
        <w:spacing w:line="240" w:lineRule="auto" w:before="204" w:after="0"/>
        <w:ind w:left="1235" w:right="0" w:hanging="426"/>
        <w:jc w:val="left"/>
        <w:rPr>
          <w:sz w:val="24"/>
        </w:rPr>
      </w:pPr>
      <w:r>
        <w:rPr>
          <w:sz w:val="24"/>
        </w:rPr>
        <w:t>personal</w:t>
      </w:r>
      <w:r>
        <w:rPr>
          <w:spacing w:val="-5"/>
          <w:sz w:val="24"/>
        </w:rPr>
        <w:t> </w:t>
      </w:r>
      <w:r>
        <w:rPr>
          <w:sz w:val="24"/>
        </w:rPr>
        <w:t>or</w:t>
      </w:r>
      <w:r>
        <w:rPr>
          <w:spacing w:val="-3"/>
          <w:sz w:val="24"/>
        </w:rPr>
        <w:t> </w:t>
      </w:r>
      <w:r>
        <w:rPr>
          <w:sz w:val="24"/>
        </w:rPr>
        <w:t>vocational</w:t>
      </w:r>
      <w:r>
        <w:rPr>
          <w:spacing w:val="-5"/>
          <w:sz w:val="24"/>
        </w:rPr>
        <w:t> </w:t>
      </w:r>
      <w:r>
        <w:rPr>
          <w:sz w:val="24"/>
        </w:rPr>
        <w:t>adjustment</w:t>
      </w:r>
      <w:r>
        <w:rPr>
          <w:spacing w:val="-3"/>
          <w:sz w:val="24"/>
        </w:rPr>
        <w:t> </w:t>
      </w:r>
      <w:r>
        <w:rPr>
          <w:spacing w:val="-2"/>
          <w:sz w:val="24"/>
        </w:rPr>
        <w:t>training;</w:t>
      </w:r>
    </w:p>
    <w:p>
      <w:pPr>
        <w:pStyle w:val="ListParagraph"/>
        <w:numPr>
          <w:ilvl w:val="1"/>
          <w:numId w:val="93"/>
        </w:numPr>
        <w:tabs>
          <w:tab w:pos="1235" w:val="left" w:leader="none"/>
        </w:tabs>
        <w:spacing w:line="240" w:lineRule="auto" w:before="204" w:after="0"/>
        <w:ind w:left="1235" w:right="0" w:hanging="426"/>
        <w:jc w:val="left"/>
        <w:rPr>
          <w:sz w:val="24"/>
        </w:rPr>
      </w:pPr>
      <w:r>
        <w:rPr>
          <w:sz w:val="24"/>
        </w:rPr>
        <w:t>personal</w:t>
      </w:r>
      <w:r>
        <w:rPr>
          <w:spacing w:val="-5"/>
          <w:sz w:val="24"/>
        </w:rPr>
        <w:t> </w:t>
      </w:r>
      <w:r>
        <w:rPr>
          <w:sz w:val="24"/>
        </w:rPr>
        <w:t>assistance</w:t>
      </w:r>
      <w:r>
        <w:rPr>
          <w:spacing w:val="-4"/>
          <w:sz w:val="24"/>
        </w:rPr>
        <w:t> </w:t>
      </w:r>
      <w:r>
        <w:rPr>
          <w:spacing w:val="-2"/>
          <w:sz w:val="24"/>
        </w:rPr>
        <w:t>services;</w:t>
      </w:r>
    </w:p>
    <w:p>
      <w:pPr>
        <w:pStyle w:val="ListParagraph"/>
        <w:numPr>
          <w:ilvl w:val="1"/>
          <w:numId w:val="93"/>
        </w:numPr>
        <w:tabs>
          <w:tab w:pos="1235" w:val="left" w:leader="none"/>
        </w:tabs>
        <w:spacing w:line="208" w:lineRule="auto" w:before="233" w:after="0"/>
        <w:ind w:left="809" w:right="1304" w:firstLine="0"/>
        <w:jc w:val="left"/>
        <w:rPr>
          <w:sz w:val="24"/>
        </w:rPr>
      </w:pPr>
      <w:r>
        <w:rPr>
          <w:sz w:val="24"/>
        </w:rPr>
        <w:t>job-related services including job search and placement assistance, job retention</w:t>
      </w:r>
      <w:r>
        <w:rPr>
          <w:spacing w:val="-5"/>
          <w:sz w:val="24"/>
        </w:rPr>
        <w:t> </w:t>
      </w:r>
      <w:r>
        <w:rPr>
          <w:sz w:val="24"/>
        </w:rPr>
        <w:t>services,</w:t>
      </w:r>
      <w:r>
        <w:rPr>
          <w:spacing w:val="-4"/>
          <w:sz w:val="24"/>
        </w:rPr>
        <w:t> </w:t>
      </w:r>
      <w:r>
        <w:rPr>
          <w:sz w:val="24"/>
        </w:rPr>
        <w:t>follow-up</w:t>
      </w:r>
      <w:r>
        <w:rPr>
          <w:spacing w:val="-5"/>
          <w:sz w:val="24"/>
        </w:rPr>
        <w:t> </w:t>
      </w:r>
      <w:r>
        <w:rPr>
          <w:sz w:val="24"/>
        </w:rPr>
        <w:t>services</w:t>
      </w:r>
      <w:r>
        <w:rPr>
          <w:spacing w:val="-5"/>
          <w:sz w:val="24"/>
        </w:rPr>
        <w:t> </w:t>
      </w:r>
      <w:r>
        <w:rPr>
          <w:sz w:val="24"/>
        </w:rPr>
        <w:t>and</w:t>
      </w:r>
      <w:r>
        <w:rPr>
          <w:spacing w:val="-5"/>
          <w:sz w:val="24"/>
        </w:rPr>
        <w:t> </w:t>
      </w:r>
      <w:r>
        <w:rPr>
          <w:sz w:val="24"/>
        </w:rPr>
        <w:t>follow-along</w:t>
      </w:r>
      <w:r>
        <w:rPr>
          <w:spacing w:val="-5"/>
          <w:sz w:val="24"/>
        </w:rPr>
        <w:t> </w:t>
      </w:r>
      <w:r>
        <w:rPr>
          <w:sz w:val="24"/>
        </w:rPr>
        <w:t>services;</w:t>
      </w:r>
      <w:r>
        <w:rPr>
          <w:spacing w:val="-4"/>
          <w:sz w:val="24"/>
        </w:rPr>
        <w:t> </w:t>
      </w:r>
      <w:r>
        <w:rPr>
          <w:sz w:val="24"/>
        </w:rPr>
        <w:t>under</w:t>
      </w:r>
      <w:r>
        <w:rPr>
          <w:spacing w:val="-4"/>
          <w:sz w:val="24"/>
        </w:rPr>
        <w:t> </w:t>
      </w:r>
      <w:r>
        <w:rPr>
          <w:sz w:val="24"/>
        </w:rPr>
        <w:t>34</w:t>
      </w:r>
      <w:r>
        <w:rPr>
          <w:spacing w:val="-5"/>
          <w:sz w:val="24"/>
        </w:rPr>
        <w:t> </w:t>
      </w:r>
      <w:r>
        <w:rPr>
          <w:sz w:val="24"/>
        </w:rPr>
        <w:t>CFR</w:t>
      </w:r>
    </w:p>
    <w:p>
      <w:pPr>
        <w:pStyle w:val="BodyText"/>
        <w:spacing w:line="247" w:lineRule="exact" w:before="0"/>
        <w:ind w:left="809"/>
      </w:pPr>
      <w:r>
        <w:rPr/>
        <w:t>361.48</w:t>
      </w:r>
      <w:r>
        <w:rPr>
          <w:spacing w:val="-3"/>
        </w:rPr>
        <w:t> </w:t>
      </w:r>
      <w:r>
        <w:rPr/>
        <w:t>(b)</w:t>
      </w:r>
      <w:r>
        <w:rPr>
          <w:spacing w:val="-3"/>
        </w:rPr>
        <w:t> </w:t>
      </w:r>
      <w:r>
        <w:rPr>
          <w:spacing w:val="-2"/>
        </w:rPr>
        <w:t>(12);</w:t>
      </w:r>
    </w:p>
    <w:p>
      <w:pPr>
        <w:pStyle w:val="ListParagraph"/>
        <w:numPr>
          <w:ilvl w:val="1"/>
          <w:numId w:val="93"/>
        </w:numPr>
        <w:tabs>
          <w:tab w:pos="1235" w:val="left" w:leader="none"/>
        </w:tabs>
        <w:spacing w:line="240" w:lineRule="auto" w:before="204" w:after="0"/>
        <w:ind w:left="1235" w:right="0" w:hanging="426"/>
        <w:jc w:val="left"/>
        <w:rPr>
          <w:sz w:val="24"/>
        </w:rPr>
      </w:pPr>
      <w:r>
        <w:rPr>
          <w:sz w:val="24"/>
        </w:rPr>
        <w:t>compensatory</w:t>
      </w:r>
      <w:r>
        <w:rPr>
          <w:spacing w:val="-7"/>
          <w:sz w:val="24"/>
        </w:rPr>
        <w:t> </w:t>
      </w:r>
      <w:r>
        <w:rPr>
          <w:spacing w:val="-2"/>
          <w:sz w:val="24"/>
        </w:rPr>
        <w:t>training;</w:t>
      </w:r>
    </w:p>
    <w:p>
      <w:pPr>
        <w:pStyle w:val="ListParagraph"/>
        <w:numPr>
          <w:ilvl w:val="1"/>
          <w:numId w:val="93"/>
        </w:numPr>
        <w:tabs>
          <w:tab w:pos="1235" w:val="left" w:leader="none"/>
        </w:tabs>
        <w:spacing w:line="208" w:lineRule="auto" w:before="233" w:after="0"/>
        <w:ind w:left="809" w:right="839" w:firstLine="0"/>
        <w:jc w:val="left"/>
        <w:rPr>
          <w:sz w:val="24"/>
        </w:rPr>
      </w:pPr>
      <w:r>
        <w:rPr>
          <w:sz w:val="24"/>
        </w:rPr>
        <w:t>Supported</w:t>
      </w:r>
      <w:r>
        <w:rPr>
          <w:spacing w:val="-5"/>
          <w:sz w:val="24"/>
        </w:rPr>
        <w:t> </w:t>
      </w:r>
      <w:r>
        <w:rPr>
          <w:sz w:val="24"/>
        </w:rPr>
        <w:t>Employment</w:t>
      </w:r>
      <w:r>
        <w:rPr>
          <w:spacing w:val="-4"/>
          <w:sz w:val="24"/>
        </w:rPr>
        <w:t> </w:t>
      </w:r>
      <w:r>
        <w:rPr>
          <w:sz w:val="24"/>
        </w:rPr>
        <w:t>(SE),</w:t>
      </w:r>
      <w:r>
        <w:rPr>
          <w:spacing w:val="-7"/>
          <w:sz w:val="24"/>
        </w:rPr>
        <w:t> </w:t>
      </w:r>
      <w:r>
        <w:rPr>
          <w:sz w:val="24"/>
        </w:rPr>
        <w:t>Employment</w:t>
      </w:r>
      <w:r>
        <w:rPr>
          <w:spacing w:val="-4"/>
          <w:sz w:val="24"/>
        </w:rPr>
        <w:t> </w:t>
      </w:r>
      <w:r>
        <w:rPr>
          <w:sz w:val="24"/>
        </w:rPr>
        <w:t>and</w:t>
      </w:r>
      <w:r>
        <w:rPr>
          <w:spacing w:val="-5"/>
          <w:sz w:val="24"/>
        </w:rPr>
        <w:t> </w:t>
      </w:r>
      <w:r>
        <w:rPr>
          <w:sz w:val="24"/>
        </w:rPr>
        <w:t>Retention</w:t>
      </w:r>
      <w:r>
        <w:rPr>
          <w:spacing w:val="-5"/>
          <w:sz w:val="24"/>
        </w:rPr>
        <w:t> </w:t>
      </w:r>
      <w:r>
        <w:rPr>
          <w:sz w:val="24"/>
        </w:rPr>
        <w:t>(ER);</w:t>
      </w:r>
      <w:r>
        <w:rPr>
          <w:spacing w:val="-4"/>
          <w:sz w:val="24"/>
        </w:rPr>
        <w:t> </w:t>
      </w:r>
      <w:r>
        <w:rPr>
          <w:sz w:val="24"/>
        </w:rPr>
        <w:t>Job</w:t>
      </w:r>
      <w:r>
        <w:rPr>
          <w:spacing w:val="-5"/>
          <w:sz w:val="24"/>
        </w:rPr>
        <w:t> </w:t>
      </w:r>
      <w:r>
        <w:rPr>
          <w:sz w:val="24"/>
        </w:rPr>
        <w:t>Placement (JP), JOBS, Support Services for Employment (SSE), Supplemental Employment Services (SES), and Customized Employment (CE);</w:t>
      </w:r>
      <w:r>
        <w:rPr>
          <w:spacing w:val="-1"/>
          <w:sz w:val="24"/>
        </w:rPr>
        <w:t> </w:t>
      </w:r>
      <w:r>
        <w:rPr>
          <w:sz w:val="24"/>
        </w:rPr>
        <w:t>or</w:t>
      </w:r>
    </w:p>
    <w:p>
      <w:pPr>
        <w:pStyle w:val="ListParagraph"/>
        <w:numPr>
          <w:ilvl w:val="1"/>
          <w:numId w:val="93"/>
        </w:numPr>
        <w:tabs>
          <w:tab w:pos="1368" w:val="left" w:leader="none"/>
        </w:tabs>
        <w:spacing w:line="208" w:lineRule="auto" w:before="240" w:after="0"/>
        <w:ind w:left="809" w:right="784" w:firstLine="0"/>
        <w:jc w:val="left"/>
        <w:rPr>
          <w:b/>
          <w:sz w:val="24"/>
        </w:rPr>
      </w:pPr>
      <w:r>
        <w:rPr>
          <w:sz w:val="24"/>
        </w:rPr>
        <w:t>any auxiliary aid or service (e.g., interpreter services, reader services) that an individual</w:t>
      </w:r>
      <w:r>
        <w:rPr>
          <w:spacing w:val="-3"/>
          <w:sz w:val="24"/>
        </w:rPr>
        <w:t> </w:t>
      </w:r>
      <w:r>
        <w:rPr>
          <w:sz w:val="24"/>
        </w:rPr>
        <w:t>with</w:t>
      </w:r>
      <w:r>
        <w:rPr>
          <w:spacing w:val="-3"/>
          <w:sz w:val="24"/>
        </w:rPr>
        <w:t> </w:t>
      </w:r>
      <w:r>
        <w:rPr>
          <w:sz w:val="24"/>
        </w:rPr>
        <w:t>a</w:t>
      </w:r>
      <w:r>
        <w:rPr>
          <w:spacing w:val="-3"/>
          <w:sz w:val="24"/>
        </w:rPr>
        <w:t> </w:t>
      </w:r>
      <w:r>
        <w:rPr>
          <w:sz w:val="24"/>
        </w:rPr>
        <w:t>disability</w:t>
      </w:r>
      <w:r>
        <w:rPr>
          <w:spacing w:val="-3"/>
          <w:sz w:val="24"/>
        </w:rPr>
        <w:t> </w:t>
      </w:r>
      <w:r>
        <w:rPr>
          <w:sz w:val="24"/>
        </w:rPr>
        <w:t>require</w:t>
      </w:r>
      <w:r>
        <w:rPr>
          <w:spacing w:val="-3"/>
          <w:sz w:val="24"/>
        </w:rPr>
        <w:t> </w:t>
      </w:r>
      <w:r>
        <w:rPr>
          <w:sz w:val="24"/>
        </w:rPr>
        <w:t>under</w:t>
      </w:r>
      <w:r>
        <w:rPr>
          <w:spacing w:val="-2"/>
          <w:sz w:val="24"/>
        </w:rPr>
        <w:t> </w:t>
      </w:r>
      <w:r>
        <w:rPr>
          <w:sz w:val="24"/>
        </w:rPr>
        <w:t>Section</w:t>
      </w:r>
      <w:r>
        <w:rPr>
          <w:spacing w:val="-3"/>
          <w:sz w:val="24"/>
        </w:rPr>
        <w:t> </w:t>
      </w:r>
      <w:r>
        <w:rPr>
          <w:sz w:val="24"/>
        </w:rPr>
        <w:t>504</w:t>
      </w:r>
      <w:r>
        <w:rPr>
          <w:spacing w:val="-3"/>
          <w:sz w:val="24"/>
        </w:rPr>
        <w:t> </w:t>
      </w:r>
      <w:r>
        <w:rPr>
          <w:sz w:val="24"/>
        </w:rPr>
        <w:t>of</w:t>
      </w:r>
      <w:r>
        <w:rPr>
          <w:spacing w:val="-2"/>
          <w:sz w:val="24"/>
        </w:rPr>
        <w:t> </w:t>
      </w:r>
      <w:r>
        <w:rPr>
          <w:sz w:val="24"/>
        </w:rPr>
        <w:t>the</w:t>
      </w:r>
      <w:r>
        <w:rPr>
          <w:spacing w:val="-3"/>
          <w:sz w:val="24"/>
        </w:rPr>
        <w:t> </w:t>
      </w:r>
      <w:r>
        <w:rPr>
          <w:sz w:val="24"/>
        </w:rPr>
        <w:t>Act</w:t>
      </w:r>
      <w:r>
        <w:rPr>
          <w:spacing w:val="-4"/>
          <w:sz w:val="24"/>
        </w:rPr>
        <w:t> </w:t>
      </w:r>
      <w:r>
        <w:rPr>
          <w:sz w:val="24"/>
        </w:rPr>
        <w:t>or</w:t>
      </w:r>
      <w:r>
        <w:rPr>
          <w:spacing w:val="-4"/>
          <w:sz w:val="24"/>
        </w:rPr>
        <w:t> </w:t>
      </w:r>
      <w:r>
        <w:rPr>
          <w:sz w:val="24"/>
        </w:rPr>
        <w:t>the</w:t>
      </w:r>
      <w:r>
        <w:rPr>
          <w:spacing w:val="-3"/>
          <w:sz w:val="24"/>
        </w:rPr>
        <w:t> </w:t>
      </w:r>
      <w:r>
        <w:rPr>
          <w:sz w:val="24"/>
        </w:rPr>
        <w:t>American</w:t>
      </w:r>
      <w:r>
        <w:rPr>
          <w:spacing w:val="-3"/>
          <w:sz w:val="24"/>
        </w:rPr>
        <w:t> </w:t>
      </w:r>
      <w:r>
        <w:rPr>
          <w:sz w:val="24"/>
        </w:rPr>
        <w:t>with Disabilities Act (42 U.S.C. 12101, et seq.) or regulations implementing those laws, in order for the individual to participate in the VR program. </w:t>
      </w:r>
      <w:r>
        <w:rPr>
          <w:b/>
          <w:sz w:val="24"/>
        </w:rPr>
        <w:t>2,3</w:t>
      </w:r>
    </w:p>
    <w:p>
      <w:pPr>
        <w:pStyle w:val="ListParagraph"/>
        <w:numPr>
          <w:ilvl w:val="0"/>
          <w:numId w:val="93"/>
        </w:numPr>
        <w:tabs>
          <w:tab w:pos="785" w:val="left" w:leader="none"/>
        </w:tabs>
        <w:spacing w:line="208" w:lineRule="auto" w:before="240" w:after="0"/>
        <w:ind w:left="359" w:right="1033" w:firstLine="0"/>
        <w:jc w:val="both"/>
        <w:rPr>
          <w:b/>
          <w:sz w:val="24"/>
        </w:rPr>
      </w:pPr>
      <w:r>
        <w:rPr>
          <w:sz w:val="24"/>
        </w:rPr>
        <w:t>Any</w:t>
      </w:r>
      <w:r>
        <w:rPr>
          <w:spacing w:val="-3"/>
          <w:sz w:val="24"/>
        </w:rPr>
        <w:t> </w:t>
      </w:r>
      <w:r>
        <w:rPr>
          <w:sz w:val="24"/>
        </w:rPr>
        <w:t>client</w:t>
      </w:r>
      <w:r>
        <w:rPr>
          <w:spacing w:val="-2"/>
          <w:sz w:val="24"/>
        </w:rPr>
        <w:t> </w:t>
      </w:r>
      <w:r>
        <w:rPr>
          <w:sz w:val="24"/>
        </w:rPr>
        <w:t>who</w:t>
      </w:r>
      <w:r>
        <w:rPr>
          <w:spacing w:val="-3"/>
          <w:sz w:val="24"/>
        </w:rPr>
        <w:t> </w:t>
      </w:r>
      <w:r>
        <w:rPr>
          <w:sz w:val="24"/>
        </w:rPr>
        <w:t>does</w:t>
      </w:r>
      <w:r>
        <w:rPr>
          <w:spacing w:val="-3"/>
          <w:sz w:val="24"/>
        </w:rPr>
        <w:t> </w:t>
      </w:r>
      <w:r>
        <w:rPr>
          <w:sz w:val="24"/>
        </w:rPr>
        <w:t>not</w:t>
      </w:r>
      <w:r>
        <w:rPr>
          <w:spacing w:val="-2"/>
          <w:sz w:val="24"/>
        </w:rPr>
        <w:t> </w:t>
      </w:r>
      <w:r>
        <w:rPr>
          <w:sz w:val="24"/>
        </w:rPr>
        <w:t>have</w:t>
      </w:r>
      <w:r>
        <w:rPr>
          <w:spacing w:val="-3"/>
          <w:sz w:val="24"/>
        </w:rPr>
        <w:t> </w:t>
      </w:r>
      <w:r>
        <w:rPr>
          <w:sz w:val="24"/>
        </w:rPr>
        <w:t>a</w:t>
      </w:r>
      <w:r>
        <w:rPr>
          <w:spacing w:val="-3"/>
          <w:sz w:val="24"/>
        </w:rPr>
        <w:t> </w:t>
      </w:r>
      <w:r>
        <w:rPr>
          <w:sz w:val="24"/>
        </w:rPr>
        <w:t>surplus</w:t>
      </w:r>
      <w:r>
        <w:rPr>
          <w:spacing w:val="-3"/>
          <w:sz w:val="24"/>
        </w:rPr>
        <w:t> </w:t>
      </w:r>
      <w:r>
        <w:rPr>
          <w:sz w:val="24"/>
        </w:rPr>
        <w:t>is</w:t>
      </w:r>
      <w:r>
        <w:rPr>
          <w:spacing w:val="-3"/>
          <w:sz w:val="24"/>
        </w:rPr>
        <w:t> </w:t>
      </w:r>
      <w:r>
        <w:rPr>
          <w:sz w:val="24"/>
        </w:rPr>
        <w:t>not</w:t>
      </w:r>
      <w:r>
        <w:rPr>
          <w:spacing w:val="-2"/>
          <w:sz w:val="24"/>
        </w:rPr>
        <w:t> </w:t>
      </w:r>
      <w:r>
        <w:rPr>
          <w:sz w:val="24"/>
        </w:rPr>
        <w:t>required</w:t>
      </w:r>
      <w:r>
        <w:rPr>
          <w:spacing w:val="-3"/>
          <w:sz w:val="24"/>
        </w:rPr>
        <w:t> </w:t>
      </w:r>
      <w:r>
        <w:rPr>
          <w:sz w:val="24"/>
        </w:rPr>
        <w:t>to</w:t>
      </w:r>
      <w:r>
        <w:rPr>
          <w:spacing w:val="-3"/>
          <w:sz w:val="24"/>
        </w:rPr>
        <w:t> </w:t>
      </w:r>
      <w:r>
        <w:rPr>
          <w:sz w:val="24"/>
        </w:rPr>
        <w:t>participate</w:t>
      </w:r>
      <w:r>
        <w:rPr>
          <w:spacing w:val="-3"/>
          <w:sz w:val="24"/>
        </w:rPr>
        <w:t> </w:t>
      </w:r>
      <w:r>
        <w:rPr>
          <w:sz w:val="24"/>
        </w:rPr>
        <w:t>in</w:t>
      </w:r>
      <w:r>
        <w:rPr>
          <w:spacing w:val="-3"/>
          <w:sz w:val="24"/>
        </w:rPr>
        <w:t> </w:t>
      </w:r>
      <w:r>
        <w:rPr>
          <w:sz w:val="24"/>
        </w:rPr>
        <w:t>the</w:t>
      </w:r>
      <w:r>
        <w:rPr>
          <w:spacing w:val="-3"/>
          <w:sz w:val="24"/>
        </w:rPr>
        <w:t> </w:t>
      </w:r>
      <w:r>
        <w:rPr>
          <w:sz w:val="24"/>
        </w:rPr>
        <w:t>cost</w:t>
      </w:r>
      <w:r>
        <w:rPr>
          <w:spacing w:val="-2"/>
          <w:sz w:val="24"/>
        </w:rPr>
        <w:t> </w:t>
      </w:r>
      <w:r>
        <w:rPr>
          <w:sz w:val="24"/>
        </w:rPr>
        <w:t>of services. Financial need does not exempt the client from required use of comparable benefits. If a payment is required of the client, it will be made to the vendor. </w:t>
      </w:r>
      <w:r>
        <w:rPr>
          <w:b/>
          <w:sz w:val="24"/>
        </w:rPr>
        <w:t>8</w:t>
      </w:r>
    </w:p>
    <w:p>
      <w:pPr>
        <w:pStyle w:val="ListParagraph"/>
        <w:numPr>
          <w:ilvl w:val="0"/>
          <w:numId w:val="93"/>
        </w:numPr>
        <w:tabs>
          <w:tab w:pos="718" w:val="left" w:leader="none"/>
        </w:tabs>
        <w:spacing w:line="208" w:lineRule="auto" w:before="239" w:after="0"/>
        <w:ind w:left="359" w:right="760" w:firstLine="0"/>
        <w:jc w:val="left"/>
        <w:rPr>
          <w:b/>
          <w:sz w:val="24"/>
        </w:rPr>
      </w:pPr>
      <w:r>
        <w:rPr>
          <w:sz w:val="24"/>
        </w:rPr>
        <w:t>The counselor will re-evaluate the client's financial situation at least annually and</w:t>
      </w:r>
      <w:r>
        <w:rPr>
          <w:sz w:val="24"/>
        </w:rPr>
        <w:t> any time there is a change in the financial situation of the client or household. The amount of client participation in cost is based upon the most recent determination of client's</w:t>
      </w:r>
      <w:r>
        <w:rPr>
          <w:spacing w:val="-3"/>
          <w:sz w:val="24"/>
        </w:rPr>
        <w:t> </w:t>
      </w:r>
      <w:r>
        <w:rPr>
          <w:sz w:val="24"/>
        </w:rPr>
        <w:t>financial</w:t>
      </w:r>
      <w:r>
        <w:rPr>
          <w:spacing w:val="-3"/>
          <w:sz w:val="24"/>
        </w:rPr>
        <w:t> </w:t>
      </w:r>
      <w:r>
        <w:rPr>
          <w:sz w:val="24"/>
        </w:rPr>
        <w:t>needs</w:t>
      </w:r>
      <w:r>
        <w:rPr>
          <w:spacing w:val="-2"/>
          <w:sz w:val="24"/>
        </w:rPr>
        <w:t> </w:t>
      </w:r>
      <w:r>
        <w:rPr>
          <w:sz w:val="24"/>
        </w:rPr>
        <w:t>at</w:t>
      </w:r>
      <w:r>
        <w:rPr>
          <w:spacing w:val="-4"/>
          <w:sz w:val="24"/>
        </w:rPr>
        <w:t> </w:t>
      </w:r>
      <w:r>
        <w:rPr>
          <w:sz w:val="24"/>
        </w:rPr>
        <w:t>the</w:t>
      </w:r>
      <w:r>
        <w:rPr>
          <w:spacing w:val="-3"/>
          <w:sz w:val="24"/>
        </w:rPr>
        <w:t> </w:t>
      </w:r>
      <w:r>
        <w:rPr>
          <w:sz w:val="24"/>
        </w:rPr>
        <w:t>time</w:t>
      </w:r>
      <w:r>
        <w:rPr>
          <w:spacing w:val="-4"/>
          <w:sz w:val="24"/>
        </w:rPr>
        <w:t> </w:t>
      </w:r>
      <w:r>
        <w:rPr>
          <w:sz w:val="24"/>
        </w:rPr>
        <w:t>the</w:t>
      </w:r>
      <w:r>
        <w:rPr>
          <w:spacing w:val="-3"/>
          <w:sz w:val="24"/>
        </w:rPr>
        <w:t> </w:t>
      </w:r>
      <w:r>
        <w:rPr>
          <w:sz w:val="24"/>
        </w:rPr>
        <w:t>IPE</w:t>
      </w:r>
      <w:r>
        <w:rPr>
          <w:spacing w:val="-3"/>
          <w:sz w:val="24"/>
        </w:rPr>
        <w:t> </w:t>
      </w:r>
      <w:r>
        <w:rPr>
          <w:sz w:val="24"/>
        </w:rPr>
        <w:t>or</w:t>
      </w:r>
      <w:r>
        <w:rPr>
          <w:spacing w:val="-5"/>
          <w:sz w:val="24"/>
        </w:rPr>
        <w:t> </w:t>
      </w:r>
      <w:r>
        <w:rPr>
          <w:sz w:val="24"/>
        </w:rPr>
        <w:t>amendment.</w:t>
      </w:r>
      <w:r>
        <w:rPr>
          <w:spacing w:val="-4"/>
          <w:sz w:val="24"/>
        </w:rPr>
        <w:t> </w:t>
      </w:r>
      <w:r>
        <w:rPr>
          <w:sz w:val="24"/>
        </w:rPr>
        <w:t>If</w:t>
      </w:r>
      <w:r>
        <w:rPr>
          <w:spacing w:val="-4"/>
          <w:sz w:val="24"/>
        </w:rPr>
        <w:t> </w:t>
      </w:r>
      <w:r>
        <w:rPr>
          <w:sz w:val="24"/>
        </w:rPr>
        <w:t>applicable,</w:t>
      </w:r>
      <w:r>
        <w:rPr>
          <w:spacing w:val="-2"/>
          <w:sz w:val="24"/>
        </w:rPr>
        <w:t> </w:t>
      </w:r>
      <w:r>
        <w:rPr>
          <w:sz w:val="24"/>
        </w:rPr>
        <w:t>the</w:t>
      </w:r>
      <w:r>
        <w:rPr>
          <w:spacing w:val="-3"/>
          <w:sz w:val="24"/>
        </w:rPr>
        <w:t> </w:t>
      </w:r>
      <w:r>
        <w:rPr>
          <w:sz w:val="24"/>
        </w:rPr>
        <w:t>extent</w:t>
      </w:r>
      <w:r>
        <w:rPr>
          <w:spacing w:val="-2"/>
          <w:sz w:val="24"/>
        </w:rPr>
        <w:t> </w:t>
      </w:r>
      <w:r>
        <w:rPr>
          <w:sz w:val="24"/>
        </w:rPr>
        <w:t>of</w:t>
      </w:r>
      <w:r>
        <w:rPr>
          <w:spacing w:val="-4"/>
          <w:sz w:val="24"/>
        </w:rPr>
        <w:t> </w:t>
      </w:r>
      <w:r>
        <w:rPr>
          <w:sz w:val="24"/>
        </w:rPr>
        <w:t>the individual's</w:t>
      </w:r>
      <w:r>
        <w:rPr>
          <w:spacing w:val="-1"/>
          <w:sz w:val="24"/>
        </w:rPr>
        <w:t> </w:t>
      </w:r>
      <w:r>
        <w:rPr>
          <w:sz w:val="24"/>
        </w:rPr>
        <w:t>participation</w:t>
      </w:r>
      <w:r>
        <w:rPr>
          <w:spacing w:val="-2"/>
          <w:sz w:val="24"/>
        </w:rPr>
        <w:t> </w:t>
      </w:r>
      <w:r>
        <w:rPr>
          <w:sz w:val="24"/>
        </w:rPr>
        <w:t>in</w:t>
      </w:r>
      <w:r>
        <w:rPr>
          <w:spacing w:val="-2"/>
          <w:sz w:val="24"/>
        </w:rPr>
        <w:t> </w:t>
      </w:r>
      <w:r>
        <w:rPr>
          <w:sz w:val="24"/>
        </w:rPr>
        <w:t>paying</w:t>
      </w:r>
      <w:r>
        <w:rPr>
          <w:spacing w:val="-1"/>
          <w:sz w:val="24"/>
        </w:rPr>
        <w:t> </w:t>
      </w:r>
      <w:r>
        <w:rPr>
          <w:sz w:val="24"/>
        </w:rPr>
        <w:t>for</w:t>
      </w:r>
      <w:r>
        <w:rPr>
          <w:spacing w:val="-1"/>
          <w:sz w:val="24"/>
        </w:rPr>
        <w:t> </w:t>
      </w:r>
      <w:r>
        <w:rPr>
          <w:sz w:val="24"/>
        </w:rPr>
        <w:t>the</w:t>
      </w:r>
      <w:r>
        <w:rPr>
          <w:spacing w:val="-2"/>
          <w:sz w:val="24"/>
        </w:rPr>
        <w:t> </w:t>
      </w:r>
      <w:r>
        <w:rPr>
          <w:sz w:val="24"/>
        </w:rPr>
        <w:t>cost</w:t>
      </w:r>
      <w:r>
        <w:rPr>
          <w:spacing w:val="-3"/>
          <w:sz w:val="24"/>
        </w:rPr>
        <w:t> </w:t>
      </w:r>
      <w:r>
        <w:rPr>
          <w:sz w:val="24"/>
        </w:rPr>
        <w:t>of</w:t>
      </w:r>
      <w:r>
        <w:rPr>
          <w:spacing w:val="-1"/>
          <w:sz w:val="24"/>
        </w:rPr>
        <w:t> </w:t>
      </w:r>
      <w:r>
        <w:rPr>
          <w:sz w:val="24"/>
        </w:rPr>
        <w:t>services</w:t>
      </w:r>
      <w:r>
        <w:rPr>
          <w:spacing w:val="-3"/>
          <w:sz w:val="24"/>
        </w:rPr>
        <w:t> </w:t>
      </w:r>
      <w:r>
        <w:rPr>
          <w:sz w:val="24"/>
        </w:rPr>
        <w:t>is</w:t>
      </w:r>
      <w:r>
        <w:rPr>
          <w:spacing w:val="-2"/>
          <w:sz w:val="24"/>
        </w:rPr>
        <w:t> </w:t>
      </w:r>
      <w:r>
        <w:rPr>
          <w:sz w:val="24"/>
        </w:rPr>
        <w:t>identified</w:t>
      </w:r>
      <w:r>
        <w:rPr>
          <w:spacing w:val="-2"/>
          <w:sz w:val="24"/>
        </w:rPr>
        <w:t> </w:t>
      </w:r>
      <w:r>
        <w:rPr>
          <w:sz w:val="24"/>
        </w:rPr>
        <w:t>on</w:t>
      </w:r>
      <w:r>
        <w:rPr>
          <w:spacing w:val="-2"/>
          <w:sz w:val="24"/>
        </w:rPr>
        <w:t> </w:t>
      </w:r>
      <w:r>
        <w:rPr>
          <w:sz w:val="24"/>
        </w:rPr>
        <w:t>the</w:t>
      </w:r>
      <w:r>
        <w:rPr>
          <w:spacing w:val="-2"/>
          <w:sz w:val="24"/>
        </w:rPr>
        <w:t> </w:t>
      </w:r>
      <w:r>
        <w:rPr>
          <w:sz w:val="24"/>
        </w:rPr>
        <w:t>IPE</w:t>
      </w:r>
      <w:r>
        <w:rPr>
          <w:spacing w:val="-2"/>
          <w:sz w:val="24"/>
        </w:rPr>
        <w:t> </w:t>
      </w:r>
      <w:r>
        <w:rPr>
          <w:sz w:val="24"/>
        </w:rPr>
        <w:t>service (e.g. Household monthly income surplus will be exhausted prior to agency financial contribution). </w:t>
      </w:r>
      <w:r>
        <w:rPr>
          <w:b/>
          <w:sz w:val="24"/>
        </w:rPr>
        <w:t>7</w:t>
      </w:r>
    </w:p>
    <w:p>
      <w:pPr>
        <w:pStyle w:val="ListParagraph"/>
        <w:numPr>
          <w:ilvl w:val="0"/>
          <w:numId w:val="93"/>
        </w:numPr>
        <w:tabs>
          <w:tab w:pos="785" w:val="left" w:leader="none"/>
        </w:tabs>
        <w:spacing w:line="208" w:lineRule="auto" w:before="240" w:after="0"/>
        <w:ind w:left="359" w:right="1134" w:firstLine="0"/>
        <w:jc w:val="left"/>
        <w:rPr>
          <w:b/>
          <w:sz w:val="24"/>
        </w:rPr>
      </w:pPr>
      <w:r>
        <w:rPr>
          <w:sz w:val="24"/>
        </w:rPr>
        <w:t>The</w:t>
      </w:r>
      <w:r>
        <w:rPr>
          <w:spacing w:val="-4"/>
          <w:sz w:val="24"/>
        </w:rPr>
        <w:t> </w:t>
      </w:r>
      <w:r>
        <w:rPr>
          <w:sz w:val="24"/>
        </w:rPr>
        <w:t>client's</w:t>
      </w:r>
      <w:r>
        <w:rPr>
          <w:spacing w:val="-4"/>
          <w:sz w:val="24"/>
        </w:rPr>
        <w:t> </w:t>
      </w:r>
      <w:r>
        <w:rPr>
          <w:sz w:val="24"/>
        </w:rPr>
        <w:t>financial</w:t>
      </w:r>
      <w:r>
        <w:rPr>
          <w:spacing w:val="-4"/>
          <w:sz w:val="24"/>
        </w:rPr>
        <w:t> </w:t>
      </w:r>
      <w:r>
        <w:rPr>
          <w:sz w:val="24"/>
        </w:rPr>
        <w:t>needs</w:t>
      </w:r>
      <w:r>
        <w:rPr>
          <w:spacing w:val="-4"/>
          <w:sz w:val="24"/>
        </w:rPr>
        <w:t> </w:t>
      </w:r>
      <w:r>
        <w:rPr>
          <w:sz w:val="24"/>
        </w:rPr>
        <w:t>must</w:t>
      </w:r>
      <w:r>
        <w:rPr>
          <w:spacing w:val="-3"/>
          <w:sz w:val="24"/>
        </w:rPr>
        <w:t> </w:t>
      </w:r>
      <w:r>
        <w:rPr>
          <w:sz w:val="24"/>
        </w:rPr>
        <w:t>be</w:t>
      </w:r>
      <w:r>
        <w:rPr>
          <w:spacing w:val="-4"/>
          <w:sz w:val="24"/>
        </w:rPr>
        <w:t> </w:t>
      </w:r>
      <w:r>
        <w:rPr>
          <w:sz w:val="24"/>
        </w:rPr>
        <w:t>verified</w:t>
      </w:r>
      <w:r>
        <w:rPr>
          <w:spacing w:val="-4"/>
          <w:sz w:val="24"/>
        </w:rPr>
        <w:t> </w:t>
      </w:r>
      <w:r>
        <w:rPr>
          <w:sz w:val="24"/>
        </w:rPr>
        <w:t>when</w:t>
      </w:r>
      <w:r>
        <w:rPr>
          <w:spacing w:val="-4"/>
          <w:sz w:val="24"/>
        </w:rPr>
        <w:t> </w:t>
      </w:r>
      <w:r>
        <w:rPr>
          <w:sz w:val="24"/>
        </w:rPr>
        <w:t>an</w:t>
      </w:r>
      <w:r>
        <w:rPr>
          <w:spacing w:val="-4"/>
          <w:sz w:val="24"/>
        </w:rPr>
        <w:t> </w:t>
      </w:r>
      <w:r>
        <w:rPr>
          <w:sz w:val="24"/>
        </w:rPr>
        <w:t>IPE</w:t>
      </w:r>
      <w:r>
        <w:rPr>
          <w:spacing w:val="-4"/>
          <w:sz w:val="24"/>
        </w:rPr>
        <w:t> </w:t>
      </w:r>
      <w:r>
        <w:rPr>
          <w:sz w:val="24"/>
        </w:rPr>
        <w:t>includes</w:t>
      </w:r>
      <w:r>
        <w:rPr>
          <w:spacing w:val="-4"/>
          <w:sz w:val="24"/>
        </w:rPr>
        <w:t> </w:t>
      </w:r>
      <w:r>
        <w:rPr>
          <w:sz w:val="24"/>
        </w:rPr>
        <w:t>service</w:t>
      </w:r>
      <w:r>
        <w:rPr>
          <w:spacing w:val="-4"/>
          <w:sz w:val="24"/>
        </w:rPr>
        <w:t> </w:t>
      </w:r>
      <w:r>
        <w:rPr>
          <w:sz w:val="24"/>
        </w:rPr>
        <w:t>which require client participation in costs of services. </w:t>
      </w:r>
      <w:r>
        <w:rPr>
          <w:b/>
          <w:sz w:val="24"/>
        </w:rPr>
        <w:t>6,7</w:t>
      </w:r>
    </w:p>
    <w:p>
      <w:pPr>
        <w:pStyle w:val="ListParagraph"/>
        <w:numPr>
          <w:ilvl w:val="0"/>
          <w:numId w:val="93"/>
        </w:numPr>
        <w:tabs>
          <w:tab w:pos="785" w:val="left" w:leader="none"/>
        </w:tabs>
        <w:spacing w:line="208" w:lineRule="auto" w:before="240" w:after="0"/>
        <w:ind w:left="359" w:right="726" w:firstLine="0"/>
        <w:jc w:val="left"/>
        <w:rPr>
          <w:sz w:val="24"/>
        </w:rPr>
      </w:pPr>
      <w:r>
        <w:rPr>
          <w:sz w:val="24"/>
        </w:rPr>
        <w:t>Determination of income and liabilities will be verified and documented by the counselor in the record of service when services in the IPE and amendments require client participation in cost. If the individual refuses to provide the requested information, DRS</w:t>
      </w:r>
      <w:r>
        <w:rPr>
          <w:spacing w:val="-4"/>
          <w:sz w:val="24"/>
        </w:rPr>
        <w:t> </w:t>
      </w:r>
      <w:r>
        <w:rPr>
          <w:sz w:val="24"/>
        </w:rPr>
        <w:t>resources</w:t>
      </w:r>
      <w:r>
        <w:rPr>
          <w:spacing w:val="-4"/>
          <w:sz w:val="24"/>
        </w:rPr>
        <w:t> </w:t>
      </w:r>
      <w:r>
        <w:rPr>
          <w:sz w:val="24"/>
        </w:rPr>
        <w:t>will</w:t>
      </w:r>
      <w:r>
        <w:rPr>
          <w:spacing w:val="-4"/>
          <w:sz w:val="24"/>
        </w:rPr>
        <w:t> </w:t>
      </w:r>
      <w:r>
        <w:rPr>
          <w:sz w:val="24"/>
        </w:rPr>
        <w:t>not</w:t>
      </w:r>
      <w:r>
        <w:rPr>
          <w:spacing w:val="-3"/>
          <w:sz w:val="24"/>
        </w:rPr>
        <w:t> </w:t>
      </w:r>
      <w:r>
        <w:rPr>
          <w:sz w:val="24"/>
        </w:rPr>
        <w:t>be</w:t>
      </w:r>
      <w:r>
        <w:rPr>
          <w:spacing w:val="-4"/>
          <w:sz w:val="24"/>
        </w:rPr>
        <w:t> </w:t>
      </w:r>
      <w:r>
        <w:rPr>
          <w:sz w:val="24"/>
        </w:rPr>
        <w:t>used</w:t>
      </w:r>
      <w:r>
        <w:rPr>
          <w:spacing w:val="-4"/>
          <w:sz w:val="24"/>
        </w:rPr>
        <w:t> </w:t>
      </w:r>
      <w:r>
        <w:rPr>
          <w:sz w:val="24"/>
        </w:rPr>
        <w:t>to</w:t>
      </w:r>
      <w:r>
        <w:rPr>
          <w:spacing w:val="-4"/>
          <w:sz w:val="24"/>
        </w:rPr>
        <w:t> </w:t>
      </w:r>
      <w:r>
        <w:rPr>
          <w:sz w:val="24"/>
        </w:rPr>
        <w:t>purchase</w:t>
      </w:r>
      <w:r>
        <w:rPr>
          <w:spacing w:val="-3"/>
          <w:sz w:val="24"/>
        </w:rPr>
        <w:t> </w:t>
      </w:r>
      <w:r>
        <w:rPr>
          <w:sz w:val="24"/>
        </w:rPr>
        <w:t>services</w:t>
      </w:r>
      <w:r>
        <w:rPr>
          <w:spacing w:val="-4"/>
          <w:sz w:val="24"/>
        </w:rPr>
        <w:t> </w:t>
      </w:r>
      <w:r>
        <w:rPr>
          <w:sz w:val="24"/>
        </w:rPr>
        <w:t>which</w:t>
      </w:r>
      <w:r>
        <w:rPr>
          <w:spacing w:val="-4"/>
          <w:sz w:val="24"/>
        </w:rPr>
        <w:t> </w:t>
      </w:r>
      <w:r>
        <w:rPr>
          <w:sz w:val="24"/>
        </w:rPr>
        <w:t>require</w:t>
      </w:r>
      <w:r>
        <w:rPr>
          <w:spacing w:val="-4"/>
          <w:sz w:val="24"/>
        </w:rPr>
        <w:t> </w:t>
      </w:r>
      <w:r>
        <w:rPr>
          <w:sz w:val="24"/>
        </w:rPr>
        <w:t>client</w:t>
      </w:r>
      <w:r>
        <w:rPr>
          <w:spacing w:val="-3"/>
          <w:sz w:val="24"/>
        </w:rPr>
        <w:t> </w:t>
      </w:r>
      <w:r>
        <w:rPr>
          <w:sz w:val="24"/>
        </w:rPr>
        <w:t>participation</w:t>
      </w:r>
      <w:r>
        <w:rPr>
          <w:spacing w:val="-4"/>
          <w:sz w:val="24"/>
        </w:rPr>
        <w:t> </w:t>
      </w:r>
      <w:r>
        <w:rPr>
          <w:sz w:val="24"/>
        </w:rPr>
        <w:t>in cost of the services.</w:t>
      </w:r>
    </w:p>
    <w:p>
      <w:pPr>
        <w:pStyle w:val="ListParagraph"/>
        <w:numPr>
          <w:ilvl w:val="1"/>
          <w:numId w:val="93"/>
        </w:numPr>
        <w:tabs>
          <w:tab w:pos="1235" w:val="left" w:leader="none"/>
        </w:tabs>
        <w:spacing w:line="240" w:lineRule="auto" w:before="210" w:after="0"/>
        <w:ind w:left="1235" w:right="0" w:hanging="425"/>
        <w:jc w:val="left"/>
        <w:rPr>
          <w:sz w:val="24"/>
        </w:rPr>
      </w:pPr>
      <w:r>
        <w:rPr>
          <w:spacing w:val="-2"/>
          <w:sz w:val="24"/>
        </w:rPr>
        <w:t>Income.</w:t>
      </w:r>
    </w:p>
    <w:p>
      <w:pPr>
        <w:pStyle w:val="ListParagraph"/>
        <w:spacing w:after="0" w:line="240" w:lineRule="auto"/>
        <w:jc w:val="left"/>
        <w:rPr>
          <w:sz w:val="24"/>
        </w:rPr>
        <w:sectPr>
          <w:pgSz w:w="12240" w:h="15840"/>
          <w:pgMar w:top="1340" w:bottom="280" w:left="1080" w:right="720"/>
        </w:sectPr>
      </w:pPr>
    </w:p>
    <w:p>
      <w:pPr>
        <w:pStyle w:val="ListParagraph"/>
        <w:numPr>
          <w:ilvl w:val="2"/>
          <w:numId w:val="93"/>
        </w:numPr>
        <w:tabs>
          <w:tab w:pos="1712" w:val="left" w:leader="none"/>
        </w:tabs>
        <w:spacing w:line="208" w:lineRule="auto" w:before="96" w:after="0"/>
        <w:ind w:left="1260" w:right="735" w:firstLine="0"/>
        <w:jc w:val="left"/>
        <w:rPr>
          <w:b/>
          <w:sz w:val="24"/>
        </w:rPr>
      </w:pPr>
      <w:r>
        <w:rPr>
          <w:sz w:val="24"/>
        </w:rPr>
        <w:t>Income</w:t>
      </w:r>
      <w:r>
        <w:rPr>
          <w:spacing w:val="-4"/>
          <w:sz w:val="24"/>
        </w:rPr>
        <w:t> </w:t>
      </w:r>
      <w:r>
        <w:rPr>
          <w:sz w:val="24"/>
        </w:rPr>
        <w:t>generated</w:t>
      </w:r>
      <w:r>
        <w:rPr>
          <w:spacing w:val="-4"/>
          <w:sz w:val="24"/>
        </w:rPr>
        <w:t> </w:t>
      </w:r>
      <w:r>
        <w:rPr>
          <w:sz w:val="24"/>
        </w:rPr>
        <w:t>from</w:t>
      </w:r>
      <w:r>
        <w:rPr>
          <w:spacing w:val="-5"/>
          <w:sz w:val="24"/>
        </w:rPr>
        <w:t> </w:t>
      </w:r>
      <w:r>
        <w:rPr>
          <w:sz w:val="24"/>
        </w:rPr>
        <w:t>salaried</w:t>
      </w:r>
      <w:r>
        <w:rPr>
          <w:spacing w:val="-4"/>
          <w:sz w:val="24"/>
        </w:rPr>
        <w:t> </w:t>
      </w:r>
      <w:r>
        <w:rPr>
          <w:sz w:val="24"/>
        </w:rPr>
        <w:t>wages</w:t>
      </w:r>
      <w:r>
        <w:rPr>
          <w:spacing w:val="-3"/>
          <w:sz w:val="24"/>
        </w:rPr>
        <w:t> </w:t>
      </w:r>
      <w:r>
        <w:rPr>
          <w:sz w:val="24"/>
        </w:rPr>
        <w:t>will</w:t>
      </w:r>
      <w:r>
        <w:rPr>
          <w:spacing w:val="-4"/>
          <w:sz w:val="24"/>
        </w:rPr>
        <w:t> </w:t>
      </w:r>
      <w:r>
        <w:rPr>
          <w:sz w:val="24"/>
        </w:rPr>
        <w:t>be</w:t>
      </w:r>
      <w:r>
        <w:rPr>
          <w:spacing w:val="-4"/>
          <w:sz w:val="24"/>
        </w:rPr>
        <w:t> </w:t>
      </w:r>
      <w:r>
        <w:rPr>
          <w:sz w:val="24"/>
        </w:rPr>
        <w:t>calculated</w:t>
      </w:r>
      <w:r>
        <w:rPr>
          <w:spacing w:val="-4"/>
          <w:sz w:val="24"/>
        </w:rPr>
        <w:t> </w:t>
      </w:r>
      <w:r>
        <w:rPr>
          <w:sz w:val="24"/>
        </w:rPr>
        <w:t>by</w:t>
      </w:r>
      <w:r>
        <w:rPr>
          <w:spacing w:val="-4"/>
          <w:sz w:val="24"/>
        </w:rPr>
        <w:t> </w:t>
      </w:r>
      <w:r>
        <w:rPr>
          <w:sz w:val="24"/>
        </w:rPr>
        <w:t>gross</w:t>
      </w:r>
      <w:r>
        <w:rPr>
          <w:spacing w:val="-4"/>
          <w:sz w:val="24"/>
        </w:rPr>
        <w:t> </w:t>
      </w:r>
      <w:r>
        <w:rPr>
          <w:sz w:val="24"/>
        </w:rPr>
        <w:t>earnings minus federal taxes, state taxes and social security deductions. </w:t>
      </w:r>
      <w:r>
        <w:rPr>
          <w:b/>
          <w:sz w:val="24"/>
        </w:rPr>
        <w:t>4</w:t>
      </w:r>
    </w:p>
    <w:p>
      <w:pPr>
        <w:pStyle w:val="ListParagraph"/>
        <w:numPr>
          <w:ilvl w:val="2"/>
          <w:numId w:val="93"/>
        </w:numPr>
        <w:tabs>
          <w:tab w:pos="1712" w:val="left" w:leader="none"/>
        </w:tabs>
        <w:spacing w:line="208" w:lineRule="auto" w:before="240" w:after="0"/>
        <w:ind w:left="1260" w:right="1571" w:firstLine="0"/>
        <w:jc w:val="both"/>
        <w:rPr>
          <w:sz w:val="24"/>
        </w:rPr>
      </w:pPr>
      <w:r>
        <w:rPr>
          <w:sz w:val="24"/>
        </w:rPr>
        <w:t>Income</w:t>
      </w:r>
      <w:r>
        <w:rPr>
          <w:spacing w:val="-4"/>
          <w:sz w:val="24"/>
        </w:rPr>
        <w:t> </w:t>
      </w:r>
      <w:r>
        <w:rPr>
          <w:sz w:val="24"/>
        </w:rPr>
        <w:t>generated</w:t>
      </w:r>
      <w:r>
        <w:rPr>
          <w:spacing w:val="-4"/>
          <w:sz w:val="24"/>
        </w:rPr>
        <w:t> </w:t>
      </w:r>
      <w:r>
        <w:rPr>
          <w:sz w:val="24"/>
        </w:rPr>
        <w:t>from</w:t>
      </w:r>
      <w:r>
        <w:rPr>
          <w:spacing w:val="-5"/>
          <w:sz w:val="24"/>
        </w:rPr>
        <w:t> </w:t>
      </w:r>
      <w:r>
        <w:rPr>
          <w:sz w:val="24"/>
        </w:rPr>
        <w:t>business</w:t>
      </w:r>
      <w:r>
        <w:rPr>
          <w:spacing w:val="-4"/>
          <w:sz w:val="24"/>
        </w:rPr>
        <w:t> </w:t>
      </w:r>
      <w:r>
        <w:rPr>
          <w:sz w:val="24"/>
        </w:rPr>
        <w:t>or</w:t>
      </w:r>
      <w:r>
        <w:rPr>
          <w:spacing w:val="-3"/>
          <w:sz w:val="24"/>
        </w:rPr>
        <w:t> </w:t>
      </w:r>
      <w:r>
        <w:rPr>
          <w:sz w:val="24"/>
        </w:rPr>
        <w:t>profession</w:t>
      </w:r>
      <w:r>
        <w:rPr>
          <w:spacing w:val="-4"/>
          <w:sz w:val="24"/>
        </w:rPr>
        <w:t> </w:t>
      </w:r>
      <w:r>
        <w:rPr>
          <w:sz w:val="24"/>
        </w:rPr>
        <w:t>will</w:t>
      </w:r>
      <w:r>
        <w:rPr>
          <w:spacing w:val="-3"/>
          <w:sz w:val="24"/>
        </w:rPr>
        <w:t> </w:t>
      </w:r>
      <w:r>
        <w:rPr>
          <w:sz w:val="24"/>
        </w:rPr>
        <w:t>be</w:t>
      </w:r>
      <w:r>
        <w:rPr>
          <w:spacing w:val="-4"/>
          <w:sz w:val="24"/>
        </w:rPr>
        <w:t> </w:t>
      </w:r>
      <w:r>
        <w:rPr>
          <w:sz w:val="24"/>
        </w:rPr>
        <w:t>calculated</w:t>
      </w:r>
      <w:r>
        <w:rPr>
          <w:spacing w:val="-4"/>
          <w:sz w:val="24"/>
        </w:rPr>
        <w:t> </w:t>
      </w:r>
      <w:r>
        <w:rPr>
          <w:sz w:val="24"/>
        </w:rPr>
        <w:t>by adjusted</w:t>
      </w:r>
      <w:r>
        <w:rPr>
          <w:spacing w:val="-4"/>
          <w:sz w:val="24"/>
        </w:rPr>
        <w:t> </w:t>
      </w:r>
      <w:r>
        <w:rPr>
          <w:sz w:val="24"/>
        </w:rPr>
        <w:t>gross</w:t>
      </w:r>
      <w:r>
        <w:rPr>
          <w:spacing w:val="-4"/>
          <w:sz w:val="24"/>
        </w:rPr>
        <w:t> </w:t>
      </w:r>
      <w:r>
        <w:rPr>
          <w:sz w:val="24"/>
        </w:rPr>
        <w:t>minus</w:t>
      </w:r>
      <w:r>
        <w:rPr>
          <w:spacing w:val="-4"/>
          <w:sz w:val="24"/>
        </w:rPr>
        <w:t> </w:t>
      </w:r>
      <w:r>
        <w:rPr>
          <w:sz w:val="24"/>
        </w:rPr>
        <w:t>additional</w:t>
      </w:r>
      <w:r>
        <w:rPr>
          <w:spacing w:val="-4"/>
          <w:sz w:val="24"/>
        </w:rPr>
        <w:t> </w:t>
      </w:r>
      <w:r>
        <w:rPr>
          <w:sz w:val="24"/>
        </w:rPr>
        <w:t>federal</w:t>
      </w:r>
      <w:r>
        <w:rPr>
          <w:spacing w:val="-4"/>
          <w:sz w:val="24"/>
        </w:rPr>
        <w:t> </w:t>
      </w:r>
      <w:r>
        <w:rPr>
          <w:sz w:val="24"/>
        </w:rPr>
        <w:t>and</w:t>
      </w:r>
      <w:r>
        <w:rPr>
          <w:spacing w:val="-3"/>
          <w:sz w:val="24"/>
        </w:rPr>
        <w:t> </w:t>
      </w:r>
      <w:r>
        <w:rPr>
          <w:sz w:val="24"/>
        </w:rPr>
        <w:t>state</w:t>
      </w:r>
      <w:r>
        <w:rPr>
          <w:spacing w:val="-4"/>
          <w:sz w:val="24"/>
        </w:rPr>
        <w:t> </w:t>
      </w:r>
      <w:r>
        <w:rPr>
          <w:sz w:val="24"/>
        </w:rPr>
        <w:t>taxes</w:t>
      </w:r>
      <w:r>
        <w:rPr>
          <w:spacing w:val="-5"/>
          <w:sz w:val="24"/>
        </w:rPr>
        <w:t> </w:t>
      </w:r>
      <w:r>
        <w:rPr>
          <w:sz w:val="24"/>
        </w:rPr>
        <w:t>divided</w:t>
      </w:r>
      <w:r>
        <w:rPr>
          <w:spacing w:val="-4"/>
          <w:sz w:val="24"/>
        </w:rPr>
        <w:t> </w:t>
      </w:r>
      <w:r>
        <w:rPr>
          <w:sz w:val="24"/>
        </w:rPr>
        <w:t>by</w:t>
      </w:r>
      <w:r>
        <w:rPr>
          <w:spacing w:val="-4"/>
          <w:sz w:val="24"/>
        </w:rPr>
        <w:t> </w:t>
      </w:r>
      <w:r>
        <w:rPr>
          <w:sz w:val="24"/>
        </w:rPr>
        <w:t>12</w:t>
      </w:r>
      <w:r>
        <w:rPr>
          <w:spacing w:val="-4"/>
          <w:sz w:val="24"/>
        </w:rPr>
        <w:t> </w:t>
      </w:r>
      <w:r>
        <w:rPr>
          <w:sz w:val="24"/>
        </w:rPr>
        <w:t>to determine a monthly amount.</w:t>
      </w:r>
    </w:p>
    <w:p>
      <w:pPr>
        <w:pStyle w:val="ListParagraph"/>
        <w:numPr>
          <w:ilvl w:val="2"/>
          <w:numId w:val="93"/>
        </w:numPr>
        <w:tabs>
          <w:tab w:pos="1725" w:val="left" w:leader="none"/>
        </w:tabs>
        <w:spacing w:line="208" w:lineRule="auto" w:before="239" w:after="0"/>
        <w:ind w:left="1260" w:right="853" w:firstLine="0"/>
        <w:jc w:val="left"/>
        <w:rPr>
          <w:b/>
          <w:sz w:val="24"/>
        </w:rPr>
      </w:pPr>
      <w:r>
        <w:rPr>
          <w:sz w:val="24"/>
        </w:rPr>
        <w:t>Income received from unearned sources, such as pensions, public assistance,</w:t>
      </w:r>
      <w:r>
        <w:rPr>
          <w:spacing w:val="-4"/>
          <w:sz w:val="24"/>
        </w:rPr>
        <w:t> </w:t>
      </w:r>
      <w:r>
        <w:rPr>
          <w:sz w:val="24"/>
        </w:rPr>
        <w:t>interest,</w:t>
      </w:r>
      <w:r>
        <w:rPr>
          <w:spacing w:val="-4"/>
          <w:sz w:val="24"/>
        </w:rPr>
        <w:t> </w:t>
      </w:r>
      <w:r>
        <w:rPr>
          <w:sz w:val="24"/>
        </w:rPr>
        <w:t>dividends,</w:t>
      </w:r>
      <w:r>
        <w:rPr>
          <w:spacing w:val="-4"/>
          <w:sz w:val="24"/>
        </w:rPr>
        <w:t> </w:t>
      </w:r>
      <w:r>
        <w:rPr>
          <w:sz w:val="24"/>
        </w:rPr>
        <w:t>royalties,</w:t>
      </w:r>
      <w:r>
        <w:rPr>
          <w:spacing w:val="-4"/>
          <w:sz w:val="24"/>
        </w:rPr>
        <w:t> </w:t>
      </w:r>
      <w:r>
        <w:rPr>
          <w:sz w:val="24"/>
        </w:rPr>
        <w:t>trust</w:t>
      </w:r>
      <w:r>
        <w:rPr>
          <w:spacing w:val="-4"/>
          <w:sz w:val="24"/>
        </w:rPr>
        <w:t> </w:t>
      </w:r>
      <w:r>
        <w:rPr>
          <w:sz w:val="24"/>
        </w:rPr>
        <w:t>fund,</w:t>
      </w:r>
      <w:r>
        <w:rPr>
          <w:spacing w:val="-6"/>
          <w:sz w:val="24"/>
        </w:rPr>
        <w:t> </w:t>
      </w:r>
      <w:r>
        <w:rPr>
          <w:sz w:val="24"/>
        </w:rPr>
        <w:t>or</w:t>
      </w:r>
      <w:r>
        <w:rPr>
          <w:spacing w:val="-6"/>
          <w:sz w:val="24"/>
        </w:rPr>
        <w:t> </w:t>
      </w:r>
      <w:r>
        <w:rPr>
          <w:sz w:val="24"/>
        </w:rPr>
        <w:t>money</w:t>
      </w:r>
      <w:r>
        <w:rPr>
          <w:spacing w:val="-5"/>
          <w:sz w:val="24"/>
        </w:rPr>
        <w:t> </w:t>
      </w:r>
      <w:r>
        <w:rPr>
          <w:sz w:val="24"/>
        </w:rPr>
        <w:t>payments</w:t>
      </w:r>
      <w:r>
        <w:rPr>
          <w:spacing w:val="-5"/>
          <w:sz w:val="24"/>
        </w:rPr>
        <w:t> </w:t>
      </w:r>
      <w:r>
        <w:rPr>
          <w:sz w:val="24"/>
        </w:rPr>
        <w:t>of</w:t>
      </w:r>
      <w:r>
        <w:rPr>
          <w:spacing w:val="-4"/>
          <w:sz w:val="24"/>
        </w:rPr>
        <w:t> </w:t>
      </w:r>
      <w:r>
        <w:rPr>
          <w:sz w:val="24"/>
        </w:rPr>
        <w:t>any kind</w:t>
      </w:r>
      <w:r>
        <w:rPr>
          <w:spacing w:val="-4"/>
          <w:sz w:val="24"/>
        </w:rPr>
        <w:t> </w:t>
      </w:r>
      <w:r>
        <w:rPr>
          <w:sz w:val="24"/>
        </w:rPr>
        <w:t>will</w:t>
      </w:r>
      <w:r>
        <w:rPr>
          <w:spacing w:val="-4"/>
          <w:sz w:val="24"/>
        </w:rPr>
        <w:t> </w:t>
      </w:r>
      <w:r>
        <w:rPr>
          <w:sz w:val="24"/>
        </w:rPr>
        <w:t>be</w:t>
      </w:r>
      <w:r>
        <w:rPr>
          <w:spacing w:val="-3"/>
          <w:sz w:val="24"/>
        </w:rPr>
        <w:t> </w:t>
      </w:r>
      <w:r>
        <w:rPr>
          <w:sz w:val="24"/>
        </w:rPr>
        <w:t>counted.</w:t>
      </w:r>
      <w:r>
        <w:rPr>
          <w:spacing w:val="-3"/>
          <w:sz w:val="24"/>
        </w:rPr>
        <w:t> </w:t>
      </w:r>
      <w:r>
        <w:rPr>
          <w:sz w:val="24"/>
        </w:rPr>
        <w:t>Educational</w:t>
      </w:r>
      <w:r>
        <w:rPr>
          <w:spacing w:val="-4"/>
          <w:sz w:val="24"/>
        </w:rPr>
        <w:t> </w:t>
      </w:r>
      <w:r>
        <w:rPr>
          <w:sz w:val="24"/>
        </w:rPr>
        <w:t>grants,</w:t>
      </w:r>
      <w:r>
        <w:rPr>
          <w:spacing w:val="-3"/>
          <w:sz w:val="24"/>
        </w:rPr>
        <w:t> </w:t>
      </w:r>
      <w:r>
        <w:rPr>
          <w:sz w:val="24"/>
        </w:rPr>
        <w:t>stipends,</w:t>
      </w:r>
      <w:r>
        <w:rPr>
          <w:spacing w:val="-3"/>
          <w:sz w:val="24"/>
        </w:rPr>
        <w:t> </w:t>
      </w:r>
      <w:r>
        <w:rPr>
          <w:sz w:val="24"/>
        </w:rPr>
        <w:t>or</w:t>
      </w:r>
      <w:r>
        <w:rPr>
          <w:spacing w:val="-3"/>
          <w:sz w:val="24"/>
        </w:rPr>
        <w:t> </w:t>
      </w:r>
      <w:r>
        <w:rPr>
          <w:sz w:val="24"/>
        </w:rPr>
        <w:t>loans</w:t>
      </w:r>
      <w:r>
        <w:rPr>
          <w:spacing w:val="-4"/>
          <w:sz w:val="24"/>
        </w:rPr>
        <w:t> </w:t>
      </w:r>
      <w:r>
        <w:rPr>
          <w:sz w:val="24"/>
        </w:rPr>
        <w:t>will</w:t>
      </w:r>
      <w:r>
        <w:rPr>
          <w:spacing w:val="-4"/>
          <w:sz w:val="24"/>
        </w:rPr>
        <w:t> </w:t>
      </w:r>
      <w:r>
        <w:rPr>
          <w:sz w:val="24"/>
        </w:rPr>
        <w:t>not</w:t>
      </w:r>
      <w:r>
        <w:rPr>
          <w:spacing w:val="-3"/>
          <w:sz w:val="24"/>
        </w:rPr>
        <w:t> </w:t>
      </w:r>
      <w:r>
        <w:rPr>
          <w:sz w:val="24"/>
        </w:rPr>
        <w:t>be</w:t>
      </w:r>
      <w:r>
        <w:rPr>
          <w:spacing w:val="-4"/>
          <w:sz w:val="24"/>
        </w:rPr>
        <w:t> </w:t>
      </w:r>
      <w:r>
        <w:rPr>
          <w:sz w:val="24"/>
        </w:rPr>
        <w:t>included in the calculation. If a yearly income is available, it will be divided by 12 to calculate a monthly amount. </w:t>
      </w:r>
      <w:r>
        <w:rPr>
          <w:b/>
          <w:sz w:val="24"/>
        </w:rPr>
        <w:t>5</w:t>
      </w:r>
    </w:p>
    <w:p>
      <w:pPr>
        <w:pStyle w:val="ListParagraph"/>
        <w:numPr>
          <w:ilvl w:val="1"/>
          <w:numId w:val="93"/>
        </w:numPr>
        <w:tabs>
          <w:tab w:pos="1236" w:val="left" w:leader="none"/>
        </w:tabs>
        <w:spacing w:line="208" w:lineRule="auto" w:before="240" w:after="0"/>
        <w:ind w:left="810" w:right="1104" w:firstLine="0"/>
        <w:jc w:val="both"/>
        <w:rPr>
          <w:sz w:val="24"/>
        </w:rPr>
      </w:pPr>
      <w:r>
        <w:rPr>
          <w:sz w:val="24"/>
        </w:rPr>
        <w:t>Liabilities.</w:t>
      </w:r>
      <w:r>
        <w:rPr>
          <w:spacing w:val="-3"/>
          <w:sz w:val="24"/>
        </w:rPr>
        <w:t> </w:t>
      </w:r>
      <w:r>
        <w:rPr>
          <w:sz w:val="24"/>
        </w:rPr>
        <w:t>When</w:t>
      </w:r>
      <w:r>
        <w:rPr>
          <w:spacing w:val="-4"/>
          <w:sz w:val="24"/>
        </w:rPr>
        <w:t> </w:t>
      </w:r>
      <w:r>
        <w:rPr>
          <w:sz w:val="24"/>
        </w:rPr>
        <w:t>the</w:t>
      </w:r>
      <w:r>
        <w:rPr>
          <w:spacing w:val="-4"/>
          <w:sz w:val="24"/>
        </w:rPr>
        <w:t> </w:t>
      </w:r>
      <w:r>
        <w:rPr>
          <w:sz w:val="24"/>
        </w:rPr>
        <w:t>client</w:t>
      </w:r>
      <w:r>
        <w:rPr>
          <w:spacing w:val="-3"/>
          <w:sz w:val="24"/>
        </w:rPr>
        <w:t> </w:t>
      </w:r>
      <w:r>
        <w:rPr>
          <w:sz w:val="24"/>
        </w:rPr>
        <w:t>is</w:t>
      </w:r>
      <w:r>
        <w:rPr>
          <w:spacing w:val="-4"/>
          <w:sz w:val="24"/>
        </w:rPr>
        <w:t> </w:t>
      </w:r>
      <w:r>
        <w:rPr>
          <w:sz w:val="24"/>
        </w:rPr>
        <w:t>making</w:t>
      </w:r>
      <w:r>
        <w:rPr>
          <w:spacing w:val="-4"/>
          <w:sz w:val="24"/>
        </w:rPr>
        <w:t> </w:t>
      </w:r>
      <w:r>
        <w:rPr>
          <w:sz w:val="24"/>
        </w:rPr>
        <w:t>payments</w:t>
      </w:r>
      <w:r>
        <w:rPr>
          <w:spacing w:val="-4"/>
          <w:sz w:val="24"/>
        </w:rPr>
        <w:t> </w:t>
      </w:r>
      <w:r>
        <w:rPr>
          <w:sz w:val="24"/>
        </w:rPr>
        <w:t>on</w:t>
      </w:r>
      <w:r>
        <w:rPr>
          <w:spacing w:val="-4"/>
          <w:sz w:val="24"/>
        </w:rPr>
        <w:t> </w:t>
      </w:r>
      <w:r>
        <w:rPr>
          <w:sz w:val="24"/>
        </w:rPr>
        <w:t>any</w:t>
      </w:r>
      <w:r>
        <w:rPr>
          <w:spacing w:val="-4"/>
          <w:sz w:val="24"/>
        </w:rPr>
        <w:t> </w:t>
      </w:r>
      <w:r>
        <w:rPr>
          <w:sz w:val="24"/>
        </w:rPr>
        <w:t>areas</w:t>
      </w:r>
      <w:r>
        <w:rPr>
          <w:spacing w:val="-4"/>
          <w:sz w:val="24"/>
        </w:rPr>
        <w:t> </w:t>
      </w:r>
      <w:r>
        <w:rPr>
          <w:sz w:val="24"/>
        </w:rPr>
        <w:t>of</w:t>
      </w:r>
      <w:r>
        <w:rPr>
          <w:spacing w:val="-5"/>
          <w:sz w:val="24"/>
        </w:rPr>
        <w:t> </w:t>
      </w:r>
      <w:r>
        <w:rPr>
          <w:sz w:val="24"/>
        </w:rPr>
        <w:t>liability</w:t>
      </w:r>
      <w:r>
        <w:rPr>
          <w:spacing w:val="-4"/>
          <w:sz w:val="24"/>
        </w:rPr>
        <w:t> </w:t>
      </w:r>
      <w:r>
        <w:rPr>
          <w:sz w:val="24"/>
        </w:rPr>
        <w:t>listed below, payments will be itemized. If payments are not</w:t>
      </w:r>
      <w:r>
        <w:rPr>
          <w:spacing w:val="-1"/>
          <w:sz w:val="24"/>
        </w:rPr>
        <w:t> </w:t>
      </w:r>
      <w:r>
        <w:rPr>
          <w:sz w:val="24"/>
        </w:rPr>
        <w:t>being made on a debt,</w:t>
      </w:r>
      <w:r>
        <w:rPr>
          <w:spacing w:val="-1"/>
          <w:sz w:val="24"/>
        </w:rPr>
        <w:t> </w:t>
      </w:r>
      <w:r>
        <w:rPr>
          <w:sz w:val="24"/>
        </w:rPr>
        <w:t>an expense cannot be shown for this item.</w:t>
      </w:r>
    </w:p>
    <w:p>
      <w:pPr>
        <w:pStyle w:val="ListParagraph"/>
        <w:numPr>
          <w:ilvl w:val="2"/>
          <w:numId w:val="93"/>
        </w:numPr>
        <w:tabs>
          <w:tab w:pos="1712" w:val="left" w:leader="none"/>
        </w:tabs>
        <w:spacing w:line="208" w:lineRule="auto" w:before="240" w:after="0"/>
        <w:ind w:left="1260" w:right="785" w:firstLine="0"/>
        <w:jc w:val="left"/>
        <w:rPr>
          <w:sz w:val="24"/>
        </w:rPr>
      </w:pPr>
      <w:r>
        <w:rPr>
          <w:sz w:val="24"/>
        </w:rPr>
        <w:t>Medical. Out-of-pocket medical payments not covered by insurance, including</w:t>
      </w:r>
      <w:r>
        <w:rPr>
          <w:spacing w:val="-4"/>
          <w:sz w:val="24"/>
        </w:rPr>
        <w:t> </w:t>
      </w:r>
      <w:r>
        <w:rPr>
          <w:sz w:val="24"/>
        </w:rPr>
        <w:t>medication</w:t>
      </w:r>
      <w:r>
        <w:rPr>
          <w:spacing w:val="-4"/>
          <w:sz w:val="24"/>
        </w:rPr>
        <w:t> </w:t>
      </w:r>
      <w:r>
        <w:rPr>
          <w:sz w:val="24"/>
        </w:rPr>
        <w:t>and</w:t>
      </w:r>
      <w:r>
        <w:rPr>
          <w:spacing w:val="-4"/>
          <w:sz w:val="24"/>
        </w:rPr>
        <w:t> </w:t>
      </w:r>
      <w:r>
        <w:rPr>
          <w:sz w:val="24"/>
        </w:rPr>
        <w:t>supplies,</w:t>
      </w:r>
      <w:r>
        <w:rPr>
          <w:spacing w:val="-3"/>
          <w:sz w:val="24"/>
        </w:rPr>
        <w:t> </w:t>
      </w:r>
      <w:r>
        <w:rPr>
          <w:sz w:val="24"/>
        </w:rPr>
        <w:t>can</w:t>
      </w:r>
      <w:r>
        <w:rPr>
          <w:spacing w:val="-4"/>
          <w:sz w:val="24"/>
        </w:rPr>
        <w:t> </w:t>
      </w:r>
      <w:r>
        <w:rPr>
          <w:sz w:val="24"/>
        </w:rPr>
        <w:t>be</w:t>
      </w:r>
      <w:r>
        <w:rPr>
          <w:spacing w:val="-4"/>
          <w:sz w:val="24"/>
        </w:rPr>
        <w:t> </w:t>
      </w:r>
      <w:r>
        <w:rPr>
          <w:sz w:val="24"/>
        </w:rPr>
        <w:t>used</w:t>
      </w:r>
      <w:r>
        <w:rPr>
          <w:spacing w:val="-4"/>
          <w:sz w:val="24"/>
        </w:rPr>
        <w:t> </w:t>
      </w:r>
      <w:r>
        <w:rPr>
          <w:sz w:val="24"/>
        </w:rPr>
        <w:t>as</w:t>
      </w:r>
      <w:r>
        <w:rPr>
          <w:spacing w:val="-4"/>
          <w:sz w:val="24"/>
        </w:rPr>
        <w:t> </w:t>
      </w:r>
      <w:r>
        <w:rPr>
          <w:sz w:val="24"/>
        </w:rPr>
        <w:t>a</w:t>
      </w:r>
      <w:r>
        <w:rPr>
          <w:spacing w:val="-4"/>
          <w:sz w:val="24"/>
        </w:rPr>
        <w:t> </w:t>
      </w:r>
      <w:r>
        <w:rPr>
          <w:sz w:val="24"/>
        </w:rPr>
        <w:t>medical</w:t>
      </w:r>
      <w:r>
        <w:rPr>
          <w:spacing w:val="-4"/>
          <w:sz w:val="24"/>
        </w:rPr>
        <w:t> </w:t>
      </w:r>
      <w:r>
        <w:rPr>
          <w:sz w:val="24"/>
        </w:rPr>
        <w:t>expense.</w:t>
      </w:r>
      <w:r>
        <w:rPr>
          <w:spacing w:val="-3"/>
          <w:sz w:val="24"/>
        </w:rPr>
        <w:t> </w:t>
      </w:r>
      <w:r>
        <w:rPr>
          <w:sz w:val="24"/>
        </w:rPr>
        <w:t>Monthly premiums for health insurance can be included.</w:t>
      </w:r>
    </w:p>
    <w:p>
      <w:pPr>
        <w:pStyle w:val="ListParagraph"/>
        <w:numPr>
          <w:ilvl w:val="2"/>
          <w:numId w:val="93"/>
        </w:numPr>
        <w:tabs>
          <w:tab w:pos="1713" w:val="left" w:leader="none"/>
        </w:tabs>
        <w:spacing w:line="208" w:lineRule="auto" w:before="239" w:after="0"/>
        <w:ind w:left="1260" w:right="1000" w:firstLine="0"/>
        <w:jc w:val="left"/>
        <w:rPr>
          <w:sz w:val="24"/>
        </w:rPr>
      </w:pPr>
      <w:r>
        <w:rPr>
          <w:sz w:val="24"/>
        </w:rPr>
        <w:t>Disability</w:t>
      </w:r>
      <w:r>
        <w:rPr>
          <w:spacing w:val="-5"/>
          <w:sz w:val="24"/>
        </w:rPr>
        <w:t> </w:t>
      </w:r>
      <w:r>
        <w:rPr>
          <w:sz w:val="24"/>
        </w:rPr>
        <w:t>related</w:t>
      </w:r>
      <w:r>
        <w:rPr>
          <w:spacing w:val="-5"/>
          <w:sz w:val="24"/>
        </w:rPr>
        <w:t> </w:t>
      </w:r>
      <w:r>
        <w:rPr>
          <w:sz w:val="24"/>
        </w:rPr>
        <w:t>expenses.</w:t>
      </w:r>
      <w:r>
        <w:rPr>
          <w:spacing w:val="-4"/>
          <w:sz w:val="24"/>
        </w:rPr>
        <w:t> </w:t>
      </w:r>
      <w:r>
        <w:rPr>
          <w:sz w:val="24"/>
        </w:rPr>
        <w:t>Disability</w:t>
      </w:r>
      <w:r>
        <w:rPr>
          <w:spacing w:val="-5"/>
          <w:sz w:val="24"/>
        </w:rPr>
        <w:t> </w:t>
      </w:r>
      <w:r>
        <w:rPr>
          <w:sz w:val="24"/>
        </w:rPr>
        <w:t>related</w:t>
      </w:r>
      <w:r>
        <w:rPr>
          <w:spacing w:val="-5"/>
          <w:sz w:val="24"/>
        </w:rPr>
        <w:t> </w:t>
      </w:r>
      <w:r>
        <w:rPr>
          <w:sz w:val="24"/>
        </w:rPr>
        <w:t>expenses</w:t>
      </w:r>
      <w:r>
        <w:rPr>
          <w:spacing w:val="-5"/>
          <w:sz w:val="24"/>
        </w:rPr>
        <w:t> </w:t>
      </w:r>
      <w:r>
        <w:rPr>
          <w:sz w:val="24"/>
        </w:rPr>
        <w:t>beyond</w:t>
      </w:r>
      <w:r>
        <w:rPr>
          <w:spacing w:val="-4"/>
          <w:sz w:val="24"/>
        </w:rPr>
        <w:t> </w:t>
      </w:r>
      <w:r>
        <w:rPr>
          <w:sz w:val="24"/>
        </w:rPr>
        <w:t>the</w:t>
      </w:r>
      <w:r>
        <w:rPr>
          <w:spacing w:val="-5"/>
          <w:sz w:val="24"/>
        </w:rPr>
        <w:t> </w:t>
      </w:r>
      <w:r>
        <w:rPr>
          <w:sz w:val="24"/>
        </w:rPr>
        <w:t>basic living requirements may be considered, if not funded by DRS.</w:t>
      </w:r>
    </w:p>
    <w:p>
      <w:pPr>
        <w:pStyle w:val="ListParagraph"/>
        <w:numPr>
          <w:ilvl w:val="2"/>
          <w:numId w:val="93"/>
        </w:numPr>
        <w:tabs>
          <w:tab w:pos="1725" w:val="left" w:leader="none"/>
        </w:tabs>
        <w:spacing w:line="208" w:lineRule="auto" w:before="240" w:after="0"/>
        <w:ind w:left="1260" w:right="988" w:firstLine="0"/>
        <w:jc w:val="left"/>
        <w:rPr>
          <w:sz w:val="24"/>
        </w:rPr>
      </w:pPr>
      <w:r>
        <w:rPr>
          <w:sz w:val="24"/>
        </w:rPr>
        <w:t>Other.</w:t>
      </w:r>
      <w:r>
        <w:rPr>
          <w:spacing w:val="-6"/>
          <w:sz w:val="24"/>
        </w:rPr>
        <w:t> </w:t>
      </w:r>
      <w:r>
        <w:rPr>
          <w:sz w:val="24"/>
        </w:rPr>
        <w:t>Court</w:t>
      </w:r>
      <w:r>
        <w:rPr>
          <w:spacing w:val="-4"/>
          <w:sz w:val="24"/>
        </w:rPr>
        <w:t> </w:t>
      </w:r>
      <w:r>
        <w:rPr>
          <w:sz w:val="24"/>
        </w:rPr>
        <w:t>order</w:t>
      </w:r>
      <w:r>
        <w:rPr>
          <w:spacing w:val="-6"/>
          <w:sz w:val="24"/>
        </w:rPr>
        <w:t> </w:t>
      </w:r>
      <w:r>
        <w:rPr>
          <w:sz w:val="24"/>
        </w:rPr>
        <w:t>commitments,</w:t>
      </w:r>
      <w:r>
        <w:rPr>
          <w:spacing w:val="-4"/>
          <w:sz w:val="24"/>
        </w:rPr>
        <w:t> </w:t>
      </w:r>
      <w:r>
        <w:rPr>
          <w:sz w:val="24"/>
        </w:rPr>
        <w:t>including</w:t>
      </w:r>
      <w:r>
        <w:rPr>
          <w:spacing w:val="-5"/>
          <w:sz w:val="24"/>
        </w:rPr>
        <w:t> </w:t>
      </w:r>
      <w:r>
        <w:rPr>
          <w:sz w:val="24"/>
        </w:rPr>
        <w:t>child</w:t>
      </w:r>
      <w:r>
        <w:rPr>
          <w:spacing w:val="-5"/>
          <w:sz w:val="24"/>
        </w:rPr>
        <w:t> </w:t>
      </w:r>
      <w:r>
        <w:rPr>
          <w:sz w:val="24"/>
        </w:rPr>
        <w:t>support,</w:t>
      </w:r>
      <w:r>
        <w:rPr>
          <w:spacing w:val="-4"/>
          <w:sz w:val="24"/>
        </w:rPr>
        <w:t> </w:t>
      </w:r>
      <w:r>
        <w:rPr>
          <w:sz w:val="24"/>
        </w:rPr>
        <w:t>can</w:t>
      </w:r>
      <w:r>
        <w:rPr>
          <w:spacing w:val="-6"/>
          <w:sz w:val="24"/>
        </w:rPr>
        <w:t> </w:t>
      </w:r>
      <w:r>
        <w:rPr>
          <w:sz w:val="24"/>
        </w:rPr>
        <w:t>be</w:t>
      </w:r>
      <w:r>
        <w:rPr>
          <w:spacing w:val="-5"/>
          <w:sz w:val="24"/>
        </w:rPr>
        <w:t> </w:t>
      </w:r>
      <w:r>
        <w:rPr>
          <w:sz w:val="24"/>
        </w:rPr>
        <w:t>counted as a liability.</w:t>
      </w:r>
    </w:p>
    <w:p>
      <w:pPr>
        <w:pStyle w:val="ListParagraph"/>
        <w:numPr>
          <w:ilvl w:val="2"/>
          <w:numId w:val="93"/>
        </w:numPr>
        <w:tabs>
          <w:tab w:pos="1726" w:val="left" w:leader="none"/>
        </w:tabs>
        <w:spacing w:line="208" w:lineRule="auto" w:before="240" w:after="0"/>
        <w:ind w:left="1260" w:right="800" w:firstLine="0"/>
        <w:jc w:val="left"/>
        <w:rPr>
          <w:sz w:val="24"/>
        </w:rPr>
      </w:pPr>
      <w:r>
        <w:rPr>
          <w:sz w:val="24"/>
        </w:rPr>
        <w:t>Education</w:t>
      </w:r>
      <w:r>
        <w:rPr>
          <w:spacing w:val="-4"/>
          <w:sz w:val="24"/>
        </w:rPr>
        <w:t> </w:t>
      </w:r>
      <w:r>
        <w:rPr>
          <w:sz w:val="24"/>
        </w:rPr>
        <w:t>expenses.</w:t>
      </w:r>
      <w:r>
        <w:rPr>
          <w:spacing w:val="-3"/>
          <w:sz w:val="24"/>
        </w:rPr>
        <w:t> </w:t>
      </w:r>
      <w:r>
        <w:rPr>
          <w:sz w:val="24"/>
        </w:rPr>
        <w:t>Costs</w:t>
      </w:r>
      <w:r>
        <w:rPr>
          <w:spacing w:val="-4"/>
          <w:sz w:val="24"/>
        </w:rPr>
        <w:t> </w:t>
      </w:r>
      <w:r>
        <w:rPr>
          <w:sz w:val="24"/>
        </w:rPr>
        <w:t>for</w:t>
      </w:r>
      <w:r>
        <w:rPr>
          <w:spacing w:val="-3"/>
          <w:sz w:val="24"/>
        </w:rPr>
        <w:t> </w:t>
      </w:r>
      <w:r>
        <w:rPr>
          <w:sz w:val="24"/>
        </w:rPr>
        <w:t>any</w:t>
      </w:r>
      <w:r>
        <w:rPr>
          <w:spacing w:val="-4"/>
          <w:sz w:val="24"/>
        </w:rPr>
        <w:t> </w:t>
      </w:r>
      <w:r>
        <w:rPr>
          <w:sz w:val="24"/>
        </w:rPr>
        <w:t>family</w:t>
      </w:r>
      <w:r>
        <w:rPr>
          <w:spacing w:val="-4"/>
          <w:sz w:val="24"/>
        </w:rPr>
        <w:t> </w:t>
      </w:r>
      <w:r>
        <w:rPr>
          <w:sz w:val="24"/>
        </w:rPr>
        <w:t>member</w:t>
      </w:r>
      <w:r>
        <w:rPr>
          <w:spacing w:val="-5"/>
          <w:sz w:val="24"/>
        </w:rPr>
        <w:t> </w:t>
      </w:r>
      <w:r>
        <w:rPr>
          <w:sz w:val="24"/>
        </w:rPr>
        <w:t>incurred</w:t>
      </w:r>
      <w:r>
        <w:rPr>
          <w:spacing w:val="-4"/>
          <w:sz w:val="24"/>
        </w:rPr>
        <w:t> </w:t>
      </w:r>
      <w:r>
        <w:rPr>
          <w:sz w:val="24"/>
        </w:rPr>
        <w:t>only</w:t>
      </w:r>
      <w:r>
        <w:rPr>
          <w:spacing w:val="-4"/>
          <w:sz w:val="24"/>
        </w:rPr>
        <w:t> </w:t>
      </w:r>
      <w:r>
        <w:rPr>
          <w:sz w:val="24"/>
        </w:rPr>
        <w:t>for</w:t>
      </w:r>
      <w:r>
        <w:rPr>
          <w:spacing w:val="-3"/>
          <w:sz w:val="24"/>
        </w:rPr>
        <w:t> </w:t>
      </w:r>
      <w:r>
        <w:rPr>
          <w:sz w:val="24"/>
        </w:rPr>
        <w:t>tuition, books, and fees, toward post-secondary educational expenses, not included in the IPE or paid by grants, scholarships, fee waivers, etc., can be counted as a liability. Only the amount of the payments can be counted as a liability.</w:t>
      </w:r>
    </w:p>
    <w:p>
      <w:pPr>
        <w:pStyle w:val="ListParagraph"/>
        <w:numPr>
          <w:ilvl w:val="0"/>
          <w:numId w:val="93"/>
        </w:numPr>
        <w:tabs>
          <w:tab w:pos="706" w:val="left" w:leader="none"/>
        </w:tabs>
        <w:spacing w:line="208" w:lineRule="auto" w:before="239" w:after="0"/>
        <w:ind w:left="360" w:right="726" w:firstLine="0"/>
        <w:jc w:val="left"/>
        <w:rPr>
          <w:sz w:val="24"/>
        </w:rPr>
      </w:pPr>
      <w:r>
        <w:rPr>
          <w:sz w:val="24"/>
        </w:rPr>
        <w:t>Case recording requirements. A statement regarding the re-evaluation of financial needs</w:t>
      </w:r>
      <w:r>
        <w:rPr>
          <w:spacing w:val="-3"/>
          <w:sz w:val="24"/>
        </w:rPr>
        <w:t> </w:t>
      </w:r>
      <w:r>
        <w:rPr>
          <w:sz w:val="24"/>
        </w:rPr>
        <w:t>must</w:t>
      </w:r>
      <w:r>
        <w:rPr>
          <w:spacing w:val="-2"/>
          <w:sz w:val="24"/>
        </w:rPr>
        <w:t> </w:t>
      </w:r>
      <w:r>
        <w:rPr>
          <w:sz w:val="24"/>
        </w:rPr>
        <w:t>be</w:t>
      </w:r>
      <w:r>
        <w:rPr>
          <w:spacing w:val="-3"/>
          <w:sz w:val="24"/>
        </w:rPr>
        <w:t> </w:t>
      </w:r>
      <w:r>
        <w:rPr>
          <w:sz w:val="24"/>
        </w:rPr>
        <w:t>included</w:t>
      </w:r>
      <w:r>
        <w:rPr>
          <w:spacing w:val="-3"/>
          <w:sz w:val="24"/>
        </w:rPr>
        <w:t> </w:t>
      </w:r>
      <w:r>
        <w:rPr>
          <w:sz w:val="24"/>
        </w:rPr>
        <w:t>in</w:t>
      </w:r>
      <w:r>
        <w:rPr>
          <w:spacing w:val="-3"/>
          <w:sz w:val="24"/>
        </w:rPr>
        <w:t> </w:t>
      </w:r>
      <w:r>
        <w:rPr>
          <w:sz w:val="24"/>
        </w:rPr>
        <w:t>the</w:t>
      </w:r>
      <w:r>
        <w:rPr>
          <w:spacing w:val="-3"/>
          <w:sz w:val="24"/>
        </w:rPr>
        <w:t> </w:t>
      </w:r>
      <w:r>
        <w:rPr>
          <w:sz w:val="24"/>
        </w:rPr>
        <w:t>record</w:t>
      </w:r>
      <w:r>
        <w:rPr>
          <w:spacing w:val="-3"/>
          <w:sz w:val="24"/>
        </w:rPr>
        <w:t> </w:t>
      </w:r>
      <w:r>
        <w:rPr>
          <w:sz w:val="24"/>
        </w:rPr>
        <w:t>of</w:t>
      </w:r>
      <w:r>
        <w:rPr>
          <w:spacing w:val="-2"/>
          <w:sz w:val="24"/>
        </w:rPr>
        <w:t> </w:t>
      </w:r>
      <w:r>
        <w:rPr>
          <w:sz w:val="24"/>
        </w:rPr>
        <w:t>service.</w:t>
      </w:r>
      <w:r>
        <w:rPr>
          <w:spacing w:val="-2"/>
          <w:sz w:val="24"/>
        </w:rPr>
        <w:t> </w:t>
      </w:r>
      <w:r>
        <w:rPr>
          <w:sz w:val="24"/>
        </w:rPr>
        <w:t>The</w:t>
      </w:r>
      <w:r>
        <w:rPr>
          <w:spacing w:val="-3"/>
          <w:sz w:val="24"/>
        </w:rPr>
        <w:t> </w:t>
      </w:r>
      <w:r>
        <w:rPr>
          <w:sz w:val="24"/>
        </w:rPr>
        <w:t>financial</w:t>
      </w:r>
      <w:r>
        <w:rPr>
          <w:spacing w:val="-3"/>
          <w:sz w:val="24"/>
        </w:rPr>
        <w:t> </w:t>
      </w:r>
      <w:r>
        <w:rPr>
          <w:sz w:val="24"/>
        </w:rPr>
        <w:t>review</w:t>
      </w:r>
      <w:r>
        <w:rPr>
          <w:spacing w:val="-3"/>
          <w:sz w:val="24"/>
        </w:rPr>
        <w:t> </w:t>
      </w:r>
      <w:r>
        <w:rPr>
          <w:sz w:val="24"/>
        </w:rPr>
        <w:t>may</w:t>
      </w:r>
      <w:r>
        <w:rPr>
          <w:spacing w:val="-3"/>
          <w:sz w:val="24"/>
        </w:rPr>
        <w:t> </w:t>
      </w:r>
      <w:r>
        <w:rPr>
          <w:sz w:val="24"/>
        </w:rPr>
        <w:t>be</w:t>
      </w:r>
      <w:r>
        <w:rPr>
          <w:spacing w:val="-3"/>
          <w:sz w:val="24"/>
        </w:rPr>
        <w:t> </w:t>
      </w:r>
      <w:r>
        <w:rPr>
          <w:sz w:val="24"/>
        </w:rPr>
        <w:t>included</w:t>
      </w:r>
      <w:r>
        <w:rPr>
          <w:spacing w:val="-3"/>
          <w:sz w:val="24"/>
        </w:rPr>
        <w:t> </w:t>
      </w:r>
      <w:r>
        <w:rPr>
          <w:sz w:val="24"/>
        </w:rPr>
        <w:t>in the IPE review if they occur at the same time.</w:t>
      </w:r>
    </w:p>
    <w:p>
      <w:pPr>
        <w:pStyle w:val="BodyText"/>
        <w:spacing w:before="211"/>
      </w:pPr>
      <w:r>
        <w:rPr/>
        <w:t>Instructions</w:t>
      </w:r>
      <w:r>
        <w:rPr>
          <w:spacing w:val="-5"/>
        </w:rPr>
        <w:t> </w:t>
      </w:r>
      <w:r>
        <w:rPr/>
        <w:t>to</w:t>
      </w:r>
      <w:r>
        <w:rPr>
          <w:spacing w:val="-2"/>
        </w:rPr>
        <w:t> </w:t>
      </w:r>
      <w:r>
        <w:rPr>
          <w:spacing w:val="-4"/>
        </w:rPr>
        <w:t>Staff</w:t>
      </w:r>
    </w:p>
    <w:p>
      <w:pPr>
        <w:pStyle w:val="ListParagraph"/>
        <w:numPr>
          <w:ilvl w:val="0"/>
          <w:numId w:val="94"/>
        </w:numPr>
        <w:tabs>
          <w:tab w:pos="1078" w:val="left" w:leader="none"/>
          <w:tab w:pos="1080" w:val="left" w:leader="none"/>
        </w:tabs>
        <w:spacing w:line="208" w:lineRule="auto" w:before="233" w:after="0"/>
        <w:ind w:left="1080" w:right="1292" w:hanging="360"/>
        <w:jc w:val="left"/>
        <w:rPr>
          <w:sz w:val="24"/>
        </w:rPr>
      </w:pPr>
      <w:r>
        <w:rPr>
          <w:sz w:val="24"/>
        </w:rPr>
        <w:t>Counselors'</w:t>
      </w:r>
      <w:r>
        <w:rPr>
          <w:spacing w:val="-4"/>
          <w:sz w:val="24"/>
        </w:rPr>
        <w:t> </w:t>
      </w:r>
      <w:r>
        <w:rPr>
          <w:sz w:val="24"/>
        </w:rPr>
        <w:t>guide</w:t>
      </w:r>
      <w:r>
        <w:rPr>
          <w:spacing w:val="-4"/>
          <w:sz w:val="24"/>
        </w:rPr>
        <w:t> </w:t>
      </w:r>
      <w:r>
        <w:rPr>
          <w:sz w:val="24"/>
        </w:rPr>
        <w:t>for</w:t>
      </w:r>
      <w:r>
        <w:rPr>
          <w:spacing w:val="-3"/>
          <w:sz w:val="24"/>
        </w:rPr>
        <w:t> </w:t>
      </w:r>
      <w:r>
        <w:rPr>
          <w:sz w:val="24"/>
        </w:rPr>
        <w:t>determining</w:t>
      </w:r>
      <w:r>
        <w:rPr>
          <w:spacing w:val="-4"/>
          <w:sz w:val="24"/>
        </w:rPr>
        <w:t> </w:t>
      </w:r>
      <w:r>
        <w:rPr>
          <w:sz w:val="24"/>
        </w:rPr>
        <w:t>200%</w:t>
      </w:r>
      <w:r>
        <w:rPr>
          <w:spacing w:val="-4"/>
          <w:sz w:val="24"/>
        </w:rPr>
        <w:t> </w:t>
      </w:r>
      <w:r>
        <w:rPr>
          <w:sz w:val="24"/>
        </w:rPr>
        <w:t>of</w:t>
      </w:r>
      <w:r>
        <w:rPr>
          <w:spacing w:val="-3"/>
          <w:sz w:val="24"/>
        </w:rPr>
        <w:t> </w:t>
      </w:r>
      <w:r>
        <w:rPr>
          <w:sz w:val="24"/>
        </w:rPr>
        <w:t>the</w:t>
      </w:r>
      <w:r>
        <w:rPr>
          <w:spacing w:val="-4"/>
          <w:sz w:val="24"/>
        </w:rPr>
        <w:t> </w:t>
      </w:r>
      <w:r>
        <w:rPr>
          <w:sz w:val="24"/>
        </w:rPr>
        <w:t>Federal</w:t>
      </w:r>
      <w:r>
        <w:rPr>
          <w:spacing w:val="-3"/>
          <w:sz w:val="24"/>
        </w:rPr>
        <w:t> </w:t>
      </w:r>
      <w:r>
        <w:rPr>
          <w:sz w:val="24"/>
        </w:rPr>
        <w:t>poverty</w:t>
      </w:r>
      <w:r>
        <w:rPr>
          <w:spacing w:val="-4"/>
          <w:sz w:val="24"/>
        </w:rPr>
        <w:t> </w:t>
      </w:r>
      <w:r>
        <w:rPr>
          <w:sz w:val="24"/>
        </w:rPr>
        <w:t>level</w:t>
      </w:r>
      <w:r>
        <w:rPr>
          <w:spacing w:val="-4"/>
          <w:sz w:val="24"/>
        </w:rPr>
        <w:t> </w:t>
      </w:r>
      <w:r>
        <w:rPr>
          <w:sz w:val="24"/>
        </w:rPr>
        <w:t>income based on household size:</w:t>
      </w:r>
    </w:p>
    <w:p>
      <w:pPr>
        <w:pStyle w:val="BodyText"/>
        <w:spacing w:before="14"/>
        <w:ind w:left="0"/>
        <w:rPr>
          <w:sz w:val="20"/>
        </w:rPr>
      </w:pPr>
    </w:p>
    <w:tbl>
      <w:tblPr>
        <w:tblW w:w="0" w:type="auto"/>
        <w:jc w:val="left"/>
        <w:tblInd w:w="1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80"/>
        <w:gridCol w:w="4050"/>
      </w:tblGrid>
      <w:tr>
        <w:trPr>
          <w:trHeight w:val="402" w:hRule="atLeast"/>
        </w:trPr>
        <w:tc>
          <w:tcPr>
            <w:tcW w:w="3780" w:type="dxa"/>
          </w:tcPr>
          <w:p>
            <w:pPr>
              <w:pStyle w:val="TableParagraph"/>
              <w:spacing w:before="1"/>
              <w:ind w:left="359"/>
              <w:rPr>
                <w:sz w:val="24"/>
              </w:rPr>
            </w:pPr>
            <w:r>
              <w:rPr>
                <w:sz w:val="24"/>
              </w:rPr>
              <w:t>NUMBER</w:t>
            </w:r>
            <w:r>
              <w:rPr>
                <w:spacing w:val="-2"/>
                <w:sz w:val="24"/>
              </w:rPr>
              <w:t> </w:t>
            </w:r>
            <w:r>
              <w:rPr>
                <w:sz w:val="24"/>
              </w:rPr>
              <w:t>IN</w:t>
            </w:r>
            <w:r>
              <w:rPr>
                <w:spacing w:val="-1"/>
                <w:sz w:val="24"/>
              </w:rPr>
              <w:t> </w:t>
            </w:r>
            <w:r>
              <w:rPr>
                <w:spacing w:val="-2"/>
                <w:sz w:val="24"/>
              </w:rPr>
              <w:t>FAMILY</w:t>
            </w:r>
          </w:p>
        </w:tc>
        <w:tc>
          <w:tcPr>
            <w:tcW w:w="4050" w:type="dxa"/>
          </w:tcPr>
          <w:p>
            <w:pPr>
              <w:pStyle w:val="TableParagraph"/>
              <w:spacing w:before="1"/>
              <w:ind w:left="219"/>
              <w:rPr>
                <w:sz w:val="24"/>
              </w:rPr>
            </w:pPr>
            <w:r>
              <w:rPr>
                <w:sz w:val="24"/>
              </w:rPr>
              <w:t>BASIC</w:t>
            </w:r>
            <w:r>
              <w:rPr>
                <w:spacing w:val="-3"/>
                <w:sz w:val="24"/>
              </w:rPr>
              <w:t> </w:t>
            </w:r>
            <w:r>
              <w:rPr>
                <w:sz w:val="24"/>
              </w:rPr>
              <w:t>LIVING</w:t>
            </w:r>
            <w:r>
              <w:rPr>
                <w:spacing w:val="-2"/>
                <w:sz w:val="24"/>
              </w:rPr>
              <w:t> REQUIREMENTS</w:t>
            </w:r>
          </w:p>
        </w:tc>
      </w:tr>
      <w:tr>
        <w:trPr>
          <w:trHeight w:val="276" w:hRule="atLeast"/>
        </w:trPr>
        <w:tc>
          <w:tcPr>
            <w:tcW w:w="3780" w:type="dxa"/>
          </w:tcPr>
          <w:p>
            <w:pPr>
              <w:pStyle w:val="TableParagraph"/>
              <w:spacing w:line="255" w:lineRule="exact" w:before="1"/>
              <w:ind w:left="359"/>
              <w:rPr>
                <w:sz w:val="24"/>
              </w:rPr>
            </w:pPr>
            <w:r>
              <w:rPr>
                <w:spacing w:val="-10"/>
                <w:sz w:val="24"/>
              </w:rPr>
              <w:t>1</w:t>
            </w:r>
          </w:p>
        </w:tc>
        <w:tc>
          <w:tcPr>
            <w:tcW w:w="4050" w:type="dxa"/>
          </w:tcPr>
          <w:p>
            <w:pPr>
              <w:pStyle w:val="TableParagraph"/>
              <w:spacing w:line="255" w:lineRule="exact" w:before="1"/>
              <w:ind w:left="269"/>
              <w:rPr>
                <w:sz w:val="24"/>
              </w:rPr>
            </w:pPr>
            <w:r>
              <w:rPr>
                <w:spacing w:val="-4"/>
                <w:sz w:val="24"/>
              </w:rPr>
              <w:t>2,608</w:t>
            </w:r>
          </w:p>
        </w:tc>
      </w:tr>
      <w:tr>
        <w:trPr>
          <w:trHeight w:val="276" w:hRule="atLeast"/>
        </w:trPr>
        <w:tc>
          <w:tcPr>
            <w:tcW w:w="3780" w:type="dxa"/>
          </w:tcPr>
          <w:p>
            <w:pPr>
              <w:pStyle w:val="TableParagraph"/>
              <w:spacing w:line="255" w:lineRule="exact" w:before="1"/>
              <w:ind w:left="359"/>
              <w:rPr>
                <w:sz w:val="24"/>
              </w:rPr>
            </w:pPr>
            <w:r>
              <w:rPr>
                <w:spacing w:val="-10"/>
                <w:sz w:val="24"/>
              </w:rPr>
              <w:t>2</w:t>
            </w:r>
          </w:p>
        </w:tc>
        <w:tc>
          <w:tcPr>
            <w:tcW w:w="4050" w:type="dxa"/>
          </w:tcPr>
          <w:p>
            <w:pPr>
              <w:pStyle w:val="TableParagraph"/>
              <w:spacing w:line="255" w:lineRule="exact" w:before="1"/>
              <w:ind w:left="269"/>
              <w:rPr>
                <w:sz w:val="24"/>
              </w:rPr>
            </w:pPr>
            <w:r>
              <w:rPr>
                <w:spacing w:val="-4"/>
                <w:sz w:val="24"/>
              </w:rPr>
              <w:t>3,525</w:t>
            </w:r>
          </w:p>
        </w:tc>
      </w:tr>
      <w:tr>
        <w:trPr>
          <w:trHeight w:val="275" w:hRule="atLeast"/>
        </w:trPr>
        <w:tc>
          <w:tcPr>
            <w:tcW w:w="3780" w:type="dxa"/>
          </w:tcPr>
          <w:p>
            <w:pPr>
              <w:pStyle w:val="TableParagraph"/>
              <w:spacing w:line="255" w:lineRule="exact" w:before="0"/>
              <w:ind w:left="359"/>
              <w:rPr>
                <w:sz w:val="24"/>
              </w:rPr>
            </w:pPr>
            <w:r>
              <w:rPr>
                <w:spacing w:val="-10"/>
                <w:sz w:val="24"/>
              </w:rPr>
              <w:t>3</w:t>
            </w:r>
          </w:p>
        </w:tc>
        <w:tc>
          <w:tcPr>
            <w:tcW w:w="4050" w:type="dxa"/>
          </w:tcPr>
          <w:p>
            <w:pPr>
              <w:pStyle w:val="TableParagraph"/>
              <w:spacing w:line="255" w:lineRule="exact" w:before="0"/>
              <w:ind w:left="269"/>
              <w:rPr>
                <w:sz w:val="24"/>
              </w:rPr>
            </w:pPr>
            <w:r>
              <w:rPr>
                <w:spacing w:val="-4"/>
                <w:sz w:val="24"/>
              </w:rPr>
              <w:t>4,442</w:t>
            </w:r>
          </w:p>
        </w:tc>
      </w:tr>
      <w:tr>
        <w:trPr>
          <w:trHeight w:val="276" w:hRule="atLeast"/>
        </w:trPr>
        <w:tc>
          <w:tcPr>
            <w:tcW w:w="3780" w:type="dxa"/>
          </w:tcPr>
          <w:p>
            <w:pPr>
              <w:pStyle w:val="TableParagraph"/>
              <w:spacing w:line="255" w:lineRule="exact" w:before="1"/>
              <w:ind w:left="359"/>
              <w:rPr>
                <w:sz w:val="24"/>
              </w:rPr>
            </w:pPr>
            <w:r>
              <w:rPr>
                <w:spacing w:val="-10"/>
                <w:sz w:val="24"/>
              </w:rPr>
              <w:t>4</w:t>
            </w:r>
          </w:p>
        </w:tc>
        <w:tc>
          <w:tcPr>
            <w:tcW w:w="4050" w:type="dxa"/>
          </w:tcPr>
          <w:p>
            <w:pPr>
              <w:pStyle w:val="TableParagraph"/>
              <w:spacing w:line="255" w:lineRule="exact" w:before="1"/>
              <w:ind w:left="269"/>
              <w:rPr>
                <w:sz w:val="24"/>
              </w:rPr>
            </w:pPr>
            <w:r>
              <w:rPr>
                <w:spacing w:val="-4"/>
                <w:sz w:val="24"/>
              </w:rPr>
              <w:t>5,358</w:t>
            </w:r>
          </w:p>
        </w:tc>
      </w:tr>
      <w:tr>
        <w:trPr>
          <w:trHeight w:val="276" w:hRule="atLeast"/>
        </w:trPr>
        <w:tc>
          <w:tcPr>
            <w:tcW w:w="3780" w:type="dxa"/>
          </w:tcPr>
          <w:p>
            <w:pPr>
              <w:pStyle w:val="TableParagraph"/>
              <w:spacing w:line="255" w:lineRule="exact" w:before="1"/>
              <w:ind w:left="359"/>
              <w:rPr>
                <w:sz w:val="24"/>
              </w:rPr>
            </w:pPr>
            <w:r>
              <w:rPr>
                <w:spacing w:val="-10"/>
                <w:sz w:val="24"/>
              </w:rPr>
              <w:t>5</w:t>
            </w:r>
          </w:p>
        </w:tc>
        <w:tc>
          <w:tcPr>
            <w:tcW w:w="4050" w:type="dxa"/>
          </w:tcPr>
          <w:p>
            <w:pPr>
              <w:pStyle w:val="TableParagraph"/>
              <w:spacing w:line="255" w:lineRule="exact" w:before="1"/>
              <w:ind w:left="269"/>
              <w:rPr>
                <w:sz w:val="24"/>
              </w:rPr>
            </w:pPr>
            <w:r>
              <w:rPr>
                <w:spacing w:val="-4"/>
                <w:sz w:val="24"/>
              </w:rPr>
              <w:t>6,275</w:t>
            </w:r>
          </w:p>
        </w:tc>
      </w:tr>
      <w:tr>
        <w:trPr>
          <w:trHeight w:val="275" w:hRule="atLeast"/>
        </w:trPr>
        <w:tc>
          <w:tcPr>
            <w:tcW w:w="3780" w:type="dxa"/>
          </w:tcPr>
          <w:p>
            <w:pPr>
              <w:pStyle w:val="TableParagraph"/>
              <w:spacing w:line="255" w:lineRule="exact" w:before="0"/>
              <w:ind w:left="359"/>
              <w:rPr>
                <w:sz w:val="24"/>
              </w:rPr>
            </w:pPr>
            <w:r>
              <w:rPr>
                <w:spacing w:val="-10"/>
                <w:sz w:val="24"/>
              </w:rPr>
              <w:t>6</w:t>
            </w:r>
          </w:p>
        </w:tc>
        <w:tc>
          <w:tcPr>
            <w:tcW w:w="4050" w:type="dxa"/>
          </w:tcPr>
          <w:p>
            <w:pPr>
              <w:pStyle w:val="TableParagraph"/>
              <w:spacing w:line="255" w:lineRule="exact" w:before="0"/>
              <w:ind w:left="269"/>
              <w:rPr>
                <w:sz w:val="24"/>
              </w:rPr>
            </w:pPr>
            <w:r>
              <w:rPr>
                <w:spacing w:val="-4"/>
                <w:sz w:val="24"/>
              </w:rPr>
              <w:t>7,192</w:t>
            </w:r>
          </w:p>
        </w:tc>
      </w:tr>
      <w:tr>
        <w:trPr>
          <w:trHeight w:val="276" w:hRule="atLeast"/>
        </w:trPr>
        <w:tc>
          <w:tcPr>
            <w:tcW w:w="3780" w:type="dxa"/>
          </w:tcPr>
          <w:p>
            <w:pPr>
              <w:pStyle w:val="TableParagraph"/>
              <w:spacing w:line="255" w:lineRule="exact" w:before="1"/>
              <w:ind w:left="359"/>
              <w:rPr>
                <w:sz w:val="24"/>
              </w:rPr>
            </w:pPr>
            <w:r>
              <w:rPr>
                <w:spacing w:val="-10"/>
                <w:sz w:val="24"/>
              </w:rPr>
              <w:t>7</w:t>
            </w:r>
          </w:p>
        </w:tc>
        <w:tc>
          <w:tcPr>
            <w:tcW w:w="4050" w:type="dxa"/>
          </w:tcPr>
          <w:p>
            <w:pPr>
              <w:pStyle w:val="TableParagraph"/>
              <w:spacing w:line="255" w:lineRule="exact" w:before="1"/>
              <w:ind w:left="269"/>
              <w:rPr>
                <w:sz w:val="24"/>
              </w:rPr>
            </w:pPr>
            <w:r>
              <w:rPr>
                <w:spacing w:val="-4"/>
                <w:sz w:val="24"/>
              </w:rPr>
              <w:t>8,108</w:t>
            </w:r>
          </w:p>
        </w:tc>
      </w:tr>
      <w:tr>
        <w:trPr>
          <w:trHeight w:val="275" w:hRule="atLeast"/>
        </w:trPr>
        <w:tc>
          <w:tcPr>
            <w:tcW w:w="3780" w:type="dxa"/>
          </w:tcPr>
          <w:p>
            <w:pPr>
              <w:pStyle w:val="TableParagraph"/>
              <w:spacing w:line="254" w:lineRule="exact" w:before="1"/>
              <w:ind w:left="359"/>
              <w:rPr>
                <w:sz w:val="24"/>
              </w:rPr>
            </w:pPr>
            <w:r>
              <w:rPr>
                <w:spacing w:val="-10"/>
                <w:sz w:val="24"/>
              </w:rPr>
              <w:t>8</w:t>
            </w:r>
          </w:p>
        </w:tc>
        <w:tc>
          <w:tcPr>
            <w:tcW w:w="4050" w:type="dxa"/>
          </w:tcPr>
          <w:p>
            <w:pPr>
              <w:pStyle w:val="TableParagraph"/>
              <w:spacing w:line="254" w:lineRule="exact" w:before="1"/>
              <w:ind w:left="269"/>
              <w:rPr>
                <w:sz w:val="24"/>
              </w:rPr>
            </w:pPr>
            <w:r>
              <w:rPr>
                <w:spacing w:val="-4"/>
                <w:sz w:val="24"/>
              </w:rPr>
              <w:t>9,025</w:t>
            </w:r>
          </w:p>
        </w:tc>
      </w:tr>
    </w:tbl>
    <w:p>
      <w:pPr>
        <w:pStyle w:val="TableParagraph"/>
        <w:spacing w:after="0" w:line="254" w:lineRule="exact"/>
        <w:rPr>
          <w:sz w:val="24"/>
        </w:rPr>
        <w:sectPr>
          <w:pgSz w:w="12240" w:h="15840"/>
          <w:pgMar w:top="1340" w:bottom="280" w:left="1080" w:right="720"/>
        </w:sectPr>
      </w:pPr>
    </w:p>
    <w:p>
      <w:pPr>
        <w:pStyle w:val="BodyText"/>
        <w:spacing w:before="67"/>
        <w:ind w:left="1080"/>
      </w:pPr>
      <w:r>
        <w:rPr/>
        <w:t>Basic</w:t>
      </w:r>
      <w:r>
        <w:rPr>
          <w:spacing w:val="-3"/>
        </w:rPr>
        <w:t> </w:t>
      </w:r>
      <w:r>
        <w:rPr/>
        <w:t>Living</w:t>
      </w:r>
      <w:r>
        <w:rPr>
          <w:spacing w:val="-2"/>
        </w:rPr>
        <w:t> </w:t>
      </w:r>
      <w:r>
        <w:rPr/>
        <w:t>Requirements</w:t>
      </w:r>
      <w:r>
        <w:rPr>
          <w:spacing w:val="-2"/>
        </w:rPr>
        <w:t> </w:t>
      </w:r>
      <w:r>
        <w:rPr/>
        <w:t>-</w:t>
      </w:r>
      <w:r>
        <w:rPr>
          <w:spacing w:val="-3"/>
        </w:rPr>
        <w:t> </w:t>
      </w:r>
      <w:r>
        <w:rPr/>
        <w:t>Add</w:t>
      </w:r>
      <w:r>
        <w:rPr>
          <w:spacing w:val="-2"/>
        </w:rPr>
        <w:t> </w:t>
      </w:r>
      <w:r>
        <w:rPr/>
        <w:t>$917</w:t>
      </w:r>
      <w:r>
        <w:rPr>
          <w:spacing w:val="-2"/>
        </w:rPr>
        <w:t> </w:t>
      </w:r>
      <w:r>
        <w:rPr/>
        <w:t>for</w:t>
      </w:r>
      <w:r>
        <w:rPr>
          <w:spacing w:val="-4"/>
        </w:rPr>
        <w:t> </w:t>
      </w:r>
      <w:r>
        <w:rPr/>
        <w:t>each</w:t>
      </w:r>
      <w:r>
        <w:rPr>
          <w:spacing w:val="-2"/>
        </w:rPr>
        <w:t> </w:t>
      </w:r>
      <w:r>
        <w:rPr/>
        <w:t>person</w:t>
      </w:r>
      <w:r>
        <w:rPr>
          <w:spacing w:val="-2"/>
        </w:rPr>
        <w:t> </w:t>
      </w:r>
      <w:r>
        <w:rPr/>
        <w:t>in</w:t>
      </w:r>
      <w:r>
        <w:rPr>
          <w:spacing w:val="-2"/>
        </w:rPr>
        <w:t> </w:t>
      </w:r>
      <w:r>
        <w:rPr/>
        <w:t>excess</w:t>
      </w:r>
      <w:r>
        <w:rPr>
          <w:spacing w:val="-2"/>
        </w:rPr>
        <w:t> </w:t>
      </w:r>
      <w:r>
        <w:rPr/>
        <w:t>of</w:t>
      </w:r>
      <w:r>
        <w:rPr>
          <w:spacing w:val="-1"/>
        </w:rPr>
        <w:t> </w:t>
      </w:r>
      <w:r>
        <w:rPr>
          <w:spacing w:val="-5"/>
        </w:rPr>
        <w:t>8.</w:t>
      </w:r>
    </w:p>
    <w:p>
      <w:pPr>
        <w:pStyle w:val="ListParagraph"/>
        <w:numPr>
          <w:ilvl w:val="0"/>
          <w:numId w:val="94"/>
        </w:numPr>
        <w:tabs>
          <w:tab w:pos="1077" w:val="left" w:leader="none"/>
        </w:tabs>
        <w:spacing w:line="240" w:lineRule="auto" w:before="204" w:after="0"/>
        <w:ind w:left="1077" w:right="0" w:hanging="358"/>
        <w:jc w:val="left"/>
        <w:rPr>
          <w:sz w:val="24"/>
        </w:rPr>
      </w:pPr>
      <w:r>
        <w:rPr>
          <w:sz w:val="24"/>
        </w:rPr>
        <w:t>Do</w:t>
      </w:r>
      <w:r>
        <w:rPr>
          <w:spacing w:val="-4"/>
          <w:sz w:val="24"/>
        </w:rPr>
        <w:t> </w:t>
      </w:r>
      <w:r>
        <w:rPr>
          <w:sz w:val="24"/>
        </w:rPr>
        <w:t>not</w:t>
      </w:r>
      <w:r>
        <w:rPr>
          <w:spacing w:val="-2"/>
          <w:sz w:val="24"/>
        </w:rPr>
        <w:t> </w:t>
      </w:r>
      <w:r>
        <w:rPr>
          <w:sz w:val="24"/>
        </w:rPr>
        <w:t>include</w:t>
      </w:r>
      <w:r>
        <w:rPr>
          <w:spacing w:val="-3"/>
          <w:sz w:val="24"/>
        </w:rPr>
        <w:t> </w:t>
      </w:r>
      <w:r>
        <w:rPr>
          <w:sz w:val="24"/>
        </w:rPr>
        <w:t>language</w:t>
      </w:r>
      <w:r>
        <w:rPr>
          <w:spacing w:val="-4"/>
          <w:sz w:val="24"/>
        </w:rPr>
        <w:t> </w:t>
      </w:r>
      <w:r>
        <w:rPr>
          <w:sz w:val="24"/>
        </w:rPr>
        <w:t>interpretation</w:t>
      </w:r>
      <w:r>
        <w:rPr>
          <w:spacing w:val="-3"/>
          <w:sz w:val="24"/>
        </w:rPr>
        <w:t> </w:t>
      </w:r>
      <w:r>
        <w:rPr>
          <w:sz w:val="24"/>
        </w:rPr>
        <w:t>in</w:t>
      </w:r>
      <w:r>
        <w:rPr>
          <w:spacing w:val="-3"/>
          <w:sz w:val="24"/>
        </w:rPr>
        <w:t> </w:t>
      </w:r>
      <w:r>
        <w:rPr>
          <w:sz w:val="24"/>
        </w:rPr>
        <w:t>this</w:t>
      </w:r>
      <w:r>
        <w:rPr>
          <w:spacing w:val="-2"/>
          <w:sz w:val="24"/>
        </w:rPr>
        <w:t> category.</w:t>
      </w:r>
    </w:p>
    <w:p>
      <w:pPr>
        <w:pStyle w:val="ListParagraph"/>
        <w:numPr>
          <w:ilvl w:val="0"/>
          <w:numId w:val="94"/>
        </w:numPr>
        <w:tabs>
          <w:tab w:pos="1077" w:val="left" w:leader="none"/>
          <w:tab w:pos="1079" w:val="left" w:leader="none"/>
        </w:tabs>
        <w:spacing w:line="208" w:lineRule="auto" w:before="233" w:after="0"/>
        <w:ind w:left="1079" w:right="766" w:hanging="360"/>
        <w:jc w:val="left"/>
        <w:rPr>
          <w:sz w:val="24"/>
        </w:rPr>
      </w:pPr>
      <w:r>
        <w:rPr>
          <w:sz w:val="24"/>
        </w:rPr>
        <w:t>Under</w:t>
      </w:r>
      <w:r>
        <w:rPr>
          <w:spacing w:val="-2"/>
          <w:sz w:val="24"/>
        </w:rPr>
        <w:t> </w:t>
      </w:r>
      <w:r>
        <w:rPr>
          <w:sz w:val="24"/>
        </w:rPr>
        <w:t>ADA</w:t>
      </w:r>
      <w:r>
        <w:rPr>
          <w:spacing w:val="-2"/>
          <w:sz w:val="24"/>
        </w:rPr>
        <w:t> </w:t>
      </w:r>
      <w:r>
        <w:rPr>
          <w:sz w:val="24"/>
        </w:rPr>
        <w:t>title</w:t>
      </w:r>
      <w:r>
        <w:rPr>
          <w:spacing w:val="-3"/>
          <w:sz w:val="24"/>
        </w:rPr>
        <w:t> </w:t>
      </w:r>
      <w:r>
        <w:rPr>
          <w:sz w:val="24"/>
        </w:rPr>
        <w:t>II,</w:t>
      </w:r>
      <w:r>
        <w:rPr>
          <w:spacing w:val="-2"/>
          <w:sz w:val="24"/>
        </w:rPr>
        <w:t> </w:t>
      </w:r>
      <w:r>
        <w:rPr>
          <w:sz w:val="24"/>
        </w:rPr>
        <w:t>35</w:t>
      </w:r>
      <w:r>
        <w:rPr>
          <w:spacing w:val="-4"/>
          <w:sz w:val="24"/>
        </w:rPr>
        <w:t> </w:t>
      </w:r>
      <w:r>
        <w:rPr>
          <w:sz w:val="24"/>
        </w:rPr>
        <w:t>CFR</w:t>
      </w:r>
      <w:r>
        <w:rPr>
          <w:spacing w:val="-3"/>
          <w:sz w:val="24"/>
        </w:rPr>
        <w:t> </w:t>
      </w:r>
      <w:r>
        <w:rPr>
          <w:sz w:val="24"/>
        </w:rPr>
        <w:t>104</w:t>
      </w:r>
      <w:r>
        <w:rPr>
          <w:spacing w:val="-3"/>
          <w:sz w:val="24"/>
        </w:rPr>
        <w:t> </w:t>
      </w:r>
      <w:r>
        <w:rPr>
          <w:sz w:val="24"/>
        </w:rPr>
        <w:t>Definitions,</w:t>
      </w:r>
      <w:r>
        <w:rPr>
          <w:spacing w:val="-2"/>
          <w:sz w:val="24"/>
        </w:rPr>
        <w:t> </w:t>
      </w:r>
      <w:r>
        <w:rPr>
          <w:sz w:val="24"/>
        </w:rPr>
        <w:t>"auxiliary</w:t>
      </w:r>
      <w:r>
        <w:rPr>
          <w:spacing w:val="-3"/>
          <w:sz w:val="24"/>
        </w:rPr>
        <w:t> </w:t>
      </w:r>
      <w:r>
        <w:rPr>
          <w:sz w:val="24"/>
        </w:rPr>
        <w:t>aids</w:t>
      </w:r>
      <w:r>
        <w:rPr>
          <w:spacing w:val="-3"/>
          <w:sz w:val="24"/>
        </w:rPr>
        <w:t> </w:t>
      </w:r>
      <w:r>
        <w:rPr>
          <w:sz w:val="24"/>
        </w:rPr>
        <w:t>and</w:t>
      </w:r>
      <w:r>
        <w:rPr>
          <w:spacing w:val="-3"/>
          <w:sz w:val="24"/>
        </w:rPr>
        <w:t> </w:t>
      </w:r>
      <w:r>
        <w:rPr>
          <w:sz w:val="24"/>
        </w:rPr>
        <w:t>services"</w:t>
      </w:r>
      <w:r>
        <w:rPr>
          <w:spacing w:val="-3"/>
          <w:sz w:val="24"/>
        </w:rPr>
        <w:t> </w:t>
      </w:r>
      <w:r>
        <w:rPr>
          <w:sz w:val="24"/>
        </w:rPr>
        <w:t>includes: Qualified interpreters on-site or through video remote interpreting (VRI) services; note takers; real-time computer-aided transcription services; written materials; exchange of written notes; telephone handset amplifiers; assistive listening devices; assistive listening systems; telephones compatible with hearing aids; closed caption decoders; open and closed captioning, including real-time captioning; voice, text, and video-based telecommunications products and systems, including text telephones (TTYs), videophones, and captioned telephones, or equally effective telecommunications devices; videotext displays; accessible electronic and information technology; or other effective methods of making</w:t>
      </w:r>
      <w:r>
        <w:rPr>
          <w:spacing w:val="-4"/>
          <w:sz w:val="24"/>
        </w:rPr>
        <w:t> </w:t>
      </w:r>
      <w:r>
        <w:rPr>
          <w:sz w:val="24"/>
        </w:rPr>
        <w:t>aurally</w:t>
      </w:r>
      <w:r>
        <w:rPr>
          <w:spacing w:val="-4"/>
          <w:sz w:val="24"/>
        </w:rPr>
        <w:t> </w:t>
      </w:r>
      <w:r>
        <w:rPr>
          <w:sz w:val="24"/>
        </w:rPr>
        <w:t>delivered</w:t>
      </w:r>
      <w:r>
        <w:rPr>
          <w:spacing w:val="-4"/>
          <w:sz w:val="24"/>
        </w:rPr>
        <w:t> </w:t>
      </w:r>
      <w:r>
        <w:rPr>
          <w:sz w:val="24"/>
        </w:rPr>
        <w:t>information</w:t>
      </w:r>
      <w:r>
        <w:rPr>
          <w:spacing w:val="-4"/>
          <w:sz w:val="24"/>
        </w:rPr>
        <w:t> </w:t>
      </w:r>
      <w:r>
        <w:rPr>
          <w:sz w:val="24"/>
        </w:rPr>
        <w:t>available</w:t>
      </w:r>
      <w:r>
        <w:rPr>
          <w:spacing w:val="-4"/>
          <w:sz w:val="24"/>
        </w:rPr>
        <w:t> </w:t>
      </w:r>
      <w:r>
        <w:rPr>
          <w:sz w:val="24"/>
        </w:rPr>
        <w:t>to</w:t>
      </w:r>
      <w:r>
        <w:rPr>
          <w:spacing w:val="-4"/>
          <w:sz w:val="24"/>
        </w:rPr>
        <w:t> </w:t>
      </w:r>
      <w:r>
        <w:rPr>
          <w:sz w:val="24"/>
        </w:rPr>
        <w:t>individuals</w:t>
      </w:r>
      <w:r>
        <w:rPr>
          <w:spacing w:val="-4"/>
          <w:sz w:val="24"/>
        </w:rPr>
        <w:t> </w:t>
      </w:r>
      <w:r>
        <w:rPr>
          <w:sz w:val="24"/>
        </w:rPr>
        <w:t>who</w:t>
      </w:r>
      <w:r>
        <w:rPr>
          <w:spacing w:val="-4"/>
          <w:sz w:val="24"/>
        </w:rPr>
        <w:t> </w:t>
      </w:r>
      <w:r>
        <w:rPr>
          <w:sz w:val="24"/>
        </w:rPr>
        <w:t>are</w:t>
      </w:r>
      <w:r>
        <w:rPr>
          <w:spacing w:val="-4"/>
          <w:sz w:val="24"/>
        </w:rPr>
        <w:t> </w:t>
      </w:r>
      <w:r>
        <w:rPr>
          <w:sz w:val="24"/>
        </w:rPr>
        <w:t>deaf</w:t>
      </w:r>
      <w:r>
        <w:rPr>
          <w:spacing w:val="-3"/>
          <w:sz w:val="24"/>
        </w:rPr>
        <w:t> </w:t>
      </w:r>
      <w:r>
        <w:rPr>
          <w:sz w:val="24"/>
        </w:rPr>
        <w:t>or</w:t>
      </w:r>
      <w:r>
        <w:rPr>
          <w:spacing w:val="-3"/>
          <w:sz w:val="24"/>
        </w:rPr>
        <w:t> </w:t>
      </w:r>
      <w:r>
        <w:rPr>
          <w:sz w:val="24"/>
        </w:rPr>
        <w:t>hard of hearing;</w:t>
      </w:r>
    </w:p>
    <w:p>
      <w:pPr>
        <w:pStyle w:val="BodyText"/>
        <w:spacing w:line="208" w:lineRule="auto" w:before="239"/>
        <w:ind w:left="1079" w:right="775"/>
      </w:pPr>
      <w:r>
        <w:rPr/>
        <w:t>Qualified</w:t>
      </w:r>
      <w:r>
        <w:rPr>
          <w:spacing w:val="-5"/>
        </w:rPr>
        <w:t> </w:t>
      </w:r>
      <w:r>
        <w:rPr/>
        <w:t>readers;</w:t>
      </w:r>
      <w:r>
        <w:rPr>
          <w:spacing w:val="-4"/>
        </w:rPr>
        <w:t> </w:t>
      </w:r>
      <w:r>
        <w:rPr/>
        <w:t>taped</w:t>
      </w:r>
      <w:r>
        <w:rPr>
          <w:spacing w:val="-5"/>
        </w:rPr>
        <w:t> </w:t>
      </w:r>
      <w:r>
        <w:rPr/>
        <w:t>texts;</w:t>
      </w:r>
      <w:r>
        <w:rPr>
          <w:spacing w:val="-5"/>
        </w:rPr>
        <w:t> </w:t>
      </w:r>
      <w:r>
        <w:rPr/>
        <w:t>audio</w:t>
      </w:r>
      <w:r>
        <w:rPr>
          <w:spacing w:val="-5"/>
        </w:rPr>
        <w:t> </w:t>
      </w:r>
      <w:r>
        <w:rPr/>
        <w:t>recordings;</w:t>
      </w:r>
      <w:r>
        <w:rPr>
          <w:spacing w:val="-4"/>
        </w:rPr>
        <w:t> </w:t>
      </w:r>
      <w:r>
        <w:rPr/>
        <w:t>Brailed</w:t>
      </w:r>
      <w:r>
        <w:rPr>
          <w:spacing w:val="-5"/>
        </w:rPr>
        <w:t> </w:t>
      </w:r>
      <w:r>
        <w:rPr/>
        <w:t>materials</w:t>
      </w:r>
      <w:r>
        <w:rPr>
          <w:spacing w:val="-5"/>
        </w:rPr>
        <w:t> </w:t>
      </w:r>
      <w:r>
        <w:rPr/>
        <w:t>and</w:t>
      </w:r>
      <w:r>
        <w:rPr>
          <w:spacing w:val="-5"/>
        </w:rPr>
        <w:t> </w:t>
      </w:r>
      <w:r>
        <w:rPr/>
        <w:t>displays; screen reader software; magnification software; optical readers; secondary auditory programs (SAP); large print materials; accessible electronic and information technology; or other effective methods of making visually delivered materials available to individuals who are blind or have low vision;</w:t>
      </w:r>
    </w:p>
    <w:p>
      <w:pPr>
        <w:pStyle w:val="BodyText"/>
        <w:spacing w:line="417" w:lineRule="auto" w:before="210"/>
        <w:ind w:left="1079" w:right="2982"/>
      </w:pPr>
      <w:r>
        <w:rPr/>
        <w:t>Acquisition</w:t>
      </w:r>
      <w:r>
        <w:rPr>
          <w:spacing w:val="-6"/>
        </w:rPr>
        <w:t> </w:t>
      </w:r>
      <w:r>
        <w:rPr/>
        <w:t>or</w:t>
      </w:r>
      <w:r>
        <w:rPr>
          <w:spacing w:val="-6"/>
        </w:rPr>
        <w:t> </w:t>
      </w:r>
      <w:r>
        <w:rPr/>
        <w:t>modification</w:t>
      </w:r>
      <w:r>
        <w:rPr>
          <w:spacing w:val="-7"/>
        </w:rPr>
        <w:t> </w:t>
      </w:r>
      <w:r>
        <w:rPr/>
        <w:t>of</w:t>
      </w:r>
      <w:r>
        <w:rPr>
          <w:spacing w:val="-6"/>
        </w:rPr>
        <w:t> </w:t>
      </w:r>
      <w:r>
        <w:rPr/>
        <w:t>equipment</w:t>
      </w:r>
      <w:r>
        <w:rPr>
          <w:spacing w:val="-6"/>
        </w:rPr>
        <w:t> </w:t>
      </w:r>
      <w:r>
        <w:rPr/>
        <w:t>or</w:t>
      </w:r>
      <w:r>
        <w:rPr>
          <w:spacing w:val="-6"/>
        </w:rPr>
        <w:t> </w:t>
      </w:r>
      <w:r>
        <w:rPr/>
        <w:t>devices;</w:t>
      </w:r>
      <w:r>
        <w:rPr>
          <w:spacing w:val="-6"/>
        </w:rPr>
        <w:t> </w:t>
      </w:r>
      <w:r>
        <w:rPr/>
        <w:t>and Other similar services and actions.</w:t>
      </w:r>
    </w:p>
    <w:p>
      <w:pPr>
        <w:pStyle w:val="BodyText"/>
        <w:spacing w:line="417" w:lineRule="auto" w:before="0"/>
        <w:ind w:left="1080" w:right="775"/>
      </w:pPr>
      <w:r>
        <w:rPr/>
        <w:t>Reference link: </w:t>
      </w:r>
      <w:hyperlink r:id="rId37">
        <w:r>
          <w:rPr>
            <w:color w:val="0000FF"/>
            <w:spacing w:val="-2"/>
            <w:u w:val="single" w:color="0000FF"/>
          </w:rPr>
          <w:t>http://www.ada.gov/regs2010/titleII_2010/titleII_2010_regulations.htm#a35130</w:t>
        </w:r>
      </w:hyperlink>
    </w:p>
    <w:p>
      <w:pPr>
        <w:pStyle w:val="ListParagraph"/>
        <w:numPr>
          <w:ilvl w:val="0"/>
          <w:numId w:val="94"/>
        </w:numPr>
        <w:tabs>
          <w:tab w:pos="1078" w:val="left" w:leader="none"/>
          <w:tab w:pos="1080" w:val="left" w:leader="none"/>
        </w:tabs>
        <w:spacing w:line="208" w:lineRule="auto" w:before="28" w:after="0"/>
        <w:ind w:left="1080" w:right="820" w:hanging="360"/>
        <w:jc w:val="left"/>
        <w:rPr>
          <w:sz w:val="24"/>
        </w:rPr>
      </w:pPr>
      <w:r>
        <w:rPr>
          <w:sz w:val="24"/>
        </w:rPr>
        <w:t>Verification for income and liabilities includes securing copies of the documentation which will be scanned along with the Financial Needs Test. Legible photos taken from phone or other personal digital devices are permissible. The information sources must be sufficient to accurately document the family's financial status. Possible means of verification are income tax returns, canceled checks, payment receipts, bank statements and pay stubs. When deducting the cost of medical insurance, in paragraph (f) (2) (A) the deduction of this expense as a liability can only be made when the households and</w:t>
      </w:r>
      <w:r>
        <w:rPr>
          <w:spacing w:val="-4"/>
          <w:sz w:val="24"/>
        </w:rPr>
        <w:t> </w:t>
      </w:r>
      <w:r>
        <w:rPr>
          <w:sz w:val="24"/>
        </w:rPr>
        <w:t>individuals</w:t>
      </w:r>
      <w:r>
        <w:rPr>
          <w:spacing w:val="-4"/>
          <w:sz w:val="24"/>
        </w:rPr>
        <w:t> </w:t>
      </w:r>
      <w:r>
        <w:rPr>
          <w:sz w:val="24"/>
        </w:rPr>
        <w:t>gross</w:t>
      </w:r>
      <w:r>
        <w:rPr>
          <w:spacing w:val="-4"/>
          <w:sz w:val="24"/>
        </w:rPr>
        <w:t> </w:t>
      </w:r>
      <w:r>
        <w:rPr>
          <w:sz w:val="24"/>
        </w:rPr>
        <w:t>income</w:t>
      </w:r>
      <w:r>
        <w:rPr>
          <w:spacing w:val="-4"/>
          <w:sz w:val="24"/>
        </w:rPr>
        <w:t> </w:t>
      </w:r>
      <w:r>
        <w:rPr>
          <w:sz w:val="24"/>
        </w:rPr>
        <w:t>which</w:t>
      </w:r>
      <w:r>
        <w:rPr>
          <w:spacing w:val="-4"/>
          <w:sz w:val="24"/>
        </w:rPr>
        <w:t> </w:t>
      </w:r>
      <w:r>
        <w:rPr>
          <w:sz w:val="24"/>
        </w:rPr>
        <w:t>is</w:t>
      </w:r>
      <w:r>
        <w:rPr>
          <w:spacing w:val="-4"/>
          <w:sz w:val="24"/>
        </w:rPr>
        <w:t> </w:t>
      </w:r>
      <w:r>
        <w:rPr>
          <w:sz w:val="24"/>
        </w:rPr>
        <w:t>the</w:t>
      </w:r>
      <w:r>
        <w:rPr>
          <w:spacing w:val="-4"/>
          <w:sz w:val="24"/>
        </w:rPr>
        <w:t> </w:t>
      </w:r>
      <w:r>
        <w:rPr>
          <w:sz w:val="24"/>
        </w:rPr>
        <w:t>sum</w:t>
      </w:r>
      <w:r>
        <w:rPr>
          <w:spacing w:val="-3"/>
          <w:sz w:val="24"/>
        </w:rPr>
        <w:t> </w:t>
      </w:r>
      <w:r>
        <w:rPr>
          <w:sz w:val="24"/>
        </w:rPr>
        <w:t>of</w:t>
      </w:r>
      <w:r>
        <w:rPr>
          <w:spacing w:val="-3"/>
          <w:sz w:val="24"/>
        </w:rPr>
        <w:t> </w:t>
      </w:r>
      <w:r>
        <w:rPr>
          <w:sz w:val="24"/>
        </w:rPr>
        <w:t>all</w:t>
      </w:r>
      <w:r>
        <w:rPr>
          <w:spacing w:val="-4"/>
          <w:sz w:val="24"/>
        </w:rPr>
        <w:t> </w:t>
      </w:r>
      <w:r>
        <w:rPr>
          <w:sz w:val="24"/>
        </w:rPr>
        <w:t>wages,</w:t>
      </w:r>
      <w:r>
        <w:rPr>
          <w:spacing w:val="-3"/>
          <w:sz w:val="24"/>
        </w:rPr>
        <w:t> </w:t>
      </w:r>
      <w:r>
        <w:rPr>
          <w:sz w:val="24"/>
        </w:rPr>
        <w:t>salaries,</w:t>
      </w:r>
      <w:r>
        <w:rPr>
          <w:spacing w:val="-3"/>
          <w:sz w:val="24"/>
        </w:rPr>
        <w:t> </w:t>
      </w:r>
      <w:r>
        <w:rPr>
          <w:sz w:val="24"/>
        </w:rPr>
        <w:t>profits,</w:t>
      </w:r>
      <w:r>
        <w:rPr>
          <w:spacing w:val="-3"/>
          <w:sz w:val="24"/>
        </w:rPr>
        <w:t> </w:t>
      </w:r>
      <w:r>
        <w:rPr>
          <w:sz w:val="24"/>
        </w:rPr>
        <w:t>and other forms of earnings, before any deductions or taxes is being assessed.</w:t>
      </w:r>
    </w:p>
    <w:p>
      <w:pPr>
        <w:pStyle w:val="ListParagraph"/>
        <w:numPr>
          <w:ilvl w:val="0"/>
          <w:numId w:val="94"/>
        </w:numPr>
        <w:tabs>
          <w:tab w:pos="1078" w:val="left" w:leader="none"/>
          <w:tab w:pos="1080" w:val="left" w:leader="none"/>
        </w:tabs>
        <w:spacing w:line="208" w:lineRule="auto" w:before="0" w:after="0"/>
        <w:ind w:left="1080" w:right="938" w:hanging="360"/>
        <w:jc w:val="left"/>
        <w:rPr>
          <w:sz w:val="24"/>
        </w:rPr>
      </w:pPr>
      <w:r>
        <w:rPr>
          <w:sz w:val="24"/>
        </w:rPr>
        <w:t>The intent for allowing disability related expenses is to provide a deduction associated with costs above and beyond normal living expenses. Examples of allowable</w:t>
      </w:r>
      <w:r>
        <w:rPr>
          <w:spacing w:val="-1"/>
          <w:sz w:val="24"/>
        </w:rPr>
        <w:t> </w:t>
      </w:r>
      <w:r>
        <w:rPr>
          <w:sz w:val="24"/>
        </w:rPr>
        <w:t>disability</w:t>
      </w:r>
      <w:r>
        <w:rPr>
          <w:spacing w:val="-1"/>
          <w:sz w:val="24"/>
        </w:rPr>
        <w:t> </w:t>
      </w:r>
      <w:r>
        <w:rPr>
          <w:sz w:val="24"/>
        </w:rPr>
        <w:t>related</w:t>
      </w:r>
      <w:r>
        <w:rPr>
          <w:spacing w:val="-1"/>
          <w:sz w:val="24"/>
        </w:rPr>
        <w:t> </w:t>
      </w:r>
      <w:r>
        <w:rPr>
          <w:sz w:val="24"/>
        </w:rPr>
        <w:t>expenses</w:t>
      </w:r>
      <w:r>
        <w:rPr>
          <w:spacing w:val="-1"/>
          <w:sz w:val="24"/>
        </w:rPr>
        <w:t> </w:t>
      </w:r>
      <w:r>
        <w:rPr>
          <w:sz w:val="24"/>
        </w:rPr>
        <w:t>are</w:t>
      </w:r>
      <w:r>
        <w:rPr>
          <w:spacing w:val="-1"/>
          <w:sz w:val="24"/>
        </w:rPr>
        <w:t> </w:t>
      </w:r>
      <w:r>
        <w:rPr>
          <w:sz w:val="24"/>
        </w:rPr>
        <w:t>costs</w:t>
      </w:r>
      <w:r>
        <w:rPr>
          <w:spacing w:val="-1"/>
          <w:sz w:val="24"/>
        </w:rPr>
        <w:t> </w:t>
      </w:r>
      <w:r>
        <w:rPr>
          <w:sz w:val="24"/>
        </w:rPr>
        <w:t>of</w:t>
      </w:r>
      <w:r>
        <w:rPr>
          <w:spacing w:val="-2"/>
          <w:sz w:val="24"/>
        </w:rPr>
        <w:t> </w:t>
      </w:r>
      <w:r>
        <w:rPr>
          <w:sz w:val="24"/>
        </w:rPr>
        <w:t>personal</w:t>
      </w:r>
      <w:r>
        <w:rPr>
          <w:spacing w:val="-1"/>
          <w:sz w:val="24"/>
        </w:rPr>
        <w:t> </w:t>
      </w:r>
      <w:r>
        <w:rPr>
          <w:sz w:val="24"/>
        </w:rPr>
        <w:t>assistance</w:t>
      </w:r>
      <w:r>
        <w:rPr>
          <w:spacing w:val="-1"/>
          <w:sz w:val="24"/>
        </w:rPr>
        <w:t> </w:t>
      </w:r>
      <w:r>
        <w:rPr>
          <w:sz w:val="24"/>
        </w:rPr>
        <w:t>services, added transportation, special dietary needs, cost of adaptive devices, etc. Questions</w:t>
      </w:r>
      <w:r>
        <w:rPr>
          <w:spacing w:val="-4"/>
          <w:sz w:val="24"/>
        </w:rPr>
        <w:t> </w:t>
      </w:r>
      <w:r>
        <w:rPr>
          <w:sz w:val="24"/>
        </w:rPr>
        <w:t>concerning</w:t>
      </w:r>
      <w:r>
        <w:rPr>
          <w:spacing w:val="-3"/>
          <w:sz w:val="24"/>
        </w:rPr>
        <w:t> </w:t>
      </w:r>
      <w:r>
        <w:rPr>
          <w:sz w:val="24"/>
        </w:rPr>
        <w:t>this</w:t>
      </w:r>
      <w:r>
        <w:rPr>
          <w:spacing w:val="-4"/>
          <w:sz w:val="24"/>
        </w:rPr>
        <w:t> </w:t>
      </w:r>
      <w:r>
        <w:rPr>
          <w:sz w:val="24"/>
        </w:rPr>
        <w:t>area</w:t>
      </w:r>
      <w:r>
        <w:rPr>
          <w:spacing w:val="-4"/>
          <w:sz w:val="24"/>
        </w:rPr>
        <w:t> </w:t>
      </w:r>
      <w:r>
        <w:rPr>
          <w:sz w:val="24"/>
        </w:rPr>
        <w:t>should</w:t>
      </w:r>
      <w:r>
        <w:rPr>
          <w:spacing w:val="-4"/>
          <w:sz w:val="24"/>
        </w:rPr>
        <w:t> </w:t>
      </w:r>
      <w:r>
        <w:rPr>
          <w:sz w:val="24"/>
        </w:rPr>
        <w:t>be</w:t>
      </w:r>
      <w:r>
        <w:rPr>
          <w:spacing w:val="-4"/>
          <w:sz w:val="24"/>
        </w:rPr>
        <w:t> </w:t>
      </w:r>
      <w:r>
        <w:rPr>
          <w:sz w:val="24"/>
        </w:rPr>
        <w:t>directed</w:t>
      </w:r>
      <w:r>
        <w:rPr>
          <w:spacing w:val="-4"/>
          <w:sz w:val="24"/>
        </w:rPr>
        <w:t> </w:t>
      </w:r>
      <w:r>
        <w:rPr>
          <w:sz w:val="24"/>
        </w:rPr>
        <w:t>to</w:t>
      </w:r>
      <w:r>
        <w:rPr>
          <w:spacing w:val="-5"/>
          <w:sz w:val="24"/>
        </w:rPr>
        <w:t> </w:t>
      </w:r>
      <w:r>
        <w:rPr>
          <w:sz w:val="24"/>
        </w:rPr>
        <w:t>the</w:t>
      </w:r>
      <w:r>
        <w:rPr>
          <w:spacing w:val="-4"/>
          <w:sz w:val="24"/>
        </w:rPr>
        <w:t> </w:t>
      </w:r>
      <w:r>
        <w:rPr>
          <w:sz w:val="24"/>
        </w:rPr>
        <w:t>immediate</w:t>
      </w:r>
      <w:r>
        <w:rPr>
          <w:spacing w:val="-4"/>
          <w:sz w:val="24"/>
        </w:rPr>
        <w:t> </w:t>
      </w:r>
      <w:r>
        <w:rPr>
          <w:sz w:val="24"/>
        </w:rPr>
        <w:t>supervisor.</w:t>
      </w:r>
    </w:p>
    <w:p>
      <w:pPr>
        <w:pStyle w:val="ListParagraph"/>
        <w:numPr>
          <w:ilvl w:val="0"/>
          <w:numId w:val="94"/>
        </w:numPr>
        <w:tabs>
          <w:tab w:pos="1078" w:val="left" w:leader="none"/>
        </w:tabs>
        <w:spacing w:line="240" w:lineRule="auto" w:before="210" w:after="0"/>
        <w:ind w:left="1078" w:right="0" w:hanging="358"/>
        <w:jc w:val="left"/>
        <w:rPr>
          <w:sz w:val="24"/>
        </w:rPr>
      </w:pPr>
      <w:r>
        <w:rPr>
          <w:sz w:val="24"/>
        </w:rPr>
        <w:t>See</w:t>
      </w:r>
      <w:r>
        <w:rPr>
          <w:spacing w:val="-4"/>
          <w:sz w:val="24"/>
        </w:rPr>
        <w:t> </w:t>
      </w:r>
      <w:hyperlink w:history="true" w:anchor="_bookmark7">
        <w:r>
          <w:rPr>
            <w:color w:val="0000FF"/>
            <w:sz w:val="24"/>
            <w:u w:val="single" w:color="0000FF"/>
          </w:rPr>
          <w:t>612:10-7-2(f)</w:t>
        </w:r>
      </w:hyperlink>
      <w:r>
        <w:rPr>
          <w:color w:val="0000FF"/>
          <w:spacing w:val="-3"/>
          <w:sz w:val="24"/>
          <w:u w:val="none"/>
        </w:rPr>
        <w:t> </w:t>
      </w:r>
      <w:r>
        <w:rPr>
          <w:sz w:val="24"/>
          <w:u w:val="none"/>
        </w:rPr>
        <w:t>Field</w:t>
      </w:r>
      <w:r>
        <w:rPr>
          <w:spacing w:val="-3"/>
          <w:sz w:val="24"/>
          <w:u w:val="none"/>
        </w:rPr>
        <w:t> </w:t>
      </w:r>
      <w:r>
        <w:rPr>
          <w:sz w:val="24"/>
          <w:u w:val="none"/>
        </w:rPr>
        <w:t>staff</w:t>
      </w:r>
      <w:r>
        <w:rPr>
          <w:spacing w:val="-4"/>
          <w:sz w:val="24"/>
          <w:u w:val="none"/>
        </w:rPr>
        <w:t> </w:t>
      </w:r>
      <w:r>
        <w:rPr>
          <w:spacing w:val="-2"/>
          <w:sz w:val="24"/>
          <w:u w:val="none"/>
        </w:rPr>
        <w:t>responsibilities</w:t>
      </w:r>
    </w:p>
    <w:p>
      <w:pPr>
        <w:pStyle w:val="ListParagraph"/>
        <w:numPr>
          <w:ilvl w:val="0"/>
          <w:numId w:val="94"/>
        </w:numPr>
        <w:tabs>
          <w:tab w:pos="1078" w:val="left" w:leader="none"/>
          <w:tab w:pos="1080" w:val="left" w:leader="none"/>
        </w:tabs>
        <w:spacing w:line="208" w:lineRule="auto" w:before="233" w:after="0"/>
        <w:ind w:left="1080" w:right="885" w:hanging="360"/>
        <w:jc w:val="left"/>
        <w:rPr>
          <w:sz w:val="24"/>
        </w:rPr>
      </w:pPr>
      <w:r>
        <w:rPr>
          <w:sz w:val="24"/>
        </w:rPr>
        <w:t>A Financial Needs Test must be completed on every client whose program includes services based on the financial needs of the client. The financial information</w:t>
      </w:r>
      <w:r>
        <w:rPr>
          <w:spacing w:val="-3"/>
          <w:sz w:val="24"/>
        </w:rPr>
        <w:t> </w:t>
      </w:r>
      <w:r>
        <w:rPr>
          <w:sz w:val="24"/>
        </w:rPr>
        <w:t>will</w:t>
      </w:r>
      <w:r>
        <w:rPr>
          <w:spacing w:val="-3"/>
          <w:sz w:val="24"/>
        </w:rPr>
        <w:t> </w:t>
      </w:r>
      <w:r>
        <w:rPr>
          <w:sz w:val="24"/>
        </w:rPr>
        <w:t>be</w:t>
      </w:r>
      <w:r>
        <w:rPr>
          <w:spacing w:val="-3"/>
          <w:sz w:val="24"/>
        </w:rPr>
        <w:t> </w:t>
      </w:r>
      <w:r>
        <w:rPr>
          <w:sz w:val="24"/>
        </w:rPr>
        <w:t>entered</w:t>
      </w:r>
      <w:r>
        <w:rPr>
          <w:spacing w:val="-3"/>
          <w:sz w:val="24"/>
        </w:rPr>
        <w:t> </w:t>
      </w:r>
      <w:r>
        <w:rPr>
          <w:sz w:val="24"/>
        </w:rPr>
        <w:t>in</w:t>
      </w:r>
      <w:r>
        <w:rPr>
          <w:spacing w:val="-3"/>
          <w:sz w:val="24"/>
        </w:rPr>
        <w:t> </w:t>
      </w:r>
      <w:r>
        <w:rPr>
          <w:sz w:val="24"/>
        </w:rPr>
        <w:t>the</w:t>
      </w:r>
      <w:r>
        <w:rPr>
          <w:spacing w:val="-3"/>
          <w:sz w:val="24"/>
        </w:rPr>
        <w:t> </w:t>
      </w:r>
      <w:r>
        <w:rPr>
          <w:sz w:val="24"/>
        </w:rPr>
        <w:t>record</w:t>
      </w:r>
      <w:r>
        <w:rPr>
          <w:spacing w:val="-3"/>
          <w:sz w:val="24"/>
        </w:rPr>
        <w:t> </w:t>
      </w:r>
      <w:r>
        <w:rPr>
          <w:sz w:val="24"/>
        </w:rPr>
        <w:t>of</w:t>
      </w:r>
      <w:r>
        <w:rPr>
          <w:spacing w:val="-2"/>
          <w:sz w:val="24"/>
        </w:rPr>
        <w:t> </w:t>
      </w:r>
      <w:r>
        <w:rPr>
          <w:sz w:val="24"/>
        </w:rPr>
        <w:t>service</w:t>
      </w:r>
      <w:r>
        <w:rPr>
          <w:spacing w:val="-3"/>
          <w:sz w:val="24"/>
        </w:rPr>
        <w:t> </w:t>
      </w:r>
      <w:r>
        <w:rPr>
          <w:sz w:val="24"/>
        </w:rPr>
        <w:t>and</w:t>
      </w:r>
      <w:r>
        <w:rPr>
          <w:spacing w:val="-3"/>
          <w:sz w:val="24"/>
        </w:rPr>
        <w:t> </w:t>
      </w:r>
      <w:r>
        <w:rPr>
          <w:sz w:val="24"/>
        </w:rPr>
        <w:t>a</w:t>
      </w:r>
      <w:r>
        <w:rPr>
          <w:spacing w:val="-3"/>
          <w:sz w:val="24"/>
        </w:rPr>
        <w:t> </w:t>
      </w:r>
      <w:r>
        <w:rPr>
          <w:sz w:val="24"/>
        </w:rPr>
        <w:t>determination</w:t>
      </w:r>
      <w:r>
        <w:rPr>
          <w:spacing w:val="-3"/>
          <w:sz w:val="24"/>
        </w:rPr>
        <w:t> </w:t>
      </w:r>
      <w:r>
        <w:rPr>
          <w:sz w:val="24"/>
        </w:rPr>
        <w:t>made</w:t>
      </w:r>
      <w:r>
        <w:rPr>
          <w:spacing w:val="-2"/>
          <w:sz w:val="24"/>
        </w:rPr>
        <w:t> </w:t>
      </w:r>
      <w:r>
        <w:rPr>
          <w:sz w:val="24"/>
        </w:rPr>
        <w:t>as to whether there is a surplus. Any unusual financial situations are to be discussed with the supervisor. If a decision cannot be made at the supervisory</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1080" w:right="775"/>
      </w:pPr>
      <w:r>
        <w:rPr/>
        <w:t>level, the case information will be submitted to the field coordinator for special consideration.</w:t>
      </w:r>
      <w:r>
        <w:rPr>
          <w:spacing w:val="-4"/>
        </w:rPr>
        <w:t> </w:t>
      </w:r>
      <w:r>
        <w:rPr/>
        <w:t>The</w:t>
      </w:r>
      <w:r>
        <w:rPr>
          <w:spacing w:val="-5"/>
        </w:rPr>
        <w:t> </w:t>
      </w:r>
      <w:r>
        <w:rPr/>
        <w:t>supervisor's</w:t>
      </w:r>
      <w:r>
        <w:rPr>
          <w:spacing w:val="-5"/>
        </w:rPr>
        <w:t> </w:t>
      </w:r>
      <w:r>
        <w:rPr/>
        <w:t>written</w:t>
      </w:r>
      <w:r>
        <w:rPr>
          <w:spacing w:val="-5"/>
        </w:rPr>
        <w:t> </w:t>
      </w:r>
      <w:r>
        <w:rPr/>
        <w:t>analysis</w:t>
      </w:r>
      <w:r>
        <w:rPr>
          <w:spacing w:val="-5"/>
        </w:rPr>
        <w:t> </w:t>
      </w:r>
      <w:r>
        <w:rPr/>
        <w:t>and</w:t>
      </w:r>
      <w:r>
        <w:rPr>
          <w:spacing w:val="-5"/>
        </w:rPr>
        <w:t> </w:t>
      </w:r>
      <w:r>
        <w:rPr/>
        <w:t>recommendations</w:t>
      </w:r>
      <w:r>
        <w:rPr>
          <w:spacing w:val="-5"/>
        </w:rPr>
        <w:t> </w:t>
      </w:r>
      <w:r>
        <w:rPr/>
        <w:t>are</w:t>
      </w:r>
      <w:r>
        <w:rPr>
          <w:spacing w:val="-5"/>
        </w:rPr>
        <w:t> </w:t>
      </w:r>
      <w:r>
        <w:rPr/>
        <w:t>to</w:t>
      </w:r>
      <w:r>
        <w:rPr>
          <w:spacing w:val="-6"/>
        </w:rPr>
        <w:t> </w:t>
      </w:r>
      <w:r>
        <w:rPr/>
        <w:t>be submitted with the case information.</w:t>
      </w:r>
    </w:p>
    <w:p>
      <w:pPr>
        <w:pStyle w:val="ListParagraph"/>
        <w:numPr>
          <w:ilvl w:val="0"/>
          <w:numId w:val="94"/>
        </w:numPr>
        <w:tabs>
          <w:tab w:pos="1077" w:val="left" w:leader="none"/>
        </w:tabs>
        <w:spacing w:line="240" w:lineRule="auto" w:before="210" w:after="0"/>
        <w:ind w:left="1077" w:right="0" w:hanging="286"/>
        <w:jc w:val="left"/>
        <w:rPr>
          <w:sz w:val="24"/>
        </w:rPr>
      </w:pPr>
      <w:r>
        <w:rPr>
          <w:sz w:val="24"/>
        </w:rPr>
        <w:t>The</w:t>
      </w:r>
      <w:r>
        <w:rPr>
          <w:spacing w:val="-3"/>
          <w:sz w:val="24"/>
        </w:rPr>
        <w:t> </w:t>
      </w:r>
      <w:r>
        <w:rPr>
          <w:sz w:val="24"/>
        </w:rPr>
        <w:t>counselor</w:t>
      </w:r>
      <w:r>
        <w:rPr>
          <w:spacing w:val="-2"/>
          <w:sz w:val="24"/>
        </w:rPr>
        <w:t> </w:t>
      </w:r>
      <w:r>
        <w:rPr>
          <w:sz w:val="24"/>
        </w:rPr>
        <w:t>will</w:t>
      </w:r>
      <w:r>
        <w:rPr>
          <w:spacing w:val="-3"/>
          <w:sz w:val="24"/>
        </w:rPr>
        <w:t> </w:t>
      </w:r>
      <w:r>
        <w:rPr>
          <w:sz w:val="24"/>
        </w:rPr>
        <w:t>ensure</w:t>
      </w:r>
      <w:r>
        <w:rPr>
          <w:spacing w:val="-2"/>
          <w:sz w:val="24"/>
        </w:rPr>
        <w:t> </w:t>
      </w:r>
      <w:r>
        <w:rPr>
          <w:sz w:val="24"/>
        </w:rPr>
        <w:t>DVR</w:t>
      </w:r>
      <w:r>
        <w:rPr>
          <w:spacing w:val="-3"/>
          <w:sz w:val="24"/>
        </w:rPr>
        <w:t> </w:t>
      </w:r>
      <w:r>
        <w:rPr>
          <w:sz w:val="24"/>
        </w:rPr>
        <w:t>and</w:t>
      </w:r>
      <w:r>
        <w:rPr>
          <w:spacing w:val="-3"/>
          <w:sz w:val="24"/>
        </w:rPr>
        <w:t> </w:t>
      </w:r>
      <w:r>
        <w:rPr>
          <w:sz w:val="24"/>
        </w:rPr>
        <w:t>DSBVI</w:t>
      </w:r>
      <w:r>
        <w:rPr>
          <w:spacing w:val="-2"/>
          <w:sz w:val="24"/>
        </w:rPr>
        <w:t> </w:t>
      </w:r>
      <w:r>
        <w:rPr>
          <w:sz w:val="24"/>
        </w:rPr>
        <w:t>does</w:t>
      </w:r>
      <w:r>
        <w:rPr>
          <w:spacing w:val="-2"/>
          <w:sz w:val="24"/>
        </w:rPr>
        <w:t> </w:t>
      </w:r>
      <w:r>
        <w:rPr>
          <w:sz w:val="24"/>
        </w:rPr>
        <w:t>not</w:t>
      </w:r>
      <w:r>
        <w:rPr>
          <w:spacing w:val="-2"/>
          <w:sz w:val="24"/>
        </w:rPr>
        <w:t> </w:t>
      </w:r>
      <w:r>
        <w:rPr>
          <w:sz w:val="24"/>
        </w:rPr>
        <w:t>duplicate</w:t>
      </w:r>
      <w:r>
        <w:rPr>
          <w:spacing w:val="-3"/>
          <w:sz w:val="24"/>
        </w:rPr>
        <w:t> </w:t>
      </w:r>
      <w:r>
        <w:rPr>
          <w:sz w:val="24"/>
        </w:rPr>
        <w:t>this</w:t>
      </w:r>
      <w:r>
        <w:rPr>
          <w:spacing w:val="-2"/>
          <w:sz w:val="24"/>
        </w:rPr>
        <w:t> payment.</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1036" w:firstLine="0"/>
        <w:jc w:val="left"/>
        <w:rPr>
          <w:sz w:val="22"/>
        </w:rPr>
      </w:pPr>
      <w:r>
        <w:rPr>
          <w:sz w:val="22"/>
        </w:rPr>
        <w:t>Permanent,</w:t>
      </w:r>
      <w:r>
        <w:rPr>
          <w:spacing w:val="-2"/>
          <w:sz w:val="22"/>
        </w:rPr>
        <w:t> </w:t>
      </w:r>
      <w:r>
        <w:rPr>
          <w:sz w:val="22"/>
        </w:rPr>
        <w:t>first</w:t>
      </w:r>
      <w:r>
        <w:rPr>
          <w:spacing w:val="-3"/>
          <w:sz w:val="22"/>
        </w:rPr>
        <w:t> </w:t>
      </w:r>
      <w:r>
        <w:rPr>
          <w:sz w:val="22"/>
        </w:rPr>
        <w:t>adoption</w:t>
      </w:r>
      <w:r>
        <w:rPr>
          <w:spacing w:val="-3"/>
          <w:sz w:val="22"/>
        </w:rPr>
        <w:t> </w:t>
      </w:r>
      <w:r>
        <w:rPr>
          <w:sz w:val="22"/>
        </w:rPr>
        <w:t>under</w:t>
      </w:r>
      <w:r>
        <w:rPr>
          <w:spacing w:val="-3"/>
          <w:sz w:val="22"/>
        </w:rPr>
        <w:t> </w:t>
      </w:r>
      <w:r>
        <w:rPr>
          <w:sz w:val="22"/>
        </w:rPr>
        <w:t>OAC</w:t>
      </w:r>
      <w:r>
        <w:rPr>
          <w:spacing w:val="-4"/>
          <w:sz w:val="22"/>
        </w:rPr>
        <w:t> </w:t>
      </w:r>
      <w:r>
        <w:rPr>
          <w:sz w:val="22"/>
        </w:rPr>
        <w:t>Title</w:t>
      </w:r>
      <w:r>
        <w:rPr>
          <w:spacing w:val="-3"/>
          <w:sz w:val="22"/>
        </w:rPr>
        <w:t> </w:t>
      </w:r>
      <w:r>
        <w:rPr>
          <w:sz w:val="22"/>
        </w:rPr>
        <w:t>612,</w:t>
      </w:r>
      <w:r>
        <w:rPr>
          <w:spacing w:val="-4"/>
          <w:sz w:val="22"/>
        </w:rPr>
        <w:t> </w:t>
      </w:r>
      <w:r>
        <w:rPr>
          <w:sz w:val="22"/>
        </w:rPr>
        <w:t>use</w:t>
      </w:r>
      <w:r>
        <w:rPr>
          <w:spacing w:val="-3"/>
          <w:sz w:val="22"/>
        </w:rPr>
        <w:t> </w:t>
      </w:r>
      <w:r>
        <w:rPr>
          <w:sz w:val="22"/>
        </w:rPr>
        <w:t>financial</w:t>
      </w:r>
      <w:r>
        <w:rPr>
          <w:spacing w:val="-4"/>
          <w:sz w:val="22"/>
        </w:rPr>
        <w:t> </w:t>
      </w:r>
      <w:r>
        <w:rPr>
          <w:sz w:val="22"/>
        </w:rPr>
        <w:t>status</w:t>
      </w:r>
      <w:r>
        <w:rPr>
          <w:spacing w:val="-3"/>
          <w:sz w:val="22"/>
        </w:rPr>
        <w:t> </w:t>
      </w:r>
      <w:r>
        <w:rPr>
          <w:sz w:val="22"/>
        </w:rPr>
        <w:t>at</w:t>
      </w:r>
      <w:r>
        <w:rPr>
          <w:spacing w:val="-3"/>
          <w:sz w:val="22"/>
        </w:rPr>
        <w:t> </w:t>
      </w:r>
      <w:r>
        <w:rPr>
          <w:sz w:val="22"/>
        </w:rPr>
        <w:t>time</w:t>
      </w:r>
      <w:r>
        <w:rPr>
          <w:spacing w:val="-3"/>
          <w:sz w:val="22"/>
        </w:rPr>
        <w:t> </w:t>
      </w:r>
      <w:r>
        <w:rPr>
          <w:sz w:val="22"/>
        </w:rPr>
        <w:t>of</w:t>
      </w:r>
      <w:r>
        <w:rPr>
          <w:spacing w:val="-3"/>
          <w:sz w:val="22"/>
        </w:rPr>
        <w:t> </w:t>
      </w:r>
      <w:r>
        <w:rPr>
          <w:sz w:val="22"/>
        </w:rPr>
        <w:t>last IRP for amount of client participation in cost</w:t>
      </w:r>
    </w:p>
    <w:p>
      <w:pPr>
        <w:tabs>
          <w:tab w:pos="1439" w:val="left" w:leader="none"/>
        </w:tabs>
        <w:spacing w:before="0"/>
        <w:ind w:left="359" w:right="0" w:firstLine="0"/>
        <w:jc w:val="left"/>
        <w:rPr>
          <w:sz w:val="22"/>
        </w:rPr>
      </w:pPr>
      <w:r>
        <w:rPr>
          <w:spacing w:val="-2"/>
          <w:sz w:val="22"/>
        </w:rPr>
        <w:t>4-3-</w:t>
      </w:r>
      <w:r>
        <w:rPr>
          <w:spacing w:val="-5"/>
          <w:sz w:val="22"/>
        </w:rPr>
        <w:t>96</w:t>
      </w:r>
      <w:r>
        <w:rPr>
          <w:sz w:val="22"/>
        </w:rPr>
        <w:tab/>
        <w:t>PT</w:t>
      </w:r>
      <w:r>
        <w:rPr>
          <w:spacing w:val="-8"/>
          <w:sz w:val="22"/>
        </w:rPr>
        <w:t> </w:t>
      </w:r>
      <w:r>
        <w:rPr>
          <w:sz w:val="22"/>
        </w:rPr>
        <w:t>Memo</w:t>
      </w:r>
      <w:r>
        <w:rPr>
          <w:spacing w:val="-8"/>
          <w:sz w:val="22"/>
        </w:rPr>
        <w:t> </w:t>
      </w:r>
      <w:r>
        <w:rPr>
          <w:sz w:val="22"/>
        </w:rPr>
        <w:t>#96-</w:t>
      </w:r>
      <w:r>
        <w:rPr>
          <w:spacing w:val="-10"/>
          <w:sz w:val="22"/>
        </w:rPr>
        <w:t>2</w:t>
      </w:r>
    </w:p>
    <w:p>
      <w:pPr>
        <w:spacing w:before="0"/>
        <w:ind w:left="1439" w:right="775" w:firstLine="0"/>
        <w:jc w:val="left"/>
        <w:rPr>
          <w:sz w:val="22"/>
        </w:rPr>
      </w:pPr>
      <w:r>
        <w:rPr>
          <w:sz w:val="22"/>
        </w:rPr>
        <w:t>Emergency, set up separate methods for applying client surplus to one-time expenditure</w:t>
      </w:r>
      <w:r>
        <w:rPr>
          <w:spacing w:val="-5"/>
          <w:sz w:val="22"/>
        </w:rPr>
        <w:t> </w:t>
      </w:r>
      <w:r>
        <w:rPr>
          <w:sz w:val="22"/>
        </w:rPr>
        <w:t>and</w:t>
      </w:r>
      <w:r>
        <w:rPr>
          <w:spacing w:val="-4"/>
          <w:sz w:val="22"/>
        </w:rPr>
        <w:t> </w:t>
      </w:r>
      <w:r>
        <w:rPr>
          <w:sz w:val="22"/>
        </w:rPr>
        <w:t>recurring</w:t>
      </w:r>
      <w:r>
        <w:rPr>
          <w:spacing w:val="-4"/>
          <w:sz w:val="22"/>
        </w:rPr>
        <w:t> </w:t>
      </w:r>
      <w:r>
        <w:rPr>
          <w:sz w:val="22"/>
        </w:rPr>
        <w:t>services;</w:t>
      </w:r>
      <w:r>
        <w:rPr>
          <w:spacing w:val="-4"/>
          <w:sz w:val="22"/>
        </w:rPr>
        <w:t> </w:t>
      </w:r>
      <w:r>
        <w:rPr>
          <w:sz w:val="22"/>
        </w:rPr>
        <w:t>verification</w:t>
      </w:r>
      <w:r>
        <w:rPr>
          <w:spacing w:val="-5"/>
          <w:sz w:val="22"/>
        </w:rPr>
        <w:t> </w:t>
      </w:r>
      <w:r>
        <w:rPr>
          <w:sz w:val="22"/>
        </w:rPr>
        <w:t>of</w:t>
      </w:r>
      <w:r>
        <w:rPr>
          <w:spacing w:val="-5"/>
          <w:sz w:val="22"/>
        </w:rPr>
        <w:t> </w:t>
      </w:r>
      <w:r>
        <w:rPr>
          <w:sz w:val="22"/>
        </w:rPr>
        <w:t>financial</w:t>
      </w:r>
      <w:r>
        <w:rPr>
          <w:spacing w:val="-5"/>
          <w:sz w:val="22"/>
        </w:rPr>
        <w:t> </w:t>
      </w:r>
      <w:r>
        <w:rPr>
          <w:sz w:val="22"/>
        </w:rPr>
        <w:t>information</w:t>
      </w:r>
      <w:r>
        <w:rPr>
          <w:spacing w:val="-4"/>
          <w:sz w:val="22"/>
        </w:rPr>
        <w:t> </w:t>
      </w:r>
      <w:r>
        <w:rPr>
          <w:sz w:val="22"/>
        </w:rPr>
        <w:t>required;</w:t>
      </w:r>
      <w:r>
        <w:rPr>
          <w:spacing w:val="-4"/>
          <w:sz w:val="22"/>
        </w:rPr>
        <w:t> </w:t>
      </w:r>
      <w:r>
        <w:rPr>
          <w:sz w:val="22"/>
        </w:rPr>
        <w:t>if refuse to provide verification, won't get financial need services</w:t>
      </w:r>
    </w:p>
    <w:p>
      <w:pPr>
        <w:pStyle w:val="ListParagraph"/>
        <w:numPr>
          <w:ilvl w:val="2"/>
          <w:numId w:val="95"/>
        </w:numPr>
        <w:tabs>
          <w:tab w:pos="1439" w:val="left" w:leader="none"/>
        </w:tabs>
        <w:spacing w:line="253"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#97-</w:t>
      </w:r>
      <w:r>
        <w:rPr>
          <w:spacing w:val="-10"/>
          <w:sz w:val="22"/>
        </w:rPr>
        <w:t>9</w:t>
      </w:r>
    </w:p>
    <w:p>
      <w:pPr>
        <w:spacing w:before="1"/>
        <w:ind w:left="1439" w:right="775" w:firstLine="0"/>
        <w:jc w:val="left"/>
        <w:rPr>
          <w:sz w:val="22"/>
        </w:rPr>
      </w:pPr>
      <w:r>
        <w:rPr>
          <w:sz w:val="22"/>
        </w:rPr>
        <w:t>Permanent, removes separate method for applying client surplus to one-time expenditure; verification of financial information required; if refuse to provide verification,</w:t>
      </w:r>
      <w:r>
        <w:rPr>
          <w:spacing w:val="-5"/>
          <w:sz w:val="22"/>
        </w:rPr>
        <w:t> </w:t>
      </w:r>
      <w:r>
        <w:rPr>
          <w:sz w:val="22"/>
        </w:rPr>
        <w:t>won't</w:t>
      </w:r>
      <w:r>
        <w:rPr>
          <w:spacing w:val="-4"/>
          <w:sz w:val="22"/>
        </w:rPr>
        <w:t> </w:t>
      </w:r>
      <w:r>
        <w:rPr>
          <w:sz w:val="22"/>
        </w:rPr>
        <w:t>get</w:t>
      </w:r>
      <w:r>
        <w:rPr>
          <w:spacing w:val="-4"/>
          <w:sz w:val="22"/>
        </w:rPr>
        <w:t> </w:t>
      </w:r>
      <w:r>
        <w:rPr>
          <w:sz w:val="22"/>
        </w:rPr>
        <w:t>financial</w:t>
      </w:r>
      <w:r>
        <w:rPr>
          <w:spacing w:val="-4"/>
          <w:sz w:val="22"/>
        </w:rPr>
        <w:t> </w:t>
      </w:r>
      <w:r>
        <w:rPr>
          <w:sz w:val="22"/>
        </w:rPr>
        <w:t>need</w:t>
      </w:r>
      <w:r>
        <w:rPr>
          <w:spacing w:val="-5"/>
          <w:sz w:val="22"/>
        </w:rPr>
        <w:t> </w:t>
      </w:r>
      <w:r>
        <w:rPr>
          <w:sz w:val="22"/>
        </w:rPr>
        <w:t>services;</w:t>
      </w:r>
      <w:r>
        <w:rPr>
          <w:spacing w:val="-4"/>
          <w:sz w:val="22"/>
        </w:rPr>
        <w:t> </w:t>
      </w:r>
      <w:r>
        <w:rPr>
          <w:sz w:val="22"/>
        </w:rPr>
        <w:t>rules</w:t>
      </w:r>
      <w:r>
        <w:rPr>
          <w:spacing w:val="-4"/>
          <w:sz w:val="22"/>
        </w:rPr>
        <w:t> </w:t>
      </w:r>
      <w:r>
        <w:rPr>
          <w:sz w:val="22"/>
        </w:rPr>
        <w:t>supersede</w:t>
      </w:r>
      <w:r>
        <w:rPr>
          <w:spacing w:val="-4"/>
          <w:sz w:val="22"/>
        </w:rPr>
        <w:t> </w:t>
      </w:r>
      <w:r>
        <w:rPr>
          <w:sz w:val="22"/>
        </w:rPr>
        <w:t>emergency</w:t>
      </w:r>
      <w:r>
        <w:rPr>
          <w:spacing w:val="-4"/>
          <w:sz w:val="22"/>
        </w:rPr>
        <w:t> </w:t>
      </w:r>
      <w:r>
        <w:rPr>
          <w:sz w:val="22"/>
        </w:rPr>
        <w:t>rules issued 4-3-96</w:t>
      </w:r>
    </w:p>
    <w:p>
      <w:pPr>
        <w:pStyle w:val="ListParagraph"/>
        <w:numPr>
          <w:ilvl w:val="2"/>
          <w:numId w:val="95"/>
        </w:numPr>
        <w:tabs>
          <w:tab w:pos="1439" w:val="left" w:leader="none"/>
        </w:tabs>
        <w:spacing w:line="253"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#98-</w:t>
      </w:r>
      <w:r>
        <w:rPr>
          <w:spacing w:val="-5"/>
          <w:sz w:val="22"/>
        </w:rPr>
        <w:t>15</w:t>
      </w:r>
    </w:p>
    <w:p>
      <w:pPr>
        <w:tabs>
          <w:tab w:pos="1439" w:val="left" w:leader="none"/>
        </w:tabs>
        <w:spacing w:before="0"/>
        <w:ind w:left="359" w:right="2223" w:firstLine="1080"/>
        <w:jc w:val="left"/>
        <w:rPr>
          <w:sz w:val="22"/>
        </w:rPr>
      </w:pPr>
      <w:r>
        <w:rPr>
          <w:sz w:val="22"/>
        </w:rPr>
        <w:t>Permanent,</w:t>
      </w:r>
      <w:r>
        <w:rPr>
          <w:spacing w:val="-4"/>
          <w:sz w:val="22"/>
        </w:rPr>
        <w:t> </w:t>
      </w:r>
      <w:r>
        <w:rPr>
          <w:sz w:val="22"/>
        </w:rPr>
        <w:t>updated</w:t>
      </w:r>
      <w:r>
        <w:rPr>
          <w:spacing w:val="-5"/>
          <w:sz w:val="22"/>
        </w:rPr>
        <w:t> </w:t>
      </w:r>
      <w:r>
        <w:rPr>
          <w:sz w:val="22"/>
        </w:rPr>
        <w:t>name</w:t>
      </w:r>
      <w:r>
        <w:rPr>
          <w:spacing w:val="-5"/>
          <w:sz w:val="22"/>
        </w:rPr>
        <w:t> </w:t>
      </w:r>
      <w:r>
        <w:rPr>
          <w:sz w:val="22"/>
        </w:rPr>
        <w:t>of</w:t>
      </w:r>
      <w:r>
        <w:rPr>
          <w:spacing w:val="-5"/>
          <w:sz w:val="22"/>
        </w:rPr>
        <w:t> </w:t>
      </w:r>
      <w:r>
        <w:rPr>
          <w:sz w:val="22"/>
        </w:rPr>
        <w:t>the</w:t>
      </w:r>
      <w:r>
        <w:rPr>
          <w:spacing w:val="-5"/>
          <w:sz w:val="22"/>
        </w:rPr>
        <w:t> </w:t>
      </w:r>
      <w:r>
        <w:rPr>
          <w:sz w:val="22"/>
        </w:rPr>
        <w:t>Financial</w:t>
      </w:r>
      <w:r>
        <w:rPr>
          <w:spacing w:val="-5"/>
          <w:sz w:val="22"/>
        </w:rPr>
        <w:t> </w:t>
      </w:r>
      <w:r>
        <w:rPr>
          <w:sz w:val="22"/>
        </w:rPr>
        <w:t>Status</w:t>
      </w:r>
      <w:r>
        <w:rPr>
          <w:spacing w:val="-5"/>
          <w:sz w:val="22"/>
        </w:rPr>
        <w:t> </w:t>
      </w:r>
      <w:r>
        <w:rPr>
          <w:sz w:val="22"/>
        </w:rPr>
        <w:t>Determination</w:t>
      </w:r>
      <w:r>
        <w:rPr>
          <w:spacing w:val="-5"/>
          <w:sz w:val="22"/>
        </w:rPr>
        <w:t> </w:t>
      </w:r>
      <w:r>
        <w:rPr>
          <w:sz w:val="22"/>
        </w:rPr>
        <w:t>form </w:t>
      </w:r>
      <w:r>
        <w:rPr>
          <w:spacing w:val="-2"/>
          <w:sz w:val="22"/>
        </w:rPr>
        <w:t>7-29-98</w:t>
      </w:r>
      <w:r>
        <w:rPr>
          <w:sz w:val="22"/>
        </w:rPr>
        <w:tab/>
        <w:t>PT Memo #99-1</w:t>
      </w:r>
    </w:p>
    <w:p>
      <w:pPr>
        <w:spacing w:before="0"/>
        <w:ind w:left="1439" w:right="1036" w:firstLine="0"/>
        <w:jc w:val="left"/>
        <w:rPr>
          <w:sz w:val="22"/>
        </w:rPr>
      </w:pPr>
      <w:r>
        <w:rPr>
          <w:sz w:val="22"/>
        </w:rPr>
        <w:t>Emergency,</w:t>
      </w:r>
      <w:r>
        <w:rPr>
          <w:spacing w:val="-4"/>
          <w:sz w:val="22"/>
        </w:rPr>
        <w:t> </w:t>
      </w:r>
      <w:r>
        <w:rPr>
          <w:sz w:val="22"/>
        </w:rPr>
        <w:t>the</w:t>
      </w:r>
      <w:r>
        <w:rPr>
          <w:spacing w:val="-4"/>
          <w:sz w:val="22"/>
        </w:rPr>
        <w:t> </w:t>
      </w:r>
      <w:r>
        <w:rPr>
          <w:sz w:val="22"/>
        </w:rPr>
        <w:t>amendments</w:t>
      </w:r>
      <w:r>
        <w:rPr>
          <w:spacing w:val="-4"/>
          <w:sz w:val="22"/>
        </w:rPr>
        <w:t> </w:t>
      </w:r>
      <w:r>
        <w:rPr>
          <w:sz w:val="22"/>
        </w:rPr>
        <w:t>to</w:t>
      </w:r>
      <w:r>
        <w:rPr>
          <w:spacing w:val="-4"/>
          <w:sz w:val="22"/>
        </w:rPr>
        <w:t> </w:t>
      </w:r>
      <w:r>
        <w:rPr>
          <w:sz w:val="22"/>
        </w:rPr>
        <w:t>this</w:t>
      </w:r>
      <w:r>
        <w:rPr>
          <w:spacing w:val="-4"/>
          <w:sz w:val="22"/>
        </w:rPr>
        <w:t> </w:t>
      </w:r>
      <w:r>
        <w:rPr>
          <w:sz w:val="22"/>
        </w:rPr>
        <w:t>Section</w:t>
      </w:r>
      <w:r>
        <w:rPr>
          <w:spacing w:val="-4"/>
          <w:sz w:val="22"/>
        </w:rPr>
        <w:t> </w:t>
      </w:r>
      <w:r>
        <w:rPr>
          <w:sz w:val="22"/>
        </w:rPr>
        <w:t>return</w:t>
      </w:r>
      <w:r>
        <w:rPr>
          <w:spacing w:val="-4"/>
          <w:sz w:val="22"/>
        </w:rPr>
        <w:t> </w:t>
      </w:r>
      <w:r>
        <w:rPr>
          <w:sz w:val="22"/>
        </w:rPr>
        <w:t>the</w:t>
      </w:r>
      <w:r>
        <w:rPr>
          <w:spacing w:val="-4"/>
          <w:sz w:val="22"/>
        </w:rPr>
        <w:t> </w:t>
      </w:r>
      <w:r>
        <w:rPr>
          <w:sz w:val="22"/>
        </w:rPr>
        <w:t>wording</w:t>
      </w:r>
      <w:r>
        <w:rPr>
          <w:spacing w:val="-4"/>
          <w:sz w:val="22"/>
        </w:rPr>
        <w:t> </w:t>
      </w:r>
      <w:r>
        <w:rPr>
          <w:sz w:val="22"/>
        </w:rPr>
        <w:t>to</w:t>
      </w:r>
      <w:r>
        <w:rPr>
          <w:spacing w:val="-4"/>
          <w:sz w:val="22"/>
        </w:rPr>
        <w:t> </w:t>
      </w:r>
      <w:r>
        <w:rPr>
          <w:sz w:val="22"/>
        </w:rPr>
        <w:t>its</w:t>
      </w:r>
      <w:r>
        <w:rPr>
          <w:spacing w:val="-5"/>
          <w:sz w:val="22"/>
        </w:rPr>
        <w:t> </w:t>
      </w:r>
      <w:r>
        <w:rPr>
          <w:sz w:val="22"/>
        </w:rPr>
        <w:t>intended </w:t>
      </w:r>
      <w:r>
        <w:rPr>
          <w:spacing w:val="-2"/>
          <w:sz w:val="22"/>
        </w:rPr>
        <w:t>content</w:t>
      </w:r>
    </w:p>
    <w:p>
      <w:pPr>
        <w:tabs>
          <w:tab w:pos="1439" w:val="left" w:leader="none"/>
        </w:tabs>
        <w:spacing w:before="0"/>
        <w:ind w:left="359" w:right="0" w:firstLine="0"/>
        <w:jc w:val="left"/>
        <w:rPr>
          <w:sz w:val="22"/>
        </w:rPr>
      </w:pPr>
      <w:r>
        <w:rPr>
          <w:spacing w:val="-2"/>
          <w:sz w:val="22"/>
        </w:rPr>
        <w:t>6-14-</w:t>
      </w:r>
      <w:r>
        <w:rPr>
          <w:spacing w:val="-5"/>
          <w:sz w:val="22"/>
        </w:rPr>
        <w:t>99</w:t>
      </w:r>
      <w:r>
        <w:rPr>
          <w:sz w:val="22"/>
        </w:rPr>
        <w:tab/>
        <w:t>POL</w:t>
      </w:r>
      <w:r>
        <w:rPr>
          <w:spacing w:val="-9"/>
          <w:sz w:val="22"/>
        </w:rPr>
        <w:t> </w:t>
      </w:r>
      <w:r>
        <w:rPr>
          <w:sz w:val="22"/>
        </w:rPr>
        <w:t>Memo</w:t>
      </w:r>
      <w:r>
        <w:rPr>
          <w:spacing w:val="-8"/>
          <w:sz w:val="22"/>
        </w:rPr>
        <w:t> </w:t>
      </w:r>
      <w:r>
        <w:rPr>
          <w:sz w:val="22"/>
        </w:rPr>
        <w:t>#99-</w:t>
      </w:r>
      <w:r>
        <w:rPr>
          <w:spacing w:val="-10"/>
          <w:sz w:val="22"/>
        </w:rPr>
        <w:t>7</w:t>
      </w:r>
    </w:p>
    <w:p>
      <w:pPr>
        <w:spacing w:before="0"/>
        <w:ind w:left="1439" w:right="775" w:firstLine="0"/>
        <w:jc w:val="left"/>
        <w:rPr>
          <w:sz w:val="22"/>
        </w:rPr>
      </w:pPr>
      <w:r>
        <w:rPr>
          <w:sz w:val="22"/>
        </w:rPr>
        <w:t>Emergency,</w:t>
      </w:r>
      <w:r>
        <w:rPr>
          <w:spacing w:val="-3"/>
          <w:sz w:val="22"/>
        </w:rPr>
        <w:t> </w:t>
      </w:r>
      <w:r>
        <w:rPr>
          <w:sz w:val="22"/>
        </w:rPr>
        <w:t>Returned</w:t>
      </w:r>
      <w:r>
        <w:rPr>
          <w:spacing w:val="-3"/>
          <w:sz w:val="22"/>
        </w:rPr>
        <w:t> </w:t>
      </w:r>
      <w:r>
        <w:rPr>
          <w:sz w:val="22"/>
        </w:rPr>
        <w:t>to</w:t>
      </w:r>
      <w:r>
        <w:rPr>
          <w:spacing w:val="-3"/>
          <w:sz w:val="22"/>
        </w:rPr>
        <w:t> </w:t>
      </w:r>
      <w:r>
        <w:rPr>
          <w:sz w:val="22"/>
        </w:rPr>
        <w:t>applying</w:t>
      </w:r>
      <w:r>
        <w:rPr>
          <w:spacing w:val="-4"/>
          <w:sz w:val="22"/>
        </w:rPr>
        <w:t> </w:t>
      </w:r>
      <w:r>
        <w:rPr>
          <w:sz w:val="22"/>
        </w:rPr>
        <w:t>client</w:t>
      </w:r>
      <w:r>
        <w:rPr>
          <w:spacing w:val="-3"/>
          <w:sz w:val="22"/>
        </w:rPr>
        <w:t> </w:t>
      </w:r>
      <w:r>
        <w:rPr>
          <w:sz w:val="22"/>
        </w:rPr>
        <w:t>surplus</w:t>
      </w:r>
      <w:r>
        <w:rPr>
          <w:spacing w:val="-3"/>
          <w:sz w:val="22"/>
        </w:rPr>
        <w:t> </w:t>
      </w:r>
      <w:r>
        <w:rPr>
          <w:sz w:val="22"/>
        </w:rPr>
        <w:t>to</w:t>
      </w:r>
      <w:r>
        <w:rPr>
          <w:spacing w:val="-3"/>
          <w:sz w:val="22"/>
        </w:rPr>
        <w:t> </w:t>
      </w:r>
      <w:r>
        <w:rPr>
          <w:sz w:val="22"/>
        </w:rPr>
        <w:t>each</w:t>
      </w:r>
      <w:r>
        <w:rPr>
          <w:spacing w:val="-3"/>
          <w:sz w:val="22"/>
        </w:rPr>
        <w:t> </w:t>
      </w:r>
      <w:r>
        <w:rPr>
          <w:sz w:val="22"/>
        </w:rPr>
        <w:t>30</w:t>
      </w:r>
      <w:r>
        <w:rPr>
          <w:spacing w:val="-3"/>
          <w:sz w:val="22"/>
        </w:rPr>
        <w:t> </w:t>
      </w:r>
      <w:r>
        <w:rPr>
          <w:sz w:val="22"/>
        </w:rPr>
        <w:t>day</w:t>
      </w:r>
      <w:r>
        <w:rPr>
          <w:spacing w:val="-3"/>
          <w:sz w:val="22"/>
        </w:rPr>
        <w:t> </w:t>
      </w:r>
      <w:r>
        <w:rPr>
          <w:sz w:val="22"/>
        </w:rPr>
        <w:t>period</w:t>
      </w:r>
      <w:r>
        <w:rPr>
          <w:spacing w:val="-3"/>
          <w:sz w:val="22"/>
        </w:rPr>
        <w:t> </w:t>
      </w:r>
      <w:r>
        <w:rPr>
          <w:sz w:val="22"/>
        </w:rPr>
        <w:t>services</w:t>
      </w:r>
      <w:r>
        <w:rPr>
          <w:spacing w:val="-3"/>
          <w:sz w:val="22"/>
        </w:rPr>
        <w:t> </w:t>
      </w:r>
      <w:r>
        <w:rPr>
          <w:sz w:val="22"/>
        </w:rPr>
        <w:t>are </w:t>
      </w:r>
      <w:r>
        <w:rPr>
          <w:spacing w:val="-2"/>
          <w:sz w:val="22"/>
        </w:rPr>
        <w:t>provided</w:t>
      </w:r>
    </w:p>
    <w:p>
      <w:pPr>
        <w:pStyle w:val="ListParagraph"/>
        <w:numPr>
          <w:ilvl w:val="2"/>
          <w:numId w:val="95"/>
        </w:numPr>
        <w:tabs>
          <w:tab w:pos="1439" w:val="left" w:leader="none"/>
        </w:tabs>
        <w:spacing w:line="253" w:lineRule="exact" w:before="0" w:after="0"/>
        <w:ind w:left="1439" w:right="0" w:hanging="1080"/>
        <w:jc w:val="left"/>
        <w:rPr>
          <w:sz w:val="22"/>
        </w:rPr>
      </w:pPr>
      <w:r>
        <w:rPr>
          <w:sz w:val="22"/>
        </w:rPr>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7-1-11</w:t>
      </w:r>
      <w:r>
        <w:rPr>
          <w:sz w:val="22"/>
        </w:rPr>
        <w:tab/>
        <w:t>PT Memo #12-01</w:t>
      </w:r>
    </w:p>
    <w:p>
      <w:pPr>
        <w:spacing w:before="0"/>
        <w:ind w:left="1439" w:right="0" w:firstLine="0"/>
        <w:jc w:val="left"/>
        <w:rPr>
          <w:sz w:val="22"/>
        </w:rPr>
      </w:pPr>
      <w:r>
        <w:rPr>
          <w:sz w:val="22"/>
        </w:rPr>
        <w:t>Permanent,</w:t>
      </w:r>
      <w:r>
        <w:rPr>
          <w:spacing w:val="-10"/>
          <w:sz w:val="22"/>
        </w:rPr>
        <w:t> </w:t>
      </w:r>
      <w:r>
        <w:rPr>
          <w:sz w:val="22"/>
        </w:rPr>
        <w:t>combining</w:t>
      </w:r>
      <w:r>
        <w:rPr>
          <w:spacing w:val="-8"/>
          <w:sz w:val="22"/>
        </w:rPr>
        <w:t> </w:t>
      </w:r>
      <w:r>
        <w:rPr>
          <w:sz w:val="22"/>
        </w:rPr>
        <w:t>10-3-1</w:t>
      </w:r>
      <w:r>
        <w:rPr>
          <w:spacing w:val="-9"/>
          <w:sz w:val="22"/>
        </w:rPr>
        <w:t> </w:t>
      </w:r>
      <w:r>
        <w:rPr>
          <w:sz w:val="22"/>
        </w:rPr>
        <w:t>with</w:t>
      </w:r>
      <w:r>
        <w:rPr>
          <w:spacing w:val="-8"/>
          <w:sz w:val="22"/>
        </w:rPr>
        <w:t> </w:t>
      </w:r>
      <w:r>
        <w:rPr>
          <w:sz w:val="22"/>
        </w:rPr>
        <w:t>10-3-3</w:t>
      </w:r>
      <w:r>
        <w:rPr>
          <w:spacing w:val="-8"/>
          <w:sz w:val="22"/>
        </w:rPr>
        <w:t> </w:t>
      </w:r>
      <w:r>
        <w:rPr>
          <w:sz w:val="22"/>
        </w:rPr>
        <w:t>without</w:t>
      </w:r>
      <w:r>
        <w:rPr>
          <w:spacing w:val="-8"/>
          <w:sz w:val="22"/>
        </w:rPr>
        <w:t> </w:t>
      </w:r>
      <w:r>
        <w:rPr>
          <w:spacing w:val="-2"/>
          <w:sz w:val="22"/>
        </w:rPr>
        <w:t>duplication</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spacing w:line="252" w:lineRule="exact" w:before="0"/>
        <w:ind w:left="1439" w:right="0" w:firstLine="0"/>
        <w:jc w:val="left"/>
        <w:rPr>
          <w:sz w:val="22"/>
        </w:rPr>
      </w:pPr>
      <w:r>
        <w:rPr>
          <w:sz w:val="22"/>
        </w:rPr>
        <w:t>Update</w:t>
      </w:r>
      <w:r>
        <w:rPr>
          <w:spacing w:val="-8"/>
          <w:sz w:val="22"/>
        </w:rPr>
        <w:t> </w:t>
      </w:r>
      <w:r>
        <w:rPr>
          <w:sz w:val="22"/>
        </w:rPr>
        <w:t>to</w:t>
      </w:r>
      <w:r>
        <w:rPr>
          <w:spacing w:val="-7"/>
          <w:sz w:val="22"/>
        </w:rPr>
        <w:t> </w:t>
      </w:r>
      <w:r>
        <w:rPr>
          <w:sz w:val="22"/>
        </w:rPr>
        <w:t>language</w:t>
      </w:r>
      <w:r>
        <w:rPr>
          <w:spacing w:val="-7"/>
          <w:sz w:val="22"/>
        </w:rPr>
        <w:t> </w:t>
      </w:r>
      <w:r>
        <w:rPr>
          <w:sz w:val="22"/>
        </w:rPr>
        <w:t>changing</w:t>
      </w:r>
      <w:r>
        <w:rPr>
          <w:spacing w:val="-7"/>
          <w:sz w:val="22"/>
        </w:rPr>
        <w:t> </w:t>
      </w:r>
      <w:r>
        <w:rPr>
          <w:sz w:val="22"/>
        </w:rPr>
        <w:t>resources</w:t>
      </w:r>
      <w:r>
        <w:rPr>
          <w:spacing w:val="-7"/>
          <w:sz w:val="22"/>
        </w:rPr>
        <w:t> </w:t>
      </w:r>
      <w:r>
        <w:rPr>
          <w:sz w:val="22"/>
        </w:rPr>
        <w:t>to</w:t>
      </w:r>
      <w:r>
        <w:rPr>
          <w:spacing w:val="-7"/>
          <w:sz w:val="22"/>
        </w:rPr>
        <w:t> </w:t>
      </w:r>
      <w:r>
        <w:rPr>
          <w:spacing w:val="-2"/>
          <w:sz w:val="22"/>
        </w:rPr>
        <w:t>income.</w:t>
      </w:r>
    </w:p>
    <w:p>
      <w:pPr>
        <w:spacing w:before="1"/>
        <w:ind w:left="1439" w:right="0" w:firstLine="0"/>
        <w:jc w:val="left"/>
        <w:rPr>
          <w:sz w:val="22"/>
        </w:rPr>
      </w:pPr>
      <w:r>
        <w:rPr>
          <w:sz w:val="22"/>
        </w:rPr>
        <w:t>Updated</w:t>
      </w:r>
      <w:r>
        <w:rPr>
          <w:spacing w:val="-4"/>
          <w:sz w:val="22"/>
        </w:rPr>
        <w:t> </w:t>
      </w:r>
      <w:r>
        <w:rPr>
          <w:sz w:val="22"/>
        </w:rPr>
        <w:t>Instructions</w:t>
      </w:r>
      <w:r>
        <w:rPr>
          <w:spacing w:val="-4"/>
          <w:sz w:val="22"/>
        </w:rPr>
        <w:t> </w:t>
      </w:r>
      <w:r>
        <w:rPr>
          <w:sz w:val="22"/>
        </w:rPr>
        <w:t>to</w:t>
      </w:r>
      <w:r>
        <w:rPr>
          <w:spacing w:val="-5"/>
          <w:sz w:val="22"/>
        </w:rPr>
        <w:t> </w:t>
      </w:r>
      <w:r>
        <w:rPr>
          <w:sz w:val="22"/>
        </w:rPr>
        <w:t>Staff</w:t>
      </w:r>
      <w:r>
        <w:rPr>
          <w:spacing w:val="-4"/>
          <w:sz w:val="22"/>
        </w:rPr>
        <w:t> </w:t>
      </w:r>
      <w:r>
        <w:rPr>
          <w:sz w:val="22"/>
        </w:rPr>
        <w:t>changing</w:t>
      </w:r>
      <w:r>
        <w:rPr>
          <w:spacing w:val="-4"/>
          <w:sz w:val="22"/>
        </w:rPr>
        <w:t> </w:t>
      </w:r>
      <w:r>
        <w:rPr>
          <w:sz w:val="22"/>
        </w:rPr>
        <w:t>division</w:t>
      </w:r>
      <w:r>
        <w:rPr>
          <w:spacing w:val="-4"/>
          <w:sz w:val="22"/>
        </w:rPr>
        <w:t> </w:t>
      </w:r>
      <w:r>
        <w:rPr>
          <w:sz w:val="22"/>
        </w:rPr>
        <w:t>name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5"/>
          <w:sz w:val="22"/>
        </w:rPr>
        <w:t> </w:t>
      </w:r>
      <w:r>
        <w:rPr>
          <w:sz w:val="22"/>
        </w:rPr>
        <w:t>to</w:t>
      </w:r>
      <w:r>
        <w:rPr>
          <w:spacing w:val="-4"/>
          <w:sz w:val="22"/>
        </w:rPr>
        <w:t> </w:t>
      </w:r>
      <w:r>
        <w:rPr>
          <w:sz w:val="22"/>
        </w:rPr>
        <w:t>Vocational Rehabilitation for the Blind &amp; Visually Impaired.</w:t>
      </w:r>
      <w:r>
        <w:rPr>
          <w:spacing w:val="40"/>
          <w:sz w:val="22"/>
        </w:rPr>
        <w:t> </w:t>
      </w:r>
      <w:r>
        <w:rPr>
          <w:sz w:val="22"/>
        </w:rPr>
        <w:t>Language correction under ITS #2.</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1"/>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tabs>
          <w:tab w:pos="1439" w:val="left" w:leader="none"/>
        </w:tabs>
        <w:spacing w:before="0"/>
        <w:ind w:left="1438" w:right="1232" w:hanging="1080"/>
        <w:jc w:val="left"/>
        <w:rPr>
          <w:sz w:val="22"/>
        </w:rPr>
      </w:pPr>
      <w:r>
        <w:rPr>
          <w:spacing w:val="-2"/>
          <w:sz w:val="22"/>
        </w:rPr>
        <w:t>8-26-21</w:t>
      </w:r>
      <w:r>
        <w:rPr>
          <w:sz w:val="22"/>
        </w:rPr>
        <w:tab/>
        <w:t>612:10-3-4,</w:t>
      </w:r>
      <w:r>
        <w:rPr>
          <w:spacing w:val="-4"/>
          <w:sz w:val="22"/>
        </w:rPr>
        <w:t> </w:t>
      </w:r>
      <w:r>
        <w:rPr>
          <w:sz w:val="22"/>
        </w:rPr>
        <w:t>612:10-3-5,</w:t>
      </w:r>
      <w:r>
        <w:rPr>
          <w:spacing w:val="-4"/>
          <w:sz w:val="22"/>
        </w:rPr>
        <w:t> </w:t>
      </w:r>
      <w:r>
        <w:rPr>
          <w:sz w:val="22"/>
        </w:rPr>
        <w:t>612:10-3-6</w:t>
      </w:r>
      <w:r>
        <w:rPr>
          <w:spacing w:val="-4"/>
          <w:sz w:val="22"/>
        </w:rPr>
        <w:t> </w:t>
      </w:r>
      <w:r>
        <w:rPr>
          <w:sz w:val="22"/>
        </w:rPr>
        <w:t>were</w:t>
      </w:r>
      <w:r>
        <w:rPr>
          <w:spacing w:val="-4"/>
          <w:sz w:val="22"/>
        </w:rPr>
        <w:t> </w:t>
      </w:r>
      <w:r>
        <w:rPr>
          <w:sz w:val="22"/>
        </w:rPr>
        <w:t>revoked</w:t>
      </w:r>
      <w:r>
        <w:rPr>
          <w:spacing w:val="-4"/>
          <w:sz w:val="22"/>
        </w:rPr>
        <w:t> </w:t>
      </w:r>
      <w:r>
        <w:rPr>
          <w:sz w:val="22"/>
        </w:rPr>
        <w:t>and</w:t>
      </w:r>
      <w:r>
        <w:rPr>
          <w:spacing w:val="-4"/>
          <w:sz w:val="22"/>
        </w:rPr>
        <w:t> </w:t>
      </w:r>
      <w:r>
        <w:rPr>
          <w:sz w:val="22"/>
        </w:rPr>
        <w:t>part</w:t>
      </w:r>
      <w:r>
        <w:rPr>
          <w:spacing w:val="-4"/>
          <w:sz w:val="22"/>
        </w:rPr>
        <w:t> </w:t>
      </w:r>
      <w:r>
        <w:rPr>
          <w:sz w:val="22"/>
        </w:rPr>
        <w:t>or</w:t>
      </w:r>
      <w:r>
        <w:rPr>
          <w:spacing w:val="-4"/>
          <w:sz w:val="22"/>
        </w:rPr>
        <w:t> </w:t>
      </w:r>
      <w:r>
        <w:rPr>
          <w:sz w:val="22"/>
        </w:rPr>
        <w:t>complete</w:t>
      </w:r>
      <w:r>
        <w:rPr>
          <w:spacing w:val="-4"/>
          <w:sz w:val="22"/>
        </w:rPr>
        <w:t> </w:t>
      </w:r>
      <w:r>
        <w:rPr>
          <w:sz w:val="22"/>
        </w:rPr>
        <w:t>sections were incorporated into this rule.</w:t>
      </w:r>
    </w:p>
    <w:p>
      <w:pPr>
        <w:tabs>
          <w:tab w:pos="1438" w:val="left" w:leader="none"/>
        </w:tabs>
        <w:spacing w:before="0"/>
        <w:ind w:left="358" w:right="4827" w:firstLine="0"/>
        <w:jc w:val="left"/>
        <w:rPr>
          <w:sz w:val="22"/>
        </w:rPr>
      </w:pPr>
      <w:r>
        <w:rPr>
          <w:spacing w:val="-2"/>
          <w:sz w:val="22"/>
        </w:rPr>
        <w:t>1-20-22</w:t>
      </w:r>
      <w:r>
        <w:rPr>
          <w:sz w:val="22"/>
        </w:rPr>
        <w:tab/>
        <w:t>Updated</w:t>
      </w:r>
      <w:r>
        <w:rPr>
          <w:spacing w:val="-8"/>
          <w:sz w:val="22"/>
        </w:rPr>
        <w:t> </w:t>
      </w:r>
      <w:r>
        <w:rPr>
          <w:sz w:val="22"/>
        </w:rPr>
        <w:t>ITS</w:t>
      </w:r>
      <w:r>
        <w:rPr>
          <w:spacing w:val="-8"/>
          <w:sz w:val="22"/>
        </w:rPr>
        <w:t> </w:t>
      </w:r>
      <w:r>
        <w:rPr>
          <w:sz w:val="22"/>
        </w:rPr>
        <w:t>#1</w:t>
      </w:r>
      <w:r>
        <w:rPr>
          <w:spacing w:val="-8"/>
          <w:sz w:val="22"/>
        </w:rPr>
        <w:t> </w:t>
      </w:r>
      <w:r>
        <w:rPr>
          <w:sz w:val="22"/>
        </w:rPr>
        <w:t>federal</w:t>
      </w:r>
      <w:r>
        <w:rPr>
          <w:spacing w:val="-8"/>
          <w:sz w:val="22"/>
        </w:rPr>
        <w:t> </w:t>
      </w:r>
      <w:r>
        <w:rPr>
          <w:sz w:val="22"/>
        </w:rPr>
        <w:t>poverty</w:t>
      </w:r>
      <w:r>
        <w:rPr>
          <w:spacing w:val="-8"/>
          <w:sz w:val="22"/>
        </w:rPr>
        <w:t> </w:t>
      </w:r>
      <w:r>
        <w:rPr>
          <w:sz w:val="22"/>
        </w:rPr>
        <w:t>guidelines. </w:t>
      </w:r>
      <w:r>
        <w:rPr>
          <w:spacing w:val="-2"/>
          <w:sz w:val="22"/>
        </w:rPr>
        <w:t>9-11-22</w:t>
      </w:r>
      <w:r>
        <w:rPr>
          <w:sz w:val="22"/>
        </w:rPr>
        <w:tab/>
        <w:t>Revised language under (c) (6).</w:t>
      </w:r>
    </w:p>
    <w:p>
      <w:pPr>
        <w:tabs>
          <w:tab w:pos="1438" w:val="left" w:leader="none"/>
        </w:tabs>
        <w:spacing w:line="252" w:lineRule="exact" w:before="0"/>
        <w:ind w:left="358" w:right="0" w:firstLine="0"/>
        <w:jc w:val="left"/>
        <w:rPr>
          <w:sz w:val="22"/>
        </w:rPr>
      </w:pPr>
      <w:r>
        <w:rPr>
          <w:spacing w:val="-2"/>
          <w:sz w:val="22"/>
        </w:rPr>
        <w:t>2-23-</w:t>
      </w:r>
      <w:r>
        <w:rPr>
          <w:spacing w:val="-5"/>
          <w:sz w:val="22"/>
        </w:rPr>
        <w:t>23</w:t>
      </w:r>
      <w:r>
        <w:rPr>
          <w:sz w:val="22"/>
        </w:rPr>
        <w:tab/>
        <w:t>Updated</w:t>
      </w:r>
      <w:r>
        <w:rPr>
          <w:spacing w:val="-6"/>
          <w:sz w:val="22"/>
        </w:rPr>
        <w:t> </w:t>
      </w:r>
      <w:r>
        <w:rPr>
          <w:sz w:val="22"/>
        </w:rPr>
        <w:t>ITS</w:t>
      </w:r>
      <w:r>
        <w:rPr>
          <w:spacing w:val="-6"/>
          <w:sz w:val="22"/>
        </w:rPr>
        <w:t> </w:t>
      </w:r>
      <w:r>
        <w:rPr>
          <w:sz w:val="22"/>
        </w:rPr>
        <w:t>#1</w:t>
      </w:r>
      <w:r>
        <w:rPr>
          <w:spacing w:val="-6"/>
          <w:sz w:val="22"/>
        </w:rPr>
        <w:t> </w:t>
      </w:r>
      <w:r>
        <w:rPr>
          <w:sz w:val="22"/>
        </w:rPr>
        <w:t>federal</w:t>
      </w:r>
      <w:r>
        <w:rPr>
          <w:spacing w:val="-6"/>
          <w:sz w:val="22"/>
        </w:rPr>
        <w:t> </w:t>
      </w:r>
      <w:r>
        <w:rPr>
          <w:sz w:val="22"/>
        </w:rPr>
        <w:t>poverty</w:t>
      </w:r>
      <w:r>
        <w:rPr>
          <w:spacing w:val="-6"/>
          <w:sz w:val="22"/>
        </w:rPr>
        <w:t> </w:t>
      </w:r>
      <w:r>
        <w:rPr>
          <w:spacing w:val="-2"/>
          <w:sz w:val="22"/>
        </w:rPr>
        <w:t>guidelines.</w:t>
      </w:r>
    </w:p>
    <w:p>
      <w:pPr>
        <w:pStyle w:val="ListParagraph"/>
        <w:numPr>
          <w:ilvl w:val="2"/>
          <w:numId w:val="96"/>
        </w:numPr>
        <w:tabs>
          <w:tab w:pos="1438" w:val="left" w:leader="none"/>
        </w:tabs>
        <w:spacing w:line="240" w:lineRule="auto" w:before="0" w:after="0"/>
        <w:ind w:left="358" w:right="2090" w:firstLine="0"/>
        <w:jc w:val="left"/>
        <w:rPr>
          <w:sz w:val="22"/>
        </w:rPr>
      </w:pPr>
      <w:r>
        <w:rPr>
          <w:sz w:val="22"/>
        </w:rPr>
        <w:t>Removed</w:t>
      </w:r>
      <w:r>
        <w:rPr>
          <w:spacing w:val="-5"/>
          <w:sz w:val="22"/>
        </w:rPr>
        <w:t> </w:t>
      </w:r>
      <w:r>
        <w:rPr>
          <w:sz w:val="22"/>
        </w:rPr>
        <w:t>language</w:t>
      </w:r>
      <w:r>
        <w:rPr>
          <w:spacing w:val="-5"/>
          <w:sz w:val="22"/>
        </w:rPr>
        <w:t> </w:t>
      </w:r>
      <w:r>
        <w:rPr>
          <w:sz w:val="22"/>
        </w:rPr>
        <w:t>“family”</w:t>
      </w:r>
      <w:r>
        <w:rPr>
          <w:spacing w:val="-5"/>
          <w:sz w:val="22"/>
        </w:rPr>
        <w:t> </w:t>
      </w:r>
      <w:r>
        <w:rPr>
          <w:sz w:val="22"/>
        </w:rPr>
        <w:t>replaced</w:t>
      </w:r>
      <w:r>
        <w:rPr>
          <w:spacing w:val="-5"/>
          <w:sz w:val="22"/>
        </w:rPr>
        <w:t> </w:t>
      </w:r>
      <w:r>
        <w:rPr>
          <w:sz w:val="22"/>
        </w:rPr>
        <w:t>with</w:t>
      </w:r>
      <w:r>
        <w:rPr>
          <w:spacing w:val="-5"/>
          <w:sz w:val="22"/>
        </w:rPr>
        <w:t> </w:t>
      </w:r>
      <w:r>
        <w:rPr>
          <w:sz w:val="22"/>
        </w:rPr>
        <w:t>“household</w:t>
      </w:r>
      <w:r>
        <w:rPr>
          <w:spacing w:val="-5"/>
          <w:sz w:val="22"/>
        </w:rPr>
        <w:t> </w:t>
      </w:r>
      <w:r>
        <w:rPr>
          <w:sz w:val="22"/>
        </w:rPr>
        <w:t>under</w:t>
      </w:r>
      <w:r>
        <w:rPr>
          <w:spacing w:val="-5"/>
          <w:sz w:val="22"/>
        </w:rPr>
        <w:t> </w:t>
      </w:r>
      <w:r>
        <w:rPr>
          <w:sz w:val="22"/>
        </w:rPr>
        <w:t>section</w:t>
      </w:r>
      <w:r>
        <w:rPr>
          <w:spacing w:val="-5"/>
          <w:sz w:val="22"/>
        </w:rPr>
        <w:t> </w:t>
      </w:r>
      <w:r>
        <w:rPr>
          <w:sz w:val="22"/>
        </w:rPr>
        <w:t>(f). </w:t>
      </w:r>
      <w:r>
        <w:rPr>
          <w:spacing w:val="-2"/>
          <w:sz w:val="22"/>
        </w:rPr>
        <w:t>1-24-24</w:t>
      </w:r>
      <w:r>
        <w:rPr>
          <w:sz w:val="22"/>
        </w:rPr>
        <w:tab/>
        <w:t>Updated ITS #1 federal poverty guidelines.</w:t>
      </w:r>
    </w:p>
    <w:p>
      <w:pPr>
        <w:pStyle w:val="ListParagraph"/>
        <w:spacing w:after="0" w:line="240" w:lineRule="auto"/>
        <w:jc w:val="left"/>
        <w:rPr>
          <w:sz w:val="22"/>
        </w:rPr>
        <w:sectPr>
          <w:pgSz w:w="12240" w:h="15840"/>
          <w:pgMar w:top="1340" w:bottom="280" w:left="1080" w:right="720"/>
        </w:sectPr>
      </w:pPr>
    </w:p>
    <w:p>
      <w:pPr>
        <w:pStyle w:val="ListParagraph"/>
        <w:numPr>
          <w:ilvl w:val="2"/>
          <w:numId w:val="96"/>
        </w:numPr>
        <w:tabs>
          <w:tab w:pos="1439" w:val="left" w:leader="none"/>
        </w:tabs>
        <w:spacing w:line="240" w:lineRule="auto" w:before="80" w:after="0"/>
        <w:ind w:left="1439" w:right="939" w:hanging="1080"/>
        <w:jc w:val="left"/>
        <w:rPr>
          <w:sz w:val="22"/>
        </w:rPr>
      </w:pPr>
      <w:r>
        <w:rPr>
          <w:sz w:val="22"/>
        </w:rPr>
        <w:t>Corrected typo “on” to “one” under section (c). Section (d) (9) added additional services</w:t>
      </w:r>
      <w:r>
        <w:rPr>
          <w:spacing w:val="-3"/>
          <w:sz w:val="22"/>
        </w:rPr>
        <w:t> </w:t>
      </w:r>
      <w:r>
        <w:rPr>
          <w:sz w:val="22"/>
        </w:rPr>
        <w:t>(i.e.</w:t>
      </w:r>
      <w:r>
        <w:rPr>
          <w:spacing w:val="-3"/>
          <w:sz w:val="22"/>
        </w:rPr>
        <w:t> </w:t>
      </w:r>
      <w:r>
        <w:rPr>
          <w:sz w:val="22"/>
        </w:rPr>
        <w:t>(Retention</w:t>
      </w:r>
      <w:r>
        <w:rPr>
          <w:spacing w:val="-3"/>
          <w:sz w:val="22"/>
        </w:rPr>
        <w:t> </w:t>
      </w:r>
      <w:r>
        <w:rPr>
          <w:sz w:val="22"/>
        </w:rPr>
        <w:t>(ER),</w:t>
      </w:r>
      <w:r>
        <w:rPr>
          <w:spacing w:val="-3"/>
          <w:sz w:val="22"/>
        </w:rPr>
        <w:t> </w:t>
      </w:r>
      <w:r>
        <w:rPr>
          <w:sz w:val="22"/>
        </w:rPr>
        <w:t>Job</w:t>
      </w:r>
      <w:r>
        <w:rPr>
          <w:spacing w:val="-3"/>
          <w:sz w:val="22"/>
        </w:rPr>
        <w:t> </w:t>
      </w:r>
      <w:r>
        <w:rPr>
          <w:sz w:val="22"/>
        </w:rPr>
        <w:t>Placement</w:t>
      </w:r>
      <w:r>
        <w:rPr>
          <w:spacing w:val="-3"/>
          <w:sz w:val="22"/>
        </w:rPr>
        <w:t> </w:t>
      </w:r>
      <w:r>
        <w:rPr>
          <w:sz w:val="22"/>
        </w:rPr>
        <w:t>(JP))</w:t>
      </w:r>
      <w:r>
        <w:rPr>
          <w:spacing w:val="-3"/>
          <w:sz w:val="22"/>
        </w:rPr>
        <w:t> </w:t>
      </w:r>
      <w:r>
        <w:rPr>
          <w:sz w:val="22"/>
        </w:rPr>
        <w:t>a</w:t>
      </w:r>
      <w:r>
        <w:rPr>
          <w:spacing w:val="-3"/>
          <w:sz w:val="22"/>
        </w:rPr>
        <w:t> </w:t>
      </w:r>
      <w:r>
        <w:rPr>
          <w:sz w:val="22"/>
        </w:rPr>
        <w:t>client</w:t>
      </w:r>
      <w:r>
        <w:rPr>
          <w:spacing w:val="-3"/>
          <w:sz w:val="22"/>
        </w:rPr>
        <w:t> </w:t>
      </w:r>
      <w:r>
        <w:rPr>
          <w:sz w:val="22"/>
        </w:rPr>
        <w:t>can</w:t>
      </w:r>
      <w:r>
        <w:rPr>
          <w:spacing w:val="-3"/>
          <w:sz w:val="22"/>
        </w:rPr>
        <w:t> </w:t>
      </w:r>
      <w:r>
        <w:rPr>
          <w:sz w:val="22"/>
        </w:rPr>
        <w:t>receive</w:t>
      </w:r>
      <w:r>
        <w:rPr>
          <w:spacing w:val="-3"/>
          <w:sz w:val="22"/>
        </w:rPr>
        <w:t> </w:t>
      </w:r>
      <w:r>
        <w:rPr>
          <w:sz w:val="22"/>
        </w:rPr>
        <w:t>that</w:t>
      </w:r>
      <w:r>
        <w:rPr>
          <w:spacing w:val="-3"/>
          <w:sz w:val="22"/>
        </w:rPr>
        <w:t> </w:t>
      </w:r>
      <w:r>
        <w:rPr>
          <w:sz w:val="22"/>
        </w:rPr>
        <w:t>are</w:t>
      </w:r>
      <w:r>
        <w:rPr>
          <w:spacing w:val="-3"/>
          <w:sz w:val="22"/>
        </w:rPr>
        <w:t> </w:t>
      </w:r>
      <w:r>
        <w:rPr>
          <w:sz w:val="22"/>
        </w:rPr>
        <w:t>not based</w:t>
      </w:r>
      <w:r>
        <w:rPr>
          <w:spacing w:val="-7"/>
          <w:sz w:val="22"/>
        </w:rPr>
        <w:t> </w:t>
      </w:r>
      <w:r>
        <w:rPr>
          <w:sz w:val="22"/>
        </w:rPr>
        <w:t>on</w:t>
      </w:r>
      <w:r>
        <w:rPr>
          <w:spacing w:val="-6"/>
          <w:sz w:val="22"/>
        </w:rPr>
        <w:t> </w:t>
      </w:r>
      <w:r>
        <w:rPr>
          <w:sz w:val="22"/>
        </w:rPr>
        <w:t>financial</w:t>
      </w:r>
      <w:r>
        <w:rPr>
          <w:spacing w:val="-6"/>
          <w:sz w:val="22"/>
        </w:rPr>
        <w:t> </w:t>
      </w:r>
      <w:r>
        <w:rPr>
          <w:sz w:val="22"/>
        </w:rPr>
        <w:t>needs</w:t>
      </w:r>
      <w:r>
        <w:rPr>
          <w:spacing w:val="-6"/>
          <w:sz w:val="22"/>
        </w:rPr>
        <w:t> </w:t>
      </w:r>
      <w:r>
        <w:rPr>
          <w:sz w:val="22"/>
        </w:rPr>
        <w:t>and</w:t>
      </w:r>
      <w:r>
        <w:rPr>
          <w:spacing w:val="-6"/>
          <w:sz w:val="22"/>
        </w:rPr>
        <w:t> </w:t>
      </w:r>
      <w:r>
        <w:rPr>
          <w:sz w:val="22"/>
        </w:rPr>
        <w:t>do</w:t>
      </w:r>
      <w:r>
        <w:rPr>
          <w:spacing w:val="-6"/>
          <w:sz w:val="22"/>
        </w:rPr>
        <w:t> </w:t>
      </w:r>
      <w:r>
        <w:rPr>
          <w:sz w:val="22"/>
        </w:rPr>
        <w:t>not</w:t>
      </w:r>
      <w:r>
        <w:rPr>
          <w:spacing w:val="-7"/>
          <w:sz w:val="22"/>
        </w:rPr>
        <w:t> </w:t>
      </w:r>
      <w:r>
        <w:rPr>
          <w:sz w:val="22"/>
        </w:rPr>
        <w:t>require</w:t>
      </w:r>
      <w:r>
        <w:rPr>
          <w:spacing w:val="-6"/>
          <w:sz w:val="22"/>
        </w:rPr>
        <w:t> </w:t>
      </w:r>
      <w:r>
        <w:rPr>
          <w:sz w:val="22"/>
        </w:rPr>
        <w:t>determination</w:t>
      </w:r>
      <w:r>
        <w:rPr>
          <w:spacing w:val="-6"/>
          <w:sz w:val="22"/>
        </w:rPr>
        <w:t> </w:t>
      </w:r>
      <w:r>
        <w:rPr>
          <w:sz w:val="22"/>
        </w:rPr>
        <w:t>of</w:t>
      </w:r>
      <w:r>
        <w:rPr>
          <w:spacing w:val="-6"/>
          <w:sz w:val="22"/>
        </w:rPr>
        <w:t> </w:t>
      </w:r>
      <w:r>
        <w:rPr>
          <w:sz w:val="22"/>
        </w:rPr>
        <w:t>financial</w:t>
      </w:r>
      <w:r>
        <w:rPr>
          <w:spacing w:val="-6"/>
          <w:sz w:val="22"/>
        </w:rPr>
        <w:t> </w:t>
      </w:r>
      <w:r>
        <w:rPr>
          <w:sz w:val="22"/>
        </w:rPr>
        <w:t>need</w:t>
      </w:r>
      <w:r>
        <w:rPr>
          <w:spacing w:val="-6"/>
          <w:sz w:val="22"/>
        </w:rPr>
        <w:t> </w:t>
      </w:r>
      <w:r>
        <w:rPr>
          <w:spacing w:val="-2"/>
          <w:sz w:val="22"/>
        </w:rPr>
        <w:t>status.</w:t>
      </w:r>
    </w:p>
    <w:p>
      <w:pPr>
        <w:tabs>
          <w:tab w:pos="1439" w:val="left" w:leader="none"/>
        </w:tabs>
        <w:spacing w:line="253" w:lineRule="exact" w:before="0"/>
        <w:ind w:left="360" w:right="0" w:firstLine="0"/>
        <w:jc w:val="left"/>
        <w:rPr>
          <w:sz w:val="22"/>
        </w:rPr>
      </w:pPr>
      <w:r>
        <w:rPr>
          <w:spacing w:val="-2"/>
          <w:sz w:val="22"/>
        </w:rPr>
        <w:t>2-12-</w:t>
      </w:r>
      <w:r>
        <w:rPr>
          <w:spacing w:val="-5"/>
          <w:sz w:val="22"/>
        </w:rPr>
        <w:t>25</w:t>
      </w:r>
      <w:r>
        <w:rPr>
          <w:sz w:val="22"/>
        </w:rPr>
        <w:tab/>
        <w:t>Updated</w:t>
      </w:r>
      <w:r>
        <w:rPr>
          <w:spacing w:val="-6"/>
          <w:sz w:val="22"/>
        </w:rPr>
        <w:t> </w:t>
      </w:r>
      <w:r>
        <w:rPr>
          <w:sz w:val="22"/>
        </w:rPr>
        <w:t>ITS</w:t>
      </w:r>
      <w:r>
        <w:rPr>
          <w:spacing w:val="-6"/>
          <w:sz w:val="22"/>
        </w:rPr>
        <w:t> </w:t>
      </w:r>
      <w:r>
        <w:rPr>
          <w:sz w:val="22"/>
        </w:rPr>
        <w:t>#1</w:t>
      </w:r>
      <w:r>
        <w:rPr>
          <w:spacing w:val="-6"/>
          <w:sz w:val="22"/>
        </w:rPr>
        <w:t> </w:t>
      </w:r>
      <w:r>
        <w:rPr>
          <w:sz w:val="22"/>
        </w:rPr>
        <w:t>federal</w:t>
      </w:r>
      <w:r>
        <w:rPr>
          <w:spacing w:val="-6"/>
          <w:sz w:val="22"/>
        </w:rPr>
        <w:t> </w:t>
      </w:r>
      <w:r>
        <w:rPr>
          <w:sz w:val="22"/>
        </w:rPr>
        <w:t>poverty</w:t>
      </w:r>
      <w:r>
        <w:rPr>
          <w:spacing w:val="-6"/>
          <w:sz w:val="22"/>
        </w:rPr>
        <w:t> </w:t>
      </w:r>
      <w:r>
        <w:rPr>
          <w:spacing w:val="-2"/>
          <w:sz w:val="22"/>
        </w:rPr>
        <w:t>guidelines.</w:t>
      </w:r>
    </w:p>
    <w:p>
      <w:pPr>
        <w:spacing w:after="0" w:line="253" w:lineRule="exact"/>
        <w:jc w:val="left"/>
        <w:rPr>
          <w:sz w:val="22"/>
        </w:rPr>
        <w:sectPr>
          <w:pgSz w:w="12240" w:h="15840"/>
          <w:pgMar w:top="1360" w:bottom="280" w:left="1080" w:right="720"/>
        </w:sectPr>
      </w:pPr>
    </w:p>
    <w:p>
      <w:pPr>
        <w:pStyle w:val="Heading1"/>
        <w:spacing w:line="208" w:lineRule="auto" w:before="96"/>
        <w:ind w:right="778"/>
      </w:pPr>
      <w:bookmarkStart w:name="SUBCHAPTER 7. VOCATIONAL REHABILITATION " w:id="109"/>
      <w:bookmarkEnd w:id="109"/>
      <w:r>
        <w:rPr>
          <w:b w:val="0"/>
        </w:rPr>
      </w:r>
      <w:r>
        <w:rPr/>
        <w:t>SUBCHAPTER</w:t>
      </w:r>
      <w:r>
        <w:rPr>
          <w:spacing w:val="-6"/>
        </w:rPr>
        <w:t> </w:t>
      </w:r>
      <w:r>
        <w:rPr/>
        <w:t>7.</w:t>
      </w:r>
      <w:r>
        <w:rPr>
          <w:spacing w:val="-5"/>
        </w:rPr>
        <w:t> </w:t>
      </w:r>
      <w:r>
        <w:rPr/>
        <w:t>VOCATIONAL</w:t>
      </w:r>
      <w:r>
        <w:rPr>
          <w:spacing w:val="-6"/>
        </w:rPr>
        <w:t> </w:t>
      </w:r>
      <w:r>
        <w:rPr/>
        <w:t>REHABILITATION</w:t>
      </w:r>
      <w:r>
        <w:rPr>
          <w:spacing w:val="-8"/>
        </w:rPr>
        <w:t> </w:t>
      </w:r>
      <w:r>
        <w:rPr/>
        <w:t>AND</w:t>
      </w:r>
      <w:r>
        <w:rPr>
          <w:spacing w:val="-6"/>
        </w:rPr>
        <w:t> </w:t>
      </w:r>
      <w:r>
        <w:rPr/>
        <w:t>SERVICES</w:t>
      </w:r>
      <w:r>
        <w:rPr>
          <w:spacing w:val="-6"/>
        </w:rPr>
        <w:t> </w:t>
      </w:r>
      <w:r>
        <w:rPr/>
        <w:t>FOR</w:t>
      </w:r>
      <w:r>
        <w:rPr>
          <w:spacing w:val="-6"/>
        </w:rPr>
        <w:t> </w:t>
      </w:r>
      <w:r>
        <w:rPr/>
        <w:t>THE BLIND AND VISUALLY IMPAIRED</w:t>
      </w:r>
    </w:p>
    <w:p>
      <w:pPr>
        <w:spacing w:line="208" w:lineRule="auto" w:before="240"/>
        <w:ind w:left="420" w:right="779" w:firstLine="0"/>
        <w:jc w:val="center"/>
        <w:rPr>
          <w:b/>
          <w:sz w:val="24"/>
        </w:rPr>
      </w:pPr>
      <w:r>
        <w:rPr>
          <w:b/>
          <w:sz w:val="24"/>
        </w:rPr>
        <w:t>PART</w:t>
      </w:r>
      <w:r>
        <w:rPr>
          <w:b/>
          <w:spacing w:val="-3"/>
          <w:sz w:val="24"/>
        </w:rPr>
        <w:t> </w:t>
      </w:r>
      <w:r>
        <w:rPr>
          <w:b/>
          <w:sz w:val="24"/>
        </w:rPr>
        <w:t>1.</w:t>
      </w:r>
      <w:r>
        <w:rPr>
          <w:b/>
          <w:spacing w:val="40"/>
          <w:sz w:val="24"/>
        </w:rPr>
        <w:t> </w:t>
      </w:r>
      <w:r>
        <w:rPr>
          <w:b/>
          <w:sz w:val="24"/>
        </w:rPr>
        <w:t>SCOPE</w:t>
      </w:r>
      <w:r>
        <w:rPr>
          <w:b/>
          <w:spacing w:val="-4"/>
          <w:sz w:val="24"/>
        </w:rPr>
        <w:t> </w:t>
      </w:r>
      <w:r>
        <w:rPr>
          <w:b/>
          <w:sz w:val="24"/>
        </w:rPr>
        <w:t>OF</w:t>
      </w:r>
      <w:r>
        <w:rPr>
          <w:b/>
          <w:spacing w:val="-4"/>
          <w:sz w:val="24"/>
        </w:rPr>
        <w:t> </w:t>
      </w:r>
      <w:r>
        <w:rPr>
          <w:b/>
          <w:sz w:val="24"/>
        </w:rPr>
        <w:t>VOCATIONAL</w:t>
      </w:r>
      <w:r>
        <w:rPr>
          <w:b/>
          <w:spacing w:val="-4"/>
          <w:sz w:val="24"/>
        </w:rPr>
        <w:t> </w:t>
      </w:r>
      <w:r>
        <w:rPr>
          <w:b/>
          <w:sz w:val="24"/>
        </w:rPr>
        <w:t>REHABILITATION</w:t>
      </w:r>
      <w:r>
        <w:rPr>
          <w:b/>
          <w:spacing w:val="-4"/>
          <w:sz w:val="24"/>
        </w:rPr>
        <w:t> </w:t>
      </w:r>
      <w:r>
        <w:rPr>
          <w:b/>
          <w:sz w:val="24"/>
        </w:rPr>
        <w:t>AND</w:t>
      </w:r>
      <w:r>
        <w:rPr>
          <w:b/>
          <w:spacing w:val="-4"/>
          <w:sz w:val="24"/>
        </w:rPr>
        <w:t> </w:t>
      </w:r>
      <w:r>
        <w:rPr>
          <w:b/>
          <w:sz w:val="24"/>
        </w:rPr>
        <w:t>SERVICES</w:t>
      </w:r>
      <w:r>
        <w:rPr>
          <w:b/>
          <w:spacing w:val="-3"/>
          <w:sz w:val="24"/>
        </w:rPr>
        <w:t> </w:t>
      </w:r>
      <w:r>
        <w:rPr>
          <w:b/>
          <w:sz w:val="24"/>
        </w:rPr>
        <w:t>FOR</w:t>
      </w:r>
      <w:r>
        <w:rPr>
          <w:b/>
          <w:spacing w:val="-4"/>
          <w:sz w:val="24"/>
        </w:rPr>
        <w:t> </w:t>
      </w:r>
      <w:r>
        <w:rPr>
          <w:b/>
          <w:sz w:val="24"/>
        </w:rPr>
        <w:t>THE BLIND AND VISUALLY IMPAIRED</w:t>
      </w:r>
    </w:p>
    <w:p>
      <w:pPr>
        <w:pStyle w:val="BodyText"/>
        <w:spacing w:before="210"/>
        <w:ind w:left="359"/>
      </w:pPr>
      <w:r>
        <w:rPr>
          <w:spacing w:val="-2"/>
        </w:rPr>
        <w:t>Section</w:t>
      </w:r>
    </w:p>
    <w:p>
      <w:pPr>
        <w:pStyle w:val="BodyText"/>
        <w:tabs>
          <w:tab w:pos="2069" w:val="left" w:leader="none"/>
        </w:tabs>
        <w:spacing w:line="208" w:lineRule="auto" w:before="233"/>
        <w:ind w:left="2069" w:right="1128" w:hanging="1710"/>
      </w:pPr>
      <w:r>
        <w:rPr>
          <w:spacing w:val="-2"/>
        </w:rPr>
        <w:t>612:10-7-1.</w:t>
      </w:r>
      <w:r>
        <w:rPr/>
        <w:tab/>
        <w:t>Overview</w:t>
      </w:r>
      <w:r>
        <w:rPr>
          <w:spacing w:val="-5"/>
        </w:rPr>
        <w:t> </w:t>
      </w:r>
      <w:r>
        <w:rPr/>
        <w:t>of</w:t>
      </w:r>
      <w:r>
        <w:rPr>
          <w:spacing w:val="-4"/>
        </w:rPr>
        <w:t> </w:t>
      </w:r>
      <w:r>
        <w:rPr/>
        <w:t>Vocational</w:t>
      </w:r>
      <w:r>
        <w:rPr>
          <w:spacing w:val="-5"/>
        </w:rPr>
        <w:t> </w:t>
      </w:r>
      <w:r>
        <w:rPr/>
        <w:t>Rehabilitation</w:t>
      </w:r>
      <w:r>
        <w:rPr>
          <w:spacing w:val="-5"/>
        </w:rPr>
        <w:t> </w:t>
      </w:r>
      <w:r>
        <w:rPr/>
        <w:t>and</w:t>
      </w:r>
      <w:r>
        <w:rPr>
          <w:spacing w:val="-5"/>
        </w:rPr>
        <w:t> </w:t>
      </w:r>
      <w:r>
        <w:rPr/>
        <w:t>Services</w:t>
      </w:r>
      <w:r>
        <w:rPr>
          <w:spacing w:val="-5"/>
        </w:rPr>
        <w:t> </w:t>
      </w:r>
      <w:r>
        <w:rPr/>
        <w:t>for</w:t>
      </w:r>
      <w:r>
        <w:rPr>
          <w:spacing w:val="-6"/>
        </w:rPr>
        <w:t> </w:t>
      </w:r>
      <w:r>
        <w:rPr/>
        <w:t>the</w:t>
      </w:r>
      <w:r>
        <w:rPr>
          <w:spacing w:val="-5"/>
        </w:rPr>
        <w:t> </w:t>
      </w:r>
      <w:r>
        <w:rPr/>
        <w:t>Blind</w:t>
      </w:r>
      <w:r>
        <w:rPr>
          <w:spacing w:val="-5"/>
        </w:rPr>
        <w:t> </w:t>
      </w:r>
      <w:r>
        <w:rPr/>
        <w:t>and Visually Impaired</w:t>
      </w:r>
    </w:p>
    <w:p>
      <w:pPr>
        <w:pStyle w:val="BodyText"/>
        <w:tabs>
          <w:tab w:pos="2069" w:val="left" w:leader="none"/>
        </w:tabs>
        <w:spacing w:before="211"/>
        <w:ind w:left="359"/>
      </w:pPr>
      <w:r>
        <w:rPr>
          <w:spacing w:val="-2"/>
        </w:rPr>
        <w:t>612:10-7-</w:t>
      </w:r>
      <w:r>
        <w:rPr>
          <w:spacing w:val="-5"/>
        </w:rPr>
        <w:t>2.</w:t>
      </w:r>
      <w:r>
        <w:rPr/>
        <w:tab/>
        <w:t>Field</w:t>
      </w:r>
      <w:r>
        <w:rPr>
          <w:spacing w:val="-3"/>
        </w:rPr>
        <w:t> </w:t>
      </w:r>
      <w:r>
        <w:rPr/>
        <w:t>staff</w:t>
      </w:r>
      <w:r>
        <w:rPr>
          <w:spacing w:val="-1"/>
        </w:rPr>
        <w:t> </w:t>
      </w:r>
      <w:r>
        <w:rPr>
          <w:spacing w:val="-2"/>
        </w:rPr>
        <w:t>responsibilities</w:t>
      </w:r>
    </w:p>
    <w:p>
      <w:pPr>
        <w:pStyle w:val="BodyText"/>
        <w:tabs>
          <w:tab w:pos="2069" w:val="left" w:leader="none"/>
        </w:tabs>
        <w:spacing w:line="417" w:lineRule="auto" w:before="204"/>
        <w:ind w:left="359" w:right="1807"/>
      </w:pPr>
      <w:r>
        <w:rPr>
          <w:spacing w:val="-2"/>
        </w:rPr>
        <w:t>612:10-7-2.1.</w:t>
      </w:r>
      <w:r>
        <w:rPr/>
        <w:tab/>
        <w:t>Applications</w:t>
      </w:r>
      <w:r>
        <w:rPr>
          <w:spacing w:val="-7"/>
        </w:rPr>
        <w:t> </w:t>
      </w:r>
      <w:r>
        <w:rPr/>
        <w:t>for</w:t>
      </w:r>
      <w:r>
        <w:rPr>
          <w:spacing w:val="-6"/>
        </w:rPr>
        <w:t> </w:t>
      </w:r>
      <w:r>
        <w:rPr/>
        <w:t>employees</w:t>
      </w:r>
      <w:r>
        <w:rPr>
          <w:spacing w:val="-7"/>
        </w:rPr>
        <w:t> </w:t>
      </w:r>
      <w:r>
        <w:rPr/>
        <w:t>or</w:t>
      </w:r>
      <w:r>
        <w:rPr>
          <w:spacing w:val="-6"/>
        </w:rPr>
        <w:t> </w:t>
      </w:r>
      <w:r>
        <w:rPr/>
        <w:t>family</w:t>
      </w:r>
      <w:r>
        <w:rPr>
          <w:spacing w:val="-7"/>
        </w:rPr>
        <w:t> </w:t>
      </w:r>
      <w:r>
        <w:rPr/>
        <w:t>member(s)</w:t>
      </w:r>
      <w:r>
        <w:rPr>
          <w:spacing w:val="-6"/>
        </w:rPr>
        <w:t> </w:t>
      </w:r>
      <w:r>
        <w:rPr/>
        <w:t>of</w:t>
      </w:r>
      <w:r>
        <w:rPr>
          <w:spacing w:val="-6"/>
        </w:rPr>
        <w:t> </w:t>
      </w:r>
      <w:r>
        <w:rPr/>
        <w:t>employees </w:t>
      </w:r>
      <w:r>
        <w:rPr>
          <w:spacing w:val="-2"/>
        </w:rPr>
        <w:t>612:10-7-2.2.</w:t>
      </w:r>
      <w:r>
        <w:rPr/>
        <w:tab/>
        <w:t>Applications for friends or family member(s) of friends</w:t>
      </w:r>
    </w:p>
    <w:p>
      <w:pPr>
        <w:pStyle w:val="BodyText"/>
        <w:tabs>
          <w:tab w:pos="2069" w:val="left" w:leader="none"/>
        </w:tabs>
        <w:spacing w:line="276" w:lineRule="exact" w:before="0"/>
        <w:ind w:left="359"/>
      </w:pPr>
      <w:r>
        <w:rPr>
          <w:spacing w:val="-2"/>
        </w:rPr>
        <w:t>612:10-7-</w:t>
      </w:r>
      <w:r>
        <w:rPr>
          <w:spacing w:val="-5"/>
        </w:rPr>
        <w:t>2.3</w:t>
      </w:r>
      <w:r>
        <w:rPr/>
        <w:tab/>
        <w:t>Services</w:t>
      </w:r>
      <w:r>
        <w:rPr>
          <w:spacing w:val="-3"/>
        </w:rPr>
        <w:t> </w:t>
      </w:r>
      <w:r>
        <w:rPr/>
        <w:t>for</w:t>
      </w:r>
      <w:r>
        <w:rPr>
          <w:spacing w:val="-1"/>
        </w:rPr>
        <w:t> </w:t>
      </w:r>
      <w:r>
        <w:rPr>
          <w:spacing w:val="-2"/>
        </w:rPr>
        <w:t>employers</w:t>
      </w:r>
    </w:p>
    <w:p>
      <w:pPr>
        <w:pStyle w:val="BodyText"/>
        <w:tabs>
          <w:tab w:pos="2069" w:val="left" w:leader="none"/>
        </w:tabs>
        <w:spacing w:line="417" w:lineRule="auto" w:before="204"/>
        <w:ind w:left="359" w:right="4446"/>
      </w:pPr>
      <w:r>
        <w:rPr>
          <w:spacing w:val="-2"/>
        </w:rPr>
        <w:t>612:10-7-2.4.</w:t>
      </w:r>
      <w:r>
        <w:rPr/>
        <w:tab/>
        <w:t>Annual</w:t>
      </w:r>
      <w:r>
        <w:rPr>
          <w:spacing w:val="-10"/>
        </w:rPr>
        <w:t> </w:t>
      </w:r>
      <w:r>
        <w:rPr/>
        <w:t>outreach</w:t>
      </w:r>
      <w:r>
        <w:rPr>
          <w:spacing w:val="-10"/>
        </w:rPr>
        <w:t> </w:t>
      </w:r>
      <w:r>
        <w:rPr/>
        <w:t>and</w:t>
      </w:r>
      <w:r>
        <w:rPr>
          <w:spacing w:val="-10"/>
        </w:rPr>
        <w:t> </w:t>
      </w:r>
      <w:r>
        <w:rPr/>
        <w:t>review</w:t>
      </w:r>
      <w:r>
        <w:rPr>
          <w:spacing w:val="-10"/>
        </w:rPr>
        <w:t> </w:t>
      </w:r>
      <w:r>
        <w:rPr/>
        <w:t>services </w:t>
      </w:r>
      <w:r>
        <w:rPr>
          <w:spacing w:val="-2"/>
        </w:rPr>
        <w:t>612:10-7-2.5</w:t>
      </w:r>
      <w:r>
        <w:rPr/>
        <w:tab/>
        <w:t>Work Experience</w:t>
      </w:r>
    </w:p>
    <w:p>
      <w:pPr>
        <w:pStyle w:val="BodyText"/>
        <w:tabs>
          <w:tab w:pos="2069" w:val="left" w:leader="none"/>
        </w:tabs>
        <w:spacing w:line="276" w:lineRule="exact" w:before="0"/>
        <w:ind w:left="359"/>
      </w:pPr>
      <w:r>
        <w:rPr>
          <w:spacing w:val="-2"/>
        </w:rPr>
        <w:t>612:10-7-</w:t>
      </w:r>
      <w:r>
        <w:rPr>
          <w:spacing w:val="-5"/>
        </w:rPr>
        <w:t>3.</w:t>
      </w:r>
      <w:r>
        <w:rPr/>
        <w:tab/>
        <w:t>Client</w:t>
      </w:r>
      <w:r>
        <w:rPr>
          <w:spacing w:val="-3"/>
        </w:rPr>
        <w:t> </w:t>
      </w:r>
      <w:r>
        <w:rPr>
          <w:spacing w:val="-2"/>
        </w:rPr>
        <w:t>responsibilities</w:t>
      </w:r>
    </w:p>
    <w:p>
      <w:pPr>
        <w:pStyle w:val="Heading1"/>
        <w:spacing w:before="204"/>
        <w:ind w:right="778"/>
      </w:pPr>
      <w:r>
        <w:rPr/>
        <w:t>PART</w:t>
      </w:r>
      <w:r>
        <w:rPr>
          <w:spacing w:val="-2"/>
        </w:rPr>
        <w:t> </w:t>
      </w:r>
      <w:r>
        <w:rPr/>
        <w:t>3.</w:t>
      </w:r>
      <w:r>
        <w:rPr>
          <w:spacing w:val="62"/>
        </w:rPr>
        <w:t> </w:t>
      </w:r>
      <w:r>
        <w:rPr/>
        <w:t>CASE</w:t>
      </w:r>
      <w:r>
        <w:rPr>
          <w:spacing w:val="-2"/>
        </w:rPr>
        <w:t> </w:t>
      </w:r>
      <w:r>
        <w:rPr/>
        <w:t>PROCESSING</w:t>
      </w:r>
      <w:r>
        <w:rPr>
          <w:spacing w:val="-2"/>
        </w:rPr>
        <w:t> REQUIREMENTS</w:t>
      </w:r>
    </w:p>
    <w:p>
      <w:pPr>
        <w:pStyle w:val="BodyText"/>
        <w:spacing w:before="204"/>
        <w:ind w:left="359"/>
      </w:pPr>
      <w:r>
        <w:rPr>
          <w:spacing w:val="-2"/>
        </w:rPr>
        <w:t>Section</w:t>
      </w:r>
    </w:p>
    <w:p>
      <w:pPr>
        <w:pStyle w:val="BodyText"/>
        <w:tabs>
          <w:tab w:pos="2069" w:val="left" w:leader="none"/>
        </w:tabs>
        <w:spacing w:before="204"/>
        <w:ind w:left="359"/>
      </w:pPr>
      <w:r>
        <w:rPr>
          <w:spacing w:val="-2"/>
        </w:rPr>
        <w:t>612:10-7-</w:t>
      </w:r>
      <w:r>
        <w:rPr>
          <w:spacing w:val="-5"/>
        </w:rPr>
        <w:t>20.</w:t>
      </w:r>
      <w:r>
        <w:rPr/>
        <w:tab/>
        <w:t>Case</w:t>
      </w:r>
      <w:r>
        <w:rPr>
          <w:spacing w:val="-2"/>
        </w:rPr>
        <w:t> recording</w:t>
      </w:r>
    </w:p>
    <w:p>
      <w:pPr>
        <w:pStyle w:val="BodyText"/>
        <w:spacing w:before="204"/>
        <w:ind w:left="359"/>
      </w:pPr>
      <w:r>
        <w:rPr/>
        <w:t>612:10-7-22.1.</w:t>
      </w:r>
      <w:r>
        <w:rPr>
          <w:spacing w:val="72"/>
        </w:rPr>
        <w:t> </w:t>
      </w:r>
      <w:r>
        <w:rPr/>
        <w:t>Processing</w:t>
      </w:r>
      <w:r>
        <w:rPr>
          <w:spacing w:val="-3"/>
        </w:rPr>
        <w:t> </w:t>
      </w:r>
      <w:r>
        <w:rPr/>
        <w:t>referrals</w:t>
      </w:r>
      <w:r>
        <w:rPr>
          <w:spacing w:val="-4"/>
        </w:rPr>
        <w:t> </w:t>
      </w:r>
      <w:r>
        <w:rPr/>
        <w:t>and</w:t>
      </w:r>
      <w:r>
        <w:rPr>
          <w:spacing w:val="-4"/>
        </w:rPr>
        <w:t> </w:t>
      </w:r>
      <w:r>
        <w:rPr>
          <w:spacing w:val="-2"/>
        </w:rPr>
        <w:t>applications</w:t>
      </w:r>
    </w:p>
    <w:p>
      <w:pPr>
        <w:pStyle w:val="BodyText"/>
        <w:spacing w:line="417" w:lineRule="auto" w:before="204"/>
        <w:ind w:left="359" w:right="1471"/>
      </w:pPr>
      <w:r>
        <w:rPr/>
        <w:t>612:10-7-24.1.</w:t>
      </w:r>
      <w:r>
        <w:rPr>
          <w:spacing w:val="71"/>
        </w:rPr>
        <w:t> </w:t>
      </w:r>
      <w:r>
        <w:rPr/>
        <w:t>Basic</w:t>
      </w:r>
      <w:r>
        <w:rPr>
          <w:spacing w:val="-5"/>
        </w:rPr>
        <w:t> </w:t>
      </w:r>
      <w:r>
        <w:rPr/>
        <w:t>eligibility</w:t>
      </w:r>
      <w:r>
        <w:rPr>
          <w:spacing w:val="-5"/>
        </w:rPr>
        <w:t> </w:t>
      </w:r>
      <w:r>
        <w:rPr/>
        <w:t>requirements</w:t>
      </w:r>
      <w:r>
        <w:rPr>
          <w:spacing w:val="-5"/>
        </w:rPr>
        <w:t> </w:t>
      </w:r>
      <w:r>
        <w:rPr/>
        <w:t>for</w:t>
      </w:r>
      <w:r>
        <w:rPr>
          <w:spacing w:val="-6"/>
        </w:rPr>
        <w:t> </w:t>
      </w:r>
      <w:r>
        <w:rPr/>
        <w:t>vocational</w:t>
      </w:r>
      <w:r>
        <w:rPr>
          <w:spacing w:val="-5"/>
        </w:rPr>
        <w:t> </w:t>
      </w:r>
      <w:r>
        <w:rPr/>
        <w:t>rehabilitation</w:t>
      </w:r>
      <w:r>
        <w:rPr>
          <w:spacing w:val="-5"/>
        </w:rPr>
        <w:t> </w:t>
      </w:r>
      <w:r>
        <w:rPr/>
        <w:t>services 612:10-7-24.2.</w:t>
      </w:r>
      <w:r>
        <w:rPr>
          <w:spacing w:val="40"/>
        </w:rPr>
        <w:t> </w:t>
      </w:r>
      <w:r>
        <w:rPr/>
        <w:t>Assessment for determining eligibility</w:t>
      </w:r>
    </w:p>
    <w:p>
      <w:pPr>
        <w:pStyle w:val="BodyText"/>
        <w:spacing w:line="417" w:lineRule="auto" w:before="0"/>
        <w:ind w:left="359" w:right="5994"/>
      </w:pPr>
      <w:r>
        <w:rPr/>
        <w:t>612:10-7-24.3.</w:t>
      </w:r>
      <w:r>
        <w:rPr>
          <w:spacing w:val="40"/>
        </w:rPr>
        <w:t> </w:t>
      </w:r>
      <w:r>
        <w:rPr/>
        <w:t>Trial</w:t>
      </w:r>
      <w:r>
        <w:rPr>
          <w:spacing w:val="-6"/>
        </w:rPr>
        <w:t> </w:t>
      </w:r>
      <w:r>
        <w:rPr/>
        <w:t>Work</w:t>
      </w:r>
      <w:r>
        <w:rPr>
          <w:spacing w:val="-6"/>
        </w:rPr>
        <w:t> </w:t>
      </w:r>
      <w:r>
        <w:rPr/>
        <w:t>Experience 612:10-7-24.4.</w:t>
      </w:r>
      <w:r>
        <w:rPr>
          <w:spacing w:val="69"/>
        </w:rPr>
        <w:t> </w:t>
      </w:r>
      <w:r>
        <w:rPr/>
        <w:t>Ineligibility</w:t>
      </w:r>
      <w:r>
        <w:rPr>
          <w:spacing w:val="-5"/>
        </w:rPr>
        <w:t> </w:t>
      </w:r>
      <w:r>
        <w:rPr>
          <w:spacing w:val="-2"/>
        </w:rPr>
        <w:t>procedures</w:t>
      </w:r>
    </w:p>
    <w:p>
      <w:pPr>
        <w:pStyle w:val="BodyText"/>
        <w:spacing w:line="276" w:lineRule="exact" w:before="0"/>
        <w:ind w:left="359"/>
      </w:pPr>
      <w:r>
        <w:rPr/>
        <w:t>612:10-7-24.5.</w:t>
      </w:r>
      <w:r>
        <w:rPr>
          <w:spacing w:val="75"/>
        </w:rPr>
        <w:t> </w:t>
      </w:r>
      <w:r>
        <w:rPr/>
        <w:t>Closed</w:t>
      </w:r>
      <w:r>
        <w:rPr>
          <w:spacing w:val="-3"/>
        </w:rPr>
        <w:t> </w:t>
      </w:r>
      <w:r>
        <w:rPr/>
        <w:t>–</w:t>
      </w:r>
      <w:r>
        <w:rPr>
          <w:spacing w:val="-3"/>
        </w:rPr>
        <w:t> </w:t>
      </w:r>
      <w:r>
        <w:rPr/>
        <w:t>Not</w:t>
      </w:r>
      <w:r>
        <w:rPr>
          <w:spacing w:val="-1"/>
        </w:rPr>
        <w:t> </w:t>
      </w:r>
      <w:r>
        <w:rPr/>
        <w:t>Accepted</w:t>
      </w:r>
      <w:r>
        <w:rPr>
          <w:spacing w:val="-3"/>
        </w:rPr>
        <w:t> </w:t>
      </w:r>
      <w:r>
        <w:rPr/>
        <w:t>for</w:t>
      </w:r>
      <w:r>
        <w:rPr>
          <w:spacing w:val="-1"/>
        </w:rPr>
        <w:t> </w:t>
      </w:r>
      <w:r>
        <w:rPr>
          <w:spacing w:val="-2"/>
        </w:rPr>
        <w:t>Services</w:t>
      </w:r>
    </w:p>
    <w:p>
      <w:pPr>
        <w:pStyle w:val="BodyText"/>
        <w:tabs>
          <w:tab w:pos="2069" w:val="left" w:leader="none"/>
        </w:tabs>
        <w:spacing w:line="417" w:lineRule="auto" w:before="204"/>
        <w:ind w:left="359" w:right="1230"/>
      </w:pPr>
      <w:r>
        <w:rPr/>
        <w:t>612:10-7-25.1.</w:t>
      </w:r>
      <w:r>
        <w:rPr>
          <w:spacing w:val="74"/>
        </w:rPr>
        <w:t> </w:t>
      </w:r>
      <w:r>
        <w:rPr/>
        <w:t>Ability</w:t>
      </w:r>
      <w:r>
        <w:rPr>
          <w:spacing w:val="-4"/>
        </w:rPr>
        <w:t> </w:t>
      </w:r>
      <w:r>
        <w:rPr/>
        <w:t>to</w:t>
      </w:r>
      <w:r>
        <w:rPr>
          <w:spacing w:val="-4"/>
        </w:rPr>
        <w:t> </w:t>
      </w:r>
      <w:r>
        <w:rPr/>
        <w:t>serve</w:t>
      </w:r>
      <w:r>
        <w:rPr>
          <w:spacing w:val="-4"/>
        </w:rPr>
        <w:t> </w:t>
      </w:r>
      <w:r>
        <w:rPr/>
        <w:t>all</w:t>
      </w:r>
      <w:r>
        <w:rPr>
          <w:spacing w:val="-4"/>
        </w:rPr>
        <w:t> </w:t>
      </w:r>
      <w:r>
        <w:rPr/>
        <w:t>eligible</w:t>
      </w:r>
      <w:r>
        <w:rPr>
          <w:spacing w:val="-4"/>
        </w:rPr>
        <w:t> </w:t>
      </w:r>
      <w:r>
        <w:rPr/>
        <w:t>individuals;</w:t>
      </w:r>
      <w:r>
        <w:rPr>
          <w:spacing w:val="-3"/>
        </w:rPr>
        <w:t> </w:t>
      </w:r>
      <w:r>
        <w:rPr/>
        <w:t>order</w:t>
      </w:r>
      <w:r>
        <w:rPr>
          <w:spacing w:val="-3"/>
        </w:rPr>
        <w:t> </w:t>
      </w:r>
      <w:r>
        <w:rPr/>
        <w:t>of</w:t>
      </w:r>
      <w:r>
        <w:rPr>
          <w:spacing w:val="-3"/>
        </w:rPr>
        <w:t> </w:t>
      </w:r>
      <w:r>
        <w:rPr/>
        <w:t>selection</w:t>
      </w:r>
      <w:r>
        <w:rPr>
          <w:spacing w:val="-4"/>
        </w:rPr>
        <w:t> </w:t>
      </w:r>
      <w:r>
        <w:rPr/>
        <w:t>for</w:t>
      </w:r>
      <w:r>
        <w:rPr>
          <w:spacing w:val="-3"/>
        </w:rPr>
        <w:t> </w:t>
      </w:r>
      <w:r>
        <w:rPr/>
        <w:t>services </w:t>
      </w:r>
      <w:r>
        <w:rPr>
          <w:spacing w:val="-2"/>
        </w:rPr>
        <w:t>612:10-7-31.</w:t>
      </w:r>
      <w:r>
        <w:rPr/>
        <w:tab/>
        <w:t>Transfer of cases</w:t>
      </w:r>
    </w:p>
    <w:p>
      <w:pPr>
        <w:pStyle w:val="Heading1"/>
        <w:spacing w:line="276" w:lineRule="exact" w:before="0"/>
      </w:pPr>
      <w:r>
        <w:rPr/>
        <w:t>PART</w:t>
      </w:r>
      <w:r>
        <w:rPr>
          <w:spacing w:val="-2"/>
        </w:rPr>
        <w:t> </w:t>
      </w:r>
      <w:r>
        <w:rPr/>
        <w:t>5.</w:t>
      </w:r>
      <w:r>
        <w:rPr>
          <w:spacing w:val="62"/>
        </w:rPr>
        <w:t> </w:t>
      </w:r>
      <w:r>
        <w:rPr/>
        <w:t>CASE</w:t>
      </w:r>
      <w:r>
        <w:rPr>
          <w:spacing w:val="-2"/>
        </w:rPr>
        <w:t> </w:t>
      </w:r>
      <w:r>
        <w:rPr/>
        <w:t>STATUS</w:t>
      </w:r>
      <w:r>
        <w:rPr>
          <w:spacing w:val="-2"/>
        </w:rPr>
        <w:t> </w:t>
      </w:r>
      <w:r>
        <w:rPr/>
        <w:t>AND</w:t>
      </w:r>
      <w:r>
        <w:rPr>
          <w:spacing w:val="-3"/>
        </w:rPr>
        <w:t> </w:t>
      </w:r>
      <w:r>
        <w:rPr/>
        <w:t>CLASSIFICATION</w:t>
      </w:r>
      <w:r>
        <w:rPr>
          <w:spacing w:val="-2"/>
        </w:rPr>
        <w:t> SYSTEM</w:t>
      </w:r>
    </w:p>
    <w:p>
      <w:pPr>
        <w:pStyle w:val="BodyText"/>
        <w:spacing w:before="204"/>
        <w:ind w:left="359"/>
      </w:pPr>
      <w:r>
        <w:rPr>
          <w:spacing w:val="-2"/>
        </w:rPr>
        <w:t>Section</w:t>
      </w:r>
    </w:p>
    <w:p>
      <w:pPr>
        <w:pStyle w:val="BodyText"/>
        <w:tabs>
          <w:tab w:pos="2069" w:val="left" w:leader="none"/>
        </w:tabs>
        <w:spacing w:line="417" w:lineRule="auto" w:before="204"/>
        <w:ind w:left="359" w:right="3007"/>
      </w:pPr>
      <w:r>
        <w:rPr>
          <w:spacing w:val="-2"/>
        </w:rPr>
        <w:t>612:10-7-45.</w:t>
      </w:r>
      <w:r>
        <w:rPr/>
        <w:tab/>
        <w:t>Electronic</w:t>
      </w:r>
      <w:r>
        <w:rPr>
          <w:spacing w:val="-10"/>
        </w:rPr>
        <w:t> </w:t>
      </w:r>
      <w:r>
        <w:rPr/>
        <w:t>Case</w:t>
      </w:r>
      <w:r>
        <w:rPr>
          <w:spacing w:val="-11"/>
        </w:rPr>
        <w:t> </w:t>
      </w:r>
      <w:r>
        <w:rPr/>
        <w:t>Management</w:t>
      </w:r>
      <w:r>
        <w:rPr>
          <w:spacing w:val="-10"/>
        </w:rPr>
        <w:t> </w:t>
      </w:r>
      <w:r>
        <w:rPr/>
        <w:t>System</w:t>
      </w:r>
      <w:r>
        <w:rPr>
          <w:spacing w:val="-10"/>
        </w:rPr>
        <w:t> </w:t>
      </w:r>
      <w:r>
        <w:rPr/>
        <w:t>Progression </w:t>
      </w:r>
      <w:r>
        <w:rPr>
          <w:spacing w:val="-2"/>
        </w:rPr>
        <w:t>612:10-7-50.</w:t>
      </w:r>
      <w:r>
        <w:rPr/>
        <w:tab/>
        <w:t>Eligibility status</w:t>
      </w:r>
    </w:p>
    <w:p>
      <w:pPr>
        <w:pStyle w:val="BodyText"/>
        <w:spacing w:after="0" w:line="417" w:lineRule="auto"/>
        <w:sectPr>
          <w:pgSz w:w="12240" w:h="15840"/>
          <w:pgMar w:top="1340" w:bottom="280" w:left="1080" w:right="720"/>
        </w:sectPr>
      </w:pPr>
    </w:p>
    <w:p>
      <w:pPr>
        <w:pStyle w:val="BodyText"/>
        <w:tabs>
          <w:tab w:pos="2069" w:val="left" w:leader="none"/>
        </w:tabs>
        <w:spacing w:line="417" w:lineRule="auto" w:before="67"/>
        <w:ind w:right="3246"/>
      </w:pPr>
      <w:r>
        <w:rPr/>
        <w:t>612:10-7-50.1.</w:t>
      </w:r>
      <w:r>
        <w:rPr>
          <w:spacing w:val="40"/>
        </w:rPr>
        <w:t> </w:t>
      </w:r>
      <w:r>
        <w:rPr/>
        <w:t>Assessment</w:t>
      </w:r>
      <w:r>
        <w:rPr>
          <w:spacing w:val="-6"/>
        </w:rPr>
        <w:t> </w:t>
      </w:r>
      <w:r>
        <w:rPr/>
        <w:t>for</w:t>
      </w:r>
      <w:r>
        <w:rPr>
          <w:spacing w:val="-7"/>
        </w:rPr>
        <w:t> </w:t>
      </w:r>
      <w:r>
        <w:rPr/>
        <w:t>determining</w:t>
      </w:r>
      <w:r>
        <w:rPr>
          <w:spacing w:val="-7"/>
        </w:rPr>
        <w:t> </w:t>
      </w:r>
      <w:r>
        <w:rPr/>
        <w:t>rehabilitation</w:t>
      </w:r>
      <w:r>
        <w:rPr>
          <w:spacing w:val="-7"/>
        </w:rPr>
        <w:t> </w:t>
      </w:r>
      <w:r>
        <w:rPr/>
        <w:t>needs </w:t>
      </w:r>
      <w:r>
        <w:rPr>
          <w:spacing w:val="-2"/>
        </w:rPr>
        <w:t>612:10-7-51.</w:t>
      </w:r>
      <w:r>
        <w:rPr/>
        <w:tab/>
        <w:t>Individualized Plan for Employment</w:t>
      </w:r>
    </w:p>
    <w:p>
      <w:pPr>
        <w:pStyle w:val="BodyText"/>
        <w:tabs>
          <w:tab w:pos="2069" w:val="left" w:leader="none"/>
        </w:tabs>
        <w:spacing w:line="208" w:lineRule="auto" w:before="28"/>
        <w:ind w:left="2070" w:right="1871" w:hanging="1710"/>
      </w:pPr>
      <w:r>
        <w:rPr>
          <w:spacing w:val="-2"/>
        </w:rPr>
        <w:t>612:10-7-52.</w:t>
      </w:r>
      <w:r>
        <w:rPr/>
        <w:tab/>
        <w:t>Scope</w:t>
      </w:r>
      <w:r>
        <w:rPr>
          <w:spacing w:val="-6"/>
        </w:rPr>
        <w:t> </w:t>
      </w:r>
      <w:r>
        <w:rPr/>
        <w:t>of</w:t>
      </w:r>
      <w:r>
        <w:rPr>
          <w:spacing w:val="-5"/>
        </w:rPr>
        <w:t> </w:t>
      </w:r>
      <w:r>
        <w:rPr/>
        <w:t>vocational</w:t>
      </w:r>
      <w:r>
        <w:rPr>
          <w:spacing w:val="-6"/>
        </w:rPr>
        <w:t> </w:t>
      </w:r>
      <w:r>
        <w:rPr/>
        <w:t>rehabilitation</w:t>
      </w:r>
      <w:r>
        <w:rPr>
          <w:spacing w:val="-6"/>
        </w:rPr>
        <w:t> </w:t>
      </w:r>
      <w:r>
        <w:rPr/>
        <w:t>services</w:t>
      </w:r>
      <w:r>
        <w:rPr>
          <w:spacing w:val="-6"/>
        </w:rPr>
        <w:t> </w:t>
      </w:r>
      <w:r>
        <w:rPr/>
        <w:t>for</w:t>
      </w:r>
      <w:r>
        <w:rPr>
          <w:spacing w:val="-5"/>
        </w:rPr>
        <w:t> </w:t>
      </w:r>
      <w:r>
        <w:rPr/>
        <w:t>individuals</w:t>
      </w:r>
      <w:r>
        <w:rPr>
          <w:spacing w:val="-6"/>
        </w:rPr>
        <w:t> </w:t>
      </w:r>
      <w:r>
        <w:rPr/>
        <w:t>with </w:t>
      </w:r>
      <w:r>
        <w:rPr>
          <w:spacing w:val="-2"/>
        </w:rPr>
        <w:t>disabilities</w:t>
      </w:r>
    </w:p>
    <w:p>
      <w:pPr>
        <w:pStyle w:val="BodyText"/>
        <w:tabs>
          <w:tab w:pos="2069" w:val="left" w:leader="none"/>
        </w:tabs>
        <w:spacing w:before="211"/>
      </w:pPr>
      <w:r>
        <w:rPr>
          <w:spacing w:val="-2"/>
        </w:rPr>
        <w:t>612:10-7-</w:t>
      </w:r>
      <w:r>
        <w:rPr>
          <w:spacing w:val="-5"/>
        </w:rPr>
        <w:t>55.</w:t>
      </w:r>
      <w:r>
        <w:rPr/>
        <w:tab/>
        <w:t>Job</w:t>
      </w:r>
      <w:r>
        <w:rPr>
          <w:spacing w:val="-3"/>
        </w:rPr>
        <w:t> </w:t>
      </w:r>
      <w:r>
        <w:rPr>
          <w:spacing w:val="-2"/>
        </w:rPr>
        <w:t>Ready</w:t>
      </w:r>
    </w:p>
    <w:p>
      <w:pPr>
        <w:pStyle w:val="BodyText"/>
        <w:tabs>
          <w:tab w:pos="2069" w:val="left" w:leader="none"/>
        </w:tabs>
        <w:spacing w:before="204"/>
      </w:pPr>
      <w:r>
        <w:rPr>
          <w:spacing w:val="-2"/>
        </w:rPr>
        <w:t>612:10-7-</w:t>
      </w:r>
      <w:r>
        <w:rPr>
          <w:spacing w:val="-5"/>
        </w:rPr>
        <w:t>56.</w:t>
      </w:r>
      <w:r>
        <w:rPr/>
        <w:tab/>
      </w:r>
      <w:r>
        <w:rPr>
          <w:spacing w:val="-2"/>
        </w:rPr>
        <w:t>Employment</w:t>
      </w:r>
    </w:p>
    <w:p>
      <w:pPr>
        <w:pStyle w:val="BodyText"/>
        <w:tabs>
          <w:tab w:pos="2069" w:val="left" w:leader="none"/>
        </w:tabs>
        <w:spacing w:before="204"/>
      </w:pPr>
      <w:r>
        <w:rPr>
          <w:spacing w:val="-2"/>
        </w:rPr>
        <w:t>612:10-7-</w:t>
      </w:r>
      <w:r>
        <w:rPr>
          <w:spacing w:val="-5"/>
        </w:rPr>
        <w:t>58.</w:t>
      </w:r>
      <w:r>
        <w:rPr/>
        <w:tab/>
        <w:t>Closed</w:t>
      </w:r>
      <w:r>
        <w:rPr>
          <w:spacing w:val="-3"/>
        </w:rPr>
        <w:t> </w:t>
      </w:r>
      <w:r>
        <w:rPr>
          <w:spacing w:val="-2"/>
        </w:rPr>
        <w:t>Rehabilitated</w:t>
      </w:r>
    </w:p>
    <w:p>
      <w:pPr>
        <w:pStyle w:val="BodyText"/>
        <w:tabs>
          <w:tab w:pos="2069" w:val="left" w:leader="none"/>
        </w:tabs>
        <w:spacing w:before="204"/>
      </w:pPr>
      <w:r>
        <w:rPr>
          <w:spacing w:val="-2"/>
        </w:rPr>
        <w:t>612:10-7-</w:t>
      </w:r>
      <w:r>
        <w:rPr>
          <w:spacing w:val="-5"/>
        </w:rPr>
        <w:t>62.</w:t>
      </w:r>
      <w:r>
        <w:rPr/>
        <w:tab/>
        <w:t>Post-Employment</w:t>
      </w:r>
      <w:r>
        <w:rPr>
          <w:spacing w:val="-7"/>
        </w:rPr>
        <w:t> </w:t>
      </w:r>
      <w:r>
        <w:rPr>
          <w:spacing w:val="-2"/>
        </w:rPr>
        <w:t>services</w:t>
      </w:r>
    </w:p>
    <w:p>
      <w:pPr>
        <w:pStyle w:val="BodyText"/>
        <w:tabs>
          <w:tab w:pos="2069" w:val="left" w:leader="none"/>
        </w:tabs>
        <w:spacing w:before="204"/>
      </w:pPr>
      <w:r>
        <w:rPr>
          <w:spacing w:val="-2"/>
        </w:rPr>
        <w:t>612:10-7-</w:t>
      </w:r>
      <w:r>
        <w:rPr>
          <w:spacing w:val="-5"/>
        </w:rPr>
        <w:t>63.</w:t>
      </w:r>
      <w:r>
        <w:rPr/>
        <w:tab/>
        <w:t>Post-Employment</w:t>
      </w:r>
      <w:r>
        <w:rPr>
          <w:spacing w:val="-6"/>
        </w:rPr>
        <w:t> </w:t>
      </w:r>
      <w:r>
        <w:rPr/>
        <w:t>services</w:t>
      </w:r>
      <w:r>
        <w:rPr>
          <w:spacing w:val="-5"/>
        </w:rPr>
        <w:t> </w:t>
      </w:r>
      <w:r>
        <w:rPr>
          <w:spacing w:val="-2"/>
        </w:rPr>
        <w:t>completed</w:t>
      </w:r>
    </w:p>
    <w:p>
      <w:pPr>
        <w:pStyle w:val="Heading1"/>
        <w:spacing w:before="204"/>
        <w:ind w:right="778"/>
      </w:pPr>
      <w:r>
        <w:rPr/>
        <w:t>PART</w:t>
      </w:r>
      <w:r>
        <w:rPr>
          <w:spacing w:val="-4"/>
        </w:rPr>
        <w:t> </w:t>
      </w:r>
      <w:r>
        <w:rPr/>
        <w:t>9.</w:t>
      </w:r>
      <w:r>
        <w:rPr>
          <w:spacing w:val="61"/>
        </w:rPr>
        <w:t> </w:t>
      </w:r>
      <w:r>
        <w:rPr/>
        <w:t>ACTIONS</w:t>
      </w:r>
      <w:r>
        <w:rPr>
          <w:spacing w:val="-2"/>
        </w:rPr>
        <w:t> </w:t>
      </w:r>
      <w:r>
        <w:rPr/>
        <w:t>REQUIRING</w:t>
      </w:r>
      <w:r>
        <w:rPr>
          <w:spacing w:val="-1"/>
        </w:rPr>
        <w:t> </w:t>
      </w:r>
      <w:r>
        <w:rPr/>
        <w:t>REVIEW</w:t>
      </w:r>
      <w:r>
        <w:rPr>
          <w:spacing w:val="-2"/>
        </w:rPr>
        <w:t> </w:t>
      </w:r>
      <w:r>
        <w:rPr/>
        <w:t>AND</w:t>
      </w:r>
      <w:r>
        <w:rPr>
          <w:spacing w:val="-2"/>
        </w:rPr>
        <w:t> APPROVAL</w:t>
      </w:r>
    </w:p>
    <w:p>
      <w:pPr>
        <w:pStyle w:val="BodyText"/>
        <w:spacing w:before="204"/>
      </w:pPr>
      <w:r>
        <w:rPr>
          <w:spacing w:val="-2"/>
        </w:rPr>
        <w:t>Section</w:t>
      </w:r>
    </w:p>
    <w:p>
      <w:pPr>
        <w:pStyle w:val="BodyText"/>
        <w:tabs>
          <w:tab w:pos="2069" w:val="left" w:leader="none"/>
        </w:tabs>
        <w:spacing w:before="204"/>
      </w:pPr>
      <w:r>
        <w:rPr>
          <w:spacing w:val="-2"/>
        </w:rPr>
        <w:t>612:10-7-</w:t>
      </w:r>
      <w:r>
        <w:rPr>
          <w:spacing w:val="-5"/>
        </w:rPr>
        <w:t>87.</w:t>
      </w:r>
      <w:r>
        <w:rPr/>
        <w:tab/>
        <w:t>Actions</w:t>
      </w:r>
      <w:r>
        <w:rPr>
          <w:spacing w:val="-7"/>
        </w:rPr>
        <w:t> </w:t>
      </w:r>
      <w:r>
        <w:rPr/>
        <w:t>requiring</w:t>
      </w:r>
      <w:r>
        <w:rPr>
          <w:spacing w:val="-5"/>
        </w:rPr>
        <w:t> </w:t>
      </w:r>
      <w:r>
        <w:rPr/>
        <w:t>supervisor's</w:t>
      </w:r>
      <w:r>
        <w:rPr>
          <w:spacing w:val="-5"/>
        </w:rPr>
        <w:t> </w:t>
      </w:r>
      <w:r>
        <w:rPr>
          <w:spacing w:val="-2"/>
        </w:rPr>
        <w:t>approval</w:t>
      </w:r>
    </w:p>
    <w:p>
      <w:pPr>
        <w:pStyle w:val="Heading1"/>
        <w:spacing w:before="204"/>
        <w:ind w:right="778"/>
      </w:pPr>
      <w:r>
        <w:rPr/>
        <w:t>PART</w:t>
      </w:r>
      <w:r>
        <w:rPr>
          <w:spacing w:val="-4"/>
        </w:rPr>
        <w:t> </w:t>
      </w:r>
      <w:r>
        <w:rPr/>
        <w:t>11.</w:t>
      </w:r>
      <w:r>
        <w:rPr>
          <w:spacing w:val="61"/>
        </w:rPr>
        <w:t> </w:t>
      </w:r>
      <w:r>
        <w:rPr/>
        <w:t>PHYSICAL</w:t>
      </w:r>
      <w:r>
        <w:rPr>
          <w:spacing w:val="-2"/>
        </w:rPr>
        <w:t> </w:t>
      </w:r>
      <w:r>
        <w:rPr/>
        <w:t>AND</w:t>
      </w:r>
      <w:r>
        <w:rPr>
          <w:spacing w:val="-2"/>
        </w:rPr>
        <w:t> </w:t>
      </w:r>
      <w:r>
        <w:rPr/>
        <w:t>MENTAL</w:t>
      </w:r>
      <w:r>
        <w:rPr>
          <w:spacing w:val="-3"/>
        </w:rPr>
        <w:t> </w:t>
      </w:r>
      <w:r>
        <w:rPr/>
        <w:t>RESTORATION</w:t>
      </w:r>
      <w:r>
        <w:rPr>
          <w:spacing w:val="-3"/>
        </w:rPr>
        <w:t> </w:t>
      </w:r>
      <w:r>
        <w:rPr>
          <w:spacing w:val="-2"/>
        </w:rPr>
        <w:t>SERVICES</w:t>
      </w:r>
    </w:p>
    <w:p>
      <w:pPr>
        <w:pStyle w:val="BodyText"/>
        <w:spacing w:before="204"/>
      </w:pPr>
      <w:r>
        <w:rPr>
          <w:spacing w:val="-2"/>
        </w:rPr>
        <w:t>Section</w:t>
      </w:r>
    </w:p>
    <w:p>
      <w:pPr>
        <w:pStyle w:val="BodyText"/>
        <w:tabs>
          <w:tab w:pos="2069" w:val="left" w:leader="none"/>
        </w:tabs>
        <w:spacing w:before="204"/>
      </w:pPr>
      <w:r>
        <w:rPr>
          <w:spacing w:val="-2"/>
        </w:rPr>
        <w:t>612:10-7-</w:t>
      </w:r>
      <w:r>
        <w:rPr>
          <w:spacing w:val="-5"/>
        </w:rPr>
        <w:t>98.</w:t>
      </w:r>
      <w:r>
        <w:rPr/>
        <w:tab/>
        <w:t>General</w:t>
      </w:r>
      <w:r>
        <w:rPr>
          <w:spacing w:val="-6"/>
        </w:rPr>
        <w:t> </w:t>
      </w:r>
      <w:r>
        <w:rPr/>
        <w:t>guidelines</w:t>
      </w:r>
      <w:r>
        <w:rPr>
          <w:spacing w:val="-4"/>
        </w:rPr>
        <w:t> </w:t>
      </w:r>
      <w:r>
        <w:rPr/>
        <w:t>for</w:t>
      </w:r>
      <w:r>
        <w:rPr>
          <w:spacing w:val="-2"/>
        </w:rPr>
        <w:t> </w:t>
      </w:r>
      <w:r>
        <w:rPr/>
        <w:t>physical</w:t>
      </w:r>
      <w:r>
        <w:rPr>
          <w:spacing w:val="-4"/>
        </w:rPr>
        <w:t> </w:t>
      </w:r>
      <w:r>
        <w:rPr/>
        <w:t>and</w:t>
      </w:r>
      <w:r>
        <w:rPr>
          <w:spacing w:val="-3"/>
        </w:rPr>
        <w:t> </w:t>
      </w:r>
      <w:r>
        <w:rPr/>
        <w:t>mental</w:t>
      </w:r>
      <w:r>
        <w:rPr>
          <w:spacing w:val="-4"/>
        </w:rPr>
        <w:t> </w:t>
      </w:r>
      <w:r>
        <w:rPr/>
        <w:t>restoration</w:t>
      </w:r>
      <w:r>
        <w:rPr>
          <w:spacing w:val="-3"/>
        </w:rPr>
        <w:t> </w:t>
      </w:r>
      <w:r>
        <w:rPr>
          <w:spacing w:val="-2"/>
        </w:rPr>
        <w:t>services</w:t>
      </w:r>
    </w:p>
    <w:p>
      <w:pPr>
        <w:pStyle w:val="Heading1"/>
        <w:spacing w:before="204"/>
        <w:ind w:right="778"/>
      </w:pPr>
      <w:r>
        <w:rPr/>
        <w:t>PART</w:t>
      </w:r>
      <w:r>
        <w:rPr>
          <w:spacing w:val="-3"/>
        </w:rPr>
        <w:t> </w:t>
      </w:r>
      <w:r>
        <w:rPr/>
        <w:t>13.</w:t>
      </w:r>
      <w:r>
        <w:rPr>
          <w:spacing w:val="-3"/>
        </w:rPr>
        <w:t> </w:t>
      </w:r>
      <w:r>
        <w:rPr/>
        <w:t>SUPPORTIVE</w:t>
      </w:r>
      <w:r>
        <w:rPr>
          <w:spacing w:val="-3"/>
        </w:rPr>
        <w:t> </w:t>
      </w:r>
      <w:r>
        <w:rPr>
          <w:spacing w:val="-2"/>
        </w:rPr>
        <w:t>SERVICES</w:t>
      </w:r>
    </w:p>
    <w:p>
      <w:pPr>
        <w:pStyle w:val="BodyText"/>
        <w:spacing w:before="204"/>
      </w:pPr>
      <w:r>
        <w:rPr>
          <w:spacing w:val="-2"/>
        </w:rPr>
        <w:t>Section</w:t>
      </w:r>
    </w:p>
    <w:p>
      <w:pPr>
        <w:pStyle w:val="BodyText"/>
        <w:tabs>
          <w:tab w:pos="2519" w:val="left" w:leader="none"/>
        </w:tabs>
        <w:spacing w:before="204"/>
      </w:pPr>
      <w:r>
        <w:rPr>
          <w:spacing w:val="-2"/>
        </w:rPr>
        <w:t>612:10-7-</w:t>
      </w:r>
      <w:r>
        <w:rPr>
          <w:spacing w:val="-4"/>
        </w:rPr>
        <w:t>130.</w:t>
      </w:r>
      <w:r>
        <w:rPr/>
        <w:tab/>
      </w:r>
      <w:r>
        <w:rPr>
          <w:spacing w:val="-2"/>
        </w:rPr>
        <w:t>Maintenance</w:t>
      </w:r>
    </w:p>
    <w:p>
      <w:pPr>
        <w:pStyle w:val="BodyText"/>
        <w:tabs>
          <w:tab w:pos="2519" w:val="left" w:leader="none"/>
        </w:tabs>
        <w:spacing w:before="204"/>
      </w:pPr>
      <w:r>
        <w:rPr>
          <w:spacing w:val="-2"/>
        </w:rPr>
        <w:t>612:10-7-</w:t>
      </w:r>
      <w:r>
        <w:rPr>
          <w:spacing w:val="-4"/>
        </w:rPr>
        <w:t>131.</w:t>
      </w:r>
      <w:r>
        <w:rPr/>
        <w:tab/>
      </w:r>
      <w:r>
        <w:rPr>
          <w:spacing w:val="-2"/>
        </w:rPr>
        <w:t>Transportation</w:t>
      </w:r>
    </w:p>
    <w:p>
      <w:pPr>
        <w:pStyle w:val="BodyText"/>
        <w:tabs>
          <w:tab w:pos="2519" w:val="left" w:leader="none"/>
        </w:tabs>
        <w:spacing w:before="204"/>
      </w:pPr>
      <w:r>
        <w:rPr>
          <w:spacing w:val="-2"/>
        </w:rPr>
        <w:t>612:10-7-</w:t>
      </w:r>
      <w:r>
        <w:rPr>
          <w:spacing w:val="-4"/>
        </w:rPr>
        <w:t>132.</w:t>
      </w:r>
      <w:r>
        <w:rPr/>
        <w:tab/>
        <w:t>Services</w:t>
      </w:r>
      <w:r>
        <w:rPr>
          <w:spacing w:val="-3"/>
        </w:rPr>
        <w:t> </w:t>
      </w:r>
      <w:r>
        <w:rPr/>
        <w:t>to</w:t>
      </w:r>
      <w:r>
        <w:rPr>
          <w:spacing w:val="-2"/>
        </w:rPr>
        <w:t> </w:t>
      </w:r>
      <w:r>
        <w:rPr/>
        <w:t>family</w:t>
      </w:r>
      <w:r>
        <w:rPr>
          <w:spacing w:val="-2"/>
        </w:rPr>
        <w:t> members</w:t>
      </w:r>
    </w:p>
    <w:p>
      <w:pPr>
        <w:pStyle w:val="Heading1"/>
        <w:spacing w:before="204"/>
        <w:ind w:right="778"/>
      </w:pPr>
      <w:r>
        <w:rPr/>
        <w:t>PART</w:t>
      </w:r>
      <w:r>
        <w:rPr>
          <w:spacing w:val="-2"/>
        </w:rPr>
        <w:t> </w:t>
      </w:r>
      <w:r>
        <w:rPr/>
        <w:t>15.</w:t>
      </w:r>
      <w:r>
        <w:rPr>
          <w:spacing w:val="-2"/>
        </w:rPr>
        <w:t> TRAINING</w:t>
      </w:r>
    </w:p>
    <w:p>
      <w:pPr>
        <w:pStyle w:val="BodyText"/>
        <w:spacing w:before="204"/>
      </w:pPr>
      <w:r>
        <w:rPr>
          <w:spacing w:val="-2"/>
        </w:rPr>
        <w:t>Section</w:t>
      </w:r>
    </w:p>
    <w:p>
      <w:pPr>
        <w:pStyle w:val="BodyText"/>
        <w:tabs>
          <w:tab w:pos="2519" w:val="left" w:leader="none"/>
        </w:tabs>
        <w:spacing w:line="417" w:lineRule="auto" w:before="204"/>
        <w:ind w:right="3769"/>
      </w:pPr>
      <w:r>
        <w:rPr>
          <w:spacing w:val="-2"/>
        </w:rPr>
        <w:t>612:10-7-142.</w:t>
      </w:r>
      <w:r>
        <w:rPr/>
        <w:tab/>
        <w:t>General</w:t>
      </w:r>
      <w:r>
        <w:rPr>
          <w:spacing w:val="-10"/>
        </w:rPr>
        <w:t> </w:t>
      </w:r>
      <w:r>
        <w:rPr/>
        <w:t>guidelines</w:t>
      </w:r>
      <w:r>
        <w:rPr>
          <w:spacing w:val="-10"/>
        </w:rPr>
        <w:t> </w:t>
      </w:r>
      <w:r>
        <w:rPr/>
        <w:t>for</w:t>
      </w:r>
      <w:r>
        <w:rPr>
          <w:spacing w:val="-9"/>
        </w:rPr>
        <w:t> </w:t>
      </w:r>
      <w:r>
        <w:rPr/>
        <w:t>training</w:t>
      </w:r>
      <w:r>
        <w:rPr>
          <w:spacing w:val="-10"/>
        </w:rPr>
        <w:t> </w:t>
      </w:r>
      <w:r>
        <w:rPr/>
        <w:t>services </w:t>
      </w:r>
      <w:r>
        <w:rPr>
          <w:spacing w:val="-2"/>
        </w:rPr>
        <w:t>612:10-7-149.</w:t>
      </w:r>
      <w:r>
        <w:rPr/>
        <w:tab/>
        <w:t>College and university training</w:t>
      </w:r>
    </w:p>
    <w:p>
      <w:pPr>
        <w:pStyle w:val="BodyText"/>
        <w:tabs>
          <w:tab w:pos="2519" w:val="left" w:leader="none"/>
        </w:tabs>
        <w:spacing w:line="417" w:lineRule="auto" w:before="0"/>
        <w:ind w:right="2061"/>
      </w:pPr>
      <w:r>
        <w:rPr>
          <w:spacing w:val="-2"/>
        </w:rPr>
        <w:t>612:10-7-150.</w:t>
      </w:r>
      <w:r>
        <w:rPr/>
        <w:tab/>
        <w:t>Continued eligibility for college or university training </w:t>
      </w:r>
      <w:r>
        <w:rPr>
          <w:spacing w:val="-2"/>
        </w:rPr>
        <w:t>612:10-7-152.</w:t>
      </w:r>
      <w:r>
        <w:rPr/>
        <w:tab/>
        <w:t>Payment</w:t>
      </w:r>
      <w:r>
        <w:rPr>
          <w:spacing w:val="-4"/>
        </w:rPr>
        <w:t> </w:t>
      </w:r>
      <w:r>
        <w:rPr/>
        <w:t>of</w:t>
      </w:r>
      <w:r>
        <w:rPr>
          <w:spacing w:val="-4"/>
        </w:rPr>
        <w:t> </w:t>
      </w:r>
      <w:r>
        <w:rPr/>
        <w:t>tuition</w:t>
      </w:r>
      <w:r>
        <w:rPr>
          <w:spacing w:val="-5"/>
        </w:rPr>
        <w:t> </w:t>
      </w:r>
      <w:r>
        <w:rPr/>
        <w:t>and</w:t>
      </w:r>
      <w:r>
        <w:rPr>
          <w:spacing w:val="-5"/>
        </w:rPr>
        <w:t> </w:t>
      </w:r>
      <w:r>
        <w:rPr/>
        <w:t>fees</w:t>
      </w:r>
      <w:r>
        <w:rPr>
          <w:spacing w:val="-5"/>
        </w:rPr>
        <w:t> </w:t>
      </w:r>
      <w:r>
        <w:rPr/>
        <w:t>at</w:t>
      </w:r>
      <w:r>
        <w:rPr>
          <w:spacing w:val="-6"/>
        </w:rPr>
        <w:t> </w:t>
      </w:r>
      <w:r>
        <w:rPr/>
        <w:t>colleges</w:t>
      </w:r>
      <w:r>
        <w:rPr>
          <w:spacing w:val="-5"/>
        </w:rPr>
        <w:t> </w:t>
      </w:r>
      <w:r>
        <w:rPr/>
        <w:t>and</w:t>
      </w:r>
      <w:r>
        <w:rPr>
          <w:spacing w:val="-5"/>
        </w:rPr>
        <w:t> </w:t>
      </w:r>
      <w:r>
        <w:rPr/>
        <w:t>universities </w:t>
      </w:r>
      <w:r>
        <w:rPr>
          <w:spacing w:val="-2"/>
        </w:rPr>
        <w:t>612:10-7-156.</w:t>
      </w:r>
      <w:r>
        <w:rPr/>
        <w:tab/>
        <w:t>Advanced standing tests for college students</w:t>
      </w:r>
    </w:p>
    <w:p>
      <w:pPr>
        <w:pStyle w:val="BodyText"/>
        <w:tabs>
          <w:tab w:pos="2519" w:val="left" w:leader="none"/>
        </w:tabs>
        <w:spacing w:line="275" w:lineRule="exact" w:before="0"/>
      </w:pPr>
      <w:r>
        <w:rPr>
          <w:spacing w:val="-2"/>
        </w:rPr>
        <w:t>612:10-7-</w:t>
      </w:r>
      <w:r>
        <w:rPr>
          <w:spacing w:val="-4"/>
        </w:rPr>
        <w:t>157.</w:t>
      </w:r>
      <w:r>
        <w:rPr/>
        <w:tab/>
        <w:t>Out-of-state</w:t>
      </w:r>
      <w:r>
        <w:rPr>
          <w:spacing w:val="-5"/>
        </w:rPr>
        <w:t> </w:t>
      </w:r>
      <w:r>
        <w:rPr>
          <w:spacing w:val="-2"/>
        </w:rPr>
        <w:t>training</w:t>
      </w:r>
    </w:p>
    <w:p>
      <w:pPr>
        <w:pStyle w:val="BodyText"/>
        <w:spacing w:after="0" w:line="275" w:lineRule="exact"/>
        <w:sectPr>
          <w:pgSz w:w="12240" w:h="15840"/>
          <w:pgMar w:top="1340" w:bottom="280" w:left="1080" w:right="720"/>
        </w:sectPr>
      </w:pPr>
    </w:p>
    <w:p>
      <w:pPr>
        <w:pStyle w:val="BodyText"/>
        <w:tabs>
          <w:tab w:pos="2519" w:val="left" w:leader="none"/>
        </w:tabs>
        <w:spacing w:line="417" w:lineRule="auto" w:before="67"/>
        <w:ind w:right="822"/>
      </w:pPr>
      <w:r>
        <w:rPr>
          <w:spacing w:val="-2"/>
        </w:rPr>
        <w:t>612:10-7-158.</w:t>
      </w:r>
      <w:r>
        <w:rPr/>
        <w:tab/>
        <w:t>Training</w:t>
      </w:r>
      <w:r>
        <w:rPr>
          <w:spacing w:val="-5"/>
        </w:rPr>
        <w:t> </w:t>
      </w:r>
      <w:r>
        <w:rPr/>
        <w:t>for</w:t>
      </w:r>
      <w:r>
        <w:rPr>
          <w:spacing w:val="-6"/>
        </w:rPr>
        <w:t> </w:t>
      </w:r>
      <w:r>
        <w:rPr/>
        <w:t>individuals</w:t>
      </w:r>
      <w:r>
        <w:rPr>
          <w:spacing w:val="-4"/>
        </w:rPr>
        <w:t> </w:t>
      </w:r>
      <w:r>
        <w:rPr/>
        <w:t>in</w:t>
      </w:r>
      <w:r>
        <w:rPr>
          <w:spacing w:val="-5"/>
        </w:rPr>
        <w:t> </w:t>
      </w:r>
      <w:r>
        <w:rPr/>
        <w:t>custody</w:t>
      </w:r>
      <w:r>
        <w:rPr>
          <w:spacing w:val="-5"/>
        </w:rPr>
        <w:t> </w:t>
      </w:r>
      <w:r>
        <w:rPr/>
        <w:t>of</w:t>
      </w:r>
      <w:r>
        <w:rPr>
          <w:spacing w:val="-4"/>
        </w:rPr>
        <w:t> </w:t>
      </w:r>
      <w:r>
        <w:rPr/>
        <w:t>the</w:t>
      </w:r>
      <w:r>
        <w:rPr>
          <w:spacing w:val="-5"/>
        </w:rPr>
        <w:t> </w:t>
      </w:r>
      <w:r>
        <w:rPr/>
        <w:t>Department</w:t>
      </w:r>
      <w:r>
        <w:rPr>
          <w:spacing w:val="-4"/>
        </w:rPr>
        <w:t> </w:t>
      </w:r>
      <w:r>
        <w:rPr/>
        <w:t>of</w:t>
      </w:r>
      <w:r>
        <w:rPr>
          <w:spacing w:val="-6"/>
        </w:rPr>
        <w:t> </w:t>
      </w:r>
      <w:r>
        <w:rPr/>
        <w:t>Corrections </w:t>
      </w:r>
      <w:r>
        <w:rPr>
          <w:spacing w:val="-2"/>
        </w:rPr>
        <w:t>612:10-7-161.</w:t>
      </w:r>
      <w:r>
        <w:rPr/>
        <w:tab/>
        <w:t>Public and private vocational schools</w:t>
      </w:r>
    </w:p>
    <w:p>
      <w:pPr>
        <w:pStyle w:val="BodyText"/>
        <w:tabs>
          <w:tab w:pos="2519" w:val="left" w:leader="none"/>
        </w:tabs>
        <w:spacing w:line="417" w:lineRule="auto" w:before="0"/>
        <w:ind w:right="2648"/>
      </w:pPr>
      <w:r>
        <w:rPr>
          <w:spacing w:val="-2"/>
        </w:rPr>
        <w:t>612:10-7-162.</w:t>
      </w:r>
      <w:r>
        <w:rPr/>
        <w:tab/>
        <w:t>Textbooks,</w:t>
      </w:r>
      <w:r>
        <w:rPr>
          <w:spacing w:val="-8"/>
        </w:rPr>
        <w:t> </w:t>
      </w:r>
      <w:r>
        <w:rPr/>
        <w:t>supplies,</w:t>
      </w:r>
      <w:r>
        <w:rPr>
          <w:spacing w:val="-8"/>
        </w:rPr>
        <w:t> </w:t>
      </w:r>
      <w:r>
        <w:rPr/>
        <w:t>training</w:t>
      </w:r>
      <w:r>
        <w:rPr>
          <w:spacing w:val="-8"/>
        </w:rPr>
        <w:t> </w:t>
      </w:r>
      <w:r>
        <w:rPr/>
        <w:t>tools</w:t>
      </w:r>
      <w:r>
        <w:rPr>
          <w:spacing w:val="-8"/>
        </w:rPr>
        <w:t> </w:t>
      </w:r>
      <w:r>
        <w:rPr/>
        <w:t>and</w:t>
      </w:r>
      <w:r>
        <w:rPr>
          <w:spacing w:val="-8"/>
        </w:rPr>
        <w:t> </w:t>
      </w:r>
      <w:r>
        <w:rPr/>
        <w:t>equipment </w:t>
      </w:r>
      <w:r>
        <w:rPr>
          <w:spacing w:val="-2"/>
        </w:rPr>
        <w:t>612:10-7-163.</w:t>
      </w:r>
      <w:r>
        <w:rPr/>
        <w:tab/>
        <w:t>On-the-job training</w:t>
      </w:r>
    </w:p>
    <w:p>
      <w:pPr>
        <w:pStyle w:val="BodyText"/>
        <w:tabs>
          <w:tab w:pos="2519" w:val="left" w:leader="none"/>
        </w:tabs>
        <w:spacing w:line="417" w:lineRule="auto" w:before="0"/>
        <w:ind w:right="3836"/>
      </w:pPr>
      <w:r>
        <w:rPr>
          <w:spacing w:val="-2"/>
        </w:rPr>
        <w:t>612:10-7-164.</w:t>
      </w:r>
      <w:r>
        <w:rPr/>
        <w:tab/>
        <w:t>Personal</w:t>
      </w:r>
      <w:r>
        <w:rPr>
          <w:spacing w:val="-10"/>
        </w:rPr>
        <w:t> </w:t>
      </w:r>
      <w:r>
        <w:rPr/>
        <w:t>and</w:t>
      </w:r>
      <w:r>
        <w:rPr>
          <w:spacing w:val="-10"/>
        </w:rPr>
        <w:t> </w:t>
      </w:r>
      <w:r>
        <w:rPr/>
        <w:t>work</w:t>
      </w:r>
      <w:r>
        <w:rPr>
          <w:spacing w:val="-10"/>
        </w:rPr>
        <w:t> </w:t>
      </w:r>
      <w:r>
        <w:rPr/>
        <w:t>adjustment</w:t>
      </w:r>
      <w:r>
        <w:rPr>
          <w:spacing w:val="-9"/>
        </w:rPr>
        <w:t> </w:t>
      </w:r>
      <w:r>
        <w:rPr/>
        <w:t>training </w:t>
      </w:r>
      <w:r>
        <w:rPr>
          <w:spacing w:val="-2"/>
        </w:rPr>
        <w:t>612:10-7-165.</w:t>
      </w:r>
      <w:r>
        <w:rPr/>
        <w:tab/>
        <w:t>Distance Education</w:t>
      </w:r>
    </w:p>
    <w:p>
      <w:pPr>
        <w:pStyle w:val="BodyText"/>
        <w:tabs>
          <w:tab w:pos="2519" w:val="left" w:leader="none"/>
        </w:tabs>
        <w:spacing w:line="276" w:lineRule="exact" w:before="0"/>
      </w:pPr>
      <w:r>
        <w:rPr>
          <w:spacing w:val="-2"/>
        </w:rPr>
        <w:t>612:10-7-</w:t>
      </w:r>
      <w:r>
        <w:rPr>
          <w:spacing w:val="-4"/>
        </w:rPr>
        <w:t>166.</w:t>
      </w:r>
      <w:r>
        <w:rPr/>
        <w:tab/>
        <w:t>Tutorial</w:t>
      </w:r>
      <w:r>
        <w:rPr>
          <w:spacing w:val="-5"/>
        </w:rPr>
        <w:t> </w:t>
      </w:r>
      <w:r>
        <w:rPr>
          <w:spacing w:val="-2"/>
        </w:rPr>
        <w:t>training</w:t>
      </w:r>
    </w:p>
    <w:p>
      <w:pPr>
        <w:pStyle w:val="BodyText"/>
        <w:tabs>
          <w:tab w:pos="2519" w:val="left" w:leader="none"/>
        </w:tabs>
        <w:spacing w:before="203"/>
      </w:pPr>
      <w:r>
        <w:rPr>
          <w:spacing w:val="-2"/>
        </w:rPr>
        <w:t>612:10-7-</w:t>
      </w:r>
      <w:r>
        <w:rPr>
          <w:spacing w:val="-4"/>
        </w:rPr>
        <w:t>167.</w:t>
      </w:r>
      <w:r>
        <w:rPr/>
        <w:tab/>
        <w:t>Compensatory</w:t>
      </w:r>
      <w:r>
        <w:rPr>
          <w:spacing w:val="-8"/>
        </w:rPr>
        <w:t> </w:t>
      </w:r>
      <w:r>
        <w:rPr>
          <w:spacing w:val="-2"/>
        </w:rPr>
        <w:t>training</w:t>
      </w:r>
    </w:p>
    <w:p>
      <w:pPr>
        <w:pStyle w:val="BodyText"/>
        <w:tabs>
          <w:tab w:pos="2519" w:val="left" w:leader="none"/>
        </w:tabs>
        <w:spacing w:before="204"/>
      </w:pPr>
      <w:r>
        <w:rPr>
          <w:spacing w:val="-2"/>
        </w:rPr>
        <w:t>612:10-7-</w:t>
      </w:r>
      <w:r>
        <w:rPr>
          <w:spacing w:val="-4"/>
        </w:rPr>
        <w:t>170.</w:t>
      </w:r>
      <w:r>
        <w:rPr/>
        <w:tab/>
        <w:t>Work</w:t>
      </w:r>
      <w:r>
        <w:rPr>
          <w:spacing w:val="-7"/>
        </w:rPr>
        <w:t> </w:t>
      </w:r>
      <w:r>
        <w:rPr/>
        <w:t>experience,</w:t>
      </w:r>
      <w:r>
        <w:rPr>
          <w:spacing w:val="-3"/>
        </w:rPr>
        <w:t> </w:t>
      </w:r>
      <w:r>
        <w:rPr/>
        <w:t>internship</w:t>
      </w:r>
      <w:r>
        <w:rPr>
          <w:spacing w:val="-4"/>
        </w:rPr>
        <w:t> </w:t>
      </w:r>
      <w:r>
        <w:rPr/>
        <w:t>and</w:t>
      </w:r>
      <w:r>
        <w:rPr>
          <w:spacing w:val="-3"/>
        </w:rPr>
        <w:t> </w:t>
      </w:r>
      <w:r>
        <w:rPr>
          <w:spacing w:val="-2"/>
        </w:rPr>
        <w:t>apprenticeship</w:t>
      </w:r>
    </w:p>
    <w:p>
      <w:pPr>
        <w:pStyle w:val="BodyText"/>
        <w:tabs>
          <w:tab w:pos="2519" w:val="left" w:leader="none"/>
        </w:tabs>
        <w:spacing w:line="208" w:lineRule="auto" w:before="233"/>
        <w:ind w:left="2520" w:right="1796" w:hanging="2160"/>
      </w:pPr>
      <w:r>
        <w:rPr>
          <w:spacing w:val="-2"/>
        </w:rPr>
        <w:t>612:10-7-171.</w:t>
      </w:r>
      <w:r>
        <w:rPr/>
        <w:tab/>
        <w:t>Credential</w:t>
      </w:r>
      <w:r>
        <w:rPr>
          <w:spacing w:val="-6"/>
        </w:rPr>
        <w:t> </w:t>
      </w:r>
      <w:r>
        <w:rPr/>
        <w:t>attainment</w:t>
      </w:r>
      <w:r>
        <w:rPr>
          <w:spacing w:val="-7"/>
        </w:rPr>
        <w:t> </w:t>
      </w:r>
      <w:r>
        <w:rPr/>
        <w:t>and</w:t>
      </w:r>
      <w:r>
        <w:rPr>
          <w:spacing w:val="-6"/>
        </w:rPr>
        <w:t> </w:t>
      </w:r>
      <w:r>
        <w:rPr/>
        <w:t>measurable</w:t>
      </w:r>
      <w:r>
        <w:rPr>
          <w:spacing w:val="-6"/>
        </w:rPr>
        <w:t> </w:t>
      </w:r>
      <w:r>
        <w:rPr/>
        <w:t>skill</w:t>
      </w:r>
      <w:r>
        <w:rPr>
          <w:spacing w:val="-6"/>
        </w:rPr>
        <w:t> </w:t>
      </w:r>
      <w:r>
        <w:rPr/>
        <w:t>gains</w:t>
      </w:r>
      <w:r>
        <w:rPr>
          <w:spacing w:val="-6"/>
        </w:rPr>
        <w:t> </w:t>
      </w:r>
      <w:r>
        <w:rPr/>
        <w:t>for</w:t>
      </w:r>
      <w:r>
        <w:rPr>
          <w:spacing w:val="-5"/>
        </w:rPr>
        <w:t> </w:t>
      </w:r>
      <w:r>
        <w:rPr/>
        <w:t>post- secondary training programs</w:t>
      </w:r>
    </w:p>
    <w:p>
      <w:pPr>
        <w:pStyle w:val="BodyText"/>
        <w:spacing w:before="0"/>
        <w:ind w:left="0"/>
      </w:pPr>
    </w:p>
    <w:p>
      <w:pPr>
        <w:pStyle w:val="BodyText"/>
        <w:spacing w:before="139"/>
        <w:ind w:left="0"/>
      </w:pPr>
    </w:p>
    <w:p>
      <w:pPr>
        <w:pStyle w:val="Heading1"/>
        <w:spacing w:before="0"/>
        <w:ind w:right="780"/>
      </w:pPr>
      <w:r>
        <w:rPr/>
        <w:t>PART</w:t>
      </w:r>
      <w:r>
        <w:rPr>
          <w:spacing w:val="-2"/>
        </w:rPr>
        <w:t> </w:t>
      </w:r>
      <w:r>
        <w:rPr/>
        <w:t>17.</w:t>
      </w:r>
      <w:r>
        <w:rPr>
          <w:spacing w:val="60"/>
        </w:rPr>
        <w:t> </w:t>
      </w:r>
      <w:r>
        <w:rPr/>
        <w:t>SUPPORTED</w:t>
      </w:r>
      <w:r>
        <w:rPr>
          <w:spacing w:val="-2"/>
        </w:rPr>
        <w:t> </w:t>
      </w:r>
      <w:r>
        <w:rPr/>
        <w:t>EMPLOYMENT</w:t>
      </w:r>
      <w:r>
        <w:rPr>
          <w:spacing w:val="-2"/>
        </w:rPr>
        <w:t> SERVICES</w:t>
      </w:r>
    </w:p>
    <w:p>
      <w:pPr>
        <w:pStyle w:val="BodyText"/>
        <w:spacing w:before="204"/>
      </w:pPr>
      <w:r>
        <w:rPr>
          <w:spacing w:val="-2"/>
        </w:rPr>
        <w:t>Section</w:t>
      </w:r>
    </w:p>
    <w:p>
      <w:pPr>
        <w:pStyle w:val="BodyText"/>
        <w:tabs>
          <w:tab w:pos="2519" w:val="left" w:leader="none"/>
        </w:tabs>
        <w:spacing w:line="417" w:lineRule="auto" w:before="204"/>
        <w:ind w:right="2675"/>
      </w:pPr>
      <w:r>
        <w:rPr>
          <w:spacing w:val="-2"/>
        </w:rPr>
        <w:t>612:10-7-179.</w:t>
      </w:r>
      <w:r>
        <w:rPr/>
        <w:tab/>
        <w:t>Overview of Supported Employment Services </w:t>
      </w:r>
      <w:r>
        <w:rPr>
          <w:spacing w:val="-2"/>
        </w:rPr>
        <w:t>612:10-7-180.</w:t>
      </w:r>
      <w:r>
        <w:rPr/>
        <w:tab/>
        <w:t>Eligibility</w:t>
      </w:r>
      <w:r>
        <w:rPr>
          <w:spacing w:val="-8"/>
        </w:rPr>
        <w:t> </w:t>
      </w:r>
      <w:r>
        <w:rPr/>
        <w:t>for</w:t>
      </w:r>
      <w:r>
        <w:rPr>
          <w:spacing w:val="-7"/>
        </w:rPr>
        <w:t> </w:t>
      </w:r>
      <w:r>
        <w:rPr/>
        <w:t>the</w:t>
      </w:r>
      <w:r>
        <w:rPr>
          <w:spacing w:val="-8"/>
        </w:rPr>
        <w:t> </w:t>
      </w:r>
      <w:r>
        <w:rPr/>
        <w:t>Supported</w:t>
      </w:r>
      <w:r>
        <w:rPr>
          <w:spacing w:val="-8"/>
        </w:rPr>
        <w:t> </w:t>
      </w:r>
      <w:r>
        <w:rPr/>
        <w:t>Employment</w:t>
      </w:r>
      <w:r>
        <w:rPr>
          <w:spacing w:val="-7"/>
        </w:rPr>
        <w:t> </w:t>
      </w:r>
      <w:r>
        <w:rPr/>
        <w:t>Services </w:t>
      </w:r>
      <w:r>
        <w:rPr>
          <w:spacing w:val="-2"/>
        </w:rPr>
        <w:t>612:10-7-181.</w:t>
      </w:r>
      <w:r>
        <w:rPr/>
        <w:tab/>
        <w:t>Integrated settings</w:t>
      </w:r>
    </w:p>
    <w:p>
      <w:pPr>
        <w:pStyle w:val="BodyText"/>
        <w:tabs>
          <w:tab w:pos="2519" w:val="left" w:leader="none"/>
        </w:tabs>
        <w:spacing w:line="208" w:lineRule="auto" w:before="28"/>
        <w:ind w:left="2519" w:right="1222" w:hanging="2160"/>
      </w:pPr>
      <w:r>
        <w:rPr>
          <w:spacing w:val="-2"/>
        </w:rPr>
        <w:t>612:10-7-182.</w:t>
      </w:r>
      <w:r>
        <w:rPr/>
        <w:tab/>
        <w:t>Competitive</w:t>
      </w:r>
      <w:r>
        <w:rPr>
          <w:spacing w:val="-8"/>
        </w:rPr>
        <w:t> </w:t>
      </w:r>
      <w:r>
        <w:rPr/>
        <w:t>integrated</w:t>
      </w:r>
      <w:r>
        <w:rPr>
          <w:spacing w:val="-8"/>
        </w:rPr>
        <w:t> </w:t>
      </w:r>
      <w:r>
        <w:rPr/>
        <w:t>employment</w:t>
      </w:r>
      <w:r>
        <w:rPr>
          <w:spacing w:val="-8"/>
        </w:rPr>
        <w:t> </w:t>
      </w:r>
      <w:r>
        <w:rPr/>
        <w:t>for</w:t>
      </w:r>
      <w:r>
        <w:rPr>
          <w:spacing w:val="-8"/>
        </w:rPr>
        <w:t> </w:t>
      </w:r>
      <w:r>
        <w:rPr/>
        <w:t>Supported</w:t>
      </w:r>
      <w:r>
        <w:rPr>
          <w:spacing w:val="-8"/>
        </w:rPr>
        <w:t> </w:t>
      </w:r>
      <w:r>
        <w:rPr/>
        <w:t>Employment </w:t>
      </w:r>
      <w:r>
        <w:rPr>
          <w:spacing w:val="-2"/>
        </w:rPr>
        <w:t>clients</w:t>
      </w:r>
    </w:p>
    <w:p>
      <w:pPr>
        <w:pStyle w:val="BodyText"/>
        <w:tabs>
          <w:tab w:pos="2519" w:val="left" w:leader="none"/>
        </w:tabs>
        <w:spacing w:line="417" w:lineRule="auto" w:before="211"/>
        <w:ind w:left="359" w:right="5196"/>
      </w:pPr>
      <w:r>
        <w:rPr>
          <w:spacing w:val="-2"/>
        </w:rPr>
        <w:t>612:10-7-183.</w:t>
      </w:r>
      <w:r>
        <w:rPr/>
        <w:tab/>
        <w:t>Ongoing</w:t>
      </w:r>
      <w:r>
        <w:rPr>
          <w:spacing w:val="-17"/>
        </w:rPr>
        <w:t> </w:t>
      </w:r>
      <w:r>
        <w:rPr/>
        <w:t>support</w:t>
      </w:r>
      <w:r>
        <w:rPr>
          <w:spacing w:val="-17"/>
        </w:rPr>
        <w:t> </w:t>
      </w:r>
      <w:r>
        <w:rPr/>
        <w:t>services </w:t>
      </w:r>
      <w:r>
        <w:rPr>
          <w:spacing w:val="-2"/>
        </w:rPr>
        <w:t>612:10-7-184.</w:t>
      </w:r>
      <w:r>
        <w:rPr/>
        <w:tab/>
        <w:t>Extended services</w:t>
      </w:r>
    </w:p>
    <w:p>
      <w:pPr>
        <w:pStyle w:val="BodyText"/>
        <w:tabs>
          <w:tab w:pos="2519" w:val="left" w:leader="none"/>
        </w:tabs>
        <w:spacing w:line="276" w:lineRule="exact" w:before="0"/>
        <w:ind w:left="359"/>
      </w:pPr>
      <w:r>
        <w:rPr>
          <w:spacing w:val="-2"/>
        </w:rPr>
        <w:t>612:10-7-</w:t>
      </w:r>
      <w:r>
        <w:rPr>
          <w:spacing w:val="-4"/>
        </w:rPr>
        <w:t>185.</w:t>
      </w:r>
      <w:r>
        <w:rPr/>
        <w:tab/>
        <w:t>Provision</w:t>
      </w:r>
      <w:r>
        <w:rPr>
          <w:spacing w:val="-6"/>
        </w:rPr>
        <w:t> </w:t>
      </w:r>
      <w:r>
        <w:rPr/>
        <w:t>of</w:t>
      </w:r>
      <w:r>
        <w:rPr>
          <w:spacing w:val="-3"/>
        </w:rPr>
        <w:t> </w:t>
      </w:r>
      <w:r>
        <w:rPr/>
        <w:t>supported</w:t>
      </w:r>
      <w:r>
        <w:rPr>
          <w:spacing w:val="-4"/>
        </w:rPr>
        <w:t> </w:t>
      </w:r>
      <w:r>
        <w:rPr/>
        <w:t>employment</w:t>
      </w:r>
      <w:r>
        <w:rPr>
          <w:spacing w:val="-3"/>
        </w:rPr>
        <w:t> </w:t>
      </w:r>
      <w:r>
        <w:rPr>
          <w:spacing w:val="-2"/>
        </w:rPr>
        <w:t>services</w:t>
      </w:r>
    </w:p>
    <w:p>
      <w:pPr>
        <w:pStyle w:val="Heading1"/>
        <w:spacing w:before="204"/>
        <w:ind w:right="780"/>
      </w:pPr>
      <w:r>
        <w:rPr/>
        <w:t>PART</w:t>
      </w:r>
      <w:r>
        <w:rPr>
          <w:spacing w:val="-2"/>
        </w:rPr>
        <w:t> </w:t>
      </w:r>
      <w:r>
        <w:rPr/>
        <w:t>18.</w:t>
      </w:r>
      <w:r>
        <w:rPr>
          <w:spacing w:val="61"/>
        </w:rPr>
        <w:t> </w:t>
      </w:r>
      <w:r>
        <w:rPr/>
        <w:t>EMPLOYMENT</w:t>
      </w:r>
      <w:r>
        <w:rPr>
          <w:spacing w:val="-2"/>
        </w:rPr>
        <w:t> </w:t>
      </w:r>
      <w:r>
        <w:rPr/>
        <w:t>AND</w:t>
      </w:r>
      <w:r>
        <w:rPr>
          <w:spacing w:val="-4"/>
        </w:rPr>
        <w:t> </w:t>
      </w:r>
      <w:r>
        <w:rPr/>
        <w:t>RETENTION</w:t>
      </w:r>
      <w:r>
        <w:rPr>
          <w:spacing w:val="-2"/>
        </w:rPr>
        <w:t> SERVICES</w:t>
      </w:r>
    </w:p>
    <w:p>
      <w:pPr>
        <w:pStyle w:val="BodyText"/>
        <w:spacing w:before="204"/>
        <w:ind w:left="359"/>
      </w:pPr>
      <w:r>
        <w:rPr>
          <w:spacing w:val="-2"/>
        </w:rPr>
        <w:t>Section</w:t>
      </w:r>
    </w:p>
    <w:p>
      <w:pPr>
        <w:pStyle w:val="BodyText"/>
        <w:tabs>
          <w:tab w:pos="2519" w:val="left" w:leader="none"/>
        </w:tabs>
        <w:spacing w:line="417" w:lineRule="auto" w:before="204"/>
        <w:ind w:left="359" w:right="1967"/>
      </w:pPr>
      <w:r>
        <w:rPr>
          <w:spacing w:val="-2"/>
        </w:rPr>
        <w:t>612:10-7-186.</w:t>
      </w:r>
      <w:r>
        <w:rPr/>
        <w:tab/>
        <w:t>Overview of Employment and Retention Services </w:t>
      </w:r>
      <w:r>
        <w:rPr>
          <w:spacing w:val="-2"/>
        </w:rPr>
        <w:t>612:10-7-187.</w:t>
      </w:r>
      <w:r>
        <w:rPr/>
        <w:tab/>
        <w:t>Eligibility for Employment and Retention Services </w:t>
      </w:r>
      <w:r>
        <w:rPr>
          <w:spacing w:val="-2"/>
        </w:rPr>
        <w:t>612:10-7-188.</w:t>
      </w:r>
      <w:r>
        <w:rPr/>
        <w:tab/>
        <w:t>Provision of Employment and Retention Services </w:t>
      </w:r>
      <w:r>
        <w:rPr>
          <w:spacing w:val="-2"/>
        </w:rPr>
        <w:t>612:10-7-189.</w:t>
      </w:r>
      <w:r>
        <w:rPr/>
        <w:tab/>
        <w:t>Competitive</w:t>
      </w:r>
      <w:r>
        <w:rPr>
          <w:spacing w:val="-8"/>
        </w:rPr>
        <w:t> </w:t>
      </w:r>
      <w:r>
        <w:rPr/>
        <w:t>employment</w:t>
      </w:r>
      <w:r>
        <w:rPr>
          <w:spacing w:val="-7"/>
        </w:rPr>
        <w:t> </w:t>
      </w:r>
      <w:r>
        <w:rPr/>
        <w:t>for</w:t>
      </w:r>
      <w:r>
        <w:rPr>
          <w:spacing w:val="-7"/>
        </w:rPr>
        <w:t> </w:t>
      </w:r>
      <w:r>
        <w:rPr/>
        <w:t>Employment</w:t>
      </w:r>
      <w:r>
        <w:rPr>
          <w:spacing w:val="-7"/>
        </w:rPr>
        <w:t> </w:t>
      </w:r>
      <w:r>
        <w:rPr/>
        <w:t>and</w:t>
      </w:r>
      <w:r>
        <w:rPr>
          <w:spacing w:val="-8"/>
        </w:rPr>
        <w:t> </w:t>
      </w:r>
      <w:r>
        <w:rPr/>
        <w:t>Retention</w:t>
      </w:r>
    </w:p>
    <w:p>
      <w:pPr>
        <w:pStyle w:val="BodyText"/>
        <w:spacing w:after="0" w:line="417" w:lineRule="auto"/>
        <w:sectPr>
          <w:pgSz w:w="12240" w:h="15840"/>
          <w:pgMar w:top="1340" w:bottom="280" w:left="1080" w:right="720"/>
        </w:sectPr>
      </w:pPr>
    </w:p>
    <w:p>
      <w:pPr>
        <w:pStyle w:val="Heading1"/>
        <w:spacing w:line="208" w:lineRule="auto" w:before="96"/>
        <w:ind w:left="2640" w:right="775" w:hanging="2093"/>
        <w:jc w:val="left"/>
      </w:pPr>
      <w:r>
        <w:rPr/>
        <w:t>PART</w:t>
      </w:r>
      <w:r>
        <w:rPr>
          <w:spacing w:val="-3"/>
        </w:rPr>
        <w:t> </w:t>
      </w:r>
      <w:r>
        <w:rPr/>
        <w:t>19.</w:t>
      </w:r>
      <w:r>
        <w:rPr>
          <w:spacing w:val="40"/>
        </w:rPr>
        <w:t> </w:t>
      </w:r>
      <w:r>
        <w:rPr/>
        <w:t>SPECIAL</w:t>
      </w:r>
      <w:r>
        <w:rPr>
          <w:spacing w:val="-5"/>
        </w:rPr>
        <w:t> </w:t>
      </w:r>
      <w:r>
        <w:rPr/>
        <w:t>SERVICES</w:t>
      </w:r>
      <w:r>
        <w:rPr>
          <w:spacing w:val="-3"/>
        </w:rPr>
        <w:t> </w:t>
      </w:r>
      <w:r>
        <w:rPr/>
        <w:t>FOR</w:t>
      </w:r>
      <w:r>
        <w:rPr>
          <w:spacing w:val="-4"/>
        </w:rPr>
        <w:t> </w:t>
      </w:r>
      <w:r>
        <w:rPr/>
        <w:t>INDIVIDUALS</w:t>
      </w:r>
      <w:r>
        <w:rPr>
          <w:spacing w:val="-4"/>
        </w:rPr>
        <w:t> </w:t>
      </w:r>
      <w:r>
        <w:rPr/>
        <w:t>WHO</w:t>
      </w:r>
      <w:r>
        <w:rPr>
          <w:spacing w:val="-3"/>
        </w:rPr>
        <w:t> </w:t>
      </w:r>
      <w:r>
        <w:rPr/>
        <w:t>ARE</w:t>
      </w:r>
      <w:r>
        <w:rPr>
          <w:spacing w:val="-6"/>
        </w:rPr>
        <w:t> </w:t>
      </w:r>
      <w:r>
        <w:rPr/>
        <w:t>BLIND,</w:t>
      </w:r>
      <w:r>
        <w:rPr>
          <w:spacing w:val="-3"/>
        </w:rPr>
        <w:t> </w:t>
      </w:r>
      <w:r>
        <w:rPr/>
        <w:t>DEAF,</w:t>
      </w:r>
      <w:r>
        <w:rPr>
          <w:spacing w:val="-5"/>
        </w:rPr>
        <w:t> </w:t>
      </w:r>
      <w:r>
        <w:rPr/>
        <w:t>OR HAVE OTHER SIGNIFICANT DISABILITIES</w:t>
      </w:r>
    </w:p>
    <w:p>
      <w:pPr>
        <w:pStyle w:val="BodyText"/>
        <w:spacing w:before="210"/>
      </w:pPr>
      <w:r>
        <w:rPr>
          <w:spacing w:val="-2"/>
        </w:rPr>
        <w:t>Section</w:t>
      </w:r>
    </w:p>
    <w:p>
      <w:pPr>
        <w:pStyle w:val="BodyText"/>
        <w:tabs>
          <w:tab w:pos="2519" w:val="left" w:leader="none"/>
        </w:tabs>
        <w:spacing w:line="417" w:lineRule="auto" w:before="204"/>
        <w:ind w:right="4824"/>
      </w:pPr>
      <w:r>
        <w:rPr>
          <w:spacing w:val="-2"/>
        </w:rPr>
        <w:t>612:10-7-195.</w:t>
      </w:r>
      <w:r>
        <w:rPr/>
        <w:tab/>
        <w:t>Personal</w:t>
      </w:r>
      <w:r>
        <w:rPr>
          <w:spacing w:val="-17"/>
        </w:rPr>
        <w:t> </w:t>
      </w:r>
      <w:r>
        <w:rPr/>
        <w:t>assistance</w:t>
      </w:r>
      <w:r>
        <w:rPr>
          <w:spacing w:val="-17"/>
        </w:rPr>
        <w:t> </w:t>
      </w:r>
      <w:r>
        <w:rPr/>
        <w:t>services </w:t>
      </w:r>
      <w:r>
        <w:rPr>
          <w:spacing w:val="-2"/>
        </w:rPr>
        <w:t>612:10-7-196.</w:t>
      </w:r>
      <w:r>
        <w:rPr/>
        <w:tab/>
        <w:t>Interpreter services</w:t>
      </w:r>
    </w:p>
    <w:p>
      <w:pPr>
        <w:pStyle w:val="BodyText"/>
        <w:tabs>
          <w:tab w:pos="2519" w:val="left" w:leader="none"/>
        </w:tabs>
        <w:spacing w:line="417" w:lineRule="auto" w:before="0"/>
        <w:ind w:left="359" w:right="4543"/>
      </w:pPr>
      <w:r>
        <w:rPr>
          <w:spacing w:val="-2"/>
        </w:rPr>
        <w:t>612:10-7-199.</w:t>
      </w:r>
      <w:r>
        <w:rPr/>
        <w:tab/>
        <w:t>Reader/recording services </w:t>
      </w:r>
      <w:r>
        <w:rPr>
          <w:spacing w:val="-2"/>
        </w:rPr>
        <w:t>612:10-7-201.</w:t>
      </w:r>
      <w:r>
        <w:rPr/>
        <w:tab/>
        <w:t>Rehabilitation</w:t>
      </w:r>
      <w:r>
        <w:rPr>
          <w:spacing w:val="-17"/>
        </w:rPr>
        <w:t> </w:t>
      </w:r>
      <w:r>
        <w:rPr/>
        <w:t>teaching</w:t>
      </w:r>
      <w:r>
        <w:rPr>
          <w:spacing w:val="-17"/>
        </w:rPr>
        <w:t> </w:t>
      </w:r>
      <w:r>
        <w:rPr/>
        <w:t>services </w:t>
      </w:r>
      <w:r>
        <w:rPr>
          <w:spacing w:val="-2"/>
        </w:rPr>
        <w:t>612:10-7-203.</w:t>
      </w:r>
      <w:r>
        <w:rPr/>
        <w:tab/>
        <w:t>Orientation and Mobility (O&amp;M)</w:t>
      </w:r>
    </w:p>
    <w:p>
      <w:pPr>
        <w:pStyle w:val="BodyText"/>
        <w:tabs>
          <w:tab w:pos="2519" w:val="left" w:leader="none"/>
        </w:tabs>
        <w:spacing w:line="275" w:lineRule="exact" w:before="0"/>
        <w:ind w:left="359"/>
      </w:pPr>
      <w:r>
        <w:rPr>
          <w:spacing w:val="-2"/>
        </w:rPr>
        <w:t>612:10-7-</w:t>
      </w:r>
      <w:r>
        <w:rPr>
          <w:spacing w:val="-4"/>
        </w:rPr>
        <w:t>205.</w:t>
      </w:r>
      <w:r>
        <w:rPr/>
        <w:tab/>
        <w:t>Services</w:t>
      </w:r>
      <w:r>
        <w:rPr>
          <w:spacing w:val="-3"/>
        </w:rPr>
        <w:t> </w:t>
      </w:r>
      <w:r>
        <w:rPr/>
        <w:t>to</w:t>
      </w:r>
      <w:r>
        <w:rPr>
          <w:spacing w:val="-3"/>
        </w:rPr>
        <w:t> </w:t>
      </w:r>
      <w:r>
        <w:rPr/>
        <w:t>persons</w:t>
      </w:r>
      <w:r>
        <w:rPr>
          <w:spacing w:val="-3"/>
        </w:rPr>
        <w:t> </w:t>
      </w:r>
      <w:r>
        <w:rPr/>
        <w:t>who</w:t>
      </w:r>
      <w:r>
        <w:rPr>
          <w:spacing w:val="-3"/>
        </w:rPr>
        <w:t> </w:t>
      </w:r>
      <w:r>
        <w:rPr/>
        <w:t>are</w:t>
      </w:r>
      <w:r>
        <w:rPr>
          <w:spacing w:val="-2"/>
        </w:rPr>
        <w:t> </w:t>
      </w:r>
      <w:r>
        <w:rPr/>
        <w:t>deaf-</w:t>
      </w:r>
      <w:r>
        <w:rPr>
          <w:spacing w:val="-2"/>
        </w:rPr>
        <w:t>blind</w:t>
      </w:r>
    </w:p>
    <w:p>
      <w:pPr>
        <w:pStyle w:val="BodyText"/>
        <w:tabs>
          <w:tab w:pos="2519" w:val="left" w:leader="none"/>
        </w:tabs>
        <w:spacing w:line="208" w:lineRule="auto" w:before="233"/>
        <w:ind w:left="359" w:right="2090"/>
      </w:pPr>
      <w:r>
        <w:rPr>
          <w:spacing w:val="-2"/>
        </w:rPr>
        <w:t>612:10-7-206.</w:t>
      </w:r>
      <w:r>
        <w:rPr/>
        <w:tab/>
        <w:t>Assistive</w:t>
      </w:r>
      <w:r>
        <w:rPr>
          <w:spacing w:val="-7"/>
        </w:rPr>
        <w:t> </w:t>
      </w:r>
      <w:r>
        <w:rPr/>
        <w:t>technology</w:t>
      </w:r>
      <w:r>
        <w:rPr>
          <w:spacing w:val="-7"/>
        </w:rPr>
        <w:t> </w:t>
      </w:r>
      <w:r>
        <w:rPr/>
        <w:t>services</w:t>
      </w:r>
      <w:r>
        <w:rPr>
          <w:spacing w:val="-7"/>
        </w:rPr>
        <w:t> </w:t>
      </w:r>
      <w:r>
        <w:rPr/>
        <w:t>for</w:t>
      </w:r>
      <w:r>
        <w:rPr>
          <w:spacing w:val="-6"/>
        </w:rPr>
        <w:t> </w:t>
      </w:r>
      <w:r>
        <w:rPr/>
        <w:t>individuals</w:t>
      </w:r>
      <w:r>
        <w:rPr>
          <w:spacing w:val="-6"/>
        </w:rPr>
        <w:t> </w:t>
      </w:r>
      <w:r>
        <w:rPr/>
        <w:t>with</w:t>
      </w:r>
      <w:r>
        <w:rPr>
          <w:spacing w:val="-7"/>
        </w:rPr>
        <w:t> </w:t>
      </w:r>
      <w:r>
        <w:rPr/>
        <w:t>visual </w:t>
      </w:r>
      <w:r>
        <w:rPr>
          <w:spacing w:val="-2"/>
        </w:rPr>
        <w:t>impairments</w:t>
      </w:r>
    </w:p>
    <w:p>
      <w:pPr>
        <w:pStyle w:val="Heading1"/>
        <w:spacing w:line="208" w:lineRule="auto" w:before="240"/>
        <w:ind w:left="4166" w:right="775" w:hanging="3300"/>
        <w:jc w:val="left"/>
      </w:pPr>
      <w:r>
        <w:rPr/>
        <w:t>PART</w:t>
      </w:r>
      <w:r>
        <w:rPr>
          <w:spacing w:val="-4"/>
        </w:rPr>
        <w:t> </w:t>
      </w:r>
      <w:r>
        <w:rPr/>
        <w:t>21.</w:t>
      </w:r>
      <w:r>
        <w:rPr>
          <w:spacing w:val="40"/>
        </w:rPr>
        <w:t> </w:t>
      </w:r>
      <w:r>
        <w:rPr/>
        <w:t>PURCHASE</w:t>
      </w:r>
      <w:r>
        <w:rPr>
          <w:spacing w:val="-5"/>
        </w:rPr>
        <w:t> </w:t>
      </w:r>
      <w:r>
        <w:rPr/>
        <w:t>OF</w:t>
      </w:r>
      <w:r>
        <w:rPr>
          <w:spacing w:val="-5"/>
        </w:rPr>
        <w:t> </w:t>
      </w:r>
      <w:r>
        <w:rPr/>
        <w:t>EQUIPMENT,</w:t>
      </w:r>
      <w:r>
        <w:rPr>
          <w:spacing w:val="-4"/>
        </w:rPr>
        <w:t> </w:t>
      </w:r>
      <w:r>
        <w:rPr/>
        <w:t>OCCUPATIONAL</w:t>
      </w:r>
      <w:r>
        <w:rPr>
          <w:spacing w:val="-5"/>
        </w:rPr>
        <w:t> </w:t>
      </w:r>
      <w:r>
        <w:rPr/>
        <w:t>LICENSES</w:t>
      </w:r>
      <w:r>
        <w:rPr>
          <w:spacing w:val="-5"/>
        </w:rPr>
        <w:t> </w:t>
      </w:r>
      <w:r>
        <w:rPr/>
        <w:t>AND </w:t>
      </w:r>
      <w:r>
        <w:rPr>
          <w:spacing w:val="-2"/>
        </w:rPr>
        <w:t>CERTIFICATES</w:t>
      </w:r>
    </w:p>
    <w:p>
      <w:pPr>
        <w:pStyle w:val="BodyText"/>
        <w:spacing w:before="211"/>
        <w:ind w:left="359"/>
      </w:pPr>
      <w:r>
        <w:rPr>
          <w:spacing w:val="-2"/>
        </w:rPr>
        <w:t>Section</w:t>
      </w:r>
    </w:p>
    <w:p>
      <w:pPr>
        <w:pStyle w:val="BodyText"/>
        <w:tabs>
          <w:tab w:pos="2519" w:val="left" w:leader="none"/>
        </w:tabs>
        <w:spacing w:line="417" w:lineRule="auto" w:before="204"/>
        <w:ind w:left="359" w:right="1819"/>
      </w:pPr>
      <w:r>
        <w:rPr>
          <w:spacing w:val="-2"/>
        </w:rPr>
        <w:t>612:10-7-216.</w:t>
      </w:r>
      <w:r>
        <w:rPr/>
        <w:tab/>
        <w:t>Tools,</w:t>
      </w:r>
      <w:r>
        <w:rPr>
          <w:spacing w:val="-6"/>
        </w:rPr>
        <w:t> </w:t>
      </w:r>
      <w:r>
        <w:rPr/>
        <w:t>occupational</w:t>
      </w:r>
      <w:r>
        <w:rPr>
          <w:spacing w:val="-7"/>
        </w:rPr>
        <w:t> </w:t>
      </w:r>
      <w:r>
        <w:rPr/>
        <w:t>equipment,</w:t>
      </w:r>
      <w:r>
        <w:rPr>
          <w:spacing w:val="-6"/>
        </w:rPr>
        <w:t> </w:t>
      </w:r>
      <w:r>
        <w:rPr/>
        <w:t>initial</w:t>
      </w:r>
      <w:r>
        <w:rPr>
          <w:spacing w:val="-7"/>
        </w:rPr>
        <w:t> </w:t>
      </w:r>
      <w:r>
        <w:rPr/>
        <w:t>stocks</w:t>
      </w:r>
      <w:r>
        <w:rPr>
          <w:spacing w:val="-7"/>
        </w:rPr>
        <w:t> </w:t>
      </w:r>
      <w:r>
        <w:rPr/>
        <w:t>and</w:t>
      </w:r>
      <w:r>
        <w:rPr>
          <w:spacing w:val="-7"/>
        </w:rPr>
        <w:t> </w:t>
      </w:r>
      <w:r>
        <w:rPr/>
        <w:t>supplies </w:t>
      </w:r>
      <w:r>
        <w:rPr>
          <w:spacing w:val="-2"/>
        </w:rPr>
        <w:t>612:10-7-218.</w:t>
      </w:r>
      <w:r>
        <w:rPr/>
        <w:tab/>
        <w:t>Occupational licenses and certification</w:t>
      </w:r>
    </w:p>
    <w:p>
      <w:pPr>
        <w:pStyle w:val="BodyText"/>
        <w:tabs>
          <w:tab w:pos="2519" w:val="left" w:leader="none"/>
        </w:tabs>
        <w:spacing w:line="417" w:lineRule="auto" w:before="0"/>
        <w:ind w:left="359" w:right="4837"/>
      </w:pPr>
      <w:r>
        <w:rPr>
          <w:spacing w:val="-2"/>
        </w:rPr>
        <w:t>612:10-7-219.</w:t>
      </w:r>
      <w:r>
        <w:rPr/>
        <w:tab/>
        <w:t>Purchase of motor vehicles </w:t>
      </w:r>
      <w:r>
        <w:rPr>
          <w:spacing w:val="-2"/>
        </w:rPr>
        <w:t>612:10-7-220.</w:t>
      </w:r>
      <w:r>
        <w:rPr/>
        <w:tab/>
        <w:t>Vehicle</w:t>
      </w:r>
      <w:r>
        <w:rPr>
          <w:spacing w:val="-17"/>
        </w:rPr>
        <w:t> </w:t>
      </w:r>
      <w:r>
        <w:rPr/>
        <w:t>modification</w:t>
      </w:r>
      <w:r>
        <w:rPr>
          <w:spacing w:val="-17"/>
        </w:rPr>
        <w:t> </w:t>
      </w:r>
      <w:r>
        <w:rPr/>
        <w:t>services </w:t>
      </w:r>
      <w:r>
        <w:rPr>
          <w:spacing w:val="-2"/>
        </w:rPr>
        <w:t>612:10-7-221.</w:t>
      </w:r>
      <w:r>
        <w:rPr/>
        <w:tab/>
        <w:t>Housing Modification</w:t>
      </w:r>
    </w:p>
    <w:p>
      <w:pPr>
        <w:pStyle w:val="BodyText"/>
        <w:tabs>
          <w:tab w:pos="2519" w:val="left" w:leader="none"/>
        </w:tabs>
        <w:spacing w:line="208" w:lineRule="auto" w:before="28"/>
        <w:ind w:left="2520" w:right="1609" w:hanging="2160"/>
      </w:pPr>
      <w:r>
        <w:rPr>
          <w:spacing w:val="-2"/>
        </w:rPr>
        <w:t>612:10-7-222.</w:t>
      </w:r>
      <w:r>
        <w:rPr/>
        <w:tab/>
        <w:t>Rehabilitation</w:t>
      </w:r>
      <w:r>
        <w:rPr>
          <w:spacing w:val="-8"/>
        </w:rPr>
        <w:t> </w:t>
      </w:r>
      <w:r>
        <w:rPr/>
        <w:t>technology,</w:t>
      </w:r>
      <w:r>
        <w:rPr>
          <w:spacing w:val="-8"/>
        </w:rPr>
        <w:t> </w:t>
      </w:r>
      <w:r>
        <w:rPr/>
        <w:t>assistive</w:t>
      </w:r>
      <w:r>
        <w:rPr>
          <w:spacing w:val="-8"/>
        </w:rPr>
        <w:t> </w:t>
      </w:r>
      <w:r>
        <w:rPr/>
        <w:t>technology</w:t>
      </w:r>
      <w:r>
        <w:rPr>
          <w:spacing w:val="-8"/>
        </w:rPr>
        <w:t> </w:t>
      </w:r>
      <w:r>
        <w:rPr/>
        <w:t>devices</w:t>
      </w:r>
      <w:r>
        <w:rPr>
          <w:spacing w:val="-8"/>
        </w:rPr>
        <w:t> </w:t>
      </w:r>
      <w:r>
        <w:rPr/>
        <w:t>and assistive technology services</w:t>
      </w:r>
    </w:p>
    <w:p>
      <w:pPr>
        <w:pStyle w:val="Heading1"/>
        <w:spacing w:before="210"/>
        <w:ind w:right="778"/>
      </w:pPr>
      <w:r>
        <w:rPr/>
        <w:t>PART</w:t>
      </w:r>
      <w:r>
        <w:rPr>
          <w:spacing w:val="-4"/>
        </w:rPr>
        <w:t> </w:t>
      </w:r>
      <w:r>
        <w:rPr/>
        <w:t>23.</w:t>
      </w:r>
      <w:r>
        <w:rPr>
          <w:spacing w:val="59"/>
        </w:rPr>
        <w:t> </w:t>
      </w:r>
      <w:r>
        <w:rPr/>
        <w:t>SELF-EMPLOYMENT</w:t>
      </w:r>
      <w:r>
        <w:rPr>
          <w:spacing w:val="-2"/>
        </w:rPr>
        <w:t> </w:t>
      </w:r>
      <w:r>
        <w:rPr/>
        <w:t>PROGRAMS</w:t>
      </w:r>
      <w:r>
        <w:rPr>
          <w:spacing w:val="-3"/>
        </w:rPr>
        <w:t> </w:t>
      </w:r>
      <w:r>
        <w:rPr/>
        <w:t>AND</w:t>
      </w:r>
      <w:r>
        <w:rPr>
          <w:spacing w:val="-3"/>
        </w:rPr>
        <w:t> </w:t>
      </w:r>
      <w:r>
        <w:rPr/>
        <w:t>OTHER</w:t>
      </w:r>
      <w:r>
        <w:rPr>
          <w:spacing w:val="-2"/>
        </w:rPr>
        <w:t> SERVICES</w:t>
      </w:r>
    </w:p>
    <w:p>
      <w:pPr>
        <w:pStyle w:val="BodyText"/>
        <w:spacing w:before="204"/>
      </w:pPr>
      <w:r>
        <w:rPr>
          <w:spacing w:val="-2"/>
        </w:rPr>
        <w:t>Section</w:t>
      </w:r>
    </w:p>
    <w:p>
      <w:pPr>
        <w:pStyle w:val="BodyText"/>
        <w:tabs>
          <w:tab w:pos="2519" w:val="left" w:leader="none"/>
        </w:tabs>
        <w:spacing w:before="205"/>
      </w:pPr>
      <w:r>
        <w:rPr>
          <w:spacing w:val="-2"/>
        </w:rPr>
        <w:t>612:10-7-</w:t>
      </w:r>
      <w:r>
        <w:rPr>
          <w:spacing w:val="-4"/>
        </w:rPr>
        <w:t>230.</w:t>
      </w:r>
      <w:r>
        <w:rPr/>
        <w:tab/>
        <w:t>Self-employment</w:t>
      </w:r>
      <w:r>
        <w:rPr>
          <w:spacing w:val="-7"/>
        </w:rPr>
        <w:t> </w:t>
      </w:r>
      <w:r>
        <w:rPr>
          <w:spacing w:val="-2"/>
        </w:rPr>
        <w:t>programs</w:t>
      </w:r>
    </w:p>
    <w:p>
      <w:pPr>
        <w:pStyle w:val="BodyText"/>
        <w:tabs>
          <w:tab w:pos="2519" w:val="left" w:leader="none"/>
        </w:tabs>
        <w:spacing w:before="204"/>
      </w:pPr>
      <w:r>
        <w:rPr>
          <w:spacing w:val="-2"/>
        </w:rPr>
        <w:t>612:10-7-</w:t>
      </w:r>
      <w:r>
        <w:rPr>
          <w:spacing w:val="-4"/>
        </w:rPr>
        <w:t>232.</w:t>
      </w:r>
      <w:r>
        <w:rPr/>
        <w:tab/>
      </w:r>
      <w:r>
        <w:rPr>
          <w:spacing w:val="-2"/>
        </w:rPr>
        <w:t>Placement</w:t>
      </w:r>
    </w:p>
    <w:p>
      <w:pPr>
        <w:pStyle w:val="BodyText"/>
        <w:tabs>
          <w:tab w:pos="2519" w:val="left" w:leader="none"/>
        </w:tabs>
        <w:spacing w:line="208" w:lineRule="auto" w:before="233"/>
        <w:ind w:left="2520" w:right="821" w:hanging="2160"/>
      </w:pPr>
      <w:r>
        <w:rPr>
          <w:spacing w:val="-2"/>
        </w:rPr>
        <w:t>612:10-7-233.</w:t>
      </w:r>
      <w:r>
        <w:rPr/>
        <w:tab/>
        <w:t>Special</w:t>
      </w:r>
      <w:r>
        <w:rPr>
          <w:spacing w:val="-6"/>
        </w:rPr>
        <w:t> </w:t>
      </w:r>
      <w:r>
        <w:rPr/>
        <w:t>consideration</w:t>
      </w:r>
      <w:r>
        <w:rPr>
          <w:spacing w:val="-5"/>
        </w:rPr>
        <w:t> </w:t>
      </w:r>
      <w:r>
        <w:rPr/>
        <w:t>in</w:t>
      </w:r>
      <w:r>
        <w:rPr>
          <w:spacing w:val="-6"/>
        </w:rPr>
        <w:t> </w:t>
      </w:r>
      <w:r>
        <w:rPr/>
        <w:t>state</w:t>
      </w:r>
      <w:r>
        <w:rPr>
          <w:spacing w:val="-6"/>
        </w:rPr>
        <w:t> </w:t>
      </w:r>
      <w:r>
        <w:rPr/>
        <w:t>government</w:t>
      </w:r>
      <w:r>
        <w:rPr>
          <w:spacing w:val="-5"/>
        </w:rPr>
        <w:t> </w:t>
      </w:r>
      <w:r>
        <w:rPr/>
        <w:t>employment</w:t>
      </w:r>
      <w:r>
        <w:rPr>
          <w:spacing w:val="-5"/>
        </w:rPr>
        <w:t> </w:t>
      </w:r>
      <w:r>
        <w:rPr/>
        <w:t>for</w:t>
      </w:r>
      <w:r>
        <w:rPr>
          <w:spacing w:val="-5"/>
        </w:rPr>
        <w:t> </w:t>
      </w:r>
      <w:r>
        <w:rPr/>
        <w:t>persons with severe disabilities</w:t>
      </w:r>
    </w:p>
    <w:p>
      <w:pPr>
        <w:pStyle w:val="BodyText"/>
        <w:tabs>
          <w:tab w:pos="2519" w:val="left" w:leader="none"/>
        </w:tabs>
        <w:spacing w:line="417" w:lineRule="auto" w:before="210"/>
        <w:ind w:right="2956"/>
      </w:pPr>
      <w:r>
        <w:rPr>
          <w:spacing w:val="-2"/>
        </w:rPr>
        <w:t>612:10-7-234.</w:t>
      </w:r>
      <w:r>
        <w:rPr/>
        <w:tab/>
        <w:t>Computers</w:t>
      </w:r>
      <w:r>
        <w:rPr>
          <w:spacing w:val="-8"/>
        </w:rPr>
        <w:t> </w:t>
      </w:r>
      <w:r>
        <w:rPr/>
        <w:t>and</w:t>
      </w:r>
      <w:r>
        <w:rPr>
          <w:spacing w:val="-8"/>
        </w:rPr>
        <w:t> </w:t>
      </w:r>
      <w:r>
        <w:rPr/>
        <w:t>high</w:t>
      </w:r>
      <w:r>
        <w:rPr>
          <w:spacing w:val="-8"/>
        </w:rPr>
        <w:t> </w:t>
      </w:r>
      <w:r>
        <w:rPr/>
        <w:t>tech</w:t>
      </w:r>
      <w:r>
        <w:rPr>
          <w:spacing w:val="-8"/>
        </w:rPr>
        <w:t> </w:t>
      </w:r>
      <w:r>
        <w:rPr/>
        <w:t>electronic</w:t>
      </w:r>
      <w:r>
        <w:rPr>
          <w:spacing w:val="-8"/>
        </w:rPr>
        <w:t> </w:t>
      </w:r>
      <w:r>
        <w:rPr/>
        <w:t>equipment </w:t>
      </w:r>
      <w:r>
        <w:rPr>
          <w:spacing w:val="-2"/>
        </w:rPr>
        <w:t>612:10-7-235.</w:t>
      </w:r>
      <w:r>
        <w:rPr/>
        <w:tab/>
        <w:t>Support Services for Employment</w:t>
      </w:r>
    </w:p>
    <w:p>
      <w:pPr>
        <w:pStyle w:val="Heading1"/>
        <w:spacing w:line="276" w:lineRule="exact" w:before="0"/>
      </w:pPr>
      <w:r>
        <w:rPr/>
        <w:t>PART</w:t>
      </w:r>
      <w:r>
        <w:rPr>
          <w:spacing w:val="-3"/>
        </w:rPr>
        <w:t> </w:t>
      </w:r>
      <w:r>
        <w:rPr/>
        <w:t>25.</w:t>
      </w:r>
      <w:r>
        <w:rPr>
          <w:spacing w:val="62"/>
        </w:rPr>
        <w:t> </w:t>
      </w:r>
      <w:r>
        <w:rPr/>
        <w:t>TRANSITION</w:t>
      </w:r>
      <w:r>
        <w:rPr>
          <w:spacing w:val="-2"/>
        </w:rPr>
        <w:t> </w:t>
      </w:r>
      <w:r>
        <w:rPr/>
        <w:t>FROM</w:t>
      </w:r>
      <w:r>
        <w:rPr>
          <w:spacing w:val="-3"/>
        </w:rPr>
        <w:t> </w:t>
      </w:r>
      <w:r>
        <w:rPr/>
        <w:t>SCHOOL</w:t>
      </w:r>
      <w:r>
        <w:rPr>
          <w:spacing w:val="-1"/>
        </w:rPr>
        <w:t> </w:t>
      </w:r>
      <w:r>
        <w:rPr/>
        <w:t>TO</w:t>
      </w:r>
      <w:r>
        <w:rPr>
          <w:spacing w:val="-3"/>
        </w:rPr>
        <w:t> </w:t>
      </w:r>
      <w:r>
        <w:rPr/>
        <w:t>WORK</w:t>
      </w:r>
      <w:r>
        <w:rPr>
          <w:spacing w:val="-3"/>
        </w:rPr>
        <w:t> </w:t>
      </w:r>
      <w:r>
        <w:rPr>
          <w:spacing w:val="-2"/>
        </w:rPr>
        <w:t>PROGRAM</w:t>
      </w:r>
    </w:p>
    <w:p>
      <w:pPr>
        <w:pStyle w:val="Heading1"/>
        <w:spacing w:after="0" w:line="276" w:lineRule="exact"/>
        <w:sectPr>
          <w:pgSz w:w="12240" w:h="15840"/>
          <w:pgMar w:top="1340" w:bottom="280" w:left="1080" w:right="720"/>
        </w:sectPr>
      </w:pPr>
    </w:p>
    <w:p>
      <w:pPr>
        <w:pStyle w:val="BodyText"/>
        <w:spacing w:before="67"/>
      </w:pPr>
      <w:r>
        <w:rPr>
          <w:spacing w:val="-2"/>
        </w:rPr>
        <w:t>Section</w:t>
      </w:r>
    </w:p>
    <w:p>
      <w:pPr>
        <w:pStyle w:val="BodyText"/>
        <w:tabs>
          <w:tab w:pos="2519" w:val="left" w:leader="none"/>
        </w:tabs>
        <w:spacing w:line="417" w:lineRule="auto" w:before="204"/>
        <w:ind w:left="359" w:right="2517"/>
      </w:pPr>
      <w:r>
        <w:rPr>
          <w:spacing w:val="-2"/>
        </w:rPr>
        <w:t>612:10-7-240.</w:t>
      </w:r>
      <w:r>
        <w:rPr/>
        <w:tab/>
        <w:t>Overview</w:t>
      </w:r>
      <w:r>
        <w:rPr>
          <w:spacing w:val="-6"/>
        </w:rPr>
        <w:t> </w:t>
      </w:r>
      <w:r>
        <w:rPr/>
        <w:t>of</w:t>
      </w:r>
      <w:r>
        <w:rPr>
          <w:spacing w:val="-5"/>
        </w:rPr>
        <w:t> </w:t>
      </w:r>
      <w:r>
        <w:rPr/>
        <w:t>transition</w:t>
      </w:r>
      <w:r>
        <w:rPr>
          <w:spacing w:val="-6"/>
        </w:rPr>
        <w:t> </w:t>
      </w:r>
      <w:r>
        <w:rPr/>
        <w:t>from</w:t>
      </w:r>
      <w:r>
        <w:rPr>
          <w:spacing w:val="-5"/>
        </w:rPr>
        <w:t> </w:t>
      </w:r>
      <w:r>
        <w:rPr/>
        <w:t>school</w:t>
      </w:r>
      <w:r>
        <w:rPr>
          <w:spacing w:val="-6"/>
        </w:rPr>
        <w:t> </w:t>
      </w:r>
      <w:r>
        <w:rPr/>
        <w:t>to</w:t>
      </w:r>
      <w:r>
        <w:rPr>
          <w:spacing w:val="-6"/>
        </w:rPr>
        <w:t> </w:t>
      </w:r>
      <w:r>
        <w:rPr/>
        <w:t>work</w:t>
      </w:r>
      <w:r>
        <w:rPr>
          <w:spacing w:val="-6"/>
        </w:rPr>
        <w:t> </w:t>
      </w:r>
      <w:r>
        <w:rPr/>
        <w:t>services </w:t>
      </w:r>
      <w:r>
        <w:rPr>
          <w:spacing w:val="-2"/>
        </w:rPr>
        <w:t>612:10-7-241.</w:t>
      </w:r>
      <w:r>
        <w:rPr/>
        <w:tab/>
        <w:t>Subminimum wage for youth with disabilities </w:t>
      </w:r>
      <w:r>
        <w:rPr>
          <w:spacing w:val="-2"/>
        </w:rPr>
        <w:t>612:10-7-242.</w:t>
      </w:r>
      <w:r>
        <w:rPr/>
        <w:tab/>
        <w:t>Pre-Employment Transition Services</w:t>
      </w:r>
    </w:p>
    <w:p>
      <w:pPr>
        <w:pStyle w:val="BodyText"/>
        <w:tabs>
          <w:tab w:pos="2519" w:val="left" w:leader="none"/>
        </w:tabs>
        <w:spacing w:line="275" w:lineRule="exact" w:before="0"/>
        <w:ind w:left="359"/>
      </w:pPr>
      <w:r>
        <w:rPr>
          <w:spacing w:val="-2"/>
        </w:rPr>
        <w:t>612:10-7-</w:t>
      </w:r>
      <w:r>
        <w:rPr>
          <w:spacing w:val="-4"/>
        </w:rPr>
        <w:t>245.</w:t>
      </w:r>
      <w:r>
        <w:rPr/>
        <w:tab/>
      </w:r>
      <w:r>
        <w:rPr>
          <w:spacing w:val="-2"/>
        </w:rPr>
        <w:t>Definitions</w:t>
      </w:r>
    </w:p>
    <w:p>
      <w:pPr>
        <w:pStyle w:val="BodyText"/>
        <w:tabs>
          <w:tab w:pos="2519" w:val="left" w:leader="none"/>
        </w:tabs>
        <w:spacing w:line="417" w:lineRule="auto" w:before="204"/>
        <w:ind w:left="359" w:right="2955"/>
      </w:pPr>
      <w:r>
        <w:rPr>
          <w:spacing w:val="-2"/>
        </w:rPr>
        <w:t>612:10-7-246.</w:t>
      </w:r>
      <w:r>
        <w:rPr/>
        <w:tab/>
        <w:t>Cooperative</w:t>
      </w:r>
      <w:r>
        <w:rPr>
          <w:spacing w:val="-9"/>
        </w:rPr>
        <w:t> </w:t>
      </w:r>
      <w:r>
        <w:rPr/>
        <w:t>agreements</w:t>
      </w:r>
      <w:r>
        <w:rPr>
          <w:spacing w:val="-9"/>
        </w:rPr>
        <w:t> </w:t>
      </w:r>
      <w:r>
        <w:rPr/>
        <w:t>for</w:t>
      </w:r>
      <w:r>
        <w:rPr>
          <w:spacing w:val="-10"/>
        </w:rPr>
        <w:t> </w:t>
      </w:r>
      <w:r>
        <w:rPr/>
        <w:t>transition</w:t>
      </w:r>
      <w:r>
        <w:rPr>
          <w:spacing w:val="-9"/>
        </w:rPr>
        <w:t> </w:t>
      </w:r>
      <w:r>
        <w:rPr/>
        <w:t>services </w:t>
      </w:r>
      <w:r>
        <w:rPr>
          <w:spacing w:val="-2"/>
        </w:rPr>
        <w:t>612:10-7-247.</w:t>
      </w:r>
      <w:r>
        <w:rPr/>
        <w:tab/>
        <w:t>Confidentiality of records</w:t>
      </w:r>
    </w:p>
    <w:p>
      <w:pPr>
        <w:pStyle w:val="BodyText"/>
        <w:tabs>
          <w:tab w:pos="2519" w:val="left" w:leader="none"/>
        </w:tabs>
        <w:spacing w:line="208" w:lineRule="auto" w:before="28"/>
        <w:ind w:left="2519" w:right="2180" w:hanging="2160"/>
      </w:pPr>
      <w:r>
        <w:rPr>
          <w:spacing w:val="-2"/>
        </w:rPr>
        <w:t>612:10-7-248.</w:t>
      </w:r>
      <w:r>
        <w:rPr/>
        <w:tab/>
        <w:t>Coordination</w:t>
      </w:r>
      <w:r>
        <w:rPr>
          <w:spacing w:val="-8"/>
        </w:rPr>
        <w:t> </w:t>
      </w:r>
      <w:r>
        <w:rPr/>
        <w:t>of</w:t>
      </w:r>
      <w:r>
        <w:rPr>
          <w:spacing w:val="-7"/>
        </w:rPr>
        <w:t> </w:t>
      </w:r>
      <w:r>
        <w:rPr/>
        <w:t>Individualized</w:t>
      </w:r>
      <w:r>
        <w:rPr>
          <w:spacing w:val="-8"/>
        </w:rPr>
        <w:t> </w:t>
      </w:r>
      <w:r>
        <w:rPr/>
        <w:t>Education</w:t>
      </w:r>
      <w:r>
        <w:rPr>
          <w:spacing w:val="-8"/>
        </w:rPr>
        <w:t> </w:t>
      </w:r>
      <w:r>
        <w:rPr/>
        <w:t>Program</w:t>
      </w:r>
      <w:r>
        <w:rPr>
          <w:spacing w:val="-7"/>
        </w:rPr>
        <w:t> </w:t>
      </w:r>
      <w:r>
        <w:rPr/>
        <w:t>and Individualized Plan for Employment</w:t>
      </w:r>
    </w:p>
    <w:p>
      <w:pPr>
        <w:pStyle w:val="BodyText"/>
        <w:tabs>
          <w:tab w:pos="2519" w:val="left" w:leader="none"/>
        </w:tabs>
        <w:spacing w:line="208" w:lineRule="auto"/>
        <w:ind w:left="2519" w:right="1128" w:hanging="2160"/>
      </w:pPr>
      <w:r>
        <w:rPr>
          <w:spacing w:val="-2"/>
        </w:rPr>
        <w:t>612:10-7-250.</w:t>
      </w:r>
      <w:r>
        <w:rPr/>
        <w:tab/>
        <w:t>Reporting</w:t>
      </w:r>
      <w:r>
        <w:rPr>
          <w:spacing w:val="-5"/>
        </w:rPr>
        <w:t> </w:t>
      </w:r>
      <w:r>
        <w:rPr/>
        <w:t>Credential</w:t>
      </w:r>
      <w:r>
        <w:rPr>
          <w:spacing w:val="-6"/>
        </w:rPr>
        <w:t> </w:t>
      </w:r>
      <w:r>
        <w:rPr/>
        <w:t>Attainment</w:t>
      </w:r>
      <w:r>
        <w:rPr>
          <w:spacing w:val="-5"/>
        </w:rPr>
        <w:t> </w:t>
      </w:r>
      <w:r>
        <w:rPr/>
        <w:t>and</w:t>
      </w:r>
      <w:r>
        <w:rPr>
          <w:spacing w:val="-6"/>
        </w:rPr>
        <w:t> </w:t>
      </w:r>
      <w:r>
        <w:rPr/>
        <w:t>Skill</w:t>
      </w:r>
      <w:r>
        <w:rPr>
          <w:spacing w:val="-6"/>
        </w:rPr>
        <w:t> </w:t>
      </w:r>
      <w:r>
        <w:rPr/>
        <w:t>Gains</w:t>
      </w:r>
      <w:r>
        <w:rPr>
          <w:spacing w:val="-6"/>
        </w:rPr>
        <w:t> </w:t>
      </w:r>
      <w:r>
        <w:rPr/>
        <w:t>for</w:t>
      </w:r>
      <w:r>
        <w:rPr>
          <w:spacing w:val="-5"/>
        </w:rPr>
        <w:t> </w:t>
      </w:r>
      <w:r>
        <w:rPr/>
        <w:t>High</w:t>
      </w:r>
      <w:r>
        <w:rPr>
          <w:spacing w:val="-6"/>
        </w:rPr>
        <w:t> </w:t>
      </w:r>
      <w:r>
        <w:rPr/>
        <w:t>School Transition Students</w:t>
      </w:r>
    </w:p>
    <w:p>
      <w:pPr>
        <w:pStyle w:val="BodyText"/>
        <w:spacing w:before="0"/>
        <w:ind w:left="0"/>
      </w:pPr>
    </w:p>
    <w:p>
      <w:pPr>
        <w:pStyle w:val="BodyText"/>
        <w:spacing w:before="172"/>
        <w:ind w:left="0"/>
      </w:pPr>
    </w:p>
    <w:p>
      <w:pPr>
        <w:spacing w:before="0"/>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7-1-95</w:t>
      </w:r>
      <w:r>
        <w:rPr>
          <w:sz w:val="22"/>
        </w:rPr>
        <w:tab/>
        <w:t>PT Memo #95-2</w:t>
      </w:r>
    </w:p>
    <w:p>
      <w:pPr>
        <w:spacing w:before="1"/>
        <w:ind w:left="1439" w:right="1305" w:firstLine="0"/>
        <w:jc w:val="left"/>
        <w:rPr>
          <w:sz w:val="22"/>
        </w:rPr>
      </w:pPr>
      <w:r>
        <w:rPr>
          <w:sz w:val="22"/>
        </w:rPr>
        <w:t>Permanent,</w:t>
      </w:r>
      <w:r>
        <w:rPr>
          <w:spacing w:val="-4"/>
          <w:sz w:val="22"/>
        </w:rPr>
        <w:t> </w:t>
      </w:r>
      <w:r>
        <w:rPr>
          <w:sz w:val="22"/>
        </w:rPr>
        <w:t>added</w:t>
      </w:r>
      <w:r>
        <w:rPr>
          <w:spacing w:val="-5"/>
          <w:sz w:val="22"/>
        </w:rPr>
        <w:t> </w:t>
      </w:r>
      <w:r>
        <w:rPr>
          <w:sz w:val="22"/>
        </w:rPr>
        <w:t>new</w:t>
      </w:r>
      <w:r>
        <w:rPr>
          <w:spacing w:val="-6"/>
          <w:sz w:val="22"/>
        </w:rPr>
        <w:t> </w:t>
      </w:r>
      <w:r>
        <w:rPr>
          <w:sz w:val="22"/>
        </w:rPr>
        <w:t>section</w:t>
      </w:r>
      <w:r>
        <w:rPr>
          <w:spacing w:val="-5"/>
          <w:sz w:val="22"/>
        </w:rPr>
        <w:t> </w:t>
      </w:r>
      <w:r>
        <w:rPr>
          <w:sz w:val="22"/>
        </w:rPr>
        <w:t>numbers</w:t>
      </w:r>
      <w:r>
        <w:rPr>
          <w:spacing w:val="-5"/>
          <w:sz w:val="22"/>
        </w:rPr>
        <w:t> </w:t>
      </w:r>
      <w:r>
        <w:rPr>
          <w:sz w:val="22"/>
        </w:rPr>
        <w:t>and</w:t>
      </w:r>
      <w:r>
        <w:rPr>
          <w:spacing w:val="-5"/>
          <w:sz w:val="22"/>
        </w:rPr>
        <w:t> </w:t>
      </w:r>
      <w:r>
        <w:rPr>
          <w:sz w:val="22"/>
        </w:rPr>
        <w:t>taglines</w:t>
      </w:r>
      <w:r>
        <w:rPr>
          <w:spacing w:val="-5"/>
          <w:sz w:val="22"/>
        </w:rPr>
        <w:t> </w:t>
      </w:r>
      <w:r>
        <w:rPr>
          <w:sz w:val="22"/>
        </w:rPr>
        <w:t>for</w:t>
      </w:r>
      <w:r>
        <w:rPr>
          <w:spacing w:val="-5"/>
          <w:sz w:val="22"/>
        </w:rPr>
        <w:t> </w:t>
      </w:r>
      <w:r>
        <w:rPr>
          <w:sz w:val="22"/>
        </w:rPr>
        <w:t>612:10-7-244</w:t>
      </w:r>
      <w:r>
        <w:rPr>
          <w:spacing w:val="-5"/>
          <w:sz w:val="22"/>
        </w:rPr>
        <w:t> </w:t>
      </w:r>
      <w:r>
        <w:rPr>
          <w:sz w:val="22"/>
        </w:rPr>
        <w:t>through </w:t>
      </w:r>
      <w:r>
        <w:rPr>
          <w:spacing w:val="-2"/>
          <w:sz w:val="22"/>
        </w:rPr>
        <w:t>612:10-7-249</w:t>
      </w:r>
    </w:p>
    <w:p>
      <w:pPr>
        <w:pStyle w:val="ListParagraph"/>
        <w:numPr>
          <w:ilvl w:val="2"/>
          <w:numId w:val="85"/>
        </w:numPr>
        <w:tabs>
          <w:tab w:pos="1439" w:val="left" w:leader="none"/>
        </w:tabs>
        <w:spacing w:line="252"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#96-</w:t>
      </w:r>
      <w:r>
        <w:rPr>
          <w:spacing w:val="-10"/>
          <w:sz w:val="22"/>
        </w:rPr>
        <w:t>5</w:t>
      </w:r>
    </w:p>
    <w:p>
      <w:pPr>
        <w:tabs>
          <w:tab w:pos="1439" w:val="left" w:leader="none"/>
        </w:tabs>
        <w:spacing w:before="0"/>
        <w:ind w:left="359" w:right="3629" w:firstLine="1080"/>
        <w:jc w:val="left"/>
        <w:rPr>
          <w:sz w:val="22"/>
        </w:rPr>
      </w:pPr>
      <w:r>
        <w:rPr>
          <w:sz w:val="22"/>
        </w:rPr>
        <w:t>Permanent,</w:t>
      </w:r>
      <w:r>
        <w:rPr>
          <w:spacing w:val="-6"/>
          <w:sz w:val="22"/>
        </w:rPr>
        <w:t> </w:t>
      </w:r>
      <w:r>
        <w:rPr>
          <w:sz w:val="22"/>
        </w:rPr>
        <w:t>changed</w:t>
      </w:r>
      <w:r>
        <w:rPr>
          <w:spacing w:val="-7"/>
          <w:sz w:val="22"/>
        </w:rPr>
        <w:t> </w:t>
      </w:r>
      <w:r>
        <w:rPr>
          <w:sz w:val="22"/>
        </w:rPr>
        <w:t>tagline</w:t>
      </w:r>
      <w:r>
        <w:rPr>
          <w:spacing w:val="-7"/>
          <w:sz w:val="22"/>
        </w:rPr>
        <w:t> </w:t>
      </w:r>
      <w:r>
        <w:rPr>
          <w:sz w:val="22"/>
        </w:rPr>
        <w:t>to</w:t>
      </w:r>
      <w:r>
        <w:rPr>
          <w:spacing w:val="-7"/>
          <w:sz w:val="22"/>
        </w:rPr>
        <w:t> </w:t>
      </w:r>
      <w:r>
        <w:rPr>
          <w:sz w:val="22"/>
        </w:rPr>
        <w:t>section</w:t>
      </w:r>
      <w:r>
        <w:rPr>
          <w:spacing w:val="-7"/>
          <w:sz w:val="22"/>
        </w:rPr>
        <w:t> </w:t>
      </w:r>
      <w:r>
        <w:rPr>
          <w:sz w:val="22"/>
        </w:rPr>
        <w:t>to</w:t>
      </w:r>
      <w:r>
        <w:rPr>
          <w:spacing w:val="-7"/>
          <w:sz w:val="22"/>
        </w:rPr>
        <w:t> </w:t>
      </w:r>
      <w:r>
        <w:rPr>
          <w:sz w:val="22"/>
        </w:rPr>
        <w:t>612:10-7-233 </w:t>
      </w:r>
      <w:r>
        <w:rPr>
          <w:spacing w:val="-2"/>
          <w:sz w:val="22"/>
        </w:rPr>
        <w:t>3-1-97</w:t>
      </w:r>
      <w:r>
        <w:rPr>
          <w:sz w:val="22"/>
        </w:rPr>
        <w:tab/>
        <w:t>PT Memo #97-5</w:t>
      </w:r>
    </w:p>
    <w:p>
      <w:pPr>
        <w:tabs>
          <w:tab w:pos="1439" w:val="left" w:leader="none"/>
        </w:tabs>
        <w:spacing w:before="0"/>
        <w:ind w:left="359" w:right="718" w:firstLine="1080"/>
        <w:jc w:val="left"/>
        <w:rPr>
          <w:sz w:val="22"/>
        </w:rPr>
      </w:pPr>
      <w:r>
        <w:rPr>
          <w:sz w:val="22"/>
        </w:rPr>
        <w:t>Emergency,</w:t>
      </w:r>
      <w:r>
        <w:rPr>
          <w:spacing w:val="-5"/>
          <w:sz w:val="22"/>
        </w:rPr>
        <w:t> </w:t>
      </w:r>
      <w:r>
        <w:rPr>
          <w:sz w:val="22"/>
        </w:rPr>
        <w:t>changed</w:t>
      </w:r>
      <w:r>
        <w:rPr>
          <w:spacing w:val="-5"/>
          <w:sz w:val="22"/>
        </w:rPr>
        <w:t> </w:t>
      </w:r>
      <w:r>
        <w:rPr>
          <w:sz w:val="22"/>
        </w:rPr>
        <w:t>tagline</w:t>
      </w:r>
      <w:r>
        <w:rPr>
          <w:spacing w:val="-5"/>
          <w:sz w:val="22"/>
        </w:rPr>
        <w:t> </w:t>
      </w:r>
      <w:r>
        <w:rPr>
          <w:sz w:val="22"/>
        </w:rPr>
        <w:t>for</w:t>
      </w:r>
      <w:r>
        <w:rPr>
          <w:spacing w:val="-5"/>
          <w:sz w:val="22"/>
        </w:rPr>
        <w:t> </w:t>
      </w:r>
      <w:r>
        <w:rPr>
          <w:sz w:val="22"/>
        </w:rPr>
        <w:t>612:10-7-120</w:t>
      </w:r>
      <w:r>
        <w:rPr>
          <w:spacing w:val="-5"/>
          <w:sz w:val="22"/>
        </w:rPr>
        <w:t> </w:t>
      </w:r>
      <w:r>
        <w:rPr>
          <w:sz w:val="22"/>
        </w:rPr>
        <w:t>and</w:t>
      </w:r>
      <w:r>
        <w:rPr>
          <w:spacing w:val="-5"/>
          <w:sz w:val="22"/>
        </w:rPr>
        <w:t> </w:t>
      </w:r>
      <w:r>
        <w:rPr>
          <w:sz w:val="22"/>
        </w:rPr>
        <w:t>corrected</w:t>
      </w:r>
      <w:r>
        <w:rPr>
          <w:spacing w:val="-5"/>
          <w:sz w:val="22"/>
        </w:rPr>
        <w:t> </w:t>
      </w:r>
      <w:r>
        <w:rPr>
          <w:sz w:val="22"/>
        </w:rPr>
        <w:t>tagline</w:t>
      </w:r>
      <w:r>
        <w:rPr>
          <w:spacing w:val="-5"/>
          <w:sz w:val="22"/>
        </w:rPr>
        <w:t> </w:t>
      </w:r>
      <w:r>
        <w:rPr>
          <w:sz w:val="22"/>
        </w:rPr>
        <w:t>for</w:t>
      </w:r>
      <w:r>
        <w:rPr>
          <w:spacing w:val="-5"/>
          <w:sz w:val="22"/>
        </w:rPr>
        <w:t> </w:t>
      </w:r>
      <w:r>
        <w:rPr>
          <w:sz w:val="22"/>
        </w:rPr>
        <w:t>612:10-7-234 </w:t>
      </w:r>
      <w:r>
        <w:rPr>
          <w:spacing w:val="-2"/>
          <w:sz w:val="22"/>
        </w:rPr>
        <w:t>7-1-97</w:t>
      </w:r>
      <w:r>
        <w:rPr>
          <w:sz w:val="22"/>
        </w:rPr>
        <w:tab/>
        <w:t>PT Memo #97-9</w:t>
      </w:r>
    </w:p>
    <w:p>
      <w:pPr>
        <w:spacing w:before="0"/>
        <w:ind w:left="1439" w:right="775" w:firstLine="0"/>
        <w:jc w:val="left"/>
        <w:rPr>
          <w:sz w:val="22"/>
        </w:rPr>
      </w:pPr>
      <w:r>
        <w:rPr>
          <w:sz w:val="22"/>
        </w:rPr>
        <w:t>Permanent,</w:t>
      </w:r>
      <w:r>
        <w:rPr>
          <w:spacing w:val="-4"/>
          <w:sz w:val="22"/>
        </w:rPr>
        <w:t> </w:t>
      </w:r>
      <w:r>
        <w:rPr>
          <w:sz w:val="22"/>
        </w:rPr>
        <w:t>removed</w:t>
      </w:r>
      <w:r>
        <w:rPr>
          <w:spacing w:val="-5"/>
          <w:sz w:val="22"/>
        </w:rPr>
        <w:t> </w:t>
      </w:r>
      <w:r>
        <w:rPr>
          <w:sz w:val="22"/>
        </w:rPr>
        <w:t>listing</w:t>
      </w:r>
      <w:r>
        <w:rPr>
          <w:spacing w:val="-5"/>
          <w:sz w:val="22"/>
        </w:rPr>
        <w:t> </w:t>
      </w:r>
      <w:r>
        <w:rPr>
          <w:sz w:val="22"/>
        </w:rPr>
        <w:t>for</w:t>
      </w:r>
      <w:r>
        <w:rPr>
          <w:spacing w:val="-5"/>
          <w:sz w:val="22"/>
        </w:rPr>
        <w:t> </w:t>
      </w:r>
      <w:r>
        <w:rPr>
          <w:sz w:val="22"/>
        </w:rPr>
        <w:t>revoked</w:t>
      </w:r>
      <w:r>
        <w:rPr>
          <w:spacing w:val="-5"/>
          <w:sz w:val="22"/>
        </w:rPr>
        <w:t> </w:t>
      </w:r>
      <w:r>
        <w:rPr>
          <w:sz w:val="22"/>
        </w:rPr>
        <w:t>section</w:t>
      </w:r>
      <w:r>
        <w:rPr>
          <w:spacing w:val="-5"/>
          <w:sz w:val="22"/>
        </w:rPr>
        <w:t> </w:t>
      </w:r>
      <w:r>
        <w:rPr>
          <w:sz w:val="22"/>
        </w:rPr>
        <w:t>612:10-7-9,</w:t>
      </w:r>
      <w:r>
        <w:rPr>
          <w:spacing w:val="-5"/>
          <w:sz w:val="22"/>
        </w:rPr>
        <w:t> </w:t>
      </w:r>
      <w:r>
        <w:rPr>
          <w:sz w:val="22"/>
        </w:rPr>
        <w:t>supersedes</w:t>
      </w:r>
      <w:r>
        <w:rPr>
          <w:spacing w:val="-5"/>
          <w:sz w:val="22"/>
        </w:rPr>
        <w:t> </w:t>
      </w:r>
      <w:r>
        <w:rPr>
          <w:sz w:val="22"/>
        </w:rPr>
        <w:t>emergency rules effective 3-1-97</w:t>
      </w:r>
    </w:p>
    <w:p>
      <w:pPr>
        <w:tabs>
          <w:tab w:pos="1439" w:val="left" w:leader="none"/>
        </w:tabs>
        <w:spacing w:before="0"/>
        <w:ind w:left="359" w:right="0" w:firstLine="0"/>
        <w:jc w:val="left"/>
        <w:rPr>
          <w:sz w:val="22"/>
        </w:rPr>
      </w:pPr>
      <w:r>
        <w:rPr>
          <w:spacing w:val="-2"/>
          <w:sz w:val="22"/>
        </w:rPr>
        <w:t>10-1-</w:t>
      </w:r>
      <w:r>
        <w:rPr>
          <w:spacing w:val="-5"/>
          <w:sz w:val="22"/>
        </w:rPr>
        <w:t>97</w:t>
      </w:r>
      <w:r>
        <w:rPr>
          <w:sz w:val="22"/>
        </w:rPr>
        <w:tab/>
        <w:t>PT</w:t>
      </w:r>
      <w:r>
        <w:rPr>
          <w:spacing w:val="-8"/>
          <w:sz w:val="22"/>
        </w:rPr>
        <w:t> </w:t>
      </w:r>
      <w:r>
        <w:rPr>
          <w:sz w:val="22"/>
        </w:rPr>
        <w:t>Memo</w:t>
      </w:r>
      <w:r>
        <w:rPr>
          <w:spacing w:val="-8"/>
          <w:sz w:val="22"/>
        </w:rPr>
        <w:t> </w:t>
      </w:r>
      <w:r>
        <w:rPr>
          <w:sz w:val="22"/>
        </w:rPr>
        <w:t>#98-</w:t>
      </w:r>
      <w:r>
        <w:rPr>
          <w:spacing w:val="-10"/>
          <w:sz w:val="22"/>
        </w:rPr>
        <w:t>4</w:t>
      </w:r>
    </w:p>
    <w:p>
      <w:pPr>
        <w:spacing w:before="0"/>
        <w:ind w:left="1439" w:right="775" w:firstLine="0"/>
        <w:jc w:val="left"/>
        <w:rPr>
          <w:sz w:val="22"/>
        </w:rPr>
      </w:pPr>
      <w:r>
        <w:rPr>
          <w:sz w:val="22"/>
        </w:rPr>
        <w:t>Emergency,</w:t>
      </w:r>
      <w:r>
        <w:rPr>
          <w:spacing w:val="-5"/>
          <w:sz w:val="22"/>
        </w:rPr>
        <w:t> </w:t>
      </w:r>
      <w:r>
        <w:rPr>
          <w:sz w:val="22"/>
        </w:rPr>
        <w:t>removed</w:t>
      </w:r>
      <w:r>
        <w:rPr>
          <w:spacing w:val="-5"/>
          <w:sz w:val="22"/>
        </w:rPr>
        <w:t> </w:t>
      </w:r>
      <w:r>
        <w:rPr>
          <w:sz w:val="22"/>
        </w:rPr>
        <w:t>listing</w:t>
      </w:r>
      <w:r>
        <w:rPr>
          <w:spacing w:val="-5"/>
          <w:sz w:val="22"/>
        </w:rPr>
        <w:t> </w:t>
      </w:r>
      <w:r>
        <w:rPr>
          <w:sz w:val="22"/>
        </w:rPr>
        <w:t>for</w:t>
      </w:r>
      <w:r>
        <w:rPr>
          <w:spacing w:val="-5"/>
          <w:sz w:val="22"/>
        </w:rPr>
        <w:t> </w:t>
      </w:r>
      <w:r>
        <w:rPr>
          <w:sz w:val="22"/>
        </w:rPr>
        <w:t>revoked</w:t>
      </w:r>
      <w:r>
        <w:rPr>
          <w:spacing w:val="-5"/>
          <w:sz w:val="22"/>
        </w:rPr>
        <w:t> </w:t>
      </w:r>
      <w:r>
        <w:rPr>
          <w:sz w:val="22"/>
        </w:rPr>
        <w:t>section</w:t>
      </w:r>
      <w:r>
        <w:rPr>
          <w:spacing w:val="-6"/>
          <w:sz w:val="22"/>
        </w:rPr>
        <w:t> </w:t>
      </w:r>
      <w:r>
        <w:rPr>
          <w:sz w:val="22"/>
        </w:rPr>
        <w:t>612:10-7-46,</w:t>
      </w:r>
      <w:r>
        <w:rPr>
          <w:spacing w:val="-5"/>
          <w:sz w:val="22"/>
        </w:rPr>
        <w:t> </w:t>
      </w:r>
      <w:r>
        <w:rPr>
          <w:sz w:val="22"/>
        </w:rPr>
        <w:t>updated</w:t>
      </w:r>
      <w:r>
        <w:rPr>
          <w:spacing w:val="-5"/>
          <w:sz w:val="22"/>
        </w:rPr>
        <w:t> </w:t>
      </w:r>
      <w:r>
        <w:rPr>
          <w:sz w:val="22"/>
        </w:rPr>
        <w:t>tagline</w:t>
      </w:r>
      <w:r>
        <w:rPr>
          <w:spacing w:val="-5"/>
          <w:sz w:val="22"/>
        </w:rPr>
        <w:t> </w:t>
      </w:r>
      <w:r>
        <w:rPr>
          <w:sz w:val="22"/>
        </w:rPr>
        <w:t>for section 612:10-7-195</w:t>
      </w:r>
    </w:p>
    <w:p>
      <w:pPr>
        <w:pStyle w:val="ListParagraph"/>
        <w:numPr>
          <w:ilvl w:val="2"/>
          <w:numId w:val="86"/>
        </w:numPr>
        <w:tabs>
          <w:tab w:pos="1439" w:val="left" w:leader="none"/>
        </w:tabs>
        <w:spacing w:line="252"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#98-</w:t>
      </w:r>
      <w:r>
        <w:rPr>
          <w:spacing w:val="-5"/>
          <w:sz w:val="22"/>
        </w:rPr>
        <w:t>15</w:t>
      </w:r>
    </w:p>
    <w:p>
      <w:pPr>
        <w:spacing w:before="1"/>
        <w:ind w:left="1439" w:right="1036" w:firstLine="0"/>
        <w:jc w:val="left"/>
        <w:rPr>
          <w:sz w:val="22"/>
        </w:rPr>
      </w:pPr>
      <w:r>
        <w:rPr>
          <w:sz w:val="22"/>
        </w:rPr>
        <w:t>Permanent,</w:t>
      </w:r>
      <w:r>
        <w:rPr>
          <w:spacing w:val="-4"/>
          <w:sz w:val="22"/>
        </w:rPr>
        <w:t> </w:t>
      </w:r>
      <w:r>
        <w:rPr>
          <w:sz w:val="22"/>
        </w:rPr>
        <w:t>removed</w:t>
      </w:r>
      <w:r>
        <w:rPr>
          <w:spacing w:val="-5"/>
          <w:sz w:val="22"/>
        </w:rPr>
        <w:t> </w:t>
      </w:r>
      <w:r>
        <w:rPr>
          <w:sz w:val="22"/>
        </w:rPr>
        <w:t>revoked</w:t>
      </w:r>
      <w:r>
        <w:rPr>
          <w:spacing w:val="-5"/>
          <w:sz w:val="22"/>
        </w:rPr>
        <w:t> </w:t>
      </w:r>
      <w:r>
        <w:rPr>
          <w:sz w:val="22"/>
        </w:rPr>
        <w:t>Sections;</w:t>
      </w:r>
      <w:r>
        <w:rPr>
          <w:spacing w:val="-5"/>
          <w:sz w:val="22"/>
        </w:rPr>
        <w:t> </w:t>
      </w:r>
      <w:r>
        <w:rPr>
          <w:sz w:val="22"/>
        </w:rPr>
        <w:t>amended</w:t>
      </w:r>
      <w:r>
        <w:rPr>
          <w:spacing w:val="-5"/>
          <w:sz w:val="22"/>
        </w:rPr>
        <w:t> </w:t>
      </w:r>
      <w:r>
        <w:rPr>
          <w:sz w:val="22"/>
        </w:rPr>
        <w:t>tagline</w:t>
      </w:r>
      <w:r>
        <w:rPr>
          <w:spacing w:val="-5"/>
          <w:sz w:val="22"/>
        </w:rPr>
        <w:t> </w:t>
      </w:r>
      <w:r>
        <w:rPr>
          <w:sz w:val="22"/>
        </w:rPr>
        <w:t>for</w:t>
      </w:r>
      <w:r>
        <w:rPr>
          <w:spacing w:val="-7"/>
          <w:sz w:val="22"/>
        </w:rPr>
        <w:t> </w:t>
      </w:r>
      <w:r>
        <w:rPr>
          <w:sz w:val="22"/>
        </w:rPr>
        <w:t>Section</w:t>
      </w:r>
      <w:r>
        <w:rPr>
          <w:spacing w:val="-5"/>
          <w:sz w:val="22"/>
        </w:rPr>
        <w:t> </w:t>
      </w:r>
      <w:r>
        <w:rPr>
          <w:sz w:val="22"/>
        </w:rPr>
        <w:t>612:10-7-49 and 612:10-7-195</w:t>
      </w:r>
    </w:p>
    <w:p>
      <w:pPr>
        <w:tabs>
          <w:tab w:pos="1439" w:val="left" w:leader="none"/>
        </w:tabs>
        <w:spacing w:before="0"/>
        <w:ind w:left="359" w:right="0" w:firstLine="0"/>
        <w:jc w:val="left"/>
        <w:rPr>
          <w:sz w:val="22"/>
        </w:rPr>
      </w:pPr>
      <w:r>
        <w:rPr>
          <w:spacing w:val="-2"/>
          <w:sz w:val="22"/>
        </w:rPr>
        <w:t>6-14-</w:t>
      </w:r>
      <w:r>
        <w:rPr>
          <w:spacing w:val="-5"/>
          <w:sz w:val="22"/>
        </w:rPr>
        <w:t>99</w:t>
      </w:r>
      <w:r>
        <w:rPr>
          <w:sz w:val="22"/>
        </w:rPr>
        <w:tab/>
        <w:t>POL</w:t>
      </w:r>
      <w:r>
        <w:rPr>
          <w:spacing w:val="-9"/>
          <w:sz w:val="22"/>
        </w:rPr>
        <w:t> </w:t>
      </w:r>
      <w:r>
        <w:rPr>
          <w:sz w:val="22"/>
        </w:rPr>
        <w:t>Memo</w:t>
      </w:r>
      <w:r>
        <w:rPr>
          <w:spacing w:val="-8"/>
          <w:sz w:val="22"/>
        </w:rPr>
        <w:t> </w:t>
      </w:r>
      <w:r>
        <w:rPr>
          <w:sz w:val="22"/>
        </w:rPr>
        <w:t>#99-</w:t>
      </w:r>
      <w:r>
        <w:rPr>
          <w:spacing w:val="-10"/>
          <w:sz w:val="22"/>
        </w:rPr>
        <w:t>7</w:t>
      </w:r>
    </w:p>
    <w:p>
      <w:pPr>
        <w:spacing w:before="0"/>
        <w:ind w:left="1439" w:right="775" w:firstLine="0"/>
        <w:jc w:val="left"/>
        <w:rPr>
          <w:sz w:val="22"/>
        </w:rPr>
      </w:pPr>
      <w:r>
        <w:rPr>
          <w:sz w:val="22"/>
        </w:rPr>
        <w:t>Emergency,</w:t>
      </w:r>
      <w:r>
        <w:rPr>
          <w:spacing w:val="-5"/>
          <w:sz w:val="22"/>
        </w:rPr>
        <w:t> </w:t>
      </w:r>
      <w:r>
        <w:rPr>
          <w:sz w:val="22"/>
        </w:rPr>
        <w:t>removed</w:t>
      </w:r>
      <w:r>
        <w:rPr>
          <w:spacing w:val="-5"/>
          <w:sz w:val="22"/>
        </w:rPr>
        <w:t> </w:t>
      </w:r>
      <w:r>
        <w:rPr>
          <w:sz w:val="22"/>
        </w:rPr>
        <w:t>listings</w:t>
      </w:r>
      <w:r>
        <w:rPr>
          <w:spacing w:val="-5"/>
          <w:sz w:val="22"/>
        </w:rPr>
        <w:t> </w:t>
      </w:r>
      <w:r>
        <w:rPr>
          <w:sz w:val="22"/>
        </w:rPr>
        <w:t>for</w:t>
      </w:r>
      <w:r>
        <w:rPr>
          <w:spacing w:val="-5"/>
          <w:sz w:val="22"/>
        </w:rPr>
        <w:t> </w:t>
      </w:r>
      <w:r>
        <w:rPr>
          <w:sz w:val="22"/>
        </w:rPr>
        <w:t>revoked</w:t>
      </w:r>
      <w:r>
        <w:rPr>
          <w:spacing w:val="-5"/>
          <w:sz w:val="22"/>
        </w:rPr>
        <w:t> </w:t>
      </w:r>
      <w:r>
        <w:rPr>
          <w:sz w:val="22"/>
        </w:rPr>
        <w:t>Sections</w:t>
      </w:r>
      <w:r>
        <w:rPr>
          <w:spacing w:val="-5"/>
          <w:sz w:val="22"/>
        </w:rPr>
        <w:t> </w:t>
      </w:r>
      <w:r>
        <w:rPr>
          <w:sz w:val="22"/>
        </w:rPr>
        <w:t>612:10-7-10</w:t>
      </w:r>
      <w:r>
        <w:rPr>
          <w:spacing w:val="-5"/>
          <w:sz w:val="22"/>
        </w:rPr>
        <w:t> </w:t>
      </w:r>
      <w:r>
        <w:rPr>
          <w:sz w:val="22"/>
        </w:rPr>
        <w:t>and</w:t>
      </w:r>
      <w:r>
        <w:rPr>
          <w:spacing w:val="-5"/>
          <w:sz w:val="22"/>
        </w:rPr>
        <w:t> </w:t>
      </w:r>
      <w:r>
        <w:rPr>
          <w:sz w:val="22"/>
        </w:rPr>
        <w:t>612:10-7-21; amended several section taglines</w:t>
      </w:r>
    </w:p>
    <w:p>
      <w:pPr>
        <w:pStyle w:val="ListParagraph"/>
        <w:numPr>
          <w:ilvl w:val="2"/>
          <w:numId w:val="86"/>
        </w:numPr>
        <w:tabs>
          <w:tab w:pos="1439" w:val="left" w:leader="none"/>
        </w:tabs>
        <w:spacing w:line="252" w:lineRule="exact" w:before="0" w:after="0"/>
        <w:ind w:left="1439" w:right="0" w:hanging="1080"/>
        <w:jc w:val="left"/>
        <w:rPr>
          <w:sz w:val="22"/>
        </w:rPr>
      </w:pPr>
      <w:r>
        <w:rPr>
          <w:sz w:val="22"/>
        </w:rPr>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7-1-01</w:t>
      </w:r>
      <w:r>
        <w:rPr>
          <w:sz w:val="22"/>
        </w:rPr>
        <w:tab/>
        <w:t>PT Memo #01-08</w:t>
      </w:r>
    </w:p>
    <w:p>
      <w:pPr>
        <w:tabs>
          <w:tab w:pos="1439" w:val="left" w:leader="none"/>
        </w:tabs>
        <w:spacing w:before="1"/>
        <w:ind w:left="359" w:right="5478" w:firstLine="1080"/>
        <w:jc w:val="left"/>
        <w:rPr>
          <w:sz w:val="22"/>
        </w:rPr>
      </w:pPr>
      <w:r>
        <w:rPr>
          <w:sz w:val="22"/>
        </w:rPr>
        <w:t>Corrected</w:t>
      </w:r>
      <w:r>
        <w:rPr>
          <w:spacing w:val="-8"/>
          <w:sz w:val="22"/>
        </w:rPr>
        <w:t> </w:t>
      </w:r>
      <w:r>
        <w:rPr>
          <w:sz w:val="22"/>
        </w:rPr>
        <w:t>tagline</w:t>
      </w:r>
      <w:r>
        <w:rPr>
          <w:spacing w:val="-8"/>
          <w:sz w:val="22"/>
        </w:rPr>
        <w:t> </w:t>
      </w:r>
      <w:r>
        <w:rPr>
          <w:sz w:val="22"/>
        </w:rPr>
        <w:t>to</w:t>
      </w:r>
      <w:r>
        <w:rPr>
          <w:spacing w:val="-8"/>
          <w:sz w:val="22"/>
        </w:rPr>
        <w:t> </w:t>
      </w:r>
      <w:r>
        <w:rPr>
          <w:sz w:val="22"/>
        </w:rPr>
        <w:t>conform</w:t>
      </w:r>
      <w:r>
        <w:rPr>
          <w:spacing w:val="-9"/>
          <w:sz w:val="22"/>
        </w:rPr>
        <w:t> </w:t>
      </w:r>
      <w:r>
        <w:rPr>
          <w:sz w:val="22"/>
        </w:rPr>
        <w:t>to</w:t>
      </w:r>
      <w:r>
        <w:rPr>
          <w:spacing w:val="-8"/>
          <w:sz w:val="22"/>
        </w:rPr>
        <w:t> </w:t>
      </w:r>
      <w:r>
        <w:rPr>
          <w:sz w:val="22"/>
        </w:rPr>
        <w:t>APA </w:t>
      </w:r>
      <w:r>
        <w:rPr>
          <w:spacing w:val="-2"/>
          <w:sz w:val="22"/>
        </w:rPr>
        <w:t>7-1-03</w:t>
      </w:r>
      <w:r>
        <w:rPr>
          <w:sz w:val="22"/>
        </w:rPr>
        <w:tab/>
        <w:t>PT Memo #04-01</w:t>
      </w:r>
    </w:p>
    <w:p>
      <w:pPr>
        <w:spacing w:line="252" w:lineRule="exact" w:before="0"/>
        <w:ind w:left="1438" w:right="0" w:firstLine="0"/>
        <w:jc w:val="left"/>
        <w:rPr>
          <w:sz w:val="22"/>
        </w:rPr>
      </w:pPr>
      <w:r>
        <w:rPr>
          <w:sz w:val="22"/>
        </w:rPr>
        <w:t>Added</w:t>
      </w:r>
      <w:r>
        <w:rPr>
          <w:spacing w:val="-7"/>
          <w:sz w:val="22"/>
        </w:rPr>
        <w:t> </w:t>
      </w:r>
      <w:r>
        <w:rPr>
          <w:sz w:val="22"/>
        </w:rPr>
        <w:t>new</w:t>
      </w:r>
      <w:r>
        <w:rPr>
          <w:spacing w:val="-7"/>
          <w:sz w:val="22"/>
        </w:rPr>
        <w:t> </w:t>
      </w:r>
      <w:r>
        <w:rPr>
          <w:sz w:val="22"/>
        </w:rPr>
        <w:t>sections</w:t>
      </w:r>
      <w:r>
        <w:rPr>
          <w:spacing w:val="-8"/>
          <w:sz w:val="22"/>
        </w:rPr>
        <w:t> </w:t>
      </w:r>
      <w:r>
        <w:rPr>
          <w:sz w:val="22"/>
        </w:rPr>
        <w:t>612:10-7-186,</w:t>
      </w:r>
      <w:r>
        <w:rPr>
          <w:spacing w:val="-6"/>
          <w:sz w:val="22"/>
        </w:rPr>
        <w:t> </w:t>
      </w:r>
      <w:r>
        <w:rPr>
          <w:sz w:val="22"/>
        </w:rPr>
        <w:t>187</w:t>
      </w:r>
      <w:r>
        <w:rPr>
          <w:spacing w:val="-6"/>
          <w:sz w:val="22"/>
        </w:rPr>
        <w:t> </w:t>
      </w:r>
      <w:r>
        <w:rPr>
          <w:sz w:val="22"/>
        </w:rPr>
        <w:t>&amp;</w:t>
      </w:r>
      <w:r>
        <w:rPr>
          <w:spacing w:val="-7"/>
          <w:sz w:val="22"/>
        </w:rPr>
        <w:t> </w:t>
      </w:r>
      <w:r>
        <w:rPr>
          <w:spacing w:val="-5"/>
          <w:sz w:val="22"/>
        </w:rPr>
        <w:t>188</w:t>
      </w:r>
    </w:p>
    <w:p>
      <w:pPr>
        <w:spacing w:after="0" w:line="252" w:lineRule="exact"/>
        <w:jc w:val="left"/>
        <w:rPr>
          <w:sz w:val="22"/>
        </w:rPr>
        <w:sectPr>
          <w:pgSz w:w="12240" w:h="15840"/>
          <w:pgMar w:top="1340" w:bottom="280" w:left="1080" w:right="720"/>
        </w:sectPr>
      </w:pPr>
    </w:p>
    <w:p>
      <w:pPr>
        <w:pStyle w:val="ListParagraph"/>
        <w:numPr>
          <w:ilvl w:val="2"/>
          <w:numId w:val="82"/>
        </w:numPr>
        <w:tabs>
          <w:tab w:pos="1439" w:val="left" w:leader="none"/>
        </w:tabs>
        <w:spacing w:line="240" w:lineRule="auto" w:before="80" w:after="0"/>
        <w:ind w:left="1439" w:right="0" w:hanging="1079"/>
        <w:jc w:val="left"/>
        <w:rPr>
          <w:sz w:val="22"/>
        </w:rPr>
      </w:pPr>
      <w:r>
        <w:rPr>
          <w:sz w:val="22"/>
        </w:rPr>
        <w:t>PT</w:t>
      </w:r>
      <w:r>
        <w:rPr>
          <w:spacing w:val="-8"/>
          <w:sz w:val="22"/>
        </w:rPr>
        <w:t> </w:t>
      </w:r>
      <w:r>
        <w:rPr>
          <w:sz w:val="22"/>
        </w:rPr>
        <w:t>Memo</w:t>
      </w:r>
      <w:r>
        <w:rPr>
          <w:spacing w:val="-8"/>
          <w:sz w:val="22"/>
        </w:rPr>
        <w:t> </w:t>
      </w:r>
      <w:r>
        <w:rPr>
          <w:sz w:val="22"/>
        </w:rPr>
        <w:t>#05-</w:t>
      </w:r>
      <w:r>
        <w:rPr>
          <w:spacing w:val="-5"/>
          <w:sz w:val="22"/>
        </w:rPr>
        <w:t>01</w:t>
      </w:r>
    </w:p>
    <w:p>
      <w:pPr>
        <w:tabs>
          <w:tab w:pos="1439" w:val="left" w:leader="none"/>
        </w:tabs>
        <w:spacing w:before="0"/>
        <w:ind w:left="359" w:right="5964" w:firstLine="1080"/>
        <w:jc w:val="left"/>
        <w:rPr>
          <w:sz w:val="22"/>
        </w:rPr>
      </w:pPr>
      <w:r>
        <w:rPr>
          <w:sz w:val="22"/>
        </w:rPr>
        <w:t>Permanent,</w:t>
      </w:r>
      <w:r>
        <w:rPr>
          <w:spacing w:val="-12"/>
          <w:sz w:val="22"/>
        </w:rPr>
        <w:t> </w:t>
      </w:r>
      <w:r>
        <w:rPr>
          <w:sz w:val="22"/>
        </w:rPr>
        <w:t>7</w:t>
      </w:r>
      <w:r>
        <w:rPr>
          <w:spacing w:val="-13"/>
          <w:sz w:val="22"/>
        </w:rPr>
        <w:t> </w:t>
      </w:r>
      <w:r>
        <w:rPr>
          <w:sz w:val="22"/>
        </w:rPr>
        <w:t>sections</w:t>
      </w:r>
      <w:r>
        <w:rPr>
          <w:spacing w:val="-13"/>
          <w:sz w:val="22"/>
        </w:rPr>
        <w:t> </w:t>
      </w:r>
      <w:r>
        <w:rPr>
          <w:sz w:val="22"/>
        </w:rPr>
        <w:t>revoked </w:t>
      </w:r>
      <w:r>
        <w:rPr>
          <w:spacing w:val="-2"/>
          <w:sz w:val="22"/>
        </w:rPr>
        <w:t>7-1-05</w:t>
      </w:r>
      <w:r>
        <w:rPr>
          <w:sz w:val="22"/>
        </w:rPr>
        <w:tab/>
        <w:t>PT Memo #06-01</w:t>
      </w:r>
    </w:p>
    <w:p>
      <w:pPr>
        <w:spacing w:line="252" w:lineRule="exact" w:before="0"/>
        <w:ind w:left="1439" w:right="0" w:firstLine="0"/>
        <w:jc w:val="left"/>
        <w:rPr>
          <w:sz w:val="22"/>
        </w:rPr>
      </w:pPr>
      <w:r>
        <w:rPr>
          <w:sz w:val="22"/>
        </w:rPr>
        <w:t>Permanent,</w:t>
      </w:r>
      <w:r>
        <w:rPr>
          <w:spacing w:val="-6"/>
          <w:sz w:val="22"/>
        </w:rPr>
        <w:t> </w:t>
      </w:r>
      <w:r>
        <w:rPr>
          <w:sz w:val="22"/>
        </w:rPr>
        <w:t>revoked</w:t>
      </w:r>
      <w:r>
        <w:rPr>
          <w:spacing w:val="-7"/>
          <w:sz w:val="22"/>
        </w:rPr>
        <w:t> </w:t>
      </w:r>
      <w:r>
        <w:rPr>
          <w:sz w:val="22"/>
        </w:rPr>
        <w:t>section</w:t>
      </w:r>
      <w:r>
        <w:rPr>
          <w:spacing w:val="-7"/>
          <w:sz w:val="22"/>
        </w:rPr>
        <w:t> </w:t>
      </w:r>
      <w:r>
        <w:rPr>
          <w:sz w:val="22"/>
        </w:rPr>
        <w:t>155</w:t>
      </w:r>
      <w:r>
        <w:rPr>
          <w:spacing w:val="-7"/>
          <w:sz w:val="22"/>
        </w:rPr>
        <w:t> </w:t>
      </w:r>
      <w:r>
        <w:rPr>
          <w:sz w:val="22"/>
        </w:rPr>
        <w:t>blended</w:t>
      </w:r>
      <w:r>
        <w:rPr>
          <w:spacing w:val="-6"/>
          <w:sz w:val="22"/>
        </w:rPr>
        <w:t> </w:t>
      </w:r>
      <w:r>
        <w:rPr>
          <w:sz w:val="22"/>
        </w:rPr>
        <w:t>in</w:t>
      </w:r>
      <w:r>
        <w:rPr>
          <w:spacing w:val="-7"/>
          <w:sz w:val="22"/>
        </w:rPr>
        <w:t> </w:t>
      </w:r>
      <w:r>
        <w:rPr>
          <w:sz w:val="22"/>
        </w:rPr>
        <w:t>to</w:t>
      </w:r>
      <w:r>
        <w:rPr>
          <w:spacing w:val="-7"/>
          <w:sz w:val="22"/>
        </w:rPr>
        <w:t> </w:t>
      </w:r>
      <w:r>
        <w:rPr>
          <w:sz w:val="22"/>
        </w:rPr>
        <w:t>section</w:t>
      </w:r>
      <w:r>
        <w:rPr>
          <w:spacing w:val="-7"/>
          <w:sz w:val="22"/>
        </w:rPr>
        <w:t> </w:t>
      </w:r>
      <w:r>
        <w:rPr>
          <w:sz w:val="22"/>
        </w:rPr>
        <w:t>165</w:t>
      </w:r>
      <w:r>
        <w:rPr>
          <w:spacing w:val="-7"/>
          <w:sz w:val="22"/>
        </w:rPr>
        <w:t> </w:t>
      </w:r>
      <w:r>
        <w:rPr>
          <w:sz w:val="22"/>
        </w:rPr>
        <w:t>Distance</w:t>
      </w:r>
      <w:r>
        <w:rPr>
          <w:spacing w:val="-7"/>
          <w:sz w:val="22"/>
        </w:rPr>
        <w:t> </w:t>
      </w:r>
      <w:r>
        <w:rPr>
          <w:spacing w:val="-2"/>
          <w:sz w:val="22"/>
        </w:rPr>
        <w:t>Education.</w:t>
      </w:r>
    </w:p>
    <w:p>
      <w:pPr>
        <w:tabs>
          <w:tab w:pos="1439" w:val="left" w:leader="none"/>
          <w:tab w:pos="6840"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 in Subchapter 7, Part 1 and tagline</w:t>
        <w:tab/>
      </w:r>
      <w:r>
        <w:rPr>
          <w:spacing w:val="-2"/>
          <w:sz w:val="22"/>
        </w:rPr>
        <w:t>610:10-7-1.</w:t>
      </w:r>
    </w:p>
    <w:p>
      <w:pPr>
        <w:tabs>
          <w:tab w:pos="1440" w:val="left" w:leader="none"/>
        </w:tabs>
        <w:spacing w:before="1"/>
        <w:ind w:left="1440"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 in Subchapter 7, Part 1 and tagline 610:10-7-1.</w:t>
      </w:r>
    </w:p>
    <w:p>
      <w:pPr>
        <w:spacing w:before="0"/>
        <w:ind w:left="1440" w:right="1673" w:firstLine="0"/>
        <w:jc w:val="left"/>
        <w:rPr>
          <w:sz w:val="22"/>
        </w:rPr>
      </w:pPr>
      <w:r>
        <w:rPr>
          <w:sz w:val="22"/>
        </w:rPr>
        <w:t>Addition</w:t>
      </w:r>
      <w:r>
        <w:rPr>
          <w:spacing w:val="-5"/>
          <w:sz w:val="22"/>
        </w:rPr>
        <w:t> </w:t>
      </w:r>
      <w:r>
        <w:rPr>
          <w:sz w:val="22"/>
        </w:rPr>
        <w:t>of</w:t>
      </w:r>
      <w:r>
        <w:rPr>
          <w:spacing w:val="-5"/>
          <w:sz w:val="22"/>
        </w:rPr>
        <w:t> </w:t>
      </w:r>
      <w:r>
        <w:rPr>
          <w:sz w:val="22"/>
        </w:rPr>
        <w:t>new</w:t>
      </w:r>
      <w:r>
        <w:rPr>
          <w:spacing w:val="-6"/>
          <w:sz w:val="22"/>
        </w:rPr>
        <w:t> </w:t>
      </w:r>
      <w:r>
        <w:rPr>
          <w:sz w:val="22"/>
        </w:rPr>
        <w:t>policy</w:t>
      </w:r>
      <w:r>
        <w:rPr>
          <w:spacing w:val="-5"/>
          <w:sz w:val="22"/>
        </w:rPr>
        <w:t> </w:t>
      </w:r>
      <w:r>
        <w:rPr>
          <w:sz w:val="22"/>
        </w:rPr>
        <w:t>612:10-7-170,</w:t>
      </w:r>
      <w:r>
        <w:rPr>
          <w:spacing w:val="-5"/>
          <w:sz w:val="22"/>
        </w:rPr>
        <w:t> </w:t>
      </w:r>
      <w:r>
        <w:rPr>
          <w:sz w:val="22"/>
        </w:rPr>
        <w:t>Work</w:t>
      </w:r>
      <w:r>
        <w:rPr>
          <w:spacing w:val="-5"/>
          <w:sz w:val="22"/>
        </w:rPr>
        <w:t> </w:t>
      </w:r>
      <w:r>
        <w:rPr>
          <w:sz w:val="22"/>
        </w:rPr>
        <w:t>experience,</w:t>
      </w:r>
      <w:r>
        <w:rPr>
          <w:spacing w:val="-5"/>
          <w:sz w:val="22"/>
        </w:rPr>
        <w:t> </w:t>
      </w:r>
      <w:r>
        <w:rPr>
          <w:sz w:val="22"/>
        </w:rPr>
        <w:t>internship</w:t>
      </w:r>
      <w:r>
        <w:rPr>
          <w:spacing w:val="-5"/>
          <w:sz w:val="22"/>
        </w:rPr>
        <w:t> </w:t>
      </w:r>
      <w:r>
        <w:rPr>
          <w:sz w:val="22"/>
        </w:rPr>
        <w:t>and </w:t>
      </w:r>
      <w:r>
        <w:rPr>
          <w:spacing w:val="-2"/>
          <w:sz w:val="22"/>
        </w:rPr>
        <w:t>apprenticeship.</w:t>
      </w:r>
    </w:p>
    <w:p>
      <w:pPr>
        <w:pStyle w:val="BodyText"/>
        <w:tabs>
          <w:tab w:pos="1439" w:val="left" w:leader="none"/>
        </w:tabs>
        <w:spacing w:before="0"/>
        <w:ind w:left="1440" w:right="888" w:hanging="1080"/>
      </w:pPr>
      <w:r>
        <w:rPr>
          <w:spacing w:val="-2"/>
        </w:rPr>
        <w:t>8-1-19</w:t>
      </w:r>
      <w:r>
        <w:rPr/>
        <w:tab/>
        <w:t>Updated to include new rules: 612:10-7-241 Subminimum Wage for Youth with</w:t>
      </w:r>
      <w:r>
        <w:rPr>
          <w:spacing w:val="-7"/>
        </w:rPr>
        <w:t> </w:t>
      </w:r>
      <w:r>
        <w:rPr/>
        <w:t>Disabilities,</w:t>
      </w:r>
      <w:r>
        <w:rPr>
          <w:spacing w:val="-6"/>
        </w:rPr>
        <w:t> </w:t>
      </w:r>
      <w:r>
        <w:rPr/>
        <w:t>612:10-7-242</w:t>
      </w:r>
      <w:r>
        <w:rPr>
          <w:spacing w:val="-7"/>
        </w:rPr>
        <w:t> </w:t>
      </w:r>
      <w:r>
        <w:rPr/>
        <w:t>Pre-Employment</w:t>
      </w:r>
      <w:r>
        <w:rPr>
          <w:spacing w:val="-6"/>
        </w:rPr>
        <w:t> </w:t>
      </w:r>
      <w:r>
        <w:rPr/>
        <w:t>Transition</w:t>
      </w:r>
      <w:r>
        <w:rPr>
          <w:spacing w:val="-7"/>
        </w:rPr>
        <w:t> </w:t>
      </w:r>
      <w:r>
        <w:rPr/>
        <w:t>Services,</w:t>
      </w:r>
      <w:r>
        <w:rPr>
          <w:spacing w:val="-6"/>
        </w:rPr>
        <w:t> </w:t>
      </w:r>
      <w:r>
        <w:rPr/>
        <w:t>612:10- 7-244 Overview of transition from school to work services</w:t>
      </w:r>
    </w:p>
    <w:p>
      <w:pPr>
        <w:tabs>
          <w:tab w:pos="1439" w:val="left" w:leader="none"/>
        </w:tabs>
        <w:spacing w:before="0"/>
        <w:ind w:left="1439" w:right="13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to</w:t>
      </w:r>
      <w:r>
        <w:rPr>
          <w:spacing w:val="-4"/>
          <w:sz w:val="22"/>
        </w:rPr>
        <w:t> </w:t>
      </w:r>
      <w:r>
        <w:rPr>
          <w:sz w:val="22"/>
        </w:rPr>
        <w:t>Services</w:t>
      </w:r>
      <w:r>
        <w:rPr>
          <w:spacing w:val="-3"/>
          <w:sz w:val="22"/>
        </w:rPr>
        <w:t> </w:t>
      </w:r>
      <w:r>
        <w:rPr>
          <w:sz w:val="22"/>
        </w:rPr>
        <w:t>for</w:t>
      </w:r>
      <w:r>
        <w:rPr>
          <w:spacing w:val="-4"/>
          <w:sz w:val="22"/>
        </w:rPr>
        <w:t> </w:t>
      </w:r>
      <w:r>
        <w:rPr>
          <w:sz w:val="22"/>
        </w:rPr>
        <w:t>the</w:t>
      </w:r>
      <w:r>
        <w:rPr>
          <w:spacing w:val="-4"/>
          <w:sz w:val="22"/>
        </w:rPr>
        <w:t> </w:t>
      </w:r>
      <w:r>
        <w:rPr>
          <w:sz w:val="22"/>
        </w:rPr>
        <w:t>Blind</w:t>
      </w:r>
      <w:r>
        <w:rPr>
          <w:spacing w:val="-3"/>
          <w:sz w:val="22"/>
        </w:rPr>
        <w:t> </w:t>
      </w:r>
      <w:r>
        <w:rPr>
          <w:sz w:val="22"/>
        </w:rPr>
        <w:t>and</w:t>
      </w:r>
      <w:r>
        <w:rPr>
          <w:spacing w:val="-3"/>
          <w:sz w:val="22"/>
        </w:rPr>
        <w:t> </w:t>
      </w:r>
      <w:r>
        <w:rPr>
          <w:sz w:val="22"/>
        </w:rPr>
        <w:t>Visually </w:t>
      </w:r>
      <w:r>
        <w:rPr>
          <w:spacing w:val="-2"/>
          <w:sz w:val="22"/>
        </w:rPr>
        <w:t>Impaired.</w:t>
      </w:r>
    </w:p>
    <w:p>
      <w:pPr>
        <w:tabs>
          <w:tab w:pos="1439" w:val="left" w:leader="none"/>
        </w:tabs>
        <w:spacing w:before="0"/>
        <w:ind w:left="1439" w:right="1538" w:hanging="1080"/>
        <w:jc w:val="left"/>
        <w:rPr>
          <w:sz w:val="22"/>
        </w:rPr>
      </w:pPr>
      <w:r>
        <w:rPr>
          <w:spacing w:val="-2"/>
          <w:sz w:val="22"/>
        </w:rPr>
        <w:t>8-26-21</w:t>
      </w:r>
      <w:r>
        <w:rPr>
          <w:sz w:val="22"/>
        </w:rPr>
        <w:tab/>
        <w:t>Rule</w:t>
      </w:r>
      <w:r>
        <w:rPr>
          <w:spacing w:val="-5"/>
          <w:sz w:val="22"/>
        </w:rPr>
        <w:t> </w:t>
      </w:r>
      <w:r>
        <w:rPr>
          <w:sz w:val="22"/>
        </w:rPr>
        <w:t>name</w:t>
      </w:r>
      <w:r>
        <w:rPr>
          <w:spacing w:val="-5"/>
          <w:sz w:val="22"/>
        </w:rPr>
        <w:t> </w:t>
      </w:r>
      <w:r>
        <w:rPr>
          <w:sz w:val="22"/>
        </w:rPr>
        <w:t>change</w:t>
      </w:r>
      <w:r>
        <w:rPr>
          <w:spacing w:val="-5"/>
          <w:sz w:val="22"/>
        </w:rPr>
        <w:t> </w:t>
      </w:r>
      <w:r>
        <w:rPr>
          <w:sz w:val="22"/>
        </w:rPr>
        <w:t>in</w:t>
      </w:r>
      <w:r>
        <w:rPr>
          <w:spacing w:val="-5"/>
          <w:sz w:val="22"/>
        </w:rPr>
        <w:t> </w:t>
      </w:r>
      <w:r>
        <w:rPr>
          <w:sz w:val="22"/>
        </w:rPr>
        <w:t>612:10-7-22.1</w:t>
      </w:r>
      <w:r>
        <w:rPr>
          <w:spacing w:val="-5"/>
          <w:sz w:val="22"/>
        </w:rPr>
        <w:t> </w:t>
      </w:r>
      <w:r>
        <w:rPr>
          <w:sz w:val="22"/>
        </w:rPr>
        <w:t>'Application'</w:t>
      </w:r>
      <w:r>
        <w:rPr>
          <w:spacing w:val="-5"/>
          <w:sz w:val="22"/>
        </w:rPr>
        <w:t> </w:t>
      </w:r>
      <w:r>
        <w:rPr>
          <w:sz w:val="22"/>
        </w:rPr>
        <w:t>to</w:t>
      </w:r>
      <w:r>
        <w:rPr>
          <w:spacing w:val="-5"/>
          <w:sz w:val="22"/>
        </w:rPr>
        <w:t> </w:t>
      </w:r>
      <w:r>
        <w:rPr>
          <w:sz w:val="22"/>
        </w:rPr>
        <w:t>'Processing</w:t>
      </w:r>
      <w:r>
        <w:rPr>
          <w:spacing w:val="-5"/>
          <w:sz w:val="22"/>
        </w:rPr>
        <w:t> </w:t>
      </w:r>
      <w:r>
        <w:rPr>
          <w:sz w:val="22"/>
        </w:rPr>
        <w:t>referrals</w:t>
      </w:r>
      <w:r>
        <w:rPr>
          <w:spacing w:val="-5"/>
          <w:sz w:val="22"/>
        </w:rPr>
        <w:t> </w:t>
      </w:r>
      <w:r>
        <w:rPr>
          <w:sz w:val="22"/>
        </w:rPr>
        <w:t>and </w:t>
      </w:r>
      <w:r>
        <w:rPr>
          <w:spacing w:val="-2"/>
          <w:sz w:val="22"/>
        </w:rPr>
        <w:t>applications'.</w:t>
      </w:r>
    </w:p>
    <w:p>
      <w:pPr>
        <w:spacing w:before="0"/>
        <w:ind w:left="1439" w:right="775" w:firstLine="0"/>
        <w:jc w:val="left"/>
        <w:rPr>
          <w:sz w:val="22"/>
        </w:rPr>
      </w:pPr>
      <w:r>
        <w:rPr>
          <w:sz w:val="22"/>
        </w:rPr>
        <w:t>Rule</w:t>
      </w:r>
      <w:r>
        <w:rPr>
          <w:spacing w:val="-3"/>
          <w:sz w:val="22"/>
        </w:rPr>
        <w:t> </w:t>
      </w:r>
      <w:r>
        <w:rPr>
          <w:sz w:val="22"/>
        </w:rPr>
        <w:t>name</w:t>
      </w:r>
      <w:r>
        <w:rPr>
          <w:spacing w:val="-3"/>
          <w:sz w:val="22"/>
        </w:rPr>
        <w:t> </w:t>
      </w:r>
      <w:r>
        <w:rPr>
          <w:sz w:val="22"/>
        </w:rPr>
        <w:t>change</w:t>
      </w:r>
      <w:r>
        <w:rPr>
          <w:spacing w:val="-3"/>
          <w:sz w:val="22"/>
        </w:rPr>
        <w:t> </w:t>
      </w:r>
      <w:r>
        <w:rPr>
          <w:sz w:val="22"/>
        </w:rPr>
        <w:t>in</w:t>
      </w:r>
      <w:r>
        <w:rPr>
          <w:spacing w:val="-3"/>
          <w:sz w:val="22"/>
        </w:rPr>
        <w:t> </w:t>
      </w:r>
      <w:r>
        <w:rPr>
          <w:sz w:val="22"/>
        </w:rPr>
        <w:t>612:10-7-25.1</w:t>
      </w:r>
      <w:r>
        <w:rPr>
          <w:spacing w:val="-3"/>
          <w:sz w:val="22"/>
        </w:rPr>
        <w:t> </w:t>
      </w:r>
      <w:r>
        <w:rPr>
          <w:sz w:val="22"/>
        </w:rPr>
        <w:t>'Order</w:t>
      </w:r>
      <w:r>
        <w:rPr>
          <w:spacing w:val="-3"/>
          <w:sz w:val="22"/>
        </w:rPr>
        <w:t> </w:t>
      </w:r>
      <w:r>
        <w:rPr>
          <w:sz w:val="22"/>
        </w:rPr>
        <w:t>of</w:t>
      </w:r>
      <w:r>
        <w:rPr>
          <w:spacing w:val="-3"/>
          <w:sz w:val="22"/>
        </w:rPr>
        <w:t> </w:t>
      </w:r>
      <w:r>
        <w:rPr>
          <w:sz w:val="22"/>
        </w:rPr>
        <w:t>selection'</w:t>
      </w:r>
      <w:r>
        <w:rPr>
          <w:spacing w:val="-3"/>
          <w:sz w:val="22"/>
        </w:rPr>
        <w:t> </w:t>
      </w:r>
      <w:r>
        <w:rPr>
          <w:sz w:val="22"/>
        </w:rPr>
        <w:t>to</w:t>
      </w:r>
      <w:r>
        <w:rPr>
          <w:spacing w:val="-3"/>
          <w:sz w:val="22"/>
        </w:rPr>
        <w:t> </w:t>
      </w:r>
      <w:r>
        <w:rPr>
          <w:sz w:val="22"/>
        </w:rPr>
        <w:t>'Ability</w:t>
      </w:r>
      <w:r>
        <w:rPr>
          <w:spacing w:val="-3"/>
          <w:sz w:val="22"/>
        </w:rPr>
        <w:t> </w:t>
      </w:r>
      <w:r>
        <w:rPr>
          <w:sz w:val="22"/>
        </w:rPr>
        <w:t>to</w:t>
      </w:r>
      <w:r>
        <w:rPr>
          <w:spacing w:val="-4"/>
          <w:sz w:val="22"/>
        </w:rPr>
        <w:t> </w:t>
      </w:r>
      <w:r>
        <w:rPr>
          <w:sz w:val="22"/>
        </w:rPr>
        <w:t>serve</w:t>
      </w:r>
      <w:r>
        <w:rPr>
          <w:spacing w:val="-3"/>
          <w:sz w:val="22"/>
        </w:rPr>
        <w:t> </w:t>
      </w:r>
      <w:r>
        <w:rPr>
          <w:sz w:val="22"/>
        </w:rPr>
        <w:t>all</w:t>
      </w:r>
      <w:r>
        <w:rPr>
          <w:spacing w:val="-3"/>
          <w:sz w:val="22"/>
        </w:rPr>
        <w:t> </w:t>
      </w:r>
      <w:r>
        <w:rPr>
          <w:sz w:val="22"/>
        </w:rPr>
        <w:t>eligible individuals; order of selection for services'.</w:t>
      </w:r>
    </w:p>
    <w:p>
      <w:pPr>
        <w:spacing w:before="0"/>
        <w:ind w:left="1439" w:right="775" w:firstLine="0"/>
        <w:jc w:val="left"/>
        <w:rPr>
          <w:sz w:val="22"/>
        </w:rPr>
      </w:pPr>
      <w:r>
        <w:rPr>
          <w:sz w:val="22"/>
        </w:rPr>
        <w:t>Rule</w:t>
      </w:r>
      <w:r>
        <w:rPr>
          <w:spacing w:val="-3"/>
          <w:sz w:val="22"/>
        </w:rPr>
        <w:t> </w:t>
      </w:r>
      <w:r>
        <w:rPr>
          <w:sz w:val="22"/>
        </w:rPr>
        <w:t>name</w:t>
      </w:r>
      <w:r>
        <w:rPr>
          <w:spacing w:val="-3"/>
          <w:sz w:val="22"/>
        </w:rPr>
        <w:t> </w:t>
      </w:r>
      <w:r>
        <w:rPr>
          <w:sz w:val="22"/>
        </w:rPr>
        <w:t>change</w:t>
      </w:r>
      <w:r>
        <w:rPr>
          <w:spacing w:val="-3"/>
          <w:sz w:val="22"/>
        </w:rPr>
        <w:t> </w:t>
      </w:r>
      <w:r>
        <w:rPr>
          <w:sz w:val="22"/>
        </w:rPr>
        <w:t>in</w:t>
      </w:r>
      <w:r>
        <w:rPr>
          <w:spacing w:val="-3"/>
          <w:sz w:val="22"/>
        </w:rPr>
        <w:t> </w:t>
      </w:r>
      <w:r>
        <w:rPr>
          <w:sz w:val="22"/>
        </w:rPr>
        <w:t>612:10-7-45</w:t>
      </w:r>
      <w:r>
        <w:rPr>
          <w:spacing w:val="-3"/>
          <w:sz w:val="22"/>
        </w:rPr>
        <w:t> </w:t>
      </w:r>
      <w:r>
        <w:rPr>
          <w:sz w:val="22"/>
        </w:rPr>
        <w:t>'Case</w:t>
      </w:r>
      <w:r>
        <w:rPr>
          <w:spacing w:val="-3"/>
          <w:sz w:val="22"/>
        </w:rPr>
        <w:t> </w:t>
      </w:r>
      <w:r>
        <w:rPr>
          <w:sz w:val="22"/>
        </w:rPr>
        <w:t>statuses</w:t>
      </w:r>
      <w:r>
        <w:rPr>
          <w:spacing w:val="-3"/>
          <w:sz w:val="22"/>
        </w:rPr>
        <w:t> </w:t>
      </w:r>
      <w:r>
        <w:rPr>
          <w:sz w:val="22"/>
        </w:rPr>
        <w:t>and</w:t>
      </w:r>
      <w:r>
        <w:rPr>
          <w:spacing w:val="-3"/>
          <w:sz w:val="22"/>
        </w:rPr>
        <w:t> </w:t>
      </w:r>
      <w:r>
        <w:rPr>
          <w:sz w:val="22"/>
        </w:rPr>
        <w:t>case</w:t>
      </w:r>
      <w:r>
        <w:rPr>
          <w:spacing w:val="-4"/>
          <w:sz w:val="22"/>
        </w:rPr>
        <w:t> </w:t>
      </w:r>
      <w:r>
        <w:rPr>
          <w:sz w:val="22"/>
        </w:rPr>
        <w:t>flow'</w:t>
      </w:r>
      <w:r>
        <w:rPr>
          <w:spacing w:val="-3"/>
          <w:sz w:val="22"/>
        </w:rPr>
        <w:t> </w:t>
      </w:r>
      <w:r>
        <w:rPr>
          <w:sz w:val="22"/>
        </w:rPr>
        <w:t>to</w:t>
      </w:r>
      <w:r>
        <w:rPr>
          <w:spacing w:val="-3"/>
          <w:sz w:val="22"/>
        </w:rPr>
        <w:t> </w:t>
      </w:r>
      <w:r>
        <w:rPr>
          <w:sz w:val="22"/>
        </w:rPr>
        <w:t>'Electronic</w:t>
      </w:r>
      <w:r>
        <w:rPr>
          <w:spacing w:val="-3"/>
          <w:sz w:val="22"/>
        </w:rPr>
        <w:t> </w:t>
      </w:r>
      <w:r>
        <w:rPr>
          <w:sz w:val="22"/>
        </w:rPr>
        <w:t>Case Management System Progression'</w:t>
      </w:r>
    </w:p>
    <w:p>
      <w:pPr>
        <w:spacing w:before="0"/>
        <w:ind w:left="1439" w:right="775" w:firstLine="0"/>
        <w:jc w:val="left"/>
        <w:rPr>
          <w:sz w:val="24"/>
        </w:rPr>
      </w:pPr>
      <w:r>
        <w:rPr>
          <w:sz w:val="22"/>
        </w:rPr>
        <w:t>Rule</w:t>
      </w:r>
      <w:r>
        <w:rPr>
          <w:spacing w:val="-4"/>
          <w:sz w:val="22"/>
        </w:rPr>
        <w:t> </w:t>
      </w:r>
      <w:r>
        <w:rPr>
          <w:sz w:val="22"/>
        </w:rPr>
        <w:t>name</w:t>
      </w:r>
      <w:r>
        <w:rPr>
          <w:spacing w:val="-4"/>
          <w:sz w:val="22"/>
        </w:rPr>
        <w:t> </w:t>
      </w:r>
      <w:r>
        <w:rPr>
          <w:sz w:val="22"/>
        </w:rPr>
        <w:t>change</w:t>
      </w:r>
      <w:r>
        <w:rPr>
          <w:spacing w:val="-4"/>
          <w:sz w:val="22"/>
        </w:rPr>
        <w:t> </w:t>
      </w:r>
      <w:r>
        <w:rPr>
          <w:sz w:val="22"/>
        </w:rPr>
        <w:t>in</w:t>
      </w:r>
      <w:r>
        <w:rPr>
          <w:spacing w:val="-4"/>
          <w:sz w:val="22"/>
        </w:rPr>
        <w:t> </w:t>
      </w:r>
      <w:r>
        <w:rPr>
          <w:sz w:val="22"/>
        </w:rPr>
        <w:t>612:10-7-52</w:t>
      </w:r>
      <w:r>
        <w:rPr>
          <w:spacing w:val="-4"/>
          <w:sz w:val="22"/>
        </w:rPr>
        <w:t> </w:t>
      </w:r>
      <w:r>
        <w:rPr>
          <w:sz w:val="24"/>
        </w:rPr>
        <w:t>'</w:t>
      </w:r>
      <w:r>
        <w:rPr>
          <w:sz w:val="22"/>
        </w:rPr>
        <w:t>Provision</w:t>
      </w:r>
      <w:r>
        <w:rPr>
          <w:spacing w:val="-4"/>
          <w:sz w:val="22"/>
        </w:rPr>
        <w:t> </w:t>
      </w:r>
      <w:r>
        <w:rPr>
          <w:sz w:val="22"/>
        </w:rPr>
        <w:t>of</w:t>
      </w:r>
      <w:r>
        <w:rPr>
          <w:spacing w:val="-5"/>
          <w:sz w:val="22"/>
        </w:rPr>
        <w:t> </w:t>
      </w:r>
      <w:r>
        <w:rPr>
          <w:sz w:val="22"/>
        </w:rPr>
        <w:t>Services</w:t>
      </w:r>
      <w:r>
        <w:rPr>
          <w:sz w:val="24"/>
        </w:rPr>
        <w:t>'</w:t>
      </w:r>
      <w:r>
        <w:rPr>
          <w:spacing w:val="-10"/>
          <w:sz w:val="24"/>
        </w:rPr>
        <w:t> </w:t>
      </w:r>
      <w:r>
        <w:rPr>
          <w:sz w:val="22"/>
        </w:rPr>
        <w:t>to</w:t>
      </w:r>
      <w:r>
        <w:rPr>
          <w:spacing w:val="-5"/>
          <w:sz w:val="22"/>
        </w:rPr>
        <w:t> </w:t>
      </w:r>
      <w:r>
        <w:rPr>
          <w:sz w:val="24"/>
        </w:rPr>
        <w:t>'</w:t>
      </w:r>
      <w:r>
        <w:rPr>
          <w:sz w:val="22"/>
        </w:rPr>
        <w:t>Scope</w:t>
      </w:r>
      <w:r>
        <w:rPr>
          <w:spacing w:val="-4"/>
          <w:sz w:val="22"/>
        </w:rPr>
        <w:t> </w:t>
      </w:r>
      <w:r>
        <w:rPr>
          <w:sz w:val="22"/>
        </w:rPr>
        <w:t>of</w:t>
      </w:r>
      <w:r>
        <w:rPr>
          <w:spacing w:val="-4"/>
          <w:sz w:val="22"/>
        </w:rPr>
        <w:t> </w:t>
      </w:r>
      <w:r>
        <w:rPr>
          <w:sz w:val="22"/>
        </w:rPr>
        <w:t>vocational rehabilitation services for individuals with disabilities</w:t>
      </w:r>
      <w:r>
        <w:rPr>
          <w:sz w:val="24"/>
        </w:rPr>
        <w:t>'.</w:t>
      </w:r>
    </w:p>
    <w:p>
      <w:pPr>
        <w:spacing w:line="251" w:lineRule="exact" w:before="0"/>
        <w:ind w:left="1440" w:right="0" w:firstLine="0"/>
        <w:jc w:val="left"/>
        <w:rPr>
          <w:sz w:val="22"/>
        </w:rPr>
      </w:pPr>
      <w:r>
        <w:rPr>
          <w:spacing w:val="-2"/>
          <w:sz w:val="22"/>
        </w:rPr>
        <w:t>Revoked</w:t>
      </w:r>
      <w:r>
        <w:rPr>
          <w:spacing w:val="12"/>
          <w:sz w:val="22"/>
        </w:rPr>
        <w:t> </w:t>
      </w:r>
      <w:r>
        <w:rPr>
          <w:spacing w:val="-2"/>
          <w:sz w:val="22"/>
        </w:rPr>
        <w:t>612:10-7-21.1,</w:t>
      </w:r>
      <w:r>
        <w:rPr>
          <w:spacing w:val="12"/>
          <w:sz w:val="22"/>
        </w:rPr>
        <w:t> </w:t>
      </w:r>
      <w:r>
        <w:rPr>
          <w:spacing w:val="-2"/>
          <w:sz w:val="22"/>
        </w:rPr>
        <w:t>612:10-7-21.2,</w:t>
      </w:r>
      <w:r>
        <w:rPr>
          <w:spacing w:val="13"/>
          <w:sz w:val="22"/>
        </w:rPr>
        <w:t> </w:t>
      </w:r>
      <w:r>
        <w:rPr>
          <w:spacing w:val="-2"/>
          <w:sz w:val="22"/>
        </w:rPr>
        <w:t>612:10-7-59,</w:t>
      </w:r>
      <w:r>
        <w:rPr>
          <w:spacing w:val="12"/>
          <w:sz w:val="22"/>
        </w:rPr>
        <w:t> </w:t>
      </w:r>
      <w:r>
        <w:rPr>
          <w:spacing w:val="-2"/>
          <w:sz w:val="22"/>
        </w:rPr>
        <w:t>612:10-7-</w:t>
      </w:r>
      <w:r>
        <w:rPr>
          <w:spacing w:val="-5"/>
          <w:sz w:val="22"/>
        </w:rPr>
        <w:t>60.</w:t>
      </w:r>
    </w:p>
    <w:p>
      <w:pPr>
        <w:tabs>
          <w:tab w:pos="1439" w:val="left" w:leader="none"/>
        </w:tabs>
        <w:spacing w:before="1"/>
        <w:ind w:left="360" w:right="0" w:firstLine="0"/>
        <w:jc w:val="left"/>
        <w:rPr>
          <w:sz w:val="22"/>
        </w:rPr>
      </w:pPr>
      <w:r>
        <w:rPr>
          <w:spacing w:val="-2"/>
          <w:sz w:val="22"/>
        </w:rPr>
        <w:t>9-11-</w:t>
      </w:r>
      <w:r>
        <w:rPr>
          <w:spacing w:val="-5"/>
          <w:sz w:val="22"/>
        </w:rPr>
        <w:t>22</w:t>
      </w:r>
      <w:r>
        <w:rPr>
          <w:sz w:val="22"/>
        </w:rPr>
        <w:tab/>
        <w:t>Permanent,</w:t>
      </w:r>
      <w:r>
        <w:rPr>
          <w:spacing w:val="-12"/>
          <w:sz w:val="22"/>
        </w:rPr>
        <w:t> </w:t>
      </w:r>
      <w:r>
        <w:rPr>
          <w:sz w:val="22"/>
        </w:rPr>
        <w:t>revoked</w:t>
      </w:r>
      <w:r>
        <w:rPr>
          <w:spacing w:val="-12"/>
          <w:sz w:val="22"/>
        </w:rPr>
        <w:t> </w:t>
      </w:r>
      <w:r>
        <w:rPr>
          <w:sz w:val="22"/>
        </w:rPr>
        <w:t>rule:</w:t>
      </w:r>
      <w:r>
        <w:rPr>
          <w:spacing w:val="-13"/>
          <w:sz w:val="22"/>
        </w:rPr>
        <w:t> </w:t>
      </w:r>
      <w:r>
        <w:rPr>
          <w:sz w:val="22"/>
        </w:rPr>
        <w:t>612:10-7-230.2,</w:t>
      </w:r>
      <w:r>
        <w:rPr>
          <w:spacing w:val="-12"/>
          <w:sz w:val="22"/>
        </w:rPr>
        <w:t> </w:t>
      </w:r>
      <w:r>
        <w:rPr>
          <w:sz w:val="22"/>
        </w:rPr>
        <w:t>612:10-7-230.3,</w:t>
      </w:r>
      <w:r>
        <w:rPr>
          <w:spacing w:val="-12"/>
          <w:sz w:val="22"/>
        </w:rPr>
        <w:t> </w:t>
      </w:r>
      <w:r>
        <w:rPr>
          <w:sz w:val="22"/>
        </w:rPr>
        <w:t>612:10-7-230.4,</w:t>
      </w:r>
      <w:r>
        <w:rPr>
          <w:spacing w:val="-13"/>
          <w:sz w:val="22"/>
        </w:rPr>
        <w:t> </w:t>
      </w:r>
      <w:r>
        <w:rPr>
          <w:spacing w:val="-2"/>
          <w:sz w:val="22"/>
        </w:rPr>
        <w:t>612:10-</w:t>
      </w:r>
    </w:p>
    <w:p>
      <w:pPr>
        <w:spacing w:before="0"/>
        <w:ind w:left="1440" w:right="0" w:firstLine="0"/>
        <w:jc w:val="left"/>
        <w:rPr>
          <w:sz w:val="22"/>
        </w:rPr>
      </w:pPr>
      <w:r>
        <w:rPr>
          <w:spacing w:val="-2"/>
          <w:sz w:val="22"/>
        </w:rPr>
        <w:t>7-230.5,</w:t>
      </w:r>
      <w:r>
        <w:rPr>
          <w:spacing w:val="14"/>
          <w:sz w:val="22"/>
        </w:rPr>
        <w:t> </w:t>
      </w:r>
      <w:r>
        <w:rPr>
          <w:spacing w:val="-2"/>
          <w:sz w:val="22"/>
        </w:rPr>
        <w:t>612:10-7-250,</w:t>
      </w:r>
      <w:r>
        <w:rPr>
          <w:spacing w:val="14"/>
          <w:sz w:val="22"/>
        </w:rPr>
        <w:t> </w:t>
      </w:r>
      <w:r>
        <w:rPr>
          <w:spacing w:val="-2"/>
          <w:sz w:val="22"/>
        </w:rPr>
        <w:t>612:10-7-</w:t>
      </w:r>
      <w:r>
        <w:rPr>
          <w:spacing w:val="-4"/>
          <w:sz w:val="22"/>
        </w:rPr>
        <w:t>171.</w:t>
      </w:r>
    </w:p>
    <w:p>
      <w:pPr>
        <w:pStyle w:val="ListParagraph"/>
        <w:numPr>
          <w:ilvl w:val="2"/>
          <w:numId w:val="92"/>
        </w:numPr>
        <w:tabs>
          <w:tab w:pos="1439" w:val="left" w:leader="none"/>
        </w:tabs>
        <w:spacing w:line="240" w:lineRule="auto" w:before="0" w:after="0"/>
        <w:ind w:left="1439" w:right="1270" w:hanging="1080"/>
        <w:jc w:val="left"/>
        <w:rPr>
          <w:sz w:val="22"/>
        </w:rPr>
      </w:pPr>
      <w:r>
        <w:rPr>
          <w:sz w:val="22"/>
        </w:rPr>
        <w:t>Revised</w:t>
      </w:r>
      <w:r>
        <w:rPr>
          <w:spacing w:val="-5"/>
          <w:sz w:val="22"/>
        </w:rPr>
        <w:t> </w:t>
      </w:r>
      <w:r>
        <w:rPr>
          <w:sz w:val="22"/>
        </w:rPr>
        <w:t>rule</w:t>
      </w:r>
      <w:r>
        <w:rPr>
          <w:spacing w:val="-6"/>
          <w:sz w:val="22"/>
        </w:rPr>
        <w:t> </w:t>
      </w:r>
      <w:r>
        <w:rPr>
          <w:sz w:val="22"/>
        </w:rPr>
        <w:t>title</w:t>
      </w:r>
      <w:r>
        <w:rPr>
          <w:spacing w:val="-5"/>
          <w:sz w:val="22"/>
        </w:rPr>
        <w:t> </w:t>
      </w:r>
      <w:r>
        <w:rPr>
          <w:sz w:val="22"/>
        </w:rPr>
        <w:t>612:10-7-180</w:t>
      </w:r>
      <w:r>
        <w:rPr>
          <w:spacing w:val="-5"/>
          <w:sz w:val="22"/>
        </w:rPr>
        <w:t> </w:t>
      </w:r>
      <w:r>
        <w:rPr>
          <w:sz w:val="22"/>
        </w:rPr>
        <w:t>changing</w:t>
      </w:r>
      <w:r>
        <w:rPr>
          <w:spacing w:val="-5"/>
          <w:sz w:val="22"/>
        </w:rPr>
        <w:t> </w:t>
      </w:r>
      <w:r>
        <w:rPr>
          <w:sz w:val="22"/>
        </w:rPr>
        <w:t>“Program”</w:t>
      </w:r>
      <w:r>
        <w:rPr>
          <w:spacing w:val="-5"/>
          <w:sz w:val="22"/>
        </w:rPr>
        <w:t> </w:t>
      </w:r>
      <w:r>
        <w:rPr>
          <w:sz w:val="22"/>
        </w:rPr>
        <w:t>to</w:t>
      </w:r>
      <w:r>
        <w:rPr>
          <w:spacing w:val="-5"/>
          <w:sz w:val="22"/>
        </w:rPr>
        <w:t> </w:t>
      </w:r>
      <w:r>
        <w:rPr>
          <w:sz w:val="22"/>
        </w:rPr>
        <w:t>“Services”,</w:t>
      </w:r>
      <w:r>
        <w:rPr>
          <w:spacing w:val="-5"/>
          <w:sz w:val="22"/>
        </w:rPr>
        <w:t> </w:t>
      </w:r>
      <w:r>
        <w:rPr>
          <w:sz w:val="22"/>
        </w:rPr>
        <w:t>612:10-7-182 adding integrated.</w:t>
      </w:r>
    </w:p>
    <w:p>
      <w:pPr>
        <w:pStyle w:val="ListParagraph"/>
        <w:spacing w:after="0" w:line="240" w:lineRule="auto"/>
        <w:jc w:val="left"/>
        <w:rPr>
          <w:sz w:val="22"/>
        </w:rPr>
        <w:sectPr>
          <w:pgSz w:w="12240" w:h="15840"/>
          <w:pgMar w:top="1360" w:bottom="280" w:left="1080" w:right="720"/>
        </w:sectPr>
      </w:pPr>
    </w:p>
    <w:p>
      <w:pPr>
        <w:pStyle w:val="Heading1"/>
        <w:spacing w:line="208" w:lineRule="auto" w:before="96"/>
        <w:ind w:left="3133" w:right="775" w:hanging="2608"/>
        <w:jc w:val="left"/>
      </w:pPr>
      <w:bookmarkStart w:name="PART 1.  SCOPE OF VOCATIONAL REHABILITAT" w:id="110"/>
      <w:bookmarkEnd w:id="110"/>
      <w:r>
        <w:rPr>
          <w:b w:val="0"/>
        </w:rPr>
      </w:r>
      <w:r>
        <w:rPr/>
        <w:t>PART</w:t>
      </w:r>
      <w:r>
        <w:rPr>
          <w:spacing w:val="-3"/>
        </w:rPr>
        <w:t> </w:t>
      </w:r>
      <w:r>
        <w:rPr/>
        <w:t>1.</w:t>
      </w:r>
      <w:r>
        <w:rPr>
          <w:spacing w:val="40"/>
        </w:rPr>
        <w:t> </w:t>
      </w:r>
      <w:r>
        <w:rPr/>
        <w:t>SCOPE</w:t>
      </w:r>
      <w:r>
        <w:rPr>
          <w:spacing w:val="-4"/>
        </w:rPr>
        <w:t> </w:t>
      </w:r>
      <w:r>
        <w:rPr/>
        <w:t>OF</w:t>
      </w:r>
      <w:r>
        <w:rPr>
          <w:spacing w:val="-4"/>
        </w:rPr>
        <w:t> </w:t>
      </w:r>
      <w:r>
        <w:rPr/>
        <w:t>VOCATIONAL</w:t>
      </w:r>
      <w:r>
        <w:rPr>
          <w:spacing w:val="-4"/>
        </w:rPr>
        <w:t> </w:t>
      </w:r>
      <w:r>
        <w:rPr/>
        <w:t>REHABILITATION</w:t>
      </w:r>
      <w:r>
        <w:rPr>
          <w:spacing w:val="-4"/>
        </w:rPr>
        <w:t> </w:t>
      </w:r>
      <w:r>
        <w:rPr/>
        <w:t>AND</w:t>
      </w:r>
      <w:r>
        <w:rPr>
          <w:spacing w:val="-4"/>
        </w:rPr>
        <w:t> </w:t>
      </w:r>
      <w:r>
        <w:rPr/>
        <w:t>SERVICES</w:t>
      </w:r>
      <w:r>
        <w:rPr>
          <w:spacing w:val="-3"/>
        </w:rPr>
        <w:t> </w:t>
      </w:r>
      <w:r>
        <w:rPr/>
        <w:t>FOR</w:t>
      </w:r>
      <w:r>
        <w:rPr>
          <w:spacing w:val="-4"/>
        </w:rPr>
        <w:t> </w:t>
      </w:r>
      <w:r>
        <w:rPr/>
        <w:t>THE BLIND AND VISUALLY IMPAIRED</w:t>
      </w:r>
    </w:p>
    <w:p>
      <w:pPr>
        <w:pStyle w:val="BodyText"/>
        <w:spacing w:before="210"/>
        <w:ind w:left="359"/>
      </w:pPr>
      <w:r>
        <w:rPr>
          <w:spacing w:val="-2"/>
        </w:rPr>
        <w:t>Section</w:t>
      </w:r>
    </w:p>
    <w:p>
      <w:pPr>
        <w:pStyle w:val="BodyText"/>
        <w:tabs>
          <w:tab w:pos="2069" w:val="left" w:leader="none"/>
        </w:tabs>
        <w:spacing w:line="208" w:lineRule="auto" w:before="234"/>
        <w:ind w:left="2069" w:right="1128" w:hanging="1710"/>
      </w:pPr>
      <w:r>
        <w:rPr>
          <w:spacing w:val="-2"/>
        </w:rPr>
        <w:t>612:10-7-1.</w:t>
      </w:r>
      <w:r>
        <w:rPr/>
        <w:tab/>
        <w:t>Overview</w:t>
      </w:r>
      <w:r>
        <w:rPr>
          <w:spacing w:val="-5"/>
        </w:rPr>
        <w:t> </w:t>
      </w:r>
      <w:r>
        <w:rPr/>
        <w:t>of</w:t>
      </w:r>
      <w:r>
        <w:rPr>
          <w:spacing w:val="-4"/>
        </w:rPr>
        <w:t> </w:t>
      </w:r>
      <w:r>
        <w:rPr/>
        <w:t>Vocational</w:t>
      </w:r>
      <w:r>
        <w:rPr>
          <w:spacing w:val="-5"/>
        </w:rPr>
        <w:t> </w:t>
      </w:r>
      <w:r>
        <w:rPr/>
        <w:t>Rehabilitation</w:t>
      </w:r>
      <w:r>
        <w:rPr>
          <w:spacing w:val="-5"/>
        </w:rPr>
        <w:t> </w:t>
      </w:r>
      <w:r>
        <w:rPr/>
        <w:t>and</w:t>
      </w:r>
      <w:r>
        <w:rPr>
          <w:spacing w:val="-5"/>
        </w:rPr>
        <w:t> </w:t>
      </w:r>
      <w:r>
        <w:rPr/>
        <w:t>Services</w:t>
      </w:r>
      <w:r>
        <w:rPr>
          <w:spacing w:val="-5"/>
        </w:rPr>
        <w:t> </w:t>
      </w:r>
      <w:r>
        <w:rPr/>
        <w:t>for</w:t>
      </w:r>
      <w:r>
        <w:rPr>
          <w:spacing w:val="-6"/>
        </w:rPr>
        <w:t> </w:t>
      </w:r>
      <w:r>
        <w:rPr/>
        <w:t>the</w:t>
      </w:r>
      <w:r>
        <w:rPr>
          <w:spacing w:val="-5"/>
        </w:rPr>
        <w:t> </w:t>
      </w:r>
      <w:r>
        <w:rPr/>
        <w:t>Blind</w:t>
      </w:r>
      <w:r>
        <w:rPr>
          <w:spacing w:val="-5"/>
        </w:rPr>
        <w:t> </w:t>
      </w:r>
      <w:r>
        <w:rPr/>
        <w:t>and Visually Impaired</w:t>
      </w:r>
    </w:p>
    <w:p>
      <w:pPr>
        <w:pStyle w:val="BodyText"/>
        <w:tabs>
          <w:tab w:pos="2069" w:val="left" w:leader="none"/>
        </w:tabs>
        <w:spacing w:before="210"/>
        <w:ind w:left="359"/>
      </w:pPr>
      <w:r>
        <w:rPr>
          <w:spacing w:val="-2"/>
        </w:rPr>
        <w:t>612:10-7-</w:t>
      </w:r>
      <w:r>
        <w:rPr>
          <w:spacing w:val="-5"/>
        </w:rPr>
        <w:t>2.</w:t>
      </w:r>
      <w:r>
        <w:rPr/>
        <w:tab/>
        <w:t>Field</w:t>
      </w:r>
      <w:r>
        <w:rPr>
          <w:spacing w:val="-3"/>
        </w:rPr>
        <w:t> </w:t>
      </w:r>
      <w:r>
        <w:rPr/>
        <w:t>staff</w:t>
      </w:r>
      <w:r>
        <w:rPr>
          <w:spacing w:val="-1"/>
        </w:rPr>
        <w:t> </w:t>
      </w:r>
      <w:r>
        <w:rPr>
          <w:spacing w:val="-2"/>
        </w:rPr>
        <w:t>responsibilities</w:t>
      </w:r>
    </w:p>
    <w:p>
      <w:pPr>
        <w:pStyle w:val="BodyText"/>
        <w:tabs>
          <w:tab w:pos="2069" w:val="left" w:leader="none"/>
        </w:tabs>
        <w:spacing w:line="417" w:lineRule="auto" w:before="204"/>
        <w:ind w:left="359" w:right="1807"/>
      </w:pPr>
      <w:r>
        <w:rPr>
          <w:spacing w:val="-2"/>
        </w:rPr>
        <w:t>612:10-7-2.1.</w:t>
      </w:r>
      <w:r>
        <w:rPr/>
        <w:tab/>
        <w:t>Applications</w:t>
      </w:r>
      <w:r>
        <w:rPr>
          <w:spacing w:val="-7"/>
        </w:rPr>
        <w:t> </w:t>
      </w:r>
      <w:r>
        <w:rPr/>
        <w:t>for</w:t>
      </w:r>
      <w:r>
        <w:rPr>
          <w:spacing w:val="-6"/>
        </w:rPr>
        <w:t> </w:t>
      </w:r>
      <w:r>
        <w:rPr/>
        <w:t>employees</w:t>
      </w:r>
      <w:r>
        <w:rPr>
          <w:spacing w:val="-7"/>
        </w:rPr>
        <w:t> </w:t>
      </w:r>
      <w:r>
        <w:rPr/>
        <w:t>or</w:t>
      </w:r>
      <w:r>
        <w:rPr>
          <w:spacing w:val="-6"/>
        </w:rPr>
        <w:t> </w:t>
      </w:r>
      <w:r>
        <w:rPr/>
        <w:t>family</w:t>
      </w:r>
      <w:r>
        <w:rPr>
          <w:spacing w:val="-7"/>
        </w:rPr>
        <w:t> </w:t>
      </w:r>
      <w:r>
        <w:rPr/>
        <w:t>member(s)</w:t>
      </w:r>
      <w:r>
        <w:rPr>
          <w:spacing w:val="-6"/>
        </w:rPr>
        <w:t> </w:t>
      </w:r>
      <w:r>
        <w:rPr/>
        <w:t>of</w:t>
      </w:r>
      <w:r>
        <w:rPr>
          <w:spacing w:val="-6"/>
        </w:rPr>
        <w:t> </w:t>
      </w:r>
      <w:r>
        <w:rPr/>
        <w:t>employees </w:t>
      </w:r>
      <w:r>
        <w:rPr>
          <w:spacing w:val="-2"/>
        </w:rPr>
        <w:t>612:10-7-2.2.</w:t>
      </w:r>
      <w:r>
        <w:rPr/>
        <w:tab/>
        <w:t>Applications for friends or family member(s) of friends</w:t>
      </w:r>
    </w:p>
    <w:p>
      <w:pPr>
        <w:pStyle w:val="BodyText"/>
        <w:tabs>
          <w:tab w:pos="2069" w:val="left" w:leader="none"/>
        </w:tabs>
        <w:spacing w:line="276" w:lineRule="exact" w:before="0"/>
        <w:ind w:left="359"/>
      </w:pPr>
      <w:r>
        <w:rPr>
          <w:spacing w:val="-2"/>
        </w:rPr>
        <w:t>612:10-7-</w:t>
      </w:r>
      <w:r>
        <w:rPr>
          <w:spacing w:val="-5"/>
        </w:rPr>
        <w:t>2.3</w:t>
      </w:r>
      <w:r>
        <w:rPr/>
        <w:tab/>
        <w:t>Services</w:t>
      </w:r>
      <w:r>
        <w:rPr>
          <w:spacing w:val="-3"/>
        </w:rPr>
        <w:t> </w:t>
      </w:r>
      <w:r>
        <w:rPr/>
        <w:t>for</w:t>
      </w:r>
      <w:r>
        <w:rPr>
          <w:spacing w:val="-1"/>
        </w:rPr>
        <w:t> </w:t>
      </w:r>
      <w:r>
        <w:rPr>
          <w:spacing w:val="-2"/>
        </w:rPr>
        <w:t>employers</w:t>
      </w:r>
    </w:p>
    <w:p>
      <w:pPr>
        <w:pStyle w:val="BodyText"/>
        <w:tabs>
          <w:tab w:pos="2069" w:val="left" w:leader="none"/>
        </w:tabs>
        <w:spacing w:line="417" w:lineRule="auto" w:before="204"/>
        <w:ind w:left="359" w:right="4446"/>
      </w:pPr>
      <w:r>
        <w:rPr>
          <w:spacing w:val="-2"/>
        </w:rPr>
        <w:t>612:10-7-2.4.</w:t>
      </w:r>
      <w:r>
        <w:rPr/>
        <w:tab/>
        <w:t>Annual</w:t>
      </w:r>
      <w:r>
        <w:rPr>
          <w:spacing w:val="-10"/>
        </w:rPr>
        <w:t> </w:t>
      </w:r>
      <w:r>
        <w:rPr/>
        <w:t>outreach</w:t>
      </w:r>
      <w:r>
        <w:rPr>
          <w:spacing w:val="-10"/>
        </w:rPr>
        <w:t> </w:t>
      </w:r>
      <w:r>
        <w:rPr/>
        <w:t>and</w:t>
      </w:r>
      <w:r>
        <w:rPr>
          <w:spacing w:val="-10"/>
        </w:rPr>
        <w:t> </w:t>
      </w:r>
      <w:r>
        <w:rPr/>
        <w:t>review</w:t>
      </w:r>
      <w:r>
        <w:rPr>
          <w:spacing w:val="-10"/>
        </w:rPr>
        <w:t> </w:t>
      </w:r>
      <w:r>
        <w:rPr/>
        <w:t>services </w:t>
      </w:r>
      <w:r>
        <w:rPr>
          <w:spacing w:val="-2"/>
        </w:rPr>
        <w:t>612:10-7-2.5</w:t>
      </w:r>
      <w:r>
        <w:rPr/>
        <w:tab/>
        <w:t>Work Experience</w:t>
      </w:r>
    </w:p>
    <w:p>
      <w:pPr>
        <w:pStyle w:val="BodyText"/>
        <w:tabs>
          <w:tab w:pos="2069" w:val="left" w:leader="none"/>
        </w:tabs>
        <w:spacing w:line="276" w:lineRule="exact" w:before="0"/>
        <w:ind w:left="359"/>
      </w:pPr>
      <w:r>
        <w:rPr>
          <w:spacing w:val="-2"/>
        </w:rPr>
        <w:t>612:10-7-</w:t>
      </w:r>
      <w:r>
        <w:rPr>
          <w:spacing w:val="-5"/>
        </w:rPr>
        <w:t>3.</w:t>
      </w:r>
      <w:r>
        <w:rPr/>
        <w:tab/>
        <w:t>Client</w:t>
      </w:r>
      <w:r>
        <w:rPr>
          <w:spacing w:val="-3"/>
        </w:rPr>
        <w:t> </w:t>
      </w:r>
      <w:r>
        <w:rPr>
          <w:spacing w:val="-2"/>
        </w:rPr>
        <w:t>responsibilities</w:t>
      </w:r>
    </w:p>
    <w:p>
      <w:pPr>
        <w:pStyle w:val="BodyText"/>
        <w:spacing w:after="0" w:line="276" w:lineRule="exact"/>
        <w:sectPr>
          <w:pgSz w:w="12240" w:h="15840"/>
          <w:pgMar w:top="1340" w:bottom="280" w:left="1080" w:right="720"/>
        </w:sectPr>
      </w:pPr>
    </w:p>
    <w:p>
      <w:pPr>
        <w:pStyle w:val="Heading2"/>
        <w:spacing w:line="208" w:lineRule="auto" w:before="96"/>
        <w:ind w:right="775"/>
      </w:pPr>
      <w:bookmarkStart w:name="612:10-7-1.  Overview of Vocational Reha" w:id="111"/>
      <w:bookmarkEnd w:id="111"/>
      <w:r>
        <w:rPr>
          <w:b w:val="0"/>
        </w:rPr>
      </w:r>
      <w:bookmarkStart w:name="_bookmark7" w:id="112"/>
      <w:bookmarkEnd w:id="112"/>
      <w:r>
        <w:rPr>
          <w:b w:val="0"/>
        </w:rPr>
      </w:r>
      <w:r>
        <w:rPr/>
        <w:t>612:10-7-1.</w:t>
      </w:r>
      <w:r>
        <w:rPr>
          <w:spacing w:val="40"/>
        </w:rPr>
        <w:t> </w:t>
      </w:r>
      <w:r>
        <w:rPr/>
        <w:t>Overview</w:t>
      </w:r>
      <w:r>
        <w:rPr>
          <w:spacing w:val="-3"/>
        </w:rPr>
        <w:t> </w:t>
      </w:r>
      <w:r>
        <w:rPr/>
        <w:t>of</w:t>
      </w:r>
      <w:r>
        <w:rPr>
          <w:spacing w:val="-5"/>
        </w:rPr>
        <w:t> </w:t>
      </w:r>
      <w:r>
        <w:rPr/>
        <w:t>Vocational</w:t>
      </w:r>
      <w:r>
        <w:rPr>
          <w:spacing w:val="-3"/>
        </w:rPr>
        <w:t> </w:t>
      </w:r>
      <w:r>
        <w:rPr/>
        <w:t>Rehabilitation</w:t>
      </w:r>
      <w:r>
        <w:rPr>
          <w:spacing w:val="-4"/>
        </w:rPr>
        <w:t> </w:t>
      </w:r>
      <w:r>
        <w:rPr/>
        <w:t>and</w:t>
      </w:r>
      <w:r>
        <w:rPr>
          <w:spacing w:val="-4"/>
        </w:rPr>
        <w:t> </w:t>
      </w:r>
      <w:r>
        <w:rPr/>
        <w:t>Services</w:t>
      </w:r>
      <w:r>
        <w:rPr>
          <w:spacing w:val="-4"/>
        </w:rPr>
        <w:t> </w:t>
      </w:r>
      <w:r>
        <w:rPr/>
        <w:t>for</w:t>
      </w:r>
      <w:r>
        <w:rPr>
          <w:spacing w:val="-4"/>
        </w:rPr>
        <w:t> </w:t>
      </w:r>
      <w:r>
        <w:rPr/>
        <w:t>the</w:t>
      </w:r>
      <w:r>
        <w:rPr>
          <w:spacing w:val="-5"/>
        </w:rPr>
        <w:t> </w:t>
      </w:r>
      <w:r>
        <w:rPr/>
        <w:t>Blind</w:t>
      </w:r>
      <w:r>
        <w:rPr>
          <w:spacing w:val="-4"/>
        </w:rPr>
        <w:t> </w:t>
      </w:r>
      <w:r>
        <w:rPr/>
        <w:t>and Visually Impaired</w:t>
      </w:r>
    </w:p>
    <w:p>
      <w:pPr>
        <w:pStyle w:val="ListParagraph"/>
        <w:numPr>
          <w:ilvl w:val="0"/>
          <w:numId w:val="97"/>
        </w:numPr>
        <w:tabs>
          <w:tab w:pos="786" w:val="left" w:leader="none"/>
        </w:tabs>
        <w:spacing w:line="208" w:lineRule="auto" w:before="240" w:after="0"/>
        <w:ind w:left="360" w:right="926" w:firstLine="0"/>
        <w:jc w:val="left"/>
        <w:rPr>
          <w:sz w:val="24"/>
        </w:rPr>
      </w:pPr>
      <w:r>
        <w:rPr>
          <w:sz w:val="24"/>
        </w:rPr>
        <w:t>Vocational rehabilitation services are provided by the Division of Vocational Rehabilitation and the Division of Services for the Blind and Visually Impaired to help eligible individuals achieve employment outcomes that are consistent with the unique strengths,</w:t>
      </w:r>
      <w:r>
        <w:rPr>
          <w:spacing w:val="-7"/>
          <w:sz w:val="24"/>
        </w:rPr>
        <w:t> </w:t>
      </w:r>
      <w:r>
        <w:rPr>
          <w:sz w:val="24"/>
        </w:rPr>
        <w:t>resources,</w:t>
      </w:r>
      <w:r>
        <w:rPr>
          <w:spacing w:val="-5"/>
          <w:sz w:val="24"/>
        </w:rPr>
        <w:t> </w:t>
      </w:r>
      <w:r>
        <w:rPr>
          <w:sz w:val="24"/>
        </w:rPr>
        <w:t>priorities,</w:t>
      </w:r>
      <w:r>
        <w:rPr>
          <w:spacing w:val="-5"/>
          <w:sz w:val="24"/>
        </w:rPr>
        <w:t> </w:t>
      </w:r>
      <w:r>
        <w:rPr>
          <w:sz w:val="24"/>
        </w:rPr>
        <w:t>concerns,</w:t>
      </w:r>
      <w:r>
        <w:rPr>
          <w:spacing w:val="-5"/>
          <w:sz w:val="24"/>
        </w:rPr>
        <w:t> </w:t>
      </w:r>
      <w:r>
        <w:rPr>
          <w:sz w:val="24"/>
        </w:rPr>
        <w:t>abilities,</w:t>
      </w:r>
      <w:r>
        <w:rPr>
          <w:spacing w:val="-5"/>
          <w:sz w:val="24"/>
        </w:rPr>
        <w:t> </w:t>
      </w:r>
      <w:r>
        <w:rPr>
          <w:sz w:val="24"/>
        </w:rPr>
        <w:t>capabilities,</w:t>
      </w:r>
      <w:r>
        <w:rPr>
          <w:spacing w:val="-5"/>
          <w:sz w:val="24"/>
        </w:rPr>
        <w:t> </w:t>
      </w:r>
      <w:r>
        <w:rPr>
          <w:sz w:val="24"/>
        </w:rPr>
        <w:t>interests,</w:t>
      </w:r>
      <w:r>
        <w:rPr>
          <w:spacing w:val="-5"/>
          <w:sz w:val="24"/>
        </w:rPr>
        <w:t> </w:t>
      </w:r>
      <w:r>
        <w:rPr>
          <w:sz w:val="24"/>
        </w:rPr>
        <w:t>and</w:t>
      </w:r>
      <w:r>
        <w:rPr>
          <w:spacing w:val="-7"/>
          <w:sz w:val="24"/>
        </w:rPr>
        <w:t> </w:t>
      </w:r>
      <w:r>
        <w:rPr>
          <w:sz w:val="24"/>
        </w:rPr>
        <w:t>informed choice of each eligible individual. VR services for individuals are meant to result in competitive employment in an integrated setting. Vocational rehabilitation services include services for individuals and services to groups of individuals.</w:t>
      </w:r>
    </w:p>
    <w:p>
      <w:pPr>
        <w:pStyle w:val="ListParagraph"/>
        <w:numPr>
          <w:ilvl w:val="0"/>
          <w:numId w:val="97"/>
        </w:numPr>
        <w:tabs>
          <w:tab w:pos="785" w:val="left" w:leader="none"/>
        </w:tabs>
        <w:spacing w:line="208" w:lineRule="auto" w:before="239" w:after="0"/>
        <w:ind w:left="359" w:right="1273" w:firstLine="0"/>
        <w:jc w:val="left"/>
        <w:rPr>
          <w:sz w:val="24"/>
        </w:rPr>
      </w:pPr>
      <w:r>
        <w:rPr>
          <w:sz w:val="24"/>
        </w:rPr>
        <w:t>Vocational rehabilitation services for an individual are prescribed in an Individualized Plan for Employment (IPE) that is based on an assessment of the individual's rehabilitation needs, guidance provided by a qualified vocational rehabilitation professional and the individual's informed choice with regard to employment</w:t>
      </w:r>
      <w:r>
        <w:rPr>
          <w:spacing w:val="-3"/>
          <w:sz w:val="24"/>
        </w:rPr>
        <w:t> </w:t>
      </w:r>
      <w:r>
        <w:rPr>
          <w:sz w:val="24"/>
        </w:rPr>
        <w:t>goal,</w:t>
      </w:r>
      <w:r>
        <w:rPr>
          <w:spacing w:val="-3"/>
          <w:sz w:val="24"/>
        </w:rPr>
        <w:t> </w:t>
      </w:r>
      <w:r>
        <w:rPr>
          <w:sz w:val="24"/>
        </w:rPr>
        <w:t>services</w:t>
      </w:r>
      <w:r>
        <w:rPr>
          <w:spacing w:val="-4"/>
          <w:sz w:val="24"/>
        </w:rPr>
        <w:t> </w:t>
      </w:r>
      <w:r>
        <w:rPr>
          <w:sz w:val="24"/>
        </w:rPr>
        <w:t>and</w:t>
      </w:r>
      <w:r>
        <w:rPr>
          <w:spacing w:val="-4"/>
          <w:sz w:val="24"/>
        </w:rPr>
        <w:t> </w:t>
      </w:r>
      <w:r>
        <w:rPr>
          <w:sz w:val="24"/>
        </w:rPr>
        <w:t>service</w:t>
      </w:r>
      <w:r>
        <w:rPr>
          <w:spacing w:val="-4"/>
          <w:sz w:val="24"/>
        </w:rPr>
        <w:t> </w:t>
      </w:r>
      <w:r>
        <w:rPr>
          <w:sz w:val="24"/>
        </w:rPr>
        <w:t>providers.</w:t>
      </w:r>
      <w:r>
        <w:rPr>
          <w:spacing w:val="-3"/>
          <w:sz w:val="24"/>
        </w:rPr>
        <w:t> </w:t>
      </w:r>
      <w:r>
        <w:rPr>
          <w:sz w:val="24"/>
        </w:rPr>
        <w:t>Services</w:t>
      </w:r>
      <w:r>
        <w:rPr>
          <w:spacing w:val="-4"/>
          <w:sz w:val="24"/>
        </w:rPr>
        <w:t> </w:t>
      </w:r>
      <w:r>
        <w:rPr>
          <w:sz w:val="24"/>
        </w:rPr>
        <w:t>may</w:t>
      </w:r>
      <w:r>
        <w:rPr>
          <w:spacing w:val="-4"/>
          <w:sz w:val="24"/>
        </w:rPr>
        <w:t> </w:t>
      </w:r>
      <w:r>
        <w:rPr>
          <w:sz w:val="24"/>
        </w:rPr>
        <w:t>include</w:t>
      </w:r>
      <w:r>
        <w:rPr>
          <w:spacing w:val="-4"/>
          <w:sz w:val="24"/>
        </w:rPr>
        <w:t> </w:t>
      </w:r>
      <w:r>
        <w:rPr>
          <w:sz w:val="24"/>
        </w:rPr>
        <w:t>but</w:t>
      </w:r>
      <w:r>
        <w:rPr>
          <w:spacing w:val="-3"/>
          <w:sz w:val="24"/>
        </w:rPr>
        <w:t> </w:t>
      </w:r>
      <w:r>
        <w:rPr>
          <w:sz w:val="24"/>
        </w:rPr>
        <w:t>are</w:t>
      </w:r>
      <w:r>
        <w:rPr>
          <w:spacing w:val="-4"/>
          <w:sz w:val="24"/>
        </w:rPr>
        <w:t> </w:t>
      </w:r>
      <w:r>
        <w:rPr>
          <w:sz w:val="24"/>
        </w:rPr>
        <w:t>not limited to:</w:t>
      </w:r>
    </w:p>
    <w:p>
      <w:pPr>
        <w:pStyle w:val="ListParagraph"/>
        <w:numPr>
          <w:ilvl w:val="1"/>
          <w:numId w:val="97"/>
        </w:numPr>
        <w:tabs>
          <w:tab w:pos="1217" w:val="left" w:leader="none"/>
        </w:tabs>
        <w:spacing w:line="208" w:lineRule="auto" w:before="239" w:after="0"/>
        <w:ind w:left="791" w:right="840" w:firstLine="0"/>
        <w:jc w:val="both"/>
        <w:rPr>
          <w:sz w:val="24"/>
        </w:rPr>
      </w:pPr>
      <w:r>
        <w:rPr>
          <w:sz w:val="24"/>
        </w:rPr>
        <w:t>an assessment for determining eligibility and vocational rehabilitation needs by qualified</w:t>
      </w:r>
      <w:r>
        <w:rPr>
          <w:spacing w:val="-5"/>
          <w:sz w:val="24"/>
        </w:rPr>
        <w:t> </w:t>
      </w:r>
      <w:r>
        <w:rPr>
          <w:sz w:val="24"/>
        </w:rPr>
        <w:t>personnel,</w:t>
      </w:r>
      <w:r>
        <w:rPr>
          <w:spacing w:val="-4"/>
          <w:sz w:val="24"/>
        </w:rPr>
        <w:t> </w:t>
      </w:r>
      <w:r>
        <w:rPr>
          <w:sz w:val="24"/>
        </w:rPr>
        <w:t>including,</w:t>
      </w:r>
      <w:r>
        <w:rPr>
          <w:spacing w:val="-4"/>
          <w:sz w:val="24"/>
        </w:rPr>
        <w:t> </w:t>
      </w:r>
      <w:r>
        <w:rPr>
          <w:sz w:val="24"/>
        </w:rPr>
        <w:t>if</w:t>
      </w:r>
      <w:r>
        <w:rPr>
          <w:spacing w:val="-4"/>
          <w:sz w:val="24"/>
        </w:rPr>
        <w:t> </w:t>
      </w:r>
      <w:r>
        <w:rPr>
          <w:sz w:val="24"/>
        </w:rPr>
        <w:t>appropriate,</w:t>
      </w:r>
      <w:r>
        <w:rPr>
          <w:spacing w:val="-4"/>
          <w:sz w:val="24"/>
        </w:rPr>
        <w:t> </w:t>
      </w:r>
      <w:r>
        <w:rPr>
          <w:sz w:val="24"/>
        </w:rPr>
        <w:t>an</w:t>
      </w:r>
      <w:r>
        <w:rPr>
          <w:spacing w:val="-5"/>
          <w:sz w:val="24"/>
        </w:rPr>
        <w:t> </w:t>
      </w:r>
      <w:r>
        <w:rPr>
          <w:sz w:val="24"/>
        </w:rPr>
        <w:t>assessment</w:t>
      </w:r>
      <w:r>
        <w:rPr>
          <w:spacing w:val="-4"/>
          <w:sz w:val="24"/>
        </w:rPr>
        <w:t> </w:t>
      </w:r>
      <w:r>
        <w:rPr>
          <w:sz w:val="24"/>
        </w:rPr>
        <w:t>by</w:t>
      </w:r>
      <w:r>
        <w:rPr>
          <w:spacing w:val="-5"/>
          <w:sz w:val="24"/>
        </w:rPr>
        <w:t> </w:t>
      </w:r>
      <w:r>
        <w:rPr>
          <w:sz w:val="24"/>
        </w:rPr>
        <w:t>personnel</w:t>
      </w:r>
      <w:r>
        <w:rPr>
          <w:spacing w:val="-5"/>
          <w:sz w:val="24"/>
        </w:rPr>
        <w:t> </w:t>
      </w:r>
      <w:r>
        <w:rPr>
          <w:sz w:val="24"/>
        </w:rPr>
        <w:t>skilled</w:t>
      </w:r>
      <w:r>
        <w:rPr>
          <w:spacing w:val="-5"/>
          <w:sz w:val="24"/>
        </w:rPr>
        <w:t> </w:t>
      </w:r>
      <w:r>
        <w:rPr>
          <w:sz w:val="24"/>
        </w:rPr>
        <w:t>in rehabilitation technology;</w:t>
      </w:r>
    </w:p>
    <w:p>
      <w:pPr>
        <w:pStyle w:val="ListParagraph"/>
        <w:numPr>
          <w:ilvl w:val="1"/>
          <w:numId w:val="97"/>
        </w:numPr>
        <w:tabs>
          <w:tab w:pos="1217" w:val="left" w:leader="none"/>
        </w:tabs>
        <w:spacing w:line="208" w:lineRule="auto" w:before="240" w:after="0"/>
        <w:ind w:left="791" w:right="1002" w:firstLine="0"/>
        <w:jc w:val="left"/>
        <w:rPr>
          <w:sz w:val="24"/>
        </w:rPr>
      </w:pPr>
      <w:r>
        <w:rPr>
          <w:sz w:val="24"/>
        </w:rPr>
        <w:t>counseling</w:t>
      </w:r>
      <w:r>
        <w:rPr>
          <w:spacing w:val="-5"/>
          <w:sz w:val="24"/>
        </w:rPr>
        <w:t> </w:t>
      </w:r>
      <w:r>
        <w:rPr>
          <w:sz w:val="24"/>
        </w:rPr>
        <w:t>and</w:t>
      </w:r>
      <w:r>
        <w:rPr>
          <w:spacing w:val="-5"/>
          <w:sz w:val="24"/>
        </w:rPr>
        <w:t> </w:t>
      </w:r>
      <w:r>
        <w:rPr>
          <w:sz w:val="24"/>
        </w:rPr>
        <w:t>guidance,</w:t>
      </w:r>
      <w:r>
        <w:rPr>
          <w:spacing w:val="-4"/>
          <w:sz w:val="24"/>
        </w:rPr>
        <w:t> </w:t>
      </w:r>
      <w:r>
        <w:rPr>
          <w:sz w:val="24"/>
        </w:rPr>
        <w:t>including</w:t>
      </w:r>
      <w:r>
        <w:rPr>
          <w:spacing w:val="-5"/>
          <w:sz w:val="24"/>
        </w:rPr>
        <w:t> </w:t>
      </w:r>
      <w:r>
        <w:rPr>
          <w:sz w:val="24"/>
        </w:rPr>
        <w:t>information</w:t>
      </w:r>
      <w:r>
        <w:rPr>
          <w:spacing w:val="-5"/>
          <w:sz w:val="24"/>
        </w:rPr>
        <w:t> </w:t>
      </w:r>
      <w:r>
        <w:rPr>
          <w:sz w:val="24"/>
        </w:rPr>
        <w:t>and</w:t>
      </w:r>
      <w:r>
        <w:rPr>
          <w:spacing w:val="-4"/>
          <w:sz w:val="24"/>
        </w:rPr>
        <w:t> </w:t>
      </w:r>
      <w:r>
        <w:rPr>
          <w:sz w:val="24"/>
        </w:rPr>
        <w:t>support</w:t>
      </w:r>
      <w:r>
        <w:rPr>
          <w:spacing w:val="-4"/>
          <w:sz w:val="24"/>
        </w:rPr>
        <w:t> </w:t>
      </w:r>
      <w:r>
        <w:rPr>
          <w:sz w:val="24"/>
        </w:rPr>
        <w:t>services</w:t>
      </w:r>
      <w:r>
        <w:rPr>
          <w:spacing w:val="-5"/>
          <w:sz w:val="24"/>
        </w:rPr>
        <w:t> </w:t>
      </w:r>
      <w:r>
        <w:rPr>
          <w:sz w:val="24"/>
        </w:rPr>
        <w:t>to</w:t>
      </w:r>
      <w:r>
        <w:rPr>
          <w:spacing w:val="-5"/>
          <w:sz w:val="24"/>
        </w:rPr>
        <w:t> </w:t>
      </w:r>
      <w:r>
        <w:rPr>
          <w:sz w:val="24"/>
        </w:rPr>
        <w:t>assist an individual in exercising informed choice;</w:t>
      </w:r>
    </w:p>
    <w:p>
      <w:pPr>
        <w:pStyle w:val="ListParagraph"/>
        <w:numPr>
          <w:ilvl w:val="1"/>
          <w:numId w:val="97"/>
        </w:numPr>
        <w:tabs>
          <w:tab w:pos="1216" w:val="left" w:leader="none"/>
        </w:tabs>
        <w:spacing w:line="208" w:lineRule="auto" w:before="240" w:after="0"/>
        <w:ind w:left="791" w:right="1255" w:firstLine="0"/>
        <w:jc w:val="left"/>
        <w:rPr>
          <w:sz w:val="24"/>
        </w:rPr>
      </w:pPr>
      <w:r>
        <w:rPr>
          <w:sz w:val="24"/>
        </w:rPr>
        <w:t>referral and other services to secure needed services from other agencies through</w:t>
      </w:r>
      <w:r>
        <w:rPr>
          <w:spacing w:val="-4"/>
          <w:sz w:val="24"/>
        </w:rPr>
        <w:t> </w:t>
      </w:r>
      <w:r>
        <w:rPr>
          <w:sz w:val="24"/>
        </w:rPr>
        <w:t>cooperative</w:t>
      </w:r>
      <w:r>
        <w:rPr>
          <w:spacing w:val="-4"/>
          <w:sz w:val="24"/>
        </w:rPr>
        <w:t> </w:t>
      </w:r>
      <w:r>
        <w:rPr>
          <w:sz w:val="24"/>
        </w:rPr>
        <w:t>agreements</w:t>
      </w:r>
      <w:r>
        <w:rPr>
          <w:spacing w:val="-5"/>
          <w:sz w:val="24"/>
        </w:rPr>
        <w:t> </w:t>
      </w:r>
      <w:r>
        <w:rPr>
          <w:sz w:val="24"/>
        </w:rPr>
        <w:t>if</w:t>
      </w:r>
      <w:r>
        <w:rPr>
          <w:spacing w:val="-3"/>
          <w:sz w:val="24"/>
        </w:rPr>
        <w:t> </w:t>
      </w:r>
      <w:r>
        <w:rPr>
          <w:sz w:val="24"/>
        </w:rPr>
        <w:t>such</w:t>
      </w:r>
      <w:r>
        <w:rPr>
          <w:spacing w:val="-4"/>
          <w:sz w:val="24"/>
        </w:rPr>
        <w:t> </w:t>
      </w:r>
      <w:r>
        <w:rPr>
          <w:sz w:val="24"/>
        </w:rPr>
        <w:t>services</w:t>
      </w:r>
      <w:r>
        <w:rPr>
          <w:spacing w:val="-4"/>
          <w:sz w:val="24"/>
        </w:rPr>
        <w:t> </w:t>
      </w:r>
      <w:r>
        <w:rPr>
          <w:sz w:val="24"/>
        </w:rPr>
        <w:t>are</w:t>
      </w:r>
      <w:r>
        <w:rPr>
          <w:spacing w:val="-4"/>
          <w:sz w:val="24"/>
        </w:rPr>
        <w:t> </w:t>
      </w:r>
      <w:r>
        <w:rPr>
          <w:sz w:val="24"/>
        </w:rPr>
        <w:t>not</w:t>
      </w:r>
      <w:r>
        <w:rPr>
          <w:spacing w:val="-3"/>
          <w:sz w:val="24"/>
        </w:rPr>
        <w:t> </w:t>
      </w:r>
      <w:r>
        <w:rPr>
          <w:sz w:val="24"/>
        </w:rPr>
        <w:t>available</w:t>
      </w:r>
      <w:r>
        <w:rPr>
          <w:spacing w:val="-4"/>
          <w:sz w:val="24"/>
        </w:rPr>
        <w:t> </w:t>
      </w:r>
      <w:r>
        <w:rPr>
          <w:sz w:val="24"/>
        </w:rPr>
        <w:t>from</w:t>
      </w:r>
      <w:r>
        <w:rPr>
          <w:spacing w:val="-3"/>
          <w:sz w:val="24"/>
        </w:rPr>
        <w:t> </w:t>
      </w:r>
      <w:r>
        <w:rPr>
          <w:sz w:val="24"/>
        </w:rPr>
        <w:t>DVR</w:t>
      </w:r>
      <w:r>
        <w:rPr>
          <w:spacing w:val="-4"/>
          <w:sz w:val="24"/>
        </w:rPr>
        <w:t> </w:t>
      </w:r>
      <w:r>
        <w:rPr>
          <w:sz w:val="24"/>
        </w:rPr>
        <w:t>or </w:t>
      </w:r>
      <w:r>
        <w:rPr>
          <w:spacing w:val="-2"/>
          <w:sz w:val="24"/>
        </w:rPr>
        <w:t>DSBVI;</w:t>
      </w:r>
    </w:p>
    <w:p>
      <w:pPr>
        <w:pStyle w:val="ListParagraph"/>
        <w:numPr>
          <w:ilvl w:val="1"/>
          <w:numId w:val="97"/>
        </w:numPr>
        <w:tabs>
          <w:tab w:pos="1217" w:val="left" w:leader="none"/>
        </w:tabs>
        <w:spacing w:line="208" w:lineRule="auto" w:before="240" w:after="0"/>
        <w:ind w:left="791" w:right="1013" w:firstLine="0"/>
        <w:jc w:val="left"/>
        <w:rPr>
          <w:sz w:val="24"/>
        </w:rPr>
      </w:pPr>
      <w:r>
        <w:rPr>
          <w:sz w:val="24"/>
        </w:rPr>
        <w:t>job-related services, including job search and placement assistance, customized employment services, services leading to self-employment, job retention</w:t>
      </w:r>
      <w:r>
        <w:rPr>
          <w:spacing w:val="-6"/>
          <w:sz w:val="24"/>
        </w:rPr>
        <w:t> </w:t>
      </w:r>
      <w:r>
        <w:rPr>
          <w:sz w:val="24"/>
        </w:rPr>
        <w:t>services,</w:t>
      </w:r>
      <w:r>
        <w:rPr>
          <w:spacing w:val="-5"/>
          <w:sz w:val="24"/>
        </w:rPr>
        <w:t> </w:t>
      </w:r>
      <w:r>
        <w:rPr>
          <w:sz w:val="24"/>
        </w:rPr>
        <w:t>ongoing</w:t>
      </w:r>
      <w:r>
        <w:rPr>
          <w:spacing w:val="-6"/>
          <w:sz w:val="24"/>
        </w:rPr>
        <w:t> </w:t>
      </w:r>
      <w:r>
        <w:rPr>
          <w:sz w:val="24"/>
        </w:rPr>
        <w:t>services,</w:t>
      </w:r>
      <w:r>
        <w:rPr>
          <w:spacing w:val="-5"/>
          <w:sz w:val="24"/>
        </w:rPr>
        <w:t> </w:t>
      </w:r>
      <w:r>
        <w:rPr>
          <w:sz w:val="24"/>
        </w:rPr>
        <w:t>supplemental</w:t>
      </w:r>
      <w:r>
        <w:rPr>
          <w:spacing w:val="-6"/>
          <w:sz w:val="24"/>
        </w:rPr>
        <w:t> </w:t>
      </w:r>
      <w:r>
        <w:rPr>
          <w:sz w:val="24"/>
        </w:rPr>
        <w:t>employment</w:t>
      </w:r>
      <w:r>
        <w:rPr>
          <w:spacing w:val="-5"/>
          <w:sz w:val="24"/>
        </w:rPr>
        <w:t> </w:t>
      </w:r>
      <w:r>
        <w:rPr>
          <w:sz w:val="24"/>
        </w:rPr>
        <w:t>services,</w:t>
      </w:r>
      <w:r>
        <w:rPr>
          <w:spacing w:val="-5"/>
          <w:sz w:val="24"/>
        </w:rPr>
        <w:t> </w:t>
      </w:r>
      <w:r>
        <w:rPr>
          <w:sz w:val="24"/>
        </w:rPr>
        <w:t>support services for employment, and extended services;</w:t>
      </w:r>
    </w:p>
    <w:p>
      <w:pPr>
        <w:pStyle w:val="ListParagraph"/>
        <w:numPr>
          <w:ilvl w:val="1"/>
          <w:numId w:val="97"/>
        </w:numPr>
        <w:tabs>
          <w:tab w:pos="1218" w:val="left" w:leader="none"/>
        </w:tabs>
        <w:spacing w:line="208" w:lineRule="auto" w:before="239" w:after="0"/>
        <w:ind w:left="792" w:right="1027" w:firstLine="0"/>
        <w:jc w:val="left"/>
        <w:rPr>
          <w:sz w:val="24"/>
        </w:rPr>
      </w:pPr>
      <w:r>
        <w:rPr>
          <w:sz w:val="24"/>
        </w:rPr>
        <w:t>vocational</w:t>
      </w:r>
      <w:r>
        <w:rPr>
          <w:spacing w:val="-5"/>
          <w:sz w:val="24"/>
        </w:rPr>
        <w:t> </w:t>
      </w:r>
      <w:r>
        <w:rPr>
          <w:sz w:val="24"/>
        </w:rPr>
        <w:t>and</w:t>
      </w:r>
      <w:r>
        <w:rPr>
          <w:spacing w:val="-5"/>
          <w:sz w:val="24"/>
        </w:rPr>
        <w:t> </w:t>
      </w:r>
      <w:r>
        <w:rPr>
          <w:sz w:val="24"/>
        </w:rPr>
        <w:t>other</w:t>
      </w:r>
      <w:r>
        <w:rPr>
          <w:spacing w:val="-4"/>
          <w:sz w:val="24"/>
        </w:rPr>
        <w:t> </w:t>
      </w:r>
      <w:r>
        <w:rPr>
          <w:sz w:val="24"/>
        </w:rPr>
        <w:t>training</w:t>
      </w:r>
      <w:r>
        <w:rPr>
          <w:spacing w:val="-5"/>
          <w:sz w:val="24"/>
        </w:rPr>
        <w:t> </w:t>
      </w:r>
      <w:r>
        <w:rPr>
          <w:sz w:val="24"/>
        </w:rPr>
        <w:t>services,</w:t>
      </w:r>
      <w:r>
        <w:rPr>
          <w:spacing w:val="-4"/>
          <w:sz w:val="24"/>
        </w:rPr>
        <w:t> </w:t>
      </w:r>
      <w:r>
        <w:rPr>
          <w:sz w:val="24"/>
        </w:rPr>
        <w:t>including</w:t>
      </w:r>
      <w:r>
        <w:rPr>
          <w:spacing w:val="-5"/>
          <w:sz w:val="24"/>
        </w:rPr>
        <w:t> </w:t>
      </w:r>
      <w:r>
        <w:rPr>
          <w:sz w:val="24"/>
        </w:rPr>
        <w:t>the</w:t>
      </w:r>
      <w:r>
        <w:rPr>
          <w:spacing w:val="-5"/>
          <w:sz w:val="24"/>
        </w:rPr>
        <w:t> </w:t>
      </w:r>
      <w:r>
        <w:rPr>
          <w:sz w:val="24"/>
        </w:rPr>
        <w:t>provision</w:t>
      </w:r>
      <w:r>
        <w:rPr>
          <w:spacing w:val="-5"/>
          <w:sz w:val="24"/>
        </w:rPr>
        <w:t> </w:t>
      </w:r>
      <w:r>
        <w:rPr>
          <w:sz w:val="24"/>
        </w:rPr>
        <w:t>of</w:t>
      </w:r>
      <w:r>
        <w:rPr>
          <w:spacing w:val="-3"/>
          <w:sz w:val="24"/>
        </w:rPr>
        <w:t> </w:t>
      </w:r>
      <w:r>
        <w:rPr>
          <w:sz w:val="24"/>
        </w:rPr>
        <w:t>personal</w:t>
      </w:r>
      <w:r>
        <w:rPr>
          <w:spacing w:val="-5"/>
          <w:sz w:val="24"/>
        </w:rPr>
        <w:t> </w:t>
      </w:r>
      <w:r>
        <w:rPr>
          <w:sz w:val="24"/>
        </w:rPr>
        <w:t>and vocational adjustment services, books, tools, and other training materials;</w:t>
      </w:r>
    </w:p>
    <w:p>
      <w:pPr>
        <w:pStyle w:val="ListParagraph"/>
        <w:numPr>
          <w:ilvl w:val="1"/>
          <w:numId w:val="97"/>
        </w:numPr>
        <w:tabs>
          <w:tab w:pos="1152" w:val="left" w:leader="none"/>
        </w:tabs>
        <w:spacing w:line="208" w:lineRule="auto" w:before="240" w:after="0"/>
        <w:ind w:left="792" w:right="749" w:firstLine="0"/>
        <w:jc w:val="left"/>
        <w:rPr>
          <w:sz w:val="24"/>
        </w:rPr>
      </w:pPr>
      <w:r>
        <w:rPr>
          <w:sz w:val="24"/>
        </w:rPr>
        <w:t>to</w:t>
      </w:r>
      <w:r>
        <w:rPr>
          <w:spacing w:val="-4"/>
          <w:sz w:val="24"/>
        </w:rPr>
        <w:t> </w:t>
      </w:r>
      <w:r>
        <w:rPr>
          <w:sz w:val="24"/>
        </w:rPr>
        <w:t>the</w:t>
      </w:r>
      <w:r>
        <w:rPr>
          <w:spacing w:val="-3"/>
          <w:sz w:val="24"/>
        </w:rPr>
        <w:t> </w:t>
      </w:r>
      <w:r>
        <w:rPr>
          <w:sz w:val="24"/>
        </w:rPr>
        <w:t>extent</w:t>
      </w:r>
      <w:r>
        <w:rPr>
          <w:spacing w:val="-2"/>
          <w:sz w:val="24"/>
        </w:rPr>
        <w:t> </w:t>
      </w:r>
      <w:r>
        <w:rPr>
          <w:sz w:val="24"/>
        </w:rPr>
        <w:t>that</w:t>
      </w:r>
      <w:r>
        <w:rPr>
          <w:spacing w:val="-4"/>
          <w:sz w:val="24"/>
        </w:rPr>
        <w:t> </w:t>
      </w:r>
      <w:r>
        <w:rPr>
          <w:sz w:val="24"/>
        </w:rPr>
        <w:t>financial</w:t>
      </w:r>
      <w:r>
        <w:rPr>
          <w:spacing w:val="-3"/>
          <w:sz w:val="24"/>
        </w:rPr>
        <w:t> </w:t>
      </w:r>
      <w:r>
        <w:rPr>
          <w:sz w:val="24"/>
        </w:rPr>
        <w:t>support</w:t>
      </w:r>
      <w:r>
        <w:rPr>
          <w:spacing w:val="-2"/>
          <w:sz w:val="24"/>
        </w:rPr>
        <w:t> </w:t>
      </w:r>
      <w:r>
        <w:rPr>
          <w:sz w:val="24"/>
        </w:rPr>
        <w:t>is</w:t>
      </w:r>
      <w:r>
        <w:rPr>
          <w:spacing w:val="-3"/>
          <w:sz w:val="24"/>
        </w:rPr>
        <w:t> </w:t>
      </w:r>
      <w:r>
        <w:rPr>
          <w:sz w:val="24"/>
        </w:rPr>
        <w:t>not</w:t>
      </w:r>
      <w:r>
        <w:rPr>
          <w:spacing w:val="-4"/>
          <w:sz w:val="24"/>
        </w:rPr>
        <w:t> </w:t>
      </w:r>
      <w:r>
        <w:rPr>
          <w:sz w:val="24"/>
        </w:rPr>
        <w:t>readily</w:t>
      </w:r>
      <w:r>
        <w:rPr>
          <w:spacing w:val="-3"/>
          <w:sz w:val="24"/>
        </w:rPr>
        <w:t> </w:t>
      </w:r>
      <w:r>
        <w:rPr>
          <w:sz w:val="24"/>
        </w:rPr>
        <w:t>available</w:t>
      </w:r>
      <w:r>
        <w:rPr>
          <w:spacing w:val="-3"/>
          <w:sz w:val="24"/>
        </w:rPr>
        <w:t> </w:t>
      </w:r>
      <w:r>
        <w:rPr>
          <w:sz w:val="24"/>
        </w:rPr>
        <w:t>from</w:t>
      </w:r>
      <w:r>
        <w:rPr>
          <w:spacing w:val="-2"/>
          <w:sz w:val="24"/>
        </w:rPr>
        <w:t> </w:t>
      </w:r>
      <w:r>
        <w:rPr>
          <w:sz w:val="24"/>
        </w:rPr>
        <w:t>a</w:t>
      </w:r>
      <w:r>
        <w:rPr>
          <w:spacing w:val="-4"/>
          <w:sz w:val="24"/>
        </w:rPr>
        <w:t> </w:t>
      </w:r>
      <w:r>
        <w:rPr>
          <w:sz w:val="24"/>
        </w:rPr>
        <w:t>source</w:t>
      </w:r>
      <w:r>
        <w:rPr>
          <w:spacing w:val="-3"/>
          <w:sz w:val="24"/>
        </w:rPr>
        <w:t> </w:t>
      </w:r>
      <w:r>
        <w:rPr>
          <w:sz w:val="24"/>
        </w:rPr>
        <w:t>(such</w:t>
      </w:r>
      <w:r>
        <w:rPr>
          <w:spacing w:val="-3"/>
          <w:sz w:val="24"/>
        </w:rPr>
        <w:t> </w:t>
      </w:r>
      <w:r>
        <w:rPr>
          <w:sz w:val="24"/>
        </w:rPr>
        <w:t>as health insurance or comparable services and benefits) other than DVR or DSBVI, diagnosis and treatment of physical and mental impairments;</w:t>
      </w:r>
    </w:p>
    <w:p>
      <w:pPr>
        <w:pStyle w:val="ListParagraph"/>
        <w:numPr>
          <w:ilvl w:val="1"/>
          <w:numId w:val="97"/>
        </w:numPr>
        <w:tabs>
          <w:tab w:pos="1217" w:val="left" w:leader="none"/>
        </w:tabs>
        <w:spacing w:line="208" w:lineRule="auto" w:before="240" w:after="0"/>
        <w:ind w:left="792" w:right="933" w:firstLine="0"/>
        <w:jc w:val="left"/>
        <w:rPr>
          <w:sz w:val="24"/>
        </w:rPr>
      </w:pPr>
      <w:r>
        <w:rPr>
          <w:sz w:val="24"/>
        </w:rPr>
        <w:t>maintenance</w:t>
      </w:r>
      <w:r>
        <w:rPr>
          <w:spacing w:val="-5"/>
          <w:sz w:val="24"/>
        </w:rPr>
        <w:t> </w:t>
      </w:r>
      <w:r>
        <w:rPr>
          <w:sz w:val="24"/>
        </w:rPr>
        <w:t>for</w:t>
      </w:r>
      <w:r>
        <w:rPr>
          <w:spacing w:val="-4"/>
          <w:sz w:val="24"/>
        </w:rPr>
        <w:t> </w:t>
      </w:r>
      <w:r>
        <w:rPr>
          <w:sz w:val="24"/>
        </w:rPr>
        <w:t>additional</w:t>
      </w:r>
      <w:r>
        <w:rPr>
          <w:spacing w:val="-5"/>
          <w:sz w:val="24"/>
        </w:rPr>
        <w:t> </w:t>
      </w:r>
      <w:r>
        <w:rPr>
          <w:sz w:val="24"/>
        </w:rPr>
        <w:t>costs</w:t>
      </w:r>
      <w:r>
        <w:rPr>
          <w:spacing w:val="-5"/>
          <w:sz w:val="24"/>
        </w:rPr>
        <w:t> </w:t>
      </w:r>
      <w:r>
        <w:rPr>
          <w:sz w:val="24"/>
        </w:rPr>
        <w:t>incurred</w:t>
      </w:r>
      <w:r>
        <w:rPr>
          <w:spacing w:val="-5"/>
          <w:sz w:val="24"/>
        </w:rPr>
        <w:t> </w:t>
      </w:r>
      <w:r>
        <w:rPr>
          <w:sz w:val="24"/>
        </w:rPr>
        <w:t>while</w:t>
      </w:r>
      <w:r>
        <w:rPr>
          <w:spacing w:val="-5"/>
          <w:sz w:val="24"/>
        </w:rPr>
        <w:t> </w:t>
      </w:r>
      <w:r>
        <w:rPr>
          <w:sz w:val="24"/>
        </w:rPr>
        <w:t>participating</w:t>
      </w:r>
      <w:r>
        <w:rPr>
          <w:spacing w:val="-5"/>
          <w:sz w:val="24"/>
        </w:rPr>
        <w:t> </w:t>
      </w:r>
      <w:r>
        <w:rPr>
          <w:sz w:val="24"/>
        </w:rPr>
        <w:t>in</w:t>
      </w:r>
      <w:r>
        <w:rPr>
          <w:spacing w:val="-4"/>
          <w:sz w:val="24"/>
        </w:rPr>
        <w:t> </w:t>
      </w:r>
      <w:r>
        <w:rPr>
          <w:sz w:val="24"/>
        </w:rPr>
        <w:t>an</w:t>
      </w:r>
      <w:r>
        <w:rPr>
          <w:spacing w:val="-5"/>
          <w:sz w:val="24"/>
        </w:rPr>
        <w:t> </w:t>
      </w:r>
      <w:r>
        <w:rPr>
          <w:sz w:val="24"/>
        </w:rPr>
        <w:t>assessment for determining eligibility and vocational rehabilitation needs or while receiving services under an Individualized Plan for Employment;</w:t>
      </w:r>
    </w:p>
    <w:p>
      <w:pPr>
        <w:pStyle w:val="ListParagraph"/>
        <w:numPr>
          <w:ilvl w:val="1"/>
          <w:numId w:val="97"/>
        </w:numPr>
        <w:tabs>
          <w:tab w:pos="1217" w:val="left" w:leader="none"/>
        </w:tabs>
        <w:spacing w:line="208" w:lineRule="auto" w:before="239" w:after="0"/>
        <w:ind w:left="792" w:right="813" w:firstLine="0"/>
        <w:jc w:val="left"/>
        <w:rPr>
          <w:sz w:val="24"/>
        </w:rPr>
      </w:pPr>
      <w:r>
        <w:rPr>
          <w:sz w:val="24"/>
        </w:rPr>
        <w:t>transportation,</w:t>
      </w:r>
      <w:r>
        <w:rPr>
          <w:spacing w:val="-3"/>
          <w:sz w:val="24"/>
        </w:rPr>
        <w:t> </w:t>
      </w:r>
      <w:r>
        <w:rPr>
          <w:sz w:val="24"/>
        </w:rPr>
        <w:t>including</w:t>
      </w:r>
      <w:r>
        <w:rPr>
          <w:spacing w:val="-4"/>
          <w:sz w:val="24"/>
        </w:rPr>
        <w:t> </w:t>
      </w:r>
      <w:r>
        <w:rPr>
          <w:sz w:val="24"/>
        </w:rPr>
        <w:t>training</w:t>
      </w:r>
      <w:r>
        <w:rPr>
          <w:spacing w:val="-4"/>
          <w:sz w:val="24"/>
        </w:rPr>
        <w:t> </w:t>
      </w:r>
      <w:r>
        <w:rPr>
          <w:sz w:val="24"/>
        </w:rPr>
        <w:t>in</w:t>
      </w:r>
      <w:r>
        <w:rPr>
          <w:spacing w:val="-4"/>
          <w:sz w:val="24"/>
        </w:rPr>
        <w:t> </w:t>
      </w:r>
      <w:r>
        <w:rPr>
          <w:sz w:val="24"/>
        </w:rPr>
        <w:t>the</w:t>
      </w:r>
      <w:r>
        <w:rPr>
          <w:spacing w:val="-4"/>
          <w:sz w:val="24"/>
        </w:rPr>
        <w:t> </w:t>
      </w:r>
      <w:r>
        <w:rPr>
          <w:sz w:val="24"/>
        </w:rPr>
        <w:t>use</w:t>
      </w:r>
      <w:r>
        <w:rPr>
          <w:spacing w:val="-4"/>
          <w:sz w:val="24"/>
        </w:rPr>
        <w:t> </w:t>
      </w:r>
      <w:r>
        <w:rPr>
          <w:sz w:val="24"/>
        </w:rPr>
        <w:t>of</w:t>
      </w:r>
      <w:r>
        <w:rPr>
          <w:spacing w:val="-3"/>
          <w:sz w:val="24"/>
        </w:rPr>
        <w:t> </w:t>
      </w:r>
      <w:r>
        <w:rPr>
          <w:sz w:val="24"/>
        </w:rPr>
        <w:t>public</w:t>
      </w:r>
      <w:r>
        <w:rPr>
          <w:spacing w:val="-3"/>
          <w:sz w:val="24"/>
        </w:rPr>
        <w:t> </w:t>
      </w:r>
      <w:r>
        <w:rPr>
          <w:sz w:val="24"/>
        </w:rPr>
        <w:t>transportation</w:t>
      </w:r>
      <w:r>
        <w:rPr>
          <w:spacing w:val="-4"/>
          <w:sz w:val="24"/>
        </w:rPr>
        <w:t> </w:t>
      </w:r>
      <w:r>
        <w:rPr>
          <w:sz w:val="24"/>
        </w:rPr>
        <w:t>vehicles</w:t>
      </w:r>
      <w:r>
        <w:rPr>
          <w:spacing w:val="-4"/>
          <w:sz w:val="24"/>
        </w:rPr>
        <w:t> </w:t>
      </w:r>
      <w:r>
        <w:rPr>
          <w:sz w:val="24"/>
        </w:rPr>
        <w:t>and systems, that is provided in connection with the provision of any other service described</w:t>
      </w:r>
      <w:r>
        <w:rPr>
          <w:spacing w:val="-1"/>
          <w:sz w:val="24"/>
        </w:rPr>
        <w:t> </w:t>
      </w:r>
      <w:r>
        <w:rPr>
          <w:sz w:val="24"/>
        </w:rPr>
        <w:t>in</w:t>
      </w:r>
      <w:r>
        <w:rPr>
          <w:spacing w:val="-1"/>
          <w:sz w:val="24"/>
        </w:rPr>
        <w:t> </w:t>
      </w:r>
      <w:r>
        <w:rPr>
          <w:sz w:val="24"/>
        </w:rPr>
        <w:t>this</w:t>
      </w:r>
      <w:r>
        <w:rPr>
          <w:spacing w:val="-1"/>
          <w:sz w:val="24"/>
        </w:rPr>
        <w:t> </w:t>
      </w:r>
      <w:r>
        <w:rPr>
          <w:sz w:val="24"/>
        </w:rPr>
        <w:t>section</w:t>
      </w:r>
      <w:r>
        <w:rPr>
          <w:spacing w:val="-1"/>
          <w:sz w:val="24"/>
        </w:rPr>
        <w:t> </w:t>
      </w:r>
      <w:r>
        <w:rPr>
          <w:sz w:val="24"/>
        </w:rPr>
        <w:t>and</w:t>
      </w:r>
      <w:r>
        <w:rPr>
          <w:spacing w:val="-1"/>
          <w:sz w:val="24"/>
        </w:rPr>
        <w:t> </w:t>
      </w:r>
      <w:r>
        <w:rPr>
          <w:sz w:val="24"/>
        </w:rPr>
        <w:t>needed</w:t>
      </w:r>
      <w:r>
        <w:rPr>
          <w:spacing w:val="-1"/>
          <w:sz w:val="24"/>
        </w:rPr>
        <w:t> </w:t>
      </w:r>
      <w:r>
        <w:rPr>
          <w:sz w:val="24"/>
        </w:rPr>
        <w:t>by</w:t>
      </w:r>
      <w:r>
        <w:rPr>
          <w:spacing w:val="-1"/>
          <w:sz w:val="24"/>
        </w:rPr>
        <w:t> </w:t>
      </w:r>
      <w:r>
        <w:rPr>
          <w:sz w:val="24"/>
        </w:rPr>
        <w:t>the</w:t>
      </w:r>
      <w:r>
        <w:rPr>
          <w:spacing w:val="-1"/>
          <w:sz w:val="24"/>
        </w:rPr>
        <w:t> </w:t>
      </w:r>
      <w:r>
        <w:rPr>
          <w:sz w:val="24"/>
        </w:rPr>
        <w:t>individual</w:t>
      </w:r>
      <w:r>
        <w:rPr>
          <w:spacing w:val="-1"/>
          <w:sz w:val="24"/>
        </w:rPr>
        <w:t> </w:t>
      </w:r>
      <w:r>
        <w:rPr>
          <w:sz w:val="24"/>
        </w:rPr>
        <w:t>to</w:t>
      </w:r>
      <w:r>
        <w:rPr>
          <w:spacing w:val="-1"/>
          <w:sz w:val="24"/>
        </w:rPr>
        <w:t> </w:t>
      </w:r>
      <w:r>
        <w:rPr>
          <w:sz w:val="24"/>
        </w:rPr>
        <w:t>participate</w:t>
      </w:r>
      <w:r>
        <w:rPr>
          <w:spacing w:val="-1"/>
          <w:sz w:val="24"/>
        </w:rPr>
        <w:t> </w:t>
      </w:r>
      <w:r>
        <w:rPr>
          <w:sz w:val="24"/>
        </w:rPr>
        <w:t>in</w:t>
      </w:r>
      <w:r>
        <w:rPr>
          <w:spacing w:val="-1"/>
          <w:sz w:val="24"/>
        </w:rPr>
        <w:t> </w:t>
      </w:r>
      <w:r>
        <w:rPr>
          <w:sz w:val="24"/>
        </w:rPr>
        <w:t>rehabilitation services or to achieve an employment outcome;</w:t>
      </w:r>
    </w:p>
    <w:p>
      <w:pPr>
        <w:pStyle w:val="ListParagraph"/>
        <w:numPr>
          <w:ilvl w:val="1"/>
          <w:numId w:val="97"/>
        </w:numPr>
        <w:tabs>
          <w:tab w:pos="1217" w:val="left" w:leader="none"/>
        </w:tabs>
        <w:spacing w:line="208" w:lineRule="auto" w:before="240" w:after="0"/>
        <w:ind w:left="791" w:right="1376" w:firstLine="0"/>
        <w:jc w:val="left"/>
        <w:rPr>
          <w:sz w:val="24"/>
        </w:rPr>
      </w:pPr>
      <w:r>
        <w:rPr>
          <w:sz w:val="24"/>
        </w:rPr>
        <w:t>on-the-job</w:t>
      </w:r>
      <w:r>
        <w:rPr>
          <w:spacing w:val="-5"/>
          <w:sz w:val="24"/>
        </w:rPr>
        <w:t> </w:t>
      </w:r>
      <w:r>
        <w:rPr>
          <w:sz w:val="24"/>
        </w:rPr>
        <w:t>or</w:t>
      </w:r>
      <w:r>
        <w:rPr>
          <w:spacing w:val="-4"/>
          <w:sz w:val="24"/>
        </w:rPr>
        <w:t> </w:t>
      </w:r>
      <w:r>
        <w:rPr>
          <w:sz w:val="24"/>
        </w:rPr>
        <w:t>other</w:t>
      </w:r>
      <w:r>
        <w:rPr>
          <w:spacing w:val="-4"/>
          <w:sz w:val="24"/>
        </w:rPr>
        <w:t> </w:t>
      </w:r>
      <w:r>
        <w:rPr>
          <w:sz w:val="24"/>
        </w:rPr>
        <w:t>related</w:t>
      </w:r>
      <w:r>
        <w:rPr>
          <w:spacing w:val="-5"/>
          <w:sz w:val="24"/>
        </w:rPr>
        <w:t> </w:t>
      </w:r>
      <w:r>
        <w:rPr>
          <w:sz w:val="24"/>
        </w:rPr>
        <w:t>personal</w:t>
      </w:r>
      <w:r>
        <w:rPr>
          <w:spacing w:val="-5"/>
          <w:sz w:val="24"/>
        </w:rPr>
        <w:t> </w:t>
      </w:r>
      <w:r>
        <w:rPr>
          <w:sz w:val="24"/>
        </w:rPr>
        <w:t>assistance</w:t>
      </w:r>
      <w:r>
        <w:rPr>
          <w:spacing w:val="-5"/>
          <w:sz w:val="24"/>
        </w:rPr>
        <w:t> </w:t>
      </w:r>
      <w:r>
        <w:rPr>
          <w:sz w:val="24"/>
        </w:rPr>
        <w:t>services</w:t>
      </w:r>
      <w:r>
        <w:rPr>
          <w:spacing w:val="-5"/>
          <w:sz w:val="24"/>
        </w:rPr>
        <w:t> </w:t>
      </w:r>
      <w:r>
        <w:rPr>
          <w:sz w:val="24"/>
        </w:rPr>
        <w:t>provided</w:t>
      </w:r>
      <w:r>
        <w:rPr>
          <w:spacing w:val="-5"/>
          <w:sz w:val="24"/>
        </w:rPr>
        <w:t> </w:t>
      </w:r>
      <w:r>
        <w:rPr>
          <w:sz w:val="24"/>
        </w:rPr>
        <w:t>while</w:t>
      </w:r>
      <w:r>
        <w:rPr>
          <w:spacing w:val="-5"/>
          <w:sz w:val="24"/>
        </w:rPr>
        <w:t> </w:t>
      </w:r>
      <w:r>
        <w:rPr>
          <w:sz w:val="24"/>
        </w:rPr>
        <w:t>an individual is receiving other services described in this section;</w:t>
      </w:r>
    </w:p>
    <w:p>
      <w:pPr>
        <w:pStyle w:val="ListParagraph"/>
        <w:spacing w:after="0" w:line="208" w:lineRule="auto"/>
        <w:jc w:val="left"/>
        <w:rPr>
          <w:sz w:val="24"/>
        </w:rPr>
        <w:sectPr>
          <w:pgSz w:w="12240" w:h="15840"/>
          <w:pgMar w:top="1340" w:bottom="280" w:left="1080" w:right="720"/>
        </w:sectPr>
      </w:pPr>
    </w:p>
    <w:p>
      <w:pPr>
        <w:pStyle w:val="ListParagraph"/>
        <w:numPr>
          <w:ilvl w:val="1"/>
          <w:numId w:val="97"/>
        </w:numPr>
        <w:tabs>
          <w:tab w:pos="1350" w:val="left" w:leader="none"/>
        </w:tabs>
        <w:spacing w:line="208" w:lineRule="auto" w:before="96" w:after="0"/>
        <w:ind w:left="791" w:right="986" w:firstLine="0"/>
        <w:jc w:val="left"/>
        <w:rPr>
          <w:sz w:val="24"/>
        </w:rPr>
      </w:pPr>
      <w:r>
        <w:rPr>
          <w:sz w:val="24"/>
        </w:rPr>
        <w:t>interpreter services provided by qualified personnel for individuals who are deaf</w:t>
      </w:r>
      <w:r>
        <w:rPr>
          <w:spacing w:val="-3"/>
          <w:sz w:val="24"/>
        </w:rPr>
        <w:t> </w:t>
      </w:r>
      <w:r>
        <w:rPr>
          <w:sz w:val="24"/>
        </w:rPr>
        <w:t>or</w:t>
      </w:r>
      <w:r>
        <w:rPr>
          <w:spacing w:val="-3"/>
          <w:sz w:val="24"/>
        </w:rPr>
        <w:t> </w:t>
      </w:r>
      <w:r>
        <w:rPr>
          <w:sz w:val="24"/>
        </w:rPr>
        <w:t>hard</w:t>
      </w:r>
      <w:r>
        <w:rPr>
          <w:spacing w:val="-4"/>
          <w:sz w:val="24"/>
        </w:rPr>
        <w:t> </w:t>
      </w:r>
      <w:r>
        <w:rPr>
          <w:sz w:val="24"/>
        </w:rPr>
        <w:t>of</w:t>
      </w:r>
      <w:r>
        <w:rPr>
          <w:spacing w:val="-3"/>
          <w:sz w:val="24"/>
        </w:rPr>
        <w:t> </w:t>
      </w:r>
      <w:r>
        <w:rPr>
          <w:sz w:val="24"/>
        </w:rPr>
        <w:t>hearing,</w:t>
      </w:r>
      <w:r>
        <w:rPr>
          <w:spacing w:val="-3"/>
          <w:sz w:val="24"/>
        </w:rPr>
        <w:t> </w:t>
      </w:r>
      <w:r>
        <w:rPr>
          <w:sz w:val="24"/>
        </w:rPr>
        <w:t>and</w:t>
      </w:r>
      <w:r>
        <w:rPr>
          <w:spacing w:val="-4"/>
          <w:sz w:val="24"/>
        </w:rPr>
        <w:t> </w:t>
      </w:r>
      <w:r>
        <w:rPr>
          <w:sz w:val="24"/>
        </w:rPr>
        <w:t>reader</w:t>
      </w:r>
      <w:r>
        <w:rPr>
          <w:spacing w:val="-3"/>
          <w:sz w:val="24"/>
        </w:rPr>
        <w:t> </w:t>
      </w:r>
      <w:r>
        <w:rPr>
          <w:sz w:val="24"/>
        </w:rPr>
        <w:t>services</w:t>
      </w:r>
      <w:r>
        <w:rPr>
          <w:spacing w:val="-5"/>
          <w:sz w:val="24"/>
        </w:rPr>
        <w:t> </w:t>
      </w:r>
      <w:r>
        <w:rPr>
          <w:sz w:val="24"/>
        </w:rPr>
        <w:t>for</w:t>
      </w:r>
      <w:r>
        <w:rPr>
          <w:spacing w:val="-3"/>
          <w:sz w:val="24"/>
        </w:rPr>
        <w:t> </w:t>
      </w:r>
      <w:r>
        <w:rPr>
          <w:sz w:val="24"/>
        </w:rPr>
        <w:t>individuals</w:t>
      </w:r>
      <w:r>
        <w:rPr>
          <w:spacing w:val="-4"/>
          <w:sz w:val="24"/>
        </w:rPr>
        <w:t> </w:t>
      </w:r>
      <w:r>
        <w:rPr>
          <w:sz w:val="24"/>
        </w:rPr>
        <w:t>who</w:t>
      </w:r>
      <w:r>
        <w:rPr>
          <w:spacing w:val="-4"/>
          <w:sz w:val="24"/>
        </w:rPr>
        <w:t> </w:t>
      </w:r>
      <w:r>
        <w:rPr>
          <w:sz w:val="24"/>
        </w:rPr>
        <w:t>are</w:t>
      </w:r>
      <w:r>
        <w:rPr>
          <w:spacing w:val="-3"/>
          <w:sz w:val="24"/>
        </w:rPr>
        <w:t> </w:t>
      </w:r>
      <w:r>
        <w:rPr>
          <w:sz w:val="24"/>
        </w:rPr>
        <w:t>determined</w:t>
      </w:r>
      <w:r>
        <w:rPr>
          <w:spacing w:val="-4"/>
          <w:sz w:val="24"/>
        </w:rPr>
        <w:t> </w:t>
      </w:r>
      <w:r>
        <w:rPr>
          <w:sz w:val="24"/>
        </w:rPr>
        <w:t>to be blind;</w:t>
      </w:r>
    </w:p>
    <w:p>
      <w:pPr>
        <w:pStyle w:val="ListParagraph"/>
        <w:numPr>
          <w:ilvl w:val="1"/>
          <w:numId w:val="97"/>
        </w:numPr>
        <w:tabs>
          <w:tab w:pos="1349" w:val="left" w:leader="none"/>
        </w:tabs>
        <w:spacing w:line="208" w:lineRule="auto" w:before="240" w:after="0"/>
        <w:ind w:left="791" w:right="1373" w:firstLine="0"/>
        <w:jc w:val="left"/>
        <w:rPr>
          <w:sz w:val="24"/>
        </w:rPr>
      </w:pPr>
      <w:r>
        <w:rPr>
          <w:sz w:val="24"/>
        </w:rPr>
        <w:t>rehabilitation</w:t>
      </w:r>
      <w:r>
        <w:rPr>
          <w:spacing w:val="-5"/>
          <w:sz w:val="24"/>
        </w:rPr>
        <w:t> </w:t>
      </w:r>
      <w:r>
        <w:rPr>
          <w:sz w:val="24"/>
        </w:rPr>
        <w:t>teaching</w:t>
      </w:r>
      <w:r>
        <w:rPr>
          <w:spacing w:val="-5"/>
          <w:sz w:val="24"/>
        </w:rPr>
        <w:t> </w:t>
      </w:r>
      <w:r>
        <w:rPr>
          <w:sz w:val="24"/>
        </w:rPr>
        <w:t>services,</w:t>
      </w:r>
      <w:r>
        <w:rPr>
          <w:spacing w:val="-4"/>
          <w:sz w:val="24"/>
        </w:rPr>
        <w:t> </w:t>
      </w:r>
      <w:r>
        <w:rPr>
          <w:sz w:val="24"/>
        </w:rPr>
        <w:t>and</w:t>
      </w:r>
      <w:r>
        <w:rPr>
          <w:spacing w:val="-5"/>
          <w:sz w:val="24"/>
        </w:rPr>
        <w:t> </w:t>
      </w:r>
      <w:r>
        <w:rPr>
          <w:sz w:val="24"/>
        </w:rPr>
        <w:t>orientation</w:t>
      </w:r>
      <w:r>
        <w:rPr>
          <w:spacing w:val="-5"/>
          <w:sz w:val="24"/>
        </w:rPr>
        <w:t> </w:t>
      </w:r>
      <w:r>
        <w:rPr>
          <w:sz w:val="24"/>
        </w:rPr>
        <w:t>and</w:t>
      </w:r>
      <w:r>
        <w:rPr>
          <w:spacing w:val="-5"/>
          <w:sz w:val="24"/>
        </w:rPr>
        <w:t> </w:t>
      </w:r>
      <w:r>
        <w:rPr>
          <w:sz w:val="24"/>
        </w:rPr>
        <w:t>mobility</w:t>
      </w:r>
      <w:r>
        <w:rPr>
          <w:spacing w:val="-5"/>
          <w:sz w:val="24"/>
        </w:rPr>
        <w:t> </w:t>
      </w:r>
      <w:r>
        <w:rPr>
          <w:sz w:val="24"/>
        </w:rPr>
        <w:t>services,</w:t>
      </w:r>
      <w:r>
        <w:rPr>
          <w:spacing w:val="-4"/>
          <w:sz w:val="24"/>
        </w:rPr>
        <w:t> </w:t>
      </w:r>
      <w:r>
        <w:rPr>
          <w:sz w:val="24"/>
        </w:rPr>
        <w:t>for individuals who are blind;</w:t>
      </w:r>
    </w:p>
    <w:p>
      <w:pPr>
        <w:pStyle w:val="ListParagraph"/>
        <w:numPr>
          <w:ilvl w:val="1"/>
          <w:numId w:val="97"/>
        </w:numPr>
        <w:tabs>
          <w:tab w:pos="1350" w:val="left" w:leader="none"/>
        </w:tabs>
        <w:spacing w:line="240" w:lineRule="auto" w:before="210" w:after="0"/>
        <w:ind w:left="1350" w:right="0" w:hanging="559"/>
        <w:jc w:val="left"/>
        <w:rPr>
          <w:sz w:val="24"/>
        </w:rPr>
      </w:pPr>
      <w:r>
        <w:rPr>
          <w:sz w:val="24"/>
        </w:rPr>
        <w:t>occupational</w:t>
      </w:r>
      <w:r>
        <w:rPr>
          <w:spacing w:val="-4"/>
          <w:sz w:val="24"/>
        </w:rPr>
        <w:t> </w:t>
      </w:r>
      <w:r>
        <w:rPr>
          <w:sz w:val="24"/>
        </w:rPr>
        <w:t>licenses,</w:t>
      </w:r>
      <w:r>
        <w:rPr>
          <w:spacing w:val="-3"/>
          <w:sz w:val="24"/>
        </w:rPr>
        <w:t> </w:t>
      </w:r>
      <w:r>
        <w:rPr>
          <w:sz w:val="24"/>
        </w:rPr>
        <w:t>tools,</w:t>
      </w:r>
      <w:r>
        <w:rPr>
          <w:spacing w:val="-3"/>
          <w:sz w:val="24"/>
        </w:rPr>
        <w:t> </w:t>
      </w:r>
      <w:r>
        <w:rPr>
          <w:sz w:val="24"/>
        </w:rPr>
        <w:t>equipment,</w:t>
      </w:r>
      <w:r>
        <w:rPr>
          <w:spacing w:val="-3"/>
          <w:sz w:val="24"/>
        </w:rPr>
        <w:t> </w:t>
      </w:r>
      <w:r>
        <w:rPr>
          <w:sz w:val="24"/>
        </w:rPr>
        <w:t>and</w:t>
      </w:r>
      <w:r>
        <w:rPr>
          <w:spacing w:val="-4"/>
          <w:sz w:val="24"/>
        </w:rPr>
        <w:t> </w:t>
      </w:r>
      <w:r>
        <w:rPr>
          <w:sz w:val="24"/>
        </w:rPr>
        <w:t>initial</w:t>
      </w:r>
      <w:r>
        <w:rPr>
          <w:spacing w:val="-3"/>
          <w:sz w:val="24"/>
        </w:rPr>
        <w:t> </w:t>
      </w:r>
      <w:r>
        <w:rPr>
          <w:sz w:val="24"/>
        </w:rPr>
        <w:t>stocks</w:t>
      </w:r>
      <w:r>
        <w:rPr>
          <w:spacing w:val="-4"/>
          <w:sz w:val="24"/>
        </w:rPr>
        <w:t> </w:t>
      </w:r>
      <w:r>
        <w:rPr>
          <w:sz w:val="24"/>
        </w:rPr>
        <w:t>and</w:t>
      </w:r>
      <w:r>
        <w:rPr>
          <w:spacing w:val="-3"/>
          <w:sz w:val="24"/>
        </w:rPr>
        <w:t> </w:t>
      </w:r>
      <w:r>
        <w:rPr>
          <w:spacing w:val="-2"/>
          <w:sz w:val="24"/>
        </w:rPr>
        <w:t>supplies;</w:t>
      </w:r>
    </w:p>
    <w:p>
      <w:pPr>
        <w:pStyle w:val="ListParagraph"/>
        <w:numPr>
          <w:ilvl w:val="1"/>
          <w:numId w:val="97"/>
        </w:numPr>
        <w:tabs>
          <w:tab w:pos="1349" w:val="left" w:leader="none"/>
        </w:tabs>
        <w:spacing w:line="208" w:lineRule="auto" w:before="233" w:after="0"/>
        <w:ind w:left="791" w:right="1013" w:firstLine="0"/>
        <w:jc w:val="left"/>
        <w:rPr>
          <w:sz w:val="24"/>
        </w:rPr>
      </w:pPr>
      <w:r>
        <w:rPr>
          <w:sz w:val="24"/>
        </w:rPr>
        <w:t>technical assistance and other consultation services to conduct market analyses,</w:t>
      </w:r>
      <w:r>
        <w:rPr>
          <w:spacing w:val="-3"/>
          <w:sz w:val="24"/>
        </w:rPr>
        <w:t> </w:t>
      </w:r>
      <w:r>
        <w:rPr>
          <w:sz w:val="24"/>
        </w:rPr>
        <w:t>develop</w:t>
      </w:r>
      <w:r>
        <w:rPr>
          <w:spacing w:val="-4"/>
          <w:sz w:val="24"/>
        </w:rPr>
        <w:t> </w:t>
      </w:r>
      <w:r>
        <w:rPr>
          <w:sz w:val="24"/>
        </w:rPr>
        <w:t>business</w:t>
      </w:r>
      <w:r>
        <w:rPr>
          <w:spacing w:val="-4"/>
          <w:sz w:val="24"/>
        </w:rPr>
        <w:t> </w:t>
      </w:r>
      <w:r>
        <w:rPr>
          <w:sz w:val="24"/>
        </w:rPr>
        <w:t>plans,</w:t>
      </w:r>
      <w:r>
        <w:rPr>
          <w:spacing w:val="-2"/>
          <w:sz w:val="24"/>
        </w:rPr>
        <w:t> </w:t>
      </w:r>
      <w:r>
        <w:rPr>
          <w:sz w:val="24"/>
        </w:rPr>
        <w:t>and</w:t>
      </w:r>
      <w:r>
        <w:rPr>
          <w:spacing w:val="-4"/>
          <w:sz w:val="24"/>
        </w:rPr>
        <w:t> </w:t>
      </w:r>
      <w:r>
        <w:rPr>
          <w:sz w:val="24"/>
        </w:rPr>
        <w:t>otherwise</w:t>
      </w:r>
      <w:r>
        <w:rPr>
          <w:spacing w:val="-4"/>
          <w:sz w:val="24"/>
        </w:rPr>
        <w:t> </w:t>
      </w:r>
      <w:r>
        <w:rPr>
          <w:sz w:val="24"/>
        </w:rPr>
        <w:t>provide</w:t>
      </w:r>
      <w:r>
        <w:rPr>
          <w:spacing w:val="-4"/>
          <w:sz w:val="24"/>
        </w:rPr>
        <w:t> </w:t>
      </w:r>
      <w:r>
        <w:rPr>
          <w:sz w:val="24"/>
        </w:rPr>
        <w:t>resources,</w:t>
      </w:r>
      <w:r>
        <w:rPr>
          <w:spacing w:val="-3"/>
          <w:sz w:val="24"/>
        </w:rPr>
        <w:t> </w:t>
      </w:r>
      <w:r>
        <w:rPr>
          <w:sz w:val="24"/>
        </w:rPr>
        <w:t>to</w:t>
      </w:r>
      <w:r>
        <w:rPr>
          <w:spacing w:val="-5"/>
          <w:sz w:val="24"/>
        </w:rPr>
        <w:t> </w:t>
      </w:r>
      <w:r>
        <w:rPr>
          <w:sz w:val="24"/>
        </w:rPr>
        <w:t>the</w:t>
      </w:r>
      <w:r>
        <w:rPr>
          <w:spacing w:val="-4"/>
          <w:sz w:val="24"/>
        </w:rPr>
        <w:t> </w:t>
      </w:r>
      <w:r>
        <w:rPr>
          <w:sz w:val="24"/>
        </w:rPr>
        <w:t>extent such resources are authorized to be provided through the statewide workforce investment system, to eligible individuals who are pursuing self-employment or telecommuting or establishing a small business operation as an employment </w:t>
      </w:r>
      <w:r>
        <w:rPr>
          <w:spacing w:val="-2"/>
          <w:sz w:val="24"/>
        </w:rPr>
        <w:t>outcome;</w:t>
      </w:r>
    </w:p>
    <w:p>
      <w:pPr>
        <w:pStyle w:val="ListParagraph"/>
        <w:numPr>
          <w:ilvl w:val="1"/>
          <w:numId w:val="97"/>
        </w:numPr>
        <w:tabs>
          <w:tab w:pos="1349" w:val="left" w:leader="none"/>
        </w:tabs>
        <w:spacing w:line="208" w:lineRule="auto" w:before="240" w:after="0"/>
        <w:ind w:left="791" w:right="1613" w:firstLine="0"/>
        <w:jc w:val="left"/>
        <w:rPr>
          <w:b/>
          <w:sz w:val="24"/>
        </w:rPr>
      </w:pPr>
      <w:r>
        <w:rPr>
          <w:sz w:val="24"/>
        </w:rPr>
        <w:t>rehabilitation</w:t>
      </w:r>
      <w:r>
        <w:rPr>
          <w:spacing w:val="-8"/>
          <w:sz w:val="24"/>
        </w:rPr>
        <w:t> </w:t>
      </w:r>
      <w:r>
        <w:rPr>
          <w:sz w:val="24"/>
        </w:rPr>
        <w:t>technology,</w:t>
      </w:r>
      <w:r>
        <w:rPr>
          <w:spacing w:val="-7"/>
          <w:sz w:val="24"/>
        </w:rPr>
        <w:t> </w:t>
      </w:r>
      <w:r>
        <w:rPr>
          <w:sz w:val="24"/>
        </w:rPr>
        <w:t>including</w:t>
      </w:r>
      <w:r>
        <w:rPr>
          <w:spacing w:val="-8"/>
          <w:sz w:val="24"/>
        </w:rPr>
        <w:t> </w:t>
      </w:r>
      <w:r>
        <w:rPr>
          <w:sz w:val="24"/>
        </w:rPr>
        <w:t>rehabilitation</w:t>
      </w:r>
      <w:r>
        <w:rPr>
          <w:spacing w:val="-8"/>
          <w:sz w:val="24"/>
        </w:rPr>
        <w:t> </w:t>
      </w:r>
      <w:r>
        <w:rPr>
          <w:sz w:val="24"/>
        </w:rPr>
        <w:t>engineering,</w:t>
      </w:r>
      <w:r>
        <w:rPr>
          <w:spacing w:val="-7"/>
          <w:sz w:val="24"/>
        </w:rPr>
        <w:t> </w:t>
      </w:r>
      <w:r>
        <w:rPr>
          <w:sz w:val="24"/>
        </w:rPr>
        <w:t>assistive technology devices and assistive technology services; </w:t>
      </w:r>
      <w:r>
        <w:rPr>
          <w:b/>
          <w:sz w:val="24"/>
        </w:rPr>
        <w:t>1</w:t>
      </w:r>
    </w:p>
    <w:p>
      <w:pPr>
        <w:pStyle w:val="ListParagraph"/>
        <w:numPr>
          <w:ilvl w:val="1"/>
          <w:numId w:val="97"/>
        </w:numPr>
        <w:tabs>
          <w:tab w:pos="1349" w:val="left" w:leader="none"/>
        </w:tabs>
        <w:spacing w:line="208" w:lineRule="auto" w:before="240" w:after="0"/>
        <w:ind w:left="791" w:right="867" w:firstLine="0"/>
        <w:jc w:val="left"/>
        <w:rPr>
          <w:sz w:val="24"/>
        </w:rPr>
      </w:pPr>
      <w:r>
        <w:rPr>
          <w:sz w:val="24"/>
        </w:rPr>
        <w:t>transition</w:t>
      </w:r>
      <w:r>
        <w:rPr>
          <w:spacing w:val="-5"/>
          <w:sz w:val="24"/>
        </w:rPr>
        <w:t> </w:t>
      </w:r>
      <w:r>
        <w:rPr>
          <w:sz w:val="24"/>
        </w:rPr>
        <w:t>services</w:t>
      </w:r>
      <w:r>
        <w:rPr>
          <w:spacing w:val="-5"/>
          <w:sz w:val="24"/>
        </w:rPr>
        <w:t> </w:t>
      </w:r>
      <w:r>
        <w:rPr>
          <w:sz w:val="24"/>
        </w:rPr>
        <w:t>for</w:t>
      </w:r>
      <w:r>
        <w:rPr>
          <w:spacing w:val="-4"/>
          <w:sz w:val="24"/>
        </w:rPr>
        <w:t> </w:t>
      </w:r>
      <w:r>
        <w:rPr>
          <w:sz w:val="24"/>
        </w:rPr>
        <w:t>students</w:t>
      </w:r>
      <w:r>
        <w:rPr>
          <w:spacing w:val="-5"/>
          <w:sz w:val="24"/>
        </w:rPr>
        <w:t> </w:t>
      </w:r>
      <w:r>
        <w:rPr>
          <w:sz w:val="24"/>
        </w:rPr>
        <w:t>with</w:t>
      </w:r>
      <w:r>
        <w:rPr>
          <w:spacing w:val="-5"/>
          <w:sz w:val="24"/>
        </w:rPr>
        <w:t> </w:t>
      </w:r>
      <w:r>
        <w:rPr>
          <w:sz w:val="24"/>
        </w:rPr>
        <w:t>disabilities,</w:t>
      </w:r>
      <w:r>
        <w:rPr>
          <w:spacing w:val="-4"/>
          <w:sz w:val="24"/>
        </w:rPr>
        <w:t> </w:t>
      </w:r>
      <w:r>
        <w:rPr>
          <w:sz w:val="24"/>
        </w:rPr>
        <w:t>that</w:t>
      </w:r>
      <w:r>
        <w:rPr>
          <w:spacing w:val="-4"/>
          <w:sz w:val="24"/>
        </w:rPr>
        <w:t> </w:t>
      </w:r>
      <w:r>
        <w:rPr>
          <w:sz w:val="24"/>
        </w:rPr>
        <w:t>facilitate</w:t>
      </w:r>
      <w:r>
        <w:rPr>
          <w:spacing w:val="-5"/>
          <w:sz w:val="24"/>
        </w:rPr>
        <w:t> </w:t>
      </w:r>
      <w:r>
        <w:rPr>
          <w:sz w:val="24"/>
        </w:rPr>
        <w:t>the</w:t>
      </w:r>
      <w:r>
        <w:rPr>
          <w:spacing w:val="-5"/>
          <w:sz w:val="24"/>
        </w:rPr>
        <w:t> </w:t>
      </w:r>
      <w:r>
        <w:rPr>
          <w:sz w:val="24"/>
        </w:rPr>
        <w:t>achievement of the employment outcome identified in the Individualized Plan for Employment, and pre-employment transition services as described in 34 CFR 361.48(a) and 29 USC 733;</w:t>
      </w:r>
    </w:p>
    <w:p>
      <w:pPr>
        <w:pStyle w:val="ListParagraph"/>
        <w:numPr>
          <w:ilvl w:val="1"/>
          <w:numId w:val="97"/>
        </w:numPr>
        <w:tabs>
          <w:tab w:pos="1350" w:val="left" w:leader="none"/>
        </w:tabs>
        <w:spacing w:line="208" w:lineRule="auto" w:before="239" w:after="0"/>
        <w:ind w:left="791" w:right="1321" w:firstLine="0"/>
        <w:jc w:val="left"/>
        <w:rPr>
          <w:sz w:val="24"/>
        </w:rPr>
      </w:pPr>
      <w:r>
        <w:rPr>
          <w:sz w:val="24"/>
        </w:rPr>
        <w:t>supported employment services for individuals with the most significant disabilities</w:t>
      </w:r>
      <w:r>
        <w:rPr>
          <w:spacing w:val="-5"/>
          <w:sz w:val="24"/>
        </w:rPr>
        <w:t> </w:t>
      </w:r>
      <w:r>
        <w:rPr>
          <w:sz w:val="24"/>
        </w:rPr>
        <w:t>that</w:t>
      </w:r>
      <w:r>
        <w:rPr>
          <w:spacing w:val="-4"/>
          <w:sz w:val="24"/>
        </w:rPr>
        <w:t> </w:t>
      </w:r>
      <w:r>
        <w:rPr>
          <w:sz w:val="24"/>
        </w:rPr>
        <w:t>need</w:t>
      </w:r>
      <w:r>
        <w:rPr>
          <w:spacing w:val="-5"/>
          <w:sz w:val="24"/>
        </w:rPr>
        <w:t> </w:t>
      </w:r>
      <w:r>
        <w:rPr>
          <w:sz w:val="24"/>
        </w:rPr>
        <w:t>ongoing</w:t>
      </w:r>
      <w:r>
        <w:rPr>
          <w:spacing w:val="-5"/>
          <w:sz w:val="24"/>
        </w:rPr>
        <w:t> </w:t>
      </w:r>
      <w:r>
        <w:rPr>
          <w:sz w:val="24"/>
        </w:rPr>
        <w:t>support</w:t>
      </w:r>
      <w:r>
        <w:rPr>
          <w:spacing w:val="-4"/>
          <w:sz w:val="24"/>
        </w:rPr>
        <w:t> </w:t>
      </w:r>
      <w:r>
        <w:rPr>
          <w:sz w:val="24"/>
        </w:rPr>
        <w:t>services</w:t>
      </w:r>
      <w:r>
        <w:rPr>
          <w:spacing w:val="-5"/>
          <w:sz w:val="24"/>
        </w:rPr>
        <w:t> </w:t>
      </w:r>
      <w:r>
        <w:rPr>
          <w:sz w:val="24"/>
        </w:rPr>
        <w:t>from</w:t>
      </w:r>
      <w:r>
        <w:rPr>
          <w:spacing w:val="-6"/>
          <w:sz w:val="24"/>
        </w:rPr>
        <w:t> </w:t>
      </w:r>
      <w:r>
        <w:rPr>
          <w:sz w:val="24"/>
        </w:rPr>
        <w:t>an</w:t>
      </w:r>
      <w:r>
        <w:rPr>
          <w:spacing w:val="-6"/>
          <w:sz w:val="24"/>
        </w:rPr>
        <w:t> </w:t>
      </w:r>
      <w:r>
        <w:rPr>
          <w:sz w:val="24"/>
        </w:rPr>
        <w:t>employment</w:t>
      </w:r>
      <w:r>
        <w:rPr>
          <w:spacing w:val="-4"/>
          <w:sz w:val="24"/>
        </w:rPr>
        <w:t> </w:t>
      </w:r>
      <w:r>
        <w:rPr>
          <w:sz w:val="24"/>
        </w:rPr>
        <w:t>consultant and/or job coach to maintain employment;</w:t>
      </w:r>
    </w:p>
    <w:p>
      <w:pPr>
        <w:pStyle w:val="ListParagraph"/>
        <w:numPr>
          <w:ilvl w:val="1"/>
          <w:numId w:val="97"/>
        </w:numPr>
        <w:tabs>
          <w:tab w:pos="1350" w:val="left" w:leader="none"/>
        </w:tabs>
        <w:spacing w:line="208" w:lineRule="auto" w:before="240" w:after="0"/>
        <w:ind w:left="791" w:right="854" w:firstLine="0"/>
        <w:jc w:val="left"/>
        <w:rPr>
          <w:sz w:val="24"/>
        </w:rPr>
      </w:pPr>
      <w:r>
        <w:rPr>
          <w:sz w:val="24"/>
        </w:rPr>
        <w:t>employment and retention services for individuals with significant disabilities who</w:t>
      </w:r>
      <w:r>
        <w:rPr>
          <w:spacing w:val="-4"/>
          <w:sz w:val="24"/>
        </w:rPr>
        <w:t> </w:t>
      </w:r>
      <w:r>
        <w:rPr>
          <w:sz w:val="24"/>
        </w:rPr>
        <w:t>require</w:t>
      </w:r>
      <w:r>
        <w:rPr>
          <w:spacing w:val="-4"/>
          <w:sz w:val="24"/>
        </w:rPr>
        <w:t> </w:t>
      </w:r>
      <w:r>
        <w:rPr>
          <w:sz w:val="24"/>
        </w:rPr>
        <w:t>short</w:t>
      </w:r>
      <w:r>
        <w:rPr>
          <w:spacing w:val="-3"/>
          <w:sz w:val="24"/>
        </w:rPr>
        <w:t> </w:t>
      </w:r>
      <w:r>
        <w:rPr>
          <w:sz w:val="24"/>
        </w:rPr>
        <w:t>term</w:t>
      </w:r>
      <w:r>
        <w:rPr>
          <w:spacing w:val="-3"/>
          <w:sz w:val="24"/>
        </w:rPr>
        <w:t> </w:t>
      </w:r>
      <w:r>
        <w:rPr>
          <w:sz w:val="24"/>
        </w:rPr>
        <w:t>support</w:t>
      </w:r>
      <w:r>
        <w:rPr>
          <w:spacing w:val="-5"/>
          <w:sz w:val="24"/>
        </w:rPr>
        <w:t> </w:t>
      </w:r>
      <w:r>
        <w:rPr>
          <w:sz w:val="24"/>
        </w:rPr>
        <w:t>from</w:t>
      </w:r>
      <w:r>
        <w:rPr>
          <w:spacing w:val="-3"/>
          <w:sz w:val="24"/>
        </w:rPr>
        <w:t> </w:t>
      </w:r>
      <w:r>
        <w:rPr>
          <w:sz w:val="24"/>
        </w:rPr>
        <w:t>an</w:t>
      </w:r>
      <w:r>
        <w:rPr>
          <w:spacing w:val="-4"/>
          <w:sz w:val="24"/>
        </w:rPr>
        <w:t> </w:t>
      </w:r>
      <w:r>
        <w:rPr>
          <w:sz w:val="24"/>
        </w:rPr>
        <w:t>employment</w:t>
      </w:r>
      <w:r>
        <w:rPr>
          <w:spacing w:val="-3"/>
          <w:sz w:val="24"/>
        </w:rPr>
        <w:t> </w:t>
      </w:r>
      <w:r>
        <w:rPr>
          <w:sz w:val="24"/>
        </w:rPr>
        <w:t>consultant</w:t>
      </w:r>
      <w:r>
        <w:rPr>
          <w:spacing w:val="-3"/>
          <w:sz w:val="24"/>
        </w:rPr>
        <w:t> </w:t>
      </w:r>
      <w:r>
        <w:rPr>
          <w:sz w:val="24"/>
        </w:rPr>
        <w:t>and/or</w:t>
      </w:r>
      <w:r>
        <w:rPr>
          <w:spacing w:val="-3"/>
          <w:sz w:val="24"/>
        </w:rPr>
        <w:t> </w:t>
      </w:r>
      <w:r>
        <w:rPr>
          <w:sz w:val="24"/>
        </w:rPr>
        <w:t>job</w:t>
      </w:r>
      <w:r>
        <w:rPr>
          <w:spacing w:val="-4"/>
          <w:sz w:val="24"/>
        </w:rPr>
        <w:t> </w:t>
      </w:r>
      <w:r>
        <w:rPr>
          <w:sz w:val="24"/>
        </w:rPr>
        <w:t>coach</w:t>
      </w:r>
      <w:r>
        <w:rPr>
          <w:spacing w:val="-4"/>
          <w:sz w:val="24"/>
        </w:rPr>
        <w:t> </w:t>
      </w:r>
      <w:r>
        <w:rPr>
          <w:sz w:val="24"/>
        </w:rPr>
        <w:t>to obtain and maintain a successful employment outcome;</w:t>
      </w:r>
    </w:p>
    <w:p>
      <w:pPr>
        <w:pStyle w:val="ListParagraph"/>
        <w:numPr>
          <w:ilvl w:val="1"/>
          <w:numId w:val="97"/>
        </w:numPr>
        <w:tabs>
          <w:tab w:pos="1349" w:val="left" w:leader="none"/>
        </w:tabs>
        <w:spacing w:line="208" w:lineRule="auto" w:before="240" w:after="0"/>
        <w:ind w:left="791" w:right="1081" w:firstLine="0"/>
        <w:jc w:val="left"/>
        <w:rPr>
          <w:sz w:val="24"/>
        </w:rPr>
      </w:pPr>
      <w:r>
        <w:rPr>
          <w:sz w:val="24"/>
        </w:rPr>
        <w:t>transitional employment services for individuals with the most significant disabilities</w:t>
      </w:r>
      <w:r>
        <w:rPr>
          <w:spacing w:val="-3"/>
          <w:sz w:val="24"/>
        </w:rPr>
        <w:t> </w:t>
      </w:r>
      <w:r>
        <w:rPr>
          <w:sz w:val="24"/>
        </w:rPr>
        <w:t>due</w:t>
      </w:r>
      <w:r>
        <w:rPr>
          <w:spacing w:val="-3"/>
          <w:sz w:val="24"/>
        </w:rPr>
        <w:t> </w:t>
      </w:r>
      <w:r>
        <w:rPr>
          <w:sz w:val="24"/>
        </w:rPr>
        <w:t>to</w:t>
      </w:r>
      <w:r>
        <w:rPr>
          <w:spacing w:val="-3"/>
          <w:sz w:val="24"/>
        </w:rPr>
        <w:t> </w:t>
      </w:r>
      <w:r>
        <w:rPr>
          <w:sz w:val="24"/>
        </w:rPr>
        <w:t>mental</w:t>
      </w:r>
      <w:r>
        <w:rPr>
          <w:spacing w:val="-3"/>
          <w:sz w:val="24"/>
        </w:rPr>
        <w:t> </w:t>
      </w:r>
      <w:r>
        <w:rPr>
          <w:sz w:val="24"/>
        </w:rPr>
        <w:t>illness</w:t>
      </w:r>
      <w:r>
        <w:rPr>
          <w:spacing w:val="-3"/>
          <w:sz w:val="24"/>
        </w:rPr>
        <w:t> </w:t>
      </w:r>
      <w:r>
        <w:rPr>
          <w:sz w:val="24"/>
        </w:rPr>
        <w:t>who</w:t>
      </w:r>
      <w:r>
        <w:rPr>
          <w:spacing w:val="-3"/>
          <w:sz w:val="24"/>
        </w:rPr>
        <w:t> </w:t>
      </w:r>
      <w:r>
        <w:rPr>
          <w:sz w:val="24"/>
        </w:rPr>
        <w:t>have</w:t>
      </w:r>
      <w:r>
        <w:rPr>
          <w:spacing w:val="-3"/>
          <w:sz w:val="24"/>
        </w:rPr>
        <w:t> </w:t>
      </w:r>
      <w:r>
        <w:rPr>
          <w:sz w:val="24"/>
        </w:rPr>
        <w:t>little</w:t>
      </w:r>
      <w:r>
        <w:rPr>
          <w:spacing w:val="-3"/>
          <w:sz w:val="24"/>
        </w:rPr>
        <w:t> </w:t>
      </w:r>
      <w:r>
        <w:rPr>
          <w:sz w:val="24"/>
        </w:rPr>
        <w:t>or</w:t>
      </w:r>
      <w:r>
        <w:rPr>
          <w:spacing w:val="-2"/>
          <w:sz w:val="24"/>
        </w:rPr>
        <w:t> </w:t>
      </w:r>
      <w:r>
        <w:rPr>
          <w:sz w:val="24"/>
        </w:rPr>
        <w:t>no</w:t>
      </w:r>
      <w:r>
        <w:rPr>
          <w:spacing w:val="-3"/>
          <w:sz w:val="24"/>
        </w:rPr>
        <w:t> </w:t>
      </w:r>
      <w:r>
        <w:rPr>
          <w:sz w:val="24"/>
        </w:rPr>
        <w:t>successful</w:t>
      </w:r>
      <w:r>
        <w:rPr>
          <w:spacing w:val="-3"/>
          <w:sz w:val="24"/>
        </w:rPr>
        <w:t> </w:t>
      </w:r>
      <w:r>
        <w:rPr>
          <w:sz w:val="24"/>
        </w:rPr>
        <w:t>work</w:t>
      </w:r>
      <w:r>
        <w:rPr>
          <w:spacing w:val="-3"/>
          <w:sz w:val="24"/>
        </w:rPr>
        <w:t> </w:t>
      </w:r>
      <w:r>
        <w:rPr>
          <w:sz w:val="24"/>
        </w:rPr>
        <w:t>history</w:t>
      </w:r>
      <w:r>
        <w:rPr>
          <w:spacing w:val="-3"/>
          <w:sz w:val="24"/>
        </w:rPr>
        <w:t> </w:t>
      </w:r>
      <w:r>
        <w:rPr>
          <w:sz w:val="24"/>
        </w:rPr>
        <w:t>and need work adjustment/trial work experience;</w:t>
      </w:r>
    </w:p>
    <w:p>
      <w:pPr>
        <w:pStyle w:val="ListParagraph"/>
        <w:numPr>
          <w:ilvl w:val="1"/>
          <w:numId w:val="97"/>
        </w:numPr>
        <w:tabs>
          <w:tab w:pos="1350" w:val="left" w:leader="none"/>
        </w:tabs>
        <w:spacing w:line="240" w:lineRule="auto" w:before="210" w:after="0"/>
        <w:ind w:left="1350" w:right="0" w:hanging="559"/>
        <w:jc w:val="left"/>
        <w:rPr>
          <w:sz w:val="24"/>
        </w:rPr>
      </w:pPr>
      <w:r>
        <w:rPr>
          <w:sz w:val="24"/>
        </w:rPr>
        <w:t>work</w:t>
      </w:r>
      <w:r>
        <w:rPr>
          <w:spacing w:val="-6"/>
          <w:sz w:val="24"/>
        </w:rPr>
        <w:t> </w:t>
      </w:r>
      <w:r>
        <w:rPr>
          <w:sz w:val="24"/>
        </w:rPr>
        <w:t>experiences,</w:t>
      </w:r>
      <w:r>
        <w:rPr>
          <w:spacing w:val="-3"/>
          <w:sz w:val="24"/>
        </w:rPr>
        <w:t> </w:t>
      </w:r>
      <w:r>
        <w:rPr>
          <w:sz w:val="24"/>
        </w:rPr>
        <w:t>internships,</w:t>
      </w:r>
      <w:r>
        <w:rPr>
          <w:spacing w:val="-3"/>
          <w:sz w:val="24"/>
        </w:rPr>
        <w:t> </w:t>
      </w:r>
      <w:r>
        <w:rPr>
          <w:sz w:val="24"/>
        </w:rPr>
        <w:t>and</w:t>
      </w:r>
      <w:r>
        <w:rPr>
          <w:spacing w:val="-4"/>
          <w:sz w:val="24"/>
        </w:rPr>
        <w:t> </w:t>
      </w:r>
      <w:r>
        <w:rPr>
          <w:spacing w:val="-2"/>
          <w:sz w:val="24"/>
        </w:rPr>
        <w:t>apprenticeships;</w:t>
      </w:r>
    </w:p>
    <w:p>
      <w:pPr>
        <w:pStyle w:val="ListParagraph"/>
        <w:numPr>
          <w:ilvl w:val="1"/>
          <w:numId w:val="97"/>
        </w:numPr>
        <w:tabs>
          <w:tab w:pos="1350" w:val="left" w:leader="none"/>
        </w:tabs>
        <w:spacing w:line="208" w:lineRule="auto" w:before="233" w:after="0"/>
        <w:ind w:left="791" w:right="988" w:firstLine="0"/>
        <w:jc w:val="left"/>
        <w:rPr>
          <w:sz w:val="24"/>
        </w:rPr>
      </w:pPr>
      <w:r>
        <w:rPr>
          <w:sz w:val="24"/>
        </w:rPr>
        <w:t>services</w:t>
      </w:r>
      <w:r>
        <w:rPr>
          <w:spacing w:val="-3"/>
          <w:sz w:val="24"/>
        </w:rPr>
        <w:t> </w:t>
      </w:r>
      <w:r>
        <w:rPr>
          <w:sz w:val="24"/>
        </w:rPr>
        <w:t>to</w:t>
      </w:r>
      <w:r>
        <w:rPr>
          <w:spacing w:val="-3"/>
          <w:sz w:val="24"/>
        </w:rPr>
        <w:t> </w:t>
      </w:r>
      <w:r>
        <w:rPr>
          <w:sz w:val="24"/>
        </w:rPr>
        <w:t>the</w:t>
      </w:r>
      <w:r>
        <w:rPr>
          <w:spacing w:val="-4"/>
          <w:sz w:val="24"/>
        </w:rPr>
        <w:t> </w:t>
      </w:r>
      <w:r>
        <w:rPr>
          <w:sz w:val="24"/>
        </w:rPr>
        <w:t>family</w:t>
      </w:r>
      <w:r>
        <w:rPr>
          <w:spacing w:val="-3"/>
          <w:sz w:val="24"/>
        </w:rPr>
        <w:t> </w:t>
      </w:r>
      <w:r>
        <w:rPr>
          <w:sz w:val="24"/>
        </w:rPr>
        <w:t>of</w:t>
      </w:r>
      <w:r>
        <w:rPr>
          <w:spacing w:val="-2"/>
          <w:sz w:val="24"/>
        </w:rPr>
        <w:t> </w:t>
      </w:r>
      <w:r>
        <w:rPr>
          <w:sz w:val="24"/>
        </w:rPr>
        <w:t>an</w:t>
      </w:r>
      <w:r>
        <w:rPr>
          <w:spacing w:val="-3"/>
          <w:sz w:val="24"/>
        </w:rPr>
        <w:t> </w:t>
      </w:r>
      <w:r>
        <w:rPr>
          <w:sz w:val="24"/>
        </w:rPr>
        <w:t>individual</w:t>
      </w:r>
      <w:r>
        <w:rPr>
          <w:spacing w:val="-3"/>
          <w:sz w:val="24"/>
        </w:rPr>
        <w:t> </w:t>
      </w:r>
      <w:r>
        <w:rPr>
          <w:sz w:val="24"/>
        </w:rPr>
        <w:t>with</w:t>
      </w:r>
      <w:r>
        <w:rPr>
          <w:spacing w:val="-3"/>
          <w:sz w:val="24"/>
        </w:rPr>
        <w:t> </w:t>
      </w:r>
      <w:r>
        <w:rPr>
          <w:sz w:val="24"/>
        </w:rPr>
        <w:t>a</w:t>
      </w:r>
      <w:r>
        <w:rPr>
          <w:spacing w:val="-3"/>
          <w:sz w:val="24"/>
        </w:rPr>
        <w:t> </w:t>
      </w:r>
      <w:r>
        <w:rPr>
          <w:sz w:val="24"/>
        </w:rPr>
        <w:t>disability</w:t>
      </w:r>
      <w:r>
        <w:rPr>
          <w:spacing w:val="-3"/>
          <w:sz w:val="24"/>
        </w:rPr>
        <w:t> </w:t>
      </w:r>
      <w:r>
        <w:rPr>
          <w:sz w:val="24"/>
        </w:rPr>
        <w:t>necessary</w:t>
      </w:r>
      <w:r>
        <w:rPr>
          <w:spacing w:val="-3"/>
          <w:sz w:val="24"/>
        </w:rPr>
        <w:t> </w:t>
      </w:r>
      <w:r>
        <w:rPr>
          <w:sz w:val="24"/>
        </w:rPr>
        <w:t>to</w:t>
      </w:r>
      <w:r>
        <w:rPr>
          <w:spacing w:val="-3"/>
          <w:sz w:val="24"/>
        </w:rPr>
        <w:t> </w:t>
      </w:r>
      <w:r>
        <w:rPr>
          <w:sz w:val="24"/>
        </w:rPr>
        <w:t>assist</w:t>
      </w:r>
      <w:r>
        <w:rPr>
          <w:spacing w:val="-5"/>
          <w:sz w:val="24"/>
        </w:rPr>
        <w:t> </w:t>
      </w:r>
      <w:r>
        <w:rPr>
          <w:sz w:val="24"/>
        </w:rPr>
        <w:t>the individual to achieve an employment outcome; and</w:t>
      </w:r>
    </w:p>
    <w:p>
      <w:pPr>
        <w:pStyle w:val="ListParagraph"/>
        <w:numPr>
          <w:ilvl w:val="1"/>
          <w:numId w:val="97"/>
        </w:numPr>
        <w:tabs>
          <w:tab w:pos="1350" w:val="left" w:leader="none"/>
        </w:tabs>
        <w:spacing w:line="208" w:lineRule="auto" w:before="240" w:after="0"/>
        <w:ind w:left="791" w:right="1230" w:firstLine="0"/>
        <w:jc w:val="left"/>
        <w:rPr>
          <w:sz w:val="24"/>
        </w:rPr>
      </w:pPr>
      <w:r>
        <w:rPr>
          <w:sz w:val="24"/>
        </w:rPr>
        <w:t>specific</w:t>
      </w:r>
      <w:r>
        <w:rPr>
          <w:spacing w:val="-5"/>
          <w:sz w:val="24"/>
        </w:rPr>
        <w:t> </w:t>
      </w:r>
      <w:r>
        <w:rPr>
          <w:sz w:val="24"/>
        </w:rPr>
        <w:t>post-employment</w:t>
      </w:r>
      <w:r>
        <w:rPr>
          <w:spacing w:val="-4"/>
          <w:sz w:val="24"/>
        </w:rPr>
        <w:t> </w:t>
      </w:r>
      <w:r>
        <w:rPr>
          <w:sz w:val="24"/>
        </w:rPr>
        <w:t>services</w:t>
      </w:r>
      <w:r>
        <w:rPr>
          <w:spacing w:val="-5"/>
          <w:sz w:val="24"/>
        </w:rPr>
        <w:t> </w:t>
      </w:r>
      <w:r>
        <w:rPr>
          <w:sz w:val="24"/>
        </w:rPr>
        <w:t>necessary</w:t>
      </w:r>
      <w:r>
        <w:rPr>
          <w:spacing w:val="-5"/>
          <w:sz w:val="24"/>
        </w:rPr>
        <w:t> </w:t>
      </w:r>
      <w:r>
        <w:rPr>
          <w:sz w:val="24"/>
        </w:rPr>
        <w:t>to</w:t>
      </w:r>
      <w:r>
        <w:rPr>
          <w:spacing w:val="-5"/>
          <w:sz w:val="24"/>
        </w:rPr>
        <w:t> </w:t>
      </w:r>
      <w:r>
        <w:rPr>
          <w:sz w:val="24"/>
        </w:rPr>
        <w:t>assist</w:t>
      </w:r>
      <w:r>
        <w:rPr>
          <w:spacing w:val="-4"/>
          <w:sz w:val="24"/>
        </w:rPr>
        <w:t> </w:t>
      </w:r>
      <w:r>
        <w:rPr>
          <w:sz w:val="24"/>
        </w:rPr>
        <w:t>an</w:t>
      </w:r>
      <w:r>
        <w:rPr>
          <w:spacing w:val="-5"/>
          <w:sz w:val="24"/>
        </w:rPr>
        <w:t> </w:t>
      </w:r>
      <w:r>
        <w:rPr>
          <w:sz w:val="24"/>
        </w:rPr>
        <w:t>individual</w:t>
      </w:r>
      <w:r>
        <w:rPr>
          <w:spacing w:val="-5"/>
          <w:sz w:val="24"/>
        </w:rPr>
        <w:t> </w:t>
      </w:r>
      <w:r>
        <w:rPr>
          <w:sz w:val="24"/>
        </w:rPr>
        <w:t>with</w:t>
      </w:r>
      <w:r>
        <w:rPr>
          <w:spacing w:val="-4"/>
          <w:sz w:val="24"/>
        </w:rPr>
        <w:t> </w:t>
      </w:r>
      <w:r>
        <w:rPr>
          <w:sz w:val="24"/>
        </w:rPr>
        <w:t>a disability to maintain, retain, regain, or advance in employment.</w:t>
      </w:r>
    </w:p>
    <w:p>
      <w:pPr>
        <w:pStyle w:val="ListParagraph"/>
        <w:numPr>
          <w:ilvl w:val="0"/>
          <w:numId w:val="97"/>
        </w:numPr>
        <w:tabs>
          <w:tab w:pos="772" w:val="left" w:leader="none"/>
        </w:tabs>
        <w:spacing w:line="208" w:lineRule="auto" w:before="240" w:after="0"/>
        <w:ind w:left="359" w:right="1487" w:firstLine="0"/>
        <w:jc w:val="left"/>
        <w:rPr>
          <w:b/>
          <w:sz w:val="24"/>
        </w:rPr>
      </w:pPr>
      <w:r>
        <w:rPr>
          <w:sz w:val="24"/>
        </w:rPr>
        <w:t>Vocational</w:t>
      </w:r>
      <w:r>
        <w:rPr>
          <w:spacing w:val="-5"/>
          <w:sz w:val="24"/>
        </w:rPr>
        <w:t> </w:t>
      </w:r>
      <w:r>
        <w:rPr>
          <w:sz w:val="24"/>
        </w:rPr>
        <w:t>rehabilitation</w:t>
      </w:r>
      <w:r>
        <w:rPr>
          <w:spacing w:val="-5"/>
          <w:sz w:val="24"/>
        </w:rPr>
        <w:t> </w:t>
      </w:r>
      <w:r>
        <w:rPr>
          <w:sz w:val="24"/>
        </w:rPr>
        <w:t>services</w:t>
      </w:r>
      <w:r>
        <w:rPr>
          <w:spacing w:val="-5"/>
          <w:sz w:val="24"/>
        </w:rPr>
        <w:t> </w:t>
      </w:r>
      <w:r>
        <w:rPr>
          <w:sz w:val="24"/>
        </w:rPr>
        <w:t>for</w:t>
      </w:r>
      <w:r>
        <w:rPr>
          <w:spacing w:val="-4"/>
          <w:sz w:val="24"/>
        </w:rPr>
        <w:t> </w:t>
      </w:r>
      <w:r>
        <w:rPr>
          <w:sz w:val="24"/>
        </w:rPr>
        <w:t>groups</w:t>
      </w:r>
      <w:r>
        <w:rPr>
          <w:spacing w:val="-5"/>
          <w:sz w:val="24"/>
        </w:rPr>
        <w:t> </w:t>
      </w:r>
      <w:r>
        <w:rPr>
          <w:sz w:val="24"/>
        </w:rPr>
        <w:t>of</w:t>
      </w:r>
      <w:r>
        <w:rPr>
          <w:spacing w:val="-4"/>
          <w:sz w:val="24"/>
        </w:rPr>
        <w:t> </w:t>
      </w:r>
      <w:r>
        <w:rPr>
          <w:sz w:val="24"/>
        </w:rPr>
        <w:t>individuals</w:t>
      </w:r>
      <w:r>
        <w:rPr>
          <w:spacing w:val="-5"/>
          <w:sz w:val="24"/>
        </w:rPr>
        <w:t> </w:t>
      </w:r>
      <w:r>
        <w:rPr>
          <w:sz w:val="24"/>
        </w:rPr>
        <w:t>with</w:t>
      </w:r>
      <w:r>
        <w:rPr>
          <w:spacing w:val="-5"/>
          <w:sz w:val="24"/>
        </w:rPr>
        <w:t> </w:t>
      </w:r>
      <w:r>
        <w:rPr>
          <w:sz w:val="24"/>
        </w:rPr>
        <w:t>disabilities</w:t>
      </w:r>
      <w:r>
        <w:rPr>
          <w:spacing w:val="-5"/>
          <w:sz w:val="24"/>
        </w:rPr>
        <w:t> </w:t>
      </w:r>
      <w:r>
        <w:rPr>
          <w:sz w:val="24"/>
        </w:rPr>
        <w:t>are described in 34 CFR 361.49 and include:</w:t>
      </w:r>
      <w:r>
        <w:rPr>
          <w:spacing w:val="40"/>
          <w:sz w:val="24"/>
        </w:rPr>
        <w:t> </w:t>
      </w:r>
      <w:r>
        <w:rPr>
          <w:b/>
          <w:sz w:val="24"/>
        </w:rPr>
        <w:t>2</w:t>
      </w:r>
    </w:p>
    <w:p>
      <w:pPr>
        <w:pStyle w:val="ListParagraph"/>
        <w:numPr>
          <w:ilvl w:val="1"/>
          <w:numId w:val="97"/>
        </w:numPr>
        <w:tabs>
          <w:tab w:pos="1216" w:val="left" w:leader="none"/>
        </w:tabs>
        <w:spacing w:line="208" w:lineRule="auto" w:before="240" w:after="0"/>
        <w:ind w:left="791" w:right="749" w:firstLine="0"/>
        <w:jc w:val="left"/>
        <w:rPr>
          <w:sz w:val="24"/>
        </w:rPr>
      </w:pPr>
      <w:r>
        <w:rPr>
          <w:sz w:val="24"/>
        </w:rPr>
        <w:t>In</w:t>
      </w:r>
      <w:r>
        <w:rPr>
          <w:spacing w:val="-4"/>
          <w:sz w:val="24"/>
        </w:rPr>
        <w:t> </w:t>
      </w:r>
      <w:r>
        <w:rPr>
          <w:sz w:val="24"/>
        </w:rPr>
        <w:t>the</w:t>
      </w:r>
      <w:r>
        <w:rPr>
          <w:spacing w:val="-3"/>
          <w:sz w:val="24"/>
        </w:rPr>
        <w:t> </w:t>
      </w:r>
      <w:r>
        <w:rPr>
          <w:sz w:val="24"/>
        </w:rPr>
        <w:t>case</w:t>
      </w:r>
      <w:r>
        <w:rPr>
          <w:spacing w:val="-3"/>
          <w:sz w:val="24"/>
        </w:rPr>
        <w:t> </w:t>
      </w:r>
      <w:r>
        <w:rPr>
          <w:sz w:val="24"/>
        </w:rPr>
        <w:t>of</w:t>
      </w:r>
      <w:r>
        <w:rPr>
          <w:spacing w:val="-2"/>
          <w:sz w:val="24"/>
        </w:rPr>
        <w:t> </w:t>
      </w:r>
      <w:r>
        <w:rPr>
          <w:sz w:val="24"/>
        </w:rPr>
        <w:t>any</w:t>
      </w:r>
      <w:r>
        <w:rPr>
          <w:spacing w:val="-4"/>
          <w:sz w:val="24"/>
        </w:rPr>
        <w:t> </w:t>
      </w:r>
      <w:r>
        <w:rPr>
          <w:sz w:val="24"/>
        </w:rPr>
        <w:t>type</w:t>
      </w:r>
      <w:r>
        <w:rPr>
          <w:spacing w:val="-3"/>
          <w:sz w:val="24"/>
        </w:rPr>
        <w:t> </w:t>
      </w:r>
      <w:r>
        <w:rPr>
          <w:sz w:val="24"/>
        </w:rPr>
        <w:t>of</w:t>
      </w:r>
      <w:r>
        <w:rPr>
          <w:spacing w:val="-2"/>
          <w:sz w:val="24"/>
        </w:rPr>
        <w:t> </w:t>
      </w:r>
      <w:r>
        <w:rPr>
          <w:sz w:val="24"/>
        </w:rPr>
        <w:t>small</w:t>
      </w:r>
      <w:r>
        <w:rPr>
          <w:spacing w:val="-3"/>
          <w:sz w:val="24"/>
        </w:rPr>
        <w:t> </w:t>
      </w:r>
      <w:r>
        <w:rPr>
          <w:sz w:val="24"/>
        </w:rPr>
        <w:t>business</w:t>
      </w:r>
      <w:r>
        <w:rPr>
          <w:spacing w:val="-3"/>
          <w:sz w:val="24"/>
        </w:rPr>
        <w:t> </w:t>
      </w:r>
      <w:r>
        <w:rPr>
          <w:sz w:val="24"/>
        </w:rPr>
        <w:t>operated</w:t>
      </w:r>
      <w:r>
        <w:rPr>
          <w:spacing w:val="-3"/>
          <w:sz w:val="24"/>
        </w:rPr>
        <w:t> </w:t>
      </w:r>
      <w:r>
        <w:rPr>
          <w:sz w:val="24"/>
        </w:rPr>
        <w:t>by</w:t>
      </w:r>
      <w:r>
        <w:rPr>
          <w:spacing w:val="-3"/>
          <w:sz w:val="24"/>
        </w:rPr>
        <w:t> </w:t>
      </w:r>
      <w:r>
        <w:rPr>
          <w:sz w:val="24"/>
        </w:rPr>
        <w:t>individuals</w:t>
      </w:r>
      <w:r>
        <w:rPr>
          <w:spacing w:val="-3"/>
          <w:sz w:val="24"/>
        </w:rPr>
        <w:t> </w:t>
      </w:r>
      <w:r>
        <w:rPr>
          <w:sz w:val="24"/>
        </w:rPr>
        <w:t>with</w:t>
      </w:r>
      <w:r>
        <w:rPr>
          <w:spacing w:val="-3"/>
          <w:sz w:val="24"/>
        </w:rPr>
        <w:t> </w:t>
      </w:r>
      <w:r>
        <w:rPr>
          <w:sz w:val="24"/>
        </w:rPr>
        <w:t>significant disabilities the operation of which can be improved by management services and supervision provided by DVR or DSBVI, the provision of such services and supervision, along or together with the acquisition by DVR or DSBVI of vending facilities or other equipment and initial stocks and supplies.</w:t>
      </w:r>
    </w:p>
    <w:p>
      <w:pPr>
        <w:pStyle w:val="ListParagraph"/>
        <w:spacing w:after="0" w:line="208" w:lineRule="auto"/>
        <w:jc w:val="left"/>
        <w:rPr>
          <w:sz w:val="24"/>
        </w:rPr>
        <w:sectPr>
          <w:pgSz w:w="12240" w:h="15840"/>
          <w:pgMar w:top="1340" w:bottom="280" w:left="1080" w:right="720"/>
        </w:sectPr>
      </w:pPr>
    </w:p>
    <w:p>
      <w:pPr>
        <w:pStyle w:val="ListParagraph"/>
        <w:numPr>
          <w:ilvl w:val="1"/>
          <w:numId w:val="97"/>
        </w:numPr>
        <w:tabs>
          <w:tab w:pos="1217" w:val="left" w:leader="none"/>
        </w:tabs>
        <w:spacing w:line="208" w:lineRule="auto" w:before="96" w:after="0"/>
        <w:ind w:left="791" w:right="1643" w:firstLine="0"/>
        <w:jc w:val="left"/>
        <w:rPr>
          <w:sz w:val="24"/>
        </w:rPr>
      </w:pPr>
      <w:r>
        <w:rPr>
          <w:sz w:val="24"/>
        </w:rPr>
        <w:t>Equipment</w:t>
      </w:r>
      <w:r>
        <w:rPr>
          <w:spacing w:val="-4"/>
          <w:sz w:val="24"/>
        </w:rPr>
        <w:t> </w:t>
      </w:r>
      <w:r>
        <w:rPr>
          <w:sz w:val="24"/>
        </w:rPr>
        <w:t>for</w:t>
      </w:r>
      <w:r>
        <w:rPr>
          <w:spacing w:val="-6"/>
          <w:sz w:val="24"/>
        </w:rPr>
        <w:t> </w:t>
      </w:r>
      <w:r>
        <w:rPr>
          <w:sz w:val="24"/>
        </w:rPr>
        <w:t>clients</w:t>
      </w:r>
      <w:r>
        <w:rPr>
          <w:spacing w:val="-5"/>
          <w:sz w:val="24"/>
        </w:rPr>
        <w:t> </w:t>
      </w:r>
      <w:r>
        <w:rPr>
          <w:sz w:val="24"/>
        </w:rPr>
        <w:t>who</w:t>
      </w:r>
      <w:r>
        <w:rPr>
          <w:spacing w:val="-5"/>
          <w:sz w:val="24"/>
        </w:rPr>
        <w:t> </w:t>
      </w:r>
      <w:r>
        <w:rPr>
          <w:sz w:val="24"/>
        </w:rPr>
        <w:t>are</w:t>
      </w:r>
      <w:r>
        <w:rPr>
          <w:spacing w:val="-5"/>
          <w:sz w:val="24"/>
        </w:rPr>
        <w:t> </w:t>
      </w:r>
      <w:r>
        <w:rPr>
          <w:sz w:val="24"/>
        </w:rPr>
        <w:t>going</w:t>
      </w:r>
      <w:r>
        <w:rPr>
          <w:spacing w:val="-5"/>
          <w:sz w:val="24"/>
        </w:rPr>
        <w:t> </w:t>
      </w:r>
      <w:r>
        <w:rPr>
          <w:sz w:val="24"/>
        </w:rPr>
        <w:t>into</w:t>
      </w:r>
      <w:r>
        <w:rPr>
          <w:spacing w:val="-5"/>
          <w:sz w:val="24"/>
        </w:rPr>
        <w:t> </w:t>
      </w:r>
      <w:r>
        <w:rPr>
          <w:sz w:val="24"/>
        </w:rPr>
        <w:t>self-employment</w:t>
      </w:r>
      <w:r>
        <w:rPr>
          <w:spacing w:val="-4"/>
          <w:sz w:val="24"/>
        </w:rPr>
        <w:t> </w:t>
      </w:r>
      <w:r>
        <w:rPr>
          <w:sz w:val="24"/>
        </w:rPr>
        <w:t>requires</w:t>
      </w:r>
      <w:r>
        <w:rPr>
          <w:spacing w:val="-5"/>
          <w:sz w:val="24"/>
        </w:rPr>
        <w:t> </w:t>
      </w:r>
      <w:r>
        <w:rPr>
          <w:sz w:val="24"/>
        </w:rPr>
        <w:t>prior approval from RSA.</w:t>
      </w:r>
    </w:p>
    <w:p>
      <w:pPr>
        <w:pStyle w:val="ListParagraph"/>
        <w:numPr>
          <w:ilvl w:val="1"/>
          <w:numId w:val="97"/>
        </w:numPr>
        <w:tabs>
          <w:tab w:pos="1151" w:val="left" w:leader="none"/>
        </w:tabs>
        <w:spacing w:line="208" w:lineRule="auto" w:before="240" w:after="0"/>
        <w:ind w:left="791" w:right="736" w:firstLine="0"/>
        <w:jc w:val="left"/>
        <w:rPr>
          <w:sz w:val="24"/>
        </w:rPr>
      </w:pPr>
      <w:r>
        <w:rPr>
          <w:sz w:val="24"/>
        </w:rPr>
        <w:t>Transition services to youth and students with disabilities who may not have applied or been determined eligible for vocational rehabilitation services, that</w:t>
      </w:r>
      <w:r>
        <w:rPr>
          <w:spacing w:val="40"/>
          <w:sz w:val="24"/>
        </w:rPr>
        <w:t> </w:t>
      </w:r>
      <w:r>
        <w:rPr>
          <w:sz w:val="24"/>
        </w:rPr>
        <w:t>involve collaboration of a vocational rehabilitation counselor with education agencies, programs serving individuals with developmental disabilities, businesses, workforce programs, independent living centers, housing and transportation authorities and related entities. Such services are to benefit a group of youth or students with disabilities and may not be individualized services related to an individual plan for employment. Services may include group tours of training programs</w:t>
      </w:r>
      <w:r>
        <w:rPr>
          <w:spacing w:val="-4"/>
          <w:sz w:val="24"/>
        </w:rPr>
        <w:t> </w:t>
      </w:r>
      <w:r>
        <w:rPr>
          <w:sz w:val="24"/>
        </w:rPr>
        <w:t>and</w:t>
      </w:r>
      <w:r>
        <w:rPr>
          <w:spacing w:val="-4"/>
          <w:sz w:val="24"/>
        </w:rPr>
        <w:t> </w:t>
      </w:r>
      <w:r>
        <w:rPr>
          <w:sz w:val="24"/>
        </w:rPr>
        <w:t>businesses,</w:t>
      </w:r>
      <w:r>
        <w:rPr>
          <w:spacing w:val="-4"/>
          <w:sz w:val="24"/>
        </w:rPr>
        <w:t> </w:t>
      </w:r>
      <w:r>
        <w:rPr>
          <w:sz w:val="24"/>
        </w:rPr>
        <w:t>career</w:t>
      </w:r>
      <w:r>
        <w:rPr>
          <w:spacing w:val="-5"/>
          <w:sz w:val="24"/>
        </w:rPr>
        <w:t> </w:t>
      </w:r>
      <w:r>
        <w:rPr>
          <w:sz w:val="24"/>
        </w:rPr>
        <w:t>fairs,</w:t>
      </w:r>
      <w:r>
        <w:rPr>
          <w:spacing w:val="-4"/>
          <w:sz w:val="24"/>
        </w:rPr>
        <w:t> </w:t>
      </w:r>
      <w:r>
        <w:rPr>
          <w:sz w:val="24"/>
        </w:rPr>
        <w:t>interview</w:t>
      </w:r>
      <w:r>
        <w:rPr>
          <w:spacing w:val="-4"/>
          <w:sz w:val="24"/>
        </w:rPr>
        <w:t> </w:t>
      </w:r>
      <w:r>
        <w:rPr>
          <w:sz w:val="24"/>
        </w:rPr>
        <w:t>practice,</w:t>
      </w:r>
      <w:r>
        <w:rPr>
          <w:spacing w:val="-4"/>
          <w:sz w:val="24"/>
        </w:rPr>
        <w:t> </w:t>
      </w:r>
      <w:r>
        <w:rPr>
          <w:sz w:val="24"/>
        </w:rPr>
        <w:t>resume</w:t>
      </w:r>
      <w:r>
        <w:rPr>
          <w:spacing w:val="-5"/>
          <w:sz w:val="24"/>
        </w:rPr>
        <w:t> </w:t>
      </w:r>
      <w:r>
        <w:rPr>
          <w:sz w:val="24"/>
        </w:rPr>
        <w:t>writing,</w:t>
      </w:r>
      <w:r>
        <w:rPr>
          <w:spacing w:val="-4"/>
          <w:sz w:val="24"/>
        </w:rPr>
        <w:t> </w:t>
      </w:r>
      <w:r>
        <w:rPr>
          <w:sz w:val="24"/>
        </w:rPr>
        <w:t>and</w:t>
      </w:r>
      <w:r>
        <w:rPr>
          <w:spacing w:val="-4"/>
          <w:sz w:val="24"/>
        </w:rPr>
        <w:t> </w:t>
      </w:r>
      <w:r>
        <w:rPr>
          <w:sz w:val="24"/>
        </w:rPr>
        <w:t>other group activities that support future employability.</w:t>
      </w:r>
    </w:p>
    <w:p>
      <w:pPr>
        <w:pStyle w:val="ListParagraph"/>
        <w:numPr>
          <w:ilvl w:val="1"/>
          <w:numId w:val="97"/>
        </w:numPr>
        <w:tabs>
          <w:tab w:pos="1217" w:val="left" w:leader="none"/>
        </w:tabs>
        <w:spacing w:line="208" w:lineRule="auto" w:before="239" w:after="0"/>
        <w:ind w:left="791" w:right="974" w:firstLine="0"/>
        <w:jc w:val="left"/>
        <w:rPr>
          <w:sz w:val="24"/>
        </w:rPr>
      </w:pPr>
      <w:r>
        <w:rPr>
          <w:sz w:val="24"/>
        </w:rPr>
        <w:t>High</w:t>
      </w:r>
      <w:r>
        <w:rPr>
          <w:spacing w:val="-3"/>
          <w:sz w:val="24"/>
        </w:rPr>
        <w:t> </w:t>
      </w:r>
      <w:r>
        <w:rPr>
          <w:sz w:val="24"/>
        </w:rPr>
        <w:t>school</w:t>
      </w:r>
      <w:r>
        <w:rPr>
          <w:spacing w:val="-3"/>
          <w:sz w:val="24"/>
        </w:rPr>
        <w:t> </w:t>
      </w:r>
      <w:r>
        <w:rPr>
          <w:sz w:val="24"/>
        </w:rPr>
        <w:t>students</w:t>
      </w:r>
      <w:r>
        <w:rPr>
          <w:spacing w:val="-3"/>
          <w:sz w:val="24"/>
        </w:rPr>
        <w:t> </w:t>
      </w:r>
      <w:r>
        <w:rPr>
          <w:sz w:val="24"/>
        </w:rPr>
        <w:t>who</w:t>
      </w:r>
      <w:r>
        <w:rPr>
          <w:spacing w:val="-3"/>
          <w:sz w:val="24"/>
        </w:rPr>
        <w:t> </w:t>
      </w:r>
      <w:r>
        <w:rPr>
          <w:sz w:val="24"/>
        </w:rPr>
        <w:t>have</w:t>
      </w:r>
      <w:r>
        <w:rPr>
          <w:spacing w:val="-3"/>
          <w:sz w:val="24"/>
        </w:rPr>
        <w:t> </w:t>
      </w:r>
      <w:r>
        <w:rPr>
          <w:sz w:val="24"/>
        </w:rPr>
        <w:t>a</w:t>
      </w:r>
      <w:r>
        <w:rPr>
          <w:spacing w:val="-3"/>
          <w:sz w:val="24"/>
        </w:rPr>
        <w:t> </w:t>
      </w:r>
      <w:r>
        <w:rPr>
          <w:sz w:val="24"/>
        </w:rPr>
        <w:t>disability</w:t>
      </w:r>
      <w:r>
        <w:rPr>
          <w:spacing w:val="-3"/>
          <w:sz w:val="24"/>
        </w:rPr>
        <w:t> </w:t>
      </w:r>
      <w:r>
        <w:rPr>
          <w:sz w:val="24"/>
        </w:rPr>
        <w:t>and</w:t>
      </w:r>
      <w:r>
        <w:rPr>
          <w:spacing w:val="-3"/>
          <w:sz w:val="24"/>
        </w:rPr>
        <w:t> </w:t>
      </w:r>
      <w:r>
        <w:rPr>
          <w:sz w:val="24"/>
        </w:rPr>
        <w:t>are</w:t>
      </w:r>
      <w:r>
        <w:rPr>
          <w:spacing w:val="-4"/>
          <w:sz w:val="24"/>
        </w:rPr>
        <w:t> </w:t>
      </w:r>
      <w:r>
        <w:rPr>
          <w:sz w:val="24"/>
        </w:rPr>
        <w:t>not</w:t>
      </w:r>
      <w:r>
        <w:rPr>
          <w:spacing w:val="-2"/>
          <w:sz w:val="24"/>
        </w:rPr>
        <w:t> </w:t>
      </w:r>
      <w:r>
        <w:rPr>
          <w:sz w:val="24"/>
        </w:rPr>
        <w:t>clients</w:t>
      </w:r>
      <w:r>
        <w:rPr>
          <w:spacing w:val="-3"/>
          <w:sz w:val="24"/>
        </w:rPr>
        <w:t> </w:t>
      </w:r>
      <w:r>
        <w:rPr>
          <w:sz w:val="24"/>
        </w:rPr>
        <w:t>of</w:t>
      </w:r>
      <w:r>
        <w:rPr>
          <w:spacing w:val="-2"/>
          <w:sz w:val="24"/>
        </w:rPr>
        <w:t> </w:t>
      </w:r>
      <w:r>
        <w:rPr>
          <w:sz w:val="24"/>
        </w:rPr>
        <w:t>the</w:t>
      </w:r>
      <w:r>
        <w:rPr>
          <w:spacing w:val="-3"/>
          <w:sz w:val="24"/>
        </w:rPr>
        <w:t> </w:t>
      </w:r>
      <w:r>
        <w:rPr>
          <w:sz w:val="24"/>
        </w:rPr>
        <w:t>DRS,</w:t>
      </w:r>
      <w:r>
        <w:rPr>
          <w:spacing w:val="-2"/>
          <w:sz w:val="24"/>
        </w:rPr>
        <w:t> </w:t>
      </w:r>
      <w:r>
        <w:rPr>
          <w:sz w:val="24"/>
        </w:rPr>
        <w:t>but are going to a conference or camp to provide them with the necessary tools and education for employment requires prior approval from RSA.</w:t>
      </w:r>
    </w:p>
    <w:p>
      <w:pPr>
        <w:pStyle w:val="ListParagraph"/>
        <w:numPr>
          <w:ilvl w:val="1"/>
          <w:numId w:val="97"/>
        </w:numPr>
        <w:tabs>
          <w:tab w:pos="1151" w:val="left" w:leader="none"/>
        </w:tabs>
        <w:spacing w:line="208" w:lineRule="auto" w:before="239" w:after="0"/>
        <w:ind w:left="791" w:right="774" w:firstLine="0"/>
        <w:jc w:val="left"/>
        <w:rPr>
          <w:sz w:val="24"/>
        </w:rPr>
      </w:pPr>
      <w:r>
        <w:rPr>
          <w:sz w:val="24"/>
        </w:rPr>
        <w:t>The use of telecommunications systems (including telephone, television, video description services, tactile-vibratory devices, satellite, radio, and other similar systems) that have the potential for substantially improving delivery methods of activities</w:t>
      </w:r>
      <w:r>
        <w:rPr>
          <w:spacing w:val="-4"/>
          <w:sz w:val="24"/>
        </w:rPr>
        <w:t> </w:t>
      </w:r>
      <w:r>
        <w:rPr>
          <w:sz w:val="24"/>
        </w:rPr>
        <w:t>described</w:t>
      </w:r>
      <w:r>
        <w:rPr>
          <w:spacing w:val="-4"/>
          <w:sz w:val="24"/>
        </w:rPr>
        <w:t> </w:t>
      </w:r>
      <w:r>
        <w:rPr>
          <w:sz w:val="24"/>
        </w:rPr>
        <w:t>in</w:t>
      </w:r>
      <w:r>
        <w:rPr>
          <w:spacing w:val="-3"/>
          <w:sz w:val="24"/>
        </w:rPr>
        <w:t> </w:t>
      </w:r>
      <w:r>
        <w:rPr>
          <w:sz w:val="24"/>
        </w:rPr>
        <w:t>this</w:t>
      </w:r>
      <w:r>
        <w:rPr>
          <w:spacing w:val="-4"/>
          <w:sz w:val="24"/>
        </w:rPr>
        <w:t> </w:t>
      </w:r>
      <w:r>
        <w:rPr>
          <w:sz w:val="24"/>
        </w:rPr>
        <w:t>section</w:t>
      </w:r>
      <w:r>
        <w:rPr>
          <w:spacing w:val="-4"/>
          <w:sz w:val="24"/>
        </w:rPr>
        <w:t> </w:t>
      </w:r>
      <w:r>
        <w:rPr>
          <w:sz w:val="24"/>
        </w:rPr>
        <w:t>and</w:t>
      </w:r>
      <w:r>
        <w:rPr>
          <w:spacing w:val="-4"/>
          <w:sz w:val="24"/>
        </w:rPr>
        <w:t> </w:t>
      </w:r>
      <w:r>
        <w:rPr>
          <w:sz w:val="24"/>
        </w:rPr>
        <w:t>developing</w:t>
      </w:r>
      <w:r>
        <w:rPr>
          <w:spacing w:val="-4"/>
          <w:sz w:val="24"/>
        </w:rPr>
        <w:t> </w:t>
      </w:r>
      <w:r>
        <w:rPr>
          <w:sz w:val="24"/>
        </w:rPr>
        <w:t>appropriate</w:t>
      </w:r>
      <w:r>
        <w:rPr>
          <w:spacing w:val="-4"/>
          <w:sz w:val="24"/>
        </w:rPr>
        <w:t> </w:t>
      </w:r>
      <w:r>
        <w:rPr>
          <w:sz w:val="24"/>
        </w:rPr>
        <w:t>programming</w:t>
      </w:r>
      <w:r>
        <w:rPr>
          <w:spacing w:val="-4"/>
          <w:sz w:val="24"/>
        </w:rPr>
        <w:t> </w:t>
      </w:r>
      <w:r>
        <w:rPr>
          <w:sz w:val="24"/>
        </w:rPr>
        <w:t>to</w:t>
      </w:r>
      <w:r>
        <w:rPr>
          <w:spacing w:val="-4"/>
          <w:sz w:val="24"/>
        </w:rPr>
        <w:t> </w:t>
      </w:r>
      <w:r>
        <w:rPr>
          <w:sz w:val="24"/>
        </w:rPr>
        <w:t>meet the particular needs of individuals with disabilities;</w:t>
      </w:r>
    </w:p>
    <w:p>
      <w:pPr>
        <w:pStyle w:val="ListParagraph"/>
        <w:numPr>
          <w:ilvl w:val="1"/>
          <w:numId w:val="97"/>
        </w:numPr>
        <w:tabs>
          <w:tab w:pos="1151" w:val="left" w:leader="none"/>
        </w:tabs>
        <w:spacing w:line="208" w:lineRule="auto" w:before="240" w:after="0"/>
        <w:ind w:left="791" w:right="1003" w:firstLine="0"/>
        <w:jc w:val="left"/>
        <w:rPr>
          <w:sz w:val="24"/>
        </w:rPr>
      </w:pPr>
      <w:r>
        <w:rPr>
          <w:sz w:val="24"/>
        </w:rPr>
        <w:t>Special</w:t>
      </w:r>
      <w:r>
        <w:rPr>
          <w:spacing w:val="-4"/>
          <w:sz w:val="24"/>
        </w:rPr>
        <w:t> </w:t>
      </w:r>
      <w:r>
        <w:rPr>
          <w:sz w:val="24"/>
        </w:rPr>
        <w:t>services</w:t>
      </w:r>
      <w:r>
        <w:rPr>
          <w:spacing w:val="-4"/>
          <w:sz w:val="24"/>
        </w:rPr>
        <w:t> </w:t>
      </w:r>
      <w:r>
        <w:rPr>
          <w:sz w:val="24"/>
        </w:rPr>
        <w:t>to</w:t>
      </w:r>
      <w:r>
        <w:rPr>
          <w:spacing w:val="-5"/>
          <w:sz w:val="24"/>
        </w:rPr>
        <w:t> </w:t>
      </w:r>
      <w:r>
        <w:rPr>
          <w:sz w:val="24"/>
        </w:rPr>
        <w:t>provide</w:t>
      </w:r>
      <w:r>
        <w:rPr>
          <w:spacing w:val="-4"/>
          <w:sz w:val="24"/>
        </w:rPr>
        <w:t> </w:t>
      </w:r>
      <w:r>
        <w:rPr>
          <w:sz w:val="24"/>
        </w:rPr>
        <w:t>access</w:t>
      </w:r>
      <w:r>
        <w:rPr>
          <w:spacing w:val="-4"/>
          <w:sz w:val="24"/>
        </w:rPr>
        <w:t> </w:t>
      </w:r>
      <w:r>
        <w:rPr>
          <w:sz w:val="24"/>
        </w:rPr>
        <w:t>to</w:t>
      </w:r>
      <w:r>
        <w:rPr>
          <w:spacing w:val="-4"/>
          <w:sz w:val="24"/>
        </w:rPr>
        <w:t> </w:t>
      </w:r>
      <w:r>
        <w:rPr>
          <w:sz w:val="24"/>
        </w:rPr>
        <w:t>information</w:t>
      </w:r>
      <w:r>
        <w:rPr>
          <w:spacing w:val="-4"/>
          <w:sz w:val="24"/>
        </w:rPr>
        <w:t> </w:t>
      </w:r>
      <w:r>
        <w:rPr>
          <w:sz w:val="24"/>
        </w:rPr>
        <w:t>for</w:t>
      </w:r>
      <w:r>
        <w:rPr>
          <w:spacing w:val="-3"/>
          <w:sz w:val="24"/>
        </w:rPr>
        <w:t> </w:t>
      </w:r>
      <w:r>
        <w:rPr>
          <w:sz w:val="24"/>
        </w:rPr>
        <w:t>individuals</w:t>
      </w:r>
      <w:r>
        <w:rPr>
          <w:spacing w:val="-3"/>
          <w:sz w:val="24"/>
        </w:rPr>
        <w:t> </w:t>
      </w:r>
      <w:r>
        <w:rPr>
          <w:sz w:val="24"/>
        </w:rPr>
        <w:t>who</w:t>
      </w:r>
      <w:r>
        <w:rPr>
          <w:spacing w:val="-4"/>
          <w:sz w:val="24"/>
        </w:rPr>
        <w:t> </w:t>
      </w:r>
      <w:r>
        <w:rPr>
          <w:sz w:val="24"/>
        </w:rPr>
        <w:t>are</w:t>
      </w:r>
      <w:r>
        <w:rPr>
          <w:spacing w:val="-4"/>
          <w:sz w:val="24"/>
        </w:rPr>
        <w:t> </w:t>
      </w:r>
      <w:r>
        <w:rPr>
          <w:sz w:val="24"/>
        </w:rPr>
        <w:t>blind, visually impaired, deaf, hard of hearing or deaf-blind including:</w:t>
      </w:r>
    </w:p>
    <w:p>
      <w:pPr>
        <w:pStyle w:val="ListParagraph"/>
        <w:numPr>
          <w:ilvl w:val="2"/>
          <w:numId w:val="97"/>
        </w:numPr>
        <w:tabs>
          <w:tab w:pos="1675" w:val="left" w:leader="none"/>
        </w:tabs>
        <w:spacing w:line="208" w:lineRule="auto" w:before="240" w:after="0"/>
        <w:ind w:left="1223" w:right="1782" w:firstLine="0"/>
        <w:jc w:val="left"/>
        <w:rPr>
          <w:sz w:val="24"/>
        </w:rPr>
      </w:pPr>
      <w:r>
        <w:rPr>
          <w:sz w:val="24"/>
        </w:rPr>
        <w:t>the</w:t>
      </w:r>
      <w:r>
        <w:rPr>
          <w:spacing w:val="-5"/>
          <w:sz w:val="24"/>
        </w:rPr>
        <w:t> </w:t>
      </w:r>
      <w:r>
        <w:rPr>
          <w:sz w:val="24"/>
        </w:rPr>
        <w:t>use</w:t>
      </w:r>
      <w:r>
        <w:rPr>
          <w:spacing w:val="-5"/>
          <w:sz w:val="24"/>
        </w:rPr>
        <w:t> </w:t>
      </w:r>
      <w:r>
        <w:rPr>
          <w:sz w:val="24"/>
        </w:rPr>
        <w:t>of</w:t>
      </w:r>
      <w:r>
        <w:rPr>
          <w:spacing w:val="-4"/>
          <w:sz w:val="24"/>
        </w:rPr>
        <w:t> </w:t>
      </w:r>
      <w:r>
        <w:rPr>
          <w:sz w:val="24"/>
        </w:rPr>
        <w:t>telecommunications,</w:t>
      </w:r>
      <w:r>
        <w:rPr>
          <w:spacing w:val="-4"/>
          <w:sz w:val="24"/>
        </w:rPr>
        <w:t> </w:t>
      </w:r>
      <w:r>
        <w:rPr>
          <w:sz w:val="24"/>
        </w:rPr>
        <w:t>Braille,</w:t>
      </w:r>
      <w:r>
        <w:rPr>
          <w:spacing w:val="-4"/>
          <w:sz w:val="24"/>
        </w:rPr>
        <w:t> </w:t>
      </w:r>
      <w:r>
        <w:rPr>
          <w:sz w:val="24"/>
        </w:rPr>
        <w:t>sound</w:t>
      </w:r>
      <w:r>
        <w:rPr>
          <w:spacing w:val="-5"/>
          <w:sz w:val="24"/>
        </w:rPr>
        <w:t> </w:t>
      </w:r>
      <w:r>
        <w:rPr>
          <w:sz w:val="24"/>
        </w:rPr>
        <w:t>recordings,</w:t>
      </w:r>
      <w:r>
        <w:rPr>
          <w:spacing w:val="-4"/>
          <w:sz w:val="24"/>
        </w:rPr>
        <w:t> </w:t>
      </w:r>
      <w:r>
        <w:rPr>
          <w:sz w:val="24"/>
        </w:rPr>
        <w:t>or</w:t>
      </w:r>
      <w:r>
        <w:rPr>
          <w:spacing w:val="-4"/>
          <w:sz w:val="24"/>
        </w:rPr>
        <w:t> </w:t>
      </w:r>
      <w:r>
        <w:rPr>
          <w:sz w:val="24"/>
        </w:rPr>
        <w:t>other appropriate media;</w:t>
      </w:r>
    </w:p>
    <w:p>
      <w:pPr>
        <w:pStyle w:val="ListParagraph"/>
        <w:numPr>
          <w:ilvl w:val="2"/>
          <w:numId w:val="97"/>
        </w:numPr>
        <w:tabs>
          <w:tab w:pos="1676" w:val="left" w:leader="none"/>
        </w:tabs>
        <w:spacing w:line="208" w:lineRule="auto" w:before="239" w:after="0"/>
        <w:ind w:left="1223" w:right="968" w:firstLine="0"/>
        <w:jc w:val="left"/>
        <w:rPr>
          <w:sz w:val="24"/>
        </w:rPr>
      </w:pPr>
      <w:r>
        <w:rPr>
          <w:sz w:val="24"/>
        </w:rPr>
        <w:t>captioned</w:t>
      </w:r>
      <w:r>
        <w:rPr>
          <w:spacing w:val="-4"/>
          <w:sz w:val="24"/>
        </w:rPr>
        <w:t> </w:t>
      </w:r>
      <w:r>
        <w:rPr>
          <w:sz w:val="24"/>
        </w:rPr>
        <w:t>television,</w:t>
      </w:r>
      <w:r>
        <w:rPr>
          <w:spacing w:val="-3"/>
          <w:sz w:val="24"/>
        </w:rPr>
        <w:t> </w:t>
      </w:r>
      <w:r>
        <w:rPr>
          <w:sz w:val="24"/>
        </w:rPr>
        <w:t>films,</w:t>
      </w:r>
      <w:r>
        <w:rPr>
          <w:spacing w:val="-3"/>
          <w:sz w:val="24"/>
        </w:rPr>
        <w:t> </w:t>
      </w:r>
      <w:r>
        <w:rPr>
          <w:sz w:val="24"/>
        </w:rPr>
        <w:t>or</w:t>
      </w:r>
      <w:r>
        <w:rPr>
          <w:spacing w:val="-5"/>
          <w:sz w:val="24"/>
        </w:rPr>
        <w:t> </w:t>
      </w:r>
      <w:r>
        <w:rPr>
          <w:sz w:val="24"/>
        </w:rPr>
        <w:t>video</w:t>
      </w:r>
      <w:r>
        <w:rPr>
          <w:spacing w:val="-4"/>
          <w:sz w:val="24"/>
        </w:rPr>
        <w:t> </w:t>
      </w:r>
      <w:r>
        <w:rPr>
          <w:sz w:val="24"/>
        </w:rPr>
        <w:t>cassettes</w:t>
      </w:r>
      <w:r>
        <w:rPr>
          <w:spacing w:val="-4"/>
          <w:sz w:val="24"/>
        </w:rPr>
        <w:t> </w:t>
      </w:r>
      <w:r>
        <w:rPr>
          <w:sz w:val="24"/>
        </w:rPr>
        <w:t>for</w:t>
      </w:r>
      <w:r>
        <w:rPr>
          <w:spacing w:val="-5"/>
          <w:sz w:val="24"/>
        </w:rPr>
        <w:t> </w:t>
      </w:r>
      <w:r>
        <w:rPr>
          <w:sz w:val="24"/>
        </w:rPr>
        <w:t>individuals</w:t>
      </w:r>
      <w:r>
        <w:rPr>
          <w:spacing w:val="-4"/>
          <w:sz w:val="24"/>
        </w:rPr>
        <w:t> </w:t>
      </w:r>
      <w:r>
        <w:rPr>
          <w:sz w:val="24"/>
        </w:rPr>
        <w:t>who</w:t>
      </w:r>
      <w:r>
        <w:rPr>
          <w:spacing w:val="-4"/>
          <w:sz w:val="24"/>
        </w:rPr>
        <w:t> </w:t>
      </w:r>
      <w:r>
        <w:rPr>
          <w:sz w:val="24"/>
        </w:rPr>
        <w:t>are</w:t>
      </w:r>
      <w:r>
        <w:rPr>
          <w:spacing w:val="-4"/>
          <w:sz w:val="24"/>
        </w:rPr>
        <w:t> </w:t>
      </w:r>
      <w:r>
        <w:rPr>
          <w:sz w:val="24"/>
        </w:rPr>
        <w:t>deaf or hard of hearing;</w:t>
      </w:r>
    </w:p>
    <w:p>
      <w:pPr>
        <w:pStyle w:val="ListParagraph"/>
        <w:numPr>
          <w:ilvl w:val="2"/>
          <w:numId w:val="97"/>
        </w:numPr>
        <w:tabs>
          <w:tab w:pos="1688" w:val="left" w:leader="none"/>
        </w:tabs>
        <w:spacing w:line="240" w:lineRule="auto" w:before="211" w:after="0"/>
        <w:ind w:left="1688" w:right="0" w:hanging="465"/>
        <w:jc w:val="left"/>
        <w:rPr>
          <w:sz w:val="24"/>
        </w:rPr>
      </w:pPr>
      <w:r>
        <w:rPr>
          <w:sz w:val="24"/>
        </w:rPr>
        <w:t>tactile</w:t>
      </w:r>
      <w:r>
        <w:rPr>
          <w:spacing w:val="-4"/>
          <w:sz w:val="24"/>
        </w:rPr>
        <w:t> </w:t>
      </w:r>
      <w:r>
        <w:rPr>
          <w:sz w:val="24"/>
        </w:rPr>
        <w:t>materials</w:t>
      </w:r>
      <w:r>
        <w:rPr>
          <w:spacing w:val="-4"/>
          <w:sz w:val="24"/>
        </w:rPr>
        <w:t> </w:t>
      </w:r>
      <w:r>
        <w:rPr>
          <w:sz w:val="24"/>
        </w:rPr>
        <w:t>for</w:t>
      </w:r>
      <w:r>
        <w:rPr>
          <w:spacing w:val="-3"/>
          <w:sz w:val="24"/>
        </w:rPr>
        <w:t> </w:t>
      </w:r>
      <w:r>
        <w:rPr>
          <w:sz w:val="24"/>
        </w:rPr>
        <w:t>individuals</w:t>
      </w:r>
      <w:r>
        <w:rPr>
          <w:spacing w:val="-4"/>
          <w:sz w:val="24"/>
        </w:rPr>
        <w:t> </w:t>
      </w:r>
      <w:r>
        <w:rPr>
          <w:sz w:val="24"/>
        </w:rPr>
        <w:t>who</w:t>
      </w:r>
      <w:r>
        <w:rPr>
          <w:spacing w:val="-4"/>
          <w:sz w:val="24"/>
        </w:rPr>
        <w:t> </w:t>
      </w:r>
      <w:r>
        <w:rPr>
          <w:sz w:val="24"/>
        </w:rPr>
        <w:t>are</w:t>
      </w:r>
      <w:r>
        <w:rPr>
          <w:spacing w:val="-4"/>
          <w:sz w:val="24"/>
        </w:rPr>
        <w:t> </w:t>
      </w:r>
      <w:r>
        <w:rPr>
          <w:sz w:val="24"/>
        </w:rPr>
        <w:t>deaf-blind;</w:t>
      </w:r>
      <w:r>
        <w:rPr>
          <w:spacing w:val="-2"/>
          <w:sz w:val="24"/>
        </w:rPr>
        <w:t> </w:t>
      </w:r>
      <w:r>
        <w:rPr>
          <w:spacing w:val="-5"/>
          <w:sz w:val="24"/>
        </w:rPr>
        <w:t>and</w:t>
      </w:r>
    </w:p>
    <w:p>
      <w:pPr>
        <w:pStyle w:val="ListParagraph"/>
        <w:numPr>
          <w:ilvl w:val="2"/>
          <w:numId w:val="97"/>
        </w:numPr>
        <w:tabs>
          <w:tab w:pos="1689" w:val="left" w:leader="none"/>
        </w:tabs>
        <w:spacing w:line="208" w:lineRule="auto" w:before="233" w:after="0"/>
        <w:ind w:left="1223" w:right="1169" w:firstLine="0"/>
        <w:jc w:val="left"/>
        <w:rPr>
          <w:sz w:val="24"/>
        </w:rPr>
      </w:pPr>
      <w:r>
        <w:rPr>
          <w:sz w:val="24"/>
        </w:rPr>
        <w:t>other</w:t>
      </w:r>
      <w:r>
        <w:rPr>
          <w:spacing w:val="-6"/>
          <w:sz w:val="24"/>
        </w:rPr>
        <w:t> </w:t>
      </w:r>
      <w:r>
        <w:rPr>
          <w:sz w:val="24"/>
        </w:rPr>
        <w:t>special</w:t>
      </w:r>
      <w:r>
        <w:rPr>
          <w:spacing w:val="-5"/>
          <w:sz w:val="24"/>
        </w:rPr>
        <w:t> </w:t>
      </w:r>
      <w:r>
        <w:rPr>
          <w:sz w:val="24"/>
        </w:rPr>
        <w:t>services</w:t>
      </w:r>
      <w:r>
        <w:rPr>
          <w:spacing w:val="-5"/>
          <w:sz w:val="24"/>
        </w:rPr>
        <w:t> </w:t>
      </w:r>
      <w:r>
        <w:rPr>
          <w:sz w:val="24"/>
        </w:rPr>
        <w:t>that</w:t>
      </w:r>
      <w:r>
        <w:rPr>
          <w:spacing w:val="-4"/>
          <w:sz w:val="24"/>
        </w:rPr>
        <w:t> </w:t>
      </w:r>
      <w:r>
        <w:rPr>
          <w:sz w:val="24"/>
        </w:rPr>
        <w:t>provide</w:t>
      </w:r>
      <w:r>
        <w:rPr>
          <w:spacing w:val="-5"/>
          <w:sz w:val="24"/>
        </w:rPr>
        <w:t> </w:t>
      </w:r>
      <w:r>
        <w:rPr>
          <w:sz w:val="24"/>
        </w:rPr>
        <w:t>information</w:t>
      </w:r>
      <w:r>
        <w:rPr>
          <w:spacing w:val="-5"/>
          <w:sz w:val="24"/>
        </w:rPr>
        <w:t> </w:t>
      </w:r>
      <w:r>
        <w:rPr>
          <w:sz w:val="24"/>
        </w:rPr>
        <w:t>through</w:t>
      </w:r>
      <w:r>
        <w:rPr>
          <w:spacing w:val="-5"/>
          <w:sz w:val="24"/>
        </w:rPr>
        <w:t> </w:t>
      </w:r>
      <w:r>
        <w:rPr>
          <w:sz w:val="24"/>
        </w:rPr>
        <w:t>tactile,</w:t>
      </w:r>
      <w:r>
        <w:rPr>
          <w:spacing w:val="-4"/>
          <w:sz w:val="24"/>
        </w:rPr>
        <w:t> </w:t>
      </w:r>
      <w:r>
        <w:rPr>
          <w:sz w:val="24"/>
        </w:rPr>
        <w:t>vibratory, auditory, and visual media.</w:t>
      </w:r>
    </w:p>
    <w:p>
      <w:pPr>
        <w:pStyle w:val="ListParagraph"/>
        <w:numPr>
          <w:ilvl w:val="1"/>
          <w:numId w:val="97"/>
        </w:numPr>
        <w:tabs>
          <w:tab w:pos="1151" w:val="left" w:leader="none"/>
        </w:tabs>
        <w:spacing w:line="208" w:lineRule="auto" w:before="240" w:after="0"/>
        <w:ind w:left="791" w:right="961" w:firstLine="0"/>
        <w:jc w:val="left"/>
        <w:rPr>
          <w:sz w:val="24"/>
        </w:rPr>
      </w:pPr>
      <w:r>
        <w:rPr>
          <w:sz w:val="24"/>
        </w:rPr>
        <w:t>Technical</w:t>
      </w:r>
      <w:r>
        <w:rPr>
          <w:spacing w:val="-4"/>
          <w:sz w:val="24"/>
        </w:rPr>
        <w:t> </w:t>
      </w:r>
      <w:r>
        <w:rPr>
          <w:sz w:val="24"/>
        </w:rPr>
        <w:t>assistance</w:t>
      </w:r>
      <w:r>
        <w:rPr>
          <w:spacing w:val="-4"/>
          <w:sz w:val="24"/>
        </w:rPr>
        <w:t> </w:t>
      </w:r>
      <w:r>
        <w:rPr>
          <w:sz w:val="24"/>
        </w:rPr>
        <w:t>to</w:t>
      </w:r>
      <w:r>
        <w:rPr>
          <w:spacing w:val="-4"/>
          <w:sz w:val="24"/>
        </w:rPr>
        <w:t> </w:t>
      </w:r>
      <w:r>
        <w:rPr>
          <w:sz w:val="24"/>
        </w:rPr>
        <w:t>businesses</w:t>
      </w:r>
      <w:r>
        <w:rPr>
          <w:spacing w:val="-4"/>
          <w:sz w:val="24"/>
        </w:rPr>
        <w:t> </w:t>
      </w:r>
      <w:r>
        <w:rPr>
          <w:sz w:val="24"/>
        </w:rPr>
        <w:t>that</w:t>
      </w:r>
      <w:r>
        <w:rPr>
          <w:spacing w:val="-5"/>
          <w:sz w:val="24"/>
        </w:rPr>
        <w:t> </w:t>
      </w:r>
      <w:r>
        <w:rPr>
          <w:sz w:val="24"/>
        </w:rPr>
        <w:t>are</w:t>
      </w:r>
      <w:r>
        <w:rPr>
          <w:spacing w:val="-4"/>
          <w:sz w:val="24"/>
        </w:rPr>
        <w:t> </w:t>
      </w:r>
      <w:r>
        <w:rPr>
          <w:sz w:val="24"/>
        </w:rPr>
        <w:t>seeking</w:t>
      </w:r>
      <w:r>
        <w:rPr>
          <w:spacing w:val="-4"/>
          <w:sz w:val="24"/>
        </w:rPr>
        <w:t> </w:t>
      </w:r>
      <w:r>
        <w:rPr>
          <w:sz w:val="24"/>
        </w:rPr>
        <w:t>to</w:t>
      </w:r>
      <w:r>
        <w:rPr>
          <w:spacing w:val="-4"/>
          <w:sz w:val="24"/>
        </w:rPr>
        <w:t> </w:t>
      </w:r>
      <w:r>
        <w:rPr>
          <w:sz w:val="24"/>
        </w:rPr>
        <w:t>employ</w:t>
      </w:r>
      <w:r>
        <w:rPr>
          <w:spacing w:val="-4"/>
          <w:sz w:val="24"/>
        </w:rPr>
        <w:t> </w:t>
      </w:r>
      <w:r>
        <w:rPr>
          <w:sz w:val="24"/>
        </w:rPr>
        <w:t>individuals</w:t>
      </w:r>
      <w:r>
        <w:rPr>
          <w:spacing w:val="-4"/>
          <w:sz w:val="24"/>
        </w:rPr>
        <w:t> </w:t>
      </w:r>
      <w:r>
        <w:rPr>
          <w:sz w:val="24"/>
        </w:rPr>
        <w:t>with </w:t>
      </w:r>
      <w:r>
        <w:rPr>
          <w:spacing w:val="-2"/>
          <w:sz w:val="24"/>
        </w:rPr>
        <w:t>disabilities.</w:t>
      </w:r>
    </w:p>
    <w:p>
      <w:pPr>
        <w:pStyle w:val="ListParagraph"/>
        <w:numPr>
          <w:ilvl w:val="1"/>
          <w:numId w:val="97"/>
        </w:numPr>
        <w:tabs>
          <w:tab w:pos="1151" w:val="left" w:leader="none"/>
        </w:tabs>
        <w:spacing w:line="208" w:lineRule="auto" w:before="240" w:after="0"/>
        <w:ind w:left="791" w:right="815" w:firstLine="0"/>
        <w:jc w:val="left"/>
        <w:rPr>
          <w:sz w:val="24"/>
        </w:rPr>
      </w:pPr>
      <w:r>
        <w:rPr>
          <w:sz w:val="24"/>
        </w:rPr>
        <w:t>Consultative</w:t>
      </w:r>
      <w:r>
        <w:rPr>
          <w:spacing w:val="-5"/>
          <w:sz w:val="24"/>
        </w:rPr>
        <w:t> </w:t>
      </w:r>
      <w:r>
        <w:rPr>
          <w:sz w:val="24"/>
        </w:rPr>
        <w:t>and</w:t>
      </w:r>
      <w:r>
        <w:rPr>
          <w:spacing w:val="-5"/>
          <w:sz w:val="24"/>
        </w:rPr>
        <w:t> </w:t>
      </w:r>
      <w:r>
        <w:rPr>
          <w:sz w:val="24"/>
        </w:rPr>
        <w:t>technical</w:t>
      </w:r>
      <w:r>
        <w:rPr>
          <w:spacing w:val="-5"/>
          <w:sz w:val="24"/>
        </w:rPr>
        <w:t> </w:t>
      </w:r>
      <w:r>
        <w:rPr>
          <w:sz w:val="24"/>
        </w:rPr>
        <w:t>assistance</w:t>
      </w:r>
      <w:r>
        <w:rPr>
          <w:spacing w:val="-5"/>
          <w:sz w:val="24"/>
        </w:rPr>
        <w:t> </w:t>
      </w:r>
      <w:r>
        <w:rPr>
          <w:sz w:val="24"/>
        </w:rPr>
        <w:t>services</w:t>
      </w:r>
      <w:r>
        <w:rPr>
          <w:spacing w:val="-5"/>
          <w:sz w:val="24"/>
        </w:rPr>
        <w:t> </w:t>
      </w:r>
      <w:r>
        <w:rPr>
          <w:sz w:val="24"/>
        </w:rPr>
        <w:t>to</w:t>
      </w:r>
      <w:r>
        <w:rPr>
          <w:spacing w:val="-5"/>
          <w:sz w:val="24"/>
        </w:rPr>
        <w:t> </w:t>
      </w:r>
      <w:r>
        <w:rPr>
          <w:sz w:val="24"/>
        </w:rPr>
        <w:t>assist</w:t>
      </w:r>
      <w:r>
        <w:rPr>
          <w:spacing w:val="-4"/>
          <w:sz w:val="24"/>
        </w:rPr>
        <w:t> </w:t>
      </w:r>
      <w:r>
        <w:rPr>
          <w:sz w:val="24"/>
        </w:rPr>
        <w:t>educational</w:t>
      </w:r>
      <w:r>
        <w:rPr>
          <w:spacing w:val="-5"/>
          <w:sz w:val="24"/>
        </w:rPr>
        <w:t> </w:t>
      </w:r>
      <w:r>
        <w:rPr>
          <w:sz w:val="24"/>
        </w:rPr>
        <w:t>agencies</w:t>
      </w:r>
      <w:r>
        <w:rPr>
          <w:spacing w:val="-5"/>
          <w:sz w:val="24"/>
        </w:rPr>
        <w:t> </w:t>
      </w:r>
      <w:r>
        <w:rPr>
          <w:sz w:val="24"/>
        </w:rPr>
        <w:t>in planning for the transition of students with disabilities from school to post-school activities, including employment.</w:t>
      </w:r>
    </w:p>
    <w:p>
      <w:pPr>
        <w:pStyle w:val="ListParagraph"/>
        <w:numPr>
          <w:ilvl w:val="1"/>
          <w:numId w:val="97"/>
        </w:numPr>
        <w:tabs>
          <w:tab w:pos="1151" w:val="left" w:leader="none"/>
        </w:tabs>
        <w:spacing w:line="208" w:lineRule="auto" w:before="240" w:after="0"/>
        <w:ind w:left="791" w:right="1601" w:firstLine="0"/>
        <w:jc w:val="left"/>
        <w:rPr>
          <w:sz w:val="24"/>
        </w:rPr>
      </w:pPr>
      <w:r>
        <w:rPr>
          <w:sz w:val="24"/>
        </w:rPr>
        <w:t>The</w:t>
      </w:r>
      <w:r>
        <w:rPr>
          <w:spacing w:val="-6"/>
          <w:sz w:val="24"/>
        </w:rPr>
        <w:t> </w:t>
      </w:r>
      <w:r>
        <w:rPr>
          <w:sz w:val="24"/>
        </w:rPr>
        <w:t>establishment,</w:t>
      </w:r>
      <w:r>
        <w:rPr>
          <w:spacing w:val="-5"/>
          <w:sz w:val="24"/>
        </w:rPr>
        <w:t> </w:t>
      </w:r>
      <w:r>
        <w:rPr>
          <w:sz w:val="24"/>
        </w:rPr>
        <w:t>development</w:t>
      </w:r>
      <w:r>
        <w:rPr>
          <w:spacing w:val="-5"/>
          <w:sz w:val="24"/>
        </w:rPr>
        <w:t> </w:t>
      </w:r>
      <w:r>
        <w:rPr>
          <w:sz w:val="24"/>
        </w:rPr>
        <w:t>or</w:t>
      </w:r>
      <w:r>
        <w:rPr>
          <w:spacing w:val="-5"/>
          <w:sz w:val="24"/>
        </w:rPr>
        <w:t> </w:t>
      </w:r>
      <w:r>
        <w:rPr>
          <w:sz w:val="24"/>
        </w:rPr>
        <w:t>improvement</w:t>
      </w:r>
      <w:r>
        <w:rPr>
          <w:spacing w:val="-5"/>
          <w:sz w:val="24"/>
        </w:rPr>
        <w:t> </w:t>
      </w:r>
      <w:r>
        <w:rPr>
          <w:sz w:val="24"/>
        </w:rPr>
        <w:t>of</w:t>
      </w:r>
      <w:r>
        <w:rPr>
          <w:spacing w:val="-7"/>
          <w:sz w:val="24"/>
        </w:rPr>
        <w:t> </w:t>
      </w:r>
      <w:r>
        <w:rPr>
          <w:sz w:val="24"/>
        </w:rPr>
        <w:t>assistive</w:t>
      </w:r>
      <w:r>
        <w:rPr>
          <w:spacing w:val="-6"/>
          <w:sz w:val="24"/>
        </w:rPr>
        <w:t> </w:t>
      </w:r>
      <w:r>
        <w:rPr>
          <w:sz w:val="24"/>
        </w:rPr>
        <w:t>technology demonstration, loan, reutilization or financing programs in coordination with activities authorized under the Assistive Technology Act of 1998.</w:t>
      </w:r>
    </w:p>
    <w:p>
      <w:pPr>
        <w:pStyle w:val="ListParagraph"/>
        <w:numPr>
          <w:ilvl w:val="1"/>
          <w:numId w:val="97"/>
        </w:numPr>
        <w:tabs>
          <w:tab w:pos="1283" w:val="left" w:leader="none"/>
        </w:tabs>
        <w:spacing w:line="208" w:lineRule="auto" w:before="239" w:after="0"/>
        <w:ind w:left="791" w:right="828" w:firstLine="0"/>
        <w:jc w:val="left"/>
        <w:rPr>
          <w:sz w:val="24"/>
        </w:rPr>
      </w:pPr>
      <w:r>
        <w:rPr>
          <w:sz w:val="24"/>
        </w:rPr>
        <w:t>The</w:t>
      </w:r>
      <w:r>
        <w:rPr>
          <w:spacing w:val="-5"/>
          <w:sz w:val="24"/>
        </w:rPr>
        <w:t> </w:t>
      </w:r>
      <w:r>
        <w:rPr>
          <w:sz w:val="24"/>
        </w:rPr>
        <w:t>establishment,</w:t>
      </w:r>
      <w:r>
        <w:rPr>
          <w:spacing w:val="-4"/>
          <w:sz w:val="24"/>
        </w:rPr>
        <w:t> </w:t>
      </w:r>
      <w:r>
        <w:rPr>
          <w:sz w:val="24"/>
        </w:rPr>
        <w:t>development</w:t>
      </w:r>
      <w:r>
        <w:rPr>
          <w:spacing w:val="-4"/>
          <w:sz w:val="24"/>
        </w:rPr>
        <w:t> </w:t>
      </w:r>
      <w:r>
        <w:rPr>
          <w:sz w:val="24"/>
        </w:rPr>
        <w:t>or</w:t>
      </w:r>
      <w:r>
        <w:rPr>
          <w:spacing w:val="-4"/>
          <w:sz w:val="24"/>
        </w:rPr>
        <w:t> </w:t>
      </w:r>
      <w:r>
        <w:rPr>
          <w:sz w:val="24"/>
        </w:rPr>
        <w:t>improvement</w:t>
      </w:r>
      <w:r>
        <w:rPr>
          <w:spacing w:val="-4"/>
          <w:sz w:val="24"/>
        </w:rPr>
        <w:t> </w:t>
      </w:r>
      <w:r>
        <w:rPr>
          <w:sz w:val="24"/>
        </w:rPr>
        <w:t>of</w:t>
      </w:r>
      <w:r>
        <w:rPr>
          <w:spacing w:val="-6"/>
          <w:sz w:val="24"/>
        </w:rPr>
        <w:t> </w:t>
      </w:r>
      <w:r>
        <w:rPr>
          <w:sz w:val="24"/>
        </w:rPr>
        <w:t>a</w:t>
      </w:r>
      <w:r>
        <w:rPr>
          <w:spacing w:val="-5"/>
          <w:sz w:val="24"/>
        </w:rPr>
        <w:t> </w:t>
      </w:r>
      <w:r>
        <w:rPr>
          <w:sz w:val="24"/>
        </w:rPr>
        <w:t>community</w:t>
      </w:r>
      <w:r>
        <w:rPr>
          <w:spacing w:val="-5"/>
          <w:sz w:val="24"/>
        </w:rPr>
        <w:t> </w:t>
      </w:r>
      <w:r>
        <w:rPr>
          <w:sz w:val="24"/>
        </w:rPr>
        <w:t>rehabilitation program that is used to provide vocational rehabilitation services that promote integration into the community and prepare individuals with disabilities for competitive integrated employment.</w:t>
      </w:r>
    </w:p>
    <w:p>
      <w:pPr>
        <w:pStyle w:val="ListParagraph"/>
        <w:spacing w:after="0" w:line="208" w:lineRule="auto"/>
        <w:jc w:val="left"/>
        <w:rPr>
          <w:sz w:val="24"/>
        </w:rPr>
        <w:sectPr>
          <w:pgSz w:w="12240" w:h="15840"/>
          <w:pgMar w:top="1340" w:bottom="280" w:left="1080" w:right="720"/>
        </w:sectPr>
      </w:pPr>
    </w:p>
    <w:p>
      <w:pPr>
        <w:pStyle w:val="BodyText"/>
        <w:spacing w:before="67"/>
      </w:pPr>
      <w:r>
        <w:rPr/>
        <w:t>Instructions</w:t>
      </w:r>
      <w:r>
        <w:rPr>
          <w:spacing w:val="-5"/>
        </w:rPr>
        <w:t> </w:t>
      </w:r>
      <w:r>
        <w:rPr/>
        <w:t>to</w:t>
      </w:r>
      <w:r>
        <w:rPr>
          <w:spacing w:val="-2"/>
        </w:rPr>
        <w:t> </w:t>
      </w:r>
      <w:r>
        <w:rPr>
          <w:spacing w:val="-4"/>
        </w:rPr>
        <w:t>Staff</w:t>
      </w:r>
    </w:p>
    <w:p>
      <w:pPr>
        <w:pStyle w:val="ListParagraph"/>
        <w:numPr>
          <w:ilvl w:val="0"/>
          <w:numId w:val="98"/>
        </w:numPr>
        <w:tabs>
          <w:tab w:pos="1077" w:val="left" w:leader="none"/>
        </w:tabs>
        <w:spacing w:line="240" w:lineRule="auto" w:before="204" w:after="0"/>
        <w:ind w:left="1077" w:right="0" w:hanging="286"/>
        <w:jc w:val="left"/>
        <w:rPr>
          <w:sz w:val="24"/>
        </w:rPr>
      </w:pPr>
      <w:r>
        <w:rPr>
          <w:sz w:val="24"/>
        </w:rPr>
        <w:t>See</w:t>
      </w:r>
      <w:r>
        <w:rPr>
          <w:spacing w:val="-2"/>
          <w:sz w:val="24"/>
        </w:rPr>
        <w:t> </w:t>
      </w:r>
      <w:hyperlink r:id="rId38">
        <w:r>
          <w:rPr>
            <w:color w:val="0000FF"/>
            <w:spacing w:val="-2"/>
            <w:sz w:val="24"/>
            <w:u w:val="single" w:color="0000FF"/>
          </w:rPr>
          <w:t>34CFR361.5(c)(45),(44),&amp;(6)</w:t>
        </w:r>
      </w:hyperlink>
      <w:r>
        <w:rPr>
          <w:spacing w:val="-2"/>
          <w:sz w:val="24"/>
          <w:u w:val="none"/>
        </w:rPr>
        <w:t>.</w:t>
      </w:r>
    </w:p>
    <w:p>
      <w:pPr>
        <w:pStyle w:val="ListParagraph"/>
        <w:numPr>
          <w:ilvl w:val="0"/>
          <w:numId w:val="98"/>
        </w:numPr>
        <w:tabs>
          <w:tab w:pos="1077" w:val="left" w:leader="none"/>
        </w:tabs>
        <w:spacing w:line="240" w:lineRule="auto" w:before="204" w:after="0"/>
        <w:ind w:left="1077" w:right="0" w:hanging="286"/>
        <w:jc w:val="left"/>
        <w:rPr>
          <w:sz w:val="24"/>
        </w:rPr>
      </w:pPr>
      <w:r>
        <w:rPr>
          <w:sz w:val="24"/>
        </w:rPr>
        <w:t>See</w:t>
      </w:r>
      <w:r>
        <w:rPr>
          <w:spacing w:val="-2"/>
          <w:sz w:val="24"/>
        </w:rPr>
        <w:t> </w:t>
      </w:r>
      <w:hyperlink r:id="rId39">
        <w:r>
          <w:rPr>
            <w:color w:val="0000FF"/>
            <w:spacing w:val="-2"/>
            <w:sz w:val="24"/>
            <w:u w:val="single" w:color="0000FF"/>
          </w:rPr>
          <w:t>34CFR361.49</w:t>
        </w:r>
      </w:hyperlink>
      <w:r>
        <w:rPr>
          <w:spacing w:val="-2"/>
          <w:sz w:val="24"/>
          <w:u w:val="none"/>
        </w:rPr>
        <w:t>.</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7-1-98</w:t>
      </w:r>
      <w:r>
        <w:rPr>
          <w:sz w:val="22"/>
        </w:rPr>
        <w:tab/>
        <w:t>PT Memo #98-15</w:t>
      </w:r>
    </w:p>
    <w:p>
      <w:pPr>
        <w:tabs>
          <w:tab w:pos="1439" w:val="left" w:leader="none"/>
        </w:tabs>
        <w:spacing w:before="0"/>
        <w:ind w:left="359" w:right="4070" w:firstLine="1080"/>
        <w:jc w:val="left"/>
        <w:rPr>
          <w:sz w:val="22"/>
        </w:rPr>
      </w:pPr>
      <w:r>
        <w:rPr>
          <w:sz w:val="22"/>
        </w:rPr>
        <w:t>Permanent,</w:t>
      </w:r>
      <w:r>
        <w:rPr>
          <w:spacing w:val="-7"/>
          <w:sz w:val="22"/>
        </w:rPr>
        <w:t> </w:t>
      </w:r>
      <w:r>
        <w:rPr>
          <w:sz w:val="22"/>
        </w:rPr>
        <w:t>reference</w:t>
      </w:r>
      <w:r>
        <w:rPr>
          <w:spacing w:val="-8"/>
          <w:sz w:val="22"/>
        </w:rPr>
        <w:t> </w:t>
      </w:r>
      <w:r>
        <w:rPr>
          <w:sz w:val="22"/>
        </w:rPr>
        <w:t>to</w:t>
      </w:r>
      <w:r>
        <w:rPr>
          <w:spacing w:val="-9"/>
          <w:sz w:val="22"/>
        </w:rPr>
        <w:t> </w:t>
      </w:r>
      <w:r>
        <w:rPr>
          <w:sz w:val="22"/>
        </w:rPr>
        <w:t>revoked</w:t>
      </w:r>
      <w:r>
        <w:rPr>
          <w:spacing w:val="-8"/>
          <w:sz w:val="22"/>
        </w:rPr>
        <w:t> </w:t>
      </w:r>
      <w:r>
        <w:rPr>
          <w:sz w:val="22"/>
        </w:rPr>
        <w:t>Section</w:t>
      </w:r>
      <w:r>
        <w:rPr>
          <w:spacing w:val="-8"/>
          <w:sz w:val="22"/>
        </w:rPr>
        <w:t> </w:t>
      </w:r>
      <w:r>
        <w:rPr>
          <w:sz w:val="22"/>
        </w:rPr>
        <w:t>removed </w:t>
      </w:r>
      <w:r>
        <w:rPr>
          <w:spacing w:val="-2"/>
          <w:sz w:val="22"/>
        </w:rPr>
        <w:t>6-14-99</w:t>
      </w:r>
      <w:r>
        <w:rPr>
          <w:sz w:val="22"/>
        </w:rPr>
        <w:tab/>
        <w:t>POL Memo #99-7</w:t>
      </w:r>
    </w:p>
    <w:p>
      <w:pPr>
        <w:spacing w:before="0"/>
        <w:ind w:left="1439" w:right="775" w:firstLine="0"/>
        <w:jc w:val="left"/>
        <w:rPr>
          <w:sz w:val="22"/>
        </w:rPr>
      </w:pPr>
      <w:r>
        <w:rPr>
          <w:sz w:val="22"/>
        </w:rPr>
        <w:t>Emergency,</w:t>
      </w:r>
      <w:r>
        <w:rPr>
          <w:spacing w:val="-4"/>
          <w:sz w:val="22"/>
        </w:rPr>
        <w:t> </w:t>
      </w:r>
      <w:r>
        <w:rPr>
          <w:sz w:val="22"/>
        </w:rPr>
        <w:t>updated</w:t>
      </w:r>
      <w:r>
        <w:rPr>
          <w:spacing w:val="-4"/>
          <w:sz w:val="22"/>
        </w:rPr>
        <w:t> </w:t>
      </w:r>
      <w:r>
        <w:rPr>
          <w:sz w:val="22"/>
        </w:rPr>
        <w:t>to</w:t>
      </w:r>
      <w:r>
        <w:rPr>
          <w:spacing w:val="-5"/>
          <w:sz w:val="22"/>
        </w:rPr>
        <w:t> </w:t>
      </w:r>
      <w:r>
        <w:rPr>
          <w:sz w:val="22"/>
        </w:rPr>
        <w:t>state</w:t>
      </w:r>
      <w:r>
        <w:rPr>
          <w:spacing w:val="-4"/>
          <w:sz w:val="22"/>
        </w:rPr>
        <w:t> </w:t>
      </w:r>
      <w:r>
        <w:rPr>
          <w:sz w:val="22"/>
        </w:rPr>
        <w:t>services</w:t>
      </w:r>
      <w:r>
        <w:rPr>
          <w:spacing w:val="-4"/>
          <w:sz w:val="22"/>
        </w:rPr>
        <w:t> </w:t>
      </w:r>
      <w:r>
        <w:rPr>
          <w:sz w:val="22"/>
        </w:rPr>
        <w:t>available</w:t>
      </w:r>
      <w:r>
        <w:rPr>
          <w:spacing w:val="-5"/>
          <w:sz w:val="22"/>
        </w:rPr>
        <w:t> </w:t>
      </w:r>
      <w:r>
        <w:rPr>
          <w:sz w:val="22"/>
        </w:rPr>
        <w:t>in</w:t>
      </w:r>
      <w:r>
        <w:rPr>
          <w:spacing w:val="-4"/>
          <w:sz w:val="22"/>
        </w:rPr>
        <w:t> </w:t>
      </w:r>
      <w:r>
        <w:rPr>
          <w:sz w:val="22"/>
        </w:rPr>
        <w:t>accordance</w:t>
      </w:r>
      <w:r>
        <w:rPr>
          <w:spacing w:val="-4"/>
          <w:sz w:val="22"/>
        </w:rPr>
        <w:t> </w:t>
      </w:r>
      <w:r>
        <w:rPr>
          <w:sz w:val="22"/>
        </w:rPr>
        <w:t>with</w:t>
      </w:r>
      <w:r>
        <w:rPr>
          <w:spacing w:val="-4"/>
          <w:sz w:val="22"/>
        </w:rPr>
        <w:t> </w:t>
      </w:r>
      <w:r>
        <w:rPr>
          <w:sz w:val="22"/>
        </w:rPr>
        <w:t>the</w:t>
      </w:r>
      <w:r>
        <w:rPr>
          <w:spacing w:val="-5"/>
          <w:sz w:val="22"/>
        </w:rPr>
        <w:t> </w:t>
      </w:r>
      <w:r>
        <w:rPr>
          <w:sz w:val="22"/>
        </w:rPr>
        <w:t>1998 amendments to the Rehabilitation Act</w:t>
      </w:r>
    </w:p>
    <w:p>
      <w:pPr>
        <w:tabs>
          <w:tab w:pos="1439" w:val="left" w:leader="none"/>
        </w:tabs>
        <w:spacing w:before="0"/>
        <w:ind w:left="359" w:right="0" w:firstLine="0"/>
        <w:jc w:val="left"/>
        <w:rPr>
          <w:sz w:val="22"/>
        </w:rPr>
      </w:pPr>
      <w:r>
        <w:rPr>
          <w:spacing w:val="-2"/>
          <w:sz w:val="22"/>
        </w:rPr>
        <w:t>7-1-</w:t>
      </w:r>
      <w:r>
        <w:rPr>
          <w:spacing w:val="-5"/>
          <w:sz w:val="22"/>
        </w:rPr>
        <w:t>99</w:t>
      </w:r>
      <w:r>
        <w:rPr>
          <w:sz w:val="22"/>
        </w:rPr>
        <w:tab/>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7-1-03</w:t>
      </w:r>
      <w:r>
        <w:rPr>
          <w:sz w:val="22"/>
        </w:rPr>
        <w:tab/>
        <w:t>PT Memo #03-07</w:t>
      </w:r>
    </w:p>
    <w:p>
      <w:pPr>
        <w:spacing w:line="252" w:lineRule="exact" w:before="0"/>
        <w:ind w:left="1439" w:right="0" w:firstLine="0"/>
        <w:jc w:val="left"/>
        <w:rPr>
          <w:sz w:val="22"/>
        </w:rPr>
      </w:pPr>
      <w:r>
        <w:rPr>
          <w:sz w:val="22"/>
        </w:rPr>
        <w:t>Permanent,</w:t>
      </w:r>
      <w:r>
        <w:rPr>
          <w:spacing w:val="-8"/>
          <w:sz w:val="22"/>
        </w:rPr>
        <w:t> </w:t>
      </w:r>
      <w:r>
        <w:rPr>
          <w:sz w:val="22"/>
        </w:rPr>
        <w:t>added</w:t>
      </w:r>
      <w:r>
        <w:rPr>
          <w:spacing w:val="-9"/>
          <w:sz w:val="22"/>
        </w:rPr>
        <w:t> </w:t>
      </w:r>
      <w:r>
        <w:rPr>
          <w:sz w:val="22"/>
        </w:rPr>
        <w:t>more</w:t>
      </w:r>
      <w:r>
        <w:rPr>
          <w:spacing w:val="-9"/>
          <w:sz w:val="22"/>
        </w:rPr>
        <w:t> </w:t>
      </w:r>
      <w:r>
        <w:rPr>
          <w:sz w:val="22"/>
        </w:rPr>
        <w:t>descriptions</w:t>
      </w:r>
      <w:r>
        <w:rPr>
          <w:spacing w:val="-9"/>
          <w:sz w:val="22"/>
        </w:rPr>
        <w:t> </w:t>
      </w:r>
      <w:r>
        <w:rPr>
          <w:sz w:val="22"/>
        </w:rPr>
        <w:t>re:</w:t>
      </w:r>
      <w:r>
        <w:rPr>
          <w:spacing w:val="-8"/>
          <w:sz w:val="22"/>
        </w:rPr>
        <w:t> </w:t>
      </w:r>
      <w:r>
        <w:rPr>
          <w:sz w:val="22"/>
        </w:rPr>
        <w:t>supported</w:t>
      </w:r>
      <w:r>
        <w:rPr>
          <w:spacing w:val="-9"/>
          <w:sz w:val="22"/>
        </w:rPr>
        <w:t> </w:t>
      </w:r>
      <w:r>
        <w:rPr>
          <w:spacing w:val="-2"/>
          <w:sz w:val="22"/>
        </w:rPr>
        <w:t>employment.</w:t>
      </w:r>
    </w:p>
    <w:p>
      <w:pPr>
        <w:tabs>
          <w:tab w:pos="1439" w:val="left" w:leader="none"/>
        </w:tabs>
        <w:spacing w:before="1"/>
        <w:ind w:left="359" w:right="0" w:firstLine="0"/>
        <w:jc w:val="left"/>
        <w:rPr>
          <w:sz w:val="22"/>
        </w:rPr>
      </w:pPr>
      <w:r>
        <w:rPr>
          <w:spacing w:val="-2"/>
          <w:sz w:val="22"/>
        </w:rPr>
        <w:t>7-1-</w:t>
      </w:r>
      <w:r>
        <w:rPr>
          <w:spacing w:val="-5"/>
          <w:sz w:val="22"/>
        </w:rPr>
        <w:t>06</w:t>
      </w:r>
      <w:r>
        <w:rPr>
          <w:sz w:val="22"/>
        </w:rPr>
        <w:tab/>
        <w:t>PT</w:t>
      </w:r>
      <w:r>
        <w:rPr>
          <w:spacing w:val="-8"/>
          <w:sz w:val="22"/>
        </w:rPr>
        <w:t> </w:t>
      </w:r>
      <w:r>
        <w:rPr>
          <w:sz w:val="22"/>
        </w:rPr>
        <w:t>Memo</w:t>
      </w:r>
      <w:r>
        <w:rPr>
          <w:spacing w:val="-8"/>
          <w:sz w:val="22"/>
        </w:rPr>
        <w:t> </w:t>
      </w:r>
      <w:r>
        <w:rPr>
          <w:sz w:val="22"/>
        </w:rPr>
        <w:t>#07-</w:t>
      </w:r>
      <w:r>
        <w:rPr>
          <w:spacing w:val="-5"/>
          <w:sz w:val="22"/>
        </w:rPr>
        <w:t>01</w:t>
      </w:r>
    </w:p>
    <w:p>
      <w:pPr>
        <w:tabs>
          <w:tab w:pos="1439" w:val="left" w:leader="none"/>
        </w:tabs>
        <w:spacing w:before="0"/>
        <w:ind w:left="359" w:right="4204" w:firstLine="1080"/>
        <w:jc w:val="left"/>
        <w:rPr>
          <w:sz w:val="22"/>
        </w:rPr>
      </w:pPr>
      <w:r>
        <w:rPr>
          <w:sz w:val="22"/>
        </w:rPr>
        <w:t>Permanent,</w:t>
      </w:r>
      <w:r>
        <w:rPr>
          <w:spacing w:val="-6"/>
          <w:sz w:val="22"/>
        </w:rPr>
        <w:t> </w:t>
      </w:r>
      <w:r>
        <w:rPr>
          <w:sz w:val="22"/>
        </w:rPr>
        <w:t>deleted</w:t>
      </w:r>
      <w:r>
        <w:rPr>
          <w:spacing w:val="-7"/>
          <w:sz w:val="22"/>
        </w:rPr>
        <w:t> </w:t>
      </w:r>
      <w:r>
        <w:rPr>
          <w:sz w:val="22"/>
        </w:rPr>
        <w:t>references</w:t>
      </w:r>
      <w:r>
        <w:rPr>
          <w:spacing w:val="-7"/>
          <w:sz w:val="22"/>
        </w:rPr>
        <w:t> </w:t>
      </w:r>
      <w:r>
        <w:rPr>
          <w:sz w:val="22"/>
        </w:rPr>
        <w:t>to</w:t>
      </w:r>
      <w:r>
        <w:rPr>
          <w:spacing w:val="-7"/>
          <w:sz w:val="22"/>
        </w:rPr>
        <w:t> </w:t>
      </w:r>
      <w:r>
        <w:rPr>
          <w:sz w:val="22"/>
        </w:rPr>
        <w:t>priority</w:t>
      </w:r>
      <w:r>
        <w:rPr>
          <w:spacing w:val="-7"/>
          <w:sz w:val="22"/>
        </w:rPr>
        <w:t> </w:t>
      </w:r>
      <w:r>
        <w:rPr>
          <w:sz w:val="22"/>
        </w:rPr>
        <w:t>group</w:t>
      </w:r>
      <w:r>
        <w:rPr>
          <w:spacing w:val="-7"/>
          <w:sz w:val="22"/>
        </w:rPr>
        <w:t> </w:t>
      </w:r>
      <w:r>
        <w:rPr>
          <w:sz w:val="22"/>
        </w:rPr>
        <w:t>1 </w:t>
      </w:r>
      <w:r>
        <w:rPr>
          <w:spacing w:val="-2"/>
          <w:sz w:val="22"/>
        </w:rPr>
        <w:t>7-1-08</w:t>
      </w:r>
      <w:r>
        <w:rPr>
          <w:sz w:val="22"/>
        </w:rPr>
        <w:tab/>
        <w:t>PT Memo #09-01</w:t>
      </w:r>
    </w:p>
    <w:p>
      <w:pPr>
        <w:tabs>
          <w:tab w:pos="1439" w:val="left" w:leader="none"/>
        </w:tabs>
        <w:spacing w:before="0"/>
        <w:ind w:left="359" w:right="4343" w:firstLine="1080"/>
        <w:jc w:val="left"/>
        <w:rPr>
          <w:sz w:val="22"/>
        </w:rPr>
      </w:pPr>
      <w:r>
        <w:rPr>
          <w:sz w:val="22"/>
        </w:rPr>
        <w:t>Permanent,</w:t>
      </w:r>
      <w:r>
        <w:rPr>
          <w:spacing w:val="-9"/>
          <w:sz w:val="22"/>
        </w:rPr>
        <w:t> </w:t>
      </w:r>
      <w:r>
        <w:rPr>
          <w:sz w:val="22"/>
        </w:rPr>
        <w:t>Replaced</w:t>
      </w:r>
      <w:r>
        <w:rPr>
          <w:spacing w:val="-10"/>
          <w:sz w:val="22"/>
        </w:rPr>
        <w:t> </w:t>
      </w:r>
      <w:r>
        <w:rPr>
          <w:sz w:val="22"/>
        </w:rPr>
        <w:t>"severe"</w:t>
      </w:r>
      <w:r>
        <w:rPr>
          <w:spacing w:val="-10"/>
          <w:sz w:val="22"/>
        </w:rPr>
        <w:t> </w:t>
      </w:r>
      <w:r>
        <w:rPr>
          <w:sz w:val="22"/>
        </w:rPr>
        <w:t>with</w:t>
      </w:r>
      <w:r>
        <w:rPr>
          <w:spacing w:val="-10"/>
          <w:sz w:val="22"/>
        </w:rPr>
        <w:t> </w:t>
      </w:r>
      <w:r>
        <w:rPr>
          <w:sz w:val="22"/>
        </w:rPr>
        <w:t>"significant" </w:t>
      </w:r>
      <w:r>
        <w:rPr>
          <w:spacing w:val="-2"/>
          <w:sz w:val="22"/>
        </w:rPr>
        <w:t>7-1-10</w:t>
      </w:r>
      <w:r>
        <w:rPr>
          <w:sz w:val="22"/>
        </w:rPr>
        <w:tab/>
        <w:t>PT Memo #10-02</w:t>
      </w:r>
    </w:p>
    <w:p>
      <w:pPr>
        <w:spacing w:line="252" w:lineRule="exact" w:before="0"/>
        <w:ind w:left="1439" w:right="0" w:firstLine="0"/>
        <w:jc w:val="left"/>
        <w:rPr>
          <w:sz w:val="22"/>
        </w:rPr>
      </w:pPr>
      <w:r>
        <w:rPr>
          <w:sz w:val="22"/>
        </w:rPr>
        <w:t>Permanent,</w:t>
      </w:r>
      <w:r>
        <w:rPr>
          <w:spacing w:val="-7"/>
          <w:sz w:val="22"/>
        </w:rPr>
        <w:t> </w:t>
      </w:r>
      <w:r>
        <w:rPr>
          <w:sz w:val="22"/>
        </w:rPr>
        <w:t>clean-up</w:t>
      </w:r>
      <w:r>
        <w:rPr>
          <w:spacing w:val="-8"/>
          <w:sz w:val="22"/>
        </w:rPr>
        <w:t> </w:t>
      </w:r>
      <w:r>
        <w:rPr>
          <w:sz w:val="22"/>
        </w:rPr>
        <w:t>language,</w:t>
      </w:r>
      <w:r>
        <w:rPr>
          <w:spacing w:val="-8"/>
          <w:sz w:val="22"/>
        </w:rPr>
        <w:t> </w:t>
      </w:r>
      <w:r>
        <w:rPr>
          <w:sz w:val="22"/>
        </w:rPr>
        <w:t>more</w:t>
      </w:r>
      <w:r>
        <w:rPr>
          <w:spacing w:val="-8"/>
          <w:sz w:val="22"/>
        </w:rPr>
        <w:t> </w:t>
      </w:r>
      <w:r>
        <w:rPr>
          <w:sz w:val="22"/>
        </w:rPr>
        <w:t>clear</w:t>
      </w:r>
      <w:r>
        <w:rPr>
          <w:spacing w:val="-8"/>
          <w:sz w:val="22"/>
        </w:rPr>
        <w:t> </w:t>
      </w:r>
      <w:r>
        <w:rPr>
          <w:sz w:val="22"/>
        </w:rPr>
        <w:t>and</w:t>
      </w:r>
      <w:r>
        <w:rPr>
          <w:spacing w:val="-8"/>
          <w:sz w:val="22"/>
        </w:rPr>
        <w:t> </w:t>
      </w:r>
      <w:r>
        <w:rPr>
          <w:spacing w:val="-2"/>
          <w:sz w:val="22"/>
        </w:rPr>
        <w:t>concise.</w:t>
      </w:r>
    </w:p>
    <w:p>
      <w:pPr>
        <w:pStyle w:val="ListParagraph"/>
        <w:numPr>
          <w:ilvl w:val="2"/>
          <w:numId w:val="87"/>
        </w:numPr>
        <w:tabs>
          <w:tab w:pos="1439" w:val="left" w:leader="none"/>
        </w:tabs>
        <w:spacing w:line="240" w:lineRule="auto" w:before="1" w:after="0"/>
        <w:ind w:left="1439" w:right="0" w:hanging="1080"/>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before="0"/>
        <w:ind w:left="1439" w:right="855" w:firstLine="0"/>
        <w:jc w:val="left"/>
        <w:rPr>
          <w:sz w:val="22"/>
        </w:rPr>
      </w:pPr>
      <w:r>
        <w:rPr>
          <w:sz w:val="22"/>
        </w:rPr>
        <w:t>Permanent,</w:t>
      </w:r>
      <w:r>
        <w:rPr>
          <w:spacing w:val="-4"/>
          <w:sz w:val="22"/>
        </w:rPr>
        <w:t> </w:t>
      </w:r>
      <w:r>
        <w:rPr>
          <w:sz w:val="22"/>
        </w:rPr>
        <w:t>eliminated</w:t>
      </w:r>
      <w:r>
        <w:rPr>
          <w:spacing w:val="-5"/>
          <w:sz w:val="22"/>
        </w:rPr>
        <w:t> </w:t>
      </w:r>
      <w:r>
        <w:rPr>
          <w:sz w:val="22"/>
        </w:rPr>
        <w:t>duplication,</w:t>
      </w:r>
      <w:r>
        <w:rPr>
          <w:spacing w:val="-6"/>
          <w:sz w:val="22"/>
        </w:rPr>
        <w:t> </w:t>
      </w:r>
      <w:r>
        <w:rPr>
          <w:sz w:val="22"/>
        </w:rPr>
        <w:t>clarified</w:t>
      </w:r>
      <w:r>
        <w:rPr>
          <w:spacing w:val="-5"/>
          <w:sz w:val="22"/>
        </w:rPr>
        <w:t> </w:t>
      </w:r>
      <w:r>
        <w:rPr>
          <w:sz w:val="22"/>
        </w:rPr>
        <w:t>purposed</w:t>
      </w:r>
      <w:r>
        <w:rPr>
          <w:spacing w:val="-5"/>
          <w:sz w:val="22"/>
        </w:rPr>
        <w:t> </w:t>
      </w:r>
      <w:r>
        <w:rPr>
          <w:sz w:val="22"/>
        </w:rPr>
        <w:t>for</w:t>
      </w:r>
      <w:r>
        <w:rPr>
          <w:spacing w:val="-5"/>
          <w:sz w:val="22"/>
        </w:rPr>
        <w:t> </w:t>
      </w:r>
      <w:r>
        <w:rPr>
          <w:sz w:val="22"/>
        </w:rPr>
        <w:t>which</w:t>
      </w:r>
      <w:r>
        <w:rPr>
          <w:spacing w:val="-5"/>
          <w:sz w:val="22"/>
        </w:rPr>
        <w:t> </w:t>
      </w:r>
      <w:r>
        <w:rPr>
          <w:sz w:val="22"/>
        </w:rPr>
        <w:t>transportation</w:t>
      </w:r>
      <w:r>
        <w:rPr>
          <w:spacing w:val="-5"/>
          <w:sz w:val="22"/>
        </w:rPr>
        <w:t> </w:t>
      </w:r>
      <w:r>
        <w:rPr>
          <w:sz w:val="22"/>
        </w:rPr>
        <w:t>may be provided as a service and clarified activities permissible under the act.</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0"/>
        <w:ind w:left="1439" w:right="1075" w:hanging="1080"/>
        <w:jc w:val="left"/>
        <w:rPr>
          <w:sz w:val="22"/>
        </w:rPr>
      </w:pPr>
      <w:r>
        <w:rPr>
          <w:spacing w:val="-2"/>
          <w:sz w:val="22"/>
        </w:rPr>
        <w:t>8-25-16</w:t>
      </w:r>
      <w:r>
        <w:rPr>
          <w:sz w:val="22"/>
        </w:rPr>
        <w:tab/>
        <w:t>Added language for pre-employment transition services as described in 34 CFR 361/48(a)</w:t>
      </w:r>
      <w:r>
        <w:rPr>
          <w:spacing w:val="-4"/>
          <w:sz w:val="22"/>
        </w:rPr>
        <w:t> </w:t>
      </w:r>
      <w:r>
        <w:rPr>
          <w:sz w:val="22"/>
        </w:rPr>
        <w:t>and</w:t>
      </w:r>
      <w:r>
        <w:rPr>
          <w:spacing w:val="-4"/>
          <w:sz w:val="22"/>
        </w:rPr>
        <w:t> </w:t>
      </w:r>
      <w:r>
        <w:rPr>
          <w:sz w:val="22"/>
        </w:rPr>
        <w:t>USC</w:t>
      </w:r>
      <w:r>
        <w:rPr>
          <w:spacing w:val="-5"/>
          <w:sz w:val="22"/>
        </w:rPr>
        <w:t> </w:t>
      </w:r>
      <w:r>
        <w:rPr>
          <w:sz w:val="22"/>
        </w:rPr>
        <w:t>29</w:t>
      </w:r>
      <w:r>
        <w:rPr>
          <w:spacing w:val="-3"/>
          <w:sz w:val="22"/>
        </w:rPr>
        <w:t> </w:t>
      </w:r>
      <w:r>
        <w:rPr>
          <w:sz w:val="22"/>
        </w:rPr>
        <w:t>733.</w:t>
      </w:r>
      <w:r>
        <w:rPr>
          <w:spacing w:val="-4"/>
          <w:sz w:val="22"/>
        </w:rPr>
        <w:t> </w:t>
      </w:r>
      <w:r>
        <w:rPr>
          <w:sz w:val="22"/>
        </w:rPr>
        <w:t>New</w:t>
      </w:r>
      <w:r>
        <w:rPr>
          <w:spacing w:val="-5"/>
          <w:sz w:val="22"/>
        </w:rPr>
        <w:t> </w:t>
      </w:r>
      <w:r>
        <w:rPr>
          <w:sz w:val="22"/>
        </w:rPr>
        <w:t>section</w:t>
      </w:r>
      <w:r>
        <w:rPr>
          <w:spacing w:val="-4"/>
          <w:sz w:val="22"/>
        </w:rPr>
        <w:t> </w:t>
      </w:r>
      <w:r>
        <w:rPr>
          <w:sz w:val="22"/>
        </w:rPr>
        <w:t>(7)</w:t>
      </w:r>
      <w:r>
        <w:rPr>
          <w:spacing w:val="-4"/>
          <w:sz w:val="22"/>
        </w:rPr>
        <w:t> </w:t>
      </w:r>
      <w:r>
        <w:rPr>
          <w:sz w:val="22"/>
        </w:rPr>
        <w:t>regarding</w:t>
      </w:r>
      <w:r>
        <w:rPr>
          <w:spacing w:val="-4"/>
          <w:sz w:val="22"/>
        </w:rPr>
        <w:t> </w:t>
      </w:r>
      <w:r>
        <w:rPr>
          <w:sz w:val="22"/>
        </w:rPr>
        <w:t>assistive</w:t>
      </w:r>
      <w:r>
        <w:rPr>
          <w:spacing w:val="-4"/>
          <w:sz w:val="22"/>
        </w:rPr>
        <w:t> </w:t>
      </w:r>
      <w:r>
        <w:rPr>
          <w:sz w:val="22"/>
        </w:rPr>
        <w:t>technology</w:t>
      </w:r>
      <w:r>
        <w:rPr>
          <w:spacing w:val="-4"/>
          <w:sz w:val="22"/>
        </w:rPr>
        <w:t> </w:t>
      </w:r>
      <w:r>
        <w:rPr>
          <w:sz w:val="22"/>
        </w:rPr>
        <w:t>under the Assistive Technology Act of 1998.</w:t>
      </w:r>
      <w:r>
        <w:rPr>
          <w:spacing w:val="40"/>
          <w:sz w:val="22"/>
        </w:rPr>
        <w:t> </w:t>
      </w:r>
      <w:r>
        <w:rPr>
          <w:sz w:val="22"/>
        </w:rPr>
        <w:t>New section (8) regarding a community rehabilitation program.</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spacing w:before="0"/>
        <w:ind w:left="1439" w:right="775" w:firstLine="0"/>
        <w:jc w:val="left"/>
        <w:rPr>
          <w:sz w:val="22"/>
        </w:rPr>
      </w:pPr>
      <w:r>
        <w:rPr>
          <w:sz w:val="22"/>
        </w:rPr>
        <w:t>Added language to (4) job-related services to include customized, employment services,</w:t>
      </w:r>
      <w:r>
        <w:rPr>
          <w:spacing w:val="-4"/>
          <w:sz w:val="22"/>
        </w:rPr>
        <w:t> </w:t>
      </w:r>
      <w:r>
        <w:rPr>
          <w:sz w:val="22"/>
        </w:rPr>
        <w:t>services</w:t>
      </w:r>
      <w:r>
        <w:rPr>
          <w:spacing w:val="-5"/>
          <w:sz w:val="22"/>
        </w:rPr>
        <w:t> </w:t>
      </w:r>
      <w:r>
        <w:rPr>
          <w:sz w:val="22"/>
        </w:rPr>
        <w:t>leading</w:t>
      </w:r>
      <w:r>
        <w:rPr>
          <w:spacing w:val="-4"/>
          <w:sz w:val="22"/>
        </w:rPr>
        <w:t> </w:t>
      </w:r>
      <w:r>
        <w:rPr>
          <w:sz w:val="22"/>
        </w:rPr>
        <w:t>to</w:t>
      </w:r>
      <w:r>
        <w:rPr>
          <w:spacing w:val="-4"/>
          <w:sz w:val="22"/>
        </w:rPr>
        <w:t> </w:t>
      </w:r>
      <w:r>
        <w:rPr>
          <w:sz w:val="22"/>
        </w:rPr>
        <w:t>self-employment.</w:t>
      </w:r>
      <w:r>
        <w:rPr>
          <w:spacing w:val="-4"/>
          <w:sz w:val="22"/>
        </w:rPr>
        <w:t> </w:t>
      </w:r>
      <w:r>
        <w:rPr>
          <w:sz w:val="22"/>
        </w:rPr>
        <w:t>Deletion</w:t>
      </w:r>
      <w:r>
        <w:rPr>
          <w:spacing w:val="-4"/>
          <w:sz w:val="22"/>
        </w:rPr>
        <w:t> </w:t>
      </w:r>
      <w:r>
        <w:rPr>
          <w:sz w:val="22"/>
        </w:rPr>
        <w:t>of</w:t>
      </w:r>
      <w:r>
        <w:rPr>
          <w:spacing w:val="-4"/>
          <w:sz w:val="22"/>
        </w:rPr>
        <w:t> </w:t>
      </w:r>
      <w:r>
        <w:rPr>
          <w:sz w:val="22"/>
        </w:rPr>
        <w:t>previous</w:t>
      </w:r>
      <w:r>
        <w:rPr>
          <w:spacing w:val="-4"/>
          <w:sz w:val="22"/>
        </w:rPr>
        <w:t> </w:t>
      </w:r>
      <w:r>
        <w:rPr>
          <w:sz w:val="22"/>
        </w:rPr>
        <w:t>language</w:t>
      </w:r>
      <w:r>
        <w:rPr>
          <w:spacing w:val="-4"/>
          <w:sz w:val="22"/>
        </w:rPr>
        <w:t> </w:t>
      </w:r>
      <w:r>
        <w:rPr>
          <w:sz w:val="22"/>
        </w:rPr>
        <w:t>to</w:t>
      </w:r>
      <w:r>
        <w:rPr>
          <w:spacing w:val="-4"/>
          <w:sz w:val="22"/>
        </w:rPr>
        <w:t> </w:t>
      </w:r>
      <w:r>
        <w:rPr>
          <w:sz w:val="22"/>
        </w:rPr>
        <w:t>(19) and added work experiences, internships, and apprenticeships.</w:t>
      </w:r>
    </w:p>
    <w:p>
      <w:pPr>
        <w:spacing w:line="253" w:lineRule="exact" w:before="0"/>
        <w:ind w:left="359" w:right="0" w:firstLine="0"/>
        <w:jc w:val="left"/>
        <w:rPr>
          <w:sz w:val="22"/>
        </w:rPr>
      </w:pPr>
      <w:r>
        <w:rPr>
          <w:sz w:val="22"/>
        </w:rPr>
        <w:t>11-30-17</w:t>
      </w:r>
      <w:r>
        <w:rPr>
          <w:spacing w:val="30"/>
          <w:sz w:val="22"/>
        </w:rPr>
        <w:t>  </w:t>
      </w:r>
      <w:r>
        <w:rPr>
          <w:sz w:val="22"/>
        </w:rPr>
        <w:t>Update</w:t>
      </w:r>
      <w:r>
        <w:rPr>
          <w:spacing w:val="-4"/>
          <w:sz w:val="22"/>
        </w:rPr>
        <w:t> </w:t>
      </w:r>
      <w:r>
        <w:rPr>
          <w:sz w:val="22"/>
        </w:rPr>
        <w:t>ITS</w:t>
      </w:r>
      <w:r>
        <w:rPr>
          <w:spacing w:val="-5"/>
          <w:sz w:val="22"/>
        </w:rPr>
        <w:t> </w:t>
      </w:r>
      <w:r>
        <w:rPr>
          <w:sz w:val="22"/>
        </w:rPr>
        <w:t>#1</w:t>
      </w:r>
      <w:r>
        <w:rPr>
          <w:spacing w:val="-5"/>
          <w:sz w:val="22"/>
        </w:rPr>
        <w:t> </w:t>
      </w:r>
      <w:r>
        <w:rPr>
          <w:sz w:val="22"/>
        </w:rPr>
        <w:t>hyperlink</w:t>
      </w:r>
      <w:r>
        <w:rPr>
          <w:spacing w:val="-5"/>
          <w:sz w:val="22"/>
        </w:rPr>
        <w:t> </w:t>
      </w:r>
      <w:r>
        <w:rPr>
          <w:sz w:val="22"/>
        </w:rPr>
        <w:t>34CFR</w:t>
      </w:r>
      <w:r>
        <w:rPr>
          <w:spacing w:val="-6"/>
          <w:sz w:val="22"/>
        </w:rPr>
        <w:t> </w:t>
      </w:r>
      <w:r>
        <w:rPr>
          <w:spacing w:val="-2"/>
          <w:sz w:val="22"/>
        </w:rPr>
        <w:t>361.5.</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pStyle w:val="BodyText"/>
        <w:spacing w:before="0"/>
        <w:ind w:left="1440"/>
      </w:pPr>
      <w:r>
        <w:rPr/>
        <w:t>Update</w:t>
      </w:r>
      <w:r>
        <w:rPr>
          <w:spacing w:val="-4"/>
        </w:rPr>
        <w:t> </w:t>
      </w:r>
      <w:r>
        <w:rPr/>
        <w:t>provides</w:t>
      </w:r>
      <w:r>
        <w:rPr>
          <w:spacing w:val="-3"/>
        </w:rPr>
        <w:t> </w:t>
      </w:r>
      <w:r>
        <w:rPr/>
        <w:t>clarification</w:t>
      </w:r>
      <w:r>
        <w:rPr>
          <w:spacing w:val="-3"/>
        </w:rPr>
        <w:t> </w:t>
      </w:r>
      <w:r>
        <w:rPr/>
        <w:t>when</w:t>
      </w:r>
      <w:r>
        <w:rPr>
          <w:spacing w:val="-4"/>
        </w:rPr>
        <w:t> </w:t>
      </w:r>
      <w:r>
        <w:rPr/>
        <w:t>prior</w:t>
      </w:r>
      <w:r>
        <w:rPr>
          <w:spacing w:val="-2"/>
        </w:rPr>
        <w:t> </w:t>
      </w:r>
      <w:r>
        <w:rPr/>
        <w:t>approval</w:t>
      </w:r>
      <w:r>
        <w:rPr>
          <w:spacing w:val="-3"/>
        </w:rPr>
        <w:t> </w:t>
      </w:r>
      <w:r>
        <w:rPr/>
        <w:t>is</w:t>
      </w:r>
      <w:r>
        <w:rPr>
          <w:spacing w:val="-4"/>
        </w:rPr>
        <w:t> </w:t>
      </w:r>
      <w:r>
        <w:rPr/>
        <w:t>required</w:t>
      </w:r>
      <w:r>
        <w:rPr>
          <w:spacing w:val="-3"/>
        </w:rPr>
        <w:t> </w:t>
      </w:r>
      <w:r>
        <w:rPr/>
        <w:t>from</w:t>
      </w:r>
      <w:r>
        <w:rPr>
          <w:spacing w:val="-2"/>
        </w:rPr>
        <w:t> </w:t>
      </w:r>
      <w:r>
        <w:rPr>
          <w:spacing w:val="-4"/>
        </w:rPr>
        <w:t>RSA.</w:t>
      </w:r>
    </w:p>
    <w:p>
      <w:pPr>
        <w:pStyle w:val="ListParagraph"/>
        <w:numPr>
          <w:ilvl w:val="2"/>
          <w:numId w:val="99"/>
        </w:numPr>
        <w:tabs>
          <w:tab w:pos="1440" w:val="left" w:leader="none"/>
        </w:tabs>
        <w:spacing w:line="240" w:lineRule="auto" w:before="0" w:after="0"/>
        <w:ind w:left="1440" w:right="1034" w:hanging="1080"/>
        <w:jc w:val="left"/>
        <w:rPr>
          <w:sz w:val="24"/>
        </w:rPr>
      </w:pPr>
      <w:r>
        <w:rPr>
          <w:sz w:val="24"/>
        </w:rPr>
        <w:t>Language</w:t>
      </w:r>
      <w:r>
        <w:rPr>
          <w:spacing w:val="-6"/>
          <w:sz w:val="24"/>
        </w:rPr>
        <w:t> </w:t>
      </w:r>
      <w:r>
        <w:rPr>
          <w:sz w:val="24"/>
        </w:rPr>
        <w:t>clarification,</w:t>
      </w:r>
      <w:r>
        <w:rPr>
          <w:spacing w:val="-5"/>
          <w:sz w:val="24"/>
        </w:rPr>
        <w:t> </w:t>
      </w:r>
      <w:r>
        <w:rPr>
          <w:sz w:val="24"/>
        </w:rPr>
        <w:t>“maintain”</w:t>
      </w:r>
      <w:r>
        <w:rPr>
          <w:spacing w:val="-5"/>
          <w:sz w:val="24"/>
        </w:rPr>
        <w:t> </w:t>
      </w:r>
      <w:r>
        <w:rPr>
          <w:sz w:val="24"/>
        </w:rPr>
        <w:t>added</w:t>
      </w:r>
      <w:r>
        <w:rPr>
          <w:spacing w:val="-6"/>
          <w:sz w:val="24"/>
        </w:rPr>
        <w:t> </w:t>
      </w:r>
      <w:r>
        <w:rPr>
          <w:sz w:val="24"/>
        </w:rPr>
        <w:t>before</w:t>
      </w:r>
      <w:r>
        <w:rPr>
          <w:spacing w:val="-6"/>
          <w:sz w:val="24"/>
        </w:rPr>
        <w:t> </w:t>
      </w:r>
      <w:r>
        <w:rPr>
          <w:sz w:val="24"/>
        </w:rPr>
        <w:t>“retain,</w:t>
      </w:r>
      <w:r>
        <w:rPr>
          <w:spacing w:val="-7"/>
          <w:sz w:val="24"/>
        </w:rPr>
        <w:t> </w:t>
      </w:r>
      <w:r>
        <w:rPr>
          <w:sz w:val="24"/>
        </w:rPr>
        <w:t>regain,</w:t>
      </w:r>
      <w:r>
        <w:rPr>
          <w:spacing w:val="-5"/>
          <w:sz w:val="24"/>
        </w:rPr>
        <w:t> </w:t>
      </w:r>
      <w:r>
        <w:rPr>
          <w:sz w:val="24"/>
        </w:rPr>
        <w:t>or</w:t>
      </w:r>
      <w:r>
        <w:rPr>
          <w:spacing w:val="-5"/>
          <w:sz w:val="24"/>
        </w:rPr>
        <w:t> </w:t>
      </w:r>
      <w:r>
        <w:rPr>
          <w:sz w:val="24"/>
        </w:rPr>
        <w:t>advance” under section (b) (21).</w:t>
      </w:r>
    </w:p>
    <w:p>
      <w:pPr>
        <w:pStyle w:val="ListParagraph"/>
        <w:numPr>
          <w:ilvl w:val="2"/>
          <w:numId w:val="99"/>
        </w:numPr>
        <w:tabs>
          <w:tab w:pos="1440" w:val="left" w:leader="none"/>
        </w:tabs>
        <w:spacing w:line="240" w:lineRule="auto" w:before="0" w:after="0"/>
        <w:ind w:left="1440" w:right="738" w:hanging="1080"/>
        <w:jc w:val="left"/>
        <w:rPr>
          <w:sz w:val="24"/>
        </w:rPr>
      </w:pPr>
      <w:r>
        <w:rPr>
          <w:sz w:val="24"/>
        </w:rPr>
        <w:t>Language added under (b) (4) “supplemental employment services” and “support services for employment” for job-related services. Section (16) revised</w:t>
      </w:r>
      <w:r>
        <w:rPr>
          <w:spacing w:val="-4"/>
          <w:sz w:val="24"/>
        </w:rPr>
        <w:t> </w:t>
      </w:r>
      <w:r>
        <w:rPr>
          <w:sz w:val="24"/>
        </w:rPr>
        <w:t>to</w:t>
      </w:r>
      <w:r>
        <w:rPr>
          <w:spacing w:val="-4"/>
          <w:sz w:val="24"/>
        </w:rPr>
        <w:t> </w:t>
      </w:r>
      <w:r>
        <w:rPr>
          <w:sz w:val="24"/>
        </w:rPr>
        <w:t>include</w:t>
      </w:r>
      <w:r>
        <w:rPr>
          <w:spacing w:val="-4"/>
          <w:sz w:val="24"/>
        </w:rPr>
        <w:t> </w:t>
      </w:r>
      <w:r>
        <w:rPr>
          <w:sz w:val="24"/>
        </w:rPr>
        <w:t>an</w:t>
      </w:r>
      <w:r>
        <w:rPr>
          <w:spacing w:val="-4"/>
          <w:sz w:val="24"/>
        </w:rPr>
        <w:t> </w:t>
      </w:r>
      <w:r>
        <w:rPr>
          <w:sz w:val="24"/>
        </w:rPr>
        <w:t>employment</w:t>
      </w:r>
      <w:r>
        <w:rPr>
          <w:spacing w:val="-4"/>
          <w:sz w:val="24"/>
        </w:rPr>
        <w:t> </w:t>
      </w:r>
      <w:r>
        <w:rPr>
          <w:sz w:val="24"/>
        </w:rPr>
        <w:t>consultant</w:t>
      </w:r>
      <w:r>
        <w:rPr>
          <w:spacing w:val="-4"/>
          <w:sz w:val="24"/>
        </w:rPr>
        <w:t> </w:t>
      </w:r>
      <w:r>
        <w:rPr>
          <w:sz w:val="24"/>
        </w:rPr>
        <w:t>for</w:t>
      </w:r>
      <w:r>
        <w:rPr>
          <w:spacing w:val="-5"/>
          <w:sz w:val="24"/>
        </w:rPr>
        <w:t> </w:t>
      </w:r>
      <w:r>
        <w:rPr>
          <w:sz w:val="24"/>
        </w:rPr>
        <w:t>individuals</w:t>
      </w:r>
      <w:r>
        <w:rPr>
          <w:spacing w:val="-4"/>
          <w:sz w:val="24"/>
        </w:rPr>
        <w:t> </w:t>
      </w:r>
      <w:r>
        <w:rPr>
          <w:sz w:val="24"/>
        </w:rPr>
        <w:t>that</w:t>
      </w:r>
      <w:r>
        <w:rPr>
          <w:spacing w:val="-4"/>
          <w:sz w:val="24"/>
        </w:rPr>
        <w:t> </w:t>
      </w:r>
      <w:r>
        <w:rPr>
          <w:sz w:val="24"/>
        </w:rPr>
        <w:t>need</w:t>
      </w:r>
      <w:r>
        <w:rPr>
          <w:spacing w:val="-4"/>
          <w:sz w:val="24"/>
        </w:rPr>
        <w:t> </w:t>
      </w:r>
      <w:r>
        <w:rPr>
          <w:sz w:val="24"/>
        </w:rPr>
        <w:t>ongoing support services. Revised language in section (17) to include an employment</w:t>
      </w:r>
    </w:p>
    <w:p>
      <w:pPr>
        <w:pStyle w:val="ListParagraph"/>
        <w:spacing w:after="0" w:line="240" w:lineRule="auto"/>
        <w:jc w:val="left"/>
        <w:rPr>
          <w:sz w:val="24"/>
        </w:rPr>
        <w:sectPr>
          <w:pgSz w:w="12240" w:h="15840"/>
          <w:pgMar w:top="1340" w:bottom="280" w:left="1080" w:right="720"/>
        </w:sectPr>
      </w:pPr>
    </w:p>
    <w:p>
      <w:pPr>
        <w:pStyle w:val="BodyText"/>
        <w:spacing w:before="80"/>
        <w:ind w:left="1440" w:right="775"/>
      </w:pPr>
      <w:r>
        <w:rPr/>
        <w:t>consultant</w:t>
      </w:r>
      <w:r>
        <w:rPr>
          <w:spacing w:val="-4"/>
        </w:rPr>
        <w:t> </w:t>
      </w:r>
      <w:r>
        <w:rPr/>
        <w:t>and/or</w:t>
      </w:r>
      <w:r>
        <w:rPr>
          <w:spacing w:val="-4"/>
        </w:rPr>
        <w:t> </w:t>
      </w:r>
      <w:r>
        <w:rPr/>
        <w:t>job</w:t>
      </w:r>
      <w:r>
        <w:rPr>
          <w:spacing w:val="-5"/>
        </w:rPr>
        <w:t> </w:t>
      </w:r>
      <w:r>
        <w:rPr/>
        <w:t>coach</w:t>
      </w:r>
      <w:r>
        <w:rPr>
          <w:spacing w:val="-5"/>
        </w:rPr>
        <w:t> </w:t>
      </w:r>
      <w:r>
        <w:rPr/>
        <w:t>for</w:t>
      </w:r>
      <w:r>
        <w:rPr>
          <w:spacing w:val="-4"/>
        </w:rPr>
        <w:t> </w:t>
      </w:r>
      <w:r>
        <w:rPr/>
        <w:t>employment</w:t>
      </w:r>
      <w:r>
        <w:rPr>
          <w:spacing w:val="-4"/>
        </w:rPr>
        <w:t> </w:t>
      </w:r>
      <w:r>
        <w:rPr/>
        <w:t>and</w:t>
      </w:r>
      <w:r>
        <w:rPr>
          <w:spacing w:val="-5"/>
        </w:rPr>
        <w:t> </w:t>
      </w:r>
      <w:r>
        <w:rPr/>
        <w:t>retention</w:t>
      </w:r>
      <w:r>
        <w:rPr>
          <w:spacing w:val="-5"/>
        </w:rPr>
        <w:t> </w:t>
      </w:r>
      <w:r>
        <w:rPr/>
        <w:t>services</w:t>
      </w:r>
      <w:r>
        <w:rPr>
          <w:spacing w:val="-5"/>
        </w:rPr>
        <w:t> </w:t>
      </w:r>
      <w:r>
        <w:rPr/>
        <w:t>for individuals that require short term support.</w:t>
      </w:r>
    </w:p>
    <w:p>
      <w:pPr>
        <w:pStyle w:val="BodyText"/>
        <w:spacing w:after="0"/>
        <w:sectPr>
          <w:pgSz w:w="12240" w:h="15840"/>
          <w:pgMar w:top="1360" w:bottom="280" w:left="1080" w:right="720"/>
        </w:sectPr>
      </w:pPr>
    </w:p>
    <w:p>
      <w:pPr>
        <w:pStyle w:val="Heading2"/>
      </w:pPr>
      <w:bookmarkStart w:name="612:10-7-2.  Field staff responsibilitie" w:id="113"/>
      <w:bookmarkEnd w:id="113"/>
      <w:r>
        <w:rPr>
          <w:b w:val="0"/>
        </w:rPr>
      </w:r>
      <w:r>
        <w:rPr/>
        <w:t>612:10-7-2.</w:t>
      </w:r>
      <w:r>
        <w:rPr>
          <w:spacing w:val="60"/>
        </w:rPr>
        <w:t> </w:t>
      </w:r>
      <w:r>
        <w:rPr/>
        <w:t>Field</w:t>
      </w:r>
      <w:r>
        <w:rPr>
          <w:spacing w:val="-3"/>
        </w:rPr>
        <w:t> </w:t>
      </w:r>
      <w:r>
        <w:rPr/>
        <w:t>staff</w:t>
      </w:r>
      <w:r>
        <w:rPr>
          <w:spacing w:val="-2"/>
        </w:rPr>
        <w:t> responsibilities</w:t>
      </w:r>
    </w:p>
    <w:p>
      <w:pPr>
        <w:pStyle w:val="ListParagraph"/>
        <w:numPr>
          <w:ilvl w:val="0"/>
          <w:numId w:val="100"/>
        </w:numPr>
        <w:tabs>
          <w:tab w:pos="785" w:val="left" w:leader="none"/>
        </w:tabs>
        <w:spacing w:line="208" w:lineRule="auto" w:before="233" w:after="0"/>
        <w:ind w:left="359" w:right="738" w:firstLine="0"/>
        <w:jc w:val="left"/>
        <w:rPr>
          <w:sz w:val="24"/>
        </w:rPr>
      </w:pPr>
      <w:r>
        <w:rPr>
          <w:sz w:val="24"/>
        </w:rPr>
        <w:t>The</w:t>
      </w:r>
      <w:r>
        <w:rPr>
          <w:spacing w:val="-1"/>
          <w:sz w:val="24"/>
        </w:rPr>
        <w:t> </w:t>
      </w:r>
      <w:r>
        <w:rPr>
          <w:sz w:val="24"/>
        </w:rPr>
        <w:t>counselor is</w:t>
      </w:r>
      <w:r>
        <w:rPr>
          <w:spacing w:val="-1"/>
          <w:sz w:val="24"/>
        </w:rPr>
        <w:t> </w:t>
      </w:r>
      <w:r>
        <w:rPr>
          <w:sz w:val="24"/>
        </w:rPr>
        <w:t>responsible for contacting</w:t>
      </w:r>
      <w:r>
        <w:rPr>
          <w:spacing w:val="-1"/>
          <w:sz w:val="24"/>
        </w:rPr>
        <w:t> </w:t>
      </w:r>
      <w:r>
        <w:rPr>
          <w:sz w:val="24"/>
        </w:rPr>
        <w:t>each</w:t>
      </w:r>
      <w:r>
        <w:rPr>
          <w:spacing w:val="-1"/>
          <w:sz w:val="24"/>
        </w:rPr>
        <w:t> </w:t>
      </w:r>
      <w:r>
        <w:rPr>
          <w:sz w:val="24"/>
        </w:rPr>
        <w:t>referral</w:t>
      </w:r>
      <w:r>
        <w:rPr>
          <w:spacing w:val="-1"/>
          <w:sz w:val="24"/>
        </w:rPr>
        <w:t> </w:t>
      </w:r>
      <w:r>
        <w:rPr>
          <w:sz w:val="24"/>
        </w:rPr>
        <w:t>within 30</w:t>
      </w:r>
      <w:r>
        <w:rPr>
          <w:spacing w:val="-1"/>
          <w:sz w:val="24"/>
        </w:rPr>
        <w:t> </w:t>
      </w:r>
      <w:r>
        <w:rPr>
          <w:sz w:val="24"/>
        </w:rPr>
        <w:t>days</w:t>
      </w:r>
      <w:r>
        <w:rPr>
          <w:spacing w:val="-1"/>
          <w:sz w:val="24"/>
        </w:rPr>
        <w:t> </w:t>
      </w:r>
      <w:r>
        <w:rPr>
          <w:sz w:val="24"/>
        </w:rPr>
        <w:t>of</w:t>
      </w:r>
      <w:r>
        <w:rPr>
          <w:spacing w:val="-2"/>
          <w:sz w:val="24"/>
        </w:rPr>
        <w:t> </w:t>
      </w:r>
      <w:r>
        <w:rPr>
          <w:sz w:val="24"/>
        </w:rPr>
        <w:t>receipt of the referral information. The counselor is responsible for completing a contact by telephone</w:t>
      </w:r>
      <w:r>
        <w:rPr>
          <w:spacing w:val="-4"/>
          <w:sz w:val="24"/>
        </w:rPr>
        <w:t> </w:t>
      </w:r>
      <w:r>
        <w:rPr>
          <w:sz w:val="24"/>
        </w:rPr>
        <w:t>or</w:t>
      </w:r>
      <w:r>
        <w:rPr>
          <w:spacing w:val="-3"/>
          <w:sz w:val="24"/>
        </w:rPr>
        <w:t> </w:t>
      </w:r>
      <w:r>
        <w:rPr>
          <w:sz w:val="24"/>
        </w:rPr>
        <w:t>in</w:t>
      </w:r>
      <w:r>
        <w:rPr>
          <w:spacing w:val="-4"/>
          <w:sz w:val="24"/>
        </w:rPr>
        <w:t> </w:t>
      </w:r>
      <w:r>
        <w:rPr>
          <w:sz w:val="24"/>
        </w:rPr>
        <w:t>person.</w:t>
      </w:r>
      <w:r>
        <w:rPr>
          <w:spacing w:val="-3"/>
          <w:sz w:val="24"/>
        </w:rPr>
        <w:t> </w:t>
      </w:r>
      <w:r>
        <w:rPr>
          <w:sz w:val="24"/>
        </w:rPr>
        <w:t>The</w:t>
      </w:r>
      <w:r>
        <w:rPr>
          <w:spacing w:val="-4"/>
          <w:sz w:val="24"/>
        </w:rPr>
        <w:t> </w:t>
      </w:r>
      <w:r>
        <w:rPr>
          <w:sz w:val="24"/>
        </w:rPr>
        <w:t>counselor</w:t>
      </w:r>
      <w:r>
        <w:rPr>
          <w:spacing w:val="-3"/>
          <w:sz w:val="24"/>
        </w:rPr>
        <w:t> </w:t>
      </w:r>
      <w:r>
        <w:rPr>
          <w:sz w:val="24"/>
        </w:rPr>
        <w:t>is</w:t>
      </w:r>
      <w:r>
        <w:rPr>
          <w:spacing w:val="-4"/>
          <w:sz w:val="24"/>
        </w:rPr>
        <w:t> </w:t>
      </w:r>
      <w:r>
        <w:rPr>
          <w:sz w:val="24"/>
        </w:rPr>
        <w:t>responsible</w:t>
      </w:r>
      <w:r>
        <w:rPr>
          <w:spacing w:val="-4"/>
          <w:sz w:val="24"/>
        </w:rPr>
        <w:t> </w:t>
      </w:r>
      <w:r>
        <w:rPr>
          <w:sz w:val="24"/>
        </w:rPr>
        <w:t>for</w:t>
      </w:r>
      <w:r>
        <w:rPr>
          <w:spacing w:val="-3"/>
          <w:sz w:val="24"/>
        </w:rPr>
        <w:t> </w:t>
      </w:r>
      <w:r>
        <w:rPr>
          <w:sz w:val="24"/>
        </w:rPr>
        <w:t>providing</w:t>
      </w:r>
      <w:r>
        <w:rPr>
          <w:spacing w:val="-4"/>
          <w:sz w:val="24"/>
        </w:rPr>
        <w:t> </w:t>
      </w:r>
      <w:r>
        <w:rPr>
          <w:sz w:val="24"/>
        </w:rPr>
        <w:t>interpreter</w:t>
      </w:r>
      <w:r>
        <w:rPr>
          <w:spacing w:val="-3"/>
          <w:sz w:val="24"/>
        </w:rPr>
        <w:t> </w:t>
      </w:r>
      <w:r>
        <w:rPr>
          <w:sz w:val="24"/>
        </w:rPr>
        <w:t>services</w:t>
      </w:r>
      <w:r>
        <w:rPr>
          <w:spacing w:val="-4"/>
          <w:sz w:val="24"/>
        </w:rPr>
        <w:t> </w:t>
      </w:r>
      <w:r>
        <w:rPr>
          <w:sz w:val="24"/>
        </w:rPr>
        <w:t>to applicants who are deaf or non-English speaking.</w:t>
      </w:r>
    </w:p>
    <w:p>
      <w:pPr>
        <w:pStyle w:val="ListParagraph"/>
        <w:numPr>
          <w:ilvl w:val="0"/>
          <w:numId w:val="100"/>
        </w:numPr>
        <w:tabs>
          <w:tab w:pos="786" w:val="left" w:leader="none"/>
        </w:tabs>
        <w:spacing w:line="208" w:lineRule="auto" w:before="239" w:after="0"/>
        <w:ind w:left="360" w:right="791" w:firstLine="0"/>
        <w:jc w:val="left"/>
        <w:rPr>
          <w:sz w:val="24"/>
        </w:rPr>
      </w:pPr>
      <w:r>
        <w:rPr>
          <w:sz w:val="24"/>
        </w:rPr>
        <w:t>The</w:t>
      </w:r>
      <w:r>
        <w:rPr>
          <w:spacing w:val="-5"/>
          <w:sz w:val="24"/>
        </w:rPr>
        <w:t> </w:t>
      </w:r>
      <w:r>
        <w:rPr>
          <w:sz w:val="24"/>
        </w:rPr>
        <w:t>qualified</w:t>
      </w:r>
      <w:r>
        <w:rPr>
          <w:spacing w:val="-5"/>
          <w:sz w:val="24"/>
        </w:rPr>
        <w:t> </w:t>
      </w:r>
      <w:r>
        <w:rPr>
          <w:sz w:val="24"/>
        </w:rPr>
        <w:t>vocational</w:t>
      </w:r>
      <w:r>
        <w:rPr>
          <w:spacing w:val="-5"/>
          <w:sz w:val="24"/>
        </w:rPr>
        <w:t> </w:t>
      </w:r>
      <w:r>
        <w:rPr>
          <w:sz w:val="24"/>
        </w:rPr>
        <w:t>rehabilitation</w:t>
      </w:r>
      <w:r>
        <w:rPr>
          <w:spacing w:val="-5"/>
          <w:sz w:val="24"/>
        </w:rPr>
        <w:t> </w:t>
      </w:r>
      <w:r>
        <w:rPr>
          <w:sz w:val="24"/>
        </w:rPr>
        <w:t>counselor</w:t>
      </w:r>
      <w:r>
        <w:rPr>
          <w:spacing w:val="-4"/>
          <w:sz w:val="24"/>
        </w:rPr>
        <w:t> </w:t>
      </w:r>
      <w:r>
        <w:rPr>
          <w:sz w:val="24"/>
        </w:rPr>
        <w:t>is</w:t>
      </w:r>
      <w:r>
        <w:rPr>
          <w:spacing w:val="-5"/>
          <w:sz w:val="24"/>
        </w:rPr>
        <w:t> </w:t>
      </w:r>
      <w:r>
        <w:rPr>
          <w:sz w:val="24"/>
        </w:rPr>
        <w:t>responsible</w:t>
      </w:r>
      <w:r>
        <w:rPr>
          <w:spacing w:val="-4"/>
          <w:sz w:val="24"/>
        </w:rPr>
        <w:t> </w:t>
      </w:r>
      <w:r>
        <w:rPr>
          <w:sz w:val="24"/>
        </w:rPr>
        <w:t>for</w:t>
      </w:r>
      <w:r>
        <w:rPr>
          <w:spacing w:val="-4"/>
          <w:sz w:val="24"/>
        </w:rPr>
        <w:t> </w:t>
      </w:r>
      <w:r>
        <w:rPr>
          <w:sz w:val="24"/>
        </w:rPr>
        <w:t>the</w:t>
      </w:r>
      <w:r>
        <w:rPr>
          <w:spacing w:val="-5"/>
          <w:sz w:val="24"/>
        </w:rPr>
        <w:t> </w:t>
      </w:r>
      <w:r>
        <w:rPr>
          <w:sz w:val="24"/>
        </w:rPr>
        <w:t>determination of an individual's eligibility to receive services from DVR or DSBVI. In cases where the counselor has difficulty in making an eligibility determination, the counselor will consult with the supervisor. For further clarification, the case will be reviewed by the field coordinator for a decision. Individuals who are legally blind are to be referred to the appropriate rehabilitation teacher for determination of eligibility for the rehabilitation teaching program.</w:t>
      </w:r>
    </w:p>
    <w:p>
      <w:pPr>
        <w:pStyle w:val="ListParagraph"/>
        <w:numPr>
          <w:ilvl w:val="0"/>
          <w:numId w:val="100"/>
        </w:numPr>
        <w:tabs>
          <w:tab w:pos="773" w:val="left" w:leader="none"/>
        </w:tabs>
        <w:spacing w:line="208" w:lineRule="auto" w:before="240" w:after="0"/>
        <w:ind w:left="360" w:right="1000" w:firstLine="0"/>
        <w:jc w:val="left"/>
        <w:rPr>
          <w:b/>
          <w:sz w:val="24"/>
        </w:rPr>
      </w:pPr>
      <w:r>
        <w:rPr>
          <w:sz w:val="24"/>
        </w:rPr>
        <w:t>The</w:t>
      </w:r>
      <w:r>
        <w:rPr>
          <w:spacing w:val="-6"/>
          <w:sz w:val="24"/>
        </w:rPr>
        <w:t> </w:t>
      </w:r>
      <w:r>
        <w:rPr>
          <w:sz w:val="24"/>
        </w:rPr>
        <w:t>qualified</w:t>
      </w:r>
      <w:r>
        <w:rPr>
          <w:spacing w:val="-6"/>
          <w:sz w:val="24"/>
        </w:rPr>
        <w:t> </w:t>
      </w:r>
      <w:r>
        <w:rPr>
          <w:sz w:val="24"/>
        </w:rPr>
        <w:t>vocational</w:t>
      </w:r>
      <w:r>
        <w:rPr>
          <w:spacing w:val="-6"/>
          <w:sz w:val="24"/>
        </w:rPr>
        <w:t> </w:t>
      </w:r>
      <w:r>
        <w:rPr>
          <w:sz w:val="24"/>
        </w:rPr>
        <w:t>rehabilitation</w:t>
      </w:r>
      <w:r>
        <w:rPr>
          <w:spacing w:val="-6"/>
          <w:sz w:val="24"/>
        </w:rPr>
        <w:t> </w:t>
      </w:r>
      <w:r>
        <w:rPr>
          <w:sz w:val="24"/>
        </w:rPr>
        <w:t>counselor's</w:t>
      </w:r>
      <w:r>
        <w:rPr>
          <w:spacing w:val="-6"/>
          <w:sz w:val="24"/>
        </w:rPr>
        <w:t> </w:t>
      </w:r>
      <w:r>
        <w:rPr>
          <w:sz w:val="24"/>
        </w:rPr>
        <w:t>primary</w:t>
      </w:r>
      <w:r>
        <w:rPr>
          <w:spacing w:val="-6"/>
          <w:sz w:val="24"/>
        </w:rPr>
        <w:t> </w:t>
      </w:r>
      <w:r>
        <w:rPr>
          <w:sz w:val="24"/>
        </w:rPr>
        <w:t>vocational</w:t>
      </w:r>
      <w:r>
        <w:rPr>
          <w:spacing w:val="-6"/>
          <w:sz w:val="24"/>
        </w:rPr>
        <w:t> </w:t>
      </w:r>
      <w:r>
        <w:rPr>
          <w:sz w:val="24"/>
        </w:rPr>
        <w:t>rehabilitation service is counseling and guidance with job placement. Additional services must be justified as necessary to compensate for, correct or circumvent an impediment to employment. Every IPE must include a plan of counseling and guidance services. Regular documentation of counseling sessions will be included in every DVR and DSBVI case. </w:t>
      </w:r>
      <w:r>
        <w:rPr>
          <w:b/>
          <w:sz w:val="24"/>
        </w:rPr>
        <w:t>1</w:t>
      </w:r>
    </w:p>
    <w:p>
      <w:pPr>
        <w:pStyle w:val="ListParagraph"/>
        <w:numPr>
          <w:ilvl w:val="0"/>
          <w:numId w:val="100"/>
        </w:numPr>
        <w:tabs>
          <w:tab w:pos="786" w:val="left" w:leader="none"/>
        </w:tabs>
        <w:spacing w:line="208" w:lineRule="auto" w:before="239" w:after="0"/>
        <w:ind w:left="360" w:right="752" w:firstLine="0"/>
        <w:jc w:val="left"/>
        <w:rPr>
          <w:sz w:val="24"/>
        </w:rPr>
      </w:pPr>
      <w:r>
        <w:rPr>
          <w:sz w:val="24"/>
        </w:rPr>
        <w:t>The qualified vocational rehabilitation counselor is to ensure that the client is a full participant</w:t>
      </w:r>
      <w:r>
        <w:rPr>
          <w:spacing w:val="-3"/>
          <w:sz w:val="24"/>
        </w:rPr>
        <w:t> </w:t>
      </w:r>
      <w:r>
        <w:rPr>
          <w:sz w:val="24"/>
        </w:rPr>
        <w:t>in</w:t>
      </w:r>
      <w:r>
        <w:rPr>
          <w:spacing w:val="-4"/>
          <w:sz w:val="24"/>
        </w:rPr>
        <w:t> </w:t>
      </w:r>
      <w:r>
        <w:rPr>
          <w:sz w:val="24"/>
        </w:rPr>
        <w:t>the</w:t>
      </w:r>
      <w:r>
        <w:rPr>
          <w:spacing w:val="-4"/>
          <w:sz w:val="24"/>
        </w:rPr>
        <w:t> </w:t>
      </w:r>
      <w:r>
        <w:rPr>
          <w:sz w:val="24"/>
        </w:rPr>
        <w:t>decisions</w:t>
      </w:r>
      <w:r>
        <w:rPr>
          <w:spacing w:val="-4"/>
          <w:sz w:val="24"/>
        </w:rPr>
        <w:t> </w:t>
      </w:r>
      <w:r>
        <w:rPr>
          <w:sz w:val="24"/>
        </w:rPr>
        <w:t>that</w:t>
      </w:r>
      <w:r>
        <w:rPr>
          <w:spacing w:val="-3"/>
          <w:sz w:val="24"/>
        </w:rPr>
        <w:t> </w:t>
      </w:r>
      <w:r>
        <w:rPr>
          <w:sz w:val="24"/>
        </w:rPr>
        <w:t>are</w:t>
      </w:r>
      <w:r>
        <w:rPr>
          <w:spacing w:val="-4"/>
          <w:sz w:val="24"/>
        </w:rPr>
        <w:t> </w:t>
      </w:r>
      <w:r>
        <w:rPr>
          <w:sz w:val="24"/>
        </w:rPr>
        <w:t>made</w:t>
      </w:r>
      <w:r>
        <w:rPr>
          <w:spacing w:val="-4"/>
          <w:sz w:val="24"/>
        </w:rPr>
        <w:t> </w:t>
      </w:r>
      <w:r>
        <w:rPr>
          <w:sz w:val="24"/>
        </w:rPr>
        <w:t>concerning</w:t>
      </w:r>
      <w:r>
        <w:rPr>
          <w:spacing w:val="-4"/>
          <w:sz w:val="24"/>
        </w:rPr>
        <w:t> </w:t>
      </w:r>
      <w:r>
        <w:rPr>
          <w:sz w:val="24"/>
        </w:rPr>
        <w:t>his</w:t>
      </w:r>
      <w:r>
        <w:rPr>
          <w:spacing w:val="-4"/>
          <w:sz w:val="24"/>
        </w:rPr>
        <w:t> </w:t>
      </w:r>
      <w:r>
        <w:rPr>
          <w:sz w:val="24"/>
        </w:rPr>
        <w:t>or</w:t>
      </w:r>
      <w:r>
        <w:rPr>
          <w:spacing w:val="-3"/>
          <w:sz w:val="24"/>
        </w:rPr>
        <w:t> </w:t>
      </w:r>
      <w:r>
        <w:rPr>
          <w:sz w:val="24"/>
        </w:rPr>
        <w:t>her</w:t>
      </w:r>
      <w:r>
        <w:rPr>
          <w:spacing w:val="-3"/>
          <w:sz w:val="24"/>
        </w:rPr>
        <w:t> </w:t>
      </w:r>
      <w:r>
        <w:rPr>
          <w:sz w:val="24"/>
        </w:rPr>
        <w:t>vocational</w:t>
      </w:r>
      <w:r>
        <w:rPr>
          <w:spacing w:val="-4"/>
          <w:sz w:val="24"/>
        </w:rPr>
        <w:t> </w:t>
      </w:r>
      <w:r>
        <w:rPr>
          <w:sz w:val="24"/>
        </w:rPr>
        <w:t>rehabilitation. This responsibility is carried out by providing the individual with as much relevant information as is available so that the individual, and/or the individual's authorized representative, can exercise informed choice consistent with the Department's administrative</w:t>
      </w:r>
      <w:r>
        <w:rPr>
          <w:spacing w:val="-2"/>
          <w:sz w:val="24"/>
        </w:rPr>
        <w:t> </w:t>
      </w:r>
      <w:r>
        <w:rPr>
          <w:sz w:val="24"/>
        </w:rPr>
        <w:t>rules.</w:t>
      </w:r>
      <w:r>
        <w:rPr>
          <w:spacing w:val="-1"/>
          <w:sz w:val="24"/>
        </w:rPr>
        <w:t> </w:t>
      </w:r>
      <w:r>
        <w:rPr>
          <w:sz w:val="24"/>
        </w:rPr>
        <w:t>The</w:t>
      </w:r>
      <w:r>
        <w:rPr>
          <w:spacing w:val="-2"/>
          <w:sz w:val="24"/>
        </w:rPr>
        <w:t> </w:t>
      </w:r>
      <w:r>
        <w:rPr>
          <w:sz w:val="24"/>
        </w:rPr>
        <w:t>minimum</w:t>
      </w:r>
      <w:r>
        <w:rPr>
          <w:spacing w:val="-1"/>
          <w:sz w:val="24"/>
        </w:rPr>
        <w:t> </w:t>
      </w:r>
      <w:r>
        <w:rPr>
          <w:sz w:val="24"/>
        </w:rPr>
        <w:t>information</w:t>
      </w:r>
      <w:r>
        <w:rPr>
          <w:spacing w:val="-2"/>
          <w:sz w:val="24"/>
        </w:rPr>
        <w:t> </w:t>
      </w:r>
      <w:r>
        <w:rPr>
          <w:sz w:val="24"/>
        </w:rPr>
        <w:t>concerning</w:t>
      </w:r>
      <w:r>
        <w:rPr>
          <w:spacing w:val="-2"/>
          <w:sz w:val="24"/>
        </w:rPr>
        <w:t> </w:t>
      </w:r>
      <w:r>
        <w:rPr>
          <w:sz w:val="24"/>
        </w:rPr>
        <w:t>service</w:t>
      </w:r>
      <w:r>
        <w:rPr>
          <w:spacing w:val="-2"/>
          <w:sz w:val="24"/>
        </w:rPr>
        <w:t> </w:t>
      </w:r>
      <w:r>
        <w:rPr>
          <w:sz w:val="24"/>
        </w:rPr>
        <w:t>choice</w:t>
      </w:r>
      <w:r>
        <w:rPr>
          <w:spacing w:val="-2"/>
          <w:sz w:val="24"/>
        </w:rPr>
        <w:t> </w:t>
      </w:r>
      <w:r>
        <w:rPr>
          <w:sz w:val="24"/>
        </w:rPr>
        <w:t>to</w:t>
      </w:r>
      <w:r>
        <w:rPr>
          <w:spacing w:val="-2"/>
          <w:sz w:val="24"/>
        </w:rPr>
        <w:t> </w:t>
      </w:r>
      <w:r>
        <w:rPr>
          <w:sz w:val="24"/>
        </w:rPr>
        <w:t>be</w:t>
      </w:r>
      <w:r>
        <w:rPr>
          <w:spacing w:val="-2"/>
          <w:sz w:val="24"/>
        </w:rPr>
        <w:t> </w:t>
      </w:r>
      <w:r>
        <w:rPr>
          <w:sz w:val="24"/>
        </w:rPr>
        <w:t>supplied </w:t>
      </w:r>
      <w:r>
        <w:rPr>
          <w:spacing w:val="-2"/>
          <w:sz w:val="24"/>
        </w:rPr>
        <w:t>includes:</w:t>
      </w:r>
    </w:p>
    <w:p>
      <w:pPr>
        <w:pStyle w:val="ListParagraph"/>
        <w:numPr>
          <w:ilvl w:val="1"/>
          <w:numId w:val="100"/>
        </w:numPr>
        <w:tabs>
          <w:tab w:pos="1217" w:val="left" w:leader="none"/>
        </w:tabs>
        <w:spacing w:line="240" w:lineRule="auto" w:before="210" w:after="0"/>
        <w:ind w:left="1217" w:right="0" w:hanging="426"/>
        <w:jc w:val="left"/>
        <w:rPr>
          <w:sz w:val="24"/>
        </w:rPr>
      </w:pPr>
      <w:r>
        <w:rPr>
          <w:sz w:val="24"/>
        </w:rPr>
        <w:t>service</w:t>
      </w:r>
      <w:r>
        <w:rPr>
          <w:spacing w:val="-6"/>
          <w:sz w:val="24"/>
        </w:rPr>
        <w:t> </w:t>
      </w:r>
      <w:r>
        <w:rPr>
          <w:spacing w:val="-2"/>
          <w:sz w:val="24"/>
        </w:rPr>
        <w:t>cost;</w:t>
      </w:r>
    </w:p>
    <w:p>
      <w:pPr>
        <w:pStyle w:val="ListParagraph"/>
        <w:numPr>
          <w:ilvl w:val="1"/>
          <w:numId w:val="100"/>
        </w:numPr>
        <w:tabs>
          <w:tab w:pos="1218" w:val="left" w:leader="none"/>
        </w:tabs>
        <w:spacing w:line="240" w:lineRule="auto" w:before="204" w:after="0"/>
        <w:ind w:left="1218" w:right="0" w:hanging="426"/>
        <w:jc w:val="left"/>
        <w:rPr>
          <w:sz w:val="24"/>
        </w:rPr>
      </w:pPr>
      <w:r>
        <w:rPr>
          <w:sz w:val="24"/>
        </w:rPr>
        <w:t>available</w:t>
      </w:r>
      <w:r>
        <w:rPr>
          <w:spacing w:val="-5"/>
          <w:sz w:val="24"/>
        </w:rPr>
        <w:t> </w:t>
      </w:r>
      <w:r>
        <w:rPr>
          <w:sz w:val="24"/>
        </w:rPr>
        <w:t>service</w:t>
      </w:r>
      <w:r>
        <w:rPr>
          <w:spacing w:val="-4"/>
          <w:sz w:val="24"/>
        </w:rPr>
        <w:t> </w:t>
      </w:r>
      <w:r>
        <w:rPr>
          <w:spacing w:val="-2"/>
          <w:sz w:val="24"/>
        </w:rPr>
        <w:t>providers;</w:t>
      </w:r>
    </w:p>
    <w:p>
      <w:pPr>
        <w:pStyle w:val="ListParagraph"/>
        <w:numPr>
          <w:ilvl w:val="1"/>
          <w:numId w:val="100"/>
        </w:numPr>
        <w:tabs>
          <w:tab w:pos="1217" w:val="left" w:leader="none"/>
        </w:tabs>
        <w:spacing w:line="240" w:lineRule="auto" w:before="204" w:after="0"/>
        <w:ind w:left="1217" w:right="0" w:hanging="426"/>
        <w:jc w:val="left"/>
        <w:rPr>
          <w:sz w:val="24"/>
        </w:rPr>
      </w:pPr>
      <w:r>
        <w:rPr>
          <w:sz w:val="24"/>
        </w:rPr>
        <w:t>service</w:t>
      </w:r>
      <w:r>
        <w:rPr>
          <w:spacing w:val="-6"/>
          <w:sz w:val="24"/>
        </w:rPr>
        <w:t> </w:t>
      </w:r>
      <w:r>
        <w:rPr>
          <w:spacing w:val="-2"/>
          <w:sz w:val="24"/>
        </w:rPr>
        <w:t>accessibility;</w:t>
      </w:r>
    </w:p>
    <w:p>
      <w:pPr>
        <w:pStyle w:val="ListParagraph"/>
        <w:numPr>
          <w:ilvl w:val="1"/>
          <w:numId w:val="100"/>
        </w:numPr>
        <w:tabs>
          <w:tab w:pos="1217" w:val="left" w:leader="none"/>
        </w:tabs>
        <w:spacing w:line="240" w:lineRule="auto" w:before="204" w:after="0"/>
        <w:ind w:left="1217" w:right="0" w:hanging="426"/>
        <w:jc w:val="left"/>
        <w:rPr>
          <w:sz w:val="24"/>
        </w:rPr>
      </w:pPr>
      <w:r>
        <w:rPr>
          <w:sz w:val="24"/>
        </w:rPr>
        <w:t>expected</w:t>
      </w:r>
      <w:r>
        <w:rPr>
          <w:spacing w:val="-4"/>
          <w:sz w:val="24"/>
        </w:rPr>
        <w:t> </w:t>
      </w:r>
      <w:r>
        <w:rPr>
          <w:sz w:val="24"/>
        </w:rPr>
        <w:t>duration</w:t>
      </w:r>
      <w:r>
        <w:rPr>
          <w:spacing w:val="-3"/>
          <w:sz w:val="24"/>
        </w:rPr>
        <w:t> </w:t>
      </w:r>
      <w:r>
        <w:rPr>
          <w:sz w:val="24"/>
        </w:rPr>
        <w:t>of</w:t>
      </w:r>
      <w:r>
        <w:rPr>
          <w:spacing w:val="-2"/>
          <w:sz w:val="24"/>
        </w:rPr>
        <w:t> services;</w:t>
      </w:r>
    </w:p>
    <w:p>
      <w:pPr>
        <w:pStyle w:val="ListParagraph"/>
        <w:numPr>
          <w:ilvl w:val="1"/>
          <w:numId w:val="100"/>
        </w:numPr>
        <w:tabs>
          <w:tab w:pos="1151" w:val="left" w:leader="none"/>
        </w:tabs>
        <w:spacing w:line="208" w:lineRule="auto" w:before="234" w:after="0"/>
        <w:ind w:left="791" w:right="1893" w:firstLine="0"/>
        <w:jc w:val="left"/>
        <w:rPr>
          <w:sz w:val="24"/>
        </w:rPr>
      </w:pPr>
      <w:r>
        <w:rPr>
          <w:sz w:val="24"/>
        </w:rPr>
        <w:t>client</w:t>
      </w:r>
      <w:r>
        <w:rPr>
          <w:spacing w:val="-3"/>
          <w:sz w:val="24"/>
        </w:rPr>
        <w:t> </w:t>
      </w:r>
      <w:r>
        <w:rPr>
          <w:sz w:val="24"/>
        </w:rPr>
        <w:t>satisfaction</w:t>
      </w:r>
      <w:r>
        <w:rPr>
          <w:spacing w:val="-4"/>
          <w:sz w:val="24"/>
        </w:rPr>
        <w:t> </w:t>
      </w:r>
      <w:r>
        <w:rPr>
          <w:sz w:val="24"/>
        </w:rPr>
        <w:t>with</w:t>
      </w:r>
      <w:r>
        <w:rPr>
          <w:spacing w:val="-4"/>
          <w:sz w:val="24"/>
        </w:rPr>
        <w:t> </w:t>
      </w:r>
      <w:r>
        <w:rPr>
          <w:sz w:val="24"/>
        </w:rPr>
        <w:t>the</w:t>
      </w:r>
      <w:r>
        <w:rPr>
          <w:spacing w:val="-4"/>
          <w:sz w:val="24"/>
        </w:rPr>
        <w:t> </w:t>
      </w:r>
      <w:r>
        <w:rPr>
          <w:sz w:val="24"/>
        </w:rPr>
        <w:t>services</w:t>
      </w:r>
      <w:r>
        <w:rPr>
          <w:spacing w:val="-4"/>
          <w:sz w:val="24"/>
        </w:rPr>
        <w:t> </w:t>
      </w:r>
      <w:r>
        <w:rPr>
          <w:sz w:val="24"/>
        </w:rPr>
        <w:t>in</w:t>
      </w:r>
      <w:r>
        <w:rPr>
          <w:spacing w:val="-4"/>
          <w:sz w:val="24"/>
        </w:rPr>
        <w:t> </w:t>
      </w:r>
      <w:r>
        <w:rPr>
          <w:sz w:val="24"/>
        </w:rPr>
        <w:t>question,</w:t>
      </w:r>
      <w:r>
        <w:rPr>
          <w:spacing w:val="-3"/>
          <w:sz w:val="24"/>
        </w:rPr>
        <w:t> </w:t>
      </w:r>
      <w:r>
        <w:rPr>
          <w:sz w:val="24"/>
        </w:rPr>
        <w:t>to</w:t>
      </w:r>
      <w:r>
        <w:rPr>
          <w:spacing w:val="-4"/>
          <w:sz w:val="24"/>
        </w:rPr>
        <w:t> </w:t>
      </w:r>
      <w:r>
        <w:rPr>
          <w:sz w:val="24"/>
        </w:rPr>
        <w:t>the</w:t>
      </w:r>
      <w:r>
        <w:rPr>
          <w:spacing w:val="-4"/>
          <w:sz w:val="24"/>
        </w:rPr>
        <w:t> </w:t>
      </w:r>
      <w:r>
        <w:rPr>
          <w:sz w:val="24"/>
        </w:rPr>
        <w:t>extent</w:t>
      </w:r>
      <w:r>
        <w:rPr>
          <w:spacing w:val="-3"/>
          <w:sz w:val="24"/>
        </w:rPr>
        <w:t> </w:t>
      </w:r>
      <w:r>
        <w:rPr>
          <w:sz w:val="24"/>
        </w:rPr>
        <w:t>that</w:t>
      </w:r>
      <w:r>
        <w:rPr>
          <w:spacing w:val="-3"/>
          <w:sz w:val="24"/>
        </w:rPr>
        <w:t> </w:t>
      </w:r>
      <w:r>
        <w:rPr>
          <w:sz w:val="24"/>
        </w:rPr>
        <w:t>such information is available;</w:t>
      </w:r>
    </w:p>
    <w:p>
      <w:pPr>
        <w:pStyle w:val="ListParagraph"/>
        <w:numPr>
          <w:ilvl w:val="1"/>
          <w:numId w:val="100"/>
        </w:numPr>
        <w:tabs>
          <w:tab w:pos="1218" w:val="left" w:leader="none"/>
        </w:tabs>
        <w:spacing w:line="240" w:lineRule="auto" w:before="210" w:after="0"/>
        <w:ind w:left="1218" w:right="0" w:hanging="426"/>
        <w:jc w:val="left"/>
        <w:rPr>
          <w:sz w:val="24"/>
        </w:rPr>
      </w:pPr>
      <w:r>
        <w:rPr>
          <w:sz w:val="24"/>
        </w:rPr>
        <w:t>qualifications</w:t>
      </w:r>
      <w:r>
        <w:rPr>
          <w:spacing w:val="-5"/>
          <w:sz w:val="24"/>
        </w:rPr>
        <w:t> </w:t>
      </w:r>
      <w:r>
        <w:rPr>
          <w:sz w:val="24"/>
        </w:rPr>
        <w:t>of</w:t>
      </w:r>
      <w:r>
        <w:rPr>
          <w:spacing w:val="-4"/>
          <w:sz w:val="24"/>
        </w:rPr>
        <w:t> </w:t>
      </w:r>
      <w:r>
        <w:rPr>
          <w:sz w:val="24"/>
        </w:rPr>
        <w:t>potential</w:t>
      </w:r>
      <w:r>
        <w:rPr>
          <w:spacing w:val="-5"/>
          <w:sz w:val="24"/>
        </w:rPr>
        <w:t> </w:t>
      </w:r>
      <w:r>
        <w:rPr>
          <w:sz w:val="24"/>
        </w:rPr>
        <w:t>service</w:t>
      </w:r>
      <w:r>
        <w:rPr>
          <w:spacing w:val="-4"/>
          <w:sz w:val="24"/>
        </w:rPr>
        <w:t> </w:t>
      </w:r>
      <w:r>
        <w:rPr>
          <w:spacing w:val="-2"/>
          <w:sz w:val="24"/>
        </w:rPr>
        <w:t>providers;</w:t>
      </w:r>
    </w:p>
    <w:p>
      <w:pPr>
        <w:pStyle w:val="ListParagraph"/>
        <w:numPr>
          <w:ilvl w:val="1"/>
          <w:numId w:val="100"/>
        </w:numPr>
        <w:tabs>
          <w:tab w:pos="1217" w:val="left" w:leader="none"/>
        </w:tabs>
        <w:spacing w:line="240" w:lineRule="auto" w:before="204" w:after="0"/>
        <w:ind w:left="1217" w:right="0" w:hanging="425"/>
        <w:jc w:val="left"/>
        <w:rPr>
          <w:sz w:val="24"/>
        </w:rPr>
      </w:pPr>
      <w:r>
        <w:rPr>
          <w:sz w:val="24"/>
        </w:rPr>
        <w:t>the</w:t>
      </w:r>
      <w:r>
        <w:rPr>
          <w:spacing w:val="-5"/>
          <w:sz w:val="24"/>
        </w:rPr>
        <w:t> </w:t>
      </w:r>
      <w:r>
        <w:rPr>
          <w:sz w:val="24"/>
        </w:rPr>
        <w:t>types</w:t>
      </w:r>
      <w:r>
        <w:rPr>
          <w:spacing w:val="-2"/>
          <w:sz w:val="24"/>
        </w:rPr>
        <w:t> </w:t>
      </w:r>
      <w:r>
        <w:rPr>
          <w:sz w:val="24"/>
        </w:rPr>
        <w:t>of</w:t>
      </w:r>
      <w:r>
        <w:rPr>
          <w:spacing w:val="-2"/>
          <w:sz w:val="24"/>
        </w:rPr>
        <w:t> </w:t>
      </w:r>
      <w:r>
        <w:rPr>
          <w:sz w:val="24"/>
        </w:rPr>
        <w:t>services</w:t>
      </w:r>
      <w:r>
        <w:rPr>
          <w:spacing w:val="-2"/>
          <w:sz w:val="24"/>
        </w:rPr>
        <w:t> </w:t>
      </w:r>
      <w:r>
        <w:rPr>
          <w:sz w:val="24"/>
        </w:rPr>
        <w:t>offered</w:t>
      </w:r>
      <w:r>
        <w:rPr>
          <w:spacing w:val="-4"/>
          <w:sz w:val="24"/>
        </w:rPr>
        <w:t> </w:t>
      </w:r>
      <w:r>
        <w:rPr>
          <w:sz w:val="24"/>
        </w:rPr>
        <w:t>by</w:t>
      </w:r>
      <w:r>
        <w:rPr>
          <w:spacing w:val="-2"/>
          <w:sz w:val="24"/>
        </w:rPr>
        <w:t> </w:t>
      </w:r>
      <w:r>
        <w:rPr>
          <w:sz w:val="24"/>
        </w:rPr>
        <w:t>the</w:t>
      </w:r>
      <w:r>
        <w:rPr>
          <w:spacing w:val="-3"/>
          <w:sz w:val="24"/>
        </w:rPr>
        <w:t> </w:t>
      </w:r>
      <w:r>
        <w:rPr>
          <w:sz w:val="24"/>
        </w:rPr>
        <w:t>potential</w:t>
      </w:r>
      <w:r>
        <w:rPr>
          <w:spacing w:val="-2"/>
          <w:sz w:val="24"/>
        </w:rPr>
        <w:t> </w:t>
      </w:r>
      <w:r>
        <w:rPr>
          <w:sz w:val="24"/>
        </w:rPr>
        <w:t>service</w:t>
      </w:r>
      <w:r>
        <w:rPr>
          <w:spacing w:val="-2"/>
          <w:sz w:val="24"/>
        </w:rPr>
        <w:t> providers;</w:t>
      </w:r>
    </w:p>
    <w:p>
      <w:pPr>
        <w:pStyle w:val="ListParagraph"/>
        <w:numPr>
          <w:ilvl w:val="1"/>
          <w:numId w:val="100"/>
        </w:numPr>
        <w:tabs>
          <w:tab w:pos="1217" w:val="left" w:leader="none"/>
        </w:tabs>
        <w:spacing w:line="240" w:lineRule="auto" w:before="204" w:after="0"/>
        <w:ind w:left="1217" w:right="0" w:hanging="425"/>
        <w:jc w:val="left"/>
        <w:rPr>
          <w:sz w:val="24"/>
        </w:rPr>
      </w:pPr>
      <w:r>
        <w:rPr>
          <w:sz w:val="24"/>
        </w:rPr>
        <w:t>the</w:t>
      </w:r>
      <w:r>
        <w:rPr>
          <w:spacing w:val="-5"/>
          <w:sz w:val="24"/>
        </w:rPr>
        <w:t> </w:t>
      </w:r>
      <w:r>
        <w:rPr>
          <w:sz w:val="24"/>
        </w:rPr>
        <w:t>degree</w:t>
      </w:r>
      <w:r>
        <w:rPr>
          <w:spacing w:val="-3"/>
          <w:sz w:val="24"/>
        </w:rPr>
        <w:t> </w:t>
      </w:r>
      <w:r>
        <w:rPr>
          <w:sz w:val="24"/>
        </w:rPr>
        <w:t>to</w:t>
      </w:r>
      <w:r>
        <w:rPr>
          <w:spacing w:val="-2"/>
          <w:sz w:val="24"/>
        </w:rPr>
        <w:t> </w:t>
      </w:r>
      <w:r>
        <w:rPr>
          <w:sz w:val="24"/>
        </w:rPr>
        <w:t>which</w:t>
      </w:r>
      <w:r>
        <w:rPr>
          <w:spacing w:val="-3"/>
          <w:sz w:val="24"/>
        </w:rPr>
        <w:t> </w:t>
      </w:r>
      <w:r>
        <w:rPr>
          <w:sz w:val="24"/>
        </w:rPr>
        <w:t>services</w:t>
      </w:r>
      <w:r>
        <w:rPr>
          <w:spacing w:val="-2"/>
          <w:sz w:val="24"/>
        </w:rPr>
        <w:t> </w:t>
      </w:r>
      <w:r>
        <w:rPr>
          <w:sz w:val="24"/>
        </w:rPr>
        <w:t>are</w:t>
      </w:r>
      <w:r>
        <w:rPr>
          <w:spacing w:val="-3"/>
          <w:sz w:val="24"/>
        </w:rPr>
        <w:t> </w:t>
      </w:r>
      <w:r>
        <w:rPr>
          <w:sz w:val="24"/>
        </w:rPr>
        <w:t>provided</w:t>
      </w:r>
      <w:r>
        <w:rPr>
          <w:spacing w:val="-3"/>
          <w:sz w:val="24"/>
        </w:rPr>
        <w:t> </w:t>
      </w:r>
      <w:r>
        <w:rPr>
          <w:sz w:val="24"/>
        </w:rPr>
        <w:t>in</w:t>
      </w:r>
      <w:r>
        <w:rPr>
          <w:spacing w:val="-2"/>
          <w:sz w:val="24"/>
        </w:rPr>
        <w:t> </w:t>
      </w:r>
      <w:r>
        <w:rPr>
          <w:sz w:val="24"/>
        </w:rPr>
        <w:t>integrated</w:t>
      </w:r>
      <w:r>
        <w:rPr>
          <w:spacing w:val="-3"/>
          <w:sz w:val="24"/>
        </w:rPr>
        <w:t> </w:t>
      </w:r>
      <w:r>
        <w:rPr>
          <w:sz w:val="24"/>
        </w:rPr>
        <w:t>settings;</w:t>
      </w:r>
      <w:r>
        <w:rPr>
          <w:spacing w:val="-1"/>
          <w:sz w:val="24"/>
        </w:rPr>
        <w:t> </w:t>
      </w:r>
      <w:r>
        <w:rPr>
          <w:spacing w:val="-5"/>
          <w:sz w:val="24"/>
        </w:rPr>
        <w:t>and</w:t>
      </w:r>
    </w:p>
    <w:p>
      <w:pPr>
        <w:pStyle w:val="ListParagraph"/>
        <w:numPr>
          <w:ilvl w:val="1"/>
          <w:numId w:val="100"/>
        </w:numPr>
        <w:tabs>
          <w:tab w:pos="1218" w:val="left" w:leader="none"/>
        </w:tabs>
        <w:spacing w:line="208" w:lineRule="auto" w:before="233" w:after="0"/>
        <w:ind w:left="792" w:right="1360" w:firstLine="0"/>
        <w:jc w:val="left"/>
        <w:rPr>
          <w:sz w:val="24"/>
        </w:rPr>
      </w:pPr>
      <w:r>
        <w:rPr>
          <w:sz w:val="24"/>
        </w:rPr>
        <w:t>outcomes</w:t>
      </w:r>
      <w:r>
        <w:rPr>
          <w:spacing w:val="-4"/>
          <w:sz w:val="24"/>
        </w:rPr>
        <w:t> </w:t>
      </w:r>
      <w:r>
        <w:rPr>
          <w:sz w:val="24"/>
        </w:rPr>
        <w:t>achieved</w:t>
      </w:r>
      <w:r>
        <w:rPr>
          <w:spacing w:val="-4"/>
          <w:sz w:val="24"/>
        </w:rPr>
        <w:t> </w:t>
      </w:r>
      <w:r>
        <w:rPr>
          <w:sz w:val="24"/>
        </w:rPr>
        <w:t>by</w:t>
      </w:r>
      <w:r>
        <w:rPr>
          <w:spacing w:val="-4"/>
          <w:sz w:val="24"/>
        </w:rPr>
        <w:t> </w:t>
      </w:r>
      <w:r>
        <w:rPr>
          <w:sz w:val="24"/>
        </w:rPr>
        <w:t>individuals</w:t>
      </w:r>
      <w:r>
        <w:rPr>
          <w:spacing w:val="-4"/>
          <w:sz w:val="24"/>
        </w:rPr>
        <w:t> </w:t>
      </w:r>
      <w:r>
        <w:rPr>
          <w:sz w:val="24"/>
        </w:rPr>
        <w:t>working</w:t>
      </w:r>
      <w:r>
        <w:rPr>
          <w:spacing w:val="-4"/>
          <w:sz w:val="24"/>
        </w:rPr>
        <w:t> </w:t>
      </w:r>
      <w:r>
        <w:rPr>
          <w:sz w:val="24"/>
        </w:rPr>
        <w:t>with</w:t>
      </w:r>
      <w:r>
        <w:rPr>
          <w:spacing w:val="-4"/>
          <w:sz w:val="24"/>
        </w:rPr>
        <w:t> </w:t>
      </w:r>
      <w:r>
        <w:rPr>
          <w:sz w:val="24"/>
        </w:rPr>
        <w:t>the</w:t>
      </w:r>
      <w:r>
        <w:rPr>
          <w:spacing w:val="-4"/>
          <w:sz w:val="24"/>
        </w:rPr>
        <w:t> </w:t>
      </w:r>
      <w:r>
        <w:rPr>
          <w:sz w:val="24"/>
        </w:rPr>
        <w:t>service</w:t>
      </w:r>
      <w:r>
        <w:rPr>
          <w:spacing w:val="-4"/>
          <w:sz w:val="24"/>
        </w:rPr>
        <w:t> </w:t>
      </w:r>
      <w:r>
        <w:rPr>
          <w:sz w:val="24"/>
        </w:rPr>
        <w:t>provider,</w:t>
      </w:r>
      <w:r>
        <w:rPr>
          <w:spacing w:val="-3"/>
          <w:sz w:val="24"/>
        </w:rPr>
        <w:t> </w:t>
      </w:r>
      <w:r>
        <w:rPr>
          <w:sz w:val="24"/>
        </w:rPr>
        <w:t>to</w:t>
      </w:r>
      <w:r>
        <w:rPr>
          <w:spacing w:val="-5"/>
          <w:sz w:val="24"/>
        </w:rPr>
        <w:t> </w:t>
      </w:r>
      <w:r>
        <w:rPr>
          <w:sz w:val="24"/>
        </w:rPr>
        <w:t>the extent such information is available.</w:t>
      </w:r>
    </w:p>
    <w:p>
      <w:pPr>
        <w:pStyle w:val="ListParagraph"/>
        <w:numPr>
          <w:ilvl w:val="0"/>
          <w:numId w:val="100"/>
        </w:numPr>
        <w:tabs>
          <w:tab w:pos="786" w:val="left" w:leader="none"/>
        </w:tabs>
        <w:spacing w:line="208" w:lineRule="auto" w:before="240" w:after="0"/>
        <w:ind w:left="360" w:right="1093" w:firstLine="0"/>
        <w:jc w:val="left"/>
        <w:rPr>
          <w:sz w:val="24"/>
        </w:rPr>
      </w:pPr>
      <w:r>
        <w:rPr>
          <w:sz w:val="24"/>
        </w:rPr>
        <w:t>The individual will be notified in writing of any adverse determination made by professional</w:t>
      </w:r>
      <w:r>
        <w:rPr>
          <w:spacing w:val="-4"/>
          <w:sz w:val="24"/>
        </w:rPr>
        <w:t> </w:t>
      </w:r>
      <w:r>
        <w:rPr>
          <w:sz w:val="24"/>
        </w:rPr>
        <w:t>staff</w:t>
      </w:r>
      <w:r>
        <w:rPr>
          <w:spacing w:val="-3"/>
          <w:sz w:val="24"/>
        </w:rPr>
        <w:t> </w:t>
      </w:r>
      <w:r>
        <w:rPr>
          <w:sz w:val="24"/>
        </w:rPr>
        <w:t>concerning</w:t>
      </w:r>
      <w:r>
        <w:rPr>
          <w:spacing w:val="-4"/>
          <w:sz w:val="24"/>
        </w:rPr>
        <w:t> </w:t>
      </w:r>
      <w:r>
        <w:rPr>
          <w:sz w:val="24"/>
        </w:rPr>
        <w:t>that</w:t>
      </w:r>
      <w:r>
        <w:rPr>
          <w:spacing w:val="-3"/>
          <w:sz w:val="24"/>
        </w:rPr>
        <w:t> </w:t>
      </w:r>
      <w:r>
        <w:rPr>
          <w:sz w:val="24"/>
        </w:rPr>
        <w:t>individual's</w:t>
      </w:r>
      <w:r>
        <w:rPr>
          <w:spacing w:val="-4"/>
          <w:sz w:val="24"/>
        </w:rPr>
        <w:t> </w:t>
      </w:r>
      <w:r>
        <w:rPr>
          <w:sz w:val="24"/>
        </w:rPr>
        <w:t>case.</w:t>
      </w:r>
      <w:r>
        <w:rPr>
          <w:spacing w:val="-3"/>
          <w:sz w:val="24"/>
        </w:rPr>
        <w:t> </w:t>
      </w:r>
      <w:r>
        <w:rPr>
          <w:sz w:val="24"/>
        </w:rPr>
        <w:t>This</w:t>
      </w:r>
      <w:r>
        <w:rPr>
          <w:spacing w:val="-4"/>
          <w:sz w:val="24"/>
        </w:rPr>
        <w:t> </w:t>
      </w:r>
      <w:r>
        <w:rPr>
          <w:sz w:val="24"/>
        </w:rPr>
        <w:t>notification</w:t>
      </w:r>
      <w:r>
        <w:rPr>
          <w:spacing w:val="-4"/>
          <w:sz w:val="24"/>
        </w:rPr>
        <w:t> </w:t>
      </w:r>
      <w:r>
        <w:rPr>
          <w:sz w:val="24"/>
        </w:rPr>
        <w:t>will</w:t>
      </w:r>
      <w:r>
        <w:rPr>
          <w:spacing w:val="-4"/>
          <w:sz w:val="24"/>
        </w:rPr>
        <w:t> </w:t>
      </w:r>
      <w:r>
        <w:rPr>
          <w:sz w:val="24"/>
        </w:rPr>
        <w:t>be</w:t>
      </w:r>
      <w:r>
        <w:rPr>
          <w:spacing w:val="-4"/>
          <w:sz w:val="24"/>
        </w:rPr>
        <w:t> </w:t>
      </w:r>
      <w:r>
        <w:rPr>
          <w:sz w:val="24"/>
        </w:rPr>
        <w:t>made</w:t>
      </w:r>
      <w:r>
        <w:rPr>
          <w:spacing w:val="-4"/>
          <w:sz w:val="24"/>
        </w:rPr>
        <w:t> </w:t>
      </w:r>
      <w:r>
        <w:rPr>
          <w:sz w:val="24"/>
        </w:rPr>
        <w:t>in</w:t>
      </w:r>
      <w:r>
        <w:rPr>
          <w:spacing w:val="-4"/>
          <w:sz w:val="24"/>
        </w:rPr>
        <w:t> </w:t>
      </w:r>
      <w:r>
        <w:rPr>
          <w:sz w:val="24"/>
        </w:rPr>
        <w:t>a timely manner, and in a manner that supports the individual's right to due process.</w:t>
      </w:r>
    </w:p>
    <w:p>
      <w:pPr>
        <w:pStyle w:val="ListParagraph"/>
        <w:spacing w:after="0" w:line="208" w:lineRule="auto"/>
        <w:jc w:val="left"/>
        <w:rPr>
          <w:sz w:val="24"/>
        </w:rPr>
        <w:sectPr>
          <w:pgSz w:w="12240" w:h="15840"/>
          <w:pgMar w:top="1340" w:bottom="280" w:left="1080" w:right="720"/>
        </w:sectPr>
      </w:pPr>
    </w:p>
    <w:p>
      <w:pPr>
        <w:pStyle w:val="ListParagraph"/>
        <w:numPr>
          <w:ilvl w:val="0"/>
          <w:numId w:val="100"/>
        </w:numPr>
        <w:tabs>
          <w:tab w:pos="719" w:val="left" w:leader="none"/>
        </w:tabs>
        <w:spacing w:line="208" w:lineRule="auto" w:before="96" w:after="0"/>
        <w:ind w:left="360" w:right="757" w:firstLine="0"/>
        <w:jc w:val="left"/>
        <w:rPr>
          <w:sz w:val="24"/>
        </w:rPr>
      </w:pPr>
      <w:r>
        <w:rPr>
          <w:sz w:val="24"/>
        </w:rPr>
        <w:t>The counselor will complete a financial needs test prior to the provision of any service</w:t>
      </w:r>
      <w:r>
        <w:rPr>
          <w:spacing w:val="-4"/>
          <w:sz w:val="24"/>
        </w:rPr>
        <w:t> </w:t>
      </w:r>
      <w:r>
        <w:rPr>
          <w:sz w:val="24"/>
        </w:rPr>
        <w:t>(other</w:t>
      </w:r>
      <w:r>
        <w:rPr>
          <w:spacing w:val="-3"/>
          <w:sz w:val="24"/>
        </w:rPr>
        <w:t> </w:t>
      </w:r>
      <w:r>
        <w:rPr>
          <w:sz w:val="24"/>
        </w:rPr>
        <w:t>than</w:t>
      </w:r>
      <w:r>
        <w:rPr>
          <w:spacing w:val="-4"/>
          <w:sz w:val="24"/>
        </w:rPr>
        <w:t> </w:t>
      </w:r>
      <w:r>
        <w:rPr>
          <w:sz w:val="24"/>
        </w:rPr>
        <w:t>exempt</w:t>
      </w:r>
      <w:r>
        <w:rPr>
          <w:spacing w:val="-3"/>
          <w:sz w:val="24"/>
        </w:rPr>
        <w:t> </w:t>
      </w:r>
      <w:r>
        <w:rPr>
          <w:sz w:val="24"/>
        </w:rPr>
        <w:t>services</w:t>
      </w:r>
      <w:r>
        <w:rPr>
          <w:spacing w:val="-4"/>
          <w:sz w:val="24"/>
        </w:rPr>
        <w:t> </w:t>
      </w:r>
      <w:r>
        <w:rPr>
          <w:sz w:val="24"/>
        </w:rPr>
        <w:t>listed</w:t>
      </w:r>
      <w:r>
        <w:rPr>
          <w:spacing w:val="-4"/>
          <w:sz w:val="24"/>
        </w:rPr>
        <w:t> </w:t>
      </w:r>
      <w:r>
        <w:rPr>
          <w:sz w:val="24"/>
        </w:rPr>
        <w:t>in</w:t>
      </w:r>
      <w:r>
        <w:rPr>
          <w:spacing w:val="-4"/>
          <w:sz w:val="24"/>
        </w:rPr>
        <w:t> </w:t>
      </w:r>
      <w:r>
        <w:rPr>
          <w:sz w:val="24"/>
        </w:rPr>
        <w:t>612:10-3-3)</w:t>
      </w:r>
      <w:r>
        <w:rPr>
          <w:spacing w:val="-3"/>
          <w:sz w:val="24"/>
        </w:rPr>
        <w:t> </w:t>
      </w:r>
      <w:r>
        <w:rPr>
          <w:sz w:val="24"/>
        </w:rPr>
        <w:t>to</w:t>
      </w:r>
      <w:r>
        <w:rPr>
          <w:spacing w:val="-4"/>
          <w:sz w:val="24"/>
        </w:rPr>
        <w:t> </w:t>
      </w:r>
      <w:r>
        <w:rPr>
          <w:sz w:val="24"/>
        </w:rPr>
        <w:t>determine</w:t>
      </w:r>
      <w:r>
        <w:rPr>
          <w:spacing w:val="-4"/>
          <w:sz w:val="24"/>
        </w:rPr>
        <w:t> </w:t>
      </w:r>
      <w:r>
        <w:rPr>
          <w:sz w:val="24"/>
        </w:rPr>
        <w:t>if</w:t>
      </w:r>
      <w:r>
        <w:rPr>
          <w:spacing w:val="-3"/>
          <w:sz w:val="24"/>
        </w:rPr>
        <w:t> </w:t>
      </w:r>
      <w:r>
        <w:rPr>
          <w:sz w:val="24"/>
        </w:rPr>
        <w:t>the</w:t>
      </w:r>
      <w:r>
        <w:rPr>
          <w:spacing w:val="-4"/>
          <w:sz w:val="24"/>
        </w:rPr>
        <w:t> </w:t>
      </w:r>
      <w:r>
        <w:rPr>
          <w:sz w:val="24"/>
        </w:rPr>
        <w:t>client</w:t>
      </w:r>
      <w:r>
        <w:rPr>
          <w:spacing w:val="-3"/>
          <w:sz w:val="24"/>
        </w:rPr>
        <w:t> </w:t>
      </w:r>
      <w:r>
        <w:rPr>
          <w:sz w:val="24"/>
        </w:rPr>
        <w:t>will</w:t>
      </w:r>
      <w:r>
        <w:rPr>
          <w:spacing w:val="-4"/>
          <w:sz w:val="24"/>
        </w:rPr>
        <w:t> </w:t>
      </w:r>
      <w:r>
        <w:rPr>
          <w:sz w:val="24"/>
        </w:rPr>
        <w:t>be required to participate in the cost of services. Verification of financial needs is not required if all services on the IPE are "exempt services" or if the agency will not be contributing to the sponsorship of "non-exempt" services (s) on the IPE.</w:t>
      </w:r>
    </w:p>
    <w:p>
      <w:pPr>
        <w:pStyle w:val="ListParagraph"/>
        <w:numPr>
          <w:ilvl w:val="0"/>
          <w:numId w:val="100"/>
        </w:numPr>
        <w:tabs>
          <w:tab w:pos="786" w:val="left" w:leader="none"/>
        </w:tabs>
        <w:spacing w:line="208" w:lineRule="auto" w:before="239" w:after="0"/>
        <w:ind w:left="360" w:right="927" w:firstLine="0"/>
        <w:jc w:val="left"/>
        <w:rPr>
          <w:sz w:val="24"/>
        </w:rPr>
      </w:pPr>
      <w:r>
        <w:rPr>
          <w:sz w:val="24"/>
        </w:rPr>
        <w:t>The</w:t>
      </w:r>
      <w:r>
        <w:rPr>
          <w:spacing w:val="-4"/>
          <w:sz w:val="24"/>
        </w:rPr>
        <w:t> </w:t>
      </w:r>
      <w:r>
        <w:rPr>
          <w:sz w:val="24"/>
        </w:rPr>
        <w:t>counselor</w:t>
      </w:r>
      <w:r>
        <w:rPr>
          <w:spacing w:val="-3"/>
          <w:sz w:val="24"/>
        </w:rPr>
        <w:t> </w:t>
      </w:r>
      <w:r>
        <w:rPr>
          <w:sz w:val="24"/>
        </w:rPr>
        <w:t>will</w:t>
      </w:r>
      <w:r>
        <w:rPr>
          <w:spacing w:val="-3"/>
          <w:sz w:val="24"/>
        </w:rPr>
        <w:t> </w:t>
      </w:r>
      <w:r>
        <w:rPr>
          <w:sz w:val="24"/>
        </w:rPr>
        <w:t>inform</w:t>
      </w:r>
      <w:r>
        <w:rPr>
          <w:spacing w:val="-3"/>
          <w:sz w:val="24"/>
        </w:rPr>
        <w:t> </w:t>
      </w:r>
      <w:r>
        <w:rPr>
          <w:sz w:val="24"/>
        </w:rPr>
        <w:t>each</w:t>
      </w:r>
      <w:r>
        <w:rPr>
          <w:spacing w:val="-4"/>
          <w:sz w:val="24"/>
        </w:rPr>
        <w:t> </w:t>
      </w:r>
      <w:r>
        <w:rPr>
          <w:sz w:val="24"/>
        </w:rPr>
        <w:t>individual</w:t>
      </w:r>
      <w:r>
        <w:rPr>
          <w:spacing w:val="-3"/>
          <w:sz w:val="24"/>
        </w:rPr>
        <w:t> </w:t>
      </w:r>
      <w:r>
        <w:rPr>
          <w:sz w:val="24"/>
        </w:rPr>
        <w:t>of</w:t>
      </w:r>
      <w:r>
        <w:rPr>
          <w:spacing w:val="-3"/>
          <w:sz w:val="24"/>
        </w:rPr>
        <w:t> </w:t>
      </w:r>
      <w:r>
        <w:rPr>
          <w:sz w:val="24"/>
        </w:rPr>
        <w:t>his</w:t>
      </w:r>
      <w:r>
        <w:rPr>
          <w:spacing w:val="-4"/>
          <w:sz w:val="24"/>
        </w:rPr>
        <w:t> </w:t>
      </w:r>
      <w:r>
        <w:rPr>
          <w:sz w:val="24"/>
        </w:rPr>
        <w:t>or</w:t>
      </w:r>
      <w:r>
        <w:rPr>
          <w:spacing w:val="-3"/>
          <w:sz w:val="24"/>
        </w:rPr>
        <w:t> </w:t>
      </w:r>
      <w:r>
        <w:rPr>
          <w:sz w:val="24"/>
        </w:rPr>
        <w:t>her</w:t>
      </w:r>
      <w:r>
        <w:rPr>
          <w:spacing w:val="-3"/>
          <w:sz w:val="24"/>
        </w:rPr>
        <w:t> </w:t>
      </w:r>
      <w:r>
        <w:rPr>
          <w:sz w:val="24"/>
        </w:rPr>
        <w:t>rights</w:t>
      </w:r>
      <w:r>
        <w:rPr>
          <w:spacing w:val="-4"/>
          <w:sz w:val="24"/>
        </w:rPr>
        <w:t> </w:t>
      </w:r>
      <w:r>
        <w:rPr>
          <w:sz w:val="24"/>
        </w:rPr>
        <w:t>and</w:t>
      </w:r>
      <w:r>
        <w:rPr>
          <w:spacing w:val="-4"/>
          <w:sz w:val="24"/>
        </w:rPr>
        <w:t> </w:t>
      </w:r>
      <w:r>
        <w:rPr>
          <w:sz w:val="24"/>
        </w:rPr>
        <w:t>responsibilities</w:t>
      </w:r>
      <w:r>
        <w:rPr>
          <w:spacing w:val="-4"/>
          <w:sz w:val="24"/>
        </w:rPr>
        <w:t> </w:t>
      </w:r>
      <w:r>
        <w:rPr>
          <w:sz w:val="24"/>
        </w:rPr>
        <w:t>as an applicant or client of DVR and DSBVI. Cross reference 612:10-7-3</w:t>
      </w:r>
    </w:p>
    <w:p>
      <w:pPr>
        <w:pStyle w:val="ListParagraph"/>
        <w:numPr>
          <w:ilvl w:val="0"/>
          <w:numId w:val="100"/>
        </w:numPr>
        <w:tabs>
          <w:tab w:pos="786" w:val="left" w:leader="none"/>
        </w:tabs>
        <w:spacing w:line="208" w:lineRule="auto" w:before="240" w:after="0"/>
        <w:ind w:left="360" w:right="791" w:firstLine="0"/>
        <w:jc w:val="left"/>
        <w:rPr>
          <w:sz w:val="24"/>
        </w:rPr>
      </w:pPr>
      <w:r>
        <w:rPr>
          <w:sz w:val="24"/>
        </w:rPr>
        <w:t>The</w:t>
      </w:r>
      <w:r>
        <w:rPr>
          <w:spacing w:val="-4"/>
          <w:sz w:val="24"/>
        </w:rPr>
        <w:t> </w:t>
      </w:r>
      <w:r>
        <w:rPr>
          <w:sz w:val="24"/>
        </w:rPr>
        <w:t>Department</w:t>
      </w:r>
      <w:r>
        <w:rPr>
          <w:spacing w:val="-3"/>
          <w:sz w:val="24"/>
        </w:rPr>
        <w:t> </w:t>
      </w:r>
      <w:r>
        <w:rPr>
          <w:sz w:val="24"/>
        </w:rPr>
        <w:t>of</w:t>
      </w:r>
      <w:r>
        <w:rPr>
          <w:spacing w:val="-5"/>
          <w:sz w:val="24"/>
        </w:rPr>
        <w:t> </w:t>
      </w:r>
      <w:r>
        <w:rPr>
          <w:sz w:val="24"/>
        </w:rPr>
        <w:t>Rehabilitation</w:t>
      </w:r>
      <w:r>
        <w:rPr>
          <w:spacing w:val="-4"/>
          <w:sz w:val="24"/>
        </w:rPr>
        <w:t> </w:t>
      </w:r>
      <w:r>
        <w:rPr>
          <w:sz w:val="24"/>
        </w:rPr>
        <w:t>Services</w:t>
      </w:r>
      <w:r>
        <w:rPr>
          <w:spacing w:val="-4"/>
          <w:sz w:val="24"/>
        </w:rPr>
        <w:t> </w:t>
      </w:r>
      <w:r>
        <w:rPr>
          <w:sz w:val="24"/>
        </w:rPr>
        <w:t>(DRS)</w:t>
      </w:r>
      <w:r>
        <w:rPr>
          <w:spacing w:val="-3"/>
          <w:sz w:val="24"/>
        </w:rPr>
        <w:t> </w:t>
      </w:r>
      <w:r>
        <w:rPr>
          <w:sz w:val="24"/>
        </w:rPr>
        <w:t>has</w:t>
      </w:r>
      <w:r>
        <w:rPr>
          <w:spacing w:val="-4"/>
          <w:sz w:val="24"/>
        </w:rPr>
        <w:t> </w:t>
      </w:r>
      <w:r>
        <w:rPr>
          <w:sz w:val="24"/>
        </w:rPr>
        <w:t>an</w:t>
      </w:r>
      <w:r>
        <w:rPr>
          <w:spacing w:val="-4"/>
          <w:sz w:val="24"/>
        </w:rPr>
        <w:t> </w:t>
      </w:r>
      <w:r>
        <w:rPr>
          <w:sz w:val="24"/>
        </w:rPr>
        <w:t>obligation</w:t>
      </w:r>
      <w:r>
        <w:rPr>
          <w:spacing w:val="-4"/>
          <w:sz w:val="24"/>
        </w:rPr>
        <w:t> </w:t>
      </w:r>
      <w:r>
        <w:rPr>
          <w:sz w:val="24"/>
        </w:rPr>
        <w:t>under</w:t>
      </w:r>
      <w:r>
        <w:rPr>
          <w:spacing w:val="-3"/>
          <w:sz w:val="24"/>
        </w:rPr>
        <w:t> </w:t>
      </w:r>
      <w:r>
        <w:rPr>
          <w:sz w:val="24"/>
        </w:rPr>
        <w:t>state</w:t>
      </w:r>
      <w:r>
        <w:rPr>
          <w:spacing w:val="-4"/>
          <w:sz w:val="24"/>
        </w:rPr>
        <w:t> </w:t>
      </w:r>
      <w:r>
        <w:rPr>
          <w:sz w:val="24"/>
        </w:rPr>
        <w:t>and federal law to provide services in a fair and impartial manner. State Ethics Commission Rules state that the proper operation of state government requires that the state employee be independent and impartial; that state employees not use state office to obtain private benefits; that a state employee must avoid action which creates the appearance of using state office to obtain a private or inappropriate benefit; and that state employees exercise their powers without prejudice or favoritism.</w:t>
      </w:r>
    </w:p>
    <w:p>
      <w:pPr>
        <w:pStyle w:val="BodyText"/>
        <w:spacing w:before="210"/>
      </w:pPr>
      <w:r>
        <w:rPr/>
        <w:t>INSTRUCTIONS</w:t>
      </w:r>
      <w:r>
        <w:rPr>
          <w:spacing w:val="-3"/>
        </w:rPr>
        <w:t> </w:t>
      </w:r>
      <w:r>
        <w:rPr/>
        <w:t>TO</w:t>
      </w:r>
      <w:r>
        <w:rPr>
          <w:spacing w:val="-2"/>
        </w:rPr>
        <w:t> </w:t>
      </w:r>
      <w:r>
        <w:rPr>
          <w:spacing w:val="-4"/>
        </w:rPr>
        <w:t>STAFF</w:t>
      </w:r>
    </w:p>
    <w:p>
      <w:pPr>
        <w:pStyle w:val="BodyText"/>
        <w:spacing w:before="204"/>
        <w:ind w:left="791"/>
      </w:pPr>
      <w:r>
        <w:rPr/>
        <w:t>1.</w:t>
      </w:r>
      <w:r>
        <w:rPr>
          <w:spacing w:val="60"/>
        </w:rPr>
        <w:t> </w:t>
      </w:r>
      <w:r>
        <w:rPr/>
        <w:t>See</w:t>
      </w:r>
      <w:r>
        <w:rPr>
          <w:spacing w:val="-3"/>
        </w:rPr>
        <w:t> </w:t>
      </w:r>
      <w:bookmarkStart w:name="_bookmark8" w:id="114"/>
      <w:bookmarkEnd w:id="114"/>
      <w:r>
        <w:rPr/>
      </w:r>
      <w:hyperlink w:history="true" w:anchor="_bookmark8">
        <w:r>
          <w:rPr>
            <w:color w:val="0000FF"/>
            <w:u w:val="single" w:color="0000FF"/>
          </w:rPr>
          <w:t>612:10-7-51</w:t>
        </w:r>
      </w:hyperlink>
      <w:r>
        <w:rPr>
          <w:color w:val="0000FF"/>
          <w:spacing w:val="-3"/>
          <w:u w:val="none"/>
        </w:rPr>
        <w:t> </w:t>
      </w:r>
      <w:r>
        <w:rPr>
          <w:u w:val="none"/>
        </w:rPr>
        <w:t>Individualized</w:t>
      </w:r>
      <w:r>
        <w:rPr>
          <w:spacing w:val="-3"/>
          <w:u w:val="none"/>
        </w:rPr>
        <w:t> </w:t>
      </w:r>
      <w:r>
        <w:rPr>
          <w:u w:val="none"/>
        </w:rPr>
        <w:t>Plan</w:t>
      </w:r>
      <w:r>
        <w:rPr>
          <w:spacing w:val="-3"/>
          <w:u w:val="none"/>
        </w:rPr>
        <w:t> </w:t>
      </w:r>
      <w:r>
        <w:rPr>
          <w:u w:val="none"/>
        </w:rPr>
        <w:t>for</w:t>
      </w:r>
      <w:r>
        <w:rPr>
          <w:spacing w:val="-2"/>
          <w:u w:val="none"/>
        </w:rPr>
        <w:t> Employment</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3-1-97</w:t>
      </w:r>
      <w:r>
        <w:rPr>
          <w:sz w:val="22"/>
        </w:rPr>
        <w:tab/>
        <w:t>PT Memo #97-5</w:t>
      </w:r>
    </w:p>
    <w:p>
      <w:pPr>
        <w:tabs>
          <w:tab w:pos="1439" w:val="left" w:leader="none"/>
        </w:tabs>
        <w:spacing w:before="0"/>
        <w:ind w:left="359" w:right="4253" w:firstLine="1080"/>
        <w:jc w:val="left"/>
        <w:rPr>
          <w:sz w:val="22"/>
        </w:rPr>
      </w:pPr>
      <w:r>
        <w:rPr>
          <w:sz w:val="22"/>
        </w:rPr>
        <w:t>Emergency,</w:t>
      </w:r>
      <w:r>
        <w:rPr>
          <w:spacing w:val="-8"/>
          <w:sz w:val="22"/>
        </w:rPr>
        <w:t> </w:t>
      </w:r>
      <w:r>
        <w:rPr>
          <w:sz w:val="22"/>
        </w:rPr>
        <w:t>changes</w:t>
      </w:r>
      <w:r>
        <w:rPr>
          <w:spacing w:val="-8"/>
          <w:sz w:val="22"/>
        </w:rPr>
        <w:t> </w:t>
      </w:r>
      <w:r>
        <w:rPr>
          <w:sz w:val="22"/>
        </w:rPr>
        <w:t>to</w:t>
      </w:r>
      <w:r>
        <w:rPr>
          <w:spacing w:val="-8"/>
          <w:sz w:val="22"/>
        </w:rPr>
        <w:t> </w:t>
      </w:r>
      <w:r>
        <w:rPr>
          <w:sz w:val="22"/>
        </w:rPr>
        <w:t>conform</w:t>
      </w:r>
      <w:r>
        <w:rPr>
          <w:spacing w:val="-8"/>
          <w:sz w:val="22"/>
        </w:rPr>
        <w:t> </w:t>
      </w:r>
      <w:r>
        <w:rPr>
          <w:sz w:val="22"/>
        </w:rPr>
        <w:t>with</w:t>
      </w:r>
      <w:r>
        <w:rPr>
          <w:spacing w:val="-8"/>
          <w:sz w:val="22"/>
        </w:rPr>
        <w:t> </w:t>
      </w:r>
      <w:r>
        <w:rPr>
          <w:sz w:val="22"/>
        </w:rPr>
        <w:t>612:10-1-7 </w:t>
      </w:r>
      <w:r>
        <w:rPr>
          <w:spacing w:val="-2"/>
          <w:sz w:val="22"/>
        </w:rPr>
        <w:t>7-1-97</w:t>
      </w:r>
      <w:r>
        <w:rPr>
          <w:sz w:val="22"/>
        </w:rPr>
        <w:tab/>
        <w:t>PT Memo #97-9</w:t>
      </w:r>
    </w:p>
    <w:p>
      <w:pPr>
        <w:spacing w:before="0"/>
        <w:ind w:left="1439" w:right="775" w:firstLine="0"/>
        <w:jc w:val="left"/>
        <w:rPr>
          <w:sz w:val="22"/>
        </w:rPr>
      </w:pPr>
      <w:r>
        <w:rPr>
          <w:sz w:val="22"/>
        </w:rPr>
        <w:t>Permanent,</w:t>
      </w:r>
      <w:r>
        <w:rPr>
          <w:spacing w:val="-5"/>
          <w:sz w:val="22"/>
        </w:rPr>
        <w:t> </w:t>
      </w:r>
      <w:r>
        <w:rPr>
          <w:sz w:val="22"/>
        </w:rPr>
        <w:t>client</w:t>
      </w:r>
      <w:r>
        <w:rPr>
          <w:spacing w:val="-6"/>
          <w:sz w:val="22"/>
        </w:rPr>
        <w:t> </w:t>
      </w:r>
      <w:r>
        <w:rPr>
          <w:sz w:val="22"/>
        </w:rPr>
        <w:t>choice</w:t>
      </w:r>
      <w:r>
        <w:rPr>
          <w:spacing w:val="-6"/>
          <w:sz w:val="22"/>
        </w:rPr>
        <w:t> </w:t>
      </w:r>
      <w:r>
        <w:rPr>
          <w:sz w:val="22"/>
        </w:rPr>
        <w:t>language</w:t>
      </w:r>
      <w:r>
        <w:rPr>
          <w:spacing w:val="-6"/>
          <w:sz w:val="22"/>
        </w:rPr>
        <w:t> </w:t>
      </w:r>
      <w:r>
        <w:rPr>
          <w:sz w:val="22"/>
        </w:rPr>
        <w:t>strengthened;</w:t>
      </w:r>
      <w:r>
        <w:rPr>
          <w:spacing w:val="-6"/>
          <w:sz w:val="22"/>
        </w:rPr>
        <w:t> </w:t>
      </w:r>
      <w:r>
        <w:rPr>
          <w:sz w:val="22"/>
        </w:rPr>
        <w:t>supersedes</w:t>
      </w:r>
      <w:r>
        <w:rPr>
          <w:spacing w:val="-6"/>
          <w:sz w:val="22"/>
        </w:rPr>
        <w:t> </w:t>
      </w:r>
      <w:r>
        <w:rPr>
          <w:sz w:val="22"/>
        </w:rPr>
        <w:t>emergency</w:t>
      </w:r>
      <w:r>
        <w:rPr>
          <w:spacing w:val="-6"/>
          <w:sz w:val="22"/>
        </w:rPr>
        <w:t> </w:t>
      </w:r>
      <w:r>
        <w:rPr>
          <w:sz w:val="22"/>
        </w:rPr>
        <w:t>rules issued 3-1-97</w:t>
      </w:r>
    </w:p>
    <w:p>
      <w:pPr>
        <w:tabs>
          <w:tab w:pos="1439" w:val="left" w:leader="none"/>
        </w:tabs>
        <w:spacing w:before="0"/>
        <w:ind w:left="359" w:right="0" w:firstLine="0"/>
        <w:jc w:val="left"/>
        <w:rPr>
          <w:sz w:val="22"/>
        </w:rPr>
      </w:pPr>
      <w:r>
        <w:rPr>
          <w:spacing w:val="-2"/>
          <w:sz w:val="22"/>
        </w:rPr>
        <w:t>10-1-</w:t>
      </w:r>
      <w:r>
        <w:rPr>
          <w:spacing w:val="-5"/>
          <w:sz w:val="22"/>
        </w:rPr>
        <w:t>97</w:t>
      </w:r>
      <w:r>
        <w:rPr>
          <w:sz w:val="22"/>
        </w:rPr>
        <w:tab/>
        <w:t>PT</w:t>
      </w:r>
      <w:r>
        <w:rPr>
          <w:spacing w:val="-8"/>
          <w:sz w:val="22"/>
        </w:rPr>
        <w:t> </w:t>
      </w:r>
      <w:r>
        <w:rPr>
          <w:sz w:val="22"/>
        </w:rPr>
        <w:t>Memo</w:t>
      </w:r>
      <w:r>
        <w:rPr>
          <w:spacing w:val="-8"/>
          <w:sz w:val="22"/>
        </w:rPr>
        <w:t> </w:t>
      </w:r>
      <w:r>
        <w:rPr>
          <w:sz w:val="22"/>
        </w:rPr>
        <w:t>#98-</w:t>
      </w:r>
      <w:r>
        <w:rPr>
          <w:spacing w:val="-10"/>
          <w:sz w:val="22"/>
        </w:rPr>
        <w:t>4</w:t>
      </w:r>
    </w:p>
    <w:p>
      <w:pPr>
        <w:spacing w:before="0"/>
        <w:ind w:left="1439" w:right="775" w:firstLine="0"/>
        <w:jc w:val="left"/>
        <w:rPr>
          <w:sz w:val="22"/>
        </w:rPr>
      </w:pPr>
      <w:r>
        <w:rPr>
          <w:sz w:val="22"/>
        </w:rPr>
        <w:t>Emergency,</w:t>
      </w:r>
      <w:r>
        <w:rPr>
          <w:spacing w:val="-5"/>
          <w:sz w:val="22"/>
        </w:rPr>
        <w:t> </w:t>
      </w:r>
      <w:r>
        <w:rPr>
          <w:sz w:val="22"/>
        </w:rPr>
        <w:t>added</w:t>
      </w:r>
      <w:r>
        <w:rPr>
          <w:spacing w:val="-5"/>
          <w:sz w:val="22"/>
        </w:rPr>
        <w:t> </w:t>
      </w:r>
      <w:r>
        <w:rPr>
          <w:sz w:val="22"/>
        </w:rPr>
        <w:t>minimum</w:t>
      </w:r>
      <w:r>
        <w:rPr>
          <w:spacing w:val="-6"/>
          <w:sz w:val="22"/>
        </w:rPr>
        <w:t> </w:t>
      </w:r>
      <w:r>
        <w:rPr>
          <w:sz w:val="22"/>
        </w:rPr>
        <w:t>information</w:t>
      </w:r>
      <w:r>
        <w:rPr>
          <w:spacing w:val="-5"/>
          <w:sz w:val="22"/>
        </w:rPr>
        <w:t> </w:t>
      </w:r>
      <w:r>
        <w:rPr>
          <w:sz w:val="22"/>
        </w:rPr>
        <w:t>necessary</w:t>
      </w:r>
      <w:r>
        <w:rPr>
          <w:spacing w:val="-5"/>
          <w:sz w:val="22"/>
        </w:rPr>
        <w:t> </w:t>
      </w:r>
      <w:r>
        <w:rPr>
          <w:sz w:val="22"/>
        </w:rPr>
        <w:t>to</w:t>
      </w:r>
      <w:r>
        <w:rPr>
          <w:spacing w:val="-5"/>
          <w:sz w:val="22"/>
        </w:rPr>
        <w:t> </w:t>
      </w:r>
      <w:r>
        <w:rPr>
          <w:sz w:val="22"/>
        </w:rPr>
        <w:t>provide</w:t>
      </w:r>
      <w:r>
        <w:rPr>
          <w:spacing w:val="-5"/>
          <w:sz w:val="22"/>
        </w:rPr>
        <w:t> </w:t>
      </w:r>
      <w:r>
        <w:rPr>
          <w:sz w:val="22"/>
        </w:rPr>
        <w:t>client</w:t>
      </w:r>
      <w:r>
        <w:rPr>
          <w:spacing w:val="-5"/>
          <w:sz w:val="22"/>
        </w:rPr>
        <w:t> </w:t>
      </w:r>
      <w:r>
        <w:rPr>
          <w:sz w:val="22"/>
        </w:rPr>
        <w:t>with</w:t>
      </w:r>
      <w:r>
        <w:rPr>
          <w:spacing w:val="-5"/>
          <w:sz w:val="22"/>
        </w:rPr>
        <w:t> </w:t>
      </w:r>
      <w:r>
        <w:rPr>
          <w:sz w:val="22"/>
        </w:rPr>
        <w:t>informed </w:t>
      </w:r>
      <w:r>
        <w:rPr>
          <w:spacing w:val="-2"/>
          <w:sz w:val="22"/>
        </w:rPr>
        <w:t>choice.</w:t>
      </w:r>
    </w:p>
    <w:p>
      <w:pPr>
        <w:pStyle w:val="ListParagraph"/>
        <w:numPr>
          <w:ilvl w:val="2"/>
          <w:numId w:val="101"/>
        </w:numPr>
        <w:tabs>
          <w:tab w:pos="1439" w:val="left" w:leader="none"/>
        </w:tabs>
        <w:spacing w:line="252"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#98-</w:t>
      </w:r>
      <w:r>
        <w:rPr>
          <w:spacing w:val="-5"/>
          <w:sz w:val="22"/>
        </w:rPr>
        <w:t>15</w:t>
      </w:r>
    </w:p>
    <w:p>
      <w:pPr>
        <w:spacing w:before="0"/>
        <w:ind w:left="1439" w:right="775" w:firstLine="0"/>
        <w:jc w:val="left"/>
        <w:rPr>
          <w:sz w:val="22"/>
        </w:rPr>
      </w:pPr>
      <w:r>
        <w:rPr>
          <w:sz w:val="22"/>
        </w:rPr>
        <w:t>Permanent</w:t>
      </w:r>
      <w:r>
        <w:rPr>
          <w:spacing w:val="-5"/>
          <w:sz w:val="22"/>
        </w:rPr>
        <w:t> </w:t>
      </w:r>
      <w:r>
        <w:rPr>
          <w:sz w:val="22"/>
        </w:rPr>
        <w:t>rules</w:t>
      </w:r>
      <w:r>
        <w:rPr>
          <w:spacing w:val="-5"/>
          <w:sz w:val="22"/>
        </w:rPr>
        <w:t> </w:t>
      </w:r>
      <w:r>
        <w:rPr>
          <w:sz w:val="22"/>
        </w:rPr>
        <w:t>supersede</w:t>
      </w:r>
      <w:r>
        <w:rPr>
          <w:spacing w:val="-5"/>
          <w:sz w:val="22"/>
        </w:rPr>
        <w:t> </w:t>
      </w:r>
      <w:r>
        <w:rPr>
          <w:sz w:val="22"/>
        </w:rPr>
        <w:t>emergency</w:t>
      </w:r>
      <w:r>
        <w:rPr>
          <w:spacing w:val="-5"/>
          <w:sz w:val="22"/>
        </w:rPr>
        <w:t> </w:t>
      </w:r>
      <w:r>
        <w:rPr>
          <w:sz w:val="22"/>
        </w:rPr>
        <w:t>rules</w:t>
      </w:r>
      <w:r>
        <w:rPr>
          <w:spacing w:val="-6"/>
          <w:sz w:val="22"/>
        </w:rPr>
        <w:t> </w:t>
      </w:r>
      <w:r>
        <w:rPr>
          <w:sz w:val="22"/>
        </w:rPr>
        <w:t>issued</w:t>
      </w:r>
      <w:r>
        <w:rPr>
          <w:spacing w:val="-5"/>
          <w:sz w:val="22"/>
        </w:rPr>
        <w:t> </w:t>
      </w:r>
      <w:r>
        <w:rPr>
          <w:sz w:val="22"/>
        </w:rPr>
        <w:t>10-1-97;</w:t>
      </w:r>
      <w:r>
        <w:rPr>
          <w:spacing w:val="-5"/>
          <w:sz w:val="22"/>
        </w:rPr>
        <w:t> </w:t>
      </w:r>
      <w:r>
        <w:rPr>
          <w:sz w:val="22"/>
        </w:rPr>
        <w:t>minimum</w:t>
      </w:r>
      <w:r>
        <w:rPr>
          <w:spacing w:val="-6"/>
          <w:sz w:val="22"/>
        </w:rPr>
        <w:t> </w:t>
      </w:r>
      <w:r>
        <w:rPr>
          <w:sz w:val="22"/>
        </w:rPr>
        <w:t>information must provide to count as providing consumer informed choice.</w:t>
      </w:r>
    </w:p>
    <w:p>
      <w:pPr>
        <w:tabs>
          <w:tab w:pos="1439" w:val="left" w:leader="none"/>
        </w:tabs>
        <w:spacing w:before="1"/>
        <w:ind w:left="359" w:right="0" w:firstLine="0"/>
        <w:jc w:val="left"/>
        <w:rPr>
          <w:sz w:val="22"/>
        </w:rPr>
      </w:pPr>
      <w:r>
        <w:rPr>
          <w:spacing w:val="-2"/>
          <w:sz w:val="22"/>
        </w:rPr>
        <w:t>6-14-</w:t>
      </w:r>
      <w:r>
        <w:rPr>
          <w:spacing w:val="-5"/>
          <w:sz w:val="22"/>
        </w:rPr>
        <w:t>99</w:t>
      </w:r>
      <w:r>
        <w:rPr>
          <w:sz w:val="22"/>
        </w:rPr>
        <w:tab/>
        <w:t>POL</w:t>
      </w:r>
      <w:r>
        <w:rPr>
          <w:spacing w:val="-9"/>
          <w:sz w:val="22"/>
        </w:rPr>
        <w:t> </w:t>
      </w:r>
      <w:r>
        <w:rPr>
          <w:sz w:val="22"/>
        </w:rPr>
        <w:t>Memo</w:t>
      </w:r>
      <w:r>
        <w:rPr>
          <w:spacing w:val="-8"/>
          <w:sz w:val="22"/>
        </w:rPr>
        <w:t> </w:t>
      </w:r>
      <w:r>
        <w:rPr>
          <w:sz w:val="22"/>
        </w:rPr>
        <w:t>#99-</w:t>
      </w:r>
      <w:r>
        <w:rPr>
          <w:spacing w:val="-10"/>
          <w:sz w:val="22"/>
        </w:rPr>
        <w:t>7</w:t>
      </w:r>
    </w:p>
    <w:p>
      <w:pPr>
        <w:tabs>
          <w:tab w:pos="1439" w:val="left" w:leader="none"/>
        </w:tabs>
        <w:spacing w:before="0"/>
        <w:ind w:left="359" w:right="4414" w:firstLine="1080"/>
        <w:jc w:val="left"/>
        <w:rPr>
          <w:sz w:val="22"/>
        </w:rPr>
      </w:pPr>
      <w:r>
        <w:rPr>
          <w:sz w:val="22"/>
        </w:rPr>
        <w:t>Emergency,</w:t>
      </w:r>
      <w:r>
        <w:rPr>
          <w:spacing w:val="-7"/>
          <w:sz w:val="22"/>
        </w:rPr>
        <w:t> </w:t>
      </w:r>
      <w:r>
        <w:rPr>
          <w:sz w:val="22"/>
        </w:rPr>
        <w:t>updated</w:t>
      </w:r>
      <w:r>
        <w:rPr>
          <w:spacing w:val="-7"/>
          <w:sz w:val="22"/>
        </w:rPr>
        <w:t> </w:t>
      </w:r>
      <w:r>
        <w:rPr>
          <w:sz w:val="22"/>
        </w:rPr>
        <w:t>DVR/DVS</w:t>
      </w:r>
      <w:r>
        <w:rPr>
          <w:spacing w:val="-7"/>
          <w:sz w:val="22"/>
        </w:rPr>
        <w:t> </w:t>
      </w:r>
      <w:r>
        <w:rPr>
          <w:sz w:val="22"/>
        </w:rPr>
        <w:t>and</w:t>
      </w:r>
      <w:r>
        <w:rPr>
          <w:spacing w:val="-7"/>
          <w:sz w:val="22"/>
        </w:rPr>
        <w:t> </w:t>
      </w:r>
      <w:r>
        <w:rPr>
          <w:sz w:val="22"/>
        </w:rPr>
        <w:t>IRP</w:t>
      </w:r>
      <w:r>
        <w:rPr>
          <w:spacing w:val="-7"/>
          <w:sz w:val="22"/>
        </w:rPr>
        <w:t> </w:t>
      </w:r>
      <w:r>
        <w:rPr>
          <w:sz w:val="22"/>
        </w:rPr>
        <w:t>to</w:t>
      </w:r>
      <w:r>
        <w:rPr>
          <w:spacing w:val="-7"/>
          <w:sz w:val="22"/>
        </w:rPr>
        <w:t> </w:t>
      </w:r>
      <w:r>
        <w:rPr>
          <w:sz w:val="22"/>
        </w:rPr>
        <w:t>IPE </w:t>
      </w:r>
      <w:r>
        <w:rPr>
          <w:spacing w:val="-2"/>
          <w:sz w:val="22"/>
        </w:rPr>
        <w:t>7-1-99</w:t>
      </w:r>
      <w:r>
        <w:rPr>
          <w:sz w:val="22"/>
        </w:rPr>
        <w:tab/>
        <w:t>POL Memo #00-1</w:t>
      </w:r>
    </w:p>
    <w:p>
      <w:pPr>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01-08-01</w:t>
      </w:r>
      <w:r>
        <w:rPr>
          <w:spacing w:val="80"/>
          <w:sz w:val="22"/>
        </w:rPr>
        <w:t> </w:t>
      </w:r>
      <w:r>
        <w:rPr>
          <w:sz w:val="22"/>
        </w:rPr>
        <w:t>Pol Memo #01-03</w:t>
      </w:r>
    </w:p>
    <w:p>
      <w:pPr>
        <w:tabs>
          <w:tab w:pos="1439" w:val="left" w:leader="none"/>
        </w:tabs>
        <w:spacing w:before="0"/>
        <w:ind w:left="359" w:right="4754" w:firstLine="1080"/>
        <w:jc w:val="left"/>
        <w:rPr>
          <w:sz w:val="22"/>
        </w:rPr>
      </w:pPr>
      <w:r>
        <w:rPr>
          <w:sz w:val="22"/>
        </w:rPr>
        <w:t>Emergency,</w:t>
      </w:r>
      <w:r>
        <w:rPr>
          <w:spacing w:val="-8"/>
          <w:sz w:val="22"/>
        </w:rPr>
        <w:t> </w:t>
      </w:r>
      <w:r>
        <w:rPr>
          <w:sz w:val="22"/>
        </w:rPr>
        <w:t>added</w:t>
      </w:r>
      <w:r>
        <w:rPr>
          <w:spacing w:val="-8"/>
          <w:sz w:val="22"/>
        </w:rPr>
        <w:t> </w:t>
      </w:r>
      <w:r>
        <w:rPr>
          <w:sz w:val="22"/>
        </w:rPr>
        <w:t>conflict</w:t>
      </w:r>
      <w:r>
        <w:rPr>
          <w:spacing w:val="-8"/>
          <w:sz w:val="22"/>
        </w:rPr>
        <w:t> </w:t>
      </w:r>
      <w:r>
        <w:rPr>
          <w:sz w:val="22"/>
        </w:rPr>
        <w:t>of</w:t>
      </w:r>
      <w:r>
        <w:rPr>
          <w:spacing w:val="-8"/>
          <w:sz w:val="22"/>
        </w:rPr>
        <w:t> </w:t>
      </w:r>
      <w:r>
        <w:rPr>
          <w:sz w:val="22"/>
        </w:rPr>
        <w:t>interest</w:t>
      </w:r>
      <w:r>
        <w:rPr>
          <w:spacing w:val="-8"/>
          <w:sz w:val="22"/>
        </w:rPr>
        <w:t> </w:t>
      </w:r>
      <w:r>
        <w:rPr>
          <w:sz w:val="22"/>
        </w:rPr>
        <w:t>policy </w:t>
      </w:r>
      <w:r>
        <w:rPr>
          <w:spacing w:val="-2"/>
          <w:sz w:val="22"/>
        </w:rPr>
        <w:t>7-1-01</w:t>
      </w:r>
      <w:r>
        <w:rPr>
          <w:sz w:val="22"/>
        </w:rPr>
        <w:tab/>
        <w:t>PT Memo #01-08</w:t>
      </w:r>
    </w:p>
    <w:p>
      <w:pPr>
        <w:tabs>
          <w:tab w:pos="1439" w:val="left" w:leader="none"/>
        </w:tabs>
        <w:spacing w:before="0"/>
        <w:ind w:left="359" w:right="3690" w:firstLine="1079"/>
        <w:jc w:val="left"/>
        <w:rPr>
          <w:sz w:val="22"/>
        </w:rPr>
      </w:pPr>
      <w:r>
        <w:rPr>
          <w:sz w:val="22"/>
        </w:rPr>
        <w:t>Permanent,</w:t>
      </w:r>
      <w:r>
        <w:rPr>
          <w:spacing w:val="-7"/>
          <w:sz w:val="22"/>
        </w:rPr>
        <w:t> </w:t>
      </w:r>
      <w:r>
        <w:rPr>
          <w:sz w:val="22"/>
        </w:rPr>
        <w:t>supersedes</w:t>
      </w:r>
      <w:r>
        <w:rPr>
          <w:spacing w:val="-8"/>
          <w:sz w:val="22"/>
        </w:rPr>
        <w:t> </w:t>
      </w:r>
      <w:r>
        <w:rPr>
          <w:sz w:val="22"/>
        </w:rPr>
        <w:t>emergency</w:t>
      </w:r>
      <w:r>
        <w:rPr>
          <w:spacing w:val="-7"/>
          <w:sz w:val="22"/>
        </w:rPr>
        <w:t> </w:t>
      </w:r>
      <w:r>
        <w:rPr>
          <w:sz w:val="22"/>
        </w:rPr>
        <w:t>rule</w:t>
      </w:r>
      <w:r>
        <w:rPr>
          <w:spacing w:val="-7"/>
          <w:sz w:val="22"/>
        </w:rPr>
        <w:t> </w:t>
      </w:r>
      <w:r>
        <w:rPr>
          <w:sz w:val="22"/>
        </w:rPr>
        <w:t>issued</w:t>
      </w:r>
      <w:r>
        <w:rPr>
          <w:spacing w:val="-8"/>
          <w:sz w:val="22"/>
        </w:rPr>
        <w:t> </w:t>
      </w:r>
      <w:r>
        <w:rPr>
          <w:sz w:val="22"/>
        </w:rPr>
        <w:t>1-8-01 </w:t>
      </w:r>
      <w:r>
        <w:rPr>
          <w:spacing w:val="-2"/>
          <w:sz w:val="22"/>
        </w:rPr>
        <w:t>7-1-02</w:t>
      </w:r>
      <w:r>
        <w:rPr>
          <w:sz w:val="22"/>
        </w:rPr>
        <w:tab/>
        <w:t>POL Memo #02-02</w:t>
      </w:r>
    </w:p>
    <w:p>
      <w:pPr>
        <w:tabs>
          <w:tab w:pos="1439" w:val="left" w:leader="none"/>
        </w:tabs>
        <w:spacing w:before="0"/>
        <w:ind w:left="359" w:right="3783" w:firstLine="1080"/>
        <w:jc w:val="left"/>
        <w:rPr>
          <w:sz w:val="22"/>
        </w:rPr>
      </w:pPr>
      <w:r>
        <w:rPr>
          <w:sz w:val="22"/>
        </w:rPr>
        <w:t>Permanent,</w:t>
      </w:r>
      <w:r>
        <w:rPr>
          <w:spacing w:val="-9"/>
          <w:sz w:val="22"/>
        </w:rPr>
        <w:t> </w:t>
      </w:r>
      <w:r>
        <w:rPr>
          <w:sz w:val="22"/>
        </w:rPr>
        <w:t>clarification</w:t>
      </w:r>
      <w:r>
        <w:rPr>
          <w:spacing w:val="-11"/>
          <w:sz w:val="22"/>
        </w:rPr>
        <w:t> </w:t>
      </w:r>
      <w:r>
        <w:rPr>
          <w:sz w:val="22"/>
        </w:rPr>
        <w:t>of</w:t>
      </w:r>
      <w:r>
        <w:rPr>
          <w:spacing w:val="-10"/>
          <w:sz w:val="22"/>
        </w:rPr>
        <w:t> </w:t>
      </w:r>
      <w:r>
        <w:rPr>
          <w:sz w:val="22"/>
        </w:rPr>
        <w:t>counselor's</w:t>
      </w:r>
      <w:r>
        <w:rPr>
          <w:spacing w:val="-10"/>
          <w:sz w:val="22"/>
        </w:rPr>
        <w:t> </w:t>
      </w:r>
      <w:r>
        <w:rPr>
          <w:sz w:val="22"/>
        </w:rPr>
        <w:t>responsibilities </w:t>
      </w:r>
      <w:r>
        <w:rPr>
          <w:spacing w:val="-2"/>
          <w:sz w:val="22"/>
        </w:rPr>
        <w:t>7-1-04</w:t>
      </w:r>
      <w:r>
        <w:rPr>
          <w:sz w:val="22"/>
        </w:rPr>
        <w:tab/>
        <w:t>PT Memo #05-01</w:t>
      </w:r>
    </w:p>
    <w:p>
      <w:pPr>
        <w:tabs>
          <w:tab w:pos="1439" w:val="left" w:leader="none"/>
        </w:tabs>
        <w:spacing w:before="0"/>
        <w:ind w:left="359" w:right="2436" w:firstLine="1080"/>
        <w:jc w:val="left"/>
        <w:rPr>
          <w:sz w:val="22"/>
        </w:rPr>
      </w:pPr>
      <w:r>
        <w:rPr>
          <w:sz w:val="22"/>
        </w:rPr>
        <w:t>Permanent,</w:t>
      </w:r>
      <w:r>
        <w:rPr>
          <w:spacing w:val="-4"/>
          <w:sz w:val="22"/>
        </w:rPr>
        <w:t> </w:t>
      </w:r>
      <w:r>
        <w:rPr>
          <w:sz w:val="22"/>
        </w:rPr>
        <w:t>removed</w:t>
      </w:r>
      <w:r>
        <w:rPr>
          <w:spacing w:val="-5"/>
          <w:sz w:val="22"/>
        </w:rPr>
        <w:t> </w:t>
      </w:r>
      <w:r>
        <w:rPr>
          <w:sz w:val="22"/>
        </w:rPr>
        <w:t>"as</w:t>
      </w:r>
      <w:r>
        <w:rPr>
          <w:spacing w:val="-5"/>
          <w:sz w:val="22"/>
        </w:rPr>
        <w:t> </w:t>
      </w:r>
      <w:r>
        <w:rPr>
          <w:sz w:val="22"/>
        </w:rPr>
        <w:t>soon</w:t>
      </w:r>
      <w:r>
        <w:rPr>
          <w:spacing w:val="-5"/>
          <w:sz w:val="22"/>
        </w:rPr>
        <w:t> </w:t>
      </w:r>
      <w:r>
        <w:rPr>
          <w:sz w:val="22"/>
        </w:rPr>
        <w:t>as</w:t>
      </w:r>
      <w:r>
        <w:rPr>
          <w:spacing w:val="-5"/>
          <w:sz w:val="22"/>
        </w:rPr>
        <w:t> </w:t>
      </w:r>
      <w:r>
        <w:rPr>
          <w:sz w:val="22"/>
        </w:rPr>
        <w:t>possible"</w:t>
      </w:r>
      <w:r>
        <w:rPr>
          <w:spacing w:val="-5"/>
          <w:sz w:val="22"/>
        </w:rPr>
        <w:t> </w:t>
      </w:r>
      <w:r>
        <w:rPr>
          <w:sz w:val="22"/>
        </w:rPr>
        <w:t>from</w:t>
      </w:r>
      <w:r>
        <w:rPr>
          <w:spacing w:val="-7"/>
          <w:sz w:val="22"/>
        </w:rPr>
        <w:t> </w:t>
      </w:r>
      <w:r>
        <w:rPr>
          <w:sz w:val="22"/>
        </w:rPr>
        <w:t>referral</w:t>
      </w:r>
      <w:r>
        <w:rPr>
          <w:spacing w:val="-5"/>
          <w:sz w:val="22"/>
        </w:rPr>
        <w:t> </w:t>
      </w:r>
      <w:r>
        <w:rPr>
          <w:sz w:val="22"/>
        </w:rPr>
        <w:t>time</w:t>
      </w:r>
      <w:r>
        <w:rPr>
          <w:spacing w:val="-5"/>
          <w:sz w:val="22"/>
        </w:rPr>
        <w:t> </w:t>
      </w:r>
      <w:r>
        <w:rPr>
          <w:sz w:val="22"/>
        </w:rPr>
        <w:t>frame </w:t>
      </w:r>
      <w:r>
        <w:rPr>
          <w:spacing w:val="-2"/>
          <w:sz w:val="22"/>
        </w:rPr>
        <w:t>7-1-05</w:t>
      </w:r>
      <w:r>
        <w:rPr>
          <w:sz w:val="22"/>
        </w:rPr>
        <w:tab/>
        <w:t>PT Memo #06-01</w:t>
      </w:r>
    </w:p>
    <w:p>
      <w:pPr>
        <w:spacing w:before="0"/>
        <w:ind w:left="1439" w:right="1036" w:firstLine="0"/>
        <w:jc w:val="left"/>
        <w:rPr>
          <w:sz w:val="22"/>
        </w:rPr>
      </w:pPr>
      <w:r>
        <w:rPr>
          <w:sz w:val="22"/>
        </w:rPr>
        <w:t>Permanent,</w:t>
      </w:r>
      <w:r>
        <w:rPr>
          <w:spacing w:val="-5"/>
          <w:sz w:val="22"/>
        </w:rPr>
        <w:t> </w:t>
      </w:r>
      <w:r>
        <w:rPr>
          <w:sz w:val="22"/>
        </w:rPr>
        <w:t>clarifying</w:t>
      </w:r>
      <w:r>
        <w:rPr>
          <w:spacing w:val="-6"/>
          <w:sz w:val="22"/>
        </w:rPr>
        <w:t> </w:t>
      </w:r>
      <w:r>
        <w:rPr>
          <w:sz w:val="22"/>
        </w:rPr>
        <w:t>counselor's</w:t>
      </w:r>
      <w:r>
        <w:rPr>
          <w:spacing w:val="-6"/>
          <w:sz w:val="22"/>
        </w:rPr>
        <w:t> </w:t>
      </w:r>
      <w:r>
        <w:rPr>
          <w:sz w:val="22"/>
        </w:rPr>
        <w:t>responsibility</w:t>
      </w:r>
      <w:r>
        <w:rPr>
          <w:spacing w:val="-6"/>
          <w:sz w:val="22"/>
        </w:rPr>
        <w:t> </w:t>
      </w:r>
      <w:r>
        <w:rPr>
          <w:sz w:val="22"/>
        </w:rPr>
        <w:t>regarding</w:t>
      </w:r>
      <w:r>
        <w:rPr>
          <w:spacing w:val="-6"/>
          <w:sz w:val="22"/>
        </w:rPr>
        <w:t> </w:t>
      </w:r>
      <w:r>
        <w:rPr>
          <w:sz w:val="22"/>
        </w:rPr>
        <w:t>re-evaluation</w:t>
      </w:r>
      <w:r>
        <w:rPr>
          <w:spacing w:val="-6"/>
          <w:sz w:val="22"/>
        </w:rPr>
        <w:t> </w:t>
      </w:r>
      <w:r>
        <w:rPr>
          <w:sz w:val="22"/>
        </w:rPr>
        <w:t>of</w:t>
      </w:r>
      <w:r>
        <w:rPr>
          <w:spacing w:val="-6"/>
          <w:sz w:val="22"/>
        </w:rPr>
        <w:t> </w:t>
      </w:r>
      <w:r>
        <w:rPr>
          <w:sz w:val="22"/>
        </w:rPr>
        <w:t>client's </w:t>
      </w:r>
      <w:r>
        <w:rPr>
          <w:spacing w:val="-4"/>
          <w:sz w:val="22"/>
        </w:rPr>
        <w:t>IPE.</w:t>
      </w:r>
    </w:p>
    <w:p>
      <w:pPr>
        <w:spacing w:after="0"/>
        <w:jc w:val="left"/>
        <w:rPr>
          <w:sz w:val="22"/>
        </w:rPr>
        <w:sectPr>
          <w:pgSz w:w="12240" w:h="15840"/>
          <w:pgMar w:top="1340" w:bottom="280" w:left="1080" w:right="720"/>
        </w:sectPr>
      </w:pPr>
    </w:p>
    <w:p>
      <w:pPr>
        <w:tabs>
          <w:tab w:pos="1439" w:val="left" w:leader="none"/>
        </w:tabs>
        <w:spacing w:before="80"/>
        <w:ind w:left="360" w:right="0" w:firstLine="0"/>
        <w:jc w:val="left"/>
        <w:rPr>
          <w:sz w:val="22"/>
        </w:rPr>
      </w:pPr>
      <w:r>
        <w:rPr>
          <w:spacing w:val="-2"/>
          <w:sz w:val="22"/>
        </w:rPr>
        <w:t>10-1-</w:t>
      </w:r>
      <w:r>
        <w:rPr>
          <w:spacing w:val="-5"/>
          <w:sz w:val="22"/>
        </w:rPr>
        <w:t>07</w:t>
      </w:r>
      <w:r>
        <w:rPr>
          <w:sz w:val="22"/>
        </w:rPr>
        <w:tab/>
        <w:t>PT</w:t>
      </w:r>
      <w:r>
        <w:rPr>
          <w:spacing w:val="-8"/>
          <w:sz w:val="22"/>
        </w:rPr>
        <w:t> </w:t>
      </w:r>
      <w:r>
        <w:rPr>
          <w:sz w:val="22"/>
        </w:rPr>
        <w:t>Memo</w:t>
      </w:r>
      <w:r>
        <w:rPr>
          <w:spacing w:val="-8"/>
          <w:sz w:val="22"/>
        </w:rPr>
        <w:t> </w:t>
      </w:r>
      <w:r>
        <w:rPr>
          <w:sz w:val="22"/>
        </w:rPr>
        <w:t>#08-</w:t>
      </w:r>
      <w:r>
        <w:rPr>
          <w:spacing w:val="-5"/>
          <w:sz w:val="22"/>
        </w:rPr>
        <w:t>02</w:t>
      </w:r>
    </w:p>
    <w:p>
      <w:pPr>
        <w:spacing w:line="253" w:lineRule="exact" w:before="0"/>
        <w:ind w:left="1439" w:right="0" w:firstLine="0"/>
        <w:jc w:val="left"/>
        <w:rPr>
          <w:sz w:val="22"/>
        </w:rPr>
      </w:pPr>
      <w:r>
        <w:rPr>
          <w:sz w:val="22"/>
        </w:rPr>
        <w:t>Permanent,</w:t>
      </w:r>
      <w:r>
        <w:rPr>
          <w:spacing w:val="-8"/>
          <w:sz w:val="22"/>
        </w:rPr>
        <w:t> </w:t>
      </w:r>
      <w:r>
        <w:rPr>
          <w:sz w:val="22"/>
        </w:rPr>
        <w:t>AWARE</w:t>
      </w:r>
      <w:r>
        <w:rPr>
          <w:spacing w:val="-7"/>
          <w:sz w:val="22"/>
        </w:rPr>
        <w:t> </w:t>
      </w:r>
      <w:r>
        <w:rPr>
          <w:sz w:val="22"/>
        </w:rPr>
        <w:t>change.</w:t>
      </w:r>
      <w:r>
        <w:rPr>
          <w:spacing w:val="45"/>
          <w:sz w:val="22"/>
        </w:rPr>
        <w:t> </w:t>
      </w:r>
      <w:r>
        <w:rPr>
          <w:sz w:val="22"/>
        </w:rPr>
        <w:t>Removed</w:t>
      </w:r>
      <w:r>
        <w:rPr>
          <w:spacing w:val="-8"/>
          <w:sz w:val="22"/>
        </w:rPr>
        <w:t> </w:t>
      </w:r>
      <w:r>
        <w:rPr>
          <w:sz w:val="22"/>
        </w:rPr>
        <w:t>status</w:t>
      </w:r>
      <w:r>
        <w:rPr>
          <w:spacing w:val="-8"/>
          <w:sz w:val="22"/>
        </w:rPr>
        <w:t> </w:t>
      </w:r>
      <w:r>
        <w:rPr>
          <w:spacing w:val="-2"/>
          <w:sz w:val="22"/>
        </w:rPr>
        <w:t>number.</w:t>
      </w:r>
    </w:p>
    <w:p>
      <w:pPr>
        <w:pStyle w:val="ListParagraph"/>
        <w:numPr>
          <w:ilvl w:val="2"/>
          <w:numId w:val="102"/>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#10-</w:t>
      </w:r>
      <w:r>
        <w:rPr>
          <w:spacing w:val="-5"/>
          <w:sz w:val="22"/>
        </w:rPr>
        <w:t>02</w:t>
      </w:r>
    </w:p>
    <w:p>
      <w:pPr>
        <w:spacing w:before="0"/>
        <w:ind w:left="1439" w:right="0" w:firstLine="0"/>
        <w:jc w:val="left"/>
        <w:rPr>
          <w:sz w:val="22"/>
        </w:rPr>
      </w:pPr>
      <w:r>
        <w:rPr>
          <w:sz w:val="22"/>
        </w:rPr>
        <w:t>Permanent,</w:t>
      </w:r>
      <w:r>
        <w:rPr>
          <w:spacing w:val="-6"/>
          <w:sz w:val="22"/>
        </w:rPr>
        <w:t> </w:t>
      </w:r>
      <w:r>
        <w:rPr>
          <w:sz w:val="22"/>
        </w:rPr>
        <w:t>clarifying</w:t>
      </w:r>
      <w:r>
        <w:rPr>
          <w:spacing w:val="-7"/>
          <w:sz w:val="22"/>
        </w:rPr>
        <w:t> </w:t>
      </w:r>
      <w:r>
        <w:rPr>
          <w:sz w:val="22"/>
        </w:rPr>
        <w:t>language.</w:t>
      </w:r>
      <w:r>
        <w:rPr>
          <w:spacing w:val="47"/>
          <w:sz w:val="22"/>
        </w:rPr>
        <w:t> </w:t>
      </w:r>
      <w:r>
        <w:rPr>
          <w:sz w:val="22"/>
        </w:rPr>
        <w:t>IPE</w:t>
      </w:r>
      <w:r>
        <w:rPr>
          <w:spacing w:val="-6"/>
          <w:sz w:val="22"/>
        </w:rPr>
        <w:t> </w:t>
      </w:r>
      <w:r>
        <w:rPr>
          <w:sz w:val="22"/>
        </w:rPr>
        <w:t>elements</w:t>
      </w:r>
      <w:r>
        <w:rPr>
          <w:spacing w:val="-7"/>
          <w:sz w:val="22"/>
        </w:rPr>
        <w:t> </w:t>
      </w:r>
      <w:r>
        <w:rPr>
          <w:sz w:val="22"/>
        </w:rPr>
        <w:t>moved</w:t>
      </w:r>
      <w:r>
        <w:rPr>
          <w:spacing w:val="-7"/>
          <w:sz w:val="22"/>
        </w:rPr>
        <w:t> </w:t>
      </w:r>
      <w:r>
        <w:rPr>
          <w:sz w:val="22"/>
        </w:rPr>
        <w:t>to</w:t>
      </w:r>
      <w:r>
        <w:rPr>
          <w:spacing w:val="-7"/>
          <w:sz w:val="22"/>
        </w:rPr>
        <w:t> </w:t>
      </w:r>
      <w:r>
        <w:rPr>
          <w:sz w:val="22"/>
        </w:rPr>
        <w:t>IPE</w:t>
      </w:r>
      <w:r>
        <w:rPr>
          <w:spacing w:val="-7"/>
          <w:sz w:val="22"/>
        </w:rPr>
        <w:t> </w:t>
      </w:r>
      <w:r>
        <w:rPr>
          <w:spacing w:val="-2"/>
          <w:sz w:val="22"/>
        </w:rPr>
        <w:t>policy.</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1"/>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1439" w:right="1245" w:hanging="1080"/>
        <w:jc w:val="left"/>
        <w:rPr>
          <w:sz w:val="22"/>
        </w:rPr>
      </w:pPr>
      <w:r>
        <w:rPr>
          <w:spacing w:val="-2"/>
          <w:sz w:val="22"/>
        </w:rPr>
        <w:t>8-11-19</w:t>
      </w:r>
      <w:r>
        <w:rPr>
          <w:sz w:val="22"/>
        </w:rPr>
        <w:tab/>
        <w:t>Removed section (i). This section was created as new rules 612:10-7-2.1 Applications</w:t>
      </w:r>
      <w:r>
        <w:rPr>
          <w:spacing w:val="-5"/>
          <w:sz w:val="22"/>
        </w:rPr>
        <w:t> </w:t>
      </w:r>
      <w:r>
        <w:rPr>
          <w:sz w:val="22"/>
        </w:rPr>
        <w:t>for</w:t>
      </w:r>
      <w:r>
        <w:rPr>
          <w:spacing w:val="-4"/>
          <w:sz w:val="22"/>
        </w:rPr>
        <w:t> </w:t>
      </w:r>
      <w:r>
        <w:rPr>
          <w:sz w:val="22"/>
        </w:rPr>
        <w:t>employees</w:t>
      </w:r>
      <w:r>
        <w:rPr>
          <w:spacing w:val="-4"/>
          <w:sz w:val="22"/>
        </w:rPr>
        <w:t> </w:t>
      </w:r>
      <w:r>
        <w:rPr>
          <w:sz w:val="22"/>
        </w:rPr>
        <w:t>or</w:t>
      </w:r>
      <w:r>
        <w:rPr>
          <w:spacing w:val="-4"/>
          <w:sz w:val="22"/>
        </w:rPr>
        <w:t> </w:t>
      </w:r>
      <w:r>
        <w:rPr>
          <w:sz w:val="22"/>
        </w:rPr>
        <w:t>family</w:t>
      </w:r>
      <w:r>
        <w:rPr>
          <w:spacing w:val="-5"/>
          <w:sz w:val="22"/>
        </w:rPr>
        <w:t> </w:t>
      </w:r>
      <w:r>
        <w:rPr>
          <w:sz w:val="22"/>
        </w:rPr>
        <w:t>member(s)</w:t>
      </w:r>
      <w:r>
        <w:rPr>
          <w:spacing w:val="-4"/>
          <w:sz w:val="22"/>
        </w:rPr>
        <w:t> </w:t>
      </w:r>
      <w:r>
        <w:rPr>
          <w:sz w:val="22"/>
        </w:rPr>
        <w:t>of</w:t>
      </w:r>
      <w:r>
        <w:rPr>
          <w:spacing w:val="-4"/>
          <w:sz w:val="22"/>
        </w:rPr>
        <w:t> </w:t>
      </w:r>
      <w:r>
        <w:rPr>
          <w:sz w:val="22"/>
        </w:rPr>
        <w:t>employees</w:t>
      </w:r>
      <w:r>
        <w:rPr>
          <w:spacing w:val="-4"/>
          <w:sz w:val="22"/>
        </w:rPr>
        <w:t> </w:t>
      </w:r>
      <w:r>
        <w:rPr>
          <w:sz w:val="22"/>
        </w:rPr>
        <w:t>and</w:t>
      </w:r>
      <w:r>
        <w:rPr>
          <w:spacing w:val="-4"/>
          <w:sz w:val="22"/>
        </w:rPr>
        <w:t> </w:t>
      </w:r>
      <w:r>
        <w:rPr>
          <w:sz w:val="22"/>
        </w:rPr>
        <w:t>612:10-7-2.2 Applications for friends or family member(s) of friends.</w:t>
      </w:r>
    </w:p>
    <w:p>
      <w:pPr>
        <w:tabs>
          <w:tab w:pos="1439" w:val="left" w:leader="none"/>
        </w:tabs>
        <w:spacing w:before="0"/>
        <w:ind w:left="359" w:right="0" w:firstLine="0"/>
        <w:jc w:val="left"/>
        <w:rPr>
          <w:sz w:val="22"/>
        </w:rPr>
      </w:pPr>
      <w:r>
        <w:rPr>
          <w:spacing w:val="-2"/>
          <w:sz w:val="22"/>
        </w:rPr>
        <w:t>8-26-</w:t>
      </w:r>
      <w:r>
        <w:rPr>
          <w:spacing w:val="-5"/>
          <w:sz w:val="22"/>
        </w:rPr>
        <w:t>21</w:t>
      </w:r>
      <w:r>
        <w:rPr>
          <w:sz w:val="22"/>
        </w:rPr>
        <w:tab/>
        <w:t>Revised</w:t>
      </w:r>
      <w:r>
        <w:rPr>
          <w:spacing w:val="-7"/>
          <w:sz w:val="22"/>
        </w:rPr>
        <w:t> </w:t>
      </w:r>
      <w:r>
        <w:rPr>
          <w:sz w:val="22"/>
        </w:rPr>
        <w:t>to</w:t>
      </w:r>
      <w:r>
        <w:rPr>
          <w:spacing w:val="-7"/>
          <w:sz w:val="22"/>
        </w:rPr>
        <w:t> </w:t>
      </w:r>
      <w:r>
        <w:rPr>
          <w:sz w:val="22"/>
        </w:rPr>
        <w:t>reflect</w:t>
      </w:r>
      <w:r>
        <w:rPr>
          <w:spacing w:val="-6"/>
          <w:sz w:val="22"/>
        </w:rPr>
        <w:t> </w:t>
      </w:r>
      <w:r>
        <w:rPr>
          <w:sz w:val="22"/>
        </w:rPr>
        <w:t>WIOA</w:t>
      </w:r>
      <w:r>
        <w:rPr>
          <w:spacing w:val="-7"/>
          <w:sz w:val="22"/>
        </w:rPr>
        <w:t> </w:t>
      </w:r>
      <w:r>
        <w:rPr>
          <w:sz w:val="22"/>
        </w:rPr>
        <w:t>language.</w:t>
      </w:r>
      <w:r>
        <w:rPr>
          <w:spacing w:val="-7"/>
          <w:sz w:val="22"/>
        </w:rPr>
        <w:t> </w:t>
      </w:r>
      <w:r>
        <w:rPr>
          <w:sz w:val="22"/>
        </w:rPr>
        <w:t>DVS</w:t>
      </w:r>
      <w:r>
        <w:rPr>
          <w:spacing w:val="-7"/>
          <w:sz w:val="22"/>
        </w:rPr>
        <w:t> </w:t>
      </w:r>
      <w:r>
        <w:rPr>
          <w:sz w:val="22"/>
        </w:rPr>
        <w:t>changed</w:t>
      </w:r>
      <w:r>
        <w:rPr>
          <w:spacing w:val="-6"/>
          <w:sz w:val="22"/>
        </w:rPr>
        <w:t> </w:t>
      </w:r>
      <w:r>
        <w:rPr>
          <w:sz w:val="22"/>
        </w:rPr>
        <w:t>to</w:t>
      </w:r>
      <w:r>
        <w:rPr>
          <w:spacing w:val="-7"/>
          <w:sz w:val="22"/>
        </w:rPr>
        <w:t> </w:t>
      </w:r>
      <w:r>
        <w:rPr>
          <w:spacing w:val="-2"/>
          <w:sz w:val="22"/>
        </w:rPr>
        <w:t>DSBVI</w:t>
      </w:r>
    </w:p>
    <w:p>
      <w:pPr>
        <w:spacing w:after="0"/>
        <w:jc w:val="left"/>
        <w:rPr>
          <w:sz w:val="22"/>
        </w:rPr>
        <w:sectPr>
          <w:pgSz w:w="12240" w:h="15840"/>
          <w:pgMar w:top="1360" w:bottom="280" w:left="1080" w:right="720"/>
        </w:sectPr>
      </w:pPr>
    </w:p>
    <w:p>
      <w:pPr>
        <w:pStyle w:val="Heading2"/>
      </w:pPr>
      <w:bookmarkStart w:name="612:10-7-2.1.  Applications for employee" w:id="115"/>
      <w:bookmarkEnd w:id="115"/>
      <w:r>
        <w:rPr>
          <w:b w:val="0"/>
        </w:rPr>
      </w:r>
      <w:r>
        <w:rPr/>
        <w:t>612:10-7-2.1.</w:t>
      </w:r>
      <w:r>
        <w:rPr>
          <w:spacing w:val="60"/>
        </w:rPr>
        <w:t> </w:t>
      </w:r>
      <w:r>
        <w:rPr/>
        <w:t>Applications</w:t>
      </w:r>
      <w:r>
        <w:rPr>
          <w:spacing w:val="-4"/>
        </w:rPr>
        <w:t> </w:t>
      </w:r>
      <w:r>
        <w:rPr/>
        <w:t>for</w:t>
      </w:r>
      <w:r>
        <w:rPr>
          <w:spacing w:val="-4"/>
        </w:rPr>
        <w:t> </w:t>
      </w:r>
      <w:r>
        <w:rPr/>
        <w:t>employees</w:t>
      </w:r>
      <w:r>
        <w:rPr>
          <w:spacing w:val="-3"/>
        </w:rPr>
        <w:t> </w:t>
      </w:r>
      <w:r>
        <w:rPr/>
        <w:t>or</w:t>
      </w:r>
      <w:r>
        <w:rPr>
          <w:spacing w:val="-4"/>
        </w:rPr>
        <w:t> </w:t>
      </w:r>
      <w:r>
        <w:rPr/>
        <w:t>family</w:t>
      </w:r>
      <w:r>
        <w:rPr>
          <w:spacing w:val="-4"/>
        </w:rPr>
        <w:t> </w:t>
      </w:r>
      <w:r>
        <w:rPr/>
        <w:t>member(s)</w:t>
      </w:r>
      <w:r>
        <w:rPr>
          <w:spacing w:val="-3"/>
        </w:rPr>
        <w:t> </w:t>
      </w:r>
      <w:r>
        <w:rPr/>
        <w:t>of</w:t>
      </w:r>
      <w:r>
        <w:rPr>
          <w:spacing w:val="-4"/>
        </w:rPr>
        <w:t> </w:t>
      </w:r>
      <w:r>
        <w:rPr>
          <w:spacing w:val="-2"/>
        </w:rPr>
        <w:t>employees</w:t>
      </w:r>
    </w:p>
    <w:p>
      <w:pPr>
        <w:pStyle w:val="ListParagraph"/>
        <w:numPr>
          <w:ilvl w:val="0"/>
          <w:numId w:val="103"/>
        </w:numPr>
        <w:tabs>
          <w:tab w:pos="785" w:val="left" w:leader="none"/>
        </w:tabs>
        <w:spacing w:line="208" w:lineRule="auto" w:before="233" w:after="0"/>
        <w:ind w:left="360" w:right="779" w:firstLine="0"/>
        <w:jc w:val="left"/>
        <w:rPr>
          <w:sz w:val="24"/>
        </w:rPr>
      </w:pPr>
      <w:r>
        <w:rPr>
          <w:sz w:val="24"/>
        </w:rPr>
        <w:t>In</w:t>
      </w:r>
      <w:r>
        <w:rPr>
          <w:spacing w:val="-3"/>
          <w:sz w:val="24"/>
        </w:rPr>
        <w:t> </w:t>
      </w:r>
      <w:r>
        <w:rPr>
          <w:sz w:val="24"/>
        </w:rPr>
        <w:t>order</w:t>
      </w:r>
      <w:r>
        <w:rPr>
          <w:spacing w:val="-3"/>
          <w:sz w:val="24"/>
        </w:rPr>
        <w:t> </w:t>
      </w:r>
      <w:r>
        <w:rPr>
          <w:sz w:val="24"/>
        </w:rPr>
        <w:t>to</w:t>
      </w:r>
      <w:r>
        <w:rPr>
          <w:spacing w:val="-3"/>
          <w:sz w:val="24"/>
        </w:rPr>
        <w:t> </w:t>
      </w:r>
      <w:r>
        <w:rPr>
          <w:sz w:val="24"/>
        </w:rPr>
        <w:t>provide</w:t>
      </w:r>
      <w:r>
        <w:rPr>
          <w:spacing w:val="-3"/>
          <w:sz w:val="24"/>
        </w:rPr>
        <w:t> </w:t>
      </w:r>
      <w:r>
        <w:rPr>
          <w:sz w:val="24"/>
        </w:rPr>
        <w:t>fair</w:t>
      </w:r>
      <w:r>
        <w:rPr>
          <w:spacing w:val="-3"/>
          <w:sz w:val="24"/>
        </w:rPr>
        <w:t> </w:t>
      </w:r>
      <w:r>
        <w:rPr>
          <w:sz w:val="24"/>
        </w:rPr>
        <w:t>and</w:t>
      </w:r>
      <w:r>
        <w:rPr>
          <w:spacing w:val="-3"/>
          <w:sz w:val="24"/>
        </w:rPr>
        <w:t> </w:t>
      </w:r>
      <w:r>
        <w:rPr>
          <w:sz w:val="24"/>
        </w:rPr>
        <w:t>equal</w:t>
      </w:r>
      <w:r>
        <w:rPr>
          <w:spacing w:val="-3"/>
          <w:sz w:val="24"/>
        </w:rPr>
        <w:t> </w:t>
      </w:r>
      <w:r>
        <w:rPr>
          <w:sz w:val="24"/>
        </w:rPr>
        <w:t>access</w:t>
      </w:r>
      <w:r>
        <w:rPr>
          <w:spacing w:val="-3"/>
          <w:sz w:val="24"/>
        </w:rPr>
        <w:t> </w:t>
      </w:r>
      <w:r>
        <w:rPr>
          <w:sz w:val="24"/>
        </w:rPr>
        <w:t>to</w:t>
      </w:r>
      <w:r>
        <w:rPr>
          <w:spacing w:val="-3"/>
          <w:sz w:val="24"/>
        </w:rPr>
        <w:t> </w:t>
      </w:r>
      <w:r>
        <w:rPr>
          <w:sz w:val="24"/>
        </w:rPr>
        <w:t>vocational</w:t>
      </w:r>
      <w:r>
        <w:rPr>
          <w:spacing w:val="-3"/>
          <w:sz w:val="24"/>
        </w:rPr>
        <w:t> </w:t>
      </w:r>
      <w:r>
        <w:rPr>
          <w:sz w:val="24"/>
        </w:rPr>
        <w:t>rehabilitation</w:t>
      </w:r>
      <w:r>
        <w:rPr>
          <w:spacing w:val="-3"/>
          <w:sz w:val="24"/>
        </w:rPr>
        <w:t> </w:t>
      </w:r>
      <w:r>
        <w:rPr>
          <w:sz w:val="24"/>
        </w:rPr>
        <w:t>services,</w:t>
      </w:r>
      <w:r>
        <w:rPr>
          <w:spacing w:val="-3"/>
          <w:sz w:val="24"/>
        </w:rPr>
        <w:t> </w:t>
      </w:r>
      <w:r>
        <w:rPr>
          <w:sz w:val="24"/>
        </w:rPr>
        <w:t>and</w:t>
      </w:r>
      <w:r>
        <w:rPr>
          <w:spacing w:val="-3"/>
          <w:sz w:val="24"/>
        </w:rPr>
        <w:t> </w:t>
      </w:r>
      <w:r>
        <w:rPr>
          <w:sz w:val="24"/>
        </w:rPr>
        <w:t>to avoid the appearance of impropriety or conflict of interest, an applicant who is a DRS employee or an immediate family member of a DRS employee, shall adhere to the procedures below when such an individual wishes to apply for rehabilitation services. Immediate family members may include a spouse, children, or any other individual who might be considered immediate family.</w:t>
      </w:r>
    </w:p>
    <w:p>
      <w:pPr>
        <w:pStyle w:val="ListParagraph"/>
        <w:numPr>
          <w:ilvl w:val="0"/>
          <w:numId w:val="103"/>
        </w:numPr>
        <w:tabs>
          <w:tab w:pos="786" w:val="left" w:leader="none"/>
        </w:tabs>
        <w:spacing w:line="208" w:lineRule="auto" w:before="239" w:after="0"/>
        <w:ind w:left="360" w:right="808" w:firstLine="0"/>
        <w:jc w:val="left"/>
        <w:rPr>
          <w:sz w:val="24"/>
        </w:rPr>
      </w:pPr>
      <w:r>
        <w:rPr>
          <w:sz w:val="24"/>
        </w:rPr>
        <w:t>The employee shall advise the Field Services Coordinator of the intent to apply for services. If the Field Services Coordinator, his/her immediate family member, his/her direct</w:t>
      </w:r>
      <w:r>
        <w:rPr>
          <w:spacing w:val="-2"/>
          <w:sz w:val="24"/>
        </w:rPr>
        <w:t> </w:t>
      </w:r>
      <w:r>
        <w:rPr>
          <w:sz w:val="24"/>
        </w:rPr>
        <w:t>report,</w:t>
      </w:r>
      <w:r>
        <w:rPr>
          <w:spacing w:val="-2"/>
          <w:sz w:val="24"/>
        </w:rPr>
        <w:t> </w:t>
      </w:r>
      <w:r>
        <w:rPr>
          <w:sz w:val="24"/>
        </w:rPr>
        <w:t>or</w:t>
      </w:r>
      <w:r>
        <w:rPr>
          <w:spacing w:val="-4"/>
          <w:sz w:val="24"/>
        </w:rPr>
        <w:t> </w:t>
      </w:r>
      <w:r>
        <w:rPr>
          <w:sz w:val="24"/>
        </w:rPr>
        <w:t>an</w:t>
      </w:r>
      <w:r>
        <w:rPr>
          <w:spacing w:val="-3"/>
          <w:sz w:val="24"/>
        </w:rPr>
        <w:t> </w:t>
      </w:r>
      <w:r>
        <w:rPr>
          <w:sz w:val="24"/>
        </w:rPr>
        <w:t>immediate</w:t>
      </w:r>
      <w:r>
        <w:rPr>
          <w:spacing w:val="-3"/>
          <w:sz w:val="24"/>
        </w:rPr>
        <w:t> </w:t>
      </w:r>
      <w:r>
        <w:rPr>
          <w:sz w:val="24"/>
        </w:rPr>
        <w:t>family</w:t>
      </w:r>
      <w:r>
        <w:rPr>
          <w:spacing w:val="-3"/>
          <w:sz w:val="24"/>
        </w:rPr>
        <w:t> </w:t>
      </w:r>
      <w:r>
        <w:rPr>
          <w:sz w:val="24"/>
        </w:rPr>
        <w:t>member</w:t>
      </w:r>
      <w:r>
        <w:rPr>
          <w:spacing w:val="-2"/>
          <w:sz w:val="24"/>
        </w:rPr>
        <w:t> </w:t>
      </w:r>
      <w:r>
        <w:rPr>
          <w:sz w:val="24"/>
        </w:rPr>
        <w:t>of</w:t>
      </w:r>
      <w:r>
        <w:rPr>
          <w:spacing w:val="-2"/>
          <w:sz w:val="24"/>
        </w:rPr>
        <w:t> </w:t>
      </w:r>
      <w:r>
        <w:rPr>
          <w:sz w:val="24"/>
        </w:rPr>
        <w:t>his/her</w:t>
      </w:r>
      <w:r>
        <w:rPr>
          <w:spacing w:val="-2"/>
          <w:sz w:val="24"/>
        </w:rPr>
        <w:t> </w:t>
      </w:r>
      <w:r>
        <w:rPr>
          <w:sz w:val="24"/>
        </w:rPr>
        <w:t>direct</w:t>
      </w:r>
      <w:r>
        <w:rPr>
          <w:spacing w:val="-4"/>
          <w:sz w:val="24"/>
        </w:rPr>
        <w:t> </w:t>
      </w:r>
      <w:r>
        <w:rPr>
          <w:sz w:val="24"/>
        </w:rPr>
        <w:t>report</w:t>
      </w:r>
      <w:r>
        <w:rPr>
          <w:spacing w:val="-2"/>
          <w:sz w:val="24"/>
        </w:rPr>
        <w:t> </w:t>
      </w:r>
      <w:r>
        <w:rPr>
          <w:sz w:val="24"/>
        </w:rPr>
        <w:t>intends</w:t>
      </w:r>
      <w:r>
        <w:rPr>
          <w:spacing w:val="-4"/>
          <w:sz w:val="24"/>
        </w:rPr>
        <w:t> </w:t>
      </w:r>
      <w:r>
        <w:rPr>
          <w:sz w:val="24"/>
        </w:rPr>
        <w:t>to</w:t>
      </w:r>
      <w:r>
        <w:rPr>
          <w:spacing w:val="-3"/>
          <w:sz w:val="24"/>
        </w:rPr>
        <w:t> </w:t>
      </w:r>
      <w:r>
        <w:rPr>
          <w:sz w:val="24"/>
        </w:rPr>
        <w:t>apply</w:t>
      </w:r>
      <w:r>
        <w:rPr>
          <w:spacing w:val="-4"/>
          <w:sz w:val="24"/>
        </w:rPr>
        <w:t> </w:t>
      </w:r>
      <w:r>
        <w:rPr>
          <w:sz w:val="24"/>
        </w:rPr>
        <w:t>for services, the employee shall advise the appropriate Division Administrator of the intent to apply for services.</w:t>
      </w:r>
    </w:p>
    <w:p>
      <w:pPr>
        <w:pStyle w:val="ListParagraph"/>
        <w:numPr>
          <w:ilvl w:val="0"/>
          <w:numId w:val="103"/>
        </w:numPr>
        <w:tabs>
          <w:tab w:pos="773" w:val="left" w:leader="none"/>
        </w:tabs>
        <w:spacing w:line="208" w:lineRule="auto" w:before="240" w:after="0"/>
        <w:ind w:left="360" w:right="1208" w:firstLine="0"/>
        <w:jc w:val="both"/>
        <w:rPr>
          <w:sz w:val="24"/>
        </w:rPr>
      </w:pPr>
      <w:r>
        <w:rPr>
          <w:sz w:val="24"/>
        </w:rPr>
        <w:t>The</w:t>
      </w:r>
      <w:r>
        <w:rPr>
          <w:spacing w:val="-5"/>
          <w:sz w:val="24"/>
        </w:rPr>
        <w:t> </w:t>
      </w:r>
      <w:r>
        <w:rPr>
          <w:sz w:val="24"/>
        </w:rPr>
        <w:t>Field</w:t>
      </w:r>
      <w:r>
        <w:rPr>
          <w:spacing w:val="-5"/>
          <w:sz w:val="24"/>
        </w:rPr>
        <w:t> </w:t>
      </w:r>
      <w:r>
        <w:rPr>
          <w:sz w:val="24"/>
        </w:rPr>
        <w:t>Services</w:t>
      </w:r>
      <w:r>
        <w:rPr>
          <w:spacing w:val="-4"/>
          <w:sz w:val="24"/>
        </w:rPr>
        <w:t> </w:t>
      </w:r>
      <w:r>
        <w:rPr>
          <w:sz w:val="24"/>
        </w:rPr>
        <w:t>Coordinator</w:t>
      </w:r>
      <w:r>
        <w:rPr>
          <w:spacing w:val="-4"/>
          <w:sz w:val="24"/>
        </w:rPr>
        <w:t> </w:t>
      </w:r>
      <w:r>
        <w:rPr>
          <w:sz w:val="24"/>
        </w:rPr>
        <w:t>or</w:t>
      </w:r>
      <w:r>
        <w:rPr>
          <w:spacing w:val="-4"/>
          <w:sz w:val="24"/>
        </w:rPr>
        <w:t> </w:t>
      </w:r>
      <w:r>
        <w:rPr>
          <w:sz w:val="24"/>
        </w:rPr>
        <w:t>Division</w:t>
      </w:r>
      <w:r>
        <w:rPr>
          <w:spacing w:val="-5"/>
          <w:sz w:val="24"/>
        </w:rPr>
        <w:t> </w:t>
      </w:r>
      <w:r>
        <w:rPr>
          <w:sz w:val="24"/>
        </w:rPr>
        <w:t>Administrator</w:t>
      </w:r>
      <w:r>
        <w:rPr>
          <w:spacing w:val="-6"/>
          <w:sz w:val="24"/>
        </w:rPr>
        <w:t> </w:t>
      </w:r>
      <w:r>
        <w:rPr>
          <w:sz w:val="24"/>
        </w:rPr>
        <w:t>(when</w:t>
      </w:r>
      <w:r>
        <w:rPr>
          <w:spacing w:val="-5"/>
          <w:sz w:val="24"/>
        </w:rPr>
        <w:t> </w:t>
      </w:r>
      <w:r>
        <w:rPr>
          <w:sz w:val="24"/>
        </w:rPr>
        <w:t>appropriate)</w:t>
      </w:r>
      <w:r>
        <w:rPr>
          <w:spacing w:val="-4"/>
          <w:sz w:val="24"/>
        </w:rPr>
        <w:t> </w:t>
      </w:r>
      <w:r>
        <w:rPr>
          <w:sz w:val="24"/>
        </w:rPr>
        <w:t>will select a counselor to take the application. Whenever possible, the counselor will be located in an adjacent unit.</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1"/>
        <w:ind w:left="360" w:right="0" w:firstLine="0"/>
        <w:jc w:val="left"/>
        <w:rPr>
          <w:sz w:val="22"/>
        </w:rPr>
      </w:pPr>
      <w:r>
        <w:rPr>
          <w:spacing w:val="-2"/>
          <w:sz w:val="22"/>
        </w:rPr>
        <w:t>8-11-</w:t>
      </w:r>
      <w:r>
        <w:rPr>
          <w:spacing w:val="-5"/>
          <w:sz w:val="22"/>
        </w:rPr>
        <w:t>19</w:t>
      </w:r>
      <w:r>
        <w:rPr>
          <w:sz w:val="22"/>
        </w:rPr>
        <w:tab/>
        <w:t>Rule</w:t>
      </w:r>
      <w:r>
        <w:rPr>
          <w:spacing w:val="-6"/>
          <w:sz w:val="22"/>
        </w:rPr>
        <w:t> </w:t>
      </w:r>
      <w:r>
        <w:rPr>
          <w:spacing w:val="-2"/>
          <w:sz w:val="22"/>
        </w:rPr>
        <w:t>implemented.</w:t>
      </w:r>
    </w:p>
    <w:p>
      <w:pPr>
        <w:spacing w:after="0"/>
        <w:jc w:val="left"/>
        <w:rPr>
          <w:sz w:val="22"/>
        </w:rPr>
        <w:sectPr>
          <w:pgSz w:w="12240" w:h="15840"/>
          <w:pgMar w:top="1340" w:bottom="280" w:left="1080" w:right="720"/>
        </w:sectPr>
      </w:pPr>
    </w:p>
    <w:p>
      <w:pPr>
        <w:pStyle w:val="Heading2"/>
      </w:pPr>
      <w:bookmarkStart w:name="612:10-7-2.2.  Applications for friends " w:id="116"/>
      <w:bookmarkEnd w:id="116"/>
      <w:r>
        <w:rPr>
          <w:b w:val="0"/>
        </w:rPr>
      </w:r>
      <w:r>
        <w:rPr/>
        <w:t>612:10-7-2.2.</w:t>
      </w:r>
      <w:r>
        <w:rPr>
          <w:spacing w:val="60"/>
        </w:rPr>
        <w:t> </w:t>
      </w:r>
      <w:r>
        <w:rPr/>
        <w:t>Applications</w:t>
      </w:r>
      <w:r>
        <w:rPr>
          <w:spacing w:val="-3"/>
        </w:rPr>
        <w:t> </w:t>
      </w:r>
      <w:r>
        <w:rPr/>
        <w:t>for</w:t>
      </w:r>
      <w:r>
        <w:rPr>
          <w:spacing w:val="-3"/>
        </w:rPr>
        <w:t> </w:t>
      </w:r>
      <w:r>
        <w:rPr/>
        <w:t>friends</w:t>
      </w:r>
      <w:r>
        <w:rPr>
          <w:spacing w:val="-3"/>
        </w:rPr>
        <w:t> </w:t>
      </w:r>
      <w:r>
        <w:rPr/>
        <w:t>or</w:t>
      </w:r>
      <w:r>
        <w:rPr>
          <w:spacing w:val="-4"/>
        </w:rPr>
        <w:t> </w:t>
      </w:r>
      <w:r>
        <w:rPr/>
        <w:t>family</w:t>
      </w:r>
      <w:r>
        <w:rPr>
          <w:spacing w:val="-4"/>
        </w:rPr>
        <w:t> </w:t>
      </w:r>
      <w:r>
        <w:rPr/>
        <w:t>member(s)</w:t>
      </w:r>
      <w:r>
        <w:rPr>
          <w:spacing w:val="-2"/>
        </w:rPr>
        <w:t> </w:t>
      </w:r>
      <w:r>
        <w:rPr/>
        <w:t>of</w:t>
      </w:r>
      <w:r>
        <w:rPr>
          <w:spacing w:val="-4"/>
        </w:rPr>
        <w:t> </w:t>
      </w:r>
      <w:r>
        <w:rPr>
          <w:spacing w:val="-2"/>
        </w:rPr>
        <w:t>friends</w:t>
      </w:r>
    </w:p>
    <w:p>
      <w:pPr>
        <w:pStyle w:val="BodyText"/>
        <w:spacing w:line="208" w:lineRule="auto" w:before="233"/>
        <w:ind w:left="359" w:right="775" w:firstLine="432"/>
      </w:pPr>
      <w:r>
        <w:rPr/>
        <w:t>In</w:t>
      </w:r>
      <w:r>
        <w:rPr>
          <w:spacing w:val="-3"/>
        </w:rPr>
        <w:t> </w:t>
      </w:r>
      <w:r>
        <w:rPr/>
        <w:t>order</w:t>
      </w:r>
      <w:r>
        <w:rPr>
          <w:spacing w:val="-4"/>
        </w:rPr>
        <w:t> </w:t>
      </w:r>
      <w:r>
        <w:rPr/>
        <w:t>to</w:t>
      </w:r>
      <w:r>
        <w:rPr>
          <w:spacing w:val="-4"/>
        </w:rPr>
        <w:t> </w:t>
      </w:r>
      <w:r>
        <w:rPr/>
        <w:t>provide</w:t>
      </w:r>
      <w:r>
        <w:rPr>
          <w:spacing w:val="-3"/>
        </w:rPr>
        <w:t> </w:t>
      </w:r>
      <w:r>
        <w:rPr/>
        <w:t>fair</w:t>
      </w:r>
      <w:r>
        <w:rPr>
          <w:spacing w:val="-2"/>
        </w:rPr>
        <w:t> </w:t>
      </w:r>
      <w:r>
        <w:rPr/>
        <w:t>and</w:t>
      </w:r>
      <w:r>
        <w:rPr>
          <w:spacing w:val="-3"/>
        </w:rPr>
        <w:t> </w:t>
      </w:r>
      <w:r>
        <w:rPr/>
        <w:t>equal</w:t>
      </w:r>
      <w:r>
        <w:rPr>
          <w:spacing w:val="-2"/>
        </w:rPr>
        <w:t> </w:t>
      </w:r>
      <w:r>
        <w:rPr/>
        <w:t>access</w:t>
      </w:r>
      <w:r>
        <w:rPr>
          <w:spacing w:val="-3"/>
        </w:rPr>
        <w:t> </w:t>
      </w:r>
      <w:r>
        <w:rPr/>
        <w:t>to</w:t>
      </w:r>
      <w:r>
        <w:rPr>
          <w:spacing w:val="-3"/>
        </w:rPr>
        <w:t> </w:t>
      </w:r>
      <w:r>
        <w:rPr/>
        <w:t>vocational</w:t>
      </w:r>
      <w:r>
        <w:rPr>
          <w:spacing w:val="-3"/>
        </w:rPr>
        <w:t> </w:t>
      </w:r>
      <w:r>
        <w:rPr/>
        <w:t>rehabilitation</w:t>
      </w:r>
      <w:r>
        <w:rPr>
          <w:spacing w:val="-3"/>
        </w:rPr>
        <w:t> </w:t>
      </w:r>
      <w:r>
        <w:rPr/>
        <w:t>services,</w:t>
      </w:r>
      <w:r>
        <w:rPr>
          <w:spacing w:val="-4"/>
        </w:rPr>
        <w:t> </w:t>
      </w:r>
      <w:r>
        <w:rPr/>
        <w:t>and</w:t>
      </w:r>
      <w:r>
        <w:rPr>
          <w:spacing w:val="-3"/>
        </w:rPr>
        <w:t> </w:t>
      </w:r>
      <w:r>
        <w:rPr/>
        <w:t>to avoid the appearance of impropriety or conflict of interest, the following procedure will be followed. If an applicant is familiar to the point of friendship or an immediate family member of an individual who is familiar to the point of friendship, an application/referral will not be processed by the impacted DRS staff member. The relationship will be disclosed to the Supervisor in writing for proper case assignment.</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360" w:right="0" w:firstLine="0"/>
        <w:jc w:val="left"/>
        <w:rPr>
          <w:sz w:val="22"/>
        </w:rPr>
      </w:pPr>
      <w:r>
        <w:rPr>
          <w:spacing w:val="-2"/>
          <w:sz w:val="22"/>
        </w:rPr>
        <w:t>8-11-</w:t>
      </w:r>
      <w:r>
        <w:rPr>
          <w:spacing w:val="-5"/>
          <w:sz w:val="22"/>
        </w:rPr>
        <w:t>19</w:t>
      </w:r>
      <w:r>
        <w:rPr>
          <w:sz w:val="22"/>
        </w:rPr>
        <w:tab/>
        <w:t>Rule</w:t>
      </w:r>
      <w:r>
        <w:rPr>
          <w:spacing w:val="-6"/>
          <w:sz w:val="22"/>
        </w:rPr>
        <w:t> </w:t>
      </w:r>
      <w:r>
        <w:rPr>
          <w:spacing w:val="-2"/>
          <w:sz w:val="22"/>
        </w:rPr>
        <w:t>implemented.</w:t>
      </w:r>
    </w:p>
    <w:p>
      <w:pPr>
        <w:spacing w:after="0"/>
        <w:jc w:val="left"/>
        <w:rPr>
          <w:sz w:val="22"/>
        </w:rPr>
        <w:sectPr>
          <w:pgSz w:w="12240" w:h="15840"/>
          <w:pgMar w:top="1340" w:bottom="280" w:left="1080" w:right="720"/>
        </w:sectPr>
      </w:pPr>
    </w:p>
    <w:p>
      <w:pPr>
        <w:pStyle w:val="Heading2"/>
      </w:pPr>
      <w:bookmarkStart w:name="612:10-7-2.3.  Services for employers" w:id="117"/>
      <w:bookmarkEnd w:id="117"/>
      <w:r>
        <w:rPr>
          <w:b w:val="0"/>
        </w:rPr>
      </w:r>
      <w:r>
        <w:rPr/>
        <w:t>612:10-7-2.3.</w:t>
      </w:r>
      <w:r>
        <w:rPr>
          <w:spacing w:val="59"/>
        </w:rPr>
        <w:t> </w:t>
      </w:r>
      <w:r>
        <w:rPr/>
        <w:t>Services</w:t>
      </w:r>
      <w:r>
        <w:rPr>
          <w:spacing w:val="-3"/>
        </w:rPr>
        <w:t> </w:t>
      </w:r>
      <w:r>
        <w:rPr/>
        <w:t>for</w:t>
      </w:r>
      <w:r>
        <w:rPr>
          <w:spacing w:val="-4"/>
        </w:rPr>
        <w:t> </w:t>
      </w:r>
      <w:r>
        <w:rPr>
          <w:spacing w:val="-2"/>
        </w:rPr>
        <w:t>employers</w:t>
      </w:r>
    </w:p>
    <w:p>
      <w:pPr>
        <w:pStyle w:val="BodyText"/>
        <w:spacing w:line="208" w:lineRule="auto" w:before="233"/>
        <w:ind w:right="727" w:firstLine="432"/>
      </w:pPr>
      <w:r>
        <w:rPr/>
        <w:t>DRS's</w:t>
      </w:r>
      <w:r>
        <w:rPr>
          <w:spacing w:val="-4"/>
        </w:rPr>
        <w:t> </w:t>
      </w:r>
      <w:r>
        <w:rPr/>
        <w:t>focus</w:t>
      </w:r>
      <w:r>
        <w:rPr>
          <w:spacing w:val="-4"/>
        </w:rPr>
        <w:t> </w:t>
      </w:r>
      <w:r>
        <w:rPr/>
        <w:t>is</w:t>
      </w:r>
      <w:r>
        <w:rPr>
          <w:spacing w:val="-4"/>
        </w:rPr>
        <w:t> </w:t>
      </w:r>
      <w:r>
        <w:rPr/>
        <w:t>to</w:t>
      </w:r>
      <w:r>
        <w:rPr>
          <w:spacing w:val="-4"/>
        </w:rPr>
        <w:t> </w:t>
      </w:r>
      <w:r>
        <w:rPr/>
        <w:t>inform</w:t>
      </w:r>
      <w:r>
        <w:rPr>
          <w:spacing w:val="-3"/>
        </w:rPr>
        <w:t> </w:t>
      </w:r>
      <w:r>
        <w:rPr/>
        <w:t>businesses</w:t>
      </w:r>
      <w:r>
        <w:rPr>
          <w:spacing w:val="-4"/>
        </w:rPr>
        <w:t> </w:t>
      </w:r>
      <w:r>
        <w:rPr/>
        <w:t>about</w:t>
      </w:r>
      <w:r>
        <w:rPr>
          <w:spacing w:val="-3"/>
        </w:rPr>
        <w:t> </w:t>
      </w:r>
      <w:r>
        <w:rPr/>
        <w:t>the</w:t>
      </w:r>
      <w:r>
        <w:rPr>
          <w:spacing w:val="-4"/>
        </w:rPr>
        <w:t> </w:t>
      </w:r>
      <w:r>
        <w:rPr/>
        <w:t>benefits</w:t>
      </w:r>
      <w:r>
        <w:rPr>
          <w:spacing w:val="-4"/>
        </w:rPr>
        <w:t> </w:t>
      </w:r>
      <w:r>
        <w:rPr/>
        <w:t>and</w:t>
      </w:r>
      <w:r>
        <w:rPr>
          <w:spacing w:val="-4"/>
        </w:rPr>
        <w:t> </w:t>
      </w:r>
      <w:r>
        <w:rPr/>
        <w:t>opportunities</w:t>
      </w:r>
      <w:r>
        <w:rPr>
          <w:spacing w:val="-4"/>
        </w:rPr>
        <w:t> </w:t>
      </w:r>
      <w:r>
        <w:rPr/>
        <w:t>associated with a workforce that is diverse and inclusive, and support business to develop that workforce. DRS values employer input into the VR program. DRS and workforce partners engage in activities that include employer input on workforce topics. Within the core services to business, DRS contributes by:</w:t>
      </w:r>
    </w:p>
    <w:p>
      <w:pPr>
        <w:pStyle w:val="ListParagraph"/>
        <w:numPr>
          <w:ilvl w:val="0"/>
          <w:numId w:val="104"/>
        </w:numPr>
        <w:tabs>
          <w:tab w:pos="1217" w:val="left" w:leader="none"/>
        </w:tabs>
        <w:spacing w:line="208" w:lineRule="auto" w:before="239" w:after="0"/>
        <w:ind w:left="792" w:right="1068" w:firstLine="0"/>
        <w:jc w:val="left"/>
        <w:rPr>
          <w:sz w:val="24"/>
        </w:rPr>
      </w:pPr>
      <w:r>
        <w:rPr>
          <w:sz w:val="24"/>
        </w:rPr>
        <w:t>Informing</w:t>
      </w:r>
      <w:r>
        <w:rPr>
          <w:spacing w:val="-4"/>
          <w:sz w:val="24"/>
        </w:rPr>
        <w:t> </w:t>
      </w:r>
      <w:r>
        <w:rPr>
          <w:sz w:val="24"/>
        </w:rPr>
        <w:t>businesses</w:t>
      </w:r>
      <w:r>
        <w:rPr>
          <w:spacing w:val="-4"/>
          <w:sz w:val="24"/>
        </w:rPr>
        <w:t> </w:t>
      </w:r>
      <w:r>
        <w:rPr>
          <w:sz w:val="24"/>
        </w:rPr>
        <w:t>about</w:t>
      </w:r>
      <w:r>
        <w:rPr>
          <w:spacing w:val="-3"/>
          <w:sz w:val="24"/>
        </w:rPr>
        <w:t> </w:t>
      </w:r>
      <w:r>
        <w:rPr>
          <w:sz w:val="24"/>
        </w:rPr>
        <w:t>the</w:t>
      </w:r>
      <w:r>
        <w:rPr>
          <w:spacing w:val="-4"/>
          <w:sz w:val="24"/>
        </w:rPr>
        <w:t> </w:t>
      </w:r>
      <w:r>
        <w:rPr>
          <w:sz w:val="24"/>
        </w:rPr>
        <w:t>DRS</w:t>
      </w:r>
      <w:r>
        <w:rPr>
          <w:spacing w:val="-4"/>
          <w:sz w:val="24"/>
        </w:rPr>
        <w:t> </w:t>
      </w:r>
      <w:r>
        <w:rPr>
          <w:sz w:val="24"/>
        </w:rPr>
        <w:t>talent</w:t>
      </w:r>
      <w:r>
        <w:rPr>
          <w:spacing w:val="-3"/>
          <w:sz w:val="24"/>
        </w:rPr>
        <w:t> </w:t>
      </w:r>
      <w:r>
        <w:rPr>
          <w:sz w:val="24"/>
        </w:rPr>
        <w:t>pool</w:t>
      </w:r>
      <w:r>
        <w:rPr>
          <w:spacing w:val="-4"/>
          <w:sz w:val="24"/>
        </w:rPr>
        <w:t> </w:t>
      </w:r>
      <w:r>
        <w:rPr>
          <w:sz w:val="24"/>
        </w:rPr>
        <w:t>and</w:t>
      </w:r>
      <w:r>
        <w:rPr>
          <w:spacing w:val="-4"/>
          <w:sz w:val="24"/>
        </w:rPr>
        <w:t> </w:t>
      </w:r>
      <w:r>
        <w:rPr>
          <w:sz w:val="24"/>
        </w:rPr>
        <w:t>the</w:t>
      </w:r>
      <w:r>
        <w:rPr>
          <w:spacing w:val="-4"/>
          <w:sz w:val="24"/>
        </w:rPr>
        <w:t> </w:t>
      </w:r>
      <w:r>
        <w:rPr>
          <w:sz w:val="24"/>
        </w:rPr>
        <w:t>full</w:t>
      </w:r>
      <w:r>
        <w:rPr>
          <w:spacing w:val="-4"/>
          <w:sz w:val="24"/>
        </w:rPr>
        <w:t> </w:t>
      </w:r>
      <w:r>
        <w:rPr>
          <w:sz w:val="24"/>
        </w:rPr>
        <w:t>offerings</w:t>
      </w:r>
      <w:r>
        <w:rPr>
          <w:spacing w:val="-4"/>
          <w:sz w:val="24"/>
        </w:rPr>
        <w:t> </w:t>
      </w:r>
      <w:r>
        <w:rPr>
          <w:sz w:val="24"/>
        </w:rPr>
        <w:t>of</w:t>
      </w:r>
      <w:r>
        <w:rPr>
          <w:spacing w:val="-3"/>
          <w:sz w:val="24"/>
        </w:rPr>
        <w:t> </w:t>
      </w:r>
      <w:r>
        <w:rPr>
          <w:sz w:val="24"/>
        </w:rPr>
        <w:t>DRS programs, services, and incentives.</w:t>
      </w:r>
    </w:p>
    <w:p>
      <w:pPr>
        <w:pStyle w:val="ListParagraph"/>
        <w:numPr>
          <w:ilvl w:val="0"/>
          <w:numId w:val="104"/>
        </w:numPr>
        <w:tabs>
          <w:tab w:pos="1216" w:val="left" w:leader="none"/>
        </w:tabs>
        <w:spacing w:line="208" w:lineRule="auto" w:before="240" w:after="0"/>
        <w:ind w:left="791" w:right="1119" w:firstLine="0"/>
        <w:jc w:val="left"/>
        <w:rPr>
          <w:sz w:val="24"/>
        </w:rPr>
      </w:pPr>
      <w:r>
        <w:rPr>
          <w:sz w:val="24"/>
        </w:rPr>
        <w:t>Informing</w:t>
      </w:r>
      <w:r>
        <w:rPr>
          <w:spacing w:val="-5"/>
          <w:sz w:val="24"/>
        </w:rPr>
        <w:t> </w:t>
      </w:r>
      <w:r>
        <w:rPr>
          <w:sz w:val="24"/>
        </w:rPr>
        <w:t>employers</w:t>
      </w:r>
      <w:r>
        <w:rPr>
          <w:spacing w:val="-5"/>
          <w:sz w:val="24"/>
        </w:rPr>
        <w:t> </w:t>
      </w:r>
      <w:r>
        <w:rPr>
          <w:sz w:val="24"/>
        </w:rPr>
        <w:t>about</w:t>
      </w:r>
      <w:r>
        <w:rPr>
          <w:spacing w:val="-4"/>
          <w:sz w:val="24"/>
        </w:rPr>
        <w:t> </w:t>
      </w:r>
      <w:r>
        <w:rPr>
          <w:sz w:val="24"/>
        </w:rPr>
        <w:t>opportunities</w:t>
      </w:r>
      <w:r>
        <w:rPr>
          <w:spacing w:val="-5"/>
          <w:sz w:val="24"/>
        </w:rPr>
        <w:t> </w:t>
      </w:r>
      <w:r>
        <w:rPr>
          <w:sz w:val="24"/>
        </w:rPr>
        <w:t>to</w:t>
      </w:r>
      <w:r>
        <w:rPr>
          <w:spacing w:val="-5"/>
          <w:sz w:val="24"/>
        </w:rPr>
        <w:t> </w:t>
      </w:r>
      <w:r>
        <w:rPr>
          <w:sz w:val="24"/>
        </w:rPr>
        <w:t>provide</w:t>
      </w:r>
      <w:r>
        <w:rPr>
          <w:spacing w:val="-5"/>
          <w:sz w:val="24"/>
        </w:rPr>
        <w:t> </w:t>
      </w:r>
      <w:r>
        <w:rPr>
          <w:sz w:val="24"/>
        </w:rPr>
        <w:t>work-based</w:t>
      </w:r>
      <w:r>
        <w:rPr>
          <w:spacing w:val="-5"/>
          <w:sz w:val="24"/>
        </w:rPr>
        <w:t> </w:t>
      </w:r>
      <w:r>
        <w:rPr>
          <w:sz w:val="24"/>
        </w:rPr>
        <w:t>learning</w:t>
      </w:r>
      <w:r>
        <w:rPr>
          <w:spacing w:val="-4"/>
          <w:sz w:val="24"/>
        </w:rPr>
        <w:t> </w:t>
      </w:r>
      <w:r>
        <w:rPr>
          <w:sz w:val="24"/>
        </w:rPr>
        <w:t>and career exploration options to students and youth through internships, on the job work experiences, and pre-employment transition services.</w:t>
      </w:r>
    </w:p>
    <w:p>
      <w:pPr>
        <w:pStyle w:val="ListParagraph"/>
        <w:numPr>
          <w:ilvl w:val="0"/>
          <w:numId w:val="104"/>
        </w:numPr>
        <w:tabs>
          <w:tab w:pos="1217" w:val="left" w:leader="none"/>
        </w:tabs>
        <w:spacing w:line="208" w:lineRule="auto" w:before="240" w:after="0"/>
        <w:ind w:left="791" w:right="989" w:firstLine="0"/>
        <w:jc w:val="left"/>
        <w:rPr>
          <w:sz w:val="24"/>
        </w:rPr>
      </w:pPr>
      <w:r>
        <w:rPr>
          <w:sz w:val="24"/>
        </w:rPr>
        <w:t>Enabling</w:t>
      </w:r>
      <w:r>
        <w:rPr>
          <w:spacing w:val="-4"/>
          <w:sz w:val="24"/>
        </w:rPr>
        <w:t> </w:t>
      </w:r>
      <w:r>
        <w:rPr>
          <w:sz w:val="24"/>
        </w:rPr>
        <w:t>employers</w:t>
      </w:r>
      <w:r>
        <w:rPr>
          <w:spacing w:val="-4"/>
          <w:sz w:val="24"/>
        </w:rPr>
        <w:t> </w:t>
      </w:r>
      <w:r>
        <w:rPr>
          <w:sz w:val="24"/>
        </w:rPr>
        <w:t>to</w:t>
      </w:r>
      <w:r>
        <w:rPr>
          <w:spacing w:val="-4"/>
          <w:sz w:val="24"/>
        </w:rPr>
        <w:t> </w:t>
      </w:r>
      <w:r>
        <w:rPr>
          <w:sz w:val="24"/>
        </w:rPr>
        <w:t>recruit,</w:t>
      </w:r>
      <w:r>
        <w:rPr>
          <w:spacing w:val="-5"/>
          <w:sz w:val="24"/>
        </w:rPr>
        <w:t> </w:t>
      </w:r>
      <w:r>
        <w:rPr>
          <w:sz w:val="24"/>
        </w:rPr>
        <w:t>job</w:t>
      </w:r>
      <w:r>
        <w:rPr>
          <w:spacing w:val="-4"/>
          <w:sz w:val="24"/>
        </w:rPr>
        <w:t> </w:t>
      </w:r>
      <w:r>
        <w:rPr>
          <w:sz w:val="24"/>
        </w:rPr>
        <w:t>match,</w:t>
      </w:r>
      <w:r>
        <w:rPr>
          <w:spacing w:val="-5"/>
          <w:sz w:val="24"/>
        </w:rPr>
        <w:t> </w:t>
      </w:r>
      <w:r>
        <w:rPr>
          <w:sz w:val="24"/>
        </w:rPr>
        <w:t>hire,</w:t>
      </w:r>
      <w:r>
        <w:rPr>
          <w:spacing w:val="-3"/>
          <w:sz w:val="24"/>
        </w:rPr>
        <w:t> </w:t>
      </w:r>
      <w:r>
        <w:rPr>
          <w:sz w:val="24"/>
        </w:rPr>
        <w:t>train,</w:t>
      </w:r>
      <w:r>
        <w:rPr>
          <w:spacing w:val="-5"/>
          <w:sz w:val="24"/>
        </w:rPr>
        <w:t> </w:t>
      </w:r>
      <w:r>
        <w:rPr>
          <w:sz w:val="24"/>
        </w:rPr>
        <w:t>and</w:t>
      </w:r>
      <w:r>
        <w:rPr>
          <w:spacing w:val="-4"/>
          <w:sz w:val="24"/>
        </w:rPr>
        <w:t> </w:t>
      </w:r>
      <w:r>
        <w:rPr>
          <w:sz w:val="24"/>
        </w:rPr>
        <w:t>retain</w:t>
      </w:r>
      <w:r>
        <w:rPr>
          <w:spacing w:val="-4"/>
          <w:sz w:val="24"/>
        </w:rPr>
        <w:t> </w:t>
      </w:r>
      <w:r>
        <w:rPr>
          <w:sz w:val="24"/>
        </w:rPr>
        <w:t>qualified</w:t>
      </w:r>
      <w:r>
        <w:rPr>
          <w:spacing w:val="-4"/>
          <w:sz w:val="24"/>
        </w:rPr>
        <w:t> </w:t>
      </w:r>
      <w:r>
        <w:rPr>
          <w:sz w:val="24"/>
        </w:rPr>
        <w:t>talent from the DRS talent pool.</w:t>
      </w:r>
    </w:p>
    <w:p>
      <w:pPr>
        <w:pStyle w:val="ListParagraph"/>
        <w:numPr>
          <w:ilvl w:val="0"/>
          <w:numId w:val="104"/>
        </w:numPr>
        <w:tabs>
          <w:tab w:pos="1217" w:val="left" w:leader="none"/>
        </w:tabs>
        <w:spacing w:line="208" w:lineRule="auto" w:before="240" w:after="0"/>
        <w:ind w:left="791" w:right="1201" w:firstLine="0"/>
        <w:jc w:val="left"/>
        <w:rPr>
          <w:sz w:val="24"/>
        </w:rPr>
      </w:pPr>
      <w:r>
        <w:rPr>
          <w:sz w:val="24"/>
        </w:rPr>
        <w:t>Connecting</w:t>
      </w:r>
      <w:r>
        <w:rPr>
          <w:spacing w:val="-5"/>
          <w:sz w:val="24"/>
        </w:rPr>
        <w:t> </w:t>
      </w:r>
      <w:r>
        <w:rPr>
          <w:sz w:val="24"/>
        </w:rPr>
        <w:t>employers</w:t>
      </w:r>
      <w:r>
        <w:rPr>
          <w:spacing w:val="-5"/>
          <w:sz w:val="24"/>
        </w:rPr>
        <w:t> </w:t>
      </w:r>
      <w:r>
        <w:rPr>
          <w:sz w:val="24"/>
        </w:rPr>
        <w:t>to</w:t>
      </w:r>
      <w:r>
        <w:rPr>
          <w:spacing w:val="-5"/>
          <w:sz w:val="24"/>
        </w:rPr>
        <w:t> </w:t>
      </w:r>
      <w:r>
        <w:rPr>
          <w:sz w:val="24"/>
        </w:rPr>
        <w:t>community</w:t>
      </w:r>
      <w:r>
        <w:rPr>
          <w:spacing w:val="-5"/>
          <w:sz w:val="24"/>
        </w:rPr>
        <w:t> </w:t>
      </w:r>
      <w:r>
        <w:rPr>
          <w:sz w:val="24"/>
        </w:rPr>
        <w:t>resources</w:t>
      </w:r>
      <w:r>
        <w:rPr>
          <w:spacing w:val="-5"/>
          <w:sz w:val="24"/>
        </w:rPr>
        <w:t> </w:t>
      </w:r>
      <w:r>
        <w:rPr>
          <w:sz w:val="24"/>
        </w:rPr>
        <w:t>that</w:t>
      </w:r>
      <w:r>
        <w:rPr>
          <w:spacing w:val="-4"/>
          <w:sz w:val="24"/>
        </w:rPr>
        <w:t> </w:t>
      </w:r>
      <w:r>
        <w:rPr>
          <w:sz w:val="24"/>
        </w:rPr>
        <w:t>support</w:t>
      </w:r>
      <w:r>
        <w:rPr>
          <w:spacing w:val="-4"/>
          <w:sz w:val="24"/>
        </w:rPr>
        <w:t> </w:t>
      </w:r>
      <w:r>
        <w:rPr>
          <w:sz w:val="24"/>
        </w:rPr>
        <w:t>individuals</w:t>
      </w:r>
      <w:r>
        <w:rPr>
          <w:spacing w:val="-4"/>
          <w:sz w:val="24"/>
        </w:rPr>
        <w:t> </w:t>
      </w:r>
      <w:r>
        <w:rPr>
          <w:sz w:val="24"/>
        </w:rPr>
        <w:t>with </w:t>
      </w:r>
      <w:r>
        <w:rPr>
          <w:spacing w:val="-2"/>
          <w:sz w:val="24"/>
        </w:rPr>
        <w:t>disabilities.</w:t>
      </w:r>
    </w:p>
    <w:p>
      <w:pPr>
        <w:pStyle w:val="ListParagraph"/>
        <w:numPr>
          <w:ilvl w:val="0"/>
          <w:numId w:val="104"/>
        </w:numPr>
        <w:tabs>
          <w:tab w:pos="1217" w:val="left" w:leader="none"/>
        </w:tabs>
        <w:spacing w:line="208" w:lineRule="auto" w:before="239" w:after="0"/>
        <w:ind w:left="791" w:right="1414" w:firstLine="0"/>
        <w:jc w:val="left"/>
        <w:rPr>
          <w:sz w:val="24"/>
        </w:rPr>
      </w:pPr>
      <w:r>
        <w:rPr>
          <w:sz w:val="24"/>
        </w:rPr>
        <w:t>Providing</w:t>
      </w:r>
      <w:r>
        <w:rPr>
          <w:spacing w:val="-5"/>
          <w:sz w:val="24"/>
        </w:rPr>
        <w:t> </w:t>
      </w:r>
      <w:r>
        <w:rPr>
          <w:sz w:val="24"/>
        </w:rPr>
        <w:t>consultation,</w:t>
      </w:r>
      <w:r>
        <w:rPr>
          <w:spacing w:val="-4"/>
          <w:sz w:val="24"/>
        </w:rPr>
        <w:t> </w:t>
      </w:r>
      <w:r>
        <w:rPr>
          <w:sz w:val="24"/>
        </w:rPr>
        <w:t>technical</w:t>
      </w:r>
      <w:r>
        <w:rPr>
          <w:spacing w:val="-5"/>
          <w:sz w:val="24"/>
        </w:rPr>
        <w:t> </w:t>
      </w:r>
      <w:r>
        <w:rPr>
          <w:sz w:val="24"/>
        </w:rPr>
        <w:t>assistance,</w:t>
      </w:r>
      <w:r>
        <w:rPr>
          <w:spacing w:val="-4"/>
          <w:sz w:val="24"/>
        </w:rPr>
        <w:t> </w:t>
      </w:r>
      <w:r>
        <w:rPr>
          <w:sz w:val="24"/>
        </w:rPr>
        <w:t>and</w:t>
      </w:r>
      <w:r>
        <w:rPr>
          <w:spacing w:val="-5"/>
          <w:sz w:val="24"/>
        </w:rPr>
        <w:t> </w:t>
      </w:r>
      <w:r>
        <w:rPr>
          <w:sz w:val="24"/>
        </w:rPr>
        <w:t>support</w:t>
      </w:r>
      <w:r>
        <w:rPr>
          <w:spacing w:val="-4"/>
          <w:sz w:val="24"/>
        </w:rPr>
        <w:t> </w:t>
      </w:r>
      <w:r>
        <w:rPr>
          <w:sz w:val="24"/>
        </w:rPr>
        <w:t>to</w:t>
      </w:r>
      <w:r>
        <w:rPr>
          <w:spacing w:val="-5"/>
          <w:sz w:val="24"/>
        </w:rPr>
        <w:t> </w:t>
      </w:r>
      <w:r>
        <w:rPr>
          <w:sz w:val="24"/>
        </w:rPr>
        <w:t>employers</w:t>
      </w:r>
      <w:r>
        <w:rPr>
          <w:spacing w:val="-5"/>
          <w:sz w:val="24"/>
        </w:rPr>
        <w:t> </w:t>
      </w:r>
      <w:r>
        <w:rPr>
          <w:sz w:val="24"/>
        </w:rPr>
        <w:t>on workplace accommodations, assistive technology, and accessibility.</w:t>
      </w:r>
    </w:p>
    <w:p>
      <w:pPr>
        <w:pStyle w:val="ListParagraph"/>
        <w:numPr>
          <w:ilvl w:val="0"/>
          <w:numId w:val="104"/>
        </w:numPr>
        <w:tabs>
          <w:tab w:pos="1217" w:val="left" w:leader="none"/>
        </w:tabs>
        <w:spacing w:line="208" w:lineRule="auto" w:before="240" w:after="0"/>
        <w:ind w:left="791" w:right="854" w:firstLine="0"/>
        <w:jc w:val="left"/>
        <w:rPr>
          <w:sz w:val="24"/>
        </w:rPr>
      </w:pPr>
      <w:r>
        <w:rPr>
          <w:sz w:val="24"/>
        </w:rPr>
        <w:t>Providing information and consultation regarding employment of people with disabilities,</w:t>
      </w:r>
      <w:r>
        <w:rPr>
          <w:spacing w:val="-3"/>
          <w:sz w:val="24"/>
        </w:rPr>
        <w:t> </w:t>
      </w:r>
      <w:r>
        <w:rPr>
          <w:sz w:val="24"/>
        </w:rPr>
        <w:t>including</w:t>
      </w:r>
      <w:r>
        <w:rPr>
          <w:spacing w:val="-4"/>
          <w:sz w:val="24"/>
        </w:rPr>
        <w:t> </w:t>
      </w:r>
      <w:r>
        <w:rPr>
          <w:sz w:val="24"/>
        </w:rPr>
        <w:t>the</w:t>
      </w:r>
      <w:r>
        <w:rPr>
          <w:spacing w:val="-4"/>
          <w:sz w:val="24"/>
        </w:rPr>
        <w:t> </w:t>
      </w:r>
      <w:r>
        <w:rPr>
          <w:sz w:val="24"/>
        </w:rPr>
        <w:t>benefits/return</w:t>
      </w:r>
      <w:r>
        <w:rPr>
          <w:spacing w:val="-4"/>
          <w:sz w:val="24"/>
        </w:rPr>
        <w:t> </w:t>
      </w:r>
      <w:r>
        <w:rPr>
          <w:sz w:val="24"/>
        </w:rPr>
        <w:t>on</w:t>
      </w:r>
      <w:r>
        <w:rPr>
          <w:spacing w:val="-4"/>
          <w:sz w:val="24"/>
        </w:rPr>
        <w:t> </w:t>
      </w:r>
      <w:r>
        <w:rPr>
          <w:sz w:val="24"/>
        </w:rPr>
        <w:t>investment</w:t>
      </w:r>
      <w:r>
        <w:rPr>
          <w:spacing w:val="-5"/>
          <w:sz w:val="24"/>
        </w:rPr>
        <w:t> </w:t>
      </w:r>
      <w:r>
        <w:rPr>
          <w:sz w:val="24"/>
        </w:rPr>
        <w:t>of</w:t>
      </w:r>
      <w:r>
        <w:rPr>
          <w:spacing w:val="-3"/>
          <w:sz w:val="24"/>
        </w:rPr>
        <w:t> </w:t>
      </w:r>
      <w:r>
        <w:rPr>
          <w:sz w:val="24"/>
        </w:rPr>
        <w:t>enhancing</w:t>
      </w:r>
      <w:r>
        <w:rPr>
          <w:spacing w:val="-4"/>
          <w:sz w:val="24"/>
        </w:rPr>
        <w:t> </w:t>
      </w:r>
      <w:r>
        <w:rPr>
          <w:sz w:val="24"/>
        </w:rPr>
        <w:t>diversity</w:t>
      </w:r>
      <w:r>
        <w:rPr>
          <w:spacing w:val="-4"/>
          <w:sz w:val="24"/>
        </w:rPr>
        <w:t> </w:t>
      </w:r>
      <w:r>
        <w:rPr>
          <w:sz w:val="24"/>
        </w:rPr>
        <w:t>in</w:t>
      </w:r>
      <w:r>
        <w:rPr>
          <w:spacing w:val="-4"/>
          <w:sz w:val="24"/>
        </w:rPr>
        <w:t> </w:t>
      </w:r>
      <w:r>
        <w:rPr>
          <w:sz w:val="24"/>
        </w:rPr>
        <w:t>the workplace, disability awareness, and the Americans with Disabilities Act.</w:t>
      </w:r>
    </w:p>
    <w:p>
      <w:pPr>
        <w:pStyle w:val="ListParagraph"/>
        <w:numPr>
          <w:ilvl w:val="1"/>
          <w:numId w:val="104"/>
        </w:numPr>
        <w:tabs>
          <w:tab w:pos="1676" w:val="left" w:leader="none"/>
        </w:tabs>
        <w:spacing w:line="208" w:lineRule="auto" w:before="240" w:after="0"/>
        <w:ind w:left="1223" w:right="875" w:firstLine="0"/>
        <w:jc w:val="left"/>
        <w:rPr>
          <w:sz w:val="24"/>
        </w:rPr>
      </w:pPr>
      <w:r>
        <w:rPr>
          <w:sz w:val="24"/>
        </w:rPr>
        <w:t>Assist</w:t>
      </w:r>
      <w:r>
        <w:rPr>
          <w:spacing w:val="-5"/>
          <w:sz w:val="24"/>
        </w:rPr>
        <w:t> </w:t>
      </w:r>
      <w:r>
        <w:rPr>
          <w:sz w:val="24"/>
        </w:rPr>
        <w:t>employers</w:t>
      </w:r>
      <w:r>
        <w:rPr>
          <w:spacing w:val="-4"/>
          <w:sz w:val="24"/>
        </w:rPr>
        <w:t> </w:t>
      </w:r>
      <w:r>
        <w:rPr>
          <w:sz w:val="24"/>
        </w:rPr>
        <w:t>in</w:t>
      </w:r>
      <w:r>
        <w:rPr>
          <w:spacing w:val="-4"/>
          <w:sz w:val="24"/>
        </w:rPr>
        <w:t> </w:t>
      </w:r>
      <w:r>
        <w:rPr>
          <w:sz w:val="24"/>
        </w:rPr>
        <w:t>identifying</w:t>
      </w:r>
      <w:r>
        <w:rPr>
          <w:spacing w:val="-4"/>
          <w:sz w:val="24"/>
        </w:rPr>
        <w:t> </w:t>
      </w:r>
      <w:r>
        <w:rPr>
          <w:sz w:val="24"/>
        </w:rPr>
        <w:t>and</w:t>
      </w:r>
      <w:r>
        <w:rPr>
          <w:spacing w:val="-4"/>
          <w:sz w:val="24"/>
        </w:rPr>
        <w:t> </w:t>
      </w:r>
      <w:r>
        <w:rPr>
          <w:sz w:val="24"/>
        </w:rPr>
        <w:t>preparing</w:t>
      </w:r>
      <w:r>
        <w:rPr>
          <w:spacing w:val="-4"/>
          <w:sz w:val="24"/>
        </w:rPr>
        <w:t> </w:t>
      </w:r>
      <w:r>
        <w:rPr>
          <w:sz w:val="24"/>
        </w:rPr>
        <w:t>individuals</w:t>
      </w:r>
      <w:r>
        <w:rPr>
          <w:spacing w:val="-4"/>
          <w:sz w:val="24"/>
        </w:rPr>
        <w:t> </w:t>
      </w:r>
      <w:r>
        <w:rPr>
          <w:sz w:val="24"/>
        </w:rPr>
        <w:t>with</w:t>
      </w:r>
      <w:r>
        <w:rPr>
          <w:spacing w:val="-4"/>
          <w:sz w:val="24"/>
        </w:rPr>
        <w:t> </w:t>
      </w:r>
      <w:r>
        <w:rPr>
          <w:sz w:val="24"/>
        </w:rPr>
        <w:t>disabilities</w:t>
      </w:r>
      <w:r>
        <w:rPr>
          <w:spacing w:val="-4"/>
          <w:sz w:val="24"/>
        </w:rPr>
        <w:t> </w:t>
      </w:r>
      <w:r>
        <w:rPr>
          <w:sz w:val="24"/>
        </w:rPr>
        <w:t>to fill job vacancies through on the job training.</w:t>
      </w:r>
    </w:p>
    <w:p>
      <w:pPr>
        <w:pStyle w:val="ListParagraph"/>
        <w:numPr>
          <w:ilvl w:val="1"/>
          <w:numId w:val="104"/>
        </w:numPr>
        <w:tabs>
          <w:tab w:pos="1675" w:val="left" w:leader="none"/>
        </w:tabs>
        <w:spacing w:line="208" w:lineRule="auto" w:before="240" w:after="0"/>
        <w:ind w:left="1223" w:right="1422" w:firstLine="0"/>
        <w:jc w:val="left"/>
        <w:rPr>
          <w:sz w:val="24"/>
        </w:rPr>
      </w:pPr>
      <w:r>
        <w:rPr>
          <w:sz w:val="24"/>
        </w:rPr>
        <w:t>Informing</w:t>
      </w:r>
      <w:r>
        <w:rPr>
          <w:spacing w:val="-5"/>
          <w:sz w:val="24"/>
        </w:rPr>
        <w:t> </w:t>
      </w:r>
      <w:r>
        <w:rPr>
          <w:sz w:val="24"/>
        </w:rPr>
        <w:t>employers</w:t>
      </w:r>
      <w:r>
        <w:rPr>
          <w:spacing w:val="-5"/>
          <w:sz w:val="24"/>
        </w:rPr>
        <w:t> </w:t>
      </w:r>
      <w:r>
        <w:rPr>
          <w:sz w:val="24"/>
        </w:rPr>
        <w:t>about</w:t>
      </w:r>
      <w:r>
        <w:rPr>
          <w:spacing w:val="-4"/>
          <w:sz w:val="24"/>
        </w:rPr>
        <w:t> </w:t>
      </w:r>
      <w:r>
        <w:rPr>
          <w:sz w:val="24"/>
        </w:rPr>
        <w:t>available</w:t>
      </w:r>
      <w:r>
        <w:rPr>
          <w:spacing w:val="-5"/>
          <w:sz w:val="24"/>
        </w:rPr>
        <w:t> </w:t>
      </w:r>
      <w:r>
        <w:rPr>
          <w:sz w:val="24"/>
        </w:rPr>
        <w:t>tax</w:t>
      </w:r>
      <w:r>
        <w:rPr>
          <w:spacing w:val="-4"/>
          <w:sz w:val="24"/>
        </w:rPr>
        <w:t> </w:t>
      </w:r>
      <w:r>
        <w:rPr>
          <w:sz w:val="24"/>
        </w:rPr>
        <w:t>incentives</w:t>
      </w:r>
      <w:r>
        <w:rPr>
          <w:spacing w:val="-5"/>
          <w:sz w:val="24"/>
        </w:rPr>
        <w:t> </w:t>
      </w:r>
      <w:r>
        <w:rPr>
          <w:sz w:val="24"/>
        </w:rPr>
        <w:t>for</w:t>
      </w:r>
      <w:r>
        <w:rPr>
          <w:spacing w:val="-4"/>
          <w:sz w:val="24"/>
        </w:rPr>
        <w:t> </w:t>
      </w:r>
      <w:r>
        <w:rPr>
          <w:sz w:val="24"/>
        </w:rPr>
        <w:t>hiring</w:t>
      </w:r>
      <w:r>
        <w:rPr>
          <w:spacing w:val="-5"/>
          <w:sz w:val="24"/>
        </w:rPr>
        <w:t> </w:t>
      </w:r>
      <w:r>
        <w:rPr>
          <w:sz w:val="24"/>
        </w:rPr>
        <w:t>qualified persons with disabilities.</w:t>
      </w:r>
    </w:p>
    <w:p>
      <w:pPr>
        <w:pStyle w:val="ListParagraph"/>
        <w:numPr>
          <w:ilvl w:val="1"/>
          <w:numId w:val="104"/>
        </w:numPr>
        <w:tabs>
          <w:tab w:pos="1689" w:val="left" w:leader="none"/>
        </w:tabs>
        <w:spacing w:line="208" w:lineRule="auto" w:before="240" w:after="0"/>
        <w:ind w:left="1223" w:right="2063" w:firstLine="0"/>
        <w:jc w:val="left"/>
        <w:rPr>
          <w:sz w:val="24"/>
        </w:rPr>
      </w:pPr>
      <w:r>
        <w:rPr>
          <w:sz w:val="24"/>
        </w:rPr>
        <w:t>Assist</w:t>
      </w:r>
      <w:r>
        <w:rPr>
          <w:spacing w:val="-6"/>
          <w:sz w:val="24"/>
        </w:rPr>
        <w:t> </w:t>
      </w:r>
      <w:r>
        <w:rPr>
          <w:sz w:val="24"/>
        </w:rPr>
        <w:t>employers</w:t>
      </w:r>
      <w:r>
        <w:rPr>
          <w:spacing w:val="-5"/>
          <w:sz w:val="24"/>
        </w:rPr>
        <w:t> </w:t>
      </w:r>
      <w:r>
        <w:rPr>
          <w:sz w:val="24"/>
        </w:rPr>
        <w:t>with</w:t>
      </w:r>
      <w:r>
        <w:rPr>
          <w:spacing w:val="-5"/>
          <w:sz w:val="24"/>
        </w:rPr>
        <w:t> </w:t>
      </w:r>
      <w:r>
        <w:rPr>
          <w:sz w:val="24"/>
        </w:rPr>
        <w:t>identifying</w:t>
      </w:r>
      <w:r>
        <w:rPr>
          <w:spacing w:val="-5"/>
          <w:sz w:val="24"/>
        </w:rPr>
        <w:t> </w:t>
      </w:r>
      <w:r>
        <w:rPr>
          <w:sz w:val="24"/>
        </w:rPr>
        <w:t>and</w:t>
      </w:r>
      <w:r>
        <w:rPr>
          <w:spacing w:val="-5"/>
          <w:sz w:val="24"/>
        </w:rPr>
        <w:t> </w:t>
      </w:r>
      <w:r>
        <w:rPr>
          <w:sz w:val="24"/>
        </w:rPr>
        <w:t>setting</w:t>
      </w:r>
      <w:r>
        <w:rPr>
          <w:spacing w:val="-5"/>
          <w:sz w:val="24"/>
        </w:rPr>
        <w:t> </w:t>
      </w:r>
      <w:r>
        <w:rPr>
          <w:sz w:val="24"/>
        </w:rPr>
        <w:t>up</w:t>
      </w:r>
      <w:r>
        <w:rPr>
          <w:spacing w:val="-5"/>
          <w:sz w:val="24"/>
        </w:rPr>
        <w:t> </w:t>
      </w:r>
      <w:r>
        <w:rPr>
          <w:sz w:val="24"/>
        </w:rPr>
        <w:t>Apprenticeship opportunities for persons with disabilities.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360" w:right="0" w:firstLine="0"/>
        <w:jc w:val="left"/>
        <w:rPr>
          <w:sz w:val="22"/>
        </w:rPr>
      </w:pPr>
      <w:r>
        <w:rPr>
          <w:spacing w:val="-2"/>
          <w:sz w:val="22"/>
        </w:rPr>
        <w:t>8-11-</w:t>
      </w:r>
      <w:r>
        <w:rPr>
          <w:spacing w:val="-5"/>
          <w:sz w:val="22"/>
        </w:rPr>
        <w:t>19</w:t>
      </w:r>
      <w:r>
        <w:rPr>
          <w:sz w:val="22"/>
        </w:rPr>
        <w:tab/>
        <w:t>Permanent,</w:t>
      </w:r>
      <w:r>
        <w:rPr>
          <w:spacing w:val="-8"/>
          <w:sz w:val="22"/>
        </w:rPr>
        <w:t> </w:t>
      </w:r>
      <w:r>
        <w:rPr>
          <w:sz w:val="22"/>
        </w:rPr>
        <w:t>new</w:t>
      </w:r>
      <w:r>
        <w:rPr>
          <w:spacing w:val="-10"/>
          <w:sz w:val="22"/>
        </w:rPr>
        <w:t> </w:t>
      </w:r>
      <w:r>
        <w:rPr>
          <w:spacing w:val="-2"/>
          <w:sz w:val="22"/>
        </w:rPr>
        <w:t>rule.</w:t>
      </w:r>
    </w:p>
    <w:p>
      <w:pPr>
        <w:spacing w:after="0"/>
        <w:jc w:val="left"/>
        <w:rPr>
          <w:sz w:val="22"/>
        </w:rPr>
        <w:sectPr>
          <w:pgSz w:w="12240" w:h="15840"/>
          <w:pgMar w:top="1340" w:bottom="280" w:left="1080" w:right="720"/>
        </w:sectPr>
      </w:pPr>
    </w:p>
    <w:p>
      <w:pPr>
        <w:pStyle w:val="Heading2"/>
      </w:pPr>
      <w:bookmarkStart w:name="612:10-7-2.4.  Annual outreach and revie" w:id="118"/>
      <w:bookmarkEnd w:id="118"/>
      <w:r>
        <w:rPr>
          <w:b w:val="0"/>
        </w:rPr>
      </w:r>
      <w:r>
        <w:rPr/>
        <w:t>612:10-7-2.4.</w:t>
      </w:r>
      <w:r>
        <w:rPr>
          <w:spacing w:val="59"/>
        </w:rPr>
        <w:t> </w:t>
      </w:r>
      <w:r>
        <w:rPr/>
        <w:t>Annual</w:t>
      </w:r>
      <w:r>
        <w:rPr>
          <w:spacing w:val="-5"/>
        </w:rPr>
        <w:t> </w:t>
      </w:r>
      <w:r>
        <w:rPr/>
        <w:t>outreach</w:t>
      </w:r>
      <w:r>
        <w:rPr>
          <w:spacing w:val="-4"/>
        </w:rPr>
        <w:t> </w:t>
      </w:r>
      <w:r>
        <w:rPr/>
        <w:t>and</w:t>
      </w:r>
      <w:r>
        <w:rPr>
          <w:spacing w:val="-4"/>
        </w:rPr>
        <w:t> </w:t>
      </w:r>
      <w:r>
        <w:rPr/>
        <w:t>review</w:t>
      </w:r>
      <w:r>
        <w:rPr>
          <w:spacing w:val="-4"/>
        </w:rPr>
        <w:t> </w:t>
      </w:r>
      <w:r>
        <w:rPr>
          <w:spacing w:val="-2"/>
        </w:rPr>
        <w:t>services</w:t>
      </w:r>
    </w:p>
    <w:p>
      <w:pPr>
        <w:pStyle w:val="ListParagraph"/>
        <w:numPr>
          <w:ilvl w:val="0"/>
          <w:numId w:val="105"/>
        </w:numPr>
        <w:tabs>
          <w:tab w:pos="786" w:val="left" w:leader="none"/>
        </w:tabs>
        <w:spacing w:line="208" w:lineRule="auto" w:before="233" w:after="0"/>
        <w:ind w:left="360" w:right="955" w:firstLine="0"/>
        <w:jc w:val="left"/>
        <w:rPr>
          <w:sz w:val="24"/>
        </w:rPr>
      </w:pPr>
      <w:r>
        <w:rPr>
          <w:sz w:val="24"/>
        </w:rPr>
        <w:t>DRS will provide this service by DRS qualified staff or under a contractual relationship. DRS is required to provide annual outreach and review services for individuals</w:t>
      </w:r>
      <w:r>
        <w:rPr>
          <w:spacing w:val="-4"/>
          <w:sz w:val="24"/>
        </w:rPr>
        <w:t> </w:t>
      </w:r>
      <w:r>
        <w:rPr>
          <w:sz w:val="24"/>
        </w:rPr>
        <w:t>earning</w:t>
      </w:r>
      <w:r>
        <w:rPr>
          <w:spacing w:val="-4"/>
          <w:sz w:val="24"/>
        </w:rPr>
        <w:t> </w:t>
      </w:r>
      <w:r>
        <w:rPr>
          <w:sz w:val="24"/>
        </w:rPr>
        <w:t>subminimum</w:t>
      </w:r>
      <w:r>
        <w:rPr>
          <w:spacing w:val="-3"/>
          <w:sz w:val="24"/>
        </w:rPr>
        <w:t> </w:t>
      </w:r>
      <w:r>
        <w:rPr>
          <w:sz w:val="24"/>
        </w:rPr>
        <w:t>wages</w:t>
      </w:r>
      <w:r>
        <w:rPr>
          <w:spacing w:val="-4"/>
          <w:sz w:val="24"/>
        </w:rPr>
        <w:t> </w:t>
      </w:r>
      <w:r>
        <w:rPr>
          <w:sz w:val="24"/>
        </w:rPr>
        <w:t>under</w:t>
      </w:r>
      <w:r>
        <w:rPr>
          <w:spacing w:val="-3"/>
          <w:sz w:val="24"/>
        </w:rPr>
        <w:t> </w:t>
      </w:r>
      <w:r>
        <w:rPr>
          <w:sz w:val="24"/>
        </w:rPr>
        <w:t>a</w:t>
      </w:r>
      <w:r>
        <w:rPr>
          <w:spacing w:val="-4"/>
          <w:sz w:val="24"/>
        </w:rPr>
        <w:t> </w:t>
      </w:r>
      <w:r>
        <w:rPr>
          <w:sz w:val="24"/>
        </w:rPr>
        <w:t>14c</w:t>
      </w:r>
      <w:r>
        <w:rPr>
          <w:spacing w:val="-4"/>
          <w:sz w:val="24"/>
        </w:rPr>
        <w:t> </w:t>
      </w:r>
      <w:r>
        <w:rPr>
          <w:sz w:val="24"/>
        </w:rPr>
        <w:t>certificate.</w:t>
      </w:r>
      <w:r>
        <w:rPr>
          <w:spacing w:val="-3"/>
          <w:sz w:val="24"/>
        </w:rPr>
        <w:t> </w:t>
      </w:r>
      <w:r>
        <w:rPr>
          <w:sz w:val="24"/>
        </w:rPr>
        <w:t>DRS</w:t>
      </w:r>
      <w:r>
        <w:rPr>
          <w:spacing w:val="-4"/>
          <w:sz w:val="24"/>
        </w:rPr>
        <w:t> </w:t>
      </w:r>
      <w:r>
        <w:rPr>
          <w:sz w:val="24"/>
        </w:rPr>
        <w:t>is</w:t>
      </w:r>
      <w:r>
        <w:rPr>
          <w:spacing w:val="-4"/>
          <w:sz w:val="24"/>
        </w:rPr>
        <w:t> </w:t>
      </w:r>
      <w:r>
        <w:rPr>
          <w:sz w:val="24"/>
        </w:rPr>
        <w:t>responsible</w:t>
      </w:r>
      <w:r>
        <w:rPr>
          <w:spacing w:val="-4"/>
          <w:sz w:val="24"/>
        </w:rPr>
        <w:t> </w:t>
      </w:r>
      <w:r>
        <w:rPr>
          <w:sz w:val="24"/>
        </w:rPr>
        <w:t>for providing the required services only when an individual becomes known to DRS. The individuals will receive information about career counseling, supported employment, customized employment, career advancement, benefits counseling, and referrals to DRS and other available job placement resources within their local communities.</w:t>
      </w:r>
    </w:p>
    <w:p>
      <w:pPr>
        <w:pStyle w:val="ListParagraph"/>
        <w:numPr>
          <w:ilvl w:val="0"/>
          <w:numId w:val="105"/>
        </w:numPr>
        <w:tabs>
          <w:tab w:pos="786" w:val="left" w:leader="none"/>
        </w:tabs>
        <w:spacing w:line="208" w:lineRule="auto" w:before="239" w:after="0"/>
        <w:ind w:left="360" w:right="791" w:firstLine="0"/>
        <w:jc w:val="left"/>
        <w:rPr>
          <w:sz w:val="24"/>
        </w:rPr>
      </w:pPr>
      <w:r>
        <w:rPr>
          <w:sz w:val="24"/>
        </w:rPr>
        <w:t>For</w:t>
      </w:r>
      <w:r>
        <w:rPr>
          <w:spacing w:val="-4"/>
          <w:sz w:val="24"/>
        </w:rPr>
        <w:t> </w:t>
      </w:r>
      <w:r>
        <w:rPr>
          <w:sz w:val="24"/>
        </w:rPr>
        <w:t>individuals</w:t>
      </w:r>
      <w:r>
        <w:rPr>
          <w:spacing w:val="-3"/>
          <w:sz w:val="24"/>
        </w:rPr>
        <w:t> </w:t>
      </w:r>
      <w:r>
        <w:rPr>
          <w:sz w:val="24"/>
        </w:rPr>
        <w:t>hired</w:t>
      </w:r>
      <w:r>
        <w:rPr>
          <w:spacing w:val="-3"/>
          <w:sz w:val="24"/>
        </w:rPr>
        <w:t> </w:t>
      </w:r>
      <w:r>
        <w:rPr>
          <w:sz w:val="24"/>
        </w:rPr>
        <w:t>at</w:t>
      </w:r>
      <w:r>
        <w:rPr>
          <w:spacing w:val="-2"/>
          <w:sz w:val="24"/>
        </w:rPr>
        <w:t> </w:t>
      </w:r>
      <w:r>
        <w:rPr>
          <w:sz w:val="24"/>
        </w:rPr>
        <w:t>subminimum</w:t>
      </w:r>
      <w:r>
        <w:rPr>
          <w:spacing w:val="-3"/>
          <w:sz w:val="24"/>
        </w:rPr>
        <w:t> </w:t>
      </w:r>
      <w:r>
        <w:rPr>
          <w:sz w:val="24"/>
        </w:rPr>
        <w:t>wage,</w:t>
      </w:r>
      <w:r>
        <w:rPr>
          <w:spacing w:val="-2"/>
          <w:sz w:val="24"/>
        </w:rPr>
        <w:t> </w:t>
      </w:r>
      <w:r>
        <w:rPr>
          <w:sz w:val="24"/>
        </w:rPr>
        <w:t>these</w:t>
      </w:r>
      <w:r>
        <w:rPr>
          <w:spacing w:val="-3"/>
          <w:sz w:val="24"/>
        </w:rPr>
        <w:t> </w:t>
      </w:r>
      <w:r>
        <w:rPr>
          <w:sz w:val="24"/>
        </w:rPr>
        <w:t>services</w:t>
      </w:r>
      <w:r>
        <w:rPr>
          <w:spacing w:val="-3"/>
          <w:sz w:val="24"/>
        </w:rPr>
        <w:t> </w:t>
      </w:r>
      <w:r>
        <w:rPr>
          <w:sz w:val="24"/>
        </w:rPr>
        <w:t>must</w:t>
      </w:r>
      <w:r>
        <w:rPr>
          <w:spacing w:val="-4"/>
          <w:sz w:val="24"/>
        </w:rPr>
        <w:t> </w:t>
      </w:r>
      <w:r>
        <w:rPr>
          <w:sz w:val="24"/>
        </w:rPr>
        <w:t>be</w:t>
      </w:r>
      <w:r>
        <w:rPr>
          <w:spacing w:val="-3"/>
          <w:sz w:val="24"/>
        </w:rPr>
        <w:t> </w:t>
      </w:r>
      <w:r>
        <w:rPr>
          <w:sz w:val="24"/>
        </w:rPr>
        <w:t>carried</w:t>
      </w:r>
      <w:r>
        <w:rPr>
          <w:spacing w:val="-4"/>
          <w:sz w:val="24"/>
        </w:rPr>
        <w:t> </w:t>
      </w:r>
      <w:r>
        <w:rPr>
          <w:sz w:val="24"/>
        </w:rPr>
        <w:t>out</w:t>
      </w:r>
      <w:r>
        <w:rPr>
          <w:spacing w:val="-2"/>
          <w:sz w:val="24"/>
        </w:rPr>
        <w:t> </w:t>
      </w:r>
      <w:r>
        <w:rPr>
          <w:sz w:val="24"/>
        </w:rPr>
        <w:t>once every six months for the first year of the individual's subminimum wage employment, and</w:t>
      </w:r>
      <w:r>
        <w:rPr>
          <w:spacing w:val="-2"/>
          <w:sz w:val="24"/>
        </w:rPr>
        <w:t> </w:t>
      </w:r>
      <w:r>
        <w:rPr>
          <w:sz w:val="24"/>
        </w:rPr>
        <w:t>annually</w:t>
      </w:r>
      <w:r>
        <w:rPr>
          <w:spacing w:val="-2"/>
          <w:sz w:val="24"/>
        </w:rPr>
        <w:t> </w:t>
      </w:r>
      <w:r>
        <w:rPr>
          <w:sz w:val="24"/>
        </w:rPr>
        <w:t>thereafter</w:t>
      </w:r>
      <w:r>
        <w:rPr>
          <w:spacing w:val="-2"/>
          <w:sz w:val="24"/>
        </w:rPr>
        <w:t> </w:t>
      </w:r>
      <w:r>
        <w:rPr>
          <w:sz w:val="24"/>
        </w:rPr>
        <w:t>for</w:t>
      </w:r>
      <w:r>
        <w:rPr>
          <w:spacing w:val="-3"/>
          <w:sz w:val="24"/>
        </w:rPr>
        <w:t> </w:t>
      </w:r>
      <w:r>
        <w:rPr>
          <w:sz w:val="24"/>
        </w:rPr>
        <w:t>the</w:t>
      </w:r>
      <w:r>
        <w:rPr>
          <w:spacing w:val="-2"/>
          <w:sz w:val="24"/>
        </w:rPr>
        <w:t> </w:t>
      </w:r>
      <w:r>
        <w:rPr>
          <w:sz w:val="24"/>
        </w:rPr>
        <w:t>duration</w:t>
      </w:r>
      <w:r>
        <w:rPr>
          <w:spacing w:val="-2"/>
          <w:sz w:val="24"/>
        </w:rPr>
        <w:t> </w:t>
      </w:r>
      <w:r>
        <w:rPr>
          <w:sz w:val="24"/>
        </w:rPr>
        <w:t>of</w:t>
      </w:r>
      <w:r>
        <w:rPr>
          <w:spacing w:val="-2"/>
          <w:sz w:val="24"/>
        </w:rPr>
        <w:t> </w:t>
      </w:r>
      <w:r>
        <w:rPr>
          <w:sz w:val="24"/>
        </w:rPr>
        <w:t>such</w:t>
      </w:r>
      <w:r>
        <w:rPr>
          <w:spacing w:val="-2"/>
          <w:sz w:val="24"/>
        </w:rPr>
        <w:t> </w:t>
      </w:r>
      <w:r>
        <w:rPr>
          <w:sz w:val="24"/>
        </w:rPr>
        <w:t>employment.</w:t>
      </w:r>
      <w:r>
        <w:rPr>
          <w:spacing w:val="-3"/>
          <w:sz w:val="24"/>
        </w:rPr>
        <w:t> </w:t>
      </w:r>
      <w:r>
        <w:rPr>
          <w:sz w:val="24"/>
        </w:rPr>
        <w:t>Intervals</w:t>
      </w:r>
      <w:r>
        <w:rPr>
          <w:spacing w:val="-2"/>
          <w:sz w:val="24"/>
        </w:rPr>
        <w:t> </w:t>
      </w:r>
      <w:r>
        <w:rPr>
          <w:sz w:val="24"/>
        </w:rPr>
        <w:t>will</w:t>
      </w:r>
      <w:r>
        <w:rPr>
          <w:spacing w:val="-2"/>
          <w:sz w:val="24"/>
        </w:rPr>
        <w:t> </w:t>
      </w:r>
      <w:r>
        <w:rPr>
          <w:sz w:val="24"/>
        </w:rPr>
        <w:t>be</w:t>
      </w:r>
      <w:r>
        <w:rPr>
          <w:spacing w:val="-2"/>
          <w:sz w:val="24"/>
        </w:rPr>
        <w:t> </w:t>
      </w:r>
      <w:r>
        <w:rPr>
          <w:sz w:val="24"/>
        </w:rPr>
        <w:t>calculated based upon the date an individual becomes known to DRS. An individual may become known</w:t>
      </w:r>
      <w:r>
        <w:rPr>
          <w:spacing w:val="-3"/>
          <w:sz w:val="24"/>
        </w:rPr>
        <w:t> </w:t>
      </w:r>
      <w:r>
        <w:rPr>
          <w:sz w:val="24"/>
        </w:rPr>
        <w:t>to</w:t>
      </w:r>
      <w:r>
        <w:rPr>
          <w:spacing w:val="-3"/>
          <w:sz w:val="24"/>
        </w:rPr>
        <w:t> </w:t>
      </w:r>
      <w:r>
        <w:rPr>
          <w:sz w:val="24"/>
        </w:rPr>
        <w:t>DRS</w:t>
      </w:r>
      <w:r>
        <w:rPr>
          <w:spacing w:val="-3"/>
          <w:sz w:val="24"/>
        </w:rPr>
        <w:t> </w:t>
      </w:r>
      <w:r>
        <w:rPr>
          <w:sz w:val="24"/>
        </w:rPr>
        <w:t>via</w:t>
      </w:r>
      <w:r>
        <w:rPr>
          <w:spacing w:val="-3"/>
          <w:sz w:val="24"/>
        </w:rPr>
        <w:t> </w:t>
      </w:r>
      <w:r>
        <w:rPr>
          <w:sz w:val="24"/>
        </w:rPr>
        <w:t>self-identification</w:t>
      </w:r>
      <w:r>
        <w:rPr>
          <w:spacing w:val="-3"/>
          <w:sz w:val="24"/>
        </w:rPr>
        <w:t> </w:t>
      </w:r>
      <w:r>
        <w:rPr>
          <w:sz w:val="24"/>
        </w:rPr>
        <w:t>by</w:t>
      </w:r>
      <w:r>
        <w:rPr>
          <w:spacing w:val="-3"/>
          <w:sz w:val="24"/>
        </w:rPr>
        <w:t> </w:t>
      </w:r>
      <w:r>
        <w:rPr>
          <w:sz w:val="24"/>
        </w:rPr>
        <w:t>the</w:t>
      </w:r>
      <w:r>
        <w:rPr>
          <w:spacing w:val="-3"/>
          <w:sz w:val="24"/>
        </w:rPr>
        <w:t> </w:t>
      </w:r>
      <w:r>
        <w:rPr>
          <w:sz w:val="24"/>
        </w:rPr>
        <w:t>person</w:t>
      </w:r>
      <w:r>
        <w:rPr>
          <w:spacing w:val="-3"/>
          <w:sz w:val="24"/>
        </w:rPr>
        <w:t> </w:t>
      </w:r>
      <w:r>
        <w:rPr>
          <w:sz w:val="24"/>
        </w:rPr>
        <w:t>with</w:t>
      </w:r>
      <w:r>
        <w:rPr>
          <w:spacing w:val="-3"/>
          <w:sz w:val="24"/>
        </w:rPr>
        <w:t> </w:t>
      </w:r>
      <w:r>
        <w:rPr>
          <w:sz w:val="24"/>
        </w:rPr>
        <w:t>a</w:t>
      </w:r>
      <w:r>
        <w:rPr>
          <w:spacing w:val="-3"/>
          <w:sz w:val="24"/>
        </w:rPr>
        <w:t> </w:t>
      </w:r>
      <w:r>
        <w:rPr>
          <w:sz w:val="24"/>
        </w:rPr>
        <w:t>disability,</w:t>
      </w:r>
      <w:r>
        <w:rPr>
          <w:spacing w:val="-2"/>
          <w:sz w:val="24"/>
        </w:rPr>
        <w:t> </w:t>
      </w:r>
      <w:r>
        <w:rPr>
          <w:sz w:val="24"/>
        </w:rPr>
        <w:t>via</w:t>
      </w:r>
      <w:r>
        <w:rPr>
          <w:spacing w:val="-3"/>
          <w:sz w:val="24"/>
        </w:rPr>
        <w:t> </w:t>
      </w:r>
      <w:r>
        <w:rPr>
          <w:sz w:val="24"/>
        </w:rPr>
        <w:t>referral</w:t>
      </w:r>
      <w:r>
        <w:rPr>
          <w:spacing w:val="-3"/>
          <w:sz w:val="24"/>
        </w:rPr>
        <w:t> </w:t>
      </w:r>
      <w:r>
        <w:rPr>
          <w:sz w:val="24"/>
        </w:rPr>
        <w:t>by</w:t>
      </w:r>
      <w:r>
        <w:rPr>
          <w:spacing w:val="-3"/>
          <w:sz w:val="24"/>
        </w:rPr>
        <w:t> </w:t>
      </w:r>
      <w:r>
        <w:rPr>
          <w:sz w:val="24"/>
        </w:rPr>
        <w:t>a</w:t>
      </w:r>
      <w:r>
        <w:rPr>
          <w:spacing w:val="-3"/>
          <w:sz w:val="24"/>
        </w:rPr>
        <w:t> </w:t>
      </w:r>
      <w:r>
        <w:rPr>
          <w:sz w:val="24"/>
        </w:rPr>
        <w:t>third party, through the individual's involvement with the vocational rehabilitation process, or any other method.</w:t>
      </w:r>
    </w:p>
    <w:p>
      <w:pPr>
        <w:pStyle w:val="ListParagraph"/>
        <w:numPr>
          <w:ilvl w:val="0"/>
          <w:numId w:val="105"/>
        </w:numPr>
        <w:tabs>
          <w:tab w:pos="773" w:val="left" w:leader="none"/>
        </w:tabs>
        <w:spacing w:line="208" w:lineRule="auto" w:before="239" w:after="0"/>
        <w:ind w:left="360" w:right="790" w:firstLine="0"/>
        <w:jc w:val="left"/>
        <w:rPr>
          <w:sz w:val="24"/>
        </w:rPr>
      </w:pPr>
      <w:r>
        <w:rPr>
          <w:sz w:val="24"/>
        </w:rPr>
        <w:t>Individuals will receive documentation as soon as possible, but no later than 45 days after services are completed, or, 90 calendar days if additional time is necessary due</w:t>
      </w:r>
      <w:r>
        <w:rPr>
          <w:spacing w:val="-4"/>
          <w:sz w:val="24"/>
        </w:rPr>
        <w:t> </w:t>
      </w:r>
      <w:r>
        <w:rPr>
          <w:sz w:val="24"/>
        </w:rPr>
        <w:t>to</w:t>
      </w:r>
      <w:r>
        <w:rPr>
          <w:spacing w:val="-4"/>
          <w:sz w:val="24"/>
        </w:rPr>
        <w:t> </w:t>
      </w:r>
      <w:r>
        <w:rPr>
          <w:sz w:val="24"/>
        </w:rPr>
        <w:t>extenuating</w:t>
      </w:r>
      <w:r>
        <w:rPr>
          <w:spacing w:val="-4"/>
          <w:sz w:val="24"/>
        </w:rPr>
        <w:t> </w:t>
      </w:r>
      <w:r>
        <w:rPr>
          <w:sz w:val="24"/>
        </w:rPr>
        <w:t>circumstances,</w:t>
      </w:r>
      <w:r>
        <w:rPr>
          <w:spacing w:val="-3"/>
          <w:sz w:val="24"/>
        </w:rPr>
        <w:t> </w:t>
      </w:r>
      <w:r>
        <w:rPr>
          <w:sz w:val="24"/>
        </w:rPr>
        <w:t>which</w:t>
      </w:r>
      <w:r>
        <w:rPr>
          <w:spacing w:val="-4"/>
          <w:sz w:val="24"/>
        </w:rPr>
        <w:t> </w:t>
      </w:r>
      <w:r>
        <w:rPr>
          <w:sz w:val="24"/>
        </w:rPr>
        <w:t>should</w:t>
      </w:r>
      <w:r>
        <w:rPr>
          <w:spacing w:val="-4"/>
          <w:sz w:val="24"/>
        </w:rPr>
        <w:t> </w:t>
      </w:r>
      <w:r>
        <w:rPr>
          <w:sz w:val="24"/>
        </w:rPr>
        <w:t>be</w:t>
      </w:r>
      <w:r>
        <w:rPr>
          <w:spacing w:val="-4"/>
          <w:sz w:val="24"/>
        </w:rPr>
        <w:t> </w:t>
      </w:r>
      <w:r>
        <w:rPr>
          <w:sz w:val="24"/>
        </w:rPr>
        <w:t>interpreted</w:t>
      </w:r>
      <w:r>
        <w:rPr>
          <w:spacing w:val="-4"/>
          <w:sz w:val="24"/>
        </w:rPr>
        <w:t> </w:t>
      </w:r>
      <w:r>
        <w:rPr>
          <w:sz w:val="24"/>
        </w:rPr>
        <w:t>narrowly.</w:t>
      </w:r>
      <w:r>
        <w:rPr>
          <w:spacing w:val="-3"/>
          <w:sz w:val="24"/>
        </w:rPr>
        <w:t> </w:t>
      </w:r>
      <w:r>
        <w:rPr>
          <w:sz w:val="24"/>
        </w:rPr>
        <w:t>At</w:t>
      </w:r>
      <w:r>
        <w:rPr>
          <w:spacing w:val="-3"/>
          <w:sz w:val="24"/>
        </w:rPr>
        <w:t> </w:t>
      </w:r>
      <w:r>
        <w:rPr>
          <w:sz w:val="24"/>
        </w:rPr>
        <w:t>a</w:t>
      </w:r>
      <w:r>
        <w:rPr>
          <w:spacing w:val="-4"/>
          <w:sz w:val="24"/>
        </w:rPr>
        <w:t> </w:t>
      </w:r>
      <w:r>
        <w:rPr>
          <w:sz w:val="24"/>
        </w:rPr>
        <w:t>minimum, documentation must include:</w:t>
      </w:r>
    </w:p>
    <w:p>
      <w:pPr>
        <w:pStyle w:val="ListParagraph"/>
        <w:numPr>
          <w:ilvl w:val="1"/>
          <w:numId w:val="105"/>
        </w:numPr>
        <w:tabs>
          <w:tab w:pos="1217" w:val="left" w:leader="none"/>
        </w:tabs>
        <w:spacing w:line="240" w:lineRule="auto" w:before="211" w:after="0"/>
        <w:ind w:left="1217" w:right="0" w:hanging="426"/>
        <w:jc w:val="left"/>
        <w:rPr>
          <w:sz w:val="24"/>
        </w:rPr>
      </w:pPr>
      <w:r>
        <w:rPr>
          <w:sz w:val="24"/>
        </w:rPr>
        <w:t>Name</w:t>
      </w:r>
      <w:r>
        <w:rPr>
          <w:spacing w:val="-5"/>
          <w:sz w:val="24"/>
        </w:rPr>
        <w:t> </w:t>
      </w:r>
      <w:r>
        <w:rPr>
          <w:sz w:val="24"/>
        </w:rPr>
        <w:t>of</w:t>
      </w:r>
      <w:r>
        <w:rPr>
          <w:spacing w:val="-1"/>
          <w:sz w:val="24"/>
        </w:rPr>
        <w:t> </w:t>
      </w:r>
      <w:r>
        <w:rPr>
          <w:sz w:val="24"/>
        </w:rPr>
        <w:t>the</w:t>
      </w:r>
      <w:r>
        <w:rPr>
          <w:spacing w:val="-2"/>
          <w:sz w:val="24"/>
        </w:rPr>
        <w:t> </w:t>
      </w:r>
      <w:r>
        <w:rPr>
          <w:sz w:val="24"/>
        </w:rPr>
        <w:t>individual</w:t>
      </w:r>
      <w:r>
        <w:rPr>
          <w:spacing w:val="-2"/>
          <w:sz w:val="24"/>
        </w:rPr>
        <w:t> </w:t>
      </w:r>
      <w:r>
        <w:rPr>
          <w:sz w:val="24"/>
        </w:rPr>
        <w:t>with</w:t>
      </w:r>
      <w:r>
        <w:rPr>
          <w:spacing w:val="-2"/>
          <w:sz w:val="24"/>
        </w:rPr>
        <w:t> </w:t>
      </w:r>
      <w:r>
        <w:rPr>
          <w:sz w:val="24"/>
        </w:rPr>
        <w:t>a</w:t>
      </w:r>
      <w:r>
        <w:rPr>
          <w:spacing w:val="-2"/>
          <w:sz w:val="24"/>
        </w:rPr>
        <w:t> disability;</w:t>
      </w:r>
    </w:p>
    <w:p>
      <w:pPr>
        <w:pStyle w:val="ListParagraph"/>
        <w:numPr>
          <w:ilvl w:val="1"/>
          <w:numId w:val="105"/>
        </w:numPr>
        <w:tabs>
          <w:tab w:pos="1217" w:val="left" w:leader="none"/>
        </w:tabs>
        <w:spacing w:line="240" w:lineRule="auto" w:before="204" w:after="0"/>
        <w:ind w:left="1217" w:right="0" w:hanging="426"/>
        <w:jc w:val="left"/>
        <w:rPr>
          <w:sz w:val="24"/>
        </w:rPr>
      </w:pPr>
      <w:r>
        <w:rPr>
          <w:sz w:val="24"/>
        </w:rPr>
        <w:t>Description</w:t>
      </w:r>
      <w:r>
        <w:rPr>
          <w:spacing w:val="-5"/>
          <w:sz w:val="24"/>
        </w:rPr>
        <w:t> </w:t>
      </w:r>
      <w:r>
        <w:rPr>
          <w:sz w:val="24"/>
        </w:rPr>
        <w:t>of</w:t>
      </w:r>
      <w:r>
        <w:rPr>
          <w:spacing w:val="-2"/>
          <w:sz w:val="24"/>
        </w:rPr>
        <w:t> </w:t>
      </w:r>
      <w:r>
        <w:rPr>
          <w:sz w:val="24"/>
        </w:rPr>
        <w:t>service</w:t>
      </w:r>
      <w:r>
        <w:rPr>
          <w:spacing w:val="-3"/>
          <w:sz w:val="24"/>
        </w:rPr>
        <w:t> </w:t>
      </w:r>
      <w:r>
        <w:rPr>
          <w:sz w:val="24"/>
        </w:rPr>
        <w:t>or</w:t>
      </w:r>
      <w:r>
        <w:rPr>
          <w:spacing w:val="-3"/>
          <w:sz w:val="24"/>
        </w:rPr>
        <w:t> </w:t>
      </w:r>
      <w:r>
        <w:rPr>
          <w:sz w:val="24"/>
        </w:rPr>
        <w:t>activity</w:t>
      </w:r>
      <w:r>
        <w:rPr>
          <w:spacing w:val="-2"/>
          <w:sz w:val="24"/>
        </w:rPr>
        <w:t> completed;</w:t>
      </w:r>
    </w:p>
    <w:p>
      <w:pPr>
        <w:pStyle w:val="ListParagraph"/>
        <w:numPr>
          <w:ilvl w:val="1"/>
          <w:numId w:val="105"/>
        </w:numPr>
        <w:tabs>
          <w:tab w:pos="1217" w:val="left" w:leader="none"/>
        </w:tabs>
        <w:spacing w:line="240" w:lineRule="auto" w:before="204" w:after="0"/>
        <w:ind w:left="1217" w:right="0" w:hanging="426"/>
        <w:jc w:val="left"/>
        <w:rPr>
          <w:sz w:val="24"/>
        </w:rPr>
      </w:pPr>
      <w:r>
        <w:rPr>
          <w:sz w:val="24"/>
        </w:rPr>
        <w:t>Name</w:t>
      </w:r>
      <w:r>
        <w:rPr>
          <w:spacing w:val="-6"/>
          <w:sz w:val="24"/>
        </w:rPr>
        <w:t> </w:t>
      </w:r>
      <w:r>
        <w:rPr>
          <w:sz w:val="24"/>
        </w:rPr>
        <w:t>of</w:t>
      </w:r>
      <w:r>
        <w:rPr>
          <w:spacing w:val="-1"/>
          <w:sz w:val="24"/>
        </w:rPr>
        <w:t> </w:t>
      </w:r>
      <w:r>
        <w:rPr>
          <w:sz w:val="24"/>
        </w:rPr>
        <w:t>the</w:t>
      </w:r>
      <w:r>
        <w:rPr>
          <w:spacing w:val="-2"/>
          <w:sz w:val="24"/>
        </w:rPr>
        <w:t> </w:t>
      </w:r>
      <w:r>
        <w:rPr>
          <w:sz w:val="24"/>
        </w:rPr>
        <w:t>provider</w:t>
      </w:r>
      <w:r>
        <w:rPr>
          <w:spacing w:val="-1"/>
          <w:sz w:val="24"/>
        </w:rPr>
        <w:t> </w:t>
      </w:r>
      <w:r>
        <w:rPr>
          <w:sz w:val="24"/>
        </w:rPr>
        <w:t>of</w:t>
      </w:r>
      <w:r>
        <w:rPr>
          <w:spacing w:val="-2"/>
          <w:sz w:val="24"/>
        </w:rPr>
        <w:t> </w:t>
      </w:r>
      <w:r>
        <w:rPr>
          <w:sz w:val="24"/>
        </w:rPr>
        <w:t>the</w:t>
      </w:r>
      <w:r>
        <w:rPr>
          <w:spacing w:val="-3"/>
          <w:sz w:val="24"/>
        </w:rPr>
        <w:t> </w:t>
      </w:r>
      <w:r>
        <w:rPr>
          <w:sz w:val="24"/>
        </w:rPr>
        <w:t>required</w:t>
      </w:r>
      <w:r>
        <w:rPr>
          <w:spacing w:val="-2"/>
          <w:sz w:val="24"/>
        </w:rPr>
        <w:t> </w:t>
      </w:r>
      <w:r>
        <w:rPr>
          <w:sz w:val="24"/>
        </w:rPr>
        <w:t>service</w:t>
      </w:r>
      <w:r>
        <w:rPr>
          <w:spacing w:val="-2"/>
          <w:sz w:val="24"/>
        </w:rPr>
        <w:t> </w:t>
      </w:r>
      <w:r>
        <w:rPr>
          <w:sz w:val="24"/>
        </w:rPr>
        <w:t>or</w:t>
      </w:r>
      <w:r>
        <w:rPr>
          <w:spacing w:val="-1"/>
          <w:sz w:val="24"/>
        </w:rPr>
        <w:t> </w:t>
      </w:r>
      <w:r>
        <w:rPr>
          <w:spacing w:val="-2"/>
          <w:sz w:val="24"/>
        </w:rPr>
        <w:t>activity;</w:t>
      </w:r>
    </w:p>
    <w:p>
      <w:pPr>
        <w:pStyle w:val="ListParagraph"/>
        <w:numPr>
          <w:ilvl w:val="1"/>
          <w:numId w:val="105"/>
        </w:numPr>
        <w:tabs>
          <w:tab w:pos="1217" w:val="left" w:leader="none"/>
        </w:tabs>
        <w:spacing w:line="240" w:lineRule="auto" w:before="204" w:after="0"/>
        <w:ind w:left="1217" w:right="0" w:hanging="426"/>
        <w:jc w:val="left"/>
        <w:rPr>
          <w:sz w:val="24"/>
        </w:rPr>
      </w:pPr>
      <w:r>
        <w:rPr>
          <w:sz w:val="24"/>
        </w:rPr>
        <w:t>Date</w:t>
      </w:r>
      <w:r>
        <w:rPr>
          <w:spacing w:val="-4"/>
          <w:sz w:val="24"/>
        </w:rPr>
        <w:t> </w:t>
      </w:r>
      <w:r>
        <w:rPr>
          <w:sz w:val="24"/>
        </w:rPr>
        <w:t>required</w:t>
      </w:r>
      <w:r>
        <w:rPr>
          <w:spacing w:val="-3"/>
          <w:sz w:val="24"/>
        </w:rPr>
        <w:t> </w:t>
      </w:r>
      <w:r>
        <w:rPr>
          <w:sz w:val="24"/>
        </w:rPr>
        <w:t>service</w:t>
      </w:r>
      <w:r>
        <w:rPr>
          <w:spacing w:val="-3"/>
          <w:sz w:val="24"/>
        </w:rPr>
        <w:t> </w:t>
      </w:r>
      <w:r>
        <w:rPr>
          <w:sz w:val="24"/>
        </w:rPr>
        <w:t>or</w:t>
      </w:r>
      <w:r>
        <w:rPr>
          <w:spacing w:val="-2"/>
          <w:sz w:val="24"/>
        </w:rPr>
        <w:t> </w:t>
      </w:r>
      <w:r>
        <w:rPr>
          <w:sz w:val="24"/>
        </w:rPr>
        <w:t>activity</w:t>
      </w:r>
      <w:r>
        <w:rPr>
          <w:spacing w:val="-2"/>
          <w:sz w:val="24"/>
        </w:rPr>
        <w:t> completed;</w:t>
      </w:r>
    </w:p>
    <w:p>
      <w:pPr>
        <w:pStyle w:val="ListParagraph"/>
        <w:numPr>
          <w:ilvl w:val="1"/>
          <w:numId w:val="105"/>
        </w:numPr>
        <w:tabs>
          <w:tab w:pos="1217" w:val="left" w:leader="none"/>
        </w:tabs>
        <w:spacing w:line="208" w:lineRule="auto" w:before="233" w:after="0"/>
        <w:ind w:left="791" w:right="852" w:firstLine="0"/>
        <w:jc w:val="left"/>
        <w:rPr>
          <w:sz w:val="24"/>
        </w:rPr>
      </w:pPr>
      <w:r>
        <w:rPr>
          <w:sz w:val="24"/>
        </w:rPr>
        <w:t>Signature</w:t>
      </w:r>
      <w:r>
        <w:rPr>
          <w:spacing w:val="-4"/>
          <w:sz w:val="24"/>
        </w:rPr>
        <w:t> </w:t>
      </w:r>
      <w:r>
        <w:rPr>
          <w:sz w:val="24"/>
        </w:rPr>
        <w:t>of</w:t>
      </w:r>
      <w:r>
        <w:rPr>
          <w:spacing w:val="-3"/>
          <w:sz w:val="24"/>
        </w:rPr>
        <w:t> </w:t>
      </w:r>
      <w:r>
        <w:rPr>
          <w:sz w:val="24"/>
        </w:rPr>
        <w:t>DRS</w:t>
      </w:r>
      <w:r>
        <w:rPr>
          <w:spacing w:val="-4"/>
          <w:sz w:val="24"/>
        </w:rPr>
        <w:t> </w:t>
      </w:r>
      <w:r>
        <w:rPr>
          <w:sz w:val="24"/>
        </w:rPr>
        <w:t>personnel</w:t>
      </w:r>
      <w:r>
        <w:rPr>
          <w:spacing w:val="-3"/>
          <w:sz w:val="24"/>
        </w:rPr>
        <w:t> </w:t>
      </w:r>
      <w:r>
        <w:rPr>
          <w:sz w:val="24"/>
        </w:rPr>
        <w:t>transmitting</w:t>
      </w:r>
      <w:r>
        <w:rPr>
          <w:spacing w:val="-4"/>
          <w:sz w:val="24"/>
        </w:rPr>
        <w:t> </w:t>
      </w:r>
      <w:r>
        <w:rPr>
          <w:sz w:val="24"/>
        </w:rPr>
        <w:t>documentation</w:t>
      </w:r>
      <w:r>
        <w:rPr>
          <w:spacing w:val="-4"/>
          <w:sz w:val="24"/>
        </w:rPr>
        <w:t> </w:t>
      </w:r>
      <w:r>
        <w:rPr>
          <w:sz w:val="24"/>
        </w:rPr>
        <w:t>to</w:t>
      </w:r>
      <w:r>
        <w:rPr>
          <w:spacing w:val="-4"/>
          <w:sz w:val="24"/>
        </w:rPr>
        <w:t> </w:t>
      </w:r>
      <w:r>
        <w:rPr>
          <w:sz w:val="24"/>
        </w:rPr>
        <w:t>the</w:t>
      </w:r>
      <w:r>
        <w:rPr>
          <w:spacing w:val="-4"/>
          <w:sz w:val="24"/>
        </w:rPr>
        <w:t> </w:t>
      </w:r>
      <w:r>
        <w:rPr>
          <w:sz w:val="24"/>
        </w:rPr>
        <w:t>individual</w:t>
      </w:r>
      <w:r>
        <w:rPr>
          <w:spacing w:val="-3"/>
          <w:sz w:val="24"/>
        </w:rPr>
        <w:t> </w:t>
      </w:r>
      <w:r>
        <w:rPr>
          <w:sz w:val="24"/>
        </w:rPr>
        <w:t>with</w:t>
      </w:r>
      <w:r>
        <w:rPr>
          <w:spacing w:val="-4"/>
          <w:sz w:val="24"/>
        </w:rPr>
        <w:t> </w:t>
      </w:r>
      <w:r>
        <w:rPr>
          <w:sz w:val="24"/>
        </w:rPr>
        <w:t>a disability; and</w:t>
      </w:r>
    </w:p>
    <w:p>
      <w:pPr>
        <w:pStyle w:val="ListParagraph"/>
        <w:numPr>
          <w:ilvl w:val="1"/>
          <w:numId w:val="105"/>
        </w:numPr>
        <w:tabs>
          <w:tab w:pos="1217" w:val="left" w:leader="none"/>
        </w:tabs>
        <w:spacing w:line="240" w:lineRule="auto" w:before="211" w:after="0"/>
        <w:ind w:left="1217" w:right="0" w:hanging="426"/>
        <w:jc w:val="left"/>
        <w:rPr>
          <w:sz w:val="24"/>
        </w:rPr>
      </w:pPr>
      <w:r>
        <w:rPr>
          <w:sz w:val="24"/>
        </w:rPr>
        <w:t>Date</w:t>
      </w:r>
      <w:r>
        <w:rPr>
          <w:spacing w:val="-5"/>
          <w:sz w:val="24"/>
        </w:rPr>
        <w:t> </w:t>
      </w:r>
      <w:r>
        <w:rPr>
          <w:sz w:val="24"/>
        </w:rPr>
        <w:t>and</w:t>
      </w:r>
      <w:r>
        <w:rPr>
          <w:spacing w:val="-2"/>
          <w:sz w:val="24"/>
        </w:rPr>
        <w:t> </w:t>
      </w:r>
      <w:r>
        <w:rPr>
          <w:sz w:val="24"/>
        </w:rPr>
        <w:t>method</w:t>
      </w:r>
      <w:r>
        <w:rPr>
          <w:spacing w:val="-3"/>
          <w:sz w:val="24"/>
        </w:rPr>
        <w:t> </w:t>
      </w:r>
      <w:r>
        <w:rPr>
          <w:sz w:val="24"/>
        </w:rPr>
        <w:t>by</w:t>
      </w:r>
      <w:r>
        <w:rPr>
          <w:spacing w:val="-2"/>
          <w:sz w:val="24"/>
        </w:rPr>
        <w:t> </w:t>
      </w:r>
      <w:r>
        <w:rPr>
          <w:sz w:val="24"/>
        </w:rPr>
        <w:t>which</w:t>
      </w:r>
      <w:r>
        <w:rPr>
          <w:spacing w:val="-2"/>
          <w:sz w:val="24"/>
        </w:rPr>
        <w:t> </w:t>
      </w:r>
      <w:r>
        <w:rPr>
          <w:sz w:val="24"/>
        </w:rPr>
        <w:t>document</w:t>
      </w:r>
      <w:r>
        <w:rPr>
          <w:spacing w:val="-2"/>
          <w:sz w:val="24"/>
        </w:rPr>
        <w:t> </w:t>
      </w:r>
      <w:r>
        <w:rPr>
          <w:sz w:val="24"/>
        </w:rPr>
        <w:t>was</w:t>
      </w:r>
      <w:r>
        <w:rPr>
          <w:spacing w:val="-2"/>
          <w:sz w:val="24"/>
        </w:rPr>
        <w:t> </w:t>
      </w:r>
      <w:r>
        <w:rPr>
          <w:sz w:val="24"/>
        </w:rPr>
        <w:t>transmitted</w:t>
      </w:r>
      <w:r>
        <w:rPr>
          <w:spacing w:val="-3"/>
          <w:sz w:val="24"/>
        </w:rPr>
        <w:t> </w:t>
      </w:r>
      <w:r>
        <w:rPr>
          <w:sz w:val="24"/>
        </w:rPr>
        <w:t>to</w:t>
      </w:r>
      <w:r>
        <w:rPr>
          <w:spacing w:val="-3"/>
          <w:sz w:val="24"/>
        </w:rPr>
        <w:t> </w:t>
      </w:r>
      <w:r>
        <w:rPr>
          <w:sz w:val="24"/>
        </w:rPr>
        <w:t>the</w:t>
      </w:r>
      <w:r>
        <w:rPr>
          <w:spacing w:val="-2"/>
          <w:sz w:val="24"/>
        </w:rPr>
        <w:t> individual.</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360" w:right="0" w:firstLine="0"/>
        <w:jc w:val="left"/>
        <w:rPr>
          <w:sz w:val="22"/>
        </w:rPr>
      </w:pPr>
      <w:r>
        <w:rPr>
          <w:spacing w:val="-2"/>
          <w:sz w:val="22"/>
        </w:rPr>
        <w:t>8-11-</w:t>
      </w:r>
      <w:r>
        <w:rPr>
          <w:spacing w:val="-5"/>
          <w:sz w:val="22"/>
        </w:rPr>
        <w:t>19</w:t>
      </w:r>
      <w:r>
        <w:rPr>
          <w:sz w:val="22"/>
        </w:rPr>
        <w:tab/>
        <w:t>Rule</w:t>
      </w:r>
      <w:r>
        <w:rPr>
          <w:spacing w:val="-6"/>
          <w:sz w:val="22"/>
        </w:rPr>
        <w:t> </w:t>
      </w:r>
      <w:r>
        <w:rPr>
          <w:spacing w:val="-2"/>
          <w:sz w:val="22"/>
        </w:rPr>
        <w:t>implemented.</w:t>
      </w:r>
    </w:p>
    <w:p>
      <w:pPr>
        <w:spacing w:after="0"/>
        <w:jc w:val="left"/>
        <w:rPr>
          <w:sz w:val="22"/>
        </w:rPr>
        <w:sectPr>
          <w:pgSz w:w="12240" w:h="15840"/>
          <w:pgMar w:top="1340" w:bottom="280" w:left="1080" w:right="720"/>
        </w:sectPr>
      </w:pPr>
    </w:p>
    <w:p>
      <w:pPr>
        <w:pStyle w:val="Heading2"/>
      </w:pPr>
      <w:bookmarkStart w:name="612:10-7-2.5  Work Experience" w:id="119"/>
      <w:bookmarkEnd w:id="119"/>
      <w:r>
        <w:rPr>
          <w:b w:val="0"/>
        </w:rPr>
      </w:r>
      <w:r>
        <w:rPr/>
        <w:t>612:10-7-2.5</w:t>
      </w:r>
      <w:r>
        <w:rPr>
          <w:spacing w:val="61"/>
        </w:rPr>
        <w:t> </w:t>
      </w:r>
      <w:r>
        <w:rPr/>
        <w:t>Work</w:t>
      </w:r>
      <w:r>
        <w:rPr>
          <w:spacing w:val="-4"/>
        </w:rPr>
        <w:t> </w:t>
      </w:r>
      <w:r>
        <w:rPr>
          <w:spacing w:val="-2"/>
        </w:rPr>
        <w:t>Experience</w:t>
      </w:r>
    </w:p>
    <w:p>
      <w:pPr>
        <w:pStyle w:val="ListParagraph"/>
        <w:numPr>
          <w:ilvl w:val="0"/>
          <w:numId w:val="106"/>
        </w:numPr>
        <w:tabs>
          <w:tab w:pos="785" w:val="left" w:leader="none"/>
        </w:tabs>
        <w:spacing w:line="208" w:lineRule="auto" w:before="233" w:after="0"/>
        <w:ind w:left="360" w:right="764" w:firstLine="0"/>
        <w:jc w:val="left"/>
        <w:rPr>
          <w:sz w:val="24"/>
        </w:rPr>
      </w:pPr>
      <w:r>
        <w:rPr>
          <w:sz w:val="24"/>
        </w:rPr>
        <w:t>When Work Experience (WE) will best suit the client’s needs, this type of training can be considered. In order for the client to gain work experience and obtain employment, WE can be provided in conjunction with any other DRS Service. The nature of the work training experience may (or may not) match the consumer's employment</w:t>
      </w:r>
      <w:r>
        <w:rPr>
          <w:spacing w:val="-2"/>
          <w:sz w:val="24"/>
        </w:rPr>
        <w:t> </w:t>
      </w:r>
      <w:r>
        <w:rPr>
          <w:sz w:val="24"/>
        </w:rPr>
        <w:t>goal</w:t>
      </w:r>
      <w:r>
        <w:rPr>
          <w:spacing w:val="-3"/>
          <w:sz w:val="24"/>
        </w:rPr>
        <w:t> </w:t>
      </w:r>
      <w:r>
        <w:rPr>
          <w:sz w:val="24"/>
        </w:rPr>
        <w:t>on</w:t>
      </w:r>
      <w:r>
        <w:rPr>
          <w:spacing w:val="-3"/>
          <w:sz w:val="24"/>
        </w:rPr>
        <w:t> </w:t>
      </w:r>
      <w:r>
        <w:rPr>
          <w:sz w:val="24"/>
        </w:rPr>
        <w:t>the</w:t>
      </w:r>
      <w:r>
        <w:rPr>
          <w:spacing w:val="-3"/>
          <w:sz w:val="24"/>
        </w:rPr>
        <w:t> </w:t>
      </w:r>
      <w:r>
        <w:rPr>
          <w:sz w:val="24"/>
        </w:rPr>
        <w:t>IPE.</w:t>
      </w:r>
      <w:r>
        <w:rPr>
          <w:spacing w:val="40"/>
          <w:sz w:val="24"/>
        </w:rPr>
        <w:t> </w:t>
      </w:r>
      <w:r>
        <w:rPr>
          <w:sz w:val="24"/>
        </w:rPr>
        <w:t>This</w:t>
      </w:r>
      <w:r>
        <w:rPr>
          <w:spacing w:val="-3"/>
          <w:sz w:val="24"/>
        </w:rPr>
        <w:t> </w:t>
      </w:r>
      <w:r>
        <w:rPr>
          <w:sz w:val="24"/>
        </w:rPr>
        <w:t>service</w:t>
      </w:r>
      <w:r>
        <w:rPr>
          <w:spacing w:val="-3"/>
          <w:sz w:val="24"/>
        </w:rPr>
        <w:t> </w:t>
      </w:r>
      <w:r>
        <w:rPr>
          <w:sz w:val="24"/>
        </w:rPr>
        <w:t>does</w:t>
      </w:r>
      <w:r>
        <w:rPr>
          <w:spacing w:val="-3"/>
          <w:sz w:val="24"/>
        </w:rPr>
        <w:t> </w:t>
      </w:r>
      <w:r>
        <w:rPr>
          <w:sz w:val="24"/>
        </w:rPr>
        <w:t>not</w:t>
      </w:r>
      <w:r>
        <w:rPr>
          <w:spacing w:val="-2"/>
          <w:sz w:val="24"/>
        </w:rPr>
        <w:t> </w:t>
      </w:r>
      <w:r>
        <w:rPr>
          <w:sz w:val="24"/>
        </w:rPr>
        <w:t>require</w:t>
      </w:r>
      <w:r>
        <w:rPr>
          <w:spacing w:val="-3"/>
          <w:sz w:val="24"/>
        </w:rPr>
        <w:t> </w:t>
      </w:r>
      <w:r>
        <w:rPr>
          <w:sz w:val="24"/>
        </w:rPr>
        <w:t>client</w:t>
      </w:r>
      <w:r>
        <w:rPr>
          <w:spacing w:val="-2"/>
          <w:sz w:val="24"/>
        </w:rPr>
        <w:t> </w:t>
      </w:r>
      <w:r>
        <w:rPr>
          <w:sz w:val="24"/>
        </w:rPr>
        <w:t>participation</w:t>
      </w:r>
      <w:r>
        <w:rPr>
          <w:spacing w:val="-2"/>
          <w:sz w:val="24"/>
        </w:rPr>
        <w:t> </w:t>
      </w:r>
      <w:r>
        <w:rPr>
          <w:sz w:val="24"/>
        </w:rPr>
        <w:t>in</w:t>
      </w:r>
      <w:r>
        <w:rPr>
          <w:spacing w:val="-3"/>
          <w:sz w:val="24"/>
        </w:rPr>
        <w:t> </w:t>
      </w:r>
      <w:r>
        <w:rPr>
          <w:sz w:val="24"/>
        </w:rPr>
        <w:t>cost</w:t>
      </w:r>
      <w:r>
        <w:rPr>
          <w:spacing w:val="-2"/>
          <w:sz w:val="24"/>
        </w:rPr>
        <w:t> </w:t>
      </w:r>
      <w:r>
        <w:rPr>
          <w:sz w:val="24"/>
        </w:rPr>
        <w:t>of </w:t>
      </w:r>
      <w:r>
        <w:rPr>
          <w:spacing w:val="-2"/>
          <w:sz w:val="24"/>
        </w:rPr>
        <w:t>services.</w:t>
      </w:r>
    </w:p>
    <w:p>
      <w:pPr>
        <w:pStyle w:val="ListParagraph"/>
        <w:numPr>
          <w:ilvl w:val="0"/>
          <w:numId w:val="106"/>
        </w:numPr>
        <w:tabs>
          <w:tab w:pos="785" w:val="left" w:leader="none"/>
        </w:tabs>
        <w:spacing w:line="208" w:lineRule="auto" w:before="239" w:after="0"/>
        <w:ind w:left="360" w:right="1022" w:firstLine="0"/>
        <w:jc w:val="left"/>
        <w:rPr>
          <w:sz w:val="24"/>
        </w:rPr>
      </w:pPr>
      <w:r>
        <w:rPr>
          <w:sz w:val="24"/>
        </w:rPr>
        <w:t>In</w:t>
      </w:r>
      <w:r>
        <w:rPr>
          <w:spacing w:val="-3"/>
          <w:sz w:val="24"/>
        </w:rPr>
        <w:t> </w:t>
      </w:r>
      <w:r>
        <w:rPr>
          <w:sz w:val="24"/>
        </w:rPr>
        <w:t>selecting</w:t>
      </w:r>
      <w:r>
        <w:rPr>
          <w:spacing w:val="-3"/>
          <w:sz w:val="24"/>
        </w:rPr>
        <w:t> </w:t>
      </w:r>
      <w:r>
        <w:rPr>
          <w:sz w:val="24"/>
        </w:rPr>
        <w:t>work</w:t>
      </w:r>
      <w:r>
        <w:rPr>
          <w:spacing w:val="-3"/>
          <w:sz w:val="24"/>
        </w:rPr>
        <w:t> </w:t>
      </w:r>
      <w:r>
        <w:rPr>
          <w:sz w:val="24"/>
        </w:rPr>
        <w:t>training</w:t>
      </w:r>
      <w:r>
        <w:rPr>
          <w:spacing w:val="-3"/>
          <w:sz w:val="24"/>
        </w:rPr>
        <w:t> </w:t>
      </w:r>
      <w:r>
        <w:rPr>
          <w:sz w:val="24"/>
        </w:rPr>
        <w:t>sites,</w:t>
      </w:r>
      <w:r>
        <w:rPr>
          <w:spacing w:val="-2"/>
          <w:sz w:val="24"/>
        </w:rPr>
        <w:t> </w:t>
      </w:r>
      <w:r>
        <w:rPr>
          <w:sz w:val="24"/>
        </w:rPr>
        <w:t>the</w:t>
      </w:r>
      <w:r>
        <w:rPr>
          <w:spacing w:val="-3"/>
          <w:sz w:val="24"/>
        </w:rPr>
        <w:t> </w:t>
      </w:r>
      <w:r>
        <w:rPr>
          <w:sz w:val="24"/>
        </w:rPr>
        <w:t>counselor</w:t>
      </w:r>
      <w:r>
        <w:rPr>
          <w:spacing w:val="-2"/>
          <w:sz w:val="24"/>
        </w:rPr>
        <w:t> </w:t>
      </w:r>
      <w:r>
        <w:rPr>
          <w:sz w:val="24"/>
        </w:rPr>
        <w:t>must</w:t>
      </w:r>
      <w:r>
        <w:rPr>
          <w:spacing w:val="-4"/>
          <w:sz w:val="24"/>
        </w:rPr>
        <w:t> </w:t>
      </w:r>
      <w:r>
        <w:rPr>
          <w:sz w:val="24"/>
        </w:rPr>
        <w:t>assure</w:t>
      </w:r>
      <w:r>
        <w:rPr>
          <w:spacing w:val="-3"/>
          <w:sz w:val="24"/>
        </w:rPr>
        <w:t> </w:t>
      </w:r>
      <w:r>
        <w:rPr>
          <w:sz w:val="24"/>
        </w:rPr>
        <w:t>the</w:t>
      </w:r>
      <w:r>
        <w:rPr>
          <w:spacing w:val="-4"/>
          <w:sz w:val="24"/>
        </w:rPr>
        <w:t> </w:t>
      </w:r>
      <w:r>
        <w:rPr>
          <w:sz w:val="24"/>
        </w:rPr>
        <w:t>items</w:t>
      </w:r>
      <w:r>
        <w:rPr>
          <w:spacing w:val="-3"/>
          <w:sz w:val="24"/>
        </w:rPr>
        <w:t> </w:t>
      </w:r>
      <w:r>
        <w:rPr>
          <w:sz w:val="24"/>
        </w:rPr>
        <w:t>in</w:t>
      </w:r>
      <w:r>
        <w:rPr>
          <w:spacing w:val="-3"/>
          <w:sz w:val="24"/>
        </w:rPr>
        <w:t> </w:t>
      </w:r>
      <w:r>
        <w:rPr>
          <w:sz w:val="24"/>
        </w:rPr>
        <w:t>(1)</w:t>
      </w:r>
      <w:r>
        <w:rPr>
          <w:spacing w:val="-4"/>
          <w:sz w:val="24"/>
        </w:rPr>
        <w:t> </w:t>
      </w:r>
      <w:r>
        <w:rPr>
          <w:sz w:val="24"/>
        </w:rPr>
        <w:t>–</w:t>
      </w:r>
      <w:r>
        <w:rPr>
          <w:spacing w:val="-4"/>
          <w:sz w:val="24"/>
        </w:rPr>
        <w:t> </w:t>
      </w:r>
      <w:r>
        <w:rPr>
          <w:sz w:val="24"/>
        </w:rPr>
        <w:t>(5)</w:t>
      </w:r>
      <w:r>
        <w:rPr>
          <w:spacing w:val="-4"/>
          <w:sz w:val="24"/>
        </w:rPr>
        <w:t> </w:t>
      </w:r>
      <w:r>
        <w:rPr>
          <w:sz w:val="24"/>
        </w:rPr>
        <w:t>of this Subsection are met;</w:t>
      </w:r>
    </w:p>
    <w:p>
      <w:pPr>
        <w:pStyle w:val="ListParagraph"/>
        <w:numPr>
          <w:ilvl w:val="1"/>
          <w:numId w:val="106"/>
        </w:numPr>
        <w:tabs>
          <w:tab w:pos="1236" w:val="left" w:leader="none"/>
        </w:tabs>
        <w:spacing w:line="208" w:lineRule="auto" w:before="240" w:after="0"/>
        <w:ind w:left="810" w:right="1155" w:firstLine="0"/>
        <w:jc w:val="left"/>
        <w:rPr>
          <w:sz w:val="24"/>
        </w:rPr>
      </w:pPr>
      <w:r>
        <w:rPr>
          <w:sz w:val="24"/>
        </w:rPr>
        <w:t>The</w:t>
      </w:r>
      <w:r>
        <w:rPr>
          <w:spacing w:val="-4"/>
          <w:sz w:val="24"/>
        </w:rPr>
        <w:t> </w:t>
      </w:r>
      <w:r>
        <w:rPr>
          <w:sz w:val="24"/>
        </w:rPr>
        <w:t>business</w:t>
      </w:r>
      <w:r>
        <w:rPr>
          <w:spacing w:val="-4"/>
          <w:sz w:val="24"/>
        </w:rPr>
        <w:t> </w:t>
      </w:r>
      <w:r>
        <w:rPr>
          <w:sz w:val="24"/>
        </w:rPr>
        <w:t>or</w:t>
      </w:r>
      <w:r>
        <w:rPr>
          <w:spacing w:val="-3"/>
          <w:sz w:val="24"/>
        </w:rPr>
        <w:t> </w:t>
      </w:r>
      <w:r>
        <w:rPr>
          <w:sz w:val="24"/>
        </w:rPr>
        <w:t>individual</w:t>
      </w:r>
      <w:r>
        <w:rPr>
          <w:spacing w:val="-4"/>
          <w:sz w:val="24"/>
        </w:rPr>
        <w:t> </w:t>
      </w:r>
      <w:r>
        <w:rPr>
          <w:sz w:val="24"/>
        </w:rPr>
        <w:t>must</w:t>
      </w:r>
      <w:r>
        <w:rPr>
          <w:spacing w:val="-3"/>
          <w:sz w:val="24"/>
        </w:rPr>
        <w:t> </w:t>
      </w:r>
      <w:r>
        <w:rPr>
          <w:sz w:val="24"/>
        </w:rPr>
        <w:t>be</w:t>
      </w:r>
      <w:r>
        <w:rPr>
          <w:spacing w:val="-4"/>
          <w:sz w:val="24"/>
        </w:rPr>
        <w:t> </w:t>
      </w:r>
      <w:r>
        <w:rPr>
          <w:sz w:val="24"/>
        </w:rPr>
        <w:t>willing</w:t>
      </w:r>
      <w:r>
        <w:rPr>
          <w:spacing w:val="-4"/>
          <w:sz w:val="24"/>
        </w:rPr>
        <w:t> </w:t>
      </w:r>
      <w:r>
        <w:rPr>
          <w:sz w:val="24"/>
        </w:rPr>
        <w:t>to</w:t>
      </w:r>
      <w:r>
        <w:rPr>
          <w:spacing w:val="-4"/>
          <w:sz w:val="24"/>
        </w:rPr>
        <w:t> </w:t>
      </w:r>
      <w:r>
        <w:rPr>
          <w:sz w:val="24"/>
        </w:rPr>
        <w:t>train</w:t>
      </w:r>
      <w:r>
        <w:rPr>
          <w:spacing w:val="-4"/>
          <w:sz w:val="24"/>
        </w:rPr>
        <w:t> </w:t>
      </w:r>
      <w:r>
        <w:rPr>
          <w:sz w:val="24"/>
        </w:rPr>
        <w:t>and</w:t>
      </w:r>
      <w:r>
        <w:rPr>
          <w:spacing w:val="-4"/>
          <w:sz w:val="24"/>
        </w:rPr>
        <w:t> </w:t>
      </w:r>
      <w:r>
        <w:rPr>
          <w:sz w:val="24"/>
        </w:rPr>
        <w:t>provide</w:t>
      </w:r>
      <w:r>
        <w:rPr>
          <w:spacing w:val="-3"/>
          <w:sz w:val="24"/>
        </w:rPr>
        <w:t> </w:t>
      </w:r>
      <w:r>
        <w:rPr>
          <w:sz w:val="24"/>
        </w:rPr>
        <w:t>experience</w:t>
      </w:r>
      <w:r>
        <w:rPr>
          <w:spacing w:val="-3"/>
          <w:sz w:val="24"/>
        </w:rPr>
        <w:t> </w:t>
      </w:r>
      <w:r>
        <w:rPr>
          <w:sz w:val="24"/>
        </w:rPr>
        <w:t>to DRS clients for specific duties, skills and occupations.</w:t>
      </w:r>
    </w:p>
    <w:p>
      <w:pPr>
        <w:pStyle w:val="ListParagraph"/>
        <w:numPr>
          <w:ilvl w:val="1"/>
          <w:numId w:val="106"/>
        </w:numPr>
        <w:tabs>
          <w:tab w:pos="1236" w:val="left" w:leader="none"/>
        </w:tabs>
        <w:spacing w:line="240" w:lineRule="auto" w:before="211" w:after="0"/>
        <w:ind w:left="1236" w:right="0" w:hanging="426"/>
        <w:jc w:val="left"/>
        <w:rPr>
          <w:sz w:val="24"/>
        </w:rPr>
      </w:pPr>
      <w:r>
        <w:rPr>
          <w:sz w:val="24"/>
        </w:rPr>
        <w:t>DRS</w:t>
      </w:r>
      <w:r>
        <w:rPr>
          <w:spacing w:val="-4"/>
          <w:sz w:val="24"/>
        </w:rPr>
        <w:t> </w:t>
      </w:r>
      <w:r>
        <w:rPr>
          <w:sz w:val="24"/>
        </w:rPr>
        <w:t>will</w:t>
      </w:r>
      <w:r>
        <w:rPr>
          <w:spacing w:val="-4"/>
          <w:sz w:val="24"/>
        </w:rPr>
        <w:t> </w:t>
      </w:r>
      <w:r>
        <w:rPr>
          <w:sz w:val="24"/>
        </w:rPr>
        <w:t>provide</w:t>
      </w:r>
      <w:r>
        <w:rPr>
          <w:spacing w:val="-3"/>
          <w:sz w:val="24"/>
        </w:rPr>
        <w:t> </w:t>
      </w:r>
      <w:r>
        <w:rPr>
          <w:sz w:val="24"/>
        </w:rPr>
        <w:t>proper</w:t>
      </w:r>
      <w:r>
        <w:rPr>
          <w:spacing w:val="-3"/>
          <w:sz w:val="24"/>
        </w:rPr>
        <w:t> </w:t>
      </w:r>
      <w:r>
        <w:rPr>
          <w:sz w:val="24"/>
        </w:rPr>
        <w:t>equipment</w:t>
      </w:r>
      <w:r>
        <w:rPr>
          <w:spacing w:val="-3"/>
          <w:sz w:val="24"/>
        </w:rPr>
        <w:t> </w:t>
      </w:r>
      <w:r>
        <w:rPr>
          <w:sz w:val="24"/>
        </w:rPr>
        <w:t>and</w:t>
      </w:r>
      <w:r>
        <w:rPr>
          <w:spacing w:val="-3"/>
          <w:sz w:val="24"/>
        </w:rPr>
        <w:t> </w:t>
      </w:r>
      <w:r>
        <w:rPr>
          <w:sz w:val="24"/>
        </w:rPr>
        <w:t>other</w:t>
      </w:r>
      <w:r>
        <w:rPr>
          <w:spacing w:val="-3"/>
          <w:sz w:val="24"/>
        </w:rPr>
        <w:t> </w:t>
      </w:r>
      <w:r>
        <w:rPr>
          <w:sz w:val="24"/>
        </w:rPr>
        <w:t>accommodations</w:t>
      </w:r>
      <w:r>
        <w:rPr>
          <w:spacing w:val="-4"/>
          <w:sz w:val="24"/>
        </w:rPr>
        <w:t> </w:t>
      </w:r>
      <w:r>
        <w:rPr>
          <w:sz w:val="24"/>
        </w:rPr>
        <w:t>as</w:t>
      </w:r>
      <w:r>
        <w:rPr>
          <w:spacing w:val="-3"/>
          <w:sz w:val="24"/>
        </w:rPr>
        <w:t> </w:t>
      </w:r>
      <w:r>
        <w:rPr>
          <w:spacing w:val="-2"/>
          <w:sz w:val="24"/>
        </w:rPr>
        <w:t>needed.</w:t>
      </w:r>
    </w:p>
    <w:p>
      <w:pPr>
        <w:pStyle w:val="ListParagraph"/>
        <w:numPr>
          <w:ilvl w:val="1"/>
          <w:numId w:val="106"/>
        </w:numPr>
        <w:tabs>
          <w:tab w:pos="1235" w:val="left" w:leader="none"/>
        </w:tabs>
        <w:spacing w:line="208" w:lineRule="auto" w:before="233" w:after="0"/>
        <w:ind w:left="809" w:right="1288" w:firstLine="0"/>
        <w:jc w:val="left"/>
        <w:rPr>
          <w:sz w:val="24"/>
        </w:rPr>
      </w:pPr>
      <w:r>
        <w:rPr>
          <w:sz w:val="24"/>
        </w:rPr>
        <w:t>The individual who actually does the training must be the employer or an employee</w:t>
      </w:r>
      <w:r>
        <w:rPr>
          <w:spacing w:val="-3"/>
          <w:sz w:val="24"/>
        </w:rPr>
        <w:t> </w:t>
      </w:r>
      <w:r>
        <w:rPr>
          <w:sz w:val="24"/>
        </w:rPr>
        <w:t>of</w:t>
      </w:r>
      <w:r>
        <w:rPr>
          <w:spacing w:val="-3"/>
          <w:sz w:val="24"/>
        </w:rPr>
        <w:t> </w:t>
      </w:r>
      <w:r>
        <w:rPr>
          <w:sz w:val="24"/>
        </w:rPr>
        <w:t>the</w:t>
      </w:r>
      <w:r>
        <w:rPr>
          <w:spacing w:val="-4"/>
          <w:sz w:val="24"/>
        </w:rPr>
        <w:t> </w:t>
      </w:r>
      <w:r>
        <w:rPr>
          <w:sz w:val="24"/>
        </w:rPr>
        <w:t>business</w:t>
      </w:r>
      <w:r>
        <w:rPr>
          <w:spacing w:val="-4"/>
          <w:sz w:val="24"/>
        </w:rPr>
        <w:t> </w:t>
      </w:r>
      <w:r>
        <w:rPr>
          <w:sz w:val="24"/>
        </w:rPr>
        <w:t>and</w:t>
      </w:r>
      <w:r>
        <w:rPr>
          <w:spacing w:val="-4"/>
          <w:sz w:val="24"/>
        </w:rPr>
        <w:t> </w:t>
      </w:r>
      <w:r>
        <w:rPr>
          <w:sz w:val="24"/>
        </w:rPr>
        <w:t>have</w:t>
      </w:r>
      <w:r>
        <w:rPr>
          <w:spacing w:val="-4"/>
          <w:sz w:val="24"/>
        </w:rPr>
        <w:t> </w:t>
      </w:r>
      <w:r>
        <w:rPr>
          <w:sz w:val="24"/>
        </w:rPr>
        <w:t>the</w:t>
      </w:r>
      <w:r>
        <w:rPr>
          <w:spacing w:val="-4"/>
          <w:sz w:val="24"/>
        </w:rPr>
        <w:t> </w:t>
      </w:r>
      <w:r>
        <w:rPr>
          <w:sz w:val="24"/>
        </w:rPr>
        <w:t>knowledge,</w:t>
      </w:r>
      <w:r>
        <w:rPr>
          <w:spacing w:val="-3"/>
          <w:sz w:val="24"/>
        </w:rPr>
        <w:t> </w:t>
      </w:r>
      <w:r>
        <w:rPr>
          <w:sz w:val="24"/>
        </w:rPr>
        <w:t>skill,</w:t>
      </w:r>
      <w:r>
        <w:rPr>
          <w:spacing w:val="-3"/>
          <w:sz w:val="24"/>
        </w:rPr>
        <w:t> </w:t>
      </w:r>
      <w:r>
        <w:rPr>
          <w:sz w:val="24"/>
        </w:rPr>
        <w:t>and</w:t>
      </w:r>
      <w:r>
        <w:rPr>
          <w:spacing w:val="-4"/>
          <w:sz w:val="24"/>
        </w:rPr>
        <w:t> </w:t>
      </w:r>
      <w:r>
        <w:rPr>
          <w:sz w:val="24"/>
        </w:rPr>
        <w:t>ability</w:t>
      </w:r>
      <w:r>
        <w:rPr>
          <w:spacing w:val="-4"/>
          <w:sz w:val="24"/>
        </w:rPr>
        <w:t> </w:t>
      </w:r>
      <w:r>
        <w:rPr>
          <w:sz w:val="24"/>
        </w:rPr>
        <w:t>to</w:t>
      </w:r>
      <w:r>
        <w:rPr>
          <w:spacing w:val="-4"/>
          <w:sz w:val="24"/>
        </w:rPr>
        <w:t> </w:t>
      </w:r>
      <w:r>
        <w:rPr>
          <w:sz w:val="24"/>
        </w:rPr>
        <w:t>train</w:t>
      </w:r>
      <w:r>
        <w:rPr>
          <w:spacing w:val="-4"/>
          <w:sz w:val="24"/>
        </w:rPr>
        <w:t> </w:t>
      </w:r>
      <w:r>
        <w:rPr>
          <w:sz w:val="24"/>
        </w:rPr>
        <w:t>the </w:t>
      </w:r>
      <w:r>
        <w:rPr>
          <w:spacing w:val="-2"/>
          <w:sz w:val="24"/>
        </w:rPr>
        <w:t>client.</w:t>
      </w:r>
    </w:p>
    <w:p>
      <w:pPr>
        <w:pStyle w:val="ListParagraph"/>
        <w:numPr>
          <w:ilvl w:val="1"/>
          <w:numId w:val="106"/>
        </w:numPr>
        <w:tabs>
          <w:tab w:pos="1235" w:val="left" w:leader="none"/>
        </w:tabs>
        <w:spacing w:line="240" w:lineRule="auto" w:before="210" w:after="0"/>
        <w:ind w:left="1235" w:right="0" w:hanging="426"/>
        <w:jc w:val="left"/>
        <w:rPr>
          <w:sz w:val="24"/>
        </w:rPr>
      </w:pPr>
      <w:r>
        <w:rPr>
          <w:sz w:val="24"/>
        </w:rPr>
        <w:t>Time</w:t>
      </w:r>
      <w:r>
        <w:rPr>
          <w:spacing w:val="-4"/>
          <w:sz w:val="24"/>
        </w:rPr>
        <w:t> </w:t>
      </w:r>
      <w:r>
        <w:rPr>
          <w:sz w:val="24"/>
        </w:rPr>
        <w:t>must</w:t>
      </w:r>
      <w:r>
        <w:rPr>
          <w:spacing w:val="-1"/>
          <w:sz w:val="24"/>
        </w:rPr>
        <w:t> </w:t>
      </w:r>
      <w:r>
        <w:rPr>
          <w:sz w:val="24"/>
        </w:rPr>
        <w:t>be</w:t>
      </w:r>
      <w:r>
        <w:rPr>
          <w:spacing w:val="-2"/>
          <w:sz w:val="24"/>
        </w:rPr>
        <w:t> </w:t>
      </w:r>
      <w:r>
        <w:rPr>
          <w:sz w:val="24"/>
        </w:rPr>
        <w:t>devoted</w:t>
      </w:r>
      <w:r>
        <w:rPr>
          <w:spacing w:val="-2"/>
          <w:sz w:val="24"/>
        </w:rPr>
        <w:t> </w:t>
      </w:r>
      <w:r>
        <w:rPr>
          <w:sz w:val="24"/>
        </w:rPr>
        <w:t>daily</w:t>
      </w:r>
      <w:r>
        <w:rPr>
          <w:spacing w:val="-2"/>
          <w:sz w:val="24"/>
        </w:rPr>
        <w:t> </w:t>
      </w:r>
      <w:r>
        <w:rPr>
          <w:sz w:val="24"/>
        </w:rPr>
        <w:t>to</w:t>
      </w:r>
      <w:r>
        <w:rPr>
          <w:spacing w:val="-2"/>
          <w:sz w:val="24"/>
        </w:rPr>
        <w:t> </w:t>
      </w:r>
      <w:r>
        <w:rPr>
          <w:sz w:val="24"/>
        </w:rPr>
        <w:t>the</w:t>
      </w:r>
      <w:r>
        <w:rPr>
          <w:spacing w:val="-2"/>
          <w:sz w:val="24"/>
        </w:rPr>
        <w:t> </w:t>
      </w:r>
      <w:r>
        <w:rPr>
          <w:sz w:val="24"/>
        </w:rPr>
        <w:t>training</w:t>
      </w:r>
      <w:r>
        <w:rPr>
          <w:spacing w:val="-2"/>
          <w:sz w:val="24"/>
        </w:rPr>
        <w:t> </w:t>
      </w:r>
      <w:r>
        <w:rPr>
          <w:sz w:val="24"/>
        </w:rPr>
        <w:t>of</w:t>
      </w:r>
      <w:r>
        <w:rPr>
          <w:spacing w:val="-1"/>
          <w:sz w:val="24"/>
        </w:rPr>
        <w:t> </w:t>
      </w:r>
      <w:r>
        <w:rPr>
          <w:sz w:val="24"/>
        </w:rPr>
        <w:t>the</w:t>
      </w:r>
      <w:r>
        <w:rPr>
          <w:spacing w:val="-2"/>
          <w:sz w:val="24"/>
        </w:rPr>
        <w:t> client.</w:t>
      </w:r>
    </w:p>
    <w:p>
      <w:pPr>
        <w:pStyle w:val="ListParagraph"/>
        <w:numPr>
          <w:ilvl w:val="1"/>
          <w:numId w:val="106"/>
        </w:numPr>
        <w:tabs>
          <w:tab w:pos="1234" w:val="left" w:leader="none"/>
        </w:tabs>
        <w:spacing w:line="240" w:lineRule="auto" w:before="204" w:after="0"/>
        <w:ind w:left="1234" w:right="0" w:hanging="425"/>
        <w:jc w:val="left"/>
        <w:rPr>
          <w:sz w:val="24"/>
        </w:rPr>
      </w:pPr>
      <w:r>
        <w:rPr>
          <w:sz w:val="24"/>
        </w:rPr>
        <w:t>It</w:t>
      </w:r>
      <w:r>
        <w:rPr>
          <w:spacing w:val="-6"/>
          <w:sz w:val="24"/>
        </w:rPr>
        <w:t> </w:t>
      </w:r>
      <w:r>
        <w:rPr>
          <w:sz w:val="24"/>
        </w:rPr>
        <w:t>is</w:t>
      </w:r>
      <w:r>
        <w:rPr>
          <w:spacing w:val="-3"/>
          <w:sz w:val="24"/>
        </w:rPr>
        <w:t> </w:t>
      </w:r>
      <w:r>
        <w:rPr>
          <w:sz w:val="24"/>
        </w:rPr>
        <w:t>expected</w:t>
      </w:r>
      <w:r>
        <w:rPr>
          <w:spacing w:val="-2"/>
          <w:sz w:val="24"/>
        </w:rPr>
        <w:t> </w:t>
      </w:r>
      <w:r>
        <w:rPr>
          <w:sz w:val="24"/>
        </w:rPr>
        <w:t>the</w:t>
      </w:r>
      <w:r>
        <w:rPr>
          <w:spacing w:val="-3"/>
          <w:sz w:val="24"/>
        </w:rPr>
        <w:t> </w:t>
      </w:r>
      <w:r>
        <w:rPr>
          <w:sz w:val="24"/>
        </w:rPr>
        <w:t>client</w:t>
      </w:r>
      <w:r>
        <w:rPr>
          <w:spacing w:val="-2"/>
          <w:sz w:val="24"/>
        </w:rPr>
        <w:t> </w:t>
      </w:r>
      <w:r>
        <w:rPr>
          <w:sz w:val="24"/>
        </w:rPr>
        <w:t>will</w:t>
      </w:r>
      <w:r>
        <w:rPr>
          <w:spacing w:val="-2"/>
          <w:sz w:val="24"/>
        </w:rPr>
        <w:t> </w:t>
      </w:r>
      <w:r>
        <w:rPr>
          <w:sz w:val="24"/>
        </w:rPr>
        <w:t>be</w:t>
      </w:r>
      <w:r>
        <w:rPr>
          <w:spacing w:val="-3"/>
          <w:sz w:val="24"/>
        </w:rPr>
        <w:t> </w:t>
      </w:r>
      <w:r>
        <w:rPr>
          <w:sz w:val="24"/>
        </w:rPr>
        <w:t>employable</w:t>
      </w:r>
      <w:r>
        <w:rPr>
          <w:spacing w:val="-2"/>
          <w:sz w:val="24"/>
        </w:rPr>
        <w:t> </w:t>
      </w:r>
      <w:r>
        <w:rPr>
          <w:sz w:val="24"/>
        </w:rPr>
        <w:t>after</w:t>
      </w:r>
      <w:r>
        <w:rPr>
          <w:spacing w:val="-2"/>
          <w:sz w:val="24"/>
        </w:rPr>
        <w:t> </w:t>
      </w:r>
      <w:r>
        <w:rPr>
          <w:sz w:val="24"/>
        </w:rPr>
        <w:t>a</w:t>
      </w:r>
      <w:r>
        <w:rPr>
          <w:spacing w:val="-3"/>
          <w:sz w:val="24"/>
        </w:rPr>
        <w:t> </w:t>
      </w:r>
      <w:r>
        <w:rPr>
          <w:sz w:val="24"/>
        </w:rPr>
        <w:t>reasonable</w:t>
      </w:r>
      <w:r>
        <w:rPr>
          <w:spacing w:val="-1"/>
          <w:sz w:val="24"/>
        </w:rPr>
        <w:t> </w:t>
      </w:r>
      <w:r>
        <w:rPr>
          <w:sz w:val="24"/>
        </w:rPr>
        <w:t>period</w:t>
      </w:r>
      <w:r>
        <w:rPr>
          <w:spacing w:val="-3"/>
          <w:sz w:val="24"/>
        </w:rPr>
        <w:t> </w:t>
      </w:r>
      <w:r>
        <w:rPr>
          <w:sz w:val="24"/>
        </w:rPr>
        <w:t>of</w:t>
      </w:r>
      <w:r>
        <w:rPr>
          <w:spacing w:val="-1"/>
          <w:sz w:val="24"/>
        </w:rPr>
        <w:t> </w:t>
      </w:r>
      <w:r>
        <w:rPr>
          <w:spacing w:val="-2"/>
          <w:sz w:val="24"/>
        </w:rPr>
        <w:t>training.</w:t>
      </w:r>
    </w:p>
    <w:p>
      <w:pPr>
        <w:pStyle w:val="ListParagraph"/>
        <w:numPr>
          <w:ilvl w:val="0"/>
          <w:numId w:val="106"/>
        </w:numPr>
        <w:tabs>
          <w:tab w:pos="772" w:val="left" w:leader="none"/>
        </w:tabs>
        <w:spacing w:line="208" w:lineRule="auto" w:before="234" w:after="0"/>
        <w:ind w:left="359" w:right="979" w:firstLine="0"/>
        <w:jc w:val="left"/>
        <w:rPr>
          <w:sz w:val="24"/>
        </w:rPr>
      </w:pPr>
      <w:r>
        <w:rPr>
          <w:sz w:val="24"/>
        </w:rPr>
        <w:t>The length of time for Work Experience needed for training will vary with the complexity</w:t>
      </w:r>
      <w:r>
        <w:rPr>
          <w:spacing w:val="-4"/>
          <w:sz w:val="24"/>
        </w:rPr>
        <w:t> </w:t>
      </w:r>
      <w:r>
        <w:rPr>
          <w:sz w:val="24"/>
        </w:rPr>
        <w:t>of</w:t>
      </w:r>
      <w:r>
        <w:rPr>
          <w:spacing w:val="-3"/>
          <w:sz w:val="24"/>
        </w:rPr>
        <w:t> </w:t>
      </w:r>
      <w:r>
        <w:rPr>
          <w:sz w:val="24"/>
        </w:rPr>
        <w:t>the</w:t>
      </w:r>
      <w:r>
        <w:rPr>
          <w:spacing w:val="-4"/>
          <w:sz w:val="24"/>
        </w:rPr>
        <w:t> </w:t>
      </w:r>
      <w:r>
        <w:rPr>
          <w:sz w:val="24"/>
        </w:rPr>
        <w:t>job</w:t>
      </w:r>
      <w:r>
        <w:rPr>
          <w:spacing w:val="-4"/>
          <w:sz w:val="24"/>
        </w:rPr>
        <w:t> </w:t>
      </w:r>
      <w:r>
        <w:rPr>
          <w:sz w:val="24"/>
        </w:rPr>
        <w:t>being</w:t>
      </w:r>
      <w:r>
        <w:rPr>
          <w:spacing w:val="-4"/>
          <w:sz w:val="24"/>
        </w:rPr>
        <w:t> </w:t>
      </w:r>
      <w:r>
        <w:rPr>
          <w:sz w:val="24"/>
        </w:rPr>
        <w:t>learned.</w:t>
      </w:r>
      <w:r>
        <w:rPr>
          <w:spacing w:val="-3"/>
          <w:sz w:val="24"/>
        </w:rPr>
        <w:t> </w:t>
      </w:r>
      <w:r>
        <w:rPr>
          <w:sz w:val="24"/>
        </w:rPr>
        <w:t>However,</w:t>
      </w:r>
      <w:r>
        <w:rPr>
          <w:spacing w:val="-3"/>
          <w:sz w:val="24"/>
        </w:rPr>
        <w:t> </w:t>
      </w:r>
      <w:r>
        <w:rPr>
          <w:sz w:val="24"/>
        </w:rPr>
        <w:t>Work</w:t>
      </w:r>
      <w:r>
        <w:rPr>
          <w:spacing w:val="-5"/>
          <w:sz w:val="24"/>
        </w:rPr>
        <w:t> </w:t>
      </w:r>
      <w:r>
        <w:rPr>
          <w:sz w:val="24"/>
        </w:rPr>
        <w:t>Experience</w:t>
      </w:r>
      <w:r>
        <w:rPr>
          <w:spacing w:val="-4"/>
          <w:sz w:val="24"/>
        </w:rPr>
        <w:t> </w:t>
      </w:r>
      <w:r>
        <w:rPr>
          <w:sz w:val="24"/>
        </w:rPr>
        <w:t>cannot</w:t>
      </w:r>
      <w:r>
        <w:rPr>
          <w:spacing w:val="-3"/>
          <w:sz w:val="24"/>
        </w:rPr>
        <w:t> </w:t>
      </w:r>
      <w:r>
        <w:rPr>
          <w:sz w:val="24"/>
        </w:rPr>
        <w:t>exceed</w:t>
      </w:r>
      <w:r>
        <w:rPr>
          <w:spacing w:val="-4"/>
          <w:sz w:val="24"/>
        </w:rPr>
        <w:t> </w:t>
      </w:r>
      <w:r>
        <w:rPr>
          <w:sz w:val="24"/>
        </w:rPr>
        <w:t>six</w:t>
      </w:r>
      <w:r>
        <w:rPr>
          <w:spacing w:val="-4"/>
          <w:sz w:val="24"/>
        </w:rPr>
        <w:t> </w:t>
      </w:r>
      <w:r>
        <w:rPr>
          <w:sz w:val="24"/>
        </w:rPr>
        <w:t>(6) </w:t>
      </w:r>
      <w:r>
        <w:rPr>
          <w:spacing w:val="-2"/>
          <w:sz w:val="24"/>
        </w:rPr>
        <w:t>months.</w:t>
      </w:r>
    </w:p>
    <w:p>
      <w:pPr>
        <w:pStyle w:val="ListParagraph"/>
        <w:numPr>
          <w:ilvl w:val="0"/>
          <w:numId w:val="106"/>
        </w:numPr>
        <w:tabs>
          <w:tab w:pos="784" w:val="left" w:leader="none"/>
        </w:tabs>
        <w:spacing w:line="208" w:lineRule="auto" w:before="239" w:after="0"/>
        <w:ind w:left="359" w:right="1155" w:firstLine="0"/>
        <w:jc w:val="left"/>
        <w:rPr>
          <w:sz w:val="24"/>
        </w:rPr>
      </w:pPr>
      <w:r>
        <w:rPr>
          <w:sz w:val="24"/>
        </w:rPr>
        <w:t>Individuals and businesses which provide Work Experience are expected to compensate WE participants according to applicable minimum wage and hour regulations</w:t>
      </w:r>
      <w:r>
        <w:rPr>
          <w:spacing w:val="-3"/>
          <w:sz w:val="24"/>
        </w:rPr>
        <w:t> </w:t>
      </w:r>
      <w:r>
        <w:rPr>
          <w:sz w:val="24"/>
        </w:rPr>
        <w:t>under</w:t>
      </w:r>
      <w:r>
        <w:rPr>
          <w:spacing w:val="-3"/>
          <w:sz w:val="24"/>
        </w:rPr>
        <w:t> </w:t>
      </w:r>
      <w:r>
        <w:rPr>
          <w:sz w:val="24"/>
        </w:rPr>
        <w:t>the</w:t>
      </w:r>
      <w:r>
        <w:rPr>
          <w:spacing w:val="-5"/>
          <w:sz w:val="24"/>
        </w:rPr>
        <w:t> </w:t>
      </w:r>
      <w:r>
        <w:rPr>
          <w:sz w:val="24"/>
        </w:rPr>
        <w:t>Fair</w:t>
      </w:r>
      <w:r>
        <w:rPr>
          <w:spacing w:val="-3"/>
          <w:sz w:val="24"/>
        </w:rPr>
        <w:t> </w:t>
      </w:r>
      <w:r>
        <w:rPr>
          <w:sz w:val="24"/>
        </w:rPr>
        <w:t>Labor</w:t>
      </w:r>
      <w:r>
        <w:rPr>
          <w:spacing w:val="-3"/>
          <w:sz w:val="24"/>
        </w:rPr>
        <w:t> </w:t>
      </w:r>
      <w:r>
        <w:rPr>
          <w:sz w:val="24"/>
        </w:rPr>
        <w:t>Standards</w:t>
      </w:r>
      <w:r>
        <w:rPr>
          <w:spacing w:val="-4"/>
          <w:sz w:val="24"/>
        </w:rPr>
        <w:t> </w:t>
      </w:r>
      <w:r>
        <w:rPr>
          <w:sz w:val="24"/>
        </w:rPr>
        <w:t>Act.</w:t>
      </w:r>
      <w:r>
        <w:rPr>
          <w:spacing w:val="-3"/>
          <w:sz w:val="24"/>
        </w:rPr>
        <w:t> </w:t>
      </w:r>
      <w:r>
        <w:rPr>
          <w:sz w:val="24"/>
        </w:rPr>
        <w:t>The</w:t>
      </w:r>
      <w:r>
        <w:rPr>
          <w:spacing w:val="-4"/>
          <w:sz w:val="24"/>
        </w:rPr>
        <w:t> </w:t>
      </w:r>
      <w:r>
        <w:rPr>
          <w:sz w:val="24"/>
        </w:rPr>
        <w:t>employer</w:t>
      </w:r>
      <w:r>
        <w:rPr>
          <w:spacing w:val="-3"/>
          <w:sz w:val="24"/>
        </w:rPr>
        <w:t> </w:t>
      </w:r>
      <w:r>
        <w:rPr>
          <w:sz w:val="24"/>
        </w:rPr>
        <w:t>must</w:t>
      </w:r>
      <w:r>
        <w:rPr>
          <w:spacing w:val="-3"/>
          <w:sz w:val="24"/>
        </w:rPr>
        <w:t> </w:t>
      </w:r>
      <w:r>
        <w:rPr>
          <w:sz w:val="24"/>
        </w:rPr>
        <w:t>pay</w:t>
      </w:r>
      <w:r>
        <w:rPr>
          <w:spacing w:val="-4"/>
          <w:sz w:val="24"/>
        </w:rPr>
        <w:t> </w:t>
      </w:r>
      <w:r>
        <w:rPr>
          <w:sz w:val="24"/>
        </w:rPr>
        <w:t>the</w:t>
      </w:r>
      <w:r>
        <w:rPr>
          <w:spacing w:val="-5"/>
          <w:sz w:val="24"/>
        </w:rPr>
        <w:t> </w:t>
      </w:r>
      <w:r>
        <w:rPr>
          <w:sz w:val="24"/>
        </w:rPr>
        <w:t>client</w:t>
      </w:r>
      <w:r>
        <w:rPr>
          <w:spacing w:val="-3"/>
          <w:sz w:val="24"/>
        </w:rPr>
        <w:t> </w:t>
      </w:r>
      <w:r>
        <w:rPr>
          <w:sz w:val="24"/>
        </w:rPr>
        <w:t>at least the applicable minimum wage.</w:t>
      </w:r>
    </w:p>
    <w:p>
      <w:pPr>
        <w:pStyle w:val="ListParagraph"/>
        <w:numPr>
          <w:ilvl w:val="0"/>
          <w:numId w:val="106"/>
        </w:numPr>
        <w:tabs>
          <w:tab w:pos="784" w:val="left" w:leader="none"/>
        </w:tabs>
        <w:spacing w:line="208" w:lineRule="auto" w:before="240" w:after="0"/>
        <w:ind w:left="359" w:right="966" w:firstLine="0"/>
        <w:jc w:val="left"/>
        <w:rPr>
          <w:sz w:val="24"/>
        </w:rPr>
      </w:pPr>
      <w:r>
        <w:rPr>
          <w:sz w:val="24"/>
        </w:rPr>
        <w:t>Work Experience payments are reimbursement for training by the employer. Reimbursement is paid to the employer who pays the client just like his or her own employees.</w:t>
      </w:r>
      <w:r>
        <w:rPr>
          <w:spacing w:val="-2"/>
          <w:sz w:val="24"/>
        </w:rPr>
        <w:t> </w:t>
      </w:r>
      <w:r>
        <w:rPr>
          <w:sz w:val="24"/>
        </w:rPr>
        <w:t>It</w:t>
      </w:r>
      <w:r>
        <w:rPr>
          <w:spacing w:val="-5"/>
          <w:sz w:val="24"/>
        </w:rPr>
        <w:t> </w:t>
      </w:r>
      <w:r>
        <w:rPr>
          <w:sz w:val="24"/>
        </w:rPr>
        <w:t>is</w:t>
      </w:r>
      <w:r>
        <w:rPr>
          <w:spacing w:val="-4"/>
          <w:sz w:val="24"/>
        </w:rPr>
        <w:t> </w:t>
      </w:r>
      <w:r>
        <w:rPr>
          <w:sz w:val="24"/>
        </w:rPr>
        <w:t>not</w:t>
      </w:r>
      <w:r>
        <w:rPr>
          <w:spacing w:val="-3"/>
          <w:sz w:val="24"/>
        </w:rPr>
        <w:t> </w:t>
      </w:r>
      <w:r>
        <w:rPr>
          <w:sz w:val="24"/>
        </w:rPr>
        <w:t>permissible</w:t>
      </w:r>
      <w:r>
        <w:rPr>
          <w:spacing w:val="-4"/>
          <w:sz w:val="24"/>
        </w:rPr>
        <w:t> </w:t>
      </w:r>
      <w:r>
        <w:rPr>
          <w:sz w:val="24"/>
        </w:rPr>
        <w:t>for</w:t>
      </w:r>
      <w:r>
        <w:rPr>
          <w:spacing w:val="-3"/>
          <w:sz w:val="24"/>
        </w:rPr>
        <w:t> </w:t>
      </w:r>
      <w:r>
        <w:rPr>
          <w:sz w:val="24"/>
        </w:rPr>
        <w:t>the</w:t>
      </w:r>
      <w:r>
        <w:rPr>
          <w:spacing w:val="-4"/>
          <w:sz w:val="24"/>
        </w:rPr>
        <w:t> </w:t>
      </w:r>
      <w:r>
        <w:rPr>
          <w:sz w:val="24"/>
        </w:rPr>
        <w:t>employer</w:t>
      </w:r>
      <w:r>
        <w:rPr>
          <w:spacing w:val="-3"/>
          <w:sz w:val="24"/>
        </w:rPr>
        <w:t> </w:t>
      </w:r>
      <w:r>
        <w:rPr>
          <w:sz w:val="24"/>
        </w:rPr>
        <w:t>to</w:t>
      </w:r>
      <w:r>
        <w:rPr>
          <w:spacing w:val="-4"/>
          <w:sz w:val="24"/>
        </w:rPr>
        <w:t> </w:t>
      </w:r>
      <w:r>
        <w:rPr>
          <w:sz w:val="24"/>
        </w:rPr>
        <w:t>endorse</w:t>
      </w:r>
      <w:r>
        <w:rPr>
          <w:spacing w:val="-4"/>
          <w:sz w:val="24"/>
        </w:rPr>
        <w:t> </w:t>
      </w:r>
      <w:r>
        <w:rPr>
          <w:sz w:val="24"/>
        </w:rPr>
        <w:t>the</w:t>
      </w:r>
      <w:r>
        <w:rPr>
          <w:spacing w:val="-4"/>
          <w:sz w:val="24"/>
        </w:rPr>
        <w:t> </w:t>
      </w:r>
      <w:r>
        <w:rPr>
          <w:sz w:val="24"/>
        </w:rPr>
        <w:t>reimbursement</w:t>
      </w:r>
      <w:r>
        <w:rPr>
          <w:spacing w:val="-3"/>
          <w:sz w:val="24"/>
        </w:rPr>
        <w:t> </w:t>
      </w:r>
      <w:r>
        <w:rPr>
          <w:sz w:val="24"/>
        </w:rPr>
        <w:t>check and give it to the client in lieu of wages.</w:t>
      </w:r>
    </w:p>
    <w:p>
      <w:pPr>
        <w:pStyle w:val="ListParagraph"/>
        <w:numPr>
          <w:ilvl w:val="0"/>
          <w:numId w:val="106"/>
        </w:numPr>
        <w:tabs>
          <w:tab w:pos="718" w:val="left" w:leader="none"/>
        </w:tabs>
        <w:spacing w:line="240" w:lineRule="auto" w:before="210" w:after="0"/>
        <w:ind w:left="718" w:right="0" w:hanging="359"/>
        <w:jc w:val="left"/>
        <w:rPr>
          <w:sz w:val="24"/>
        </w:rPr>
      </w:pPr>
      <w:r>
        <w:rPr>
          <w:sz w:val="24"/>
        </w:rPr>
        <w:t>Reimbursement</w:t>
      </w:r>
      <w:r>
        <w:rPr>
          <w:spacing w:val="-2"/>
          <w:sz w:val="24"/>
        </w:rPr>
        <w:t> </w:t>
      </w:r>
      <w:r>
        <w:rPr>
          <w:sz w:val="24"/>
        </w:rPr>
        <w:t>for</w:t>
      </w:r>
      <w:r>
        <w:rPr>
          <w:spacing w:val="-4"/>
          <w:sz w:val="24"/>
        </w:rPr>
        <w:t> </w:t>
      </w:r>
      <w:r>
        <w:rPr>
          <w:sz w:val="24"/>
        </w:rPr>
        <w:t>Work</w:t>
      </w:r>
      <w:r>
        <w:rPr>
          <w:spacing w:val="-3"/>
          <w:sz w:val="24"/>
        </w:rPr>
        <w:t> </w:t>
      </w:r>
      <w:r>
        <w:rPr>
          <w:sz w:val="24"/>
        </w:rPr>
        <w:t>Experience</w:t>
      </w:r>
      <w:r>
        <w:rPr>
          <w:spacing w:val="-3"/>
          <w:sz w:val="24"/>
        </w:rPr>
        <w:t> </w:t>
      </w:r>
      <w:r>
        <w:rPr>
          <w:sz w:val="24"/>
        </w:rPr>
        <w:t>is</w:t>
      </w:r>
      <w:r>
        <w:rPr>
          <w:spacing w:val="-3"/>
          <w:sz w:val="24"/>
        </w:rPr>
        <w:t> </w:t>
      </w:r>
      <w:r>
        <w:rPr>
          <w:sz w:val="24"/>
        </w:rPr>
        <w:t>paid</w:t>
      </w:r>
      <w:r>
        <w:rPr>
          <w:spacing w:val="-3"/>
          <w:sz w:val="24"/>
        </w:rPr>
        <w:t> </w:t>
      </w:r>
      <w:r>
        <w:rPr>
          <w:sz w:val="24"/>
        </w:rPr>
        <w:t>on</w:t>
      </w:r>
      <w:r>
        <w:rPr>
          <w:spacing w:val="-3"/>
          <w:sz w:val="24"/>
        </w:rPr>
        <w:t> </w:t>
      </w:r>
      <w:r>
        <w:rPr>
          <w:sz w:val="24"/>
        </w:rPr>
        <w:t>a</w:t>
      </w:r>
      <w:r>
        <w:rPr>
          <w:spacing w:val="-3"/>
          <w:sz w:val="24"/>
        </w:rPr>
        <w:t> </w:t>
      </w:r>
      <w:r>
        <w:rPr>
          <w:sz w:val="24"/>
        </w:rPr>
        <w:t>monthly</w:t>
      </w:r>
      <w:r>
        <w:rPr>
          <w:spacing w:val="-2"/>
          <w:sz w:val="24"/>
        </w:rPr>
        <w:t> basis.</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1"/>
        <w:ind w:left="360" w:right="0" w:firstLine="0"/>
        <w:jc w:val="left"/>
        <w:rPr>
          <w:sz w:val="22"/>
        </w:rPr>
      </w:pPr>
      <w:r>
        <w:rPr>
          <w:spacing w:val="-2"/>
          <w:sz w:val="22"/>
        </w:rPr>
        <w:t>9-11-</w:t>
      </w:r>
      <w:r>
        <w:rPr>
          <w:spacing w:val="-5"/>
          <w:sz w:val="22"/>
        </w:rPr>
        <w:t>20</w:t>
      </w:r>
      <w:r>
        <w:rPr>
          <w:sz w:val="22"/>
        </w:rPr>
        <w:tab/>
        <w:t>Permanent,</w:t>
      </w:r>
      <w:r>
        <w:rPr>
          <w:spacing w:val="-8"/>
          <w:sz w:val="22"/>
        </w:rPr>
        <w:t> </w:t>
      </w:r>
      <w:r>
        <w:rPr>
          <w:sz w:val="22"/>
        </w:rPr>
        <w:t>new</w:t>
      </w:r>
      <w:r>
        <w:rPr>
          <w:spacing w:val="-10"/>
          <w:sz w:val="22"/>
        </w:rPr>
        <w:t> </w:t>
      </w:r>
      <w:r>
        <w:rPr>
          <w:spacing w:val="-2"/>
          <w:sz w:val="22"/>
        </w:rPr>
        <w:t>rule.</w:t>
      </w:r>
    </w:p>
    <w:p>
      <w:pPr>
        <w:spacing w:after="0"/>
        <w:jc w:val="left"/>
        <w:rPr>
          <w:sz w:val="22"/>
        </w:rPr>
        <w:sectPr>
          <w:pgSz w:w="12240" w:h="15840"/>
          <w:pgMar w:top="1340" w:bottom="280" w:left="1080" w:right="720"/>
        </w:sectPr>
      </w:pPr>
    </w:p>
    <w:p>
      <w:pPr>
        <w:pStyle w:val="Heading2"/>
      </w:pPr>
      <w:bookmarkStart w:name="612:10-7-3.  Client responsibilities" w:id="120"/>
      <w:bookmarkEnd w:id="120"/>
      <w:r>
        <w:rPr>
          <w:b w:val="0"/>
        </w:rPr>
      </w:r>
      <w:r>
        <w:rPr/>
        <w:t>612:10-7-3.</w:t>
      </w:r>
      <w:r>
        <w:rPr>
          <w:spacing w:val="59"/>
        </w:rPr>
        <w:t> </w:t>
      </w:r>
      <w:r>
        <w:rPr/>
        <w:t>Client</w:t>
      </w:r>
      <w:r>
        <w:rPr>
          <w:spacing w:val="-2"/>
        </w:rPr>
        <w:t> responsibilities</w:t>
      </w:r>
    </w:p>
    <w:p>
      <w:pPr>
        <w:pStyle w:val="BodyText"/>
        <w:spacing w:line="208" w:lineRule="auto" w:before="233"/>
        <w:ind w:right="822" w:firstLine="432"/>
      </w:pPr>
      <w:r>
        <w:rPr/>
        <w:t>To make the rehabilitation effort a success, the individual and agency's staff must work together to reach chosen goals. This shared responsibility requires that the client or applicant for services accept the basic responsibilities in (1) through (13) of this Subsection.</w:t>
      </w:r>
      <w:r>
        <w:rPr>
          <w:spacing w:val="-4"/>
        </w:rPr>
        <w:t> </w:t>
      </w:r>
      <w:r>
        <w:rPr/>
        <w:t>Other</w:t>
      </w:r>
      <w:r>
        <w:rPr>
          <w:spacing w:val="-4"/>
        </w:rPr>
        <w:t> </w:t>
      </w:r>
      <w:r>
        <w:rPr/>
        <w:t>specific</w:t>
      </w:r>
      <w:r>
        <w:rPr>
          <w:spacing w:val="-5"/>
        </w:rPr>
        <w:t> </w:t>
      </w:r>
      <w:r>
        <w:rPr/>
        <w:t>client</w:t>
      </w:r>
      <w:r>
        <w:rPr>
          <w:spacing w:val="-4"/>
        </w:rPr>
        <w:t> </w:t>
      </w:r>
      <w:r>
        <w:rPr/>
        <w:t>responsibilities</w:t>
      </w:r>
      <w:r>
        <w:rPr>
          <w:spacing w:val="-5"/>
        </w:rPr>
        <w:t> </w:t>
      </w:r>
      <w:r>
        <w:rPr/>
        <w:t>are</w:t>
      </w:r>
      <w:r>
        <w:rPr>
          <w:spacing w:val="-5"/>
        </w:rPr>
        <w:t> </w:t>
      </w:r>
      <w:r>
        <w:rPr/>
        <w:t>stated</w:t>
      </w:r>
      <w:r>
        <w:rPr>
          <w:spacing w:val="-5"/>
        </w:rPr>
        <w:t> </w:t>
      </w:r>
      <w:r>
        <w:rPr/>
        <w:t>in</w:t>
      </w:r>
      <w:r>
        <w:rPr>
          <w:spacing w:val="-5"/>
        </w:rPr>
        <w:t> </w:t>
      </w:r>
      <w:r>
        <w:rPr/>
        <w:t>relevant</w:t>
      </w:r>
      <w:r>
        <w:rPr>
          <w:spacing w:val="-4"/>
        </w:rPr>
        <w:t> </w:t>
      </w:r>
      <w:r>
        <w:rPr/>
        <w:t>manual</w:t>
      </w:r>
      <w:r>
        <w:rPr>
          <w:spacing w:val="-4"/>
        </w:rPr>
        <w:t> </w:t>
      </w:r>
      <w:r>
        <w:rPr/>
        <w:t>sections. It is the counselor's responsibility to fully and appropriately inform the client of client </w:t>
      </w:r>
      <w:r>
        <w:rPr>
          <w:spacing w:val="-2"/>
        </w:rPr>
        <w:t>responsibilities.</w:t>
      </w:r>
    </w:p>
    <w:p>
      <w:pPr>
        <w:pStyle w:val="ListParagraph"/>
        <w:numPr>
          <w:ilvl w:val="0"/>
          <w:numId w:val="107"/>
        </w:numPr>
        <w:tabs>
          <w:tab w:pos="1217" w:val="left" w:leader="none"/>
        </w:tabs>
        <w:spacing w:line="208" w:lineRule="auto" w:before="239" w:after="0"/>
        <w:ind w:left="791" w:right="1108" w:firstLine="0"/>
        <w:jc w:val="left"/>
        <w:rPr>
          <w:sz w:val="24"/>
        </w:rPr>
      </w:pPr>
      <w:r>
        <w:rPr>
          <w:sz w:val="24"/>
        </w:rPr>
        <w:t>Provide</w:t>
      </w:r>
      <w:r>
        <w:rPr>
          <w:spacing w:val="-4"/>
          <w:sz w:val="24"/>
        </w:rPr>
        <w:t> </w:t>
      </w:r>
      <w:r>
        <w:rPr>
          <w:sz w:val="24"/>
        </w:rPr>
        <w:t>information</w:t>
      </w:r>
      <w:r>
        <w:rPr>
          <w:spacing w:val="-4"/>
          <w:sz w:val="24"/>
        </w:rPr>
        <w:t> </w:t>
      </w:r>
      <w:r>
        <w:rPr>
          <w:sz w:val="24"/>
        </w:rPr>
        <w:t>and</w:t>
      </w:r>
      <w:r>
        <w:rPr>
          <w:spacing w:val="-4"/>
          <w:sz w:val="24"/>
        </w:rPr>
        <w:t> </w:t>
      </w:r>
      <w:r>
        <w:rPr>
          <w:sz w:val="24"/>
        </w:rPr>
        <w:t>be</w:t>
      </w:r>
      <w:r>
        <w:rPr>
          <w:spacing w:val="-4"/>
          <w:sz w:val="24"/>
        </w:rPr>
        <w:t> </w:t>
      </w:r>
      <w:r>
        <w:rPr>
          <w:sz w:val="24"/>
        </w:rPr>
        <w:t>available</w:t>
      </w:r>
      <w:r>
        <w:rPr>
          <w:spacing w:val="-4"/>
          <w:sz w:val="24"/>
        </w:rPr>
        <w:t> </w:t>
      </w:r>
      <w:r>
        <w:rPr>
          <w:sz w:val="24"/>
        </w:rPr>
        <w:t>to</w:t>
      </w:r>
      <w:r>
        <w:rPr>
          <w:spacing w:val="-3"/>
          <w:sz w:val="24"/>
        </w:rPr>
        <w:t> </w:t>
      </w:r>
      <w:r>
        <w:rPr>
          <w:sz w:val="24"/>
        </w:rPr>
        <w:t>complete</w:t>
      </w:r>
      <w:r>
        <w:rPr>
          <w:spacing w:val="-4"/>
          <w:sz w:val="24"/>
        </w:rPr>
        <w:t> </w:t>
      </w:r>
      <w:r>
        <w:rPr>
          <w:sz w:val="24"/>
        </w:rPr>
        <w:t>the</w:t>
      </w:r>
      <w:r>
        <w:rPr>
          <w:spacing w:val="-4"/>
          <w:sz w:val="24"/>
        </w:rPr>
        <w:t> </w:t>
      </w:r>
      <w:r>
        <w:rPr>
          <w:sz w:val="24"/>
        </w:rPr>
        <w:t>assessment</w:t>
      </w:r>
      <w:r>
        <w:rPr>
          <w:spacing w:val="-3"/>
          <w:sz w:val="24"/>
        </w:rPr>
        <w:t> </w:t>
      </w:r>
      <w:r>
        <w:rPr>
          <w:sz w:val="24"/>
        </w:rPr>
        <w:t>process</w:t>
      </w:r>
      <w:r>
        <w:rPr>
          <w:spacing w:val="-4"/>
          <w:sz w:val="24"/>
        </w:rPr>
        <w:t> </w:t>
      </w:r>
      <w:r>
        <w:rPr>
          <w:sz w:val="24"/>
        </w:rPr>
        <w:t>to find out if you are eligible for services.</w:t>
      </w:r>
    </w:p>
    <w:p>
      <w:pPr>
        <w:pStyle w:val="ListParagraph"/>
        <w:numPr>
          <w:ilvl w:val="0"/>
          <w:numId w:val="107"/>
        </w:numPr>
        <w:tabs>
          <w:tab w:pos="1217" w:val="left" w:leader="none"/>
        </w:tabs>
        <w:spacing w:line="208" w:lineRule="auto" w:before="240" w:after="0"/>
        <w:ind w:left="791" w:right="949" w:firstLine="0"/>
        <w:jc w:val="left"/>
        <w:rPr>
          <w:sz w:val="24"/>
        </w:rPr>
      </w:pPr>
      <w:r>
        <w:rPr>
          <w:sz w:val="24"/>
        </w:rPr>
        <w:t>Be</w:t>
      </w:r>
      <w:r>
        <w:rPr>
          <w:spacing w:val="-4"/>
          <w:sz w:val="24"/>
        </w:rPr>
        <w:t> </w:t>
      </w:r>
      <w:r>
        <w:rPr>
          <w:sz w:val="24"/>
        </w:rPr>
        <w:t>on</w:t>
      </w:r>
      <w:r>
        <w:rPr>
          <w:spacing w:val="-5"/>
          <w:sz w:val="24"/>
        </w:rPr>
        <w:t> </w:t>
      </w:r>
      <w:r>
        <w:rPr>
          <w:sz w:val="24"/>
        </w:rPr>
        <w:t>time</w:t>
      </w:r>
      <w:r>
        <w:rPr>
          <w:spacing w:val="-4"/>
          <w:sz w:val="24"/>
        </w:rPr>
        <w:t> </w:t>
      </w:r>
      <w:r>
        <w:rPr>
          <w:sz w:val="24"/>
        </w:rPr>
        <w:t>and</w:t>
      </w:r>
      <w:r>
        <w:rPr>
          <w:spacing w:val="-4"/>
          <w:sz w:val="24"/>
        </w:rPr>
        <w:t> </w:t>
      </w:r>
      <w:r>
        <w:rPr>
          <w:sz w:val="24"/>
        </w:rPr>
        <w:t>keep</w:t>
      </w:r>
      <w:r>
        <w:rPr>
          <w:spacing w:val="-4"/>
          <w:sz w:val="24"/>
        </w:rPr>
        <w:t> </w:t>
      </w:r>
      <w:r>
        <w:rPr>
          <w:sz w:val="24"/>
        </w:rPr>
        <w:t>appointments</w:t>
      </w:r>
      <w:r>
        <w:rPr>
          <w:spacing w:val="-4"/>
          <w:sz w:val="24"/>
        </w:rPr>
        <w:t> </w:t>
      </w:r>
      <w:r>
        <w:rPr>
          <w:sz w:val="24"/>
        </w:rPr>
        <w:t>with</w:t>
      </w:r>
      <w:r>
        <w:rPr>
          <w:spacing w:val="-5"/>
          <w:sz w:val="24"/>
        </w:rPr>
        <w:t> </w:t>
      </w:r>
      <w:r>
        <w:rPr>
          <w:sz w:val="24"/>
        </w:rPr>
        <w:t>DVR/DSBVI</w:t>
      </w:r>
      <w:r>
        <w:rPr>
          <w:spacing w:val="-3"/>
          <w:sz w:val="24"/>
        </w:rPr>
        <w:t> </w:t>
      </w:r>
      <w:r>
        <w:rPr>
          <w:sz w:val="24"/>
        </w:rPr>
        <w:t>staff,</w:t>
      </w:r>
      <w:r>
        <w:rPr>
          <w:spacing w:val="-5"/>
          <w:sz w:val="24"/>
        </w:rPr>
        <w:t> </w:t>
      </w:r>
      <w:r>
        <w:rPr>
          <w:sz w:val="24"/>
        </w:rPr>
        <w:t>doctors</w:t>
      </w:r>
      <w:r>
        <w:rPr>
          <w:spacing w:val="-4"/>
          <w:sz w:val="24"/>
        </w:rPr>
        <w:t> </w:t>
      </w:r>
      <w:r>
        <w:rPr>
          <w:sz w:val="24"/>
        </w:rPr>
        <w:t>and</w:t>
      </w:r>
      <w:r>
        <w:rPr>
          <w:spacing w:val="-4"/>
          <w:sz w:val="24"/>
        </w:rPr>
        <w:t> </w:t>
      </w:r>
      <w:r>
        <w:rPr>
          <w:sz w:val="24"/>
        </w:rPr>
        <w:t>others. Call in advance or as soon as possible, if you cannot come to an appointment.</w:t>
      </w:r>
    </w:p>
    <w:p>
      <w:pPr>
        <w:pStyle w:val="ListParagraph"/>
        <w:numPr>
          <w:ilvl w:val="0"/>
          <w:numId w:val="107"/>
        </w:numPr>
        <w:tabs>
          <w:tab w:pos="1218" w:val="left" w:leader="none"/>
        </w:tabs>
        <w:spacing w:line="208" w:lineRule="auto" w:before="240" w:after="0"/>
        <w:ind w:left="792" w:right="1694" w:firstLine="0"/>
        <w:jc w:val="left"/>
        <w:rPr>
          <w:sz w:val="24"/>
        </w:rPr>
      </w:pPr>
      <w:r>
        <w:rPr>
          <w:sz w:val="24"/>
        </w:rPr>
        <w:t>Follow</w:t>
      </w:r>
      <w:r>
        <w:rPr>
          <w:spacing w:val="-4"/>
          <w:sz w:val="24"/>
        </w:rPr>
        <w:t> </w:t>
      </w:r>
      <w:r>
        <w:rPr>
          <w:sz w:val="24"/>
        </w:rPr>
        <w:t>the</w:t>
      </w:r>
      <w:r>
        <w:rPr>
          <w:spacing w:val="-4"/>
          <w:sz w:val="24"/>
        </w:rPr>
        <w:t> </w:t>
      </w:r>
      <w:r>
        <w:rPr>
          <w:sz w:val="24"/>
        </w:rPr>
        <w:t>advice</w:t>
      </w:r>
      <w:r>
        <w:rPr>
          <w:spacing w:val="-4"/>
          <w:sz w:val="24"/>
        </w:rPr>
        <w:t> </w:t>
      </w:r>
      <w:r>
        <w:rPr>
          <w:sz w:val="24"/>
        </w:rPr>
        <w:t>of</w:t>
      </w:r>
      <w:r>
        <w:rPr>
          <w:spacing w:val="-3"/>
          <w:sz w:val="24"/>
        </w:rPr>
        <w:t> </w:t>
      </w:r>
      <w:r>
        <w:rPr>
          <w:sz w:val="24"/>
        </w:rPr>
        <w:t>doctors</w:t>
      </w:r>
      <w:r>
        <w:rPr>
          <w:spacing w:val="-5"/>
          <w:sz w:val="24"/>
        </w:rPr>
        <w:t> </w:t>
      </w:r>
      <w:r>
        <w:rPr>
          <w:sz w:val="24"/>
        </w:rPr>
        <w:t>and</w:t>
      </w:r>
      <w:r>
        <w:rPr>
          <w:spacing w:val="-4"/>
          <w:sz w:val="24"/>
        </w:rPr>
        <w:t> </w:t>
      </w:r>
      <w:r>
        <w:rPr>
          <w:sz w:val="24"/>
        </w:rPr>
        <w:t>other</w:t>
      </w:r>
      <w:r>
        <w:rPr>
          <w:spacing w:val="-3"/>
          <w:sz w:val="24"/>
        </w:rPr>
        <w:t> </w:t>
      </w:r>
      <w:r>
        <w:rPr>
          <w:sz w:val="24"/>
        </w:rPr>
        <w:t>medical</w:t>
      </w:r>
      <w:r>
        <w:rPr>
          <w:spacing w:val="-4"/>
          <w:sz w:val="24"/>
        </w:rPr>
        <w:t> </w:t>
      </w:r>
      <w:r>
        <w:rPr>
          <w:sz w:val="24"/>
        </w:rPr>
        <w:t>professionals</w:t>
      </w:r>
      <w:r>
        <w:rPr>
          <w:spacing w:val="-3"/>
          <w:sz w:val="24"/>
        </w:rPr>
        <w:t> </w:t>
      </w:r>
      <w:r>
        <w:rPr>
          <w:sz w:val="24"/>
        </w:rPr>
        <w:t>to</w:t>
      </w:r>
      <w:r>
        <w:rPr>
          <w:spacing w:val="-4"/>
          <w:sz w:val="24"/>
        </w:rPr>
        <w:t> </w:t>
      </w:r>
      <w:r>
        <w:rPr>
          <w:sz w:val="24"/>
        </w:rPr>
        <w:t>include compliance with all prescribed medications.</w:t>
      </w:r>
    </w:p>
    <w:p>
      <w:pPr>
        <w:pStyle w:val="ListParagraph"/>
        <w:numPr>
          <w:ilvl w:val="0"/>
          <w:numId w:val="107"/>
        </w:numPr>
        <w:tabs>
          <w:tab w:pos="1218" w:val="left" w:leader="none"/>
        </w:tabs>
        <w:spacing w:line="208" w:lineRule="auto" w:before="240" w:after="0"/>
        <w:ind w:left="792" w:right="801" w:firstLine="0"/>
        <w:jc w:val="left"/>
        <w:rPr>
          <w:sz w:val="24"/>
        </w:rPr>
      </w:pPr>
      <w:r>
        <w:rPr>
          <w:sz w:val="24"/>
        </w:rPr>
        <w:t>Participate</w:t>
      </w:r>
      <w:r>
        <w:rPr>
          <w:spacing w:val="-5"/>
          <w:sz w:val="24"/>
        </w:rPr>
        <w:t> </w:t>
      </w:r>
      <w:r>
        <w:rPr>
          <w:sz w:val="24"/>
        </w:rPr>
        <w:t>with</w:t>
      </w:r>
      <w:r>
        <w:rPr>
          <w:spacing w:val="-5"/>
          <w:sz w:val="24"/>
        </w:rPr>
        <w:t> </w:t>
      </w:r>
      <w:r>
        <w:rPr>
          <w:sz w:val="24"/>
        </w:rPr>
        <w:t>your</w:t>
      </w:r>
      <w:r>
        <w:rPr>
          <w:spacing w:val="-5"/>
          <w:sz w:val="24"/>
        </w:rPr>
        <w:t> </w:t>
      </w:r>
      <w:r>
        <w:rPr>
          <w:sz w:val="24"/>
        </w:rPr>
        <w:t>DVR/DSBVI</w:t>
      </w:r>
      <w:r>
        <w:rPr>
          <w:spacing w:val="-5"/>
          <w:sz w:val="24"/>
        </w:rPr>
        <w:t> </w:t>
      </w:r>
      <w:r>
        <w:rPr>
          <w:sz w:val="24"/>
        </w:rPr>
        <w:t>qualified</w:t>
      </w:r>
      <w:r>
        <w:rPr>
          <w:spacing w:val="-5"/>
          <w:sz w:val="24"/>
        </w:rPr>
        <w:t> </w:t>
      </w:r>
      <w:r>
        <w:rPr>
          <w:sz w:val="24"/>
        </w:rPr>
        <w:t>vocational</w:t>
      </w:r>
      <w:r>
        <w:rPr>
          <w:spacing w:val="-5"/>
          <w:sz w:val="24"/>
        </w:rPr>
        <w:t> </w:t>
      </w:r>
      <w:r>
        <w:rPr>
          <w:sz w:val="24"/>
        </w:rPr>
        <w:t>rehabilitation</w:t>
      </w:r>
      <w:r>
        <w:rPr>
          <w:spacing w:val="-5"/>
          <w:sz w:val="24"/>
        </w:rPr>
        <w:t> </w:t>
      </w:r>
      <w:r>
        <w:rPr>
          <w:sz w:val="24"/>
        </w:rPr>
        <w:t>counselor</w:t>
      </w:r>
      <w:r>
        <w:rPr>
          <w:spacing w:val="-5"/>
          <w:sz w:val="24"/>
        </w:rPr>
        <w:t> </w:t>
      </w:r>
      <w:r>
        <w:rPr>
          <w:sz w:val="24"/>
        </w:rPr>
        <w:t>in developing the Individualized Plan for Employment, (IPE) including participating in assessments needed to determine your needs and strengths.</w:t>
      </w:r>
    </w:p>
    <w:p>
      <w:pPr>
        <w:pStyle w:val="ListParagraph"/>
        <w:numPr>
          <w:ilvl w:val="0"/>
          <w:numId w:val="107"/>
        </w:numPr>
        <w:tabs>
          <w:tab w:pos="1218" w:val="left" w:leader="none"/>
        </w:tabs>
        <w:spacing w:line="208" w:lineRule="auto" w:before="239" w:after="0"/>
        <w:ind w:left="792" w:right="824" w:firstLine="0"/>
        <w:jc w:val="left"/>
        <w:rPr>
          <w:sz w:val="24"/>
        </w:rPr>
      </w:pPr>
      <w:r>
        <w:rPr>
          <w:sz w:val="24"/>
        </w:rPr>
        <w:t>Provide enrollment documents to your counselor before the college or university's</w:t>
      </w:r>
      <w:r>
        <w:rPr>
          <w:spacing w:val="-3"/>
          <w:sz w:val="24"/>
        </w:rPr>
        <w:t> </w:t>
      </w:r>
      <w:r>
        <w:rPr>
          <w:sz w:val="24"/>
        </w:rPr>
        <w:t>designated</w:t>
      </w:r>
      <w:r>
        <w:rPr>
          <w:spacing w:val="-4"/>
          <w:sz w:val="24"/>
        </w:rPr>
        <w:t> </w:t>
      </w:r>
      <w:r>
        <w:rPr>
          <w:sz w:val="24"/>
        </w:rPr>
        <w:t>"Drop</w:t>
      </w:r>
      <w:r>
        <w:rPr>
          <w:spacing w:val="-4"/>
          <w:sz w:val="24"/>
        </w:rPr>
        <w:t> </w:t>
      </w:r>
      <w:r>
        <w:rPr>
          <w:sz w:val="24"/>
        </w:rPr>
        <w:t>and</w:t>
      </w:r>
      <w:r>
        <w:rPr>
          <w:spacing w:val="-4"/>
          <w:sz w:val="24"/>
        </w:rPr>
        <w:t> </w:t>
      </w:r>
      <w:r>
        <w:rPr>
          <w:sz w:val="24"/>
        </w:rPr>
        <w:t>Add"</w:t>
      </w:r>
      <w:r>
        <w:rPr>
          <w:spacing w:val="-4"/>
          <w:sz w:val="24"/>
        </w:rPr>
        <w:t> </w:t>
      </w:r>
      <w:r>
        <w:rPr>
          <w:sz w:val="24"/>
        </w:rPr>
        <w:t>deadline</w:t>
      </w:r>
      <w:r>
        <w:rPr>
          <w:spacing w:val="-4"/>
          <w:sz w:val="24"/>
        </w:rPr>
        <w:t> </w:t>
      </w:r>
      <w:r>
        <w:rPr>
          <w:sz w:val="24"/>
        </w:rPr>
        <w:t>so</w:t>
      </w:r>
      <w:r>
        <w:rPr>
          <w:spacing w:val="-4"/>
          <w:sz w:val="24"/>
        </w:rPr>
        <w:t> </w:t>
      </w:r>
      <w:r>
        <w:rPr>
          <w:sz w:val="24"/>
        </w:rPr>
        <w:t>an</w:t>
      </w:r>
      <w:r>
        <w:rPr>
          <w:spacing w:val="-4"/>
          <w:sz w:val="24"/>
        </w:rPr>
        <w:t> </w:t>
      </w:r>
      <w:r>
        <w:rPr>
          <w:sz w:val="24"/>
        </w:rPr>
        <w:t>authorization</w:t>
      </w:r>
      <w:r>
        <w:rPr>
          <w:spacing w:val="-4"/>
          <w:sz w:val="24"/>
        </w:rPr>
        <w:t> </w:t>
      </w:r>
      <w:r>
        <w:rPr>
          <w:sz w:val="24"/>
        </w:rPr>
        <w:t>can</w:t>
      </w:r>
      <w:r>
        <w:rPr>
          <w:spacing w:val="-4"/>
          <w:sz w:val="24"/>
        </w:rPr>
        <w:t> </w:t>
      </w:r>
      <w:r>
        <w:rPr>
          <w:sz w:val="24"/>
        </w:rPr>
        <w:t>be</w:t>
      </w:r>
      <w:r>
        <w:rPr>
          <w:spacing w:val="-4"/>
          <w:sz w:val="24"/>
        </w:rPr>
        <w:t> </w:t>
      </w:r>
      <w:r>
        <w:rPr>
          <w:sz w:val="24"/>
        </w:rPr>
        <w:t>issued, if your IPE includes educational and training services.</w:t>
      </w:r>
    </w:p>
    <w:p>
      <w:pPr>
        <w:pStyle w:val="ListParagraph"/>
        <w:numPr>
          <w:ilvl w:val="0"/>
          <w:numId w:val="107"/>
        </w:numPr>
        <w:tabs>
          <w:tab w:pos="1218" w:val="left" w:leader="none"/>
        </w:tabs>
        <w:spacing w:line="208" w:lineRule="auto" w:before="240" w:after="0"/>
        <w:ind w:left="792" w:right="1109" w:firstLine="0"/>
        <w:jc w:val="left"/>
        <w:rPr>
          <w:sz w:val="24"/>
        </w:rPr>
      </w:pPr>
      <w:r>
        <w:rPr>
          <w:sz w:val="24"/>
        </w:rPr>
        <w:t>Attend</w:t>
      </w:r>
      <w:r>
        <w:rPr>
          <w:spacing w:val="-5"/>
          <w:sz w:val="24"/>
        </w:rPr>
        <w:t> </w:t>
      </w:r>
      <w:r>
        <w:rPr>
          <w:sz w:val="24"/>
        </w:rPr>
        <w:t>education</w:t>
      </w:r>
      <w:r>
        <w:rPr>
          <w:spacing w:val="-3"/>
          <w:sz w:val="24"/>
        </w:rPr>
        <w:t> </w:t>
      </w:r>
      <w:r>
        <w:rPr>
          <w:sz w:val="24"/>
        </w:rPr>
        <w:t>or</w:t>
      </w:r>
      <w:r>
        <w:rPr>
          <w:spacing w:val="-3"/>
          <w:sz w:val="24"/>
        </w:rPr>
        <w:t> </w:t>
      </w:r>
      <w:r>
        <w:rPr>
          <w:sz w:val="24"/>
        </w:rPr>
        <w:t>training</w:t>
      </w:r>
      <w:r>
        <w:rPr>
          <w:spacing w:val="-4"/>
          <w:sz w:val="24"/>
        </w:rPr>
        <w:t> </w:t>
      </w:r>
      <w:r>
        <w:rPr>
          <w:sz w:val="24"/>
        </w:rPr>
        <w:t>classes</w:t>
      </w:r>
      <w:r>
        <w:rPr>
          <w:spacing w:val="-4"/>
          <w:sz w:val="24"/>
        </w:rPr>
        <w:t> </w:t>
      </w:r>
      <w:r>
        <w:rPr>
          <w:sz w:val="24"/>
        </w:rPr>
        <w:t>on</w:t>
      </w:r>
      <w:r>
        <w:rPr>
          <w:spacing w:val="-4"/>
          <w:sz w:val="24"/>
        </w:rPr>
        <w:t> </w:t>
      </w:r>
      <w:r>
        <w:rPr>
          <w:sz w:val="24"/>
        </w:rPr>
        <w:t>a</w:t>
      </w:r>
      <w:r>
        <w:rPr>
          <w:spacing w:val="-4"/>
          <w:sz w:val="24"/>
        </w:rPr>
        <w:t> </w:t>
      </w:r>
      <w:r>
        <w:rPr>
          <w:sz w:val="24"/>
        </w:rPr>
        <w:t>regular</w:t>
      </w:r>
      <w:r>
        <w:rPr>
          <w:spacing w:val="-3"/>
          <w:sz w:val="24"/>
        </w:rPr>
        <w:t> </w:t>
      </w:r>
      <w:r>
        <w:rPr>
          <w:sz w:val="24"/>
        </w:rPr>
        <w:t>basis</w:t>
      </w:r>
      <w:r>
        <w:rPr>
          <w:spacing w:val="-4"/>
          <w:sz w:val="24"/>
        </w:rPr>
        <w:t> </w:t>
      </w:r>
      <w:r>
        <w:rPr>
          <w:sz w:val="24"/>
        </w:rPr>
        <w:t>and</w:t>
      </w:r>
      <w:r>
        <w:rPr>
          <w:spacing w:val="-4"/>
          <w:sz w:val="24"/>
        </w:rPr>
        <w:t> </w:t>
      </w:r>
      <w:r>
        <w:rPr>
          <w:sz w:val="24"/>
        </w:rPr>
        <w:t>maintain</w:t>
      </w:r>
      <w:r>
        <w:rPr>
          <w:spacing w:val="-4"/>
          <w:sz w:val="24"/>
        </w:rPr>
        <w:t> </w:t>
      </w:r>
      <w:r>
        <w:rPr>
          <w:sz w:val="24"/>
        </w:rPr>
        <w:t>passing grades, if your IPE includes these services.</w:t>
      </w:r>
    </w:p>
    <w:p>
      <w:pPr>
        <w:pStyle w:val="ListParagraph"/>
        <w:numPr>
          <w:ilvl w:val="1"/>
          <w:numId w:val="107"/>
        </w:numPr>
        <w:tabs>
          <w:tab w:pos="1982" w:val="left" w:leader="none"/>
        </w:tabs>
        <w:spacing w:line="208" w:lineRule="auto" w:before="240" w:after="0"/>
        <w:ind w:left="1529" w:right="912" w:firstLine="0"/>
        <w:jc w:val="left"/>
        <w:rPr>
          <w:sz w:val="24"/>
        </w:rPr>
      </w:pPr>
      <w:r>
        <w:rPr>
          <w:sz w:val="24"/>
        </w:rPr>
        <w:t>Payment</w:t>
      </w:r>
      <w:r>
        <w:rPr>
          <w:spacing w:val="-3"/>
          <w:sz w:val="24"/>
        </w:rPr>
        <w:t> </w:t>
      </w:r>
      <w:r>
        <w:rPr>
          <w:sz w:val="24"/>
        </w:rPr>
        <w:t>of</w:t>
      </w:r>
      <w:r>
        <w:rPr>
          <w:spacing w:val="-5"/>
          <w:sz w:val="24"/>
        </w:rPr>
        <w:t> </w:t>
      </w:r>
      <w:r>
        <w:rPr>
          <w:sz w:val="24"/>
        </w:rPr>
        <w:t>training</w:t>
      </w:r>
      <w:r>
        <w:rPr>
          <w:spacing w:val="-4"/>
          <w:sz w:val="24"/>
        </w:rPr>
        <w:t> </w:t>
      </w:r>
      <w:r>
        <w:rPr>
          <w:sz w:val="24"/>
        </w:rPr>
        <w:t>services</w:t>
      </w:r>
      <w:r>
        <w:rPr>
          <w:spacing w:val="-4"/>
          <w:sz w:val="24"/>
        </w:rPr>
        <w:t> </w:t>
      </w:r>
      <w:r>
        <w:rPr>
          <w:sz w:val="24"/>
        </w:rPr>
        <w:t>based</w:t>
      </w:r>
      <w:r>
        <w:rPr>
          <w:spacing w:val="-4"/>
          <w:sz w:val="24"/>
        </w:rPr>
        <w:t> </w:t>
      </w:r>
      <w:r>
        <w:rPr>
          <w:sz w:val="24"/>
        </w:rPr>
        <w:t>on</w:t>
      </w:r>
      <w:r>
        <w:rPr>
          <w:spacing w:val="-4"/>
          <w:sz w:val="24"/>
        </w:rPr>
        <w:t> </w:t>
      </w:r>
      <w:r>
        <w:rPr>
          <w:sz w:val="24"/>
        </w:rPr>
        <w:t>client's</w:t>
      </w:r>
      <w:r>
        <w:rPr>
          <w:spacing w:val="-4"/>
          <w:sz w:val="24"/>
        </w:rPr>
        <w:t> </w:t>
      </w:r>
      <w:r>
        <w:rPr>
          <w:sz w:val="24"/>
        </w:rPr>
        <w:t>financial</w:t>
      </w:r>
      <w:r>
        <w:rPr>
          <w:spacing w:val="-4"/>
          <w:sz w:val="24"/>
        </w:rPr>
        <w:t> </w:t>
      </w:r>
      <w:r>
        <w:rPr>
          <w:sz w:val="24"/>
        </w:rPr>
        <w:t>need</w:t>
      </w:r>
      <w:r>
        <w:rPr>
          <w:spacing w:val="-4"/>
          <w:sz w:val="24"/>
        </w:rPr>
        <w:t> </w:t>
      </w:r>
      <w:r>
        <w:rPr>
          <w:sz w:val="24"/>
        </w:rPr>
        <w:t>will</w:t>
      </w:r>
      <w:r>
        <w:rPr>
          <w:spacing w:val="-4"/>
          <w:sz w:val="24"/>
        </w:rPr>
        <w:t> </w:t>
      </w:r>
      <w:r>
        <w:rPr>
          <w:sz w:val="24"/>
        </w:rPr>
        <w:t>not</w:t>
      </w:r>
      <w:r>
        <w:rPr>
          <w:spacing w:val="-3"/>
          <w:sz w:val="24"/>
        </w:rPr>
        <w:t> </w:t>
      </w:r>
      <w:r>
        <w:rPr>
          <w:sz w:val="24"/>
        </w:rPr>
        <w:t>be provided if the client's grades fall below 1.8 overall GPA.</w:t>
      </w:r>
    </w:p>
    <w:p>
      <w:pPr>
        <w:pStyle w:val="ListParagraph"/>
        <w:numPr>
          <w:ilvl w:val="1"/>
          <w:numId w:val="107"/>
        </w:numPr>
        <w:tabs>
          <w:tab w:pos="1982" w:val="left" w:leader="none"/>
        </w:tabs>
        <w:spacing w:line="208" w:lineRule="auto" w:before="240" w:after="0"/>
        <w:ind w:left="1529" w:right="913" w:firstLine="0"/>
        <w:jc w:val="left"/>
        <w:rPr>
          <w:sz w:val="24"/>
        </w:rPr>
      </w:pPr>
      <w:r>
        <w:rPr>
          <w:sz w:val="24"/>
        </w:rPr>
        <w:t>Training services may be paid for a client having an overall GPA between 1.8 and 1.9 for the first semester that grades fall below 2.0 overall GPA.</w:t>
      </w:r>
      <w:r>
        <w:rPr>
          <w:spacing w:val="-3"/>
          <w:sz w:val="24"/>
        </w:rPr>
        <w:t> </w:t>
      </w:r>
      <w:r>
        <w:rPr>
          <w:sz w:val="24"/>
        </w:rPr>
        <w:t>Subsequent</w:t>
      </w:r>
      <w:r>
        <w:rPr>
          <w:spacing w:val="-3"/>
          <w:sz w:val="24"/>
        </w:rPr>
        <w:t> </w:t>
      </w:r>
      <w:r>
        <w:rPr>
          <w:sz w:val="24"/>
        </w:rPr>
        <w:t>enrollments</w:t>
      </w:r>
      <w:r>
        <w:rPr>
          <w:spacing w:val="-4"/>
          <w:sz w:val="24"/>
        </w:rPr>
        <w:t> </w:t>
      </w:r>
      <w:r>
        <w:rPr>
          <w:sz w:val="24"/>
        </w:rPr>
        <w:t>can</w:t>
      </w:r>
      <w:r>
        <w:rPr>
          <w:spacing w:val="-4"/>
          <w:sz w:val="24"/>
        </w:rPr>
        <w:t> </w:t>
      </w:r>
      <w:r>
        <w:rPr>
          <w:sz w:val="24"/>
        </w:rPr>
        <w:t>only</w:t>
      </w:r>
      <w:r>
        <w:rPr>
          <w:spacing w:val="-4"/>
          <w:sz w:val="24"/>
        </w:rPr>
        <w:t> </w:t>
      </w:r>
      <w:r>
        <w:rPr>
          <w:sz w:val="24"/>
        </w:rPr>
        <w:t>be</w:t>
      </w:r>
      <w:r>
        <w:rPr>
          <w:spacing w:val="-4"/>
          <w:sz w:val="24"/>
        </w:rPr>
        <w:t> </w:t>
      </w:r>
      <w:r>
        <w:rPr>
          <w:sz w:val="24"/>
        </w:rPr>
        <w:t>paid</w:t>
      </w:r>
      <w:r>
        <w:rPr>
          <w:spacing w:val="-4"/>
          <w:sz w:val="24"/>
        </w:rPr>
        <w:t> </w:t>
      </w:r>
      <w:r>
        <w:rPr>
          <w:sz w:val="24"/>
        </w:rPr>
        <w:t>if</w:t>
      </w:r>
      <w:r>
        <w:rPr>
          <w:spacing w:val="-3"/>
          <w:sz w:val="24"/>
        </w:rPr>
        <w:t> </w:t>
      </w:r>
      <w:r>
        <w:rPr>
          <w:sz w:val="24"/>
        </w:rPr>
        <w:t>the</w:t>
      </w:r>
      <w:r>
        <w:rPr>
          <w:spacing w:val="-4"/>
          <w:sz w:val="24"/>
        </w:rPr>
        <w:t> </w:t>
      </w:r>
      <w:r>
        <w:rPr>
          <w:sz w:val="24"/>
        </w:rPr>
        <w:t>student's</w:t>
      </w:r>
      <w:r>
        <w:rPr>
          <w:spacing w:val="-4"/>
          <w:sz w:val="24"/>
        </w:rPr>
        <w:t> </w:t>
      </w:r>
      <w:r>
        <w:rPr>
          <w:sz w:val="24"/>
        </w:rPr>
        <w:t>overall</w:t>
      </w:r>
      <w:r>
        <w:rPr>
          <w:spacing w:val="-4"/>
          <w:sz w:val="24"/>
        </w:rPr>
        <w:t> </w:t>
      </w:r>
      <w:r>
        <w:rPr>
          <w:sz w:val="24"/>
        </w:rPr>
        <w:t>GPA shows progress.</w:t>
      </w:r>
    </w:p>
    <w:p>
      <w:pPr>
        <w:pStyle w:val="ListParagraph"/>
        <w:numPr>
          <w:ilvl w:val="0"/>
          <w:numId w:val="107"/>
        </w:numPr>
        <w:tabs>
          <w:tab w:pos="1217" w:val="left" w:leader="none"/>
        </w:tabs>
        <w:spacing w:line="208" w:lineRule="auto" w:before="239" w:after="0"/>
        <w:ind w:left="791" w:right="933" w:firstLine="0"/>
        <w:jc w:val="left"/>
        <w:rPr>
          <w:sz w:val="24"/>
        </w:rPr>
      </w:pPr>
      <w:r>
        <w:rPr>
          <w:sz w:val="24"/>
        </w:rPr>
        <w:t>Review</w:t>
      </w:r>
      <w:r>
        <w:rPr>
          <w:spacing w:val="-4"/>
          <w:sz w:val="24"/>
        </w:rPr>
        <w:t> </w:t>
      </w:r>
      <w:r>
        <w:rPr>
          <w:sz w:val="24"/>
        </w:rPr>
        <w:t>your</w:t>
      </w:r>
      <w:r>
        <w:rPr>
          <w:spacing w:val="-3"/>
          <w:sz w:val="24"/>
        </w:rPr>
        <w:t> </w:t>
      </w:r>
      <w:r>
        <w:rPr>
          <w:sz w:val="24"/>
        </w:rPr>
        <w:t>IPE</w:t>
      </w:r>
      <w:r>
        <w:rPr>
          <w:spacing w:val="-4"/>
          <w:sz w:val="24"/>
        </w:rPr>
        <w:t> </w:t>
      </w:r>
      <w:r>
        <w:rPr>
          <w:sz w:val="24"/>
        </w:rPr>
        <w:t>with</w:t>
      </w:r>
      <w:r>
        <w:rPr>
          <w:spacing w:val="-4"/>
          <w:sz w:val="24"/>
        </w:rPr>
        <w:t> </w:t>
      </w:r>
      <w:r>
        <w:rPr>
          <w:sz w:val="24"/>
        </w:rPr>
        <w:t>your</w:t>
      </w:r>
      <w:r>
        <w:rPr>
          <w:spacing w:val="-3"/>
          <w:sz w:val="24"/>
        </w:rPr>
        <w:t> </w:t>
      </w:r>
      <w:r>
        <w:rPr>
          <w:sz w:val="24"/>
        </w:rPr>
        <w:t>qualified</w:t>
      </w:r>
      <w:r>
        <w:rPr>
          <w:spacing w:val="-4"/>
          <w:sz w:val="24"/>
        </w:rPr>
        <w:t> </w:t>
      </w:r>
      <w:r>
        <w:rPr>
          <w:sz w:val="24"/>
        </w:rPr>
        <w:t>vocational</w:t>
      </w:r>
      <w:r>
        <w:rPr>
          <w:spacing w:val="-4"/>
          <w:sz w:val="24"/>
        </w:rPr>
        <w:t> </w:t>
      </w:r>
      <w:r>
        <w:rPr>
          <w:sz w:val="24"/>
        </w:rPr>
        <w:t>rehabilitation</w:t>
      </w:r>
      <w:r>
        <w:rPr>
          <w:spacing w:val="-4"/>
          <w:sz w:val="24"/>
        </w:rPr>
        <w:t> </w:t>
      </w:r>
      <w:r>
        <w:rPr>
          <w:sz w:val="24"/>
        </w:rPr>
        <w:t>counselor</w:t>
      </w:r>
      <w:r>
        <w:rPr>
          <w:spacing w:val="-3"/>
          <w:sz w:val="24"/>
        </w:rPr>
        <w:t> </w:t>
      </w:r>
      <w:r>
        <w:rPr>
          <w:sz w:val="24"/>
        </w:rPr>
        <w:t>at</w:t>
      </w:r>
      <w:r>
        <w:rPr>
          <w:spacing w:val="-3"/>
          <w:sz w:val="24"/>
        </w:rPr>
        <w:t> </w:t>
      </w:r>
      <w:r>
        <w:rPr>
          <w:sz w:val="24"/>
        </w:rPr>
        <w:t>least once a year and participate in making revisions to the plan when needed.</w:t>
      </w:r>
    </w:p>
    <w:p>
      <w:pPr>
        <w:pStyle w:val="ListParagraph"/>
        <w:numPr>
          <w:ilvl w:val="0"/>
          <w:numId w:val="107"/>
        </w:numPr>
        <w:tabs>
          <w:tab w:pos="1216" w:val="left" w:leader="none"/>
        </w:tabs>
        <w:spacing w:line="240" w:lineRule="auto" w:before="211" w:after="0"/>
        <w:ind w:left="1216" w:right="0" w:hanging="425"/>
        <w:jc w:val="left"/>
        <w:rPr>
          <w:sz w:val="24"/>
        </w:rPr>
      </w:pPr>
      <w:r>
        <w:rPr>
          <w:sz w:val="24"/>
        </w:rPr>
        <w:t>Maintain</w:t>
      </w:r>
      <w:r>
        <w:rPr>
          <w:spacing w:val="-4"/>
          <w:sz w:val="24"/>
        </w:rPr>
        <w:t> </w:t>
      </w:r>
      <w:r>
        <w:rPr>
          <w:sz w:val="24"/>
        </w:rPr>
        <w:t>satisfactory</w:t>
      </w:r>
      <w:r>
        <w:rPr>
          <w:spacing w:val="-4"/>
          <w:sz w:val="24"/>
        </w:rPr>
        <w:t> </w:t>
      </w:r>
      <w:r>
        <w:rPr>
          <w:sz w:val="24"/>
        </w:rPr>
        <w:t>progress</w:t>
      </w:r>
      <w:r>
        <w:rPr>
          <w:spacing w:val="-5"/>
          <w:sz w:val="24"/>
        </w:rPr>
        <w:t> </w:t>
      </w:r>
      <w:r>
        <w:rPr>
          <w:sz w:val="24"/>
        </w:rPr>
        <w:t>toward</w:t>
      </w:r>
      <w:r>
        <w:rPr>
          <w:spacing w:val="-4"/>
          <w:sz w:val="24"/>
        </w:rPr>
        <w:t> </w:t>
      </w:r>
      <w:r>
        <w:rPr>
          <w:sz w:val="24"/>
        </w:rPr>
        <w:t>completing</w:t>
      </w:r>
      <w:r>
        <w:rPr>
          <w:spacing w:val="-4"/>
          <w:sz w:val="24"/>
        </w:rPr>
        <w:t> </w:t>
      </w:r>
      <w:r>
        <w:rPr>
          <w:sz w:val="24"/>
        </w:rPr>
        <w:t>the</w:t>
      </w:r>
      <w:r>
        <w:rPr>
          <w:spacing w:val="-3"/>
          <w:sz w:val="24"/>
        </w:rPr>
        <w:t> </w:t>
      </w:r>
      <w:r>
        <w:rPr>
          <w:spacing w:val="-4"/>
          <w:sz w:val="24"/>
        </w:rPr>
        <w:t>IPE.</w:t>
      </w:r>
    </w:p>
    <w:p>
      <w:pPr>
        <w:pStyle w:val="ListParagraph"/>
        <w:numPr>
          <w:ilvl w:val="0"/>
          <w:numId w:val="107"/>
        </w:numPr>
        <w:tabs>
          <w:tab w:pos="1217" w:val="left" w:leader="none"/>
        </w:tabs>
        <w:spacing w:line="208" w:lineRule="auto" w:before="233" w:after="0"/>
        <w:ind w:left="791" w:right="732" w:firstLine="0"/>
        <w:jc w:val="left"/>
        <w:rPr>
          <w:sz w:val="24"/>
        </w:rPr>
      </w:pPr>
      <w:r>
        <w:rPr>
          <w:sz w:val="24"/>
        </w:rPr>
        <w:t>Abstain</w:t>
      </w:r>
      <w:r>
        <w:rPr>
          <w:spacing w:val="-4"/>
          <w:sz w:val="24"/>
        </w:rPr>
        <w:t> </w:t>
      </w:r>
      <w:r>
        <w:rPr>
          <w:sz w:val="24"/>
        </w:rPr>
        <w:t>from</w:t>
      </w:r>
      <w:r>
        <w:rPr>
          <w:spacing w:val="-5"/>
          <w:sz w:val="24"/>
        </w:rPr>
        <w:t> </w:t>
      </w:r>
      <w:r>
        <w:rPr>
          <w:sz w:val="24"/>
        </w:rPr>
        <w:t>abuse</w:t>
      </w:r>
      <w:r>
        <w:rPr>
          <w:spacing w:val="-4"/>
          <w:sz w:val="24"/>
        </w:rPr>
        <w:t> </w:t>
      </w:r>
      <w:r>
        <w:rPr>
          <w:sz w:val="24"/>
        </w:rPr>
        <w:t>of</w:t>
      </w:r>
      <w:r>
        <w:rPr>
          <w:spacing w:val="-3"/>
          <w:sz w:val="24"/>
        </w:rPr>
        <w:t> </w:t>
      </w:r>
      <w:r>
        <w:rPr>
          <w:sz w:val="24"/>
        </w:rPr>
        <w:t>drugs</w:t>
      </w:r>
      <w:r>
        <w:rPr>
          <w:spacing w:val="-5"/>
          <w:sz w:val="24"/>
        </w:rPr>
        <w:t> </w:t>
      </w:r>
      <w:r>
        <w:rPr>
          <w:sz w:val="24"/>
        </w:rPr>
        <w:t>and/or</w:t>
      </w:r>
      <w:r>
        <w:rPr>
          <w:spacing w:val="-3"/>
          <w:sz w:val="24"/>
        </w:rPr>
        <w:t> </w:t>
      </w:r>
      <w:r>
        <w:rPr>
          <w:sz w:val="24"/>
        </w:rPr>
        <w:t>alcohol.</w:t>
      </w:r>
      <w:r>
        <w:rPr>
          <w:spacing w:val="-3"/>
          <w:sz w:val="24"/>
        </w:rPr>
        <w:t> </w:t>
      </w:r>
      <w:r>
        <w:rPr>
          <w:sz w:val="24"/>
        </w:rPr>
        <w:t>Individuals</w:t>
      </w:r>
      <w:r>
        <w:rPr>
          <w:spacing w:val="-4"/>
          <w:sz w:val="24"/>
        </w:rPr>
        <w:t> </w:t>
      </w:r>
      <w:r>
        <w:rPr>
          <w:sz w:val="24"/>
        </w:rPr>
        <w:t>who</w:t>
      </w:r>
      <w:r>
        <w:rPr>
          <w:spacing w:val="-4"/>
          <w:sz w:val="24"/>
        </w:rPr>
        <w:t> </w:t>
      </w:r>
      <w:r>
        <w:rPr>
          <w:sz w:val="24"/>
        </w:rPr>
        <w:t>abuse</w:t>
      </w:r>
      <w:r>
        <w:rPr>
          <w:spacing w:val="-4"/>
          <w:sz w:val="24"/>
        </w:rPr>
        <w:t> </w:t>
      </w:r>
      <w:r>
        <w:rPr>
          <w:sz w:val="24"/>
        </w:rPr>
        <w:t>drugs</w:t>
      </w:r>
      <w:r>
        <w:rPr>
          <w:spacing w:val="-3"/>
          <w:sz w:val="24"/>
        </w:rPr>
        <w:t> </w:t>
      </w:r>
      <w:r>
        <w:rPr>
          <w:sz w:val="24"/>
        </w:rPr>
        <w:t>and/or alcohol while receiving services will be referred to the Oklahoma Department of Mental Health and Substance Abuse Services (ODMHSAS) and/or other appropriate agencies for purposes of seeking treatment. All case services will be suspended. If the client refuses or fails to cooperate with seeking treatment, or is</w:t>
      </w:r>
      <w:r>
        <w:rPr>
          <w:spacing w:val="40"/>
          <w:sz w:val="24"/>
        </w:rPr>
        <w:t> </w:t>
      </w:r>
      <w:r>
        <w:rPr>
          <w:sz w:val="24"/>
        </w:rPr>
        <w:t>not</w:t>
      </w:r>
      <w:r>
        <w:rPr>
          <w:spacing w:val="-2"/>
          <w:sz w:val="24"/>
        </w:rPr>
        <w:t> </w:t>
      </w:r>
      <w:r>
        <w:rPr>
          <w:sz w:val="24"/>
        </w:rPr>
        <w:t>available</w:t>
      </w:r>
      <w:r>
        <w:rPr>
          <w:spacing w:val="-3"/>
          <w:sz w:val="24"/>
        </w:rPr>
        <w:t> </w:t>
      </w:r>
      <w:r>
        <w:rPr>
          <w:sz w:val="24"/>
        </w:rPr>
        <w:t>to</w:t>
      </w:r>
      <w:r>
        <w:rPr>
          <w:spacing w:val="-3"/>
          <w:sz w:val="24"/>
        </w:rPr>
        <w:t> </w:t>
      </w:r>
      <w:r>
        <w:rPr>
          <w:sz w:val="24"/>
        </w:rPr>
        <w:t>pursue</w:t>
      </w:r>
      <w:r>
        <w:rPr>
          <w:spacing w:val="-3"/>
          <w:sz w:val="24"/>
        </w:rPr>
        <w:t> </w:t>
      </w:r>
      <w:r>
        <w:rPr>
          <w:sz w:val="24"/>
        </w:rPr>
        <w:t>a</w:t>
      </w:r>
      <w:r>
        <w:rPr>
          <w:spacing w:val="-3"/>
          <w:sz w:val="24"/>
        </w:rPr>
        <w:t> </w:t>
      </w:r>
      <w:r>
        <w:rPr>
          <w:sz w:val="24"/>
        </w:rPr>
        <w:t>DRS</w:t>
      </w:r>
      <w:r>
        <w:rPr>
          <w:spacing w:val="-3"/>
          <w:sz w:val="24"/>
        </w:rPr>
        <w:t> </w:t>
      </w:r>
      <w:r>
        <w:rPr>
          <w:sz w:val="24"/>
        </w:rPr>
        <w:t>program,</w:t>
      </w:r>
      <w:r>
        <w:rPr>
          <w:spacing w:val="-4"/>
          <w:sz w:val="24"/>
        </w:rPr>
        <w:t> </w:t>
      </w:r>
      <w:r>
        <w:rPr>
          <w:sz w:val="24"/>
        </w:rPr>
        <w:t>this</w:t>
      </w:r>
      <w:r>
        <w:rPr>
          <w:spacing w:val="-3"/>
          <w:sz w:val="24"/>
        </w:rPr>
        <w:t> </w:t>
      </w:r>
      <w:r>
        <w:rPr>
          <w:sz w:val="24"/>
        </w:rPr>
        <w:t>will</w:t>
      </w:r>
      <w:r>
        <w:rPr>
          <w:spacing w:val="-3"/>
          <w:sz w:val="24"/>
        </w:rPr>
        <w:t> </w:t>
      </w:r>
      <w:r>
        <w:rPr>
          <w:sz w:val="24"/>
        </w:rPr>
        <w:t>be</w:t>
      </w:r>
      <w:r>
        <w:rPr>
          <w:spacing w:val="-3"/>
          <w:sz w:val="24"/>
        </w:rPr>
        <w:t> </w:t>
      </w:r>
      <w:r>
        <w:rPr>
          <w:sz w:val="24"/>
        </w:rPr>
        <w:t>considered</w:t>
      </w:r>
      <w:r>
        <w:rPr>
          <w:spacing w:val="-3"/>
          <w:sz w:val="24"/>
        </w:rPr>
        <w:t> </w:t>
      </w:r>
      <w:r>
        <w:rPr>
          <w:sz w:val="24"/>
        </w:rPr>
        <w:t>as</w:t>
      </w:r>
      <w:r>
        <w:rPr>
          <w:spacing w:val="-3"/>
          <w:sz w:val="24"/>
        </w:rPr>
        <w:t> </w:t>
      </w:r>
      <w:r>
        <w:rPr>
          <w:sz w:val="24"/>
        </w:rPr>
        <w:t>reasonable</w:t>
      </w:r>
      <w:r>
        <w:rPr>
          <w:spacing w:val="-2"/>
          <w:sz w:val="24"/>
        </w:rPr>
        <w:t> </w:t>
      </w:r>
      <w:r>
        <w:rPr>
          <w:sz w:val="24"/>
        </w:rPr>
        <w:t>cause for case closure.</w:t>
      </w:r>
    </w:p>
    <w:p>
      <w:pPr>
        <w:pStyle w:val="ListParagraph"/>
        <w:numPr>
          <w:ilvl w:val="0"/>
          <w:numId w:val="107"/>
        </w:numPr>
        <w:tabs>
          <w:tab w:pos="1350" w:val="left" w:leader="none"/>
        </w:tabs>
        <w:spacing w:line="208" w:lineRule="auto" w:before="239" w:after="0"/>
        <w:ind w:left="791" w:right="1355" w:firstLine="0"/>
        <w:jc w:val="left"/>
        <w:rPr>
          <w:sz w:val="24"/>
        </w:rPr>
      </w:pPr>
      <w:r>
        <w:rPr>
          <w:sz w:val="24"/>
        </w:rPr>
        <w:t>Keep</w:t>
      </w:r>
      <w:r>
        <w:rPr>
          <w:spacing w:val="-5"/>
          <w:sz w:val="24"/>
        </w:rPr>
        <w:t> </w:t>
      </w:r>
      <w:r>
        <w:rPr>
          <w:sz w:val="24"/>
        </w:rPr>
        <w:t>the</w:t>
      </w:r>
      <w:r>
        <w:rPr>
          <w:spacing w:val="-4"/>
          <w:sz w:val="24"/>
        </w:rPr>
        <w:t> </w:t>
      </w:r>
      <w:r>
        <w:rPr>
          <w:sz w:val="24"/>
        </w:rPr>
        <w:t>appropriate</w:t>
      </w:r>
      <w:r>
        <w:rPr>
          <w:spacing w:val="-4"/>
          <w:sz w:val="24"/>
        </w:rPr>
        <w:t> </w:t>
      </w:r>
      <w:r>
        <w:rPr>
          <w:sz w:val="24"/>
        </w:rPr>
        <w:t>professional</w:t>
      </w:r>
      <w:r>
        <w:rPr>
          <w:spacing w:val="-4"/>
          <w:sz w:val="24"/>
        </w:rPr>
        <w:t> </w:t>
      </w:r>
      <w:r>
        <w:rPr>
          <w:sz w:val="24"/>
        </w:rPr>
        <w:t>informed</w:t>
      </w:r>
      <w:r>
        <w:rPr>
          <w:spacing w:val="-4"/>
          <w:sz w:val="24"/>
        </w:rPr>
        <w:t> </w:t>
      </w:r>
      <w:r>
        <w:rPr>
          <w:sz w:val="24"/>
        </w:rPr>
        <w:t>of</w:t>
      </w:r>
      <w:r>
        <w:rPr>
          <w:spacing w:val="-4"/>
          <w:sz w:val="24"/>
        </w:rPr>
        <w:t> </w:t>
      </w:r>
      <w:r>
        <w:rPr>
          <w:sz w:val="24"/>
        </w:rPr>
        <w:t>changes</w:t>
      </w:r>
      <w:r>
        <w:rPr>
          <w:spacing w:val="-4"/>
          <w:sz w:val="24"/>
        </w:rPr>
        <w:t> </w:t>
      </w:r>
      <w:r>
        <w:rPr>
          <w:sz w:val="24"/>
        </w:rPr>
        <w:t>in</w:t>
      </w:r>
      <w:r>
        <w:rPr>
          <w:spacing w:val="-4"/>
          <w:sz w:val="24"/>
        </w:rPr>
        <w:t> </w:t>
      </w:r>
      <w:r>
        <w:rPr>
          <w:sz w:val="24"/>
        </w:rPr>
        <w:t>the</w:t>
      </w:r>
      <w:r>
        <w:rPr>
          <w:spacing w:val="-4"/>
          <w:sz w:val="24"/>
        </w:rPr>
        <w:t> </w:t>
      </w:r>
      <w:r>
        <w:rPr>
          <w:sz w:val="24"/>
        </w:rPr>
        <w:t>individual's address, financial need, or other program-related changes.</w:t>
      </w:r>
    </w:p>
    <w:p>
      <w:pPr>
        <w:pStyle w:val="ListParagraph"/>
        <w:spacing w:after="0" w:line="208" w:lineRule="auto"/>
        <w:jc w:val="left"/>
        <w:rPr>
          <w:sz w:val="24"/>
        </w:rPr>
        <w:sectPr>
          <w:pgSz w:w="12240" w:h="15840"/>
          <w:pgMar w:top="1340" w:bottom="280" w:left="1080" w:right="720"/>
        </w:sectPr>
      </w:pPr>
    </w:p>
    <w:p>
      <w:pPr>
        <w:pStyle w:val="ListParagraph"/>
        <w:numPr>
          <w:ilvl w:val="0"/>
          <w:numId w:val="107"/>
        </w:numPr>
        <w:tabs>
          <w:tab w:pos="1350" w:val="left" w:leader="none"/>
        </w:tabs>
        <w:spacing w:line="208" w:lineRule="auto" w:before="96" w:after="0"/>
        <w:ind w:left="791" w:right="868" w:firstLine="0"/>
        <w:jc w:val="both"/>
        <w:rPr>
          <w:sz w:val="24"/>
        </w:rPr>
      </w:pPr>
      <w:r>
        <w:rPr>
          <w:sz w:val="24"/>
        </w:rPr>
        <w:t>Apply for and make appropriate use of any comparable benefits and services for</w:t>
      </w:r>
      <w:r>
        <w:rPr>
          <w:spacing w:val="-2"/>
          <w:sz w:val="24"/>
        </w:rPr>
        <w:t> </w:t>
      </w:r>
      <w:r>
        <w:rPr>
          <w:sz w:val="24"/>
        </w:rPr>
        <w:t>which</w:t>
      </w:r>
      <w:r>
        <w:rPr>
          <w:spacing w:val="-3"/>
          <w:sz w:val="24"/>
        </w:rPr>
        <w:t> </w:t>
      </w:r>
      <w:r>
        <w:rPr>
          <w:sz w:val="24"/>
        </w:rPr>
        <w:t>the</w:t>
      </w:r>
      <w:r>
        <w:rPr>
          <w:spacing w:val="-3"/>
          <w:sz w:val="24"/>
        </w:rPr>
        <w:t> </w:t>
      </w:r>
      <w:r>
        <w:rPr>
          <w:sz w:val="24"/>
        </w:rPr>
        <w:t>client</w:t>
      </w:r>
      <w:r>
        <w:rPr>
          <w:spacing w:val="-2"/>
          <w:sz w:val="24"/>
        </w:rPr>
        <w:t> </w:t>
      </w:r>
      <w:r>
        <w:rPr>
          <w:sz w:val="24"/>
        </w:rPr>
        <w:t>is</w:t>
      </w:r>
      <w:r>
        <w:rPr>
          <w:spacing w:val="-3"/>
          <w:sz w:val="24"/>
        </w:rPr>
        <w:t> </w:t>
      </w:r>
      <w:r>
        <w:rPr>
          <w:sz w:val="24"/>
        </w:rPr>
        <w:t>eligible</w:t>
      </w:r>
      <w:r>
        <w:rPr>
          <w:spacing w:val="-3"/>
          <w:sz w:val="24"/>
        </w:rPr>
        <w:t> </w:t>
      </w:r>
      <w:r>
        <w:rPr>
          <w:sz w:val="24"/>
        </w:rPr>
        <w:t>to</w:t>
      </w:r>
      <w:r>
        <w:rPr>
          <w:spacing w:val="-3"/>
          <w:sz w:val="24"/>
        </w:rPr>
        <w:t> </w:t>
      </w:r>
      <w:r>
        <w:rPr>
          <w:sz w:val="24"/>
        </w:rPr>
        <w:t>defray</w:t>
      </w:r>
      <w:r>
        <w:rPr>
          <w:spacing w:val="-3"/>
          <w:sz w:val="24"/>
        </w:rPr>
        <w:t> </w:t>
      </w:r>
      <w:r>
        <w:rPr>
          <w:sz w:val="24"/>
        </w:rPr>
        <w:t>in</w:t>
      </w:r>
      <w:r>
        <w:rPr>
          <w:spacing w:val="-3"/>
          <w:sz w:val="24"/>
        </w:rPr>
        <w:t> </w:t>
      </w:r>
      <w:r>
        <w:rPr>
          <w:sz w:val="24"/>
        </w:rPr>
        <w:t>whole</w:t>
      </w:r>
      <w:r>
        <w:rPr>
          <w:spacing w:val="-3"/>
          <w:sz w:val="24"/>
        </w:rPr>
        <w:t> </w:t>
      </w:r>
      <w:r>
        <w:rPr>
          <w:sz w:val="24"/>
        </w:rPr>
        <w:t>or</w:t>
      </w:r>
      <w:r>
        <w:rPr>
          <w:spacing w:val="-2"/>
          <w:sz w:val="24"/>
        </w:rPr>
        <w:t> </w:t>
      </w:r>
      <w:r>
        <w:rPr>
          <w:sz w:val="24"/>
        </w:rPr>
        <w:t>in</w:t>
      </w:r>
      <w:r>
        <w:rPr>
          <w:spacing w:val="-3"/>
          <w:sz w:val="24"/>
        </w:rPr>
        <w:t> </w:t>
      </w:r>
      <w:r>
        <w:rPr>
          <w:sz w:val="24"/>
        </w:rPr>
        <w:t>part</w:t>
      </w:r>
      <w:r>
        <w:rPr>
          <w:spacing w:val="-4"/>
          <w:sz w:val="24"/>
        </w:rPr>
        <w:t> </w:t>
      </w:r>
      <w:r>
        <w:rPr>
          <w:sz w:val="24"/>
        </w:rPr>
        <w:t>the</w:t>
      </w:r>
      <w:r>
        <w:rPr>
          <w:spacing w:val="-3"/>
          <w:sz w:val="24"/>
        </w:rPr>
        <w:t> </w:t>
      </w:r>
      <w:r>
        <w:rPr>
          <w:sz w:val="24"/>
        </w:rPr>
        <w:t>cost</w:t>
      </w:r>
      <w:r>
        <w:rPr>
          <w:spacing w:val="-2"/>
          <w:sz w:val="24"/>
        </w:rPr>
        <w:t> </w:t>
      </w:r>
      <w:r>
        <w:rPr>
          <w:sz w:val="24"/>
        </w:rPr>
        <w:t>of</w:t>
      </w:r>
      <w:r>
        <w:rPr>
          <w:spacing w:val="-5"/>
          <w:sz w:val="24"/>
        </w:rPr>
        <w:t> </w:t>
      </w:r>
      <w:r>
        <w:rPr>
          <w:sz w:val="24"/>
        </w:rPr>
        <w:t>services</w:t>
      </w:r>
      <w:r>
        <w:rPr>
          <w:spacing w:val="-3"/>
          <w:sz w:val="24"/>
        </w:rPr>
        <w:t> </w:t>
      </w:r>
      <w:r>
        <w:rPr>
          <w:sz w:val="24"/>
        </w:rPr>
        <w:t>in</w:t>
      </w:r>
      <w:r>
        <w:rPr>
          <w:spacing w:val="-3"/>
          <w:sz w:val="24"/>
        </w:rPr>
        <w:t> </w:t>
      </w:r>
      <w:r>
        <w:rPr>
          <w:sz w:val="24"/>
        </w:rPr>
        <w:t>the individual's IPE and provide verification of financial aid award status to counselor.</w:t>
      </w:r>
    </w:p>
    <w:p>
      <w:pPr>
        <w:pStyle w:val="ListParagraph"/>
        <w:numPr>
          <w:ilvl w:val="0"/>
          <w:numId w:val="107"/>
        </w:numPr>
        <w:tabs>
          <w:tab w:pos="1350" w:val="left" w:leader="none"/>
        </w:tabs>
        <w:spacing w:line="208" w:lineRule="auto" w:before="240" w:after="0"/>
        <w:ind w:left="791" w:right="1361" w:firstLine="0"/>
        <w:jc w:val="left"/>
        <w:rPr>
          <w:sz w:val="24"/>
        </w:rPr>
      </w:pPr>
      <w:r>
        <w:rPr>
          <w:sz w:val="24"/>
        </w:rPr>
        <w:t>Work</w:t>
      </w:r>
      <w:r>
        <w:rPr>
          <w:spacing w:val="-5"/>
          <w:sz w:val="24"/>
        </w:rPr>
        <w:t> </w:t>
      </w:r>
      <w:r>
        <w:rPr>
          <w:sz w:val="24"/>
        </w:rPr>
        <w:t>with</w:t>
      </w:r>
      <w:r>
        <w:rPr>
          <w:spacing w:val="-4"/>
          <w:sz w:val="24"/>
        </w:rPr>
        <w:t> </w:t>
      </w:r>
      <w:r>
        <w:rPr>
          <w:sz w:val="24"/>
        </w:rPr>
        <w:t>the</w:t>
      </w:r>
      <w:r>
        <w:rPr>
          <w:spacing w:val="-4"/>
          <w:sz w:val="24"/>
        </w:rPr>
        <w:t> </w:t>
      </w:r>
      <w:r>
        <w:rPr>
          <w:sz w:val="24"/>
        </w:rPr>
        <w:t>counselor</w:t>
      </w:r>
      <w:r>
        <w:rPr>
          <w:spacing w:val="-3"/>
          <w:sz w:val="24"/>
        </w:rPr>
        <w:t> </w:t>
      </w:r>
      <w:r>
        <w:rPr>
          <w:sz w:val="24"/>
        </w:rPr>
        <w:t>to</w:t>
      </w:r>
      <w:r>
        <w:rPr>
          <w:spacing w:val="-4"/>
          <w:sz w:val="24"/>
        </w:rPr>
        <w:t> </w:t>
      </w:r>
      <w:r>
        <w:rPr>
          <w:sz w:val="24"/>
        </w:rPr>
        <w:t>obtain</w:t>
      </w:r>
      <w:r>
        <w:rPr>
          <w:spacing w:val="-4"/>
          <w:sz w:val="24"/>
        </w:rPr>
        <w:t> </w:t>
      </w:r>
      <w:r>
        <w:rPr>
          <w:sz w:val="24"/>
        </w:rPr>
        <w:t>or</w:t>
      </w:r>
      <w:r>
        <w:rPr>
          <w:spacing w:val="-3"/>
          <w:sz w:val="24"/>
        </w:rPr>
        <w:t> </w:t>
      </w:r>
      <w:r>
        <w:rPr>
          <w:sz w:val="24"/>
        </w:rPr>
        <w:t>keep</w:t>
      </w:r>
      <w:r>
        <w:rPr>
          <w:spacing w:val="-4"/>
          <w:sz w:val="24"/>
        </w:rPr>
        <w:t> </w:t>
      </w:r>
      <w:r>
        <w:rPr>
          <w:sz w:val="24"/>
        </w:rPr>
        <w:t>suitable</w:t>
      </w:r>
      <w:r>
        <w:rPr>
          <w:spacing w:val="-4"/>
          <w:sz w:val="24"/>
        </w:rPr>
        <w:t> </w:t>
      </w:r>
      <w:r>
        <w:rPr>
          <w:sz w:val="24"/>
        </w:rPr>
        <w:t>competitive</w:t>
      </w:r>
      <w:r>
        <w:rPr>
          <w:spacing w:val="-4"/>
          <w:sz w:val="24"/>
        </w:rPr>
        <w:t> </w:t>
      </w:r>
      <w:r>
        <w:rPr>
          <w:sz w:val="24"/>
        </w:rPr>
        <w:t>integrated employment outcomes as services are being completed.</w:t>
      </w:r>
    </w:p>
    <w:p>
      <w:pPr>
        <w:pStyle w:val="ListParagraph"/>
        <w:numPr>
          <w:ilvl w:val="0"/>
          <w:numId w:val="107"/>
        </w:numPr>
        <w:tabs>
          <w:tab w:pos="1350" w:val="left" w:leader="none"/>
        </w:tabs>
        <w:spacing w:line="208" w:lineRule="auto" w:before="239" w:after="0"/>
        <w:ind w:left="791" w:right="828" w:firstLine="0"/>
        <w:jc w:val="left"/>
        <w:rPr>
          <w:sz w:val="24"/>
        </w:rPr>
      </w:pPr>
      <w:r>
        <w:rPr>
          <w:sz w:val="24"/>
        </w:rPr>
        <w:t>Following the achievement of a suitable employment outcome, if contacted, assist</w:t>
      </w:r>
      <w:r>
        <w:rPr>
          <w:spacing w:val="-4"/>
          <w:sz w:val="24"/>
        </w:rPr>
        <w:t> </w:t>
      </w:r>
      <w:r>
        <w:rPr>
          <w:sz w:val="24"/>
        </w:rPr>
        <w:t>your</w:t>
      </w:r>
      <w:r>
        <w:rPr>
          <w:spacing w:val="-6"/>
          <w:sz w:val="24"/>
        </w:rPr>
        <w:t> </w:t>
      </w:r>
      <w:r>
        <w:rPr>
          <w:sz w:val="24"/>
        </w:rPr>
        <w:t>counselor</w:t>
      </w:r>
      <w:r>
        <w:rPr>
          <w:spacing w:val="-4"/>
          <w:sz w:val="24"/>
        </w:rPr>
        <w:t> </w:t>
      </w:r>
      <w:r>
        <w:rPr>
          <w:sz w:val="24"/>
        </w:rPr>
        <w:t>by</w:t>
      </w:r>
      <w:r>
        <w:rPr>
          <w:spacing w:val="-5"/>
          <w:sz w:val="24"/>
        </w:rPr>
        <w:t> </w:t>
      </w:r>
      <w:r>
        <w:rPr>
          <w:sz w:val="24"/>
        </w:rPr>
        <w:t>providing</w:t>
      </w:r>
      <w:r>
        <w:rPr>
          <w:spacing w:val="-5"/>
          <w:sz w:val="24"/>
        </w:rPr>
        <w:t> </w:t>
      </w:r>
      <w:r>
        <w:rPr>
          <w:sz w:val="24"/>
        </w:rPr>
        <w:t>any</w:t>
      </w:r>
      <w:r>
        <w:rPr>
          <w:spacing w:val="-5"/>
          <w:sz w:val="24"/>
        </w:rPr>
        <w:t> </w:t>
      </w:r>
      <w:r>
        <w:rPr>
          <w:sz w:val="24"/>
        </w:rPr>
        <w:t>requested</w:t>
      </w:r>
      <w:r>
        <w:rPr>
          <w:spacing w:val="-5"/>
          <w:sz w:val="24"/>
        </w:rPr>
        <w:t> </w:t>
      </w:r>
      <w:r>
        <w:rPr>
          <w:sz w:val="24"/>
        </w:rPr>
        <w:t>employment</w:t>
      </w:r>
      <w:r>
        <w:rPr>
          <w:spacing w:val="-4"/>
          <w:sz w:val="24"/>
        </w:rPr>
        <w:t> </w:t>
      </w:r>
      <w:r>
        <w:rPr>
          <w:sz w:val="24"/>
        </w:rPr>
        <w:t>earnings</w:t>
      </w:r>
      <w:r>
        <w:rPr>
          <w:spacing w:val="-5"/>
          <w:sz w:val="24"/>
        </w:rPr>
        <w:t> </w:t>
      </w:r>
      <w:r>
        <w:rPr>
          <w:sz w:val="24"/>
        </w:rPr>
        <w:t>information to verify that you are still working. These follow up requests, when necessary, may occur up to one year after your case is closed.</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6-14-99</w:t>
      </w:r>
      <w:r>
        <w:rPr>
          <w:sz w:val="22"/>
        </w:rPr>
        <w:tab/>
        <w:t>POL Memo #99-7</w:t>
      </w:r>
    </w:p>
    <w:p>
      <w:pPr>
        <w:tabs>
          <w:tab w:pos="1439" w:val="left" w:leader="none"/>
        </w:tabs>
        <w:spacing w:before="1"/>
        <w:ind w:left="359" w:right="5831" w:firstLine="1080"/>
        <w:jc w:val="left"/>
        <w:rPr>
          <w:sz w:val="22"/>
        </w:rPr>
      </w:pPr>
      <w:r>
        <w:rPr>
          <w:sz w:val="22"/>
        </w:rPr>
        <w:t>Emergency,</w:t>
      </w:r>
      <w:r>
        <w:rPr>
          <w:spacing w:val="-10"/>
          <w:sz w:val="22"/>
        </w:rPr>
        <w:t> </w:t>
      </w:r>
      <w:r>
        <w:rPr>
          <w:sz w:val="22"/>
        </w:rPr>
        <w:t>changed</w:t>
      </w:r>
      <w:r>
        <w:rPr>
          <w:spacing w:val="-10"/>
          <w:sz w:val="22"/>
        </w:rPr>
        <w:t> </w:t>
      </w:r>
      <w:r>
        <w:rPr>
          <w:sz w:val="22"/>
        </w:rPr>
        <w:t>IRP</w:t>
      </w:r>
      <w:r>
        <w:rPr>
          <w:spacing w:val="-10"/>
          <w:sz w:val="22"/>
        </w:rPr>
        <w:t> </w:t>
      </w:r>
      <w:r>
        <w:rPr>
          <w:sz w:val="22"/>
        </w:rPr>
        <w:t>to</w:t>
      </w:r>
      <w:r>
        <w:rPr>
          <w:spacing w:val="-10"/>
          <w:sz w:val="22"/>
        </w:rPr>
        <w:t> </w:t>
      </w:r>
      <w:r>
        <w:rPr>
          <w:sz w:val="22"/>
        </w:rPr>
        <w:t>IPE </w:t>
      </w:r>
      <w:r>
        <w:rPr>
          <w:spacing w:val="-2"/>
          <w:sz w:val="22"/>
        </w:rPr>
        <w:t>7-1-99</w:t>
      </w:r>
      <w:r>
        <w:rPr>
          <w:sz w:val="22"/>
        </w:rPr>
        <w:tab/>
        <w:t>POL Memo #00-1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7-1-02</w:t>
      </w:r>
      <w:r>
        <w:rPr>
          <w:sz w:val="22"/>
        </w:rPr>
        <w:tab/>
        <w:t>POL Memo #02-02</w:t>
      </w:r>
    </w:p>
    <w:p>
      <w:pPr>
        <w:tabs>
          <w:tab w:pos="1439" w:val="left" w:leader="none"/>
        </w:tabs>
        <w:spacing w:before="0"/>
        <w:ind w:left="359" w:right="4224" w:firstLine="1080"/>
        <w:jc w:val="left"/>
        <w:rPr>
          <w:sz w:val="22"/>
        </w:rPr>
      </w:pPr>
      <w:r>
        <w:rPr>
          <w:sz w:val="22"/>
        </w:rPr>
        <w:t>Permanent,</w:t>
      </w:r>
      <w:r>
        <w:rPr>
          <w:spacing w:val="-9"/>
          <w:sz w:val="22"/>
        </w:rPr>
        <w:t> </w:t>
      </w:r>
      <w:r>
        <w:rPr>
          <w:sz w:val="22"/>
        </w:rPr>
        <w:t>clarification</w:t>
      </w:r>
      <w:r>
        <w:rPr>
          <w:spacing w:val="-11"/>
          <w:sz w:val="22"/>
        </w:rPr>
        <w:t> </w:t>
      </w:r>
      <w:r>
        <w:rPr>
          <w:sz w:val="22"/>
        </w:rPr>
        <w:t>of</w:t>
      </w:r>
      <w:r>
        <w:rPr>
          <w:spacing w:val="-10"/>
          <w:sz w:val="22"/>
        </w:rPr>
        <w:t> </w:t>
      </w:r>
      <w:r>
        <w:rPr>
          <w:sz w:val="22"/>
        </w:rPr>
        <w:t>client's</w:t>
      </w:r>
      <w:r>
        <w:rPr>
          <w:spacing w:val="-10"/>
          <w:sz w:val="22"/>
        </w:rPr>
        <w:t> </w:t>
      </w:r>
      <w:r>
        <w:rPr>
          <w:sz w:val="22"/>
        </w:rPr>
        <w:t>responsibilities </w:t>
      </w:r>
      <w:r>
        <w:rPr>
          <w:spacing w:val="-2"/>
          <w:sz w:val="22"/>
        </w:rPr>
        <w:t>7-1-05</w:t>
      </w:r>
      <w:r>
        <w:rPr>
          <w:sz w:val="22"/>
        </w:rPr>
        <w:tab/>
        <w:t>PT Memo #06-01</w:t>
      </w:r>
    </w:p>
    <w:p>
      <w:pPr>
        <w:spacing w:before="0"/>
        <w:ind w:left="1439" w:right="775" w:firstLine="0"/>
        <w:jc w:val="left"/>
        <w:rPr>
          <w:sz w:val="22"/>
        </w:rPr>
      </w:pPr>
      <w:r>
        <w:rPr>
          <w:sz w:val="22"/>
        </w:rPr>
        <w:t>Permanent,</w:t>
      </w:r>
      <w:r>
        <w:rPr>
          <w:spacing w:val="-4"/>
          <w:sz w:val="22"/>
        </w:rPr>
        <w:t> </w:t>
      </w:r>
      <w:r>
        <w:rPr>
          <w:sz w:val="22"/>
        </w:rPr>
        <w:t>clarifying</w:t>
      </w:r>
      <w:r>
        <w:rPr>
          <w:spacing w:val="-5"/>
          <w:sz w:val="22"/>
        </w:rPr>
        <w:t> </w:t>
      </w:r>
      <w:r>
        <w:rPr>
          <w:sz w:val="22"/>
        </w:rPr>
        <w:t>client's</w:t>
      </w:r>
      <w:r>
        <w:rPr>
          <w:spacing w:val="-5"/>
          <w:sz w:val="22"/>
        </w:rPr>
        <w:t> </w:t>
      </w:r>
      <w:r>
        <w:rPr>
          <w:sz w:val="22"/>
        </w:rPr>
        <w:t>responsibility</w:t>
      </w:r>
      <w:r>
        <w:rPr>
          <w:spacing w:val="-5"/>
          <w:sz w:val="22"/>
        </w:rPr>
        <w:t> </w:t>
      </w:r>
      <w:r>
        <w:rPr>
          <w:sz w:val="22"/>
        </w:rPr>
        <w:t>concerning</w:t>
      </w:r>
      <w:r>
        <w:rPr>
          <w:spacing w:val="-5"/>
          <w:sz w:val="22"/>
        </w:rPr>
        <w:t> </w:t>
      </w:r>
      <w:r>
        <w:rPr>
          <w:sz w:val="22"/>
        </w:rPr>
        <w:t>their</w:t>
      </w:r>
      <w:r>
        <w:rPr>
          <w:spacing w:val="-7"/>
          <w:sz w:val="22"/>
        </w:rPr>
        <w:t> </w:t>
      </w:r>
      <w:r>
        <w:rPr>
          <w:sz w:val="22"/>
        </w:rPr>
        <w:t>willingness</w:t>
      </w:r>
      <w:r>
        <w:rPr>
          <w:spacing w:val="-5"/>
          <w:sz w:val="22"/>
        </w:rPr>
        <w:t> </w:t>
      </w:r>
      <w:r>
        <w:rPr>
          <w:sz w:val="22"/>
        </w:rPr>
        <w:t>to</w:t>
      </w:r>
      <w:r>
        <w:rPr>
          <w:spacing w:val="-5"/>
          <w:sz w:val="22"/>
        </w:rPr>
        <w:t> </w:t>
      </w:r>
      <w:r>
        <w:rPr>
          <w:sz w:val="22"/>
        </w:rPr>
        <w:t>abstain from abuse of drugs and/or alcohol.</w:t>
      </w:r>
    </w:p>
    <w:p>
      <w:pPr>
        <w:pStyle w:val="ListParagraph"/>
        <w:numPr>
          <w:ilvl w:val="2"/>
          <w:numId w:val="108"/>
        </w:numPr>
        <w:tabs>
          <w:tab w:pos="1439" w:val="left" w:leader="none"/>
        </w:tabs>
        <w:spacing w:line="252"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#10-</w:t>
      </w:r>
      <w:r>
        <w:rPr>
          <w:spacing w:val="-5"/>
          <w:sz w:val="22"/>
        </w:rPr>
        <w:t>02</w:t>
      </w:r>
    </w:p>
    <w:p>
      <w:pPr>
        <w:spacing w:before="0"/>
        <w:ind w:left="1439" w:right="0" w:firstLine="0"/>
        <w:jc w:val="left"/>
        <w:rPr>
          <w:sz w:val="22"/>
        </w:rPr>
      </w:pPr>
      <w:r>
        <w:rPr>
          <w:sz w:val="22"/>
        </w:rPr>
        <w:t>Permanent,</w:t>
      </w:r>
      <w:r>
        <w:rPr>
          <w:spacing w:val="-9"/>
          <w:sz w:val="22"/>
        </w:rPr>
        <w:t> </w:t>
      </w:r>
      <w:r>
        <w:rPr>
          <w:sz w:val="22"/>
        </w:rPr>
        <w:t>clarification</w:t>
      </w:r>
      <w:r>
        <w:rPr>
          <w:spacing w:val="-9"/>
          <w:sz w:val="22"/>
        </w:rPr>
        <w:t> </w:t>
      </w:r>
      <w:r>
        <w:rPr>
          <w:sz w:val="22"/>
        </w:rPr>
        <w:t>and</w:t>
      </w:r>
      <w:r>
        <w:rPr>
          <w:spacing w:val="-9"/>
          <w:sz w:val="22"/>
        </w:rPr>
        <w:t> </w:t>
      </w:r>
      <w:r>
        <w:rPr>
          <w:sz w:val="22"/>
        </w:rPr>
        <w:t>easier</w:t>
      </w:r>
      <w:r>
        <w:rPr>
          <w:spacing w:val="-9"/>
          <w:sz w:val="22"/>
        </w:rPr>
        <w:t> </w:t>
      </w:r>
      <w:r>
        <w:rPr>
          <w:sz w:val="22"/>
        </w:rPr>
        <w:t>understanding</w:t>
      </w:r>
      <w:r>
        <w:rPr>
          <w:spacing w:val="-9"/>
          <w:sz w:val="22"/>
        </w:rPr>
        <w:t> </w:t>
      </w:r>
      <w:r>
        <w:rPr>
          <w:sz w:val="22"/>
        </w:rPr>
        <w:t>for</w:t>
      </w:r>
      <w:r>
        <w:rPr>
          <w:spacing w:val="-9"/>
          <w:sz w:val="22"/>
        </w:rPr>
        <w:t> </w:t>
      </w:r>
      <w:r>
        <w:rPr>
          <w:spacing w:val="-2"/>
          <w:sz w:val="22"/>
        </w:rPr>
        <w:t>clients.</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line="223" w:lineRule="exact" w:before="0"/>
        <w:ind w:left="359" w:right="0" w:firstLine="0"/>
        <w:jc w:val="left"/>
        <w:rPr>
          <w:sz w:val="22"/>
        </w:rPr>
      </w:pPr>
      <w:r>
        <w:rPr>
          <w:spacing w:val="-2"/>
          <w:sz w:val="22"/>
        </w:rPr>
        <w:t>8-11-</w:t>
      </w:r>
      <w:r>
        <w:rPr>
          <w:spacing w:val="-5"/>
          <w:sz w:val="22"/>
        </w:rPr>
        <w:t>19</w:t>
      </w:r>
      <w:r>
        <w:rPr>
          <w:sz w:val="22"/>
        </w:rPr>
        <w:tab/>
        <w:t>Updated</w:t>
      </w:r>
      <w:r>
        <w:rPr>
          <w:spacing w:val="-8"/>
          <w:sz w:val="22"/>
        </w:rPr>
        <w:t> </w:t>
      </w:r>
      <w:r>
        <w:rPr>
          <w:sz w:val="22"/>
        </w:rPr>
        <w:t>section</w:t>
      </w:r>
      <w:r>
        <w:rPr>
          <w:spacing w:val="-7"/>
          <w:sz w:val="22"/>
        </w:rPr>
        <w:t> </w:t>
      </w:r>
      <w:r>
        <w:rPr>
          <w:sz w:val="22"/>
        </w:rPr>
        <w:t>(3),</w:t>
      </w:r>
      <w:r>
        <w:rPr>
          <w:spacing w:val="-8"/>
          <w:sz w:val="22"/>
        </w:rPr>
        <w:t> </w:t>
      </w:r>
      <w:r>
        <w:rPr>
          <w:sz w:val="22"/>
        </w:rPr>
        <w:t>include</w:t>
      </w:r>
      <w:r>
        <w:rPr>
          <w:spacing w:val="-7"/>
          <w:sz w:val="22"/>
        </w:rPr>
        <w:t> </w:t>
      </w:r>
      <w:r>
        <w:rPr>
          <w:sz w:val="22"/>
        </w:rPr>
        <w:t>compliance</w:t>
      </w:r>
      <w:r>
        <w:rPr>
          <w:spacing w:val="-8"/>
          <w:sz w:val="22"/>
        </w:rPr>
        <w:t> </w:t>
      </w:r>
      <w:r>
        <w:rPr>
          <w:sz w:val="22"/>
        </w:rPr>
        <w:t>with</w:t>
      </w:r>
      <w:r>
        <w:rPr>
          <w:spacing w:val="-7"/>
          <w:sz w:val="22"/>
        </w:rPr>
        <w:t> </w:t>
      </w:r>
      <w:r>
        <w:rPr>
          <w:sz w:val="22"/>
        </w:rPr>
        <w:t>all</w:t>
      </w:r>
      <w:r>
        <w:rPr>
          <w:spacing w:val="-8"/>
          <w:sz w:val="22"/>
        </w:rPr>
        <w:t> </w:t>
      </w:r>
      <w:r>
        <w:rPr>
          <w:sz w:val="22"/>
        </w:rPr>
        <w:t>prescribed</w:t>
      </w:r>
      <w:r>
        <w:rPr>
          <w:spacing w:val="-9"/>
          <w:sz w:val="22"/>
        </w:rPr>
        <w:t> </w:t>
      </w:r>
      <w:r>
        <w:rPr>
          <w:spacing w:val="-2"/>
          <w:sz w:val="22"/>
        </w:rPr>
        <w:t>medications.</w:t>
      </w:r>
    </w:p>
    <w:p>
      <w:pPr>
        <w:pStyle w:val="BodyText"/>
        <w:tabs>
          <w:tab w:pos="1439" w:val="left" w:leader="none"/>
        </w:tabs>
        <w:spacing w:line="208" w:lineRule="auto" w:before="13"/>
        <w:ind w:left="1440" w:right="1048" w:hanging="1080"/>
      </w:pPr>
      <w:r>
        <w:rPr>
          <w:spacing w:val="-2"/>
        </w:rPr>
        <w:t>9-11-20</w:t>
      </w:r>
      <w:r>
        <w:rPr/>
        <w:tab/>
        <w:t>Division</w:t>
      </w:r>
      <w:r>
        <w:rPr>
          <w:spacing w:val="-4"/>
        </w:rPr>
        <w:t> </w:t>
      </w:r>
      <w:r>
        <w:rPr/>
        <w:t>name</w:t>
      </w:r>
      <w:r>
        <w:rPr>
          <w:spacing w:val="-4"/>
        </w:rPr>
        <w:t> </w:t>
      </w:r>
      <w:r>
        <w:rPr/>
        <w:t>change</w:t>
      </w:r>
      <w:r>
        <w:rPr>
          <w:spacing w:val="-3"/>
        </w:rPr>
        <w:t> </w:t>
      </w:r>
      <w:r>
        <w:rPr/>
        <w:t>of</w:t>
      </w:r>
      <w:r>
        <w:rPr>
          <w:spacing w:val="-3"/>
        </w:rPr>
        <w:t> </w:t>
      </w:r>
      <w:r>
        <w:rPr/>
        <w:t>Visual</w:t>
      </w:r>
      <w:r>
        <w:rPr>
          <w:spacing w:val="-4"/>
        </w:rPr>
        <w:t> </w:t>
      </w:r>
      <w:r>
        <w:rPr/>
        <w:t>Services</w:t>
      </w:r>
      <w:r>
        <w:rPr>
          <w:spacing w:val="-4"/>
        </w:rPr>
        <w:t> </w:t>
      </w:r>
      <w:r>
        <w:rPr/>
        <w:t>(VS)</w:t>
      </w:r>
      <w:r>
        <w:rPr>
          <w:spacing w:val="-3"/>
        </w:rPr>
        <w:t> </w:t>
      </w:r>
      <w:r>
        <w:rPr/>
        <w:t>to</w:t>
      </w:r>
      <w:r>
        <w:rPr>
          <w:spacing w:val="-4"/>
        </w:rPr>
        <w:t> </w:t>
      </w:r>
      <w:r>
        <w:rPr/>
        <w:t>Services</w:t>
      </w:r>
      <w:r>
        <w:rPr>
          <w:spacing w:val="-4"/>
        </w:rPr>
        <w:t> </w:t>
      </w:r>
      <w:r>
        <w:rPr/>
        <w:t>for</w:t>
      </w:r>
      <w:r>
        <w:rPr>
          <w:spacing w:val="-5"/>
        </w:rPr>
        <w:t> </w:t>
      </w:r>
      <w:r>
        <w:rPr/>
        <w:t>the</w:t>
      </w:r>
      <w:r>
        <w:rPr>
          <w:spacing w:val="-4"/>
        </w:rPr>
        <w:t> </w:t>
      </w:r>
      <w:r>
        <w:rPr/>
        <w:t>Blind</w:t>
      </w:r>
      <w:r>
        <w:rPr>
          <w:spacing w:val="-4"/>
        </w:rPr>
        <w:t> </w:t>
      </w:r>
      <w:r>
        <w:rPr/>
        <w:t>and Visually Impaired (SBVI).</w:t>
      </w:r>
    </w:p>
    <w:p>
      <w:pPr>
        <w:pStyle w:val="BodyText"/>
        <w:tabs>
          <w:tab w:pos="1439" w:val="left" w:leader="none"/>
        </w:tabs>
        <w:spacing w:line="229" w:lineRule="exact" w:before="0"/>
      </w:pPr>
      <w:r>
        <w:rPr>
          <w:spacing w:val="-2"/>
        </w:rPr>
        <w:t>8-26-</w:t>
      </w:r>
      <w:r>
        <w:rPr>
          <w:spacing w:val="-5"/>
        </w:rPr>
        <w:t>21</w:t>
      </w:r>
      <w:r>
        <w:rPr/>
        <w:tab/>
        <w:t>Revised</w:t>
      </w:r>
      <w:r>
        <w:rPr>
          <w:spacing w:val="-2"/>
        </w:rPr>
        <w:t> </w:t>
      </w:r>
      <w:r>
        <w:rPr/>
        <w:t>to</w:t>
      </w:r>
      <w:r>
        <w:rPr>
          <w:spacing w:val="-3"/>
        </w:rPr>
        <w:t> </w:t>
      </w:r>
      <w:r>
        <w:rPr/>
        <w:t>reflect</w:t>
      </w:r>
      <w:r>
        <w:rPr>
          <w:spacing w:val="-1"/>
        </w:rPr>
        <w:t> </w:t>
      </w:r>
      <w:r>
        <w:rPr/>
        <w:t>WIOA</w:t>
      </w:r>
      <w:r>
        <w:rPr>
          <w:spacing w:val="-2"/>
        </w:rPr>
        <w:t> language.</w:t>
      </w:r>
    </w:p>
    <w:p>
      <w:pPr>
        <w:pStyle w:val="ListParagraph"/>
        <w:numPr>
          <w:ilvl w:val="2"/>
          <w:numId w:val="109"/>
        </w:numPr>
        <w:tabs>
          <w:tab w:pos="1439" w:val="left" w:leader="none"/>
        </w:tabs>
        <w:spacing w:line="258" w:lineRule="exact" w:before="0" w:after="0"/>
        <w:ind w:left="1439" w:right="0" w:hanging="1079"/>
        <w:jc w:val="left"/>
        <w:rPr>
          <w:sz w:val="24"/>
        </w:rPr>
      </w:pPr>
      <w:r>
        <w:rPr>
          <w:sz w:val="24"/>
        </w:rPr>
        <w:t>Added</w:t>
      </w:r>
      <w:r>
        <w:rPr>
          <w:spacing w:val="-4"/>
          <w:sz w:val="24"/>
        </w:rPr>
        <w:t> </w:t>
      </w:r>
      <w:r>
        <w:rPr>
          <w:sz w:val="24"/>
        </w:rPr>
        <w:t>section</w:t>
      </w:r>
      <w:r>
        <w:rPr>
          <w:spacing w:val="-4"/>
          <w:sz w:val="24"/>
        </w:rPr>
        <w:t> </w:t>
      </w:r>
      <w:r>
        <w:rPr>
          <w:sz w:val="24"/>
        </w:rPr>
        <w:t>(13)</w:t>
      </w:r>
      <w:r>
        <w:rPr>
          <w:spacing w:val="-3"/>
          <w:sz w:val="24"/>
        </w:rPr>
        <w:t> </w:t>
      </w:r>
      <w:r>
        <w:rPr>
          <w:sz w:val="24"/>
        </w:rPr>
        <w:t>client</w:t>
      </w:r>
      <w:r>
        <w:rPr>
          <w:spacing w:val="-3"/>
          <w:sz w:val="24"/>
        </w:rPr>
        <w:t> </w:t>
      </w:r>
      <w:r>
        <w:rPr>
          <w:sz w:val="24"/>
        </w:rPr>
        <w:t>employment</w:t>
      </w:r>
      <w:r>
        <w:rPr>
          <w:spacing w:val="-3"/>
          <w:sz w:val="24"/>
        </w:rPr>
        <w:t> </w:t>
      </w:r>
      <w:r>
        <w:rPr>
          <w:sz w:val="24"/>
        </w:rPr>
        <w:t>earnings</w:t>
      </w:r>
      <w:r>
        <w:rPr>
          <w:spacing w:val="-3"/>
          <w:sz w:val="24"/>
        </w:rPr>
        <w:t> </w:t>
      </w:r>
      <w:r>
        <w:rPr>
          <w:spacing w:val="-2"/>
          <w:sz w:val="24"/>
        </w:rPr>
        <w:t>information.</w:t>
      </w:r>
    </w:p>
    <w:p>
      <w:pPr>
        <w:pStyle w:val="ListParagraph"/>
        <w:spacing w:after="0" w:line="258" w:lineRule="exact"/>
        <w:jc w:val="left"/>
        <w:rPr>
          <w:sz w:val="24"/>
        </w:rPr>
        <w:sectPr>
          <w:pgSz w:w="12240" w:h="15840"/>
          <w:pgMar w:top="1340" w:bottom="280" w:left="1080" w:right="720"/>
        </w:sectPr>
      </w:pPr>
    </w:p>
    <w:p>
      <w:pPr>
        <w:pStyle w:val="Heading1"/>
        <w:ind w:right="778"/>
      </w:pPr>
      <w:bookmarkStart w:name="PART 3.  CASE PROCESSING REQUIREMENTS" w:id="121"/>
      <w:bookmarkEnd w:id="121"/>
      <w:r>
        <w:rPr>
          <w:b w:val="0"/>
        </w:rPr>
      </w:r>
      <w:r>
        <w:rPr/>
        <w:t>PART</w:t>
      </w:r>
      <w:r>
        <w:rPr>
          <w:spacing w:val="-2"/>
        </w:rPr>
        <w:t> </w:t>
      </w:r>
      <w:r>
        <w:rPr/>
        <w:t>3.</w:t>
      </w:r>
      <w:r>
        <w:rPr>
          <w:spacing w:val="62"/>
        </w:rPr>
        <w:t> </w:t>
      </w:r>
      <w:r>
        <w:rPr/>
        <w:t>CASE</w:t>
      </w:r>
      <w:r>
        <w:rPr>
          <w:spacing w:val="-2"/>
        </w:rPr>
        <w:t> </w:t>
      </w:r>
      <w:r>
        <w:rPr/>
        <w:t>PROCESSING</w:t>
      </w:r>
      <w:r>
        <w:rPr>
          <w:spacing w:val="-2"/>
        </w:rPr>
        <w:t> REQUIREMENTS</w:t>
      </w:r>
    </w:p>
    <w:p>
      <w:pPr>
        <w:pStyle w:val="BodyText"/>
        <w:spacing w:before="204"/>
      </w:pPr>
      <w:r>
        <w:rPr>
          <w:spacing w:val="-2"/>
        </w:rPr>
        <w:t>Section</w:t>
      </w:r>
    </w:p>
    <w:p>
      <w:pPr>
        <w:pStyle w:val="BodyText"/>
        <w:tabs>
          <w:tab w:pos="2069" w:val="left" w:leader="none"/>
        </w:tabs>
        <w:spacing w:before="204"/>
      </w:pPr>
      <w:r>
        <w:rPr>
          <w:spacing w:val="-2"/>
        </w:rPr>
        <w:t>612:10-7-</w:t>
      </w:r>
      <w:r>
        <w:rPr>
          <w:spacing w:val="-5"/>
        </w:rPr>
        <w:t>20.</w:t>
      </w:r>
      <w:r>
        <w:rPr/>
        <w:tab/>
        <w:t>Case</w:t>
      </w:r>
      <w:r>
        <w:rPr>
          <w:spacing w:val="-4"/>
        </w:rPr>
        <w:t> </w:t>
      </w:r>
      <w:r>
        <w:rPr>
          <w:spacing w:val="-2"/>
        </w:rPr>
        <w:t>recording</w:t>
      </w:r>
    </w:p>
    <w:p>
      <w:pPr>
        <w:pStyle w:val="BodyText"/>
        <w:spacing w:before="204"/>
      </w:pPr>
      <w:r>
        <w:rPr/>
        <w:t>612:10-7-22.1.</w:t>
      </w:r>
      <w:r>
        <w:rPr>
          <w:spacing w:val="72"/>
        </w:rPr>
        <w:t> </w:t>
      </w:r>
      <w:r>
        <w:rPr/>
        <w:t>Processing</w:t>
      </w:r>
      <w:r>
        <w:rPr>
          <w:spacing w:val="-3"/>
        </w:rPr>
        <w:t> </w:t>
      </w:r>
      <w:r>
        <w:rPr/>
        <w:t>referrals</w:t>
      </w:r>
      <w:r>
        <w:rPr>
          <w:spacing w:val="-4"/>
        </w:rPr>
        <w:t> </w:t>
      </w:r>
      <w:r>
        <w:rPr/>
        <w:t>and</w:t>
      </w:r>
      <w:r>
        <w:rPr>
          <w:spacing w:val="-4"/>
        </w:rPr>
        <w:t> </w:t>
      </w:r>
      <w:r>
        <w:rPr>
          <w:spacing w:val="-2"/>
        </w:rPr>
        <w:t>applications</w:t>
      </w:r>
    </w:p>
    <w:p>
      <w:pPr>
        <w:pStyle w:val="BodyText"/>
        <w:spacing w:line="417" w:lineRule="auto" w:before="204"/>
        <w:ind w:right="1471"/>
      </w:pPr>
      <w:r>
        <w:rPr/>
        <w:t>612:10-7-24.1.</w:t>
      </w:r>
      <w:r>
        <w:rPr>
          <w:spacing w:val="71"/>
        </w:rPr>
        <w:t> </w:t>
      </w:r>
      <w:r>
        <w:rPr/>
        <w:t>Basic</w:t>
      </w:r>
      <w:r>
        <w:rPr>
          <w:spacing w:val="-5"/>
        </w:rPr>
        <w:t> </w:t>
      </w:r>
      <w:r>
        <w:rPr/>
        <w:t>eligibility</w:t>
      </w:r>
      <w:r>
        <w:rPr>
          <w:spacing w:val="-5"/>
        </w:rPr>
        <w:t> </w:t>
      </w:r>
      <w:r>
        <w:rPr/>
        <w:t>requirements</w:t>
      </w:r>
      <w:r>
        <w:rPr>
          <w:spacing w:val="-5"/>
        </w:rPr>
        <w:t> </w:t>
      </w:r>
      <w:r>
        <w:rPr/>
        <w:t>for</w:t>
      </w:r>
      <w:r>
        <w:rPr>
          <w:spacing w:val="-6"/>
        </w:rPr>
        <w:t> </w:t>
      </w:r>
      <w:r>
        <w:rPr/>
        <w:t>vocational</w:t>
      </w:r>
      <w:r>
        <w:rPr>
          <w:spacing w:val="-5"/>
        </w:rPr>
        <w:t> </w:t>
      </w:r>
      <w:r>
        <w:rPr/>
        <w:t>rehabilitation</w:t>
      </w:r>
      <w:r>
        <w:rPr>
          <w:spacing w:val="-5"/>
        </w:rPr>
        <w:t> </w:t>
      </w:r>
      <w:r>
        <w:rPr/>
        <w:t>services 612:10-7-24.2.</w:t>
      </w:r>
      <w:r>
        <w:rPr>
          <w:spacing w:val="40"/>
        </w:rPr>
        <w:t> </w:t>
      </w:r>
      <w:r>
        <w:rPr/>
        <w:t>Assessment for determining eligibility</w:t>
      </w:r>
    </w:p>
    <w:p>
      <w:pPr>
        <w:pStyle w:val="BodyText"/>
        <w:spacing w:line="417" w:lineRule="auto" w:before="0"/>
        <w:ind w:right="5994"/>
      </w:pPr>
      <w:r>
        <w:rPr/>
        <w:t>612:10-7-24.3.</w:t>
      </w:r>
      <w:r>
        <w:rPr>
          <w:spacing w:val="40"/>
        </w:rPr>
        <w:t> </w:t>
      </w:r>
      <w:r>
        <w:rPr/>
        <w:t>Trial</w:t>
      </w:r>
      <w:r>
        <w:rPr>
          <w:spacing w:val="-6"/>
        </w:rPr>
        <w:t> </w:t>
      </w:r>
      <w:r>
        <w:rPr/>
        <w:t>Work</w:t>
      </w:r>
      <w:r>
        <w:rPr>
          <w:spacing w:val="-6"/>
        </w:rPr>
        <w:t> </w:t>
      </w:r>
      <w:r>
        <w:rPr/>
        <w:t>Experience 612:10-7-24.4.</w:t>
      </w:r>
      <w:r>
        <w:rPr>
          <w:spacing w:val="69"/>
        </w:rPr>
        <w:t> </w:t>
      </w:r>
      <w:r>
        <w:rPr/>
        <w:t>Ineligibility</w:t>
      </w:r>
      <w:r>
        <w:rPr>
          <w:spacing w:val="-5"/>
        </w:rPr>
        <w:t> </w:t>
      </w:r>
      <w:r>
        <w:rPr>
          <w:spacing w:val="-2"/>
        </w:rPr>
        <w:t>procedures</w:t>
      </w:r>
    </w:p>
    <w:p>
      <w:pPr>
        <w:pStyle w:val="BodyText"/>
        <w:spacing w:line="276" w:lineRule="exact" w:before="0"/>
      </w:pPr>
      <w:r>
        <w:rPr/>
        <w:t>612:10-7-24.5.</w:t>
      </w:r>
      <w:r>
        <w:rPr>
          <w:spacing w:val="75"/>
        </w:rPr>
        <w:t> </w:t>
      </w:r>
      <w:r>
        <w:rPr/>
        <w:t>Closed</w:t>
      </w:r>
      <w:r>
        <w:rPr>
          <w:spacing w:val="-3"/>
        </w:rPr>
        <w:t> </w:t>
      </w:r>
      <w:r>
        <w:rPr/>
        <w:t>–</w:t>
      </w:r>
      <w:r>
        <w:rPr>
          <w:spacing w:val="-3"/>
        </w:rPr>
        <w:t> </w:t>
      </w:r>
      <w:r>
        <w:rPr/>
        <w:t>Not</w:t>
      </w:r>
      <w:r>
        <w:rPr>
          <w:spacing w:val="-1"/>
        </w:rPr>
        <w:t> </w:t>
      </w:r>
      <w:r>
        <w:rPr/>
        <w:t>Accepted</w:t>
      </w:r>
      <w:r>
        <w:rPr>
          <w:spacing w:val="-3"/>
        </w:rPr>
        <w:t> </w:t>
      </w:r>
      <w:r>
        <w:rPr/>
        <w:t>for</w:t>
      </w:r>
      <w:r>
        <w:rPr>
          <w:spacing w:val="-1"/>
        </w:rPr>
        <w:t> </w:t>
      </w:r>
      <w:r>
        <w:rPr>
          <w:spacing w:val="-2"/>
        </w:rPr>
        <w:t>Services</w:t>
      </w:r>
    </w:p>
    <w:p>
      <w:pPr>
        <w:pStyle w:val="BodyText"/>
        <w:tabs>
          <w:tab w:pos="2069" w:val="left" w:leader="none"/>
        </w:tabs>
        <w:spacing w:line="417" w:lineRule="auto" w:before="203"/>
        <w:ind w:right="1230"/>
      </w:pPr>
      <w:r>
        <w:rPr/>
        <w:t>612:10-7-25.1.</w:t>
      </w:r>
      <w:r>
        <w:rPr>
          <w:spacing w:val="73"/>
        </w:rPr>
        <w:t> </w:t>
      </w:r>
      <w:r>
        <w:rPr/>
        <w:t>Ability</w:t>
      </w:r>
      <w:r>
        <w:rPr>
          <w:spacing w:val="-4"/>
        </w:rPr>
        <w:t> </w:t>
      </w:r>
      <w:r>
        <w:rPr/>
        <w:t>to</w:t>
      </w:r>
      <w:r>
        <w:rPr>
          <w:spacing w:val="-4"/>
        </w:rPr>
        <w:t> </w:t>
      </w:r>
      <w:r>
        <w:rPr/>
        <w:t>serve</w:t>
      </w:r>
      <w:r>
        <w:rPr>
          <w:spacing w:val="-4"/>
        </w:rPr>
        <w:t> </w:t>
      </w:r>
      <w:r>
        <w:rPr/>
        <w:t>all</w:t>
      </w:r>
      <w:r>
        <w:rPr>
          <w:spacing w:val="-4"/>
        </w:rPr>
        <w:t> </w:t>
      </w:r>
      <w:r>
        <w:rPr/>
        <w:t>eligible</w:t>
      </w:r>
      <w:r>
        <w:rPr>
          <w:spacing w:val="-4"/>
        </w:rPr>
        <w:t> </w:t>
      </w:r>
      <w:r>
        <w:rPr/>
        <w:t>individuals;</w:t>
      </w:r>
      <w:r>
        <w:rPr>
          <w:spacing w:val="-3"/>
        </w:rPr>
        <w:t> </w:t>
      </w:r>
      <w:r>
        <w:rPr/>
        <w:t>order</w:t>
      </w:r>
      <w:r>
        <w:rPr>
          <w:spacing w:val="-3"/>
        </w:rPr>
        <w:t> </w:t>
      </w:r>
      <w:r>
        <w:rPr/>
        <w:t>of</w:t>
      </w:r>
      <w:r>
        <w:rPr>
          <w:spacing w:val="-3"/>
        </w:rPr>
        <w:t> </w:t>
      </w:r>
      <w:r>
        <w:rPr/>
        <w:t>selection</w:t>
      </w:r>
      <w:r>
        <w:rPr>
          <w:spacing w:val="-4"/>
        </w:rPr>
        <w:t> </w:t>
      </w:r>
      <w:r>
        <w:rPr/>
        <w:t>for</w:t>
      </w:r>
      <w:r>
        <w:rPr>
          <w:spacing w:val="-3"/>
        </w:rPr>
        <w:t> </w:t>
      </w:r>
      <w:r>
        <w:rPr/>
        <w:t>services </w:t>
      </w:r>
      <w:r>
        <w:rPr>
          <w:spacing w:val="-2"/>
        </w:rPr>
        <w:t>612:10-7-31.</w:t>
      </w:r>
      <w:r>
        <w:rPr/>
        <w:tab/>
        <w:t>Transfer of cases</w:t>
      </w:r>
    </w:p>
    <w:p>
      <w:pPr>
        <w:spacing w:before="3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252"/>
        <w:ind w:left="1439" w:right="1967" w:hanging="1170"/>
        <w:jc w:val="left"/>
        <w:rPr>
          <w:sz w:val="22"/>
        </w:rPr>
      </w:pPr>
      <w:r>
        <w:rPr>
          <w:spacing w:val="-2"/>
          <w:sz w:val="22"/>
        </w:rPr>
        <w:t>8-26-21</w:t>
      </w:r>
      <w:r>
        <w:rPr>
          <w:sz w:val="22"/>
        </w:rPr>
        <w:tab/>
        <w:t>Revised</w:t>
      </w:r>
      <w:r>
        <w:rPr>
          <w:spacing w:val="-5"/>
          <w:sz w:val="22"/>
        </w:rPr>
        <w:t> </w:t>
      </w:r>
      <w:r>
        <w:rPr>
          <w:sz w:val="22"/>
        </w:rPr>
        <w:t>rule</w:t>
      </w:r>
      <w:r>
        <w:rPr>
          <w:spacing w:val="-6"/>
          <w:sz w:val="22"/>
        </w:rPr>
        <w:t> </w:t>
      </w:r>
      <w:r>
        <w:rPr>
          <w:sz w:val="22"/>
        </w:rPr>
        <w:t>title</w:t>
      </w:r>
      <w:r>
        <w:rPr>
          <w:spacing w:val="-5"/>
          <w:sz w:val="22"/>
        </w:rPr>
        <w:t> </w:t>
      </w:r>
      <w:r>
        <w:rPr>
          <w:sz w:val="22"/>
        </w:rPr>
        <w:t>612:10-7-22.1</w:t>
      </w:r>
      <w:r>
        <w:rPr>
          <w:spacing w:val="-5"/>
          <w:sz w:val="22"/>
        </w:rPr>
        <w:t> </w:t>
      </w:r>
      <w:r>
        <w:rPr>
          <w:sz w:val="22"/>
        </w:rPr>
        <w:t>‘Application’</w:t>
      </w:r>
      <w:r>
        <w:rPr>
          <w:spacing w:val="-5"/>
          <w:sz w:val="22"/>
        </w:rPr>
        <w:t> </w:t>
      </w:r>
      <w:r>
        <w:rPr>
          <w:sz w:val="22"/>
        </w:rPr>
        <w:t>to</w:t>
      </w:r>
      <w:r>
        <w:rPr>
          <w:spacing w:val="-6"/>
          <w:sz w:val="22"/>
        </w:rPr>
        <w:t> </w:t>
      </w:r>
      <w:r>
        <w:rPr>
          <w:sz w:val="22"/>
        </w:rPr>
        <w:t>‘Processing</w:t>
      </w:r>
      <w:r>
        <w:rPr>
          <w:spacing w:val="-6"/>
          <w:sz w:val="22"/>
        </w:rPr>
        <w:t> </w:t>
      </w:r>
      <w:r>
        <w:rPr>
          <w:sz w:val="22"/>
        </w:rPr>
        <w:t>referrals</w:t>
      </w:r>
      <w:r>
        <w:rPr>
          <w:spacing w:val="-5"/>
          <w:sz w:val="22"/>
        </w:rPr>
        <w:t> </w:t>
      </w:r>
      <w:r>
        <w:rPr>
          <w:sz w:val="22"/>
        </w:rPr>
        <w:t>and </w:t>
      </w:r>
      <w:r>
        <w:rPr>
          <w:spacing w:val="-2"/>
          <w:sz w:val="22"/>
        </w:rPr>
        <w:t>applications’.</w:t>
      </w:r>
    </w:p>
    <w:p>
      <w:pPr>
        <w:tabs>
          <w:tab w:pos="1439" w:val="left" w:leader="none"/>
        </w:tabs>
        <w:spacing w:before="1"/>
        <w:ind w:left="1439" w:right="1429" w:hanging="1170"/>
        <w:jc w:val="left"/>
        <w:rPr>
          <w:sz w:val="22"/>
        </w:rPr>
      </w:pPr>
      <w:r>
        <w:rPr>
          <w:spacing w:val="-2"/>
          <w:sz w:val="22"/>
        </w:rPr>
        <w:t>8-26-21</w:t>
      </w:r>
      <w:r>
        <w:rPr>
          <w:sz w:val="22"/>
        </w:rPr>
        <w:tab/>
        <w:t>Revised</w:t>
      </w:r>
      <w:r>
        <w:rPr>
          <w:spacing w:val="-3"/>
          <w:sz w:val="22"/>
        </w:rPr>
        <w:t> </w:t>
      </w:r>
      <w:r>
        <w:rPr>
          <w:sz w:val="22"/>
        </w:rPr>
        <w:t>rule</w:t>
      </w:r>
      <w:r>
        <w:rPr>
          <w:spacing w:val="-4"/>
          <w:sz w:val="22"/>
        </w:rPr>
        <w:t> </w:t>
      </w:r>
      <w:r>
        <w:rPr>
          <w:sz w:val="22"/>
        </w:rPr>
        <w:t>title</w:t>
      </w:r>
      <w:r>
        <w:rPr>
          <w:spacing w:val="-3"/>
          <w:sz w:val="22"/>
        </w:rPr>
        <w:t> </w:t>
      </w:r>
      <w:r>
        <w:rPr>
          <w:sz w:val="22"/>
        </w:rPr>
        <w:t>612:10-25.1</w:t>
      </w:r>
      <w:r>
        <w:rPr>
          <w:spacing w:val="-3"/>
          <w:sz w:val="22"/>
        </w:rPr>
        <w:t> </w:t>
      </w:r>
      <w:r>
        <w:rPr>
          <w:sz w:val="22"/>
        </w:rPr>
        <w:t>‘Order</w:t>
      </w:r>
      <w:r>
        <w:rPr>
          <w:spacing w:val="-3"/>
          <w:sz w:val="22"/>
        </w:rPr>
        <w:t> </w:t>
      </w:r>
      <w:r>
        <w:rPr>
          <w:sz w:val="22"/>
        </w:rPr>
        <w:t>of</w:t>
      </w:r>
      <w:r>
        <w:rPr>
          <w:spacing w:val="-3"/>
          <w:sz w:val="22"/>
        </w:rPr>
        <w:t> </w:t>
      </w:r>
      <w:r>
        <w:rPr>
          <w:sz w:val="22"/>
        </w:rPr>
        <w:t>selection’</w:t>
      </w:r>
      <w:r>
        <w:rPr>
          <w:spacing w:val="-4"/>
          <w:sz w:val="22"/>
        </w:rPr>
        <w:t> </w:t>
      </w:r>
      <w:r>
        <w:rPr>
          <w:sz w:val="22"/>
        </w:rPr>
        <w:t>to</w:t>
      </w:r>
      <w:r>
        <w:rPr>
          <w:spacing w:val="-3"/>
          <w:sz w:val="22"/>
        </w:rPr>
        <w:t> </w:t>
      </w:r>
      <w:r>
        <w:rPr>
          <w:sz w:val="22"/>
        </w:rPr>
        <w:t>‘Ability</w:t>
      </w:r>
      <w:r>
        <w:rPr>
          <w:spacing w:val="-4"/>
          <w:sz w:val="22"/>
        </w:rPr>
        <w:t> </w:t>
      </w:r>
      <w:r>
        <w:rPr>
          <w:sz w:val="22"/>
        </w:rPr>
        <w:t>to</w:t>
      </w:r>
      <w:r>
        <w:rPr>
          <w:spacing w:val="-4"/>
          <w:sz w:val="22"/>
        </w:rPr>
        <w:t> </w:t>
      </w:r>
      <w:r>
        <w:rPr>
          <w:sz w:val="22"/>
        </w:rPr>
        <w:t>serve</w:t>
      </w:r>
      <w:r>
        <w:rPr>
          <w:spacing w:val="-3"/>
          <w:sz w:val="22"/>
        </w:rPr>
        <w:t> </w:t>
      </w:r>
      <w:r>
        <w:rPr>
          <w:sz w:val="22"/>
        </w:rPr>
        <w:t>all</w:t>
      </w:r>
      <w:r>
        <w:rPr>
          <w:spacing w:val="-3"/>
          <w:sz w:val="22"/>
        </w:rPr>
        <w:t> </w:t>
      </w:r>
      <w:r>
        <w:rPr>
          <w:sz w:val="22"/>
        </w:rPr>
        <w:t>eligible individuals; order of selection for services.</w:t>
      </w:r>
    </w:p>
    <w:p>
      <w:pPr>
        <w:spacing w:after="0"/>
        <w:jc w:val="left"/>
        <w:rPr>
          <w:sz w:val="22"/>
        </w:rPr>
        <w:sectPr>
          <w:pgSz w:w="12240" w:h="15840"/>
          <w:pgMar w:top="1340" w:bottom="280" w:left="1080" w:right="720"/>
        </w:sectPr>
      </w:pPr>
    </w:p>
    <w:p>
      <w:pPr>
        <w:pStyle w:val="Heading2"/>
      </w:pPr>
      <w:bookmarkStart w:name="612:10-7-20.  Case recording" w:id="122"/>
      <w:bookmarkEnd w:id="122"/>
      <w:r>
        <w:rPr>
          <w:b w:val="0"/>
        </w:rPr>
      </w:r>
      <w:bookmarkStart w:name="_bookmark9" w:id="123"/>
      <w:bookmarkEnd w:id="123"/>
      <w:r>
        <w:rPr>
          <w:b w:val="0"/>
        </w:rPr>
      </w:r>
      <w:r>
        <w:rPr/>
        <w:t>612:10-7-20.</w:t>
      </w:r>
      <w:r>
        <w:rPr>
          <w:spacing w:val="59"/>
        </w:rPr>
        <w:t> </w:t>
      </w:r>
      <w:r>
        <w:rPr/>
        <w:t>Case</w:t>
      </w:r>
      <w:r>
        <w:rPr>
          <w:spacing w:val="-3"/>
        </w:rPr>
        <w:t> </w:t>
      </w:r>
      <w:r>
        <w:rPr>
          <w:spacing w:val="-2"/>
        </w:rPr>
        <w:t>recording</w:t>
      </w:r>
    </w:p>
    <w:p>
      <w:pPr>
        <w:pStyle w:val="ListParagraph"/>
        <w:numPr>
          <w:ilvl w:val="0"/>
          <w:numId w:val="110"/>
        </w:numPr>
        <w:tabs>
          <w:tab w:pos="786" w:val="left" w:leader="none"/>
        </w:tabs>
        <w:spacing w:line="208" w:lineRule="auto" w:before="233" w:after="0"/>
        <w:ind w:left="360" w:right="778" w:firstLine="0"/>
        <w:jc w:val="left"/>
        <w:rPr>
          <w:b/>
          <w:sz w:val="24"/>
        </w:rPr>
      </w:pPr>
      <w:r>
        <w:rPr>
          <w:sz w:val="24"/>
        </w:rPr>
        <w:t>A</w:t>
      </w:r>
      <w:r>
        <w:rPr>
          <w:spacing w:val="-3"/>
          <w:sz w:val="24"/>
        </w:rPr>
        <w:t> </w:t>
      </w:r>
      <w:r>
        <w:rPr>
          <w:sz w:val="24"/>
        </w:rPr>
        <w:t>case</w:t>
      </w:r>
      <w:r>
        <w:rPr>
          <w:spacing w:val="-4"/>
          <w:sz w:val="24"/>
        </w:rPr>
        <w:t> </w:t>
      </w:r>
      <w:r>
        <w:rPr>
          <w:sz w:val="24"/>
        </w:rPr>
        <w:t>record</w:t>
      </w:r>
      <w:r>
        <w:rPr>
          <w:spacing w:val="-3"/>
          <w:sz w:val="24"/>
        </w:rPr>
        <w:t> </w:t>
      </w:r>
      <w:r>
        <w:rPr>
          <w:sz w:val="24"/>
        </w:rPr>
        <w:t>will</w:t>
      </w:r>
      <w:r>
        <w:rPr>
          <w:spacing w:val="-2"/>
          <w:sz w:val="24"/>
        </w:rPr>
        <w:t> </w:t>
      </w:r>
      <w:r>
        <w:rPr>
          <w:sz w:val="24"/>
        </w:rPr>
        <w:t>be</w:t>
      </w:r>
      <w:r>
        <w:rPr>
          <w:spacing w:val="-3"/>
          <w:sz w:val="24"/>
        </w:rPr>
        <w:t> </w:t>
      </w:r>
      <w:r>
        <w:rPr>
          <w:sz w:val="24"/>
        </w:rPr>
        <w:t>established</w:t>
      </w:r>
      <w:r>
        <w:rPr>
          <w:spacing w:val="-3"/>
          <w:sz w:val="24"/>
        </w:rPr>
        <w:t> </w:t>
      </w:r>
      <w:r>
        <w:rPr>
          <w:sz w:val="24"/>
        </w:rPr>
        <w:t>and</w:t>
      </w:r>
      <w:r>
        <w:rPr>
          <w:spacing w:val="-3"/>
          <w:sz w:val="24"/>
        </w:rPr>
        <w:t> </w:t>
      </w:r>
      <w:r>
        <w:rPr>
          <w:sz w:val="24"/>
        </w:rPr>
        <w:t>maintained</w:t>
      </w:r>
      <w:r>
        <w:rPr>
          <w:spacing w:val="-3"/>
          <w:sz w:val="24"/>
        </w:rPr>
        <w:t> </w:t>
      </w:r>
      <w:r>
        <w:rPr>
          <w:sz w:val="24"/>
        </w:rPr>
        <w:t>on</w:t>
      </w:r>
      <w:r>
        <w:rPr>
          <w:spacing w:val="-3"/>
          <w:sz w:val="24"/>
        </w:rPr>
        <w:t> </w:t>
      </w:r>
      <w:r>
        <w:rPr>
          <w:sz w:val="24"/>
        </w:rPr>
        <w:t>each</w:t>
      </w:r>
      <w:r>
        <w:rPr>
          <w:spacing w:val="-3"/>
          <w:sz w:val="24"/>
        </w:rPr>
        <w:t> </w:t>
      </w:r>
      <w:r>
        <w:rPr>
          <w:sz w:val="24"/>
        </w:rPr>
        <w:t>individual</w:t>
      </w:r>
      <w:r>
        <w:rPr>
          <w:spacing w:val="-3"/>
          <w:sz w:val="24"/>
        </w:rPr>
        <w:t> </w:t>
      </w:r>
      <w:r>
        <w:rPr>
          <w:sz w:val="24"/>
        </w:rPr>
        <w:t>who</w:t>
      </w:r>
      <w:r>
        <w:rPr>
          <w:spacing w:val="-2"/>
          <w:sz w:val="24"/>
        </w:rPr>
        <w:t> </w:t>
      </w:r>
      <w:r>
        <w:rPr>
          <w:sz w:val="24"/>
        </w:rPr>
        <w:t>applies</w:t>
      </w:r>
      <w:r>
        <w:rPr>
          <w:spacing w:val="-3"/>
          <w:sz w:val="24"/>
        </w:rPr>
        <w:t> </w:t>
      </w:r>
      <w:r>
        <w:rPr>
          <w:sz w:val="24"/>
        </w:rPr>
        <w:t>for and/or receives vocational rehabilitation services. Narrative recordings of activities are mandatory at application, at eligibility, the development of the plan, program/financial reviews, and case closure. An action in any case is not considered effective until all required approvals have been obtained in accordance with Department policy. Documentation must be factual and conform to ethical and professional standards. </w:t>
      </w:r>
      <w:r>
        <w:rPr>
          <w:b/>
          <w:sz w:val="24"/>
        </w:rPr>
        <w:t>1,2</w:t>
      </w:r>
    </w:p>
    <w:p>
      <w:pPr>
        <w:pStyle w:val="ListParagraph"/>
        <w:numPr>
          <w:ilvl w:val="0"/>
          <w:numId w:val="110"/>
        </w:numPr>
        <w:tabs>
          <w:tab w:pos="785" w:val="left" w:leader="none"/>
        </w:tabs>
        <w:spacing w:line="208" w:lineRule="auto" w:before="239" w:after="0"/>
        <w:ind w:left="360" w:right="767" w:firstLine="0"/>
        <w:jc w:val="left"/>
        <w:rPr>
          <w:sz w:val="24"/>
        </w:rPr>
      </w:pPr>
      <w:r>
        <w:rPr>
          <w:sz w:val="24"/>
        </w:rPr>
        <w:t>If</w:t>
      </w:r>
      <w:r>
        <w:rPr>
          <w:spacing w:val="-3"/>
          <w:sz w:val="24"/>
        </w:rPr>
        <w:t> </w:t>
      </w:r>
      <w:r>
        <w:rPr>
          <w:sz w:val="24"/>
        </w:rPr>
        <w:t>records</w:t>
      </w:r>
      <w:r>
        <w:rPr>
          <w:spacing w:val="-2"/>
          <w:sz w:val="24"/>
        </w:rPr>
        <w:t> </w:t>
      </w:r>
      <w:r>
        <w:rPr>
          <w:sz w:val="24"/>
        </w:rPr>
        <w:t>or</w:t>
      </w:r>
      <w:r>
        <w:rPr>
          <w:spacing w:val="-1"/>
          <w:sz w:val="24"/>
        </w:rPr>
        <w:t> </w:t>
      </w:r>
      <w:r>
        <w:rPr>
          <w:sz w:val="24"/>
        </w:rPr>
        <w:t>documentation</w:t>
      </w:r>
      <w:r>
        <w:rPr>
          <w:spacing w:val="-2"/>
          <w:sz w:val="24"/>
        </w:rPr>
        <w:t> </w:t>
      </w:r>
      <w:r>
        <w:rPr>
          <w:sz w:val="24"/>
        </w:rPr>
        <w:t>need</w:t>
      </w:r>
      <w:r>
        <w:rPr>
          <w:spacing w:val="-2"/>
          <w:sz w:val="24"/>
        </w:rPr>
        <w:t> </w:t>
      </w:r>
      <w:r>
        <w:rPr>
          <w:sz w:val="24"/>
        </w:rPr>
        <w:t>to</w:t>
      </w:r>
      <w:r>
        <w:rPr>
          <w:spacing w:val="-2"/>
          <w:sz w:val="24"/>
        </w:rPr>
        <w:t> </w:t>
      </w:r>
      <w:r>
        <w:rPr>
          <w:sz w:val="24"/>
        </w:rPr>
        <w:t>be</w:t>
      </w:r>
      <w:r>
        <w:rPr>
          <w:spacing w:val="-2"/>
          <w:sz w:val="24"/>
        </w:rPr>
        <w:t> </w:t>
      </w:r>
      <w:r>
        <w:rPr>
          <w:sz w:val="24"/>
        </w:rPr>
        <w:t>altered,</w:t>
      </w:r>
      <w:r>
        <w:rPr>
          <w:spacing w:val="-1"/>
          <w:sz w:val="24"/>
        </w:rPr>
        <w:t> </w:t>
      </w:r>
      <w:r>
        <w:rPr>
          <w:sz w:val="24"/>
        </w:rPr>
        <w:t>it</w:t>
      </w:r>
      <w:r>
        <w:rPr>
          <w:spacing w:val="-1"/>
          <w:sz w:val="24"/>
        </w:rPr>
        <w:t> </w:t>
      </w:r>
      <w:r>
        <w:rPr>
          <w:sz w:val="24"/>
        </w:rPr>
        <w:t>is</w:t>
      </w:r>
      <w:r>
        <w:rPr>
          <w:spacing w:val="-2"/>
          <w:sz w:val="24"/>
        </w:rPr>
        <w:t> </w:t>
      </w:r>
      <w:r>
        <w:rPr>
          <w:sz w:val="24"/>
        </w:rPr>
        <w:t>done</w:t>
      </w:r>
      <w:r>
        <w:rPr>
          <w:spacing w:val="-2"/>
          <w:sz w:val="24"/>
        </w:rPr>
        <w:t> </w:t>
      </w:r>
      <w:r>
        <w:rPr>
          <w:sz w:val="24"/>
        </w:rPr>
        <w:t>so</w:t>
      </w:r>
      <w:r>
        <w:rPr>
          <w:spacing w:val="-2"/>
          <w:sz w:val="24"/>
        </w:rPr>
        <w:t> </w:t>
      </w:r>
      <w:r>
        <w:rPr>
          <w:sz w:val="24"/>
        </w:rPr>
        <w:t>according</w:t>
      </w:r>
      <w:r>
        <w:rPr>
          <w:spacing w:val="-2"/>
          <w:sz w:val="24"/>
        </w:rPr>
        <w:t> </w:t>
      </w:r>
      <w:r>
        <w:rPr>
          <w:sz w:val="24"/>
        </w:rPr>
        <w:t>to</w:t>
      </w:r>
      <w:r>
        <w:rPr>
          <w:spacing w:val="-2"/>
          <w:sz w:val="24"/>
        </w:rPr>
        <w:t> </w:t>
      </w:r>
      <w:r>
        <w:rPr>
          <w:sz w:val="24"/>
        </w:rPr>
        <w:t>DRS</w:t>
      </w:r>
      <w:r>
        <w:rPr>
          <w:spacing w:val="-2"/>
          <w:sz w:val="24"/>
        </w:rPr>
        <w:t> </w:t>
      </w:r>
      <w:r>
        <w:rPr>
          <w:sz w:val="24"/>
        </w:rPr>
        <w:t>rules and</w:t>
      </w:r>
      <w:r>
        <w:rPr>
          <w:spacing w:val="-4"/>
          <w:sz w:val="24"/>
        </w:rPr>
        <w:t> </w:t>
      </w:r>
      <w:r>
        <w:rPr>
          <w:sz w:val="24"/>
        </w:rPr>
        <w:t>in</w:t>
      </w:r>
      <w:r>
        <w:rPr>
          <w:spacing w:val="-4"/>
          <w:sz w:val="24"/>
        </w:rPr>
        <w:t> </w:t>
      </w:r>
      <w:r>
        <w:rPr>
          <w:sz w:val="24"/>
        </w:rPr>
        <w:t>a</w:t>
      </w:r>
      <w:r>
        <w:rPr>
          <w:spacing w:val="-4"/>
          <w:sz w:val="24"/>
        </w:rPr>
        <w:t> </w:t>
      </w:r>
      <w:r>
        <w:rPr>
          <w:sz w:val="24"/>
        </w:rPr>
        <w:t>manner</w:t>
      </w:r>
      <w:r>
        <w:rPr>
          <w:spacing w:val="-3"/>
          <w:sz w:val="24"/>
        </w:rPr>
        <w:t> </w:t>
      </w:r>
      <w:r>
        <w:rPr>
          <w:sz w:val="24"/>
        </w:rPr>
        <w:t>that</w:t>
      </w:r>
      <w:r>
        <w:rPr>
          <w:spacing w:val="-5"/>
          <w:sz w:val="24"/>
        </w:rPr>
        <w:t> </w:t>
      </w:r>
      <w:r>
        <w:rPr>
          <w:sz w:val="24"/>
        </w:rPr>
        <w:t>preserves</w:t>
      </w:r>
      <w:r>
        <w:rPr>
          <w:spacing w:val="-4"/>
          <w:sz w:val="24"/>
        </w:rPr>
        <w:t> </w:t>
      </w:r>
      <w:r>
        <w:rPr>
          <w:sz w:val="24"/>
        </w:rPr>
        <w:t>the</w:t>
      </w:r>
      <w:r>
        <w:rPr>
          <w:spacing w:val="-4"/>
          <w:sz w:val="24"/>
        </w:rPr>
        <w:t> </w:t>
      </w:r>
      <w:r>
        <w:rPr>
          <w:sz w:val="24"/>
        </w:rPr>
        <w:t>original</w:t>
      </w:r>
      <w:r>
        <w:rPr>
          <w:spacing w:val="-4"/>
          <w:sz w:val="24"/>
        </w:rPr>
        <w:t> </w:t>
      </w:r>
      <w:r>
        <w:rPr>
          <w:sz w:val="24"/>
        </w:rPr>
        <w:t>information.</w:t>
      </w:r>
      <w:r>
        <w:rPr>
          <w:spacing w:val="-5"/>
          <w:sz w:val="24"/>
        </w:rPr>
        <w:t> </w:t>
      </w:r>
      <w:r>
        <w:rPr>
          <w:sz w:val="24"/>
        </w:rPr>
        <w:t>Alterations</w:t>
      </w:r>
      <w:r>
        <w:rPr>
          <w:spacing w:val="-4"/>
          <w:sz w:val="24"/>
        </w:rPr>
        <w:t> </w:t>
      </w:r>
      <w:r>
        <w:rPr>
          <w:sz w:val="24"/>
        </w:rPr>
        <w:t>are</w:t>
      </w:r>
      <w:r>
        <w:rPr>
          <w:spacing w:val="-4"/>
          <w:sz w:val="24"/>
        </w:rPr>
        <w:t> </w:t>
      </w:r>
      <w:r>
        <w:rPr>
          <w:sz w:val="24"/>
        </w:rPr>
        <w:t>accompanied</w:t>
      </w:r>
      <w:r>
        <w:rPr>
          <w:spacing w:val="-4"/>
          <w:sz w:val="24"/>
        </w:rPr>
        <w:t> </w:t>
      </w:r>
      <w:r>
        <w:rPr>
          <w:sz w:val="24"/>
        </w:rPr>
        <w:t>by the date of change, the identity of who made the change, and the rationale for the </w:t>
      </w:r>
      <w:r>
        <w:rPr>
          <w:spacing w:val="-2"/>
          <w:sz w:val="24"/>
        </w:rPr>
        <w:t>change.</w:t>
      </w:r>
    </w:p>
    <w:p>
      <w:pPr>
        <w:pStyle w:val="BodyText"/>
        <w:spacing w:before="211"/>
      </w:pPr>
      <w:r>
        <w:rPr/>
        <w:t>Instructions</w:t>
      </w:r>
      <w:r>
        <w:rPr>
          <w:spacing w:val="-5"/>
        </w:rPr>
        <w:t> </w:t>
      </w:r>
      <w:r>
        <w:rPr/>
        <w:t>to</w:t>
      </w:r>
      <w:r>
        <w:rPr>
          <w:spacing w:val="-2"/>
        </w:rPr>
        <w:t> </w:t>
      </w:r>
      <w:r>
        <w:rPr>
          <w:spacing w:val="-4"/>
        </w:rPr>
        <w:t>Staff</w:t>
      </w:r>
    </w:p>
    <w:p>
      <w:pPr>
        <w:pStyle w:val="ListParagraph"/>
        <w:numPr>
          <w:ilvl w:val="1"/>
          <w:numId w:val="110"/>
        </w:numPr>
        <w:tabs>
          <w:tab w:pos="1078" w:val="left" w:leader="none"/>
        </w:tabs>
        <w:spacing w:line="240" w:lineRule="auto" w:before="237" w:after="0"/>
        <w:ind w:left="1078" w:right="0" w:hanging="358"/>
        <w:jc w:val="left"/>
        <w:rPr>
          <w:sz w:val="24"/>
        </w:rPr>
      </w:pPr>
      <w:r>
        <w:rPr>
          <w:sz w:val="24"/>
        </w:rPr>
        <w:t>Case</w:t>
      </w:r>
      <w:r>
        <w:rPr>
          <w:spacing w:val="-5"/>
          <w:sz w:val="24"/>
        </w:rPr>
        <w:t> </w:t>
      </w:r>
      <w:r>
        <w:rPr>
          <w:sz w:val="24"/>
        </w:rPr>
        <w:t>scanning/filing</w:t>
      </w:r>
      <w:r>
        <w:rPr>
          <w:spacing w:val="-5"/>
          <w:sz w:val="24"/>
        </w:rPr>
        <w:t> </w:t>
      </w:r>
      <w:r>
        <w:rPr>
          <w:spacing w:val="-2"/>
          <w:sz w:val="24"/>
        </w:rPr>
        <w:t>protocol:</w:t>
      </w:r>
    </w:p>
    <w:p>
      <w:pPr>
        <w:pStyle w:val="BodyText"/>
        <w:spacing w:line="208" w:lineRule="auto" w:before="272"/>
        <w:ind w:left="1349" w:right="775"/>
      </w:pPr>
      <w:r>
        <w:rPr/>
        <w:t>To facilitate audits, case reviews and case management, each case must stand</w:t>
      </w:r>
      <w:r>
        <w:rPr>
          <w:spacing w:val="-3"/>
        </w:rPr>
        <w:t> </w:t>
      </w:r>
      <w:r>
        <w:rPr/>
        <w:t>alone</w:t>
      </w:r>
      <w:r>
        <w:rPr>
          <w:spacing w:val="-3"/>
        </w:rPr>
        <w:t> </w:t>
      </w:r>
      <w:r>
        <w:rPr/>
        <w:t>with</w:t>
      </w:r>
      <w:r>
        <w:rPr>
          <w:spacing w:val="-3"/>
        </w:rPr>
        <w:t> </w:t>
      </w:r>
      <w:r>
        <w:rPr/>
        <w:t>its</w:t>
      </w:r>
      <w:r>
        <w:rPr>
          <w:spacing w:val="-3"/>
        </w:rPr>
        <w:t> </w:t>
      </w:r>
      <w:r>
        <w:rPr/>
        <w:t>own</w:t>
      </w:r>
      <w:r>
        <w:rPr>
          <w:spacing w:val="-3"/>
        </w:rPr>
        <w:t> </w:t>
      </w:r>
      <w:r>
        <w:rPr/>
        <w:t>supporting</w:t>
      </w:r>
      <w:r>
        <w:rPr>
          <w:spacing w:val="-3"/>
        </w:rPr>
        <w:t> </w:t>
      </w:r>
      <w:r>
        <w:rPr/>
        <w:t>documents.</w:t>
      </w:r>
      <w:r>
        <w:rPr>
          <w:spacing w:val="-4"/>
        </w:rPr>
        <w:t> </w:t>
      </w:r>
      <w:r>
        <w:rPr/>
        <w:t>If</w:t>
      </w:r>
      <w:r>
        <w:rPr>
          <w:spacing w:val="-2"/>
        </w:rPr>
        <w:t> </w:t>
      </w:r>
      <w:r>
        <w:rPr/>
        <w:t>documents</w:t>
      </w:r>
      <w:r>
        <w:rPr>
          <w:spacing w:val="-3"/>
        </w:rPr>
        <w:t> </w:t>
      </w:r>
      <w:r>
        <w:rPr/>
        <w:t>are</w:t>
      </w:r>
      <w:r>
        <w:rPr>
          <w:spacing w:val="-4"/>
        </w:rPr>
        <w:t> </w:t>
      </w:r>
      <w:r>
        <w:rPr/>
        <w:t>used</w:t>
      </w:r>
      <w:r>
        <w:rPr>
          <w:spacing w:val="-3"/>
        </w:rPr>
        <w:t> </w:t>
      </w:r>
      <w:r>
        <w:rPr/>
        <w:t>from</w:t>
      </w:r>
      <w:r>
        <w:rPr>
          <w:spacing w:val="-4"/>
        </w:rPr>
        <w:t> </w:t>
      </w:r>
      <w:r>
        <w:rPr/>
        <w:t>a previous case they are to be rescanned in to the new case.</w:t>
      </w:r>
    </w:p>
    <w:p>
      <w:pPr>
        <w:pStyle w:val="BodyText"/>
        <w:spacing w:line="208" w:lineRule="auto"/>
        <w:ind w:left="1349" w:right="822"/>
      </w:pPr>
      <w:r>
        <w:rPr/>
        <w:t>Each</w:t>
      </w:r>
      <w:r>
        <w:rPr>
          <w:spacing w:val="-4"/>
        </w:rPr>
        <w:t> </w:t>
      </w:r>
      <w:r>
        <w:rPr/>
        <w:t>consumer</w:t>
      </w:r>
      <w:r>
        <w:rPr>
          <w:spacing w:val="-3"/>
        </w:rPr>
        <w:t> </w:t>
      </w:r>
      <w:r>
        <w:rPr/>
        <w:t>is</w:t>
      </w:r>
      <w:r>
        <w:rPr>
          <w:spacing w:val="-4"/>
        </w:rPr>
        <w:t> </w:t>
      </w:r>
      <w:r>
        <w:rPr/>
        <w:t>identified</w:t>
      </w:r>
      <w:r>
        <w:rPr>
          <w:spacing w:val="-4"/>
        </w:rPr>
        <w:t> </w:t>
      </w:r>
      <w:r>
        <w:rPr/>
        <w:t>by</w:t>
      </w:r>
      <w:r>
        <w:rPr>
          <w:spacing w:val="-4"/>
        </w:rPr>
        <w:t> </w:t>
      </w:r>
      <w:r>
        <w:rPr/>
        <w:t>a</w:t>
      </w:r>
      <w:r>
        <w:rPr>
          <w:spacing w:val="-4"/>
        </w:rPr>
        <w:t> </w:t>
      </w:r>
      <w:r>
        <w:rPr/>
        <w:t>Participant</w:t>
      </w:r>
      <w:r>
        <w:rPr>
          <w:spacing w:val="-3"/>
        </w:rPr>
        <w:t> </w:t>
      </w:r>
      <w:r>
        <w:rPr/>
        <w:t>Identification</w:t>
      </w:r>
      <w:r>
        <w:rPr>
          <w:spacing w:val="-4"/>
        </w:rPr>
        <w:t> </w:t>
      </w:r>
      <w:r>
        <w:rPr/>
        <w:t>number</w:t>
      </w:r>
      <w:r>
        <w:rPr>
          <w:spacing w:val="-3"/>
        </w:rPr>
        <w:t> </w:t>
      </w:r>
      <w:r>
        <w:rPr/>
        <w:t>(PID).</w:t>
      </w:r>
      <w:r>
        <w:rPr>
          <w:spacing w:val="-3"/>
        </w:rPr>
        <w:t> </w:t>
      </w:r>
      <w:r>
        <w:rPr/>
        <w:t>Each individual case for that</w:t>
      </w:r>
      <w:r>
        <w:rPr>
          <w:spacing w:val="-1"/>
        </w:rPr>
        <w:t> </w:t>
      </w:r>
      <w:r>
        <w:rPr/>
        <w:t>consumer</w:t>
      </w:r>
      <w:r>
        <w:rPr>
          <w:spacing w:val="-1"/>
        </w:rPr>
        <w:t> </w:t>
      </w:r>
      <w:r>
        <w:rPr/>
        <w:t>is identified by a Case Identification number (CID). The consumer's PID number will never change; however, the consumer's CID number will be different and specific to each case opened with DRS.</w:t>
      </w:r>
    </w:p>
    <w:p>
      <w:pPr>
        <w:pStyle w:val="BodyText"/>
        <w:spacing w:line="208" w:lineRule="auto" w:before="239"/>
        <w:ind w:left="1349" w:right="948"/>
        <w:jc w:val="both"/>
      </w:pPr>
      <w:r>
        <w:rPr/>
        <w:t>Each case record should contain all required information related to the case. All</w:t>
      </w:r>
      <w:r>
        <w:rPr>
          <w:spacing w:val="-4"/>
        </w:rPr>
        <w:t> </w:t>
      </w:r>
      <w:r>
        <w:rPr/>
        <w:t>documents</w:t>
      </w:r>
      <w:r>
        <w:rPr>
          <w:spacing w:val="-4"/>
        </w:rPr>
        <w:t> </w:t>
      </w:r>
      <w:r>
        <w:rPr/>
        <w:t>scanned</w:t>
      </w:r>
      <w:r>
        <w:rPr>
          <w:spacing w:val="-4"/>
        </w:rPr>
        <w:t> </w:t>
      </w:r>
      <w:r>
        <w:rPr/>
        <w:t>into</w:t>
      </w:r>
      <w:r>
        <w:rPr>
          <w:spacing w:val="-4"/>
        </w:rPr>
        <w:t> </w:t>
      </w:r>
      <w:r>
        <w:rPr/>
        <w:t>Knowledgelake</w:t>
      </w:r>
      <w:r>
        <w:rPr>
          <w:spacing w:val="-3"/>
        </w:rPr>
        <w:t> </w:t>
      </w:r>
      <w:r>
        <w:rPr/>
        <w:t>are</w:t>
      </w:r>
      <w:r>
        <w:rPr>
          <w:spacing w:val="-4"/>
        </w:rPr>
        <w:t> </w:t>
      </w:r>
      <w:r>
        <w:rPr/>
        <w:t>to</w:t>
      </w:r>
      <w:r>
        <w:rPr>
          <w:spacing w:val="-4"/>
        </w:rPr>
        <w:t> </w:t>
      </w:r>
      <w:r>
        <w:rPr/>
        <w:t>be</w:t>
      </w:r>
      <w:r>
        <w:rPr>
          <w:spacing w:val="-4"/>
        </w:rPr>
        <w:t> </w:t>
      </w:r>
      <w:r>
        <w:rPr/>
        <w:t>scanned</w:t>
      </w:r>
      <w:r>
        <w:rPr>
          <w:spacing w:val="-4"/>
        </w:rPr>
        <w:t> </w:t>
      </w:r>
      <w:r>
        <w:rPr/>
        <w:t>using</w:t>
      </w:r>
      <w:r>
        <w:rPr>
          <w:spacing w:val="-4"/>
        </w:rPr>
        <w:t> </w:t>
      </w:r>
      <w:r>
        <w:rPr/>
        <w:t>the</w:t>
      </w:r>
      <w:r>
        <w:rPr>
          <w:spacing w:val="-4"/>
        </w:rPr>
        <w:t> </w:t>
      </w:r>
      <w:r>
        <w:rPr/>
        <w:t>CID number to assure correct documentation location.</w:t>
      </w:r>
    </w:p>
    <w:p>
      <w:pPr>
        <w:pStyle w:val="BodyText"/>
        <w:spacing w:line="208" w:lineRule="auto"/>
        <w:ind w:left="1349" w:right="727"/>
      </w:pPr>
      <w:r>
        <w:rPr/>
        <w:t>All documents scanned into Knowledgelake are to be scanned under the appropriate Document Category and/or Document Type to assure accurate location.</w:t>
      </w:r>
      <w:r>
        <w:rPr>
          <w:spacing w:val="-3"/>
        </w:rPr>
        <w:t> </w:t>
      </w:r>
      <w:r>
        <w:rPr/>
        <w:t>If</w:t>
      </w:r>
      <w:r>
        <w:rPr>
          <w:spacing w:val="-5"/>
        </w:rPr>
        <w:t> </w:t>
      </w:r>
      <w:r>
        <w:rPr/>
        <w:t>more</w:t>
      </w:r>
      <w:r>
        <w:rPr>
          <w:spacing w:val="-4"/>
        </w:rPr>
        <w:t> </w:t>
      </w:r>
      <w:r>
        <w:rPr/>
        <w:t>than</w:t>
      </w:r>
      <w:r>
        <w:rPr>
          <w:spacing w:val="-5"/>
        </w:rPr>
        <w:t> </w:t>
      </w:r>
      <w:r>
        <w:rPr/>
        <w:t>one</w:t>
      </w:r>
      <w:r>
        <w:rPr>
          <w:spacing w:val="-4"/>
        </w:rPr>
        <w:t> </w:t>
      </w:r>
      <w:r>
        <w:rPr/>
        <w:t>item</w:t>
      </w:r>
      <w:r>
        <w:rPr>
          <w:spacing w:val="-3"/>
        </w:rPr>
        <w:t> </w:t>
      </w:r>
      <w:r>
        <w:rPr/>
        <w:t>is</w:t>
      </w:r>
      <w:r>
        <w:rPr>
          <w:spacing w:val="-4"/>
        </w:rPr>
        <w:t> </w:t>
      </w:r>
      <w:r>
        <w:rPr/>
        <w:t>scanned</w:t>
      </w:r>
      <w:r>
        <w:rPr>
          <w:spacing w:val="-4"/>
        </w:rPr>
        <w:t> </w:t>
      </w:r>
      <w:r>
        <w:rPr/>
        <w:t>under</w:t>
      </w:r>
      <w:r>
        <w:rPr>
          <w:spacing w:val="-3"/>
        </w:rPr>
        <w:t> </w:t>
      </w:r>
      <w:r>
        <w:rPr/>
        <w:t>a</w:t>
      </w:r>
      <w:r>
        <w:rPr>
          <w:spacing w:val="-4"/>
        </w:rPr>
        <w:t> </w:t>
      </w:r>
      <w:r>
        <w:rPr/>
        <w:t>Document</w:t>
      </w:r>
      <w:r>
        <w:rPr>
          <w:spacing w:val="-3"/>
        </w:rPr>
        <w:t> </w:t>
      </w:r>
      <w:r>
        <w:rPr/>
        <w:t>Category,</w:t>
      </w:r>
      <w:r>
        <w:rPr>
          <w:spacing w:val="-3"/>
        </w:rPr>
        <w:t> </w:t>
      </w:r>
      <w:r>
        <w:rPr/>
        <w:t>please label each item so it can be easily identified (for example, Plan 2-13-13/C25).</w:t>
      </w:r>
    </w:p>
    <w:p>
      <w:pPr>
        <w:pStyle w:val="BodyText"/>
        <w:spacing w:line="208" w:lineRule="auto" w:before="239"/>
        <w:ind w:left="1349" w:right="855"/>
      </w:pPr>
      <w:r>
        <w:rPr/>
        <w:t>All</w:t>
      </w:r>
      <w:r>
        <w:rPr>
          <w:spacing w:val="-4"/>
        </w:rPr>
        <w:t> </w:t>
      </w:r>
      <w:r>
        <w:rPr/>
        <w:t>documents</w:t>
      </w:r>
      <w:r>
        <w:rPr>
          <w:spacing w:val="-4"/>
        </w:rPr>
        <w:t> </w:t>
      </w:r>
      <w:r>
        <w:rPr/>
        <w:t>scanned</w:t>
      </w:r>
      <w:r>
        <w:rPr>
          <w:spacing w:val="-4"/>
        </w:rPr>
        <w:t> </w:t>
      </w:r>
      <w:r>
        <w:rPr/>
        <w:t>into</w:t>
      </w:r>
      <w:r>
        <w:rPr>
          <w:spacing w:val="-4"/>
        </w:rPr>
        <w:t> </w:t>
      </w:r>
      <w:r>
        <w:rPr/>
        <w:t>Knowledgelake</w:t>
      </w:r>
      <w:r>
        <w:rPr>
          <w:spacing w:val="-3"/>
        </w:rPr>
        <w:t> </w:t>
      </w:r>
      <w:r>
        <w:rPr/>
        <w:t>are</w:t>
      </w:r>
      <w:r>
        <w:rPr>
          <w:spacing w:val="-4"/>
        </w:rPr>
        <w:t> </w:t>
      </w:r>
      <w:r>
        <w:rPr/>
        <w:t>to</w:t>
      </w:r>
      <w:r>
        <w:rPr>
          <w:spacing w:val="-4"/>
        </w:rPr>
        <w:t> </w:t>
      </w:r>
      <w:r>
        <w:rPr/>
        <w:t>have</w:t>
      </w:r>
      <w:r>
        <w:rPr>
          <w:spacing w:val="-4"/>
        </w:rPr>
        <w:t> </w:t>
      </w:r>
      <w:r>
        <w:rPr/>
        <w:t>the</w:t>
      </w:r>
      <w:r>
        <w:rPr>
          <w:spacing w:val="-4"/>
        </w:rPr>
        <w:t> </w:t>
      </w:r>
      <w:r>
        <w:rPr/>
        <w:t>appropriate</w:t>
      </w:r>
      <w:r>
        <w:rPr>
          <w:spacing w:val="-4"/>
        </w:rPr>
        <w:t> </w:t>
      </w:r>
      <w:r>
        <w:rPr/>
        <w:t>entry in the Case Comments area to assist with location and identification of the document (e.g., “signed &amp; dated 9/24/2012”). Where applicable, additional information should be provided (e.g., plan number, authorization number). [If on Plan or Authorization page there's a field for the Plan or Authorization number. If scanning from Case Management there is a field for authorization number or plan number. The plan number or authorization number is located on the index page after client's name.]</w:t>
      </w:r>
    </w:p>
    <w:p>
      <w:pPr>
        <w:pStyle w:val="BodyText"/>
        <w:spacing w:line="208" w:lineRule="auto"/>
        <w:ind w:left="1349" w:right="775"/>
      </w:pPr>
      <w:r>
        <w:rPr/>
        <w:t>Any</w:t>
      </w:r>
      <w:r>
        <w:rPr>
          <w:spacing w:val="-4"/>
        </w:rPr>
        <w:t> </w:t>
      </w:r>
      <w:r>
        <w:rPr/>
        <w:t>document</w:t>
      </w:r>
      <w:r>
        <w:rPr>
          <w:spacing w:val="-3"/>
        </w:rPr>
        <w:t> </w:t>
      </w:r>
      <w:r>
        <w:rPr/>
        <w:t>that</w:t>
      </w:r>
      <w:r>
        <w:rPr>
          <w:spacing w:val="-5"/>
        </w:rPr>
        <w:t> </w:t>
      </w:r>
      <w:r>
        <w:rPr/>
        <w:t>requires</w:t>
      </w:r>
      <w:r>
        <w:rPr>
          <w:spacing w:val="-4"/>
        </w:rPr>
        <w:t> </w:t>
      </w:r>
      <w:r>
        <w:rPr/>
        <w:t>the</w:t>
      </w:r>
      <w:r>
        <w:rPr>
          <w:spacing w:val="-4"/>
        </w:rPr>
        <w:t> </w:t>
      </w:r>
      <w:r>
        <w:rPr/>
        <w:t>consumer's</w:t>
      </w:r>
      <w:r>
        <w:rPr>
          <w:spacing w:val="-4"/>
        </w:rPr>
        <w:t> </w:t>
      </w:r>
      <w:r>
        <w:rPr/>
        <w:t>signature</w:t>
      </w:r>
      <w:r>
        <w:rPr>
          <w:spacing w:val="-4"/>
        </w:rPr>
        <w:t> </w:t>
      </w:r>
      <w:r>
        <w:rPr/>
        <w:t>must</w:t>
      </w:r>
      <w:r>
        <w:rPr>
          <w:spacing w:val="-3"/>
        </w:rPr>
        <w:t> </w:t>
      </w:r>
      <w:r>
        <w:rPr/>
        <w:t>be</w:t>
      </w:r>
      <w:r>
        <w:rPr>
          <w:spacing w:val="-4"/>
        </w:rPr>
        <w:t> </w:t>
      </w:r>
      <w:r>
        <w:rPr/>
        <w:t>scanned</w:t>
      </w:r>
      <w:r>
        <w:rPr>
          <w:spacing w:val="-4"/>
        </w:rPr>
        <w:t> </w:t>
      </w:r>
      <w:r>
        <w:rPr/>
        <w:t>into </w:t>
      </w:r>
      <w:r>
        <w:rPr>
          <w:spacing w:val="-2"/>
        </w:rPr>
        <w:t>Knowledgelake.</w:t>
      </w:r>
    </w:p>
    <w:p>
      <w:pPr>
        <w:pStyle w:val="BodyText"/>
        <w:spacing w:line="208" w:lineRule="auto" w:before="239"/>
        <w:ind w:left="1349" w:right="1036"/>
      </w:pPr>
      <w:r>
        <w:rPr/>
        <w:t>All documents that require Counselor, Programs Manager, or Field Coordinator approval will be printed, signed, then scanned into Knowledgelake.</w:t>
      </w:r>
      <w:r>
        <w:rPr>
          <w:spacing w:val="-5"/>
        </w:rPr>
        <w:t> </w:t>
      </w:r>
      <w:r>
        <w:rPr/>
        <w:t>This</w:t>
      </w:r>
      <w:r>
        <w:rPr>
          <w:spacing w:val="-6"/>
        </w:rPr>
        <w:t> </w:t>
      </w:r>
      <w:r>
        <w:rPr/>
        <w:t>would</w:t>
      </w:r>
      <w:r>
        <w:rPr>
          <w:spacing w:val="-6"/>
        </w:rPr>
        <w:t> </w:t>
      </w:r>
      <w:r>
        <w:rPr/>
        <w:t>include</w:t>
      </w:r>
      <w:r>
        <w:rPr>
          <w:spacing w:val="-6"/>
        </w:rPr>
        <w:t> </w:t>
      </w:r>
      <w:r>
        <w:rPr/>
        <w:t>Eligibility,</w:t>
      </w:r>
      <w:r>
        <w:rPr>
          <w:spacing w:val="-5"/>
        </w:rPr>
        <w:t> </w:t>
      </w:r>
      <w:r>
        <w:rPr/>
        <w:t>Plans,</w:t>
      </w:r>
      <w:r>
        <w:rPr>
          <w:spacing w:val="-5"/>
        </w:rPr>
        <w:t> </w:t>
      </w:r>
      <w:r>
        <w:rPr/>
        <w:t>Closures,</w:t>
      </w:r>
      <w:r>
        <w:rPr>
          <w:spacing w:val="-5"/>
        </w:rPr>
        <w:t> </w:t>
      </w:r>
      <w:r>
        <w:rPr/>
        <w:t>and</w:t>
      </w:r>
      <w:r>
        <w:rPr>
          <w:spacing w:val="-6"/>
        </w:rPr>
        <w:t> </w:t>
      </w:r>
      <w:r>
        <w:rPr/>
        <w:t>other relevant documents.</w:t>
      </w:r>
    </w:p>
    <w:p>
      <w:pPr>
        <w:pStyle w:val="BodyText"/>
        <w:spacing w:after="0" w:line="208" w:lineRule="auto"/>
        <w:sectPr>
          <w:pgSz w:w="12240" w:h="15840"/>
          <w:pgMar w:top="1340" w:bottom="280" w:left="1080" w:right="720"/>
        </w:sectPr>
      </w:pPr>
    </w:p>
    <w:p>
      <w:pPr>
        <w:pStyle w:val="BodyText"/>
        <w:spacing w:line="208" w:lineRule="auto" w:before="96"/>
        <w:ind w:left="1350" w:right="775"/>
      </w:pPr>
      <w:r>
        <w:rPr/>
        <w:t>All</w:t>
      </w:r>
      <w:r>
        <w:rPr>
          <w:spacing w:val="-3"/>
        </w:rPr>
        <w:t> </w:t>
      </w:r>
      <w:r>
        <w:rPr/>
        <w:t>letters</w:t>
      </w:r>
      <w:r>
        <w:rPr>
          <w:spacing w:val="-3"/>
        </w:rPr>
        <w:t> </w:t>
      </w:r>
      <w:r>
        <w:rPr/>
        <w:t>should</w:t>
      </w:r>
      <w:r>
        <w:rPr>
          <w:spacing w:val="-3"/>
        </w:rPr>
        <w:t> </w:t>
      </w:r>
      <w:r>
        <w:rPr/>
        <w:t>be</w:t>
      </w:r>
      <w:r>
        <w:rPr>
          <w:spacing w:val="-3"/>
        </w:rPr>
        <w:t> </w:t>
      </w:r>
      <w:r>
        <w:rPr/>
        <w:t>generated</w:t>
      </w:r>
      <w:r>
        <w:rPr>
          <w:spacing w:val="-3"/>
        </w:rPr>
        <w:t> </w:t>
      </w:r>
      <w:r>
        <w:rPr/>
        <w:t>in</w:t>
      </w:r>
      <w:r>
        <w:rPr>
          <w:spacing w:val="-2"/>
        </w:rPr>
        <w:t> </w:t>
      </w:r>
      <w:r>
        <w:rPr/>
        <w:t>AWARE</w:t>
      </w:r>
      <w:r>
        <w:rPr>
          <w:spacing w:val="-3"/>
        </w:rPr>
        <w:t> </w:t>
      </w:r>
      <w:r>
        <w:rPr/>
        <w:t>using</w:t>
      </w:r>
      <w:r>
        <w:rPr>
          <w:spacing w:val="-3"/>
        </w:rPr>
        <w:t> </w:t>
      </w:r>
      <w:r>
        <w:rPr/>
        <w:t>the</w:t>
      </w:r>
      <w:r>
        <w:rPr>
          <w:spacing w:val="-3"/>
        </w:rPr>
        <w:t> </w:t>
      </w:r>
      <w:r>
        <w:rPr/>
        <w:t>Letters</w:t>
      </w:r>
      <w:r>
        <w:rPr>
          <w:spacing w:val="-4"/>
        </w:rPr>
        <w:t> </w:t>
      </w:r>
      <w:r>
        <w:rPr/>
        <w:t>menu</w:t>
      </w:r>
      <w:r>
        <w:rPr>
          <w:spacing w:val="-4"/>
        </w:rPr>
        <w:t> </w:t>
      </w:r>
      <w:r>
        <w:rPr/>
        <w:t>and</w:t>
      </w:r>
      <w:r>
        <w:rPr>
          <w:spacing w:val="-3"/>
        </w:rPr>
        <w:t> </w:t>
      </w:r>
      <w:r>
        <w:rPr/>
        <w:t>will</w:t>
      </w:r>
      <w:r>
        <w:rPr>
          <w:spacing w:val="-3"/>
        </w:rPr>
        <w:t> </w:t>
      </w:r>
      <w:r>
        <w:rPr/>
        <w:t>not require scanning.</w:t>
      </w:r>
    </w:p>
    <w:p>
      <w:pPr>
        <w:pStyle w:val="BodyText"/>
        <w:spacing w:before="210"/>
        <w:ind w:left="791"/>
      </w:pPr>
      <w:r>
        <w:rPr/>
        <w:t>Documents</w:t>
      </w:r>
      <w:r>
        <w:rPr>
          <w:spacing w:val="-3"/>
        </w:rPr>
        <w:t> </w:t>
      </w:r>
      <w:r>
        <w:rPr/>
        <w:t>that</w:t>
      </w:r>
      <w:r>
        <w:rPr>
          <w:spacing w:val="-2"/>
        </w:rPr>
        <w:t> </w:t>
      </w:r>
      <w:r>
        <w:rPr/>
        <w:t>do</w:t>
      </w:r>
      <w:r>
        <w:rPr>
          <w:spacing w:val="-3"/>
        </w:rPr>
        <w:t> </w:t>
      </w:r>
      <w:r>
        <w:rPr/>
        <w:t>not</w:t>
      </w:r>
      <w:r>
        <w:rPr>
          <w:spacing w:val="-4"/>
        </w:rPr>
        <w:t> </w:t>
      </w:r>
      <w:r>
        <w:rPr/>
        <w:t>require</w:t>
      </w:r>
      <w:r>
        <w:rPr>
          <w:spacing w:val="-2"/>
        </w:rPr>
        <w:t> scanning:</w:t>
      </w:r>
    </w:p>
    <w:p>
      <w:pPr>
        <w:pStyle w:val="ListParagraph"/>
        <w:numPr>
          <w:ilvl w:val="0"/>
          <w:numId w:val="111"/>
        </w:numPr>
        <w:tabs>
          <w:tab w:pos="1799" w:val="left" w:leader="none"/>
        </w:tabs>
        <w:spacing w:line="240" w:lineRule="auto" w:before="188" w:after="0"/>
        <w:ind w:left="1799" w:right="0" w:hanging="359"/>
        <w:jc w:val="left"/>
        <w:rPr>
          <w:sz w:val="24"/>
        </w:rPr>
      </w:pPr>
      <w:r>
        <w:rPr>
          <w:sz w:val="24"/>
        </w:rPr>
        <w:t>Case</w:t>
      </w:r>
      <w:r>
        <w:rPr>
          <w:spacing w:val="-4"/>
          <w:sz w:val="24"/>
        </w:rPr>
        <w:t> </w:t>
      </w:r>
      <w:r>
        <w:rPr>
          <w:spacing w:val="-2"/>
          <w:sz w:val="24"/>
        </w:rPr>
        <w:t>notes.</w:t>
      </w:r>
    </w:p>
    <w:p>
      <w:pPr>
        <w:pStyle w:val="ListParagraph"/>
        <w:numPr>
          <w:ilvl w:val="0"/>
          <w:numId w:val="111"/>
        </w:numPr>
        <w:tabs>
          <w:tab w:pos="1799" w:val="left" w:leader="none"/>
        </w:tabs>
        <w:spacing w:line="240" w:lineRule="auto" w:before="186" w:after="0"/>
        <w:ind w:left="1799" w:right="0" w:hanging="359"/>
        <w:jc w:val="left"/>
        <w:rPr>
          <w:sz w:val="24"/>
        </w:rPr>
      </w:pPr>
      <w:r>
        <w:rPr>
          <w:sz w:val="24"/>
        </w:rPr>
        <w:t>Initial</w:t>
      </w:r>
      <w:r>
        <w:rPr>
          <w:spacing w:val="-4"/>
          <w:sz w:val="24"/>
        </w:rPr>
        <w:t> </w:t>
      </w:r>
      <w:r>
        <w:rPr>
          <w:spacing w:val="-2"/>
          <w:sz w:val="24"/>
        </w:rPr>
        <w:t>interview.</w:t>
      </w:r>
    </w:p>
    <w:p>
      <w:pPr>
        <w:pStyle w:val="ListParagraph"/>
        <w:numPr>
          <w:ilvl w:val="0"/>
          <w:numId w:val="111"/>
        </w:numPr>
        <w:tabs>
          <w:tab w:pos="1799" w:val="left" w:leader="none"/>
        </w:tabs>
        <w:spacing w:line="240" w:lineRule="auto" w:before="186" w:after="0"/>
        <w:ind w:left="1799" w:right="0" w:hanging="359"/>
        <w:jc w:val="left"/>
        <w:rPr>
          <w:sz w:val="24"/>
        </w:rPr>
      </w:pPr>
      <w:r>
        <w:rPr>
          <w:sz w:val="24"/>
        </w:rPr>
        <w:t>Letters</w:t>
      </w:r>
      <w:r>
        <w:rPr>
          <w:spacing w:val="-4"/>
          <w:sz w:val="24"/>
        </w:rPr>
        <w:t> </w:t>
      </w:r>
      <w:r>
        <w:rPr>
          <w:sz w:val="24"/>
        </w:rPr>
        <w:t>generated</w:t>
      </w:r>
      <w:r>
        <w:rPr>
          <w:spacing w:val="-3"/>
          <w:sz w:val="24"/>
        </w:rPr>
        <w:t> </w:t>
      </w:r>
      <w:r>
        <w:rPr>
          <w:sz w:val="24"/>
        </w:rPr>
        <w:t>in</w:t>
      </w:r>
      <w:r>
        <w:rPr>
          <w:spacing w:val="-3"/>
          <w:sz w:val="24"/>
        </w:rPr>
        <w:t> </w:t>
      </w:r>
      <w:r>
        <w:rPr>
          <w:spacing w:val="-2"/>
          <w:sz w:val="24"/>
        </w:rPr>
        <w:t>AWARE.</w:t>
      </w:r>
    </w:p>
    <w:p>
      <w:pPr>
        <w:pStyle w:val="ListParagraph"/>
        <w:numPr>
          <w:ilvl w:val="0"/>
          <w:numId w:val="111"/>
        </w:numPr>
        <w:tabs>
          <w:tab w:pos="1799" w:val="left" w:leader="none"/>
        </w:tabs>
        <w:spacing w:line="240" w:lineRule="auto" w:before="186" w:after="0"/>
        <w:ind w:left="1799" w:right="0" w:hanging="359"/>
        <w:jc w:val="left"/>
        <w:rPr>
          <w:sz w:val="24"/>
        </w:rPr>
      </w:pPr>
      <w:r>
        <w:rPr>
          <w:sz w:val="24"/>
        </w:rPr>
        <w:t>Voter</w:t>
      </w:r>
      <w:r>
        <w:rPr>
          <w:spacing w:val="-6"/>
          <w:sz w:val="24"/>
        </w:rPr>
        <w:t> </w:t>
      </w:r>
      <w:r>
        <w:rPr>
          <w:sz w:val="24"/>
        </w:rPr>
        <w:t>registration</w:t>
      </w:r>
      <w:r>
        <w:rPr>
          <w:spacing w:val="-4"/>
          <w:sz w:val="24"/>
        </w:rPr>
        <w:t> </w:t>
      </w:r>
      <w:r>
        <w:rPr>
          <w:spacing w:val="-2"/>
          <w:sz w:val="24"/>
        </w:rPr>
        <w:t>application.</w:t>
      </w:r>
    </w:p>
    <w:p>
      <w:pPr>
        <w:pStyle w:val="ListParagraph"/>
        <w:numPr>
          <w:ilvl w:val="0"/>
          <w:numId w:val="111"/>
        </w:numPr>
        <w:tabs>
          <w:tab w:pos="1799" w:val="left" w:leader="none"/>
        </w:tabs>
        <w:spacing w:line="405" w:lineRule="auto" w:before="186" w:after="0"/>
        <w:ind w:left="792" w:right="2139" w:firstLine="648"/>
        <w:jc w:val="left"/>
        <w:rPr>
          <w:sz w:val="24"/>
        </w:rPr>
      </w:pPr>
      <w:r>
        <w:rPr>
          <w:sz w:val="24"/>
        </w:rPr>
        <w:t>Library application (document in Case Note.). KNOWLEDGELAKE</w:t>
      </w:r>
      <w:r>
        <w:rPr>
          <w:spacing w:val="-9"/>
          <w:sz w:val="24"/>
        </w:rPr>
        <w:t> </w:t>
      </w:r>
      <w:r>
        <w:rPr>
          <w:sz w:val="24"/>
        </w:rPr>
        <w:t>KIOSK</w:t>
      </w:r>
      <w:r>
        <w:rPr>
          <w:spacing w:val="-9"/>
          <w:sz w:val="24"/>
        </w:rPr>
        <w:t> </w:t>
      </w:r>
      <w:r>
        <w:rPr>
          <w:sz w:val="24"/>
        </w:rPr>
        <w:t>AND</w:t>
      </w:r>
      <w:r>
        <w:rPr>
          <w:spacing w:val="-9"/>
          <w:sz w:val="24"/>
        </w:rPr>
        <w:t> </w:t>
      </w:r>
      <w:r>
        <w:rPr>
          <w:sz w:val="24"/>
        </w:rPr>
        <w:t>DESKTOP</w:t>
      </w:r>
      <w:r>
        <w:rPr>
          <w:spacing w:val="-9"/>
          <w:sz w:val="24"/>
        </w:rPr>
        <w:t> </w:t>
      </w:r>
      <w:r>
        <w:rPr>
          <w:sz w:val="24"/>
        </w:rPr>
        <w:t>SCANNING</w:t>
      </w:r>
      <w:r>
        <w:rPr>
          <w:spacing w:val="-8"/>
          <w:sz w:val="24"/>
        </w:rPr>
        <w:t> </w:t>
      </w:r>
      <w:r>
        <w:rPr>
          <w:sz w:val="24"/>
        </w:rPr>
        <w:t>PROTOCOL</w:t>
      </w:r>
    </w:p>
    <w:p>
      <w:pPr>
        <w:pStyle w:val="ListParagraph"/>
        <w:numPr>
          <w:ilvl w:val="0"/>
          <w:numId w:val="111"/>
        </w:numPr>
        <w:tabs>
          <w:tab w:pos="1800" w:val="left" w:leader="none"/>
        </w:tabs>
        <w:spacing w:line="208" w:lineRule="auto" w:before="28" w:after="0"/>
        <w:ind w:left="1800" w:right="912" w:hanging="360"/>
        <w:jc w:val="left"/>
        <w:rPr>
          <w:sz w:val="24"/>
        </w:rPr>
      </w:pPr>
      <w:r>
        <w:rPr>
          <w:sz w:val="24"/>
        </w:rPr>
        <w:t>Application (C1, C1(a), C2) – scan the C1, C1(a), and C2 and put the application date in the case comment section. *Note the application date stamp</w:t>
      </w:r>
      <w:r>
        <w:rPr>
          <w:spacing w:val="-3"/>
          <w:sz w:val="24"/>
        </w:rPr>
        <w:t> </w:t>
      </w:r>
      <w:r>
        <w:rPr>
          <w:sz w:val="24"/>
        </w:rPr>
        <w:t>must</w:t>
      </w:r>
      <w:r>
        <w:rPr>
          <w:spacing w:val="-2"/>
          <w:sz w:val="24"/>
        </w:rPr>
        <w:t> </w:t>
      </w:r>
      <w:r>
        <w:rPr>
          <w:sz w:val="24"/>
        </w:rPr>
        <w:t>be</w:t>
      </w:r>
      <w:r>
        <w:rPr>
          <w:spacing w:val="-3"/>
          <w:sz w:val="24"/>
        </w:rPr>
        <w:t> </w:t>
      </w:r>
      <w:r>
        <w:rPr>
          <w:sz w:val="24"/>
        </w:rPr>
        <w:t>on</w:t>
      </w:r>
      <w:r>
        <w:rPr>
          <w:spacing w:val="-3"/>
          <w:sz w:val="24"/>
        </w:rPr>
        <w:t> </w:t>
      </w:r>
      <w:r>
        <w:rPr>
          <w:sz w:val="24"/>
        </w:rPr>
        <w:t>the</w:t>
      </w:r>
      <w:r>
        <w:rPr>
          <w:spacing w:val="-4"/>
          <w:sz w:val="24"/>
        </w:rPr>
        <w:t> </w:t>
      </w:r>
      <w:r>
        <w:rPr>
          <w:sz w:val="24"/>
        </w:rPr>
        <w:t>front-bottom</w:t>
      </w:r>
      <w:r>
        <w:rPr>
          <w:spacing w:val="-2"/>
          <w:sz w:val="24"/>
        </w:rPr>
        <w:t> </w:t>
      </w:r>
      <w:r>
        <w:rPr>
          <w:sz w:val="24"/>
        </w:rPr>
        <w:t>of</w:t>
      </w:r>
      <w:r>
        <w:rPr>
          <w:spacing w:val="-4"/>
          <w:sz w:val="24"/>
        </w:rPr>
        <w:t> </w:t>
      </w:r>
      <w:r>
        <w:rPr>
          <w:sz w:val="24"/>
        </w:rPr>
        <w:t>the</w:t>
      </w:r>
      <w:r>
        <w:rPr>
          <w:spacing w:val="-3"/>
          <w:sz w:val="24"/>
        </w:rPr>
        <w:t> </w:t>
      </w:r>
      <w:r>
        <w:rPr>
          <w:sz w:val="24"/>
        </w:rPr>
        <w:t>C-1.</w:t>
      </w:r>
      <w:r>
        <w:rPr>
          <w:spacing w:val="-2"/>
          <w:sz w:val="24"/>
        </w:rPr>
        <w:t> </w:t>
      </w:r>
      <w:r>
        <w:rPr>
          <w:sz w:val="24"/>
        </w:rPr>
        <w:t>The</w:t>
      </w:r>
      <w:r>
        <w:rPr>
          <w:spacing w:val="-3"/>
          <w:sz w:val="24"/>
        </w:rPr>
        <w:t> </w:t>
      </w:r>
      <w:r>
        <w:rPr>
          <w:sz w:val="24"/>
        </w:rPr>
        <w:t>application</w:t>
      </w:r>
      <w:r>
        <w:rPr>
          <w:spacing w:val="-3"/>
          <w:sz w:val="24"/>
        </w:rPr>
        <w:t> </w:t>
      </w:r>
      <w:r>
        <w:rPr>
          <w:sz w:val="24"/>
        </w:rPr>
        <w:t>date</w:t>
      </w:r>
      <w:r>
        <w:rPr>
          <w:spacing w:val="-2"/>
          <w:sz w:val="24"/>
        </w:rPr>
        <w:t> </w:t>
      </w:r>
      <w:r>
        <w:rPr>
          <w:sz w:val="24"/>
        </w:rPr>
        <w:t>is</w:t>
      </w:r>
      <w:r>
        <w:rPr>
          <w:spacing w:val="-3"/>
          <w:sz w:val="24"/>
        </w:rPr>
        <w:t> </w:t>
      </w:r>
      <w:r>
        <w:rPr>
          <w:sz w:val="24"/>
        </w:rPr>
        <w:t>the date the application is received in the DVR/DSBVI office.</w:t>
      </w:r>
    </w:p>
    <w:p>
      <w:pPr>
        <w:pStyle w:val="ListParagraph"/>
        <w:numPr>
          <w:ilvl w:val="0"/>
          <w:numId w:val="111"/>
        </w:numPr>
        <w:tabs>
          <w:tab w:pos="1800" w:val="left" w:leader="none"/>
        </w:tabs>
        <w:spacing w:line="208" w:lineRule="auto" w:before="224" w:after="0"/>
        <w:ind w:left="1800" w:right="727" w:hanging="360"/>
        <w:jc w:val="left"/>
        <w:rPr>
          <w:sz w:val="24"/>
        </w:rPr>
      </w:pPr>
      <w:r>
        <w:rPr>
          <w:sz w:val="24"/>
        </w:rPr>
        <w:t>Authorization</w:t>
      </w:r>
      <w:r>
        <w:rPr>
          <w:spacing w:val="-2"/>
          <w:sz w:val="24"/>
        </w:rPr>
        <w:t> </w:t>
      </w:r>
      <w:r>
        <w:rPr>
          <w:sz w:val="24"/>
        </w:rPr>
        <w:t>–</w:t>
      </w:r>
      <w:r>
        <w:rPr>
          <w:spacing w:val="-2"/>
          <w:sz w:val="24"/>
        </w:rPr>
        <w:t> </w:t>
      </w:r>
      <w:r>
        <w:rPr>
          <w:sz w:val="24"/>
        </w:rPr>
        <w:t>All</w:t>
      </w:r>
      <w:r>
        <w:rPr>
          <w:spacing w:val="-2"/>
          <w:sz w:val="24"/>
        </w:rPr>
        <w:t> </w:t>
      </w:r>
      <w:r>
        <w:rPr>
          <w:sz w:val="24"/>
        </w:rPr>
        <w:t>authorizations</w:t>
      </w:r>
      <w:r>
        <w:rPr>
          <w:spacing w:val="-1"/>
          <w:sz w:val="24"/>
        </w:rPr>
        <w:t> </w:t>
      </w:r>
      <w:r>
        <w:rPr>
          <w:sz w:val="24"/>
        </w:rPr>
        <w:t>(non-medical,</w:t>
      </w:r>
      <w:r>
        <w:rPr>
          <w:spacing w:val="-1"/>
          <w:sz w:val="24"/>
        </w:rPr>
        <w:t> </w:t>
      </w:r>
      <w:r>
        <w:rPr>
          <w:sz w:val="24"/>
        </w:rPr>
        <w:t>direct,</w:t>
      </w:r>
      <w:r>
        <w:rPr>
          <w:spacing w:val="-3"/>
          <w:sz w:val="24"/>
        </w:rPr>
        <w:t> </w:t>
      </w:r>
      <w:r>
        <w:rPr>
          <w:sz w:val="24"/>
        </w:rPr>
        <w:t>medical,</w:t>
      </w:r>
      <w:r>
        <w:rPr>
          <w:spacing w:val="-1"/>
          <w:sz w:val="24"/>
        </w:rPr>
        <w:t> </w:t>
      </w:r>
      <w:r>
        <w:rPr>
          <w:sz w:val="24"/>
        </w:rPr>
        <w:t>pharmacy, direct tuition) along with supporting documentation must be scanned after a</w:t>
      </w:r>
      <w:r>
        <w:rPr>
          <w:spacing w:val="-5"/>
          <w:sz w:val="24"/>
        </w:rPr>
        <w:t> </w:t>
      </w:r>
      <w:r>
        <w:rPr>
          <w:sz w:val="24"/>
        </w:rPr>
        <w:t>qualified</w:t>
      </w:r>
      <w:r>
        <w:rPr>
          <w:spacing w:val="-5"/>
          <w:sz w:val="24"/>
        </w:rPr>
        <w:t> </w:t>
      </w:r>
      <w:r>
        <w:rPr>
          <w:sz w:val="24"/>
        </w:rPr>
        <w:t>Rehabilitation</w:t>
      </w:r>
      <w:r>
        <w:rPr>
          <w:spacing w:val="-5"/>
          <w:sz w:val="24"/>
        </w:rPr>
        <w:t> </w:t>
      </w:r>
      <w:r>
        <w:rPr>
          <w:sz w:val="24"/>
        </w:rPr>
        <w:t>Counselor</w:t>
      </w:r>
      <w:r>
        <w:rPr>
          <w:spacing w:val="-4"/>
          <w:sz w:val="24"/>
        </w:rPr>
        <w:t> </w:t>
      </w:r>
      <w:r>
        <w:rPr>
          <w:sz w:val="24"/>
        </w:rPr>
        <w:t>has</w:t>
      </w:r>
      <w:r>
        <w:rPr>
          <w:spacing w:val="-5"/>
          <w:sz w:val="24"/>
        </w:rPr>
        <w:t> </w:t>
      </w:r>
      <w:r>
        <w:rPr>
          <w:sz w:val="24"/>
        </w:rPr>
        <w:t>signed</w:t>
      </w:r>
      <w:r>
        <w:rPr>
          <w:spacing w:val="-5"/>
          <w:sz w:val="24"/>
        </w:rPr>
        <w:t> </w:t>
      </w:r>
      <w:r>
        <w:rPr>
          <w:sz w:val="24"/>
        </w:rPr>
        <w:t>them.</w:t>
      </w:r>
      <w:r>
        <w:rPr>
          <w:spacing w:val="-4"/>
          <w:sz w:val="24"/>
        </w:rPr>
        <w:t> </w:t>
      </w:r>
      <w:r>
        <w:rPr>
          <w:sz w:val="24"/>
        </w:rPr>
        <w:t>After</w:t>
      </w:r>
      <w:r>
        <w:rPr>
          <w:spacing w:val="-4"/>
          <w:sz w:val="24"/>
        </w:rPr>
        <w:t> </w:t>
      </w:r>
      <w:r>
        <w:rPr>
          <w:sz w:val="24"/>
        </w:rPr>
        <w:t>creating</w:t>
      </w:r>
      <w:r>
        <w:rPr>
          <w:spacing w:val="-5"/>
          <w:sz w:val="24"/>
        </w:rPr>
        <w:t> </w:t>
      </w:r>
      <w:r>
        <w:rPr>
          <w:sz w:val="24"/>
        </w:rPr>
        <w:t>a</w:t>
      </w:r>
      <w:r>
        <w:rPr>
          <w:spacing w:val="-5"/>
          <w:sz w:val="24"/>
        </w:rPr>
        <w:t> </w:t>
      </w:r>
      <w:r>
        <w:rPr>
          <w:sz w:val="24"/>
        </w:rPr>
        <w:t>non- medical authorization, the counselor signs it, and it is scanned into Knowledgelake</w:t>
      </w:r>
      <w:r>
        <w:rPr>
          <w:spacing w:val="-3"/>
          <w:sz w:val="24"/>
        </w:rPr>
        <w:t> </w:t>
      </w:r>
      <w:r>
        <w:rPr>
          <w:sz w:val="24"/>
        </w:rPr>
        <w:t>with</w:t>
      </w:r>
      <w:r>
        <w:rPr>
          <w:spacing w:val="-3"/>
          <w:sz w:val="24"/>
        </w:rPr>
        <w:t> </w:t>
      </w:r>
      <w:r>
        <w:rPr>
          <w:sz w:val="24"/>
        </w:rPr>
        <w:t>clear</w:t>
      </w:r>
      <w:r>
        <w:rPr>
          <w:spacing w:val="-2"/>
          <w:sz w:val="24"/>
        </w:rPr>
        <w:t> </w:t>
      </w:r>
      <w:r>
        <w:rPr>
          <w:sz w:val="24"/>
        </w:rPr>
        <w:t>description</w:t>
      </w:r>
      <w:r>
        <w:rPr>
          <w:spacing w:val="-3"/>
          <w:sz w:val="24"/>
        </w:rPr>
        <w:t> </w:t>
      </w:r>
      <w:r>
        <w:rPr>
          <w:sz w:val="24"/>
        </w:rPr>
        <w:t>in</w:t>
      </w:r>
      <w:r>
        <w:rPr>
          <w:spacing w:val="-3"/>
          <w:sz w:val="24"/>
        </w:rPr>
        <w:t> </w:t>
      </w:r>
      <w:r>
        <w:rPr>
          <w:sz w:val="24"/>
        </w:rPr>
        <w:t>the</w:t>
      </w:r>
      <w:r>
        <w:rPr>
          <w:spacing w:val="-3"/>
          <w:sz w:val="24"/>
        </w:rPr>
        <w:t> </w:t>
      </w:r>
      <w:r>
        <w:rPr>
          <w:sz w:val="24"/>
        </w:rPr>
        <w:t>case</w:t>
      </w:r>
      <w:r>
        <w:rPr>
          <w:spacing w:val="-3"/>
          <w:sz w:val="24"/>
        </w:rPr>
        <w:t> </w:t>
      </w:r>
      <w:r>
        <w:rPr>
          <w:sz w:val="24"/>
        </w:rPr>
        <w:t>comment</w:t>
      </w:r>
      <w:r>
        <w:rPr>
          <w:spacing w:val="-2"/>
          <w:sz w:val="24"/>
        </w:rPr>
        <w:t> </w:t>
      </w:r>
      <w:r>
        <w:rPr>
          <w:sz w:val="24"/>
        </w:rPr>
        <w:t>of</w:t>
      </w:r>
      <w:r>
        <w:rPr>
          <w:spacing w:val="-2"/>
          <w:sz w:val="24"/>
        </w:rPr>
        <w:t> </w:t>
      </w:r>
      <w:r>
        <w:rPr>
          <w:sz w:val="24"/>
        </w:rPr>
        <w:t>what</w:t>
      </w:r>
      <w:r>
        <w:rPr>
          <w:spacing w:val="-4"/>
          <w:sz w:val="24"/>
        </w:rPr>
        <w:t> </w:t>
      </w:r>
      <w:r>
        <w:rPr>
          <w:sz w:val="24"/>
        </w:rPr>
        <w:t>it</w:t>
      </w:r>
      <w:r>
        <w:rPr>
          <w:spacing w:val="-2"/>
          <w:sz w:val="24"/>
        </w:rPr>
        <w:t> </w:t>
      </w:r>
      <w:r>
        <w:rPr>
          <w:sz w:val="24"/>
        </w:rPr>
        <w:t>is</w:t>
      </w:r>
      <w:r>
        <w:rPr>
          <w:spacing w:val="-3"/>
          <w:sz w:val="24"/>
        </w:rPr>
        <w:t> </w:t>
      </w:r>
      <w:r>
        <w:rPr>
          <w:sz w:val="24"/>
        </w:rPr>
        <w:t>for.</w:t>
      </w:r>
    </w:p>
    <w:p>
      <w:pPr>
        <w:pStyle w:val="ListParagraph"/>
        <w:numPr>
          <w:ilvl w:val="1"/>
          <w:numId w:val="111"/>
        </w:numPr>
        <w:tabs>
          <w:tab w:pos="2160" w:val="left" w:leader="none"/>
        </w:tabs>
        <w:spacing w:line="206" w:lineRule="auto" w:before="237" w:after="0"/>
        <w:ind w:left="2160" w:right="724" w:hanging="360"/>
        <w:jc w:val="left"/>
        <w:rPr>
          <w:rFonts w:ascii="Courier New" w:hAnsi="Courier New"/>
          <w:sz w:val="24"/>
        </w:rPr>
      </w:pPr>
      <w:r>
        <w:rPr>
          <w:sz w:val="24"/>
        </w:rPr>
        <w:t>Once documents come in to release payment, print the scanned authorization,</w:t>
      </w:r>
      <w:r>
        <w:rPr>
          <w:spacing w:val="-4"/>
          <w:sz w:val="24"/>
        </w:rPr>
        <w:t> </w:t>
      </w:r>
      <w:r>
        <w:rPr>
          <w:sz w:val="24"/>
        </w:rPr>
        <w:t>have</w:t>
      </w:r>
      <w:r>
        <w:rPr>
          <w:spacing w:val="-5"/>
          <w:sz w:val="24"/>
        </w:rPr>
        <w:t> </w:t>
      </w:r>
      <w:r>
        <w:rPr>
          <w:sz w:val="24"/>
        </w:rPr>
        <w:t>a</w:t>
      </w:r>
      <w:r>
        <w:rPr>
          <w:spacing w:val="-5"/>
          <w:sz w:val="24"/>
        </w:rPr>
        <w:t> </w:t>
      </w:r>
      <w:r>
        <w:rPr>
          <w:sz w:val="24"/>
        </w:rPr>
        <w:t>second</w:t>
      </w:r>
      <w:r>
        <w:rPr>
          <w:spacing w:val="-5"/>
          <w:sz w:val="24"/>
        </w:rPr>
        <w:t> </w:t>
      </w:r>
      <w:r>
        <w:rPr>
          <w:sz w:val="24"/>
        </w:rPr>
        <w:t>person</w:t>
      </w:r>
      <w:r>
        <w:rPr>
          <w:spacing w:val="-5"/>
          <w:sz w:val="24"/>
        </w:rPr>
        <w:t> </w:t>
      </w:r>
      <w:r>
        <w:rPr>
          <w:sz w:val="24"/>
        </w:rPr>
        <w:t>sign</w:t>
      </w:r>
      <w:r>
        <w:rPr>
          <w:spacing w:val="-5"/>
          <w:sz w:val="24"/>
        </w:rPr>
        <w:t> </w:t>
      </w:r>
      <w:r>
        <w:rPr>
          <w:sz w:val="24"/>
        </w:rPr>
        <w:t>the</w:t>
      </w:r>
      <w:r>
        <w:rPr>
          <w:spacing w:val="-5"/>
          <w:sz w:val="24"/>
        </w:rPr>
        <w:t> </w:t>
      </w:r>
      <w:r>
        <w:rPr>
          <w:sz w:val="24"/>
        </w:rPr>
        <w:t>authorization</w:t>
      </w:r>
      <w:r>
        <w:rPr>
          <w:spacing w:val="-5"/>
          <w:sz w:val="24"/>
        </w:rPr>
        <w:t> </w:t>
      </w:r>
      <w:r>
        <w:rPr>
          <w:sz w:val="24"/>
        </w:rPr>
        <w:t>for</w:t>
      </w:r>
      <w:r>
        <w:rPr>
          <w:spacing w:val="-4"/>
          <w:sz w:val="24"/>
        </w:rPr>
        <w:t> </w:t>
      </w:r>
      <w:r>
        <w:rPr>
          <w:sz w:val="24"/>
        </w:rPr>
        <w:t>payment and scan into Knowledgelake.</w:t>
      </w:r>
      <w:r>
        <w:rPr>
          <w:spacing w:val="80"/>
          <w:sz w:val="24"/>
        </w:rPr>
        <w:t> </w:t>
      </w:r>
      <w:r>
        <w:rPr>
          <w:sz w:val="24"/>
        </w:rPr>
        <w:t>Each time a line is released for</w:t>
      </w:r>
      <w:r>
        <w:rPr>
          <w:sz w:val="24"/>
        </w:rPr>
        <w:t> payment (i.e. Work Adjustment Training/WAT, School Work Study/SWS, milestones) the authorization must be printed from Knowledgelake, signed, and scanned again.</w:t>
      </w:r>
    </w:p>
    <w:p>
      <w:pPr>
        <w:pStyle w:val="ListParagraph"/>
        <w:numPr>
          <w:ilvl w:val="1"/>
          <w:numId w:val="111"/>
        </w:numPr>
        <w:tabs>
          <w:tab w:pos="2160" w:val="left" w:leader="none"/>
        </w:tabs>
        <w:spacing w:line="204" w:lineRule="auto" w:before="237" w:after="0"/>
        <w:ind w:left="2160" w:right="954" w:hanging="360"/>
        <w:jc w:val="left"/>
        <w:rPr>
          <w:rFonts w:ascii="Courier New" w:hAnsi="Courier New"/>
          <w:sz w:val="24"/>
        </w:rPr>
      </w:pPr>
      <w:r>
        <w:rPr>
          <w:sz w:val="24"/>
        </w:rPr>
        <w:t>Scan documents relating to the authorization together under the particular authorization (i.e. milestone invoices, WAT or SWS time sheets,</w:t>
      </w:r>
      <w:r>
        <w:rPr>
          <w:spacing w:val="-5"/>
          <w:sz w:val="24"/>
        </w:rPr>
        <w:t> </w:t>
      </w:r>
      <w:r>
        <w:rPr>
          <w:sz w:val="24"/>
        </w:rPr>
        <w:t>details</w:t>
      </w:r>
      <w:r>
        <w:rPr>
          <w:spacing w:val="-6"/>
          <w:sz w:val="24"/>
        </w:rPr>
        <w:t> </w:t>
      </w:r>
      <w:r>
        <w:rPr>
          <w:sz w:val="24"/>
        </w:rPr>
        <w:t>for</w:t>
      </w:r>
      <w:r>
        <w:rPr>
          <w:spacing w:val="-5"/>
          <w:sz w:val="24"/>
        </w:rPr>
        <w:t> </w:t>
      </w:r>
      <w:r>
        <w:rPr>
          <w:sz w:val="24"/>
        </w:rPr>
        <w:t>calculating</w:t>
      </w:r>
      <w:r>
        <w:rPr>
          <w:spacing w:val="-6"/>
          <w:sz w:val="24"/>
        </w:rPr>
        <w:t> </w:t>
      </w:r>
      <w:r>
        <w:rPr>
          <w:sz w:val="24"/>
        </w:rPr>
        <w:t>transportation,</w:t>
      </w:r>
      <w:r>
        <w:rPr>
          <w:spacing w:val="-7"/>
          <w:sz w:val="24"/>
        </w:rPr>
        <w:t> </w:t>
      </w:r>
      <w:r>
        <w:rPr>
          <w:sz w:val="24"/>
        </w:rPr>
        <w:t>invoices,</w:t>
      </w:r>
      <w:r>
        <w:rPr>
          <w:spacing w:val="-5"/>
          <w:sz w:val="24"/>
        </w:rPr>
        <w:t> </w:t>
      </w:r>
      <w:r>
        <w:rPr>
          <w:sz w:val="24"/>
        </w:rPr>
        <w:t>medical</w:t>
      </w:r>
      <w:r>
        <w:rPr>
          <w:spacing w:val="-6"/>
          <w:sz w:val="24"/>
        </w:rPr>
        <w:t> </w:t>
      </w:r>
      <w:r>
        <w:rPr>
          <w:sz w:val="24"/>
        </w:rPr>
        <w:t>record invoices,</w:t>
      </w:r>
      <w:r>
        <w:rPr>
          <w:spacing w:val="-4"/>
          <w:sz w:val="24"/>
        </w:rPr>
        <w:t> </w:t>
      </w:r>
      <w:r>
        <w:rPr>
          <w:sz w:val="24"/>
        </w:rPr>
        <w:t>tuition/fees/books,</w:t>
      </w:r>
      <w:r>
        <w:rPr>
          <w:spacing w:val="-4"/>
          <w:sz w:val="24"/>
        </w:rPr>
        <w:t> </w:t>
      </w:r>
      <w:r>
        <w:rPr>
          <w:sz w:val="24"/>
        </w:rPr>
        <w:t>faxes</w:t>
      </w:r>
      <w:r>
        <w:rPr>
          <w:spacing w:val="-4"/>
          <w:sz w:val="24"/>
        </w:rPr>
        <w:t> </w:t>
      </w:r>
      <w:r>
        <w:rPr>
          <w:sz w:val="24"/>
        </w:rPr>
        <w:t>and</w:t>
      </w:r>
      <w:r>
        <w:rPr>
          <w:spacing w:val="-4"/>
          <w:sz w:val="24"/>
        </w:rPr>
        <w:t> </w:t>
      </w:r>
      <w:r>
        <w:rPr>
          <w:sz w:val="24"/>
        </w:rPr>
        <w:t>fax</w:t>
      </w:r>
      <w:r>
        <w:rPr>
          <w:spacing w:val="-4"/>
          <w:sz w:val="24"/>
        </w:rPr>
        <w:t> </w:t>
      </w:r>
      <w:r>
        <w:rPr>
          <w:sz w:val="24"/>
        </w:rPr>
        <w:t>confirmations</w:t>
      </w:r>
      <w:r>
        <w:rPr>
          <w:spacing w:val="-4"/>
          <w:sz w:val="24"/>
        </w:rPr>
        <w:t> </w:t>
      </w:r>
      <w:r>
        <w:rPr>
          <w:sz w:val="24"/>
        </w:rPr>
        <w:t>pertaining</w:t>
      </w:r>
      <w:r>
        <w:rPr>
          <w:spacing w:val="-4"/>
          <w:sz w:val="24"/>
        </w:rPr>
        <w:t> </w:t>
      </w:r>
      <w:r>
        <w:rPr>
          <w:sz w:val="24"/>
        </w:rPr>
        <w:t>to the particular authorization, etc.).</w:t>
      </w:r>
    </w:p>
    <w:p>
      <w:pPr>
        <w:pStyle w:val="ListParagraph"/>
        <w:numPr>
          <w:ilvl w:val="1"/>
          <w:numId w:val="111"/>
        </w:numPr>
        <w:tabs>
          <w:tab w:pos="2160" w:val="left" w:leader="none"/>
        </w:tabs>
        <w:spacing w:line="206" w:lineRule="auto" w:before="244" w:after="0"/>
        <w:ind w:left="2160" w:right="754" w:hanging="360"/>
        <w:jc w:val="left"/>
        <w:rPr>
          <w:rFonts w:ascii="Courier New" w:hAnsi="Courier New"/>
          <w:sz w:val="24"/>
        </w:rPr>
      </w:pPr>
      <w:r>
        <w:rPr>
          <w:sz w:val="24"/>
        </w:rPr>
        <w:t>Under</w:t>
      </w:r>
      <w:r>
        <w:rPr>
          <w:spacing w:val="-5"/>
          <w:sz w:val="24"/>
        </w:rPr>
        <w:t> </w:t>
      </w:r>
      <w:r>
        <w:rPr>
          <w:sz w:val="24"/>
        </w:rPr>
        <w:t>case</w:t>
      </w:r>
      <w:r>
        <w:rPr>
          <w:spacing w:val="-5"/>
          <w:sz w:val="24"/>
        </w:rPr>
        <w:t> </w:t>
      </w:r>
      <w:r>
        <w:rPr>
          <w:sz w:val="24"/>
        </w:rPr>
        <w:t>comments</w:t>
      </w:r>
      <w:r>
        <w:rPr>
          <w:spacing w:val="-6"/>
          <w:sz w:val="24"/>
        </w:rPr>
        <w:t> </w:t>
      </w:r>
      <w:r>
        <w:rPr>
          <w:sz w:val="24"/>
        </w:rPr>
        <w:t>clearly</w:t>
      </w:r>
      <w:r>
        <w:rPr>
          <w:spacing w:val="-5"/>
          <w:sz w:val="24"/>
        </w:rPr>
        <w:t> </w:t>
      </w:r>
      <w:r>
        <w:rPr>
          <w:sz w:val="24"/>
        </w:rPr>
        <w:t>indicate</w:t>
      </w:r>
      <w:r>
        <w:rPr>
          <w:spacing w:val="-5"/>
          <w:sz w:val="24"/>
        </w:rPr>
        <w:t> </w:t>
      </w:r>
      <w:r>
        <w:rPr>
          <w:sz w:val="24"/>
        </w:rPr>
        <w:t>what</w:t>
      </w:r>
      <w:r>
        <w:rPr>
          <w:spacing w:val="-5"/>
          <w:sz w:val="24"/>
        </w:rPr>
        <w:t> </w:t>
      </w:r>
      <w:r>
        <w:rPr>
          <w:sz w:val="24"/>
        </w:rPr>
        <w:t>the</w:t>
      </w:r>
      <w:r>
        <w:rPr>
          <w:spacing w:val="-5"/>
          <w:sz w:val="24"/>
        </w:rPr>
        <w:t> </w:t>
      </w:r>
      <w:r>
        <w:rPr>
          <w:sz w:val="24"/>
        </w:rPr>
        <w:t>particular</w:t>
      </w:r>
      <w:r>
        <w:rPr>
          <w:spacing w:val="-5"/>
          <w:sz w:val="24"/>
        </w:rPr>
        <w:t> </w:t>
      </w:r>
      <w:r>
        <w:rPr>
          <w:sz w:val="24"/>
        </w:rPr>
        <w:t>authorization is for and completion date.</w:t>
      </w:r>
      <w:r>
        <w:rPr>
          <w:spacing w:val="40"/>
          <w:sz w:val="24"/>
        </w:rPr>
        <w:t> </w:t>
      </w:r>
      <w:r>
        <w:rPr>
          <w:sz w:val="24"/>
        </w:rPr>
        <w:t>For example, a Supported Employment (SE) R4 milestone - type in “R4 completed 4/2/23”, Supported Employment Stabilization milestone – type in “SE-ST completed 5/28/23, and so on.</w:t>
      </w:r>
      <w:r>
        <w:rPr>
          <w:spacing w:val="80"/>
          <w:sz w:val="24"/>
        </w:rPr>
        <w:t> </w:t>
      </w:r>
      <w:r>
        <w:rPr>
          <w:sz w:val="24"/>
        </w:rPr>
        <w:t>For Work Adjustment or School Work Study type in “WAT Nov 2023” or “SWS Jan 2023”. For college indicate term/year/number of hours, etc.</w:t>
      </w:r>
    </w:p>
    <w:p>
      <w:pPr>
        <w:pStyle w:val="ListParagraph"/>
        <w:numPr>
          <w:ilvl w:val="1"/>
          <w:numId w:val="111"/>
        </w:numPr>
        <w:tabs>
          <w:tab w:pos="2160" w:val="left" w:leader="none"/>
        </w:tabs>
        <w:spacing w:line="194" w:lineRule="auto" w:before="248" w:after="0"/>
        <w:ind w:left="2160" w:right="1061" w:hanging="360"/>
        <w:jc w:val="left"/>
        <w:rPr>
          <w:rFonts w:ascii="Courier New" w:hAnsi="Courier New"/>
          <w:sz w:val="24"/>
        </w:rPr>
      </w:pPr>
      <w:r>
        <w:rPr>
          <w:sz w:val="24"/>
        </w:rPr>
        <w:t>Keep</w:t>
      </w:r>
      <w:r>
        <w:rPr>
          <w:spacing w:val="-3"/>
          <w:sz w:val="24"/>
        </w:rPr>
        <w:t> </w:t>
      </w:r>
      <w:r>
        <w:rPr>
          <w:sz w:val="24"/>
        </w:rPr>
        <w:t>in</w:t>
      </w:r>
      <w:r>
        <w:rPr>
          <w:spacing w:val="-3"/>
          <w:sz w:val="24"/>
        </w:rPr>
        <w:t> </w:t>
      </w:r>
      <w:r>
        <w:rPr>
          <w:sz w:val="24"/>
        </w:rPr>
        <w:t>mind</w:t>
      </w:r>
      <w:r>
        <w:rPr>
          <w:spacing w:val="-3"/>
          <w:sz w:val="24"/>
        </w:rPr>
        <w:t> </w:t>
      </w:r>
      <w:r>
        <w:rPr>
          <w:sz w:val="24"/>
        </w:rPr>
        <w:t>you</w:t>
      </w:r>
      <w:r>
        <w:rPr>
          <w:spacing w:val="-3"/>
          <w:sz w:val="24"/>
        </w:rPr>
        <w:t> </w:t>
      </w:r>
      <w:r>
        <w:rPr>
          <w:sz w:val="24"/>
        </w:rPr>
        <w:t>must</w:t>
      </w:r>
      <w:r>
        <w:rPr>
          <w:spacing w:val="-2"/>
          <w:sz w:val="24"/>
        </w:rPr>
        <w:t> </w:t>
      </w:r>
      <w:r>
        <w:rPr>
          <w:sz w:val="24"/>
        </w:rPr>
        <w:t>have</w:t>
      </w:r>
      <w:r>
        <w:rPr>
          <w:spacing w:val="-3"/>
          <w:sz w:val="24"/>
        </w:rPr>
        <w:t> </w:t>
      </w:r>
      <w:r>
        <w:rPr>
          <w:sz w:val="24"/>
        </w:rPr>
        <w:t>the</w:t>
      </w:r>
      <w:r>
        <w:rPr>
          <w:spacing w:val="-4"/>
          <w:sz w:val="24"/>
        </w:rPr>
        <w:t> </w:t>
      </w:r>
      <w:r>
        <w:rPr>
          <w:sz w:val="24"/>
        </w:rPr>
        <w:t>authorization</w:t>
      </w:r>
      <w:r>
        <w:rPr>
          <w:spacing w:val="-3"/>
          <w:sz w:val="24"/>
        </w:rPr>
        <w:t> </w:t>
      </w:r>
      <w:r>
        <w:rPr>
          <w:sz w:val="24"/>
        </w:rPr>
        <w:t>open</w:t>
      </w:r>
      <w:r>
        <w:rPr>
          <w:spacing w:val="-3"/>
          <w:sz w:val="24"/>
        </w:rPr>
        <w:t> </w:t>
      </w:r>
      <w:r>
        <w:rPr>
          <w:sz w:val="24"/>
        </w:rPr>
        <w:t>to</w:t>
      </w:r>
      <w:r>
        <w:rPr>
          <w:spacing w:val="-3"/>
          <w:sz w:val="24"/>
        </w:rPr>
        <w:t> </w:t>
      </w:r>
      <w:r>
        <w:rPr>
          <w:sz w:val="24"/>
        </w:rPr>
        <w:t>scan</w:t>
      </w:r>
      <w:r>
        <w:rPr>
          <w:spacing w:val="-3"/>
          <w:sz w:val="24"/>
        </w:rPr>
        <w:t> </w:t>
      </w:r>
      <w:r>
        <w:rPr>
          <w:sz w:val="24"/>
        </w:rPr>
        <w:t>so</w:t>
      </w:r>
      <w:r>
        <w:rPr>
          <w:spacing w:val="-3"/>
          <w:sz w:val="24"/>
        </w:rPr>
        <w:t> </w:t>
      </w:r>
      <w:r>
        <w:rPr>
          <w:sz w:val="24"/>
        </w:rPr>
        <w:t>it</w:t>
      </w:r>
      <w:r>
        <w:rPr>
          <w:spacing w:val="-4"/>
          <w:sz w:val="24"/>
        </w:rPr>
        <w:t> </w:t>
      </w:r>
      <w:r>
        <w:rPr>
          <w:sz w:val="24"/>
        </w:rPr>
        <w:t>will show up in search under the authorization number.</w:t>
      </w:r>
    </w:p>
    <w:p>
      <w:pPr>
        <w:pStyle w:val="ListParagraph"/>
        <w:numPr>
          <w:ilvl w:val="0"/>
          <w:numId w:val="111"/>
        </w:numPr>
        <w:tabs>
          <w:tab w:pos="1800" w:val="left" w:leader="none"/>
        </w:tabs>
        <w:spacing w:line="206" w:lineRule="auto" w:before="230" w:after="0"/>
        <w:ind w:left="1800" w:right="1982" w:hanging="360"/>
        <w:jc w:val="left"/>
        <w:rPr>
          <w:sz w:val="24"/>
        </w:rPr>
      </w:pPr>
      <w:r>
        <w:rPr>
          <w:sz w:val="24"/>
        </w:rPr>
        <w:t>Business</w:t>
      </w:r>
      <w:r>
        <w:rPr>
          <w:spacing w:val="-6"/>
          <w:sz w:val="24"/>
        </w:rPr>
        <w:t> </w:t>
      </w:r>
      <w:r>
        <w:rPr>
          <w:sz w:val="24"/>
        </w:rPr>
        <w:t>Plan</w:t>
      </w:r>
      <w:r>
        <w:rPr>
          <w:spacing w:val="-6"/>
          <w:sz w:val="24"/>
        </w:rPr>
        <w:t> </w:t>
      </w:r>
      <w:r>
        <w:rPr>
          <w:sz w:val="24"/>
        </w:rPr>
        <w:t>–</w:t>
      </w:r>
      <w:r>
        <w:rPr>
          <w:spacing w:val="-6"/>
          <w:sz w:val="24"/>
        </w:rPr>
        <w:t> </w:t>
      </w:r>
      <w:r>
        <w:rPr>
          <w:sz w:val="24"/>
        </w:rPr>
        <w:t>self-employment</w:t>
      </w:r>
      <w:r>
        <w:rPr>
          <w:spacing w:val="-5"/>
          <w:sz w:val="24"/>
        </w:rPr>
        <w:t> </w:t>
      </w:r>
      <w:r>
        <w:rPr>
          <w:sz w:val="24"/>
        </w:rPr>
        <w:t>business</w:t>
      </w:r>
      <w:r>
        <w:rPr>
          <w:spacing w:val="-6"/>
          <w:sz w:val="24"/>
        </w:rPr>
        <w:t> </w:t>
      </w:r>
      <w:r>
        <w:rPr>
          <w:sz w:val="24"/>
        </w:rPr>
        <w:t>plan</w:t>
      </w:r>
      <w:r>
        <w:rPr>
          <w:spacing w:val="-6"/>
          <w:sz w:val="24"/>
        </w:rPr>
        <w:t> </w:t>
      </w:r>
      <w:r>
        <w:rPr>
          <w:sz w:val="24"/>
        </w:rPr>
        <w:t>and</w:t>
      </w:r>
      <w:r>
        <w:rPr>
          <w:spacing w:val="-6"/>
          <w:sz w:val="24"/>
        </w:rPr>
        <w:t> </w:t>
      </w:r>
      <w:r>
        <w:rPr>
          <w:sz w:val="24"/>
        </w:rPr>
        <w:t>all</w:t>
      </w:r>
      <w:r>
        <w:rPr>
          <w:spacing w:val="-6"/>
          <w:sz w:val="24"/>
        </w:rPr>
        <w:t> </w:t>
      </w:r>
      <w:r>
        <w:rPr>
          <w:sz w:val="24"/>
        </w:rPr>
        <w:t>related </w:t>
      </w:r>
      <w:r>
        <w:rPr>
          <w:spacing w:val="-2"/>
          <w:sz w:val="24"/>
        </w:rPr>
        <w:t>documents.</w:t>
      </w:r>
    </w:p>
    <w:p>
      <w:pPr>
        <w:pStyle w:val="ListParagraph"/>
        <w:spacing w:after="0" w:line="206" w:lineRule="auto"/>
        <w:jc w:val="left"/>
        <w:rPr>
          <w:sz w:val="24"/>
        </w:rPr>
        <w:sectPr>
          <w:pgSz w:w="12240" w:h="15840"/>
          <w:pgMar w:top="1340" w:bottom="280" w:left="1080" w:right="720"/>
        </w:sectPr>
      </w:pPr>
    </w:p>
    <w:p>
      <w:pPr>
        <w:pStyle w:val="ListParagraph"/>
        <w:numPr>
          <w:ilvl w:val="0"/>
          <w:numId w:val="111"/>
        </w:numPr>
        <w:tabs>
          <w:tab w:pos="1799" w:val="left" w:leader="none"/>
        </w:tabs>
        <w:spacing w:line="240" w:lineRule="auto" w:before="70" w:after="0"/>
        <w:ind w:left="1799" w:right="0" w:hanging="359"/>
        <w:jc w:val="left"/>
        <w:rPr>
          <w:sz w:val="24"/>
        </w:rPr>
      </w:pPr>
      <w:r>
        <w:rPr>
          <w:sz w:val="24"/>
        </w:rPr>
        <w:t>Client</w:t>
      </w:r>
      <w:r>
        <w:rPr>
          <w:spacing w:val="-6"/>
          <w:sz w:val="24"/>
        </w:rPr>
        <w:t> </w:t>
      </w:r>
      <w:r>
        <w:rPr>
          <w:sz w:val="24"/>
        </w:rPr>
        <w:t>Employment</w:t>
      </w:r>
      <w:r>
        <w:rPr>
          <w:spacing w:val="-5"/>
          <w:sz w:val="24"/>
        </w:rPr>
        <w:t> </w:t>
      </w:r>
      <w:r>
        <w:rPr>
          <w:sz w:val="24"/>
        </w:rPr>
        <w:t>Information</w:t>
      </w:r>
      <w:r>
        <w:rPr>
          <w:spacing w:val="-5"/>
          <w:sz w:val="24"/>
        </w:rPr>
        <w:t> </w:t>
      </w:r>
      <w:r>
        <w:rPr>
          <w:sz w:val="24"/>
        </w:rPr>
        <w:t>(C-</w:t>
      </w:r>
      <w:r>
        <w:rPr>
          <w:spacing w:val="-4"/>
          <w:sz w:val="24"/>
        </w:rPr>
        <w:t>65).</w:t>
      </w:r>
    </w:p>
    <w:p>
      <w:pPr>
        <w:pStyle w:val="ListParagraph"/>
        <w:numPr>
          <w:ilvl w:val="0"/>
          <w:numId w:val="111"/>
        </w:numPr>
        <w:tabs>
          <w:tab w:pos="1799" w:val="left" w:leader="none"/>
        </w:tabs>
        <w:spacing w:line="206" w:lineRule="auto" w:before="220" w:after="0"/>
        <w:ind w:left="1799" w:right="1060" w:hanging="360"/>
        <w:jc w:val="left"/>
        <w:rPr>
          <w:sz w:val="24"/>
        </w:rPr>
      </w:pPr>
      <w:r>
        <w:rPr>
          <w:sz w:val="24"/>
        </w:rPr>
        <w:t>Correspondence</w:t>
      </w:r>
      <w:r>
        <w:rPr>
          <w:spacing w:val="-5"/>
          <w:sz w:val="24"/>
        </w:rPr>
        <w:t> </w:t>
      </w:r>
      <w:r>
        <w:rPr>
          <w:sz w:val="24"/>
        </w:rPr>
        <w:t>–</w:t>
      </w:r>
      <w:r>
        <w:rPr>
          <w:spacing w:val="-5"/>
          <w:sz w:val="24"/>
        </w:rPr>
        <w:t> </w:t>
      </w:r>
      <w:r>
        <w:rPr>
          <w:sz w:val="24"/>
        </w:rPr>
        <w:t>scan</w:t>
      </w:r>
      <w:r>
        <w:rPr>
          <w:spacing w:val="-5"/>
          <w:sz w:val="24"/>
        </w:rPr>
        <w:t> </w:t>
      </w:r>
      <w:r>
        <w:rPr>
          <w:sz w:val="24"/>
        </w:rPr>
        <w:t>emails</w:t>
      </w:r>
      <w:r>
        <w:rPr>
          <w:spacing w:val="-5"/>
          <w:sz w:val="24"/>
        </w:rPr>
        <w:t> </w:t>
      </w:r>
      <w:r>
        <w:rPr>
          <w:sz w:val="24"/>
        </w:rPr>
        <w:t>and</w:t>
      </w:r>
      <w:r>
        <w:rPr>
          <w:spacing w:val="-5"/>
          <w:sz w:val="24"/>
        </w:rPr>
        <w:t> </w:t>
      </w:r>
      <w:r>
        <w:rPr>
          <w:sz w:val="24"/>
        </w:rPr>
        <w:t>written</w:t>
      </w:r>
      <w:r>
        <w:rPr>
          <w:spacing w:val="-5"/>
          <w:sz w:val="24"/>
        </w:rPr>
        <w:t> </w:t>
      </w:r>
      <w:r>
        <w:rPr>
          <w:sz w:val="24"/>
        </w:rPr>
        <w:t>correspondence</w:t>
      </w:r>
      <w:r>
        <w:rPr>
          <w:spacing w:val="-5"/>
          <w:sz w:val="24"/>
        </w:rPr>
        <w:t> </w:t>
      </w:r>
      <w:r>
        <w:rPr>
          <w:sz w:val="24"/>
        </w:rPr>
        <w:t>from</w:t>
      </w:r>
      <w:r>
        <w:rPr>
          <w:spacing w:val="-4"/>
          <w:sz w:val="24"/>
        </w:rPr>
        <w:t> </w:t>
      </w:r>
      <w:r>
        <w:rPr>
          <w:sz w:val="24"/>
        </w:rPr>
        <w:t>client. Outlook emails can be uploaded into Knowledgelake.</w:t>
      </w:r>
    </w:p>
    <w:p>
      <w:pPr>
        <w:pStyle w:val="ListParagraph"/>
        <w:numPr>
          <w:ilvl w:val="0"/>
          <w:numId w:val="111"/>
        </w:numPr>
        <w:tabs>
          <w:tab w:pos="1799" w:val="left" w:leader="none"/>
        </w:tabs>
        <w:spacing w:line="240" w:lineRule="auto" w:before="196" w:after="0"/>
        <w:ind w:left="1799" w:right="0" w:hanging="360"/>
        <w:jc w:val="left"/>
        <w:rPr>
          <w:sz w:val="24"/>
        </w:rPr>
      </w:pPr>
      <w:r>
        <w:rPr>
          <w:sz w:val="24"/>
        </w:rPr>
        <w:t>Eligibility</w:t>
      </w:r>
      <w:r>
        <w:rPr>
          <w:spacing w:val="-5"/>
          <w:sz w:val="24"/>
        </w:rPr>
        <w:t> </w:t>
      </w:r>
      <w:r>
        <w:rPr>
          <w:sz w:val="24"/>
        </w:rPr>
        <w:t>Extension</w:t>
      </w:r>
      <w:r>
        <w:rPr>
          <w:spacing w:val="-4"/>
          <w:sz w:val="24"/>
        </w:rPr>
        <w:t> </w:t>
      </w:r>
      <w:r>
        <w:rPr>
          <w:sz w:val="24"/>
        </w:rPr>
        <w:t>(C-13)</w:t>
      </w:r>
      <w:r>
        <w:rPr>
          <w:spacing w:val="-3"/>
          <w:sz w:val="24"/>
        </w:rPr>
        <w:t> </w:t>
      </w:r>
      <w:r>
        <w:rPr>
          <w:sz w:val="24"/>
        </w:rPr>
        <w:t>–</w:t>
      </w:r>
      <w:r>
        <w:rPr>
          <w:spacing w:val="-3"/>
          <w:sz w:val="24"/>
        </w:rPr>
        <w:t> </w:t>
      </w:r>
      <w:r>
        <w:rPr>
          <w:sz w:val="24"/>
        </w:rPr>
        <w:t>must</w:t>
      </w:r>
      <w:r>
        <w:rPr>
          <w:spacing w:val="-3"/>
          <w:sz w:val="24"/>
        </w:rPr>
        <w:t> </w:t>
      </w:r>
      <w:r>
        <w:rPr>
          <w:sz w:val="24"/>
        </w:rPr>
        <w:t>be</w:t>
      </w:r>
      <w:r>
        <w:rPr>
          <w:spacing w:val="-3"/>
          <w:sz w:val="24"/>
        </w:rPr>
        <w:t> </w:t>
      </w:r>
      <w:r>
        <w:rPr>
          <w:sz w:val="24"/>
        </w:rPr>
        <w:t>scanned</w:t>
      </w:r>
      <w:r>
        <w:rPr>
          <w:spacing w:val="-3"/>
          <w:sz w:val="24"/>
        </w:rPr>
        <w:t> </w:t>
      </w:r>
      <w:r>
        <w:rPr>
          <w:sz w:val="24"/>
        </w:rPr>
        <w:t>with</w:t>
      </w:r>
      <w:r>
        <w:rPr>
          <w:spacing w:val="-3"/>
          <w:sz w:val="24"/>
        </w:rPr>
        <w:t> </w:t>
      </w:r>
      <w:r>
        <w:rPr>
          <w:spacing w:val="-2"/>
          <w:sz w:val="24"/>
        </w:rPr>
        <w:t>signature</w:t>
      </w:r>
    </w:p>
    <w:p>
      <w:pPr>
        <w:pStyle w:val="ListParagraph"/>
        <w:numPr>
          <w:ilvl w:val="0"/>
          <w:numId w:val="111"/>
        </w:numPr>
        <w:tabs>
          <w:tab w:pos="1799" w:val="left" w:leader="none"/>
        </w:tabs>
        <w:spacing w:line="240" w:lineRule="auto" w:before="186" w:after="0"/>
        <w:ind w:left="1799" w:right="0" w:hanging="360"/>
        <w:jc w:val="left"/>
        <w:rPr>
          <w:sz w:val="24"/>
        </w:rPr>
      </w:pPr>
      <w:r>
        <w:rPr>
          <w:sz w:val="24"/>
        </w:rPr>
        <w:t>Exclusive</w:t>
      </w:r>
      <w:r>
        <w:rPr>
          <w:spacing w:val="-5"/>
          <w:sz w:val="24"/>
        </w:rPr>
        <w:t> </w:t>
      </w:r>
      <w:r>
        <w:rPr>
          <w:sz w:val="24"/>
        </w:rPr>
        <w:t>Use</w:t>
      </w:r>
      <w:r>
        <w:rPr>
          <w:spacing w:val="-3"/>
          <w:sz w:val="24"/>
        </w:rPr>
        <w:t> </w:t>
      </w:r>
      <w:r>
        <w:rPr>
          <w:sz w:val="24"/>
        </w:rPr>
        <w:t>Affidavit</w:t>
      </w:r>
      <w:r>
        <w:rPr>
          <w:spacing w:val="-2"/>
          <w:sz w:val="24"/>
        </w:rPr>
        <w:t> </w:t>
      </w:r>
      <w:r>
        <w:rPr>
          <w:sz w:val="24"/>
        </w:rPr>
        <w:t>(C-</w:t>
      </w:r>
      <w:r>
        <w:rPr>
          <w:spacing w:val="-4"/>
          <w:sz w:val="24"/>
        </w:rPr>
        <w:t>28).</w:t>
      </w:r>
    </w:p>
    <w:p>
      <w:pPr>
        <w:pStyle w:val="ListParagraph"/>
        <w:numPr>
          <w:ilvl w:val="0"/>
          <w:numId w:val="111"/>
        </w:numPr>
        <w:tabs>
          <w:tab w:pos="1799" w:val="left" w:leader="none"/>
        </w:tabs>
        <w:spacing w:line="208" w:lineRule="auto" w:before="218" w:after="0"/>
        <w:ind w:left="1799" w:right="1233" w:hanging="360"/>
        <w:jc w:val="left"/>
        <w:rPr>
          <w:sz w:val="24"/>
        </w:rPr>
      </w:pPr>
      <w:r>
        <w:rPr>
          <w:sz w:val="24"/>
        </w:rPr>
        <w:t>Fax – fax confirmations should be scanned into the case.</w:t>
      </w:r>
      <w:r>
        <w:rPr>
          <w:spacing w:val="40"/>
          <w:sz w:val="24"/>
        </w:rPr>
        <w:t> </w:t>
      </w:r>
      <w:r>
        <w:rPr>
          <w:sz w:val="24"/>
        </w:rPr>
        <w:t>Fax confirmations</w:t>
      </w:r>
      <w:r>
        <w:rPr>
          <w:spacing w:val="-4"/>
          <w:sz w:val="24"/>
        </w:rPr>
        <w:t> </w:t>
      </w:r>
      <w:r>
        <w:rPr>
          <w:sz w:val="24"/>
        </w:rPr>
        <w:t>relating</w:t>
      </w:r>
      <w:r>
        <w:rPr>
          <w:spacing w:val="-4"/>
          <w:sz w:val="24"/>
        </w:rPr>
        <w:t> </w:t>
      </w:r>
      <w:r>
        <w:rPr>
          <w:sz w:val="24"/>
        </w:rPr>
        <w:t>to</w:t>
      </w:r>
      <w:r>
        <w:rPr>
          <w:spacing w:val="-4"/>
          <w:sz w:val="24"/>
        </w:rPr>
        <w:t> </w:t>
      </w:r>
      <w:r>
        <w:rPr>
          <w:sz w:val="24"/>
        </w:rPr>
        <w:t>an</w:t>
      </w:r>
      <w:r>
        <w:rPr>
          <w:spacing w:val="-4"/>
          <w:sz w:val="24"/>
        </w:rPr>
        <w:t> </w:t>
      </w:r>
      <w:r>
        <w:rPr>
          <w:sz w:val="24"/>
        </w:rPr>
        <w:t>authorization</w:t>
      </w:r>
      <w:r>
        <w:rPr>
          <w:spacing w:val="-4"/>
          <w:sz w:val="24"/>
        </w:rPr>
        <w:t> </w:t>
      </w:r>
      <w:r>
        <w:rPr>
          <w:sz w:val="24"/>
        </w:rPr>
        <w:t>have</w:t>
      </w:r>
      <w:r>
        <w:rPr>
          <w:spacing w:val="-4"/>
          <w:sz w:val="24"/>
        </w:rPr>
        <w:t> </w:t>
      </w:r>
      <w:r>
        <w:rPr>
          <w:sz w:val="24"/>
        </w:rPr>
        <w:t>to</w:t>
      </w:r>
      <w:r>
        <w:rPr>
          <w:spacing w:val="-4"/>
          <w:sz w:val="24"/>
        </w:rPr>
        <w:t> </w:t>
      </w:r>
      <w:r>
        <w:rPr>
          <w:sz w:val="24"/>
        </w:rPr>
        <w:t>be</w:t>
      </w:r>
      <w:r>
        <w:rPr>
          <w:spacing w:val="-4"/>
          <w:sz w:val="24"/>
        </w:rPr>
        <w:t> </w:t>
      </w:r>
      <w:r>
        <w:rPr>
          <w:sz w:val="24"/>
        </w:rPr>
        <w:t>scanned</w:t>
      </w:r>
      <w:r>
        <w:rPr>
          <w:spacing w:val="-4"/>
          <w:sz w:val="24"/>
        </w:rPr>
        <w:t> </w:t>
      </w:r>
      <w:r>
        <w:rPr>
          <w:sz w:val="24"/>
        </w:rPr>
        <w:t>into</w:t>
      </w:r>
      <w:r>
        <w:rPr>
          <w:spacing w:val="-4"/>
          <w:sz w:val="24"/>
        </w:rPr>
        <w:t> </w:t>
      </w:r>
      <w:r>
        <w:rPr>
          <w:sz w:val="24"/>
        </w:rPr>
        <w:t>that particular authorization – not under “Fax”.</w:t>
      </w:r>
    </w:p>
    <w:p>
      <w:pPr>
        <w:pStyle w:val="ListParagraph"/>
        <w:numPr>
          <w:ilvl w:val="0"/>
          <w:numId w:val="111"/>
        </w:numPr>
        <w:tabs>
          <w:tab w:pos="1799" w:val="left" w:leader="none"/>
        </w:tabs>
        <w:spacing w:line="206" w:lineRule="auto" w:before="226" w:after="0"/>
        <w:ind w:left="1799" w:right="780" w:hanging="360"/>
        <w:jc w:val="left"/>
        <w:rPr>
          <w:sz w:val="24"/>
        </w:rPr>
      </w:pPr>
      <w:r>
        <w:rPr>
          <w:sz w:val="24"/>
        </w:rPr>
        <w:t>When</w:t>
      </w:r>
      <w:r>
        <w:rPr>
          <w:spacing w:val="-4"/>
          <w:sz w:val="24"/>
        </w:rPr>
        <w:t> </w:t>
      </w:r>
      <w:r>
        <w:rPr>
          <w:sz w:val="24"/>
        </w:rPr>
        <w:t>completing</w:t>
      </w:r>
      <w:r>
        <w:rPr>
          <w:spacing w:val="-4"/>
          <w:sz w:val="24"/>
        </w:rPr>
        <w:t> </w:t>
      </w:r>
      <w:r>
        <w:rPr>
          <w:sz w:val="24"/>
        </w:rPr>
        <w:t>the</w:t>
      </w:r>
      <w:r>
        <w:rPr>
          <w:spacing w:val="-4"/>
          <w:sz w:val="24"/>
        </w:rPr>
        <w:t> </w:t>
      </w:r>
      <w:r>
        <w:rPr>
          <w:sz w:val="24"/>
        </w:rPr>
        <w:t>bid</w:t>
      </w:r>
      <w:r>
        <w:rPr>
          <w:spacing w:val="-4"/>
          <w:sz w:val="24"/>
        </w:rPr>
        <w:t> </w:t>
      </w:r>
      <w:r>
        <w:rPr>
          <w:sz w:val="24"/>
        </w:rPr>
        <w:t>process</w:t>
      </w:r>
      <w:r>
        <w:rPr>
          <w:spacing w:val="-3"/>
          <w:sz w:val="24"/>
        </w:rPr>
        <w:t> </w:t>
      </w:r>
      <w:r>
        <w:rPr>
          <w:sz w:val="24"/>
        </w:rPr>
        <w:t>you</w:t>
      </w:r>
      <w:r>
        <w:rPr>
          <w:spacing w:val="-4"/>
          <w:sz w:val="24"/>
        </w:rPr>
        <w:t> </w:t>
      </w:r>
      <w:r>
        <w:rPr>
          <w:sz w:val="24"/>
        </w:rPr>
        <w:t>must</w:t>
      </w:r>
      <w:r>
        <w:rPr>
          <w:spacing w:val="-3"/>
          <w:sz w:val="24"/>
        </w:rPr>
        <w:t> </w:t>
      </w:r>
      <w:r>
        <w:rPr>
          <w:sz w:val="24"/>
        </w:rPr>
        <w:t>keep</w:t>
      </w:r>
      <w:r>
        <w:rPr>
          <w:spacing w:val="-4"/>
          <w:sz w:val="24"/>
        </w:rPr>
        <w:t> </w:t>
      </w:r>
      <w:r>
        <w:rPr>
          <w:sz w:val="24"/>
        </w:rPr>
        <w:t>all</w:t>
      </w:r>
      <w:r>
        <w:rPr>
          <w:spacing w:val="-4"/>
          <w:sz w:val="24"/>
        </w:rPr>
        <w:t> </w:t>
      </w:r>
      <w:r>
        <w:rPr>
          <w:sz w:val="24"/>
        </w:rPr>
        <w:t>fax</w:t>
      </w:r>
      <w:r>
        <w:rPr>
          <w:spacing w:val="-4"/>
          <w:sz w:val="24"/>
        </w:rPr>
        <w:t> </w:t>
      </w:r>
      <w:r>
        <w:rPr>
          <w:sz w:val="24"/>
        </w:rPr>
        <w:t>confirmations</w:t>
      </w:r>
      <w:r>
        <w:rPr>
          <w:spacing w:val="-4"/>
          <w:sz w:val="24"/>
        </w:rPr>
        <w:t> </w:t>
      </w:r>
      <w:r>
        <w:rPr>
          <w:sz w:val="24"/>
        </w:rPr>
        <w:t>with the bid documents, which will be attached to the final authorization.</w:t>
      </w:r>
    </w:p>
    <w:p>
      <w:pPr>
        <w:pStyle w:val="ListParagraph"/>
        <w:numPr>
          <w:ilvl w:val="0"/>
          <w:numId w:val="111"/>
        </w:numPr>
        <w:tabs>
          <w:tab w:pos="1799" w:val="left" w:leader="none"/>
        </w:tabs>
        <w:spacing w:line="208" w:lineRule="auto" w:before="227" w:after="0"/>
        <w:ind w:left="1799" w:right="914" w:hanging="360"/>
        <w:jc w:val="left"/>
        <w:rPr>
          <w:sz w:val="24"/>
        </w:rPr>
      </w:pPr>
      <w:r>
        <w:rPr>
          <w:sz w:val="24"/>
        </w:rPr>
        <w:t>Financial</w:t>
      </w:r>
      <w:r>
        <w:rPr>
          <w:spacing w:val="-4"/>
          <w:sz w:val="24"/>
        </w:rPr>
        <w:t> </w:t>
      </w:r>
      <w:r>
        <w:rPr>
          <w:sz w:val="24"/>
        </w:rPr>
        <w:t>Status</w:t>
      </w:r>
      <w:r>
        <w:rPr>
          <w:spacing w:val="-4"/>
          <w:sz w:val="24"/>
        </w:rPr>
        <w:t> </w:t>
      </w:r>
      <w:r>
        <w:rPr>
          <w:sz w:val="24"/>
        </w:rPr>
        <w:t>Determination</w:t>
      </w:r>
      <w:r>
        <w:rPr>
          <w:spacing w:val="-4"/>
          <w:sz w:val="24"/>
        </w:rPr>
        <w:t> </w:t>
      </w:r>
      <w:r>
        <w:rPr>
          <w:sz w:val="24"/>
        </w:rPr>
        <w:t>(C-25)</w:t>
      </w:r>
      <w:r>
        <w:rPr>
          <w:spacing w:val="-4"/>
          <w:sz w:val="24"/>
        </w:rPr>
        <w:t> </w:t>
      </w:r>
      <w:r>
        <w:rPr>
          <w:sz w:val="24"/>
        </w:rPr>
        <w:t>–</w:t>
      </w:r>
      <w:r>
        <w:rPr>
          <w:spacing w:val="-4"/>
          <w:sz w:val="24"/>
        </w:rPr>
        <w:t> </w:t>
      </w:r>
      <w:r>
        <w:rPr>
          <w:sz w:val="24"/>
        </w:rPr>
        <w:t>must</w:t>
      </w:r>
      <w:r>
        <w:rPr>
          <w:spacing w:val="-5"/>
          <w:sz w:val="24"/>
        </w:rPr>
        <w:t> </w:t>
      </w:r>
      <w:r>
        <w:rPr>
          <w:sz w:val="24"/>
        </w:rPr>
        <w:t>be</w:t>
      </w:r>
      <w:r>
        <w:rPr>
          <w:spacing w:val="-4"/>
          <w:sz w:val="24"/>
        </w:rPr>
        <w:t> </w:t>
      </w:r>
      <w:r>
        <w:rPr>
          <w:sz w:val="24"/>
        </w:rPr>
        <w:t>signed</w:t>
      </w:r>
      <w:r>
        <w:rPr>
          <w:spacing w:val="-4"/>
          <w:sz w:val="24"/>
        </w:rPr>
        <w:t> </w:t>
      </w:r>
      <w:r>
        <w:rPr>
          <w:sz w:val="24"/>
        </w:rPr>
        <w:t>by</w:t>
      </w:r>
      <w:r>
        <w:rPr>
          <w:spacing w:val="-4"/>
          <w:sz w:val="24"/>
        </w:rPr>
        <w:t> </w:t>
      </w:r>
      <w:r>
        <w:rPr>
          <w:sz w:val="24"/>
        </w:rPr>
        <w:t>the</w:t>
      </w:r>
      <w:r>
        <w:rPr>
          <w:spacing w:val="-4"/>
          <w:sz w:val="24"/>
        </w:rPr>
        <w:t> </w:t>
      </w:r>
      <w:r>
        <w:rPr>
          <w:sz w:val="24"/>
        </w:rPr>
        <w:t>client</w:t>
      </w:r>
      <w:r>
        <w:rPr>
          <w:spacing w:val="-3"/>
          <w:sz w:val="24"/>
        </w:rPr>
        <w:t> </w:t>
      </w:r>
      <w:r>
        <w:rPr>
          <w:sz w:val="24"/>
        </w:rPr>
        <w:t>and scanned into the case file with the original plan, plan amendments and annual reviews.</w:t>
      </w:r>
      <w:r>
        <w:rPr>
          <w:spacing w:val="40"/>
          <w:sz w:val="24"/>
        </w:rPr>
        <w:t> </w:t>
      </w:r>
      <w:r>
        <w:rPr>
          <w:sz w:val="24"/>
        </w:rPr>
        <w:t>In case comments section, note plan number and date. Scan supporting documentation or note how verification was made.</w:t>
      </w:r>
    </w:p>
    <w:p>
      <w:pPr>
        <w:pStyle w:val="ListParagraph"/>
        <w:numPr>
          <w:ilvl w:val="1"/>
          <w:numId w:val="111"/>
        </w:numPr>
        <w:tabs>
          <w:tab w:pos="2159" w:val="left" w:leader="none"/>
        </w:tabs>
        <w:spacing w:line="235" w:lineRule="auto" w:before="247" w:after="0"/>
        <w:ind w:left="2159" w:right="781" w:hanging="360"/>
        <w:jc w:val="left"/>
        <w:rPr>
          <w:rFonts w:ascii="Courier New" w:hAnsi="Courier New"/>
          <w:color w:val="0000FF"/>
          <w:sz w:val="24"/>
        </w:rPr>
      </w:pPr>
      <w:r>
        <w:rPr>
          <w:sz w:val="24"/>
        </w:rPr>
        <w:t>When</w:t>
      </w:r>
      <w:r>
        <w:rPr>
          <w:spacing w:val="-4"/>
          <w:sz w:val="24"/>
        </w:rPr>
        <w:t> </w:t>
      </w:r>
      <w:r>
        <w:rPr>
          <w:sz w:val="24"/>
        </w:rPr>
        <w:t>a</w:t>
      </w:r>
      <w:r>
        <w:rPr>
          <w:spacing w:val="-4"/>
          <w:sz w:val="24"/>
        </w:rPr>
        <w:t> </w:t>
      </w:r>
      <w:r>
        <w:rPr>
          <w:sz w:val="24"/>
        </w:rPr>
        <w:t>client</w:t>
      </w:r>
      <w:r>
        <w:rPr>
          <w:spacing w:val="-3"/>
          <w:sz w:val="24"/>
        </w:rPr>
        <w:t> </w:t>
      </w:r>
      <w:r>
        <w:rPr>
          <w:sz w:val="24"/>
        </w:rPr>
        <w:t>is</w:t>
      </w:r>
      <w:r>
        <w:rPr>
          <w:spacing w:val="-4"/>
          <w:sz w:val="24"/>
        </w:rPr>
        <w:t> </w:t>
      </w:r>
      <w:r>
        <w:rPr>
          <w:sz w:val="24"/>
        </w:rPr>
        <w:t>receiving</w:t>
      </w:r>
      <w:r>
        <w:rPr>
          <w:spacing w:val="-4"/>
          <w:sz w:val="24"/>
        </w:rPr>
        <w:t> </w:t>
      </w:r>
      <w:r>
        <w:rPr>
          <w:sz w:val="24"/>
        </w:rPr>
        <w:t>SSI</w:t>
      </w:r>
      <w:r>
        <w:rPr>
          <w:spacing w:val="-3"/>
          <w:sz w:val="24"/>
        </w:rPr>
        <w:t> </w:t>
      </w:r>
      <w:r>
        <w:rPr>
          <w:sz w:val="24"/>
        </w:rPr>
        <w:t>or</w:t>
      </w:r>
      <w:r>
        <w:rPr>
          <w:spacing w:val="-3"/>
          <w:sz w:val="24"/>
        </w:rPr>
        <w:t> </w:t>
      </w:r>
      <w:r>
        <w:rPr>
          <w:sz w:val="24"/>
        </w:rPr>
        <w:t>SSDI,</w:t>
      </w:r>
      <w:r>
        <w:rPr>
          <w:spacing w:val="-3"/>
          <w:sz w:val="24"/>
        </w:rPr>
        <w:t> </w:t>
      </w:r>
      <w:r>
        <w:rPr>
          <w:sz w:val="24"/>
        </w:rPr>
        <w:t>or</w:t>
      </w:r>
      <w:r>
        <w:rPr>
          <w:spacing w:val="-3"/>
          <w:sz w:val="24"/>
        </w:rPr>
        <w:t> </w:t>
      </w:r>
      <w:r>
        <w:rPr>
          <w:sz w:val="24"/>
        </w:rPr>
        <w:t>all</w:t>
      </w:r>
      <w:r>
        <w:rPr>
          <w:spacing w:val="-4"/>
          <w:sz w:val="24"/>
        </w:rPr>
        <w:t> </w:t>
      </w:r>
      <w:r>
        <w:rPr>
          <w:sz w:val="24"/>
        </w:rPr>
        <w:t>services</w:t>
      </w:r>
      <w:r>
        <w:rPr>
          <w:spacing w:val="-4"/>
          <w:sz w:val="24"/>
        </w:rPr>
        <w:t> </w:t>
      </w:r>
      <w:r>
        <w:rPr>
          <w:sz w:val="24"/>
        </w:rPr>
        <w:t>are</w:t>
      </w:r>
      <w:r>
        <w:rPr>
          <w:spacing w:val="-4"/>
          <w:sz w:val="24"/>
        </w:rPr>
        <w:t> </w:t>
      </w:r>
      <w:r>
        <w:rPr>
          <w:sz w:val="24"/>
        </w:rPr>
        <w:t>exempt</w:t>
      </w:r>
      <w:r>
        <w:rPr>
          <w:spacing w:val="-5"/>
          <w:sz w:val="24"/>
        </w:rPr>
        <w:t> </w:t>
      </w:r>
      <w:r>
        <w:rPr>
          <w:sz w:val="24"/>
        </w:rPr>
        <w:t>from financial participation, a C-25 will be completed stating financial participation is not required at this time and the reason.</w:t>
      </w:r>
      <w:r>
        <w:rPr>
          <w:spacing w:val="40"/>
          <w:sz w:val="24"/>
        </w:rPr>
        <w:t> </w:t>
      </w:r>
      <w:r>
        <w:rPr>
          <w:sz w:val="24"/>
        </w:rPr>
        <w:t>If the client or services</w:t>
      </w:r>
      <w:r>
        <w:rPr>
          <w:spacing w:val="-4"/>
          <w:sz w:val="24"/>
        </w:rPr>
        <w:t> </w:t>
      </w:r>
      <w:r>
        <w:rPr>
          <w:sz w:val="24"/>
        </w:rPr>
        <w:t>are</w:t>
      </w:r>
      <w:r>
        <w:rPr>
          <w:spacing w:val="-4"/>
          <w:sz w:val="24"/>
        </w:rPr>
        <w:t> </w:t>
      </w:r>
      <w:r>
        <w:rPr>
          <w:sz w:val="24"/>
        </w:rPr>
        <w:t>exempt</w:t>
      </w:r>
      <w:r>
        <w:rPr>
          <w:spacing w:val="-3"/>
          <w:sz w:val="24"/>
        </w:rPr>
        <w:t> </w:t>
      </w:r>
      <w:r>
        <w:rPr>
          <w:sz w:val="24"/>
        </w:rPr>
        <w:t>from</w:t>
      </w:r>
      <w:r>
        <w:rPr>
          <w:spacing w:val="-3"/>
          <w:sz w:val="24"/>
        </w:rPr>
        <w:t> </w:t>
      </w:r>
      <w:r>
        <w:rPr>
          <w:sz w:val="24"/>
        </w:rPr>
        <w:t>financial</w:t>
      </w:r>
      <w:r>
        <w:rPr>
          <w:spacing w:val="-4"/>
          <w:sz w:val="24"/>
        </w:rPr>
        <w:t> </w:t>
      </w:r>
      <w:r>
        <w:rPr>
          <w:sz w:val="24"/>
        </w:rPr>
        <w:t>participation,</w:t>
      </w:r>
      <w:r>
        <w:rPr>
          <w:spacing w:val="-3"/>
          <w:sz w:val="24"/>
        </w:rPr>
        <w:t> </w:t>
      </w:r>
      <w:r>
        <w:rPr>
          <w:sz w:val="24"/>
        </w:rPr>
        <w:t>client</w:t>
      </w:r>
      <w:r>
        <w:rPr>
          <w:spacing w:val="-3"/>
          <w:sz w:val="24"/>
        </w:rPr>
        <w:t> </w:t>
      </w:r>
      <w:r>
        <w:rPr>
          <w:sz w:val="24"/>
        </w:rPr>
        <w:t>signature</w:t>
      </w:r>
      <w:r>
        <w:rPr>
          <w:spacing w:val="-4"/>
          <w:sz w:val="24"/>
        </w:rPr>
        <w:t> </w:t>
      </w:r>
      <w:r>
        <w:rPr>
          <w:sz w:val="24"/>
        </w:rPr>
        <w:t>on</w:t>
      </w:r>
      <w:r>
        <w:rPr>
          <w:spacing w:val="-4"/>
          <w:sz w:val="24"/>
        </w:rPr>
        <w:t> </w:t>
      </w:r>
      <w:r>
        <w:rPr>
          <w:sz w:val="24"/>
        </w:rPr>
        <w:t>the C-25 is not required</w:t>
      </w:r>
      <w:r>
        <w:rPr>
          <w:color w:val="0000FF"/>
          <w:sz w:val="24"/>
        </w:rPr>
        <w:t>.</w:t>
      </w:r>
    </w:p>
    <w:p>
      <w:pPr>
        <w:pStyle w:val="ListParagraph"/>
        <w:numPr>
          <w:ilvl w:val="0"/>
          <w:numId w:val="111"/>
        </w:numPr>
        <w:tabs>
          <w:tab w:pos="1799" w:val="left" w:leader="none"/>
        </w:tabs>
        <w:spacing w:line="208" w:lineRule="auto" w:before="260" w:after="0"/>
        <w:ind w:left="1799" w:right="794" w:hanging="360"/>
        <w:jc w:val="left"/>
        <w:rPr>
          <w:sz w:val="24"/>
        </w:rPr>
      </w:pPr>
      <w:r>
        <w:rPr>
          <w:sz w:val="24"/>
        </w:rPr>
        <w:t>IEP</w:t>
      </w:r>
      <w:r>
        <w:rPr>
          <w:spacing w:val="-4"/>
          <w:sz w:val="24"/>
        </w:rPr>
        <w:t> </w:t>
      </w:r>
      <w:r>
        <w:rPr>
          <w:sz w:val="24"/>
        </w:rPr>
        <w:t>-</w:t>
      </w:r>
      <w:r>
        <w:rPr>
          <w:spacing w:val="-3"/>
          <w:sz w:val="24"/>
        </w:rPr>
        <w:t> </w:t>
      </w:r>
      <w:r>
        <w:rPr>
          <w:sz w:val="24"/>
        </w:rPr>
        <w:t>for</w:t>
      </w:r>
      <w:r>
        <w:rPr>
          <w:spacing w:val="-3"/>
          <w:sz w:val="24"/>
        </w:rPr>
        <w:t> </w:t>
      </w:r>
      <w:r>
        <w:rPr>
          <w:sz w:val="24"/>
        </w:rPr>
        <w:t>Transition</w:t>
      </w:r>
      <w:r>
        <w:rPr>
          <w:spacing w:val="-4"/>
          <w:sz w:val="24"/>
        </w:rPr>
        <w:t> </w:t>
      </w:r>
      <w:r>
        <w:rPr>
          <w:sz w:val="24"/>
        </w:rPr>
        <w:t>students</w:t>
      </w:r>
      <w:r>
        <w:rPr>
          <w:spacing w:val="-4"/>
          <w:sz w:val="24"/>
        </w:rPr>
        <w:t> </w:t>
      </w:r>
      <w:r>
        <w:rPr>
          <w:sz w:val="24"/>
        </w:rPr>
        <w:t>scan</w:t>
      </w:r>
      <w:r>
        <w:rPr>
          <w:spacing w:val="-4"/>
          <w:sz w:val="24"/>
        </w:rPr>
        <w:t> </w:t>
      </w:r>
      <w:r>
        <w:rPr>
          <w:sz w:val="24"/>
        </w:rPr>
        <w:t>in</w:t>
      </w:r>
      <w:r>
        <w:rPr>
          <w:spacing w:val="-4"/>
          <w:sz w:val="24"/>
        </w:rPr>
        <w:t> </w:t>
      </w:r>
      <w:r>
        <w:rPr>
          <w:sz w:val="24"/>
        </w:rPr>
        <w:t>the</w:t>
      </w:r>
      <w:r>
        <w:rPr>
          <w:spacing w:val="-4"/>
          <w:sz w:val="24"/>
        </w:rPr>
        <w:t> </w:t>
      </w:r>
      <w:r>
        <w:rPr>
          <w:sz w:val="24"/>
        </w:rPr>
        <w:t>Psychological</w:t>
      </w:r>
      <w:r>
        <w:rPr>
          <w:spacing w:val="-4"/>
          <w:sz w:val="24"/>
        </w:rPr>
        <w:t> </w:t>
      </w:r>
      <w:r>
        <w:rPr>
          <w:sz w:val="24"/>
        </w:rPr>
        <w:t>Educational</w:t>
      </w:r>
      <w:r>
        <w:rPr>
          <w:spacing w:val="-4"/>
          <w:sz w:val="24"/>
        </w:rPr>
        <w:t> </w:t>
      </w:r>
      <w:r>
        <w:rPr>
          <w:sz w:val="24"/>
        </w:rPr>
        <w:t>Report with date of report.</w:t>
      </w:r>
      <w:r>
        <w:rPr>
          <w:spacing w:val="40"/>
          <w:sz w:val="24"/>
        </w:rPr>
        <w:t> </w:t>
      </w:r>
      <w:r>
        <w:rPr>
          <w:sz w:val="24"/>
        </w:rPr>
        <w:t>If the IEP is used as supporting documentation for eligibility, it should be scanned into the Eligibility section.</w:t>
      </w:r>
    </w:p>
    <w:p>
      <w:pPr>
        <w:pStyle w:val="ListParagraph"/>
        <w:numPr>
          <w:ilvl w:val="0"/>
          <w:numId w:val="111"/>
        </w:numPr>
        <w:tabs>
          <w:tab w:pos="1800" w:val="left" w:leader="none"/>
        </w:tabs>
        <w:spacing w:line="208" w:lineRule="auto" w:before="224" w:after="0"/>
        <w:ind w:left="1800" w:right="766" w:hanging="360"/>
        <w:jc w:val="left"/>
        <w:rPr>
          <w:sz w:val="24"/>
        </w:rPr>
      </w:pPr>
      <w:r>
        <w:rPr>
          <w:sz w:val="24"/>
        </w:rPr>
        <w:t>Letters – Any letters generated in AWARE do not have to be scanned into Knowledgelake.</w:t>
      </w:r>
      <w:r>
        <w:rPr>
          <w:spacing w:val="40"/>
          <w:sz w:val="24"/>
        </w:rPr>
        <w:t> </w:t>
      </w:r>
      <w:r>
        <w:rPr>
          <w:sz w:val="24"/>
        </w:rPr>
        <w:t>Indicate</w:t>
      </w:r>
      <w:r>
        <w:rPr>
          <w:spacing w:val="-4"/>
          <w:sz w:val="24"/>
        </w:rPr>
        <w:t> </w:t>
      </w:r>
      <w:r>
        <w:rPr>
          <w:sz w:val="24"/>
        </w:rPr>
        <w:t>in</w:t>
      </w:r>
      <w:r>
        <w:rPr>
          <w:spacing w:val="-4"/>
          <w:sz w:val="24"/>
        </w:rPr>
        <w:t> </w:t>
      </w:r>
      <w:r>
        <w:rPr>
          <w:sz w:val="24"/>
        </w:rPr>
        <w:t>case</w:t>
      </w:r>
      <w:r>
        <w:rPr>
          <w:spacing w:val="-4"/>
          <w:sz w:val="24"/>
        </w:rPr>
        <w:t> </w:t>
      </w:r>
      <w:r>
        <w:rPr>
          <w:sz w:val="24"/>
        </w:rPr>
        <w:t>comments</w:t>
      </w:r>
      <w:r>
        <w:rPr>
          <w:spacing w:val="-5"/>
          <w:sz w:val="24"/>
        </w:rPr>
        <w:t> </w:t>
      </w:r>
      <w:r>
        <w:rPr>
          <w:sz w:val="24"/>
        </w:rPr>
        <w:t>briefly</w:t>
      </w:r>
      <w:r>
        <w:rPr>
          <w:spacing w:val="-4"/>
          <w:sz w:val="24"/>
        </w:rPr>
        <w:t> </w:t>
      </w:r>
      <w:r>
        <w:rPr>
          <w:sz w:val="24"/>
        </w:rPr>
        <w:t>what</w:t>
      </w:r>
      <w:r>
        <w:rPr>
          <w:spacing w:val="-3"/>
          <w:sz w:val="24"/>
        </w:rPr>
        <w:t> </w:t>
      </w:r>
      <w:r>
        <w:rPr>
          <w:sz w:val="24"/>
        </w:rPr>
        <w:t>the</w:t>
      </w:r>
      <w:r>
        <w:rPr>
          <w:spacing w:val="-4"/>
          <w:sz w:val="24"/>
        </w:rPr>
        <w:t> </w:t>
      </w:r>
      <w:r>
        <w:rPr>
          <w:sz w:val="24"/>
        </w:rPr>
        <w:t>letter</w:t>
      </w:r>
      <w:r>
        <w:rPr>
          <w:spacing w:val="-5"/>
          <w:sz w:val="24"/>
        </w:rPr>
        <w:t> </w:t>
      </w:r>
      <w:r>
        <w:rPr>
          <w:sz w:val="24"/>
        </w:rPr>
        <w:t>pertains to and the date (i.e. older letters on DRS letterhead, letter received from the client, etc.).</w:t>
      </w:r>
    </w:p>
    <w:p>
      <w:pPr>
        <w:pStyle w:val="ListParagraph"/>
        <w:numPr>
          <w:ilvl w:val="0"/>
          <w:numId w:val="111"/>
        </w:numPr>
        <w:tabs>
          <w:tab w:pos="1799" w:val="left" w:leader="none"/>
        </w:tabs>
        <w:spacing w:line="240" w:lineRule="auto" w:before="192" w:after="0"/>
        <w:ind w:left="1799" w:right="0" w:hanging="359"/>
        <w:jc w:val="left"/>
        <w:rPr>
          <w:sz w:val="24"/>
        </w:rPr>
      </w:pPr>
      <w:r>
        <w:rPr>
          <w:sz w:val="24"/>
        </w:rPr>
        <w:t>L-1</w:t>
      </w:r>
      <w:r>
        <w:rPr>
          <w:spacing w:val="-2"/>
          <w:sz w:val="24"/>
        </w:rPr>
        <w:t> </w:t>
      </w:r>
      <w:r>
        <w:rPr>
          <w:sz w:val="24"/>
        </w:rPr>
        <w:t>OLBPH</w:t>
      </w:r>
      <w:r>
        <w:rPr>
          <w:spacing w:val="-1"/>
          <w:sz w:val="24"/>
        </w:rPr>
        <w:t> </w:t>
      </w:r>
      <w:r>
        <w:rPr>
          <w:spacing w:val="-2"/>
          <w:sz w:val="24"/>
        </w:rPr>
        <w:t>application.</w:t>
      </w:r>
    </w:p>
    <w:p>
      <w:pPr>
        <w:pStyle w:val="ListParagraph"/>
        <w:numPr>
          <w:ilvl w:val="0"/>
          <w:numId w:val="111"/>
        </w:numPr>
        <w:tabs>
          <w:tab w:pos="1800" w:val="left" w:leader="none"/>
        </w:tabs>
        <w:spacing w:line="206" w:lineRule="auto" w:before="220" w:after="0"/>
        <w:ind w:left="1800" w:right="1967" w:hanging="360"/>
        <w:jc w:val="left"/>
        <w:rPr>
          <w:sz w:val="24"/>
        </w:rPr>
      </w:pPr>
      <w:r>
        <w:rPr>
          <w:sz w:val="24"/>
        </w:rPr>
        <w:t>Medical</w:t>
      </w:r>
      <w:r>
        <w:rPr>
          <w:spacing w:val="-5"/>
          <w:sz w:val="24"/>
        </w:rPr>
        <w:t> </w:t>
      </w:r>
      <w:r>
        <w:rPr>
          <w:sz w:val="24"/>
        </w:rPr>
        <w:t>Documentation</w:t>
      </w:r>
      <w:r>
        <w:rPr>
          <w:spacing w:val="-5"/>
          <w:sz w:val="24"/>
        </w:rPr>
        <w:t> </w:t>
      </w:r>
      <w:r>
        <w:rPr>
          <w:sz w:val="24"/>
        </w:rPr>
        <w:t>-</w:t>
      </w:r>
      <w:r>
        <w:rPr>
          <w:spacing w:val="-5"/>
          <w:sz w:val="24"/>
        </w:rPr>
        <w:t> </w:t>
      </w:r>
      <w:r>
        <w:rPr>
          <w:sz w:val="24"/>
        </w:rPr>
        <w:t>In</w:t>
      </w:r>
      <w:r>
        <w:rPr>
          <w:spacing w:val="-6"/>
          <w:sz w:val="24"/>
        </w:rPr>
        <w:t> </w:t>
      </w:r>
      <w:r>
        <w:rPr>
          <w:sz w:val="24"/>
        </w:rPr>
        <w:t>case</w:t>
      </w:r>
      <w:r>
        <w:rPr>
          <w:spacing w:val="-6"/>
          <w:sz w:val="24"/>
        </w:rPr>
        <w:t> </w:t>
      </w:r>
      <w:r>
        <w:rPr>
          <w:sz w:val="24"/>
        </w:rPr>
        <w:t>comment,</w:t>
      </w:r>
      <w:r>
        <w:rPr>
          <w:spacing w:val="-6"/>
          <w:sz w:val="24"/>
        </w:rPr>
        <w:t> </w:t>
      </w:r>
      <w:r>
        <w:rPr>
          <w:sz w:val="24"/>
        </w:rPr>
        <w:t>clearly</w:t>
      </w:r>
      <w:r>
        <w:rPr>
          <w:spacing w:val="-5"/>
          <w:sz w:val="24"/>
        </w:rPr>
        <w:t> </w:t>
      </w:r>
      <w:r>
        <w:rPr>
          <w:sz w:val="24"/>
        </w:rPr>
        <w:t>indicate</w:t>
      </w:r>
      <w:r>
        <w:rPr>
          <w:spacing w:val="-5"/>
          <w:sz w:val="24"/>
        </w:rPr>
        <w:t> </w:t>
      </w:r>
      <w:r>
        <w:rPr>
          <w:sz w:val="24"/>
        </w:rPr>
        <w:t>the doctor/facility name, type of report and date of report.</w:t>
      </w:r>
    </w:p>
    <w:p>
      <w:pPr>
        <w:pStyle w:val="ListParagraph"/>
        <w:numPr>
          <w:ilvl w:val="0"/>
          <w:numId w:val="111"/>
        </w:numPr>
        <w:tabs>
          <w:tab w:pos="1800" w:val="left" w:leader="none"/>
        </w:tabs>
        <w:spacing w:line="208" w:lineRule="auto" w:before="227" w:after="0"/>
        <w:ind w:left="1800" w:right="790" w:hanging="360"/>
        <w:jc w:val="left"/>
        <w:rPr>
          <w:sz w:val="24"/>
        </w:rPr>
      </w:pPr>
      <w:r>
        <w:rPr>
          <w:sz w:val="24"/>
        </w:rPr>
        <w:t>Medical reports used to determine eligibility need to be scanned under eligibility.</w:t>
      </w:r>
      <w:r>
        <w:rPr>
          <w:spacing w:val="40"/>
          <w:sz w:val="24"/>
        </w:rPr>
        <w:t> </w:t>
      </w:r>
      <w:r>
        <w:rPr>
          <w:sz w:val="24"/>
        </w:rPr>
        <w:t>Release</w:t>
      </w:r>
      <w:r>
        <w:rPr>
          <w:spacing w:val="-3"/>
          <w:sz w:val="24"/>
        </w:rPr>
        <w:t> </w:t>
      </w:r>
      <w:r>
        <w:rPr>
          <w:sz w:val="24"/>
        </w:rPr>
        <w:t>to</w:t>
      </w:r>
      <w:r>
        <w:rPr>
          <w:spacing w:val="-3"/>
          <w:sz w:val="24"/>
        </w:rPr>
        <w:t> </w:t>
      </w:r>
      <w:r>
        <w:rPr>
          <w:sz w:val="24"/>
        </w:rPr>
        <w:t>return</w:t>
      </w:r>
      <w:r>
        <w:rPr>
          <w:spacing w:val="-3"/>
          <w:sz w:val="24"/>
        </w:rPr>
        <w:t> </w:t>
      </w:r>
      <w:r>
        <w:rPr>
          <w:sz w:val="24"/>
        </w:rPr>
        <w:t>to</w:t>
      </w:r>
      <w:r>
        <w:rPr>
          <w:spacing w:val="-4"/>
          <w:sz w:val="24"/>
        </w:rPr>
        <w:t> </w:t>
      </w:r>
      <w:r>
        <w:rPr>
          <w:sz w:val="24"/>
        </w:rPr>
        <w:t>work</w:t>
      </w:r>
      <w:r>
        <w:rPr>
          <w:spacing w:val="-3"/>
          <w:sz w:val="24"/>
        </w:rPr>
        <w:t> </w:t>
      </w:r>
      <w:r>
        <w:rPr>
          <w:sz w:val="24"/>
        </w:rPr>
        <w:t>must</w:t>
      </w:r>
      <w:r>
        <w:rPr>
          <w:spacing w:val="-4"/>
          <w:sz w:val="24"/>
        </w:rPr>
        <w:t> </w:t>
      </w:r>
      <w:r>
        <w:rPr>
          <w:sz w:val="24"/>
        </w:rPr>
        <w:t>be</w:t>
      </w:r>
      <w:r>
        <w:rPr>
          <w:spacing w:val="-3"/>
          <w:sz w:val="24"/>
        </w:rPr>
        <w:t> </w:t>
      </w:r>
      <w:r>
        <w:rPr>
          <w:sz w:val="24"/>
        </w:rPr>
        <w:t>scanned</w:t>
      </w:r>
      <w:r>
        <w:rPr>
          <w:spacing w:val="-3"/>
          <w:sz w:val="24"/>
        </w:rPr>
        <w:t> </w:t>
      </w:r>
      <w:r>
        <w:rPr>
          <w:sz w:val="24"/>
        </w:rPr>
        <w:t>into</w:t>
      </w:r>
      <w:r>
        <w:rPr>
          <w:spacing w:val="-3"/>
          <w:sz w:val="24"/>
        </w:rPr>
        <w:t> </w:t>
      </w:r>
      <w:r>
        <w:rPr>
          <w:sz w:val="24"/>
        </w:rPr>
        <w:t>medical</w:t>
      </w:r>
      <w:r>
        <w:rPr>
          <w:spacing w:val="-2"/>
          <w:sz w:val="24"/>
        </w:rPr>
        <w:t> </w:t>
      </w:r>
      <w:r>
        <w:rPr>
          <w:sz w:val="24"/>
        </w:rPr>
        <w:t>reports with a clear return to work date.</w:t>
      </w:r>
    </w:p>
    <w:p>
      <w:pPr>
        <w:pStyle w:val="ListParagraph"/>
        <w:numPr>
          <w:ilvl w:val="0"/>
          <w:numId w:val="111"/>
        </w:numPr>
        <w:tabs>
          <w:tab w:pos="1800" w:val="left" w:leader="none"/>
        </w:tabs>
        <w:spacing w:line="208" w:lineRule="auto" w:before="224" w:after="0"/>
        <w:ind w:left="1800" w:right="806" w:hanging="360"/>
        <w:jc w:val="left"/>
        <w:rPr>
          <w:sz w:val="24"/>
        </w:rPr>
      </w:pPr>
      <w:r>
        <w:rPr>
          <w:sz w:val="24"/>
        </w:rPr>
        <w:t>Miscellaneous</w:t>
      </w:r>
      <w:r>
        <w:rPr>
          <w:spacing w:val="-5"/>
          <w:sz w:val="24"/>
        </w:rPr>
        <w:t> </w:t>
      </w:r>
      <w:r>
        <w:rPr>
          <w:sz w:val="24"/>
        </w:rPr>
        <w:t>–</w:t>
      </w:r>
      <w:r>
        <w:rPr>
          <w:spacing w:val="-5"/>
          <w:sz w:val="24"/>
        </w:rPr>
        <w:t> </w:t>
      </w:r>
      <w:r>
        <w:rPr>
          <w:sz w:val="24"/>
        </w:rPr>
        <w:t>scan</w:t>
      </w:r>
      <w:r>
        <w:rPr>
          <w:spacing w:val="-5"/>
          <w:sz w:val="24"/>
        </w:rPr>
        <w:t> </w:t>
      </w:r>
      <w:r>
        <w:rPr>
          <w:sz w:val="24"/>
        </w:rPr>
        <w:t>documentation</w:t>
      </w:r>
      <w:r>
        <w:rPr>
          <w:spacing w:val="-5"/>
          <w:sz w:val="24"/>
        </w:rPr>
        <w:t> </w:t>
      </w:r>
      <w:r>
        <w:rPr>
          <w:sz w:val="24"/>
        </w:rPr>
        <w:t>from</w:t>
      </w:r>
      <w:r>
        <w:rPr>
          <w:spacing w:val="-6"/>
          <w:sz w:val="24"/>
        </w:rPr>
        <w:t> </w:t>
      </w:r>
      <w:r>
        <w:rPr>
          <w:sz w:val="24"/>
        </w:rPr>
        <w:t>the</w:t>
      </w:r>
      <w:r>
        <w:rPr>
          <w:spacing w:val="-5"/>
          <w:sz w:val="24"/>
        </w:rPr>
        <w:t> </w:t>
      </w:r>
      <w:r>
        <w:rPr>
          <w:sz w:val="24"/>
        </w:rPr>
        <w:t>Department</w:t>
      </w:r>
      <w:r>
        <w:rPr>
          <w:spacing w:val="-4"/>
          <w:sz w:val="24"/>
        </w:rPr>
        <w:t> </w:t>
      </w:r>
      <w:r>
        <w:rPr>
          <w:sz w:val="24"/>
        </w:rPr>
        <w:t>of</w:t>
      </w:r>
      <w:r>
        <w:rPr>
          <w:spacing w:val="-4"/>
          <w:sz w:val="24"/>
        </w:rPr>
        <w:t> </w:t>
      </w:r>
      <w:r>
        <w:rPr>
          <w:sz w:val="24"/>
        </w:rPr>
        <w:t>Corrections, Tech Instructions (if your office uses them), OKDRS Job Readiness Checklist, SDS results sheet, OWL and NHL screen shots, etc.</w:t>
      </w:r>
    </w:p>
    <w:p>
      <w:pPr>
        <w:pStyle w:val="ListParagraph"/>
        <w:numPr>
          <w:ilvl w:val="0"/>
          <w:numId w:val="111"/>
        </w:numPr>
        <w:tabs>
          <w:tab w:pos="1800" w:val="left" w:leader="none"/>
        </w:tabs>
        <w:spacing w:line="206" w:lineRule="auto" w:before="227" w:after="0"/>
        <w:ind w:left="1800" w:right="1174" w:hanging="360"/>
        <w:jc w:val="left"/>
        <w:rPr>
          <w:sz w:val="24"/>
        </w:rPr>
      </w:pPr>
      <w:r>
        <w:rPr>
          <w:sz w:val="24"/>
        </w:rPr>
        <w:t>Personal</w:t>
      </w:r>
      <w:r>
        <w:rPr>
          <w:spacing w:val="-5"/>
          <w:sz w:val="24"/>
        </w:rPr>
        <w:t> </w:t>
      </w:r>
      <w:r>
        <w:rPr>
          <w:sz w:val="24"/>
        </w:rPr>
        <w:t>Documents</w:t>
      </w:r>
      <w:r>
        <w:rPr>
          <w:spacing w:val="-5"/>
          <w:sz w:val="24"/>
        </w:rPr>
        <w:t> </w:t>
      </w:r>
      <w:r>
        <w:rPr>
          <w:sz w:val="24"/>
        </w:rPr>
        <w:t>–</w:t>
      </w:r>
      <w:r>
        <w:rPr>
          <w:spacing w:val="-5"/>
          <w:sz w:val="24"/>
        </w:rPr>
        <w:t> </w:t>
      </w:r>
      <w:r>
        <w:rPr>
          <w:sz w:val="24"/>
        </w:rPr>
        <w:t>scan</w:t>
      </w:r>
      <w:r>
        <w:rPr>
          <w:spacing w:val="-5"/>
          <w:sz w:val="24"/>
        </w:rPr>
        <w:t> </w:t>
      </w:r>
      <w:r>
        <w:rPr>
          <w:sz w:val="24"/>
        </w:rPr>
        <w:t>insurance</w:t>
      </w:r>
      <w:r>
        <w:rPr>
          <w:spacing w:val="-5"/>
          <w:sz w:val="24"/>
        </w:rPr>
        <w:t> </w:t>
      </w:r>
      <w:r>
        <w:rPr>
          <w:sz w:val="24"/>
        </w:rPr>
        <w:t>cards,</w:t>
      </w:r>
      <w:r>
        <w:rPr>
          <w:spacing w:val="-4"/>
          <w:sz w:val="24"/>
        </w:rPr>
        <w:t> </w:t>
      </w:r>
      <w:r>
        <w:rPr>
          <w:sz w:val="24"/>
        </w:rPr>
        <w:t>state</w:t>
      </w:r>
      <w:r>
        <w:rPr>
          <w:spacing w:val="-5"/>
          <w:sz w:val="24"/>
        </w:rPr>
        <w:t> </w:t>
      </w:r>
      <w:r>
        <w:rPr>
          <w:sz w:val="24"/>
        </w:rPr>
        <w:t>driver's</w:t>
      </w:r>
      <w:r>
        <w:rPr>
          <w:spacing w:val="-5"/>
          <w:sz w:val="24"/>
        </w:rPr>
        <w:t> </w:t>
      </w:r>
      <w:r>
        <w:rPr>
          <w:sz w:val="24"/>
        </w:rPr>
        <w:t>licenses</w:t>
      </w:r>
      <w:r>
        <w:rPr>
          <w:spacing w:val="-5"/>
          <w:sz w:val="24"/>
        </w:rPr>
        <w:t> </w:t>
      </w:r>
      <w:r>
        <w:rPr>
          <w:sz w:val="24"/>
        </w:rPr>
        <w:t>or state ID's, Medicare/Medicaid cards, Tribal cards, etc.</w:t>
      </w:r>
    </w:p>
    <w:p>
      <w:pPr>
        <w:pStyle w:val="ListParagraph"/>
        <w:spacing w:after="0" w:line="206" w:lineRule="auto"/>
        <w:jc w:val="left"/>
        <w:rPr>
          <w:sz w:val="24"/>
        </w:rPr>
        <w:sectPr>
          <w:pgSz w:w="12240" w:h="15840"/>
          <w:pgMar w:top="1320" w:bottom="280" w:left="1080" w:right="720"/>
        </w:sectPr>
      </w:pPr>
    </w:p>
    <w:p>
      <w:pPr>
        <w:pStyle w:val="ListParagraph"/>
        <w:numPr>
          <w:ilvl w:val="0"/>
          <w:numId w:val="111"/>
        </w:numPr>
        <w:tabs>
          <w:tab w:pos="1800" w:val="left" w:leader="none"/>
        </w:tabs>
        <w:spacing w:line="208" w:lineRule="auto" w:before="102" w:after="0"/>
        <w:ind w:left="1800" w:right="753" w:hanging="360"/>
        <w:jc w:val="left"/>
        <w:rPr>
          <w:sz w:val="24"/>
        </w:rPr>
      </w:pPr>
      <w:r>
        <w:rPr>
          <w:sz w:val="24"/>
        </w:rPr>
        <w:t>Plan (IPE C-29) – it is a requirement for the counselor and client to sign, scan and clearly indicate on the case comments line the plan number and sign date “original IPE 11/24/11”.</w:t>
      </w:r>
      <w:r>
        <w:rPr>
          <w:spacing w:val="40"/>
          <w:sz w:val="24"/>
        </w:rPr>
        <w:t> </w:t>
      </w:r>
      <w:r>
        <w:rPr>
          <w:sz w:val="24"/>
        </w:rPr>
        <w:t>If it is an amended plan indicate the amendment number and signature date, “Amendment #2 signed 3/14/12”. Any Plan or Plan Amendments that are completed in AWARE, after signature,</w:t>
      </w:r>
      <w:r>
        <w:rPr>
          <w:spacing w:val="-4"/>
          <w:sz w:val="24"/>
        </w:rPr>
        <w:t> </w:t>
      </w:r>
      <w:r>
        <w:rPr>
          <w:sz w:val="24"/>
        </w:rPr>
        <w:t>should</w:t>
      </w:r>
      <w:r>
        <w:rPr>
          <w:spacing w:val="-5"/>
          <w:sz w:val="24"/>
        </w:rPr>
        <w:t> </w:t>
      </w:r>
      <w:r>
        <w:rPr>
          <w:sz w:val="24"/>
        </w:rPr>
        <w:t>also</w:t>
      </w:r>
      <w:r>
        <w:rPr>
          <w:spacing w:val="-4"/>
          <w:sz w:val="24"/>
        </w:rPr>
        <w:t> </w:t>
      </w:r>
      <w:r>
        <w:rPr>
          <w:sz w:val="24"/>
        </w:rPr>
        <w:t>be</w:t>
      </w:r>
      <w:r>
        <w:rPr>
          <w:spacing w:val="-5"/>
          <w:sz w:val="24"/>
        </w:rPr>
        <w:t> </w:t>
      </w:r>
      <w:r>
        <w:rPr>
          <w:sz w:val="24"/>
        </w:rPr>
        <w:t>scanned</w:t>
      </w:r>
      <w:r>
        <w:rPr>
          <w:spacing w:val="-5"/>
          <w:sz w:val="24"/>
        </w:rPr>
        <w:t> </w:t>
      </w:r>
      <w:r>
        <w:rPr>
          <w:sz w:val="24"/>
        </w:rPr>
        <w:t>into</w:t>
      </w:r>
      <w:r>
        <w:rPr>
          <w:spacing w:val="-5"/>
          <w:sz w:val="24"/>
        </w:rPr>
        <w:t> </w:t>
      </w:r>
      <w:r>
        <w:rPr>
          <w:sz w:val="24"/>
        </w:rPr>
        <w:t>Knowledgelake</w:t>
      </w:r>
      <w:r>
        <w:rPr>
          <w:spacing w:val="-4"/>
          <w:sz w:val="24"/>
        </w:rPr>
        <w:t> </w:t>
      </w:r>
      <w:r>
        <w:rPr>
          <w:sz w:val="24"/>
        </w:rPr>
        <w:t>for</w:t>
      </w:r>
      <w:r>
        <w:rPr>
          <w:spacing w:val="-5"/>
          <w:sz w:val="24"/>
        </w:rPr>
        <w:t> </w:t>
      </w:r>
      <w:r>
        <w:rPr>
          <w:sz w:val="24"/>
        </w:rPr>
        <w:t>ease</w:t>
      </w:r>
      <w:r>
        <w:rPr>
          <w:spacing w:val="-5"/>
          <w:sz w:val="24"/>
        </w:rPr>
        <w:t> </w:t>
      </w:r>
      <w:r>
        <w:rPr>
          <w:sz w:val="24"/>
        </w:rPr>
        <w:t>in</w:t>
      </w:r>
      <w:r>
        <w:rPr>
          <w:spacing w:val="-5"/>
          <w:sz w:val="24"/>
        </w:rPr>
        <w:t> </w:t>
      </w:r>
      <w:r>
        <w:rPr>
          <w:sz w:val="24"/>
        </w:rPr>
        <w:t>auditing and case review.</w:t>
      </w:r>
      <w:r>
        <w:rPr>
          <w:spacing w:val="40"/>
          <w:sz w:val="24"/>
        </w:rPr>
        <w:t> </w:t>
      </w:r>
      <w:r>
        <w:rPr>
          <w:sz w:val="24"/>
        </w:rPr>
        <w:t>Tribal VR IPEs will be scanned in the Plan section and noted in case comments.</w:t>
      </w:r>
    </w:p>
    <w:p>
      <w:pPr>
        <w:pStyle w:val="ListParagraph"/>
        <w:numPr>
          <w:ilvl w:val="0"/>
          <w:numId w:val="111"/>
        </w:numPr>
        <w:tabs>
          <w:tab w:pos="1800" w:val="left" w:leader="none"/>
        </w:tabs>
        <w:spacing w:line="206" w:lineRule="auto" w:before="226" w:after="0"/>
        <w:ind w:left="1800" w:right="1114" w:hanging="360"/>
        <w:jc w:val="left"/>
        <w:rPr>
          <w:sz w:val="24"/>
        </w:rPr>
      </w:pPr>
      <w:r>
        <w:rPr>
          <w:sz w:val="24"/>
        </w:rPr>
        <w:t>Plan</w:t>
      </w:r>
      <w:r>
        <w:rPr>
          <w:spacing w:val="-4"/>
          <w:sz w:val="24"/>
        </w:rPr>
        <w:t> </w:t>
      </w:r>
      <w:r>
        <w:rPr>
          <w:sz w:val="24"/>
        </w:rPr>
        <w:t>Extension</w:t>
      </w:r>
      <w:r>
        <w:rPr>
          <w:spacing w:val="-4"/>
          <w:sz w:val="24"/>
        </w:rPr>
        <w:t> </w:t>
      </w:r>
      <w:r>
        <w:rPr>
          <w:sz w:val="24"/>
        </w:rPr>
        <w:t>(C-14)</w:t>
      </w:r>
      <w:r>
        <w:rPr>
          <w:spacing w:val="-4"/>
          <w:sz w:val="24"/>
        </w:rPr>
        <w:t> </w:t>
      </w:r>
      <w:r>
        <w:rPr>
          <w:sz w:val="24"/>
        </w:rPr>
        <w:t>–</w:t>
      </w:r>
      <w:r>
        <w:rPr>
          <w:spacing w:val="-4"/>
          <w:sz w:val="24"/>
        </w:rPr>
        <w:t> </w:t>
      </w:r>
      <w:r>
        <w:rPr>
          <w:sz w:val="24"/>
        </w:rPr>
        <w:t>must</w:t>
      </w:r>
      <w:r>
        <w:rPr>
          <w:spacing w:val="-5"/>
          <w:sz w:val="24"/>
        </w:rPr>
        <w:t> </w:t>
      </w:r>
      <w:r>
        <w:rPr>
          <w:sz w:val="24"/>
        </w:rPr>
        <w:t>be</w:t>
      </w:r>
      <w:r>
        <w:rPr>
          <w:spacing w:val="-5"/>
          <w:sz w:val="24"/>
        </w:rPr>
        <w:t> </w:t>
      </w:r>
      <w:r>
        <w:rPr>
          <w:sz w:val="24"/>
        </w:rPr>
        <w:t>scanned</w:t>
      </w:r>
      <w:r>
        <w:rPr>
          <w:spacing w:val="-4"/>
          <w:sz w:val="24"/>
        </w:rPr>
        <w:t> </w:t>
      </w:r>
      <w:r>
        <w:rPr>
          <w:sz w:val="24"/>
        </w:rPr>
        <w:t>and</w:t>
      </w:r>
      <w:r>
        <w:rPr>
          <w:spacing w:val="-4"/>
          <w:sz w:val="24"/>
        </w:rPr>
        <w:t> </w:t>
      </w:r>
      <w:r>
        <w:rPr>
          <w:sz w:val="24"/>
        </w:rPr>
        <w:t>clearly</w:t>
      </w:r>
      <w:r>
        <w:rPr>
          <w:spacing w:val="-4"/>
          <w:sz w:val="24"/>
        </w:rPr>
        <w:t> </w:t>
      </w:r>
      <w:r>
        <w:rPr>
          <w:sz w:val="24"/>
        </w:rPr>
        <w:t>identified</w:t>
      </w:r>
      <w:r>
        <w:rPr>
          <w:spacing w:val="-4"/>
          <w:sz w:val="24"/>
        </w:rPr>
        <w:t> </w:t>
      </w:r>
      <w:r>
        <w:rPr>
          <w:sz w:val="24"/>
        </w:rPr>
        <w:t>in</w:t>
      </w:r>
      <w:r>
        <w:rPr>
          <w:spacing w:val="-3"/>
          <w:sz w:val="24"/>
        </w:rPr>
        <w:t> </w:t>
      </w:r>
      <w:r>
        <w:rPr>
          <w:sz w:val="24"/>
        </w:rPr>
        <w:t>case comments with dates.</w:t>
      </w:r>
    </w:p>
    <w:p>
      <w:pPr>
        <w:pStyle w:val="ListParagraph"/>
        <w:numPr>
          <w:ilvl w:val="0"/>
          <w:numId w:val="111"/>
        </w:numPr>
        <w:tabs>
          <w:tab w:pos="1799" w:val="left" w:leader="none"/>
        </w:tabs>
        <w:spacing w:line="240" w:lineRule="auto" w:before="196" w:after="0"/>
        <w:ind w:left="1799" w:right="0" w:hanging="359"/>
        <w:jc w:val="left"/>
        <w:rPr>
          <w:sz w:val="24"/>
        </w:rPr>
      </w:pPr>
      <w:r>
        <w:rPr>
          <w:sz w:val="24"/>
        </w:rPr>
        <w:t>Professional</w:t>
      </w:r>
      <w:r>
        <w:rPr>
          <w:spacing w:val="-5"/>
          <w:sz w:val="24"/>
        </w:rPr>
        <w:t> </w:t>
      </w:r>
      <w:r>
        <w:rPr>
          <w:sz w:val="24"/>
        </w:rPr>
        <w:t>Disclosure</w:t>
      </w:r>
      <w:r>
        <w:rPr>
          <w:spacing w:val="-4"/>
          <w:sz w:val="24"/>
        </w:rPr>
        <w:t> </w:t>
      </w:r>
      <w:r>
        <w:rPr>
          <w:spacing w:val="-2"/>
          <w:sz w:val="24"/>
        </w:rPr>
        <w:t>Form.</w:t>
      </w:r>
    </w:p>
    <w:p>
      <w:pPr>
        <w:pStyle w:val="ListParagraph"/>
        <w:numPr>
          <w:ilvl w:val="0"/>
          <w:numId w:val="111"/>
        </w:numPr>
        <w:tabs>
          <w:tab w:pos="1799" w:val="left" w:leader="none"/>
        </w:tabs>
        <w:spacing w:line="240" w:lineRule="auto" w:before="186" w:after="0"/>
        <w:ind w:left="1799" w:right="0" w:hanging="359"/>
        <w:jc w:val="left"/>
        <w:rPr>
          <w:sz w:val="24"/>
        </w:rPr>
      </w:pPr>
      <w:r>
        <w:rPr>
          <w:sz w:val="24"/>
        </w:rPr>
        <w:t>Responsibilities</w:t>
      </w:r>
      <w:r>
        <w:rPr>
          <w:spacing w:val="-6"/>
          <w:sz w:val="24"/>
        </w:rPr>
        <w:t> </w:t>
      </w:r>
      <w:r>
        <w:rPr>
          <w:sz w:val="24"/>
        </w:rPr>
        <w:t>for</w:t>
      </w:r>
      <w:r>
        <w:rPr>
          <w:spacing w:val="-4"/>
          <w:sz w:val="24"/>
        </w:rPr>
        <w:t> </w:t>
      </w:r>
      <w:r>
        <w:rPr>
          <w:sz w:val="24"/>
        </w:rPr>
        <w:t>Clients</w:t>
      </w:r>
      <w:r>
        <w:rPr>
          <w:spacing w:val="-5"/>
          <w:sz w:val="24"/>
        </w:rPr>
        <w:t> </w:t>
      </w:r>
      <w:r>
        <w:rPr>
          <w:sz w:val="24"/>
        </w:rPr>
        <w:t>Attending</w:t>
      </w:r>
      <w:r>
        <w:rPr>
          <w:spacing w:val="-6"/>
          <w:sz w:val="24"/>
        </w:rPr>
        <w:t> </w:t>
      </w:r>
      <w:r>
        <w:rPr>
          <w:sz w:val="24"/>
        </w:rPr>
        <w:t>Higher</w:t>
      </w:r>
      <w:r>
        <w:rPr>
          <w:spacing w:val="-4"/>
          <w:sz w:val="24"/>
        </w:rPr>
        <w:t> </w:t>
      </w:r>
      <w:r>
        <w:rPr>
          <w:sz w:val="24"/>
        </w:rPr>
        <w:t>Education</w:t>
      </w:r>
      <w:r>
        <w:rPr>
          <w:spacing w:val="-5"/>
          <w:sz w:val="24"/>
        </w:rPr>
        <w:t> </w:t>
      </w:r>
      <w:r>
        <w:rPr>
          <w:sz w:val="24"/>
        </w:rPr>
        <w:t>(C-</w:t>
      </w:r>
      <w:r>
        <w:rPr>
          <w:spacing w:val="-4"/>
          <w:sz w:val="24"/>
        </w:rPr>
        <w:t>50).</w:t>
      </w:r>
    </w:p>
    <w:p>
      <w:pPr>
        <w:pStyle w:val="ListParagraph"/>
        <w:numPr>
          <w:ilvl w:val="0"/>
          <w:numId w:val="111"/>
        </w:numPr>
        <w:tabs>
          <w:tab w:pos="1799" w:val="left" w:leader="none"/>
        </w:tabs>
        <w:spacing w:line="240" w:lineRule="auto" w:before="186" w:after="0"/>
        <w:ind w:left="1799" w:right="0" w:hanging="359"/>
        <w:jc w:val="left"/>
        <w:rPr>
          <w:sz w:val="24"/>
        </w:rPr>
      </w:pPr>
      <w:r>
        <w:rPr>
          <w:sz w:val="24"/>
        </w:rPr>
        <w:t>Receipt</w:t>
      </w:r>
      <w:r>
        <w:rPr>
          <w:spacing w:val="-4"/>
          <w:sz w:val="24"/>
        </w:rPr>
        <w:t> </w:t>
      </w:r>
      <w:r>
        <w:rPr>
          <w:sz w:val="24"/>
        </w:rPr>
        <w:t>for</w:t>
      </w:r>
      <w:r>
        <w:rPr>
          <w:spacing w:val="-5"/>
          <w:sz w:val="24"/>
        </w:rPr>
        <w:t> </w:t>
      </w:r>
      <w:r>
        <w:rPr>
          <w:sz w:val="24"/>
        </w:rPr>
        <w:t>Equipment</w:t>
      </w:r>
      <w:r>
        <w:rPr>
          <w:spacing w:val="-3"/>
          <w:sz w:val="24"/>
        </w:rPr>
        <w:t> </w:t>
      </w:r>
      <w:r>
        <w:rPr>
          <w:sz w:val="24"/>
        </w:rPr>
        <w:t>Title</w:t>
      </w:r>
      <w:r>
        <w:rPr>
          <w:spacing w:val="-4"/>
          <w:sz w:val="24"/>
        </w:rPr>
        <w:t> </w:t>
      </w:r>
      <w:r>
        <w:rPr>
          <w:sz w:val="24"/>
        </w:rPr>
        <w:t>Agreement</w:t>
      </w:r>
      <w:r>
        <w:rPr>
          <w:spacing w:val="-3"/>
          <w:sz w:val="24"/>
        </w:rPr>
        <w:t> </w:t>
      </w:r>
      <w:r>
        <w:rPr>
          <w:sz w:val="24"/>
        </w:rPr>
        <w:t>(C-</w:t>
      </w:r>
      <w:r>
        <w:rPr>
          <w:spacing w:val="-4"/>
          <w:sz w:val="24"/>
        </w:rPr>
        <w:t>57).</w:t>
      </w:r>
    </w:p>
    <w:p>
      <w:pPr>
        <w:pStyle w:val="ListParagraph"/>
        <w:numPr>
          <w:ilvl w:val="0"/>
          <w:numId w:val="111"/>
        </w:numPr>
        <w:tabs>
          <w:tab w:pos="1800" w:val="left" w:leader="none"/>
        </w:tabs>
        <w:spacing w:line="206" w:lineRule="auto" w:before="219" w:after="0"/>
        <w:ind w:left="1800" w:right="874" w:hanging="360"/>
        <w:jc w:val="left"/>
        <w:rPr>
          <w:sz w:val="24"/>
        </w:rPr>
      </w:pPr>
      <w:r>
        <w:rPr>
          <w:sz w:val="24"/>
        </w:rPr>
        <w:t>Release</w:t>
      </w:r>
      <w:r>
        <w:rPr>
          <w:spacing w:val="-4"/>
          <w:sz w:val="24"/>
        </w:rPr>
        <w:t> </w:t>
      </w:r>
      <w:r>
        <w:rPr>
          <w:sz w:val="24"/>
        </w:rPr>
        <w:t>of</w:t>
      </w:r>
      <w:r>
        <w:rPr>
          <w:spacing w:val="-3"/>
          <w:sz w:val="24"/>
        </w:rPr>
        <w:t> </w:t>
      </w:r>
      <w:r>
        <w:rPr>
          <w:sz w:val="24"/>
        </w:rPr>
        <w:t>Information</w:t>
      </w:r>
      <w:r>
        <w:rPr>
          <w:spacing w:val="-5"/>
          <w:sz w:val="24"/>
        </w:rPr>
        <w:t> </w:t>
      </w:r>
      <w:r>
        <w:rPr>
          <w:sz w:val="24"/>
        </w:rPr>
        <w:t>(C-5).</w:t>
      </w:r>
      <w:r>
        <w:rPr>
          <w:spacing w:val="40"/>
          <w:sz w:val="24"/>
        </w:rPr>
        <w:t> </w:t>
      </w:r>
      <w:r>
        <w:rPr>
          <w:sz w:val="24"/>
        </w:rPr>
        <w:t>In</w:t>
      </w:r>
      <w:r>
        <w:rPr>
          <w:spacing w:val="-4"/>
          <w:sz w:val="24"/>
        </w:rPr>
        <w:t> </w:t>
      </w:r>
      <w:r>
        <w:rPr>
          <w:sz w:val="24"/>
        </w:rPr>
        <w:t>case</w:t>
      </w:r>
      <w:r>
        <w:rPr>
          <w:spacing w:val="-4"/>
          <w:sz w:val="24"/>
        </w:rPr>
        <w:t> </w:t>
      </w:r>
      <w:r>
        <w:rPr>
          <w:sz w:val="24"/>
        </w:rPr>
        <w:t>comments</w:t>
      </w:r>
      <w:r>
        <w:rPr>
          <w:spacing w:val="-4"/>
          <w:sz w:val="24"/>
        </w:rPr>
        <w:t> </w:t>
      </w:r>
      <w:r>
        <w:rPr>
          <w:sz w:val="24"/>
        </w:rPr>
        <w:t>note</w:t>
      </w:r>
      <w:r>
        <w:rPr>
          <w:spacing w:val="-4"/>
          <w:sz w:val="24"/>
        </w:rPr>
        <w:t> </w:t>
      </w:r>
      <w:r>
        <w:rPr>
          <w:sz w:val="24"/>
        </w:rPr>
        <w:t>signature</w:t>
      </w:r>
      <w:r>
        <w:rPr>
          <w:spacing w:val="-4"/>
          <w:sz w:val="24"/>
        </w:rPr>
        <w:t> </w:t>
      </w:r>
      <w:r>
        <w:rPr>
          <w:sz w:val="24"/>
        </w:rPr>
        <w:t>date</w:t>
      </w:r>
      <w:r>
        <w:rPr>
          <w:spacing w:val="-4"/>
          <w:sz w:val="24"/>
        </w:rPr>
        <w:t> </w:t>
      </w:r>
      <w:r>
        <w:rPr>
          <w:sz w:val="24"/>
        </w:rPr>
        <w:t>and name of individual/facility.</w:t>
      </w:r>
    </w:p>
    <w:p>
      <w:pPr>
        <w:pStyle w:val="ListParagraph"/>
        <w:numPr>
          <w:ilvl w:val="0"/>
          <w:numId w:val="111"/>
        </w:numPr>
        <w:tabs>
          <w:tab w:pos="1799" w:val="left" w:leader="none"/>
        </w:tabs>
        <w:spacing w:line="240" w:lineRule="auto" w:before="196" w:after="0"/>
        <w:ind w:left="1799" w:right="0" w:hanging="359"/>
        <w:jc w:val="left"/>
        <w:rPr>
          <w:sz w:val="24"/>
        </w:rPr>
      </w:pPr>
      <w:r>
        <w:rPr>
          <w:sz w:val="24"/>
        </w:rPr>
        <w:t>Release</w:t>
      </w:r>
      <w:r>
        <w:rPr>
          <w:spacing w:val="-4"/>
          <w:sz w:val="24"/>
        </w:rPr>
        <w:t> </w:t>
      </w:r>
      <w:r>
        <w:rPr>
          <w:sz w:val="24"/>
        </w:rPr>
        <w:t>or</w:t>
      </w:r>
      <w:r>
        <w:rPr>
          <w:spacing w:val="-3"/>
          <w:sz w:val="24"/>
        </w:rPr>
        <w:t> </w:t>
      </w:r>
      <w:r>
        <w:rPr>
          <w:sz w:val="24"/>
        </w:rPr>
        <w:t>Receipt</w:t>
      </w:r>
      <w:r>
        <w:rPr>
          <w:spacing w:val="-2"/>
          <w:sz w:val="24"/>
        </w:rPr>
        <w:t> </w:t>
      </w:r>
      <w:r>
        <w:rPr>
          <w:sz w:val="24"/>
        </w:rPr>
        <w:t>for</w:t>
      </w:r>
      <w:r>
        <w:rPr>
          <w:spacing w:val="-4"/>
          <w:sz w:val="24"/>
        </w:rPr>
        <w:t> </w:t>
      </w:r>
      <w:r>
        <w:rPr>
          <w:sz w:val="24"/>
        </w:rPr>
        <w:t>Tools</w:t>
      </w:r>
      <w:r>
        <w:rPr>
          <w:spacing w:val="-4"/>
          <w:sz w:val="24"/>
        </w:rPr>
        <w:t> </w:t>
      </w:r>
      <w:r>
        <w:rPr>
          <w:sz w:val="24"/>
        </w:rPr>
        <w:t>and/or</w:t>
      </w:r>
      <w:r>
        <w:rPr>
          <w:spacing w:val="-3"/>
          <w:sz w:val="24"/>
        </w:rPr>
        <w:t> </w:t>
      </w:r>
      <w:r>
        <w:rPr>
          <w:sz w:val="24"/>
        </w:rPr>
        <w:t>Other</w:t>
      </w:r>
      <w:r>
        <w:rPr>
          <w:spacing w:val="-4"/>
          <w:sz w:val="24"/>
        </w:rPr>
        <w:t> </w:t>
      </w:r>
      <w:r>
        <w:rPr>
          <w:sz w:val="24"/>
        </w:rPr>
        <w:t>Equipment</w:t>
      </w:r>
      <w:r>
        <w:rPr>
          <w:spacing w:val="-2"/>
          <w:sz w:val="24"/>
        </w:rPr>
        <w:t> </w:t>
      </w:r>
      <w:r>
        <w:rPr>
          <w:sz w:val="24"/>
        </w:rPr>
        <w:t>(C-</w:t>
      </w:r>
      <w:r>
        <w:rPr>
          <w:spacing w:val="-4"/>
          <w:sz w:val="24"/>
        </w:rPr>
        <w:t>59).</w:t>
      </w:r>
    </w:p>
    <w:p>
      <w:pPr>
        <w:pStyle w:val="ListParagraph"/>
        <w:numPr>
          <w:ilvl w:val="0"/>
          <w:numId w:val="111"/>
        </w:numPr>
        <w:tabs>
          <w:tab w:pos="1799" w:val="left" w:leader="none"/>
        </w:tabs>
        <w:spacing w:line="206" w:lineRule="auto" w:before="220" w:after="0"/>
        <w:ind w:left="1799" w:right="1687" w:hanging="360"/>
        <w:jc w:val="left"/>
        <w:rPr>
          <w:sz w:val="24"/>
        </w:rPr>
      </w:pPr>
      <w:r>
        <w:rPr>
          <w:sz w:val="24"/>
        </w:rPr>
        <w:t>SSA-3288</w:t>
      </w:r>
      <w:r>
        <w:rPr>
          <w:spacing w:val="-5"/>
          <w:sz w:val="24"/>
        </w:rPr>
        <w:t> </w:t>
      </w:r>
      <w:r>
        <w:rPr>
          <w:sz w:val="24"/>
        </w:rPr>
        <w:t>Consent</w:t>
      </w:r>
      <w:r>
        <w:rPr>
          <w:spacing w:val="-4"/>
          <w:sz w:val="24"/>
        </w:rPr>
        <w:t> </w:t>
      </w:r>
      <w:r>
        <w:rPr>
          <w:sz w:val="24"/>
        </w:rPr>
        <w:t>Release</w:t>
      </w:r>
      <w:r>
        <w:rPr>
          <w:spacing w:val="-5"/>
          <w:sz w:val="24"/>
        </w:rPr>
        <w:t> </w:t>
      </w:r>
      <w:r>
        <w:rPr>
          <w:sz w:val="24"/>
        </w:rPr>
        <w:t>Information.</w:t>
      </w:r>
      <w:r>
        <w:rPr>
          <w:spacing w:val="40"/>
          <w:sz w:val="24"/>
        </w:rPr>
        <w:t> </w:t>
      </w:r>
      <w:r>
        <w:rPr>
          <w:sz w:val="24"/>
        </w:rPr>
        <w:t>In</w:t>
      </w:r>
      <w:r>
        <w:rPr>
          <w:spacing w:val="-6"/>
          <w:sz w:val="24"/>
        </w:rPr>
        <w:t> </w:t>
      </w:r>
      <w:r>
        <w:rPr>
          <w:sz w:val="24"/>
        </w:rPr>
        <w:t>case</w:t>
      </w:r>
      <w:r>
        <w:rPr>
          <w:spacing w:val="-5"/>
          <w:sz w:val="24"/>
        </w:rPr>
        <w:t> </w:t>
      </w:r>
      <w:r>
        <w:rPr>
          <w:sz w:val="24"/>
        </w:rPr>
        <w:t>comments</w:t>
      </w:r>
      <w:r>
        <w:rPr>
          <w:spacing w:val="-5"/>
          <w:sz w:val="24"/>
        </w:rPr>
        <w:t> </w:t>
      </w:r>
      <w:r>
        <w:rPr>
          <w:sz w:val="24"/>
        </w:rPr>
        <w:t>note signature date.</w:t>
      </w:r>
    </w:p>
    <w:p>
      <w:pPr>
        <w:pStyle w:val="ListParagraph"/>
        <w:numPr>
          <w:ilvl w:val="0"/>
          <w:numId w:val="111"/>
        </w:numPr>
        <w:tabs>
          <w:tab w:pos="1799" w:val="left" w:leader="none"/>
        </w:tabs>
        <w:spacing w:line="206" w:lineRule="auto" w:before="230" w:after="0"/>
        <w:ind w:left="1799" w:right="995" w:hanging="360"/>
        <w:jc w:val="left"/>
        <w:rPr>
          <w:sz w:val="24"/>
        </w:rPr>
      </w:pPr>
      <w:r>
        <w:rPr>
          <w:sz w:val="24"/>
        </w:rPr>
        <w:t>SSI/SSDI</w:t>
      </w:r>
      <w:r>
        <w:rPr>
          <w:spacing w:val="-4"/>
          <w:sz w:val="24"/>
        </w:rPr>
        <w:t> </w:t>
      </w:r>
      <w:r>
        <w:rPr>
          <w:sz w:val="24"/>
        </w:rPr>
        <w:t>Documentation</w:t>
      </w:r>
      <w:r>
        <w:rPr>
          <w:spacing w:val="-5"/>
          <w:sz w:val="24"/>
        </w:rPr>
        <w:t> </w:t>
      </w:r>
      <w:r>
        <w:rPr>
          <w:sz w:val="24"/>
        </w:rPr>
        <w:t>–</w:t>
      </w:r>
      <w:r>
        <w:rPr>
          <w:spacing w:val="-5"/>
          <w:sz w:val="24"/>
        </w:rPr>
        <w:t> </w:t>
      </w:r>
      <w:r>
        <w:rPr>
          <w:sz w:val="24"/>
        </w:rPr>
        <w:t>includes</w:t>
      </w:r>
      <w:r>
        <w:rPr>
          <w:spacing w:val="-5"/>
          <w:sz w:val="24"/>
        </w:rPr>
        <w:t> </w:t>
      </w:r>
      <w:r>
        <w:rPr>
          <w:sz w:val="24"/>
        </w:rPr>
        <w:t>SDX/BENDEX</w:t>
      </w:r>
      <w:r>
        <w:rPr>
          <w:spacing w:val="-5"/>
          <w:sz w:val="24"/>
        </w:rPr>
        <w:t> </w:t>
      </w:r>
      <w:r>
        <w:rPr>
          <w:sz w:val="24"/>
        </w:rPr>
        <w:t>forms</w:t>
      </w:r>
      <w:r>
        <w:rPr>
          <w:spacing w:val="-5"/>
          <w:sz w:val="24"/>
        </w:rPr>
        <w:t> </w:t>
      </w:r>
      <w:r>
        <w:rPr>
          <w:sz w:val="24"/>
        </w:rPr>
        <w:t>and</w:t>
      </w:r>
      <w:r>
        <w:rPr>
          <w:spacing w:val="-5"/>
          <w:sz w:val="24"/>
        </w:rPr>
        <w:t> </w:t>
      </w:r>
      <w:r>
        <w:rPr>
          <w:sz w:val="24"/>
        </w:rPr>
        <w:t>Ticket</w:t>
      </w:r>
      <w:r>
        <w:rPr>
          <w:spacing w:val="-4"/>
          <w:sz w:val="24"/>
        </w:rPr>
        <w:t> </w:t>
      </w:r>
      <w:r>
        <w:rPr>
          <w:sz w:val="24"/>
        </w:rPr>
        <w:t>To Work documents.</w:t>
      </w:r>
    </w:p>
    <w:p>
      <w:pPr>
        <w:pStyle w:val="ListParagraph"/>
        <w:numPr>
          <w:ilvl w:val="0"/>
          <w:numId w:val="111"/>
        </w:numPr>
        <w:tabs>
          <w:tab w:pos="1799" w:val="left" w:leader="none"/>
        </w:tabs>
        <w:spacing w:line="208" w:lineRule="auto" w:before="227" w:after="0"/>
        <w:ind w:left="1799" w:right="994" w:hanging="360"/>
        <w:jc w:val="left"/>
        <w:rPr>
          <w:sz w:val="24"/>
        </w:rPr>
      </w:pPr>
      <w:r>
        <w:rPr>
          <w:sz w:val="24"/>
        </w:rPr>
        <w:t>Training</w:t>
      </w:r>
      <w:r>
        <w:rPr>
          <w:spacing w:val="-4"/>
          <w:sz w:val="24"/>
        </w:rPr>
        <w:t> </w:t>
      </w:r>
      <w:r>
        <w:rPr>
          <w:sz w:val="24"/>
        </w:rPr>
        <w:t>–</w:t>
      </w:r>
      <w:r>
        <w:rPr>
          <w:spacing w:val="-4"/>
          <w:sz w:val="24"/>
        </w:rPr>
        <w:t> </w:t>
      </w:r>
      <w:r>
        <w:rPr>
          <w:sz w:val="24"/>
        </w:rPr>
        <w:t>reports,</w:t>
      </w:r>
      <w:r>
        <w:rPr>
          <w:spacing w:val="-3"/>
          <w:sz w:val="24"/>
        </w:rPr>
        <w:t> </w:t>
      </w:r>
      <w:r>
        <w:rPr>
          <w:sz w:val="24"/>
        </w:rPr>
        <w:t>grade</w:t>
      </w:r>
      <w:r>
        <w:rPr>
          <w:spacing w:val="-4"/>
          <w:sz w:val="24"/>
        </w:rPr>
        <w:t> </w:t>
      </w:r>
      <w:r>
        <w:rPr>
          <w:sz w:val="24"/>
        </w:rPr>
        <w:t>reports,</w:t>
      </w:r>
      <w:r>
        <w:rPr>
          <w:spacing w:val="-5"/>
          <w:sz w:val="24"/>
        </w:rPr>
        <w:t> </w:t>
      </w:r>
      <w:r>
        <w:rPr>
          <w:sz w:val="24"/>
        </w:rPr>
        <w:t>job</w:t>
      </w:r>
      <w:r>
        <w:rPr>
          <w:spacing w:val="-4"/>
          <w:sz w:val="24"/>
        </w:rPr>
        <w:t> </w:t>
      </w:r>
      <w:r>
        <w:rPr>
          <w:sz w:val="24"/>
        </w:rPr>
        <w:t>training</w:t>
      </w:r>
      <w:r>
        <w:rPr>
          <w:spacing w:val="-3"/>
          <w:sz w:val="24"/>
        </w:rPr>
        <w:t> </w:t>
      </w:r>
      <w:r>
        <w:rPr>
          <w:sz w:val="24"/>
        </w:rPr>
        <w:t>reports</w:t>
      </w:r>
      <w:r>
        <w:rPr>
          <w:spacing w:val="-5"/>
          <w:sz w:val="24"/>
        </w:rPr>
        <w:t> </w:t>
      </w:r>
      <w:r>
        <w:rPr>
          <w:sz w:val="24"/>
        </w:rPr>
        <w:t>(CE,</w:t>
      </w:r>
      <w:r>
        <w:rPr>
          <w:spacing w:val="-3"/>
          <w:sz w:val="24"/>
        </w:rPr>
        <w:t> </w:t>
      </w:r>
      <w:r>
        <w:rPr>
          <w:sz w:val="24"/>
        </w:rPr>
        <w:t>SE,</w:t>
      </w:r>
      <w:r>
        <w:rPr>
          <w:spacing w:val="-3"/>
          <w:sz w:val="24"/>
        </w:rPr>
        <w:t> </w:t>
      </w:r>
      <w:r>
        <w:rPr>
          <w:sz w:val="24"/>
        </w:rPr>
        <w:t>SES,</w:t>
      </w:r>
      <w:r>
        <w:rPr>
          <w:spacing w:val="-3"/>
          <w:sz w:val="24"/>
        </w:rPr>
        <w:t> </w:t>
      </w:r>
      <w:r>
        <w:rPr>
          <w:sz w:val="24"/>
        </w:rPr>
        <w:t>ER, JP, JOBS, SSE), referrals, certificates, any training documentation., in case comments, note, date of report and name of vendor/contractor.</w:t>
      </w:r>
    </w:p>
    <w:p>
      <w:pPr>
        <w:pStyle w:val="ListParagraph"/>
        <w:numPr>
          <w:ilvl w:val="1"/>
          <w:numId w:val="110"/>
        </w:numPr>
        <w:tabs>
          <w:tab w:pos="1052" w:val="left" w:leader="none"/>
        </w:tabs>
        <w:spacing w:line="240" w:lineRule="auto" w:before="243" w:after="0"/>
        <w:ind w:left="1052" w:right="0" w:hanging="333"/>
        <w:jc w:val="left"/>
        <w:rPr>
          <w:sz w:val="24"/>
        </w:rPr>
      </w:pPr>
      <w:r>
        <w:rPr>
          <w:sz w:val="24"/>
        </w:rPr>
        <w:t>See</w:t>
      </w:r>
      <w:r>
        <w:rPr>
          <w:spacing w:val="-4"/>
          <w:sz w:val="24"/>
        </w:rPr>
        <w:t> </w:t>
      </w:r>
      <w:hyperlink w:history="true" w:anchor="_bookmark3">
        <w:r>
          <w:rPr>
            <w:color w:val="0000FF"/>
            <w:sz w:val="24"/>
            <w:u w:val="single" w:color="0000FF"/>
          </w:rPr>
          <w:t>612:10-1-5</w:t>
        </w:r>
      </w:hyperlink>
      <w:r>
        <w:rPr>
          <w:color w:val="0000FF"/>
          <w:spacing w:val="-4"/>
          <w:sz w:val="24"/>
          <w:u w:val="none"/>
        </w:rPr>
        <w:t> </w:t>
      </w:r>
      <w:r>
        <w:rPr>
          <w:spacing w:val="-2"/>
          <w:sz w:val="24"/>
          <w:u w:val="none"/>
        </w:rPr>
        <w:t>Confidentiality.</w:t>
      </w:r>
    </w:p>
    <w:p>
      <w:pPr>
        <w:pStyle w:val="BodyText"/>
        <w:spacing w:before="226"/>
        <w:ind w:left="0"/>
        <w:rPr>
          <w:sz w:val="22"/>
        </w:rPr>
      </w:pPr>
    </w:p>
    <w:p>
      <w:pPr>
        <w:spacing w:before="0"/>
        <w:ind w:left="360" w:right="0" w:firstLine="0"/>
        <w:jc w:val="left"/>
        <w:rPr>
          <w:sz w:val="22"/>
        </w:rPr>
      </w:pPr>
      <w:r>
        <w:rPr>
          <w:sz w:val="22"/>
        </w:rPr>
        <w:t>Section</w:t>
      </w:r>
      <w:r>
        <w:rPr>
          <w:spacing w:val="-9"/>
          <w:sz w:val="22"/>
        </w:rPr>
        <w:t> </w:t>
      </w:r>
      <w:r>
        <w:rPr>
          <w:spacing w:val="-2"/>
          <w:sz w:val="22"/>
        </w:rPr>
        <w:t>History</w:t>
      </w:r>
    </w:p>
    <w:p>
      <w:pPr>
        <w:pStyle w:val="BodyText"/>
        <w:spacing w:before="0"/>
        <w:ind w:left="0"/>
        <w:rPr>
          <w:sz w:val="22"/>
        </w:rPr>
      </w:pPr>
    </w:p>
    <w:p>
      <w:pPr>
        <w:tabs>
          <w:tab w:pos="1439" w:val="left" w:leader="none"/>
        </w:tabs>
        <w:spacing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7-1-99</w:t>
      </w:r>
      <w:r>
        <w:rPr>
          <w:sz w:val="22"/>
        </w:rPr>
        <w:tab/>
        <w:t>POL Memo #00-1</w:t>
      </w:r>
    </w:p>
    <w:p>
      <w:pPr>
        <w:tabs>
          <w:tab w:pos="1439" w:val="left" w:leader="none"/>
        </w:tabs>
        <w:spacing w:before="1"/>
        <w:ind w:left="359" w:right="2215" w:firstLine="1080"/>
        <w:jc w:val="left"/>
        <w:rPr>
          <w:sz w:val="22"/>
        </w:rPr>
      </w:pPr>
      <w:r>
        <w:rPr>
          <w:sz w:val="22"/>
        </w:rPr>
        <w:t>Permanent,</w:t>
      </w:r>
      <w:r>
        <w:rPr>
          <w:spacing w:val="-5"/>
          <w:sz w:val="22"/>
        </w:rPr>
        <w:t> </w:t>
      </w:r>
      <w:r>
        <w:rPr>
          <w:sz w:val="22"/>
        </w:rPr>
        <w:t>added</w:t>
      </w:r>
      <w:r>
        <w:rPr>
          <w:spacing w:val="-6"/>
          <w:sz w:val="22"/>
        </w:rPr>
        <w:t> </w:t>
      </w:r>
      <w:r>
        <w:rPr>
          <w:sz w:val="22"/>
        </w:rPr>
        <w:t>the</w:t>
      </w:r>
      <w:r>
        <w:rPr>
          <w:spacing w:val="-6"/>
          <w:sz w:val="22"/>
        </w:rPr>
        <w:t> </w:t>
      </w:r>
      <w:r>
        <w:rPr>
          <w:sz w:val="22"/>
        </w:rPr>
        <w:t>word</w:t>
      </w:r>
      <w:r>
        <w:rPr>
          <w:spacing w:val="-6"/>
          <w:sz w:val="22"/>
        </w:rPr>
        <w:t> </w:t>
      </w:r>
      <w:r>
        <w:rPr>
          <w:sz w:val="22"/>
        </w:rPr>
        <w:t>"vocational"</w:t>
      </w:r>
      <w:r>
        <w:rPr>
          <w:spacing w:val="-6"/>
          <w:sz w:val="22"/>
        </w:rPr>
        <w:t> </w:t>
      </w:r>
      <w:r>
        <w:rPr>
          <w:sz w:val="22"/>
        </w:rPr>
        <w:t>before</w:t>
      </w:r>
      <w:r>
        <w:rPr>
          <w:spacing w:val="-6"/>
          <w:sz w:val="22"/>
        </w:rPr>
        <w:t> </w:t>
      </w:r>
      <w:r>
        <w:rPr>
          <w:sz w:val="22"/>
        </w:rPr>
        <w:t>rehabilitation</w:t>
      </w:r>
      <w:r>
        <w:rPr>
          <w:spacing w:val="-7"/>
          <w:sz w:val="22"/>
        </w:rPr>
        <w:t> </w:t>
      </w:r>
      <w:r>
        <w:rPr>
          <w:sz w:val="22"/>
        </w:rPr>
        <w:t>services </w:t>
      </w:r>
      <w:r>
        <w:rPr>
          <w:spacing w:val="-2"/>
          <w:sz w:val="22"/>
        </w:rPr>
        <w:t>7-1-07</w:t>
      </w:r>
      <w:r>
        <w:rPr>
          <w:sz w:val="22"/>
        </w:rPr>
        <w:tab/>
        <w:t>PT Memo #08-01</w:t>
      </w:r>
    </w:p>
    <w:p>
      <w:pPr>
        <w:spacing w:line="252" w:lineRule="exact" w:before="0"/>
        <w:ind w:left="1439" w:right="0" w:firstLine="0"/>
        <w:jc w:val="left"/>
        <w:rPr>
          <w:sz w:val="22"/>
        </w:rPr>
      </w:pPr>
      <w:r>
        <w:rPr>
          <w:sz w:val="22"/>
        </w:rPr>
        <w:t>Permanent,</w:t>
      </w:r>
      <w:r>
        <w:rPr>
          <w:spacing w:val="-7"/>
          <w:sz w:val="22"/>
        </w:rPr>
        <w:t> </w:t>
      </w:r>
      <w:r>
        <w:rPr>
          <w:sz w:val="22"/>
        </w:rPr>
        <w:t>changed</w:t>
      </w:r>
      <w:r>
        <w:rPr>
          <w:spacing w:val="-8"/>
          <w:sz w:val="22"/>
        </w:rPr>
        <w:t> </w:t>
      </w:r>
      <w:r>
        <w:rPr>
          <w:sz w:val="22"/>
        </w:rPr>
        <w:t>list</w:t>
      </w:r>
      <w:r>
        <w:rPr>
          <w:spacing w:val="-8"/>
          <w:sz w:val="22"/>
        </w:rPr>
        <w:t> </w:t>
      </w:r>
      <w:r>
        <w:rPr>
          <w:sz w:val="22"/>
        </w:rPr>
        <w:t>for</w:t>
      </w:r>
      <w:r>
        <w:rPr>
          <w:spacing w:val="-8"/>
          <w:sz w:val="22"/>
        </w:rPr>
        <w:t> </w:t>
      </w:r>
      <w:r>
        <w:rPr>
          <w:sz w:val="22"/>
        </w:rPr>
        <w:t>narrative</w:t>
      </w:r>
      <w:r>
        <w:rPr>
          <w:spacing w:val="-7"/>
          <w:sz w:val="22"/>
        </w:rPr>
        <w:t> </w:t>
      </w:r>
      <w:r>
        <w:rPr>
          <w:spacing w:val="-2"/>
          <w:sz w:val="22"/>
        </w:rPr>
        <w:t>recordings</w:t>
      </w:r>
    </w:p>
    <w:p>
      <w:pPr>
        <w:tabs>
          <w:tab w:pos="1439" w:val="left" w:leader="none"/>
        </w:tabs>
        <w:spacing w:before="0"/>
        <w:ind w:left="359" w:right="0" w:firstLine="0"/>
        <w:jc w:val="left"/>
        <w:rPr>
          <w:sz w:val="22"/>
        </w:rPr>
      </w:pPr>
      <w:r>
        <w:rPr>
          <w:spacing w:val="-2"/>
          <w:sz w:val="22"/>
        </w:rPr>
        <w:t>6-28-</w:t>
      </w:r>
      <w:r>
        <w:rPr>
          <w:spacing w:val="-5"/>
          <w:sz w:val="22"/>
        </w:rPr>
        <w:t>13</w:t>
      </w:r>
      <w:r>
        <w:rPr>
          <w:sz w:val="22"/>
        </w:rPr>
        <w:tab/>
        <w:t>Permanent,</w:t>
      </w:r>
      <w:r>
        <w:rPr>
          <w:spacing w:val="-8"/>
          <w:sz w:val="22"/>
        </w:rPr>
        <w:t> </w:t>
      </w:r>
      <w:r>
        <w:rPr>
          <w:sz w:val="22"/>
        </w:rPr>
        <w:t>replace</w:t>
      </w:r>
      <w:r>
        <w:rPr>
          <w:spacing w:val="-8"/>
          <w:sz w:val="22"/>
        </w:rPr>
        <w:t> </w:t>
      </w:r>
      <w:r>
        <w:rPr>
          <w:sz w:val="22"/>
        </w:rPr>
        <w:t>hard</w:t>
      </w:r>
      <w:r>
        <w:rPr>
          <w:spacing w:val="-9"/>
          <w:sz w:val="22"/>
        </w:rPr>
        <w:t> </w:t>
      </w:r>
      <w:r>
        <w:rPr>
          <w:sz w:val="22"/>
        </w:rPr>
        <w:t>copy</w:t>
      </w:r>
      <w:r>
        <w:rPr>
          <w:spacing w:val="-8"/>
          <w:sz w:val="22"/>
        </w:rPr>
        <w:t> </w:t>
      </w:r>
      <w:r>
        <w:rPr>
          <w:sz w:val="22"/>
        </w:rPr>
        <w:t>instructions</w:t>
      </w:r>
      <w:r>
        <w:rPr>
          <w:spacing w:val="-9"/>
          <w:sz w:val="22"/>
        </w:rPr>
        <w:t> </w:t>
      </w:r>
      <w:r>
        <w:rPr>
          <w:sz w:val="22"/>
        </w:rPr>
        <w:t>with</w:t>
      </w:r>
      <w:r>
        <w:rPr>
          <w:spacing w:val="-9"/>
          <w:sz w:val="22"/>
        </w:rPr>
        <w:t> </w:t>
      </w:r>
      <w:r>
        <w:rPr>
          <w:sz w:val="22"/>
        </w:rPr>
        <w:t>scanning</w:t>
      </w:r>
      <w:r>
        <w:rPr>
          <w:spacing w:val="-8"/>
          <w:sz w:val="22"/>
        </w:rPr>
        <w:t> </w:t>
      </w:r>
      <w:r>
        <w:rPr>
          <w:spacing w:val="-2"/>
          <w:sz w:val="22"/>
        </w:rPr>
        <w:t>instructions</w:t>
      </w:r>
    </w:p>
    <w:p>
      <w:pPr>
        <w:tabs>
          <w:tab w:pos="1439" w:val="left" w:leader="none"/>
        </w:tabs>
        <w:spacing w:before="0"/>
        <w:ind w:left="359" w:right="1892" w:firstLine="0"/>
        <w:jc w:val="left"/>
        <w:rPr>
          <w:sz w:val="22"/>
        </w:rPr>
      </w:pPr>
      <w:r>
        <w:rPr>
          <w:spacing w:val="-2"/>
          <w:sz w:val="22"/>
        </w:rPr>
        <w:t>9-9-13</w:t>
      </w:r>
      <w:r>
        <w:rPr>
          <w:sz w:val="22"/>
        </w:rPr>
        <w:tab/>
        <w:t>Modified</w:t>
      </w:r>
      <w:r>
        <w:rPr>
          <w:spacing w:val="-4"/>
          <w:sz w:val="22"/>
        </w:rPr>
        <w:t> </w:t>
      </w:r>
      <w:r>
        <w:rPr>
          <w:sz w:val="22"/>
        </w:rPr>
        <w:t>to</w:t>
      </w:r>
      <w:r>
        <w:rPr>
          <w:spacing w:val="-4"/>
          <w:sz w:val="22"/>
        </w:rPr>
        <w:t> </w:t>
      </w:r>
      <w:r>
        <w:rPr>
          <w:sz w:val="22"/>
        </w:rPr>
        <w:t>reflect</w:t>
      </w:r>
      <w:r>
        <w:rPr>
          <w:spacing w:val="-4"/>
          <w:sz w:val="22"/>
        </w:rPr>
        <w:t> </w:t>
      </w:r>
      <w:r>
        <w:rPr>
          <w:sz w:val="22"/>
        </w:rPr>
        <w:t>record</w:t>
      </w:r>
      <w:r>
        <w:rPr>
          <w:spacing w:val="-4"/>
          <w:sz w:val="22"/>
        </w:rPr>
        <w:t> </w:t>
      </w:r>
      <w:r>
        <w:rPr>
          <w:sz w:val="22"/>
        </w:rPr>
        <w:t>keeping</w:t>
      </w:r>
      <w:r>
        <w:rPr>
          <w:spacing w:val="-4"/>
          <w:sz w:val="22"/>
        </w:rPr>
        <w:t> </w:t>
      </w:r>
      <w:r>
        <w:rPr>
          <w:sz w:val="22"/>
        </w:rPr>
        <w:t>of</w:t>
      </w:r>
      <w:r>
        <w:rPr>
          <w:spacing w:val="-4"/>
          <w:sz w:val="22"/>
        </w:rPr>
        <w:t> </w:t>
      </w:r>
      <w:r>
        <w:rPr>
          <w:sz w:val="22"/>
        </w:rPr>
        <w:t>digital</w:t>
      </w:r>
      <w:r>
        <w:rPr>
          <w:spacing w:val="-4"/>
          <w:sz w:val="22"/>
        </w:rPr>
        <w:t> </w:t>
      </w:r>
      <w:r>
        <w:rPr>
          <w:sz w:val="22"/>
        </w:rPr>
        <w:t>copies</w:t>
      </w:r>
      <w:r>
        <w:rPr>
          <w:spacing w:val="-4"/>
          <w:sz w:val="22"/>
        </w:rPr>
        <w:t> </w:t>
      </w:r>
      <w:r>
        <w:rPr>
          <w:sz w:val="22"/>
        </w:rPr>
        <w:t>instead</w:t>
      </w:r>
      <w:r>
        <w:rPr>
          <w:spacing w:val="-4"/>
          <w:sz w:val="22"/>
        </w:rPr>
        <w:t> </w:t>
      </w:r>
      <w:r>
        <w:rPr>
          <w:sz w:val="22"/>
        </w:rPr>
        <w:t>of</w:t>
      </w:r>
      <w:r>
        <w:rPr>
          <w:spacing w:val="-4"/>
          <w:sz w:val="22"/>
        </w:rPr>
        <w:t> </w:t>
      </w:r>
      <w:r>
        <w:rPr>
          <w:sz w:val="22"/>
        </w:rPr>
        <w:t>hard</w:t>
      </w:r>
      <w:r>
        <w:rPr>
          <w:spacing w:val="-4"/>
          <w:sz w:val="22"/>
        </w:rPr>
        <w:t> </w:t>
      </w:r>
      <w:r>
        <w:rPr>
          <w:sz w:val="22"/>
        </w:rPr>
        <w:t>copies. </w:t>
      </w:r>
      <w:r>
        <w:rPr>
          <w:spacing w:val="-2"/>
          <w:sz w:val="22"/>
        </w:rPr>
        <w:t>8-11-24</w:t>
      </w:r>
      <w:r>
        <w:rPr>
          <w:sz w:val="22"/>
        </w:rPr>
        <w:tab/>
        <w:t>Added new section on procedures for altering records or documentation.</w:t>
      </w:r>
    </w:p>
    <w:p>
      <w:pPr>
        <w:spacing w:after="0"/>
        <w:jc w:val="left"/>
        <w:rPr>
          <w:sz w:val="22"/>
        </w:rPr>
        <w:sectPr>
          <w:pgSz w:w="12240" w:h="15840"/>
          <w:pgMar w:top="1320" w:bottom="280" w:left="1080" w:right="720"/>
        </w:sectPr>
      </w:pPr>
    </w:p>
    <w:p>
      <w:pPr>
        <w:pStyle w:val="Heading2"/>
      </w:pPr>
      <w:bookmarkStart w:name="612:10-7-22.1.  Processing referrals and" w:id="124"/>
      <w:bookmarkEnd w:id="124"/>
      <w:r>
        <w:rPr>
          <w:b w:val="0"/>
        </w:rPr>
      </w:r>
      <w:r>
        <w:rPr/>
        <w:t>612:10-7-22.1.</w:t>
      </w:r>
      <w:r>
        <w:rPr>
          <w:spacing w:val="56"/>
        </w:rPr>
        <w:t> </w:t>
      </w:r>
      <w:r>
        <w:rPr/>
        <w:t>Processing</w:t>
      </w:r>
      <w:r>
        <w:rPr>
          <w:spacing w:val="-4"/>
        </w:rPr>
        <w:t> </w:t>
      </w:r>
      <w:r>
        <w:rPr/>
        <w:t>referrals</w:t>
      </w:r>
      <w:r>
        <w:rPr>
          <w:spacing w:val="-4"/>
        </w:rPr>
        <w:t> </w:t>
      </w:r>
      <w:r>
        <w:rPr/>
        <w:t>and</w:t>
      </w:r>
      <w:r>
        <w:rPr>
          <w:spacing w:val="-4"/>
        </w:rPr>
        <w:t> </w:t>
      </w:r>
      <w:r>
        <w:rPr>
          <w:spacing w:val="-2"/>
        </w:rPr>
        <w:t>applications</w:t>
      </w:r>
    </w:p>
    <w:p>
      <w:pPr>
        <w:pStyle w:val="ListParagraph"/>
        <w:numPr>
          <w:ilvl w:val="0"/>
          <w:numId w:val="112"/>
        </w:numPr>
        <w:tabs>
          <w:tab w:pos="786" w:val="left" w:leader="none"/>
        </w:tabs>
        <w:spacing w:line="208" w:lineRule="auto" w:before="233" w:after="0"/>
        <w:ind w:left="360" w:right="726" w:firstLine="0"/>
        <w:jc w:val="left"/>
        <w:rPr>
          <w:b/>
          <w:sz w:val="24"/>
        </w:rPr>
      </w:pPr>
      <w:r>
        <w:rPr>
          <w:b/>
          <w:sz w:val="24"/>
        </w:rPr>
        <w:t>Referrals. </w:t>
      </w:r>
      <w:r>
        <w:rPr>
          <w:sz w:val="24"/>
        </w:rPr>
        <w:t>DRS must establish and implement standards for the prompt and equitable handling of referrals of individuals for vocational rehabilitation services, including referrals of individuals made through the one-stop service delivery systems under</w:t>
      </w:r>
      <w:r>
        <w:rPr>
          <w:spacing w:val="-3"/>
          <w:sz w:val="24"/>
        </w:rPr>
        <w:t> </w:t>
      </w:r>
      <w:r>
        <w:rPr>
          <w:sz w:val="24"/>
        </w:rPr>
        <w:t>section</w:t>
      </w:r>
      <w:r>
        <w:rPr>
          <w:spacing w:val="-4"/>
          <w:sz w:val="24"/>
        </w:rPr>
        <w:t> </w:t>
      </w:r>
      <w:r>
        <w:rPr>
          <w:sz w:val="24"/>
        </w:rPr>
        <w:t>121</w:t>
      </w:r>
      <w:r>
        <w:rPr>
          <w:spacing w:val="-4"/>
          <w:sz w:val="24"/>
        </w:rPr>
        <w:t> </w:t>
      </w:r>
      <w:r>
        <w:rPr>
          <w:sz w:val="24"/>
        </w:rPr>
        <w:t>of</w:t>
      </w:r>
      <w:r>
        <w:rPr>
          <w:spacing w:val="-3"/>
          <w:sz w:val="24"/>
        </w:rPr>
        <w:t> </w:t>
      </w:r>
      <w:r>
        <w:rPr>
          <w:sz w:val="24"/>
        </w:rPr>
        <w:t>the</w:t>
      </w:r>
      <w:r>
        <w:rPr>
          <w:spacing w:val="-4"/>
          <w:sz w:val="24"/>
        </w:rPr>
        <w:t> </w:t>
      </w:r>
      <w:r>
        <w:rPr>
          <w:sz w:val="24"/>
        </w:rPr>
        <w:t>Workforce</w:t>
      </w:r>
      <w:r>
        <w:rPr>
          <w:spacing w:val="-4"/>
          <w:sz w:val="24"/>
        </w:rPr>
        <w:t> </w:t>
      </w:r>
      <w:r>
        <w:rPr>
          <w:sz w:val="24"/>
        </w:rPr>
        <w:t>Innovation</w:t>
      </w:r>
      <w:r>
        <w:rPr>
          <w:spacing w:val="-4"/>
          <w:sz w:val="24"/>
        </w:rPr>
        <w:t> </w:t>
      </w:r>
      <w:r>
        <w:rPr>
          <w:sz w:val="24"/>
        </w:rPr>
        <w:t>and</w:t>
      </w:r>
      <w:r>
        <w:rPr>
          <w:spacing w:val="-4"/>
          <w:sz w:val="24"/>
        </w:rPr>
        <w:t> </w:t>
      </w:r>
      <w:r>
        <w:rPr>
          <w:sz w:val="24"/>
        </w:rPr>
        <w:t>Opportunity</w:t>
      </w:r>
      <w:r>
        <w:rPr>
          <w:spacing w:val="-4"/>
          <w:sz w:val="24"/>
        </w:rPr>
        <w:t> </w:t>
      </w:r>
      <w:r>
        <w:rPr>
          <w:sz w:val="24"/>
        </w:rPr>
        <w:t>Act.</w:t>
      </w:r>
      <w:r>
        <w:rPr>
          <w:spacing w:val="-3"/>
          <w:sz w:val="24"/>
        </w:rPr>
        <w:t> </w:t>
      </w:r>
      <w:r>
        <w:rPr>
          <w:sz w:val="24"/>
        </w:rPr>
        <w:t>The</w:t>
      </w:r>
      <w:r>
        <w:rPr>
          <w:spacing w:val="-4"/>
          <w:sz w:val="24"/>
        </w:rPr>
        <w:t> </w:t>
      </w:r>
      <w:r>
        <w:rPr>
          <w:sz w:val="24"/>
        </w:rPr>
        <w:t>standards</w:t>
      </w:r>
      <w:r>
        <w:rPr>
          <w:spacing w:val="-4"/>
          <w:sz w:val="24"/>
        </w:rPr>
        <w:t> </w:t>
      </w:r>
      <w:r>
        <w:rPr>
          <w:sz w:val="24"/>
        </w:rPr>
        <w:t>must include timelines for making good faith efforts to inform these individuals of application requirements and to gather information necessary to initiate an assessment for determining eligibility and priority for services. </w:t>
      </w:r>
      <w:r>
        <w:rPr>
          <w:b/>
          <w:sz w:val="24"/>
        </w:rPr>
        <w:t>6</w:t>
      </w:r>
    </w:p>
    <w:p>
      <w:pPr>
        <w:pStyle w:val="ListParagraph"/>
        <w:numPr>
          <w:ilvl w:val="1"/>
          <w:numId w:val="112"/>
        </w:numPr>
        <w:tabs>
          <w:tab w:pos="1218" w:val="left" w:leader="none"/>
        </w:tabs>
        <w:spacing w:line="208" w:lineRule="auto" w:before="239" w:after="0"/>
        <w:ind w:left="792" w:right="720" w:firstLine="0"/>
        <w:jc w:val="left"/>
        <w:rPr>
          <w:sz w:val="24"/>
        </w:rPr>
      </w:pPr>
      <w:r>
        <w:rPr>
          <w:sz w:val="24"/>
        </w:rPr>
        <w:t>Processing incoming referrals. All referrals to DVR and DSBVI will be contacted by</w:t>
      </w:r>
      <w:r>
        <w:rPr>
          <w:spacing w:val="-3"/>
          <w:sz w:val="24"/>
        </w:rPr>
        <w:t> </w:t>
      </w:r>
      <w:r>
        <w:rPr>
          <w:sz w:val="24"/>
        </w:rPr>
        <w:t>the</w:t>
      </w:r>
      <w:r>
        <w:rPr>
          <w:spacing w:val="-3"/>
          <w:sz w:val="24"/>
        </w:rPr>
        <w:t> </w:t>
      </w:r>
      <w:r>
        <w:rPr>
          <w:sz w:val="24"/>
        </w:rPr>
        <w:t>VR</w:t>
      </w:r>
      <w:r>
        <w:rPr>
          <w:spacing w:val="-3"/>
          <w:sz w:val="24"/>
        </w:rPr>
        <w:t> </w:t>
      </w:r>
      <w:r>
        <w:rPr>
          <w:sz w:val="24"/>
        </w:rPr>
        <w:t>counselor</w:t>
      </w:r>
      <w:r>
        <w:rPr>
          <w:spacing w:val="-2"/>
          <w:sz w:val="24"/>
        </w:rPr>
        <w:t> </w:t>
      </w:r>
      <w:r>
        <w:rPr>
          <w:sz w:val="24"/>
        </w:rPr>
        <w:t>and</w:t>
      </w:r>
      <w:r>
        <w:rPr>
          <w:spacing w:val="-3"/>
          <w:sz w:val="24"/>
        </w:rPr>
        <w:t> </w:t>
      </w:r>
      <w:r>
        <w:rPr>
          <w:sz w:val="24"/>
        </w:rPr>
        <w:t>appropriate</w:t>
      </w:r>
      <w:r>
        <w:rPr>
          <w:spacing w:val="-3"/>
          <w:sz w:val="24"/>
        </w:rPr>
        <w:t> </w:t>
      </w:r>
      <w:r>
        <w:rPr>
          <w:sz w:val="24"/>
        </w:rPr>
        <w:t>action</w:t>
      </w:r>
      <w:r>
        <w:rPr>
          <w:spacing w:val="-3"/>
          <w:sz w:val="24"/>
        </w:rPr>
        <w:t> </w:t>
      </w:r>
      <w:r>
        <w:rPr>
          <w:sz w:val="24"/>
        </w:rPr>
        <w:t>taken</w:t>
      </w:r>
      <w:r>
        <w:rPr>
          <w:spacing w:val="-3"/>
          <w:sz w:val="24"/>
        </w:rPr>
        <w:t> </w:t>
      </w:r>
      <w:r>
        <w:rPr>
          <w:sz w:val="24"/>
        </w:rPr>
        <w:t>within</w:t>
      </w:r>
      <w:r>
        <w:rPr>
          <w:spacing w:val="-3"/>
          <w:sz w:val="24"/>
        </w:rPr>
        <w:t> </w:t>
      </w:r>
      <w:r>
        <w:rPr>
          <w:sz w:val="24"/>
        </w:rPr>
        <w:t>30</w:t>
      </w:r>
      <w:r>
        <w:rPr>
          <w:spacing w:val="-3"/>
          <w:sz w:val="24"/>
        </w:rPr>
        <w:t> </w:t>
      </w:r>
      <w:r>
        <w:rPr>
          <w:sz w:val="24"/>
        </w:rPr>
        <w:t>days,</w:t>
      </w:r>
      <w:r>
        <w:rPr>
          <w:spacing w:val="-4"/>
          <w:sz w:val="24"/>
        </w:rPr>
        <w:t> </w:t>
      </w:r>
      <w:r>
        <w:rPr>
          <w:sz w:val="24"/>
        </w:rPr>
        <w:t>after</w:t>
      </w:r>
      <w:r>
        <w:rPr>
          <w:spacing w:val="-4"/>
          <w:sz w:val="24"/>
        </w:rPr>
        <w:t> </w:t>
      </w:r>
      <w:r>
        <w:rPr>
          <w:sz w:val="24"/>
        </w:rPr>
        <w:t>receipt</w:t>
      </w:r>
      <w:r>
        <w:rPr>
          <w:spacing w:val="-2"/>
          <w:sz w:val="24"/>
        </w:rPr>
        <w:t> </w:t>
      </w:r>
      <w:r>
        <w:rPr>
          <w:sz w:val="24"/>
        </w:rPr>
        <w:t>of</w:t>
      </w:r>
      <w:r>
        <w:rPr>
          <w:spacing w:val="-4"/>
          <w:sz w:val="24"/>
        </w:rPr>
        <w:t> </w:t>
      </w:r>
      <w:r>
        <w:rPr>
          <w:sz w:val="24"/>
        </w:rPr>
        <w:t>the referral information. The counselor is responsible for completing a contact by telephone or in person. The counselor is responsible for providing interpreter services to referrals who are deaf or non-English speaking. In situations where the individual cannot be personally contacted, correspondence will be mailed to the individual for informational purposes.</w:t>
      </w:r>
    </w:p>
    <w:p>
      <w:pPr>
        <w:pStyle w:val="ListParagraph"/>
        <w:numPr>
          <w:ilvl w:val="1"/>
          <w:numId w:val="112"/>
        </w:numPr>
        <w:tabs>
          <w:tab w:pos="1218" w:val="left" w:leader="none"/>
        </w:tabs>
        <w:spacing w:line="208" w:lineRule="auto" w:before="239" w:after="0"/>
        <w:ind w:left="792" w:right="748" w:firstLine="0"/>
        <w:jc w:val="left"/>
        <w:rPr>
          <w:sz w:val="24"/>
        </w:rPr>
      </w:pPr>
      <w:r>
        <w:rPr>
          <w:sz w:val="24"/>
        </w:rPr>
        <w:t>Referrals</w:t>
      </w:r>
      <w:r>
        <w:rPr>
          <w:spacing w:val="-4"/>
          <w:sz w:val="24"/>
        </w:rPr>
        <w:t> </w:t>
      </w:r>
      <w:r>
        <w:rPr>
          <w:sz w:val="24"/>
        </w:rPr>
        <w:t>to</w:t>
      </w:r>
      <w:r>
        <w:rPr>
          <w:spacing w:val="-4"/>
          <w:sz w:val="24"/>
        </w:rPr>
        <w:t> </w:t>
      </w:r>
      <w:r>
        <w:rPr>
          <w:sz w:val="24"/>
        </w:rPr>
        <w:t>rehabilitation</w:t>
      </w:r>
      <w:r>
        <w:rPr>
          <w:spacing w:val="-4"/>
          <w:sz w:val="24"/>
        </w:rPr>
        <w:t> </w:t>
      </w:r>
      <w:r>
        <w:rPr>
          <w:sz w:val="24"/>
        </w:rPr>
        <w:t>teachers.</w:t>
      </w:r>
      <w:r>
        <w:rPr>
          <w:spacing w:val="-4"/>
          <w:sz w:val="24"/>
        </w:rPr>
        <w:t> </w:t>
      </w:r>
      <w:r>
        <w:rPr>
          <w:sz w:val="24"/>
        </w:rPr>
        <w:t>All</w:t>
      </w:r>
      <w:r>
        <w:rPr>
          <w:spacing w:val="-4"/>
          <w:sz w:val="24"/>
        </w:rPr>
        <w:t> </w:t>
      </w:r>
      <w:r>
        <w:rPr>
          <w:sz w:val="24"/>
        </w:rPr>
        <w:t>individuals</w:t>
      </w:r>
      <w:r>
        <w:rPr>
          <w:spacing w:val="-4"/>
          <w:sz w:val="24"/>
        </w:rPr>
        <w:t> </w:t>
      </w:r>
      <w:r>
        <w:rPr>
          <w:sz w:val="24"/>
        </w:rPr>
        <w:t>who</w:t>
      </w:r>
      <w:r>
        <w:rPr>
          <w:spacing w:val="-4"/>
          <w:sz w:val="24"/>
        </w:rPr>
        <w:t> </w:t>
      </w:r>
      <w:r>
        <w:rPr>
          <w:sz w:val="24"/>
        </w:rPr>
        <w:t>are</w:t>
      </w:r>
      <w:r>
        <w:rPr>
          <w:spacing w:val="-4"/>
          <w:sz w:val="24"/>
        </w:rPr>
        <w:t> </w:t>
      </w:r>
      <w:r>
        <w:rPr>
          <w:sz w:val="24"/>
        </w:rPr>
        <w:t>legally</w:t>
      </w:r>
      <w:r>
        <w:rPr>
          <w:spacing w:val="-4"/>
          <w:sz w:val="24"/>
        </w:rPr>
        <w:t> </w:t>
      </w:r>
      <w:r>
        <w:rPr>
          <w:sz w:val="24"/>
        </w:rPr>
        <w:t>blind,</w:t>
      </w:r>
      <w:r>
        <w:rPr>
          <w:spacing w:val="-3"/>
          <w:sz w:val="24"/>
        </w:rPr>
        <w:t> </w:t>
      </w:r>
      <w:r>
        <w:rPr>
          <w:sz w:val="24"/>
        </w:rPr>
        <w:t>whether being served by a DVR counselor or a DSBVI counselor, will be referred to a rehabilitation teacher. Rehabilitation teachers may also receive counselor referrals and provide services for individuals who are not legally blind but have functional limitations due to vision loss and have potential to benefit from rehabilitation teaching services.</w:t>
      </w:r>
    </w:p>
    <w:p>
      <w:pPr>
        <w:pStyle w:val="ListParagraph"/>
        <w:numPr>
          <w:ilvl w:val="0"/>
          <w:numId w:val="112"/>
        </w:numPr>
        <w:tabs>
          <w:tab w:pos="785" w:val="left" w:leader="none"/>
        </w:tabs>
        <w:spacing w:line="208" w:lineRule="auto" w:before="240" w:after="0"/>
        <w:ind w:left="360" w:right="791" w:firstLine="0"/>
        <w:jc w:val="left"/>
        <w:rPr>
          <w:sz w:val="24"/>
        </w:rPr>
      </w:pPr>
      <w:r>
        <w:rPr>
          <w:b/>
          <w:sz w:val="24"/>
        </w:rPr>
        <w:t>Application. </w:t>
      </w:r>
      <w:r>
        <w:rPr>
          <w:sz w:val="24"/>
        </w:rPr>
        <w:t>Once an individual has submitted an application for vocational rehabilitation services, including applications made through common intake procedures in one-stop centers under section 121 of the Workforce Innovation and Opportunity Act (WIOA), an eligibility determination must be made within 60 days, unless exceptional and</w:t>
      </w:r>
      <w:r>
        <w:rPr>
          <w:spacing w:val="-4"/>
          <w:sz w:val="24"/>
        </w:rPr>
        <w:t> </w:t>
      </w:r>
      <w:r>
        <w:rPr>
          <w:sz w:val="24"/>
        </w:rPr>
        <w:t>unforeseen</w:t>
      </w:r>
      <w:r>
        <w:rPr>
          <w:spacing w:val="-4"/>
          <w:sz w:val="24"/>
        </w:rPr>
        <w:t> </w:t>
      </w:r>
      <w:r>
        <w:rPr>
          <w:sz w:val="24"/>
        </w:rPr>
        <w:t>circumstances</w:t>
      </w:r>
      <w:r>
        <w:rPr>
          <w:spacing w:val="-4"/>
          <w:sz w:val="24"/>
        </w:rPr>
        <w:t> </w:t>
      </w:r>
      <w:r>
        <w:rPr>
          <w:sz w:val="24"/>
        </w:rPr>
        <w:t>beyond</w:t>
      </w:r>
      <w:r>
        <w:rPr>
          <w:spacing w:val="-4"/>
          <w:sz w:val="24"/>
        </w:rPr>
        <w:t> </w:t>
      </w:r>
      <w:r>
        <w:rPr>
          <w:sz w:val="24"/>
        </w:rPr>
        <w:t>the</w:t>
      </w:r>
      <w:r>
        <w:rPr>
          <w:spacing w:val="-4"/>
          <w:sz w:val="24"/>
        </w:rPr>
        <w:t> </w:t>
      </w:r>
      <w:r>
        <w:rPr>
          <w:sz w:val="24"/>
        </w:rPr>
        <w:t>control</w:t>
      </w:r>
      <w:r>
        <w:rPr>
          <w:spacing w:val="-4"/>
          <w:sz w:val="24"/>
        </w:rPr>
        <w:t> </w:t>
      </w:r>
      <w:r>
        <w:rPr>
          <w:sz w:val="24"/>
        </w:rPr>
        <w:t>of</w:t>
      </w:r>
      <w:r>
        <w:rPr>
          <w:spacing w:val="-3"/>
          <w:sz w:val="24"/>
        </w:rPr>
        <w:t> </w:t>
      </w:r>
      <w:r>
        <w:rPr>
          <w:sz w:val="24"/>
        </w:rPr>
        <w:t>the</w:t>
      </w:r>
      <w:r>
        <w:rPr>
          <w:spacing w:val="-4"/>
          <w:sz w:val="24"/>
        </w:rPr>
        <w:t> </w:t>
      </w:r>
      <w:r>
        <w:rPr>
          <w:sz w:val="24"/>
        </w:rPr>
        <w:t>designated</w:t>
      </w:r>
      <w:r>
        <w:rPr>
          <w:spacing w:val="-4"/>
          <w:sz w:val="24"/>
        </w:rPr>
        <w:t> </w:t>
      </w:r>
      <w:r>
        <w:rPr>
          <w:sz w:val="24"/>
        </w:rPr>
        <w:t>State</w:t>
      </w:r>
      <w:r>
        <w:rPr>
          <w:spacing w:val="-4"/>
          <w:sz w:val="24"/>
        </w:rPr>
        <w:t> </w:t>
      </w:r>
      <w:r>
        <w:rPr>
          <w:sz w:val="24"/>
        </w:rPr>
        <w:t>unit</w:t>
      </w:r>
      <w:r>
        <w:rPr>
          <w:spacing w:val="-3"/>
          <w:sz w:val="24"/>
        </w:rPr>
        <w:t> </w:t>
      </w:r>
      <w:r>
        <w:rPr>
          <w:sz w:val="24"/>
        </w:rPr>
        <w:t>preclude making an eligibility determination within 60 days and counselor and the individual agree to a specific extension of time; or meets the other criteria under 34 CFR 361.41</w:t>
      </w:r>
    </w:p>
    <w:p>
      <w:pPr>
        <w:pStyle w:val="ListParagraph"/>
        <w:numPr>
          <w:ilvl w:val="0"/>
          <w:numId w:val="113"/>
        </w:numPr>
        <w:tabs>
          <w:tab w:pos="720" w:val="left" w:leader="none"/>
        </w:tabs>
        <w:spacing w:line="246" w:lineRule="exact" w:before="0" w:after="0"/>
        <w:ind w:left="720" w:right="0" w:hanging="360"/>
        <w:jc w:val="left"/>
        <w:rPr>
          <w:b/>
          <w:sz w:val="24"/>
        </w:rPr>
      </w:pPr>
      <w:r>
        <w:rPr>
          <w:sz w:val="24"/>
        </w:rPr>
        <w:t>(1)</w:t>
      </w:r>
      <w:r>
        <w:rPr>
          <w:spacing w:val="-2"/>
          <w:sz w:val="24"/>
        </w:rPr>
        <w:t> </w:t>
      </w:r>
      <w:r>
        <w:rPr>
          <w:sz w:val="24"/>
        </w:rPr>
        <w:t>(i-ii).</w:t>
      </w:r>
      <w:r>
        <w:rPr>
          <w:spacing w:val="-2"/>
          <w:sz w:val="24"/>
        </w:rPr>
        <w:t> </w:t>
      </w:r>
      <w:r>
        <w:rPr>
          <w:b/>
          <w:sz w:val="24"/>
        </w:rPr>
        <w:t>9,</w:t>
      </w:r>
      <w:r>
        <w:rPr>
          <w:b/>
          <w:spacing w:val="-1"/>
          <w:sz w:val="24"/>
        </w:rPr>
        <w:t> </w:t>
      </w:r>
      <w:r>
        <w:rPr>
          <w:b/>
          <w:spacing w:val="-5"/>
          <w:sz w:val="24"/>
        </w:rPr>
        <w:t>11</w:t>
      </w:r>
    </w:p>
    <w:p>
      <w:pPr>
        <w:pStyle w:val="ListParagraph"/>
        <w:numPr>
          <w:ilvl w:val="1"/>
          <w:numId w:val="113"/>
        </w:numPr>
        <w:tabs>
          <w:tab w:pos="1217" w:val="left" w:leader="none"/>
        </w:tabs>
        <w:spacing w:line="208" w:lineRule="auto" w:before="233" w:after="0"/>
        <w:ind w:left="792" w:right="758" w:firstLine="0"/>
        <w:jc w:val="left"/>
        <w:rPr>
          <w:sz w:val="24"/>
        </w:rPr>
      </w:pPr>
      <w:r>
        <w:rPr>
          <w:sz w:val="24"/>
        </w:rPr>
        <w:t>In those instances of exceptional and unforeseen circumstance beyond the control of DRS, where the eligibility determination is unable to be completed within the time frame identified in (b) of this section. The QVRC, utilizing the electronic case management system, will complete the Extension of Eligibility form documenting the date the eligibility form was completed, the date of expected eligibility</w:t>
      </w:r>
      <w:r>
        <w:rPr>
          <w:spacing w:val="-4"/>
          <w:sz w:val="24"/>
        </w:rPr>
        <w:t> </w:t>
      </w:r>
      <w:r>
        <w:rPr>
          <w:sz w:val="24"/>
        </w:rPr>
        <w:t>determination;</w:t>
      </w:r>
      <w:r>
        <w:rPr>
          <w:spacing w:val="-3"/>
          <w:sz w:val="24"/>
        </w:rPr>
        <w:t> </w:t>
      </w:r>
      <w:r>
        <w:rPr>
          <w:sz w:val="24"/>
        </w:rPr>
        <w:t>along</w:t>
      </w:r>
      <w:r>
        <w:rPr>
          <w:spacing w:val="-4"/>
          <w:sz w:val="24"/>
        </w:rPr>
        <w:t> </w:t>
      </w:r>
      <w:r>
        <w:rPr>
          <w:sz w:val="24"/>
        </w:rPr>
        <w:t>with</w:t>
      </w:r>
      <w:r>
        <w:rPr>
          <w:spacing w:val="-4"/>
          <w:sz w:val="24"/>
        </w:rPr>
        <w:t> </w:t>
      </w:r>
      <w:r>
        <w:rPr>
          <w:sz w:val="24"/>
        </w:rPr>
        <w:t>documentation</w:t>
      </w:r>
      <w:r>
        <w:rPr>
          <w:spacing w:val="-4"/>
          <w:sz w:val="24"/>
        </w:rPr>
        <w:t> </w:t>
      </w:r>
      <w:r>
        <w:rPr>
          <w:sz w:val="24"/>
        </w:rPr>
        <w:t>of</w:t>
      </w:r>
      <w:r>
        <w:rPr>
          <w:spacing w:val="-3"/>
          <w:sz w:val="24"/>
        </w:rPr>
        <w:t> </w:t>
      </w:r>
      <w:r>
        <w:rPr>
          <w:sz w:val="24"/>
        </w:rPr>
        <w:t>the</w:t>
      </w:r>
      <w:r>
        <w:rPr>
          <w:spacing w:val="-4"/>
          <w:sz w:val="24"/>
        </w:rPr>
        <w:t> </w:t>
      </w:r>
      <w:r>
        <w:rPr>
          <w:sz w:val="24"/>
        </w:rPr>
        <w:t>date</w:t>
      </w:r>
      <w:r>
        <w:rPr>
          <w:spacing w:val="-4"/>
          <w:sz w:val="24"/>
        </w:rPr>
        <w:t> </w:t>
      </w:r>
      <w:r>
        <w:rPr>
          <w:sz w:val="24"/>
        </w:rPr>
        <w:t>of</w:t>
      </w:r>
      <w:r>
        <w:rPr>
          <w:spacing w:val="-3"/>
          <w:sz w:val="24"/>
        </w:rPr>
        <w:t> </w:t>
      </w:r>
      <w:r>
        <w:rPr>
          <w:sz w:val="24"/>
        </w:rPr>
        <w:t>when</w:t>
      </w:r>
      <w:r>
        <w:rPr>
          <w:spacing w:val="-4"/>
          <w:sz w:val="24"/>
        </w:rPr>
        <w:t> </w:t>
      </w:r>
      <w:r>
        <w:rPr>
          <w:sz w:val="24"/>
        </w:rPr>
        <w:t>the</w:t>
      </w:r>
      <w:r>
        <w:rPr>
          <w:spacing w:val="-4"/>
          <w:sz w:val="24"/>
        </w:rPr>
        <w:t> </w:t>
      </w:r>
      <w:r>
        <w:rPr>
          <w:sz w:val="24"/>
        </w:rPr>
        <w:t>client</w:t>
      </w:r>
      <w:r>
        <w:rPr>
          <w:spacing w:val="-3"/>
          <w:sz w:val="24"/>
        </w:rPr>
        <w:t> </w:t>
      </w:r>
      <w:r>
        <w:rPr>
          <w:sz w:val="24"/>
        </w:rPr>
        <w:t>and counselor agreed to the extension; unless a decision was made to conduct a Trial Work Experience.</w:t>
      </w:r>
    </w:p>
    <w:p>
      <w:pPr>
        <w:pStyle w:val="ListParagraph"/>
        <w:numPr>
          <w:ilvl w:val="0"/>
          <w:numId w:val="113"/>
        </w:numPr>
        <w:tabs>
          <w:tab w:pos="773" w:val="left" w:leader="none"/>
        </w:tabs>
        <w:spacing w:line="208" w:lineRule="auto" w:before="239" w:after="0"/>
        <w:ind w:left="360" w:right="728" w:firstLine="0"/>
        <w:jc w:val="left"/>
        <w:rPr>
          <w:sz w:val="24"/>
        </w:rPr>
      </w:pPr>
      <w:r>
        <w:rPr>
          <w:b/>
          <w:sz w:val="24"/>
        </w:rPr>
        <w:t>Social Security Administration (SSA) Beneficiaries' Verification. </w:t>
      </w:r>
      <w:r>
        <w:rPr>
          <w:sz w:val="24"/>
        </w:rPr>
        <w:t>During the initial interview, the VR counselor shall advise applicants for the VR program that individuals who are SSI/SSDI beneficiaries are generally presumed eligible for VR and that verification of the applicant's benefit status is needed. Verification may include a copy</w:t>
      </w:r>
      <w:r>
        <w:rPr>
          <w:spacing w:val="-3"/>
          <w:sz w:val="24"/>
        </w:rPr>
        <w:t> </w:t>
      </w:r>
      <w:r>
        <w:rPr>
          <w:sz w:val="24"/>
        </w:rPr>
        <w:t>of</w:t>
      </w:r>
      <w:r>
        <w:rPr>
          <w:spacing w:val="-2"/>
          <w:sz w:val="24"/>
        </w:rPr>
        <w:t> </w:t>
      </w:r>
      <w:r>
        <w:rPr>
          <w:sz w:val="24"/>
        </w:rPr>
        <w:t>an</w:t>
      </w:r>
      <w:r>
        <w:rPr>
          <w:spacing w:val="-4"/>
          <w:sz w:val="24"/>
        </w:rPr>
        <w:t> </w:t>
      </w:r>
      <w:r>
        <w:rPr>
          <w:sz w:val="24"/>
        </w:rPr>
        <w:t>award</w:t>
      </w:r>
      <w:r>
        <w:rPr>
          <w:spacing w:val="-3"/>
          <w:sz w:val="24"/>
        </w:rPr>
        <w:t> </w:t>
      </w:r>
      <w:r>
        <w:rPr>
          <w:sz w:val="24"/>
        </w:rPr>
        <w:t>letter</w:t>
      </w:r>
      <w:r>
        <w:rPr>
          <w:spacing w:val="-2"/>
          <w:sz w:val="24"/>
        </w:rPr>
        <w:t> </w:t>
      </w:r>
      <w:r>
        <w:rPr>
          <w:sz w:val="24"/>
        </w:rPr>
        <w:t>from</w:t>
      </w:r>
      <w:r>
        <w:rPr>
          <w:spacing w:val="-2"/>
          <w:sz w:val="24"/>
        </w:rPr>
        <w:t> </w:t>
      </w:r>
      <w:r>
        <w:rPr>
          <w:sz w:val="24"/>
        </w:rPr>
        <w:t>SSA,</w:t>
      </w:r>
      <w:r>
        <w:rPr>
          <w:spacing w:val="-2"/>
          <w:sz w:val="24"/>
        </w:rPr>
        <w:t> </w:t>
      </w:r>
      <w:r>
        <w:rPr>
          <w:sz w:val="24"/>
        </w:rPr>
        <w:t>or</w:t>
      </w:r>
      <w:r>
        <w:rPr>
          <w:spacing w:val="-2"/>
          <w:sz w:val="24"/>
        </w:rPr>
        <w:t> </w:t>
      </w:r>
      <w:r>
        <w:rPr>
          <w:sz w:val="24"/>
        </w:rPr>
        <w:t>a</w:t>
      </w:r>
      <w:r>
        <w:rPr>
          <w:spacing w:val="-4"/>
          <w:sz w:val="24"/>
        </w:rPr>
        <w:t> </w:t>
      </w:r>
      <w:r>
        <w:rPr>
          <w:sz w:val="24"/>
        </w:rPr>
        <w:t>Ticket-to-Work</w:t>
      </w:r>
      <w:r>
        <w:rPr>
          <w:spacing w:val="-3"/>
          <w:sz w:val="24"/>
        </w:rPr>
        <w:t> </w:t>
      </w:r>
      <w:r>
        <w:rPr>
          <w:sz w:val="24"/>
        </w:rPr>
        <w:t>as</w:t>
      </w:r>
      <w:r>
        <w:rPr>
          <w:spacing w:val="-3"/>
          <w:sz w:val="24"/>
        </w:rPr>
        <w:t> </w:t>
      </w:r>
      <w:r>
        <w:rPr>
          <w:sz w:val="24"/>
        </w:rPr>
        <w:t>found</w:t>
      </w:r>
      <w:r>
        <w:rPr>
          <w:spacing w:val="-3"/>
          <w:sz w:val="24"/>
        </w:rPr>
        <w:t> </w:t>
      </w:r>
      <w:r>
        <w:rPr>
          <w:sz w:val="24"/>
        </w:rPr>
        <w:t>in</w:t>
      </w:r>
      <w:r>
        <w:rPr>
          <w:spacing w:val="-3"/>
          <w:sz w:val="24"/>
        </w:rPr>
        <w:t> </w:t>
      </w:r>
      <w:r>
        <w:rPr>
          <w:sz w:val="24"/>
        </w:rPr>
        <w:t>34</w:t>
      </w:r>
      <w:r>
        <w:rPr>
          <w:spacing w:val="-3"/>
          <w:sz w:val="24"/>
        </w:rPr>
        <w:t> </w:t>
      </w:r>
      <w:r>
        <w:rPr>
          <w:sz w:val="24"/>
        </w:rPr>
        <w:t>CFR</w:t>
      </w:r>
      <w:r>
        <w:rPr>
          <w:spacing w:val="-3"/>
          <w:sz w:val="24"/>
        </w:rPr>
        <w:t> </w:t>
      </w:r>
      <w:r>
        <w:rPr>
          <w:sz w:val="24"/>
        </w:rPr>
        <w:t>361.42</w:t>
      </w:r>
      <w:r>
        <w:rPr>
          <w:spacing w:val="-3"/>
          <w:sz w:val="24"/>
        </w:rPr>
        <w:t> </w:t>
      </w:r>
      <w:r>
        <w:rPr>
          <w:sz w:val="24"/>
        </w:rPr>
        <w:t>(a)</w:t>
      </w:r>
      <w:r>
        <w:rPr>
          <w:spacing w:val="-4"/>
          <w:sz w:val="24"/>
        </w:rPr>
        <w:t> </w:t>
      </w:r>
      <w:r>
        <w:rPr>
          <w:sz w:val="24"/>
        </w:rPr>
        <w:t>(3) </w:t>
      </w:r>
      <w:r>
        <w:rPr>
          <w:spacing w:val="-2"/>
          <w:sz w:val="24"/>
        </w:rPr>
        <w:t>(i-ii).</w:t>
      </w:r>
    </w:p>
    <w:p>
      <w:pPr>
        <w:pStyle w:val="ListParagraph"/>
        <w:numPr>
          <w:ilvl w:val="0"/>
          <w:numId w:val="113"/>
        </w:numPr>
        <w:tabs>
          <w:tab w:pos="785" w:val="left" w:leader="none"/>
        </w:tabs>
        <w:spacing w:line="208" w:lineRule="auto" w:before="240" w:after="0"/>
        <w:ind w:left="360" w:right="1125" w:firstLine="0"/>
        <w:jc w:val="left"/>
        <w:rPr>
          <w:sz w:val="24"/>
        </w:rPr>
      </w:pPr>
      <w:r>
        <w:rPr>
          <w:b/>
          <w:sz w:val="24"/>
        </w:rPr>
        <w:t>Application Status. </w:t>
      </w:r>
      <w:r>
        <w:rPr>
          <w:sz w:val="24"/>
        </w:rPr>
        <w:t>While the client is in this status, the counselor will secure sufficient information to make a determination of eligibility and priority group assignment,</w:t>
      </w:r>
      <w:r>
        <w:rPr>
          <w:spacing w:val="-1"/>
          <w:sz w:val="24"/>
        </w:rPr>
        <w:t> </w:t>
      </w:r>
      <w:r>
        <w:rPr>
          <w:sz w:val="24"/>
        </w:rPr>
        <w:t>determine</w:t>
      </w:r>
      <w:r>
        <w:rPr>
          <w:spacing w:val="-3"/>
          <w:sz w:val="24"/>
        </w:rPr>
        <w:t> </w:t>
      </w:r>
      <w:r>
        <w:rPr>
          <w:sz w:val="24"/>
        </w:rPr>
        <w:t>ineligibility</w:t>
      </w:r>
      <w:r>
        <w:rPr>
          <w:spacing w:val="-1"/>
          <w:sz w:val="24"/>
        </w:rPr>
        <w:t> </w:t>
      </w:r>
      <w:r>
        <w:rPr>
          <w:sz w:val="24"/>
        </w:rPr>
        <w:t>for</w:t>
      </w:r>
      <w:r>
        <w:rPr>
          <w:spacing w:val="-1"/>
          <w:sz w:val="24"/>
        </w:rPr>
        <w:t> </w:t>
      </w:r>
      <w:r>
        <w:rPr>
          <w:sz w:val="24"/>
        </w:rPr>
        <w:t>vocational</w:t>
      </w:r>
      <w:r>
        <w:rPr>
          <w:spacing w:val="-2"/>
          <w:sz w:val="24"/>
        </w:rPr>
        <w:t> </w:t>
      </w:r>
      <w:r>
        <w:rPr>
          <w:sz w:val="24"/>
        </w:rPr>
        <w:t>rehabilitation</w:t>
      </w:r>
      <w:r>
        <w:rPr>
          <w:spacing w:val="-2"/>
          <w:sz w:val="24"/>
        </w:rPr>
        <w:t> </w:t>
      </w:r>
      <w:r>
        <w:rPr>
          <w:sz w:val="24"/>
        </w:rPr>
        <w:t>services,</w:t>
      </w:r>
      <w:r>
        <w:rPr>
          <w:spacing w:val="-1"/>
          <w:sz w:val="24"/>
        </w:rPr>
        <w:t> </w:t>
      </w:r>
      <w:r>
        <w:rPr>
          <w:sz w:val="24"/>
        </w:rPr>
        <w:t>or</w:t>
      </w:r>
      <w:r>
        <w:rPr>
          <w:spacing w:val="-3"/>
          <w:sz w:val="24"/>
        </w:rPr>
        <w:t> </w:t>
      </w:r>
      <w:r>
        <w:rPr>
          <w:sz w:val="24"/>
        </w:rPr>
        <w:t>to</w:t>
      </w:r>
      <w:r>
        <w:rPr>
          <w:spacing w:val="-2"/>
          <w:sz w:val="24"/>
        </w:rPr>
        <w:t> </w:t>
      </w:r>
      <w:r>
        <w:rPr>
          <w:sz w:val="24"/>
        </w:rPr>
        <w:t>make</w:t>
      </w:r>
      <w:r>
        <w:rPr>
          <w:spacing w:val="-2"/>
          <w:sz w:val="24"/>
        </w:rPr>
        <w:t> </w:t>
      </w:r>
      <w:r>
        <w:rPr>
          <w:sz w:val="24"/>
        </w:rPr>
        <w:t>a decision</w:t>
      </w:r>
      <w:r>
        <w:rPr>
          <w:spacing w:val="-6"/>
          <w:sz w:val="24"/>
        </w:rPr>
        <w:t> </w:t>
      </w:r>
      <w:r>
        <w:rPr>
          <w:sz w:val="24"/>
        </w:rPr>
        <w:t>to</w:t>
      </w:r>
      <w:r>
        <w:rPr>
          <w:spacing w:val="-3"/>
          <w:sz w:val="24"/>
        </w:rPr>
        <w:t> </w:t>
      </w:r>
      <w:r>
        <w:rPr>
          <w:sz w:val="24"/>
        </w:rPr>
        <w:t>conduct</w:t>
      </w:r>
      <w:r>
        <w:rPr>
          <w:spacing w:val="-2"/>
          <w:sz w:val="24"/>
        </w:rPr>
        <w:t> </w:t>
      </w:r>
      <w:r>
        <w:rPr>
          <w:sz w:val="24"/>
        </w:rPr>
        <w:t>a</w:t>
      </w:r>
      <w:r>
        <w:rPr>
          <w:spacing w:val="-3"/>
          <w:sz w:val="24"/>
        </w:rPr>
        <w:t> </w:t>
      </w:r>
      <w:r>
        <w:rPr>
          <w:sz w:val="24"/>
        </w:rPr>
        <w:t>Trial</w:t>
      </w:r>
      <w:r>
        <w:rPr>
          <w:spacing w:val="-3"/>
          <w:sz w:val="24"/>
        </w:rPr>
        <w:t> </w:t>
      </w:r>
      <w:r>
        <w:rPr>
          <w:sz w:val="24"/>
        </w:rPr>
        <w:t>Work</w:t>
      </w:r>
      <w:r>
        <w:rPr>
          <w:spacing w:val="-3"/>
          <w:sz w:val="24"/>
        </w:rPr>
        <w:t> </w:t>
      </w:r>
      <w:r>
        <w:rPr>
          <w:sz w:val="24"/>
        </w:rPr>
        <w:t>Experience.</w:t>
      </w:r>
      <w:r>
        <w:rPr>
          <w:spacing w:val="-2"/>
          <w:sz w:val="24"/>
        </w:rPr>
        <w:t> </w:t>
      </w:r>
      <w:r>
        <w:rPr>
          <w:sz w:val="24"/>
        </w:rPr>
        <w:t>The</w:t>
      </w:r>
      <w:r>
        <w:rPr>
          <w:spacing w:val="-3"/>
          <w:sz w:val="24"/>
        </w:rPr>
        <w:t> </w:t>
      </w:r>
      <w:r>
        <w:rPr>
          <w:sz w:val="24"/>
        </w:rPr>
        <w:t>Qualified</w:t>
      </w:r>
      <w:r>
        <w:rPr>
          <w:spacing w:val="-3"/>
          <w:sz w:val="24"/>
        </w:rPr>
        <w:t> </w:t>
      </w:r>
      <w:r>
        <w:rPr>
          <w:sz w:val="24"/>
        </w:rPr>
        <w:t>Vocational</w:t>
      </w:r>
      <w:r>
        <w:rPr>
          <w:spacing w:val="-3"/>
          <w:sz w:val="24"/>
        </w:rPr>
        <w:t> </w:t>
      </w:r>
      <w:r>
        <w:rPr>
          <w:spacing w:val="-2"/>
          <w:sz w:val="24"/>
        </w:rPr>
        <w:t>Rehabilitation</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right="775"/>
        <w:rPr>
          <w:b/>
        </w:rPr>
      </w:pPr>
      <w:r>
        <w:rPr/>
        <w:t>Counselor</w:t>
      </w:r>
      <w:r>
        <w:rPr>
          <w:spacing w:val="-4"/>
        </w:rPr>
        <w:t> </w:t>
      </w:r>
      <w:r>
        <w:rPr/>
        <w:t>will</w:t>
      </w:r>
      <w:r>
        <w:rPr>
          <w:spacing w:val="-4"/>
        </w:rPr>
        <w:t> </w:t>
      </w:r>
      <w:r>
        <w:rPr/>
        <w:t>determine</w:t>
      </w:r>
      <w:r>
        <w:rPr>
          <w:spacing w:val="-4"/>
        </w:rPr>
        <w:t> </w:t>
      </w:r>
      <w:r>
        <w:rPr/>
        <w:t>whether</w:t>
      </w:r>
      <w:r>
        <w:rPr>
          <w:spacing w:val="-3"/>
        </w:rPr>
        <w:t> </w:t>
      </w:r>
      <w:r>
        <w:rPr/>
        <w:t>an</w:t>
      </w:r>
      <w:r>
        <w:rPr>
          <w:spacing w:val="-4"/>
        </w:rPr>
        <w:t> </w:t>
      </w:r>
      <w:r>
        <w:rPr/>
        <w:t>individual</w:t>
      </w:r>
      <w:r>
        <w:rPr>
          <w:spacing w:val="-4"/>
        </w:rPr>
        <w:t> </w:t>
      </w:r>
      <w:r>
        <w:rPr/>
        <w:t>is</w:t>
      </w:r>
      <w:r>
        <w:rPr>
          <w:spacing w:val="-4"/>
        </w:rPr>
        <w:t> </w:t>
      </w:r>
      <w:r>
        <w:rPr/>
        <w:t>eligible</w:t>
      </w:r>
      <w:r>
        <w:rPr>
          <w:spacing w:val="-4"/>
        </w:rPr>
        <w:t> </w:t>
      </w:r>
      <w:r>
        <w:rPr/>
        <w:t>for</w:t>
      </w:r>
      <w:r>
        <w:rPr>
          <w:spacing w:val="-4"/>
        </w:rPr>
        <w:t> </w:t>
      </w:r>
      <w:r>
        <w:rPr/>
        <w:t>vocational</w:t>
      </w:r>
      <w:r>
        <w:rPr>
          <w:spacing w:val="-4"/>
        </w:rPr>
        <w:t> </w:t>
      </w:r>
      <w:r>
        <w:rPr/>
        <w:t>rehabilitation services within a reasonable period of time, not to exceed 60 days from the date of application. </w:t>
      </w:r>
      <w:r>
        <w:rPr>
          <w:b/>
        </w:rPr>
        <w:t>3, 4</w:t>
      </w:r>
    </w:p>
    <w:p>
      <w:pPr>
        <w:pStyle w:val="ListParagraph"/>
        <w:numPr>
          <w:ilvl w:val="0"/>
          <w:numId w:val="113"/>
        </w:numPr>
        <w:tabs>
          <w:tab w:pos="786" w:val="left" w:leader="none"/>
        </w:tabs>
        <w:spacing w:line="208" w:lineRule="auto" w:before="240" w:after="0"/>
        <w:ind w:left="360" w:right="1701" w:firstLine="0"/>
        <w:jc w:val="left"/>
        <w:rPr>
          <w:b/>
          <w:sz w:val="24"/>
        </w:rPr>
      </w:pPr>
      <w:r>
        <w:rPr>
          <w:b/>
          <w:sz w:val="24"/>
        </w:rPr>
        <w:t>Necessary</w:t>
      </w:r>
      <w:r>
        <w:rPr>
          <w:b/>
          <w:spacing w:val="-5"/>
          <w:sz w:val="24"/>
        </w:rPr>
        <w:t> </w:t>
      </w:r>
      <w:r>
        <w:rPr>
          <w:b/>
          <w:sz w:val="24"/>
        </w:rPr>
        <w:t>information.</w:t>
      </w:r>
      <w:r>
        <w:rPr>
          <w:b/>
          <w:spacing w:val="-4"/>
          <w:sz w:val="24"/>
        </w:rPr>
        <w:t> </w:t>
      </w:r>
      <w:r>
        <w:rPr>
          <w:sz w:val="24"/>
        </w:rPr>
        <w:t>The</w:t>
      </w:r>
      <w:r>
        <w:rPr>
          <w:spacing w:val="-5"/>
          <w:sz w:val="24"/>
        </w:rPr>
        <w:t> </w:t>
      </w:r>
      <w:r>
        <w:rPr>
          <w:sz w:val="24"/>
        </w:rPr>
        <w:t>minimum</w:t>
      </w:r>
      <w:r>
        <w:rPr>
          <w:spacing w:val="-4"/>
          <w:sz w:val="24"/>
        </w:rPr>
        <w:t> </w:t>
      </w:r>
      <w:r>
        <w:rPr>
          <w:sz w:val="24"/>
        </w:rPr>
        <w:t>information</w:t>
      </w:r>
      <w:r>
        <w:rPr>
          <w:spacing w:val="-5"/>
          <w:sz w:val="24"/>
        </w:rPr>
        <w:t> </w:t>
      </w:r>
      <w:r>
        <w:rPr>
          <w:sz w:val="24"/>
        </w:rPr>
        <w:t>necessary</w:t>
      </w:r>
      <w:r>
        <w:rPr>
          <w:spacing w:val="-5"/>
          <w:sz w:val="24"/>
        </w:rPr>
        <w:t> </w:t>
      </w:r>
      <w:r>
        <w:rPr>
          <w:sz w:val="24"/>
        </w:rPr>
        <w:t>to</w:t>
      </w:r>
      <w:r>
        <w:rPr>
          <w:spacing w:val="-5"/>
          <w:sz w:val="24"/>
        </w:rPr>
        <w:t> </w:t>
      </w:r>
      <w:r>
        <w:rPr>
          <w:sz w:val="24"/>
        </w:rPr>
        <w:t>initiate</w:t>
      </w:r>
      <w:r>
        <w:rPr>
          <w:spacing w:val="-5"/>
          <w:sz w:val="24"/>
        </w:rPr>
        <w:t> </w:t>
      </w:r>
      <w:r>
        <w:rPr>
          <w:sz w:val="24"/>
        </w:rPr>
        <w:t>an assessment to determine eligibility and priority for services consists of: </w:t>
      </w:r>
      <w:r>
        <w:rPr>
          <w:b/>
          <w:sz w:val="24"/>
        </w:rPr>
        <w:t>1, 2</w:t>
      </w:r>
    </w:p>
    <w:p>
      <w:pPr>
        <w:pStyle w:val="ListParagraph"/>
        <w:numPr>
          <w:ilvl w:val="1"/>
          <w:numId w:val="113"/>
        </w:numPr>
        <w:tabs>
          <w:tab w:pos="1218" w:val="left" w:leader="none"/>
        </w:tabs>
        <w:spacing w:line="240" w:lineRule="auto" w:before="210" w:after="0"/>
        <w:ind w:left="1218" w:right="0" w:hanging="426"/>
        <w:jc w:val="left"/>
        <w:rPr>
          <w:sz w:val="24"/>
        </w:rPr>
      </w:pPr>
      <w:r>
        <w:rPr>
          <w:sz w:val="24"/>
        </w:rPr>
        <w:t>individual's</w:t>
      </w:r>
      <w:r>
        <w:rPr>
          <w:spacing w:val="-9"/>
          <w:sz w:val="24"/>
        </w:rPr>
        <w:t> </w:t>
      </w:r>
      <w:r>
        <w:rPr>
          <w:spacing w:val="-2"/>
          <w:sz w:val="24"/>
        </w:rPr>
        <w:t>name;</w:t>
      </w:r>
    </w:p>
    <w:p>
      <w:pPr>
        <w:pStyle w:val="ListParagraph"/>
        <w:numPr>
          <w:ilvl w:val="1"/>
          <w:numId w:val="113"/>
        </w:numPr>
        <w:tabs>
          <w:tab w:pos="1217" w:val="left" w:leader="none"/>
        </w:tabs>
        <w:spacing w:line="240" w:lineRule="auto" w:before="204" w:after="0"/>
        <w:ind w:left="1217" w:right="0" w:hanging="425"/>
        <w:jc w:val="left"/>
        <w:rPr>
          <w:sz w:val="24"/>
        </w:rPr>
      </w:pPr>
      <w:r>
        <w:rPr>
          <w:sz w:val="24"/>
        </w:rPr>
        <w:t>reported</w:t>
      </w:r>
      <w:r>
        <w:rPr>
          <w:spacing w:val="-5"/>
          <w:sz w:val="24"/>
        </w:rPr>
        <w:t> </w:t>
      </w:r>
      <w:r>
        <w:rPr>
          <w:spacing w:val="-2"/>
          <w:sz w:val="24"/>
        </w:rPr>
        <w:t>disability;</w:t>
      </w:r>
    </w:p>
    <w:p>
      <w:pPr>
        <w:pStyle w:val="ListParagraph"/>
        <w:numPr>
          <w:ilvl w:val="1"/>
          <w:numId w:val="113"/>
        </w:numPr>
        <w:tabs>
          <w:tab w:pos="1218" w:val="left" w:leader="none"/>
        </w:tabs>
        <w:spacing w:line="240" w:lineRule="auto" w:before="204" w:after="0"/>
        <w:ind w:left="1218" w:right="0" w:hanging="426"/>
        <w:jc w:val="left"/>
        <w:rPr>
          <w:sz w:val="24"/>
        </w:rPr>
      </w:pPr>
      <w:r>
        <w:rPr>
          <w:sz w:val="24"/>
        </w:rPr>
        <w:t>individual's</w:t>
      </w:r>
      <w:r>
        <w:rPr>
          <w:spacing w:val="-7"/>
          <w:sz w:val="24"/>
        </w:rPr>
        <w:t> </w:t>
      </w:r>
      <w:r>
        <w:rPr>
          <w:sz w:val="24"/>
        </w:rPr>
        <w:t>address,</w:t>
      </w:r>
      <w:r>
        <w:rPr>
          <w:spacing w:val="-4"/>
          <w:sz w:val="24"/>
        </w:rPr>
        <w:t> </w:t>
      </w:r>
      <w:r>
        <w:rPr>
          <w:sz w:val="24"/>
        </w:rPr>
        <w:t>with</w:t>
      </w:r>
      <w:r>
        <w:rPr>
          <w:spacing w:val="-4"/>
          <w:sz w:val="24"/>
        </w:rPr>
        <w:t> </w:t>
      </w:r>
      <w:r>
        <w:rPr>
          <w:sz w:val="24"/>
        </w:rPr>
        <w:t>finding</w:t>
      </w:r>
      <w:r>
        <w:rPr>
          <w:spacing w:val="-5"/>
          <w:sz w:val="24"/>
        </w:rPr>
        <w:t> </w:t>
      </w:r>
      <w:r>
        <w:rPr>
          <w:sz w:val="24"/>
        </w:rPr>
        <w:t>directions</w:t>
      </w:r>
      <w:r>
        <w:rPr>
          <w:spacing w:val="-4"/>
          <w:sz w:val="24"/>
        </w:rPr>
        <w:t> </w:t>
      </w:r>
      <w:r>
        <w:rPr>
          <w:sz w:val="24"/>
        </w:rPr>
        <w:t>when</w:t>
      </w:r>
      <w:r>
        <w:rPr>
          <w:spacing w:val="-4"/>
          <w:sz w:val="24"/>
        </w:rPr>
        <w:t> </w:t>
      </w:r>
      <w:r>
        <w:rPr>
          <w:spacing w:val="-2"/>
          <w:sz w:val="24"/>
        </w:rPr>
        <w:t>needed;</w:t>
      </w:r>
    </w:p>
    <w:p>
      <w:pPr>
        <w:pStyle w:val="ListParagraph"/>
        <w:numPr>
          <w:ilvl w:val="1"/>
          <w:numId w:val="113"/>
        </w:numPr>
        <w:tabs>
          <w:tab w:pos="1218" w:val="left" w:leader="none"/>
        </w:tabs>
        <w:spacing w:line="240" w:lineRule="auto" w:before="204" w:after="0"/>
        <w:ind w:left="1218" w:right="0" w:hanging="426"/>
        <w:jc w:val="left"/>
        <w:rPr>
          <w:sz w:val="24"/>
        </w:rPr>
      </w:pPr>
      <w:r>
        <w:rPr>
          <w:sz w:val="24"/>
        </w:rPr>
        <w:t>individual's</w:t>
      </w:r>
      <w:r>
        <w:rPr>
          <w:spacing w:val="-5"/>
          <w:sz w:val="24"/>
        </w:rPr>
        <w:t> </w:t>
      </w:r>
      <w:r>
        <w:rPr>
          <w:sz w:val="24"/>
        </w:rPr>
        <w:t>social</w:t>
      </w:r>
      <w:r>
        <w:rPr>
          <w:spacing w:val="-3"/>
          <w:sz w:val="24"/>
        </w:rPr>
        <w:t> </w:t>
      </w:r>
      <w:r>
        <w:rPr>
          <w:sz w:val="24"/>
        </w:rPr>
        <w:t>security</w:t>
      </w:r>
      <w:r>
        <w:rPr>
          <w:spacing w:val="-4"/>
          <w:sz w:val="24"/>
        </w:rPr>
        <w:t> </w:t>
      </w:r>
      <w:r>
        <w:rPr>
          <w:sz w:val="24"/>
        </w:rPr>
        <w:t>number,</w:t>
      </w:r>
      <w:r>
        <w:rPr>
          <w:spacing w:val="-4"/>
          <w:sz w:val="24"/>
        </w:rPr>
        <w:t> </w:t>
      </w:r>
      <w:r>
        <w:rPr>
          <w:sz w:val="24"/>
        </w:rPr>
        <w:t>if</w:t>
      </w:r>
      <w:r>
        <w:rPr>
          <w:spacing w:val="-5"/>
          <w:sz w:val="24"/>
        </w:rPr>
        <w:t> </w:t>
      </w:r>
      <w:r>
        <w:rPr>
          <w:sz w:val="24"/>
        </w:rPr>
        <w:t>available;</w:t>
      </w:r>
      <w:r>
        <w:rPr>
          <w:spacing w:val="-3"/>
          <w:sz w:val="24"/>
        </w:rPr>
        <w:t> </w:t>
      </w:r>
      <w:r>
        <w:rPr>
          <w:spacing w:val="-5"/>
          <w:sz w:val="24"/>
        </w:rPr>
        <w:t>and</w:t>
      </w:r>
    </w:p>
    <w:p>
      <w:pPr>
        <w:pStyle w:val="ListParagraph"/>
        <w:numPr>
          <w:ilvl w:val="1"/>
          <w:numId w:val="113"/>
        </w:numPr>
        <w:tabs>
          <w:tab w:pos="1218" w:val="left" w:leader="none"/>
        </w:tabs>
        <w:spacing w:line="240" w:lineRule="auto" w:before="204" w:after="0"/>
        <w:ind w:left="1218" w:right="0" w:hanging="426"/>
        <w:jc w:val="left"/>
        <w:rPr>
          <w:sz w:val="24"/>
        </w:rPr>
      </w:pPr>
      <w:r>
        <w:rPr>
          <w:sz w:val="24"/>
        </w:rPr>
        <w:t>availability</w:t>
      </w:r>
      <w:r>
        <w:rPr>
          <w:spacing w:val="-5"/>
          <w:sz w:val="24"/>
        </w:rPr>
        <w:t> </w:t>
      </w:r>
      <w:r>
        <w:rPr>
          <w:sz w:val="24"/>
        </w:rPr>
        <w:t>of</w:t>
      </w:r>
      <w:r>
        <w:rPr>
          <w:spacing w:val="-3"/>
          <w:sz w:val="24"/>
        </w:rPr>
        <w:t> </w:t>
      </w:r>
      <w:r>
        <w:rPr>
          <w:sz w:val="24"/>
        </w:rPr>
        <w:t>documentation</w:t>
      </w:r>
      <w:r>
        <w:rPr>
          <w:spacing w:val="-4"/>
          <w:sz w:val="24"/>
        </w:rPr>
        <w:t> </w:t>
      </w:r>
      <w:r>
        <w:rPr>
          <w:sz w:val="24"/>
        </w:rPr>
        <w:t>of</w:t>
      </w:r>
      <w:r>
        <w:rPr>
          <w:spacing w:val="-3"/>
          <w:sz w:val="24"/>
        </w:rPr>
        <w:t> </w:t>
      </w:r>
      <w:r>
        <w:rPr>
          <w:sz w:val="24"/>
        </w:rPr>
        <w:t>the</w:t>
      </w:r>
      <w:r>
        <w:rPr>
          <w:spacing w:val="-4"/>
          <w:sz w:val="24"/>
        </w:rPr>
        <w:t> </w:t>
      </w:r>
      <w:r>
        <w:rPr>
          <w:sz w:val="24"/>
        </w:rPr>
        <w:t>reported</w:t>
      </w:r>
      <w:r>
        <w:rPr>
          <w:spacing w:val="-4"/>
          <w:sz w:val="24"/>
        </w:rPr>
        <w:t> </w:t>
      </w:r>
      <w:r>
        <w:rPr>
          <w:spacing w:val="-2"/>
          <w:sz w:val="24"/>
        </w:rPr>
        <w:t>disability.</w:t>
      </w:r>
    </w:p>
    <w:p>
      <w:pPr>
        <w:pStyle w:val="ListParagraph"/>
        <w:numPr>
          <w:ilvl w:val="0"/>
          <w:numId w:val="113"/>
        </w:numPr>
        <w:tabs>
          <w:tab w:pos="718" w:val="left" w:leader="none"/>
        </w:tabs>
        <w:spacing w:line="208" w:lineRule="auto" w:before="233" w:after="0"/>
        <w:ind w:left="360" w:right="754" w:firstLine="0"/>
        <w:jc w:val="left"/>
        <w:rPr>
          <w:b/>
          <w:sz w:val="24"/>
        </w:rPr>
      </w:pPr>
      <w:r>
        <w:rPr>
          <w:b/>
          <w:sz w:val="24"/>
        </w:rPr>
        <w:t>General</w:t>
      </w:r>
      <w:r>
        <w:rPr>
          <w:b/>
          <w:spacing w:val="-3"/>
          <w:sz w:val="24"/>
        </w:rPr>
        <w:t> </w:t>
      </w:r>
      <w:r>
        <w:rPr>
          <w:b/>
          <w:sz w:val="24"/>
        </w:rPr>
        <w:t>Health</w:t>
      </w:r>
      <w:r>
        <w:rPr>
          <w:b/>
          <w:spacing w:val="-4"/>
          <w:sz w:val="24"/>
        </w:rPr>
        <w:t> </w:t>
      </w:r>
      <w:r>
        <w:rPr>
          <w:b/>
          <w:sz w:val="24"/>
        </w:rPr>
        <w:t>Checklist.</w:t>
      </w:r>
      <w:r>
        <w:rPr>
          <w:b/>
          <w:spacing w:val="-4"/>
          <w:sz w:val="24"/>
        </w:rPr>
        <w:t> </w:t>
      </w:r>
      <w:r>
        <w:rPr>
          <w:sz w:val="24"/>
        </w:rPr>
        <w:t>The</w:t>
      </w:r>
      <w:r>
        <w:rPr>
          <w:spacing w:val="-4"/>
          <w:sz w:val="24"/>
        </w:rPr>
        <w:t> </w:t>
      </w:r>
      <w:r>
        <w:rPr>
          <w:sz w:val="24"/>
        </w:rPr>
        <w:t>general</w:t>
      </w:r>
      <w:r>
        <w:rPr>
          <w:spacing w:val="-3"/>
          <w:sz w:val="24"/>
        </w:rPr>
        <w:t> </w:t>
      </w:r>
      <w:r>
        <w:rPr>
          <w:sz w:val="24"/>
        </w:rPr>
        <w:t>health</w:t>
      </w:r>
      <w:r>
        <w:rPr>
          <w:spacing w:val="-4"/>
          <w:sz w:val="24"/>
        </w:rPr>
        <w:t> </w:t>
      </w:r>
      <w:r>
        <w:rPr>
          <w:sz w:val="24"/>
        </w:rPr>
        <w:t>checklist</w:t>
      </w:r>
      <w:r>
        <w:rPr>
          <w:spacing w:val="-3"/>
          <w:sz w:val="24"/>
        </w:rPr>
        <w:t> </w:t>
      </w:r>
      <w:r>
        <w:rPr>
          <w:sz w:val="24"/>
        </w:rPr>
        <w:t>(GHC)</w:t>
      </w:r>
      <w:r>
        <w:rPr>
          <w:spacing w:val="-3"/>
          <w:sz w:val="24"/>
        </w:rPr>
        <w:t> </w:t>
      </w:r>
      <w:r>
        <w:rPr>
          <w:sz w:val="24"/>
        </w:rPr>
        <w:t>is</w:t>
      </w:r>
      <w:r>
        <w:rPr>
          <w:spacing w:val="-4"/>
          <w:sz w:val="24"/>
        </w:rPr>
        <w:t> </w:t>
      </w:r>
      <w:r>
        <w:rPr>
          <w:sz w:val="24"/>
        </w:rPr>
        <w:t>a</w:t>
      </w:r>
      <w:r>
        <w:rPr>
          <w:spacing w:val="-4"/>
          <w:sz w:val="24"/>
        </w:rPr>
        <w:t> </w:t>
      </w:r>
      <w:r>
        <w:rPr>
          <w:sz w:val="24"/>
        </w:rPr>
        <w:t>survey</w:t>
      </w:r>
      <w:r>
        <w:rPr>
          <w:spacing w:val="-5"/>
          <w:sz w:val="24"/>
        </w:rPr>
        <w:t> </w:t>
      </w:r>
      <w:r>
        <w:rPr>
          <w:sz w:val="24"/>
        </w:rPr>
        <w:t>tool</w:t>
      </w:r>
      <w:r>
        <w:rPr>
          <w:spacing w:val="-4"/>
          <w:sz w:val="24"/>
        </w:rPr>
        <w:t> </w:t>
      </w:r>
      <w:r>
        <w:rPr>
          <w:sz w:val="24"/>
        </w:rPr>
        <w:t>used to determine what diagnostic information will be needed to assess an applicant's eligibility or ineligibility. A general health checklist will be completed for each applicant. The counselor/teacher in consultation with the client will decide if purchasing a medical examination is necessary when the GHC indicates the presence of any condition. This decision will be based upon availability of existing medical records, and the reported degree of limitation to employment caused by the condition. </w:t>
      </w:r>
      <w:r>
        <w:rPr>
          <w:b/>
          <w:sz w:val="24"/>
        </w:rPr>
        <w:t>8</w:t>
      </w:r>
    </w:p>
    <w:p>
      <w:pPr>
        <w:pStyle w:val="ListParagraph"/>
        <w:numPr>
          <w:ilvl w:val="0"/>
          <w:numId w:val="113"/>
        </w:numPr>
        <w:tabs>
          <w:tab w:pos="785" w:val="left" w:leader="none"/>
        </w:tabs>
        <w:spacing w:line="208" w:lineRule="auto" w:before="240" w:after="0"/>
        <w:ind w:left="360" w:right="766" w:firstLine="0"/>
        <w:jc w:val="left"/>
        <w:rPr>
          <w:sz w:val="24"/>
        </w:rPr>
      </w:pPr>
      <w:r>
        <w:rPr>
          <w:b/>
          <w:sz w:val="24"/>
        </w:rPr>
        <w:t>Informed Choice. </w:t>
      </w:r>
      <w:r>
        <w:rPr>
          <w:sz w:val="24"/>
        </w:rPr>
        <w:t>VR and DSBVI staff must assure that applicants or, as appropriate, their representatives are provided information and support services to assist</w:t>
      </w:r>
      <w:r>
        <w:rPr>
          <w:spacing w:val="-3"/>
          <w:sz w:val="24"/>
        </w:rPr>
        <w:t> </w:t>
      </w:r>
      <w:r>
        <w:rPr>
          <w:sz w:val="24"/>
        </w:rPr>
        <w:t>applicants</w:t>
      </w:r>
      <w:r>
        <w:rPr>
          <w:spacing w:val="-4"/>
          <w:sz w:val="24"/>
        </w:rPr>
        <w:t> </w:t>
      </w:r>
      <w:r>
        <w:rPr>
          <w:sz w:val="24"/>
        </w:rPr>
        <w:t>and</w:t>
      </w:r>
      <w:r>
        <w:rPr>
          <w:spacing w:val="-4"/>
          <w:sz w:val="24"/>
        </w:rPr>
        <w:t> </w:t>
      </w:r>
      <w:r>
        <w:rPr>
          <w:sz w:val="24"/>
        </w:rPr>
        <w:t>recipients</w:t>
      </w:r>
      <w:r>
        <w:rPr>
          <w:spacing w:val="-4"/>
          <w:sz w:val="24"/>
        </w:rPr>
        <w:t> </w:t>
      </w:r>
      <w:r>
        <w:rPr>
          <w:sz w:val="24"/>
        </w:rPr>
        <w:t>of</w:t>
      </w:r>
      <w:r>
        <w:rPr>
          <w:spacing w:val="-3"/>
          <w:sz w:val="24"/>
        </w:rPr>
        <w:t> </w:t>
      </w:r>
      <w:r>
        <w:rPr>
          <w:sz w:val="24"/>
        </w:rPr>
        <w:t>services</w:t>
      </w:r>
      <w:r>
        <w:rPr>
          <w:spacing w:val="-4"/>
          <w:sz w:val="24"/>
        </w:rPr>
        <w:t> </w:t>
      </w:r>
      <w:r>
        <w:rPr>
          <w:sz w:val="24"/>
        </w:rPr>
        <w:t>in</w:t>
      </w:r>
      <w:r>
        <w:rPr>
          <w:spacing w:val="-4"/>
          <w:sz w:val="24"/>
        </w:rPr>
        <w:t> </w:t>
      </w:r>
      <w:r>
        <w:rPr>
          <w:sz w:val="24"/>
        </w:rPr>
        <w:t>exercising</w:t>
      </w:r>
      <w:r>
        <w:rPr>
          <w:spacing w:val="-4"/>
          <w:sz w:val="24"/>
        </w:rPr>
        <w:t> </w:t>
      </w:r>
      <w:r>
        <w:rPr>
          <w:sz w:val="24"/>
        </w:rPr>
        <w:t>informed</w:t>
      </w:r>
      <w:r>
        <w:rPr>
          <w:spacing w:val="-4"/>
          <w:sz w:val="24"/>
        </w:rPr>
        <w:t> </w:t>
      </w:r>
      <w:r>
        <w:rPr>
          <w:sz w:val="24"/>
        </w:rPr>
        <w:t>choice</w:t>
      </w:r>
      <w:r>
        <w:rPr>
          <w:spacing w:val="-4"/>
          <w:sz w:val="24"/>
        </w:rPr>
        <w:t> </w:t>
      </w:r>
      <w:r>
        <w:rPr>
          <w:sz w:val="24"/>
        </w:rPr>
        <w:t>throughout</w:t>
      </w:r>
      <w:r>
        <w:rPr>
          <w:spacing w:val="-3"/>
          <w:sz w:val="24"/>
        </w:rPr>
        <w:t> </w:t>
      </w:r>
      <w:r>
        <w:rPr>
          <w:sz w:val="24"/>
        </w:rPr>
        <w:t>the rehabilitation process in accordance with 34 CFR 361.52.</w:t>
      </w:r>
    </w:p>
    <w:p>
      <w:pPr>
        <w:pStyle w:val="ListParagraph"/>
        <w:numPr>
          <w:ilvl w:val="1"/>
          <w:numId w:val="113"/>
        </w:numPr>
        <w:tabs>
          <w:tab w:pos="1145" w:val="left" w:leader="none"/>
        </w:tabs>
        <w:spacing w:line="208" w:lineRule="auto" w:before="239" w:after="0"/>
        <w:ind w:left="720" w:right="1086" w:firstLine="0"/>
        <w:jc w:val="left"/>
        <w:rPr>
          <w:sz w:val="24"/>
        </w:rPr>
      </w:pPr>
      <w:r>
        <w:rPr>
          <w:sz w:val="24"/>
        </w:rPr>
        <w:t>Informed</w:t>
      </w:r>
      <w:r>
        <w:rPr>
          <w:spacing w:val="-5"/>
          <w:sz w:val="24"/>
        </w:rPr>
        <w:t> </w:t>
      </w:r>
      <w:r>
        <w:rPr>
          <w:sz w:val="24"/>
        </w:rPr>
        <w:t>choice</w:t>
      </w:r>
      <w:r>
        <w:rPr>
          <w:spacing w:val="-5"/>
          <w:sz w:val="24"/>
        </w:rPr>
        <w:t> </w:t>
      </w:r>
      <w:r>
        <w:rPr>
          <w:sz w:val="24"/>
        </w:rPr>
        <w:t>and</w:t>
      </w:r>
      <w:r>
        <w:rPr>
          <w:spacing w:val="-5"/>
          <w:sz w:val="24"/>
        </w:rPr>
        <w:t> </w:t>
      </w:r>
      <w:r>
        <w:rPr>
          <w:sz w:val="24"/>
        </w:rPr>
        <w:t>the</w:t>
      </w:r>
      <w:r>
        <w:rPr>
          <w:spacing w:val="-5"/>
          <w:sz w:val="24"/>
        </w:rPr>
        <w:t> </w:t>
      </w:r>
      <w:r>
        <w:rPr>
          <w:sz w:val="24"/>
        </w:rPr>
        <w:t>provision</w:t>
      </w:r>
      <w:r>
        <w:rPr>
          <w:spacing w:val="-5"/>
          <w:sz w:val="24"/>
        </w:rPr>
        <w:t> </w:t>
      </w:r>
      <w:r>
        <w:rPr>
          <w:sz w:val="24"/>
        </w:rPr>
        <w:t>of</w:t>
      </w:r>
      <w:r>
        <w:rPr>
          <w:spacing w:val="-4"/>
          <w:sz w:val="24"/>
        </w:rPr>
        <w:t> </w:t>
      </w:r>
      <w:r>
        <w:rPr>
          <w:sz w:val="24"/>
        </w:rPr>
        <w:t>vocational</w:t>
      </w:r>
      <w:r>
        <w:rPr>
          <w:spacing w:val="-5"/>
          <w:sz w:val="24"/>
        </w:rPr>
        <w:t> </w:t>
      </w:r>
      <w:r>
        <w:rPr>
          <w:sz w:val="24"/>
        </w:rPr>
        <w:t>rehabilitation</w:t>
      </w:r>
      <w:r>
        <w:rPr>
          <w:spacing w:val="-5"/>
          <w:sz w:val="24"/>
        </w:rPr>
        <w:t> </w:t>
      </w:r>
      <w:r>
        <w:rPr>
          <w:sz w:val="24"/>
        </w:rPr>
        <w:t>services</w:t>
      </w:r>
      <w:r>
        <w:rPr>
          <w:spacing w:val="-5"/>
          <w:sz w:val="24"/>
        </w:rPr>
        <w:t> </w:t>
      </w:r>
      <w:r>
        <w:rPr>
          <w:sz w:val="24"/>
        </w:rPr>
        <w:t>require that communications with persons with disabilities are effective.</w:t>
      </w:r>
    </w:p>
    <w:p>
      <w:pPr>
        <w:pStyle w:val="ListParagraph"/>
        <w:numPr>
          <w:ilvl w:val="1"/>
          <w:numId w:val="113"/>
        </w:numPr>
        <w:tabs>
          <w:tab w:pos="1146" w:val="left" w:leader="none"/>
        </w:tabs>
        <w:spacing w:line="208" w:lineRule="auto" w:before="240" w:after="0"/>
        <w:ind w:left="720" w:right="979" w:firstLine="0"/>
        <w:jc w:val="left"/>
        <w:rPr>
          <w:b/>
          <w:sz w:val="24"/>
        </w:rPr>
      </w:pPr>
      <w:r>
        <w:rPr>
          <w:sz w:val="24"/>
        </w:rPr>
        <w:t>DVR</w:t>
      </w:r>
      <w:r>
        <w:rPr>
          <w:spacing w:val="-4"/>
          <w:sz w:val="24"/>
        </w:rPr>
        <w:t> </w:t>
      </w:r>
      <w:r>
        <w:rPr>
          <w:sz w:val="24"/>
        </w:rPr>
        <w:t>staff</w:t>
      </w:r>
      <w:r>
        <w:rPr>
          <w:spacing w:val="-3"/>
          <w:sz w:val="24"/>
        </w:rPr>
        <w:t> </w:t>
      </w:r>
      <w:r>
        <w:rPr>
          <w:sz w:val="24"/>
        </w:rPr>
        <w:t>informs</w:t>
      </w:r>
      <w:r>
        <w:rPr>
          <w:spacing w:val="-6"/>
          <w:sz w:val="24"/>
        </w:rPr>
        <w:t> </w:t>
      </w:r>
      <w:r>
        <w:rPr>
          <w:sz w:val="24"/>
        </w:rPr>
        <w:t>each</w:t>
      </w:r>
      <w:r>
        <w:rPr>
          <w:spacing w:val="-4"/>
          <w:sz w:val="24"/>
        </w:rPr>
        <w:t> </w:t>
      </w:r>
      <w:r>
        <w:rPr>
          <w:sz w:val="24"/>
        </w:rPr>
        <w:t>applicant</w:t>
      </w:r>
      <w:r>
        <w:rPr>
          <w:spacing w:val="-3"/>
          <w:sz w:val="24"/>
        </w:rPr>
        <w:t> </w:t>
      </w:r>
      <w:r>
        <w:rPr>
          <w:sz w:val="24"/>
        </w:rPr>
        <w:t>and</w:t>
      </w:r>
      <w:r>
        <w:rPr>
          <w:spacing w:val="-4"/>
          <w:sz w:val="24"/>
        </w:rPr>
        <w:t> </w:t>
      </w:r>
      <w:r>
        <w:rPr>
          <w:sz w:val="24"/>
        </w:rPr>
        <w:t>recipient</w:t>
      </w:r>
      <w:r>
        <w:rPr>
          <w:spacing w:val="-3"/>
          <w:sz w:val="24"/>
        </w:rPr>
        <w:t> </w:t>
      </w:r>
      <w:r>
        <w:rPr>
          <w:sz w:val="24"/>
        </w:rPr>
        <w:t>of</w:t>
      </w:r>
      <w:r>
        <w:rPr>
          <w:spacing w:val="-3"/>
          <w:sz w:val="24"/>
        </w:rPr>
        <w:t> </w:t>
      </w:r>
      <w:r>
        <w:rPr>
          <w:sz w:val="24"/>
        </w:rPr>
        <w:t>services</w:t>
      </w:r>
      <w:r>
        <w:rPr>
          <w:spacing w:val="-4"/>
          <w:sz w:val="24"/>
        </w:rPr>
        <w:t> </w:t>
      </w:r>
      <w:r>
        <w:rPr>
          <w:sz w:val="24"/>
        </w:rPr>
        <w:t>through</w:t>
      </w:r>
      <w:r>
        <w:rPr>
          <w:spacing w:val="-4"/>
          <w:sz w:val="24"/>
        </w:rPr>
        <w:t> </w:t>
      </w:r>
      <w:r>
        <w:rPr>
          <w:sz w:val="24"/>
        </w:rPr>
        <w:t>appropriate modes of communication about the availability of and opportunities to exercise informed choice. Individuals with cognitive or other disabilities who require assistance in exercising informed choice will be notified that support services are available. </w:t>
      </w:r>
      <w:r>
        <w:rPr>
          <w:b/>
          <w:sz w:val="24"/>
        </w:rPr>
        <w:t>3</w:t>
      </w:r>
    </w:p>
    <w:p>
      <w:pPr>
        <w:pStyle w:val="ListParagraph"/>
        <w:numPr>
          <w:ilvl w:val="0"/>
          <w:numId w:val="113"/>
        </w:numPr>
        <w:tabs>
          <w:tab w:pos="786" w:val="left" w:leader="none"/>
        </w:tabs>
        <w:spacing w:line="208" w:lineRule="auto" w:before="240" w:after="0"/>
        <w:ind w:left="360" w:right="928" w:firstLine="0"/>
        <w:jc w:val="left"/>
        <w:rPr>
          <w:b/>
          <w:sz w:val="24"/>
        </w:rPr>
      </w:pPr>
      <w:r>
        <w:rPr>
          <w:b/>
          <w:sz w:val="24"/>
        </w:rPr>
        <w:t>Case</w:t>
      </w:r>
      <w:r>
        <w:rPr>
          <w:b/>
          <w:spacing w:val="-5"/>
          <w:sz w:val="24"/>
        </w:rPr>
        <w:t> </w:t>
      </w:r>
      <w:r>
        <w:rPr>
          <w:b/>
          <w:sz w:val="24"/>
        </w:rPr>
        <w:t>recording</w:t>
      </w:r>
      <w:r>
        <w:rPr>
          <w:b/>
          <w:spacing w:val="-5"/>
          <w:sz w:val="24"/>
        </w:rPr>
        <w:t> </w:t>
      </w:r>
      <w:r>
        <w:rPr>
          <w:b/>
          <w:sz w:val="24"/>
        </w:rPr>
        <w:t>requirements.</w:t>
      </w:r>
      <w:r>
        <w:rPr>
          <w:b/>
          <w:spacing w:val="-5"/>
          <w:sz w:val="24"/>
        </w:rPr>
        <w:t> </w:t>
      </w:r>
      <w:r>
        <w:rPr>
          <w:sz w:val="24"/>
        </w:rPr>
        <w:t>Pertinent</w:t>
      </w:r>
      <w:r>
        <w:rPr>
          <w:spacing w:val="-4"/>
          <w:sz w:val="24"/>
        </w:rPr>
        <w:t> </w:t>
      </w:r>
      <w:r>
        <w:rPr>
          <w:sz w:val="24"/>
        </w:rPr>
        <w:t>information</w:t>
      </w:r>
      <w:r>
        <w:rPr>
          <w:spacing w:val="-5"/>
          <w:sz w:val="24"/>
        </w:rPr>
        <w:t> </w:t>
      </w:r>
      <w:r>
        <w:rPr>
          <w:sz w:val="24"/>
        </w:rPr>
        <w:t>from</w:t>
      </w:r>
      <w:r>
        <w:rPr>
          <w:spacing w:val="-6"/>
          <w:sz w:val="24"/>
        </w:rPr>
        <w:t> </w:t>
      </w:r>
      <w:r>
        <w:rPr>
          <w:sz w:val="24"/>
        </w:rPr>
        <w:t>the</w:t>
      </w:r>
      <w:r>
        <w:rPr>
          <w:spacing w:val="-5"/>
          <w:sz w:val="24"/>
        </w:rPr>
        <w:t> </w:t>
      </w:r>
      <w:r>
        <w:rPr>
          <w:sz w:val="24"/>
        </w:rPr>
        <w:t>initial</w:t>
      </w:r>
      <w:r>
        <w:rPr>
          <w:spacing w:val="-5"/>
          <w:sz w:val="24"/>
        </w:rPr>
        <w:t> </w:t>
      </w:r>
      <w:r>
        <w:rPr>
          <w:sz w:val="24"/>
        </w:rPr>
        <w:t>interview</w:t>
      </w:r>
      <w:r>
        <w:rPr>
          <w:spacing w:val="-5"/>
          <w:sz w:val="24"/>
        </w:rPr>
        <w:t> </w:t>
      </w:r>
      <w:r>
        <w:rPr>
          <w:sz w:val="24"/>
        </w:rPr>
        <w:t>and applicant information forms is recorded in a narrative that is placed in the record of service. </w:t>
      </w:r>
      <w:r>
        <w:rPr>
          <w:b/>
          <w:sz w:val="24"/>
        </w:rPr>
        <w:t>3, 7, 11, 12, 13</w:t>
      </w:r>
    </w:p>
    <w:p>
      <w:pPr>
        <w:pStyle w:val="ListParagraph"/>
        <w:numPr>
          <w:ilvl w:val="1"/>
          <w:numId w:val="113"/>
        </w:numPr>
        <w:tabs>
          <w:tab w:pos="1236" w:val="left" w:leader="none"/>
        </w:tabs>
        <w:spacing w:line="208" w:lineRule="auto" w:before="239" w:after="0"/>
        <w:ind w:left="810" w:right="768" w:firstLine="0"/>
        <w:jc w:val="left"/>
        <w:rPr>
          <w:sz w:val="24"/>
        </w:rPr>
      </w:pPr>
      <w:r>
        <w:rPr>
          <w:sz w:val="24"/>
        </w:rPr>
        <w:t>Documentation</w:t>
      </w:r>
      <w:r>
        <w:rPr>
          <w:spacing w:val="-4"/>
          <w:sz w:val="24"/>
        </w:rPr>
        <w:t> </w:t>
      </w:r>
      <w:r>
        <w:rPr>
          <w:sz w:val="24"/>
        </w:rPr>
        <w:t>of</w:t>
      </w:r>
      <w:r>
        <w:rPr>
          <w:spacing w:val="-3"/>
          <w:sz w:val="24"/>
        </w:rPr>
        <w:t> </w:t>
      </w:r>
      <w:r>
        <w:rPr>
          <w:sz w:val="24"/>
        </w:rPr>
        <w:t>the</w:t>
      </w:r>
      <w:r>
        <w:rPr>
          <w:spacing w:val="-4"/>
          <w:sz w:val="24"/>
        </w:rPr>
        <w:t> </w:t>
      </w:r>
      <w:r>
        <w:rPr>
          <w:sz w:val="24"/>
        </w:rPr>
        <w:t>process</w:t>
      </w:r>
      <w:r>
        <w:rPr>
          <w:spacing w:val="-4"/>
          <w:sz w:val="24"/>
        </w:rPr>
        <w:t> </w:t>
      </w:r>
      <w:r>
        <w:rPr>
          <w:sz w:val="24"/>
        </w:rPr>
        <w:t>of</w:t>
      </w:r>
      <w:r>
        <w:rPr>
          <w:spacing w:val="-3"/>
          <w:sz w:val="24"/>
        </w:rPr>
        <w:t> </w:t>
      </w:r>
      <w:r>
        <w:rPr>
          <w:sz w:val="24"/>
        </w:rPr>
        <w:t>providing</w:t>
      </w:r>
      <w:r>
        <w:rPr>
          <w:spacing w:val="-4"/>
          <w:sz w:val="24"/>
        </w:rPr>
        <w:t> </w:t>
      </w:r>
      <w:r>
        <w:rPr>
          <w:sz w:val="24"/>
        </w:rPr>
        <w:t>informed</w:t>
      </w:r>
      <w:r>
        <w:rPr>
          <w:spacing w:val="-4"/>
          <w:sz w:val="24"/>
        </w:rPr>
        <w:t> </w:t>
      </w:r>
      <w:r>
        <w:rPr>
          <w:sz w:val="24"/>
        </w:rPr>
        <w:t>choice</w:t>
      </w:r>
      <w:r>
        <w:rPr>
          <w:spacing w:val="-4"/>
          <w:sz w:val="24"/>
        </w:rPr>
        <w:t> </w:t>
      </w:r>
      <w:r>
        <w:rPr>
          <w:sz w:val="24"/>
        </w:rPr>
        <w:t>information</w:t>
      </w:r>
      <w:r>
        <w:rPr>
          <w:spacing w:val="-4"/>
          <w:sz w:val="24"/>
        </w:rPr>
        <w:t> </w:t>
      </w:r>
      <w:r>
        <w:rPr>
          <w:sz w:val="24"/>
        </w:rPr>
        <w:t>and</w:t>
      </w:r>
      <w:r>
        <w:rPr>
          <w:spacing w:val="-4"/>
          <w:sz w:val="24"/>
        </w:rPr>
        <w:t> </w:t>
      </w:r>
      <w:r>
        <w:rPr>
          <w:sz w:val="24"/>
        </w:rPr>
        <w:t>use of appropriate modes of communication is included in the record of service.</w:t>
      </w:r>
    </w:p>
    <w:p>
      <w:pPr>
        <w:pStyle w:val="ListParagraph"/>
        <w:numPr>
          <w:ilvl w:val="1"/>
          <w:numId w:val="113"/>
        </w:numPr>
        <w:tabs>
          <w:tab w:pos="1218" w:val="left" w:leader="none"/>
        </w:tabs>
        <w:spacing w:line="208" w:lineRule="auto" w:before="240" w:after="0"/>
        <w:ind w:left="792" w:right="774" w:firstLine="0"/>
        <w:jc w:val="left"/>
        <w:rPr>
          <w:b/>
          <w:sz w:val="24"/>
        </w:rPr>
      </w:pPr>
      <w:r>
        <w:rPr>
          <w:sz w:val="24"/>
        </w:rPr>
        <w:t>The</w:t>
      </w:r>
      <w:r>
        <w:rPr>
          <w:spacing w:val="-5"/>
          <w:sz w:val="24"/>
        </w:rPr>
        <w:t> </w:t>
      </w:r>
      <w:r>
        <w:rPr>
          <w:sz w:val="24"/>
        </w:rPr>
        <w:t>record</w:t>
      </w:r>
      <w:r>
        <w:rPr>
          <w:spacing w:val="-4"/>
          <w:sz w:val="24"/>
        </w:rPr>
        <w:t> </w:t>
      </w:r>
      <w:r>
        <w:rPr>
          <w:sz w:val="24"/>
        </w:rPr>
        <w:t>must</w:t>
      </w:r>
      <w:r>
        <w:rPr>
          <w:spacing w:val="-5"/>
          <w:sz w:val="24"/>
        </w:rPr>
        <w:t> </w:t>
      </w:r>
      <w:r>
        <w:rPr>
          <w:sz w:val="24"/>
        </w:rPr>
        <w:t>document</w:t>
      </w:r>
      <w:r>
        <w:rPr>
          <w:spacing w:val="-3"/>
          <w:sz w:val="24"/>
        </w:rPr>
        <w:t> </w:t>
      </w:r>
      <w:r>
        <w:rPr>
          <w:sz w:val="24"/>
        </w:rPr>
        <w:t>that</w:t>
      </w:r>
      <w:r>
        <w:rPr>
          <w:spacing w:val="-3"/>
          <w:sz w:val="24"/>
        </w:rPr>
        <w:t> </w:t>
      </w:r>
      <w:r>
        <w:rPr>
          <w:sz w:val="24"/>
        </w:rPr>
        <w:t>the</w:t>
      </w:r>
      <w:r>
        <w:rPr>
          <w:spacing w:val="-4"/>
          <w:sz w:val="24"/>
        </w:rPr>
        <w:t> </w:t>
      </w:r>
      <w:r>
        <w:rPr>
          <w:sz w:val="24"/>
        </w:rPr>
        <w:t>applicant</w:t>
      </w:r>
      <w:r>
        <w:rPr>
          <w:spacing w:val="-3"/>
          <w:sz w:val="24"/>
        </w:rPr>
        <w:t> </w:t>
      </w:r>
      <w:r>
        <w:rPr>
          <w:sz w:val="24"/>
        </w:rPr>
        <w:t>or</w:t>
      </w:r>
      <w:r>
        <w:rPr>
          <w:spacing w:val="-3"/>
          <w:sz w:val="24"/>
        </w:rPr>
        <w:t> </w:t>
      </w:r>
      <w:r>
        <w:rPr>
          <w:sz w:val="24"/>
        </w:rPr>
        <w:t>representative</w:t>
      </w:r>
      <w:r>
        <w:rPr>
          <w:spacing w:val="-4"/>
          <w:sz w:val="24"/>
        </w:rPr>
        <w:t> </w:t>
      </w:r>
      <w:r>
        <w:rPr>
          <w:sz w:val="24"/>
        </w:rPr>
        <w:t>was</w:t>
      </w:r>
      <w:r>
        <w:rPr>
          <w:spacing w:val="-4"/>
          <w:sz w:val="24"/>
        </w:rPr>
        <w:t> </w:t>
      </w:r>
      <w:r>
        <w:rPr>
          <w:sz w:val="24"/>
        </w:rPr>
        <w:t>provided</w:t>
      </w:r>
      <w:r>
        <w:rPr>
          <w:spacing w:val="-4"/>
          <w:sz w:val="24"/>
        </w:rPr>
        <w:t> </w:t>
      </w:r>
      <w:r>
        <w:rPr>
          <w:sz w:val="24"/>
        </w:rPr>
        <w:t>an explanation of their due process rights, their rights and responsibilities as an applicant, and given a copy of the CAP handout and approved client handbook. </w:t>
      </w:r>
      <w:r>
        <w:rPr>
          <w:b/>
          <w:sz w:val="24"/>
        </w:rPr>
        <w:t>10</w:t>
      </w:r>
    </w:p>
    <w:p>
      <w:pPr>
        <w:pStyle w:val="ListParagraph"/>
        <w:numPr>
          <w:ilvl w:val="1"/>
          <w:numId w:val="113"/>
        </w:numPr>
        <w:tabs>
          <w:tab w:pos="1218" w:val="left" w:leader="none"/>
        </w:tabs>
        <w:spacing w:line="208" w:lineRule="auto" w:before="240" w:after="0"/>
        <w:ind w:left="792" w:right="825" w:firstLine="0"/>
        <w:jc w:val="left"/>
        <w:rPr>
          <w:b/>
          <w:sz w:val="24"/>
        </w:rPr>
      </w:pPr>
      <w:r>
        <w:rPr>
          <w:sz w:val="24"/>
        </w:rPr>
        <w:t>The record must document that the applicant was given the opportunity to register to vote or change registration when applying for or receiving services, in accordance</w:t>
      </w:r>
      <w:r>
        <w:rPr>
          <w:spacing w:val="-4"/>
          <w:sz w:val="24"/>
        </w:rPr>
        <w:t> </w:t>
      </w:r>
      <w:r>
        <w:rPr>
          <w:sz w:val="24"/>
        </w:rPr>
        <w:t>with</w:t>
      </w:r>
      <w:r>
        <w:rPr>
          <w:spacing w:val="-4"/>
          <w:sz w:val="24"/>
        </w:rPr>
        <w:t> </w:t>
      </w:r>
      <w:r>
        <w:rPr>
          <w:sz w:val="24"/>
        </w:rPr>
        <w:t>the</w:t>
      </w:r>
      <w:r>
        <w:rPr>
          <w:spacing w:val="-4"/>
          <w:sz w:val="24"/>
        </w:rPr>
        <w:t> </w:t>
      </w:r>
      <w:r>
        <w:rPr>
          <w:sz w:val="24"/>
        </w:rPr>
        <w:t>requirements</w:t>
      </w:r>
      <w:r>
        <w:rPr>
          <w:spacing w:val="-4"/>
          <w:sz w:val="24"/>
        </w:rPr>
        <w:t> </w:t>
      </w:r>
      <w:r>
        <w:rPr>
          <w:sz w:val="24"/>
        </w:rPr>
        <w:t>of</w:t>
      </w:r>
      <w:r>
        <w:rPr>
          <w:spacing w:val="-5"/>
          <w:sz w:val="24"/>
        </w:rPr>
        <w:t> </w:t>
      </w:r>
      <w:r>
        <w:rPr>
          <w:sz w:val="24"/>
        </w:rPr>
        <w:t>the</w:t>
      </w:r>
      <w:r>
        <w:rPr>
          <w:spacing w:val="-4"/>
          <w:sz w:val="24"/>
        </w:rPr>
        <w:t> </w:t>
      </w:r>
      <w:r>
        <w:rPr>
          <w:sz w:val="24"/>
        </w:rPr>
        <w:t>National</w:t>
      </w:r>
      <w:r>
        <w:rPr>
          <w:spacing w:val="-4"/>
          <w:sz w:val="24"/>
        </w:rPr>
        <w:t> </w:t>
      </w:r>
      <w:r>
        <w:rPr>
          <w:sz w:val="24"/>
        </w:rPr>
        <w:t>Voter</w:t>
      </w:r>
      <w:r>
        <w:rPr>
          <w:spacing w:val="-3"/>
          <w:sz w:val="24"/>
        </w:rPr>
        <w:t> </w:t>
      </w:r>
      <w:r>
        <w:rPr>
          <w:sz w:val="24"/>
        </w:rPr>
        <w:t>Registration</w:t>
      </w:r>
      <w:r>
        <w:rPr>
          <w:spacing w:val="-4"/>
          <w:sz w:val="24"/>
        </w:rPr>
        <w:t> </w:t>
      </w:r>
      <w:r>
        <w:rPr>
          <w:sz w:val="24"/>
        </w:rPr>
        <w:t>Act</w:t>
      </w:r>
      <w:r>
        <w:rPr>
          <w:spacing w:val="-3"/>
          <w:sz w:val="24"/>
        </w:rPr>
        <w:t> </w:t>
      </w:r>
      <w:r>
        <w:rPr>
          <w:sz w:val="24"/>
        </w:rPr>
        <w:t>of</w:t>
      </w:r>
      <w:r>
        <w:rPr>
          <w:spacing w:val="-3"/>
          <w:sz w:val="24"/>
        </w:rPr>
        <w:t> </w:t>
      </w:r>
      <w:r>
        <w:rPr>
          <w:sz w:val="24"/>
        </w:rPr>
        <w:t>1993.</w:t>
      </w:r>
      <w:r>
        <w:rPr>
          <w:spacing w:val="-3"/>
          <w:sz w:val="24"/>
        </w:rPr>
        <w:t> </w:t>
      </w:r>
      <w:r>
        <w:rPr>
          <w:b/>
          <w:sz w:val="24"/>
        </w:rPr>
        <w:t>5, </w:t>
      </w:r>
      <w:r>
        <w:rPr>
          <w:b/>
          <w:spacing w:val="-6"/>
          <w:sz w:val="24"/>
        </w:rPr>
        <w:t>10</w:t>
      </w:r>
    </w:p>
    <w:p>
      <w:pPr>
        <w:pStyle w:val="ListParagraph"/>
        <w:spacing w:after="0" w:line="208" w:lineRule="auto"/>
        <w:jc w:val="left"/>
        <w:rPr>
          <w:b/>
          <w:sz w:val="24"/>
        </w:rPr>
        <w:sectPr>
          <w:pgSz w:w="12240" w:h="15840"/>
          <w:pgMar w:top="1340" w:bottom="280" w:left="1080" w:right="720"/>
        </w:sectPr>
      </w:pPr>
    </w:p>
    <w:p>
      <w:pPr>
        <w:pStyle w:val="BodyText"/>
        <w:spacing w:before="67"/>
      </w:pPr>
      <w:r>
        <w:rPr/>
        <w:t>INSTRUCTIONS</w:t>
      </w:r>
      <w:r>
        <w:rPr>
          <w:spacing w:val="-3"/>
        </w:rPr>
        <w:t> </w:t>
      </w:r>
      <w:r>
        <w:rPr/>
        <w:t>TO</w:t>
      </w:r>
      <w:r>
        <w:rPr>
          <w:spacing w:val="-2"/>
        </w:rPr>
        <w:t> </w:t>
      </w:r>
      <w:r>
        <w:rPr>
          <w:spacing w:val="-4"/>
        </w:rPr>
        <w:t>STAFF</w:t>
      </w:r>
    </w:p>
    <w:p>
      <w:pPr>
        <w:pStyle w:val="ListParagraph"/>
        <w:numPr>
          <w:ilvl w:val="0"/>
          <w:numId w:val="114"/>
        </w:numPr>
        <w:tabs>
          <w:tab w:pos="809" w:val="left" w:leader="none"/>
        </w:tabs>
        <w:spacing w:line="240" w:lineRule="auto" w:before="204" w:after="0"/>
        <w:ind w:left="809" w:right="0" w:hanging="449"/>
        <w:jc w:val="left"/>
        <w:rPr>
          <w:sz w:val="24"/>
        </w:rPr>
      </w:pPr>
      <w:r>
        <w:rPr>
          <w:sz w:val="24"/>
        </w:rPr>
        <w:t>See</w:t>
      </w:r>
      <w:r>
        <w:rPr>
          <w:spacing w:val="-4"/>
          <w:sz w:val="24"/>
        </w:rPr>
        <w:t> </w:t>
      </w:r>
      <w:hyperlink w:history="true" w:anchor="_bookmark3">
        <w:r>
          <w:rPr>
            <w:color w:val="0000FF"/>
            <w:sz w:val="24"/>
            <w:u w:val="single" w:color="0000FF"/>
          </w:rPr>
          <w:t>612:10-1-5</w:t>
        </w:r>
      </w:hyperlink>
      <w:r>
        <w:rPr>
          <w:color w:val="0000FF"/>
          <w:spacing w:val="-3"/>
          <w:sz w:val="24"/>
          <w:u w:val="none"/>
        </w:rPr>
        <w:t> </w:t>
      </w:r>
      <w:r>
        <w:rPr>
          <w:spacing w:val="-2"/>
          <w:sz w:val="24"/>
          <w:u w:val="none"/>
        </w:rPr>
        <w:t>Confidentiality</w:t>
      </w:r>
    </w:p>
    <w:p>
      <w:pPr>
        <w:pStyle w:val="ListParagraph"/>
        <w:numPr>
          <w:ilvl w:val="0"/>
          <w:numId w:val="114"/>
        </w:numPr>
        <w:tabs>
          <w:tab w:pos="809" w:val="left" w:leader="none"/>
        </w:tabs>
        <w:spacing w:line="240" w:lineRule="auto" w:before="204" w:after="0"/>
        <w:ind w:left="809" w:right="0" w:hanging="449"/>
        <w:jc w:val="left"/>
        <w:rPr>
          <w:sz w:val="24"/>
        </w:rPr>
      </w:pPr>
      <w:r>
        <w:rPr>
          <w:sz w:val="24"/>
        </w:rPr>
        <w:t>See</w:t>
      </w:r>
      <w:r>
        <w:rPr>
          <w:spacing w:val="-3"/>
          <w:sz w:val="24"/>
        </w:rPr>
        <w:t> </w:t>
      </w:r>
      <w:hyperlink w:history="true" w:anchor="_bookmark4">
        <w:r>
          <w:rPr>
            <w:color w:val="0000FF"/>
            <w:sz w:val="24"/>
            <w:u w:val="single" w:color="0000FF"/>
          </w:rPr>
          <w:t>612:10-1-6</w:t>
        </w:r>
        <w:r>
          <w:rPr>
            <w:color w:val="0000FF"/>
            <w:spacing w:val="-2"/>
            <w:sz w:val="24"/>
            <w:u w:val="single" w:color="0000FF"/>
          </w:rPr>
          <w:t> </w:t>
        </w:r>
        <w:r>
          <w:rPr>
            <w:color w:val="0000FF"/>
            <w:sz w:val="24"/>
            <w:u w:val="single" w:color="0000FF"/>
          </w:rPr>
          <w:t>(b)</w:t>
        </w:r>
        <w:r>
          <w:rPr>
            <w:color w:val="0000FF"/>
            <w:spacing w:val="-3"/>
            <w:sz w:val="24"/>
            <w:u w:val="single" w:color="0000FF"/>
          </w:rPr>
          <w:t> </w:t>
        </w:r>
        <w:r>
          <w:rPr>
            <w:color w:val="0000FF"/>
            <w:sz w:val="24"/>
            <w:u w:val="single" w:color="0000FF"/>
          </w:rPr>
          <w:t>(1)</w:t>
        </w:r>
      </w:hyperlink>
      <w:r>
        <w:rPr>
          <w:color w:val="0000FF"/>
          <w:spacing w:val="-4"/>
          <w:sz w:val="24"/>
          <w:u w:val="none"/>
        </w:rPr>
        <w:t> </w:t>
      </w:r>
      <w:r>
        <w:rPr>
          <w:sz w:val="24"/>
          <w:u w:val="none"/>
        </w:rPr>
        <w:t>Due</w:t>
      </w:r>
      <w:r>
        <w:rPr>
          <w:spacing w:val="-2"/>
          <w:sz w:val="24"/>
          <w:u w:val="none"/>
        </w:rPr>
        <w:t> process</w:t>
      </w:r>
    </w:p>
    <w:p>
      <w:pPr>
        <w:pStyle w:val="ListParagraph"/>
        <w:numPr>
          <w:ilvl w:val="0"/>
          <w:numId w:val="114"/>
        </w:numPr>
        <w:tabs>
          <w:tab w:pos="809" w:val="left" w:leader="none"/>
        </w:tabs>
        <w:spacing w:line="240" w:lineRule="auto" w:before="204" w:after="0"/>
        <w:ind w:left="809" w:right="0" w:hanging="449"/>
        <w:jc w:val="left"/>
        <w:rPr>
          <w:sz w:val="24"/>
        </w:rPr>
      </w:pPr>
      <w:r>
        <w:rPr>
          <w:sz w:val="24"/>
        </w:rPr>
        <w:t>See</w:t>
      </w:r>
      <w:r>
        <w:rPr>
          <w:spacing w:val="-4"/>
          <w:sz w:val="24"/>
        </w:rPr>
        <w:t> </w:t>
      </w:r>
      <w:hyperlink w:history="true" w:anchor="_bookmark9">
        <w:r>
          <w:rPr>
            <w:color w:val="0000FF"/>
            <w:sz w:val="24"/>
            <w:u w:val="single" w:color="0000FF"/>
          </w:rPr>
          <w:t>612:10-7-20</w:t>
        </w:r>
      </w:hyperlink>
      <w:r>
        <w:rPr>
          <w:color w:val="0000FF"/>
          <w:spacing w:val="-3"/>
          <w:sz w:val="24"/>
          <w:u w:val="none"/>
        </w:rPr>
        <w:t> </w:t>
      </w:r>
      <w:r>
        <w:rPr>
          <w:sz w:val="24"/>
          <w:u w:val="none"/>
        </w:rPr>
        <w:t>Case</w:t>
      </w:r>
      <w:r>
        <w:rPr>
          <w:spacing w:val="-3"/>
          <w:sz w:val="24"/>
          <w:u w:val="none"/>
        </w:rPr>
        <w:t> </w:t>
      </w:r>
      <w:r>
        <w:rPr>
          <w:spacing w:val="-2"/>
          <w:sz w:val="24"/>
          <w:u w:val="none"/>
        </w:rPr>
        <w:t>recordings</w:t>
      </w:r>
    </w:p>
    <w:p>
      <w:pPr>
        <w:pStyle w:val="ListParagraph"/>
        <w:numPr>
          <w:ilvl w:val="0"/>
          <w:numId w:val="114"/>
        </w:numPr>
        <w:tabs>
          <w:tab w:pos="809" w:val="left" w:leader="none"/>
        </w:tabs>
        <w:spacing w:line="240" w:lineRule="auto" w:before="204" w:after="0"/>
        <w:ind w:left="809" w:right="0" w:hanging="449"/>
        <w:jc w:val="left"/>
        <w:rPr>
          <w:sz w:val="24"/>
        </w:rPr>
      </w:pPr>
      <w:r>
        <w:rPr>
          <w:sz w:val="24"/>
        </w:rPr>
        <w:t>See</w:t>
      </w:r>
      <w:r>
        <w:rPr>
          <w:spacing w:val="-6"/>
          <w:sz w:val="24"/>
        </w:rPr>
        <w:t> </w:t>
      </w:r>
      <w:hyperlink w:history="true" w:anchor="_bookmark14">
        <w:r>
          <w:rPr>
            <w:color w:val="0000FF"/>
            <w:sz w:val="24"/>
            <w:u w:val="single" w:color="0000FF"/>
          </w:rPr>
          <w:t>612:10-7-45</w:t>
        </w:r>
      </w:hyperlink>
      <w:r>
        <w:rPr>
          <w:color w:val="0000FF"/>
          <w:spacing w:val="-4"/>
          <w:sz w:val="24"/>
          <w:u w:val="none"/>
        </w:rPr>
        <w:t> </w:t>
      </w:r>
      <w:r>
        <w:rPr>
          <w:sz w:val="24"/>
          <w:u w:val="none"/>
        </w:rPr>
        <w:t>Electronic</w:t>
      </w:r>
      <w:r>
        <w:rPr>
          <w:spacing w:val="-4"/>
          <w:sz w:val="24"/>
          <w:u w:val="none"/>
        </w:rPr>
        <w:t> </w:t>
      </w:r>
      <w:r>
        <w:rPr>
          <w:sz w:val="24"/>
          <w:u w:val="none"/>
        </w:rPr>
        <w:t>Case</w:t>
      </w:r>
      <w:r>
        <w:rPr>
          <w:spacing w:val="-4"/>
          <w:sz w:val="24"/>
          <w:u w:val="none"/>
        </w:rPr>
        <w:t> </w:t>
      </w:r>
      <w:r>
        <w:rPr>
          <w:sz w:val="24"/>
          <w:u w:val="none"/>
        </w:rPr>
        <w:t>Management</w:t>
      </w:r>
      <w:r>
        <w:rPr>
          <w:spacing w:val="-4"/>
          <w:sz w:val="24"/>
          <w:u w:val="none"/>
        </w:rPr>
        <w:t> </w:t>
      </w:r>
      <w:r>
        <w:rPr>
          <w:sz w:val="24"/>
          <w:u w:val="none"/>
        </w:rPr>
        <w:t>System</w:t>
      </w:r>
      <w:r>
        <w:rPr>
          <w:spacing w:val="-4"/>
          <w:sz w:val="24"/>
          <w:u w:val="none"/>
        </w:rPr>
        <w:t> </w:t>
      </w:r>
      <w:r>
        <w:rPr>
          <w:spacing w:val="-2"/>
          <w:sz w:val="24"/>
          <w:u w:val="none"/>
        </w:rPr>
        <w:t>Progression.</w:t>
      </w:r>
    </w:p>
    <w:p>
      <w:pPr>
        <w:pStyle w:val="ListParagraph"/>
        <w:numPr>
          <w:ilvl w:val="0"/>
          <w:numId w:val="114"/>
        </w:numPr>
        <w:tabs>
          <w:tab w:pos="791" w:val="left" w:leader="none"/>
        </w:tabs>
        <w:spacing w:line="208" w:lineRule="auto" w:before="233" w:after="0"/>
        <w:ind w:left="791" w:right="815" w:hanging="432"/>
        <w:jc w:val="left"/>
        <w:rPr>
          <w:sz w:val="24"/>
        </w:rPr>
      </w:pPr>
      <w:r>
        <w:rPr>
          <w:sz w:val="24"/>
        </w:rPr>
        <w:t>Procedures</w:t>
      </w:r>
      <w:r>
        <w:rPr>
          <w:spacing w:val="-3"/>
          <w:sz w:val="24"/>
        </w:rPr>
        <w:t> </w:t>
      </w:r>
      <w:r>
        <w:rPr>
          <w:sz w:val="24"/>
        </w:rPr>
        <w:t>for</w:t>
      </w:r>
      <w:r>
        <w:rPr>
          <w:spacing w:val="-3"/>
          <w:sz w:val="24"/>
        </w:rPr>
        <w:t> </w:t>
      </w:r>
      <w:r>
        <w:rPr>
          <w:sz w:val="24"/>
        </w:rPr>
        <w:t>providing</w:t>
      </w:r>
      <w:r>
        <w:rPr>
          <w:spacing w:val="-4"/>
          <w:sz w:val="24"/>
        </w:rPr>
        <w:t> </w:t>
      </w:r>
      <w:r>
        <w:rPr>
          <w:sz w:val="24"/>
        </w:rPr>
        <w:t>DRS</w:t>
      </w:r>
      <w:r>
        <w:rPr>
          <w:spacing w:val="-4"/>
          <w:sz w:val="24"/>
        </w:rPr>
        <w:t> </w:t>
      </w:r>
      <w:r>
        <w:rPr>
          <w:sz w:val="24"/>
        </w:rPr>
        <w:t>applicants</w:t>
      </w:r>
      <w:r>
        <w:rPr>
          <w:spacing w:val="-4"/>
          <w:sz w:val="24"/>
        </w:rPr>
        <w:t> </w:t>
      </w:r>
      <w:r>
        <w:rPr>
          <w:sz w:val="24"/>
        </w:rPr>
        <w:t>and</w:t>
      </w:r>
      <w:r>
        <w:rPr>
          <w:spacing w:val="-4"/>
          <w:sz w:val="24"/>
        </w:rPr>
        <w:t> </w:t>
      </w:r>
      <w:r>
        <w:rPr>
          <w:sz w:val="24"/>
        </w:rPr>
        <w:t>clients</w:t>
      </w:r>
      <w:r>
        <w:rPr>
          <w:spacing w:val="-4"/>
          <w:sz w:val="24"/>
        </w:rPr>
        <w:t> </w:t>
      </w:r>
      <w:r>
        <w:rPr>
          <w:sz w:val="24"/>
        </w:rPr>
        <w:t>with</w:t>
      </w:r>
      <w:r>
        <w:rPr>
          <w:spacing w:val="-4"/>
          <w:sz w:val="24"/>
        </w:rPr>
        <w:t> </w:t>
      </w:r>
      <w:r>
        <w:rPr>
          <w:sz w:val="24"/>
        </w:rPr>
        <w:t>the</w:t>
      </w:r>
      <w:r>
        <w:rPr>
          <w:spacing w:val="-4"/>
          <w:sz w:val="24"/>
        </w:rPr>
        <w:t> </w:t>
      </w:r>
      <w:r>
        <w:rPr>
          <w:sz w:val="24"/>
        </w:rPr>
        <w:t>opportunity</w:t>
      </w:r>
      <w:r>
        <w:rPr>
          <w:spacing w:val="-4"/>
          <w:sz w:val="24"/>
        </w:rPr>
        <w:t> </w:t>
      </w:r>
      <w:r>
        <w:rPr>
          <w:sz w:val="24"/>
        </w:rPr>
        <w:t>to</w:t>
      </w:r>
      <w:r>
        <w:rPr>
          <w:spacing w:val="-5"/>
          <w:sz w:val="24"/>
        </w:rPr>
        <w:t> </w:t>
      </w:r>
      <w:r>
        <w:rPr>
          <w:sz w:val="24"/>
        </w:rPr>
        <w:t>register to vote or change registration. </w:t>
      </w:r>
      <w:hyperlink r:id="rId40">
        <w:r>
          <w:rPr>
            <w:color w:val="0000FF"/>
            <w:sz w:val="24"/>
            <w:u w:val="single" w:color="0000FF"/>
          </w:rPr>
          <w:t>Link to voter registration form</w:t>
        </w:r>
      </w:hyperlink>
      <w:r>
        <w:rPr>
          <w:color w:val="0000FF"/>
          <w:sz w:val="24"/>
          <w:u w:val="none"/>
        </w:rPr>
        <w:t> </w:t>
      </w:r>
      <w:r>
        <w:rPr>
          <w:sz w:val="24"/>
          <w:u w:val="none"/>
        </w:rPr>
        <w:t>and instructions.</w:t>
      </w:r>
    </w:p>
    <w:p>
      <w:pPr>
        <w:pStyle w:val="ListParagraph"/>
        <w:numPr>
          <w:ilvl w:val="0"/>
          <w:numId w:val="114"/>
        </w:numPr>
        <w:tabs>
          <w:tab w:pos="791" w:val="left" w:leader="none"/>
        </w:tabs>
        <w:spacing w:line="208" w:lineRule="auto" w:before="240" w:after="0"/>
        <w:ind w:left="791" w:right="1083" w:hanging="432"/>
        <w:jc w:val="left"/>
        <w:rPr>
          <w:sz w:val="24"/>
        </w:rPr>
      </w:pPr>
      <w:r>
        <w:rPr>
          <w:sz w:val="24"/>
        </w:rPr>
        <w:t>Referrals to the Division of Services for the Blind and Visually Impaired: Unless other</w:t>
      </w:r>
      <w:r>
        <w:rPr>
          <w:spacing w:val="-4"/>
          <w:sz w:val="24"/>
        </w:rPr>
        <w:t> </w:t>
      </w:r>
      <w:r>
        <w:rPr>
          <w:sz w:val="24"/>
        </w:rPr>
        <w:t>case</w:t>
      </w:r>
      <w:r>
        <w:rPr>
          <w:spacing w:val="-6"/>
          <w:sz w:val="24"/>
        </w:rPr>
        <w:t> </w:t>
      </w:r>
      <w:r>
        <w:rPr>
          <w:sz w:val="24"/>
        </w:rPr>
        <w:t>assignment</w:t>
      </w:r>
      <w:r>
        <w:rPr>
          <w:spacing w:val="-3"/>
          <w:sz w:val="24"/>
        </w:rPr>
        <w:t> </w:t>
      </w:r>
      <w:r>
        <w:rPr>
          <w:sz w:val="24"/>
        </w:rPr>
        <w:t>is</w:t>
      </w:r>
      <w:r>
        <w:rPr>
          <w:spacing w:val="-5"/>
          <w:sz w:val="24"/>
        </w:rPr>
        <w:t> </w:t>
      </w:r>
      <w:r>
        <w:rPr>
          <w:sz w:val="24"/>
        </w:rPr>
        <w:t>determined</w:t>
      </w:r>
      <w:r>
        <w:rPr>
          <w:spacing w:val="-5"/>
          <w:sz w:val="24"/>
        </w:rPr>
        <w:t> </w:t>
      </w:r>
      <w:r>
        <w:rPr>
          <w:sz w:val="24"/>
        </w:rPr>
        <w:t>preferable</w:t>
      </w:r>
      <w:r>
        <w:rPr>
          <w:spacing w:val="-5"/>
          <w:sz w:val="24"/>
        </w:rPr>
        <w:t> </w:t>
      </w:r>
      <w:r>
        <w:rPr>
          <w:sz w:val="24"/>
        </w:rPr>
        <w:t>for</w:t>
      </w:r>
      <w:r>
        <w:rPr>
          <w:spacing w:val="-4"/>
          <w:sz w:val="24"/>
        </w:rPr>
        <w:t> </w:t>
      </w:r>
      <w:r>
        <w:rPr>
          <w:sz w:val="24"/>
        </w:rPr>
        <w:t>a</w:t>
      </w:r>
      <w:r>
        <w:rPr>
          <w:spacing w:val="-5"/>
          <w:sz w:val="24"/>
        </w:rPr>
        <w:t> </w:t>
      </w:r>
      <w:r>
        <w:rPr>
          <w:sz w:val="24"/>
        </w:rPr>
        <w:t>specific</w:t>
      </w:r>
      <w:r>
        <w:rPr>
          <w:spacing w:val="-5"/>
          <w:sz w:val="24"/>
        </w:rPr>
        <w:t> </w:t>
      </w:r>
      <w:r>
        <w:rPr>
          <w:sz w:val="24"/>
        </w:rPr>
        <w:t>referral,</w:t>
      </w:r>
      <w:r>
        <w:rPr>
          <w:spacing w:val="-4"/>
          <w:sz w:val="24"/>
        </w:rPr>
        <w:t> </w:t>
      </w:r>
      <w:r>
        <w:rPr>
          <w:sz w:val="24"/>
        </w:rPr>
        <w:t>individuals referred to DSBVI shall include:</w:t>
      </w:r>
    </w:p>
    <w:p>
      <w:pPr>
        <w:pStyle w:val="ListParagraph"/>
        <w:numPr>
          <w:ilvl w:val="1"/>
          <w:numId w:val="114"/>
        </w:numPr>
        <w:tabs>
          <w:tab w:pos="1649" w:val="left" w:leader="none"/>
        </w:tabs>
        <w:spacing w:line="208" w:lineRule="auto" w:before="239" w:after="0"/>
        <w:ind w:left="1223" w:right="1315" w:firstLine="0"/>
        <w:jc w:val="left"/>
        <w:rPr>
          <w:sz w:val="24"/>
        </w:rPr>
      </w:pPr>
      <w:r>
        <w:rPr>
          <w:sz w:val="24"/>
        </w:rPr>
        <w:t>individuals</w:t>
      </w:r>
      <w:r>
        <w:rPr>
          <w:spacing w:val="-4"/>
          <w:sz w:val="24"/>
        </w:rPr>
        <w:t> </w:t>
      </w:r>
      <w:r>
        <w:rPr>
          <w:sz w:val="24"/>
        </w:rPr>
        <w:t>whose</w:t>
      </w:r>
      <w:r>
        <w:rPr>
          <w:spacing w:val="-3"/>
          <w:sz w:val="24"/>
        </w:rPr>
        <w:t> </w:t>
      </w:r>
      <w:r>
        <w:rPr>
          <w:sz w:val="24"/>
        </w:rPr>
        <w:t>visual</w:t>
      </w:r>
      <w:r>
        <w:rPr>
          <w:spacing w:val="-4"/>
          <w:sz w:val="24"/>
        </w:rPr>
        <w:t> </w:t>
      </w:r>
      <w:r>
        <w:rPr>
          <w:sz w:val="24"/>
        </w:rPr>
        <w:t>loss</w:t>
      </w:r>
      <w:r>
        <w:rPr>
          <w:spacing w:val="-3"/>
          <w:sz w:val="24"/>
        </w:rPr>
        <w:t> </w:t>
      </w:r>
      <w:r>
        <w:rPr>
          <w:sz w:val="24"/>
        </w:rPr>
        <w:t>meets</w:t>
      </w:r>
      <w:r>
        <w:rPr>
          <w:spacing w:val="-5"/>
          <w:sz w:val="24"/>
        </w:rPr>
        <w:t> </w:t>
      </w:r>
      <w:r>
        <w:rPr>
          <w:sz w:val="24"/>
        </w:rPr>
        <w:t>the</w:t>
      </w:r>
      <w:r>
        <w:rPr>
          <w:spacing w:val="-5"/>
          <w:sz w:val="24"/>
        </w:rPr>
        <w:t> </w:t>
      </w:r>
      <w:r>
        <w:rPr>
          <w:sz w:val="24"/>
        </w:rPr>
        <w:t>definition</w:t>
      </w:r>
      <w:r>
        <w:rPr>
          <w:spacing w:val="-4"/>
          <w:sz w:val="24"/>
        </w:rPr>
        <w:t> </w:t>
      </w:r>
      <w:r>
        <w:rPr>
          <w:sz w:val="24"/>
        </w:rPr>
        <w:t>of</w:t>
      </w:r>
      <w:r>
        <w:rPr>
          <w:spacing w:val="-3"/>
          <w:sz w:val="24"/>
        </w:rPr>
        <w:t> </w:t>
      </w:r>
      <w:r>
        <w:rPr>
          <w:sz w:val="24"/>
        </w:rPr>
        <w:t>blindness</w:t>
      </w:r>
      <w:r>
        <w:rPr>
          <w:spacing w:val="-4"/>
          <w:sz w:val="24"/>
        </w:rPr>
        <w:t> </w:t>
      </w:r>
      <w:r>
        <w:rPr>
          <w:sz w:val="24"/>
        </w:rPr>
        <w:t>found</w:t>
      </w:r>
      <w:r>
        <w:rPr>
          <w:spacing w:val="-4"/>
          <w:sz w:val="24"/>
        </w:rPr>
        <w:t> </w:t>
      </w:r>
      <w:r>
        <w:rPr>
          <w:sz w:val="24"/>
        </w:rPr>
        <w:t>in </w:t>
      </w:r>
      <w:r>
        <w:rPr>
          <w:spacing w:val="-2"/>
          <w:sz w:val="24"/>
        </w:rPr>
        <w:t>612:10-1-2;</w:t>
      </w:r>
    </w:p>
    <w:p>
      <w:pPr>
        <w:pStyle w:val="ListParagraph"/>
        <w:numPr>
          <w:ilvl w:val="1"/>
          <w:numId w:val="114"/>
        </w:numPr>
        <w:tabs>
          <w:tab w:pos="1650" w:val="left" w:leader="none"/>
        </w:tabs>
        <w:spacing w:line="208" w:lineRule="auto" w:before="240" w:after="0"/>
        <w:ind w:left="1224" w:right="1115" w:firstLine="0"/>
        <w:jc w:val="left"/>
        <w:rPr>
          <w:sz w:val="24"/>
        </w:rPr>
      </w:pPr>
      <w:r>
        <w:rPr>
          <w:sz w:val="24"/>
        </w:rPr>
        <w:t>any</w:t>
      </w:r>
      <w:r>
        <w:rPr>
          <w:spacing w:val="-3"/>
          <w:sz w:val="24"/>
        </w:rPr>
        <w:t> </w:t>
      </w:r>
      <w:r>
        <w:rPr>
          <w:sz w:val="24"/>
        </w:rPr>
        <w:t>person</w:t>
      </w:r>
      <w:r>
        <w:rPr>
          <w:spacing w:val="-3"/>
          <w:sz w:val="24"/>
        </w:rPr>
        <w:t> </w:t>
      </w:r>
      <w:r>
        <w:rPr>
          <w:sz w:val="24"/>
        </w:rPr>
        <w:t>having</w:t>
      </w:r>
      <w:r>
        <w:rPr>
          <w:spacing w:val="-2"/>
          <w:sz w:val="24"/>
        </w:rPr>
        <w:t> </w:t>
      </w:r>
      <w:r>
        <w:rPr>
          <w:sz w:val="24"/>
        </w:rPr>
        <w:t>sight</w:t>
      </w:r>
      <w:r>
        <w:rPr>
          <w:spacing w:val="-2"/>
          <w:sz w:val="24"/>
        </w:rPr>
        <w:t> </w:t>
      </w:r>
      <w:r>
        <w:rPr>
          <w:sz w:val="24"/>
        </w:rPr>
        <w:t>which</w:t>
      </w:r>
      <w:r>
        <w:rPr>
          <w:spacing w:val="-2"/>
          <w:sz w:val="24"/>
        </w:rPr>
        <w:t> </w:t>
      </w:r>
      <w:r>
        <w:rPr>
          <w:sz w:val="24"/>
        </w:rPr>
        <w:t>is</w:t>
      </w:r>
      <w:r>
        <w:rPr>
          <w:spacing w:val="-3"/>
          <w:sz w:val="24"/>
        </w:rPr>
        <w:t> </w:t>
      </w:r>
      <w:r>
        <w:rPr>
          <w:sz w:val="24"/>
        </w:rPr>
        <w:t>so</w:t>
      </w:r>
      <w:r>
        <w:rPr>
          <w:spacing w:val="-3"/>
          <w:sz w:val="24"/>
        </w:rPr>
        <w:t> </w:t>
      </w:r>
      <w:r>
        <w:rPr>
          <w:sz w:val="24"/>
        </w:rPr>
        <w:t>ineffective</w:t>
      </w:r>
      <w:r>
        <w:rPr>
          <w:spacing w:val="-3"/>
          <w:sz w:val="24"/>
        </w:rPr>
        <w:t> </w:t>
      </w:r>
      <w:r>
        <w:rPr>
          <w:sz w:val="24"/>
        </w:rPr>
        <w:t>as</w:t>
      </w:r>
      <w:r>
        <w:rPr>
          <w:spacing w:val="-3"/>
          <w:sz w:val="24"/>
        </w:rPr>
        <w:t> </w:t>
      </w:r>
      <w:r>
        <w:rPr>
          <w:sz w:val="24"/>
        </w:rPr>
        <w:t>to</w:t>
      </w:r>
      <w:r>
        <w:rPr>
          <w:spacing w:val="-4"/>
          <w:sz w:val="24"/>
        </w:rPr>
        <w:t> </w:t>
      </w:r>
      <w:r>
        <w:rPr>
          <w:sz w:val="24"/>
        </w:rPr>
        <w:t>seriously</w:t>
      </w:r>
      <w:r>
        <w:rPr>
          <w:spacing w:val="-3"/>
          <w:sz w:val="24"/>
        </w:rPr>
        <w:t> </w:t>
      </w:r>
      <w:r>
        <w:rPr>
          <w:sz w:val="24"/>
        </w:rPr>
        <w:t>limit</w:t>
      </w:r>
      <w:r>
        <w:rPr>
          <w:spacing w:val="-2"/>
          <w:sz w:val="24"/>
        </w:rPr>
        <w:t> </w:t>
      </w:r>
      <w:r>
        <w:rPr>
          <w:sz w:val="24"/>
        </w:rPr>
        <w:t>his</w:t>
      </w:r>
      <w:r>
        <w:rPr>
          <w:spacing w:val="-3"/>
          <w:sz w:val="24"/>
        </w:rPr>
        <w:t> </w:t>
      </w:r>
      <w:r>
        <w:rPr>
          <w:sz w:val="24"/>
        </w:rPr>
        <w:t>or her ability to engage in the ordinary vocations and activities of life;</w:t>
      </w:r>
    </w:p>
    <w:p>
      <w:pPr>
        <w:pStyle w:val="ListParagraph"/>
        <w:numPr>
          <w:ilvl w:val="1"/>
          <w:numId w:val="114"/>
        </w:numPr>
        <w:tabs>
          <w:tab w:pos="1637" w:val="left" w:leader="none"/>
        </w:tabs>
        <w:spacing w:line="240" w:lineRule="auto" w:before="211" w:after="0"/>
        <w:ind w:left="1637" w:right="0" w:hanging="413"/>
        <w:jc w:val="left"/>
        <w:rPr>
          <w:sz w:val="24"/>
        </w:rPr>
      </w:pPr>
      <w:r>
        <w:rPr>
          <w:sz w:val="24"/>
        </w:rPr>
        <w:t>any</w:t>
      </w:r>
      <w:r>
        <w:rPr>
          <w:spacing w:val="-5"/>
          <w:sz w:val="24"/>
        </w:rPr>
        <w:t> </w:t>
      </w:r>
      <w:r>
        <w:rPr>
          <w:sz w:val="24"/>
        </w:rPr>
        <w:t>person</w:t>
      </w:r>
      <w:r>
        <w:rPr>
          <w:spacing w:val="-3"/>
          <w:sz w:val="24"/>
        </w:rPr>
        <w:t> </w:t>
      </w:r>
      <w:r>
        <w:rPr>
          <w:sz w:val="24"/>
        </w:rPr>
        <w:t>who</w:t>
      </w:r>
      <w:r>
        <w:rPr>
          <w:spacing w:val="-3"/>
          <w:sz w:val="24"/>
        </w:rPr>
        <w:t> </w:t>
      </w:r>
      <w:r>
        <w:rPr>
          <w:sz w:val="24"/>
        </w:rPr>
        <w:t>has</w:t>
      </w:r>
      <w:r>
        <w:rPr>
          <w:spacing w:val="-3"/>
          <w:sz w:val="24"/>
        </w:rPr>
        <w:t> </w:t>
      </w:r>
      <w:r>
        <w:rPr>
          <w:sz w:val="24"/>
        </w:rPr>
        <w:t>a</w:t>
      </w:r>
      <w:r>
        <w:rPr>
          <w:spacing w:val="-3"/>
          <w:sz w:val="24"/>
        </w:rPr>
        <w:t> </w:t>
      </w:r>
      <w:r>
        <w:rPr>
          <w:sz w:val="24"/>
        </w:rPr>
        <w:t>diagnosis</w:t>
      </w:r>
      <w:r>
        <w:rPr>
          <w:spacing w:val="-2"/>
          <w:sz w:val="24"/>
        </w:rPr>
        <w:t> </w:t>
      </w:r>
      <w:r>
        <w:rPr>
          <w:sz w:val="24"/>
        </w:rPr>
        <w:t>of</w:t>
      </w:r>
      <w:r>
        <w:rPr>
          <w:spacing w:val="-2"/>
          <w:sz w:val="24"/>
        </w:rPr>
        <w:t> </w:t>
      </w:r>
      <w:r>
        <w:rPr>
          <w:sz w:val="24"/>
        </w:rPr>
        <w:t>a</w:t>
      </w:r>
      <w:r>
        <w:rPr>
          <w:spacing w:val="-3"/>
          <w:sz w:val="24"/>
        </w:rPr>
        <w:t> </w:t>
      </w:r>
      <w:r>
        <w:rPr>
          <w:sz w:val="24"/>
        </w:rPr>
        <w:t>progressive</w:t>
      </w:r>
      <w:r>
        <w:rPr>
          <w:spacing w:val="-3"/>
          <w:sz w:val="24"/>
        </w:rPr>
        <w:t> </w:t>
      </w:r>
      <w:r>
        <w:rPr>
          <w:sz w:val="24"/>
        </w:rPr>
        <w:t>sight</w:t>
      </w:r>
      <w:r>
        <w:rPr>
          <w:spacing w:val="-2"/>
          <w:sz w:val="24"/>
        </w:rPr>
        <w:t> </w:t>
      </w:r>
      <w:r>
        <w:rPr>
          <w:sz w:val="24"/>
        </w:rPr>
        <w:t>threatening</w:t>
      </w:r>
      <w:r>
        <w:rPr>
          <w:spacing w:val="-2"/>
          <w:sz w:val="24"/>
        </w:rPr>
        <w:t> disease;</w:t>
      </w:r>
    </w:p>
    <w:p>
      <w:pPr>
        <w:pStyle w:val="ListParagraph"/>
        <w:numPr>
          <w:ilvl w:val="1"/>
          <w:numId w:val="114"/>
        </w:numPr>
        <w:tabs>
          <w:tab w:pos="1650" w:val="left" w:leader="none"/>
        </w:tabs>
        <w:spacing w:line="208" w:lineRule="auto" w:before="233" w:after="0"/>
        <w:ind w:left="1224" w:right="1289" w:firstLine="0"/>
        <w:jc w:val="left"/>
        <w:rPr>
          <w:sz w:val="24"/>
        </w:rPr>
      </w:pPr>
      <w:r>
        <w:rPr>
          <w:sz w:val="24"/>
        </w:rPr>
        <w:t>any</w:t>
      </w:r>
      <w:r>
        <w:rPr>
          <w:spacing w:val="-4"/>
          <w:sz w:val="24"/>
        </w:rPr>
        <w:t> </w:t>
      </w:r>
      <w:r>
        <w:rPr>
          <w:sz w:val="24"/>
        </w:rPr>
        <w:t>person</w:t>
      </w:r>
      <w:r>
        <w:rPr>
          <w:spacing w:val="-4"/>
          <w:sz w:val="24"/>
        </w:rPr>
        <w:t> </w:t>
      </w:r>
      <w:r>
        <w:rPr>
          <w:sz w:val="24"/>
        </w:rPr>
        <w:t>who</w:t>
      </w:r>
      <w:r>
        <w:rPr>
          <w:spacing w:val="-4"/>
          <w:sz w:val="24"/>
        </w:rPr>
        <w:t> </w:t>
      </w:r>
      <w:r>
        <w:rPr>
          <w:sz w:val="24"/>
        </w:rPr>
        <w:t>has</w:t>
      </w:r>
      <w:r>
        <w:rPr>
          <w:spacing w:val="-4"/>
          <w:sz w:val="24"/>
        </w:rPr>
        <w:t> </w:t>
      </w:r>
      <w:r>
        <w:rPr>
          <w:sz w:val="24"/>
        </w:rPr>
        <w:t>a</w:t>
      </w:r>
      <w:r>
        <w:rPr>
          <w:spacing w:val="-4"/>
          <w:sz w:val="24"/>
        </w:rPr>
        <w:t> </w:t>
      </w:r>
      <w:r>
        <w:rPr>
          <w:sz w:val="24"/>
        </w:rPr>
        <w:t>significant</w:t>
      </w:r>
      <w:r>
        <w:rPr>
          <w:spacing w:val="-3"/>
          <w:sz w:val="24"/>
        </w:rPr>
        <w:t> </w:t>
      </w:r>
      <w:r>
        <w:rPr>
          <w:sz w:val="24"/>
        </w:rPr>
        <w:t>functional</w:t>
      </w:r>
      <w:r>
        <w:rPr>
          <w:spacing w:val="-4"/>
          <w:sz w:val="24"/>
        </w:rPr>
        <w:t> </w:t>
      </w:r>
      <w:r>
        <w:rPr>
          <w:sz w:val="24"/>
        </w:rPr>
        <w:t>limitation</w:t>
      </w:r>
      <w:r>
        <w:rPr>
          <w:spacing w:val="-4"/>
          <w:sz w:val="24"/>
        </w:rPr>
        <w:t> </w:t>
      </w:r>
      <w:r>
        <w:rPr>
          <w:sz w:val="24"/>
        </w:rPr>
        <w:t>due</w:t>
      </w:r>
      <w:r>
        <w:rPr>
          <w:spacing w:val="-4"/>
          <w:sz w:val="24"/>
        </w:rPr>
        <w:t> </w:t>
      </w:r>
      <w:r>
        <w:rPr>
          <w:sz w:val="24"/>
        </w:rPr>
        <w:t>to</w:t>
      </w:r>
      <w:r>
        <w:rPr>
          <w:spacing w:val="-4"/>
          <w:sz w:val="24"/>
        </w:rPr>
        <w:t> </w:t>
      </w:r>
      <w:r>
        <w:rPr>
          <w:sz w:val="24"/>
        </w:rPr>
        <w:t>vision</w:t>
      </w:r>
      <w:r>
        <w:rPr>
          <w:spacing w:val="-4"/>
          <w:sz w:val="24"/>
        </w:rPr>
        <w:t> </w:t>
      </w:r>
      <w:r>
        <w:rPr>
          <w:sz w:val="24"/>
        </w:rPr>
        <w:t>loss greater than 20/60; and/or</w:t>
      </w:r>
    </w:p>
    <w:p>
      <w:pPr>
        <w:pStyle w:val="ListParagraph"/>
        <w:numPr>
          <w:ilvl w:val="1"/>
          <w:numId w:val="114"/>
        </w:numPr>
        <w:tabs>
          <w:tab w:pos="1650" w:val="left" w:leader="none"/>
        </w:tabs>
        <w:spacing w:line="208" w:lineRule="auto" w:before="240" w:after="0"/>
        <w:ind w:left="1224" w:right="1049" w:firstLine="0"/>
        <w:jc w:val="left"/>
        <w:rPr>
          <w:sz w:val="24"/>
        </w:rPr>
      </w:pPr>
      <w:r>
        <w:rPr>
          <w:sz w:val="24"/>
        </w:rPr>
        <w:t>any</w:t>
      </w:r>
      <w:r>
        <w:rPr>
          <w:spacing w:val="-4"/>
          <w:sz w:val="24"/>
        </w:rPr>
        <w:t> </w:t>
      </w:r>
      <w:r>
        <w:rPr>
          <w:sz w:val="24"/>
        </w:rPr>
        <w:t>person</w:t>
      </w:r>
      <w:r>
        <w:rPr>
          <w:spacing w:val="-4"/>
          <w:sz w:val="24"/>
        </w:rPr>
        <w:t> </w:t>
      </w:r>
      <w:r>
        <w:rPr>
          <w:sz w:val="24"/>
        </w:rPr>
        <w:t>who</w:t>
      </w:r>
      <w:r>
        <w:rPr>
          <w:spacing w:val="-4"/>
          <w:sz w:val="24"/>
        </w:rPr>
        <w:t> </w:t>
      </w:r>
      <w:r>
        <w:rPr>
          <w:sz w:val="24"/>
        </w:rPr>
        <w:t>does</w:t>
      </w:r>
      <w:r>
        <w:rPr>
          <w:spacing w:val="-4"/>
          <w:sz w:val="24"/>
        </w:rPr>
        <w:t> </w:t>
      </w:r>
      <w:r>
        <w:rPr>
          <w:sz w:val="24"/>
        </w:rPr>
        <w:t>not</w:t>
      </w:r>
      <w:r>
        <w:rPr>
          <w:spacing w:val="-3"/>
          <w:sz w:val="24"/>
        </w:rPr>
        <w:t> </w:t>
      </w:r>
      <w:r>
        <w:rPr>
          <w:sz w:val="24"/>
        </w:rPr>
        <w:t>meet</w:t>
      </w:r>
      <w:r>
        <w:rPr>
          <w:spacing w:val="-3"/>
          <w:sz w:val="24"/>
        </w:rPr>
        <w:t> </w:t>
      </w:r>
      <w:r>
        <w:rPr>
          <w:sz w:val="24"/>
        </w:rPr>
        <w:t>the</w:t>
      </w:r>
      <w:r>
        <w:rPr>
          <w:spacing w:val="-4"/>
          <w:sz w:val="24"/>
        </w:rPr>
        <w:t> </w:t>
      </w:r>
      <w:r>
        <w:rPr>
          <w:sz w:val="24"/>
        </w:rPr>
        <w:t>criteria</w:t>
      </w:r>
      <w:r>
        <w:rPr>
          <w:spacing w:val="-4"/>
          <w:sz w:val="24"/>
        </w:rPr>
        <w:t> </w:t>
      </w:r>
      <w:r>
        <w:rPr>
          <w:sz w:val="24"/>
        </w:rPr>
        <w:t>above</w:t>
      </w:r>
      <w:r>
        <w:rPr>
          <w:spacing w:val="-4"/>
          <w:sz w:val="24"/>
        </w:rPr>
        <w:t> </w:t>
      </w:r>
      <w:r>
        <w:rPr>
          <w:sz w:val="24"/>
        </w:rPr>
        <w:t>but</w:t>
      </w:r>
      <w:r>
        <w:rPr>
          <w:spacing w:val="-3"/>
          <w:sz w:val="24"/>
        </w:rPr>
        <w:t> </w:t>
      </w:r>
      <w:r>
        <w:rPr>
          <w:sz w:val="24"/>
        </w:rPr>
        <w:t>has</w:t>
      </w:r>
      <w:r>
        <w:rPr>
          <w:spacing w:val="-4"/>
          <w:sz w:val="24"/>
        </w:rPr>
        <w:t> </w:t>
      </w:r>
      <w:r>
        <w:rPr>
          <w:sz w:val="24"/>
        </w:rPr>
        <w:t>a</w:t>
      </w:r>
      <w:r>
        <w:rPr>
          <w:spacing w:val="-4"/>
          <w:sz w:val="24"/>
        </w:rPr>
        <w:t> </w:t>
      </w:r>
      <w:r>
        <w:rPr>
          <w:sz w:val="24"/>
        </w:rPr>
        <w:t>condition</w:t>
      </w:r>
      <w:r>
        <w:rPr>
          <w:spacing w:val="-4"/>
          <w:sz w:val="24"/>
        </w:rPr>
        <w:t> </w:t>
      </w:r>
      <w:r>
        <w:rPr>
          <w:sz w:val="24"/>
        </w:rPr>
        <w:t>that impairs use of eyesight and results in functional limitations that can be appropriately addressed through DSBVI services.</w:t>
      </w:r>
    </w:p>
    <w:p>
      <w:pPr>
        <w:pStyle w:val="BodyText"/>
        <w:spacing w:before="210"/>
        <w:ind w:left="792"/>
      </w:pPr>
      <w:r>
        <w:rPr/>
        <w:t>Some</w:t>
      </w:r>
      <w:r>
        <w:rPr>
          <w:spacing w:val="-3"/>
        </w:rPr>
        <w:t> </w:t>
      </w:r>
      <w:r>
        <w:rPr/>
        <w:t>factors</w:t>
      </w:r>
      <w:r>
        <w:rPr>
          <w:spacing w:val="-2"/>
        </w:rPr>
        <w:t> </w:t>
      </w:r>
      <w:r>
        <w:rPr/>
        <w:t>to</w:t>
      </w:r>
      <w:r>
        <w:rPr>
          <w:spacing w:val="-3"/>
        </w:rPr>
        <w:t> </w:t>
      </w:r>
      <w:r>
        <w:rPr/>
        <w:t>consider</w:t>
      </w:r>
      <w:r>
        <w:rPr>
          <w:spacing w:val="-1"/>
        </w:rPr>
        <w:t> </w:t>
      </w:r>
      <w:r>
        <w:rPr/>
        <w:t>in</w:t>
      </w:r>
      <w:r>
        <w:rPr>
          <w:spacing w:val="-3"/>
        </w:rPr>
        <w:t> </w:t>
      </w:r>
      <w:r>
        <w:rPr/>
        <w:t>deciding</w:t>
      </w:r>
      <w:r>
        <w:rPr>
          <w:spacing w:val="-2"/>
        </w:rPr>
        <w:t> </w:t>
      </w:r>
      <w:r>
        <w:rPr/>
        <w:t>whether</w:t>
      </w:r>
      <w:r>
        <w:rPr>
          <w:spacing w:val="-1"/>
        </w:rPr>
        <w:t> </w:t>
      </w:r>
      <w:r>
        <w:rPr/>
        <w:t>a</w:t>
      </w:r>
      <w:r>
        <w:rPr>
          <w:spacing w:val="-2"/>
        </w:rPr>
        <w:t> </w:t>
      </w:r>
      <w:r>
        <w:rPr/>
        <w:t>person</w:t>
      </w:r>
      <w:r>
        <w:rPr>
          <w:spacing w:val="-3"/>
        </w:rPr>
        <w:t> </w:t>
      </w:r>
      <w:r>
        <w:rPr/>
        <w:t>should</w:t>
      </w:r>
      <w:r>
        <w:rPr>
          <w:spacing w:val="-2"/>
        </w:rPr>
        <w:t> </w:t>
      </w:r>
      <w:r>
        <w:rPr/>
        <w:t>be</w:t>
      </w:r>
      <w:r>
        <w:rPr>
          <w:spacing w:val="-3"/>
        </w:rPr>
        <w:t> </w:t>
      </w:r>
      <w:r>
        <w:rPr/>
        <w:t>served</w:t>
      </w:r>
      <w:r>
        <w:rPr>
          <w:spacing w:val="-2"/>
        </w:rPr>
        <w:t> </w:t>
      </w:r>
      <w:r>
        <w:rPr/>
        <w:t>by</w:t>
      </w:r>
      <w:r>
        <w:rPr>
          <w:spacing w:val="-2"/>
        </w:rPr>
        <w:t> DSBVI:</w:t>
      </w:r>
    </w:p>
    <w:p>
      <w:pPr>
        <w:pStyle w:val="BodyText"/>
        <w:spacing w:line="208" w:lineRule="auto" w:before="234"/>
        <w:ind w:left="810" w:right="775"/>
      </w:pPr>
      <w:r>
        <w:rPr/>
        <w:t>An applicant may have vision better than 20/60 but have light sensitivity causing blurry vision which requires special lighting, low vision devices or assistive technology</w:t>
      </w:r>
      <w:r>
        <w:rPr>
          <w:spacing w:val="-3"/>
        </w:rPr>
        <w:t> </w:t>
      </w:r>
      <w:r>
        <w:rPr/>
        <w:t>to</w:t>
      </w:r>
      <w:r>
        <w:rPr>
          <w:spacing w:val="-4"/>
        </w:rPr>
        <w:t> </w:t>
      </w:r>
      <w:r>
        <w:rPr/>
        <w:t>permit</w:t>
      </w:r>
      <w:r>
        <w:rPr>
          <w:spacing w:val="-3"/>
        </w:rPr>
        <w:t> </w:t>
      </w:r>
      <w:r>
        <w:rPr/>
        <w:t>use</w:t>
      </w:r>
      <w:r>
        <w:rPr>
          <w:spacing w:val="-4"/>
        </w:rPr>
        <w:t> </w:t>
      </w:r>
      <w:r>
        <w:rPr/>
        <w:t>of</w:t>
      </w:r>
      <w:r>
        <w:rPr>
          <w:spacing w:val="-3"/>
        </w:rPr>
        <w:t> </w:t>
      </w:r>
      <w:r>
        <w:rPr/>
        <w:t>standard</w:t>
      </w:r>
      <w:r>
        <w:rPr>
          <w:spacing w:val="-4"/>
        </w:rPr>
        <w:t> </w:t>
      </w:r>
      <w:r>
        <w:rPr/>
        <w:t>print.</w:t>
      </w:r>
      <w:r>
        <w:rPr>
          <w:spacing w:val="-3"/>
        </w:rPr>
        <w:t> </w:t>
      </w:r>
      <w:r>
        <w:rPr/>
        <w:t>Cataracts</w:t>
      </w:r>
      <w:r>
        <w:rPr>
          <w:spacing w:val="-4"/>
        </w:rPr>
        <w:t> </w:t>
      </w:r>
      <w:r>
        <w:rPr/>
        <w:t>are</w:t>
      </w:r>
      <w:r>
        <w:rPr>
          <w:spacing w:val="-4"/>
        </w:rPr>
        <w:t> </w:t>
      </w:r>
      <w:r>
        <w:rPr/>
        <w:t>an</w:t>
      </w:r>
      <w:r>
        <w:rPr>
          <w:spacing w:val="-4"/>
        </w:rPr>
        <w:t> </w:t>
      </w:r>
      <w:r>
        <w:rPr/>
        <w:t>example</w:t>
      </w:r>
      <w:r>
        <w:rPr>
          <w:spacing w:val="-4"/>
        </w:rPr>
        <w:t> </w:t>
      </w:r>
      <w:r>
        <w:rPr/>
        <w:t>of</w:t>
      </w:r>
      <w:r>
        <w:rPr>
          <w:spacing w:val="-3"/>
        </w:rPr>
        <w:t> </w:t>
      </w:r>
      <w:r>
        <w:rPr/>
        <w:t>a</w:t>
      </w:r>
      <w:r>
        <w:rPr>
          <w:spacing w:val="-4"/>
        </w:rPr>
        <w:t> </w:t>
      </w:r>
      <w:r>
        <w:rPr/>
        <w:t>condition that often produces blurred vision, glare sensitivity and discomfort in bright light.</w:t>
      </w:r>
    </w:p>
    <w:p>
      <w:pPr>
        <w:pStyle w:val="BodyText"/>
        <w:spacing w:line="208" w:lineRule="auto" w:before="0"/>
        <w:ind w:left="810" w:right="775"/>
      </w:pPr>
      <w:r>
        <w:rPr/>
        <w:t>Referral</w:t>
      </w:r>
      <w:r>
        <w:rPr>
          <w:spacing w:val="-4"/>
        </w:rPr>
        <w:t> </w:t>
      </w:r>
      <w:r>
        <w:rPr/>
        <w:t>to</w:t>
      </w:r>
      <w:r>
        <w:rPr>
          <w:spacing w:val="-5"/>
        </w:rPr>
        <w:t> </w:t>
      </w:r>
      <w:r>
        <w:rPr/>
        <w:t>DSBVI</w:t>
      </w:r>
      <w:r>
        <w:rPr>
          <w:spacing w:val="-3"/>
        </w:rPr>
        <w:t> </w:t>
      </w:r>
      <w:r>
        <w:rPr/>
        <w:t>is</w:t>
      </w:r>
      <w:r>
        <w:rPr>
          <w:spacing w:val="-4"/>
        </w:rPr>
        <w:t> </w:t>
      </w:r>
      <w:r>
        <w:rPr/>
        <w:t>appropriate</w:t>
      </w:r>
      <w:r>
        <w:rPr>
          <w:spacing w:val="-4"/>
        </w:rPr>
        <w:t> </w:t>
      </w:r>
      <w:r>
        <w:rPr/>
        <w:t>when</w:t>
      </w:r>
      <w:r>
        <w:rPr>
          <w:spacing w:val="-4"/>
        </w:rPr>
        <w:t> </w:t>
      </w:r>
      <w:r>
        <w:rPr/>
        <w:t>an</w:t>
      </w:r>
      <w:r>
        <w:rPr>
          <w:spacing w:val="-4"/>
        </w:rPr>
        <w:t> </w:t>
      </w:r>
      <w:r>
        <w:rPr/>
        <w:t>individual</w:t>
      </w:r>
      <w:r>
        <w:rPr>
          <w:spacing w:val="-4"/>
        </w:rPr>
        <w:t> </w:t>
      </w:r>
      <w:r>
        <w:rPr/>
        <w:t>experiences</w:t>
      </w:r>
      <w:r>
        <w:rPr>
          <w:spacing w:val="-4"/>
        </w:rPr>
        <w:t> </w:t>
      </w:r>
      <w:r>
        <w:rPr/>
        <w:t>these</w:t>
      </w:r>
      <w:r>
        <w:rPr>
          <w:spacing w:val="-4"/>
        </w:rPr>
        <w:t> </w:t>
      </w:r>
      <w:r>
        <w:rPr/>
        <w:t>visual </w:t>
      </w:r>
      <w:r>
        <w:rPr>
          <w:spacing w:val="-2"/>
        </w:rPr>
        <w:t>problems.</w:t>
      </w:r>
    </w:p>
    <w:p>
      <w:pPr>
        <w:pStyle w:val="BodyText"/>
        <w:spacing w:line="208" w:lineRule="auto" w:before="239"/>
        <w:ind w:left="810" w:right="775"/>
      </w:pPr>
      <w:r>
        <w:rPr/>
        <w:t>Glaucoma affects side vision. A person with glaucoma may find the field of vision starts to fade causing panoramic vision to narrow. Other effects of glaucoma may include blurred vision, seeing colored rings around lights, and pain and redness of the</w:t>
      </w:r>
      <w:r>
        <w:rPr>
          <w:spacing w:val="-3"/>
        </w:rPr>
        <w:t> </w:t>
      </w:r>
      <w:r>
        <w:rPr/>
        <w:t>eye.</w:t>
      </w:r>
      <w:r>
        <w:rPr>
          <w:spacing w:val="-2"/>
        </w:rPr>
        <w:t> </w:t>
      </w:r>
      <w:r>
        <w:rPr/>
        <w:t>Even</w:t>
      </w:r>
      <w:r>
        <w:rPr>
          <w:spacing w:val="-3"/>
        </w:rPr>
        <w:t> </w:t>
      </w:r>
      <w:r>
        <w:rPr/>
        <w:t>though</w:t>
      </w:r>
      <w:r>
        <w:rPr>
          <w:spacing w:val="-3"/>
        </w:rPr>
        <w:t> </w:t>
      </w:r>
      <w:r>
        <w:rPr/>
        <w:t>an</w:t>
      </w:r>
      <w:r>
        <w:rPr>
          <w:spacing w:val="-3"/>
        </w:rPr>
        <w:t> </w:t>
      </w:r>
      <w:r>
        <w:rPr/>
        <w:t>individual</w:t>
      </w:r>
      <w:r>
        <w:rPr>
          <w:spacing w:val="-3"/>
        </w:rPr>
        <w:t> </w:t>
      </w:r>
      <w:r>
        <w:rPr/>
        <w:t>is</w:t>
      </w:r>
      <w:r>
        <w:rPr>
          <w:spacing w:val="-3"/>
        </w:rPr>
        <w:t> </w:t>
      </w:r>
      <w:r>
        <w:rPr/>
        <w:t>not</w:t>
      </w:r>
      <w:r>
        <w:rPr>
          <w:spacing w:val="-2"/>
        </w:rPr>
        <w:t> </w:t>
      </w:r>
      <w:r>
        <w:rPr/>
        <w:t>legally</w:t>
      </w:r>
      <w:r>
        <w:rPr>
          <w:spacing w:val="-3"/>
        </w:rPr>
        <w:t> </w:t>
      </w:r>
      <w:r>
        <w:rPr/>
        <w:t>blind,</w:t>
      </w:r>
      <w:r>
        <w:rPr>
          <w:spacing w:val="-2"/>
        </w:rPr>
        <w:t> </w:t>
      </w:r>
      <w:r>
        <w:rPr/>
        <w:t>the</w:t>
      </w:r>
      <w:r>
        <w:rPr>
          <w:spacing w:val="-3"/>
        </w:rPr>
        <w:t> </w:t>
      </w:r>
      <w:r>
        <w:rPr/>
        <w:t>effects</w:t>
      </w:r>
      <w:r>
        <w:rPr>
          <w:spacing w:val="-4"/>
        </w:rPr>
        <w:t> </w:t>
      </w:r>
      <w:r>
        <w:rPr/>
        <w:t>of</w:t>
      </w:r>
      <w:r>
        <w:rPr>
          <w:spacing w:val="-2"/>
        </w:rPr>
        <w:t> </w:t>
      </w:r>
      <w:r>
        <w:rPr/>
        <w:t>glaucoma</w:t>
      </w:r>
      <w:r>
        <w:rPr>
          <w:spacing w:val="-3"/>
        </w:rPr>
        <w:t> </w:t>
      </w:r>
      <w:r>
        <w:rPr/>
        <w:t>may produce a need for mobility instruction, assistive technology and other specialized services provided by DSBVI.</w:t>
      </w:r>
    </w:p>
    <w:p>
      <w:pPr>
        <w:pStyle w:val="BodyText"/>
        <w:spacing w:line="208" w:lineRule="auto" w:before="239"/>
        <w:ind w:left="810" w:right="739"/>
      </w:pPr>
      <w:r>
        <w:rPr/>
        <w:t>Diabetes can cause blood vessels in the eye to break, reducing visual efficiency. Complete</w:t>
      </w:r>
      <w:r>
        <w:rPr>
          <w:spacing w:val="-3"/>
        </w:rPr>
        <w:t> </w:t>
      </w:r>
      <w:r>
        <w:rPr/>
        <w:t>loss</w:t>
      </w:r>
      <w:r>
        <w:rPr>
          <w:spacing w:val="-3"/>
        </w:rPr>
        <w:t> </w:t>
      </w:r>
      <w:r>
        <w:rPr/>
        <w:t>of</w:t>
      </w:r>
      <w:r>
        <w:rPr>
          <w:spacing w:val="-2"/>
        </w:rPr>
        <w:t> </w:t>
      </w:r>
      <w:r>
        <w:rPr/>
        <w:t>vision</w:t>
      </w:r>
      <w:r>
        <w:rPr>
          <w:spacing w:val="-3"/>
        </w:rPr>
        <w:t> </w:t>
      </w:r>
      <w:r>
        <w:rPr/>
        <w:t>can</w:t>
      </w:r>
      <w:r>
        <w:rPr>
          <w:spacing w:val="-3"/>
        </w:rPr>
        <w:t> </w:t>
      </w:r>
      <w:r>
        <w:rPr/>
        <w:t>occur</w:t>
      </w:r>
      <w:r>
        <w:rPr>
          <w:spacing w:val="-2"/>
        </w:rPr>
        <w:t> </w:t>
      </w:r>
      <w:r>
        <w:rPr/>
        <w:t>when</w:t>
      </w:r>
      <w:r>
        <w:rPr>
          <w:spacing w:val="-3"/>
        </w:rPr>
        <w:t> </w:t>
      </w:r>
      <w:r>
        <w:rPr/>
        <w:t>scar</w:t>
      </w:r>
      <w:r>
        <w:rPr>
          <w:spacing w:val="-2"/>
        </w:rPr>
        <w:t> </w:t>
      </w:r>
      <w:r>
        <w:rPr/>
        <w:t>tissue</w:t>
      </w:r>
      <w:r>
        <w:rPr>
          <w:spacing w:val="-3"/>
        </w:rPr>
        <w:t> </w:t>
      </w:r>
      <w:r>
        <w:rPr/>
        <w:t>develops</w:t>
      </w:r>
      <w:r>
        <w:rPr>
          <w:spacing w:val="-3"/>
        </w:rPr>
        <w:t> </w:t>
      </w:r>
      <w:r>
        <w:rPr/>
        <w:t>at</w:t>
      </w:r>
      <w:r>
        <w:rPr>
          <w:spacing w:val="-2"/>
        </w:rPr>
        <w:t> </w:t>
      </w:r>
      <w:r>
        <w:rPr/>
        <w:t>the</w:t>
      </w:r>
      <w:r>
        <w:rPr>
          <w:spacing w:val="-3"/>
        </w:rPr>
        <w:t> </w:t>
      </w:r>
      <w:r>
        <w:rPr/>
        <w:t>back</w:t>
      </w:r>
      <w:r>
        <w:rPr>
          <w:spacing w:val="-3"/>
        </w:rPr>
        <w:t> </w:t>
      </w:r>
      <w:r>
        <w:rPr/>
        <w:t>of</w:t>
      </w:r>
      <w:r>
        <w:rPr>
          <w:spacing w:val="-2"/>
        </w:rPr>
        <w:t> </w:t>
      </w:r>
      <w:r>
        <w:rPr/>
        <w:t>the</w:t>
      </w:r>
      <w:r>
        <w:rPr>
          <w:spacing w:val="-3"/>
        </w:rPr>
        <w:t> </w:t>
      </w:r>
      <w:r>
        <w:rPr/>
        <w:t>eye. Not all diabetics will experience diabetic retinopathy, but if it is present in one eye, DSBVI should provide services.</w:t>
      </w:r>
    </w:p>
    <w:p>
      <w:pPr>
        <w:pStyle w:val="BodyText"/>
        <w:spacing w:after="0" w:line="208" w:lineRule="auto"/>
        <w:sectPr>
          <w:pgSz w:w="12240" w:h="15840"/>
          <w:pgMar w:top="1340" w:bottom="280" w:left="1080" w:right="720"/>
        </w:sectPr>
      </w:pPr>
    </w:p>
    <w:p>
      <w:pPr>
        <w:pStyle w:val="BodyText"/>
        <w:spacing w:line="208" w:lineRule="auto" w:before="96"/>
        <w:ind w:left="791" w:right="1109"/>
        <w:jc w:val="both"/>
      </w:pPr>
      <w:r>
        <w:rPr/>
        <w:t>Referral from a counselor to the rehabilitation teacher is made using the Special Services</w:t>
      </w:r>
      <w:r>
        <w:rPr>
          <w:spacing w:val="-4"/>
        </w:rPr>
        <w:t> </w:t>
      </w:r>
      <w:r>
        <w:rPr/>
        <w:t>Referral</w:t>
      </w:r>
      <w:r>
        <w:rPr>
          <w:spacing w:val="-4"/>
        </w:rPr>
        <w:t> </w:t>
      </w:r>
      <w:r>
        <w:rPr/>
        <w:t>form.</w:t>
      </w:r>
      <w:r>
        <w:rPr>
          <w:spacing w:val="-3"/>
        </w:rPr>
        <w:t> </w:t>
      </w:r>
      <w:r>
        <w:rPr/>
        <w:t>The</w:t>
      </w:r>
      <w:r>
        <w:rPr>
          <w:spacing w:val="-4"/>
        </w:rPr>
        <w:t> </w:t>
      </w:r>
      <w:r>
        <w:rPr/>
        <w:t>counselor</w:t>
      </w:r>
      <w:r>
        <w:rPr>
          <w:spacing w:val="-3"/>
        </w:rPr>
        <w:t> </w:t>
      </w:r>
      <w:r>
        <w:rPr/>
        <w:t>will</w:t>
      </w:r>
      <w:r>
        <w:rPr>
          <w:spacing w:val="-4"/>
        </w:rPr>
        <w:t> </w:t>
      </w:r>
      <w:r>
        <w:rPr/>
        <w:t>provide</w:t>
      </w:r>
      <w:r>
        <w:rPr>
          <w:spacing w:val="-4"/>
        </w:rPr>
        <w:t> </w:t>
      </w:r>
      <w:r>
        <w:rPr/>
        <w:t>the</w:t>
      </w:r>
      <w:r>
        <w:rPr>
          <w:spacing w:val="-4"/>
        </w:rPr>
        <w:t> </w:t>
      </w:r>
      <w:r>
        <w:rPr/>
        <w:t>teacher</w:t>
      </w:r>
      <w:r>
        <w:rPr>
          <w:spacing w:val="-3"/>
        </w:rPr>
        <w:t> </w:t>
      </w:r>
      <w:r>
        <w:rPr/>
        <w:t>with</w:t>
      </w:r>
      <w:r>
        <w:rPr>
          <w:spacing w:val="-3"/>
        </w:rPr>
        <w:t> </w:t>
      </w:r>
      <w:r>
        <w:rPr/>
        <w:t>access</w:t>
      </w:r>
      <w:r>
        <w:rPr>
          <w:spacing w:val="-4"/>
        </w:rPr>
        <w:t> </w:t>
      </w:r>
      <w:r>
        <w:rPr/>
        <w:t>to</w:t>
      </w:r>
      <w:r>
        <w:rPr>
          <w:spacing w:val="-5"/>
        </w:rPr>
        <w:t> </w:t>
      </w:r>
      <w:r>
        <w:rPr/>
        <w:t>the client’s electronic case management system information.</w:t>
      </w:r>
    </w:p>
    <w:p>
      <w:pPr>
        <w:pStyle w:val="BodyText"/>
        <w:spacing w:line="208" w:lineRule="auto"/>
        <w:ind w:left="792" w:right="775"/>
      </w:pPr>
      <w:r>
        <w:rPr/>
        <w:t>In the instance of a referral from a rehabilitation teacher to a counselor, the counselor will contact the referral and make a determination of potential for counselor</w:t>
      </w:r>
      <w:r>
        <w:rPr>
          <w:spacing w:val="-3"/>
        </w:rPr>
        <w:t> </w:t>
      </w:r>
      <w:r>
        <w:rPr/>
        <w:t>services.</w:t>
      </w:r>
      <w:r>
        <w:rPr>
          <w:spacing w:val="-3"/>
        </w:rPr>
        <w:t> </w:t>
      </w:r>
      <w:r>
        <w:rPr/>
        <w:t>The</w:t>
      </w:r>
      <w:r>
        <w:rPr>
          <w:spacing w:val="-4"/>
        </w:rPr>
        <w:t> </w:t>
      </w:r>
      <w:r>
        <w:rPr/>
        <w:t>teacher</w:t>
      </w:r>
      <w:r>
        <w:rPr>
          <w:spacing w:val="-5"/>
        </w:rPr>
        <w:t> </w:t>
      </w:r>
      <w:r>
        <w:rPr/>
        <w:t>will</w:t>
      </w:r>
      <w:r>
        <w:rPr>
          <w:spacing w:val="-4"/>
        </w:rPr>
        <w:t> </w:t>
      </w:r>
      <w:r>
        <w:rPr/>
        <w:t>be</w:t>
      </w:r>
      <w:r>
        <w:rPr>
          <w:spacing w:val="-4"/>
        </w:rPr>
        <w:t> </w:t>
      </w:r>
      <w:r>
        <w:rPr/>
        <w:t>informed</w:t>
      </w:r>
      <w:r>
        <w:rPr>
          <w:spacing w:val="-4"/>
        </w:rPr>
        <w:t> </w:t>
      </w:r>
      <w:r>
        <w:rPr/>
        <w:t>in</w:t>
      </w:r>
      <w:r>
        <w:rPr>
          <w:spacing w:val="-4"/>
        </w:rPr>
        <w:t> </w:t>
      </w:r>
      <w:r>
        <w:rPr/>
        <w:t>writing</w:t>
      </w:r>
      <w:r>
        <w:rPr>
          <w:spacing w:val="-4"/>
        </w:rPr>
        <w:t> </w:t>
      </w:r>
      <w:r>
        <w:rPr/>
        <w:t>of</w:t>
      </w:r>
      <w:r>
        <w:rPr>
          <w:spacing w:val="-3"/>
        </w:rPr>
        <w:t> </w:t>
      </w:r>
      <w:r>
        <w:rPr/>
        <w:t>the</w:t>
      </w:r>
      <w:r>
        <w:rPr>
          <w:spacing w:val="-4"/>
        </w:rPr>
        <w:t> </w:t>
      </w:r>
      <w:r>
        <w:rPr/>
        <w:t>counselor's </w:t>
      </w:r>
      <w:r>
        <w:rPr>
          <w:spacing w:val="-2"/>
        </w:rPr>
        <w:t>findings.</w:t>
      </w:r>
    </w:p>
    <w:p>
      <w:pPr>
        <w:pStyle w:val="ListParagraph"/>
        <w:numPr>
          <w:ilvl w:val="0"/>
          <w:numId w:val="114"/>
        </w:numPr>
        <w:tabs>
          <w:tab w:pos="791" w:val="left" w:leader="none"/>
        </w:tabs>
        <w:spacing w:line="208" w:lineRule="auto" w:before="239" w:after="0"/>
        <w:ind w:left="791" w:right="787" w:hanging="432"/>
        <w:jc w:val="left"/>
        <w:rPr>
          <w:sz w:val="24"/>
        </w:rPr>
      </w:pPr>
      <w:r>
        <w:rPr>
          <w:sz w:val="24"/>
        </w:rPr>
        <w:t>The intake interview is part of the application process and is the beginning of the assessment process to determine eligibility and the services to be included on the individualized</w:t>
      </w:r>
      <w:r>
        <w:rPr>
          <w:spacing w:val="-6"/>
          <w:sz w:val="24"/>
        </w:rPr>
        <w:t> </w:t>
      </w:r>
      <w:r>
        <w:rPr>
          <w:sz w:val="24"/>
        </w:rPr>
        <w:t>plan</w:t>
      </w:r>
      <w:r>
        <w:rPr>
          <w:spacing w:val="-6"/>
          <w:sz w:val="24"/>
        </w:rPr>
        <w:t> </w:t>
      </w:r>
      <w:r>
        <w:rPr>
          <w:sz w:val="24"/>
        </w:rPr>
        <w:t>for</w:t>
      </w:r>
      <w:r>
        <w:rPr>
          <w:spacing w:val="-5"/>
          <w:sz w:val="24"/>
        </w:rPr>
        <w:t> </w:t>
      </w:r>
      <w:r>
        <w:rPr>
          <w:sz w:val="24"/>
        </w:rPr>
        <w:t>employment</w:t>
      </w:r>
      <w:r>
        <w:rPr>
          <w:spacing w:val="-5"/>
          <w:sz w:val="24"/>
        </w:rPr>
        <w:t> </w:t>
      </w:r>
      <w:r>
        <w:rPr>
          <w:sz w:val="24"/>
        </w:rPr>
        <w:t>(IPE).</w:t>
      </w:r>
      <w:r>
        <w:rPr>
          <w:spacing w:val="-5"/>
          <w:sz w:val="24"/>
        </w:rPr>
        <w:t> </w:t>
      </w:r>
      <w:r>
        <w:rPr>
          <w:sz w:val="24"/>
        </w:rPr>
        <w:t>Medical,</w:t>
      </w:r>
      <w:r>
        <w:rPr>
          <w:spacing w:val="-5"/>
          <w:sz w:val="24"/>
        </w:rPr>
        <w:t> </w:t>
      </w:r>
      <w:r>
        <w:rPr>
          <w:sz w:val="24"/>
        </w:rPr>
        <w:t>psychological,</w:t>
      </w:r>
      <w:r>
        <w:rPr>
          <w:spacing w:val="-4"/>
          <w:sz w:val="24"/>
        </w:rPr>
        <w:t> </w:t>
      </w:r>
      <w:r>
        <w:rPr>
          <w:sz w:val="24"/>
        </w:rPr>
        <w:t>social,</w:t>
      </w:r>
      <w:r>
        <w:rPr>
          <w:spacing w:val="-5"/>
          <w:sz w:val="24"/>
        </w:rPr>
        <w:t> </w:t>
      </w:r>
      <w:r>
        <w:rPr>
          <w:sz w:val="24"/>
        </w:rPr>
        <w:t>vocational, educational, cultural and economic information are collectively known as personal vocational characteristics.This information is gathered to determine the unique strengths, abilities and interests of the individual.</w:t>
      </w:r>
    </w:p>
    <w:p>
      <w:pPr>
        <w:pStyle w:val="BodyText"/>
        <w:spacing w:line="208" w:lineRule="auto"/>
        <w:ind w:left="809" w:right="775"/>
      </w:pPr>
      <w:r>
        <w:rPr/>
        <w:t>The counselor will be more effective if they have a good idea of all the types of information</w:t>
      </w:r>
      <w:r>
        <w:rPr>
          <w:spacing w:val="-4"/>
        </w:rPr>
        <w:t> </w:t>
      </w:r>
      <w:r>
        <w:rPr/>
        <w:t>that</w:t>
      </w:r>
      <w:r>
        <w:rPr>
          <w:spacing w:val="-3"/>
        </w:rPr>
        <w:t> </w:t>
      </w:r>
      <w:r>
        <w:rPr/>
        <w:t>should</w:t>
      </w:r>
      <w:r>
        <w:rPr>
          <w:spacing w:val="-4"/>
        </w:rPr>
        <w:t> </w:t>
      </w:r>
      <w:r>
        <w:rPr/>
        <w:t>be</w:t>
      </w:r>
      <w:r>
        <w:rPr>
          <w:spacing w:val="-4"/>
        </w:rPr>
        <w:t> </w:t>
      </w:r>
      <w:r>
        <w:rPr/>
        <w:t>obtained</w:t>
      </w:r>
      <w:r>
        <w:rPr>
          <w:spacing w:val="-4"/>
        </w:rPr>
        <w:t> </w:t>
      </w:r>
      <w:r>
        <w:rPr/>
        <w:t>during</w:t>
      </w:r>
      <w:r>
        <w:rPr>
          <w:spacing w:val="-4"/>
        </w:rPr>
        <w:t> </w:t>
      </w:r>
      <w:r>
        <w:rPr/>
        <w:t>the</w:t>
      </w:r>
      <w:r>
        <w:rPr>
          <w:spacing w:val="-4"/>
        </w:rPr>
        <w:t> </w:t>
      </w:r>
      <w:r>
        <w:rPr/>
        <w:t>interview.</w:t>
      </w:r>
      <w:r>
        <w:rPr>
          <w:spacing w:val="-3"/>
        </w:rPr>
        <w:t> </w:t>
      </w:r>
      <w:r>
        <w:rPr/>
        <w:t>One</w:t>
      </w:r>
      <w:r>
        <w:rPr>
          <w:spacing w:val="-4"/>
        </w:rPr>
        <w:t> </w:t>
      </w:r>
      <w:r>
        <w:rPr/>
        <w:t>strategy</w:t>
      </w:r>
      <w:r>
        <w:rPr>
          <w:spacing w:val="-4"/>
        </w:rPr>
        <w:t> </w:t>
      </w:r>
      <w:r>
        <w:rPr/>
        <w:t>may</w:t>
      </w:r>
      <w:r>
        <w:rPr>
          <w:spacing w:val="-4"/>
        </w:rPr>
        <w:t> </w:t>
      </w:r>
      <w:r>
        <w:rPr/>
        <w:t>be</w:t>
      </w:r>
      <w:r>
        <w:rPr>
          <w:spacing w:val="-4"/>
        </w:rPr>
        <w:t> </w:t>
      </w:r>
      <w:r>
        <w:rPr/>
        <w:t>to have the applicant completely fill out all the sections of the application and the interviewer take a few minutes to review it before conducting the interview.</w:t>
      </w:r>
    </w:p>
    <w:p>
      <w:pPr>
        <w:pStyle w:val="BodyText"/>
        <w:spacing w:line="208" w:lineRule="auto" w:before="239"/>
        <w:ind w:left="810" w:right="822"/>
      </w:pPr>
      <w:r>
        <w:rPr/>
        <w:t>In many cases, the intake interview is a time when the individual may be the most open, allowing the counselor to gather accurate and informative data as well as form an initial impression and establish rapport. Adequate rapport has been achieved if the applicant feels he or she has freedom of expression, feels understood by the counselor, and has confidence in the counselor’s ability to help. The</w:t>
      </w:r>
      <w:r>
        <w:rPr>
          <w:spacing w:val="-4"/>
        </w:rPr>
        <w:t> </w:t>
      </w:r>
      <w:r>
        <w:rPr/>
        <w:t>counselor</w:t>
      </w:r>
      <w:r>
        <w:rPr>
          <w:spacing w:val="-3"/>
        </w:rPr>
        <w:t> </w:t>
      </w:r>
      <w:r>
        <w:rPr/>
        <w:t>or</w:t>
      </w:r>
      <w:r>
        <w:rPr>
          <w:spacing w:val="-3"/>
        </w:rPr>
        <w:t> </w:t>
      </w:r>
      <w:r>
        <w:rPr/>
        <w:t>tech</w:t>
      </w:r>
      <w:r>
        <w:rPr>
          <w:spacing w:val="-5"/>
        </w:rPr>
        <w:t> </w:t>
      </w:r>
      <w:r>
        <w:rPr/>
        <w:t>assistant</w:t>
      </w:r>
      <w:r>
        <w:rPr>
          <w:spacing w:val="-5"/>
        </w:rPr>
        <w:t> </w:t>
      </w:r>
      <w:r>
        <w:rPr/>
        <w:t>must</w:t>
      </w:r>
      <w:r>
        <w:rPr>
          <w:spacing w:val="-3"/>
        </w:rPr>
        <w:t> </w:t>
      </w:r>
      <w:r>
        <w:rPr/>
        <w:t>communicate</w:t>
      </w:r>
      <w:r>
        <w:rPr>
          <w:spacing w:val="-4"/>
        </w:rPr>
        <w:t> </w:t>
      </w:r>
      <w:r>
        <w:rPr/>
        <w:t>understanding</w:t>
      </w:r>
      <w:r>
        <w:rPr>
          <w:spacing w:val="-4"/>
        </w:rPr>
        <w:t> </w:t>
      </w:r>
      <w:r>
        <w:rPr/>
        <w:t>and</w:t>
      </w:r>
      <w:r>
        <w:rPr>
          <w:spacing w:val="-4"/>
        </w:rPr>
        <w:t> </w:t>
      </w:r>
      <w:r>
        <w:rPr/>
        <w:t>trust</w:t>
      </w:r>
      <w:r>
        <w:rPr>
          <w:spacing w:val="-3"/>
        </w:rPr>
        <w:t> </w:t>
      </w:r>
      <w:r>
        <w:rPr/>
        <w:t>and</w:t>
      </w:r>
      <w:r>
        <w:rPr>
          <w:spacing w:val="-4"/>
        </w:rPr>
        <w:t> </w:t>
      </w:r>
      <w:r>
        <w:rPr/>
        <w:t>be very willing to listen to the viewpoint and needs of the applicant. Therefore, the initial interview becomes an extremely important aspect of the case record and the collection of information.</w:t>
      </w:r>
    </w:p>
    <w:p>
      <w:pPr>
        <w:pStyle w:val="BodyText"/>
        <w:spacing w:line="208" w:lineRule="auto" w:before="239"/>
        <w:ind w:left="810" w:right="779"/>
      </w:pPr>
      <w:r>
        <w:rPr/>
        <w:t>The narrative will indicate the available background information such as social, vocational, psychological, medical and educational data; as well as the basis for application. The narrative recording includes factors affecting the individual's rehabilitation</w:t>
      </w:r>
      <w:r>
        <w:rPr>
          <w:spacing w:val="-6"/>
        </w:rPr>
        <w:t> </w:t>
      </w:r>
      <w:r>
        <w:rPr/>
        <w:t>needs</w:t>
      </w:r>
      <w:r>
        <w:rPr>
          <w:spacing w:val="-6"/>
        </w:rPr>
        <w:t> </w:t>
      </w:r>
      <w:r>
        <w:rPr/>
        <w:t>and</w:t>
      </w:r>
      <w:r>
        <w:rPr>
          <w:spacing w:val="-6"/>
        </w:rPr>
        <w:t> </w:t>
      </w:r>
      <w:r>
        <w:rPr/>
        <w:t>goals,</w:t>
      </w:r>
      <w:r>
        <w:rPr>
          <w:spacing w:val="-5"/>
        </w:rPr>
        <w:t> </w:t>
      </w:r>
      <w:r>
        <w:rPr/>
        <w:t>counselor's</w:t>
      </w:r>
      <w:r>
        <w:rPr>
          <w:spacing w:val="-6"/>
        </w:rPr>
        <w:t> </w:t>
      </w:r>
      <w:r>
        <w:rPr/>
        <w:t>impressions,</w:t>
      </w:r>
      <w:r>
        <w:rPr>
          <w:spacing w:val="-5"/>
        </w:rPr>
        <w:t> </w:t>
      </w:r>
      <w:r>
        <w:rPr/>
        <w:t>and</w:t>
      </w:r>
      <w:r>
        <w:rPr>
          <w:spacing w:val="-6"/>
        </w:rPr>
        <w:t> </w:t>
      </w:r>
      <w:r>
        <w:rPr/>
        <w:t>counselor/teacher</w:t>
      </w:r>
      <w:r>
        <w:rPr>
          <w:spacing w:val="-5"/>
        </w:rPr>
        <w:t> </w:t>
      </w:r>
      <w:r>
        <w:rPr/>
        <w:t>and client plans. The counselor will address such significant factors as client's appearance, social skills, attitudes, communication skills, etc. Counselor will also include any impressions concerning potential eligibility and other significant environmental factors that may have impact on the planning and provision of service and outline the next steps to be taken in the vocational rehabilitation process, including time frames and specific responsibilities.</w:t>
      </w:r>
    </w:p>
    <w:p>
      <w:pPr>
        <w:pStyle w:val="BodyText"/>
        <w:spacing w:line="208" w:lineRule="auto" w:before="239"/>
        <w:ind w:left="809" w:right="855"/>
      </w:pPr>
      <w:r>
        <w:rPr/>
        <w:t>Documentation of providing information concerning the requirement for a search for,</w:t>
      </w:r>
      <w:r>
        <w:rPr>
          <w:spacing w:val="-2"/>
        </w:rPr>
        <w:t> </w:t>
      </w:r>
      <w:r>
        <w:rPr/>
        <w:t>application</w:t>
      </w:r>
      <w:r>
        <w:rPr>
          <w:spacing w:val="-3"/>
        </w:rPr>
        <w:t> </w:t>
      </w:r>
      <w:r>
        <w:rPr/>
        <w:t>of</w:t>
      </w:r>
      <w:r>
        <w:rPr>
          <w:spacing w:val="-2"/>
        </w:rPr>
        <w:t> </w:t>
      </w:r>
      <w:r>
        <w:rPr/>
        <w:t>and</w:t>
      </w:r>
      <w:r>
        <w:rPr>
          <w:spacing w:val="-3"/>
        </w:rPr>
        <w:t> </w:t>
      </w:r>
      <w:r>
        <w:rPr/>
        <w:t>utilization</w:t>
      </w:r>
      <w:r>
        <w:rPr>
          <w:spacing w:val="-3"/>
        </w:rPr>
        <w:t> </w:t>
      </w:r>
      <w:r>
        <w:rPr/>
        <w:t>of</w:t>
      </w:r>
      <w:r>
        <w:rPr>
          <w:spacing w:val="-2"/>
        </w:rPr>
        <w:t> </w:t>
      </w:r>
      <w:r>
        <w:rPr/>
        <w:t>comparable</w:t>
      </w:r>
      <w:r>
        <w:rPr>
          <w:spacing w:val="-3"/>
        </w:rPr>
        <w:t> </w:t>
      </w:r>
      <w:r>
        <w:rPr/>
        <w:t>benefits</w:t>
      </w:r>
      <w:r>
        <w:rPr>
          <w:spacing w:val="-3"/>
        </w:rPr>
        <w:t> </w:t>
      </w:r>
      <w:r>
        <w:rPr/>
        <w:t>to</w:t>
      </w:r>
      <w:r>
        <w:rPr>
          <w:spacing w:val="-3"/>
        </w:rPr>
        <w:t> </w:t>
      </w:r>
      <w:r>
        <w:rPr/>
        <w:t>defray</w:t>
      </w:r>
      <w:r>
        <w:rPr>
          <w:spacing w:val="-3"/>
        </w:rPr>
        <w:t> </w:t>
      </w:r>
      <w:r>
        <w:rPr/>
        <w:t>the</w:t>
      </w:r>
      <w:r>
        <w:rPr>
          <w:spacing w:val="-3"/>
        </w:rPr>
        <w:t> </w:t>
      </w:r>
      <w:r>
        <w:rPr/>
        <w:t>costs</w:t>
      </w:r>
      <w:r>
        <w:rPr>
          <w:spacing w:val="-3"/>
        </w:rPr>
        <w:t> </w:t>
      </w:r>
      <w:r>
        <w:rPr/>
        <w:t>of</w:t>
      </w:r>
      <w:r>
        <w:rPr>
          <w:spacing w:val="-5"/>
        </w:rPr>
        <w:t> </w:t>
      </w:r>
      <w:r>
        <w:rPr/>
        <w:t>DRS services including a referral to the client to the appropriate provider of the comparable benefit.</w:t>
      </w:r>
    </w:p>
    <w:p>
      <w:pPr>
        <w:pStyle w:val="BodyText"/>
        <w:spacing w:line="208" w:lineRule="auto"/>
        <w:ind w:left="809" w:right="775"/>
      </w:pPr>
      <w:r>
        <w:rPr/>
        <w:t>Documentation of a discussion concerning the financial requirement for specific services</w:t>
      </w:r>
      <w:r>
        <w:rPr>
          <w:spacing w:val="-3"/>
        </w:rPr>
        <w:t> </w:t>
      </w:r>
      <w:r>
        <w:rPr/>
        <w:t>and</w:t>
      </w:r>
      <w:r>
        <w:rPr>
          <w:spacing w:val="-3"/>
        </w:rPr>
        <w:t> </w:t>
      </w:r>
      <w:r>
        <w:rPr/>
        <w:t>an</w:t>
      </w:r>
      <w:r>
        <w:rPr>
          <w:spacing w:val="-3"/>
        </w:rPr>
        <w:t> </w:t>
      </w:r>
      <w:r>
        <w:rPr/>
        <w:t>explanation</w:t>
      </w:r>
      <w:r>
        <w:rPr>
          <w:spacing w:val="-3"/>
        </w:rPr>
        <w:t> </w:t>
      </w:r>
      <w:r>
        <w:rPr/>
        <w:t>of</w:t>
      </w:r>
      <w:r>
        <w:rPr>
          <w:spacing w:val="-3"/>
        </w:rPr>
        <w:t> </w:t>
      </w:r>
      <w:r>
        <w:rPr/>
        <w:t>the</w:t>
      </w:r>
      <w:r>
        <w:rPr>
          <w:spacing w:val="-3"/>
        </w:rPr>
        <w:t> </w:t>
      </w:r>
      <w:r>
        <w:rPr/>
        <w:t>required</w:t>
      </w:r>
      <w:r>
        <w:rPr>
          <w:spacing w:val="-3"/>
        </w:rPr>
        <w:t> </w:t>
      </w:r>
      <w:r>
        <w:rPr/>
        <w:t>client</w:t>
      </w:r>
      <w:r>
        <w:rPr>
          <w:spacing w:val="-3"/>
        </w:rPr>
        <w:t> </w:t>
      </w:r>
      <w:r>
        <w:rPr/>
        <w:t>participation</w:t>
      </w:r>
      <w:r>
        <w:rPr>
          <w:spacing w:val="-3"/>
        </w:rPr>
        <w:t> </w:t>
      </w:r>
      <w:r>
        <w:rPr/>
        <w:t>in</w:t>
      </w:r>
      <w:r>
        <w:rPr>
          <w:spacing w:val="-3"/>
        </w:rPr>
        <w:t> </w:t>
      </w:r>
      <w:r>
        <w:rPr/>
        <w:t>the</w:t>
      </w:r>
      <w:r>
        <w:rPr>
          <w:spacing w:val="-3"/>
        </w:rPr>
        <w:t> </w:t>
      </w:r>
      <w:r>
        <w:rPr/>
        <w:t>cost</w:t>
      </w:r>
      <w:r>
        <w:rPr>
          <w:spacing w:val="-3"/>
        </w:rPr>
        <w:t> </w:t>
      </w:r>
      <w:r>
        <w:rPr/>
        <w:t>of</w:t>
      </w:r>
      <w:r>
        <w:rPr>
          <w:spacing w:val="-4"/>
        </w:rPr>
        <w:t> </w:t>
      </w:r>
      <w:r>
        <w:rPr/>
        <w:t>those </w:t>
      </w:r>
      <w:r>
        <w:rPr>
          <w:spacing w:val="-2"/>
        </w:rPr>
        <w:t>services.</w:t>
      </w:r>
    </w:p>
    <w:p>
      <w:pPr>
        <w:pStyle w:val="BodyText"/>
        <w:spacing w:line="208" w:lineRule="auto"/>
        <w:ind w:left="809" w:right="1036"/>
      </w:pPr>
      <w:r>
        <w:rPr/>
        <w:t>As</w:t>
      </w:r>
      <w:r>
        <w:rPr>
          <w:spacing w:val="-4"/>
        </w:rPr>
        <w:t> </w:t>
      </w:r>
      <w:r>
        <w:rPr/>
        <w:t>appropriate</w:t>
      </w:r>
      <w:r>
        <w:rPr>
          <w:spacing w:val="-4"/>
        </w:rPr>
        <w:t> </w:t>
      </w:r>
      <w:r>
        <w:rPr/>
        <w:t>for</w:t>
      </w:r>
      <w:r>
        <w:rPr>
          <w:spacing w:val="-3"/>
        </w:rPr>
        <w:t> </w:t>
      </w:r>
      <w:r>
        <w:rPr/>
        <w:t>applicants</w:t>
      </w:r>
      <w:r>
        <w:rPr>
          <w:spacing w:val="-4"/>
        </w:rPr>
        <w:t> </w:t>
      </w:r>
      <w:r>
        <w:rPr/>
        <w:t>that</w:t>
      </w:r>
      <w:r>
        <w:rPr>
          <w:spacing w:val="-3"/>
        </w:rPr>
        <w:t> </w:t>
      </w:r>
      <w:r>
        <w:rPr/>
        <w:t>inform</w:t>
      </w:r>
      <w:r>
        <w:rPr>
          <w:spacing w:val="-5"/>
        </w:rPr>
        <w:t> </w:t>
      </w:r>
      <w:r>
        <w:rPr/>
        <w:t>the</w:t>
      </w:r>
      <w:r>
        <w:rPr>
          <w:spacing w:val="-4"/>
        </w:rPr>
        <w:t> </w:t>
      </w:r>
      <w:r>
        <w:rPr/>
        <w:t>counselor</w:t>
      </w:r>
      <w:r>
        <w:rPr>
          <w:spacing w:val="-3"/>
        </w:rPr>
        <w:t> </w:t>
      </w:r>
      <w:r>
        <w:rPr/>
        <w:t>they</w:t>
      </w:r>
      <w:r>
        <w:rPr>
          <w:spacing w:val="-4"/>
        </w:rPr>
        <w:t> </w:t>
      </w:r>
      <w:r>
        <w:rPr/>
        <w:t>are</w:t>
      </w:r>
      <w:r>
        <w:rPr>
          <w:spacing w:val="-4"/>
        </w:rPr>
        <w:t> </w:t>
      </w:r>
      <w:r>
        <w:rPr/>
        <w:t>individuals</w:t>
      </w:r>
      <w:r>
        <w:rPr>
          <w:spacing w:val="-4"/>
        </w:rPr>
        <w:t> </w:t>
      </w:r>
      <w:r>
        <w:rPr/>
        <w:t>who have a disability or is blind as determined pursuant to Titles II (federal old age, survivors, and disability insurance benefits) or XVI (SSI) will be informed of the</w:t>
      </w:r>
    </w:p>
    <w:p>
      <w:pPr>
        <w:pStyle w:val="BodyText"/>
        <w:spacing w:after="0" w:line="208" w:lineRule="auto"/>
        <w:sectPr>
          <w:pgSz w:w="12240" w:h="15840"/>
          <w:pgMar w:top="1340" w:bottom="280" w:left="1080" w:right="720"/>
        </w:sectPr>
      </w:pPr>
    </w:p>
    <w:p>
      <w:pPr>
        <w:pStyle w:val="BodyText"/>
        <w:spacing w:line="208" w:lineRule="auto" w:before="96"/>
        <w:ind w:left="810" w:right="739"/>
      </w:pPr>
      <w:r>
        <w:rPr/>
        <w:t>meaning of and the process of Presumption of Eligibility and the appropriate forms will</w:t>
      </w:r>
      <w:r>
        <w:rPr>
          <w:spacing w:val="-3"/>
        </w:rPr>
        <w:t> </w:t>
      </w:r>
      <w:r>
        <w:rPr/>
        <w:t>be</w:t>
      </w:r>
      <w:r>
        <w:rPr>
          <w:spacing w:val="-3"/>
        </w:rPr>
        <w:t> </w:t>
      </w:r>
      <w:r>
        <w:rPr/>
        <w:t>completed.</w:t>
      </w:r>
      <w:r>
        <w:rPr>
          <w:spacing w:val="40"/>
        </w:rPr>
        <w:t> </w:t>
      </w:r>
      <w:r>
        <w:rPr/>
        <w:t>The</w:t>
      </w:r>
      <w:r>
        <w:rPr>
          <w:spacing w:val="-3"/>
        </w:rPr>
        <w:t> </w:t>
      </w:r>
      <w:r>
        <w:rPr/>
        <w:t>appropriate</w:t>
      </w:r>
      <w:r>
        <w:rPr>
          <w:spacing w:val="-3"/>
        </w:rPr>
        <w:t> </w:t>
      </w:r>
      <w:r>
        <w:rPr/>
        <w:t>SSA</w:t>
      </w:r>
      <w:r>
        <w:rPr>
          <w:spacing w:val="-3"/>
        </w:rPr>
        <w:t> </w:t>
      </w:r>
      <w:r>
        <w:rPr/>
        <w:t>3266</w:t>
      </w:r>
      <w:r>
        <w:rPr>
          <w:spacing w:val="-3"/>
        </w:rPr>
        <w:t> </w:t>
      </w:r>
      <w:r>
        <w:rPr/>
        <w:t>form</w:t>
      </w:r>
      <w:r>
        <w:rPr>
          <w:spacing w:val="-4"/>
        </w:rPr>
        <w:t> </w:t>
      </w:r>
      <w:r>
        <w:rPr/>
        <w:t>will</w:t>
      </w:r>
      <w:r>
        <w:rPr>
          <w:spacing w:val="-2"/>
        </w:rPr>
        <w:t> </w:t>
      </w:r>
      <w:r>
        <w:rPr/>
        <w:t>be</w:t>
      </w:r>
      <w:r>
        <w:rPr>
          <w:spacing w:val="-3"/>
        </w:rPr>
        <w:t> </w:t>
      </w:r>
      <w:r>
        <w:rPr/>
        <w:t>completed</w:t>
      </w:r>
      <w:r>
        <w:rPr>
          <w:spacing w:val="-3"/>
        </w:rPr>
        <w:t> </w:t>
      </w:r>
      <w:r>
        <w:rPr/>
        <w:t>and</w:t>
      </w:r>
      <w:r>
        <w:rPr>
          <w:spacing w:val="-3"/>
        </w:rPr>
        <w:t> </w:t>
      </w:r>
      <w:r>
        <w:rPr/>
        <w:t>signed</w:t>
      </w:r>
      <w:r>
        <w:rPr>
          <w:spacing w:val="-3"/>
        </w:rPr>
        <w:t> </w:t>
      </w:r>
      <w:r>
        <w:rPr/>
        <w:t>by the application.</w:t>
      </w:r>
    </w:p>
    <w:p>
      <w:pPr>
        <w:pStyle w:val="BodyText"/>
        <w:spacing w:line="208" w:lineRule="auto"/>
        <w:ind w:left="1080" w:right="775"/>
      </w:pPr>
      <w:r>
        <w:rPr/>
        <w:t>Applicants will be informed of the need for pertinent medical or evaluation information</w:t>
      </w:r>
      <w:r>
        <w:rPr>
          <w:spacing w:val="-4"/>
        </w:rPr>
        <w:t> </w:t>
      </w:r>
      <w:r>
        <w:rPr/>
        <w:t>from</w:t>
      </w:r>
      <w:r>
        <w:rPr>
          <w:spacing w:val="-5"/>
        </w:rPr>
        <w:t> </w:t>
      </w:r>
      <w:r>
        <w:rPr/>
        <w:t>a</w:t>
      </w:r>
      <w:r>
        <w:rPr>
          <w:spacing w:val="-4"/>
        </w:rPr>
        <w:t> </w:t>
      </w:r>
      <w:r>
        <w:rPr/>
        <w:t>qualified</w:t>
      </w:r>
      <w:r>
        <w:rPr>
          <w:spacing w:val="-4"/>
        </w:rPr>
        <w:t> </w:t>
      </w:r>
      <w:r>
        <w:rPr/>
        <w:t>personnel</w:t>
      </w:r>
      <w:r>
        <w:rPr>
          <w:spacing w:val="-4"/>
        </w:rPr>
        <w:t> </w:t>
      </w:r>
      <w:r>
        <w:rPr/>
        <w:t>and</w:t>
      </w:r>
      <w:r>
        <w:rPr>
          <w:spacing w:val="-4"/>
        </w:rPr>
        <w:t> </w:t>
      </w:r>
      <w:r>
        <w:rPr/>
        <w:t>Release</w:t>
      </w:r>
      <w:r>
        <w:rPr>
          <w:spacing w:val="-4"/>
        </w:rPr>
        <w:t> </w:t>
      </w:r>
      <w:r>
        <w:rPr/>
        <w:t>of</w:t>
      </w:r>
      <w:r>
        <w:rPr>
          <w:spacing w:val="-3"/>
        </w:rPr>
        <w:t> </w:t>
      </w:r>
      <w:r>
        <w:rPr/>
        <w:t>Information</w:t>
      </w:r>
      <w:r>
        <w:rPr>
          <w:spacing w:val="-5"/>
        </w:rPr>
        <w:t> </w:t>
      </w:r>
      <w:r>
        <w:rPr/>
        <w:t>forms</w:t>
      </w:r>
      <w:r>
        <w:rPr>
          <w:spacing w:val="-4"/>
        </w:rPr>
        <w:t> </w:t>
      </w:r>
      <w:r>
        <w:rPr/>
        <w:t>will</w:t>
      </w:r>
      <w:r>
        <w:rPr>
          <w:spacing w:val="-4"/>
        </w:rPr>
        <w:t> </w:t>
      </w:r>
      <w:r>
        <w:rPr/>
        <w:t>be signed and completed.</w:t>
      </w:r>
      <w:r>
        <w:rPr>
          <w:spacing w:val="40"/>
        </w:rPr>
        <w:t> </w:t>
      </w:r>
      <w:r>
        <w:rPr/>
        <w:t>Documentation when an individual designates their individual representative when signing a release of information form.</w:t>
      </w:r>
    </w:p>
    <w:p>
      <w:pPr>
        <w:pStyle w:val="BodyText"/>
        <w:spacing w:line="208" w:lineRule="auto" w:before="239"/>
        <w:ind w:left="1080" w:right="742"/>
      </w:pPr>
      <w:r>
        <w:rPr/>
        <w:t>A discussion concerning vocational evaluations or any other assessments to assist in identifying the applicant’s unique strengths, resources, priorities, concerns, abilities, capabilities, interests, this assessment is to help determine the</w:t>
      </w:r>
      <w:r>
        <w:rPr>
          <w:spacing w:val="-3"/>
        </w:rPr>
        <w:t> </w:t>
      </w:r>
      <w:r>
        <w:rPr/>
        <w:t>employment</w:t>
      </w:r>
      <w:r>
        <w:rPr>
          <w:spacing w:val="-2"/>
        </w:rPr>
        <w:t> </w:t>
      </w:r>
      <w:r>
        <w:rPr/>
        <w:t>outcome,</w:t>
      </w:r>
      <w:r>
        <w:rPr>
          <w:spacing w:val="-2"/>
        </w:rPr>
        <w:t> </w:t>
      </w:r>
      <w:r>
        <w:rPr/>
        <w:t>and</w:t>
      </w:r>
      <w:r>
        <w:rPr>
          <w:spacing w:val="-3"/>
        </w:rPr>
        <w:t> </w:t>
      </w:r>
      <w:r>
        <w:rPr/>
        <w:t>informed</w:t>
      </w:r>
      <w:r>
        <w:rPr>
          <w:spacing w:val="-3"/>
        </w:rPr>
        <w:t> </w:t>
      </w:r>
      <w:r>
        <w:rPr/>
        <w:t>choices</w:t>
      </w:r>
      <w:r>
        <w:rPr>
          <w:spacing w:val="-3"/>
        </w:rPr>
        <w:t> </w:t>
      </w:r>
      <w:r>
        <w:rPr/>
        <w:t>and</w:t>
      </w:r>
      <w:r>
        <w:rPr>
          <w:spacing w:val="-3"/>
        </w:rPr>
        <w:t> </w:t>
      </w:r>
      <w:r>
        <w:rPr/>
        <w:t>to</w:t>
      </w:r>
      <w:r>
        <w:rPr>
          <w:spacing w:val="-4"/>
        </w:rPr>
        <w:t> </w:t>
      </w:r>
      <w:r>
        <w:rPr/>
        <w:t>help</w:t>
      </w:r>
      <w:r>
        <w:rPr>
          <w:spacing w:val="-3"/>
        </w:rPr>
        <w:t> </w:t>
      </w:r>
      <w:r>
        <w:rPr/>
        <w:t>to</w:t>
      </w:r>
      <w:r>
        <w:rPr>
          <w:spacing w:val="-3"/>
        </w:rPr>
        <w:t> </w:t>
      </w:r>
      <w:r>
        <w:rPr/>
        <w:t>identify</w:t>
      </w:r>
      <w:r>
        <w:rPr>
          <w:spacing w:val="-3"/>
        </w:rPr>
        <w:t> </w:t>
      </w:r>
      <w:r>
        <w:rPr/>
        <w:t>the</w:t>
      </w:r>
      <w:r>
        <w:rPr>
          <w:spacing w:val="-3"/>
        </w:rPr>
        <w:t> </w:t>
      </w:r>
      <w:r>
        <w:rPr/>
        <w:t>nature and</w:t>
      </w:r>
      <w:r>
        <w:rPr>
          <w:spacing w:val="-4"/>
        </w:rPr>
        <w:t> </w:t>
      </w:r>
      <w:r>
        <w:rPr/>
        <w:t>scope</w:t>
      </w:r>
      <w:r>
        <w:rPr>
          <w:spacing w:val="-4"/>
        </w:rPr>
        <w:t> </w:t>
      </w:r>
      <w:r>
        <w:rPr/>
        <w:t>of</w:t>
      </w:r>
      <w:r>
        <w:rPr>
          <w:spacing w:val="-3"/>
        </w:rPr>
        <w:t> </w:t>
      </w:r>
      <w:r>
        <w:rPr/>
        <w:t>vocational</w:t>
      </w:r>
      <w:r>
        <w:rPr>
          <w:spacing w:val="-4"/>
        </w:rPr>
        <w:t> </w:t>
      </w:r>
      <w:r>
        <w:rPr/>
        <w:t>rehabilitation</w:t>
      </w:r>
      <w:r>
        <w:rPr>
          <w:spacing w:val="-4"/>
        </w:rPr>
        <w:t> </w:t>
      </w:r>
      <w:r>
        <w:rPr/>
        <w:t>services</w:t>
      </w:r>
      <w:r>
        <w:rPr>
          <w:spacing w:val="-4"/>
        </w:rPr>
        <w:t> </w:t>
      </w:r>
      <w:r>
        <w:rPr/>
        <w:t>to</w:t>
      </w:r>
      <w:r>
        <w:rPr>
          <w:spacing w:val="-4"/>
        </w:rPr>
        <w:t> </w:t>
      </w:r>
      <w:r>
        <w:rPr/>
        <w:t>be</w:t>
      </w:r>
      <w:r>
        <w:rPr>
          <w:spacing w:val="-4"/>
        </w:rPr>
        <w:t> </w:t>
      </w:r>
      <w:r>
        <w:rPr/>
        <w:t>included</w:t>
      </w:r>
      <w:r>
        <w:rPr>
          <w:spacing w:val="-4"/>
        </w:rPr>
        <w:t> </w:t>
      </w:r>
      <w:r>
        <w:rPr/>
        <w:t>in</w:t>
      </w:r>
      <w:r>
        <w:rPr>
          <w:spacing w:val="-4"/>
        </w:rPr>
        <w:t> </w:t>
      </w:r>
      <w:r>
        <w:rPr/>
        <w:t>the</w:t>
      </w:r>
      <w:r>
        <w:rPr>
          <w:spacing w:val="-3"/>
        </w:rPr>
        <w:t> </w:t>
      </w:r>
      <w:r>
        <w:rPr/>
        <w:t>individualized plan for employment.</w:t>
      </w:r>
    </w:p>
    <w:p>
      <w:pPr>
        <w:pStyle w:val="ListParagraph"/>
        <w:numPr>
          <w:ilvl w:val="0"/>
          <w:numId w:val="114"/>
        </w:numPr>
        <w:tabs>
          <w:tab w:pos="792" w:val="left" w:leader="none"/>
        </w:tabs>
        <w:spacing w:line="208" w:lineRule="auto" w:before="240" w:after="0"/>
        <w:ind w:left="792" w:right="801" w:hanging="432"/>
        <w:jc w:val="left"/>
        <w:rPr>
          <w:sz w:val="24"/>
        </w:rPr>
      </w:pPr>
      <w:r>
        <w:rPr>
          <w:sz w:val="24"/>
        </w:rPr>
        <w:t>The</w:t>
      </w:r>
      <w:r>
        <w:rPr>
          <w:spacing w:val="-4"/>
          <w:sz w:val="24"/>
        </w:rPr>
        <w:t> </w:t>
      </w:r>
      <w:r>
        <w:rPr>
          <w:sz w:val="24"/>
        </w:rPr>
        <w:t>applicant</w:t>
      </w:r>
      <w:r>
        <w:rPr>
          <w:spacing w:val="-3"/>
          <w:sz w:val="24"/>
        </w:rPr>
        <w:t> </w:t>
      </w:r>
      <w:r>
        <w:rPr>
          <w:sz w:val="24"/>
        </w:rPr>
        <w:t>health</w:t>
      </w:r>
      <w:r>
        <w:rPr>
          <w:spacing w:val="-4"/>
          <w:sz w:val="24"/>
        </w:rPr>
        <w:t> </w:t>
      </w:r>
      <w:r>
        <w:rPr>
          <w:sz w:val="24"/>
        </w:rPr>
        <w:t>insurance</w:t>
      </w:r>
      <w:r>
        <w:rPr>
          <w:spacing w:val="-4"/>
          <w:sz w:val="24"/>
        </w:rPr>
        <w:t> </w:t>
      </w:r>
      <w:r>
        <w:rPr>
          <w:sz w:val="24"/>
        </w:rPr>
        <w:t>information</w:t>
      </w:r>
      <w:r>
        <w:rPr>
          <w:spacing w:val="-5"/>
          <w:sz w:val="24"/>
        </w:rPr>
        <w:t> </w:t>
      </w:r>
      <w:r>
        <w:rPr>
          <w:sz w:val="24"/>
        </w:rPr>
        <w:t>must</w:t>
      </w:r>
      <w:r>
        <w:rPr>
          <w:spacing w:val="-3"/>
          <w:sz w:val="24"/>
        </w:rPr>
        <w:t> </w:t>
      </w:r>
      <w:r>
        <w:rPr>
          <w:sz w:val="24"/>
        </w:rPr>
        <w:t>be</w:t>
      </w:r>
      <w:r>
        <w:rPr>
          <w:spacing w:val="-4"/>
          <w:sz w:val="24"/>
        </w:rPr>
        <w:t> </w:t>
      </w:r>
      <w:r>
        <w:rPr>
          <w:sz w:val="24"/>
        </w:rPr>
        <w:t>entered</w:t>
      </w:r>
      <w:r>
        <w:rPr>
          <w:spacing w:val="-4"/>
          <w:sz w:val="24"/>
        </w:rPr>
        <w:t> </w:t>
      </w:r>
      <w:r>
        <w:rPr>
          <w:sz w:val="24"/>
        </w:rPr>
        <w:t>into</w:t>
      </w:r>
      <w:r>
        <w:rPr>
          <w:spacing w:val="-4"/>
          <w:sz w:val="24"/>
        </w:rPr>
        <w:t> </w:t>
      </w:r>
      <w:r>
        <w:rPr>
          <w:sz w:val="24"/>
        </w:rPr>
        <w:t>the</w:t>
      </w:r>
      <w:r>
        <w:rPr>
          <w:spacing w:val="-4"/>
          <w:sz w:val="24"/>
        </w:rPr>
        <w:t> </w:t>
      </w:r>
      <w:r>
        <w:rPr>
          <w:sz w:val="24"/>
        </w:rPr>
        <w:t>electronic</w:t>
      </w:r>
      <w:r>
        <w:rPr>
          <w:spacing w:val="-4"/>
          <w:sz w:val="24"/>
        </w:rPr>
        <w:t> </w:t>
      </w:r>
      <w:r>
        <w:rPr>
          <w:sz w:val="24"/>
        </w:rPr>
        <w:t>case management system at the time of application. This may be accomplished by:</w:t>
      </w:r>
    </w:p>
    <w:p>
      <w:pPr>
        <w:pStyle w:val="ListParagraph"/>
        <w:numPr>
          <w:ilvl w:val="1"/>
          <w:numId w:val="114"/>
        </w:numPr>
        <w:tabs>
          <w:tab w:pos="1649" w:val="left" w:leader="none"/>
        </w:tabs>
        <w:spacing w:line="208" w:lineRule="auto" w:before="239" w:after="0"/>
        <w:ind w:left="1224" w:right="954" w:firstLine="0"/>
        <w:jc w:val="left"/>
        <w:rPr>
          <w:sz w:val="24"/>
        </w:rPr>
      </w:pPr>
      <w:r>
        <w:rPr>
          <w:sz w:val="24"/>
        </w:rPr>
        <w:t>Making</w:t>
      </w:r>
      <w:r>
        <w:rPr>
          <w:spacing w:val="-3"/>
          <w:sz w:val="24"/>
        </w:rPr>
        <w:t> </w:t>
      </w:r>
      <w:r>
        <w:rPr>
          <w:sz w:val="24"/>
        </w:rPr>
        <w:t>a</w:t>
      </w:r>
      <w:r>
        <w:rPr>
          <w:spacing w:val="-3"/>
          <w:sz w:val="24"/>
        </w:rPr>
        <w:t> </w:t>
      </w:r>
      <w:r>
        <w:rPr>
          <w:sz w:val="24"/>
        </w:rPr>
        <w:t>front</w:t>
      </w:r>
      <w:r>
        <w:rPr>
          <w:spacing w:val="-4"/>
          <w:sz w:val="24"/>
        </w:rPr>
        <w:t> </w:t>
      </w:r>
      <w:r>
        <w:rPr>
          <w:sz w:val="24"/>
        </w:rPr>
        <w:t>and</w:t>
      </w:r>
      <w:r>
        <w:rPr>
          <w:spacing w:val="-3"/>
          <w:sz w:val="24"/>
        </w:rPr>
        <w:t> </w:t>
      </w:r>
      <w:r>
        <w:rPr>
          <w:sz w:val="24"/>
        </w:rPr>
        <w:t>back</w:t>
      </w:r>
      <w:r>
        <w:rPr>
          <w:spacing w:val="-3"/>
          <w:sz w:val="24"/>
        </w:rPr>
        <w:t> </w:t>
      </w:r>
      <w:r>
        <w:rPr>
          <w:sz w:val="24"/>
        </w:rPr>
        <w:t>copy</w:t>
      </w:r>
      <w:r>
        <w:rPr>
          <w:spacing w:val="-3"/>
          <w:sz w:val="24"/>
        </w:rPr>
        <w:t> </w:t>
      </w:r>
      <w:r>
        <w:rPr>
          <w:sz w:val="24"/>
        </w:rPr>
        <w:t>of</w:t>
      </w:r>
      <w:r>
        <w:rPr>
          <w:spacing w:val="-2"/>
          <w:sz w:val="24"/>
        </w:rPr>
        <w:t> </w:t>
      </w:r>
      <w:r>
        <w:rPr>
          <w:sz w:val="24"/>
        </w:rPr>
        <w:t>the</w:t>
      </w:r>
      <w:r>
        <w:rPr>
          <w:spacing w:val="-3"/>
          <w:sz w:val="24"/>
        </w:rPr>
        <w:t> </w:t>
      </w:r>
      <w:r>
        <w:rPr>
          <w:sz w:val="24"/>
        </w:rPr>
        <w:t>applicant’s</w:t>
      </w:r>
      <w:r>
        <w:rPr>
          <w:spacing w:val="-3"/>
          <w:sz w:val="24"/>
        </w:rPr>
        <w:t> </w:t>
      </w:r>
      <w:r>
        <w:rPr>
          <w:sz w:val="24"/>
        </w:rPr>
        <w:t>health</w:t>
      </w:r>
      <w:r>
        <w:rPr>
          <w:spacing w:val="-3"/>
          <w:sz w:val="24"/>
        </w:rPr>
        <w:t> </w:t>
      </w:r>
      <w:r>
        <w:rPr>
          <w:sz w:val="24"/>
        </w:rPr>
        <w:t>insurance</w:t>
      </w:r>
      <w:r>
        <w:rPr>
          <w:spacing w:val="-3"/>
          <w:sz w:val="24"/>
        </w:rPr>
        <w:t> </w:t>
      </w:r>
      <w:r>
        <w:rPr>
          <w:sz w:val="24"/>
        </w:rPr>
        <w:t>card</w:t>
      </w:r>
      <w:r>
        <w:rPr>
          <w:spacing w:val="-3"/>
          <w:sz w:val="24"/>
        </w:rPr>
        <w:t> </w:t>
      </w:r>
      <w:r>
        <w:rPr>
          <w:sz w:val="24"/>
        </w:rPr>
        <w:t>and placing it in the case file at the time of application;</w:t>
      </w:r>
    </w:p>
    <w:p>
      <w:pPr>
        <w:pStyle w:val="ListParagraph"/>
        <w:numPr>
          <w:ilvl w:val="1"/>
          <w:numId w:val="114"/>
        </w:numPr>
        <w:tabs>
          <w:tab w:pos="1650" w:val="left" w:leader="none"/>
        </w:tabs>
        <w:spacing w:line="208" w:lineRule="auto" w:before="240" w:after="0"/>
        <w:ind w:left="1224" w:right="1210" w:firstLine="0"/>
        <w:jc w:val="left"/>
        <w:rPr>
          <w:sz w:val="24"/>
        </w:rPr>
      </w:pPr>
      <w:r>
        <w:rPr>
          <w:sz w:val="24"/>
        </w:rPr>
        <w:t>Scanning</w:t>
      </w:r>
      <w:r>
        <w:rPr>
          <w:spacing w:val="-4"/>
          <w:sz w:val="24"/>
        </w:rPr>
        <w:t> </w:t>
      </w:r>
      <w:r>
        <w:rPr>
          <w:sz w:val="24"/>
        </w:rPr>
        <w:t>the</w:t>
      </w:r>
      <w:r>
        <w:rPr>
          <w:spacing w:val="-4"/>
          <w:sz w:val="24"/>
        </w:rPr>
        <w:t> </w:t>
      </w:r>
      <w:r>
        <w:rPr>
          <w:sz w:val="24"/>
        </w:rPr>
        <w:t>card</w:t>
      </w:r>
      <w:r>
        <w:rPr>
          <w:spacing w:val="-4"/>
          <w:sz w:val="24"/>
        </w:rPr>
        <w:t> </w:t>
      </w:r>
      <w:r>
        <w:rPr>
          <w:sz w:val="24"/>
        </w:rPr>
        <w:t>for</w:t>
      </w:r>
      <w:r>
        <w:rPr>
          <w:spacing w:val="-3"/>
          <w:sz w:val="24"/>
        </w:rPr>
        <w:t> </w:t>
      </w:r>
      <w:r>
        <w:rPr>
          <w:sz w:val="24"/>
        </w:rPr>
        <w:t>inclusion</w:t>
      </w:r>
      <w:r>
        <w:rPr>
          <w:spacing w:val="-4"/>
          <w:sz w:val="24"/>
        </w:rPr>
        <w:t> </w:t>
      </w:r>
      <w:r>
        <w:rPr>
          <w:sz w:val="24"/>
        </w:rPr>
        <w:t>in</w:t>
      </w:r>
      <w:r>
        <w:rPr>
          <w:spacing w:val="-4"/>
          <w:sz w:val="24"/>
        </w:rPr>
        <w:t> </w:t>
      </w:r>
      <w:r>
        <w:rPr>
          <w:sz w:val="24"/>
        </w:rPr>
        <w:t>the</w:t>
      </w:r>
      <w:r>
        <w:rPr>
          <w:spacing w:val="-4"/>
          <w:sz w:val="24"/>
        </w:rPr>
        <w:t> </w:t>
      </w:r>
      <w:r>
        <w:rPr>
          <w:sz w:val="24"/>
        </w:rPr>
        <w:t>electronic</w:t>
      </w:r>
      <w:r>
        <w:rPr>
          <w:spacing w:val="-4"/>
          <w:sz w:val="24"/>
        </w:rPr>
        <w:t> </w:t>
      </w:r>
      <w:r>
        <w:rPr>
          <w:sz w:val="24"/>
        </w:rPr>
        <w:t>case</w:t>
      </w:r>
      <w:r>
        <w:rPr>
          <w:spacing w:val="-4"/>
          <w:sz w:val="24"/>
        </w:rPr>
        <w:t> </w:t>
      </w:r>
      <w:r>
        <w:rPr>
          <w:sz w:val="24"/>
        </w:rPr>
        <w:t>file</w:t>
      </w:r>
      <w:r>
        <w:rPr>
          <w:spacing w:val="-4"/>
          <w:sz w:val="24"/>
        </w:rPr>
        <w:t> </w:t>
      </w:r>
      <w:r>
        <w:rPr>
          <w:sz w:val="24"/>
        </w:rPr>
        <w:t>as</w:t>
      </w:r>
      <w:r>
        <w:rPr>
          <w:spacing w:val="-4"/>
          <w:sz w:val="24"/>
        </w:rPr>
        <w:t> </w:t>
      </w:r>
      <w:r>
        <w:rPr>
          <w:sz w:val="24"/>
        </w:rPr>
        <w:t>appropriate when an office has converted to paperless case files;</w:t>
      </w:r>
    </w:p>
    <w:p>
      <w:pPr>
        <w:pStyle w:val="ListParagraph"/>
        <w:numPr>
          <w:ilvl w:val="1"/>
          <w:numId w:val="114"/>
        </w:numPr>
        <w:tabs>
          <w:tab w:pos="1637" w:val="left" w:leader="none"/>
        </w:tabs>
        <w:spacing w:line="208" w:lineRule="auto" w:before="240" w:after="0"/>
        <w:ind w:left="1224" w:right="793" w:firstLine="0"/>
        <w:jc w:val="left"/>
        <w:rPr>
          <w:sz w:val="24"/>
        </w:rPr>
      </w:pPr>
      <w:r>
        <w:rPr>
          <w:sz w:val="24"/>
        </w:rPr>
        <w:t>Hand-copying insurance information to the application form, when an application</w:t>
      </w:r>
      <w:r>
        <w:rPr>
          <w:spacing w:val="-3"/>
          <w:sz w:val="24"/>
        </w:rPr>
        <w:t> </w:t>
      </w:r>
      <w:r>
        <w:rPr>
          <w:sz w:val="24"/>
        </w:rPr>
        <w:t>is</w:t>
      </w:r>
      <w:r>
        <w:rPr>
          <w:spacing w:val="-4"/>
          <w:sz w:val="24"/>
        </w:rPr>
        <w:t> </w:t>
      </w:r>
      <w:r>
        <w:rPr>
          <w:sz w:val="24"/>
        </w:rPr>
        <w:t>taken</w:t>
      </w:r>
      <w:r>
        <w:rPr>
          <w:spacing w:val="-4"/>
          <w:sz w:val="24"/>
        </w:rPr>
        <w:t> </w:t>
      </w:r>
      <w:r>
        <w:rPr>
          <w:sz w:val="24"/>
        </w:rPr>
        <w:t>at</w:t>
      </w:r>
      <w:r>
        <w:rPr>
          <w:spacing w:val="-3"/>
          <w:sz w:val="24"/>
        </w:rPr>
        <w:t> </w:t>
      </w:r>
      <w:r>
        <w:rPr>
          <w:sz w:val="24"/>
        </w:rPr>
        <w:t>the</w:t>
      </w:r>
      <w:r>
        <w:rPr>
          <w:spacing w:val="-4"/>
          <w:sz w:val="24"/>
        </w:rPr>
        <w:t> </w:t>
      </w:r>
      <w:r>
        <w:rPr>
          <w:sz w:val="24"/>
        </w:rPr>
        <w:t>client’s</w:t>
      </w:r>
      <w:r>
        <w:rPr>
          <w:spacing w:val="-3"/>
          <w:sz w:val="24"/>
        </w:rPr>
        <w:t> </w:t>
      </w:r>
      <w:r>
        <w:rPr>
          <w:sz w:val="24"/>
        </w:rPr>
        <w:t>home</w:t>
      </w:r>
      <w:r>
        <w:rPr>
          <w:spacing w:val="-4"/>
          <w:sz w:val="24"/>
        </w:rPr>
        <w:t> </w:t>
      </w:r>
      <w:r>
        <w:rPr>
          <w:sz w:val="24"/>
        </w:rPr>
        <w:t>or</w:t>
      </w:r>
      <w:r>
        <w:rPr>
          <w:spacing w:val="-3"/>
          <w:sz w:val="24"/>
        </w:rPr>
        <w:t> </w:t>
      </w:r>
      <w:r>
        <w:rPr>
          <w:sz w:val="24"/>
        </w:rPr>
        <w:t>other</w:t>
      </w:r>
      <w:r>
        <w:rPr>
          <w:spacing w:val="-3"/>
          <w:sz w:val="24"/>
        </w:rPr>
        <w:t> </w:t>
      </w:r>
      <w:r>
        <w:rPr>
          <w:sz w:val="24"/>
        </w:rPr>
        <w:t>remote</w:t>
      </w:r>
      <w:r>
        <w:rPr>
          <w:spacing w:val="-5"/>
          <w:sz w:val="24"/>
        </w:rPr>
        <w:t> </w:t>
      </w:r>
      <w:r>
        <w:rPr>
          <w:sz w:val="24"/>
        </w:rPr>
        <w:t>location</w:t>
      </w:r>
      <w:r>
        <w:rPr>
          <w:spacing w:val="-4"/>
          <w:sz w:val="24"/>
        </w:rPr>
        <w:t> </w:t>
      </w:r>
      <w:r>
        <w:rPr>
          <w:sz w:val="24"/>
        </w:rPr>
        <w:t>and</w:t>
      </w:r>
      <w:r>
        <w:rPr>
          <w:spacing w:val="-4"/>
          <w:sz w:val="24"/>
        </w:rPr>
        <w:t> </w:t>
      </w:r>
      <w:r>
        <w:rPr>
          <w:sz w:val="24"/>
        </w:rPr>
        <w:t>photocopy or scanning equipment is not available; or</w:t>
      </w:r>
    </w:p>
    <w:p>
      <w:pPr>
        <w:pStyle w:val="ListParagraph"/>
        <w:numPr>
          <w:ilvl w:val="1"/>
          <w:numId w:val="114"/>
        </w:numPr>
        <w:tabs>
          <w:tab w:pos="1650" w:val="left" w:leader="none"/>
        </w:tabs>
        <w:spacing w:line="208" w:lineRule="auto" w:before="240" w:after="0"/>
        <w:ind w:left="1224" w:right="768" w:firstLine="0"/>
        <w:jc w:val="left"/>
        <w:rPr>
          <w:sz w:val="24"/>
        </w:rPr>
      </w:pPr>
      <w:r>
        <w:rPr>
          <w:sz w:val="24"/>
        </w:rPr>
        <w:t>Using other alternate methods of recording insurance information so that it may be entered into the fields provided in the electronic case management system.</w:t>
      </w:r>
      <w:r>
        <w:rPr>
          <w:spacing w:val="-4"/>
          <w:sz w:val="24"/>
        </w:rPr>
        <w:t> </w:t>
      </w:r>
      <w:r>
        <w:rPr>
          <w:sz w:val="24"/>
        </w:rPr>
        <w:t>If</w:t>
      </w:r>
      <w:r>
        <w:rPr>
          <w:spacing w:val="-4"/>
          <w:sz w:val="24"/>
        </w:rPr>
        <w:t> </w:t>
      </w:r>
      <w:r>
        <w:rPr>
          <w:sz w:val="24"/>
        </w:rPr>
        <w:t>the</w:t>
      </w:r>
      <w:r>
        <w:rPr>
          <w:spacing w:val="-3"/>
          <w:sz w:val="24"/>
        </w:rPr>
        <w:t> </w:t>
      </w:r>
      <w:r>
        <w:rPr>
          <w:sz w:val="24"/>
        </w:rPr>
        <w:t>client</w:t>
      </w:r>
      <w:r>
        <w:rPr>
          <w:spacing w:val="-2"/>
          <w:sz w:val="24"/>
        </w:rPr>
        <w:t> </w:t>
      </w:r>
      <w:r>
        <w:rPr>
          <w:sz w:val="24"/>
        </w:rPr>
        <w:t>does</w:t>
      </w:r>
      <w:r>
        <w:rPr>
          <w:spacing w:val="-3"/>
          <w:sz w:val="24"/>
        </w:rPr>
        <w:t> </w:t>
      </w:r>
      <w:r>
        <w:rPr>
          <w:sz w:val="24"/>
        </w:rPr>
        <w:t>not</w:t>
      </w:r>
      <w:r>
        <w:rPr>
          <w:spacing w:val="-2"/>
          <w:sz w:val="24"/>
        </w:rPr>
        <w:t> </w:t>
      </w:r>
      <w:r>
        <w:rPr>
          <w:sz w:val="24"/>
        </w:rPr>
        <w:t>have</w:t>
      </w:r>
      <w:r>
        <w:rPr>
          <w:spacing w:val="-3"/>
          <w:sz w:val="24"/>
        </w:rPr>
        <w:t> </w:t>
      </w:r>
      <w:r>
        <w:rPr>
          <w:sz w:val="24"/>
        </w:rPr>
        <w:t>a</w:t>
      </w:r>
      <w:r>
        <w:rPr>
          <w:spacing w:val="-3"/>
          <w:sz w:val="24"/>
        </w:rPr>
        <w:t> </w:t>
      </w:r>
      <w:r>
        <w:rPr>
          <w:sz w:val="24"/>
        </w:rPr>
        <w:t>health</w:t>
      </w:r>
      <w:r>
        <w:rPr>
          <w:spacing w:val="-3"/>
          <w:sz w:val="24"/>
        </w:rPr>
        <w:t> </w:t>
      </w:r>
      <w:r>
        <w:rPr>
          <w:sz w:val="24"/>
        </w:rPr>
        <w:t>insurance</w:t>
      </w:r>
      <w:r>
        <w:rPr>
          <w:spacing w:val="-3"/>
          <w:sz w:val="24"/>
        </w:rPr>
        <w:t> </w:t>
      </w:r>
      <w:r>
        <w:rPr>
          <w:sz w:val="24"/>
        </w:rPr>
        <w:t>card,</w:t>
      </w:r>
      <w:r>
        <w:rPr>
          <w:spacing w:val="-2"/>
          <w:sz w:val="24"/>
        </w:rPr>
        <w:t> </w:t>
      </w:r>
      <w:r>
        <w:rPr>
          <w:sz w:val="24"/>
        </w:rPr>
        <w:t>any</w:t>
      </w:r>
      <w:r>
        <w:rPr>
          <w:spacing w:val="-3"/>
          <w:sz w:val="24"/>
        </w:rPr>
        <w:t> </w:t>
      </w:r>
      <w:r>
        <w:rPr>
          <w:sz w:val="24"/>
        </w:rPr>
        <w:t>available</w:t>
      </w:r>
      <w:r>
        <w:rPr>
          <w:spacing w:val="-3"/>
          <w:sz w:val="24"/>
        </w:rPr>
        <w:t> </w:t>
      </w:r>
      <w:r>
        <w:rPr>
          <w:sz w:val="24"/>
        </w:rPr>
        <w:t>health coverage information should be obtained and entered in the system.</w:t>
      </w:r>
    </w:p>
    <w:p>
      <w:pPr>
        <w:pStyle w:val="BodyText"/>
        <w:spacing w:line="208" w:lineRule="auto" w:before="239"/>
        <w:ind w:left="1224" w:right="775"/>
      </w:pPr>
      <w:r>
        <w:rPr/>
        <w:t>"Insurance</w:t>
      </w:r>
      <w:r>
        <w:rPr>
          <w:spacing w:val="-5"/>
        </w:rPr>
        <w:t> </w:t>
      </w:r>
      <w:r>
        <w:rPr/>
        <w:t>card"</w:t>
      </w:r>
      <w:r>
        <w:rPr>
          <w:spacing w:val="-5"/>
        </w:rPr>
        <w:t> </w:t>
      </w:r>
      <w:r>
        <w:rPr/>
        <w:t>means</w:t>
      </w:r>
      <w:r>
        <w:rPr>
          <w:spacing w:val="-5"/>
        </w:rPr>
        <w:t> </w:t>
      </w:r>
      <w:r>
        <w:rPr/>
        <w:t>Medicare</w:t>
      </w:r>
      <w:r>
        <w:rPr>
          <w:spacing w:val="-5"/>
        </w:rPr>
        <w:t> </w:t>
      </w:r>
      <w:r>
        <w:rPr/>
        <w:t>card,</w:t>
      </w:r>
      <w:r>
        <w:rPr>
          <w:spacing w:val="-6"/>
        </w:rPr>
        <w:t> </w:t>
      </w:r>
      <w:r>
        <w:rPr/>
        <w:t>Medicaid</w:t>
      </w:r>
      <w:r>
        <w:rPr>
          <w:spacing w:val="-5"/>
        </w:rPr>
        <w:t> </w:t>
      </w:r>
      <w:r>
        <w:rPr/>
        <w:t>card,</w:t>
      </w:r>
      <w:r>
        <w:rPr>
          <w:spacing w:val="-4"/>
        </w:rPr>
        <w:t> </w:t>
      </w:r>
      <w:r>
        <w:rPr/>
        <w:t>Medicare</w:t>
      </w:r>
      <w:r>
        <w:rPr>
          <w:spacing w:val="-5"/>
        </w:rPr>
        <w:t> </w:t>
      </w:r>
      <w:r>
        <w:rPr/>
        <w:t>supplemental health</w:t>
      </w:r>
      <w:r>
        <w:rPr>
          <w:spacing w:val="-1"/>
        </w:rPr>
        <w:t> </w:t>
      </w:r>
      <w:r>
        <w:rPr/>
        <w:t>insurance</w:t>
      </w:r>
      <w:r>
        <w:rPr>
          <w:spacing w:val="-1"/>
        </w:rPr>
        <w:t> </w:t>
      </w:r>
      <w:r>
        <w:rPr/>
        <w:t>card</w:t>
      </w:r>
      <w:r>
        <w:rPr>
          <w:spacing w:val="-2"/>
        </w:rPr>
        <w:t> </w:t>
      </w:r>
      <w:r>
        <w:rPr/>
        <w:t>(Medigap),</w:t>
      </w:r>
      <w:r>
        <w:rPr>
          <w:spacing w:val="-2"/>
        </w:rPr>
        <w:t> </w:t>
      </w:r>
      <w:r>
        <w:rPr/>
        <w:t>private</w:t>
      </w:r>
      <w:r>
        <w:rPr>
          <w:spacing w:val="-1"/>
        </w:rPr>
        <w:t> </w:t>
      </w:r>
      <w:r>
        <w:rPr/>
        <w:t>health</w:t>
      </w:r>
      <w:r>
        <w:rPr>
          <w:spacing w:val="-1"/>
        </w:rPr>
        <w:t> </w:t>
      </w:r>
      <w:r>
        <w:rPr/>
        <w:t>insurance</w:t>
      </w:r>
      <w:r>
        <w:rPr>
          <w:spacing w:val="-1"/>
        </w:rPr>
        <w:t> </w:t>
      </w:r>
      <w:r>
        <w:rPr/>
        <w:t>card, card</w:t>
      </w:r>
      <w:r>
        <w:rPr>
          <w:spacing w:val="-1"/>
        </w:rPr>
        <w:t> </w:t>
      </w:r>
      <w:r>
        <w:rPr/>
        <w:t>indicating dependent coverage under a family member’s health plan, VA medical card or other evidence of health insurance coverage.</w:t>
      </w:r>
    </w:p>
    <w:p>
      <w:pPr>
        <w:pStyle w:val="BodyText"/>
        <w:spacing w:line="208" w:lineRule="auto"/>
        <w:ind w:left="1224" w:right="775"/>
      </w:pPr>
      <w:r>
        <w:rPr/>
        <w:t>Insurance card information need not accompany the application when no medical services or expenditures of any kind are anticipated for</w:t>
      </w:r>
      <w:r>
        <w:rPr>
          <w:spacing w:val="-1"/>
        </w:rPr>
        <w:t> </w:t>
      </w:r>
      <w:r>
        <w:rPr/>
        <w:t>the case (for example,</w:t>
      </w:r>
      <w:r>
        <w:rPr>
          <w:spacing w:val="-3"/>
        </w:rPr>
        <w:t> </w:t>
      </w:r>
      <w:r>
        <w:rPr/>
        <w:t>when</w:t>
      </w:r>
      <w:r>
        <w:rPr>
          <w:spacing w:val="-4"/>
        </w:rPr>
        <w:t> </w:t>
      </w:r>
      <w:r>
        <w:rPr/>
        <w:t>the</w:t>
      </w:r>
      <w:r>
        <w:rPr>
          <w:spacing w:val="-4"/>
        </w:rPr>
        <w:t> </w:t>
      </w:r>
      <w:r>
        <w:rPr/>
        <w:t>applicant</w:t>
      </w:r>
      <w:r>
        <w:rPr>
          <w:spacing w:val="-3"/>
        </w:rPr>
        <w:t> </w:t>
      </w:r>
      <w:r>
        <w:rPr/>
        <w:t>is</w:t>
      </w:r>
      <w:r>
        <w:rPr>
          <w:spacing w:val="-4"/>
        </w:rPr>
        <w:t> </w:t>
      </w:r>
      <w:r>
        <w:rPr/>
        <w:t>seeking</w:t>
      </w:r>
      <w:r>
        <w:rPr>
          <w:spacing w:val="-4"/>
        </w:rPr>
        <w:t> </w:t>
      </w:r>
      <w:r>
        <w:rPr/>
        <w:t>only</w:t>
      </w:r>
      <w:r>
        <w:rPr>
          <w:spacing w:val="-3"/>
        </w:rPr>
        <w:t> </w:t>
      </w:r>
      <w:r>
        <w:rPr/>
        <w:t>an</w:t>
      </w:r>
      <w:r>
        <w:rPr>
          <w:spacing w:val="-4"/>
        </w:rPr>
        <w:t> </w:t>
      </w:r>
      <w:r>
        <w:rPr/>
        <w:t>item</w:t>
      </w:r>
      <w:r>
        <w:rPr>
          <w:spacing w:val="-3"/>
        </w:rPr>
        <w:t> </w:t>
      </w:r>
      <w:r>
        <w:rPr/>
        <w:t>of</w:t>
      </w:r>
      <w:r>
        <w:rPr>
          <w:spacing w:val="-6"/>
        </w:rPr>
        <w:t> </w:t>
      </w:r>
      <w:r>
        <w:rPr/>
        <w:t>non-medical</w:t>
      </w:r>
      <w:r>
        <w:rPr>
          <w:spacing w:val="-4"/>
        </w:rPr>
        <w:t> </w:t>
      </w:r>
      <w:r>
        <w:rPr/>
        <w:t>assistive technology needed to retain employment, or only job placement assistance).</w:t>
      </w:r>
    </w:p>
    <w:p>
      <w:pPr>
        <w:pStyle w:val="BodyText"/>
        <w:spacing w:line="208" w:lineRule="auto" w:before="239"/>
        <w:ind w:left="1224" w:right="775"/>
      </w:pPr>
      <w:r>
        <w:rPr/>
        <w:t>Insurance</w:t>
      </w:r>
      <w:r>
        <w:rPr>
          <w:spacing w:val="-5"/>
        </w:rPr>
        <w:t> </w:t>
      </w:r>
      <w:r>
        <w:rPr/>
        <w:t>information</w:t>
      </w:r>
      <w:r>
        <w:rPr>
          <w:spacing w:val="-6"/>
        </w:rPr>
        <w:t> </w:t>
      </w:r>
      <w:r>
        <w:rPr/>
        <w:t>should</w:t>
      </w:r>
      <w:r>
        <w:rPr>
          <w:spacing w:val="-5"/>
        </w:rPr>
        <w:t> </w:t>
      </w:r>
      <w:r>
        <w:rPr/>
        <w:t>be</w:t>
      </w:r>
      <w:r>
        <w:rPr>
          <w:spacing w:val="-4"/>
        </w:rPr>
        <w:t> </w:t>
      </w:r>
      <w:r>
        <w:rPr/>
        <w:t>updated</w:t>
      </w:r>
      <w:r>
        <w:rPr>
          <w:spacing w:val="-5"/>
        </w:rPr>
        <w:t> </w:t>
      </w:r>
      <w:r>
        <w:rPr/>
        <w:t>in</w:t>
      </w:r>
      <w:r>
        <w:rPr>
          <w:spacing w:val="-4"/>
        </w:rPr>
        <w:t> </w:t>
      </w:r>
      <w:r>
        <w:rPr/>
        <w:t>the</w:t>
      </w:r>
      <w:r>
        <w:rPr>
          <w:spacing w:val="-5"/>
        </w:rPr>
        <w:t> </w:t>
      </w:r>
      <w:r>
        <w:rPr/>
        <w:t>electronic</w:t>
      </w:r>
      <w:r>
        <w:rPr>
          <w:spacing w:val="-5"/>
        </w:rPr>
        <w:t> </w:t>
      </w:r>
      <w:r>
        <w:rPr/>
        <w:t>case</w:t>
      </w:r>
      <w:r>
        <w:rPr>
          <w:spacing w:val="-5"/>
        </w:rPr>
        <w:t> </w:t>
      </w:r>
      <w:r>
        <w:rPr/>
        <w:t>management system whenever changes in coverage (including loss of coverage) occur.</w:t>
      </w:r>
    </w:p>
    <w:p>
      <w:pPr>
        <w:pStyle w:val="ListParagraph"/>
        <w:numPr>
          <w:ilvl w:val="0"/>
          <w:numId w:val="114"/>
        </w:numPr>
        <w:tabs>
          <w:tab w:pos="792" w:val="left" w:leader="none"/>
        </w:tabs>
        <w:spacing w:line="208" w:lineRule="auto" w:before="240" w:after="0"/>
        <w:ind w:left="792" w:right="798" w:hanging="432"/>
        <w:jc w:val="left"/>
        <w:rPr>
          <w:sz w:val="24"/>
        </w:rPr>
      </w:pPr>
      <w:r>
        <w:rPr>
          <w:sz w:val="24"/>
        </w:rPr>
        <w:t>DRS allows only one open case on an individual at a time. Therefore, prior to accepting an application, DRS staff will verify in the electronic case management system</w:t>
      </w:r>
      <w:r>
        <w:rPr>
          <w:spacing w:val="-3"/>
          <w:sz w:val="24"/>
        </w:rPr>
        <w:t> </w:t>
      </w:r>
      <w:r>
        <w:rPr>
          <w:sz w:val="24"/>
        </w:rPr>
        <w:t>that</w:t>
      </w:r>
      <w:r>
        <w:rPr>
          <w:spacing w:val="-5"/>
          <w:sz w:val="24"/>
        </w:rPr>
        <w:t> </w:t>
      </w:r>
      <w:r>
        <w:rPr>
          <w:sz w:val="24"/>
        </w:rPr>
        <w:t>the</w:t>
      </w:r>
      <w:r>
        <w:rPr>
          <w:spacing w:val="-4"/>
          <w:sz w:val="24"/>
        </w:rPr>
        <w:t> </w:t>
      </w:r>
      <w:r>
        <w:rPr>
          <w:sz w:val="24"/>
        </w:rPr>
        <w:t>individual</w:t>
      </w:r>
      <w:r>
        <w:rPr>
          <w:spacing w:val="-4"/>
          <w:sz w:val="24"/>
        </w:rPr>
        <w:t> </w:t>
      </w:r>
      <w:r>
        <w:rPr>
          <w:sz w:val="24"/>
        </w:rPr>
        <w:t>does</w:t>
      </w:r>
      <w:r>
        <w:rPr>
          <w:spacing w:val="-4"/>
          <w:sz w:val="24"/>
        </w:rPr>
        <w:t> </w:t>
      </w:r>
      <w:r>
        <w:rPr>
          <w:sz w:val="24"/>
        </w:rPr>
        <w:t>not</w:t>
      </w:r>
      <w:r>
        <w:rPr>
          <w:spacing w:val="-3"/>
          <w:sz w:val="24"/>
        </w:rPr>
        <w:t> </w:t>
      </w:r>
      <w:r>
        <w:rPr>
          <w:sz w:val="24"/>
        </w:rPr>
        <w:t>have</w:t>
      </w:r>
      <w:r>
        <w:rPr>
          <w:spacing w:val="-4"/>
          <w:sz w:val="24"/>
        </w:rPr>
        <w:t> </w:t>
      </w:r>
      <w:r>
        <w:rPr>
          <w:sz w:val="24"/>
        </w:rPr>
        <w:t>an</w:t>
      </w:r>
      <w:r>
        <w:rPr>
          <w:spacing w:val="-4"/>
          <w:sz w:val="24"/>
        </w:rPr>
        <w:t> </w:t>
      </w:r>
      <w:r>
        <w:rPr>
          <w:sz w:val="24"/>
        </w:rPr>
        <w:t>open</w:t>
      </w:r>
      <w:r>
        <w:rPr>
          <w:spacing w:val="-4"/>
          <w:sz w:val="24"/>
        </w:rPr>
        <w:t> </w:t>
      </w:r>
      <w:r>
        <w:rPr>
          <w:sz w:val="24"/>
        </w:rPr>
        <w:t>vocational</w:t>
      </w:r>
      <w:r>
        <w:rPr>
          <w:spacing w:val="-4"/>
          <w:sz w:val="24"/>
        </w:rPr>
        <w:t> </w:t>
      </w:r>
      <w:r>
        <w:rPr>
          <w:sz w:val="24"/>
        </w:rPr>
        <w:t>rehabilitation</w:t>
      </w:r>
      <w:r>
        <w:rPr>
          <w:spacing w:val="-4"/>
          <w:sz w:val="24"/>
        </w:rPr>
        <w:t> </w:t>
      </w:r>
      <w:r>
        <w:rPr>
          <w:sz w:val="24"/>
        </w:rPr>
        <w:t>case.</w:t>
      </w:r>
      <w:r>
        <w:rPr>
          <w:spacing w:val="-3"/>
          <w:sz w:val="24"/>
        </w:rPr>
        <w:t> </w:t>
      </w:r>
      <w:r>
        <w:rPr>
          <w:sz w:val="24"/>
        </w:rPr>
        <w:t>For example, records with the same Social Security Number and Date of Application would be considered a duplicate case service record. If there is an open case, the individual will be informed that the application will not be accepted. If the individual has a closed case, DRS staff will check the case to determine if any of the</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791" w:right="1673"/>
      </w:pPr>
      <w:r>
        <w:rPr/>
        <w:t>assessment</w:t>
      </w:r>
      <w:r>
        <w:rPr>
          <w:spacing w:val="-5"/>
        </w:rPr>
        <w:t> </w:t>
      </w:r>
      <w:r>
        <w:rPr/>
        <w:t>information</w:t>
      </w:r>
      <w:r>
        <w:rPr>
          <w:spacing w:val="-6"/>
        </w:rPr>
        <w:t> </w:t>
      </w:r>
      <w:r>
        <w:rPr/>
        <w:t>is</w:t>
      </w:r>
      <w:r>
        <w:rPr>
          <w:spacing w:val="-6"/>
        </w:rPr>
        <w:t> </w:t>
      </w:r>
      <w:r>
        <w:rPr/>
        <w:t>current,</w:t>
      </w:r>
      <w:r>
        <w:rPr>
          <w:spacing w:val="-5"/>
        </w:rPr>
        <w:t> </w:t>
      </w:r>
      <w:r>
        <w:rPr/>
        <w:t>possibly</w:t>
      </w:r>
      <w:r>
        <w:rPr>
          <w:spacing w:val="-6"/>
        </w:rPr>
        <w:t> </w:t>
      </w:r>
      <w:r>
        <w:rPr/>
        <w:t>expediting</w:t>
      </w:r>
      <w:r>
        <w:rPr>
          <w:spacing w:val="-6"/>
        </w:rPr>
        <w:t> </w:t>
      </w:r>
      <w:r>
        <w:rPr/>
        <w:t>the</w:t>
      </w:r>
      <w:r>
        <w:rPr>
          <w:spacing w:val="-6"/>
        </w:rPr>
        <w:t> </w:t>
      </w:r>
      <w:r>
        <w:rPr/>
        <w:t>assessment</w:t>
      </w:r>
      <w:r>
        <w:rPr>
          <w:spacing w:val="-5"/>
        </w:rPr>
        <w:t> </w:t>
      </w:r>
      <w:r>
        <w:rPr/>
        <w:t>and eligibility determination process.</w:t>
      </w:r>
    </w:p>
    <w:p>
      <w:pPr>
        <w:pStyle w:val="ListParagraph"/>
        <w:numPr>
          <w:ilvl w:val="0"/>
          <w:numId w:val="114"/>
        </w:numPr>
        <w:tabs>
          <w:tab w:pos="790" w:val="left" w:leader="none"/>
          <w:tab w:pos="792" w:val="left" w:leader="none"/>
        </w:tabs>
        <w:spacing w:line="208" w:lineRule="auto" w:before="240" w:after="0"/>
        <w:ind w:left="792" w:right="1266" w:hanging="432"/>
        <w:jc w:val="left"/>
        <w:rPr>
          <w:sz w:val="24"/>
        </w:rPr>
      </w:pPr>
      <w:r>
        <w:rPr>
          <w:sz w:val="24"/>
        </w:rPr>
        <w:t>On the Initial Interview form in the electronic case management system the counselor</w:t>
      </w:r>
      <w:r>
        <w:rPr>
          <w:spacing w:val="-3"/>
          <w:sz w:val="24"/>
        </w:rPr>
        <w:t> </w:t>
      </w:r>
      <w:r>
        <w:rPr>
          <w:sz w:val="24"/>
        </w:rPr>
        <w:t>will</w:t>
      </w:r>
      <w:r>
        <w:rPr>
          <w:spacing w:val="-4"/>
          <w:sz w:val="24"/>
        </w:rPr>
        <w:t> </w:t>
      </w:r>
      <w:r>
        <w:rPr>
          <w:sz w:val="24"/>
        </w:rPr>
        <w:t>identify</w:t>
      </w:r>
      <w:r>
        <w:rPr>
          <w:spacing w:val="-3"/>
          <w:sz w:val="24"/>
        </w:rPr>
        <w:t> </w:t>
      </w:r>
      <w:r>
        <w:rPr>
          <w:sz w:val="24"/>
        </w:rPr>
        <w:t>by</w:t>
      </w:r>
      <w:r>
        <w:rPr>
          <w:spacing w:val="-4"/>
          <w:sz w:val="24"/>
        </w:rPr>
        <w:t> </w:t>
      </w:r>
      <w:r>
        <w:rPr>
          <w:sz w:val="24"/>
        </w:rPr>
        <w:t>marking</w:t>
      </w:r>
      <w:r>
        <w:rPr>
          <w:spacing w:val="-4"/>
          <w:sz w:val="24"/>
        </w:rPr>
        <w:t> </w:t>
      </w:r>
      <w:r>
        <w:rPr>
          <w:sz w:val="24"/>
        </w:rPr>
        <w:t>the</w:t>
      </w:r>
      <w:r>
        <w:rPr>
          <w:spacing w:val="-4"/>
          <w:sz w:val="24"/>
        </w:rPr>
        <w:t> </w:t>
      </w:r>
      <w:r>
        <w:rPr>
          <w:sz w:val="24"/>
        </w:rPr>
        <w:t>box</w:t>
      </w:r>
      <w:r>
        <w:rPr>
          <w:spacing w:val="-4"/>
          <w:sz w:val="24"/>
        </w:rPr>
        <w:t> </w:t>
      </w:r>
      <w:r>
        <w:rPr>
          <w:sz w:val="24"/>
        </w:rPr>
        <w:t>as</w:t>
      </w:r>
      <w:r>
        <w:rPr>
          <w:spacing w:val="-5"/>
          <w:sz w:val="24"/>
        </w:rPr>
        <w:t> </w:t>
      </w:r>
      <w:r>
        <w:rPr>
          <w:sz w:val="24"/>
        </w:rPr>
        <w:t>appropriate</w:t>
      </w:r>
      <w:r>
        <w:rPr>
          <w:spacing w:val="-4"/>
          <w:sz w:val="24"/>
        </w:rPr>
        <w:t> </w:t>
      </w:r>
      <w:r>
        <w:rPr>
          <w:sz w:val="24"/>
        </w:rPr>
        <w:t>the</w:t>
      </w:r>
      <w:r>
        <w:rPr>
          <w:spacing w:val="-4"/>
          <w:sz w:val="24"/>
        </w:rPr>
        <w:t> </w:t>
      </w:r>
      <w:r>
        <w:rPr>
          <w:sz w:val="24"/>
        </w:rPr>
        <w:t>following</w:t>
      </w:r>
      <w:r>
        <w:rPr>
          <w:spacing w:val="-4"/>
          <w:sz w:val="24"/>
        </w:rPr>
        <w:t> </w:t>
      </w:r>
      <w:r>
        <w:rPr>
          <w:sz w:val="24"/>
        </w:rPr>
        <w:t>topics</w:t>
      </w:r>
      <w:r>
        <w:rPr>
          <w:spacing w:val="-4"/>
          <w:sz w:val="24"/>
        </w:rPr>
        <w:t> </w:t>
      </w:r>
      <w:r>
        <w:rPr>
          <w:sz w:val="24"/>
        </w:rPr>
        <w:t>as discussed with the applicant employment outcome, client’s rights and responsibilities,</w:t>
      </w:r>
      <w:r>
        <w:rPr>
          <w:spacing w:val="-3"/>
          <w:sz w:val="24"/>
        </w:rPr>
        <w:t> </w:t>
      </w:r>
      <w:r>
        <w:rPr>
          <w:sz w:val="24"/>
        </w:rPr>
        <w:t>due</w:t>
      </w:r>
      <w:r>
        <w:rPr>
          <w:spacing w:val="-4"/>
          <w:sz w:val="24"/>
        </w:rPr>
        <w:t> </w:t>
      </w:r>
      <w:r>
        <w:rPr>
          <w:sz w:val="24"/>
        </w:rPr>
        <w:t>process</w:t>
      </w:r>
      <w:r>
        <w:rPr>
          <w:spacing w:val="-4"/>
          <w:sz w:val="24"/>
        </w:rPr>
        <w:t> </w:t>
      </w:r>
      <w:r>
        <w:rPr>
          <w:sz w:val="24"/>
        </w:rPr>
        <w:t>rights</w:t>
      </w:r>
      <w:r>
        <w:rPr>
          <w:spacing w:val="-4"/>
          <w:sz w:val="24"/>
        </w:rPr>
        <w:t> </w:t>
      </w:r>
      <w:r>
        <w:rPr>
          <w:sz w:val="24"/>
        </w:rPr>
        <w:t>and</w:t>
      </w:r>
      <w:r>
        <w:rPr>
          <w:spacing w:val="-4"/>
          <w:sz w:val="24"/>
        </w:rPr>
        <w:t> </w:t>
      </w:r>
      <w:r>
        <w:rPr>
          <w:sz w:val="24"/>
        </w:rPr>
        <w:t>voter’s</w:t>
      </w:r>
      <w:r>
        <w:rPr>
          <w:spacing w:val="-4"/>
          <w:sz w:val="24"/>
        </w:rPr>
        <w:t> </w:t>
      </w:r>
      <w:r>
        <w:rPr>
          <w:sz w:val="24"/>
        </w:rPr>
        <w:t>registration.</w:t>
      </w:r>
      <w:r>
        <w:rPr>
          <w:spacing w:val="-3"/>
          <w:sz w:val="24"/>
        </w:rPr>
        <w:t> </w:t>
      </w:r>
      <w:r>
        <w:rPr>
          <w:sz w:val="24"/>
        </w:rPr>
        <w:t>And</w:t>
      </w:r>
      <w:r>
        <w:rPr>
          <w:spacing w:val="-4"/>
          <w:sz w:val="24"/>
        </w:rPr>
        <w:t> </w:t>
      </w:r>
      <w:r>
        <w:rPr>
          <w:sz w:val="24"/>
        </w:rPr>
        <w:t>will</w:t>
      </w:r>
      <w:r>
        <w:rPr>
          <w:spacing w:val="-3"/>
          <w:sz w:val="24"/>
        </w:rPr>
        <w:t> </w:t>
      </w:r>
      <w:r>
        <w:rPr>
          <w:sz w:val="24"/>
        </w:rPr>
        <w:t>provide</w:t>
      </w:r>
      <w:r>
        <w:rPr>
          <w:spacing w:val="-4"/>
          <w:sz w:val="24"/>
        </w:rPr>
        <w:t> </w:t>
      </w:r>
      <w:r>
        <w:rPr>
          <w:sz w:val="24"/>
        </w:rPr>
        <w:t>the appropriate agency brochures to the individual.</w:t>
      </w:r>
    </w:p>
    <w:p>
      <w:pPr>
        <w:pStyle w:val="ListParagraph"/>
        <w:numPr>
          <w:ilvl w:val="0"/>
          <w:numId w:val="114"/>
        </w:numPr>
        <w:tabs>
          <w:tab w:pos="790" w:val="left" w:leader="none"/>
          <w:tab w:pos="792" w:val="left" w:leader="none"/>
        </w:tabs>
        <w:spacing w:line="208" w:lineRule="auto" w:before="239" w:after="0"/>
        <w:ind w:left="792" w:right="734" w:hanging="432"/>
        <w:jc w:val="left"/>
        <w:rPr>
          <w:sz w:val="24"/>
        </w:rPr>
      </w:pPr>
      <w:r>
        <w:rPr>
          <w:sz w:val="24"/>
        </w:rPr>
        <w:t>Signature: An applicant for vocational rehabilitation services must provide his or her signature on the application form if he/she is at least 18 years of age and legally competent.</w:t>
      </w:r>
      <w:r>
        <w:rPr>
          <w:spacing w:val="-4"/>
          <w:sz w:val="24"/>
        </w:rPr>
        <w:t> </w:t>
      </w:r>
      <w:r>
        <w:rPr>
          <w:sz w:val="24"/>
        </w:rPr>
        <w:t>If</w:t>
      </w:r>
      <w:r>
        <w:rPr>
          <w:spacing w:val="-4"/>
          <w:sz w:val="24"/>
        </w:rPr>
        <w:t> </w:t>
      </w:r>
      <w:r>
        <w:rPr>
          <w:sz w:val="24"/>
        </w:rPr>
        <w:t>the</w:t>
      </w:r>
      <w:r>
        <w:rPr>
          <w:spacing w:val="-3"/>
          <w:sz w:val="24"/>
        </w:rPr>
        <w:t> </w:t>
      </w:r>
      <w:r>
        <w:rPr>
          <w:sz w:val="24"/>
        </w:rPr>
        <w:t>applicant</w:t>
      </w:r>
      <w:r>
        <w:rPr>
          <w:spacing w:val="-2"/>
          <w:sz w:val="24"/>
        </w:rPr>
        <w:t> </w:t>
      </w:r>
      <w:r>
        <w:rPr>
          <w:sz w:val="24"/>
        </w:rPr>
        <w:t>is</w:t>
      </w:r>
      <w:r>
        <w:rPr>
          <w:spacing w:val="-3"/>
          <w:sz w:val="24"/>
        </w:rPr>
        <w:t> </w:t>
      </w:r>
      <w:r>
        <w:rPr>
          <w:sz w:val="24"/>
        </w:rPr>
        <w:t>less</w:t>
      </w:r>
      <w:r>
        <w:rPr>
          <w:spacing w:val="-3"/>
          <w:sz w:val="24"/>
        </w:rPr>
        <w:t> </w:t>
      </w:r>
      <w:r>
        <w:rPr>
          <w:sz w:val="24"/>
        </w:rPr>
        <w:t>than</w:t>
      </w:r>
      <w:r>
        <w:rPr>
          <w:spacing w:val="-3"/>
          <w:sz w:val="24"/>
        </w:rPr>
        <w:t> </w:t>
      </w:r>
      <w:r>
        <w:rPr>
          <w:sz w:val="24"/>
        </w:rPr>
        <w:t>18</w:t>
      </w:r>
      <w:r>
        <w:rPr>
          <w:spacing w:val="-3"/>
          <w:sz w:val="24"/>
        </w:rPr>
        <w:t> </w:t>
      </w:r>
      <w:r>
        <w:rPr>
          <w:sz w:val="24"/>
        </w:rPr>
        <w:t>years</w:t>
      </w:r>
      <w:r>
        <w:rPr>
          <w:spacing w:val="-3"/>
          <w:sz w:val="24"/>
        </w:rPr>
        <w:t> </w:t>
      </w:r>
      <w:r>
        <w:rPr>
          <w:sz w:val="24"/>
        </w:rPr>
        <w:t>of</w:t>
      </w:r>
      <w:r>
        <w:rPr>
          <w:spacing w:val="-2"/>
          <w:sz w:val="24"/>
        </w:rPr>
        <w:t> </w:t>
      </w:r>
      <w:r>
        <w:rPr>
          <w:sz w:val="24"/>
        </w:rPr>
        <w:t>age</w:t>
      </w:r>
      <w:r>
        <w:rPr>
          <w:spacing w:val="-4"/>
          <w:sz w:val="24"/>
        </w:rPr>
        <w:t> </w:t>
      </w:r>
      <w:r>
        <w:rPr>
          <w:sz w:val="24"/>
        </w:rPr>
        <w:t>or</w:t>
      </w:r>
      <w:r>
        <w:rPr>
          <w:spacing w:val="-2"/>
          <w:sz w:val="24"/>
        </w:rPr>
        <w:t> </w:t>
      </w:r>
      <w:r>
        <w:rPr>
          <w:sz w:val="24"/>
        </w:rPr>
        <w:t>is</w:t>
      </w:r>
      <w:r>
        <w:rPr>
          <w:spacing w:val="-3"/>
          <w:sz w:val="24"/>
        </w:rPr>
        <w:t> </w:t>
      </w:r>
      <w:r>
        <w:rPr>
          <w:sz w:val="24"/>
        </w:rPr>
        <w:t>legally</w:t>
      </w:r>
      <w:r>
        <w:rPr>
          <w:spacing w:val="-2"/>
          <w:sz w:val="24"/>
        </w:rPr>
        <w:t> </w:t>
      </w:r>
      <w:r>
        <w:rPr>
          <w:sz w:val="24"/>
        </w:rPr>
        <w:t>incompetent,</w:t>
      </w:r>
      <w:r>
        <w:rPr>
          <w:spacing w:val="-4"/>
          <w:sz w:val="24"/>
        </w:rPr>
        <w:t> </w:t>
      </w:r>
      <w:r>
        <w:rPr>
          <w:sz w:val="24"/>
        </w:rPr>
        <w:t>the applicant’s parent, legal guardian or representative must provide his or her</w:t>
      </w:r>
      <w:r>
        <w:rPr>
          <w:spacing w:val="40"/>
          <w:sz w:val="24"/>
        </w:rPr>
        <w:t> </w:t>
      </w:r>
      <w:r>
        <w:rPr>
          <w:sz w:val="24"/>
        </w:rPr>
        <w:t>signature on the application form in addition to the individual’s signature. The signature of an authorized representative shall be valid only if the individual or recipient of VR services expressly designates such representative in the presence of the counselor, and such designation is noted by the counselor in the individual’s records.</w:t>
      </w:r>
      <w:r>
        <w:rPr>
          <w:spacing w:val="40"/>
          <w:sz w:val="24"/>
        </w:rPr>
        <w:t> </w:t>
      </w:r>
      <w:r>
        <w:rPr>
          <w:sz w:val="24"/>
        </w:rPr>
        <w:t>Documentation shall include a release of information to the representative for all information.</w:t>
      </w:r>
      <w:r>
        <w:rPr>
          <w:spacing w:val="40"/>
          <w:sz w:val="24"/>
        </w:rPr>
        <w:t> </w:t>
      </w:r>
      <w:r>
        <w:rPr>
          <w:sz w:val="24"/>
        </w:rPr>
        <w:t>The signature of a legal guardian on behalf of an individual or recipient of services from VR shall be invalid unless it is accompanied by one of the </w:t>
      </w:r>
      <w:r>
        <w:rPr>
          <w:spacing w:val="-2"/>
          <w:sz w:val="24"/>
        </w:rPr>
        <w:t>following:</w:t>
      </w:r>
    </w:p>
    <w:p>
      <w:pPr>
        <w:pStyle w:val="ListParagraph"/>
        <w:numPr>
          <w:ilvl w:val="0"/>
          <w:numId w:val="115"/>
        </w:numPr>
        <w:tabs>
          <w:tab w:pos="1528" w:val="left" w:leader="none"/>
        </w:tabs>
        <w:spacing w:line="240" w:lineRule="auto" w:before="210" w:after="0"/>
        <w:ind w:left="1528" w:right="0" w:hanging="358"/>
        <w:jc w:val="left"/>
        <w:rPr>
          <w:sz w:val="24"/>
        </w:rPr>
      </w:pPr>
      <w:r>
        <w:rPr>
          <w:sz w:val="24"/>
        </w:rPr>
        <w:t>a</w:t>
      </w:r>
      <w:r>
        <w:rPr>
          <w:spacing w:val="-6"/>
          <w:sz w:val="24"/>
        </w:rPr>
        <w:t> </w:t>
      </w:r>
      <w:r>
        <w:rPr>
          <w:sz w:val="24"/>
        </w:rPr>
        <w:t>court</w:t>
      </w:r>
      <w:r>
        <w:rPr>
          <w:spacing w:val="-3"/>
          <w:sz w:val="24"/>
        </w:rPr>
        <w:t> </w:t>
      </w:r>
      <w:r>
        <w:rPr>
          <w:sz w:val="24"/>
        </w:rPr>
        <w:t>order</w:t>
      </w:r>
      <w:r>
        <w:rPr>
          <w:spacing w:val="-3"/>
          <w:sz w:val="24"/>
        </w:rPr>
        <w:t> </w:t>
      </w:r>
      <w:r>
        <w:rPr>
          <w:sz w:val="24"/>
        </w:rPr>
        <w:t>establishing</w:t>
      </w:r>
      <w:r>
        <w:rPr>
          <w:spacing w:val="-3"/>
          <w:sz w:val="24"/>
        </w:rPr>
        <w:t> </w:t>
      </w:r>
      <w:r>
        <w:rPr>
          <w:sz w:val="24"/>
        </w:rPr>
        <w:t>such</w:t>
      </w:r>
      <w:r>
        <w:rPr>
          <w:spacing w:val="-4"/>
          <w:sz w:val="24"/>
        </w:rPr>
        <w:t> </w:t>
      </w:r>
      <w:r>
        <w:rPr>
          <w:sz w:val="24"/>
        </w:rPr>
        <w:t>guardianship,</w:t>
      </w:r>
      <w:r>
        <w:rPr>
          <w:spacing w:val="-2"/>
          <w:sz w:val="24"/>
        </w:rPr>
        <w:t> </w:t>
      </w:r>
      <w:r>
        <w:rPr>
          <w:spacing w:val="-5"/>
          <w:sz w:val="24"/>
        </w:rPr>
        <w:t>or</w:t>
      </w:r>
    </w:p>
    <w:p>
      <w:pPr>
        <w:pStyle w:val="ListParagraph"/>
        <w:numPr>
          <w:ilvl w:val="0"/>
          <w:numId w:val="115"/>
        </w:numPr>
        <w:tabs>
          <w:tab w:pos="1528" w:val="left" w:leader="none"/>
          <w:tab w:pos="1530" w:val="left" w:leader="none"/>
        </w:tabs>
        <w:spacing w:line="208" w:lineRule="auto" w:before="233" w:after="0"/>
        <w:ind w:left="1530" w:right="1088" w:hanging="360"/>
        <w:jc w:val="left"/>
        <w:rPr>
          <w:sz w:val="24"/>
        </w:rPr>
      </w:pPr>
      <w:r>
        <w:rPr>
          <w:sz w:val="24"/>
        </w:rPr>
        <w:t>a</w:t>
      </w:r>
      <w:r>
        <w:rPr>
          <w:spacing w:val="-3"/>
          <w:sz w:val="24"/>
        </w:rPr>
        <w:t> </w:t>
      </w:r>
      <w:r>
        <w:rPr>
          <w:sz w:val="24"/>
        </w:rPr>
        <w:t>statement</w:t>
      </w:r>
      <w:r>
        <w:rPr>
          <w:spacing w:val="-2"/>
          <w:sz w:val="24"/>
        </w:rPr>
        <w:t> </w:t>
      </w:r>
      <w:r>
        <w:rPr>
          <w:sz w:val="24"/>
        </w:rPr>
        <w:t>by</w:t>
      </w:r>
      <w:r>
        <w:rPr>
          <w:spacing w:val="-4"/>
          <w:sz w:val="24"/>
        </w:rPr>
        <w:t> </w:t>
      </w:r>
      <w:r>
        <w:rPr>
          <w:sz w:val="24"/>
        </w:rPr>
        <w:t>the</w:t>
      </w:r>
      <w:r>
        <w:rPr>
          <w:spacing w:val="-3"/>
          <w:sz w:val="24"/>
        </w:rPr>
        <w:t> </w:t>
      </w:r>
      <w:r>
        <w:rPr>
          <w:sz w:val="24"/>
        </w:rPr>
        <w:t>guardian</w:t>
      </w:r>
      <w:r>
        <w:rPr>
          <w:spacing w:val="-3"/>
          <w:sz w:val="24"/>
        </w:rPr>
        <w:t> </w:t>
      </w:r>
      <w:r>
        <w:rPr>
          <w:sz w:val="24"/>
        </w:rPr>
        <w:t>that</w:t>
      </w:r>
      <w:r>
        <w:rPr>
          <w:spacing w:val="-2"/>
          <w:sz w:val="24"/>
        </w:rPr>
        <w:t> </w:t>
      </w:r>
      <w:r>
        <w:rPr>
          <w:sz w:val="24"/>
        </w:rPr>
        <w:t>the</w:t>
      </w:r>
      <w:r>
        <w:rPr>
          <w:spacing w:val="-3"/>
          <w:sz w:val="24"/>
        </w:rPr>
        <w:t> </w:t>
      </w:r>
      <w:r>
        <w:rPr>
          <w:sz w:val="24"/>
        </w:rPr>
        <w:t>individual</w:t>
      </w:r>
      <w:r>
        <w:rPr>
          <w:spacing w:val="-3"/>
          <w:sz w:val="24"/>
        </w:rPr>
        <w:t> </w:t>
      </w:r>
      <w:r>
        <w:rPr>
          <w:sz w:val="24"/>
        </w:rPr>
        <w:t>or</w:t>
      </w:r>
      <w:r>
        <w:rPr>
          <w:spacing w:val="-2"/>
          <w:sz w:val="24"/>
        </w:rPr>
        <w:t> </w:t>
      </w:r>
      <w:r>
        <w:rPr>
          <w:sz w:val="24"/>
        </w:rPr>
        <w:t>recipient</w:t>
      </w:r>
      <w:r>
        <w:rPr>
          <w:spacing w:val="-2"/>
          <w:sz w:val="24"/>
        </w:rPr>
        <w:t> </w:t>
      </w:r>
      <w:r>
        <w:rPr>
          <w:sz w:val="24"/>
        </w:rPr>
        <w:t>of</w:t>
      </w:r>
      <w:r>
        <w:rPr>
          <w:spacing w:val="-2"/>
          <w:sz w:val="24"/>
        </w:rPr>
        <w:t> </w:t>
      </w:r>
      <w:r>
        <w:rPr>
          <w:sz w:val="24"/>
        </w:rPr>
        <w:t>services</w:t>
      </w:r>
      <w:r>
        <w:rPr>
          <w:spacing w:val="-3"/>
          <w:sz w:val="24"/>
        </w:rPr>
        <w:t> </w:t>
      </w:r>
      <w:r>
        <w:rPr>
          <w:sz w:val="24"/>
        </w:rPr>
        <w:t>is</w:t>
      </w:r>
      <w:r>
        <w:rPr>
          <w:spacing w:val="-3"/>
          <w:sz w:val="24"/>
        </w:rPr>
        <w:t> </w:t>
      </w:r>
      <w:r>
        <w:rPr>
          <w:sz w:val="24"/>
        </w:rPr>
        <w:t>a minor and the guardian is the natural parent and/or legal custodian of the </w:t>
      </w:r>
      <w:r>
        <w:rPr>
          <w:spacing w:val="-2"/>
          <w:sz w:val="24"/>
        </w:rPr>
        <w:t>child.</w:t>
      </w:r>
    </w:p>
    <w:p>
      <w:pPr>
        <w:pStyle w:val="ListParagraph"/>
        <w:numPr>
          <w:ilvl w:val="0"/>
          <w:numId w:val="114"/>
        </w:numPr>
        <w:tabs>
          <w:tab w:pos="790" w:val="left" w:leader="none"/>
          <w:tab w:pos="792" w:val="left" w:leader="none"/>
        </w:tabs>
        <w:spacing w:line="208" w:lineRule="auto" w:before="240" w:after="0"/>
        <w:ind w:left="792" w:right="761" w:hanging="432"/>
        <w:jc w:val="left"/>
        <w:rPr>
          <w:sz w:val="24"/>
        </w:rPr>
      </w:pPr>
      <w:r>
        <w:rPr>
          <w:sz w:val="24"/>
        </w:rPr>
        <w:t>Illegal</w:t>
      </w:r>
      <w:r>
        <w:rPr>
          <w:spacing w:val="-3"/>
          <w:sz w:val="24"/>
        </w:rPr>
        <w:t> </w:t>
      </w:r>
      <w:r>
        <w:rPr>
          <w:sz w:val="24"/>
        </w:rPr>
        <w:t>immigrants</w:t>
      </w:r>
      <w:r>
        <w:rPr>
          <w:spacing w:val="-4"/>
          <w:sz w:val="24"/>
        </w:rPr>
        <w:t> </w:t>
      </w:r>
      <w:r>
        <w:rPr>
          <w:sz w:val="24"/>
        </w:rPr>
        <w:t>(individuals</w:t>
      </w:r>
      <w:r>
        <w:rPr>
          <w:spacing w:val="-3"/>
          <w:sz w:val="24"/>
        </w:rPr>
        <w:t> </w:t>
      </w:r>
      <w:r>
        <w:rPr>
          <w:sz w:val="24"/>
        </w:rPr>
        <w:t>in</w:t>
      </w:r>
      <w:r>
        <w:rPr>
          <w:spacing w:val="-4"/>
          <w:sz w:val="24"/>
        </w:rPr>
        <w:t> </w:t>
      </w:r>
      <w:r>
        <w:rPr>
          <w:sz w:val="24"/>
        </w:rPr>
        <w:t>the</w:t>
      </w:r>
      <w:r>
        <w:rPr>
          <w:spacing w:val="-3"/>
          <w:sz w:val="24"/>
        </w:rPr>
        <w:t> </w:t>
      </w:r>
      <w:r>
        <w:rPr>
          <w:sz w:val="24"/>
        </w:rPr>
        <w:t>U.S.</w:t>
      </w:r>
      <w:r>
        <w:rPr>
          <w:spacing w:val="-3"/>
          <w:sz w:val="24"/>
        </w:rPr>
        <w:t> </w:t>
      </w:r>
      <w:r>
        <w:rPr>
          <w:sz w:val="24"/>
        </w:rPr>
        <w:t>without</w:t>
      </w:r>
      <w:r>
        <w:rPr>
          <w:spacing w:val="-3"/>
          <w:sz w:val="24"/>
        </w:rPr>
        <w:t> </w:t>
      </w:r>
      <w:r>
        <w:rPr>
          <w:sz w:val="24"/>
        </w:rPr>
        <w:t>legal</w:t>
      </w:r>
      <w:r>
        <w:rPr>
          <w:spacing w:val="-3"/>
          <w:sz w:val="24"/>
        </w:rPr>
        <w:t> </w:t>
      </w:r>
      <w:r>
        <w:rPr>
          <w:sz w:val="24"/>
        </w:rPr>
        <w:t>status)</w:t>
      </w:r>
      <w:r>
        <w:rPr>
          <w:spacing w:val="-3"/>
          <w:sz w:val="24"/>
        </w:rPr>
        <w:t> </w:t>
      </w:r>
      <w:r>
        <w:rPr>
          <w:sz w:val="24"/>
        </w:rPr>
        <w:t>are</w:t>
      </w:r>
      <w:r>
        <w:rPr>
          <w:spacing w:val="-4"/>
          <w:sz w:val="24"/>
        </w:rPr>
        <w:t> </w:t>
      </w:r>
      <w:r>
        <w:rPr>
          <w:sz w:val="24"/>
        </w:rPr>
        <w:t>not</w:t>
      </w:r>
      <w:r>
        <w:rPr>
          <w:spacing w:val="-3"/>
          <w:sz w:val="24"/>
        </w:rPr>
        <w:t> </w:t>
      </w:r>
      <w:r>
        <w:rPr>
          <w:sz w:val="24"/>
        </w:rPr>
        <w:t>eligible</w:t>
      </w:r>
      <w:r>
        <w:rPr>
          <w:spacing w:val="-3"/>
          <w:sz w:val="24"/>
        </w:rPr>
        <w:t> </w:t>
      </w:r>
      <w:r>
        <w:rPr>
          <w:sz w:val="24"/>
        </w:rPr>
        <w:t>for</w:t>
      </w:r>
      <w:r>
        <w:rPr>
          <w:spacing w:val="-3"/>
          <w:sz w:val="24"/>
        </w:rPr>
        <w:t> </w:t>
      </w:r>
      <w:r>
        <w:rPr>
          <w:sz w:val="24"/>
        </w:rPr>
        <w:t>VR Services. The SAVE report is required for all non-US Citizens to verify legal status prior to serving the applicant. The report is</w:t>
      </w:r>
      <w:r>
        <w:rPr>
          <w:spacing w:val="-1"/>
          <w:sz w:val="24"/>
        </w:rPr>
        <w:t> </w:t>
      </w:r>
      <w:r>
        <w:rPr>
          <w:sz w:val="24"/>
        </w:rPr>
        <w:t>a document that</w:t>
      </w:r>
      <w:r>
        <w:rPr>
          <w:spacing w:val="-1"/>
          <w:sz w:val="24"/>
        </w:rPr>
        <w:t> </w:t>
      </w:r>
      <w:r>
        <w:rPr>
          <w:sz w:val="24"/>
        </w:rPr>
        <w:t>comes directly from the US Immigration Service. The staff is required to make copies of the documents verifying legal presence and employment eligibility in the US. Information is scanned into the electronic case management system under the appropriate title.</w:t>
      </w:r>
    </w:p>
    <w:p>
      <w:pPr>
        <w:pStyle w:val="ListParagraph"/>
        <w:numPr>
          <w:ilvl w:val="0"/>
          <w:numId w:val="116"/>
        </w:numPr>
        <w:tabs>
          <w:tab w:pos="1528" w:val="left" w:leader="none"/>
          <w:tab w:pos="1530" w:val="left" w:leader="none"/>
        </w:tabs>
        <w:spacing w:line="208" w:lineRule="auto" w:before="239" w:after="0"/>
        <w:ind w:left="1530" w:right="984" w:hanging="360"/>
        <w:jc w:val="left"/>
        <w:rPr>
          <w:sz w:val="24"/>
        </w:rPr>
      </w:pPr>
      <w:r>
        <w:rPr>
          <w:sz w:val="24"/>
        </w:rPr>
        <w:t>Legal</w:t>
      </w:r>
      <w:r>
        <w:rPr>
          <w:spacing w:val="-4"/>
          <w:sz w:val="24"/>
        </w:rPr>
        <w:t> </w:t>
      </w:r>
      <w:r>
        <w:rPr>
          <w:sz w:val="24"/>
        </w:rPr>
        <w:t>immigrants</w:t>
      </w:r>
      <w:r>
        <w:rPr>
          <w:spacing w:val="-4"/>
          <w:sz w:val="24"/>
        </w:rPr>
        <w:t> </w:t>
      </w:r>
      <w:r>
        <w:rPr>
          <w:sz w:val="24"/>
        </w:rPr>
        <w:t>are</w:t>
      </w:r>
      <w:r>
        <w:rPr>
          <w:spacing w:val="-4"/>
          <w:sz w:val="24"/>
        </w:rPr>
        <w:t> </w:t>
      </w:r>
      <w:r>
        <w:rPr>
          <w:sz w:val="24"/>
        </w:rPr>
        <w:t>individuals</w:t>
      </w:r>
      <w:r>
        <w:rPr>
          <w:spacing w:val="-3"/>
          <w:sz w:val="24"/>
        </w:rPr>
        <w:t> </w:t>
      </w:r>
      <w:r>
        <w:rPr>
          <w:sz w:val="24"/>
        </w:rPr>
        <w:t>admitted</w:t>
      </w:r>
      <w:r>
        <w:rPr>
          <w:spacing w:val="-4"/>
          <w:sz w:val="24"/>
        </w:rPr>
        <w:t> </w:t>
      </w:r>
      <w:r>
        <w:rPr>
          <w:sz w:val="24"/>
        </w:rPr>
        <w:t>to</w:t>
      </w:r>
      <w:r>
        <w:rPr>
          <w:spacing w:val="-5"/>
          <w:sz w:val="24"/>
        </w:rPr>
        <w:t> </w:t>
      </w:r>
      <w:r>
        <w:rPr>
          <w:sz w:val="24"/>
        </w:rPr>
        <w:t>this</w:t>
      </w:r>
      <w:r>
        <w:rPr>
          <w:spacing w:val="-4"/>
          <w:sz w:val="24"/>
        </w:rPr>
        <w:t> </w:t>
      </w:r>
      <w:r>
        <w:rPr>
          <w:sz w:val="24"/>
        </w:rPr>
        <w:t>country</w:t>
      </w:r>
      <w:r>
        <w:rPr>
          <w:spacing w:val="-4"/>
          <w:sz w:val="24"/>
        </w:rPr>
        <w:t> </w:t>
      </w:r>
      <w:r>
        <w:rPr>
          <w:sz w:val="24"/>
        </w:rPr>
        <w:t>for</w:t>
      </w:r>
      <w:r>
        <w:rPr>
          <w:spacing w:val="-5"/>
          <w:sz w:val="24"/>
        </w:rPr>
        <w:t> </w:t>
      </w:r>
      <w:r>
        <w:rPr>
          <w:sz w:val="24"/>
        </w:rPr>
        <w:t>the</w:t>
      </w:r>
      <w:r>
        <w:rPr>
          <w:spacing w:val="-4"/>
          <w:sz w:val="24"/>
        </w:rPr>
        <w:t> </w:t>
      </w:r>
      <w:r>
        <w:rPr>
          <w:sz w:val="24"/>
        </w:rPr>
        <w:t>purpose</w:t>
      </w:r>
      <w:r>
        <w:rPr>
          <w:spacing w:val="-4"/>
          <w:sz w:val="24"/>
        </w:rPr>
        <w:t> </w:t>
      </w:r>
      <w:r>
        <w:rPr>
          <w:sz w:val="24"/>
        </w:rPr>
        <w:t>of permanent residence. Immigrant aliens must possess a valid Registration Card</w:t>
      </w:r>
      <w:r>
        <w:rPr>
          <w:spacing w:val="-2"/>
          <w:sz w:val="24"/>
        </w:rPr>
        <w:t> </w:t>
      </w:r>
      <w:r>
        <w:rPr>
          <w:sz w:val="24"/>
        </w:rPr>
        <w:t>issued</w:t>
      </w:r>
      <w:r>
        <w:rPr>
          <w:spacing w:val="-2"/>
          <w:sz w:val="24"/>
        </w:rPr>
        <w:t> </w:t>
      </w:r>
      <w:r>
        <w:rPr>
          <w:sz w:val="24"/>
        </w:rPr>
        <w:t>by</w:t>
      </w:r>
      <w:r>
        <w:rPr>
          <w:spacing w:val="-2"/>
          <w:sz w:val="24"/>
        </w:rPr>
        <w:t> </w:t>
      </w:r>
      <w:r>
        <w:rPr>
          <w:sz w:val="24"/>
        </w:rPr>
        <w:t>the</w:t>
      </w:r>
      <w:r>
        <w:rPr>
          <w:spacing w:val="-2"/>
          <w:sz w:val="24"/>
        </w:rPr>
        <w:t> </w:t>
      </w:r>
      <w:r>
        <w:rPr>
          <w:sz w:val="24"/>
        </w:rPr>
        <w:t>United</w:t>
      </w:r>
      <w:r>
        <w:rPr>
          <w:spacing w:val="-2"/>
          <w:sz w:val="24"/>
        </w:rPr>
        <w:t> </w:t>
      </w:r>
      <w:r>
        <w:rPr>
          <w:sz w:val="24"/>
        </w:rPr>
        <w:t>States</w:t>
      </w:r>
      <w:r>
        <w:rPr>
          <w:spacing w:val="-2"/>
          <w:sz w:val="24"/>
        </w:rPr>
        <w:t> </w:t>
      </w:r>
      <w:r>
        <w:rPr>
          <w:sz w:val="24"/>
        </w:rPr>
        <w:t>Citizenship</w:t>
      </w:r>
      <w:r>
        <w:rPr>
          <w:spacing w:val="-1"/>
          <w:sz w:val="24"/>
        </w:rPr>
        <w:t> </w:t>
      </w:r>
      <w:r>
        <w:rPr>
          <w:sz w:val="24"/>
        </w:rPr>
        <w:t>Immigration</w:t>
      </w:r>
      <w:r>
        <w:rPr>
          <w:spacing w:val="-2"/>
          <w:sz w:val="24"/>
        </w:rPr>
        <w:t> </w:t>
      </w:r>
      <w:r>
        <w:rPr>
          <w:sz w:val="24"/>
        </w:rPr>
        <w:t>Service</w:t>
      </w:r>
      <w:r>
        <w:rPr>
          <w:spacing w:val="-2"/>
          <w:sz w:val="24"/>
        </w:rPr>
        <w:t> </w:t>
      </w:r>
      <w:r>
        <w:rPr>
          <w:sz w:val="24"/>
        </w:rPr>
        <w:t>(USCIS) before they can be determined eligible for VR services.</w:t>
      </w:r>
    </w:p>
    <w:p>
      <w:pPr>
        <w:pStyle w:val="ListParagraph"/>
        <w:numPr>
          <w:ilvl w:val="0"/>
          <w:numId w:val="116"/>
        </w:numPr>
        <w:tabs>
          <w:tab w:pos="1528" w:val="left" w:leader="none"/>
          <w:tab w:pos="1530" w:val="left" w:leader="none"/>
        </w:tabs>
        <w:spacing w:line="208" w:lineRule="auto" w:before="240" w:after="0"/>
        <w:ind w:left="1530" w:right="892" w:hanging="360"/>
        <w:jc w:val="left"/>
        <w:rPr>
          <w:sz w:val="24"/>
        </w:rPr>
      </w:pPr>
      <w:r>
        <w:rPr>
          <w:sz w:val="24"/>
        </w:rPr>
        <w:t>Non-immigrant</w:t>
      </w:r>
      <w:r>
        <w:rPr>
          <w:spacing w:val="-3"/>
          <w:sz w:val="24"/>
        </w:rPr>
        <w:t> </w:t>
      </w:r>
      <w:r>
        <w:rPr>
          <w:sz w:val="24"/>
        </w:rPr>
        <w:t>aliens</w:t>
      </w:r>
      <w:r>
        <w:rPr>
          <w:spacing w:val="-4"/>
          <w:sz w:val="24"/>
        </w:rPr>
        <w:t> </w:t>
      </w:r>
      <w:r>
        <w:rPr>
          <w:sz w:val="24"/>
        </w:rPr>
        <w:t>are</w:t>
      </w:r>
      <w:r>
        <w:rPr>
          <w:spacing w:val="-4"/>
          <w:sz w:val="24"/>
        </w:rPr>
        <w:t> </w:t>
      </w:r>
      <w:r>
        <w:rPr>
          <w:sz w:val="24"/>
        </w:rPr>
        <w:t>individuals</w:t>
      </w:r>
      <w:r>
        <w:rPr>
          <w:spacing w:val="-4"/>
          <w:sz w:val="24"/>
        </w:rPr>
        <w:t> </w:t>
      </w:r>
      <w:r>
        <w:rPr>
          <w:sz w:val="24"/>
        </w:rPr>
        <w:t>admitted</w:t>
      </w:r>
      <w:r>
        <w:rPr>
          <w:spacing w:val="-4"/>
          <w:sz w:val="24"/>
        </w:rPr>
        <w:t> </w:t>
      </w:r>
      <w:r>
        <w:rPr>
          <w:sz w:val="24"/>
        </w:rPr>
        <w:t>to</w:t>
      </w:r>
      <w:r>
        <w:rPr>
          <w:spacing w:val="-4"/>
          <w:sz w:val="24"/>
        </w:rPr>
        <w:t> </w:t>
      </w:r>
      <w:r>
        <w:rPr>
          <w:sz w:val="24"/>
        </w:rPr>
        <w:t>this</w:t>
      </w:r>
      <w:r>
        <w:rPr>
          <w:spacing w:val="-4"/>
          <w:sz w:val="24"/>
        </w:rPr>
        <w:t> </w:t>
      </w:r>
      <w:r>
        <w:rPr>
          <w:sz w:val="24"/>
        </w:rPr>
        <w:t>country</w:t>
      </w:r>
      <w:r>
        <w:rPr>
          <w:spacing w:val="-4"/>
          <w:sz w:val="24"/>
        </w:rPr>
        <w:t> </w:t>
      </w:r>
      <w:r>
        <w:rPr>
          <w:sz w:val="24"/>
        </w:rPr>
        <w:t>for</w:t>
      </w:r>
      <w:r>
        <w:rPr>
          <w:spacing w:val="-5"/>
          <w:sz w:val="24"/>
        </w:rPr>
        <w:t> </w:t>
      </w:r>
      <w:r>
        <w:rPr>
          <w:sz w:val="24"/>
        </w:rPr>
        <w:t>a</w:t>
      </w:r>
      <w:r>
        <w:rPr>
          <w:spacing w:val="-5"/>
          <w:sz w:val="24"/>
        </w:rPr>
        <w:t> </w:t>
      </w:r>
      <w:r>
        <w:rPr>
          <w:sz w:val="24"/>
        </w:rPr>
        <w:t>particular purpose and time period, and are expected to return to their home country upon completion of the specified purpose or time period. This group </w:t>
      </w:r>
      <w:r>
        <w:rPr>
          <w:spacing w:val="-2"/>
          <w:sz w:val="24"/>
        </w:rPr>
        <w:t>includes:</w:t>
      </w:r>
    </w:p>
    <w:p>
      <w:pPr>
        <w:pStyle w:val="ListParagraph"/>
        <w:numPr>
          <w:ilvl w:val="1"/>
          <w:numId w:val="116"/>
        </w:numPr>
        <w:tabs>
          <w:tab w:pos="2519" w:val="left" w:leader="none"/>
        </w:tabs>
        <w:spacing w:line="240" w:lineRule="auto" w:before="210" w:after="0"/>
        <w:ind w:left="2519" w:right="0" w:hanging="449"/>
        <w:jc w:val="left"/>
        <w:rPr>
          <w:sz w:val="24"/>
        </w:rPr>
      </w:pPr>
      <w:r>
        <w:rPr>
          <w:sz w:val="24"/>
        </w:rPr>
        <w:t></w:t>
      </w:r>
      <w:r>
        <w:rPr>
          <w:spacing w:val="-3"/>
          <w:sz w:val="24"/>
        </w:rPr>
        <w:t> </w:t>
      </w:r>
      <w:r>
        <w:rPr>
          <w:sz w:val="24"/>
        </w:rPr>
        <w:t>Visitors</w:t>
      </w:r>
      <w:r>
        <w:rPr>
          <w:spacing w:val="-2"/>
          <w:sz w:val="24"/>
        </w:rPr>
        <w:t> </w:t>
      </w:r>
      <w:r>
        <w:rPr>
          <w:sz w:val="24"/>
        </w:rPr>
        <w:t>for</w:t>
      </w:r>
      <w:r>
        <w:rPr>
          <w:spacing w:val="-2"/>
          <w:sz w:val="24"/>
        </w:rPr>
        <w:t> </w:t>
      </w:r>
      <w:r>
        <w:rPr>
          <w:sz w:val="24"/>
        </w:rPr>
        <w:t>business</w:t>
      </w:r>
      <w:r>
        <w:rPr>
          <w:spacing w:val="-1"/>
          <w:sz w:val="24"/>
        </w:rPr>
        <w:t> </w:t>
      </w:r>
      <w:r>
        <w:rPr>
          <w:sz w:val="24"/>
        </w:rPr>
        <w:t>or</w:t>
      </w:r>
      <w:r>
        <w:rPr>
          <w:spacing w:val="-1"/>
          <w:sz w:val="24"/>
        </w:rPr>
        <w:t> </w:t>
      </w:r>
      <w:r>
        <w:rPr>
          <w:spacing w:val="-2"/>
          <w:sz w:val="24"/>
        </w:rPr>
        <w:t>pleasure;</w:t>
      </w:r>
    </w:p>
    <w:p>
      <w:pPr>
        <w:pStyle w:val="ListParagraph"/>
        <w:numPr>
          <w:ilvl w:val="1"/>
          <w:numId w:val="116"/>
        </w:numPr>
        <w:tabs>
          <w:tab w:pos="2517" w:val="left" w:leader="none"/>
        </w:tabs>
        <w:spacing w:line="240" w:lineRule="auto" w:before="204" w:after="0"/>
        <w:ind w:left="2517" w:right="0" w:hanging="447"/>
        <w:jc w:val="left"/>
        <w:rPr>
          <w:sz w:val="24"/>
        </w:rPr>
      </w:pPr>
      <w:r>
        <w:rPr>
          <w:sz w:val="24"/>
        </w:rPr>
        <w:t></w:t>
      </w:r>
      <w:r>
        <w:rPr>
          <w:spacing w:val="-2"/>
          <w:sz w:val="24"/>
        </w:rPr>
        <w:t> </w:t>
      </w:r>
      <w:r>
        <w:rPr>
          <w:sz w:val="24"/>
        </w:rPr>
        <w:t>Crew</w:t>
      </w:r>
      <w:r>
        <w:rPr>
          <w:spacing w:val="-1"/>
          <w:sz w:val="24"/>
        </w:rPr>
        <w:t> </w:t>
      </w:r>
      <w:r>
        <w:rPr>
          <w:sz w:val="24"/>
        </w:rPr>
        <w:t>of</w:t>
      </w:r>
      <w:r>
        <w:rPr>
          <w:spacing w:val="-3"/>
          <w:sz w:val="24"/>
        </w:rPr>
        <w:t> </w:t>
      </w:r>
      <w:r>
        <w:rPr>
          <w:sz w:val="24"/>
        </w:rPr>
        <w:t>vessels</w:t>
      </w:r>
      <w:r>
        <w:rPr>
          <w:spacing w:val="-1"/>
          <w:sz w:val="24"/>
        </w:rPr>
        <w:t> </w:t>
      </w:r>
      <w:r>
        <w:rPr>
          <w:sz w:val="24"/>
        </w:rPr>
        <w:t>or </w:t>
      </w:r>
      <w:r>
        <w:rPr>
          <w:spacing w:val="-2"/>
          <w:sz w:val="24"/>
        </w:rPr>
        <w:t>aircraft;</w:t>
      </w:r>
    </w:p>
    <w:p>
      <w:pPr>
        <w:pStyle w:val="ListParagraph"/>
        <w:numPr>
          <w:ilvl w:val="1"/>
          <w:numId w:val="116"/>
        </w:numPr>
        <w:tabs>
          <w:tab w:pos="2517" w:val="left" w:leader="none"/>
        </w:tabs>
        <w:spacing w:line="240" w:lineRule="auto" w:before="204" w:after="0"/>
        <w:ind w:left="2517" w:right="0" w:hanging="447"/>
        <w:jc w:val="left"/>
        <w:rPr>
          <w:sz w:val="24"/>
        </w:rPr>
      </w:pPr>
      <w:r>
        <w:rPr>
          <w:sz w:val="24"/>
        </w:rPr>
        <w:t></w:t>
      </w:r>
      <w:r>
        <w:rPr>
          <w:spacing w:val="-5"/>
          <w:sz w:val="24"/>
        </w:rPr>
        <w:t> </w:t>
      </w:r>
      <w:r>
        <w:rPr>
          <w:sz w:val="24"/>
        </w:rPr>
        <w:t>Representatives</w:t>
      </w:r>
      <w:r>
        <w:rPr>
          <w:spacing w:val="-4"/>
          <w:sz w:val="24"/>
        </w:rPr>
        <w:t> </w:t>
      </w:r>
      <w:r>
        <w:rPr>
          <w:sz w:val="24"/>
        </w:rPr>
        <w:t>of</w:t>
      </w:r>
      <w:r>
        <w:rPr>
          <w:spacing w:val="-4"/>
          <w:sz w:val="24"/>
        </w:rPr>
        <w:t> </w:t>
      </w:r>
      <w:r>
        <w:rPr>
          <w:sz w:val="24"/>
        </w:rPr>
        <w:t>international</w:t>
      </w:r>
      <w:r>
        <w:rPr>
          <w:spacing w:val="-4"/>
          <w:sz w:val="24"/>
        </w:rPr>
        <w:t> </w:t>
      </w:r>
      <w:r>
        <w:rPr>
          <w:spacing w:val="-2"/>
          <w:sz w:val="24"/>
        </w:rPr>
        <w:t>organizations;</w:t>
      </w:r>
    </w:p>
    <w:p>
      <w:pPr>
        <w:pStyle w:val="ListParagraph"/>
        <w:numPr>
          <w:ilvl w:val="1"/>
          <w:numId w:val="116"/>
        </w:numPr>
        <w:tabs>
          <w:tab w:pos="2518" w:val="left" w:leader="none"/>
          <w:tab w:pos="2520" w:val="left" w:leader="none"/>
        </w:tabs>
        <w:spacing w:line="208" w:lineRule="auto" w:before="233" w:after="0"/>
        <w:ind w:left="2520" w:right="733" w:hanging="450"/>
        <w:jc w:val="left"/>
        <w:rPr>
          <w:sz w:val="24"/>
        </w:rPr>
      </w:pPr>
      <w:r>
        <w:rPr>
          <w:sz w:val="24"/>
        </w:rPr>
        <w:t></w:t>
      </w:r>
      <w:r>
        <w:rPr>
          <w:spacing w:val="-13"/>
          <w:sz w:val="24"/>
        </w:rPr>
        <w:t> </w:t>
      </w:r>
      <w:r>
        <w:rPr>
          <w:sz w:val="24"/>
        </w:rPr>
        <w:t>Ambassadors,</w:t>
      </w:r>
      <w:r>
        <w:rPr>
          <w:spacing w:val="-12"/>
          <w:sz w:val="24"/>
        </w:rPr>
        <w:t> </w:t>
      </w:r>
      <w:r>
        <w:rPr>
          <w:sz w:val="24"/>
        </w:rPr>
        <w:t>public</w:t>
      </w:r>
      <w:r>
        <w:rPr>
          <w:spacing w:val="-13"/>
          <w:sz w:val="24"/>
        </w:rPr>
        <w:t> </w:t>
      </w:r>
      <w:r>
        <w:rPr>
          <w:sz w:val="24"/>
        </w:rPr>
        <w:t>ministers,</w:t>
      </w:r>
      <w:r>
        <w:rPr>
          <w:spacing w:val="-12"/>
          <w:sz w:val="24"/>
        </w:rPr>
        <w:t> </w:t>
      </w:r>
      <w:r>
        <w:rPr>
          <w:sz w:val="24"/>
        </w:rPr>
        <w:t>and</w:t>
      </w:r>
      <w:r>
        <w:rPr>
          <w:spacing w:val="-13"/>
          <w:sz w:val="24"/>
        </w:rPr>
        <w:t> </w:t>
      </w:r>
      <w:r>
        <w:rPr>
          <w:sz w:val="24"/>
        </w:rPr>
        <w:t>career</w:t>
      </w:r>
      <w:r>
        <w:rPr>
          <w:spacing w:val="-12"/>
          <w:sz w:val="24"/>
        </w:rPr>
        <w:t> </w:t>
      </w:r>
      <w:r>
        <w:rPr>
          <w:sz w:val="24"/>
        </w:rPr>
        <w:t>diplomatic</w:t>
      </w:r>
      <w:r>
        <w:rPr>
          <w:spacing w:val="-12"/>
          <w:sz w:val="24"/>
        </w:rPr>
        <w:t> </w:t>
      </w:r>
      <w:r>
        <w:rPr>
          <w:sz w:val="24"/>
        </w:rPr>
        <w:t>or</w:t>
      </w:r>
      <w:r>
        <w:rPr>
          <w:spacing w:val="-12"/>
          <w:sz w:val="24"/>
        </w:rPr>
        <w:t> </w:t>
      </w:r>
      <w:r>
        <w:rPr>
          <w:sz w:val="24"/>
        </w:rPr>
        <w:t>consular officers; and</w:t>
      </w:r>
    </w:p>
    <w:p>
      <w:pPr>
        <w:pStyle w:val="ListParagraph"/>
        <w:spacing w:after="0" w:line="208" w:lineRule="auto"/>
        <w:jc w:val="left"/>
        <w:rPr>
          <w:sz w:val="24"/>
        </w:rPr>
        <w:sectPr>
          <w:pgSz w:w="12240" w:h="15840"/>
          <w:pgMar w:top="1340" w:bottom="280" w:left="1080" w:right="720"/>
        </w:sectPr>
      </w:pPr>
    </w:p>
    <w:p>
      <w:pPr>
        <w:pStyle w:val="ListParagraph"/>
        <w:numPr>
          <w:ilvl w:val="1"/>
          <w:numId w:val="116"/>
        </w:numPr>
        <w:tabs>
          <w:tab w:pos="2518" w:val="left" w:leader="none"/>
          <w:tab w:pos="2520" w:val="left" w:leader="none"/>
        </w:tabs>
        <w:spacing w:line="208" w:lineRule="auto" w:before="96" w:after="0"/>
        <w:ind w:left="2520" w:right="927" w:hanging="450"/>
        <w:jc w:val="left"/>
        <w:rPr>
          <w:sz w:val="24"/>
        </w:rPr>
      </w:pPr>
      <w:r>
        <w:rPr>
          <w:sz w:val="24"/>
        </w:rPr>
        <w:t> Students pursuing a course of study (most common visas: “FI” and</w:t>
      </w:r>
      <w:r>
        <w:rPr>
          <w:spacing w:val="-4"/>
          <w:sz w:val="24"/>
        </w:rPr>
        <w:t> </w:t>
      </w:r>
      <w:r>
        <w:rPr>
          <w:sz w:val="24"/>
        </w:rPr>
        <w:t>“JI”;</w:t>
      </w:r>
      <w:r>
        <w:rPr>
          <w:spacing w:val="-5"/>
          <w:sz w:val="24"/>
        </w:rPr>
        <w:t> </w:t>
      </w:r>
      <w:r>
        <w:rPr>
          <w:sz w:val="24"/>
        </w:rPr>
        <w:t>no</w:t>
      </w:r>
      <w:r>
        <w:rPr>
          <w:spacing w:val="-4"/>
          <w:sz w:val="24"/>
        </w:rPr>
        <w:t> </w:t>
      </w:r>
      <w:r>
        <w:rPr>
          <w:sz w:val="24"/>
        </w:rPr>
        <w:t>work</w:t>
      </w:r>
      <w:r>
        <w:rPr>
          <w:spacing w:val="-4"/>
          <w:sz w:val="24"/>
        </w:rPr>
        <w:t> </w:t>
      </w:r>
      <w:r>
        <w:rPr>
          <w:sz w:val="24"/>
        </w:rPr>
        <w:t>authorized</w:t>
      </w:r>
      <w:r>
        <w:rPr>
          <w:spacing w:val="-4"/>
          <w:sz w:val="24"/>
        </w:rPr>
        <w:t> </w:t>
      </w:r>
      <w:r>
        <w:rPr>
          <w:sz w:val="24"/>
        </w:rPr>
        <w:t>except</w:t>
      </w:r>
      <w:r>
        <w:rPr>
          <w:spacing w:val="-3"/>
          <w:sz w:val="24"/>
        </w:rPr>
        <w:t> </w:t>
      </w:r>
      <w:r>
        <w:rPr>
          <w:sz w:val="24"/>
        </w:rPr>
        <w:t>work</w:t>
      </w:r>
      <w:r>
        <w:rPr>
          <w:spacing w:val="-4"/>
          <w:sz w:val="24"/>
        </w:rPr>
        <w:t> </w:t>
      </w:r>
      <w:r>
        <w:rPr>
          <w:sz w:val="24"/>
        </w:rPr>
        <w:t>related</w:t>
      </w:r>
      <w:r>
        <w:rPr>
          <w:spacing w:val="-4"/>
          <w:sz w:val="24"/>
        </w:rPr>
        <w:t> </w:t>
      </w:r>
      <w:r>
        <w:rPr>
          <w:sz w:val="24"/>
        </w:rPr>
        <w:t>to</w:t>
      </w:r>
      <w:r>
        <w:rPr>
          <w:spacing w:val="-4"/>
          <w:sz w:val="24"/>
        </w:rPr>
        <w:t> </w:t>
      </w:r>
      <w:r>
        <w:rPr>
          <w:sz w:val="24"/>
        </w:rPr>
        <w:t>the</w:t>
      </w:r>
      <w:r>
        <w:rPr>
          <w:spacing w:val="-5"/>
          <w:sz w:val="24"/>
        </w:rPr>
        <w:t> </w:t>
      </w:r>
      <w:r>
        <w:rPr>
          <w:sz w:val="24"/>
        </w:rPr>
        <w:t>applicant’s academic program).</w:t>
      </w:r>
    </w:p>
    <w:p>
      <w:pPr>
        <w:pStyle w:val="ListParagraph"/>
        <w:numPr>
          <w:ilvl w:val="1"/>
          <w:numId w:val="116"/>
        </w:numPr>
        <w:tabs>
          <w:tab w:pos="2518" w:val="left" w:leader="none"/>
          <w:tab w:pos="2520" w:val="left" w:leader="none"/>
        </w:tabs>
        <w:spacing w:line="208" w:lineRule="auto" w:before="240" w:after="0"/>
        <w:ind w:left="2520" w:right="1101" w:hanging="450"/>
        <w:jc w:val="left"/>
        <w:rPr>
          <w:sz w:val="24"/>
        </w:rPr>
      </w:pPr>
      <w:r>
        <w:rPr>
          <w:sz w:val="24"/>
        </w:rPr>
        <w:t>The immigrant applicant must be available to complete the IPE, which</w:t>
      </w:r>
      <w:r>
        <w:rPr>
          <w:spacing w:val="-5"/>
          <w:sz w:val="24"/>
        </w:rPr>
        <w:t> </w:t>
      </w:r>
      <w:r>
        <w:rPr>
          <w:sz w:val="24"/>
        </w:rPr>
        <w:t>includes</w:t>
      </w:r>
      <w:r>
        <w:rPr>
          <w:spacing w:val="-5"/>
          <w:sz w:val="24"/>
        </w:rPr>
        <w:t> </w:t>
      </w:r>
      <w:r>
        <w:rPr>
          <w:sz w:val="24"/>
        </w:rPr>
        <w:t>suitable</w:t>
      </w:r>
      <w:r>
        <w:rPr>
          <w:spacing w:val="-5"/>
          <w:sz w:val="24"/>
        </w:rPr>
        <w:t> </w:t>
      </w:r>
      <w:r>
        <w:rPr>
          <w:sz w:val="24"/>
        </w:rPr>
        <w:t>employment</w:t>
      </w:r>
      <w:r>
        <w:rPr>
          <w:spacing w:val="-4"/>
          <w:sz w:val="24"/>
        </w:rPr>
        <w:t> </w:t>
      </w:r>
      <w:r>
        <w:rPr>
          <w:sz w:val="24"/>
        </w:rPr>
        <w:t>in</w:t>
      </w:r>
      <w:r>
        <w:rPr>
          <w:spacing w:val="-5"/>
          <w:sz w:val="24"/>
        </w:rPr>
        <w:t> </w:t>
      </w:r>
      <w:r>
        <w:rPr>
          <w:sz w:val="24"/>
        </w:rPr>
        <w:t>the</w:t>
      </w:r>
      <w:r>
        <w:rPr>
          <w:spacing w:val="-5"/>
          <w:sz w:val="24"/>
        </w:rPr>
        <w:t> </w:t>
      </w:r>
      <w:r>
        <w:rPr>
          <w:sz w:val="24"/>
        </w:rPr>
        <w:t>United</w:t>
      </w:r>
      <w:r>
        <w:rPr>
          <w:spacing w:val="-5"/>
          <w:sz w:val="24"/>
        </w:rPr>
        <w:t> </w:t>
      </w:r>
      <w:r>
        <w:rPr>
          <w:sz w:val="24"/>
        </w:rPr>
        <w:t>States.</w:t>
      </w:r>
      <w:r>
        <w:rPr>
          <w:spacing w:val="40"/>
          <w:sz w:val="24"/>
        </w:rPr>
        <w:t> </w:t>
      </w:r>
      <w:r>
        <w:rPr>
          <w:sz w:val="24"/>
        </w:rPr>
        <w:t>When completion cannot be expected, the applicant is not eligible for </w:t>
      </w:r>
      <w:r>
        <w:rPr>
          <w:spacing w:val="-2"/>
          <w:sz w:val="24"/>
        </w:rPr>
        <w:t>services.</w:t>
      </w:r>
    </w:p>
    <w:p>
      <w:pPr>
        <w:pStyle w:val="ListParagraph"/>
        <w:numPr>
          <w:ilvl w:val="1"/>
          <w:numId w:val="116"/>
        </w:numPr>
        <w:tabs>
          <w:tab w:pos="2518" w:val="left" w:leader="none"/>
          <w:tab w:pos="2520" w:val="left" w:leader="none"/>
        </w:tabs>
        <w:spacing w:line="208" w:lineRule="auto" w:before="239" w:after="0"/>
        <w:ind w:left="2520" w:right="754" w:hanging="450"/>
        <w:jc w:val="left"/>
        <w:rPr>
          <w:sz w:val="24"/>
        </w:rPr>
      </w:pPr>
      <w:r>
        <w:rPr>
          <w:sz w:val="24"/>
        </w:rPr>
        <w:t>Immigrants who are part of the Amnesty Program receive a letter stating that they are not eligible for Federal Financial Assistance. DRS</w:t>
      </w:r>
      <w:r>
        <w:rPr>
          <w:spacing w:val="-5"/>
          <w:sz w:val="24"/>
        </w:rPr>
        <w:t> </w:t>
      </w:r>
      <w:r>
        <w:rPr>
          <w:sz w:val="24"/>
        </w:rPr>
        <w:t>programs</w:t>
      </w:r>
      <w:r>
        <w:rPr>
          <w:spacing w:val="-5"/>
          <w:sz w:val="24"/>
        </w:rPr>
        <w:t> </w:t>
      </w:r>
      <w:r>
        <w:rPr>
          <w:sz w:val="24"/>
        </w:rPr>
        <w:t>are</w:t>
      </w:r>
      <w:r>
        <w:rPr>
          <w:spacing w:val="-5"/>
          <w:sz w:val="24"/>
        </w:rPr>
        <w:t> </w:t>
      </w:r>
      <w:r>
        <w:rPr>
          <w:sz w:val="24"/>
        </w:rPr>
        <w:t>not</w:t>
      </w:r>
      <w:r>
        <w:rPr>
          <w:spacing w:val="-4"/>
          <w:sz w:val="24"/>
        </w:rPr>
        <w:t> </w:t>
      </w:r>
      <w:r>
        <w:rPr>
          <w:sz w:val="24"/>
        </w:rPr>
        <w:t>considered</w:t>
      </w:r>
      <w:r>
        <w:rPr>
          <w:spacing w:val="-5"/>
          <w:sz w:val="24"/>
        </w:rPr>
        <w:t> </w:t>
      </w:r>
      <w:r>
        <w:rPr>
          <w:sz w:val="24"/>
        </w:rPr>
        <w:t>Federal</w:t>
      </w:r>
      <w:r>
        <w:rPr>
          <w:spacing w:val="-5"/>
          <w:sz w:val="24"/>
        </w:rPr>
        <w:t> </w:t>
      </w:r>
      <w:r>
        <w:rPr>
          <w:sz w:val="24"/>
        </w:rPr>
        <w:t>Financial</w:t>
      </w:r>
      <w:r>
        <w:rPr>
          <w:spacing w:val="-5"/>
          <w:sz w:val="24"/>
        </w:rPr>
        <w:t> </w:t>
      </w:r>
      <w:r>
        <w:rPr>
          <w:sz w:val="24"/>
        </w:rPr>
        <w:t>Assistance,</w:t>
      </w:r>
      <w:r>
        <w:rPr>
          <w:spacing w:val="-4"/>
          <w:sz w:val="24"/>
        </w:rPr>
        <w:t> </w:t>
      </w:r>
      <w:r>
        <w:rPr>
          <w:sz w:val="24"/>
        </w:rPr>
        <w:t>so services may be provided if the individual is otherwise eligible.</w:t>
      </w:r>
    </w:p>
    <w:p>
      <w:pPr>
        <w:pStyle w:val="ListParagraph"/>
        <w:numPr>
          <w:ilvl w:val="0"/>
          <w:numId w:val="114"/>
        </w:numPr>
        <w:tabs>
          <w:tab w:pos="790" w:val="left" w:leader="none"/>
          <w:tab w:pos="792" w:val="left" w:leader="none"/>
        </w:tabs>
        <w:spacing w:line="208" w:lineRule="auto" w:before="240" w:after="0"/>
        <w:ind w:left="792" w:right="746" w:hanging="432"/>
        <w:jc w:val="left"/>
        <w:rPr>
          <w:sz w:val="24"/>
        </w:rPr>
      </w:pPr>
      <w:r>
        <w:rPr>
          <w:sz w:val="24"/>
        </w:rPr>
        <w:t>Selective Service System (SSS) An application will not be denied if the individual is not registered in the SSS. Even so, any male between the ages of 18 – 25 must have registered with the SSS in order to qualify for federal student aid, job training benefits, to receive student loans, and most federal employment. If an individual is 25</w:t>
      </w:r>
      <w:r>
        <w:rPr>
          <w:spacing w:val="-3"/>
          <w:sz w:val="24"/>
        </w:rPr>
        <w:t> </w:t>
      </w:r>
      <w:r>
        <w:rPr>
          <w:sz w:val="24"/>
        </w:rPr>
        <w:t>or</w:t>
      </w:r>
      <w:r>
        <w:rPr>
          <w:spacing w:val="-2"/>
          <w:sz w:val="24"/>
        </w:rPr>
        <w:t> </w:t>
      </w:r>
      <w:r>
        <w:rPr>
          <w:sz w:val="24"/>
        </w:rPr>
        <w:t>younger</w:t>
      </w:r>
      <w:r>
        <w:rPr>
          <w:spacing w:val="-2"/>
          <w:sz w:val="24"/>
        </w:rPr>
        <w:t> </w:t>
      </w:r>
      <w:r>
        <w:rPr>
          <w:sz w:val="24"/>
        </w:rPr>
        <w:t>and</w:t>
      </w:r>
      <w:r>
        <w:rPr>
          <w:spacing w:val="-3"/>
          <w:sz w:val="24"/>
        </w:rPr>
        <w:t> </w:t>
      </w:r>
      <w:r>
        <w:rPr>
          <w:sz w:val="24"/>
        </w:rPr>
        <w:t>has</w:t>
      </w:r>
      <w:r>
        <w:rPr>
          <w:spacing w:val="-3"/>
          <w:sz w:val="24"/>
        </w:rPr>
        <w:t> </w:t>
      </w:r>
      <w:r>
        <w:rPr>
          <w:sz w:val="24"/>
        </w:rPr>
        <w:t>not</w:t>
      </w:r>
      <w:r>
        <w:rPr>
          <w:spacing w:val="-2"/>
          <w:sz w:val="24"/>
        </w:rPr>
        <w:t> </w:t>
      </w:r>
      <w:r>
        <w:rPr>
          <w:sz w:val="24"/>
        </w:rPr>
        <w:t>registered</w:t>
      </w:r>
      <w:r>
        <w:rPr>
          <w:spacing w:val="-3"/>
          <w:sz w:val="24"/>
        </w:rPr>
        <w:t> </w:t>
      </w:r>
      <w:r>
        <w:rPr>
          <w:sz w:val="24"/>
        </w:rPr>
        <w:t>with</w:t>
      </w:r>
      <w:r>
        <w:rPr>
          <w:spacing w:val="-3"/>
          <w:sz w:val="24"/>
        </w:rPr>
        <w:t> </w:t>
      </w:r>
      <w:r>
        <w:rPr>
          <w:sz w:val="24"/>
        </w:rPr>
        <w:t>SSS,</w:t>
      </w:r>
      <w:r>
        <w:rPr>
          <w:spacing w:val="-2"/>
          <w:sz w:val="24"/>
        </w:rPr>
        <w:t> </w:t>
      </w:r>
      <w:r>
        <w:rPr>
          <w:sz w:val="24"/>
        </w:rPr>
        <w:t>inform</w:t>
      </w:r>
      <w:r>
        <w:rPr>
          <w:spacing w:val="-4"/>
          <w:sz w:val="24"/>
        </w:rPr>
        <w:t> </w:t>
      </w:r>
      <w:r>
        <w:rPr>
          <w:sz w:val="24"/>
        </w:rPr>
        <w:t>them</w:t>
      </w:r>
      <w:r>
        <w:rPr>
          <w:spacing w:val="-2"/>
          <w:sz w:val="24"/>
        </w:rPr>
        <w:t> </w:t>
      </w:r>
      <w:r>
        <w:rPr>
          <w:sz w:val="24"/>
        </w:rPr>
        <w:t>of</w:t>
      </w:r>
      <w:r>
        <w:rPr>
          <w:spacing w:val="-4"/>
          <w:sz w:val="24"/>
        </w:rPr>
        <w:t> </w:t>
      </w:r>
      <w:r>
        <w:rPr>
          <w:sz w:val="24"/>
        </w:rPr>
        <w:t>their</w:t>
      </w:r>
      <w:r>
        <w:rPr>
          <w:spacing w:val="-2"/>
          <w:sz w:val="24"/>
        </w:rPr>
        <w:t> </w:t>
      </w:r>
      <w:r>
        <w:rPr>
          <w:sz w:val="24"/>
        </w:rPr>
        <w:t>responsibility</w:t>
      </w:r>
      <w:r>
        <w:rPr>
          <w:spacing w:val="-3"/>
          <w:sz w:val="24"/>
        </w:rPr>
        <w:t> </w:t>
      </w:r>
      <w:r>
        <w:rPr>
          <w:sz w:val="24"/>
        </w:rPr>
        <w:t>to do so. They may register at any Post Office or on-line. SSS registration, while a legal requirement, affects neither the application nor the eligibility process although it could affect the development and the implementation of the IPE.</w:t>
      </w:r>
    </w:p>
    <w:p>
      <w:pPr>
        <w:spacing w:before="243"/>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108"/>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line="253" w:lineRule="exact" w:before="0"/>
        <w:ind w:left="1439" w:right="0" w:firstLine="0"/>
        <w:jc w:val="left"/>
        <w:rPr>
          <w:sz w:val="22"/>
        </w:rPr>
      </w:pPr>
      <w:r>
        <w:rPr>
          <w:sz w:val="22"/>
        </w:rPr>
        <w:t>Permanent,</w:t>
      </w:r>
      <w:r>
        <w:rPr>
          <w:spacing w:val="-7"/>
          <w:sz w:val="22"/>
        </w:rPr>
        <w:t> </w:t>
      </w:r>
      <w:r>
        <w:rPr>
          <w:sz w:val="22"/>
        </w:rPr>
        <w:t>application</w:t>
      </w:r>
      <w:r>
        <w:rPr>
          <w:spacing w:val="-8"/>
          <w:sz w:val="22"/>
        </w:rPr>
        <w:t> </w:t>
      </w:r>
      <w:r>
        <w:rPr>
          <w:sz w:val="22"/>
        </w:rPr>
        <w:t>is</w:t>
      </w:r>
      <w:r>
        <w:rPr>
          <w:spacing w:val="-7"/>
          <w:sz w:val="22"/>
        </w:rPr>
        <w:t> </w:t>
      </w:r>
      <w:r>
        <w:rPr>
          <w:sz w:val="22"/>
        </w:rPr>
        <w:t>placed</w:t>
      </w:r>
      <w:r>
        <w:rPr>
          <w:spacing w:val="-8"/>
          <w:sz w:val="22"/>
        </w:rPr>
        <w:t> </w:t>
      </w:r>
      <w:r>
        <w:rPr>
          <w:sz w:val="22"/>
        </w:rPr>
        <w:t>in</w:t>
      </w:r>
      <w:r>
        <w:rPr>
          <w:spacing w:val="-7"/>
          <w:sz w:val="22"/>
        </w:rPr>
        <w:t> </w:t>
      </w:r>
      <w:r>
        <w:rPr>
          <w:sz w:val="22"/>
        </w:rPr>
        <w:t>sequential</w:t>
      </w:r>
      <w:r>
        <w:rPr>
          <w:spacing w:val="-7"/>
          <w:sz w:val="22"/>
        </w:rPr>
        <w:t> </w:t>
      </w:r>
      <w:r>
        <w:rPr>
          <w:sz w:val="22"/>
        </w:rPr>
        <w:t>context</w:t>
      </w:r>
      <w:r>
        <w:rPr>
          <w:spacing w:val="-8"/>
          <w:sz w:val="22"/>
        </w:rPr>
        <w:t> </w:t>
      </w:r>
      <w:r>
        <w:rPr>
          <w:sz w:val="22"/>
        </w:rPr>
        <w:t>to</w:t>
      </w:r>
      <w:r>
        <w:rPr>
          <w:spacing w:val="-7"/>
          <w:sz w:val="22"/>
        </w:rPr>
        <w:t> </w:t>
      </w:r>
      <w:r>
        <w:rPr>
          <w:sz w:val="22"/>
        </w:rPr>
        <w:t>related</w:t>
      </w:r>
      <w:r>
        <w:rPr>
          <w:spacing w:val="-7"/>
          <w:sz w:val="22"/>
        </w:rPr>
        <w:t> </w:t>
      </w:r>
      <w:r>
        <w:rPr>
          <w:spacing w:val="-2"/>
          <w:sz w:val="22"/>
        </w:rPr>
        <w:t>policies.</w:t>
      </w:r>
    </w:p>
    <w:p>
      <w:pPr>
        <w:tabs>
          <w:tab w:pos="1439" w:val="left" w:leader="none"/>
        </w:tabs>
        <w:spacing w:before="1"/>
        <w:ind w:left="360" w:right="0" w:firstLine="0"/>
        <w:jc w:val="left"/>
        <w:rPr>
          <w:sz w:val="24"/>
        </w:rPr>
      </w:pPr>
      <w:r>
        <w:rPr>
          <w:spacing w:val="-2"/>
          <w:sz w:val="22"/>
        </w:rPr>
        <w:t>8-26-</w:t>
      </w:r>
      <w:r>
        <w:rPr>
          <w:spacing w:val="-5"/>
          <w:sz w:val="22"/>
        </w:rPr>
        <w:t>21</w:t>
      </w:r>
      <w:r>
        <w:rPr>
          <w:sz w:val="22"/>
        </w:rPr>
        <w:tab/>
        <w:t>Rule</w:t>
      </w:r>
      <w:r>
        <w:rPr>
          <w:spacing w:val="-5"/>
          <w:sz w:val="22"/>
        </w:rPr>
        <w:t> </w:t>
      </w:r>
      <w:r>
        <w:rPr>
          <w:sz w:val="22"/>
        </w:rPr>
        <w:t>name</w:t>
      </w:r>
      <w:r>
        <w:rPr>
          <w:spacing w:val="-5"/>
          <w:sz w:val="22"/>
        </w:rPr>
        <w:t> </w:t>
      </w:r>
      <w:r>
        <w:rPr>
          <w:sz w:val="22"/>
        </w:rPr>
        <w:t>change</w:t>
      </w:r>
      <w:r>
        <w:rPr>
          <w:spacing w:val="-4"/>
          <w:sz w:val="22"/>
        </w:rPr>
        <w:t> </w:t>
      </w:r>
      <w:r>
        <w:rPr>
          <w:sz w:val="24"/>
        </w:rPr>
        <w:t>'Application'</w:t>
      </w:r>
      <w:r>
        <w:rPr>
          <w:spacing w:val="-6"/>
          <w:sz w:val="24"/>
        </w:rPr>
        <w:t> </w:t>
      </w:r>
      <w:r>
        <w:rPr>
          <w:sz w:val="24"/>
        </w:rPr>
        <w:t>to</w:t>
      </w:r>
      <w:r>
        <w:rPr>
          <w:spacing w:val="-5"/>
          <w:sz w:val="24"/>
        </w:rPr>
        <w:t> </w:t>
      </w:r>
      <w:r>
        <w:rPr>
          <w:sz w:val="24"/>
        </w:rPr>
        <w:t>'Processing</w:t>
      </w:r>
      <w:r>
        <w:rPr>
          <w:spacing w:val="-5"/>
          <w:sz w:val="24"/>
        </w:rPr>
        <w:t> </w:t>
      </w:r>
      <w:r>
        <w:rPr>
          <w:sz w:val="24"/>
        </w:rPr>
        <w:t>referrals</w:t>
      </w:r>
      <w:r>
        <w:rPr>
          <w:spacing w:val="-6"/>
          <w:sz w:val="24"/>
        </w:rPr>
        <w:t> </w:t>
      </w:r>
      <w:r>
        <w:rPr>
          <w:sz w:val="24"/>
        </w:rPr>
        <w:t>and</w:t>
      </w:r>
      <w:r>
        <w:rPr>
          <w:spacing w:val="-5"/>
          <w:sz w:val="24"/>
        </w:rPr>
        <w:t> </w:t>
      </w:r>
      <w:r>
        <w:rPr>
          <w:spacing w:val="-2"/>
          <w:sz w:val="24"/>
        </w:rPr>
        <w:t>applications.</w:t>
      </w:r>
    </w:p>
    <w:p>
      <w:pPr>
        <w:pStyle w:val="BodyText"/>
        <w:spacing w:before="0"/>
        <w:ind w:left="1440"/>
      </w:pPr>
      <w:r>
        <w:rPr/>
        <w:t>Revised</w:t>
      </w:r>
      <w:r>
        <w:rPr>
          <w:spacing w:val="-3"/>
        </w:rPr>
        <w:t> </w:t>
      </w:r>
      <w:r>
        <w:rPr/>
        <w:t>language</w:t>
      </w:r>
      <w:r>
        <w:rPr>
          <w:spacing w:val="-3"/>
        </w:rPr>
        <w:t> </w:t>
      </w:r>
      <w:r>
        <w:rPr/>
        <w:t>to</w:t>
      </w:r>
      <w:r>
        <w:rPr>
          <w:spacing w:val="-3"/>
        </w:rPr>
        <w:t> </w:t>
      </w:r>
      <w:r>
        <w:rPr/>
        <w:t>reflect</w:t>
      </w:r>
      <w:r>
        <w:rPr>
          <w:spacing w:val="-2"/>
        </w:rPr>
        <w:t> </w:t>
      </w:r>
      <w:r>
        <w:rPr>
          <w:spacing w:val="-4"/>
        </w:rPr>
        <w:t>WIOA.</w:t>
      </w:r>
    </w:p>
    <w:p>
      <w:pPr>
        <w:pStyle w:val="BodyText"/>
        <w:tabs>
          <w:tab w:pos="1439" w:val="left" w:leader="none"/>
        </w:tabs>
        <w:spacing w:before="0"/>
      </w:pPr>
      <w:r>
        <w:rPr>
          <w:spacing w:val="-2"/>
        </w:rPr>
        <w:t>9-11-</w:t>
      </w:r>
      <w:r>
        <w:rPr>
          <w:spacing w:val="-5"/>
        </w:rPr>
        <w:t>22</w:t>
      </w:r>
      <w:r>
        <w:rPr/>
        <w:tab/>
        <w:t>Revised</w:t>
      </w:r>
      <w:r>
        <w:rPr>
          <w:spacing w:val="-5"/>
        </w:rPr>
        <w:t> </w:t>
      </w:r>
      <w:r>
        <w:rPr/>
        <w:t>terminology</w:t>
      </w:r>
      <w:r>
        <w:rPr>
          <w:spacing w:val="-5"/>
        </w:rPr>
        <w:t> </w:t>
      </w:r>
      <w:r>
        <w:rPr/>
        <w:t>to</w:t>
      </w:r>
      <w:r>
        <w:rPr>
          <w:spacing w:val="-4"/>
        </w:rPr>
        <w:t> </w:t>
      </w:r>
      <w:r>
        <w:rPr/>
        <w:t>include</w:t>
      </w:r>
      <w:r>
        <w:rPr>
          <w:spacing w:val="-5"/>
        </w:rPr>
        <w:t> </w:t>
      </w:r>
      <w:r>
        <w:rPr/>
        <w:t>Qualified</w:t>
      </w:r>
      <w:r>
        <w:rPr>
          <w:spacing w:val="-5"/>
        </w:rPr>
        <w:t> </w:t>
      </w:r>
      <w:r>
        <w:rPr/>
        <w:t>Vocational</w:t>
      </w:r>
      <w:r>
        <w:rPr>
          <w:spacing w:val="-5"/>
        </w:rPr>
        <w:t> </w:t>
      </w:r>
      <w:r>
        <w:rPr/>
        <w:t>Rehabilitation</w:t>
      </w:r>
      <w:r>
        <w:rPr>
          <w:spacing w:val="-3"/>
        </w:rPr>
        <w:t> </w:t>
      </w:r>
      <w:r>
        <w:rPr>
          <w:spacing w:val="-2"/>
        </w:rPr>
        <w:t>Counselor.</w:t>
      </w:r>
    </w:p>
    <w:p>
      <w:pPr>
        <w:pStyle w:val="BodyText"/>
        <w:spacing w:before="0"/>
        <w:ind w:left="1440"/>
      </w:pPr>
      <w:r>
        <w:rPr/>
        <w:t>Removed</w:t>
      </w:r>
      <w:r>
        <w:rPr>
          <w:spacing w:val="-5"/>
        </w:rPr>
        <w:t> </w:t>
      </w:r>
      <w:r>
        <w:rPr/>
        <w:t>“extended</w:t>
      </w:r>
      <w:r>
        <w:rPr>
          <w:spacing w:val="-5"/>
        </w:rPr>
        <w:t> </w:t>
      </w:r>
      <w:r>
        <w:rPr/>
        <w:t>evaluation”</w:t>
      </w:r>
      <w:r>
        <w:rPr>
          <w:spacing w:val="-4"/>
        </w:rPr>
        <w:t> </w:t>
      </w:r>
      <w:r>
        <w:rPr>
          <w:spacing w:val="-2"/>
        </w:rPr>
        <w:t>language.</w:t>
      </w:r>
    </w:p>
    <w:p>
      <w:pPr>
        <w:pStyle w:val="BodyText"/>
        <w:spacing w:after="0"/>
        <w:sectPr>
          <w:pgSz w:w="12240" w:h="15840"/>
          <w:pgMar w:top="1340" w:bottom="280" w:left="1080" w:right="720"/>
        </w:sectPr>
      </w:pPr>
    </w:p>
    <w:p>
      <w:pPr>
        <w:pStyle w:val="Heading2"/>
      </w:pPr>
      <w:bookmarkStart w:name="612:10-7-24.1.  Basic eligibility requir" w:id="125"/>
      <w:bookmarkEnd w:id="125"/>
      <w:r>
        <w:rPr>
          <w:b w:val="0"/>
        </w:rPr>
      </w:r>
      <w:bookmarkStart w:name="_bookmark10" w:id="126"/>
      <w:bookmarkEnd w:id="126"/>
      <w:r>
        <w:rPr>
          <w:b w:val="0"/>
        </w:rPr>
      </w:r>
      <w:r>
        <w:rPr/>
        <w:t>612:10-7-24.1.</w:t>
      </w:r>
      <w:r>
        <w:rPr>
          <w:spacing w:val="54"/>
        </w:rPr>
        <w:t> </w:t>
      </w:r>
      <w:r>
        <w:rPr/>
        <w:t>Basic</w:t>
      </w:r>
      <w:r>
        <w:rPr>
          <w:spacing w:val="-5"/>
        </w:rPr>
        <w:t> </w:t>
      </w:r>
      <w:r>
        <w:rPr/>
        <w:t>eligibility</w:t>
      </w:r>
      <w:r>
        <w:rPr>
          <w:spacing w:val="-6"/>
        </w:rPr>
        <w:t> </w:t>
      </w:r>
      <w:r>
        <w:rPr/>
        <w:t>requirements</w:t>
      </w:r>
      <w:r>
        <w:rPr>
          <w:spacing w:val="-5"/>
        </w:rPr>
        <w:t> </w:t>
      </w:r>
      <w:r>
        <w:rPr/>
        <w:t>for</w:t>
      </w:r>
      <w:r>
        <w:rPr>
          <w:spacing w:val="-5"/>
        </w:rPr>
        <w:t> </w:t>
      </w:r>
      <w:r>
        <w:rPr/>
        <w:t>vocational</w:t>
      </w:r>
      <w:r>
        <w:rPr>
          <w:spacing w:val="-5"/>
        </w:rPr>
        <w:t> </w:t>
      </w:r>
      <w:r>
        <w:rPr/>
        <w:t>rehabilitation</w:t>
      </w:r>
      <w:r>
        <w:rPr>
          <w:spacing w:val="-5"/>
        </w:rPr>
        <w:t> </w:t>
      </w:r>
      <w:r>
        <w:rPr>
          <w:spacing w:val="-2"/>
        </w:rPr>
        <w:t>services</w:t>
      </w:r>
    </w:p>
    <w:p>
      <w:pPr>
        <w:pStyle w:val="ListParagraph"/>
        <w:numPr>
          <w:ilvl w:val="0"/>
          <w:numId w:val="117"/>
        </w:numPr>
        <w:tabs>
          <w:tab w:pos="786" w:val="left" w:leader="none"/>
        </w:tabs>
        <w:spacing w:line="208" w:lineRule="auto" w:before="233" w:after="0"/>
        <w:ind w:left="360" w:right="767" w:firstLine="0"/>
        <w:jc w:val="left"/>
        <w:rPr>
          <w:sz w:val="24"/>
        </w:rPr>
      </w:pPr>
      <w:r>
        <w:rPr>
          <w:sz w:val="24"/>
        </w:rPr>
        <w:t>An</w:t>
      </w:r>
      <w:r>
        <w:rPr>
          <w:spacing w:val="-5"/>
          <w:sz w:val="24"/>
        </w:rPr>
        <w:t> </w:t>
      </w:r>
      <w:r>
        <w:rPr>
          <w:sz w:val="24"/>
        </w:rPr>
        <w:t>individual</w:t>
      </w:r>
      <w:r>
        <w:rPr>
          <w:spacing w:val="-5"/>
          <w:sz w:val="24"/>
        </w:rPr>
        <w:t> </w:t>
      </w:r>
      <w:r>
        <w:rPr>
          <w:sz w:val="24"/>
        </w:rPr>
        <w:t>is</w:t>
      </w:r>
      <w:r>
        <w:rPr>
          <w:spacing w:val="-5"/>
          <w:sz w:val="24"/>
        </w:rPr>
        <w:t> </w:t>
      </w:r>
      <w:r>
        <w:rPr>
          <w:sz w:val="24"/>
        </w:rPr>
        <w:t>eligible</w:t>
      </w:r>
      <w:r>
        <w:rPr>
          <w:spacing w:val="-5"/>
          <w:sz w:val="24"/>
        </w:rPr>
        <w:t> </w:t>
      </w:r>
      <w:r>
        <w:rPr>
          <w:sz w:val="24"/>
        </w:rPr>
        <w:t>for</w:t>
      </w:r>
      <w:r>
        <w:rPr>
          <w:spacing w:val="-4"/>
          <w:sz w:val="24"/>
        </w:rPr>
        <w:t> </w:t>
      </w:r>
      <w:r>
        <w:rPr>
          <w:sz w:val="24"/>
        </w:rPr>
        <w:t>vocational</w:t>
      </w:r>
      <w:r>
        <w:rPr>
          <w:spacing w:val="-5"/>
          <w:sz w:val="24"/>
        </w:rPr>
        <w:t> </w:t>
      </w:r>
      <w:r>
        <w:rPr>
          <w:sz w:val="24"/>
        </w:rPr>
        <w:t>rehabilitation</w:t>
      </w:r>
      <w:r>
        <w:rPr>
          <w:spacing w:val="-4"/>
          <w:sz w:val="24"/>
        </w:rPr>
        <w:t> </w:t>
      </w:r>
      <w:r>
        <w:rPr>
          <w:sz w:val="24"/>
        </w:rPr>
        <w:t>services</w:t>
      </w:r>
      <w:r>
        <w:rPr>
          <w:spacing w:val="-5"/>
          <w:sz w:val="24"/>
        </w:rPr>
        <w:t> </w:t>
      </w:r>
      <w:r>
        <w:rPr>
          <w:sz w:val="24"/>
        </w:rPr>
        <w:t>under</w:t>
      </w:r>
      <w:r>
        <w:rPr>
          <w:spacing w:val="-4"/>
          <w:sz w:val="24"/>
        </w:rPr>
        <w:t> </w:t>
      </w:r>
      <w:r>
        <w:rPr>
          <w:sz w:val="24"/>
        </w:rPr>
        <w:t>the</w:t>
      </w:r>
      <w:r>
        <w:rPr>
          <w:spacing w:val="-5"/>
          <w:sz w:val="24"/>
        </w:rPr>
        <w:t> </w:t>
      </w:r>
      <w:r>
        <w:rPr>
          <w:sz w:val="24"/>
        </w:rPr>
        <w:t>Rehabilitation Act through the State Department of Rehabilitation Services if the individual:</w:t>
      </w:r>
    </w:p>
    <w:p>
      <w:pPr>
        <w:pStyle w:val="ListParagraph"/>
        <w:numPr>
          <w:ilvl w:val="1"/>
          <w:numId w:val="117"/>
        </w:numPr>
        <w:tabs>
          <w:tab w:pos="1218" w:val="left" w:leader="none"/>
        </w:tabs>
        <w:spacing w:line="208" w:lineRule="auto" w:before="240" w:after="0"/>
        <w:ind w:left="792" w:right="1214" w:firstLine="0"/>
        <w:jc w:val="left"/>
        <w:rPr>
          <w:b/>
          <w:sz w:val="24"/>
        </w:rPr>
      </w:pPr>
      <w:r>
        <w:rPr>
          <w:sz w:val="24"/>
        </w:rPr>
        <w:t>has</w:t>
      </w:r>
      <w:r>
        <w:rPr>
          <w:spacing w:val="-4"/>
          <w:sz w:val="24"/>
        </w:rPr>
        <w:t> </w:t>
      </w:r>
      <w:r>
        <w:rPr>
          <w:sz w:val="24"/>
        </w:rPr>
        <w:t>a</w:t>
      </w:r>
      <w:r>
        <w:rPr>
          <w:spacing w:val="-5"/>
          <w:sz w:val="24"/>
        </w:rPr>
        <w:t> </w:t>
      </w:r>
      <w:r>
        <w:rPr>
          <w:sz w:val="24"/>
        </w:rPr>
        <w:t>physical</w:t>
      </w:r>
      <w:r>
        <w:rPr>
          <w:spacing w:val="-4"/>
          <w:sz w:val="24"/>
        </w:rPr>
        <w:t> </w:t>
      </w:r>
      <w:r>
        <w:rPr>
          <w:sz w:val="24"/>
        </w:rPr>
        <w:t>or</w:t>
      </w:r>
      <w:r>
        <w:rPr>
          <w:spacing w:val="-3"/>
          <w:sz w:val="24"/>
        </w:rPr>
        <w:t> </w:t>
      </w:r>
      <w:r>
        <w:rPr>
          <w:sz w:val="24"/>
        </w:rPr>
        <w:t>mental</w:t>
      </w:r>
      <w:r>
        <w:rPr>
          <w:spacing w:val="-4"/>
          <w:sz w:val="24"/>
        </w:rPr>
        <w:t> </w:t>
      </w:r>
      <w:r>
        <w:rPr>
          <w:sz w:val="24"/>
        </w:rPr>
        <w:t>impairment</w:t>
      </w:r>
      <w:r>
        <w:rPr>
          <w:spacing w:val="-3"/>
          <w:sz w:val="24"/>
        </w:rPr>
        <w:t> </w:t>
      </w:r>
      <w:r>
        <w:rPr>
          <w:sz w:val="24"/>
        </w:rPr>
        <w:t>which</w:t>
      </w:r>
      <w:r>
        <w:rPr>
          <w:spacing w:val="-4"/>
          <w:sz w:val="24"/>
        </w:rPr>
        <w:t> </w:t>
      </w:r>
      <w:r>
        <w:rPr>
          <w:sz w:val="24"/>
        </w:rPr>
        <w:t>for</w:t>
      </w:r>
      <w:r>
        <w:rPr>
          <w:spacing w:val="-3"/>
          <w:sz w:val="24"/>
        </w:rPr>
        <w:t> </w:t>
      </w:r>
      <w:r>
        <w:rPr>
          <w:sz w:val="24"/>
        </w:rPr>
        <w:t>such</w:t>
      </w:r>
      <w:r>
        <w:rPr>
          <w:spacing w:val="-5"/>
          <w:sz w:val="24"/>
        </w:rPr>
        <w:t> </w:t>
      </w:r>
      <w:r>
        <w:rPr>
          <w:sz w:val="24"/>
        </w:rPr>
        <w:t>individual</w:t>
      </w:r>
      <w:r>
        <w:rPr>
          <w:spacing w:val="-3"/>
          <w:sz w:val="24"/>
        </w:rPr>
        <w:t> </w:t>
      </w:r>
      <w:r>
        <w:rPr>
          <w:sz w:val="24"/>
        </w:rPr>
        <w:t>constitutes</w:t>
      </w:r>
      <w:r>
        <w:rPr>
          <w:spacing w:val="-4"/>
          <w:sz w:val="24"/>
        </w:rPr>
        <w:t> </w:t>
      </w:r>
      <w:r>
        <w:rPr>
          <w:sz w:val="24"/>
        </w:rPr>
        <w:t>or results in a substantial impediment to employment; </w:t>
      </w:r>
      <w:r>
        <w:rPr>
          <w:b/>
          <w:sz w:val="24"/>
        </w:rPr>
        <w:t>1</w:t>
      </w:r>
    </w:p>
    <w:p>
      <w:pPr>
        <w:pStyle w:val="ListParagraph"/>
        <w:numPr>
          <w:ilvl w:val="1"/>
          <w:numId w:val="117"/>
        </w:numPr>
        <w:tabs>
          <w:tab w:pos="1218" w:val="left" w:leader="none"/>
        </w:tabs>
        <w:spacing w:line="208" w:lineRule="auto" w:before="239" w:after="0"/>
        <w:ind w:left="792" w:right="722" w:firstLine="0"/>
        <w:jc w:val="left"/>
        <w:rPr>
          <w:sz w:val="24"/>
        </w:rPr>
      </w:pPr>
      <w:r>
        <w:rPr>
          <w:sz w:val="24"/>
        </w:rPr>
        <w:t>is determined by a qualified vocational rehabilitation counselor to require vocational</w:t>
      </w:r>
      <w:r>
        <w:rPr>
          <w:spacing w:val="-4"/>
          <w:sz w:val="24"/>
        </w:rPr>
        <w:t> </w:t>
      </w:r>
      <w:r>
        <w:rPr>
          <w:sz w:val="24"/>
        </w:rPr>
        <w:t>rehabilitation</w:t>
      </w:r>
      <w:r>
        <w:rPr>
          <w:spacing w:val="-4"/>
          <w:sz w:val="24"/>
        </w:rPr>
        <w:t> </w:t>
      </w:r>
      <w:r>
        <w:rPr>
          <w:sz w:val="24"/>
        </w:rPr>
        <w:t>services</w:t>
      </w:r>
      <w:r>
        <w:rPr>
          <w:spacing w:val="-4"/>
          <w:sz w:val="24"/>
        </w:rPr>
        <w:t> </w:t>
      </w:r>
      <w:r>
        <w:rPr>
          <w:sz w:val="24"/>
        </w:rPr>
        <w:t>to</w:t>
      </w:r>
      <w:r>
        <w:rPr>
          <w:spacing w:val="-4"/>
          <w:sz w:val="24"/>
        </w:rPr>
        <w:t> </w:t>
      </w:r>
      <w:r>
        <w:rPr>
          <w:sz w:val="24"/>
        </w:rPr>
        <w:t>prepare</w:t>
      </w:r>
      <w:r>
        <w:rPr>
          <w:spacing w:val="-4"/>
          <w:sz w:val="24"/>
        </w:rPr>
        <w:t> </w:t>
      </w:r>
      <w:r>
        <w:rPr>
          <w:sz w:val="24"/>
        </w:rPr>
        <w:t>for,</w:t>
      </w:r>
      <w:r>
        <w:rPr>
          <w:spacing w:val="-3"/>
          <w:sz w:val="24"/>
        </w:rPr>
        <w:t> </w:t>
      </w:r>
      <w:r>
        <w:rPr>
          <w:sz w:val="24"/>
        </w:rPr>
        <w:t>secure,</w:t>
      </w:r>
      <w:r>
        <w:rPr>
          <w:spacing w:val="-6"/>
          <w:sz w:val="24"/>
        </w:rPr>
        <w:t> </w:t>
      </w:r>
      <w:r>
        <w:rPr>
          <w:sz w:val="24"/>
        </w:rPr>
        <w:t>retain,</w:t>
      </w:r>
      <w:r>
        <w:rPr>
          <w:spacing w:val="-3"/>
          <w:sz w:val="24"/>
        </w:rPr>
        <w:t> </w:t>
      </w:r>
      <w:r>
        <w:rPr>
          <w:sz w:val="24"/>
        </w:rPr>
        <w:t>advance</w:t>
      </w:r>
      <w:r>
        <w:rPr>
          <w:spacing w:val="-4"/>
          <w:sz w:val="24"/>
        </w:rPr>
        <w:t> </w:t>
      </w:r>
      <w:r>
        <w:rPr>
          <w:sz w:val="24"/>
        </w:rPr>
        <w:t>in,</w:t>
      </w:r>
      <w:r>
        <w:rPr>
          <w:spacing w:val="-3"/>
          <w:sz w:val="24"/>
        </w:rPr>
        <w:t> </w:t>
      </w:r>
      <w:r>
        <w:rPr>
          <w:sz w:val="24"/>
        </w:rPr>
        <w:t>or</w:t>
      </w:r>
      <w:r>
        <w:rPr>
          <w:spacing w:val="-5"/>
          <w:sz w:val="24"/>
        </w:rPr>
        <w:t> </w:t>
      </w:r>
      <w:r>
        <w:rPr>
          <w:sz w:val="24"/>
        </w:rPr>
        <w:t>regain employment; </w:t>
      </w:r>
      <w:r>
        <w:rPr>
          <w:b/>
          <w:sz w:val="24"/>
        </w:rPr>
        <w:t>2 </w:t>
      </w:r>
      <w:r>
        <w:rPr>
          <w:sz w:val="24"/>
        </w:rPr>
        <w:t>and</w:t>
      </w:r>
    </w:p>
    <w:p>
      <w:pPr>
        <w:pStyle w:val="ListParagraph"/>
        <w:numPr>
          <w:ilvl w:val="1"/>
          <w:numId w:val="117"/>
        </w:numPr>
        <w:tabs>
          <w:tab w:pos="1218" w:val="left" w:leader="none"/>
        </w:tabs>
        <w:spacing w:line="208" w:lineRule="auto" w:before="240" w:after="0"/>
        <w:ind w:left="792" w:right="1042" w:firstLine="0"/>
        <w:jc w:val="left"/>
        <w:rPr>
          <w:sz w:val="24"/>
        </w:rPr>
      </w:pPr>
      <w:r>
        <w:rPr>
          <w:sz w:val="24"/>
        </w:rPr>
        <w:t>can</w:t>
      </w:r>
      <w:r>
        <w:rPr>
          <w:spacing w:val="-5"/>
          <w:sz w:val="24"/>
        </w:rPr>
        <w:t> </w:t>
      </w:r>
      <w:r>
        <w:rPr>
          <w:sz w:val="24"/>
        </w:rPr>
        <w:t>benefit</w:t>
      </w:r>
      <w:r>
        <w:rPr>
          <w:spacing w:val="-4"/>
          <w:sz w:val="24"/>
        </w:rPr>
        <w:t> </w:t>
      </w:r>
      <w:r>
        <w:rPr>
          <w:sz w:val="24"/>
        </w:rPr>
        <w:t>in</w:t>
      </w:r>
      <w:r>
        <w:rPr>
          <w:spacing w:val="-5"/>
          <w:sz w:val="24"/>
        </w:rPr>
        <w:t> </w:t>
      </w:r>
      <w:r>
        <w:rPr>
          <w:sz w:val="24"/>
        </w:rPr>
        <w:t>terms</w:t>
      </w:r>
      <w:r>
        <w:rPr>
          <w:spacing w:val="-5"/>
          <w:sz w:val="24"/>
        </w:rPr>
        <w:t> </w:t>
      </w:r>
      <w:r>
        <w:rPr>
          <w:sz w:val="24"/>
        </w:rPr>
        <w:t>of</w:t>
      </w:r>
      <w:r>
        <w:rPr>
          <w:spacing w:val="-4"/>
          <w:sz w:val="24"/>
        </w:rPr>
        <w:t> </w:t>
      </w:r>
      <w:r>
        <w:rPr>
          <w:sz w:val="24"/>
        </w:rPr>
        <w:t>an</w:t>
      </w:r>
      <w:r>
        <w:rPr>
          <w:spacing w:val="-5"/>
          <w:sz w:val="24"/>
        </w:rPr>
        <w:t> </w:t>
      </w:r>
      <w:r>
        <w:rPr>
          <w:sz w:val="24"/>
        </w:rPr>
        <w:t>employment</w:t>
      </w:r>
      <w:r>
        <w:rPr>
          <w:spacing w:val="-4"/>
          <w:sz w:val="24"/>
        </w:rPr>
        <w:t> </w:t>
      </w:r>
      <w:r>
        <w:rPr>
          <w:sz w:val="24"/>
        </w:rPr>
        <w:t>outcome</w:t>
      </w:r>
      <w:r>
        <w:rPr>
          <w:spacing w:val="-5"/>
          <w:sz w:val="24"/>
        </w:rPr>
        <w:t> </w:t>
      </w:r>
      <w:r>
        <w:rPr>
          <w:sz w:val="24"/>
        </w:rPr>
        <w:t>from</w:t>
      </w:r>
      <w:r>
        <w:rPr>
          <w:spacing w:val="-4"/>
          <w:sz w:val="24"/>
        </w:rPr>
        <w:t> </w:t>
      </w:r>
      <w:r>
        <w:rPr>
          <w:sz w:val="24"/>
        </w:rPr>
        <w:t>vocational</w:t>
      </w:r>
      <w:r>
        <w:rPr>
          <w:spacing w:val="-5"/>
          <w:sz w:val="24"/>
        </w:rPr>
        <w:t> </w:t>
      </w:r>
      <w:r>
        <w:rPr>
          <w:sz w:val="24"/>
        </w:rPr>
        <w:t>rehabilitation </w:t>
      </w:r>
      <w:r>
        <w:rPr>
          <w:spacing w:val="-2"/>
          <w:sz w:val="24"/>
        </w:rPr>
        <w:t>services.</w:t>
      </w:r>
    </w:p>
    <w:p>
      <w:pPr>
        <w:pStyle w:val="ListParagraph"/>
        <w:numPr>
          <w:ilvl w:val="0"/>
          <w:numId w:val="117"/>
        </w:numPr>
        <w:tabs>
          <w:tab w:pos="786" w:val="left" w:leader="none"/>
        </w:tabs>
        <w:spacing w:line="208" w:lineRule="auto" w:before="240" w:after="0"/>
        <w:ind w:left="360" w:right="829" w:firstLine="0"/>
        <w:jc w:val="left"/>
        <w:rPr>
          <w:b/>
          <w:sz w:val="24"/>
        </w:rPr>
      </w:pPr>
      <w:r>
        <w:rPr>
          <w:sz w:val="24"/>
        </w:rPr>
        <w:t>The agency presumes that an applicant with a physical or mental impairment that constitutes or results in a substantial impediment to employment can benefit from vocational rehabilitation services in terms of an employment outcome, unless the agency demonstrates, based on clear and convincing evidence, that the individual is incapable</w:t>
      </w:r>
      <w:r>
        <w:rPr>
          <w:spacing w:val="-4"/>
          <w:sz w:val="24"/>
        </w:rPr>
        <w:t> </w:t>
      </w:r>
      <w:r>
        <w:rPr>
          <w:sz w:val="24"/>
        </w:rPr>
        <w:t>of</w:t>
      </w:r>
      <w:r>
        <w:rPr>
          <w:spacing w:val="-3"/>
          <w:sz w:val="24"/>
        </w:rPr>
        <w:t> </w:t>
      </w:r>
      <w:r>
        <w:rPr>
          <w:sz w:val="24"/>
        </w:rPr>
        <w:t>benefiting</w:t>
      </w:r>
      <w:r>
        <w:rPr>
          <w:spacing w:val="-4"/>
          <w:sz w:val="24"/>
        </w:rPr>
        <w:t> </w:t>
      </w:r>
      <w:r>
        <w:rPr>
          <w:sz w:val="24"/>
        </w:rPr>
        <w:t>from</w:t>
      </w:r>
      <w:r>
        <w:rPr>
          <w:spacing w:val="-5"/>
          <w:sz w:val="24"/>
        </w:rPr>
        <w:t> </w:t>
      </w:r>
      <w:r>
        <w:rPr>
          <w:sz w:val="24"/>
        </w:rPr>
        <w:t>rehabilitation</w:t>
      </w:r>
      <w:r>
        <w:rPr>
          <w:spacing w:val="-4"/>
          <w:sz w:val="24"/>
        </w:rPr>
        <w:t> </w:t>
      </w:r>
      <w:r>
        <w:rPr>
          <w:sz w:val="24"/>
        </w:rPr>
        <w:t>services</w:t>
      </w:r>
      <w:r>
        <w:rPr>
          <w:spacing w:val="-4"/>
          <w:sz w:val="24"/>
        </w:rPr>
        <w:t> </w:t>
      </w:r>
      <w:r>
        <w:rPr>
          <w:sz w:val="24"/>
        </w:rPr>
        <w:t>due</w:t>
      </w:r>
      <w:r>
        <w:rPr>
          <w:spacing w:val="-4"/>
          <w:sz w:val="24"/>
        </w:rPr>
        <w:t> </w:t>
      </w:r>
      <w:r>
        <w:rPr>
          <w:sz w:val="24"/>
        </w:rPr>
        <w:t>to</w:t>
      </w:r>
      <w:r>
        <w:rPr>
          <w:spacing w:val="-4"/>
          <w:sz w:val="24"/>
        </w:rPr>
        <w:t> </w:t>
      </w:r>
      <w:r>
        <w:rPr>
          <w:sz w:val="24"/>
        </w:rPr>
        <w:t>the</w:t>
      </w:r>
      <w:r>
        <w:rPr>
          <w:spacing w:val="-4"/>
          <w:sz w:val="24"/>
        </w:rPr>
        <w:t> </w:t>
      </w:r>
      <w:r>
        <w:rPr>
          <w:sz w:val="24"/>
        </w:rPr>
        <w:t>severity</w:t>
      </w:r>
      <w:r>
        <w:rPr>
          <w:spacing w:val="-4"/>
          <w:sz w:val="24"/>
        </w:rPr>
        <w:t> </w:t>
      </w:r>
      <w:r>
        <w:rPr>
          <w:sz w:val="24"/>
        </w:rPr>
        <w:t>of</w:t>
      </w:r>
      <w:r>
        <w:rPr>
          <w:spacing w:val="-5"/>
          <w:sz w:val="24"/>
        </w:rPr>
        <w:t> </w:t>
      </w:r>
      <w:r>
        <w:rPr>
          <w:sz w:val="24"/>
        </w:rPr>
        <w:t>the</w:t>
      </w:r>
      <w:r>
        <w:rPr>
          <w:spacing w:val="-4"/>
          <w:sz w:val="24"/>
        </w:rPr>
        <w:t> </w:t>
      </w:r>
      <w:r>
        <w:rPr>
          <w:sz w:val="24"/>
        </w:rPr>
        <w:t>individual's disability. </w:t>
      </w:r>
      <w:r>
        <w:rPr>
          <w:b/>
          <w:sz w:val="24"/>
        </w:rPr>
        <w:t>4</w:t>
      </w:r>
    </w:p>
    <w:p>
      <w:pPr>
        <w:pStyle w:val="ListParagraph"/>
        <w:numPr>
          <w:ilvl w:val="0"/>
          <w:numId w:val="117"/>
        </w:numPr>
        <w:tabs>
          <w:tab w:pos="773" w:val="left" w:leader="none"/>
        </w:tabs>
        <w:spacing w:line="208" w:lineRule="auto" w:before="239" w:after="0"/>
        <w:ind w:left="360" w:right="1364" w:firstLine="0"/>
        <w:jc w:val="left"/>
        <w:rPr>
          <w:sz w:val="24"/>
        </w:rPr>
      </w:pPr>
      <w:r>
        <w:rPr>
          <w:sz w:val="24"/>
        </w:rPr>
        <w:t>An</w:t>
      </w:r>
      <w:r>
        <w:rPr>
          <w:spacing w:val="-3"/>
          <w:sz w:val="24"/>
        </w:rPr>
        <w:t> </w:t>
      </w:r>
      <w:r>
        <w:rPr>
          <w:sz w:val="24"/>
        </w:rPr>
        <w:t>individual</w:t>
      </w:r>
      <w:r>
        <w:rPr>
          <w:spacing w:val="-3"/>
          <w:sz w:val="24"/>
        </w:rPr>
        <w:t> </w:t>
      </w:r>
      <w:r>
        <w:rPr>
          <w:sz w:val="24"/>
        </w:rPr>
        <w:t>who</w:t>
      </w:r>
      <w:r>
        <w:rPr>
          <w:spacing w:val="-2"/>
          <w:sz w:val="24"/>
        </w:rPr>
        <w:t> </w:t>
      </w:r>
      <w:r>
        <w:rPr>
          <w:sz w:val="24"/>
        </w:rPr>
        <w:t>has</w:t>
      </w:r>
      <w:r>
        <w:rPr>
          <w:spacing w:val="-3"/>
          <w:sz w:val="24"/>
        </w:rPr>
        <w:t> </w:t>
      </w:r>
      <w:r>
        <w:rPr>
          <w:sz w:val="24"/>
        </w:rPr>
        <w:t>a</w:t>
      </w:r>
      <w:r>
        <w:rPr>
          <w:spacing w:val="-3"/>
          <w:sz w:val="24"/>
        </w:rPr>
        <w:t> </w:t>
      </w:r>
      <w:r>
        <w:rPr>
          <w:sz w:val="24"/>
        </w:rPr>
        <w:t>disability</w:t>
      </w:r>
      <w:r>
        <w:rPr>
          <w:spacing w:val="-3"/>
          <w:sz w:val="24"/>
        </w:rPr>
        <w:t> </w:t>
      </w:r>
      <w:r>
        <w:rPr>
          <w:sz w:val="24"/>
        </w:rPr>
        <w:t>or</w:t>
      </w:r>
      <w:r>
        <w:rPr>
          <w:spacing w:val="-2"/>
          <w:sz w:val="24"/>
        </w:rPr>
        <w:t> </w:t>
      </w:r>
      <w:r>
        <w:rPr>
          <w:sz w:val="24"/>
        </w:rPr>
        <w:t>is</w:t>
      </w:r>
      <w:r>
        <w:rPr>
          <w:spacing w:val="-3"/>
          <w:sz w:val="24"/>
        </w:rPr>
        <w:t> </w:t>
      </w:r>
      <w:r>
        <w:rPr>
          <w:sz w:val="24"/>
        </w:rPr>
        <w:t>blind</w:t>
      </w:r>
      <w:r>
        <w:rPr>
          <w:spacing w:val="-3"/>
          <w:sz w:val="24"/>
        </w:rPr>
        <w:t> </w:t>
      </w:r>
      <w:r>
        <w:rPr>
          <w:sz w:val="24"/>
        </w:rPr>
        <w:t>as</w:t>
      </w:r>
      <w:r>
        <w:rPr>
          <w:spacing w:val="-3"/>
          <w:sz w:val="24"/>
        </w:rPr>
        <w:t> </w:t>
      </w:r>
      <w:r>
        <w:rPr>
          <w:sz w:val="24"/>
        </w:rPr>
        <w:t>determined</w:t>
      </w:r>
      <w:r>
        <w:rPr>
          <w:spacing w:val="-3"/>
          <w:sz w:val="24"/>
        </w:rPr>
        <w:t> </w:t>
      </w:r>
      <w:r>
        <w:rPr>
          <w:sz w:val="24"/>
        </w:rPr>
        <w:t>pursuant</w:t>
      </w:r>
      <w:r>
        <w:rPr>
          <w:spacing w:val="-2"/>
          <w:sz w:val="24"/>
        </w:rPr>
        <w:t> </w:t>
      </w:r>
      <w:r>
        <w:rPr>
          <w:sz w:val="24"/>
        </w:rPr>
        <w:t>to</w:t>
      </w:r>
      <w:r>
        <w:rPr>
          <w:spacing w:val="-3"/>
          <w:sz w:val="24"/>
        </w:rPr>
        <w:t> </w:t>
      </w:r>
      <w:r>
        <w:rPr>
          <w:sz w:val="24"/>
        </w:rPr>
        <w:t>Titles</w:t>
      </w:r>
      <w:r>
        <w:rPr>
          <w:spacing w:val="-3"/>
          <w:sz w:val="24"/>
        </w:rPr>
        <w:t> </w:t>
      </w:r>
      <w:r>
        <w:rPr>
          <w:sz w:val="24"/>
        </w:rPr>
        <w:t>II (federal</w:t>
      </w:r>
      <w:r>
        <w:rPr>
          <w:spacing w:val="-1"/>
          <w:sz w:val="24"/>
        </w:rPr>
        <w:t> </w:t>
      </w:r>
      <w:r>
        <w:rPr>
          <w:sz w:val="24"/>
        </w:rPr>
        <w:t>old age, survivors, and</w:t>
      </w:r>
      <w:r>
        <w:rPr>
          <w:spacing w:val="-1"/>
          <w:sz w:val="24"/>
        </w:rPr>
        <w:t> </w:t>
      </w:r>
      <w:r>
        <w:rPr>
          <w:sz w:val="24"/>
        </w:rPr>
        <w:t>disability</w:t>
      </w:r>
      <w:r>
        <w:rPr>
          <w:spacing w:val="-1"/>
          <w:sz w:val="24"/>
        </w:rPr>
        <w:t> </w:t>
      </w:r>
      <w:r>
        <w:rPr>
          <w:sz w:val="24"/>
        </w:rPr>
        <w:t>insurance</w:t>
      </w:r>
      <w:r>
        <w:rPr>
          <w:spacing w:val="-1"/>
          <w:sz w:val="24"/>
        </w:rPr>
        <w:t> </w:t>
      </w:r>
      <w:r>
        <w:rPr>
          <w:sz w:val="24"/>
        </w:rPr>
        <w:t>benefits) or</w:t>
      </w:r>
      <w:r>
        <w:rPr>
          <w:spacing w:val="-2"/>
          <w:sz w:val="24"/>
        </w:rPr>
        <w:t> </w:t>
      </w:r>
      <w:r>
        <w:rPr>
          <w:sz w:val="24"/>
        </w:rPr>
        <w:t>XVI (SSI)</w:t>
      </w:r>
      <w:r>
        <w:rPr>
          <w:spacing w:val="-2"/>
          <w:sz w:val="24"/>
        </w:rPr>
        <w:t> </w:t>
      </w:r>
      <w:r>
        <w:rPr>
          <w:sz w:val="24"/>
        </w:rPr>
        <w:t>shall</w:t>
      </w:r>
      <w:r>
        <w:rPr>
          <w:spacing w:val="-1"/>
          <w:sz w:val="24"/>
        </w:rPr>
        <w:t> </w:t>
      </w:r>
      <w:r>
        <w:rPr>
          <w:sz w:val="24"/>
        </w:rPr>
        <w:t>be:</w:t>
      </w:r>
    </w:p>
    <w:p>
      <w:pPr>
        <w:pStyle w:val="ListParagraph"/>
        <w:numPr>
          <w:ilvl w:val="1"/>
          <w:numId w:val="117"/>
        </w:numPr>
        <w:tabs>
          <w:tab w:pos="1218" w:val="left" w:leader="none"/>
        </w:tabs>
        <w:spacing w:line="240" w:lineRule="auto" w:before="211" w:after="0"/>
        <w:ind w:left="1218" w:right="0" w:hanging="426"/>
        <w:jc w:val="left"/>
        <w:rPr>
          <w:sz w:val="24"/>
        </w:rPr>
      </w:pPr>
      <w:r>
        <w:rPr>
          <w:sz w:val="24"/>
        </w:rPr>
        <w:t>considered</w:t>
      </w:r>
      <w:r>
        <w:rPr>
          <w:spacing w:val="-4"/>
          <w:sz w:val="24"/>
        </w:rPr>
        <w:t> </w:t>
      </w:r>
      <w:r>
        <w:rPr>
          <w:sz w:val="24"/>
        </w:rPr>
        <w:t>to</w:t>
      </w:r>
      <w:r>
        <w:rPr>
          <w:spacing w:val="-3"/>
          <w:sz w:val="24"/>
        </w:rPr>
        <w:t> </w:t>
      </w:r>
      <w:r>
        <w:rPr>
          <w:sz w:val="24"/>
        </w:rPr>
        <w:t>have</w:t>
      </w:r>
      <w:r>
        <w:rPr>
          <w:spacing w:val="-3"/>
          <w:sz w:val="24"/>
        </w:rPr>
        <w:t> </w:t>
      </w:r>
      <w:r>
        <w:rPr>
          <w:sz w:val="24"/>
        </w:rPr>
        <w:t>a</w:t>
      </w:r>
      <w:r>
        <w:rPr>
          <w:spacing w:val="-3"/>
          <w:sz w:val="24"/>
        </w:rPr>
        <w:t> </w:t>
      </w:r>
      <w:r>
        <w:rPr>
          <w:sz w:val="24"/>
        </w:rPr>
        <w:t>significant</w:t>
      </w:r>
      <w:r>
        <w:rPr>
          <w:spacing w:val="-2"/>
          <w:sz w:val="24"/>
        </w:rPr>
        <w:t> </w:t>
      </w:r>
      <w:r>
        <w:rPr>
          <w:sz w:val="24"/>
        </w:rPr>
        <w:t>disability</w:t>
      </w:r>
      <w:r>
        <w:rPr>
          <w:spacing w:val="-3"/>
          <w:sz w:val="24"/>
        </w:rPr>
        <w:t> </w:t>
      </w:r>
      <w:r>
        <w:rPr>
          <w:sz w:val="24"/>
        </w:rPr>
        <w:t>under</w:t>
      </w:r>
      <w:r>
        <w:rPr>
          <w:spacing w:val="-2"/>
          <w:sz w:val="24"/>
        </w:rPr>
        <w:t> </w:t>
      </w:r>
      <w:r>
        <w:rPr>
          <w:sz w:val="24"/>
        </w:rPr>
        <w:t>the</w:t>
      </w:r>
      <w:r>
        <w:rPr>
          <w:spacing w:val="-3"/>
          <w:sz w:val="24"/>
        </w:rPr>
        <w:t> </w:t>
      </w:r>
      <w:r>
        <w:rPr>
          <w:sz w:val="24"/>
        </w:rPr>
        <w:t>order</w:t>
      </w:r>
      <w:r>
        <w:rPr>
          <w:spacing w:val="-2"/>
          <w:sz w:val="24"/>
        </w:rPr>
        <w:t> </w:t>
      </w:r>
      <w:r>
        <w:rPr>
          <w:sz w:val="24"/>
        </w:rPr>
        <w:t>of</w:t>
      </w:r>
      <w:r>
        <w:rPr>
          <w:spacing w:val="-4"/>
          <w:sz w:val="24"/>
        </w:rPr>
        <w:t> </w:t>
      </w:r>
      <w:r>
        <w:rPr>
          <w:sz w:val="24"/>
        </w:rPr>
        <w:t>selection;</w:t>
      </w:r>
      <w:r>
        <w:rPr>
          <w:spacing w:val="-2"/>
          <w:sz w:val="24"/>
        </w:rPr>
        <w:t> </w:t>
      </w:r>
      <w:r>
        <w:rPr>
          <w:spacing w:val="-5"/>
          <w:sz w:val="24"/>
        </w:rPr>
        <w:t>and</w:t>
      </w:r>
    </w:p>
    <w:p>
      <w:pPr>
        <w:pStyle w:val="ListParagraph"/>
        <w:numPr>
          <w:ilvl w:val="1"/>
          <w:numId w:val="117"/>
        </w:numPr>
        <w:tabs>
          <w:tab w:pos="1218" w:val="left" w:leader="none"/>
        </w:tabs>
        <w:spacing w:line="208" w:lineRule="auto" w:before="233" w:after="0"/>
        <w:ind w:left="792" w:right="722" w:firstLine="0"/>
        <w:jc w:val="left"/>
        <w:rPr>
          <w:sz w:val="24"/>
        </w:rPr>
      </w:pPr>
      <w:r>
        <w:rPr>
          <w:sz w:val="24"/>
        </w:rPr>
        <w:t>presumed to be eligible for vocational rehabilitation services, </w:t>
      </w:r>
      <w:r>
        <w:rPr>
          <w:b/>
          <w:sz w:val="24"/>
        </w:rPr>
        <w:t>5 </w:t>
      </w:r>
      <w:r>
        <w:rPr>
          <w:sz w:val="24"/>
        </w:rPr>
        <w:t>(provided that the</w:t>
      </w:r>
      <w:r>
        <w:rPr>
          <w:spacing w:val="-4"/>
          <w:sz w:val="24"/>
        </w:rPr>
        <w:t> </w:t>
      </w:r>
      <w:r>
        <w:rPr>
          <w:sz w:val="24"/>
        </w:rPr>
        <w:t>individual</w:t>
      </w:r>
      <w:r>
        <w:rPr>
          <w:spacing w:val="-4"/>
          <w:sz w:val="24"/>
        </w:rPr>
        <w:t> </w:t>
      </w:r>
      <w:r>
        <w:rPr>
          <w:sz w:val="24"/>
        </w:rPr>
        <w:t>intends</w:t>
      </w:r>
      <w:r>
        <w:rPr>
          <w:spacing w:val="-4"/>
          <w:sz w:val="24"/>
        </w:rPr>
        <w:t> </w:t>
      </w:r>
      <w:r>
        <w:rPr>
          <w:sz w:val="24"/>
        </w:rPr>
        <w:t>to</w:t>
      </w:r>
      <w:r>
        <w:rPr>
          <w:spacing w:val="-4"/>
          <w:sz w:val="24"/>
        </w:rPr>
        <w:t> </w:t>
      </w:r>
      <w:r>
        <w:rPr>
          <w:sz w:val="24"/>
        </w:rPr>
        <w:t>achieve</w:t>
      </w:r>
      <w:r>
        <w:rPr>
          <w:spacing w:val="-4"/>
          <w:sz w:val="24"/>
        </w:rPr>
        <w:t> </w:t>
      </w:r>
      <w:r>
        <w:rPr>
          <w:sz w:val="24"/>
        </w:rPr>
        <w:t>an</w:t>
      </w:r>
      <w:r>
        <w:rPr>
          <w:spacing w:val="-4"/>
          <w:sz w:val="24"/>
        </w:rPr>
        <w:t> </w:t>
      </w:r>
      <w:r>
        <w:rPr>
          <w:sz w:val="24"/>
        </w:rPr>
        <w:t>employment</w:t>
      </w:r>
      <w:r>
        <w:rPr>
          <w:spacing w:val="-3"/>
          <w:sz w:val="24"/>
        </w:rPr>
        <w:t> </w:t>
      </w:r>
      <w:r>
        <w:rPr>
          <w:sz w:val="24"/>
        </w:rPr>
        <w:t>outcome</w:t>
      </w:r>
      <w:r>
        <w:rPr>
          <w:spacing w:val="-4"/>
          <w:sz w:val="24"/>
        </w:rPr>
        <w:t> </w:t>
      </w:r>
      <w:r>
        <w:rPr>
          <w:sz w:val="24"/>
        </w:rPr>
        <w:t>consistent</w:t>
      </w:r>
      <w:r>
        <w:rPr>
          <w:spacing w:val="-3"/>
          <w:sz w:val="24"/>
        </w:rPr>
        <w:t> </w:t>
      </w:r>
      <w:r>
        <w:rPr>
          <w:sz w:val="24"/>
        </w:rPr>
        <w:t>with</w:t>
      </w:r>
      <w:r>
        <w:rPr>
          <w:spacing w:val="-4"/>
          <w:sz w:val="24"/>
        </w:rPr>
        <w:t> </w:t>
      </w:r>
      <w:r>
        <w:rPr>
          <w:sz w:val="24"/>
        </w:rPr>
        <w:t>the</w:t>
      </w:r>
      <w:r>
        <w:rPr>
          <w:spacing w:val="-4"/>
          <w:sz w:val="24"/>
        </w:rPr>
        <w:t> </w:t>
      </w:r>
      <w:r>
        <w:rPr>
          <w:sz w:val="24"/>
        </w:rPr>
        <w:t>unique strengths, resources, priorities, concerns, abilities, capabilities, interests, and informed choice of the individual) unless clear and convincing evidence demonstrates that the individual is incapable of benefiting in terms of an employment outcome from vocational rehabilitation services due to the severity of the individual's disability.</w:t>
      </w:r>
    </w:p>
    <w:p>
      <w:pPr>
        <w:pStyle w:val="ListParagraph"/>
        <w:numPr>
          <w:ilvl w:val="0"/>
          <w:numId w:val="117"/>
        </w:numPr>
        <w:tabs>
          <w:tab w:pos="786" w:val="left" w:leader="none"/>
        </w:tabs>
        <w:spacing w:line="240" w:lineRule="auto" w:before="210" w:after="0"/>
        <w:ind w:left="786" w:right="0" w:hanging="426"/>
        <w:jc w:val="left"/>
        <w:rPr>
          <w:sz w:val="24"/>
        </w:rPr>
      </w:pPr>
      <w:r>
        <w:rPr>
          <w:sz w:val="24"/>
        </w:rPr>
        <w:t>Eligibility</w:t>
      </w:r>
      <w:r>
        <w:rPr>
          <w:spacing w:val="-5"/>
          <w:sz w:val="24"/>
        </w:rPr>
        <w:t> </w:t>
      </w:r>
      <w:r>
        <w:rPr>
          <w:sz w:val="24"/>
        </w:rPr>
        <w:t>requirements</w:t>
      </w:r>
      <w:r>
        <w:rPr>
          <w:spacing w:val="-4"/>
          <w:sz w:val="24"/>
        </w:rPr>
        <w:t> </w:t>
      </w:r>
      <w:r>
        <w:rPr>
          <w:sz w:val="24"/>
        </w:rPr>
        <w:t>shall</w:t>
      </w:r>
      <w:r>
        <w:rPr>
          <w:spacing w:val="-4"/>
          <w:sz w:val="24"/>
        </w:rPr>
        <w:t> </w:t>
      </w:r>
      <w:r>
        <w:rPr>
          <w:sz w:val="24"/>
        </w:rPr>
        <w:t>be</w:t>
      </w:r>
      <w:r>
        <w:rPr>
          <w:spacing w:val="-5"/>
          <w:sz w:val="24"/>
        </w:rPr>
        <w:t> </w:t>
      </w:r>
      <w:r>
        <w:rPr>
          <w:sz w:val="24"/>
        </w:rPr>
        <w:t>applied</w:t>
      </w:r>
      <w:r>
        <w:rPr>
          <w:spacing w:val="-4"/>
          <w:sz w:val="24"/>
        </w:rPr>
        <w:t> </w:t>
      </w:r>
      <w:r>
        <w:rPr>
          <w:sz w:val="24"/>
        </w:rPr>
        <w:t>without</w:t>
      </w:r>
      <w:r>
        <w:rPr>
          <w:spacing w:val="-3"/>
          <w:sz w:val="24"/>
        </w:rPr>
        <w:t> </w:t>
      </w:r>
      <w:r>
        <w:rPr>
          <w:sz w:val="24"/>
        </w:rPr>
        <w:t>regard</w:t>
      </w:r>
      <w:r>
        <w:rPr>
          <w:spacing w:val="-4"/>
          <w:sz w:val="24"/>
        </w:rPr>
        <w:t> </w:t>
      </w:r>
      <w:r>
        <w:rPr>
          <w:spacing w:val="-5"/>
          <w:sz w:val="24"/>
        </w:rPr>
        <w:t>to:</w:t>
      </w:r>
    </w:p>
    <w:p>
      <w:pPr>
        <w:pStyle w:val="ListParagraph"/>
        <w:numPr>
          <w:ilvl w:val="1"/>
          <w:numId w:val="117"/>
        </w:numPr>
        <w:tabs>
          <w:tab w:pos="1218" w:val="left" w:leader="none"/>
        </w:tabs>
        <w:spacing w:line="240" w:lineRule="auto" w:before="204" w:after="0"/>
        <w:ind w:left="1218" w:right="0" w:hanging="426"/>
        <w:jc w:val="left"/>
        <w:rPr>
          <w:sz w:val="24"/>
        </w:rPr>
      </w:pPr>
      <w:r>
        <w:rPr>
          <w:sz w:val="24"/>
        </w:rPr>
        <w:t>duration</w:t>
      </w:r>
      <w:r>
        <w:rPr>
          <w:spacing w:val="-3"/>
          <w:sz w:val="24"/>
        </w:rPr>
        <w:t> </w:t>
      </w:r>
      <w:r>
        <w:rPr>
          <w:sz w:val="24"/>
        </w:rPr>
        <w:t>of</w:t>
      </w:r>
      <w:r>
        <w:rPr>
          <w:spacing w:val="-2"/>
          <w:sz w:val="24"/>
        </w:rPr>
        <w:t> </w:t>
      </w:r>
      <w:r>
        <w:rPr>
          <w:sz w:val="24"/>
        </w:rPr>
        <w:t>residence</w:t>
      </w:r>
      <w:r>
        <w:rPr>
          <w:spacing w:val="-3"/>
          <w:sz w:val="24"/>
        </w:rPr>
        <w:t> </w:t>
      </w:r>
      <w:r>
        <w:rPr>
          <w:sz w:val="24"/>
        </w:rPr>
        <w:t>in</w:t>
      </w:r>
      <w:r>
        <w:rPr>
          <w:spacing w:val="-3"/>
          <w:sz w:val="24"/>
        </w:rPr>
        <w:t> </w:t>
      </w:r>
      <w:r>
        <w:rPr>
          <w:sz w:val="24"/>
        </w:rPr>
        <w:t>the</w:t>
      </w:r>
      <w:r>
        <w:rPr>
          <w:spacing w:val="-2"/>
          <w:sz w:val="24"/>
        </w:rPr>
        <w:t> state,</w:t>
      </w:r>
    </w:p>
    <w:p>
      <w:pPr>
        <w:pStyle w:val="ListParagraph"/>
        <w:numPr>
          <w:ilvl w:val="1"/>
          <w:numId w:val="117"/>
        </w:numPr>
        <w:tabs>
          <w:tab w:pos="1217" w:val="left" w:leader="none"/>
        </w:tabs>
        <w:spacing w:line="240" w:lineRule="auto" w:before="204" w:after="0"/>
        <w:ind w:left="1217" w:right="0" w:hanging="425"/>
        <w:jc w:val="left"/>
        <w:rPr>
          <w:sz w:val="24"/>
        </w:rPr>
      </w:pPr>
      <w:r>
        <w:rPr>
          <w:sz w:val="24"/>
        </w:rPr>
        <w:t>type</w:t>
      </w:r>
      <w:r>
        <w:rPr>
          <w:spacing w:val="-2"/>
          <w:sz w:val="24"/>
        </w:rPr>
        <w:t> </w:t>
      </w:r>
      <w:r>
        <w:rPr>
          <w:sz w:val="24"/>
        </w:rPr>
        <w:t>of</w:t>
      </w:r>
      <w:r>
        <w:rPr>
          <w:spacing w:val="-2"/>
          <w:sz w:val="24"/>
        </w:rPr>
        <w:t> disability,</w:t>
      </w:r>
    </w:p>
    <w:p>
      <w:pPr>
        <w:pStyle w:val="ListParagraph"/>
        <w:numPr>
          <w:ilvl w:val="1"/>
          <w:numId w:val="117"/>
        </w:numPr>
        <w:tabs>
          <w:tab w:pos="1218" w:val="left" w:leader="none"/>
        </w:tabs>
        <w:spacing w:line="208" w:lineRule="auto" w:before="234" w:after="0"/>
        <w:ind w:left="792" w:right="841" w:firstLine="0"/>
        <w:jc w:val="left"/>
        <w:rPr>
          <w:sz w:val="24"/>
        </w:rPr>
      </w:pPr>
      <w:r>
        <w:rPr>
          <w:sz w:val="24"/>
        </w:rPr>
        <w:t>age, except that in serving eligible individuals below working age, the client must</w:t>
      </w:r>
      <w:r>
        <w:rPr>
          <w:spacing w:val="-2"/>
          <w:sz w:val="24"/>
        </w:rPr>
        <w:t> </w:t>
      </w:r>
      <w:r>
        <w:rPr>
          <w:sz w:val="24"/>
        </w:rPr>
        <w:t>be</w:t>
      </w:r>
      <w:r>
        <w:rPr>
          <w:spacing w:val="-3"/>
          <w:sz w:val="24"/>
        </w:rPr>
        <w:t> </w:t>
      </w:r>
      <w:r>
        <w:rPr>
          <w:sz w:val="24"/>
        </w:rPr>
        <w:t>expected</w:t>
      </w:r>
      <w:r>
        <w:rPr>
          <w:spacing w:val="-3"/>
          <w:sz w:val="24"/>
        </w:rPr>
        <w:t> </w:t>
      </w:r>
      <w:r>
        <w:rPr>
          <w:sz w:val="24"/>
        </w:rPr>
        <w:t>to</w:t>
      </w:r>
      <w:r>
        <w:rPr>
          <w:spacing w:val="-3"/>
          <w:sz w:val="24"/>
        </w:rPr>
        <w:t> </w:t>
      </w:r>
      <w:r>
        <w:rPr>
          <w:sz w:val="24"/>
        </w:rPr>
        <w:t>reach</w:t>
      </w:r>
      <w:r>
        <w:rPr>
          <w:spacing w:val="-3"/>
          <w:sz w:val="24"/>
        </w:rPr>
        <w:t> </w:t>
      </w:r>
      <w:r>
        <w:rPr>
          <w:sz w:val="24"/>
        </w:rPr>
        <w:t>working</w:t>
      </w:r>
      <w:r>
        <w:rPr>
          <w:spacing w:val="-3"/>
          <w:sz w:val="24"/>
        </w:rPr>
        <w:t> </w:t>
      </w:r>
      <w:r>
        <w:rPr>
          <w:sz w:val="24"/>
        </w:rPr>
        <w:t>age</w:t>
      </w:r>
      <w:r>
        <w:rPr>
          <w:spacing w:val="-3"/>
          <w:sz w:val="24"/>
        </w:rPr>
        <w:t> </w:t>
      </w:r>
      <w:r>
        <w:rPr>
          <w:sz w:val="24"/>
        </w:rPr>
        <w:t>by</w:t>
      </w:r>
      <w:r>
        <w:rPr>
          <w:spacing w:val="-3"/>
          <w:sz w:val="24"/>
        </w:rPr>
        <w:t> </w:t>
      </w:r>
      <w:r>
        <w:rPr>
          <w:sz w:val="24"/>
        </w:rPr>
        <w:t>the</w:t>
      </w:r>
      <w:r>
        <w:rPr>
          <w:spacing w:val="-3"/>
          <w:sz w:val="24"/>
        </w:rPr>
        <w:t> </w:t>
      </w:r>
      <w:r>
        <w:rPr>
          <w:sz w:val="24"/>
        </w:rPr>
        <w:t>time</w:t>
      </w:r>
      <w:r>
        <w:rPr>
          <w:spacing w:val="-3"/>
          <w:sz w:val="24"/>
        </w:rPr>
        <w:t> </w:t>
      </w:r>
      <w:r>
        <w:rPr>
          <w:sz w:val="24"/>
        </w:rPr>
        <w:t>the</w:t>
      </w:r>
      <w:r>
        <w:rPr>
          <w:spacing w:val="-4"/>
          <w:sz w:val="24"/>
        </w:rPr>
        <w:t> </w:t>
      </w:r>
      <w:r>
        <w:rPr>
          <w:sz w:val="24"/>
        </w:rPr>
        <w:t>IPE</w:t>
      </w:r>
      <w:r>
        <w:rPr>
          <w:spacing w:val="-3"/>
          <w:sz w:val="24"/>
        </w:rPr>
        <w:t> </w:t>
      </w:r>
      <w:r>
        <w:rPr>
          <w:sz w:val="24"/>
        </w:rPr>
        <w:t>is</w:t>
      </w:r>
      <w:r>
        <w:rPr>
          <w:spacing w:val="-3"/>
          <w:sz w:val="24"/>
        </w:rPr>
        <w:t> </w:t>
      </w:r>
      <w:r>
        <w:rPr>
          <w:sz w:val="24"/>
        </w:rPr>
        <w:t>completed,</w:t>
      </w:r>
      <w:r>
        <w:rPr>
          <w:spacing w:val="-2"/>
          <w:sz w:val="24"/>
        </w:rPr>
        <w:t> </w:t>
      </w:r>
      <w:r>
        <w:rPr>
          <w:sz w:val="24"/>
        </w:rPr>
        <w:t>and</w:t>
      </w:r>
      <w:r>
        <w:rPr>
          <w:spacing w:val="-2"/>
          <w:sz w:val="24"/>
        </w:rPr>
        <w:t> </w:t>
      </w:r>
      <w:r>
        <w:rPr>
          <w:sz w:val="24"/>
        </w:rPr>
        <w:t>DRS will not provide services that are the responsibility of the public school system.</w:t>
      </w:r>
    </w:p>
    <w:p>
      <w:pPr>
        <w:pStyle w:val="ListParagraph"/>
        <w:numPr>
          <w:ilvl w:val="1"/>
          <w:numId w:val="117"/>
        </w:numPr>
        <w:tabs>
          <w:tab w:pos="1218" w:val="left" w:leader="none"/>
        </w:tabs>
        <w:spacing w:line="240" w:lineRule="auto" w:before="210" w:after="0"/>
        <w:ind w:left="1218" w:right="0" w:hanging="426"/>
        <w:jc w:val="left"/>
        <w:rPr>
          <w:sz w:val="24"/>
        </w:rPr>
      </w:pPr>
      <w:r>
        <w:rPr>
          <w:sz w:val="24"/>
        </w:rPr>
        <w:t>gender,</w:t>
      </w:r>
      <w:r>
        <w:rPr>
          <w:spacing w:val="-3"/>
          <w:sz w:val="24"/>
        </w:rPr>
        <w:t> </w:t>
      </w:r>
      <w:r>
        <w:rPr>
          <w:sz w:val="24"/>
        </w:rPr>
        <w:t>race,</w:t>
      </w:r>
      <w:r>
        <w:rPr>
          <w:spacing w:val="-5"/>
          <w:sz w:val="24"/>
        </w:rPr>
        <w:t> </w:t>
      </w:r>
      <w:r>
        <w:rPr>
          <w:sz w:val="24"/>
        </w:rPr>
        <w:t>color</w:t>
      </w:r>
      <w:r>
        <w:rPr>
          <w:spacing w:val="-2"/>
          <w:sz w:val="24"/>
        </w:rPr>
        <w:t> </w:t>
      </w:r>
      <w:r>
        <w:rPr>
          <w:sz w:val="24"/>
        </w:rPr>
        <w:t>or</w:t>
      </w:r>
      <w:r>
        <w:rPr>
          <w:spacing w:val="-3"/>
          <w:sz w:val="24"/>
        </w:rPr>
        <w:t> </w:t>
      </w:r>
      <w:r>
        <w:rPr>
          <w:sz w:val="24"/>
        </w:rPr>
        <w:t>national</w:t>
      </w:r>
      <w:r>
        <w:rPr>
          <w:spacing w:val="-3"/>
          <w:sz w:val="24"/>
        </w:rPr>
        <w:t> </w:t>
      </w:r>
      <w:r>
        <w:rPr>
          <w:spacing w:val="-2"/>
          <w:sz w:val="24"/>
        </w:rPr>
        <w:t>origin,</w:t>
      </w:r>
    </w:p>
    <w:p>
      <w:pPr>
        <w:pStyle w:val="ListParagraph"/>
        <w:numPr>
          <w:ilvl w:val="1"/>
          <w:numId w:val="117"/>
        </w:numPr>
        <w:tabs>
          <w:tab w:pos="1217" w:val="left" w:leader="none"/>
        </w:tabs>
        <w:spacing w:line="240" w:lineRule="auto" w:before="204" w:after="0"/>
        <w:ind w:left="1217" w:right="0" w:hanging="425"/>
        <w:jc w:val="left"/>
        <w:rPr>
          <w:sz w:val="24"/>
        </w:rPr>
      </w:pPr>
      <w:r>
        <w:rPr>
          <w:sz w:val="24"/>
        </w:rPr>
        <w:t>type</w:t>
      </w:r>
      <w:r>
        <w:rPr>
          <w:spacing w:val="-4"/>
          <w:sz w:val="24"/>
        </w:rPr>
        <w:t> </w:t>
      </w:r>
      <w:r>
        <w:rPr>
          <w:sz w:val="24"/>
        </w:rPr>
        <w:t>of</w:t>
      </w:r>
      <w:r>
        <w:rPr>
          <w:spacing w:val="-4"/>
          <w:sz w:val="24"/>
        </w:rPr>
        <w:t> </w:t>
      </w:r>
      <w:r>
        <w:rPr>
          <w:sz w:val="24"/>
        </w:rPr>
        <w:t>expected</w:t>
      </w:r>
      <w:r>
        <w:rPr>
          <w:spacing w:val="-3"/>
          <w:sz w:val="24"/>
        </w:rPr>
        <w:t> </w:t>
      </w:r>
      <w:r>
        <w:rPr>
          <w:sz w:val="24"/>
        </w:rPr>
        <w:t>employment</w:t>
      </w:r>
      <w:r>
        <w:rPr>
          <w:spacing w:val="-2"/>
          <w:sz w:val="24"/>
        </w:rPr>
        <w:t> outcome,</w:t>
      </w:r>
    </w:p>
    <w:p>
      <w:pPr>
        <w:pStyle w:val="ListParagraph"/>
        <w:numPr>
          <w:ilvl w:val="1"/>
          <w:numId w:val="117"/>
        </w:numPr>
        <w:tabs>
          <w:tab w:pos="1218" w:val="left" w:leader="none"/>
        </w:tabs>
        <w:spacing w:line="240" w:lineRule="auto" w:before="204" w:after="0"/>
        <w:ind w:left="1218" w:right="0" w:hanging="426"/>
        <w:jc w:val="left"/>
        <w:rPr>
          <w:sz w:val="24"/>
        </w:rPr>
      </w:pPr>
      <w:r>
        <w:rPr>
          <w:sz w:val="24"/>
        </w:rPr>
        <w:t>source</w:t>
      </w:r>
      <w:r>
        <w:rPr>
          <w:spacing w:val="-6"/>
          <w:sz w:val="24"/>
        </w:rPr>
        <w:t> </w:t>
      </w:r>
      <w:r>
        <w:rPr>
          <w:sz w:val="24"/>
        </w:rPr>
        <w:t>of</w:t>
      </w:r>
      <w:r>
        <w:rPr>
          <w:spacing w:val="-2"/>
          <w:sz w:val="24"/>
        </w:rPr>
        <w:t> </w:t>
      </w:r>
      <w:r>
        <w:rPr>
          <w:sz w:val="24"/>
        </w:rPr>
        <w:t>referral,</w:t>
      </w:r>
      <w:r>
        <w:rPr>
          <w:spacing w:val="-3"/>
          <w:sz w:val="24"/>
        </w:rPr>
        <w:t> </w:t>
      </w:r>
      <w:r>
        <w:rPr>
          <w:spacing w:val="-5"/>
          <w:sz w:val="24"/>
        </w:rPr>
        <w:t>or</w:t>
      </w:r>
    </w:p>
    <w:p>
      <w:pPr>
        <w:pStyle w:val="ListParagraph"/>
        <w:numPr>
          <w:ilvl w:val="1"/>
          <w:numId w:val="117"/>
        </w:numPr>
        <w:tabs>
          <w:tab w:pos="1217" w:val="left" w:leader="none"/>
        </w:tabs>
        <w:spacing w:line="208" w:lineRule="auto" w:before="233" w:after="0"/>
        <w:ind w:left="792" w:right="1455" w:firstLine="0"/>
        <w:jc w:val="left"/>
        <w:rPr>
          <w:sz w:val="24"/>
        </w:rPr>
      </w:pPr>
      <w:r>
        <w:rPr>
          <w:sz w:val="24"/>
        </w:rPr>
        <w:t>the</w:t>
      </w:r>
      <w:r>
        <w:rPr>
          <w:spacing w:val="-4"/>
          <w:sz w:val="24"/>
        </w:rPr>
        <w:t> </w:t>
      </w:r>
      <w:r>
        <w:rPr>
          <w:sz w:val="24"/>
        </w:rPr>
        <w:t>particular</w:t>
      </w:r>
      <w:r>
        <w:rPr>
          <w:spacing w:val="-3"/>
          <w:sz w:val="24"/>
        </w:rPr>
        <w:t> </w:t>
      </w:r>
      <w:r>
        <w:rPr>
          <w:sz w:val="24"/>
        </w:rPr>
        <w:t>service</w:t>
      </w:r>
      <w:r>
        <w:rPr>
          <w:spacing w:val="-4"/>
          <w:sz w:val="24"/>
        </w:rPr>
        <w:t> </w:t>
      </w:r>
      <w:r>
        <w:rPr>
          <w:sz w:val="24"/>
        </w:rPr>
        <w:t>needs</w:t>
      </w:r>
      <w:r>
        <w:rPr>
          <w:spacing w:val="-4"/>
          <w:sz w:val="24"/>
        </w:rPr>
        <w:t> </w:t>
      </w:r>
      <w:r>
        <w:rPr>
          <w:sz w:val="24"/>
        </w:rPr>
        <w:t>or</w:t>
      </w:r>
      <w:r>
        <w:rPr>
          <w:spacing w:val="-3"/>
          <w:sz w:val="24"/>
        </w:rPr>
        <w:t> </w:t>
      </w:r>
      <w:r>
        <w:rPr>
          <w:sz w:val="24"/>
        </w:rPr>
        <w:t>anticipated</w:t>
      </w:r>
      <w:r>
        <w:rPr>
          <w:spacing w:val="-4"/>
          <w:sz w:val="24"/>
        </w:rPr>
        <w:t> </w:t>
      </w:r>
      <w:r>
        <w:rPr>
          <w:sz w:val="24"/>
        </w:rPr>
        <w:t>cost</w:t>
      </w:r>
      <w:r>
        <w:rPr>
          <w:spacing w:val="-3"/>
          <w:sz w:val="24"/>
        </w:rPr>
        <w:t> </w:t>
      </w:r>
      <w:r>
        <w:rPr>
          <w:sz w:val="24"/>
        </w:rPr>
        <w:t>of</w:t>
      </w:r>
      <w:r>
        <w:rPr>
          <w:spacing w:val="-5"/>
          <w:sz w:val="24"/>
        </w:rPr>
        <w:t> </w:t>
      </w:r>
      <w:r>
        <w:rPr>
          <w:sz w:val="24"/>
        </w:rPr>
        <w:t>services</w:t>
      </w:r>
      <w:r>
        <w:rPr>
          <w:spacing w:val="-4"/>
          <w:sz w:val="24"/>
        </w:rPr>
        <w:t> </w:t>
      </w:r>
      <w:r>
        <w:rPr>
          <w:sz w:val="24"/>
        </w:rPr>
        <w:t>required</w:t>
      </w:r>
      <w:r>
        <w:rPr>
          <w:spacing w:val="-4"/>
          <w:sz w:val="24"/>
        </w:rPr>
        <w:t> </w:t>
      </w:r>
      <w:r>
        <w:rPr>
          <w:sz w:val="24"/>
        </w:rPr>
        <w:t>by</w:t>
      </w:r>
      <w:r>
        <w:rPr>
          <w:spacing w:val="-4"/>
          <w:sz w:val="24"/>
        </w:rPr>
        <w:t> </w:t>
      </w:r>
      <w:r>
        <w:rPr>
          <w:sz w:val="24"/>
        </w:rPr>
        <w:t>an applicant or applicant's family.</w:t>
      </w:r>
    </w:p>
    <w:p>
      <w:pPr>
        <w:pStyle w:val="ListParagraph"/>
        <w:spacing w:after="0" w:line="208" w:lineRule="auto"/>
        <w:jc w:val="left"/>
        <w:rPr>
          <w:sz w:val="24"/>
        </w:rPr>
        <w:sectPr>
          <w:pgSz w:w="12240" w:h="15840"/>
          <w:pgMar w:top="1340" w:bottom="280" w:left="1080" w:right="720"/>
        </w:sectPr>
      </w:pPr>
    </w:p>
    <w:p>
      <w:pPr>
        <w:pStyle w:val="ListParagraph"/>
        <w:numPr>
          <w:ilvl w:val="0"/>
          <w:numId w:val="117"/>
        </w:numPr>
        <w:tabs>
          <w:tab w:pos="786" w:val="left" w:leader="none"/>
        </w:tabs>
        <w:spacing w:line="208" w:lineRule="auto" w:before="96" w:after="0"/>
        <w:ind w:left="360" w:right="901" w:firstLine="0"/>
        <w:jc w:val="left"/>
        <w:rPr>
          <w:sz w:val="24"/>
        </w:rPr>
      </w:pPr>
      <w:r>
        <w:rPr>
          <w:b/>
          <w:sz w:val="24"/>
        </w:rPr>
        <w:t>Disabled veterans.</w:t>
      </w:r>
      <w:r>
        <w:rPr>
          <w:b/>
          <w:spacing w:val="40"/>
          <w:sz w:val="24"/>
        </w:rPr>
        <w:t> </w:t>
      </w:r>
      <w:r>
        <w:rPr>
          <w:sz w:val="24"/>
        </w:rPr>
        <w:t>Disabled veterans are eligible for vocational rehabilitation services</w:t>
      </w:r>
      <w:r>
        <w:rPr>
          <w:spacing w:val="-4"/>
          <w:sz w:val="24"/>
        </w:rPr>
        <w:t> </w:t>
      </w:r>
      <w:r>
        <w:rPr>
          <w:sz w:val="24"/>
        </w:rPr>
        <w:t>on</w:t>
      </w:r>
      <w:r>
        <w:rPr>
          <w:spacing w:val="-4"/>
          <w:sz w:val="24"/>
        </w:rPr>
        <w:t> </w:t>
      </w:r>
      <w:r>
        <w:rPr>
          <w:sz w:val="24"/>
        </w:rPr>
        <w:t>the</w:t>
      </w:r>
      <w:r>
        <w:rPr>
          <w:spacing w:val="-4"/>
          <w:sz w:val="24"/>
        </w:rPr>
        <w:t> </w:t>
      </w:r>
      <w:r>
        <w:rPr>
          <w:sz w:val="24"/>
        </w:rPr>
        <w:t>same</w:t>
      </w:r>
      <w:r>
        <w:rPr>
          <w:spacing w:val="-4"/>
          <w:sz w:val="24"/>
        </w:rPr>
        <w:t> </w:t>
      </w:r>
      <w:r>
        <w:rPr>
          <w:sz w:val="24"/>
        </w:rPr>
        <w:t>basis</w:t>
      </w:r>
      <w:r>
        <w:rPr>
          <w:spacing w:val="-4"/>
          <w:sz w:val="24"/>
        </w:rPr>
        <w:t> </w:t>
      </w:r>
      <w:r>
        <w:rPr>
          <w:sz w:val="24"/>
        </w:rPr>
        <w:t>as</w:t>
      </w:r>
      <w:r>
        <w:rPr>
          <w:spacing w:val="-4"/>
          <w:sz w:val="24"/>
        </w:rPr>
        <w:t> </w:t>
      </w:r>
      <w:r>
        <w:rPr>
          <w:sz w:val="24"/>
        </w:rPr>
        <w:t>other</w:t>
      </w:r>
      <w:r>
        <w:rPr>
          <w:spacing w:val="-3"/>
          <w:sz w:val="24"/>
        </w:rPr>
        <w:t> </w:t>
      </w:r>
      <w:r>
        <w:rPr>
          <w:sz w:val="24"/>
        </w:rPr>
        <w:t>individuals</w:t>
      </w:r>
      <w:r>
        <w:rPr>
          <w:spacing w:val="-4"/>
          <w:sz w:val="24"/>
        </w:rPr>
        <w:t> </w:t>
      </w:r>
      <w:r>
        <w:rPr>
          <w:sz w:val="24"/>
        </w:rPr>
        <w:t>with</w:t>
      </w:r>
      <w:r>
        <w:rPr>
          <w:spacing w:val="-4"/>
          <w:sz w:val="24"/>
        </w:rPr>
        <w:t> </w:t>
      </w:r>
      <w:r>
        <w:rPr>
          <w:sz w:val="24"/>
        </w:rPr>
        <w:t>disabilities</w:t>
      </w:r>
      <w:r>
        <w:rPr>
          <w:spacing w:val="-4"/>
          <w:sz w:val="24"/>
        </w:rPr>
        <w:t> </w:t>
      </w:r>
      <w:r>
        <w:rPr>
          <w:sz w:val="24"/>
        </w:rPr>
        <w:t>subject</w:t>
      </w:r>
      <w:r>
        <w:rPr>
          <w:spacing w:val="-3"/>
          <w:sz w:val="24"/>
        </w:rPr>
        <w:t> </w:t>
      </w:r>
      <w:r>
        <w:rPr>
          <w:sz w:val="24"/>
        </w:rPr>
        <w:t>to</w:t>
      </w:r>
      <w:r>
        <w:rPr>
          <w:spacing w:val="-4"/>
          <w:sz w:val="24"/>
        </w:rPr>
        <w:t> </w:t>
      </w:r>
      <w:r>
        <w:rPr>
          <w:sz w:val="24"/>
        </w:rPr>
        <w:t>the</w:t>
      </w:r>
      <w:r>
        <w:rPr>
          <w:spacing w:val="-4"/>
          <w:sz w:val="24"/>
        </w:rPr>
        <w:t> </w:t>
      </w:r>
      <w:r>
        <w:rPr>
          <w:sz w:val="24"/>
        </w:rPr>
        <w:t>following </w:t>
      </w:r>
      <w:r>
        <w:rPr>
          <w:spacing w:val="-2"/>
          <w:sz w:val="24"/>
        </w:rPr>
        <w:t>restrictions:</w:t>
      </w:r>
    </w:p>
    <w:p>
      <w:pPr>
        <w:pStyle w:val="ListParagraph"/>
        <w:numPr>
          <w:ilvl w:val="1"/>
          <w:numId w:val="117"/>
        </w:numPr>
        <w:tabs>
          <w:tab w:pos="1217" w:val="left" w:leader="none"/>
        </w:tabs>
        <w:spacing w:line="208" w:lineRule="auto" w:before="240" w:after="0"/>
        <w:ind w:left="791" w:right="1147" w:firstLine="0"/>
        <w:jc w:val="both"/>
        <w:rPr>
          <w:sz w:val="24"/>
        </w:rPr>
      </w:pPr>
      <w:r>
        <w:rPr>
          <w:sz w:val="24"/>
        </w:rPr>
        <w:t>Disabled veterans are not provided services which can be secured from the Veterans</w:t>
      </w:r>
      <w:r>
        <w:rPr>
          <w:spacing w:val="-4"/>
          <w:sz w:val="24"/>
        </w:rPr>
        <w:t> </w:t>
      </w:r>
      <w:r>
        <w:rPr>
          <w:sz w:val="24"/>
        </w:rPr>
        <w:t>Administration</w:t>
      </w:r>
      <w:r>
        <w:rPr>
          <w:spacing w:val="-4"/>
          <w:sz w:val="24"/>
        </w:rPr>
        <w:t> </w:t>
      </w:r>
      <w:r>
        <w:rPr>
          <w:sz w:val="24"/>
        </w:rPr>
        <w:t>(VA),</w:t>
      </w:r>
      <w:r>
        <w:rPr>
          <w:spacing w:val="-3"/>
          <w:sz w:val="24"/>
        </w:rPr>
        <w:t> </w:t>
      </w:r>
      <w:r>
        <w:rPr>
          <w:sz w:val="24"/>
        </w:rPr>
        <w:t>unless</w:t>
      </w:r>
      <w:r>
        <w:rPr>
          <w:spacing w:val="-4"/>
          <w:sz w:val="24"/>
        </w:rPr>
        <w:t> </w:t>
      </w:r>
      <w:r>
        <w:rPr>
          <w:sz w:val="24"/>
        </w:rPr>
        <w:t>use</w:t>
      </w:r>
      <w:r>
        <w:rPr>
          <w:spacing w:val="-4"/>
          <w:sz w:val="24"/>
        </w:rPr>
        <w:t> </w:t>
      </w:r>
      <w:r>
        <w:rPr>
          <w:sz w:val="24"/>
        </w:rPr>
        <w:t>of</w:t>
      </w:r>
      <w:r>
        <w:rPr>
          <w:spacing w:val="-5"/>
          <w:sz w:val="24"/>
        </w:rPr>
        <w:t> </w:t>
      </w:r>
      <w:r>
        <w:rPr>
          <w:sz w:val="24"/>
        </w:rPr>
        <w:t>VA</w:t>
      </w:r>
      <w:r>
        <w:rPr>
          <w:spacing w:val="-4"/>
          <w:sz w:val="24"/>
        </w:rPr>
        <w:t> </w:t>
      </w:r>
      <w:r>
        <w:rPr>
          <w:sz w:val="24"/>
        </w:rPr>
        <w:t>services</w:t>
      </w:r>
      <w:r>
        <w:rPr>
          <w:spacing w:val="-4"/>
          <w:sz w:val="24"/>
        </w:rPr>
        <w:t> </w:t>
      </w:r>
      <w:r>
        <w:rPr>
          <w:sz w:val="24"/>
        </w:rPr>
        <w:t>will</w:t>
      </w:r>
      <w:r>
        <w:rPr>
          <w:spacing w:val="-4"/>
          <w:sz w:val="24"/>
        </w:rPr>
        <w:t> </w:t>
      </w:r>
      <w:r>
        <w:rPr>
          <w:sz w:val="24"/>
        </w:rPr>
        <w:t>cause</w:t>
      </w:r>
      <w:r>
        <w:rPr>
          <w:spacing w:val="-3"/>
          <w:sz w:val="24"/>
        </w:rPr>
        <w:t> </w:t>
      </w:r>
      <w:r>
        <w:rPr>
          <w:sz w:val="24"/>
        </w:rPr>
        <w:t>a</w:t>
      </w:r>
      <w:r>
        <w:rPr>
          <w:spacing w:val="-4"/>
          <w:sz w:val="24"/>
        </w:rPr>
        <w:t> </w:t>
      </w:r>
      <w:r>
        <w:rPr>
          <w:sz w:val="24"/>
        </w:rPr>
        <w:t>substantial delay of services.</w:t>
      </w:r>
    </w:p>
    <w:p>
      <w:pPr>
        <w:pStyle w:val="ListParagraph"/>
        <w:numPr>
          <w:ilvl w:val="1"/>
          <w:numId w:val="117"/>
        </w:numPr>
        <w:tabs>
          <w:tab w:pos="1217" w:val="left" w:leader="none"/>
        </w:tabs>
        <w:spacing w:line="208" w:lineRule="auto" w:before="239" w:after="0"/>
        <w:ind w:left="791" w:right="774" w:firstLine="0"/>
        <w:jc w:val="left"/>
        <w:rPr>
          <w:sz w:val="24"/>
        </w:rPr>
      </w:pPr>
      <w:r>
        <w:rPr>
          <w:sz w:val="24"/>
        </w:rPr>
        <w:t>Veterans</w:t>
      </w:r>
      <w:r>
        <w:rPr>
          <w:spacing w:val="-3"/>
          <w:sz w:val="24"/>
        </w:rPr>
        <w:t> </w:t>
      </w:r>
      <w:r>
        <w:rPr>
          <w:sz w:val="24"/>
        </w:rPr>
        <w:t>receiving</w:t>
      </w:r>
      <w:r>
        <w:rPr>
          <w:spacing w:val="-3"/>
          <w:sz w:val="24"/>
        </w:rPr>
        <w:t> </w:t>
      </w:r>
      <w:r>
        <w:rPr>
          <w:sz w:val="24"/>
        </w:rPr>
        <w:t>additional</w:t>
      </w:r>
      <w:r>
        <w:rPr>
          <w:spacing w:val="-2"/>
          <w:sz w:val="24"/>
        </w:rPr>
        <w:t> </w:t>
      </w:r>
      <w:r>
        <w:rPr>
          <w:sz w:val="24"/>
        </w:rPr>
        <w:t>benefits</w:t>
      </w:r>
      <w:r>
        <w:rPr>
          <w:spacing w:val="-3"/>
          <w:sz w:val="24"/>
        </w:rPr>
        <w:t> </w:t>
      </w:r>
      <w:r>
        <w:rPr>
          <w:sz w:val="24"/>
        </w:rPr>
        <w:t>under</w:t>
      </w:r>
      <w:r>
        <w:rPr>
          <w:spacing w:val="-2"/>
          <w:sz w:val="24"/>
        </w:rPr>
        <w:t> </w:t>
      </w:r>
      <w:r>
        <w:rPr>
          <w:sz w:val="24"/>
        </w:rPr>
        <w:t>the</w:t>
      </w:r>
      <w:r>
        <w:rPr>
          <w:spacing w:val="-3"/>
          <w:sz w:val="24"/>
        </w:rPr>
        <w:t> </w:t>
      </w:r>
      <w:r>
        <w:rPr>
          <w:sz w:val="24"/>
        </w:rPr>
        <w:t>G.</w:t>
      </w:r>
      <w:r>
        <w:rPr>
          <w:spacing w:val="-4"/>
          <w:sz w:val="24"/>
        </w:rPr>
        <w:t> </w:t>
      </w:r>
      <w:r>
        <w:rPr>
          <w:sz w:val="24"/>
        </w:rPr>
        <w:t>I.</w:t>
      </w:r>
      <w:r>
        <w:rPr>
          <w:spacing w:val="-4"/>
          <w:sz w:val="24"/>
        </w:rPr>
        <w:t> </w:t>
      </w:r>
      <w:r>
        <w:rPr>
          <w:sz w:val="24"/>
        </w:rPr>
        <w:t>Bill</w:t>
      </w:r>
      <w:r>
        <w:rPr>
          <w:spacing w:val="-3"/>
          <w:sz w:val="24"/>
        </w:rPr>
        <w:t> </w:t>
      </w:r>
      <w:r>
        <w:rPr>
          <w:sz w:val="24"/>
        </w:rPr>
        <w:t>or</w:t>
      </w:r>
      <w:r>
        <w:rPr>
          <w:spacing w:val="-2"/>
          <w:sz w:val="24"/>
        </w:rPr>
        <w:t> </w:t>
      </w:r>
      <w:r>
        <w:rPr>
          <w:sz w:val="24"/>
        </w:rPr>
        <w:t>the</w:t>
      </w:r>
      <w:r>
        <w:rPr>
          <w:spacing w:val="-3"/>
          <w:sz w:val="24"/>
        </w:rPr>
        <w:t> </w:t>
      </w:r>
      <w:r>
        <w:rPr>
          <w:sz w:val="24"/>
        </w:rPr>
        <w:t>War</w:t>
      </w:r>
      <w:r>
        <w:rPr>
          <w:spacing w:val="-2"/>
          <w:sz w:val="24"/>
        </w:rPr>
        <w:t> </w:t>
      </w:r>
      <w:r>
        <w:rPr>
          <w:sz w:val="24"/>
        </w:rPr>
        <w:t>Orphan</w:t>
      </w:r>
      <w:r>
        <w:rPr>
          <w:spacing w:val="-3"/>
          <w:sz w:val="24"/>
        </w:rPr>
        <w:t> </w:t>
      </w:r>
      <w:r>
        <w:rPr>
          <w:sz w:val="24"/>
        </w:rPr>
        <w:t>Act may be provided services if such services do not duplicate those being received from the VA.</w:t>
      </w:r>
    </w:p>
    <w:p>
      <w:pPr>
        <w:pStyle w:val="ListParagraph"/>
        <w:numPr>
          <w:ilvl w:val="0"/>
          <w:numId w:val="117"/>
        </w:numPr>
        <w:tabs>
          <w:tab w:pos="718" w:val="left" w:leader="none"/>
        </w:tabs>
        <w:spacing w:line="208" w:lineRule="auto" w:before="240" w:after="0"/>
        <w:ind w:left="360" w:right="870" w:firstLine="0"/>
        <w:jc w:val="left"/>
        <w:rPr>
          <w:sz w:val="24"/>
        </w:rPr>
      </w:pPr>
      <w:r>
        <w:rPr>
          <w:b/>
          <w:sz w:val="24"/>
        </w:rPr>
        <w:t>Applicants who are employed.</w:t>
      </w:r>
      <w:r>
        <w:rPr>
          <w:b/>
          <w:spacing w:val="40"/>
          <w:sz w:val="24"/>
        </w:rPr>
        <w:t> </w:t>
      </w:r>
      <w:r>
        <w:rPr>
          <w:sz w:val="24"/>
        </w:rPr>
        <w:t>Employed persons who meet basic eligibility requirements</w:t>
      </w:r>
      <w:r>
        <w:rPr>
          <w:spacing w:val="-4"/>
          <w:sz w:val="24"/>
        </w:rPr>
        <w:t> </w:t>
      </w:r>
      <w:r>
        <w:rPr>
          <w:sz w:val="24"/>
        </w:rPr>
        <w:t>may</w:t>
      </w:r>
      <w:r>
        <w:rPr>
          <w:spacing w:val="-4"/>
          <w:sz w:val="24"/>
        </w:rPr>
        <w:t> </w:t>
      </w:r>
      <w:r>
        <w:rPr>
          <w:sz w:val="24"/>
        </w:rPr>
        <w:t>be</w:t>
      </w:r>
      <w:r>
        <w:rPr>
          <w:spacing w:val="-5"/>
          <w:sz w:val="24"/>
        </w:rPr>
        <w:t> </w:t>
      </w:r>
      <w:r>
        <w:rPr>
          <w:sz w:val="24"/>
        </w:rPr>
        <w:t>provided</w:t>
      </w:r>
      <w:r>
        <w:rPr>
          <w:spacing w:val="-4"/>
          <w:sz w:val="24"/>
        </w:rPr>
        <w:t> </w:t>
      </w:r>
      <w:r>
        <w:rPr>
          <w:sz w:val="24"/>
        </w:rPr>
        <w:t>vocational</w:t>
      </w:r>
      <w:r>
        <w:rPr>
          <w:spacing w:val="-4"/>
          <w:sz w:val="24"/>
        </w:rPr>
        <w:t> </w:t>
      </w:r>
      <w:r>
        <w:rPr>
          <w:sz w:val="24"/>
        </w:rPr>
        <w:t>rehabilitation</w:t>
      </w:r>
      <w:r>
        <w:rPr>
          <w:spacing w:val="-4"/>
          <w:sz w:val="24"/>
        </w:rPr>
        <w:t> </w:t>
      </w:r>
      <w:r>
        <w:rPr>
          <w:sz w:val="24"/>
        </w:rPr>
        <w:t>services</w:t>
      </w:r>
      <w:r>
        <w:rPr>
          <w:spacing w:val="-4"/>
          <w:sz w:val="24"/>
        </w:rPr>
        <w:t> </w:t>
      </w:r>
      <w:r>
        <w:rPr>
          <w:sz w:val="24"/>
        </w:rPr>
        <w:t>to</w:t>
      </w:r>
      <w:r>
        <w:rPr>
          <w:spacing w:val="-4"/>
          <w:sz w:val="24"/>
        </w:rPr>
        <w:t> </w:t>
      </w:r>
      <w:r>
        <w:rPr>
          <w:sz w:val="24"/>
        </w:rPr>
        <w:t>advance</w:t>
      </w:r>
      <w:r>
        <w:rPr>
          <w:spacing w:val="-4"/>
          <w:sz w:val="24"/>
        </w:rPr>
        <w:t> </w:t>
      </w:r>
      <w:r>
        <w:rPr>
          <w:sz w:val="24"/>
        </w:rPr>
        <w:t>in</w:t>
      </w:r>
      <w:r>
        <w:rPr>
          <w:spacing w:val="-4"/>
          <w:sz w:val="24"/>
        </w:rPr>
        <w:t> </w:t>
      </w:r>
      <w:r>
        <w:rPr>
          <w:sz w:val="24"/>
        </w:rPr>
        <w:t>or</w:t>
      </w:r>
      <w:r>
        <w:rPr>
          <w:spacing w:val="-3"/>
          <w:sz w:val="24"/>
        </w:rPr>
        <w:t> </w:t>
      </w:r>
      <w:r>
        <w:rPr>
          <w:sz w:val="24"/>
        </w:rPr>
        <w:t>retain employment, or when the employment is not consistent with the individual's strengths, resources, priorities, concerns, abilities, interests and capabilities.</w:t>
      </w:r>
    </w:p>
    <w:p>
      <w:pPr>
        <w:pStyle w:val="ListParagraph"/>
        <w:numPr>
          <w:ilvl w:val="0"/>
          <w:numId w:val="117"/>
        </w:numPr>
        <w:tabs>
          <w:tab w:pos="786" w:val="left" w:leader="none"/>
        </w:tabs>
        <w:spacing w:line="208" w:lineRule="auto" w:before="240" w:after="0"/>
        <w:ind w:left="360" w:right="751" w:firstLine="0"/>
        <w:jc w:val="left"/>
        <w:rPr>
          <w:sz w:val="24"/>
        </w:rPr>
      </w:pPr>
      <w:r>
        <w:rPr>
          <w:b/>
          <w:sz w:val="24"/>
        </w:rPr>
        <w:t>Citizenship.</w:t>
      </w:r>
      <w:r>
        <w:rPr>
          <w:b/>
          <w:spacing w:val="80"/>
          <w:sz w:val="24"/>
        </w:rPr>
        <w:t> </w:t>
      </w:r>
      <w:r>
        <w:rPr>
          <w:sz w:val="24"/>
        </w:rPr>
        <w:t>Participation in the VR program is available to citizens and nationals of</w:t>
      </w:r>
      <w:r>
        <w:rPr>
          <w:spacing w:val="-3"/>
          <w:sz w:val="24"/>
        </w:rPr>
        <w:t> </w:t>
      </w:r>
      <w:r>
        <w:rPr>
          <w:sz w:val="24"/>
        </w:rPr>
        <w:t>the</w:t>
      </w:r>
      <w:r>
        <w:rPr>
          <w:spacing w:val="-4"/>
          <w:sz w:val="24"/>
        </w:rPr>
        <w:t> </w:t>
      </w:r>
      <w:r>
        <w:rPr>
          <w:sz w:val="24"/>
        </w:rPr>
        <w:t>United</w:t>
      </w:r>
      <w:r>
        <w:rPr>
          <w:spacing w:val="-4"/>
          <w:sz w:val="24"/>
        </w:rPr>
        <w:t> </w:t>
      </w:r>
      <w:r>
        <w:rPr>
          <w:sz w:val="24"/>
        </w:rPr>
        <w:t>States,</w:t>
      </w:r>
      <w:r>
        <w:rPr>
          <w:spacing w:val="-3"/>
          <w:sz w:val="24"/>
        </w:rPr>
        <w:t> </w:t>
      </w:r>
      <w:r>
        <w:rPr>
          <w:sz w:val="24"/>
        </w:rPr>
        <w:t>lawfully</w:t>
      </w:r>
      <w:r>
        <w:rPr>
          <w:spacing w:val="-4"/>
          <w:sz w:val="24"/>
        </w:rPr>
        <w:t> </w:t>
      </w:r>
      <w:r>
        <w:rPr>
          <w:sz w:val="24"/>
        </w:rPr>
        <w:t>admitted</w:t>
      </w:r>
      <w:r>
        <w:rPr>
          <w:spacing w:val="-4"/>
          <w:sz w:val="24"/>
        </w:rPr>
        <w:t> </w:t>
      </w:r>
      <w:r>
        <w:rPr>
          <w:sz w:val="24"/>
        </w:rPr>
        <w:t>permanent</w:t>
      </w:r>
      <w:r>
        <w:rPr>
          <w:spacing w:val="-3"/>
          <w:sz w:val="24"/>
        </w:rPr>
        <w:t> </w:t>
      </w:r>
      <w:r>
        <w:rPr>
          <w:sz w:val="24"/>
        </w:rPr>
        <w:t>resident</w:t>
      </w:r>
      <w:r>
        <w:rPr>
          <w:spacing w:val="-3"/>
          <w:sz w:val="24"/>
        </w:rPr>
        <w:t> </w:t>
      </w:r>
      <w:r>
        <w:rPr>
          <w:sz w:val="24"/>
        </w:rPr>
        <w:t>aliens,</w:t>
      </w:r>
      <w:r>
        <w:rPr>
          <w:spacing w:val="-3"/>
          <w:sz w:val="24"/>
        </w:rPr>
        <w:t> </w:t>
      </w:r>
      <w:r>
        <w:rPr>
          <w:sz w:val="24"/>
        </w:rPr>
        <w:t>refugees,</w:t>
      </w:r>
      <w:r>
        <w:rPr>
          <w:spacing w:val="-3"/>
          <w:sz w:val="24"/>
        </w:rPr>
        <w:t> </w:t>
      </w:r>
      <w:r>
        <w:rPr>
          <w:sz w:val="24"/>
        </w:rPr>
        <w:t>asylees</w:t>
      </w:r>
      <w:r>
        <w:rPr>
          <w:spacing w:val="-4"/>
          <w:sz w:val="24"/>
        </w:rPr>
        <w:t> </w:t>
      </w:r>
      <w:r>
        <w:rPr>
          <w:sz w:val="24"/>
        </w:rPr>
        <w:t>and parolees, and other immigrants authorized to work in the United States.</w:t>
      </w:r>
    </w:p>
    <w:p>
      <w:pPr>
        <w:pStyle w:val="ListParagraph"/>
        <w:numPr>
          <w:ilvl w:val="0"/>
          <w:numId w:val="117"/>
        </w:numPr>
        <w:tabs>
          <w:tab w:pos="786" w:val="left" w:leader="none"/>
        </w:tabs>
        <w:spacing w:line="208" w:lineRule="auto" w:before="239" w:after="0"/>
        <w:ind w:left="360" w:right="1407" w:firstLine="0"/>
        <w:jc w:val="left"/>
        <w:rPr>
          <w:sz w:val="24"/>
        </w:rPr>
      </w:pPr>
      <w:r>
        <w:rPr>
          <w:b/>
          <w:sz w:val="24"/>
        </w:rPr>
        <w:t>Criteria.</w:t>
      </w:r>
      <w:r>
        <w:rPr>
          <w:b/>
          <w:spacing w:val="40"/>
          <w:sz w:val="24"/>
        </w:rPr>
        <w:t> </w:t>
      </w:r>
      <w:r>
        <w:rPr>
          <w:sz w:val="24"/>
        </w:rPr>
        <w:t>Some</w:t>
      </w:r>
      <w:r>
        <w:rPr>
          <w:spacing w:val="-4"/>
          <w:sz w:val="24"/>
        </w:rPr>
        <w:t> </w:t>
      </w:r>
      <w:r>
        <w:rPr>
          <w:sz w:val="24"/>
        </w:rPr>
        <w:t>conditions</w:t>
      </w:r>
      <w:r>
        <w:rPr>
          <w:spacing w:val="-4"/>
          <w:sz w:val="24"/>
        </w:rPr>
        <w:t> </w:t>
      </w:r>
      <w:r>
        <w:rPr>
          <w:sz w:val="24"/>
        </w:rPr>
        <w:t>have</w:t>
      </w:r>
      <w:r>
        <w:rPr>
          <w:spacing w:val="-4"/>
          <w:sz w:val="24"/>
        </w:rPr>
        <w:t> </w:t>
      </w:r>
      <w:r>
        <w:rPr>
          <w:sz w:val="24"/>
        </w:rPr>
        <w:t>unique</w:t>
      </w:r>
      <w:r>
        <w:rPr>
          <w:spacing w:val="-3"/>
          <w:sz w:val="24"/>
        </w:rPr>
        <w:t> </w:t>
      </w:r>
      <w:r>
        <w:rPr>
          <w:sz w:val="24"/>
        </w:rPr>
        <w:t>criteria</w:t>
      </w:r>
      <w:r>
        <w:rPr>
          <w:spacing w:val="-4"/>
          <w:sz w:val="24"/>
        </w:rPr>
        <w:t> </w:t>
      </w:r>
      <w:r>
        <w:rPr>
          <w:sz w:val="24"/>
        </w:rPr>
        <w:t>that</w:t>
      </w:r>
      <w:r>
        <w:rPr>
          <w:spacing w:val="-3"/>
          <w:sz w:val="24"/>
        </w:rPr>
        <w:t> </w:t>
      </w:r>
      <w:r>
        <w:rPr>
          <w:sz w:val="24"/>
        </w:rPr>
        <w:t>must</w:t>
      </w:r>
      <w:r>
        <w:rPr>
          <w:spacing w:val="-5"/>
          <w:sz w:val="24"/>
        </w:rPr>
        <w:t> </w:t>
      </w:r>
      <w:r>
        <w:rPr>
          <w:sz w:val="24"/>
        </w:rPr>
        <w:t>be</w:t>
      </w:r>
      <w:r>
        <w:rPr>
          <w:spacing w:val="-4"/>
          <w:sz w:val="24"/>
        </w:rPr>
        <w:t> </w:t>
      </w:r>
      <w:r>
        <w:rPr>
          <w:sz w:val="24"/>
        </w:rPr>
        <w:t>considered</w:t>
      </w:r>
      <w:r>
        <w:rPr>
          <w:spacing w:val="-3"/>
          <w:sz w:val="24"/>
        </w:rPr>
        <w:t> </w:t>
      </w:r>
      <w:r>
        <w:rPr>
          <w:sz w:val="24"/>
        </w:rPr>
        <w:t>when determining eligibility.</w:t>
      </w:r>
    </w:p>
    <w:p>
      <w:pPr>
        <w:pStyle w:val="ListParagraph"/>
        <w:numPr>
          <w:ilvl w:val="1"/>
          <w:numId w:val="117"/>
        </w:numPr>
        <w:tabs>
          <w:tab w:pos="1216" w:val="left" w:leader="none"/>
        </w:tabs>
        <w:spacing w:line="208" w:lineRule="auto" w:before="240" w:after="0"/>
        <w:ind w:left="791" w:right="839" w:firstLine="0"/>
        <w:jc w:val="left"/>
        <w:rPr>
          <w:sz w:val="24"/>
        </w:rPr>
      </w:pPr>
      <w:r>
        <w:rPr>
          <w:b/>
          <w:sz w:val="24"/>
        </w:rPr>
        <w:t>Alcoholism/Drugs. </w:t>
      </w:r>
      <w:r>
        <w:rPr>
          <w:sz w:val="24"/>
        </w:rPr>
        <w:t>Individuals may be eligible for vocational rehabilitation services based on a substance abuse diagnosis that may be made by a qualified professional. </w:t>
      </w:r>
      <w:r>
        <w:rPr>
          <w:b/>
          <w:sz w:val="24"/>
        </w:rPr>
        <w:t>6 </w:t>
      </w:r>
      <w:r>
        <w:rPr>
          <w:sz w:val="24"/>
        </w:rPr>
        <w:t>Clients must be willing to undergo random alcohol/drug screening. DRS</w:t>
      </w:r>
      <w:r>
        <w:rPr>
          <w:spacing w:val="-4"/>
          <w:sz w:val="24"/>
        </w:rPr>
        <w:t> </w:t>
      </w:r>
      <w:r>
        <w:rPr>
          <w:sz w:val="24"/>
        </w:rPr>
        <w:t>does</w:t>
      </w:r>
      <w:r>
        <w:rPr>
          <w:spacing w:val="-3"/>
          <w:sz w:val="24"/>
        </w:rPr>
        <w:t> </w:t>
      </w:r>
      <w:r>
        <w:rPr>
          <w:sz w:val="24"/>
        </w:rPr>
        <w:t>not</w:t>
      </w:r>
      <w:r>
        <w:rPr>
          <w:spacing w:val="-3"/>
          <w:sz w:val="24"/>
        </w:rPr>
        <w:t> </w:t>
      </w:r>
      <w:r>
        <w:rPr>
          <w:sz w:val="24"/>
        </w:rPr>
        <w:t>pay</w:t>
      </w:r>
      <w:r>
        <w:rPr>
          <w:spacing w:val="-4"/>
          <w:sz w:val="24"/>
        </w:rPr>
        <w:t> </w:t>
      </w:r>
      <w:r>
        <w:rPr>
          <w:sz w:val="24"/>
        </w:rPr>
        <w:t>for</w:t>
      </w:r>
      <w:r>
        <w:rPr>
          <w:spacing w:val="-5"/>
          <w:sz w:val="24"/>
        </w:rPr>
        <w:t> </w:t>
      </w:r>
      <w:r>
        <w:rPr>
          <w:sz w:val="24"/>
        </w:rPr>
        <w:t>detoxification</w:t>
      </w:r>
      <w:r>
        <w:rPr>
          <w:spacing w:val="-4"/>
          <w:sz w:val="24"/>
        </w:rPr>
        <w:t> </w:t>
      </w:r>
      <w:r>
        <w:rPr>
          <w:sz w:val="24"/>
        </w:rPr>
        <w:t>or</w:t>
      </w:r>
      <w:r>
        <w:rPr>
          <w:spacing w:val="-3"/>
          <w:sz w:val="24"/>
        </w:rPr>
        <w:t> </w:t>
      </w:r>
      <w:r>
        <w:rPr>
          <w:sz w:val="24"/>
        </w:rPr>
        <w:t>replacement</w:t>
      </w:r>
      <w:r>
        <w:rPr>
          <w:spacing w:val="-3"/>
          <w:sz w:val="24"/>
        </w:rPr>
        <w:t> </w:t>
      </w:r>
      <w:r>
        <w:rPr>
          <w:sz w:val="24"/>
        </w:rPr>
        <w:t>drug</w:t>
      </w:r>
      <w:r>
        <w:rPr>
          <w:spacing w:val="-4"/>
          <w:sz w:val="24"/>
        </w:rPr>
        <w:t> </w:t>
      </w:r>
      <w:r>
        <w:rPr>
          <w:sz w:val="24"/>
        </w:rPr>
        <w:t>treatment.</w:t>
      </w:r>
      <w:r>
        <w:rPr>
          <w:spacing w:val="-3"/>
          <w:sz w:val="24"/>
        </w:rPr>
        <w:t> </w:t>
      </w:r>
      <w:r>
        <w:rPr>
          <w:sz w:val="24"/>
        </w:rPr>
        <w:t>Documentation from qualified Drug and Alcohol treatment professionals indicating that the client is presently substance-free, maintaining sobriety, and actively participating in a treatment or maintenance program if recommended by the treating professional must be filed in the case record upon IPE development.</w:t>
      </w:r>
    </w:p>
    <w:p>
      <w:pPr>
        <w:pStyle w:val="ListParagraph"/>
        <w:numPr>
          <w:ilvl w:val="1"/>
          <w:numId w:val="117"/>
        </w:numPr>
        <w:tabs>
          <w:tab w:pos="1217" w:val="left" w:leader="none"/>
        </w:tabs>
        <w:spacing w:line="208" w:lineRule="auto" w:before="239" w:after="0"/>
        <w:ind w:left="792" w:right="1110" w:firstLine="0"/>
        <w:jc w:val="left"/>
        <w:rPr>
          <w:b/>
          <w:sz w:val="24"/>
        </w:rPr>
      </w:pPr>
      <w:r>
        <w:rPr>
          <w:b/>
          <w:sz w:val="24"/>
        </w:rPr>
        <w:t>Allergies/Asthma.</w:t>
      </w:r>
      <w:r>
        <w:rPr>
          <w:b/>
          <w:spacing w:val="40"/>
          <w:sz w:val="24"/>
        </w:rPr>
        <w:t> </w:t>
      </w:r>
      <w:r>
        <w:rPr>
          <w:sz w:val="24"/>
        </w:rPr>
        <w:t>Allergies/asthmatic</w:t>
      </w:r>
      <w:r>
        <w:rPr>
          <w:spacing w:val="-6"/>
          <w:sz w:val="24"/>
        </w:rPr>
        <w:t> </w:t>
      </w:r>
      <w:r>
        <w:rPr>
          <w:sz w:val="24"/>
        </w:rPr>
        <w:t>conditions</w:t>
      </w:r>
      <w:r>
        <w:rPr>
          <w:spacing w:val="-6"/>
          <w:sz w:val="24"/>
        </w:rPr>
        <w:t> </w:t>
      </w:r>
      <w:r>
        <w:rPr>
          <w:sz w:val="24"/>
        </w:rPr>
        <w:t>that</w:t>
      </w:r>
      <w:r>
        <w:rPr>
          <w:spacing w:val="-5"/>
          <w:sz w:val="24"/>
        </w:rPr>
        <w:t> </w:t>
      </w:r>
      <w:r>
        <w:rPr>
          <w:sz w:val="24"/>
        </w:rPr>
        <w:t>require</w:t>
      </w:r>
      <w:r>
        <w:rPr>
          <w:spacing w:val="-6"/>
          <w:sz w:val="24"/>
        </w:rPr>
        <w:t> </w:t>
      </w:r>
      <w:r>
        <w:rPr>
          <w:sz w:val="24"/>
        </w:rPr>
        <w:t>continuous</w:t>
      </w:r>
      <w:r>
        <w:rPr>
          <w:spacing w:val="-5"/>
          <w:sz w:val="24"/>
        </w:rPr>
        <w:t> </w:t>
      </w:r>
      <w:r>
        <w:rPr>
          <w:sz w:val="24"/>
        </w:rPr>
        <w:t>or intermittent medical intervention and result in a substantial impediment to employment will be considered eligible for services. </w:t>
      </w:r>
      <w:r>
        <w:rPr>
          <w:b/>
          <w:sz w:val="24"/>
        </w:rPr>
        <w:t>7</w:t>
      </w:r>
    </w:p>
    <w:p>
      <w:pPr>
        <w:pStyle w:val="ListParagraph"/>
        <w:numPr>
          <w:ilvl w:val="1"/>
          <w:numId w:val="117"/>
        </w:numPr>
        <w:tabs>
          <w:tab w:pos="1236" w:val="left" w:leader="none"/>
        </w:tabs>
        <w:spacing w:line="240" w:lineRule="auto" w:before="244" w:after="0"/>
        <w:ind w:left="810" w:right="730" w:firstLine="0"/>
        <w:jc w:val="left"/>
        <w:rPr>
          <w:sz w:val="24"/>
        </w:rPr>
      </w:pPr>
      <w:r>
        <w:rPr>
          <w:b/>
          <w:sz w:val="24"/>
        </w:rPr>
        <w:t>Deafness and Hearing Loss.</w:t>
      </w:r>
      <w:r>
        <w:rPr>
          <w:b/>
          <w:spacing w:val="40"/>
          <w:sz w:val="24"/>
        </w:rPr>
        <w:t> </w:t>
      </w:r>
      <w:r>
        <w:rPr>
          <w:sz w:val="24"/>
        </w:rPr>
        <w:t>In most cases, for the purpose of vocational rehabilitation, the majority of cases served will be in the moderate range to</w:t>
      </w:r>
      <w:r>
        <w:rPr>
          <w:spacing w:val="40"/>
          <w:sz w:val="24"/>
        </w:rPr>
        <w:t> </w:t>
      </w:r>
      <w:r>
        <w:rPr>
          <w:sz w:val="24"/>
        </w:rPr>
        <w:t>profound range, barring any other significant functional limitations as determined by a</w:t>
      </w:r>
      <w:r>
        <w:rPr>
          <w:spacing w:val="-3"/>
          <w:sz w:val="24"/>
        </w:rPr>
        <w:t> </w:t>
      </w:r>
      <w:r>
        <w:rPr>
          <w:sz w:val="24"/>
        </w:rPr>
        <w:t>rehabilitation</w:t>
      </w:r>
      <w:r>
        <w:rPr>
          <w:spacing w:val="-3"/>
          <w:sz w:val="24"/>
        </w:rPr>
        <w:t> </w:t>
      </w:r>
      <w:r>
        <w:rPr>
          <w:sz w:val="24"/>
        </w:rPr>
        <w:t>counselor</w:t>
      </w:r>
      <w:r>
        <w:rPr>
          <w:spacing w:val="-3"/>
          <w:sz w:val="24"/>
        </w:rPr>
        <w:t> </w:t>
      </w:r>
      <w:r>
        <w:rPr>
          <w:sz w:val="24"/>
        </w:rPr>
        <w:t>for</w:t>
      </w:r>
      <w:r>
        <w:rPr>
          <w:spacing w:val="-4"/>
          <w:sz w:val="24"/>
        </w:rPr>
        <w:t> </w:t>
      </w:r>
      <w:r>
        <w:rPr>
          <w:sz w:val="24"/>
        </w:rPr>
        <w:t>the</w:t>
      </w:r>
      <w:r>
        <w:rPr>
          <w:spacing w:val="-4"/>
          <w:sz w:val="24"/>
        </w:rPr>
        <w:t> </w:t>
      </w:r>
      <w:r>
        <w:rPr>
          <w:sz w:val="24"/>
        </w:rPr>
        <w:t>Deaf</w:t>
      </w:r>
      <w:r>
        <w:rPr>
          <w:spacing w:val="-3"/>
          <w:sz w:val="24"/>
        </w:rPr>
        <w:t> </w:t>
      </w:r>
      <w:r>
        <w:rPr>
          <w:sz w:val="24"/>
        </w:rPr>
        <w:t>(RCD).</w:t>
      </w:r>
      <w:r>
        <w:rPr>
          <w:spacing w:val="-3"/>
          <w:sz w:val="24"/>
        </w:rPr>
        <w:t> </w:t>
      </w:r>
      <w:r>
        <w:rPr>
          <w:sz w:val="24"/>
        </w:rPr>
        <w:t>Degree</w:t>
      </w:r>
      <w:r>
        <w:rPr>
          <w:spacing w:val="-3"/>
          <w:sz w:val="24"/>
        </w:rPr>
        <w:t> </w:t>
      </w:r>
      <w:r>
        <w:rPr>
          <w:sz w:val="24"/>
        </w:rPr>
        <w:t>of</w:t>
      </w:r>
      <w:r>
        <w:rPr>
          <w:spacing w:val="-3"/>
          <w:sz w:val="24"/>
        </w:rPr>
        <w:t> </w:t>
      </w:r>
      <w:r>
        <w:rPr>
          <w:sz w:val="24"/>
        </w:rPr>
        <w:t>hearing</w:t>
      </w:r>
      <w:r>
        <w:rPr>
          <w:spacing w:val="-3"/>
          <w:sz w:val="24"/>
        </w:rPr>
        <w:t> </w:t>
      </w:r>
      <w:r>
        <w:rPr>
          <w:sz w:val="24"/>
        </w:rPr>
        <w:t>loss</w:t>
      </w:r>
      <w:r>
        <w:rPr>
          <w:spacing w:val="-3"/>
          <w:sz w:val="24"/>
        </w:rPr>
        <w:t> </w:t>
      </w:r>
      <w:r>
        <w:rPr>
          <w:sz w:val="24"/>
        </w:rPr>
        <w:t>from</w:t>
      </w:r>
      <w:r>
        <w:rPr>
          <w:spacing w:val="-4"/>
          <w:sz w:val="24"/>
        </w:rPr>
        <w:t> </w:t>
      </w:r>
      <w:r>
        <w:rPr>
          <w:sz w:val="24"/>
        </w:rPr>
        <w:t>normal</w:t>
      </w:r>
      <w:r>
        <w:rPr>
          <w:spacing w:val="-3"/>
          <w:sz w:val="24"/>
        </w:rPr>
        <w:t> </w:t>
      </w:r>
      <w:r>
        <w:rPr>
          <w:sz w:val="24"/>
        </w:rPr>
        <w:t>to profound are based on the hearing loss ranges as follows:</w:t>
      </w:r>
    </w:p>
    <w:p>
      <w:pPr>
        <w:pStyle w:val="ListParagraph"/>
        <w:numPr>
          <w:ilvl w:val="2"/>
          <w:numId w:val="117"/>
        </w:numPr>
        <w:tabs>
          <w:tab w:pos="1713" w:val="left" w:leader="none"/>
        </w:tabs>
        <w:spacing w:line="240" w:lineRule="auto" w:before="0" w:after="0"/>
        <w:ind w:left="1713" w:right="0" w:hanging="453"/>
        <w:jc w:val="left"/>
        <w:rPr>
          <w:sz w:val="24"/>
        </w:rPr>
      </w:pPr>
      <w:r>
        <w:rPr>
          <w:sz w:val="24"/>
        </w:rPr>
        <w:t>Normal</w:t>
      </w:r>
      <w:r>
        <w:rPr>
          <w:spacing w:val="-7"/>
          <w:sz w:val="24"/>
        </w:rPr>
        <w:t> </w:t>
      </w:r>
      <w:r>
        <w:rPr>
          <w:sz w:val="24"/>
        </w:rPr>
        <w:t>(-10-</w:t>
      </w:r>
      <w:r>
        <w:rPr>
          <w:spacing w:val="-5"/>
          <w:sz w:val="24"/>
        </w:rPr>
        <w:t>15)</w:t>
      </w:r>
    </w:p>
    <w:p>
      <w:pPr>
        <w:pStyle w:val="ListParagraph"/>
        <w:numPr>
          <w:ilvl w:val="2"/>
          <w:numId w:val="117"/>
        </w:numPr>
        <w:tabs>
          <w:tab w:pos="1713" w:val="left" w:leader="none"/>
        </w:tabs>
        <w:spacing w:line="240" w:lineRule="auto" w:before="0" w:after="0"/>
        <w:ind w:left="1713" w:right="0" w:hanging="453"/>
        <w:jc w:val="left"/>
        <w:rPr>
          <w:sz w:val="24"/>
        </w:rPr>
      </w:pPr>
      <w:r>
        <w:rPr>
          <w:sz w:val="24"/>
        </w:rPr>
        <w:t>Slight</w:t>
      </w:r>
      <w:r>
        <w:rPr>
          <w:spacing w:val="-8"/>
          <w:sz w:val="24"/>
        </w:rPr>
        <w:t> </w:t>
      </w:r>
      <w:r>
        <w:rPr>
          <w:sz w:val="24"/>
        </w:rPr>
        <w:t>(6-</w:t>
      </w:r>
      <w:r>
        <w:rPr>
          <w:spacing w:val="-5"/>
          <w:sz w:val="24"/>
        </w:rPr>
        <w:t>25)</w:t>
      </w:r>
    </w:p>
    <w:p>
      <w:pPr>
        <w:pStyle w:val="ListParagraph"/>
        <w:numPr>
          <w:ilvl w:val="2"/>
          <w:numId w:val="117"/>
        </w:numPr>
        <w:tabs>
          <w:tab w:pos="1725" w:val="left" w:leader="none"/>
        </w:tabs>
        <w:spacing w:line="240" w:lineRule="auto" w:before="0" w:after="0"/>
        <w:ind w:left="1725" w:right="0" w:hanging="465"/>
        <w:jc w:val="left"/>
        <w:rPr>
          <w:sz w:val="24"/>
        </w:rPr>
      </w:pPr>
      <w:r>
        <w:rPr>
          <w:sz w:val="24"/>
        </w:rPr>
        <w:t>Mild</w:t>
      </w:r>
      <w:r>
        <w:rPr>
          <w:spacing w:val="-4"/>
          <w:sz w:val="24"/>
        </w:rPr>
        <w:t> </w:t>
      </w:r>
      <w:r>
        <w:rPr>
          <w:sz w:val="24"/>
        </w:rPr>
        <w:t>(26-</w:t>
      </w:r>
      <w:r>
        <w:rPr>
          <w:spacing w:val="-5"/>
          <w:sz w:val="24"/>
        </w:rPr>
        <w:t>40)</w:t>
      </w:r>
    </w:p>
    <w:p>
      <w:pPr>
        <w:pStyle w:val="ListParagraph"/>
        <w:numPr>
          <w:ilvl w:val="2"/>
          <w:numId w:val="117"/>
        </w:numPr>
        <w:tabs>
          <w:tab w:pos="1725" w:val="left" w:leader="none"/>
        </w:tabs>
        <w:spacing w:line="240" w:lineRule="auto" w:before="0" w:after="0"/>
        <w:ind w:left="1725" w:right="0" w:hanging="465"/>
        <w:jc w:val="left"/>
        <w:rPr>
          <w:sz w:val="24"/>
        </w:rPr>
      </w:pPr>
      <w:r>
        <w:rPr>
          <w:sz w:val="24"/>
        </w:rPr>
        <w:t>Moderate</w:t>
      </w:r>
      <w:r>
        <w:rPr>
          <w:spacing w:val="-6"/>
          <w:sz w:val="24"/>
        </w:rPr>
        <w:t> </w:t>
      </w:r>
      <w:r>
        <w:rPr>
          <w:sz w:val="24"/>
        </w:rPr>
        <w:t>(41-</w:t>
      </w:r>
      <w:r>
        <w:rPr>
          <w:spacing w:val="-5"/>
          <w:sz w:val="24"/>
        </w:rPr>
        <w:t>55)</w:t>
      </w:r>
    </w:p>
    <w:p>
      <w:pPr>
        <w:pStyle w:val="ListParagraph"/>
        <w:numPr>
          <w:ilvl w:val="2"/>
          <w:numId w:val="117"/>
        </w:numPr>
        <w:tabs>
          <w:tab w:pos="1712" w:val="left" w:leader="none"/>
        </w:tabs>
        <w:spacing w:line="240" w:lineRule="auto" w:before="1" w:after="0"/>
        <w:ind w:left="1712" w:right="0" w:hanging="452"/>
        <w:jc w:val="left"/>
        <w:rPr>
          <w:sz w:val="24"/>
        </w:rPr>
      </w:pPr>
      <w:r>
        <w:rPr>
          <w:sz w:val="24"/>
        </w:rPr>
        <w:t>Moderately</w:t>
      </w:r>
      <w:r>
        <w:rPr>
          <w:spacing w:val="-5"/>
          <w:sz w:val="24"/>
        </w:rPr>
        <w:t> </w:t>
      </w:r>
      <w:r>
        <w:rPr>
          <w:sz w:val="24"/>
        </w:rPr>
        <w:t>severe</w:t>
      </w:r>
      <w:r>
        <w:rPr>
          <w:spacing w:val="-5"/>
          <w:sz w:val="24"/>
        </w:rPr>
        <w:t> </w:t>
      </w:r>
      <w:r>
        <w:rPr>
          <w:sz w:val="24"/>
        </w:rPr>
        <w:t>(56-</w:t>
      </w:r>
      <w:r>
        <w:rPr>
          <w:spacing w:val="-5"/>
          <w:sz w:val="24"/>
        </w:rPr>
        <w:t>70)</w:t>
      </w:r>
    </w:p>
    <w:p>
      <w:pPr>
        <w:pStyle w:val="ListParagraph"/>
        <w:numPr>
          <w:ilvl w:val="2"/>
          <w:numId w:val="117"/>
        </w:numPr>
        <w:tabs>
          <w:tab w:pos="1698" w:val="left" w:leader="none"/>
        </w:tabs>
        <w:spacing w:line="240" w:lineRule="auto" w:before="0" w:after="0"/>
        <w:ind w:left="1698" w:right="0" w:hanging="438"/>
        <w:jc w:val="left"/>
        <w:rPr>
          <w:sz w:val="24"/>
        </w:rPr>
      </w:pPr>
      <w:r>
        <w:rPr>
          <w:sz w:val="24"/>
        </w:rPr>
        <w:t>Severe</w:t>
      </w:r>
      <w:r>
        <w:rPr>
          <w:spacing w:val="-5"/>
          <w:sz w:val="24"/>
        </w:rPr>
        <w:t> </w:t>
      </w:r>
      <w:r>
        <w:rPr>
          <w:sz w:val="24"/>
        </w:rPr>
        <w:t>(71-</w:t>
      </w:r>
      <w:r>
        <w:rPr>
          <w:spacing w:val="-5"/>
          <w:sz w:val="24"/>
        </w:rPr>
        <w:t>90)</w:t>
      </w:r>
    </w:p>
    <w:p>
      <w:pPr>
        <w:pStyle w:val="ListParagraph"/>
        <w:numPr>
          <w:ilvl w:val="2"/>
          <w:numId w:val="117"/>
        </w:numPr>
        <w:tabs>
          <w:tab w:pos="1739" w:val="left" w:leader="none"/>
        </w:tabs>
        <w:spacing w:line="240" w:lineRule="auto" w:before="0" w:after="0"/>
        <w:ind w:left="1739" w:right="0" w:hanging="479"/>
        <w:jc w:val="left"/>
        <w:rPr>
          <w:sz w:val="24"/>
        </w:rPr>
      </w:pPr>
      <w:r>
        <w:rPr>
          <w:sz w:val="24"/>
        </w:rPr>
        <w:t>Profound</w:t>
      </w:r>
      <w:r>
        <w:rPr>
          <w:spacing w:val="-6"/>
          <w:sz w:val="24"/>
        </w:rPr>
        <w:t> </w:t>
      </w:r>
      <w:r>
        <w:rPr>
          <w:spacing w:val="-2"/>
          <w:sz w:val="24"/>
        </w:rPr>
        <w:t>(91+)</w:t>
      </w:r>
    </w:p>
    <w:p>
      <w:pPr>
        <w:pStyle w:val="ListParagraph"/>
        <w:spacing w:after="0" w:line="240" w:lineRule="auto"/>
        <w:jc w:val="left"/>
        <w:rPr>
          <w:sz w:val="24"/>
        </w:rPr>
        <w:sectPr>
          <w:pgSz w:w="12240" w:h="15840"/>
          <w:pgMar w:top="1340" w:bottom="280" w:left="1080" w:right="720"/>
        </w:sectPr>
      </w:pPr>
    </w:p>
    <w:p>
      <w:pPr>
        <w:pStyle w:val="ListParagraph"/>
        <w:numPr>
          <w:ilvl w:val="3"/>
          <w:numId w:val="117"/>
        </w:numPr>
        <w:tabs>
          <w:tab w:pos="2056" w:val="left" w:leader="none"/>
        </w:tabs>
        <w:spacing w:line="240" w:lineRule="auto" w:before="80" w:after="0"/>
        <w:ind w:left="1710" w:right="804" w:firstLine="0"/>
        <w:jc w:val="left"/>
        <w:rPr>
          <w:sz w:val="24"/>
        </w:rPr>
      </w:pPr>
      <w:r>
        <w:rPr>
          <w:sz w:val="24"/>
        </w:rPr>
        <w:t>The rehabilitation professional will base eligibility determination upon one</w:t>
      </w:r>
      <w:r>
        <w:rPr>
          <w:spacing w:val="-4"/>
          <w:sz w:val="24"/>
        </w:rPr>
        <w:t> </w:t>
      </w:r>
      <w:r>
        <w:rPr>
          <w:sz w:val="24"/>
        </w:rPr>
        <w:t>of</w:t>
      </w:r>
      <w:r>
        <w:rPr>
          <w:spacing w:val="-3"/>
          <w:sz w:val="24"/>
        </w:rPr>
        <w:t> </w:t>
      </w:r>
      <w:r>
        <w:rPr>
          <w:sz w:val="24"/>
        </w:rPr>
        <w:t>the</w:t>
      </w:r>
      <w:r>
        <w:rPr>
          <w:spacing w:val="-5"/>
          <w:sz w:val="24"/>
        </w:rPr>
        <w:t> </w:t>
      </w:r>
      <w:r>
        <w:rPr>
          <w:sz w:val="24"/>
        </w:rPr>
        <w:t>measurement</w:t>
      </w:r>
      <w:r>
        <w:rPr>
          <w:spacing w:val="-3"/>
          <w:sz w:val="24"/>
        </w:rPr>
        <w:t> </w:t>
      </w:r>
      <w:r>
        <w:rPr>
          <w:sz w:val="24"/>
        </w:rPr>
        <w:t>methods</w:t>
      </w:r>
      <w:r>
        <w:rPr>
          <w:spacing w:val="-4"/>
          <w:sz w:val="24"/>
        </w:rPr>
        <w:t> </w:t>
      </w:r>
      <w:r>
        <w:rPr>
          <w:sz w:val="24"/>
        </w:rPr>
        <w:t>listed</w:t>
      </w:r>
      <w:r>
        <w:rPr>
          <w:spacing w:val="-4"/>
          <w:sz w:val="24"/>
        </w:rPr>
        <w:t> </w:t>
      </w:r>
      <w:r>
        <w:rPr>
          <w:sz w:val="24"/>
        </w:rPr>
        <w:t>below,</w:t>
      </w:r>
      <w:r>
        <w:rPr>
          <w:spacing w:val="-3"/>
          <w:sz w:val="24"/>
        </w:rPr>
        <w:t> </w:t>
      </w:r>
      <w:r>
        <w:rPr>
          <w:sz w:val="24"/>
        </w:rPr>
        <w:t>as</w:t>
      </w:r>
      <w:r>
        <w:rPr>
          <w:spacing w:val="-4"/>
          <w:sz w:val="24"/>
        </w:rPr>
        <w:t> </w:t>
      </w:r>
      <w:r>
        <w:rPr>
          <w:sz w:val="24"/>
        </w:rPr>
        <w:t>performed</w:t>
      </w:r>
      <w:r>
        <w:rPr>
          <w:spacing w:val="-4"/>
          <w:sz w:val="24"/>
        </w:rPr>
        <w:t> </w:t>
      </w:r>
      <w:r>
        <w:rPr>
          <w:sz w:val="24"/>
        </w:rPr>
        <w:t>by</w:t>
      </w:r>
      <w:r>
        <w:rPr>
          <w:spacing w:val="-4"/>
          <w:sz w:val="24"/>
        </w:rPr>
        <w:t> </w:t>
      </w:r>
      <w:r>
        <w:rPr>
          <w:sz w:val="24"/>
        </w:rPr>
        <w:t>a</w:t>
      </w:r>
      <w:r>
        <w:rPr>
          <w:spacing w:val="-5"/>
          <w:sz w:val="24"/>
        </w:rPr>
        <w:t> </w:t>
      </w:r>
      <w:r>
        <w:rPr>
          <w:sz w:val="24"/>
        </w:rPr>
        <w:t>licensed audiologist as determined by the Department.</w:t>
      </w:r>
    </w:p>
    <w:p>
      <w:pPr>
        <w:pStyle w:val="ListParagraph"/>
        <w:numPr>
          <w:ilvl w:val="3"/>
          <w:numId w:val="117"/>
        </w:numPr>
        <w:tabs>
          <w:tab w:pos="2041" w:val="left" w:leader="none"/>
        </w:tabs>
        <w:spacing w:line="240" w:lineRule="auto" w:before="0" w:after="0"/>
        <w:ind w:left="1709" w:right="859" w:firstLine="0"/>
        <w:jc w:val="left"/>
        <w:rPr>
          <w:sz w:val="24"/>
        </w:rPr>
      </w:pPr>
      <w:r>
        <w:rPr>
          <w:sz w:val="24"/>
        </w:rPr>
        <w:t>The</w:t>
      </w:r>
      <w:r>
        <w:rPr>
          <w:spacing w:val="-2"/>
          <w:sz w:val="24"/>
        </w:rPr>
        <w:t> </w:t>
      </w:r>
      <w:r>
        <w:rPr>
          <w:sz w:val="24"/>
        </w:rPr>
        <w:t>case</w:t>
      </w:r>
      <w:r>
        <w:rPr>
          <w:spacing w:val="-2"/>
          <w:sz w:val="24"/>
        </w:rPr>
        <w:t> </w:t>
      </w:r>
      <w:r>
        <w:rPr>
          <w:sz w:val="24"/>
        </w:rPr>
        <w:t>record</w:t>
      </w:r>
      <w:r>
        <w:rPr>
          <w:spacing w:val="-2"/>
          <w:sz w:val="24"/>
        </w:rPr>
        <w:t> </w:t>
      </w:r>
      <w:r>
        <w:rPr>
          <w:sz w:val="24"/>
        </w:rPr>
        <w:t>must</w:t>
      </w:r>
      <w:r>
        <w:rPr>
          <w:spacing w:val="-1"/>
          <w:sz w:val="24"/>
        </w:rPr>
        <w:t> </w:t>
      </w:r>
      <w:r>
        <w:rPr>
          <w:sz w:val="24"/>
        </w:rPr>
        <w:t>document</w:t>
      </w:r>
      <w:r>
        <w:rPr>
          <w:spacing w:val="-1"/>
          <w:sz w:val="24"/>
        </w:rPr>
        <w:t> </w:t>
      </w:r>
      <w:r>
        <w:rPr>
          <w:sz w:val="24"/>
        </w:rPr>
        <w:t>the</w:t>
      </w:r>
      <w:r>
        <w:rPr>
          <w:spacing w:val="-2"/>
          <w:sz w:val="24"/>
        </w:rPr>
        <w:t> </w:t>
      </w:r>
      <w:r>
        <w:rPr>
          <w:sz w:val="24"/>
        </w:rPr>
        <w:t>method</w:t>
      </w:r>
      <w:r>
        <w:rPr>
          <w:spacing w:val="-2"/>
          <w:sz w:val="24"/>
        </w:rPr>
        <w:t> </w:t>
      </w:r>
      <w:r>
        <w:rPr>
          <w:sz w:val="24"/>
        </w:rPr>
        <w:t>chosen</w:t>
      </w:r>
      <w:r>
        <w:rPr>
          <w:spacing w:val="-2"/>
          <w:sz w:val="24"/>
        </w:rPr>
        <w:t> </w:t>
      </w:r>
      <w:r>
        <w:rPr>
          <w:sz w:val="24"/>
        </w:rPr>
        <w:t>provides</w:t>
      </w:r>
      <w:r>
        <w:rPr>
          <w:spacing w:val="-2"/>
          <w:sz w:val="24"/>
        </w:rPr>
        <w:t> </w:t>
      </w:r>
      <w:r>
        <w:rPr>
          <w:sz w:val="24"/>
        </w:rPr>
        <w:t>the</w:t>
      </w:r>
      <w:r>
        <w:rPr>
          <w:spacing w:val="-2"/>
          <w:sz w:val="24"/>
        </w:rPr>
        <w:t> </w:t>
      </w:r>
      <w:r>
        <w:rPr>
          <w:sz w:val="24"/>
        </w:rPr>
        <w:t>most accurate evaluation of functional hearing level for the individual. The licensed audiologist will do a Comprehensive Hearing Evaluation (CHE) with</w:t>
      </w:r>
      <w:r>
        <w:rPr>
          <w:spacing w:val="-4"/>
          <w:sz w:val="24"/>
        </w:rPr>
        <w:t> </w:t>
      </w:r>
      <w:r>
        <w:rPr>
          <w:sz w:val="24"/>
        </w:rPr>
        <w:t>written</w:t>
      </w:r>
      <w:r>
        <w:rPr>
          <w:spacing w:val="-4"/>
          <w:sz w:val="24"/>
        </w:rPr>
        <w:t> </w:t>
      </w:r>
      <w:r>
        <w:rPr>
          <w:sz w:val="24"/>
        </w:rPr>
        <w:t>recommendations</w:t>
      </w:r>
      <w:r>
        <w:rPr>
          <w:spacing w:val="-4"/>
          <w:sz w:val="24"/>
        </w:rPr>
        <w:t> </w:t>
      </w:r>
      <w:r>
        <w:rPr>
          <w:sz w:val="24"/>
        </w:rPr>
        <w:t>for</w:t>
      </w:r>
      <w:r>
        <w:rPr>
          <w:spacing w:val="-5"/>
          <w:sz w:val="24"/>
        </w:rPr>
        <w:t> </w:t>
      </w:r>
      <w:r>
        <w:rPr>
          <w:sz w:val="24"/>
        </w:rPr>
        <w:t>treatment.</w:t>
      </w:r>
      <w:r>
        <w:rPr>
          <w:spacing w:val="-5"/>
          <w:sz w:val="24"/>
        </w:rPr>
        <w:t> </w:t>
      </w:r>
      <w:r>
        <w:rPr>
          <w:sz w:val="24"/>
        </w:rPr>
        <w:t>The</w:t>
      </w:r>
      <w:r>
        <w:rPr>
          <w:spacing w:val="-4"/>
          <w:sz w:val="24"/>
        </w:rPr>
        <w:t> </w:t>
      </w:r>
      <w:r>
        <w:rPr>
          <w:sz w:val="24"/>
        </w:rPr>
        <w:t>CHE</w:t>
      </w:r>
      <w:r>
        <w:rPr>
          <w:spacing w:val="-4"/>
          <w:sz w:val="24"/>
        </w:rPr>
        <w:t> </w:t>
      </w:r>
      <w:r>
        <w:rPr>
          <w:sz w:val="24"/>
        </w:rPr>
        <w:t>will</w:t>
      </w:r>
      <w:r>
        <w:rPr>
          <w:spacing w:val="-4"/>
          <w:sz w:val="24"/>
        </w:rPr>
        <w:t> </w:t>
      </w:r>
      <w:r>
        <w:rPr>
          <w:sz w:val="24"/>
        </w:rPr>
        <w:t>include</w:t>
      </w:r>
      <w:r>
        <w:rPr>
          <w:spacing w:val="-4"/>
          <w:sz w:val="24"/>
        </w:rPr>
        <w:t> </w:t>
      </w:r>
      <w:r>
        <w:rPr>
          <w:sz w:val="24"/>
        </w:rPr>
        <w:t>the</w:t>
      </w:r>
      <w:r>
        <w:rPr>
          <w:spacing w:val="-4"/>
          <w:sz w:val="24"/>
        </w:rPr>
        <w:t> </w:t>
      </w:r>
      <w:r>
        <w:rPr>
          <w:sz w:val="24"/>
        </w:rPr>
        <w:t>type of hearing aids needed with a treatment plan to maintain the maximum rehabilitation for the hearing loss.</w:t>
      </w:r>
    </w:p>
    <w:p>
      <w:pPr>
        <w:pStyle w:val="ListParagraph"/>
        <w:numPr>
          <w:ilvl w:val="1"/>
          <w:numId w:val="117"/>
        </w:numPr>
        <w:tabs>
          <w:tab w:pos="1217" w:val="left" w:leader="none"/>
        </w:tabs>
        <w:spacing w:line="208" w:lineRule="auto" w:before="236" w:after="0"/>
        <w:ind w:left="791" w:right="986" w:firstLine="0"/>
        <w:jc w:val="left"/>
        <w:rPr>
          <w:sz w:val="24"/>
        </w:rPr>
      </w:pPr>
      <w:r>
        <w:rPr>
          <w:sz w:val="24"/>
        </w:rPr>
        <w:t>A CHE or recommendation for hearing aids and treatment from a Hearing Instrument</w:t>
      </w:r>
      <w:r>
        <w:rPr>
          <w:spacing w:val="-6"/>
          <w:sz w:val="24"/>
        </w:rPr>
        <w:t> </w:t>
      </w:r>
      <w:r>
        <w:rPr>
          <w:sz w:val="24"/>
        </w:rPr>
        <w:t>Specialist</w:t>
      </w:r>
      <w:r>
        <w:rPr>
          <w:spacing w:val="-3"/>
          <w:sz w:val="24"/>
        </w:rPr>
        <w:t> </w:t>
      </w:r>
      <w:r>
        <w:rPr>
          <w:sz w:val="24"/>
        </w:rPr>
        <w:t>(HIS)</w:t>
      </w:r>
      <w:r>
        <w:rPr>
          <w:spacing w:val="-3"/>
          <w:sz w:val="24"/>
        </w:rPr>
        <w:t> </w:t>
      </w:r>
      <w:r>
        <w:rPr>
          <w:sz w:val="24"/>
        </w:rPr>
        <w:t>is</w:t>
      </w:r>
      <w:r>
        <w:rPr>
          <w:spacing w:val="-4"/>
          <w:sz w:val="24"/>
        </w:rPr>
        <w:t> </w:t>
      </w:r>
      <w:r>
        <w:rPr>
          <w:sz w:val="24"/>
        </w:rPr>
        <w:t>not</w:t>
      </w:r>
      <w:r>
        <w:rPr>
          <w:spacing w:val="-5"/>
          <w:sz w:val="24"/>
        </w:rPr>
        <w:t> </w:t>
      </w:r>
      <w:r>
        <w:rPr>
          <w:sz w:val="24"/>
        </w:rPr>
        <w:t>acceptable</w:t>
      </w:r>
      <w:r>
        <w:rPr>
          <w:spacing w:val="-3"/>
          <w:sz w:val="24"/>
        </w:rPr>
        <w:t> </w:t>
      </w:r>
      <w:r>
        <w:rPr>
          <w:sz w:val="24"/>
        </w:rPr>
        <w:t>and</w:t>
      </w:r>
      <w:r>
        <w:rPr>
          <w:spacing w:val="-4"/>
          <w:sz w:val="24"/>
        </w:rPr>
        <w:t> </w:t>
      </w:r>
      <w:r>
        <w:rPr>
          <w:sz w:val="24"/>
        </w:rPr>
        <w:t>should</w:t>
      </w:r>
      <w:r>
        <w:rPr>
          <w:spacing w:val="-3"/>
          <w:sz w:val="24"/>
        </w:rPr>
        <w:t> </w:t>
      </w:r>
      <w:r>
        <w:rPr>
          <w:sz w:val="24"/>
        </w:rPr>
        <w:t>not</w:t>
      </w:r>
      <w:r>
        <w:rPr>
          <w:spacing w:val="-3"/>
          <w:sz w:val="24"/>
        </w:rPr>
        <w:t> </w:t>
      </w:r>
      <w:r>
        <w:rPr>
          <w:sz w:val="24"/>
        </w:rPr>
        <w:t>be</w:t>
      </w:r>
      <w:r>
        <w:rPr>
          <w:spacing w:val="-4"/>
          <w:sz w:val="24"/>
        </w:rPr>
        <w:t> </w:t>
      </w:r>
      <w:r>
        <w:rPr>
          <w:sz w:val="24"/>
        </w:rPr>
        <w:t>considered</w:t>
      </w:r>
      <w:r>
        <w:rPr>
          <w:spacing w:val="-4"/>
          <w:sz w:val="24"/>
        </w:rPr>
        <w:t> </w:t>
      </w:r>
      <w:r>
        <w:rPr>
          <w:sz w:val="24"/>
        </w:rPr>
        <w:t>by</w:t>
      </w:r>
      <w:r>
        <w:rPr>
          <w:spacing w:val="-4"/>
          <w:sz w:val="24"/>
        </w:rPr>
        <w:t> </w:t>
      </w:r>
      <w:r>
        <w:rPr>
          <w:sz w:val="24"/>
        </w:rPr>
        <w:t>the rehabilitation professional in addressing the rehabilitation needs.</w:t>
      </w:r>
    </w:p>
    <w:p>
      <w:pPr>
        <w:pStyle w:val="ListParagraph"/>
        <w:numPr>
          <w:ilvl w:val="2"/>
          <w:numId w:val="117"/>
        </w:numPr>
        <w:tabs>
          <w:tab w:pos="1676" w:val="left" w:leader="none"/>
        </w:tabs>
        <w:spacing w:line="208" w:lineRule="auto" w:before="240" w:after="0"/>
        <w:ind w:left="1223" w:right="861" w:firstLine="0"/>
        <w:jc w:val="left"/>
        <w:rPr>
          <w:sz w:val="24"/>
        </w:rPr>
      </w:pPr>
      <w:r>
        <w:rPr>
          <w:b/>
          <w:sz w:val="24"/>
        </w:rPr>
        <w:t>Eligibility</w:t>
      </w:r>
      <w:r>
        <w:rPr>
          <w:b/>
          <w:spacing w:val="-1"/>
          <w:sz w:val="24"/>
        </w:rPr>
        <w:t> </w:t>
      </w:r>
      <w:r>
        <w:rPr>
          <w:b/>
          <w:sz w:val="24"/>
        </w:rPr>
        <w:t>criteria.</w:t>
      </w:r>
      <w:r>
        <w:rPr>
          <w:b/>
          <w:spacing w:val="40"/>
          <w:sz w:val="24"/>
        </w:rPr>
        <w:t> </w:t>
      </w:r>
      <w:r>
        <w:rPr>
          <w:sz w:val="24"/>
        </w:rPr>
        <w:t>Eligibility</w:t>
      </w:r>
      <w:r>
        <w:rPr>
          <w:spacing w:val="-1"/>
          <w:sz w:val="24"/>
        </w:rPr>
        <w:t> </w:t>
      </w:r>
      <w:r>
        <w:rPr>
          <w:sz w:val="24"/>
        </w:rPr>
        <w:t>criteria</w:t>
      </w:r>
      <w:r>
        <w:rPr>
          <w:spacing w:val="-1"/>
          <w:sz w:val="24"/>
        </w:rPr>
        <w:t> </w:t>
      </w:r>
      <w:r>
        <w:rPr>
          <w:sz w:val="24"/>
        </w:rPr>
        <w:t>for</w:t>
      </w:r>
      <w:r>
        <w:rPr>
          <w:spacing w:val="-2"/>
          <w:sz w:val="24"/>
        </w:rPr>
        <w:t> </w:t>
      </w:r>
      <w:r>
        <w:rPr>
          <w:sz w:val="24"/>
        </w:rPr>
        <w:t>each</w:t>
      </w:r>
      <w:r>
        <w:rPr>
          <w:spacing w:val="-1"/>
          <w:sz w:val="24"/>
        </w:rPr>
        <w:t> </w:t>
      </w:r>
      <w:r>
        <w:rPr>
          <w:sz w:val="24"/>
        </w:rPr>
        <w:t>method</w:t>
      </w:r>
      <w:r>
        <w:rPr>
          <w:spacing w:val="-1"/>
          <w:sz w:val="24"/>
        </w:rPr>
        <w:t> </w:t>
      </w:r>
      <w:r>
        <w:rPr>
          <w:sz w:val="24"/>
        </w:rPr>
        <w:t>of measurement are listed in (i) through (iv)</w:t>
      </w:r>
      <w:r>
        <w:rPr>
          <w:spacing w:val="-1"/>
          <w:sz w:val="24"/>
        </w:rPr>
        <w:t> </w:t>
      </w:r>
      <w:r>
        <w:rPr>
          <w:sz w:val="24"/>
        </w:rPr>
        <w:t>of this Subsection. An individual will also be considered to</w:t>
      </w:r>
      <w:r>
        <w:rPr>
          <w:spacing w:val="-4"/>
          <w:sz w:val="24"/>
        </w:rPr>
        <w:t> </w:t>
      </w:r>
      <w:r>
        <w:rPr>
          <w:sz w:val="24"/>
        </w:rPr>
        <w:t>have</w:t>
      </w:r>
      <w:r>
        <w:rPr>
          <w:spacing w:val="-4"/>
          <w:sz w:val="24"/>
        </w:rPr>
        <w:t> </w:t>
      </w:r>
      <w:r>
        <w:rPr>
          <w:sz w:val="24"/>
        </w:rPr>
        <w:t>a</w:t>
      </w:r>
      <w:r>
        <w:rPr>
          <w:spacing w:val="-4"/>
          <w:sz w:val="24"/>
        </w:rPr>
        <w:t> </w:t>
      </w:r>
      <w:r>
        <w:rPr>
          <w:sz w:val="24"/>
        </w:rPr>
        <w:t>qualifying</w:t>
      </w:r>
      <w:r>
        <w:rPr>
          <w:spacing w:val="-4"/>
          <w:sz w:val="24"/>
        </w:rPr>
        <w:t> </w:t>
      </w:r>
      <w:r>
        <w:rPr>
          <w:sz w:val="24"/>
        </w:rPr>
        <w:t>disability</w:t>
      </w:r>
      <w:r>
        <w:rPr>
          <w:spacing w:val="-4"/>
          <w:sz w:val="24"/>
        </w:rPr>
        <w:t> </w:t>
      </w:r>
      <w:r>
        <w:rPr>
          <w:sz w:val="24"/>
        </w:rPr>
        <w:t>when</w:t>
      </w:r>
      <w:r>
        <w:rPr>
          <w:spacing w:val="-4"/>
          <w:sz w:val="24"/>
        </w:rPr>
        <w:t> </w:t>
      </w:r>
      <w:r>
        <w:rPr>
          <w:sz w:val="24"/>
        </w:rPr>
        <w:t>documentation</w:t>
      </w:r>
      <w:r>
        <w:rPr>
          <w:spacing w:val="-4"/>
          <w:sz w:val="24"/>
        </w:rPr>
        <w:t> </w:t>
      </w:r>
      <w:r>
        <w:rPr>
          <w:sz w:val="24"/>
        </w:rPr>
        <w:t>indicates</w:t>
      </w:r>
      <w:r>
        <w:rPr>
          <w:spacing w:val="-4"/>
          <w:sz w:val="24"/>
        </w:rPr>
        <w:t> </w:t>
      </w:r>
      <w:r>
        <w:rPr>
          <w:sz w:val="24"/>
        </w:rPr>
        <w:t>the</w:t>
      </w:r>
      <w:r>
        <w:rPr>
          <w:spacing w:val="-4"/>
          <w:sz w:val="24"/>
        </w:rPr>
        <w:t> </w:t>
      </w:r>
      <w:r>
        <w:rPr>
          <w:sz w:val="24"/>
        </w:rPr>
        <w:t>hearing</w:t>
      </w:r>
      <w:r>
        <w:rPr>
          <w:spacing w:val="-4"/>
          <w:sz w:val="24"/>
        </w:rPr>
        <w:t> </w:t>
      </w:r>
      <w:r>
        <w:rPr>
          <w:sz w:val="24"/>
        </w:rPr>
        <w:t>loss</w:t>
      </w:r>
      <w:r>
        <w:rPr>
          <w:spacing w:val="-3"/>
          <w:sz w:val="24"/>
        </w:rPr>
        <w:t> </w:t>
      </w:r>
      <w:r>
        <w:rPr>
          <w:sz w:val="24"/>
        </w:rPr>
        <w:t>is progressive and the progression is substantial enough to result in an impediment to employment.</w:t>
      </w:r>
    </w:p>
    <w:p>
      <w:pPr>
        <w:pStyle w:val="ListParagraph"/>
        <w:numPr>
          <w:ilvl w:val="3"/>
          <w:numId w:val="117"/>
        </w:numPr>
        <w:tabs>
          <w:tab w:pos="2000" w:val="left" w:leader="none"/>
        </w:tabs>
        <w:spacing w:line="208" w:lineRule="auto" w:before="239" w:after="0"/>
        <w:ind w:left="1655" w:right="978" w:firstLine="0"/>
        <w:jc w:val="left"/>
        <w:rPr>
          <w:sz w:val="24"/>
        </w:rPr>
      </w:pPr>
      <w:r>
        <w:rPr>
          <w:b/>
          <w:sz w:val="24"/>
        </w:rPr>
        <w:t>Average</w:t>
      </w:r>
      <w:r>
        <w:rPr>
          <w:b/>
          <w:spacing w:val="-4"/>
          <w:sz w:val="24"/>
        </w:rPr>
        <w:t> </w:t>
      </w:r>
      <w:r>
        <w:rPr>
          <w:b/>
          <w:sz w:val="24"/>
        </w:rPr>
        <w:t>hearing</w:t>
      </w:r>
      <w:r>
        <w:rPr>
          <w:b/>
          <w:spacing w:val="-4"/>
          <w:sz w:val="24"/>
        </w:rPr>
        <w:t> </w:t>
      </w:r>
      <w:r>
        <w:rPr>
          <w:b/>
          <w:sz w:val="24"/>
        </w:rPr>
        <w:t>loss.</w:t>
      </w:r>
      <w:r>
        <w:rPr>
          <w:b/>
          <w:spacing w:val="40"/>
          <w:sz w:val="24"/>
        </w:rPr>
        <w:t> </w:t>
      </w:r>
      <w:r>
        <w:rPr>
          <w:sz w:val="24"/>
        </w:rPr>
        <w:t>Average</w:t>
      </w:r>
      <w:r>
        <w:rPr>
          <w:spacing w:val="-4"/>
          <w:sz w:val="24"/>
        </w:rPr>
        <w:t> </w:t>
      </w:r>
      <w:r>
        <w:rPr>
          <w:sz w:val="24"/>
        </w:rPr>
        <w:t>hearing</w:t>
      </w:r>
      <w:r>
        <w:rPr>
          <w:spacing w:val="-4"/>
          <w:sz w:val="24"/>
        </w:rPr>
        <w:t> </w:t>
      </w:r>
      <w:r>
        <w:rPr>
          <w:sz w:val="24"/>
        </w:rPr>
        <w:t>loss,</w:t>
      </w:r>
      <w:r>
        <w:rPr>
          <w:spacing w:val="-3"/>
          <w:sz w:val="24"/>
        </w:rPr>
        <w:t> </w:t>
      </w:r>
      <w:r>
        <w:rPr>
          <w:sz w:val="24"/>
        </w:rPr>
        <w:t>which</w:t>
      </w:r>
      <w:r>
        <w:rPr>
          <w:spacing w:val="-4"/>
          <w:sz w:val="24"/>
        </w:rPr>
        <w:t> </w:t>
      </w:r>
      <w:r>
        <w:rPr>
          <w:sz w:val="24"/>
        </w:rPr>
        <w:t>is</w:t>
      </w:r>
      <w:r>
        <w:rPr>
          <w:spacing w:val="-4"/>
          <w:sz w:val="24"/>
        </w:rPr>
        <w:t> </w:t>
      </w:r>
      <w:r>
        <w:rPr>
          <w:sz w:val="24"/>
        </w:rPr>
        <w:t>determined</w:t>
      </w:r>
      <w:r>
        <w:rPr>
          <w:spacing w:val="-4"/>
          <w:sz w:val="24"/>
        </w:rPr>
        <w:t> </w:t>
      </w:r>
      <w:r>
        <w:rPr>
          <w:sz w:val="24"/>
        </w:rPr>
        <w:t>by computing average of the pure tone thresholds for each ear at 1000Hz, 2000Hz, 3000Hz and 4000Hz. An individual is considered to have a qualifying disability based upon average hearing loss when:</w:t>
      </w:r>
    </w:p>
    <w:p>
      <w:pPr>
        <w:pStyle w:val="ListParagraph"/>
        <w:numPr>
          <w:ilvl w:val="4"/>
          <w:numId w:val="117"/>
        </w:numPr>
        <w:tabs>
          <w:tab w:pos="2446" w:val="left" w:leader="none"/>
        </w:tabs>
        <w:spacing w:line="208" w:lineRule="auto" w:before="240" w:after="0"/>
        <w:ind w:left="2087" w:right="998" w:firstLine="0"/>
        <w:jc w:val="left"/>
        <w:rPr>
          <w:sz w:val="24"/>
        </w:rPr>
      </w:pPr>
      <w:r>
        <w:rPr>
          <w:sz w:val="24"/>
        </w:rPr>
        <w:t>The</w:t>
      </w:r>
      <w:r>
        <w:rPr>
          <w:spacing w:val="-3"/>
          <w:sz w:val="24"/>
        </w:rPr>
        <w:t> </w:t>
      </w:r>
      <w:r>
        <w:rPr>
          <w:sz w:val="24"/>
        </w:rPr>
        <w:t>hearing</w:t>
      </w:r>
      <w:r>
        <w:rPr>
          <w:spacing w:val="-3"/>
          <w:sz w:val="24"/>
        </w:rPr>
        <w:t> </w:t>
      </w:r>
      <w:r>
        <w:rPr>
          <w:sz w:val="24"/>
        </w:rPr>
        <w:t>loss</w:t>
      </w:r>
      <w:r>
        <w:rPr>
          <w:spacing w:val="-3"/>
          <w:sz w:val="24"/>
        </w:rPr>
        <w:t> </w:t>
      </w:r>
      <w:r>
        <w:rPr>
          <w:sz w:val="24"/>
        </w:rPr>
        <w:t>in</w:t>
      </w:r>
      <w:r>
        <w:rPr>
          <w:spacing w:val="-3"/>
          <w:sz w:val="24"/>
        </w:rPr>
        <w:t> </w:t>
      </w:r>
      <w:r>
        <w:rPr>
          <w:sz w:val="24"/>
        </w:rPr>
        <w:t>one</w:t>
      </w:r>
      <w:r>
        <w:rPr>
          <w:spacing w:val="-3"/>
          <w:sz w:val="24"/>
        </w:rPr>
        <w:t> </w:t>
      </w:r>
      <w:r>
        <w:rPr>
          <w:sz w:val="24"/>
        </w:rPr>
        <w:t>ear</w:t>
      </w:r>
      <w:r>
        <w:rPr>
          <w:spacing w:val="-2"/>
          <w:sz w:val="24"/>
        </w:rPr>
        <w:t> </w:t>
      </w:r>
      <w:r>
        <w:rPr>
          <w:sz w:val="24"/>
        </w:rPr>
        <w:t>is</w:t>
      </w:r>
      <w:r>
        <w:rPr>
          <w:spacing w:val="-3"/>
          <w:sz w:val="24"/>
        </w:rPr>
        <w:t> </w:t>
      </w:r>
      <w:r>
        <w:rPr>
          <w:sz w:val="24"/>
        </w:rPr>
        <w:t>profound</w:t>
      </w:r>
      <w:r>
        <w:rPr>
          <w:spacing w:val="-3"/>
          <w:sz w:val="24"/>
        </w:rPr>
        <w:t> </w:t>
      </w:r>
      <w:r>
        <w:rPr>
          <w:sz w:val="24"/>
        </w:rPr>
        <w:t>(91</w:t>
      </w:r>
      <w:r>
        <w:rPr>
          <w:spacing w:val="-3"/>
          <w:sz w:val="24"/>
        </w:rPr>
        <w:t> </w:t>
      </w:r>
      <w:r>
        <w:rPr>
          <w:sz w:val="24"/>
        </w:rPr>
        <w:t>dB</w:t>
      </w:r>
      <w:r>
        <w:rPr>
          <w:spacing w:val="-3"/>
          <w:sz w:val="24"/>
        </w:rPr>
        <w:t> </w:t>
      </w:r>
      <w:r>
        <w:rPr>
          <w:sz w:val="24"/>
        </w:rPr>
        <w:t>or</w:t>
      </w:r>
      <w:r>
        <w:rPr>
          <w:spacing w:val="-2"/>
          <w:sz w:val="24"/>
        </w:rPr>
        <w:t> </w:t>
      </w:r>
      <w:r>
        <w:rPr>
          <w:sz w:val="24"/>
        </w:rPr>
        <w:t>greater)</w:t>
      </w:r>
      <w:r>
        <w:rPr>
          <w:spacing w:val="-2"/>
          <w:sz w:val="24"/>
        </w:rPr>
        <w:t> </w:t>
      </w:r>
      <w:r>
        <w:rPr>
          <w:sz w:val="24"/>
        </w:rPr>
        <w:t>and</w:t>
      </w:r>
      <w:r>
        <w:rPr>
          <w:spacing w:val="-4"/>
          <w:sz w:val="24"/>
        </w:rPr>
        <w:t> </w:t>
      </w:r>
      <w:r>
        <w:rPr>
          <w:sz w:val="24"/>
        </w:rPr>
        <w:t>the hearing loss in the better ear is at least 15 dB; or</w:t>
      </w:r>
    </w:p>
    <w:p>
      <w:pPr>
        <w:pStyle w:val="ListParagraph"/>
        <w:numPr>
          <w:ilvl w:val="4"/>
          <w:numId w:val="117"/>
        </w:numPr>
        <w:tabs>
          <w:tab w:pos="2512" w:val="left" w:leader="none"/>
        </w:tabs>
        <w:spacing w:line="240" w:lineRule="auto" w:before="210" w:after="0"/>
        <w:ind w:left="2512" w:right="0" w:hanging="425"/>
        <w:jc w:val="left"/>
        <w:rPr>
          <w:sz w:val="24"/>
        </w:rPr>
      </w:pPr>
      <w:r>
        <w:rPr>
          <w:sz w:val="24"/>
        </w:rPr>
        <w:t>The</w:t>
      </w:r>
      <w:r>
        <w:rPr>
          <w:spacing w:val="-2"/>
          <w:sz w:val="24"/>
        </w:rPr>
        <w:t> </w:t>
      </w:r>
      <w:r>
        <w:rPr>
          <w:sz w:val="24"/>
        </w:rPr>
        <w:t>hearing</w:t>
      </w:r>
      <w:r>
        <w:rPr>
          <w:spacing w:val="-2"/>
          <w:sz w:val="24"/>
        </w:rPr>
        <w:t> </w:t>
      </w:r>
      <w:r>
        <w:rPr>
          <w:sz w:val="24"/>
        </w:rPr>
        <w:t>loss</w:t>
      </w:r>
      <w:r>
        <w:rPr>
          <w:spacing w:val="-2"/>
          <w:sz w:val="24"/>
        </w:rPr>
        <w:t> </w:t>
      </w:r>
      <w:r>
        <w:rPr>
          <w:sz w:val="24"/>
        </w:rPr>
        <w:t>in</w:t>
      </w:r>
      <w:r>
        <w:rPr>
          <w:spacing w:val="-2"/>
          <w:sz w:val="24"/>
        </w:rPr>
        <w:t> </w:t>
      </w:r>
      <w:r>
        <w:rPr>
          <w:sz w:val="24"/>
        </w:rPr>
        <w:t>the</w:t>
      </w:r>
      <w:r>
        <w:rPr>
          <w:spacing w:val="-2"/>
          <w:sz w:val="24"/>
        </w:rPr>
        <w:t> </w:t>
      </w:r>
      <w:r>
        <w:rPr>
          <w:sz w:val="24"/>
        </w:rPr>
        <w:t>better</w:t>
      </w:r>
      <w:r>
        <w:rPr>
          <w:spacing w:val="-2"/>
          <w:sz w:val="24"/>
        </w:rPr>
        <w:t> </w:t>
      </w:r>
      <w:r>
        <w:rPr>
          <w:sz w:val="24"/>
        </w:rPr>
        <w:t>ear</w:t>
      </w:r>
      <w:r>
        <w:rPr>
          <w:spacing w:val="-1"/>
          <w:sz w:val="24"/>
        </w:rPr>
        <w:t> </w:t>
      </w:r>
      <w:r>
        <w:rPr>
          <w:sz w:val="24"/>
        </w:rPr>
        <w:t>is</w:t>
      </w:r>
      <w:r>
        <w:rPr>
          <w:spacing w:val="-2"/>
          <w:sz w:val="24"/>
        </w:rPr>
        <w:t> </w:t>
      </w:r>
      <w:r>
        <w:rPr>
          <w:sz w:val="24"/>
        </w:rPr>
        <w:t>30</w:t>
      </w:r>
      <w:r>
        <w:rPr>
          <w:spacing w:val="-2"/>
          <w:sz w:val="24"/>
        </w:rPr>
        <w:t> </w:t>
      </w:r>
      <w:r>
        <w:rPr>
          <w:sz w:val="24"/>
        </w:rPr>
        <w:t>dB</w:t>
      </w:r>
      <w:r>
        <w:rPr>
          <w:spacing w:val="-2"/>
          <w:sz w:val="24"/>
        </w:rPr>
        <w:t> </w:t>
      </w:r>
      <w:r>
        <w:rPr>
          <w:sz w:val="24"/>
        </w:rPr>
        <w:t>or </w:t>
      </w:r>
      <w:r>
        <w:rPr>
          <w:spacing w:val="-2"/>
          <w:sz w:val="24"/>
        </w:rPr>
        <w:t>greater.</w:t>
      </w:r>
    </w:p>
    <w:p>
      <w:pPr>
        <w:pStyle w:val="ListParagraph"/>
        <w:numPr>
          <w:ilvl w:val="3"/>
          <w:numId w:val="117"/>
        </w:numPr>
        <w:tabs>
          <w:tab w:pos="2053" w:val="left" w:leader="none"/>
        </w:tabs>
        <w:spacing w:line="208" w:lineRule="auto" w:before="234" w:after="0"/>
        <w:ind w:left="1655" w:right="899" w:firstLine="0"/>
        <w:jc w:val="left"/>
        <w:rPr>
          <w:sz w:val="24"/>
        </w:rPr>
      </w:pPr>
      <w:r>
        <w:rPr>
          <w:b/>
          <w:sz w:val="24"/>
        </w:rPr>
        <w:t>Speech recognition threshold (SRT).</w:t>
      </w:r>
      <w:r>
        <w:rPr>
          <w:b/>
          <w:spacing w:val="40"/>
          <w:sz w:val="24"/>
        </w:rPr>
        <w:t> </w:t>
      </w:r>
      <w:r>
        <w:rPr>
          <w:sz w:val="24"/>
        </w:rPr>
        <w:t>An individual is considered to have a qualifying disability when a consultation is conducted with a Qualified</w:t>
      </w:r>
      <w:r>
        <w:rPr>
          <w:spacing w:val="-5"/>
          <w:sz w:val="24"/>
        </w:rPr>
        <w:t> </w:t>
      </w:r>
      <w:r>
        <w:rPr>
          <w:sz w:val="24"/>
        </w:rPr>
        <w:t>Rehabilitation</w:t>
      </w:r>
      <w:r>
        <w:rPr>
          <w:spacing w:val="-5"/>
          <w:sz w:val="24"/>
        </w:rPr>
        <w:t> </w:t>
      </w:r>
      <w:r>
        <w:rPr>
          <w:sz w:val="24"/>
        </w:rPr>
        <w:t>Counselor</w:t>
      </w:r>
      <w:r>
        <w:rPr>
          <w:spacing w:val="-4"/>
          <w:sz w:val="24"/>
        </w:rPr>
        <w:t> </w:t>
      </w:r>
      <w:r>
        <w:rPr>
          <w:sz w:val="24"/>
        </w:rPr>
        <w:t>for</w:t>
      </w:r>
      <w:r>
        <w:rPr>
          <w:spacing w:val="-5"/>
          <w:sz w:val="24"/>
        </w:rPr>
        <w:t> </w:t>
      </w:r>
      <w:r>
        <w:rPr>
          <w:sz w:val="24"/>
        </w:rPr>
        <w:t>the</w:t>
      </w:r>
      <w:r>
        <w:rPr>
          <w:spacing w:val="-5"/>
          <w:sz w:val="24"/>
        </w:rPr>
        <w:t> </w:t>
      </w:r>
      <w:r>
        <w:rPr>
          <w:sz w:val="24"/>
        </w:rPr>
        <w:t>Deaf</w:t>
      </w:r>
      <w:r>
        <w:rPr>
          <w:spacing w:val="-4"/>
          <w:sz w:val="24"/>
        </w:rPr>
        <w:t> </w:t>
      </w:r>
      <w:r>
        <w:rPr>
          <w:sz w:val="24"/>
        </w:rPr>
        <w:t>(RCD)</w:t>
      </w:r>
      <w:r>
        <w:rPr>
          <w:spacing w:val="-4"/>
          <w:sz w:val="24"/>
        </w:rPr>
        <w:t> </w:t>
      </w:r>
      <w:r>
        <w:rPr>
          <w:sz w:val="24"/>
        </w:rPr>
        <w:t>and</w:t>
      </w:r>
      <w:r>
        <w:rPr>
          <w:spacing w:val="-5"/>
          <w:sz w:val="24"/>
        </w:rPr>
        <w:t> </w:t>
      </w:r>
      <w:r>
        <w:rPr>
          <w:sz w:val="24"/>
        </w:rPr>
        <w:t>upon</w:t>
      </w:r>
      <w:r>
        <w:rPr>
          <w:spacing w:val="-5"/>
          <w:sz w:val="24"/>
        </w:rPr>
        <w:t> </w:t>
      </w:r>
      <w:r>
        <w:rPr>
          <w:sz w:val="24"/>
        </w:rPr>
        <w:t>Review</w:t>
      </w:r>
      <w:r>
        <w:rPr>
          <w:spacing w:val="-5"/>
          <w:sz w:val="24"/>
        </w:rPr>
        <w:t> </w:t>
      </w:r>
      <w:r>
        <w:rPr>
          <w:sz w:val="24"/>
        </w:rPr>
        <w:t>of the RCD based on the Speech reception threshold.</w:t>
      </w:r>
    </w:p>
    <w:p>
      <w:pPr>
        <w:pStyle w:val="ListParagraph"/>
        <w:numPr>
          <w:ilvl w:val="3"/>
          <w:numId w:val="117"/>
        </w:numPr>
        <w:tabs>
          <w:tab w:pos="2107" w:val="left" w:leader="none"/>
        </w:tabs>
        <w:spacing w:line="208" w:lineRule="auto" w:before="239" w:after="0"/>
        <w:ind w:left="1656" w:right="792" w:firstLine="0"/>
        <w:jc w:val="left"/>
        <w:rPr>
          <w:sz w:val="24"/>
        </w:rPr>
      </w:pPr>
      <w:r>
        <w:rPr>
          <w:b/>
          <w:sz w:val="24"/>
        </w:rPr>
        <w:t>Speech discrimination or word recognition score.</w:t>
      </w:r>
      <w:r>
        <w:rPr>
          <w:b/>
          <w:spacing w:val="40"/>
          <w:sz w:val="24"/>
        </w:rPr>
        <w:t> </w:t>
      </w:r>
      <w:r>
        <w:rPr>
          <w:sz w:val="24"/>
        </w:rPr>
        <w:t>An individual is considered</w:t>
      </w:r>
      <w:r>
        <w:rPr>
          <w:spacing w:val="-3"/>
          <w:sz w:val="24"/>
        </w:rPr>
        <w:t> </w:t>
      </w:r>
      <w:r>
        <w:rPr>
          <w:sz w:val="24"/>
        </w:rPr>
        <w:t>to</w:t>
      </w:r>
      <w:r>
        <w:rPr>
          <w:spacing w:val="-4"/>
          <w:sz w:val="24"/>
        </w:rPr>
        <w:t> </w:t>
      </w:r>
      <w:r>
        <w:rPr>
          <w:sz w:val="24"/>
        </w:rPr>
        <w:t>have</w:t>
      </w:r>
      <w:r>
        <w:rPr>
          <w:spacing w:val="-4"/>
          <w:sz w:val="24"/>
        </w:rPr>
        <w:t> </w:t>
      </w:r>
      <w:r>
        <w:rPr>
          <w:sz w:val="24"/>
        </w:rPr>
        <w:t>a</w:t>
      </w:r>
      <w:r>
        <w:rPr>
          <w:spacing w:val="-5"/>
          <w:sz w:val="24"/>
        </w:rPr>
        <w:t> </w:t>
      </w:r>
      <w:r>
        <w:rPr>
          <w:sz w:val="24"/>
        </w:rPr>
        <w:t>qualifying</w:t>
      </w:r>
      <w:r>
        <w:rPr>
          <w:spacing w:val="-4"/>
          <w:sz w:val="24"/>
        </w:rPr>
        <w:t> </w:t>
      </w:r>
      <w:r>
        <w:rPr>
          <w:sz w:val="24"/>
        </w:rPr>
        <w:t>disability</w:t>
      </w:r>
      <w:r>
        <w:rPr>
          <w:spacing w:val="-4"/>
          <w:sz w:val="24"/>
        </w:rPr>
        <w:t> </w:t>
      </w:r>
      <w:r>
        <w:rPr>
          <w:sz w:val="24"/>
        </w:rPr>
        <w:t>when</w:t>
      </w:r>
      <w:r>
        <w:rPr>
          <w:spacing w:val="-4"/>
          <w:sz w:val="24"/>
        </w:rPr>
        <w:t> </w:t>
      </w:r>
      <w:r>
        <w:rPr>
          <w:sz w:val="24"/>
        </w:rPr>
        <w:t>the</w:t>
      </w:r>
      <w:r>
        <w:rPr>
          <w:spacing w:val="-4"/>
          <w:sz w:val="24"/>
        </w:rPr>
        <w:t> </w:t>
      </w:r>
      <w:r>
        <w:rPr>
          <w:sz w:val="24"/>
        </w:rPr>
        <w:t>speech</w:t>
      </w:r>
      <w:r>
        <w:rPr>
          <w:spacing w:val="-4"/>
          <w:sz w:val="24"/>
        </w:rPr>
        <w:t> </w:t>
      </w:r>
      <w:r>
        <w:rPr>
          <w:sz w:val="24"/>
        </w:rPr>
        <w:t>discrimination</w:t>
      </w:r>
      <w:r>
        <w:rPr>
          <w:spacing w:val="-4"/>
          <w:sz w:val="24"/>
        </w:rPr>
        <w:t> </w:t>
      </w:r>
      <w:r>
        <w:rPr>
          <w:sz w:val="24"/>
        </w:rPr>
        <w:t>or word recognition score is 70% or less, upon review by a RCD.</w:t>
      </w:r>
    </w:p>
    <w:p>
      <w:pPr>
        <w:pStyle w:val="ListParagraph"/>
        <w:numPr>
          <w:ilvl w:val="3"/>
          <w:numId w:val="117"/>
        </w:numPr>
        <w:tabs>
          <w:tab w:pos="2121" w:val="left" w:leader="none"/>
        </w:tabs>
        <w:spacing w:line="208" w:lineRule="auto" w:before="240" w:after="0"/>
        <w:ind w:left="1656" w:right="1059" w:firstLine="0"/>
        <w:jc w:val="left"/>
        <w:rPr>
          <w:sz w:val="24"/>
        </w:rPr>
      </w:pPr>
      <w:r>
        <w:rPr>
          <w:b/>
          <w:sz w:val="24"/>
        </w:rPr>
        <w:t>Articulation index.</w:t>
      </w:r>
      <w:r>
        <w:rPr>
          <w:b/>
          <w:spacing w:val="40"/>
          <w:sz w:val="24"/>
        </w:rPr>
        <w:t> </w:t>
      </w:r>
      <w:r>
        <w:rPr>
          <w:sz w:val="24"/>
        </w:rPr>
        <w:t>An individual is considered to have a qualifying disability</w:t>
      </w:r>
      <w:r>
        <w:rPr>
          <w:spacing w:val="-4"/>
          <w:sz w:val="24"/>
        </w:rPr>
        <w:t> </w:t>
      </w:r>
      <w:r>
        <w:rPr>
          <w:sz w:val="24"/>
        </w:rPr>
        <w:t>when</w:t>
      </w:r>
      <w:r>
        <w:rPr>
          <w:spacing w:val="-4"/>
          <w:sz w:val="24"/>
        </w:rPr>
        <w:t> </w:t>
      </w:r>
      <w:r>
        <w:rPr>
          <w:sz w:val="24"/>
        </w:rPr>
        <w:t>the</w:t>
      </w:r>
      <w:r>
        <w:rPr>
          <w:spacing w:val="-4"/>
          <w:sz w:val="24"/>
        </w:rPr>
        <w:t> </w:t>
      </w:r>
      <w:r>
        <w:rPr>
          <w:sz w:val="24"/>
        </w:rPr>
        <w:t>articulation</w:t>
      </w:r>
      <w:r>
        <w:rPr>
          <w:spacing w:val="-4"/>
          <w:sz w:val="24"/>
        </w:rPr>
        <w:t> </w:t>
      </w:r>
      <w:r>
        <w:rPr>
          <w:sz w:val="24"/>
        </w:rPr>
        <w:t>index</w:t>
      </w:r>
      <w:r>
        <w:rPr>
          <w:spacing w:val="-4"/>
          <w:sz w:val="24"/>
        </w:rPr>
        <w:t> </w:t>
      </w:r>
      <w:r>
        <w:rPr>
          <w:sz w:val="24"/>
        </w:rPr>
        <w:t>is</w:t>
      </w:r>
      <w:r>
        <w:rPr>
          <w:spacing w:val="-4"/>
          <w:sz w:val="24"/>
        </w:rPr>
        <w:t> </w:t>
      </w:r>
      <w:r>
        <w:rPr>
          <w:sz w:val="24"/>
        </w:rPr>
        <w:t>70%</w:t>
      </w:r>
      <w:r>
        <w:rPr>
          <w:spacing w:val="-4"/>
          <w:sz w:val="24"/>
        </w:rPr>
        <w:t> </w:t>
      </w:r>
      <w:r>
        <w:rPr>
          <w:sz w:val="24"/>
        </w:rPr>
        <w:t>or</w:t>
      </w:r>
      <w:r>
        <w:rPr>
          <w:spacing w:val="-3"/>
          <w:sz w:val="24"/>
        </w:rPr>
        <w:t> </w:t>
      </w:r>
      <w:r>
        <w:rPr>
          <w:sz w:val="24"/>
        </w:rPr>
        <w:t>less</w:t>
      </w:r>
      <w:r>
        <w:rPr>
          <w:spacing w:val="-4"/>
          <w:sz w:val="24"/>
        </w:rPr>
        <w:t> </w:t>
      </w:r>
      <w:r>
        <w:rPr>
          <w:sz w:val="24"/>
        </w:rPr>
        <w:t>upon</w:t>
      </w:r>
      <w:r>
        <w:rPr>
          <w:spacing w:val="-4"/>
          <w:sz w:val="24"/>
        </w:rPr>
        <w:t> </w:t>
      </w:r>
      <w:r>
        <w:rPr>
          <w:sz w:val="24"/>
        </w:rPr>
        <w:t>review</w:t>
      </w:r>
      <w:r>
        <w:rPr>
          <w:spacing w:val="-4"/>
          <w:sz w:val="24"/>
        </w:rPr>
        <w:t> </w:t>
      </w:r>
      <w:r>
        <w:rPr>
          <w:sz w:val="24"/>
        </w:rPr>
        <w:t>by</w:t>
      </w:r>
      <w:r>
        <w:rPr>
          <w:spacing w:val="-4"/>
          <w:sz w:val="24"/>
        </w:rPr>
        <w:t> </w:t>
      </w:r>
      <w:r>
        <w:rPr>
          <w:sz w:val="24"/>
        </w:rPr>
        <w:t>RCD.</w:t>
      </w:r>
    </w:p>
    <w:p>
      <w:pPr>
        <w:pStyle w:val="ListParagraph"/>
        <w:numPr>
          <w:ilvl w:val="3"/>
          <w:numId w:val="117"/>
        </w:numPr>
        <w:tabs>
          <w:tab w:pos="2069" w:val="left" w:leader="none"/>
        </w:tabs>
        <w:spacing w:line="208" w:lineRule="auto" w:before="240" w:after="0"/>
        <w:ind w:left="1656" w:right="898" w:firstLine="0"/>
        <w:jc w:val="left"/>
        <w:rPr>
          <w:sz w:val="24"/>
        </w:rPr>
      </w:pPr>
      <w:r>
        <w:rPr>
          <w:b/>
          <w:sz w:val="24"/>
        </w:rPr>
        <w:t>Only a licensed audiologist can determine the speech discrimination or word recognition and articulation index score. </w:t>
      </w:r>
      <w:r>
        <w:rPr>
          <w:sz w:val="24"/>
        </w:rPr>
        <w:t>The Vocational</w:t>
      </w:r>
      <w:r>
        <w:rPr>
          <w:spacing w:val="-5"/>
          <w:sz w:val="24"/>
        </w:rPr>
        <w:t> </w:t>
      </w:r>
      <w:r>
        <w:rPr>
          <w:sz w:val="24"/>
        </w:rPr>
        <w:t>Rehabilitation</w:t>
      </w:r>
      <w:r>
        <w:rPr>
          <w:spacing w:val="-6"/>
          <w:sz w:val="24"/>
        </w:rPr>
        <w:t> </w:t>
      </w:r>
      <w:r>
        <w:rPr>
          <w:sz w:val="24"/>
        </w:rPr>
        <w:t>Counselor</w:t>
      </w:r>
      <w:r>
        <w:rPr>
          <w:spacing w:val="-5"/>
          <w:sz w:val="24"/>
        </w:rPr>
        <w:t> </w:t>
      </w:r>
      <w:r>
        <w:rPr>
          <w:sz w:val="24"/>
        </w:rPr>
        <w:t>will</w:t>
      </w:r>
      <w:r>
        <w:rPr>
          <w:spacing w:val="-6"/>
          <w:sz w:val="24"/>
        </w:rPr>
        <w:t> </w:t>
      </w:r>
      <w:r>
        <w:rPr>
          <w:sz w:val="24"/>
        </w:rPr>
        <w:t>utilize</w:t>
      </w:r>
      <w:r>
        <w:rPr>
          <w:spacing w:val="-6"/>
          <w:sz w:val="24"/>
        </w:rPr>
        <w:t> </w:t>
      </w:r>
      <w:r>
        <w:rPr>
          <w:sz w:val="24"/>
        </w:rPr>
        <w:t>these</w:t>
      </w:r>
      <w:r>
        <w:rPr>
          <w:spacing w:val="-6"/>
          <w:sz w:val="24"/>
        </w:rPr>
        <w:t> </w:t>
      </w:r>
      <w:r>
        <w:rPr>
          <w:sz w:val="24"/>
        </w:rPr>
        <w:t>scores</w:t>
      </w:r>
      <w:r>
        <w:rPr>
          <w:spacing w:val="-6"/>
          <w:sz w:val="24"/>
        </w:rPr>
        <w:t> </w:t>
      </w:r>
      <w:r>
        <w:rPr>
          <w:sz w:val="24"/>
        </w:rPr>
        <w:t>in</w:t>
      </w:r>
      <w:r>
        <w:rPr>
          <w:spacing w:val="-6"/>
          <w:sz w:val="24"/>
        </w:rPr>
        <w:t> </w:t>
      </w:r>
      <w:r>
        <w:rPr>
          <w:sz w:val="24"/>
        </w:rPr>
        <w:t>determining eligibility and identification of the functional barriers to employment.</w:t>
      </w:r>
    </w:p>
    <w:p>
      <w:pPr>
        <w:pStyle w:val="ListParagraph"/>
        <w:numPr>
          <w:ilvl w:val="4"/>
          <w:numId w:val="117"/>
        </w:numPr>
        <w:tabs>
          <w:tab w:pos="2519" w:val="left" w:leader="none"/>
        </w:tabs>
        <w:spacing w:line="208" w:lineRule="auto" w:before="239" w:after="0"/>
        <w:ind w:left="2160" w:right="752" w:firstLine="0"/>
        <w:jc w:val="left"/>
        <w:rPr>
          <w:sz w:val="24"/>
        </w:rPr>
      </w:pPr>
      <w:r>
        <w:rPr>
          <w:sz w:val="24"/>
        </w:rPr>
        <w:t>A Consultation by the Rehabilitation Counselor for the Deaf (RCD) that</w:t>
      </w:r>
      <w:r>
        <w:rPr>
          <w:spacing w:val="-3"/>
          <w:sz w:val="24"/>
        </w:rPr>
        <w:t> </w:t>
      </w:r>
      <w:r>
        <w:rPr>
          <w:sz w:val="24"/>
        </w:rPr>
        <w:t>the</w:t>
      </w:r>
      <w:r>
        <w:rPr>
          <w:spacing w:val="-4"/>
          <w:sz w:val="24"/>
        </w:rPr>
        <w:t> </w:t>
      </w:r>
      <w:r>
        <w:rPr>
          <w:sz w:val="24"/>
        </w:rPr>
        <w:t>applicant</w:t>
      </w:r>
      <w:r>
        <w:rPr>
          <w:spacing w:val="-3"/>
          <w:sz w:val="24"/>
        </w:rPr>
        <w:t> </w:t>
      </w:r>
      <w:r>
        <w:rPr>
          <w:sz w:val="24"/>
        </w:rPr>
        <w:t>has</w:t>
      </w:r>
      <w:r>
        <w:rPr>
          <w:spacing w:val="-4"/>
          <w:sz w:val="24"/>
        </w:rPr>
        <w:t> </w:t>
      </w:r>
      <w:r>
        <w:rPr>
          <w:sz w:val="24"/>
        </w:rPr>
        <w:t>hearing</w:t>
      </w:r>
      <w:r>
        <w:rPr>
          <w:spacing w:val="-4"/>
          <w:sz w:val="24"/>
        </w:rPr>
        <w:t> </w:t>
      </w:r>
      <w:r>
        <w:rPr>
          <w:sz w:val="24"/>
        </w:rPr>
        <w:t>loss</w:t>
      </w:r>
      <w:r>
        <w:rPr>
          <w:spacing w:val="-4"/>
          <w:sz w:val="24"/>
        </w:rPr>
        <w:t> </w:t>
      </w:r>
      <w:r>
        <w:rPr>
          <w:sz w:val="24"/>
        </w:rPr>
        <w:t>that</w:t>
      </w:r>
      <w:r>
        <w:rPr>
          <w:spacing w:val="-3"/>
          <w:sz w:val="24"/>
        </w:rPr>
        <w:t> </w:t>
      </w:r>
      <w:r>
        <w:rPr>
          <w:sz w:val="24"/>
        </w:rPr>
        <w:t>constitutes</w:t>
      </w:r>
      <w:r>
        <w:rPr>
          <w:spacing w:val="-4"/>
          <w:sz w:val="24"/>
        </w:rPr>
        <w:t> </w:t>
      </w:r>
      <w:r>
        <w:rPr>
          <w:sz w:val="24"/>
        </w:rPr>
        <w:t>a</w:t>
      </w:r>
      <w:r>
        <w:rPr>
          <w:spacing w:val="-4"/>
          <w:sz w:val="24"/>
        </w:rPr>
        <w:t> </w:t>
      </w:r>
      <w:r>
        <w:rPr>
          <w:sz w:val="24"/>
        </w:rPr>
        <w:t>physical</w:t>
      </w:r>
      <w:r>
        <w:rPr>
          <w:spacing w:val="-4"/>
          <w:sz w:val="24"/>
        </w:rPr>
        <w:t> </w:t>
      </w:r>
      <w:r>
        <w:rPr>
          <w:sz w:val="24"/>
        </w:rPr>
        <w:t>or</w:t>
      </w:r>
      <w:r>
        <w:rPr>
          <w:spacing w:val="-3"/>
          <w:sz w:val="24"/>
        </w:rPr>
        <w:t> </w:t>
      </w:r>
      <w:r>
        <w:rPr>
          <w:sz w:val="24"/>
        </w:rPr>
        <w:t>mental impairment and the physical or mental impairment constitutes or results in a substantial impediment to employment; and</w:t>
      </w:r>
    </w:p>
    <w:p>
      <w:pPr>
        <w:pStyle w:val="ListParagraph"/>
        <w:spacing w:after="0" w:line="208" w:lineRule="auto"/>
        <w:jc w:val="left"/>
        <w:rPr>
          <w:sz w:val="24"/>
        </w:rPr>
        <w:sectPr>
          <w:pgSz w:w="12240" w:h="15840"/>
          <w:pgMar w:top="1360" w:bottom="280" w:left="1080" w:right="720"/>
        </w:sectPr>
      </w:pPr>
    </w:p>
    <w:p>
      <w:pPr>
        <w:pStyle w:val="ListParagraph"/>
        <w:numPr>
          <w:ilvl w:val="4"/>
          <w:numId w:val="117"/>
        </w:numPr>
        <w:tabs>
          <w:tab w:pos="2585" w:val="left" w:leader="none"/>
        </w:tabs>
        <w:spacing w:line="208" w:lineRule="auto" w:before="96" w:after="0"/>
        <w:ind w:left="2160" w:right="807" w:firstLine="0"/>
        <w:jc w:val="left"/>
        <w:rPr>
          <w:sz w:val="24"/>
        </w:rPr>
      </w:pPr>
      <w:r>
        <w:rPr>
          <w:sz w:val="24"/>
        </w:rPr>
        <w:t>A Consultation by a Rehabilitation Counselor for the Deaf (RCD) that</w:t>
      </w:r>
      <w:r>
        <w:rPr>
          <w:spacing w:val="-1"/>
          <w:sz w:val="24"/>
        </w:rPr>
        <w:t> </w:t>
      </w:r>
      <w:r>
        <w:rPr>
          <w:sz w:val="24"/>
        </w:rPr>
        <w:t>the</w:t>
      </w:r>
      <w:r>
        <w:rPr>
          <w:spacing w:val="-2"/>
          <w:sz w:val="24"/>
        </w:rPr>
        <w:t> </w:t>
      </w:r>
      <w:r>
        <w:rPr>
          <w:sz w:val="24"/>
        </w:rPr>
        <w:t>applicant</w:t>
      </w:r>
      <w:r>
        <w:rPr>
          <w:spacing w:val="-1"/>
          <w:sz w:val="24"/>
        </w:rPr>
        <w:t> </w:t>
      </w:r>
      <w:r>
        <w:rPr>
          <w:sz w:val="24"/>
        </w:rPr>
        <w:t>requires</w:t>
      </w:r>
      <w:r>
        <w:rPr>
          <w:spacing w:val="-2"/>
          <w:sz w:val="24"/>
        </w:rPr>
        <w:t> </w:t>
      </w:r>
      <w:r>
        <w:rPr>
          <w:sz w:val="24"/>
        </w:rPr>
        <w:t>vocational</w:t>
      </w:r>
      <w:r>
        <w:rPr>
          <w:spacing w:val="-2"/>
          <w:sz w:val="24"/>
        </w:rPr>
        <w:t> </w:t>
      </w:r>
      <w:r>
        <w:rPr>
          <w:sz w:val="24"/>
        </w:rPr>
        <w:t>rehabilitation</w:t>
      </w:r>
      <w:r>
        <w:rPr>
          <w:spacing w:val="-2"/>
          <w:sz w:val="24"/>
        </w:rPr>
        <w:t> </w:t>
      </w:r>
      <w:r>
        <w:rPr>
          <w:sz w:val="24"/>
        </w:rPr>
        <w:t>services</w:t>
      </w:r>
      <w:r>
        <w:rPr>
          <w:spacing w:val="-2"/>
          <w:sz w:val="24"/>
        </w:rPr>
        <w:t> </w:t>
      </w:r>
      <w:r>
        <w:rPr>
          <w:sz w:val="24"/>
        </w:rPr>
        <w:t>to</w:t>
      </w:r>
      <w:r>
        <w:rPr>
          <w:spacing w:val="-2"/>
          <w:sz w:val="24"/>
        </w:rPr>
        <w:t> </w:t>
      </w:r>
      <w:r>
        <w:rPr>
          <w:sz w:val="24"/>
        </w:rPr>
        <w:t>prepare for,</w:t>
      </w:r>
      <w:r>
        <w:rPr>
          <w:spacing w:val="-4"/>
          <w:sz w:val="24"/>
        </w:rPr>
        <w:t> </w:t>
      </w:r>
      <w:r>
        <w:rPr>
          <w:sz w:val="24"/>
        </w:rPr>
        <w:t>secure,</w:t>
      </w:r>
      <w:r>
        <w:rPr>
          <w:spacing w:val="-5"/>
          <w:sz w:val="24"/>
        </w:rPr>
        <w:t> </w:t>
      </w:r>
      <w:r>
        <w:rPr>
          <w:sz w:val="24"/>
        </w:rPr>
        <w:t>retain,</w:t>
      </w:r>
      <w:r>
        <w:rPr>
          <w:spacing w:val="-4"/>
          <w:sz w:val="24"/>
        </w:rPr>
        <w:t> </w:t>
      </w:r>
      <w:r>
        <w:rPr>
          <w:sz w:val="24"/>
        </w:rPr>
        <w:t>advance</w:t>
      </w:r>
      <w:r>
        <w:rPr>
          <w:spacing w:val="-5"/>
          <w:sz w:val="24"/>
        </w:rPr>
        <w:t> </w:t>
      </w:r>
      <w:r>
        <w:rPr>
          <w:sz w:val="24"/>
        </w:rPr>
        <w:t>in,</w:t>
      </w:r>
      <w:r>
        <w:rPr>
          <w:spacing w:val="-4"/>
          <w:sz w:val="24"/>
        </w:rPr>
        <w:t> </w:t>
      </w:r>
      <w:r>
        <w:rPr>
          <w:sz w:val="24"/>
        </w:rPr>
        <w:t>or</w:t>
      </w:r>
      <w:r>
        <w:rPr>
          <w:spacing w:val="-5"/>
          <w:sz w:val="24"/>
        </w:rPr>
        <w:t> </w:t>
      </w:r>
      <w:r>
        <w:rPr>
          <w:sz w:val="24"/>
        </w:rPr>
        <w:t>regain</w:t>
      </w:r>
      <w:r>
        <w:rPr>
          <w:spacing w:val="-5"/>
          <w:sz w:val="24"/>
        </w:rPr>
        <w:t> </w:t>
      </w:r>
      <w:r>
        <w:rPr>
          <w:sz w:val="24"/>
        </w:rPr>
        <w:t>employment</w:t>
      </w:r>
      <w:r>
        <w:rPr>
          <w:spacing w:val="-4"/>
          <w:sz w:val="24"/>
        </w:rPr>
        <w:t> </w:t>
      </w:r>
      <w:r>
        <w:rPr>
          <w:sz w:val="24"/>
        </w:rPr>
        <w:t>that</w:t>
      </w:r>
      <w:r>
        <w:rPr>
          <w:spacing w:val="-4"/>
          <w:sz w:val="24"/>
        </w:rPr>
        <w:t> </w:t>
      </w:r>
      <w:r>
        <w:rPr>
          <w:sz w:val="24"/>
        </w:rPr>
        <w:t>is</w:t>
      </w:r>
      <w:r>
        <w:rPr>
          <w:spacing w:val="-5"/>
          <w:sz w:val="24"/>
        </w:rPr>
        <w:t> </w:t>
      </w:r>
      <w:r>
        <w:rPr>
          <w:sz w:val="24"/>
        </w:rPr>
        <w:t>consistent with the individuals unique strengths, resources, priorities, concerns, abilities, capabilities, interest and informed choice.</w:t>
      </w:r>
    </w:p>
    <w:p>
      <w:pPr>
        <w:pStyle w:val="ListParagraph"/>
        <w:numPr>
          <w:ilvl w:val="2"/>
          <w:numId w:val="117"/>
        </w:numPr>
        <w:tabs>
          <w:tab w:pos="1677" w:val="left" w:leader="none"/>
        </w:tabs>
        <w:spacing w:line="208" w:lineRule="auto" w:before="239" w:after="0"/>
        <w:ind w:left="1224" w:right="743" w:firstLine="0"/>
        <w:jc w:val="left"/>
        <w:rPr>
          <w:sz w:val="24"/>
        </w:rPr>
      </w:pPr>
      <w:r>
        <w:rPr>
          <w:b/>
          <w:sz w:val="24"/>
        </w:rPr>
        <w:t>Severity of Hearing Loss.</w:t>
      </w:r>
      <w:r>
        <w:rPr>
          <w:b/>
          <w:spacing w:val="40"/>
          <w:sz w:val="24"/>
        </w:rPr>
        <w:t> </w:t>
      </w:r>
      <w:r>
        <w:rPr>
          <w:sz w:val="24"/>
        </w:rPr>
        <w:t>All individuals who qualify as having a severe hearing loss or, who are culturally Deaf and/or use Manual Communication, will be referred to a Rehabilitation Counselor for the Deaf and Hard of Hearing (RCD for a consultation on severity of loss and functional limitations) The RCD then will determine whether the case needs to be assigned to an RCD.</w:t>
      </w:r>
      <w:r>
        <w:rPr>
          <w:spacing w:val="40"/>
          <w:sz w:val="24"/>
        </w:rPr>
        <w:t> </w:t>
      </w:r>
      <w:r>
        <w:rPr>
          <w:sz w:val="24"/>
        </w:rPr>
        <w:t>Relevant</w:t>
      </w:r>
      <w:r>
        <w:rPr>
          <w:spacing w:val="-4"/>
          <w:sz w:val="24"/>
        </w:rPr>
        <w:t> </w:t>
      </w:r>
      <w:r>
        <w:rPr>
          <w:sz w:val="24"/>
        </w:rPr>
        <w:t>information</w:t>
      </w:r>
      <w:r>
        <w:rPr>
          <w:spacing w:val="-5"/>
          <w:sz w:val="24"/>
        </w:rPr>
        <w:t> </w:t>
      </w:r>
      <w:r>
        <w:rPr>
          <w:sz w:val="24"/>
        </w:rPr>
        <w:t>provided</w:t>
      </w:r>
      <w:r>
        <w:rPr>
          <w:spacing w:val="-5"/>
          <w:sz w:val="24"/>
        </w:rPr>
        <w:t> </w:t>
      </w:r>
      <w:r>
        <w:rPr>
          <w:sz w:val="24"/>
        </w:rPr>
        <w:t>will</w:t>
      </w:r>
      <w:r>
        <w:rPr>
          <w:spacing w:val="-4"/>
          <w:sz w:val="24"/>
        </w:rPr>
        <w:t> </w:t>
      </w:r>
      <w:r>
        <w:rPr>
          <w:sz w:val="24"/>
        </w:rPr>
        <w:t>include</w:t>
      </w:r>
      <w:r>
        <w:rPr>
          <w:spacing w:val="-5"/>
          <w:sz w:val="24"/>
        </w:rPr>
        <w:t> </w:t>
      </w:r>
      <w:r>
        <w:rPr>
          <w:sz w:val="24"/>
        </w:rPr>
        <w:t>copies</w:t>
      </w:r>
      <w:r>
        <w:rPr>
          <w:spacing w:val="-5"/>
          <w:sz w:val="24"/>
        </w:rPr>
        <w:t> </w:t>
      </w:r>
      <w:r>
        <w:rPr>
          <w:sz w:val="24"/>
        </w:rPr>
        <w:t>of</w:t>
      </w:r>
      <w:r>
        <w:rPr>
          <w:spacing w:val="-4"/>
          <w:sz w:val="24"/>
        </w:rPr>
        <w:t> </w:t>
      </w:r>
      <w:r>
        <w:rPr>
          <w:sz w:val="24"/>
        </w:rPr>
        <w:t>the</w:t>
      </w:r>
      <w:r>
        <w:rPr>
          <w:spacing w:val="-5"/>
          <w:sz w:val="24"/>
        </w:rPr>
        <w:t> </w:t>
      </w:r>
      <w:r>
        <w:rPr>
          <w:sz w:val="24"/>
        </w:rPr>
        <w:t>initial</w:t>
      </w:r>
      <w:r>
        <w:rPr>
          <w:spacing w:val="-5"/>
          <w:sz w:val="24"/>
        </w:rPr>
        <w:t> </w:t>
      </w:r>
      <w:r>
        <w:rPr>
          <w:sz w:val="24"/>
        </w:rPr>
        <w:t>interview</w:t>
      </w:r>
      <w:r>
        <w:rPr>
          <w:spacing w:val="-5"/>
          <w:sz w:val="24"/>
        </w:rPr>
        <w:t> </w:t>
      </w:r>
      <w:r>
        <w:rPr>
          <w:sz w:val="24"/>
        </w:rPr>
        <w:t>narrative recording, medical information, eligibility data entry form, Individualized Plan for Employment, pertinent copies of case narratives and DRS application form.</w:t>
      </w:r>
    </w:p>
    <w:p>
      <w:pPr>
        <w:pStyle w:val="ListParagraph"/>
        <w:numPr>
          <w:ilvl w:val="3"/>
          <w:numId w:val="117"/>
        </w:numPr>
        <w:tabs>
          <w:tab w:pos="2002" w:val="left" w:leader="none"/>
        </w:tabs>
        <w:spacing w:line="208" w:lineRule="auto" w:before="240" w:after="0"/>
        <w:ind w:left="1656" w:right="1046" w:firstLine="0"/>
        <w:jc w:val="left"/>
        <w:rPr>
          <w:sz w:val="24"/>
        </w:rPr>
      </w:pPr>
      <w:r>
        <w:rPr>
          <w:b/>
          <w:sz w:val="24"/>
        </w:rPr>
        <w:t>Severe</w:t>
      </w:r>
      <w:r>
        <w:rPr>
          <w:b/>
          <w:spacing w:val="-5"/>
          <w:sz w:val="24"/>
        </w:rPr>
        <w:t> </w:t>
      </w:r>
      <w:r>
        <w:rPr>
          <w:b/>
          <w:sz w:val="24"/>
        </w:rPr>
        <w:t>Hearing</w:t>
      </w:r>
      <w:r>
        <w:rPr>
          <w:b/>
          <w:spacing w:val="-5"/>
          <w:sz w:val="24"/>
        </w:rPr>
        <w:t> </w:t>
      </w:r>
      <w:r>
        <w:rPr>
          <w:b/>
          <w:sz w:val="24"/>
        </w:rPr>
        <w:t>Loss.</w:t>
      </w:r>
      <w:r>
        <w:rPr>
          <w:b/>
          <w:spacing w:val="40"/>
          <w:sz w:val="24"/>
        </w:rPr>
        <w:t> </w:t>
      </w:r>
      <w:r>
        <w:rPr>
          <w:sz w:val="24"/>
        </w:rPr>
        <w:t>Average</w:t>
      </w:r>
      <w:r>
        <w:rPr>
          <w:spacing w:val="-5"/>
          <w:sz w:val="24"/>
        </w:rPr>
        <w:t> </w:t>
      </w:r>
      <w:r>
        <w:rPr>
          <w:sz w:val="24"/>
        </w:rPr>
        <w:t>hearing</w:t>
      </w:r>
      <w:r>
        <w:rPr>
          <w:spacing w:val="-5"/>
          <w:sz w:val="24"/>
        </w:rPr>
        <w:t> </w:t>
      </w:r>
      <w:r>
        <w:rPr>
          <w:sz w:val="24"/>
        </w:rPr>
        <w:t>loss,</w:t>
      </w:r>
      <w:r>
        <w:rPr>
          <w:spacing w:val="-4"/>
          <w:sz w:val="24"/>
        </w:rPr>
        <w:t> </w:t>
      </w:r>
      <w:r>
        <w:rPr>
          <w:sz w:val="24"/>
        </w:rPr>
        <w:t>as</w:t>
      </w:r>
      <w:r>
        <w:rPr>
          <w:spacing w:val="-5"/>
          <w:sz w:val="24"/>
        </w:rPr>
        <w:t> </w:t>
      </w:r>
      <w:r>
        <w:rPr>
          <w:sz w:val="24"/>
        </w:rPr>
        <w:t>calculated</w:t>
      </w:r>
      <w:r>
        <w:rPr>
          <w:spacing w:val="-5"/>
          <w:sz w:val="24"/>
        </w:rPr>
        <w:t> </w:t>
      </w:r>
      <w:r>
        <w:rPr>
          <w:sz w:val="24"/>
        </w:rPr>
        <w:t>above,</w:t>
      </w:r>
      <w:r>
        <w:rPr>
          <w:spacing w:val="-4"/>
          <w:sz w:val="24"/>
        </w:rPr>
        <w:t> </w:t>
      </w:r>
      <w:r>
        <w:rPr>
          <w:sz w:val="24"/>
        </w:rPr>
        <w:t>is considered severe when:</w:t>
      </w:r>
    </w:p>
    <w:p>
      <w:pPr>
        <w:pStyle w:val="ListParagraph"/>
        <w:numPr>
          <w:ilvl w:val="4"/>
          <w:numId w:val="117"/>
        </w:numPr>
        <w:tabs>
          <w:tab w:pos="2447" w:val="left" w:leader="none"/>
        </w:tabs>
        <w:spacing w:line="208" w:lineRule="auto" w:before="239" w:after="0"/>
        <w:ind w:left="2088" w:right="998" w:firstLine="0"/>
        <w:jc w:val="left"/>
        <w:rPr>
          <w:sz w:val="24"/>
        </w:rPr>
      </w:pPr>
      <w:r>
        <w:rPr>
          <w:sz w:val="24"/>
        </w:rPr>
        <w:t>The</w:t>
      </w:r>
      <w:r>
        <w:rPr>
          <w:spacing w:val="-3"/>
          <w:sz w:val="24"/>
        </w:rPr>
        <w:t> </w:t>
      </w:r>
      <w:r>
        <w:rPr>
          <w:sz w:val="24"/>
        </w:rPr>
        <w:t>hearing</w:t>
      </w:r>
      <w:r>
        <w:rPr>
          <w:spacing w:val="-3"/>
          <w:sz w:val="24"/>
        </w:rPr>
        <w:t> </w:t>
      </w:r>
      <w:r>
        <w:rPr>
          <w:sz w:val="24"/>
        </w:rPr>
        <w:t>loss</w:t>
      </w:r>
      <w:r>
        <w:rPr>
          <w:spacing w:val="-3"/>
          <w:sz w:val="24"/>
        </w:rPr>
        <w:t> </w:t>
      </w:r>
      <w:r>
        <w:rPr>
          <w:sz w:val="24"/>
        </w:rPr>
        <w:t>in</w:t>
      </w:r>
      <w:r>
        <w:rPr>
          <w:spacing w:val="-3"/>
          <w:sz w:val="24"/>
        </w:rPr>
        <w:t> </w:t>
      </w:r>
      <w:r>
        <w:rPr>
          <w:sz w:val="24"/>
        </w:rPr>
        <w:t>one</w:t>
      </w:r>
      <w:r>
        <w:rPr>
          <w:spacing w:val="-3"/>
          <w:sz w:val="24"/>
        </w:rPr>
        <w:t> </w:t>
      </w:r>
      <w:r>
        <w:rPr>
          <w:sz w:val="24"/>
        </w:rPr>
        <w:t>ear</w:t>
      </w:r>
      <w:r>
        <w:rPr>
          <w:spacing w:val="-2"/>
          <w:sz w:val="24"/>
        </w:rPr>
        <w:t> </w:t>
      </w:r>
      <w:r>
        <w:rPr>
          <w:sz w:val="24"/>
        </w:rPr>
        <w:t>is</w:t>
      </w:r>
      <w:r>
        <w:rPr>
          <w:spacing w:val="-3"/>
          <w:sz w:val="24"/>
        </w:rPr>
        <w:t> </w:t>
      </w:r>
      <w:r>
        <w:rPr>
          <w:sz w:val="24"/>
        </w:rPr>
        <w:t>profound</w:t>
      </w:r>
      <w:r>
        <w:rPr>
          <w:spacing w:val="-3"/>
          <w:sz w:val="24"/>
        </w:rPr>
        <w:t> </w:t>
      </w:r>
      <w:r>
        <w:rPr>
          <w:sz w:val="24"/>
        </w:rPr>
        <w:t>(91</w:t>
      </w:r>
      <w:r>
        <w:rPr>
          <w:spacing w:val="-3"/>
          <w:sz w:val="24"/>
        </w:rPr>
        <w:t> </w:t>
      </w:r>
      <w:r>
        <w:rPr>
          <w:sz w:val="24"/>
        </w:rPr>
        <w:t>dB</w:t>
      </w:r>
      <w:r>
        <w:rPr>
          <w:spacing w:val="-3"/>
          <w:sz w:val="24"/>
        </w:rPr>
        <w:t> </w:t>
      </w:r>
      <w:r>
        <w:rPr>
          <w:sz w:val="24"/>
        </w:rPr>
        <w:t>or</w:t>
      </w:r>
      <w:r>
        <w:rPr>
          <w:spacing w:val="-2"/>
          <w:sz w:val="24"/>
        </w:rPr>
        <w:t> </w:t>
      </w:r>
      <w:r>
        <w:rPr>
          <w:sz w:val="24"/>
        </w:rPr>
        <w:t>greater)</w:t>
      </w:r>
      <w:r>
        <w:rPr>
          <w:spacing w:val="-2"/>
          <w:sz w:val="24"/>
        </w:rPr>
        <w:t> </w:t>
      </w:r>
      <w:r>
        <w:rPr>
          <w:sz w:val="24"/>
        </w:rPr>
        <w:t>and</w:t>
      </w:r>
      <w:r>
        <w:rPr>
          <w:spacing w:val="-4"/>
          <w:sz w:val="24"/>
        </w:rPr>
        <w:t> </w:t>
      </w:r>
      <w:r>
        <w:rPr>
          <w:sz w:val="24"/>
        </w:rPr>
        <w:t>the hearing loss in the better ear is at least 31 dB; or</w:t>
      </w:r>
    </w:p>
    <w:p>
      <w:pPr>
        <w:pStyle w:val="ListParagraph"/>
        <w:numPr>
          <w:ilvl w:val="4"/>
          <w:numId w:val="117"/>
        </w:numPr>
        <w:tabs>
          <w:tab w:pos="2513" w:val="left" w:leader="none"/>
        </w:tabs>
        <w:spacing w:line="240" w:lineRule="auto" w:before="211" w:after="0"/>
        <w:ind w:left="2513" w:right="0" w:hanging="425"/>
        <w:jc w:val="left"/>
        <w:rPr>
          <w:sz w:val="24"/>
        </w:rPr>
      </w:pPr>
      <w:r>
        <w:rPr>
          <w:sz w:val="24"/>
        </w:rPr>
        <w:t>The</w:t>
      </w:r>
      <w:r>
        <w:rPr>
          <w:spacing w:val="-2"/>
          <w:sz w:val="24"/>
        </w:rPr>
        <w:t> </w:t>
      </w:r>
      <w:r>
        <w:rPr>
          <w:sz w:val="24"/>
        </w:rPr>
        <w:t>hearing</w:t>
      </w:r>
      <w:r>
        <w:rPr>
          <w:spacing w:val="-2"/>
          <w:sz w:val="24"/>
        </w:rPr>
        <w:t> </w:t>
      </w:r>
      <w:r>
        <w:rPr>
          <w:sz w:val="24"/>
        </w:rPr>
        <w:t>loss</w:t>
      </w:r>
      <w:r>
        <w:rPr>
          <w:spacing w:val="-2"/>
          <w:sz w:val="24"/>
        </w:rPr>
        <w:t> </w:t>
      </w:r>
      <w:r>
        <w:rPr>
          <w:sz w:val="24"/>
        </w:rPr>
        <w:t>in</w:t>
      </w:r>
      <w:r>
        <w:rPr>
          <w:spacing w:val="-1"/>
          <w:sz w:val="24"/>
        </w:rPr>
        <w:t> </w:t>
      </w:r>
      <w:r>
        <w:rPr>
          <w:sz w:val="24"/>
        </w:rPr>
        <w:t>each</w:t>
      </w:r>
      <w:r>
        <w:rPr>
          <w:spacing w:val="-2"/>
          <w:sz w:val="24"/>
        </w:rPr>
        <w:t> </w:t>
      </w:r>
      <w:r>
        <w:rPr>
          <w:sz w:val="24"/>
        </w:rPr>
        <w:t>ear</w:t>
      </w:r>
      <w:r>
        <w:rPr>
          <w:spacing w:val="-1"/>
          <w:sz w:val="24"/>
        </w:rPr>
        <w:t> </w:t>
      </w:r>
      <w:r>
        <w:rPr>
          <w:sz w:val="24"/>
        </w:rPr>
        <w:t>is</w:t>
      </w:r>
      <w:r>
        <w:rPr>
          <w:spacing w:val="-1"/>
          <w:sz w:val="24"/>
        </w:rPr>
        <w:t> </w:t>
      </w:r>
      <w:r>
        <w:rPr>
          <w:sz w:val="24"/>
        </w:rPr>
        <w:t>55</w:t>
      </w:r>
      <w:r>
        <w:rPr>
          <w:spacing w:val="-2"/>
          <w:sz w:val="24"/>
        </w:rPr>
        <w:t> </w:t>
      </w:r>
      <w:r>
        <w:rPr>
          <w:sz w:val="24"/>
        </w:rPr>
        <w:t>dB</w:t>
      </w:r>
      <w:r>
        <w:rPr>
          <w:spacing w:val="-2"/>
          <w:sz w:val="24"/>
        </w:rPr>
        <w:t> </w:t>
      </w:r>
      <w:r>
        <w:rPr>
          <w:sz w:val="24"/>
        </w:rPr>
        <w:t>or </w:t>
      </w:r>
      <w:r>
        <w:rPr>
          <w:spacing w:val="-2"/>
          <w:sz w:val="24"/>
        </w:rPr>
        <w:t>greater.</w:t>
      </w:r>
    </w:p>
    <w:p>
      <w:pPr>
        <w:pStyle w:val="ListParagraph"/>
        <w:numPr>
          <w:ilvl w:val="3"/>
          <w:numId w:val="117"/>
        </w:numPr>
        <w:tabs>
          <w:tab w:pos="2054" w:val="left" w:leader="none"/>
        </w:tabs>
        <w:spacing w:line="208" w:lineRule="auto" w:before="233" w:after="0"/>
        <w:ind w:left="1656" w:right="1554" w:firstLine="0"/>
        <w:jc w:val="left"/>
        <w:rPr>
          <w:sz w:val="24"/>
        </w:rPr>
      </w:pPr>
      <w:r>
        <w:rPr>
          <w:b/>
          <w:sz w:val="24"/>
        </w:rPr>
        <w:t>Severe</w:t>
      </w:r>
      <w:r>
        <w:rPr>
          <w:b/>
          <w:spacing w:val="-5"/>
          <w:sz w:val="24"/>
        </w:rPr>
        <w:t> </w:t>
      </w:r>
      <w:r>
        <w:rPr>
          <w:b/>
          <w:sz w:val="24"/>
        </w:rPr>
        <w:t>Speech</w:t>
      </w:r>
      <w:r>
        <w:rPr>
          <w:b/>
          <w:spacing w:val="-5"/>
          <w:sz w:val="24"/>
        </w:rPr>
        <w:t> </w:t>
      </w:r>
      <w:r>
        <w:rPr>
          <w:b/>
          <w:sz w:val="24"/>
        </w:rPr>
        <w:t>Recognition</w:t>
      </w:r>
      <w:r>
        <w:rPr>
          <w:b/>
          <w:spacing w:val="-5"/>
          <w:sz w:val="24"/>
        </w:rPr>
        <w:t> </w:t>
      </w:r>
      <w:r>
        <w:rPr>
          <w:b/>
          <w:sz w:val="24"/>
        </w:rPr>
        <w:t>Threshold</w:t>
      </w:r>
      <w:r>
        <w:rPr>
          <w:b/>
          <w:spacing w:val="-6"/>
          <w:sz w:val="24"/>
        </w:rPr>
        <w:t> </w:t>
      </w:r>
      <w:r>
        <w:rPr>
          <w:b/>
          <w:sz w:val="24"/>
        </w:rPr>
        <w:t>(SRT).</w:t>
      </w:r>
      <w:r>
        <w:rPr>
          <w:b/>
          <w:spacing w:val="-5"/>
          <w:sz w:val="24"/>
        </w:rPr>
        <w:t> </w:t>
      </w:r>
      <w:r>
        <w:rPr>
          <w:sz w:val="24"/>
        </w:rPr>
        <w:t>An</w:t>
      </w:r>
      <w:r>
        <w:rPr>
          <w:spacing w:val="-6"/>
          <w:sz w:val="24"/>
        </w:rPr>
        <w:t> </w:t>
      </w:r>
      <w:r>
        <w:rPr>
          <w:sz w:val="24"/>
        </w:rPr>
        <w:t>individual</w:t>
      </w:r>
      <w:r>
        <w:rPr>
          <w:spacing w:val="-5"/>
          <w:sz w:val="24"/>
        </w:rPr>
        <w:t> </w:t>
      </w:r>
      <w:r>
        <w:rPr>
          <w:sz w:val="24"/>
        </w:rPr>
        <w:t>is considered to have severe disability when;</w:t>
      </w:r>
    </w:p>
    <w:p>
      <w:pPr>
        <w:pStyle w:val="ListParagraph"/>
        <w:numPr>
          <w:ilvl w:val="4"/>
          <w:numId w:val="117"/>
        </w:numPr>
        <w:tabs>
          <w:tab w:pos="2447" w:val="left" w:leader="none"/>
        </w:tabs>
        <w:spacing w:line="208" w:lineRule="auto" w:before="240" w:after="0"/>
        <w:ind w:left="2088" w:right="1104" w:firstLine="0"/>
        <w:jc w:val="left"/>
        <w:rPr>
          <w:sz w:val="24"/>
        </w:rPr>
      </w:pPr>
      <w:r>
        <w:rPr>
          <w:sz w:val="24"/>
        </w:rPr>
        <w:t>The</w:t>
      </w:r>
      <w:r>
        <w:rPr>
          <w:spacing w:val="-3"/>
          <w:sz w:val="24"/>
        </w:rPr>
        <w:t> </w:t>
      </w:r>
      <w:r>
        <w:rPr>
          <w:sz w:val="24"/>
        </w:rPr>
        <w:t>SRT</w:t>
      </w:r>
      <w:r>
        <w:rPr>
          <w:spacing w:val="-3"/>
          <w:sz w:val="24"/>
        </w:rPr>
        <w:t> </w:t>
      </w:r>
      <w:r>
        <w:rPr>
          <w:sz w:val="24"/>
        </w:rPr>
        <w:t>in</w:t>
      </w:r>
      <w:r>
        <w:rPr>
          <w:spacing w:val="-3"/>
          <w:sz w:val="24"/>
        </w:rPr>
        <w:t> </w:t>
      </w:r>
      <w:r>
        <w:rPr>
          <w:sz w:val="24"/>
        </w:rPr>
        <w:t>one</w:t>
      </w:r>
      <w:r>
        <w:rPr>
          <w:spacing w:val="-3"/>
          <w:sz w:val="24"/>
        </w:rPr>
        <w:t> </w:t>
      </w:r>
      <w:r>
        <w:rPr>
          <w:sz w:val="24"/>
        </w:rPr>
        <w:t>ear</w:t>
      </w:r>
      <w:r>
        <w:rPr>
          <w:spacing w:val="-2"/>
          <w:sz w:val="24"/>
        </w:rPr>
        <w:t> </w:t>
      </w:r>
      <w:r>
        <w:rPr>
          <w:sz w:val="24"/>
        </w:rPr>
        <w:t>is</w:t>
      </w:r>
      <w:r>
        <w:rPr>
          <w:spacing w:val="-3"/>
          <w:sz w:val="24"/>
        </w:rPr>
        <w:t> </w:t>
      </w:r>
      <w:r>
        <w:rPr>
          <w:sz w:val="24"/>
        </w:rPr>
        <w:t>91</w:t>
      </w:r>
      <w:r>
        <w:rPr>
          <w:spacing w:val="-3"/>
          <w:sz w:val="24"/>
        </w:rPr>
        <w:t> </w:t>
      </w:r>
      <w:r>
        <w:rPr>
          <w:sz w:val="24"/>
        </w:rPr>
        <w:t>dB</w:t>
      </w:r>
      <w:r>
        <w:rPr>
          <w:spacing w:val="-3"/>
          <w:sz w:val="24"/>
        </w:rPr>
        <w:t> </w:t>
      </w:r>
      <w:r>
        <w:rPr>
          <w:sz w:val="24"/>
        </w:rPr>
        <w:t>or</w:t>
      </w:r>
      <w:r>
        <w:rPr>
          <w:spacing w:val="-2"/>
          <w:sz w:val="24"/>
        </w:rPr>
        <w:t> </w:t>
      </w:r>
      <w:r>
        <w:rPr>
          <w:sz w:val="24"/>
        </w:rPr>
        <w:t>greater</w:t>
      </w:r>
      <w:r>
        <w:rPr>
          <w:spacing w:val="-4"/>
          <w:sz w:val="24"/>
        </w:rPr>
        <w:t> </w:t>
      </w:r>
      <w:r>
        <w:rPr>
          <w:sz w:val="24"/>
        </w:rPr>
        <w:t>and</w:t>
      </w:r>
      <w:r>
        <w:rPr>
          <w:spacing w:val="-3"/>
          <w:sz w:val="24"/>
        </w:rPr>
        <w:t> </w:t>
      </w:r>
      <w:r>
        <w:rPr>
          <w:sz w:val="24"/>
        </w:rPr>
        <w:t>the</w:t>
      </w:r>
      <w:r>
        <w:rPr>
          <w:spacing w:val="-3"/>
          <w:sz w:val="24"/>
        </w:rPr>
        <w:t> </w:t>
      </w:r>
      <w:r>
        <w:rPr>
          <w:sz w:val="24"/>
        </w:rPr>
        <w:t>SRT</w:t>
      </w:r>
      <w:r>
        <w:rPr>
          <w:spacing w:val="-2"/>
          <w:sz w:val="24"/>
        </w:rPr>
        <w:t> </w:t>
      </w:r>
      <w:r>
        <w:rPr>
          <w:sz w:val="24"/>
        </w:rPr>
        <w:t>in</w:t>
      </w:r>
      <w:r>
        <w:rPr>
          <w:spacing w:val="-3"/>
          <w:sz w:val="24"/>
        </w:rPr>
        <w:t> </w:t>
      </w:r>
      <w:r>
        <w:rPr>
          <w:sz w:val="24"/>
        </w:rPr>
        <w:t>the</w:t>
      </w:r>
      <w:r>
        <w:rPr>
          <w:spacing w:val="-3"/>
          <w:sz w:val="24"/>
        </w:rPr>
        <w:t> </w:t>
      </w:r>
      <w:r>
        <w:rPr>
          <w:sz w:val="24"/>
        </w:rPr>
        <w:t>better ear is at least 31 dB; or</w:t>
      </w:r>
    </w:p>
    <w:p>
      <w:pPr>
        <w:pStyle w:val="ListParagraph"/>
        <w:numPr>
          <w:ilvl w:val="4"/>
          <w:numId w:val="117"/>
        </w:numPr>
        <w:tabs>
          <w:tab w:pos="2513" w:val="left" w:leader="none"/>
        </w:tabs>
        <w:spacing w:line="240" w:lineRule="auto" w:before="211" w:after="0"/>
        <w:ind w:left="2513" w:right="0" w:hanging="425"/>
        <w:jc w:val="left"/>
        <w:rPr>
          <w:sz w:val="24"/>
        </w:rPr>
      </w:pPr>
      <w:r>
        <w:rPr>
          <w:sz w:val="24"/>
        </w:rPr>
        <w:t>The</w:t>
      </w:r>
      <w:r>
        <w:rPr>
          <w:spacing w:val="-2"/>
          <w:sz w:val="24"/>
        </w:rPr>
        <w:t> </w:t>
      </w:r>
      <w:r>
        <w:rPr>
          <w:sz w:val="24"/>
        </w:rPr>
        <w:t>SRT</w:t>
      </w:r>
      <w:r>
        <w:rPr>
          <w:spacing w:val="-1"/>
          <w:sz w:val="24"/>
        </w:rPr>
        <w:t> </w:t>
      </w:r>
      <w:r>
        <w:rPr>
          <w:sz w:val="24"/>
        </w:rPr>
        <w:t>in</w:t>
      </w:r>
      <w:r>
        <w:rPr>
          <w:spacing w:val="-2"/>
          <w:sz w:val="24"/>
        </w:rPr>
        <w:t> </w:t>
      </w:r>
      <w:r>
        <w:rPr>
          <w:sz w:val="24"/>
        </w:rPr>
        <w:t>each ear</w:t>
      </w:r>
      <w:r>
        <w:rPr>
          <w:spacing w:val="-1"/>
          <w:sz w:val="24"/>
        </w:rPr>
        <w:t> </w:t>
      </w:r>
      <w:r>
        <w:rPr>
          <w:sz w:val="24"/>
        </w:rPr>
        <w:t>is</w:t>
      </w:r>
      <w:r>
        <w:rPr>
          <w:spacing w:val="-1"/>
          <w:sz w:val="24"/>
        </w:rPr>
        <w:t> </w:t>
      </w:r>
      <w:r>
        <w:rPr>
          <w:sz w:val="24"/>
        </w:rPr>
        <w:t>55</w:t>
      </w:r>
      <w:r>
        <w:rPr>
          <w:spacing w:val="-2"/>
          <w:sz w:val="24"/>
        </w:rPr>
        <w:t> </w:t>
      </w:r>
      <w:r>
        <w:rPr>
          <w:sz w:val="24"/>
        </w:rPr>
        <w:t>dB</w:t>
      </w:r>
      <w:r>
        <w:rPr>
          <w:spacing w:val="-1"/>
          <w:sz w:val="24"/>
        </w:rPr>
        <w:t> </w:t>
      </w:r>
      <w:r>
        <w:rPr>
          <w:sz w:val="24"/>
        </w:rPr>
        <w:t>or </w:t>
      </w:r>
      <w:r>
        <w:rPr>
          <w:spacing w:val="-2"/>
          <w:sz w:val="24"/>
        </w:rPr>
        <w:t>greater.</w:t>
      </w:r>
    </w:p>
    <w:p>
      <w:pPr>
        <w:pStyle w:val="ListParagraph"/>
        <w:numPr>
          <w:ilvl w:val="3"/>
          <w:numId w:val="117"/>
        </w:numPr>
        <w:tabs>
          <w:tab w:pos="2107" w:val="left" w:leader="none"/>
        </w:tabs>
        <w:spacing w:line="208" w:lineRule="auto" w:before="233" w:after="0"/>
        <w:ind w:left="1656" w:right="1433" w:firstLine="0"/>
        <w:jc w:val="left"/>
        <w:rPr>
          <w:sz w:val="24"/>
        </w:rPr>
      </w:pPr>
      <w:r>
        <w:rPr>
          <w:b/>
          <w:sz w:val="24"/>
        </w:rPr>
        <w:t>Severe</w:t>
      </w:r>
      <w:r>
        <w:rPr>
          <w:b/>
          <w:spacing w:val="-5"/>
          <w:sz w:val="24"/>
        </w:rPr>
        <w:t> </w:t>
      </w:r>
      <w:r>
        <w:rPr>
          <w:b/>
          <w:sz w:val="24"/>
        </w:rPr>
        <w:t>Speech</w:t>
      </w:r>
      <w:r>
        <w:rPr>
          <w:b/>
          <w:spacing w:val="-5"/>
          <w:sz w:val="24"/>
        </w:rPr>
        <w:t> </w:t>
      </w:r>
      <w:r>
        <w:rPr>
          <w:b/>
          <w:sz w:val="24"/>
        </w:rPr>
        <w:t>Discrimination</w:t>
      </w:r>
      <w:r>
        <w:rPr>
          <w:b/>
          <w:spacing w:val="-5"/>
          <w:sz w:val="24"/>
        </w:rPr>
        <w:t> </w:t>
      </w:r>
      <w:r>
        <w:rPr>
          <w:b/>
          <w:sz w:val="24"/>
        </w:rPr>
        <w:t>or</w:t>
      </w:r>
      <w:r>
        <w:rPr>
          <w:b/>
          <w:spacing w:val="-6"/>
          <w:sz w:val="24"/>
        </w:rPr>
        <w:t> </w:t>
      </w:r>
      <w:r>
        <w:rPr>
          <w:b/>
          <w:sz w:val="24"/>
        </w:rPr>
        <w:t>word</w:t>
      </w:r>
      <w:r>
        <w:rPr>
          <w:b/>
          <w:spacing w:val="-5"/>
          <w:sz w:val="24"/>
        </w:rPr>
        <w:t> </w:t>
      </w:r>
      <w:r>
        <w:rPr>
          <w:b/>
          <w:sz w:val="24"/>
        </w:rPr>
        <w:t>recognition</w:t>
      </w:r>
      <w:r>
        <w:rPr>
          <w:b/>
          <w:spacing w:val="-5"/>
          <w:sz w:val="24"/>
        </w:rPr>
        <w:t> </w:t>
      </w:r>
      <w:r>
        <w:rPr>
          <w:b/>
          <w:sz w:val="24"/>
        </w:rPr>
        <w:t>score.</w:t>
      </w:r>
      <w:r>
        <w:rPr>
          <w:b/>
          <w:spacing w:val="-6"/>
          <w:sz w:val="24"/>
        </w:rPr>
        <w:t> </w:t>
      </w:r>
      <w:r>
        <w:rPr>
          <w:sz w:val="24"/>
        </w:rPr>
        <w:t>An individual is considered to have a severe disability when the speech discrimination or word recognition score is 59% or less.</w:t>
      </w:r>
    </w:p>
    <w:p>
      <w:pPr>
        <w:pStyle w:val="ListParagraph"/>
        <w:numPr>
          <w:ilvl w:val="0"/>
          <w:numId w:val="118"/>
        </w:numPr>
        <w:tabs>
          <w:tab w:pos="1218" w:val="left" w:leader="none"/>
        </w:tabs>
        <w:spacing w:line="208" w:lineRule="auto" w:before="240" w:after="0"/>
        <w:ind w:left="792" w:right="719" w:firstLine="0"/>
        <w:jc w:val="left"/>
        <w:rPr>
          <w:b/>
          <w:sz w:val="24"/>
        </w:rPr>
      </w:pPr>
      <w:r>
        <w:rPr>
          <w:b/>
          <w:sz w:val="24"/>
        </w:rPr>
        <w:t>Diabetes: </w:t>
      </w:r>
      <w:r>
        <w:rPr>
          <w:sz w:val="24"/>
        </w:rPr>
        <w:t>The individual must require prescribed medication to control the condition.</w:t>
      </w:r>
      <w:r>
        <w:rPr>
          <w:spacing w:val="-1"/>
          <w:sz w:val="24"/>
        </w:rPr>
        <w:t> </w:t>
      </w:r>
      <w:r>
        <w:rPr>
          <w:sz w:val="24"/>
        </w:rPr>
        <w:t>Those</w:t>
      </w:r>
      <w:r>
        <w:rPr>
          <w:spacing w:val="-2"/>
          <w:sz w:val="24"/>
        </w:rPr>
        <w:t> </w:t>
      </w:r>
      <w:r>
        <w:rPr>
          <w:sz w:val="24"/>
        </w:rPr>
        <w:t>persons</w:t>
      </w:r>
      <w:r>
        <w:rPr>
          <w:spacing w:val="-2"/>
          <w:sz w:val="24"/>
        </w:rPr>
        <w:t> </w:t>
      </w:r>
      <w:r>
        <w:rPr>
          <w:sz w:val="24"/>
        </w:rPr>
        <w:t>whose</w:t>
      </w:r>
      <w:r>
        <w:rPr>
          <w:spacing w:val="-1"/>
          <w:sz w:val="24"/>
        </w:rPr>
        <w:t> </w:t>
      </w:r>
      <w:r>
        <w:rPr>
          <w:sz w:val="24"/>
        </w:rPr>
        <w:t>diabetes</w:t>
      </w:r>
      <w:r>
        <w:rPr>
          <w:spacing w:val="-2"/>
          <w:sz w:val="24"/>
        </w:rPr>
        <w:t> </w:t>
      </w:r>
      <w:r>
        <w:rPr>
          <w:sz w:val="24"/>
        </w:rPr>
        <w:t>is</w:t>
      </w:r>
      <w:r>
        <w:rPr>
          <w:spacing w:val="-1"/>
          <w:sz w:val="24"/>
        </w:rPr>
        <w:t> </w:t>
      </w:r>
      <w:r>
        <w:rPr>
          <w:sz w:val="24"/>
        </w:rPr>
        <w:t>controlled</w:t>
      </w:r>
      <w:r>
        <w:rPr>
          <w:spacing w:val="-1"/>
          <w:sz w:val="24"/>
        </w:rPr>
        <w:t> </w:t>
      </w:r>
      <w:r>
        <w:rPr>
          <w:sz w:val="24"/>
        </w:rPr>
        <w:t>by</w:t>
      </w:r>
      <w:r>
        <w:rPr>
          <w:spacing w:val="-2"/>
          <w:sz w:val="24"/>
        </w:rPr>
        <w:t> </w:t>
      </w:r>
      <w:r>
        <w:rPr>
          <w:sz w:val="24"/>
        </w:rPr>
        <w:t>diet</w:t>
      </w:r>
      <w:r>
        <w:rPr>
          <w:spacing w:val="-1"/>
          <w:sz w:val="24"/>
        </w:rPr>
        <w:t> </w:t>
      </w:r>
      <w:r>
        <w:rPr>
          <w:sz w:val="24"/>
        </w:rPr>
        <w:t>and</w:t>
      </w:r>
      <w:r>
        <w:rPr>
          <w:spacing w:val="-2"/>
          <w:sz w:val="24"/>
        </w:rPr>
        <w:t> </w:t>
      </w:r>
      <w:r>
        <w:rPr>
          <w:sz w:val="24"/>
        </w:rPr>
        <w:t>exercise</w:t>
      </w:r>
      <w:r>
        <w:rPr>
          <w:spacing w:val="-2"/>
          <w:sz w:val="24"/>
        </w:rPr>
        <w:t> </w:t>
      </w:r>
      <w:r>
        <w:rPr>
          <w:sz w:val="24"/>
        </w:rPr>
        <w:t>alone</w:t>
      </w:r>
      <w:r>
        <w:rPr>
          <w:spacing w:val="-2"/>
          <w:sz w:val="24"/>
        </w:rPr>
        <w:t> </w:t>
      </w:r>
      <w:r>
        <w:rPr>
          <w:sz w:val="24"/>
        </w:rPr>
        <w:t>or whose condition does not result in a substantial impediment to employment will not be</w:t>
      </w:r>
      <w:r>
        <w:rPr>
          <w:spacing w:val="-3"/>
          <w:sz w:val="24"/>
        </w:rPr>
        <w:t> </w:t>
      </w:r>
      <w:r>
        <w:rPr>
          <w:sz w:val="24"/>
        </w:rPr>
        <w:t>considered</w:t>
      </w:r>
      <w:r>
        <w:rPr>
          <w:spacing w:val="-3"/>
          <w:sz w:val="24"/>
        </w:rPr>
        <w:t> </w:t>
      </w:r>
      <w:r>
        <w:rPr>
          <w:sz w:val="24"/>
        </w:rPr>
        <w:t>eligible.</w:t>
      </w:r>
      <w:r>
        <w:rPr>
          <w:spacing w:val="-1"/>
          <w:sz w:val="24"/>
        </w:rPr>
        <w:t> </w:t>
      </w:r>
      <w:r>
        <w:rPr>
          <w:sz w:val="24"/>
        </w:rPr>
        <w:t>Eligible</w:t>
      </w:r>
      <w:r>
        <w:rPr>
          <w:spacing w:val="-3"/>
          <w:sz w:val="24"/>
        </w:rPr>
        <w:t> </w:t>
      </w:r>
      <w:r>
        <w:rPr>
          <w:sz w:val="24"/>
        </w:rPr>
        <w:t>clients</w:t>
      </w:r>
      <w:r>
        <w:rPr>
          <w:spacing w:val="-3"/>
          <w:sz w:val="24"/>
        </w:rPr>
        <w:t> </w:t>
      </w:r>
      <w:r>
        <w:rPr>
          <w:sz w:val="24"/>
        </w:rPr>
        <w:t>will</w:t>
      </w:r>
      <w:r>
        <w:rPr>
          <w:spacing w:val="-3"/>
          <w:sz w:val="24"/>
        </w:rPr>
        <w:t> </w:t>
      </w:r>
      <w:r>
        <w:rPr>
          <w:sz w:val="24"/>
        </w:rPr>
        <w:t>be</w:t>
      </w:r>
      <w:r>
        <w:rPr>
          <w:spacing w:val="-2"/>
          <w:sz w:val="24"/>
        </w:rPr>
        <w:t> </w:t>
      </w:r>
      <w:r>
        <w:rPr>
          <w:sz w:val="24"/>
        </w:rPr>
        <w:t>required</w:t>
      </w:r>
      <w:r>
        <w:rPr>
          <w:spacing w:val="-3"/>
          <w:sz w:val="24"/>
        </w:rPr>
        <w:t> </w:t>
      </w:r>
      <w:r>
        <w:rPr>
          <w:sz w:val="24"/>
        </w:rPr>
        <w:t>to</w:t>
      </w:r>
      <w:r>
        <w:rPr>
          <w:spacing w:val="-3"/>
          <w:sz w:val="24"/>
        </w:rPr>
        <w:t> </w:t>
      </w:r>
      <w:r>
        <w:rPr>
          <w:sz w:val="24"/>
        </w:rPr>
        <w:t>undergo</w:t>
      </w:r>
      <w:r>
        <w:rPr>
          <w:spacing w:val="-3"/>
          <w:sz w:val="24"/>
        </w:rPr>
        <w:t> </w:t>
      </w:r>
      <w:r>
        <w:rPr>
          <w:sz w:val="24"/>
        </w:rPr>
        <w:t>a</w:t>
      </w:r>
      <w:r>
        <w:rPr>
          <w:spacing w:val="-3"/>
          <w:sz w:val="24"/>
        </w:rPr>
        <w:t> </w:t>
      </w:r>
      <w:r>
        <w:rPr>
          <w:sz w:val="24"/>
        </w:rPr>
        <w:t>visual</w:t>
      </w:r>
      <w:r>
        <w:rPr>
          <w:spacing w:val="-3"/>
          <w:sz w:val="24"/>
        </w:rPr>
        <w:t> </w:t>
      </w:r>
      <w:r>
        <w:rPr>
          <w:sz w:val="24"/>
        </w:rPr>
        <w:t>exam</w:t>
      </w:r>
      <w:r>
        <w:rPr>
          <w:spacing w:val="-2"/>
          <w:sz w:val="24"/>
        </w:rPr>
        <w:t> </w:t>
      </w:r>
      <w:r>
        <w:rPr>
          <w:sz w:val="24"/>
        </w:rPr>
        <w:t>by</w:t>
      </w:r>
      <w:r>
        <w:rPr>
          <w:spacing w:val="-3"/>
          <w:sz w:val="24"/>
        </w:rPr>
        <w:t> </w:t>
      </w:r>
      <w:r>
        <w:rPr>
          <w:sz w:val="24"/>
        </w:rPr>
        <w:t>a licensed</w:t>
      </w:r>
      <w:r>
        <w:rPr>
          <w:spacing w:val="-4"/>
          <w:sz w:val="24"/>
        </w:rPr>
        <w:t> </w:t>
      </w:r>
      <w:r>
        <w:rPr>
          <w:sz w:val="24"/>
        </w:rPr>
        <w:t>ophthalmologist</w:t>
      </w:r>
      <w:r>
        <w:rPr>
          <w:spacing w:val="-3"/>
          <w:sz w:val="24"/>
        </w:rPr>
        <w:t> </w:t>
      </w:r>
      <w:r>
        <w:rPr>
          <w:sz w:val="24"/>
        </w:rPr>
        <w:t>at</w:t>
      </w:r>
      <w:r>
        <w:rPr>
          <w:spacing w:val="-5"/>
          <w:sz w:val="24"/>
        </w:rPr>
        <w:t> </w:t>
      </w:r>
      <w:r>
        <w:rPr>
          <w:sz w:val="24"/>
        </w:rPr>
        <w:t>least</w:t>
      </w:r>
      <w:r>
        <w:rPr>
          <w:spacing w:val="-3"/>
          <w:sz w:val="24"/>
        </w:rPr>
        <w:t> </w:t>
      </w:r>
      <w:r>
        <w:rPr>
          <w:sz w:val="24"/>
        </w:rPr>
        <w:t>once</w:t>
      </w:r>
      <w:r>
        <w:rPr>
          <w:spacing w:val="-4"/>
          <w:sz w:val="24"/>
        </w:rPr>
        <w:t> </w:t>
      </w:r>
      <w:r>
        <w:rPr>
          <w:sz w:val="24"/>
        </w:rPr>
        <w:t>a</w:t>
      </w:r>
      <w:r>
        <w:rPr>
          <w:spacing w:val="-4"/>
          <w:sz w:val="24"/>
        </w:rPr>
        <w:t> </w:t>
      </w:r>
      <w:r>
        <w:rPr>
          <w:sz w:val="24"/>
        </w:rPr>
        <w:t>year.</w:t>
      </w:r>
      <w:r>
        <w:rPr>
          <w:spacing w:val="-5"/>
          <w:sz w:val="24"/>
        </w:rPr>
        <w:t> </w:t>
      </w:r>
      <w:r>
        <w:rPr>
          <w:sz w:val="24"/>
        </w:rPr>
        <w:t>Diabetes</w:t>
      </w:r>
      <w:r>
        <w:rPr>
          <w:spacing w:val="-4"/>
          <w:sz w:val="24"/>
        </w:rPr>
        <w:t> </w:t>
      </w:r>
      <w:r>
        <w:rPr>
          <w:sz w:val="24"/>
        </w:rPr>
        <w:t>management</w:t>
      </w:r>
      <w:r>
        <w:rPr>
          <w:spacing w:val="-3"/>
          <w:sz w:val="24"/>
        </w:rPr>
        <w:t> </w:t>
      </w:r>
      <w:r>
        <w:rPr>
          <w:sz w:val="24"/>
        </w:rPr>
        <w:t>training</w:t>
      </w:r>
      <w:r>
        <w:rPr>
          <w:spacing w:val="-4"/>
          <w:sz w:val="24"/>
        </w:rPr>
        <w:t> </w:t>
      </w:r>
      <w:r>
        <w:rPr>
          <w:sz w:val="24"/>
        </w:rPr>
        <w:t>will</w:t>
      </w:r>
      <w:r>
        <w:rPr>
          <w:spacing w:val="-4"/>
          <w:sz w:val="24"/>
        </w:rPr>
        <w:t> </w:t>
      </w:r>
      <w:r>
        <w:rPr>
          <w:sz w:val="24"/>
        </w:rPr>
        <w:t>be incorporated into the IPE unless the client shows that he/she has previously completed diabetes management training. When recommended by a physician, diabetes management training will be incorporated into the IPE regardless of past diabetes education received by the individual. </w:t>
      </w:r>
      <w:r>
        <w:rPr>
          <w:b/>
          <w:sz w:val="24"/>
        </w:rPr>
        <w:t>3,8,9</w:t>
      </w:r>
    </w:p>
    <w:p>
      <w:pPr>
        <w:pStyle w:val="ListParagraph"/>
        <w:numPr>
          <w:ilvl w:val="0"/>
          <w:numId w:val="118"/>
        </w:numPr>
        <w:tabs>
          <w:tab w:pos="1218" w:val="left" w:leader="none"/>
        </w:tabs>
        <w:spacing w:line="208" w:lineRule="auto" w:before="239" w:after="0"/>
        <w:ind w:left="792" w:right="1176" w:firstLine="0"/>
        <w:jc w:val="left"/>
        <w:rPr>
          <w:sz w:val="24"/>
        </w:rPr>
      </w:pPr>
      <w:r>
        <w:rPr>
          <w:b/>
          <w:sz w:val="24"/>
        </w:rPr>
        <w:t>Facial</w:t>
      </w:r>
      <w:r>
        <w:rPr>
          <w:b/>
          <w:spacing w:val="-6"/>
          <w:sz w:val="24"/>
        </w:rPr>
        <w:t> </w:t>
      </w:r>
      <w:r>
        <w:rPr>
          <w:b/>
          <w:sz w:val="24"/>
        </w:rPr>
        <w:t>and</w:t>
      </w:r>
      <w:r>
        <w:rPr>
          <w:b/>
          <w:spacing w:val="-4"/>
          <w:sz w:val="24"/>
        </w:rPr>
        <w:t> </w:t>
      </w:r>
      <w:r>
        <w:rPr>
          <w:b/>
          <w:sz w:val="24"/>
        </w:rPr>
        <w:t>Disfigurement</w:t>
      </w:r>
      <w:r>
        <w:rPr>
          <w:b/>
          <w:spacing w:val="-3"/>
          <w:sz w:val="24"/>
        </w:rPr>
        <w:t> </w:t>
      </w:r>
      <w:r>
        <w:rPr>
          <w:b/>
          <w:sz w:val="24"/>
        </w:rPr>
        <w:t>Conditions.</w:t>
      </w:r>
      <w:r>
        <w:rPr>
          <w:b/>
          <w:spacing w:val="40"/>
          <w:sz w:val="24"/>
        </w:rPr>
        <w:t> </w:t>
      </w:r>
      <w:r>
        <w:rPr>
          <w:sz w:val="24"/>
        </w:rPr>
        <w:t>When</w:t>
      </w:r>
      <w:r>
        <w:rPr>
          <w:spacing w:val="-4"/>
          <w:sz w:val="24"/>
        </w:rPr>
        <w:t> </w:t>
      </w:r>
      <w:r>
        <w:rPr>
          <w:sz w:val="24"/>
        </w:rPr>
        <w:t>these</w:t>
      </w:r>
      <w:r>
        <w:rPr>
          <w:spacing w:val="-4"/>
          <w:sz w:val="24"/>
        </w:rPr>
        <w:t> </w:t>
      </w:r>
      <w:r>
        <w:rPr>
          <w:sz w:val="24"/>
        </w:rPr>
        <w:t>conditions</w:t>
      </w:r>
      <w:r>
        <w:rPr>
          <w:spacing w:val="-4"/>
          <w:sz w:val="24"/>
        </w:rPr>
        <w:t> </w:t>
      </w:r>
      <w:r>
        <w:rPr>
          <w:sz w:val="24"/>
        </w:rPr>
        <w:t>result</w:t>
      </w:r>
      <w:r>
        <w:rPr>
          <w:spacing w:val="-3"/>
          <w:sz w:val="24"/>
        </w:rPr>
        <w:t> </w:t>
      </w:r>
      <w:r>
        <w:rPr>
          <w:sz w:val="24"/>
        </w:rPr>
        <w:t>in</w:t>
      </w:r>
      <w:r>
        <w:rPr>
          <w:spacing w:val="-4"/>
          <w:sz w:val="24"/>
        </w:rPr>
        <w:t> </w:t>
      </w:r>
      <w:r>
        <w:rPr>
          <w:sz w:val="24"/>
        </w:rPr>
        <w:t>an impediment to employment an individual may be eligible for VR services.</w:t>
      </w:r>
    </w:p>
    <w:p>
      <w:pPr>
        <w:pStyle w:val="ListParagraph"/>
        <w:numPr>
          <w:ilvl w:val="0"/>
          <w:numId w:val="118"/>
        </w:numPr>
        <w:tabs>
          <w:tab w:pos="1218" w:val="left" w:leader="none"/>
        </w:tabs>
        <w:spacing w:line="208" w:lineRule="auto" w:before="239" w:after="0"/>
        <w:ind w:left="792" w:right="788" w:firstLine="0"/>
        <w:jc w:val="left"/>
        <w:rPr>
          <w:sz w:val="24"/>
        </w:rPr>
      </w:pPr>
      <w:r>
        <w:rPr>
          <w:b/>
          <w:sz w:val="24"/>
        </w:rPr>
        <w:t>Learning Disabilities.</w:t>
      </w:r>
      <w:r>
        <w:rPr>
          <w:b/>
          <w:spacing w:val="40"/>
          <w:sz w:val="24"/>
        </w:rPr>
        <w:t> </w:t>
      </w:r>
      <w:r>
        <w:rPr>
          <w:sz w:val="24"/>
        </w:rPr>
        <w:t>Learning disabilities is a general term that refers to a group of disorders manifested by significant difficulties in the attainment and use of listening, speaking, reading, writing, reasoning, or mathematical abilities. Learning disabilities are identified when there are difficulties learning and using academic skills,</w:t>
      </w:r>
      <w:r>
        <w:rPr>
          <w:spacing w:val="-3"/>
          <w:sz w:val="24"/>
        </w:rPr>
        <w:t> </w:t>
      </w:r>
      <w:r>
        <w:rPr>
          <w:sz w:val="24"/>
        </w:rPr>
        <w:t>as</w:t>
      </w:r>
      <w:r>
        <w:rPr>
          <w:spacing w:val="-4"/>
          <w:sz w:val="24"/>
        </w:rPr>
        <w:t> </w:t>
      </w:r>
      <w:r>
        <w:rPr>
          <w:sz w:val="24"/>
        </w:rPr>
        <w:t>indicated</w:t>
      </w:r>
      <w:r>
        <w:rPr>
          <w:spacing w:val="-4"/>
          <w:sz w:val="24"/>
        </w:rPr>
        <w:t> </w:t>
      </w:r>
      <w:r>
        <w:rPr>
          <w:sz w:val="24"/>
        </w:rPr>
        <w:t>by</w:t>
      </w:r>
      <w:r>
        <w:rPr>
          <w:spacing w:val="-4"/>
          <w:sz w:val="24"/>
        </w:rPr>
        <w:t> </w:t>
      </w:r>
      <w:r>
        <w:rPr>
          <w:sz w:val="24"/>
        </w:rPr>
        <w:t>at</w:t>
      </w:r>
      <w:r>
        <w:rPr>
          <w:spacing w:val="-3"/>
          <w:sz w:val="24"/>
        </w:rPr>
        <w:t> </w:t>
      </w:r>
      <w:r>
        <w:rPr>
          <w:sz w:val="24"/>
        </w:rPr>
        <w:t>least</w:t>
      </w:r>
      <w:r>
        <w:rPr>
          <w:spacing w:val="-3"/>
          <w:sz w:val="24"/>
        </w:rPr>
        <w:t> </w:t>
      </w:r>
      <w:r>
        <w:rPr>
          <w:sz w:val="24"/>
        </w:rPr>
        <w:t>one</w:t>
      </w:r>
      <w:r>
        <w:rPr>
          <w:spacing w:val="-4"/>
          <w:sz w:val="24"/>
        </w:rPr>
        <w:t> </w:t>
      </w:r>
      <w:r>
        <w:rPr>
          <w:sz w:val="24"/>
        </w:rPr>
        <w:t>of</w:t>
      </w:r>
      <w:r>
        <w:rPr>
          <w:spacing w:val="-3"/>
          <w:sz w:val="24"/>
        </w:rPr>
        <w:t> </w:t>
      </w:r>
      <w:r>
        <w:rPr>
          <w:sz w:val="24"/>
        </w:rPr>
        <w:t>the</w:t>
      </w:r>
      <w:r>
        <w:rPr>
          <w:spacing w:val="-5"/>
          <w:sz w:val="24"/>
        </w:rPr>
        <w:t> </w:t>
      </w:r>
      <w:r>
        <w:rPr>
          <w:sz w:val="24"/>
        </w:rPr>
        <w:t>following</w:t>
      </w:r>
      <w:r>
        <w:rPr>
          <w:spacing w:val="-4"/>
          <w:sz w:val="24"/>
        </w:rPr>
        <w:t> </w:t>
      </w:r>
      <w:r>
        <w:rPr>
          <w:sz w:val="24"/>
        </w:rPr>
        <w:t>occurring</w:t>
      </w:r>
      <w:r>
        <w:rPr>
          <w:spacing w:val="-4"/>
          <w:sz w:val="24"/>
        </w:rPr>
        <w:t> </w:t>
      </w:r>
      <w:r>
        <w:rPr>
          <w:sz w:val="24"/>
        </w:rPr>
        <w:t>even</w:t>
      </w:r>
      <w:r>
        <w:rPr>
          <w:spacing w:val="-4"/>
          <w:sz w:val="24"/>
        </w:rPr>
        <w:t> </w:t>
      </w:r>
      <w:r>
        <w:rPr>
          <w:sz w:val="24"/>
        </w:rPr>
        <w:t>with</w:t>
      </w:r>
      <w:r>
        <w:rPr>
          <w:spacing w:val="-4"/>
          <w:sz w:val="24"/>
        </w:rPr>
        <w:t> </w:t>
      </w:r>
      <w:r>
        <w:rPr>
          <w:sz w:val="24"/>
        </w:rPr>
        <w:t>interventions: Inaccurate or slow reading, difficulty understanding the meaning of what is read,</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791" w:right="775"/>
        <w:rPr>
          <w:b/>
        </w:rPr>
      </w:pPr>
      <w:r>
        <w:rPr/>
        <w:t>difficulties with spelling, difficulties with written expression, difficulties mastering numbers sense, facts or calculation, and difficulties with mathematical reasoning. Also, academic skills are significantly below those expected for the student's chronological</w:t>
      </w:r>
      <w:r>
        <w:rPr>
          <w:spacing w:val="-5"/>
        </w:rPr>
        <w:t> </w:t>
      </w:r>
      <w:r>
        <w:rPr/>
        <w:t>age</w:t>
      </w:r>
      <w:r>
        <w:rPr>
          <w:spacing w:val="-5"/>
        </w:rPr>
        <w:t> </w:t>
      </w:r>
      <w:r>
        <w:rPr/>
        <w:t>and</w:t>
      </w:r>
      <w:r>
        <w:rPr>
          <w:spacing w:val="-4"/>
        </w:rPr>
        <w:t> </w:t>
      </w:r>
      <w:r>
        <w:rPr/>
        <w:t>causes</w:t>
      </w:r>
      <w:r>
        <w:rPr>
          <w:spacing w:val="-5"/>
        </w:rPr>
        <w:t> </w:t>
      </w:r>
      <w:r>
        <w:rPr/>
        <w:t>issues</w:t>
      </w:r>
      <w:r>
        <w:rPr>
          <w:spacing w:val="-5"/>
        </w:rPr>
        <w:t> </w:t>
      </w:r>
      <w:r>
        <w:rPr/>
        <w:t>with</w:t>
      </w:r>
      <w:r>
        <w:rPr>
          <w:spacing w:val="-5"/>
        </w:rPr>
        <w:t> </w:t>
      </w:r>
      <w:r>
        <w:rPr/>
        <w:t>academic</w:t>
      </w:r>
      <w:r>
        <w:rPr>
          <w:spacing w:val="-5"/>
        </w:rPr>
        <w:t> </w:t>
      </w:r>
      <w:r>
        <w:rPr/>
        <w:t>and</w:t>
      </w:r>
      <w:r>
        <w:rPr>
          <w:spacing w:val="-5"/>
        </w:rPr>
        <w:t> </w:t>
      </w:r>
      <w:r>
        <w:rPr/>
        <w:t>occupational</w:t>
      </w:r>
      <w:r>
        <w:rPr>
          <w:spacing w:val="-5"/>
        </w:rPr>
        <w:t> </w:t>
      </w:r>
      <w:r>
        <w:rPr/>
        <w:t>performance. Academic areas include, impairment in reading, impairment in written expression, and impairment in mathematics. </w:t>
      </w:r>
      <w:r>
        <w:rPr>
          <w:b/>
        </w:rPr>
        <w:t>10</w:t>
      </w:r>
    </w:p>
    <w:p>
      <w:pPr>
        <w:pStyle w:val="ListParagraph"/>
        <w:numPr>
          <w:ilvl w:val="0"/>
          <w:numId w:val="118"/>
        </w:numPr>
        <w:tabs>
          <w:tab w:pos="1216" w:val="left" w:leader="none"/>
        </w:tabs>
        <w:spacing w:line="208" w:lineRule="auto" w:before="239" w:after="0"/>
        <w:ind w:left="791" w:right="825" w:firstLine="0"/>
        <w:jc w:val="left"/>
        <w:rPr>
          <w:sz w:val="24"/>
        </w:rPr>
      </w:pPr>
      <w:r>
        <w:rPr>
          <w:b/>
          <w:sz w:val="24"/>
        </w:rPr>
        <w:t>Mental Disorders. </w:t>
      </w:r>
      <w:r>
        <w:rPr>
          <w:sz w:val="24"/>
        </w:rPr>
        <w:t>Individuals may be eligible for vocational rehabilitation services based on a mental health diagnosis made by a qualified professional (612:10-7-98 (17)(A)(1-5)). Documentation must be filed from a qualified professional indicating the client is participating in a treatment plan and in compliance</w:t>
      </w:r>
      <w:r>
        <w:rPr>
          <w:spacing w:val="-3"/>
          <w:sz w:val="24"/>
        </w:rPr>
        <w:t> </w:t>
      </w:r>
      <w:r>
        <w:rPr>
          <w:sz w:val="24"/>
        </w:rPr>
        <w:t>with</w:t>
      </w:r>
      <w:r>
        <w:rPr>
          <w:spacing w:val="-4"/>
          <w:sz w:val="24"/>
        </w:rPr>
        <w:t> </w:t>
      </w:r>
      <w:r>
        <w:rPr>
          <w:sz w:val="24"/>
        </w:rPr>
        <w:t>all</w:t>
      </w:r>
      <w:r>
        <w:rPr>
          <w:spacing w:val="-4"/>
          <w:sz w:val="24"/>
        </w:rPr>
        <w:t> </w:t>
      </w:r>
      <w:r>
        <w:rPr>
          <w:sz w:val="24"/>
        </w:rPr>
        <w:t>medication</w:t>
      </w:r>
      <w:r>
        <w:rPr>
          <w:spacing w:val="-4"/>
          <w:sz w:val="24"/>
        </w:rPr>
        <w:t> </w:t>
      </w:r>
      <w:r>
        <w:rPr>
          <w:sz w:val="24"/>
        </w:rPr>
        <w:t>as</w:t>
      </w:r>
      <w:r>
        <w:rPr>
          <w:spacing w:val="-3"/>
          <w:sz w:val="24"/>
        </w:rPr>
        <w:t> </w:t>
      </w:r>
      <w:r>
        <w:rPr>
          <w:sz w:val="24"/>
        </w:rPr>
        <w:t>prescribed.</w:t>
      </w:r>
      <w:r>
        <w:rPr>
          <w:spacing w:val="-3"/>
          <w:sz w:val="24"/>
        </w:rPr>
        <w:t> </w:t>
      </w:r>
      <w:r>
        <w:rPr>
          <w:sz w:val="24"/>
        </w:rPr>
        <w:t>Treatment</w:t>
      </w:r>
      <w:r>
        <w:rPr>
          <w:spacing w:val="-5"/>
          <w:sz w:val="24"/>
        </w:rPr>
        <w:t> </w:t>
      </w:r>
      <w:r>
        <w:rPr>
          <w:sz w:val="24"/>
        </w:rPr>
        <w:t>must</w:t>
      </w:r>
      <w:r>
        <w:rPr>
          <w:spacing w:val="-3"/>
          <w:sz w:val="24"/>
        </w:rPr>
        <w:t> </w:t>
      </w:r>
      <w:r>
        <w:rPr>
          <w:sz w:val="24"/>
        </w:rPr>
        <w:t>be</w:t>
      </w:r>
      <w:r>
        <w:rPr>
          <w:spacing w:val="-4"/>
          <w:sz w:val="24"/>
        </w:rPr>
        <w:t> </w:t>
      </w:r>
      <w:r>
        <w:rPr>
          <w:sz w:val="24"/>
        </w:rPr>
        <w:t>incorporated</w:t>
      </w:r>
      <w:r>
        <w:rPr>
          <w:spacing w:val="-4"/>
          <w:sz w:val="24"/>
        </w:rPr>
        <w:t> </w:t>
      </w:r>
      <w:r>
        <w:rPr>
          <w:sz w:val="24"/>
        </w:rPr>
        <w:t>as</w:t>
      </w:r>
      <w:r>
        <w:rPr>
          <w:spacing w:val="-4"/>
          <w:sz w:val="24"/>
        </w:rPr>
        <w:t> </w:t>
      </w:r>
      <w:r>
        <w:rPr>
          <w:sz w:val="24"/>
        </w:rPr>
        <w:t>a service in the IPE for individuals with a mental disorder.</w:t>
      </w:r>
    </w:p>
    <w:p>
      <w:pPr>
        <w:pStyle w:val="ListParagraph"/>
        <w:numPr>
          <w:ilvl w:val="0"/>
          <w:numId w:val="118"/>
        </w:numPr>
        <w:tabs>
          <w:tab w:pos="1216" w:val="left" w:leader="none"/>
        </w:tabs>
        <w:spacing w:line="208" w:lineRule="auto" w:before="240" w:after="0"/>
        <w:ind w:left="791" w:right="884" w:firstLine="0"/>
        <w:jc w:val="left"/>
        <w:rPr>
          <w:sz w:val="24"/>
        </w:rPr>
      </w:pPr>
      <w:r>
        <w:rPr>
          <w:b/>
          <w:sz w:val="24"/>
        </w:rPr>
        <w:t>Intellectual</w:t>
      </w:r>
      <w:r>
        <w:rPr>
          <w:b/>
          <w:spacing w:val="-3"/>
          <w:sz w:val="24"/>
        </w:rPr>
        <w:t> </w:t>
      </w:r>
      <w:r>
        <w:rPr>
          <w:b/>
          <w:sz w:val="24"/>
        </w:rPr>
        <w:t>Disability.</w:t>
      </w:r>
      <w:r>
        <w:rPr>
          <w:b/>
          <w:spacing w:val="-4"/>
          <w:sz w:val="24"/>
        </w:rPr>
        <w:t> </w:t>
      </w:r>
      <w:r>
        <w:rPr>
          <w:sz w:val="24"/>
        </w:rPr>
        <w:t>To</w:t>
      </w:r>
      <w:r>
        <w:rPr>
          <w:spacing w:val="-4"/>
          <w:sz w:val="24"/>
        </w:rPr>
        <w:t> </w:t>
      </w:r>
      <w:r>
        <w:rPr>
          <w:sz w:val="24"/>
        </w:rPr>
        <w:t>be</w:t>
      </w:r>
      <w:r>
        <w:rPr>
          <w:spacing w:val="-4"/>
          <w:sz w:val="24"/>
        </w:rPr>
        <w:t> </w:t>
      </w:r>
      <w:r>
        <w:rPr>
          <w:sz w:val="24"/>
        </w:rPr>
        <w:t>eligible,</w:t>
      </w:r>
      <w:r>
        <w:rPr>
          <w:spacing w:val="-3"/>
          <w:sz w:val="24"/>
        </w:rPr>
        <w:t> </w:t>
      </w:r>
      <w:r>
        <w:rPr>
          <w:sz w:val="24"/>
        </w:rPr>
        <w:t>individuals</w:t>
      </w:r>
      <w:r>
        <w:rPr>
          <w:spacing w:val="-3"/>
          <w:sz w:val="24"/>
        </w:rPr>
        <w:t> </w:t>
      </w:r>
      <w:r>
        <w:rPr>
          <w:sz w:val="24"/>
        </w:rPr>
        <w:t>having</w:t>
      </w:r>
      <w:r>
        <w:rPr>
          <w:spacing w:val="-4"/>
          <w:sz w:val="24"/>
        </w:rPr>
        <w:t> </w:t>
      </w:r>
      <w:r>
        <w:rPr>
          <w:sz w:val="24"/>
        </w:rPr>
        <w:t>an</w:t>
      </w:r>
      <w:r>
        <w:rPr>
          <w:spacing w:val="-4"/>
          <w:sz w:val="24"/>
        </w:rPr>
        <w:t> </w:t>
      </w:r>
      <w:r>
        <w:rPr>
          <w:sz w:val="24"/>
        </w:rPr>
        <w:t>I.Q.</w:t>
      </w:r>
      <w:r>
        <w:rPr>
          <w:spacing w:val="-5"/>
          <w:sz w:val="24"/>
        </w:rPr>
        <w:t> </w:t>
      </w:r>
      <w:r>
        <w:rPr>
          <w:sz w:val="24"/>
        </w:rPr>
        <w:t>of</w:t>
      </w:r>
      <w:r>
        <w:rPr>
          <w:spacing w:val="-3"/>
          <w:sz w:val="24"/>
        </w:rPr>
        <w:t> </w:t>
      </w:r>
      <w:r>
        <w:rPr>
          <w:sz w:val="24"/>
        </w:rPr>
        <w:t>69</w:t>
      </w:r>
      <w:r>
        <w:rPr>
          <w:spacing w:val="-4"/>
          <w:sz w:val="24"/>
        </w:rPr>
        <w:t> </w:t>
      </w:r>
      <w:r>
        <w:rPr>
          <w:sz w:val="24"/>
        </w:rPr>
        <w:t>or</w:t>
      </w:r>
      <w:r>
        <w:rPr>
          <w:spacing w:val="-5"/>
          <w:sz w:val="24"/>
        </w:rPr>
        <w:t> </w:t>
      </w:r>
      <w:r>
        <w:rPr>
          <w:sz w:val="24"/>
        </w:rPr>
        <w:t>below and substantially limited adaptive functioning, as measured by an individual intelligence test, will be considered to have a substantial disability. Individuals eligible under IDEA with an I.Q. level higher than 69 may be considered to have a substantial impairment provided the documentation used by the school in determining eligibility under IDEA, in the counselor's judgment, confirms the individual is functioning in the intellectual disability range of ability. Individuals not enrolled</w:t>
      </w:r>
      <w:r>
        <w:rPr>
          <w:spacing w:val="-3"/>
          <w:sz w:val="24"/>
        </w:rPr>
        <w:t> </w:t>
      </w:r>
      <w:r>
        <w:rPr>
          <w:sz w:val="24"/>
        </w:rPr>
        <w:t>in</w:t>
      </w:r>
      <w:r>
        <w:rPr>
          <w:spacing w:val="-3"/>
          <w:sz w:val="24"/>
        </w:rPr>
        <w:t> </w:t>
      </w:r>
      <w:r>
        <w:rPr>
          <w:sz w:val="24"/>
        </w:rPr>
        <w:t>public</w:t>
      </w:r>
      <w:r>
        <w:rPr>
          <w:spacing w:val="-3"/>
          <w:sz w:val="24"/>
        </w:rPr>
        <w:t> </w:t>
      </w:r>
      <w:r>
        <w:rPr>
          <w:sz w:val="24"/>
        </w:rPr>
        <w:t>school</w:t>
      </w:r>
      <w:r>
        <w:rPr>
          <w:spacing w:val="-3"/>
          <w:sz w:val="24"/>
        </w:rPr>
        <w:t> </w:t>
      </w:r>
      <w:r>
        <w:rPr>
          <w:sz w:val="24"/>
        </w:rPr>
        <w:t>special</w:t>
      </w:r>
      <w:r>
        <w:rPr>
          <w:spacing w:val="-3"/>
          <w:sz w:val="24"/>
        </w:rPr>
        <w:t> </w:t>
      </w:r>
      <w:r>
        <w:rPr>
          <w:sz w:val="24"/>
        </w:rPr>
        <w:t>education</w:t>
      </w:r>
      <w:r>
        <w:rPr>
          <w:spacing w:val="-3"/>
          <w:sz w:val="24"/>
        </w:rPr>
        <w:t> </w:t>
      </w:r>
      <w:r>
        <w:rPr>
          <w:sz w:val="24"/>
        </w:rPr>
        <w:t>classes</w:t>
      </w:r>
      <w:r>
        <w:rPr>
          <w:spacing w:val="-3"/>
          <w:sz w:val="24"/>
        </w:rPr>
        <w:t> </w:t>
      </w:r>
      <w:r>
        <w:rPr>
          <w:sz w:val="24"/>
        </w:rPr>
        <w:t>with</w:t>
      </w:r>
      <w:r>
        <w:rPr>
          <w:spacing w:val="-3"/>
          <w:sz w:val="24"/>
        </w:rPr>
        <w:t> </w:t>
      </w:r>
      <w:r>
        <w:rPr>
          <w:sz w:val="24"/>
        </w:rPr>
        <w:t>an</w:t>
      </w:r>
      <w:r>
        <w:rPr>
          <w:spacing w:val="-3"/>
          <w:sz w:val="24"/>
        </w:rPr>
        <w:t> </w:t>
      </w:r>
      <w:r>
        <w:rPr>
          <w:sz w:val="24"/>
        </w:rPr>
        <w:t>I.Q.</w:t>
      </w:r>
      <w:r>
        <w:rPr>
          <w:spacing w:val="-2"/>
          <w:sz w:val="24"/>
        </w:rPr>
        <w:t> </w:t>
      </w:r>
      <w:r>
        <w:rPr>
          <w:sz w:val="24"/>
        </w:rPr>
        <w:t>higher</w:t>
      </w:r>
      <w:r>
        <w:rPr>
          <w:spacing w:val="-2"/>
          <w:sz w:val="24"/>
        </w:rPr>
        <w:t> </w:t>
      </w:r>
      <w:r>
        <w:rPr>
          <w:sz w:val="24"/>
        </w:rPr>
        <w:t>than</w:t>
      </w:r>
      <w:r>
        <w:rPr>
          <w:spacing w:val="-3"/>
          <w:sz w:val="24"/>
        </w:rPr>
        <w:t> </w:t>
      </w:r>
      <w:r>
        <w:rPr>
          <w:sz w:val="24"/>
        </w:rPr>
        <w:t>69</w:t>
      </w:r>
      <w:r>
        <w:rPr>
          <w:spacing w:val="-3"/>
          <w:sz w:val="24"/>
        </w:rPr>
        <w:t> </w:t>
      </w:r>
      <w:r>
        <w:rPr>
          <w:sz w:val="24"/>
        </w:rPr>
        <w:t>may be considered to have a substantial impairment provided appropriate documentation confirms the individual is functioning in the intellectual disability range of ability.</w:t>
      </w:r>
    </w:p>
    <w:p>
      <w:pPr>
        <w:pStyle w:val="ListParagraph"/>
        <w:numPr>
          <w:ilvl w:val="0"/>
          <w:numId w:val="118"/>
        </w:numPr>
        <w:tabs>
          <w:tab w:pos="1217" w:val="left" w:leader="none"/>
        </w:tabs>
        <w:spacing w:line="208" w:lineRule="auto" w:before="239" w:after="0"/>
        <w:ind w:left="791" w:right="1743" w:firstLine="0"/>
        <w:jc w:val="left"/>
        <w:rPr>
          <w:sz w:val="24"/>
        </w:rPr>
      </w:pPr>
      <w:r>
        <w:rPr>
          <w:b/>
          <w:sz w:val="24"/>
        </w:rPr>
        <w:t>Height.</w:t>
      </w:r>
      <w:r>
        <w:rPr>
          <w:b/>
          <w:spacing w:val="40"/>
          <w:sz w:val="24"/>
        </w:rPr>
        <w:t> </w:t>
      </w:r>
      <w:r>
        <w:rPr>
          <w:sz w:val="24"/>
        </w:rPr>
        <w:t>To</w:t>
      </w:r>
      <w:r>
        <w:rPr>
          <w:spacing w:val="-3"/>
          <w:sz w:val="24"/>
        </w:rPr>
        <w:t> </w:t>
      </w:r>
      <w:r>
        <w:rPr>
          <w:sz w:val="24"/>
        </w:rPr>
        <w:t>be</w:t>
      </w:r>
      <w:r>
        <w:rPr>
          <w:spacing w:val="-3"/>
          <w:sz w:val="24"/>
        </w:rPr>
        <w:t> </w:t>
      </w:r>
      <w:r>
        <w:rPr>
          <w:sz w:val="24"/>
        </w:rPr>
        <w:t>eligible,</w:t>
      </w:r>
      <w:r>
        <w:rPr>
          <w:spacing w:val="-2"/>
          <w:sz w:val="24"/>
        </w:rPr>
        <w:t> </w:t>
      </w:r>
      <w:r>
        <w:rPr>
          <w:sz w:val="24"/>
        </w:rPr>
        <w:t>a</w:t>
      </w:r>
      <w:r>
        <w:rPr>
          <w:spacing w:val="-3"/>
          <w:sz w:val="24"/>
        </w:rPr>
        <w:t> </w:t>
      </w:r>
      <w:r>
        <w:rPr>
          <w:sz w:val="24"/>
        </w:rPr>
        <w:t>person's</w:t>
      </w:r>
      <w:r>
        <w:rPr>
          <w:spacing w:val="-3"/>
          <w:sz w:val="24"/>
        </w:rPr>
        <w:t> </w:t>
      </w:r>
      <w:r>
        <w:rPr>
          <w:sz w:val="24"/>
        </w:rPr>
        <w:t>stature</w:t>
      </w:r>
      <w:r>
        <w:rPr>
          <w:spacing w:val="-3"/>
          <w:sz w:val="24"/>
        </w:rPr>
        <w:t> </w:t>
      </w:r>
      <w:r>
        <w:rPr>
          <w:sz w:val="24"/>
        </w:rPr>
        <w:t>must</w:t>
      </w:r>
      <w:r>
        <w:rPr>
          <w:spacing w:val="-2"/>
          <w:sz w:val="24"/>
        </w:rPr>
        <w:t> </w:t>
      </w:r>
      <w:r>
        <w:rPr>
          <w:sz w:val="24"/>
        </w:rPr>
        <w:t>constitute</w:t>
      </w:r>
      <w:r>
        <w:rPr>
          <w:spacing w:val="-3"/>
          <w:sz w:val="24"/>
        </w:rPr>
        <w:t> </w:t>
      </w:r>
      <w:r>
        <w:rPr>
          <w:sz w:val="24"/>
        </w:rPr>
        <w:t>or</w:t>
      </w:r>
      <w:r>
        <w:rPr>
          <w:spacing w:val="-4"/>
          <w:sz w:val="24"/>
        </w:rPr>
        <w:t> </w:t>
      </w:r>
      <w:r>
        <w:rPr>
          <w:sz w:val="24"/>
        </w:rPr>
        <w:t>result</w:t>
      </w:r>
      <w:r>
        <w:rPr>
          <w:spacing w:val="-2"/>
          <w:sz w:val="24"/>
        </w:rPr>
        <w:t> </w:t>
      </w:r>
      <w:r>
        <w:rPr>
          <w:sz w:val="24"/>
        </w:rPr>
        <w:t>in</w:t>
      </w:r>
      <w:r>
        <w:rPr>
          <w:spacing w:val="-3"/>
          <w:sz w:val="24"/>
        </w:rPr>
        <w:t> </w:t>
      </w:r>
      <w:r>
        <w:rPr>
          <w:sz w:val="24"/>
        </w:rPr>
        <w:t>a substantial impediment to employment.</w:t>
      </w:r>
    </w:p>
    <w:p>
      <w:pPr>
        <w:pStyle w:val="ListParagraph"/>
        <w:numPr>
          <w:ilvl w:val="0"/>
          <w:numId w:val="118"/>
        </w:numPr>
        <w:tabs>
          <w:tab w:pos="1349" w:val="left" w:leader="none"/>
        </w:tabs>
        <w:spacing w:line="208" w:lineRule="auto" w:before="239" w:after="0"/>
        <w:ind w:left="791" w:right="815" w:firstLine="0"/>
        <w:jc w:val="left"/>
        <w:rPr>
          <w:sz w:val="24"/>
        </w:rPr>
      </w:pPr>
      <w:r>
        <w:rPr>
          <w:b/>
          <w:sz w:val="24"/>
        </w:rPr>
        <w:t>Obesity.</w:t>
      </w:r>
      <w:r>
        <w:rPr>
          <w:b/>
          <w:spacing w:val="40"/>
          <w:sz w:val="24"/>
        </w:rPr>
        <w:t> </w:t>
      </w:r>
      <w:r>
        <w:rPr>
          <w:sz w:val="24"/>
        </w:rPr>
        <w:t>To be eligible, a person must be considered obese according to a recognized</w:t>
      </w:r>
      <w:r>
        <w:rPr>
          <w:spacing w:val="-3"/>
          <w:sz w:val="24"/>
        </w:rPr>
        <w:t> </w:t>
      </w:r>
      <w:r>
        <w:rPr>
          <w:sz w:val="24"/>
        </w:rPr>
        <w:t>medical</w:t>
      </w:r>
      <w:r>
        <w:rPr>
          <w:spacing w:val="-4"/>
          <w:sz w:val="24"/>
        </w:rPr>
        <w:t> </w:t>
      </w:r>
      <w:r>
        <w:rPr>
          <w:sz w:val="24"/>
        </w:rPr>
        <w:t>classification</w:t>
      </w:r>
      <w:r>
        <w:rPr>
          <w:spacing w:val="-3"/>
          <w:sz w:val="24"/>
        </w:rPr>
        <w:t> </w:t>
      </w:r>
      <w:r>
        <w:rPr>
          <w:sz w:val="24"/>
        </w:rPr>
        <w:t>protocol</w:t>
      </w:r>
      <w:r>
        <w:rPr>
          <w:spacing w:val="-4"/>
          <w:sz w:val="24"/>
        </w:rPr>
        <w:t> </w:t>
      </w:r>
      <w:r>
        <w:rPr>
          <w:b/>
          <w:sz w:val="24"/>
        </w:rPr>
        <w:t>11</w:t>
      </w:r>
      <w:r>
        <w:rPr>
          <w:b/>
          <w:spacing w:val="-4"/>
          <w:sz w:val="24"/>
        </w:rPr>
        <w:t> </w:t>
      </w:r>
      <w:r>
        <w:rPr>
          <w:sz w:val="24"/>
        </w:rPr>
        <w:t>and</w:t>
      </w:r>
      <w:r>
        <w:rPr>
          <w:spacing w:val="-4"/>
          <w:sz w:val="24"/>
        </w:rPr>
        <w:t> </w:t>
      </w:r>
      <w:r>
        <w:rPr>
          <w:sz w:val="24"/>
        </w:rPr>
        <w:t>the</w:t>
      </w:r>
      <w:r>
        <w:rPr>
          <w:spacing w:val="-4"/>
          <w:sz w:val="24"/>
        </w:rPr>
        <w:t> </w:t>
      </w:r>
      <w:r>
        <w:rPr>
          <w:sz w:val="24"/>
        </w:rPr>
        <w:t>impairment</w:t>
      </w:r>
      <w:r>
        <w:rPr>
          <w:spacing w:val="-5"/>
          <w:sz w:val="24"/>
        </w:rPr>
        <w:t> </w:t>
      </w:r>
      <w:r>
        <w:rPr>
          <w:sz w:val="24"/>
        </w:rPr>
        <w:t>must</w:t>
      </w:r>
      <w:r>
        <w:rPr>
          <w:spacing w:val="-3"/>
          <w:sz w:val="24"/>
        </w:rPr>
        <w:t> </w:t>
      </w:r>
      <w:r>
        <w:rPr>
          <w:sz w:val="24"/>
        </w:rPr>
        <w:t>constitute</w:t>
      </w:r>
      <w:r>
        <w:rPr>
          <w:spacing w:val="-4"/>
          <w:sz w:val="24"/>
        </w:rPr>
        <w:t> </w:t>
      </w:r>
      <w:r>
        <w:rPr>
          <w:sz w:val="24"/>
        </w:rPr>
        <w:t>or result</w:t>
      </w:r>
      <w:r>
        <w:rPr>
          <w:spacing w:val="-1"/>
          <w:sz w:val="24"/>
        </w:rPr>
        <w:t> </w:t>
      </w:r>
      <w:r>
        <w:rPr>
          <w:sz w:val="24"/>
        </w:rPr>
        <w:t>in</w:t>
      </w:r>
      <w:r>
        <w:rPr>
          <w:spacing w:val="-2"/>
          <w:sz w:val="24"/>
        </w:rPr>
        <w:t> </w:t>
      </w:r>
      <w:r>
        <w:rPr>
          <w:sz w:val="24"/>
        </w:rPr>
        <w:t>a</w:t>
      </w:r>
      <w:r>
        <w:rPr>
          <w:spacing w:val="-2"/>
          <w:sz w:val="24"/>
        </w:rPr>
        <w:t> </w:t>
      </w:r>
      <w:r>
        <w:rPr>
          <w:sz w:val="24"/>
        </w:rPr>
        <w:t>substantial</w:t>
      </w:r>
      <w:r>
        <w:rPr>
          <w:spacing w:val="-2"/>
          <w:sz w:val="24"/>
        </w:rPr>
        <w:t> </w:t>
      </w:r>
      <w:r>
        <w:rPr>
          <w:sz w:val="24"/>
        </w:rPr>
        <w:t>impediment</w:t>
      </w:r>
      <w:r>
        <w:rPr>
          <w:spacing w:val="-1"/>
          <w:sz w:val="24"/>
        </w:rPr>
        <w:t> </w:t>
      </w:r>
      <w:r>
        <w:rPr>
          <w:sz w:val="24"/>
        </w:rPr>
        <w:t>to</w:t>
      </w:r>
      <w:r>
        <w:rPr>
          <w:spacing w:val="-2"/>
          <w:sz w:val="24"/>
        </w:rPr>
        <w:t> </w:t>
      </w:r>
      <w:r>
        <w:rPr>
          <w:sz w:val="24"/>
        </w:rPr>
        <w:t>employment.</w:t>
      </w:r>
      <w:r>
        <w:rPr>
          <w:spacing w:val="-1"/>
          <w:sz w:val="24"/>
        </w:rPr>
        <w:t> </w:t>
      </w:r>
      <w:r>
        <w:rPr>
          <w:sz w:val="24"/>
        </w:rPr>
        <w:t>Some</w:t>
      </w:r>
      <w:r>
        <w:rPr>
          <w:spacing w:val="-2"/>
          <w:sz w:val="24"/>
        </w:rPr>
        <w:t> </w:t>
      </w:r>
      <w:r>
        <w:rPr>
          <w:sz w:val="24"/>
        </w:rPr>
        <w:t>type</w:t>
      </w:r>
      <w:r>
        <w:rPr>
          <w:spacing w:val="-2"/>
          <w:sz w:val="24"/>
        </w:rPr>
        <w:t> </w:t>
      </w:r>
      <w:r>
        <w:rPr>
          <w:sz w:val="24"/>
        </w:rPr>
        <w:t>of</w:t>
      </w:r>
      <w:r>
        <w:rPr>
          <w:spacing w:val="-1"/>
          <w:sz w:val="24"/>
        </w:rPr>
        <w:t> </w:t>
      </w:r>
      <w:r>
        <w:rPr>
          <w:sz w:val="24"/>
        </w:rPr>
        <w:t>weight</w:t>
      </w:r>
      <w:r>
        <w:rPr>
          <w:spacing w:val="-1"/>
          <w:sz w:val="24"/>
        </w:rPr>
        <w:t> </w:t>
      </w:r>
      <w:r>
        <w:rPr>
          <w:sz w:val="24"/>
        </w:rPr>
        <w:t>loss</w:t>
      </w:r>
      <w:r>
        <w:rPr>
          <w:spacing w:val="-2"/>
          <w:sz w:val="24"/>
        </w:rPr>
        <w:t> </w:t>
      </w:r>
      <w:r>
        <w:rPr>
          <w:sz w:val="24"/>
        </w:rPr>
        <w:t>plan</w:t>
      </w:r>
      <w:r>
        <w:rPr>
          <w:spacing w:val="-2"/>
          <w:sz w:val="24"/>
        </w:rPr>
        <w:t> </w:t>
      </w:r>
      <w:r>
        <w:rPr>
          <w:sz w:val="24"/>
        </w:rPr>
        <w:t>or treatment for obesity must be included as a service in the IPE.</w:t>
      </w:r>
    </w:p>
    <w:p>
      <w:pPr>
        <w:pStyle w:val="ListParagraph"/>
        <w:numPr>
          <w:ilvl w:val="0"/>
          <w:numId w:val="118"/>
        </w:numPr>
        <w:tabs>
          <w:tab w:pos="1350" w:val="left" w:leader="none"/>
        </w:tabs>
        <w:spacing w:line="208" w:lineRule="auto" w:before="240" w:after="0"/>
        <w:ind w:left="791" w:right="961" w:firstLine="0"/>
        <w:jc w:val="left"/>
        <w:rPr>
          <w:sz w:val="24"/>
        </w:rPr>
      </w:pPr>
      <w:r>
        <w:rPr>
          <w:b/>
          <w:sz w:val="24"/>
        </w:rPr>
        <w:t>Visual.</w:t>
      </w:r>
      <w:r>
        <w:rPr>
          <w:b/>
          <w:spacing w:val="40"/>
          <w:sz w:val="24"/>
        </w:rPr>
        <w:t> </w:t>
      </w:r>
      <w:r>
        <w:rPr>
          <w:sz w:val="24"/>
        </w:rPr>
        <w:t>Any</w:t>
      </w:r>
      <w:r>
        <w:rPr>
          <w:spacing w:val="-3"/>
          <w:sz w:val="24"/>
        </w:rPr>
        <w:t> </w:t>
      </w:r>
      <w:r>
        <w:rPr>
          <w:sz w:val="24"/>
        </w:rPr>
        <w:t>of</w:t>
      </w:r>
      <w:r>
        <w:rPr>
          <w:spacing w:val="-4"/>
          <w:sz w:val="24"/>
        </w:rPr>
        <w:t> </w:t>
      </w:r>
      <w:r>
        <w:rPr>
          <w:sz w:val="24"/>
        </w:rPr>
        <w:t>the</w:t>
      </w:r>
      <w:r>
        <w:rPr>
          <w:spacing w:val="-3"/>
          <w:sz w:val="24"/>
        </w:rPr>
        <w:t> </w:t>
      </w:r>
      <w:r>
        <w:rPr>
          <w:sz w:val="24"/>
        </w:rPr>
        <w:t>following</w:t>
      </w:r>
      <w:r>
        <w:rPr>
          <w:spacing w:val="-2"/>
          <w:sz w:val="24"/>
        </w:rPr>
        <w:t> </w:t>
      </w:r>
      <w:r>
        <w:rPr>
          <w:sz w:val="24"/>
        </w:rPr>
        <w:t>conditions</w:t>
      </w:r>
      <w:r>
        <w:rPr>
          <w:spacing w:val="-3"/>
          <w:sz w:val="24"/>
        </w:rPr>
        <w:t> </w:t>
      </w:r>
      <w:r>
        <w:rPr>
          <w:sz w:val="24"/>
        </w:rPr>
        <w:t>may</w:t>
      </w:r>
      <w:r>
        <w:rPr>
          <w:spacing w:val="-3"/>
          <w:sz w:val="24"/>
        </w:rPr>
        <w:t> </w:t>
      </w:r>
      <w:r>
        <w:rPr>
          <w:sz w:val="24"/>
        </w:rPr>
        <w:t>provide</w:t>
      </w:r>
      <w:r>
        <w:rPr>
          <w:spacing w:val="-3"/>
          <w:sz w:val="24"/>
        </w:rPr>
        <w:t> </w:t>
      </w:r>
      <w:r>
        <w:rPr>
          <w:sz w:val="24"/>
        </w:rPr>
        <w:t>a</w:t>
      </w:r>
      <w:r>
        <w:rPr>
          <w:spacing w:val="-3"/>
          <w:sz w:val="24"/>
        </w:rPr>
        <w:t> </w:t>
      </w:r>
      <w:r>
        <w:rPr>
          <w:sz w:val="24"/>
        </w:rPr>
        <w:t>basis</w:t>
      </w:r>
      <w:r>
        <w:rPr>
          <w:spacing w:val="-3"/>
          <w:sz w:val="24"/>
        </w:rPr>
        <w:t> </w:t>
      </w:r>
      <w:r>
        <w:rPr>
          <w:sz w:val="24"/>
        </w:rPr>
        <w:t>for</w:t>
      </w:r>
      <w:r>
        <w:rPr>
          <w:spacing w:val="-2"/>
          <w:sz w:val="24"/>
        </w:rPr>
        <w:t> </w:t>
      </w:r>
      <w:r>
        <w:rPr>
          <w:sz w:val="24"/>
        </w:rPr>
        <w:t>eligibility</w:t>
      </w:r>
      <w:r>
        <w:rPr>
          <w:spacing w:val="-2"/>
          <w:sz w:val="24"/>
        </w:rPr>
        <w:t> </w:t>
      </w:r>
      <w:r>
        <w:rPr>
          <w:sz w:val="24"/>
        </w:rPr>
        <w:t>due to visual disability:</w:t>
      </w:r>
    </w:p>
    <w:p>
      <w:pPr>
        <w:pStyle w:val="ListParagraph"/>
        <w:numPr>
          <w:ilvl w:val="1"/>
          <w:numId w:val="118"/>
        </w:numPr>
        <w:tabs>
          <w:tab w:pos="1676" w:val="left" w:leader="none"/>
        </w:tabs>
        <w:spacing w:line="208" w:lineRule="auto" w:before="240" w:after="0"/>
        <w:ind w:left="1223" w:right="970" w:firstLine="0"/>
        <w:jc w:val="left"/>
        <w:rPr>
          <w:sz w:val="24"/>
        </w:rPr>
      </w:pPr>
      <w:r>
        <w:rPr>
          <w:b/>
          <w:sz w:val="24"/>
        </w:rPr>
        <w:t>Blindness.</w:t>
      </w:r>
      <w:r>
        <w:rPr>
          <w:b/>
          <w:spacing w:val="40"/>
          <w:sz w:val="24"/>
        </w:rPr>
        <w:t> </w:t>
      </w:r>
      <w:r>
        <w:rPr>
          <w:sz w:val="24"/>
        </w:rPr>
        <w:t>A</w:t>
      </w:r>
      <w:r>
        <w:rPr>
          <w:spacing w:val="-3"/>
          <w:sz w:val="24"/>
        </w:rPr>
        <w:t> </w:t>
      </w:r>
      <w:r>
        <w:rPr>
          <w:sz w:val="24"/>
        </w:rPr>
        <w:t>central</w:t>
      </w:r>
      <w:r>
        <w:rPr>
          <w:spacing w:val="-3"/>
          <w:sz w:val="24"/>
        </w:rPr>
        <w:t> </w:t>
      </w:r>
      <w:r>
        <w:rPr>
          <w:sz w:val="24"/>
        </w:rPr>
        <w:t>visual</w:t>
      </w:r>
      <w:r>
        <w:rPr>
          <w:spacing w:val="-3"/>
          <w:sz w:val="24"/>
        </w:rPr>
        <w:t> </w:t>
      </w:r>
      <w:r>
        <w:rPr>
          <w:sz w:val="24"/>
        </w:rPr>
        <w:t>acuity</w:t>
      </w:r>
      <w:r>
        <w:rPr>
          <w:spacing w:val="-3"/>
          <w:sz w:val="24"/>
        </w:rPr>
        <w:t> </w:t>
      </w:r>
      <w:r>
        <w:rPr>
          <w:sz w:val="24"/>
        </w:rPr>
        <w:t>of</w:t>
      </w:r>
      <w:r>
        <w:rPr>
          <w:spacing w:val="-2"/>
          <w:sz w:val="24"/>
        </w:rPr>
        <w:t> </w:t>
      </w:r>
      <w:r>
        <w:rPr>
          <w:sz w:val="24"/>
        </w:rPr>
        <w:t>20/200</w:t>
      </w:r>
      <w:r>
        <w:rPr>
          <w:spacing w:val="-3"/>
          <w:sz w:val="24"/>
        </w:rPr>
        <w:t> </w:t>
      </w:r>
      <w:r>
        <w:rPr>
          <w:sz w:val="24"/>
        </w:rPr>
        <w:t>or</w:t>
      </w:r>
      <w:r>
        <w:rPr>
          <w:spacing w:val="-2"/>
          <w:sz w:val="24"/>
        </w:rPr>
        <w:t> </w:t>
      </w:r>
      <w:r>
        <w:rPr>
          <w:sz w:val="24"/>
        </w:rPr>
        <w:t>less</w:t>
      </w:r>
      <w:r>
        <w:rPr>
          <w:spacing w:val="-3"/>
          <w:sz w:val="24"/>
        </w:rPr>
        <w:t> </w:t>
      </w:r>
      <w:r>
        <w:rPr>
          <w:sz w:val="24"/>
        </w:rPr>
        <w:t>in</w:t>
      </w:r>
      <w:r>
        <w:rPr>
          <w:spacing w:val="-3"/>
          <w:sz w:val="24"/>
        </w:rPr>
        <w:t> </w:t>
      </w:r>
      <w:r>
        <w:rPr>
          <w:sz w:val="24"/>
        </w:rPr>
        <w:t>the</w:t>
      </w:r>
      <w:r>
        <w:rPr>
          <w:spacing w:val="-3"/>
          <w:sz w:val="24"/>
        </w:rPr>
        <w:t> </w:t>
      </w:r>
      <w:r>
        <w:rPr>
          <w:sz w:val="24"/>
        </w:rPr>
        <w:t>better</w:t>
      </w:r>
      <w:r>
        <w:rPr>
          <w:spacing w:val="-2"/>
          <w:sz w:val="24"/>
        </w:rPr>
        <w:t> </w:t>
      </w:r>
      <w:r>
        <w:rPr>
          <w:sz w:val="24"/>
        </w:rPr>
        <w:t>eye</w:t>
      </w:r>
      <w:r>
        <w:rPr>
          <w:spacing w:val="-3"/>
          <w:sz w:val="24"/>
        </w:rPr>
        <w:t> </w:t>
      </w:r>
      <w:r>
        <w:rPr>
          <w:sz w:val="24"/>
        </w:rPr>
        <w:t>with best correction, or a</w:t>
      </w:r>
      <w:r>
        <w:rPr>
          <w:spacing w:val="-1"/>
          <w:sz w:val="24"/>
        </w:rPr>
        <w:t> </w:t>
      </w:r>
      <w:r>
        <w:rPr>
          <w:sz w:val="24"/>
        </w:rPr>
        <w:t>limitation</w:t>
      </w:r>
      <w:r>
        <w:rPr>
          <w:spacing w:val="-1"/>
          <w:sz w:val="24"/>
        </w:rPr>
        <w:t> </w:t>
      </w:r>
      <w:r>
        <w:rPr>
          <w:sz w:val="24"/>
        </w:rPr>
        <w:t>in</w:t>
      </w:r>
      <w:r>
        <w:rPr>
          <w:spacing w:val="-1"/>
          <w:sz w:val="24"/>
        </w:rPr>
        <w:t> </w:t>
      </w:r>
      <w:r>
        <w:rPr>
          <w:sz w:val="24"/>
        </w:rPr>
        <w:t>the</w:t>
      </w:r>
      <w:r>
        <w:rPr>
          <w:spacing w:val="-1"/>
          <w:sz w:val="24"/>
        </w:rPr>
        <w:t> </w:t>
      </w:r>
      <w:r>
        <w:rPr>
          <w:sz w:val="24"/>
        </w:rPr>
        <w:t>field</w:t>
      </w:r>
      <w:r>
        <w:rPr>
          <w:spacing w:val="-1"/>
          <w:sz w:val="24"/>
        </w:rPr>
        <w:t> </w:t>
      </w:r>
      <w:r>
        <w:rPr>
          <w:sz w:val="24"/>
        </w:rPr>
        <w:t>of vision</w:t>
      </w:r>
      <w:r>
        <w:rPr>
          <w:spacing w:val="-1"/>
          <w:sz w:val="24"/>
        </w:rPr>
        <w:t> </w:t>
      </w:r>
      <w:r>
        <w:rPr>
          <w:sz w:val="24"/>
        </w:rPr>
        <w:t>in</w:t>
      </w:r>
      <w:r>
        <w:rPr>
          <w:spacing w:val="-1"/>
          <w:sz w:val="24"/>
        </w:rPr>
        <w:t> </w:t>
      </w:r>
      <w:r>
        <w:rPr>
          <w:sz w:val="24"/>
        </w:rPr>
        <w:t>the</w:t>
      </w:r>
      <w:r>
        <w:rPr>
          <w:spacing w:val="-1"/>
          <w:sz w:val="24"/>
        </w:rPr>
        <w:t> </w:t>
      </w:r>
      <w:r>
        <w:rPr>
          <w:sz w:val="24"/>
        </w:rPr>
        <w:t>better eye</w:t>
      </w:r>
      <w:r>
        <w:rPr>
          <w:spacing w:val="-2"/>
          <w:sz w:val="24"/>
        </w:rPr>
        <w:t> </w:t>
      </w:r>
      <w:r>
        <w:rPr>
          <w:sz w:val="24"/>
        </w:rPr>
        <w:t>so</w:t>
      </w:r>
      <w:r>
        <w:rPr>
          <w:spacing w:val="-1"/>
          <w:sz w:val="24"/>
        </w:rPr>
        <w:t> </w:t>
      </w:r>
      <w:r>
        <w:rPr>
          <w:sz w:val="24"/>
        </w:rPr>
        <w:t>that</w:t>
      </w:r>
      <w:r>
        <w:rPr>
          <w:spacing w:val="-2"/>
          <w:sz w:val="24"/>
        </w:rPr>
        <w:t> </w:t>
      </w:r>
      <w:r>
        <w:rPr>
          <w:sz w:val="24"/>
        </w:rPr>
        <w:t>the widest diameter of the visual field subtends an angle of 20 degrees or less. "Best correction" refers to the use of standard eyeglasses or contact lenses, and does not include use of bioptic telescopic systems or any specialized lenses which cannot be worn by the individual on a sustained basis.</w:t>
      </w:r>
    </w:p>
    <w:p>
      <w:pPr>
        <w:pStyle w:val="ListParagraph"/>
        <w:numPr>
          <w:ilvl w:val="1"/>
          <w:numId w:val="118"/>
        </w:numPr>
        <w:tabs>
          <w:tab w:pos="1676" w:val="left" w:leader="none"/>
        </w:tabs>
        <w:spacing w:line="208" w:lineRule="auto" w:before="239" w:after="0"/>
        <w:ind w:left="1223" w:right="743" w:firstLine="0"/>
        <w:jc w:val="left"/>
        <w:rPr>
          <w:sz w:val="24"/>
        </w:rPr>
      </w:pPr>
      <w:r>
        <w:rPr>
          <w:b/>
          <w:sz w:val="24"/>
        </w:rPr>
        <w:t>Visual</w:t>
      </w:r>
      <w:r>
        <w:rPr>
          <w:b/>
          <w:spacing w:val="-5"/>
          <w:sz w:val="24"/>
        </w:rPr>
        <w:t> </w:t>
      </w:r>
      <w:r>
        <w:rPr>
          <w:b/>
          <w:sz w:val="24"/>
        </w:rPr>
        <w:t>impairment.</w:t>
      </w:r>
      <w:r>
        <w:rPr>
          <w:b/>
          <w:spacing w:val="-3"/>
          <w:sz w:val="24"/>
        </w:rPr>
        <w:t> </w:t>
      </w:r>
      <w:r>
        <w:rPr>
          <w:sz w:val="24"/>
        </w:rPr>
        <w:t>A</w:t>
      </w:r>
      <w:r>
        <w:rPr>
          <w:spacing w:val="-3"/>
          <w:sz w:val="24"/>
        </w:rPr>
        <w:t> </w:t>
      </w:r>
      <w:r>
        <w:rPr>
          <w:sz w:val="24"/>
        </w:rPr>
        <w:t>central</w:t>
      </w:r>
      <w:r>
        <w:rPr>
          <w:spacing w:val="-3"/>
          <w:sz w:val="24"/>
        </w:rPr>
        <w:t> </w:t>
      </w:r>
      <w:r>
        <w:rPr>
          <w:sz w:val="24"/>
        </w:rPr>
        <w:t>visual</w:t>
      </w:r>
      <w:r>
        <w:rPr>
          <w:spacing w:val="-3"/>
          <w:sz w:val="24"/>
        </w:rPr>
        <w:t> </w:t>
      </w:r>
      <w:r>
        <w:rPr>
          <w:sz w:val="24"/>
        </w:rPr>
        <w:t>acuity</w:t>
      </w:r>
      <w:r>
        <w:rPr>
          <w:spacing w:val="-3"/>
          <w:sz w:val="24"/>
        </w:rPr>
        <w:t> </w:t>
      </w:r>
      <w:r>
        <w:rPr>
          <w:sz w:val="24"/>
        </w:rPr>
        <w:t>of</w:t>
      </w:r>
      <w:r>
        <w:rPr>
          <w:spacing w:val="-2"/>
          <w:sz w:val="24"/>
        </w:rPr>
        <w:t> </w:t>
      </w:r>
      <w:r>
        <w:rPr>
          <w:sz w:val="24"/>
        </w:rPr>
        <w:t>20/60</w:t>
      </w:r>
      <w:r>
        <w:rPr>
          <w:spacing w:val="-4"/>
          <w:sz w:val="24"/>
        </w:rPr>
        <w:t> </w:t>
      </w:r>
      <w:r>
        <w:rPr>
          <w:sz w:val="24"/>
        </w:rPr>
        <w:t>or</w:t>
      </w:r>
      <w:r>
        <w:rPr>
          <w:spacing w:val="-2"/>
          <w:sz w:val="24"/>
        </w:rPr>
        <w:t> </w:t>
      </w:r>
      <w:r>
        <w:rPr>
          <w:sz w:val="24"/>
        </w:rPr>
        <w:t>less</w:t>
      </w:r>
      <w:r>
        <w:rPr>
          <w:spacing w:val="-3"/>
          <w:sz w:val="24"/>
        </w:rPr>
        <w:t> </w:t>
      </w:r>
      <w:r>
        <w:rPr>
          <w:sz w:val="24"/>
        </w:rPr>
        <w:t>in</w:t>
      </w:r>
      <w:r>
        <w:rPr>
          <w:spacing w:val="-3"/>
          <w:sz w:val="24"/>
        </w:rPr>
        <w:t> </w:t>
      </w:r>
      <w:r>
        <w:rPr>
          <w:sz w:val="24"/>
        </w:rPr>
        <w:t>the</w:t>
      </w:r>
      <w:r>
        <w:rPr>
          <w:spacing w:val="-3"/>
          <w:sz w:val="24"/>
        </w:rPr>
        <w:t> </w:t>
      </w:r>
      <w:r>
        <w:rPr>
          <w:sz w:val="24"/>
        </w:rPr>
        <w:t>better</w:t>
      </w:r>
      <w:r>
        <w:rPr>
          <w:spacing w:val="-2"/>
          <w:sz w:val="24"/>
        </w:rPr>
        <w:t> </w:t>
      </w:r>
      <w:r>
        <w:rPr>
          <w:sz w:val="24"/>
        </w:rPr>
        <w:t>eye with best correction, or other visual condition which, for the individual, results in functional limitations and constitutes a barrier to employment. Other visual conditions which may result in functional limitations include, but are not limited to, limited peripheral vision, extreme light sensitivity, loss of depth perception, loss of stereopsis, diplopia (double vision), aphakia, total absence of color discrimination or red-green deficiency, blurred vision, eye muscle and movement conditions, and cortical visual impairment.</w:t>
      </w:r>
    </w:p>
    <w:p>
      <w:pPr>
        <w:pStyle w:val="ListParagraph"/>
        <w:spacing w:after="0" w:line="208" w:lineRule="auto"/>
        <w:jc w:val="left"/>
        <w:rPr>
          <w:sz w:val="24"/>
        </w:rPr>
        <w:sectPr>
          <w:pgSz w:w="12240" w:h="15840"/>
          <w:pgMar w:top="1340" w:bottom="280" w:left="1080" w:right="720"/>
        </w:sectPr>
      </w:pPr>
    </w:p>
    <w:p>
      <w:pPr>
        <w:pStyle w:val="ListParagraph"/>
        <w:numPr>
          <w:ilvl w:val="1"/>
          <w:numId w:val="118"/>
        </w:numPr>
        <w:tabs>
          <w:tab w:pos="1689" w:val="left" w:leader="none"/>
        </w:tabs>
        <w:spacing w:line="208" w:lineRule="auto" w:before="96" w:after="0"/>
        <w:ind w:left="1223" w:right="945" w:firstLine="0"/>
        <w:jc w:val="left"/>
        <w:rPr>
          <w:sz w:val="24"/>
        </w:rPr>
      </w:pPr>
      <w:r>
        <w:rPr>
          <w:b/>
          <w:sz w:val="24"/>
        </w:rPr>
        <w:t>Progressive eye disease.</w:t>
      </w:r>
      <w:r>
        <w:rPr>
          <w:b/>
          <w:spacing w:val="40"/>
          <w:sz w:val="24"/>
        </w:rPr>
        <w:t> </w:t>
      </w:r>
      <w:r>
        <w:rPr>
          <w:sz w:val="24"/>
        </w:rPr>
        <w:t>Diagnosis of a progressive sight threatening disease</w:t>
      </w:r>
      <w:r>
        <w:rPr>
          <w:spacing w:val="-4"/>
          <w:sz w:val="24"/>
        </w:rPr>
        <w:t> </w:t>
      </w:r>
      <w:r>
        <w:rPr>
          <w:sz w:val="24"/>
        </w:rPr>
        <w:t>or</w:t>
      </w:r>
      <w:r>
        <w:rPr>
          <w:spacing w:val="-3"/>
          <w:sz w:val="24"/>
        </w:rPr>
        <w:t> </w:t>
      </w:r>
      <w:r>
        <w:rPr>
          <w:sz w:val="24"/>
        </w:rPr>
        <w:t>condition</w:t>
      </w:r>
      <w:r>
        <w:rPr>
          <w:spacing w:val="-4"/>
          <w:sz w:val="24"/>
        </w:rPr>
        <w:t> </w:t>
      </w:r>
      <w:r>
        <w:rPr>
          <w:sz w:val="24"/>
        </w:rPr>
        <w:t>that</w:t>
      </w:r>
      <w:r>
        <w:rPr>
          <w:spacing w:val="-3"/>
          <w:sz w:val="24"/>
        </w:rPr>
        <w:t> </w:t>
      </w:r>
      <w:r>
        <w:rPr>
          <w:sz w:val="24"/>
        </w:rPr>
        <w:t>has</w:t>
      </w:r>
      <w:r>
        <w:rPr>
          <w:spacing w:val="-4"/>
          <w:sz w:val="24"/>
        </w:rPr>
        <w:t> </w:t>
      </w:r>
      <w:r>
        <w:rPr>
          <w:sz w:val="24"/>
        </w:rPr>
        <w:t>resulted</w:t>
      </w:r>
      <w:r>
        <w:rPr>
          <w:spacing w:val="-4"/>
          <w:sz w:val="24"/>
        </w:rPr>
        <w:t> </w:t>
      </w:r>
      <w:r>
        <w:rPr>
          <w:sz w:val="24"/>
        </w:rPr>
        <w:t>in</w:t>
      </w:r>
      <w:r>
        <w:rPr>
          <w:spacing w:val="-4"/>
          <w:sz w:val="24"/>
        </w:rPr>
        <w:t> </w:t>
      </w:r>
      <w:r>
        <w:rPr>
          <w:sz w:val="24"/>
        </w:rPr>
        <w:t>functional</w:t>
      </w:r>
      <w:r>
        <w:rPr>
          <w:spacing w:val="-4"/>
          <w:sz w:val="24"/>
        </w:rPr>
        <w:t> </w:t>
      </w:r>
      <w:r>
        <w:rPr>
          <w:sz w:val="24"/>
        </w:rPr>
        <w:t>limitations</w:t>
      </w:r>
      <w:r>
        <w:rPr>
          <w:spacing w:val="-4"/>
          <w:sz w:val="24"/>
        </w:rPr>
        <w:t> </w:t>
      </w:r>
      <w:r>
        <w:rPr>
          <w:sz w:val="24"/>
        </w:rPr>
        <w:t>for</w:t>
      </w:r>
      <w:r>
        <w:rPr>
          <w:spacing w:val="-3"/>
          <w:sz w:val="24"/>
        </w:rPr>
        <w:t> </w:t>
      </w:r>
      <w:r>
        <w:rPr>
          <w:sz w:val="24"/>
        </w:rPr>
        <w:t>the</w:t>
      </w:r>
      <w:r>
        <w:rPr>
          <w:spacing w:val="-5"/>
          <w:sz w:val="24"/>
        </w:rPr>
        <w:t> </w:t>
      </w:r>
      <w:r>
        <w:rPr>
          <w:sz w:val="24"/>
        </w:rPr>
        <w:t>individual or</w:t>
      </w:r>
      <w:r>
        <w:rPr>
          <w:spacing w:val="-2"/>
          <w:sz w:val="24"/>
        </w:rPr>
        <w:t> </w:t>
      </w:r>
      <w:r>
        <w:rPr>
          <w:sz w:val="24"/>
        </w:rPr>
        <w:t>is</w:t>
      </w:r>
      <w:r>
        <w:rPr>
          <w:spacing w:val="-3"/>
          <w:sz w:val="24"/>
        </w:rPr>
        <w:t> </w:t>
      </w:r>
      <w:r>
        <w:rPr>
          <w:sz w:val="24"/>
        </w:rPr>
        <w:t>expected</w:t>
      </w:r>
      <w:r>
        <w:rPr>
          <w:spacing w:val="-3"/>
          <w:sz w:val="24"/>
        </w:rPr>
        <w:t> </w:t>
      </w:r>
      <w:r>
        <w:rPr>
          <w:sz w:val="24"/>
        </w:rPr>
        <w:t>to</w:t>
      </w:r>
      <w:r>
        <w:rPr>
          <w:spacing w:val="-3"/>
          <w:sz w:val="24"/>
        </w:rPr>
        <w:t> </w:t>
      </w:r>
      <w:r>
        <w:rPr>
          <w:sz w:val="24"/>
        </w:rPr>
        <w:t>progress</w:t>
      </w:r>
      <w:r>
        <w:rPr>
          <w:spacing w:val="-3"/>
          <w:sz w:val="24"/>
        </w:rPr>
        <w:t> </w:t>
      </w:r>
      <w:r>
        <w:rPr>
          <w:sz w:val="24"/>
        </w:rPr>
        <w:t>rapidly.</w:t>
      </w:r>
      <w:r>
        <w:rPr>
          <w:spacing w:val="-2"/>
          <w:sz w:val="24"/>
        </w:rPr>
        <w:t> </w:t>
      </w:r>
      <w:r>
        <w:rPr>
          <w:sz w:val="24"/>
        </w:rPr>
        <w:t>Progressive</w:t>
      </w:r>
      <w:r>
        <w:rPr>
          <w:spacing w:val="-3"/>
          <w:sz w:val="24"/>
        </w:rPr>
        <w:t> </w:t>
      </w:r>
      <w:r>
        <w:rPr>
          <w:sz w:val="24"/>
        </w:rPr>
        <w:t>eye</w:t>
      </w:r>
      <w:r>
        <w:rPr>
          <w:spacing w:val="-3"/>
          <w:sz w:val="24"/>
        </w:rPr>
        <w:t> </w:t>
      </w:r>
      <w:r>
        <w:rPr>
          <w:sz w:val="24"/>
        </w:rPr>
        <w:t>diseases</w:t>
      </w:r>
      <w:r>
        <w:rPr>
          <w:spacing w:val="-3"/>
          <w:sz w:val="24"/>
        </w:rPr>
        <w:t> </w:t>
      </w:r>
      <w:r>
        <w:rPr>
          <w:sz w:val="24"/>
        </w:rPr>
        <w:t>which</w:t>
      </w:r>
      <w:r>
        <w:rPr>
          <w:spacing w:val="-2"/>
          <w:sz w:val="24"/>
        </w:rPr>
        <w:t> </w:t>
      </w:r>
      <w:r>
        <w:rPr>
          <w:sz w:val="24"/>
        </w:rPr>
        <w:t>may</w:t>
      </w:r>
      <w:r>
        <w:rPr>
          <w:spacing w:val="-3"/>
          <w:sz w:val="24"/>
        </w:rPr>
        <w:t> </w:t>
      </w:r>
      <w:r>
        <w:rPr>
          <w:sz w:val="24"/>
        </w:rPr>
        <w:t>result in significant vision loss include, but are not limited to, retinitis pigmentosa, diabetic retinopathy, glaucoma and macular degeneration.</w:t>
      </w:r>
    </w:p>
    <w:p>
      <w:pPr>
        <w:pStyle w:val="ListParagraph"/>
        <w:numPr>
          <w:ilvl w:val="0"/>
          <w:numId w:val="118"/>
        </w:numPr>
        <w:tabs>
          <w:tab w:pos="1351" w:val="left" w:leader="none"/>
        </w:tabs>
        <w:spacing w:line="208" w:lineRule="auto" w:before="239" w:after="0"/>
        <w:ind w:left="792" w:right="856" w:firstLine="0"/>
        <w:jc w:val="left"/>
        <w:rPr>
          <w:sz w:val="24"/>
        </w:rPr>
      </w:pPr>
      <w:r>
        <w:rPr>
          <w:b/>
          <w:sz w:val="24"/>
        </w:rPr>
        <w:t>Re-evaluation. </w:t>
      </w:r>
      <w:r>
        <w:rPr>
          <w:sz w:val="24"/>
        </w:rPr>
        <w:t>Individuals with chronic disabilities that can be removed with little</w:t>
      </w:r>
      <w:r>
        <w:rPr>
          <w:spacing w:val="-4"/>
          <w:sz w:val="24"/>
        </w:rPr>
        <w:t> </w:t>
      </w:r>
      <w:r>
        <w:rPr>
          <w:sz w:val="24"/>
        </w:rPr>
        <w:t>or</w:t>
      </w:r>
      <w:r>
        <w:rPr>
          <w:spacing w:val="-3"/>
          <w:sz w:val="24"/>
        </w:rPr>
        <w:t> </w:t>
      </w:r>
      <w:r>
        <w:rPr>
          <w:sz w:val="24"/>
        </w:rPr>
        <w:t>no</w:t>
      </w:r>
      <w:r>
        <w:rPr>
          <w:spacing w:val="-4"/>
          <w:sz w:val="24"/>
        </w:rPr>
        <w:t> </w:t>
      </w:r>
      <w:r>
        <w:rPr>
          <w:sz w:val="24"/>
        </w:rPr>
        <w:t>residual</w:t>
      </w:r>
      <w:r>
        <w:rPr>
          <w:spacing w:val="-4"/>
          <w:sz w:val="24"/>
        </w:rPr>
        <w:t> </w:t>
      </w:r>
      <w:r>
        <w:rPr>
          <w:sz w:val="24"/>
        </w:rPr>
        <w:t>limitations</w:t>
      </w:r>
      <w:r>
        <w:rPr>
          <w:spacing w:val="-4"/>
          <w:sz w:val="24"/>
        </w:rPr>
        <w:t> </w:t>
      </w:r>
      <w:r>
        <w:rPr>
          <w:sz w:val="24"/>
        </w:rPr>
        <w:t>will</w:t>
      </w:r>
      <w:r>
        <w:rPr>
          <w:spacing w:val="-4"/>
          <w:sz w:val="24"/>
        </w:rPr>
        <w:t> </w:t>
      </w:r>
      <w:r>
        <w:rPr>
          <w:sz w:val="24"/>
        </w:rPr>
        <w:t>not</w:t>
      </w:r>
      <w:r>
        <w:rPr>
          <w:spacing w:val="-3"/>
          <w:sz w:val="24"/>
        </w:rPr>
        <w:t> </w:t>
      </w:r>
      <w:r>
        <w:rPr>
          <w:sz w:val="24"/>
        </w:rPr>
        <w:t>be</w:t>
      </w:r>
      <w:r>
        <w:rPr>
          <w:spacing w:val="-4"/>
          <w:sz w:val="24"/>
        </w:rPr>
        <w:t> </w:t>
      </w:r>
      <w:r>
        <w:rPr>
          <w:sz w:val="24"/>
        </w:rPr>
        <w:t>eligible</w:t>
      </w:r>
      <w:r>
        <w:rPr>
          <w:spacing w:val="-4"/>
          <w:sz w:val="24"/>
        </w:rPr>
        <w:t> </w:t>
      </w:r>
      <w:r>
        <w:rPr>
          <w:sz w:val="24"/>
        </w:rPr>
        <w:t>for</w:t>
      </w:r>
      <w:r>
        <w:rPr>
          <w:spacing w:val="-3"/>
          <w:sz w:val="24"/>
        </w:rPr>
        <w:t> </w:t>
      </w:r>
      <w:r>
        <w:rPr>
          <w:sz w:val="24"/>
        </w:rPr>
        <w:t>purchase</w:t>
      </w:r>
      <w:r>
        <w:rPr>
          <w:spacing w:val="-4"/>
          <w:sz w:val="24"/>
        </w:rPr>
        <w:t> </w:t>
      </w:r>
      <w:r>
        <w:rPr>
          <w:sz w:val="24"/>
        </w:rPr>
        <w:t>of</w:t>
      </w:r>
      <w:r>
        <w:rPr>
          <w:spacing w:val="-3"/>
          <w:sz w:val="24"/>
        </w:rPr>
        <w:t> </w:t>
      </w:r>
      <w:r>
        <w:rPr>
          <w:sz w:val="24"/>
        </w:rPr>
        <w:t>services</w:t>
      </w:r>
      <w:r>
        <w:rPr>
          <w:spacing w:val="-4"/>
          <w:sz w:val="24"/>
        </w:rPr>
        <w:t> </w:t>
      </w:r>
      <w:r>
        <w:rPr>
          <w:sz w:val="24"/>
        </w:rPr>
        <w:t>other</w:t>
      </w:r>
      <w:r>
        <w:rPr>
          <w:spacing w:val="-3"/>
          <w:sz w:val="24"/>
        </w:rPr>
        <w:t> </w:t>
      </w:r>
      <w:r>
        <w:rPr>
          <w:sz w:val="24"/>
        </w:rPr>
        <w:t>than those related to the required treatment.</w:t>
      </w:r>
    </w:p>
    <w:p>
      <w:pPr>
        <w:pStyle w:val="BodyText"/>
        <w:spacing w:before="211"/>
      </w:pPr>
      <w:r>
        <w:rPr/>
        <w:t>Instructions</w:t>
      </w:r>
      <w:r>
        <w:rPr>
          <w:spacing w:val="-5"/>
        </w:rPr>
        <w:t> </w:t>
      </w:r>
      <w:r>
        <w:rPr/>
        <w:t>to</w:t>
      </w:r>
      <w:r>
        <w:rPr>
          <w:spacing w:val="-2"/>
        </w:rPr>
        <w:t> </w:t>
      </w:r>
      <w:r>
        <w:rPr>
          <w:spacing w:val="-4"/>
        </w:rPr>
        <w:t>Staff</w:t>
      </w:r>
    </w:p>
    <w:p>
      <w:pPr>
        <w:pStyle w:val="ListParagraph"/>
        <w:numPr>
          <w:ilvl w:val="0"/>
          <w:numId w:val="119"/>
        </w:numPr>
        <w:tabs>
          <w:tab w:pos="693" w:val="left" w:leader="none"/>
        </w:tabs>
        <w:spacing w:line="208" w:lineRule="auto" w:before="233" w:after="0"/>
        <w:ind w:left="360" w:right="804" w:firstLine="0"/>
        <w:jc w:val="left"/>
        <w:rPr>
          <w:sz w:val="24"/>
        </w:rPr>
      </w:pPr>
      <w:r>
        <w:rPr>
          <w:sz w:val="24"/>
        </w:rPr>
        <w:t>To qualify an individual for VR services, the physical or mental condition must be serious</w:t>
      </w:r>
      <w:r>
        <w:rPr>
          <w:spacing w:val="-4"/>
          <w:sz w:val="24"/>
        </w:rPr>
        <w:t> </w:t>
      </w:r>
      <w:r>
        <w:rPr>
          <w:sz w:val="24"/>
        </w:rPr>
        <w:t>enough</w:t>
      </w:r>
      <w:r>
        <w:rPr>
          <w:spacing w:val="-4"/>
          <w:sz w:val="24"/>
        </w:rPr>
        <w:t> </w:t>
      </w:r>
      <w:r>
        <w:rPr>
          <w:sz w:val="24"/>
        </w:rPr>
        <w:t>to</w:t>
      </w:r>
      <w:r>
        <w:rPr>
          <w:spacing w:val="-4"/>
          <w:sz w:val="24"/>
        </w:rPr>
        <w:t> </w:t>
      </w:r>
      <w:r>
        <w:rPr>
          <w:sz w:val="24"/>
        </w:rPr>
        <w:t>result</w:t>
      </w:r>
      <w:r>
        <w:rPr>
          <w:spacing w:val="-3"/>
          <w:sz w:val="24"/>
        </w:rPr>
        <w:t> </w:t>
      </w:r>
      <w:r>
        <w:rPr>
          <w:sz w:val="24"/>
        </w:rPr>
        <w:t>in</w:t>
      </w:r>
      <w:r>
        <w:rPr>
          <w:spacing w:val="-4"/>
          <w:sz w:val="24"/>
        </w:rPr>
        <w:t> </w:t>
      </w:r>
      <w:r>
        <w:rPr>
          <w:sz w:val="24"/>
        </w:rPr>
        <w:t>a</w:t>
      </w:r>
      <w:r>
        <w:rPr>
          <w:spacing w:val="-4"/>
          <w:sz w:val="24"/>
        </w:rPr>
        <w:t> </w:t>
      </w:r>
      <w:r>
        <w:rPr>
          <w:sz w:val="24"/>
        </w:rPr>
        <w:t>substantial</w:t>
      </w:r>
      <w:r>
        <w:rPr>
          <w:spacing w:val="-4"/>
          <w:sz w:val="24"/>
        </w:rPr>
        <w:t> </w:t>
      </w:r>
      <w:r>
        <w:rPr>
          <w:sz w:val="24"/>
        </w:rPr>
        <w:t>impediment</w:t>
      </w:r>
      <w:r>
        <w:rPr>
          <w:spacing w:val="-3"/>
          <w:sz w:val="24"/>
        </w:rPr>
        <w:t> </w:t>
      </w:r>
      <w:r>
        <w:rPr>
          <w:sz w:val="24"/>
        </w:rPr>
        <w:t>to</w:t>
      </w:r>
      <w:r>
        <w:rPr>
          <w:spacing w:val="-5"/>
          <w:sz w:val="24"/>
        </w:rPr>
        <w:t> </w:t>
      </w:r>
      <w:r>
        <w:rPr>
          <w:sz w:val="24"/>
        </w:rPr>
        <w:t>employment.</w:t>
      </w:r>
      <w:r>
        <w:rPr>
          <w:spacing w:val="-3"/>
          <w:sz w:val="24"/>
        </w:rPr>
        <w:t> </w:t>
      </w:r>
      <w:r>
        <w:rPr>
          <w:sz w:val="24"/>
        </w:rPr>
        <w:t>Physical</w:t>
      </w:r>
      <w:r>
        <w:rPr>
          <w:spacing w:val="-3"/>
          <w:sz w:val="24"/>
        </w:rPr>
        <w:t> </w:t>
      </w:r>
      <w:r>
        <w:rPr>
          <w:sz w:val="24"/>
        </w:rPr>
        <w:t>or</w:t>
      </w:r>
      <w:r>
        <w:rPr>
          <w:spacing w:val="-3"/>
          <w:sz w:val="24"/>
        </w:rPr>
        <w:t> </w:t>
      </w:r>
      <w:r>
        <w:rPr>
          <w:sz w:val="24"/>
        </w:rPr>
        <w:t>mental conditions which may meet this element of basic eligibility include:</w:t>
      </w:r>
    </w:p>
    <w:p>
      <w:pPr>
        <w:pStyle w:val="ListParagraph"/>
        <w:numPr>
          <w:ilvl w:val="1"/>
          <w:numId w:val="119"/>
        </w:numPr>
        <w:tabs>
          <w:tab w:pos="1078" w:val="left" w:leader="none"/>
        </w:tabs>
        <w:spacing w:line="208" w:lineRule="auto" w:before="240" w:after="0"/>
        <w:ind w:left="630" w:right="1983" w:firstLine="0"/>
        <w:jc w:val="left"/>
        <w:rPr>
          <w:sz w:val="24"/>
        </w:rPr>
      </w:pPr>
      <w:r>
        <w:rPr>
          <w:sz w:val="24"/>
        </w:rPr>
        <w:t>permanent, stable conditions, for which the resulting impediments to employment,</w:t>
      </w:r>
      <w:r>
        <w:rPr>
          <w:spacing w:val="-4"/>
          <w:sz w:val="24"/>
        </w:rPr>
        <w:t> </w:t>
      </w:r>
      <w:r>
        <w:rPr>
          <w:sz w:val="24"/>
        </w:rPr>
        <w:t>and</w:t>
      </w:r>
      <w:r>
        <w:rPr>
          <w:spacing w:val="-5"/>
          <w:sz w:val="24"/>
        </w:rPr>
        <w:t> </w:t>
      </w:r>
      <w:r>
        <w:rPr>
          <w:sz w:val="24"/>
        </w:rPr>
        <w:t>the</w:t>
      </w:r>
      <w:r>
        <w:rPr>
          <w:spacing w:val="-6"/>
          <w:sz w:val="24"/>
        </w:rPr>
        <w:t> </w:t>
      </w:r>
      <w:r>
        <w:rPr>
          <w:sz w:val="24"/>
        </w:rPr>
        <w:t>individual's</w:t>
      </w:r>
      <w:r>
        <w:rPr>
          <w:spacing w:val="-4"/>
          <w:sz w:val="24"/>
        </w:rPr>
        <w:t> </w:t>
      </w:r>
      <w:r>
        <w:rPr>
          <w:sz w:val="24"/>
        </w:rPr>
        <w:t>functional</w:t>
      </w:r>
      <w:r>
        <w:rPr>
          <w:spacing w:val="-5"/>
          <w:sz w:val="24"/>
        </w:rPr>
        <w:t> </w:t>
      </w:r>
      <w:r>
        <w:rPr>
          <w:sz w:val="24"/>
        </w:rPr>
        <w:t>capacities</w:t>
      </w:r>
      <w:r>
        <w:rPr>
          <w:spacing w:val="-4"/>
          <w:sz w:val="24"/>
        </w:rPr>
        <w:t> </w:t>
      </w:r>
      <w:r>
        <w:rPr>
          <w:sz w:val="24"/>
        </w:rPr>
        <w:t>can</w:t>
      </w:r>
      <w:r>
        <w:rPr>
          <w:spacing w:val="-5"/>
          <w:sz w:val="24"/>
        </w:rPr>
        <w:t> </w:t>
      </w:r>
      <w:r>
        <w:rPr>
          <w:sz w:val="24"/>
        </w:rPr>
        <w:t>be</w:t>
      </w:r>
      <w:r>
        <w:rPr>
          <w:spacing w:val="-5"/>
          <w:sz w:val="24"/>
        </w:rPr>
        <w:t> </w:t>
      </w:r>
      <w:r>
        <w:rPr>
          <w:sz w:val="24"/>
        </w:rPr>
        <w:t>determined;</w:t>
      </w:r>
    </w:p>
    <w:p>
      <w:pPr>
        <w:pStyle w:val="ListParagraph"/>
        <w:numPr>
          <w:ilvl w:val="1"/>
          <w:numId w:val="119"/>
        </w:numPr>
        <w:tabs>
          <w:tab w:pos="1078" w:val="left" w:leader="none"/>
        </w:tabs>
        <w:spacing w:line="208" w:lineRule="auto" w:before="240" w:after="0"/>
        <w:ind w:left="630" w:right="936" w:firstLine="0"/>
        <w:jc w:val="both"/>
        <w:rPr>
          <w:sz w:val="24"/>
        </w:rPr>
      </w:pPr>
      <w:r>
        <w:rPr>
          <w:sz w:val="24"/>
        </w:rPr>
        <w:t>slowly</w:t>
      </w:r>
      <w:r>
        <w:rPr>
          <w:spacing w:val="-4"/>
          <w:sz w:val="24"/>
        </w:rPr>
        <w:t> </w:t>
      </w:r>
      <w:r>
        <w:rPr>
          <w:sz w:val="24"/>
        </w:rPr>
        <w:t>progressive</w:t>
      </w:r>
      <w:r>
        <w:rPr>
          <w:spacing w:val="-4"/>
          <w:sz w:val="24"/>
        </w:rPr>
        <w:t> </w:t>
      </w:r>
      <w:r>
        <w:rPr>
          <w:sz w:val="24"/>
        </w:rPr>
        <w:t>conditions,</w:t>
      </w:r>
      <w:r>
        <w:rPr>
          <w:spacing w:val="-3"/>
          <w:sz w:val="24"/>
        </w:rPr>
        <w:t> </w:t>
      </w:r>
      <w:r>
        <w:rPr>
          <w:sz w:val="24"/>
        </w:rPr>
        <w:t>in</w:t>
      </w:r>
      <w:r>
        <w:rPr>
          <w:spacing w:val="-4"/>
          <w:sz w:val="24"/>
        </w:rPr>
        <w:t> </w:t>
      </w:r>
      <w:r>
        <w:rPr>
          <w:sz w:val="24"/>
        </w:rPr>
        <w:t>which</w:t>
      </w:r>
      <w:r>
        <w:rPr>
          <w:spacing w:val="-4"/>
          <w:sz w:val="24"/>
        </w:rPr>
        <w:t> </w:t>
      </w:r>
      <w:r>
        <w:rPr>
          <w:sz w:val="24"/>
        </w:rPr>
        <w:t>the</w:t>
      </w:r>
      <w:r>
        <w:rPr>
          <w:spacing w:val="-4"/>
          <w:sz w:val="24"/>
        </w:rPr>
        <w:t> </w:t>
      </w:r>
      <w:r>
        <w:rPr>
          <w:sz w:val="24"/>
        </w:rPr>
        <w:t>individual's</w:t>
      </w:r>
      <w:r>
        <w:rPr>
          <w:spacing w:val="-4"/>
          <w:sz w:val="24"/>
        </w:rPr>
        <w:t> </w:t>
      </w:r>
      <w:r>
        <w:rPr>
          <w:sz w:val="24"/>
        </w:rPr>
        <w:t>functional</w:t>
      </w:r>
      <w:r>
        <w:rPr>
          <w:spacing w:val="-4"/>
          <w:sz w:val="24"/>
        </w:rPr>
        <w:t> </w:t>
      </w:r>
      <w:r>
        <w:rPr>
          <w:sz w:val="24"/>
        </w:rPr>
        <w:t>capacity</w:t>
      </w:r>
      <w:r>
        <w:rPr>
          <w:spacing w:val="-4"/>
          <w:sz w:val="24"/>
        </w:rPr>
        <w:t> </w:t>
      </w:r>
      <w:r>
        <w:rPr>
          <w:sz w:val="24"/>
        </w:rPr>
        <w:t>is</w:t>
      </w:r>
      <w:r>
        <w:rPr>
          <w:spacing w:val="-4"/>
          <w:sz w:val="24"/>
        </w:rPr>
        <w:t> </w:t>
      </w:r>
      <w:r>
        <w:rPr>
          <w:sz w:val="24"/>
        </w:rPr>
        <w:t>not expected to diminish so rapidly as to prevent completion of vocational rehabilitation services, and/or employment for a reasonable period of time;</w:t>
      </w:r>
    </w:p>
    <w:p>
      <w:pPr>
        <w:pStyle w:val="ListParagraph"/>
        <w:numPr>
          <w:ilvl w:val="1"/>
          <w:numId w:val="119"/>
        </w:numPr>
        <w:tabs>
          <w:tab w:pos="1078" w:val="left" w:leader="none"/>
        </w:tabs>
        <w:spacing w:line="208" w:lineRule="auto" w:before="239" w:after="0"/>
        <w:ind w:left="630" w:right="1243" w:firstLine="0"/>
        <w:jc w:val="left"/>
        <w:rPr>
          <w:sz w:val="24"/>
        </w:rPr>
      </w:pPr>
      <w:r>
        <w:rPr>
          <w:sz w:val="24"/>
        </w:rPr>
        <w:t>remediable conditions which are recurring or chronic, require restoration services,</w:t>
      </w:r>
      <w:r>
        <w:rPr>
          <w:spacing w:val="-4"/>
          <w:sz w:val="24"/>
        </w:rPr>
        <w:t> </w:t>
      </w:r>
      <w:r>
        <w:rPr>
          <w:sz w:val="24"/>
        </w:rPr>
        <w:t>and</w:t>
      </w:r>
      <w:r>
        <w:rPr>
          <w:spacing w:val="-5"/>
          <w:sz w:val="24"/>
        </w:rPr>
        <w:t> </w:t>
      </w:r>
      <w:r>
        <w:rPr>
          <w:sz w:val="24"/>
        </w:rPr>
        <w:t>result</w:t>
      </w:r>
      <w:r>
        <w:rPr>
          <w:spacing w:val="-4"/>
          <w:sz w:val="24"/>
        </w:rPr>
        <w:t> </w:t>
      </w:r>
      <w:r>
        <w:rPr>
          <w:sz w:val="24"/>
        </w:rPr>
        <w:t>in</w:t>
      </w:r>
      <w:r>
        <w:rPr>
          <w:spacing w:val="-5"/>
          <w:sz w:val="24"/>
        </w:rPr>
        <w:t> </w:t>
      </w:r>
      <w:r>
        <w:rPr>
          <w:sz w:val="24"/>
        </w:rPr>
        <w:t>no</w:t>
      </w:r>
      <w:r>
        <w:rPr>
          <w:spacing w:val="-5"/>
          <w:sz w:val="24"/>
        </w:rPr>
        <w:t> </w:t>
      </w:r>
      <w:r>
        <w:rPr>
          <w:sz w:val="24"/>
        </w:rPr>
        <w:t>substantial</w:t>
      </w:r>
      <w:r>
        <w:rPr>
          <w:spacing w:val="-5"/>
          <w:sz w:val="24"/>
        </w:rPr>
        <w:t> </w:t>
      </w:r>
      <w:r>
        <w:rPr>
          <w:sz w:val="24"/>
        </w:rPr>
        <w:t>impediment</w:t>
      </w:r>
      <w:r>
        <w:rPr>
          <w:spacing w:val="-4"/>
          <w:sz w:val="24"/>
        </w:rPr>
        <w:t> </w:t>
      </w:r>
      <w:r>
        <w:rPr>
          <w:sz w:val="24"/>
        </w:rPr>
        <w:t>to</w:t>
      </w:r>
      <w:r>
        <w:rPr>
          <w:spacing w:val="-5"/>
          <w:sz w:val="24"/>
        </w:rPr>
        <w:t> </w:t>
      </w:r>
      <w:r>
        <w:rPr>
          <w:sz w:val="24"/>
        </w:rPr>
        <w:t>employment</w:t>
      </w:r>
      <w:r>
        <w:rPr>
          <w:spacing w:val="-4"/>
          <w:sz w:val="24"/>
        </w:rPr>
        <w:t> </w:t>
      </w:r>
      <w:r>
        <w:rPr>
          <w:sz w:val="24"/>
        </w:rPr>
        <w:t>after</w:t>
      </w:r>
      <w:r>
        <w:rPr>
          <w:spacing w:val="-5"/>
          <w:sz w:val="24"/>
        </w:rPr>
        <w:t> </w:t>
      </w:r>
      <w:r>
        <w:rPr>
          <w:sz w:val="24"/>
        </w:rPr>
        <w:t>restoration services have been provided.</w:t>
      </w:r>
    </w:p>
    <w:p>
      <w:pPr>
        <w:pStyle w:val="BodyText"/>
        <w:spacing w:line="208" w:lineRule="auto"/>
        <w:ind w:right="775"/>
      </w:pPr>
      <w:r>
        <w:rPr/>
        <w:t>Physical</w:t>
      </w:r>
      <w:r>
        <w:rPr>
          <w:spacing w:val="-4"/>
        </w:rPr>
        <w:t> </w:t>
      </w:r>
      <w:r>
        <w:rPr/>
        <w:t>or</w:t>
      </w:r>
      <w:r>
        <w:rPr>
          <w:spacing w:val="-3"/>
        </w:rPr>
        <w:t> </w:t>
      </w:r>
      <w:r>
        <w:rPr/>
        <w:t>mental</w:t>
      </w:r>
      <w:r>
        <w:rPr>
          <w:spacing w:val="-4"/>
        </w:rPr>
        <w:t> </w:t>
      </w:r>
      <w:r>
        <w:rPr/>
        <w:t>conditions</w:t>
      </w:r>
      <w:r>
        <w:rPr>
          <w:spacing w:val="-4"/>
        </w:rPr>
        <w:t> </w:t>
      </w:r>
      <w:r>
        <w:rPr/>
        <w:t>which</w:t>
      </w:r>
      <w:r>
        <w:rPr>
          <w:spacing w:val="-4"/>
        </w:rPr>
        <w:t> </w:t>
      </w:r>
      <w:r>
        <w:rPr/>
        <w:t>may</w:t>
      </w:r>
      <w:r>
        <w:rPr>
          <w:spacing w:val="-4"/>
        </w:rPr>
        <w:t> </w:t>
      </w:r>
      <w:r>
        <w:rPr/>
        <w:t>not</w:t>
      </w:r>
      <w:r>
        <w:rPr>
          <w:spacing w:val="-3"/>
        </w:rPr>
        <w:t> </w:t>
      </w:r>
      <w:r>
        <w:rPr/>
        <w:t>meet</w:t>
      </w:r>
      <w:r>
        <w:rPr>
          <w:spacing w:val="-5"/>
        </w:rPr>
        <w:t> </w:t>
      </w:r>
      <w:r>
        <w:rPr/>
        <w:t>the</w:t>
      </w:r>
      <w:r>
        <w:rPr>
          <w:spacing w:val="-4"/>
        </w:rPr>
        <w:t> </w:t>
      </w:r>
      <w:r>
        <w:rPr/>
        <w:t>first</w:t>
      </w:r>
      <w:r>
        <w:rPr>
          <w:spacing w:val="-3"/>
        </w:rPr>
        <w:t> </w:t>
      </w:r>
      <w:r>
        <w:rPr/>
        <w:t>element</w:t>
      </w:r>
      <w:r>
        <w:rPr>
          <w:spacing w:val="-5"/>
        </w:rPr>
        <w:t> </w:t>
      </w:r>
      <w:r>
        <w:rPr/>
        <w:t>of</w:t>
      </w:r>
      <w:r>
        <w:rPr>
          <w:spacing w:val="-3"/>
        </w:rPr>
        <w:t> </w:t>
      </w:r>
      <w:r>
        <w:rPr/>
        <w:t>basic</w:t>
      </w:r>
      <w:r>
        <w:rPr>
          <w:spacing w:val="-4"/>
        </w:rPr>
        <w:t> </w:t>
      </w:r>
      <w:r>
        <w:rPr/>
        <w:t>eligibility </w:t>
      </w:r>
      <w:r>
        <w:rPr>
          <w:spacing w:val="-2"/>
        </w:rPr>
        <w:t>include:</w:t>
      </w:r>
    </w:p>
    <w:p>
      <w:pPr>
        <w:pStyle w:val="ListParagraph"/>
        <w:numPr>
          <w:ilvl w:val="0"/>
          <w:numId w:val="120"/>
        </w:numPr>
        <w:tabs>
          <w:tab w:pos="1172" w:val="left" w:leader="none"/>
        </w:tabs>
        <w:spacing w:line="208" w:lineRule="auto" w:before="240" w:after="0"/>
        <w:ind w:left="720" w:right="778" w:firstLine="0"/>
        <w:jc w:val="left"/>
        <w:rPr>
          <w:sz w:val="24"/>
        </w:rPr>
      </w:pPr>
      <w:r>
        <w:rPr>
          <w:sz w:val="24"/>
        </w:rPr>
        <w:t>temporary</w:t>
      </w:r>
      <w:r>
        <w:rPr>
          <w:spacing w:val="-4"/>
          <w:sz w:val="24"/>
        </w:rPr>
        <w:t> </w:t>
      </w:r>
      <w:r>
        <w:rPr>
          <w:sz w:val="24"/>
        </w:rPr>
        <w:t>conditions</w:t>
      </w:r>
      <w:r>
        <w:rPr>
          <w:spacing w:val="-4"/>
          <w:sz w:val="24"/>
        </w:rPr>
        <w:t> </w:t>
      </w:r>
      <w:r>
        <w:rPr>
          <w:sz w:val="24"/>
        </w:rPr>
        <w:t>in</w:t>
      </w:r>
      <w:r>
        <w:rPr>
          <w:spacing w:val="-4"/>
          <w:sz w:val="24"/>
        </w:rPr>
        <w:t> </w:t>
      </w:r>
      <w:r>
        <w:rPr>
          <w:sz w:val="24"/>
        </w:rPr>
        <w:t>which</w:t>
      </w:r>
      <w:r>
        <w:rPr>
          <w:spacing w:val="-3"/>
          <w:sz w:val="24"/>
        </w:rPr>
        <w:t> </w:t>
      </w:r>
      <w:r>
        <w:rPr>
          <w:sz w:val="24"/>
        </w:rPr>
        <w:t>no</w:t>
      </w:r>
      <w:r>
        <w:rPr>
          <w:spacing w:val="-4"/>
          <w:sz w:val="24"/>
        </w:rPr>
        <w:t> </w:t>
      </w:r>
      <w:r>
        <w:rPr>
          <w:sz w:val="24"/>
        </w:rPr>
        <w:t>functional</w:t>
      </w:r>
      <w:r>
        <w:rPr>
          <w:spacing w:val="-4"/>
          <w:sz w:val="24"/>
        </w:rPr>
        <w:t> </w:t>
      </w:r>
      <w:r>
        <w:rPr>
          <w:sz w:val="24"/>
        </w:rPr>
        <w:t>limitations</w:t>
      </w:r>
      <w:r>
        <w:rPr>
          <w:spacing w:val="-4"/>
          <w:sz w:val="24"/>
        </w:rPr>
        <w:t> </w:t>
      </w:r>
      <w:r>
        <w:rPr>
          <w:sz w:val="24"/>
        </w:rPr>
        <w:t>of</w:t>
      </w:r>
      <w:r>
        <w:rPr>
          <w:spacing w:val="-3"/>
          <w:sz w:val="24"/>
        </w:rPr>
        <w:t> </w:t>
      </w:r>
      <w:r>
        <w:rPr>
          <w:sz w:val="24"/>
        </w:rPr>
        <w:t>an</w:t>
      </w:r>
      <w:r>
        <w:rPr>
          <w:spacing w:val="-4"/>
          <w:sz w:val="24"/>
        </w:rPr>
        <w:t> </w:t>
      </w:r>
      <w:r>
        <w:rPr>
          <w:sz w:val="24"/>
        </w:rPr>
        <w:t>enduring</w:t>
      </w:r>
      <w:r>
        <w:rPr>
          <w:spacing w:val="-4"/>
          <w:sz w:val="24"/>
        </w:rPr>
        <w:t> </w:t>
      </w:r>
      <w:r>
        <w:rPr>
          <w:sz w:val="24"/>
        </w:rPr>
        <w:t>nature</w:t>
      </w:r>
      <w:r>
        <w:rPr>
          <w:spacing w:val="-4"/>
          <w:sz w:val="24"/>
        </w:rPr>
        <w:t> </w:t>
      </w:r>
      <w:r>
        <w:rPr>
          <w:sz w:val="24"/>
        </w:rPr>
        <w:t>are expected after treatment or recovery;</w:t>
      </w:r>
    </w:p>
    <w:p>
      <w:pPr>
        <w:pStyle w:val="ListParagraph"/>
        <w:numPr>
          <w:ilvl w:val="0"/>
          <w:numId w:val="120"/>
        </w:numPr>
        <w:tabs>
          <w:tab w:pos="1173" w:val="left" w:leader="none"/>
        </w:tabs>
        <w:spacing w:line="208" w:lineRule="auto" w:before="240" w:after="0"/>
        <w:ind w:left="720" w:right="899" w:firstLine="0"/>
        <w:jc w:val="left"/>
        <w:rPr>
          <w:sz w:val="24"/>
        </w:rPr>
      </w:pPr>
      <w:r>
        <w:rPr>
          <w:sz w:val="24"/>
        </w:rPr>
        <w:t>unstable conditions which require emergency medical intervention and/or prolonged</w:t>
      </w:r>
      <w:r>
        <w:rPr>
          <w:spacing w:val="-5"/>
          <w:sz w:val="24"/>
        </w:rPr>
        <w:t> </w:t>
      </w:r>
      <w:r>
        <w:rPr>
          <w:sz w:val="24"/>
        </w:rPr>
        <w:t>medical</w:t>
      </w:r>
      <w:r>
        <w:rPr>
          <w:spacing w:val="-5"/>
          <w:sz w:val="24"/>
        </w:rPr>
        <w:t> </w:t>
      </w:r>
      <w:r>
        <w:rPr>
          <w:sz w:val="24"/>
        </w:rPr>
        <w:t>management,</w:t>
      </w:r>
      <w:r>
        <w:rPr>
          <w:spacing w:val="-4"/>
          <w:sz w:val="24"/>
        </w:rPr>
        <w:t> </w:t>
      </w:r>
      <w:r>
        <w:rPr>
          <w:sz w:val="24"/>
        </w:rPr>
        <w:t>and</w:t>
      </w:r>
      <w:r>
        <w:rPr>
          <w:spacing w:val="-5"/>
          <w:sz w:val="24"/>
        </w:rPr>
        <w:t> </w:t>
      </w:r>
      <w:r>
        <w:rPr>
          <w:sz w:val="24"/>
        </w:rPr>
        <w:t>for</w:t>
      </w:r>
      <w:r>
        <w:rPr>
          <w:spacing w:val="-4"/>
          <w:sz w:val="24"/>
        </w:rPr>
        <w:t> </w:t>
      </w:r>
      <w:r>
        <w:rPr>
          <w:sz w:val="24"/>
        </w:rPr>
        <w:t>which</w:t>
      </w:r>
      <w:r>
        <w:rPr>
          <w:spacing w:val="-5"/>
          <w:sz w:val="24"/>
        </w:rPr>
        <w:t> </w:t>
      </w:r>
      <w:r>
        <w:rPr>
          <w:sz w:val="24"/>
        </w:rPr>
        <w:t>functional</w:t>
      </w:r>
      <w:r>
        <w:rPr>
          <w:spacing w:val="-5"/>
          <w:sz w:val="24"/>
        </w:rPr>
        <w:t> </w:t>
      </w:r>
      <w:r>
        <w:rPr>
          <w:sz w:val="24"/>
        </w:rPr>
        <w:t>capacities</w:t>
      </w:r>
      <w:r>
        <w:rPr>
          <w:spacing w:val="-5"/>
          <w:sz w:val="24"/>
        </w:rPr>
        <w:t> </w:t>
      </w:r>
      <w:r>
        <w:rPr>
          <w:sz w:val="24"/>
        </w:rPr>
        <w:t>and</w:t>
      </w:r>
      <w:r>
        <w:rPr>
          <w:spacing w:val="-5"/>
          <w:sz w:val="24"/>
        </w:rPr>
        <w:t> </w:t>
      </w:r>
      <w:r>
        <w:rPr>
          <w:sz w:val="24"/>
        </w:rPr>
        <w:t>limitations cannot be predicted because of the recency of onset and/or the recurring nature of the condition.</w:t>
      </w:r>
    </w:p>
    <w:p>
      <w:pPr>
        <w:pStyle w:val="ListParagraph"/>
        <w:numPr>
          <w:ilvl w:val="0"/>
          <w:numId w:val="119"/>
        </w:numPr>
        <w:tabs>
          <w:tab w:pos="693" w:val="left" w:leader="none"/>
        </w:tabs>
        <w:spacing w:line="208" w:lineRule="auto" w:before="239" w:after="0"/>
        <w:ind w:left="360" w:right="993" w:firstLine="0"/>
        <w:jc w:val="left"/>
        <w:rPr>
          <w:sz w:val="24"/>
        </w:rPr>
      </w:pPr>
      <w:r>
        <w:rPr>
          <w:sz w:val="24"/>
        </w:rPr>
        <w:t>Factors</w:t>
      </w:r>
      <w:r>
        <w:rPr>
          <w:spacing w:val="-6"/>
          <w:sz w:val="24"/>
        </w:rPr>
        <w:t> </w:t>
      </w:r>
      <w:r>
        <w:rPr>
          <w:sz w:val="24"/>
        </w:rPr>
        <w:t>the</w:t>
      </w:r>
      <w:r>
        <w:rPr>
          <w:spacing w:val="-4"/>
          <w:sz w:val="24"/>
        </w:rPr>
        <w:t> </w:t>
      </w:r>
      <w:r>
        <w:rPr>
          <w:sz w:val="24"/>
        </w:rPr>
        <w:t>counselor</w:t>
      </w:r>
      <w:r>
        <w:rPr>
          <w:spacing w:val="-3"/>
          <w:sz w:val="24"/>
        </w:rPr>
        <w:t> </w:t>
      </w:r>
      <w:r>
        <w:rPr>
          <w:sz w:val="24"/>
        </w:rPr>
        <w:t>should</w:t>
      </w:r>
      <w:r>
        <w:rPr>
          <w:spacing w:val="-4"/>
          <w:sz w:val="24"/>
        </w:rPr>
        <w:t> </w:t>
      </w:r>
      <w:r>
        <w:rPr>
          <w:sz w:val="24"/>
        </w:rPr>
        <w:t>consider</w:t>
      </w:r>
      <w:r>
        <w:rPr>
          <w:spacing w:val="-3"/>
          <w:sz w:val="24"/>
        </w:rPr>
        <w:t> </w:t>
      </w:r>
      <w:r>
        <w:rPr>
          <w:sz w:val="24"/>
        </w:rPr>
        <w:t>as</w:t>
      </w:r>
      <w:r>
        <w:rPr>
          <w:spacing w:val="-4"/>
          <w:sz w:val="24"/>
        </w:rPr>
        <w:t> </w:t>
      </w:r>
      <w:r>
        <w:rPr>
          <w:sz w:val="24"/>
        </w:rPr>
        <w:t>possible</w:t>
      </w:r>
      <w:r>
        <w:rPr>
          <w:spacing w:val="-4"/>
          <w:sz w:val="24"/>
        </w:rPr>
        <w:t> </w:t>
      </w:r>
      <w:r>
        <w:rPr>
          <w:sz w:val="24"/>
        </w:rPr>
        <w:t>indicators</w:t>
      </w:r>
      <w:r>
        <w:rPr>
          <w:spacing w:val="-4"/>
          <w:sz w:val="24"/>
        </w:rPr>
        <w:t> </w:t>
      </w:r>
      <w:r>
        <w:rPr>
          <w:sz w:val="24"/>
        </w:rPr>
        <w:t>that</w:t>
      </w:r>
      <w:r>
        <w:rPr>
          <w:spacing w:val="-3"/>
          <w:sz w:val="24"/>
        </w:rPr>
        <w:t> </w:t>
      </w:r>
      <w:r>
        <w:rPr>
          <w:sz w:val="24"/>
        </w:rPr>
        <w:t>VR</w:t>
      </w:r>
      <w:r>
        <w:rPr>
          <w:spacing w:val="-4"/>
          <w:sz w:val="24"/>
        </w:rPr>
        <w:t> </w:t>
      </w:r>
      <w:r>
        <w:rPr>
          <w:sz w:val="24"/>
        </w:rPr>
        <w:t>services</w:t>
      </w:r>
      <w:r>
        <w:rPr>
          <w:spacing w:val="-4"/>
          <w:sz w:val="24"/>
        </w:rPr>
        <w:t> </w:t>
      </w:r>
      <w:r>
        <w:rPr>
          <w:sz w:val="24"/>
        </w:rPr>
        <w:t>may not be required include:</w:t>
      </w:r>
    </w:p>
    <w:p>
      <w:pPr>
        <w:pStyle w:val="ListParagraph"/>
        <w:numPr>
          <w:ilvl w:val="1"/>
          <w:numId w:val="119"/>
        </w:numPr>
        <w:tabs>
          <w:tab w:pos="1172" w:val="left" w:leader="none"/>
        </w:tabs>
        <w:spacing w:line="208" w:lineRule="auto" w:before="240" w:after="0"/>
        <w:ind w:left="720" w:right="779" w:firstLine="0"/>
        <w:jc w:val="left"/>
        <w:rPr>
          <w:sz w:val="24"/>
        </w:rPr>
      </w:pPr>
      <w:r>
        <w:rPr>
          <w:sz w:val="24"/>
        </w:rPr>
        <w:t>the</w:t>
      </w:r>
      <w:r>
        <w:rPr>
          <w:spacing w:val="-3"/>
          <w:sz w:val="24"/>
        </w:rPr>
        <w:t> </w:t>
      </w:r>
      <w:r>
        <w:rPr>
          <w:sz w:val="24"/>
        </w:rPr>
        <w:t>applicant</w:t>
      </w:r>
      <w:r>
        <w:rPr>
          <w:spacing w:val="-2"/>
          <w:sz w:val="24"/>
        </w:rPr>
        <w:t> </w:t>
      </w:r>
      <w:r>
        <w:rPr>
          <w:sz w:val="24"/>
        </w:rPr>
        <w:t>is</w:t>
      </w:r>
      <w:r>
        <w:rPr>
          <w:spacing w:val="-3"/>
          <w:sz w:val="24"/>
        </w:rPr>
        <w:t> </w:t>
      </w:r>
      <w:r>
        <w:rPr>
          <w:sz w:val="24"/>
        </w:rPr>
        <w:t>already</w:t>
      </w:r>
      <w:r>
        <w:rPr>
          <w:spacing w:val="-3"/>
          <w:sz w:val="24"/>
        </w:rPr>
        <w:t> </w:t>
      </w:r>
      <w:r>
        <w:rPr>
          <w:sz w:val="24"/>
        </w:rPr>
        <w:t>receiving</w:t>
      </w:r>
      <w:r>
        <w:rPr>
          <w:spacing w:val="-3"/>
          <w:sz w:val="24"/>
        </w:rPr>
        <w:t> </w:t>
      </w:r>
      <w:r>
        <w:rPr>
          <w:sz w:val="24"/>
        </w:rPr>
        <w:t>all</w:t>
      </w:r>
      <w:r>
        <w:rPr>
          <w:spacing w:val="-3"/>
          <w:sz w:val="24"/>
        </w:rPr>
        <w:t> </w:t>
      </w:r>
      <w:r>
        <w:rPr>
          <w:sz w:val="24"/>
        </w:rPr>
        <w:t>the</w:t>
      </w:r>
      <w:r>
        <w:rPr>
          <w:spacing w:val="-3"/>
          <w:sz w:val="24"/>
        </w:rPr>
        <w:t> </w:t>
      </w:r>
      <w:r>
        <w:rPr>
          <w:sz w:val="24"/>
        </w:rPr>
        <w:t>services</w:t>
      </w:r>
      <w:r>
        <w:rPr>
          <w:spacing w:val="-3"/>
          <w:sz w:val="24"/>
        </w:rPr>
        <w:t> </w:t>
      </w:r>
      <w:r>
        <w:rPr>
          <w:sz w:val="24"/>
        </w:rPr>
        <w:t>that</w:t>
      </w:r>
      <w:r>
        <w:rPr>
          <w:spacing w:val="-2"/>
          <w:sz w:val="24"/>
        </w:rPr>
        <w:t> </w:t>
      </w:r>
      <w:r>
        <w:rPr>
          <w:sz w:val="24"/>
        </w:rPr>
        <w:t>may</w:t>
      </w:r>
      <w:r>
        <w:rPr>
          <w:spacing w:val="-3"/>
          <w:sz w:val="24"/>
        </w:rPr>
        <w:t> </w:t>
      </w:r>
      <w:r>
        <w:rPr>
          <w:sz w:val="24"/>
        </w:rPr>
        <w:t>be</w:t>
      </w:r>
      <w:r>
        <w:rPr>
          <w:spacing w:val="-4"/>
          <w:sz w:val="24"/>
        </w:rPr>
        <w:t> </w:t>
      </w:r>
      <w:r>
        <w:rPr>
          <w:sz w:val="24"/>
        </w:rPr>
        <w:t>needed</w:t>
      </w:r>
      <w:r>
        <w:rPr>
          <w:spacing w:val="-3"/>
          <w:sz w:val="24"/>
        </w:rPr>
        <w:t> </w:t>
      </w:r>
      <w:r>
        <w:rPr>
          <w:sz w:val="24"/>
        </w:rPr>
        <w:t>to</w:t>
      </w:r>
      <w:r>
        <w:rPr>
          <w:spacing w:val="-3"/>
          <w:sz w:val="24"/>
        </w:rPr>
        <w:t> </w:t>
      </w:r>
      <w:r>
        <w:rPr>
          <w:sz w:val="24"/>
        </w:rPr>
        <w:t>prepare for, enter, engage in or retain employment.</w:t>
      </w:r>
    </w:p>
    <w:p>
      <w:pPr>
        <w:pStyle w:val="ListParagraph"/>
        <w:numPr>
          <w:ilvl w:val="1"/>
          <w:numId w:val="119"/>
        </w:numPr>
        <w:tabs>
          <w:tab w:pos="1172" w:val="left" w:leader="none"/>
        </w:tabs>
        <w:spacing w:line="240" w:lineRule="auto" w:before="211" w:after="0"/>
        <w:ind w:left="1172" w:right="0" w:hanging="452"/>
        <w:jc w:val="left"/>
        <w:rPr>
          <w:sz w:val="24"/>
        </w:rPr>
      </w:pPr>
      <w:r>
        <w:rPr>
          <w:sz w:val="24"/>
        </w:rPr>
        <w:t>the</w:t>
      </w:r>
      <w:r>
        <w:rPr>
          <w:spacing w:val="-5"/>
          <w:sz w:val="24"/>
        </w:rPr>
        <w:t> </w:t>
      </w:r>
      <w:r>
        <w:rPr>
          <w:sz w:val="24"/>
        </w:rPr>
        <w:t>services</w:t>
      </w:r>
      <w:r>
        <w:rPr>
          <w:spacing w:val="-3"/>
          <w:sz w:val="24"/>
        </w:rPr>
        <w:t> </w:t>
      </w:r>
      <w:r>
        <w:rPr>
          <w:sz w:val="24"/>
        </w:rPr>
        <w:t>requested</w:t>
      </w:r>
      <w:r>
        <w:rPr>
          <w:spacing w:val="-3"/>
          <w:sz w:val="24"/>
        </w:rPr>
        <w:t> </w:t>
      </w:r>
      <w:r>
        <w:rPr>
          <w:sz w:val="24"/>
        </w:rPr>
        <w:t>will</w:t>
      </w:r>
      <w:r>
        <w:rPr>
          <w:spacing w:val="-3"/>
          <w:sz w:val="24"/>
        </w:rPr>
        <w:t> </w:t>
      </w:r>
      <w:r>
        <w:rPr>
          <w:sz w:val="24"/>
        </w:rPr>
        <w:t>not</w:t>
      </w:r>
      <w:r>
        <w:rPr>
          <w:spacing w:val="-2"/>
          <w:sz w:val="24"/>
        </w:rPr>
        <w:t> </w:t>
      </w:r>
      <w:r>
        <w:rPr>
          <w:sz w:val="24"/>
        </w:rPr>
        <w:t>contribute</w:t>
      </w:r>
      <w:r>
        <w:rPr>
          <w:spacing w:val="-4"/>
          <w:sz w:val="24"/>
        </w:rPr>
        <w:t> </w:t>
      </w:r>
      <w:r>
        <w:rPr>
          <w:sz w:val="24"/>
        </w:rPr>
        <w:t>to</w:t>
      </w:r>
      <w:r>
        <w:rPr>
          <w:spacing w:val="-3"/>
          <w:sz w:val="24"/>
        </w:rPr>
        <w:t> </w:t>
      </w:r>
      <w:r>
        <w:rPr>
          <w:sz w:val="24"/>
        </w:rPr>
        <w:t>an</w:t>
      </w:r>
      <w:r>
        <w:rPr>
          <w:spacing w:val="-3"/>
          <w:sz w:val="24"/>
        </w:rPr>
        <w:t> </w:t>
      </w:r>
      <w:r>
        <w:rPr>
          <w:sz w:val="24"/>
        </w:rPr>
        <w:t>employment</w:t>
      </w:r>
      <w:r>
        <w:rPr>
          <w:spacing w:val="-1"/>
          <w:sz w:val="24"/>
        </w:rPr>
        <w:t> </w:t>
      </w:r>
      <w:r>
        <w:rPr>
          <w:spacing w:val="-2"/>
          <w:sz w:val="24"/>
        </w:rPr>
        <w:t>outcome.</w:t>
      </w:r>
    </w:p>
    <w:p>
      <w:pPr>
        <w:pStyle w:val="ListParagraph"/>
        <w:numPr>
          <w:ilvl w:val="1"/>
          <w:numId w:val="119"/>
        </w:numPr>
        <w:tabs>
          <w:tab w:pos="1185" w:val="left" w:leader="none"/>
        </w:tabs>
        <w:spacing w:line="240" w:lineRule="auto" w:before="204" w:after="0"/>
        <w:ind w:left="1185" w:right="0" w:hanging="465"/>
        <w:jc w:val="left"/>
        <w:rPr>
          <w:sz w:val="24"/>
        </w:rPr>
      </w:pPr>
      <w:r>
        <w:rPr>
          <w:sz w:val="24"/>
        </w:rPr>
        <w:t>the</w:t>
      </w:r>
      <w:r>
        <w:rPr>
          <w:spacing w:val="-3"/>
          <w:sz w:val="24"/>
        </w:rPr>
        <w:t> </w:t>
      </w:r>
      <w:r>
        <w:rPr>
          <w:sz w:val="24"/>
        </w:rPr>
        <w:t>needed</w:t>
      </w:r>
      <w:r>
        <w:rPr>
          <w:spacing w:val="-3"/>
          <w:sz w:val="24"/>
        </w:rPr>
        <w:t> </w:t>
      </w:r>
      <w:r>
        <w:rPr>
          <w:sz w:val="24"/>
        </w:rPr>
        <w:t>services</w:t>
      </w:r>
      <w:r>
        <w:rPr>
          <w:spacing w:val="-3"/>
          <w:sz w:val="24"/>
        </w:rPr>
        <w:t> </w:t>
      </w:r>
      <w:r>
        <w:rPr>
          <w:sz w:val="24"/>
        </w:rPr>
        <w:t>are</w:t>
      </w:r>
      <w:r>
        <w:rPr>
          <w:spacing w:val="-3"/>
          <w:sz w:val="24"/>
        </w:rPr>
        <w:t> </w:t>
      </w:r>
      <w:r>
        <w:rPr>
          <w:sz w:val="24"/>
        </w:rPr>
        <w:t>mandated</w:t>
      </w:r>
      <w:r>
        <w:rPr>
          <w:spacing w:val="-3"/>
          <w:sz w:val="24"/>
        </w:rPr>
        <w:t> </w:t>
      </w:r>
      <w:r>
        <w:rPr>
          <w:sz w:val="24"/>
        </w:rPr>
        <w:t>of</w:t>
      </w:r>
      <w:r>
        <w:rPr>
          <w:spacing w:val="-2"/>
          <w:sz w:val="24"/>
        </w:rPr>
        <w:t> </w:t>
      </w:r>
      <w:r>
        <w:rPr>
          <w:sz w:val="24"/>
        </w:rPr>
        <w:t>another</w:t>
      </w:r>
      <w:r>
        <w:rPr>
          <w:spacing w:val="-2"/>
          <w:sz w:val="24"/>
        </w:rPr>
        <w:t> agency.</w:t>
      </w:r>
    </w:p>
    <w:p>
      <w:pPr>
        <w:pStyle w:val="ListParagraph"/>
        <w:numPr>
          <w:ilvl w:val="1"/>
          <w:numId w:val="119"/>
        </w:numPr>
        <w:tabs>
          <w:tab w:pos="1185" w:val="left" w:leader="none"/>
        </w:tabs>
        <w:spacing w:line="240" w:lineRule="auto" w:before="204" w:after="0"/>
        <w:ind w:left="1185" w:right="0" w:hanging="465"/>
        <w:jc w:val="left"/>
        <w:rPr>
          <w:sz w:val="24"/>
        </w:rPr>
      </w:pPr>
      <w:r>
        <w:rPr>
          <w:sz w:val="24"/>
        </w:rPr>
        <w:t>the</w:t>
      </w:r>
      <w:r>
        <w:rPr>
          <w:spacing w:val="-3"/>
          <w:sz w:val="24"/>
        </w:rPr>
        <w:t> </w:t>
      </w:r>
      <w:r>
        <w:rPr>
          <w:sz w:val="24"/>
        </w:rPr>
        <w:t>requested</w:t>
      </w:r>
      <w:r>
        <w:rPr>
          <w:spacing w:val="-2"/>
          <w:sz w:val="24"/>
        </w:rPr>
        <w:t> </w:t>
      </w:r>
      <w:r>
        <w:rPr>
          <w:sz w:val="24"/>
        </w:rPr>
        <w:t>services</w:t>
      </w:r>
      <w:r>
        <w:rPr>
          <w:spacing w:val="-2"/>
          <w:sz w:val="24"/>
        </w:rPr>
        <w:t> </w:t>
      </w:r>
      <w:r>
        <w:rPr>
          <w:sz w:val="24"/>
        </w:rPr>
        <w:t>are</w:t>
      </w:r>
      <w:r>
        <w:rPr>
          <w:spacing w:val="-3"/>
          <w:sz w:val="24"/>
        </w:rPr>
        <w:t> </w:t>
      </w:r>
      <w:r>
        <w:rPr>
          <w:sz w:val="24"/>
        </w:rPr>
        <w:t>not</w:t>
      </w:r>
      <w:r>
        <w:rPr>
          <w:spacing w:val="-1"/>
          <w:sz w:val="24"/>
        </w:rPr>
        <w:t> </w:t>
      </w:r>
      <w:r>
        <w:rPr>
          <w:sz w:val="24"/>
        </w:rPr>
        <w:t>VR</w:t>
      </w:r>
      <w:r>
        <w:rPr>
          <w:spacing w:val="-2"/>
          <w:sz w:val="24"/>
        </w:rPr>
        <w:t> services.</w:t>
      </w:r>
    </w:p>
    <w:p>
      <w:pPr>
        <w:pStyle w:val="ListParagraph"/>
        <w:numPr>
          <w:ilvl w:val="0"/>
          <w:numId w:val="119"/>
        </w:numPr>
        <w:tabs>
          <w:tab w:pos="693" w:val="left" w:leader="none"/>
        </w:tabs>
        <w:spacing w:line="240" w:lineRule="auto" w:before="204" w:after="0"/>
        <w:ind w:left="693" w:right="0" w:hanging="333"/>
        <w:jc w:val="left"/>
        <w:rPr>
          <w:sz w:val="24"/>
        </w:rPr>
      </w:pPr>
      <w:r>
        <w:rPr>
          <w:sz w:val="24"/>
        </w:rPr>
        <w:t>See</w:t>
      </w:r>
      <w:r>
        <w:rPr>
          <w:spacing w:val="59"/>
          <w:sz w:val="24"/>
        </w:rPr>
        <w:t> </w:t>
      </w:r>
      <w:hyperlink w:history="true" w:anchor="_bookmark24">
        <w:r>
          <w:rPr>
            <w:color w:val="0000FF"/>
            <w:sz w:val="24"/>
            <w:u w:val="single" w:color="0000FF"/>
          </w:rPr>
          <w:t>612:10-7-164</w:t>
        </w:r>
        <w:r>
          <w:rPr>
            <w:color w:val="0000FF"/>
            <w:spacing w:val="-3"/>
            <w:sz w:val="24"/>
            <w:u w:val="single" w:color="0000FF"/>
          </w:rPr>
          <w:t> </w:t>
        </w:r>
        <w:r>
          <w:rPr>
            <w:color w:val="0000FF"/>
            <w:sz w:val="24"/>
            <w:u w:val="single" w:color="0000FF"/>
          </w:rPr>
          <w:t>Personal</w:t>
        </w:r>
        <w:r>
          <w:rPr>
            <w:color w:val="0000FF"/>
            <w:spacing w:val="-3"/>
            <w:sz w:val="24"/>
            <w:u w:val="single" w:color="0000FF"/>
          </w:rPr>
          <w:t> </w:t>
        </w:r>
        <w:r>
          <w:rPr>
            <w:color w:val="0000FF"/>
            <w:sz w:val="24"/>
            <w:u w:val="single" w:color="0000FF"/>
          </w:rPr>
          <w:t>and</w:t>
        </w:r>
        <w:r>
          <w:rPr>
            <w:color w:val="0000FF"/>
            <w:spacing w:val="-4"/>
            <w:sz w:val="24"/>
            <w:u w:val="single" w:color="0000FF"/>
          </w:rPr>
          <w:t> </w:t>
        </w:r>
        <w:r>
          <w:rPr>
            <w:color w:val="0000FF"/>
            <w:sz w:val="24"/>
            <w:u w:val="single" w:color="0000FF"/>
          </w:rPr>
          <w:t>work</w:t>
        </w:r>
        <w:r>
          <w:rPr>
            <w:color w:val="0000FF"/>
            <w:spacing w:val="-3"/>
            <w:sz w:val="24"/>
            <w:u w:val="single" w:color="0000FF"/>
          </w:rPr>
          <w:t> </w:t>
        </w:r>
        <w:r>
          <w:rPr>
            <w:color w:val="0000FF"/>
            <w:sz w:val="24"/>
            <w:u w:val="single" w:color="0000FF"/>
          </w:rPr>
          <w:t>adjustment</w:t>
        </w:r>
        <w:r>
          <w:rPr>
            <w:color w:val="0000FF"/>
            <w:spacing w:val="-3"/>
            <w:sz w:val="24"/>
            <w:u w:val="single" w:color="0000FF"/>
          </w:rPr>
          <w:t> </w:t>
        </w:r>
        <w:r>
          <w:rPr>
            <w:color w:val="0000FF"/>
            <w:spacing w:val="-2"/>
            <w:sz w:val="24"/>
            <w:u w:val="single" w:color="0000FF"/>
          </w:rPr>
          <w:t>training</w:t>
        </w:r>
      </w:hyperlink>
    </w:p>
    <w:p>
      <w:pPr>
        <w:pStyle w:val="ListParagraph"/>
        <w:numPr>
          <w:ilvl w:val="0"/>
          <w:numId w:val="119"/>
        </w:numPr>
        <w:tabs>
          <w:tab w:pos="718" w:val="left" w:leader="none"/>
        </w:tabs>
        <w:spacing w:line="240" w:lineRule="auto" w:before="204" w:after="0"/>
        <w:ind w:left="718" w:right="0" w:hanging="358"/>
        <w:jc w:val="left"/>
        <w:rPr>
          <w:sz w:val="24"/>
        </w:rPr>
      </w:pPr>
      <w:r>
        <w:rPr>
          <w:spacing w:val="-2"/>
          <w:sz w:val="24"/>
        </w:rPr>
        <w:t>See</w:t>
      </w:r>
      <w:r>
        <w:rPr>
          <w:spacing w:val="-13"/>
          <w:sz w:val="24"/>
        </w:rPr>
        <w:t> </w:t>
      </w:r>
      <w:hyperlink r:id="rId41">
        <w:r>
          <w:rPr>
            <w:color w:val="0000FF"/>
            <w:spacing w:val="-2"/>
            <w:sz w:val="24"/>
            <w:u w:val="single" w:color="0000FF"/>
          </w:rPr>
          <w:t>34CFR361.42(a)</w:t>
        </w:r>
      </w:hyperlink>
    </w:p>
    <w:p>
      <w:pPr>
        <w:pStyle w:val="ListParagraph"/>
        <w:spacing w:after="0" w:line="240" w:lineRule="auto"/>
        <w:jc w:val="left"/>
        <w:rPr>
          <w:sz w:val="24"/>
        </w:rPr>
        <w:sectPr>
          <w:pgSz w:w="12240" w:h="15840"/>
          <w:pgMar w:top="1340" w:bottom="280" w:left="1080" w:right="720"/>
        </w:sectPr>
      </w:pPr>
    </w:p>
    <w:p>
      <w:pPr>
        <w:pStyle w:val="ListParagraph"/>
        <w:numPr>
          <w:ilvl w:val="0"/>
          <w:numId w:val="119"/>
        </w:numPr>
        <w:tabs>
          <w:tab w:pos="693" w:val="left" w:leader="none"/>
        </w:tabs>
        <w:spacing w:line="208" w:lineRule="auto" w:before="96" w:after="0"/>
        <w:ind w:left="360" w:right="752" w:firstLine="0"/>
        <w:jc w:val="left"/>
        <w:rPr>
          <w:sz w:val="24"/>
        </w:rPr>
      </w:pPr>
      <w:r>
        <w:rPr>
          <w:sz w:val="24"/>
        </w:rPr>
        <w:t>The presumption of eligibility occurs when the applicant has filled out the application and</w:t>
      </w:r>
      <w:r>
        <w:rPr>
          <w:spacing w:val="-4"/>
          <w:sz w:val="24"/>
        </w:rPr>
        <w:t> </w:t>
      </w:r>
      <w:r>
        <w:rPr>
          <w:sz w:val="24"/>
        </w:rPr>
        <w:t>asserts</w:t>
      </w:r>
      <w:r>
        <w:rPr>
          <w:spacing w:val="-4"/>
          <w:sz w:val="24"/>
        </w:rPr>
        <w:t> </w:t>
      </w:r>
      <w:r>
        <w:rPr>
          <w:sz w:val="24"/>
        </w:rPr>
        <w:t>that</w:t>
      </w:r>
      <w:r>
        <w:rPr>
          <w:spacing w:val="-3"/>
          <w:sz w:val="24"/>
        </w:rPr>
        <w:t> </w:t>
      </w:r>
      <w:r>
        <w:rPr>
          <w:sz w:val="24"/>
        </w:rPr>
        <w:t>he/she</w:t>
      </w:r>
      <w:r>
        <w:rPr>
          <w:spacing w:val="-4"/>
          <w:sz w:val="24"/>
        </w:rPr>
        <w:t> </w:t>
      </w:r>
      <w:r>
        <w:rPr>
          <w:sz w:val="24"/>
        </w:rPr>
        <w:t>receives</w:t>
      </w:r>
      <w:r>
        <w:rPr>
          <w:spacing w:val="-3"/>
          <w:sz w:val="24"/>
        </w:rPr>
        <w:t> </w:t>
      </w:r>
      <w:r>
        <w:rPr>
          <w:sz w:val="24"/>
        </w:rPr>
        <w:t>SSI/SSDI,</w:t>
      </w:r>
      <w:r>
        <w:rPr>
          <w:spacing w:val="-5"/>
          <w:sz w:val="24"/>
        </w:rPr>
        <w:t> </w:t>
      </w:r>
      <w:r>
        <w:rPr>
          <w:sz w:val="24"/>
        </w:rPr>
        <w:t>regardless</w:t>
      </w:r>
      <w:r>
        <w:rPr>
          <w:spacing w:val="-4"/>
          <w:sz w:val="24"/>
        </w:rPr>
        <w:t> </w:t>
      </w:r>
      <w:r>
        <w:rPr>
          <w:sz w:val="24"/>
        </w:rPr>
        <w:t>of</w:t>
      </w:r>
      <w:r>
        <w:rPr>
          <w:spacing w:val="-3"/>
          <w:sz w:val="24"/>
        </w:rPr>
        <w:t> </w:t>
      </w:r>
      <w:r>
        <w:rPr>
          <w:sz w:val="24"/>
        </w:rPr>
        <w:t>whether</w:t>
      </w:r>
      <w:r>
        <w:rPr>
          <w:spacing w:val="-5"/>
          <w:sz w:val="24"/>
        </w:rPr>
        <w:t> </w:t>
      </w:r>
      <w:r>
        <w:rPr>
          <w:sz w:val="24"/>
        </w:rPr>
        <w:t>or</w:t>
      </w:r>
      <w:r>
        <w:rPr>
          <w:spacing w:val="-3"/>
          <w:sz w:val="24"/>
        </w:rPr>
        <w:t> </w:t>
      </w:r>
      <w:r>
        <w:rPr>
          <w:sz w:val="24"/>
        </w:rPr>
        <w:t>not</w:t>
      </w:r>
      <w:r>
        <w:rPr>
          <w:spacing w:val="-3"/>
          <w:sz w:val="24"/>
        </w:rPr>
        <w:t> </w:t>
      </w:r>
      <w:r>
        <w:rPr>
          <w:sz w:val="24"/>
        </w:rPr>
        <w:t>the</w:t>
      </w:r>
      <w:r>
        <w:rPr>
          <w:spacing w:val="-4"/>
          <w:sz w:val="24"/>
        </w:rPr>
        <w:t> </w:t>
      </w:r>
      <w:r>
        <w:rPr>
          <w:sz w:val="24"/>
        </w:rPr>
        <w:t>applicant</w:t>
      </w:r>
      <w:r>
        <w:rPr>
          <w:spacing w:val="-3"/>
          <w:sz w:val="24"/>
        </w:rPr>
        <w:t> </w:t>
      </w:r>
      <w:r>
        <w:rPr>
          <w:sz w:val="24"/>
        </w:rPr>
        <w:t>is able to provide evidence such as an award letter to support that assertion. When the applicant does not present evidence of receipt of SSI/SSDI, the counselor will verify the applicant's SSI/SSDI status through the IMS system. At least one person in each DRS office should be able to access this system. Verification of SSI/SSDI status should be obtained as quickly as possible and documented in the case record. Following presumption of an individual's eligibility for VR services, the VR specialist may provide assessments,</w:t>
      </w:r>
      <w:r>
        <w:rPr>
          <w:spacing w:val="-2"/>
          <w:sz w:val="24"/>
        </w:rPr>
        <w:t> </w:t>
      </w:r>
      <w:r>
        <w:rPr>
          <w:sz w:val="24"/>
        </w:rPr>
        <w:t>vocational</w:t>
      </w:r>
      <w:r>
        <w:rPr>
          <w:spacing w:val="-3"/>
          <w:sz w:val="24"/>
        </w:rPr>
        <w:t> </w:t>
      </w:r>
      <w:r>
        <w:rPr>
          <w:sz w:val="24"/>
        </w:rPr>
        <w:t>evaluation</w:t>
      </w:r>
      <w:r>
        <w:rPr>
          <w:spacing w:val="-3"/>
          <w:sz w:val="24"/>
        </w:rPr>
        <w:t> </w:t>
      </w:r>
      <w:r>
        <w:rPr>
          <w:sz w:val="24"/>
        </w:rPr>
        <w:t>and</w:t>
      </w:r>
      <w:r>
        <w:rPr>
          <w:spacing w:val="-3"/>
          <w:sz w:val="24"/>
        </w:rPr>
        <w:t> </w:t>
      </w:r>
      <w:r>
        <w:rPr>
          <w:sz w:val="24"/>
        </w:rPr>
        <w:t>any</w:t>
      </w:r>
      <w:r>
        <w:rPr>
          <w:spacing w:val="-3"/>
          <w:sz w:val="24"/>
        </w:rPr>
        <w:t> </w:t>
      </w:r>
      <w:r>
        <w:rPr>
          <w:sz w:val="24"/>
        </w:rPr>
        <w:t>other</w:t>
      </w:r>
      <w:r>
        <w:rPr>
          <w:spacing w:val="-2"/>
          <w:sz w:val="24"/>
        </w:rPr>
        <w:t> </w:t>
      </w:r>
      <w:r>
        <w:rPr>
          <w:sz w:val="24"/>
        </w:rPr>
        <w:t>assistance</w:t>
      </w:r>
      <w:r>
        <w:rPr>
          <w:spacing w:val="-3"/>
          <w:sz w:val="24"/>
        </w:rPr>
        <w:t> </w:t>
      </w:r>
      <w:r>
        <w:rPr>
          <w:sz w:val="24"/>
        </w:rPr>
        <w:t>that</w:t>
      </w:r>
      <w:r>
        <w:rPr>
          <w:spacing w:val="-2"/>
          <w:sz w:val="24"/>
        </w:rPr>
        <w:t> </w:t>
      </w:r>
      <w:r>
        <w:rPr>
          <w:sz w:val="24"/>
        </w:rPr>
        <w:t>is</w:t>
      </w:r>
      <w:r>
        <w:rPr>
          <w:spacing w:val="-3"/>
          <w:sz w:val="24"/>
        </w:rPr>
        <w:t> </w:t>
      </w:r>
      <w:r>
        <w:rPr>
          <w:sz w:val="24"/>
        </w:rPr>
        <w:t>permissible</w:t>
      </w:r>
      <w:r>
        <w:rPr>
          <w:spacing w:val="-3"/>
          <w:sz w:val="24"/>
        </w:rPr>
        <w:t> </w:t>
      </w:r>
      <w:r>
        <w:rPr>
          <w:sz w:val="24"/>
        </w:rPr>
        <w:t>prior</w:t>
      </w:r>
      <w:r>
        <w:rPr>
          <w:spacing w:val="-2"/>
          <w:sz w:val="24"/>
        </w:rPr>
        <w:t> </w:t>
      </w:r>
      <w:r>
        <w:rPr>
          <w:sz w:val="24"/>
        </w:rPr>
        <w:t>to writing of the IPE upon formal determination of eligibility. Trial Work can be considered after the presumption of eligibility and prior to eligibility if there is reasonable doubt concerning an employment outcome.</w:t>
      </w:r>
    </w:p>
    <w:p>
      <w:pPr>
        <w:pStyle w:val="ListParagraph"/>
        <w:numPr>
          <w:ilvl w:val="0"/>
          <w:numId w:val="119"/>
        </w:numPr>
        <w:tabs>
          <w:tab w:pos="692" w:val="left" w:leader="none"/>
        </w:tabs>
        <w:spacing w:line="208" w:lineRule="auto" w:before="239" w:after="0"/>
        <w:ind w:left="359" w:right="751" w:firstLine="0"/>
        <w:jc w:val="left"/>
        <w:rPr>
          <w:sz w:val="24"/>
        </w:rPr>
      </w:pPr>
      <w:r>
        <w:rPr>
          <w:sz w:val="24"/>
        </w:rPr>
        <w:t>Some possible characteristics for consideration in eligibility and service determinations which may be related to substance abuse and which may interfere with employment may fall under; Mobility (slowed reflexes, organic brain damage, gait problems); Interpersonal Skills (mood swings, attitude changes, continued association with active substance abuser, inability to sustain positive personal relationships, having stigma or being a substance abuser); Communication (withdrawal, short attention span, appearance</w:t>
      </w:r>
      <w:r>
        <w:rPr>
          <w:spacing w:val="-5"/>
          <w:sz w:val="24"/>
        </w:rPr>
        <w:t> </w:t>
      </w:r>
      <w:r>
        <w:rPr>
          <w:sz w:val="24"/>
        </w:rPr>
        <w:t>or</w:t>
      </w:r>
      <w:r>
        <w:rPr>
          <w:spacing w:val="-4"/>
          <w:sz w:val="24"/>
        </w:rPr>
        <w:t> </w:t>
      </w:r>
      <w:r>
        <w:rPr>
          <w:sz w:val="24"/>
        </w:rPr>
        <w:t>hygiene,</w:t>
      </w:r>
      <w:r>
        <w:rPr>
          <w:spacing w:val="-4"/>
          <w:sz w:val="24"/>
        </w:rPr>
        <w:t> </w:t>
      </w:r>
      <w:r>
        <w:rPr>
          <w:sz w:val="24"/>
        </w:rPr>
        <w:t>insomnia,</w:t>
      </w:r>
      <w:r>
        <w:rPr>
          <w:spacing w:val="-4"/>
          <w:sz w:val="24"/>
        </w:rPr>
        <w:t> </w:t>
      </w:r>
      <w:r>
        <w:rPr>
          <w:sz w:val="24"/>
        </w:rPr>
        <w:t>oversleeping,</w:t>
      </w:r>
      <w:r>
        <w:rPr>
          <w:spacing w:val="-4"/>
          <w:sz w:val="24"/>
        </w:rPr>
        <w:t> </w:t>
      </w:r>
      <w:r>
        <w:rPr>
          <w:sz w:val="24"/>
        </w:rPr>
        <w:t>memory</w:t>
      </w:r>
      <w:r>
        <w:rPr>
          <w:spacing w:val="-5"/>
          <w:sz w:val="24"/>
        </w:rPr>
        <w:t> </w:t>
      </w:r>
      <w:r>
        <w:rPr>
          <w:sz w:val="24"/>
        </w:rPr>
        <w:t>loss);</w:t>
      </w:r>
      <w:r>
        <w:rPr>
          <w:spacing w:val="-4"/>
          <w:sz w:val="24"/>
        </w:rPr>
        <w:t> </w:t>
      </w:r>
      <w:r>
        <w:rPr>
          <w:sz w:val="24"/>
        </w:rPr>
        <w:t>Self-Direction</w:t>
      </w:r>
      <w:r>
        <w:rPr>
          <w:spacing w:val="-5"/>
          <w:sz w:val="24"/>
        </w:rPr>
        <w:t> </w:t>
      </w:r>
      <w:r>
        <w:rPr>
          <w:sz w:val="24"/>
        </w:rPr>
        <w:t>(poor</w:t>
      </w:r>
      <w:r>
        <w:rPr>
          <w:spacing w:val="-4"/>
          <w:sz w:val="24"/>
        </w:rPr>
        <w:t> </w:t>
      </w:r>
      <w:r>
        <w:rPr>
          <w:sz w:val="24"/>
        </w:rPr>
        <w:t>task completion, difficulty working independently). A review of the information on Substance Abuse in the current DSM (Diagnostic and Statistical Manual of Mental Disorders) may be helpful in making these determinations.</w:t>
      </w:r>
    </w:p>
    <w:p>
      <w:pPr>
        <w:pStyle w:val="ListParagraph"/>
        <w:numPr>
          <w:ilvl w:val="0"/>
          <w:numId w:val="119"/>
        </w:numPr>
        <w:tabs>
          <w:tab w:pos="693" w:val="left" w:leader="none"/>
        </w:tabs>
        <w:spacing w:line="208" w:lineRule="auto" w:before="239" w:after="0"/>
        <w:ind w:left="360" w:right="755" w:firstLine="0"/>
        <w:jc w:val="left"/>
        <w:rPr>
          <w:sz w:val="24"/>
        </w:rPr>
      </w:pPr>
      <w:r>
        <w:rPr>
          <w:sz w:val="24"/>
        </w:rPr>
        <w:t>Examples of continuous or intermittent medical treatment for allergies or asthma include regularly prescribed medications, emergency medical treatments for allergic reactions, use of nebulizers, and other medical treatment that is necessary to prevent, control</w:t>
      </w:r>
      <w:r>
        <w:rPr>
          <w:spacing w:val="-4"/>
          <w:sz w:val="24"/>
        </w:rPr>
        <w:t> </w:t>
      </w:r>
      <w:r>
        <w:rPr>
          <w:sz w:val="24"/>
        </w:rPr>
        <w:t>or</w:t>
      </w:r>
      <w:r>
        <w:rPr>
          <w:spacing w:val="-3"/>
          <w:sz w:val="24"/>
        </w:rPr>
        <w:t> </w:t>
      </w:r>
      <w:r>
        <w:rPr>
          <w:sz w:val="24"/>
        </w:rPr>
        <w:t>reverse</w:t>
      </w:r>
      <w:r>
        <w:rPr>
          <w:spacing w:val="-4"/>
          <w:sz w:val="24"/>
        </w:rPr>
        <w:t> </w:t>
      </w:r>
      <w:r>
        <w:rPr>
          <w:sz w:val="24"/>
        </w:rPr>
        <w:t>allergic</w:t>
      </w:r>
      <w:r>
        <w:rPr>
          <w:spacing w:val="-4"/>
          <w:sz w:val="24"/>
        </w:rPr>
        <w:t> </w:t>
      </w:r>
      <w:r>
        <w:rPr>
          <w:sz w:val="24"/>
        </w:rPr>
        <w:t>symptoms.</w:t>
      </w:r>
      <w:r>
        <w:rPr>
          <w:spacing w:val="40"/>
          <w:sz w:val="24"/>
        </w:rPr>
        <w:t> </w:t>
      </w:r>
      <w:r>
        <w:rPr>
          <w:sz w:val="24"/>
        </w:rPr>
        <w:t>Allergies</w:t>
      </w:r>
      <w:r>
        <w:rPr>
          <w:spacing w:val="-4"/>
          <w:sz w:val="24"/>
        </w:rPr>
        <w:t> </w:t>
      </w:r>
      <w:r>
        <w:rPr>
          <w:sz w:val="24"/>
        </w:rPr>
        <w:t>and</w:t>
      </w:r>
      <w:r>
        <w:rPr>
          <w:spacing w:val="-4"/>
          <w:sz w:val="24"/>
        </w:rPr>
        <w:t> </w:t>
      </w:r>
      <w:r>
        <w:rPr>
          <w:sz w:val="24"/>
        </w:rPr>
        <w:t>asthma</w:t>
      </w:r>
      <w:r>
        <w:rPr>
          <w:spacing w:val="-4"/>
          <w:sz w:val="24"/>
        </w:rPr>
        <w:t> </w:t>
      </w:r>
      <w:r>
        <w:rPr>
          <w:sz w:val="24"/>
        </w:rPr>
        <w:t>may</w:t>
      </w:r>
      <w:r>
        <w:rPr>
          <w:spacing w:val="-4"/>
          <w:sz w:val="24"/>
        </w:rPr>
        <w:t> </w:t>
      </w:r>
      <w:r>
        <w:rPr>
          <w:sz w:val="24"/>
        </w:rPr>
        <w:t>constitute</w:t>
      </w:r>
      <w:r>
        <w:rPr>
          <w:spacing w:val="-4"/>
          <w:sz w:val="24"/>
        </w:rPr>
        <w:t> </w:t>
      </w:r>
      <w:r>
        <w:rPr>
          <w:sz w:val="24"/>
        </w:rPr>
        <w:t>a</w:t>
      </w:r>
      <w:r>
        <w:rPr>
          <w:spacing w:val="-5"/>
          <w:sz w:val="24"/>
        </w:rPr>
        <w:t> </w:t>
      </w:r>
      <w:r>
        <w:rPr>
          <w:sz w:val="24"/>
        </w:rPr>
        <w:t>substantial impediment to employment when they restrict the work environments and conditions an individual can consider, limit jobs that can be accepted within an occupational field for which the individual is qualified, or otherwise negatively impact a person's employment </w:t>
      </w:r>
      <w:r>
        <w:rPr>
          <w:spacing w:val="-2"/>
          <w:sz w:val="24"/>
        </w:rPr>
        <w:t>options.</w:t>
      </w:r>
    </w:p>
    <w:p>
      <w:pPr>
        <w:pStyle w:val="ListParagraph"/>
        <w:numPr>
          <w:ilvl w:val="0"/>
          <w:numId w:val="119"/>
        </w:numPr>
        <w:tabs>
          <w:tab w:pos="693" w:val="left" w:leader="none"/>
        </w:tabs>
        <w:spacing w:line="208" w:lineRule="auto" w:before="239" w:after="0"/>
        <w:ind w:left="360" w:right="1219" w:firstLine="0"/>
        <w:jc w:val="left"/>
        <w:rPr>
          <w:sz w:val="24"/>
        </w:rPr>
      </w:pPr>
      <w:r>
        <w:rPr>
          <w:sz w:val="24"/>
        </w:rPr>
        <w:t>Diabetic</w:t>
      </w:r>
      <w:r>
        <w:rPr>
          <w:spacing w:val="-5"/>
          <w:sz w:val="24"/>
        </w:rPr>
        <w:t> </w:t>
      </w:r>
      <w:r>
        <w:rPr>
          <w:sz w:val="24"/>
        </w:rPr>
        <w:t>Education</w:t>
      </w:r>
      <w:r>
        <w:rPr>
          <w:spacing w:val="-4"/>
          <w:sz w:val="24"/>
        </w:rPr>
        <w:t> </w:t>
      </w:r>
      <w:r>
        <w:rPr>
          <w:sz w:val="24"/>
        </w:rPr>
        <w:t>training</w:t>
      </w:r>
      <w:r>
        <w:rPr>
          <w:spacing w:val="-5"/>
          <w:sz w:val="24"/>
        </w:rPr>
        <w:t> </w:t>
      </w:r>
      <w:r>
        <w:rPr>
          <w:sz w:val="24"/>
        </w:rPr>
        <w:t>is</w:t>
      </w:r>
      <w:r>
        <w:rPr>
          <w:spacing w:val="-5"/>
          <w:sz w:val="24"/>
        </w:rPr>
        <w:t> </w:t>
      </w:r>
      <w:r>
        <w:rPr>
          <w:sz w:val="24"/>
        </w:rPr>
        <w:t>considered</w:t>
      </w:r>
      <w:r>
        <w:rPr>
          <w:spacing w:val="-4"/>
          <w:sz w:val="24"/>
        </w:rPr>
        <w:t> </w:t>
      </w:r>
      <w:r>
        <w:rPr>
          <w:sz w:val="24"/>
        </w:rPr>
        <w:t>personal</w:t>
      </w:r>
      <w:r>
        <w:rPr>
          <w:spacing w:val="-5"/>
          <w:sz w:val="24"/>
        </w:rPr>
        <w:t> </w:t>
      </w:r>
      <w:r>
        <w:rPr>
          <w:sz w:val="24"/>
        </w:rPr>
        <w:t>adjustment</w:t>
      </w:r>
      <w:r>
        <w:rPr>
          <w:spacing w:val="-4"/>
          <w:sz w:val="24"/>
        </w:rPr>
        <w:t> </w:t>
      </w:r>
      <w:r>
        <w:rPr>
          <w:sz w:val="24"/>
        </w:rPr>
        <w:t>training</w:t>
      </w:r>
      <w:r>
        <w:rPr>
          <w:spacing w:val="-5"/>
          <w:sz w:val="24"/>
        </w:rPr>
        <w:t> </w:t>
      </w:r>
      <w:r>
        <w:rPr>
          <w:sz w:val="24"/>
        </w:rPr>
        <w:t>and</w:t>
      </w:r>
      <w:r>
        <w:rPr>
          <w:spacing w:val="-4"/>
          <w:sz w:val="24"/>
        </w:rPr>
        <w:t> </w:t>
      </w:r>
      <w:r>
        <w:rPr>
          <w:sz w:val="24"/>
        </w:rPr>
        <w:t>is</w:t>
      </w:r>
      <w:r>
        <w:rPr>
          <w:spacing w:val="-5"/>
          <w:sz w:val="24"/>
        </w:rPr>
        <w:t> </w:t>
      </w:r>
      <w:r>
        <w:rPr>
          <w:sz w:val="24"/>
        </w:rPr>
        <w:t>not subject to financial status.</w:t>
      </w:r>
    </w:p>
    <w:p>
      <w:pPr>
        <w:pStyle w:val="ListParagraph"/>
        <w:numPr>
          <w:ilvl w:val="0"/>
          <w:numId w:val="119"/>
        </w:numPr>
        <w:tabs>
          <w:tab w:pos="692" w:val="left" w:leader="none"/>
        </w:tabs>
        <w:spacing w:line="208" w:lineRule="auto" w:before="240" w:after="0"/>
        <w:ind w:left="360" w:right="849" w:firstLine="0"/>
        <w:jc w:val="left"/>
        <w:rPr>
          <w:sz w:val="24"/>
        </w:rPr>
      </w:pPr>
      <w:r>
        <w:rPr>
          <w:sz w:val="24"/>
        </w:rPr>
        <w:t>Individuals</w:t>
      </w:r>
      <w:r>
        <w:rPr>
          <w:spacing w:val="-4"/>
          <w:sz w:val="24"/>
        </w:rPr>
        <w:t> </w:t>
      </w:r>
      <w:r>
        <w:rPr>
          <w:sz w:val="24"/>
        </w:rPr>
        <w:t>with</w:t>
      </w:r>
      <w:r>
        <w:rPr>
          <w:spacing w:val="-4"/>
          <w:sz w:val="24"/>
        </w:rPr>
        <w:t> </w:t>
      </w:r>
      <w:r>
        <w:rPr>
          <w:sz w:val="24"/>
        </w:rPr>
        <w:t>diabetes</w:t>
      </w:r>
      <w:r>
        <w:rPr>
          <w:spacing w:val="-4"/>
          <w:sz w:val="24"/>
        </w:rPr>
        <w:t> </w:t>
      </w:r>
      <w:r>
        <w:rPr>
          <w:sz w:val="24"/>
        </w:rPr>
        <w:t>will</w:t>
      </w:r>
      <w:r>
        <w:rPr>
          <w:spacing w:val="-4"/>
          <w:sz w:val="24"/>
        </w:rPr>
        <w:t> </w:t>
      </w:r>
      <w:r>
        <w:rPr>
          <w:sz w:val="24"/>
        </w:rPr>
        <w:t>generally</w:t>
      </w:r>
      <w:r>
        <w:rPr>
          <w:spacing w:val="-4"/>
          <w:sz w:val="24"/>
        </w:rPr>
        <w:t> </w:t>
      </w:r>
      <w:r>
        <w:rPr>
          <w:sz w:val="24"/>
        </w:rPr>
        <w:t>be</w:t>
      </w:r>
      <w:r>
        <w:rPr>
          <w:spacing w:val="-3"/>
          <w:sz w:val="24"/>
        </w:rPr>
        <w:t> </w:t>
      </w:r>
      <w:r>
        <w:rPr>
          <w:sz w:val="24"/>
        </w:rPr>
        <w:t>served</w:t>
      </w:r>
      <w:r>
        <w:rPr>
          <w:spacing w:val="-4"/>
          <w:sz w:val="24"/>
        </w:rPr>
        <w:t> </w:t>
      </w:r>
      <w:r>
        <w:rPr>
          <w:sz w:val="24"/>
        </w:rPr>
        <w:t>by</w:t>
      </w:r>
      <w:r>
        <w:rPr>
          <w:spacing w:val="-5"/>
          <w:sz w:val="24"/>
        </w:rPr>
        <w:t> </w:t>
      </w:r>
      <w:r>
        <w:rPr>
          <w:sz w:val="24"/>
        </w:rPr>
        <w:t>DVR.</w:t>
      </w:r>
      <w:r>
        <w:rPr>
          <w:spacing w:val="-3"/>
          <w:sz w:val="24"/>
        </w:rPr>
        <w:t> </w:t>
      </w:r>
      <w:r>
        <w:rPr>
          <w:sz w:val="24"/>
        </w:rPr>
        <w:t>However,</w:t>
      </w:r>
      <w:r>
        <w:rPr>
          <w:spacing w:val="-3"/>
          <w:sz w:val="24"/>
        </w:rPr>
        <w:t> </w:t>
      </w:r>
      <w:r>
        <w:rPr>
          <w:sz w:val="24"/>
        </w:rPr>
        <w:t>individuals</w:t>
      </w:r>
      <w:r>
        <w:rPr>
          <w:spacing w:val="-4"/>
          <w:sz w:val="24"/>
        </w:rPr>
        <w:t> </w:t>
      </w:r>
      <w:r>
        <w:rPr>
          <w:sz w:val="24"/>
        </w:rPr>
        <w:t>who have significant or progressive visual disabilities as a result of diabetes or other eye conditions should be referred to the Division of Services for the Blind and Visually Impaired. When there is a question as to which division can best serve the individual, appropriate DVR and DSBVI staff will confer to reach a decision and document the decision in the case record.</w:t>
      </w:r>
    </w:p>
    <w:p>
      <w:pPr>
        <w:pStyle w:val="ListParagraph"/>
        <w:numPr>
          <w:ilvl w:val="0"/>
          <w:numId w:val="119"/>
        </w:numPr>
        <w:tabs>
          <w:tab w:pos="826" w:val="left" w:leader="none"/>
        </w:tabs>
        <w:spacing w:line="208" w:lineRule="auto" w:before="239" w:after="0"/>
        <w:ind w:left="360" w:right="794" w:firstLine="0"/>
        <w:jc w:val="left"/>
        <w:rPr>
          <w:sz w:val="24"/>
        </w:rPr>
      </w:pPr>
      <w:r>
        <w:rPr>
          <w:sz w:val="24"/>
        </w:rPr>
        <w:t>Link</w:t>
      </w:r>
      <w:r>
        <w:rPr>
          <w:spacing w:val="-5"/>
          <w:sz w:val="24"/>
        </w:rPr>
        <w:t> </w:t>
      </w:r>
      <w:r>
        <w:rPr>
          <w:sz w:val="24"/>
        </w:rPr>
        <w:t>to</w:t>
      </w:r>
      <w:r>
        <w:rPr>
          <w:spacing w:val="-6"/>
          <w:sz w:val="24"/>
        </w:rPr>
        <w:t> </w:t>
      </w:r>
      <w:hyperlink r:id="rId42">
        <w:r>
          <w:rPr>
            <w:color w:val="0000FF"/>
            <w:sz w:val="24"/>
            <w:u w:val="single" w:color="0000FF"/>
          </w:rPr>
          <w:t>Learning</w:t>
        </w:r>
        <w:r>
          <w:rPr>
            <w:color w:val="0000FF"/>
            <w:spacing w:val="-4"/>
            <w:sz w:val="24"/>
            <w:u w:val="single" w:color="0000FF"/>
          </w:rPr>
          <w:t> </w:t>
        </w:r>
        <w:r>
          <w:rPr>
            <w:color w:val="0000FF"/>
            <w:sz w:val="24"/>
            <w:u w:val="single" w:color="0000FF"/>
          </w:rPr>
          <w:t>Disabilities</w:t>
        </w:r>
        <w:r>
          <w:rPr>
            <w:color w:val="0000FF"/>
            <w:spacing w:val="-5"/>
            <w:sz w:val="24"/>
            <w:u w:val="single" w:color="0000FF"/>
          </w:rPr>
          <w:t> </w:t>
        </w:r>
        <w:r>
          <w:rPr>
            <w:color w:val="0000FF"/>
            <w:sz w:val="24"/>
            <w:u w:val="single" w:color="0000FF"/>
          </w:rPr>
          <w:t>Guidance</w:t>
        </w:r>
        <w:r>
          <w:rPr>
            <w:color w:val="0000FF"/>
            <w:spacing w:val="-4"/>
            <w:sz w:val="24"/>
            <w:u w:val="single" w:color="0000FF"/>
          </w:rPr>
          <w:t> </w:t>
        </w:r>
        <w:r>
          <w:rPr>
            <w:color w:val="0000FF"/>
            <w:sz w:val="24"/>
            <w:u w:val="single" w:color="0000FF"/>
          </w:rPr>
          <w:t>Document</w:t>
        </w:r>
      </w:hyperlink>
      <w:r>
        <w:rPr>
          <w:sz w:val="24"/>
          <w:u w:val="none"/>
        </w:rPr>
        <w:t>;</w:t>
      </w:r>
      <w:r>
        <w:rPr>
          <w:spacing w:val="-4"/>
          <w:sz w:val="24"/>
          <w:u w:val="none"/>
        </w:rPr>
        <w:t> </w:t>
      </w:r>
      <w:r>
        <w:rPr>
          <w:sz w:val="24"/>
          <w:u w:val="none"/>
        </w:rPr>
        <w:t>link</w:t>
      </w:r>
      <w:r>
        <w:rPr>
          <w:spacing w:val="-5"/>
          <w:sz w:val="24"/>
          <w:u w:val="none"/>
        </w:rPr>
        <w:t> </w:t>
      </w:r>
      <w:r>
        <w:rPr>
          <w:sz w:val="24"/>
          <w:u w:val="none"/>
        </w:rPr>
        <w:t>to</w:t>
      </w:r>
      <w:r>
        <w:rPr>
          <w:spacing w:val="-5"/>
          <w:sz w:val="24"/>
          <w:u w:val="none"/>
        </w:rPr>
        <w:t> </w:t>
      </w:r>
      <w:hyperlink r:id="rId43">
        <w:r>
          <w:rPr>
            <w:color w:val="0000FF"/>
            <w:sz w:val="24"/>
            <w:u w:val="single" w:color="0000FF"/>
          </w:rPr>
          <w:t>RSA</w:t>
        </w:r>
        <w:r>
          <w:rPr>
            <w:color w:val="0000FF"/>
            <w:spacing w:val="-4"/>
            <w:sz w:val="24"/>
            <w:u w:val="single" w:color="0000FF"/>
          </w:rPr>
          <w:t> </w:t>
        </w:r>
        <w:r>
          <w:rPr>
            <w:color w:val="0000FF"/>
            <w:sz w:val="24"/>
            <w:u w:val="single" w:color="0000FF"/>
          </w:rPr>
          <w:t>Technical</w:t>
        </w:r>
        <w:r>
          <w:rPr>
            <w:color w:val="0000FF"/>
            <w:spacing w:val="-4"/>
            <w:sz w:val="24"/>
            <w:u w:val="single" w:color="0000FF"/>
          </w:rPr>
          <w:t> </w:t>
        </w:r>
        <w:r>
          <w:rPr>
            <w:color w:val="0000FF"/>
            <w:sz w:val="24"/>
            <w:u w:val="single" w:color="0000FF"/>
          </w:rPr>
          <w:t>Assistance</w:t>
        </w:r>
      </w:hyperlink>
      <w:r>
        <w:rPr>
          <w:color w:val="0000FF"/>
          <w:sz w:val="24"/>
          <w:u w:val="none"/>
        </w:rPr>
        <w:t> </w:t>
      </w:r>
      <w:hyperlink r:id="rId43">
        <w:r>
          <w:rPr>
            <w:color w:val="0000FF"/>
            <w:sz w:val="24"/>
            <w:u w:val="single" w:color="0000FF"/>
          </w:rPr>
          <w:t>Circular 05-01 Guidelines for Assessing the Functional Capacities of an Individual with</w:t>
        </w:r>
      </w:hyperlink>
      <w:r>
        <w:rPr>
          <w:color w:val="0000FF"/>
          <w:sz w:val="24"/>
          <w:u w:val="none"/>
        </w:rPr>
        <w:t> </w:t>
      </w:r>
      <w:hyperlink r:id="rId43">
        <w:r>
          <w:rPr>
            <w:color w:val="0000FF"/>
            <w:sz w:val="24"/>
            <w:u w:val="single" w:color="0000FF"/>
          </w:rPr>
          <w:t>Specific Learning Disabilities to Determine Significance of Disability for Order of</w:t>
        </w:r>
      </w:hyperlink>
      <w:r>
        <w:rPr>
          <w:color w:val="0000FF"/>
          <w:sz w:val="24"/>
          <w:u w:val="none"/>
        </w:rPr>
        <w:t> </w:t>
      </w:r>
      <w:hyperlink r:id="rId43">
        <w:r>
          <w:rPr>
            <w:color w:val="0000FF"/>
            <w:sz w:val="24"/>
            <w:u w:val="single" w:color="0000FF"/>
          </w:rPr>
          <w:t>Selection Purposes</w:t>
        </w:r>
      </w:hyperlink>
      <w:r>
        <w:rPr>
          <w:sz w:val="24"/>
          <w:u w:val="none"/>
        </w:rPr>
        <w:t>.</w:t>
      </w:r>
    </w:p>
    <w:p>
      <w:pPr>
        <w:pStyle w:val="ListParagraph"/>
        <w:numPr>
          <w:ilvl w:val="0"/>
          <w:numId w:val="119"/>
        </w:numPr>
        <w:tabs>
          <w:tab w:pos="759" w:val="left" w:leader="none"/>
        </w:tabs>
        <w:spacing w:line="240" w:lineRule="auto" w:before="244" w:after="0"/>
        <w:ind w:left="759" w:right="0" w:hanging="399"/>
        <w:jc w:val="left"/>
        <w:rPr>
          <w:sz w:val="24"/>
        </w:rPr>
      </w:pPr>
      <w:r>
        <w:rPr>
          <w:sz w:val="24"/>
        </w:rPr>
        <w:t>Link</w:t>
      </w:r>
      <w:r>
        <w:rPr>
          <w:spacing w:val="-3"/>
          <w:sz w:val="24"/>
        </w:rPr>
        <w:t> </w:t>
      </w:r>
      <w:r>
        <w:rPr>
          <w:sz w:val="24"/>
        </w:rPr>
        <w:t>to</w:t>
      </w:r>
      <w:r>
        <w:rPr>
          <w:spacing w:val="-3"/>
          <w:sz w:val="24"/>
        </w:rPr>
        <w:t> </w:t>
      </w:r>
      <w:hyperlink r:id="rId44">
        <w:r>
          <w:rPr>
            <w:color w:val="0000FF"/>
            <w:sz w:val="24"/>
            <w:u w:val="single" w:color="0000FF"/>
          </w:rPr>
          <w:t>BMI</w:t>
        </w:r>
        <w:r>
          <w:rPr>
            <w:color w:val="0000FF"/>
            <w:spacing w:val="-1"/>
            <w:sz w:val="24"/>
            <w:u w:val="single" w:color="0000FF"/>
          </w:rPr>
          <w:t> </w:t>
        </w:r>
        <w:r>
          <w:rPr>
            <w:color w:val="0000FF"/>
            <w:sz w:val="24"/>
            <w:u w:val="single" w:color="0000FF"/>
          </w:rPr>
          <w:t>Chart</w:t>
        </w:r>
        <w:r>
          <w:rPr>
            <w:color w:val="0000FF"/>
            <w:spacing w:val="-4"/>
            <w:sz w:val="24"/>
            <w:u w:val="single" w:color="0000FF"/>
          </w:rPr>
          <w:t> </w:t>
        </w:r>
        <w:r>
          <w:rPr>
            <w:color w:val="0000FF"/>
            <w:sz w:val="24"/>
            <w:u w:val="single" w:color="0000FF"/>
          </w:rPr>
          <w:t>(okdrs.gov)</w:t>
        </w:r>
      </w:hyperlink>
      <w:r>
        <w:rPr>
          <w:color w:val="0000FF"/>
          <w:sz w:val="24"/>
          <w:u w:val="none"/>
        </w:rPr>
        <w:t>,</w:t>
      </w:r>
      <w:r>
        <w:rPr>
          <w:color w:val="0000FF"/>
          <w:spacing w:val="-3"/>
          <w:sz w:val="24"/>
          <w:u w:val="none"/>
        </w:rPr>
        <w:t> </w:t>
      </w:r>
      <w:hyperlink r:id="rId45">
        <w:r>
          <w:rPr>
            <w:color w:val="0000FF"/>
            <w:sz w:val="24"/>
            <w:u w:val="single" w:color="0000FF"/>
          </w:rPr>
          <w:t>Body</w:t>
        </w:r>
        <w:r>
          <w:rPr>
            <w:color w:val="0000FF"/>
            <w:spacing w:val="-2"/>
            <w:sz w:val="24"/>
            <w:u w:val="single" w:color="0000FF"/>
          </w:rPr>
          <w:t> </w:t>
        </w:r>
        <w:r>
          <w:rPr>
            <w:color w:val="0000FF"/>
            <w:sz w:val="24"/>
            <w:u w:val="single" w:color="0000FF"/>
          </w:rPr>
          <w:t>Mass</w:t>
        </w:r>
        <w:r>
          <w:rPr>
            <w:color w:val="0000FF"/>
            <w:spacing w:val="-3"/>
            <w:sz w:val="24"/>
            <w:u w:val="single" w:color="0000FF"/>
          </w:rPr>
          <w:t> </w:t>
        </w:r>
        <w:r>
          <w:rPr>
            <w:color w:val="0000FF"/>
            <w:sz w:val="24"/>
            <w:u w:val="single" w:color="0000FF"/>
          </w:rPr>
          <w:t>Index</w:t>
        </w:r>
        <w:r>
          <w:rPr>
            <w:color w:val="0000FF"/>
            <w:spacing w:val="-2"/>
            <w:sz w:val="24"/>
            <w:u w:val="single" w:color="0000FF"/>
          </w:rPr>
          <w:t> </w:t>
        </w:r>
        <w:r>
          <w:rPr>
            <w:color w:val="0000FF"/>
            <w:sz w:val="24"/>
            <w:u w:val="single" w:color="0000FF"/>
          </w:rPr>
          <w:t>Table</w:t>
        </w:r>
        <w:r>
          <w:rPr>
            <w:color w:val="0000FF"/>
            <w:spacing w:val="-2"/>
            <w:sz w:val="24"/>
            <w:u w:val="single" w:color="0000FF"/>
          </w:rPr>
          <w:t> </w:t>
        </w:r>
        <w:r>
          <w:rPr>
            <w:color w:val="0000FF"/>
            <w:sz w:val="24"/>
            <w:u w:val="single" w:color="0000FF"/>
          </w:rPr>
          <w:t>2</w:t>
        </w:r>
        <w:r>
          <w:rPr>
            <w:color w:val="0000FF"/>
            <w:spacing w:val="-2"/>
            <w:sz w:val="24"/>
            <w:u w:val="single" w:color="0000FF"/>
          </w:rPr>
          <w:t> (nih.gov)</w:t>
        </w:r>
      </w:hyperlink>
    </w:p>
    <w:p>
      <w:pPr>
        <w:pStyle w:val="BodyText"/>
        <w:spacing w:before="181"/>
        <w:ind w:left="0"/>
        <w:rPr>
          <w:sz w:val="22"/>
        </w:rPr>
      </w:pPr>
    </w:p>
    <w:p>
      <w:pPr>
        <w:spacing w:before="0"/>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102"/>
        </w:numPr>
        <w:tabs>
          <w:tab w:pos="1439" w:val="left" w:leader="none"/>
        </w:tabs>
        <w:spacing w:line="240" w:lineRule="auto"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pStyle w:val="ListParagraph"/>
        <w:spacing w:after="0" w:line="240" w:lineRule="auto"/>
        <w:jc w:val="left"/>
        <w:rPr>
          <w:sz w:val="22"/>
        </w:rPr>
        <w:sectPr>
          <w:pgSz w:w="12240" w:h="15840"/>
          <w:pgMar w:top="1340" w:bottom="280" w:left="1080" w:right="720"/>
        </w:sectPr>
      </w:pPr>
    </w:p>
    <w:p>
      <w:pPr>
        <w:tabs>
          <w:tab w:pos="1439" w:val="left" w:leader="none"/>
        </w:tabs>
        <w:spacing w:before="80"/>
        <w:ind w:left="360" w:right="2284" w:firstLine="1080"/>
        <w:jc w:val="left"/>
        <w:rPr>
          <w:sz w:val="22"/>
        </w:rPr>
      </w:pPr>
      <w:r>
        <w:rPr>
          <w:sz w:val="22"/>
        </w:rPr>
        <w:t>Permanent,</w:t>
      </w:r>
      <w:r>
        <w:rPr>
          <w:spacing w:val="-3"/>
          <w:sz w:val="22"/>
        </w:rPr>
        <w:t> </w:t>
      </w:r>
      <w:r>
        <w:rPr>
          <w:sz w:val="22"/>
        </w:rPr>
        <w:t>new,</w:t>
      </w:r>
      <w:r>
        <w:rPr>
          <w:spacing w:val="-4"/>
          <w:sz w:val="22"/>
        </w:rPr>
        <w:t> </w:t>
      </w:r>
      <w:r>
        <w:rPr>
          <w:sz w:val="22"/>
        </w:rPr>
        <w:t>to</w:t>
      </w:r>
      <w:r>
        <w:rPr>
          <w:spacing w:val="-4"/>
          <w:sz w:val="22"/>
        </w:rPr>
        <w:t> </w:t>
      </w:r>
      <w:r>
        <w:rPr>
          <w:sz w:val="22"/>
        </w:rPr>
        <w:t>place</w:t>
      </w:r>
      <w:r>
        <w:rPr>
          <w:spacing w:val="-4"/>
          <w:sz w:val="22"/>
        </w:rPr>
        <w:t> </w:t>
      </w:r>
      <w:r>
        <w:rPr>
          <w:sz w:val="22"/>
        </w:rPr>
        <w:t>in</w:t>
      </w:r>
      <w:r>
        <w:rPr>
          <w:spacing w:val="-4"/>
          <w:sz w:val="22"/>
        </w:rPr>
        <w:t> </w:t>
      </w:r>
      <w:r>
        <w:rPr>
          <w:sz w:val="22"/>
        </w:rPr>
        <w:t>sequential</w:t>
      </w:r>
      <w:r>
        <w:rPr>
          <w:spacing w:val="-4"/>
          <w:sz w:val="22"/>
        </w:rPr>
        <w:t> </w:t>
      </w:r>
      <w:r>
        <w:rPr>
          <w:sz w:val="22"/>
        </w:rPr>
        <w:t>order</w:t>
      </w:r>
      <w:r>
        <w:rPr>
          <w:spacing w:val="-4"/>
          <w:sz w:val="22"/>
        </w:rPr>
        <w:t> </w:t>
      </w:r>
      <w:r>
        <w:rPr>
          <w:sz w:val="22"/>
        </w:rPr>
        <w:t>within</w:t>
      </w:r>
      <w:r>
        <w:rPr>
          <w:spacing w:val="-4"/>
          <w:sz w:val="22"/>
        </w:rPr>
        <w:t> </w:t>
      </w:r>
      <w:r>
        <w:rPr>
          <w:sz w:val="22"/>
        </w:rPr>
        <w:t>the</w:t>
      </w:r>
      <w:r>
        <w:rPr>
          <w:spacing w:val="-4"/>
          <w:sz w:val="22"/>
        </w:rPr>
        <w:t> </w:t>
      </w:r>
      <w:r>
        <w:rPr>
          <w:sz w:val="22"/>
        </w:rPr>
        <w:t>case</w:t>
      </w:r>
      <w:r>
        <w:rPr>
          <w:spacing w:val="-5"/>
          <w:sz w:val="22"/>
        </w:rPr>
        <w:t> </w:t>
      </w:r>
      <w:r>
        <w:rPr>
          <w:sz w:val="22"/>
        </w:rPr>
        <w:t>process </w:t>
      </w:r>
      <w:r>
        <w:rPr>
          <w:spacing w:val="-2"/>
          <w:sz w:val="22"/>
        </w:rPr>
        <w:t>7-1-12</w:t>
      </w:r>
      <w:r>
        <w:rPr>
          <w:sz w:val="22"/>
        </w:rPr>
        <w:tab/>
        <w:t>Permanent, added best correction definition</w:t>
      </w:r>
    </w:p>
    <w:p>
      <w:pPr>
        <w:tabs>
          <w:tab w:pos="1439" w:val="left" w:leader="none"/>
        </w:tabs>
        <w:spacing w:before="0"/>
        <w:ind w:left="360" w:right="2871" w:firstLine="0"/>
        <w:jc w:val="left"/>
        <w:rPr>
          <w:sz w:val="22"/>
        </w:rPr>
      </w:pPr>
      <w:r>
        <w:rPr>
          <w:spacing w:val="-2"/>
          <w:sz w:val="22"/>
        </w:rPr>
        <w:t>7-1-13</w:t>
      </w:r>
      <w:r>
        <w:rPr>
          <w:sz w:val="22"/>
        </w:rPr>
        <w:tab/>
        <w:t>Permanent,</w:t>
      </w:r>
      <w:r>
        <w:rPr>
          <w:spacing w:val="-6"/>
          <w:sz w:val="22"/>
        </w:rPr>
        <w:t> </w:t>
      </w:r>
      <w:r>
        <w:rPr>
          <w:sz w:val="22"/>
        </w:rPr>
        <w:t>changed</w:t>
      </w:r>
      <w:r>
        <w:rPr>
          <w:spacing w:val="-7"/>
          <w:sz w:val="22"/>
        </w:rPr>
        <w:t> </w:t>
      </w:r>
      <w:r>
        <w:rPr>
          <w:sz w:val="22"/>
        </w:rPr>
        <w:t>mental</w:t>
      </w:r>
      <w:r>
        <w:rPr>
          <w:spacing w:val="-7"/>
          <w:sz w:val="22"/>
        </w:rPr>
        <w:t> </w:t>
      </w:r>
      <w:r>
        <w:rPr>
          <w:sz w:val="22"/>
        </w:rPr>
        <w:t>retardation</w:t>
      </w:r>
      <w:r>
        <w:rPr>
          <w:spacing w:val="-7"/>
          <w:sz w:val="22"/>
        </w:rPr>
        <w:t> </w:t>
      </w:r>
      <w:r>
        <w:rPr>
          <w:sz w:val="22"/>
        </w:rPr>
        <w:t>to</w:t>
      </w:r>
      <w:r>
        <w:rPr>
          <w:spacing w:val="-7"/>
          <w:sz w:val="22"/>
        </w:rPr>
        <w:t> </w:t>
      </w:r>
      <w:r>
        <w:rPr>
          <w:sz w:val="22"/>
        </w:rPr>
        <w:t>intellectual</w:t>
      </w:r>
      <w:r>
        <w:rPr>
          <w:spacing w:val="-7"/>
          <w:sz w:val="22"/>
        </w:rPr>
        <w:t> </w:t>
      </w:r>
      <w:r>
        <w:rPr>
          <w:sz w:val="22"/>
        </w:rPr>
        <w:t>disability </w:t>
      </w:r>
      <w:r>
        <w:rPr>
          <w:spacing w:val="-2"/>
          <w:sz w:val="22"/>
        </w:rPr>
        <w:t>9-24-14</w:t>
      </w:r>
      <w:r>
        <w:rPr>
          <w:sz w:val="22"/>
        </w:rPr>
        <w:tab/>
        <w:t>Updated Instructions to Staff</w:t>
      </w:r>
    </w:p>
    <w:p>
      <w:pPr>
        <w:tabs>
          <w:tab w:pos="1439" w:val="left" w:leader="none"/>
        </w:tabs>
        <w:spacing w:before="0"/>
        <w:ind w:left="1439" w:right="1490" w:hanging="1080"/>
        <w:jc w:val="left"/>
        <w:rPr>
          <w:sz w:val="22"/>
        </w:rPr>
      </w:pPr>
      <w:r>
        <w:rPr>
          <w:spacing w:val="-2"/>
          <w:sz w:val="22"/>
        </w:rPr>
        <w:t>8-27-15</w:t>
      </w:r>
      <w:r>
        <w:rPr>
          <w:sz w:val="22"/>
        </w:rPr>
        <w:tab/>
        <w:t>Updated</w:t>
      </w:r>
      <w:r>
        <w:rPr>
          <w:spacing w:val="-4"/>
          <w:sz w:val="22"/>
        </w:rPr>
        <w:t> </w:t>
      </w:r>
      <w:r>
        <w:rPr>
          <w:sz w:val="22"/>
        </w:rPr>
        <w:t>language</w:t>
      </w:r>
      <w:r>
        <w:rPr>
          <w:spacing w:val="-4"/>
          <w:sz w:val="22"/>
        </w:rPr>
        <w:t> </w:t>
      </w:r>
      <w:r>
        <w:rPr>
          <w:sz w:val="22"/>
        </w:rPr>
        <w:t>on</w:t>
      </w:r>
      <w:r>
        <w:rPr>
          <w:spacing w:val="-4"/>
          <w:sz w:val="22"/>
        </w:rPr>
        <w:t> </w:t>
      </w:r>
      <w:r>
        <w:rPr>
          <w:sz w:val="22"/>
        </w:rPr>
        <w:t>diabetics</w:t>
      </w:r>
      <w:r>
        <w:rPr>
          <w:spacing w:val="-4"/>
          <w:sz w:val="22"/>
        </w:rPr>
        <w:t> </w:t>
      </w:r>
      <w:r>
        <w:rPr>
          <w:sz w:val="22"/>
        </w:rPr>
        <w:t>to</w:t>
      </w:r>
      <w:r>
        <w:rPr>
          <w:spacing w:val="-5"/>
          <w:sz w:val="22"/>
        </w:rPr>
        <w:t> </w:t>
      </w:r>
      <w:r>
        <w:rPr>
          <w:sz w:val="22"/>
        </w:rPr>
        <w:t>include</w:t>
      </w:r>
      <w:r>
        <w:rPr>
          <w:spacing w:val="-4"/>
          <w:sz w:val="22"/>
        </w:rPr>
        <w:t> </w:t>
      </w:r>
      <w:r>
        <w:rPr>
          <w:sz w:val="22"/>
        </w:rPr>
        <w:t>a</w:t>
      </w:r>
      <w:r>
        <w:rPr>
          <w:spacing w:val="-4"/>
          <w:sz w:val="22"/>
        </w:rPr>
        <w:t> </w:t>
      </w:r>
      <w:r>
        <w:rPr>
          <w:sz w:val="22"/>
        </w:rPr>
        <w:t>knowledge</w:t>
      </w:r>
      <w:r>
        <w:rPr>
          <w:spacing w:val="-4"/>
          <w:sz w:val="22"/>
        </w:rPr>
        <w:t> </w:t>
      </w:r>
      <w:r>
        <w:rPr>
          <w:sz w:val="22"/>
        </w:rPr>
        <w:t>survey</w:t>
      </w:r>
      <w:r>
        <w:rPr>
          <w:spacing w:val="-4"/>
          <w:sz w:val="22"/>
        </w:rPr>
        <w:t> </w:t>
      </w:r>
      <w:r>
        <w:rPr>
          <w:sz w:val="22"/>
        </w:rPr>
        <w:t>regarding</w:t>
      </w:r>
      <w:r>
        <w:rPr>
          <w:spacing w:val="-5"/>
          <w:sz w:val="22"/>
        </w:rPr>
        <w:t> </w:t>
      </w:r>
      <w:r>
        <w:rPr>
          <w:sz w:val="22"/>
        </w:rPr>
        <w:t>best practices for the management of diabetes.</w:t>
      </w:r>
    </w:p>
    <w:p>
      <w:pPr>
        <w:tabs>
          <w:tab w:pos="1439" w:val="left" w:leader="none"/>
        </w:tabs>
        <w:spacing w:before="0"/>
        <w:ind w:left="1439" w:right="822" w:hanging="1080"/>
        <w:jc w:val="left"/>
        <w:rPr>
          <w:sz w:val="22"/>
        </w:rPr>
      </w:pPr>
      <w:r>
        <w:rPr>
          <w:spacing w:val="-2"/>
          <w:sz w:val="22"/>
        </w:rPr>
        <w:t>8-25-16</w:t>
      </w:r>
      <w:r>
        <w:rPr>
          <w:sz w:val="22"/>
        </w:rPr>
        <w:tab/>
        <w:t>Added language under Deafness and Hearing Loss, the eligibility determination will be</w:t>
      </w:r>
      <w:r>
        <w:rPr>
          <w:spacing w:val="-4"/>
          <w:sz w:val="22"/>
        </w:rPr>
        <w:t> </w:t>
      </w:r>
      <w:r>
        <w:rPr>
          <w:sz w:val="22"/>
        </w:rPr>
        <w:t>performed</w:t>
      </w:r>
      <w:r>
        <w:rPr>
          <w:spacing w:val="-4"/>
          <w:sz w:val="22"/>
        </w:rPr>
        <w:t> </w:t>
      </w:r>
      <w:r>
        <w:rPr>
          <w:sz w:val="22"/>
        </w:rPr>
        <w:t>by</w:t>
      </w:r>
      <w:r>
        <w:rPr>
          <w:spacing w:val="-4"/>
          <w:sz w:val="22"/>
        </w:rPr>
        <w:t> </w:t>
      </w:r>
      <w:r>
        <w:rPr>
          <w:sz w:val="22"/>
        </w:rPr>
        <w:t>a</w:t>
      </w:r>
      <w:r>
        <w:rPr>
          <w:spacing w:val="-4"/>
          <w:sz w:val="22"/>
        </w:rPr>
        <w:t> </w:t>
      </w:r>
      <w:r>
        <w:rPr>
          <w:sz w:val="22"/>
        </w:rPr>
        <w:t>qualified</w:t>
      </w:r>
      <w:r>
        <w:rPr>
          <w:spacing w:val="-4"/>
          <w:sz w:val="22"/>
        </w:rPr>
        <w:t> </w:t>
      </w:r>
      <w:r>
        <w:rPr>
          <w:sz w:val="22"/>
        </w:rPr>
        <w:t>audiologist</w:t>
      </w:r>
      <w:r>
        <w:rPr>
          <w:spacing w:val="-4"/>
          <w:sz w:val="22"/>
        </w:rPr>
        <w:t> </w:t>
      </w:r>
      <w:r>
        <w:rPr>
          <w:sz w:val="22"/>
        </w:rPr>
        <w:t>or</w:t>
      </w:r>
      <w:r>
        <w:rPr>
          <w:spacing w:val="-4"/>
          <w:sz w:val="22"/>
        </w:rPr>
        <w:t> </w:t>
      </w:r>
      <w:r>
        <w:rPr>
          <w:sz w:val="22"/>
        </w:rPr>
        <w:t>other</w:t>
      </w:r>
      <w:r>
        <w:rPr>
          <w:spacing w:val="-4"/>
          <w:sz w:val="22"/>
        </w:rPr>
        <w:t> </w:t>
      </w:r>
      <w:r>
        <w:rPr>
          <w:sz w:val="22"/>
        </w:rPr>
        <w:t>qualified</w:t>
      </w:r>
      <w:r>
        <w:rPr>
          <w:spacing w:val="-4"/>
          <w:sz w:val="22"/>
        </w:rPr>
        <w:t> </w:t>
      </w:r>
      <w:r>
        <w:rPr>
          <w:sz w:val="22"/>
        </w:rPr>
        <w:t>professional</w:t>
      </w:r>
      <w:r>
        <w:rPr>
          <w:spacing w:val="-4"/>
          <w:sz w:val="22"/>
        </w:rPr>
        <w:t> </w:t>
      </w:r>
      <w:r>
        <w:rPr>
          <w:sz w:val="22"/>
        </w:rPr>
        <w:t>as</w:t>
      </w:r>
      <w:r>
        <w:rPr>
          <w:spacing w:val="-5"/>
          <w:sz w:val="22"/>
        </w:rPr>
        <w:t> </w:t>
      </w:r>
      <w:r>
        <w:rPr>
          <w:sz w:val="22"/>
        </w:rPr>
        <w:t>determined by the Department. Under Diabetes, additional language added to incorporate Diabetes management training into the IPE unless the client has previously completed this training.</w:t>
      </w:r>
    </w:p>
    <w:p>
      <w:pPr>
        <w:spacing w:before="0"/>
        <w:ind w:left="1440" w:right="775" w:hanging="1081"/>
        <w:jc w:val="left"/>
        <w:rPr>
          <w:sz w:val="22"/>
        </w:rPr>
      </w:pPr>
      <w:r>
        <w:rPr>
          <w:sz w:val="22"/>
        </w:rPr>
        <w:t>11-30-17</w:t>
      </w:r>
      <w:r>
        <w:rPr>
          <w:spacing w:val="80"/>
          <w:w w:val="150"/>
          <w:sz w:val="22"/>
        </w:rPr>
        <w:t> </w:t>
      </w:r>
      <w:r>
        <w:rPr>
          <w:sz w:val="22"/>
        </w:rPr>
        <w:t>Updated</w:t>
      </w:r>
      <w:r>
        <w:rPr>
          <w:spacing w:val="-3"/>
          <w:sz w:val="22"/>
        </w:rPr>
        <w:t> </w:t>
      </w:r>
      <w:r>
        <w:rPr>
          <w:sz w:val="22"/>
        </w:rPr>
        <w:t>ITS</w:t>
      </w:r>
      <w:r>
        <w:rPr>
          <w:spacing w:val="-3"/>
          <w:sz w:val="22"/>
        </w:rPr>
        <w:t> </w:t>
      </w:r>
      <w:r>
        <w:rPr>
          <w:sz w:val="22"/>
        </w:rPr>
        <w:t>#2</w:t>
      </w:r>
      <w:r>
        <w:rPr>
          <w:spacing w:val="-3"/>
          <w:sz w:val="22"/>
        </w:rPr>
        <w:t> </w:t>
      </w:r>
      <w:r>
        <w:rPr>
          <w:sz w:val="22"/>
        </w:rPr>
        <w:t>removing</w:t>
      </w:r>
      <w:r>
        <w:rPr>
          <w:spacing w:val="-3"/>
          <w:sz w:val="22"/>
        </w:rPr>
        <w:t> </w:t>
      </w:r>
      <w:r>
        <w:rPr>
          <w:sz w:val="22"/>
        </w:rPr>
        <w:t>hyperlink,</w:t>
      </w:r>
      <w:r>
        <w:rPr>
          <w:spacing w:val="-3"/>
          <w:sz w:val="22"/>
        </w:rPr>
        <w:t> </w:t>
      </w:r>
      <w:r>
        <w:rPr>
          <w:sz w:val="22"/>
        </w:rPr>
        <w:t>#4</w:t>
      </w:r>
      <w:r>
        <w:rPr>
          <w:spacing w:val="-3"/>
          <w:sz w:val="22"/>
        </w:rPr>
        <w:t> </w:t>
      </w:r>
      <w:r>
        <w:rPr>
          <w:sz w:val="22"/>
        </w:rPr>
        <w:t>deleted</w:t>
      </w:r>
      <w:r>
        <w:rPr>
          <w:spacing w:val="-3"/>
          <w:sz w:val="22"/>
        </w:rPr>
        <w:t> </w:t>
      </w:r>
      <w:r>
        <w:rPr>
          <w:sz w:val="24"/>
        </w:rPr>
        <w:t>'</w:t>
      </w:r>
      <w:r>
        <w:rPr>
          <w:sz w:val="22"/>
        </w:rPr>
        <w:t>Extended</w:t>
      </w:r>
      <w:r>
        <w:rPr>
          <w:spacing w:val="-3"/>
          <w:sz w:val="22"/>
        </w:rPr>
        <w:t> </w:t>
      </w:r>
      <w:r>
        <w:rPr>
          <w:sz w:val="22"/>
        </w:rPr>
        <w:t>Evaluation</w:t>
      </w:r>
      <w:r>
        <w:rPr>
          <w:sz w:val="24"/>
        </w:rPr>
        <w:t>'</w:t>
      </w:r>
      <w:r>
        <w:rPr>
          <w:spacing w:val="-9"/>
          <w:sz w:val="24"/>
        </w:rPr>
        <w:t> </w:t>
      </w:r>
      <w:r>
        <w:rPr>
          <w:sz w:val="22"/>
        </w:rPr>
        <w:t>language,</w:t>
      </w:r>
      <w:r>
        <w:rPr>
          <w:spacing w:val="-3"/>
          <w:sz w:val="22"/>
        </w:rPr>
        <w:t> </w:t>
      </w:r>
      <w:r>
        <w:rPr>
          <w:sz w:val="22"/>
        </w:rPr>
        <w:t>#5 deleted obsolete language regarding the DSM Manual, #8 division name change from DVRBVI to DVS.</w:t>
      </w:r>
    </w:p>
    <w:p>
      <w:pPr>
        <w:tabs>
          <w:tab w:pos="1440" w:val="left" w:leader="none"/>
        </w:tabs>
        <w:spacing w:line="228" w:lineRule="auto" w:before="0"/>
        <w:ind w:left="1440" w:right="1028" w:hanging="1080"/>
        <w:jc w:val="left"/>
        <w:rPr>
          <w:sz w:val="22"/>
        </w:rPr>
      </w:pPr>
      <w:r>
        <w:rPr>
          <w:spacing w:val="-2"/>
          <w:sz w:val="22"/>
        </w:rPr>
        <w:t>8-11-19</w:t>
      </w:r>
      <w:r>
        <w:rPr>
          <w:sz w:val="22"/>
        </w:rPr>
        <w:tab/>
        <w:t>Updated section (7), Mental Disorders, eligibility for VR services based on mental health</w:t>
      </w:r>
      <w:r>
        <w:rPr>
          <w:spacing w:val="-5"/>
          <w:sz w:val="22"/>
        </w:rPr>
        <w:t> </w:t>
      </w:r>
      <w:r>
        <w:rPr>
          <w:sz w:val="22"/>
        </w:rPr>
        <w:t>diagnosis</w:t>
      </w:r>
      <w:r>
        <w:rPr>
          <w:spacing w:val="-5"/>
          <w:sz w:val="22"/>
        </w:rPr>
        <w:t> </w:t>
      </w:r>
      <w:r>
        <w:rPr>
          <w:sz w:val="22"/>
        </w:rPr>
        <w:t>and</w:t>
      </w:r>
      <w:r>
        <w:rPr>
          <w:spacing w:val="-5"/>
          <w:sz w:val="22"/>
        </w:rPr>
        <w:t> </w:t>
      </w:r>
      <w:r>
        <w:rPr>
          <w:sz w:val="22"/>
        </w:rPr>
        <w:t>documentation</w:t>
      </w:r>
      <w:r>
        <w:rPr>
          <w:spacing w:val="-5"/>
          <w:sz w:val="22"/>
        </w:rPr>
        <w:t> </w:t>
      </w:r>
      <w:r>
        <w:rPr>
          <w:sz w:val="22"/>
        </w:rPr>
        <w:t>filed</w:t>
      </w:r>
      <w:r>
        <w:rPr>
          <w:spacing w:val="-5"/>
          <w:sz w:val="22"/>
        </w:rPr>
        <w:t> </w:t>
      </w:r>
      <w:r>
        <w:rPr>
          <w:sz w:val="22"/>
        </w:rPr>
        <w:t>regarding</w:t>
      </w:r>
      <w:r>
        <w:rPr>
          <w:spacing w:val="-5"/>
          <w:sz w:val="22"/>
        </w:rPr>
        <w:t> </w:t>
      </w:r>
      <w:r>
        <w:rPr>
          <w:sz w:val="22"/>
        </w:rPr>
        <w:t>compliance</w:t>
      </w:r>
      <w:r>
        <w:rPr>
          <w:spacing w:val="-5"/>
          <w:sz w:val="22"/>
        </w:rPr>
        <w:t> </w:t>
      </w:r>
      <w:r>
        <w:rPr>
          <w:sz w:val="22"/>
        </w:rPr>
        <w:t>with</w:t>
      </w:r>
      <w:r>
        <w:rPr>
          <w:spacing w:val="-5"/>
          <w:sz w:val="22"/>
        </w:rPr>
        <w:t> </w:t>
      </w:r>
      <w:r>
        <w:rPr>
          <w:sz w:val="22"/>
        </w:rPr>
        <w:t>all</w:t>
      </w:r>
      <w:r>
        <w:rPr>
          <w:spacing w:val="-5"/>
          <w:sz w:val="22"/>
        </w:rPr>
        <w:t> </w:t>
      </w:r>
      <w:r>
        <w:rPr>
          <w:sz w:val="22"/>
        </w:rPr>
        <w:t>prescribed medications received by a qualified professional.</w:t>
      </w:r>
    </w:p>
    <w:p>
      <w:pPr>
        <w:pStyle w:val="BodyText"/>
        <w:tabs>
          <w:tab w:pos="1439" w:val="left" w:leader="none"/>
        </w:tabs>
        <w:spacing w:line="208" w:lineRule="auto" w:before="0"/>
        <w:ind w:left="1440" w:right="1013" w:hanging="1080"/>
      </w:pPr>
      <w:r>
        <w:rPr>
          <w:spacing w:val="-2"/>
        </w:rPr>
        <w:t>9-11-20</w:t>
      </w:r>
      <w:r>
        <w:rPr/>
        <w:tab/>
        <w:t>Revised</w:t>
      </w:r>
      <w:r>
        <w:rPr>
          <w:spacing w:val="-4"/>
        </w:rPr>
        <w:t> </w:t>
      </w:r>
      <w:r>
        <w:rPr/>
        <w:t>language</w:t>
      </w:r>
      <w:r>
        <w:rPr>
          <w:spacing w:val="-4"/>
        </w:rPr>
        <w:t> </w:t>
      </w:r>
      <w:r>
        <w:rPr/>
        <w:t>under</w:t>
      </w:r>
      <w:r>
        <w:rPr>
          <w:spacing w:val="-3"/>
        </w:rPr>
        <w:t> </w:t>
      </w:r>
      <w:r>
        <w:rPr/>
        <w:t>section</w:t>
      </w:r>
      <w:r>
        <w:rPr>
          <w:spacing w:val="-4"/>
        </w:rPr>
        <w:t> </w:t>
      </w:r>
      <w:r>
        <w:rPr/>
        <w:t>(h)</w:t>
      </w:r>
      <w:r>
        <w:rPr>
          <w:spacing w:val="-5"/>
        </w:rPr>
        <w:t> </w:t>
      </w:r>
      <w:r>
        <w:rPr/>
        <w:t>(6)</w:t>
      </w:r>
      <w:r>
        <w:rPr>
          <w:spacing w:val="-3"/>
        </w:rPr>
        <w:t> </w:t>
      </w:r>
      <w:r>
        <w:rPr/>
        <w:t>and</w:t>
      </w:r>
      <w:r>
        <w:rPr>
          <w:spacing w:val="-5"/>
        </w:rPr>
        <w:t> </w:t>
      </w:r>
      <w:r>
        <w:rPr/>
        <w:t>removal</w:t>
      </w:r>
      <w:r>
        <w:rPr>
          <w:spacing w:val="-4"/>
        </w:rPr>
        <w:t> </w:t>
      </w:r>
      <w:r>
        <w:rPr/>
        <w:t>of</w:t>
      </w:r>
      <w:r>
        <w:rPr>
          <w:spacing w:val="-5"/>
        </w:rPr>
        <w:t> </w:t>
      </w:r>
      <w:r>
        <w:rPr/>
        <w:t>(A)</w:t>
      </w:r>
      <w:r>
        <w:rPr>
          <w:spacing w:val="-5"/>
        </w:rPr>
        <w:t> </w:t>
      </w:r>
      <w:r>
        <w:rPr/>
        <w:t>(B)</w:t>
      </w:r>
      <w:r>
        <w:rPr>
          <w:spacing w:val="-3"/>
        </w:rPr>
        <w:t> </w:t>
      </w:r>
      <w:r>
        <w:rPr/>
        <w:t>clarifying</w:t>
      </w:r>
      <w:r>
        <w:rPr>
          <w:spacing w:val="-4"/>
        </w:rPr>
        <w:t> </w:t>
      </w:r>
      <w:r>
        <w:rPr/>
        <w:t>the general terminology for learning disabilities.</w:t>
      </w:r>
    </w:p>
    <w:p>
      <w:pPr>
        <w:pStyle w:val="BodyText"/>
        <w:spacing w:line="208" w:lineRule="auto" w:before="0"/>
        <w:ind w:left="1440" w:right="775"/>
      </w:pPr>
      <w:r>
        <w:rPr/>
        <w:t>Updated</w:t>
      </w:r>
      <w:r>
        <w:rPr>
          <w:spacing w:val="-4"/>
        </w:rPr>
        <w:t> </w:t>
      </w:r>
      <w:r>
        <w:rPr/>
        <w:t>ITS</w:t>
      </w:r>
      <w:r>
        <w:rPr>
          <w:spacing w:val="-4"/>
        </w:rPr>
        <w:t> </w:t>
      </w:r>
      <w:r>
        <w:rPr/>
        <w:t>for</w:t>
      </w:r>
      <w:r>
        <w:rPr>
          <w:spacing w:val="-3"/>
        </w:rPr>
        <w:t> </w:t>
      </w:r>
      <w:r>
        <w:rPr/>
        <w:t>division</w:t>
      </w:r>
      <w:r>
        <w:rPr>
          <w:spacing w:val="-4"/>
        </w:rPr>
        <w:t> </w:t>
      </w:r>
      <w:r>
        <w:rPr/>
        <w:t>name</w:t>
      </w:r>
      <w:r>
        <w:rPr>
          <w:spacing w:val="-4"/>
        </w:rPr>
        <w:t> </w:t>
      </w:r>
      <w:r>
        <w:rPr/>
        <w:t>change</w:t>
      </w:r>
      <w:r>
        <w:rPr>
          <w:spacing w:val="-4"/>
        </w:rPr>
        <w:t> </w:t>
      </w:r>
      <w:r>
        <w:rPr/>
        <w:t>of</w:t>
      </w:r>
      <w:r>
        <w:rPr>
          <w:spacing w:val="-3"/>
        </w:rPr>
        <w:t> </w:t>
      </w:r>
      <w:r>
        <w:rPr/>
        <w:t>Visual</w:t>
      </w:r>
      <w:r>
        <w:rPr>
          <w:spacing w:val="-4"/>
        </w:rPr>
        <w:t> </w:t>
      </w:r>
      <w:r>
        <w:rPr/>
        <w:t>Services</w:t>
      </w:r>
      <w:r>
        <w:rPr>
          <w:spacing w:val="-4"/>
        </w:rPr>
        <w:t> </w:t>
      </w:r>
      <w:r>
        <w:rPr/>
        <w:t>(VS)</w:t>
      </w:r>
      <w:r>
        <w:rPr>
          <w:spacing w:val="-3"/>
        </w:rPr>
        <w:t> </w:t>
      </w:r>
      <w:r>
        <w:rPr/>
        <w:t>to</w:t>
      </w:r>
      <w:r>
        <w:rPr>
          <w:spacing w:val="-5"/>
        </w:rPr>
        <w:t> </w:t>
      </w:r>
      <w:r>
        <w:rPr/>
        <w:t>Services</w:t>
      </w:r>
      <w:r>
        <w:rPr>
          <w:spacing w:val="-4"/>
        </w:rPr>
        <w:t> </w:t>
      </w:r>
      <w:r>
        <w:rPr/>
        <w:t>for the Blind and Visually Impaired (SBVI).</w:t>
      </w:r>
    </w:p>
    <w:p>
      <w:pPr>
        <w:pStyle w:val="BodyText"/>
        <w:tabs>
          <w:tab w:pos="1439" w:val="left" w:leader="none"/>
        </w:tabs>
        <w:spacing w:line="208" w:lineRule="auto" w:before="0"/>
        <w:ind w:left="1440" w:right="1075" w:hanging="1080"/>
      </w:pPr>
      <w:r>
        <w:rPr>
          <w:spacing w:val="-2"/>
        </w:rPr>
        <w:t>9-11-22</w:t>
      </w:r>
      <w:r>
        <w:rPr/>
        <w:tab/>
        <w:t>Revised</w:t>
      </w:r>
      <w:r>
        <w:rPr>
          <w:spacing w:val="-5"/>
        </w:rPr>
        <w:t> </w:t>
      </w:r>
      <w:r>
        <w:rPr/>
        <w:t>section</w:t>
      </w:r>
      <w:r>
        <w:rPr>
          <w:spacing w:val="-5"/>
        </w:rPr>
        <w:t> </w:t>
      </w:r>
      <w:r>
        <w:rPr/>
        <w:t>(h)</w:t>
      </w:r>
      <w:r>
        <w:rPr>
          <w:spacing w:val="-4"/>
        </w:rPr>
        <w:t> </w:t>
      </w:r>
      <w:r>
        <w:rPr/>
        <w:t>(3)</w:t>
      </w:r>
      <w:r>
        <w:rPr>
          <w:spacing w:val="-5"/>
        </w:rPr>
        <w:t> </w:t>
      </w:r>
      <w:r>
        <w:rPr/>
        <w:t>to</w:t>
      </w:r>
      <w:r>
        <w:rPr>
          <w:spacing w:val="-5"/>
        </w:rPr>
        <w:t> </w:t>
      </w:r>
      <w:r>
        <w:rPr/>
        <w:t>include</w:t>
      </w:r>
      <w:r>
        <w:rPr>
          <w:spacing w:val="-5"/>
        </w:rPr>
        <w:t> </w:t>
      </w:r>
      <w:r>
        <w:rPr/>
        <w:t>licensed</w:t>
      </w:r>
      <w:r>
        <w:rPr>
          <w:spacing w:val="-5"/>
        </w:rPr>
        <w:t> </w:t>
      </w:r>
      <w:r>
        <w:rPr/>
        <w:t>audiologist</w:t>
      </w:r>
      <w:r>
        <w:rPr>
          <w:spacing w:val="-4"/>
        </w:rPr>
        <w:t> </w:t>
      </w:r>
      <w:r>
        <w:rPr/>
        <w:t>language</w:t>
      </w:r>
      <w:r>
        <w:rPr>
          <w:spacing w:val="-5"/>
        </w:rPr>
        <w:t> </w:t>
      </w:r>
      <w:r>
        <w:rPr/>
        <w:t>and</w:t>
      </w:r>
      <w:r>
        <w:rPr>
          <w:spacing w:val="-5"/>
        </w:rPr>
        <w:t> </w:t>
      </w:r>
      <w:r>
        <w:rPr/>
        <w:t>added section (4).</w:t>
      </w:r>
    </w:p>
    <w:p>
      <w:pPr>
        <w:pStyle w:val="ListParagraph"/>
        <w:numPr>
          <w:ilvl w:val="2"/>
          <w:numId w:val="121"/>
        </w:numPr>
        <w:tabs>
          <w:tab w:pos="1440" w:val="left" w:leader="none"/>
        </w:tabs>
        <w:spacing w:line="208" w:lineRule="auto" w:before="0" w:after="0"/>
        <w:ind w:left="1440" w:right="928" w:hanging="1080"/>
        <w:jc w:val="left"/>
        <w:rPr>
          <w:sz w:val="24"/>
        </w:rPr>
      </w:pPr>
      <w:r>
        <w:rPr>
          <w:sz w:val="24"/>
        </w:rPr>
        <w:t>Language</w:t>
      </w:r>
      <w:r>
        <w:rPr>
          <w:spacing w:val="-5"/>
          <w:sz w:val="24"/>
        </w:rPr>
        <w:t> </w:t>
      </w:r>
      <w:r>
        <w:rPr>
          <w:sz w:val="24"/>
        </w:rPr>
        <w:t>clarification</w:t>
      </w:r>
      <w:r>
        <w:rPr>
          <w:spacing w:val="-4"/>
          <w:sz w:val="24"/>
        </w:rPr>
        <w:t> </w:t>
      </w:r>
      <w:r>
        <w:rPr>
          <w:sz w:val="24"/>
        </w:rPr>
        <w:t>to</w:t>
      </w:r>
      <w:r>
        <w:rPr>
          <w:spacing w:val="-5"/>
          <w:sz w:val="24"/>
        </w:rPr>
        <w:t> </w:t>
      </w:r>
      <w:r>
        <w:rPr>
          <w:sz w:val="24"/>
        </w:rPr>
        <w:t>section</w:t>
      </w:r>
      <w:r>
        <w:rPr>
          <w:spacing w:val="-6"/>
          <w:sz w:val="24"/>
        </w:rPr>
        <w:t> </w:t>
      </w:r>
      <w:r>
        <w:rPr>
          <w:sz w:val="24"/>
        </w:rPr>
        <w:t>(h)</w:t>
      </w:r>
      <w:r>
        <w:rPr>
          <w:spacing w:val="-4"/>
          <w:sz w:val="24"/>
        </w:rPr>
        <w:t> </w:t>
      </w:r>
      <w:r>
        <w:rPr>
          <w:sz w:val="24"/>
        </w:rPr>
        <w:t>(3)</w:t>
      </w:r>
      <w:r>
        <w:rPr>
          <w:spacing w:val="-4"/>
          <w:sz w:val="24"/>
        </w:rPr>
        <w:t> </w:t>
      </w:r>
      <w:r>
        <w:rPr>
          <w:sz w:val="24"/>
        </w:rPr>
        <w:t>revising</w:t>
      </w:r>
      <w:r>
        <w:rPr>
          <w:spacing w:val="-5"/>
          <w:sz w:val="24"/>
        </w:rPr>
        <w:t> </w:t>
      </w:r>
      <w:r>
        <w:rPr>
          <w:sz w:val="24"/>
        </w:rPr>
        <w:t>Deafness</w:t>
      </w:r>
      <w:r>
        <w:rPr>
          <w:spacing w:val="-5"/>
          <w:sz w:val="24"/>
        </w:rPr>
        <w:t> </w:t>
      </w:r>
      <w:r>
        <w:rPr>
          <w:sz w:val="24"/>
        </w:rPr>
        <w:t>and</w:t>
      </w:r>
      <w:r>
        <w:rPr>
          <w:spacing w:val="-5"/>
          <w:sz w:val="24"/>
        </w:rPr>
        <w:t> </w:t>
      </w:r>
      <w:r>
        <w:rPr>
          <w:sz w:val="24"/>
        </w:rPr>
        <w:t>Hearing</w:t>
      </w:r>
      <w:r>
        <w:rPr>
          <w:spacing w:val="-5"/>
          <w:sz w:val="24"/>
        </w:rPr>
        <w:t> </w:t>
      </w:r>
      <w:r>
        <w:rPr>
          <w:sz w:val="24"/>
        </w:rPr>
        <w:t>Loss procedures. Section (ii) (l) added “review by RCD”. Section (ll) is removed regarding speech reception threshold measurement.</w:t>
      </w:r>
    </w:p>
    <w:p>
      <w:pPr>
        <w:pStyle w:val="ListParagraph"/>
        <w:spacing w:after="0" w:line="208" w:lineRule="auto"/>
        <w:jc w:val="left"/>
        <w:rPr>
          <w:sz w:val="24"/>
        </w:rPr>
        <w:sectPr>
          <w:pgSz w:w="12240" w:h="15840"/>
          <w:pgMar w:top="1360" w:bottom="280" w:left="1080" w:right="720"/>
        </w:sectPr>
      </w:pPr>
    </w:p>
    <w:p>
      <w:pPr>
        <w:pStyle w:val="Heading2"/>
      </w:pPr>
      <w:bookmarkStart w:name="612:10-7-24.2.  Assessment for determini" w:id="127"/>
      <w:bookmarkEnd w:id="127"/>
      <w:r>
        <w:rPr>
          <w:b w:val="0"/>
        </w:rPr>
      </w:r>
      <w:bookmarkStart w:name="_bookmark11" w:id="128"/>
      <w:bookmarkEnd w:id="128"/>
      <w:r>
        <w:rPr>
          <w:b w:val="0"/>
        </w:rPr>
      </w:r>
      <w:r>
        <w:rPr/>
        <w:t>612:10-7-24.2.</w:t>
      </w:r>
      <w:r>
        <w:rPr>
          <w:spacing w:val="57"/>
        </w:rPr>
        <w:t> </w:t>
      </w:r>
      <w:r>
        <w:rPr/>
        <w:t>Assessment</w:t>
      </w:r>
      <w:r>
        <w:rPr>
          <w:spacing w:val="-4"/>
        </w:rPr>
        <w:t> </w:t>
      </w:r>
      <w:r>
        <w:rPr/>
        <w:t>for</w:t>
      </w:r>
      <w:r>
        <w:rPr>
          <w:spacing w:val="-5"/>
        </w:rPr>
        <w:t> </w:t>
      </w:r>
      <w:r>
        <w:rPr/>
        <w:t>determining</w:t>
      </w:r>
      <w:r>
        <w:rPr>
          <w:spacing w:val="-5"/>
        </w:rPr>
        <w:t> </w:t>
      </w:r>
      <w:r>
        <w:rPr>
          <w:spacing w:val="-2"/>
        </w:rPr>
        <w:t>eligibility</w:t>
      </w:r>
    </w:p>
    <w:p>
      <w:pPr>
        <w:pStyle w:val="ListParagraph"/>
        <w:numPr>
          <w:ilvl w:val="0"/>
          <w:numId w:val="122"/>
        </w:numPr>
        <w:tabs>
          <w:tab w:pos="786" w:val="left" w:leader="none"/>
        </w:tabs>
        <w:spacing w:line="240" w:lineRule="auto" w:before="204" w:after="0"/>
        <w:ind w:left="786" w:right="0" w:hanging="426"/>
        <w:jc w:val="left"/>
        <w:rPr>
          <w:sz w:val="24"/>
        </w:rPr>
      </w:pPr>
      <w:r>
        <w:rPr>
          <w:sz w:val="24"/>
        </w:rPr>
        <w:t>To</w:t>
      </w:r>
      <w:r>
        <w:rPr>
          <w:spacing w:val="-6"/>
          <w:sz w:val="24"/>
        </w:rPr>
        <w:t> </w:t>
      </w:r>
      <w:r>
        <w:rPr>
          <w:sz w:val="24"/>
        </w:rPr>
        <w:t>determine</w:t>
      </w:r>
      <w:r>
        <w:rPr>
          <w:spacing w:val="-4"/>
          <w:sz w:val="24"/>
        </w:rPr>
        <w:t> </w:t>
      </w:r>
      <w:r>
        <w:rPr>
          <w:sz w:val="24"/>
        </w:rPr>
        <w:t>whether</w:t>
      </w:r>
      <w:r>
        <w:rPr>
          <w:spacing w:val="-3"/>
          <w:sz w:val="24"/>
        </w:rPr>
        <w:t> </w:t>
      </w:r>
      <w:r>
        <w:rPr>
          <w:sz w:val="24"/>
        </w:rPr>
        <w:t>an</w:t>
      </w:r>
      <w:r>
        <w:rPr>
          <w:spacing w:val="-4"/>
          <w:sz w:val="24"/>
        </w:rPr>
        <w:t> </w:t>
      </w:r>
      <w:r>
        <w:rPr>
          <w:sz w:val="24"/>
        </w:rPr>
        <w:t>individual</w:t>
      </w:r>
      <w:r>
        <w:rPr>
          <w:spacing w:val="-4"/>
          <w:sz w:val="24"/>
        </w:rPr>
        <w:t> </w:t>
      </w:r>
      <w:r>
        <w:rPr>
          <w:sz w:val="24"/>
        </w:rPr>
        <w:t>is</w:t>
      </w:r>
      <w:r>
        <w:rPr>
          <w:spacing w:val="-3"/>
          <w:sz w:val="24"/>
        </w:rPr>
        <w:t> </w:t>
      </w:r>
      <w:r>
        <w:rPr>
          <w:sz w:val="24"/>
        </w:rPr>
        <w:t>eligible</w:t>
      </w:r>
      <w:r>
        <w:rPr>
          <w:spacing w:val="-4"/>
          <w:sz w:val="24"/>
        </w:rPr>
        <w:t> </w:t>
      </w:r>
      <w:r>
        <w:rPr>
          <w:sz w:val="24"/>
        </w:rPr>
        <w:t>for</w:t>
      </w:r>
      <w:r>
        <w:rPr>
          <w:spacing w:val="-5"/>
          <w:sz w:val="24"/>
        </w:rPr>
        <w:t> </w:t>
      </w:r>
      <w:r>
        <w:rPr>
          <w:sz w:val="24"/>
        </w:rPr>
        <w:t>vocational</w:t>
      </w:r>
      <w:r>
        <w:rPr>
          <w:spacing w:val="-4"/>
          <w:sz w:val="24"/>
        </w:rPr>
        <w:t> </w:t>
      </w:r>
      <w:r>
        <w:rPr>
          <w:sz w:val="24"/>
        </w:rPr>
        <w:t>rehabilitation</w:t>
      </w:r>
      <w:r>
        <w:rPr>
          <w:spacing w:val="-3"/>
          <w:sz w:val="24"/>
        </w:rPr>
        <w:t> </w:t>
      </w:r>
      <w:r>
        <w:rPr>
          <w:spacing w:val="-2"/>
          <w:sz w:val="24"/>
        </w:rPr>
        <w:t>services:</w:t>
      </w:r>
    </w:p>
    <w:p>
      <w:pPr>
        <w:pStyle w:val="ListParagraph"/>
        <w:numPr>
          <w:ilvl w:val="1"/>
          <w:numId w:val="122"/>
        </w:numPr>
        <w:tabs>
          <w:tab w:pos="1217" w:val="left" w:leader="none"/>
        </w:tabs>
        <w:spacing w:line="208" w:lineRule="auto" w:before="233" w:after="0"/>
        <w:ind w:left="792" w:right="727" w:firstLine="0"/>
        <w:jc w:val="left"/>
        <w:rPr>
          <w:sz w:val="24"/>
        </w:rPr>
      </w:pPr>
      <w:r>
        <w:rPr>
          <w:sz w:val="24"/>
        </w:rPr>
        <w:t>the counselor will use to the maximum extent possible and appropriate existing data including counselor observations, education records, information provided by the</w:t>
      </w:r>
      <w:r>
        <w:rPr>
          <w:spacing w:val="-4"/>
          <w:sz w:val="24"/>
        </w:rPr>
        <w:t> </w:t>
      </w:r>
      <w:r>
        <w:rPr>
          <w:sz w:val="24"/>
        </w:rPr>
        <w:t>individual</w:t>
      </w:r>
      <w:r>
        <w:rPr>
          <w:spacing w:val="-4"/>
          <w:sz w:val="24"/>
        </w:rPr>
        <w:t> </w:t>
      </w:r>
      <w:r>
        <w:rPr>
          <w:sz w:val="24"/>
        </w:rPr>
        <w:t>or</w:t>
      </w:r>
      <w:r>
        <w:rPr>
          <w:spacing w:val="-3"/>
          <w:sz w:val="24"/>
        </w:rPr>
        <w:t> </w:t>
      </w:r>
      <w:r>
        <w:rPr>
          <w:sz w:val="24"/>
        </w:rPr>
        <w:t>the</w:t>
      </w:r>
      <w:r>
        <w:rPr>
          <w:spacing w:val="-4"/>
          <w:sz w:val="24"/>
        </w:rPr>
        <w:t> </w:t>
      </w:r>
      <w:r>
        <w:rPr>
          <w:sz w:val="24"/>
        </w:rPr>
        <w:t>individual's</w:t>
      </w:r>
      <w:r>
        <w:rPr>
          <w:spacing w:val="-4"/>
          <w:sz w:val="24"/>
        </w:rPr>
        <w:t> </w:t>
      </w:r>
      <w:r>
        <w:rPr>
          <w:sz w:val="24"/>
        </w:rPr>
        <w:t>family,</w:t>
      </w:r>
      <w:r>
        <w:rPr>
          <w:spacing w:val="-3"/>
          <w:sz w:val="24"/>
        </w:rPr>
        <w:t> </w:t>
      </w:r>
      <w:r>
        <w:rPr>
          <w:sz w:val="24"/>
        </w:rPr>
        <w:t>and</w:t>
      </w:r>
      <w:r>
        <w:rPr>
          <w:spacing w:val="-4"/>
          <w:sz w:val="24"/>
        </w:rPr>
        <w:t> </w:t>
      </w:r>
      <w:r>
        <w:rPr>
          <w:sz w:val="24"/>
        </w:rPr>
        <w:t>determinations</w:t>
      </w:r>
      <w:r>
        <w:rPr>
          <w:spacing w:val="-4"/>
          <w:sz w:val="24"/>
        </w:rPr>
        <w:t> </w:t>
      </w:r>
      <w:r>
        <w:rPr>
          <w:sz w:val="24"/>
        </w:rPr>
        <w:t>made</w:t>
      </w:r>
      <w:r>
        <w:rPr>
          <w:spacing w:val="-4"/>
          <w:sz w:val="24"/>
        </w:rPr>
        <w:t> </w:t>
      </w:r>
      <w:r>
        <w:rPr>
          <w:sz w:val="24"/>
        </w:rPr>
        <w:t>by</w:t>
      </w:r>
      <w:r>
        <w:rPr>
          <w:spacing w:val="-4"/>
          <w:sz w:val="24"/>
        </w:rPr>
        <w:t> </w:t>
      </w:r>
      <w:r>
        <w:rPr>
          <w:sz w:val="24"/>
        </w:rPr>
        <w:t>officials</w:t>
      </w:r>
      <w:r>
        <w:rPr>
          <w:spacing w:val="-4"/>
          <w:sz w:val="24"/>
        </w:rPr>
        <w:t> </w:t>
      </w:r>
      <w:r>
        <w:rPr>
          <w:sz w:val="24"/>
        </w:rPr>
        <w:t>of</w:t>
      </w:r>
      <w:r>
        <w:rPr>
          <w:spacing w:val="-3"/>
          <w:sz w:val="24"/>
        </w:rPr>
        <w:t> </w:t>
      </w:r>
      <w:r>
        <w:rPr>
          <w:sz w:val="24"/>
        </w:rPr>
        <w:t>other agencies; </w:t>
      </w:r>
      <w:r>
        <w:rPr>
          <w:b/>
          <w:sz w:val="24"/>
        </w:rPr>
        <w:t>1 </w:t>
      </w:r>
      <w:r>
        <w:rPr>
          <w:sz w:val="24"/>
        </w:rPr>
        <w:t>and</w:t>
      </w:r>
    </w:p>
    <w:p>
      <w:pPr>
        <w:pStyle w:val="ListParagraph"/>
        <w:numPr>
          <w:ilvl w:val="1"/>
          <w:numId w:val="122"/>
        </w:numPr>
        <w:tabs>
          <w:tab w:pos="1217" w:val="left" w:leader="none"/>
        </w:tabs>
        <w:spacing w:line="208" w:lineRule="auto" w:before="239" w:after="0"/>
        <w:ind w:left="792" w:right="759" w:firstLine="0"/>
        <w:jc w:val="left"/>
        <w:rPr>
          <w:b/>
          <w:sz w:val="24"/>
        </w:rPr>
      </w:pPr>
      <w:r>
        <w:rPr>
          <w:sz w:val="24"/>
        </w:rPr>
        <w:t>to</w:t>
      </w:r>
      <w:r>
        <w:rPr>
          <w:spacing w:val="-5"/>
          <w:sz w:val="24"/>
        </w:rPr>
        <w:t> </w:t>
      </w:r>
      <w:r>
        <w:rPr>
          <w:sz w:val="24"/>
        </w:rPr>
        <w:t>the</w:t>
      </w:r>
      <w:r>
        <w:rPr>
          <w:spacing w:val="-4"/>
          <w:sz w:val="24"/>
        </w:rPr>
        <w:t> </w:t>
      </w:r>
      <w:r>
        <w:rPr>
          <w:sz w:val="24"/>
        </w:rPr>
        <w:t>extent</w:t>
      </w:r>
      <w:r>
        <w:rPr>
          <w:spacing w:val="-3"/>
          <w:sz w:val="24"/>
        </w:rPr>
        <w:t> </w:t>
      </w:r>
      <w:r>
        <w:rPr>
          <w:sz w:val="24"/>
        </w:rPr>
        <w:t>necessary</w:t>
      </w:r>
      <w:r>
        <w:rPr>
          <w:spacing w:val="-4"/>
          <w:sz w:val="24"/>
        </w:rPr>
        <w:t> </w:t>
      </w:r>
      <w:r>
        <w:rPr>
          <w:sz w:val="24"/>
        </w:rPr>
        <w:t>provide</w:t>
      </w:r>
      <w:r>
        <w:rPr>
          <w:spacing w:val="-4"/>
          <w:sz w:val="24"/>
        </w:rPr>
        <w:t> </w:t>
      </w:r>
      <w:r>
        <w:rPr>
          <w:sz w:val="24"/>
        </w:rPr>
        <w:t>appropriate</w:t>
      </w:r>
      <w:r>
        <w:rPr>
          <w:spacing w:val="-4"/>
          <w:sz w:val="24"/>
        </w:rPr>
        <w:t> </w:t>
      </w:r>
      <w:r>
        <w:rPr>
          <w:sz w:val="24"/>
        </w:rPr>
        <w:t>assessments,</w:t>
      </w:r>
      <w:r>
        <w:rPr>
          <w:spacing w:val="-3"/>
          <w:sz w:val="24"/>
        </w:rPr>
        <w:t> </w:t>
      </w:r>
      <w:r>
        <w:rPr>
          <w:sz w:val="24"/>
        </w:rPr>
        <w:t>including</w:t>
      </w:r>
      <w:r>
        <w:rPr>
          <w:spacing w:val="-4"/>
          <w:sz w:val="24"/>
        </w:rPr>
        <w:t> </w:t>
      </w:r>
      <w:r>
        <w:rPr>
          <w:sz w:val="24"/>
        </w:rPr>
        <w:t>provision</w:t>
      </w:r>
      <w:r>
        <w:rPr>
          <w:spacing w:val="-4"/>
          <w:sz w:val="24"/>
        </w:rPr>
        <w:t> </w:t>
      </w:r>
      <w:r>
        <w:rPr>
          <w:sz w:val="24"/>
        </w:rPr>
        <w:t>of goods and services during the assessment, to obtain additional documentation necessary to make the determination of eligibility and priority group assignment. The counselor will carefully evaluate the need to provide assistive technology devices and services or worksite assessments. </w:t>
      </w:r>
      <w:r>
        <w:rPr>
          <w:b/>
          <w:sz w:val="24"/>
        </w:rPr>
        <w:t>2</w:t>
      </w:r>
    </w:p>
    <w:p>
      <w:pPr>
        <w:pStyle w:val="ListParagraph"/>
        <w:numPr>
          <w:ilvl w:val="0"/>
          <w:numId w:val="122"/>
        </w:numPr>
        <w:tabs>
          <w:tab w:pos="786" w:val="left" w:leader="none"/>
        </w:tabs>
        <w:spacing w:line="208" w:lineRule="auto" w:before="240" w:after="0"/>
        <w:ind w:left="360" w:right="953" w:firstLine="0"/>
        <w:jc w:val="left"/>
        <w:rPr>
          <w:sz w:val="24"/>
        </w:rPr>
      </w:pPr>
      <w:r>
        <w:rPr>
          <w:sz w:val="24"/>
        </w:rPr>
        <w:t>The</w:t>
      </w:r>
      <w:r>
        <w:rPr>
          <w:spacing w:val="-3"/>
          <w:sz w:val="24"/>
        </w:rPr>
        <w:t> </w:t>
      </w:r>
      <w:r>
        <w:rPr>
          <w:sz w:val="24"/>
        </w:rPr>
        <w:t>Qualified</w:t>
      </w:r>
      <w:r>
        <w:rPr>
          <w:spacing w:val="-2"/>
          <w:sz w:val="24"/>
        </w:rPr>
        <w:t> </w:t>
      </w:r>
      <w:r>
        <w:rPr>
          <w:sz w:val="24"/>
        </w:rPr>
        <w:t>Vocational</w:t>
      </w:r>
      <w:r>
        <w:rPr>
          <w:spacing w:val="-2"/>
          <w:sz w:val="24"/>
        </w:rPr>
        <w:t> </w:t>
      </w:r>
      <w:r>
        <w:rPr>
          <w:sz w:val="24"/>
        </w:rPr>
        <w:t>Rehabilitation</w:t>
      </w:r>
      <w:r>
        <w:rPr>
          <w:spacing w:val="-1"/>
          <w:sz w:val="24"/>
        </w:rPr>
        <w:t> </w:t>
      </w:r>
      <w:r>
        <w:rPr>
          <w:sz w:val="24"/>
        </w:rPr>
        <w:t>Counselor</w:t>
      </w:r>
      <w:r>
        <w:rPr>
          <w:spacing w:val="-1"/>
          <w:sz w:val="24"/>
        </w:rPr>
        <w:t> </w:t>
      </w:r>
      <w:r>
        <w:rPr>
          <w:sz w:val="24"/>
        </w:rPr>
        <w:t>(QVRC)</w:t>
      </w:r>
      <w:r>
        <w:rPr>
          <w:spacing w:val="-1"/>
          <w:sz w:val="24"/>
        </w:rPr>
        <w:t> </w:t>
      </w:r>
      <w:r>
        <w:rPr>
          <w:sz w:val="24"/>
        </w:rPr>
        <w:t>will</w:t>
      </w:r>
      <w:r>
        <w:rPr>
          <w:spacing w:val="-2"/>
          <w:sz w:val="24"/>
        </w:rPr>
        <w:t> </w:t>
      </w:r>
      <w:r>
        <w:rPr>
          <w:sz w:val="24"/>
        </w:rPr>
        <w:t>determine</w:t>
      </w:r>
      <w:r>
        <w:rPr>
          <w:spacing w:val="-2"/>
          <w:sz w:val="24"/>
        </w:rPr>
        <w:t> </w:t>
      </w:r>
      <w:r>
        <w:rPr>
          <w:sz w:val="24"/>
        </w:rPr>
        <w:t>whether an</w:t>
      </w:r>
      <w:r>
        <w:rPr>
          <w:spacing w:val="-4"/>
          <w:sz w:val="24"/>
        </w:rPr>
        <w:t> </w:t>
      </w:r>
      <w:r>
        <w:rPr>
          <w:sz w:val="24"/>
        </w:rPr>
        <w:t>individual</w:t>
      </w:r>
      <w:r>
        <w:rPr>
          <w:spacing w:val="-4"/>
          <w:sz w:val="24"/>
        </w:rPr>
        <w:t> </w:t>
      </w:r>
      <w:r>
        <w:rPr>
          <w:sz w:val="24"/>
        </w:rPr>
        <w:t>is</w:t>
      </w:r>
      <w:r>
        <w:rPr>
          <w:spacing w:val="-4"/>
          <w:sz w:val="24"/>
        </w:rPr>
        <w:t> </w:t>
      </w:r>
      <w:r>
        <w:rPr>
          <w:sz w:val="24"/>
        </w:rPr>
        <w:t>eligible</w:t>
      </w:r>
      <w:r>
        <w:rPr>
          <w:spacing w:val="-4"/>
          <w:sz w:val="24"/>
        </w:rPr>
        <w:t> </w:t>
      </w:r>
      <w:r>
        <w:rPr>
          <w:sz w:val="24"/>
        </w:rPr>
        <w:t>for</w:t>
      </w:r>
      <w:r>
        <w:rPr>
          <w:spacing w:val="-3"/>
          <w:sz w:val="24"/>
        </w:rPr>
        <w:t> </w:t>
      </w:r>
      <w:r>
        <w:rPr>
          <w:sz w:val="24"/>
        </w:rPr>
        <w:t>vocational</w:t>
      </w:r>
      <w:r>
        <w:rPr>
          <w:spacing w:val="-4"/>
          <w:sz w:val="24"/>
        </w:rPr>
        <w:t> </w:t>
      </w:r>
      <w:r>
        <w:rPr>
          <w:sz w:val="24"/>
        </w:rPr>
        <w:t>rehabilitation</w:t>
      </w:r>
      <w:r>
        <w:rPr>
          <w:spacing w:val="-4"/>
          <w:sz w:val="24"/>
        </w:rPr>
        <w:t> </w:t>
      </w:r>
      <w:r>
        <w:rPr>
          <w:sz w:val="24"/>
        </w:rPr>
        <w:t>services</w:t>
      </w:r>
      <w:r>
        <w:rPr>
          <w:spacing w:val="-4"/>
          <w:sz w:val="24"/>
        </w:rPr>
        <w:t> </w:t>
      </w:r>
      <w:r>
        <w:rPr>
          <w:sz w:val="24"/>
        </w:rPr>
        <w:t>within</w:t>
      </w:r>
      <w:r>
        <w:rPr>
          <w:spacing w:val="-4"/>
          <w:sz w:val="24"/>
        </w:rPr>
        <w:t> </w:t>
      </w:r>
      <w:r>
        <w:rPr>
          <w:sz w:val="24"/>
        </w:rPr>
        <w:t>a</w:t>
      </w:r>
      <w:r>
        <w:rPr>
          <w:spacing w:val="-4"/>
          <w:sz w:val="24"/>
        </w:rPr>
        <w:t> </w:t>
      </w:r>
      <w:r>
        <w:rPr>
          <w:sz w:val="24"/>
        </w:rPr>
        <w:t>reasonable</w:t>
      </w:r>
      <w:r>
        <w:rPr>
          <w:spacing w:val="-4"/>
          <w:sz w:val="24"/>
        </w:rPr>
        <w:t> </w:t>
      </w:r>
      <w:r>
        <w:rPr>
          <w:sz w:val="24"/>
        </w:rPr>
        <w:t>period of time, not to exceed 60 days after the individual has submitted an application for services. This time period may be extended only when unforeseen and exceptional circumstances beyond the control of the Department preclude completing the determination of eligibility within the 60 days and the individual agrees a specific extension of time is warranted as documented on the Need for Extension of Time to Determine</w:t>
      </w:r>
      <w:r>
        <w:rPr>
          <w:spacing w:val="-2"/>
          <w:sz w:val="24"/>
        </w:rPr>
        <w:t> </w:t>
      </w:r>
      <w:r>
        <w:rPr>
          <w:sz w:val="24"/>
        </w:rPr>
        <w:t>Eligibility</w:t>
      </w:r>
      <w:r>
        <w:rPr>
          <w:spacing w:val="-2"/>
          <w:sz w:val="24"/>
        </w:rPr>
        <w:t> </w:t>
      </w:r>
      <w:r>
        <w:rPr>
          <w:sz w:val="24"/>
        </w:rPr>
        <w:t>form;</w:t>
      </w:r>
      <w:r>
        <w:rPr>
          <w:spacing w:val="-3"/>
          <w:sz w:val="24"/>
        </w:rPr>
        <w:t> </w:t>
      </w:r>
      <w:r>
        <w:rPr>
          <w:sz w:val="24"/>
        </w:rPr>
        <w:t>or</w:t>
      </w:r>
      <w:r>
        <w:rPr>
          <w:spacing w:val="-1"/>
          <w:sz w:val="24"/>
        </w:rPr>
        <w:t> </w:t>
      </w:r>
      <w:r>
        <w:rPr>
          <w:sz w:val="24"/>
        </w:rPr>
        <w:t>a</w:t>
      </w:r>
      <w:r>
        <w:rPr>
          <w:spacing w:val="-3"/>
          <w:sz w:val="24"/>
        </w:rPr>
        <w:t> </w:t>
      </w:r>
      <w:r>
        <w:rPr>
          <w:sz w:val="24"/>
        </w:rPr>
        <w:t>trial</w:t>
      </w:r>
      <w:r>
        <w:rPr>
          <w:spacing w:val="-2"/>
          <w:sz w:val="24"/>
        </w:rPr>
        <w:t> </w:t>
      </w:r>
      <w:r>
        <w:rPr>
          <w:sz w:val="24"/>
        </w:rPr>
        <w:t>work</w:t>
      </w:r>
      <w:r>
        <w:rPr>
          <w:spacing w:val="-2"/>
          <w:sz w:val="24"/>
        </w:rPr>
        <w:t> </w:t>
      </w:r>
      <w:r>
        <w:rPr>
          <w:sz w:val="24"/>
        </w:rPr>
        <w:t>period</w:t>
      </w:r>
      <w:r>
        <w:rPr>
          <w:spacing w:val="-2"/>
          <w:sz w:val="24"/>
        </w:rPr>
        <w:t> </w:t>
      </w:r>
      <w:r>
        <w:rPr>
          <w:sz w:val="24"/>
        </w:rPr>
        <w:t>is</w:t>
      </w:r>
      <w:r>
        <w:rPr>
          <w:spacing w:val="-2"/>
          <w:sz w:val="24"/>
        </w:rPr>
        <w:t> </w:t>
      </w:r>
      <w:r>
        <w:rPr>
          <w:sz w:val="24"/>
        </w:rPr>
        <w:t>needed</w:t>
      </w:r>
      <w:r>
        <w:rPr>
          <w:spacing w:val="-2"/>
          <w:sz w:val="24"/>
        </w:rPr>
        <w:t> </w:t>
      </w:r>
      <w:r>
        <w:rPr>
          <w:sz w:val="24"/>
        </w:rPr>
        <w:t>to</w:t>
      </w:r>
      <w:r>
        <w:rPr>
          <w:spacing w:val="-2"/>
          <w:sz w:val="24"/>
        </w:rPr>
        <w:t> </w:t>
      </w:r>
      <w:r>
        <w:rPr>
          <w:sz w:val="24"/>
        </w:rPr>
        <w:t>determine</w:t>
      </w:r>
      <w:r>
        <w:rPr>
          <w:spacing w:val="-2"/>
          <w:sz w:val="24"/>
        </w:rPr>
        <w:t> </w:t>
      </w:r>
      <w:r>
        <w:rPr>
          <w:sz w:val="24"/>
        </w:rPr>
        <w:t>the</w:t>
      </w:r>
      <w:r>
        <w:rPr>
          <w:spacing w:val="-2"/>
          <w:sz w:val="24"/>
        </w:rPr>
        <w:t> </w:t>
      </w:r>
      <w:r>
        <w:rPr>
          <w:sz w:val="24"/>
        </w:rPr>
        <w:t>individual's ability to benefit from VR services.</w:t>
      </w:r>
    </w:p>
    <w:p>
      <w:pPr>
        <w:pStyle w:val="ListParagraph"/>
        <w:numPr>
          <w:ilvl w:val="0"/>
          <w:numId w:val="122"/>
        </w:numPr>
        <w:tabs>
          <w:tab w:pos="773" w:val="left" w:leader="none"/>
        </w:tabs>
        <w:spacing w:line="208" w:lineRule="auto" w:before="239" w:after="0"/>
        <w:ind w:left="360" w:right="940" w:firstLine="0"/>
        <w:jc w:val="left"/>
        <w:rPr>
          <w:sz w:val="24"/>
        </w:rPr>
      </w:pPr>
      <w:r>
        <w:rPr>
          <w:sz w:val="24"/>
        </w:rPr>
        <w:t>Documentation</w:t>
      </w:r>
      <w:r>
        <w:rPr>
          <w:spacing w:val="-4"/>
          <w:sz w:val="24"/>
        </w:rPr>
        <w:t> </w:t>
      </w:r>
      <w:r>
        <w:rPr>
          <w:sz w:val="24"/>
        </w:rPr>
        <w:t>that</w:t>
      </w:r>
      <w:r>
        <w:rPr>
          <w:spacing w:val="-3"/>
          <w:sz w:val="24"/>
        </w:rPr>
        <w:t> </w:t>
      </w:r>
      <w:r>
        <w:rPr>
          <w:sz w:val="24"/>
        </w:rPr>
        <w:t>the</w:t>
      </w:r>
      <w:r>
        <w:rPr>
          <w:spacing w:val="-4"/>
          <w:sz w:val="24"/>
        </w:rPr>
        <w:t> </w:t>
      </w:r>
      <w:r>
        <w:rPr>
          <w:sz w:val="24"/>
        </w:rPr>
        <w:t>individual</w:t>
      </w:r>
      <w:r>
        <w:rPr>
          <w:spacing w:val="-4"/>
          <w:sz w:val="24"/>
        </w:rPr>
        <w:t> </w:t>
      </w:r>
      <w:r>
        <w:rPr>
          <w:sz w:val="24"/>
        </w:rPr>
        <w:t>has</w:t>
      </w:r>
      <w:r>
        <w:rPr>
          <w:spacing w:val="-4"/>
          <w:sz w:val="24"/>
        </w:rPr>
        <w:t> </w:t>
      </w:r>
      <w:r>
        <w:rPr>
          <w:sz w:val="24"/>
        </w:rPr>
        <w:t>a</w:t>
      </w:r>
      <w:r>
        <w:rPr>
          <w:spacing w:val="-4"/>
          <w:sz w:val="24"/>
        </w:rPr>
        <w:t> </w:t>
      </w:r>
      <w:r>
        <w:rPr>
          <w:sz w:val="24"/>
        </w:rPr>
        <w:t>disability</w:t>
      </w:r>
      <w:r>
        <w:rPr>
          <w:spacing w:val="-4"/>
          <w:sz w:val="24"/>
        </w:rPr>
        <w:t> </w:t>
      </w:r>
      <w:r>
        <w:rPr>
          <w:sz w:val="24"/>
        </w:rPr>
        <w:t>which</w:t>
      </w:r>
      <w:r>
        <w:rPr>
          <w:spacing w:val="-4"/>
          <w:sz w:val="24"/>
        </w:rPr>
        <w:t> </w:t>
      </w:r>
      <w:r>
        <w:rPr>
          <w:sz w:val="24"/>
        </w:rPr>
        <w:t>constitutes</w:t>
      </w:r>
      <w:r>
        <w:rPr>
          <w:spacing w:val="-4"/>
          <w:sz w:val="24"/>
        </w:rPr>
        <w:t> </w:t>
      </w:r>
      <w:r>
        <w:rPr>
          <w:sz w:val="24"/>
        </w:rPr>
        <w:t>or</w:t>
      </w:r>
      <w:r>
        <w:rPr>
          <w:spacing w:val="-3"/>
          <w:sz w:val="24"/>
        </w:rPr>
        <w:t> </w:t>
      </w:r>
      <w:r>
        <w:rPr>
          <w:sz w:val="24"/>
        </w:rPr>
        <w:t>results</w:t>
      </w:r>
      <w:r>
        <w:rPr>
          <w:spacing w:val="-4"/>
          <w:sz w:val="24"/>
        </w:rPr>
        <w:t> </w:t>
      </w:r>
      <w:r>
        <w:rPr>
          <w:sz w:val="24"/>
        </w:rPr>
        <w:t>in</w:t>
      </w:r>
      <w:r>
        <w:rPr>
          <w:spacing w:val="-4"/>
          <w:sz w:val="24"/>
        </w:rPr>
        <w:t> </w:t>
      </w:r>
      <w:r>
        <w:rPr>
          <w:sz w:val="24"/>
        </w:rPr>
        <w:t>an impediment to employment must come from qualified professionals.</w:t>
      </w:r>
    </w:p>
    <w:p>
      <w:pPr>
        <w:pStyle w:val="ListParagraph"/>
        <w:numPr>
          <w:ilvl w:val="0"/>
          <w:numId w:val="122"/>
        </w:numPr>
        <w:tabs>
          <w:tab w:pos="786" w:val="left" w:leader="none"/>
        </w:tabs>
        <w:spacing w:line="208" w:lineRule="auto" w:before="240" w:after="0"/>
        <w:ind w:left="360" w:right="778" w:firstLine="0"/>
        <w:jc w:val="left"/>
        <w:rPr>
          <w:sz w:val="24"/>
        </w:rPr>
      </w:pPr>
      <w:r>
        <w:rPr>
          <w:sz w:val="24"/>
        </w:rPr>
        <w:t>Eligibility</w:t>
      </w:r>
      <w:r>
        <w:rPr>
          <w:spacing w:val="-4"/>
          <w:sz w:val="24"/>
        </w:rPr>
        <w:t> </w:t>
      </w:r>
      <w:r>
        <w:rPr>
          <w:sz w:val="24"/>
        </w:rPr>
        <w:t>determinations</w:t>
      </w:r>
      <w:r>
        <w:rPr>
          <w:spacing w:val="-4"/>
          <w:sz w:val="24"/>
        </w:rPr>
        <w:t> </w:t>
      </w:r>
      <w:r>
        <w:rPr>
          <w:sz w:val="24"/>
        </w:rPr>
        <w:t>will</w:t>
      </w:r>
      <w:r>
        <w:rPr>
          <w:spacing w:val="-3"/>
          <w:sz w:val="24"/>
        </w:rPr>
        <w:t> </w:t>
      </w:r>
      <w:r>
        <w:rPr>
          <w:sz w:val="24"/>
        </w:rPr>
        <w:t>be</w:t>
      </w:r>
      <w:r>
        <w:rPr>
          <w:spacing w:val="-4"/>
          <w:sz w:val="24"/>
        </w:rPr>
        <w:t> </w:t>
      </w:r>
      <w:r>
        <w:rPr>
          <w:sz w:val="24"/>
        </w:rPr>
        <w:t>expedited</w:t>
      </w:r>
      <w:r>
        <w:rPr>
          <w:spacing w:val="-4"/>
          <w:sz w:val="24"/>
        </w:rPr>
        <w:t> </w:t>
      </w:r>
      <w:r>
        <w:rPr>
          <w:sz w:val="24"/>
        </w:rPr>
        <w:t>for</w:t>
      </w:r>
      <w:r>
        <w:rPr>
          <w:spacing w:val="-3"/>
          <w:sz w:val="24"/>
        </w:rPr>
        <w:t> </w:t>
      </w:r>
      <w:r>
        <w:rPr>
          <w:sz w:val="24"/>
        </w:rPr>
        <w:t>applicants</w:t>
      </w:r>
      <w:r>
        <w:rPr>
          <w:spacing w:val="-4"/>
          <w:sz w:val="24"/>
        </w:rPr>
        <w:t> </w:t>
      </w:r>
      <w:r>
        <w:rPr>
          <w:sz w:val="24"/>
        </w:rPr>
        <w:t>who</w:t>
      </w:r>
      <w:r>
        <w:rPr>
          <w:spacing w:val="-4"/>
          <w:sz w:val="24"/>
        </w:rPr>
        <w:t> </w:t>
      </w:r>
      <w:r>
        <w:rPr>
          <w:sz w:val="24"/>
        </w:rPr>
        <w:t>have</w:t>
      </w:r>
      <w:r>
        <w:rPr>
          <w:spacing w:val="-4"/>
          <w:sz w:val="24"/>
        </w:rPr>
        <w:t> </w:t>
      </w:r>
      <w:r>
        <w:rPr>
          <w:sz w:val="24"/>
        </w:rPr>
        <w:t>been</w:t>
      </w:r>
      <w:r>
        <w:rPr>
          <w:spacing w:val="-3"/>
          <w:sz w:val="24"/>
        </w:rPr>
        <w:t> </w:t>
      </w:r>
      <w:r>
        <w:rPr>
          <w:sz w:val="24"/>
        </w:rPr>
        <w:t>determined eligible for vocational rehabilitation services by an American Indian Vocational Rehabilitation Services (AIVRS) Program. Counselors will work cooperatively with the applicable American Indian VR Program to obtain pertinent diagnostic and other documentation, and utilize such documentation, as appropriate, in making eligibility decisions that are prompt or, whenever feasible, immediate.</w:t>
      </w:r>
    </w:p>
    <w:p>
      <w:pPr>
        <w:pStyle w:val="ListParagraph"/>
        <w:numPr>
          <w:ilvl w:val="0"/>
          <w:numId w:val="122"/>
        </w:numPr>
        <w:tabs>
          <w:tab w:pos="786" w:val="left" w:leader="none"/>
        </w:tabs>
        <w:spacing w:line="208" w:lineRule="auto" w:before="239" w:after="0"/>
        <w:ind w:left="360" w:right="833" w:firstLine="0"/>
        <w:jc w:val="left"/>
        <w:rPr>
          <w:sz w:val="24"/>
        </w:rPr>
      </w:pPr>
      <w:r>
        <w:rPr>
          <w:sz w:val="24"/>
        </w:rPr>
        <w:t>A</w:t>
      </w:r>
      <w:r>
        <w:rPr>
          <w:spacing w:val="-4"/>
          <w:sz w:val="24"/>
        </w:rPr>
        <w:t> </w:t>
      </w:r>
      <w:r>
        <w:rPr>
          <w:sz w:val="24"/>
        </w:rPr>
        <w:t>qualified</w:t>
      </w:r>
      <w:r>
        <w:rPr>
          <w:spacing w:val="-4"/>
          <w:sz w:val="24"/>
        </w:rPr>
        <w:t> </w:t>
      </w:r>
      <w:r>
        <w:rPr>
          <w:sz w:val="24"/>
        </w:rPr>
        <w:t>rehabilitation</w:t>
      </w:r>
      <w:r>
        <w:rPr>
          <w:spacing w:val="-4"/>
          <w:sz w:val="24"/>
        </w:rPr>
        <w:t> </w:t>
      </w:r>
      <w:r>
        <w:rPr>
          <w:sz w:val="24"/>
        </w:rPr>
        <w:t>professional</w:t>
      </w:r>
      <w:r>
        <w:rPr>
          <w:spacing w:val="-4"/>
          <w:sz w:val="24"/>
        </w:rPr>
        <w:t> </w:t>
      </w:r>
      <w:r>
        <w:rPr>
          <w:sz w:val="24"/>
        </w:rPr>
        <w:t>may</w:t>
      </w:r>
      <w:r>
        <w:rPr>
          <w:spacing w:val="-4"/>
          <w:sz w:val="24"/>
        </w:rPr>
        <w:t> </w:t>
      </w:r>
      <w:r>
        <w:rPr>
          <w:sz w:val="24"/>
        </w:rPr>
        <w:t>proceed</w:t>
      </w:r>
      <w:r>
        <w:rPr>
          <w:spacing w:val="-4"/>
          <w:sz w:val="24"/>
        </w:rPr>
        <w:t> </w:t>
      </w:r>
      <w:r>
        <w:rPr>
          <w:sz w:val="24"/>
        </w:rPr>
        <w:t>with</w:t>
      </w:r>
      <w:r>
        <w:rPr>
          <w:spacing w:val="-4"/>
          <w:sz w:val="24"/>
        </w:rPr>
        <w:t> </w:t>
      </w:r>
      <w:r>
        <w:rPr>
          <w:sz w:val="24"/>
        </w:rPr>
        <w:t>a</w:t>
      </w:r>
      <w:r>
        <w:rPr>
          <w:spacing w:val="-4"/>
          <w:sz w:val="24"/>
        </w:rPr>
        <w:t> </w:t>
      </w:r>
      <w:r>
        <w:rPr>
          <w:sz w:val="24"/>
        </w:rPr>
        <w:t>determination</w:t>
      </w:r>
      <w:r>
        <w:rPr>
          <w:spacing w:val="-4"/>
          <w:sz w:val="24"/>
        </w:rPr>
        <w:t> </w:t>
      </w:r>
      <w:r>
        <w:rPr>
          <w:sz w:val="24"/>
        </w:rPr>
        <w:t>of</w:t>
      </w:r>
      <w:r>
        <w:rPr>
          <w:spacing w:val="-3"/>
          <w:sz w:val="24"/>
        </w:rPr>
        <w:t> </w:t>
      </w:r>
      <w:r>
        <w:rPr>
          <w:sz w:val="24"/>
        </w:rPr>
        <w:t>eligibility if there is an obvious and/or observable disability that results in an impediment to employment.</w:t>
      </w:r>
      <w:r>
        <w:rPr>
          <w:spacing w:val="-3"/>
          <w:sz w:val="24"/>
        </w:rPr>
        <w:t> </w:t>
      </w:r>
      <w:r>
        <w:rPr>
          <w:sz w:val="24"/>
        </w:rPr>
        <w:t>The</w:t>
      </w:r>
      <w:r>
        <w:rPr>
          <w:spacing w:val="-4"/>
          <w:sz w:val="24"/>
        </w:rPr>
        <w:t> </w:t>
      </w:r>
      <w:r>
        <w:rPr>
          <w:sz w:val="24"/>
        </w:rPr>
        <w:t>VR</w:t>
      </w:r>
      <w:r>
        <w:rPr>
          <w:spacing w:val="-6"/>
          <w:sz w:val="24"/>
        </w:rPr>
        <w:t> </w:t>
      </w:r>
      <w:r>
        <w:rPr>
          <w:sz w:val="24"/>
        </w:rPr>
        <w:t>specialist</w:t>
      </w:r>
      <w:r>
        <w:rPr>
          <w:spacing w:val="-3"/>
          <w:sz w:val="24"/>
        </w:rPr>
        <w:t> </w:t>
      </w:r>
      <w:r>
        <w:rPr>
          <w:sz w:val="24"/>
        </w:rPr>
        <w:t>will</w:t>
      </w:r>
      <w:r>
        <w:rPr>
          <w:spacing w:val="-4"/>
          <w:sz w:val="24"/>
        </w:rPr>
        <w:t> </w:t>
      </w:r>
      <w:r>
        <w:rPr>
          <w:sz w:val="24"/>
        </w:rPr>
        <w:t>document</w:t>
      </w:r>
      <w:r>
        <w:rPr>
          <w:spacing w:val="-3"/>
          <w:sz w:val="24"/>
        </w:rPr>
        <w:t> </w:t>
      </w:r>
      <w:r>
        <w:rPr>
          <w:sz w:val="24"/>
        </w:rPr>
        <w:t>observations</w:t>
      </w:r>
      <w:r>
        <w:rPr>
          <w:spacing w:val="-4"/>
          <w:sz w:val="24"/>
        </w:rPr>
        <w:t> </w:t>
      </w:r>
      <w:r>
        <w:rPr>
          <w:sz w:val="24"/>
        </w:rPr>
        <w:t>pertaining</w:t>
      </w:r>
      <w:r>
        <w:rPr>
          <w:spacing w:val="-4"/>
          <w:sz w:val="24"/>
        </w:rPr>
        <w:t> </w:t>
      </w:r>
      <w:r>
        <w:rPr>
          <w:sz w:val="24"/>
        </w:rPr>
        <w:t>to</w:t>
      </w:r>
      <w:r>
        <w:rPr>
          <w:spacing w:val="-4"/>
          <w:sz w:val="24"/>
        </w:rPr>
        <w:t> </w:t>
      </w:r>
      <w:r>
        <w:rPr>
          <w:sz w:val="24"/>
        </w:rPr>
        <w:t>the</w:t>
      </w:r>
      <w:r>
        <w:rPr>
          <w:spacing w:val="-4"/>
          <w:sz w:val="24"/>
        </w:rPr>
        <w:t> </w:t>
      </w:r>
      <w:r>
        <w:rPr>
          <w:sz w:val="24"/>
        </w:rPr>
        <w:t>applicant's disability. After making the determination of eligibility the VR specialist may authorize any assessments and services necessary to further document eligibility, establish priority group placement and determine rehabilitation needs for development of the Individualized Plan for Employment.</w:t>
      </w:r>
    </w:p>
    <w:p>
      <w:pPr>
        <w:pStyle w:val="ListParagraph"/>
        <w:numPr>
          <w:ilvl w:val="0"/>
          <w:numId w:val="122"/>
        </w:numPr>
        <w:tabs>
          <w:tab w:pos="719" w:val="left" w:leader="none"/>
        </w:tabs>
        <w:spacing w:line="208" w:lineRule="auto" w:before="240" w:after="0"/>
        <w:ind w:left="360" w:right="980" w:firstLine="0"/>
        <w:jc w:val="left"/>
        <w:rPr>
          <w:sz w:val="24"/>
        </w:rPr>
      </w:pPr>
      <w:r>
        <w:rPr>
          <w:sz w:val="24"/>
        </w:rPr>
        <w:t>Diagnosis and evaluation are to be provided only for determination of eligibility for VR services, priority group placement, and determination of VR service needs. DVR and</w:t>
      </w:r>
      <w:r>
        <w:rPr>
          <w:spacing w:val="-3"/>
          <w:sz w:val="24"/>
        </w:rPr>
        <w:t> </w:t>
      </w:r>
      <w:r>
        <w:rPr>
          <w:sz w:val="24"/>
        </w:rPr>
        <w:t>DSBVI</w:t>
      </w:r>
      <w:r>
        <w:rPr>
          <w:spacing w:val="-2"/>
          <w:sz w:val="24"/>
        </w:rPr>
        <w:t> </w:t>
      </w:r>
      <w:r>
        <w:rPr>
          <w:sz w:val="24"/>
        </w:rPr>
        <w:t>funds</w:t>
      </w:r>
      <w:r>
        <w:rPr>
          <w:spacing w:val="-3"/>
          <w:sz w:val="24"/>
        </w:rPr>
        <w:t> </w:t>
      </w:r>
      <w:r>
        <w:rPr>
          <w:sz w:val="24"/>
        </w:rPr>
        <w:t>are</w:t>
      </w:r>
      <w:r>
        <w:rPr>
          <w:spacing w:val="-4"/>
          <w:sz w:val="24"/>
        </w:rPr>
        <w:t> </w:t>
      </w:r>
      <w:r>
        <w:rPr>
          <w:sz w:val="24"/>
        </w:rPr>
        <w:t>not</w:t>
      </w:r>
      <w:r>
        <w:rPr>
          <w:spacing w:val="-2"/>
          <w:sz w:val="24"/>
        </w:rPr>
        <w:t> </w:t>
      </w:r>
      <w:r>
        <w:rPr>
          <w:sz w:val="24"/>
        </w:rPr>
        <w:t>to</w:t>
      </w:r>
      <w:r>
        <w:rPr>
          <w:spacing w:val="-3"/>
          <w:sz w:val="24"/>
        </w:rPr>
        <w:t> </w:t>
      </w:r>
      <w:r>
        <w:rPr>
          <w:sz w:val="24"/>
        </w:rPr>
        <w:t>be</w:t>
      </w:r>
      <w:r>
        <w:rPr>
          <w:spacing w:val="-3"/>
          <w:sz w:val="24"/>
        </w:rPr>
        <w:t> </w:t>
      </w:r>
      <w:r>
        <w:rPr>
          <w:sz w:val="24"/>
        </w:rPr>
        <w:t>used</w:t>
      </w:r>
      <w:r>
        <w:rPr>
          <w:spacing w:val="-3"/>
          <w:sz w:val="24"/>
        </w:rPr>
        <w:t> </w:t>
      </w:r>
      <w:r>
        <w:rPr>
          <w:sz w:val="24"/>
        </w:rPr>
        <w:t>to</w:t>
      </w:r>
      <w:r>
        <w:rPr>
          <w:spacing w:val="-3"/>
          <w:sz w:val="24"/>
        </w:rPr>
        <w:t> </w:t>
      </w:r>
      <w:r>
        <w:rPr>
          <w:sz w:val="24"/>
        </w:rPr>
        <w:t>assist</w:t>
      </w:r>
      <w:r>
        <w:rPr>
          <w:spacing w:val="-2"/>
          <w:sz w:val="24"/>
        </w:rPr>
        <w:t> </w:t>
      </w:r>
      <w:r>
        <w:rPr>
          <w:sz w:val="24"/>
        </w:rPr>
        <w:t>an</w:t>
      </w:r>
      <w:r>
        <w:rPr>
          <w:spacing w:val="-3"/>
          <w:sz w:val="24"/>
        </w:rPr>
        <w:t> </w:t>
      </w:r>
      <w:r>
        <w:rPr>
          <w:sz w:val="24"/>
        </w:rPr>
        <w:t>individual</w:t>
      </w:r>
      <w:r>
        <w:rPr>
          <w:spacing w:val="-3"/>
          <w:sz w:val="24"/>
        </w:rPr>
        <w:t> </w:t>
      </w:r>
      <w:r>
        <w:rPr>
          <w:sz w:val="24"/>
        </w:rPr>
        <w:t>in</w:t>
      </w:r>
      <w:r>
        <w:rPr>
          <w:spacing w:val="-3"/>
          <w:sz w:val="24"/>
        </w:rPr>
        <w:t> </w:t>
      </w:r>
      <w:r>
        <w:rPr>
          <w:sz w:val="24"/>
        </w:rPr>
        <w:t>establishing</w:t>
      </w:r>
      <w:r>
        <w:rPr>
          <w:spacing w:val="-3"/>
          <w:sz w:val="24"/>
        </w:rPr>
        <w:t> </w:t>
      </w:r>
      <w:r>
        <w:rPr>
          <w:sz w:val="24"/>
        </w:rPr>
        <w:t>eligibility</w:t>
      </w:r>
      <w:r>
        <w:rPr>
          <w:spacing w:val="-3"/>
          <w:sz w:val="24"/>
        </w:rPr>
        <w:t> </w:t>
      </w:r>
      <w:r>
        <w:rPr>
          <w:sz w:val="24"/>
        </w:rPr>
        <w:t>for other programs.</w:t>
      </w:r>
    </w:p>
    <w:p>
      <w:pPr>
        <w:pStyle w:val="ListParagraph"/>
        <w:numPr>
          <w:ilvl w:val="0"/>
          <w:numId w:val="122"/>
        </w:numPr>
        <w:tabs>
          <w:tab w:pos="785" w:val="left" w:leader="none"/>
        </w:tabs>
        <w:spacing w:line="208" w:lineRule="auto" w:before="239" w:after="0"/>
        <w:ind w:left="360" w:right="952" w:firstLine="0"/>
        <w:jc w:val="left"/>
        <w:rPr>
          <w:sz w:val="24"/>
        </w:rPr>
      </w:pPr>
      <w:r>
        <w:rPr>
          <w:sz w:val="24"/>
        </w:rPr>
        <w:t>When</w:t>
      </w:r>
      <w:r>
        <w:rPr>
          <w:spacing w:val="-4"/>
          <w:sz w:val="24"/>
        </w:rPr>
        <w:t> </w:t>
      </w:r>
      <w:r>
        <w:rPr>
          <w:sz w:val="24"/>
        </w:rPr>
        <w:t>necessary,</w:t>
      </w:r>
      <w:r>
        <w:rPr>
          <w:spacing w:val="-3"/>
          <w:sz w:val="24"/>
        </w:rPr>
        <w:t> </w:t>
      </w:r>
      <w:r>
        <w:rPr>
          <w:sz w:val="24"/>
        </w:rPr>
        <w:t>diagnostic</w:t>
      </w:r>
      <w:r>
        <w:rPr>
          <w:spacing w:val="-4"/>
          <w:sz w:val="24"/>
        </w:rPr>
        <w:t> </w:t>
      </w:r>
      <w:r>
        <w:rPr>
          <w:sz w:val="24"/>
        </w:rPr>
        <w:t>evaluations</w:t>
      </w:r>
      <w:r>
        <w:rPr>
          <w:spacing w:val="-3"/>
          <w:sz w:val="24"/>
        </w:rPr>
        <w:t> </w:t>
      </w:r>
      <w:r>
        <w:rPr>
          <w:sz w:val="24"/>
        </w:rPr>
        <w:t>may</w:t>
      </w:r>
      <w:r>
        <w:rPr>
          <w:spacing w:val="-4"/>
          <w:sz w:val="24"/>
        </w:rPr>
        <w:t> </w:t>
      </w:r>
      <w:r>
        <w:rPr>
          <w:sz w:val="24"/>
        </w:rPr>
        <w:t>be</w:t>
      </w:r>
      <w:r>
        <w:rPr>
          <w:spacing w:val="-4"/>
          <w:sz w:val="24"/>
        </w:rPr>
        <w:t> </w:t>
      </w:r>
      <w:r>
        <w:rPr>
          <w:sz w:val="24"/>
        </w:rPr>
        <w:t>purchased</w:t>
      </w:r>
      <w:r>
        <w:rPr>
          <w:spacing w:val="-4"/>
          <w:sz w:val="24"/>
        </w:rPr>
        <w:t> </w:t>
      </w:r>
      <w:r>
        <w:rPr>
          <w:sz w:val="24"/>
        </w:rPr>
        <w:t>at</w:t>
      </w:r>
      <w:r>
        <w:rPr>
          <w:spacing w:val="-5"/>
          <w:sz w:val="24"/>
        </w:rPr>
        <w:t> </w:t>
      </w:r>
      <w:r>
        <w:rPr>
          <w:sz w:val="24"/>
        </w:rPr>
        <w:t>any</w:t>
      </w:r>
      <w:r>
        <w:rPr>
          <w:spacing w:val="-4"/>
          <w:sz w:val="24"/>
        </w:rPr>
        <w:t> </w:t>
      </w:r>
      <w:r>
        <w:rPr>
          <w:sz w:val="24"/>
        </w:rPr>
        <w:t>time</w:t>
      </w:r>
      <w:r>
        <w:rPr>
          <w:spacing w:val="-4"/>
          <w:sz w:val="24"/>
        </w:rPr>
        <w:t> </w:t>
      </w:r>
      <w:r>
        <w:rPr>
          <w:sz w:val="24"/>
        </w:rPr>
        <w:t>during</w:t>
      </w:r>
      <w:r>
        <w:rPr>
          <w:spacing w:val="-4"/>
          <w:sz w:val="24"/>
        </w:rPr>
        <w:t> </w:t>
      </w:r>
      <w:r>
        <w:rPr>
          <w:sz w:val="24"/>
        </w:rPr>
        <w:t>the life of the case.</w:t>
      </w:r>
    </w:p>
    <w:p>
      <w:pPr>
        <w:pStyle w:val="ListParagraph"/>
        <w:numPr>
          <w:ilvl w:val="0"/>
          <w:numId w:val="122"/>
        </w:numPr>
        <w:tabs>
          <w:tab w:pos="785" w:val="left" w:leader="none"/>
        </w:tabs>
        <w:spacing w:line="208" w:lineRule="auto" w:before="240" w:after="0"/>
        <w:ind w:left="360" w:right="1059" w:firstLine="0"/>
        <w:jc w:val="left"/>
        <w:rPr>
          <w:sz w:val="24"/>
        </w:rPr>
      </w:pPr>
      <w:r>
        <w:rPr>
          <w:sz w:val="24"/>
        </w:rPr>
        <w:t>If</w:t>
      </w:r>
      <w:r>
        <w:rPr>
          <w:spacing w:val="-4"/>
          <w:sz w:val="24"/>
        </w:rPr>
        <w:t> </w:t>
      </w:r>
      <w:r>
        <w:rPr>
          <w:sz w:val="24"/>
        </w:rPr>
        <w:t>an</w:t>
      </w:r>
      <w:r>
        <w:rPr>
          <w:spacing w:val="-3"/>
          <w:sz w:val="24"/>
        </w:rPr>
        <w:t> </w:t>
      </w:r>
      <w:r>
        <w:rPr>
          <w:sz w:val="24"/>
        </w:rPr>
        <w:t>individual</w:t>
      </w:r>
      <w:r>
        <w:rPr>
          <w:spacing w:val="-3"/>
          <w:sz w:val="24"/>
        </w:rPr>
        <w:t> </w:t>
      </w:r>
      <w:r>
        <w:rPr>
          <w:sz w:val="24"/>
        </w:rPr>
        <w:t>is</w:t>
      </w:r>
      <w:r>
        <w:rPr>
          <w:spacing w:val="-2"/>
          <w:sz w:val="24"/>
        </w:rPr>
        <w:t> </w:t>
      </w:r>
      <w:r>
        <w:rPr>
          <w:sz w:val="24"/>
        </w:rPr>
        <w:t>determined</w:t>
      </w:r>
      <w:r>
        <w:rPr>
          <w:spacing w:val="-2"/>
          <w:sz w:val="24"/>
        </w:rPr>
        <w:t> </w:t>
      </w:r>
      <w:r>
        <w:rPr>
          <w:sz w:val="24"/>
        </w:rPr>
        <w:t>eligible,</w:t>
      </w:r>
      <w:r>
        <w:rPr>
          <w:spacing w:val="-2"/>
          <w:sz w:val="24"/>
        </w:rPr>
        <w:t> </w:t>
      </w:r>
      <w:r>
        <w:rPr>
          <w:sz w:val="24"/>
        </w:rPr>
        <w:t>the</w:t>
      </w:r>
      <w:r>
        <w:rPr>
          <w:spacing w:val="-3"/>
          <w:sz w:val="24"/>
        </w:rPr>
        <w:t> </w:t>
      </w:r>
      <w:r>
        <w:rPr>
          <w:sz w:val="24"/>
        </w:rPr>
        <w:t>VR</w:t>
      </w:r>
      <w:r>
        <w:rPr>
          <w:spacing w:val="-3"/>
          <w:sz w:val="24"/>
        </w:rPr>
        <w:t> </w:t>
      </w:r>
      <w:r>
        <w:rPr>
          <w:sz w:val="24"/>
        </w:rPr>
        <w:t>counselor</w:t>
      </w:r>
      <w:r>
        <w:rPr>
          <w:spacing w:val="-2"/>
          <w:sz w:val="24"/>
        </w:rPr>
        <w:t> </w:t>
      </w:r>
      <w:r>
        <w:rPr>
          <w:sz w:val="24"/>
        </w:rPr>
        <w:t>will</w:t>
      </w:r>
      <w:r>
        <w:rPr>
          <w:spacing w:val="-3"/>
          <w:sz w:val="24"/>
        </w:rPr>
        <w:t> </w:t>
      </w:r>
      <w:r>
        <w:rPr>
          <w:sz w:val="24"/>
        </w:rPr>
        <w:t>notify</w:t>
      </w:r>
      <w:r>
        <w:rPr>
          <w:spacing w:val="-3"/>
          <w:sz w:val="24"/>
        </w:rPr>
        <w:t> </w:t>
      </w:r>
      <w:r>
        <w:rPr>
          <w:sz w:val="24"/>
        </w:rPr>
        <w:t>the</w:t>
      </w:r>
      <w:r>
        <w:rPr>
          <w:spacing w:val="-3"/>
          <w:sz w:val="24"/>
        </w:rPr>
        <w:t> </w:t>
      </w:r>
      <w:r>
        <w:rPr>
          <w:sz w:val="24"/>
        </w:rPr>
        <w:t>individual</w:t>
      </w:r>
      <w:r>
        <w:rPr>
          <w:spacing w:val="-3"/>
          <w:sz w:val="24"/>
        </w:rPr>
        <w:t> </w:t>
      </w:r>
      <w:r>
        <w:rPr>
          <w:sz w:val="24"/>
        </w:rPr>
        <w:t>in writing. If the individual is determined to be ineligible, the counselor will notify the</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right="775"/>
        <w:rPr>
          <w:b/>
        </w:rPr>
      </w:pPr>
      <w:r>
        <w:rPr/>
        <w:t>applicant</w:t>
      </w:r>
      <w:r>
        <w:rPr>
          <w:spacing w:val="-3"/>
        </w:rPr>
        <w:t> </w:t>
      </w:r>
      <w:r>
        <w:rPr/>
        <w:t>and</w:t>
      </w:r>
      <w:r>
        <w:rPr>
          <w:spacing w:val="-4"/>
        </w:rPr>
        <w:t> </w:t>
      </w:r>
      <w:r>
        <w:rPr/>
        <w:t>provide</w:t>
      </w:r>
      <w:r>
        <w:rPr>
          <w:spacing w:val="-3"/>
        </w:rPr>
        <w:t> </w:t>
      </w:r>
      <w:r>
        <w:rPr/>
        <w:t>information</w:t>
      </w:r>
      <w:r>
        <w:rPr>
          <w:spacing w:val="-4"/>
        </w:rPr>
        <w:t> </w:t>
      </w:r>
      <w:r>
        <w:rPr/>
        <w:t>on</w:t>
      </w:r>
      <w:r>
        <w:rPr>
          <w:spacing w:val="-4"/>
        </w:rPr>
        <w:t> </w:t>
      </w:r>
      <w:r>
        <w:rPr/>
        <w:t>further</w:t>
      </w:r>
      <w:r>
        <w:rPr>
          <w:spacing w:val="-6"/>
        </w:rPr>
        <w:t> </w:t>
      </w:r>
      <w:r>
        <w:rPr/>
        <w:t>options</w:t>
      </w:r>
      <w:r>
        <w:rPr>
          <w:spacing w:val="-4"/>
        </w:rPr>
        <w:t> </w:t>
      </w:r>
      <w:r>
        <w:rPr/>
        <w:t>in</w:t>
      </w:r>
      <w:r>
        <w:rPr>
          <w:spacing w:val="-4"/>
        </w:rPr>
        <w:t> </w:t>
      </w:r>
      <w:r>
        <w:rPr/>
        <w:t>accordance</w:t>
      </w:r>
      <w:r>
        <w:rPr>
          <w:spacing w:val="-4"/>
        </w:rPr>
        <w:t> </w:t>
      </w:r>
      <w:r>
        <w:rPr/>
        <w:t>with</w:t>
      </w:r>
      <w:r>
        <w:rPr>
          <w:spacing w:val="-4"/>
        </w:rPr>
        <w:t> </w:t>
      </w:r>
      <w:r>
        <w:rPr/>
        <w:t>DRS</w:t>
      </w:r>
      <w:r>
        <w:rPr>
          <w:spacing w:val="-4"/>
        </w:rPr>
        <w:t> </w:t>
      </w:r>
      <w:r>
        <w:rPr/>
        <w:t>policy</w:t>
      </w:r>
      <w:r>
        <w:rPr>
          <w:spacing w:val="-4"/>
        </w:rPr>
        <w:t> </w:t>
      </w:r>
      <w:r>
        <w:rPr/>
        <w:t>on ineligibility decisions. </w:t>
      </w:r>
      <w:r>
        <w:rPr>
          <w:b/>
        </w:rPr>
        <w:t>3</w:t>
      </w:r>
    </w:p>
    <w:p>
      <w:pPr>
        <w:pStyle w:val="ListParagraph"/>
        <w:numPr>
          <w:ilvl w:val="0"/>
          <w:numId w:val="122"/>
        </w:numPr>
        <w:tabs>
          <w:tab w:pos="706" w:val="left" w:leader="none"/>
        </w:tabs>
        <w:spacing w:line="208" w:lineRule="auto" w:before="240" w:after="0"/>
        <w:ind w:left="360" w:right="728" w:firstLine="0"/>
        <w:jc w:val="left"/>
        <w:rPr>
          <w:sz w:val="24"/>
        </w:rPr>
      </w:pPr>
      <w:r>
        <w:rPr>
          <w:sz w:val="24"/>
        </w:rPr>
        <w:t>Eligibility for supported employment.</w:t>
      </w:r>
      <w:r>
        <w:rPr>
          <w:spacing w:val="40"/>
          <w:sz w:val="24"/>
        </w:rPr>
        <w:t> </w:t>
      </w:r>
      <w:r>
        <w:rPr>
          <w:sz w:val="24"/>
        </w:rPr>
        <w:t>The counselor may not find an individual ineligible</w:t>
      </w:r>
      <w:r>
        <w:rPr>
          <w:spacing w:val="-5"/>
          <w:sz w:val="24"/>
        </w:rPr>
        <w:t> </w:t>
      </w:r>
      <w:r>
        <w:rPr>
          <w:sz w:val="24"/>
        </w:rPr>
        <w:t>for</w:t>
      </w:r>
      <w:r>
        <w:rPr>
          <w:spacing w:val="-4"/>
          <w:sz w:val="24"/>
        </w:rPr>
        <w:t> </w:t>
      </w:r>
      <w:r>
        <w:rPr>
          <w:sz w:val="24"/>
        </w:rPr>
        <w:t>supported</w:t>
      </w:r>
      <w:r>
        <w:rPr>
          <w:spacing w:val="-5"/>
          <w:sz w:val="24"/>
        </w:rPr>
        <w:t> </w:t>
      </w:r>
      <w:r>
        <w:rPr>
          <w:sz w:val="24"/>
        </w:rPr>
        <w:t>employment</w:t>
      </w:r>
      <w:r>
        <w:rPr>
          <w:spacing w:val="-4"/>
          <w:sz w:val="24"/>
        </w:rPr>
        <w:t> </w:t>
      </w:r>
      <w:r>
        <w:rPr>
          <w:sz w:val="24"/>
        </w:rPr>
        <w:t>services</w:t>
      </w:r>
      <w:r>
        <w:rPr>
          <w:spacing w:val="-6"/>
          <w:sz w:val="24"/>
        </w:rPr>
        <w:t> </w:t>
      </w:r>
      <w:r>
        <w:rPr>
          <w:sz w:val="24"/>
        </w:rPr>
        <w:t>because</w:t>
      </w:r>
      <w:r>
        <w:rPr>
          <w:spacing w:val="-5"/>
          <w:sz w:val="24"/>
        </w:rPr>
        <w:t> </w:t>
      </w:r>
      <w:r>
        <w:rPr>
          <w:sz w:val="24"/>
        </w:rPr>
        <w:t>a</w:t>
      </w:r>
      <w:r>
        <w:rPr>
          <w:spacing w:val="-5"/>
          <w:sz w:val="24"/>
        </w:rPr>
        <w:t> </w:t>
      </w:r>
      <w:r>
        <w:rPr>
          <w:sz w:val="24"/>
        </w:rPr>
        <w:t>resource</w:t>
      </w:r>
      <w:r>
        <w:rPr>
          <w:spacing w:val="-5"/>
          <w:sz w:val="24"/>
        </w:rPr>
        <w:t> </w:t>
      </w:r>
      <w:r>
        <w:rPr>
          <w:sz w:val="24"/>
        </w:rPr>
        <w:t>for</w:t>
      </w:r>
      <w:r>
        <w:rPr>
          <w:spacing w:val="-4"/>
          <w:sz w:val="24"/>
        </w:rPr>
        <w:t> </w:t>
      </w:r>
      <w:r>
        <w:rPr>
          <w:sz w:val="24"/>
        </w:rPr>
        <w:t>providing</w:t>
      </w:r>
      <w:r>
        <w:rPr>
          <w:spacing w:val="-5"/>
          <w:sz w:val="24"/>
        </w:rPr>
        <w:t> </w:t>
      </w:r>
      <w:r>
        <w:rPr>
          <w:sz w:val="24"/>
        </w:rPr>
        <w:t>extended services cannot be identified.</w:t>
      </w:r>
      <w:r>
        <w:rPr>
          <w:spacing w:val="40"/>
          <w:sz w:val="24"/>
        </w:rPr>
        <w:t> </w:t>
      </w:r>
      <w:r>
        <w:rPr>
          <w:sz w:val="24"/>
        </w:rPr>
        <w:t>In this instance, the counselor will:</w:t>
      </w:r>
    </w:p>
    <w:p>
      <w:pPr>
        <w:pStyle w:val="ListParagraph"/>
        <w:numPr>
          <w:ilvl w:val="1"/>
          <w:numId w:val="122"/>
        </w:numPr>
        <w:tabs>
          <w:tab w:pos="1217" w:val="left" w:leader="none"/>
        </w:tabs>
        <w:spacing w:line="240" w:lineRule="auto" w:before="210" w:after="0"/>
        <w:ind w:left="1217" w:right="0" w:hanging="426"/>
        <w:jc w:val="left"/>
        <w:rPr>
          <w:sz w:val="24"/>
        </w:rPr>
      </w:pPr>
      <w:r>
        <w:rPr>
          <w:sz w:val="24"/>
        </w:rPr>
        <w:t>accept</w:t>
      </w:r>
      <w:r>
        <w:rPr>
          <w:spacing w:val="-5"/>
          <w:sz w:val="24"/>
        </w:rPr>
        <w:t> </w:t>
      </w:r>
      <w:r>
        <w:rPr>
          <w:sz w:val="24"/>
        </w:rPr>
        <w:t>the</w:t>
      </w:r>
      <w:r>
        <w:rPr>
          <w:spacing w:val="-3"/>
          <w:sz w:val="24"/>
        </w:rPr>
        <w:t> </w:t>
      </w:r>
      <w:r>
        <w:rPr>
          <w:sz w:val="24"/>
        </w:rPr>
        <w:t>individual</w:t>
      </w:r>
      <w:r>
        <w:rPr>
          <w:spacing w:val="-2"/>
          <w:sz w:val="24"/>
        </w:rPr>
        <w:t> </w:t>
      </w:r>
      <w:r>
        <w:rPr>
          <w:sz w:val="24"/>
        </w:rPr>
        <w:t>as</w:t>
      </w:r>
      <w:r>
        <w:rPr>
          <w:spacing w:val="-3"/>
          <w:sz w:val="24"/>
        </w:rPr>
        <w:t> </w:t>
      </w:r>
      <w:r>
        <w:rPr>
          <w:sz w:val="24"/>
        </w:rPr>
        <w:t>eligible</w:t>
      </w:r>
      <w:r>
        <w:rPr>
          <w:spacing w:val="-2"/>
          <w:sz w:val="24"/>
        </w:rPr>
        <w:t> </w:t>
      </w:r>
      <w:r>
        <w:rPr>
          <w:sz w:val="24"/>
        </w:rPr>
        <w:t>for</w:t>
      </w:r>
      <w:r>
        <w:rPr>
          <w:spacing w:val="-2"/>
          <w:sz w:val="24"/>
        </w:rPr>
        <w:t> </w:t>
      </w:r>
      <w:r>
        <w:rPr>
          <w:sz w:val="24"/>
        </w:rPr>
        <w:t>VR</w:t>
      </w:r>
      <w:r>
        <w:rPr>
          <w:spacing w:val="-2"/>
          <w:sz w:val="24"/>
        </w:rPr>
        <w:t> services;</w:t>
      </w:r>
    </w:p>
    <w:p>
      <w:pPr>
        <w:pStyle w:val="ListParagraph"/>
        <w:numPr>
          <w:ilvl w:val="1"/>
          <w:numId w:val="122"/>
        </w:numPr>
        <w:tabs>
          <w:tab w:pos="1218" w:val="left" w:leader="none"/>
        </w:tabs>
        <w:spacing w:line="208" w:lineRule="auto" w:before="233" w:after="0"/>
        <w:ind w:left="792" w:right="801" w:firstLine="0"/>
        <w:jc w:val="both"/>
        <w:rPr>
          <w:sz w:val="24"/>
        </w:rPr>
      </w:pPr>
      <w:r>
        <w:rPr>
          <w:sz w:val="24"/>
        </w:rPr>
        <w:t>plan</w:t>
      </w:r>
      <w:r>
        <w:rPr>
          <w:spacing w:val="-4"/>
          <w:sz w:val="24"/>
        </w:rPr>
        <w:t> </w:t>
      </w:r>
      <w:r>
        <w:rPr>
          <w:sz w:val="24"/>
        </w:rPr>
        <w:t>VR</w:t>
      </w:r>
      <w:r>
        <w:rPr>
          <w:spacing w:val="-4"/>
          <w:sz w:val="24"/>
        </w:rPr>
        <w:t> </w:t>
      </w:r>
      <w:r>
        <w:rPr>
          <w:sz w:val="24"/>
        </w:rPr>
        <w:t>services</w:t>
      </w:r>
      <w:r>
        <w:rPr>
          <w:spacing w:val="-4"/>
          <w:sz w:val="24"/>
        </w:rPr>
        <w:t> </w:t>
      </w:r>
      <w:r>
        <w:rPr>
          <w:sz w:val="24"/>
        </w:rPr>
        <w:t>as</w:t>
      </w:r>
      <w:r>
        <w:rPr>
          <w:spacing w:val="-4"/>
          <w:sz w:val="24"/>
        </w:rPr>
        <w:t> </w:t>
      </w:r>
      <w:r>
        <w:rPr>
          <w:sz w:val="24"/>
        </w:rPr>
        <w:t>appropriate,</w:t>
      </w:r>
      <w:r>
        <w:rPr>
          <w:spacing w:val="-3"/>
          <w:sz w:val="24"/>
        </w:rPr>
        <w:t> </w:t>
      </w:r>
      <w:r>
        <w:rPr>
          <w:sz w:val="24"/>
        </w:rPr>
        <w:t>including</w:t>
      </w:r>
      <w:r>
        <w:rPr>
          <w:spacing w:val="-4"/>
          <w:sz w:val="24"/>
        </w:rPr>
        <w:t> </w:t>
      </w:r>
      <w:r>
        <w:rPr>
          <w:sz w:val="24"/>
        </w:rPr>
        <w:t>the</w:t>
      </w:r>
      <w:r>
        <w:rPr>
          <w:spacing w:val="-4"/>
          <w:sz w:val="24"/>
        </w:rPr>
        <w:t> </w:t>
      </w:r>
      <w:r>
        <w:rPr>
          <w:sz w:val="24"/>
        </w:rPr>
        <w:t>expected</w:t>
      </w:r>
      <w:r>
        <w:rPr>
          <w:spacing w:val="-4"/>
          <w:sz w:val="24"/>
        </w:rPr>
        <w:t> </w:t>
      </w:r>
      <w:r>
        <w:rPr>
          <w:sz w:val="24"/>
        </w:rPr>
        <w:t>availability</w:t>
      </w:r>
      <w:r>
        <w:rPr>
          <w:spacing w:val="-4"/>
          <w:sz w:val="24"/>
        </w:rPr>
        <w:t> </w:t>
      </w:r>
      <w:r>
        <w:rPr>
          <w:sz w:val="24"/>
        </w:rPr>
        <w:t>of</w:t>
      </w:r>
      <w:r>
        <w:rPr>
          <w:spacing w:val="-3"/>
          <w:sz w:val="24"/>
        </w:rPr>
        <w:t> </w:t>
      </w:r>
      <w:r>
        <w:rPr>
          <w:sz w:val="24"/>
        </w:rPr>
        <w:t>extended services; and</w:t>
      </w:r>
    </w:p>
    <w:p>
      <w:pPr>
        <w:pStyle w:val="ListParagraph"/>
        <w:numPr>
          <w:ilvl w:val="1"/>
          <w:numId w:val="122"/>
        </w:numPr>
        <w:tabs>
          <w:tab w:pos="1218" w:val="left" w:leader="none"/>
        </w:tabs>
        <w:spacing w:line="417" w:lineRule="auto" w:before="211" w:after="0"/>
        <w:ind w:left="360" w:right="1225" w:firstLine="432"/>
        <w:jc w:val="both"/>
        <w:rPr>
          <w:sz w:val="24"/>
        </w:rPr>
      </w:pPr>
      <w:r>
        <w:rPr>
          <w:sz w:val="24"/>
        </w:rPr>
        <w:t>seek</w:t>
      </w:r>
      <w:r>
        <w:rPr>
          <w:spacing w:val="-4"/>
          <w:sz w:val="24"/>
        </w:rPr>
        <w:t> </w:t>
      </w:r>
      <w:r>
        <w:rPr>
          <w:sz w:val="24"/>
        </w:rPr>
        <w:t>out</w:t>
      </w:r>
      <w:r>
        <w:rPr>
          <w:spacing w:val="-3"/>
          <w:sz w:val="24"/>
        </w:rPr>
        <w:t> </w:t>
      </w:r>
      <w:r>
        <w:rPr>
          <w:sz w:val="24"/>
        </w:rPr>
        <w:t>and/or</w:t>
      </w:r>
      <w:r>
        <w:rPr>
          <w:spacing w:val="-3"/>
          <w:sz w:val="24"/>
        </w:rPr>
        <w:t> </w:t>
      </w:r>
      <w:r>
        <w:rPr>
          <w:sz w:val="24"/>
        </w:rPr>
        <w:t>help</w:t>
      </w:r>
      <w:r>
        <w:rPr>
          <w:spacing w:val="-4"/>
          <w:sz w:val="24"/>
        </w:rPr>
        <w:t> </w:t>
      </w:r>
      <w:r>
        <w:rPr>
          <w:sz w:val="24"/>
        </w:rPr>
        <w:t>in</w:t>
      </w:r>
      <w:r>
        <w:rPr>
          <w:spacing w:val="-4"/>
          <w:sz w:val="24"/>
        </w:rPr>
        <w:t> </w:t>
      </w:r>
      <w:r>
        <w:rPr>
          <w:sz w:val="24"/>
        </w:rPr>
        <w:t>developing</w:t>
      </w:r>
      <w:r>
        <w:rPr>
          <w:spacing w:val="-4"/>
          <w:sz w:val="24"/>
        </w:rPr>
        <w:t> </w:t>
      </w:r>
      <w:r>
        <w:rPr>
          <w:sz w:val="24"/>
        </w:rPr>
        <w:t>the</w:t>
      </w:r>
      <w:r>
        <w:rPr>
          <w:spacing w:val="-4"/>
          <w:sz w:val="24"/>
        </w:rPr>
        <w:t> </w:t>
      </w:r>
      <w:r>
        <w:rPr>
          <w:sz w:val="24"/>
        </w:rPr>
        <w:t>needed</w:t>
      </w:r>
      <w:r>
        <w:rPr>
          <w:spacing w:val="-4"/>
          <w:sz w:val="24"/>
        </w:rPr>
        <w:t> </w:t>
      </w:r>
      <w:r>
        <w:rPr>
          <w:sz w:val="24"/>
        </w:rPr>
        <w:t>extended</w:t>
      </w:r>
      <w:r>
        <w:rPr>
          <w:spacing w:val="-4"/>
          <w:sz w:val="24"/>
        </w:rPr>
        <w:t> </w:t>
      </w:r>
      <w:r>
        <w:rPr>
          <w:sz w:val="24"/>
        </w:rPr>
        <w:t>services</w:t>
      </w:r>
      <w:r>
        <w:rPr>
          <w:spacing w:val="-4"/>
          <w:sz w:val="24"/>
        </w:rPr>
        <w:t> </w:t>
      </w:r>
      <w:r>
        <w:rPr>
          <w:sz w:val="24"/>
        </w:rPr>
        <w:t>resource. Instructions to Staff</w:t>
      </w:r>
    </w:p>
    <w:p>
      <w:pPr>
        <w:pStyle w:val="ListParagraph"/>
        <w:numPr>
          <w:ilvl w:val="0"/>
          <w:numId w:val="123"/>
        </w:numPr>
        <w:tabs>
          <w:tab w:pos="1077" w:val="left" w:leader="none"/>
        </w:tabs>
        <w:spacing w:line="208" w:lineRule="auto" w:before="29" w:after="0"/>
        <w:ind w:left="791" w:right="837" w:firstLine="0"/>
        <w:jc w:val="both"/>
        <w:rPr>
          <w:sz w:val="24"/>
        </w:rPr>
      </w:pPr>
      <w:r>
        <w:rPr>
          <w:sz w:val="24"/>
        </w:rPr>
        <w:t>In</w:t>
      </w:r>
      <w:r>
        <w:rPr>
          <w:spacing w:val="-3"/>
          <w:sz w:val="24"/>
        </w:rPr>
        <w:t> </w:t>
      </w:r>
      <w:r>
        <w:rPr>
          <w:sz w:val="24"/>
        </w:rPr>
        <w:t>reviewing</w:t>
      </w:r>
      <w:r>
        <w:rPr>
          <w:spacing w:val="-3"/>
          <w:sz w:val="24"/>
        </w:rPr>
        <w:t> </w:t>
      </w:r>
      <w:r>
        <w:rPr>
          <w:sz w:val="24"/>
        </w:rPr>
        <w:t>existing</w:t>
      </w:r>
      <w:r>
        <w:rPr>
          <w:spacing w:val="-3"/>
          <w:sz w:val="24"/>
        </w:rPr>
        <w:t> </w:t>
      </w:r>
      <w:r>
        <w:rPr>
          <w:sz w:val="24"/>
        </w:rPr>
        <w:t>information</w:t>
      </w:r>
      <w:r>
        <w:rPr>
          <w:spacing w:val="-4"/>
          <w:sz w:val="24"/>
        </w:rPr>
        <w:t> </w:t>
      </w:r>
      <w:r>
        <w:rPr>
          <w:sz w:val="24"/>
        </w:rPr>
        <w:t>the</w:t>
      </w:r>
      <w:r>
        <w:rPr>
          <w:spacing w:val="-3"/>
          <w:sz w:val="24"/>
        </w:rPr>
        <w:t> </w:t>
      </w:r>
      <w:r>
        <w:rPr>
          <w:sz w:val="24"/>
        </w:rPr>
        <w:t>counselor</w:t>
      </w:r>
      <w:r>
        <w:rPr>
          <w:spacing w:val="-2"/>
          <w:sz w:val="24"/>
        </w:rPr>
        <w:t> </w:t>
      </w:r>
      <w:r>
        <w:rPr>
          <w:sz w:val="24"/>
        </w:rPr>
        <w:t>should</w:t>
      </w:r>
      <w:r>
        <w:rPr>
          <w:spacing w:val="-3"/>
          <w:sz w:val="24"/>
        </w:rPr>
        <w:t> </w:t>
      </w:r>
      <w:r>
        <w:rPr>
          <w:sz w:val="24"/>
        </w:rPr>
        <w:t>consider</w:t>
      </w:r>
      <w:r>
        <w:rPr>
          <w:spacing w:val="-2"/>
          <w:sz w:val="24"/>
        </w:rPr>
        <w:t> </w:t>
      </w:r>
      <w:r>
        <w:rPr>
          <w:sz w:val="24"/>
        </w:rPr>
        <w:t>if</w:t>
      </w:r>
      <w:r>
        <w:rPr>
          <w:spacing w:val="-2"/>
          <w:sz w:val="24"/>
        </w:rPr>
        <w:t> </w:t>
      </w:r>
      <w:r>
        <w:rPr>
          <w:sz w:val="24"/>
        </w:rPr>
        <w:t>the</w:t>
      </w:r>
      <w:r>
        <w:rPr>
          <w:spacing w:val="-3"/>
          <w:sz w:val="24"/>
        </w:rPr>
        <w:t> </w:t>
      </w:r>
      <w:r>
        <w:rPr>
          <w:sz w:val="24"/>
        </w:rPr>
        <w:t>information reflects</w:t>
      </w:r>
      <w:r>
        <w:rPr>
          <w:spacing w:val="-4"/>
          <w:sz w:val="24"/>
        </w:rPr>
        <w:t> </w:t>
      </w:r>
      <w:r>
        <w:rPr>
          <w:sz w:val="24"/>
        </w:rPr>
        <w:t>or</w:t>
      </w:r>
      <w:r>
        <w:rPr>
          <w:spacing w:val="-3"/>
          <w:sz w:val="24"/>
        </w:rPr>
        <w:t> </w:t>
      </w:r>
      <w:r>
        <w:rPr>
          <w:sz w:val="24"/>
        </w:rPr>
        <w:t>is</w:t>
      </w:r>
      <w:r>
        <w:rPr>
          <w:spacing w:val="-4"/>
          <w:sz w:val="24"/>
        </w:rPr>
        <w:t> </w:t>
      </w:r>
      <w:r>
        <w:rPr>
          <w:sz w:val="24"/>
        </w:rPr>
        <w:t>pertinent</w:t>
      </w:r>
      <w:r>
        <w:rPr>
          <w:spacing w:val="-5"/>
          <w:sz w:val="24"/>
        </w:rPr>
        <w:t> </w:t>
      </w:r>
      <w:r>
        <w:rPr>
          <w:sz w:val="24"/>
        </w:rPr>
        <w:t>to</w:t>
      </w:r>
      <w:r>
        <w:rPr>
          <w:spacing w:val="-4"/>
          <w:sz w:val="24"/>
        </w:rPr>
        <w:t> </w:t>
      </w:r>
      <w:r>
        <w:rPr>
          <w:sz w:val="24"/>
        </w:rPr>
        <w:t>the</w:t>
      </w:r>
      <w:r>
        <w:rPr>
          <w:spacing w:val="-4"/>
          <w:sz w:val="24"/>
        </w:rPr>
        <w:t> </w:t>
      </w:r>
      <w:r>
        <w:rPr>
          <w:sz w:val="24"/>
        </w:rPr>
        <w:t>applicant's</w:t>
      </w:r>
      <w:r>
        <w:rPr>
          <w:spacing w:val="-4"/>
          <w:sz w:val="24"/>
        </w:rPr>
        <w:t> </w:t>
      </w:r>
      <w:r>
        <w:rPr>
          <w:sz w:val="24"/>
        </w:rPr>
        <w:t>current</w:t>
      </w:r>
      <w:r>
        <w:rPr>
          <w:spacing w:val="-3"/>
          <w:sz w:val="24"/>
        </w:rPr>
        <w:t> </w:t>
      </w:r>
      <w:r>
        <w:rPr>
          <w:sz w:val="24"/>
        </w:rPr>
        <w:t>physical</w:t>
      </w:r>
      <w:r>
        <w:rPr>
          <w:spacing w:val="-4"/>
          <w:sz w:val="24"/>
        </w:rPr>
        <w:t> </w:t>
      </w:r>
      <w:r>
        <w:rPr>
          <w:sz w:val="24"/>
        </w:rPr>
        <w:t>or</w:t>
      </w:r>
      <w:r>
        <w:rPr>
          <w:spacing w:val="-3"/>
          <w:sz w:val="24"/>
        </w:rPr>
        <w:t> </w:t>
      </w:r>
      <w:r>
        <w:rPr>
          <w:sz w:val="24"/>
        </w:rPr>
        <w:t>mental</w:t>
      </w:r>
      <w:r>
        <w:rPr>
          <w:spacing w:val="-6"/>
          <w:sz w:val="24"/>
        </w:rPr>
        <w:t> </w:t>
      </w:r>
      <w:r>
        <w:rPr>
          <w:sz w:val="24"/>
        </w:rPr>
        <w:t>impairments</w:t>
      </w:r>
      <w:r>
        <w:rPr>
          <w:spacing w:val="-4"/>
          <w:sz w:val="24"/>
        </w:rPr>
        <w:t> </w:t>
      </w:r>
      <w:r>
        <w:rPr>
          <w:sz w:val="24"/>
        </w:rPr>
        <w:t>and the extent to which they pose a substantial impediment to employment.</w:t>
      </w:r>
    </w:p>
    <w:p>
      <w:pPr>
        <w:pStyle w:val="ListParagraph"/>
        <w:numPr>
          <w:ilvl w:val="0"/>
          <w:numId w:val="123"/>
        </w:numPr>
        <w:tabs>
          <w:tab w:pos="1077" w:val="left" w:leader="none"/>
        </w:tabs>
        <w:spacing w:line="240" w:lineRule="auto" w:before="210" w:after="0"/>
        <w:ind w:left="1077" w:right="0" w:hanging="286"/>
        <w:jc w:val="left"/>
        <w:rPr>
          <w:sz w:val="24"/>
        </w:rPr>
      </w:pPr>
      <w:r>
        <w:rPr>
          <w:sz w:val="24"/>
        </w:rPr>
        <w:t>Link</w:t>
      </w:r>
      <w:r>
        <w:rPr>
          <w:spacing w:val="-2"/>
          <w:sz w:val="24"/>
        </w:rPr>
        <w:t> </w:t>
      </w:r>
      <w:r>
        <w:rPr>
          <w:sz w:val="24"/>
        </w:rPr>
        <w:t>to</w:t>
      </w:r>
      <w:r>
        <w:rPr>
          <w:spacing w:val="-1"/>
          <w:sz w:val="24"/>
        </w:rPr>
        <w:t> </w:t>
      </w:r>
      <w:hyperlink r:id="rId41">
        <w:r>
          <w:rPr>
            <w:color w:val="0000FF"/>
            <w:sz w:val="24"/>
            <w:u w:val="single" w:color="0000FF"/>
          </w:rPr>
          <w:t>34</w:t>
        </w:r>
        <w:r>
          <w:rPr>
            <w:color w:val="0000FF"/>
            <w:spacing w:val="-2"/>
            <w:sz w:val="24"/>
            <w:u w:val="single" w:color="0000FF"/>
          </w:rPr>
          <w:t> </w:t>
        </w:r>
        <w:r>
          <w:rPr>
            <w:color w:val="0000FF"/>
            <w:sz w:val="24"/>
            <w:u w:val="single" w:color="0000FF"/>
          </w:rPr>
          <w:t>CFR</w:t>
        </w:r>
        <w:r>
          <w:rPr>
            <w:color w:val="0000FF"/>
            <w:spacing w:val="-1"/>
            <w:sz w:val="24"/>
            <w:u w:val="single" w:color="0000FF"/>
          </w:rPr>
          <w:t> </w:t>
        </w:r>
        <w:r>
          <w:rPr>
            <w:color w:val="0000FF"/>
            <w:spacing w:val="-2"/>
            <w:sz w:val="24"/>
            <w:u w:val="single" w:color="0000FF"/>
          </w:rPr>
          <w:t>361.42(d)</w:t>
        </w:r>
      </w:hyperlink>
      <w:r>
        <w:rPr>
          <w:spacing w:val="-2"/>
          <w:sz w:val="24"/>
          <w:u w:val="none"/>
        </w:rPr>
        <w:t>.</w:t>
      </w:r>
    </w:p>
    <w:p>
      <w:pPr>
        <w:pStyle w:val="ListParagraph"/>
        <w:numPr>
          <w:ilvl w:val="0"/>
          <w:numId w:val="123"/>
        </w:numPr>
        <w:tabs>
          <w:tab w:pos="1078" w:val="left" w:leader="none"/>
        </w:tabs>
        <w:spacing w:line="417" w:lineRule="auto" w:before="204" w:after="0"/>
        <w:ind w:left="360" w:right="4811" w:firstLine="432"/>
        <w:jc w:val="left"/>
        <w:rPr>
          <w:sz w:val="24"/>
        </w:rPr>
      </w:pPr>
      <w:r>
        <w:rPr>
          <w:sz w:val="24"/>
        </w:rPr>
        <w:t>See</w:t>
      </w:r>
      <w:r>
        <w:rPr>
          <w:spacing w:val="40"/>
          <w:sz w:val="24"/>
        </w:rPr>
        <w:t> </w:t>
      </w:r>
      <w:hyperlink w:history="true" w:anchor="_bookmark11">
        <w:r>
          <w:rPr>
            <w:color w:val="0000FF"/>
            <w:sz w:val="24"/>
            <w:u w:val="single" w:color="0000FF"/>
          </w:rPr>
          <w:t>612:10-7-24.3</w:t>
        </w:r>
      </w:hyperlink>
      <w:r>
        <w:rPr>
          <w:color w:val="0000FF"/>
          <w:spacing w:val="-8"/>
          <w:sz w:val="24"/>
          <w:u w:val="single" w:color="0000FF"/>
        </w:rPr>
        <w:t> </w:t>
      </w:r>
      <w:r>
        <w:rPr>
          <w:color w:val="0000FF"/>
          <w:sz w:val="24"/>
          <w:u w:val="single" w:color="0000FF"/>
        </w:rPr>
        <w:t>Trial</w:t>
      </w:r>
      <w:r>
        <w:rPr>
          <w:color w:val="0000FF"/>
          <w:spacing w:val="-8"/>
          <w:sz w:val="24"/>
          <w:u w:val="single" w:color="0000FF"/>
        </w:rPr>
        <w:t> </w:t>
      </w:r>
      <w:r>
        <w:rPr>
          <w:color w:val="0000FF"/>
          <w:sz w:val="24"/>
          <w:u w:val="single" w:color="0000FF"/>
        </w:rPr>
        <w:t>Work</w:t>
      </w:r>
      <w:r>
        <w:rPr>
          <w:color w:val="0000FF"/>
          <w:spacing w:val="-8"/>
          <w:sz w:val="24"/>
          <w:u w:val="single" w:color="0000FF"/>
        </w:rPr>
        <w:t> </w:t>
      </w:r>
      <w:r>
        <w:rPr>
          <w:color w:val="0000FF"/>
          <w:sz w:val="24"/>
          <w:u w:val="single" w:color="0000FF"/>
        </w:rPr>
        <w:t>Experience</w:t>
      </w:r>
      <w:r>
        <w:rPr>
          <w:sz w:val="24"/>
          <w:u w:val="none"/>
        </w:rPr>
        <w:t>. Section History</w:t>
      </w:r>
    </w:p>
    <w:p>
      <w:pPr>
        <w:tabs>
          <w:tab w:pos="1439" w:val="left" w:leader="none"/>
        </w:tabs>
        <w:spacing w:before="33"/>
        <w:ind w:left="360" w:right="0" w:firstLine="0"/>
        <w:jc w:val="left"/>
        <w:rPr>
          <w:sz w:val="22"/>
        </w:rPr>
      </w:pPr>
      <w:r>
        <w:rPr>
          <w:spacing w:val="-2"/>
          <w:sz w:val="22"/>
        </w:rPr>
        <w:t>7-1-</w:t>
      </w:r>
      <w:r>
        <w:rPr>
          <w:spacing w:val="-5"/>
          <w:sz w:val="22"/>
        </w:rPr>
        <w:t>11</w:t>
      </w:r>
      <w:r>
        <w:rPr>
          <w:sz w:val="22"/>
        </w:rPr>
        <w:tab/>
        <w:t>PT</w:t>
      </w:r>
      <w:r>
        <w:rPr>
          <w:spacing w:val="-8"/>
          <w:sz w:val="22"/>
        </w:rPr>
        <w:t> </w:t>
      </w:r>
      <w:r>
        <w:rPr>
          <w:sz w:val="22"/>
        </w:rPr>
        <w:t>Memo</w:t>
      </w:r>
      <w:r>
        <w:rPr>
          <w:spacing w:val="-8"/>
          <w:sz w:val="22"/>
        </w:rPr>
        <w:t> </w:t>
      </w:r>
      <w:r>
        <w:rPr>
          <w:sz w:val="22"/>
        </w:rPr>
        <w:t>#12-</w:t>
      </w:r>
      <w:r>
        <w:rPr>
          <w:spacing w:val="-5"/>
          <w:sz w:val="22"/>
        </w:rPr>
        <w:t>01</w:t>
      </w:r>
    </w:p>
    <w:p>
      <w:pPr>
        <w:spacing w:line="253" w:lineRule="exact" w:before="0"/>
        <w:ind w:left="1439" w:right="0" w:firstLine="0"/>
        <w:jc w:val="left"/>
        <w:rPr>
          <w:sz w:val="22"/>
        </w:rPr>
      </w:pPr>
      <w:r>
        <w:rPr>
          <w:sz w:val="22"/>
        </w:rPr>
        <w:t>Permanent,</w:t>
      </w:r>
      <w:r>
        <w:rPr>
          <w:spacing w:val="-5"/>
          <w:sz w:val="22"/>
        </w:rPr>
        <w:t> </w:t>
      </w:r>
      <w:r>
        <w:rPr>
          <w:sz w:val="22"/>
        </w:rPr>
        <w:t>new,</w:t>
      </w:r>
      <w:r>
        <w:rPr>
          <w:spacing w:val="-6"/>
          <w:sz w:val="22"/>
        </w:rPr>
        <w:t> </w:t>
      </w:r>
      <w:r>
        <w:rPr>
          <w:sz w:val="22"/>
        </w:rPr>
        <w:t>moved</w:t>
      </w:r>
      <w:r>
        <w:rPr>
          <w:spacing w:val="-6"/>
          <w:sz w:val="22"/>
        </w:rPr>
        <w:t> </w:t>
      </w:r>
      <w:r>
        <w:rPr>
          <w:sz w:val="22"/>
        </w:rPr>
        <w:t>to</w:t>
      </w:r>
      <w:r>
        <w:rPr>
          <w:spacing w:val="-6"/>
          <w:sz w:val="22"/>
        </w:rPr>
        <w:t> </w:t>
      </w:r>
      <w:r>
        <w:rPr>
          <w:sz w:val="22"/>
        </w:rPr>
        <w:t>locate</w:t>
      </w:r>
      <w:r>
        <w:rPr>
          <w:spacing w:val="-6"/>
          <w:sz w:val="22"/>
        </w:rPr>
        <w:t> </w:t>
      </w:r>
      <w:r>
        <w:rPr>
          <w:sz w:val="22"/>
        </w:rPr>
        <w:t>it</w:t>
      </w:r>
      <w:r>
        <w:rPr>
          <w:spacing w:val="-8"/>
          <w:sz w:val="22"/>
        </w:rPr>
        <w:t> </w:t>
      </w:r>
      <w:r>
        <w:rPr>
          <w:sz w:val="22"/>
        </w:rPr>
        <w:t>sequentially</w:t>
      </w:r>
      <w:r>
        <w:rPr>
          <w:spacing w:val="-7"/>
          <w:sz w:val="22"/>
        </w:rPr>
        <w:t> </w:t>
      </w:r>
      <w:r>
        <w:rPr>
          <w:sz w:val="22"/>
        </w:rPr>
        <w:t>in</w:t>
      </w:r>
      <w:r>
        <w:rPr>
          <w:spacing w:val="-5"/>
          <w:sz w:val="22"/>
        </w:rPr>
        <w:t> </w:t>
      </w:r>
      <w:r>
        <w:rPr>
          <w:sz w:val="22"/>
        </w:rPr>
        <w:t>the</w:t>
      </w:r>
      <w:r>
        <w:rPr>
          <w:spacing w:val="-6"/>
          <w:sz w:val="22"/>
        </w:rPr>
        <w:t> </w:t>
      </w:r>
      <w:r>
        <w:rPr>
          <w:sz w:val="22"/>
        </w:rPr>
        <w:t>case</w:t>
      </w:r>
      <w:r>
        <w:rPr>
          <w:spacing w:val="-7"/>
          <w:sz w:val="22"/>
        </w:rPr>
        <w:t> </w:t>
      </w:r>
      <w:r>
        <w:rPr>
          <w:spacing w:val="-2"/>
          <w:sz w:val="22"/>
        </w:rPr>
        <w:t>process</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spacing w:line="228" w:lineRule="auto" w:before="0"/>
        <w:ind w:left="1439" w:right="775" w:firstLine="0"/>
        <w:jc w:val="left"/>
        <w:rPr>
          <w:sz w:val="22"/>
        </w:rPr>
      </w:pPr>
      <w:r>
        <w:rPr>
          <w:sz w:val="22"/>
        </w:rPr>
        <w:t>Updated</w:t>
      </w:r>
      <w:r>
        <w:rPr>
          <w:spacing w:val="-4"/>
          <w:sz w:val="22"/>
        </w:rPr>
        <w:t> </w:t>
      </w:r>
      <w:r>
        <w:rPr>
          <w:sz w:val="22"/>
        </w:rPr>
        <w:t>language</w:t>
      </w:r>
      <w:r>
        <w:rPr>
          <w:spacing w:val="-4"/>
          <w:sz w:val="22"/>
        </w:rPr>
        <w:t> </w:t>
      </w:r>
      <w:r>
        <w:rPr>
          <w:sz w:val="22"/>
        </w:rPr>
        <w:t>to</w:t>
      </w:r>
      <w:r>
        <w:rPr>
          <w:spacing w:val="-4"/>
          <w:sz w:val="22"/>
        </w:rPr>
        <w:t> </w:t>
      </w:r>
      <w:r>
        <w:rPr>
          <w:sz w:val="22"/>
        </w:rPr>
        <w:t>(d)</w:t>
      </w:r>
      <w:r>
        <w:rPr>
          <w:spacing w:val="-4"/>
          <w:sz w:val="22"/>
        </w:rPr>
        <w:t> </w:t>
      </w:r>
      <w:r>
        <w:rPr>
          <w:sz w:val="22"/>
        </w:rPr>
        <w:t>to</w:t>
      </w:r>
      <w:r>
        <w:rPr>
          <w:spacing w:val="-4"/>
          <w:sz w:val="22"/>
        </w:rPr>
        <w:t> </w:t>
      </w:r>
      <w:r>
        <w:rPr>
          <w:sz w:val="22"/>
        </w:rPr>
        <w:t>expedite</w:t>
      </w:r>
      <w:r>
        <w:rPr>
          <w:spacing w:val="-5"/>
          <w:sz w:val="22"/>
        </w:rPr>
        <w:t> </w:t>
      </w:r>
      <w:r>
        <w:rPr>
          <w:sz w:val="22"/>
        </w:rPr>
        <w:t>eligibility</w:t>
      </w:r>
      <w:r>
        <w:rPr>
          <w:spacing w:val="-4"/>
          <w:sz w:val="22"/>
        </w:rPr>
        <w:t> </w:t>
      </w:r>
      <w:r>
        <w:rPr>
          <w:sz w:val="22"/>
        </w:rPr>
        <w:t>determination</w:t>
      </w:r>
      <w:r>
        <w:rPr>
          <w:spacing w:val="-4"/>
          <w:sz w:val="22"/>
        </w:rPr>
        <w:t> </w:t>
      </w:r>
      <w:r>
        <w:rPr>
          <w:sz w:val="22"/>
        </w:rPr>
        <w:t>for</w:t>
      </w:r>
      <w:r>
        <w:rPr>
          <w:spacing w:val="-4"/>
          <w:sz w:val="22"/>
        </w:rPr>
        <w:t> </w:t>
      </w:r>
      <w:r>
        <w:rPr>
          <w:sz w:val="22"/>
        </w:rPr>
        <w:t>applicants</w:t>
      </w:r>
      <w:r>
        <w:rPr>
          <w:spacing w:val="-4"/>
          <w:sz w:val="22"/>
        </w:rPr>
        <w:t> </w:t>
      </w:r>
      <w:r>
        <w:rPr>
          <w:sz w:val="22"/>
        </w:rPr>
        <w:t>who</w:t>
      </w:r>
      <w:r>
        <w:rPr>
          <w:spacing w:val="-4"/>
          <w:sz w:val="22"/>
        </w:rPr>
        <w:t> </w:t>
      </w:r>
      <w:r>
        <w:rPr>
          <w:sz w:val="22"/>
        </w:rPr>
        <w:t>have been determined eligible for vocation rehabilitation services by an American Indian Vocation Rehabilitation Services Program.</w:t>
      </w:r>
      <w:r>
        <w:rPr>
          <w:spacing w:val="40"/>
          <w:sz w:val="22"/>
        </w:rPr>
        <w:t> </w:t>
      </w:r>
      <w:r>
        <w:rPr>
          <w:sz w:val="22"/>
        </w:rPr>
        <w:t>The Counselor will work cooperatively with the applicable American Indian VR Program to obtain pertinent diagnostic and other documentation to make eligibility decisions that are prompt and immediate.</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pStyle w:val="BodyText"/>
        <w:tabs>
          <w:tab w:pos="1439" w:val="left" w:leader="none"/>
        </w:tabs>
        <w:spacing w:before="0"/>
        <w:ind w:left="1440" w:right="727" w:hanging="1080"/>
      </w:pPr>
      <w:r>
        <w:rPr>
          <w:spacing w:val="-2"/>
          <w:sz w:val="22"/>
        </w:rPr>
        <w:t>9-11-22</w:t>
      </w:r>
      <w:r>
        <w:rPr>
          <w:sz w:val="22"/>
        </w:rPr>
        <w:tab/>
      </w:r>
      <w:r>
        <w:rPr/>
        <w:t>The</w:t>
      </w:r>
      <w:r>
        <w:rPr>
          <w:spacing w:val="-5"/>
        </w:rPr>
        <w:t> </w:t>
      </w:r>
      <w:r>
        <w:rPr/>
        <w:t>Qualified</w:t>
      </w:r>
      <w:r>
        <w:rPr>
          <w:spacing w:val="-5"/>
        </w:rPr>
        <w:t> </w:t>
      </w:r>
      <w:r>
        <w:rPr/>
        <w:t>Vocational</w:t>
      </w:r>
      <w:r>
        <w:rPr>
          <w:spacing w:val="-5"/>
        </w:rPr>
        <w:t> </w:t>
      </w:r>
      <w:r>
        <w:rPr/>
        <w:t>Rehabilitation</w:t>
      </w:r>
      <w:r>
        <w:rPr>
          <w:spacing w:val="-5"/>
        </w:rPr>
        <w:t> </w:t>
      </w:r>
      <w:r>
        <w:rPr/>
        <w:t>Counselor</w:t>
      </w:r>
      <w:r>
        <w:rPr>
          <w:spacing w:val="-4"/>
        </w:rPr>
        <w:t> </w:t>
      </w:r>
      <w:r>
        <w:rPr/>
        <w:t>(QVRC)</w:t>
      </w:r>
      <w:r>
        <w:rPr>
          <w:spacing w:val="-4"/>
        </w:rPr>
        <w:t> </w:t>
      </w:r>
      <w:r>
        <w:rPr/>
        <w:t>language</w:t>
      </w:r>
      <w:r>
        <w:rPr>
          <w:spacing w:val="-5"/>
        </w:rPr>
        <w:t> </w:t>
      </w:r>
      <w:r>
        <w:rPr/>
        <w:t>added</w:t>
      </w:r>
      <w:r>
        <w:rPr>
          <w:spacing w:val="-5"/>
        </w:rPr>
        <w:t> </w:t>
      </w:r>
      <w:r>
        <w:rPr/>
        <w:t>to section (b).</w:t>
      </w:r>
    </w:p>
    <w:p>
      <w:pPr>
        <w:pStyle w:val="BodyText"/>
        <w:spacing w:after="0"/>
        <w:sectPr>
          <w:pgSz w:w="12240" w:h="15840"/>
          <w:pgMar w:top="1340" w:bottom="280" w:left="1080" w:right="720"/>
        </w:sectPr>
      </w:pPr>
    </w:p>
    <w:p>
      <w:pPr>
        <w:pStyle w:val="Heading2"/>
      </w:pPr>
      <w:bookmarkStart w:name="612:10-7-24.3.  Trial Work Experience" w:id="129"/>
      <w:bookmarkEnd w:id="129"/>
      <w:r>
        <w:rPr>
          <w:b w:val="0"/>
        </w:rPr>
      </w:r>
      <w:r>
        <w:rPr/>
        <w:t>612:10-7-24.3.</w:t>
      </w:r>
      <w:r>
        <w:rPr>
          <w:spacing w:val="61"/>
        </w:rPr>
        <w:t> </w:t>
      </w:r>
      <w:r>
        <w:rPr/>
        <w:t>Trial</w:t>
      </w:r>
      <w:r>
        <w:rPr>
          <w:spacing w:val="-4"/>
        </w:rPr>
        <w:t> </w:t>
      </w:r>
      <w:r>
        <w:rPr/>
        <w:t>Work</w:t>
      </w:r>
      <w:r>
        <w:rPr>
          <w:spacing w:val="-3"/>
        </w:rPr>
        <w:t> </w:t>
      </w:r>
      <w:r>
        <w:rPr>
          <w:spacing w:val="-2"/>
        </w:rPr>
        <w:t>Experience</w:t>
      </w:r>
    </w:p>
    <w:p>
      <w:pPr>
        <w:pStyle w:val="ListParagraph"/>
        <w:numPr>
          <w:ilvl w:val="0"/>
          <w:numId w:val="124"/>
        </w:numPr>
        <w:tabs>
          <w:tab w:pos="786" w:val="left" w:leader="none"/>
        </w:tabs>
        <w:spacing w:line="208" w:lineRule="auto" w:before="233" w:after="0"/>
        <w:ind w:left="360" w:right="805" w:firstLine="0"/>
        <w:jc w:val="left"/>
        <w:rPr>
          <w:b/>
          <w:sz w:val="24"/>
        </w:rPr>
      </w:pPr>
      <w:r>
        <w:rPr>
          <w:b/>
          <w:sz w:val="24"/>
        </w:rPr>
        <w:t>Use</w:t>
      </w:r>
      <w:r>
        <w:rPr>
          <w:b/>
          <w:spacing w:val="-3"/>
          <w:sz w:val="24"/>
        </w:rPr>
        <w:t> </w:t>
      </w:r>
      <w:r>
        <w:rPr>
          <w:b/>
          <w:sz w:val="24"/>
        </w:rPr>
        <w:t>of</w:t>
      </w:r>
      <w:r>
        <w:rPr>
          <w:b/>
          <w:spacing w:val="-5"/>
          <w:sz w:val="24"/>
        </w:rPr>
        <w:t> </w:t>
      </w:r>
      <w:r>
        <w:rPr>
          <w:b/>
          <w:sz w:val="24"/>
        </w:rPr>
        <w:t>trial</w:t>
      </w:r>
      <w:r>
        <w:rPr>
          <w:b/>
          <w:spacing w:val="-4"/>
          <w:sz w:val="24"/>
        </w:rPr>
        <w:t> </w:t>
      </w:r>
      <w:r>
        <w:rPr>
          <w:b/>
          <w:sz w:val="24"/>
        </w:rPr>
        <w:t>work</w:t>
      </w:r>
      <w:r>
        <w:rPr>
          <w:b/>
          <w:spacing w:val="-4"/>
          <w:sz w:val="24"/>
        </w:rPr>
        <w:t> </w:t>
      </w:r>
      <w:r>
        <w:rPr>
          <w:b/>
          <w:sz w:val="24"/>
        </w:rPr>
        <w:t>experience.</w:t>
      </w:r>
      <w:r>
        <w:rPr>
          <w:b/>
          <w:spacing w:val="-2"/>
          <w:sz w:val="24"/>
        </w:rPr>
        <w:t> </w:t>
      </w:r>
      <w:r>
        <w:rPr>
          <w:sz w:val="24"/>
        </w:rPr>
        <w:t>It</w:t>
      </w:r>
      <w:r>
        <w:rPr>
          <w:spacing w:val="-2"/>
          <w:sz w:val="24"/>
        </w:rPr>
        <w:t> </w:t>
      </w:r>
      <w:r>
        <w:rPr>
          <w:sz w:val="24"/>
        </w:rPr>
        <w:t>shall</w:t>
      </w:r>
      <w:r>
        <w:rPr>
          <w:spacing w:val="-3"/>
          <w:sz w:val="24"/>
        </w:rPr>
        <w:t> </w:t>
      </w:r>
      <w:r>
        <w:rPr>
          <w:sz w:val="24"/>
        </w:rPr>
        <w:t>be</w:t>
      </w:r>
      <w:r>
        <w:rPr>
          <w:spacing w:val="-3"/>
          <w:sz w:val="24"/>
        </w:rPr>
        <w:t> </w:t>
      </w:r>
      <w:r>
        <w:rPr>
          <w:sz w:val="24"/>
        </w:rPr>
        <w:t>presumed</w:t>
      </w:r>
      <w:r>
        <w:rPr>
          <w:spacing w:val="-3"/>
          <w:sz w:val="24"/>
        </w:rPr>
        <w:t> </w:t>
      </w:r>
      <w:r>
        <w:rPr>
          <w:sz w:val="24"/>
        </w:rPr>
        <w:t>that</w:t>
      </w:r>
      <w:r>
        <w:rPr>
          <w:spacing w:val="-2"/>
          <w:sz w:val="24"/>
        </w:rPr>
        <w:t> </w:t>
      </w:r>
      <w:r>
        <w:rPr>
          <w:sz w:val="24"/>
        </w:rPr>
        <w:t>an</w:t>
      </w:r>
      <w:r>
        <w:rPr>
          <w:spacing w:val="-3"/>
          <w:sz w:val="24"/>
        </w:rPr>
        <w:t> </w:t>
      </w:r>
      <w:r>
        <w:rPr>
          <w:sz w:val="24"/>
        </w:rPr>
        <w:t>individual</w:t>
      </w:r>
      <w:r>
        <w:rPr>
          <w:spacing w:val="-3"/>
          <w:sz w:val="24"/>
        </w:rPr>
        <w:t> </w:t>
      </w:r>
      <w:r>
        <w:rPr>
          <w:sz w:val="24"/>
        </w:rPr>
        <w:t>can</w:t>
      </w:r>
      <w:r>
        <w:rPr>
          <w:spacing w:val="-3"/>
          <w:sz w:val="24"/>
        </w:rPr>
        <w:t> </w:t>
      </w:r>
      <w:r>
        <w:rPr>
          <w:sz w:val="24"/>
        </w:rPr>
        <w:t>benefit</w:t>
      </w:r>
      <w:r>
        <w:rPr>
          <w:spacing w:val="-2"/>
          <w:sz w:val="24"/>
        </w:rPr>
        <w:t> </w:t>
      </w:r>
      <w:r>
        <w:rPr>
          <w:sz w:val="24"/>
        </w:rPr>
        <w:t>in terms of an employment outcome from vocational rehabilitation services unless clear and convincing evidence demonstrates that the individual is incapable of benefiting in terms of an employment outcome due to the severity of the individual's disability. In making such demonstration, the VR Counselor will explore the individual's capabilities to perform in realistic work settings through the use of trial work experiences with appropriate supports including, but not limited to, assistive technology devices and services and personal assistance services, to accommodate the rehabilitation needs of the individual during the trial work experiences. </w:t>
      </w:r>
      <w:r>
        <w:rPr>
          <w:b/>
          <w:sz w:val="24"/>
        </w:rPr>
        <w:t>1</w:t>
      </w:r>
    </w:p>
    <w:p>
      <w:pPr>
        <w:pStyle w:val="ListParagraph"/>
        <w:numPr>
          <w:ilvl w:val="0"/>
          <w:numId w:val="124"/>
        </w:numPr>
        <w:tabs>
          <w:tab w:pos="785" w:val="left" w:leader="none"/>
        </w:tabs>
        <w:spacing w:line="208" w:lineRule="auto" w:before="239" w:after="0"/>
        <w:ind w:left="360" w:right="752" w:firstLine="0"/>
        <w:jc w:val="left"/>
        <w:rPr>
          <w:sz w:val="24"/>
        </w:rPr>
      </w:pPr>
      <w:r>
        <w:rPr>
          <w:b/>
          <w:sz w:val="24"/>
        </w:rPr>
        <w:t>Trial work. </w:t>
      </w:r>
      <w:r>
        <w:rPr>
          <w:sz w:val="24"/>
        </w:rPr>
        <w:t>The trial work experiences shall be provided in competitive integrated employment settings to the maximum extent possible, consistent with the individual's informed choice and rehabilitation needs, and shall be of sufficient variety and duration to determine the eligibility of the individual or to determine the existence of clear and convincing evidence that the individual is incapable of benefiting from VR services in terms of an employment outcome. </w:t>
      </w:r>
      <w:r>
        <w:rPr>
          <w:b/>
          <w:sz w:val="24"/>
        </w:rPr>
        <w:t>2 </w:t>
      </w:r>
      <w:r>
        <w:rPr>
          <w:sz w:val="24"/>
        </w:rPr>
        <w:t>Cases may not remain in this status more than 18 months. An assessment of the individual's progress is required as frequently as necessary</w:t>
      </w:r>
      <w:r>
        <w:rPr>
          <w:spacing w:val="-3"/>
          <w:sz w:val="24"/>
        </w:rPr>
        <w:t> </w:t>
      </w:r>
      <w:r>
        <w:rPr>
          <w:sz w:val="24"/>
        </w:rPr>
        <w:t>but</w:t>
      </w:r>
      <w:r>
        <w:rPr>
          <w:spacing w:val="-2"/>
          <w:sz w:val="24"/>
        </w:rPr>
        <w:t> </w:t>
      </w:r>
      <w:r>
        <w:rPr>
          <w:sz w:val="24"/>
        </w:rPr>
        <w:t>at</w:t>
      </w:r>
      <w:r>
        <w:rPr>
          <w:spacing w:val="-2"/>
          <w:sz w:val="24"/>
        </w:rPr>
        <w:t> </w:t>
      </w:r>
      <w:r>
        <w:rPr>
          <w:sz w:val="24"/>
        </w:rPr>
        <w:t>least</w:t>
      </w:r>
      <w:r>
        <w:rPr>
          <w:spacing w:val="-4"/>
          <w:sz w:val="24"/>
        </w:rPr>
        <w:t> </w:t>
      </w:r>
      <w:r>
        <w:rPr>
          <w:sz w:val="24"/>
        </w:rPr>
        <w:t>once</w:t>
      </w:r>
      <w:r>
        <w:rPr>
          <w:spacing w:val="-3"/>
          <w:sz w:val="24"/>
        </w:rPr>
        <w:t> </w:t>
      </w:r>
      <w:r>
        <w:rPr>
          <w:sz w:val="24"/>
        </w:rPr>
        <w:t>every</w:t>
      </w:r>
      <w:r>
        <w:rPr>
          <w:spacing w:val="-3"/>
          <w:sz w:val="24"/>
        </w:rPr>
        <w:t> </w:t>
      </w:r>
      <w:r>
        <w:rPr>
          <w:sz w:val="24"/>
        </w:rPr>
        <w:t>90</w:t>
      </w:r>
      <w:r>
        <w:rPr>
          <w:spacing w:val="-3"/>
          <w:sz w:val="24"/>
        </w:rPr>
        <w:t> </w:t>
      </w:r>
      <w:r>
        <w:rPr>
          <w:sz w:val="24"/>
        </w:rPr>
        <w:t>days.</w:t>
      </w:r>
      <w:r>
        <w:rPr>
          <w:spacing w:val="-4"/>
          <w:sz w:val="24"/>
        </w:rPr>
        <w:t> </w:t>
      </w:r>
      <w:r>
        <w:rPr>
          <w:sz w:val="24"/>
        </w:rPr>
        <w:t>The</w:t>
      </w:r>
      <w:r>
        <w:rPr>
          <w:spacing w:val="-3"/>
          <w:sz w:val="24"/>
        </w:rPr>
        <w:t> </w:t>
      </w:r>
      <w:r>
        <w:rPr>
          <w:sz w:val="24"/>
        </w:rPr>
        <w:t>assessment</w:t>
      </w:r>
      <w:r>
        <w:rPr>
          <w:spacing w:val="-2"/>
          <w:sz w:val="24"/>
        </w:rPr>
        <w:t> </w:t>
      </w:r>
      <w:r>
        <w:rPr>
          <w:sz w:val="24"/>
        </w:rPr>
        <w:t>will</w:t>
      </w:r>
      <w:r>
        <w:rPr>
          <w:spacing w:val="-3"/>
          <w:sz w:val="24"/>
        </w:rPr>
        <w:t> </w:t>
      </w:r>
      <w:r>
        <w:rPr>
          <w:sz w:val="24"/>
        </w:rPr>
        <w:t>include</w:t>
      </w:r>
      <w:r>
        <w:rPr>
          <w:spacing w:val="-3"/>
          <w:sz w:val="24"/>
        </w:rPr>
        <w:t> </w:t>
      </w:r>
      <w:r>
        <w:rPr>
          <w:sz w:val="24"/>
        </w:rPr>
        <w:t>periodic</w:t>
      </w:r>
      <w:r>
        <w:rPr>
          <w:spacing w:val="-3"/>
          <w:sz w:val="24"/>
        </w:rPr>
        <w:t> </w:t>
      </w:r>
      <w:r>
        <w:rPr>
          <w:sz w:val="24"/>
        </w:rPr>
        <w:t>reports from the institution, facility or person providing the services to determine the results of the provision of such services and to ascertain whether the individual may be determined to be eligible or ineligible. The assessment summary narrative will be recorded in the case file.</w:t>
      </w:r>
    </w:p>
    <w:p>
      <w:pPr>
        <w:pStyle w:val="ListParagraph"/>
        <w:numPr>
          <w:ilvl w:val="0"/>
          <w:numId w:val="124"/>
        </w:numPr>
        <w:tabs>
          <w:tab w:pos="773" w:val="left" w:leader="none"/>
        </w:tabs>
        <w:spacing w:line="208" w:lineRule="auto" w:before="239" w:after="0"/>
        <w:ind w:left="360" w:right="1433" w:firstLine="0"/>
        <w:jc w:val="left"/>
        <w:rPr>
          <w:sz w:val="24"/>
        </w:rPr>
      </w:pPr>
      <w:r>
        <w:rPr>
          <w:b/>
          <w:sz w:val="24"/>
        </w:rPr>
        <w:t>Case</w:t>
      </w:r>
      <w:r>
        <w:rPr>
          <w:b/>
          <w:spacing w:val="-5"/>
          <w:sz w:val="24"/>
        </w:rPr>
        <w:t> </w:t>
      </w:r>
      <w:r>
        <w:rPr>
          <w:b/>
          <w:sz w:val="24"/>
        </w:rPr>
        <w:t>recording</w:t>
      </w:r>
      <w:r>
        <w:rPr>
          <w:b/>
          <w:spacing w:val="-5"/>
          <w:sz w:val="24"/>
        </w:rPr>
        <w:t> </w:t>
      </w:r>
      <w:r>
        <w:rPr>
          <w:b/>
          <w:sz w:val="24"/>
        </w:rPr>
        <w:t>requirements.</w:t>
      </w:r>
      <w:r>
        <w:rPr>
          <w:b/>
          <w:spacing w:val="-5"/>
          <w:sz w:val="24"/>
        </w:rPr>
        <w:t> </w:t>
      </w:r>
      <w:r>
        <w:rPr>
          <w:sz w:val="24"/>
        </w:rPr>
        <w:t>The</w:t>
      </w:r>
      <w:r>
        <w:rPr>
          <w:spacing w:val="-5"/>
          <w:sz w:val="24"/>
        </w:rPr>
        <w:t> </w:t>
      </w:r>
      <w:r>
        <w:rPr>
          <w:sz w:val="24"/>
        </w:rPr>
        <w:t>counselor</w:t>
      </w:r>
      <w:r>
        <w:rPr>
          <w:spacing w:val="-4"/>
          <w:sz w:val="24"/>
        </w:rPr>
        <w:t> </w:t>
      </w:r>
      <w:r>
        <w:rPr>
          <w:sz w:val="24"/>
        </w:rPr>
        <w:t>will</w:t>
      </w:r>
      <w:r>
        <w:rPr>
          <w:spacing w:val="-4"/>
          <w:sz w:val="24"/>
        </w:rPr>
        <w:t> </w:t>
      </w:r>
      <w:r>
        <w:rPr>
          <w:sz w:val="24"/>
        </w:rPr>
        <w:t>document</w:t>
      </w:r>
      <w:r>
        <w:rPr>
          <w:spacing w:val="-4"/>
          <w:sz w:val="24"/>
        </w:rPr>
        <w:t> </w:t>
      </w:r>
      <w:r>
        <w:rPr>
          <w:sz w:val="24"/>
        </w:rPr>
        <w:t>the</w:t>
      </w:r>
      <w:r>
        <w:rPr>
          <w:spacing w:val="-5"/>
          <w:sz w:val="24"/>
        </w:rPr>
        <w:t> </w:t>
      </w:r>
      <w:r>
        <w:rPr>
          <w:sz w:val="24"/>
        </w:rPr>
        <w:t>case</w:t>
      </w:r>
      <w:r>
        <w:rPr>
          <w:spacing w:val="-5"/>
          <w:sz w:val="24"/>
        </w:rPr>
        <w:t> </w:t>
      </w:r>
      <w:r>
        <w:rPr>
          <w:sz w:val="24"/>
        </w:rPr>
        <w:t>record according to the criteria and recording standards in (1) - (5) of this Subsection.</w:t>
      </w:r>
    </w:p>
    <w:p>
      <w:pPr>
        <w:pStyle w:val="ListParagraph"/>
        <w:numPr>
          <w:ilvl w:val="1"/>
          <w:numId w:val="124"/>
        </w:numPr>
        <w:tabs>
          <w:tab w:pos="1218" w:val="left" w:leader="none"/>
        </w:tabs>
        <w:spacing w:line="208" w:lineRule="auto" w:before="240" w:after="0"/>
        <w:ind w:left="792" w:right="910" w:firstLine="0"/>
        <w:jc w:val="left"/>
        <w:rPr>
          <w:sz w:val="24"/>
        </w:rPr>
      </w:pPr>
      <w:r>
        <w:rPr>
          <w:b/>
          <w:sz w:val="24"/>
        </w:rPr>
        <w:t>Justification</w:t>
      </w:r>
      <w:r>
        <w:rPr>
          <w:b/>
          <w:spacing w:val="-4"/>
          <w:sz w:val="24"/>
        </w:rPr>
        <w:t> </w:t>
      </w:r>
      <w:r>
        <w:rPr>
          <w:b/>
          <w:sz w:val="24"/>
        </w:rPr>
        <w:t>that</w:t>
      </w:r>
      <w:r>
        <w:rPr>
          <w:b/>
          <w:spacing w:val="-5"/>
          <w:sz w:val="24"/>
        </w:rPr>
        <w:t> </w:t>
      </w:r>
      <w:r>
        <w:rPr>
          <w:b/>
          <w:sz w:val="24"/>
        </w:rPr>
        <w:t>a</w:t>
      </w:r>
      <w:r>
        <w:rPr>
          <w:b/>
          <w:spacing w:val="-4"/>
          <w:sz w:val="24"/>
        </w:rPr>
        <w:t> </w:t>
      </w:r>
      <w:r>
        <w:rPr>
          <w:b/>
          <w:sz w:val="24"/>
        </w:rPr>
        <w:t>trial</w:t>
      </w:r>
      <w:r>
        <w:rPr>
          <w:b/>
          <w:spacing w:val="-5"/>
          <w:sz w:val="24"/>
        </w:rPr>
        <w:t> </w:t>
      </w:r>
      <w:r>
        <w:rPr>
          <w:b/>
          <w:sz w:val="24"/>
        </w:rPr>
        <w:t>work</w:t>
      </w:r>
      <w:r>
        <w:rPr>
          <w:b/>
          <w:spacing w:val="-4"/>
          <w:sz w:val="24"/>
        </w:rPr>
        <w:t> </w:t>
      </w:r>
      <w:r>
        <w:rPr>
          <w:b/>
          <w:sz w:val="24"/>
        </w:rPr>
        <w:t>experience</w:t>
      </w:r>
      <w:r>
        <w:rPr>
          <w:b/>
          <w:spacing w:val="-4"/>
          <w:sz w:val="24"/>
        </w:rPr>
        <w:t> </w:t>
      </w:r>
      <w:r>
        <w:rPr>
          <w:b/>
          <w:sz w:val="24"/>
        </w:rPr>
        <w:t>is</w:t>
      </w:r>
      <w:r>
        <w:rPr>
          <w:b/>
          <w:spacing w:val="-4"/>
          <w:sz w:val="24"/>
        </w:rPr>
        <w:t> </w:t>
      </w:r>
      <w:r>
        <w:rPr>
          <w:b/>
          <w:sz w:val="24"/>
        </w:rPr>
        <w:t>required.</w:t>
      </w:r>
      <w:r>
        <w:rPr>
          <w:b/>
          <w:spacing w:val="-4"/>
          <w:sz w:val="24"/>
        </w:rPr>
        <w:t> </w:t>
      </w:r>
      <w:r>
        <w:rPr>
          <w:sz w:val="24"/>
        </w:rPr>
        <w:t>It</w:t>
      </w:r>
      <w:r>
        <w:rPr>
          <w:spacing w:val="-3"/>
          <w:sz w:val="24"/>
        </w:rPr>
        <w:t> </w:t>
      </w:r>
      <w:r>
        <w:rPr>
          <w:sz w:val="24"/>
        </w:rPr>
        <w:t>is</w:t>
      </w:r>
      <w:r>
        <w:rPr>
          <w:spacing w:val="-4"/>
          <w:sz w:val="24"/>
        </w:rPr>
        <w:t> </w:t>
      </w:r>
      <w:r>
        <w:rPr>
          <w:sz w:val="24"/>
        </w:rPr>
        <w:t>presumed</w:t>
      </w:r>
      <w:r>
        <w:rPr>
          <w:spacing w:val="-4"/>
          <w:sz w:val="24"/>
        </w:rPr>
        <w:t> </w:t>
      </w:r>
      <w:r>
        <w:rPr>
          <w:sz w:val="24"/>
        </w:rPr>
        <w:t>that</w:t>
      </w:r>
      <w:r>
        <w:rPr>
          <w:spacing w:val="-3"/>
          <w:sz w:val="24"/>
        </w:rPr>
        <w:t> </w:t>
      </w:r>
      <w:r>
        <w:rPr>
          <w:sz w:val="24"/>
        </w:rPr>
        <w:t>an individual can benefit in terms of an employment outcome from vocational rehabilitation services unless clear and convincing evidence demonstrates otherwise. The use of trial work experiences is to be limited solely to those extraordinary situations in which the preponderance of evidence obtained in the normal manner is sufficient to challenge the presumption of benefit due to the severity of the disability. Documentation and case recording must clearly support the determination that this preponderance of evidence exists, and that trial work experience is necessary to make the eligibility determination.</w:t>
      </w:r>
    </w:p>
    <w:p>
      <w:pPr>
        <w:pStyle w:val="ListParagraph"/>
        <w:numPr>
          <w:ilvl w:val="1"/>
          <w:numId w:val="124"/>
        </w:numPr>
        <w:tabs>
          <w:tab w:pos="1217" w:val="left" w:leader="none"/>
        </w:tabs>
        <w:spacing w:line="208" w:lineRule="auto" w:before="239" w:after="0"/>
        <w:ind w:left="792" w:right="881" w:firstLine="0"/>
        <w:jc w:val="left"/>
        <w:rPr>
          <w:b/>
          <w:sz w:val="24"/>
        </w:rPr>
      </w:pPr>
      <w:r>
        <w:rPr>
          <w:b/>
          <w:sz w:val="24"/>
        </w:rPr>
        <w:t>Written plan for trial work experiences. </w:t>
      </w:r>
      <w:r>
        <w:rPr>
          <w:sz w:val="24"/>
        </w:rPr>
        <w:t>Services related to the trial work experience will be planned by the counselor and individual, or the individual's authorized</w:t>
      </w:r>
      <w:r>
        <w:rPr>
          <w:spacing w:val="-3"/>
          <w:sz w:val="24"/>
        </w:rPr>
        <w:t> </w:t>
      </w:r>
      <w:r>
        <w:rPr>
          <w:sz w:val="24"/>
        </w:rPr>
        <w:t>representative.</w:t>
      </w:r>
      <w:r>
        <w:rPr>
          <w:spacing w:val="-3"/>
          <w:sz w:val="24"/>
        </w:rPr>
        <w:t> </w:t>
      </w:r>
      <w:r>
        <w:rPr>
          <w:sz w:val="24"/>
        </w:rPr>
        <w:t>The</w:t>
      </w:r>
      <w:r>
        <w:rPr>
          <w:spacing w:val="-4"/>
          <w:sz w:val="24"/>
        </w:rPr>
        <w:t> </w:t>
      </w:r>
      <w:r>
        <w:rPr>
          <w:sz w:val="24"/>
        </w:rPr>
        <w:t>trial</w:t>
      </w:r>
      <w:r>
        <w:rPr>
          <w:spacing w:val="-4"/>
          <w:sz w:val="24"/>
        </w:rPr>
        <w:t> </w:t>
      </w:r>
      <w:r>
        <w:rPr>
          <w:sz w:val="24"/>
        </w:rPr>
        <w:t>work</w:t>
      </w:r>
      <w:r>
        <w:rPr>
          <w:spacing w:val="-4"/>
          <w:sz w:val="24"/>
        </w:rPr>
        <w:t> </w:t>
      </w:r>
      <w:r>
        <w:rPr>
          <w:sz w:val="24"/>
        </w:rPr>
        <w:t>experience</w:t>
      </w:r>
      <w:r>
        <w:rPr>
          <w:spacing w:val="-4"/>
          <w:sz w:val="24"/>
        </w:rPr>
        <w:t> </w:t>
      </w:r>
      <w:r>
        <w:rPr>
          <w:sz w:val="24"/>
        </w:rPr>
        <w:t>plan</w:t>
      </w:r>
      <w:r>
        <w:rPr>
          <w:spacing w:val="-4"/>
          <w:sz w:val="24"/>
        </w:rPr>
        <w:t> </w:t>
      </w:r>
      <w:r>
        <w:rPr>
          <w:sz w:val="24"/>
        </w:rPr>
        <w:t>will</w:t>
      </w:r>
      <w:r>
        <w:rPr>
          <w:spacing w:val="-4"/>
          <w:sz w:val="24"/>
        </w:rPr>
        <w:t> </w:t>
      </w:r>
      <w:r>
        <w:rPr>
          <w:sz w:val="24"/>
        </w:rPr>
        <w:t>describe</w:t>
      </w:r>
      <w:r>
        <w:rPr>
          <w:spacing w:val="-4"/>
          <w:sz w:val="24"/>
        </w:rPr>
        <w:t> </w:t>
      </w:r>
      <w:r>
        <w:rPr>
          <w:sz w:val="24"/>
        </w:rPr>
        <w:t>the</w:t>
      </w:r>
      <w:r>
        <w:rPr>
          <w:spacing w:val="-4"/>
          <w:sz w:val="24"/>
        </w:rPr>
        <w:t> </w:t>
      </w:r>
      <w:r>
        <w:rPr>
          <w:sz w:val="24"/>
        </w:rPr>
        <w:t>services necessary to obtain clear and convincing evidence concerning the presumption of benefit. </w:t>
      </w:r>
      <w:r>
        <w:rPr>
          <w:b/>
          <w:sz w:val="24"/>
        </w:rPr>
        <w:t>3</w:t>
      </w:r>
    </w:p>
    <w:p>
      <w:pPr>
        <w:pStyle w:val="ListParagraph"/>
        <w:numPr>
          <w:ilvl w:val="1"/>
          <w:numId w:val="124"/>
        </w:numPr>
        <w:tabs>
          <w:tab w:pos="1217" w:val="left" w:leader="none"/>
        </w:tabs>
        <w:spacing w:line="208" w:lineRule="auto" w:before="239" w:after="0"/>
        <w:ind w:left="792" w:right="1711" w:firstLine="0"/>
        <w:jc w:val="both"/>
        <w:rPr>
          <w:sz w:val="24"/>
        </w:rPr>
      </w:pPr>
      <w:r>
        <w:rPr>
          <w:b/>
          <w:sz w:val="24"/>
        </w:rPr>
        <w:t>Termination</w:t>
      </w:r>
      <w:r>
        <w:rPr>
          <w:b/>
          <w:spacing w:val="-4"/>
          <w:sz w:val="24"/>
        </w:rPr>
        <w:t> </w:t>
      </w:r>
      <w:r>
        <w:rPr>
          <w:b/>
          <w:sz w:val="24"/>
        </w:rPr>
        <w:t>of</w:t>
      </w:r>
      <w:r>
        <w:rPr>
          <w:b/>
          <w:spacing w:val="-5"/>
          <w:sz w:val="24"/>
        </w:rPr>
        <w:t> </w:t>
      </w:r>
      <w:r>
        <w:rPr>
          <w:b/>
          <w:sz w:val="24"/>
        </w:rPr>
        <w:t>trial</w:t>
      </w:r>
      <w:r>
        <w:rPr>
          <w:b/>
          <w:spacing w:val="-3"/>
          <w:sz w:val="24"/>
        </w:rPr>
        <w:t> </w:t>
      </w:r>
      <w:r>
        <w:rPr>
          <w:b/>
          <w:sz w:val="24"/>
        </w:rPr>
        <w:t>work</w:t>
      </w:r>
      <w:r>
        <w:rPr>
          <w:b/>
          <w:spacing w:val="-4"/>
          <w:sz w:val="24"/>
        </w:rPr>
        <w:t> </w:t>
      </w:r>
      <w:r>
        <w:rPr>
          <w:b/>
          <w:sz w:val="24"/>
        </w:rPr>
        <w:t>experience</w:t>
      </w:r>
      <w:r>
        <w:rPr>
          <w:b/>
          <w:spacing w:val="-4"/>
          <w:sz w:val="24"/>
        </w:rPr>
        <w:t> </w:t>
      </w:r>
      <w:r>
        <w:rPr>
          <w:b/>
          <w:sz w:val="24"/>
        </w:rPr>
        <w:t>evaluation</w:t>
      </w:r>
      <w:r>
        <w:rPr>
          <w:b/>
          <w:spacing w:val="-4"/>
          <w:sz w:val="24"/>
        </w:rPr>
        <w:t> </w:t>
      </w:r>
      <w:r>
        <w:rPr>
          <w:b/>
          <w:sz w:val="24"/>
        </w:rPr>
        <w:t>-</w:t>
      </w:r>
      <w:r>
        <w:rPr>
          <w:b/>
          <w:spacing w:val="-5"/>
          <w:sz w:val="24"/>
        </w:rPr>
        <w:t> </w:t>
      </w:r>
      <w:r>
        <w:rPr>
          <w:b/>
          <w:sz w:val="24"/>
        </w:rPr>
        <w:t>eligible.</w:t>
      </w:r>
      <w:r>
        <w:rPr>
          <w:b/>
          <w:spacing w:val="-5"/>
          <w:sz w:val="24"/>
        </w:rPr>
        <w:t> </w:t>
      </w:r>
      <w:r>
        <w:rPr>
          <w:sz w:val="24"/>
        </w:rPr>
        <w:t>When</w:t>
      </w:r>
      <w:r>
        <w:rPr>
          <w:spacing w:val="-4"/>
          <w:sz w:val="24"/>
        </w:rPr>
        <w:t> </w:t>
      </w:r>
      <w:r>
        <w:rPr>
          <w:sz w:val="24"/>
        </w:rPr>
        <w:t>an individual</w:t>
      </w:r>
      <w:r>
        <w:rPr>
          <w:spacing w:val="-3"/>
          <w:sz w:val="24"/>
        </w:rPr>
        <w:t> </w:t>
      </w:r>
      <w:r>
        <w:rPr>
          <w:sz w:val="24"/>
        </w:rPr>
        <w:t>is</w:t>
      </w:r>
      <w:r>
        <w:rPr>
          <w:spacing w:val="-3"/>
          <w:sz w:val="24"/>
        </w:rPr>
        <w:t> </w:t>
      </w:r>
      <w:r>
        <w:rPr>
          <w:sz w:val="24"/>
        </w:rPr>
        <w:t>determined</w:t>
      </w:r>
      <w:r>
        <w:rPr>
          <w:spacing w:val="-3"/>
          <w:sz w:val="24"/>
        </w:rPr>
        <w:t> </w:t>
      </w:r>
      <w:r>
        <w:rPr>
          <w:sz w:val="24"/>
        </w:rPr>
        <w:t>to</w:t>
      </w:r>
      <w:r>
        <w:rPr>
          <w:spacing w:val="-3"/>
          <w:sz w:val="24"/>
        </w:rPr>
        <w:t> </w:t>
      </w:r>
      <w:r>
        <w:rPr>
          <w:sz w:val="24"/>
        </w:rPr>
        <w:t>be</w:t>
      </w:r>
      <w:r>
        <w:rPr>
          <w:spacing w:val="-3"/>
          <w:sz w:val="24"/>
        </w:rPr>
        <w:t> </w:t>
      </w:r>
      <w:r>
        <w:rPr>
          <w:sz w:val="24"/>
        </w:rPr>
        <w:t>eligible</w:t>
      </w:r>
      <w:r>
        <w:rPr>
          <w:spacing w:val="-3"/>
          <w:sz w:val="24"/>
        </w:rPr>
        <w:t> </w:t>
      </w:r>
      <w:r>
        <w:rPr>
          <w:sz w:val="24"/>
        </w:rPr>
        <w:t>for</w:t>
      </w:r>
      <w:r>
        <w:rPr>
          <w:spacing w:val="-2"/>
          <w:sz w:val="24"/>
        </w:rPr>
        <w:t> </w:t>
      </w:r>
      <w:r>
        <w:rPr>
          <w:sz w:val="24"/>
        </w:rPr>
        <w:t>services,</w:t>
      </w:r>
      <w:r>
        <w:rPr>
          <w:spacing w:val="-2"/>
          <w:sz w:val="24"/>
        </w:rPr>
        <w:t> </w:t>
      </w:r>
      <w:r>
        <w:rPr>
          <w:sz w:val="24"/>
        </w:rPr>
        <w:t>the</w:t>
      </w:r>
      <w:r>
        <w:rPr>
          <w:spacing w:val="-4"/>
          <w:sz w:val="24"/>
        </w:rPr>
        <w:t> </w:t>
      </w:r>
      <w:r>
        <w:rPr>
          <w:sz w:val="24"/>
        </w:rPr>
        <w:t>case</w:t>
      </w:r>
      <w:r>
        <w:rPr>
          <w:spacing w:val="-3"/>
          <w:sz w:val="24"/>
        </w:rPr>
        <w:t> </w:t>
      </w:r>
      <w:r>
        <w:rPr>
          <w:sz w:val="24"/>
        </w:rPr>
        <w:t>is</w:t>
      </w:r>
      <w:r>
        <w:rPr>
          <w:spacing w:val="-3"/>
          <w:sz w:val="24"/>
        </w:rPr>
        <w:t> </w:t>
      </w:r>
      <w:r>
        <w:rPr>
          <w:sz w:val="24"/>
        </w:rPr>
        <w:t>processed</w:t>
      </w:r>
      <w:r>
        <w:rPr>
          <w:spacing w:val="-3"/>
          <w:sz w:val="24"/>
        </w:rPr>
        <w:t> </w:t>
      </w:r>
      <w:r>
        <w:rPr>
          <w:sz w:val="24"/>
        </w:rPr>
        <w:t>in accordance with DRS policy.</w:t>
      </w:r>
    </w:p>
    <w:p>
      <w:pPr>
        <w:pStyle w:val="ListParagraph"/>
        <w:numPr>
          <w:ilvl w:val="1"/>
          <w:numId w:val="124"/>
        </w:numPr>
        <w:tabs>
          <w:tab w:pos="1217" w:val="left" w:leader="none"/>
        </w:tabs>
        <w:spacing w:line="208" w:lineRule="auto" w:before="240" w:after="0"/>
        <w:ind w:left="792" w:right="910" w:firstLine="0"/>
        <w:jc w:val="left"/>
        <w:rPr>
          <w:sz w:val="24"/>
        </w:rPr>
      </w:pPr>
      <w:r>
        <w:rPr>
          <w:b/>
          <w:sz w:val="24"/>
        </w:rPr>
        <w:t>Termination</w:t>
      </w:r>
      <w:r>
        <w:rPr>
          <w:b/>
          <w:spacing w:val="-4"/>
          <w:sz w:val="24"/>
        </w:rPr>
        <w:t> </w:t>
      </w:r>
      <w:r>
        <w:rPr>
          <w:b/>
          <w:sz w:val="24"/>
        </w:rPr>
        <w:t>of</w:t>
      </w:r>
      <w:r>
        <w:rPr>
          <w:b/>
          <w:spacing w:val="-4"/>
          <w:sz w:val="24"/>
        </w:rPr>
        <w:t> </w:t>
      </w:r>
      <w:r>
        <w:rPr>
          <w:b/>
          <w:sz w:val="24"/>
        </w:rPr>
        <w:t>trial</w:t>
      </w:r>
      <w:r>
        <w:rPr>
          <w:b/>
          <w:spacing w:val="-3"/>
          <w:sz w:val="24"/>
        </w:rPr>
        <w:t> </w:t>
      </w:r>
      <w:r>
        <w:rPr>
          <w:b/>
          <w:sz w:val="24"/>
        </w:rPr>
        <w:t>work</w:t>
      </w:r>
      <w:r>
        <w:rPr>
          <w:b/>
          <w:spacing w:val="-4"/>
          <w:sz w:val="24"/>
        </w:rPr>
        <w:t> </w:t>
      </w:r>
      <w:r>
        <w:rPr>
          <w:b/>
          <w:sz w:val="24"/>
        </w:rPr>
        <w:t>experience</w:t>
      </w:r>
      <w:r>
        <w:rPr>
          <w:b/>
          <w:spacing w:val="-4"/>
          <w:sz w:val="24"/>
        </w:rPr>
        <w:t> </w:t>
      </w:r>
      <w:r>
        <w:rPr>
          <w:b/>
          <w:sz w:val="24"/>
        </w:rPr>
        <w:t>-</w:t>
      </w:r>
      <w:r>
        <w:rPr>
          <w:b/>
          <w:spacing w:val="-4"/>
          <w:sz w:val="24"/>
        </w:rPr>
        <w:t> </w:t>
      </w:r>
      <w:r>
        <w:rPr>
          <w:b/>
          <w:sz w:val="24"/>
        </w:rPr>
        <w:t>ineligible.</w:t>
      </w:r>
      <w:r>
        <w:rPr>
          <w:b/>
          <w:spacing w:val="-4"/>
          <w:sz w:val="24"/>
        </w:rPr>
        <w:t> </w:t>
      </w:r>
      <w:r>
        <w:rPr>
          <w:sz w:val="24"/>
        </w:rPr>
        <w:t>If</w:t>
      </w:r>
      <w:r>
        <w:rPr>
          <w:spacing w:val="-4"/>
          <w:sz w:val="24"/>
        </w:rPr>
        <w:t> </w:t>
      </w:r>
      <w:r>
        <w:rPr>
          <w:sz w:val="24"/>
        </w:rPr>
        <w:t>the</w:t>
      </w:r>
      <w:r>
        <w:rPr>
          <w:spacing w:val="-4"/>
          <w:sz w:val="24"/>
        </w:rPr>
        <w:t> </w:t>
      </w:r>
      <w:r>
        <w:rPr>
          <w:sz w:val="24"/>
        </w:rPr>
        <w:t>trial</w:t>
      </w:r>
      <w:r>
        <w:rPr>
          <w:spacing w:val="-4"/>
          <w:sz w:val="24"/>
        </w:rPr>
        <w:t> </w:t>
      </w:r>
      <w:r>
        <w:rPr>
          <w:sz w:val="24"/>
        </w:rPr>
        <w:t>work</w:t>
      </w:r>
      <w:r>
        <w:rPr>
          <w:spacing w:val="-4"/>
          <w:sz w:val="24"/>
        </w:rPr>
        <w:t> </w:t>
      </w:r>
      <w:r>
        <w:rPr>
          <w:sz w:val="24"/>
        </w:rPr>
        <w:t>experience provides clear and convincing evidence that the individual cannot benefit from vocational rehabilitation services in terms of an employment outcome due to the severity of the disability, the case may be closed as ineligible in accordance with DRS policy. </w:t>
      </w:r>
      <w:r>
        <w:rPr>
          <w:b/>
          <w:sz w:val="24"/>
        </w:rPr>
        <w:t>4 </w:t>
      </w:r>
      <w:r>
        <w:rPr>
          <w:sz w:val="24"/>
        </w:rPr>
        <w:t>In addition to explaining the individual's right to a review of the</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791" w:right="775"/>
      </w:pPr>
      <w:r>
        <w:rPr/>
        <w:t>determination and the availability of the Client Assistance Program, the counselor will</w:t>
      </w:r>
      <w:r>
        <w:rPr>
          <w:spacing w:val="-4"/>
        </w:rPr>
        <w:t> </w:t>
      </w:r>
      <w:r>
        <w:rPr/>
        <w:t>make</w:t>
      </w:r>
      <w:r>
        <w:rPr>
          <w:spacing w:val="-4"/>
        </w:rPr>
        <w:t> </w:t>
      </w:r>
      <w:r>
        <w:rPr/>
        <w:t>referrals</w:t>
      </w:r>
      <w:r>
        <w:rPr>
          <w:spacing w:val="-4"/>
        </w:rPr>
        <w:t> </w:t>
      </w:r>
      <w:r>
        <w:rPr/>
        <w:t>to</w:t>
      </w:r>
      <w:r>
        <w:rPr>
          <w:spacing w:val="-5"/>
        </w:rPr>
        <w:t> </w:t>
      </w:r>
      <w:r>
        <w:rPr/>
        <w:t>other</w:t>
      </w:r>
      <w:r>
        <w:rPr>
          <w:spacing w:val="-3"/>
        </w:rPr>
        <w:t> </w:t>
      </w:r>
      <w:r>
        <w:rPr/>
        <w:t>agencies,</w:t>
      </w:r>
      <w:r>
        <w:rPr>
          <w:spacing w:val="-3"/>
        </w:rPr>
        <w:t> </w:t>
      </w:r>
      <w:r>
        <w:rPr/>
        <w:t>facilities,</w:t>
      </w:r>
      <w:r>
        <w:rPr>
          <w:spacing w:val="-3"/>
        </w:rPr>
        <w:t> </w:t>
      </w:r>
      <w:r>
        <w:rPr/>
        <w:t>or</w:t>
      </w:r>
      <w:r>
        <w:rPr>
          <w:spacing w:val="-3"/>
        </w:rPr>
        <w:t> </w:t>
      </w:r>
      <w:r>
        <w:rPr/>
        <w:t>programs</w:t>
      </w:r>
      <w:r>
        <w:rPr>
          <w:spacing w:val="-4"/>
        </w:rPr>
        <w:t> </w:t>
      </w:r>
      <w:r>
        <w:rPr/>
        <w:t>as</w:t>
      </w:r>
      <w:r>
        <w:rPr>
          <w:spacing w:val="-4"/>
        </w:rPr>
        <w:t> </w:t>
      </w:r>
      <w:r>
        <w:rPr/>
        <w:t>may</w:t>
      </w:r>
      <w:r>
        <w:rPr>
          <w:spacing w:val="-4"/>
        </w:rPr>
        <w:t> </w:t>
      </w:r>
      <w:r>
        <w:rPr/>
        <w:t>be</w:t>
      </w:r>
      <w:r>
        <w:rPr>
          <w:spacing w:val="-4"/>
        </w:rPr>
        <w:t> </w:t>
      </w:r>
      <w:r>
        <w:rPr/>
        <w:t>appropriate.</w:t>
      </w:r>
    </w:p>
    <w:p>
      <w:pPr>
        <w:pStyle w:val="ListParagraph"/>
        <w:numPr>
          <w:ilvl w:val="1"/>
          <w:numId w:val="124"/>
        </w:numPr>
        <w:tabs>
          <w:tab w:pos="785" w:val="left" w:leader="none"/>
        </w:tabs>
        <w:spacing w:line="208" w:lineRule="auto" w:before="240" w:after="0"/>
        <w:ind w:left="360" w:right="912" w:firstLine="0"/>
        <w:jc w:val="left"/>
        <w:rPr>
          <w:sz w:val="24"/>
        </w:rPr>
      </w:pPr>
      <w:r>
        <w:rPr>
          <w:b/>
          <w:sz w:val="24"/>
        </w:rPr>
        <w:t>Amendments.</w:t>
      </w:r>
      <w:r>
        <w:rPr>
          <w:b/>
          <w:spacing w:val="-4"/>
          <w:sz w:val="24"/>
        </w:rPr>
        <w:t> </w:t>
      </w:r>
      <w:r>
        <w:rPr>
          <w:sz w:val="24"/>
        </w:rPr>
        <w:t>An</w:t>
      </w:r>
      <w:r>
        <w:rPr>
          <w:spacing w:val="-4"/>
          <w:sz w:val="24"/>
        </w:rPr>
        <w:t> </w:t>
      </w:r>
      <w:r>
        <w:rPr>
          <w:sz w:val="24"/>
        </w:rPr>
        <w:t>amendment</w:t>
      </w:r>
      <w:r>
        <w:rPr>
          <w:spacing w:val="-3"/>
          <w:sz w:val="24"/>
        </w:rPr>
        <w:t> </w:t>
      </w:r>
      <w:r>
        <w:rPr>
          <w:sz w:val="24"/>
        </w:rPr>
        <w:t>to</w:t>
      </w:r>
      <w:r>
        <w:rPr>
          <w:spacing w:val="-4"/>
          <w:sz w:val="24"/>
        </w:rPr>
        <w:t> </w:t>
      </w:r>
      <w:r>
        <w:rPr>
          <w:sz w:val="24"/>
        </w:rPr>
        <w:t>the</w:t>
      </w:r>
      <w:r>
        <w:rPr>
          <w:spacing w:val="-4"/>
          <w:sz w:val="24"/>
        </w:rPr>
        <w:t> </w:t>
      </w:r>
      <w:r>
        <w:rPr>
          <w:sz w:val="24"/>
        </w:rPr>
        <w:t>plan</w:t>
      </w:r>
      <w:r>
        <w:rPr>
          <w:spacing w:val="-4"/>
          <w:sz w:val="24"/>
        </w:rPr>
        <w:t> </w:t>
      </w:r>
      <w:r>
        <w:rPr>
          <w:sz w:val="24"/>
        </w:rPr>
        <w:t>is</w:t>
      </w:r>
      <w:r>
        <w:rPr>
          <w:spacing w:val="-4"/>
          <w:sz w:val="24"/>
        </w:rPr>
        <w:t> </w:t>
      </w:r>
      <w:r>
        <w:rPr>
          <w:sz w:val="24"/>
        </w:rPr>
        <w:t>made</w:t>
      </w:r>
      <w:r>
        <w:rPr>
          <w:spacing w:val="-3"/>
          <w:sz w:val="24"/>
        </w:rPr>
        <w:t> </w:t>
      </w:r>
      <w:r>
        <w:rPr>
          <w:sz w:val="24"/>
        </w:rPr>
        <w:t>stating</w:t>
      </w:r>
      <w:r>
        <w:rPr>
          <w:spacing w:val="-4"/>
          <w:sz w:val="24"/>
        </w:rPr>
        <w:t> </w:t>
      </w:r>
      <w:r>
        <w:rPr>
          <w:sz w:val="24"/>
        </w:rPr>
        <w:t>all</w:t>
      </w:r>
      <w:r>
        <w:rPr>
          <w:spacing w:val="-4"/>
          <w:sz w:val="24"/>
        </w:rPr>
        <w:t> </w:t>
      </w:r>
      <w:r>
        <w:rPr>
          <w:sz w:val="24"/>
        </w:rPr>
        <w:t>new</w:t>
      </w:r>
      <w:r>
        <w:rPr>
          <w:spacing w:val="-4"/>
          <w:sz w:val="24"/>
        </w:rPr>
        <w:t> </w:t>
      </w:r>
      <w:r>
        <w:rPr>
          <w:sz w:val="24"/>
        </w:rPr>
        <w:t>decisions,</w:t>
      </w:r>
      <w:r>
        <w:rPr>
          <w:spacing w:val="-3"/>
          <w:sz w:val="24"/>
        </w:rPr>
        <w:t> </w:t>
      </w:r>
      <w:r>
        <w:rPr>
          <w:sz w:val="24"/>
        </w:rPr>
        <w:t>facts, and planned services not already covered in the original trial work experience plan.</w:t>
      </w:r>
    </w:p>
    <w:p>
      <w:pPr>
        <w:pStyle w:val="BodyText"/>
        <w:spacing w:before="210"/>
      </w:pPr>
      <w:r>
        <w:rPr/>
        <w:t>INSTRUCTIONS</w:t>
      </w:r>
      <w:r>
        <w:rPr>
          <w:spacing w:val="-3"/>
        </w:rPr>
        <w:t> </w:t>
      </w:r>
      <w:r>
        <w:rPr/>
        <w:t>TO</w:t>
      </w:r>
      <w:r>
        <w:rPr>
          <w:spacing w:val="-2"/>
        </w:rPr>
        <w:t> </w:t>
      </w:r>
      <w:r>
        <w:rPr>
          <w:spacing w:val="-4"/>
        </w:rPr>
        <w:t>STAFF</w:t>
      </w:r>
    </w:p>
    <w:p>
      <w:pPr>
        <w:pStyle w:val="ListParagraph"/>
        <w:numPr>
          <w:ilvl w:val="0"/>
          <w:numId w:val="125"/>
        </w:numPr>
        <w:tabs>
          <w:tab w:pos="693" w:val="left" w:leader="none"/>
        </w:tabs>
        <w:spacing w:line="240" w:lineRule="auto" w:before="204" w:after="0"/>
        <w:ind w:left="693" w:right="0" w:hanging="333"/>
        <w:jc w:val="left"/>
        <w:rPr>
          <w:sz w:val="24"/>
        </w:rPr>
      </w:pPr>
      <w:r>
        <w:rPr>
          <w:sz w:val="24"/>
        </w:rPr>
        <w:t>Link:</w:t>
      </w:r>
      <w:r>
        <w:rPr>
          <w:spacing w:val="76"/>
          <w:w w:val="150"/>
          <w:sz w:val="24"/>
        </w:rPr>
        <w:t> </w:t>
      </w:r>
      <w:hyperlink r:id="rId41">
        <w:r>
          <w:rPr>
            <w:color w:val="0000FF"/>
            <w:sz w:val="24"/>
            <w:u w:val="single" w:color="0000FF"/>
          </w:rPr>
          <w:t>34CFR361.42</w:t>
        </w:r>
        <w:r>
          <w:rPr>
            <w:color w:val="0000FF"/>
            <w:spacing w:val="-2"/>
            <w:sz w:val="24"/>
            <w:u w:val="single" w:color="0000FF"/>
          </w:rPr>
          <w:t> </w:t>
        </w:r>
        <w:r>
          <w:rPr>
            <w:color w:val="0000FF"/>
            <w:sz w:val="24"/>
            <w:u w:val="single" w:color="0000FF"/>
          </w:rPr>
          <w:t>(e)</w:t>
        </w:r>
        <w:r>
          <w:rPr>
            <w:color w:val="0000FF"/>
            <w:spacing w:val="-1"/>
            <w:sz w:val="24"/>
            <w:u w:val="single" w:color="0000FF"/>
          </w:rPr>
          <w:t> </w:t>
        </w:r>
        <w:r>
          <w:rPr>
            <w:color w:val="0000FF"/>
            <w:sz w:val="24"/>
            <w:u w:val="single" w:color="0000FF"/>
          </w:rPr>
          <w:t>and</w:t>
        </w:r>
        <w:r>
          <w:rPr>
            <w:color w:val="0000FF"/>
            <w:spacing w:val="-3"/>
            <w:sz w:val="24"/>
            <w:u w:val="single" w:color="0000FF"/>
          </w:rPr>
          <w:t> </w:t>
        </w:r>
        <w:r>
          <w:rPr>
            <w:color w:val="0000FF"/>
            <w:spacing w:val="-4"/>
            <w:sz w:val="24"/>
            <w:u w:val="single" w:color="0000FF"/>
          </w:rPr>
          <w:t>(f)</w:t>
        </w:r>
      </w:hyperlink>
      <w:r>
        <w:rPr>
          <w:spacing w:val="-4"/>
          <w:sz w:val="24"/>
          <w:u w:val="none"/>
        </w:rPr>
        <w:t>.</w:t>
      </w:r>
    </w:p>
    <w:p>
      <w:pPr>
        <w:pStyle w:val="ListParagraph"/>
        <w:numPr>
          <w:ilvl w:val="0"/>
          <w:numId w:val="125"/>
        </w:numPr>
        <w:tabs>
          <w:tab w:pos="692" w:val="left" w:leader="none"/>
        </w:tabs>
        <w:spacing w:line="208" w:lineRule="auto" w:before="233" w:after="0"/>
        <w:ind w:left="359" w:right="769" w:firstLine="0"/>
        <w:jc w:val="left"/>
        <w:rPr>
          <w:sz w:val="24"/>
        </w:rPr>
      </w:pPr>
      <w:r>
        <w:rPr>
          <w:sz w:val="24"/>
        </w:rPr>
        <w:t>Trial</w:t>
      </w:r>
      <w:r>
        <w:rPr>
          <w:spacing w:val="-5"/>
          <w:sz w:val="24"/>
        </w:rPr>
        <w:t> </w:t>
      </w:r>
      <w:r>
        <w:rPr>
          <w:sz w:val="24"/>
        </w:rPr>
        <w:t>work</w:t>
      </w:r>
      <w:r>
        <w:rPr>
          <w:spacing w:val="-5"/>
          <w:sz w:val="24"/>
        </w:rPr>
        <w:t> </w:t>
      </w:r>
      <w:r>
        <w:rPr>
          <w:sz w:val="24"/>
        </w:rPr>
        <w:t>experience</w:t>
      </w:r>
      <w:r>
        <w:rPr>
          <w:spacing w:val="-5"/>
          <w:sz w:val="24"/>
        </w:rPr>
        <w:t> </w:t>
      </w:r>
      <w:r>
        <w:rPr>
          <w:sz w:val="24"/>
        </w:rPr>
        <w:t>may</w:t>
      </w:r>
      <w:r>
        <w:rPr>
          <w:spacing w:val="-5"/>
          <w:sz w:val="24"/>
        </w:rPr>
        <w:t> </w:t>
      </w:r>
      <w:r>
        <w:rPr>
          <w:sz w:val="24"/>
        </w:rPr>
        <w:t>include</w:t>
      </w:r>
      <w:r>
        <w:rPr>
          <w:spacing w:val="-5"/>
          <w:sz w:val="24"/>
        </w:rPr>
        <w:t> </w:t>
      </w:r>
      <w:r>
        <w:rPr>
          <w:sz w:val="24"/>
        </w:rPr>
        <w:t>career</w:t>
      </w:r>
      <w:r>
        <w:rPr>
          <w:spacing w:val="-4"/>
          <w:sz w:val="24"/>
        </w:rPr>
        <w:t> </w:t>
      </w:r>
      <w:r>
        <w:rPr>
          <w:sz w:val="24"/>
        </w:rPr>
        <w:t>exploration</w:t>
      </w:r>
      <w:r>
        <w:rPr>
          <w:spacing w:val="-4"/>
          <w:sz w:val="24"/>
        </w:rPr>
        <w:t> </w:t>
      </w:r>
      <w:r>
        <w:rPr>
          <w:sz w:val="24"/>
        </w:rPr>
        <w:t>service,</w:t>
      </w:r>
      <w:r>
        <w:rPr>
          <w:spacing w:val="-4"/>
          <w:sz w:val="24"/>
        </w:rPr>
        <w:t> </w:t>
      </w:r>
      <w:r>
        <w:rPr>
          <w:sz w:val="24"/>
        </w:rPr>
        <w:t>on-the-job</w:t>
      </w:r>
      <w:r>
        <w:rPr>
          <w:spacing w:val="-5"/>
          <w:sz w:val="24"/>
        </w:rPr>
        <w:t> </w:t>
      </w:r>
      <w:r>
        <w:rPr>
          <w:sz w:val="24"/>
        </w:rPr>
        <w:t>training</w:t>
      </w:r>
      <w:r>
        <w:rPr>
          <w:spacing w:val="-5"/>
          <w:sz w:val="24"/>
        </w:rPr>
        <w:t> </w:t>
      </w:r>
      <w:r>
        <w:rPr>
          <w:sz w:val="24"/>
        </w:rPr>
        <w:t>and other experiences using realistic work settings. To access the Career Exploration service and the Supplemental Employment Services contract and forms, see </w:t>
      </w:r>
      <w:hyperlink r:id="rId46">
        <w:r>
          <w:rPr>
            <w:color w:val="0562C1"/>
            <w:spacing w:val="-2"/>
            <w:sz w:val="24"/>
            <w:u w:val="single" w:color="0562C1"/>
          </w:rPr>
          <w:t>https://www.okdrs.gov/ESS/SESC</w:t>
        </w:r>
      </w:hyperlink>
      <w:r>
        <w:rPr>
          <w:spacing w:val="-2"/>
          <w:sz w:val="24"/>
          <w:u w:val="none"/>
        </w:rPr>
        <w:t>.</w:t>
      </w:r>
    </w:p>
    <w:p>
      <w:pPr>
        <w:pStyle w:val="ListParagraph"/>
        <w:numPr>
          <w:ilvl w:val="0"/>
          <w:numId w:val="125"/>
        </w:numPr>
        <w:tabs>
          <w:tab w:pos="693" w:val="left" w:leader="none"/>
        </w:tabs>
        <w:spacing w:line="208" w:lineRule="auto" w:before="240" w:after="0"/>
        <w:ind w:left="360" w:right="779" w:firstLine="0"/>
        <w:jc w:val="left"/>
        <w:rPr>
          <w:sz w:val="24"/>
        </w:rPr>
      </w:pPr>
      <w:r>
        <w:rPr>
          <w:sz w:val="24"/>
        </w:rPr>
        <w:t>The document will include the purpose and rationale for the plan, the list of services to</w:t>
      </w:r>
      <w:r>
        <w:rPr>
          <w:spacing w:val="-4"/>
          <w:sz w:val="24"/>
        </w:rPr>
        <w:t> </w:t>
      </w:r>
      <w:r>
        <w:rPr>
          <w:sz w:val="24"/>
        </w:rPr>
        <w:t>be</w:t>
      </w:r>
      <w:r>
        <w:rPr>
          <w:spacing w:val="-4"/>
          <w:sz w:val="24"/>
        </w:rPr>
        <w:t> </w:t>
      </w:r>
      <w:r>
        <w:rPr>
          <w:sz w:val="24"/>
        </w:rPr>
        <w:t>provided,</w:t>
      </w:r>
      <w:r>
        <w:rPr>
          <w:spacing w:val="-3"/>
          <w:sz w:val="24"/>
        </w:rPr>
        <w:t> </w:t>
      </w:r>
      <w:r>
        <w:rPr>
          <w:sz w:val="24"/>
        </w:rPr>
        <w:t>the</w:t>
      </w:r>
      <w:r>
        <w:rPr>
          <w:spacing w:val="-4"/>
          <w:sz w:val="24"/>
        </w:rPr>
        <w:t> </w:t>
      </w:r>
      <w:r>
        <w:rPr>
          <w:sz w:val="24"/>
        </w:rPr>
        <w:t>chosen</w:t>
      </w:r>
      <w:r>
        <w:rPr>
          <w:spacing w:val="-4"/>
          <w:sz w:val="24"/>
        </w:rPr>
        <w:t> </w:t>
      </w:r>
      <w:r>
        <w:rPr>
          <w:sz w:val="24"/>
        </w:rPr>
        <w:t>service</w:t>
      </w:r>
      <w:r>
        <w:rPr>
          <w:spacing w:val="-4"/>
          <w:sz w:val="24"/>
        </w:rPr>
        <w:t> </w:t>
      </w:r>
      <w:r>
        <w:rPr>
          <w:sz w:val="24"/>
        </w:rPr>
        <w:t>providers,</w:t>
      </w:r>
      <w:r>
        <w:rPr>
          <w:spacing w:val="-3"/>
          <w:sz w:val="24"/>
        </w:rPr>
        <w:t> </w:t>
      </w:r>
      <w:r>
        <w:rPr>
          <w:sz w:val="24"/>
        </w:rPr>
        <w:t>the</w:t>
      </w:r>
      <w:r>
        <w:rPr>
          <w:spacing w:val="-4"/>
          <w:sz w:val="24"/>
        </w:rPr>
        <w:t> </w:t>
      </w:r>
      <w:r>
        <w:rPr>
          <w:sz w:val="24"/>
        </w:rPr>
        <w:t>payment</w:t>
      </w:r>
      <w:r>
        <w:rPr>
          <w:spacing w:val="-3"/>
          <w:sz w:val="24"/>
        </w:rPr>
        <w:t> </w:t>
      </w:r>
      <w:r>
        <w:rPr>
          <w:sz w:val="24"/>
        </w:rPr>
        <w:t>sources</w:t>
      </w:r>
      <w:r>
        <w:rPr>
          <w:spacing w:val="-4"/>
          <w:sz w:val="24"/>
        </w:rPr>
        <w:t> </w:t>
      </w:r>
      <w:r>
        <w:rPr>
          <w:sz w:val="24"/>
        </w:rPr>
        <w:t>for</w:t>
      </w:r>
      <w:r>
        <w:rPr>
          <w:spacing w:val="-5"/>
          <w:sz w:val="24"/>
        </w:rPr>
        <w:t> </w:t>
      </w:r>
      <w:r>
        <w:rPr>
          <w:sz w:val="24"/>
        </w:rPr>
        <w:t>the</w:t>
      </w:r>
      <w:r>
        <w:rPr>
          <w:spacing w:val="-4"/>
          <w:sz w:val="24"/>
        </w:rPr>
        <w:t> </w:t>
      </w:r>
      <w:r>
        <w:rPr>
          <w:sz w:val="24"/>
        </w:rPr>
        <w:t>services,</w:t>
      </w:r>
      <w:r>
        <w:rPr>
          <w:spacing w:val="-3"/>
          <w:sz w:val="24"/>
        </w:rPr>
        <w:t> </w:t>
      </w:r>
      <w:r>
        <w:rPr>
          <w:sz w:val="24"/>
        </w:rPr>
        <w:t>and the criteria and schedule for evaluating progress. The plan will require the signature of the individual, or the individual's authorized representative, and the counselor. Other administrative approvals may also be necessary. The individual will be given a copy of the plan. The progress review conducted at least every 90 days is summarized on a case narrative form.</w:t>
      </w:r>
    </w:p>
    <w:p>
      <w:pPr>
        <w:pStyle w:val="ListParagraph"/>
        <w:numPr>
          <w:ilvl w:val="0"/>
          <w:numId w:val="125"/>
        </w:numPr>
        <w:tabs>
          <w:tab w:pos="693" w:val="left" w:leader="none"/>
        </w:tabs>
        <w:spacing w:line="208" w:lineRule="auto" w:before="239" w:after="0"/>
        <w:ind w:left="360" w:right="765" w:firstLine="0"/>
        <w:jc w:val="left"/>
        <w:rPr>
          <w:sz w:val="24"/>
        </w:rPr>
      </w:pPr>
      <w:r>
        <w:rPr>
          <w:sz w:val="24"/>
        </w:rPr>
        <w:t>See</w:t>
      </w:r>
      <w:r>
        <w:rPr>
          <w:spacing w:val="-5"/>
          <w:sz w:val="24"/>
        </w:rPr>
        <w:t> </w:t>
      </w:r>
      <w:hyperlink w:history="true" w:anchor="_bookmark12">
        <w:r>
          <w:rPr>
            <w:color w:val="0000FF"/>
            <w:sz w:val="24"/>
            <w:u w:val="single" w:color="0000FF"/>
          </w:rPr>
          <w:t>612:10-7-24.4</w:t>
        </w:r>
      </w:hyperlink>
      <w:r>
        <w:rPr>
          <w:color w:val="0000FF"/>
          <w:spacing w:val="-5"/>
          <w:sz w:val="24"/>
          <w:u w:val="none"/>
        </w:rPr>
        <w:t> </w:t>
      </w:r>
      <w:r>
        <w:rPr>
          <w:sz w:val="24"/>
          <w:u w:val="none"/>
        </w:rPr>
        <w:t>Ineligibility</w:t>
      </w:r>
      <w:r>
        <w:rPr>
          <w:spacing w:val="-4"/>
          <w:sz w:val="24"/>
          <w:u w:val="none"/>
        </w:rPr>
        <w:t> </w:t>
      </w:r>
      <w:r>
        <w:rPr>
          <w:sz w:val="24"/>
          <w:u w:val="none"/>
        </w:rPr>
        <w:t>procedures</w:t>
      </w:r>
      <w:r>
        <w:rPr>
          <w:spacing w:val="-4"/>
          <w:sz w:val="24"/>
          <w:u w:val="none"/>
        </w:rPr>
        <w:t> </w:t>
      </w:r>
      <w:r>
        <w:rPr>
          <w:sz w:val="24"/>
          <w:u w:val="none"/>
        </w:rPr>
        <w:t>and</w:t>
      </w:r>
      <w:r>
        <w:rPr>
          <w:spacing w:val="-5"/>
          <w:sz w:val="24"/>
          <w:u w:val="none"/>
        </w:rPr>
        <w:t> </w:t>
      </w:r>
      <w:hyperlink w:history="true" w:anchor="_bookmark13">
        <w:r>
          <w:rPr>
            <w:color w:val="0000FF"/>
            <w:sz w:val="24"/>
            <w:u w:val="single" w:color="0000FF"/>
          </w:rPr>
          <w:t>612:10-7-24.5</w:t>
        </w:r>
      </w:hyperlink>
      <w:r>
        <w:rPr>
          <w:color w:val="0000FF"/>
          <w:spacing w:val="-5"/>
          <w:sz w:val="24"/>
          <w:u w:val="none"/>
        </w:rPr>
        <w:t> </w:t>
      </w:r>
      <w:r>
        <w:rPr>
          <w:sz w:val="24"/>
          <w:u w:val="none"/>
        </w:rPr>
        <w:t>Closed</w:t>
      </w:r>
      <w:r>
        <w:rPr>
          <w:spacing w:val="-5"/>
          <w:sz w:val="24"/>
          <w:u w:val="none"/>
        </w:rPr>
        <w:t> </w:t>
      </w:r>
      <w:r>
        <w:rPr>
          <w:sz w:val="24"/>
          <w:u w:val="none"/>
        </w:rPr>
        <w:t>–</w:t>
      </w:r>
      <w:r>
        <w:rPr>
          <w:spacing w:val="-5"/>
          <w:sz w:val="24"/>
          <w:u w:val="none"/>
        </w:rPr>
        <w:t> </w:t>
      </w:r>
      <w:r>
        <w:rPr>
          <w:sz w:val="24"/>
          <w:u w:val="none"/>
        </w:rPr>
        <w:t>Not</w:t>
      </w:r>
      <w:r>
        <w:rPr>
          <w:spacing w:val="-4"/>
          <w:sz w:val="24"/>
          <w:u w:val="none"/>
        </w:rPr>
        <w:t> </w:t>
      </w:r>
      <w:r>
        <w:rPr>
          <w:sz w:val="24"/>
          <w:u w:val="none"/>
        </w:rPr>
        <w:t>Accepted for Services.</w:t>
      </w:r>
    </w:p>
    <w:p>
      <w:pPr>
        <w:spacing w:before="244"/>
        <w:ind w:left="360" w:right="0" w:firstLine="0"/>
        <w:jc w:val="left"/>
        <w:rPr>
          <w:sz w:val="22"/>
        </w:rPr>
      </w:pPr>
      <w:r>
        <w:rPr>
          <w:sz w:val="22"/>
        </w:rPr>
        <w:t>Section</w:t>
      </w:r>
      <w:r>
        <w:rPr>
          <w:spacing w:val="-9"/>
          <w:sz w:val="22"/>
        </w:rPr>
        <w:t> </w:t>
      </w:r>
      <w:r>
        <w:rPr>
          <w:spacing w:val="-2"/>
          <w:sz w:val="22"/>
        </w:rPr>
        <w:t>History</w:t>
      </w:r>
    </w:p>
    <w:p>
      <w:pPr>
        <w:tabs>
          <w:tab w:pos="1529" w:val="left" w:leader="none"/>
        </w:tabs>
        <w:spacing w:line="253" w:lineRule="exact" w:before="0"/>
        <w:ind w:left="360" w:right="0" w:firstLine="0"/>
        <w:jc w:val="left"/>
        <w:rPr>
          <w:sz w:val="22"/>
        </w:rPr>
      </w:pPr>
      <w:r>
        <w:rPr>
          <w:spacing w:val="-2"/>
          <w:sz w:val="22"/>
        </w:rPr>
        <w:t>7-1-</w:t>
      </w:r>
      <w:r>
        <w:rPr>
          <w:spacing w:val="-5"/>
          <w:sz w:val="22"/>
        </w:rPr>
        <w:t>11</w:t>
      </w:r>
      <w:r>
        <w:rPr>
          <w:sz w:val="22"/>
        </w:rPr>
        <w:tab/>
        <w:t>PT</w:t>
      </w:r>
      <w:r>
        <w:rPr>
          <w:spacing w:val="-8"/>
          <w:sz w:val="22"/>
        </w:rPr>
        <w:t> </w:t>
      </w:r>
      <w:r>
        <w:rPr>
          <w:sz w:val="22"/>
        </w:rPr>
        <w:t>Memo</w:t>
      </w:r>
      <w:r>
        <w:rPr>
          <w:spacing w:val="-8"/>
          <w:sz w:val="22"/>
        </w:rPr>
        <w:t> </w:t>
      </w:r>
      <w:r>
        <w:rPr>
          <w:sz w:val="22"/>
        </w:rPr>
        <w:t>#12-</w:t>
      </w:r>
      <w:r>
        <w:rPr>
          <w:spacing w:val="-5"/>
          <w:sz w:val="22"/>
        </w:rPr>
        <w:t>01</w:t>
      </w:r>
    </w:p>
    <w:p>
      <w:pPr>
        <w:spacing w:line="253" w:lineRule="exact" w:before="0"/>
        <w:ind w:left="1530" w:right="0" w:firstLine="0"/>
        <w:jc w:val="left"/>
        <w:rPr>
          <w:sz w:val="22"/>
        </w:rPr>
      </w:pPr>
      <w:r>
        <w:rPr>
          <w:sz w:val="22"/>
        </w:rPr>
        <w:t>Permanent,</w:t>
      </w:r>
      <w:r>
        <w:rPr>
          <w:spacing w:val="-5"/>
          <w:sz w:val="22"/>
        </w:rPr>
        <w:t> </w:t>
      </w:r>
      <w:r>
        <w:rPr>
          <w:sz w:val="22"/>
        </w:rPr>
        <w:t>new,</w:t>
      </w:r>
      <w:r>
        <w:rPr>
          <w:spacing w:val="-5"/>
          <w:sz w:val="22"/>
        </w:rPr>
        <w:t> </w:t>
      </w:r>
      <w:r>
        <w:rPr>
          <w:sz w:val="22"/>
        </w:rPr>
        <w:t>moved</w:t>
      </w:r>
      <w:r>
        <w:rPr>
          <w:spacing w:val="-6"/>
          <w:sz w:val="22"/>
        </w:rPr>
        <w:t> </w:t>
      </w:r>
      <w:r>
        <w:rPr>
          <w:sz w:val="22"/>
        </w:rPr>
        <w:t>to</w:t>
      </w:r>
      <w:r>
        <w:rPr>
          <w:spacing w:val="-5"/>
          <w:sz w:val="22"/>
        </w:rPr>
        <w:t> </w:t>
      </w:r>
      <w:r>
        <w:rPr>
          <w:sz w:val="22"/>
        </w:rPr>
        <w:t>reflect</w:t>
      </w:r>
      <w:r>
        <w:rPr>
          <w:spacing w:val="-5"/>
          <w:sz w:val="22"/>
        </w:rPr>
        <w:t> </w:t>
      </w:r>
      <w:r>
        <w:rPr>
          <w:sz w:val="22"/>
        </w:rPr>
        <w:t>its</w:t>
      </w:r>
      <w:r>
        <w:rPr>
          <w:spacing w:val="-7"/>
          <w:sz w:val="22"/>
        </w:rPr>
        <w:t> </w:t>
      </w:r>
      <w:r>
        <w:rPr>
          <w:sz w:val="22"/>
        </w:rPr>
        <w:t>place</w:t>
      </w:r>
      <w:r>
        <w:rPr>
          <w:spacing w:val="-5"/>
          <w:sz w:val="22"/>
        </w:rPr>
        <w:t> </w:t>
      </w:r>
      <w:r>
        <w:rPr>
          <w:sz w:val="22"/>
        </w:rPr>
        <w:t>in</w:t>
      </w:r>
      <w:r>
        <w:rPr>
          <w:spacing w:val="-5"/>
          <w:sz w:val="22"/>
        </w:rPr>
        <w:t> </w:t>
      </w:r>
      <w:r>
        <w:rPr>
          <w:sz w:val="22"/>
        </w:rPr>
        <w:t>the</w:t>
      </w:r>
      <w:r>
        <w:rPr>
          <w:spacing w:val="-6"/>
          <w:sz w:val="22"/>
        </w:rPr>
        <w:t> </w:t>
      </w:r>
      <w:r>
        <w:rPr>
          <w:sz w:val="22"/>
        </w:rPr>
        <w:t>case</w:t>
      </w:r>
      <w:r>
        <w:rPr>
          <w:spacing w:val="-6"/>
          <w:sz w:val="22"/>
        </w:rPr>
        <w:t> </w:t>
      </w:r>
      <w:r>
        <w:rPr>
          <w:spacing w:val="-2"/>
          <w:sz w:val="22"/>
        </w:rPr>
        <w:t>process.</w:t>
      </w:r>
    </w:p>
    <w:p>
      <w:pPr>
        <w:tabs>
          <w:tab w:pos="1529" w:val="left" w:leader="none"/>
        </w:tabs>
        <w:spacing w:before="1"/>
        <w:ind w:left="1529" w:right="775" w:hanging="117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529" w:val="left" w:leader="none"/>
        </w:tabs>
        <w:spacing w:before="0"/>
        <w:ind w:left="1529" w:right="843" w:hanging="117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529" w:val="left" w:leader="none"/>
        </w:tabs>
        <w:spacing w:before="1"/>
        <w:ind w:left="1529" w:right="977" w:hanging="1171"/>
        <w:jc w:val="left"/>
        <w:rPr>
          <w:sz w:val="22"/>
        </w:rPr>
      </w:pPr>
      <w:r>
        <w:rPr>
          <w:spacing w:val="-2"/>
          <w:sz w:val="22"/>
        </w:rPr>
        <w:t>9-14-18</w:t>
      </w:r>
      <w:r>
        <w:rPr>
          <w:sz w:val="22"/>
        </w:rPr>
        <w:tab/>
        <w:t>Updates reflect WIOA</w:t>
      </w:r>
      <w:r>
        <w:rPr>
          <w:sz w:val="24"/>
        </w:rPr>
        <w:t>'</w:t>
      </w:r>
      <w:r>
        <w:rPr>
          <w:sz w:val="22"/>
        </w:rPr>
        <w:t>s elimination of “extended evaluation”.</w:t>
      </w:r>
      <w:r>
        <w:rPr>
          <w:spacing w:val="40"/>
          <w:sz w:val="22"/>
        </w:rPr>
        <w:t> </w:t>
      </w:r>
      <w:r>
        <w:rPr>
          <w:sz w:val="22"/>
        </w:rPr>
        <w:t>Trial work experiences</w:t>
      </w:r>
      <w:r>
        <w:rPr>
          <w:spacing w:val="-5"/>
          <w:sz w:val="22"/>
        </w:rPr>
        <w:t> </w:t>
      </w:r>
      <w:r>
        <w:rPr>
          <w:sz w:val="22"/>
        </w:rPr>
        <w:t>in</w:t>
      </w:r>
      <w:r>
        <w:rPr>
          <w:spacing w:val="-4"/>
          <w:sz w:val="22"/>
        </w:rPr>
        <w:t> </w:t>
      </w:r>
      <w:r>
        <w:rPr>
          <w:sz w:val="22"/>
        </w:rPr>
        <w:t>competitive</w:t>
      </w:r>
      <w:r>
        <w:rPr>
          <w:spacing w:val="-4"/>
          <w:sz w:val="22"/>
        </w:rPr>
        <w:t> </w:t>
      </w:r>
      <w:r>
        <w:rPr>
          <w:sz w:val="22"/>
        </w:rPr>
        <w:t>integrated</w:t>
      </w:r>
      <w:r>
        <w:rPr>
          <w:spacing w:val="-4"/>
          <w:sz w:val="22"/>
        </w:rPr>
        <w:t> </w:t>
      </w:r>
      <w:r>
        <w:rPr>
          <w:sz w:val="22"/>
        </w:rPr>
        <w:t>employment</w:t>
      </w:r>
      <w:r>
        <w:rPr>
          <w:spacing w:val="-4"/>
          <w:sz w:val="22"/>
        </w:rPr>
        <w:t> </w:t>
      </w:r>
      <w:r>
        <w:rPr>
          <w:sz w:val="22"/>
        </w:rPr>
        <w:t>situations</w:t>
      </w:r>
      <w:r>
        <w:rPr>
          <w:spacing w:val="-5"/>
          <w:sz w:val="22"/>
        </w:rPr>
        <w:t> </w:t>
      </w:r>
      <w:r>
        <w:rPr>
          <w:sz w:val="22"/>
        </w:rPr>
        <w:t>will</w:t>
      </w:r>
      <w:r>
        <w:rPr>
          <w:spacing w:val="-4"/>
          <w:sz w:val="22"/>
        </w:rPr>
        <w:t> </w:t>
      </w:r>
      <w:r>
        <w:rPr>
          <w:sz w:val="22"/>
        </w:rPr>
        <w:t>be</w:t>
      </w:r>
      <w:r>
        <w:rPr>
          <w:spacing w:val="-4"/>
          <w:sz w:val="22"/>
        </w:rPr>
        <w:t> </w:t>
      </w:r>
      <w:r>
        <w:rPr>
          <w:sz w:val="22"/>
        </w:rPr>
        <w:t>used</w:t>
      </w:r>
      <w:r>
        <w:rPr>
          <w:spacing w:val="-5"/>
          <w:sz w:val="22"/>
        </w:rPr>
        <w:t> </w:t>
      </w:r>
      <w:r>
        <w:rPr>
          <w:sz w:val="22"/>
        </w:rPr>
        <w:t>to</w:t>
      </w:r>
      <w:r>
        <w:rPr>
          <w:spacing w:val="-4"/>
          <w:sz w:val="22"/>
        </w:rPr>
        <w:t> </w:t>
      </w:r>
      <w:r>
        <w:rPr>
          <w:sz w:val="22"/>
        </w:rPr>
        <w:t>make this type of determination.</w:t>
      </w:r>
    </w:p>
    <w:p>
      <w:pPr>
        <w:tabs>
          <w:tab w:pos="1529" w:val="left" w:leader="none"/>
        </w:tabs>
        <w:spacing w:line="252" w:lineRule="exact" w:before="0"/>
        <w:ind w:left="359" w:right="0" w:firstLine="0"/>
        <w:jc w:val="left"/>
        <w:rPr>
          <w:sz w:val="22"/>
        </w:rPr>
      </w:pPr>
      <w:r>
        <w:rPr>
          <w:spacing w:val="-2"/>
          <w:sz w:val="22"/>
        </w:rPr>
        <w:t>5-4-</w:t>
      </w:r>
      <w:r>
        <w:rPr>
          <w:spacing w:val="-5"/>
          <w:sz w:val="22"/>
        </w:rPr>
        <w:t>23</w:t>
      </w:r>
      <w:r>
        <w:rPr>
          <w:sz w:val="22"/>
        </w:rPr>
        <w:tab/>
        <w:t>Updated</w:t>
      </w:r>
      <w:r>
        <w:rPr>
          <w:spacing w:val="-10"/>
          <w:sz w:val="22"/>
        </w:rPr>
        <w:t> </w:t>
      </w:r>
      <w:r>
        <w:rPr>
          <w:spacing w:val="-4"/>
          <w:sz w:val="22"/>
        </w:rPr>
        <w:t>ITS.</w:t>
      </w:r>
    </w:p>
    <w:p>
      <w:pPr>
        <w:spacing w:after="0" w:line="252" w:lineRule="exact"/>
        <w:jc w:val="left"/>
        <w:rPr>
          <w:sz w:val="22"/>
        </w:rPr>
        <w:sectPr>
          <w:pgSz w:w="12240" w:h="15840"/>
          <w:pgMar w:top="1340" w:bottom="280" w:left="1080" w:right="720"/>
        </w:sectPr>
      </w:pPr>
    </w:p>
    <w:p>
      <w:pPr>
        <w:pStyle w:val="Heading2"/>
      </w:pPr>
      <w:bookmarkStart w:name="612:10-7-24.4  Ineligibility procedures" w:id="130"/>
      <w:bookmarkEnd w:id="130"/>
      <w:r>
        <w:rPr>
          <w:b w:val="0"/>
        </w:rPr>
      </w:r>
      <w:bookmarkStart w:name="_bookmark12" w:id="131"/>
      <w:bookmarkEnd w:id="131"/>
      <w:r>
        <w:rPr>
          <w:b w:val="0"/>
        </w:rPr>
      </w:r>
      <w:r>
        <w:rPr/>
        <w:t>612:10-7-24.4</w:t>
      </w:r>
      <w:r>
        <w:rPr>
          <w:spacing w:val="56"/>
        </w:rPr>
        <w:t> </w:t>
      </w:r>
      <w:r>
        <w:rPr/>
        <w:t>Ineligibility</w:t>
      </w:r>
      <w:r>
        <w:rPr>
          <w:spacing w:val="-5"/>
        </w:rPr>
        <w:t> </w:t>
      </w:r>
      <w:r>
        <w:rPr>
          <w:spacing w:val="-2"/>
        </w:rPr>
        <w:t>procedures</w:t>
      </w:r>
    </w:p>
    <w:p>
      <w:pPr>
        <w:pStyle w:val="ListParagraph"/>
        <w:numPr>
          <w:ilvl w:val="0"/>
          <w:numId w:val="126"/>
        </w:numPr>
        <w:tabs>
          <w:tab w:pos="784" w:val="left" w:leader="none"/>
        </w:tabs>
        <w:spacing w:line="208" w:lineRule="auto" w:before="233" w:after="0"/>
        <w:ind w:left="359" w:right="979" w:firstLine="0"/>
        <w:jc w:val="left"/>
        <w:rPr>
          <w:sz w:val="24"/>
        </w:rPr>
      </w:pPr>
      <w:r>
        <w:rPr>
          <w:sz w:val="24"/>
        </w:rPr>
        <w:t>If</w:t>
      </w:r>
      <w:r>
        <w:rPr>
          <w:spacing w:val="-4"/>
          <w:sz w:val="24"/>
        </w:rPr>
        <w:t> </w:t>
      </w:r>
      <w:r>
        <w:rPr>
          <w:sz w:val="24"/>
        </w:rPr>
        <w:t>the</w:t>
      </w:r>
      <w:r>
        <w:rPr>
          <w:spacing w:val="-3"/>
          <w:sz w:val="24"/>
        </w:rPr>
        <w:t> </w:t>
      </w:r>
      <w:r>
        <w:rPr>
          <w:sz w:val="24"/>
        </w:rPr>
        <w:t>VR</w:t>
      </w:r>
      <w:r>
        <w:rPr>
          <w:spacing w:val="-3"/>
          <w:sz w:val="24"/>
        </w:rPr>
        <w:t> </w:t>
      </w:r>
      <w:r>
        <w:rPr>
          <w:sz w:val="24"/>
        </w:rPr>
        <w:t>Counselor</w:t>
      </w:r>
      <w:r>
        <w:rPr>
          <w:spacing w:val="-2"/>
          <w:sz w:val="24"/>
        </w:rPr>
        <w:t> </w:t>
      </w:r>
      <w:r>
        <w:rPr>
          <w:sz w:val="24"/>
        </w:rPr>
        <w:t>determines</w:t>
      </w:r>
      <w:r>
        <w:rPr>
          <w:spacing w:val="-3"/>
          <w:sz w:val="24"/>
        </w:rPr>
        <w:t> </w:t>
      </w:r>
      <w:r>
        <w:rPr>
          <w:sz w:val="24"/>
        </w:rPr>
        <w:t>that</w:t>
      </w:r>
      <w:r>
        <w:rPr>
          <w:spacing w:val="-2"/>
          <w:sz w:val="24"/>
        </w:rPr>
        <w:t> </w:t>
      </w:r>
      <w:r>
        <w:rPr>
          <w:sz w:val="24"/>
        </w:rPr>
        <w:t>an</w:t>
      </w:r>
      <w:r>
        <w:rPr>
          <w:spacing w:val="-4"/>
          <w:sz w:val="24"/>
        </w:rPr>
        <w:t> </w:t>
      </w:r>
      <w:r>
        <w:rPr>
          <w:sz w:val="24"/>
        </w:rPr>
        <w:t>applicant</w:t>
      </w:r>
      <w:r>
        <w:rPr>
          <w:spacing w:val="-2"/>
          <w:sz w:val="24"/>
        </w:rPr>
        <w:t> </w:t>
      </w:r>
      <w:r>
        <w:rPr>
          <w:sz w:val="24"/>
        </w:rPr>
        <w:t>is</w:t>
      </w:r>
      <w:r>
        <w:rPr>
          <w:spacing w:val="-2"/>
          <w:sz w:val="24"/>
        </w:rPr>
        <w:t> </w:t>
      </w:r>
      <w:r>
        <w:rPr>
          <w:sz w:val="24"/>
        </w:rPr>
        <w:t>not</w:t>
      </w:r>
      <w:r>
        <w:rPr>
          <w:spacing w:val="-2"/>
          <w:sz w:val="24"/>
        </w:rPr>
        <w:t> </w:t>
      </w:r>
      <w:r>
        <w:rPr>
          <w:sz w:val="24"/>
        </w:rPr>
        <w:t>eligible</w:t>
      </w:r>
      <w:r>
        <w:rPr>
          <w:spacing w:val="-2"/>
          <w:sz w:val="24"/>
        </w:rPr>
        <w:t> </w:t>
      </w:r>
      <w:r>
        <w:rPr>
          <w:sz w:val="24"/>
        </w:rPr>
        <w:t>for</w:t>
      </w:r>
      <w:r>
        <w:rPr>
          <w:spacing w:val="-2"/>
          <w:sz w:val="24"/>
        </w:rPr>
        <w:t> </w:t>
      </w:r>
      <w:r>
        <w:rPr>
          <w:sz w:val="24"/>
        </w:rPr>
        <w:t>VR</w:t>
      </w:r>
      <w:r>
        <w:rPr>
          <w:spacing w:val="-3"/>
          <w:sz w:val="24"/>
        </w:rPr>
        <w:t> </w:t>
      </w:r>
      <w:r>
        <w:rPr>
          <w:sz w:val="24"/>
        </w:rPr>
        <w:t>services,</w:t>
      </w:r>
      <w:r>
        <w:rPr>
          <w:spacing w:val="-2"/>
          <w:sz w:val="24"/>
        </w:rPr>
        <w:t> </w:t>
      </w:r>
      <w:r>
        <w:rPr>
          <w:sz w:val="24"/>
        </w:rPr>
        <w:t>or that an eligible individual receiving services under an IPE is no longer eligible for VR </w:t>
      </w:r>
      <w:r>
        <w:rPr>
          <w:spacing w:val="-2"/>
          <w:sz w:val="24"/>
        </w:rPr>
        <w:t>services:</w:t>
      </w:r>
    </w:p>
    <w:p>
      <w:pPr>
        <w:pStyle w:val="ListParagraph"/>
        <w:numPr>
          <w:ilvl w:val="1"/>
          <w:numId w:val="126"/>
        </w:numPr>
        <w:tabs>
          <w:tab w:pos="1216" w:val="left" w:leader="none"/>
        </w:tabs>
        <w:spacing w:line="208" w:lineRule="auto" w:before="240" w:after="0"/>
        <w:ind w:left="791" w:right="1120" w:firstLine="0"/>
        <w:jc w:val="left"/>
        <w:rPr>
          <w:sz w:val="24"/>
        </w:rPr>
      </w:pPr>
      <w:r>
        <w:rPr>
          <w:sz w:val="24"/>
        </w:rPr>
        <w:t>the individual, or individual's authorized representative, will be given an opportunity</w:t>
      </w:r>
      <w:r>
        <w:rPr>
          <w:spacing w:val="-3"/>
          <w:sz w:val="24"/>
        </w:rPr>
        <w:t> </w:t>
      </w:r>
      <w:r>
        <w:rPr>
          <w:sz w:val="24"/>
        </w:rPr>
        <w:t>for</w:t>
      </w:r>
      <w:r>
        <w:rPr>
          <w:spacing w:val="-5"/>
          <w:sz w:val="24"/>
        </w:rPr>
        <w:t> </w:t>
      </w:r>
      <w:r>
        <w:rPr>
          <w:sz w:val="24"/>
        </w:rPr>
        <w:t>full</w:t>
      </w:r>
      <w:r>
        <w:rPr>
          <w:spacing w:val="-4"/>
          <w:sz w:val="24"/>
        </w:rPr>
        <w:t> </w:t>
      </w:r>
      <w:r>
        <w:rPr>
          <w:sz w:val="24"/>
        </w:rPr>
        <w:t>consultation</w:t>
      </w:r>
      <w:r>
        <w:rPr>
          <w:spacing w:val="-4"/>
          <w:sz w:val="24"/>
        </w:rPr>
        <w:t> </w:t>
      </w:r>
      <w:r>
        <w:rPr>
          <w:sz w:val="24"/>
        </w:rPr>
        <w:t>before</w:t>
      </w:r>
      <w:r>
        <w:rPr>
          <w:spacing w:val="-4"/>
          <w:sz w:val="24"/>
        </w:rPr>
        <w:t> </w:t>
      </w:r>
      <w:r>
        <w:rPr>
          <w:sz w:val="24"/>
        </w:rPr>
        <w:t>the</w:t>
      </w:r>
      <w:r>
        <w:rPr>
          <w:spacing w:val="-4"/>
          <w:sz w:val="24"/>
        </w:rPr>
        <w:t> </w:t>
      </w:r>
      <w:r>
        <w:rPr>
          <w:sz w:val="24"/>
        </w:rPr>
        <w:t>ineligibility</w:t>
      </w:r>
      <w:r>
        <w:rPr>
          <w:spacing w:val="-4"/>
          <w:sz w:val="24"/>
        </w:rPr>
        <w:t> </w:t>
      </w:r>
      <w:r>
        <w:rPr>
          <w:sz w:val="24"/>
        </w:rPr>
        <w:t>determination</w:t>
      </w:r>
      <w:r>
        <w:rPr>
          <w:spacing w:val="-4"/>
          <w:sz w:val="24"/>
        </w:rPr>
        <w:t> </w:t>
      </w:r>
      <w:r>
        <w:rPr>
          <w:sz w:val="24"/>
        </w:rPr>
        <w:t>is</w:t>
      </w:r>
      <w:r>
        <w:rPr>
          <w:spacing w:val="-4"/>
          <w:sz w:val="24"/>
        </w:rPr>
        <w:t> </w:t>
      </w:r>
      <w:r>
        <w:rPr>
          <w:sz w:val="24"/>
        </w:rPr>
        <w:t>made;</w:t>
      </w:r>
      <w:r>
        <w:rPr>
          <w:spacing w:val="-3"/>
          <w:sz w:val="24"/>
        </w:rPr>
        <w:t> </w:t>
      </w:r>
      <w:r>
        <w:rPr>
          <w:sz w:val="24"/>
        </w:rPr>
        <w:t>and</w:t>
      </w:r>
    </w:p>
    <w:p>
      <w:pPr>
        <w:pStyle w:val="ListParagraph"/>
        <w:numPr>
          <w:ilvl w:val="1"/>
          <w:numId w:val="126"/>
        </w:numPr>
        <w:tabs>
          <w:tab w:pos="1216" w:val="left" w:leader="none"/>
        </w:tabs>
        <w:spacing w:line="208" w:lineRule="auto" w:before="239" w:after="0"/>
        <w:ind w:left="791" w:right="1408" w:firstLine="0"/>
        <w:jc w:val="left"/>
        <w:rPr>
          <w:sz w:val="24"/>
        </w:rPr>
      </w:pPr>
      <w:r>
        <w:rPr>
          <w:sz w:val="24"/>
        </w:rPr>
        <w:t>the</w:t>
      </w:r>
      <w:r>
        <w:rPr>
          <w:spacing w:val="-5"/>
          <w:sz w:val="24"/>
        </w:rPr>
        <w:t> </w:t>
      </w:r>
      <w:r>
        <w:rPr>
          <w:sz w:val="24"/>
        </w:rPr>
        <w:t>individual,</w:t>
      </w:r>
      <w:r>
        <w:rPr>
          <w:spacing w:val="-4"/>
          <w:sz w:val="24"/>
        </w:rPr>
        <w:t> </w:t>
      </w:r>
      <w:r>
        <w:rPr>
          <w:sz w:val="24"/>
        </w:rPr>
        <w:t>or</w:t>
      </w:r>
      <w:r>
        <w:rPr>
          <w:spacing w:val="-4"/>
          <w:sz w:val="24"/>
        </w:rPr>
        <w:t> </w:t>
      </w:r>
      <w:r>
        <w:rPr>
          <w:sz w:val="24"/>
        </w:rPr>
        <w:t>individual's</w:t>
      </w:r>
      <w:r>
        <w:rPr>
          <w:spacing w:val="-5"/>
          <w:sz w:val="24"/>
        </w:rPr>
        <w:t> </w:t>
      </w:r>
      <w:r>
        <w:rPr>
          <w:sz w:val="24"/>
        </w:rPr>
        <w:t>authorized</w:t>
      </w:r>
      <w:r>
        <w:rPr>
          <w:spacing w:val="-5"/>
          <w:sz w:val="24"/>
        </w:rPr>
        <w:t> </w:t>
      </w:r>
      <w:r>
        <w:rPr>
          <w:sz w:val="24"/>
        </w:rPr>
        <w:t>representative,</w:t>
      </w:r>
      <w:r>
        <w:rPr>
          <w:spacing w:val="-4"/>
          <w:sz w:val="24"/>
        </w:rPr>
        <w:t> </w:t>
      </w:r>
      <w:r>
        <w:rPr>
          <w:sz w:val="24"/>
        </w:rPr>
        <w:t>will</w:t>
      </w:r>
      <w:r>
        <w:rPr>
          <w:spacing w:val="-5"/>
          <w:sz w:val="24"/>
        </w:rPr>
        <w:t> </w:t>
      </w:r>
      <w:r>
        <w:rPr>
          <w:sz w:val="24"/>
        </w:rPr>
        <w:t>be</w:t>
      </w:r>
      <w:r>
        <w:rPr>
          <w:spacing w:val="-5"/>
          <w:sz w:val="24"/>
        </w:rPr>
        <w:t> </w:t>
      </w:r>
      <w:r>
        <w:rPr>
          <w:sz w:val="24"/>
        </w:rPr>
        <w:t>informed</w:t>
      </w:r>
      <w:r>
        <w:rPr>
          <w:spacing w:val="-5"/>
          <w:sz w:val="24"/>
        </w:rPr>
        <w:t> </w:t>
      </w:r>
      <w:r>
        <w:rPr>
          <w:sz w:val="24"/>
        </w:rPr>
        <w:t>in writing, and in appropriate accessible format if needed, of the ineligibility determination, including:</w:t>
      </w:r>
    </w:p>
    <w:p>
      <w:pPr>
        <w:pStyle w:val="ListParagraph"/>
        <w:numPr>
          <w:ilvl w:val="2"/>
          <w:numId w:val="126"/>
        </w:numPr>
        <w:tabs>
          <w:tab w:pos="1675" w:val="left" w:leader="none"/>
        </w:tabs>
        <w:spacing w:line="240" w:lineRule="auto" w:before="211" w:after="0"/>
        <w:ind w:left="1675" w:right="0" w:hanging="452"/>
        <w:jc w:val="left"/>
        <w:rPr>
          <w:sz w:val="24"/>
        </w:rPr>
      </w:pPr>
      <w:r>
        <w:rPr>
          <w:sz w:val="24"/>
        </w:rPr>
        <w:t>the</w:t>
      </w:r>
      <w:r>
        <w:rPr>
          <w:spacing w:val="-5"/>
          <w:sz w:val="24"/>
        </w:rPr>
        <w:t> </w:t>
      </w:r>
      <w:r>
        <w:rPr>
          <w:sz w:val="24"/>
        </w:rPr>
        <w:t>reasons</w:t>
      </w:r>
      <w:r>
        <w:rPr>
          <w:spacing w:val="-2"/>
          <w:sz w:val="24"/>
        </w:rPr>
        <w:t> </w:t>
      </w:r>
      <w:r>
        <w:rPr>
          <w:sz w:val="24"/>
        </w:rPr>
        <w:t>for</w:t>
      </w:r>
      <w:r>
        <w:rPr>
          <w:spacing w:val="-1"/>
          <w:sz w:val="24"/>
        </w:rPr>
        <w:t> </w:t>
      </w:r>
      <w:r>
        <w:rPr>
          <w:sz w:val="24"/>
        </w:rPr>
        <w:t>the</w:t>
      </w:r>
      <w:r>
        <w:rPr>
          <w:spacing w:val="-2"/>
          <w:sz w:val="24"/>
        </w:rPr>
        <w:t> determination;</w:t>
      </w:r>
    </w:p>
    <w:p>
      <w:pPr>
        <w:pStyle w:val="ListParagraph"/>
        <w:numPr>
          <w:ilvl w:val="2"/>
          <w:numId w:val="126"/>
        </w:numPr>
        <w:tabs>
          <w:tab w:pos="1676" w:val="left" w:leader="none"/>
        </w:tabs>
        <w:spacing w:line="208" w:lineRule="auto" w:before="233" w:after="0"/>
        <w:ind w:left="1223" w:right="1381" w:firstLine="0"/>
        <w:jc w:val="left"/>
        <w:rPr>
          <w:sz w:val="24"/>
        </w:rPr>
      </w:pPr>
      <w:r>
        <w:rPr>
          <w:sz w:val="24"/>
        </w:rPr>
        <w:t>a</w:t>
      </w:r>
      <w:r>
        <w:rPr>
          <w:spacing w:val="-3"/>
          <w:sz w:val="24"/>
        </w:rPr>
        <w:t> </w:t>
      </w:r>
      <w:r>
        <w:rPr>
          <w:sz w:val="24"/>
        </w:rPr>
        <w:t>description</w:t>
      </w:r>
      <w:r>
        <w:rPr>
          <w:spacing w:val="-3"/>
          <w:sz w:val="24"/>
        </w:rPr>
        <w:t> </w:t>
      </w:r>
      <w:r>
        <w:rPr>
          <w:sz w:val="24"/>
        </w:rPr>
        <w:t>of</w:t>
      </w:r>
      <w:r>
        <w:rPr>
          <w:spacing w:val="-3"/>
          <w:sz w:val="24"/>
        </w:rPr>
        <w:t> </w:t>
      </w:r>
      <w:r>
        <w:rPr>
          <w:sz w:val="24"/>
        </w:rPr>
        <w:t>how</w:t>
      </w:r>
      <w:r>
        <w:rPr>
          <w:spacing w:val="-3"/>
          <w:sz w:val="24"/>
        </w:rPr>
        <w:t> </w:t>
      </w:r>
      <w:r>
        <w:rPr>
          <w:sz w:val="24"/>
        </w:rPr>
        <w:t>to</w:t>
      </w:r>
      <w:r>
        <w:rPr>
          <w:spacing w:val="-3"/>
          <w:sz w:val="24"/>
        </w:rPr>
        <w:t> </w:t>
      </w:r>
      <w:r>
        <w:rPr>
          <w:sz w:val="24"/>
        </w:rPr>
        <w:t>ask</w:t>
      </w:r>
      <w:r>
        <w:rPr>
          <w:spacing w:val="-3"/>
          <w:sz w:val="24"/>
        </w:rPr>
        <w:t> </w:t>
      </w:r>
      <w:r>
        <w:rPr>
          <w:sz w:val="24"/>
        </w:rPr>
        <w:t>for</w:t>
      </w:r>
      <w:r>
        <w:rPr>
          <w:spacing w:val="-3"/>
          <w:sz w:val="24"/>
        </w:rPr>
        <w:t> </w:t>
      </w:r>
      <w:r>
        <w:rPr>
          <w:sz w:val="24"/>
        </w:rPr>
        <w:t>mediation,</w:t>
      </w:r>
      <w:r>
        <w:rPr>
          <w:spacing w:val="-3"/>
          <w:sz w:val="24"/>
        </w:rPr>
        <w:t> </w:t>
      </w:r>
      <w:r>
        <w:rPr>
          <w:sz w:val="24"/>
        </w:rPr>
        <w:t>or</w:t>
      </w:r>
      <w:r>
        <w:rPr>
          <w:spacing w:val="-3"/>
          <w:sz w:val="24"/>
        </w:rPr>
        <w:t> </w:t>
      </w:r>
      <w:r>
        <w:rPr>
          <w:sz w:val="24"/>
        </w:rPr>
        <w:t>an</w:t>
      </w:r>
      <w:r>
        <w:rPr>
          <w:spacing w:val="-3"/>
          <w:sz w:val="24"/>
        </w:rPr>
        <w:t> </w:t>
      </w:r>
      <w:r>
        <w:rPr>
          <w:sz w:val="24"/>
        </w:rPr>
        <w:t>impartial</w:t>
      </w:r>
      <w:r>
        <w:rPr>
          <w:spacing w:val="-3"/>
          <w:sz w:val="24"/>
        </w:rPr>
        <w:t> </w:t>
      </w:r>
      <w:r>
        <w:rPr>
          <w:sz w:val="24"/>
        </w:rPr>
        <w:t>review</w:t>
      </w:r>
      <w:r>
        <w:rPr>
          <w:spacing w:val="-3"/>
          <w:sz w:val="24"/>
        </w:rPr>
        <w:t> </w:t>
      </w:r>
      <w:r>
        <w:rPr>
          <w:sz w:val="24"/>
        </w:rPr>
        <w:t>of</w:t>
      </w:r>
      <w:r>
        <w:rPr>
          <w:spacing w:val="-3"/>
          <w:sz w:val="24"/>
        </w:rPr>
        <w:t> </w:t>
      </w:r>
      <w:r>
        <w:rPr>
          <w:sz w:val="24"/>
        </w:rPr>
        <w:t>the determination; and</w:t>
      </w:r>
    </w:p>
    <w:p>
      <w:pPr>
        <w:pStyle w:val="ListParagraph"/>
        <w:numPr>
          <w:ilvl w:val="2"/>
          <w:numId w:val="126"/>
        </w:numPr>
        <w:tabs>
          <w:tab w:pos="1689" w:val="left" w:leader="none"/>
        </w:tabs>
        <w:spacing w:line="208" w:lineRule="auto" w:before="240" w:after="0"/>
        <w:ind w:left="1223" w:right="918" w:firstLine="0"/>
        <w:jc w:val="left"/>
        <w:rPr>
          <w:sz w:val="24"/>
        </w:rPr>
      </w:pPr>
      <w:r>
        <w:rPr>
          <w:sz w:val="24"/>
        </w:rPr>
        <w:t>a</w:t>
      </w:r>
      <w:r>
        <w:rPr>
          <w:spacing w:val="-5"/>
          <w:sz w:val="24"/>
        </w:rPr>
        <w:t> </w:t>
      </w:r>
      <w:r>
        <w:rPr>
          <w:sz w:val="24"/>
        </w:rPr>
        <w:t>description</w:t>
      </w:r>
      <w:r>
        <w:rPr>
          <w:spacing w:val="-5"/>
          <w:sz w:val="24"/>
        </w:rPr>
        <w:t> </w:t>
      </w:r>
      <w:r>
        <w:rPr>
          <w:sz w:val="24"/>
        </w:rPr>
        <w:t>of</w:t>
      </w:r>
      <w:r>
        <w:rPr>
          <w:spacing w:val="-4"/>
          <w:sz w:val="24"/>
        </w:rPr>
        <w:t> </w:t>
      </w:r>
      <w:r>
        <w:rPr>
          <w:sz w:val="24"/>
        </w:rPr>
        <w:t>the</w:t>
      </w:r>
      <w:r>
        <w:rPr>
          <w:spacing w:val="-5"/>
          <w:sz w:val="24"/>
        </w:rPr>
        <w:t> </w:t>
      </w:r>
      <w:r>
        <w:rPr>
          <w:sz w:val="24"/>
        </w:rPr>
        <w:t>services</w:t>
      </w:r>
      <w:r>
        <w:rPr>
          <w:spacing w:val="-5"/>
          <w:sz w:val="24"/>
        </w:rPr>
        <w:t> </w:t>
      </w:r>
      <w:r>
        <w:rPr>
          <w:sz w:val="24"/>
        </w:rPr>
        <w:t>available</w:t>
      </w:r>
      <w:r>
        <w:rPr>
          <w:spacing w:val="-5"/>
          <w:sz w:val="24"/>
        </w:rPr>
        <w:t> </w:t>
      </w:r>
      <w:r>
        <w:rPr>
          <w:sz w:val="24"/>
        </w:rPr>
        <w:t>from</w:t>
      </w:r>
      <w:r>
        <w:rPr>
          <w:spacing w:val="-4"/>
          <w:sz w:val="24"/>
        </w:rPr>
        <w:t> </w:t>
      </w:r>
      <w:r>
        <w:rPr>
          <w:sz w:val="24"/>
        </w:rPr>
        <w:t>the</w:t>
      </w:r>
      <w:r>
        <w:rPr>
          <w:spacing w:val="-5"/>
          <w:sz w:val="24"/>
        </w:rPr>
        <w:t> </w:t>
      </w:r>
      <w:r>
        <w:rPr>
          <w:sz w:val="24"/>
        </w:rPr>
        <w:t>Client</w:t>
      </w:r>
      <w:r>
        <w:rPr>
          <w:spacing w:val="-4"/>
          <w:sz w:val="24"/>
        </w:rPr>
        <w:t> </w:t>
      </w:r>
      <w:r>
        <w:rPr>
          <w:sz w:val="24"/>
        </w:rPr>
        <w:t>Assistance</w:t>
      </w:r>
      <w:r>
        <w:rPr>
          <w:spacing w:val="-5"/>
          <w:sz w:val="24"/>
        </w:rPr>
        <w:t> </w:t>
      </w:r>
      <w:r>
        <w:rPr>
          <w:sz w:val="24"/>
        </w:rPr>
        <w:t>Program and information on how to contact that program.</w:t>
      </w:r>
    </w:p>
    <w:p>
      <w:pPr>
        <w:pStyle w:val="ListParagraph"/>
        <w:numPr>
          <w:ilvl w:val="2"/>
          <w:numId w:val="126"/>
        </w:numPr>
        <w:tabs>
          <w:tab w:pos="1688" w:val="left" w:leader="none"/>
        </w:tabs>
        <w:spacing w:line="240" w:lineRule="auto" w:before="210" w:after="0"/>
        <w:ind w:left="1688" w:right="0" w:hanging="465"/>
        <w:jc w:val="left"/>
        <w:rPr>
          <w:sz w:val="24"/>
        </w:rPr>
      </w:pPr>
      <w:r>
        <w:rPr>
          <w:sz w:val="24"/>
        </w:rPr>
        <w:t>refer</w:t>
      </w:r>
      <w:r>
        <w:rPr>
          <w:spacing w:val="-3"/>
          <w:sz w:val="24"/>
        </w:rPr>
        <w:t> </w:t>
      </w:r>
      <w:r>
        <w:rPr>
          <w:sz w:val="24"/>
        </w:rPr>
        <w:t>the</w:t>
      </w:r>
      <w:r>
        <w:rPr>
          <w:spacing w:val="-2"/>
          <w:sz w:val="24"/>
        </w:rPr>
        <w:t> individual:</w:t>
      </w:r>
    </w:p>
    <w:p>
      <w:pPr>
        <w:pStyle w:val="ListParagraph"/>
        <w:numPr>
          <w:ilvl w:val="3"/>
          <w:numId w:val="126"/>
        </w:numPr>
        <w:tabs>
          <w:tab w:pos="2055" w:val="left" w:leader="none"/>
        </w:tabs>
        <w:spacing w:line="208" w:lineRule="auto" w:before="234" w:after="0"/>
        <w:ind w:left="1709" w:right="832" w:firstLine="0"/>
        <w:jc w:val="left"/>
        <w:rPr>
          <w:sz w:val="24"/>
        </w:rPr>
      </w:pPr>
      <w:r>
        <w:rPr>
          <w:sz w:val="24"/>
        </w:rPr>
        <w:t>To</w:t>
      </w:r>
      <w:r>
        <w:rPr>
          <w:spacing w:val="-4"/>
          <w:sz w:val="24"/>
        </w:rPr>
        <w:t> </w:t>
      </w:r>
      <w:r>
        <w:rPr>
          <w:sz w:val="24"/>
        </w:rPr>
        <w:t>other</w:t>
      </w:r>
      <w:r>
        <w:rPr>
          <w:spacing w:val="-3"/>
          <w:sz w:val="24"/>
        </w:rPr>
        <w:t> </w:t>
      </w:r>
      <w:r>
        <w:rPr>
          <w:sz w:val="24"/>
        </w:rPr>
        <w:t>programs</w:t>
      </w:r>
      <w:r>
        <w:rPr>
          <w:spacing w:val="-6"/>
          <w:sz w:val="24"/>
        </w:rPr>
        <w:t> </w:t>
      </w:r>
      <w:r>
        <w:rPr>
          <w:sz w:val="24"/>
        </w:rPr>
        <w:t>that</w:t>
      </w:r>
      <w:r>
        <w:rPr>
          <w:spacing w:val="-3"/>
          <w:sz w:val="24"/>
        </w:rPr>
        <w:t> </w:t>
      </w:r>
      <w:r>
        <w:rPr>
          <w:sz w:val="24"/>
        </w:rPr>
        <w:t>are</w:t>
      </w:r>
      <w:r>
        <w:rPr>
          <w:spacing w:val="-4"/>
          <w:sz w:val="24"/>
        </w:rPr>
        <w:t> </w:t>
      </w:r>
      <w:r>
        <w:rPr>
          <w:sz w:val="24"/>
        </w:rPr>
        <w:t>part</w:t>
      </w:r>
      <w:r>
        <w:rPr>
          <w:spacing w:val="-3"/>
          <w:sz w:val="24"/>
        </w:rPr>
        <w:t> </w:t>
      </w:r>
      <w:r>
        <w:rPr>
          <w:sz w:val="24"/>
        </w:rPr>
        <w:t>of</w:t>
      </w:r>
      <w:r>
        <w:rPr>
          <w:spacing w:val="-5"/>
          <w:sz w:val="24"/>
        </w:rPr>
        <w:t> </w:t>
      </w:r>
      <w:r>
        <w:rPr>
          <w:sz w:val="24"/>
        </w:rPr>
        <w:t>the</w:t>
      </w:r>
      <w:r>
        <w:rPr>
          <w:spacing w:val="-4"/>
          <w:sz w:val="24"/>
        </w:rPr>
        <w:t> </w:t>
      </w:r>
      <w:r>
        <w:rPr>
          <w:sz w:val="24"/>
        </w:rPr>
        <w:t>one-stop</w:t>
      </w:r>
      <w:r>
        <w:rPr>
          <w:spacing w:val="-4"/>
          <w:sz w:val="24"/>
        </w:rPr>
        <w:t> </w:t>
      </w:r>
      <w:r>
        <w:rPr>
          <w:sz w:val="24"/>
        </w:rPr>
        <w:t>service</w:t>
      </w:r>
      <w:r>
        <w:rPr>
          <w:spacing w:val="-4"/>
          <w:sz w:val="24"/>
        </w:rPr>
        <w:t> </w:t>
      </w:r>
      <w:r>
        <w:rPr>
          <w:sz w:val="24"/>
        </w:rPr>
        <w:t>delivery</w:t>
      </w:r>
      <w:r>
        <w:rPr>
          <w:spacing w:val="-4"/>
          <w:sz w:val="24"/>
        </w:rPr>
        <w:t> </w:t>
      </w:r>
      <w:r>
        <w:rPr>
          <w:sz w:val="24"/>
        </w:rPr>
        <w:t>system under the Workforce Innovation and Opportunity Act that can address the individual's training or employment-related needs; or</w:t>
      </w:r>
    </w:p>
    <w:p>
      <w:pPr>
        <w:pStyle w:val="ListParagraph"/>
        <w:numPr>
          <w:ilvl w:val="3"/>
          <w:numId w:val="126"/>
        </w:numPr>
        <w:tabs>
          <w:tab w:pos="2108" w:val="left" w:leader="none"/>
        </w:tabs>
        <w:spacing w:line="208" w:lineRule="auto" w:before="239" w:after="0"/>
        <w:ind w:left="1710" w:right="776" w:firstLine="0"/>
        <w:jc w:val="left"/>
        <w:rPr>
          <w:sz w:val="24"/>
        </w:rPr>
      </w:pPr>
      <w:r>
        <w:rPr>
          <w:sz w:val="24"/>
        </w:rPr>
        <w:t>To Federal, State, or local programs or service providers, including, as appropriate, independent living programs and extended employment providers, best suited to meet their rehabilitation needs, if the ineligibility determination is based on a finding that the individual has chosen not to pursue,</w:t>
      </w:r>
      <w:r>
        <w:rPr>
          <w:spacing w:val="-3"/>
          <w:sz w:val="24"/>
        </w:rPr>
        <w:t> </w:t>
      </w:r>
      <w:r>
        <w:rPr>
          <w:sz w:val="24"/>
        </w:rPr>
        <w:t>or</w:t>
      </w:r>
      <w:r>
        <w:rPr>
          <w:spacing w:val="-3"/>
          <w:sz w:val="24"/>
        </w:rPr>
        <w:t> </w:t>
      </w:r>
      <w:r>
        <w:rPr>
          <w:sz w:val="24"/>
        </w:rPr>
        <w:t>is</w:t>
      </w:r>
      <w:r>
        <w:rPr>
          <w:spacing w:val="-4"/>
          <w:sz w:val="24"/>
        </w:rPr>
        <w:t> </w:t>
      </w:r>
      <w:r>
        <w:rPr>
          <w:sz w:val="24"/>
        </w:rPr>
        <w:t>incapable</w:t>
      </w:r>
      <w:r>
        <w:rPr>
          <w:spacing w:val="-3"/>
          <w:sz w:val="24"/>
        </w:rPr>
        <w:t> </w:t>
      </w:r>
      <w:r>
        <w:rPr>
          <w:sz w:val="24"/>
        </w:rPr>
        <w:t>of</w:t>
      </w:r>
      <w:r>
        <w:rPr>
          <w:spacing w:val="-3"/>
          <w:sz w:val="24"/>
        </w:rPr>
        <w:t> </w:t>
      </w:r>
      <w:r>
        <w:rPr>
          <w:sz w:val="24"/>
        </w:rPr>
        <w:t>achieving,</w:t>
      </w:r>
      <w:r>
        <w:rPr>
          <w:spacing w:val="-3"/>
          <w:sz w:val="24"/>
        </w:rPr>
        <w:t> </w:t>
      </w:r>
      <w:r>
        <w:rPr>
          <w:sz w:val="24"/>
        </w:rPr>
        <w:t>an</w:t>
      </w:r>
      <w:r>
        <w:rPr>
          <w:spacing w:val="-4"/>
          <w:sz w:val="24"/>
        </w:rPr>
        <w:t> </w:t>
      </w:r>
      <w:r>
        <w:rPr>
          <w:sz w:val="24"/>
        </w:rPr>
        <w:t>employment</w:t>
      </w:r>
      <w:r>
        <w:rPr>
          <w:spacing w:val="-3"/>
          <w:sz w:val="24"/>
        </w:rPr>
        <w:t> </w:t>
      </w:r>
      <w:r>
        <w:rPr>
          <w:sz w:val="24"/>
        </w:rPr>
        <w:t>outcome</w:t>
      </w:r>
      <w:r>
        <w:rPr>
          <w:spacing w:val="-4"/>
          <w:sz w:val="24"/>
        </w:rPr>
        <w:t> </w:t>
      </w:r>
      <w:r>
        <w:rPr>
          <w:sz w:val="24"/>
        </w:rPr>
        <w:t>as</w:t>
      </w:r>
      <w:r>
        <w:rPr>
          <w:spacing w:val="-4"/>
          <w:sz w:val="24"/>
        </w:rPr>
        <w:t> </w:t>
      </w:r>
      <w:r>
        <w:rPr>
          <w:sz w:val="24"/>
        </w:rPr>
        <w:t>defined</w:t>
      </w:r>
      <w:r>
        <w:rPr>
          <w:spacing w:val="-4"/>
          <w:sz w:val="24"/>
        </w:rPr>
        <w:t> </w:t>
      </w:r>
      <w:r>
        <w:rPr>
          <w:sz w:val="24"/>
        </w:rPr>
        <w:t>in 34 CFR 361.5(c)(15).</w:t>
      </w:r>
    </w:p>
    <w:p>
      <w:pPr>
        <w:pStyle w:val="ListParagraph"/>
        <w:numPr>
          <w:ilvl w:val="0"/>
          <w:numId w:val="126"/>
        </w:numPr>
        <w:tabs>
          <w:tab w:pos="785" w:val="left" w:leader="none"/>
        </w:tabs>
        <w:spacing w:line="208" w:lineRule="auto" w:before="240" w:after="0"/>
        <w:ind w:left="359" w:right="777" w:firstLine="0"/>
        <w:jc w:val="left"/>
        <w:rPr>
          <w:sz w:val="24"/>
        </w:rPr>
      </w:pPr>
      <w:r>
        <w:rPr>
          <w:sz w:val="24"/>
        </w:rPr>
        <w:t>Any ineligibility determination that is based upon a finding that the individual is incapable of benefiting in terms of an employment outcome will be reviewed within 12 months</w:t>
      </w:r>
      <w:r>
        <w:rPr>
          <w:spacing w:val="-2"/>
          <w:sz w:val="24"/>
        </w:rPr>
        <w:t> </w:t>
      </w:r>
      <w:r>
        <w:rPr>
          <w:sz w:val="24"/>
        </w:rPr>
        <w:t>of</w:t>
      </w:r>
      <w:r>
        <w:rPr>
          <w:spacing w:val="-3"/>
          <w:sz w:val="24"/>
        </w:rPr>
        <w:t> </w:t>
      </w:r>
      <w:r>
        <w:rPr>
          <w:sz w:val="24"/>
        </w:rPr>
        <w:t>the</w:t>
      </w:r>
      <w:r>
        <w:rPr>
          <w:spacing w:val="-2"/>
          <w:sz w:val="24"/>
        </w:rPr>
        <w:t> </w:t>
      </w:r>
      <w:r>
        <w:rPr>
          <w:sz w:val="24"/>
        </w:rPr>
        <w:t>determination</w:t>
      </w:r>
      <w:r>
        <w:rPr>
          <w:spacing w:val="-2"/>
          <w:sz w:val="24"/>
        </w:rPr>
        <w:t> </w:t>
      </w:r>
      <w:r>
        <w:rPr>
          <w:sz w:val="24"/>
        </w:rPr>
        <w:t>and</w:t>
      </w:r>
      <w:r>
        <w:rPr>
          <w:spacing w:val="-1"/>
          <w:sz w:val="24"/>
        </w:rPr>
        <w:t> </w:t>
      </w:r>
      <w:r>
        <w:rPr>
          <w:sz w:val="24"/>
        </w:rPr>
        <w:t>annually</w:t>
      </w:r>
      <w:r>
        <w:rPr>
          <w:spacing w:val="-2"/>
          <w:sz w:val="24"/>
        </w:rPr>
        <w:t> </w:t>
      </w:r>
      <w:r>
        <w:rPr>
          <w:sz w:val="24"/>
        </w:rPr>
        <w:t>thereafter</w:t>
      </w:r>
      <w:r>
        <w:rPr>
          <w:spacing w:val="-1"/>
          <w:sz w:val="24"/>
        </w:rPr>
        <w:t> </w:t>
      </w:r>
      <w:r>
        <w:rPr>
          <w:sz w:val="24"/>
        </w:rPr>
        <w:t>if</w:t>
      </w:r>
      <w:r>
        <w:rPr>
          <w:spacing w:val="-3"/>
          <w:sz w:val="24"/>
        </w:rPr>
        <w:t> </w:t>
      </w:r>
      <w:r>
        <w:rPr>
          <w:sz w:val="24"/>
        </w:rPr>
        <w:t>requested</w:t>
      </w:r>
      <w:r>
        <w:rPr>
          <w:spacing w:val="-2"/>
          <w:sz w:val="24"/>
        </w:rPr>
        <w:t> </w:t>
      </w:r>
      <w:r>
        <w:rPr>
          <w:sz w:val="24"/>
        </w:rPr>
        <w:t>by</w:t>
      </w:r>
      <w:r>
        <w:rPr>
          <w:spacing w:val="-2"/>
          <w:sz w:val="24"/>
        </w:rPr>
        <w:t> </w:t>
      </w:r>
      <w:r>
        <w:rPr>
          <w:sz w:val="24"/>
        </w:rPr>
        <w:t>the</w:t>
      </w:r>
      <w:r>
        <w:rPr>
          <w:spacing w:val="-2"/>
          <w:sz w:val="24"/>
        </w:rPr>
        <w:t> </w:t>
      </w:r>
      <w:r>
        <w:rPr>
          <w:sz w:val="24"/>
        </w:rPr>
        <w:t>individual</w:t>
      </w:r>
      <w:r>
        <w:rPr>
          <w:spacing w:val="-2"/>
          <w:sz w:val="24"/>
        </w:rPr>
        <w:t> </w:t>
      </w:r>
      <w:r>
        <w:rPr>
          <w:sz w:val="24"/>
        </w:rPr>
        <w:t>or</w:t>
      </w:r>
      <w:r>
        <w:rPr>
          <w:spacing w:val="-1"/>
          <w:sz w:val="24"/>
        </w:rPr>
        <w:t> </w:t>
      </w:r>
      <w:r>
        <w:rPr>
          <w:sz w:val="24"/>
        </w:rPr>
        <w:t>the individual’s authorized representative.</w:t>
      </w:r>
      <w:r>
        <w:rPr>
          <w:spacing w:val="-10"/>
          <w:sz w:val="24"/>
        </w:rPr>
        <w:t> </w:t>
      </w:r>
      <w:r>
        <w:rPr>
          <w:sz w:val="24"/>
        </w:rPr>
        <w:t>This review need not be conducted in situations in</w:t>
      </w:r>
      <w:r>
        <w:rPr>
          <w:spacing w:val="-3"/>
          <w:sz w:val="24"/>
        </w:rPr>
        <w:t> </w:t>
      </w:r>
      <w:r>
        <w:rPr>
          <w:sz w:val="24"/>
        </w:rPr>
        <w:t>which</w:t>
      </w:r>
      <w:r>
        <w:rPr>
          <w:spacing w:val="-3"/>
          <w:sz w:val="24"/>
        </w:rPr>
        <w:t> </w:t>
      </w:r>
      <w:r>
        <w:rPr>
          <w:sz w:val="24"/>
        </w:rPr>
        <w:t>the</w:t>
      </w:r>
      <w:r>
        <w:rPr>
          <w:spacing w:val="-3"/>
          <w:sz w:val="24"/>
        </w:rPr>
        <w:t> </w:t>
      </w:r>
      <w:r>
        <w:rPr>
          <w:sz w:val="24"/>
        </w:rPr>
        <w:t>individual</w:t>
      </w:r>
      <w:r>
        <w:rPr>
          <w:spacing w:val="-2"/>
          <w:sz w:val="24"/>
        </w:rPr>
        <w:t> </w:t>
      </w:r>
      <w:r>
        <w:rPr>
          <w:sz w:val="24"/>
        </w:rPr>
        <w:t>has</w:t>
      </w:r>
      <w:r>
        <w:rPr>
          <w:spacing w:val="-3"/>
          <w:sz w:val="24"/>
        </w:rPr>
        <w:t> </w:t>
      </w:r>
      <w:r>
        <w:rPr>
          <w:sz w:val="24"/>
        </w:rPr>
        <w:t>refused</w:t>
      </w:r>
      <w:r>
        <w:rPr>
          <w:spacing w:val="-3"/>
          <w:sz w:val="24"/>
        </w:rPr>
        <w:t> </w:t>
      </w:r>
      <w:r>
        <w:rPr>
          <w:sz w:val="24"/>
        </w:rPr>
        <w:t>it,</w:t>
      </w:r>
      <w:r>
        <w:rPr>
          <w:spacing w:val="-4"/>
          <w:sz w:val="24"/>
        </w:rPr>
        <w:t> </w:t>
      </w:r>
      <w:r>
        <w:rPr>
          <w:sz w:val="24"/>
        </w:rPr>
        <w:t>the</w:t>
      </w:r>
      <w:r>
        <w:rPr>
          <w:spacing w:val="-3"/>
          <w:sz w:val="24"/>
        </w:rPr>
        <w:t> </w:t>
      </w:r>
      <w:r>
        <w:rPr>
          <w:sz w:val="24"/>
        </w:rPr>
        <w:t>individual</w:t>
      </w:r>
      <w:r>
        <w:rPr>
          <w:spacing w:val="-3"/>
          <w:sz w:val="24"/>
        </w:rPr>
        <w:t> </w:t>
      </w:r>
      <w:r>
        <w:rPr>
          <w:sz w:val="24"/>
        </w:rPr>
        <w:t>is</w:t>
      </w:r>
      <w:r>
        <w:rPr>
          <w:spacing w:val="-3"/>
          <w:sz w:val="24"/>
        </w:rPr>
        <w:t> </w:t>
      </w:r>
      <w:r>
        <w:rPr>
          <w:sz w:val="24"/>
        </w:rPr>
        <w:t>no</w:t>
      </w:r>
      <w:r>
        <w:rPr>
          <w:spacing w:val="-2"/>
          <w:sz w:val="24"/>
        </w:rPr>
        <w:t> </w:t>
      </w:r>
      <w:r>
        <w:rPr>
          <w:sz w:val="24"/>
        </w:rPr>
        <w:t>longer</w:t>
      </w:r>
      <w:r>
        <w:rPr>
          <w:spacing w:val="-2"/>
          <w:sz w:val="24"/>
        </w:rPr>
        <w:t> </w:t>
      </w:r>
      <w:r>
        <w:rPr>
          <w:sz w:val="24"/>
        </w:rPr>
        <w:t>present</w:t>
      </w:r>
      <w:r>
        <w:rPr>
          <w:spacing w:val="-2"/>
          <w:sz w:val="24"/>
        </w:rPr>
        <w:t> </w:t>
      </w:r>
      <w:r>
        <w:rPr>
          <w:sz w:val="24"/>
        </w:rPr>
        <w:t>in</w:t>
      </w:r>
      <w:r>
        <w:rPr>
          <w:spacing w:val="-3"/>
          <w:sz w:val="24"/>
        </w:rPr>
        <w:t> </w:t>
      </w:r>
      <w:r>
        <w:rPr>
          <w:sz w:val="24"/>
        </w:rPr>
        <w:t>the</w:t>
      </w:r>
      <w:r>
        <w:rPr>
          <w:spacing w:val="-4"/>
          <w:sz w:val="24"/>
        </w:rPr>
        <w:t> </w:t>
      </w:r>
      <w:r>
        <w:rPr>
          <w:sz w:val="24"/>
        </w:rPr>
        <w:t>State,</w:t>
      </w:r>
      <w:r>
        <w:rPr>
          <w:spacing w:val="-2"/>
          <w:sz w:val="24"/>
        </w:rPr>
        <w:t> </w:t>
      </w:r>
      <w:r>
        <w:rPr>
          <w:sz w:val="24"/>
        </w:rPr>
        <w:t>the individual's whereabouts are unknown, or the individual's medical condition is rapidly progressive or terminal.</w:t>
      </w:r>
    </w:p>
    <w:p>
      <w:pPr>
        <w:spacing w:before="229"/>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241"/>
        <w:ind w:left="360" w:right="0" w:firstLine="0"/>
        <w:jc w:val="left"/>
        <w:rPr>
          <w:sz w:val="22"/>
        </w:rPr>
      </w:pPr>
      <w:r>
        <w:rPr>
          <w:spacing w:val="-2"/>
          <w:sz w:val="22"/>
        </w:rPr>
        <w:t>7-1-</w:t>
      </w:r>
      <w:r>
        <w:rPr>
          <w:spacing w:val="-5"/>
          <w:sz w:val="22"/>
        </w:rPr>
        <w:t>11</w:t>
      </w:r>
      <w:r>
        <w:rPr>
          <w:sz w:val="22"/>
        </w:rPr>
        <w:tab/>
        <w:t>PT</w:t>
      </w:r>
      <w:r>
        <w:rPr>
          <w:spacing w:val="-8"/>
          <w:sz w:val="22"/>
        </w:rPr>
        <w:t> </w:t>
      </w:r>
      <w:r>
        <w:rPr>
          <w:sz w:val="22"/>
        </w:rPr>
        <w:t>Memo</w:t>
      </w:r>
      <w:r>
        <w:rPr>
          <w:spacing w:val="-8"/>
          <w:sz w:val="22"/>
        </w:rPr>
        <w:t> </w:t>
      </w:r>
      <w:r>
        <w:rPr>
          <w:sz w:val="22"/>
        </w:rPr>
        <w:t>#12-</w:t>
      </w:r>
      <w:r>
        <w:rPr>
          <w:spacing w:val="-5"/>
          <w:sz w:val="22"/>
        </w:rPr>
        <w:t>01</w:t>
      </w:r>
    </w:p>
    <w:p>
      <w:pPr>
        <w:spacing w:line="253" w:lineRule="exact" w:before="0"/>
        <w:ind w:left="1439" w:right="0" w:firstLine="0"/>
        <w:jc w:val="left"/>
        <w:rPr>
          <w:sz w:val="22"/>
        </w:rPr>
      </w:pPr>
      <w:r>
        <w:rPr>
          <w:sz w:val="22"/>
        </w:rPr>
        <w:t>Permanent,</w:t>
      </w:r>
      <w:r>
        <w:rPr>
          <w:spacing w:val="-6"/>
          <w:sz w:val="22"/>
        </w:rPr>
        <w:t> </w:t>
      </w:r>
      <w:r>
        <w:rPr>
          <w:sz w:val="22"/>
        </w:rPr>
        <w:t>new,</w:t>
      </w:r>
      <w:r>
        <w:rPr>
          <w:spacing w:val="-7"/>
          <w:sz w:val="22"/>
        </w:rPr>
        <w:t> </w:t>
      </w:r>
      <w:r>
        <w:rPr>
          <w:sz w:val="22"/>
        </w:rPr>
        <w:t>placed</w:t>
      </w:r>
      <w:r>
        <w:rPr>
          <w:spacing w:val="-8"/>
          <w:sz w:val="22"/>
        </w:rPr>
        <w:t> </w:t>
      </w:r>
      <w:r>
        <w:rPr>
          <w:sz w:val="22"/>
        </w:rPr>
        <w:t>appropriately</w:t>
      </w:r>
      <w:r>
        <w:rPr>
          <w:spacing w:val="-7"/>
          <w:sz w:val="22"/>
        </w:rPr>
        <w:t> </w:t>
      </w:r>
      <w:r>
        <w:rPr>
          <w:sz w:val="22"/>
        </w:rPr>
        <w:t>in</w:t>
      </w:r>
      <w:r>
        <w:rPr>
          <w:spacing w:val="-7"/>
          <w:sz w:val="22"/>
        </w:rPr>
        <w:t> </w:t>
      </w:r>
      <w:r>
        <w:rPr>
          <w:sz w:val="22"/>
        </w:rPr>
        <w:t>the</w:t>
      </w:r>
      <w:r>
        <w:rPr>
          <w:spacing w:val="-7"/>
          <w:sz w:val="22"/>
        </w:rPr>
        <w:t> </w:t>
      </w:r>
      <w:r>
        <w:rPr>
          <w:sz w:val="22"/>
        </w:rPr>
        <w:t>sequence</w:t>
      </w:r>
      <w:r>
        <w:rPr>
          <w:spacing w:val="-7"/>
          <w:sz w:val="22"/>
        </w:rPr>
        <w:t> </w:t>
      </w:r>
      <w:r>
        <w:rPr>
          <w:sz w:val="22"/>
        </w:rPr>
        <w:t>of</w:t>
      </w:r>
      <w:r>
        <w:rPr>
          <w:spacing w:val="-7"/>
          <w:sz w:val="22"/>
        </w:rPr>
        <w:t> </w:t>
      </w:r>
      <w:r>
        <w:rPr>
          <w:sz w:val="22"/>
        </w:rPr>
        <w:t>case</w:t>
      </w:r>
      <w:r>
        <w:rPr>
          <w:spacing w:val="-7"/>
          <w:sz w:val="22"/>
        </w:rPr>
        <w:t> </w:t>
      </w:r>
      <w:r>
        <w:rPr>
          <w:spacing w:val="-2"/>
          <w:sz w:val="22"/>
        </w:rPr>
        <w:t>flow.</w:t>
      </w:r>
    </w:p>
    <w:p>
      <w:pPr>
        <w:tabs>
          <w:tab w:pos="1439" w:val="left" w:leader="none"/>
        </w:tabs>
        <w:spacing w:before="0"/>
        <w:ind w:left="1439" w:right="916" w:hanging="1080"/>
        <w:jc w:val="left"/>
        <w:rPr>
          <w:sz w:val="22"/>
        </w:rPr>
      </w:pPr>
      <w:r>
        <w:rPr>
          <w:spacing w:val="-2"/>
          <w:sz w:val="22"/>
        </w:rPr>
        <w:t>8-26-21</w:t>
      </w:r>
      <w:r>
        <w:rPr>
          <w:sz w:val="22"/>
        </w:rPr>
        <w:tab/>
        <w:t>Under</w:t>
      </w:r>
      <w:r>
        <w:rPr>
          <w:spacing w:val="-3"/>
          <w:sz w:val="22"/>
        </w:rPr>
        <w:t> </w:t>
      </w:r>
      <w:r>
        <w:rPr>
          <w:sz w:val="22"/>
        </w:rPr>
        <w:t>(a)</w:t>
      </w:r>
      <w:r>
        <w:rPr>
          <w:spacing w:val="-3"/>
          <w:sz w:val="22"/>
        </w:rPr>
        <w:t> </w:t>
      </w:r>
      <w:r>
        <w:rPr>
          <w:sz w:val="22"/>
        </w:rPr>
        <w:t>added</w:t>
      </w:r>
      <w:r>
        <w:rPr>
          <w:spacing w:val="-3"/>
          <w:sz w:val="22"/>
        </w:rPr>
        <w:t> </w:t>
      </w:r>
      <w:r>
        <w:rPr>
          <w:sz w:val="22"/>
        </w:rPr>
        <w:t>section</w:t>
      </w:r>
      <w:r>
        <w:rPr>
          <w:spacing w:val="-3"/>
          <w:sz w:val="22"/>
        </w:rPr>
        <w:t> </w:t>
      </w:r>
      <w:r>
        <w:rPr>
          <w:sz w:val="22"/>
        </w:rPr>
        <w:t>(D)</w:t>
      </w:r>
      <w:r>
        <w:rPr>
          <w:spacing w:val="-3"/>
          <w:sz w:val="22"/>
        </w:rPr>
        <w:t> </w:t>
      </w:r>
      <w:r>
        <w:rPr>
          <w:sz w:val="22"/>
        </w:rPr>
        <w:t>to</w:t>
      </w:r>
      <w:r>
        <w:rPr>
          <w:spacing w:val="-3"/>
          <w:sz w:val="22"/>
        </w:rPr>
        <w:t> </w:t>
      </w:r>
      <w:r>
        <w:rPr>
          <w:sz w:val="22"/>
        </w:rPr>
        <w:t>include</w:t>
      </w:r>
      <w:r>
        <w:rPr>
          <w:spacing w:val="-3"/>
          <w:sz w:val="22"/>
        </w:rPr>
        <w:t> </w:t>
      </w:r>
      <w:r>
        <w:rPr>
          <w:sz w:val="22"/>
        </w:rPr>
        <w:t>providing</w:t>
      </w:r>
      <w:r>
        <w:rPr>
          <w:spacing w:val="-3"/>
          <w:sz w:val="22"/>
        </w:rPr>
        <w:t> </w:t>
      </w:r>
      <w:r>
        <w:rPr>
          <w:sz w:val="22"/>
        </w:rPr>
        <w:t>a</w:t>
      </w:r>
      <w:r>
        <w:rPr>
          <w:spacing w:val="-3"/>
          <w:sz w:val="22"/>
        </w:rPr>
        <w:t> </w:t>
      </w:r>
      <w:r>
        <w:rPr>
          <w:sz w:val="22"/>
        </w:rPr>
        <w:t>referral</w:t>
      </w:r>
      <w:r>
        <w:rPr>
          <w:spacing w:val="-4"/>
          <w:sz w:val="22"/>
        </w:rPr>
        <w:t> </w:t>
      </w:r>
      <w:r>
        <w:rPr>
          <w:sz w:val="22"/>
        </w:rPr>
        <w:t>of</w:t>
      </w:r>
      <w:r>
        <w:rPr>
          <w:spacing w:val="-3"/>
          <w:sz w:val="22"/>
        </w:rPr>
        <w:t> </w:t>
      </w:r>
      <w:r>
        <w:rPr>
          <w:sz w:val="22"/>
        </w:rPr>
        <w:t>other</w:t>
      </w:r>
      <w:r>
        <w:rPr>
          <w:spacing w:val="-3"/>
          <w:sz w:val="22"/>
        </w:rPr>
        <w:t> </w:t>
      </w:r>
      <w:r>
        <w:rPr>
          <w:sz w:val="22"/>
        </w:rPr>
        <w:t>federal,</w:t>
      </w:r>
      <w:r>
        <w:rPr>
          <w:spacing w:val="-3"/>
          <w:sz w:val="22"/>
        </w:rPr>
        <w:t> </w:t>
      </w:r>
      <w:r>
        <w:rPr>
          <w:sz w:val="22"/>
        </w:rPr>
        <w:t>state,</w:t>
      </w:r>
      <w:r>
        <w:rPr>
          <w:spacing w:val="-3"/>
          <w:sz w:val="22"/>
        </w:rPr>
        <w:t> </w:t>
      </w:r>
      <w:r>
        <w:rPr>
          <w:sz w:val="22"/>
        </w:rPr>
        <w:t>or local available programs.</w:t>
      </w:r>
    </w:p>
    <w:p>
      <w:pPr>
        <w:spacing w:after="0"/>
        <w:jc w:val="left"/>
        <w:rPr>
          <w:sz w:val="22"/>
        </w:rPr>
        <w:sectPr>
          <w:pgSz w:w="12240" w:h="15840"/>
          <w:pgMar w:top="1340" w:bottom="280" w:left="1080" w:right="720"/>
        </w:sectPr>
      </w:pPr>
    </w:p>
    <w:p>
      <w:pPr>
        <w:pStyle w:val="Heading2"/>
      </w:pPr>
      <w:bookmarkStart w:name="612:10-7-24.5.  Closed — Not Accepted fo" w:id="132"/>
      <w:bookmarkEnd w:id="132"/>
      <w:r>
        <w:rPr>
          <w:b w:val="0"/>
        </w:rPr>
      </w:r>
      <w:bookmarkStart w:name="_bookmark13" w:id="133"/>
      <w:bookmarkEnd w:id="133"/>
      <w:r>
        <w:rPr>
          <w:b w:val="0"/>
        </w:rPr>
      </w:r>
      <w:r>
        <w:rPr/>
        <w:t>612:10-7-24.5.</w:t>
      </w:r>
      <w:r>
        <w:rPr>
          <w:spacing w:val="58"/>
        </w:rPr>
        <w:t> </w:t>
      </w:r>
      <w:r>
        <w:rPr/>
        <w:t>Closed</w:t>
      </w:r>
      <w:r>
        <w:rPr>
          <w:spacing w:val="-3"/>
        </w:rPr>
        <w:t> </w:t>
      </w:r>
      <w:r>
        <w:rPr/>
        <w:t>—</w:t>
      </w:r>
      <w:r>
        <w:rPr>
          <w:spacing w:val="-4"/>
        </w:rPr>
        <w:t> </w:t>
      </w:r>
      <w:r>
        <w:rPr/>
        <w:t>Not</w:t>
      </w:r>
      <w:r>
        <w:rPr>
          <w:spacing w:val="-4"/>
        </w:rPr>
        <w:t> </w:t>
      </w:r>
      <w:r>
        <w:rPr/>
        <w:t>Accepted</w:t>
      </w:r>
      <w:r>
        <w:rPr>
          <w:spacing w:val="-3"/>
        </w:rPr>
        <w:t> </w:t>
      </w:r>
      <w:r>
        <w:rPr/>
        <w:t>for</w:t>
      </w:r>
      <w:r>
        <w:rPr>
          <w:spacing w:val="-3"/>
        </w:rPr>
        <w:t> </w:t>
      </w:r>
      <w:r>
        <w:rPr>
          <w:spacing w:val="-2"/>
        </w:rPr>
        <w:t>Services</w:t>
      </w:r>
    </w:p>
    <w:p>
      <w:pPr>
        <w:pStyle w:val="ListParagraph"/>
        <w:numPr>
          <w:ilvl w:val="0"/>
          <w:numId w:val="127"/>
        </w:numPr>
        <w:tabs>
          <w:tab w:pos="786" w:val="left" w:leader="none"/>
        </w:tabs>
        <w:spacing w:line="208" w:lineRule="auto" w:before="233" w:after="0"/>
        <w:ind w:left="360" w:right="1231" w:firstLine="0"/>
        <w:jc w:val="left"/>
        <w:rPr>
          <w:b/>
          <w:sz w:val="24"/>
        </w:rPr>
      </w:pPr>
      <w:r>
        <w:rPr>
          <w:b/>
          <w:sz w:val="24"/>
        </w:rPr>
        <w:t>Not accepted for services. </w:t>
      </w:r>
      <w:r>
        <w:rPr>
          <w:sz w:val="24"/>
        </w:rPr>
        <w:t>This status is used for closing cases in which the individual</w:t>
      </w:r>
      <w:r>
        <w:rPr>
          <w:spacing w:val="-4"/>
          <w:sz w:val="24"/>
        </w:rPr>
        <w:t> </w:t>
      </w:r>
      <w:r>
        <w:rPr>
          <w:sz w:val="24"/>
        </w:rPr>
        <w:t>is</w:t>
      </w:r>
      <w:r>
        <w:rPr>
          <w:spacing w:val="-4"/>
          <w:sz w:val="24"/>
        </w:rPr>
        <w:t> </w:t>
      </w:r>
      <w:r>
        <w:rPr>
          <w:sz w:val="24"/>
        </w:rPr>
        <w:t>not</w:t>
      </w:r>
      <w:r>
        <w:rPr>
          <w:spacing w:val="-4"/>
          <w:sz w:val="24"/>
        </w:rPr>
        <w:t> </w:t>
      </w:r>
      <w:r>
        <w:rPr>
          <w:sz w:val="24"/>
        </w:rPr>
        <w:t>accepted</w:t>
      </w:r>
      <w:r>
        <w:rPr>
          <w:spacing w:val="-4"/>
          <w:sz w:val="24"/>
        </w:rPr>
        <w:t> </w:t>
      </w:r>
      <w:r>
        <w:rPr>
          <w:sz w:val="24"/>
        </w:rPr>
        <w:t>for</w:t>
      </w:r>
      <w:r>
        <w:rPr>
          <w:spacing w:val="-4"/>
          <w:sz w:val="24"/>
        </w:rPr>
        <w:t> </w:t>
      </w:r>
      <w:r>
        <w:rPr>
          <w:sz w:val="24"/>
        </w:rPr>
        <w:t>vocational</w:t>
      </w:r>
      <w:r>
        <w:rPr>
          <w:spacing w:val="-4"/>
          <w:sz w:val="24"/>
        </w:rPr>
        <w:t> </w:t>
      </w:r>
      <w:r>
        <w:rPr>
          <w:sz w:val="24"/>
        </w:rPr>
        <w:t>rehabilitation</w:t>
      </w:r>
      <w:r>
        <w:rPr>
          <w:spacing w:val="-4"/>
          <w:sz w:val="24"/>
        </w:rPr>
        <w:t> </w:t>
      </w:r>
      <w:r>
        <w:rPr>
          <w:sz w:val="24"/>
        </w:rPr>
        <w:t>services,</w:t>
      </w:r>
      <w:r>
        <w:rPr>
          <w:spacing w:val="-4"/>
          <w:sz w:val="24"/>
        </w:rPr>
        <w:t> </w:t>
      </w:r>
      <w:r>
        <w:rPr>
          <w:sz w:val="24"/>
        </w:rPr>
        <w:t>whether</w:t>
      </w:r>
      <w:r>
        <w:rPr>
          <w:spacing w:val="-4"/>
          <w:sz w:val="24"/>
        </w:rPr>
        <w:t> </w:t>
      </w:r>
      <w:r>
        <w:rPr>
          <w:sz w:val="24"/>
        </w:rPr>
        <w:t>closed</w:t>
      </w:r>
      <w:r>
        <w:rPr>
          <w:spacing w:val="-4"/>
          <w:sz w:val="24"/>
        </w:rPr>
        <w:t> </w:t>
      </w:r>
      <w:r>
        <w:rPr>
          <w:sz w:val="24"/>
        </w:rPr>
        <w:t>from applicant status or from trial work status. </w:t>
      </w:r>
      <w:r>
        <w:rPr>
          <w:b/>
          <w:sz w:val="24"/>
        </w:rPr>
        <w:t>1</w:t>
      </w:r>
    </w:p>
    <w:p>
      <w:pPr>
        <w:pStyle w:val="ListParagraph"/>
        <w:numPr>
          <w:ilvl w:val="1"/>
          <w:numId w:val="127"/>
        </w:numPr>
        <w:tabs>
          <w:tab w:pos="1235" w:val="left" w:leader="none"/>
        </w:tabs>
        <w:spacing w:line="208" w:lineRule="auto" w:before="240" w:after="0"/>
        <w:ind w:left="809" w:right="754" w:firstLine="0"/>
        <w:jc w:val="left"/>
        <w:rPr>
          <w:sz w:val="24"/>
        </w:rPr>
      </w:pPr>
      <w:r>
        <w:rPr>
          <w:b/>
          <w:sz w:val="24"/>
        </w:rPr>
        <w:t>Closure due to ineligibility. </w:t>
      </w:r>
      <w:r>
        <w:rPr>
          <w:sz w:val="24"/>
        </w:rPr>
        <w:t>The designated State unit may not close an applicant's record of services prior to making an eligibility determination unless the applicant</w:t>
      </w:r>
      <w:r>
        <w:rPr>
          <w:spacing w:val="-3"/>
          <w:sz w:val="24"/>
        </w:rPr>
        <w:t> </w:t>
      </w:r>
      <w:r>
        <w:rPr>
          <w:sz w:val="24"/>
        </w:rPr>
        <w:t>declines</w:t>
      </w:r>
      <w:r>
        <w:rPr>
          <w:spacing w:val="-4"/>
          <w:sz w:val="24"/>
        </w:rPr>
        <w:t> </w:t>
      </w:r>
      <w:r>
        <w:rPr>
          <w:sz w:val="24"/>
        </w:rPr>
        <w:t>to</w:t>
      </w:r>
      <w:r>
        <w:rPr>
          <w:spacing w:val="-4"/>
          <w:sz w:val="24"/>
        </w:rPr>
        <w:t> </w:t>
      </w:r>
      <w:r>
        <w:rPr>
          <w:sz w:val="24"/>
        </w:rPr>
        <w:t>participate</w:t>
      </w:r>
      <w:r>
        <w:rPr>
          <w:spacing w:val="-4"/>
          <w:sz w:val="24"/>
        </w:rPr>
        <w:t> </w:t>
      </w:r>
      <w:r>
        <w:rPr>
          <w:sz w:val="24"/>
        </w:rPr>
        <w:t>in,</w:t>
      </w:r>
      <w:r>
        <w:rPr>
          <w:spacing w:val="-3"/>
          <w:sz w:val="24"/>
        </w:rPr>
        <w:t> </w:t>
      </w:r>
      <w:r>
        <w:rPr>
          <w:sz w:val="24"/>
        </w:rPr>
        <w:t>or</w:t>
      </w:r>
      <w:r>
        <w:rPr>
          <w:spacing w:val="-3"/>
          <w:sz w:val="24"/>
        </w:rPr>
        <w:t> </w:t>
      </w:r>
      <w:r>
        <w:rPr>
          <w:sz w:val="24"/>
        </w:rPr>
        <w:t>is</w:t>
      </w:r>
      <w:r>
        <w:rPr>
          <w:spacing w:val="-4"/>
          <w:sz w:val="24"/>
        </w:rPr>
        <w:t> </w:t>
      </w:r>
      <w:r>
        <w:rPr>
          <w:sz w:val="24"/>
        </w:rPr>
        <w:t>unavailable</w:t>
      </w:r>
      <w:r>
        <w:rPr>
          <w:spacing w:val="-4"/>
          <w:sz w:val="24"/>
        </w:rPr>
        <w:t> </w:t>
      </w:r>
      <w:r>
        <w:rPr>
          <w:sz w:val="24"/>
        </w:rPr>
        <w:t>to</w:t>
      </w:r>
      <w:r>
        <w:rPr>
          <w:spacing w:val="-4"/>
          <w:sz w:val="24"/>
        </w:rPr>
        <w:t> </w:t>
      </w:r>
      <w:r>
        <w:rPr>
          <w:sz w:val="24"/>
        </w:rPr>
        <w:t>complete,</w:t>
      </w:r>
      <w:r>
        <w:rPr>
          <w:spacing w:val="-3"/>
          <w:sz w:val="24"/>
        </w:rPr>
        <w:t> </w:t>
      </w:r>
      <w:r>
        <w:rPr>
          <w:sz w:val="24"/>
        </w:rPr>
        <w:t>an</w:t>
      </w:r>
      <w:r>
        <w:rPr>
          <w:spacing w:val="-4"/>
          <w:sz w:val="24"/>
        </w:rPr>
        <w:t> </w:t>
      </w:r>
      <w:r>
        <w:rPr>
          <w:sz w:val="24"/>
        </w:rPr>
        <w:t>assessment</w:t>
      </w:r>
      <w:r>
        <w:rPr>
          <w:spacing w:val="-3"/>
          <w:sz w:val="24"/>
        </w:rPr>
        <w:t> </w:t>
      </w:r>
      <w:r>
        <w:rPr>
          <w:sz w:val="24"/>
        </w:rPr>
        <w:t>for determining eligibility and priority for services, and the State unit has made a reasonable number of attempts to contact the applicant or, if appropriate, the applicant's representative to encourage the applicant's participation.</w:t>
      </w:r>
    </w:p>
    <w:p>
      <w:pPr>
        <w:pStyle w:val="ListParagraph"/>
        <w:numPr>
          <w:ilvl w:val="2"/>
          <w:numId w:val="127"/>
        </w:numPr>
        <w:tabs>
          <w:tab w:pos="1676" w:val="left" w:leader="none"/>
        </w:tabs>
        <w:spacing w:line="208" w:lineRule="auto" w:before="239" w:after="0"/>
        <w:ind w:left="1223" w:right="1372" w:firstLine="0"/>
        <w:jc w:val="left"/>
        <w:rPr>
          <w:sz w:val="24"/>
        </w:rPr>
      </w:pPr>
      <w:r>
        <w:rPr>
          <w:sz w:val="24"/>
        </w:rPr>
        <w:t>Disability</w:t>
      </w:r>
      <w:r>
        <w:rPr>
          <w:spacing w:val="-5"/>
          <w:sz w:val="24"/>
        </w:rPr>
        <w:t> </w:t>
      </w:r>
      <w:r>
        <w:rPr>
          <w:sz w:val="24"/>
        </w:rPr>
        <w:t>too</w:t>
      </w:r>
      <w:r>
        <w:rPr>
          <w:spacing w:val="-5"/>
          <w:sz w:val="24"/>
        </w:rPr>
        <w:t> </w:t>
      </w:r>
      <w:r>
        <w:rPr>
          <w:sz w:val="24"/>
        </w:rPr>
        <w:t>severe</w:t>
      </w:r>
      <w:r>
        <w:rPr>
          <w:spacing w:val="-5"/>
          <w:sz w:val="24"/>
        </w:rPr>
        <w:t> </w:t>
      </w:r>
      <w:r>
        <w:rPr>
          <w:sz w:val="24"/>
        </w:rPr>
        <w:t>(from</w:t>
      </w:r>
      <w:r>
        <w:rPr>
          <w:spacing w:val="-4"/>
          <w:sz w:val="24"/>
        </w:rPr>
        <w:t> </w:t>
      </w:r>
      <w:r>
        <w:rPr>
          <w:sz w:val="24"/>
        </w:rPr>
        <w:t>Trial</w:t>
      </w:r>
      <w:r>
        <w:rPr>
          <w:spacing w:val="-5"/>
          <w:sz w:val="24"/>
        </w:rPr>
        <w:t> </w:t>
      </w:r>
      <w:r>
        <w:rPr>
          <w:sz w:val="24"/>
        </w:rPr>
        <w:t>Work</w:t>
      </w:r>
      <w:r>
        <w:rPr>
          <w:spacing w:val="-5"/>
          <w:sz w:val="24"/>
        </w:rPr>
        <w:t> </w:t>
      </w:r>
      <w:r>
        <w:rPr>
          <w:sz w:val="24"/>
        </w:rPr>
        <w:t>Experience</w:t>
      </w:r>
      <w:r>
        <w:rPr>
          <w:spacing w:val="-5"/>
          <w:sz w:val="24"/>
        </w:rPr>
        <w:t> </w:t>
      </w:r>
      <w:r>
        <w:rPr>
          <w:sz w:val="24"/>
        </w:rPr>
        <w:t>only)</w:t>
      </w:r>
      <w:r>
        <w:rPr>
          <w:spacing w:val="-4"/>
          <w:sz w:val="24"/>
        </w:rPr>
        <w:t> </w:t>
      </w:r>
      <w:r>
        <w:rPr>
          <w:sz w:val="24"/>
        </w:rPr>
        <w:t>or</w:t>
      </w:r>
      <w:r>
        <w:rPr>
          <w:spacing w:val="-4"/>
          <w:sz w:val="24"/>
        </w:rPr>
        <w:t> </w:t>
      </w:r>
      <w:r>
        <w:rPr>
          <w:sz w:val="24"/>
        </w:rPr>
        <w:t>unfavorable medical prognosis.</w:t>
      </w:r>
    </w:p>
    <w:p>
      <w:pPr>
        <w:pStyle w:val="ListParagraph"/>
        <w:numPr>
          <w:ilvl w:val="2"/>
          <w:numId w:val="127"/>
        </w:numPr>
        <w:tabs>
          <w:tab w:pos="1676" w:val="left" w:leader="none"/>
        </w:tabs>
        <w:spacing w:line="240" w:lineRule="auto" w:before="211" w:after="0"/>
        <w:ind w:left="1676" w:right="0" w:hanging="453"/>
        <w:jc w:val="left"/>
        <w:rPr>
          <w:sz w:val="24"/>
        </w:rPr>
      </w:pPr>
      <w:r>
        <w:rPr>
          <w:sz w:val="24"/>
        </w:rPr>
        <w:t>No</w:t>
      </w:r>
      <w:r>
        <w:rPr>
          <w:spacing w:val="-4"/>
          <w:sz w:val="24"/>
        </w:rPr>
        <w:t> </w:t>
      </w:r>
      <w:r>
        <w:rPr>
          <w:sz w:val="24"/>
        </w:rPr>
        <w:t>disabling</w:t>
      </w:r>
      <w:r>
        <w:rPr>
          <w:spacing w:val="-3"/>
          <w:sz w:val="24"/>
        </w:rPr>
        <w:t> </w:t>
      </w:r>
      <w:r>
        <w:rPr>
          <w:spacing w:val="-2"/>
          <w:sz w:val="24"/>
        </w:rPr>
        <w:t>condition.</w:t>
      </w:r>
    </w:p>
    <w:p>
      <w:pPr>
        <w:pStyle w:val="ListParagraph"/>
        <w:numPr>
          <w:ilvl w:val="2"/>
          <w:numId w:val="127"/>
        </w:numPr>
        <w:tabs>
          <w:tab w:pos="1689" w:val="left" w:leader="none"/>
        </w:tabs>
        <w:spacing w:line="240" w:lineRule="auto" w:before="204" w:after="0"/>
        <w:ind w:left="1689" w:right="0" w:hanging="466"/>
        <w:jc w:val="left"/>
        <w:rPr>
          <w:sz w:val="24"/>
        </w:rPr>
      </w:pPr>
      <w:r>
        <w:rPr>
          <w:sz w:val="24"/>
        </w:rPr>
        <w:t>No</w:t>
      </w:r>
      <w:r>
        <w:rPr>
          <w:spacing w:val="-3"/>
          <w:sz w:val="24"/>
        </w:rPr>
        <w:t> </w:t>
      </w:r>
      <w:r>
        <w:rPr>
          <w:sz w:val="24"/>
        </w:rPr>
        <w:t>impediment</w:t>
      </w:r>
      <w:r>
        <w:rPr>
          <w:spacing w:val="-3"/>
          <w:sz w:val="24"/>
        </w:rPr>
        <w:t> </w:t>
      </w:r>
      <w:r>
        <w:rPr>
          <w:sz w:val="24"/>
        </w:rPr>
        <w:t>to</w:t>
      </w:r>
      <w:r>
        <w:rPr>
          <w:spacing w:val="-3"/>
          <w:sz w:val="24"/>
        </w:rPr>
        <w:t> </w:t>
      </w:r>
      <w:r>
        <w:rPr>
          <w:spacing w:val="-2"/>
          <w:sz w:val="24"/>
        </w:rPr>
        <w:t>employment.</w:t>
      </w:r>
    </w:p>
    <w:p>
      <w:pPr>
        <w:pStyle w:val="ListParagraph"/>
        <w:numPr>
          <w:ilvl w:val="2"/>
          <w:numId w:val="127"/>
        </w:numPr>
        <w:tabs>
          <w:tab w:pos="1689" w:val="left" w:leader="none"/>
        </w:tabs>
        <w:spacing w:line="240" w:lineRule="auto" w:before="204" w:after="0"/>
        <w:ind w:left="1689" w:right="0" w:hanging="466"/>
        <w:jc w:val="left"/>
        <w:rPr>
          <w:sz w:val="24"/>
        </w:rPr>
      </w:pPr>
      <w:r>
        <w:rPr>
          <w:sz w:val="24"/>
        </w:rPr>
        <w:t>Rehabilitation</w:t>
      </w:r>
      <w:r>
        <w:rPr>
          <w:spacing w:val="-4"/>
          <w:sz w:val="24"/>
        </w:rPr>
        <w:t> </w:t>
      </w:r>
      <w:r>
        <w:rPr>
          <w:sz w:val="24"/>
        </w:rPr>
        <w:t>services</w:t>
      </w:r>
      <w:r>
        <w:rPr>
          <w:spacing w:val="-4"/>
          <w:sz w:val="24"/>
        </w:rPr>
        <w:t> </w:t>
      </w:r>
      <w:r>
        <w:rPr>
          <w:sz w:val="24"/>
        </w:rPr>
        <w:t>are</w:t>
      </w:r>
      <w:r>
        <w:rPr>
          <w:spacing w:val="-4"/>
          <w:sz w:val="24"/>
        </w:rPr>
        <w:t> </w:t>
      </w:r>
      <w:r>
        <w:rPr>
          <w:sz w:val="24"/>
        </w:rPr>
        <w:t>not</w:t>
      </w:r>
      <w:r>
        <w:rPr>
          <w:spacing w:val="-2"/>
          <w:sz w:val="24"/>
        </w:rPr>
        <w:t> </w:t>
      </w:r>
      <w:r>
        <w:rPr>
          <w:sz w:val="24"/>
        </w:rPr>
        <w:t>required</w:t>
      </w:r>
      <w:r>
        <w:rPr>
          <w:spacing w:val="-4"/>
          <w:sz w:val="24"/>
        </w:rPr>
        <w:t> </w:t>
      </w:r>
      <w:r>
        <w:rPr>
          <w:sz w:val="24"/>
        </w:rPr>
        <w:t>for</w:t>
      </w:r>
      <w:r>
        <w:rPr>
          <w:spacing w:val="-3"/>
          <w:sz w:val="24"/>
        </w:rPr>
        <w:t> </w:t>
      </w:r>
      <w:r>
        <w:rPr>
          <w:sz w:val="24"/>
        </w:rPr>
        <w:t>an</w:t>
      </w:r>
      <w:r>
        <w:rPr>
          <w:spacing w:val="-4"/>
          <w:sz w:val="24"/>
        </w:rPr>
        <w:t> </w:t>
      </w:r>
      <w:r>
        <w:rPr>
          <w:sz w:val="24"/>
        </w:rPr>
        <w:t>employment</w:t>
      </w:r>
      <w:r>
        <w:rPr>
          <w:spacing w:val="-2"/>
          <w:sz w:val="24"/>
        </w:rPr>
        <w:t> outcome.</w:t>
      </w:r>
    </w:p>
    <w:p>
      <w:pPr>
        <w:pStyle w:val="ListParagraph"/>
        <w:numPr>
          <w:ilvl w:val="2"/>
          <w:numId w:val="127"/>
        </w:numPr>
        <w:tabs>
          <w:tab w:pos="1676" w:val="left" w:leader="none"/>
        </w:tabs>
        <w:spacing w:line="240" w:lineRule="auto" w:before="204" w:after="0"/>
        <w:ind w:left="1676" w:right="0" w:hanging="453"/>
        <w:jc w:val="left"/>
        <w:rPr>
          <w:sz w:val="24"/>
        </w:rPr>
      </w:pPr>
      <w:r>
        <w:rPr>
          <w:sz w:val="24"/>
        </w:rPr>
        <w:t>Unable</w:t>
      </w:r>
      <w:r>
        <w:rPr>
          <w:spacing w:val="-3"/>
          <w:sz w:val="24"/>
        </w:rPr>
        <w:t> </w:t>
      </w:r>
      <w:r>
        <w:rPr>
          <w:sz w:val="24"/>
        </w:rPr>
        <w:t>to</w:t>
      </w:r>
      <w:r>
        <w:rPr>
          <w:spacing w:val="-2"/>
          <w:sz w:val="24"/>
        </w:rPr>
        <w:t> locate.</w:t>
      </w:r>
    </w:p>
    <w:p>
      <w:pPr>
        <w:pStyle w:val="Heading2"/>
        <w:numPr>
          <w:ilvl w:val="1"/>
          <w:numId w:val="127"/>
        </w:numPr>
        <w:tabs>
          <w:tab w:pos="426" w:val="left" w:leader="none"/>
        </w:tabs>
        <w:spacing w:line="240" w:lineRule="auto" w:before="204" w:after="0"/>
        <w:ind w:left="426" w:right="5800" w:hanging="426"/>
        <w:jc w:val="right"/>
      </w:pPr>
      <w:r>
        <w:rPr/>
        <w:t>Closure</w:t>
      </w:r>
      <w:r>
        <w:rPr>
          <w:spacing w:val="-3"/>
        </w:rPr>
        <w:t> </w:t>
      </w:r>
      <w:r>
        <w:rPr/>
        <w:t>due</w:t>
      </w:r>
      <w:r>
        <w:rPr>
          <w:spacing w:val="-3"/>
        </w:rPr>
        <w:t> </w:t>
      </w:r>
      <w:r>
        <w:rPr/>
        <w:t>to</w:t>
      </w:r>
      <w:r>
        <w:rPr>
          <w:spacing w:val="-3"/>
        </w:rPr>
        <w:t> </w:t>
      </w:r>
      <w:r>
        <w:rPr/>
        <w:t>other</w:t>
      </w:r>
      <w:r>
        <w:rPr>
          <w:spacing w:val="-2"/>
        </w:rPr>
        <w:t> reasons.</w:t>
      </w:r>
    </w:p>
    <w:p>
      <w:pPr>
        <w:pStyle w:val="ListParagraph"/>
        <w:numPr>
          <w:ilvl w:val="2"/>
          <w:numId w:val="127"/>
        </w:numPr>
        <w:tabs>
          <w:tab w:pos="1676" w:val="left" w:leader="none"/>
        </w:tabs>
        <w:spacing w:line="240" w:lineRule="auto" w:before="204" w:after="0"/>
        <w:ind w:left="1676" w:right="0" w:hanging="453"/>
        <w:jc w:val="left"/>
        <w:rPr>
          <w:sz w:val="24"/>
        </w:rPr>
      </w:pPr>
      <w:r>
        <w:rPr>
          <w:sz w:val="24"/>
        </w:rPr>
        <w:t>Unable</w:t>
      </w:r>
      <w:r>
        <w:rPr>
          <w:spacing w:val="-3"/>
          <w:sz w:val="24"/>
        </w:rPr>
        <w:t> </w:t>
      </w:r>
      <w:r>
        <w:rPr>
          <w:sz w:val="24"/>
        </w:rPr>
        <w:t>to</w:t>
      </w:r>
      <w:r>
        <w:rPr>
          <w:spacing w:val="-2"/>
          <w:sz w:val="24"/>
        </w:rPr>
        <w:t> locate.</w:t>
      </w:r>
    </w:p>
    <w:p>
      <w:pPr>
        <w:pStyle w:val="ListParagraph"/>
        <w:numPr>
          <w:ilvl w:val="2"/>
          <w:numId w:val="127"/>
        </w:numPr>
        <w:tabs>
          <w:tab w:pos="1675" w:val="left" w:leader="none"/>
        </w:tabs>
        <w:spacing w:line="240" w:lineRule="auto" w:before="204" w:after="0"/>
        <w:ind w:left="1675" w:right="0" w:hanging="452"/>
        <w:jc w:val="left"/>
        <w:rPr>
          <w:sz w:val="24"/>
        </w:rPr>
      </w:pPr>
      <w:r>
        <w:rPr>
          <w:sz w:val="24"/>
        </w:rPr>
        <w:t>Moved</w:t>
      </w:r>
      <w:r>
        <w:rPr>
          <w:spacing w:val="-2"/>
          <w:sz w:val="24"/>
        </w:rPr>
        <w:t> </w:t>
      </w:r>
      <w:r>
        <w:rPr>
          <w:sz w:val="24"/>
        </w:rPr>
        <w:t>out</w:t>
      </w:r>
      <w:r>
        <w:rPr>
          <w:spacing w:val="-1"/>
          <w:sz w:val="24"/>
        </w:rPr>
        <w:t> </w:t>
      </w:r>
      <w:r>
        <w:rPr>
          <w:sz w:val="24"/>
        </w:rPr>
        <w:t>of</w:t>
      </w:r>
      <w:r>
        <w:rPr>
          <w:spacing w:val="-2"/>
          <w:sz w:val="24"/>
        </w:rPr>
        <w:t> state.</w:t>
      </w:r>
    </w:p>
    <w:p>
      <w:pPr>
        <w:pStyle w:val="ListParagraph"/>
        <w:numPr>
          <w:ilvl w:val="2"/>
          <w:numId w:val="127"/>
        </w:numPr>
        <w:tabs>
          <w:tab w:pos="1690" w:val="left" w:leader="none"/>
        </w:tabs>
        <w:spacing w:line="240" w:lineRule="auto" w:before="204" w:after="0"/>
        <w:ind w:left="1690" w:right="0" w:hanging="466"/>
        <w:jc w:val="left"/>
        <w:rPr>
          <w:sz w:val="24"/>
        </w:rPr>
      </w:pPr>
      <w:r>
        <w:rPr>
          <w:sz w:val="24"/>
        </w:rPr>
        <w:t>Refused</w:t>
      </w:r>
      <w:r>
        <w:rPr>
          <w:spacing w:val="-4"/>
          <w:sz w:val="24"/>
        </w:rPr>
        <w:t> </w:t>
      </w:r>
      <w:r>
        <w:rPr>
          <w:sz w:val="24"/>
        </w:rPr>
        <w:t>services</w:t>
      </w:r>
      <w:r>
        <w:rPr>
          <w:spacing w:val="-3"/>
          <w:sz w:val="24"/>
        </w:rPr>
        <w:t> </w:t>
      </w:r>
      <w:r>
        <w:rPr>
          <w:sz w:val="24"/>
        </w:rPr>
        <w:t>or</w:t>
      </w:r>
      <w:r>
        <w:rPr>
          <w:spacing w:val="-2"/>
          <w:sz w:val="24"/>
        </w:rPr>
        <w:t> </w:t>
      </w:r>
      <w:r>
        <w:rPr>
          <w:sz w:val="24"/>
        </w:rPr>
        <w:t>further</w:t>
      </w:r>
      <w:r>
        <w:rPr>
          <w:spacing w:val="-2"/>
          <w:sz w:val="24"/>
        </w:rPr>
        <w:t> services.</w:t>
      </w:r>
    </w:p>
    <w:p>
      <w:pPr>
        <w:pStyle w:val="ListParagraph"/>
        <w:numPr>
          <w:ilvl w:val="2"/>
          <w:numId w:val="127"/>
        </w:numPr>
        <w:tabs>
          <w:tab w:pos="1689" w:val="left" w:leader="none"/>
        </w:tabs>
        <w:spacing w:line="240" w:lineRule="auto" w:before="204" w:after="0"/>
        <w:ind w:left="1689" w:right="0" w:hanging="466"/>
        <w:jc w:val="left"/>
        <w:rPr>
          <w:sz w:val="24"/>
        </w:rPr>
      </w:pPr>
      <w:r>
        <w:rPr>
          <w:spacing w:val="-2"/>
          <w:sz w:val="24"/>
        </w:rPr>
        <w:t>Death.</w:t>
      </w:r>
    </w:p>
    <w:p>
      <w:pPr>
        <w:pStyle w:val="ListParagraph"/>
        <w:numPr>
          <w:ilvl w:val="2"/>
          <w:numId w:val="127"/>
        </w:numPr>
        <w:tabs>
          <w:tab w:pos="1677" w:val="left" w:leader="none"/>
        </w:tabs>
        <w:spacing w:line="240" w:lineRule="auto" w:before="204" w:after="0"/>
        <w:ind w:left="1677" w:right="0" w:hanging="453"/>
        <w:jc w:val="left"/>
        <w:rPr>
          <w:sz w:val="24"/>
        </w:rPr>
      </w:pPr>
      <w:r>
        <w:rPr>
          <w:sz w:val="24"/>
        </w:rPr>
        <w:t>Client</w:t>
      </w:r>
      <w:r>
        <w:rPr>
          <w:spacing w:val="-6"/>
          <w:sz w:val="24"/>
        </w:rPr>
        <w:t> </w:t>
      </w:r>
      <w:r>
        <w:rPr>
          <w:spacing w:val="-2"/>
          <w:sz w:val="24"/>
        </w:rPr>
        <w:t>institutionalized.</w:t>
      </w:r>
    </w:p>
    <w:p>
      <w:pPr>
        <w:pStyle w:val="ListParagraph"/>
        <w:numPr>
          <w:ilvl w:val="2"/>
          <w:numId w:val="127"/>
        </w:numPr>
        <w:tabs>
          <w:tab w:pos="438" w:val="left" w:leader="none"/>
        </w:tabs>
        <w:spacing w:line="240" w:lineRule="auto" w:before="204" w:after="0"/>
        <w:ind w:left="438" w:right="5826" w:hanging="438"/>
        <w:jc w:val="right"/>
        <w:rPr>
          <w:sz w:val="24"/>
        </w:rPr>
      </w:pPr>
      <w:r>
        <w:rPr>
          <w:sz w:val="24"/>
        </w:rPr>
        <w:t>Transfer</w:t>
      </w:r>
      <w:r>
        <w:rPr>
          <w:spacing w:val="-5"/>
          <w:sz w:val="24"/>
        </w:rPr>
        <w:t> </w:t>
      </w:r>
      <w:r>
        <w:rPr>
          <w:sz w:val="24"/>
        </w:rPr>
        <w:t>to</w:t>
      </w:r>
      <w:r>
        <w:rPr>
          <w:spacing w:val="-4"/>
          <w:sz w:val="24"/>
        </w:rPr>
        <w:t> </w:t>
      </w:r>
      <w:r>
        <w:rPr>
          <w:sz w:val="24"/>
        </w:rPr>
        <w:t>another</w:t>
      </w:r>
      <w:r>
        <w:rPr>
          <w:spacing w:val="-2"/>
          <w:sz w:val="24"/>
        </w:rPr>
        <w:t> agency.</w:t>
      </w:r>
    </w:p>
    <w:p>
      <w:pPr>
        <w:pStyle w:val="ListParagraph"/>
        <w:numPr>
          <w:ilvl w:val="2"/>
          <w:numId w:val="127"/>
        </w:numPr>
        <w:tabs>
          <w:tab w:pos="1702" w:val="left" w:leader="none"/>
        </w:tabs>
        <w:spacing w:line="240" w:lineRule="auto" w:before="204" w:after="0"/>
        <w:ind w:left="1702" w:right="0" w:hanging="479"/>
        <w:jc w:val="left"/>
        <w:rPr>
          <w:sz w:val="24"/>
        </w:rPr>
      </w:pPr>
      <w:r>
        <w:rPr>
          <w:sz w:val="24"/>
        </w:rPr>
        <w:t>Failure</w:t>
      </w:r>
      <w:r>
        <w:rPr>
          <w:spacing w:val="-3"/>
          <w:sz w:val="24"/>
        </w:rPr>
        <w:t> </w:t>
      </w:r>
      <w:r>
        <w:rPr>
          <w:sz w:val="24"/>
        </w:rPr>
        <w:t>to</w:t>
      </w:r>
      <w:r>
        <w:rPr>
          <w:spacing w:val="-2"/>
          <w:sz w:val="24"/>
        </w:rPr>
        <w:t> cooperate.</w:t>
      </w:r>
    </w:p>
    <w:p>
      <w:pPr>
        <w:pStyle w:val="ListParagraph"/>
        <w:numPr>
          <w:ilvl w:val="2"/>
          <w:numId w:val="127"/>
        </w:numPr>
        <w:tabs>
          <w:tab w:pos="1688" w:val="left" w:leader="none"/>
        </w:tabs>
        <w:spacing w:line="240" w:lineRule="auto" w:before="204" w:after="0"/>
        <w:ind w:left="1688" w:right="0" w:hanging="465"/>
        <w:jc w:val="left"/>
        <w:rPr>
          <w:sz w:val="24"/>
        </w:rPr>
      </w:pPr>
      <w:r>
        <w:rPr>
          <w:sz w:val="24"/>
        </w:rPr>
        <w:t>Other</w:t>
      </w:r>
      <w:r>
        <w:rPr>
          <w:spacing w:val="-3"/>
          <w:sz w:val="24"/>
        </w:rPr>
        <w:t> </w:t>
      </w:r>
      <w:r>
        <w:rPr>
          <w:spacing w:val="-2"/>
          <w:sz w:val="24"/>
        </w:rPr>
        <w:t>reasons.</w:t>
      </w:r>
    </w:p>
    <w:p>
      <w:pPr>
        <w:pStyle w:val="ListParagraph"/>
        <w:numPr>
          <w:ilvl w:val="0"/>
          <w:numId w:val="127"/>
        </w:numPr>
        <w:tabs>
          <w:tab w:pos="786" w:val="left" w:leader="none"/>
        </w:tabs>
        <w:spacing w:line="208" w:lineRule="auto" w:before="233" w:after="0"/>
        <w:ind w:left="360" w:right="925" w:firstLine="0"/>
        <w:jc w:val="left"/>
        <w:rPr>
          <w:sz w:val="24"/>
        </w:rPr>
      </w:pPr>
      <w:r>
        <w:rPr>
          <w:b/>
          <w:sz w:val="24"/>
        </w:rPr>
        <w:t>Personal contacts. </w:t>
      </w:r>
      <w:r>
        <w:rPr>
          <w:sz w:val="24"/>
        </w:rPr>
        <w:t>Personal contacts are made with all persons closed in this status,</w:t>
      </w:r>
      <w:r>
        <w:rPr>
          <w:spacing w:val="-2"/>
          <w:sz w:val="24"/>
        </w:rPr>
        <w:t> </w:t>
      </w:r>
      <w:r>
        <w:rPr>
          <w:sz w:val="24"/>
        </w:rPr>
        <w:t>if</w:t>
      </w:r>
      <w:r>
        <w:rPr>
          <w:spacing w:val="-4"/>
          <w:sz w:val="24"/>
        </w:rPr>
        <w:t> </w:t>
      </w:r>
      <w:r>
        <w:rPr>
          <w:sz w:val="24"/>
        </w:rPr>
        <w:t>possible,</w:t>
      </w:r>
      <w:r>
        <w:rPr>
          <w:spacing w:val="-2"/>
          <w:sz w:val="24"/>
        </w:rPr>
        <w:t> </w:t>
      </w:r>
      <w:r>
        <w:rPr>
          <w:sz w:val="24"/>
        </w:rPr>
        <w:t>and</w:t>
      </w:r>
      <w:r>
        <w:rPr>
          <w:spacing w:val="-2"/>
          <w:sz w:val="24"/>
        </w:rPr>
        <w:t> </w:t>
      </w:r>
      <w:r>
        <w:rPr>
          <w:sz w:val="24"/>
        </w:rPr>
        <w:t>the</w:t>
      </w:r>
      <w:r>
        <w:rPr>
          <w:spacing w:val="-3"/>
          <w:sz w:val="24"/>
        </w:rPr>
        <w:t> </w:t>
      </w:r>
      <w:r>
        <w:rPr>
          <w:sz w:val="24"/>
        </w:rPr>
        <w:t>results</w:t>
      </w:r>
      <w:r>
        <w:rPr>
          <w:spacing w:val="-4"/>
          <w:sz w:val="24"/>
        </w:rPr>
        <w:t> </w:t>
      </w:r>
      <w:r>
        <w:rPr>
          <w:sz w:val="24"/>
        </w:rPr>
        <w:t>of</w:t>
      </w:r>
      <w:r>
        <w:rPr>
          <w:spacing w:val="-2"/>
          <w:sz w:val="24"/>
        </w:rPr>
        <w:t> </w:t>
      </w:r>
      <w:r>
        <w:rPr>
          <w:sz w:val="24"/>
        </w:rPr>
        <w:t>those</w:t>
      </w:r>
      <w:r>
        <w:rPr>
          <w:spacing w:val="-3"/>
          <w:sz w:val="24"/>
        </w:rPr>
        <w:t> </w:t>
      </w:r>
      <w:r>
        <w:rPr>
          <w:sz w:val="24"/>
        </w:rPr>
        <w:t>contacts</w:t>
      </w:r>
      <w:r>
        <w:rPr>
          <w:spacing w:val="-3"/>
          <w:sz w:val="24"/>
        </w:rPr>
        <w:t> </w:t>
      </w:r>
      <w:r>
        <w:rPr>
          <w:sz w:val="24"/>
        </w:rPr>
        <w:t>are</w:t>
      </w:r>
      <w:r>
        <w:rPr>
          <w:spacing w:val="-4"/>
          <w:sz w:val="24"/>
        </w:rPr>
        <w:t> </w:t>
      </w:r>
      <w:r>
        <w:rPr>
          <w:sz w:val="24"/>
        </w:rPr>
        <w:t>recorded</w:t>
      </w:r>
      <w:r>
        <w:rPr>
          <w:spacing w:val="-3"/>
          <w:sz w:val="24"/>
        </w:rPr>
        <w:t> </w:t>
      </w:r>
      <w:r>
        <w:rPr>
          <w:sz w:val="24"/>
        </w:rPr>
        <w:t>in</w:t>
      </w:r>
      <w:r>
        <w:rPr>
          <w:spacing w:val="-2"/>
          <w:sz w:val="24"/>
        </w:rPr>
        <w:t> </w:t>
      </w:r>
      <w:r>
        <w:rPr>
          <w:sz w:val="24"/>
        </w:rPr>
        <w:t>a</w:t>
      </w:r>
      <w:r>
        <w:rPr>
          <w:spacing w:val="-3"/>
          <w:sz w:val="24"/>
        </w:rPr>
        <w:t> </w:t>
      </w:r>
      <w:r>
        <w:rPr>
          <w:sz w:val="24"/>
        </w:rPr>
        <w:t>case</w:t>
      </w:r>
      <w:r>
        <w:rPr>
          <w:spacing w:val="-3"/>
          <w:sz w:val="24"/>
        </w:rPr>
        <w:t> </w:t>
      </w:r>
      <w:r>
        <w:rPr>
          <w:sz w:val="24"/>
        </w:rPr>
        <w:t>narrative.</w:t>
      </w:r>
      <w:r>
        <w:rPr>
          <w:spacing w:val="-2"/>
          <w:sz w:val="24"/>
        </w:rPr>
        <w:t> </w:t>
      </w:r>
      <w:r>
        <w:rPr>
          <w:sz w:val="24"/>
        </w:rPr>
        <w:t>If the applicant cannot be contacted, all attempts to contact are recorded.</w:t>
      </w:r>
    </w:p>
    <w:p>
      <w:pPr>
        <w:pStyle w:val="ListParagraph"/>
        <w:numPr>
          <w:ilvl w:val="0"/>
          <w:numId w:val="127"/>
        </w:numPr>
        <w:tabs>
          <w:tab w:pos="773" w:val="left" w:leader="none"/>
        </w:tabs>
        <w:spacing w:line="208" w:lineRule="auto" w:before="240" w:after="0"/>
        <w:ind w:left="360" w:right="753" w:firstLine="0"/>
        <w:jc w:val="left"/>
        <w:rPr>
          <w:sz w:val="24"/>
        </w:rPr>
      </w:pPr>
      <w:r>
        <w:rPr>
          <w:b/>
          <w:sz w:val="24"/>
        </w:rPr>
        <w:t>Case</w:t>
      </w:r>
      <w:r>
        <w:rPr>
          <w:b/>
          <w:spacing w:val="-4"/>
          <w:sz w:val="24"/>
        </w:rPr>
        <w:t> </w:t>
      </w:r>
      <w:r>
        <w:rPr>
          <w:b/>
          <w:sz w:val="24"/>
        </w:rPr>
        <w:t>recording</w:t>
      </w:r>
      <w:r>
        <w:rPr>
          <w:b/>
          <w:spacing w:val="-4"/>
          <w:sz w:val="24"/>
        </w:rPr>
        <w:t> </w:t>
      </w:r>
      <w:r>
        <w:rPr>
          <w:b/>
          <w:sz w:val="24"/>
        </w:rPr>
        <w:t>requirements.</w:t>
      </w:r>
      <w:r>
        <w:rPr>
          <w:b/>
          <w:spacing w:val="-4"/>
          <w:sz w:val="24"/>
        </w:rPr>
        <w:t> </w:t>
      </w:r>
      <w:r>
        <w:rPr>
          <w:sz w:val="24"/>
        </w:rPr>
        <w:t>All</w:t>
      </w:r>
      <w:r>
        <w:rPr>
          <w:spacing w:val="-4"/>
          <w:sz w:val="24"/>
        </w:rPr>
        <w:t> </w:t>
      </w:r>
      <w:r>
        <w:rPr>
          <w:sz w:val="24"/>
        </w:rPr>
        <w:t>applicants</w:t>
      </w:r>
      <w:r>
        <w:rPr>
          <w:spacing w:val="-4"/>
          <w:sz w:val="24"/>
        </w:rPr>
        <w:t> </w:t>
      </w:r>
      <w:r>
        <w:rPr>
          <w:sz w:val="24"/>
        </w:rPr>
        <w:t>whose</w:t>
      </w:r>
      <w:r>
        <w:rPr>
          <w:spacing w:val="-4"/>
          <w:sz w:val="24"/>
        </w:rPr>
        <w:t> </w:t>
      </w:r>
      <w:r>
        <w:rPr>
          <w:sz w:val="24"/>
        </w:rPr>
        <w:t>cases</w:t>
      </w:r>
      <w:r>
        <w:rPr>
          <w:spacing w:val="-4"/>
          <w:sz w:val="24"/>
        </w:rPr>
        <w:t> </w:t>
      </w:r>
      <w:r>
        <w:rPr>
          <w:sz w:val="24"/>
        </w:rPr>
        <w:t>are</w:t>
      </w:r>
      <w:r>
        <w:rPr>
          <w:spacing w:val="-4"/>
          <w:sz w:val="24"/>
        </w:rPr>
        <w:t> </w:t>
      </w:r>
      <w:r>
        <w:rPr>
          <w:sz w:val="24"/>
        </w:rPr>
        <w:t>closed</w:t>
      </w:r>
      <w:r>
        <w:rPr>
          <w:spacing w:val="-4"/>
          <w:sz w:val="24"/>
        </w:rPr>
        <w:t> </w:t>
      </w:r>
      <w:r>
        <w:rPr>
          <w:sz w:val="24"/>
        </w:rPr>
        <w:t>in</w:t>
      </w:r>
      <w:r>
        <w:rPr>
          <w:spacing w:val="-3"/>
          <w:sz w:val="24"/>
        </w:rPr>
        <w:t> </w:t>
      </w:r>
      <w:r>
        <w:rPr>
          <w:sz w:val="24"/>
        </w:rPr>
        <w:t>this</w:t>
      </w:r>
      <w:r>
        <w:rPr>
          <w:spacing w:val="-4"/>
          <w:sz w:val="24"/>
        </w:rPr>
        <w:t> </w:t>
      </w:r>
      <w:r>
        <w:rPr>
          <w:sz w:val="24"/>
        </w:rPr>
        <w:t>status should be notified in writing, with the exceptions noted in sub-paragraph (b). A case is closed due to ineligibility only with full participation of the applicant, the applicant's parent, guardian, or other representative The rationale for the ineligibility decision is recorded on the closure letter including the views of the applicant or appropriate representative. A copy of the letter is given to the applicant or appropriate representative with a detailed explanation of the services available from the Client Assistance Program, including a referral to Federal, State or local programs or service</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right="775"/>
        <w:rPr>
          <w:b/>
        </w:rPr>
      </w:pPr>
      <w:r>
        <w:rPr/>
        <w:t>providers, including, as appropriate, independent living programs and extended employment</w:t>
      </w:r>
      <w:r>
        <w:rPr>
          <w:spacing w:val="-3"/>
        </w:rPr>
        <w:t> </w:t>
      </w:r>
      <w:r>
        <w:rPr/>
        <w:t>providers,</w:t>
      </w:r>
      <w:r>
        <w:rPr>
          <w:spacing w:val="-3"/>
        </w:rPr>
        <w:t> </w:t>
      </w:r>
      <w:r>
        <w:rPr/>
        <w:t>best</w:t>
      </w:r>
      <w:r>
        <w:rPr>
          <w:spacing w:val="-3"/>
        </w:rPr>
        <w:t> </w:t>
      </w:r>
      <w:r>
        <w:rPr/>
        <w:t>suited</w:t>
      </w:r>
      <w:r>
        <w:rPr>
          <w:spacing w:val="-4"/>
        </w:rPr>
        <w:t> </w:t>
      </w:r>
      <w:r>
        <w:rPr/>
        <w:t>to</w:t>
      </w:r>
      <w:r>
        <w:rPr>
          <w:spacing w:val="-4"/>
        </w:rPr>
        <w:t> </w:t>
      </w:r>
      <w:r>
        <w:rPr/>
        <w:t>meet</w:t>
      </w:r>
      <w:r>
        <w:rPr>
          <w:spacing w:val="-5"/>
        </w:rPr>
        <w:t> </w:t>
      </w:r>
      <w:r>
        <w:rPr/>
        <w:t>their</w:t>
      </w:r>
      <w:r>
        <w:rPr>
          <w:spacing w:val="-3"/>
        </w:rPr>
        <w:t> </w:t>
      </w:r>
      <w:r>
        <w:rPr/>
        <w:t>rehabilitation</w:t>
      </w:r>
      <w:r>
        <w:rPr>
          <w:spacing w:val="-4"/>
        </w:rPr>
        <w:t> </w:t>
      </w:r>
      <w:r>
        <w:rPr/>
        <w:t>needs,</w:t>
      </w:r>
      <w:r>
        <w:rPr>
          <w:spacing w:val="-3"/>
        </w:rPr>
        <w:t> </w:t>
      </w:r>
      <w:r>
        <w:rPr/>
        <w:t>if</w:t>
      </w:r>
      <w:r>
        <w:rPr>
          <w:spacing w:val="-5"/>
        </w:rPr>
        <w:t> </w:t>
      </w:r>
      <w:r>
        <w:rPr/>
        <w:t>the</w:t>
      </w:r>
      <w:r>
        <w:rPr>
          <w:spacing w:val="-4"/>
        </w:rPr>
        <w:t> </w:t>
      </w:r>
      <w:r>
        <w:rPr/>
        <w:t>ineligibility determination</w:t>
      </w:r>
      <w:r>
        <w:rPr>
          <w:spacing w:val="-2"/>
        </w:rPr>
        <w:t> </w:t>
      </w:r>
      <w:r>
        <w:rPr/>
        <w:t>is</w:t>
      </w:r>
      <w:r>
        <w:rPr>
          <w:spacing w:val="-2"/>
        </w:rPr>
        <w:t> </w:t>
      </w:r>
      <w:r>
        <w:rPr/>
        <w:t>based</w:t>
      </w:r>
      <w:r>
        <w:rPr>
          <w:spacing w:val="-1"/>
        </w:rPr>
        <w:t> </w:t>
      </w:r>
      <w:r>
        <w:rPr/>
        <w:t>on</w:t>
      </w:r>
      <w:r>
        <w:rPr>
          <w:spacing w:val="-2"/>
        </w:rPr>
        <w:t> </w:t>
      </w:r>
      <w:r>
        <w:rPr/>
        <w:t>a</w:t>
      </w:r>
      <w:r>
        <w:rPr>
          <w:spacing w:val="-2"/>
        </w:rPr>
        <w:t> </w:t>
      </w:r>
      <w:r>
        <w:rPr/>
        <w:t>finding</w:t>
      </w:r>
      <w:r>
        <w:rPr>
          <w:spacing w:val="-2"/>
        </w:rPr>
        <w:t> </w:t>
      </w:r>
      <w:r>
        <w:rPr/>
        <w:t>that</w:t>
      </w:r>
      <w:r>
        <w:rPr>
          <w:spacing w:val="-3"/>
        </w:rPr>
        <w:t> </w:t>
      </w:r>
      <w:r>
        <w:rPr/>
        <w:t>the</w:t>
      </w:r>
      <w:r>
        <w:rPr>
          <w:spacing w:val="-2"/>
        </w:rPr>
        <w:t> </w:t>
      </w:r>
      <w:r>
        <w:rPr/>
        <w:t>individual</w:t>
      </w:r>
      <w:r>
        <w:rPr>
          <w:spacing w:val="-2"/>
        </w:rPr>
        <w:t> </w:t>
      </w:r>
      <w:r>
        <w:rPr/>
        <w:t>has</w:t>
      </w:r>
      <w:r>
        <w:rPr>
          <w:spacing w:val="-2"/>
        </w:rPr>
        <w:t> </w:t>
      </w:r>
      <w:r>
        <w:rPr/>
        <w:t>chosen</w:t>
      </w:r>
      <w:r>
        <w:rPr>
          <w:spacing w:val="-2"/>
        </w:rPr>
        <w:t> </w:t>
      </w:r>
      <w:r>
        <w:rPr/>
        <w:t>not</w:t>
      </w:r>
      <w:r>
        <w:rPr>
          <w:spacing w:val="-1"/>
        </w:rPr>
        <w:t> </w:t>
      </w:r>
      <w:r>
        <w:rPr/>
        <w:t>to</w:t>
      </w:r>
      <w:r>
        <w:rPr>
          <w:spacing w:val="-2"/>
        </w:rPr>
        <w:t> </w:t>
      </w:r>
      <w:r>
        <w:rPr/>
        <w:t>pursue,</w:t>
      </w:r>
      <w:r>
        <w:rPr>
          <w:spacing w:val="-1"/>
        </w:rPr>
        <w:t> </w:t>
      </w:r>
      <w:r>
        <w:rPr/>
        <w:t>or</w:t>
      </w:r>
      <w:r>
        <w:rPr>
          <w:spacing w:val="-1"/>
        </w:rPr>
        <w:t> </w:t>
      </w:r>
      <w:r>
        <w:rPr/>
        <w:t>is incapable of achieving, an employment outcome no matter the reason for closure. </w:t>
      </w:r>
      <w:r>
        <w:rPr>
          <w:b/>
        </w:rPr>
        <w:t>2</w:t>
      </w:r>
    </w:p>
    <w:p>
      <w:pPr>
        <w:pStyle w:val="BodyText"/>
        <w:spacing w:before="210"/>
      </w:pPr>
      <w:r>
        <w:rPr/>
        <w:t>INSTRUCTIONS</w:t>
      </w:r>
      <w:r>
        <w:rPr>
          <w:spacing w:val="-3"/>
        </w:rPr>
        <w:t> </w:t>
      </w:r>
      <w:r>
        <w:rPr/>
        <w:t>TO</w:t>
      </w:r>
      <w:r>
        <w:rPr>
          <w:spacing w:val="-2"/>
        </w:rPr>
        <w:t> </w:t>
      </w:r>
      <w:r>
        <w:rPr>
          <w:spacing w:val="-4"/>
        </w:rPr>
        <w:t>STAFF</w:t>
      </w:r>
    </w:p>
    <w:p>
      <w:pPr>
        <w:pStyle w:val="ListParagraph"/>
        <w:numPr>
          <w:ilvl w:val="0"/>
          <w:numId w:val="128"/>
        </w:numPr>
        <w:tabs>
          <w:tab w:pos="1077" w:val="left" w:leader="none"/>
        </w:tabs>
        <w:spacing w:line="208" w:lineRule="auto" w:before="233" w:after="0"/>
        <w:ind w:left="791" w:right="1151" w:firstLine="0"/>
        <w:jc w:val="left"/>
        <w:rPr>
          <w:sz w:val="24"/>
        </w:rPr>
      </w:pPr>
      <w:r>
        <w:rPr>
          <w:sz w:val="24"/>
        </w:rPr>
        <w:t>Before</w:t>
      </w:r>
      <w:r>
        <w:rPr>
          <w:spacing w:val="-3"/>
          <w:sz w:val="24"/>
        </w:rPr>
        <w:t> </w:t>
      </w:r>
      <w:r>
        <w:rPr>
          <w:sz w:val="24"/>
        </w:rPr>
        <w:t>the</w:t>
      </w:r>
      <w:r>
        <w:rPr>
          <w:spacing w:val="-4"/>
          <w:sz w:val="24"/>
        </w:rPr>
        <w:t> </w:t>
      </w:r>
      <w:r>
        <w:rPr>
          <w:sz w:val="24"/>
        </w:rPr>
        <w:t>case</w:t>
      </w:r>
      <w:r>
        <w:rPr>
          <w:spacing w:val="-3"/>
          <w:sz w:val="24"/>
        </w:rPr>
        <w:t> </w:t>
      </w:r>
      <w:r>
        <w:rPr>
          <w:sz w:val="24"/>
        </w:rPr>
        <w:t>is</w:t>
      </w:r>
      <w:r>
        <w:rPr>
          <w:spacing w:val="-4"/>
          <w:sz w:val="24"/>
        </w:rPr>
        <w:t> </w:t>
      </w:r>
      <w:r>
        <w:rPr>
          <w:sz w:val="24"/>
        </w:rPr>
        <w:t>closed,</w:t>
      </w:r>
      <w:r>
        <w:rPr>
          <w:spacing w:val="-3"/>
          <w:sz w:val="24"/>
        </w:rPr>
        <w:t> </w:t>
      </w:r>
      <w:r>
        <w:rPr>
          <w:sz w:val="24"/>
        </w:rPr>
        <w:t>all</w:t>
      </w:r>
      <w:r>
        <w:rPr>
          <w:spacing w:val="-3"/>
          <w:sz w:val="24"/>
        </w:rPr>
        <w:t> </w:t>
      </w:r>
      <w:r>
        <w:rPr>
          <w:sz w:val="24"/>
        </w:rPr>
        <w:t>unliquidated</w:t>
      </w:r>
      <w:r>
        <w:rPr>
          <w:spacing w:val="-4"/>
          <w:sz w:val="24"/>
        </w:rPr>
        <w:t> </w:t>
      </w:r>
      <w:r>
        <w:rPr>
          <w:sz w:val="24"/>
        </w:rPr>
        <w:t>authorizations</w:t>
      </w:r>
      <w:r>
        <w:rPr>
          <w:spacing w:val="-3"/>
          <w:sz w:val="24"/>
        </w:rPr>
        <w:t> </w:t>
      </w:r>
      <w:r>
        <w:rPr>
          <w:sz w:val="24"/>
        </w:rPr>
        <w:t>must</w:t>
      </w:r>
      <w:r>
        <w:rPr>
          <w:spacing w:val="-3"/>
          <w:sz w:val="24"/>
        </w:rPr>
        <w:t> </w:t>
      </w:r>
      <w:r>
        <w:rPr>
          <w:sz w:val="24"/>
        </w:rPr>
        <w:t>be</w:t>
      </w:r>
      <w:r>
        <w:rPr>
          <w:spacing w:val="-4"/>
          <w:sz w:val="24"/>
        </w:rPr>
        <w:t> </w:t>
      </w:r>
      <w:r>
        <w:rPr>
          <w:sz w:val="24"/>
        </w:rPr>
        <w:t>canceled</w:t>
      </w:r>
      <w:r>
        <w:rPr>
          <w:spacing w:val="-3"/>
          <w:sz w:val="24"/>
        </w:rPr>
        <w:t> </w:t>
      </w:r>
      <w:r>
        <w:rPr>
          <w:sz w:val="24"/>
        </w:rPr>
        <w:t>or accounted for to determine if a claim will be made against any outstanding </w:t>
      </w:r>
      <w:r>
        <w:rPr>
          <w:spacing w:val="-2"/>
          <w:sz w:val="24"/>
        </w:rPr>
        <w:t>authorization.</w:t>
      </w:r>
    </w:p>
    <w:p>
      <w:pPr>
        <w:pStyle w:val="ListParagraph"/>
        <w:numPr>
          <w:ilvl w:val="0"/>
          <w:numId w:val="128"/>
        </w:numPr>
        <w:tabs>
          <w:tab w:pos="1077" w:val="left" w:leader="none"/>
        </w:tabs>
        <w:spacing w:line="208" w:lineRule="auto" w:before="240" w:after="0"/>
        <w:ind w:left="791" w:right="815" w:firstLine="0"/>
        <w:jc w:val="left"/>
        <w:rPr>
          <w:sz w:val="24"/>
        </w:rPr>
      </w:pPr>
      <w:r>
        <w:rPr>
          <w:sz w:val="24"/>
        </w:rPr>
        <w:t>The counselor will discuss with the applicant or his/her representative the need for</w:t>
      </w:r>
      <w:r>
        <w:rPr>
          <w:spacing w:val="-3"/>
          <w:sz w:val="24"/>
        </w:rPr>
        <w:t> </w:t>
      </w:r>
      <w:r>
        <w:rPr>
          <w:sz w:val="24"/>
        </w:rPr>
        <w:t>referral</w:t>
      </w:r>
      <w:r>
        <w:rPr>
          <w:spacing w:val="-6"/>
          <w:sz w:val="24"/>
        </w:rPr>
        <w:t> </w:t>
      </w:r>
      <w:r>
        <w:rPr>
          <w:sz w:val="24"/>
        </w:rPr>
        <w:t>to</w:t>
      </w:r>
      <w:r>
        <w:rPr>
          <w:spacing w:val="-4"/>
          <w:sz w:val="24"/>
        </w:rPr>
        <w:t> </w:t>
      </w:r>
      <w:r>
        <w:rPr>
          <w:sz w:val="24"/>
        </w:rPr>
        <w:t>other</w:t>
      </w:r>
      <w:r>
        <w:rPr>
          <w:spacing w:val="-3"/>
          <w:sz w:val="24"/>
        </w:rPr>
        <w:t> </w:t>
      </w:r>
      <w:r>
        <w:rPr>
          <w:sz w:val="24"/>
        </w:rPr>
        <w:t>agencies,</w:t>
      </w:r>
      <w:r>
        <w:rPr>
          <w:spacing w:val="-3"/>
          <w:sz w:val="24"/>
        </w:rPr>
        <w:t> </w:t>
      </w:r>
      <w:r>
        <w:rPr>
          <w:sz w:val="24"/>
        </w:rPr>
        <w:t>facilities,</w:t>
      </w:r>
      <w:r>
        <w:rPr>
          <w:spacing w:val="-3"/>
          <w:sz w:val="24"/>
        </w:rPr>
        <w:t> </w:t>
      </w:r>
      <w:r>
        <w:rPr>
          <w:sz w:val="24"/>
        </w:rPr>
        <w:t>and</w:t>
      </w:r>
      <w:r>
        <w:rPr>
          <w:spacing w:val="-4"/>
          <w:sz w:val="24"/>
        </w:rPr>
        <w:t> </w:t>
      </w:r>
      <w:r>
        <w:rPr>
          <w:sz w:val="24"/>
        </w:rPr>
        <w:t>the</w:t>
      </w:r>
      <w:r>
        <w:rPr>
          <w:spacing w:val="-4"/>
          <w:sz w:val="24"/>
        </w:rPr>
        <w:t> </w:t>
      </w:r>
      <w:r>
        <w:rPr>
          <w:sz w:val="24"/>
        </w:rPr>
        <w:t>need</w:t>
      </w:r>
      <w:r>
        <w:rPr>
          <w:spacing w:val="-4"/>
          <w:sz w:val="24"/>
        </w:rPr>
        <w:t> </w:t>
      </w:r>
      <w:r>
        <w:rPr>
          <w:sz w:val="24"/>
        </w:rPr>
        <w:t>for</w:t>
      </w:r>
      <w:r>
        <w:rPr>
          <w:spacing w:val="-3"/>
          <w:sz w:val="24"/>
        </w:rPr>
        <w:t> </w:t>
      </w:r>
      <w:r>
        <w:rPr>
          <w:sz w:val="24"/>
        </w:rPr>
        <w:t>independent</w:t>
      </w:r>
      <w:r>
        <w:rPr>
          <w:spacing w:val="-3"/>
          <w:sz w:val="24"/>
        </w:rPr>
        <w:t> </w:t>
      </w:r>
      <w:r>
        <w:rPr>
          <w:sz w:val="24"/>
        </w:rPr>
        <w:t>living</w:t>
      </w:r>
      <w:r>
        <w:rPr>
          <w:spacing w:val="-4"/>
          <w:sz w:val="24"/>
        </w:rPr>
        <w:t> </w:t>
      </w:r>
      <w:r>
        <w:rPr>
          <w:sz w:val="24"/>
        </w:rPr>
        <w:t>services as appropriate.</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11</w:t>
      </w:r>
      <w:r>
        <w:rPr>
          <w:sz w:val="22"/>
        </w:rPr>
        <w:tab/>
        <w:t>PT</w:t>
      </w:r>
      <w:r>
        <w:rPr>
          <w:spacing w:val="-8"/>
          <w:sz w:val="22"/>
        </w:rPr>
        <w:t> </w:t>
      </w:r>
      <w:r>
        <w:rPr>
          <w:sz w:val="22"/>
        </w:rPr>
        <w:t>Memo</w:t>
      </w:r>
      <w:r>
        <w:rPr>
          <w:spacing w:val="-8"/>
          <w:sz w:val="22"/>
        </w:rPr>
        <w:t> </w:t>
      </w:r>
      <w:r>
        <w:rPr>
          <w:sz w:val="22"/>
        </w:rPr>
        <w:t>#12-</w:t>
      </w:r>
      <w:r>
        <w:rPr>
          <w:spacing w:val="-5"/>
          <w:sz w:val="22"/>
        </w:rPr>
        <w:t>01</w:t>
      </w:r>
    </w:p>
    <w:p>
      <w:pPr>
        <w:spacing w:line="253" w:lineRule="exact" w:before="0"/>
        <w:ind w:left="1439" w:right="0" w:firstLine="0"/>
        <w:jc w:val="left"/>
        <w:rPr>
          <w:sz w:val="22"/>
        </w:rPr>
      </w:pPr>
      <w:r>
        <w:rPr>
          <w:sz w:val="22"/>
        </w:rPr>
        <w:t>Permanent,</w:t>
      </w:r>
      <w:r>
        <w:rPr>
          <w:spacing w:val="-7"/>
          <w:sz w:val="22"/>
        </w:rPr>
        <w:t> </w:t>
      </w:r>
      <w:r>
        <w:rPr>
          <w:sz w:val="22"/>
        </w:rPr>
        <w:t>new,</w:t>
      </w:r>
      <w:r>
        <w:rPr>
          <w:spacing w:val="-7"/>
          <w:sz w:val="22"/>
        </w:rPr>
        <w:t> </w:t>
      </w:r>
      <w:r>
        <w:rPr>
          <w:sz w:val="22"/>
        </w:rPr>
        <w:t>placed</w:t>
      </w:r>
      <w:r>
        <w:rPr>
          <w:spacing w:val="-8"/>
          <w:sz w:val="22"/>
        </w:rPr>
        <w:t> </w:t>
      </w:r>
      <w:r>
        <w:rPr>
          <w:sz w:val="22"/>
        </w:rPr>
        <w:t>into</w:t>
      </w:r>
      <w:r>
        <w:rPr>
          <w:spacing w:val="-8"/>
          <w:sz w:val="22"/>
        </w:rPr>
        <w:t> </w:t>
      </w:r>
      <w:r>
        <w:rPr>
          <w:spacing w:val="-2"/>
          <w:sz w:val="22"/>
        </w:rPr>
        <w:t>sequence.</w:t>
      </w:r>
    </w:p>
    <w:p>
      <w:pPr>
        <w:tabs>
          <w:tab w:pos="1439" w:val="left" w:leader="none"/>
        </w:tabs>
        <w:spacing w:before="0"/>
        <w:ind w:left="1439" w:right="1086" w:hanging="1080"/>
        <w:jc w:val="left"/>
        <w:rPr>
          <w:sz w:val="22"/>
        </w:rPr>
      </w:pPr>
      <w:r>
        <w:rPr>
          <w:spacing w:val="-2"/>
          <w:sz w:val="22"/>
        </w:rPr>
        <w:t>9-14-18</w:t>
      </w:r>
      <w:r>
        <w:rPr>
          <w:sz w:val="22"/>
        </w:rPr>
        <w:tab/>
        <w:t>Language</w:t>
      </w:r>
      <w:r>
        <w:rPr>
          <w:spacing w:val="-4"/>
          <w:sz w:val="22"/>
        </w:rPr>
        <w:t> </w:t>
      </w:r>
      <w:r>
        <w:rPr>
          <w:sz w:val="22"/>
        </w:rPr>
        <w:t>removed</w:t>
      </w:r>
      <w:r>
        <w:rPr>
          <w:spacing w:val="-4"/>
          <w:sz w:val="22"/>
        </w:rPr>
        <w:t> </w:t>
      </w:r>
      <w:r>
        <w:rPr>
          <w:sz w:val="22"/>
        </w:rPr>
        <w:t>regarding</w:t>
      </w:r>
      <w:r>
        <w:rPr>
          <w:spacing w:val="-4"/>
          <w:sz w:val="22"/>
        </w:rPr>
        <w:t> </w:t>
      </w:r>
      <w:r>
        <w:rPr>
          <w:sz w:val="22"/>
        </w:rPr>
        <w:t>lack</w:t>
      </w:r>
      <w:r>
        <w:rPr>
          <w:spacing w:val="-6"/>
          <w:sz w:val="22"/>
        </w:rPr>
        <w:t> </w:t>
      </w:r>
      <w:r>
        <w:rPr>
          <w:sz w:val="22"/>
        </w:rPr>
        <w:t>of</w:t>
      </w:r>
      <w:r>
        <w:rPr>
          <w:spacing w:val="-4"/>
          <w:sz w:val="22"/>
        </w:rPr>
        <w:t> </w:t>
      </w:r>
      <w:r>
        <w:rPr>
          <w:sz w:val="22"/>
        </w:rPr>
        <w:t>transportation</w:t>
      </w:r>
      <w:r>
        <w:rPr>
          <w:spacing w:val="-4"/>
          <w:sz w:val="22"/>
        </w:rPr>
        <w:t> </w:t>
      </w:r>
      <w:r>
        <w:rPr>
          <w:sz w:val="22"/>
        </w:rPr>
        <w:t>(transportation</w:t>
      </w:r>
      <w:r>
        <w:rPr>
          <w:spacing w:val="-4"/>
          <w:sz w:val="22"/>
        </w:rPr>
        <w:t> </w:t>
      </w:r>
      <w:r>
        <w:rPr>
          <w:sz w:val="22"/>
        </w:rPr>
        <w:t>not</w:t>
      </w:r>
      <w:r>
        <w:rPr>
          <w:spacing w:val="-4"/>
          <w:sz w:val="22"/>
        </w:rPr>
        <w:t> </w:t>
      </w:r>
      <w:r>
        <w:rPr>
          <w:sz w:val="22"/>
        </w:rPr>
        <w:t>feasible</w:t>
      </w:r>
      <w:r>
        <w:rPr>
          <w:spacing w:val="-4"/>
          <w:sz w:val="22"/>
        </w:rPr>
        <w:t> </w:t>
      </w:r>
      <w:r>
        <w:rPr>
          <w:sz w:val="22"/>
        </w:rPr>
        <w:t>or available) as a reason to close a case or not accept an applicant for services.</w:t>
      </w:r>
    </w:p>
    <w:p>
      <w:pPr>
        <w:spacing w:before="1"/>
        <w:ind w:left="1439" w:right="775" w:firstLine="0"/>
        <w:jc w:val="left"/>
        <w:rPr>
          <w:sz w:val="22"/>
        </w:rPr>
      </w:pPr>
      <w:r>
        <w:rPr>
          <w:sz w:val="22"/>
        </w:rPr>
        <w:t>Removal</w:t>
      </w:r>
      <w:r>
        <w:rPr>
          <w:spacing w:val="-4"/>
          <w:sz w:val="22"/>
        </w:rPr>
        <w:t> </w:t>
      </w:r>
      <w:r>
        <w:rPr>
          <w:sz w:val="22"/>
        </w:rPr>
        <w:t>of</w:t>
      </w:r>
      <w:r>
        <w:rPr>
          <w:spacing w:val="-4"/>
          <w:sz w:val="22"/>
        </w:rPr>
        <w:t> </w:t>
      </w:r>
      <w:r>
        <w:rPr>
          <w:sz w:val="22"/>
        </w:rPr>
        <w:t>“extended</w:t>
      </w:r>
      <w:r>
        <w:rPr>
          <w:spacing w:val="-4"/>
          <w:sz w:val="22"/>
        </w:rPr>
        <w:t> </w:t>
      </w:r>
      <w:r>
        <w:rPr>
          <w:sz w:val="22"/>
        </w:rPr>
        <w:t>evaluation”</w:t>
      </w:r>
      <w:r>
        <w:rPr>
          <w:spacing w:val="-4"/>
          <w:sz w:val="22"/>
        </w:rPr>
        <w:t> </w:t>
      </w:r>
      <w:r>
        <w:rPr>
          <w:sz w:val="22"/>
        </w:rPr>
        <w:t>to</w:t>
      </w:r>
      <w:r>
        <w:rPr>
          <w:spacing w:val="-5"/>
          <w:sz w:val="22"/>
        </w:rPr>
        <w:t> </w:t>
      </w:r>
      <w:r>
        <w:rPr>
          <w:sz w:val="22"/>
        </w:rPr>
        <w:t>conform</w:t>
      </w:r>
      <w:r>
        <w:rPr>
          <w:spacing w:val="-5"/>
          <w:sz w:val="22"/>
        </w:rPr>
        <w:t> </w:t>
      </w:r>
      <w:r>
        <w:rPr>
          <w:sz w:val="22"/>
        </w:rPr>
        <w:t>to</w:t>
      </w:r>
      <w:r>
        <w:rPr>
          <w:spacing w:val="-4"/>
          <w:sz w:val="22"/>
        </w:rPr>
        <w:t> </w:t>
      </w:r>
      <w:r>
        <w:rPr>
          <w:sz w:val="22"/>
        </w:rPr>
        <w:t>federal</w:t>
      </w:r>
      <w:r>
        <w:rPr>
          <w:spacing w:val="-4"/>
          <w:sz w:val="22"/>
        </w:rPr>
        <w:t> </w:t>
      </w:r>
      <w:r>
        <w:rPr>
          <w:sz w:val="22"/>
        </w:rPr>
        <w:t>law</w:t>
      </w:r>
      <w:r>
        <w:rPr>
          <w:spacing w:val="-5"/>
          <w:sz w:val="22"/>
        </w:rPr>
        <w:t> </w:t>
      </w:r>
      <w:r>
        <w:rPr>
          <w:sz w:val="22"/>
        </w:rPr>
        <w:t>(Trial</w:t>
      </w:r>
      <w:r>
        <w:rPr>
          <w:spacing w:val="-4"/>
          <w:sz w:val="22"/>
        </w:rPr>
        <w:t> </w:t>
      </w:r>
      <w:r>
        <w:rPr>
          <w:sz w:val="22"/>
        </w:rPr>
        <w:t>work</w:t>
      </w:r>
      <w:r>
        <w:rPr>
          <w:spacing w:val="-4"/>
          <w:sz w:val="22"/>
        </w:rPr>
        <w:t> </w:t>
      </w:r>
      <w:r>
        <w:rPr>
          <w:sz w:val="22"/>
        </w:rPr>
        <w:t>experiences are now used for this purpose).</w:t>
      </w:r>
    </w:p>
    <w:p>
      <w:pPr>
        <w:tabs>
          <w:tab w:pos="1439" w:val="left" w:leader="none"/>
        </w:tabs>
        <w:spacing w:before="0"/>
        <w:ind w:left="360" w:right="0" w:firstLine="0"/>
        <w:jc w:val="left"/>
        <w:rPr>
          <w:sz w:val="22"/>
        </w:rPr>
      </w:pPr>
      <w:r>
        <w:rPr>
          <w:spacing w:val="-2"/>
          <w:sz w:val="22"/>
        </w:rPr>
        <w:t>8-26-</w:t>
      </w:r>
      <w:r>
        <w:rPr>
          <w:spacing w:val="-5"/>
          <w:sz w:val="22"/>
        </w:rPr>
        <w:t>21</w:t>
      </w:r>
      <w:r>
        <w:rPr>
          <w:sz w:val="22"/>
        </w:rPr>
        <w:tab/>
        <w:t>Revised</w:t>
      </w:r>
      <w:r>
        <w:rPr>
          <w:spacing w:val="-7"/>
          <w:sz w:val="22"/>
        </w:rPr>
        <w:t> </w:t>
      </w:r>
      <w:r>
        <w:rPr>
          <w:sz w:val="22"/>
        </w:rPr>
        <w:t>to</w:t>
      </w:r>
      <w:r>
        <w:rPr>
          <w:spacing w:val="-6"/>
          <w:sz w:val="22"/>
        </w:rPr>
        <w:t> </w:t>
      </w:r>
      <w:r>
        <w:rPr>
          <w:sz w:val="22"/>
        </w:rPr>
        <w:t>reflect</w:t>
      </w:r>
      <w:r>
        <w:rPr>
          <w:spacing w:val="-7"/>
          <w:sz w:val="22"/>
        </w:rPr>
        <w:t> </w:t>
      </w:r>
      <w:r>
        <w:rPr>
          <w:sz w:val="22"/>
        </w:rPr>
        <w:t>WIOA</w:t>
      </w:r>
      <w:r>
        <w:rPr>
          <w:spacing w:val="-6"/>
          <w:sz w:val="22"/>
        </w:rPr>
        <w:t> </w:t>
      </w:r>
      <w:r>
        <w:rPr>
          <w:spacing w:val="-2"/>
          <w:sz w:val="22"/>
        </w:rPr>
        <w:t>language.</w:t>
      </w:r>
    </w:p>
    <w:p>
      <w:pPr>
        <w:spacing w:after="0"/>
        <w:jc w:val="left"/>
        <w:rPr>
          <w:sz w:val="22"/>
        </w:rPr>
        <w:sectPr>
          <w:pgSz w:w="12240" w:h="15840"/>
          <w:pgMar w:top="1340" w:bottom="280" w:left="1080" w:right="720"/>
        </w:sectPr>
      </w:pPr>
    </w:p>
    <w:p>
      <w:pPr>
        <w:pStyle w:val="Heading2"/>
        <w:spacing w:line="208" w:lineRule="auto" w:before="96"/>
        <w:ind w:right="775"/>
      </w:pPr>
      <w:bookmarkStart w:name="612:10-7-25.1.  Ability to serve all eli" w:id="134"/>
      <w:bookmarkEnd w:id="134"/>
      <w:r>
        <w:rPr>
          <w:b w:val="0"/>
        </w:rPr>
      </w:r>
      <w:r>
        <w:rPr/>
        <w:t>612:10-7-25.1.</w:t>
      </w:r>
      <w:r>
        <w:rPr>
          <w:spacing w:val="40"/>
        </w:rPr>
        <w:t> </w:t>
      </w:r>
      <w:r>
        <w:rPr/>
        <w:t>Ability</w:t>
      </w:r>
      <w:r>
        <w:rPr>
          <w:spacing w:val="-4"/>
        </w:rPr>
        <w:t> </w:t>
      </w:r>
      <w:r>
        <w:rPr/>
        <w:t>to</w:t>
      </w:r>
      <w:r>
        <w:rPr>
          <w:spacing w:val="-4"/>
        </w:rPr>
        <w:t> </w:t>
      </w:r>
      <w:r>
        <w:rPr/>
        <w:t>serve</w:t>
      </w:r>
      <w:r>
        <w:rPr>
          <w:spacing w:val="-5"/>
        </w:rPr>
        <w:t> </w:t>
      </w:r>
      <w:r>
        <w:rPr/>
        <w:t>all</w:t>
      </w:r>
      <w:r>
        <w:rPr>
          <w:spacing w:val="-3"/>
        </w:rPr>
        <w:t> </w:t>
      </w:r>
      <w:r>
        <w:rPr/>
        <w:t>eligible</w:t>
      </w:r>
      <w:r>
        <w:rPr>
          <w:spacing w:val="-5"/>
        </w:rPr>
        <w:t> </w:t>
      </w:r>
      <w:r>
        <w:rPr/>
        <w:t>individuals;</w:t>
      </w:r>
      <w:r>
        <w:rPr>
          <w:spacing w:val="-3"/>
        </w:rPr>
        <w:t> </w:t>
      </w:r>
      <w:r>
        <w:rPr/>
        <w:t>order</w:t>
      </w:r>
      <w:r>
        <w:rPr>
          <w:spacing w:val="-4"/>
        </w:rPr>
        <w:t> </w:t>
      </w:r>
      <w:r>
        <w:rPr/>
        <w:t>of</w:t>
      </w:r>
      <w:r>
        <w:rPr>
          <w:spacing w:val="-5"/>
        </w:rPr>
        <w:t> </w:t>
      </w:r>
      <w:r>
        <w:rPr/>
        <w:t>selection</w:t>
      </w:r>
      <w:r>
        <w:rPr>
          <w:spacing w:val="-5"/>
        </w:rPr>
        <w:t> </w:t>
      </w:r>
      <w:r>
        <w:rPr/>
        <w:t>for </w:t>
      </w:r>
      <w:r>
        <w:rPr>
          <w:spacing w:val="-2"/>
        </w:rPr>
        <w:t>services</w:t>
      </w:r>
    </w:p>
    <w:p>
      <w:pPr>
        <w:pStyle w:val="ListParagraph"/>
        <w:numPr>
          <w:ilvl w:val="0"/>
          <w:numId w:val="129"/>
        </w:numPr>
        <w:tabs>
          <w:tab w:pos="785" w:val="left" w:leader="none"/>
        </w:tabs>
        <w:spacing w:line="208" w:lineRule="auto" w:before="240" w:after="0"/>
        <w:ind w:left="360" w:right="753" w:firstLine="0"/>
        <w:jc w:val="left"/>
        <w:rPr>
          <w:sz w:val="24"/>
        </w:rPr>
      </w:pPr>
      <w:r>
        <w:rPr>
          <w:b/>
          <w:sz w:val="24"/>
        </w:rPr>
        <w:t>General provisions. </w:t>
      </w:r>
      <w:r>
        <w:rPr>
          <w:sz w:val="24"/>
        </w:rPr>
        <w:t>DRS either must be able to provide the full range of services listed in section 103 (a) of the Act and 34 CFR 361.48, as appropriate, to all eligible individuals or, in the event that vocational rehabilitation services cannot be provided to all eligible individuals in the State who apply for the services, include in the vocational rehabilitation services portion of the Unified or Combined State Plan the order to be followed</w:t>
      </w:r>
      <w:r>
        <w:rPr>
          <w:spacing w:val="-4"/>
          <w:sz w:val="24"/>
        </w:rPr>
        <w:t> </w:t>
      </w:r>
      <w:r>
        <w:rPr>
          <w:sz w:val="24"/>
        </w:rPr>
        <w:t>in</w:t>
      </w:r>
      <w:r>
        <w:rPr>
          <w:spacing w:val="-4"/>
          <w:sz w:val="24"/>
        </w:rPr>
        <w:t> </w:t>
      </w:r>
      <w:r>
        <w:rPr>
          <w:sz w:val="24"/>
        </w:rPr>
        <w:t>selecting</w:t>
      </w:r>
      <w:r>
        <w:rPr>
          <w:spacing w:val="-4"/>
          <w:sz w:val="24"/>
        </w:rPr>
        <w:t> </w:t>
      </w:r>
      <w:r>
        <w:rPr>
          <w:sz w:val="24"/>
        </w:rPr>
        <w:t>eligible</w:t>
      </w:r>
      <w:r>
        <w:rPr>
          <w:spacing w:val="-4"/>
          <w:sz w:val="24"/>
        </w:rPr>
        <w:t> </w:t>
      </w:r>
      <w:r>
        <w:rPr>
          <w:sz w:val="24"/>
        </w:rPr>
        <w:t>individuals</w:t>
      </w:r>
      <w:r>
        <w:rPr>
          <w:spacing w:val="-4"/>
          <w:sz w:val="24"/>
        </w:rPr>
        <w:t> </w:t>
      </w:r>
      <w:r>
        <w:rPr>
          <w:sz w:val="24"/>
        </w:rPr>
        <w:t>to</w:t>
      </w:r>
      <w:r>
        <w:rPr>
          <w:spacing w:val="-4"/>
          <w:sz w:val="24"/>
        </w:rPr>
        <w:t> </w:t>
      </w:r>
      <w:r>
        <w:rPr>
          <w:sz w:val="24"/>
        </w:rPr>
        <w:t>be</w:t>
      </w:r>
      <w:r>
        <w:rPr>
          <w:spacing w:val="-4"/>
          <w:sz w:val="24"/>
        </w:rPr>
        <w:t> </w:t>
      </w:r>
      <w:r>
        <w:rPr>
          <w:sz w:val="24"/>
        </w:rPr>
        <w:t>provided</w:t>
      </w:r>
      <w:r>
        <w:rPr>
          <w:spacing w:val="-4"/>
          <w:sz w:val="24"/>
        </w:rPr>
        <w:t> </w:t>
      </w:r>
      <w:r>
        <w:rPr>
          <w:sz w:val="24"/>
        </w:rPr>
        <w:t>vocational</w:t>
      </w:r>
      <w:r>
        <w:rPr>
          <w:spacing w:val="-4"/>
          <w:sz w:val="24"/>
        </w:rPr>
        <w:t> </w:t>
      </w:r>
      <w:r>
        <w:rPr>
          <w:sz w:val="24"/>
        </w:rPr>
        <w:t>rehabilitation</w:t>
      </w:r>
      <w:r>
        <w:rPr>
          <w:spacing w:val="-4"/>
          <w:sz w:val="24"/>
        </w:rPr>
        <w:t> </w:t>
      </w:r>
      <w:r>
        <w:rPr>
          <w:sz w:val="24"/>
        </w:rPr>
        <w:t>services.</w:t>
      </w:r>
    </w:p>
    <w:p>
      <w:pPr>
        <w:pStyle w:val="ListParagraph"/>
        <w:numPr>
          <w:ilvl w:val="1"/>
          <w:numId w:val="129"/>
        </w:numPr>
        <w:tabs>
          <w:tab w:pos="1218" w:val="left" w:leader="none"/>
        </w:tabs>
        <w:spacing w:line="208" w:lineRule="auto" w:before="239" w:after="0"/>
        <w:ind w:left="792" w:right="807" w:firstLine="0"/>
        <w:jc w:val="left"/>
        <w:rPr>
          <w:sz w:val="24"/>
        </w:rPr>
      </w:pPr>
      <w:r>
        <w:rPr>
          <w:sz w:val="24"/>
        </w:rPr>
        <w:t>The ability of the designated State unit to provide the full range of vocational rehabilitation services to all eligible individuals must be supported by a determination that satisfies the requirements of paragraph (b) or (c) of this section and</w:t>
      </w:r>
      <w:r>
        <w:rPr>
          <w:spacing w:val="-3"/>
          <w:sz w:val="24"/>
        </w:rPr>
        <w:t> </w:t>
      </w:r>
      <w:r>
        <w:rPr>
          <w:sz w:val="24"/>
        </w:rPr>
        <w:t>a</w:t>
      </w:r>
      <w:r>
        <w:rPr>
          <w:spacing w:val="-3"/>
          <w:sz w:val="24"/>
        </w:rPr>
        <w:t> </w:t>
      </w:r>
      <w:r>
        <w:rPr>
          <w:sz w:val="24"/>
        </w:rPr>
        <w:t>determination</w:t>
      </w:r>
      <w:r>
        <w:rPr>
          <w:spacing w:val="-3"/>
          <w:sz w:val="24"/>
        </w:rPr>
        <w:t> </w:t>
      </w:r>
      <w:r>
        <w:rPr>
          <w:sz w:val="24"/>
        </w:rPr>
        <w:t>that,</w:t>
      </w:r>
      <w:r>
        <w:rPr>
          <w:spacing w:val="-2"/>
          <w:sz w:val="24"/>
        </w:rPr>
        <w:t> </w:t>
      </w:r>
      <w:r>
        <w:rPr>
          <w:sz w:val="24"/>
        </w:rPr>
        <w:t>on</w:t>
      </w:r>
      <w:r>
        <w:rPr>
          <w:spacing w:val="-4"/>
          <w:sz w:val="24"/>
        </w:rPr>
        <w:t> </w:t>
      </w:r>
      <w:r>
        <w:rPr>
          <w:sz w:val="24"/>
        </w:rPr>
        <w:t>the</w:t>
      </w:r>
      <w:r>
        <w:rPr>
          <w:spacing w:val="-3"/>
          <w:sz w:val="24"/>
        </w:rPr>
        <w:t> </w:t>
      </w:r>
      <w:r>
        <w:rPr>
          <w:sz w:val="24"/>
        </w:rPr>
        <w:t>basis</w:t>
      </w:r>
      <w:r>
        <w:rPr>
          <w:spacing w:val="-3"/>
          <w:sz w:val="24"/>
        </w:rPr>
        <w:t> </w:t>
      </w:r>
      <w:r>
        <w:rPr>
          <w:sz w:val="24"/>
        </w:rPr>
        <w:t>of</w:t>
      </w:r>
      <w:r>
        <w:rPr>
          <w:spacing w:val="-2"/>
          <w:sz w:val="24"/>
        </w:rPr>
        <w:t> </w:t>
      </w:r>
      <w:r>
        <w:rPr>
          <w:sz w:val="24"/>
        </w:rPr>
        <w:t>the</w:t>
      </w:r>
      <w:r>
        <w:rPr>
          <w:spacing w:val="-4"/>
          <w:sz w:val="24"/>
        </w:rPr>
        <w:t> </w:t>
      </w:r>
      <w:r>
        <w:rPr>
          <w:sz w:val="24"/>
        </w:rPr>
        <w:t>designated</w:t>
      </w:r>
      <w:r>
        <w:rPr>
          <w:spacing w:val="-2"/>
          <w:sz w:val="24"/>
        </w:rPr>
        <w:t> </w:t>
      </w:r>
      <w:r>
        <w:rPr>
          <w:sz w:val="24"/>
        </w:rPr>
        <w:t>State</w:t>
      </w:r>
      <w:r>
        <w:rPr>
          <w:spacing w:val="-3"/>
          <w:sz w:val="24"/>
        </w:rPr>
        <w:t> </w:t>
      </w:r>
      <w:r>
        <w:rPr>
          <w:sz w:val="24"/>
        </w:rPr>
        <w:t>unit's</w:t>
      </w:r>
      <w:r>
        <w:rPr>
          <w:spacing w:val="-3"/>
          <w:sz w:val="24"/>
        </w:rPr>
        <w:t> </w:t>
      </w:r>
      <w:r>
        <w:rPr>
          <w:sz w:val="24"/>
        </w:rPr>
        <w:t>projected</w:t>
      </w:r>
      <w:r>
        <w:rPr>
          <w:spacing w:val="-3"/>
          <w:sz w:val="24"/>
        </w:rPr>
        <w:t> </w:t>
      </w:r>
      <w:r>
        <w:rPr>
          <w:sz w:val="24"/>
        </w:rPr>
        <w:t>fiscal and personnel resources and its assessment of the rehabilitation needs of individuals with significant disabilities within the State, it can follow the guidance according to 34 CFR 361.36 (a).</w:t>
      </w:r>
    </w:p>
    <w:p>
      <w:pPr>
        <w:pStyle w:val="ListParagraph"/>
        <w:numPr>
          <w:ilvl w:val="1"/>
          <w:numId w:val="129"/>
        </w:numPr>
        <w:tabs>
          <w:tab w:pos="1218" w:val="left" w:leader="none"/>
        </w:tabs>
        <w:spacing w:line="208" w:lineRule="auto" w:before="239" w:after="0"/>
        <w:ind w:left="792" w:right="719" w:firstLine="0"/>
        <w:jc w:val="left"/>
        <w:rPr>
          <w:sz w:val="24"/>
        </w:rPr>
      </w:pPr>
      <w:r>
        <w:rPr>
          <w:sz w:val="24"/>
        </w:rPr>
        <w:t>Prior to the start of each fiscal quarter, or when circumstances require, the DRS Director will determine in which priority groups new Individualized Plans for Employment will be written and initiated. The Director may restrict the writing and initiation</w:t>
      </w:r>
      <w:r>
        <w:rPr>
          <w:spacing w:val="-1"/>
          <w:sz w:val="24"/>
        </w:rPr>
        <w:t> </w:t>
      </w:r>
      <w:r>
        <w:rPr>
          <w:sz w:val="24"/>
        </w:rPr>
        <w:t>of new</w:t>
      </w:r>
      <w:r>
        <w:rPr>
          <w:spacing w:val="-1"/>
          <w:sz w:val="24"/>
        </w:rPr>
        <w:t> </w:t>
      </w:r>
      <w:r>
        <w:rPr>
          <w:sz w:val="24"/>
        </w:rPr>
        <w:t>Individualized</w:t>
      </w:r>
      <w:r>
        <w:rPr>
          <w:spacing w:val="-1"/>
          <w:sz w:val="24"/>
        </w:rPr>
        <w:t> </w:t>
      </w:r>
      <w:r>
        <w:rPr>
          <w:sz w:val="24"/>
        </w:rPr>
        <w:t>Plans</w:t>
      </w:r>
      <w:r>
        <w:rPr>
          <w:spacing w:val="-1"/>
          <w:sz w:val="24"/>
        </w:rPr>
        <w:t> </w:t>
      </w:r>
      <w:r>
        <w:rPr>
          <w:sz w:val="24"/>
        </w:rPr>
        <w:t>for Employment within</w:t>
      </w:r>
      <w:r>
        <w:rPr>
          <w:spacing w:val="-1"/>
          <w:sz w:val="24"/>
        </w:rPr>
        <w:t> </w:t>
      </w:r>
      <w:r>
        <w:rPr>
          <w:sz w:val="24"/>
        </w:rPr>
        <w:t>a</w:t>
      </w:r>
      <w:r>
        <w:rPr>
          <w:spacing w:val="-1"/>
          <w:sz w:val="24"/>
        </w:rPr>
        <w:t> </w:t>
      </w:r>
      <w:r>
        <w:rPr>
          <w:sz w:val="24"/>
        </w:rPr>
        <w:t>priority</w:t>
      </w:r>
      <w:r>
        <w:rPr>
          <w:spacing w:val="-1"/>
          <w:sz w:val="24"/>
        </w:rPr>
        <w:t> </w:t>
      </w:r>
      <w:r>
        <w:rPr>
          <w:sz w:val="24"/>
        </w:rPr>
        <w:t>group</w:t>
      </w:r>
      <w:r>
        <w:rPr>
          <w:spacing w:val="-1"/>
          <w:sz w:val="24"/>
        </w:rPr>
        <w:t> </w:t>
      </w:r>
      <w:r>
        <w:rPr>
          <w:sz w:val="24"/>
        </w:rPr>
        <w:t>to</w:t>
      </w:r>
      <w:r>
        <w:rPr>
          <w:spacing w:val="-2"/>
          <w:sz w:val="24"/>
        </w:rPr>
        <w:t> </w:t>
      </w:r>
      <w:r>
        <w:rPr>
          <w:sz w:val="24"/>
        </w:rPr>
        <w:t>cases having eligibility dates falling on or before a specified date providing that all individual's in higher priority groups are being served. Considerations in making this determination will include, but not be limited to, the projected outcomes, service goals,</w:t>
      </w:r>
      <w:r>
        <w:rPr>
          <w:spacing w:val="-3"/>
          <w:sz w:val="24"/>
        </w:rPr>
        <w:t> </w:t>
      </w:r>
      <w:r>
        <w:rPr>
          <w:sz w:val="24"/>
        </w:rPr>
        <w:t>expenditures,</w:t>
      </w:r>
      <w:r>
        <w:rPr>
          <w:spacing w:val="-3"/>
          <w:sz w:val="24"/>
        </w:rPr>
        <w:t> </w:t>
      </w:r>
      <w:r>
        <w:rPr>
          <w:sz w:val="24"/>
        </w:rPr>
        <w:t>and</w:t>
      </w:r>
      <w:r>
        <w:rPr>
          <w:spacing w:val="-4"/>
          <w:sz w:val="24"/>
        </w:rPr>
        <w:t> </w:t>
      </w:r>
      <w:r>
        <w:rPr>
          <w:sz w:val="24"/>
        </w:rPr>
        <w:t>resources</w:t>
      </w:r>
      <w:r>
        <w:rPr>
          <w:spacing w:val="-4"/>
          <w:sz w:val="24"/>
        </w:rPr>
        <w:t> </w:t>
      </w:r>
      <w:r>
        <w:rPr>
          <w:sz w:val="24"/>
        </w:rPr>
        <w:t>available</w:t>
      </w:r>
      <w:r>
        <w:rPr>
          <w:spacing w:val="-4"/>
          <w:sz w:val="24"/>
        </w:rPr>
        <w:t> </w:t>
      </w:r>
      <w:r>
        <w:rPr>
          <w:sz w:val="24"/>
        </w:rPr>
        <w:t>for</w:t>
      </w:r>
      <w:r>
        <w:rPr>
          <w:spacing w:val="-3"/>
          <w:sz w:val="24"/>
        </w:rPr>
        <w:t> </w:t>
      </w:r>
      <w:r>
        <w:rPr>
          <w:sz w:val="24"/>
        </w:rPr>
        <w:t>each</w:t>
      </w:r>
      <w:r>
        <w:rPr>
          <w:spacing w:val="-5"/>
          <w:sz w:val="24"/>
        </w:rPr>
        <w:t> </w:t>
      </w:r>
      <w:r>
        <w:rPr>
          <w:sz w:val="24"/>
        </w:rPr>
        <w:t>priority</w:t>
      </w:r>
      <w:r>
        <w:rPr>
          <w:spacing w:val="-4"/>
          <w:sz w:val="24"/>
        </w:rPr>
        <w:t> </w:t>
      </w:r>
      <w:r>
        <w:rPr>
          <w:sz w:val="24"/>
        </w:rPr>
        <w:t>group.</w:t>
      </w:r>
      <w:r>
        <w:rPr>
          <w:spacing w:val="-3"/>
          <w:sz w:val="24"/>
        </w:rPr>
        <w:t> </w:t>
      </w:r>
      <w:r>
        <w:rPr>
          <w:sz w:val="24"/>
        </w:rPr>
        <w:t>Projected</w:t>
      </w:r>
      <w:r>
        <w:rPr>
          <w:spacing w:val="-4"/>
          <w:sz w:val="24"/>
        </w:rPr>
        <w:t> </w:t>
      </w:r>
      <w:r>
        <w:rPr>
          <w:sz w:val="24"/>
        </w:rPr>
        <w:t>costs and resources for each priority group will be based upon costs of current Individualized Plans for Employment, anticipated referrals, availability of financial resources, and adequacy of staffing levels. The Director will implement actions under the order of selection through written notice to DVR and DSBVI staff.</w:t>
      </w:r>
    </w:p>
    <w:p>
      <w:pPr>
        <w:pStyle w:val="ListParagraph"/>
        <w:numPr>
          <w:ilvl w:val="0"/>
          <w:numId w:val="129"/>
        </w:numPr>
        <w:tabs>
          <w:tab w:pos="786" w:val="left" w:leader="none"/>
        </w:tabs>
        <w:spacing w:line="208" w:lineRule="auto" w:before="239" w:after="0"/>
        <w:ind w:left="360" w:right="740" w:firstLine="0"/>
        <w:jc w:val="left"/>
        <w:rPr>
          <w:sz w:val="24"/>
        </w:rPr>
      </w:pPr>
      <w:r>
        <w:rPr>
          <w:b/>
          <w:sz w:val="24"/>
        </w:rPr>
        <w:t>Basis for assurance that services can be provided to all eligible individuals. </w:t>
      </w:r>
      <w:r>
        <w:rPr>
          <w:sz w:val="24"/>
        </w:rPr>
        <w:t>For</w:t>
      </w:r>
      <w:r>
        <w:rPr>
          <w:spacing w:val="-2"/>
          <w:sz w:val="24"/>
        </w:rPr>
        <w:t> </w:t>
      </w:r>
      <w:r>
        <w:rPr>
          <w:sz w:val="24"/>
        </w:rPr>
        <w:t>the</w:t>
      </w:r>
      <w:r>
        <w:rPr>
          <w:spacing w:val="-3"/>
          <w:sz w:val="24"/>
        </w:rPr>
        <w:t> </w:t>
      </w:r>
      <w:r>
        <w:rPr>
          <w:sz w:val="24"/>
        </w:rPr>
        <w:t>State</w:t>
      </w:r>
      <w:r>
        <w:rPr>
          <w:spacing w:val="-3"/>
          <w:sz w:val="24"/>
        </w:rPr>
        <w:t> </w:t>
      </w:r>
      <w:r>
        <w:rPr>
          <w:sz w:val="24"/>
        </w:rPr>
        <w:t>agency</w:t>
      </w:r>
      <w:r>
        <w:rPr>
          <w:spacing w:val="-3"/>
          <w:sz w:val="24"/>
        </w:rPr>
        <w:t> </w:t>
      </w:r>
      <w:r>
        <w:rPr>
          <w:sz w:val="24"/>
        </w:rPr>
        <w:t>that</w:t>
      </w:r>
      <w:r>
        <w:rPr>
          <w:spacing w:val="-2"/>
          <w:sz w:val="24"/>
        </w:rPr>
        <w:t> </w:t>
      </w:r>
      <w:r>
        <w:rPr>
          <w:sz w:val="24"/>
        </w:rPr>
        <w:t>determined,</w:t>
      </w:r>
      <w:r>
        <w:rPr>
          <w:spacing w:val="-2"/>
          <w:sz w:val="24"/>
        </w:rPr>
        <w:t> </w:t>
      </w:r>
      <w:r>
        <w:rPr>
          <w:sz w:val="24"/>
        </w:rPr>
        <w:t>for</w:t>
      </w:r>
      <w:r>
        <w:rPr>
          <w:spacing w:val="-4"/>
          <w:sz w:val="24"/>
        </w:rPr>
        <w:t> </w:t>
      </w:r>
      <w:r>
        <w:rPr>
          <w:sz w:val="24"/>
        </w:rPr>
        <w:t>the</w:t>
      </w:r>
      <w:r>
        <w:rPr>
          <w:spacing w:val="-3"/>
          <w:sz w:val="24"/>
        </w:rPr>
        <w:t> </w:t>
      </w:r>
      <w:r>
        <w:rPr>
          <w:sz w:val="24"/>
        </w:rPr>
        <w:t>current</w:t>
      </w:r>
      <w:r>
        <w:rPr>
          <w:spacing w:val="-4"/>
          <w:sz w:val="24"/>
        </w:rPr>
        <w:t> </w:t>
      </w:r>
      <w:r>
        <w:rPr>
          <w:sz w:val="24"/>
        </w:rPr>
        <w:t>fiscal</w:t>
      </w:r>
      <w:r>
        <w:rPr>
          <w:spacing w:val="-3"/>
          <w:sz w:val="24"/>
        </w:rPr>
        <w:t> </w:t>
      </w:r>
      <w:r>
        <w:rPr>
          <w:sz w:val="24"/>
        </w:rPr>
        <w:t>year</w:t>
      </w:r>
      <w:r>
        <w:rPr>
          <w:spacing w:val="-2"/>
          <w:sz w:val="24"/>
        </w:rPr>
        <w:t> </w:t>
      </w:r>
      <w:r>
        <w:rPr>
          <w:sz w:val="24"/>
        </w:rPr>
        <w:t>and</w:t>
      </w:r>
      <w:r>
        <w:rPr>
          <w:spacing w:val="-3"/>
          <w:sz w:val="24"/>
        </w:rPr>
        <w:t> </w:t>
      </w:r>
      <w:r>
        <w:rPr>
          <w:sz w:val="24"/>
        </w:rPr>
        <w:t>the</w:t>
      </w:r>
      <w:r>
        <w:rPr>
          <w:spacing w:val="-3"/>
          <w:sz w:val="24"/>
        </w:rPr>
        <w:t> </w:t>
      </w:r>
      <w:r>
        <w:rPr>
          <w:sz w:val="24"/>
        </w:rPr>
        <w:t>preceding</w:t>
      </w:r>
      <w:r>
        <w:rPr>
          <w:spacing w:val="-3"/>
          <w:sz w:val="24"/>
        </w:rPr>
        <w:t> </w:t>
      </w:r>
      <w:r>
        <w:rPr>
          <w:sz w:val="24"/>
        </w:rPr>
        <w:t>fiscal year, that it is able to provide the full range of services, as appropriate, to all eligible individuals, the State unit, during the current fiscal and preceding fiscal year, must have in fact followed the criteria in 34 CFR 361.36 (b) (1-2).</w:t>
      </w:r>
    </w:p>
    <w:p>
      <w:pPr>
        <w:pStyle w:val="ListParagraph"/>
        <w:numPr>
          <w:ilvl w:val="0"/>
          <w:numId w:val="129"/>
        </w:numPr>
        <w:tabs>
          <w:tab w:pos="773" w:val="left" w:leader="none"/>
        </w:tabs>
        <w:spacing w:line="208" w:lineRule="auto" w:before="240" w:after="0"/>
        <w:ind w:left="360" w:right="831" w:firstLine="0"/>
        <w:jc w:val="left"/>
        <w:rPr>
          <w:sz w:val="24"/>
        </w:rPr>
      </w:pPr>
      <w:r>
        <w:rPr>
          <w:b/>
          <w:sz w:val="24"/>
        </w:rPr>
        <w:t>Determining need for establishing and implementing an order of selection. </w:t>
      </w:r>
      <w:r>
        <w:rPr>
          <w:sz w:val="24"/>
        </w:rPr>
        <w:t>The</w:t>
      </w:r>
      <w:r>
        <w:rPr>
          <w:spacing w:val="-3"/>
          <w:sz w:val="24"/>
        </w:rPr>
        <w:t> </w:t>
      </w:r>
      <w:r>
        <w:rPr>
          <w:sz w:val="24"/>
        </w:rPr>
        <w:t>State</w:t>
      </w:r>
      <w:r>
        <w:rPr>
          <w:spacing w:val="-3"/>
          <w:sz w:val="24"/>
        </w:rPr>
        <w:t> </w:t>
      </w:r>
      <w:r>
        <w:rPr>
          <w:sz w:val="24"/>
        </w:rPr>
        <w:t>agency</w:t>
      </w:r>
      <w:r>
        <w:rPr>
          <w:spacing w:val="-3"/>
          <w:sz w:val="24"/>
        </w:rPr>
        <w:t> </w:t>
      </w:r>
      <w:r>
        <w:rPr>
          <w:sz w:val="24"/>
        </w:rPr>
        <w:t>must</w:t>
      </w:r>
      <w:r>
        <w:rPr>
          <w:spacing w:val="-2"/>
          <w:sz w:val="24"/>
        </w:rPr>
        <w:t> </w:t>
      </w:r>
      <w:r>
        <w:rPr>
          <w:sz w:val="24"/>
        </w:rPr>
        <w:t>determine,</w:t>
      </w:r>
      <w:r>
        <w:rPr>
          <w:spacing w:val="-2"/>
          <w:sz w:val="24"/>
        </w:rPr>
        <w:t> </w:t>
      </w:r>
      <w:r>
        <w:rPr>
          <w:sz w:val="24"/>
        </w:rPr>
        <w:t>prior</w:t>
      </w:r>
      <w:r>
        <w:rPr>
          <w:spacing w:val="-2"/>
          <w:sz w:val="24"/>
        </w:rPr>
        <w:t> </w:t>
      </w:r>
      <w:r>
        <w:rPr>
          <w:sz w:val="24"/>
        </w:rPr>
        <w:t>to</w:t>
      </w:r>
      <w:r>
        <w:rPr>
          <w:spacing w:val="-4"/>
          <w:sz w:val="24"/>
        </w:rPr>
        <w:t> </w:t>
      </w:r>
      <w:r>
        <w:rPr>
          <w:sz w:val="24"/>
        </w:rPr>
        <w:t>the</w:t>
      </w:r>
      <w:r>
        <w:rPr>
          <w:spacing w:val="-3"/>
          <w:sz w:val="24"/>
        </w:rPr>
        <w:t> </w:t>
      </w:r>
      <w:r>
        <w:rPr>
          <w:sz w:val="24"/>
        </w:rPr>
        <w:t>beginning</w:t>
      </w:r>
      <w:r>
        <w:rPr>
          <w:spacing w:val="-3"/>
          <w:sz w:val="24"/>
        </w:rPr>
        <w:t> </w:t>
      </w:r>
      <w:r>
        <w:rPr>
          <w:sz w:val="24"/>
        </w:rPr>
        <w:t>of</w:t>
      </w:r>
      <w:r>
        <w:rPr>
          <w:spacing w:val="-2"/>
          <w:sz w:val="24"/>
        </w:rPr>
        <w:t> </w:t>
      </w:r>
      <w:r>
        <w:rPr>
          <w:sz w:val="24"/>
        </w:rPr>
        <w:t>each</w:t>
      </w:r>
      <w:r>
        <w:rPr>
          <w:spacing w:val="-3"/>
          <w:sz w:val="24"/>
        </w:rPr>
        <w:t> </w:t>
      </w:r>
      <w:r>
        <w:rPr>
          <w:sz w:val="24"/>
        </w:rPr>
        <w:t>fiscal</w:t>
      </w:r>
      <w:r>
        <w:rPr>
          <w:spacing w:val="-3"/>
          <w:sz w:val="24"/>
        </w:rPr>
        <w:t> </w:t>
      </w:r>
      <w:r>
        <w:rPr>
          <w:sz w:val="24"/>
        </w:rPr>
        <w:t>year,</w:t>
      </w:r>
      <w:r>
        <w:rPr>
          <w:spacing w:val="-4"/>
          <w:sz w:val="24"/>
        </w:rPr>
        <w:t> </w:t>
      </w:r>
      <w:r>
        <w:rPr>
          <w:sz w:val="24"/>
        </w:rPr>
        <w:t>whether</w:t>
      </w:r>
      <w:r>
        <w:rPr>
          <w:spacing w:val="-2"/>
          <w:sz w:val="24"/>
        </w:rPr>
        <w:t> </w:t>
      </w:r>
      <w:r>
        <w:rPr>
          <w:sz w:val="24"/>
        </w:rPr>
        <w:t>to establish and implement an order of selection.</w:t>
      </w:r>
    </w:p>
    <w:p>
      <w:pPr>
        <w:pStyle w:val="ListParagraph"/>
        <w:numPr>
          <w:ilvl w:val="0"/>
          <w:numId w:val="129"/>
        </w:numPr>
        <w:tabs>
          <w:tab w:pos="786" w:val="left" w:leader="none"/>
        </w:tabs>
        <w:spacing w:line="208" w:lineRule="auto" w:before="239" w:after="0"/>
        <w:ind w:left="360" w:right="844" w:firstLine="0"/>
        <w:jc w:val="left"/>
        <w:rPr>
          <w:sz w:val="24"/>
        </w:rPr>
      </w:pPr>
      <w:r>
        <w:rPr>
          <w:b/>
          <w:sz w:val="24"/>
        </w:rPr>
        <w:t>Need for order of selection. </w:t>
      </w:r>
      <w:r>
        <w:rPr>
          <w:sz w:val="24"/>
        </w:rPr>
        <w:t>The Department, in consultation with the Oklahoma Rehabilitation</w:t>
      </w:r>
      <w:r>
        <w:rPr>
          <w:spacing w:val="-5"/>
          <w:sz w:val="24"/>
        </w:rPr>
        <w:t> </w:t>
      </w:r>
      <w:r>
        <w:rPr>
          <w:sz w:val="24"/>
        </w:rPr>
        <w:t>Council,</w:t>
      </w:r>
      <w:r>
        <w:rPr>
          <w:spacing w:val="-3"/>
          <w:sz w:val="24"/>
        </w:rPr>
        <w:t> </w:t>
      </w:r>
      <w:r>
        <w:rPr>
          <w:sz w:val="24"/>
        </w:rPr>
        <w:t>has</w:t>
      </w:r>
      <w:r>
        <w:rPr>
          <w:spacing w:val="-5"/>
          <w:sz w:val="24"/>
        </w:rPr>
        <w:t> </w:t>
      </w:r>
      <w:r>
        <w:rPr>
          <w:sz w:val="24"/>
        </w:rPr>
        <w:t>determined,</w:t>
      </w:r>
      <w:r>
        <w:rPr>
          <w:spacing w:val="-4"/>
          <w:sz w:val="24"/>
        </w:rPr>
        <w:t> </w:t>
      </w:r>
      <w:r>
        <w:rPr>
          <w:sz w:val="24"/>
        </w:rPr>
        <w:t>due</w:t>
      </w:r>
      <w:r>
        <w:rPr>
          <w:spacing w:val="-4"/>
          <w:sz w:val="24"/>
        </w:rPr>
        <w:t> </w:t>
      </w:r>
      <w:r>
        <w:rPr>
          <w:sz w:val="24"/>
        </w:rPr>
        <w:t>to</w:t>
      </w:r>
      <w:r>
        <w:rPr>
          <w:spacing w:val="-5"/>
          <w:sz w:val="24"/>
        </w:rPr>
        <w:t> </w:t>
      </w:r>
      <w:r>
        <w:rPr>
          <w:sz w:val="24"/>
        </w:rPr>
        <w:t>budgetary</w:t>
      </w:r>
      <w:r>
        <w:rPr>
          <w:spacing w:val="-5"/>
          <w:sz w:val="24"/>
        </w:rPr>
        <w:t> </w:t>
      </w:r>
      <w:r>
        <w:rPr>
          <w:sz w:val="24"/>
        </w:rPr>
        <w:t>constraints</w:t>
      </w:r>
      <w:r>
        <w:rPr>
          <w:spacing w:val="-5"/>
          <w:sz w:val="24"/>
        </w:rPr>
        <w:t> </w:t>
      </w:r>
      <w:r>
        <w:rPr>
          <w:sz w:val="24"/>
        </w:rPr>
        <w:t>or</w:t>
      </w:r>
      <w:r>
        <w:rPr>
          <w:spacing w:val="-4"/>
          <w:sz w:val="24"/>
        </w:rPr>
        <w:t> </w:t>
      </w:r>
      <w:r>
        <w:rPr>
          <w:sz w:val="24"/>
        </w:rPr>
        <w:t>other</w:t>
      </w:r>
      <w:r>
        <w:rPr>
          <w:spacing w:val="-5"/>
          <w:sz w:val="24"/>
        </w:rPr>
        <w:t> </w:t>
      </w:r>
      <w:r>
        <w:rPr>
          <w:sz w:val="24"/>
        </w:rPr>
        <w:t>reasoned limitations, that it cannot serve all individuals who are determined eligible for DVR and DSBVI services. The Department consults with the Oklahoma Rehabilitation Council (ORC) regarding the:</w:t>
      </w:r>
    </w:p>
    <w:p>
      <w:pPr>
        <w:pStyle w:val="ListParagraph"/>
        <w:numPr>
          <w:ilvl w:val="1"/>
          <w:numId w:val="129"/>
        </w:numPr>
        <w:tabs>
          <w:tab w:pos="1218" w:val="left" w:leader="none"/>
        </w:tabs>
        <w:spacing w:line="240" w:lineRule="auto" w:before="211" w:after="0"/>
        <w:ind w:left="1218" w:right="0" w:hanging="426"/>
        <w:jc w:val="left"/>
        <w:rPr>
          <w:sz w:val="24"/>
        </w:rPr>
      </w:pPr>
      <w:r>
        <w:rPr>
          <w:sz w:val="24"/>
        </w:rPr>
        <w:t>need</w:t>
      </w:r>
      <w:r>
        <w:rPr>
          <w:spacing w:val="-6"/>
          <w:sz w:val="24"/>
        </w:rPr>
        <w:t> </w:t>
      </w:r>
      <w:r>
        <w:rPr>
          <w:sz w:val="24"/>
        </w:rPr>
        <w:t>to</w:t>
      </w:r>
      <w:r>
        <w:rPr>
          <w:spacing w:val="-4"/>
          <w:sz w:val="24"/>
        </w:rPr>
        <w:t> </w:t>
      </w:r>
      <w:r>
        <w:rPr>
          <w:sz w:val="24"/>
        </w:rPr>
        <w:t>establish</w:t>
      </w:r>
      <w:r>
        <w:rPr>
          <w:spacing w:val="-3"/>
          <w:sz w:val="24"/>
        </w:rPr>
        <w:t> </w:t>
      </w:r>
      <w:r>
        <w:rPr>
          <w:sz w:val="24"/>
        </w:rPr>
        <w:t>an</w:t>
      </w:r>
      <w:r>
        <w:rPr>
          <w:spacing w:val="-3"/>
          <w:sz w:val="24"/>
        </w:rPr>
        <w:t> </w:t>
      </w:r>
      <w:r>
        <w:rPr>
          <w:sz w:val="24"/>
        </w:rPr>
        <w:t>order</w:t>
      </w:r>
      <w:r>
        <w:rPr>
          <w:spacing w:val="-2"/>
          <w:sz w:val="24"/>
        </w:rPr>
        <w:t> </w:t>
      </w:r>
      <w:r>
        <w:rPr>
          <w:sz w:val="24"/>
        </w:rPr>
        <w:t>of</w:t>
      </w:r>
      <w:r>
        <w:rPr>
          <w:spacing w:val="-2"/>
          <w:sz w:val="24"/>
        </w:rPr>
        <w:t> </w:t>
      </w:r>
      <w:r>
        <w:rPr>
          <w:sz w:val="24"/>
        </w:rPr>
        <w:t>selection,</w:t>
      </w:r>
      <w:r>
        <w:rPr>
          <w:spacing w:val="-3"/>
          <w:sz w:val="24"/>
        </w:rPr>
        <w:t> </w:t>
      </w:r>
      <w:r>
        <w:rPr>
          <w:sz w:val="24"/>
        </w:rPr>
        <w:t>including</w:t>
      </w:r>
      <w:r>
        <w:rPr>
          <w:spacing w:val="-3"/>
          <w:sz w:val="24"/>
        </w:rPr>
        <w:t> </w:t>
      </w:r>
      <w:r>
        <w:rPr>
          <w:sz w:val="24"/>
        </w:rPr>
        <w:t>any</w:t>
      </w:r>
      <w:r>
        <w:rPr>
          <w:spacing w:val="-2"/>
          <w:sz w:val="24"/>
        </w:rPr>
        <w:t> </w:t>
      </w:r>
      <w:r>
        <w:rPr>
          <w:sz w:val="24"/>
        </w:rPr>
        <w:t>re-evaluation</w:t>
      </w:r>
      <w:r>
        <w:rPr>
          <w:spacing w:val="-3"/>
          <w:sz w:val="24"/>
        </w:rPr>
        <w:t> </w:t>
      </w:r>
      <w:r>
        <w:rPr>
          <w:sz w:val="24"/>
        </w:rPr>
        <w:t>of</w:t>
      </w:r>
      <w:r>
        <w:rPr>
          <w:spacing w:val="-2"/>
          <w:sz w:val="24"/>
        </w:rPr>
        <w:t> </w:t>
      </w:r>
      <w:r>
        <w:rPr>
          <w:sz w:val="24"/>
        </w:rPr>
        <w:t>the</w:t>
      </w:r>
      <w:r>
        <w:rPr>
          <w:spacing w:val="-3"/>
          <w:sz w:val="24"/>
        </w:rPr>
        <w:t> </w:t>
      </w:r>
      <w:r>
        <w:rPr>
          <w:spacing w:val="-2"/>
          <w:sz w:val="24"/>
        </w:rPr>
        <w:t>need;</w:t>
      </w:r>
    </w:p>
    <w:p>
      <w:pPr>
        <w:pStyle w:val="ListParagraph"/>
        <w:numPr>
          <w:ilvl w:val="1"/>
          <w:numId w:val="129"/>
        </w:numPr>
        <w:tabs>
          <w:tab w:pos="1218" w:val="left" w:leader="none"/>
        </w:tabs>
        <w:spacing w:line="240" w:lineRule="auto" w:before="204" w:after="0"/>
        <w:ind w:left="1218" w:right="0" w:hanging="426"/>
        <w:jc w:val="left"/>
        <w:rPr>
          <w:sz w:val="24"/>
        </w:rPr>
      </w:pPr>
      <w:r>
        <w:rPr>
          <w:sz w:val="24"/>
        </w:rPr>
        <w:t>priority</w:t>
      </w:r>
      <w:r>
        <w:rPr>
          <w:spacing w:val="-5"/>
          <w:sz w:val="24"/>
        </w:rPr>
        <w:t> </w:t>
      </w:r>
      <w:r>
        <w:rPr>
          <w:sz w:val="24"/>
        </w:rPr>
        <w:t>categories</w:t>
      </w:r>
      <w:r>
        <w:rPr>
          <w:spacing w:val="-3"/>
          <w:sz w:val="24"/>
        </w:rPr>
        <w:t> </w:t>
      </w:r>
      <w:r>
        <w:rPr>
          <w:sz w:val="24"/>
        </w:rPr>
        <w:t>of</w:t>
      </w:r>
      <w:r>
        <w:rPr>
          <w:spacing w:val="-3"/>
          <w:sz w:val="24"/>
        </w:rPr>
        <w:t> </w:t>
      </w:r>
      <w:r>
        <w:rPr>
          <w:sz w:val="24"/>
        </w:rPr>
        <w:t>the</w:t>
      </w:r>
      <w:r>
        <w:rPr>
          <w:spacing w:val="-3"/>
          <w:sz w:val="24"/>
        </w:rPr>
        <w:t> </w:t>
      </w:r>
      <w:r>
        <w:rPr>
          <w:sz w:val="24"/>
        </w:rPr>
        <w:t>particular</w:t>
      </w:r>
      <w:r>
        <w:rPr>
          <w:spacing w:val="-3"/>
          <w:sz w:val="24"/>
        </w:rPr>
        <w:t> </w:t>
      </w:r>
      <w:r>
        <w:rPr>
          <w:sz w:val="24"/>
        </w:rPr>
        <w:t>order</w:t>
      </w:r>
      <w:r>
        <w:rPr>
          <w:spacing w:val="-4"/>
          <w:sz w:val="24"/>
        </w:rPr>
        <w:t> </w:t>
      </w:r>
      <w:r>
        <w:rPr>
          <w:sz w:val="24"/>
        </w:rPr>
        <w:t>of</w:t>
      </w:r>
      <w:r>
        <w:rPr>
          <w:spacing w:val="-2"/>
          <w:sz w:val="24"/>
        </w:rPr>
        <w:t> selection;</w:t>
      </w:r>
    </w:p>
    <w:p>
      <w:pPr>
        <w:pStyle w:val="ListParagraph"/>
        <w:numPr>
          <w:ilvl w:val="1"/>
          <w:numId w:val="129"/>
        </w:numPr>
        <w:tabs>
          <w:tab w:pos="1218" w:val="left" w:leader="none"/>
        </w:tabs>
        <w:spacing w:line="240" w:lineRule="auto" w:before="204" w:after="0"/>
        <w:ind w:left="1218" w:right="0" w:hanging="426"/>
        <w:jc w:val="left"/>
        <w:rPr>
          <w:sz w:val="24"/>
        </w:rPr>
      </w:pPr>
      <w:r>
        <w:rPr>
          <w:sz w:val="24"/>
        </w:rPr>
        <w:t>criteria</w:t>
      </w:r>
      <w:r>
        <w:rPr>
          <w:spacing w:val="-8"/>
          <w:sz w:val="24"/>
        </w:rPr>
        <w:t> </w:t>
      </w:r>
      <w:r>
        <w:rPr>
          <w:sz w:val="24"/>
        </w:rPr>
        <w:t>for</w:t>
      </w:r>
      <w:r>
        <w:rPr>
          <w:spacing w:val="-3"/>
          <w:sz w:val="24"/>
        </w:rPr>
        <w:t> </w:t>
      </w:r>
      <w:r>
        <w:rPr>
          <w:sz w:val="24"/>
        </w:rPr>
        <w:t>determining</w:t>
      </w:r>
      <w:r>
        <w:rPr>
          <w:spacing w:val="-4"/>
          <w:sz w:val="24"/>
        </w:rPr>
        <w:t> </w:t>
      </w:r>
      <w:r>
        <w:rPr>
          <w:sz w:val="24"/>
        </w:rPr>
        <w:t>individuals</w:t>
      </w:r>
      <w:r>
        <w:rPr>
          <w:spacing w:val="-4"/>
          <w:sz w:val="24"/>
        </w:rPr>
        <w:t> </w:t>
      </w:r>
      <w:r>
        <w:rPr>
          <w:sz w:val="24"/>
        </w:rPr>
        <w:t>with</w:t>
      </w:r>
      <w:r>
        <w:rPr>
          <w:spacing w:val="-4"/>
          <w:sz w:val="24"/>
        </w:rPr>
        <w:t> </w:t>
      </w:r>
      <w:r>
        <w:rPr>
          <w:sz w:val="24"/>
        </w:rPr>
        <w:t>the</w:t>
      </w:r>
      <w:r>
        <w:rPr>
          <w:spacing w:val="-5"/>
          <w:sz w:val="24"/>
        </w:rPr>
        <w:t> </w:t>
      </w:r>
      <w:r>
        <w:rPr>
          <w:sz w:val="24"/>
        </w:rPr>
        <w:t>most</w:t>
      </w:r>
      <w:r>
        <w:rPr>
          <w:spacing w:val="-3"/>
          <w:sz w:val="24"/>
        </w:rPr>
        <w:t> </w:t>
      </w:r>
      <w:r>
        <w:rPr>
          <w:sz w:val="24"/>
        </w:rPr>
        <w:t>significant</w:t>
      </w:r>
      <w:r>
        <w:rPr>
          <w:spacing w:val="-3"/>
          <w:sz w:val="24"/>
        </w:rPr>
        <w:t> </w:t>
      </w:r>
      <w:r>
        <w:rPr>
          <w:sz w:val="24"/>
        </w:rPr>
        <w:t>disabilities;</w:t>
      </w:r>
      <w:r>
        <w:rPr>
          <w:spacing w:val="-3"/>
          <w:sz w:val="24"/>
        </w:rPr>
        <w:t> </w:t>
      </w:r>
      <w:r>
        <w:rPr>
          <w:spacing w:val="-5"/>
          <w:sz w:val="24"/>
        </w:rPr>
        <w:t>and</w:t>
      </w:r>
    </w:p>
    <w:p>
      <w:pPr>
        <w:pStyle w:val="ListParagraph"/>
        <w:numPr>
          <w:ilvl w:val="1"/>
          <w:numId w:val="129"/>
        </w:numPr>
        <w:tabs>
          <w:tab w:pos="1218" w:val="left" w:leader="none"/>
        </w:tabs>
        <w:spacing w:line="240" w:lineRule="auto" w:before="204" w:after="0"/>
        <w:ind w:left="1218" w:right="0" w:hanging="426"/>
        <w:jc w:val="left"/>
        <w:rPr>
          <w:sz w:val="24"/>
        </w:rPr>
      </w:pPr>
      <w:r>
        <w:rPr>
          <w:sz w:val="24"/>
        </w:rPr>
        <w:t>administration</w:t>
      </w:r>
      <w:r>
        <w:rPr>
          <w:spacing w:val="-3"/>
          <w:sz w:val="24"/>
        </w:rPr>
        <w:t> </w:t>
      </w:r>
      <w:r>
        <w:rPr>
          <w:sz w:val="24"/>
        </w:rPr>
        <w:t>of</w:t>
      </w:r>
      <w:r>
        <w:rPr>
          <w:spacing w:val="-4"/>
          <w:sz w:val="24"/>
        </w:rPr>
        <w:t> </w:t>
      </w:r>
      <w:r>
        <w:rPr>
          <w:sz w:val="24"/>
        </w:rPr>
        <w:t>the</w:t>
      </w:r>
      <w:r>
        <w:rPr>
          <w:spacing w:val="-3"/>
          <w:sz w:val="24"/>
        </w:rPr>
        <w:t> </w:t>
      </w:r>
      <w:r>
        <w:rPr>
          <w:sz w:val="24"/>
        </w:rPr>
        <w:t>order</w:t>
      </w:r>
      <w:r>
        <w:rPr>
          <w:spacing w:val="-3"/>
          <w:sz w:val="24"/>
        </w:rPr>
        <w:t> </w:t>
      </w:r>
      <w:r>
        <w:rPr>
          <w:sz w:val="24"/>
        </w:rPr>
        <w:t>of</w:t>
      </w:r>
      <w:r>
        <w:rPr>
          <w:spacing w:val="-3"/>
          <w:sz w:val="24"/>
        </w:rPr>
        <w:t> </w:t>
      </w:r>
      <w:r>
        <w:rPr>
          <w:spacing w:val="-2"/>
          <w:sz w:val="24"/>
        </w:rPr>
        <w:t>selection.</w:t>
      </w:r>
    </w:p>
    <w:p>
      <w:pPr>
        <w:pStyle w:val="ListParagraph"/>
        <w:spacing w:after="0" w:line="240" w:lineRule="auto"/>
        <w:jc w:val="left"/>
        <w:rPr>
          <w:sz w:val="24"/>
        </w:rPr>
        <w:sectPr>
          <w:pgSz w:w="12240" w:h="15840"/>
          <w:pgMar w:top="1340" w:bottom="280" w:left="1080" w:right="720"/>
        </w:sectPr>
      </w:pPr>
    </w:p>
    <w:p>
      <w:pPr>
        <w:pStyle w:val="ListParagraph"/>
        <w:numPr>
          <w:ilvl w:val="0"/>
          <w:numId w:val="129"/>
        </w:numPr>
        <w:tabs>
          <w:tab w:pos="786" w:val="left" w:leader="none"/>
        </w:tabs>
        <w:spacing w:line="208" w:lineRule="auto" w:before="96" w:after="0"/>
        <w:ind w:left="360" w:right="993" w:firstLine="0"/>
        <w:jc w:val="left"/>
        <w:rPr>
          <w:sz w:val="24"/>
        </w:rPr>
      </w:pPr>
      <w:r>
        <w:rPr>
          <w:b/>
          <w:sz w:val="24"/>
        </w:rPr>
        <w:t>Establishing an order of selection. </w:t>
      </w:r>
      <w:r>
        <w:rPr>
          <w:sz w:val="24"/>
        </w:rPr>
        <w:t>Basis for order of selection. An order of selection must be based on a refinement of the three criteria in the definition of individual</w:t>
      </w:r>
      <w:r>
        <w:rPr>
          <w:spacing w:val="-3"/>
          <w:sz w:val="24"/>
        </w:rPr>
        <w:t> </w:t>
      </w:r>
      <w:r>
        <w:rPr>
          <w:sz w:val="24"/>
        </w:rPr>
        <w:t>with</w:t>
      </w:r>
      <w:r>
        <w:rPr>
          <w:spacing w:val="-3"/>
          <w:sz w:val="24"/>
        </w:rPr>
        <w:t> </w:t>
      </w:r>
      <w:r>
        <w:rPr>
          <w:sz w:val="24"/>
        </w:rPr>
        <w:t>a</w:t>
      </w:r>
      <w:r>
        <w:rPr>
          <w:spacing w:val="-3"/>
          <w:sz w:val="24"/>
        </w:rPr>
        <w:t> </w:t>
      </w:r>
      <w:r>
        <w:rPr>
          <w:sz w:val="24"/>
        </w:rPr>
        <w:t>significant</w:t>
      </w:r>
      <w:r>
        <w:rPr>
          <w:spacing w:val="-2"/>
          <w:sz w:val="24"/>
        </w:rPr>
        <w:t> </w:t>
      </w:r>
      <w:r>
        <w:rPr>
          <w:sz w:val="24"/>
        </w:rPr>
        <w:t>disability</w:t>
      </w:r>
      <w:r>
        <w:rPr>
          <w:spacing w:val="-3"/>
          <w:sz w:val="24"/>
        </w:rPr>
        <w:t> </w:t>
      </w:r>
      <w:r>
        <w:rPr>
          <w:sz w:val="24"/>
        </w:rPr>
        <w:t>in</w:t>
      </w:r>
      <w:r>
        <w:rPr>
          <w:spacing w:val="-3"/>
          <w:sz w:val="24"/>
        </w:rPr>
        <w:t> </w:t>
      </w:r>
      <w:r>
        <w:rPr>
          <w:sz w:val="24"/>
        </w:rPr>
        <w:t>section</w:t>
      </w:r>
      <w:r>
        <w:rPr>
          <w:spacing w:val="-3"/>
          <w:sz w:val="24"/>
        </w:rPr>
        <w:t> </w:t>
      </w:r>
      <w:r>
        <w:rPr>
          <w:sz w:val="24"/>
        </w:rPr>
        <w:t>7</w:t>
      </w:r>
      <w:r>
        <w:rPr>
          <w:spacing w:val="-3"/>
          <w:sz w:val="24"/>
        </w:rPr>
        <w:t> </w:t>
      </w:r>
      <w:r>
        <w:rPr>
          <w:sz w:val="24"/>
        </w:rPr>
        <w:t>(21)</w:t>
      </w:r>
      <w:r>
        <w:rPr>
          <w:spacing w:val="-2"/>
          <w:sz w:val="24"/>
        </w:rPr>
        <w:t> </w:t>
      </w:r>
      <w:r>
        <w:rPr>
          <w:sz w:val="24"/>
        </w:rPr>
        <w:t>(A)</w:t>
      </w:r>
      <w:r>
        <w:rPr>
          <w:spacing w:val="-2"/>
          <w:sz w:val="24"/>
        </w:rPr>
        <w:t> </w:t>
      </w:r>
      <w:r>
        <w:rPr>
          <w:sz w:val="24"/>
        </w:rPr>
        <w:t>of</w:t>
      </w:r>
      <w:r>
        <w:rPr>
          <w:spacing w:val="-4"/>
          <w:sz w:val="24"/>
        </w:rPr>
        <w:t> </w:t>
      </w:r>
      <w:r>
        <w:rPr>
          <w:sz w:val="24"/>
        </w:rPr>
        <w:t>the</w:t>
      </w:r>
      <w:r>
        <w:rPr>
          <w:spacing w:val="-3"/>
          <w:sz w:val="24"/>
        </w:rPr>
        <w:t> </w:t>
      </w:r>
      <w:r>
        <w:rPr>
          <w:sz w:val="24"/>
        </w:rPr>
        <w:t>Act</w:t>
      </w:r>
      <w:r>
        <w:rPr>
          <w:spacing w:val="-2"/>
          <w:sz w:val="24"/>
        </w:rPr>
        <w:t> </w:t>
      </w:r>
      <w:r>
        <w:rPr>
          <w:sz w:val="24"/>
        </w:rPr>
        <w:t>and</w:t>
      </w:r>
      <w:r>
        <w:rPr>
          <w:spacing w:val="-3"/>
          <w:sz w:val="24"/>
        </w:rPr>
        <w:t> </w:t>
      </w:r>
      <w:r>
        <w:rPr>
          <w:sz w:val="24"/>
        </w:rPr>
        <w:t>34</w:t>
      </w:r>
      <w:r>
        <w:rPr>
          <w:spacing w:val="-3"/>
          <w:sz w:val="24"/>
        </w:rPr>
        <w:t> </w:t>
      </w:r>
      <w:r>
        <w:rPr>
          <w:sz w:val="24"/>
        </w:rPr>
        <w:t>CFR</w:t>
      </w:r>
      <w:r>
        <w:rPr>
          <w:spacing w:val="-3"/>
          <w:sz w:val="24"/>
        </w:rPr>
        <w:t> </w:t>
      </w:r>
      <w:r>
        <w:rPr>
          <w:sz w:val="24"/>
        </w:rPr>
        <w:t>361.5</w:t>
      </w:r>
    </w:p>
    <w:p>
      <w:pPr>
        <w:pStyle w:val="BodyText"/>
        <w:spacing w:line="246" w:lineRule="exact" w:before="0"/>
      </w:pPr>
      <w:r>
        <w:rPr/>
        <w:t>(c)</w:t>
      </w:r>
      <w:r>
        <w:rPr>
          <w:spacing w:val="-3"/>
        </w:rPr>
        <w:t> </w:t>
      </w:r>
      <w:r>
        <w:rPr>
          <w:spacing w:val="-2"/>
        </w:rPr>
        <w:t>(30).</w:t>
      </w:r>
    </w:p>
    <w:p>
      <w:pPr>
        <w:pStyle w:val="ListParagraph"/>
        <w:numPr>
          <w:ilvl w:val="0"/>
          <w:numId w:val="130"/>
        </w:numPr>
        <w:tabs>
          <w:tab w:pos="1236" w:val="left" w:leader="none"/>
        </w:tabs>
        <w:spacing w:line="208" w:lineRule="auto" w:before="233" w:after="0"/>
        <w:ind w:left="810" w:right="933" w:firstLine="0"/>
        <w:jc w:val="left"/>
        <w:rPr>
          <w:sz w:val="24"/>
        </w:rPr>
      </w:pPr>
      <w:r>
        <w:rPr>
          <w:sz w:val="24"/>
        </w:rPr>
        <w:t>Factors that cannot be used in determining order of selection of eligible individuals.</w:t>
      </w:r>
      <w:r>
        <w:rPr>
          <w:spacing w:val="-3"/>
          <w:sz w:val="24"/>
        </w:rPr>
        <w:t> </w:t>
      </w:r>
      <w:r>
        <w:rPr>
          <w:sz w:val="24"/>
        </w:rPr>
        <w:t>An</w:t>
      </w:r>
      <w:r>
        <w:rPr>
          <w:spacing w:val="-4"/>
          <w:sz w:val="24"/>
        </w:rPr>
        <w:t> </w:t>
      </w:r>
      <w:r>
        <w:rPr>
          <w:sz w:val="24"/>
        </w:rPr>
        <w:t>order</w:t>
      </w:r>
      <w:r>
        <w:rPr>
          <w:spacing w:val="-3"/>
          <w:sz w:val="24"/>
        </w:rPr>
        <w:t> </w:t>
      </w:r>
      <w:r>
        <w:rPr>
          <w:sz w:val="24"/>
        </w:rPr>
        <w:t>of</w:t>
      </w:r>
      <w:r>
        <w:rPr>
          <w:spacing w:val="-3"/>
          <w:sz w:val="24"/>
        </w:rPr>
        <w:t> </w:t>
      </w:r>
      <w:r>
        <w:rPr>
          <w:sz w:val="24"/>
        </w:rPr>
        <w:t>selection</w:t>
      </w:r>
      <w:r>
        <w:rPr>
          <w:spacing w:val="-4"/>
          <w:sz w:val="24"/>
        </w:rPr>
        <w:t> </w:t>
      </w:r>
      <w:r>
        <w:rPr>
          <w:sz w:val="24"/>
        </w:rPr>
        <w:t>may</w:t>
      </w:r>
      <w:r>
        <w:rPr>
          <w:spacing w:val="-4"/>
          <w:sz w:val="24"/>
        </w:rPr>
        <w:t> </w:t>
      </w:r>
      <w:r>
        <w:rPr>
          <w:sz w:val="24"/>
        </w:rPr>
        <w:t>not</w:t>
      </w:r>
      <w:r>
        <w:rPr>
          <w:spacing w:val="-3"/>
          <w:sz w:val="24"/>
        </w:rPr>
        <w:t> </w:t>
      </w:r>
      <w:r>
        <w:rPr>
          <w:sz w:val="24"/>
        </w:rPr>
        <w:t>be</w:t>
      </w:r>
      <w:r>
        <w:rPr>
          <w:spacing w:val="-5"/>
          <w:sz w:val="24"/>
        </w:rPr>
        <w:t> </w:t>
      </w:r>
      <w:r>
        <w:rPr>
          <w:sz w:val="24"/>
        </w:rPr>
        <w:t>based</w:t>
      </w:r>
      <w:r>
        <w:rPr>
          <w:spacing w:val="-4"/>
          <w:sz w:val="24"/>
        </w:rPr>
        <w:t> </w:t>
      </w:r>
      <w:r>
        <w:rPr>
          <w:sz w:val="24"/>
        </w:rPr>
        <w:t>on</w:t>
      </w:r>
      <w:r>
        <w:rPr>
          <w:spacing w:val="-4"/>
          <w:sz w:val="24"/>
        </w:rPr>
        <w:t> </w:t>
      </w:r>
      <w:r>
        <w:rPr>
          <w:sz w:val="24"/>
        </w:rPr>
        <w:t>any</w:t>
      </w:r>
      <w:r>
        <w:rPr>
          <w:spacing w:val="-4"/>
          <w:sz w:val="24"/>
        </w:rPr>
        <w:t> </w:t>
      </w:r>
      <w:r>
        <w:rPr>
          <w:sz w:val="24"/>
        </w:rPr>
        <w:t>other</w:t>
      </w:r>
      <w:r>
        <w:rPr>
          <w:spacing w:val="-3"/>
          <w:sz w:val="24"/>
        </w:rPr>
        <w:t> </w:t>
      </w:r>
      <w:r>
        <w:rPr>
          <w:sz w:val="24"/>
        </w:rPr>
        <w:t>factors,</w:t>
      </w:r>
      <w:r>
        <w:rPr>
          <w:spacing w:val="-3"/>
          <w:sz w:val="24"/>
        </w:rPr>
        <w:t> </w:t>
      </w:r>
      <w:r>
        <w:rPr>
          <w:sz w:val="24"/>
        </w:rPr>
        <w:t>including requirements identified in 34 CFR 361.36 (d) (2) (i-vii).</w:t>
      </w:r>
    </w:p>
    <w:p>
      <w:pPr>
        <w:pStyle w:val="ListParagraph"/>
        <w:numPr>
          <w:ilvl w:val="0"/>
          <w:numId w:val="130"/>
        </w:numPr>
        <w:tabs>
          <w:tab w:pos="1235" w:val="left" w:leader="none"/>
        </w:tabs>
        <w:spacing w:line="208" w:lineRule="auto" w:before="240" w:after="0"/>
        <w:ind w:left="810" w:right="782" w:firstLine="0"/>
        <w:jc w:val="left"/>
        <w:rPr>
          <w:sz w:val="24"/>
        </w:rPr>
      </w:pPr>
      <w:r>
        <w:rPr>
          <w:sz w:val="24"/>
        </w:rPr>
        <w:t>It</w:t>
      </w:r>
      <w:r>
        <w:rPr>
          <w:spacing w:val="-2"/>
          <w:sz w:val="24"/>
        </w:rPr>
        <w:t> </w:t>
      </w:r>
      <w:r>
        <w:rPr>
          <w:sz w:val="24"/>
        </w:rPr>
        <w:t>is</w:t>
      </w:r>
      <w:r>
        <w:rPr>
          <w:spacing w:val="-1"/>
          <w:sz w:val="24"/>
        </w:rPr>
        <w:t> </w:t>
      </w:r>
      <w:r>
        <w:rPr>
          <w:sz w:val="24"/>
        </w:rPr>
        <w:t>the</w:t>
      </w:r>
      <w:r>
        <w:rPr>
          <w:spacing w:val="-2"/>
          <w:sz w:val="24"/>
        </w:rPr>
        <w:t> </w:t>
      </w:r>
      <w:r>
        <w:rPr>
          <w:sz w:val="24"/>
        </w:rPr>
        <w:t>administrative</w:t>
      </w:r>
      <w:r>
        <w:rPr>
          <w:spacing w:val="-1"/>
          <w:sz w:val="24"/>
        </w:rPr>
        <w:t> </w:t>
      </w:r>
      <w:r>
        <w:rPr>
          <w:sz w:val="24"/>
        </w:rPr>
        <w:t>rules</w:t>
      </w:r>
      <w:r>
        <w:rPr>
          <w:spacing w:val="-1"/>
          <w:sz w:val="24"/>
        </w:rPr>
        <w:t> </w:t>
      </w:r>
      <w:r>
        <w:rPr>
          <w:sz w:val="24"/>
        </w:rPr>
        <w:t>of DRS</w:t>
      </w:r>
      <w:r>
        <w:rPr>
          <w:spacing w:val="-1"/>
          <w:sz w:val="24"/>
        </w:rPr>
        <w:t> </w:t>
      </w:r>
      <w:r>
        <w:rPr>
          <w:sz w:val="24"/>
        </w:rPr>
        <w:t>to</w:t>
      </w:r>
      <w:r>
        <w:rPr>
          <w:spacing w:val="-1"/>
          <w:sz w:val="24"/>
        </w:rPr>
        <w:t> </w:t>
      </w:r>
      <w:r>
        <w:rPr>
          <w:sz w:val="24"/>
        </w:rPr>
        <w:t>provide</w:t>
      </w:r>
      <w:r>
        <w:rPr>
          <w:spacing w:val="-1"/>
          <w:sz w:val="24"/>
        </w:rPr>
        <w:t> </w:t>
      </w:r>
      <w:r>
        <w:rPr>
          <w:sz w:val="24"/>
        </w:rPr>
        <w:t>vocational</w:t>
      </w:r>
      <w:r>
        <w:rPr>
          <w:spacing w:val="-1"/>
          <w:sz w:val="24"/>
        </w:rPr>
        <w:t> </w:t>
      </w:r>
      <w:r>
        <w:rPr>
          <w:sz w:val="24"/>
        </w:rPr>
        <w:t>rehabilitation</w:t>
      </w:r>
      <w:r>
        <w:rPr>
          <w:spacing w:val="-1"/>
          <w:sz w:val="24"/>
        </w:rPr>
        <w:t> </w:t>
      </w:r>
      <w:r>
        <w:rPr>
          <w:sz w:val="24"/>
        </w:rPr>
        <w:t>services to eligible individuals under an order of selection. Under the order of selection, the Department has established three priority groups on the basis of serving first those with the most significant disabilities. Every individual determined to be eligible for DVR</w:t>
      </w:r>
      <w:r>
        <w:rPr>
          <w:spacing w:val="-3"/>
          <w:sz w:val="24"/>
        </w:rPr>
        <w:t> </w:t>
      </w:r>
      <w:r>
        <w:rPr>
          <w:sz w:val="24"/>
        </w:rPr>
        <w:t>and</w:t>
      </w:r>
      <w:r>
        <w:rPr>
          <w:spacing w:val="-3"/>
          <w:sz w:val="24"/>
        </w:rPr>
        <w:t> </w:t>
      </w:r>
      <w:r>
        <w:rPr>
          <w:sz w:val="24"/>
        </w:rPr>
        <w:t>DSBVI</w:t>
      </w:r>
      <w:r>
        <w:rPr>
          <w:spacing w:val="-2"/>
          <w:sz w:val="24"/>
        </w:rPr>
        <w:t> </w:t>
      </w:r>
      <w:r>
        <w:rPr>
          <w:sz w:val="24"/>
        </w:rPr>
        <w:t>services</w:t>
      </w:r>
      <w:r>
        <w:rPr>
          <w:spacing w:val="-3"/>
          <w:sz w:val="24"/>
        </w:rPr>
        <w:t> </w:t>
      </w:r>
      <w:r>
        <w:rPr>
          <w:sz w:val="24"/>
        </w:rPr>
        <w:t>is</w:t>
      </w:r>
      <w:r>
        <w:rPr>
          <w:spacing w:val="-3"/>
          <w:sz w:val="24"/>
        </w:rPr>
        <w:t> </w:t>
      </w:r>
      <w:r>
        <w:rPr>
          <w:sz w:val="24"/>
        </w:rPr>
        <w:t>placed</w:t>
      </w:r>
      <w:r>
        <w:rPr>
          <w:spacing w:val="-3"/>
          <w:sz w:val="24"/>
        </w:rPr>
        <w:t> </w:t>
      </w:r>
      <w:r>
        <w:rPr>
          <w:sz w:val="24"/>
        </w:rPr>
        <w:t>in</w:t>
      </w:r>
      <w:r>
        <w:rPr>
          <w:spacing w:val="-3"/>
          <w:sz w:val="24"/>
        </w:rPr>
        <w:t> </w:t>
      </w:r>
      <w:r>
        <w:rPr>
          <w:sz w:val="24"/>
        </w:rPr>
        <w:t>the</w:t>
      </w:r>
      <w:r>
        <w:rPr>
          <w:spacing w:val="-3"/>
          <w:sz w:val="24"/>
        </w:rPr>
        <w:t> </w:t>
      </w:r>
      <w:r>
        <w:rPr>
          <w:sz w:val="24"/>
        </w:rPr>
        <w:t>appropriate</w:t>
      </w:r>
      <w:r>
        <w:rPr>
          <w:spacing w:val="-3"/>
          <w:sz w:val="24"/>
        </w:rPr>
        <w:t> </w:t>
      </w:r>
      <w:r>
        <w:rPr>
          <w:sz w:val="24"/>
        </w:rPr>
        <w:t>priority</w:t>
      </w:r>
      <w:r>
        <w:rPr>
          <w:spacing w:val="-3"/>
          <w:sz w:val="24"/>
        </w:rPr>
        <w:t> </w:t>
      </w:r>
      <w:r>
        <w:rPr>
          <w:sz w:val="24"/>
        </w:rPr>
        <w:t>group</w:t>
      </w:r>
      <w:r>
        <w:rPr>
          <w:spacing w:val="-3"/>
          <w:sz w:val="24"/>
        </w:rPr>
        <w:t> </w:t>
      </w:r>
      <w:r>
        <w:rPr>
          <w:sz w:val="24"/>
        </w:rPr>
        <w:t>based</w:t>
      </w:r>
      <w:r>
        <w:rPr>
          <w:spacing w:val="-3"/>
          <w:sz w:val="24"/>
        </w:rPr>
        <w:t> </w:t>
      </w:r>
      <w:r>
        <w:rPr>
          <w:sz w:val="24"/>
        </w:rPr>
        <w:t>upon</w:t>
      </w:r>
      <w:r>
        <w:rPr>
          <w:spacing w:val="-3"/>
          <w:sz w:val="24"/>
        </w:rPr>
        <w:t> </w:t>
      </w:r>
      <w:r>
        <w:rPr>
          <w:sz w:val="24"/>
        </w:rPr>
        <w:t>the documentation used to determine eligibility and/or vocational rehabilitation needs. Selection and placement in a priority group is based solely upon the significance of the eligible individual's disability, and is not based upon the type of disability, geographical area in which the individual lives, projected type of vocational outcome, age, sex, race, color, creed, religion, or national origin of the individual. The priority groups are:</w:t>
      </w:r>
    </w:p>
    <w:p>
      <w:pPr>
        <w:pStyle w:val="ListParagraph"/>
        <w:numPr>
          <w:ilvl w:val="1"/>
          <w:numId w:val="130"/>
        </w:numPr>
        <w:tabs>
          <w:tab w:pos="1713" w:val="left" w:leader="none"/>
        </w:tabs>
        <w:spacing w:line="208" w:lineRule="auto" w:before="239" w:after="0"/>
        <w:ind w:left="1260" w:right="785" w:firstLine="0"/>
        <w:jc w:val="left"/>
        <w:rPr>
          <w:rFonts w:ascii="Calibri"/>
          <w:b/>
          <w:sz w:val="24"/>
        </w:rPr>
      </w:pPr>
      <w:r>
        <w:rPr>
          <w:b/>
          <w:sz w:val="24"/>
        </w:rPr>
        <w:t>Priority Group 1. </w:t>
      </w:r>
      <w:r>
        <w:rPr>
          <w:sz w:val="24"/>
        </w:rPr>
        <w:t>Eligible individuals with a most significant disability are individuals with the most significant barriers to employment. A most significant barrier is one that includes a severe mental or physical impairment resulting in serious limitations in three or more functional capacities and which can be expected</w:t>
      </w:r>
      <w:r>
        <w:rPr>
          <w:spacing w:val="-4"/>
          <w:sz w:val="24"/>
        </w:rPr>
        <w:t> </w:t>
      </w:r>
      <w:r>
        <w:rPr>
          <w:sz w:val="24"/>
        </w:rPr>
        <w:t>to</w:t>
      </w:r>
      <w:r>
        <w:rPr>
          <w:spacing w:val="-4"/>
          <w:sz w:val="24"/>
        </w:rPr>
        <w:t> </w:t>
      </w:r>
      <w:r>
        <w:rPr>
          <w:sz w:val="24"/>
        </w:rPr>
        <w:t>require</w:t>
      </w:r>
      <w:r>
        <w:rPr>
          <w:spacing w:val="-4"/>
          <w:sz w:val="24"/>
        </w:rPr>
        <w:t> </w:t>
      </w:r>
      <w:r>
        <w:rPr>
          <w:sz w:val="24"/>
        </w:rPr>
        <w:t>multiple</w:t>
      </w:r>
      <w:r>
        <w:rPr>
          <w:spacing w:val="-4"/>
          <w:sz w:val="24"/>
        </w:rPr>
        <w:t> </w:t>
      </w:r>
      <w:r>
        <w:rPr>
          <w:sz w:val="24"/>
        </w:rPr>
        <w:t>vocational</w:t>
      </w:r>
      <w:r>
        <w:rPr>
          <w:spacing w:val="-4"/>
          <w:sz w:val="24"/>
        </w:rPr>
        <w:t> </w:t>
      </w:r>
      <w:r>
        <w:rPr>
          <w:sz w:val="24"/>
        </w:rPr>
        <w:t>rehabilitation</w:t>
      </w:r>
      <w:r>
        <w:rPr>
          <w:spacing w:val="-4"/>
          <w:sz w:val="24"/>
        </w:rPr>
        <w:t> </w:t>
      </w:r>
      <w:r>
        <w:rPr>
          <w:sz w:val="24"/>
        </w:rPr>
        <w:t>services</w:t>
      </w:r>
      <w:r>
        <w:rPr>
          <w:spacing w:val="-4"/>
          <w:sz w:val="24"/>
        </w:rPr>
        <w:t> </w:t>
      </w:r>
      <w:r>
        <w:rPr>
          <w:sz w:val="24"/>
        </w:rPr>
        <w:t>over</w:t>
      </w:r>
      <w:r>
        <w:rPr>
          <w:spacing w:val="-5"/>
          <w:sz w:val="24"/>
        </w:rPr>
        <w:t> </w:t>
      </w:r>
      <w:r>
        <w:rPr>
          <w:sz w:val="24"/>
        </w:rPr>
        <w:t>an</w:t>
      </w:r>
      <w:r>
        <w:rPr>
          <w:spacing w:val="-4"/>
          <w:sz w:val="24"/>
        </w:rPr>
        <w:t> </w:t>
      </w:r>
      <w:r>
        <w:rPr>
          <w:sz w:val="24"/>
        </w:rPr>
        <w:t>extended period of time. </w:t>
      </w:r>
      <w:r>
        <w:rPr>
          <w:rFonts w:ascii="Calibri"/>
          <w:b/>
          <w:sz w:val="24"/>
        </w:rPr>
        <w:t>1</w:t>
      </w:r>
    </w:p>
    <w:p>
      <w:pPr>
        <w:pStyle w:val="ListParagraph"/>
        <w:numPr>
          <w:ilvl w:val="1"/>
          <w:numId w:val="130"/>
        </w:numPr>
        <w:tabs>
          <w:tab w:pos="1713" w:val="left" w:leader="none"/>
        </w:tabs>
        <w:spacing w:line="208" w:lineRule="auto" w:before="224" w:after="0"/>
        <w:ind w:left="1260" w:right="1014" w:firstLine="0"/>
        <w:jc w:val="left"/>
        <w:rPr>
          <w:rFonts w:ascii="Calibri"/>
          <w:b/>
          <w:sz w:val="22"/>
        </w:rPr>
      </w:pPr>
      <w:r>
        <w:rPr>
          <w:b/>
          <w:sz w:val="24"/>
        </w:rPr>
        <w:t>Priority Group 2. </w:t>
      </w:r>
      <w:r>
        <w:rPr>
          <w:sz w:val="24"/>
        </w:rPr>
        <w:t>Eligible individuals with a significant disability are individuals</w:t>
      </w:r>
      <w:r>
        <w:rPr>
          <w:spacing w:val="-5"/>
          <w:sz w:val="24"/>
        </w:rPr>
        <w:t> </w:t>
      </w:r>
      <w:r>
        <w:rPr>
          <w:sz w:val="24"/>
        </w:rPr>
        <w:t>with</w:t>
      </w:r>
      <w:r>
        <w:rPr>
          <w:spacing w:val="-5"/>
          <w:sz w:val="24"/>
        </w:rPr>
        <w:t> </w:t>
      </w:r>
      <w:r>
        <w:rPr>
          <w:sz w:val="24"/>
        </w:rPr>
        <w:t>significant</w:t>
      </w:r>
      <w:r>
        <w:rPr>
          <w:spacing w:val="-4"/>
          <w:sz w:val="24"/>
        </w:rPr>
        <w:t> </w:t>
      </w:r>
      <w:r>
        <w:rPr>
          <w:sz w:val="24"/>
        </w:rPr>
        <w:t>barriers</w:t>
      </w:r>
      <w:r>
        <w:rPr>
          <w:spacing w:val="-5"/>
          <w:sz w:val="24"/>
        </w:rPr>
        <w:t> </w:t>
      </w:r>
      <w:r>
        <w:rPr>
          <w:sz w:val="24"/>
        </w:rPr>
        <w:t>to</w:t>
      </w:r>
      <w:r>
        <w:rPr>
          <w:spacing w:val="-5"/>
          <w:sz w:val="24"/>
        </w:rPr>
        <w:t> </w:t>
      </w:r>
      <w:r>
        <w:rPr>
          <w:sz w:val="24"/>
        </w:rPr>
        <w:t>employment.</w:t>
      </w:r>
      <w:r>
        <w:rPr>
          <w:spacing w:val="-4"/>
          <w:sz w:val="24"/>
        </w:rPr>
        <w:t> </w:t>
      </w:r>
      <w:r>
        <w:rPr>
          <w:sz w:val="24"/>
        </w:rPr>
        <w:t>A</w:t>
      </w:r>
      <w:r>
        <w:rPr>
          <w:spacing w:val="-5"/>
          <w:sz w:val="24"/>
        </w:rPr>
        <w:t> </w:t>
      </w:r>
      <w:r>
        <w:rPr>
          <w:sz w:val="24"/>
        </w:rPr>
        <w:t>significant</w:t>
      </w:r>
      <w:r>
        <w:rPr>
          <w:spacing w:val="-4"/>
          <w:sz w:val="24"/>
        </w:rPr>
        <w:t> </w:t>
      </w:r>
      <w:r>
        <w:rPr>
          <w:sz w:val="24"/>
        </w:rPr>
        <w:t>barrier</w:t>
      </w:r>
      <w:r>
        <w:rPr>
          <w:spacing w:val="-4"/>
          <w:sz w:val="24"/>
        </w:rPr>
        <w:t> </w:t>
      </w:r>
      <w:r>
        <w:rPr>
          <w:sz w:val="24"/>
        </w:rPr>
        <w:t>is</w:t>
      </w:r>
      <w:r>
        <w:rPr>
          <w:spacing w:val="-5"/>
          <w:sz w:val="24"/>
        </w:rPr>
        <w:t> </w:t>
      </w:r>
      <w:r>
        <w:rPr>
          <w:sz w:val="24"/>
        </w:rPr>
        <w:t>one that includes a severe physical or mental impairment resulting in serious limitations in at least one, but not more than two, functional capacities and which can be expected to require multiple vocational rehabilitation services over an extended period of time. </w:t>
      </w:r>
      <w:r>
        <w:rPr>
          <w:rFonts w:ascii="Calibri"/>
          <w:b/>
          <w:sz w:val="22"/>
        </w:rPr>
        <w:t>2</w:t>
      </w:r>
    </w:p>
    <w:p>
      <w:pPr>
        <w:pStyle w:val="ListParagraph"/>
        <w:numPr>
          <w:ilvl w:val="1"/>
          <w:numId w:val="130"/>
        </w:numPr>
        <w:tabs>
          <w:tab w:pos="1726" w:val="left" w:leader="none"/>
        </w:tabs>
        <w:spacing w:line="208" w:lineRule="auto" w:before="232" w:after="0"/>
        <w:ind w:left="1260" w:right="1401" w:firstLine="0"/>
        <w:jc w:val="left"/>
        <w:rPr>
          <w:sz w:val="24"/>
        </w:rPr>
      </w:pPr>
      <w:r>
        <w:rPr>
          <w:b/>
          <w:sz w:val="24"/>
        </w:rPr>
        <w:t>Priority</w:t>
      </w:r>
      <w:r>
        <w:rPr>
          <w:b/>
          <w:spacing w:val="-5"/>
          <w:sz w:val="24"/>
        </w:rPr>
        <w:t> </w:t>
      </w:r>
      <w:r>
        <w:rPr>
          <w:b/>
          <w:sz w:val="24"/>
        </w:rPr>
        <w:t>Group</w:t>
      </w:r>
      <w:r>
        <w:rPr>
          <w:b/>
          <w:spacing w:val="-5"/>
          <w:sz w:val="24"/>
        </w:rPr>
        <w:t> </w:t>
      </w:r>
      <w:r>
        <w:rPr>
          <w:b/>
          <w:sz w:val="24"/>
        </w:rPr>
        <w:t>3.</w:t>
      </w:r>
      <w:r>
        <w:rPr>
          <w:b/>
          <w:spacing w:val="-6"/>
          <w:sz w:val="24"/>
        </w:rPr>
        <w:t> </w:t>
      </w:r>
      <w:r>
        <w:rPr>
          <w:sz w:val="24"/>
        </w:rPr>
        <w:t>Eligible</w:t>
      </w:r>
      <w:r>
        <w:rPr>
          <w:spacing w:val="-5"/>
          <w:sz w:val="24"/>
        </w:rPr>
        <w:t> </w:t>
      </w:r>
      <w:r>
        <w:rPr>
          <w:sz w:val="24"/>
        </w:rPr>
        <w:t>individuals</w:t>
      </w:r>
      <w:r>
        <w:rPr>
          <w:spacing w:val="-5"/>
          <w:sz w:val="24"/>
        </w:rPr>
        <w:t> </w:t>
      </w:r>
      <w:r>
        <w:rPr>
          <w:sz w:val="24"/>
        </w:rPr>
        <w:t>with</w:t>
      </w:r>
      <w:r>
        <w:rPr>
          <w:spacing w:val="-5"/>
          <w:sz w:val="24"/>
        </w:rPr>
        <w:t> </w:t>
      </w:r>
      <w:r>
        <w:rPr>
          <w:sz w:val="24"/>
        </w:rPr>
        <w:t>disabilities</w:t>
      </w:r>
      <w:r>
        <w:rPr>
          <w:spacing w:val="-5"/>
          <w:sz w:val="24"/>
        </w:rPr>
        <w:t> </w:t>
      </w:r>
      <w:r>
        <w:rPr>
          <w:sz w:val="24"/>
        </w:rPr>
        <w:t>not</w:t>
      </w:r>
      <w:r>
        <w:rPr>
          <w:spacing w:val="-4"/>
          <w:sz w:val="24"/>
        </w:rPr>
        <w:t> </w:t>
      </w:r>
      <w:r>
        <w:rPr>
          <w:sz w:val="24"/>
        </w:rPr>
        <w:t>meeting</w:t>
      </w:r>
      <w:r>
        <w:rPr>
          <w:spacing w:val="-5"/>
          <w:sz w:val="24"/>
        </w:rPr>
        <w:t> </w:t>
      </w:r>
      <w:r>
        <w:rPr>
          <w:sz w:val="24"/>
        </w:rPr>
        <w:t>the definition of individual with a most significant or significant barrier to </w:t>
      </w:r>
      <w:r>
        <w:rPr>
          <w:spacing w:val="-2"/>
          <w:sz w:val="24"/>
        </w:rPr>
        <w:t>employment.</w:t>
      </w:r>
    </w:p>
    <w:p>
      <w:pPr>
        <w:pStyle w:val="ListParagraph"/>
        <w:numPr>
          <w:ilvl w:val="0"/>
          <w:numId w:val="129"/>
        </w:numPr>
        <w:tabs>
          <w:tab w:pos="718" w:val="left" w:leader="none"/>
        </w:tabs>
        <w:spacing w:line="208" w:lineRule="auto" w:before="239" w:after="0"/>
        <w:ind w:left="360" w:right="725" w:firstLine="0"/>
        <w:jc w:val="left"/>
        <w:rPr>
          <w:sz w:val="24"/>
        </w:rPr>
      </w:pPr>
      <w:r>
        <w:rPr>
          <w:b/>
          <w:sz w:val="24"/>
        </w:rPr>
        <w:t>Administrative requirements. </w:t>
      </w:r>
      <w:r>
        <w:rPr>
          <w:sz w:val="24"/>
        </w:rPr>
        <w:t>In administering the order of selection, the State agency</w:t>
      </w:r>
      <w:r>
        <w:rPr>
          <w:spacing w:val="-3"/>
          <w:sz w:val="24"/>
        </w:rPr>
        <w:t> </w:t>
      </w:r>
      <w:r>
        <w:rPr>
          <w:sz w:val="24"/>
        </w:rPr>
        <w:t>must</w:t>
      </w:r>
      <w:r>
        <w:rPr>
          <w:spacing w:val="-2"/>
          <w:sz w:val="24"/>
        </w:rPr>
        <w:t> </w:t>
      </w:r>
      <w:r>
        <w:rPr>
          <w:sz w:val="24"/>
        </w:rPr>
        <w:t>implement</w:t>
      </w:r>
      <w:r>
        <w:rPr>
          <w:spacing w:val="-2"/>
          <w:sz w:val="24"/>
        </w:rPr>
        <w:t> </w:t>
      </w:r>
      <w:r>
        <w:rPr>
          <w:sz w:val="24"/>
        </w:rPr>
        <w:t>the</w:t>
      </w:r>
      <w:r>
        <w:rPr>
          <w:spacing w:val="-3"/>
          <w:sz w:val="24"/>
        </w:rPr>
        <w:t> </w:t>
      </w:r>
      <w:r>
        <w:rPr>
          <w:sz w:val="24"/>
        </w:rPr>
        <w:t>order</w:t>
      </w:r>
      <w:r>
        <w:rPr>
          <w:spacing w:val="-4"/>
          <w:sz w:val="24"/>
        </w:rPr>
        <w:t> </w:t>
      </w:r>
      <w:r>
        <w:rPr>
          <w:sz w:val="24"/>
        </w:rPr>
        <w:t>of</w:t>
      </w:r>
      <w:r>
        <w:rPr>
          <w:spacing w:val="-2"/>
          <w:sz w:val="24"/>
        </w:rPr>
        <w:t> </w:t>
      </w:r>
      <w:r>
        <w:rPr>
          <w:sz w:val="24"/>
        </w:rPr>
        <w:t>selection</w:t>
      </w:r>
      <w:r>
        <w:rPr>
          <w:spacing w:val="-3"/>
          <w:sz w:val="24"/>
        </w:rPr>
        <w:t> </w:t>
      </w:r>
      <w:r>
        <w:rPr>
          <w:sz w:val="24"/>
        </w:rPr>
        <w:t>on</w:t>
      </w:r>
      <w:r>
        <w:rPr>
          <w:spacing w:val="-3"/>
          <w:sz w:val="24"/>
        </w:rPr>
        <w:t> </w:t>
      </w:r>
      <w:r>
        <w:rPr>
          <w:sz w:val="24"/>
        </w:rPr>
        <w:t>a</w:t>
      </w:r>
      <w:r>
        <w:rPr>
          <w:spacing w:val="-3"/>
          <w:sz w:val="24"/>
        </w:rPr>
        <w:t> </w:t>
      </w:r>
      <w:r>
        <w:rPr>
          <w:sz w:val="24"/>
        </w:rPr>
        <w:t>statewide</w:t>
      </w:r>
      <w:r>
        <w:rPr>
          <w:spacing w:val="-3"/>
          <w:sz w:val="24"/>
        </w:rPr>
        <w:t> </w:t>
      </w:r>
      <w:r>
        <w:rPr>
          <w:sz w:val="24"/>
        </w:rPr>
        <w:t>basis</w:t>
      </w:r>
      <w:r>
        <w:rPr>
          <w:spacing w:val="-3"/>
          <w:sz w:val="24"/>
        </w:rPr>
        <w:t> </w:t>
      </w:r>
      <w:r>
        <w:rPr>
          <w:sz w:val="24"/>
        </w:rPr>
        <w:t>according</w:t>
      </w:r>
      <w:r>
        <w:rPr>
          <w:spacing w:val="-2"/>
          <w:sz w:val="24"/>
        </w:rPr>
        <w:t> </w:t>
      </w:r>
      <w:r>
        <w:rPr>
          <w:sz w:val="24"/>
        </w:rPr>
        <w:t>to</w:t>
      </w:r>
      <w:r>
        <w:rPr>
          <w:spacing w:val="-3"/>
          <w:sz w:val="24"/>
        </w:rPr>
        <w:t> </w:t>
      </w:r>
      <w:r>
        <w:rPr>
          <w:sz w:val="24"/>
        </w:rPr>
        <w:t>34</w:t>
      </w:r>
      <w:r>
        <w:rPr>
          <w:spacing w:val="-3"/>
          <w:sz w:val="24"/>
        </w:rPr>
        <w:t> </w:t>
      </w:r>
      <w:r>
        <w:rPr>
          <w:sz w:val="24"/>
        </w:rPr>
        <w:t>CFR</w:t>
      </w:r>
    </w:p>
    <w:p>
      <w:pPr>
        <w:pStyle w:val="BodyText"/>
        <w:spacing w:line="208" w:lineRule="auto" w:before="0"/>
        <w:ind w:right="727"/>
      </w:pPr>
      <w:r>
        <w:rPr/>
        <w:t>361.36 (e) (1-3) (i-ii). Notification of Priority Group Placement: Upon placement into a priority category, the client shall receive written notification of his or her priority classification and information regarding the policies and procedures governing availability of vocational rehabilitation services, including notification of placement on a wait list, when applicable and a referral to other programs that are part of the one-stop service delivery system under the WIOA that can address the individual's training or employment related needs. 34 CFR 361.43 (d) (1-2) the written notification shall include information</w:t>
      </w:r>
      <w:r>
        <w:rPr>
          <w:spacing w:val="-4"/>
        </w:rPr>
        <w:t> </w:t>
      </w:r>
      <w:r>
        <w:rPr/>
        <w:t>about</w:t>
      </w:r>
      <w:r>
        <w:rPr>
          <w:spacing w:val="-3"/>
        </w:rPr>
        <w:t> </w:t>
      </w:r>
      <w:r>
        <w:rPr/>
        <w:t>Due</w:t>
      </w:r>
      <w:r>
        <w:rPr>
          <w:spacing w:val="-4"/>
        </w:rPr>
        <w:t> </w:t>
      </w:r>
      <w:r>
        <w:rPr/>
        <w:t>Process</w:t>
      </w:r>
      <w:r>
        <w:rPr>
          <w:spacing w:val="-4"/>
        </w:rPr>
        <w:t> </w:t>
      </w:r>
      <w:r>
        <w:rPr/>
        <w:t>rights</w:t>
      </w:r>
      <w:r>
        <w:rPr>
          <w:spacing w:val="-4"/>
        </w:rPr>
        <w:t> </w:t>
      </w:r>
      <w:r>
        <w:rPr/>
        <w:t>and</w:t>
      </w:r>
      <w:r>
        <w:rPr>
          <w:spacing w:val="-4"/>
        </w:rPr>
        <w:t> </w:t>
      </w:r>
      <w:r>
        <w:rPr/>
        <w:t>the</w:t>
      </w:r>
      <w:r>
        <w:rPr>
          <w:spacing w:val="-4"/>
        </w:rPr>
        <w:t> </w:t>
      </w:r>
      <w:r>
        <w:rPr/>
        <w:t>Client</w:t>
      </w:r>
      <w:r>
        <w:rPr>
          <w:spacing w:val="-3"/>
        </w:rPr>
        <w:t> </w:t>
      </w:r>
      <w:r>
        <w:rPr/>
        <w:t>Assistance</w:t>
      </w:r>
      <w:r>
        <w:rPr>
          <w:spacing w:val="-4"/>
        </w:rPr>
        <w:t> </w:t>
      </w:r>
      <w:r>
        <w:rPr/>
        <w:t>Program.</w:t>
      </w:r>
      <w:r>
        <w:rPr>
          <w:spacing w:val="-3"/>
        </w:rPr>
        <w:t> </w:t>
      </w:r>
      <w:r>
        <w:rPr/>
        <w:t>The</w:t>
      </w:r>
      <w:r>
        <w:rPr>
          <w:spacing w:val="-4"/>
        </w:rPr>
        <w:t> </w:t>
      </w:r>
      <w:r>
        <w:rPr/>
        <w:t>electronic case management system will contain a copy of the written notification.</w:t>
      </w:r>
    </w:p>
    <w:p>
      <w:pPr>
        <w:pStyle w:val="ListParagraph"/>
        <w:numPr>
          <w:ilvl w:val="0"/>
          <w:numId w:val="131"/>
        </w:numPr>
        <w:tabs>
          <w:tab w:pos="2225" w:val="left" w:leader="none"/>
        </w:tabs>
        <w:spacing w:line="208" w:lineRule="auto" w:before="239" w:after="0"/>
        <w:ind w:left="1800" w:right="754" w:firstLine="0"/>
        <w:jc w:val="left"/>
        <w:rPr>
          <w:sz w:val="24"/>
        </w:rPr>
      </w:pPr>
      <w:r>
        <w:rPr>
          <w:sz w:val="24"/>
        </w:rPr>
        <w:t>When</w:t>
      </w:r>
      <w:r>
        <w:rPr>
          <w:spacing w:val="-4"/>
          <w:sz w:val="24"/>
        </w:rPr>
        <w:t> </w:t>
      </w:r>
      <w:r>
        <w:rPr>
          <w:sz w:val="24"/>
        </w:rPr>
        <w:t>a</w:t>
      </w:r>
      <w:r>
        <w:rPr>
          <w:spacing w:val="-4"/>
          <w:sz w:val="24"/>
        </w:rPr>
        <w:t> </w:t>
      </w:r>
      <w:r>
        <w:rPr>
          <w:sz w:val="24"/>
        </w:rPr>
        <w:t>client</w:t>
      </w:r>
      <w:r>
        <w:rPr>
          <w:spacing w:val="-3"/>
          <w:sz w:val="24"/>
        </w:rPr>
        <w:t> </w:t>
      </w:r>
      <w:r>
        <w:rPr>
          <w:sz w:val="24"/>
        </w:rPr>
        <w:t>is</w:t>
      </w:r>
      <w:r>
        <w:rPr>
          <w:spacing w:val="-4"/>
          <w:sz w:val="24"/>
        </w:rPr>
        <w:t> </w:t>
      </w:r>
      <w:r>
        <w:rPr>
          <w:sz w:val="24"/>
        </w:rPr>
        <w:t>reclassified</w:t>
      </w:r>
      <w:r>
        <w:rPr>
          <w:spacing w:val="-4"/>
          <w:sz w:val="24"/>
        </w:rPr>
        <w:t> </w:t>
      </w:r>
      <w:r>
        <w:rPr>
          <w:sz w:val="24"/>
        </w:rPr>
        <w:t>into</w:t>
      </w:r>
      <w:r>
        <w:rPr>
          <w:spacing w:val="-4"/>
          <w:sz w:val="24"/>
        </w:rPr>
        <w:t> </w:t>
      </w:r>
      <w:r>
        <w:rPr>
          <w:sz w:val="24"/>
        </w:rPr>
        <w:t>a</w:t>
      </w:r>
      <w:r>
        <w:rPr>
          <w:spacing w:val="-4"/>
          <w:sz w:val="24"/>
        </w:rPr>
        <w:t> </w:t>
      </w:r>
      <w:r>
        <w:rPr>
          <w:sz w:val="24"/>
        </w:rPr>
        <w:t>different</w:t>
      </w:r>
      <w:r>
        <w:rPr>
          <w:spacing w:val="-3"/>
          <w:sz w:val="24"/>
        </w:rPr>
        <w:t> </w:t>
      </w:r>
      <w:r>
        <w:rPr>
          <w:sz w:val="24"/>
        </w:rPr>
        <w:t>priority</w:t>
      </w:r>
      <w:r>
        <w:rPr>
          <w:spacing w:val="-5"/>
          <w:sz w:val="24"/>
        </w:rPr>
        <w:t> </w:t>
      </w:r>
      <w:r>
        <w:rPr>
          <w:sz w:val="24"/>
        </w:rPr>
        <w:t>category,</w:t>
      </w:r>
      <w:r>
        <w:rPr>
          <w:spacing w:val="-3"/>
          <w:sz w:val="24"/>
        </w:rPr>
        <w:t> </w:t>
      </w:r>
      <w:r>
        <w:rPr>
          <w:sz w:val="24"/>
        </w:rPr>
        <w:t>he</w:t>
      </w:r>
      <w:r>
        <w:rPr>
          <w:spacing w:val="-4"/>
          <w:sz w:val="24"/>
        </w:rPr>
        <w:t> </w:t>
      </w:r>
      <w:r>
        <w:rPr>
          <w:sz w:val="24"/>
        </w:rPr>
        <w:t>or</w:t>
      </w:r>
      <w:r>
        <w:rPr>
          <w:spacing w:val="-3"/>
          <w:sz w:val="24"/>
        </w:rPr>
        <w:t> </w:t>
      </w:r>
      <w:r>
        <w:rPr>
          <w:sz w:val="24"/>
        </w:rPr>
        <w:t>she shall be notified, in writing, of the new priority category and provided written information as to how the change will affect the availability of</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1800" w:right="775"/>
      </w:pPr>
      <w:r>
        <w:rPr/>
        <w:t>vocational rehabilitation services. The written notification shall include information</w:t>
      </w:r>
      <w:r>
        <w:rPr>
          <w:spacing w:val="-5"/>
        </w:rPr>
        <w:t> </w:t>
      </w:r>
      <w:r>
        <w:rPr/>
        <w:t>about</w:t>
      </w:r>
      <w:r>
        <w:rPr>
          <w:spacing w:val="-4"/>
        </w:rPr>
        <w:t> </w:t>
      </w:r>
      <w:r>
        <w:rPr/>
        <w:t>Due</w:t>
      </w:r>
      <w:r>
        <w:rPr>
          <w:spacing w:val="-5"/>
        </w:rPr>
        <w:t> </w:t>
      </w:r>
      <w:r>
        <w:rPr/>
        <w:t>Process</w:t>
      </w:r>
      <w:r>
        <w:rPr>
          <w:spacing w:val="-5"/>
        </w:rPr>
        <w:t> </w:t>
      </w:r>
      <w:r>
        <w:rPr/>
        <w:t>rights</w:t>
      </w:r>
      <w:r>
        <w:rPr>
          <w:spacing w:val="-5"/>
        </w:rPr>
        <w:t> </w:t>
      </w:r>
      <w:r>
        <w:rPr/>
        <w:t>and</w:t>
      </w:r>
      <w:r>
        <w:rPr>
          <w:spacing w:val="-5"/>
        </w:rPr>
        <w:t> </w:t>
      </w:r>
      <w:r>
        <w:rPr/>
        <w:t>the</w:t>
      </w:r>
      <w:r>
        <w:rPr>
          <w:spacing w:val="-5"/>
        </w:rPr>
        <w:t> </w:t>
      </w:r>
      <w:r>
        <w:rPr/>
        <w:t>Client</w:t>
      </w:r>
      <w:r>
        <w:rPr>
          <w:spacing w:val="-4"/>
        </w:rPr>
        <w:t> </w:t>
      </w:r>
      <w:r>
        <w:rPr/>
        <w:t>Assistance</w:t>
      </w:r>
      <w:r>
        <w:rPr>
          <w:spacing w:val="-5"/>
        </w:rPr>
        <w:t> </w:t>
      </w:r>
      <w:r>
        <w:rPr/>
        <w:t>Program.</w:t>
      </w:r>
    </w:p>
    <w:p>
      <w:pPr>
        <w:pStyle w:val="ListParagraph"/>
        <w:numPr>
          <w:ilvl w:val="0"/>
          <w:numId w:val="131"/>
        </w:numPr>
        <w:tabs>
          <w:tab w:pos="2226" w:val="left" w:leader="none"/>
        </w:tabs>
        <w:spacing w:line="208" w:lineRule="auto" w:before="240" w:after="0"/>
        <w:ind w:left="1800" w:right="847" w:firstLine="0"/>
        <w:jc w:val="left"/>
        <w:rPr>
          <w:sz w:val="24"/>
        </w:rPr>
      </w:pPr>
      <w:r>
        <w:rPr>
          <w:sz w:val="24"/>
        </w:rPr>
        <w:t>An applicant who has been determined eligible for vocational rehabilitation will be placed in Eligibility Status, for completion of a comprehensive assessment to determine employment goal and rehabilitation needs and for development of the Individualized Plan for Employment (IPE). An individual who is placed in an order of selection priority</w:t>
      </w:r>
      <w:r>
        <w:rPr>
          <w:spacing w:val="-3"/>
          <w:sz w:val="24"/>
        </w:rPr>
        <w:t> </w:t>
      </w:r>
      <w:r>
        <w:rPr>
          <w:sz w:val="24"/>
        </w:rPr>
        <w:t>group</w:t>
      </w:r>
      <w:r>
        <w:rPr>
          <w:spacing w:val="-3"/>
          <w:sz w:val="24"/>
        </w:rPr>
        <w:t> </w:t>
      </w:r>
      <w:r>
        <w:rPr>
          <w:sz w:val="24"/>
        </w:rPr>
        <w:t>that</w:t>
      </w:r>
      <w:r>
        <w:rPr>
          <w:spacing w:val="-3"/>
          <w:sz w:val="24"/>
        </w:rPr>
        <w:t> </w:t>
      </w:r>
      <w:r>
        <w:rPr>
          <w:sz w:val="24"/>
        </w:rPr>
        <w:t>is</w:t>
      </w:r>
      <w:r>
        <w:rPr>
          <w:spacing w:val="-3"/>
          <w:sz w:val="24"/>
        </w:rPr>
        <w:t> </w:t>
      </w:r>
      <w:r>
        <w:rPr>
          <w:sz w:val="24"/>
        </w:rPr>
        <w:t>not</w:t>
      </w:r>
      <w:r>
        <w:rPr>
          <w:spacing w:val="-3"/>
          <w:sz w:val="24"/>
        </w:rPr>
        <w:t> </w:t>
      </w:r>
      <w:r>
        <w:rPr>
          <w:sz w:val="24"/>
        </w:rPr>
        <w:t>currently</w:t>
      </w:r>
      <w:r>
        <w:rPr>
          <w:spacing w:val="-4"/>
          <w:sz w:val="24"/>
        </w:rPr>
        <w:t> </w:t>
      </w:r>
      <w:r>
        <w:rPr>
          <w:sz w:val="24"/>
        </w:rPr>
        <w:t>being</w:t>
      </w:r>
      <w:r>
        <w:rPr>
          <w:spacing w:val="-3"/>
          <w:sz w:val="24"/>
        </w:rPr>
        <w:t> </w:t>
      </w:r>
      <w:r>
        <w:rPr>
          <w:sz w:val="24"/>
        </w:rPr>
        <w:t>served</w:t>
      </w:r>
      <w:r>
        <w:rPr>
          <w:spacing w:val="-3"/>
          <w:sz w:val="24"/>
        </w:rPr>
        <w:t> </w:t>
      </w:r>
      <w:r>
        <w:rPr>
          <w:sz w:val="24"/>
        </w:rPr>
        <w:t>will</w:t>
      </w:r>
      <w:r>
        <w:rPr>
          <w:spacing w:val="-3"/>
          <w:sz w:val="24"/>
        </w:rPr>
        <w:t> </w:t>
      </w:r>
      <w:r>
        <w:rPr>
          <w:sz w:val="24"/>
        </w:rPr>
        <w:t>be</w:t>
      </w:r>
      <w:r>
        <w:rPr>
          <w:spacing w:val="-3"/>
          <w:sz w:val="24"/>
        </w:rPr>
        <w:t> </w:t>
      </w:r>
      <w:r>
        <w:rPr>
          <w:sz w:val="24"/>
        </w:rPr>
        <w:t>placed</w:t>
      </w:r>
      <w:r>
        <w:rPr>
          <w:spacing w:val="-3"/>
          <w:sz w:val="24"/>
        </w:rPr>
        <w:t> </w:t>
      </w:r>
      <w:r>
        <w:rPr>
          <w:sz w:val="24"/>
        </w:rPr>
        <w:t>on</w:t>
      </w:r>
      <w:r>
        <w:rPr>
          <w:spacing w:val="-3"/>
          <w:sz w:val="24"/>
        </w:rPr>
        <w:t> </w:t>
      </w:r>
      <w:r>
        <w:rPr>
          <w:sz w:val="24"/>
        </w:rPr>
        <w:t>a</w:t>
      </w:r>
      <w:r>
        <w:rPr>
          <w:spacing w:val="-3"/>
          <w:sz w:val="24"/>
        </w:rPr>
        <w:t> </w:t>
      </w:r>
      <w:r>
        <w:rPr>
          <w:sz w:val="24"/>
        </w:rPr>
        <w:t>waiting list and</w:t>
      </w:r>
      <w:r>
        <w:rPr>
          <w:spacing w:val="-1"/>
          <w:sz w:val="24"/>
        </w:rPr>
        <w:t> </w:t>
      </w:r>
      <w:r>
        <w:rPr>
          <w:sz w:val="24"/>
        </w:rPr>
        <w:t>held</w:t>
      </w:r>
      <w:r>
        <w:rPr>
          <w:spacing w:val="-1"/>
          <w:sz w:val="24"/>
        </w:rPr>
        <w:t> </w:t>
      </w:r>
      <w:r>
        <w:rPr>
          <w:sz w:val="24"/>
        </w:rPr>
        <w:t>there</w:t>
      </w:r>
      <w:r>
        <w:rPr>
          <w:spacing w:val="-1"/>
          <w:sz w:val="24"/>
        </w:rPr>
        <w:t> </w:t>
      </w:r>
      <w:r>
        <w:rPr>
          <w:sz w:val="24"/>
        </w:rPr>
        <w:t>pending</w:t>
      </w:r>
      <w:r>
        <w:rPr>
          <w:spacing w:val="-1"/>
          <w:sz w:val="24"/>
        </w:rPr>
        <w:t> </w:t>
      </w:r>
      <w:r>
        <w:rPr>
          <w:sz w:val="24"/>
        </w:rPr>
        <w:t>further directives</w:t>
      </w:r>
      <w:r>
        <w:rPr>
          <w:spacing w:val="-1"/>
          <w:sz w:val="24"/>
        </w:rPr>
        <w:t> </w:t>
      </w:r>
      <w:r>
        <w:rPr>
          <w:sz w:val="24"/>
        </w:rPr>
        <w:t>from the</w:t>
      </w:r>
      <w:r>
        <w:rPr>
          <w:spacing w:val="-1"/>
          <w:sz w:val="24"/>
        </w:rPr>
        <w:t> </w:t>
      </w:r>
      <w:r>
        <w:rPr>
          <w:sz w:val="24"/>
        </w:rPr>
        <w:t>Director concerning opening or closing of priority groups.</w:t>
      </w:r>
    </w:p>
    <w:p>
      <w:pPr>
        <w:pStyle w:val="ListParagraph"/>
        <w:numPr>
          <w:ilvl w:val="0"/>
          <w:numId w:val="131"/>
        </w:numPr>
        <w:tabs>
          <w:tab w:pos="2225" w:val="left" w:leader="none"/>
        </w:tabs>
        <w:spacing w:line="208" w:lineRule="auto" w:before="239" w:after="0"/>
        <w:ind w:left="1800" w:right="781" w:firstLine="0"/>
        <w:jc w:val="left"/>
        <w:rPr>
          <w:sz w:val="24"/>
        </w:rPr>
      </w:pPr>
      <w:r>
        <w:rPr>
          <w:sz w:val="24"/>
        </w:rPr>
        <w:t>If an applicant is determined to be ineligible, the counselor will notify the applicant and provide information on further options in accordance with</w:t>
      </w:r>
      <w:r>
        <w:rPr>
          <w:spacing w:val="-5"/>
          <w:sz w:val="24"/>
        </w:rPr>
        <w:t> </w:t>
      </w:r>
      <w:r>
        <w:rPr>
          <w:sz w:val="24"/>
        </w:rPr>
        <w:t>DRS</w:t>
      </w:r>
      <w:r>
        <w:rPr>
          <w:spacing w:val="-5"/>
          <w:sz w:val="24"/>
        </w:rPr>
        <w:t> </w:t>
      </w:r>
      <w:r>
        <w:rPr>
          <w:sz w:val="24"/>
        </w:rPr>
        <w:t>administrative</w:t>
      </w:r>
      <w:r>
        <w:rPr>
          <w:spacing w:val="-5"/>
          <w:sz w:val="24"/>
        </w:rPr>
        <w:t> </w:t>
      </w:r>
      <w:r>
        <w:rPr>
          <w:sz w:val="24"/>
        </w:rPr>
        <w:t>rules</w:t>
      </w:r>
      <w:r>
        <w:rPr>
          <w:spacing w:val="-5"/>
          <w:sz w:val="24"/>
        </w:rPr>
        <w:t> </w:t>
      </w:r>
      <w:r>
        <w:rPr>
          <w:sz w:val="24"/>
        </w:rPr>
        <w:t>on</w:t>
      </w:r>
      <w:r>
        <w:rPr>
          <w:spacing w:val="-5"/>
          <w:sz w:val="24"/>
        </w:rPr>
        <w:t> </w:t>
      </w:r>
      <w:r>
        <w:rPr>
          <w:sz w:val="24"/>
        </w:rPr>
        <w:t>ineligibility</w:t>
      </w:r>
      <w:r>
        <w:rPr>
          <w:spacing w:val="-4"/>
          <w:sz w:val="24"/>
        </w:rPr>
        <w:t> </w:t>
      </w:r>
      <w:r>
        <w:rPr>
          <w:sz w:val="24"/>
        </w:rPr>
        <w:t>decisions</w:t>
      </w:r>
      <w:r>
        <w:rPr>
          <w:spacing w:val="-5"/>
          <w:sz w:val="24"/>
        </w:rPr>
        <w:t> </w:t>
      </w:r>
      <w:r>
        <w:rPr>
          <w:sz w:val="24"/>
        </w:rPr>
        <w:t>and</w:t>
      </w:r>
      <w:r>
        <w:rPr>
          <w:spacing w:val="-5"/>
          <w:sz w:val="24"/>
        </w:rPr>
        <w:t> </w:t>
      </w:r>
      <w:r>
        <w:rPr>
          <w:sz w:val="24"/>
        </w:rPr>
        <w:t>34</w:t>
      </w:r>
      <w:r>
        <w:rPr>
          <w:spacing w:val="-5"/>
          <w:sz w:val="24"/>
        </w:rPr>
        <w:t> </w:t>
      </w:r>
      <w:r>
        <w:rPr>
          <w:sz w:val="24"/>
        </w:rPr>
        <w:t>CFR</w:t>
      </w:r>
      <w:r>
        <w:rPr>
          <w:spacing w:val="-4"/>
          <w:sz w:val="24"/>
        </w:rPr>
        <w:t> </w:t>
      </w:r>
      <w:r>
        <w:rPr>
          <w:sz w:val="24"/>
        </w:rPr>
        <w:t>361.57</w:t>
      </w:r>
    </w:p>
    <w:p>
      <w:pPr>
        <w:pStyle w:val="BodyText"/>
        <w:spacing w:line="246" w:lineRule="exact" w:before="0"/>
        <w:ind w:left="1800"/>
      </w:pPr>
      <w:r>
        <w:rPr/>
        <w:t>(b)</w:t>
      </w:r>
      <w:r>
        <w:rPr>
          <w:spacing w:val="-1"/>
        </w:rPr>
        <w:t> </w:t>
      </w:r>
      <w:r>
        <w:rPr/>
        <w:t>(2) (ii</w:t>
      </w:r>
      <w:r>
        <w:rPr>
          <w:spacing w:val="-1"/>
        </w:rPr>
        <w:t> </w:t>
      </w:r>
      <w:r>
        <w:rPr/>
        <w:t>or</w:t>
      </w:r>
      <w:r>
        <w:rPr>
          <w:spacing w:val="-2"/>
        </w:rPr>
        <w:t> </w:t>
      </w:r>
      <w:r>
        <w:rPr>
          <w:spacing w:val="-4"/>
        </w:rPr>
        <w:t>iv).</w:t>
      </w:r>
    </w:p>
    <w:p>
      <w:pPr>
        <w:pStyle w:val="BodyText"/>
        <w:spacing w:before="204"/>
      </w:pPr>
      <w:r>
        <w:rPr/>
        <w:t>Instructions</w:t>
      </w:r>
      <w:r>
        <w:rPr>
          <w:spacing w:val="-5"/>
        </w:rPr>
        <w:t> </w:t>
      </w:r>
      <w:r>
        <w:rPr/>
        <w:t>to</w:t>
      </w:r>
      <w:r>
        <w:rPr>
          <w:spacing w:val="-2"/>
        </w:rPr>
        <w:t> </w:t>
      </w:r>
      <w:r>
        <w:rPr>
          <w:spacing w:val="-4"/>
        </w:rPr>
        <w:t>Staff</w:t>
      </w:r>
    </w:p>
    <w:p>
      <w:pPr>
        <w:pStyle w:val="ListParagraph"/>
        <w:numPr>
          <w:ilvl w:val="0"/>
          <w:numId w:val="132"/>
        </w:numPr>
        <w:tabs>
          <w:tab w:pos="1077" w:val="left" w:leader="none"/>
        </w:tabs>
        <w:spacing w:line="240" w:lineRule="auto" w:before="204" w:after="0"/>
        <w:ind w:left="1077" w:right="0" w:hanging="286"/>
        <w:jc w:val="left"/>
        <w:rPr>
          <w:sz w:val="24"/>
        </w:rPr>
      </w:pPr>
      <w:r>
        <w:rPr>
          <w:sz w:val="24"/>
        </w:rPr>
        <w:t>See</w:t>
      </w:r>
      <w:r>
        <w:rPr>
          <w:spacing w:val="-6"/>
          <w:sz w:val="24"/>
        </w:rPr>
        <w:t> </w:t>
      </w:r>
      <w:r>
        <w:rPr>
          <w:sz w:val="24"/>
        </w:rPr>
        <w:t>definition</w:t>
      </w:r>
      <w:r>
        <w:rPr>
          <w:spacing w:val="-4"/>
          <w:sz w:val="24"/>
        </w:rPr>
        <w:t> </w:t>
      </w:r>
      <w:r>
        <w:rPr>
          <w:sz w:val="24"/>
        </w:rPr>
        <w:t>of</w:t>
      </w:r>
      <w:r>
        <w:rPr>
          <w:spacing w:val="-3"/>
          <w:sz w:val="24"/>
        </w:rPr>
        <w:t> </w:t>
      </w:r>
      <w:r>
        <w:rPr>
          <w:sz w:val="24"/>
        </w:rPr>
        <w:t>Individual</w:t>
      </w:r>
      <w:r>
        <w:rPr>
          <w:spacing w:val="-3"/>
          <w:sz w:val="24"/>
        </w:rPr>
        <w:t> </w:t>
      </w:r>
      <w:r>
        <w:rPr>
          <w:sz w:val="24"/>
        </w:rPr>
        <w:t>with</w:t>
      </w:r>
      <w:r>
        <w:rPr>
          <w:spacing w:val="-4"/>
          <w:sz w:val="24"/>
        </w:rPr>
        <w:t> </w:t>
      </w:r>
      <w:r>
        <w:rPr>
          <w:sz w:val="24"/>
        </w:rPr>
        <w:t>the</w:t>
      </w:r>
      <w:r>
        <w:rPr>
          <w:spacing w:val="-4"/>
          <w:sz w:val="24"/>
        </w:rPr>
        <w:t> </w:t>
      </w:r>
      <w:r>
        <w:rPr>
          <w:sz w:val="24"/>
        </w:rPr>
        <w:t>most</w:t>
      </w:r>
      <w:r>
        <w:rPr>
          <w:spacing w:val="-2"/>
          <w:sz w:val="24"/>
        </w:rPr>
        <w:t> </w:t>
      </w:r>
      <w:r>
        <w:rPr>
          <w:sz w:val="24"/>
        </w:rPr>
        <w:t>significant</w:t>
      </w:r>
      <w:r>
        <w:rPr>
          <w:spacing w:val="-3"/>
          <w:sz w:val="24"/>
        </w:rPr>
        <w:t> </w:t>
      </w:r>
      <w:r>
        <w:rPr>
          <w:sz w:val="24"/>
        </w:rPr>
        <w:t>disability</w:t>
      </w:r>
      <w:r>
        <w:rPr>
          <w:spacing w:val="-4"/>
          <w:sz w:val="24"/>
        </w:rPr>
        <w:t> </w:t>
      </w:r>
      <w:r>
        <w:rPr>
          <w:sz w:val="24"/>
        </w:rPr>
        <w:t>in</w:t>
      </w:r>
      <w:r>
        <w:rPr>
          <w:spacing w:val="-3"/>
          <w:sz w:val="24"/>
        </w:rPr>
        <w:t> </w:t>
      </w:r>
      <w:hyperlink w:history="true" w:anchor="_bookmark2">
        <w:r>
          <w:rPr>
            <w:color w:val="0000FF"/>
            <w:sz w:val="24"/>
            <w:u w:val="single" w:color="0000FF"/>
          </w:rPr>
          <w:t>612:10-1-</w:t>
        </w:r>
        <w:r>
          <w:rPr>
            <w:color w:val="0000FF"/>
            <w:spacing w:val="-5"/>
            <w:sz w:val="24"/>
            <w:u w:val="single" w:color="0000FF"/>
          </w:rPr>
          <w:t>2</w:t>
        </w:r>
      </w:hyperlink>
      <w:r>
        <w:rPr>
          <w:spacing w:val="-5"/>
          <w:sz w:val="24"/>
          <w:u w:val="none"/>
        </w:rPr>
        <w:t>.</w:t>
      </w:r>
    </w:p>
    <w:p>
      <w:pPr>
        <w:pStyle w:val="ListParagraph"/>
        <w:numPr>
          <w:ilvl w:val="0"/>
          <w:numId w:val="132"/>
        </w:numPr>
        <w:tabs>
          <w:tab w:pos="1077" w:val="left" w:leader="none"/>
        </w:tabs>
        <w:spacing w:line="240" w:lineRule="auto" w:before="204" w:after="0"/>
        <w:ind w:left="1077" w:right="0" w:hanging="286"/>
        <w:jc w:val="left"/>
        <w:rPr>
          <w:sz w:val="24"/>
        </w:rPr>
      </w:pPr>
      <w:r>
        <w:rPr>
          <w:sz w:val="24"/>
        </w:rPr>
        <w:t>See</w:t>
      </w:r>
      <w:r>
        <w:rPr>
          <w:spacing w:val="-7"/>
          <w:sz w:val="24"/>
        </w:rPr>
        <w:t> </w:t>
      </w:r>
      <w:r>
        <w:rPr>
          <w:sz w:val="24"/>
        </w:rPr>
        <w:t>definition</w:t>
      </w:r>
      <w:r>
        <w:rPr>
          <w:spacing w:val="-4"/>
          <w:sz w:val="24"/>
        </w:rPr>
        <w:t> </w:t>
      </w:r>
      <w:r>
        <w:rPr>
          <w:sz w:val="24"/>
        </w:rPr>
        <w:t>of</w:t>
      </w:r>
      <w:r>
        <w:rPr>
          <w:spacing w:val="-4"/>
          <w:sz w:val="24"/>
        </w:rPr>
        <w:t> </w:t>
      </w:r>
      <w:r>
        <w:rPr>
          <w:sz w:val="24"/>
        </w:rPr>
        <w:t>Individual</w:t>
      </w:r>
      <w:r>
        <w:rPr>
          <w:spacing w:val="-4"/>
          <w:sz w:val="24"/>
        </w:rPr>
        <w:t> </w:t>
      </w:r>
      <w:r>
        <w:rPr>
          <w:sz w:val="24"/>
        </w:rPr>
        <w:t>with</w:t>
      </w:r>
      <w:r>
        <w:rPr>
          <w:spacing w:val="-5"/>
          <w:sz w:val="24"/>
        </w:rPr>
        <w:t> </w:t>
      </w:r>
      <w:r>
        <w:rPr>
          <w:sz w:val="24"/>
        </w:rPr>
        <w:t>significant</w:t>
      </w:r>
      <w:r>
        <w:rPr>
          <w:spacing w:val="-4"/>
          <w:sz w:val="24"/>
        </w:rPr>
        <w:t> </w:t>
      </w:r>
      <w:r>
        <w:rPr>
          <w:sz w:val="24"/>
        </w:rPr>
        <w:t>disability</w:t>
      </w:r>
      <w:r>
        <w:rPr>
          <w:spacing w:val="-4"/>
          <w:sz w:val="24"/>
        </w:rPr>
        <w:t> </w:t>
      </w:r>
      <w:r>
        <w:rPr>
          <w:sz w:val="24"/>
        </w:rPr>
        <w:t>in</w:t>
      </w:r>
      <w:r>
        <w:rPr>
          <w:spacing w:val="-4"/>
          <w:sz w:val="24"/>
        </w:rPr>
        <w:t> </w:t>
      </w:r>
      <w:hyperlink w:history="true" w:anchor="_bookmark2">
        <w:r>
          <w:rPr>
            <w:color w:val="0000FF"/>
            <w:sz w:val="24"/>
            <w:u w:val="single" w:color="0000FF"/>
          </w:rPr>
          <w:t>612:10-1-</w:t>
        </w:r>
        <w:r>
          <w:rPr>
            <w:color w:val="0000FF"/>
            <w:spacing w:val="-5"/>
            <w:sz w:val="24"/>
            <w:u w:val="single" w:color="0000FF"/>
          </w:rPr>
          <w:t>2</w:t>
        </w:r>
      </w:hyperlink>
      <w:r>
        <w:rPr>
          <w:spacing w:val="-5"/>
          <w:sz w:val="24"/>
          <w:u w:val="none"/>
        </w:rPr>
        <w:t>.</w:t>
      </w:r>
    </w:p>
    <w:p>
      <w:pPr>
        <w:spacing w:before="237"/>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133"/>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line="253" w:lineRule="exact" w:before="0"/>
        <w:ind w:left="1439" w:right="0" w:firstLine="0"/>
        <w:jc w:val="left"/>
        <w:rPr>
          <w:sz w:val="22"/>
        </w:rPr>
      </w:pPr>
      <w:r>
        <w:rPr>
          <w:sz w:val="22"/>
        </w:rPr>
        <w:t>Permanent,</w:t>
      </w:r>
      <w:r>
        <w:rPr>
          <w:spacing w:val="-6"/>
          <w:sz w:val="22"/>
        </w:rPr>
        <w:t> </w:t>
      </w:r>
      <w:r>
        <w:rPr>
          <w:sz w:val="22"/>
        </w:rPr>
        <w:t>new,</w:t>
      </w:r>
      <w:r>
        <w:rPr>
          <w:spacing w:val="-7"/>
          <w:sz w:val="22"/>
        </w:rPr>
        <w:t> </w:t>
      </w:r>
      <w:r>
        <w:rPr>
          <w:sz w:val="22"/>
        </w:rPr>
        <w:t>placed</w:t>
      </w:r>
      <w:r>
        <w:rPr>
          <w:spacing w:val="-8"/>
          <w:sz w:val="22"/>
        </w:rPr>
        <w:t> </w:t>
      </w:r>
      <w:r>
        <w:rPr>
          <w:sz w:val="22"/>
        </w:rPr>
        <w:t>in</w:t>
      </w:r>
      <w:r>
        <w:rPr>
          <w:spacing w:val="-7"/>
          <w:sz w:val="22"/>
        </w:rPr>
        <w:t> </w:t>
      </w:r>
      <w:r>
        <w:rPr>
          <w:spacing w:val="-2"/>
          <w:sz w:val="22"/>
        </w:rPr>
        <w:t>sequence</w:t>
      </w:r>
    </w:p>
    <w:p>
      <w:pPr>
        <w:pStyle w:val="ListParagraph"/>
        <w:numPr>
          <w:ilvl w:val="2"/>
          <w:numId w:val="133"/>
        </w:numPr>
        <w:tabs>
          <w:tab w:pos="1439" w:val="left" w:leader="none"/>
        </w:tabs>
        <w:spacing w:line="240" w:lineRule="auto" w:before="1" w:after="0"/>
        <w:ind w:left="1439" w:right="0" w:hanging="1079"/>
        <w:jc w:val="left"/>
        <w:rPr>
          <w:sz w:val="22"/>
        </w:rPr>
      </w:pPr>
      <w:r>
        <w:rPr>
          <w:sz w:val="22"/>
        </w:rPr>
        <w:t>Permanent,</w:t>
      </w:r>
      <w:r>
        <w:rPr>
          <w:spacing w:val="-7"/>
          <w:sz w:val="22"/>
        </w:rPr>
        <w:t> </w:t>
      </w:r>
      <w:r>
        <w:rPr>
          <w:sz w:val="22"/>
        </w:rPr>
        <w:t>replaced</w:t>
      </w:r>
      <w:r>
        <w:rPr>
          <w:spacing w:val="-7"/>
          <w:sz w:val="22"/>
        </w:rPr>
        <w:t> </w:t>
      </w:r>
      <w:r>
        <w:rPr>
          <w:sz w:val="22"/>
        </w:rPr>
        <w:t>"required"</w:t>
      </w:r>
      <w:r>
        <w:rPr>
          <w:spacing w:val="-7"/>
          <w:sz w:val="22"/>
        </w:rPr>
        <w:t> </w:t>
      </w:r>
      <w:r>
        <w:rPr>
          <w:sz w:val="22"/>
        </w:rPr>
        <w:t>with</w:t>
      </w:r>
      <w:r>
        <w:rPr>
          <w:spacing w:val="-6"/>
          <w:sz w:val="22"/>
        </w:rPr>
        <w:t> </w:t>
      </w:r>
      <w:r>
        <w:rPr>
          <w:sz w:val="22"/>
        </w:rPr>
        <w:t>"can</w:t>
      </w:r>
      <w:r>
        <w:rPr>
          <w:spacing w:val="-7"/>
          <w:sz w:val="22"/>
        </w:rPr>
        <w:t> </w:t>
      </w:r>
      <w:r>
        <w:rPr>
          <w:sz w:val="22"/>
        </w:rPr>
        <w:t>be</w:t>
      </w:r>
      <w:r>
        <w:rPr>
          <w:spacing w:val="-7"/>
          <w:sz w:val="22"/>
        </w:rPr>
        <w:t> </w:t>
      </w:r>
      <w:r>
        <w:rPr>
          <w:sz w:val="22"/>
        </w:rPr>
        <w:t>expected</w:t>
      </w:r>
      <w:r>
        <w:rPr>
          <w:spacing w:val="-7"/>
          <w:sz w:val="22"/>
        </w:rPr>
        <w:t> </w:t>
      </w:r>
      <w:r>
        <w:rPr>
          <w:sz w:val="22"/>
        </w:rPr>
        <w:t>to</w:t>
      </w:r>
      <w:r>
        <w:rPr>
          <w:spacing w:val="-7"/>
          <w:sz w:val="22"/>
        </w:rPr>
        <w:t> </w:t>
      </w:r>
      <w:r>
        <w:rPr>
          <w:spacing w:val="-2"/>
          <w:sz w:val="22"/>
        </w:rPr>
        <w:t>require"</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spacing w:line="275" w:lineRule="exact" w:before="1"/>
        <w:ind w:left="359" w:right="0" w:firstLine="0"/>
        <w:jc w:val="left"/>
        <w:rPr>
          <w:sz w:val="22"/>
        </w:rPr>
      </w:pPr>
      <w:r>
        <w:rPr>
          <w:sz w:val="22"/>
        </w:rPr>
        <w:t>11-30-17</w:t>
      </w:r>
      <w:r>
        <w:rPr>
          <w:spacing w:val="30"/>
          <w:sz w:val="22"/>
        </w:rPr>
        <w:t>  </w:t>
      </w:r>
      <w:r>
        <w:rPr>
          <w:sz w:val="22"/>
        </w:rPr>
        <w:t>Updated</w:t>
      </w:r>
      <w:r>
        <w:rPr>
          <w:spacing w:val="-5"/>
          <w:sz w:val="22"/>
        </w:rPr>
        <w:t> </w:t>
      </w:r>
      <w:r>
        <w:rPr>
          <w:sz w:val="22"/>
        </w:rPr>
        <w:t>ITS</w:t>
      </w:r>
      <w:r>
        <w:rPr>
          <w:spacing w:val="-5"/>
          <w:sz w:val="22"/>
        </w:rPr>
        <w:t> </w:t>
      </w:r>
      <w:r>
        <w:rPr>
          <w:sz w:val="22"/>
        </w:rPr>
        <w:t>#1</w:t>
      </w:r>
      <w:r>
        <w:rPr>
          <w:spacing w:val="-5"/>
          <w:sz w:val="22"/>
        </w:rPr>
        <w:t> </w:t>
      </w:r>
      <w:r>
        <w:rPr>
          <w:sz w:val="22"/>
        </w:rPr>
        <w:t>and</w:t>
      </w:r>
      <w:r>
        <w:rPr>
          <w:spacing w:val="-5"/>
          <w:sz w:val="22"/>
        </w:rPr>
        <w:t> </w:t>
      </w:r>
      <w:r>
        <w:rPr>
          <w:sz w:val="22"/>
        </w:rPr>
        <w:t>#2</w:t>
      </w:r>
      <w:r>
        <w:rPr>
          <w:spacing w:val="-5"/>
          <w:sz w:val="22"/>
        </w:rPr>
        <w:t> </w:t>
      </w:r>
      <w:r>
        <w:rPr>
          <w:sz w:val="22"/>
        </w:rPr>
        <w:t>removing</w:t>
      </w:r>
      <w:r>
        <w:rPr>
          <w:spacing w:val="-5"/>
          <w:sz w:val="22"/>
        </w:rPr>
        <w:t> </w:t>
      </w:r>
      <w:r>
        <w:rPr>
          <w:sz w:val="24"/>
        </w:rPr>
        <w:t>'</w:t>
      </w:r>
      <w:r>
        <w:rPr>
          <w:sz w:val="22"/>
        </w:rPr>
        <w:t>severe</w:t>
      </w:r>
      <w:r>
        <w:rPr>
          <w:sz w:val="24"/>
        </w:rPr>
        <w:t>'</w:t>
      </w:r>
      <w:r>
        <w:rPr>
          <w:spacing w:val="-11"/>
          <w:sz w:val="24"/>
        </w:rPr>
        <w:t> </w:t>
      </w:r>
      <w:r>
        <w:rPr>
          <w:sz w:val="22"/>
        </w:rPr>
        <w:t>and</w:t>
      </w:r>
      <w:r>
        <w:rPr>
          <w:spacing w:val="-5"/>
          <w:sz w:val="22"/>
        </w:rPr>
        <w:t> </w:t>
      </w:r>
      <w:r>
        <w:rPr>
          <w:sz w:val="22"/>
        </w:rPr>
        <w:t>replacing</w:t>
      </w:r>
      <w:r>
        <w:rPr>
          <w:spacing w:val="-5"/>
          <w:sz w:val="22"/>
        </w:rPr>
        <w:t> </w:t>
      </w:r>
      <w:r>
        <w:rPr>
          <w:sz w:val="22"/>
        </w:rPr>
        <w:t>with</w:t>
      </w:r>
      <w:r>
        <w:rPr>
          <w:spacing w:val="-5"/>
          <w:sz w:val="22"/>
        </w:rPr>
        <w:t> </w:t>
      </w:r>
      <w:r>
        <w:rPr>
          <w:spacing w:val="-2"/>
          <w:sz w:val="24"/>
        </w:rPr>
        <w:t>'</w:t>
      </w:r>
      <w:r>
        <w:rPr>
          <w:spacing w:val="-2"/>
          <w:sz w:val="22"/>
        </w:rPr>
        <w:t>significant</w:t>
      </w:r>
      <w:r>
        <w:rPr>
          <w:spacing w:val="-2"/>
          <w:sz w:val="24"/>
        </w:rPr>
        <w:t>'</w:t>
      </w:r>
      <w:r>
        <w:rPr>
          <w:spacing w:val="-2"/>
          <w:sz w:val="22"/>
        </w:rPr>
        <w:t>.</w:t>
      </w:r>
    </w:p>
    <w:p>
      <w:pPr>
        <w:tabs>
          <w:tab w:pos="1439" w:val="left" w:leader="none"/>
        </w:tabs>
        <w:spacing w:before="0"/>
        <w:ind w:left="1440" w:right="1062" w:hanging="1080"/>
        <w:jc w:val="left"/>
        <w:rPr>
          <w:sz w:val="22"/>
        </w:rPr>
      </w:pPr>
      <w:r>
        <w:rPr>
          <w:spacing w:val="-2"/>
          <w:sz w:val="22"/>
        </w:rPr>
        <w:t>9-14-18</w:t>
      </w:r>
      <w:r>
        <w:rPr>
          <w:sz w:val="22"/>
        </w:rPr>
        <w:tab/>
        <w:t>Updated</w:t>
      </w:r>
      <w:r>
        <w:rPr>
          <w:spacing w:val="-3"/>
          <w:sz w:val="22"/>
        </w:rPr>
        <w:t> </w:t>
      </w:r>
      <w:r>
        <w:rPr>
          <w:sz w:val="22"/>
        </w:rPr>
        <w:t>definitions</w:t>
      </w:r>
      <w:r>
        <w:rPr>
          <w:spacing w:val="-3"/>
          <w:sz w:val="22"/>
        </w:rPr>
        <w:t> </w:t>
      </w:r>
      <w:r>
        <w:rPr>
          <w:sz w:val="22"/>
        </w:rPr>
        <w:t>for</w:t>
      </w:r>
      <w:r>
        <w:rPr>
          <w:spacing w:val="-3"/>
          <w:sz w:val="22"/>
        </w:rPr>
        <w:t> </w:t>
      </w:r>
      <w:r>
        <w:rPr>
          <w:sz w:val="22"/>
        </w:rPr>
        <w:t>Priority</w:t>
      </w:r>
      <w:r>
        <w:rPr>
          <w:spacing w:val="-3"/>
          <w:sz w:val="22"/>
        </w:rPr>
        <w:t> </w:t>
      </w:r>
      <w:r>
        <w:rPr>
          <w:sz w:val="22"/>
        </w:rPr>
        <w:t>Groups</w:t>
      </w:r>
      <w:r>
        <w:rPr>
          <w:spacing w:val="-3"/>
          <w:sz w:val="22"/>
        </w:rPr>
        <w:t> </w:t>
      </w:r>
      <w:r>
        <w:rPr>
          <w:sz w:val="22"/>
        </w:rPr>
        <w:t>1</w:t>
      </w:r>
      <w:r>
        <w:rPr>
          <w:spacing w:val="-3"/>
          <w:sz w:val="22"/>
        </w:rPr>
        <w:t> </w:t>
      </w:r>
      <w:r>
        <w:rPr>
          <w:sz w:val="22"/>
        </w:rPr>
        <w:t>and</w:t>
      </w:r>
      <w:r>
        <w:rPr>
          <w:spacing w:val="-3"/>
          <w:sz w:val="22"/>
        </w:rPr>
        <w:t> </w:t>
      </w:r>
      <w:r>
        <w:rPr>
          <w:sz w:val="22"/>
        </w:rPr>
        <w:t>2</w:t>
      </w:r>
      <w:r>
        <w:rPr>
          <w:spacing w:val="-3"/>
          <w:sz w:val="22"/>
        </w:rPr>
        <w:t> </w:t>
      </w:r>
      <w:r>
        <w:rPr>
          <w:sz w:val="22"/>
        </w:rPr>
        <w:t>for</w:t>
      </w:r>
      <w:r>
        <w:rPr>
          <w:spacing w:val="-4"/>
          <w:sz w:val="22"/>
        </w:rPr>
        <w:t> </w:t>
      </w:r>
      <w:r>
        <w:rPr>
          <w:sz w:val="22"/>
        </w:rPr>
        <w:t>clarity</w:t>
      </w:r>
      <w:r>
        <w:rPr>
          <w:spacing w:val="-3"/>
          <w:sz w:val="22"/>
        </w:rPr>
        <w:t> </w:t>
      </w:r>
      <w:r>
        <w:rPr>
          <w:sz w:val="22"/>
        </w:rPr>
        <w:t>and</w:t>
      </w:r>
      <w:r>
        <w:rPr>
          <w:spacing w:val="-3"/>
          <w:sz w:val="22"/>
        </w:rPr>
        <w:t> </w:t>
      </w:r>
      <w:r>
        <w:rPr>
          <w:sz w:val="22"/>
        </w:rPr>
        <w:t>incorporated</w:t>
      </w:r>
      <w:r>
        <w:rPr>
          <w:spacing w:val="-4"/>
          <w:sz w:val="22"/>
        </w:rPr>
        <w:t> </w:t>
      </w:r>
      <w:r>
        <w:rPr>
          <w:sz w:val="22"/>
        </w:rPr>
        <w:t>current federal regulation terms.</w:t>
      </w:r>
    </w:p>
    <w:p>
      <w:pPr>
        <w:tabs>
          <w:tab w:pos="1439" w:val="left" w:leader="none"/>
        </w:tabs>
        <w:spacing w:line="228" w:lineRule="auto" w:before="0"/>
        <w:ind w:left="1440" w:right="757" w:hanging="1080"/>
        <w:jc w:val="left"/>
        <w:rPr>
          <w:sz w:val="22"/>
        </w:rPr>
      </w:pPr>
      <w:r>
        <w:rPr>
          <w:spacing w:val="-2"/>
          <w:sz w:val="22"/>
        </w:rPr>
        <w:t>9-30-19</w:t>
      </w:r>
      <w:r>
        <w:rPr>
          <w:sz w:val="22"/>
        </w:rPr>
        <w:tab/>
        <w:t>Updated</w:t>
      </w:r>
      <w:r>
        <w:rPr>
          <w:spacing w:val="-4"/>
          <w:sz w:val="22"/>
        </w:rPr>
        <w:t> </w:t>
      </w:r>
      <w:r>
        <w:rPr>
          <w:sz w:val="22"/>
        </w:rPr>
        <w:t>ITS</w:t>
      </w:r>
      <w:r>
        <w:rPr>
          <w:spacing w:val="-4"/>
          <w:sz w:val="22"/>
        </w:rPr>
        <w:t> </w:t>
      </w:r>
      <w:r>
        <w:rPr>
          <w:sz w:val="22"/>
        </w:rPr>
        <w:t>#3,</w:t>
      </w:r>
      <w:r>
        <w:rPr>
          <w:spacing w:val="-4"/>
          <w:sz w:val="22"/>
        </w:rPr>
        <w:t> </w:t>
      </w:r>
      <w:r>
        <w:rPr>
          <w:sz w:val="22"/>
        </w:rPr>
        <w:t>added</w:t>
      </w:r>
      <w:r>
        <w:rPr>
          <w:spacing w:val="-4"/>
          <w:sz w:val="22"/>
        </w:rPr>
        <w:t> </w:t>
      </w:r>
      <w:r>
        <w:rPr>
          <w:sz w:val="22"/>
        </w:rPr>
        <w:t>language</w:t>
      </w:r>
      <w:r>
        <w:rPr>
          <w:spacing w:val="-4"/>
          <w:sz w:val="22"/>
        </w:rPr>
        <w:t> </w:t>
      </w:r>
      <w:r>
        <w:rPr>
          <w:sz w:val="22"/>
        </w:rPr>
        <w:t>regarding</w:t>
      </w:r>
      <w:r>
        <w:rPr>
          <w:spacing w:val="-4"/>
          <w:sz w:val="22"/>
        </w:rPr>
        <w:t> </w:t>
      </w:r>
      <w:r>
        <w:rPr>
          <w:sz w:val="22"/>
        </w:rPr>
        <w:t>individuals</w:t>
      </w:r>
      <w:r>
        <w:rPr>
          <w:spacing w:val="-4"/>
          <w:sz w:val="22"/>
        </w:rPr>
        <w:t> </w:t>
      </w:r>
      <w:r>
        <w:rPr>
          <w:sz w:val="22"/>
        </w:rPr>
        <w:t>at</w:t>
      </w:r>
      <w:r>
        <w:rPr>
          <w:spacing w:val="-4"/>
          <w:sz w:val="22"/>
        </w:rPr>
        <w:t> </w:t>
      </w:r>
      <w:r>
        <w:rPr>
          <w:sz w:val="22"/>
        </w:rPr>
        <w:t>risk</w:t>
      </w:r>
      <w:r>
        <w:rPr>
          <w:spacing w:val="-4"/>
          <w:sz w:val="22"/>
        </w:rPr>
        <w:t> </w:t>
      </w:r>
      <w:r>
        <w:rPr>
          <w:sz w:val="22"/>
        </w:rPr>
        <w:t>of</w:t>
      </w:r>
      <w:r>
        <w:rPr>
          <w:spacing w:val="-4"/>
          <w:sz w:val="22"/>
        </w:rPr>
        <w:t> </w:t>
      </w:r>
      <w:r>
        <w:rPr>
          <w:sz w:val="22"/>
        </w:rPr>
        <w:t>losing</w:t>
      </w:r>
      <w:r>
        <w:rPr>
          <w:spacing w:val="-4"/>
          <w:sz w:val="22"/>
        </w:rPr>
        <w:t> </w:t>
      </w:r>
      <w:r>
        <w:rPr>
          <w:sz w:val="22"/>
        </w:rPr>
        <w:t>their</w:t>
      </w:r>
      <w:r>
        <w:rPr>
          <w:spacing w:val="-4"/>
          <w:sz w:val="22"/>
        </w:rPr>
        <w:t> </w:t>
      </w:r>
      <w:r>
        <w:rPr>
          <w:sz w:val="22"/>
        </w:rPr>
        <w:t>job</w:t>
      </w:r>
      <w:r>
        <w:rPr>
          <w:spacing w:val="-4"/>
          <w:sz w:val="22"/>
        </w:rPr>
        <w:t> </w:t>
      </w:r>
      <w:r>
        <w:rPr>
          <w:sz w:val="22"/>
        </w:rPr>
        <w:t>while under an Order of Selection needing accommodations can be referred for an Assistive Technology assessment.</w:t>
      </w:r>
    </w:p>
    <w:p>
      <w:pPr>
        <w:pStyle w:val="BodyText"/>
        <w:tabs>
          <w:tab w:pos="1439" w:val="left" w:leader="none"/>
        </w:tabs>
        <w:spacing w:before="0"/>
        <w:ind w:left="1440" w:right="1048" w:hanging="1080"/>
      </w:pPr>
      <w:r>
        <w:rPr>
          <w:spacing w:val="-2"/>
        </w:rPr>
        <w:t>9-11-20</w:t>
      </w:r>
      <w:r>
        <w:rPr/>
        <w:tab/>
        <w:t>Division</w:t>
      </w:r>
      <w:r>
        <w:rPr>
          <w:spacing w:val="-4"/>
        </w:rPr>
        <w:t> </w:t>
      </w:r>
      <w:r>
        <w:rPr/>
        <w:t>name</w:t>
      </w:r>
      <w:r>
        <w:rPr>
          <w:spacing w:val="-4"/>
        </w:rPr>
        <w:t> </w:t>
      </w:r>
      <w:r>
        <w:rPr/>
        <w:t>change</w:t>
      </w:r>
      <w:r>
        <w:rPr>
          <w:spacing w:val="-3"/>
        </w:rPr>
        <w:t> </w:t>
      </w:r>
      <w:r>
        <w:rPr/>
        <w:t>of</w:t>
      </w:r>
      <w:r>
        <w:rPr>
          <w:spacing w:val="-3"/>
        </w:rPr>
        <w:t> </w:t>
      </w:r>
      <w:r>
        <w:rPr/>
        <w:t>Visual</w:t>
      </w:r>
      <w:r>
        <w:rPr>
          <w:spacing w:val="-4"/>
        </w:rPr>
        <w:t> </w:t>
      </w:r>
      <w:r>
        <w:rPr/>
        <w:t>Services</w:t>
      </w:r>
      <w:r>
        <w:rPr>
          <w:spacing w:val="-4"/>
        </w:rPr>
        <w:t> </w:t>
      </w:r>
      <w:r>
        <w:rPr/>
        <w:t>(VS)</w:t>
      </w:r>
      <w:r>
        <w:rPr>
          <w:spacing w:val="-3"/>
        </w:rPr>
        <w:t> </w:t>
      </w:r>
      <w:r>
        <w:rPr/>
        <w:t>to</w:t>
      </w:r>
      <w:r>
        <w:rPr>
          <w:spacing w:val="-4"/>
        </w:rPr>
        <w:t> </w:t>
      </w:r>
      <w:r>
        <w:rPr/>
        <w:t>Services</w:t>
      </w:r>
      <w:r>
        <w:rPr>
          <w:spacing w:val="-4"/>
        </w:rPr>
        <w:t> </w:t>
      </w:r>
      <w:r>
        <w:rPr/>
        <w:t>for</w:t>
      </w:r>
      <w:r>
        <w:rPr>
          <w:spacing w:val="-5"/>
        </w:rPr>
        <w:t> </w:t>
      </w:r>
      <w:r>
        <w:rPr/>
        <w:t>the</w:t>
      </w:r>
      <w:r>
        <w:rPr>
          <w:spacing w:val="-4"/>
        </w:rPr>
        <w:t> </w:t>
      </w:r>
      <w:r>
        <w:rPr/>
        <w:t>Blind</w:t>
      </w:r>
      <w:r>
        <w:rPr>
          <w:spacing w:val="-4"/>
        </w:rPr>
        <w:t> </w:t>
      </w:r>
      <w:r>
        <w:rPr/>
        <w:t>and Visually Impaired (SBVI).</w:t>
      </w:r>
    </w:p>
    <w:p>
      <w:pPr>
        <w:pStyle w:val="BodyText"/>
        <w:tabs>
          <w:tab w:pos="1439" w:val="left" w:leader="none"/>
        </w:tabs>
        <w:spacing w:before="0"/>
        <w:ind w:left="1440" w:right="940" w:hanging="1080"/>
      </w:pPr>
      <w:r>
        <w:rPr>
          <w:spacing w:val="-2"/>
        </w:rPr>
        <w:t>8-26-21</w:t>
      </w:r>
      <w:r>
        <w:rPr/>
        <w:tab/>
        <w:t>Rule name change 'Order of selection' to 'Ability to serve all eligible individuals;</w:t>
      </w:r>
      <w:r>
        <w:rPr>
          <w:spacing w:val="-4"/>
        </w:rPr>
        <w:t> </w:t>
      </w:r>
      <w:r>
        <w:rPr/>
        <w:t>order</w:t>
      </w:r>
      <w:r>
        <w:rPr>
          <w:spacing w:val="-4"/>
        </w:rPr>
        <w:t> </w:t>
      </w:r>
      <w:r>
        <w:rPr/>
        <w:t>of</w:t>
      </w:r>
      <w:r>
        <w:rPr>
          <w:spacing w:val="-6"/>
        </w:rPr>
        <w:t> </w:t>
      </w:r>
      <w:r>
        <w:rPr/>
        <w:t>section</w:t>
      </w:r>
      <w:r>
        <w:rPr>
          <w:spacing w:val="-5"/>
        </w:rPr>
        <w:t> </w:t>
      </w:r>
      <w:r>
        <w:rPr/>
        <w:t>for</w:t>
      </w:r>
      <w:r>
        <w:rPr>
          <w:spacing w:val="-4"/>
        </w:rPr>
        <w:t> </w:t>
      </w:r>
      <w:r>
        <w:rPr/>
        <w:t>services'.</w:t>
      </w:r>
      <w:r>
        <w:rPr>
          <w:spacing w:val="-4"/>
        </w:rPr>
        <w:t> </w:t>
      </w:r>
      <w:r>
        <w:rPr/>
        <w:t>Revised</w:t>
      </w:r>
      <w:r>
        <w:rPr>
          <w:spacing w:val="-5"/>
        </w:rPr>
        <w:t> </w:t>
      </w:r>
      <w:r>
        <w:rPr/>
        <w:t>to</w:t>
      </w:r>
      <w:r>
        <w:rPr>
          <w:spacing w:val="-5"/>
        </w:rPr>
        <w:t> </w:t>
      </w:r>
      <w:r>
        <w:rPr/>
        <w:t>reflect</w:t>
      </w:r>
      <w:r>
        <w:rPr>
          <w:spacing w:val="-4"/>
        </w:rPr>
        <w:t> </w:t>
      </w:r>
      <w:r>
        <w:rPr/>
        <w:t>WIOA</w:t>
      </w:r>
      <w:r>
        <w:rPr>
          <w:spacing w:val="-5"/>
        </w:rPr>
        <w:t> </w:t>
      </w:r>
      <w:r>
        <w:rPr/>
        <w:t>language.</w:t>
      </w:r>
    </w:p>
    <w:p>
      <w:pPr>
        <w:pStyle w:val="ListParagraph"/>
        <w:numPr>
          <w:ilvl w:val="2"/>
          <w:numId w:val="121"/>
        </w:numPr>
        <w:tabs>
          <w:tab w:pos="1440" w:val="left" w:leader="none"/>
        </w:tabs>
        <w:spacing w:line="240" w:lineRule="auto" w:before="0" w:after="0"/>
        <w:ind w:left="1440" w:right="1114" w:hanging="1080"/>
        <w:jc w:val="left"/>
        <w:rPr>
          <w:sz w:val="24"/>
        </w:rPr>
      </w:pPr>
      <w:r>
        <w:rPr>
          <w:sz w:val="24"/>
        </w:rPr>
        <w:t>Clarify</w:t>
      </w:r>
      <w:r>
        <w:rPr>
          <w:spacing w:val="-4"/>
          <w:sz w:val="24"/>
        </w:rPr>
        <w:t> </w:t>
      </w:r>
      <w:r>
        <w:rPr>
          <w:sz w:val="24"/>
        </w:rPr>
        <w:t>language</w:t>
      </w:r>
      <w:r>
        <w:rPr>
          <w:spacing w:val="-4"/>
          <w:sz w:val="24"/>
        </w:rPr>
        <w:t> </w:t>
      </w:r>
      <w:r>
        <w:rPr>
          <w:sz w:val="24"/>
        </w:rPr>
        <w:t>under</w:t>
      </w:r>
      <w:r>
        <w:rPr>
          <w:spacing w:val="-2"/>
          <w:sz w:val="24"/>
        </w:rPr>
        <w:t> </w:t>
      </w:r>
      <w:r>
        <w:rPr>
          <w:sz w:val="24"/>
        </w:rPr>
        <w:t>section</w:t>
      </w:r>
      <w:r>
        <w:rPr>
          <w:spacing w:val="-4"/>
          <w:sz w:val="24"/>
        </w:rPr>
        <w:t> </w:t>
      </w:r>
      <w:r>
        <w:rPr>
          <w:sz w:val="24"/>
        </w:rPr>
        <w:t>(e)</w:t>
      </w:r>
      <w:r>
        <w:rPr>
          <w:spacing w:val="-5"/>
          <w:sz w:val="24"/>
        </w:rPr>
        <w:t> </w:t>
      </w:r>
      <w:r>
        <w:rPr>
          <w:sz w:val="24"/>
        </w:rPr>
        <w:t>(C),</w:t>
      </w:r>
      <w:r>
        <w:rPr>
          <w:spacing w:val="-5"/>
          <w:sz w:val="24"/>
        </w:rPr>
        <w:t> </w:t>
      </w:r>
      <w:r>
        <w:rPr>
          <w:sz w:val="24"/>
        </w:rPr>
        <w:t>rephrase</w:t>
      </w:r>
      <w:r>
        <w:rPr>
          <w:spacing w:val="-4"/>
          <w:sz w:val="24"/>
        </w:rPr>
        <w:t> </w:t>
      </w:r>
      <w:r>
        <w:rPr>
          <w:sz w:val="24"/>
        </w:rPr>
        <w:t>Priority</w:t>
      </w:r>
      <w:r>
        <w:rPr>
          <w:spacing w:val="-4"/>
          <w:sz w:val="24"/>
        </w:rPr>
        <w:t> </w:t>
      </w:r>
      <w:r>
        <w:rPr>
          <w:sz w:val="24"/>
        </w:rPr>
        <w:t>Group</w:t>
      </w:r>
      <w:r>
        <w:rPr>
          <w:spacing w:val="-4"/>
          <w:sz w:val="24"/>
        </w:rPr>
        <w:t> </w:t>
      </w:r>
      <w:r>
        <w:rPr>
          <w:sz w:val="24"/>
        </w:rPr>
        <w:t>3</w:t>
      </w:r>
      <w:r>
        <w:rPr>
          <w:spacing w:val="-4"/>
          <w:sz w:val="24"/>
        </w:rPr>
        <w:t> </w:t>
      </w:r>
      <w:r>
        <w:rPr>
          <w:sz w:val="24"/>
        </w:rPr>
        <w:t>based</w:t>
      </w:r>
      <w:r>
        <w:rPr>
          <w:spacing w:val="-4"/>
          <w:sz w:val="24"/>
        </w:rPr>
        <w:t> </w:t>
      </w:r>
      <w:r>
        <w:rPr>
          <w:sz w:val="24"/>
        </w:rPr>
        <w:t>on RSA recommendation.</w:t>
      </w:r>
    </w:p>
    <w:p>
      <w:pPr>
        <w:pStyle w:val="ListParagraph"/>
        <w:spacing w:after="0" w:line="240" w:lineRule="auto"/>
        <w:jc w:val="left"/>
        <w:rPr>
          <w:sz w:val="24"/>
        </w:rPr>
        <w:sectPr>
          <w:pgSz w:w="12240" w:h="15840"/>
          <w:pgMar w:top="1340" w:bottom="280" w:left="1080" w:right="720"/>
        </w:sectPr>
      </w:pPr>
    </w:p>
    <w:p>
      <w:pPr>
        <w:pStyle w:val="Heading2"/>
      </w:pPr>
      <w:bookmarkStart w:name="612:10-7-31.  Transfer of cases" w:id="135"/>
      <w:bookmarkEnd w:id="135"/>
      <w:r>
        <w:rPr>
          <w:b w:val="0"/>
        </w:rPr>
      </w:r>
      <w:r>
        <w:rPr/>
        <w:t>612:10-7-31.</w:t>
      </w:r>
      <w:r>
        <w:rPr>
          <w:spacing w:val="60"/>
        </w:rPr>
        <w:t> </w:t>
      </w:r>
      <w:r>
        <w:rPr/>
        <w:t>Transfer</w:t>
      </w:r>
      <w:r>
        <w:rPr>
          <w:spacing w:val="-4"/>
        </w:rPr>
        <w:t> </w:t>
      </w:r>
      <w:r>
        <w:rPr/>
        <w:t>of</w:t>
      </w:r>
      <w:r>
        <w:rPr>
          <w:spacing w:val="-2"/>
        </w:rPr>
        <w:t> cases</w:t>
      </w:r>
    </w:p>
    <w:p>
      <w:pPr>
        <w:pStyle w:val="ListParagraph"/>
        <w:numPr>
          <w:ilvl w:val="0"/>
          <w:numId w:val="134"/>
        </w:numPr>
        <w:tabs>
          <w:tab w:pos="785" w:val="left" w:leader="none"/>
        </w:tabs>
        <w:spacing w:line="208" w:lineRule="auto" w:before="233" w:after="0"/>
        <w:ind w:left="360" w:right="739" w:firstLine="0"/>
        <w:jc w:val="left"/>
        <w:rPr>
          <w:b/>
          <w:sz w:val="24"/>
        </w:rPr>
      </w:pPr>
      <w:r>
        <w:rPr>
          <w:b/>
          <w:sz w:val="24"/>
        </w:rPr>
        <w:t>Transfer</w:t>
      </w:r>
      <w:r>
        <w:rPr>
          <w:b/>
          <w:spacing w:val="-4"/>
          <w:sz w:val="24"/>
        </w:rPr>
        <w:t> </w:t>
      </w:r>
      <w:r>
        <w:rPr>
          <w:b/>
          <w:sz w:val="24"/>
        </w:rPr>
        <w:t>of</w:t>
      </w:r>
      <w:r>
        <w:rPr>
          <w:b/>
          <w:spacing w:val="-3"/>
          <w:sz w:val="24"/>
        </w:rPr>
        <w:t> </w:t>
      </w:r>
      <w:r>
        <w:rPr>
          <w:b/>
          <w:sz w:val="24"/>
        </w:rPr>
        <w:t>cases</w:t>
      </w:r>
      <w:r>
        <w:rPr>
          <w:b/>
          <w:spacing w:val="-4"/>
          <w:sz w:val="24"/>
        </w:rPr>
        <w:t> </w:t>
      </w:r>
      <w:r>
        <w:rPr>
          <w:b/>
          <w:sz w:val="24"/>
        </w:rPr>
        <w:t>between</w:t>
      </w:r>
      <w:r>
        <w:rPr>
          <w:b/>
          <w:spacing w:val="-4"/>
          <w:sz w:val="24"/>
        </w:rPr>
        <w:t> </w:t>
      </w:r>
      <w:r>
        <w:rPr>
          <w:b/>
          <w:sz w:val="24"/>
        </w:rPr>
        <w:t>caseloads.</w:t>
      </w:r>
      <w:r>
        <w:rPr>
          <w:b/>
          <w:spacing w:val="-3"/>
          <w:sz w:val="24"/>
        </w:rPr>
        <w:t> </w:t>
      </w:r>
      <w:r>
        <w:rPr>
          <w:sz w:val="24"/>
        </w:rPr>
        <w:t>When</w:t>
      </w:r>
      <w:r>
        <w:rPr>
          <w:spacing w:val="-4"/>
          <w:sz w:val="24"/>
        </w:rPr>
        <w:t> </w:t>
      </w:r>
      <w:r>
        <w:rPr>
          <w:sz w:val="24"/>
        </w:rPr>
        <w:t>it</w:t>
      </w:r>
      <w:r>
        <w:rPr>
          <w:spacing w:val="-3"/>
          <w:sz w:val="24"/>
        </w:rPr>
        <w:t> </w:t>
      </w:r>
      <w:r>
        <w:rPr>
          <w:sz w:val="24"/>
        </w:rPr>
        <w:t>has</w:t>
      </w:r>
      <w:r>
        <w:rPr>
          <w:spacing w:val="-4"/>
          <w:sz w:val="24"/>
        </w:rPr>
        <w:t> </w:t>
      </w:r>
      <w:r>
        <w:rPr>
          <w:sz w:val="24"/>
        </w:rPr>
        <w:t>been</w:t>
      </w:r>
      <w:r>
        <w:rPr>
          <w:spacing w:val="-4"/>
          <w:sz w:val="24"/>
        </w:rPr>
        <w:t> </w:t>
      </w:r>
      <w:r>
        <w:rPr>
          <w:sz w:val="24"/>
        </w:rPr>
        <w:t>determined</w:t>
      </w:r>
      <w:r>
        <w:rPr>
          <w:spacing w:val="-4"/>
          <w:sz w:val="24"/>
        </w:rPr>
        <w:t> </w:t>
      </w:r>
      <w:r>
        <w:rPr>
          <w:sz w:val="24"/>
        </w:rPr>
        <w:t>an</w:t>
      </w:r>
      <w:r>
        <w:rPr>
          <w:spacing w:val="-3"/>
          <w:sz w:val="24"/>
        </w:rPr>
        <w:t> </w:t>
      </w:r>
      <w:r>
        <w:rPr>
          <w:sz w:val="24"/>
        </w:rPr>
        <w:t>individual has moved from one counselor's area to another, the individual could be served more appropriately under another DVR or DSBVI program, or in the supervisor's opinion, transfer is in the best interest of the individual, the case will be transferred. </w:t>
      </w:r>
      <w:r>
        <w:rPr>
          <w:b/>
          <w:sz w:val="24"/>
        </w:rPr>
        <w:t>1</w:t>
      </w:r>
    </w:p>
    <w:p>
      <w:pPr>
        <w:pStyle w:val="ListParagraph"/>
        <w:numPr>
          <w:ilvl w:val="0"/>
          <w:numId w:val="134"/>
        </w:numPr>
        <w:tabs>
          <w:tab w:pos="785" w:val="left" w:leader="none"/>
        </w:tabs>
        <w:spacing w:line="208" w:lineRule="auto" w:before="239" w:after="0"/>
        <w:ind w:left="360" w:right="804" w:firstLine="0"/>
        <w:jc w:val="left"/>
        <w:rPr>
          <w:sz w:val="24"/>
        </w:rPr>
      </w:pPr>
      <w:r>
        <w:rPr>
          <w:b/>
          <w:sz w:val="24"/>
        </w:rPr>
        <w:t>Transfer of cases between programs. </w:t>
      </w:r>
      <w:r>
        <w:rPr>
          <w:sz w:val="24"/>
        </w:rPr>
        <w:t>Prior to transferring a case between DVR and</w:t>
      </w:r>
      <w:r>
        <w:rPr>
          <w:spacing w:val="-4"/>
          <w:sz w:val="24"/>
        </w:rPr>
        <w:t> </w:t>
      </w:r>
      <w:r>
        <w:rPr>
          <w:sz w:val="24"/>
        </w:rPr>
        <w:t>DSBVI,</w:t>
      </w:r>
      <w:r>
        <w:rPr>
          <w:spacing w:val="-3"/>
          <w:sz w:val="24"/>
        </w:rPr>
        <w:t> </w:t>
      </w:r>
      <w:r>
        <w:rPr>
          <w:sz w:val="24"/>
        </w:rPr>
        <w:t>the</w:t>
      </w:r>
      <w:r>
        <w:rPr>
          <w:spacing w:val="-5"/>
          <w:sz w:val="24"/>
        </w:rPr>
        <w:t> </w:t>
      </w:r>
      <w:r>
        <w:rPr>
          <w:sz w:val="24"/>
        </w:rPr>
        <w:t>transferring</w:t>
      </w:r>
      <w:r>
        <w:rPr>
          <w:spacing w:val="-4"/>
          <w:sz w:val="24"/>
        </w:rPr>
        <w:t> </w:t>
      </w:r>
      <w:r>
        <w:rPr>
          <w:sz w:val="24"/>
        </w:rPr>
        <w:t>counselor</w:t>
      </w:r>
      <w:r>
        <w:rPr>
          <w:spacing w:val="-3"/>
          <w:sz w:val="24"/>
        </w:rPr>
        <w:t> </w:t>
      </w:r>
      <w:r>
        <w:rPr>
          <w:sz w:val="24"/>
        </w:rPr>
        <w:t>must</w:t>
      </w:r>
      <w:r>
        <w:rPr>
          <w:spacing w:val="-5"/>
          <w:sz w:val="24"/>
        </w:rPr>
        <w:t> </w:t>
      </w:r>
      <w:r>
        <w:rPr>
          <w:sz w:val="24"/>
        </w:rPr>
        <w:t>obtain</w:t>
      </w:r>
      <w:r>
        <w:rPr>
          <w:spacing w:val="-4"/>
          <w:sz w:val="24"/>
        </w:rPr>
        <w:t> </w:t>
      </w:r>
      <w:r>
        <w:rPr>
          <w:sz w:val="24"/>
        </w:rPr>
        <w:t>the</w:t>
      </w:r>
      <w:r>
        <w:rPr>
          <w:spacing w:val="-4"/>
          <w:sz w:val="24"/>
        </w:rPr>
        <w:t> </w:t>
      </w:r>
      <w:r>
        <w:rPr>
          <w:sz w:val="24"/>
        </w:rPr>
        <w:t>required</w:t>
      </w:r>
      <w:r>
        <w:rPr>
          <w:spacing w:val="-4"/>
          <w:sz w:val="24"/>
        </w:rPr>
        <w:t> </w:t>
      </w:r>
      <w:r>
        <w:rPr>
          <w:sz w:val="24"/>
        </w:rPr>
        <w:t>specialist</w:t>
      </w:r>
      <w:r>
        <w:rPr>
          <w:spacing w:val="-3"/>
          <w:sz w:val="24"/>
        </w:rPr>
        <w:t> </w:t>
      </w:r>
      <w:r>
        <w:rPr>
          <w:sz w:val="24"/>
        </w:rPr>
        <w:t>information</w:t>
      </w:r>
      <w:r>
        <w:rPr>
          <w:spacing w:val="-4"/>
          <w:sz w:val="24"/>
        </w:rPr>
        <w:t> </w:t>
      </w:r>
      <w:r>
        <w:rPr>
          <w:sz w:val="24"/>
        </w:rPr>
        <w:t>to support the</w:t>
      </w:r>
      <w:r>
        <w:rPr>
          <w:spacing w:val="-1"/>
          <w:sz w:val="24"/>
        </w:rPr>
        <w:t> </w:t>
      </w:r>
      <w:r>
        <w:rPr>
          <w:sz w:val="24"/>
        </w:rPr>
        <w:t>change</w:t>
      </w:r>
      <w:r>
        <w:rPr>
          <w:spacing w:val="-1"/>
          <w:sz w:val="24"/>
        </w:rPr>
        <w:t> </w:t>
      </w:r>
      <w:r>
        <w:rPr>
          <w:sz w:val="24"/>
        </w:rPr>
        <w:t>of primary</w:t>
      </w:r>
      <w:r>
        <w:rPr>
          <w:spacing w:val="-1"/>
          <w:sz w:val="24"/>
        </w:rPr>
        <w:t> </w:t>
      </w:r>
      <w:r>
        <w:rPr>
          <w:sz w:val="24"/>
        </w:rPr>
        <w:t>disability. The</w:t>
      </w:r>
      <w:r>
        <w:rPr>
          <w:spacing w:val="-1"/>
          <w:sz w:val="24"/>
        </w:rPr>
        <w:t> </w:t>
      </w:r>
      <w:r>
        <w:rPr>
          <w:sz w:val="24"/>
        </w:rPr>
        <w:t>transferring</w:t>
      </w:r>
      <w:r>
        <w:rPr>
          <w:spacing w:val="-2"/>
          <w:sz w:val="24"/>
        </w:rPr>
        <w:t> </w:t>
      </w:r>
      <w:r>
        <w:rPr>
          <w:sz w:val="24"/>
        </w:rPr>
        <w:t>counselor will</w:t>
      </w:r>
      <w:r>
        <w:rPr>
          <w:spacing w:val="-1"/>
          <w:sz w:val="24"/>
        </w:rPr>
        <w:t> </w:t>
      </w:r>
      <w:r>
        <w:rPr>
          <w:sz w:val="24"/>
        </w:rPr>
        <w:t>review</w:t>
      </w:r>
      <w:r>
        <w:rPr>
          <w:spacing w:val="-1"/>
          <w:sz w:val="24"/>
        </w:rPr>
        <w:t> </w:t>
      </w:r>
      <w:r>
        <w:rPr>
          <w:sz w:val="24"/>
        </w:rPr>
        <w:t>the</w:t>
      </w:r>
      <w:r>
        <w:rPr>
          <w:spacing w:val="-1"/>
          <w:sz w:val="24"/>
        </w:rPr>
        <w:t> </w:t>
      </w:r>
      <w:r>
        <w:rPr>
          <w:sz w:val="24"/>
        </w:rPr>
        <w:t>case record</w:t>
      </w:r>
      <w:r>
        <w:rPr>
          <w:spacing w:val="-2"/>
          <w:sz w:val="24"/>
        </w:rPr>
        <w:t> </w:t>
      </w:r>
      <w:r>
        <w:rPr>
          <w:sz w:val="24"/>
        </w:rPr>
        <w:t>to</w:t>
      </w:r>
      <w:r>
        <w:rPr>
          <w:spacing w:val="-2"/>
          <w:sz w:val="24"/>
        </w:rPr>
        <w:t> </w:t>
      </w:r>
      <w:r>
        <w:rPr>
          <w:sz w:val="24"/>
        </w:rPr>
        <w:t>ensure</w:t>
      </w:r>
      <w:r>
        <w:rPr>
          <w:spacing w:val="-2"/>
          <w:sz w:val="24"/>
        </w:rPr>
        <w:t> </w:t>
      </w:r>
      <w:r>
        <w:rPr>
          <w:sz w:val="24"/>
        </w:rPr>
        <w:t>it</w:t>
      </w:r>
      <w:r>
        <w:rPr>
          <w:spacing w:val="-1"/>
          <w:sz w:val="24"/>
        </w:rPr>
        <w:t> </w:t>
      </w:r>
      <w:r>
        <w:rPr>
          <w:sz w:val="24"/>
        </w:rPr>
        <w:t>is</w:t>
      </w:r>
      <w:r>
        <w:rPr>
          <w:spacing w:val="-2"/>
          <w:sz w:val="24"/>
        </w:rPr>
        <w:t> </w:t>
      </w:r>
      <w:r>
        <w:rPr>
          <w:sz w:val="24"/>
        </w:rPr>
        <w:t>complete,</w:t>
      </w:r>
      <w:r>
        <w:rPr>
          <w:spacing w:val="-1"/>
          <w:sz w:val="24"/>
        </w:rPr>
        <w:t> </w:t>
      </w:r>
      <w:r>
        <w:rPr>
          <w:sz w:val="24"/>
        </w:rPr>
        <w:t>accurate</w:t>
      </w:r>
      <w:r>
        <w:rPr>
          <w:spacing w:val="-2"/>
          <w:sz w:val="24"/>
        </w:rPr>
        <w:t> </w:t>
      </w:r>
      <w:r>
        <w:rPr>
          <w:sz w:val="24"/>
        </w:rPr>
        <w:t>and</w:t>
      </w:r>
      <w:r>
        <w:rPr>
          <w:spacing w:val="-2"/>
          <w:sz w:val="24"/>
        </w:rPr>
        <w:t> </w:t>
      </w:r>
      <w:r>
        <w:rPr>
          <w:sz w:val="24"/>
        </w:rPr>
        <w:t>contains</w:t>
      </w:r>
      <w:r>
        <w:rPr>
          <w:spacing w:val="-2"/>
          <w:sz w:val="24"/>
        </w:rPr>
        <w:t> </w:t>
      </w:r>
      <w:r>
        <w:rPr>
          <w:sz w:val="24"/>
        </w:rPr>
        <w:t>the</w:t>
      </w:r>
      <w:r>
        <w:rPr>
          <w:spacing w:val="-2"/>
          <w:sz w:val="24"/>
        </w:rPr>
        <w:t> </w:t>
      </w:r>
      <w:r>
        <w:rPr>
          <w:sz w:val="24"/>
        </w:rPr>
        <w:t>information</w:t>
      </w:r>
      <w:r>
        <w:rPr>
          <w:spacing w:val="-2"/>
          <w:sz w:val="24"/>
        </w:rPr>
        <w:t> </w:t>
      </w:r>
      <w:r>
        <w:rPr>
          <w:sz w:val="24"/>
        </w:rPr>
        <w:t>necessary</w:t>
      </w:r>
      <w:r>
        <w:rPr>
          <w:spacing w:val="-2"/>
          <w:sz w:val="24"/>
        </w:rPr>
        <w:t> </w:t>
      </w:r>
      <w:r>
        <w:rPr>
          <w:sz w:val="24"/>
        </w:rPr>
        <w:t>for</w:t>
      </w:r>
      <w:r>
        <w:rPr>
          <w:spacing w:val="-3"/>
          <w:sz w:val="24"/>
        </w:rPr>
        <w:t> </w:t>
      </w:r>
      <w:r>
        <w:rPr>
          <w:sz w:val="24"/>
        </w:rPr>
        <w:t>the receiving counselor to find the individual and continue services without interruption.</w:t>
      </w:r>
    </w:p>
    <w:p>
      <w:pPr>
        <w:pStyle w:val="BodyText"/>
        <w:spacing w:before="211"/>
      </w:pPr>
      <w:r>
        <w:rPr/>
        <w:t>INSTRUCTIONS</w:t>
      </w:r>
      <w:r>
        <w:rPr>
          <w:spacing w:val="-3"/>
        </w:rPr>
        <w:t> </w:t>
      </w:r>
      <w:r>
        <w:rPr/>
        <w:t>TO</w:t>
      </w:r>
      <w:r>
        <w:rPr>
          <w:spacing w:val="-2"/>
        </w:rPr>
        <w:t> </w:t>
      </w:r>
      <w:r>
        <w:rPr>
          <w:spacing w:val="-4"/>
        </w:rPr>
        <w:t>STAFF</w:t>
      </w:r>
    </w:p>
    <w:p>
      <w:pPr>
        <w:pStyle w:val="BodyText"/>
        <w:spacing w:line="208" w:lineRule="auto" w:before="233"/>
        <w:ind w:left="791" w:right="735"/>
      </w:pPr>
      <w:r>
        <w:rPr/>
        <w:t>1. Transfer of Cases: Prior to a transfer, the transferring counselor will contact the receiving counselor to discuss the case transfer and inform the receiving counselor of the current status of the individual's case. The transferring counselor will review the case record to ensure it is complete, accurate and contains the information necessary for the receiving counselor to find the individual and continue the</w:t>
      </w:r>
      <w:r>
        <w:rPr>
          <w:spacing w:val="40"/>
        </w:rPr>
        <w:t> </w:t>
      </w:r>
      <w:r>
        <w:rPr/>
        <w:t>services without interruption. Upon receipt of the case, the receiving counselor will review the record for accuracy and completeness. If the receiving counselor determines there is a problem within the case, he/she will discuss the case with his or her supervisor. The counselor must keep in mind that returning a transferred</w:t>
      </w:r>
      <w:r>
        <w:rPr>
          <w:spacing w:val="40"/>
        </w:rPr>
        <w:t> </w:t>
      </w:r>
      <w:r>
        <w:rPr/>
        <w:t>case to the sending unit constitutes a case transfer and requires supervisory approval. The supervisors of</w:t>
      </w:r>
      <w:r>
        <w:rPr>
          <w:spacing w:val="-1"/>
        </w:rPr>
        <w:t> </w:t>
      </w:r>
      <w:r>
        <w:rPr/>
        <w:t>the units involved will discuss the appropriate action to take</w:t>
      </w:r>
      <w:r>
        <w:rPr>
          <w:spacing w:val="-3"/>
        </w:rPr>
        <w:t> </w:t>
      </w:r>
      <w:r>
        <w:rPr/>
        <w:t>based</w:t>
      </w:r>
      <w:r>
        <w:rPr>
          <w:spacing w:val="-3"/>
        </w:rPr>
        <w:t> </w:t>
      </w:r>
      <w:r>
        <w:rPr/>
        <w:t>upon</w:t>
      </w:r>
      <w:r>
        <w:rPr>
          <w:spacing w:val="-3"/>
        </w:rPr>
        <w:t> </w:t>
      </w:r>
      <w:r>
        <w:rPr/>
        <w:t>the</w:t>
      </w:r>
      <w:r>
        <w:rPr>
          <w:spacing w:val="-3"/>
        </w:rPr>
        <w:t> </w:t>
      </w:r>
      <w:r>
        <w:rPr/>
        <w:t>best</w:t>
      </w:r>
      <w:r>
        <w:rPr>
          <w:spacing w:val="-2"/>
        </w:rPr>
        <w:t> </w:t>
      </w:r>
      <w:r>
        <w:rPr/>
        <w:t>interest</w:t>
      </w:r>
      <w:r>
        <w:rPr>
          <w:spacing w:val="-4"/>
        </w:rPr>
        <w:t> </w:t>
      </w:r>
      <w:r>
        <w:rPr/>
        <w:t>of</w:t>
      </w:r>
      <w:r>
        <w:rPr>
          <w:spacing w:val="-4"/>
        </w:rPr>
        <w:t> </w:t>
      </w:r>
      <w:r>
        <w:rPr/>
        <w:t>the</w:t>
      </w:r>
      <w:r>
        <w:rPr>
          <w:spacing w:val="-3"/>
        </w:rPr>
        <w:t> </w:t>
      </w:r>
      <w:r>
        <w:rPr/>
        <w:t>individual</w:t>
      </w:r>
      <w:r>
        <w:rPr>
          <w:spacing w:val="-3"/>
        </w:rPr>
        <w:t> </w:t>
      </w:r>
      <w:r>
        <w:rPr/>
        <w:t>and</w:t>
      </w:r>
      <w:r>
        <w:rPr>
          <w:spacing w:val="-3"/>
        </w:rPr>
        <w:t> </w:t>
      </w:r>
      <w:r>
        <w:rPr/>
        <w:t>the</w:t>
      </w:r>
      <w:r>
        <w:rPr>
          <w:spacing w:val="-3"/>
        </w:rPr>
        <w:t> </w:t>
      </w:r>
      <w:r>
        <w:rPr/>
        <w:t>Department.</w:t>
      </w:r>
      <w:r>
        <w:rPr>
          <w:spacing w:val="-2"/>
        </w:rPr>
        <w:t> </w:t>
      </w:r>
      <w:r>
        <w:rPr/>
        <w:t>See</w:t>
      </w:r>
      <w:r>
        <w:rPr>
          <w:spacing w:val="-5"/>
        </w:rPr>
        <w:t> </w:t>
      </w:r>
      <w:hyperlink w:history="true" w:anchor="_bookmark19">
        <w:r>
          <w:rPr>
            <w:color w:val="0000FF"/>
            <w:u w:val="single" w:color="0000FF"/>
          </w:rPr>
          <w:t>612:10-</w:t>
        </w:r>
      </w:hyperlink>
      <w:r>
        <w:rPr>
          <w:color w:val="0000FF"/>
          <w:u w:val="none"/>
        </w:rPr>
        <w:t> </w:t>
      </w:r>
      <w:hyperlink w:history="true" w:anchor="_bookmark19">
        <w:r>
          <w:rPr>
            <w:color w:val="0000FF"/>
            <w:u w:val="single" w:color="0000FF"/>
          </w:rPr>
          <w:t>7-87</w:t>
        </w:r>
      </w:hyperlink>
      <w:r>
        <w:rPr>
          <w:color w:val="0000FF"/>
          <w:u w:val="none"/>
        </w:rPr>
        <w:t> </w:t>
      </w:r>
      <w:r>
        <w:rPr>
          <w:u w:val="none"/>
        </w:rPr>
        <w:t>Actions requiring supervisor’s approval.</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1-1-95</w:t>
      </w:r>
      <w:r>
        <w:rPr>
          <w:sz w:val="22"/>
        </w:rPr>
        <w:tab/>
        <w:t>PT Memo #95-1</w:t>
      </w:r>
    </w:p>
    <w:p>
      <w:pPr>
        <w:tabs>
          <w:tab w:pos="1439" w:val="left" w:leader="none"/>
        </w:tabs>
        <w:spacing w:before="0"/>
        <w:ind w:left="359" w:right="2650" w:firstLine="1080"/>
        <w:jc w:val="left"/>
        <w:rPr>
          <w:sz w:val="22"/>
        </w:rPr>
      </w:pPr>
      <w:r>
        <w:rPr>
          <w:sz w:val="22"/>
        </w:rPr>
        <w:t>ITS,</w:t>
      </w:r>
      <w:r>
        <w:rPr>
          <w:spacing w:val="-4"/>
          <w:sz w:val="22"/>
        </w:rPr>
        <w:t> </w:t>
      </w:r>
      <w:r>
        <w:rPr>
          <w:sz w:val="22"/>
        </w:rPr>
        <w:t>added</w:t>
      </w:r>
      <w:r>
        <w:rPr>
          <w:spacing w:val="-4"/>
          <w:sz w:val="22"/>
        </w:rPr>
        <w:t> </w:t>
      </w:r>
      <w:r>
        <w:rPr>
          <w:sz w:val="22"/>
        </w:rPr>
        <w:t>cross</w:t>
      </w:r>
      <w:r>
        <w:rPr>
          <w:spacing w:val="-4"/>
          <w:sz w:val="22"/>
        </w:rPr>
        <w:t> </w:t>
      </w:r>
      <w:r>
        <w:rPr>
          <w:sz w:val="22"/>
        </w:rPr>
        <w:t>reference</w:t>
      </w:r>
      <w:r>
        <w:rPr>
          <w:spacing w:val="-4"/>
          <w:sz w:val="22"/>
        </w:rPr>
        <w:t> </w:t>
      </w:r>
      <w:r>
        <w:rPr>
          <w:sz w:val="22"/>
        </w:rPr>
        <w:t>to</w:t>
      </w:r>
      <w:r>
        <w:rPr>
          <w:spacing w:val="-4"/>
          <w:sz w:val="22"/>
        </w:rPr>
        <w:t> </w:t>
      </w:r>
      <w:r>
        <w:rPr>
          <w:sz w:val="22"/>
        </w:rPr>
        <w:t>Section</w:t>
      </w:r>
      <w:r>
        <w:rPr>
          <w:spacing w:val="-4"/>
          <w:sz w:val="22"/>
        </w:rPr>
        <w:t> </w:t>
      </w:r>
      <w:r>
        <w:rPr>
          <w:sz w:val="22"/>
        </w:rPr>
        <w:t>on</w:t>
      </w:r>
      <w:r>
        <w:rPr>
          <w:spacing w:val="-4"/>
          <w:sz w:val="22"/>
        </w:rPr>
        <w:t> </w:t>
      </w:r>
      <w:r>
        <w:rPr>
          <w:sz w:val="22"/>
        </w:rPr>
        <w:t>applications</w:t>
      </w:r>
      <w:r>
        <w:rPr>
          <w:spacing w:val="-4"/>
          <w:sz w:val="22"/>
        </w:rPr>
        <w:t> </w:t>
      </w:r>
      <w:r>
        <w:rPr>
          <w:sz w:val="22"/>
        </w:rPr>
        <w:t>-</w:t>
      </w:r>
      <w:r>
        <w:rPr>
          <w:spacing w:val="-3"/>
          <w:sz w:val="22"/>
        </w:rPr>
        <w:t> </w:t>
      </w:r>
      <w:r>
        <w:rPr>
          <w:sz w:val="22"/>
        </w:rPr>
        <w:t>Status</w:t>
      </w:r>
      <w:r>
        <w:rPr>
          <w:spacing w:val="-4"/>
          <w:sz w:val="22"/>
        </w:rPr>
        <w:t> </w:t>
      </w:r>
      <w:r>
        <w:rPr>
          <w:sz w:val="22"/>
        </w:rPr>
        <w:t>02 </w:t>
      </w:r>
      <w:r>
        <w:rPr>
          <w:spacing w:val="-2"/>
          <w:sz w:val="22"/>
        </w:rPr>
        <w:t>7-1-98</w:t>
      </w:r>
      <w:r>
        <w:rPr>
          <w:sz w:val="22"/>
        </w:rPr>
        <w:tab/>
        <w:t>PT Memo #98-15</w:t>
      </w:r>
    </w:p>
    <w:p>
      <w:pPr>
        <w:spacing w:before="0"/>
        <w:ind w:left="1439" w:right="739" w:firstLine="0"/>
        <w:jc w:val="left"/>
        <w:rPr>
          <w:sz w:val="22"/>
        </w:rPr>
      </w:pPr>
      <w:r>
        <w:rPr>
          <w:sz w:val="22"/>
        </w:rPr>
        <w:t>Permanent,</w:t>
      </w:r>
      <w:r>
        <w:rPr>
          <w:spacing w:val="-3"/>
          <w:sz w:val="22"/>
        </w:rPr>
        <w:t> </w:t>
      </w:r>
      <w:r>
        <w:rPr>
          <w:sz w:val="22"/>
        </w:rPr>
        <w:t>reference</w:t>
      </w:r>
      <w:r>
        <w:rPr>
          <w:spacing w:val="-4"/>
          <w:sz w:val="22"/>
        </w:rPr>
        <w:t> </w:t>
      </w:r>
      <w:r>
        <w:rPr>
          <w:sz w:val="22"/>
        </w:rPr>
        <w:t>to</w:t>
      </w:r>
      <w:r>
        <w:rPr>
          <w:spacing w:val="-5"/>
          <w:sz w:val="22"/>
        </w:rPr>
        <w:t> </w:t>
      </w:r>
      <w:r>
        <w:rPr>
          <w:sz w:val="22"/>
        </w:rPr>
        <w:t>"client"</w:t>
      </w:r>
      <w:r>
        <w:rPr>
          <w:spacing w:val="-4"/>
          <w:sz w:val="22"/>
        </w:rPr>
        <w:t> </w:t>
      </w:r>
      <w:r>
        <w:rPr>
          <w:sz w:val="22"/>
        </w:rPr>
        <w:t>changed</w:t>
      </w:r>
      <w:r>
        <w:rPr>
          <w:spacing w:val="-4"/>
          <w:sz w:val="22"/>
        </w:rPr>
        <w:t> </w:t>
      </w:r>
      <w:r>
        <w:rPr>
          <w:sz w:val="22"/>
        </w:rPr>
        <w:t>to</w:t>
      </w:r>
      <w:r>
        <w:rPr>
          <w:spacing w:val="-4"/>
          <w:sz w:val="22"/>
        </w:rPr>
        <w:t> </w:t>
      </w:r>
      <w:r>
        <w:rPr>
          <w:sz w:val="22"/>
        </w:rPr>
        <w:t>"individual";</w:t>
      </w:r>
      <w:r>
        <w:rPr>
          <w:spacing w:val="-4"/>
          <w:sz w:val="22"/>
        </w:rPr>
        <w:t> </w:t>
      </w:r>
      <w:r>
        <w:rPr>
          <w:sz w:val="22"/>
        </w:rPr>
        <w:t>ITS</w:t>
      </w:r>
      <w:r>
        <w:rPr>
          <w:spacing w:val="-6"/>
          <w:sz w:val="22"/>
        </w:rPr>
        <w:t> </w:t>
      </w:r>
      <w:r>
        <w:rPr>
          <w:sz w:val="22"/>
        </w:rPr>
        <w:t>updated</w:t>
      </w:r>
      <w:r>
        <w:rPr>
          <w:spacing w:val="-4"/>
          <w:sz w:val="22"/>
        </w:rPr>
        <w:t> </w:t>
      </w:r>
      <w:r>
        <w:rPr>
          <w:sz w:val="22"/>
        </w:rPr>
        <w:t>to</w:t>
      </w:r>
      <w:r>
        <w:rPr>
          <w:spacing w:val="-4"/>
          <w:sz w:val="22"/>
        </w:rPr>
        <w:t> </w:t>
      </w:r>
      <w:r>
        <w:rPr>
          <w:sz w:val="22"/>
        </w:rPr>
        <w:t>conform</w:t>
      </w:r>
      <w:r>
        <w:rPr>
          <w:spacing w:val="-5"/>
          <w:sz w:val="22"/>
        </w:rPr>
        <w:t> </w:t>
      </w:r>
      <w:r>
        <w:rPr>
          <w:sz w:val="22"/>
        </w:rPr>
        <w:t>with ORMIS System</w:t>
      </w:r>
    </w:p>
    <w:p>
      <w:pPr>
        <w:tabs>
          <w:tab w:pos="1439" w:val="left" w:leader="none"/>
        </w:tabs>
        <w:spacing w:before="0"/>
        <w:ind w:left="359" w:right="0" w:firstLine="0"/>
        <w:jc w:val="left"/>
        <w:rPr>
          <w:sz w:val="22"/>
        </w:rPr>
      </w:pPr>
      <w:r>
        <w:rPr>
          <w:spacing w:val="-2"/>
          <w:sz w:val="22"/>
        </w:rPr>
        <w:t>6-14-</w:t>
      </w:r>
      <w:r>
        <w:rPr>
          <w:spacing w:val="-5"/>
          <w:sz w:val="22"/>
        </w:rPr>
        <w:t>99</w:t>
      </w:r>
      <w:r>
        <w:rPr>
          <w:sz w:val="22"/>
        </w:rPr>
        <w:tab/>
        <w:t>POL</w:t>
      </w:r>
      <w:r>
        <w:rPr>
          <w:spacing w:val="-9"/>
          <w:sz w:val="22"/>
        </w:rPr>
        <w:t> </w:t>
      </w:r>
      <w:r>
        <w:rPr>
          <w:sz w:val="22"/>
        </w:rPr>
        <w:t>Memo</w:t>
      </w:r>
      <w:r>
        <w:rPr>
          <w:spacing w:val="-8"/>
          <w:sz w:val="22"/>
        </w:rPr>
        <w:t> </w:t>
      </w:r>
      <w:r>
        <w:rPr>
          <w:sz w:val="22"/>
        </w:rPr>
        <w:t>#99-</w:t>
      </w:r>
      <w:r>
        <w:rPr>
          <w:spacing w:val="-10"/>
          <w:sz w:val="22"/>
        </w:rPr>
        <w:t>7</w:t>
      </w:r>
    </w:p>
    <w:p>
      <w:pPr>
        <w:spacing w:before="0"/>
        <w:ind w:left="1439" w:right="775" w:firstLine="0"/>
        <w:jc w:val="left"/>
        <w:rPr>
          <w:sz w:val="22"/>
        </w:rPr>
      </w:pPr>
      <w:r>
        <w:rPr>
          <w:sz w:val="22"/>
        </w:rPr>
        <w:t>Emergency,</w:t>
      </w:r>
      <w:r>
        <w:rPr>
          <w:spacing w:val="-3"/>
          <w:sz w:val="22"/>
        </w:rPr>
        <w:t> </w:t>
      </w:r>
      <w:r>
        <w:rPr>
          <w:sz w:val="22"/>
        </w:rPr>
        <w:t>updated</w:t>
      </w:r>
      <w:r>
        <w:rPr>
          <w:spacing w:val="-3"/>
          <w:sz w:val="22"/>
        </w:rPr>
        <w:t> </w:t>
      </w:r>
      <w:r>
        <w:rPr>
          <w:sz w:val="22"/>
        </w:rPr>
        <w:t>DVR/DVS</w:t>
      </w:r>
      <w:r>
        <w:rPr>
          <w:spacing w:val="-3"/>
          <w:sz w:val="22"/>
        </w:rPr>
        <w:t> </w:t>
      </w:r>
      <w:r>
        <w:rPr>
          <w:sz w:val="22"/>
        </w:rPr>
        <w:t>and</w:t>
      </w:r>
      <w:r>
        <w:rPr>
          <w:spacing w:val="-3"/>
          <w:sz w:val="22"/>
        </w:rPr>
        <w:t> </w:t>
      </w:r>
      <w:r>
        <w:rPr>
          <w:sz w:val="22"/>
        </w:rPr>
        <w:t>IRP</w:t>
      </w:r>
      <w:r>
        <w:rPr>
          <w:spacing w:val="-3"/>
          <w:sz w:val="22"/>
        </w:rPr>
        <w:t> </w:t>
      </w:r>
      <w:r>
        <w:rPr>
          <w:sz w:val="22"/>
        </w:rPr>
        <w:t>to</w:t>
      </w:r>
      <w:r>
        <w:rPr>
          <w:spacing w:val="-3"/>
          <w:sz w:val="22"/>
        </w:rPr>
        <w:t> </w:t>
      </w:r>
      <w:r>
        <w:rPr>
          <w:sz w:val="22"/>
        </w:rPr>
        <w:t>IPE;</w:t>
      </w:r>
      <w:r>
        <w:rPr>
          <w:spacing w:val="-2"/>
          <w:sz w:val="22"/>
        </w:rPr>
        <w:t> </w:t>
      </w:r>
      <w:r>
        <w:rPr>
          <w:sz w:val="22"/>
        </w:rPr>
        <w:t>when</w:t>
      </w:r>
      <w:r>
        <w:rPr>
          <w:spacing w:val="-3"/>
          <w:sz w:val="22"/>
        </w:rPr>
        <w:t> </w:t>
      </w:r>
      <w:r>
        <w:rPr>
          <w:sz w:val="22"/>
        </w:rPr>
        <w:t>in</w:t>
      </w:r>
      <w:r>
        <w:rPr>
          <w:spacing w:val="-3"/>
          <w:sz w:val="22"/>
        </w:rPr>
        <w:t> </w:t>
      </w:r>
      <w:r>
        <w:rPr>
          <w:sz w:val="22"/>
        </w:rPr>
        <w:t>the</w:t>
      </w:r>
      <w:r>
        <w:rPr>
          <w:spacing w:val="-3"/>
          <w:sz w:val="22"/>
        </w:rPr>
        <w:t> </w:t>
      </w:r>
      <w:r>
        <w:rPr>
          <w:sz w:val="22"/>
        </w:rPr>
        <w:t>best</w:t>
      </w:r>
      <w:r>
        <w:rPr>
          <w:spacing w:val="-3"/>
          <w:sz w:val="22"/>
        </w:rPr>
        <w:t> </w:t>
      </w:r>
      <w:r>
        <w:rPr>
          <w:sz w:val="22"/>
        </w:rPr>
        <w:t>interest</w:t>
      </w:r>
      <w:r>
        <w:rPr>
          <w:spacing w:val="-4"/>
          <w:sz w:val="22"/>
        </w:rPr>
        <w:t> </w:t>
      </w:r>
      <w:r>
        <w:rPr>
          <w:sz w:val="22"/>
        </w:rPr>
        <w:t>of</w:t>
      </w:r>
      <w:r>
        <w:rPr>
          <w:spacing w:val="-3"/>
          <w:sz w:val="22"/>
        </w:rPr>
        <w:t> </w:t>
      </w:r>
      <w:r>
        <w:rPr>
          <w:sz w:val="22"/>
        </w:rPr>
        <w:t>the individual, the case no longer "may" be transferred, but "will" be transferred</w:t>
      </w:r>
    </w:p>
    <w:p>
      <w:pPr>
        <w:pStyle w:val="ListParagraph"/>
        <w:numPr>
          <w:ilvl w:val="2"/>
          <w:numId w:val="101"/>
        </w:numPr>
        <w:tabs>
          <w:tab w:pos="1439" w:val="left" w:leader="none"/>
        </w:tabs>
        <w:spacing w:line="252" w:lineRule="exact" w:before="0" w:after="0"/>
        <w:ind w:left="1439" w:right="0" w:hanging="1080"/>
        <w:jc w:val="left"/>
        <w:rPr>
          <w:sz w:val="22"/>
        </w:rPr>
      </w:pPr>
      <w:r>
        <w:rPr>
          <w:sz w:val="22"/>
        </w:rPr>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10-1-07</w:t>
      </w:r>
      <w:r>
        <w:rPr>
          <w:sz w:val="22"/>
        </w:rPr>
        <w:tab/>
        <w:t>PT Memo #08-02</w:t>
      </w:r>
    </w:p>
    <w:p>
      <w:pPr>
        <w:tabs>
          <w:tab w:pos="1439" w:val="left" w:leader="none"/>
        </w:tabs>
        <w:spacing w:before="1"/>
        <w:ind w:left="359" w:right="4046" w:firstLine="1080"/>
        <w:jc w:val="left"/>
        <w:rPr>
          <w:sz w:val="22"/>
        </w:rPr>
      </w:pPr>
      <w:r>
        <w:rPr>
          <w:sz w:val="22"/>
        </w:rPr>
        <w:t>Permanent,</w:t>
      </w:r>
      <w:r>
        <w:rPr>
          <w:spacing w:val="-6"/>
          <w:sz w:val="22"/>
        </w:rPr>
        <w:t> </w:t>
      </w:r>
      <w:r>
        <w:rPr>
          <w:sz w:val="22"/>
        </w:rPr>
        <w:t>Removed</w:t>
      </w:r>
      <w:r>
        <w:rPr>
          <w:spacing w:val="-7"/>
          <w:sz w:val="22"/>
        </w:rPr>
        <w:t> </w:t>
      </w:r>
      <w:r>
        <w:rPr>
          <w:sz w:val="22"/>
        </w:rPr>
        <w:t>ORMIS</w:t>
      </w:r>
      <w:r>
        <w:rPr>
          <w:spacing w:val="-7"/>
          <w:sz w:val="22"/>
        </w:rPr>
        <w:t> </w:t>
      </w:r>
      <w:r>
        <w:rPr>
          <w:sz w:val="22"/>
        </w:rPr>
        <w:t>reference.</w:t>
      </w:r>
      <w:r>
        <w:rPr>
          <w:spacing w:val="40"/>
          <w:sz w:val="22"/>
        </w:rPr>
        <w:t> </w:t>
      </w:r>
      <w:r>
        <w:rPr>
          <w:sz w:val="22"/>
        </w:rPr>
        <w:t>ITS</w:t>
      </w:r>
      <w:r>
        <w:rPr>
          <w:spacing w:val="-7"/>
          <w:sz w:val="22"/>
        </w:rPr>
        <w:t> </w:t>
      </w:r>
      <w:r>
        <w:rPr>
          <w:sz w:val="22"/>
        </w:rPr>
        <w:t>Only </w:t>
      </w:r>
      <w:r>
        <w:rPr>
          <w:spacing w:val="-2"/>
          <w:sz w:val="22"/>
        </w:rPr>
        <w:t>7-1-11</w:t>
      </w:r>
      <w:r>
        <w:rPr>
          <w:sz w:val="22"/>
        </w:rPr>
        <w:tab/>
        <w:t>PT Memo #12-01</w:t>
      </w:r>
    </w:p>
    <w:p>
      <w:pPr>
        <w:spacing w:line="252" w:lineRule="exact" w:before="0"/>
        <w:ind w:left="1439" w:right="0" w:firstLine="0"/>
        <w:jc w:val="left"/>
        <w:rPr>
          <w:sz w:val="22"/>
        </w:rPr>
      </w:pPr>
      <w:r>
        <w:rPr>
          <w:sz w:val="22"/>
        </w:rPr>
        <w:t>Permanent,</w:t>
      </w:r>
      <w:r>
        <w:rPr>
          <w:spacing w:val="-9"/>
          <w:sz w:val="22"/>
        </w:rPr>
        <w:t> </w:t>
      </w:r>
      <w:r>
        <w:rPr>
          <w:sz w:val="22"/>
        </w:rPr>
        <w:t>removed</w:t>
      </w:r>
      <w:r>
        <w:rPr>
          <w:spacing w:val="-10"/>
          <w:sz w:val="22"/>
        </w:rPr>
        <w:t> </w:t>
      </w:r>
      <w:r>
        <w:rPr>
          <w:sz w:val="22"/>
        </w:rPr>
        <w:t>procedures</w:t>
      </w:r>
      <w:r>
        <w:rPr>
          <w:spacing w:val="-10"/>
          <w:sz w:val="22"/>
        </w:rPr>
        <w:t> </w:t>
      </w:r>
      <w:r>
        <w:rPr>
          <w:sz w:val="22"/>
        </w:rPr>
        <w:t>from</w:t>
      </w:r>
      <w:r>
        <w:rPr>
          <w:spacing w:val="-11"/>
          <w:sz w:val="22"/>
        </w:rPr>
        <w:t> </w:t>
      </w:r>
      <w:r>
        <w:rPr>
          <w:spacing w:val="-2"/>
          <w:sz w:val="22"/>
        </w:rPr>
        <w:t>policy</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1"/>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spacing w:after="0"/>
        <w:jc w:val="left"/>
        <w:rPr>
          <w:sz w:val="22"/>
        </w:rPr>
        <w:sectPr>
          <w:pgSz w:w="12240" w:h="15840"/>
          <w:pgMar w:top="1340" w:bottom="280" w:left="1080" w:right="720"/>
        </w:sectPr>
      </w:pPr>
    </w:p>
    <w:p>
      <w:pPr>
        <w:tabs>
          <w:tab w:pos="1439" w:val="left" w:leader="none"/>
        </w:tabs>
        <w:spacing w:before="80"/>
        <w:ind w:left="360" w:right="0" w:firstLine="0"/>
        <w:jc w:val="left"/>
        <w:rPr>
          <w:sz w:val="22"/>
        </w:rPr>
      </w:pPr>
      <w:r>
        <w:rPr>
          <w:spacing w:val="-2"/>
          <w:sz w:val="22"/>
        </w:rPr>
        <w:t>9-11-</w:t>
      </w:r>
      <w:r>
        <w:rPr>
          <w:spacing w:val="-5"/>
          <w:sz w:val="22"/>
        </w:rPr>
        <w:t>20</w:t>
      </w:r>
      <w:r>
        <w:rPr>
          <w:sz w:val="22"/>
        </w:rPr>
        <w:tab/>
        <w:t>Division</w:t>
      </w:r>
      <w:r>
        <w:rPr>
          <w:spacing w:val="-6"/>
          <w:sz w:val="22"/>
        </w:rPr>
        <w:t> </w:t>
      </w:r>
      <w:r>
        <w:rPr>
          <w:sz w:val="22"/>
        </w:rPr>
        <w:t>name</w:t>
      </w:r>
      <w:r>
        <w:rPr>
          <w:spacing w:val="-5"/>
          <w:sz w:val="22"/>
        </w:rPr>
        <w:t> </w:t>
      </w:r>
      <w:r>
        <w:rPr>
          <w:sz w:val="22"/>
        </w:rPr>
        <w:t>change</w:t>
      </w:r>
      <w:r>
        <w:rPr>
          <w:spacing w:val="-5"/>
          <w:sz w:val="22"/>
        </w:rPr>
        <w:t> </w:t>
      </w:r>
      <w:r>
        <w:rPr>
          <w:sz w:val="22"/>
        </w:rPr>
        <w:t>of</w:t>
      </w:r>
      <w:r>
        <w:rPr>
          <w:spacing w:val="-5"/>
          <w:sz w:val="22"/>
        </w:rPr>
        <w:t> </w:t>
      </w:r>
      <w:r>
        <w:rPr>
          <w:sz w:val="22"/>
        </w:rPr>
        <w:t>VS</w:t>
      </w:r>
      <w:r>
        <w:rPr>
          <w:spacing w:val="-5"/>
          <w:sz w:val="22"/>
        </w:rPr>
        <w:t> </w:t>
      </w:r>
      <w:r>
        <w:rPr>
          <w:sz w:val="22"/>
        </w:rPr>
        <w:t>to</w:t>
      </w:r>
      <w:r>
        <w:rPr>
          <w:spacing w:val="-6"/>
          <w:sz w:val="22"/>
        </w:rPr>
        <w:t> </w:t>
      </w:r>
      <w:r>
        <w:rPr>
          <w:spacing w:val="-4"/>
          <w:sz w:val="22"/>
        </w:rPr>
        <w:t>DSBVI</w:t>
      </w:r>
    </w:p>
    <w:p>
      <w:pPr>
        <w:spacing w:after="0"/>
        <w:jc w:val="left"/>
        <w:rPr>
          <w:sz w:val="22"/>
        </w:rPr>
        <w:sectPr>
          <w:pgSz w:w="12240" w:h="15840"/>
          <w:pgMar w:top="1360" w:bottom="280" w:left="1080" w:right="720"/>
        </w:sectPr>
      </w:pPr>
    </w:p>
    <w:p>
      <w:pPr>
        <w:pStyle w:val="Heading1"/>
      </w:pPr>
      <w:bookmarkStart w:name="PART 5.  CASE STATUS AND CLASSIFICATION " w:id="136"/>
      <w:bookmarkEnd w:id="136"/>
      <w:r>
        <w:rPr>
          <w:b w:val="0"/>
        </w:rPr>
      </w:r>
      <w:r>
        <w:rPr/>
        <w:t>PART</w:t>
      </w:r>
      <w:r>
        <w:rPr>
          <w:spacing w:val="-2"/>
        </w:rPr>
        <w:t> </w:t>
      </w:r>
      <w:r>
        <w:rPr/>
        <w:t>5.</w:t>
      </w:r>
      <w:r>
        <w:rPr>
          <w:spacing w:val="62"/>
        </w:rPr>
        <w:t> </w:t>
      </w:r>
      <w:r>
        <w:rPr/>
        <w:t>CASE</w:t>
      </w:r>
      <w:r>
        <w:rPr>
          <w:spacing w:val="-2"/>
        </w:rPr>
        <w:t> </w:t>
      </w:r>
      <w:r>
        <w:rPr/>
        <w:t>STATUS</w:t>
      </w:r>
      <w:r>
        <w:rPr>
          <w:spacing w:val="-2"/>
        </w:rPr>
        <w:t> </w:t>
      </w:r>
      <w:r>
        <w:rPr/>
        <w:t>AND</w:t>
      </w:r>
      <w:r>
        <w:rPr>
          <w:spacing w:val="-3"/>
        </w:rPr>
        <w:t> </w:t>
      </w:r>
      <w:r>
        <w:rPr/>
        <w:t>CLASSIFICATION</w:t>
      </w:r>
      <w:r>
        <w:rPr>
          <w:spacing w:val="-2"/>
        </w:rPr>
        <w:t> SYSTEM</w:t>
      </w:r>
    </w:p>
    <w:p>
      <w:pPr>
        <w:pStyle w:val="BodyText"/>
        <w:spacing w:before="204"/>
      </w:pPr>
      <w:r>
        <w:rPr>
          <w:spacing w:val="-2"/>
        </w:rPr>
        <w:t>Section</w:t>
      </w:r>
    </w:p>
    <w:p>
      <w:pPr>
        <w:pStyle w:val="BodyText"/>
        <w:tabs>
          <w:tab w:pos="2069" w:val="left" w:leader="none"/>
        </w:tabs>
        <w:spacing w:line="417" w:lineRule="auto" w:before="204"/>
        <w:ind w:right="3007"/>
      </w:pPr>
      <w:r>
        <w:rPr>
          <w:spacing w:val="-2"/>
        </w:rPr>
        <w:t>612:10-7-45.</w:t>
      </w:r>
      <w:r>
        <w:rPr/>
        <w:tab/>
        <w:t>Electronic</w:t>
      </w:r>
      <w:r>
        <w:rPr>
          <w:spacing w:val="-10"/>
        </w:rPr>
        <w:t> </w:t>
      </w:r>
      <w:r>
        <w:rPr/>
        <w:t>Case</w:t>
      </w:r>
      <w:r>
        <w:rPr>
          <w:spacing w:val="-11"/>
        </w:rPr>
        <w:t> </w:t>
      </w:r>
      <w:r>
        <w:rPr/>
        <w:t>Management</w:t>
      </w:r>
      <w:r>
        <w:rPr>
          <w:spacing w:val="-10"/>
        </w:rPr>
        <w:t> </w:t>
      </w:r>
      <w:r>
        <w:rPr/>
        <w:t>System</w:t>
      </w:r>
      <w:r>
        <w:rPr>
          <w:spacing w:val="-10"/>
        </w:rPr>
        <w:t> </w:t>
      </w:r>
      <w:r>
        <w:rPr/>
        <w:t>Progression </w:t>
      </w:r>
      <w:r>
        <w:rPr>
          <w:spacing w:val="-2"/>
        </w:rPr>
        <w:t>612:10-7-50.</w:t>
      </w:r>
      <w:r>
        <w:rPr/>
        <w:tab/>
        <w:t>Eligibility status</w:t>
      </w:r>
    </w:p>
    <w:p>
      <w:pPr>
        <w:pStyle w:val="BodyText"/>
        <w:tabs>
          <w:tab w:pos="2069" w:val="left" w:leader="none"/>
        </w:tabs>
        <w:spacing w:line="417" w:lineRule="auto" w:before="0"/>
        <w:ind w:right="3246"/>
      </w:pPr>
      <w:r>
        <w:rPr/>
        <w:t>612:10-7-50.1.</w:t>
      </w:r>
      <w:r>
        <w:rPr>
          <w:spacing w:val="40"/>
        </w:rPr>
        <w:t> </w:t>
      </w:r>
      <w:r>
        <w:rPr/>
        <w:t>Assessment</w:t>
      </w:r>
      <w:r>
        <w:rPr>
          <w:spacing w:val="-6"/>
        </w:rPr>
        <w:t> </w:t>
      </w:r>
      <w:r>
        <w:rPr/>
        <w:t>for</w:t>
      </w:r>
      <w:r>
        <w:rPr>
          <w:spacing w:val="-7"/>
        </w:rPr>
        <w:t> </w:t>
      </w:r>
      <w:r>
        <w:rPr/>
        <w:t>determining</w:t>
      </w:r>
      <w:r>
        <w:rPr>
          <w:spacing w:val="-7"/>
        </w:rPr>
        <w:t> </w:t>
      </w:r>
      <w:r>
        <w:rPr/>
        <w:t>rehabilitation</w:t>
      </w:r>
      <w:r>
        <w:rPr>
          <w:spacing w:val="-7"/>
        </w:rPr>
        <w:t> </w:t>
      </w:r>
      <w:r>
        <w:rPr/>
        <w:t>needs </w:t>
      </w:r>
      <w:r>
        <w:rPr>
          <w:spacing w:val="-2"/>
        </w:rPr>
        <w:t>612:10-7-51.</w:t>
      </w:r>
      <w:r>
        <w:rPr/>
        <w:tab/>
        <w:t>Individualized Plan for Employment</w:t>
      </w:r>
    </w:p>
    <w:p>
      <w:pPr>
        <w:pStyle w:val="BodyText"/>
        <w:tabs>
          <w:tab w:pos="2069" w:val="left" w:leader="none"/>
        </w:tabs>
        <w:spacing w:line="208" w:lineRule="auto" w:before="28"/>
        <w:ind w:left="2070" w:right="1871" w:hanging="1710"/>
      </w:pPr>
      <w:r>
        <w:rPr>
          <w:spacing w:val="-2"/>
        </w:rPr>
        <w:t>612:10-7-52.</w:t>
      </w:r>
      <w:r>
        <w:rPr/>
        <w:tab/>
        <w:t>Scope</w:t>
      </w:r>
      <w:r>
        <w:rPr>
          <w:spacing w:val="-6"/>
        </w:rPr>
        <w:t> </w:t>
      </w:r>
      <w:r>
        <w:rPr/>
        <w:t>of</w:t>
      </w:r>
      <w:r>
        <w:rPr>
          <w:spacing w:val="-5"/>
        </w:rPr>
        <w:t> </w:t>
      </w:r>
      <w:r>
        <w:rPr/>
        <w:t>vocational</w:t>
      </w:r>
      <w:r>
        <w:rPr>
          <w:spacing w:val="-6"/>
        </w:rPr>
        <w:t> </w:t>
      </w:r>
      <w:r>
        <w:rPr/>
        <w:t>rehabilitation</w:t>
      </w:r>
      <w:r>
        <w:rPr>
          <w:spacing w:val="-6"/>
        </w:rPr>
        <w:t> </w:t>
      </w:r>
      <w:r>
        <w:rPr/>
        <w:t>services</w:t>
      </w:r>
      <w:r>
        <w:rPr>
          <w:spacing w:val="-6"/>
        </w:rPr>
        <w:t> </w:t>
      </w:r>
      <w:r>
        <w:rPr/>
        <w:t>for</w:t>
      </w:r>
      <w:r>
        <w:rPr>
          <w:spacing w:val="-5"/>
        </w:rPr>
        <w:t> </w:t>
      </w:r>
      <w:r>
        <w:rPr/>
        <w:t>individuals</w:t>
      </w:r>
      <w:r>
        <w:rPr>
          <w:spacing w:val="-6"/>
        </w:rPr>
        <w:t> </w:t>
      </w:r>
      <w:r>
        <w:rPr/>
        <w:t>with </w:t>
      </w:r>
      <w:r>
        <w:rPr>
          <w:spacing w:val="-2"/>
        </w:rPr>
        <w:t>disabilities</w:t>
      </w:r>
    </w:p>
    <w:p>
      <w:pPr>
        <w:pStyle w:val="BodyText"/>
        <w:tabs>
          <w:tab w:pos="2069" w:val="left" w:leader="none"/>
        </w:tabs>
        <w:spacing w:before="211"/>
      </w:pPr>
      <w:r>
        <w:rPr>
          <w:spacing w:val="-2"/>
        </w:rPr>
        <w:t>612:10-7-</w:t>
      </w:r>
      <w:r>
        <w:rPr>
          <w:spacing w:val="-5"/>
        </w:rPr>
        <w:t>55.</w:t>
      </w:r>
      <w:r>
        <w:rPr/>
        <w:tab/>
        <w:t>Job</w:t>
      </w:r>
      <w:r>
        <w:rPr>
          <w:spacing w:val="-3"/>
        </w:rPr>
        <w:t> </w:t>
      </w:r>
      <w:r>
        <w:rPr>
          <w:spacing w:val="-2"/>
        </w:rPr>
        <w:t>Ready</w:t>
      </w:r>
    </w:p>
    <w:p>
      <w:pPr>
        <w:pStyle w:val="BodyText"/>
        <w:tabs>
          <w:tab w:pos="2069" w:val="left" w:leader="none"/>
        </w:tabs>
        <w:spacing w:before="204"/>
      </w:pPr>
      <w:r>
        <w:rPr>
          <w:spacing w:val="-2"/>
        </w:rPr>
        <w:t>612:10-7-</w:t>
      </w:r>
      <w:r>
        <w:rPr>
          <w:spacing w:val="-5"/>
        </w:rPr>
        <w:t>56.</w:t>
      </w:r>
      <w:r>
        <w:rPr/>
        <w:tab/>
      </w:r>
      <w:r>
        <w:rPr>
          <w:spacing w:val="-2"/>
        </w:rPr>
        <w:t>Employment</w:t>
      </w:r>
    </w:p>
    <w:p>
      <w:pPr>
        <w:pStyle w:val="BodyText"/>
        <w:tabs>
          <w:tab w:pos="2069" w:val="left" w:leader="none"/>
        </w:tabs>
        <w:spacing w:before="204"/>
      </w:pPr>
      <w:r>
        <w:rPr>
          <w:spacing w:val="-2"/>
        </w:rPr>
        <w:t>612:10-7-</w:t>
      </w:r>
      <w:r>
        <w:rPr>
          <w:spacing w:val="-5"/>
        </w:rPr>
        <w:t>58.</w:t>
      </w:r>
      <w:r>
        <w:rPr/>
        <w:tab/>
        <w:t>Closed</w:t>
      </w:r>
      <w:r>
        <w:rPr>
          <w:spacing w:val="-3"/>
        </w:rPr>
        <w:t> </w:t>
      </w:r>
      <w:r>
        <w:rPr>
          <w:spacing w:val="-2"/>
        </w:rPr>
        <w:t>Rehabilitated</w:t>
      </w:r>
    </w:p>
    <w:p>
      <w:pPr>
        <w:pStyle w:val="BodyText"/>
        <w:tabs>
          <w:tab w:pos="2069" w:val="left" w:leader="none"/>
        </w:tabs>
        <w:spacing w:before="204"/>
      </w:pPr>
      <w:r>
        <w:rPr>
          <w:spacing w:val="-2"/>
        </w:rPr>
        <w:t>612:10-7-</w:t>
      </w:r>
      <w:r>
        <w:rPr>
          <w:spacing w:val="-5"/>
        </w:rPr>
        <w:t>62.</w:t>
      </w:r>
      <w:r>
        <w:rPr/>
        <w:tab/>
        <w:t>Post-Employment</w:t>
      </w:r>
      <w:r>
        <w:rPr>
          <w:spacing w:val="-7"/>
        </w:rPr>
        <w:t> </w:t>
      </w:r>
      <w:r>
        <w:rPr>
          <w:spacing w:val="-2"/>
        </w:rPr>
        <w:t>services</w:t>
      </w:r>
    </w:p>
    <w:p>
      <w:pPr>
        <w:pStyle w:val="BodyText"/>
        <w:tabs>
          <w:tab w:pos="2069" w:val="left" w:leader="none"/>
        </w:tabs>
        <w:spacing w:before="204"/>
      </w:pPr>
      <w:r>
        <w:rPr>
          <w:spacing w:val="-2"/>
        </w:rPr>
        <w:t>612:10-7-</w:t>
      </w:r>
      <w:r>
        <w:rPr>
          <w:spacing w:val="-5"/>
        </w:rPr>
        <w:t>63.</w:t>
      </w:r>
      <w:r>
        <w:rPr/>
        <w:tab/>
        <w:t>Post-Employment</w:t>
      </w:r>
      <w:r>
        <w:rPr>
          <w:spacing w:val="-6"/>
        </w:rPr>
        <w:t> </w:t>
      </w:r>
      <w:r>
        <w:rPr/>
        <w:t>services</w:t>
      </w:r>
      <w:r>
        <w:rPr>
          <w:spacing w:val="-5"/>
        </w:rPr>
        <w:t> </w:t>
      </w:r>
      <w:r>
        <w:rPr>
          <w:spacing w:val="-2"/>
        </w:rPr>
        <w:t>completed</w:t>
      </w:r>
    </w:p>
    <w:p>
      <w:pPr>
        <w:spacing w:before="237"/>
        <w:ind w:left="360" w:right="0" w:firstLine="0"/>
        <w:jc w:val="left"/>
        <w:rPr>
          <w:sz w:val="22"/>
        </w:rPr>
      </w:pPr>
      <w:r>
        <w:rPr>
          <w:sz w:val="22"/>
        </w:rPr>
        <w:t>Section</w:t>
      </w:r>
      <w:r>
        <w:rPr>
          <w:spacing w:val="-9"/>
          <w:sz w:val="22"/>
        </w:rPr>
        <w:t> </w:t>
      </w:r>
      <w:r>
        <w:rPr>
          <w:spacing w:val="-2"/>
          <w:sz w:val="22"/>
        </w:rPr>
        <w:t>History</w:t>
      </w:r>
    </w:p>
    <w:p>
      <w:pPr>
        <w:pStyle w:val="BodyText"/>
        <w:spacing w:before="1"/>
        <w:ind w:left="0"/>
        <w:rPr>
          <w:sz w:val="22"/>
        </w:rPr>
      </w:pPr>
    </w:p>
    <w:p>
      <w:pPr>
        <w:pStyle w:val="BodyText"/>
        <w:tabs>
          <w:tab w:pos="1439" w:val="left" w:leader="none"/>
        </w:tabs>
        <w:spacing w:before="0"/>
        <w:ind w:left="1439" w:right="894" w:hanging="1080"/>
      </w:pPr>
      <w:r>
        <w:rPr>
          <w:spacing w:val="-2"/>
        </w:rPr>
        <w:t>8-26-21</w:t>
      </w:r>
      <w:r>
        <w:rPr/>
        <w:tab/>
        <w:t>Rule name change 612:10-7-45 'Case statuses and case flow' to ‘Electronic Case</w:t>
      </w:r>
      <w:r>
        <w:rPr>
          <w:spacing w:val="-5"/>
        </w:rPr>
        <w:t> </w:t>
      </w:r>
      <w:r>
        <w:rPr/>
        <w:t>Management</w:t>
      </w:r>
      <w:r>
        <w:rPr>
          <w:spacing w:val="-5"/>
        </w:rPr>
        <w:t> </w:t>
      </w:r>
      <w:r>
        <w:rPr/>
        <w:t>System</w:t>
      </w:r>
      <w:r>
        <w:rPr>
          <w:spacing w:val="-5"/>
        </w:rPr>
        <w:t> </w:t>
      </w:r>
      <w:r>
        <w:rPr/>
        <w:t>Progression'.</w:t>
      </w:r>
      <w:r>
        <w:rPr>
          <w:spacing w:val="-5"/>
        </w:rPr>
        <w:t> </w:t>
      </w:r>
      <w:r>
        <w:rPr/>
        <w:t>Revised</w:t>
      </w:r>
      <w:r>
        <w:rPr>
          <w:spacing w:val="-5"/>
        </w:rPr>
        <w:t> </w:t>
      </w:r>
      <w:r>
        <w:rPr/>
        <w:t>to</w:t>
      </w:r>
      <w:r>
        <w:rPr>
          <w:spacing w:val="-5"/>
        </w:rPr>
        <w:t> </w:t>
      </w:r>
      <w:r>
        <w:rPr/>
        <w:t>reflect</w:t>
      </w:r>
      <w:r>
        <w:rPr>
          <w:spacing w:val="-5"/>
        </w:rPr>
        <w:t> </w:t>
      </w:r>
      <w:r>
        <w:rPr/>
        <w:t>WIOA</w:t>
      </w:r>
      <w:r>
        <w:rPr>
          <w:spacing w:val="-5"/>
        </w:rPr>
        <w:t> </w:t>
      </w:r>
      <w:r>
        <w:rPr/>
        <w:t>language.</w:t>
      </w:r>
    </w:p>
    <w:p>
      <w:pPr>
        <w:pStyle w:val="BodyText"/>
        <w:tabs>
          <w:tab w:pos="1439" w:val="left" w:leader="none"/>
        </w:tabs>
        <w:spacing w:line="208" w:lineRule="auto" w:before="0"/>
        <w:ind w:left="1439" w:right="727" w:hanging="1080"/>
      </w:pPr>
      <w:r>
        <w:rPr>
          <w:spacing w:val="-2"/>
        </w:rPr>
        <w:t>8-26-21</w:t>
      </w:r>
      <w:r>
        <w:rPr/>
        <w:tab/>
        <w:t>Rule</w:t>
      </w:r>
      <w:r>
        <w:rPr>
          <w:spacing w:val="-5"/>
        </w:rPr>
        <w:t> </w:t>
      </w:r>
      <w:r>
        <w:rPr/>
        <w:t>name</w:t>
      </w:r>
      <w:r>
        <w:rPr>
          <w:spacing w:val="-4"/>
        </w:rPr>
        <w:t> </w:t>
      </w:r>
      <w:r>
        <w:rPr/>
        <w:t>change</w:t>
      </w:r>
      <w:r>
        <w:rPr>
          <w:spacing w:val="-5"/>
        </w:rPr>
        <w:t> </w:t>
      </w:r>
      <w:r>
        <w:rPr/>
        <w:t>612:10-7-52</w:t>
      </w:r>
      <w:r>
        <w:rPr>
          <w:spacing w:val="-5"/>
        </w:rPr>
        <w:t> </w:t>
      </w:r>
      <w:r>
        <w:rPr/>
        <w:t>‘Provision</w:t>
      </w:r>
      <w:r>
        <w:rPr>
          <w:spacing w:val="-5"/>
        </w:rPr>
        <w:t> </w:t>
      </w:r>
      <w:r>
        <w:rPr/>
        <w:t>of</w:t>
      </w:r>
      <w:r>
        <w:rPr>
          <w:spacing w:val="-4"/>
        </w:rPr>
        <w:t> </w:t>
      </w:r>
      <w:r>
        <w:rPr/>
        <w:t>Services’</w:t>
      </w:r>
      <w:r>
        <w:rPr>
          <w:spacing w:val="-5"/>
        </w:rPr>
        <w:t> </w:t>
      </w:r>
      <w:r>
        <w:rPr/>
        <w:t>to</w:t>
      </w:r>
      <w:r>
        <w:rPr>
          <w:spacing w:val="-5"/>
        </w:rPr>
        <w:t> </w:t>
      </w:r>
      <w:r>
        <w:rPr/>
        <w:t>‘Scope</w:t>
      </w:r>
      <w:r>
        <w:rPr>
          <w:spacing w:val="-5"/>
        </w:rPr>
        <w:t> </w:t>
      </w:r>
      <w:r>
        <w:rPr/>
        <w:t>of</w:t>
      </w:r>
      <w:r>
        <w:rPr>
          <w:spacing w:val="-4"/>
        </w:rPr>
        <w:t> </w:t>
      </w:r>
      <w:r>
        <w:rPr/>
        <w:t>vocational rehabilitation services for individuals with disabilities’.</w:t>
      </w:r>
    </w:p>
    <w:p>
      <w:pPr>
        <w:pStyle w:val="BodyText"/>
        <w:spacing w:line="247" w:lineRule="exact" w:before="0"/>
        <w:ind w:left="1440"/>
      </w:pPr>
      <w:r>
        <w:rPr/>
        <w:t>Revoked</w:t>
      </w:r>
      <w:r>
        <w:rPr>
          <w:spacing w:val="-7"/>
        </w:rPr>
        <w:t> </w:t>
      </w:r>
      <w:r>
        <w:rPr/>
        <w:t>612:10-7-60</w:t>
      </w:r>
      <w:r>
        <w:rPr>
          <w:spacing w:val="-4"/>
        </w:rPr>
        <w:t> </w:t>
      </w:r>
      <w:r>
        <w:rPr/>
        <w:t>Closed</w:t>
      </w:r>
      <w:r>
        <w:rPr>
          <w:spacing w:val="-4"/>
        </w:rPr>
        <w:t> </w:t>
      </w:r>
      <w:r>
        <w:rPr/>
        <w:t>not</w:t>
      </w:r>
      <w:r>
        <w:rPr>
          <w:spacing w:val="-3"/>
        </w:rPr>
        <w:t> </w:t>
      </w:r>
      <w:r>
        <w:rPr/>
        <w:t>rehabilitated,</w:t>
      </w:r>
      <w:r>
        <w:rPr>
          <w:spacing w:val="-3"/>
        </w:rPr>
        <w:t> </w:t>
      </w:r>
      <w:r>
        <w:rPr/>
        <w:t>before</w:t>
      </w:r>
      <w:r>
        <w:rPr>
          <w:spacing w:val="-4"/>
        </w:rPr>
        <w:t> </w:t>
      </w:r>
      <w:r>
        <w:rPr/>
        <w:t>IPE</w:t>
      </w:r>
      <w:r>
        <w:rPr>
          <w:spacing w:val="-4"/>
        </w:rPr>
        <w:t> </w:t>
      </w:r>
      <w:r>
        <w:rPr>
          <w:spacing w:val="-2"/>
        </w:rPr>
        <w:t>initiation.</w:t>
      </w:r>
    </w:p>
    <w:p>
      <w:pPr>
        <w:pStyle w:val="BodyText"/>
        <w:spacing w:after="0" w:line="247" w:lineRule="exact"/>
        <w:sectPr>
          <w:pgSz w:w="12240" w:h="15840"/>
          <w:pgMar w:top="1340" w:bottom="280" w:left="1080" w:right="720"/>
        </w:sectPr>
      </w:pPr>
    </w:p>
    <w:p>
      <w:pPr>
        <w:pStyle w:val="Heading2"/>
      </w:pPr>
      <w:bookmarkStart w:name="612:10-7-45.  Electronic Case Management" w:id="137"/>
      <w:bookmarkEnd w:id="137"/>
      <w:r>
        <w:rPr>
          <w:b w:val="0"/>
        </w:rPr>
      </w:r>
      <w:bookmarkStart w:name="_bookmark14" w:id="138"/>
      <w:bookmarkEnd w:id="138"/>
      <w:r>
        <w:rPr>
          <w:b w:val="0"/>
        </w:rPr>
      </w:r>
      <w:r>
        <w:rPr/>
        <w:t>612:10-7-45.</w:t>
      </w:r>
      <w:r>
        <w:rPr>
          <w:spacing w:val="55"/>
        </w:rPr>
        <w:t> </w:t>
      </w:r>
      <w:r>
        <w:rPr/>
        <w:t>Electronic</w:t>
      </w:r>
      <w:r>
        <w:rPr>
          <w:spacing w:val="-4"/>
        </w:rPr>
        <w:t> </w:t>
      </w:r>
      <w:r>
        <w:rPr/>
        <w:t>Case</w:t>
      </w:r>
      <w:r>
        <w:rPr>
          <w:spacing w:val="-5"/>
        </w:rPr>
        <w:t> </w:t>
      </w:r>
      <w:r>
        <w:rPr/>
        <w:t>Management</w:t>
      </w:r>
      <w:r>
        <w:rPr>
          <w:spacing w:val="-4"/>
        </w:rPr>
        <w:t> </w:t>
      </w:r>
      <w:r>
        <w:rPr/>
        <w:t>System</w:t>
      </w:r>
      <w:r>
        <w:rPr>
          <w:spacing w:val="-4"/>
        </w:rPr>
        <w:t> </w:t>
      </w:r>
      <w:r>
        <w:rPr>
          <w:spacing w:val="-2"/>
        </w:rPr>
        <w:t>Progression</w:t>
      </w:r>
    </w:p>
    <w:p>
      <w:pPr>
        <w:pStyle w:val="ListParagraph"/>
        <w:numPr>
          <w:ilvl w:val="0"/>
          <w:numId w:val="135"/>
        </w:numPr>
        <w:tabs>
          <w:tab w:pos="786" w:val="left" w:leader="none"/>
        </w:tabs>
        <w:spacing w:line="208" w:lineRule="auto" w:before="233" w:after="0"/>
        <w:ind w:left="360" w:right="753" w:firstLine="0"/>
        <w:jc w:val="left"/>
        <w:rPr>
          <w:b/>
          <w:sz w:val="24"/>
        </w:rPr>
      </w:pPr>
      <w:r>
        <w:rPr>
          <w:sz w:val="24"/>
        </w:rPr>
        <w:t>The</w:t>
      </w:r>
      <w:r>
        <w:rPr>
          <w:spacing w:val="-4"/>
          <w:sz w:val="24"/>
        </w:rPr>
        <w:t> </w:t>
      </w:r>
      <w:r>
        <w:rPr>
          <w:sz w:val="24"/>
        </w:rPr>
        <w:t>electronic</w:t>
      </w:r>
      <w:r>
        <w:rPr>
          <w:spacing w:val="-4"/>
          <w:sz w:val="24"/>
        </w:rPr>
        <w:t> </w:t>
      </w:r>
      <w:r>
        <w:rPr>
          <w:sz w:val="24"/>
        </w:rPr>
        <w:t>case</w:t>
      </w:r>
      <w:r>
        <w:rPr>
          <w:spacing w:val="-4"/>
          <w:sz w:val="24"/>
        </w:rPr>
        <w:t> </w:t>
      </w:r>
      <w:r>
        <w:rPr>
          <w:sz w:val="24"/>
        </w:rPr>
        <w:t>management</w:t>
      </w:r>
      <w:r>
        <w:rPr>
          <w:spacing w:val="-3"/>
          <w:sz w:val="24"/>
        </w:rPr>
        <w:t> </w:t>
      </w:r>
      <w:r>
        <w:rPr>
          <w:sz w:val="24"/>
        </w:rPr>
        <w:t>system</w:t>
      </w:r>
      <w:r>
        <w:rPr>
          <w:spacing w:val="-3"/>
          <w:sz w:val="24"/>
        </w:rPr>
        <w:t> </w:t>
      </w:r>
      <w:r>
        <w:rPr>
          <w:sz w:val="24"/>
        </w:rPr>
        <w:t>is</w:t>
      </w:r>
      <w:r>
        <w:rPr>
          <w:spacing w:val="-4"/>
          <w:sz w:val="24"/>
        </w:rPr>
        <w:t> </w:t>
      </w:r>
      <w:r>
        <w:rPr>
          <w:sz w:val="24"/>
        </w:rPr>
        <w:t>comprised</w:t>
      </w:r>
      <w:r>
        <w:rPr>
          <w:spacing w:val="-4"/>
          <w:sz w:val="24"/>
        </w:rPr>
        <w:t> </w:t>
      </w:r>
      <w:r>
        <w:rPr>
          <w:sz w:val="24"/>
        </w:rPr>
        <w:t>of</w:t>
      </w:r>
      <w:r>
        <w:rPr>
          <w:spacing w:val="-3"/>
          <w:sz w:val="24"/>
        </w:rPr>
        <w:t> </w:t>
      </w:r>
      <w:r>
        <w:rPr>
          <w:sz w:val="24"/>
        </w:rPr>
        <w:t>a</w:t>
      </w:r>
      <w:r>
        <w:rPr>
          <w:spacing w:val="-4"/>
          <w:sz w:val="24"/>
        </w:rPr>
        <w:t> </w:t>
      </w:r>
      <w:r>
        <w:rPr>
          <w:sz w:val="24"/>
        </w:rPr>
        <w:t>logical</w:t>
      </w:r>
      <w:r>
        <w:rPr>
          <w:spacing w:val="-4"/>
          <w:sz w:val="24"/>
        </w:rPr>
        <w:t> </w:t>
      </w:r>
      <w:r>
        <w:rPr>
          <w:sz w:val="24"/>
        </w:rPr>
        <w:t>flow</w:t>
      </w:r>
      <w:r>
        <w:rPr>
          <w:spacing w:val="-4"/>
          <w:sz w:val="24"/>
        </w:rPr>
        <w:t> </w:t>
      </w:r>
      <w:r>
        <w:rPr>
          <w:sz w:val="24"/>
        </w:rPr>
        <w:t>an</w:t>
      </w:r>
      <w:r>
        <w:rPr>
          <w:spacing w:val="-4"/>
          <w:sz w:val="24"/>
        </w:rPr>
        <w:t> </w:t>
      </w:r>
      <w:r>
        <w:rPr>
          <w:sz w:val="24"/>
        </w:rPr>
        <w:t>individual progresses through the vocational rehabilitation process. This electronic case management system covers the life cycle of a case from referral and application</w:t>
      </w:r>
      <w:r>
        <w:rPr>
          <w:spacing w:val="40"/>
          <w:sz w:val="24"/>
        </w:rPr>
        <w:t> </w:t>
      </w:r>
      <w:r>
        <w:rPr>
          <w:sz w:val="24"/>
        </w:rPr>
        <w:t>through eligibility, plan, employment, post-employment services, and closure. </w:t>
      </w:r>
      <w:r>
        <w:rPr>
          <w:b/>
          <w:sz w:val="24"/>
        </w:rPr>
        <w:t>1</w:t>
      </w:r>
    </w:p>
    <w:p>
      <w:pPr>
        <w:pStyle w:val="ListParagraph"/>
        <w:numPr>
          <w:ilvl w:val="0"/>
          <w:numId w:val="135"/>
        </w:numPr>
        <w:tabs>
          <w:tab w:pos="786" w:val="left" w:leader="none"/>
        </w:tabs>
        <w:spacing w:line="208" w:lineRule="auto" w:before="239" w:after="0"/>
        <w:ind w:left="360" w:right="1089" w:firstLine="0"/>
        <w:jc w:val="left"/>
        <w:rPr>
          <w:sz w:val="24"/>
        </w:rPr>
      </w:pPr>
      <w:r>
        <w:rPr>
          <w:sz w:val="24"/>
        </w:rPr>
        <w:t>No case action is effective until all required approvals have been obtained in accordance</w:t>
      </w:r>
      <w:r>
        <w:rPr>
          <w:spacing w:val="-4"/>
          <w:sz w:val="24"/>
        </w:rPr>
        <w:t> </w:t>
      </w:r>
      <w:r>
        <w:rPr>
          <w:sz w:val="24"/>
        </w:rPr>
        <w:t>with</w:t>
      </w:r>
      <w:r>
        <w:rPr>
          <w:spacing w:val="-4"/>
          <w:sz w:val="24"/>
        </w:rPr>
        <w:t> </w:t>
      </w:r>
      <w:r>
        <w:rPr>
          <w:sz w:val="24"/>
        </w:rPr>
        <w:t>administrative</w:t>
      </w:r>
      <w:r>
        <w:rPr>
          <w:spacing w:val="-4"/>
          <w:sz w:val="24"/>
        </w:rPr>
        <w:t> </w:t>
      </w:r>
      <w:r>
        <w:rPr>
          <w:sz w:val="24"/>
        </w:rPr>
        <w:t>rules.</w:t>
      </w:r>
      <w:r>
        <w:rPr>
          <w:spacing w:val="-4"/>
          <w:sz w:val="24"/>
        </w:rPr>
        <w:t> </w:t>
      </w:r>
      <w:r>
        <w:rPr>
          <w:sz w:val="24"/>
        </w:rPr>
        <w:t>The</w:t>
      </w:r>
      <w:r>
        <w:rPr>
          <w:spacing w:val="-4"/>
          <w:sz w:val="24"/>
        </w:rPr>
        <w:t> </w:t>
      </w:r>
      <w:r>
        <w:rPr>
          <w:sz w:val="24"/>
        </w:rPr>
        <w:t>effective</w:t>
      </w:r>
      <w:r>
        <w:rPr>
          <w:spacing w:val="-4"/>
          <w:sz w:val="24"/>
        </w:rPr>
        <w:t> </w:t>
      </w:r>
      <w:r>
        <w:rPr>
          <w:sz w:val="24"/>
        </w:rPr>
        <w:t>date</w:t>
      </w:r>
      <w:r>
        <w:rPr>
          <w:spacing w:val="-4"/>
          <w:sz w:val="24"/>
        </w:rPr>
        <w:t> </w:t>
      </w:r>
      <w:r>
        <w:rPr>
          <w:sz w:val="24"/>
        </w:rPr>
        <w:t>of</w:t>
      </w:r>
      <w:r>
        <w:rPr>
          <w:spacing w:val="-4"/>
          <w:sz w:val="24"/>
        </w:rPr>
        <w:t> </w:t>
      </w:r>
      <w:r>
        <w:rPr>
          <w:sz w:val="24"/>
        </w:rPr>
        <w:t>any</w:t>
      </w:r>
      <w:r>
        <w:rPr>
          <w:spacing w:val="-4"/>
          <w:sz w:val="24"/>
        </w:rPr>
        <w:t> </w:t>
      </w:r>
      <w:r>
        <w:rPr>
          <w:sz w:val="24"/>
        </w:rPr>
        <w:t>case</w:t>
      </w:r>
      <w:r>
        <w:rPr>
          <w:spacing w:val="-4"/>
          <w:sz w:val="24"/>
        </w:rPr>
        <w:t> </w:t>
      </w:r>
      <w:r>
        <w:rPr>
          <w:sz w:val="24"/>
        </w:rPr>
        <w:t>action,</w:t>
      </w:r>
      <w:r>
        <w:rPr>
          <w:spacing w:val="-4"/>
          <w:sz w:val="24"/>
        </w:rPr>
        <w:t> </w:t>
      </w:r>
      <w:r>
        <w:rPr>
          <w:sz w:val="24"/>
        </w:rPr>
        <w:t>including closures, is the date the last required approval is obtained in accordance with administrative rules.</w:t>
      </w:r>
    </w:p>
    <w:p>
      <w:pPr>
        <w:pStyle w:val="BodyText"/>
        <w:spacing w:before="211"/>
      </w:pPr>
      <w:r>
        <w:rPr/>
        <w:t>INSTRUCTIONS</w:t>
      </w:r>
      <w:r>
        <w:rPr>
          <w:spacing w:val="-3"/>
        </w:rPr>
        <w:t> </w:t>
      </w:r>
      <w:r>
        <w:rPr/>
        <w:t>TO</w:t>
      </w:r>
      <w:r>
        <w:rPr>
          <w:spacing w:val="-2"/>
        </w:rPr>
        <w:t> </w:t>
      </w:r>
      <w:r>
        <w:rPr>
          <w:spacing w:val="-4"/>
        </w:rPr>
        <w:t>STAFF</w:t>
      </w:r>
    </w:p>
    <w:p>
      <w:pPr>
        <w:pStyle w:val="BodyText"/>
        <w:spacing w:before="204"/>
        <w:ind w:left="791"/>
      </w:pPr>
      <w:r>
        <w:rPr/>
        <w:t>1.</w:t>
      </w:r>
      <w:r>
        <w:rPr>
          <w:spacing w:val="55"/>
          <w:w w:val="150"/>
        </w:rPr>
        <w:t> </w:t>
      </w:r>
      <w:r>
        <w:rPr/>
        <w:t>Links</w:t>
      </w:r>
      <w:r>
        <w:rPr>
          <w:spacing w:val="-2"/>
        </w:rPr>
        <w:t> </w:t>
      </w:r>
      <w:r>
        <w:rPr/>
        <w:t>to</w:t>
      </w:r>
      <w:r>
        <w:rPr>
          <w:spacing w:val="-1"/>
        </w:rPr>
        <w:t> </w:t>
      </w:r>
      <w:r>
        <w:rPr/>
        <w:t>policies</w:t>
      </w:r>
      <w:r>
        <w:rPr>
          <w:spacing w:val="-2"/>
        </w:rPr>
        <w:t> </w:t>
      </w:r>
      <w:r>
        <w:rPr/>
        <w:t>on</w:t>
      </w:r>
      <w:r>
        <w:rPr>
          <w:spacing w:val="-1"/>
        </w:rPr>
        <w:t> </w:t>
      </w:r>
      <w:r>
        <w:rPr/>
        <w:t>each</w:t>
      </w:r>
      <w:r>
        <w:rPr>
          <w:spacing w:val="-1"/>
        </w:rPr>
        <w:t> </w:t>
      </w:r>
      <w:r>
        <w:rPr/>
        <w:t>case</w:t>
      </w:r>
      <w:r>
        <w:rPr>
          <w:spacing w:val="-2"/>
        </w:rPr>
        <w:t> status:</w:t>
      </w:r>
    </w:p>
    <w:p>
      <w:pPr>
        <w:pStyle w:val="BodyText"/>
        <w:spacing w:line="417" w:lineRule="auto" w:before="204"/>
        <w:ind w:left="1350" w:right="3303"/>
      </w:pPr>
      <w:r>
        <w:rPr/>
        <w:t>Processing</w:t>
      </w:r>
      <w:r>
        <w:rPr>
          <w:spacing w:val="-7"/>
        </w:rPr>
        <w:t> </w:t>
      </w:r>
      <w:r>
        <w:rPr/>
        <w:t>referrals</w:t>
      </w:r>
      <w:r>
        <w:rPr>
          <w:spacing w:val="-8"/>
        </w:rPr>
        <w:t> </w:t>
      </w:r>
      <w:r>
        <w:rPr/>
        <w:t>and</w:t>
      </w:r>
      <w:r>
        <w:rPr>
          <w:spacing w:val="-8"/>
        </w:rPr>
        <w:t> </w:t>
      </w:r>
      <w:r>
        <w:rPr/>
        <w:t>applications:</w:t>
      </w:r>
      <w:r>
        <w:rPr>
          <w:spacing w:val="40"/>
        </w:rPr>
        <w:t> </w:t>
      </w:r>
      <w:hyperlink w:history="true" w:anchor="_bookmark9">
        <w:r>
          <w:rPr>
            <w:color w:val="0000FF"/>
            <w:u w:val="single" w:color="0000FF"/>
          </w:rPr>
          <w:t>612:10-7-22.1</w:t>
        </w:r>
      </w:hyperlink>
      <w:r>
        <w:rPr>
          <w:color w:val="0000FF"/>
          <w:u w:val="none"/>
        </w:rPr>
        <w:t> </w:t>
      </w:r>
      <w:r>
        <w:rPr>
          <w:u w:val="none"/>
        </w:rPr>
        <w:t>Trial Work Experience:</w:t>
      </w:r>
      <w:r>
        <w:rPr>
          <w:spacing w:val="40"/>
          <w:u w:val="none"/>
        </w:rPr>
        <w:t> </w:t>
      </w:r>
      <w:hyperlink w:history="true" w:anchor="_bookmark11">
        <w:r>
          <w:rPr>
            <w:color w:val="0000FF"/>
            <w:u w:val="single" w:color="0000FF"/>
          </w:rPr>
          <w:t>612:10-7-24.3</w:t>
        </w:r>
      </w:hyperlink>
    </w:p>
    <w:p>
      <w:pPr>
        <w:pStyle w:val="BodyText"/>
        <w:spacing w:line="208" w:lineRule="auto" w:before="29"/>
        <w:ind w:left="1350" w:right="775"/>
      </w:pPr>
      <w:r>
        <w:rPr/>
        <w:t>Ineligibility</w:t>
      </w:r>
      <w:r>
        <w:rPr>
          <w:spacing w:val="-4"/>
        </w:rPr>
        <w:t> </w:t>
      </w:r>
      <w:r>
        <w:rPr/>
        <w:t>procedures</w:t>
      </w:r>
      <w:r>
        <w:rPr>
          <w:spacing w:val="-3"/>
        </w:rPr>
        <w:t> </w:t>
      </w:r>
      <w:r>
        <w:rPr/>
        <w:t>and</w:t>
      </w:r>
      <w:r>
        <w:rPr>
          <w:spacing w:val="-4"/>
        </w:rPr>
        <w:t> </w:t>
      </w:r>
      <w:r>
        <w:rPr/>
        <w:t>Closed</w:t>
      </w:r>
      <w:r>
        <w:rPr>
          <w:spacing w:val="-4"/>
        </w:rPr>
        <w:t> </w:t>
      </w:r>
      <w:r>
        <w:rPr/>
        <w:t>–</w:t>
      </w:r>
      <w:r>
        <w:rPr>
          <w:spacing w:val="-4"/>
        </w:rPr>
        <w:t> </w:t>
      </w:r>
      <w:r>
        <w:rPr/>
        <w:t>Not</w:t>
      </w:r>
      <w:r>
        <w:rPr>
          <w:spacing w:val="-3"/>
        </w:rPr>
        <w:t> </w:t>
      </w:r>
      <w:r>
        <w:rPr/>
        <w:t>Accepted</w:t>
      </w:r>
      <w:r>
        <w:rPr>
          <w:spacing w:val="-4"/>
        </w:rPr>
        <w:t> </w:t>
      </w:r>
      <w:r>
        <w:rPr/>
        <w:t>for</w:t>
      </w:r>
      <w:r>
        <w:rPr>
          <w:spacing w:val="-5"/>
        </w:rPr>
        <w:t> </w:t>
      </w:r>
      <w:r>
        <w:rPr/>
        <w:t>Services:</w:t>
      </w:r>
      <w:r>
        <w:rPr>
          <w:spacing w:val="40"/>
        </w:rPr>
        <w:t> </w:t>
      </w:r>
      <w:hyperlink w:history="true" w:anchor="_bookmark12">
        <w:r>
          <w:rPr>
            <w:color w:val="0000FF"/>
            <w:u w:val="single" w:color="0000FF"/>
          </w:rPr>
          <w:t>612:10-7-</w:t>
        </w:r>
      </w:hyperlink>
      <w:r>
        <w:rPr>
          <w:color w:val="0000FF"/>
          <w:u w:val="none"/>
        </w:rPr>
        <w:t> </w:t>
      </w:r>
      <w:hyperlink w:history="true" w:anchor="_bookmark12">
        <w:r>
          <w:rPr>
            <w:color w:val="0000FF"/>
            <w:u w:val="single" w:color="0000FF"/>
          </w:rPr>
          <w:t>24.4</w:t>
        </w:r>
      </w:hyperlink>
      <w:r>
        <w:rPr>
          <w:u w:val="none"/>
        </w:rPr>
        <w:t>, </w:t>
      </w:r>
      <w:hyperlink w:history="true" w:anchor="_bookmark13">
        <w:r>
          <w:rPr>
            <w:color w:val="0000FF"/>
            <w:u w:val="single" w:color="0000FF"/>
          </w:rPr>
          <w:t>612:10-7-24.5</w:t>
        </w:r>
      </w:hyperlink>
    </w:p>
    <w:p>
      <w:pPr>
        <w:pStyle w:val="BodyText"/>
        <w:spacing w:line="208" w:lineRule="auto"/>
        <w:ind w:left="1350" w:right="1511"/>
      </w:pPr>
      <w:r>
        <w:rPr/>
        <w:t>Eligibility:</w:t>
      </w:r>
      <w:r>
        <w:rPr>
          <w:spacing w:val="-6"/>
        </w:rPr>
        <w:t> </w:t>
      </w:r>
      <w:r>
        <w:rPr/>
        <w:t>accepted</w:t>
      </w:r>
      <w:r>
        <w:rPr>
          <w:spacing w:val="-6"/>
        </w:rPr>
        <w:t> </w:t>
      </w:r>
      <w:r>
        <w:rPr/>
        <w:t>for</w:t>
      </w:r>
      <w:r>
        <w:rPr>
          <w:spacing w:val="-7"/>
        </w:rPr>
        <w:t> </w:t>
      </w:r>
      <w:r>
        <w:rPr/>
        <w:t>services;</w:t>
      </w:r>
      <w:r>
        <w:rPr>
          <w:spacing w:val="-6"/>
        </w:rPr>
        <w:t> </w:t>
      </w:r>
      <w:r>
        <w:rPr/>
        <w:t>plan</w:t>
      </w:r>
      <w:r>
        <w:rPr>
          <w:spacing w:val="-6"/>
        </w:rPr>
        <w:t> </w:t>
      </w:r>
      <w:r>
        <w:rPr/>
        <w:t>development</w:t>
      </w:r>
      <w:r>
        <w:rPr>
          <w:spacing w:val="-6"/>
        </w:rPr>
        <w:t> </w:t>
      </w:r>
      <w:r>
        <w:rPr/>
        <w:t>phase:</w:t>
      </w:r>
      <w:r>
        <w:rPr>
          <w:spacing w:val="-6"/>
        </w:rPr>
        <w:t> </w:t>
      </w:r>
      <w:hyperlink w:history="true" w:anchor="_bookmark15">
        <w:r>
          <w:rPr>
            <w:color w:val="0000FF"/>
            <w:u w:val="single" w:color="0000FF"/>
          </w:rPr>
          <w:t>612:10-7-50</w:t>
        </w:r>
      </w:hyperlink>
      <w:r>
        <w:rPr>
          <w:u w:val="none"/>
        </w:rPr>
        <w:t>, </w:t>
      </w:r>
      <w:r>
        <w:rPr>
          <w:color w:val="0000FF"/>
          <w:u w:val="single" w:color="0000FF"/>
        </w:rPr>
        <w:t>612:10-7-50.1</w:t>
      </w:r>
      <w:r>
        <w:rPr>
          <w:u w:val="none"/>
        </w:rPr>
        <w:t>, </w:t>
      </w:r>
      <w:hyperlink w:history="true" w:anchor="_bookmark8">
        <w:r>
          <w:rPr>
            <w:color w:val="0000FF"/>
            <w:u w:val="single" w:color="0000FF"/>
          </w:rPr>
          <w:t>612:10-7-51</w:t>
        </w:r>
      </w:hyperlink>
    </w:p>
    <w:p>
      <w:pPr>
        <w:pStyle w:val="BodyText"/>
        <w:spacing w:line="417" w:lineRule="auto" w:before="210"/>
        <w:ind w:left="1350" w:right="3568"/>
      </w:pPr>
      <w:r>
        <w:rPr/>
        <w:t>Individualized</w:t>
      </w:r>
      <w:r>
        <w:rPr>
          <w:spacing w:val="-8"/>
        </w:rPr>
        <w:t> </w:t>
      </w:r>
      <w:r>
        <w:rPr/>
        <w:t>Plan</w:t>
      </w:r>
      <w:r>
        <w:rPr>
          <w:spacing w:val="-8"/>
        </w:rPr>
        <w:t> </w:t>
      </w:r>
      <w:r>
        <w:rPr/>
        <w:t>for</w:t>
      </w:r>
      <w:r>
        <w:rPr>
          <w:spacing w:val="-7"/>
        </w:rPr>
        <w:t> </w:t>
      </w:r>
      <w:r>
        <w:rPr/>
        <w:t>Employment:</w:t>
      </w:r>
      <w:r>
        <w:rPr>
          <w:spacing w:val="40"/>
        </w:rPr>
        <w:t> </w:t>
      </w:r>
      <w:r>
        <w:rPr>
          <w:color w:val="0000FF"/>
          <w:u w:val="single" w:color="0000FF"/>
        </w:rPr>
        <w:t>612:10-7-52</w:t>
      </w:r>
      <w:r>
        <w:rPr>
          <w:color w:val="0000FF"/>
          <w:u w:val="none"/>
        </w:rPr>
        <w:t> </w:t>
      </w:r>
      <w:r>
        <w:rPr>
          <w:u w:val="none"/>
        </w:rPr>
        <w:t>Job Ready:</w:t>
      </w:r>
      <w:r>
        <w:rPr>
          <w:spacing w:val="40"/>
          <w:u w:val="none"/>
        </w:rPr>
        <w:t> </w:t>
      </w:r>
      <w:hyperlink w:history="true" w:anchor="_bookmark16">
        <w:r>
          <w:rPr>
            <w:color w:val="0000FF"/>
            <w:u w:val="single" w:color="0000FF"/>
          </w:rPr>
          <w:t>612:10-7-55</w:t>
        </w:r>
      </w:hyperlink>
    </w:p>
    <w:p>
      <w:pPr>
        <w:pStyle w:val="BodyText"/>
        <w:spacing w:line="276" w:lineRule="exact" w:before="0"/>
        <w:ind w:left="1350"/>
      </w:pPr>
      <w:r>
        <w:rPr/>
        <w:t>Employed:</w:t>
      </w:r>
      <w:r>
        <w:rPr>
          <w:spacing w:val="55"/>
        </w:rPr>
        <w:t> </w:t>
      </w:r>
      <w:hyperlink w:history="true" w:anchor="_bookmark16">
        <w:r>
          <w:rPr>
            <w:color w:val="0000FF"/>
            <w:u w:val="single" w:color="0000FF"/>
          </w:rPr>
          <w:t>612:10-7-</w:t>
        </w:r>
        <w:r>
          <w:rPr>
            <w:color w:val="0000FF"/>
            <w:spacing w:val="-7"/>
            <w:u w:val="single" w:color="0000FF"/>
          </w:rPr>
          <w:t>56</w:t>
        </w:r>
      </w:hyperlink>
    </w:p>
    <w:p>
      <w:pPr>
        <w:pStyle w:val="BodyText"/>
        <w:spacing w:before="204"/>
        <w:ind w:left="1350"/>
      </w:pPr>
      <w:r>
        <w:rPr/>
        <w:t>Closed</w:t>
      </w:r>
      <w:r>
        <w:rPr>
          <w:spacing w:val="-6"/>
        </w:rPr>
        <w:t> </w:t>
      </w:r>
      <w:r>
        <w:rPr/>
        <w:t>rehabilitated:</w:t>
      </w:r>
      <w:r>
        <w:rPr>
          <w:spacing w:val="54"/>
        </w:rPr>
        <w:t> </w:t>
      </w:r>
      <w:hyperlink w:history="true" w:anchor="_bookmark17">
        <w:r>
          <w:rPr>
            <w:color w:val="0000FF"/>
            <w:u w:val="single" w:color="0000FF"/>
          </w:rPr>
          <w:t>612:10-7-</w:t>
        </w:r>
        <w:r>
          <w:rPr>
            <w:color w:val="0000FF"/>
            <w:spacing w:val="-5"/>
            <w:u w:val="single" w:color="0000FF"/>
          </w:rPr>
          <w:t>58</w:t>
        </w:r>
      </w:hyperlink>
    </w:p>
    <w:p>
      <w:pPr>
        <w:pStyle w:val="BodyText"/>
        <w:spacing w:before="204"/>
        <w:ind w:left="1350"/>
      </w:pPr>
      <w:r>
        <w:rPr/>
        <w:t>Post</w:t>
      </w:r>
      <w:r>
        <w:rPr>
          <w:spacing w:val="-7"/>
        </w:rPr>
        <w:t> </w:t>
      </w:r>
      <w:r>
        <w:rPr/>
        <w:t>employment</w:t>
      </w:r>
      <w:r>
        <w:rPr>
          <w:spacing w:val="-4"/>
        </w:rPr>
        <w:t> </w:t>
      </w:r>
      <w:r>
        <w:rPr/>
        <w:t>services:</w:t>
      </w:r>
      <w:r>
        <w:rPr>
          <w:spacing w:val="58"/>
        </w:rPr>
        <w:t> </w:t>
      </w:r>
      <w:hyperlink w:history="true" w:anchor="_bookmark17">
        <w:r>
          <w:rPr>
            <w:color w:val="0000FF"/>
            <w:u w:val="single" w:color="0000FF"/>
          </w:rPr>
          <w:t>612:10-7-</w:t>
        </w:r>
        <w:r>
          <w:rPr>
            <w:color w:val="0000FF"/>
            <w:spacing w:val="-5"/>
            <w:u w:val="single" w:color="0000FF"/>
          </w:rPr>
          <w:t>62</w:t>
        </w:r>
      </w:hyperlink>
    </w:p>
    <w:p>
      <w:pPr>
        <w:pStyle w:val="BodyText"/>
        <w:spacing w:before="204"/>
        <w:ind w:left="1350"/>
      </w:pPr>
      <w:r>
        <w:rPr/>
        <w:t>Post</w:t>
      </w:r>
      <w:r>
        <w:rPr>
          <w:spacing w:val="-5"/>
        </w:rPr>
        <w:t> </w:t>
      </w:r>
      <w:r>
        <w:rPr/>
        <w:t>employment</w:t>
      </w:r>
      <w:r>
        <w:rPr>
          <w:spacing w:val="-4"/>
        </w:rPr>
        <w:t> </w:t>
      </w:r>
      <w:r>
        <w:rPr/>
        <w:t>services</w:t>
      </w:r>
      <w:r>
        <w:rPr>
          <w:spacing w:val="-5"/>
        </w:rPr>
        <w:t> </w:t>
      </w:r>
      <w:r>
        <w:rPr/>
        <w:t>completed:</w:t>
      </w:r>
      <w:r>
        <w:rPr>
          <w:spacing w:val="57"/>
        </w:rPr>
        <w:t> </w:t>
      </w:r>
      <w:hyperlink w:history="true" w:anchor="_bookmark18">
        <w:r>
          <w:rPr>
            <w:color w:val="0000FF"/>
            <w:u w:val="single" w:color="0000FF"/>
          </w:rPr>
          <w:t>612:10-7-</w:t>
        </w:r>
        <w:r>
          <w:rPr>
            <w:color w:val="0000FF"/>
            <w:spacing w:val="-5"/>
            <w:u w:val="single" w:color="0000FF"/>
          </w:rPr>
          <w:t>63</w:t>
        </w:r>
      </w:hyperlink>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253"/>
        <w:ind w:left="360" w:right="0" w:firstLine="0"/>
        <w:jc w:val="left"/>
        <w:rPr>
          <w:sz w:val="22"/>
        </w:rPr>
      </w:pPr>
      <w:r>
        <w:rPr>
          <w:spacing w:val="-2"/>
          <w:sz w:val="22"/>
        </w:rPr>
        <w:t>7-1-</w:t>
      </w:r>
      <w:r>
        <w:rPr>
          <w:spacing w:val="-5"/>
          <w:sz w:val="22"/>
        </w:rPr>
        <w:t>11</w:t>
      </w:r>
      <w:r>
        <w:rPr>
          <w:sz w:val="22"/>
        </w:rPr>
        <w:tab/>
        <w:t>PT</w:t>
      </w:r>
      <w:r>
        <w:rPr>
          <w:spacing w:val="-8"/>
          <w:sz w:val="22"/>
        </w:rPr>
        <w:t> </w:t>
      </w:r>
      <w:r>
        <w:rPr>
          <w:sz w:val="22"/>
        </w:rPr>
        <w:t>Memo</w:t>
      </w:r>
      <w:r>
        <w:rPr>
          <w:spacing w:val="-8"/>
          <w:sz w:val="22"/>
        </w:rPr>
        <w:t> </w:t>
      </w:r>
      <w:r>
        <w:rPr>
          <w:sz w:val="22"/>
        </w:rPr>
        <w:t>#12-</w:t>
      </w:r>
      <w:r>
        <w:rPr>
          <w:spacing w:val="-5"/>
          <w:sz w:val="22"/>
        </w:rPr>
        <w:t>01</w:t>
      </w:r>
    </w:p>
    <w:p>
      <w:pPr>
        <w:spacing w:before="0"/>
        <w:ind w:left="1439" w:right="0" w:firstLine="0"/>
        <w:jc w:val="left"/>
        <w:rPr>
          <w:sz w:val="22"/>
        </w:rPr>
      </w:pPr>
      <w:r>
        <w:rPr>
          <w:sz w:val="22"/>
        </w:rPr>
        <w:t>Permanent,</w:t>
      </w:r>
      <w:r>
        <w:rPr>
          <w:spacing w:val="-7"/>
          <w:sz w:val="22"/>
        </w:rPr>
        <w:t> </w:t>
      </w:r>
      <w:r>
        <w:rPr>
          <w:sz w:val="22"/>
        </w:rPr>
        <w:t>Links</w:t>
      </w:r>
      <w:r>
        <w:rPr>
          <w:spacing w:val="-8"/>
          <w:sz w:val="22"/>
        </w:rPr>
        <w:t> </w:t>
      </w:r>
      <w:r>
        <w:rPr>
          <w:sz w:val="22"/>
        </w:rPr>
        <w:t>provided</w:t>
      </w:r>
      <w:r>
        <w:rPr>
          <w:spacing w:val="-8"/>
          <w:sz w:val="22"/>
        </w:rPr>
        <w:t> </w:t>
      </w:r>
      <w:r>
        <w:rPr>
          <w:sz w:val="22"/>
        </w:rPr>
        <w:t>in</w:t>
      </w:r>
      <w:r>
        <w:rPr>
          <w:spacing w:val="-7"/>
          <w:sz w:val="22"/>
        </w:rPr>
        <w:t> </w:t>
      </w:r>
      <w:r>
        <w:rPr>
          <w:spacing w:val="-5"/>
          <w:sz w:val="22"/>
        </w:rPr>
        <w:t>ITS</w:t>
      </w:r>
    </w:p>
    <w:p>
      <w:pPr>
        <w:tabs>
          <w:tab w:pos="1439" w:val="left" w:leader="none"/>
        </w:tabs>
        <w:spacing w:before="0"/>
        <w:ind w:left="1439" w:right="1036" w:hanging="1080"/>
        <w:jc w:val="left"/>
        <w:rPr>
          <w:sz w:val="22"/>
        </w:rPr>
      </w:pPr>
      <w:r>
        <w:rPr>
          <w:spacing w:val="-2"/>
          <w:sz w:val="22"/>
        </w:rPr>
        <w:t>9-14-18</w:t>
      </w:r>
      <w:r>
        <w:rPr>
          <w:sz w:val="22"/>
        </w:rPr>
        <w:tab/>
        <w:t>Removal</w:t>
      </w:r>
      <w:r>
        <w:rPr>
          <w:spacing w:val="-3"/>
          <w:sz w:val="22"/>
        </w:rPr>
        <w:t> </w:t>
      </w:r>
      <w:r>
        <w:rPr>
          <w:sz w:val="22"/>
        </w:rPr>
        <w:t>of</w:t>
      </w:r>
      <w:r>
        <w:rPr>
          <w:spacing w:val="-3"/>
          <w:sz w:val="22"/>
        </w:rPr>
        <w:t> </w:t>
      </w:r>
      <w:r>
        <w:rPr>
          <w:sz w:val="22"/>
        </w:rPr>
        <w:t>term</w:t>
      </w:r>
      <w:r>
        <w:rPr>
          <w:spacing w:val="-4"/>
          <w:sz w:val="22"/>
        </w:rPr>
        <w:t> </w:t>
      </w:r>
      <w:r>
        <w:rPr>
          <w:sz w:val="22"/>
        </w:rPr>
        <w:t>“extended</w:t>
      </w:r>
      <w:r>
        <w:rPr>
          <w:spacing w:val="-3"/>
          <w:sz w:val="22"/>
        </w:rPr>
        <w:t> </w:t>
      </w:r>
      <w:r>
        <w:rPr>
          <w:sz w:val="22"/>
        </w:rPr>
        <w:t>evaluation”</w:t>
      </w:r>
      <w:r>
        <w:rPr>
          <w:spacing w:val="-3"/>
          <w:sz w:val="22"/>
        </w:rPr>
        <w:t> </w:t>
      </w:r>
      <w:r>
        <w:rPr>
          <w:sz w:val="22"/>
        </w:rPr>
        <w:t>to</w:t>
      </w:r>
      <w:r>
        <w:rPr>
          <w:spacing w:val="-3"/>
          <w:sz w:val="22"/>
        </w:rPr>
        <w:t> </w:t>
      </w:r>
      <w:r>
        <w:rPr>
          <w:sz w:val="22"/>
        </w:rPr>
        <w:t>be</w:t>
      </w:r>
      <w:r>
        <w:rPr>
          <w:spacing w:val="-3"/>
          <w:sz w:val="22"/>
        </w:rPr>
        <w:t> </w:t>
      </w:r>
      <w:r>
        <w:rPr>
          <w:sz w:val="22"/>
        </w:rPr>
        <w:t>consistent</w:t>
      </w:r>
      <w:r>
        <w:rPr>
          <w:spacing w:val="-3"/>
          <w:sz w:val="22"/>
        </w:rPr>
        <w:t> </w:t>
      </w:r>
      <w:r>
        <w:rPr>
          <w:sz w:val="22"/>
        </w:rPr>
        <w:t>with</w:t>
      </w:r>
      <w:r>
        <w:rPr>
          <w:spacing w:val="-4"/>
          <w:sz w:val="22"/>
        </w:rPr>
        <w:t> </w:t>
      </w:r>
      <w:r>
        <w:rPr>
          <w:sz w:val="22"/>
        </w:rPr>
        <w:t>this</w:t>
      </w:r>
      <w:r>
        <w:rPr>
          <w:spacing w:val="-3"/>
          <w:sz w:val="22"/>
        </w:rPr>
        <w:t> </w:t>
      </w:r>
      <w:r>
        <w:rPr>
          <w:sz w:val="22"/>
        </w:rPr>
        <w:t>elimination</w:t>
      </w:r>
      <w:r>
        <w:rPr>
          <w:spacing w:val="-3"/>
          <w:sz w:val="22"/>
        </w:rPr>
        <w:t> </w:t>
      </w:r>
      <w:r>
        <w:rPr>
          <w:sz w:val="22"/>
        </w:rPr>
        <w:t>in</w:t>
      </w:r>
      <w:r>
        <w:rPr>
          <w:spacing w:val="-3"/>
          <w:sz w:val="22"/>
        </w:rPr>
        <w:t> </w:t>
      </w:r>
      <w:r>
        <w:rPr>
          <w:sz w:val="22"/>
        </w:rPr>
        <w:t>the Rehabilitation Act.</w:t>
      </w:r>
    </w:p>
    <w:p>
      <w:pPr>
        <w:tabs>
          <w:tab w:pos="1439" w:val="left" w:leader="none"/>
        </w:tabs>
        <w:spacing w:before="1"/>
        <w:ind w:left="1439" w:right="977" w:hanging="1080"/>
        <w:jc w:val="left"/>
        <w:rPr>
          <w:sz w:val="22"/>
        </w:rPr>
      </w:pPr>
      <w:r>
        <w:rPr>
          <w:spacing w:val="-2"/>
          <w:sz w:val="22"/>
        </w:rPr>
        <w:t>8-26-21</w:t>
      </w:r>
      <w:r>
        <w:rPr>
          <w:sz w:val="22"/>
        </w:rPr>
        <w:tab/>
        <w:t>Rule</w:t>
      </w:r>
      <w:r>
        <w:rPr>
          <w:spacing w:val="-4"/>
          <w:sz w:val="22"/>
        </w:rPr>
        <w:t> </w:t>
      </w:r>
      <w:r>
        <w:rPr>
          <w:sz w:val="22"/>
        </w:rPr>
        <w:t>name</w:t>
      </w:r>
      <w:r>
        <w:rPr>
          <w:spacing w:val="-4"/>
          <w:sz w:val="22"/>
        </w:rPr>
        <w:t> </w:t>
      </w:r>
      <w:r>
        <w:rPr>
          <w:sz w:val="22"/>
        </w:rPr>
        <w:t>change</w:t>
      </w:r>
      <w:r>
        <w:rPr>
          <w:spacing w:val="-4"/>
          <w:sz w:val="22"/>
        </w:rPr>
        <w:t> </w:t>
      </w:r>
      <w:r>
        <w:rPr>
          <w:sz w:val="22"/>
        </w:rPr>
        <w:t>'Case</w:t>
      </w:r>
      <w:r>
        <w:rPr>
          <w:spacing w:val="-4"/>
          <w:sz w:val="22"/>
        </w:rPr>
        <w:t> </w:t>
      </w:r>
      <w:r>
        <w:rPr>
          <w:sz w:val="22"/>
        </w:rPr>
        <w:t>statuses</w:t>
      </w:r>
      <w:r>
        <w:rPr>
          <w:spacing w:val="-4"/>
          <w:sz w:val="22"/>
        </w:rPr>
        <w:t> </w:t>
      </w:r>
      <w:r>
        <w:rPr>
          <w:sz w:val="22"/>
        </w:rPr>
        <w:t>and</w:t>
      </w:r>
      <w:r>
        <w:rPr>
          <w:spacing w:val="-4"/>
          <w:sz w:val="22"/>
        </w:rPr>
        <w:t> </w:t>
      </w:r>
      <w:r>
        <w:rPr>
          <w:sz w:val="22"/>
        </w:rPr>
        <w:t>case</w:t>
      </w:r>
      <w:r>
        <w:rPr>
          <w:spacing w:val="-4"/>
          <w:sz w:val="22"/>
        </w:rPr>
        <w:t> </w:t>
      </w:r>
      <w:r>
        <w:rPr>
          <w:sz w:val="22"/>
        </w:rPr>
        <w:t>flow'</w:t>
      </w:r>
      <w:r>
        <w:rPr>
          <w:spacing w:val="-4"/>
          <w:sz w:val="22"/>
        </w:rPr>
        <w:t> </w:t>
      </w:r>
      <w:r>
        <w:rPr>
          <w:sz w:val="22"/>
        </w:rPr>
        <w:t>to</w:t>
      </w:r>
      <w:r>
        <w:rPr>
          <w:spacing w:val="-4"/>
          <w:sz w:val="22"/>
        </w:rPr>
        <w:t> </w:t>
      </w:r>
      <w:r>
        <w:rPr>
          <w:sz w:val="22"/>
        </w:rPr>
        <w:t>'Electronic</w:t>
      </w:r>
      <w:r>
        <w:rPr>
          <w:spacing w:val="-4"/>
          <w:sz w:val="22"/>
        </w:rPr>
        <w:t> </w:t>
      </w:r>
      <w:r>
        <w:rPr>
          <w:sz w:val="22"/>
        </w:rPr>
        <w:t>Case</w:t>
      </w:r>
      <w:r>
        <w:rPr>
          <w:spacing w:val="-4"/>
          <w:sz w:val="22"/>
        </w:rPr>
        <w:t> </w:t>
      </w:r>
      <w:r>
        <w:rPr>
          <w:sz w:val="22"/>
        </w:rPr>
        <w:t>Management System Progression. Revised to match WIOA language.</w:t>
      </w:r>
    </w:p>
    <w:p>
      <w:pPr>
        <w:tabs>
          <w:tab w:pos="1439" w:val="left" w:leader="none"/>
        </w:tabs>
        <w:spacing w:before="0"/>
        <w:ind w:left="1439" w:right="1261" w:hanging="1080"/>
        <w:jc w:val="left"/>
        <w:rPr>
          <w:sz w:val="22"/>
        </w:rPr>
      </w:pPr>
      <w:r>
        <w:rPr>
          <w:spacing w:val="-2"/>
          <w:sz w:val="22"/>
        </w:rPr>
        <w:t>9-11-22</w:t>
      </w:r>
      <w:r>
        <w:rPr>
          <w:sz w:val="22"/>
        </w:rPr>
        <w:tab/>
        <w:t>Updated link under ITS #1, Individualized Plan for Employment to 612:10-7-52; removed</w:t>
      </w:r>
      <w:r>
        <w:rPr>
          <w:spacing w:val="-4"/>
          <w:sz w:val="22"/>
        </w:rPr>
        <w:t> </w:t>
      </w:r>
      <w:r>
        <w:rPr>
          <w:sz w:val="22"/>
        </w:rPr>
        <w:t>“successful</w:t>
      </w:r>
      <w:r>
        <w:rPr>
          <w:spacing w:val="-4"/>
          <w:sz w:val="22"/>
        </w:rPr>
        <w:t> </w:t>
      </w:r>
      <w:r>
        <w:rPr>
          <w:sz w:val="22"/>
        </w:rPr>
        <w:t>employment</w:t>
      </w:r>
      <w:r>
        <w:rPr>
          <w:spacing w:val="-4"/>
          <w:sz w:val="22"/>
        </w:rPr>
        <w:t> </w:t>
      </w:r>
      <w:r>
        <w:rPr>
          <w:sz w:val="22"/>
        </w:rPr>
        <w:t>for</w:t>
      </w:r>
      <w:r>
        <w:rPr>
          <w:spacing w:val="-4"/>
          <w:sz w:val="22"/>
        </w:rPr>
        <w:t> </w:t>
      </w:r>
      <w:r>
        <w:rPr>
          <w:sz w:val="22"/>
        </w:rPr>
        <w:t>at</w:t>
      </w:r>
      <w:r>
        <w:rPr>
          <w:spacing w:val="-4"/>
          <w:sz w:val="22"/>
        </w:rPr>
        <w:t> </w:t>
      </w:r>
      <w:r>
        <w:rPr>
          <w:sz w:val="22"/>
        </w:rPr>
        <w:t>least</w:t>
      </w:r>
      <w:r>
        <w:rPr>
          <w:spacing w:val="-4"/>
          <w:sz w:val="22"/>
        </w:rPr>
        <w:t> </w:t>
      </w:r>
      <w:r>
        <w:rPr>
          <w:sz w:val="22"/>
        </w:rPr>
        <w:t>90</w:t>
      </w:r>
      <w:r>
        <w:rPr>
          <w:spacing w:val="-5"/>
          <w:sz w:val="22"/>
        </w:rPr>
        <w:t> </w:t>
      </w:r>
      <w:r>
        <w:rPr>
          <w:sz w:val="22"/>
        </w:rPr>
        <w:t>consecutive</w:t>
      </w:r>
      <w:r>
        <w:rPr>
          <w:spacing w:val="-5"/>
          <w:sz w:val="22"/>
        </w:rPr>
        <w:t> </w:t>
      </w:r>
      <w:r>
        <w:rPr>
          <w:sz w:val="22"/>
        </w:rPr>
        <w:t>days”</w:t>
      </w:r>
      <w:r>
        <w:rPr>
          <w:spacing w:val="-4"/>
          <w:sz w:val="22"/>
        </w:rPr>
        <w:t> </w:t>
      </w:r>
      <w:r>
        <w:rPr>
          <w:sz w:val="22"/>
        </w:rPr>
        <w:t>from</w:t>
      </w:r>
      <w:r>
        <w:rPr>
          <w:spacing w:val="-5"/>
          <w:sz w:val="22"/>
        </w:rPr>
        <w:t> </w:t>
      </w:r>
      <w:r>
        <w:rPr>
          <w:sz w:val="22"/>
        </w:rPr>
        <w:t>Closed rehabilitated link.</w:t>
      </w:r>
    </w:p>
    <w:p>
      <w:pPr>
        <w:pStyle w:val="ListParagraph"/>
        <w:numPr>
          <w:ilvl w:val="2"/>
          <w:numId w:val="136"/>
        </w:numPr>
        <w:tabs>
          <w:tab w:pos="1439" w:val="left" w:leader="none"/>
        </w:tabs>
        <w:spacing w:line="240" w:lineRule="auto" w:before="0" w:after="0"/>
        <w:ind w:left="1439" w:right="0" w:hanging="1080"/>
        <w:jc w:val="left"/>
        <w:rPr>
          <w:sz w:val="22"/>
        </w:rPr>
      </w:pPr>
      <w:r>
        <w:rPr>
          <w:spacing w:val="-2"/>
          <w:sz w:val="22"/>
        </w:rPr>
        <w:t>Language</w:t>
      </w:r>
      <w:r>
        <w:rPr>
          <w:spacing w:val="11"/>
          <w:sz w:val="22"/>
        </w:rPr>
        <w:t> </w:t>
      </w:r>
      <w:r>
        <w:rPr>
          <w:spacing w:val="-2"/>
          <w:sz w:val="22"/>
        </w:rPr>
        <w:t>clean-</w:t>
      </w:r>
      <w:r>
        <w:rPr>
          <w:spacing w:val="-5"/>
          <w:sz w:val="22"/>
        </w:rPr>
        <w:t>up.</w:t>
      </w:r>
    </w:p>
    <w:p>
      <w:pPr>
        <w:pStyle w:val="ListParagraph"/>
        <w:spacing w:after="0" w:line="240" w:lineRule="auto"/>
        <w:jc w:val="left"/>
        <w:rPr>
          <w:sz w:val="22"/>
        </w:rPr>
        <w:sectPr>
          <w:pgSz w:w="12240" w:h="15840"/>
          <w:pgMar w:top="1340" w:bottom="280" w:left="1080" w:right="720"/>
        </w:sectPr>
      </w:pPr>
    </w:p>
    <w:p>
      <w:pPr>
        <w:pStyle w:val="Heading2"/>
      </w:pPr>
      <w:bookmarkStart w:name="612:10-7-50.  Eligibility Status" w:id="139"/>
      <w:bookmarkEnd w:id="139"/>
      <w:r>
        <w:rPr>
          <w:b w:val="0"/>
        </w:rPr>
      </w:r>
      <w:bookmarkStart w:name="_bookmark15" w:id="140"/>
      <w:bookmarkEnd w:id="140"/>
      <w:r>
        <w:rPr>
          <w:b w:val="0"/>
        </w:rPr>
      </w:r>
      <w:r>
        <w:rPr/>
        <w:t>612:10-7-50.</w:t>
      </w:r>
      <w:r>
        <w:rPr>
          <w:spacing w:val="57"/>
        </w:rPr>
        <w:t> </w:t>
      </w:r>
      <w:r>
        <w:rPr/>
        <w:t>Eligibility</w:t>
      </w:r>
      <w:r>
        <w:rPr>
          <w:spacing w:val="-4"/>
        </w:rPr>
        <w:t> </w:t>
      </w:r>
      <w:r>
        <w:rPr>
          <w:spacing w:val="-2"/>
        </w:rPr>
        <w:t>Status</w:t>
      </w:r>
    </w:p>
    <w:p>
      <w:pPr>
        <w:pStyle w:val="ListParagraph"/>
        <w:numPr>
          <w:ilvl w:val="0"/>
          <w:numId w:val="137"/>
        </w:numPr>
        <w:tabs>
          <w:tab w:pos="785" w:val="left" w:leader="none"/>
        </w:tabs>
        <w:spacing w:line="208" w:lineRule="auto" w:before="233" w:after="0"/>
        <w:ind w:left="359" w:right="1217" w:firstLine="0"/>
        <w:jc w:val="left"/>
        <w:rPr>
          <w:sz w:val="24"/>
        </w:rPr>
      </w:pPr>
      <w:r>
        <w:rPr>
          <w:b/>
          <w:sz w:val="24"/>
        </w:rPr>
        <w:t>Use of Eligibility Status. </w:t>
      </w:r>
      <w:r>
        <w:rPr>
          <w:sz w:val="24"/>
        </w:rPr>
        <w:t>An active case is defined as one which has been accepted as meeting the basic eligibility requirements. An applicant who has been determined eligible for vocational rehabilitation will be placed in Eligibility Status for completion of a comprehensive assessment to determine employment goal and rehabilitation needs and for development of the Individualized Plan for Employment (IPE).</w:t>
      </w:r>
      <w:r>
        <w:rPr>
          <w:spacing w:val="40"/>
          <w:sz w:val="24"/>
        </w:rPr>
        <w:t> </w:t>
      </w:r>
      <w:r>
        <w:rPr>
          <w:sz w:val="24"/>
        </w:rPr>
        <w:t>An individual who is placed in an order of selection priority group that is not currently</w:t>
      </w:r>
      <w:r>
        <w:rPr>
          <w:spacing w:val="-3"/>
          <w:sz w:val="24"/>
        </w:rPr>
        <w:t> </w:t>
      </w:r>
      <w:r>
        <w:rPr>
          <w:sz w:val="24"/>
        </w:rPr>
        <w:t>being</w:t>
      </w:r>
      <w:r>
        <w:rPr>
          <w:spacing w:val="-3"/>
          <w:sz w:val="24"/>
        </w:rPr>
        <w:t> </w:t>
      </w:r>
      <w:r>
        <w:rPr>
          <w:sz w:val="24"/>
        </w:rPr>
        <w:t>served</w:t>
      </w:r>
      <w:r>
        <w:rPr>
          <w:spacing w:val="-3"/>
          <w:sz w:val="24"/>
        </w:rPr>
        <w:t> </w:t>
      </w:r>
      <w:r>
        <w:rPr>
          <w:sz w:val="24"/>
        </w:rPr>
        <w:t>will</w:t>
      </w:r>
      <w:r>
        <w:rPr>
          <w:spacing w:val="-3"/>
          <w:sz w:val="24"/>
        </w:rPr>
        <w:t> </w:t>
      </w:r>
      <w:r>
        <w:rPr>
          <w:sz w:val="24"/>
        </w:rPr>
        <w:t>be</w:t>
      </w:r>
      <w:r>
        <w:rPr>
          <w:spacing w:val="-3"/>
          <w:sz w:val="24"/>
        </w:rPr>
        <w:t> </w:t>
      </w:r>
      <w:r>
        <w:rPr>
          <w:sz w:val="24"/>
        </w:rPr>
        <w:t>placed</w:t>
      </w:r>
      <w:r>
        <w:rPr>
          <w:spacing w:val="-3"/>
          <w:sz w:val="24"/>
        </w:rPr>
        <w:t> </w:t>
      </w:r>
      <w:r>
        <w:rPr>
          <w:sz w:val="24"/>
        </w:rPr>
        <w:t>on</w:t>
      </w:r>
      <w:r>
        <w:rPr>
          <w:spacing w:val="-3"/>
          <w:sz w:val="24"/>
        </w:rPr>
        <w:t> </w:t>
      </w:r>
      <w:r>
        <w:rPr>
          <w:sz w:val="24"/>
        </w:rPr>
        <w:t>a</w:t>
      </w:r>
      <w:r>
        <w:rPr>
          <w:spacing w:val="-3"/>
          <w:sz w:val="24"/>
        </w:rPr>
        <w:t> </w:t>
      </w:r>
      <w:r>
        <w:rPr>
          <w:sz w:val="24"/>
        </w:rPr>
        <w:t>waiting</w:t>
      </w:r>
      <w:r>
        <w:rPr>
          <w:spacing w:val="-3"/>
          <w:sz w:val="24"/>
        </w:rPr>
        <w:t> </w:t>
      </w:r>
      <w:r>
        <w:rPr>
          <w:sz w:val="24"/>
        </w:rPr>
        <w:t>list</w:t>
      </w:r>
      <w:r>
        <w:rPr>
          <w:spacing w:val="-2"/>
          <w:sz w:val="24"/>
        </w:rPr>
        <w:t> </w:t>
      </w:r>
      <w:r>
        <w:rPr>
          <w:sz w:val="24"/>
        </w:rPr>
        <w:t>and</w:t>
      </w:r>
      <w:r>
        <w:rPr>
          <w:spacing w:val="-3"/>
          <w:sz w:val="24"/>
        </w:rPr>
        <w:t> </w:t>
      </w:r>
      <w:r>
        <w:rPr>
          <w:sz w:val="24"/>
        </w:rPr>
        <w:t>held</w:t>
      </w:r>
      <w:r>
        <w:rPr>
          <w:spacing w:val="-3"/>
          <w:sz w:val="24"/>
        </w:rPr>
        <w:t> </w:t>
      </w:r>
      <w:r>
        <w:rPr>
          <w:sz w:val="24"/>
        </w:rPr>
        <w:t>there</w:t>
      </w:r>
      <w:r>
        <w:rPr>
          <w:spacing w:val="-3"/>
          <w:sz w:val="24"/>
        </w:rPr>
        <w:t> </w:t>
      </w:r>
      <w:r>
        <w:rPr>
          <w:sz w:val="24"/>
        </w:rPr>
        <w:t>pending</w:t>
      </w:r>
      <w:r>
        <w:rPr>
          <w:spacing w:val="-3"/>
          <w:sz w:val="24"/>
        </w:rPr>
        <w:t> </w:t>
      </w:r>
      <w:r>
        <w:rPr>
          <w:sz w:val="24"/>
        </w:rPr>
        <w:t>further directives from the Director concerning opening or closing of priority groups.</w:t>
      </w:r>
    </w:p>
    <w:p>
      <w:pPr>
        <w:pStyle w:val="ListParagraph"/>
        <w:numPr>
          <w:ilvl w:val="0"/>
          <w:numId w:val="137"/>
        </w:numPr>
        <w:tabs>
          <w:tab w:pos="785" w:val="left" w:leader="none"/>
        </w:tabs>
        <w:spacing w:line="208" w:lineRule="auto" w:before="239" w:after="0"/>
        <w:ind w:left="359" w:right="780" w:firstLine="0"/>
        <w:jc w:val="left"/>
        <w:rPr>
          <w:sz w:val="24"/>
        </w:rPr>
      </w:pPr>
      <w:r>
        <w:rPr>
          <w:b/>
          <w:sz w:val="24"/>
        </w:rPr>
        <w:t>Case recording requirements. </w:t>
      </w:r>
      <w:r>
        <w:rPr>
          <w:sz w:val="24"/>
        </w:rPr>
        <w:t>The counselor records activities during this period by individual entry or by summary recording at regular intervals in case narratives. Copies</w:t>
      </w:r>
      <w:r>
        <w:rPr>
          <w:spacing w:val="-4"/>
          <w:sz w:val="24"/>
        </w:rPr>
        <w:t> </w:t>
      </w:r>
      <w:r>
        <w:rPr>
          <w:sz w:val="24"/>
        </w:rPr>
        <w:t>of</w:t>
      </w:r>
      <w:r>
        <w:rPr>
          <w:spacing w:val="-3"/>
          <w:sz w:val="24"/>
        </w:rPr>
        <w:t> </w:t>
      </w:r>
      <w:r>
        <w:rPr>
          <w:sz w:val="24"/>
        </w:rPr>
        <w:t>pertinent</w:t>
      </w:r>
      <w:r>
        <w:rPr>
          <w:spacing w:val="-3"/>
          <w:sz w:val="24"/>
        </w:rPr>
        <w:t> </w:t>
      </w:r>
      <w:r>
        <w:rPr>
          <w:sz w:val="24"/>
        </w:rPr>
        <w:t>case</w:t>
      </w:r>
      <w:r>
        <w:rPr>
          <w:spacing w:val="-4"/>
          <w:sz w:val="24"/>
        </w:rPr>
        <w:t> </w:t>
      </w:r>
      <w:r>
        <w:rPr>
          <w:sz w:val="24"/>
        </w:rPr>
        <w:t>information</w:t>
      </w:r>
      <w:r>
        <w:rPr>
          <w:spacing w:val="-4"/>
          <w:sz w:val="24"/>
        </w:rPr>
        <w:t> </w:t>
      </w:r>
      <w:r>
        <w:rPr>
          <w:sz w:val="24"/>
        </w:rPr>
        <w:t>will</w:t>
      </w:r>
      <w:r>
        <w:rPr>
          <w:spacing w:val="-4"/>
          <w:sz w:val="24"/>
        </w:rPr>
        <w:t> </w:t>
      </w:r>
      <w:r>
        <w:rPr>
          <w:sz w:val="24"/>
        </w:rPr>
        <w:t>be</w:t>
      </w:r>
      <w:r>
        <w:rPr>
          <w:spacing w:val="-3"/>
          <w:sz w:val="24"/>
        </w:rPr>
        <w:t> </w:t>
      </w:r>
      <w:r>
        <w:rPr>
          <w:sz w:val="24"/>
        </w:rPr>
        <w:t>shared</w:t>
      </w:r>
      <w:r>
        <w:rPr>
          <w:spacing w:val="-4"/>
          <w:sz w:val="24"/>
        </w:rPr>
        <w:t> </w:t>
      </w:r>
      <w:r>
        <w:rPr>
          <w:sz w:val="24"/>
        </w:rPr>
        <w:t>with</w:t>
      </w:r>
      <w:r>
        <w:rPr>
          <w:spacing w:val="-3"/>
          <w:sz w:val="24"/>
        </w:rPr>
        <w:t> </w:t>
      </w:r>
      <w:r>
        <w:rPr>
          <w:sz w:val="24"/>
        </w:rPr>
        <w:t>all</w:t>
      </w:r>
      <w:r>
        <w:rPr>
          <w:spacing w:val="-4"/>
          <w:sz w:val="24"/>
        </w:rPr>
        <w:t> </w:t>
      </w:r>
      <w:r>
        <w:rPr>
          <w:sz w:val="24"/>
        </w:rPr>
        <w:t>DVR</w:t>
      </w:r>
      <w:r>
        <w:rPr>
          <w:spacing w:val="-4"/>
          <w:sz w:val="24"/>
        </w:rPr>
        <w:t> </w:t>
      </w:r>
      <w:r>
        <w:rPr>
          <w:sz w:val="24"/>
        </w:rPr>
        <w:t>or</w:t>
      </w:r>
      <w:r>
        <w:rPr>
          <w:spacing w:val="-3"/>
          <w:sz w:val="24"/>
        </w:rPr>
        <w:t> </w:t>
      </w:r>
      <w:r>
        <w:rPr>
          <w:sz w:val="24"/>
        </w:rPr>
        <w:t>DSBVI</w:t>
      </w:r>
      <w:r>
        <w:rPr>
          <w:spacing w:val="-3"/>
          <w:sz w:val="24"/>
        </w:rPr>
        <w:t> </w:t>
      </w:r>
      <w:r>
        <w:rPr>
          <w:sz w:val="24"/>
        </w:rPr>
        <w:t>professionals involved in the case. During eligibility status and throughout the life of the case, DSBVI counselors and rehabilitation teachers will share pertinent information related to a case they jointly serve. Pertinent case information will also be shared with contracted vendors, when appropriate, with a release signed by the client. If an IPE cannot be developed during this period, the client's case is closed with a full explanation to the client and documentation as to the reason for closing the case. This documentation will be completed on a closure letter and a copy given to the client.</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4-3-96</w:t>
      </w:r>
      <w:r>
        <w:rPr>
          <w:sz w:val="22"/>
        </w:rPr>
        <w:tab/>
        <w:t>PT Memo #96-2</w:t>
      </w:r>
    </w:p>
    <w:p>
      <w:pPr>
        <w:tabs>
          <w:tab w:pos="1439" w:val="left" w:leader="none"/>
        </w:tabs>
        <w:spacing w:before="1"/>
        <w:ind w:left="359" w:right="1429" w:firstLine="1080"/>
        <w:jc w:val="left"/>
        <w:rPr>
          <w:sz w:val="22"/>
        </w:rPr>
      </w:pPr>
      <w:r>
        <w:rPr>
          <w:sz w:val="22"/>
        </w:rPr>
        <w:t>Emergency,</w:t>
      </w:r>
      <w:r>
        <w:rPr>
          <w:spacing w:val="-6"/>
          <w:sz w:val="22"/>
        </w:rPr>
        <w:t> </w:t>
      </w:r>
      <w:r>
        <w:rPr>
          <w:sz w:val="22"/>
        </w:rPr>
        <w:t>added</w:t>
      </w:r>
      <w:r>
        <w:rPr>
          <w:spacing w:val="-6"/>
          <w:sz w:val="22"/>
        </w:rPr>
        <w:t> </w:t>
      </w:r>
      <w:r>
        <w:rPr>
          <w:sz w:val="22"/>
        </w:rPr>
        <w:t>stricter</w:t>
      </w:r>
      <w:r>
        <w:rPr>
          <w:spacing w:val="-6"/>
          <w:sz w:val="22"/>
        </w:rPr>
        <w:t> </w:t>
      </w:r>
      <w:r>
        <w:rPr>
          <w:sz w:val="22"/>
        </w:rPr>
        <w:t>guidelines</w:t>
      </w:r>
      <w:r>
        <w:rPr>
          <w:spacing w:val="-6"/>
          <w:sz w:val="22"/>
        </w:rPr>
        <w:t> </w:t>
      </w:r>
      <w:r>
        <w:rPr>
          <w:sz w:val="22"/>
        </w:rPr>
        <w:t>for</w:t>
      </w:r>
      <w:r>
        <w:rPr>
          <w:spacing w:val="-6"/>
          <w:sz w:val="22"/>
        </w:rPr>
        <w:t> </w:t>
      </w:r>
      <w:r>
        <w:rPr>
          <w:sz w:val="22"/>
        </w:rPr>
        <w:t>noncompetitive</w:t>
      </w:r>
      <w:r>
        <w:rPr>
          <w:spacing w:val="-6"/>
          <w:sz w:val="22"/>
        </w:rPr>
        <w:t> </w:t>
      </w:r>
      <w:r>
        <w:rPr>
          <w:sz w:val="22"/>
        </w:rPr>
        <w:t>vocational</w:t>
      </w:r>
      <w:r>
        <w:rPr>
          <w:spacing w:val="-6"/>
          <w:sz w:val="22"/>
        </w:rPr>
        <w:t> </w:t>
      </w:r>
      <w:r>
        <w:rPr>
          <w:sz w:val="22"/>
        </w:rPr>
        <w:t>objectives </w:t>
      </w:r>
      <w:r>
        <w:rPr>
          <w:spacing w:val="-2"/>
          <w:sz w:val="22"/>
        </w:rPr>
        <w:t>8-1-96</w:t>
      </w:r>
      <w:r>
        <w:rPr>
          <w:sz w:val="22"/>
        </w:rPr>
        <w:tab/>
        <w:t>PT Memo #97-2</w:t>
      </w:r>
    </w:p>
    <w:p>
      <w:pPr>
        <w:spacing w:before="0"/>
        <w:ind w:left="1439" w:right="929" w:firstLine="0"/>
        <w:jc w:val="left"/>
        <w:rPr>
          <w:sz w:val="22"/>
        </w:rPr>
      </w:pPr>
      <w:r>
        <w:rPr>
          <w:sz w:val="22"/>
        </w:rPr>
        <w:t>Permanent,</w:t>
      </w:r>
      <w:r>
        <w:rPr>
          <w:spacing w:val="-4"/>
          <w:sz w:val="22"/>
        </w:rPr>
        <w:t> </w:t>
      </w:r>
      <w:r>
        <w:rPr>
          <w:sz w:val="22"/>
        </w:rPr>
        <w:t>changed</w:t>
      </w:r>
      <w:r>
        <w:rPr>
          <w:spacing w:val="-5"/>
          <w:sz w:val="22"/>
        </w:rPr>
        <w:t> </w:t>
      </w:r>
      <w:r>
        <w:rPr>
          <w:sz w:val="22"/>
        </w:rPr>
        <w:t>name</w:t>
      </w:r>
      <w:r>
        <w:rPr>
          <w:spacing w:val="-5"/>
          <w:sz w:val="22"/>
        </w:rPr>
        <w:t> </w:t>
      </w:r>
      <w:r>
        <w:rPr>
          <w:sz w:val="22"/>
        </w:rPr>
        <w:t>of</w:t>
      </w:r>
      <w:r>
        <w:rPr>
          <w:spacing w:val="-5"/>
          <w:sz w:val="22"/>
        </w:rPr>
        <w:t> </w:t>
      </w:r>
      <w:r>
        <w:rPr>
          <w:sz w:val="22"/>
        </w:rPr>
        <w:t>closure</w:t>
      </w:r>
      <w:r>
        <w:rPr>
          <w:spacing w:val="-5"/>
          <w:sz w:val="22"/>
        </w:rPr>
        <w:t> </w:t>
      </w:r>
      <w:r>
        <w:rPr>
          <w:sz w:val="22"/>
        </w:rPr>
        <w:t>form,</w:t>
      </w:r>
      <w:r>
        <w:rPr>
          <w:spacing w:val="-5"/>
          <w:sz w:val="22"/>
        </w:rPr>
        <w:t> </w:t>
      </w:r>
      <w:r>
        <w:rPr>
          <w:sz w:val="22"/>
        </w:rPr>
        <w:t>added</w:t>
      </w:r>
      <w:r>
        <w:rPr>
          <w:spacing w:val="-5"/>
          <w:sz w:val="22"/>
        </w:rPr>
        <w:t> </w:t>
      </w:r>
      <w:r>
        <w:rPr>
          <w:sz w:val="22"/>
        </w:rPr>
        <w:t>case</w:t>
      </w:r>
      <w:r>
        <w:rPr>
          <w:spacing w:val="-5"/>
          <w:sz w:val="22"/>
        </w:rPr>
        <w:t> </w:t>
      </w:r>
      <w:r>
        <w:rPr>
          <w:sz w:val="22"/>
        </w:rPr>
        <w:t>recording</w:t>
      </w:r>
      <w:r>
        <w:rPr>
          <w:spacing w:val="-5"/>
          <w:sz w:val="22"/>
        </w:rPr>
        <w:t> </w:t>
      </w:r>
      <w:r>
        <w:rPr>
          <w:sz w:val="22"/>
        </w:rPr>
        <w:t>requirements</w:t>
      </w:r>
      <w:r>
        <w:rPr>
          <w:spacing w:val="-5"/>
          <w:sz w:val="22"/>
        </w:rPr>
        <w:t> </w:t>
      </w:r>
      <w:r>
        <w:rPr>
          <w:sz w:val="22"/>
        </w:rPr>
        <w:t>for DRS-C-21, moved documentation of priority group placement to DRS-C-23</w:t>
      </w:r>
    </w:p>
    <w:p>
      <w:pPr>
        <w:pStyle w:val="ListParagraph"/>
        <w:numPr>
          <w:ilvl w:val="2"/>
          <w:numId w:val="85"/>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#97-</w:t>
      </w:r>
      <w:r>
        <w:rPr>
          <w:spacing w:val="-10"/>
          <w:sz w:val="22"/>
        </w:rPr>
        <w:t>9</w:t>
      </w:r>
    </w:p>
    <w:p>
      <w:pPr>
        <w:spacing w:before="0"/>
        <w:ind w:left="1439" w:right="775" w:firstLine="0"/>
        <w:jc w:val="left"/>
        <w:rPr>
          <w:sz w:val="22"/>
        </w:rPr>
      </w:pPr>
      <w:r>
        <w:rPr>
          <w:sz w:val="22"/>
        </w:rPr>
        <w:t>Permanent,</w:t>
      </w:r>
      <w:r>
        <w:rPr>
          <w:spacing w:val="-5"/>
          <w:sz w:val="22"/>
        </w:rPr>
        <w:t> </w:t>
      </w:r>
      <w:r>
        <w:rPr>
          <w:sz w:val="22"/>
        </w:rPr>
        <w:t>stricter</w:t>
      </w:r>
      <w:r>
        <w:rPr>
          <w:spacing w:val="-6"/>
          <w:sz w:val="22"/>
        </w:rPr>
        <w:t> </w:t>
      </w:r>
      <w:r>
        <w:rPr>
          <w:sz w:val="22"/>
        </w:rPr>
        <w:t>guidelines</w:t>
      </w:r>
      <w:r>
        <w:rPr>
          <w:spacing w:val="-6"/>
          <w:sz w:val="22"/>
        </w:rPr>
        <w:t> </w:t>
      </w:r>
      <w:r>
        <w:rPr>
          <w:sz w:val="22"/>
        </w:rPr>
        <w:t>for</w:t>
      </w:r>
      <w:r>
        <w:rPr>
          <w:spacing w:val="-6"/>
          <w:sz w:val="22"/>
        </w:rPr>
        <w:t> </w:t>
      </w:r>
      <w:r>
        <w:rPr>
          <w:sz w:val="22"/>
        </w:rPr>
        <w:t>noncompetitive</w:t>
      </w:r>
      <w:r>
        <w:rPr>
          <w:spacing w:val="-6"/>
          <w:sz w:val="22"/>
        </w:rPr>
        <w:t> </w:t>
      </w:r>
      <w:r>
        <w:rPr>
          <w:sz w:val="22"/>
        </w:rPr>
        <w:t>vocational</w:t>
      </w:r>
      <w:r>
        <w:rPr>
          <w:spacing w:val="-7"/>
          <w:sz w:val="22"/>
        </w:rPr>
        <w:t> </w:t>
      </w:r>
      <w:r>
        <w:rPr>
          <w:sz w:val="22"/>
        </w:rPr>
        <w:t>objectives,</w:t>
      </w:r>
      <w:r>
        <w:rPr>
          <w:spacing w:val="-7"/>
          <w:sz w:val="22"/>
        </w:rPr>
        <w:t> </w:t>
      </w:r>
      <w:r>
        <w:rPr>
          <w:sz w:val="22"/>
        </w:rPr>
        <w:t>also supersedes emergency rules issued 4-3-96</w:t>
      </w:r>
    </w:p>
    <w:p>
      <w:pPr>
        <w:tabs>
          <w:tab w:pos="1439" w:val="left" w:leader="none"/>
        </w:tabs>
        <w:spacing w:line="252" w:lineRule="exact" w:before="0"/>
        <w:ind w:left="359" w:right="0" w:firstLine="0"/>
        <w:jc w:val="left"/>
        <w:rPr>
          <w:sz w:val="22"/>
        </w:rPr>
      </w:pPr>
      <w:r>
        <w:rPr>
          <w:spacing w:val="-2"/>
          <w:sz w:val="22"/>
        </w:rPr>
        <w:t>10-1-</w:t>
      </w:r>
      <w:r>
        <w:rPr>
          <w:spacing w:val="-5"/>
          <w:sz w:val="22"/>
        </w:rPr>
        <w:t>97</w:t>
      </w:r>
      <w:r>
        <w:rPr>
          <w:sz w:val="22"/>
        </w:rPr>
        <w:tab/>
        <w:t>PT</w:t>
      </w:r>
      <w:r>
        <w:rPr>
          <w:spacing w:val="-8"/>
          <w:sz w:val="22"/>
        </w:rPr>
        <w:t> </w:t>
      </w:r>
      <w:r>
        <w:rPr>
          <w:sz w:val="22"/>
        </w:rPr>
        <w:t>Memo</w:t>
      </w:r>
      <w:r>
        <w:rPr>
          <w:spacing w:val="-8"/>
          <w:sz w:val="22"/>
        </w:rPr>
        <w:t> </w:t>
      </w:r>
      <w:r>
        <w:rPr>
          <w:sz w:val="22"/>
        </w:rPr>
        <w:t>#98-</w:t>
      </w:r>
      <w:r>
        <w:rPr>
          <w:spacing w:val="-10"/>
          <w:sz w:val="22"/>
        </w:rPr>
        <w:t>4</w:t>
      </w:r>
    </w:p>
    <w:p>
      <w:pPr>
        <w:spacing w:before="0"/>
        <w:ind w:left="1439" w:right="775" w:firstLine="0"/>
        <w:jc w:val="left"/>
        <w:rPr>
          <w:sz w:val="22"/>
        </w:rPr>
      </w:pPr>
      <w:r>
        <w:rPr>
          <w:sz w:val="22"/>
        </w:rPr>
        <w:t>Emergency,</w:t>
      </w:r>
      <w:r>
        <w:rPr>
          <w:spacing w:val="-6"/>
          <w:sz w:val="22"/>
        </w:rPr>
        <w:t> </w:t>
      </w:r>
      <w:r>
        <w:rPr>
          <w:sz w:val="22"/>
        </w:rPr>
        <w:t>comprehensive</w:t>
      </w:r>
      <w:r>
        <w:rPr>
          <w:spacing w:val="-6"/>
          <w:sz w:val="22"/>
        </w:rPr>
        <w:t> </w:t>
      </w:r>
      <w:r>
        <w:rPr>
          <w:sz w:val="22"/>
        </w:rPr>
        <w:t>assessment</w:t>
      </w:r>
      <w:r>
        <w:rPr>
          <w:spacing w:val="-6"/>
          <w:sz w:val="22"/>
        </w:rPr>
        <w:t> </w:t>
      </w:r>
      <w:r>
        <w:rPr>
          <w:sz w:val="22"/>
        </w:rPr>
        <w:t>made</w:t>
      </w:r>
      <w:r>
        <w:rPr>
          <w:spacing w:val="-5"/>
          <w:sz w:val="22"/>
        </w:rPr>
        <w:t> </w:t>
      </w:r>
      <w:r>
        <w:rPr>
          <w:sz w:val="22"/>
        </w:rPr>
        <w:t>optional,</w:t>
      </w:r>
      <w:r>
        <w:rPr>
          <w:spacing w:val="-6"/>
          <w:sz w:val="22"/>
        </w:rPr>
        <w:t> </w:t>
      </w:r>
      <w:r>
        <w:rPr>
          <w:sz w:val="22"/>
        </w:rPr>
        <w:t>except</w:t>
      </w:r>
      <w:r>
        <w:rPr>
          <w:spacing w:val="-6"/>
          <w:sz w:val="22"/>
        </w:rPr>
        <w:t> </w:t>
      </w:r>
      <w:r>
        <w:rPr>
          <w:sz w:val="22"/>
        </w:rPr>
        <w:t>in</w:t>
      </w:r>
      <w:r>
        <w:rPr>
          <w:spacing w:val="-6"/>
          <w:sz w:val="22"/>
        </w:rPr>
        <w:t> </w:t>
      </w:r>
      <w:r>
        <w:rPr>
          <w:sz w:val="22"/>
        </w:rPr>
        <w:t>Supported Employment cases, removed DRS-C-23</w:t>
      </w:r>
    </w:p>
    <w:p>
      <w:pPr>
        <w:pStyle w:val="ListParagraph"/>
        <w:numPr>
          <w:ilvl w:val="2"/>
          <w:numId w:val="85"/>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#98-</w:t>
      </w:r>
      <w:r>
        <w:rPr>
          <w:spacing w:val="-5"/>
          <w:sz w:val="22"/>
        </w:rPr>
        <w:t>15</w:t>
      </w:r>
    </w:p>
    <w:p>
      <w:pPr>
        <w:spacing w:before="1"/>
        <w:ind w:left="1439" w:right="865" w:firstLine="0"/>
        <w:jc w:val="left"/>
        <w:rPr>
          <w:sz w:val="22"/>
        </w:rPr>
      </w:pPr>
      <w:r>
        <w:rPr>
          <w:sz w:val="22"/>
        </w:rPr>
        <w:t>Permanent rules supersede emergency rules issued 10-1-97; comprehensive assessment</w:t>
      </w:r>
      <w:r>
        <w:rPr>
          <w:spacing w:val="-4"/>
          <w:sz w:val="22"/>
        </w:rPr>
        <w:t> </w:t>
      </w:r>
      <w:r>
        <w:rPr>
          <w:sz w:val="22"/>
        </w:rPr>
        <w:t>optional,</w:t>
      </w:r>
      <w:r>
        <w:rPr>
          <w:spacing w:val="-3"/>
          <w:sz w:val="22"/>
        </w:rPr>
        <w:t> </w:t>
      </w:r>
      <w:r>
        <w:rPr>
          <w:sz w:val="22"/>
        </w:rPr>
        <w:t>except</w:t>
      </w:r>
      <w:r>
        <w:rPr>
          <w:spacing w:val="-3"/>
          <w:sz w:val="22"/>
        </w:rPr>
        <w:t> </w:t>
      </w:r>
      <w:r>
        <w:rPr>
          <w:sz w:val="22"/>
        </w:rPr>
        <w:t>for</w:t>
      </w:r>
      <w:r>
        <w:rPr>
          <w:spacing w:val="-3"/>
          <w:sz w:val="22"/>
        </w:rPr>
        <w:t> </w:t>
      </w:r>
      <w:r>
        <w:rPr>
          <w:sz w:val="22"/>
        </w:rPr>
        <w:t>Supported</w:t>
      </w:r>
      <w:r>
        <w:rPr>
          <w:spacing w:val="-3"/>
          <w:sz w:val="22"/>
        </w:rPr>
        <w:t> </w:t>
      </w:r>
      <w:r>
        <w:rPr>
          <w:sz w:val="22"/>
        </w:rPr>
        <w:t>Employment;</w:t>
      </w:r>
      <w:r>
        <w:rPr>
          <w:spacing w:val="-3"/>
          <w:sz w:val="22"/>
        </w:rPr>
        <w:t> </w:t>
      </w:r>
      <w:r>
        <w:rPr>
          <w:sz w:val="22"/>
        </w:rPr>
        <w:t>no</w:t>
      </w:r>
      <w:r>
        <w:rPr>
          <w:spacing w:val="-3"/>
          <w:sz w:val="22"/>
        </w:rPr>
        <w:t> </w:t>
      </w:r>
      <w:r>
        <w:rPr>
          <w:sz w:val="22"/>
        </w:rPr>
        <w:t>form</w:t>
      </w:r>
      <w:r>
        <w:rPr>
          <w:spacing w:val="-4"/>
          <w:sz w:val="22"/>
        </w:rPr>
        <w:t> </w:t>
      </w:r>
      <w:r>
        <w:rPr>
          <w:sz w:val="22"/>
        </w:rPr>
        <w:t>for</w:t>
      </w:r>
      <w:r>
        <w:rPr>
          <w:spacing w:val="-3"/>
          <w:sz w:val="22"/>
        </w:rPr>
        <w:t> </w:t>
      </w:r>
      <w:r>
        <w:rPr>
          <w:sz w:val="22"/>
        </w:rPr>
        <w:t>VR</w:t>
      </w:r>
      <w:r>
        <w:rPr>
          <w:spacing w:val="-2"/>
          <w:sz w:val="22"/>
        </w:rPr>
        <w:t> </w:t>
      </w:r>
      <w:r>
        <w:rPr>
          <w:sz w:val="22"/>
        </w:rPr>
        <w:t>case,</w:t>
      </w:r>
      <w:r>
        <w:rPr>
          <w:spacing w:val="-3"/>
          <w:sz w:val="22"/>
        </w:rPr>
        <w:t> </w:t>
      </w:r>
      <w:r>
        <w:rPr>
          <w:sz w:val="22"/>
        </w:rPr>
        <w:t>do</w:t>
      </w:r>
      <w:r>
        <w:rPr>
          <w:spacing w:val="-3"/>
          <w:sz w:val="22"/>
        </w:rPr>
        <w:t> </w:t>
      </w:r>
      <w:r>
        <w:rPr>
          <w:sz w:val="22"/>
        </w:rPr>
        <w:t>in C-11; counselor analysis of diagnostic documentation required in all cases; new wording on vocational objective</w:t>
      </w:r>
    </w:p>
    <w:p>
      <w:pPr>
        <w:tabs>
          <w:tab w:pos="1439" w:val="left" w:leader="none"/>
        </w:tabs>
        <w:spacing w:line="253" w:lineRule="exact" w:before="0"/>
        <w:ind w:left="359" w:right="0" w:firstLine="0"/>
        <w:jc w:val="left"/>
        <w:rPr>
          <w:sz w:val="22"/>
        </w:rPr>
      </w:pPr>
      <w:r>
        <w:rPr>
          <w:spacing w:val="-2"/>
          <w:sz w:val="22"/>
        </w:rPr>
        <w:t>6-14-</w:t>
      </w:r>
      <w:r>
        <w:rPr>
          <w:spacing w:val="-5"/>
          <w:sz w:val="22"/>
        </w:rPr>
        <w:t>99</w:t>
      </w:r>
      <w:r>
        <w:rPr>
          <w:sz w:val="22"/>
        </w:rPr>
        <w:tab/>
        <w:t>POL</w:t>
      </w:r>
      <w:r>
        <w:rPr>
          <w:spacing w:val="-9"/>
          <w:sz w:val="22"/>
        </w:rPr>
        <w:t> </w:t>
      </w:r>
      <w:r>
        <w:rPr>
          <w:sz w:val="22"/>
        </w:rPr>
        <w:t>Memo</w:t>
      </w:r>
      <w:r>
        <w:rPr>
          <w:spacing w:val="-8"/>
          <w:sz w:val="22"/>
        </w:rPr>
        <w:t> </w:t>
      </w:r>
      <w:r>
        <w:rPr>
          <w:sz w:val="22"/>
        </w:rPr>
        <w:t>#99-</w:t>
      </w:r>
      <w:r>
        <w:rPr>
          <w:spacing w:val="-10"/>
          <w:sz w:val="22"/>
        </w:rPr>
        <w:t>7</w:t>
      </w:r>
    </w:p>
    <w:p>
      <w:pPr>
        <w:spacing w:before="0"/>
        <w:ind w:left="1439" w:right="724" w:firstLine="0"/>
        <w:jc w:val="left"/>
        <w:rPr>
          <w:sz w:val="22"/>
        </w:rPr>
      </w:pPr>
      <w:r>
        <w:rPr>
          <w:sz w:val="22"/>
        </w:rPr>
        <w:t>Emergency,</w:t>
      </w:r>
      <w:r>
        <w:rPr>
          <w:spacing w:val="-5"/>
          <w:sz w:val="22"/>
        </w:rPr>
        <w:t> </w:t>
      </w:r>
      <w:r>
        <w:rPr>
          <w:sz w:val="22"/>
        </w:rPr>
        <w:t>added</w:t>
      </w:r>
      <w:r>
        <w:rPr>
          <w:spacing w:val="-5"/>
          <w:sz w:val="22"/>
        </w:rPr>
        <w:t> </w:t>
      </w:r>
      <w:r>
        <w:rPr>
          <w:sz w:val="22"/>
        </w:rPr>
        <w:t>clarifying</w:t>
      </w:r>
      <w:r>
        <w:rPr>
          <w:spacing w:val="-5"/>
          <w:sz w:val="22"/>
        </w:rPr>
        <w:t> </w:t>
      </w:r>
      <w:r>
        <w:rPr>
          <w:sz w:val="22"/>
        </w:rPr>
        <w:t>language;</w:t>
      </w:r>
      <w:r>
        <w:rPr>
          <w:spacing w:val="-5"/>
          <w:sz w:val="22"/>
        </w:rPr>
        <w:t> </w:t>
      </w:r>
      <w:r>
        <w:rPr>
          <w:sz w:val="22"/>
        </w:rPr>
        <w:t>eligibility</w:t>
      </w:r>
      <w:r>
        <w:rPr>
          <w:spacing w:val="-6"/>
          <w:sz w:val="22"/>
        </w:rPr>
        <w:t> </w:t>
      </w:r>
      <w:r>
        <w:rPr>
          <w:sz w:val="22"/>
        </w:rPr>
        <w:t>no</w:t>
      </w:r>
      <w:r>
        <w:rPr>
          <w:spacing w:val="-5"/>
          <w:sz w:val="22"/>
        </w:rPr>
        <w:t> </w:t>
      </w:r>
      <w:r>
        <w:rPr>
          <w:sz w:val="22"/>
        </w:rPr>
        <w:t>longer</w:t>
      </w:r>
      <w:r>
        <w:rPr>
          <w:spacing w:val="-5"/>
          <w:sz w:val="22"/>
        </w:rPr>
        <w:t> </w:t>
      </w:r>
      <w:r>
        <w:rPr>
          <w:sz w:val="22"/>
        </w:rPr>
        <w:t>"certified";</w:t>
      </w:r>
      <w:r>
        <w:rPr>
          <w:spacing w:val="-5"/>
          <w:sz w:val="22"/>
        </w:rPr>
        <w:t> </w:t>
      </w:r>
      <w:r>
        <w:rPr>
          <w:sz w:val="22"/>
        </w:rPr>
        <w:t>comprehensive assessment required in every case, but not using a form; individual now has options on how to develop the IPE, including doing it themselves</w:t>
      </w:r>
    </w:p>
    <w:p>
      <w:pPr>
        <w:pStyle w:val="ListParagraph"/>
        <w:numPr>
          <w:ilvl w:val="2"/>
          <w:numId w:val="85"/>
        </w:numPr>
        <w:tabs>
          <w:tab w:pos="1439" w:val="left" w:leader="none"/>
        </w:tabs>
        <w:spacing w:line="253" w:lineRule="exact" w:before="0" w:after="0"/>
        <w:ind w:left="1439" w:right="0" w:hanging="1080"/>
        <w:jc w:val="left"/>
        <w:rPr>
          <w:sz w:val="22"/>
        </w:rPr>
      </w:pPr>
      <w:r>
        <w:rPr>
          <w:sz w:val="22"/>
        </w:rPr>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7-1-01</w:t>
      </w:r>
      <w:r>
        <w:rPr>
          <w:sz w:val="22"/>
        </w:rPr>
        <w:tab/>
        <w:t>PT Memo #01-08</w:t>
      </w:r>
    </w:p>
    <w:p>
      <w:pPr>
        <w:tabs>
          <w:tab w:pos="1439" w:val="left" w:leader="none"/>
        </w:tabs>
        <w:spacing w:before="0"/>
        <w:ind w:left="359" w:right="4034" w:firstLine="1080"/>
        <w:jc w:val="left"/>
        <w:rPr>
          <w:sz w:val="22"/>
        </w:rPr>
      </w:pPr>
      <w:r>
        <w:rPr>
          <w:sz w:val="22"/>
        </w:rPr>
        <w:t>Permanent,</w:t>
      </w:r>
      <w:r>
        <w:rPr>
          <w:spacing w:val="-9"/>
          <w:sz w:val="22"/>
        </w:rPr>
        <w:t> </w:t>
      </w:r>
      <w:r>
        <w:rPr>
          <w:sz w:val="22"/>
        </w:rPr>
        <w:t>amended</w:t>
      </w:r>
      <w:r>
        <w:rPr>
          <w:spacing w:val="-10"/>
          <w:sz w:val="22"/>
        </w:rPr>
        <w:t> </w:t>
      </w:r>
      <w:r>
        <w:rPr>
          <w:sz w:val="22"/>
        </w:rPr>
        <w:t>case</w:t>
      </w:r>
      <w:r>
        <w:rPr>
          <w:spacing w:val="-10"/>
          <w:sz w:val="22"/>
        </w:rPr>
        <w:t> </w:t>
      </w:r>
      <w:r>
        <w:rPr>
          <w:sz w:val="22"/>
        </w:rPr>
        <w:t>recording</w:t>
      </w:r>
      <w:r>
        <w:rPr>
          <w:spacing w:val="-11"/>
          <w:sz w:val="22"/>
        </w:rPr>
        <w:t> </w:t>
      </w:r>
      <w:r>
        <w:rPr>
          <w:sz w:val="22"/>
        </w:rPr>
        <w:t>requirements </w:t>
      </w:r>
      <w:r>
        <w:rPr>
          <w:spacing w:val="-2"/>
          <w:sz w:val="22"/>
        </w:rPr>
        <w:t>7-1-03</w:t>
      </w:r>
      <w:r>
        <w:rPr>
          <w:sz w:val="22"/>
        </w:rPr>
        <w:tab/>
        <w:t>PT Memo #03-07</w:t>
      </w:r>
    </w:p>
    <w:p>
      <w:pPr>
        <w:spacing w:after="0"/>
        <w:jc w:val="left"/>
        <w:rPr>
          <w:sz w:val="22"/>
        </w:rPr>
        <w:sectPr>
          <w:pgSz w:w="12240" w:h="15840"/>
          <w:pgMar w:top="1340" w:bottom="280" w:left="1080" w:right="720"/>
        </w:sectPr>
      </w:pPr>
    </w:p>
    <w:p>
      <w:pPr>
        <w:spacing w:before="80"/>
        <w:ind w:left="1439" w:right="0" w:firstLine="0"/>
        <w:jc w:val="left"/>
        <w:rPr>
          <w:sz w:val="22"/>
        </w:rPr>
      </w:pPr>
      <w:r>
        <w:rPr>
          <w:sz w:val="22"/>
        </w:rPr>
        <w:t>Permanent,</w:t>
      </w:r>
      <w:r>
        <w:rPr>
          <w:spacing w:val="-10"/>
          <w:sz w:val="22"/>
        </w:rPr>
        <w:t> </w:t>
      </w:r>
      <w:r>
        <w:rPr>
          <w:sz w:val="22"/>
        </w:rPr>
        <w:t>updating</w:t>
      </w:r>
      <w:r>
        <w:rPr>
          <w:spacing w:val="-11"/>
          <w:sz w:val="22"/>
        </w:rPr>
        <w:t> </w:t>
      </w:r>
      <w:r>
        <w:rPr>
          <w:spacing w:val="-2"/>
          <w:sz w:val="22"/>
        </w:rPr>
        <w:t>language.</w:t>
      </w:r>
    </w:p>
    <w:p>
      <w:pPr>
        <w:pStyle w:val="ListParagraph"/>
        <w:numPr>
          <w:ilvl w:val="2"/>
          <w:numId w:val="19"/>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#05-</w:t>
      </w:r>
      <w:r>
        <w:rPr>
          <w:spacing w:val="-5"/>
          <w:sz w:val="22"/>
        </w:rPr>
        <w:t>01</w:t>
      </w:r>
    </w:p>
    <w:p>
      <w:pPr>
        <w:tabs>
          <w:tab w:pos="1439" w:val="left" w:leader="none"/>
        </w:tabs>
        <w:spacing w:before="0"/>
        <w:ind w:left="360" w:right="4707" w:firstLine="1080"/>
        <w:jc w:val="left"/>
        <w:rPr>
          <w:sz w:val="22"/>
        </w:rPr>
      </w:pPr>
      <w:r>
        <w:rPr>
          <w:sz w:val="22"/>
        </w:rPr>
        <w:t>Permanent,</w:t>
      </w:r>
      <w:r>
        <w:rPr>
          <w:spacing w:val="-5"/>
          <w:sz w:val="22"/>
        </w:rPr>
        <w:t> </w:t>
      </w:r>
      <w:r>
        <w:rPr>
          <w:sz w:val="22"/>
        </w:rPr>
        <w:t>added</w:t>
      </w:r>
      <w:r>
        <w:rPr>
          <w:spacing w:val="-6"/>
          <w:sz w:val="22"/>
        </w:rPr>
        <w:t> </w:t>
      </w:r>
      <w:r>
        <w:rPr>
          <w:sz w:val="22"/>
        </w:rPr>
        <w:t>90</w:t>
      </w:r>
      <w:r>
        <w:rPr>
          <w:spacing w:val="-6"/>
          <w:sz w:val="22"/>
        </w:rPr>
        <w:t> </w:t>
      </w:r>
      <w:r>
        <w:rPr>
          <w:sz w:val="22"/>
        </w:rPr>
        <w:t>day</w:t>
      </w:r>
      <w:r>
        <w:rPr>
          <w:spacing w:val="-6"/>
          <w:sz w:val="22"/>
        </w:rPr>
        <w:t> </w:t>
      </w:r>
      <w:r>
        <w:rPr>
          <w:sz w:val="22"/>
        </w:rPr>
        <w:t>time</w:t>
      </w:r>
      <w:r>
        <w:rPr>
          <w:spacing w:val="-6"/>
          <w:sz w:val="22"/>
        </w:rPr>
        <w:t> </w:t>
      </w:r>
      <w:r>
        <w:rPr>
          <w:sz w:val="22"/>
        </w:rPr>
        <w:t>frame</w:t>
      </w:r>
      <w:r>
        <w:rPr>
          <w:spacing w:val="-6"/>
          <w:sz w:val="22"/>
        </w:rPr>
        <w:t> </w:t>
      </w:r>
      <w:r>
        <w:rPr>
          <w:sz w:val="22"/>
        </w:rPr>
        <w:t>to</w:t>
      </w:r>
      <w:r>
        <w:rPr>
          <w:spacing w:val="-6"/>
          <w:sz w:val="22"/>
        </w:rPr>
        <w:t> </w:t>
      </w:r>
      <w:r>
        <w:rPr>
          <w:sz w:val="22"/>
        </w:rPr>
        <w:t>IPE </w:t>
      </w:r>
      <w:r>
        <w:rPr>
          <w:spacing w:val="-2"/>
          <w:sz w:val="22"/>
        </w:rPr>
        <w:t>7-1-05</w:t>
      </w:r>
      <w:r>
        <w:rPr>
          <w:sz w:val="22"/>
        </w:rPr>
        <w:tab/>
        <w:t>PT Memo #06-01</w:t>
      </w:r>
    </w:p>
    <w:p>
      <w:pPr>
        <w:spacing w:before="0"/>
        <w:ind w:left="1439" w:right="0" w:firstLine="0"/>
        <w:jc w:val="left"/>
        <w:rPr>
          <w:sz w:val="22"/>
        </w:rPr>
      </w:pPr>
      <w:r>
        <w:rPr>
          <w:sz w:val="22"/>
        </w:rPr>
        <w:t>Permanent,</w:t>
      </w:r>
      <w:r>
        <w:rPr>
          <w:spacing w:val="-7"/>
          <w:sz w:val="22"/>
        </w:rPr>
        <w:t> </w:t>
      </w:r>
      <w:r>
        <w:rPr>
          <w:sz w:val="22"/>
        </w:rPr>
        <w:t>general</w:t>
      </w:r>
      <w:r>
        <w:rPr>
          <w:spacing w:val="-8"/>
          <w:sz w:val="22"/>
        </w:rPr>
        <w:t> </w:t>
      </w:r>
      <w:r>
        <w:rPr>
          <w:sz w:val="22"/>
        </w:rPr>
        <w:t>cleanup</w:t>
      </w:r>
      <w:r>
        <w:rPr>
          <w:spacing w:val="-8"/>
          <w:sz w:val="22"/>
        </w:rPr>
        <w:t> </w:t>
      </w:r>
      <w:r>
        <w:rPr>
          <w:sz w:val="22"/>
        </w:rPr>
        <w:t>of</w:t>
      </w:r>
      <w:r>
        <w:rPr>
          <w:spacing w:val="-8"/>
          <w:sz w:val="22"/>
        </w:rPr>
        <w:t> </w:t>
      </w:r>
      <w:r>
        <w:rPr>
          <w:spacing w:val="-2"/>
          <w:sz w:val="22"/>
        </w:rPr>
        <w:t>language.</w:t>
      </w:r>
    </w:p>
    <w:p>
      <w:pPr>
        <w:tabs>
          <w:tab w:pos="1439" w:val="left" w:leader="none"/>
        </w:tabs>
        <w:spacing w:before="0"/>
        <w:ind w:left="360" w:right="0" w:firstLine="0"/>
        <w:jc w:val="left"/>
        <w:rPr>
          <w:sz w:val="22"/>
        </w:rPr>
      </w:pPr>
      <w:r>
        <w:rPr>
          <w:spacing w:val="-2"/>
          <w:sz w:val="22"/>
        </w:rPr>
        <w:t>10-1-</w:t>
      </w:r>
      <w:r>
        <w:rPr>
          <w:spacing w:val="-5"/>
          <w:sz w:val="22"/>
        </w:rPr>
        <w:t>07</w:t>
      </w:r>
      <w:r>
        <w:rPr>
          <w:sz w:val="22"/>
        </w:rPr>
        <w:tab/>
        <w:t>PT</w:t>
      </w:r>
      <w:r>
        <w:rPr>
          <w:spacing w:val="-8"/>
          <w:sz w:val="22"/>
        </w:rPr>
        <w:t> </w:t>
      </w:r>
      <w:r>
        <w:rPr>
          <w:sz w:val="22"/>
        </w:rPr>
        <w:t>Memo</w:t>
      </w:r>
      <w:r>
        <w:rPr>
          <w:spacing w:val="-8"/>
          <w:sz w:val="22"/>
        </w:rPr>
        <w:t> </w:t>
      </w:r>
      <w:r>
        <w:rPr>
          <w:sz w:val="22"/>
        </w:rPr>
        <w:t>#08-</w:t>
      </w:r>
      <w:r>
        <w:rPr>
          <w:spacing w:val="-5"/>
          <w:sz w:val="22"/>
        </w:rPr>
        <w:t>02</w:t>
      </w:r>
    </w:p>
    <w:p>
      <w:pPr>
        <w:spacing w:before="0"/>
        <w:ind w:left="1439" w:right="0" w:firstLine="0"/>
        <w:jc w:val="left"/>
        <w:rPr>
          <w:sz w:val="22"/>
        </w:rPr>
      </w:pPr>
      <w:r>
        <w:rPr>
          <w:sz w:val="22"/>
        </w:rPr>
        <w:t>Permanent,</w:t>
      </w:r>
      <w:r>
        <w:rPr>
          <w:spacing w:val="-8"/>
          <w:sz w:val="22"/>
        </w:rPr>
        <w:t> </w:t>
      </w:r>
      <w:r>
        <w:rPr>
          <w:sz w:val="22"/>
        </w:rPr>
        <w:t>AWARE</w:t>
      </w:r>
      <w:r>
        <w:rPr>
          <w:spacing w:val="-8"/>
          <w:sz w:val="22"/>
        </w:rPr>
        <w:t> </w:t>
      </w:r>
      <w:r>
        <w:rPr>
          <w:sz w:val="22"/>
        </w:rPr>
        <w:t>change.</w:t>
      </w:r>
      <w:r>
        <w:rPr>
          <w:spacing w:val="45"/>
          <w:sz w:val="22"/>
        </w:rPr>
        <w:t> </w:t>
      </w:r>
      <w:r>
        <w:rPr>
          <w:sz w:val="22"/>
        </w:rPr>
        <w:t>Removed</w:t>
      </w:r>
      <w:r>
        <w:rPr>
          <w:spacing w:val="-8"/>
          <w:sz w:val="22"/>
        </w:rPr>
        <w:t> </w:t>
      </w:r>
      <w:r>
        <w:rPr>
          <w:sz w:val="22"/>
        </w:rPr>
        <w:t>Status</w:t>
      </w:r>
      <w:r>
        <w:rPr>
          <w:spacing w:val="-8"/>
          <w:sz w:val="22"/>
        </w:rPr>
        <w:t> </w:t>
      </w:r>
      <w:r>
        <w:rPr>
          <w:spacing w:val="-2"/>
          <w:sz w:val="22"/>
        </w:rPr>
        <w:t>numbers.</w:t>
      </w:r>
    </w:p>
    <w:p>
      <w:pPr>
        <w:tabs>
          <w:tab w:pos="1439" w:val="left" w:leader="none"/>
        </w:tabs>
        <w:spacing w:line="253" w:lineRule="exact" w:before="1"/>
        <w:ind w:left="360" w:right="0" w:firstLine="0"/>
        <w:jc w:val="left"/>
        <w:rPr>
          <w:sz w:val="22"/>
        </w:rPr>
      </w:pPr>
      <w:r>
        <w:rPr>
          <w:spacing w:val="-2"/>
          <w:sz w:val="22"/>
        </w:rPr>
        <w:t>7-1-</w:t>
      </w:r>
      <w:r>
        <w:rPr>
          <w:spacing w:val="-5"/>
          <w:sz w:val="22"/>
        </w:rPr>
        <w:t>09</w:t>
      </w:r>
      <w:r>
        <w:rPr>
          <w:sz w:val="22"/>
        </w:rPr>
        <w:tab/>
        <w:t>PT</w:t>
      </w:r>
      <w:r>
        <w:rPr>
          <w:spacing w:val="-8"/>
          <w:sz w:val="22"/>
        </w:rPr>
        <w:t> </w:t>
      </w:r>
      <w:r>
        <w:rPr>
          <w:sz w:val="22"/>
        </w:rPr>
        <w:t>Memo</w:t>
      </w:r>
      <w:r>
        <w:rPr>
          <w:spacing w:val="-8"/>
          <w:sz w:val="22"/>
        </w:rPr>
        <w:t> </w:t>
      </w:r>
      <w:r>
        <w:rPr>
          <w:sz w:val="22"/>
        </w:rPr>
        <w:t>#10-</w:t>
      </w:r>
      <w:r>
        <w:rPr>
          <w:spacing w:val="-5"/>
          <w:sz w:val="22"/>
        </w:rPr>
        <w:t>01</w:t>
      </w:r>
    </w:p>
    <w:p>
      <w:pPr>
        <w:spacing w:line="253" w:lineRule="exact" w:before="0"/>
        <w:ind w:left="1439" w:right="0" w:firstLine="0"/>
        <w:jc w:val="left"/>
        <w:rPr>
          <w:sz w:val="22"/>
        </w:rPr>
      </w:pPr>
      <w:r>
        <w:rPr>
          <w:sz w:val="22"/>
        </w:rPr>
        <w:t>Permanent,</w:t>
      </w:r>
      <w:r>
        <w:rPr>
          <w:spacing w:val="-8"/>
          <w:sz w:val="22"/>
        </w:rPr>
        <w:t> </w:t>
      </w:r>
      <w:r>
        <w:rPr>
          <w:sz w:val="22"/>
        </w:rPr>
        <w:t>removed</w:t>
      </w:r>
      <w:r>
        <w:rPr>
          <w:spacing w:val="-8"/>
          <w:sz w:val="22"/>
        </w:rPr>
        <w:t> </w:t>
      </w:r>
      <w:r>
        <w:rPr>
          <w:sz w:val="22"/>
        </w:rPr>
        <w:t>"Alcoholism/Drug"</w:t>
      </w:r>
      <w:r>
        <w:rPr>
          <w:spacing w:val="-8"/>
          <w:sz w:val="22"/>
        </w:rPr>
        <w:t> </w:t>
      </w:r>
      <w:r>
        <w:rPr>
          <w:sz w:val="22"/>
        </w:rPr>
        <w:t>treatment</w:t>
      </w:r>
      <w:r>
        <w:rPr>
          <w:spacing w:val="-8"/>
          <w:sz w:val="22"/>
        </w:rPr>
        <w:t> </w:t>
      </w:r>
      <w:r>
        <w:rPr>
          <w:sz w:val="22"/>
        </w:rPr>
        <w:t>as</w:t>
      </w:r>
      <w:r>
        <w:rPr>
          <w:spacing w:val="-8"/>
          <w:sz w:val="22"/>
        </w:rPr>
        <w:t> </w:t>
      </w:r>
      <w:r>
        <w:rPr>
          <w:sz w:val="22"/>
        </w:rPr>
        <w:t>part</w:t>
      </w:r>
      <w:r>
        <w:rPr>
          <w:spacing w:val="-8"/>
          <w:sz w:val="22"/>
        </w:rPr>
        <w:t> </w:t>
      </w:r>
      <w:r>
        <w:rPr>
          <w:sz w:val="22"/>
        </w:rPr>
        <w:t>of</w:t>
      </w:r>
      <w:r>
        <w:rPr>
          <w:spacing w:val="-9"/>
          <w:sz w:val="22"/>
        </w:rPr>
        <w:t> </w:t>
      </w:r>
      <w:r>
        <w:rPr>
          <w:sz w:val="22"/>
        </w:rPr>
        <w:t>the</w:t>
      </w:r>
      <w:r>
        <w:rPr>
          <w:spacing w:val="-8"/>
          <w:sz w:val="22"/>
        </w:rPr>
        <w:t> </w:t>
      </w:r>
      <w:r>
        <w:rPr>
          <w:spacing w:val="-4"/>
          <w:sz w:val="22"/>
        </w:rPr>
        <w:t>IPE.</w:t>
      </w:r>
    </w:p>
    <w:p>
      <w:pPr>
        <w:tabs>
          <w:tab w:pos="1439" w:val="left" w:leader="none"/>
        </w:tabs>
        <w:spacing w:before="0"/>
        <w:ind w:left="360" w:right="0" w:firstLine="0"/>
        <w:jc w:val="left"/>
        <w:rPr>
          <w:sz w:val="22"/>
        </w:rPr>
      </w:pPr>
      <w:r>
        <w:rPr>
          <w:spacing w:val="-2"/>
          <w:sz w:val="22"/>
        </w:rPr>
        <w:t>7-1-</w:t>
      </w:r>
      <w:r>
        <w:rPr>
          <w:spacing w:val="-5"/>
          <w:sz w:val="22"/>
        </w:rPr>
        <w:t>11</w:t>
      </w:r>
      <w:r>
        <w:rPr>
          <w:sz w:val="22"/>
        </w:rPr>
        <w:tab/>
        <w:t>PT</w:t>
      </w:r>
      <w:r>
        <w:rPr>
          <w:spacing w:val="-8"/>
          <w:sz w:val="22"/>
        </w:rPr>
        <w:t> </w:t>
      </w:r>
      <w:r>
        <w:rPr>
          <w:sz w:val="22"/>
        </w:rPr>
        <w:t>Memo</w:t>
      </w:r>
      <w:r>
        <w:rPr>
          <w:spacing w:val="-8"/>
          <w:sz w:val="22"/>
        </w:rPr>
        <w:t> </w:t>
      </w:r>
      <w:r>
        <w:rPr>
          <w:sz w:val="22"/>
        </w:rPr>
        <w:t>#12-</w:t>
      </w:r>
      <w:r>
        <w:rPr>
          <w:spacing w:val="-5"/>
          <w:sz w:val="22"/>
        </w:rPr>
        <w:t>01</w:t>
      </w:r>
    </w:p>
    <w:p>
      <w:pPr>
        <w:spacing w:before="0"/>
        <w:ind w:left="1439" w:right="0" w:firstLine="0"/>
        <w:jc w:val="left"/>
        <w:rPr>
          <w:sz w:val="22"/>
        </w:rPr>
      </w:pPr>
      <w:r>
        <w:rPr>
          <w:sz w:val="22"/>
        </w:rPr>
        <w:t>Permanent,</w:t>
      </w:r>
      <w:r>
        <w:rPr>
          <w:spacing w:val="-13"/>
          <w:sz w:val="22"/>
        </w:rPr>
        <w:t> </w:t>
      </w:r>
      <w:r>
        <w:rPr>
          <w:sz w:val="22"/>
        </w:rPr>
        <w:t>Comprehensive</w:t>
      </w:r>
      <w:r>
        <w:rPr>
          <w:spacing w:val="-13"/>
          <w:sz w:val="22"/>
        </w:rPr>
        <w:t> </w:t>
      </w:r>
      <w:r>
        <w:rPr>
          <w:sz w:val="22"/>
        </w:rPr>
        <w:t>Assessment</w:t>
      </w:r>
      <w:r>
        <w:rPr>
          <w:spacing w:val="-13"/>
          <w:sz w:val="22"/>
        </w:rPr>
        <w:t> </w:t>
      </w:r>
      <w:r>
        <w:rPr>
          <w:sz w:val="22"/>
        </w:rPr>
        <w:t>moved</w:t>
      </w:r>
      <w:r>
        <w:rPr>
          <w:spacing w:val="-12"/>
          <w:sz w:val="22"/>
        </w:rPr>
        <w:t> </w:t>
      </w:r>
      <w:r>
        <w:rPr>
          <w:sz w:val="22"/>
        </w:rPr>
        <w:t>to</w:t>
      </w:r>
      <w:r>
        <w:rPr>
          <w:spacing w:val="-13"/>
          <w:sz w:val="22"/>
        </w:rPr>
        <w:t> </w:t>
      </w:r>
      <w:r>
        <w:rPr>
          <w:sz w:val="22"/>
        </w:rPr>
        <w:t>612:10-7-</w:t>
      </w:r>
      <w:r>
        <w:rPr>
          <w:spacing w:val="-2"/>
          <w:sz w:val="22"/>
        </w:rPr>
        <w:t>50.1.</w:t>
      </w:r>
    </w:p>
    <w:p>
      <w:pPr>
        <w:tabs>
          <w:tab w:pos="1439" w:val="left" w:leader="none"/>
        </w:tabs>
        <w:spacing w:before="0"/>
        <w:ind w:left="1439" w:right="854" w:hanging="1080"/>
        <w:jc w:val="left"/>
        <w:rPr>
          <w:sz w:val="22"/>
        </w:rPr>
      </w:pPr>
      <w:r>
        <w:rPr>
          <w:spacing w:val="-2"/>
          <w:sz w:val="22"/>
        </w:rPr>
        <w:t>8-27-15</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to</w:t>
      </w:r>
      <w:r>
        <w:rPr>
          <w:spacing w:val="-4"/>
          <w:sz w:val="22"/>
        </w:rPr>
        <w:t> </w:t>
      </w:r>
      <w:r>
        <w:rPr>
          <w:sz w:val="22"/>
        </w:rPr>
        <w:t>Vocational</w:t>
      </w:r>
      <w:r>
        <w:rPr>
          <w:spacing w:val="-3"/>
          <w:sz w:val="22"/>
        </w:rPr>
        <w:t> </w:t>
      </w:r>
      <w:r>
        <w:rPr>
          <w:sz w:val="22"/>
        </w:rPr>
        <w:t>Rehabilitation</w:t>
      </w:r>
      <w:r>
        <w:rPr>
          <w:spacing w:val="-4"/>
          <w:sz w:val="22"/>
        </w:rPr>
        <w:t> </w:t>
      </w:r>
      <w:r>
        <w:rPr>
          <w:sz w:val="22"/>
        </w:rPr>
        <w:t>for</w:t>
      </w:r>
      <w:r>
        <w:rPr>
          <w:spacing w:val="-3"/>
          <w:sz w:val="22"/>
        </w:rPr>
        <w:t> </w:t>
      </w:r>
      <w:r>
        <w:rPr>
          <w:sz w:val="22"/>
        </w:rPr>
        <w:t>the</w:t>
      </w:r>
      <w:r>
        <w:rPr>
          <w:spacing w:val="-3"/>
          <w:sz w:val="22"/>
        </w:rPr>
        <w:t> </w:t>
      </w:r>
      <w:r>
        <w:rPr>
          <w:sz w:val="22"/>
        </w:rPr>
        <w:t>Blind</w:t>
      </w:r>
      <w:r>
        <w:rPr>
          <w:spacing w:val="-3"/>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spacing w:after="0"/>
        <w:jc w:val="left"/>
        <w:rPr>
          <w:sz w:val="22"/>
        </w:rPr>
        <w:sectPr>
          <w:pgSz w:w="12240" w:h="15840"/>
          <w:pgMar w:top="1360" w:bottom="280" w:left="1080" w:right="720"/>
        </w:sectPr>
      </w:pPr>
    </w:p>
    <w:p>
      <w:pPr>
        <w:pStyle w:val="Heading2"/>
      </w:pPr>
      <w:bookmarkStart w:name="612:10-7-50.1.  Assessment for determini" w:id="141"/>
      <w:bookmarkEnd w:id="141"/>
      <w:r>
        <w:rPr>
          <w:b w:val="0"/>
        </w:rPr>
      </w:r>
      <w:r>
        <w:rPr/>
        <w:t>612:10-7-50.1.</w:t>
      </w:r>
      <w:r>
        <w:rPr>
          <w:spacing w:val="56"/>
        </w:rPr>
        <w:t> </w:t>
      </w:r>
      <w:r>
        <w:rPr/>
        <w:t>Assessment</w:t>
      </w:r>
      <w:r>
        <w:rPr>
          <w:spacing w:val="-4"/>
        </w:rPr>
        <w:t> </w:t>
      </w:r>
      <w:r>
        <w:rPr/>
        <w:t>for</w:t>
      </w:r>
      <w:r>
        <w:rPr>
          <w:spacing w:val="-6"/>
        </w:rPr>
        <w:t> </w:t>
      </w:r>
      <w:r>
        <w:rPr/>
        <w:t>determining</w:t>
      </w:r>
      <w:r>
        <w:rPr>
          <w:spacing w:val="-5"/>
        </w:rPr>
        <w:t> </w:t>
      </w:r>
      <w:r>
        <w:rPr/>
        <w:t>rehabilitation</w:t>
      </w:r>
      <w:r>
        <w:rPr>
          <w:spacing w:val="-5"/>
        </w:rPr>
        <w:t> </w:t>
      </w:r>
      <w:r>
        <w:rPr>
          <w:spacing w:val="-2"/>
        </w:rPr>
        <w:t>needs</w:t>
      </w:r>
    </w:p>
    <w:p>
      <w:pPr>
        <w:pStyle w:val="ListParagraph"/>
        <w:numPr>
          <w:ilvl w:val="0"/>
          <w:numId w:val="138"/>
        </w:numPr>
        <w:tabs>
          <w:tab w:pos="786" w:val="left" w:leader="none"/>
        </w:tabs>
        <w:spacing w:line="208" w:lineRule="auto" w:before="233" w:after="0"/>
        <w:ind w:left="360" w:right="817" w:firstLine="0"/>
        <w:jc w:val="left"/>
        <w:rPr>
          <w:rFonts w:ascii="Calibri"/>
          <w:b/>
          <w:sz w:val="22"/>
        </w:rPr>
      </w:pPr>
      <w:r>
        <w:rPr>
          <w:b/>
          <w:sz w:val="24"/>
        </w:rPr>
        <w:t>Rehabilitation needs. </w:t>
      </w:r>
      <w:r>
        <w:rPr>
          <w:sz w:val="24"/>
        </w:rPr>
        <w:t>DRS will conduct an assessment for determining rehabilitation needs, if appropriate, for each eligible individual or, if the agency is operating</w:t>
      </w:r>
      <w:r>
        <w:rPr>
          <w:spacing w:val="-3"/>
          <w:sz w:val="24"/>
        </w:rPr>
        <w:t> </w:t>
      </w:r>
      <w:r>
        <w:rPr>
          <w:sz w:val="24"/>
        </w:rPr>
        <w:t>under</w:t>
      </w:r>
      <w:r>
        <w:rPr>
          <w:spacing w:val="-3"/>
          <w:sz w:val="24"/>
        </w:rPr>
        <w:t> </w:t>
      </w:r>
      <w:r>
        <w:rPr>
          <w:sz w:val="24"/>
        </w:rPr>
        <w:t>an</w:t>
      </w:r>
      <w:r>
        <w:rPr>
          <w:spacing w:val="-3"/>
          <w:sz w:val="24"/>
        </w:rPr>
        <w:t> </w:t>
      </w:r>
      <w:r>
        <w:rPr>
          <w:sz w:val="24"/>
        </w:rPr>
        <w:t>order</w:t>
      </w:r>
      <w:r>
        <w:rPr>
          <w:spacing w:val="-3"/>
          <w:sz w:val="24"/>
        </w:rPr>
        <w:t> </w:t>
      </w:r>
      <w:r>
        <w:rPr>
          <w:sz w:val="24"/>
        </w:rPr>
        <w:t>of</w:t>
      </w:r>
      <w:r>
        <w:rPr>
          <w:spacing w:val="-3"/>
          <w:sz w:val="24"/>
        </w:rPr>
        <w:t> </w:t>
      </w:r>
      <w:r>
        <w:rPr>
          <w:sz w:val="24"/>
        </w:rPr>
        <w:t>selection,</w:t>
      </w:r>
      <w:r>
        <w:rPr>
          <w:spacing w:val="-3"/>
          <w:sz w:val="24"/>
        </w:rPr>
        <w:t> </w:t>
      </w:r>
      <w:r>
        <w:rPr>
          <w:sz w:val="24"/>
        </w:rPr>
        <w:t>for</w:t>
      </w:r>
      <w:r>
        <w:rPr>
          <w:spacing w:val="-3"/>
          <w:sz w:val="24"/>
        </w:rPr>
        <w:t> </w:t>
      </w:r>
      <w:r>
        <w:rPr>
          <w:sz w:val="24"/>
        </w:rPr>
        <w:t>each</w:t>
      </w:r>
      <w:r>
        <w:rPr>
          <w:spacing w:val="-3"/>
          <w:sz w:val="24"/>
        </w:rPr>
        <w:t> </w:t>
      </w:r>
      <w:r>
        <w:rPr>
          <w:sz w:val="24"/>
        </w:rPr>
        <w:t>eligible</w:t>
      </w:r>
      <w:r>
        <w:rPr>
          <w:spacing w:val="-3"/>
          <w:sz w:val="24"/>
        </w:rPr>
        <w:t> </w:t>
      </w:r>
      <w:r>
        <w:rPr>
          <w:sz w:val="24"/>
        </w:rPr>
        <w:t>individual</w:t>
      </w:r>
      <w:r>
        <w:rPr>
          <w:spacing w:val="-3"/>
          <w:sz w:val="24"/>
        </w:rPr>
        <w:t> </w:t>
      </w:r>
      <w:r>
        <w:rPr>
          <w:sz w:val="24"/>
        </w:rPr>
        <w:t>to</w:t>
      </w:r>
      <w:r>
        <w:rPr>
          <w:spacing w:val="-3"/>
          <w:sz w:val="24"/>
        </w:rPr>
        <w:t> </w:t>
      </w:r>
      <w:r>
        <w:rPr>
          <w:sz w:val="24"/>
        </w:rPr>
        <w:t>whom</w:t>
      </w:r>
      <w:r>
        <w:rPr>
          <w:spacing w:val="-3"/>
          <w:sz w:val="24"/>
        </w:rPr>
        <w:t> </w:t>
      </w:r>
      <w:r>
        <w:rPr>
          <w:sz w:val="24"/>
        </w:rPr>
        <w:t>the</w:t>
      </w:r>
      <w:r>
        <w:rPr>
          <w:spacing w:val="-3"/>
          <w:sz w:val="24"/>
        </w:rPr>
        <w:t> </w:t>
      </w:r>
      <w:r>
        <w:rPr>
          <w:sz w:val="24"/>
        </w:rPr>
        <w:t>agency</w:t>
      </w:r>
      <w:r>
        <w:rPr>
          <w:spacing w:val="-3"/>
          <w:sz w:val="24"/>
        </w:rPr>
        <w:t> </w:t>
      </w:r>
      <w:r>
        <w:rPr>
          <w:sz w:val="24"/>
        </w:rPr>
        <w:t>is able to provide vocational rehabilitation services. The purpose of this comprehensive assessment</w:t>
      </w:r>
      <w:r>
        <w:rPr>
          <w:spacing w:val="-2"/>
          <w:sz w:val="24"/>
        </w:rPr>
        <w:t> </w:t>
      </w:r>
      <w:r>
        <w:rPr>
          <w:sz w:val="24"/>
        </w:rPr>
        <w:t>is</w:t>
      </w:r>
      <w:r>
        <w:rPr>
          <w:spacing w:val="-3"/>
          <w:sz w:val="24"/>
        </w:rPr>
        <w:t> </w:t>
      </w:r>
      <w:r>
        <w:rPr>
          <w:sz w:val="24"/>
        </w:rPr>
        <w:t>to</w:t>
      </w:r>
      <w:r>
        <w:rPr>
          <w:spacing w:val="-4"/>
          <w:sz w:val="24"/>
        </w:rPr>
        <w:t> </w:t>
      </w:r>
      <w:r>
        <w:rPr>
          <w:sz w:val="24"/>
        </w:rPr>
        <w:t>assist</w:t>
      </w:r>
      <w:r>
        <w:rPr>
          <w:spacing w:val="-2"/>
          <w:sz w:val="24"/>
        </w:rPr>
        <w:t> </w:t>
      </w:r>
      <w:r>
        <w:rPr>
          <w:sz w:val="24"/>
        </w:rPr>
        <w:t>the</w:t>
      </w:r>
      <w:r>
        <w:rPr>
          <w:spacing w:val="-3"/>
          <w:sz w:val="24"/>
        </w:rPr>
        <w:t> </w:t>
      </w:r>
      <w:r>
        <w:rPr>
          <w:sz w:val="24"/>
        </w:rPr>
        <w:t>client</w:t>
      </w:r>
      <w:r>
        <w:rPr>
          <w:spacing w:val="-2"/>
          <w:sz w:val="24"/>
        </w:rPr>
        <w:t> </w:t>
      </w:r>
      <w:r>
        <w:rPr>
          <w:sz w:val="24"/>
        </w:rPr>
        <w:t>in</w:t>
      </w:r>
      <w:r>
        <w:rPr>
          <w:spacing w:val="-3"/>
          <w:sz w:val="24"/>
        </w:rPr>
        <w:t> </w:t>
      </w:r>
      <w:r>
        <w:rPr>
          <w:sz w:val="24"/>
        </w:rPr>
        <w:t>selecting</w:t>
      </w:r>
      <w:r>
        <w:rPr>
          <w:spacing w:val="-2"/>
          <w:sz w:val="24"/>
        </w:rPr>
        <w:t> </w:t>
      </w:r>
      <w:r>
        <w:rPr>
          <w:sz w:val="24"/>
        </w:rPr>
        <w:t>an</w:t>
      </w:r>
      <w:r>
        <w:rPr>
          <w:spacing w:val="-3"/>
          <w:sz w:val="24"/>
        </w:rPr>
        <w:t> </w:t>
      </w:r>
      <w:r>
        <w:rPr>
          <w:sz w:val="24"/>
        </w:rPr>
        <w:t>employment</w:t>
      </w:r>
      <w:r>
        <w:rPr>
          <w:spacing w:val="-2"/>
          <w:sz w:val="24"/>
        </w:rPr>
        <w:t> </w:t>
      </w:r>
      <w:r>
        <w:rPr>
          <w:sz w:val="24"/>
        </w:rPr>
        <w:t>goal</w:t>
      </w:r>
      <w:r>
        <w:rPr>
          <w:spacing w:val="-3"/>
          <w:sz w:val="24"/>
        </w:rPr>
        <w:t> </w:t>
      </w:r>
      <w:r>
        <w:rPr>
          <w:sz w:val="24"/>
        </w:rPr>
        <w:t>and</w:t>
      </w:r>
      <w:r>
        <w:rPr>
          <w:spacing w:val="-3"/>
          <w:sz w:val="24"/>
        </w:rPr>
        <w:t> </w:t>
      </w:r>
      <w:r>
        <w:rPr>
          <w:sz w:val="24"/>
        </w:rPr>
        <w:t>to</w:t>
      </w:r>
      <w:r>
        <w:rPr>
          <w:spacing w:val="-3"/>
          <w:sz w:val="24"/>
        </w:rPr>
        <w:t> </w:t>
      </w:r>
      <w:r>
        <w:rPr>
          <w:sz w:val="24"/>
        </w:rPr>
        <w:t>determine</w:t>
      </w:r>
      <w:r>
        <w:rPr>
          <w:spacing w:val="-3"/>
          <w:sz w:val="24"/>
        </w:rPr>
        <w:t> </w:t>
      </w:r>
      <w:r>
        <w:rPr>
          <w:sz w:val="24"/>
        </w:rPr>
        <w:t>the nature and scope of vocational rehabilitation services to be included in the Individualized Plan for Employment (IPE). </w:t>
      </w:r>
      <w:r>
        <w:rPr>
          <w:rFonts w:ascii="Calibri"/>
          <w:b/>
          <w:sz w:val="22"/>
        </w:rPr>
        <w:t>1</w:t>
      </w:r>
    </w:p>
    <w:p>
      <w:pPr>
        <w:pStyle w:val="ListParagraph"/>
        <w:numPr>
          <w:ilvl w:val="0"/>
          <w:numId w:val="138"/>
        </w:numPr>
        <w:tabs>
          <w:tab w:pos="785" w:val="left" w:leader="none"/>
        </w:tabs>
        <w:spacing w:line="208" w:lineRule="auto" w:before="231" w:after="0"/>
        <w:ind w:left="359" w:right="901" w:firstLine="0"/>
        <w:jc w:val="left"/>
        <w:rPr>
          <w:rFonts w:ascii="Calibri"/>
          <w:b/>
          <w:sz w:val="22"/>
        </w:rPr>
      </w:pPr>
      <w:r>
        <w:rPr>
          <w:b/>
          <w:sz w:val="24"/>
        </w:rPr>
        <w:t>Comprehensive</w:t>
      </w:r>
      <w:r>
        <w:rPr>
          <w:b/>
          <w:spacing w:val="-6"/>
          <w:sz w:val="24"/>
        </w:rPr>
        <w:t> </w:t>
      </w:r>
      <w:r>
        <w:rPr>
          <w:b/>
          <w:sz w:val="24"/>
        </w:rPr>
        <w:t>assessment.</w:t>
      </w:r>
      <w:r>
        <w:rPr>
          <w:b/>
          <w:spacing w:val="-6"/>
          <w:sz w:val="24"/>
        </w:rPr>
        <w:t> </w:t>
      </w:r>
      <w:r>
        <w:rPr>
          <w:sz w:val="24"/>
        </w:rPr>
        <w:t>Existing</w:t>
      </w:r>
      <w:r>
        <w:rPr>
          <w:spacing w:val="-6"/>
          <w:sz w:val="24"/>
        </w:rPr>
        <w:t> </w:t>
      </w:r>
      <w:r>
        <w:rPr>
          <w:sz w:val="24"/>
        </w:rPr>
        <w:t>information</w:t>
      </w:r>
      <w:r>
        <w:rPr>
          <w:spacing w:val="-7"/>
          <w:sz w:val="24"/>
        </w:rPr>
        <w:t> </w:t>
      </w:r>
      <w:r>
        <w:rPr>
          <w:sz w:val="24"/>
        </w:rPr>
        <w:t>obtained</w:t>
      </w:r>
      <w:r>
        <w:rPr>
          <w:spacing w:val="-6"/>
          <w:sz w:val="24"/>
        </w:rPr>
        <w:t> </w:t>
      </w:r>
      <w:r>
        <w:rPr>
          <w:sz w:val="24"/>
        </w:rPr>
        <w:t>from</w:t>
      </w:r>
      <w:r>
        <w:rPr>
          <w:spacing w:val="-5"/>
          <w:sz w:val="24"/>
        </w:rPr>
        <w:t> </w:t>
      </w:r>
      <w:r>
        <w:rPr>
          <w:sz w:val="24"/>
        </w:rPr>
        <w:t>the</w:t>
      </w:r>
      <w:r>
        <w:rPr>
          <w:spacing w:val="-6"/>
          <w:sz w:val="24"/>
        </w:rPr>
        <w:t> </w:t>
      </w:r>
      <w:r>
        <w:rPr>
          <w:sz w:val="24"/>
        </w:rPr>
        <w:t>assessment to</w:t>
      </w:r>
      <w:r>
        <w:rPr>
          <w:spacing w:val="-2"/>
          <w:sz w:val="24"/>
        </w:rPr>
        <w:t> </w:t>
      </w:r>
      <w:r>
        <w:rPr>
          <w:sz w:val="24"/>
        </w:rPr>
        <w:t>determine</w:t>
      </w:r>
      <w:r>
        <w:rPr>
          <w:spacing w:val="-2"/>
          <w:sz w:val="24"/>
        </w:rPr>
        <w:t> </w:t>
      </w:r>
      <w:r>
        <w:rPr>
          <w:sz w:val="24"/>
        </w:rPr>
        <w:t>eligibility</w:t>
      </w:r>
      <w:r>
        <w:rPr>
          <w:spacing w:val="-2"/>
          <w:sz w:val="24"/>
        </w:rPr>
        <w:t> </w:t>
      </w:r>
      <w:r>
        <w:rPr>
          <w:sz w:val="24"/>
        </w:rPr>
        <w:t>and</w:t>
      </w:r>
      <w:r>
        <w:rPr>
          <w:spacing w:val="-2"/>
          <w:sz w:val="24"/>
        </w:rPr>
        <w:t> </w:t>
      </w:r>
      <w:r>
        <w:rPr>
          <w:sz w:val="24"/>
        </w:rPr>
        <w:t>priority</w:t>
      </w:r>
      <w:r>
        <w:rPr>
          <w:spacing w:val="-2"/>
          <w:sz w:val="24"/>
        </w:rPr>
        <w:t> </w:t>
      </w:r>
      <w:r>
        <w:rPr>
          <w:sz w:val="24"/>
        </w:rPr>
        <w:t>group</w:t>
      </w:r>
      <w:r>
        <w:rPr>
          <w:spacing w:val="-2"/>
          <w:sz w:val="24"/>
        </w:rPr>
        <w:t> </w:t>
      </w:r>
      <w:r>
        <w:rPr>
          <w:sz w:val="24"/>
        </w:rPr>
        <w:t>assignment,</w:t>
      </w:r>
      <w:r>
        <w:rPr>
          <w:spacing w:val="-1"/>
          <w:sz w:val="24"/>
        </w:rPr>
        <w:t> </w:t>
      </w:r>
      <w:r>
        <w:rPr>
          <w:sz w:val="24"/>
        </w:rPr>
        <w:t>including</w:t>
      </w:r>
      <w:r>
        <w:rPr>
          <w:spacing w:val="-2"/>
          <w:sz w:val="24"/>
        </w:rPr>
        <w:t> </w:t>
      </w:r>
      <w:r>
        <w:rPr>
          <w:sz w:val="24"/>
        </w:rPr>
        <w:t>information</w:t>
      </w:r>
      <w:r>
        <w:rPr>
          <w:spacing w:val="-2"/>
          <w:sz w:val="24"/>
        </w:rPr>
        <w:t> </w:t>
      </w:r>
      <w:r>
        <w:rPr>
          <w:sz w:val="24"/>
        </w:rPr>
        <w:t>supplied</w:t>
      </w:r>
      <w:r>
        <w:rPr>
          <w:spacing w:val="-2"/>
          <w:sz w:val="24"/>
        </w:rPr>
        <w:t> </w:t>
      </w:r>
      <w:r>
        <w:rPr>
          <w:sz w:val="24"/>
        </w:rPr>
        <w:t>by the individual or the individual's authorized representative, is to be used for the comprehensive assessment to the maximum extent possible. Additional assessments may be obtained to the extent additional information is necessary to determine the vocational rehabilitation needs of the individual and to develop the IPE. Rehabilitation technology will be used in the comprehensive assessment when necessary to assess and/or develop the capacities of the individual to perform in a work environment. </w:t>
      </w:r>
      <w:r>
        <w:rPr>
          <w:rFonts w:ascii="Calibri"/>
          <w:b/>
          <w:sz w:val="22"/>
        </w:rPr>
        <w:t>2</w:t>
      </w:r>
    </w:p>
    <w:p>
      <w:pPr>
        <w:pStyle w:val="ListParagraph"/>
        <w:numPr>
          <w:ilvl w:val="0"/>
          <w:numId w:val="138"/>
        </w:numPr>
        <w:tabs>
          <w:tab w:pos="773" w:val="left" w:leader="none"/>
        </w:tabs>
        <w:spacing w:line="208" w:lineRule="auto" w:before="231" w:after="0"/>
        <w:ind w:left="360" w:right="832" w:firstLine="0"/>
        <w:jc w:val="left"/>
        <w:rPr>
          <w:rFonts w:ascii="Calibri"/>
          <w:b/>
          <w:sz w:val="22"/>
        </w:rPr>
      </w:pPr>
      <w:r>
        <w:rPr>
          <w:b/>
          <w:sz w:val="24"/>
        </w:rPr>
        <w:t>Case</w:t>
      </w:r>
      <w:r>
        <w:rPr>
          <w:b/>
          <w:spacing w:val="-5"/>
          <w:sz w:val="24"/>
        </w:rPr>
        <w:t> </w:t>
      </w:r>
      <w:r>
        <w:rPr>
          <w:b/>
          <w:sz w:val="24"/>
        </w:rPr>
        <w:t>recording</w:t>
      </w:r>
      <w:r>
        <w:rPr>
          <w:b/>
          <w:spacing w:val="-5"/>
          <w:sz w:val="24"/>
        </w:rPr>
        <w:t> </w:t>
      </w:r>
      <w:r>
        <w:rPr>
          <w:b/>
          <w:sz w:val="24"/>
        </w:rPr>
        <w:t>requirements.</w:t>
      </w:r>
      <w:r>
        <w:rPr>
          <w:b/>
          <w:spacing w:val="-5"/>
          <w:sz w:val="24"/>
        </w:rPr>
        <w:t> </w:t>
      </w:r>
      <w:r>
        <w:rPr>
          <w:sz w:val="24"/>
        </w:rPr>
        <w:t>The</w:t>
      </w:r>
      <w:r>
        <w:rPr>
          <w:spacing w:val="-5"/>
          <w:sz w:val="24"/>
        </w:rPr>
        <w:t> </w:t>
      </w:r>
      <w:r>
        <w:rPr>
          <w:sz w:val="24"/>
        </w:rPr>
        <w:t>results</w:t>
      </w:r>
      <w:r>
        <w:rPr>
          <w:spacing w:val="-5"/>
          <w:sz w:val="24"/>
        </w:rPr>
        <w:t> </w:t>
      </w:r>
      <w:r>
        <w:rPr>
          <w:sz w:val="24"/>
        </w:rPr>
        <w:t>of</w:t>
      </w:r>
      <w:r>
        <w:rPr>
          <w:spacing w:val="-4"/>
          <w:sz w:val="24"/>
        </w:rPr>
        <w:t> </w:t>
      </w:r>
      <w:r>
        <w:rPr>
          <w:sz w:val="24"/>
        </w:rPr>
        <w:t>the</w:t>
      </w:r>
      <w:r>
        <w:rPr>
          <w:spacing w:val="-5"/>
          <w:sz w:val="24"/>
        </w:rPr>
        <w:t> </w:t>
      </w:r>
      <w:r>
        <w:rPr>
          <w:sz w:val="24"/>
        </w:rPr>
        <w:t>comprehensive</w:t>
      </w:r>
      <w:r>
        <w:rPr>
          <w:spacing w:val="-5"/>
          <w:sz w:val="24"/>
        </w:rPr>
        <w:t> </w:t>
      </w:r>
      <w:r>
        <w:rPr>
          <w:sz w:val="24"/>
        </w:rPr>
        <w:t>assessment</w:t>
      </w:r>
      <w:r>
        <w:rPr>
          <w:spacing w:val="-4"/>
          <w:sz w:val="24"/>
        </w:rPr>
        <w:t> </w:t>
      </w:r>
      <w:r>
        <w:rPr>
          <w:sz w:val="24"/>
        </w:rPr>
        <w:t>and the counselor's analysis of them will be recorded in a case narrative. The narrative will contain reasonable justification of the employment goal and services that will be provided in the IPE, considering the unique strengths, resources, priorities, concerns, abilities, capabilities, interests and informed choice of the individual. </w:t>
      </w:r>
      <w:r>
        <w:rPr>
          <w:rFonts w:ascii="Calibri"/>
          <w:b/>
          <w:sz w:val="22"/>
        </w:rPr>
        <w:t>3</w:t>
      </w:r>
    </w:p>
    <w:p>
      <w:pPr>
        <w:pStyle w:val="Heading2"/>
        <w:numPr>
          <w:ilvl w:val="0"/>
          <w:numId w:val="138"/>
        </w:numPr>
        <w:tabs>
          <w:tab w:pos="786" w:val="left" w:leader="none"/>
        </w:tabs>
        <w:spacing w:line="240" w:lineRule="auto" w:before="202" w:after="0"/>
        <w:ind w:left="786" w:right="0" w:hanging="426"/>
        <w:jc w:val="left"/>
        <w:rPr>
          <w:rFonts w:ascii="Calibri"/>
          <w:sz w:val="22"/>
        </w:rPr>
      </w:pPr>
      <w:r>
        <w:rPr/>
        <w:t>Comprehensive</w:t>
      </w:r>
      <w:r>
        <w:rPr>
          <w:spacing w:val="-6"/>
        </w:rPr>
        <w:t> </w:t>
      </w:r>
      <w:r>
        <w:rPr/>
        <w:t>assessment</w:t>
      </w:r>
      <w:r>
        <w:rPr>
          <w:spacing w:val="-5"/>
        </w:rPr>
        <w:t> </w:t>
      </w:r>
      <w:r>
        <w:rPr/>
        <w:t>for</w:t>
      </w:r>
      <w:r>
        <w:rPr>
          <w:spacing w:val="-7"/>
        </w:rPr>
        <w:t> </w:t>
      </w:r>
      <w:r>
        <w:rPr/>
        <w:t>supported</w:t>
      </w:r>
      <w:r>
        <w:rPr>
          <w:spacing w:val="-6"/>
        </w:rPr>
        <w:t> </w:t>
      </w:r>
      <w:r>
        <w:rPr/>
        <w:t>employment.</w:t>
      </w:r>
      <w:r>
        <w:rPr>
          <w:spacing w:val="-4"/>
        </w:rPr>
        <w:t> </w:t>
      </w:r>
      <w:r>
        <w:rPr>
          <w:rFonts w:ascii="Calibri"/>
          <w:spacing w:val="-10"/>
          <w:sz w:val="22"/>
        </w:rPr>
        <w:t>4</w:t>
      </w:r>
    </w:p>
    <w:p>
      <w:pPr>
        <w:pStyle w:val="ListParagraph"/>
        <w:numPr>
          <w:ilvl w:val="1"/>
          <w:numId w:val="138"/>
        </w:numPr>
        <w:tabs>
          <w:tab w:pos="1216" w:val="left" w:leader="none"/>
        </w:tabs>
        <w:spacing w:line="208" w:lineRule="auto" w:before="225" w:after="0"/>
        <w:ind w:left="791" w:right="1221" w:firstLine="0"/>
        <w:jc w:val="left"/>
        <w:rPr>
          <w:sz w:val="24"/>
        </w:rPr>
      </w:pPr>
      <w:r>
        <w:rPr>
          <w:sz w:val="24"/>
        </w:rPr>
        <w:t>In</w:t>
      </w:r>
      <w:r>
        <w:rPr>
          <w:spacing w:val="-5"/>
          <w:sz w:val="24"/>
        </w:rPr>
        <w:t> </w:t>
      </w:r>
      <w:r>
        <w:rPr>
          <w:sz w:val="24"/>
        </w:rPr>
        <w:t>supported</w:t>
      </w:r>
      <w:r>
        <w:rPr>
          <w:spacing w:val="-5"/>
          <w:sz w:val="24"/>
        </w:rPr>
        <w:t> </w:t>
      </w:r>
      <w:r>
        <w:rPr>
          <w:sz w:val="24"/>
        </w:rPr>
        <w:t>employment</w:t>
      </w:r>
      <w:r>
        <w:rPr>
          <w:spacing w:val="-4"/>
          <w:sz w:val="24"/>
        </w:rPr>
        <w:t> </w:t>
      </w:r>
      <w:r>
        <w:rPr>
          <w:sz w:val="24"/>
        </w:rPr>
        <w:t>cases,</w:t>
      </w:r>
      <w:r>
        <w:rPr>
          <w:spacing w:val="-4"/>
          <w:sz w:val="24"/>
        </w:rPr>
        <w:t> </w:t>
      </w:r>
      <w:r>
        <w:rPr>
          <w:sz w:val="24"/>
        </w:rPr>
        <w:t>the</w:t>
      </w:r>
      <w:r>
        <w:rPr>
          <w:spacing w:val="-5"/>
          <w:sz w:val="24"/>
        </w:rPr>
        <w:t> </w:t>
      </w:r>
      <w:r>
        <w:rPr>
          <w:sz w:val="24"/>
        </w:rPr>
        <w:t>record</w:t>
      </w:r>
      <w:r>
        <w:rPr>
          <w:spacing w:val="-5"/>
          <w:sz w:val="24"/>
        </w:rPr>
        <w:t> </w:t>
      </w:r>
      <w:r>
        <w:rPr>
          <w:sz w:val="24"/>
        </w:rPr>
        <w:t>must</w:t>
      </w:r>
      <w:r>
        <w:rPr>
          <w:spacing w:val="-4"/>
          <w:sz w:val="24"/>
        </w:rPr>
        <w:t> </w:t>
      </w:r>
      <w:r>
        <w:rPr>
          <w:sz w:val="24"/>
        </w:rPr>
        <w:t>document</w:t>
      </w:r>
      <w:r>
        <w:rPr>
          <w:spacing w:val="-4"/>
          <w:sz w:val="24"/>
        </w:rPr>
        <w:t> </w:t>
      </w:r>
      <w:r>
        <w:rPr>
          <w:sz w:val="24"/>
        </w:rPr>
        <w:t>the</w:t>
      </w:r>
      <w:r>
        <w:rPr>
          <w:spacing w:val="-5"/>
          <w:sz w:val="24"/>
        </w:rPr>
        <w:t> </w:t>
      </w:r>
      <w:r>
        <w:rPr>
          <w:sz w:val="24"/>
        </w:rPr>
        <w:t>counselor's determination that the client is an individual:</w:t>
      </w:r>
    </w:p>
    <w:p>
      <w:pPr>
        <w:pStyle w:val="ListParagraph"/>
        <w:numPr>
          <w:ilvl w:val="2"/>
          <w:numId w:val="138"/>
        </w:numPr>
        <w:tabs>
          <w:tab w:pos="1675" w:val="left" w:leader="none"/>
        </w:tabs>
        <w:spacing w:line="240" w:lineRule="auto" w:before="211" w:after="0"/>
        <w:ind w:left="1675" w:right="0" w:hanging="452"/>
        <w:jc w:val="left"/>
        <w:rPr>
          <w:sz w:val="24"/>
        </w:rPr>
      </w:pPr>
      <w:r>
        <w:rPr>
          <w:sz w:val="24"/>
        </w:rPr>
        <w:t>for</w:t>
      </w:r>
      <w:r>
        <w:rPr>
          <w:spacing w:val="-4"/>
          <w:sz w:val="24"/>
        </w:rPr>
        <w:t> </w:t>
      </w:r>
      <w:r>
        <w:rPr>
          <w:sz w:val="24"/>
        </w:rPr>
        <w:t>whom</w:t>
      </w:r>
      <w:r>
        <w:rPr>
          <w:spacing w:val="-3"/>
          <w:sz w:val="24"/>
        </w:rPr>
        <w:t> </w:t>
      </w:r>
      <w:r>
        <w:rPr>
          <w:sz w:val="24"/>
        </w:rPr>
        <w:t>competitive</w:t>
      </w:r>
      <w:r>
        <w:rPr>
          <w:spacing w:val="-4"/>
          <w:sz w:val="24"/>
        </w:rPr>
        <w:t> </w:t>
      </w:r>
      <w:r>
        <w:rPr>
          <w:sz w:val="24"/>
        </w:rPr>
        <w:t>employment</w:t>
      </w:r>
      <w:r>
        <w:rPr>
          <w:spacing w:val="-3"/>
          <w:sz w:val="24"/>
        </w:rPr>
        <w:t> </w:t>
      </w:r>
      <w:r>
        <w:rPr>
          <w:sz w:val="24"/>
        </w:rPr>
        <w:t>has</w:t>
      </w:r>
      <w:r>
        <w:rPr>
          <w:spacing w:val="-4"/>
          <w:sz w:val="24"/>
        </w:rPr>
        <w:t> </w:t>
      </w:r>
      <w:r>
        <w:rPr>
          <w:sz w:val="24"/>
        </w:rPr>
        <w:t>not</w:t>
      </w:r>
      <w:r>
        <w:rPr>
          <w:spacing w:val="-3"/>
          <w:sz w:val="24"/>
        </w:rPr>
        <w:t> </w:t>
      </w:r>
      <w:r>
        <w:rPr>
          <w:sz w:val="24"/>
        </w:rPr>
        <w:t>traditionally</w:t>
      </w:r>
      <w:r>
        <w:rPr>
          <w:spacing w:val="-4"/>
          <w:sz w:val="24"/>
        </w:rPr>
        <w:t> </w:t>
      </w:r>
      <w:r>
        <w:rPr>
          <w:sz w:val="24"/>
        </w:rPr>
        <w:t>occurred;</w:t>
      </w:r>
      <w:r>
        <w:rPr>
          <w:spacing w:val="-3"/>
          <w:sz w:val="24"/>
        </w:rPr>
        <w:t> </w:t>
      </w:r>
      <w:r>
        <w:rPr>
          <w:spacing w:val="-5"/>
          <w:sz w:val="24"/>
        </w:rPr>
        <w:t>or</w:t>
      </w:r>
    </w:p>
    <w:p>
      <w:pPr>
        <w:pStyle w:val="ListParagraph"/>
        <w:numPr>
          <w:ilvl w:val="2"/>
          <w:numId w:val="138"/>
        </w:numPr>
        <w:tabs>
          <w:tab w:pos="1675" w:val="left" w:leader="none"/>
        </w:tabs>
        <w:spacing w:line="208" w:lineRule="auto" w:before="233" w:after="0"/>
        <w:ind w:left="1223" w:right="795" w:firstLine="0"/>
        <w:jc w:val="left"/>
        <w:rPr>
          <w:sz w:val="24"/>
        </w:rPr>
      </w:pPr>
      <w:r>
        <w:rPr>
          <w:sz w:val="24"/>
        </w:rPr>
        <w:t>for</w:t>
      </w:r>
      <w:r>
        <w:rPr>
          <w:spacing w:val="-3"/>
          <w:sz w:val="24"/>
        </w:rPr>
        <w:t> </w:t>
      </w:r>
      <w:r>
        <w:rPr>
          <w:sz w:val="24"/>
        </w:rPr>
        <w:t>whom</w:t>
      </w:r>
      <w:r>
        <w:rPr>
          <w:spacing w:val="-3"/>
          <w:sz w:val="24"/>
        </w:rPr>
        <w:t> </w:t>
      </w:r>
      <w:r>
        <w:rPr>
          <w:sz w:val="24"/>
        </w:rPr>
        <w:t>competitive</w:t>
      </w:r>
      <w:r>
        <w:rPr>
          <w:spacing w:val="-4"/>
          <w:sz w:val="24"/>
        </w:rPr>
        <w:t> </w:t>
      </w:r>
      <w:r>
        <w:rPr>
          <w:sz w:val="24"/>
        </w:rPr>
        <w:t>employment</w:t>
      </w:r>
      <w:r>
        <w:rPr>
          <w:spacing w:val="-3"/>
          <w:sz w:val="24"/>
        </w:rPr>
        <w:t> </w:t>
      </w:r>
      <w:r>
        <w:rPr>
          <w:sz w:val="24"/>
        </w:rPr>
        <w:t>has</w:t>
      </w:r>
      <w:r>
        <w:rPr>
          <w:spacing w:val="-5"/>
          <w:sz w:val="24"/>
        </w:rPr>
        <w:t> </w:t>
      </w:r>
      <w:r>
        <w:rPr>
          <w:sz w:val="24"/>
        </w:rPr>
        <w:t>been</w:t>
      </w:r>
      <w:r>
        <w:rPr>
          <w:spacing w:val="-4"/>
          <w:sz w:val="24"/>
        </w:rPr>
        <w:t> </w:t>
      </w:r>
      <w:r>
        <w:rPr>
          <w:sz w:val="24"/>
        </w:rPr>
        <w:t>interrupted</w:t>
      </w:r>
      <w:r>
        <w:rPr>
          <w:spacing w:val="-4"/>
          <w:sz w:val="24"/>
        </w:rPr>
        <w:t> </w:t>
      </w:r>
      <w:r>
        <w:rPr>
          <w:sz w:val="24"/>
        </w:rPr>
        <w:t>or</w:t>
      </w:r>
      <w:r>
        <w:rPr>
          <w:spacing w:val="-3"/>
          <w:sz w:val="24"/>
        </w:rPr>
        <w:t> </w:t>
      </w:r>
      <w:r>
        <w:rPr>
          <w:sz w:val="24"/>
        </w:rPr>
        <w:t>intermittent</w:t>
      </w:r>
      <w:r>
        <w:rPr>
          <w:spacing w:val="-3"/>
          <w:sz w:val="24"/>
        </w:rPr>
        <w:t> </w:t>
      </w:r>
      <w:r>
        <w:rPr>
          <w:sz w:val="24"/>
        </w:rPr>
        <w:t>as</w:t>
      </w:r>
      <w:r>
        <w:rPr>
          <w:spacing w:val="-4"/>
          <w:sz w:val="24"/>
        </w:rPr>
        <w:t> </w:t>
      </w:r>
      <w:r>
        <w:rPr>
          <w:sz w:val="24"/>
        </w:rPr>
        <w:t>a result of a significant disability; and</w:t>
      </w:r>
    </w:p>
    <w:p>
      <w:pPr>
        <w:pStyle w:val="ListParagraph"/>
        <w:numPr>
          <w:ilvl w:val="2"/>
          <w:numId w:val="138"/>
        </w:numPr>
        <w:tabs>
          <w:tab w:pos="1689" w:val="left" w:leader="none"/>
        </w:tabs>
        <w:spacing w:line="208" w:lineRule="auto" w:before="240" w:after="0"/>
        <w:ind w:left="1223" w:right="756" w:firstLine="0"/>
        <w:jc w:val="left"/>
        <w:rPr>
          <w:rFonts w:ascii="Calibri"/>
          <w:b/>
          <w:sz w:val="22"/>
        </w:rPr>
      </w:pPr>
      <w:r>
        <w:rPr>
          <w:sz w:val="24"/>
        </w:rPr>
        <w:t>who, because of the nature and severity of the disability, needs intensive supported</w:t>
      </w:r>
      <w:r>
        <w:rPr>
          <w:spacing w:val="-4"/>
          <w:sz w:val="24"/>
        </w:rPr>
        <w:t> </w:t>
      </w:r>
      <w:r>
        <w:rPr>
          <w:sz w:val="24"/>
        </w:rPr>
        <w:t>employment</w:t>
      </w:r>
      <w:r>
        <w:rPr>
          <w:spacing w:val="-3"/>
          <w:sz w:val="24"/>
        </w:rPr>
        <w:t> </w:t>
      </w:r>
      <w:r>
        <w:rPr>
          <w:sz w:val="24"/>
        </w:rPr>
        <w:t>services,</w:t>
      </w:r>
      <w:r>
        <w:rPr>
          <w:spacing w:val="-5"/>
          <w:sz w:val="24"/>
        </w:rPr>
        <w:t> </w:t>
      </w:r>
      <w:r>
        <w:rPr>
          <w:sz w:val="24"/>
        </w:rPr>
        <w:t>and</w:t>
      </w:r>
      <w:r>
        <w:rPr>
          <w:spacing w:val="-4"/>
          <w:sz w:val="24"/>
        </w:rPr>
        <w:t> </w:t>
      </w:r>
      <w:r>
        <w:rPr>
          <w:sz w:val="24"/>
        </w:rPr>
        <w:t>extended</w:t>
      </w:r>
      <w:r>
        <w:rPr>
          <w:spacing w:val="-4"/>
          <w:sz w:val="24"/>
        </w:rPr>
        <w:t> </w:t>
      </w:r>
      <w:r>
        <w:rPr>
          <w:sz w:val="24"/>
        </w:rPr>
        <w:t>services</w:t>
      </w:r>
      <w:r>
        <w:rPr>
          <w:spacing w:val="-4"/>
          <w:sz w:val="24"/>
        </w:rPr>
        <w:t> </w:t>
      </w:r>
      <w:r>
        <w:rPr>
          <w:sz w:val="24"/>
        </w:rPr>
        <w:t>after</w:t>
      </w:r>
      <w:r>
        <w:rPr>
          <w:spacing w:val="-5"/>
          <w:sz w:val="24"/>
        </w:rPr>
        <w:t> </w:t>
      </w:r>
      <w:r>
        <w:rPr>
          <w:sz w:val="24"/>
        </w:rPr>
        <w:t>the</w:t>
      </w:r>
      <w:r>
        <w:rPr>
          <w:spacing w:val="-5"/>
          <w:sz w:val="24"/>
        </w:rPr>
        <w:t> </w:t>
      </w:r>
      <w:r>
        <w:rPr>
          <w:sz w:val="24"/>
        </w:rPr>
        <w:t>transition</w:t>
      </w:r>
      <w:r>
        <w:rPr>
          <w:spacing w:val="-4"/>
          <w:sz w:val="24"/>
        </w:rPr>
        <w:t> </w:t>
      </w:r>
      <w:r>
        <w:rPr>
          <w:sz w:val="24"/>
        </w:rPr>
        <w:t>from intensive supported employment services, to perform such work. </w:t>
      </w:r>
      <w:r>
        <w:rPr>
          <w:rFonts w:ascii="Calibri"/>
          <w:b/>
          <w:sz w:val="22"/>
        </w:rPr>
        <w:t>5</w:t>
      </w:r>
    </w:p>
    <w:p>
      <w:pPr>
        <w:pStyle w:val="ListParagraph"/>
        <w:numPr>
          <w:ilvl w:val="1"/>
          <w:numId w:val="138"/>
        </w:numPr>
        <w:tabs>
          <w:tab w:pos="1217" w:val="left" w:leader="none"/>
        </w:tabs>
        <w:spacing w:line="208" w:lineRule="auto" w:before="231" w:after="0"/>
        <w:ind w:left="791" w:right="720" w:firstLine="0"/>
        <w:jc w:val="left"/>
        <w:rPr>
          <w:rFonts w:ascii="Calibri"/>
          <w:b/>
          <w:sz w:val="22"/>
        </w:rPr>
      </w:pPr>
      <w:r>
        <w:rPr>
          <w:sz w:val="24"/>
        </w:rPr>
        <w:t>The</w:t>
      </w:r>
      <w:r>
        <w:rPr>
          <w:spacing w:val="-4"/>
          <w:sz w:val="24"/>
        </w:rPr>
        <w:t> </w:t>
      </w:r>
      <w:r>
        <w:rPr>
          <w:sz w:val="24"/>
        </w:rPr>
        <w:t>counselor</w:t>
      </w:r>
      <w:r>
        <w:rPr>
          <w:spacing w:val="-3"/>
          <w:sz w:val="24"/>
        </w:rPr>
        <w:t> </w:t>
      </w:r>
      <w:r>
        <w:rPr>
          <w:sz w:val="24"/>
        </w:rPr>
        <w:t>refers</w:t>
      </w:r>
      <w:r>
        <w:rPr>
          <w:spacing w:val="-4"/>
          <w:sz w:val="24"/>
        </w:rPr>
        <w:t> </w:t>
      </w:r>
      <w:r>
        <w:rPr>
          <w:sz w:val="24"/>
        </w:rPr>
        <w:t>the</w:t>
      </w:r>
      <w:r>
        <w:rPr>
          <w:spacing w:val="-4"/>
          <w:sz w:val="24"/>
        </w:rPr>
        <w:t> </w:t>
      </w:r>
      <w:r>
        <w:rPr>
          <w:sz w:val="24"/>
        </w:rPr>
        <w:t>client</w:t>
      </w:r>
      <w:r>
        <w:rPr>
          <w:spacing w:val="-3"/>
          <w:sz w:val="24"/>
        </w:rPr>
        <w:t> </w:t>
      </w:r>
      <w:r>
        <w:rPr>
          <w:sz w:val="24"/>
        </w:rPr>
        <w:t>to</w:t>
      </w:r>
      <w:r>
        <w:rPr>
          <w:spacing w:val="-4"/>
          <w:sz w:val="24"/>
        </w:rPr>
        <w:t> </w:t>
      </w:r>
      <w:r>
        <w:rPr>
          <w:sz w:val="24"/>
        </w:rPr>
        <w:t>an</w:t>
      </w:r>
      <w:r>
        <w:rPr>
          <w:spacing w:val="-4"/>
          <w:sz w:val="24"/>
        </w:rPr>
        <w:t> </w:t>
      </w:r>
      <w:r>
        <w:rPr>
          <w:sz w:val="24"/>
        </w:rPr>
        <w:t>employment</w:t>
      </w:r>
      <w:r>
        <w:rPr>
          <w:spacing w:val="-3"/>
          <w:sz w:val="24"/>
        </w:rPr>
        <w:t> </w:t>
      </w:r>
      <w:r>
        <w:rPr>
          <w:sz w:val="24"/>
        </w:rPr>
        <w:t>services</w:t>
      </w:r>
      <w:r>
        <w:rPr>
          <w:spacing w:val="-4"/>
          <w:sz w:val="24"/>
        </w:rPr>
        <w:t> </w:t>
      </w:r>
      <w:r>
        <w:rPr>
          <w:sz w:val="24"/>
        </w:rPr>
        <w:t>provider</w:t>
      </w:r>
      <w:r>
        <w:rPr>
          <w:spacing w:val="-3"/>
          <w:sz w:val="24"/>
        </w:rPr>
        <w:t> </w:t>
      </w:r>
      <w:r>
        <w:rPr>
          <w:sz w:val="24"/>
        </w:rPr>
        <w:t>to</w:t>
      </w:r>
      <w:r>
        <w:rPr>
          <w:spacing w:val="-4"/>
          <w:sz w:val="24"/>
        </w:rPr>
        <w:t> </w:t>
      </w:r>
      <w:r>
        <w:rPr>
          <w:sz w:val="24"/>
        </w:rPr>
        <w:t>gather</w:t>
      </w:r>
      <w:r>
        <w:rPr>
          <w:spacing w:val="-3"/>
          <w:sz w:val="24"/>
        </w:rPr>
        <w:t> </w:t>
      </w:r>
      <w:r>
        <w:rPr>
          <w:sz w:val="24"/>
        </w:rPr>
        <w:t>the information necessary to complete the comprehensive assessment. The counselor will authorize career exploration and/or assessment from the Supplemental Employment Services (SES) contract to conduct activities and/or situational assessments.</w:t>
      </w:r>
      <w:r>
        <w:rPr>
          <w:spacing w:val="-2"/>
          <w:sz w:val="24"/>
        </w:rPr>
        <w:t> </w:t>
      </w:r>
      <w:r>
        <w:rPr>
          <w:sz w:val="24"/>
        </w:rPr>
        <w:t>The</w:t>
      </w:r>
      <w:r>
        <w:rPr>
          <w:spacing w:val="-4"/>
          <w:sz w:val="24"/>
        </w:rPr>
        <w:t> </w:t>
      </w:r>
      <w:r>
        <w:rPr>
          <w:sz w:val="24"/>
        </w:rPr>
        <w:t>results</w:t>
      </w:r>
      <w:r>
        <w:rPr>
          <w:spacing w:val="-3"/>
          <w:sz w:val="24"/>
        </w:rPr>
        <w:t> </w:t>
      </w:r>
      <w:r>
        <w:rPr>
          <w:sz w:val="24"/>
        </w:rPr>
        <w:t>of</w:t>
      </w:r>
      <w:r>
        <w:rPr>
          <w:spacing w:val="-2"/>
          <w:sz w:val="24"/>
        </w:rPr>
        <w:t> </w:t>
      </w:r>
      <w:r>
        <w:rPr>
          <w:sz w:val="24"/>
        </w:rPr>
        <w:t>the</w:t>
      </w:r>
      <w:r>
        <w:rPr>
          <w:spacing w:val="-4"/>
          <w:sz w:val="24"/>
        </w:rPr>
        <w:t> </w:t>
      </w:r>
      <w:r>
        <w:rPr>
          <w:sz w:val="24"/>
        </w:rPr>
        <w:t>exploration</w:t>
      </w:r>
      <w:r>
        <w:rPr>
          <w:spacing w:val="-2"/>
          <w:sz w:val="24"/>
        </w:rPr>
        <w:t> </w:t>
      </w:r>
      <w:r>
        <w:rPr>
          <w:sz w:val="24"/>
        </w:rPr>
        <w:t>activities</w:t>
      </w:r>
      <w:r>
        <w:rPr>
          <w:spacing w:val="-3"/>
          <w:sz w:val="24"/>
        </w:rPr>
        <w:t> </w:t>
      </w:r>
      <w:r>
        <w:rPr>
          <w:sz w:val="24"/>
        </w:rPr>
        <w:t>and/or</w:t>
      </w:r>
      <w:r>
        <w:rPr>
          <w:spacing w:val="-2"/>
          <w:sz w:val="24"/>
        </w:rPr>
        <w:t> </w:t>
      </w:r>
      <w:r>
        <w:rPr>
          <w:sz w:val="24"/>
        </w:rPr>
        <w:t>assessments</w:t>
      </w:r>
      <w:r>
        <w:rPr>
          <w:spacing w:val="-3"/>
          <w:sz w:val="24"/>
        </w:rPr>
        <w:t> </w:t>
      </w:r>
      <w:r>
        <w:rPr>
          <w:sz w:val="24"/>
        </w:rPr>
        <w:t>will</w:t>
      </w:r>
      <w:r>
        <w:rPr>
          <w:spacing w:val="-3"/>
          <w:sz w:val="24"/>
        </w:rPr>
        <w:t> </w:t>
      </w:r>
      <w:r>
        <w:rPr>
          <w:sz w:val="24"/>
        </w:rPr>
        <w:t>assist the client and counselor in establishing a vocational goal.</w:t>
      </w:r>
      <w:r>
        <w:rPr>
          <w:spacing w:val="-9"/>
          <w:sz w:val="24"/>
        </w:rPr>
        <w:t> </w:t>
      </w:r>
      <w:r>
        <w:rPr>
          <w:rFonts w:ascii="Calibri"/>
          <w:b/>
          <w:sz w:val="22"/>
        </w:rPr>
        <w:t>3, 4, 6</w:t>
      </w:r>
    </w:p>
    <w:p>
      <w:pPr>
        <w:pStyle w:val="BodyText"/>
        <w:spacing w:before="202"/>
      </w:pPr>
      <w:r>
        <w:rPr/>
        <w:t>INSTRUCTONS</w:t>
      </w:r>
      <w:r>
        <w:rPr>
          <w:spacing w:val="-3"/>
        </w:rPr>
        <w:t> </w:t>
      </w:r>
      <w:r>
        <w:rPr/>
        <w:t>TO</w:t>
      </w:r>
      <w:r>
        <w:rPr>
          <w:spacing w:val="-2"/>
        </w:rPr>
        <w:t> STAFF</w:t>
      </w:r>
    </w:p>
    <w:p>
      <w:pPr>
        <w:pStyle w:val="ListParagraph"/>
        <w:numPr>
          <w:ilvl w:val="0"/>
          <w:numId w:val="139"/>
        </w:numPr>
        <w:tabs>
          <w:tab w:pos="693" w:val="left" w:leader="none"/>
        </w:tabs>
        <w:spacing w:line="240" w:lineRule="auto" w:before="204" w:after="0"/>
        <w:ind w:left="693" w:right="0" w:hanging="333"/>
        <w:jc w:val="left"/>
        <w:rPr>
          <w:sz w:val="24"/>
        </w:rPr>
      </w:pPr>
      <w:r>
        <w:rPr>
          <w:sz w:val="24"/>
        </w:rPr>
        <w:t>See</w:t>
      </w:r>
      <w:r>
        <w:rPr>
          <w:spacing w:val="-3"/>
          <w:sz w:val="24"/>
        </w:rPr>
        <w:t> </w:t>
      </w:r>
      <w:hyperlink r:id="rId47">
        <w:r>
          <w:rPr>
            <w:color w:val="0000FF"/>
            <w:sz w:val="24"/>
            <w:u w:val="single" w:color="0000FF"/>
          </w:rPr>
          <w:t>34</w:t>
        </w:r>
        <w:r>
          <w:rPr>
            <w:color w:val="0000FF"/>
            <w:spacing w:val="-3"/>
            <w:sz w:val="24"/>
            <w:u w:val="single" w:color="0000FF"/>
          </w:rPr>
          <w:t> </w:t>
        </w:r>
        <w:r>
          <w:rPr>
            <w:color w:val="0000FF"/>
            <w:sz w:val="24"/>
            <w:u w:val="single" w:color="0000FF"/>
          </w:rPr>
          <w:t>CFR</w:t>
        </w:r>
        <w:r>
          <w:rPr>
            <w:color w:val="0000FF"/>
            <w:spacing w:val="-3"/>
            <w:sz w:val="24"/>
            <w:u w:val="single" w:color="0000FF"/>
          </w:rPr>
          <w:t> </w:t>
        </w:r>
        <w:r>
          <w:rPr>
            <w:color w:val="0000FF"/>
            <w:sz w:val="24"/>
            <w:u w:val="single" w:color="0000FF"/>
          </w:rPr>
          <w:t>361.45(b)</w:t>
        </w:r>
        <w:r>
          <w:rPr>
            <w:color w:val="0000FF"/>
            <w:spacing w:val="-1"/>
            <w:sz w:val="24"/>
            <w:u w:val="single" w:color="0000FF"/>
          </w:rPr>
          <w:t> </w:t>
        </w:r>
        <w:r>
          <w:rPr>
            <w:color w:val="0000FF"/>
            <w:sz w:val="24"/>
            <w:u w:val="single" w:color="0000FF"/>
          </w:rPr>
          <w:t>and</w:t>
        </w:r>
        <w:r>
          <w:rPr>
            <w:color w:val="0000FF"/>
            <w:spacing w:val="-2"/>
            <w:sz w:val="24"/>
            <w:u w:val="single" w:color="0000FF"/>
          </w:rPr>
          <w:t> </w:t>
        </w:r>
        <w:r>
          <w:rPr>
            <w:color w:val="0000FF"/>
            <w:spacing w:val="-4"/>
            <w:sz w:val="24"/>
            <w:u w:val="single" w:color="0000FF"/>
          </w:rPr>
          <w:t>(f)</w:t>
        </w:r>
      </w:hyperlink>
      <w:r>
        <w:rPr>
          <w:spacing w:val="-4"/>
          <w:sz w:val="24"/>
          <w:u w:val="none"/>
        </w:rPr>
        <w:t>.</w:t>
      </w:r>
    </w:p>
    <w:p>
      <w:pPr>
        <w:pStyle w:val="ListParagraph"/>
        <w:numPr>
          <w:ilvl w:val="0"/>
          <w:numId w:val="139"/>
        </w:numPr>
        <w:tabs>
          <w:tab w:pos="693" w:val="left" w:leader="none"/>
        </w:tabs>
        <w:spacing w:line="240" w:lineRule="auto" w:before="204" w:after="0"/>
        <w:ind w:left="693" w:right="0" w:hanging="333"/>
        <w:jc w:val="left"/>
        <w:rPr>
          <w:sz w:val="24"/>
        </w:rPr>
      </w:pPr>
      <w:r>
        <w:rPr>
          <w:sz w:val="24"/>
        </w:rPr>
        <w:t>Link</w:t>
      </w:r>
      <w:r>
        <w:rPr>
          <w:spacing w:val="-4"/>
          <w:sz w:val="24"/>
        </w:rPr>
        <w:t> </w:t>
      </w:r>
      <w:r>
        <w:rPr>
          <w:sz w:val="24"/>
        </w:rPr>
        <w:t>to</w:t>
      </w:r>
      <w:r>
        <w:rPr>
          <w:spacing w:val="-4"/>
          <w:sz w:val="24"/>
        </w:rPr>
        <w:t> </w:t>
      </w:r>
      <w:hyperlink r:id="rId48">
        <w:r>
          <w:rPr>
            <w:color w:val="0000FF"/>
            <w:sz w:val="24"/>
            <w:u w:val="single" w:color="0000FF"/>
          </w:rPr>
          <w:t>Career</w:t>
        </w:r>
        <w:r>
          <w:rPr>
            <w:color w:val="0000FF"/>
            <w:spacing w:val="-2"/>
            <w:sz w:val="24"/>
            <w:u w:val="single" w:color="0000FF"/>
          </w:rPr>
          <w:t> </w:t>
        </w:r>
        <w:r>
          <w:rPr>
            <w:color w:val="0000FF"/>
            <w:sz w:val="24"/>
            <w:u w:val="single" w:color="0000FF"/>
          </w:rPr>
          <w:t>Planning</w:t>
        </w:r>
        <w:r>
          <w:rPr>
            <w:color w:val="0000FF"/>
            <w:spacing w:val="-3"/>
            <w:sz w:val="24"/>
            <w:u w:val="single" w:color="0000FF"/>
          </w:rPr>
          <w:t> </w:t>
        </w:r>
        <w:r>
          <w:rPr>
            <w:color w:val="0000FF"/>
            <w:sz w:val="24"/>
            <w:u w:val="single" w:color="0000FF"/>
          </w:rPr>
          <w:t>Center</w:t>
        </w:r>
        <w:r>
          <w:rPr>
            <w:color w:val="0000FF"/>
            <w:spacing w:val="-2"/>
            <w:sz w:val="24"/>
            <w:u w:val="single" w:color="0000FF"/>
          </w:rPr>
          <w:t> Services</w:t>
        </w:r>
      </w:hyperlink>
      <w:r>
        <w:rPr>
          <w:color w:val="0000FF"/>
          <w:spacing w:val="-2"/>
          <w:sz w:val="24"/>
          <w:u w:val="single" w:color="0000FF"/>
        </w:rPr>
        <w:t>.</w:t>
      </w:r>
    </w:p>
    <w:p>
      <w:pPr>
        <w:pStyle w:val="ListParagraph"/>
        <w:numPr>
          <w:ilvl w:val="0"/>
          <w:numId w:val="139"/>
        </w:numPr>
        <w:tabs>
          <w:tab w:pos="693" w:val="left" w:leader="none"/>
        </w:tabs>
        <w:spacing w:line="208" w:lineRule="auto" w:before="233" w:after="0"/>
        <w:ind w:left="360" w:right="1539" w:firstLine="0"/>
        <w:jc w:val="left"/>
        <w:rPr>
          <w:sz w:val="24"/>
        </w:rPr>
      </w:pPr>
      <w:r>
        <w:rPr>
          <w:sz w:val="24"/>
        </w:rPr>
        <w:t>For</w:t>
      </w:r>
      <w:r>
        <w:rPr>
          <w:spacing w:val="-5"/>
          <w:sz w:val="24"/>
        </w:rPr>
        <w:t> </w:t>
      </w:r>
      <w:r>
        <w:rPr>
          <w:sz w:val="24"/>
        </w:rPr>
        <w:t>individuals</w:t>
      </w:r>
      <w:r>
        <w:rPr>
          <w:spacing w:val="-4"/>
          <w:sz w:val="24"/>
        </w:rPr>
        <w:t> </w:t>
      </w:r>
      <w:r>
        <w:rPr>
          <w:sz w:val="24"/>
        </w:rPr>
        <w:t>who</w:t>
      </w:r>
      <w:r>
        <w:rPr>
          <w:spacing w:val="-4"/>
          <w:sz w:val="24"/>
        </w:rPr>
        <w:t> </w:t>
      </w:r>
      <w:r>
        <w:rPr>
          <w:sz w:val="24"/>
        </w:rPr>
        <w:t>find</w:t>
      </w:r>
      <w:r>
        <w:rPr>
          <w:spacing w:val="-4"/>
          <w:sz w:val="24"/>
        </w:rPr>
        <w:t> </w:t>
      </w:r>
      <w:r>
        <w:rPr>
          <w:sz w:val="24"/>
        </w:rPr>
        <w:t>selection</w:t>
      </w:r>
      <w:r>
        <w:rPr>
          <w:spacing w:val="-4"/>
          <w:sz w:val="24"/>
        </w:rPr>
        <w:t> </w:t>
      </w:r>
      <w:r>
        <w:rPr>
          <w:sz w:val="24"/>
        </w:rPr>
        <w:t>of</w:t>
      </w:r>
      <w:r>
        <w:rPr>
          <w:spacing w:val="-3"/>
          <w:sz w:val="24"/>
        </w:rPr>
        <w:t> </w:t>
      </w:r>
      <w:r>
        <w:rPr>
          <w:sz w:val="24"/>
        </w:rPr>
        <w:t>a</w:t>
      </w:r>
      <w:r>
        <w:rPr>
          <w:spacing w:val="-4"/>
          <w:sz w:val="24"/>
        </w:rPr>
        <w:t> </w:t>
      </w:r>
      <w:r>
        <w:rPr>
          <w:sz w:val="24"/>
        </w:rPr>
        <w:t>vocational</w:t>
      </w:r>
      <w:r>
        <w:rPr>
          <w:spacing w:val="-4"/>
          <w:sz w:val="24"/>
        </w:rPr>
        <w:t> </w:t>
      </w:r>
      <w:r>
        <w:rPr>
          <w:sz w:val="24"/>
        </w:rPr>
        <w:t>objective</w:t>
      </w:r>
      <w:r>
        <w:rPr>
          <w:spacing w:val="-4"/>
          <w:sz w:val="24"/>
        </w:rPr>
        <w:t> </w:t>
      </w:r>
      <w:r>
        <w:rPr>
          <w:sz w:val="24"/>
        </w:rPr>
        <w:t>difficult</w:t>
      </w:r>
      <w:r>
        <w:rPr>
          <w:spacing w:val="-3"/>
          <w:sz w:val="24"/>
        </w:rPr>
        <w:t> </w:t>
      </w:r>
      <w:r>
        <w:rPr>
          <w:sz w:val="24"/>
        </w:rPr>
        <w:t>because</w:t>
      </w:r>
      <w:r>
        <w:rPr>
          <w:spacing w:val="-3"/>
          <w:sz w:val="24"/>
        </w:rPr>
        <w:t> </w:t>
      </w:r>
      <w:r>
        <w:rPr>
          <w:sz w:val="24"/>
        </w:rPr>
        <w:t>of unsuccessful or limited exposure to work, the counselor may refer the client to a</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right="775"/>
      </w:pPr>
      <w:r>
        <w:rPr/>
        <w:t>Community Rehabilitation Program (CRP), for the career exploration service in the Supplemental</w:t>
      </w:r>
      <w:r>
        <w:rPr>
          <w:spacing w:val="-4"/>
        </w:rPr>
        <w:t> </w:t>
      </w:r>
      <w:r>
        <w:rPr/>
        <w:t>Employment</w:t>
      </w:r>
      <w:r>
        <w:rPr>
          <w:spacing w:val="-3"/>
        </w:rPr>
        <w:t> </w:t>
      </w:r>
      <w:r>
        <w:rPr/>
        <w:t>Services</w:t>
      </w:r>
      <w:r>
        <w:rPr>
          <w:spacing w:val="-4"/>
        </w:rPr>
        <w:t> </w:t>
      </w:r>
      <w:r>
        <w:rPr/>
        <w:t>(SES)</w:t>
      </w:r>
      <w:r>
        <w:rPr>
          <w:spacing w:val="-3"/>
        </w:rPr>
        <w:t> </w:t>
      </w:r>
      <w:r>
        <w:rPr/>
        <w:t>contract.</w:t>
      </w:r>
      <w:r>
        <w:rPr>
          <w:spacing w:val="-3"/>
        </w:rPr>
        <w:t> </w:t>
      </w:r>
      <w:r>
        <w:rPr/>
        <w:t>Clients</w:t>
      </w:r>
      <w:r>
        <w:rPr>
          <w:spacing w:val="-4"/>
        </w:rPr>
        <w:t> </w:t>
      </w:r>
      <w:r>
        <w:rPr/>
        <w:t>may</w:t>
      </w:r>
      <w:r>
        <w:rPr>
          <w:spacing w:val="-4"/>
        </w:rPr>
        <w:t> </w:t>
      </w:r>
      <w:r>
        <w:rPr/>
        <w:t>also</w:t>
      </w:r>
      <w:r>
        <w:rPr>
          <w:spacing w:val="-4"/>
        </w:rPr>
        <w:t> </w:t>
      </w:r>
      <w:r>
        <w:rPr/>
        <w:t>be</w:t>
      </w:r>
      <w:r>
        <w:rPr>
          <w:spacing w:val="-4"/>
        </w:rPr>
        <w:t> </w:t>
      </w:r>
      <w:r>
        <w:rPr/>
        <w:t>referred</w:t>
      </w:r>
      <w:r>
        <w:rPr>
          <w:spacing w:val="-4"/>
        </w:rPr>
        <w:t> </w:t>
      </w:r>
      <w:r>
        <w:rPr/>
        <w:t>to</w:t>
      </w:r>
      <w:r>
        <w:rPr>
          <w:spacing w:val="-4"/>
        </w:rPr>
        <w:t> </w:t>
      </w:r>
      <w:r>
        <w:rPr/>
        <w:t>an Independent Living (IL) provider or other appropriate resource for additional assessments to establish a vocational goal. Clients receiving SSI or SSDI will be referred to DRS benefits planners for analysis of how work may affect public benefits.</w:t>
      </w:r>
    </w:p>
    <w:p>
      <w:pPr>
        <w:pStyle w:val="ListParagraph"/>
        <w:numPr>
          <w:ilvl w:val="0"/>
          <w:numId w:val="139"/>
        </w:numPr>
        <w:tabs>
          <w:tab w:pos="693" w:val="left" w:leader="none"/>
        </w:tabs>
        <w:spacing w:line="208" w:lineRule="auto" w:before="239" w:after="0"/>
        <w:ind w:left="360" w:right="723" w:firstLine="0"/>
        <w:jc w:val="left"/>
        <w:rPr>
          <w:sz w:val="24"/>
        </w:rPr>
      </w:pPr>
      <w:r>
        <w:rPr>
          <w:sz w:val="24"/>
        </w:rPr>
        <w:t>The counselor refers the client to a CRP to gather the information necessary to complete</w:t>
      </w:r>
      <w:r>
        <w:rPr>
          <w:spacing w:val="-5"/>
          <w:sz w:val="24"/>
        </w:rPr>
        <w:t> </w:t>
      </w:r>
      <w:r>
        <w:rPr>
          <w:sz w:val="24"/>
        </w:rPr>
        <w:t>the</w:t>
      </w:r>
      <w:r>
        <w:rPr>
          <w:spacing w:val="-5"/>
          <w:sz w:val="24"/>
        </w:rPr>
        <w:t> </w:t>
      </w:r>
      <w:r>
        <w:rPr>
          <w:sz w:val="24"/>
        </w:rPr>
        <w:t>comprehensive</w:t>
      </w:r>
      <w:r>
        <w:rPr>
          <w:spacing w:val="-5"/>
          <w:sz w:val="24"/>
        </w:rPr>
        <w:t> </w:t>
      </w:r>
      <w:r>
        <w:rPr>
          <w:sz w:val="24"/>
        </w:rPr>
        <w:t>assessment</w:t>
      </w:r>
      <w:r>
        <w:rPr>
          <w:spacing w:val="-4"/>
          <w:sz w:val="24"/>
        </w:rPr>
        <w:t> </w:t>
      </w:r>
      <w:r>
        <w:rPr>
          <w:sz w:val="24"/>
        </w:rPr>
        <w:t>and</w:t>
      </w:r>
      <w:r>
        <w:rPr>
          <w:spacing w:val="-5"/>
          <w:sz w:val="24"/>
        </w:rPr>
        <w:t> </w:t>
      </w:r>
      <w:r>
        <w:rPr>
          <w:sz w:val="24"/>
        </w:rPr>
        <w:t>authorizes</w:t>
      </w:r>
      <w:r>
        <w:rPr>
          <w:spacing w:val="-5"/>
          <w:sz w:val="24"/>
        </w:rPr>
        <w:t> </w:t>
      </w:r>
      <w:r>
        <w:rPr>
          <w:sz w:val="24"/>
        </w:rPr>
        <w:t>the</w:t>
      </w:r>
      <w:r>
        <w:rPr>
          <w:spacing w:val="-5"/>
          <w:sz w:val="24"/>
        </w:rPr>
        <w:t> </w:t>
      </w:r>
      <w:r>
        <w:rPr>
          <w:sz w:val="24"/>
        </w:rPr>
        <w:t>Career</w:t>
      </w:r>
      <w:r>
        <w:rPr>
          <w:spacing w:val="-4"/>
          <w:sz w:val="24"/>
        </w:rPr>
        <w:t> </w:t>
      </w:r>
      <w:r>
        <w:rPr>
          <w:sz w:val="24"/>
        </w:rPr>
        <w:t>Exploration</w:t>
      </w:r>
      <w:r>
        <w:rPr>
          <w:spacing w:val="-5"/>
          <w:sz w:val="24"/>
        </w:rPr>
        <w:t> </w:t>
      </w:r>
      <w:r>
        <w:rPr>
          <w:sz w:val="24"/>
        </w:rPr>
        <w:t>service in the SES contract. The provider will conduct career exploration activities with the individual including informational interviews, work-site tours, job shadowing, situational assessments, etc. in community settings based on client choice and negotiations with the counselor, and in accordance with contract requirements. Results of the assessments will assist the client and counselor in establishing a vocational goal.</w:t>
      </w:r>
    </w:p>
    <w:p>
      <w:pPr>
        <w:pStyle w:val="ListParagraph"/>
        <w:numPr>
          <w:ilvl w:val="0"/>
          <w:numId w:val="139"/>
        </w:numPr>
        <w:tabs>
          <w:tab w:pos="693" w:val="left" w:leader="none"/>
        </w:tabs>
        <w:spacing w:line="208" w:lineRule="auto" w:before="240" w:after="0"/>
        <w:ind w:left="360" w:right="1421" w:firstLine="0"/>
        <w:jc w:val="left"/>
        <w:rPr>
          <w:sz w:val="24"/>
        </w:rPr>
      </w:pPr>
      <w:r>
        <w:rPr>
          <w:sz w:val="24"/>
        </w:rPr>
        <w:t>The counselor may not find an individual ineligible for supported employment services</w:t>
      </w:r>
      <w:r>
        <w:rPr>
          <w:spacing w:val="-4"/>
          <w:sz w:val="24"/>
        </w:rPr>
        <w:t> </w:t>
      </w:r>
      <w:r>
        <w:rPr>
          <w:sz w:val="24"/>
        </w:rPr>
        <w:t>because</w:t>
      </w:r>
      <w:r>
        <w:rPr>
          <w:spacing w:val="-4"/>
          <w:sz w:val="24"/>
        </w:rPr>
        <w:t> </w:t>
      </w:r>
      <w:r>
        <w:rPr>
          <w:sz w:val="24"/>
        </w:rPr>
        <w:t>a</w:t>
      </w:r>
      <w:r>
        <w:rPr>
          <w:spacing w:val="-4"/>
          <w:sz w:val="24"/>
        </w:rPr>
        <w:t> </w:t>
      </w:r>
      <w:r>
        <w:rPr>
          <w:sz w:val="24"/>
        </w:rPr>
        <w:t>resource</w:t>
      </w:r>
      <w:r>
        <w:rPr>
          <w:spacing w:val="-4"/>
          <w:sz w:val="24"/>
        </w:rPr>
        <w:t> </w:t>
      </w:r>
      <w:r>
        <w:rPr>
          <w:sz w:val="24"/>
        </w:rPr>
        <w:t>for</w:t>
      </w:r>
      <w:r>
        <w:rPr>
          <w:spacing w:val="-5"/>
          <w:sz w:val="24"/>
        </w:rPr>
        <w:t> </w:t>
      </w:r>
      <w:r>
        <w:rPr>
          <w:sz w:val="24"/>
        </w:rPr>
        <w:t>providing</w:t>
      </w:r>
      <w:r>
        <w:rPr>
          <w:spacing w:val="-4"/>
          <w:sz w:val="24"/>
        </w:rPr>
        <w:t> </w:t>
      </w:r>
      <w:r>
        <w:rPr>
          <w:sz w:val="24"/>
        </w:rPr>
        <w:t>extended</w:t>
      </w:r>
      <w:r>
        <w:rPr>
          <w:spacing w:val="-4"/>
          <w:sz w:val="24"/>
        </w:rPr>
        <w:t> </w:t>
      </w:r>
      <w:r>
        <w:rPr>
          <w:sz w:val="24"/>
        </w:rPr>
        <w:t>services</w:t>
      </w:r>
      <w:r>
        <w:rPr>
          <w:spacing w:val="-4"/>
          <w:sz w:val="24"/>
        </w:rPr>
        <w:t> </w:t>
      </w:r>
      <w:r>
        <w:rPr>
          <w:sz w:val="24"/>
        </w:rPr>
        <w:t>cannot</w:t>
      </w:r>
      <w:r>
        <w:rPr>
          <w:spacing w:val="-3"/>
          <w:sz w:val="24"/>
        </w:rPr>
        <w:t> </w:t>
      </w:r>
      <w:r>
        <w:rPr>
          <w:sz w:val="24"/>
        </w:rPr>
        <w:t>be</w:t>
      </w:r>
      <w:r>
        <w:rPr>
          <w:spacing w:val="-4"/>
          <w:sz w:val="24"/>
        </w:rPr>
        <w:t> </w:t>
      </w:r>
      <w:r>
        <w:rPr>
          <w:sz w:val="24"/>
        </w:rPr>
        <w:t>identified.</w:t>
      </w:r>
    </w:p>
    <w:p>
      <w:pPr>
        <w:pStyle w:val="BodyText"/>
        <w:spacing w:line="417" w:lineRule="auto" w:before="210"/>
        <w:ind w:right="775"/>
      </w:pPr>
      <w:r>
        <w:rPr/>
        <w:t>See</w:t>
      </w:r>
      <w:r>
        <w:rPr>
          <w:spacing w:val="-5"/>
        </w:rPr>
        <w:t> </w:t>
      </w:r>
      <w:hyperlink w:history="true" w:anchor="_bookmark10">
        <w:r>
          <w:rPr>
            <w:color w:val="0000FF"/>
            <w:u w:val="single" w:color="0000FF"/>
          </w:rPr>
          <w:t>612:10-7-24.1</w:t>
        </w:r>
      </w:hyperlink>
      <w:r>
        <w:rPr>
          <w:color w:val="0000FF"/>
          <w:spacing w:val="-5"/>
          <w:u w:val="none"/>
        </w:rPr>
        <w:t> </w:t>
      </w:r>
      <w:r>
        <w:rPr>
          <w:u w:val="none"/>
        </w:rPr>
        <w:t>Basic</w:t>
      </w:r>
      <w:r>
        <w:rPr>
          <w:spacing w:val="-5"/>
          <w:u w:val="none"/>
        </w:rPr>
        <w:t> </w:t>
      </w:r>
      <w:r>
        <w:rPr>
          <w:u w:val="none"/>
        </w:rPr>
        <w:t>eligibility</w:t>
      </w:r>
      <w:r>
        <w:rPr>
          <w:spacing w:val="-5"/>
          <w:u w:val="none"/>
        </w:rPr>
        <w:t> </w:t>
      </w:r>
      <w:r>
        <w:rPr>
          <w:u w:val="none"/>
        </w:rPr>
        <w:t>requirements</w:t>
      </w:r>
      <w:r>
        <w:rPr>
          <w:spacing w:val="-5"/>
          <w:u w:val="none"/>
        </w:rPr>
        <w:t> </w:t>
      </w:r>
      <w:r>
        <w:rPr>
          <w:u w:val="none"/>
        </w:rPr>
        <w:t>for</w:t>
      </w:r>
      <w:r>
        <w:rPr>
          <w:spacing w:val="-4"/>
          <w:u w:val="none"/>
        </w:rPr>
        <w:t> </w:t>
      </w:r>
      <w:r>
        <w:rPr>
          <w:u w:val="none"/>
        </w:rPr>
        <w:t>vocational</w:t>
      </w:r>
      <w:r>
        <w:rPr>
          <w:spacing w:val="-5"/>
          <w:u w:val="none"/>
        </w:rPr>
        <w:t> </w:t>
      </w:r>
      <w:r>
        <w:rPr>
          <w:u w:val="none"/>
        </w:rPr>
        <w:t>rehabilitation</w:t>
      </w:r>
      <w:r>
        <w:rPr>
          <w:spacing w:val="-4"/>
          <w:u w:val="none"/>
        </w:rPr>
        <w:t> </w:t>
      </w:r>
      <w:r>
        <w:rPr>
          <w:u w:val="none"/>
        </w:rPr>
        <w:t>services. See </w:t>
      </w:r>
      <w:hyperlink w:history="true" w:anchor="_bookmark25">
        <w:r>
          <w:rPr>
            <w:color w:val="0000FF"/>
            <w:u w:val="single" w:color="0000FF"/>
          </w:rPr>
          <w:t>612:10-7-180</w:t>
        </w:r>
      </w:hyperlink>
      <w:r>
        <w:rPr>
          <w:color w:val="0000FF"/>
          <w:u w:val="none"/>
        </w:rPr>
        <w:t> </w:t>
      </w:r>
      <w:r>
        <w:rPr>
          <w:u w:val="none"/>
        </w:rPr>
        <w:t>Eligibility for Supported Employment Services.</w:t>
      </w:r>
    </w:p>
    <w:p>
      <w:pPr>
        <w:pStyle w:val="BodyText"/>
        <w:spacing w:line="276" w:lineRule="exact" w:before="0"/>
      </w:pPr>
      <w:r>
        <w:rPr/>
        <w:t>See</w:t>
      </w:r>
      <w:r>
        <w:rPr>
          <w:spacing w:val="-5"/>
        </w:rPr>
        <w:t> </w:t>
      </w:r>
      <w:hyperlink w:history="true" w:anchor="_bookmark26">
        <w:r>
          <w:rPr>
            <w:color w:val="0000FF"/>
            <w:u w:val="single" w:color="0000FF"/>
          </w:rPr>
          <w:t>612:10-7-184</w:t>
        </w:r>
      </w:hyperlink>
      <w:r>
        <w:rPr>
          <w:color w:val="0000FF"/>
          <w:spacing w:val="-5"/>
          <w:u w:val="none"/>
        </w:rPr>
        <w:t> </w:t>
      </w:r>
      <w:r>
        <w:rPr>
          <w:u w:val="none"/>
        </w:rPr>
        <w:t>Extended</w:t>
      </w:r>
      <w:r>
        <w:rPr>
          <w:spacing w:val="-4"/>
          <w:u w:val="none"/>
        </w:rPr>
        <w:t> </w:t>
      </w:r>
      <w:r>
        <w:rPr>
          <w:spacing w:val="-2"/>
          <w:u w:val="none"/>
        </w:rPr>
        <w:t>services.</w:t>
      </w:r>
    </w:p>
    <w:p>
      <w:pPr>
        <w:pStyle w:val="ListParagraph"/>
        <w:numPr>
          <w:ilvl w:val="0"/>
          <w:numId w:val="139"/>
        </w:numPr>
        <w:tabs>
          <w:tab w:pos="693" w:val="left" w:leader="none"/>
        </w:tabs>
        <w:spacing w:line="208" w:lineRule="auto" w:before="233" w:after="0"/>
        <w:ind w:left="360" w:right="734" w:firstLine="0"/>
        <w:jc w:val="left"/>
        <w:rPr>
          <w:sz w:val="24"/>
        </w:rPr>
      </w:pPr>
      <w:r>
        <w:rPr>
          <w:sz w:val="24"/>
        </w:rPr>
        <w:t>The</w:t>
      </w:r>
      <w:r>
        <w:rPr>
          <w:spacing w:val="-4"/>
          <w:sz w:val="24"/>
        </w:rPr>
        <w:t> </w:t>
      </w:r>
      <w:r>
        <w:rPr>
          <w:sz w:val="24"/>
        </w:rPr>
        <w:t>counselor</w:t>
      </w:r>
      <w:r>
        <w:rPr>
          <w:spacing w:val="-3"/>
          <w:sz w:val="24"/>
        </w:rPr>
        <w:t> </w:t>
      </w:r>
      <w:r>
        <w:rPr>
          <w:sz w:val="24"/>
        </w:rPr>
        <w:t>should</w:t>
      </w:r>
      <w:r>
        <w:rPr>
          <w:spacing w:val="-4"/>
          <w:sz w:val="24"/>
        </w:rPr>
        <w:t> </w:t>
      </w:r>
      <w:r>
        <w:rPr>
          <w:sz w:val="24"/>
        </w:rPr>
        <w:t>always</w:t>
      </w:r>
      <w:r>
        <w:rPr>
          <w:spacing w:val="-4"/>
          <w:sz w:val="24"/>
        </w:rPr>
        <w:t> </w:t>
      </w:r>
      <w:r>
        <w:rPr>
          <w:sz w:val="24"/>
        </w:rPr>
        <w:t>consult</w:t>
      </w:r>
      <w:r>
        <w:rPr>
          <w:spacing w:val="-3"/>
          <w:sz w:val="24"/>
        </w:rPr>
        <w:t> </w:t>
      </w:r>
      <w:r>
        <w:rPr>
          <w:sz w:val="24"/>
        </w:rPr>
        <w:t>the</w:t>
      </w:r>
      <w:r>
        <w:rPr>
          <w:spacing w:val="-4"/>
          <w:sz w:val="24"/>
        </w:rPr>
        <w:t> </w:t>
      </w:r>
      <w:r>
        <w:rPr>
          <w:sz w:val="24"/>
        </w:rPr>
        <w:t>provider's</w:t>
      </w:r>
      <w:r>
        <w:rPr>
          <w:spacing w:val="-4"/>
          <w:sz w:val="24"/>
        </w:rPr>
        <w:t> </w:t>
      </w:r>
      <w:r>
        <w:rPr>
          <w:sz w:val="24"/>
        </w:rPr>
        <w:t>contract</w:t>
      </w:r>
      <w:r>
        <w:rPr>
          <w:spacing w:val="-3"/>
          <w:sz w:val="24"/>
        </w:rPr>
        <w:t> </w:t>
      </w:r>
      <w:r>
        <w:rPr>
          <w:sz w:val="24"/>
        </w:rPr>
        <w:t>to</w:t>
      </w:r>
      <w:r>
        <w:rPr>
          <w:spacing w:val="-5"/>
          <w:sz w:val="24"/>
        </w:rPr>
        <w:t> </w:t>
      </w:r>
      <w:r>
        <w:rPr>
          <w:sz w:val="24"/>
        </w:rPr>
        <w:t>determine</w:t>
      </w:r>
      <w:r>
        <w:rPr>
          <w:spacing w:val="-4"/>
          <w:sz w:val="24"/>
        </w:rPr>
        <w:t> </w:t>
      </w:r>
      <w:r>
        <w:rPr>
          <w:sz w:val="24"/>
        </w:rPr>
        <w:t>the</w:t>
      </w:r>
      <w:r>
        <w:rPr>
          <w:spacing w:val="-4"/>
          <w:sz w:val="24"/>
        </w:rPr>
        <w:t> </w:t>
      </w:r>
      <w:r>
        <w:rPr>
          <w:sz w:val="24"/>
        </w:rPr>
        <w:t>specific </w:t>
      </w:r>
      <w:r>
        <w:rPr>
          <w:spacing w:val="-2"/>
          <w:sz w:val="24"/>
        </w:rPr>
        <w:t>requirements.</w:t>
      </w:r>
    </w:p>
    <w:p>
      <w:pPr>
        <w:pStyle w:val="BodyText"/>
        <w:spacing w:line="259" w:lineRule="auto" w:before="245"/>
        <w:ind w:right="775"/>
      </w:pPr>
      <w:r>
        <w:rPr/>
        <w:t>See</w:t>
      </w:r>
      <w:r>
        <w:rPr>
          <w:spacing w:val="-10"/>
        </w:rPr>
        <w:t> </w:t>
      </w:r>
      <w:hyperlink r:id="rId49">
        <w:r>
          <w:rPr>
            <w:color w:val="0562C1"/>
            <w:u w:val="single" w:color="0562C1"/>
          </w:rPr>
          <w:t>https://oklahoma.gov/okdrs/job-seekers/drs-programs/ess.html</w:t>
        </w:r>
      </w:hyperlink>
      <w:r>
        <w:rPr>
          <w:color w:val="0562C1"/>
          <w:spacing w:val="-11"/>
          <w:u w:val="none"/>
        </w:rPr>
        <w:t> </w:t>
      </w:r>
      <w:r>
        <w:rPr>
          <w:u w:val="none"/>
        </w:rPr>
        <w:t>to</w:t>
      </w:r>
      <w:r>
        <w:rPr>
          <w:spacing w:val="-10"/>
          <w:u w:val="none"/>
        </w:rPr>
        <w:t> </w:t>
      </w:r>
      <w:r>
        <w:rPr>
          <w:u w:val="none"/>
        </w:rPr>
        <w:t>access</w:t>
      </w:r>
      <w:r>
        <w:rPr>
          <w:spacing w:val="-11"/>
          <w:u w:val="none"/>
        </w:rPr>
        <w:t> </w:t>
      </w:r>
      <w:r>
        <w:rPr>
          <w:u w:val="none"/>
        </w:rPr>
        <w:t>all employment contracts and requirements.</w:t>
      </w:r>
    </w:p>
    <w:p>
      <w:pPr>
        <w:spacing w:line="253" w:lineRule="exact" w:before="159"/>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11</w:t>
      </w:r>
      <w:r>
        <w:rPr>
          <w:sz w:val="22"/>
        </w:rPr>
        <w:tab/>
        <w:t>PT</w:t>
      </w:r>
      <w:r>
        <w:rPr>
          <w:spacing w:val="-8"/>
          <w:sz w:val="22"/>
        </w:rPr>
        <w:t> </w:t>
      </w:r>
      <w:r>
        <w:rPr>
          <w:sz w:val="22"/>
        </w:rPr>
        <w:t>Memo</w:t>
      </w:r>
      <w:r>
        <w:rPr>
          <w:spacing w:val="-8"/>
          <w:sz w:val="22"/>
        </w:rPr>
        <w:t> </w:t>
      </w:r>
      <w:r>
        <w:rPr>
          <w:sz w:val="22"/>
        </w:rPr>
        <w:t>#12-</w:t>
      </w:r>
      <w:r>
        <w:rPr>
          <w:spacing w:val="-5"/>
          <w:sz w:val="22"/>
        </w:rPr>
        <w:t>01</w:t>
      </w:r>
    </w:p>
    <w:p>
      <w:pPr>
        <w:spacing w:before="0"/>
        <w:ind w:left="1439" w:right="0" w:firstLine="0"/>
        <w:jc w:val="left"/>
        <w:rPr>
          <w:sz w:val="22"/>
        </w:rPr>
      </w:pPr>
      <w:r>
        <w:rPr>
          <w:sz w:val="22"/>
        </w:rPr>
        <w:t>Permanent,</w:t>
      </w:r>
      <w:r>
        <w:rPr>
          <w:spacing w:val="-11"/>
          <w:sz w:val="22"/>
        </w:rPr>
        <w:t> </w:t>
      </w:r>
      <w:r>
        <w:rPr>
          <w:sz w:val="22"/>
        </w:rPr>
        <w:t>new,</w:t>
      </w:r>
      <w:r>
        <w:rPr>
          <w:spacing w:val="-12"/>
          <w:sz w:val="22"/>
        </w:rPr>
        <w:t> </w:t>
      </w:r>
      <w:r>
        <w:rPr>
          <w:sz w:val="22"/>
        </w:rPr>
        <w:t>Comprehensive</w:t>
      </w:r>
      <w:r>
        <w:rPr>
          <w:spacing w:val="-11"/>
          <w:sz w:val="22"/>
        </w:rPr>
        <w:t> </w:t>
      </w:r>
      <w:r>
        <w:rPr>
          <w:sz w:val="22"/>
        </w:rPr>
        <w:t>Assessment</w:t>
      </w:r>
      <w:r>
        <w:rPr>
          <w:spacing w:val="-12"/>
          <w:sz w:val="22"/>
        </w:rPr>
        <w:t> </w:t>
      </w:r>
      <w:r>
        <w:rPr>
          <w:sz w:val="22"/>
        </w:rPr>
        <w:t>moved</w:t>
      </w:r>
      <w:r>
        <w:rPr>
          <w:spacing w:val="-12"/>
          <w:sz w:val="22"/>
        </w:rPr>
        <w:t> </w:t>
      </w:r>
      <w:r>
        <w:rPr>
          <w:spacing w:val="-2"/>
          <w:sz w:val="22"/>
        </w:rPr>
        <w:t>here.</w:t>
      </w:r>
    </w:p>
    <w:p>
      <w:pPr>
        <w:tabs>
          <w:tab w:pos="1439" w:val="left" w:leader="none"/>
        </w:tabs>
        <w:spacing w:before="1"/>
        <w:ind w:left="360" w:right="0" w:firstLine="0"/>
        <w:jc w:val="left"/>
        <w:rPr>
          <w:sz w:val="22"/>
        </w:rPr>
      </w:pPr>
      <w:r>
        <w:rPr>
          <w:spacing w:val="-2"/>
          <w:sz w:val="22"/>
        </w:rPr>
        <w:t>9-11-</w:t>
      </w:r>
      <w:r>
        <w:rPr>
          <w:spacing w:val="-5"/>
          <w:sz w:val="22"/>
        </w:rPr>
        <w:t>22</w:t>
      </w:r>
      <w:r>
        <w:rPr>
          <w:sz w:val="22"/>
        </w:rPr>
        <w:tab/>
        <w:t>Added</w:t>
      </w:r>
      <w:r>
        <w:rPr>
          <w:spacing w:val="-8"/>
          <w:sz w:val="22"/>
        </w:rPr>
        <w:t> </w:t>
      </w:r>
      <w:r>
        <w:rPr>
          <w:sz w:val="22"/>
        </w:rPr>
        <w:t>link</w:t>
      </w:r>
      <w:r>
        <w:rPr>
          <w:spacing w:val="-7"/>
          <w:sz w:val="22"/>
        </w:rPr>
        <w:t> </w:t>
      </w:r>
      <w:r>
        <w:rPr>
          <w:sz w:val="22"/>
        </w:rPr>
        <w:t>612:10-7-184</w:t>
      </w:r>
      <w:r>
        <w:rPr>
          <w:spacing w:val="-7"/>
          <w:sz w:val="22"/>
        </w:rPr>
        <w:t> </w:t>
      </w:r>
      <w:r>
        <w:rPr>
          <w:sz w:val="22"/>
        </w:rPr>
        <w:t>Extended</w:t>
      </w:r>
      <w:r>
        <w:rPr>
          <w:spacing w:val="-7"/>
          <w:sz w:val="22"/>
        </w:rPr>
        <w:t> </w:t>
      </w:r>
      <w:r>
        <w:rPr>
          <w:sz w:val="22"/>
        </w:rPr>
        <w:t>services</w:t>
      </w:r>
      <w:r>
        <w:rPr>
          <w:spacing w:val="-7"/>
          <w:sz w:val="22"/>
        </w:rPr>
        <w:t> </w:t>
      </w:r>
      <w:r>
        <w:rPr>
          <w:sz w:val="22"/>
        </w:rPr>
        <w:t>to</w:t>
      </w:r>
      <w:r>
        <w:rPr>
          <w:spacing w:val="-8"/>
          <w:sz w:val="22"/>
        </w:rPr>
        <w:t> </w:t>
      </w:r>
      <w:r>
        <w:rPr>
          <w:sz w:val="22"/>
        </w:rPr>
        <w:t>ITS</w:t>
      </w:r>
      <w:r>
        <w:rPr>
          <w:spacing w:val="-7"/>
          <w:sz w:val="22"/>
        </w:rPr>
        <w:t> </w:t>
      </w:r>
      <w:r>
        <w:rPr>
          <w:spacing w:val="-5"/>
          <w:sz w:val="22"/>
        </w:rPr>
        <w:t>#5.</w:t>
      </w:r>
    </w:p>
    <w:p>
      <w:pPr>
        <w:tabs>
          <w:tab w:pos="1439" w:val="left" w:leader="none"/>
        </w:tabs>
        <w:spacing w:before="0"/>
        <w:ind w:left="360" w:right="0" w:firstLine="0"/>
        <w:jc w:val="left"/>
        <w:rPr>
          <w:sz w:val="22"/>
        </w:rPr>
      </w:pPr>
      <w:r>
        <w:rPr>
          <w:spacing w:val="-2"/>
          <w:sz w:val="22"/>
        </w:rPr>
        <w:t>5-4-</w:t>
      </w:r>
      <w:r>
        <w:rPr>
          <w:spacing w:val="-5"/>
          <w:sz w:val="22"/>
        </w:rPr>
        <w:t>23</w:t>
      </w:r>
      <w:r>
        <w:rPr>
          <w:sz w:val="22"/>
        </w:rPr>
        <w:tab/>
        <w:t>Updated</w:t>
      </w:r>
      <w:r>
        <w:rPr>
          <w:spacing w:val="-10"/>
          <w:sz w:val="22"/>
        </w:rPr>
        <w:t> </w:t>
      </w:r>
      <w:r>
        <w:rPr>
          <w:spacing w:val="-4"/>
          <w:sz w:val="22"/>
        </w:rPr>
        <w:t>ITS.</w:t>
      </w:r>
    </w:p>
    <w:p>
      <w:pPr>
        <w:pStyle w:val="ListParagraph"/>
        <w:numPr>
          <w:ilvl w:val="2"/>
          <w:numId w:val="136"/>
        </w:numPr>
        <w:tabs>
          <w:tab w:pos="1439" w:val="left" w:leader="none"/>
        </w:tabs>
        <w:spacing w:line="240" w:lineRule="auto" w:before="0" w:after="0"/>
        <w:ind w:left="1439" w:right="1307" w:hanging="1080"/>
        <w:jc w:val="left"/>
        <w:rPr>
          <w:sz w:val="22"/>
        </w:rPr>
      </w:pPr>
      <w:r>
        <w:rPr>
          <w:sz w:val="22"/>
        </w:rPr>
        <w:t>Language revised under (d) (B) changing “severe” to “significant”. Section (2) language added to authorize career exploration and/or assessment from the Supplemental</w:t>
      </w:r>
      <w:r>
        <w:rPr>
          <w:spacing w:val="-5"/>
          <w:sz w:val="22"/>
        </w:rPr>
        <w:t> </w:t>
      </w:r>
      <w:r>
        <w:rPr>
          <w:sz w:val="22"/>
        </w:rPr>
        <w:t>Employment</w:t>
      </w:r>
      <w:r>
        <w:rPr>
          <w:spacing w:val="-5"/>
          <w:sz w:val="22"/>
        </w:rPr>
        <w:t> </w:t>
      </w:r>
      <w:r>
        <w:rPr>
          <w:sz w:val="22"/>
        </w:rPr>
        <w:t>Services</w:t>
      </w:r>
      <w:r>
        <w:rPr>
          <w:spacing w:val="-6"/>
          <w:sz w:val="22"/>
        </w:rPr>
        <w:t> </w:t>
      </w:r>
      <w:r>
        <w:rPr>
          <w:sz w:val="22"/>
        </w:rPr>
        <w:t>(SES)</w:t>
      </w:r>
      <w:r>
        <w:rPr>
          <w:spacing w:val="-5"/>
          <w:sz w:val="22"/>
        </w:rPr>
        <w:t> </w:t>
      </w:r>
      <w:r>
        <w:rPr>
          <w:sz w:val="22"/>
        </w:rPr>
        <w:t>contract</w:t>
      </w:r>
      <w:r>
        <w:rPr>
          <w:spacing w:val="-5"/>
          <w:sz w:val="22"/>
        </w:rPr>
        <w:t> </w:t>
      </w:r>
      <w:r>
        <w:rPr>
          <w:sz w:val="22"/>
        </w:rPr>
        <w:t>to</w:t>
      </w:r>
      <w:r>
        <w:rPr>
          <w:spacing w:val="-5"/>
          <w:sz w:val="22"/>
        </w:rPr>
        <w:t> </w:t>
      </w:r>
      <w:r>
        <w:rPr>
          <w:sz w:val="22"/>
        </w:rPr>
        <w:t>conduct</w:t>
      </w:r>
      <w:r>
        <w:rPr>
          <w:spacing w:val="-5"/>
          <w:sz w:val="22"/>
        </w:rPr>
        <w:t> </w:t>
      </w:r>
      <w:r>
        <w:rPr>
          <w:sz w:val="22"/>
        </w:rPr>
        <w:t>activities</w:t>
      </w:r>
      <w:r>
        <w:rPr>
          <w:spacing w:val="-6"/>
          <w:sz w:val="22"/>
        </w:rPr>
        <w:t> </w:t>
      </w:r>
      <w:r>
        <w:rPr>
          <w:sz w:val="22"/>
        </w:rPr>
        <w:t>and/or situational assessments.</w:t>
      </w:r>
    </w:p>
    <w:p>
      <w:pPr>
        <w:pStyle w:val="ListParagraph"/>
        <w:spacing w:after="0" w:line="240" w:lineRule="auto"/>
        <w:jc w:val="left"/>
        <w:rPr>
          <w:sz w:val="22"/>
        </w:rPr>
        <w:sectPr>
          <w:pgSz w:w="12240" w:h="15840"/>
          <w:pgMar w:top="1340" w:bottom="280" w:left="1080" w:right="720"/>
        </w:sectPr>
      </w:pPr>
    </w:p>
    <w:p>
      <w:pPr>
        <w:pStyle w:val="Heading2"/>
      </w:pPr>
      <w:bookmarkStart w:name="612:10-7-51.  Individualized Plan for Em" w:id="142"/>
      <w:bookmarkEnd w:id="142"/>
      <w:r>
        <w:rPr>
          <w:b w:val="0"/>
        </w:rPr>
      </w:r>
      <w:r>
        <w:rPr/>
        <w:t>612:10-7-51.</w:t>
      </w:r>
      <w:r>
        <w:rPr>
          <w:spacing w:val="58"/>
        </w:rPr>
        <w:t> </w:t>
      </w:r>
      <w:r>
        <w:rPr/>
        <w:t>Individualized</w:t>
      </w:r>
      <w:r>
        <w:rPr>
          <w:spacing w:val="-4"/>
        </w:rPr>
        <w:t> </w:t>
      </w:r>
      <w:r>
        <w:rPr/>
        <w:t>Plan</w:t>
      </w:r>
      <w:r>
        <w:rPr>
          <w:spacing w:val="-4"/>
        </w:rPr>
        <w:t> </w:t>
      </w:r>
      <w:r>
        <w:rPr/>
        <w:t>for</w:t>
      </w:r>
      <w:r>
        <w:rPr>
          <w:spacing w:val="-4"/>
        </w:rPr>
        <w:t> </w:t>
      </w:r>
      <w:r>
        <w:rPr>
          <w:spacing w:val="-2"/>
        </w:rPr>
        <w:t>Employment</w:t>
      </w:r>
    </w:p>
    <w:p>
      <w:pPr>
        <w:pStyle w:val="ListParagraph"/>
        <w:numPr>
          <w:ilvl w:val="0"/>
          <w:numId w:val="140"/>
        </w:numPr>
        <w:tabs>
          <w:tab w:pos="785" w:val="left" w:leader="none"/>
        </w:tabs>
        <w:spacing w:line="208" w:lineRule="auto" w:before="233" w:after="0"/>
        <w:ind w:left="360" w:right="917" w:firstLine="0"/>
        <w:jc w:val="left"/>
        <w:rPr>
          <w:sz w:val="24"/>
        </w:rPr>
      </w:pPr>
      <w:r>
        <w:rPr>
          <w:b/>
          <w:sz w:val="24"/>
        </w:rPr>
        <w:t>Options</w:t>
      </w:r>
      <w:r>
        <w:rPr>
          <w:b/>
          <w:spacing w:val="-4"/>
          <w:sz w:val="24"/>
        </w:rPr>
        <w:t> </w:t>
      </w:r>
      <w:r>
        <w:rPr>
          <w:b/>
          <w:sz w:val="24"/>
        </w:rPr>
        <w:t>for</w:t>
      </w:r>
      <w:r>
        <w:rPr>
          <w:b/>
          <w:spacing w:val="-4"/>
          <w:sz w:val="24"/>
        </w:rPr>
        <w:t> </w:t>
      </w:r>
      <w:r>
        <w:rPr>
          <w:b/>
          <w:sz w:val="24"/>
        </w:rPr>
        <w:t>developing</w:t>
      </w:r>
      <w:r>
        <w:rPr>
          <w:b/>
          <w:spacing w:val="-4"/>
          <w:sz w:val="24"/>
        </w:rPr>
        <w:t> </w:t>
      </w:r>
      <w:r>
        <w:rPr>
          <w:b/>
          <w:sz w:val="24"/>
        </w:rPr>
        <w:t>the</w:t>
      </w:r>
      <w:r>
        <w:rPr>
          <w:b/>
          <w:spacing w:val="-4"/>
          <w:sz w:val="24"/>
        </w:rPr>
        <w:t> </w:t>
      </w:r>
      <w:r>
        <w:rPr>
          <w:b/>
          <w:sz w:val="24"/>
        </w:rPr>
        <w:t>Individualized</w:t>
      </w:r>
      <w:r>
        <w:rPr>
          <w:b/>
          <w:spacing w:val="-4"/>
          <w:sz w:val="24"/>
        </w:rPr>
        <w:t> </w:t>
      </w:r>
      <w:r>
        <w:rPr>
          <w:b/>
          <w:sz w:val="24"/>
        </w:rPr>
        <w:t>Plan</w:t>
      </w:r>
      <w:r>
        <w:rPr>
          <w:b/>
          <w:spacing w:val="-4"/>
          <w:sz w:val="24"/>
        </w:rPr>
        <w:t> </w:t>
      </w:r>
      <w:r>
        <w:rPr>
          <w:b/>
          <w:sz w:val="24"/>
        </w:rPr>
        <w:t>for</w:t>
      </w:r>
      <w:r>
        <w:rPr>
          <w:b/>
          <w:spacing w:val="-4"/>
          <w:sz w:val="24"/>
        </w:rPr>
        <w:t> </w:t>
      </w:r>
      <w:r>
        <w:rPr>
          <w:b/>
          <w:sz w:val="24"/>
        </w:rPr>
        <w:t>Employment</w:t>
      </w:r>
      <w:r>
        <w:rPr>
          <w:b/>
          <w:spacing w:val="-3"/>
          <w:sz w:val="24"/>
        </w:rPr>
        <w:t> </w:t>
      </w:r>
      <w:r>
        <w:rPr>
          <w:b/>
          <w:sz w:val="24"/>
        </w:rPr>
        <w:t>(IPE).</w:t>
      </w:r>
      <w:r>
        <w:rPr>
          <w:b/>
          <w:spacing w:val="-4"/>
          <w:sz w:val="24"/>
        </w:rPr>
        <w:t> </w:t>
      </w:r>
      <w:r>
        <w:rPr>
          <w:sz w:val="24"/>
        </w:rPr>
        <w:t>The</w:t>
      </w:r>
      <w:r>
        <w:rPr>
          <w:spacing w:val="-4"/>
          <w:sz w:val="24"/>
        </w:rPr>
        <w:t> </w:t>
      </w:r>
      <w:r>
        <w:rPr>
          <w:sz w:val="24"/>
        </w:rPr>
        <w:t>VR counselor will provide the eligible individual, or the individual's authorized representative, in writing and in appropriate mode of communication, with information on the individual's options for developing the IPE.</w:t>
      </w:r>
    </w:p>
    <w:p>
      <w:pPr>
        <w:pStyle w:val="ListParagraph"/>
        <w:numPr>
          <w:ilvl w:val="1"/>
          <w:numId w:val="140"/>
        </w:numPr>
        <w:tabs>
          <w:tab w:pos="1218" w:val="left" w:leader="none"/>
        </w:tabs>
        <w:spacing w:line="240" w:lineRule="auto" w:before="210" w:after="0"/>
        <w:ind w:left="1218" w:right="0" w:hanging="426"/>
        <w:jc w:val="left"/>
        <w:rPr>
          <w:sz w:val="24"/>
        </w:rPr>
      </w:pPr>
      <w:r>
        <w:rPr>
          <w:sz w:val="24"/>
        </w:rPr>
        <w:t>The</w:t>
      </w:r>
      <w:r>
        <w:rPr>
          <w:spacing w:val="-5"/>
          <w:sz w:val="24"/>
        </w:rPr>
        <w:t> </w:t>
      </w:r>
      <w:r>
        <w:rPr>
          <w:sz w:val="24"/>
        </w:rPr>
        <w:t>required</w:t>
      </w:r>
      <w:r>
        <w:rPr>
          <w:spacing w:val="-3"/>
          <w:sz w:val="24"/>
        </w:rPr>
        <w:t> </w:t>
      </w:r>
      <w:r>
        <w:rPr>
          <w:sz w:val="24"/>
        </w:rPr>
        <w:t>information</w:t>
      </w:r>
      <w:r>
        <w:rPr>
          <w:spacing w:val="-3"/>
          <w:sz w:val="24"/>
        </w:rPr>
        <w:t> </w:t>
      </w:r>
      <w:r>
        <w:rPr>
          <w:sz w:val="24"/>
        </w:rPr>
        <w:t>will</w:t>
      </w:r>
      <w:r>
        <w:rPr>
          <w:spacing w:val="-3"/>
          <w:sz w:val="24"/>
        </w:rPr>
        <w:t> </w:t>
      </w:r>
      <w:r>
        <w:rPr>
          <w:sz w:val="24"/>
        </w:rPr>
        <w:t>include</w:t>
      </w:r>
      <w:r>
        <w:rPr>
          <w:spacing w:val="-3"/>
          <w:sz w:val="24"/>
        </w:rPr>
        <w:t> </w:t>
      </w:r>
      <w:r>
        <w:rPr>
          <w:sz w:val="24"/>
        </w:rPr>
        <w:t>the</w:t>
      </w:r>
      <w:r>
        <w:rPr>
          <w:spacing w:val="-3"/>
          <w:sz w:val="24"/>
        </w:rPr>
        <w:t> </w:t>
      </w:r>
      <w:r>
        <w:rPr>
          <w:spacing w:val="-2"/>
          <w:sz w:val="24"/>
        </w:rPr>
        <w:t>following:</w:t>
      </w:r>
    </w:p>
    <w:p>
      <w:pPr>
        <w:pStyle w:val="ListParagraph"/>
        <w:numPr>
          <w:ilvl w:val="2"/>
          <w:numId w:val="140"/>
        </w:numPr>
        <w:tabs>
          <w:tab w:pos="1677" w:val="left" w:leader="none"/>
        </w:tabs>
        <w:spacing w:line="208" w:lineRule="auto" w:before="233" w:after="0"/>
        <w:ind w:left="1224" w:right="767" w:firstLine="0"/>
        <w:jc w:val="left"/>
        <w:rPr>
          <w:sz w:val="24"/>
        </w:rPr>
      </w:pPr>
      <w:r>
        <w:rPr>
          <w:sz w:val="24"/>
        </w:rPr>
        <w:t>information on the availability of assistance, to the extent determined to be appropriate by the eligible individual, or authorized representative, from a qualified</w:t>
      </w:r>
      <w:r>
        <w:rPr>
          <w:spacing w:val="-3"/>
          <w:sz w:val="24"/>
        </w:rPr>
        <w:t> </w:t>
      </w:r>
      <w:r>
        <w:rPr>
          <w:sz w:val="24"/>
        </w:rPr>
        <w:t>VR</w:t>
      </w:r>
      <w:r>
        <w:rPr>
          <w:spacing w:val="-3"/>
          <w:sz w:val="24"/>
        </w:rPr>
        <w:t> </w:t>
      </w:r>
      <w:r>
        <w:rPr>
          <w:sz w:val="24"/>
        </w:rPr>
        <w:t>counselor</w:t>
      </w:r>
      <w:r>
        <w:rPr>
          <w:spacing w:val="-2"/>
          <w:sz w:val="24"/>
        </w:rPr>
        <w:t> </w:t>
      </w:r>
      <w:r>
        <w:rPr>
          <w:sz w:val="24"/>
        </w:rPr>
        <w:t>in</w:t>
      </w:r>
      <w:r>
        <w:rPr>
          <w:spacing w:val="-3"/>
          <w:sz w:val="24"/>
        </w:rPr>
        <w:t> </w:t>
      </w:r>
      <w:r>
        <w:rPr>
          <w:sz w:val="24"/>
        </w:rPr>
        <w:t>developing</w:t>
      </w:r>
      <w:r>
        <w:rPr>
          <w:spacing w:val="-3"/>
          <w:sz w:val="24"/>
        </w:rPr>
        <w:t> </w:t>
      </w:r>
      <w:r>
        <w:rPr>
          <w:sz w:val="24"/>
        </w:rPr>
        <w:t>all</w:t>
      </w:r>
      <w:r>
        <w:rPr>
          <w:spacing w:val="-3"/>
          <w:sz w:val="24"/>
        </w:rPr>
        <w:t> </w:t>
      </w:r>
      <w:r>
        <w:rPr>
          <w:sz w:val="24"/>
        </w:rPr>
        <w:t>or</w:t>
      </w:r>
      <w:r>
        <w:rPr>
          <w:spacing w:val="-2"/>
          <w:sz w:val="24"/>
        </w:rPr>
        <w:t> </w:t>
      </w:r>
      <w:r>
        <w:rPr>
          <w:sz w:val="24"/>
        </w:rPr>
        <w:t>part</w:t>
      </w:r>
      <w:r>
        <w:rPr>
          <w:spacing w:val="-2"/>
          <w:sz w:val="24"/>
        </w:rPr>
        <w:t> </w:t>
      </w:r>
      <w:r>
        <w:rPr>
          <w:sz w:val="24"/>
        </w:rPr>
        <w:t>of</w:t>
      </w:r>
      <w:r>
        <w:rPr>
          <w:spacing w:val="-4"/>
          <w:sz w:val="24"/>
        </w:rPr>
        <w:t> </w:t>
      </w:r>
      <w:r>
        <w:rPr>
          <w:sz w:val="24"/>
        </w:rPr>
        <w:t>the</w:t>
      </w:r>
      <w:r>
        <w:rPr>
          <w:spacing w:val="-3"/>
          <w:sz w:val="24"/>
        </w:rPr>
        <w:t> </w:t>
      </w:r>
      <w:r>
        <w:rPr>
          <w:sz w:val="24"/>
        </w:rPr>
        <w:t>IPE,</w:t>
      </w:r>
      <w:r>
        <w:rPr>
          <w:spacing w:val="-2"/>
          <w:sz w:val="24"/>
        </w:rPr>
        <w:t> </w:t>
      </w:r>
      <w:r>
        <w:rPr>
          <w:sz w:val="24"/>
        </w:rPr>
        <w:t>and</w:t>
      </w:r>
      <w:r>
        <w:rPr>
          <w:spacing w:val="-3"/>
          <w:sz w:val="24"/>
        </w:rPr>
        <w:t> </w:t>
      </w:r>
      <w:r>
        <w:rPr>
          <w:sz w:val="24"/>
        </w:rPr>
        <w:t>the</w:t>
      </w:r>
      <w:r>
        <w:rPr>
          <w:spacing w:val="-3"/>
          <w:sz w:val="24"/>
        </w:rPr>
        <w:t> </w:t>
      </w:r>
      <w:r>
        <w:rPr>
          <w:sz w:val="24"/>
        </w:rPr>
        <w:t>availability</w:t>
      </w:r>
      <w:r>
        <w:rPr>
          <w:spacing w:val="-3"/>
          <w:sz w:val="24"/>
        </w:rPr>
        <w:t> </w:t>
      </w:r>
      <w:r>
        <w:rPr>
          <w:sz w:val="24"/>
        </w:rPr>
        <w:t>of technical assistance for this purpose;</w:t>
      </w:r>
    </w:p>
    <w:p>
      <w:pPr>
        <w:pStyle w:val="ListParagraph"/>
        <w:numPr>
          <w:ilvl w:val="2"/>
          <w:numId w:val="140"/>
        </w:numPr>
        <w:tabs>
          <w:tab w:pos="1677" w:val="left" w:leader="none"/>
        </w:tabs>
        <w:spacing w:line="240" w:lineRule="auto" w:before="211" w:after="0"/>
        <w:ind w:left="1677" w:right="0" w:hanging="453"/>
        <w:jc w:val="left"/>
        <w:rPr>
          <w:sz w:val="24"/>
        </w:rPr>
      </w:pPr>
      <w:r>
        <w:rPr>
          <w:sz w:val="24"/>
        </w:rPr>
        <w:t>a</w:t>
      </w:r>
      <w:r>
        <w:rPr>
          <w:spacing w:val="-3"/>
          <w:sz w:val="24"/>
        </w:rPr>
        <w:t> </w:t>
      </w:r>
      <w:r>
        <w:rPr>
          <w:sz w:val="24"/>
        </w:rPr>
        <w:t>description</w:t>
      </w:r>
      <w:r>
        <w:rPr>
          <w:spacing w:val="-3"/>
          <w:sz w:val="24"/>
        </w:rPr>
        <w:t> </w:t>
      </w:r>
      <w:r>
        <w:rPr>
          <w:sz w:val="24"/>
        </w:rPr>
        <w:t>of</w:t>
      </w:r>
      <w:r>
        <w:rPr>
          <w:spacing w:val="-2"/>
          <w:sz w:val="24"/>
        </w:rPr>
        <w:t> </w:t>
      </w:r>
      <w:r>
        <w:rPr>
          <w:sz w:val="24"/>
        </w:rPr>
        <w:t>the</w:t>
      </w:r>
      <w:r>
        <w:rPr>
          <w:spacing w:val="-3"/>
          <w:sz w:val="24"/>
        </w:rPr>
        <w:t> </w:t>
      </w:r>
      <w:r>
        <w:rPr>
          <w:sz w:val="24"/>
        </w:rPr>
        <w:t>required</w:t>
      </w:r>
      <w:r>
        <w:rPr>
          <w:spacing w:val="-3"/>
          <w:sz w:val="24"/>
        </w:rPr>
        <w:t> </w:t>
      </w:r>
      <w:r>
        <w:rPr>
          <w:sz w:val="24"/>
        </w:rPr>
        <w:t>content</w:t>
      </w:r>
      <w:r>
        <w:rPr>
          <w:spacing w:val="-2"/>
          <w:sz w:val="24"/>
        </w:rPr>
        <w:t> </w:t>
      </w:r>
      <w:r>
        <w:rPr>
          <w:sz w:val="24"/>
        </w:rPr>
        <w:t>of</w:t>
      </w:r>
      <w:r>
        <w:rPr>
          <w:spacing w:val="-2"/>
          <w:sz w:val="24"/>
        </w:rPr>
        <w:t> </w:t>
      </w:r>
      <w:r>
        <w:rPr>
          <w:sz w:val="24"/>
        </w:rPr>
        <w:t>the</w:t>
      </w:r>
      <w:r>
        <w:rPr>
          <w:spacing w:val="-2"/>
          <w:sz w:val="24"/>
        </w:rPr>
        <w:t> </w:t>
      </w:r>
      <w:r>
        <w:rPr>
          <w:spacing w:val="-4"/>
          <w:sz w:val="24"/>
        </w:rPr>
        <w:t>IPE;</w:t>
      </w:r>
    </w:p>
    <w:p>
      <w:pPr>
        <w:pStyle w:val="ListParagraph"/>
        <w:numPr>
          <w:ilvl w:val="2"/>
          <w:numId w:val="140"/>
        </w:numPr>
        <w:tabs>
          <w:tab w:pos="1690" w:val="left" w:leader="none"/>
        </w:tabs>
        <w:spacing w:line="240" w:lineRule="auto" w:before="204" w:after="0"/>
        <w:ind w:left="1690" w:right="0" w:hanging="466"/>
        <w:jc w:val="left"/>
        <w:rPr>
          <w:sz w:val="24"/>
        </w:rPr>
      </w:pPr>
      <w:r>
        <w:rPr>
          <w:sz w:val="24"/>
        </w:rPr>
        <w:t>as</w:t>
      </w:r>
      <w:r>
        <w:rPr>
          <w:spacing w:val="-1"/>
          <w:sz w:val="24"/>
        </w:rPr>
        <w:t> </w:t>
      </w:r>
      <w:r>
        <w:rPr>
          <w:spacing w:val="-2"/>
          <w:sz w:val="24"/>
        </w:rPr>
        <w:t>appropriate:</w:t>
      </w:r>
    </w:p>
    <w:p>
      <w:pPr>
        <w:pStyle w:val="ListParagraph"/>
        <w:numPr>
          <w:ilvl w:val="3"/>
          <w:numId w:val="140"/>
        </w:numPr>
        <w:tabs>
          <w:tab w:pos="2002" w:val="left" w:leader="none"/>
        </w:tabs>
        <w:spacing w:line="208" w:lineRule="auto" w:before="233" w:after="0"/>
        <w:ind w:left="1656" w:right="935" w:firstLine="0"/>
        <w:jc w:val="left"/>
        <w:rPr>
          <w:sz w:val="24"/>
        </w:rPr>
      </w:pPr>
      <w:r>
        <w:rPr>
          <w:sz w:val="24"/>
        </w:rPr>
        <w:t>an</w:t>
      </w:r>
      <w:r>
        <w:rPr>
          <w:spacing w:val="-4"/>
          <w:sz w:val="24"/>
        </w:rPr>
        <w:t> </w:t>
      </w:r>
      <w:r>
        <w:rPr>
          <w:sz w:val="24"/>
        </w:rPr>
        <w:t>explanation</w:t>
      </w:r>
      <w:r>
        <w:rPr>
          <w:spacing w:val="-4"/>
          <w:sz w:val="24"/>
        </w:rPr>
        <w:t> </w:t>
      </w:r>
      <w:r>
        <w:rPr>
          <w:sz w:val="24"/>
        </w:rPr>
        <w:t>of</w:t>
      </w:r>
      <w:r>
        <w:rPr>
          <w:spacing w:val="-3"/>
          <w:sz w:val="24"/>
        </w:rPr>
        <w:t> </w:t>
      </w:r>
      <w:r>
        <w:rPr>
          <w:sz w:val="24"/>
        </w:rPr>
        <w:t>agency</w:t>
      </w:r>
      <w:r>
        <w:rPr>
          <w:spacing w:val="-4"/>
          <w:sz w:val="24"/>
        </w:rPr>
        <w:t> </w:t>
      </w:r>
      <w:r>
        <w:rPr>
          <w:sz w:val="24"/>
        </w:rPr>
        <w:t>requirements</w:t>
      </w:r>
      <w:r>
        <w:rPr>
          <w:spacing w:val="-4"/>
          <w:sz w:val="24"/>
        </w:rPr>
        <w:t> </w:t>
      </w:r>
      <w:r>
        <w:rPr>
          <w:sz w:val="24"/>
        </w:rPr>
        <w:t>for</w:t>
      </w:r>
      <w:r>
        <w:rPr>
          <w:spacing w:val="-3"/>
          <w:sz w:val="24"/>
        </w:rPr>
        <w:t> </w:t>
      </w:r>
      <w:r>
        <w:rPr>
          <w:sz w:val="24"/>
        </w:rPr>
        <w:t>client</w:t>
      </w:r>
      <w:r>
        <w:rPr>
          <w:spacing w:val="-3"/>
          <w:sz w:val="24"/>
        </w:rPr>
        <w:t> </w:t>
      </w:r>
      <w:r>
        <w:rPr>
          <w:sz w:val="24"/>
        </w:rPr>
        <w:t>participation</w:t>
      </w:r>
      <w:r>
        <w:rPr>
          <w:spacing w:val="-4"/>
          <w:sz w:val="24"/>
        </w:rPr>
        <w:t> </w:t>
      </w:r>
      <w:r>
        <w:rPr>
          <w:sz w:val="24"/>
        </w:rPr>
        <w:t>in</w:t>
      </w:r>
      <w:r>
        <w:rPr>
          <w:spacing w:val="-4"/>
          <w:sz w:val="24"/>
        </w:rPr>
        <w:t> </w:t>
      </w:r>
      <w:r>
        <w:rPr>
          <w:sz w:val="24"/>
        </w:rPr>
        <w:t>cost</w:t>
      </w:r>
      <w:r>
        <w:rPr>
          <w:spacing w:val="-3"/>
          <w:sz w:val="24"/>
        </w:rPr>
        <w:t> </w:t>
      </w:r>
      <w:r>
        <w:rPr>
          <w:sz w:val="24"/>
        </w:rPr>
        <w:t>of </w:t>
      </w:r>
      <w:r>
        <w:rPr>
          <w:spacing w:val="-2"/>
          <w:sz w:val="24"/>
        </w:rPr>
        <w:t>services;</w:t>
      </w:r>
    </w:p>
    <w:p>
      <w:pPr>
        <w:pStyle w:val="ListParagraph"/>
        <w:numPr>
          <w:ilvl w:val="3"/>
          <w:numId w:val="140"/>
        </w:numPr>
        <w:tabs>
          <w:tab w:pos="2054" w:val="left" w:leader="none"/>
        </w:tabs>
        <w:spacing w:line="208" w:lineRule="auto" w:before="240" w:after="0"/>
        <w:ind w:left="1656" w:right="1710" w:firstLine="0"/>
        <w:jc w:val="left"/>
        <w:rPr>
          <w:sz w:val="24"/>
        </w:rPr>
      </w:pPr>
      <w:r>
        <w:rPr>
          <w:sz w:val="24"/>
        </w:rPr>
        <w:t>additional</w:t>
      </w:r>
      <w:r>
        <w:rPr>
          <w:spacing w:val="-6"/>
          <w:sz w:val="24"/>
        </w:rPr>
        <w:t> </w:t>
      </w:r>
      <w:r>
        <w:rPr>
          <w:sz w:val="24"/>
        </w:rPr>
        <w:t>information</w:t>
      </w:r>
      <w:r>
        <w:rPr>
          <w:spacing w:val="-6"/>
          <w:sz w:val="24"/>
        </w:rPr>
        <w:t> </w:t>
      </w:r>
      <w:r>
        <w:rPr>
          <w:sz w:val="24"/>
        </w:rPr>
        <w:t>requested</w:t>
      </w:r>
      <w:r>
        <w:rPr>
          <w:spacing w:val="-6"/>
          <w:sz w:val="24"/>
        </w:rPr>
        <w:t> </w:t>
      </w:r>
      <w:r>
        <w:rPr>
          <w:sz w:val="24"/>
        </w:rPr>
        <w:t>by</w:t>
      </w:r>
      <w:r>
        <w:rPr>
          <w:spacing w:val="-6"/>
          <w:sz w:val="24"/>
        </w:rPr>
        <w:t> </w:t>
      </w:r>
      <w:r>
        <w:rPr>
          <w:sz w:val="24"/>
        </w:rPr>
        <w:t>the</w:t>
      </w:r>
      <w:r>
        <w:rPr>
          <w:spacing w:val="-6"/>
          <w:sz w:val="24"/>
        </w:rPr>
        <w:t> </w:t>
      </w:r>
      <w:r>
        <w:rPr>
          <w:sz w:val="24"/>
        </w:rPr>
        <w:t>individual</w:t>
      </w:r>
      <w:r>
        <w:rPr>
          <w:spacing w:val="-6"/>
          <w:sz w:val="24"/>
        </w:rPr>
        <w:t> </w:t>
      </w:r>
      <w:r>
        <w:rPr>
          <w:sz w:val="24"/>
        </w:rPr>
        <w:t>or</w:t>
      </w:r>
      <w:r>
        <w:rPr>
          <w:spacing w:val="-4"/>
          <w:sz w:val="24"/>
        </w:rPr>
        <w:t> </w:t>
      </w:r>
      <w:r>
        <w:rPr>
          <w:sz w:val="24"/>
        </w:rPr>
        <w:t>authorized </w:t>
      </w:r>
      <w:r>
        <w:rPr>
          <w:spacing w:val="-2"/>
          <w:sz w:val="24"/>
        </w:rPr>
        <w:t>representative;</w:t>
      </w:r>
    </w:p>
    <w:p>
      <w:pPr>
        <w:pStyle w:val="ListParagraph"/>
        <w:numPr>
          <w:ilvl w:val="3"/>
          <w:numId w:val="140"/>
        </w:numPr>
        <w:tabs>
          <w:tab w:pos="2107" w:val="left" w:leader="none"/>
        </w:tabs>
        <w:spacing w:line="208" w:lineRule="auto" w:before="240" w:after="0"/>
        <w:ind w:left="1656" w:right="926" w:firstLine="0"/>
        <w:jc w:val="left"/>
        <w:rPr>
          <w:sz w:val="24"/>
        </w:rPr>
      </w:pPr>
      <w:r>
        <w:rPr>
          <w:sz w:val="24"/>
        </w:rPr>
        <w:t>information</w:t>
      </w:r>
      <w:r>
        <w:rPr>
          <w:spacing w:val="-5"/>
          <w:sz w:val="24"/>
        </w:rPr>
        <w:t> </w:t>
      </w:r>
      <w:r>
        <w:rPr>
          <w:sz w:val="24"/>
        </w:rPr>
        <w:t>on</w:t>
      </w:r>
      <w:r>
        <w:rPr>
          <w:spacing w:val="-5"/>
          <w:sz w:val="24"/>
        </w:rPr>
        <w:t> </w:t>
      </w:r>
      <w:r>
        <w:rPr>
          <w:sz w:val="24"/>
        </w:rPr>
        <w:t>the</w:t>
      </w:r>
      <w:r>
        <w:rPr>
          <w:spacing w:val="-5"/>
          <w:sz w:val="24"/>
        </w:rPr>
        <w:t> </w:t>
      </w:r>
      <w:r>
        <w:rPr>
          <w:sz w:val="24"/>
        </w:rPr>
        <w:t>availability</w:t>
      </w:r>
      <w:r>
        <w:rPr>
          <w:spacing w:val="-5"/>
          <w:sz w:val="24"/>
        </w:rPr>
        <w:t> </w:t>
      </w:r>
      <w:r>
        <w:rPr>
          <w:sz w:val="24"/>
        </w:rPr>
        <w:t>of</w:t>
      </w:r>
      <w:r>
        <w:rPr>
          <w:spacing w:val="-4"/>
          <w:sz w:val="24"/>
        </w:rPr>
        <w:t> </w:t>
      </w:r>
      <w:r>
        <w:rPr>
          <w:sz w:val="24"/>
        </w:rPr>
        <w:t>assistance</w:t>
      </w:r>
      <w:r>
        <w:rPr>
          <w:spacing w:val="-5"/>
          <w:sz w:val="24"/>
        </w:rPr>
        <w:t> </w:t>
      </w:r>
      <w:r>
        <w:rPr>
          <w:sz w:val="24"/>
        </w:rPr>
        <w:t>in</w:t>
      </w:r>
      <w:r>
        <w:rPr>
          <w:spacing w:val="-5"/>
          <w:sz w:val="24"/>
        </w:rPr>
        <w:t> </w:t>
      </w:r>
      <w:r>
        <w:rPr>
          <w:sz w:val="24"/>
        </w:rPr>
        <w:t>completing</w:t>
      </w:r>
      <w:r>
        <w:rPr>
          <w:spacing w:val="-5"/>
          <w:sz w:val="24"/>
        </w:rPr>
        <w:t> </w:t>
      </w:r>
      <w:r>
        <w:rPr>
          <w:sz w:val="24"/>
        </w:rPr>
        <w:t>DVR/DSBVI forms required in developing the IPE;</w:t>
      </w:r>
    </w:p>
    <w:p>
      <w:pPr>
        <w:pStyle w:val="ListParagraph"/>
        <w:numPr>
          <w:ilvl w:val="3"/>
          <w:numId w:val="140"/>
        </w:numPr>
        <w:tabs>
          <w:tab w:pos="2122" w:val="left" w:leader="none"/>
        </w:tabs>
        <w:spacing w:line="208" w:lineRule="auto" w:before="240" w:after="0"/>
        <w:ind w:left="1656" w:right="724" w:firstLine="0"/>
        <w:jc w:val="both"/>
        <w:rPr>
          <w:b/>
          <w:sz w:val="24"/>
        </w:rPr>
      </w:pPr>
      <w:r>
        <w:rPr>
          <w:b/>
          <w:sz w:val="24"/>
        </w:rPr>
        <mc:AlternateContent>
          <mc:Choice Requires="wps">
            <w:drawing>
              <wp:anchor distT="0" distB="0" distL="0" distR="0" allowOverlap="1" layoutInCell="1" locked="0" behindDoc="0" simplePos="0" relativeHeight="15730176">
                <wp:simplePos x="0" y="0"/>
                <wp:positionH relativeFrom="page">
                  <wp:posOffset>5218176</wp:posOffset>
                </wp:positionH>
                <wp:positionV relativeFrom="paragraph">
                  <wp:posOffset>292670</wp:posOffset>
                </wp:positionV>
                <wp:extent cx="43180" cy="1143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3180" cy="11430"/>
                        </a:xfrm>
                        <a:custGeom>
                          <a:avLst/>
                          <a:gdLst/>
                          <a:ahLst/>
                          <a:cxnLst/>
                          <a:rect l="l" t="t" r="r" b="b"/>
                          <a:pathLst>
                            <a:path w="43180" h="11430">
                              <a:moveTo>
                                <a:pt x="42684" y="0"/>
                              </a:moveTo>
                              <a:lnTo>
                                <a:pt x="0" y="0"/>
                              </a:lnTo>
                              <a:lnTo>
                                <a:pt x="0" y="11429"/>
                              </a:lnTo>
                              <a:lnTo>
                                <a:pt x="42684" y="11429"/>
                              </a:lnTo>
                              <a:lnTo>
                                <a:pt x="426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0.880005pt;margin-top:23.04496pt;width:3.361pt;height:.9pt;mso-position-horizontal-relative:page;mso-position-vertical-relative:paragraph;z-index:15730176" id="docshape4" filled="true" fillcolor="#000000" stroked="false">
                <v:fill type="solid"/>
                <w10:wrap type="none"/>
              </v:rect>
            </w:pict>
          </mc:Fallback>
        </mc:AlternateContent>
      </w:r>
      <w:r>
        <w:rPr>
          <w:sz w:val="24"/>
        </w:rPr>
        <w:t>For</w:t>
      </w:r>
      <w:r>
        <w:rPr>
          <w:spacing w:val="-5"/>
          <w:sz w:val="24"/>
        </w:rPr>
        <w:t> </w:t>
      </w:r>
      <w:r>
        <w:rPr>
          <w:sz w:val="24"/>
        </w:rPr>
        <w:t>cases</w:t>
      </w:r>
      <w:r>
        <w:rPr>
          <w:spacing w:val="-4"/>
          <w:sz w:val="24"/>
        </w:rPr>
        <w:t> </w:t>
      </w:r>
      <w:r>
        <w:rPr>
          <w:sz w:val="24"/>
        </w:rPr>
        <w:t>involving</w:t>
      </w:r>
      <w:r>
        <w:rPr>
          <w:spacing w:val="-4"/>
          <w:sz w:val="24"/>
        </w:rPr>
        <w:t> </w:t>
      </w:r>
      <w:r>
        <w:rPr>
          <w:sz w:val="24"/>
        </w:rPr>
        <w:t>Diabetes,</w:t>
      </w:r>
      <w:r>
        <w:rPr>
          <w:spacing w:val="-3"/>
          <w:sz w:val="24"/>
        </w:rPr>
        <w:t> </w:t>
      </w:r>
      <w:r>
        <w:rPr>
          <w:sz w:val="24"/>
        </w:rPr>
        <w:t>Mental</w:t>
      </w:r>
      <w:r>
        <w:rPr>
          <w:spacing w:val="-4"/>
          <w:sz w:val="24"/>
        </w:rPr>
        <w:t> </w:t>
      </w:r>
      <w:r>
        <w:rPr>
          <w:sz w:val="24"/>
        </w:rPr>
        <w:t>Disorders,</w:t>
      </w:r>
      <w:r>
        <w:rPr>
          <w:spacing w:val="-3"/>
          <w:sz w:val="24"/>
        </w:rPr>
        <w:t> </w:t>
      </w:r>
      <w:r>
        <w:rPr>
          <w:sz w:val="24"/>
        </w:rPr>
        <w:t>and</w:t>
      </w:r>
      <w:r>
        <w:rPr>
          <w:spacing w:val="-4"/>
          <w:sz w:val="24"/>
        </w:rPr>
        <w:t> </w:t>
      </w:r>
      <w:r>
        <w:rPr>
          <w:sz w:val="24"/>
        </w:rPr>
        <w:t>Obesity,</w:t>
      </w:r>
      <w:r>
        <w:rPr>
          <w:spacing w:val="-3"/>
          <w:sz w:val="24"/>
        </w:rPr>
        <w:t> </w:t>
      </w:r>
      <w:r>
        <w:rPr>
          <w:sz w:val="24"/>
        </w:rPr>
        <w:t>treatment must</w:t>
      </w:r>
      <w:r>
        <w:rPr>
          <w:spacing w:val="-2"/>
          <w:sz w:val="24"/>
        </w:rPr>
        <w:t> </w:t>
      </w:r>
      <w:r>
        <w:rPr>
          <w:sz w:val="24"/>
        </w:rPr>
        <w:t>be</w:t>
      </w:r>
      <w:r>
        <w:rPr>
          <w:spacing w:val="-3"/>
          <w:sz w:val="24"/>
        </w:rPr>
        <w:t> </w:t>
      </w:r>
      <w:r>
        <w:rPr>
          <w:sz w:val="24"/>
        </w:rPr>
        <w:t>incorporated</w:t>
      </w:r>
      <w:r>
        <w:rPr>
          <w:spacing w:val="-3"/>
          <w:sz w:val="24"/>
        </w:rPr>
        <w:t> </w:t>
      </w:r>
      <w:r>
        <w:rPr>
          <w:sz w:val="24"/>
        </w:rPr>
        <w:t>as</w:t>
      </w:r>
      <w:r>
        <w:rPr>
          <w:spacing w:val="-3"/>
          <w:sz w:val="24"/>
        </w:rPr>
        <w:t> </w:t>
      </w:r>
      <w:r>
        <w:rPr>
          <w:sz w:val="24"/>
        </w:rPr>
        <w:t>a</w:t>
      </w:r>
      <w:r>
        <w:rPr>
          <w:spacing w:val="-3"/>
          <w:sz w:val="24"/>
        </w:rPr>
        <w:t> </w:t>
      </w:r>
      <w:r>
        <w:rPr>
          <w:sz w:val="24"/>
        </w:rPr>
        <w:t>service</w:t>
      </w:r>
      <w:r>
        <w:rPr>
          <w:spacing w:val="-4"/>
          <w:sz w:val="24"/>
        </w:rPr>
        <w:t> </w:t>
      </w:r>
      <w:r>
        <w:rPr>
          <w:sz w:val="24"/>
        </w:rPr>
        <w:t>in</w:t>
      </w:r>
      <w:r>
        <w:rPr>
          <w:spacing w:val="-3"/>
          <w:sz w:val="24"/>
        </w:rPr>
        <w:t> </w:t>
      </w:r>
      <w:r>
        <w:rPr>
          <w:sz w:val="24"/>
        </w:rPr>
        <w:t>the</w:t>
      </w:r>
      <w:r>
        <w:rPr>
          <w:spacing w:val="-3"/>
          <w:sz w:val="24"/>
        </w:rPr>
        <w:t> </w:t>
      </w:r>
      <w:r>
        <w:rPr>
          <w:sz w:val="24"/>
        </w:rPr>
        <w:t>IPE,</w:t>
      </w:r>
      <w:r>
        <w:rPr>
          <w:spacing w:val="-2"/>
          <w:sz w:val="24"/>
        </w:rPr>
        <w:t> </w:t>
      </w:r>
      <w:r>
        <w:rPr>
          <w:sz w:val="24"/>
        </w:rPr>
        <w:t>in</w:t>
      </w:r>
      <w:r>
        <w:rPr>
          <w:spacing w:val="-3"/>
          <w:sz w:val="24"/>
        </w:rPr>
        <w:t> </w:t>
      </w:r>
      <w:r>
        <w:rPr>
          <w:sz w:val="24"/>
        </w:rPr>
        <w:t>accordance</w:t>
      </w:r>
      <w:r>
        <w:rPr>
          <w:spacing w:val="-3"/>
          <w:sz w:val="24"/>
        </w:rPr>
        <w:t> </w:t>
      </w:r>
      <w:r>
        <w:rPr>
          <w:sz w:val="24"/>
        </w:rPr>
        <w:t>with</w:t>
      </w:r>
      <w:r>
        <w:rPr>
          <w:spacing w:val="-3"/>
          <w:sz w:val="24"/>
        </w:rPr>
        <w:t> </w:t>
      </w:r>
      <w:r>
        <w:rPr>
          <w:sz w:val="24"/>
        </w:rPr>
        <w:t>DRS</w:t>
      </w:r>
      <w:r>
        <w:rPr>
          <w:spacing w:val="-3"/>
          <w:sz w:val="24"/>
        </w:rPr>
        <w:t> </w:t>
      </w:r>
      <w:r>
        <w:rPr>
          <w:sz w:val="24"/>
        </w:rPr>
        <w:t>rules. </w:t>
      </w:r>
      <w:r>
        <w:rPr>
          <w:b/>
          <w:spacing w:val="-10"/>
          <w:sz w:val="24"/>
        </w:rPr>
        <w:t>1</w:t>
      </w:r>
    </w:p>
    <w:p>
      <w:pPr>
        <w:pStyle w:val="ListParagraph"/>
        <w:numPr>
          <w:ilvl w:val="2"/>
          <w:numId w:val="140"/>
        </w:numPr>
        <w:tabs>
          <w:tab w:pos="1690" w:val="left" w:leader="none"/>
        </w:tabs>
        <w:spacing w:line="240" w:lineRule="auto" w:before="210" w:after="0"/>
        <w:ind w:left="1690" w:right="0" w:hanging="466"/>
        <w:jc w:val="left"/>
        <w:rPr>
          <w:sz w:val="24"/>
        </w:rPr>
      </w:pPr>
      <w:r>
        <w:rPr>
          <w:sz w:val="24"/>
        </w:rPr>
        <w:t>a</w:t>
      </w:r>
      <w:r>
        <w:rPr>
          <w:spacing w:val="-5"/>
          <w:sz w:val="24"/>
        </w:rPr>
        <w:t> </w:t>
      </w:r>
      <w:r>
        <w:rPr>
          <w:sz w:val="24"/>
        </w:rPr>
        <w:t>copy</w:t>
      </w:r>
      <w:r>
        <w:rPr>
          <w:spacing w:val="-4"/>
          <w:sz w:val="24"/>
        </w:rPr>
        <w:t> </w:t>
      </w:r>
      <w:r>
        <w:rPr>
          <w:sz w:val="24"/>
        </w:rPr>
        <w:t>of</w:t>
      </w:r>
      <w:r>
        <w:rPr>
          <w:spacing w:val="-2"/>
          <w:sz w:val="24"/>
        </w:rPr>
        <w:t> </w:t>
      </w:r>
      <w:r>
        <w:rPr>
          <w:sz w:val="24"/>
        </w:rPr>
        <w:t>a</w:t>
      </w:r>
      <w:r>
        <w:rPr>
          <w:spacing w:val="-3"/>
          <w:sz w:val="24"/>
        </w:rPr>
        <w:t> </w:t>
      </w:r>
      <w:r>
        <w:rPr>
          <w:sz w:val="24"/>
        </w:rPr>
        <w:t>DRS</w:t>
      </w:r>
      <w:r>
        <w:rPr>
          <w:spacing w:val="-3"/>
          <w:sz w:val="24"/>
        </w:rPr>
        <w:t> </w:t>
      </w:r>
      <w:r>
        <w:rPr>
          <w:sz w:val="24"/>
        </w:rPr>
        <w:t>publication</w:t>
      </w:r>
      <w:r>
        <w:rPr>
          <w:spacing w:val="-2"/>
          <w:sz w:val="24"/>
        </w:rPr>
        <w:t> </w:t>
      </w:r>
      <w:r>
        <w:rPr>
          <w:sz w:val="24"/>
        </w:rPr>
        <w:t>addressing</w:t>
      </w:r>
      <w:r>
        <w:rPr>
          <w:spacing w:val="-2"/>
          <w:sz w:val="24"/>
        </w:rPr>
        <w:t> </w:t>
      </w:r>
      <w:r>
        <w:rPr>
          <w:sz w:val="24"/>
        </w:rPr>
        <w:t>client's</w:t>
      </w:r>
      <w:r>
        <w:rPr>
          <w:spacing w:val="-3"/>
          <w:sz w:val="24"/>
        </w:rPr>
        <w:t> </w:t>
      </w:r>
      <w:r>
        <w:rPr>
          <w:sz w:val="24"/>
        </w:rPr>
        <w:t>rights</w:t>
      </w:r>
      <w:r>
        <w:rPr>
          <w:spacing w:val="-3"/>
          <w:sz w:val="24"/>
        </w:rPr>
        <w:t> </w:t>
      </w:r>
      <w:r>
        <w:rPr>
          <w:sz w:val="24"/>
        </w:rPr>
        <w:t>and</w:t>
      </w:r>
      <w:r>
        <w:rPr>
          <w:spacing w:val="-2"/>
          <w:sz w:val="24"/>
        </w:rPr>
        <w:t> responsibilities.</w:t>
      </w:r>
    </w:p>
    <w:p>
      <w:pPr>
        <w:pStyle w:val="ListParagraph"/>
        <w:numPr>
          <w:ilvl w:val="1"/>
          <w:numId w:val="140"/>
        </w:numPr>
        <w:tabs>
          <w:tab w:pos="1218" w:val="left" w:leader="none"/>
        </w:tabs>
        <w:spacing w:line="208" w:lineRule="auto" w:before="233" w:after="0"/>
        <w:ind w:left="792" w:right="760" w:firstLine="0"/>
        <w:jc w:val="left"/>
        <w:rPr>
          <w:sz w:val="24"/>
        </w:rPr>
      </w:pPr>
      <w:r>
        <w:rPr>
          <w:sz w:val="24"/>
        </w:rPr>
        <w:t>For cases in an open priority group, the IPE must be completed and signed as soon as possible, consistent with the needs of the individual, but not more than 90 calendar days following the eligibility determination, unless the individual or the authorized representative and the VR or SBVI counselor jointly agree to an extension</w:t>
      </w:r>
      <w:r>
        <w:rPr>
          <w:spacing w:val="-3"/>
          <w:sz w:val="24"/>
        </w:rPr>
        <w:t> </w:t>
      </w:r>
      <w:r>
        <w:rPr>
          <w:sz w:val="24"/>
        </w:rPr>
        <w:t>of</w:t>
      </w:r>
      <w:r>
        <w:rPr>
          <w:spacing w:val="-2"/>
          <w:sz w:val="24"/>
        </w:rPr>
        <w:t> </w:t>
      </w:r>
      <w:r>
        <w:rPr>
          <w:sz w:val="24"/>
        </w:rPr>
        <w:t>time</w:t>
      </w:r>
      <w:r>
        <w:rPr>
          <w:spacing w:val="-3"/>
          <w:sz w:val="24"/>
        </w:rPr>
        <w:t> </w:t>
      </w:r>
      <w:r>
        <w:rPr>
          <w:sz w:val="24"/>
        </w:rPr>
        <w:t>of</w:t>
      </w:r>
      <w:r>
        <w:rPr>
          <w:spacing w:val="-2"/>
          <w:sz w:val="24"/>
        </w:rPr>
        <w:t> </w:t>
      </w:r>
      <w:r>
        <w:rPr>
          <w:sz w:val="24"/>
        </w:rPr>
        <w:t>a</w:t>
      </w:r>
      <w:r>
        <w:rPr>
          <w:spacing w:val="-4"/>
          <w:sz w:val="24"/>
        </w:rPr>
        <w:t> </w:t>
      </w:r>
      <w:r>
        <w:rPr>
          <w:sz w:val="24"/>
        </w:rPr>
        <w:t>specific</w:t>
      </w:r>
      <w:r>
        <w:rPr>
          <w:spacing w:val="-3"/>
          <w:sz w:val="24"/>
        </w:rPr>
        <w:t> </w:t>
      </w:r>
      <w:r>
        <w:rPr>
          <w:sz w:val="24"/>
        </w:rPr>
        <w:t>duration.</w:t>
      </w:r>
      <w:r>
        <w:rPr>
          <w:spacing w:val="-3"/>
          <w:sz w:val="24"/>
        </w:rPr>
        <w:t> </w:t>
      </w:r>
      <w:r>
        <w:rPr>
          <w:b/>
          <w:sz w:val="24"/>
        </w:rPr>
        <w:t>2</w:t>
      </w:r>
      <w:r>
        <w:rPr>
          <w:b/>
          <w:spacing w:val="-3"/>
          <w:sz w:val="24"/>
        </w:rPr>
        <w:t> </w:t>
      </w:r>
      <w:r>
        <w:rPr>
          <w:sz w:val="24"/>
        </w:rPr>
        <w:t>The</w:t>
      </w:r>
      <w:r>
        <w:rPr>
          <w:spacing w:val="-3"/>
          <w:sz w:val="24"/>
        </w:rPr>
        <w:t> </w:t>
      </w:r>
      <w:r>
        <w:rPr>
          <w:sz w:val="24"/>
        </w:rPr>
        <w:t>90-day</w:t>
      </w:r>
      <w:r>
        <w:rPr>
          <w:spacing w:val="-3"/>
          <w:sz w:val="24"/>
        </w:rPr>
        <w:t> </w:t>
      </w:r>
      <w:r>
        <w:rPr>
          <w:sz w:val="24"/>
        </w:rPr>
        <w:t>time</w:t>
      </w:r>
      <w:r>
        <w:rPr>
          <w:spacing w:val="-3"/>
          <w:sz w:val="24"/>
        </w:rPr>
        <w:t> </w:t>
      </w:r>
      <w:r>
        <w:rPr>
          <w:sz w:val="24"/>
        </w:rPr>
        <w:t>frame</w:t>
      </w:r>
      <w:r>
        <w:rPr>
          <w:spacing w:val="-3"/>
          <w:sz w:val="24"/>
        </w:rPr>
        <w:t> </w:t>
      </w:r>
      <w:r>
        <w:rPr>
          <w:sz w:val="24"/>
        </w:rPr>
        <w:t>for</w:t>
      </w:r>
      <w:r>
        <w:rPr>
          <w:spacing w:val="-2"/>
          <w:sz w:val="24"/>
        </w:rPr>
        <w:t> </w:t>
      </w:r>
      <w:r>
        <w:rPr>
          <w:sz w:val="24"/>
        </w:rPr>
        <w:t>development</w:t>
      </w:r>
      <w:r>
        <w:rPr>
          <w:spacing w:val="-2"/>
          <w:sz w:val="24"/>
        </w:rPr>
        <w:t> </w:t>
      </w:r>
      <w:r>
        <w:rPr>
          <w:sz w:val="24"/>
        </w:rPr>
        <w:t>of the IPE will be applied from the date a closed priority group is reopened.</w:t>
      </w:r>
    </w:p>
    <w:p>
      <w:pPr>
        <w:pStyle w:val="ListParagraph"/>
        <w:numPr>
          <w:ilvl w:val="0"/>
          <w:numId w:val="140"/>
        </w:numPr>
        <w:tabs>
          <w:tab w:pos="786" w:val="left" w:leader="none"/>
        </w:tabs>
        <w:spacing w:line="208" w:lineRule="auto" w:before="240" w:after="0"/>
        <w:ind w:left="360" w:right="764" w:firstLine="0"/>
        <w:jc w:val="left"/>
        <w:rPr>
          <w:sz w:val="24"/>
        </w:rPr>
      </w:pPr>
      <w:r>
        <w:rPr>
          <w:b/>
          <w:sz w:val="24"/>
        </w:rPr>
        <w:t>Vocational objective. </w:t>
      </w:r>
      <w:r>
        <w:rPr>
          <w:sz w:val="24"/>
        </w:rPr>
        <w:t>The primary purpose in providing vocational rehabilitation services is to assist an eligible individual obtain appropriate competitive employment in an integrated setting consistent with the individual's informed choice. The choice of a vocational</w:t>
      </w:r>
      <w:r>
        <w:rPr>
          <w:spacing w:val="-4"/>
          <w:sz w:val="24"/>
        </w:rPr>
        <w:t> </w:t>
      </w:r>
      <w:r>
        <w:rPr>
          <w:sz w:val="24"/>
        </w:rPr>
        <w:t>objective</w:t>
      </w:r>
      <w:r>
        <w:rPr>
          <w:spacing w:val="-4"/>
          <w:sz w:val="24"/>
        </w:rPr>
        <w:t> </w:t>
      </w:r>
      <w:r>
        <w:rPr>
          <w:sz w:val="24"/>
        </w:rPr>
        <w:t>for</w:t>
      </w:r>
      <w:r>
        <w:rPr>
          <w:spacing w:val="-3"/>
          <w:sz w:val="24"/>
        </w:rPr>
        <w:t> </w:t>
      </w:r>
      <w:r>
        <w:rPr>
          <w:sz w:val="24"/>
        </w:rPr>
        <w:t>an</w:t>
      </w:r>
      <w:r>
        <w:rPr>
          <w:spacing w:val="-4"/>
          <w:sz w:val="24"/>
        </w:rPr>
        <w:t> </w:t>
      </w:r>
      <w:r>
        <w:rPr>
          <w:sz w:val="24"/>
        </w:rPr>
        <w:t>individual</w:t>
      </w:r>
      <w:r>
        <w:rPr>
          <w:spacing w:val="-4"/>
          <w:sz w:val="24"/>
        </w:rPr>
        <w:t> </w:t>
      </w:r>
      <w:r>
        <w:rPr>
          <w:sz w:val="24"/>
        </w:rPr>
        <w:t>receiving</w:t>
      </w:r>
      <w:r>
        <w:rPr>
          <w:spacing w:val="-4"/>
          <w:sz w:val="24"/>
        </w:rPr>
        <w:t> </w:t>
      </w:r>
      <w:r>
        <w:rPr>
          <w:sz w:val="24"/>
        </w:rPr>
        <w:t>vocational</w:t>
      </w:r>
      <w:r>
        <w:rPr>
          <w:spacing w:val="-4"/>
          <w:sz w:val="24"/>
        </w:rPr>
        <w:t> </w:t>
      </w:r>
      <w:r>
        <w:rPr>
          <w:sz w:val="24"/>
        </w:rPr>
        <w:t>rehabilitation</w:t>
      </w:r>
      <w:r>
        <w:rPr>
          <w:spacing w:val="-4"/>
          <w:sz w:val="24"/>
        </w:rPr>
        <w:t> </w:t>
      </w:r>
      <w:r>
        <w:rPr>
          <w:sz w:val="24"/>
        </w:rPr>
        <w:t>services</w:t>
      </w:r>
      <w:r>
        <w:rPr>
          <w:spacing w:val="-4"/>
          <w:sz w:val="24"/>
        </w:rPr>
        <w:t> </w:t>
      </w:r>
      <w:r>
        <w:rPr>
          <w:sz w:val="24"/>
        </w:rPr>
        <w:t>must</w:t>
      </w:r>
      <w:r>
        <w:rPr>
          <w:spacing w:val="-3"/>
          <w:sz w:val="24"/>
        </w:rPr>
        <w:t> </w:t>
      </w:r>
      <w:r>
        <w:rPr>
          <w:sz w:val="24"/>
        </w:rPr>
        <w:t>be based primarily upon the individual's strengths, resources, priorities, concerns, abilities, interests and capabilities, consistent with the general goal of competitive integrated </w:t>
      </w:r>
      <w:r>
        <w:rPr>
          <w:spacing w:val="-2"/>
          <w:sz w:val="24"/>
        </w:rPr>
        <w:t>employment.</w:t>
      </w:r>
    </w:p>
    <w:p>
      <w:pPr>
        <w:pStyle w:val="ListParagraph"/>
        <w:numPr>
          <w:ilvl w:val="1"/>
          <w:numId w:val="140"/>
        </w:numPr>
        <w:tabs>
          <w:tab w:pos="1217" w:val="left" w:leader="none"/>
        </w:tabs>
        <w:spacing w:line="208" w:lineRule="auto" w:before="239" w:after="0"/>
        <w:ind w:left="792" w:right="729" w:firstLine="0"/>
        <w:jc w:val="left"/>
        <w:rPr>
          <w:sz w:val="24"/>
        </w:rPr>
      </w:pPr>
      <w:r>
        <w:rPr>
          <w:b/>
          <w:sz w:val="24"/>
        </w:rPr>
        <w:t>Informed choice. </w:t>
      </w:r>
      <w:r>
        <w:rPr>
          <w:sz w:val="24"/>
        </w:rPr>
        <w:t>The vocational objective is to be chosen with the full participation</w:t>
      </w:r>
      <w:r>
        <w:rPr>
          <w:spacing w:val="-4"/>
          <w:sz w:val="24"/>
        </w:rPr>
        <w:t> </w:t>
      </w:r>
      <w:r>
        <w:rPr>
          <w:sz w:val="24"/>
        </w:rPr>
        <w:t>of</w:t>
      </w:r>
      <w:r>
        <w:rPr>
          <w:spacing w:val="-3"/>
          <w:sz w:val="24"/>
        </w:rPr>
        <w:t> </w:t>
      </w:r>
      <w:r>
        <w:rPr>
          <w:sz w:val="24"/>
        </w:rPr>
        <w:t>the</w:t>
      </w:r>
      <w:r>
        <w:rPr>
          <w:spacing w:val="-4"/>
          <w:sz w:val="24"/>
        </w:rPr>
        <w:t> </w:t>
      </w:r>
      <w:r>
        <w:rPr>
          <w:sz w:val="24"/>
        </w:rPr>
        <w:t>client.</w:t>
      </w:r>
      <w:r>
        <w:rPr>
          <w:spacing w:val="-3"/>
          <w:sz w:val="24"/>
        </w:rPr>
        <w:t> </w:t>
      </w:r>
      <w:r>
        <w:rPr>
          <w:sz w:val="24"/>
        </w:rPr>
        <w:t>The</w:t>
      </w:r>
      <w:r>
        <w:rPr>
          <w:spacing w:val="-4"/>
          <w:sz w:val="24"/>
        </w:rPr>
        <w:t> </w:t>
      </w:r>
      <w:r>
        <w:rPr>
          <w:sz w:val="24"/>
        </w:rPr>
        <w:t>client's</w:t>
      </w:r>
      <w:r>
        <w:rPr>
          <w:spacing w:val="-4"/>
          <w:sz w:val="24"/>
        </w:rPr>
        <w:t> </w:t>
      </w:r>
      <w:r>
        <w:rPr>
          <w:sz w:val="24"/>
        </w:rPr>
        <w:t>interests</w:t>
      </w:r>
      <w:r>
        <w:rPr>
          <w:spacing w:val="-4"/>
          <w:sz w:val="24"/>
        </w:rPr>
        <w:t> </w:t>
      </w:r>
      <w:r>
        <w:rPr>
          <w:sz w:val="24"/>
        </w:rPr>
        <w:t>and</w:t>
      </w:r>
      <w:r>
        <w:rPr>
          <w:spacing w:val="-4"/>
          <w:sz w:val="24"/>
        </w:rPr>
        <w:t> </w:t>
      </w:r>
      <w:r>
        <w:rPr>
          <w:sz w:val="24"/>
        </w:rPr>
        <w:t>informed</w:t>
      </w:r>
      <w:r>
        <w:rPr>
          <w:spacing w:val="-4"/>
          <w:sz w:val="24"/>
        </w:rPr>
        <w:t> </w:t>
      </w:r>
      <w:r>
        <w:rPr>
          <w:sz w:val="24"/>
        </w:rPr>
        <w:t>choice</w:t>
      </w:r>
      <w:r>
        <w:rPr>
          <w:spacing w:val="-3"/>
          <w:sz w:val="24"/>
        </w:rPr>
        <w:t> </w:t>
      </w:r>
      <w:r>
        <w:rPr>
          <w:sz w:val="24"/>
        </w:rPr>
        <w:t>determine</w:t>
      </w:r>
      <w:r>
        <w:rPr>
          <w:spacing w:val="-5"/>
          <w:sz w:val="24"/>
        </w:rPr>
        <w:t> </w:t>
      </w:r>
      <w:r>
        <w:rPr>
          <w:sz w:val="24"/>
        </w:rPr>
        <w:t>his</w:t>
      </w:r>
      <w:r>
        <w:rPr>
          <w:spacing w:val="-4"/>
          <w:sz w:val="24"/>
        </w:rPr>
        <w:t> </w:t>
      </w:r>
      <w:r>
        <w:rPr>
          <w:sz w:val="24"/>
        </w:rPr>
        <w:t>or her vocational goal to the extent these factors are consistent with the client's strengths, resources, priorities, concerns, abilities, interests and capabilities.</w:t>
      </w:r>
    </w:p>
    <w:p>
      <w:pPr>
        <w:pStyle w:val="ListParagraph"/>
        <w:spacing w:after="0" w:line="208" w:lineRule="auto"/>
        <w:jc w:val="left"/>
        <w:rPr>
          <w:sz w:val="24"/>
        </w:rPr>
        <w:sectPr>
          <w:pgSz w:w="12240" w:h="15840"/>
          <w:pgMar w:top="1340" w:bottom="280" w:left="1080" w:right="720"/>
        </w:sectPr>
      </w:pPr>
    </w:p>
    <w:p>
      <w:pPr>
        <w:pStyle w:val="ListParagraph"/>
        <w:numPr>
          <w:ilvl w:val="1"/>
          <w:numId w:val="140"/>
        </w:numPr>
        <w:tabs>
          <w:tab w:pos="1218" w:val="left" w:leader="none"/>
        </w:tabs>
        <w:spacing w:line="208" w:lineRule="auto" w:before="96" w:after="0"/>
        <w:ind w:left="792" w:right="734" w:firstLine="0"/>
        <w:jc w:val="left"/>
        <w:rPr>
          <w:sz w:val="24"/>
        </w:rPr>
      </w:pPr>
      <w:r>
        <w:rPr>
          <w:b/>
          <w:sz w:val="24"/>
        </w:rPr>
        <w:t>External conditions. </w:t>
      </w:r>
      <w:r>
        <w:rPr>
          <w:sz w:val="24"/>
        </w:rPr>
        <w:t>Factors such as the local labor market or local economy must also</w:t>
      </w:r>
      <w:r>
        <w:rPr>
          <w:spacing w:val="-1"/>
          <w:sz w:val="24"/>
        </w:rPr>
        <w:t> </w:t>
      </w:r>
      <w:r>
        <w:rPr>
          <w:sz w:val="24"/>
        </w:rPr>
        <w:t>be</w:t>
      </w:r>
      <w:r>
        <w:rPr>
          <w:spacing w:val="-1"/>
          <w:sz w:val="24"/>
        </w:rPr>
        <w:t> </w:t>
      </w:r>
      <w:r>
        <w:rPr>
          <w:sz w:val="24"/>
        </w:rPr>
        <w:t>taken</w:t>
      </w:r>
      <w:r>
        <w:rPr>
          <w:spacing w:val="-1"/>
          <w:sz w:val="24"/>
        </w:rPr>
        <w:t> </w:t>
      </w:r>
      <w:r>
        <w:rPr>
          <w:sz w:val="24"/>
        </w:rPr>
        <w:t>into</w:t>
      </w:r>
      <w:r>
        <w:rPr>
          <w:spacing w:val="-1"/>
          <w:sz w:val="24"/>
        </w:rPr>
        <w:t> </w:t>
      </w:r>
      <w:r>
        <w:rPr>
          <w:sz w:val="24"/>
        </w:rPr>
        <w:t>consideration. However, in</w:t>
      </w:r>
      <w:r>
        <w:rPr>
          <w:spacing w:val="-1"/>
          <w:sz w:val="24"/>
        </w:rPr>
        <w:t> </w:t>
      </w:r>
      <w:r>
        <w:rPr>
          <w:sz w:val="24"/>
        </w:rPr>
        <w:t>most cases</w:t>
      </w:r>
      <w:r>
        <w:rPr>
          <w:spacing w:val="-1"/>
          <w:sz w:val="24"/>
        </w:rPr>
        <w:t> </w:t>
      </w:r>
      <w:r>
        <w:rPr>
          <w:sz w:val="24"/>
        </w:rPr>
        <w:t>these</w:t>
      </w:r>
      <w:r>
        <w:rPr>
          <w:spacing w:val="-1"/>
          <w:sz w:val="24"/>
        </w:rPr>
        <w:t> </w:t>
      </w:r>
      <w:r>
        <w:rPr>
          <w:sz w:val="24"/>
        </w:rPr>
        <w:t>factors</w:t>
      </w:r>
      <w:r>
        <w:rPr>
          <w:spacing w:val="-2"/>
          <w:sz w:val="24"/>
        </w:rPr>
        <w:t> </w:t>
      </w:r>
      <w:r>
        <w:rPr>
          <w:sz w:val="24"/>
        </w:rPr>
        <w:t>cannot be</w:t>
      </w:r>
      <w:r>
        <w:rPr>
          <w:spacing w:val="-3"/>
          <w:sz w:val="24"/>
        </w:rPr>
        <w:t> </w:t>
      </w:r>
      <w:r>
        <w:rPr>
          <w:sz w:val="24"/>
        </w:rPr>
        <w:t>used</w:t>
      </w:r>
      <w:r>
        <w:rPr>
          <w:spacing w:val="-3"/>
          <w:sz w:val="24"/>
        </w:rPr>
        <w:t> </w:t>
      </w:r>
      <w:r>
        <w:rPr>
          <w:sz w:val="24"/>
        </w:rPr>
        <w:t>as</w:t>
      </w:r>
      <w:r>
        <w:rPr>
          <w:spacing w:val="-3"/>
          <w:sz w:val="24"/>
        </w:rPr>
        <w:t> </w:t>
      </w:r>
      <w:r>
        <w:rPr>
          <w:sz w:val="24"/>
        </w:rPr>
        <w:t>the</w:t>
      </w:r>
      <w:r>
        <w:rPr>
          <w:spacing w:val="-3"/>
          <w:sz w:val="24"/>
        </w:rPr>
        <w:t> </w:t>
      </w:r>
      <w:r>
        <w:rPr>
          <w:sz w:val="24"/>
        </w:rPr>
        <w:t>only</w:t>
      </w:r>
      <w:r>
        <w:rPr>
          <w:spacing w:val="-3"/>
          <w:sz w:val="24"/>
        </w:rPr>
        <w:t> </w:t>
      </w:r>
      <w:r>
        <w:rPr>
          <w:sz w:val="24"/>
        </w:rPr>
        <w:t>basis</w:t>
      </w:r>
      <w:r>
        <w:rPr>
          <w:spacing w:val="-3"/>
          <w:sz w:val="24"/>
        </w:rPr>
        <w:t> </w:t>
      </w:r>
      <w:r>
        <w:rPr>
          <w:sz w:val="24"/>
        </w:rPr>
        <w:t>upon</w:t>
      </w:r>
      <w:r>
        <w:rPr>
          <w:spacing w:val="-2"/>
          <w:sz w:val="24"/>
        </w:rPr>
        <w:t> </w:t>
      </w:r>
      <w:r>
        <w:rPr>
          <w:sz w:val="24"/>
        </w:rPr>
        <w:t>which</w:t>
      </w:r>
      <w:r>
        <w:rPr>
          <w:spacing w:val="-3"/>
          <w:sz w:val="24"/>
        </w:rPr>
        <w:t> </w:t>
      </w:r>
      <w:r>
        <w:rPr>
          <w:sz w:val="24"/>
        </w:rPr>
        <w:t>to</w:t>
      </w:r>
      <w:r>
        <w:rPr>
          <w:spacing w:val="-3"/>
          <w:sz w:val="24"/>
        </w:rPr>
        <w:t> </w:t>
      </w:r>
      <w:r>
        <w:rPr>
          <w:sz w:val="24"/>
        </w:rPr>
        <w:t>determine</w:t>
      </w:r>
      <w:r>
        <w:rPr>
          <w:spacing w:val="-3"/>
          <w:sz w:val="24"/>
        </w:rPr>
        <w:t> </w:t>
      </w:r>
      <w:r>
        <w:rPr>
          <w:sz w:val="24"/>
        </w:rPr>
        <w:t>whether</w:t>
      </w:r>
      <w:r>
        <w:rPr>
          <w:spacing w:val="-2"/>
          <w:sz w:val="24"/>
        </w:rPr>
        <w:t> </w:t>
      </w:r>
      <w:r>
        <w:rPr>
          <w:sz w:val="24"/>
        </w:rPr>
        <w:t>a</w:t>
      </w:r>
      <w:r>
        <w:rPr>
          <w:spacing w:val="-3"/>
          <w:sz w:val="24"/>
        </w:rPr>
        <w:t> </w:t>
      </w:r>
      <w:r>
        <w:rPr>
          <w:sz w:val="24"/>
        </w:rPr>
        <w:t>vocational</w:t>
      </w:r>
      <w:r>
        <w:rPr>
          <w:spacing w:val="-3"/>
          <w:sz w:val="24"/>
        </w:rPr>
        <w:t> </w:t>
      </w:r>
      <w:r>
        <w:rPr>
          <w:sz w:val="24"/>
        </w:rPr>
        <w:t>objective</w:t>
      </w:r>
      <w:r>
        <w:rPr>
          <w:spacing w:val="-3"/>
          <w:sz w:val="24"/>
        </w:rPr>
        <w:t> </w:t>
      </w:r>
      <w:r>
        <w:rPr>
          <w:sz w:val="24"/>
        </w:rPr>
        <w:t>is </w:t>
      </w:r>
      <w:r>
        <w:rPr>
          <w:spacing w:val="-2"/>
          <w:sz w:val="24"/>
        </w:rPr>
        <w:t>appropriate.</w:t>
      </w:r>
    </w:p>
    <w:p>
      <w:pPr>
        <w:pStyle w:val="Heading2"/>
        <w:numPr>
          <w:ilvl w:val="0"/>
          <w:numId w:val="140"/>
        </w:numPr>
        <w:tabs>
          <w:tab w:pos="773" w:val="left" w:leader="none"/>
        </w:tabs>
        <w:spacing w:line="240" w:lineRule="auto" w:before="210" w:after="0"/>
        <w:ind w:left="773" w:right="0" w:hanging="413"/>
        <w:jc w:val="left"/>
      </w:pPr>
      <w:r>
        <w:rPr/>
        <w:t>General</w:t>
      </w:r>
      <w:r>
        <w:rPr>
          <w:spacing w:val="-5"/>
        </w:rPr>
        <w:t> </w:t>
      </w:r>
      <w:r>
        <w:rPr/>
        <w:t>requirements</w:t>
      </w:r>
      <w:r>
        <w:rPr>
          <w:spacing w:val="-4"/>
        </w:rPr>
        <w:t> </w:t>
      </w:r>
      <w:r>
        <w:rPr/>
        <w:t>for</w:t>
      </w:r>
      <w:r>
        <w:rPr>
          <w:spacing w:val="-5"/>
        </w:rPr>
        <w:t> </w:t>
      </w:r>
      <w:r>
        <w:rPr/>
        <w:t>the</w:t>
      </w:r>
      <w:r>
        <w:rPr>
          <w:spacing w:val="-3"/>
        </w:rPr>
        <w:t> </w:t>
      </w:r>
      <w:r>
        <w:rPr/>
        <w:t>Individualized</w:t>
      </w:r>
      <w:r>
        <w:rPr>
          <w:spacing w:val="-4"/>
        </w:rPr>
        <w:t> </w:t>
      </w:r>
      <w:r>
        <w:rPr/>
        <w:t>Plan</w:t>
      </w:r>
      <w:r>
        <w:rPr>
          <w:spacing w:val="-4"/>
        </w:rPr>
        <w:t> </w:t>
      </w:r>
      <w:r>
        <w:rPr/>
        <w:t>for</w:t>
      </w:r>
      <w:r>
        <w:rPr>
          <w:spacing w:val="-3"/>
        </w:rPr>
        <w:t> </w:t>
      </w:r>
      <w:r>
        <w:rPr>
          <w:spacing w:val="-2"/>
        </w:rPr>
        <w:t>Employment.</w:t>
      </w:r>
    </w:p>
    <w:p>
      <w:pPr>
        <w:pStyle w:val="ListParagraph"/>
        <w:numPr>
          <w:ilvl w:val="1"/>
          <w:numId w:val="140"/>
        </w:numPr>
        <w:tabs>
          <w:tab w:pos="1218" w:val="left" w:leader="none"/>
        </w:tabs>
        <w:spacing w:line="208" w:lineRule="auto" w:before="233" w:after="0"/>
        <w:ind w:left="792" w:right="720" w:firstLine="0"/>
        <w:jc w:val="left"/>
        <w:rPr>
          <w:sz w:val="24"/>
        </w:rPr>
      </w:pPr>
      <w:r>
        <w:rPr>
          <w:sz w:val="24"/>
        </w:rPr>
        <w:t>The IPE documents the client's chosen employment goal, and the planning of vocational rehabilitation services which are necessary to achieve a successful employment outcome. The client will be a full participant in the development of the IPE or any amendments consistent with Federal and State regulations, laws, and statutes. The eligible individual must be given the opportunity to exercise informed choice</w:t>
      </w:r>
      <w:r>
        <w:rPr>
          <w:spacing w:val="-4"/>
          <w:sz w:val="24"/>
        </w:rPr>
        <w:t> </w:t>
      </w:r>
      <w:r>
        <w:rPr>
          <w:sz w:val="24"/>
        </w:rPr>
        <w:t>in</w:t>
      </w:r>
      <w:r>
        <w:rPr>
          <w:spacing w:val="-4"/>
          <w:sz w:val="24"/>
        </w:rPr>
        <w:t> </w:t>
      </w:r>
      <w:r>
        <w:rPr>
          <w:sz w:val="24"/>
        </w:rPr>
        <w:t>selecting</w:t>
      </w:r>
      <w:r>
        <w:rPr>
          <w:spacing w:val="-4"/>
          <w:sz w:val="24"/>
        </w:rPr>
        <w:t> </w:t>
      </w:r>
      <w:r>
        <w:rPr>
          <w:sz w:val="24"/>
        </w:rPr>
        <w:t>an</w:t>
      </w:r>
      <w:r>
        <w:rPr>
          <w:spacing w:val="-3"/>
          <w:sz w:val="24"/>
        </w:rPr>
        <w:t> </w:t>
      </w:r>
      <w:r>
        <w:rPr>
          <w:sz w:val="24"/>
        </w:rPr>
        <w:t>employment</w:t>
      </w:r>
      <w:r>
        <w:rPr>
          <w:spacing w:val="-3"/>
          <w:sz w:val="24"/>
        </w:rPr>
        <w:t> </w:t>
      </w:r>
      <w:r>
        <w:rPr>
          <w:sz w:val="24"/>
        </w:rPr>
        <w:t>outcome,</w:t>
      </w:r>
      <w:r>
        <w:rPr>
          <w:spacing w:val="-3"/>
          <w:sz w:val="24"/>
        </w:rPr>
        <w:t> </w:t>
      </w:r>
      <w:r>
        <w:rPr>
          <w:sz w:val="24"/>
        </w:rPr>
        <w:t>the</w:t>
      </w:r>
      <w:r>
        <w:rPr>
          <w:spacing w:val="-4"/>
          <w:sz w:val="24"/>
        </w:rPr>
        <w:t> </w:t>
      </w:r>
      <w:r>
        <w:rPr>
          <w:sz w:val="24"/>
        </w:rPr>
        <w:t>specific</w:t>
      </w:r>
      <w:r>
        <w:rPr>
          <w:spacing w:val="-4"/>
          <w:sz w:val="24"/>
        </w:rPr>
        <w:t> </w:t>
      </w:r>
      <w:r>
        <w:rPr>
          <w:sz w:val="24"/>
        </w:rPr>
        <w:t>VR</w:t>
      </w:r>
      <w:r>
        <w:rPr>
          <w:spacing w:val="-4"/>
          <w:sz w:val="24"/>
        </w:rPr>
        <w:t> </w:t>
      </w:r>
      <w:r>
        <w:rPr>
          <w:sz w:val="24"/>
        </w:rPr>
        <w:t>services</w:t>
      </w:r>
      <w:r>
        <w:rPr>
          <w:spacing w:val="-4"/>
          <w:sz w:val="24"/>
        </w:rPr>
        <w:t> </w:t>
      </w:r>
      <w:r>
        <w:rPr>
          <w:sz w:val="24"/>
        </w:rPr>
        <w:t>to</w:t>
      </w:r>
      <w:r>
        <w:rPr>
          <w:spacing w:val="-4"/>
          <w:sz w:val="24"/>
        </w:rPr>
        <w:t> </w:t>
      </w:r>
      <w:r>
        <w:rPr>
          <w:sz w:val="24"/>
        </w:rPr>
        <w:t>be</w:t>
      </w:r>
      <w:r>
        <w:rPr>
          <w:spacing w:val="-4"/>
          <w:sz w:val="24"/>
        </w:rPr>
        <w:t> </w:t>
      </w:r>
      <w:r>
        <w:rPr>
          <w:sz w:val="24"/>
        </w:rPr>
        <w:t>provided under the plan, the service providers, and the methods for service delivery. For cases in an open priority group, the IPE must be agreed to and signed by the eligible</w:t>
      </w:r>
      <w:r>
        <w:rPr>
          <w:spacing w:val="-1"/>
          <w:sz w:val="24"/>
        </w:rPr>
        <w:t> </w:t>
      </w:r>
      <w:r>
        <w:rPr>
          <w:sz w:val="24"/>
        </w:rPr>
        <w:t>individual</w:t>
      </w:r>
      <w:r>
        <w:rPr>
          <w:spacing w:val="-1"/>
          <w:sz w:val="24"/>
        </w:rPr>
        <w:t> </w:t>
      </w:r>
      <w:r>
        <w:rPr>
          <w:sz w:val="24"/>
        </w:rPr>
        <w:t>or authorized</w:t>
      </w:r>
      <w:r>
        <w:rPr>
          <w:spacing w:val="-1"/>
          <w:sz w:val="24"/>
        </w:rPr>
        <w:t> </w:t>
      </w:r>
      <w:r>
        <w:rPr>
          <w:sz w:val="24"/>
        </w:rPr>
        <w:t>representative, approved</w:t>
      </w:r>
      <w:r>
        <w:rPr>
          <w:spacing w:val="-1"/>
          <w:sz w:val="24"/>
        </w:rPr>
        <w:t> </w:t>
      </w:r>
      <w:r>
        <w:rPr>
          <w:sz w:val="24"/>
        </w:rPr>
        <w:t>by</w:t>
      </w:r>
      <w:r>
        <w:rPr>
          <w:spacing w:val="-1"/>
          <w:sz w:val="24"/>
        </w:rPr>
        <w:t> </w:t>
      </w:r>
      <w:r>
        <w:rPr>
          <w:sz w:val="24"/>
        </w:rPr>
        <w:t>a</w:t>
      </w:r>
      <w:r>
        <w:rPr>
          <w:spacing w:val="-1"/>
          <w:sz w:val="24"/>
        </w:rPr>
        <w:t> </w:t>
      </w:r>
      <w:r>
        <w:rPr>
          <w:sz w:val="24"/>
        </w:rPr>
        <w:t>VR</w:t>
      </w:r>
      <w:r>
        <w:rPr>
          <w:spacing w:val="-1"/>
          <w:sz w:val="24"/>
        </w:rPr>
        <w:t> </w:t>
      </w:r>
      <w:r>
        <w:rPr>
          <w:sz w:val="24"/>
        </w:rPr>
        <w:t>counselor and, as appropriate, other administrators employed by DVR or DSBVI within 90 days of determination of eligibility, unless the individual or the authorized representative of the individual and the VR or SBVI counselor jointly agree to an extension of time of a</w:t>
      </w:r>
      <w:r>
        <w:rPr>
          <w:spacing w:val="-3"/>
          <w:sz w:val="24"/>
        </w:rPr>
        <w:t> </w:t>
      </w:r>
      <w:r>
        <w:rPr>
          <w:sz w:val="24"/>
        </w:rPr>
        <w:t>specific</w:t>
      </w:r>
      <w:r>
        <w:rPr>
          <w:spacing w:val="-3"/>
          <w:sz w:val="24"/>
        </w:rPr>
        <w:t> </w:t>
      </w:r>
      <w:r>
        <w:rPr>
          <w:sz w:val="24"/>
        </w:rPr>
        <w:t>duration.</w:t>
      </w:r>
      <w:r>
        <w:rPr>
          <w:spacing w:val="-2"/>
          <w:sz w:val="24"/>
        </w:rPr>
        <w:t> </w:t>
      </w:r>
      <w:r>
        <w:rPr>
          <w:sz w:val="24"/>
        </w:rPr>
        <w:t>To</w:t>
      </w:r>
      <w:r>
        <w:rPr>
          <w:spacing w:val="-3"/>
          <w:sz w:val="24"/>
        </w:rPr>
        <w:t> </w:t>
      </w:r>
      <w:r>
        <w:rPr>
          <w:sz w:val="24"/>
        </w:rPr>
        <w:t>the</w:t>
      </w:r>
      <w:r>
        <w:rPr>
          <w:spacing w:val="-3"/>
          <w:sz w:val="24"/>
        </w:rPr>
        <w:t> </w:t>
      </w:r>
      <w:r>
        <w:rPr>
          <w:sz w:val="24"/>
        </w:rPr>
        <w:t>maximum</w:t>
      </w:r>
      <w:r>
        <w:rPr>
          <w:spacing w:val="-2"/>
          <w:sz w:val="24"/>
        </w:rPr>
        <w:t> </w:t>
      </w:r>
      <w:r>
        <w:rPr>
          <w:sz w:val="24"/>
        </w:rPr>
        <w:t>extent</w:t>
      </w:r>
      <w:r>
        <w:rPr>
          <w:spacing w:val="-4"/>
          <w:sz w:val="24"/>
        </w:rPr>
        <w:t> </w:t>
      </w:r>
      <w:r>
        <w:rPr>
          <w:sz w:val="24"/>
        </w:rPr>
        <w:t>possible,</w:t>
      </w:r>
      <w:r>
        <w:rPr>
          <w:spacing w:val="-2"/>
          <w:sz w:val="24"/>
        </w:rPr>
        <w:t> </w:t>
      </w:r>
      <w:r>
        <w:rPr>
          <w:sz w:val="24"/>
        </w:rPr>
        <w:t>the</w:t>
      </w:r>
      <w:r>
        <w:rPr>
          <w:spacing w:val="-3"/>
          <w:sz w:val="24"/>
        </w:rPr>
        <w:t> </w:t>
      </w:r>
      <w:r>
        <w:rPr>
          <w:sz w:val="24"/>
        </w:rPr>
        <w:t>IPE</w:t>
      </w:r>
      <w:r>
        <w:rPr>
          <w:spacing w:val="-3"/>
          <w:sz w:val="24"/>
        </w:rPr>
        <w:t> </w:t>
      </w:r>
      <w:r>
        <w:rPr>
          <w:sz w:val="24"/>
        </w:rPr>
        <w:t>is</w:t>
      </w:r>
      <w:r>
        <w:rPr>
          <w:spacing w:val="-3"/>
          <w:sz w:val="24"/>
        </w:rPr>
        <w:t> </w:t>
      </w:r>
      <w:r>
        <w:rPr>
          <w:sz w:val="24"/>
        </w:rPr>
        <w:t>to</w:t>
      </w:r>
      <w:r>
        <w:rPr>
          <w:spacing w:val="-4"/>
          <w:sz w:val="24"/>
        </w:rPr>
        <w:t> </w:t>
      </w:r>
      <w:r>
        <w:rPr>
          <w:sz w:val="24"/>
        </w:rPr>
        <w:t>be</w:t>
      </w:r>
      <w:r>
        <w:rPr>
          <w:spacing w:val="-3"/>
          <w:sz w:val="24"/>
        </w:rPr>
        <w:t> </w:t>
      </w:r>
      <w:r>
        <w:rPr>
          <w:sz w:val="24"/>
        </w:rPr>
        <w:t>provided</w:t>
      </w:r>
      <w:r>
        <w:rPr>
          <w:spacing w:val="-3"/>
          <w:sz w:val="24"/>
        </w:rPr>
        <w:t> </w:t>
      </w:r>
      <w:r>
        <w:rPr>
          <w:sz w:val="24"/>
        </w:rPr>
        <w:t>in</w:t>
      </w:r>
      <w:r>
        <w:rPr>
          <w:spacing w:val="-3"/>
          <w:sz w:val="24"/>
        </w:rPr>
        <w:t> </w:t>
      </w:r>
      <w:r>
        <w:rPr>
          <w:sz w:val="24"/>
        </w:rPr>
        <w:t>the native language or mode of communication of the individual or, as appropriate, of a parent, family member, guardian, advocate, or authorized representative. It is also required the client receive a copy of the plan and any subsequent amendments.</w:t>
      </w:r>
    </w:p>
    <w:p>
      <w:pPr>
        <w:pStyle w:val="ListParagraph"/>
        <w:numPr>
          <w:ilvl w:val="1"/>
          <w:numId w:val="140"/>
        </w:numPr>
        <w:tabs>
          <w:tab w:pos="1218" w:val="left" w:leader="none"/>
        </w:tabs>
        <w:spacing w:line="208" w:lineRule="auto" w:before="239" w:after="0"/>
        <w:ind w:left="792" w:right="732" w:firstLine="0"/>
        <w:jc w:val="left"/>
        <w:rPr>
          <w:sz w:val="24"/>
        </w:rPr>
      </w:pPr>
      <w:r>
        <w:rPr>
          <w:sz w:val="24"/>
        </w:rPr>
        <w:t>The</w:t>
      </w:r>
      <w:r>
        <w:rPr>
          <w:spacing w:val="-5"/>
          <w:sz w:val="24"/>
        </w:rPr>
        <w:t> </w:t>
      </w:r>
      <w:r>
        <w:rPr>
          <w:sz w:val="24"/>
        </w:rPr>
        <w:t>IPE</w:t>
      </w:r>
      <w:r>
        <w:rPr>
          <w:spacing w:val="-4"/>
          <w:sz w:val="24"/>
        </w:rPr>
        <w:t> </w:t>
      </w:r>
      <w:r>
        <w:rPr>
          <w:sz w:val="24"/>
        </w:rPr>
        <w:t>is</w:t>
      </w:r>
      <w:r>
        <w:rPr>
          <w:spacing w:val="-4"/>
          <w:sz w:val="24"/>
        </w:rPr>
        <w:t> </w:t>
      </w:r>
      <w:r>
        <w:rPr>
          <w:sz w:val="24"/>
        </w:rPr>
        <w:t>subject</w:t>
      </w:r>
      <w:r>
        <w:rPr>
          <w:spacing w:val="-2"/>
          <w:sz w:val="24"/>
        </w:rPr>
        <w:t> </w:t>
      </w:r>
      <w:r>
        <w:rPr>
          <w:sz w:val="24"/>
        </w:rPr>
        <w:t>to</w:t>
      </w:r>
      <w:r>
        <w:rPr>
          <w:spacing w:val="-4"/>
          <w:sz w:val="24"/>
        </w:rPr>
        <w:t> </w:t>
      </w:r>
      <w:r>
        <w:rPr>
          <w:sz w:val="24"/>
        </w:rPr>
        <w:t>continuous</w:t>
      </w:r>
      <w:r>
        <w:rPr>
          <w:spacing w:val="-4"/>
          <w:sz w:val="24"/>
        </w:rPr>
        <w:t> </w:t>
      </w:r>
      <w:r>
        <w:rPr>
          <w:sz w:val="24"/>
        </w:rPr>
        <w:t>development</w:t>
      </w:r>
      <w:r>
        <w:rPr>
          <w:spacing w:val="-3"/>
          <w:sz w:val="24"/>
        </w:rPr>
        <w:t> </w:t>
      </w:r>
      <w:r>
        <w:rPr>
          <w:sz w:val="24"/>
        </w:rPr>
        <w:t>and</w:t>
      </w:r>
      <w:r>
        <w:rPr>
          <w:spacing w:val="-4"/>
          <w:sz w:val="24"/>
        </w:rPr>
        <w:t> </w:t>
      </w:r>
      <w:r>
        <w:rPr>
          <w:sz w:val="24"/>
        </w:rPr>
        <w:t>change.</w:t>
      </w:r>
      <w:r>
        <w:rPr>
          <w:spacing w:val="-3"/>
          <w:sz w:val="24"/>
        </w:rPr>
        <w:t> </w:t>
      </w:r>
      <w:r>
        <w:rPr>
          <w:sz w:val="24"/>
        </w:rPr>
        <w:t>Substantial</w:t>
      </w:r>
      <w:r>
        <w:rPr>
          <w:spacing w:val="-4"/>
          <w:sz w:val="24"/>
        </w:rPr>
        <w:t> </w:t>
      </w:r>
      <w:r>
        <w:rPr>
          <w:sz w:val="24"/>
        </w:rPr>
        <w:t>changes to the IPE are documented as amendments. A substantial change is broadly</w:t>
      </w:r>
      <w:r>
        <w:rPr>
          <w:spacing w:val="40"/>
          <w:sz w:val="24"/>
        </w:rPr>
        <w:t> </w:t>
      </w:r>
      <w:r>
        <w:rPr>
          <w:sz w:val="24"/>
        </w:rPr>
        <w:t>defined</w:t>
      </w:r>
      <w:r>
        <w:rPr>
          <w:spacing w:val="-2"/>
          <w:sz w:val="24"/>
        </w:rPr>
        <w:t> </w:t>
      </w:r>
      <w:r>
        <w:rPr>
          <w:sz w:val="24"/>
        </w:rPr>
        <w:t>as</w:t>
      </w:r>
      <w:r>
        <w:rPr>
          <w:spacing w:val="-2"/>
          <w:sz w:val="24"/>
        </w:rPr>
        <w:t> </w:t>
      </w:r>
      <w:r>
        <w:rPr>
          <w:sz w:val="24"/>
        </w:rPr>
        <w:t>any</w:t>
      </w:r>
      <w:r>
        <w:rPr>
          <w:spacing w:val="-2"/>
          <w:sz w:val="24"/>
        </w:rPr>
        <w:t> </w:t>
      </w:r>
      <w:r>
        <w:rPr>
          <w:sz w:val="24"/>
        </w:rPr>
        <w:t>change</w:t>
      </w:r>
      <w:r>
        <w:rPr>
          <w:spacing w:val="-2"/>
          <w:sz w:val="24"/>
        </w:rPr>
        <w:t> </w:t>
      </w:r>
      <w:r>
        <w:rPr>
          <w:sz w:val="24"/>
        </w:rPr>
        <w:t>in</w:t>
      </w:r>
      <w:r>
        <w:rPr>
          <w:spacing w:val="-2"/>
          <w:sz w:val="24"/>
        </w:rPr>
        <w:t> </w:t>
      </w:r>
      <w:r>
        <w:rPr>
          <w:sz w:val="24"/>
        </w:rPr>
        <w:t>the</w:t>
      </w:r>
      <w:r>
        <w:rPr>
          <w:spacing w:val="-2"/>
          <w:sz w:val="24"/>
        </w:rPr>
        <w:t> </w:t>
      </w:r>
      <w:r>
        <w:rPr>
          <w:sz w:val="24"/>
        </w:rPr>
        <w:t>employment</w:t>
      </w:r>
      <w:r>
        <w:rPr>
          <w:spacing w:val="-1"/>
          <w:sz w:val="24"/>
        </w:rPr>
        <w:t> </w:t>
      </w:r>
      <w:r>
        <w:rPr>
          <w:sz w:val="24"/>
        </w:rPr>
        <w:t>objective,</w:t>
      </w:r>
      <w:r>
        <w:rPr>
          <w:spacing w:val="-2"/>
          <w:sz w:val="24"/>
        </w:rPr>
        <w:t> </w:t>
      </w:r>
      <w:r>
        <w:rPr>
          <w:sz w:val="24"/>
        </w:rPr>
        <w:t>or</w:t>
      </w:r>
      <w:r>
        <w:rPr>
          <w:spacing w:val="-1"/>
          <w:sz w:val="24"/>
        </w:rPr>
        <w:t> </w:t>
      </w:r>
      <w:r>
        <w:rPr>
          <w:sz w:val="24"/>
        </w:rPr>
        <w:t>in</w:t>
      </w:r>
      <w:r>
        <w:rPr>
          <w:spacing w:val="-2"/>
          <w:sz w:val="24"/>
        </w:rPr>
        <w:t> </w:t>
      </w:r>
      <w:r>
        <w:rPr>
          <w:sz w:val="24"/>
        </w:rPr>
        <w:t>service</w:t>
      </w:r>
      <w:r>
        <w:rPr>
          <w:spacing w:val="-2"/>
          <w:sz w:val="24"/>
        </w:rPr>
        <w:t> </w:t>
      </w:r>
      <w:r>
        <w:rPr>
          <w:sz w:val="24"/>
        </w:rPr>
        <w:t>needs</w:t>
      </w:r>
      <w:r>
        <w:rPr>
          <w:spacing w:val="-2"/>
          <w:sz w:val="24"/>
        </w:rPr>
        <w:t> </w:t>
      </w:r>
      <w:r>
        <w:rPr>
          <w:sz w:val="24"/>
        </w:rPr>
        <w:t>or</w:t>
      </w:r>
      <w:r>
        <w:rPr>
          <w:spacing w:val="-2"/>
          <w:sz w:val="24"/>
        </w:rPr>
        <w:t> </w:t>
      </w:r>
      <w:r>
        <w:rPr>
          <w:sz w:val="24"/>
        </w:rPr>
        <w:t>available resources not accounted for in the original IPE or existing amendment(s). The amount of any client participation in the cost of a service will be based upon the determination of client's financial status completed at the time the relevant IPE or amendment is written, and is to be stated in the IPE or amendment. If services based upon financial status are included in the original IPE and/or in the amendment, a</w:t>
      </w:r>
      <w:r>
        <w:rPr>
          <w:spacing w:val="-1"/>
          <w:sz w:val="24"/>
        </w:rPr>
        <w:t> </w:t>
      </w:r>
      <w:r>
        <w:rPr>
          <w:sz w:val="24"/>
        </w:rPr>
        <w:t>new Financial Status Determination form</w:t>
      </w:r>
      <w:r>
        <w:rPr>
          <w:spacing w:val="-1"/>
          <w:sz w:val="24"/>
        </w:rPr>
        <w:t> </w:t>
      </w:r>
      <w:r>
        <w:rPr>
          <w:sz w:val="24"/>
        </w:rPr>
        <w:t>will be completed when the IPE is amended. A copy of any Amendment to an Individualized Plan for Employment will be given to the client, or client's authorized representative, as </w:t>
      </w:r>
      <w:r>
        <w:rPr>
          <w:spacing w:val="-2"/>
          <w:sz w:val="24"/>
        </w:rPr>
        <w:t>appropriate.</w:t>
      </w:r>
    </w:p>
    <w:p>
      <w:pPr>
        <w:pStyle w:val="ListParagraph"/>
        <w:numPr>
          <w:ilvl w:val="1"/>
          <w:numId w:val="140"/>
        </w:numPr>
        <w:tabs>
          <w:tab w:pos="1286" w:val="left" w:leader="none"/>
        </w:tabs>
        <w:spacing w:line="208" w:lineRule="auto" w:before="239" w:after="0"/>
        <w:ind w:left="792" w:right="1480" w:firstLine="0"/>
        <w:jc w:val="left"/>
        <w:rPr>
          <w:sz w:val="24"/>
        </w:rPr>
      </w:pPr>
      <w:r>
        <w:rPr>
          <w:sz w:val="24"/>
        </w:rPr>
        <w:t>Diagnosis</w:t>
      </w:r>
      <w:r>
        <w:rPr>
          <w:spacing w:val="-3"/>
          <w:sz w:val="24"/>
        </w:rPr>
        <w:t> </w:t>
      </w:r>
      <w:r>
        <w:rPr>
          <w:sz w:val="24"/>
        </w:rPr>
        <w:t>related</w:t>
      </w:r>
      <w:r>
        <w:rPr>
          <w:spacing w:val="-2"/>
          <w:sz w:val="24"/>
        </w:rPr>
        <w:t> </w:t>
      </w:r>
      <w:r>
        <w:rPr>
          <w:sz w:val="24"/>
        </w:rPr>
        <w:t>to</w:t>
      </w:r>
      <w:r>
        <w:rPr>
          <w:spacing w:val="-3"/>
          <w:sz w:val="24"/>
        </w:rPr>
        <w:t> </w:t>
      </w:r>
      <w:r>
        <w:rPr>
          <w:sz w:val="24"/>
        </w:rPr>
        <w:t>eligibility</w:t>
      </w:r>
      <w:r>
        <w:rPr>
          <w:spacing w:val="-3"/>
          <w:sz w:val="24"/>
        </w:rPr>
        <w:t> </w:t>
      </w:r>
      <w:r>
        <w:rPr>
          <w:sz w:val="24"/>
        </w:rPr>
        <w:t>or</w:t>
      </w:r>
      <w:r>
        <w:rPr>
          <w:spacing w:val="-2"/>
          <w:sz w:val="24"/>
        </w:rPr>
        <w:t> </w:t>
      </w:r>
      <w:r>
        <w:rPr>
          <w:sz w:val="24"/>
        </w:rPr>
        <w:t>the</w:t>
      </w:r>
      <w:r>
        <w:rPr>
          <w:spacing w:val="-4"/>
          <w:sz w:val="24"/>
        </w:rPr>
        <w:t> </w:t>
      </w:r>
      <w:r>
        <w:rPr>
          <w:sz w:val="24"/>
        </w:rPr>
        <w:t>IPE</w:t>
      </w:r>
      <w:r>
        <w:rPr>
          <w:spacing w:val="-3"/>
          <w:sz w:val="24"/>
        </w:rPr>
        <w:t> </w:t>
      </w:r>
      <w:r>
        <w:rPr>
          <w:sz w:val="24"/>
        </w:rPr>
        <w:t>can</w:t>
      </w:r>
      <w:r>
        <w:rPr>
          <w:spacing w:val="-3"/>
          <w:sz w:val="24"/>
        </w:rPr>
        <w:t> </w:t>
      </w:r>
      <w:r>
        <w:rPr>
          <w:sz w:val="24"/>
        </w:rPr>
        <w:t>be</w:t>
      </w:r>
      <w:r>
        <w:rPr>
          <w:spacing w:val="-3"/>
          <w:sz w:val="24"/>
        </w:rPr>
        <w:t> </w:t>
      </w:r>
      <w:r>
        <w:rPr>
          <w:sz w:val="24"/>
        </w:rPr>
        <w:t>provided</w:t>
      </w:r>
      <w:r>
        <w:rPr>
          <w:spacing w:val="-3"/>
          <w:sz w:val="24"/>
        </w:rPr>
        <w:t> </w:t>
      </w:r>
      <w:r>
        <w:rPr>
          <w:sz w:val="24"/>
        </w:rPr>
        <w:t>at</w:t>
      </w:r>
      <w:r>
        <w:rPr>
          <w:spacing w:val="-2"/>
          <w:sz w:val="24"/>
        </w:rPr>
        <w:t> </w:t>
      </w:r>
      <w:r>
        <w:rPr>
          <w:sz w:val="24"/>
        </w:rPr>
        <w:t>any</w:t>
      </w:r>
      <w:r>
        <w:rPr>
          <w:spacing w:val="-3"/>
          <w:sz w:val="24"/>
        </w:rPr>
        <w:t> </w:t>
      </w:r>
      <w:r>
        <w:rPr>
          <w:sz w:val="24"/>
        </w:rPr>
        <w:t>time</w:t>
      </w:r>
      <w:r>
        <w:rPr>
          <w:spacing w:val="-3"/>
          <w:sz w:val="24"/>
        </w:rPr>
        <w:t> </w:t>
      </w:r>
      <w:r>
        <w:rPr>
          <w:sz w:val="24"/>
        </w:rPr>
        <w:t>it</w:t>
      </w:r>
      <w:r>
        <w:rPr>
          <w:spacing w:val="-2"/>
          <w:sz w:val="24"/>
        </w:rPr>
        <w:t> </w:t>
      </w:r>
      <w:r>
        <w:rPr>
          <w:sz w:val="24"/>
        </w:rPr>
        <w:t>is necessary during the life of the case.</w:t>
      </w:r>
    </w:p>
    <w:p>
      <w:pPr>
        <w:pStyle w:val="ListParagraph"/>
        <w:numPr>
          <w:ilvl w:val="1"/>
          <w:numId w:val="140"/>
        </w:numPr>
        <w:tabs>
          <w:tab w:pos="1218" w:val="left" w:leader="none"/>
        </w:tabs>
        <w:spacing w:line="208" w:lineRule="auto" w:before="239" w:after="0"/>
        <w:ind w:left="792" w:right="1627" w:firstLine="0"/>
        <w:jc w:val="left"/>
        <w:rPr>
          <w:sz w:val="24"/>
        </w:rPr>
      </w:pPr>
      <w:r>
        <w:rPr>
          <w:sz w:val="24"/>
        </w:rPr>
        <w:t>An</w:t>
      </w:r>
      <w:r>
        <w:rPr>
          <w:spacing w:val="-5"/>
          <w:sz w:val="24"/>
        </w:rPr>
        <w:t> </w:t>
      </w:r>
      <w:r>
        <w:rPr>
          <w:sz w:val="24"/>
        </w:rPr>
        <w:t>IPE</w:t>
      </w:r>
      <w:r>
        <w:rPr>
          <w:spacing w:val="-4"/>
          <w:sz w:val="24"/>
        </w:rPr>
        <w:t> </w:t>
      </w:r>
      <w:r>
        <w:rPr>
          <w:sz w:val="24"/>
        </w:rPr>
        <w:t>is</w:t>
      </w:r>
      <w:r>
        <w:rPr>
          <w:spacing w:val="-4"/>
          <w:sz w:val="24"/>
        </w:rPr>
        <w:t> </w:t>
      </w:r>
      <w:r>
        <w:rPr>
          <w:sz w:val="24"/>
        </w:rPr>
        <w:t>not</w:t>
      </w:r>
      <w:r>
        <w:rPr>
          <w:spacing w:val="-3"/>
          <w:sz w:val="24"/>
        </w:rPr>
        <w:t> </w:t>
      </w:r>
      <w:r>
        <w:rPr>
          <w:sz w:val="24"/>
        </w:rPr>
        <w:t>considered</w:t>
      </w:r>
      <w:r>
        <w:rPr>
          <w:spacing w:val="-4"/>
          <w:sz w:val="24"/>
        </w:rPr>
        <w:t> </w:t>
      </w:r>
      <w:r>
        <w:rPr>
          <w:sz w:val="24"/>
        </w:rPr>
        <w:t>in</w:t>
      </w:r>
      <w:r>
        <w:rPr>
          <w:spacing w:val="-4"/>
          <w:sz w:val="24"/>
        </w:rPr>
        <w:t> </w:t>
      </w:r>
      <w:r>
        <w:rPr>
          <w:sz w:val="24"/>
        </w:rPr>
        <w:t>effect</w:t>
      </w:r>
      <w:r>
        <w:rPr>
          <w:spacing w:val="-3"/>
          <w:sz w:val="24"/>
        </w:rPr>
        <w:t> </w:t>
      </w:r>
      <w:r>
        <w:rPr>
          <w:sz w:val="24"/>
        </w:rPr>
        <w:t>until</w:t>
      </w:r>
      <w:r>
        <w:rPr>
          <w:spacing w:val="-4"/>
          <w:sz w:val="24"/>
        </w:rPr>
        <w:t> </w:t>
      </w:r>
      <w:r>
        <w:rPr>
          <w:sz w:val="24"/>
        </w:rPr>
        <w:t>all</w:t>
      </w:r>
      <w:r>
        <w:rPr>
          <w:spacing w:val="-4"/>
          <w:sz w:val="24"/>
        </w:rPr>
        <w:t> </w:t>
      </w:r>
      <w:r>
        <w:rPr>
          <w:sz w:val="24"/>
        </w:rPr>
        <w:t>required</w:t>
      </w:r>
      <w:r>
        <w:rPr>
          <w:spacing w:val="-4"/>
          <w:sz w:val="24"/>
        </w:rPr>
        <w:t> </w:t>
      </w:r>
      <w:r>
        <w:rPr>
          <w:sz w:val="24"/>
        </w:rPr>
        <w:t>approvals</w:t>
      </w:r>
      <w:r>
        <w:rPr>
          <w:spacing w:val="-4"/>
          <w:sz w:val="24"/>
        </w:rPr>
        <w:t> </w:t>
      </w:r>
      <w:r>
        <w:rPr>
          <w:sz w:val="24"/>
        </w:rPr>
        <w:t>have</w:t>
      </w:r>
      <w:r>
        <w:rPr>
          <w:spacing w:val="-4"/>
          <w:sz w:val="24"/>
        </w:rPr>
        <w:t> </w:t>
      </w:r>
      <w:r>
        <w:rPr>
          <w:sz w:val="24"/>
        </w:rPr>
        <w:t>been obtained in accordance with Department policy.</w:t>
      </w:r>
    </w:p>
    <w:p>
      <w:pPr>
        <w:pStyle w:val="ListParagraph"/>
        <w:numPr>
          <w:ilvl w:val="1"/>
          <w:numId w:val="140"/>
        </w:numPr>
        <w:tabs>
          <w:tab w:pos="1218" w:val="left" w:leader="none"/>
        </w:tabs>
        <w:spacing w:line="208" w:lineRule="auto" w:before="240" w:after="0"/>
        <w:ind w:left="792" w:right="722" w:firstLine="0"/>
        <w:jc w:val="left"/>
        <w:rPr>
          <w:sz w:val="24"/>
        </w:rPr>
      </w:pPr>
      <w:r>
        <w:rPr>
          <w:sz w:val="24"/>
        </w:rPr>
        <w:t>Plan</w:t>
      </w:r>
      <w:r>
        <w:rPr>
          <w:spacing w:val="-3"/>
          <w:sz w:val="24"/>
        </w:rPr>
        <w:t> </w:t>
      </w:r>
      <w:r>
        <w:rPr>
          <w:sz w:val="24"/>
        </w:rPr>
        <w:t>reviews</w:t>
      </w:r>
      <w:r>
        <w:rPr>
          <w:spacing w:val="-3"/>
          <w:sz w:val="24"/>
        </w:rPr>
        <w:t> </w:t>
      </w:r>
      <w:r>
        <w:rPr>
          <w:sz w:val="24"/>
        </w:rPr>
        <w:t>are</w:t>
      </w:r>
      <w:r>
        <w:rPr>
          <w:spacing w:val="-3"/>
          <w:sz w:val="24"/>
        </w:rPr>
        <w:t> </w:t>
      </w:r>
      <w:r>
        <w:rPr>
          <w:sz w:val="24"/>
        </w:rPr>
        <w:t>comprehensive</w:t>
      </w:r>
      <w:r>
        <w:rPr>
          <w:spacing w:val="-3"/>
          <w:sz w:val="24"/>
        </w:rPr>
        <w:t> </w:t>
      </w:r>
      <w:r>
        <w:rPr>
          <w:sz w:val="24"/>
        </w:rPr>
        <w:t>reviews</w:t>
      </w:r>
      <w:r>
        <w:rPr>
          <w:spacing w:val="-3"/>
          <w:sz w:val="24"/>
        </w:rPr>
        <w:t> </w:t>
      </w:r>
      <w:r>
        <w:rPr>
          <w:sz w:val="24"/>
        </w:rPr>
        <w:t>of</w:t>
      </w:r>
      <w:r>
        <w:rPr>
          <w:spacing w:val="-4"/>
          <w:sz w:val="24"/>
        </w:rPr>
        <w:t> </w:t>
      </w:r>
      <w:r>
        <w:rPr>
          <w:sz w:val="24"/>
        </w:rPr>
        <w:t>the</w:t>
      </w:r>
      <w:r>
        <w:rPr>
          <w:spacing w:val="-3"/>
          <w:sz w:val="24"/>
        </w:rPr>
        <w:t> </w:t>
      </w:r>
      <w:r>
        <w:rPr>
          <w:sz w:val="24"/>
        </w:rPr>
        <w:t>entire</w:t>
      </w:r>
      <w:r>
        <w:rPr>
          <w:spacing w:val="-3"/>
          <w:sz w:val="24"/>
        </w:rPr>
        <w:t> </w:t>
      </w:r>
      <w:r>
        <w:rPr>
          <w:sz w:val="24"/>
        </w:rPr>
        <w:t>IPE.</w:t>
      </w:r>
      <w:r>
        <w:rPr>
          <w:spacing w:val="-3"/>
          <w:sz w:val="24"/>
        </w:rPr>
        <w:t> </w:t>
      </w:r>
      <w:r>
        <w:rPr>
          <w:sz w:val="24"/>
        </w:rPr>
        <w:t>A</w:t>
      </w:r>
      <w:r>
        <w:rPr>
          <w:spacing w:val="-3"/>
          <w:sz w:val="24"/>
        </w:rPr>
        <w:t> </w:t>
      </w:r>
      <w:r>
        <w:rPr>
          <w:sz w:val="24"/>
        </w:rPr>
        <w:t>plan</w:t>
      </w:r>
      <w:r>
        <w:rPr>
          <w:spacing w:val="-3"/>
          <w:sz w:val="24"/>
        </w:rPr>
        <w:t> </w:t>
      </w:r>
      <w:r>
        <w:rPr>
          <w:sz w:val="24"/>
        </w:rPr>
        <w:t>review</w:t>
      </w:r>
      <w:r>
        <w:rPr>
          <w:spacing w:val="-3"/>
          <w:sz w:val="24"/>
        </w:rPr>
        <w:t> </w:t>
      </w:r>
      <w:r>
        <w:rPr>
          <w:sz w:val="24"/>
        </w:rPr>
        <w:t>can</w:t>
      </w:r>
      <w:r>
        <w:rPr>
          <w:spacing w:val="-3"/>
          <w:sz w:val="24"/>
        </w:rPr>
        <w:t> </w:t>
      </w:r>
      <w:r>
        <w:rPr>
          <w:sz w:val="24"/>
        </w:rPr>
        <w:t>be done at any time, but must be done at least annually. The client must be given the opportunity to review the plan and, if necessary, participate in its redevelopment</w:t>
      </w:r>
      <w:r>
        <w:rPr>
          <w:spacing w:val="40"/>
          <w:sz w:val="24"/>
        </w:rPr>
        <w:t> </w:t>
      </w:r>
      <w:r>
        <w:rPr>
          <w:sz w:val="24"/>
        </w:rPr>
        <w:t>and agree to its terms.</w:t>
      </w:r>
      <w:r>
        <w:rPr>
          <w:spacing w:val="-1"/>
          <w:sz w:val="24"/>
        </w:rPr>
        <w:t> </w:t>
      </w:r>
      <w:r>
        <w:rPr>
          <w:sz w:val="24"/>
        </w:rPr>
        <w:t>A financial status determination will be completed at the time of plan review when the IPE includes services based upon client's financial status.</w:t>
      </w:r>
    </w:p>
    <w:p>
      <w:pPr>
        <w:pStyle w:val="ListParagraph"/>
        <w:numPr>
          <w:ilvl w:val="0"/>
          <w:numId w:val="140"/>
        </w:numPr>
        <w:tabs>
          <w:tab w:pos="786" w:val="left" w:leader="none"/>
        </w:tabs>
        <w:spacing w:line="208" w:lineRule="auto" w:before="240" w:after="0"/>
        <w:ind w:left="360" w:right="944" w:firstLine="0"/>
        <w:jc w:val="left"/>
        <w:rPr>
          <w:sz w:val="24"/>
        </w:rPr>
      </w:pPr>
      <w:r>
        <w:rPr>
          <w:b/>
          <w:sz w:val="24"/>
        </w:rPr>
        <w:t>Content</w:t>
      </w:r>
      <w:r>
        <w:rPr>
          <w:b/>
          <w:spacing w:val="-4"/>
          <w:sz w:val="24"/>
        </w:rPr>
        <w:t> </w:t>
      </w:r>
      <w:r>
        <w:rPr>
          <w:b/>
          <w:sz w:val="24"/>
        </w:rPr>
        <w:t>of</w:t>
      </w:r>
      <w:r>
        <w:rPr>
          <w:b/>
          <w:spacing w:val="-5"/>
          <w:sz w:val="24"/>
        </w:rPr>
        <w:t> </w:t>
      </w:r>
      <w:r>
        <w:rPr>
          <w:b/>
          <w:sz w:val="24"/>
        </w:rPr>
        <w:t>the</w:t>
      </w:r>
      <w:r>
        <w:rPr>
          <w:b/>
          <w:spacing w:val="-4"/>
          <w:sz w:val="24"/>
        </w:rPr>
        <w:t> </w:t>
      </w:r>
      <w:r>
        <w:rPr>
          <w:b/>
          <w:sz w:val="24"/>
        </w:rPr>
        <w:t>Individualized</w:t>
      </w:r>
      <w:r>
        <w:rPr>
          <w:b/>
          <w:spacing w:val="-4"/>
          <w:sz w:val="24"/>
        </w:rPr>
        <w:t> </w:t>
      </w:r>
      <w:r>
        <w:rPr>
          <w:b/>
          <w:sz w:val="24"/>
        </w:rPr>
        <w:t>Plan</w:t>
      </w:r>
      <w:r>
        <w:rPr>
          <w:b/>
          <w:spacing w:val="-4"/>
          <w:sz w:val="24"/>
        </w:rPr>
        <w:t> </w:t>
      </w:r>
      <w:r>
        <w:rPr>
          <w:b/>
          <w:sz w:val="24"/>
        </w:rPr>
        <w:t>for</w:t>
      </w:r>
      <w:r>
        <w:rPr>
          <w:b/>
          <w:spacing w:val="-5"/>
          <w:sz w:val="24"/>
        </w:rPr>
        <w:t> </w:t>
      </w:r>
      <w:r>
        <w:rPr>
          <w:b/>
          <w:sz w:val="24"/>
        </w:rPr>
        <w:t>Employment.</w:t>
      </w:r>
      <w:r>
        <w:rPr>
          <w:b/>
          <w:spacing w:val="-4"/>
          <w:sz w:val="24"/>
        </w:rPr>
        <w:t> </w:t>
      </w:r>
      <w:r>
        <w:rPr>
          <w:sz w:val="24"/>
        </w:rPr>
        <w:t>The</w:t>
      </w:r>
      <w:r>
        <w:rPr>
          <w:spacing w:val="-4"/>
          <w:sz w:val="24"/>
        </w:rPr>
        <w:t> </w:t>
      </w:r>
      <w:r>
        <w:rPr>
          <w:sz w:val="24"/>
        </w:rPr>
        <w:t>Individualized</w:t>
      </w:r>
      <w:r>
        <w:rPr>
          <w:spacing w:val="-4"/>
          <w:sz w:val="24"/>
        </w:rPr>
        <w:t> </w:t>
      </w:r>
      <w:r>
        <w:rPr>
          <w:sz w:val="24"/>
        </w:rPr>
        <w:t>Plan</w:t>
      </w:r>
      <w:r>
        <w:rPr>
          <w:spacing w:val="-4"/>
          <w:sz w:val="24"/>
        </w:rPr>
        <w:t> </w:t>
      </w:r>
      <w:r>
        <w:rPr>
          <w:sz w:val="24"/>
        </w:rPr>
        <w:t>for Employment must include:</w:t>
      </w:r>
    </w:p>
    <w:p>
      <w:pPr>
        <w:pStyle w:val="ListParagraph"/>
        <w:numPr>
          <w:ilvl w:val="1"/>
          <w:numId w:val="140"/>
        </w:numPr>
        <w:tabs>
          <w:tab w:pos="1217" w:val="left" w:leader="none"/>
        </w:tabs>
        <w:spacing w:line="208" w:lineRule="auto" w:before="240" w:after="0"/>
        <w:ind w:left="791" w:right="1069" w:firstLine="0"/>
        <w:jc w:val="left"/>
        <w:rPr>
          <w:sz w:val="24"/>
        </w:rPr>
      </w:pPr>
      <w:r>
        <w:rPr>
          <w:sz w:val="24"/>
        </w:rPr>
        <w:t>a</w:t>
      </w:r>
      <w:r>
        <w:rPr>
          <w:spacing w:val="-5"/>
          <w:sz w:val="24"/>
        </w:rPr>
        <w:t> </w:t>
      </w:r>
      <w:r>
        <w:rPr>
          <w:sz w:val="24"/>
        </w:rPr>
        <w:t>description</w:t>
      </w:r>
      <w:r>
        <w:rPr>
          <w:spacing w:val="-4"/>
          <w:sz w:val="24"/>
        </w:rPr>
        <w:t> </w:t>
      </w:r>
      <w:r>
        <w:rPr>
          <w:sz w:val="24"/>
        </w:rPr>
        <w:t>of</w:t>
      </w:r>
      <w:r>
        <w:rPr>
          <w:spacing w:val="-3"/>
          <w:sz w:val="24"/>
        </w:rPr>
        <w:t> </w:t>
      </w:r>
      <w:r>
        <w:rPr>
          <w:sz w:val="24"/>
        </w:rPr>
        <w:t>the</w:t>
      </w:r>
      <w:r>
        <w:rPr>
          <w:spacing w:val="-4"/>
          <w:sz w:val="24"/>
        </w:rPr>
        <w:t> </w:t>
      </w:r>
      <w:r>
        <w:rPr>
          <w:sz w:val="24"/>
        </w:rPr>
        <w:t>specific</w:t>
      </w:r>
      <w:r>
        <w:rPr>
          <w:spacing w:val="-4"/>
          <w:sz w:val="24"/>
        </w:rPr>
        <w:t> </w:t>
      </w:r>
      <w:r>
        <w:rPr>
          <w:sz w:val="24"/>
        </w:rPr>
        <w:t>employment</w:t>
      </w:r>
      <w:r>
        <w:rPr>
          <w:spacing w:val="-3"/>
          <w:sz w:val="24"/>
        </w:rPr>
        <w:t> </w:t>
      </w:r>
      <w:r>
        <w:rPr>
          <w:sz w:val="24"/>
        </w:rPr>
        <w:t>outcome</w:t>
      </w:r>
      <w:r>
        <w:rPr>
          <w:spacing w:val="-4"/>
          <w:sz w:val="24"/>
        </w:rPr>
        <w:t> </w:t>
      </w:r>
      <w:r>
        <w:rPr>
          <w:sz w:val="24"/>
        </w:rPr>
        <w:t>that</w:t>
      </w:r>
      <w:r>
        <w:rPr>
          <w:spacing w:val="-3"/>
          <w:sz w:val="24"/>
        </w:rPr>
        <w:t> </w:t>
      </w:r>
      <w:r>
        <w:rPr>
          <w:sz w:val="24"/>
        </w:rPr>
        <w:t>is</w:t>
      </w:r>
      <w:r>
        <w:rPr>
          <w:spacing w:val="-4"/>
          <w:sz w:val="24"/>
        </w:rPr>
        <w:t> </w:t>
      </w:r>
      <w:r>
        <w:rPr>
          <w:sz w:val="24"/>
        </w:rPr>
        <w:t>chosen</w:t>
      </w:r>
      <w:r>
        <w:rPr>
          <w:spacing w:val="-4"/>
          <w:sz w:val="24"/>
        </w:rPr>
        <w:t> </w:t>
      </w:r>
      <w:r>
        <w:rPr>
          <w:sz w:val="24"/>
        </w:rPr>
        <w:t>by</w:t>
      </w:r>
      <w:r>
        <w:rPr>
          <w:spacing w:val="-4"/>
          <w:sz w:val="24"/>
        </w:rPr>
        <w:t> </w:t>
      </w:r>
      <w:r>
        <w:rPr>
          <w:sz w:val="24"/>
        </w:rPr>
        <w:t>the</w:t>
      </w:r>
      <w:r>
        <w:rPr>
          <w:spacing w:val="-4"/>
          <w:sz w:val="24"/>
        </w:rPr>
        <w:t> </w:t>
      </w:r>
      <w:r>
        <w:rPr>
          <w:sz w:val="24"/>
        </w:rPr>
        <w:t>client consistent with the individual's unique strengths, resources, priorities, concerns,</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791" w:right="769"/>
      </w:pPr>
      <w:r>
        <w:rPr/>
        <w:t>abilities,</w:t>
      </w:r>
      <w:r>
        <w:rPr>
          <w:spacing w:val="-4"/>
        </w:rPr>
        <w:t> </w:t>
      </w:r>
      <w:r>
        <w:rPr/>
        <w:t>capabilities,</w:t>
      </w:r>
      <w:r>
        <w:rPr>
          <w:spacing w:val="-4"/>
        </w:rPr>
        <w:t> </w:t>
      </w:r>
      <w:r>
        <w:rPr/>
        <w:t>interests,</w:t>
      </w:r>
      <w:r>
        <w:rPr>
          <w:spacing w:val="-4"/>
        </w:rPr>
        <w:t> </w:t>
      </w:r>
      <w:r>
        <w:rPr/>
        <w:t>and</w:t>
      </w:r>
      <w:r>
        <w:rPr>
          <w:spacing w:val="-5"/>
        </w:rPr>
        <w:t> </w:t>
      </w:r>
      <w:r>
        <w:rPr/>
        <w:t>informed</w:t>
      </w:r>
      <w:r>
        <w:rPr>
          <w:spacing w:val="-5"/>
        </w:rPr>
        <w:t> </w:t>
      </w:r>
      <w:r>
        <w:rPr/>
        <w:t>choice</w:t>
      </w:r>
      <w:r>
        <w:rPr>
          <w:spacing w:val="-5"/>
        </w:rPr>
        <w:t> </w:t>
      </w:r>
      <w:r>
        <w:rPr/>
        <w:t>consistent</w:t>
      </w:r>
      <w:r>
        <w:rPr>
          <w:spacing w:val="-4"/>
        </w:rPr>
        <w:t> </w:t>
      </w:r>
      <w:r>
        <w:rPr/>
        <w:t>with</w:t>
      </w:r>
      <w:r>
        <w:rPr>
          <w:spacing w:val="-5"/>
        </w:rPr>
        <w:t> </w:t>
      </w:r>
      <w:r>
        <w:rPr/>
        <w:t>the</w:t>
      </w:r>
      <w:r>
        <w:rPr>
          <w:spacing w:val="-5"/>
        </w:rPr>
        <w:t> </w:t>
      </w:r>
      <w:r>
        <w:rPr/>
        <w:t>general</w:t>
      </w:r>
      <w:r>
        <w:rPr>
          <w:spacing w:val="-5"/>
        </w:rPr>
        <w:t> </w:t>
      </w:r>
      <w:r>
        <w:rPr/>
        <w:t>goal of competitive integrated employment (except that in the case of a student or a youth with a disability, the description may be a description of the individual's projected post-school employment outcome), and the estimated timeframe for the achievement of the employment outcome;</w:t>
      </w:r>
    </w:p>
    <w:p>
      <w:pPr>
        <w:pStyle w:val="ListParagraph"/>
        <w:numPr>
          <w:ilvl w:val="1"/>
          <w:numId w:val="140"/>
        </w:numPr>
        <w:tabs>
          <w:tab w:pos="1217" w:val="left" w:leader="none"/>
        </w:tabs>
        <w:spacing w:line="240" w:lineRule="auto" w:before="210" w:after="0"/>
        <w:ind w:left="1217" w:right="0" w:hanging="426"/>
        <w:jc w:val="left"/>
        <w:rPr>
          <w:sz w:val="24"/>
        </w:rPr>
      </w:pPr>
      <w:r>
        <w:rPr>
          <w:sz w:val="24"/>
        </w:rPr>
        <w:t>a</w:t>
      </w:r>
      <w:r>
        <w:rPr>
          <w:spacing w:val="-6"/>
          <w:sz w:val="24"/>
        </w:rPr>
        <w:t> </w:t>
      </w:r>
      <w:r>
        <w:rPr>
          <w:sz w:val="24"/>
        </w:rPr>
        <w:t>description</w:t>
      </w:r>
      <w:r>
        <w:rPr>
          <w:spacing w:val="-2"/>
          <w:sz w:val="24"/>
        </w:rPr>
        <w:t> </w:t>
      </w:r>
      <w:r>
        <w:rPr>
          <w:sz w:val="24"/>
        </w:rPr>
        <w:t>of</w:t>
      </w:r>
      <w:r>
        <w:rPr>
          <w:spacing w:val="-1"/>
          <w:sz w:val="24"/>
        </w:rPr>
        <w:t> </w:t>
      </w:r>
      <w:r>
        <w:rPr>
          <w:sz w:val="24"/>
        </w:rPr>
        <w:t>the</w:t>
      </w:r>
      <w:r>
        <w:rPr>
          <w:spacing w:val="-2"/>
          <w:sz w:val="24"/>
        </w:rPr>
        <w:t> </w:t>
      </w:r>
      <w:r>
        <w:rPr>
          <w:sz w:val="24"/>
        </w:rPr>
        <w:t>specific</w:t>
      </w:r>
      <w:r>
        <w:rPr>
          <w:spacing w:val="-3"/>
          <w:sz w:val="24"/>
        </w:rPr>
        <w:t> </w:t>
      </w:r>
      <w:r>
        <w:rPr>
          <w:sz w:val="24"/>
        </w:rPr>
        <w:t>VR</w:t>
      </w:r>
      <w:r>
        <w:rPr>
          <w:spacing w:val="-2"/>
          <w:sz w:val="24"/>
        </w:rPr>
        <w:t> </w:t>
      </w:r>
      <w:r>
        <w:rPr>
          <w:sz w:val="24"/>
        </w:rPr>
        <w:t>services</w:t>
      </w:r>
      <w:r>
        <w:rPr>
          <w:spacing w:val="-2"/>
          <w:sz w:val="24"/>
        </w:rPr>
        <w:t> </w:t>
      </w:r>
      <w:r>
        <w:rPr>
          <w:sz w:val="24"/>
        </w:rPr>
        <w:t>that</w:t>
      </w:r>
      <w:r>
        <w:rPr>
          <w:spacing w:val="-1"/>
          <w:sz w:val="24"/>
        </w:rPr>
        <w:t> </w:t>
      </w:r>
      <w:r>
        <w:rPr>
          <w:spacing w:val="-4"/>
          <w:sz w:val="24"/>
        </w:rPr>
        <w:t>are:</w:t>
      </w:r>
    </w:p>
    <w:p>
      <w:pPr>
        <w:pStyle w:val="ListParagraph"/>
        <w:numPr>
          <w:ilvl w:val="2"/>
          <w:numId w:val="140"/>
        </w:numPr>
        <w:tabs>
          <w:tab w:pos="1676" w:val="left" w:leader="none"/>
        </w:tabs>
        <w:spacing w:line="208" w:lineRule="auto" w:before="233" w:after="0"/>
        <w:ind w:left="1223" w:right="755" w:firstLine="0"/>
        <w:jc w:val="left"/>
        <w:rPr>
          <w:sz w:val="24"/>
        </w:rPr>
      </w:pPr>
      <w:r>
        <w:rPr>
          <w:sz w:val="24"/>
        </w:rPr>
        <w:t>needed to achieve the employment outcome including as appropriate, the provision</w:t>
      </w:r>
      <w:r>
        <w:rPr>
          <w:spacing w:val="-5"/>
          <w:sz w:val="24"/>
        </w:rPr>
        <w:t> </w:t>
      </w:r>
      <w:r>
        <w:rPr>
          <w:sz w:val="24"/>
        </w:rPr>
        <w:t>of</w:t>
      </w:r>
      <w:r>
        <w:rPr>
          <w:spacing w:val="-3"/>
          <w:sz w:val="24"/>
        </w:rPr>
        <w:t> </w:t>
      </w:r>
      <w:r>
        <w:rPr>
          <w:sz w:val="24"/>
        </w:rPr>
        <w:t>assistive</w:t>
      </w:r>
      <w:r>
        <w:rPr>
          <w:spacing w:val="-5"/>
          <w:sz w:val="24"/>
        </w:rPr>
        <w:t> </w:t>
      </w:r>
      <w:r>
        <w:rPr>
          <w:sz w:val="24"/>
        </w:rPr>
        <w:t>technology</w:t>
      </w:r>
      <w:r>
        <w:rPr>
          <w:spacing w:val="-5"/>
          <w:sz w:val="24"/>
        </w:rPr>
        <w:t> </w:t>
      </w:r>
      <w:r>
        <w:rPr>
          <w:sz w:val="24"/>
        </w:rPr>
        <w:t>services</w:t>
      </w:r>
      <w:r>
        <w:rPr>
          <w:spacing w:val="-5"/>
          <w:sz w:val="24"/>
        </w:rPr>
        <w:t> </w:t>
      </w:r>
      <w:r>
        <w:rPr>
          <w:sz w:val="24"/>
        </w:rPr>
        <w:t>and</w:t>
      </w:r>
      <w:r>
        <w:rPr>
          <w:spacing w:val="-5"/>
          <w:sz w:val="24"/>
        </w:rPr>
        <w:t> </w:t>
      </w:r>
      <w:r>
        <w:rPr>
          <w:sz w:val="24"/>
        </w:rPr>
        <w:t>devices,</w:t>
      </w:r>
      <w:r>
        <w:rPr>
          <w:spacing w:val="-4"/>
          <w:sz w:val="24"/>
        </w:rPr>
        <w:t> </w:t>
      </w:r>
      <w:r>
        <w:rPr>
          <w:sz w:val="24"/>
        </w:rPr>
        <w:t>and</w:t>
      </w:r>
      <w:r>
        <w:rPr>
          <w:spacing w:val="-5"/>
          <w:sz w:val="24"/>
        </w:rPr>
        <w:t> </w:t>
      </w:r>
      <w:r>
        <w:rPr>
          <w:sz w:val="24"/>
        </w:rPr>
        <w:t>personal</w:t>
      </w:r>
      <w:r>
        <w:rPr>
          <w:spacing w:val="-5"/>
          <w:sz w:val="24"/>
        </w:rPr>
        <w:t> </w:t>
      </w:r>
      <w:r>
        <w:rPr>
          <w:sz w:val="24"/>
        </w:rPr>
        <w:t>assistance services, including training in the management of such services;</w:t>
      </w:r>
    </w:p>
    <w:p>
      <w:pPr>
        <w:pStyle w:val="ListParagraph"/>
        <w:numPr>
          <w:ilvl w:val="2"/>
          <w:numId w:val="140"/>
        </w:numPr>
        <w:tabs>
          <w:tab w:pos="1676" w:val="left" w:leader="none"/>
        </w:tabs>
        <w:spacing w:line="208" w:lineRule="auto" w:before="240" w:after="0"/>
        <w:ind w:left="1223" w:right="1130" w:firstLine="0"/>
        <w:jc w:val="left"/>
        <w:rPr>
          <w:sz w:val="24"/>
        </w:rPr>
      </w:pPr>
      <w:r>
        <w:rPr>
          <w:sz w:val="24"/>
        </w:rPr>
        <w:t>provided</w:t>
      </w:r>
      <w:r>
        <w:rPr>
          <w:spacing w:val="-4"/>
          <w:sz w:val="24"/>
        </w:rPr>
        <w:t> </w:t>
      </w:r>
      <w:r>
        <w:rPr>
          <w:sz w:val="24"/>
        </w:rPr>
        <w:t>in</w:t>
      </w:r>
      <w:r>
        <w:rPr>
          <w:spacing w:val="-4"/>
          <w:sz w:val="24"/>
        </w:rPr>
        <w:t> </w:t>
      </w:r>
      <w:r>
        <w:rPr>
          <w:sz w:val="24"/>
        </w:rPr>
        <w:t>the</w:t>
      </w:r>
      <w:r>
        <w:rPr>
          <w:spacing w:val="-4"/>
          <w:sz w:val="24"/>
        </w:rPr>
        <w:t> </w:t>
      </w:r>
      <w:r>
        <w:rPr>
          <w:sz w:val="24"/>
        </w:rPr>
        <w:t>most</w:t>
      </w:r>
      <w:r>
        <w:rPr>
          <w:spacing w:val="-3"/>
          <w:sz w:val="24"/>
        </w:rPr>
        <w:t> </w:t>
      </w:r>
      <w:r>
        <w:rPr>
          <w:sz w:val="24"/>
        </w:rPr>
        <w:t>integrated</w:t>
      </w:r>
      <w:r>
        <w:rPr>
          <w:spacing w:val="-4"/>
          <w:sz w:val="24"/>
        </w:rPr>
        <w:t> </w:t>
      </w:r>
      <w:r>
        <w:rPr>
          <w:sz w:val="24"/>
        </w:rPr>
        <w:t>setting</w:t>
      </w:r>
      <w:r>
        <w:rPr>
          <w:spacing w:val="-4"/>
          <w:sz w:val="24"/>
        </w:rPr>
        <w:t> </w:t>
      </w:r>
      <w:r>
        <w:rPr>
          <w:sz w:val="24"/>
        </w:rPr>
        <w:t>that</w:t>
      </w:r>
      <w:r>
        <w:rPr>
          <w:spacing w:val="-3"/>
          <w:sz w:val="24"/>
        </w:rPr>
        <w:t> </w:t>
      </w:r>
      <w:r>
        <w:rPr>
          <w:sz w:val="24"/>
        </w:rPr>
        <w:t>is</w:t>
      </w:r>
      <w:r>
        <w:rPr>
          <w:spacing w:val="-4"/>
          <w:sz w:val="24"/>
        </w:rPr>
        <w:t> </w:t>
      </w:r>
      <w:r>
        <w:rPr>
          <w:sz w:val="24"/>
        </w:rPr>
        <w:t>appropriate</w:t>
      </w:r>
      <w:r>
        <w:rPr>
          <w:spacing w:val="-4"/>
          <w:sz w:val="24"/>
        </w:rPr>
        <w:t> </w:t>
      </w:r>
      <w:r>
        <w:rPr>
          <w:sz w:val="24"/>
        </w:rPr>
        <w:t>for</w:t>
      </w:r>
      <w:r>
        <w:rPr>
          <w:spacing w:val="-3"/>
          <w:sz w:val="24"/>
        </w:rPr>
        <w:t> </w:t>
      </w:r>
      <w:r>
        <w:rPr>
          <w:sz w:val="24"/>
        </w:rPr>
        <w:t>the</w:t>
      </w:r>
      <w:r>
        <w:rPr>
          <w:spacing w:val="-4"/>
          <w:sz w:val="24"/>
        </w:rPr>
        <w:t> </w:t>
      </w:r>
      <w:r>
        <w:rPr>
          <w:sz w:val="24"/>
        </w:rPr>
        <w:t>service involved and is consistent with the informed choice of the client; and</w:t>
      </w:r>
    </w:p>
    <w:p>
      <w:pPr>
        <w:pStyle w:val="ListParagraph"/>
        <w:numPr>
          <w:ilvl w:val="2"/>
          <w:numId w:val="140"/>
        </w:numPr>
        <w:tabs>
          <w:tab w:pos="1688" w:val="left" w:leader="none"/>
        </w:tabs>
        <w:spacing w:line="208" w:lineRule="auto" w:before="240" w:after="0"/>
        <w:ind w:left="1223" w:right="1380" w:firstLine="0"/>
        <w:jc w:val="left"/>
        <w:rPr>
          <w:sz w:val="24"/>
        </w:rPr>
      </w:pPr>
      <w:r>
        <w:rPr>
          <w:sz w:val="24"/>
        </w:rPr>
        <w:t>timelines</w:t>
      </w:r>
      <w:r>
        <w:rPr>
          <w:spacing w:val="-4"/>
          <w:sz w:val="24"/>
        </w:rPr>
        <w:t> </w:t>
      </w:r>
      <w:r>
        <w:rPr>
          <w:sz w:val="24"/>
        </w:rPr>
        <w:t>for</w:t>
      </w:r>
      <w:r>
        <w:rPr>
          <w:spacing w:val="-5"/>
          <w:sz w:val="24"/>
        </w:rPr>
        <w:t> </w:t>
      </w:r>
      <w:r>
        <w:rPr>
          <w:sz w:val="24"/>
        </w:rPr>
        <w:t>the</w:t>
      </w:r>
      <w:r>
        <w:rPr>
          <w:spacing w:val="-4"/>
          <w:sz w:val="24"/>
        </w:rPr>
        <w:t> </w:t>
      </w:r>
      <w:r>
        <w:rPr>
          <w:sz w:val="24"/>
        </w:rPr>
        <w:t>achievement</w:t>
      </w:r>
      <w:r>
        <w:rPr>
          <w:spacing w:val="-2"/>
          <w:sz w:val="24"/>
        </w:rPr>
        <w:t> </w:t>
      </w:r>
      <w:r>
        <w:rPr>
          <w:sz w:val="24"/>
        </w:rPr>
        <w:t>of</w:t>
      </w:r>
      <w:r>
        <w:rPr>
          <w:spacing w:val="-5"/>
          <w:sz w:val="24"/>
        </w:rPr>
        <w:t> </w:t>
      </w:r>
      <w:r>
        <w:rPr>
          <w:sz w:val="24"/>
        </w:rPr>
        <w:t>the</w:t>
      </w:r>
      <w:r>
        <w:rPr>
          <w:spacing w:val="-4"/>
          <w:sz w:val="24"/>
        </w:rPr>
        <w:t> </w:t>
      </w:r>
      <w:r>
        <w:rPr>
          <w:sz w:val="24"/>
        </w:rPr>
        <w:t>employment</w:t>
      </w:r>
      <w:r>
        <w:rPr>
          <w:spacing w:val="-3"/>
          <w:sz w:val="24"/>
        </w:rPr>
        <w:t> </w:t>
      </w:r>
      <w:r>
        <w:rPr>
          <w:sz w:val="24"/>
        </w:rPr>
        <w:t>outcome</w:t>
      </w:r>
      <w:r>
        <w:rPr>
          <w:spacing w:val="-4"/>
          <w:sz w:val="24"/>
        </w:rPr>
        <w:t> </w:t>
      </w:r>
      <w:r>
        <w:rPr>
          <w:sz w:val="24"/>
        </w:rPr>
        <w:t>and</w:t>
      </w:r>
      <w:r>
        <w:rPr>
          <w:spacing w:val="-5"/>
          <w:sz w:val="24"/>
        </w:rPr>
        <w:t> </w:t>
      </w:r>
      <w:r>
        <w:rPr>
          <w:sz w:val="24"/>
        </w:rPr>
        <w:t>for</w:t>
      </w:r>
      <w:r>
        <w:rPr>
          <w:spacing w:val="-3"/>
          <w:sz w:val="24"/>
        </w:rPr>
        <w:t> </w:t>
      </w:r>
      <w:r>
        <w:rPr>
          <w:sz w:val="24"/>
        </w:rPr>
        <w:t>the initiation of services.</w:t>
      </w:r>
    </w:p>
    <w:p>
      <w:pPr>
        <w:pStyle w:val="ListParagraph"/>
        <w:numPr>
          <w:ilvl w:val="1"/>
          <w:numId w:val="140"/>
        </w:numPr>
        <w:tabs>
          <w:tab w:pos="1217" w:val="left" w:leader="none"/>
        </w:tabs>
        <w:spacing w:line="208" w:lineRule="auto" w:before="240" w:after="0"/>
        <w:ind w:left="791" w:right="1776" w:firstLine="0"/>
        <w:jc w:val="left"/>
        <w:rPr>
          <w:sz w:val="24"/>
        </w:rPr>
      </w:pPr>
      <w:r>
        <w:rPr>
          <w:sz w:val="24"/>
        </w:rPr>
        <w:t>a</w:t>
      </w:r>
      <w:r>
        <w:rPr>
          <w:spacing w:val="-5"/>
          <w:sz w:val="24"/>
        </w:rPr>
        <w:t> </w:t>
      </w:r>
      <w:r>
        <w:rPr>
          <w:sz w:val="24"/>
        </w:rPr>
        <w:t>description</w:t>
      </w:r>
      <w:r>
        <w:rPr>
          <w:spacing w:val="-4"/>
          <w:sz w:val="24"/>
        </w:rPr>
        <w:t> </w:t>
      </w:r>
      <w:r>
        <w:rPr>
          <w:sz w:val="24"/>
        </w:rPr>
        <w:t>of</w:t>
      </w:r>
      <w:r>
        <w:rPr>
          <w:spacing w:val="-3"/>
          <w:sz w:val="24"/>
        </w:rPr>
        <w:t> </w:t>
      </w:r>
      <w:r>
        <w:rPr>
          <w:sz w:val="24"/>
        </w:rPr>
        <w:t>the</w:t>
      </w:r>
      <w:r>
        <w:rPr>
          <w:spacing w:val="-4"/>
          <w:sz w:val="24"/>
        </w:rPr>
        <w:t> </w:t>
      </w:r>
      <w:r>
        <w:rPr>
          <w:sz w:val="24"/>
        </w:rPr>
        <w:t>service</w:t>
      </w:r>
      <w:r>
        <w:rPr>
          <w:spacing w:val="-4"/>
          <w:sz w:val="24"/>
        </w:rPr>
        <w:t> </w:t>
      </w:r>
      <w:r>
        <w:rPr>
          <w:sz w:val="24"/>
        </w:rPr>
        <w:t>provider</w:t>
      </w:r>
      <w:r>
        <w:rPr>
          <w:spacing w:val="-3"/>
          <w:sz w:val="24"/>
        </w:rPr>
        <w:t> </w:t>
      </w:r>
      <w:r>
        <w:rPr>
          <w:sz w:val="24"/>
        </w:rPr>
        <w:t>chosen</w:t>
      </w:r>
      <w:r>
        <w:rPr>
          <w:spacing w:val="-4"/>
          <w:sz w:val="24"/>
        </w:rPr>
        <w:t> </w:t>
      </w:r>
      <w:r>
        <w:rPr>
          <w:sz w:val="24"/>
        </w:rPr>
        <w:t>by</w:t>
      </w:r>
      <w:r>
        <w:rPr>
          <w:spacing w:val="-4"/>
          <w:sz w:val="24"/>
        </w:rPr>
        <w:t> </w:t>
      </w:r>
      <w:r>
        <w:rPr>
          <w:sz w:val="24"/>
        </w:rPr>
        <w:t>the</w:t>
      </w:r>
      <w:r>
        <w:rPr>
          <w:spacing w:val="-5"/>
          <w:sz w:val="24"/>
        </w:rPr>
        <w:t> </w:t>
      </w:r>
      <w:r>
        <w:rPr>
          <w:sz w:val="24"/>
        </w:rPr>
        <w:t>client</w:t>
      </w:r>
      <w:r>
        <w:rPr>
          <w:spacing w:val="-3"/>
          <w:sz w:val="24"/>
        </w:rPr>
        <w:t> </w:t>
      </w:r>
      <w:r>
        <w:rPr>
          <w:sz w:val="24"/>
        </w:rPr>
        <w:t>or</w:t>
      </w:r>
      <w:r>
        <w:rPr>
          <w:spacing w:val="-3"/>
          <w:sz w:val="24"/>
        </w:rPr>
        <w:t> </w:t>
      </w:r>
      <w:r>
        <w:rPr>
          <w:sz w:val="24"/>
        </w:rPr>
        <w:t>authorized representative, and the methods of services delivery;</w:t>
      </w:r>
    </w:p>
    <w:p>
      <w:pPr>
        <w:pStyle w:val="ListParagraph"/>
        <w:numPr>
          <w:ilvl w:val="1"/>
          <w:numId w:val="140"/>
        </w:numPr>
        <w:tabs>
          <w:tab w:pos="1217" w:val="left" w:leader="none"/>
        </w:tabs>
        <w:spacing w:line="208" w:lineRule="auto" w:before="239" w:after="0"/>
        <w:ind w:left="791" w:right="1588" w:firstLine="0"/>
        <w:jc w:val="left"/>
        <w:rPr>
          <w:sz w:val="24"/>
        </w:rPr>
      </w:pPr>
      <w:r>
        <w:rPr>
          <w:sz w:val="24"/>
        </w:rPr>
        <w:t>a</w:t>
      </w:r>
      <w:r>
        <w:rPr>
          <w:spacing w:val="-5"/>
          <w:sz w:val="24"/>
        </w:rPr>
        <w:t> </w:t>
      </w:r>
      <w:r>
        <w:rPr>
          <w:sz w:val="24"/>
        </w:rPr>
        <w:t>description</w:t>
      </w:r>
      <w:r>
        <w:rPr>
          <w:spacing w:val="-4"/>
          <w:sz w:val="24"/>
        </w:rPr>
        <w:t> </w:t>
      </w:r>
      <w:r>
        <w:rPr>
          <w:sz w:val="24"/>
        </w:rPr>
        <w:t>of</w:t>
      </w:r>
      <w:r>
        <w:rPr>
          <w:spacing w:val="-3"/>
          <w:sz w:val="24"/>
        </w:rPr>
        <w:t> </w:t>
      </w:r>
      <w:r>
        <w:rPr>
          <w:sz w:val="24"/>
        </w:rPr>
        <w:t>the</w:t>
      </w:r>
      <w:r>
        <w:rPr>
          <w:spacing w:val="-4"/>
          <w:sz w:val="24"/>
        </w:rPr>
        <w:t> </w:t>
      </w:r>
      <w:r>
        <w:rPr>
          <w:sz w:val="24"/>
        </w:rPr>
        <w:t>criteria</w:t>
      </w:r>
      <w:r>
        <w:rPr>
          <w:spacing w:val="-4"/>
          <w:sz w:val="24"/>
        </w:rPr>
        <w:t> </w:t>
      </w:r>
      <w:r>
        <w:rPr>
          <w:sz w:val="24"/>
        </w:rPr>
        <w:t>that</w:t>
      </w:r>
      <w:r>
        <w:rPr>
          <w:spacing w:val="-3"/>
          <w:sz w:val="24"/>
        </w:rPr>
        <w:t> </w:t>
      </w:r>
      <w:r>
        <w:rPr>
          <w:sz w:val="24"/>
        </w:rPr>
        <w:t>will</w:t>
      </w:r>
      <w:r>
        <w:rPr>
          <w:spacing w:val="-4"/>
          <w:sz w:val="24"/>
        </w:rPr>
        <w:t> </w:t>
      </w:r>
      <w:r>
        <w:rPr>
          <w:sz w:val="24"/>
        </w:rPr>
        <w:t>be</w:t>
      </w:r>
      <w:r>
        <w:rPr>
          <w:spacing w:val="-4"/>
          <w:sz w:val="24"/>
        </w:rPr>
        <w:t> </w:t>
      </w:r>
      <w:r>
        <w:rPr>
          <w:sz w:val="24"/>
        </w:rPr>
        <w:t>used</w:t>
      </w:r>
      <w:r>
        <w:rPr>
          <w:spacing w:val="-4"/>
          <w:sz w:val="24"/>
        </w:rPr>
        <w:t> </w:t>
      </w:r>
      <w:r>
        <w:rPr>
          <w:sz w:val="24"/>
        </w:rPr>
        <w:t>to</w:t>
      </w:r>
      <w:r>
        <w:rPr>
          <w:spacing w:val="-4"/>
          <w:sz w:val="24"/>
        </w:rPr>
        <w:t> </w:t>
      </w:r>
      <w:r>
        <w:rPr>
          <w:sz w:val="24"/>
        </w:rPr>
        <w:t>evaluate</w:t>
      </w:r>
      <w:r>
        <w:rPr>
          <w:spacing w:val="-4"/>
          <w:sz w:val="24"/>
        </w:rPr>
        <w:t> </w:t>
      </w:r>
      <w:r>
        <w:rPr>
          <w:sz w:val="24"/>
        </w:rPr>
        <w:t>progress</w:t>
      </w:r>
      <w:r>
        <w:rPr>
          <w:spacing w:val="-4"/>
          <w:sz w:val="24"/>
        </w:rPr>
        <w:t> </w:t>
      </w:r>
      <w:r>
        <w:rPr>
          <w:sz w:val="24"/>
        </w:rPr>
        <w:t>toward achieving the employment outcome;</w:t>
      </w:r>
    </w:p>
    <w:p>
      <w:pPr>
        <w:pStyle w:val="ListParagraph"/>
        <w:numPr>
          <w:ilvl w:val="1"/>
          <w:numId w:val="140"/>
        </w:numPr>
        <w:tabs>
          <w:tab w:pos="1216" w:val="left" w:leader="none"/>
        </w:tabs>
        <w:spacing w:line="240" w:lineRule="auto" w:before="211" w:after="0"/>
        <w:ind w:left="1216" w:right="0" w:hanging="425"/>
        <w:jc w:val="left"/>
        <w:rPr>
          <w:sz w:val="24"/>
        </w:rPr>
      </w:pPr>
      <w:r>
        <w:rPr>
          <w:sz w:val="24"/>
        </w:rPr>
        <w:t>the</w:t>
      </w:r>
      <w:r>
        <w:rPr>
          <w:spacing w:val="-5"/>
          <w:sz w:val="24"/>
        </w:rPr>
        <w:t> </w:t>
      </w:r>
      <w:r>
        <w:rPr>
          <w:sz w:val="24"/>
        </w:rPr>
        <w:t>terms</w:t>
      </w:r>
      <w:r>
        <w:rPr>
          <w:spacing w:val="-2"/>
          <w:sz w:val="24"/>
        </w:rPr>
        <w:t> </w:t>
      </w:r>
      <w:r>
        <w:rPr>
          <w:sz w:val="24"/>
        </w:rPr>
        <w:t>and</w:t>
      </w:r>
      <w:r>
        <w:rPr>
          <w:spacing w:val="-3"/>
          <w:sz w:val="24"/>
        </w:rPr>
        <w:t> </w:t>
      </w:r>
      <w:r>
        <w:rPr>
          <w:sz w:val="24"/>
        </w:rPr>
        <w:t>conditions</w:t>
      </w:r>
      <w:r>
        <w:rPr>
          <w:spacing w:val="-2"/>
          <w:sz w:val="24"/>
        </w:rPr>
        <w:t> </w:t>
      </w:r>
      <w:r>
        <w:rPr>
          <w:sz w:val="24"/>
        </w:rPr>
        <w:t>of</w:t>
      </w:r>
      <w:r>
        <w:rPr>
          <w:spacing w:val="-2"/>
          <w:sz w:val="24"/>
        </w:rPr>
        <w:t> </w:t>
      </w:r>
      <w:r>
        <w:rPr>
          <w:sz w:val="24"/>
        </w:rPr>
        <w:t>the</w:t>
      </w:r>
      <w:r>
        <w:rPr>
          <w:spacing w:val="-2"/>
          <w:sz w:val="24"/>
        </w:rPr>
        <w:t> </w:t>
      </w:r>
      <w:r>
        <w:rPr>
          <w:sz w:val="24"/>
        </w:rPr>
        <w:t>IPE</w:t>
      </w:r>
      <w:r>
        <w:rPr>
          <w:spacing w:val="-3"/>
          <w:sz w:val="24"/>
        </w:rPr>
        <w:t> </w:t>
      </w:r>
      <w:r>
        <w:rPr>
          <w:sz w:val="24"/>
        </w:rPr>
        <w:t>including</w:t>
      </w:r>
      <w:r>
        <w:rPr>
          <w:spacing w:val="-2"/>
          <w:sz w:val="24"/>
        </w:rPr>
        <w:t> </w:t>
      </w:r>
      <w:r>
        <w:rPr>
          <w:sz w:val="24"/>
        </w:rPr>
        <w:t>as</w:t>
      </w:r>
      <w:r>
        <w:rPr>
          <w:spacing w:val="-2"/>
          <w:sz w:val="24"/>
        </w:rPr>
        <w:t> appropriate:</w:t>
      </w:r>
    </w:p>
    <w:p>
      <w:pPr>
        <w:pStyle w:val="ListParagraph"/>
        <w:numPr>
          <w:ilvl w:val="2"/>
          <w:numId w:val="140"/>
        </w:numPr>
        <w:tabs>
          <w:tab w:pos="1675" w:val="left" w:leader="none"/>
        </w:tabs>
        <w:spacing w:line="240" w:lineRule="auto" w:before="204" w:after="0"/>
        <w:ind w:left="1675" w:right="0" w:hanging="452"/>
        <w:jc w:val="left"/>
        <w:rPr>
          <w:sz w:val="24"/>
        </w:rPr>
      </w:pPr>
      <w:r>
        <w:rPr>
          <w:sz w:val="24"/>
        </w:rPr>
        <w:t>the</w:t>
      </w:r>
      <w:r>
        <w:rPr>
          <w:spacing w:val="-3"/>
          <w:sz w:val="24"/>
        </w:rPr>
        <w:t> </w:t>
      </w:r>
      <w:r>
        <w:rPr>
          <w:sz w:val="24"/>
        </w:rPr>
        <w:t>responsibilities</w:t>
      </w:r>
      <w:r>
        <w:rPr>
          <w:spacing w:val="-3"/>
          <w:sz w:val="24"/>
        </w:rPr>
        <w:t> </w:t>
      </w:r>
      <w:r>
        <w:rPr>
          <w:sz w:val="24"/>
        </w:rPr>
        <w:t>of</w:t>
      </w:r>
      <w:r>
        <w:rPr>
          <w:spacing w:val="-2"/>
          <w:sz w:val="24"/>
        </w:rPr>
        <w:t> </w:t>
      </w:r>
      <w:r>
        <w:rPr>
          <w:sz w:val="24"/>
        </w:rPr>
        <w:t>DVR</w:t>
      </w:r>
      <w:r>
        <w:rPr>
          <w:spacing w:val="-3"/>
          <w:sz w:val="24"/>
        </w:rPr>
        <w:t> </w:t>
      </w:r>
      <w:r>
        <w:rPr>
          <w:sz w:val="24"/>
        </w:rPr>
        <w:t>or</w:t>
      </w:r>
      <w:r>
        <w:rPr>
          <w:spacing w:val="-2"/>
          <w:sz w:val="24"/>
        </w:rPr>
        <w:t> DSBVI;</w:t>
      </w:r>
    </w:p>
    <w:p>
      <w:pPr>
        <w:pStyle w:val="ListParagraph"/>
        <w:numPr>
          <w:ilvl w:val="2"/>
          <w:numId w:val="140"/>
        </w:numPr>
        <w:tabs>
          <w:tab w:pos="1675" w:val="left" w:leader="none"/>
        </w:tabs>
        <w:spacing w:line="240" w:lineRule="auto" w:before="204" w:after="0"/>
        <w:ind w:left="1675" w:right="0" w:hanging="452"/>
        <w:jc w:val="left"/>
        <w:rPr>
          <w:sz w:val="24"/>
        </w:rPr>
      </w:pPr>
      <w:r>
        <w:rPr>
          <w:sz w:val="24"/>
        </w:rPr>
        <w:t>the</w:t>
      </w:r>
      <w:r>
        <w:rPr>
          <w:spacing w:val="-4"/>
          <w:sz w:val="24"/>
        </w:rPr>
        <w:t> </w:t>
      </w:r>
      <w:r>
        <w:rPr>
          <w:sz w:val="24"/>
        </w:rPr>
        <w:t>responsibilities</w:t>
      </w:r>
      <w:r>
        <w:rPr>
          <w:spacing w:val="-3"/>
          <w:sz w:val="24"/>
        </w:rPr>
        <w:t> </w:t>
      </w:r>
      <w:r>
        <w:rPr>
          <w:sz w:val="24"/>
        </w:rPr>
        <w:t>of</w:t>
      </w:r>
      <w:r>
        <w:rPr>
          <w:spacing w:val="-4"/>
          <w:sz w:val="24"/>
        </w:rPr>
        <w:t> </w:t>
      </w:r>
      <w:r>
        <w:rPr>
          <w:sz w:val="24"/>
        </w:rPr>
        <w:t>the</w:t>
      </w:r>
      <w:r>
        <w:rPr>
          <w:spacing w:val="-3"/>
          <w:sz w:val="24"/>
        </w:rPr>
        <w:t> </w:t>
      </w:r>
      <w:r>
        <w:rPr>
          <w:sz w:val="24"/>
        </w:rPr>
        <w:t>client,</w:t>
      </w:r>
      <w:r>
        <w:rPr>
          <w:spacing w:val="-2"/>
          <w:sz w:val="24"/>
        </w:rPr>
        <w:t> including:</w:t>
      </w:r>
    </w:p>
    <w:p>
      <w:pPr>
        <w:pStyle w:val="ListParagraph"/>
        <w:numPr>
          <w:ilvl w:val="3"/>
          <w:numId w:val="140"/>
        </w:numPr>
        <w:tabs>
          <w:tab w:pos="2000" w:val="left" w:leader="none"/>
        </w:tabs>
        <w:spacing w:line="240" w:lineRule="auto" w:before="204" w:after="0"/>
        <w:ind w:left="2000" w:right="0" w:hanging="345"/>
        <w:jc w:val="left"/>
        <w:rPr>
          <w:sz w:val="24"/>
        </w:rPr>
      </w:pPr>
      <w:r>
        <w:rPr>
          <w:sz w:val="24"/>
        </w:rPr>
        <w:t>the</w:t>
      </w:r>
      <w:r>
        <w:rPr>
          <w:spacing w:val="-6"/>
          <w:sz w:val="24"/>
        </w:rPr>
        <w:t> </w:t>
      </w:r>
      <w:r>
        <w:rPr>
          <w:sz w:val="24"/>
        </w:rPr>
        <w:t>client's</w:t>
      </w:r>
      <w:r>
        <w:rPr>
          <w:spacing w:val="-4"/>
          <w:sz w:val="24"/>
        </w:rPr>
        <w:t> </w:t>
      </w:r>
      <w:r>
        <w:rPr>
          <w:sz w:val="24"/>
        </w:rPr>
        <w:t>responsibilities</w:t>
      </w:r>
      <w:r>
        <w:rPr>
          <w:spacing w:val="-4"/>
          <w:sz w:val="24"/>
        </w:rPr>
        <w:t> </w:t>
      </w:r>
      <w:r>
        <w:rPr>
          <w:sz w:val="24"/>
        </w:rPr>
        <w:t>for</w:t>
      </w:r>
      <w:r>
        <w:rPr>
          <w:spacing w:val="-3"/>
          <w:sz w:val="24"/>
        </w:rPr>
        <w:t> </w:t>
      </w:r>
      <w:r>
        <w:rPr>
          <w:sz w:val="24"/>
        </w:rPr>
        <w:t>the</w:t>
      </w:r>
      <w:r>
        <w:rPr>
          <w:spacing w:val="-4"/>
          <w:sz w:val="24"/>
        </w:rPr>
        <w:t> </w:t>
      </w:r>
      <w:r>
        <w:rPr>
          <w:sz w:val="24"/>
        </w:rPr>
        <w:t>employment</w:t>
      </w:r>
      <w:r>
        <w:rPr>
          <w:spacing w:val="-3"/>
          <w:sz w:val="24"/>
        </w:rPr>
        <w:t> </w:t>
      </w:r>
      <w:r>
        <w:rPr>
          <w:spacing w:val="-2"/>
          <w:sz w:val="24"/>
        </w:rPr>
        <w:t>outcome;</w:t>
      </w:r>
    </w:p>
    <w:p>
      <w:pPr>
        <w:pStyle w:val="ListParagraph"/>
        <w:numPr>
          <w:ilvl w:val="3"/>
          <w:numId w:val="140"/>
        </w:numPr>
        <w:tabs>
          <w:tab w:pos="2053" w:val="left" w:leader="none"/>
        </w:tabs>
        <w:spacing w:line="240" w:lineRule="auto" w:before="204" w:after="0"/>
        <w:ind w:left="2053" w:right="0" w:hanging="398"/>
        <w:jc w:val="left"/>
        <w:rPr>
          <w:sz w:val="24"/>
        </w:rPr>
      </w:pPr>
      <w:r>
        <w:rPr>
          <w:sz w:val="24"/>
        </w:rPr>
        <w:t>the</w:t>
      </w:r>
      <w:r>
        <w:rPr>
          <w:spacing w:val="-5"/>
          <w:sz w:val="24"/>
        </w:rPr>
        <w:t> </w:t>
      </w:r>
      <w:r>
        <w:rPr>
          <w:sz w:val="24"/>
        </w:rPr>
        <w:t>client's</w:t>
      </w:r>
      <w:r>
        <w:rPr>
          <w:spacing w:val="-3"/>
          <w:sz w:val="24"/>
        </w:rPr>
        <w:t> </w:t>
      </w:r>
      <w:r>
        <w:rPr>
          <w:sz w:val="24"/>
        </w:rPr>
        <w:t>participation</w:t>
      </w:r>
      <w:r>
        <w:rPr>
          <w:spacing w:val="-3"/>
          <w:sz w:val="24"/>
        </w:rPr>
        <w:t> </w:t>
      </w:r>
      <w:r>
        <w:rPr>
          <w:sz w:val="24"/>
        </w:rPr>
        <w:t>in</w:t>
      </w:r>
      <w:r>
        <w:rPr>
          <w:spacing w:val="-2"/>
          <w:sz w:val="24"/>
        </w:rPr>
        <w:t> </w:t>
      </w:r>
      <w:r>
        <w:rPr>
          <w:sz w:val="24"/>
        </w:rPr>
        <w:t>paying</w:t>
      </w:r>
      <w:r>
        <w:rPr>
          <w:spacing w:val="-3"/>
          <w:sz w:val="24"/>
        </w:rPr>
        <w:t> </w:t>
      </w:r>
      <w:r>
        <w:rPr>
          <w:sz w:val="24"/>
        </w:rPr>
        <w:t>the</w:t>
      </w:r>
      <w:r>
        <w:rPr>
          <w:spacing w:val="-3"/>
          <w:sz w:val="24"/>
        </w:rPr>
        <w:t> </w:t>
      </w:r>
      <w:r>
        <w:rPr>
          <w:sz w:val="24"/>
        </w:rPr>
        <w:t>cost</w:t>
      </w:r>
      <w:r>
        <w:rPr>
          <w:spacing w:val="-1"/>
          <w:sz w:val="24"/>
        </w:rPr>
        <w:t> </w:t>
      </w:r>
      <w:r>
        <w:rPr>
          <w:sz w:val="24"/>
        </w:rPr>
        <w:t>of</w:t>
      </w:r>
      <w:r>
        <w:rPr>
          <w:spacing w:val="-2"/>
          <w:sz w:val="24"/>
        </w:rPr>
        <w:t> </w:t>
      </w:r>
      <w:r>
        <w:rPr>
          <w:sz w:val="24"/>
        </w:rPr>
        <w:t>VR</w:t>
      </w:r>
      <w:r>
        <w:rPr>
          <w:spacing w:val="-3"/>
          <w:sz w:val="24"/>
        </w:rPr>
        <w:t> </w:t>
      </w:r>
      <w:r>
        <w:rPr>
          <w:sz w:val="24"/>
        </w:rPr>
        <w:t>services;</w:t>
      </w:r>
      <w:r>
        <w:rPr>
          <w:spacing w:val="-1"/>
          <w:sz w:val="24"/>
        </w:rPr>
        <w:t> </w:t>
      </w:r>
      <w:r>
        <w:rPr>
          <w:spacing w:val="-5"/>
          <w:sz w:val="24"/>
        </w:rPr>
        <w:t>and</w:t>
      </w:r>
    </w:p>
    <w:p>
      <w:pPr>
        <w:pStyle w:val="ListParagraph"/>
        <w:numPr>
          <w:ilvl w:val="3"/>
          <w:numId w:val="140"/>
        </w:numPr>
        <w:tabs>
          <w:tab w:pos="2106" w:val="left" w:leader="none"/>
        </w:tabs>
        <w:spacing w:line="208" w:lineRule="auto" w:before="233" w:after="0"/>
        <w:ind w:left="1655" w:right="979" w:firstLine="0"/>
        <w:jc w:val="left"/>
        <w:rPr>
          <w:sz w:val="24"/>
        </w:rPr>
      </w:pPr>
      <w:r>
        <w:rPr>
          <w:sz w:val="24"/>
        </w:rPr>
        <w:t>the client's responsibility to apply for, accept, and use comparable services</w:t>
      </w:r>
      <w:r>
        <w:rPr>
          <w:spacing w:val="-3"/>
          <w:sz w:val="24"/>
        </w:rPr>
        <w:t> </w:t>
      </w:r>
      <w:r>
        <w:rPr>
          <w:sz w:val="24"/>
        </w:rPr>
        <w:t>and</w:t>
      </w:r>
      <w:r>
        <w:rPr>
          <w:spacing w:val="-3"/>
          <w:sz w:val="24"/>
        </w:rPr>
        <w:t> </w:t>
      </w:r>
      <w:r>
        <w:rPr>
          <w:sz w:val="24"/>
        </w:rPr>
        <w:t>benefits</w:t>
      </w:r>
      <w:r>
        <w:rPr>
          <w:spacing w:val="-3"/>
          <w:sz w:val="24"/>
        </w:rPr>
        <w:t> </w:t>
      </w:r>
      <w:r>
        <w:rPr>
          <w:sz w:val="24"/>
        </w:rPr>
        <w:t>to</w:t>
      </w:r>
      <w:r>
        <w:rPr>
          <w:spacing w:val="-3"/>
          <w:sz w:val="24"/>
        </w:rPr>
        <w:t> </w:t>
      </w:r>
      <w:r>
        <w:rPr>
          <w:sz w:val="24"/>
        </w:rPr>
        <w:t>defray</w:t>
      </w:r>
      <w:r>
        <w:rPr>
          <w:spacing w:val="-3"/>
          <w:sz w:val="24"/>
        </w:rPr>
        <w:t> </w:t>
      </w:r>
      <w:r>
        <w:rPr>
          <w:sz w:val="24"/>
        </w:rPr>
        <w:t>in</w:t>
      </w:r>
      <w:r>
        <w:rPr>
          <w:spacing w:val="-4"/>
          <w:sz w:val="24"/>
        </w:rPr>
        <w:t> </w:t>
      </w:r>
      <w:r>
        <w:rPr>
          <w:sz w:val="24"/>
        </w:rPr>
        <w:t>whole</w:t>
      </w:r>
      <w:r>
        <w:rPr>
          <w:spacing w:val="-3"/>
          <w:sz w:val="24"/>
        </w:rPr>
        <w:t> </w:t>
      </w:r>
      <w:r>
        <w:rPr>
          <w:sz w:val="24"/>
        </w:rPr>
        <w:t>or</w:t>
      </w:r>
      <w:r>
        <w:rPr>
          <w:spacing w:val="-2"/>
          <w:sz w:val="24"/>
        </w:rPr>
        <w:t> </w:t>
      </w:r>
      <w:r>
        <w:rPr>
          <w:sz w:val="24"/>
        </w:rPr>
        <w:t>in</w:t>
      </w:r>
      <w:r>
        <w:rPr>
          <w:spacing w:val="-3"/>
          <w:sz w:val="24"/>
        </w:rPr>
        <w:t> </w:t>
      </w:r>
      <w:r>
        <w:rPr>
          <w:sz w:val="24"/>
        </w:rPr>
        <w:t>part</w:t>
      </w:r>
      <w:r>
        <w:rPr>
          <w:spacing w:val="-2"/>
          <w:sz w:val="24"/>
        </w:rPr>
        <w:t> </w:t>
      </w:r>
      <w:r>
        <w:rPr>
          <w:sz w:val="24"/>
        </w:rPr>
        <w:t>the</w:t>
      </w:r>
      <w:r>
        <w:rPr>
          <w:spacing w:val="-3"/>
          <w:sz w:val="24"/>
        </w:rPr>
        <w:t> </w:t>
      </w:r>
      <w:r>
        <w:rPr>
          <w:sz w:val="24"/>
        </w:rPr>
        <w:t>cost</w:t>
      </w:r>
      <w:r>
        <w:rPr>
          <w:spacing w:val="-2"/>
          <w:sz w:val="24"/>
        </w:rPr>
        <w:t> </w:t>
      </w:r>
      <w:r>
        <w:rPr>
          <w:sz w:val="24"/>
        </w:rPr>
        <w:t>of</w:t>
      </w:r>
      <w:r>
        <w:rPr>
          <w:spacing w:val="-4"/>
          <w:sz w:val="24"/>
        </w:rPr>
        <w:t> </w:t>
      </w:r>
      <w:r>
        <w:rPr>
          <w:sz w:val="24"/>
        </w:rPr>
        <w:t>VR</w:t>
      </w:r>
      <w:r>
        <w:rPr>
          <w:spacing w:val="-3"/>
          <w:sz w:val="24"/>
        </w:rPr>
        <w:t> </w:t>
      </w:r>
      <w:r>
        <w:rPr>
          <w:sz w:val="24"/>
        </w:rPr>
        <w:t>services.</w:t>
      </w:r>
    </w:p>
    <w:p>
      <w:pPr>
        <w:pStyle w:val="ListParagraph"/>
        <w:numPr>
          <w:ilvl w:val="1"/>
          <w:numId w:val="140"/>
        </w:numPr>
        <w:tabs>
          <w:tab w:pos="1216" w:val="left" w:leader="none"/>
        </w:tabs>
        <w:spacing w:line="240" w:lineRule="auto" w:before="211" w:after="0"/>
        <w:ind w:left="1216" w:right="0" w:hanging="425"/>
        <w:jc w:val="left"/>
        <w:rPr>
          <w:sz w:val="24"/>
        </w:rPr>
      </w:pPr>
      <w:r>
        <w:rPr>
          <w:sz w:val="24"/>
        </w:rPr>
        <w:t>for</w:t>
      </w:r>
      <w:r>
        <w:rPr>
          <w:spacing w:val="-5"/>
          <w:sz w:val="24"/>
        </w:rPr>
        <w:t> </w:t>
      </w:r>
      <w:r>
        <w:rPr>
          <w:sz w:val="24"/>
        </w:rPr>
        <w:t>an</w:t>
      </w:r>
      <w:r>
        <w:rPr>
          <w:spacing w:val="-4"/>
          <w:sz w:val="24"/>
        </w:rPr>
        <w:t> </w:t>
      </w:r>
      <w:r>
        <w:rPr>
          <w:sz w:val="24"/>
        </w:rPr>
        <w:t>IPE</w:t>
      </w:r>
      <w:r>
        <w:rPr>
          <w:spacing w:val="-4"/>
          <w:sz w:val="24"/>
        </w:rPr>
        <w:t> </w:t>
      </w:r>
      <w:r>
        <w:rPr>
          <w:sz w:val="24"/>
        </w:rPr>
        <w:t>that</w:t>
      </w:r>
      <w:r>
        <w:rPr>
          <w:spacing w:val="-2"/>
          <w:sz w:val="24"/>
        </w:rPr>
        <w:t> </w:t>
      </w:r>
      <w:r>
        <w:rPr>
          <w:sz w:val="24"/>
        </w:rPr>
        <w:t>includes</w:t>
      </w:r>
      <w:r>
        <w:rPr>
          <w:spacing w:val="-4"/>
          <w:sz w:val="24"/>
        </w:rPr>
        <w:t> </w:t>
      </w:r>
      <w:r>
        <w:rPr>
          <w:sz w:val="24"/>
        </w:rPr>
        <w:t>supported</w:t>
      </w:r>
      <w:r>
        <w:rPr>
          <w:spacing w:val="-3"/>
          <w:sz w:val="24"/>
        </w:rPr>
        <w:t> </w:t>
      </w:r>
      <w:r>
        <w:rPr>
          <w:sz w:val="24"/>
        </w:rPr>
        <w:t>employment</w:t>
      </w:r>
      <w:r>
        <w:rPr>
          <w:spacing w:val="-3"/>
          <w:sz w:val="24"/>
        </w:rPr>
        <w:t> </w:t>
      </w:r>
      <w:r>
        <w:rPr>
          <w:sz w:val="24"/>
        </w:rPr>
        <w:t>services,</w:t>
      </w:r>
      <w:r>
        <w:rPr>
          <w:spacing w:val="-2"/>
          <w:sz w:val="24"/>
        </w:rPr>
        <w:t> </w:t>
      </w:r>
      <w:r>
        <w:rPr>
          <w:sz w:val="24"/>
        </w:rPr>
        <w:t>information</w:t>
      </w:r>
      <w:r>
        <w:rPr>
          <w:spacing w:val="-3"/>
          <w:sz w:val="24"/>
        </w:rPr>
        <w:t> </w:t>
      </w:r>
      <w:r>
        <w:rPr>
          <w:spacing w:val="-2"/>
          <w:sz w:val="24"/>
        </w:rPr>
        <w:t>identifying:</w:t>
      </w:r>
    </w:p>
    <w:p>
      <w:pPr>
        <w:pStyle w:val="ListParagraph"/>
        <w:numPr>
          <w:ilvl w:val="2"/>
          <w:numId w:val="140"/>
        </w:numPr>
        <w:tabs>
          <w:tab w:pos="1676" w:val="left" w:leader="none"/>
        </w:tabs>
        <w:spacing w:line="240" w:lineRule="auto" w:before="204" w:after="0"/>
        <w:ind w:left="1676" w:right="0" w:hanging="452"/>
        <w:jc w:val="left"/>
        <w:rPr>
          <w:sz w:val="24"/>
        </w:rPr>
      </w:pPr>
      <w:r>
        <w:rPr>
          <w:sz w:val="24"/>
        </w:rPr>
        <w:t>the</w:t>
      </w:r>
      <w:r>
        <w:rPr>
          <w:spacing w:val="-3"/>
          <w:sz w:val="24"/>
        </w:rPr>
        <w:t> </w:t>
      </w:r>
      <w:r>
        <w:rPr>
          <w:sz w:val="24"/>
        </w:rPr>
        <w:t>extended</w:t>
      </w:r>
      <w:r>
        <w:rPr>
          <w:spacing w:val="-3"/>
          <w:sz w:val="24"/>
        </w:rPr>
        <w:t> </w:t>
      </w:r>
      <w:r>
        <w:rPr>
          <w:sz w:val="24"/>
        </w:rPr>
        <w:t>services</w:t>
      </w:r>
      <w:r>
        <w:rPr>
          <w:spacing w:val="-3"/>
          <w:sz w:val="24"/>
        </w:rPr>
        <w:t> </w:t>
      </w:r>
      <w:r>
        <w:rPr>
          <w:sz w:val="24"/>
        </w:rPr>
        <w:t>needed</w:t>
      </w:r>
      <w:r>
        <w:rPr>
          <w:spacing w:val="-2"/>
          <w:sz w:val="24"/>
        </w:rPr>
        <w:t> </w:t>
      </w:r>
      <w:r>
        <w:rPr>
          <w:sz w:val="24"/>
        </w:rPr>
        <w:t>by</w:t>
      </w:r>
      <w:r>
        <w:rPr>
          <w:spacing w:val="-3"/>
          <w:sz w:val="24"/>
        </w:rPr>
        <w:t> </w:t>
      </w:r>
      <w:r>
        <w:rPr>
          <w:sz w:val="24"/>
        </w:rPr>
        <w:t>the</w:t>
      </w:r>
      <w:r>
        <w:rPr>
          <w:spacing w:val="-3"/>
          <w:sz w:val="24"/>
        </w:rPr>
        <w:t> </w:t>
      </w:r>
      <w:r>
        <w:rPr>
          <w:sz w:val="24"/>
        </w:rPr>
        <w:t>client;</w:t>
      </w:r>
      <w:r>
        <w:rPr>
          <w:spacing w:val="-1"/>
          <w:sz w:val="24"/>
        </w:rPr>
        <w:t> </w:t>
      </w:r>
      <w:r>
        <w:rPr>
          <w:spacing w:val="-5"/>
          <w:sz w:val="24"/>
        </w:rPr>
        <w:t>and</w:t>
      </w:r>
    </w:p>
    <w:p>
      <w:pPr>
        <w:pStyle w:val="ListParagraph"/>
        <w:numPr>
          <w:ilvl w:val="2"/>
          <w:numId w:val="140"/>
        </w:numPr>
        <w:tabs>
          <w:tab w:pos="1676" w:val="left" w:leader="none"/>
        </w:tabs>
        <w:spacing w:line="208" w:lineRule="auto" w:before="233" w:after="0"/>
        <w:ind w:left="1224" w:right="860" w:firstLine="0"/>
        <w:jc w:val="left"/>
        <w:rPr>
          <w:sz w:val="24"/>
        </w:rPr>
      </w:pPr>
      <w:r>
        <w:rPr>
          <w:sz w:val="24"/>
        </w:rPr>
        <w:t>the source of the extended services, including natural supports, or an explanation</w:t>
      </w:r>
      <w:r>
        <w:rPr>
          <w:spacing w:val="-3"/>
          <w:sz w:val="24"/>
        </w:rPr>
        <w:t> </w:t>
      </w:r>
      <w:r>
        <w:rPr>
          <w:sz w:val="24"/>
        </w:rPr>
        <w:t>concluding</w:t>
      </w:r>
      <w:r>
        <w:rPr>
          <w:spacing w:val="-3"/>
          <w:sz w:val="24"/>
        </w:rPr>
        <w:t> </w:t>
      </w:r>
      <w:r>
        <w:rPr>
          <w:sz w:val="24"/>
        </w:rPr>
        <w:t>there</w:t>
      </w:r>
      <w:r>
        <w:rPr>
          <w:spacing w:val="-4"/>
          <w:sz w:val="24"/>
        </w:rPr>
        <w:t> </w:t>
      </w:r>
      <w:r>
        <w:rPr>
          <w:sz w:val="24"/>
        </w:rPr>
        <w:t>is</w:t>
      </w:r>
      <w:r>
        <w:rPr>
          <w:spacing w:val="-4"/>
          <w:sz w:val="24"/>
        </w:rPr>
        <w:t> </w:t>
      </w:r>
      <w:r>
        <w:rPr>
          <w:sz w:val="24"/>
        </w:rPr>
        <w:t>a</w:t>
      </w:r>
      <w:r>
        <w:rPr>
          <w:spacing w:val="-5"/>
          <w:sz w:val="24"/>
        </w:rPr>
        <w:t> </w:t>
      </w:r>
      <w:r>
        <w:rPr>
          <w:sz w:val="24"/>
        </w:rPr>
        <w:t>reasonable</w:t>
      </w:r>
      <w:r>
        <w:rPr>
          <w:spacing w:val="-3"/>
          <w:sz w:val="24"/>
        </w:rPr>
        <w:t> </w:t>
      </w:r>
      <w:r>
        <w:rPr>
          <w:sz w:val="24"/>
        </w:rPr>
        <w:t>expectation</w:t>
      </w:r>
      <w:r>
        <w:rPr>
          <w:spacing w:val="-3"/>
          <w:sz w:val="24"/>
        </w:rPr>
        <w:t> </w:t>
      </w:r>
      <w:r>
        <w:rPr>
          <w:sz w:val="24"/>
        </w:rPr>
        <w:t>a</w:t>
      </w:r>
      <w:r>
        <w:rPr>
          <w:spacing w:val="-4"/>
          <w:sz w:val="24"/>
        </w:rPr>
        <w:t> </w:t>
      </w:r>
      <w:r>
        <w:rPr>
          <w:sz w:val="24"/>
        </w:rPr>
        <w:t>source</w:t>
      </w:r>
      <w:r>
        <w:rPr>
          <w:spacing w:val="-4"/>
          <w:sz w:val="24"/>
        </w:rPr>
        <w:t> </w:t>
      </w:r>
      <w:r>
        <w:rPr>
          <w:sz w:val="24"/>
        </w:rPr>
        <w:t>will</w:t>
      </w:r>
      <w:r>
        <w:rPr>
          <w:spacing w:val="-4"/>
          <w:sz w:val="24"/>
        </w:rPr>
        <w:t> </w:t>
      </w:r>
      <w:r>
        <w:rPr>
          <w:sz w:val="24"/>
        </w:rPr>
        <w:t>become available; and</w:t>
      </w:r>
    </w:p>
    <w:p>
      <w:pPr>
        <w:pStyle w:val="ListParagraph"/>
        <w:numPr>
          <w:ilvl w:val="2"/>
          <w:numId w:val="140"/>
        </w:numPr>
        <w:tabs>
          <w:tab w:pos="1689" w:val="left" w:leader="none"/>
        </w:tabs>
        <w:spacing w:line="240" w:lineRule="auto" w:before="211" w:after="0"/>
        <w:ind w:left="1689" w:right="0" w:hanging="465"/>
        <w:jc w:val="left"/>
        <w:rPr>
          <w:b/>
          <w:sz w:val="24"/>
        </w:rPr>
      </w:pPr>
      <w:r>
        <w:rPr>
          <w:sz w:val="24"/>
        </w:rPr>
        <w:t>the</w:t>
      </w:r>
      <w:r>
        <w:rPr>
          <w:spacing w:val="-3"/>
          <w:sz w:val="24"/>
        </w:rPr>
        <w:t> </w:t>
      </w:r>
      <w:r>
        <w:rPr>
          <w:sz w:val="24"/>
        </w:rPr>
        <w:t>weekly</w:t>
      </w:r>
      <w:r>
        <w:rPr>
          <w:spacing w:val="-3"/>
          <w:sz w:val="24"/>
        </w:rPr>
        <w:t> </w:t>
      </w:r>
      <w:r>
        <w:rPr>
          <w:sz w:val="24"/>
        </w:rPr>
        <w:t>work</w:t>
      </w:r>
      <w:r>
        <w:rPr>
          <w:spacing w:val="-3"/>
          <w:sz w:val="24"/>
        </w:rPr>
        <w:t> </w:t>
      </w:r>
      <w:r>
        <w:rPr>
          <w:sz w:val="24"/>
        </w:rPr>
        <w:t>goal.</w:t>
      </w:r>
      <w:r>
        <w:rPr>
          <w:spacing w:val="-1"/>
          <w:sz w:val="24"/>
        </w:rPr>
        <w:t> </w:t>
      </w:r>
      <w:r>
        <w:rPr>
          <w:b/>
          <w:spacing w:val="-10"/>
          <w:sz w:val="24"/>
        </w:rPr>
        <w:t>3</w:t>
      </w:r>
    </w:p>
    <w:p>
      <w:pPr>
        <w:pStyle w:val="ListParagraph"/>
        <w:numPr>
          <w:ilvl w:val="1"/>
          <w:numId w:val="140"/>
        </w:numPr>
        <w:tabs>
          <w:tab w:pos="1217" w:val="left" w:leader="none"/>
        </w:tabs>
        <w:spacing w:line="208" w:lineRule="auto" w:before="233" w:after="0"/>
        <w:ind w:left="791" w:right="1134" w:firstLine="0"/>
        <w:jc w:val="left"/>
        <w:rPr>
          <w:sz w:val="24"/>
        </w:rPr>
      </w:pPr>
      <w:r>
        <w:rPr>
          <w:sz w:val="24"/>
        </w:rPr>
        <w:t>if</w:t>
      </w:r>
      <w:r>
        <w:rPr>
          <w:spacing w:val="-5"/>
          <w:sz w:val="24"/>
        </w:rPr>
        <w:t> </w:t>
      </w:r>
      <w:r>
        <w:rPr>
          <w:sz w:val="24"/>
        </w:rPr>
        <w:t>it</w:t>
      </w:r>
      <w:r>
        <w:rPr>
          <w:spacing w:val="-3"/>
          <w:sz w:val="24"/>
        </w:rPr>
        <w:t> </w:t>
      </w:r>
      <w:r>
        <w:rPr>
          <w:sz w:val="24"/>
        </w:rPr>
        <w:t>appears</w:t>
      </w:r>
      <w:r>
        <w:rPr>
          <w:spacing w:val="-4"/>
          <w:sz w:val="24"/>
        </w:rPr>
        <w:t> </w:t>
      </w:r>
      <w:r>
        <w:rPr>
          <w:sz w:val="24"/>
        </w:rPr>
        <w:t>they</w:t>
      </w:r>
      <w:r>
        <w:rPr>
          <w:spacing w:val="-4"/>
          <w:sz w:val="24"/>
        </w:rPr>
        <w:t> </w:t>
      </w:r>
      <w:r>
        <w:rPr>
          <w:sz w:val="24"/>
        </w:rPr>
        <w:t>will</w:t>
      </w:r>
      <w:r>
        <w:rPr>
          <w:spacing w:val="-4"/>
          <w:sz w:val="24"/>
        </w:rPr>
        <w:t> </w:t>
      </w:r>
      <w:r>
        <w:rPr>
          <w:sz w:val="24"/>
        </w:rPr>
        <w:t>be</w:t>
      </w:r>
      <w:r>
        <w:rPr>
          <w:spacing w:val="-4"/>
          <w:sz w:val="24"/>
        </w:rPr>
        <w:t> </w:t>
      </w:r>
      <w:r>
        <w:rPr>
          <w:sz w:val="24"/>
        </w:rPr>
        <w:t>necessary,</w:t>
      </w:r>
      <w:r>
        <w:rPr>
          <w:spacing w:val="-3"/>
          <w:sz w:val="24"/>
        </w:rPr>
        <w:t> </w:t>
      </w:r>
      <w:r>
        <w:rPr>
          <w:sz w:val="24"/>
        </w:rPr>
        <w:t>a</w:t>
      </w:r>
      <w:r>
        <w:rPr>
          <w:spacing w:val="-4"/>
          <w:sz w:val="24"/>
        </w:rPr>
        <w:t> </w:t>
      </w:r>
      <w:r>
        <w:rPr>
          <w:sz w:val="24"/>
        </w:rPr>
        <w:t>statement</w:t>
      </w:r>
      <w:r>
        <w:rPr>
          <w:spacing w:val="-3"/>
          <w:sz w:val="24"/>
        </w:rPr>
        <w:t> </w:t>
      </w:r>
      <w:r>
        <w:rPr>
          <w:sz w:val="24"/>
        </w:rPr>
        <w:t>of</w:t>
      </w:r>
      <w:r>
        <w:rPr>
          <w:spacing w:val="-3"/>
          <w:sz w:val="24"/>
        </w:rPr>
        <w:t> </w:t>
      </w:r>
      <w:r>
        <w:rPr>
          <w:sz w:val="24"/>
        </w:rPr>
        <w:t>needed</w:t>
      </w:r>
      <w:r>
        <w:rPr>
          <w:spacing w:val="-4"/>
          <w:sz w:val="24"/>
        </w:rPr>
        <w:t> </w:t>
      </w:r>
      <w:r>
        <w:rPr>
          <w:sz w:val="24"/>
        </w:rPr>
        <w:t>post-employment </w:t>
      </w:r>
      <w:r>
        <w:rPr>
          <w:spacing w:val="-2"/>
          <w:sz w:val="24"/>
        </w:rPr>
        <w:t>services.</w:t>
      </w:r>
    </w:p>
    <w:p>
      <w:pPr>
        <w:pStyle w:val="BodyText"/>
        <w:spacing w:before="211"/>
        <w:ind w:left="359"/>
      </w:pPr>
      <w:r>
        <w:rPr/>
        <w:t>Instructions</w:t>
      </w:r>
      <w:r>
        <w:rPr>
          <w:spacing w:val="-5"/>
        </w:rPr>
        <w:t> </w:t>
      </w:r>
      <w:r>
        <w:rPr/>
        <w:t>to</w:t>
      </w:r>
      <w:r>
        <w:rPr>
          <w:spacing w:val="-2"/>
        </w:rPr>
        <w:t> </w:t>
      </w:r>
      <w:r>
        <w:rPr>
          <w:spacing w:val="-4"/>
        </w:rPr>
        <w:t>Staff</w:t>
      </w:r>
    </w:p>
    <w:p>
      <w:pPr>
        <w:pStyle w:val="ListParagraph"/>
        <w:numPr>
          <w:ilvl w:val="0"/>
          <w:numId w:val="141"/>
        </w:numPr>
        <w:tabs>
          <w:tab w:pos="1077" w:val="left" w:leader="none"/>
        </w:tabs>
        <w:spacing w:line="240" w:lineRule="auto" w:before="204" w:after="0"/>
        <w:ind w:left="1077" w:right="0" w:hanging="286"/>
        <w:jc w:val="left"/>
        <w:rPr>
          <w:sz w:val="24"/>
        </w:rPr>
      </w:pPr>
      <w:r>
        <w:rPr>
          <w:sz w:val="24"/>
        </w:rPr>
        <w:t>See</w:t>
      </w:r>
      <w:r>
        <w:rPr>
          <w:spacing w:val="-5"/>
          <w:sz w:val="24"/>
        </w:rPr>
        <w:t> </w:t>
      </w:r>
      <w:hyperlink w:history="true" w:anchor="_bookmark10">
        <w:r>
          <w:rPr>
            <w:color w:val="0000FF"/>
            <w:sz w:val="24"/>
            <w:u w:val="single" w:color="0000FF"/>
          </w:rPr>
          <w:t>612:10-7-24.1</w:t>
        </w:r>
      </w:hyperlink>
      <w:r>
        <w:rPr>
          <w:color w:val="0000FF"/>
          <w:spacing w:val="-4"/>
          <w:sz w:val="24"/>
          <w:u w:val="none"/>
        </w:rPr>
        <w:t> </w:t>
      </w:r>
      <w:r>
        <w:rPr>
          <w:sz w:val="24"/>
          <w:u w:val="none"/>
        </w:rPr>
        <w:t>Basic</w:t>
      </w:r>
      <w:r>
        <w:rPr>
          <w:spacing w:val="-5"/>
          <w:sz w:val="24"/>
          <w:u w:val="none"/>
        </w:rPr>
        <w:t> </w:t>
      </w:r>
      <w:r>
        <w:rPr>
          <w:sz w:val="24"/>
          <w:u w:val="none"/>
        </w:rPr>
        <w:t>eligibility</w:t>
      </w:r>
      <w:r>
        <w:rPr>
          <w:spacing w:val="-4"/>
          <w:sz w:val="24"/>
          <w:u w:val="none"/>
        </w:rPr>
        <w:t> </w:t>
      </w:r>
      <w:r>
        <w:rPr>
          <w:spacing w:val="-2"/>
          <w:sz w:val="24"/>
          <w:u w:val="none"/>
        </w:rPr>
        <w:t>requirements.</w:t>
      </w:r>
    </w:p>
    <w:p>
      <w:pPr>
        <w:pStyle w:val="ListParagraph"/>
        <w:spacing w:after="0" w:line="240" w:lineRule="auto"/>
        <w:jc w:val="left"/>
        <w:rPr>
          <w:sz w:val="24"/>
        </w:rPr>
        <w:sectPr>
          <w:pgSz w:w="12240" w:h="15840"/>
          <w:pgMar w:top="1340" w:bottom="280" w:left="1080" w:right="720"/>
        </w:sectPr>
      </w:pPr>
    </w:p>
    <w:p>
      <w:pPr>
        <w:pStyle w:val="ListParagraph"/>
        <w:numPr>
          <w:ilvl w:val="0"/>
          <w:numId w:val="141"/>
        </w:numPr>
        <w:tabs>
          <w:tab w:pos="1077" w:val="left" w:leader="none"/>
        </w:tabs>
        <w:spacing w:line="208" w:lineRule="auto" w:before="96" w:after="0"/>
        <w:ind w:left="791" w:right="1765" w:firstLine="0"/>
        <w:jc w:val="left"/>
        <w:rPr>
          <w:sz w:val="24"/>
        </w:rPr>
      </w:pPr>
      <w:r>
        <w:rPr>
          <w:sz w:val="24"/>
        </w:rPr>
        <w:t>Counselor</w:t>
      </w:r>
      <w:r>
        <w:rPr>
          <w:spacing w:val="-4"/>
          <w:sz w:val="24"/>
        </w:rPr>
        <w:t> </w:t>
      </w:r>
      <w:r>
        <w:rPr>
          <w:sz w:val="24"/>
        </w:rPr>
        <w:t>and</w:t>
      </w:r>
      <w:r>
        <w:rPr>
          <w:spacing w:val="-5"/>
          <w:sz w:val="24"/>
        </w:rPr>
        <w:t> </w:t>
      </w:r>
      <w:r>
        <w:rPr>
          <w:sz w:val="24"/>
        </w:rPr>
        <w:t>client,</w:t>
      </w:r>
      <w:r>
        <w:rPr>
          <w:spacing w:val="-6"/>
          <w:sz w:val="24"/>
        </w:rPr>
        <w:t> </w:t>
      </w:r>
      <w:r>
        <w:rPr>
          <w:sz w:val="24"/>
        </w:rPr>
        <w:t>or</w:t>
      </w:r>
      <w:r>
        <w:rPr>
          <w:spacing w:val="-4"/>
          <w:sz w:val="24"/>
        </w:rPr>
        <w:t> </w:t>
      </w:r>
      <w:r>
        <w:rPr>
          <w:sz w:val="24"/>
        </w:rPr>
        <w:t>authorized</w:t>
      </w:r>
      <w:r>
        <w:rPr>
          <w:spacing w:val="-5"/>
          <w:sz w:val="24"/>
        </w:rPr>
        <w:t> </w:t>
      </w:r>
      <w:r>
        <w:rPr>
          <w:sz w:val="24"/>
        </w:rPr>
        <w:t>representative,</w:t>
      </w:r>
      <w:r>
        <w:rPr>
          <w:spacing w:val="-4"/>
          <w:sz w:val="24"/>
        </w:rPr>
        <w:t> </w:t>
      </w:r>
      <w:r>
        <w:rPr>
          <w:sz w:val="24"/>
        </w:rPr>
        <w:t>should</w:t>
      </w:r>
      <w:r>
        <w:rPr>
          <w:spacing w:val="-5"/>
          <w:sz w:val="24"/>
        </w:rPr>
        <w:t> </w:t>
      </w:r>
      <w:r>
        <w:rPr>
          <w:sz w:val="24"/>
        </w:rPr>
        <w:t>complete</w:t>
      </w:r>
      <w:r>
        <w:rPr>
          <w:spacing w:val="-5"/>
          <w:sz w:val="24"/>
        </w:rPr>
        <w:t> </w:t>
      </w:r>
      <w:r>
        <w:rPr>
          <w:sz w:val="24"/>
        </w:rPr>
        <w:t>the Extension of Time to Complete IPE form.</w:t>
      </w:r>
    </w:p>
    <w:p>
      <w:pPr>
        <w:pStyle w:val="ListParagraph"/>
        <w:numPr>
          <w:ilvl w:val="0"/>
          <w:numId w:val="141"/>
        </w:numPr>
        <w:tabs>
          <w:tab w:pos="1077" w:val="left" w:leader="none"/>
        </w:tabs>
        <w:spacing w:line="208" w:lineRule="auto" w:before="240" w:after="0"/>
        <w:ind w:left="791" w:right="1436" w:firstLine="0"/>
        <w:jc w:val="left"/>
        <w:rPr>
          <w:sz w:val="24"/>
        </w:rPr>
      </w:pPr>
      <w:r>
        <w:rPr>
          <w:sz w:val="24"/>
        </w:rPr>
        <w:t>The</w:t>
      </w:r>
      <w:r>
        <w:rPr>
          <w:spacing w:val="-4"/>
          <w:sz w:val="24"/>
        </w:rPr>
        <w:t> </w:t>
      </w:r>
      <w:r>
        <w:rPr>
          <w:sz w:val="24"/>
        </w:rPr>
        <w:t>IPE</w:t>
      </w:r>
      <w:r>
        <w:rPr>
          <w:spacing w:val="-4"/>
          <w:sz w:val="24"/>
        </w:rPr>
        <w:t> </w:t>
      </w:r>
      <w:r>
        <w:rPr>
          <w:sz w:val="24"/>
        </w:rPr>
        <w:t>should</w:t>
      </w:r>
      <w:r>
        <w:rPr>
          <w:spacing w:val="-4"/>
          <w:sz w:val="24"/>
        </w:rPr>
        <w:t> </w:t>
      </w:r>
      <w:r>
        <w:rPr>
          <w:sz w:val="24"/>
        </w:rPr>
        <w:t>be</w:t>
      </w:r>
      <w:r>
        <w:rPr>
          <w:spacing w:val="-4"/>
          <w:sz w:val="24"/>
        </w:rPr>
        <w:t> </w:t>
      </w:r>
      <w:r>
        <w:rPr>
          <w:sz w:val="24"/>
        </w:rPr>
        <w:t>given</w:t>
      </w:r>
      <w:r>
        <w:rPr>
          <w:spacing w:val="-4"/>
          <w:sz w:val="24"/>
        </w:rPr>
        <w:t> </w:t>
      </w:r>
      <w:r>
        <w:rPr>
          <w:sz w:val="24"/>
        </w:rPr>
        <w:t>to</w:t>
      </w:r>
      <w:r>
        <w:rPr>
          <w:spacing w:val="-4"/>
          <w:sz w:val="24"/>
        </w:rPr>
        <w:t> </w:t>
      </w:r>
      <w:r>
        <w:rPr>
          <w:sz w:val="24"/>
        </w:rPr>
        <w:t>the</w:t>
      </w:r>
      <w:r>
        <w:rPr>
          <w:spacing w:val="-4"/>
          <w:sz w:val="24"/>
        </w:rPr>
        <w:t> </w:t>
      </w:r>
      <w:r>
        <w:rPr>
          <w:sz w:val="24"/>
        </w:rPr>
        <w:t>Supported</w:t>
      </w:r>
      <w:r>
        <w:rPr>
          <w:spacing w:val="-4"/>
          <w:sz w:val="24"/>
        </w:rPr>
        <w:t> </w:t>
      </w:r>
      <w:r>
        <w:rPr>
          <w:sz w:val="24"/>
        </w:rPr>
        <w:t>Employment</w:t>
      </w:r>
      <w:r>
        <w:rPr>
          <w:spacing w:val="-3"/>
          <w:sz w:val="24"/>
        </w:rPr>
        <w:t> </w:t>
      </w:r>
      <w:r>
        <w:rPr>
          <w:sz w:val="24"/>
        </w:rPr>
        <w:t>vendor</w:t>
      </w:r>
      <w:r>
        <w:rPr>
          <w:spacing w:val="-3"/>
          <w:sz w:val="24"/>
        </w:rPr>
        <w:t> </w:t>
      </w:r>
      <w:r>
        <w:rPr>
          <w:sz w:val="24"/>
        </w:rPr>
        <w:t>with</w:t>
      </w:r>
      <w:r>
        <w:rPr>
          <w:spacing w:val="-4"/>
          <w:sz w:val="24"/>
        </w:rPr>
        <w:t> </w:t>
      </w:r>
      <w:r>
        <w:rPr>
          <w:sz w:val="24"/>
        </w:rPr>
        <w:t>signed release by client, guardian or authorized representative.</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8-1-96</w:t>
      </w:r>
      <w:r>
        <w:rPr>
          <w:sz w:val="22"/>
        </w:rPr>
        <w:tab/>
        <w:t>PT Memo #97-2</w:t>
      </w:r>
    </w:p>
    <w:p>
      <w:pPr>
        <w:tabs>
          <w:tab w:pos="1439" w:val="left" w:leader="none"/>
        </w:tabs>
        <w:spacing w:before="0"/>
        <w:ind w:left="359" w:right="3314" w:firstLine="1080"/>
        <w:jc w:val="left"/>
        <w:rPr>
          <w:sz w:val="22"/>
        </w:rPr>
      </w:pPr>
      <w:r>
        <w:rPr>
          <w:sz w:val="22"/>
        </w:rPr>
        <w:t>Permanent,</w:t>
      </w:r>
      <w:r>
        <w:rPr>
          <w:spacing w:val="-6"/>
          <w:sz w:val="22"/>
        </w:rPr>
        <w:t> </w:t>
      </w:r>
      <w:r>
        <w:rPr>
          <w:sz w:val="22"/>
        </w:rPr>
        <w:t>changed</w:t>
      </w:r>
      <w:r>
        <w:rPr>
          <w:spacing w:val="-7"/>
          <w:sz w:val="22"/>
        </w:rPr>
        <w:t> </w:t>
      </w:r>
      <w:r>
        <w:rPr>
          <w:sz w:val="22"/>
        </w:rPr>
        <w:t>Section</w:t>
      </w:r>
      <w:r>
        <w:rPr>
          <w:spacing w:val="-7"/>
          <w:sz w:val="22"/>
        </w:rPr>
        <w:t> </w:t>
      </w:r>
      <w:r>
        <w:rPr>
          <w:sz w:val="22"/>
        </w:rPr>
        <w:t>tagline,</w:t>
      </w:r>
      <w:r>
        <w:rPr>
          <w:spacing w:val="-7"/>
          <w:sz w:val="22"/>
        </w:rPr>
        <w:t> </w:t>
      </w:r>
      <w:r>
        <w:rPr>
          <w:sz w:val="22"/>
        </w:rPr>
        <w:t>updated</w:t>
      </w:r>
      <w:r>
        <w:rPr>
          <w:spacing w:val="-7"/>
          <w:sz w:val="22"/>
        </w:rPr>
        <w:t> </w:t>
      </w:r>
      <w:r>
        <w:rPr>
          <w:sz w:val="22"/>
        </w:rPr>
        <w:t>form</w:t>
      </w:r>
      <w:r>
        <w:rPr>
          <w:spacing w:val="-8"/>
          <w:sz w:val="22"/>
        </w:rPr>
        <w:t> </w:t>
      </w:r>
      <w:r>
        <w:rPr>
          <w:sz w:val="22"/>
        </w:rPr>
        <w:t>names </w:t>
      </w:r>
      <w:r>
        <w:rPr>
          <w:spacing w:val="-2"/>
          <w:sz w:val="22"/>
        </w:rPr>
        <w:t>7-1-97</w:t>
      </w:r>
      <w:r>
        <w:rPr>
          <w:sz w:val="22"/>
        </w:rPr>
        <w:tab/>
        <w:t>PT Memo #97-9</w:t>
      </w:r>
    </w:p>
    <w:p>
      <w:pPr>
        <w:tabs>
          <w:tab w:pos="1439" w:val="left" w:leader="none"/>
        </w:tabs>
        <w:spacing w:before="0"/>
        <w:ind w:left="359" w:right="3067" w:firstLine="1080"/>
        <w:jc w:val="left"/>
        <w:rPr>
          <w:sz w:val="22"/>
        </w:rPr>
      </w:pPr>
      <w:r>
        <w:rPr>
          <w:sz w:val="22"/>
        </w:rPr>
        <w:t>Permanent,</w:t>
      </w:r>
      <w:r>
        <w:rPr>
          <w:spacing w:val="-7"/>
          <w:sz w:val="22"/>
        </w:rPr>
        <w:t> </w:t>
      </w:r>
      <w:r>
        <w:rPr>
          <w:sz w:val="22"/>
        </w:rPr>
        <w:t>Supported</w:t>
      </w:r>
      <w:r>
        <w:rPr>
          <w:spacing w:val="-8"/>
          <w:sz w:val="22"/>
        </w:rPr>
        <w:t> </w:t>
      </w:r>
      <w:r>
        <w:rPr>
          <w:sz w:val="22"/>
        </w:rPr>
        <w:t>Employment</w:t>
      </w:r>
      <w:r>
        <w:rPr>
          <w:spacing w:val="-7"/>
          <w:sz w:val="22"/>
        </w:rPr>
        <w:t> </w:t>
      </w:r>
      <w:r>
        <w:rPr>
          <w:sz w:val="22"/>
        </w:rPr>
        <w:t>milestone</w:t>
      </w:r>
      <w:r>
        <w:rPr>
          <w:spacing w:val="-8"/>
          <w:sz w:val="22"/>
        </w:rPr>
        <w:t> </w:t>
      </w:r>
      <w:r>
        <w:rPr>
          <w:sz w:val="22"/>
        </w:rPr>
        <w:t>system</w:t>
      </w:r>
      <w:r>
        <w:rPr>
          <w:spacing w:val="-9"/>
          <w:sz w:val="22"/>
        </w:rPr>
        <w:t> </w:t>
      </w:r>
      <w:r>
        <w:rPr>
          <w:sz w:val="22"/>
        </w:rPr>
        <w:t>added </w:t>
      </w:r>
      <w:r>
        <w:rPr>
          <w:spacing w:val="-2"/>
          <w:sz w:val="22"/>
        </w:rPr>
        <w:t>10-1-97</w:t>
      </w:r>
      <w:r>
        <w:rPr>
          <w:sz w:val="22"/>
        </w:rPr>
        <w:tab/>
        <w:t>PT Memo #98-4</w:t>
      </w:r>
    </w:p>
    <w:p>
      <w:pPr>
        <w:spacing w:before="0"/>
        <w:ind w:left="1439" w:right="775" w:firstLine="0"/>
        <w:jc w:val="left"/>
        <w:rPr>
          <w:sz w:val="22"/>
        </w:rPr>
      </w:pPr>
      <w:r>
        <w:rPr>
          <w:sz w:val="22"/>
        </w:rPr>
        <w:t>Emergency,</w:t>
      </w:r>
      <w:r>
        <w:rPr>
          <w:spacing w:val="-5"/>
          <w:sz w:val="22"/>
        </w:rPr>
        <w:t> </w:t>
      </w:r>
      <w:r>
        <w:rPr>
          <w:sz w:val="22"/>
        </w:rPr>
        <w:t>informed</w:t>
      </w:r>
      <w:r>
        <w:rPr>
          <w:spacing w:val="-5"/>
          <w:sz w:val="22"/>
        </w:rPr>
        <w:t> </w:t>
      </w:r>
      <w:r>
        <w:rPr>
          <w:sz w:val="22"/>
        </w:rPr>
        <w:t>choice</w:t>
      </w:r>
      <w:r>
        <w:rPr>
          <w:spacing w:val="-5"/>
          <w:sz w:val="22"/>
        </w:rPr>
        <w:t> </w:t>
      </w:r>
      <w:r>
        <w:rPr>
          <w:sz w:val="22"/>
        </w:rPr>
        <w:t>language</w:t>
      </w:r>
      <w:r>
        <w:rPr>
          <w:spacing w:val="-5"/>
          <w:sz w:val="22"/>
        </w:rPr>
        <w:t> </w:t>
      </w:r>
      <w:r>
        <w:rPr>
          <w:sz w:val="22"/>
        </w:rPr>
        <w:t>added,</w:t>
      </w:r>
      <w:r>
        <w:rPr>
          <w:spacing w:val="-5"/>
          <w:sz w:val="22"/>
        </w:rPr>
        <w:t> </w:t>
      </w:r>
      <w:r>
        <w:rPr>
          <w:sz w:val="22"/>
        </w:rPr>
        <w:t>form</w:t>
      </w:r>
      <w:r>
        <w:rPr>
          <w:spacing w:val="-6"/>
          <w:sz w:val="22"/>
        </w:rPr>
        <w:t> </w:t>
      </w:r>
      <w:r>
        <w:rPr>
          <w:sz w:val="22"/>
        </w:rPr>
        <w:t>name</w:t>
      </w:r>
      <w:r>
        <w:rPr>
          <w:spacing w:val="-5"/>
          <w:sz w:val="22"/>
        </w:rPr>
        <w:t> </w:t>
      </w:r>
      <w:r>
        <w:rPr>
          <w:sz w:val="22"/>
        </w:rPr>
        <w:t>changes,</w:t>
      </w:r>
      <w:r>
        <w:rPr>
          <w:spacing w:val="-5"/>
          <w:sz w:val="22"/>
        </w:rPr>
        <w:t> </w:t>
      </w:r>
      <w:r>
        <w:rPr>
          <w:sz w:val="22"/>
        </w:rPr>
        <w:t>updated requirements for IRP having Supported Employment services</w:t>
      </w:r>
    </w:p>
    <w:p>
      <w:pPr>
        <w:pStyle w:val="ListParagraph"/>
        <w:numPr>
          <w:ilvl w:val="2"/>
          <w:numId w:val="142"/>
        </w:numPr>
        <w:tabs>
          <w:tab w:pos="1439" w:val="left" w:leader="none"/>
        </w:tabs>
        <w:spacing w:line="253"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#98-</w:t>
      </w:r>
      <w:r>
        <w:rPr>
          <w:spacing w:val="-5"/>
          <w:sz w:val="22"/>
        </w:rPr>
        <w:t>15</w:t>
      </w:r>
    </w:p>
    <w:p>
      <w:pPr>
        <w:spacing w:before="0"/>
        <w:ind w:left="1439" w:right="775" w:firstLine="0"/>
        <w:jc w:val="left"/>
        <w:rPr>
          <w:sz w:val="22"/>
        </w:rPr>
      </w:pPr>
      <w:r>
        <w:rPr>
          <w:sz w:val="22"/>
        </w:rPr>
        <w:t>Permanent rules supersede emergency rules issued 10-1-97; informed choice; program review done on C-11, form is gone; Support Employment go ahead and initiate</w:t>
      </w:r>
      <w:r>
        <w:rPr>
          <w:spacing w:val="-3"/>
          <w:sz w:val="22"/>
        </w:rPr>
        <w:t> </w:t>
      </w:r>
      <w:r>
        <w:rPr>
          <w:sz w:val="22"/>
        </w:rPr>
        <w:t>IRP</w:t>
      </w:r>
      <w:r>
        <w:rPr>
          <w:spacing w:val="-5"/>
          <w:sz w:val="22"/>
        </w:rPr>
        <w:t> </w:t>
      </w:r>
      <w:r>
        <w:rPr>
          <w:sz w:val="22"/>
        </w:rPr>
        <w:t>when</w:t>
      </w:r>
      <w:r>
        <w:rPr>
          <w:spacing w:val="-3"/>
          <w:sz w:val="22"/>
        </w:rPr>
        <w:t> </w:t>
      </w:r>
      <w:r>
        <w:rPr>
          <w:sz w:val="22"/>
        </w:rPr>
        <w:t>no</w:t>
      </w:r>
      <w:r>
        <w:rPr>
          <w:spacing w:val="-3"/>
          <w:sz w:val="22"/>
        </w:rPr>
        <w:t> </w:t>
      </w:r>
      <w:r>
        <w:rPr>
          <w:sz w:val="22"/>
        </w:rPr>
        <w:t>extended</w:t>
      </w:r>
      <w:r>
        <w:rPr>
          <w:spacing w:val="-3"/>
          <w:sz w:val="22"/>
        </w:rPr>
        <w:t> </w:t>
      </w:r>
      <w:r>
        <w:rPr>
          <w:sz w:val="22"/>
        </w:rPr>
        <w:t>service</w:t>
      </w:r>
      <w:r>
        <w:rPr>
          <w:spacing w:val="-3"/>
          <w:sz w:val="22"/>
        </w:rPr>
        <w:t> </w:t>
      </w:r>
      <w:r>
        <w:rPr>
          <w:sz w:val="22"/>
        </w:rPr>
        <w:t>provider,</w:t>
      </w:r>
      <w:r>
        <w:rPr>
          <w:spacing w:val="-4"/>
          <w:sz w:val="22"/>
        </w:rPr>
        <w:t> </w:t>
      </w:r>
      <w:r>
        <w:rPr>
          <w:sz w:val="22"/>
        </w:rPr>
        <w:t>but</w:t>
      </w:r>
      <w:r>
        <w:rPr>
          <w:spacing w:val="-3"/>
          <w:sz w:val="22"/>
        </w:rPr>
        <w:t> </w:t>
      </w:r>
      <w:r>
        <w:rPr>
          <w:sz w:val="22"/>
        </w:rPr>
        <w:t>state</w:t>
      </w:r>
      <w:r>
        <w:rPr>
          <w:spacing w:val="-3"/>
          <w:sz w:val="22"/>
        </w:rPr>
        <w:t> </w:t>
      </w:r>
      <w:r>
        <w:rPr>
          <w:sz w:val="22"/>
        </w:rPr>
        <w:t>why</w:t>
      </w:r>
      <w:r>
        <w:rPr>
          <w:spacing w:val="-3"/>
          <w:sz w:val="22"/>
        </w:rPr>
        <w:t> </w:t>
      </w:r>
      <w:r>
        <w:rPr>
          <w:sz w:val="22"/>
        </w:rPr>
        <w:t>expect</w:t>
      </w:r>
      <w:r>
        <w:rPr>
          <w:spacing w:val="-3"/>
          <w:sz w:val="22"/>
        </w:rPr>
        <w:t> </w:t>
      </w:r>
      <w:r>
        <w:rPr>
          <w:sz w:val="22"/>
        </w:rPr>
        <w:t>to</w:t>
      </w:r>
      <w:r>
        <w:rPr>
          <w:spacing w:val="-6"/>
          <w:sz w:val="22"/>
        </w:rPr>
        <w:t> </w:t>
      </w:r>
      <w:r>
        <w:rPr>
          <w:sz w:val="22"/>
        </w:rPr>
        <w:t>have</w:t>
      </w:r>
      <w:r>
        <w:rPr>
          <w:spacing w:val="-3"/>
          <w:sz w:val="22"/>
        </w:rPr>
        <w:t> </w:t>
      </w:r>
      <w:r>
        <w:rPr>
          <w:sz w:val="22"/>
        </w:rPr>
        <w:t>one</w:t>
      </w:r>
    </w:p>
    <w:p>
      <w:pPr>
        <w:tabs>
          <w:tab w:pos="1439" w:val="left" w:leader="none"/>
        </w:tabs>
        <w:spacing w:before="0"/>
        <w:ind w:left="359" w:right="0" w:firstLine="0"/>
        <w:jc w:val="left"/>
        <w:rPr>
          <w:sz w:val="22"/>
        </w:rPr>
      </w:pPr>
      <w:r>
        <w:rPr>
          <w:spacing w:val="-2"/>
          <w:sz w:val="22"/>
        </w:rPr>
        <w:t>6-14-</w:t>
      </w:r>
      <w:r>
        <w:rPr>
          <w:spacing w:val="-5"/>
          <w:sz w:val="22"/>
        </w:rPr>
        <w:t>99</w:t>
      </w:r>
      <w:r>
        <w:rPr>
          <w:sz w:val="22"/>
        </w:rPr>
        <w:tab/>
        <w:t>POL</w:t>
      </w:r>
      <w:r>
        <w:rPr>
          <w:spacing w:val="-9"/>
          <w:sz w:val="22"/>
        </w:rPr>
        <w:t> </w:t>
      </w:r>
      <w:r>
        <w:rPr>
          <w:sz w:val="22"/>
        </w:rPr>
        <w:t>Memo</w:t>
      </w:r>
      <w:r>
        <w:rPr>
          <w:spacing w:val="-8"/>
          <w:sz w:val="22"/>
        </w:rPr>
        <w:t> </w:t>
      </w:r>
      <w:r>
        <w:rPr>
          <w:sz w:val="22"/>
        </w:rPr>
        <w:t>#99-</w:t>
      </w:r>
      <w:r>
        <w:rPr>
          <w:spacing w:val="-10"/>
          <w:sz w:val="22"/>
        </w:rPr>
        <w:t>7</w:t>
      </w:r>
    </w:p>
    <w:p>
      <w:pPr>
        <w:spacing w:before="1"/>
        <w:ind w:left="1439" w:right="775" w:firstLine="0"/>
        <w:jc w:val="left"/>
        <w:rPr>
          <w:sz w:val="22"/>
        </w:rPr>
      </w:pPr>
      <w:r>
        <w:rPr>
          <w:sz w:val="22"/>
        </w:rPr>
        <w:t>Emergency,</w:t>
      </w:r>
      <w:r>
        <w:rPr>
          <w:spacing w:val="-4"/>
          <w:sz w:val="22"/>
        </w:rPr>
        <w:t> </w:t>
      </w:r>
      <w:r>
        <w:rPr>
          <w:sz w:val="22"/>
        </w:rPr>
        <w:t>new</w:t>
      </w:r>
      <w:r>
        <w:rPr>
          <w:spacing w:val="-5"/>
          <w:sz w:val="22"/>
        </w:rPr>
        <w:t> </w:t>
      </w:r>
      <w:r>
        <w:rPr>
          <w:sz w:val="22"/>
        </w:rPr>
        <w:t>content</w:t>
      </w:r>
      <w:r>
        <w:rPr>
          <w:spacing w:val="-4"/>
          <w:sz w:val="22"/>
        </w:rPr>
        <w:t> </w:t>
      </w:r>
      <w:r>
        <w:rPr>
          <w:sz w:val="22"/>
        </w:rPr>
        <w:t>requirements</w:t>
      </w:r>
      <w:r>
        <w:rPr>
          <w:spacing w:val="-4"/>
          <w:sz w:val="22"/>
        </w:rPr>
        <w:t> </w:t>
      </w:r>
      <w:r>
        <w:rPr>
          <w:sz w:val="22"/>
        </w:rPr>
        <w:t>for</w:t>
      </w:r>
      <w:r>
        <w:rPr>
          <w:spacing w:val="-4"/>
          <w:sz w:val="22"/>
        </w:rPr>
        <w:t> </w:t>
      </w:r>
      <w:r>
        <w:rPr>
          <w:sz w:val="22"/>
        </w:rPr>
        <w:t>the</w:t>
      </w:r>
      <w:r>
        <w:rPr>
          <w:spacing w:val="-4"/>
          <w:sz w:val="22"/>
        </w:rPr>
        <w:t> </w:t>
      </w:r>
      <w:r>
        <w:rPr>
          <w:sz w:val="22"/>
        </w:rPr>
        <w:t>IPE</w:t>
      </w:r>
      <w:r>
        <w:rPr>
          <w:spacing w:val="-4"/>
          <w:sz w:val="22"/>
        </w:rPr>
        <w:t> </w:t>
      </w:r>
      <w:r>
        <w:rPr>
          <w:sz w:val="22"/>
        </w:rPr>
        <w:t>in</w:t>
      </w:r>
      <w:r>
        <w:rPr>
          <w:spacing w:val="-4"/>
          <w:sz w:val="22"/>
        </w:rPr>
        <w:t> </w:t>
      </w:r>
      <w:r>
        <w:rPr>
          <w:sz w:val="22"/>
        </w:rPr>
        <w:t>accordance</w:t>
      </w:r>
      <w:r>
        <w:rPr>
          <w:spacing w:val="-4"/>
          <w:sz w:val="22"/>
        </w:rPr>
        <w:t> </w:t>
      </w:r>
      <w:r>
        <w:rPr>
          <w:sz w:val="22"/>
        </w:rPr>
        <w:t>with</w:t>
      </w:r>
      <w:r>
        <w:rPr>
          <w:spacing w:val="-4"/>
          <w:sz w:val="22"/>
        </w:rPr>
        <w:t> </w:t>
      </w:r>
      <w:r>
        <w:rPr>
          <w:sz w:val="22"/>
        </w:rPr>
        <w:t>the</w:t>
      </w:r>
      <w:r>
        <w:rPr>
          <w:spacing w:val="-4"/>
          <w:sz w:val="22"/>
        </w:rPr>
        <w:t> </w:t>
      </w:r>
      <w:r>
        <w:rPr>
          <w:sz w:val="22"/>
        </w:rPr>
        <w:t>1998 amendments to the Rehabilitation Act</w:t>
      </w:r>
    </w:p>
    <w:p>
      <w:pPr>
        <w:pStyle w:val="ListParagraph"/>
        <w:numPr>
          <w:ilvl w:val="2"/>
          <w:numId w:val="142"/>
        </w:numPr>
        <w:tabs>
          <w:tab w:pos="1439" w:val="left" w:leader="none"/>
        </w:tabs>
        <w:spacing w:line="252" w:lineRule="exact" w:before="0" w:after="0"/>
        <w:ind w:left="1439" w:right="0" w:hanging="1080"/>
        <w:jc w:val="left"/>
        <w:rPr>
          <w:sz w:val="22"/>
        </w:rPr>
      </w:pPr>
      <w:r>
        <w:rPr>
          <w:sz w:val="22"/>
        </w:rPr>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7-1-03</w:t>
      </w:r>
      <w:r>
        <w:rPr>
          <w:sz w:val="22"/>
        </w:rPr>
        <w:tab/>
        <w:t>PT Memo #03-07</w:t>
      </w:r>
    </w:p>
    <w:p>
      <w:pPr>
        <w:spacing w:before="0"/>
        <w:ind w:left="1439" w:right="0" w:firstLine="0"/>
        <w:jc w:val="left"/>
        <w:rPr>
          <w:sz w:val="22"/>
        </w:rPr>
      </w:pPr>
      <w:r>
        <w:rPr>
          <w:sz w:val="22"/>
        </w:rPr>
        <w:t>Permanent,</w:t>
      </w:r>
      <w:r>
        <w:rPr>
          <w:spacing w:val="-10"/>
          <w:sz w:val="22"/>
        </w:rPr>
        <w:t> </w:t>
      </w:r>
      <w:r>
        <w:rPr>
          <w:sz w:val="22"/>
        </w:rPr>
        <w:t>update</w:t>
      </w:r>
      <w:r>
        <w:rPr>
          <w:spacing w:val="-10"/>
          <w:sz w:val="22"/>
        </w:rPr>
        <w:t> </w:t>
      </w:r>
      <w:r>
        <w:rPr>
          <w:spacing w:val="-2"/>
          <w:sz w:val="22"/>
        </w:rPr>
        <w:t>language.</w:t>
      </w:r>
    </w:p>
    <w:p>
      <w:pPr>
        <w:pStyle w:val="ListParagraph"/>
        <w:numPr>
          <w:ilvl w:val="2"/>
          <w:numId w:val="13"/>
        </w:numPr>
        <w:tabs>
          <w:tab w:pos="1439" w:val="left" w:leader="none"/>
        </w:tabs>
        <w:spacing w:line="253" w:lineRule="exact" w:before="1" w:after="0"/>
        <w:ind w:left="1439" w:right="0" w:hanging="1080"/>
        <w:jc w:val="left"/>
        <w:rPr>
          <w:sz w:val="22"/>
        </w:rPr>
      </w:pPr>
      <w:r>
        <w:rPr>
          <w:sz w:val="22"/>
        </w:rPr>
        <w:t>PT</w:t>
      </w:r>
      <w:r>
        <w:rPr>
          <w:spacing w:val="-8"/>
          <w:sz w:val="22"/>
        </w:rPr>
        <w:t> </w:t>
      </w:r>
      <w:r>
        <w:rPr>
          <w:sz w:val="22"/>
        </w:rPr>
        <w:t>Memo</w:t>
      </w:r>
      <w:r>
        <w:rPr>
          <w:spacing w:val="-8"/>
          <w:sz w:val="22"/>
        </w:rPr>
        <w:t> </w:t>
      </w:r>
      <w:r>
        <w:rPr>
          <w:sz w:val="22"/>
        </w:rPr>
        <w:t>#05-</w:t>
      </w:r>
      <w:r>
        <w:rPr>
          <w:spacing w:val="-5"/>
          <w:sz w:val="22"/>
        </w:rPr>
        <w:t>01</w:t>
      </w:r>
    </w:p>
    <w:p>
      <w:pPr>
        <w:tabs>
          <w:tab w:pos="1439" w:val="left" w:leader="none"/>
        </w:tabs>
        <w:spacing w:before="0"/>
        <w:ind w:left="359" w:right="5624" w:firstLine="1080"/>
        <w:jc w:val="left"/>
        <w:rPr>
          <w:sz w:val="22"/>
        </w:rPr>
      </w:pPr>
      <w:r>
        <w:rPr>
          <w:sz w:val="22"/>
        </w:rPr>
        <w:t>Permanent,</w:t>
      </w:r>
      <w:r>
        <w:rPr>
          <w:spacing w:val="-7"/>
          <w:sz w:val="22"/>
        </w:rPr>
        <w:t> </w:t>
      </w:r>
      <w:r>
        <w:rPr>
          <w:sz w:val="22"/>
        </w:rPr>
        <w:t>90</w:t>
      </w:r>
      <w:r>
        <w:rPr>
          <w:spacing w:val="-8"/>
          <w:sz w:val="22"/>
        </w:rPr>
        <w:t> </w:t>
      </w:r>
      <w:r>
        <w:rPr>
          <w:sz w:val="22"/>
        </w:rPr>
        <w:t>day</w:t>
      </w:r>
      <w:r>
        <w:rPr>
          <w:spacing w:val="-8"/>
          <w:sz w:val="22"/>
        </w:rPr>
        <w:t> </w:t>
      </w:r>
      <w:r>
        <w:rPr>
          <w:sz w:val="22"/>
        </w:rPr>
        <w:t>IPE</w:t>
      </w:r>
      <w:r>
        <w:rPr>
          <w:spacing w:val="-8"/>
          <w:sz w:val="22"/>
        </w:rPr>
        <w:t> </w:t>
      </w:r>
      <w:r>
        <w:rPr>
          <w:sz w:val="22"/>
        </w:rPr>
        <w:t>time</w:t>
      </w:r>
      <w:r>
        <w:rPr>
          <w:spacing w:val="-8"/>
          <w:sz w:val="22"/>
        </w:rPr>
        <w:t> </w:t>
      </w:r>
      <w:r>
        <w:rPr>
          <w:sz w:val="22"/>
        </w:rPr>
        <w:t>frame </w:t>
      </w:r>
      <w:r>
        <w:rPr>
          <w:spacing w:val="-2"/>
          <w:sz w:val="22"/>
        </w:rPr>
        <w:t>10-1-07</w:t>
      </w:r>
      <w:r>
        <w:rPr>
          <w:sz w:val="22"/>
        </w:rPr>
        <w:tab/>
        <w:t>PT Memo #08-02</w:t>
      </w:r>
    </w:p>
    <w:p>
      <w:pPr>
        <w:spacing w:before="0"/>
        <w:ind w:left="1439" w:right="0" w:firstLine="0"/>
        <w:jc w:val="left"/>
        <w:rPr>
          <w:sz w:val="22"/>
        </w:rPr>
      </w:pPr>
      <w:r>
        <w:rPr>
          <w:sz w:val="22"/>
        </w:rPr>
        <w:t>Permanent,</w:t>
      </w:r>
      <w:r>
        <w:rPr>
          <w:spacing w:val="-8"/>
          <w:sz w:val="22"/>
        </w:rPr>
        <w:t> </w:t>
      </w:r>
      <w:r>
        <w:rPr>
          <w:sz w:val="22"/>
        </w:rPr>
        <w:t>AWARE</w:t>
      </w:r>
      <w:r>
        <w:rPr>
          <w:spacing w:val="-8"/>
          <w:sz w:val="22"/>
        </w:rPr>
        <w:t> </w:t>
      </w:r>
      <w:r>
        <w:rPr>
          <w:sz w:val="22"/>
        </w:rPr>
        <w:t>change.</w:t>
      </w:r>
      <w:r>
        <w:rPr>
          <w:spacing w:val="45"/>
          <w:sz w:val="22"/>
        </w:rPr>
        <w:t> </w:t>
      </w:r>
      <w:r>
        <w:rPr>
          <w:sz w:val="22"/>
        </w:rPr>
        <w:t>Removed</w:t>
      </w:r>
      <w:r>
        <w:rPr>
          <w:spacing w:val="-8"/>
          <w:sz w:val="22"/>
        </w:rPr>
        <w:t> </w:t>
      </w:r>
      <w:r>
        <w:rPr>
          <w:sz w:val="22"/>
        </w:rPr>
        <w:t>Status</w:t>
      </w:r>
      <w:r>
        <w:rPr>
          <w:spacing w:val="-8"/>
          <w:sz w:val="22"/>
        </w:rPr>
        <w:t> </w:t>
      </w:r>
      <w:r>
        <w:rPr>
          <w:spacing w:val="-2"/>
          <w:sz w:val="22"/>
        </w:rPr>
        <w:t>numbers.</w:t>
      </w:r>
    </w:p>
    <w:p>
      <w:pPr>
        <w:tabs>
          <w:tab w:pos="1439" w:val="left" w:leader="none"/>
        </w:tabs>
        <w:spacing w:before="0"/>
        <w:ind w:left="359" w:right="0" w:firstLine="0"/>
        <w:jc w:val="left"/>
        <w:rPr>
          <w:sz w:val="22"/>
        </w:rPr>
      </w:pPr>
      <w:r>
        <w:rPr>
          <w:spacing w:val="-2"/>
          <w:sz w:val="22"/>
        </w:rPr>
        <w:t>7-1-</w:t>
      </w:r>
      <w:r>
        <w:rPr>
          <w:spacing w:val="-5"/>
          <w:sz w:val="22"/>
        </w:rPr>
        <w:t>11</w:t>
      </w:r>
      <w:r>
        <w:rPr>
          <w:sz w:val="22"/>
        </w:rPr>
        <w:tab/>
        <w:t>PT</w:t>
      </w:r>
      <w:r>
        <w:rPr>
          <w:spacing w:val="-8"/>
          <w:sz w:val="22"/>
        </w:rPr>
        <w:t> </w:t>
      </w:r>
      <w:r>
        <w:rPr>
          <w:sz w:val="22"/>
        </w:rPr>
        <w:t>Memo</w:t>
      </w:r>
      <w:r>
        <w:rPr>
          <w:spacing w:val="-8"/>
          <w:sz w:val="22"/>
        </w:rPr>
        <w:t> </w:t>
      </w:r>
      <w:r>
        <w:rPr>
          <w:sz w:val="22"/>
        </w:rPr>
        <w:t>#12-</w:t>
      </w:r>
      <w:r>
        <w:rPr>
          <w:spacing w:val="-5"/>
          <w:sz w:val="22"/>
        </w:rPr>
        <w:t>01</w:t>
      </w:r>
    </w:p>
    <w:p>
      <w:pPr>
        <w:tabs>
          <w:tab w:pos="1439" w:val="left" w:leader="none"/>
        </w:tabs>
        <w:spacing w:before="0"/>
        <w:ind w:left="359" w:right="5305" w:firstLine="1080"/>
        <w:jc w:val="left"/>
        <w:rPr>
          <w:sz w:val="22"/>
        </w:rPr>
      </w:pPr>
      <w:r>
        <w:rPr>
          <w:sz w:val="22"/>
        </w:rPr>
        <w:t>Permanent,</w:t>
      </w:r>
      <w:r>
        <w:rPr>
          <w:spacing w:val="-9"/>
          <w:sz w:val="22"/>
        </w:rPr>
        <w:t> </w:t>
      </w:r>
      <w:r>
        <w:rPr>
          <w:sz w:val="22"/>
        </w:rPr>
        <w:t>merged</w:t>
      </w:r>
      <w:r>
        <w:rPr>
          <w:spacing w:val="-10"/>
          <w:sz w:val="22"/>
        </w:rPr>
        <w:t> </w:t>
      </w:r>
      <w:r>
        <w:rPr>
          <w:sz w:val="22"/>
        </w:rPr>
        <w:t>all</w:t>
      </w:r>
      <w:r>
        <w:rPr>
          <w:spacing w:val="-10"/>
          <w:sz w:val="22"/>
        </w:rPr>
        <w:t> </w:t>
      </w:r>
      <w:r>
        <w:rPr>
          <w:sz w:val="22"/>
        </w:rPr>
        <w:t>IPE</w:t>
      </w:r>
      <w:r>
        <w:rPr>
          <w:spacing w:val="-10"/>
          <w:sz w:val="22"/>
        </w:rPr>
        <w:t> </w:t>
      </w:r>
      <w:r>
        <w:rPr>
          <w:sz w:val="22"/>
        </w:rPr>
        <w:t>provisions </w:t>
      </w:r>
      <w:r>
        <w:rPr>
          <w:spacing w:val="-2"/>
          <w:sz w:val="22"/>
        </w:rPr>
        <w:t>9-24-14</w:t>
      </w:r>
      <w:r>
        <w:rPr>
          <w:sz w:val="22"/>
        </w:rPr>
        <w:tab/>
        <w:t>Updated Instructions to Staff</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spacing w:before="0"/>
        <w:ind w:left="1439" w:right="739" w:firstLine="0"/>
        <w:jc w:val="left"/>
        <w:rPr>
          <w:sz w:val="22"/>
        </w:rPr>
      </w:pPr>
      <w:r>
        <w:rPr>
          <w:sz w:val="22"/>
        </w:rPr>
        <w:t>Updated policy to conform with provisions of the WIOA by deleting uncompensated work</w:t>
      </w:r>
      <w:r>
        <w:rPr>
          <w:spacing w:val="-2"/>
          <w:sz w:val="22"/>
        </w:rPr>
        <w:t> </w:t>
      </w:r>
      <w:r>
        <w:rPr>
          <w:sz w:val="22"/>
        </w:rPr>
        <w:t>from</w:t>
      </w:r>
      <w:r>
        <w:rPr>
          <w:spacing w:val="-3"/>
          <w:sz w:val="22"/>
        </w:rPr>
        <w:t> </w:t>
      </w:r>
      <w:r>
        <w:rPr>
          <w:sz w:val="22"/>
        </w:rPr>
        <w:t>the</w:t>
      </w:r>
      <w:r>
        <w:rPr>
          <w:spacing w:val="-2"/>
          <w:sz w:val="22"/>
        </w:rPr>
        <w:t> </w:t>
      </w:r>
      <w:r>
        <w:rPr>
          <w:sz w:val="22"/>
        </w:rPr>
        <w:t>purposes</w:t>
      </w:r>
      <w:r>
        <w:rPr>
          <w:spacing w:val="-2"/>
          <w:sz w:val="22"/>
        </w:rPr>
        <w:t> </w:t>
      </w:r>
      <w:r>
        <w:rPr>
          <w:sz w:val="22"/>
        </w:rPr>
        <w:t>for</w:t>
      </w:r>
      <w:r>
        <w:rPr>
          <w:spacing w:val="-2"/>
          <w:sz w:val="22"/>
        </w:rPr>
        <w:t> </w:t>
      </w:r>
      <w:r>
        <w:rPr>
          <w:sz w:val="22"/>
        </w:rPr>
        <w:t>which</w:t>
      </w:r>
      <w:r>
        <w:rPr>
          <w:spacing w:val="-2"/>
          <w:sz w:val="22"/>
        </w:rPr>
        <w:t> </w:t>
      </w:r>
      <w:r>
        <w:rPr>
          <w:sz w:val="22"/>
        </w:rPr>
        <w:t>vocational</w:t>
      </w:r>
      <w:r>
        <w:rPr>
          <w:spacing w:val="-2"/>
          <w:sz w:val="22"/>
        </w:rPr>
        <w:t> </w:t>
      </w:r>
      <w:r>
        <w:rPr>
          <w:sz w:val="22"/>
        </w:rPr>
        <w:t>rehabilitation</w:t>
      </w:r>
      <w:r>
        <w:rPr>
          <w:spacing w:val="-3"/>
          <w:sz w:val="22"/>
        </w:rPr>
        <w:t> </w:t>
      </w:r>
      <w:r>
        <w:rPr>
          <w:sz w:val="22"/>
        </w:rPr>
        <w:t>services</w:t>
      </w:r>
      <w:r>
        <w:rPr>
          <w:spacing w:val="-2"/>
          <w:sz w:val="22"/>
        </w:rPr>
        <w:t> </w:t>
      </w:r>
      <w:r>
        <w:rPr>
          <w:sz w:val="22"/>
        </w:rPr>
        <w:t>may</w:t>
      </w:r>
      <w:r>
        <w:rPr>
          <w:spacing w:val="-2"/>
          <w:sz w:val="22"/>
        </w:rPr>
        <w:t> </w:t>
      </w:r>
      <w:r>
        <w:rPr>
          <w:sz w:val="22"/>
        </w:rPr>
        <w:t>be</w:t>
      </w:r>
      <w:r>
        <w:rPr>
          <w:spacing w:val="-2"/>
          <w:sz w:val="22"/>
        </w:rPr>
        <w:t> </w:t>
      </w:r>
      <w:r>
        <w:rPr>
          <w:sz w:val="22"/>
        </w:rPr>
        <w:t>provided. Specifically, the option to have a vocational goal of unpaid work is deleted and a statement</w:t>
      </w:r>
      <w:r>
        <w:rPr>
          <w:spacing w:val="-4"/>
          <w:sz w:val="22"/>
        </w:rPr>
        <w:t> </w:t>
      </w:r>
      <w:r>
        <w:rPr>
          <w:sz w:val="22"/>
        </w:rPr>
        <w:t>is</w:t>
      </w:r>
      <w:r>
        <w:rPr>
          <w:spacing w:val="-5"/>
          <w:sz w:val="22"/>
        </w:rPr>
        <w:t> </w:t>
      </w:r>
      <w:r>
        <w:rPr>
          <w:sz w:val="22"/>
        </w:rPr>
        <w:t>added</w:t>
      </w:r>
      <w:r>
        <w:rPr>
          <w:spacing w:val="-4"/>
          <w:sz w:val="22"/>
        </w:rPr>
        <w:t> </w:t>
      </w:r>
      <w:r>
        <w:rPr>
          <w:sz w:val="22"/>
        </w:rPr>
        <w:t>that</w:t>
      </w:r>
      <w:r>
        <w:rPr>
          <w:spacing w:val="-4"/>
          <w:sz w:val="22"/>
        </w:rPr>
        <w:t> </w:t>
      </w:r>
      <w:r>
        <w:rPr>
          <w:sz w:val="22"/>
        </w:rPr>
        <w:t>the</w:t>
      </w:r>
      <w:r>
        <w:rPr>
          <w:spacing w:val="-4"/>
          <w:sz w:val="22"/>
        </w:rPr>
        <w:t> </w:t>
      </w:r>
      <w:r>
        <w:rPr>
          <w:sz w:val="22"/>
        </w:rPr>
        <w:t>vocational</w:t>
      </w:r>
      <w:r>
        <w:rPr>
          <w:spacing w:val="-4"/>
          <w:sz w:val="22"/>
        </w:rPr>
        <w:t> </w:t>
      </w:r>
      <w:r>
        <w:rPr>
          <w:sz w:val="22"/>
        </w:rPr>
        <w:t>goal</w:t>
      </w:r>
      <w:r>
        <w:rPr>
          <w:spacing w:val="-4"/>
          <w:sz w:val="22"/>
        </w:rPr>
        <w:t> </w:t>
      </w:r>
      <w:r>
        <w:rPr>
          <w:sz w:val="22"/>
        </w:rPr>
        <w:t>chosen</w:t>
      </w:r>
      <w:r>
        <w:rPr>
          <w:spacing w:val="-4"/>
          <w:sz w:val="22"/>
        </w:rPr>
        <w:t> </w:t>
      </w:r>
      <w:r>
        <w:rPr>
          <w:sz w:val="22"/>
        </w:rPr>
        <w:t>must</w:t>
      </w:r>
      <w:r>
        <w:rPr>
          <w:spacing w:val="-4"/>
          <w:sz w:val="22"/>
        </w:rPr>
        <w:t> </w:t>
      </w:r>
      <w:r>
        <w:rPr>
          <w:sz w:val="22"/>
        </w:rPr>
        <w:t>be</w:t>
      </w:r>
      <w:r>
        <w:rPr>
          <w:spacing w:val="-4"/>
          <w:sz w:val="22"/>
        </w:rPr>
        <w:t> </w:t>
      </w:r>
      <w:r>
        <w:rPr>
          <w:sz w:val="22"/>
        </w:rPr>
        <w:t>in</w:t>
      </w:r>
      <w:r>
        <w:rPr>
          <w:spacing w:val="-4"/>
          <w:sz w:val="22"/>
        </w:rPr>
        <w:t> </w:t>
      </w:r>
      <w:r>
        <w:rPr>
          <w:sz w:val="22"/>
        </w:rPr>
        <w:t>competitive</w:t>
      </w:r>
      <w:r>
        <w:rPr>
          <w:spacing w:val="-4"/>
          <w:sz w:val="22"/>
        </w:rPr>
        <w:t> </w:t>
      </w:r>
      <w:r>
        <w:rPr>
          <w:sz w:val="22"/>
        </w:rPr>
        <w:t>integrated </w:t>
      </w:r>
      <w:r>
        <w:rPr>
          <w:spacing w:val="-2"/>
          <w:sz w:val="22"/>
        </w:rPr>
        <w:t>employment.</w:t>
      </w:r>
    </w:p>
    <w:p>
      <w:pPr>
        <w:spacing w:before="0"/>
        <w:ind w:left="1439" w:right="0" w:firstLine="0"/>
        <w:jc w:val="left"/>
        <w:rPr>
          <w:sz w:val="22"/>
        </w:rPr>
      </w:pPr>
      <w:r>
        <w:rPr>
          <w:sz w:val="22"/>
        </w:rPr>
        <w:t>Updated</w:t>
      </w:r>
      <w:r>
        <w:rPr>
          <w:spacing w:val="-8"/>
          <w:sz w:val="22"/>
        </w:rPr>
        <w:t> </w:t>
      </w:r>
      <w:r>
        <w:rPr>
          <w:sz w:val="22"/>
        </w:rPr>
        <w:t>Instructions</w:t>
      </w:r>
      <w:r>
        <w:rPr>
          <w:spacing w:val="-8"/>
          <w:sz w:val="22"/>
        </w:rPr>
        <w:t> </w:t>
      </w:r>
      <w:r>
        <w:rPr>
          <w:sz w:val="22"/>
        </w:rPr>
        <w:t>to</w:t>
      </w:r>
      <w:r>
        <w:rPr>
          <w:spacing w:val="-8"/>
          <w:sz w:val="22"/>
        </w:rPr>
        <w:t> </w:t>
      </w:r>
      <w:r>
        <w:rPr>
          <w:spacing w:val="-2"/>
          <w:sz w:val="22"/>
        </w:rPr>
        <w:t>Staff.</w:t>
      </w:r>
    </w:p>
    <w:p>
      <w:pPr>
        <w:pStyle w:val="BodyText"/>
        <w:tabs>
          <w:tab w:pos="1439" w:val="left" w:leader="none"/>
        </w:tabs>
        <w:spacing w:before="0"/>
        <w:ind w:left="1440" w:right="1048" w:hanging="1080"/>
      </w:pPr>
      <w:r>
        <w:rPr>
          <w:spacing w:val="-2"/>
        </w:rPr>
        <w:t>9-11-20</w:t>
      </w:r>
      <w:r>
        <w:rPr/>
        <w:tab/>
        <w:t>Division</w:t>
      </w:r>
      <w:r>
        <w:rPr>
          <w:spacing w:val="-4"/>
        </w:rPr>
        <w:t> </w:t>
      </w:r>
      <w:r>
        <w:rPr/>
        <w:t>name</w:t>
      </w:r>
      <w:r>
        <w:rPr>
          <w:spacing w:val="-4"/>
        </w:rPr>
        <w:t> </w:t>
      </w:r>
      <w:r>
        <w:rPr/>
        <w:t>change</w:t>
      </w:r>
      <w:r>
        <w:rPr>
          <w:spacing w:val="-3"/>
        </w:rPr>
        <w:t> </w:t>
      </w:r>
      <w:r>
        <w:rPr/>
        <w:t>of</w:t>
      </w:r>
      <w:r>
        <w:rPr>
          <w:spacing w:val="-3"/>
        </w:rPr>
        <w:t> </w:t>
      </w:r>
      <w:r>
        <w:rPr/>
        <w:t>Visual</w:t>
      </w:r>
      <w:r>
        <w:rPr>
          <w:spacing w:val="-4"/>
        </w:rPr>
        <w:t> </w:t>
      </w:r>
      <w:r>
        <w:rPr/>
        <w:t>Services</w:t>
      </w:r>
      <w:r>
        <w:rPr>
          <w:spacing w:val="-4"/>
        </w:rPr>
        <w:t> </w:t>
      </w:r>
      <w:r>
        <w:rPr/>
        <w:t>(VS)</w:t>
      </w:r>
      <w:r>
        <w:rPr>
          <w:spacing w:val="-3"/>
        </w:rPr>
        <w:t> </w:t>
      </w:r>
      <w:r>
        <w:rPr/>
        <w:t>to</w:t>
      </w:r>
      <w:r>
        <w:rPr>
          <w:spacing w:val="-4"/>
        </w:rPr>
        <w:t> </w:t>
      </w:r>
      <w:r>
        <w:rPr/>
        <w:t>Services</w:t>
      </w:r>
      <w:r>
        <w:rPr>
          <w:spacing w:val="-4"/>
        </w:rPr>
        <w:t> </w:t>
      </w:r>
      <w:r>
        <w:rPr/>
        <w:t>for</w:t>
      </w:r>
      <w:r>
        <w:rPr>
          <w:spacing w:val="-5"/>
        </w:rPr>
        <w:t> </w:t>
      </w:r>
      <w:r>
        <w:rPr/>
        <w:t>the</w:t>
      </w:r>
      <w:r>
        <w:rPr>
          <w:spacing w:val="-4"/>
        </w:rPr>
        <w:t> </w:t>
      </w:r>
      <w:r>
        <w:rPr/>
        <w:t>Blind</w:t>
      </w:r>
      <w:r>
        <w:rPr>
          <w:spacing w:val="-4"/>
        </w:rPr>
        <w:t> </w:t>
      </w:r>
      <w:r>
        <w:rPr/>
        <w:t>and Visually Impaired (SBVI).</w:t>
      </w:r>
    </w:p>
    <w:p>
      <w:pPr>
        <w:pStyle w:val="BodyText"/>
        <w:tabs>
          <w:tab w:pos="1439" w:val="left" w:leader="none"/>
        </w:tabs>
        <w:spacing w:before="0"/>
        <w:ind w:left="1440" w:right="1101" w:hanging="1080"/>
      </w:pPr>
      <w:r>
        <w:rPr>
          <w:spacing w:val="-2"/>
        </w:rPr>
        <w:t>9-11-22</w:t>
      </w:r>
      <w:r>
        <w:rPr/>
        <w:tab/>
        <w:t>Under</w:t>
      </w:r>
      <w:r>
        <w:rPr>
          <w:spacing w:val="-3"/>
        </w:rPr>
        <w:t> </w:t>
      </w:r>
      <w:r>
        <w:rPr/>
        <w:t>(a)</w:t>
      </w:r>
      <w:r>
        <w:rPr>
          <w:spacing w:val="-3"/>
        </w:rPr>
        <w:t> </w:t>
      </w:r>
      <w:r>
        <w:rPr/>
        <w:t>(C)</w:t>
      </w:r>
      <w:r>
        <w:rPr>
          <w:spacing w:val="-3"/>
        </w:rPr>
        <w:t> </w:t>
      </w:r>
      <w:r>
        <w:rPr/>
        <w:t>(iv),</w:t>
      </w:r>
      <w:r>
        <w:rPr>
          <w:spacing w:val="-5"/>
        </w:rPr>
        <w:t> </w:t>
      </w:r>
      <w:r>
        <w:rPr/>
        <w:t>Diabetes</w:t>
      </w:r>
      <w:r>
        <w:rPr>
          <w:spacing w:val="-4"/>
        </w:rPr>
        <w:t> </w:t>
      </w:r>
      <w:r>
        <w:rPr/>
        <w:t>treatment</w:t>
      </w:r>
      <w:r>
        <w:rPr>
          <w:spacing w:val="-3"/>
        </w:rPr>
        <w:t> </w:t>
      </w:r>
      <w:r>
        <w:rPr/>
        <w:t>must</w:t>
      </w:r>
      <w:r>
        <w:rPr>
          <w:spacing w:val="-6"/>
        </w:rPr>
        <w:t> </w:t>
      </w:r>
      <w:r>
        <w:rPr/>
        <w:t>be</w:t>
      </w:r>
      <w:r>
        <w:rPr>
          <w:spacing w:val="-4"/>
        </w:rPr>
        <w:t> </w:t>
      </w:r>
      <w:r>
        <w:rPr/>
        <w:t>incorporated</w:t>
      </w:r>
      <w:r>
        <w:rPr>
          <w:spacing w:val="-4"/>
        </w:rPr>
        <w:t> </w:t>
      </w:r>
      <w:r>
        <w:rPr/>
        <w:t>as</w:t>
      </w:r>
      <w:r>
        <w:rPr>
          <w:spacing w:val="-4"/>
        </w:rPr>
        <w:t> </w:t>
      </w:r>
      <w:r>
        <w:rPr/>
        <w:t>a</w:t>
      </w:r>
      <w:r>
        <w:rPr>
          <w:spacing w:val="-4"/>
        </w:rPr>
        <w:t> </w:t>
      </w:r>
      <w:r>
        <w:rPr/>
        <w:t>service</w:t>
      </w:r>
      <w:r>
        <w:rPr>
          <w:spacing w:val="-4"/>
        </w:rPr>
        <w:t> </w:t>
      </w:r>
      <w:r>
        <w:rPr/>
        <w:t>in the IPE.</w:t>
      </w:r>
    </w:p>
    <w:p>
      <w:pPr>
        <w:pStyle w:val="BodyText"/>
        <w:spacing w:after="0"/>
        <w:sectPr>
          <w:pgSz w:w="12240" w:h="15840"/>
          <w:pgMar w:top="1340" w:bottom="280" w:left="1080" w:right="720"/>
        </w:sectPr>
      </w:pPr>
    </w:p>
    <w:p>
      <w:pPr>
        <w:pStyle w:val="Heading2"/>
        <w:spacing w:line="208" w:lineRule="auto" w:before="96"/>
        <w:ind w:right="775"/>
      </w:pPr>
      <w:bookmarkStart w:name="612:10-7-52.  Scope of vocational rehabi" w:id="143"/>
      <w:bookmarkEnd w:id="143"/>
      <w:r>
        <w:rPr>
          <w:b w:val="0"/>
        </w:rPr>
      </w:r>
      <w:r>
        <w:rPr/>
        <w:t>612:10-7-52.</w:t>
      </w:r>
      <w:r>
        <w:rPr>
          <w:spacing w:val="40"/>
        </w:rPr>
        <w:t> </w:t>
      </w:r>
      <w:r>
        <w:rPr/>
        <w:t>Scope</w:t>
      </w:r>
      <w:r>
        <w:rPr>
          <w:spacing w:val="-5"/>
        </w:rPr>
        <w:t> </w:t>
      </w:r>
      <w:r>
        <w:rPr/>
        <w:t>of</w:t>
      </w:r>
      <w:r>
        <w:rPr>
          <w:spacing w:val="-4"/>
        </w:rPr>
        <w:t> </w:t>
      </w:r>
      <w:r>
        <w:rPr/>
        <w:t>vocational</w:t>
      </w:r>
      <w:r>
        <w:rPr>
          <w:spacing w:val="-4"/>
        </w:rPr>
        <w:t> </w:t>
      </w:r>
      <w:r>
        <w:rPr/>
        <w:t>rehabilitation</w:t>
      </w:r>
      <w:r>
        <w:rPr>
          <w:spacing w:val="-6"/>
        </w:rPr>
        <w:t> </w:t>
      </w:r>
      <w:r>
        <w:rPr/>
        <w:t>services</w:t>
      </w:r>
      <w:r>
        <w:rPr>
          <w:spacing w:val="-5"/>
        </w:rPr>
        <w:t> </w:t>
      </w:r>
      <w:r>
        <w:rPr/>
        <w:t>for</w:t>
      </w:r>
      <w:r>
        <w:rPr>
          <w:spacing w:val="-5"/>
        </w:rPr>
        <w:t> </w:t>
      </w:r>
      <w:r>
        <w:rPr/>
        <w:t>individuals</w:t>
      </w:r>
      <w:r>
        <w:rPr>
          <w:spacing w:val="-5"/>
        </w:rPr>
        <w:t> </w:t>
      </w:r>
      <w:r>
        <w:rPr/>
        <w:t>with </w:t>
      </w:r>
      <w:r>
        <w:rPr>
          <w:spacing w:val="-2"/>
        </w:rPr>
        <w:t>disabilities</w:t>
      </w:r>
    </w:p>
    <w:p>
      <w:pPr>
        <w:pStyle w:val="ListParagraph"/>
        <w:numPr>
          <w:ilvl w:val="0"/>
          <w:numId w:val="143"/>
        </w:numPr>
        <w:tabs>
          <w:tab w:pos="785" w:val="left" w:leader="none"/>
        </w:tabs>
        <w:spacing w:line="208" w:lineRule="auto" w:before="240" w:after="0"/>
        <w:ind w:left="360" w:right="767" w:firstLine="0"/>
        <w:jc w:val="left"/>
        <w:rPr>
          <w:sz w:val="24"/>
        </w:rPr>
      </w:pPr>
      <w:r>
        <w:rPr>
          <w:b/>
          <w:sz w:val="24"/>
        </w:rPr>
        <w:t>Overview of service provision. </w:t>
      </w:r>
      <w:r>
        <w:rPr>
          <w:sz w:val="24"/>
        </w:rPr>
        <w:t>Vocational rehabilitation services are provided as specified in the approved IPE. Services are to be provided using the service delivery methods,</w:t>
      </w:r>
      <w:r>
        <w:rPr>
          <w:spacing w:val="-3"/>
          <w:sz w:val="24"/>
        </w:rPr>
        <w:t> </w:t>
      </w:r>
      <w:r>
        <w:rPr>
          <w:sz w:val="24"/>
        </w:rPr>
        <w:t>and</w:t>
      </w:r>
      <w:r>
        <w:rPr>
          <w:spacing w:val="-4"/>
          <w:sz w:val="24"/>
        </w:rPr>
        <w:t> </w:t>
      </w:r>
      <w:r>
        <w:rPr>
          <w:sz w:val="24"/>
        </w:rPr>
        <w:t>within</w:t>
      </w:r>
      <w:r>
        <w:rPr>
          <w:spacing w:val="-4"/>
          <w:sz w:val="24"/>
        </w:rPr>
        <w:t> </w:t>
      </w:r>
      <w:r>
        <w:rPr>
          <w:sz w:val="24"/>
        </w:rPr>
        <w:t>the</w:t>
      </w:r>
      <w:r>
        <w:rPr>
          <w:spacing w:val="-4"/>
          <w:sz w:val="24"/>
        </w:rPr>
        <w:t> </w:t>
      </w:r>
      <w:r>
        <w:rPr>
          <w:sz w:val="24"/>
        </w:rPr>
        <w:t>time</w:t>
      </w:r>
      <w:r>
        <w:rPr>
          <w:spacing w:val="-4"/>
          <w:sz w:val="24"/>
        </w:rPr>
        <w:t> </w:t>
      </w:r>
      <w:r>
        <w:rPr>
          <w:sz w:val="24"/>
        </w:rPr>
        <w:t>frames,</w:t>
      </w:r>
      <w:r>
        <w:rPr>
          <w:spacing w:val="-3"/>
          <w:sz w:val="24"/>
        </w:rPr>
        <w:t> </w:t>
      </w:r>
      <w:r>
        <w:rPr>
          <w:sz w:val="24"/>
        </w:rPr>
        <w:t>specified</w:t>
      </w:r>
      <w:r>
        <w:rPr>
          <w:spacing w:val="-4"/>
          <w:sz w:val="24"/>
        </w:rPr>
        <w:t> </w:t>
      </w:r>
      <w:r>
        <w:rPr>
          <w:sz w:val="24"/>
        </w:rPr>
        <w:t>in</w:t>
      </w:r>
      <w:r>
        <w:rPr>
          <w:spacing w:val="-4"/>
          <w:sz w:val="24"/>
        </w:rPr>
        <w:t> </w:t>
      </w:r>
      <w:r>
        <w:rPr>
          <w:sz w:val="24"/>
        </w:rPr>
        <w:t>the</w:t>
      </w:r>
      <w:r>
        <w:rPr>
          <w:spacing w:val="-4"/>
          <w:sz w:val="24"/>
        </w:rPr>
        <w:t> </w:t>
      </w:r>
      <w:r>
        <w:rPr>
          <w:sz w:val="24"/>
        </w:rPr>
        <w:t>IPE.</w:t>
      </w:r>
      <w:r>
        <w:rPr>
          <w:spacing w:val="-3"/>
          <w:sz w:val="24"/>
        </w:rPr>
        <w:t> </w:t>
      </w:r>
      <w:r>
        <w:rPr>
          <w:sz w:val="24"/>
        </w:rPr>
        <w:t>Authorizations</w:t>
      </w:r>
      <w:r>
        <w:rPr>
          <w:spacing w:val="-4"/>
          <w:sz w:val="24"/>
        </w:rPr>
        <w:t> </w:t>
      </w:r>
      <w:r>
        <w:rPr>
          <w:sz w:val="24"/>
        </w:rPr>
        <w:t>may</w:t>
      </w:r>
      <w:r>
        <w:rPr>
          <w:spacing w:val="-4"/>
          <w:sz w:val="24"/>
        </w:rPr>
        <w:t> </w:t>
      </w:r>
      <w:r>
        <w:rPr>
          <w:sz w:val="24"/>
        </w:rPr>
        <w:t>be</w:t>
      </w:r>
      <w:r>
        <w:rPr>
          <w:spacing w:val="-4"/>
          <w:sz w:val="24"/>
        </w:rPr>
        <w:t> </w:t>
      </w:r>
      <w:r>
        <w:rPr>
          <w:sz w:val="24"/>
        </w:rPr>
        <w:t>issued only for those services for which DRS is specified as the responsible pay source in the approved IPE. New service needs must be included in an approved IPE amendment before they are authorized. All authorizations for payment of services will be made in accordance with applicable DRS purchasing policies.</w:t>
      </w:r>
    </w:p>
    <w:p>
      <w:pPr>
        <w:pStyle w:val="ListParagraph"/>
        <w:numPr>
          <w:ilvl w:val="0"/>
          <w:numId w:val="143"/>
        </w:numPr>
        <w:tabs>
          <w:tab w:pos="785" w:val="left" w:leader="none"/>
        </w:tabs>
        <w:spacing w:line="208" w:lineRule="auto" w:before="239" w:after="0"/>
        <w:ind w:left="359" w:right="899" w:firstLine="0"/>
        <w:jc w:val="left"/>
        <w:rPr>
          <w:sz w:val="24"/>
        </w:rPr>
      </w:pPr>
      <w:r>
        <w:rPr>
          <w:b/>
          <w:sz w:val="24"/>
        </w:rPr>
        <w:t>Services</w:t>
      </w:r>
      <w:r>
        <w:rPr>
          <w:b/>
          <w:spacing w:val="-1"/>
          <w:sz w:val="24"/>
        </w:rPr>
        <w:t> </w:t>
      </w:r>
      <w:r>
        <w:rPr>
          <w:b/>
          <w:sz w:val="24"/>
        </w:rPr>
        <w:t>for</w:t>
      </w:r>
      <w:r>
        <w:rPr>
          <w:b/>
          <w:spacing w:val="-1"/>
          <w:sz w:val="24"/>
        </w:rPr>
        <w:t> </w:t>
      </w:r>
      <w:r>
        <w:rPr>
          <w:b/>
          <w:sz w:val="24"/>
        </w:rPr>
        <w:t>individuals</w:t>
      </w:r>
      <w:r>
        <w:rPr>
          <w:b/>
          <w:spacing w:val="-1"/>
          <w:sz w:val="24"/>
        </w:rPr>
        <w:t> </w:t>
      </w:r>
      <w:r>
        <w:rPr>
          <w:b/>
          <w:sz w:val="24"/>
        </w:rPr>
        <w:t>who</w:t>
      </w:r>
      <w:r>
        <w:rPr>
          <w:b/>
          <w:spacing w:val="-1"/>
          <w:sz w:val="24"/>
        </w:rPr>
        <w:t> </w:t>
      </w:r>
      <w:r>
        <w:rPr>
          <w:b/>
          <w:sz w:val="24"/>
        </w:rPr>
        <w:t>have</w:t>
      </w:r>
      <w:r>
        <w:rPr>
          <w:b/>
          <w:spacing w:val="-1"/>
          <w:sz w:val="24"/>
        </w:rPr>
        <w:t> </w:t>
      </w:r>
      <w:r>
        <w:rPr>
          <w:b/>
          <w:sz w:val="24"/>
        </w:rPr>
        <w:t>applied</w:t>
      </w:r>
      <w:r>
        <w:rPr>
          <w:b/>
          <w:spacing w:val="-1"/>
          <w:sz w:val="24"/>
        </w:rPr>
        <w:t> </w:t>
      </w:r>
      <w:r>
        <w:rPr>
          <w:b/>
          <w:sz w:val="24"/>
        </w:rPr>
        <w:t>for</w:t>
      </w:r>
      <w:r>
        <w:rPr>
          <w:b/>
          <w:spacing w:val="-2"/>
          <w:sz w:val="24"/>
        </w:rPr>
        <w:t> </w:t>
      </w:r>
      <w:r>
        <w:rPr>
          <w:b/>
          <w:sz w:val="24"/>
        </w:rPr>
        <w:t>or</w:t>
      </w:r>
      <w:r>
        <w:rPr>
          <w:b/>
          <w:spacing w:val="-1"/>
          <w:sz w:val="24"/>
        </w:rPr>
        <w:t> </w:t>
      </w:r>
      <w:r>
        <w:rPr>
          <w:b/>
          <w:sz w:val="24"/>
        </w:rPr>
        <w:t>been</w:t>
      </w:r>
      <w:r>
        <w:rPr>
          <w:b/>
          <w:spacing w:val="-1"/>
          <w:sz w:val="24"/>
        </w:rPr>
        <w:t> </w:t>
      </w:r>
      <w:r>
        <w:rPr>
          <w:b/>
          <w:sz w:val="24"/>
        </w:rPr>
        <w:t>determined</w:t>
      </w:r>
      <w:r>
        <w:rPr>
          <w:b/>
          <w:spacing w:val="-1"/>
          <w:sz w:val="24"/>
        </w:rPr>
        <w:t> </w:t>
      </w:r>
      <w:r>
        <w:rPr>
          <w:b/>
          <w:sz w:val="24"/>
        </w:rPr>
        <w:t>eligible</w:t>
      </w:r>
      <w:r>
        <w:rPr>
          <w:b/>
          <w:spacing w:val="-2"/>
          <w:sz w:val="24"/>
        </w:rPr>
        <w:t> </w:t>
      </w:r>
      <w:r>
        <w:rPr>
          <w:b/>
          <w:sz w:val="24"/>
        </w:rPr>
        <w:t>for vocational rehabilitation services. </w:t>
      </w:r>
      <w:r>
        <w:rPr>
          <w:sz w:val="24"/>
        </w:rPr>
        <w:t>As appropriate to the vocational rehabilitation needs of each individual and consistent with each individual's individualized plan for employment, the designated State unit must ensure that the following vocational rehabilitation</w:t>
      </w:r>
      <w:r>
        <w:rPr>
          <w:spacing w:val="-2"/>
          <w:sz w:val="24"/>
        </w:rPr>
        <w:t> </w:t>
      </w:r>
      <w:r>
        <w:rPr>
          <w:sz w:val="24"/>
        </w:rPr>
        <w:t>services</w:t>
      </w:r>
      <w:r>
        <w:rPr>
          <w:spacing w:val="-2"/>
          <w:sz w:val="24"/>
        </w:rPr>
        <w:t> </w:t>
      </w:r>
      <w:r>
        <w:rPr>
          <w:sz w:val="24"/>
        </w:rPr>
        <w:t>are</w:t>
      </w:r>
      <w:r>
        <w:rPr>
          <w:spacing w:val="-2"/>
          <w:sz w:val="24"/>
        </w:rPr>
        <w:t> </w:t>
      </w:r>
      <w:r>
        <w:rPr>
          <w:sz w:val="24"/>
        </w:rPr>
        <w:t>available</w:t>
      </w:r>
      <w:r>
        <w:rPr>
          <w:spacing w:val="-2"/>
          <w:sz w:val="24"/>
        </w:rPr>
        <w:t> </w:t>
      </w:r>
      <w:r>
        <w:rPr>
          <w:sz w:val="24"/>
        </w:rPr>
        <w:t>to</w:t>
      </w:r>
      <w:r>
        <w:rPr>
          <w:spacing w:val="-3"/>
          <w:sz w:val="24"/>
        </w:rPr>
        <w:t> </w:t>
      </w:r>
      <w:r>
        <w:rPr>
          <w:sz w:val="24"/>
        </w:rPr>
        <w:t>assist</w:t>
      </w:r>
      <w:r>
        <w:rPr>
          <w:spacing w:val="-3"/>
          <w:sz w:val="24"/>
        </w:rPr>
        <w:t> </w:t>
      </w:r>
      <w:r>
        <w:rPr>
          <w:sz w:val="24"/>
        </w:rPr>
        <w:t>the</w:t>
      </w:r>
      <w:r>
        <w:rPr>
          <w:spacing w:val="-2"/>
          <w:sz w:val="24"/>
        </w:rPr>
        <w:t> </w:t>
      </w:r>
      <w:r>
        <w:rPr>
          <w:sz w:val="24"/>
        </w:rPr>
        <w:t>individual</w:t>
      </w:r>
      <w:r>
        <w:rPr>
          <w:spacing w:val="-2"/>
          <w:sz w:val="24"/>
        </w:rPr>
        <w:t> </w:t>
      </w:r>
      <w:r>
        <w:rPr>
          <w:sz w:val="24"/>
        </w:rPr>
        <w:t>with</w:t>
      </w:r>
      <w:r>
        <w:rPr>
          <w:spacing w:val="-2"/>
          <w:sz w:val="24"/>
        </w:rPr>
        <w:t> </w:t>
      </w:r>
      <w:r>
        <w:rPr>
          <w:sz w:val="24"/>
        </w:rPr>
        <w:t>a</w:t>
      </w:r>
      <w:r>
        <w:rPr>
          <w:spacing w:val="-2"/>
          <w:sz w:val="24"/>
        </w:rPr>
        <w:t> </w:t>
      </w:r>
      <w:r>
        <w:rPr>
          <w:sz w:val="24"/>
        </w:rPr>
        <w:t>disability</w:t>
      </w:r>
      <w:r>
        <w:rPr>
          <w:spacing w:val="-2"/>
          <w:sz w:val="24"/>
        </w:rPr>
        <w:t> </w:t>
      </w:r>
      <w:r>
        <w:rPr>
          <w:sz w:val="24"/>
        </w:rPr>
        <w:t>in</w:t>
      </w:r>
      <w:r>
        <w:rPr>
          <w:spacing w:val="-2"/>
          <w:sz w:val="24"/>
        </w:rPr>
        <w:t> </w:t>
      </w:r>
      <w:r>
        <w:rPr>
          <w:sz w:val="24"/>
        </w:rPr>
        <w:t>preparing for, securing, retaining, advancing in or regaining an employment outcome that is consistent with the individual's unique strengths, resources, priorities, concerns, abilities,</w:t>
      </w:r>
      <w:r>
        <w:rPr>
          <w:spacing w:val="-2"/>
          <w:sz w:val="24"/>
        </w:rPr>
        <w:t> </w:t>
      </w:r>
      <w:r>
        <w:rPr>
          <w:sz w:val="24"/>
        </w:rPr>
        <w:t>capabilities,</w:t>
      </w:r>
      <w:r>
        <w:rPr>
          <w:spacing w:val="-2"/>
          <w:sz w:val="24"/>
        </w:rPr>
        <w:t> </w:t>
      </w:r>
      <w:r>
        <w:rPr>
          <w:sz w:val="24"/>
        </w:rPr>
        <w:t>interests,</w:t>
      </w:r>
      <w:r>
        <w:rPr>
          <w:spacing w:val="-2"/>
          <w:sz w:val="24"/>
        </w:rPr>
        <w:t> </w:t>
      </w:r>
      <w:r>
        <w:rPr>
          <w:sz w:val="24"/>
        </w:rPr>
        <w:t>and</w:t>
      </w:r>
      <w:r>
        <w:rPr>
          <w:spacing w:val="-3"/>
          <w:sz w:val="24"/>
        </w:rPr>
        <w:t> </w:t>
      </w:r>
      <w:r>
        <w:rPr>
          <w:sz w:val="24"/>
        </w:rPr>
        <w:t>informed</w:t>
      </w:r>
      <w:r>
        <w:rPr>
          <w:spacing w:val="-3"/>
          <w:sz w:val="24"/>
        </w:rPr>
        <w:t> </w:t>
      </w:r>
      <w:r>
        <w:rPr>
          <w:sz w:val="24"/>
        </w:rPr>
        <w:t>choice,</w:t>
      </w:r>
      <w:r>
        <w:rPr>
          <w:spacing w:val="-2"/>
          <w:sz w:val="24"/>
        </w:rPr>
        <w:t> </w:t>
      </w:r>
      <w:r>
        <w:rPr>
          <w:sz w:val="24"/>
        </w:rPr>
        <w:t>as</w:t>
      </w:r>
      <w:r>
        <w:rPr>
          <w:spacing w:val="-3"/>
          <w:sz w:val="24"/>
        </w:rPr>
        <w:t> </w:t>
      </w:r>
      <w:r>
        <w:rPr>
          <w:sz w:val="24"/>
        </w:rPr>
        <w:t>found</w:t>
      </w:r>
      <w:r>
        <w:rPr>
          <w:spacing w:val="-3"/>
          <w:sz w:val="24"/>
        </w:rPr>
        <w:t> </w:t>
      </w:r>
      <w:r>
        <w:rPr>
          <w:sz w:val="24"/>
        </w:rPr>
        <w:t>in</w:t>
      </w:r>
      <w:r>
        <w:rPr>
          <w:spacing w:val="-3"/>
          <w:sz w:val="24"/>
        </w:rPr>
        <w:t> </w:t>
      </w:r>
      <w:r>
        <w:rPr>
          <w:sz w:val="24"/>
        </w:rPr>
        <w:t>34</w:t>
      </w:r>
      <w:r>
        <w:rPr>
          <w:spacing w:val="-3"/>
          <w:sz w:val="24"/>
        </w:rPr>
        <w:t> </w:t>
      </w:r>
      <w:r>
        <w:rPr>
          <w:sz w:val="24"/>
        </w:rPr>
        <w:t>CFR</w:t>
      </w:r>
      <w:r>
        <w:rPr>
          <w:spacing w:val="-4"/>
          <w:sz w:val="24"/>
        </w:rPr>
        <w:t> </w:t>
      </w:r>
      <w:r>
        <w:rPr>
          <w:sz w:val="24"/>
        </w:rPr>
        <w:t>361.48</w:t>
      </w:r>
      <w:r>
        <w:rPr>
          <w:spacing w:val="-3"/>
          <w:sz w:val="24"/>
        </w:rPr>
        <w:t> </w:t>
      </w:r>
      <w:r>
        <w:rPr>
          <w:sz w:val="24"/>
        </w:rPr>
        <w:t>(b)</w:t>
      </w:r>
      <w:r>
        <w:rPr>
          <w:spacing w:val="-4"/>
          <w:sz w:val="24"/>
        </w:rPr>
        <w:t> </w:t>
      </w:r>
      <w:r>
        <w:rPr>
          <w:sz w:val="24"/>
        </w:rPr>
        <w:t>(1- </w:t>
      </w:r>
      <w:r>
        <w:rPr>
          <w:spacing w:val="-4"/>
          <w:sz w:val="24"/>
        </w:rPr>
        <w:t>21)</w:t>
      </w:r>
    </w:p>
    <w:p>
      <w:pPr>
        <w:pStyle w:val="ListParagraph"/>
        <w:numPr>
          <w:ilvl w:val="0"/>
          <w:numId w:val="143"/>
        </w:numPr>
        <w:tabs>
          <w:tab w:pos="773" w:val="left" w:leader="none"/>
        </w:tabs>
        <w:spacing w:line="208" w:lineRule="auto" w:before="239" w:after="0"/>
        <w:ind w:left="360" w:right="806" w:firstLine="0"/>
        <w:jc w:val="left"/>
        <w:rPr>
          <w:sz w:val="24"/>
        </w:rPr>
      </w:pPr>
      <w:r>
        <w:rPr>
          <w:b/>
          <w:sz w:val="24"/>
        </w:rPr>
        <w:t>Scope of vocational rehabilitation services for groups of individuals with disabilities.</w:t>
      </w:r>
      <w:r>
        <w:rPr>
          <w:b/>
          <w:spacing w:val="-4"/>
          <w:sz w:val="24"/>
        </w:rPr>
        <w:t> </w:t>
      </w:r>
      <w:r>
        <w:rPr>
          <w:sz w:val="24"/>
        </w:rPr>
        <w:t>DRS</w:t>
      </w:r>
      <w:r>
        <w:rPr>
          <w:spacing w:val="-5"/>
          <w:sz w:val="24"/>
        </w:rPr>
        <w:t> </w:t>
      </w:r>
      <w:r>
        <w:rPr>
          <w:sz w:val="24"/>
        </w:rPr>
        <w:t>may</w:t>
      </w:r>
      <w:r>
        <w:rPr>
          <w:spacing w:val="-4"/>
          <w:sz w:val="24"/>
        </w:rPr>
        <w:t> </w:t>
      </w:r>
      <w:r>
        <w:rPr>
          <w:sz w:val="24"/>
        </w:rPr>
        <w:t>provide</w:t>
      </w:r>
      <w:r>
        <w:rPr>
          <w:spacing w:val="-4"/>
          <w:sz w:val="24"/>
        </w:rPr>
        <w:t> </w:t>
      </w:r>
      <w:r>
        <w:rPr>
          <w:sz w:val="24"/>
        </w:rPr>
        <w:t>for</w:t>
      </w:r>
      <w:r>
        <w:rPr>
          <w:spacing w:val="-3"/>
          <w:sz w:val="24"/>
        </w:rPr>
        <w:t> </w:t>
      </w:r>
      <w:r>
        <w:rPr>
          <w:sz w:val="24"/>
        </w:rPr>
        <w:t>the</w:t>
      </w:r>
      <w:r>
        <w:rPr>
          <w:spacing w:val="-4"/>
          <w:sz w:val="24"/>
        </w:rPr>
        <w:t> </w:t>
      </w:r>
      <w:r>
        <w:rPr>
          <w:sz w:val="24"/>
        </w:rPr>
        <w:t>following</w:t>
      </w:r>
      <w:r>
        <w:rPr>
          <w:spacing w:val="-4"/>
          <w:sz w:val="24"/>
        </w:rPr>
        <w:t> </w:t>
      </w:r>
      <w:r>
        <w:rPr>
          <w:sz w:val="24"/>
        </w:rPr>
        <w:t>vocational</w:t>
      </w:r>
      <w:r>
        <w:rPr>
          <w:spacing w:val="-4"/>
          <w:sz w:val="24"/>
        </w:rPr>
        <w:t> </w:t>
      </w:r>
      <w:r>
        <w:rPr>
          <w:sz w:val="24"/>
        </w:rPr>
        <w:t>rehabilitation</w:t>
      </w:r>
      <w:r>
        <w:rPr>
          <w:spacing w:val="-4"/>
          <w:sz w:val="24"/>
        </w:rPr>
        <w:t> </w:t>
      </w:r>
      <w:r>
        <w:rPr>
          <w:sz w:val="24"/>
        </w:rPr>
        <w:t>services</w:t>
      </w:r>
      <w:r>
        <w:rPr>
          <w:spacing w:val="-4"/>
          <w:sz w:val="24"/>
        </w:rPr>
        <w:t> </w:t>
      </w:r>
      <w:r>
        <w:rPr>
          <w:sz w:val="24"/>
        </w:rPr>
        <w:t>for</w:t>
      </w:r>
      <w:r>
        <w:rPr>
          <w:spacing w:val="-3"/>
          <w:sz w:val="24"/>
        </w:rPr>
        <w:t> </w:t>
      </w:r>
      <w:r>
        <w:rPr>
          <w:sz w:val="24"/>
        </w:rPr>
        <w:t>the benefit of groups of individuals with disabilities as listed in 34 CFR 361.49 (a) (1-9).</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7-1-98</w:t>
      </w:r>
      <w:r>
        <w:rPr>
          <w:sz w:val="22"/>
        </w:rPr>
        <w:tab/>
        <w:t>PT Memo #98-15</w:t>
      </w:r>
    </w:p>
    <w:p>
      <w:pPr>
        <w:tabs>
          <w:tab w:pos="1439" w:val="left" w:leader="none"/>
        </w:tabs>
        <w:spacing w:before="0"/>
        <w:ind w:left="359" w:right="6246" w:firstLine="1080"/>
        <w:jc w:val="left"/>
        <w:rPr>
          <w:sz w:val="22"/>
        </w:rPr>
      </w:pPr>
      <w:r>
        <w:rPr>
          <w:sz w:val="22"/>
        </w:rPr>
        <w:t>Permanent;</w:t>
      </w:r>
      <w:r>
        <w:rPr>
          <w:spacing w:val="-16"/>
          <w:sz w:val="22"/>
        </w:rPr>
        <w:t> </w:t>
      </w:r>
      <w:r>
        <w:rPr>
          <w:sz w:val="22"/>
        </w:rPr>
        <w:t>clean-up</w:t>
      </w:r>
      <w:r>
        <w:rPr>
          <w:spacing w:val="-15"/>
          <w:sz w:val="22"/>
        </w:rPr>
        <w:t> </w:t>
      </w:r>
      <w:r>
        <w:rPr>
          <w:sz w:val="22"/>
        </w:rPr>
        <w:t>editing </w:t>
      </w:r>
      <w:r>
        <w:rPr>
          <w:spacing w:val="-2"/>
          <w:sz w:val="22"/>
        </w:rPr>
        <w:t>6-14-99</w:t>
      </w:r>
      <w:r>
        <w:rPr>
          <w:sz w:val="22"/>
        </w:rPr>
        <w:tab/>
        <w:t>POL Memo #99-7</w:t>
      </w:r>
    </w:p>
    <w:p>
      <w:pPr>
        <w:tabs>
          <w:tab w:pos="1439" w:val="left" w:leader="none"/>
        </w:tabs>
        <w:spacing w:before="0"/>
        <w:ind w:left="359" w:right="5831" w:firstLine="1080"/>
        <w:jc w:val="left"/>
        <w:rPr>
          <w:sz w:val="22"/>
        </w:rPr>
      </w:pPr>
      <w:r>
        <w:rPr>
          <w:sz w:val="22"/>
        </w:rPr>
        <w:t>Emergency,</w:t>
      </w:r>
      <w:r>
        <w:rPr>
          <w:spacing w:val="-10"/>
          <w:sz w:val="22"/>
        </w:rPr>
        <w:t> </w:t>
      </w:r>
      <w:r>
        <w:rPr>
          <w:sz w:val="22"/>
        </w:rPr>
        <w:t>changed</w:t>
      </w:r>
      <w:r>
        <w:rPr>
          <w:spacing w:val="-10"/>
          <w:sz w:val="22"/>
        </w:rPr>
        <w:t> </w:t>
      </w:r>
      <w:r>
        <w:rPr>
          <w:sz w:val="22"/>
        </w:rPr>
        <w:t>IRP</w:t>
      </w:r>
      <w:r>
        <w:rPr>
          <w:spacing w:val="-10"/>
          <w:sz w:val="22"/>
        </w:rPr>
        <w:t> </w:t>
      </w:r>
      <w:r>
        <w:rPr>
          <w:sz w:val="22"/>
        </w:rPr>
        <w:t>to</w:t>
      </w:r>
      <w:r>
        <w:rPr>
          <w:spacing w:val="-10"/>
          <w:sz w:val="22"/>
        </w:rPr>
        <w:t> </w:t>
      </w:r>
      <w:r>
        <w:rPr>
          <w:sz w:val="22"/>
        </w:rPr>
        <w:t>IPE </w:t>
      </w:r>
      <w:r>
        <w:rPr>
          <w:spacing w:val="-2"/>
          <w:sz w:val="22"/>
        </w:rPr>
        <w:t>7-1-99</w:t>
      </w:r>
      <w:r>
        <w:rPr>
          <w:sz w:val="22"/>
        </w:rPr>
        <w:tab/>
        <w:t>POL Memo #00-1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10-1-07</w:t>
      </w:r>
      <w:r>
        <w:rPr>
          <w:sz w:val="22"/>
        </w:rPr>
        <w:tab/>
        <w:t>PT Memo #08-02</w:t>
      </w:r>
    </w:p>
    <w:p>
      <w:pPr>
        <w:spacing w:line="253" w:lineRule="exact" w:before="1"/>
        <w:ind w:left="1439" w:right="0" w:firstLine="0"/>
        <w:jc w:val="left"/>
        <w:rPr>
          <w:sz w:val="22"/>
        </w:rPr>
      </w:pPr>
      <w:r>
        <w:rPr>
          <w:sz w:val="22"/>
        </w:rPr>
        <w:t>Permanent,</w:t>
      </w:r>
      <w:r>
        <w:rPr>
          <w:spacing w:val="-8"/>
          <w:sz w:val="22"/>
        </w:rPr>
        <w:t> </w:t>
      </w:r>
      <w:r>
        <w:rPr>
          <w:sz w:val="22"/>
        </w:rPr>
        <w:t>AWARE</w:t>
      </w:r>
      <w:r>
        <w:rPr>
          <w:spacing w:val="-8"/>
          <w:sz w:val="22"/>
        </w:rPr>
        <w:t> </w:t>
      </w:r>
      <w:r>
        <w:rPr>
          <w:sz w:val="22"/>
        </w:rPr>
        <w:t>change.</w:t>
      </w:r>
      <w:r>
        <w:rPr>
          <w:spacing w:val="45"/>
          <w:sz w:val="22"/>
        </w:rPr>
        <w:t> </w:t>
      </w:r>
      <w:r>
        <w:rPr>
          <w:sz w:val="22"/>
        </w:rPr>
        <w:t>Removed</w:t>
      </w:r>
      <w:r>
        <w:rPr>
          <w:spacing w:val="-8"/>
          <w:sz w:val="22"/>
        </w:rPr>
        <w:t> </w:t>
      </w:r>
      <w:r>
        <w:rPr>
          <w:sz w:val="22"/>
        </w:rPr>
        <w:t>Status</w:t>
      </w:r>
      <w:r>
        <w:rPr>
          <w:spacing w:val="-8"/>
          <w:sz w:val="22"/>
        </w:rPr>
        <w:t> </w:t>
      </w:r>
      <w:r>
        <w:rPr>
          <w:spacing w:val="-2"/>
          <w:sz w:val="22"/>
        </w:rPr>
        <w:t>numbers.</w:t>
      </w:r>
    </w:p>
    <w:p>
      <w:pPr>
        <w:tabs>
          <w:tab w:pos="1439" w:val="left" w:leader="none"/>
        </w:tabs>
        <w:spacing w:line="253" w:lineRule="exact" w:before="0"/>
        <w:ind w:left="359" w:right="0" w:firstLine="0"/>
        <w:jc w:val="left"/>
        <w:rPr>
          <w:sz w:val="22"/>
        </w:rPr>
      </w:pPr>
      <w:r>
        <w:rPr>
          <w:spacing w:val="-2"/>
          <w:sz w:val="22"/>
        </w:rPr>
        <w:t>7-1-</w:t>
      </w:r>
      <w:r>
        <w:rPr>
          <w:spacing w:val="-5"/>
          <w:sz w:val="22"/>
        </w:rPr>
        <w:t>08</w:t>
      </w:r>
      <w:r>
        <w:rPr>
          <w:sz w:val="22"/>
        </w:rPr>
        <w:tab/>
        <w:t>PT</w:t>
      </w:r>
      <w:r>
        <w:rPr>
          <w:spacing w:val="-8"/>
          <w:sz w:val="22"/>
        </w:rPr>
        <w:t> </w:t>
      </w:r>
      <w:r>
        <w:rPr>
          <w:sz w:val="22"/>
        </w:rPr>
        <w:t>Memo</w:t>
      </w:r>
      <w:r>
        <w:rPr>
          <w:spacing w:val="-8"/>
          <w:sz w:val="22"/>
        </w:rPr>
        <w:t> </w:t>
      </w:r>
      <w:r>
        <w:rPr>
          <w:sz w:val="22"/>
        </w:rPr>
        <w:t>#09-</w:t>
      </w:r>
      <w:r>
        <w:rPr>
          <w:spacing w:val="-5"/>
          <w:sz w:val="22"/>
        </w:rPr>
        <w:t>01</w:t>
      </w:r>
    </w:p>
    <w:p>
      <w:pPr>
        <w:spacing w:before="0"/>
        <w:ind w:left="1439" w:right="0" w:firstLine="0"/>
        <w:jc w:val="left"/>
        <w:rPr>
          <w:sz w:val="22"/>
        </w:rPr>
      </w:pPr>
      <w:r>
        <w:rPr>
          <w:sz w:val="22"/>
        </w:rPr>
        <w:t>Permanent,</w:t>
      </w:r>
      <w:r>
        <w:rPr>
          <w:spacing w:val="-7"/>
          <w:sz w:val="22"/>
        </w:rPr>
        <w:t> </w:t>
      </w:r>
      <w:r>
        <w:rPr>
          <w:sz w:val="22"/>
        </w:rPr>
        <w:t>Changed</w:t>
      </w:r>
      <w:r>
        <w:rPr>
          <w:spacing w:val="-7"/>
          <w:sz w:val="22"/>
        </w:rPr>
        <w:t> </w:t>
      </w:r>
      <w:r>
        <w:rPr>
          <w:sz w:val="22"/>
        </w:rPr>
        <w:t>one</w:t>
      </w:r>
      <w:r>
        <w:rPr>
          <w:spacing w:val="-7"/>
          <w:sz w:val="22"/>
        </w:rPr>
        <w:t> </w:t>
      </w:r>
      <w:r>
        <w:rPr>
          <w:sz w:val="22"/>
        </w:rPr>
        <w:t>month</w:t>
      </w:r>
      <w:r>
        <w:rPr>
          <w:spacing w:val="-7"/>
          <w:sz w:val="22"/>
        </w:rPr>
        <w:t> </w:t>
      </w:r>
      <w:r>
        <w:rPr>
          <w:sz w:val="22"/>
        </w:rPr>
        <w:t>to</w:t>
      </w:r>
      <w:r>
        <w:rPr>
          <w:spacing w:val="-7"/>
          <w:sz w:val="22"/>
        </w:rPr>
        <w:t> </w:t>
      </w:r>
      <w:r>
        <w:rPr>
          <w:spacing w:val="-2"/>
          <w:sz w:val="22"/>
        </w:rPr>
        <w:t>three.</w:t>
      </w:r>
    </w:p>
    <w:p>
      <w:pPr>
        <w:tabs>
          <w:tab w:pos="1439" w:val="left" w:leader="none"/>
        </w:tabs>
        <w:spacing w:before="0"/>
        <w:ind w:left="359" w:right="0" w:firstLine="0"/>
        <w:jc w:val="left"/>
        <w:rPr>
          <w:sz w:val="22"/>
        </w:rPr>
      </w:pPr>
      <w:r>
        <w:rPr>
          <w:spacing w:val="-2"/>
          <w:sz w:val="22"/>
        </w:rPr>
        <w:t>7-1-</w:t>
      </w:r>
      <w:r>
        <w:rPr>
          <w:spacing w:val="-5"/>
          <w:sz w:val="22"/>
        </w:rPr>
        <w:t>11</w:t>
      </w:r>
      <w:r>
        <w:rPr>
          <w:sz w:val="22"/>
        </w:rPr>
        <w:tab/>
        <w:t>PT</w:t>
      </w:r>
      <w:r>
        <w:rPr>
          <w:spacing w:val="-8"/>
          <w:sz w:val="22"/>
        </w:rPr>
        <w:t> </w:t>
      </w:r>
      <w:r>
        <w:rPr>
          <w:sz w:val="22"/>
        </w:rPr>
        <w:t>Memo</w:t>
      </w:r>
      <w:r>
        <w:rPr>
          <w:spacing w:val="-8"/>
          <w:sz w:val="22"/>
        </w:rPr>
        <w:t> </w:t>
      </w:r>
      <w:r>
        <w:rPr>
          <w:sz w:val="22"/>
        </w:rPr>
        <w:t>#12-</w:t>
      </w:r>
      <w:r>
        <w:rPr>
          <w:spacing w:val="-5"/>
          <w:sz w:val="22"/>
        </w:rPr>
        <w:t>01</w:t>
      </w:r>
    </w:p>
    <w:p>
      <w:pPr>
        <w:tabs>
          <w:tab w:pos="1439" w:val="left" w:leader="none"/>
        </w:tabs>
        <w:spacing w:before="0"/>
        <w:ind w:left="359" w:right="1221" w:firstLine="1080"/>
        <w:jc w:val="left"/>
        <w:rPr>
          <w:sz w:val="22"/>
        </w:rPr>
      </w:pPr>
      <w:r>
        <w:rPr>
          <w:sz w:val="22"/>
        </w:rPr>
        <w:t>Permanent,</w:t>
      </w:r>
      <w:r>
        <w:rPr>
          <w:spacing w:val="-3"/>
          <w:sz w:val="22"/>
        </w:rPr>
        <w:t> </w:t>
      </w:r>
      <w:r>
        <w:rPr>
          <w:sz w:val="22"/>
        </w:rPr>
        <w:t>Areas</w:t>
      </w:r>
      <w:r>
        <w:rPr>
          <w:spacing w:val="-4"/>
          <w:sz w:val="22"/>
        </w:rPr>
        <w:t> </w:t>
      </w:r>
      <w:r>
        <w:rPr>
          <w:sz w:val="22"/>
        </w:rPr>
        <w:t>removed</w:t>
      </w:r>
      <w:r>
        <w:rPr>
          <w:spacing w:val="-4"/>
          <w:sz w:val="22"/>
        </w:rPr>
        <w:t> </w:t>
      </w:r>
      <w:r>
        <w:rPr>
          <w:sz w:val="22"/>
        </w:rPr>
        <w:t>due</w:t>
      </w:r>
      <w:r>
        <w:rPr>
          <w:spacing w:val="-4"/>
          <w:sz w:val="22"/>
        </w:rPr>
        <w:t> </w:t>
      </w:r>
      <w:r>
        <w:rPr>
          <w:sz w:val="22"/>
        </w:rPr>
        <w:t>to</w:t>
      </w:r>
      <w:r>
        <w:rPr>
          <w:spacing w:val="-4"/>
          <w:sz w:val="22"/>
        </w:rPr>
        <w:t> </w:t>
      </w:r>
      <w:r>
        <w:rPr>
          <w:sz w:val="22"/>
        </w:rPr>
        <w:t>being</w:t>
      </w:r>
      <w:r>
        <w:rPr>
          <w:spacing w:val="-4"/>
          <w:sz w:val="22"/>
        </w:rPr>
        <w:t> </w:t>
      </w:r>
      <w:r>
        <w:rPr>
          <w:sz w:val="22"/>
        </w:rPr>
        <w:t>practice</w:t>
      </w:r>
      <w:r>
        <w:rPr>
          <w:spacing w:val="-4"/>
          <w:sz w:val="22"/>
        </w:rPr>
        <w:t> </w:t>
      </w:r>
      <w:r>
        <w:rPr>
          <w:sz w:val="22"/>
        </w:rPr>
        <w:t>of</w:t>
      </w:r>
      <w:r>
        <w:rPr>
          <w:spacing w:val="-4"/>
          <w:sz w:val="22"/>
        </w:rPr>
        <w:t> </w:t>
      </w:r>
      <w:r>
        <w:rPr>
          <w:sz w:val="22"/>
        </w:rPr>
        <w:t>DRS</w:t>
      </w:r>
      <w:r>
        <w:rPr>
          <w:spacing w:val="-4"/>
          <w:sz w:val="22"/>
        </w:rPr>
        <w:t> </w:t>
      </w:r>
      <w:r>
        <w:rPr>
          <w:sz w:val="22"/>
        </w:rPr>
        <w:t>or</w:t>
      </w:r>
      <w:r>
        <w:rPr>
          <w:spacing w:val="-3"/>
          <w:sz w:val="22"/>
        </w:rPr>
        <w:t> </w:t>
      </w:r>
      <w:r>
        <w:rPr>
          <w:sz w:val="22"/>
        </w:rPr>
        <w:t>routine</w:t>
      </w:r>
      <w:r>
        <w:rPr>
          <w:spacing w:val="-4"/>
          <w:sz w:val="22"/>
        </w:rPr>
        <w:t> </w:t>
      </w:r>
      <w:r>
        <w:rPr>
          <w:sz w:val="22"/>
        </w:rPr>
        <w:t>procedures. </w:t>
      </w:r>
      <w:r>
        <w:rPr>
          <w:spacing w:val="-2"/>
          <w:sz w:val="22"/>
        </w:rPr>
        <w:t>8-26-21</w:t>
      </w:r>
      <w:r>
        <w:rPr>
          <w:sz w:val="22"/>
        </w:rPr>
        <w:tab/>
        <w:t>Rule name change 'Provision of Services' to 'Scope of vocational rehabilitation</w:t>
      </w:r>
    </w:p>
    <w:p>
      <w:pPr>
        <w:spacing w:line="252" w:lineRule="exact" w:before="0"/>
        <w:ind w:left="1439" w:right="0" w:firstLine="0"/>
        <w:jc w:val="left"/>
        <w:rPr>
          <w:sz w:val="22"/>
        </w:rPr>
      </w:pPr>
      <w:r>
        <w:rPr>
          <w:sz w:val="22"/>
        </w:rPr>
        <w:t>services</w:t>
      </w:r>
      <w:r>
        <w:rPr>
          <w:spacing w:val="-8"/>
          <w:sz w:val="22"/>
        </w:rPr>
        <w:t> </w:t>
      </w:r>
      <w:r>
        <w:rPr>
          <w:sz w:val="22"/>
        </w:rPr>
        <w:t>for</w:t>
      </w:r>
      <w:r>
        <w:rPr>
          <w:spacing w:val="-9"/>
          <w:sz w:val="22"/>
        </w:rPr>
        <w:t> </w:t>
      </w:r>
      <w:r>
        <w:rPr>
          <w:sz w:val="22"/>
        </w:rPr>
        <w:t>individuals</w:t>
      </w:r>
      <w:r>
        <w:rPr>
          <w:spacing w:val="-8"/>
          <w:sz w:val="22"/>
        </w:rPr>
        <w:t> </w:t>
      </w:r>
      <w:r>
        <w:rPr>
          <w:sz w:val="22"/>
        </w:rPr>
        <w:t>with</w:t>
      </w:r>
      <w:r>
        <w:rPr>
          <w:spacing w:val="-8"/>
          <w:sz w:val="22"/>
        </w:rPr>
        <w:t> </w:t>
      </w:r>
      <w:r>
        <w:rPr>
          <w:sz w:val="22"/>
        </w:rPr>
        <w:t>disabilities.</w:t>
      </w:r>
      <w:r>
        <w:rPr>
          <w:spacing w:val="-7"/>
          <w:sz w:val="22"/>
        </w:rPr>
        <w:t> </w:t>
      </w:r>
      <w:r>
        <w:rPr>
          <w:sz w:val="22"/>
        </w:rPr>
        <w:t>Revised</w:t>
      </w:r>
      <w:r>
        <w:rPr>
          <w:spacing w:val="-8"/>
          <w:sz w:val="22"/>
        </w:rPr>
        <w:t> </w:t>
      </w:r>
      <w:r>
        <w:rPr>
          <w:sz w:val="22"/>
        </w:rPr>
        <w:t>to</w:t>
      </w:r>
      <w:r>
        <w:rPr>
          <w:spacing w:val="-8"/>
          <w:sz w:val="22"/>
        </w:rPr>
        <w:t> </w:t>
      </w:r>
      <w:r>
        <w:rPr>
          <w:sz w:val="22"/>
        </w:rPr>
        <w:t>reflect</w:t>
      </w:r>
      <w:r>
        <w:rPr>
          <w:spacing w:val="-7"/>
          <w:sz w:val="22"/>
        </w:rPr>
        <w:t> </w:t>
      </w:r>
      <w:r>
        <w:rPr>
          <w:sz w:val="22"/>
        </w:rPr>
        <w:t>WIOA</w:t>
      </w:r>
      <w:r>
        <w:rPr>
          <w:spacing w:val="-8"/>
          <w:sz w:val="22"/>
        </w:rPr>
        <w:t> </w:t>
      </w:r>
      <w:r>
        <w:rPr>
          <w:spacing w:val="-2"/>
          <w:sz w:val="22"/>
        </w:rPr>
        <w:t>language.</w:t>
      </w:r>
    </w:p>
    <w:p>
      <w:pPr>
        <w:spacing w:after="0" w:line="252" w:lineRule="exact"/>
        <w:jc w:val="left"/>
        <w:rPr>
          <w:sz w:val="22"/>
        </w:rPr>
        <w:sectPr>
          <w:pgSz w:w="12240" w:h="15840"/>
          <w:pgMar w:top="1340" w:bottom="280" w:left="1080" w:right="720"/>
        </w:sectPr>
      </w:pPr>
    </w:p>
    <w:p>
      <w:pPr>
        <w:pStyle w:val="Heading2"/>
      </w:pPr>
      <w:bookmarkStart w:name="612:10-7-55.  Job Ready" w:id="144"/>
      <w:bookmarkEnd w:id="144"/>
      <w:r>
        <w:rPr>
          <w:b w:val="0"/>
        </w:rPr>
      </w:r>
      <w:bookmarkStart w:name="_bookmark16" w:id="145"/>
      <w:bookmarkEnd w:id="145"/>
      <w:r>
        <w:rPr>
          <w:b w:val="0"/>
        </w:rPr>
      </w:r>
      <w:r>
        <w:rPr/>
        <w:t>612:10-7-55.</w:t>
      </w:r>
      <w:r>
        <w:rPr>
          <w:spacing w:val="60"/>
        </w:rPr>
        <w:t> </w:t>
      </w:r>
      <w:r>
        <w:rPr/>
        <w:t>Job</w:t>
      </w:r>
      <w:r>
        <w:rPr>
          <w:spacing w:val="-3"/>
        </w:rPr>
        <w:t> </w:t>
      </w:r>
      <w:r>
        <w:rPr>
          <w:spacing w:val="-2"/>
        </w:rPr>
        <w:t>Ready</w:t>
      </w:r>
    </w:p>
    <w:p>
      <w:pPr>
        <w:pStyle w:val="ListParagraph"/>
        <w:numPr>
          <w:ilvl w:val="0"/>
          <w:numId w:val="144"/>
        </w:numPr>
        <w:tabs>
          <w:tab w:pos="785" w:val="left" w:leader="none"/>
        </w:tabs>
        <w:spacing w:line="208" w:lineRule="auto" w:before="233" w:after="0"/>
        <w:ind w:left="360" w:right="778" w:firstLine="0"/>
        <w:jc w:val="left"/>
        <w:rPr>
          <w:rFonts w:ascii="Calibri"/>
          <w:b/>
          <w:sz w:val="22"/>
        </w:rPr>
      </w:pPr>
      <w:r>
        <w:rPr>
          <w:b/>
          <w:sz w:val="24"/>
        </w:rPr>
        <w:t>The Use of Job Ready Status: </w:t>
      </w:r>
      <w:r>
        <w:rPr>
          <w:sz w:val="24"/>
        </w:rPr>
        <w:t>Job Ready Status is used to identify individuals who are qualified, willing and able to begin an active job search. Job Ready Status can also</w:t>
      </w:r>
      <w:r>
        <w:rPr>
          <w:spacing w:val="-4"/>
          <w:sz w:val="24"/>
        </w:rPr>
        <w:t> </w:t>
      </w:r>
      <w:r>
        <w:rPr>
          <w:sz w:val="24"/>
        </w:rPr>
        <w:t>be</w:t>
      </w:r>
      <w:r>
        <w:rPr>
          <w:spacing w:val="-4"/>
          <w:sz w:val="24"/>
        </w:rPr>
        <w:t> </w:t>
      </w:r>
      <w:r>
        <w:rPr>
          <w:sz w:val="24"/>
        </w:rPr>
        <w:t>used</w:t>
      </w:r>
      <w:r>
        <w:rPr>
          <w:spacing w:val="-4"/>
          <w:sz w:val="24"/>
        </w:rPr>
        <w:t> </w:t>
      </w:r>
      <w:r>
        <w:rPr>
          <w:sz w:val="24"/>
        </w:rPr>
        <w:t>for</w:t>
      </w:r>
      <w:r>
        <w:rPr>
          <w:spacing w:val="-3"/>
          <w:sz w:val="24"/>
        </w:rPr>
        <w:t> </w:t>
      </w:r>
      <w:r>
        <w:rPr>
          <w:sz w:val="24"/>
        </w:rPr>
        <w:t>individuals</w:t>
      </w:r>
      <w:r>
        <w:rPr>
          <w:spacing w:val="-4"/>
          <w:sz w:val="24"/>
        </w:rPr>
        <w:t> </w:t>
      </w:r>
      <w:r>
        <w:rPr>
          <w:sz w:val="24"/>
        </w:rPr>
        <w:t>pursing</w:t>
      </w:r>
      <w:r>
        <w:rPr>
          <w:spacing w:val="-4"/>
          <w:sz w:val="24"/>
        </w:rPr>
        <w:t> </w:t>
      </w:r>
      <w:r>
        <w:rPr>
          <w:sz w:val="24"/>
        </w:rPr>
        <w:t>a</w:t>
      </w:r>
      <w:r>
        <w:rPr>
          <w:spacing w:val="-4"/>
          <w:sz w:val="24"/>
        </w:rPr>
        <w:t> </w:t>
      </w:r>
      <w:r>
        <w:rPr>
          <w:sz w:val="24"/>
        </w:rPr>
        <w:t>variety</w:t>
      </w:r>
      <w:r>
        <w:rPr>
          <w:spacing w:val="-5"/>
          <w:sz w:val="24"/>
        </w:rPr>
        <w:t> </w:t>
      </w:r>
      <w:r>
        <w:rPr>
          <w:sz w:val="24"/>
        </w:rPr>
        <w:t>of</w:t>
      </w:r>
      <w:r>
        <w:rPr>
          <w:spacing w:val="-3"/>
          <w:sz w:val="24"/>
        </w:rPr>
        <w:t> </w:t>
      </w:r>
      <w:r>
        <w:rPr>
          <w:sz w:val="24"/>
        </w:rPr>
        <w:t>work</w:t>
      </w:r>
      <w:r>
        <w:rPr>
          <w:spacing w:val="-4"/>
          <w:sz w:val="24"/>
        </w:rPr>
        <w:t> </w:t>
      </w:r>
      <w:r>
        <w:rPr>
          <w:sz w:val="24"/>
        </w:rPr>
        <w:t>experiences,</w:t>
      </w:r>
      <w:r>
        <w:rPr>
          <w:spacing w:val="-3"/>
          <w:sz w:val="24"/>
        </w:rPr>
        <w:t> </w:t>
      </w:r>
      <w:r>
        <w:rPr>
          <w:sz w:val="24"/>
        </w:rPr>
        <w:t>including</w:t>
      </w:r>
      <w:r>
        <w:rPr>
          <w:spacing w:val="-4"/>
          <w:sz w:val="24"/>
        </w:rPr>
        <w:t> </w:t>
      </w:r>
      <w:r>
        <w:rPr>
          <w:sz w:val="24"/>
        </w:rPr>
        <w:t>internships, apprenticeships, or temporary jobs to supplement income while attending school or receiving other vocational rehabilitation services. Job Ready status can be used at any time during the life of the case, once an Individual Plan for Employment (IPE) is in place. </w:t>
      </w:r>
      <w:r>
        <w:rPr>
          <w:rFonts w:ascii="Calibri"/>
          <w:b/>
          <w:sz w:val="22"/>
        </w:rPr>
        <w:t>1</w:t>
      </w:r>
    </w:p>
    <w:p>
      <w:pPr>
        <w:pStyle w:val="ListParagraph"/>
        <w:numPr>
          <w:ilvl w:val="1"/>
          <w:numId w:val="144"/>
        </w:numPr>
        <w:tabs>
          <w:tab w:pos="1236" w:val="left" w:leader="none"/>
        </w:tabs>
        <w:spacing w:line="208" w:lineRule="auto" w:before="231" w:after="0"/>
        <w:ind w:left="810" w:right="781" w:firstLine="0"/>
        <w:jc w:val="left"/>
        <w:rPr>
          <w:sz w:val="24"/>
        </w:rPr>
      </w:pPr>
      <w:r>
        <w:rPr>
          <w:sz w:val="24"/>
        </w:rPr>
        <w:t>Job Ready Status should only be used after consultation with the Participant to insure the person is aware they are considered an active job seeker and may be contacted</w:t>
      </w:r>
      <w:r>
        <w:rPr>
          <w:spacing w:val="-4"/>
          <w:sz w:val="24"/>
        </w:rPr>
        <w:t> </w:t>
      </w:r>
      <w:r>
        <w:rPr>
          <w:sz w:val="24"/>
        </w:rPr>
        <w:t>about</w:t>
      </w:r>
      <w:r>
        <w:rPr>
          <w:spacing w:val="-3"/>
          <w:sz w:val="24"/>
        </w:rPr>
        <w:t> </w:t>
      </w:r>
      <w:r>
        <w:rPr>
          <w:sz w:val="24"/>
        </w:rPr>
        <w:t>employment</w:t>
      </w:r>
      <w:r>
        <w:rPr>
          <w:spacing w:val="-3"/>
          <w:sz w:val="24"/>
        </w:rPr>
        <w:t> </w:t>
      </w:r>
      <w:r>
        <w:rPr>
          <w:sz w:val="24"/>
        </w:rPr>
        <w:t>or</w:t>
      </w:r>
      <w:r>
        <w:rPr>
          <w:spacing w:val="-5"/>
          <w:sz w:val="24"/>
        </w:rPr>
        <w:t> </w:t>
      </w:r>
      <w:r>
        <w:rPr>
          <w:sz w:val="24"/>
        </w:rPr>
        <w:t>work</w:t>
      </w:r>
      <w:r>
        <w:rPr>
          <w:spacing w:val="-4"/>
          <w:sz w:val="24"/>
        </w:rPr>
        <w:t> </w:t>
      </w:r>
      <w:r>
        <w:rPr>
          <w:sz w:val="24"/>
        </w:rPr>
        <w:t>experiences</w:t>
      </w:r>
      <w:r>
        <w:rPr>
          <w:spacing w:val="-4"/>
          <w:sz w:val="24"/>
        </w:rPr>
        <w:t> </w:t>
      </w:r>
      <w:r>
        <w:rPr>
          <w:sz w:val="24"/>
        </w:rPr>
        <w:t>in</w:t>
      </w:r>
      <w:r>
        <w:rPr>
          <w:spacing w:val="-4"/>
          <w:sz w:val="24"/>
        </w:rPr>
        <w:t> </w:t>
      </w:r>
      <w:r>
        <w:rPr>
          <w:sz w:val="24"/>
        </w:rPr>
        <w:t>which</w:t>
      </w:r>
      <w:r>
        <w:rPr>
          <w:spacing w:val="-4"/>
          <w:sz w:val="24"/>
        </w:rPr>
        <w:t> </w:t>
      </w:r>
      <w:r>
        <w:rPr>
          <w:sz w:val="24"/>
        </w:rPr>
        <w:t>they</w:t>
      </w:r>
      <w:r>
        <w:rPr>
          <w:spacing w:val="-4"/>
          <w:sz w:val="24"/>
        </w:rPr>
        <w:t> </w:t>
      </w:r>
      <w:r>
        <w:rPr>
          <w:sz w:val="24"/>
        </w:rPr>
        <w:t>have</w:t>
      </w:r>
      <w:r>
        <w:rPr>
          <w:spacing w:val="-4"/>
          <w:sz w:val="24"/>
        </w:rPr>
        <w:t> </w:t>
      </w:r>
      <w:r>
        <w:rPr>
          <w:sz w:val="24"/>
        </w:rPr>
        <w:t>expressed</w:t>
      </w:r>
      <w:r>
        <w:rPr>
          <w:spacing w:val="-4"/>
          <w:sz w:val="24"/>
        </w:rPr>
        <w:t> </w:t>
      </w:r>
      <w:r>
        <w:rPr>
          <w:sz w:val="24"/>
        </w:rPr>
        <w:t>an interest. Also, Job Ready Status should not be used for those who have been referred to an Employment Services Provider for assistance with services such as Employment &amp; Retention, Customized Employment, Supported Employment, Job Placement, Supplemental Employment Services, JOBS, etc.</w:t>
      </w:r>
    </w:p>
    <w:p>
      <w:pPr>
        <w:pStyle w:val="ListParagraph"/>
        <w:numPr>
          <w:ilvl w:val="1"/>
          <w:numId w:val="144"/>
        </w:numPr>
        <w:tabs>
          <w:tab w:pos="1236" w:val="left" w:leader="none"/>
        </w:tabs>
        <w:spacing w:line="208" w:lineRule="auto" w:before="239" w:after="0"/>
        <w:ind w:left="810" w:right="917" w:firstLine="0"/>
        <w:jc w:val="left"/>
        <w:rPr>
          <w:sz w:val="24"/>
        </w:rPr>
      </w:pPr>
      <w:r>
        <w:rPr>
          <w:sz w:val="24"/>
        </w:rPr>
        <w:t>Those</w:t>
      </w:r>
      <w:r>
        <w:rPr>
          <w:spacing w:val="-4"/>
          <w:sz w:val="24"/>
        </w:rPr>
        <w:t> </w:t>
      </w:r>
      <w:r>
        <w:rPr>
          <w:sz w:val="24"/>
        </w:rPr>
        <w:t>individuals</w:t>
      </w:r>
      <w:r>
        <w:rPr>
          <w:spacing w:val="-3"/>
          <w:sz w:val="24"/>
        </w:rPr>
        <w:t> </w:t>
      </w:r>
      <w:r>
        <w:rPr>
          <w:sz w:val="24"/>
        </w:rPr>
        <w:t>who</w:t>
      </w:r>
      <w:r>
        <w:rPr>
          <w:spacing w:val="-4"/>
          <w:sz w:val="24"/>
        </w:rPr>
        <w:t> </w:t>
      </w:r>
      <w:r>
        <w:rPr>
          <w:sz w:val="24"/>
        </w:rPr>
        <w:t>are</w:t>
      </w:r>
      <w:r>
        <w:rPr>
          <w:spacing w:val="-4"/>
          <w:sz w:val="24"/>
        </w:rPr>
        <w:t> </w:t>
      </w:r>
      <w:r>
        <w:rPr>
          <w:sz w:val="24"/>
        </w:rPr>
        <w:t>in</w:t>
      </w:r>
      <w:r>
        <w:rPr>
          <w:spacing w:val="-4"/>
          <w:sz w:val="24"/>
        </w:rPr>
        <w:t> </w:t>
      </w:r>
      <w:r>
        <w:rPr>
          <w:sz w:val="24"/>
        </w:rPr>
        <w:t>job</w:t>
      </w:r>
      <w:r>
        <w:rPr>
          <w:spacing w:val="-4"/>
          <w:sz w:val="24"/>
        </w:rPr>
        <w:t> </w:t>
      </w:r>
      <w:r>
        <w:rPr>
          <w:sz w:val="24"/>
        </w:rPr>
        <w:t>ready</w:t>
      </w:r>
      <w:r>
        <w:rPr>
          <w:spacing w:val="-4"/>
          <w:sz w:val="24"/>
        </w:rPr>
        <w:t> </w:t>
      </w:r>
      <w:r>
        <w:rPr>
          <w:sz w:val="24"/>
        </w:rPr>
        <w:t>status</w:t>
      </w:r>
      <w:r>
        <w:rPr>
          <w:spacing w:val="-4"/>
          <w:sz w:val="24"/>
        </w:rPr>
        <w:t> </w:t>
      </w:r>
      <w:r>
        <w:rPr>
          <w:sz w:val="24"/>
        </w:rPr>
        <w:t>but</w:t>
      </w:r>
      <w:r>
        <w:rPr>
          <w:spacing w:val="-3"/>
          <w:sz w:val="24"/>
        </w:rPr>
        <w:t> </w:t>
      </w:r>
      <w:r>
        <w:rPr>
          <w:sz w:val="24"/>
        </w:rPr>
        <w:t>are</w:t>
      </w:r>
      <w:r>
        <w:rPr>
          <w:spacing w:val="-4"/>
          <w:sz w:val="24"/>
        </w:rPr>
        <w:t> </w:t>
      </w:r>
      <w:r>
        <w:rPr>
          <w:sz w:val="24"/>
        </w:rPr>
        <w:t>no</w:t>
      </w:r>
      <w:r>
        <w:rPr>
          <w:spacing w:val="-4"/>
          <w:sz w:val="24"/>
        </w:rPr>
        <w:t> </w:t>
      </w:r>
      <w:r>
        <w:rPr>
          <w:sz w:val="24"/>
        </w:rPr>
        <w:t>longer</w:t>
      </w:r>
      <w:r>
        <w:rPr>
          <w:spacing w:val="-2"/>
          <w:sz w:val="24"/>
        </w:rPr>
        <w:t> </w:t>
      </w:r>
      <w:r>
        <w:rPr>
          <w:sz w:val="24"/>
        </w:rPr>
        <w:t>participating</w:t>
      </w:r>
      <w:r>
        <w:rPr>
          <w:spacing w:val="-4"/>
          <w:sz w:val="24"/>
        </w:rPr>
        <w:t> </w:t>
      </w:r>
      <w:r>
        <w:rPr>
          <w:sz w:val="24"/>
        </w:rPr>
        <w:t>in a job or work experience search should be removed from Job Ready Status. Individuals who have located a job or work experience and are not currently pursuing another position should also be removed.</w:t>
      </w:r>
    </w:p>
    <w:p>
      <w:pPr>
        <w:pStyle w:val="ListParagraph"/>
        <w:numPr>
          <w:ilvl w:val="0"/>
          <w:numId w:val="144"/>
        </w:numPr>
        <w:tabs>
          <w:tab w:pos="720" w:val="left" w:leader="none"/>
        </w:tabs>
        <w:spacing w:line="208" w:lineRule="auto" w:before="240" w:after="0"/>
        <w:ind w:left="360" w:right="1446" w:firstLine="0"/>
        <w:jc w:val="left"/>
        <w:rPr>
          <w:rFonts w:ascii="Calibri"/>
          <w:b/>
          <w:sz w:val="22"/>
        </w:rPr>
      </w:pPr>
      <w:r>
        <w:rPr>
          <w:b/>
          <w:sz w:val="24"/>
        </w:rPr>
        <w:t>Case Recording Requirements: </w:t>
      </w:r>
      <w:r>
        <w:rPr>
          <w:sz w:val="24"/>
        </w:rPr>
        <w:t>The information on the Job Ready page in AWARE case management system should be completed in conjunction with the Participant</w:t>
      </w:r>
      <w:r>
        <w:rPr>
          <w:spacing w:val="-3"/>
          <w:sz w:val="24"/>
        </w:rPr>
        <w:t> </w:t>
      </w:r>
      <w:r>
        <w:rPr>
          <w:sz w:val="24"/>
        </w:rPr>
        <w:t>to</w:t>
      </w:r>
      <w:r>
        <w:rPr>
          <w:spacing w:val="-4"/>
          <w:sz w:val="24"/>
        </w:rPr>
        <w:t> </w:t>
      </w:r>
      <w:r>
        <w:rPr>
          <w:sz w:val="24"/>
        </w:rPr>
        <w:t>insure</w:t>
      </w:r>
      <w:r>
        <w:rPr>
          <w:spacing w:val="-4"/>
          <w:sz w:val="24"/>
        </w:rPr>
        <w:t> </w:t>
      </w:r>
      <w:r>
        <w:rPr>
          <w:sz w:val="24"/>
        </w:rPr>
        <w:t>it</w:t>
      </w:r>
      <w:r>
        <w:rPr>
          <w:spacing w:val="-3"/>
          <w:sz w:val="24"/>
        </w:rPr>
        <w:t> </w:t>
      </w:r>
      <w:r>
        <w:rPr>
          <w:sz w:val="24"/>
        </w:rPr>
        <w:t>is</w:t>
      </w:r>
      <w:r>
        <w:rPr>
          <w:spacing w:val="-4"/>
          <w:sz w:val="24"/>
        </w:rPr>
        <w:t> </w:t>
      </w:r>
      <w:r>
        <w:rPr>
          <w:sz w:val="24"/>
        </w:rPr>
        <w:t>accurate</w:t>
      </w:r>
      <w:r>
        <w:rPr>
          <w:spacing w:val="-5"/>
          <w:sz w:val="24"/>
        </w:rPr>
        <w:t> </w:t>
      </w:r>
      <w:r>
        <w:rPr>
          <w:sz w:val="24"/>
        </w:rPr>
        <w:t>and</w:t>
      </w:r>
      <w:r>
        <w:rPr>
          <w:spacing w:val="-4"/>
          <w:sz w:val="24"/>
        </w:rPr>
        <w:t> </w:t>
      </w:r>
      <w:r>
        <w:rPr>
          <w:sz w:val="24"/>
        </w:rPr>
        <w:t>timely.</w:t>
      </w:r>
      <w:r>
        <w:rPr>
          <w:spacing w:val="-3"/>
          <w:sz w:val="24"/>
        </w:rPr>
        <w:t> </w:t>
      </w:r>
      <w:r>
        <w:rPr>
          <w:sz w:val="24"/>
        </w:rPr>
        <w:t>The</w:t>
      </w:r>
      <w:r>
        <w:rPr>
          <w:spacing w:val="-4"/>
          <w:sz w:val="24"/>
        </w:rPr>
        <w:t> </w:t>
      </w:r>
      <w:r>
        <w:rPr>
          <w:sz w:val="24"/>
        </w:rPr>
        <w:t>information</w:t>
      </w:r>
      <w:r>
        <w:rPr>
          <w:spacing w:val="-4"/>
          <w:sz w:val="24"/>
        </w:rPr>
        <w:t> </w:t>
      </w:r>
      <w:r>
        <w:rPr>
          <w:sz w:val="24"/>
        </w:rPr>
        <w:t>should</w:t>
      </w:r>
      <w:r>
        <w:rPr>
          <w:spacing w:val="-4"/>
          <w:sz w:val="24"/>
        </w:rPr>
        <w:t> </w:t>
      </w:r>
      <w:r>
        <w:rPr>
          <w:sz w:val="24"/>
        </w:rPr>
        <w:t>be</w:t>
      </w:r>
      <w:r>
        <w:rPr>
          <w:spacing w:val="-4"/>
          <w:sz w:val="24"/>
        </w:rPr>
        <w:t> </w:t>
      </w:r>
      <w:r>
        <w:rPr>
          <w:sz w:val="24"/>
        </w:rPr>
        <w:t>reviewed periodically to make sure it is up-to-date. </w:t>
      </w:r>
      <w:r>
        <w:rPr>
          <w:rFonts w:ascii="Calibri"/>
          <w:b/>
          <w:sz w:val="22"/>
        </w:rPr>
        <w:t>3</w:t>
      </w:r>
    </w:p>
    <w:p>
      <w:pPr>
        <w:pStyle w:val="BodyText"/>
        <w:spacing w:before="202"/>
        <w:ind w:left="359"/>
      </w:pPr>
      <w:r>
        <w:rPr/>
        <w:t>Instructions</w:t>
      </w:r>
      <w:r>
        <w:rPr>
          <w:spacing w:val="-5"/>
        </w:rPr>
        <w:t> </w:t>
      </w:r>
      <w:r>
        <w:rPr/>
        <w:t>to</w:t>
      </w:r>
      <w:r>
        <w:rPr>
          <w:spacing w:val="-2"/>
        </w:rPr>
        <w:t> </w:t>
      </w:r>
      <w:r>
        <w:rPr>
          <w:spacing w:val="-4"/>
        </w:rPr>
        <w:t>Staff</w:t>
      </w:r>
    </w:p>
    <w:p>
      <w:pPr>
        <w:pStyle w:val="ListParagraph"/>
        <w:numPr>
          <w:ilvl w:val="0"/>
          <w:numId w:val="145"/>
        </w:numPr>
        <w:tabs>
          <w:tab w:pos="1077" w:val="left" w:leader="none"/>
        </w:tabs>
        <w:spacing w:line="208" w:lineRule="auto" w:before="233" w:after="0"/>
        <w:ind w:left="791" w:right="762" w:firstLine="0"/>
        <w:jc w:val="left"/>
        <w:rPr>
          <w:sz w:val="24"/>
        </w:rPr>
      </w:pPr>
      <w:r>
        <w:rPr>
          <w:sz w:val="24"/>
        </w:rPr>
        <w:t>Placement is a joint responsibility of the client and counselor. The client has the responsibility</w:t>
      </w:r>
      <w:r>
        <w:rPr>
          <w:spacing w:val="-5"/>
          <w:sz w:val="24"/>
        </w:rPr>
        <w:t> </w:t>
      </w:r>
      <w:r>
        <w:rPr>
          <w:sz w:val="24"/>
        </w:rPr>
        <w:t>for</w:t>
      </w:r>
      <w:r>
        <w:rPr>
          <w:spacing w:val="-6"/>
          <w:sz w:val="24"/>
        </w:rPr>
        <w:t> </w:t>
      </w:r>
      <w:r>
        <w:rPr>
          <w:sz w:val="24"/>
        </w:rPr>
        <w:t>seeking</w:t>
      </w:r>
      <w:r>
        <w:rPr>
          <w:spacing w:val="-5"/>
          <w:sz w:val="24"/>
        </w:rPr>
        <w:t> </w:t>
      </w:r>
      <w:r>
        <w:rPr>
          <w:sz w:val="24"/>
        </w:rPr>
        <w:t>employment</w:t>
      </w:r>
      <w:r>
        <w:rPr>
          <w:spacing w:val="-4"/>
          <w:sz w:val="24"/>
        </w:rPr>
        <w:t> </w:t>
      </w:r>
      <w:r>
        <w:rPr>
          <w:sz w:val="24"/>
        </w:rPr>
        <w:t>through</w:t>
      </w:r>
      <w:r>
        <w:rPr>
          <w:spacing w:val="-5"/>
          <w:sz w:val="24"/>
        </w:rPr>
        <w:t> </w:t>
      </w:r>
      <w:r>
        <w:rPr>
          <w:sz w:val="24"/>
        </w:rPr>
        <w:t>all</w:t>
      </w:r>
      <w:r>
        <w:rPr>
          <w:spacing w:val="-5"/>
          <w:sz w:val="24"/>
        </w:rPr>
        <w:t> </w:t>
      </w:r>
      <w:r>
        <w:rPr>
          <w:sz w:val="24"/>
        </w:rPr>
        <w:t>available</w:t>
      </w:r>
      <w:r>
        <w:rPr>
          <w:spacing w:val="-5"/>
          <w:sz w:val="24"/>
        </w:rPr>
        <w:t> </w:t>
      </w:r>
      <w:r>
        <w:rPr>
          <w:sz w:val="24"/>
        </w:rPr>
        <w:t>channels.</w:t>
      </w:r>
      <w:r>
        <w:rPr>
          <w:spacing w:val="-4"/>
          <w:sz w:val="24"/>
        </w:rPr>
        <w:t> </w:t>
      </w:r>
      <w:r>
        <w:rPr>
          <w:sz w:val="24"/>
        </w:rPr>
        <w:t>The</w:t>
      </w:r>
      <w:r>
        <w:rPr>
          <w:spacing w:val="-5"/>
          <w:sz w:val="24"/>
        </w:rPr>
        <w:t> </w:t>
      </w:r>
      <w:r>
        <w:rPr>
          <w:sz w:val="24"/>
        </w:rPr>
        <w:t>counselor has the responsibility to maintain a familiarity with all of the placement resources in the area and utilize those resources to the maximum extent for the benefit of the </w:t>
      </w:r>
      <w:r>
        <w:rPr>
          <w:spacing w:val="-2"/>
          <w:sz w:val="24"/>
        </w:rPr>
        <w:t>client.</w:t>
      </w:r>
    </w:p>
    <w:p>
      <w:pPr>
        <w:pStyle w:val="ListParagraph"/>
        <w:numPr>
          <w:ilvl w:val="0"/>
          <w:numId w:val="145"/>
        </w:numPr>
        <w:tabs>
          <w:tab w:pos="1078" w:val="left" w:leader="none"/>
        </w:tabs>
        <w:spacing w:line="208" w:lineRule="auto" w:before="240" w:after="0"/>
        <w:ind w:left="792" w:right="1605" w:firstLine="0"/>
        <w:jc w:val="left"/>
        <w:rPr>
          <w:sz w:val="24"/>
        </w:rPr>
      </w:pPr>
      <w:r>
        <w:rPr>
          <w:sz w:val="24"/>
        </w:rPr>
        <w:t>The</w:t>
      </w:r>
      <w:r>
        <w:rPr>
          <w:spacing w:val="-4"/>
          <w:sz w:val="24"/>
        </w:rPr>
        <w:t> </w:t>
      </w:r>
      <w:r>
        <w:rPr>
          <w:sz w:val="24"/>
        </w:rPr>
        <w:t>counselor</w:t>
      </w:r>
      <w:r>
        <w:rPr>
          <w:spacing w:val="-4"/>
          <w:sz w:val="24"/>
        </w:rPr>
        <w:t> </w:t>
      </w:r>
      <w:r>
        <w:rPr>
          <w:sz w:val="24"/>
        </w:rPr>
        <w:t>should</w:t>
      </w:r>
      <w:r>
        <w:rPr>
          <w:spacing w:val="-4"/>
          <w:sz w:val="24"/>
        </w:rPr>
        <w:t> </w:t>
      </w:r>
      <w:r>
        <w:rPr>
          <w:sz w:val="24"/>
        </w:rPr>
        <w:t>always</w:t>
      </w:r>
      <w:r>
        <w:rPr>
          <w:spacing w:val="-4"/>
          <w:sz w:val="24"/>
        </w:rPr>
        <w:t> </w:t>
      </w:r>
      <w:r>
        <w:rPr>
          <w:sz w:val="24"/>
        </w:rPr>
        <w:t>consult</w:t>
      </w:r>
      <w:r>
        <w:rPr>
          <w:spacing w:val="-4"/>
          <w:sz w:val="24"/>
        </w:rPr>
        <w:t> </w:t>
      </w:r>
      <w:r>
        <w:rPr>
          <w:sz w:val="24"/>
        </w:rPr>
        <w:t>the</w:t>
      </w:r>
      <w:r>
        <w:rPr>
          <w:spacing w:val="-4"/>
          <w:sz w:val="24"/>
        </w:rPr>
        <w:t> </w:t>
      </w:r>
      <w:r>
        <w:rPr>
          <w:sz w:val="24"/>
        </w:rPr>
        <w:t>specific</w:t>
      </w:r>
      <w:r>
        <w:rPr>
          <w:spacing w:val="-4"/>
          <w:sz w:val="24"/>
        </w:rPr>
        <w:t> </w:t>
      </w:r>
      <w:r>
        <w:rPr>
          <w:sz w:val="24"/>
        </w:rPr>
        <w:t>employment</w:t>
      </w:r>
      <w:r>
        <w:rPr>
          <w:spacing w:val="-4"/>
          <w:sz w:val="24"/>
        </w:rPr>
        <w:t> </w:t>
      </w:r>
      <w:r>
        <w:rPr>
          <w:sz w:val="24"/>
        </w:rPr>
        <w:t>contract</w:t>
      </w:r>
      <w:r>
        <w:rPr>
          <w:spacing w:val="-5"/>
          <w:sz w:val="24"/>
        </w:rPr>
        <w:t> </w:t>
      </w:r>
      <w:r>
        <w:rPr>
          <w:sz w:val="24"/>
        </w:rPr>
        <w:t>to determine the requirements.</w:t>
      </w:r>
    </w:p>
    <w:p>
      <w:pPr>
        <w:pStyle w:val="ListParagraph"/>
        <w:numPr>
          <w:ilvl w:val="0"/>
          <w:numId w:val="145"/>
        </w:numPr>
        <w:tabs>
          <w:tab w:pos="1078" w:val="left" w:leader="none"/>
        </w:tabs>
        <w:spacing w:line="240" w:lineRule="auto" w:before="210" w:after="0"/>
        <w:ind w:left="1078" w:right="0" w:hanging="286"/>
        <w:jc w:val="left"/>
        <w:rPr>
          <w:sz w:val="24"/>
        </w:rPr>
      </w:pPr>
      <w:r>
        <w:rPr>
          <w:sz w:val="24"/>
        </w:rPr>
        <w:t>See</w:t>
      </w:r>
      <w:r>
        <w:rPr>
          <w:spacing w:val="-5"/>
          <w:sz w:val="24"/>
        </w:rPr>
        <w:t> </w:t>
      </w:r>
      <w:hyperlink w:history="true" w:anchor="_bookmark30">
        <w:r>
          <w:rPr>
            <w:color w:val="0000FF"/>
            <w:sz w:val="24"/>
            <w:u w:val="single" w:color="0000FF"/>
          </w:rPr>
          <w:t>612:10-7-232</w:t>
        </w:r>
      </w:hyperlink>
      <w:r>
        <w:rPr>
          <w:color w:val="0000FF"/>
          <w:spacing w:val="-4"/>
          <w:sz w:val="24"/>
          <w:u w:val="none"/>
        </w:rPr>
        <w:t> </w:t>
      </w:r>
      <w:r>
        <w:rPr>
          <w:spacing w:val="-2"/>
          <w:sz w:val="24"/>
          <w:u w:val="none"/>
        </w:rPr>
        <w:t>Placement.</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7-1-97</w:t>
      </w:r>
      <w:r>
        <w:rPr>
          <w:sz w:val="22"/>
        </w:rPr>
        <w:tab/>
        <w:t>PT Memo #97-9</w:t>
      </w:r>
    </w:p>
    <w:p>
      <w:pPr>
        <w:tabs>
          <w:tab w:pos="1439" w:val="left" w:leader="none"/>
        </w:tabs>
        <w:spacing w:before="0"/>
        <w:ind w:left="359" w:right="3715" w:firstLine="1080"/>
        <w:jc w:val="left"/>
        <w:rPr>
          <w:sz w:val="22"/>
        </w:rPr>
      </w:pPr>
      <w:r>
        <w:rPr>
          <w:sz w:val="22"/>
        </w:rPr>
        <w:t>Permanent,</w:t>
      </w:r>
      <w:r>
        <w:rPr>
          <w:spacing w:val="-9"/>
          <w:sz w:val="22"/>
        </w:rPr>
        <w:t> </w:t>
      </w:r>
      <w:r>
        <w:rPr>
          <w:sz w:val="22"/>
        </w:rPr>
        <w:t>added</w:t>
      </w:r>
      <w:r>
        <w:rPr>
          <w:spacing w:val="-10"/>
          <w:sz w:val="22"/>
        </w:rPr>
        <w:t> </w:t>
      </w:r>
      <w:r>
        <w:rPr>
          <w:sz w:val="22"/>
        </w:rPr>
        <w:t>Supported</w:t>
      </w:r>
      <w:r>
        <w:rPr>
          <w:spacing w:val="-10"/>
          <w:sz w:val="22"/>
        </w:rPr>
        <w:t> </w:t>
      </w:r>
      <w:r>
        <w:rPr>
          <w:sz w:val="22"/>
        </w:rPr>
        <w:t>Employment</w:t>
      </w:r>
      <w:r>
        <w:rPr>
          <w:spacing w:val="-10"/>
          <w:sz w:val="22"/>
        </w:rPr>
        <w:t> </w:t>
      </w:r>
      <w:r>
        <w:rPr>
          <w:sz w:val="22"/>
        </w:rPr>
        <w:t>milestones </w:t>
      </w:r>
      <w:r>
        <w:rPr>
          <w:spacing w:val="-2"/>
          <w:sz w:val="22"/>
        </w:rPr>
        <w:t>7-1-03</w:t>
      </w:r>
      <w:r>
        <w:rPr>
          <w:sz w:val="22"/>
        </w:rPr>
        <w:tab/>
        <w:t>PT Memo #03-07</w:t>
      </w:r>
    </w:p>
    <w:p>
      <w:pPr>
        <w:spacing w:line="252" w:lineRule="exact" w:before="0"/>
        <w:ind w:left="1439" w:right="0" w:firstLine="0"/>
        <w:jc w:val="left"/>
        <w:rPr>
          <w:sz w:val="22"/>
        </w:rPr>
      </w:pPr>
      <w:r>
        <w:rPr>
          <w:sz w:val="22"/>
        </w:rPr>
        <w:t>Permanent,</w:t>
      </w:r>
      <w:r>
        <w:rPr>
          <w:spacing w:val="-9"/>
          <w:sz w:val="22"/>
        </w:rPr>
        <w:t> </w:t>
      </w:r>
      <w:r>
        <w:rPr>
          <w:sz w:val="22"/>
        </w:rPr>
        <w:t>added</w:t>
      </w:r>
      <w:r>
        <w:rPr>
          <w:spacing w:val="-9"/>
          <w:sz w:val="22"/>
        </w:rPr>
        <w:t> </w:t>
      </w:r>
      <w:r>
        <w:rPr>
          <w:sz w:val="22"/>
        </w:rPr>
        <w:t>section</w:t>
      </w:r>
      <w:r>
        <w:rPr>
          <w:spacing w:val="-9"/>
          <w:sz w:val="22"/>
        </w:rPr>
        <w:t> </w:t>
      </w:r>
      <w:r>
        <w:rPr>
          <w:spacing w:val="-5"/>
          <w:sz w:val="22"/>
        </w:rPr>
        <w:t>b.</w:t>
      </w:r>
    </w:p>
    <w:p>
      <w:pPr>
        <w:tabs>
          <w:tab w:pos="1439" w:val="left" w:leader="none"/>
        </w:tabs>
        <w:spacing w:before="0"/>
        <w:ind w:left="359" w:right="0" w:firstLine="0"/>
        <w:jc w:val="left"/>
        <w:rPr>
          <w:sz w:val="22"/>
        </w:rPr>
      </w:pPr>
      <w:r>
        <w:rPr>
          <w:spacing w:val="-2"/>
          <w:sz w:val="22"/>
        </w:rPr>
        <w:t>10-1-</w:t>
      </w:r>
      <w:r>
        <w:rPr>
          <w:spacing w:val="-5"/>
          <w:sz w:val="22"/>
        </w:rPr>
        <w:t>07</w:t>
      </w:r>
      <w:r>
        <w:rPr>
          <w:sz w:val="22"/>
        </w:rPr>
        <w:tab/>
        <w:t>PT</w:t>
      </w:r>
      <w:r>
        <w:rPr>
          <w:spacing w:val="-8"/>
          <w:sz w:val="22"/>
        </w:rPr>
        <w:t> </w:t>
      </w:r>
      <w:r>
        <w:rPr>
          <w:sz w:val="22"/>
        </w:rPr>
        <w:t>Memo</w:t>
      </w:r>
      <w:r>
        <w:rPr>
          <w:spacing w:val="-8"/>
          <w:sz w:val="22"/>
        </w:rPr>
        <w:t> </w:t>
      </w:r>
      <w:r>
        <w:rPr>
          <w:sz w:val="22"/>
        </w:rPr>
        <w:t>#08-</w:t>
      </w:r>
      <w:r>
        <w:rPr>
          <w:spacing w:val="-5"/>
          <w:sz w:val="22"/>
        </w:rPr>
        <w:t>02</w:t>
      </w:r>
    </w:p>
    <w:p>
      <w:pPr>
        <w:spacing w:before="1"/>
        <w:ind w:left="1439" w:right="0" w:firstLine="0"/>
        <w:jc w:val="left"/>
        <w:rPr>
          <w:sz w:val="22"/>
        </w:rPr>
      </w:pPr>
      <w:r>
        <w:rPr>
          <w:sz w:val="22"/>
        </w:rPr>
        <w:t>Permanent,</w:t>
      </w:r>
      <w:r>
        <w:rPr>
          <w:spacing w:val="-8"/>
          <w:sz w:val="22"/>
        </w:rPr>
        <w:t> </w:t>
      </w:r>
      <w:r>
        <w:rPr>
          <w:sz w:val="22"/>
        </w:rPr>
        <w:t>AWARE</w:t>
      </w:r>
      <w:r>
        <w:rPr>
          <w:spacing w:val="-8"/>
          <w:sz w:val="22"/>
        </w:rPr>
        <w:t> </w:t>
      </w:r>
      <w:r>
        <w:rPr>
          <w:sz w:val="22"/>
        </w:rPr>
        <w:t>change.</w:t>
      </w:r>
      <w:r>
        <w:rPr>
          <w:spacing w:val="45"/>
          <w:sz w:val="22"/>
        </w:rPr>
        <w:t> </w:t>
      </w:r>
      <w:r>
        <w:rPr>
          <w:sz w:val="22"/>
        </w:rPr>
        <w:t>Removed</w:t>
      </w:r>
      <w:r>
        <w:rPr>
          <w:spacing w:val="-8"/>
          <w:sz w:val="22"/>
        </w:rPr>
        <w:t> </w:t>
      </w:r>
      <w:r>
        <w:rPr>
          <w:sz w:val="22"/>
        </w:rPr>
        <w:t>Status</w:t>
      </w:r>
      <w:r>
        <w:rPr>
          <w:spacing w:val="-8"/>
          <w:sz w:val="22"/>
        </w:rPr>
        <w:t> </w:t>
      </w:r>
      <w:r>
        <w:rPr>
          <w:spacing w:val="-2"/>
          <w:sz w:val="22"/>
        </w:rPr>
        <w:t>numbers.</w:t>
      </w:r>
    </w:p>
    <w:p>
      <w:pPr>
        <w:tabs>
          <w:tab w:pos="1439" w:val="left" w:leader="none"/>
        </w:tabs>
        <w:spacing w:before="0"/>
        <w:ind w:left="359" w:right="0" w:firstLine="0"/>
        <w:jc w:val="left"/>
        <w:rPr>
          <w:sz w:val="22"/>
        </w:rPr>
      </w:pPr>
      <w:r>
        <w:rPr>
          <w:spacing w:val="-2"/>
          <w:sz w:val="22"/>
        </w:rPr>
        <w:t>7-1-</w:t>
      </w:r>
      <w:r>
        <w:rPr>
          <w:spacing w:val="-5"/>
          <w:sz w:val="22"/>
        </w:rPr>
        <w:t>11</w:t>
      </w:r>
      <w:r>
        <w:rPr>
          <w:sz w:val="22"/>
        </w:rPr>
        <w:tab/>
        <w:t>PT</w:t>
      </w:r>
      <w:r>
        <w:rPr>
          <w:spacing w:val="-8"/>
          <w:sz w:val="22"/>
        </w:rPr>
        <w:t> </w:t>
      </w:r>
      <w:r>
        <w:rPr>
          <w:sz w:val="22"/>
        </w:rPr>
        <w:t>Memo</w:t>
      </w:r>
      <w:r>
        <w:rPr>
          <w:spacing w:val="-8"/>
          <w:sz w:val="22"/>
        </w:rPr>
        <w:t> </w:t>
      </w:r>
      <w:r>
        <w:rPr>
          <w:sz w:val="22"/>
        </w:rPr>
        <w:t>#12-</w:t>
      </w:r>
      <w:r>
        <w:rPr>
          <w:spacing w:val="-5"/>
          <w:sz w:val="22"/>
        </w:rPr>
        <w:t>01</w:t>
      </w:r>
    </w:p>
    <w:p>
      <w:pPr>
        <w:spacing w:after="0"/>
        <w:jc w:val="left"/>
        <w:rPr>
          <w:sz w:val="22"/>
        </w:rPr>
        <w:sectPr>
          <w:pgSz w:w="12240" w:h="15840"/>
          <w:pgMar w:top="1340" w:bottom="280" w:left="1080" w:right="720"/>
        </w:sectPr>
      </w:pPr>
    </w:p>
    <w:p>
      <w:pPr>
        <w:spacing w:before="80"/>
        <w:ind w:left="1440" w:right="0" w:firstLine="0"/>
        <w:jc w:val="left"/>
        <w:rPr>
          <w:sz w:val="22"/>
        </w:rPr>
      </w:pPr>
      <w:r>
        <w:rPr>
          <w:sz w:val="22"/>
        </w:rPr>
        <w:t>Permanent,</w:t>
      </w:r>
      <w:r>
        <w:rPr>
          <w:spacing w:val="-8"/>
          <w:sz w:val="22"/>
        </w:rPr>
        <w:t> </w:t>
      </w:r>
      <w:r>
        <w:rPr>
          <w:sz w:val="22"/>
        </w:rPr>
        <w:t>procedures</w:t>
      </w:r>
      <w:r>
        <w:rPr>
          <w:spacing w:val="-9"/>
          <w:sz w:val="22"/>
        </w:rPr>
        <w:t> </w:t>
      </w:r>
      <w:r>
        <w:rPr>
          <w:sz w:val="22"/>
        </w:rPr>
        <w:t>placed</w:t>
      </w:r>
      <w:r>
        <w:rPr>
          <w:spacing w:val="-8"/>
          <w:sz w:val="22"/>
        </w:rPr>
        <w:t> </w:t>
      </w:r>
      <w:r>
        <w:rPr>
          <w:sz w:val="22"/>
        </w:rPr>
        <w:t>in</w:t>
      </w:r>
      <w:r>
        <w:rPr>
          <w:spacing w:val="-8"/>
          <w:sz w:val="22"/>
        </w:rPr>
        <w:t> </w:t>
      </w:r>
      <w:r>
        <w:rPr>
          <w:spacing w:val="-5"/>
          <w:sz w:val="22"/>
        </w:rPr>
        <w:t>ITS</w:t>
      </w:r>
    </w:p>
    <w:p>
      <w:pPr>
        <w:tabs>
          <w:tab w:pos="1439" w:val="left" w:leader="none"/>
        </w:tabs>
        <w:spacing w:line="253" w:lineRule="exact" w:before="0"/>
        <w:ind w:left="360" w:right="0" w:firstLine="0"/>
        <w:jc w:val="left"/>
        <w:rPr>
          <w:sz w:val="22"/>
        </w:rPr>
      </w:pPr>
      <w:r>
        <w:rPr>
          <w:spacing w:val="-2"/>
          <w:sz w:val="22"/>
        </w:rPr>
        <w:t>9-11-</w:t>
      </w:r>
      <w:r>
        <w:rPr>
          <w:spacing w:val="-5"/>
          <w:sz w:val="22"/>
        </w:rPr>
        <w:t>20</w:t>
      </w:r>
      <w:r>
        <w:rPr>
          <w:sz w:val="22"/>
        </w:rPr>
        <w:tab/>
        <w:t>Revisions</w:t>
      </w:r>
      <w:r>
        <w:rPr>
          <w:spacing w:val="-7"/>
          <w:sz w:val="22"/>
        </w:rPr>
        <w:t> </w:t>
      </w:r>
      <w:r>
        <w:rPr>
          <w:sz w:val="22"/>
        </w:rPr>
        <w:t>clarifies</w:t>
      </w:r>
      <w:r>
        <w:rPr>
          <w:spacing w:val="-5"/>
          <w:sz w:val="22"/>
        </w:rPr>
        <w:t> </w:t>
      </w:r>
      <w:r>
        <w:rPr>
          <w:sz w:val="22"/>
        </w:rPr>
        <w:t>what</w:t>
      </w:r>
      <w:r>
        <w:rPr>
          <w:spacing w:val="-6"/>
          <w:sz w:val="22"/>
        </w:rPr>
        <w:t> </w:t>
      </w:r>
      <w:r>
        <w:rPr>
          <w:sz w:val="22"/>
        </w:rPr>
        <w:t>is</w:t>
      </w:r>
      <w:r>
        <w:rPr>
          <w:spacing w:val="-5"/>
          <w:sz w:val="22"/>
        </w:rPr>
        <w:t> </w:t>
      </w:r>
      <w:r>
        <w:rPr>
          <w:sz w:val="22"/>
        </w:rPr>
        <w:t>required</w:t>
      </w:r>
      <w:r>
        <w:rPr>
          <w:spacing w:val="-6"/>
          <w:sz w:val="22"/>
        </w:rPr>
        <w:t> </w:t>
      </w:r>
      <w:r>
        <w:rPr>
          <w:sz w:val="22"/>
        </w:rPr>
        <w:t>to</w:t>
      </w:r>
      <w:r>
        <w:rPr>
          <w:spacing w:val="-6"/>
          <w:sz w:val="22"/>
        </w:rPr>
        <w:t> </w:t>
      </w:r>
      <w:r>
        <w:rPr>
          <w:sz w:val="22"/>
        </w:rPr>
        <w:t>move</w:t>
      </w:r>
      <w:r>
        <w:rPr>
          <w:spacing w:val="-6"/>
          <w:sz w:val="22"/>
        </w:rPr>
        <w:t> </w:t>
      </w:r>
      <w:r>
        <w:rPr>
          <w:sz w:val="22"/>
        </w:rPr>
        <w:t>a</w:t>
      </w:r>
      <w:r>
        <w:rPr>
          <w:spacing w:val="-5"/>
          <w:sz w:val="22"/>
        </w:rPr>
        <w:t> </w:t>
      </w:r>
      <w:r>
        <w:rPr>
          <w:sz w:val="22"/>
        </w:rPr>
        <w:t>case</w:t>
      </w:r>
      <w:r>
        <w:rPr>
          <w:spacing w:val="-6"/>
          <w:sz w:val="22"/>
        </w:rPr>
        <w:t> </w:t>
      </w:r>
      <w:r>
        <w:rPr>
          <w:sz w:val="22"/>
        </w:rPr>
        <w:t>into</w:t>
      </w:r>
      <w:r>
        <w:rPr>
          <w:spacing w:val="-5"/>
          <w:sz w:val="22"/>
        </w:rPr>
        <w:t> </w:t>
      </w:r>
      <w:r>
        <w:rPr>
          <w:sz w:val="22"/>
        </w:rPr>
        <w:t>Job</w:t>
      </w:r>
      <w:r>
        <w:rPr>
          <w:spacing w:val="-6"/>
          <w:sz w:val="22"/>
        </w:rPr>
        <w:t> </w:t>
      </w:r>
      <w:r>
        <w:rPr>
          <w:sz w:val="22"/>
        </w:rPr>
        <w:t>Ready</w:t>
      </w:r>
      <w:r>
        <w:rPr>
          <w:spacing w:val="-5"/>
          <w:sz w:val="22"/>
        </w:rPr>
        <w:t> </w:t>
      </w:r>
      <w:r>
        <w:rPr>
          <w:spacing w:val="-2"/>
          <w:sz w:val="22"/>
        </w:rPr>
        <w:t>status.</w:t>
      </w:r>
    </w:p>
    <w:p>
      <w:pPr>
        <w:pStyle w:val="ListParagraph"/>
        <w:numPr>
          <w:ilvl w:val="2"/>
          <w:numId w:val="109"/>
        </w:numPr>
        <w:tabs>
          <w:tab w:pos="1440" w:val="left" w:leader="none"/>
        </w:tabs>
        <w:spacing w:line="240" w:lineRule="auto" w:before="0" w:after="0"/>
        <w:ind w:left="1440" w:right="1001" w:hanging="1080"/>
        <w:jc w:val="left"/>
        <w:rPr>
          <w:sz w:val="22"/>
        </w:rPr>
      </w:pPr>
      <w:r>
        <w:rPr>
          <w:sz w:val="22"/>
        </w:rPr>
        <w:t>Under</w:t>
      </w:r>
      <w:r>
        <w:rPr>
          <w:spacing w:val="-5"/>
          <w:sz w:val="22"/>
        </w:rPr>
        <w:t> </w:t>
      </w:r>
      <w:r>
        <w:rPr>
          <w:sz w:val="22"/>
        </w:rPr>
        <w:t>section</w:t>
      </w:r>
      <w:r>
        <w:rPr>
          <w:spacing w:val="-5"/>
          <w:sz w:val="22"/>
        </w:rPr>
        <w:t> </w:t>
      </w:r>
      <w:r>
        <w:rPr>
          <w:sz w:val="22"/>
        </w:rPr>
        <w:t>(a)</w:t>
      </w:r>
      <w:r>
        <w:rPr>
          <w:spacing w:val="-5"/>
          <w:sz w:val="22"/>
        </w:rPr>
        <w:t> </w:t>
      </w:r>
      <w:r>
        <w:rPr>
          <w:sz w:val="22"/>
        </w:rPr>
        <w:t>(1)</w:t>
      </w:r>
      <w:r>
        <w:rPr>
          <w:spacing w:val="-5"/>
          <w:sz w:val="22"/>
        </w:rPr>
        <w:t> </w:t>
      </w:r>
      <w:r>
        <w:rPr>
          <w:sz w:val="22"/>
        </w:rPr>
        <w:t>added</w:t>
      </w:r>
      <w:r>
        <w:rPr>
          <w:spacing w:val="-5"/>
          <w:sz w:val="22"/>
        </w:rPr>
        <w:t> </w:t>
      </w:r>
      <w:r>
        <w:rPr>
          <w:sz w:val="22"/>
        </w:rPr>
        <w:t>“Job</w:t>
      </w:r>
      <w:r>
        <w:rPr>
          <w:spacing w:val="-5"/>
          <w:sz w:val="22"/>
        </w:rPr>
        <w:t> </w:t>
      </w:r>
      <w:r>
        <w:rPr>
          <w:sz w:val="22"/>
        </w:rPr>
        <w:t>Placement,</w:t>
      </w:r>
      <w:r>
        <w:rPr>
          <w:spacing w:val="-5"/>
          <w:sz w:val="22"/>
        </w:rPr>
        <w:t> </w:t>
      </w:r>
      <w:r>
        <w:rPr>
          <w:sz w:val="22"/>
        </w:rPr>
        <w:t>Supplemental</w:t>
      </w:r>
      <w:r>
        <w:rPr>
          <w:spacing w:val="-5"/>
          <w:sz w:val="22"/>
        </w:rPr>
        <w:t> </w:t>
      </w:r>
      <w:r>
        <w:rPr>
          <w:sz w:val="22"/>
        </w:rPr>
        <w:t>Employment</w:t>
      </w:r>
      <w:r>
        <w:rPr>
          <w:spacing w:val="-5"/>
          <w:sz w:val="22"/>
        </w:rPr>
        <w:t> </w:t>
      </w:r>
      <w:r>
        <w:rPr>
          <w:sz w:val="22"/>
        </w:rPr>
        <w:t>Services, JOBS” language related to Employment Services Provider.</w:t>
      </w:r>
    </w:p>
    <w:p>
      <w:pPr>
        <w:pStyle w:val="ListParagraph"/>
        <w:spacing w:after="0" w:line="240" w:lineRule="auto"/>
        <w:jc w:val="left"/>
        <w:rPr>
          <w:sz w:val="22"/>
        </w:rPr>
        <w:sectPr>
          <w:pgSz w:w="12240" w:h="15840"/>
          <w:pgMar w:top="1360" w:bottom="280" w:left="1080" w:right="720"/>
        </w:sectPr>
      </w:pPr>
    </w:p>
    <w:p>
      <w:pPr>
        <w:pStyle w:val="Heading2"/>
      </w:pPr>
      <w:bookmarkStart w:name="612:10-7-56.  Employment" w:id="146"/>
      <w:bookmarkEnd w:id="146"/>
      <w:r>
        <w:rPr>
          <w:b w:val="0"/>
        </w:rPr>
      </w:r>
      <w:r>
        <w:rPr/>
        <w:t>612:10-7-56.</w:t>
      </w:r>
      <w:r>
        <w:rPr>
          <w:spacing w:val="59"/>
        </w:rPr>
        <w:t> </w:t>
      </w:r>
      <w:r>
        <w:rPr>
          <w:spacing w:val="-2"/>
        </w:rPr>
        <w:t>Employment</w:t>
      </w:r>
    </w:p>
    <w:p>
      <w:pPr>
        <w:pStyle w:val="ListParagraph"/>
        <w:numPr>
          <w:ilvl w:val="0"/>
          <w:numId w:val="146"/>
        </w:numPr>
        <w:tabs>
          <w:tab w:pos="786" w:val="left" w:leader="none"/>
        </w:tabs>
        <w:spacing w:line="208" w:lineRule="auto" w:before="233" w:after="0"/>
        <w:ind w:left="360" w:right="793" w:firstLine="0"/>
        <w:jc w:val="left"/>
        <w:rPr>
          <w:sz w:val="24"/>
        </w:rPr>
      </w:pPr>
      <w:r>
        <w:rPr>
          <w:b/>
          <w:sz w:val="24"/>
        </w:rPr>
        <w:t>Use of Employment status. </w:t>
      </w:r>
      <w:r>
        <w:rPr>
          <w:sz w:val="24"/>
        </w:rPr>
        <w:t>A case is placed in this status when the client begins employment.</w:t>
      </w:r>
      <w:r>
        <w:rPr>
          <w:spacing w:val="-2"/>
          <w:sz w:val="24"/>
        </w:rPr>
        <w:t> </w:t>
      </w:r>
      <w:r>
        <w:rPr>
          <w:sz w:val="24"/>
        </w:rPr>
        <w:t>The</w:t>
      </w:r>
      <w:r>
        <w:rPr>
          <w:spacing w:val="-3"/>
          <w:sz w:val="24"/>
        </w:rPr>
        <w:t> </w:t>
      </w:r>
      <w:r>
        <w:rPr>
          <w:sz w:val="24"/>
        </w:rPr>
        <w:t>client</w:t>
      </w:r>
      <w:r>
        <w:rPr>
          <w:spacing w:val="-2"/>
          <w:sz w:val="24"/>
        </w:rPr>
        <w:t> </w:t>
      </w:r>
      <w:r>
        <w:rPr>
          <w:sz w:val="24"/>
        </w:rPr>
        <w:t>must</w:t>
      </w:r>
      <w:r>
        <w:rPr>
          <w:spacing w:val="-4"/>
          <w:sz w:val="24"/>
        </w:rPr>
        <w:t> </w:t>
      </w:r>
      <w:r>
        <w:rPr>
          <w:sz w:val="24"/>
        </w:rPr>
        <w:t>be</w:t>
      </w:r>
      <w:r>
        <w:rPr>
          <w:spacing w:val="-4"/>
          <w:sz w:val="24"/>
        </w:rPr>
        <w:t> </w:t>
      </w:r>
      <w:r>
        <w:rPr>
          <w:sz w:val="24"/>
        </w:rPr>
        <w:t>followed</w:t>
      </w:r>
      <w:r>
        <w:rPr>
          <w:spacing w:val="-3"/>
          <w:sz w:val="24"/>
        </w:rPr>
        <w:t> </w:t>
      </w:r>
      <w:r>
        <w:rPr>
          <w:sz w:val="24"/>
        </w:rPr>
        <w:t>in</w:t>
      </w:r>
      <w:r>
        <w:rPr>
          <w:spacing w:val="-2"/>
          <w:sz w:val="24"/>
        </w:rPr>
        <w:t> </w:t>
      </w:r>
      <w:r>
        <w:rPr>
          <w:sz w:val="24"/>
        </w:rPr>
        <w:t>employment</w:t>
      </w:r>
      <w:r>
        <w:rPr>
          <w:spacing w:val="-2"/>
          <w:sz w:val="24"/>
        </w:rPr>
        <w:t> </w:t>
      </w:r>
      <w:r>
        <w:rPr>
          <w:sz w:val="24"/>
        </w:rPr>
        <w:t>for</w:t>
      </w:r>
      <w:r>
        <w:rPr>
          <w:spacing w:val="-4"/>
          <w:sz w:val="24"/>
        </w:rPr>
        <w:t> </w:t>
      </w:r>
      <w:r>
        <w:rPr>
          <w:sz w:val="24"/>
        </w:rPr>
        <w:t>a</w:t>
      </w:r>
      <w:r>
        <w:rPr>
          <w:spacing w:val="-3"/>
          <w:sz w:val="24"/>
        </w:rPr>
        <w:t> </w:t>
      </w:r>
      <w:r>
        <w:rPr>
          <w:sz w:val="24"/>
        </w:rPr>
        <w:t>minimum</w:t>
      </w:r>
      <w:r>
        <w:rPr>
          <w:spacing w:val="-2"/>
          <w:sz w:val="24"/>
        </w:rPr>
        <w:t> </w:t>
      </w:r>
      <w:r>
        <w:rPr>
          <w:sz w:val="24"/>
        </w:rPr>
        <w:t>of</w:t>
      </w:r>
      <w:r>
        <w:rPr>
          <w:spacing w:val="-2"/>
          <w:sz w:val="24"/>
        </w:rPr>
        <w:t> </w:t>
      </w:r>
      <w:r>
        <w:rPr>
          <w:sz w:val="24"/>
        </w:rPr>
        <w:t>90</w:t>
      </w:r>
      <w:r>
        <w:rPr>
          <w:spacing w:val="-4"/>
          <w:sz w:val="24"/>
        </w:rPr>
        <w:t> </w:t>
      </w:r>
      <w:r>
        <w:rPr>
          <w:sz w:val="24"/>
        </w:rPr>
        <w:t>days</w:t>
      </w:r>
      <w:r>
        <w:rPr>
          <w:spacing w:val="-3"/>
          <w:sz w:val="24"/>
        </w:rPr>
        <w:t> </w:t>
      </w:r>
      <w:r>
        <w:rPr>
          <w:sz w:val="24"/>
        </w:rPr>
        <w:t>prior to being closed to ensure the adequacy of the employment in relation to the needs and limitations of the client.</w:t>
      </w:r>
    </w:p>
    <w:p>
      <w:pPr>
        <w:pStyle w:val="ListParagraph"/>
        <w:numPr>
          <w:ilvl w:val="0"/>
          <w:numId w:val="146"/>
        </w:numPr>
        <w:tabs>
          <w:tab w:pos="785" w:val="left" w:leader="none"/>
        </w:tabs>
        <w:spacing w:line="208" w:lineRule="auto" w:before="239" w:after="0"/>
        <w:ind w:left="359" w:right="1221" w:firstLine="0"/>
        <w:jc w:val="left"/>
        <w:rPr>
          <w:rFonts w:ascii="Calibri"/>
          <w:b/>
          <w:sz w:val="22"/>
        </w:rPr>
      </w:pPr>
      <w:r>
        <w:rPr>
          <w:b/>
          <w:sz w:val="24"/>
        </w:rPr>
        <w:t>Supported employment.</w:t>
      </w:r>
      <w:r>
        <w:rPr>
          <w:b/>
          <w:spacing w:val="40"/>
          <w:sz w:val="24"/>
        </w:rPr>
        <w:t> </w:t>
      </w:r>
      <w:r>
        <w:rPr>
          <w:sz w:val="24"/>
        </w:rPr>
        <w:t>Cases are placed into employment status after the requirements</w:t>
      </w:r>
      <w:r>
        <w:rPr>
          <w:spacing w:val="-4"/>
          <w:sz w:val="24"/>
        </w:rPr>
        <w:t> </w:t>
      </w:r>
      <w:r>
        <w:rPr>
          <w:sz w:val="24"/>
        </w:rPr>
        <w:t>have</w:t>
      </w:r>
      <w:r>
        <w:rPr>
          <w:spacing w:val="-4"/>
          <w:sz w:val="24"/>
        </w:rPr>
        <w:t> </w:t>
      </w:r>
      <w:r>
        <w:rPr>
          <w:sz w:val="24"/>
        </w:rPr>
        <w:t>been</w:t>
      </w:r>
      <w:r>
        <w:rPr>
          <w:spacing w:val="-4"/>
          <w:sz w:val="24"/>
        </w:rPr>
        <w:t> </w:t>
      </w:r>
      <w:r>
        <w:rPr>
          <w:sz w:val="24"/>
        </w:rPr>
        <w:t>met</w:t>
      </w:r>
      <w:r>
        <w:rPr>
          <w:spacing w:val="-3"/>
          <w:sz w:val="24"/>
        </w:rPr>
        <w:t> </w:t>
      </w:r>
      <w:r>
        <w:rPr>
          <w:sz w:val="24"/>
        </w:rPr>
        <w:t>for</w:t>
      </w:r>
      <w:r>
        <w:rPr>
          <w:spacing w:val="-5"/>
          <w:sz w:val="24"/>
        </w:rPr>
        <w:t> </w:t>
      </w:r>
      <w:r>
        <w:rPr>
          <w:sz w:val="24"/>
        </w:rPr>
        <w:t>completion</w:t>
      </w:r>
      <w:r>
        <w:rPr>
          <w:spacing w:val="-3"/>
          <w:sz w:val="24"/>
        </w:rPr>
        <w:t> </w:t>
      </w:r>
      <w:r>
        <w:rPr>
          <w:sz w:val="24"/>
        </w:rPr>
        <w:t>of</w:t>
      </w:r>
      <w:r>
        <w:rPr>
          <w:spacing w:val="-3"/>
          <w:sz w:val="24"/>
        </w:rPr>
        <w:t> </w:t>
      </w:r>
      <w:r>
        <w:rPr>
          <w:sz w:val="24"/>
        </w:rPr>
        <w:t>the</w:t>
      </w:r>
      <w:r>
        <w:rPr>
          <w:spacing w:val="-4"/>
          <w:sz w:val="24"/>
        </w:rPr>
        <w:t> </w:t>
      </w:r>
      <w:r>
        <w:rPr>
          <w:sz w:val="24"/>
        </w:rPr>
        <w:t>"Stabilization"</w:t>
      </w:r>
      <w:r>
        <w:rPr>
          <w:spacing w:val="-3"/>
          <w:sz w:val="24"/>
        </w:rPr>
        <w:t> </w:t>
      </w:r>
      <w:r>
        <w:rPr>
          <w:sz w:val="24"/>
        </w:rPr>
        <w:t>Milestone,</w:t>
      </w:r>
      <w:r>
        <w:rPr>
          <w:spacing w:val="-3"/>
          <w:sz w:val="24"/>
        </w:rPr>
        <w:t> </w:t>
      </w:r>
      <w:r>
        <w:rPr>
          <w:sz w:val="24"/>
        </w:rPr>
        <w:t>and</w:t>
      </w:r>
      <w:r>
        <w:rPr>
          <w:spacing w:val="-4"/>
          <w:sz w:val="24"/>
        </w:rPr>
        <w:t> </w:t>
      </w:r>
      <w:r>
        <w:rPr>
          <w:sz w:val="24"/>
        </w:rPr>
        <w:t>the client is ready to begin the final milestone, "Successful Employment". During this milestone, the provider must continue ongoing supports for a minimum of 90 days before the case can be closed. </w:t>
      </w:r>
      <w:r>
        <w:rPr>
          <w:rFonts w:ascii="Calibri"/>
          <w:b/>
          <w:sz w:val="22"/>
        </w:rPr>
        <w:t>1</w:t>
      </w:r>
    </w:p>
    <w:p>
      <w:pPr>
        <w:pStyle w:val="ListParagraph"/>
        <w:numPr>
          <w:ilvl w:val="0"/>
          <w:numId w:val="146"/>
        </w:numPr>
        <w:tabs>
          <w:tab w:pos="773" w:val="left" w:leader="none"/>
        </w:tabs>
        <w:spacing w:line="208" w:lineRule="auto" w:before="232" w:after="0"/>
        <w:ind w:left="360" w:right="903" w:firstLine="0"/>
        <w:jc w:val="left"/>
        <w:rPr>
          <w:rFonts w:ascii="Calibri"/>
          <w:b/>
          <w:sz w:val="22"/>
        </w:rPr>
      </w:pPr>
      <w:r>
        <w:rPr>
          <w:b/>
          <w:sz w:val="24"/>
        </w:rPr>
        <w:t>Employment</w:t>
      </w:r>
      <w:r>
        <w:rPr>
          <w:b/>
          <w:spacing w:val="-2"/>
          <w:sz w:val="24"/>
        </w:rPr>
        <w:t> </w:t>
      </w:r>
      <w:r>
        <w:rPr>
          <w:b/>
          <w:sz w:val="24"/>
        </w:rPr>
        <w:t>and</w:t>
      </w:r>
      <w:r>
        <w:rPr>
          <w:b/>
          <w:spacing w:val="-3"/>
          <w:sz w:val="24"/>
        </w:rPr>
        <w:t> </w:t>
      </w:r>
      <w:r>
        <w:rPr>
          <w:b/>
          <w:sz w:val="24"/>
        </w:rPr>
        <w:t>Retention.</w:t>
      </w:r>
      <w:r>
        <w:rPr>
          <w:b/>
          <w:spacing w:val="40"/>
          <w:sz w:val="24"/>
        </w:rPr>
        <w:t> </w:t>
      </w:r>
      <w:r>
        <w:rPr>
          <w:sz w:val="24"/>
        </w:rPr>
        <w:t>Cases</w:t>
      </w:r>
      <w:r>
        <w:rPr>
          <w:spacing w:val="-3"/>
          <w:sz w:val="24"/>
        </w:rPr>
        <w:t> </w:t>
      </w:r>
      <w:r>
        <w:rPr>
          <w:sz w:val="24"/>
        </w:rPr>
        <w:t>are</w:t>
      </w:r>
      <w:r>
        <w:rPr>
          <w:spacing w:val="-3"/>
          <w:sz w:val="24"/>
        </w:rPr>
        <w:t> </w:t>
      </w:r>
      <w:r>
        <w:rPr>
          <w:sz w:val="24"/>
        </w:rPr>
        <w:t>placed</w:t>
      </w:r>
      <w:r>
        <w:rPr>
          <w:spacing w:val="-3"/>
          <w:sz w:val="24"/>
        </w:rPr>
        <w:t> </w:t>
      </w:r>
      <w:r>
        <w:rPr>
          <w:sz w:val="24"/>
        </w:rPr>
        <w:t>into</w:t>
      </w:r>
      <w:r>
        <w:rPr>
          <w:spacing w:val="-3"/>
          <w:sz w:val="24"/>
        </w:rPr>
        <w:t> </w:t>
      </w:r>
      <w:r>
        <w:rPr>
          <w:sz w:val="24"/>
        </w:rPr>
        <w:t>employment</w:t>
      </w:r>
      <w:r>
        <w:rPr>
          <w:spacing w:val="-2"/>
          <w:sz w:val="24"/>
        </w:rPr>
        <w:t> </w:t>
      </w:r>
      <w:r>
        <w:rPr>
          <w:sz w:val="24"/>
        </w:rPr>
        <w:t>status</w:t>
      </w:r>
      <w:r>
        <w:rPr>
          <w:spacing w:val="-4"/>
          <w:sz w:val="24"/>
        </w:rPr>
        <w:t> </w:t>
      </w:r>
      <w:r>
        <w:rPr>
          <w:sz w:val="24"/>
        </w:rPr>
        <w:t>when</w:t>
      </w:r>
      <w:r>
        <w:rPr>
          <w:spacing w:val="-3"/>
          <w:sz w:val="24"/>
        </w:rPr>
        <w:t> </w:t>
      </w:r>
      <w:r>
        <w:rPr>
          <w:sz w:val="24"/>
        </w:rPr>
        <w:t>the individual</w:t>
      </w:r>
      <w:r>
        <w:rPr>
          <w:spacing w:val="-4"/>
          <w:sz w:val="24"/>
        </w:rPr>
        <w:t> </w:t>
      </w:r>
      <w:r>
        <w:rPr>
          <w:sz w:val="24"/>
        </w:rPr>
        <w:t>has</w:t>
      </w:r>
      <w:r>
        <w:rPr>
          <w:spacing w:val="-4"/>
          <w:sz w:val="24"/>
        </w:rPr>
        <w:t> </w:t>
      </w:r>
      <w:r>
        <w:rPr>
          <w:sz w:val="24"/>
        </w:rPr>
        <w:t>completed</w:t>
      </w:r>
      <w:r>
        <w:rPr>
          <w:spacing w:val="-4"/>
          <w:sz w:val="24"/>
        </w:rPr>
        <w:t> </w:t>
      </w:r>
      <w:r>
        <w:rPr>
          <w:sz w:val="24"/>
        </w:rPr>
        <w:t>the</w:t>
      </w:r>
      <w:r>
        <w:rPr>
          <w:spacing w:val="-4"/>
          <w:sz w:val="24"/>
        </w:rPr>
        <w:t> </w:t>
      </w:r>
      <w:r>
        <w:rPr>
          <w:sz w:val="24"/>
        </w:rPr>
        <w:t>"R4</w:t>
      </w:r>
      <w:r>
        <w:rPr>
          <w:spacing w:val="-4"/>
          <w:sz w:val="24"/>
        </w:rPr>
        <w:t> </w:t>
      </w:r>
      <w:r>
        <w:rPr>
          <w:sz w:val="24"/>
        </w:rPr>
        <w:t>Four</w:t>
      </w:r>
      <w:r>
        <w:rPr>
          <w:spacing w:val="-3"/>
          <w:sz w:val="24"/>
        </w:rPr>
        <w:t> </w:t>
      </w:r>
      <w:r>
        <w:rPr>
          <w:sz w:val="24"/>
        </w:rPr>
        <w:t>Weeks</w:t>
      </w:r>
      <w:r>
        <w:rPr>
          <w:spacing w:val="-4"/>
          <w:sz w:val="24"/>
        </w:rPr>
        <w:t> </w:t>
      </w:r>
      <w:r>
        <w:rPr>
          <w:sz w:val="24"/>
        </w:rPr>
        <w:t>Job</w:t>
      </w:r>
      <w:r>
        <w:rPr>
          <w:spacing w:val="-4"/>
          <w:sz w:val="24"/>
        </w:rPr>
        <w:t> </w:t>
      </w:r>
      <w:r>
        <w:rPr>
          <w:sz w:val="24"/>
        </w:rPr>
        <w:t>Support-Retention"</w:t>
      </w:r>
      <w:r>
        <w:rPr>
          <w:spacing w:val="-4"/>
          <w:sz w:val="24"/>
        </w:rPr>
        <w:t> </w:t>
      </w:r>
      <w:r>
        <w:rPr>
          <w:sz w:val="24"/>
        </w:rPr>
        <w:t>Milestone</w:t>
      </w:r>
      <w:r>
        <w:rPr>
          <w:spacing w:val="-4"/>
          <w:sz w:val="24"/>
        </w:rPr>
        <w:t> </w:t>
      </w:r>
      <w:r>
        <w:rPr>
          <w:sz w:val="24"/>
        </w:rPr>
        <w:t>which includes short term job coach training and support.</w:t>
      </w:r>
      <w:r>
        <w:rPr>
          <w:spacing w:val="40"/>
          <w:sz w:val="24"/>
        </w:rPr>
        <w:t> </w:t>
      </w:r>
      <w:r>
        <w:rPr>
          <w:sz w:val="24"/>
        </w:rPr>
        <w:t>The client must be followed in employment for a minimum of 90 days prior to being closed. </w:t>
      </w:r>
      <w:r>
        <w:rPr>
          <w:rFonts w:ascii="Calibri"/>
          <w:b/>
          <w:sz w:val="22"/>
        </w:rPr>
        <w:t>2</w:t>
      </w:r>
    </w:p>
    <w:p>
      <w:pPr>
        <w:pStyle w:val="ListParagraph"/>
        <w:numPr>
          <w:ilvl w:val="0"/>
          <w:numId w:val="146"/>
        </w:numPr>
        <w:tabs>
          <w:tab w:pos="786" w:val="left" w:leader="none"/>
        </w:tabs>
        <w:spacing w:line="208" w:lineRule="auto" w:before="231" w:after="0"/>
        <w:ind w:left="360" w:right="735" w:firstLine="0"/>
        <w:jc w:val="left"/>
        <w:rPr>
          <w:sz w:val="24"/>
        </w:rPr>
      </w:pPr>
      <w:r>
        <w:rPr>
          <w:b/>
          <w:sz w:val="24"/>
        </w:rPr>
        <w:t>Case recording requirements. </w:t>
      </w:r>
      <w:r>
        <w:rPr>
          <w:sz w:val="24"/>
        </w:rPr>
        <w:t>After the client has entered employment, it is the client's</w:t>
      </w:r>
      <w:r>
        <w:rPr>
          <w:spacing w:val="-4"/>
          <w:sz w:val="24"/>
        </w:rPr>
        <w:t> </w:t>
      </w:r>
      <w:r>
        <w:rPr>
          <w:sz w:val="24"/>
        </w:rPr>
        <w:t>responsibility</w:t>
      </w:r>
      <w:r>
        <w:rPr>
          <w:spacing w:val="-4"/>
          <w:sz w:val="24"/>
        </w:rPr>
        <w:t> </w:t>
      </w:r>
      <w:r>
        <w:rPr>
          <w:sz w:val="24"/>
        </w:rPr>
        <w:t>to</w:t>
      </w:r>
      <w:r>
        <w:rPr>
          <w:spacing w:val="-4"/>
          <w:sz w:val="24"/>
        </w:rPr>
        <w:t> </w:t>
      </w:r>
      <w:r>
        <w:rPr>
          <w:sz w:val="24"/>
        </w:rPr>
        <w:t>provide</w:t>
      </w:r>
      <w:r>
        <w:rPr>
          <w:spacing w:val="-4"/>
          <w:sz w:val="24"/>
        </w:rPr>
        <w:t> </w:t>
      </w:r>
      <w:r>
        <w:rPr>
          <w:sz w:val="24"/>
        </w:rPr>
        <w:t>the</w:t>
      </w:r>
      <w:r>
        <w:rPr>
          <w:spacing w:val="-4"/>
          <w:sz w:val="24"/>
        </w:rPr>
        <w:t> </w:t>
      </w:r>
      <w:r>
        <w:rPr>
          <w:sz w:val="24"/>
        </w:rPr>
        <w:t>counselor</w:t>
      </w:r>
      <w:r>
        <w:rPr>
          <w:spacing w:val="-3"/>
          <w:sz w:val="24"/>
        </w:rPr>
        <w:t> </w:t>
      </w:r>
      <w:r>
        <w:rPr>
          <w:sz w:val="24"/>
        </w:rPr>
        <w:t>with</w:t>
      </w:r>
      <w:r>
        <w:rPr>
          <w:spacing w:val="-4"/>
          <w:sz w:val="24"/>
        </w:rPr>
        <w:t> </w:t>
      </w:r>
      <w:r>
        <w:rPr>
          <w:sz w:val="24"/>
        </w:rPr>
        <w:t>the</w:t>
      </w:r>
      <w:r>
        <w:rPr>
          <w:spacing w:val="-4"/>
          <w:sz w:val="24"/>
        </w:rPr>
        <w:t> </w:t>
      </w:r>
      <w:r>
        <w:rPr>
          <w:sz w:val="24"/>
        </w:rPr>
        <w:t>job</w:t>
      </w:r>
      <w:r>
        <w:rPr>
          <w:spacing w:val="-4"/>
          <w:sz w:val="24"/>
        </w:rPr>
        <w:t> </w:t>
      </w:r>
      <w:r>
        <w:rPr>
          <w:sz w:val="24"/>
        </w:rPr>
        <w:t>title</w:t>
      </w:r>
      <w:r>
        <w:rPr>
          <w:spacing w:val="-4"/>
          <w:sz w:val="24"/>
        </w:rPr>
        <w:t> </w:t>
      </w:r>
      <w:r>
        <w:rPr>
          <w:sz w:val="24"/>
        </w:rPr>
        <w:t>of</w:t>
      </w:r>
      <w:r>
        <w:rPr>
          <w:spacing w:val="-3"/>
          <w:sz w:val="24"/>
        </w:rPr>
        <w:t> </w:t>
      </w:r>
      <w:r>
        <w:rPr>
          <w:sz w:val="24"/>
        </w:rPr>
        <w:t>employment</w:t>
      </w:r>
      <w:r>
        <w:rPr>
          <w:spacing w:val="-3"/>
          <w:sz w:val="24"/>
        </w:rPr>
        <w:t> </w:t>
      </w:r>
      <w:r>
        <w:rPr>
          <w:sz w:val="24"/>
        </w:rPr>
        <w:t>and</w:t>
      </w:r>
      <w:r>
        <w:rPr>
          <w:spacing w:val="-4"/>
          <w:sz w:val="24"/>
        </w:rPr>
        <w:t> </w:t>
      </w:r>
      <w:r>
        <w:rPr>
          <w:sz w:val="24"/>
        </w:rPr>
        <w:t>salary information. When an individual is placed in employed status, case recording will </w:t>
      </w:r>
      <w:r>
        <w:rPr>
          <w:spacing w:val="-2"/>
          <w:sz w:val="24"/>
        </w:rPr>
        <w:t>document:</w:t>
      </w:r>
    </w:p>
    <w:p>
      <w:pPr>
        <w:pStyle w:val="ListParagraph"/>
        <w:numPr>
          <w:ilvl w:val="1"/>
          <w:numId w:val="146"/>
        </w:numPr>
        <w:tabs>
          <w:tab w:pos="1217" w:val="left" w:leader="none"/>
        </w:tabs>
        <w:spacing w:line="240" w:lineRule="auto" w:before="210" w:after="0"/>
        <w:ind w:left="1217" w:right="0" w:hanging="426"/>
        <w:jc w:val="left"/>
        <w:rPr>
          <w:sz w:val="24"/>
        </w:rPr>
      </w:pPr>
      <w:r>
        <w:rPr>
          <w:sz w:val="24"/>
        </w:rPr>
        <w:t>Beginning</w:t>
      </w:r>
      <w:r>
        <w:rPr>
          <w:spacing w:val="-4"/>
          <w:sz w:val="24"/>
        </w:rPr>
        <w:t> </w:t>
      </w:r>
      <w:r>
        <w:rPr>
          <w:sz w:val="24"/>
        </w:rPr>
        <w:t>date</w:t>
      </w:r>
      <w:r>
        <w:rPr>
          <w:spacing w:val="-3"/>
          <w:sz w:val="24"/>
        </w:rPr>
        <w:t> </w:t>
      </w:r>
      <w:r>
        <w:rPr>
          <w:sz w:val="24"/>
        </w:rPr>
        <w:t>of</w:t>
      </w:r>
      <w:r>
        <w:rPr>
          <w:spacing w:val="-4"/>
          <w:sz w:val="24"/>
        </w:rPr>
        <w:t> </w:t>
      </w:r>
      <w:r>
        <w:rPr>
          <w:spacing w:val="-2"/>
          <w:sz w:val="24"/>
        </w:rPr>
        <w:t>employment;</w:t>
      </w:r>
    </w:p>
    <w:p>
      <w:pPr>
        <w:pStyle w:val="ListParagraph"/>
        <w:numPr>
          <w:ilvl w:val="1"/>
          <w:numId w:val="146"/>
        </w:numPr>
        <w:tabs>
          <w:tab w:pos="1217" w:val="left" w:leader="none"/>
        </w:tabs>
        <w:spacing w:line="240" w:lineRule="auto" w:before="204" w:after="0"/>
        <w:ind w:left="1217" w:right="0" w:hanging="426"/>
        <w:jc w:val="left"/>
        <w:rPr>
          <w:sz w:val="24"/>
        </w:rPr>
      </w:pPr>
      <w:r>
        <w:rPr>
          <w:sz w:val="24"/>
        </w:rPr>
        <w:t>Name</w:t>
      </w:r>
      <w:r>
        <w:rPr>
          <w:spacing w:val="-3"/>
          <w:sz w:val="24"/>
        </w:rPr>
        <w:t> </w:t>
      </w:r>
      <w:r>
        <w:rPr>
          <w:sz w:val="24"/>
        </w:rPr>
        <w:t>and</w:t>
      </w:r>
      <w:r>
        <w:rPr>
          <w:spacing w:val="-2"/>
          <w:sz w:val="24"/>
        </w:rPr>
        <w:t> </w:t>
      </w:r>
      <w:r>
        <w:rPr>
          <w:sz w:val="24"/>
        </w:rPr>
        <w:t>address</w:t>
      </w:r>
      <w:r>
        <w:rPr>
          <w:spacing w:val="-2"/>
          <w:sz w:val="24"/>
        </w:rPr>
        <w:t> </w:t>
      </w:r>
      <w:r>
        <w:rPr>
          <w:sz w:val="24"/>
        </w:rPr>
        <w:t>of</w:t>
      </w:r>
      <w:r>
        <w:rPr>
          <w:spacing w:val="-3"/>
          <w:sz w:val="24"/>
        </w:rPr>
        <w:t> </w:t>
      </w:r>
      <w:r>
        <w:rPr>
          <w:sz w:val="24"/>
        </w:rPr>
        <w:t>the</w:t>
      </w:r>
      <w:r>
        <w:rPr>
          <w:spacing w:val="-1"/>
          <w:sz w:val="24"/>
        </w:rPr>
        <w:t> </w:t>
      </w:r>
      <w:r>
        <w:rPr>
          <w:spacing w:val="-2"/>
          <w:sz w:val="24"/>
        </w:rPr>
        <w:t>employer;</w:t>
      </w:r>
    </w:p>
    <w:p>
      <w:pPr>
        <w:pStyle w:val="ListParagraph"/>
        <w:numPr>
          <w:ilvl w:val="1"/>
          <w:numId w:val="146"/>
        </w:numPr>
        <w:tabs>
          <w:tab w:pos="1218" w:val="left" w:leader="none"/>
        </w:tabs>
        <w:spacing w:line="240" w:lineRule="auto" w:before="205" w:after="0"/>
        <w:ind w:left="1218" w:right="0" w:hanging="426"/>
        <w:jc w:val="left"/>
        <w:rPr>
          <w:sz w:val="24"/>
        </w:rPr>
      </w:pPr>
      <w:r>
        <w:rPr>
          <w:sz w:val="24"/>
        </w:rPr>
        <w:t>Job</w:t>
      </w:r>
      <w:r>
        <w:rPr>
          <w:spacing w:val="-6"/>
          <w:sz w:val="24"/>
        </w:rPr>
        <w:t> </w:t>
      </w:r>
      <w:r>
        <w:rPr>
          <w:sz w:val="24"/>
        </w:rPr>
        <w:t>title</w:t>
      </w:r>
      <w:r>
        <w:rPr>
          <w:spacing w:val="-2"/>
          <w:sz w:val="24"/>
        </w:rPr>
        <w:t> </w:t>
      </w:r>
      <w:r>
        <w:rPr>
          <w:sz w:val="24"/>
        </w:rPr>
        <w:t>which</w:t>
      </w:r>
      <w:r>
        <w:rPr>
          <w:spacing w:val="-2"/>
          <w:sz w:val="24"/>
        </w:rPr>
        <w:t> </w:t>
      </w:r>
      <w:r>
        <w:rPr>
          <w:sz w:val="24"/>
        </w:rPr>
        <w:t>describes</w:t>
      </w:r>
      <w:r>
        <w:rPr>
          <w:spacing w:val="-2"/>
          <w:sz w:val="24"/>
        </w:rPr>
        <w:t> </w:t>
      </w:r>
      <w:r>
        <w:rPr>
          <w:sz w:val="24"/>
        </w:rPr>
        <w:t>the</w:t>
      </w:r>
      <w:r>
        <w:rPr>
          <w:spacing w:val="-2"/>
          <w:sz w:val="24"/>
        </w:rPr>
        <w:t> </w:t>
      </w:r>
      <w:r>
        <w:rPr>
          <w:sz w:val="24"/>
        </w:rPr>
        <w:t>position</w:t>
      </w:r>
      <w:r>
        <w:rPr>
          <w:spacing w:val="-2"/>
          <w:sz w:val="24"/>
        </w:rPr>
        <w:t> </w:t>
      </w:r>
      <w:r>
        <w:rPr>
          <w:sz w:val="24"/>
        </w:rPr>
        <w:t>held</w:t>
      </w:r>
      <w:r>
        <w:rPr>
          <w:spacing w:val="-2"/>
          <w:sz w:val="24"/>
        </w:rPr>
        <w:t> </w:t>
      </w:r>
      <w:r>
        <w:rPr>
          <w:sz w:val="24"/>
        </w:rPr>
        <w:t>by</w:t>
      </w:r>
      <w:r>
        <w:rPr>
          <w:spacing w:val="-2"/>
          <w:sz w:val="24"/>
        </w:rPr>
        <w:t> </w:t>
      </w:r>
      <w:r>
        <w:rPr>
          <w:sz w:val="24"/>
        </w:rPr>
        <w:t>the</w:t>
      </w:r>
      <w:r>
        <w:rPr>
          <w:spacing w:val="-2"/>
          <w:sz w:val="24"/>
        </w:rPr>
        <w:t> individual;</w:t>
      </w:r>
    </w:p>
    <w:p>
      <w:pPr>
        <w:pStyle w:val="ListParagraph"/>
        <w:numPr>
          <w:ilvl w:val="1"/>
          <w:numId w:val="146"/>
        </w:numPr>
        <w:tabs>
          <w:tab w:pos="1218" w:val="left" w:leader="none"/>
        </w:tabs>
        <w:spacing w:line="208" w:lineRule="auto" w:before="233" w:after="0"/>
        <w:ind w:left="792" w:right="1743" w:firstLine="0"/>
        <w:jc w:val="left"/>
        <w:rPr>
          <w:sz w:val="24"/>
        </w:rPr>
      </w:pPr>
      <w:r>
        <w:rPr>
          <w:sz w:val="24"/>
        </w:rPr>
        <w:t>Client's</w:t>
      </w:r>
      <w:r>
        <w:rPr>
          <w:spacing w:val="-4"/>
          <w:sz w:val="24"/>
        </w:rPr>
        <w:t> </w:t>
      </w:r>
      <w:r>
        <w:rPr>
          <w:sz w:val="24"/>
        </w:rPr>
        <w:t>hourly</w:t>
      </w:r>
      <w:r>
        <w:rPr>
          <w:spacing w:val="-4"/>
          <w:sz w:val="24"/>
        </w:rPr>
        <w:t> </w:t>
      </w:r>
      <w:r>
        <w:rPr>
          <w:sz w:val="24"/>
        </w:rPr>
        <w:t>wages</w:t>
      </w:r>
      <w:r>
        <w:rPr>
          <w:spacing w:val="-4"/>
          <w:sz w:val="24"/>
        </w:rPr>
        <w:t> </w:t>
      </w:r>
      <w:r>
        <w:rPr>
          <w:sz w:val="24"/>
        </w:rPr>
        <w:t>and</w:t>
      </w:r>
      <w:r>
        <w:rPr>
          <w:spacing w:val="-4"/>
          <w:sz w:val="24"/>
        </w:rPr>
        <w:t> </w:t>
      </w:r>
      <w:r>
        <w:rPr>
          <w:sz w:val="24"/>
        </w:rPr>
        <w:t>hours</w:t>
      </w:r>
      <w:r>
        <w:rPr>
          <w:spacing w:val="-4"/>
          <w:sz w:val="24"/>
        </w:rPr>
        <w:t> </w:t>
      </w:r>
      <w:r>
        <w:rPr>
          <w:sz w:val="24"/>
        </w:rPr>
        <w:t>worked</w:t>
      </w:r>
      <w:r>
        <w:rPr>
          <w:spacing w:val="-5"/>
          <w:sz w:val="24"/>
        </w:rPr>
        <w:t> </w:t>
      </w:r>
      <w:r>
        <w:rPr>
          <w:sz w:val="24"/>
        </w:rPr>
        <w:t>per</w:t>
      </w:r>
      <w:r>
        <w:rPr>
          <w:spacing w:val="-3"/>
          <w:sz w:val="24"/>
        </w:rPr>
        <w:t> </w:t>
      </w:r>
      <w:r>
        <w:rPr>
          <w:sz w:val="24"/>
        </w:rPr>
        <w:t>week</w:t>
      </w:r>
      <w:r>
        <w:rPr>
          <w:spacing w:val="-4"/>
          <w:sz w:val="24"/>
        </w:rPr>
        <w:t> </w:t>
      </w:r>
      <w:r>
        <w:rPr>
          <w:sz w:val="24"/>
        </w:rPr>
        <w:t>to</w:t>
      </w:r>
      <w:r>
        <w:rPr>
          <w:spacing w:val="-4"/>
          <w:sz w:val="24"/>
        </w:rPr>
        <w:t> </w:t>
      </w:r>
      <w:r>
        <w:rPr>
          <w:sz w:val="24"/>
        </w:rPr>
        <w:t>determine</w:t>
      </w:r>
      <w:r>
        <w:rPr>
          <w:spacing w:val="-4"/>
          <w:sz w:val="24"/>
        </w:rPr>
        <w:t> </w:t>
      </w:r>
      <w:r>
        <w:rPr>
          <w:sz w:val="24"/>
        </w:rPr>
        <w:t>weekly </w:t>
      </w:r>
      <w:r>
        <w:rPr>
          <w:spacing w:val="-2"/>
          <w:sz w:val="24"/>
        </w:rPr>
        <w:t>earnings;</w:t>
      </w:r>
    </w:p>
    <w:p>
      <w:pPr>
        <w:pStyle w:val="ListParagraph"/>
        <w:numPr>
          <w:ilvl w:val="1"/>
          <w:numId w:val="146"/>
        </w:numPr>
        <w:tabs>
          <w:tab w:pos="1218" w:val="left" w:leader="none"/>
        </w:tabs>
        <w:spacing w:line="240" w:lineRule="auto" w:before="210" w:after="0"/>
        <w:ind w:left="1218" w:right="0" w:hanging="426"/>
        <w:jc w:val="left"/>
        <w:rPr>
          <w:sz w:val="24"/>
        </w:rPr>
      </w:pPr>
      <w:r>
        <w:rPr>
          <w:sz w:val="24"/>
        </w:rPr>
        <w:t>Suitability</w:t>
      </w:r>
      <w:r>
        <w:rPr>
          <w:spacing w:val="-4"/>
          <w:sz w:val="24"/>
        </w:rPr>
        <w:t> </w:t>
      </w:r>
      <w:r>
        <w:rPr>
          <w:sz w:val="24"/>
        </w:rPr>
        <w:t>of</w:t>
      </w:r>
      <w:r>
        <w:rPr>
          <w:spacing w:val="-5"/>
          <w:sz w:val="24"/>
        </w:rPr>
        <w:t> </w:t>
      </w:r>
      <w:r>
        <w:rPr>
          <w:sz w:val="24"/>
        </w:rPr>
        <w:t>the</w:t>
      </w:r>
      <w:r>
        <w:rPr>
          <w:spacing w:val="-3"/>
          <w:sz w:val="24"/>
        </w:rPr>
        <w:t> </w:t>
      </w:r>
      <w:r>
        <w:rPr>
          <w:sz w:val="24"/>
        </w:rPr>
        <w:t>employment;</w:t>
      </w:r>
      <w:r>
        <w:rPr>
          <w:spacing w:val="-4"/>
          <w:sz w:val="24"/>
        </w:rPr>
        <w:t> </w:t>
      </w:r>
      <w:r>
        <w:rPr>
          <w:rFonts w:ascii="Calibri"/>
          <w:b/>
          <w:sz w:val="22"/>
        </w:rPr>
        <w:t>3</w:t>
      </w:r>
      <w:r>
        <w:rPr>
          <w:rFonts w:ascii="Calibri"/>
          <w:b/>
          <w:spacing w:val="-4"/>
          <w:sz w:val="22"/>
        </w:rPr>
        <w:t> </w:t>
      </w:r>
      <w:r>
        <w:rPr>
          <w:spacing w:val="-5"/>
          <w:sz w:val="24"/>
        </w:rPr>
        <w:t>and</w:t>
      </w:r>
    </w:p>
    <w:p>
      <w:pPr>
        <w:pStyle w:val="ListParagraph"/>
        <w:numPr>
          <w:ilvl w:val="1"/>
          <w:numId w:val="146"/>
        </w:numPr>
        <w:tabs>
          <w:tab w:pos="1217" w:val="left" w:leader="none"/>
        </w:tabs>
        <w:spacing w:line="208" w:lineRule="auto" w:before="225" w:after="0"/>
        <w:ind w:left="791" w:right="1173" w:firstLine="0"/>
        <w:jc w:val="left"/>
        <w:rPr>
          <w:sz w:val="24"/>
        </w:rPr>
      </w:pPr>
      <w:r>
        <w:rPr>
          <w:sz w:val="24"/>
        </w:rPr>
        <w:t>How</w:t>
      </w:r>
      <w:r>
        <w:rPr>
          <w:spacing w:val="-3"/>
          <w:sz w:val="24"/>
        </w:rPr>
        <w:t> </w:t>
      </w:r>
      <w:r>
        <w:rPr>
          <w:sz w:val="24"/>
        </w:rPr>
        <w:t>the</w:t>
      </w:r>
      <w:r>
        <w:rPr>
          <w:spacing w:val="-3"/>
          <w:sz w:val="24"/>
        </w:rPr>
        <w:t> </w:t>
      </w:r>
      <w:r>
        <w:rPr>
          <w:sz w:val="24"/>
        </w:rPr>
        <w:t>job</w:t>
      </w:r>
      <w:r>
        <w:rPr>
          <w:spacing w:val="-3"/>
          <w:sz w:val="24"/>
        </w:rPr>
        <w:t> </w:t>
      </w:r>
      <w:r>
        <w:rPr>
          <w:sz w:val="24"/>
        </w:rPr>
        <w:t>was</w:t>
      </w:r>
      <w:r>
        <w:rPr>
          <w:spacing w:val="-3"/>
          <w:sz w:val="24"/>
        </w:rPr>
        <w:t> </w:t>
      </w:r>
      <w:r>
        <w:rPr>
          <w:sz w:val="24"/>
        </w:rPr>
        <w:t>obtained.</w:t>
      </w:r>
      <w:r>
        <w:rPr>
          <w:spacing w:val="-2"/>
          <w:sz w:val="24"/>
        </w:rPr>
        <w:t> </w:t>
      </w:r>
      <w:r>
        <w:rPr>
          <w:sz w:val="24"/>
        </w:rPr>
        <w:t>If</w:t>
      </w:r>
      <w:r>
        <w:rPr>
          <w:spacing w:val="-2"/>
          <w:sz w:val="24"/>
        </w:rPr>
        <w:t> </w:t>
      </w:r>
      <w:r>
        <w:rPr>
          <w:sz w:val="24"/>
        </w:rPr>
        <w:t>the</w:t>
      </w:r>
      <w:r>
        <w:rPr>
          <w:spacing w:val="-3"/>
          <w:sz w:val="24"/>
        </w:rPr>
        <w:t> </w:t>
      </w:r>
      <w:r>
        <w:rPr>
          <w:sz w:val="24"/>
        </w:rPr>
        <w:t>information</w:t>
      </w:r>
      <w:r>
        <w:rPr>
          <w:spacing w:val="-3"/>
          <w:sz w:val="24"/>
        </w:rPr>
        <w:t> </w:t>
      </w:r>
      <w:r>
        <w:rPr>
          <w:sz w:val="24"/>
        </w:rPr>
        <w:t>is</w:t>
      </w:r>
      <w:r>
        <w:rPr>
          <w:spacing w:val="-3"/>
          <w:sz w:val="24"/>
        </w:rPr>
        <w:t> </w:t>
      </w:r>
      <w:r>
        <w:rPr>
          <w:sz w:val="24"/>
        </w:rPr>
        <w:t>obtained</w:t>
      </w:r>
      <w:r>
        <w:rPr>
          <w:spacing w:val="-3"/>
          <w:sz w:val="24"/>
        </w:rPr>
        <w:t> </w:t>
      </w:r>
      <w:r>
        <w:rPr>
          <w:sz w:val="24"/>
        </w:rPr>
        <w:t>from</w:t>
      </w:r>
      <w:r>
        <w:rPr>
          <w:spacing w:val="-2"/>
          <w:sz w:val="24"/>
        </w:rPr>
        <w:t> </w:t>
      </w:r>
      <w:r>
        <w:rPr>
          <w:sz w:val="24"/>
        </w:rPr>
        <w:t>a</w:t>
      </w:r>
      <w:r>
        <w:rPr>
          <w:spacing w:val="-4"/>
          <w:sz w:val="24"/>
        </w:rPr>
        <w:t> </w:t>
      </w:r>
      <w:r>
        <w:rPr>
          <w:sz w:val="24"/>
        </w:rPr>
        <w:t>source</w:t>
      </w:r>
      <w:r>
        <w:rPr>
          <w:spacing w:val="-3"/>
          <w:sz w:val="24"/>
        </w:rPr>
        <w:t> </w:t>
      </w:r>
      <w:r>
        <w:rPr>
          <w:sz w:val="24"/>
        </w:rPr>
        <w:t>other than the client, the source of the information will be identified.</w:t>
      </w:r>
    </w:p>
    <w:p>
      <w:pPr>
        <w:pStyle w:val="ListParagraph"/>
        <w:numPr>
          <w:ilvl w:val="0"/>
          <w:numId w:val="146"/>
        </w:numPr>
        <w:tabs>
          <w:tab w:pos="786" w:val="left" w:leader="none"/>
        </w:tabs>
        <w:spacing w:line="208" w:lineRule="auto" w:before="240" w:after="0"/>
        <w:ind w:left="360" w:right="820" w:firstLine="0"/>
        <w:jc w:val="left"/>
        <w:rPr>
          <w:sz w:val="24"/>
        </w:rPr>
      </w:pPr>
      <w:r>
        <w:rPr>
          <w:b/>
          <w:sz w:val="24"/>
        </w:rPr>
        <w:t>Contact.</w:t>
      </w:r>
      <w:r>
        <w:rPr>
          <w:b/>
          <w:spacing w:val="-3"/>
          <w:sz w:val="24"/>
        </w:rPr>
        <w:t> </w:t>
      </w:r>
      <w:r>
        <w:rPr>
          <w:sz w:val="24"/>
        </w:rPr>
        <w:t>When</w:t>
      </w:r>
      <w:r>
        <w:rPr>
          <w:spacing w:val="-4"/>
          <w:sz w:val="24"/>
        </w:rPr>
        <w:t> </w:t>
      </w:r>
      <w:r>
        <w:rPr>
          <w:sz w:val="24"/>
        </w:rPr>
        <w:t>a</w:t>
      </w:r>
      <w:r>
        <w:rPr>
          <w:spacing w:val="-5"/>
          <w:sz w:val="24"/>
        </w:rPr>
        <w:t> </w:t>
      </w:r>
      <w:r>
        <w:rPr>
          <w:sz w:val="24"/>
        </w:rPr>
        <w:t>client</w:t>
      </w:r>
      <w:r>
        <w:rPr>
          <w:spacing w:val="-3"/>
          <w:sz w:val="24"/>
        </w:rPr>
        <w:t> </w:t>
      </w:r>
      <w:r>
        <w:rPr>
          <w:sz w:val="24"/>
        </w:rPr>
        <w:t>is</w:t>
      </w:r>
      <w:r>
        <w:rPr>
          <w:spacing w:val="-4"/>
          <w:sz w:val="24"/>
        </w:rPr>
        <w:t> </w:t>
      </w:r>
      <w:r>
        <w:rPr>
          <w:sz w:val="24"/>
        </w:rPr>
        <w:t>placed</w:t>
      </w:r>
      <w:r>
        <w:rPr>
          <w:spacing w:val="-4"/>
          <w:sz w:val="24"/>
        </w:rPr>
        <w:t> </w:t>
      </w:r>
      <w:r>
        <w:rPr>
          <w:sz w:val="24"/>
        </w:rPr>
        <w:t>in</w:t>
      </w:r>
      <w:r>
        <w:rPr>
          <w:spacing w:val="-4"/>
          <w:sz w:val="24"/>
        </w:rPr>
        <w:t> </w:t>
      </w:r>
      <w:r>
        <w:rPr>
          <w:sz w:val="24"/>
        </w:rPr>
        <w:t>employed</w:t>
      </w:r>
      <w:r>
        <w:rPr>
          <w:spacing w:val="-4"/>
          <w:sz w:val="24"/>
        </w:rPr>
        <w:t> </w:t>
      </w:r>
      <w:r>
        <w:rPr>
          <w:sz w:val="24"/>
        </w:rPr>
        <w:t>status,</w:t>
      </w:r>
      <w:r>
        <w:rPr>
          <w:spacing w:val="-3"/>
          <w:sz w:val="24"/>
        </w:rPr>
        <w:t> </w:t>
      </w:r>
      <w:r>
        <w:rPr>
          <w:sz w:val="24"/>
        </w:rPr>
        <w:t>contact</w:t>
      </w:r>
      <w:r>
        <w:rPr>
          <w:spacing w:val="-5"/>
          <w:sz w:val="24"/>
        </w:rPr>
        <w:t> </w:t>
      </w:r>
      <w:r>
        <w:rPr>
          <w:sz w:val="24"/>
        </w:rPr>
        <w:t>is</w:t>
      </w:r>
      <w:r>
        <w:rPr>
          <w:spacing w:val="-4"/>
          <w:sz w:val="24"/>
        </w:rPr>
        <w:t> </w:t>
      </w:r>
      <w:r>
        <w:rPr>
          <w:sz w:val="24"/>
        </w:rPr>
        <w:t>maintained</w:t>
      </w:r>
      <w:r>
        <w:rPr>
          <w:spacing w:val="-4"/>
          <w:sz w:val="24"/>
        </w:rPr>
        <w:t> </w:t>
      </w:r>
      <w:r>
        <w:rPr>
          <w:sz w:val="24"/>
        </w:rPr>
        <w:t>through the end of the required 90 days and documented until it is determined the employment is satisfactory and the case can be closed. This determination that the employment outcome is satisfactory will be made with the full participation of the client.</w:t>
      </w:r>
    </w:p>
    <w:p>
      <w:pPr>
        <w:pStyle w:val="Heading2"/>
        <w:numPr>
          <w:ilvl w:val="0"/>
          <w:numId w:val="146"/>
        </w:numPr>
        <w:tabs>
          <w:tab w:pos="719" w:val="left" w:leader="none"/>
        </w:tabs>
        <w:spacing w:line="240" w:lineRule="auto" w:before="211" w:after="0"/>
        <w:ind w:left="719" w:right="0" w:hanging="359"/>
        <w:jc w:val="left"/>
      </w:pPr>
      <w:r>
        <w:rPr/>
        <w:t>Case</w:t>
      </w:r>
      <w:r>
        <w:rPr>
          <w:spacing w:val="-3"/>
        </w:rPr>
        <w:t> </w:t>
      </w:r>
      <w:r>
        <w:rPr>
          <w:spacing w:val="-2"/>
        </w:rPr>
        <w:t>recording.</w:t>
      </w:r>
    </w:p>
    <w:p>
      <w:pPr>
        <w:pStyle w:val="ListParagraph"/>
        <w:numPr>
          <w:ilvl w:val="1"/>
          <w:numId w:val="146"/>
        </w:numPr>
        <w:tabs>
          <w:tab w:pos="1146" w:val="left" w:leader="none"/>
        </w:tabs>
        <w:spacing w:line="208" w:lineRule="auto" w:before="233" w:after="0"/>
        <w:ind w:left="720" w:right="873" w:firstLine="0"/>
        <w:jc w:val="left"/>
        <w:rPr>
          <w:sz w:val="24"/>
        </w:rPr>
      </w:pPr>
      <w:r>
        <w:rPr>
          <w:sz w:val="24"/>
        </w:rPr>
        <w:t>Documentation</w:t>
      </w:r>
      <w:r>
        <w:rPr>
          <w:spacing w:val="-4"/>
          <w:sz w:val="24"/>
        </w:rPr>
        <w:t> </w:t>
      </w:r>
      <w:r>
        <w:rPr>
          <w:sz w:val="24"/>
        </w:rPr>
        <w:t>of</w:t>
      </w:r>
      <w:r>
        <w:rPr>
          <w:spacing w:val="-3"/>
          <w:sz w:val="24"/>
        </w:rPr>
        <w:t> </w:t>
      </w:r>
      <w:r>
        <w:rPr>
          <w:sz w:val="24"/>
        </w:rPr>
        <w:t>all</w:t>
      </w:r>
      <w:r>
        <w:rPr>
          <w:spacing w:val="-4"/>
          <w:sz w:val="24"/>
        </w:rPr>
        <w:t> </w:t>
      </w:r>
      <w:r>
        <w:rPr>
          <w:sz w:val="24"/>
        </w:rPr>
        <w:t>contacts</w:t>
      </w:r>
      <w:r>
        <w:rPr>
          <w:spacing w:val="-4"/>
          <w:sz w:val="24"/>
        </w:rPr>
        <w:t> </w:t>
      </w:r>
      <w:r>
        <w:rPr>
          <w:sz w:val="24"/>
        </w:rPr>
        <w:t>with</w:t>
      </w:r>
      <w:r>
        <w:rPr>
          <w:spacing w:val="-4"/>
          <w:sz w:val="24"/>
        </w:rPr>
        <w:t> </w:t>
      </w:r>
      <w:r>
        <w:rPr>
          <w:sz w:val="24"/>
        </w:rPr>
        <w:t>the</w:t>
      </w:r>
      <w:r>
        <w:rPr>
          <w:spacing w:val="-4"/>
          <w:sz w:val="24"/>
        </w:rPr>
        <w:t> </w:t>
      </w:r>
      <w:r>
        <w:rPr>
          <w:sz w:val="24"/>
        </w:rPr>
        <w:t>client</w:t>
      </w:r>
      <w:r>
        <w:rPr>
          <w:spacing w:val="-3"/>
          <w:sz w:val="24"/>
        </w:rPr>
        <w:t> </w:t>
      </w:r>
      <w:r>
        <w:rPr>
          <w:sz w:val="24"/>
        </w:rPr>
        <w:t>during</w:t>
      </w:r>
      <w:r>
        <w:rPr>
          <w:spacing w:val="-4"/>
          <w:sz w:val="24"/>
        </w:rPr>
        <w:t> </w:t>
      </w:r>
      <w:r>
        <w:rPr>
          <w:sz w:val="24"/>
        </w:rPr>
        <w:t>the</w:t>
      </w:r>
      <w:r>
        <w:rPr>
          <w:spacing w:val="-4"/>
          <w:sz w:val="24"/>
        </w:rPr>
        <w:t> </w:t>
      </w:r>
      <w:r>
        <w:rPr>
          <w:sz w:val="24"/>
        </w:rPr>
        <w:t>90</w:t>
      </w:r>
      <w:r>
        <w:rPr>
          <w:spacing w:val="-4"/>
          <w:sz w:val="24"/>
        </w:rPr>
        <w:t> </w:t>
      </w:r>
      <w:r>
        <w:rPr>
          <w:sz w:val="24"/>
        </w:rPr>
        <w:t>days,</w:t>
      </w:r>
      <w:r>
        <w:rPr>
          <w:spacing w:val="-3"/>
          <w:sz w:val="24"/>
        </w:rPr>
        <w:t> </w:t>
      </w:r>
      <w:r>
        <w:rPr>
          <w:sz w:val="24"/>
        </w:rPr>
        <w:t>to</w:t>
      </w:r>
      <w:r>
        <w:rPr>
          <w:spacing w:val="-4"/>
          <w:sz w:val="24"/>
        </w:rPr>
        <w:t> </w:t>
      </w:r>
      <w:r>
        <w:rPr>
          <w:sz w:val="24"/>
        </w:rPr>
        <w:t>address</w:t>
      </w:r>
      <w:r>
        <w:rPr>
          <w:spacing w:val="-4"/>
          <w:sz w:val="24"/>
        </w:rPr>
        <w:t> </w:t>
      </w:r>
      <w:r>
        <w:rPr>
          <w:sz w:val="24"/>
        </w:rPr>
        <w:t>any employment related issues, including satisfaction with the employment.</w:t>
      </w:r>
    </w:p>
    <w:p>
      <w:pPr>
        <w:pStyle w:val="ListParagraph"/>
        <w:numPr>
          <w:ilvl w:val="1"/>
          <w:numId w:val="146"/>
        </w:numPr>
        <w:tabs>
          <w:tab w:pos="1146" w:val="left" w:leader="none"/>
        </w:tabs>
        <w:spacing w:line="208" w:lineRule="auto" w:before="240" w:after="0"/>
        <w:ind w:left="720" w:right="1886" w:firstLine="0"/>
        <w:jc w:val="left"/>
        <w:rPr>
          <w:sz w:val="24"/>
        </w:rPr>
      </w:pPr>
      <w:r>
        <w:rPr>
          <w:sz w:val="24"/>
        </w:rPr>
        <w:t>Documentation</w:t>
      </w:r>
      <w:r>
        <w:rPr>
          <w:spacing w:val="-4"/>
          <w:sz w:val="24"/>
        </w:rPr>
        <w:t> </w:t>
      </w:r>
      <w:r>
        <w:rPr>
          <w:sz w:val="24"/>
        </w:rPr>
        <w:t>in</w:t>
      </w:r>
      <w:r>
        <w:rPr>
          <w:spacing w:val="-4"/>
          <w:sz w:val="24"/>
        </w:rPr>
        <w:t> </w:t>
      </w:r>
      <w:r>
        <w:rPr>
          <w:sz w:val="24"/>
        </w:rPr>
        <w:t>a</w:t>
      </w:r>
      <w:r>
        <w:rPr>
          <w:spacing w:val="-4"/>
          <w:sz w:val="24"/>
        </w:rPr>
        <w:t> </w:t>
      </w:r>
      <w:r>
        <w:rPr>
          <w:sz w:val="24"/>
        </w:rPr>
        <w:t>case</w:t>
      </w:r>
      <w:r>
        <w:rPr>
          <w:spacing w:val="-4"/>
          <w:sz w:val="24"/>
        </w:rPr>
        <w:t> </w:t>
      </w:r>
      <w:r>
        <w:rPr>
          <w:sz w:val="24"/>
        </w:rPr>
        <w:t>note</w:t>
      </w:r>
      <w:r>
        <w:rPr>
          <w:spacing w:val="-4"/>
          <w:sz w:val="24"/>
        </w:rPr>
        <w:t> </w:t>
      </w:r>
      <w:r>
        <w:rPr>
          <w:sz w:val="24"/>
        </w:rPr>
        <w:t>of</w:t>
      </w:r>
      <w:r>
        <w:rPr>
          <w:spacing w:val="-3"/>
          <w:sz w:val="24"/>
        </w:rPr>
        <w:t> </w:t>
      </w:r>
      <w:r>
        <w:rPr>
          <w:sz w:val="24"/>
        </w:rPr>
        <w:t>the</w:t>
      </w:r>
      <w:r>
        <w:rPr>
          <w:spacing w:val="-4"/>
          <w:sz w:val="24"/>
        </w:rPr>
        <w:t> </w:t>
      </w:r>
      <w:r>
        <w:rPr>
          <w:sz w:val="24"/>
        </w:rPr>
        <w:t>start</w:t>
      </w:r>
      <w:r>
        <w:rPr>
          <w:spacing w:val="-3"/>
          <w:sz w:val="24"/>
        </w:rPr>
        <w:t> </w:t>
      </w:r>
      <w:r>
        <w:rPr>
          <w:sz w:val="24"/>
        </w:rPr>
        <w:t>date</w:t>
      </w:r>
      <w:r>
        <w:rPr>
          <w:spacing w:val="-4"/>
          <w:sz w:val="24"/>
        </w:rPr>
        <w:t> </w:t>
      </w:r>
      <w:r>
        <w:rPr>
          <w:sz w:val="24"/>
        </w:rPr>
        <w:t>of</w:t>
      </w:r>
      <w:r>
        <w:rPr>
          <w:spacing w:val="-3"/>
          <w:sz w:val="24"/>
        </w:rPr>
        <w:t> </w:t>
      </w:r>
      <w:r>
        <w:rPr>
          <w:sz w:val="24"/>
        </w:rPr>
        <w:t>employment,</w:t>
      </w:r>
      <w:r>
        <w:rPr>
          <w:spacing w:val="-3"/>
          <w:sz w:val="24"/>
        </w:rPr>
        <w:t> </w:t>
      </w:r>
      <w:r>
        <w:rPr>
          <w:sz w:val="24"/>
        </w:rPr>
        <w:t>type</w:t>
      </w:r>
      <w:r>
        <w:rPr>
          <w:spacing w:val="-4"/>
          <w:sz w:val="24"/>
        </w:rPr>
        <w:t> </w:t>
      </w:r>
      <w:r>
        <w:rPr>
          <w:sz w:val="24"/>
        </w:rPr>
        <w:t>of employment (i.e. cook, housekeeper, lawyer) employer name address, hourly/weekly wages and benefits.</w:t>
      </w:r>
    </w:p>
    <w:p>
      <w:pPr>
        <w:pStyle w:val="ListParagraph"/>
        <w:numPr>
          <w:ilvl w:val="1"/>
          <w:numId w:val="146"/>
        </w:numPr>
        <w:tabs>
          <w:tab w:pos="1145" w:val="left" w:leader="none"/>
        </w:tabs>
        <w:spacing w:line="208" w:lineRule="auto" w:before="239" w:after="0"/>
        <w:ind w:left="720" w:right="765" w:firstLine="0"/>
        <w:jc w:val="both"/>
        <w:rPr>
          <w:sz w:val="24"/>
        </w:rPr>
      </w:pPr>
      <w:r>
        <w:rPr>
          <w:sz w:val="24"/>
        </w:rPr>
        <w:t>When</w:t>
      </w:r>
      <w:r>
        <w:rPr>
          <w:spacing w:val="-4"/>
          <w:sz w:val="24"/>
        </w:rPr>
        <w:t> </w:t>
      </w:r>
      <w:r>
        <w:rPr>
          <w:sz w:val="24"/>
        </w:rPr>
        <w:t>applicable,</w:t>
      </w:r>
      <w:r>
        <w:rPr>
          <w:spacing w:val="-3"/>
          <w:sz w:val="24"/>
        </w:rPr>
        <w:t> </w:t>
      </w:r>
      <w:r>
        <w:rPr>
          <w:sz w:val="24"/>
        </w:rPr>
        <w:t>and</w:t>
      </w:r>
      <w:r>
        <w:rPr>
          <w:spacing w:val="-4"/>
          <w:sz w:val="24"/>
        </w:rPr>
        <w:t> </w:t>
      </w:r>
      <w:r>
        <w:rPr>
          <w:sz w:val="24"/>
        </w:rPr>
        <w:t>information</w:t>
      </w:r>
      <w:r>
        <w:rPr>
          <w:spacing w:val="-4"/>
          <w:sz w:val="24"/>
        </w:rPr>
        <w:t> </w:t>
      </w:r>
      <w:r>
        <w:rPr>
          <w:sz w:val="24"/>
        </w:rPr>
        <w:t>is</w:t>
      </w:r>
      <w:r>
        <w:rPr>
          <w:spacing w:val="-4"/>
          <w:sz w:val="24"/>
        </w:rPr>
        <w:t> </w:t>
      </w:r>
      <w:r>
        <w:rPr>
          <w:sz w:val="24"/>
        </w:rPr>
        <w:t>not</w:t>
      </w:r>
      <w:r>
        <w:rPr>
          <w:spacing w:val="-3"/>
          <w:sz w:val="24"/>
        </w:rPr>
        <w:t> </w:t>
      </w:r>
      <w:r>
        <w:rPr>
          <w:sz w:val="24"/>
        </w:rPr>
        <w:t>obtainable</w:t>
      </w:r>
      <w:r>
        <w:rPr>
          <w:spacing w:val="-3"/>
          <w:sz w:val="24"/>
        </w:rPr>
        <w:t> </w:t>
      </w:r>
      <w:r>
        <w:rPr>
          <w:sz w:val="24"/>
        </w:rPr>
        <w:t>from</w:t>
      </w:r>
      <w:r>
        <w:rPr>
          <w:spacing w:val="-5"/>
          <w:sz w:val="24"/>
        </w:rPr>
        <w:t> </w:t>
      </w:r>
      <w:r>
        <w:rPr>
          <w:sz w:val="24"/>
        </w:rPr>
        <w:t>the</w:t>
      </w:r>
      <w:r>
        <w:rPr>
          <w:spacing w:val="-4"/>
          <w:sz w:val="24"/>
        </w:rPr>
        <w:t> </w:t>
      </w:r>
      <w:r>
        <w:rPr>
          <w:sz w:val="24"/>
        </w:rPr>
        <w:t>client,</w:t>
      </w:r>
      <w:r>
        <w:rPr>
          <w:spacing w:val="-3"/>
          <w:sz w:val="24"/>
        </w:rPr>
        <w:t> </w:t>
      </w:r>
      <w:r>
        <w:rPr>
          <w:sz w:val="24"/>
        </w:rPr>
        <w:t>the</w:t>
      </w:r>
      <w:r>
        <w:rPr>
          <w:spacing w:val="-4"/>
          <w:sz w:val="24"/>
        </w:rPr>
        <w:t> </w:t>
      </w:r>
      <w:r>
        <w:rPr>
          <w:sz w:val="24"/>
        </w:rPr>
        <w:t>counselor will</w:t>
      </w:r>
      <w:r>
        <w:rPr>
          <w:spacing w:val="-2"/>
          <w:sz w:val="24"/>
        </w:rPr>
        <w:t> </w:t>
      </w:r>
      <w:r>
        <w:rPr>
          <w:sz w:val="24"/>
        </w:rPr>
        <w:t>document</w:t>
      </w:r>
      <w:r>
        <w:rPr>
          <w:spacing w:val="-1"/>
          <w:sz w:val="24"/>
        </w:rPr>
        <w:t> </w:t>
      </w:r>
      <w:r>
        <w:rPr>
          <w:sz w:val="24"/>
        </w:rPr>
        <w:t>the</w:t>
      </w:r>
      <w:r>
        <w:rPr>
          <w:spacing w:val="-2"/>
          <w:sz w:val="24"/>
        </w:rPr>
        <w:t> </w:t>
      </w:r>
      <w:r>
        <w:rPr>
          <w:sz w:val="24"/>
        </w:rPr>
        <w:t>employment,</w:t>
      </w:r>
      <w:r>
        <w:rPr>
          <w:spacing w:val="-1"/>
          <w:sz w:val="24"/>
        </w:rPr>
        <w:t> </w:t>
      </w:r>
      <w:r>
        <w:rPr>
          <w:sz w:val="24"/>
        </w:rPr>
        <w:t>type</w:t>
      </w:r>
      <w:r>
        <w:rPr>
          <w:spacing w:val="-2"/>
          <w:sz w:val="24"/>
        </w:rPr>
        <w:t> </w:t>
      </w:r>
      <w:r>
        <w:rPr>
          <w:sz w:val="24"/>
        </w:rPr>
        <w:t>of</w:t>
      </w:r>
      <w:r>
        <w:rPr>
          <w:spacing w:val="-1"/>
          <w:sz w:val="24"/>
        </w:rPr>
        <w:t> </w:t>
      </w:r>
      <w:r>
        <w:rPr>
          <w:sz w:val="24"/>
        </w:rPr>
        <w:t>employment</w:t>
      </w:r>
      <w:r>
        <w:rPr>
          <w:spacing w:val="-1"/>
          <w:sz w:val="24"/>
        </w:rPr>
        <w:t> </w:t>
      </w:r>
      <w:r>
        <w:rPr>
          <w:sz w:val="24"/>
        </w:rPr>
        <w:t>(i.e.</w:t>
      </w:r>
      <w:r>
        <w:rPr>
          <w:spacing w:val="-1"/>
          <w:sz w:val="24"/>
        </w:rPr>
        <w:t> </w:t>
      </w:r>
      <w:r>
        <w:rPr>
          <w:sz w:val="24"/>
        </w:rPr>
        <w:t>cook,</w:t>
      </w:r>
      <w:r>
        <w:rPr>
          <w:spacing w:val="-1"/>
          <w:sz w:val="24"/>
        </w:rPr>
        <w:t> </w:t>
      </w:r>
      <w:r>
        <w:rPr>
          <w:sz w:val="24"/>
        </w:rPr>
        <w:t>housekeeper, lawyer) employer name and address, hourly/weekly wages and benefits including by what</w:t>
      </w:r>
    </w:p>
    <w:p>
      <w:pPr>
        <w:pStyle w:val="ListParagraph"/>
        <w:spacing w:after="0" w:line="208" w:lineRule="auto"/>
        <w:jc w:val="both"/>
        <w:rPr>
          <w:sz w:val="24"/>
        </w:rPr>
        <w:sectPr>
          <w:pgSz w:w="12240" w:h="15840"/>
          <w:pgMar w:top="1340" w:bottom="280" w:left="1080" w:right="720"/>
        </w:sectPr>
      </w:pPr>
    </w:p>
    <w:p>
      <w:pPr>
        <w:pStyle w:val="BodyText"/>
        <w:spacing w:line="208" w:lineRule="auto" w:before="96"/>
        <w:ind w:left="720" w:right="1673"/>
      </w:pPr>
      <w:r>
        <w:rPr/>
        <w:t>means</w:t>
      </w:r>
      <w:r>
        <w:rPr>
          <w:spacing w:val="-4"/>
        </w:rPr>
        <w:t> </w:t>
      </w:r>
      <w:r>
        <w:rPr/>
        <w:t>the</w:t>
      </w:r>
      <w:r>
        <w:rPr>
          <w:spacing w:val="-5"/>
        </w:rPr>
        <w:t> </w:t>
      </w:r>
      <w:r>
        <w:rPr/>
        <w:t>employment</w:t>
      </w:r>
      <w:r>
        <w:rPr>
          <w:spacing w:val="-3"/>
        </w:rPr>
        <w:t> </w:t>
      </w:r>
      <w:r>
        <w:rPr/>
        <w:t>was</w:t>
      </w:r>
      <w:r>
        <w:rPr>
          <w:spacing w:val="-4"/>
        </w:rPr>
        <w:t> </w:t>
      </w:r>
      <w:r>
        <w:rPr/>
        <w:t>discovered</w:t>
      </w:r>
      <w:r>
        <w:rPr>
          <w:spacing w:val="-4"/>
        </w:rPr>
        <w:t> </w:t>
      </w:r>
      <w:r>
        <w:rPr/>
        <w:t>and</w:t>
      </w:r>
      <w:r>
        <w:rPr>
          <w:spacing w:val="-3"/>
        </w:rPr>
        <w:t> </w:t>
      </w:r>
      <w:r>
        <w:rPr/>
        <w:t>the</w:t>
      </w:r>
      <w:r>
        <w:rPr>
          <w:spacing w:val="-4"/>
        </w:rPr>
        <w:t> </w:t>
      </w:r>
      <w:r>
        <w:rPr/>
        <w:t>date</w:t>
      </w:r>
      <w:r>
        <w:rPr>
          <w:spacing w:val="-4"/>
        </w:rPr>
        <w:t> </w:t>
      </w:r>
      <w:r>
        <w:rPr/>
        <w:t>of</w:t>
      </w:r>
      <w:r>
        <w:rPr>
          <w:spacing w:val="-5"/>
        </w:rPr>
        <w:t> </w:t>
      </w:r>
      <w:r>
        <w:rPr/>
        <w:t>the</w:t>
      </w:r>
      <w:r>
        <w:rPr>
          <w:spacing w:val="-4"/>
        </w:rPr>
        <w:t> </w:t>
      </w:r>
      <w:r>
        <w:rPr/>
        <w:t>discovery</w:t>
      </w:r>
      <w:r>
        <w:rPr>
          <w:spacing w:val="-4"/>
        </w:rPr>
        <w:t> </w:t>
      </w:r>
      <w:r>
        <w:rPr/>
        <w:t>of </w:t>
      </w:r>
      <w:r>
        <w:rPr>
          <w:spacing w:val="-2"/>
        </w:rPr>
        <w:t>employment.</w:t>
      </w:r>
    </w:p>
    <w:p>
      <w:pPr>
        <w:pStyle w:val="ListParagraph"/>
        <w:numPr>
          <w:ilvl w:val="1"/>
          <w:numId w:val="146"/>
        </w:numPr>
        <w:tabs>
          <w:tab w:pos="1146" w:val="left" w:leader="none"/>
        </w:tabs>
        <w:spacing w:line="208" w:lineRule="auto" w:before="240" w:after="0"/>
        <w:ind w:left="720" w:right="939" w:firstLine="0"/>
        <w:jc w:val="left"/>
        <w:rPr>
          <w:sz w:val="24"/>
        </w:rPr>
      </w:pPr>
      <w:r>
        <w:rPr>
          <w:sz w:val="24"/>
        </w:rPr>
        <w:t>Attempts</w:t>
      </w:r>
      <w:r>
        <w:rPr>
          <w:spacing w:val="-4"/>
          <w:sz w:val="24"/>
        </w:rPr>
        <w:t> </w:t>
      </w:r>
      <w:r>
        <w:rPr>
          <w:sz w:val="24"/>
        </w:rPr>
        <w:t>to</w:t>
      </w:r>
      <w:r>
        <w:rPr>
          <w:spacing w:val="-5"/>
          <w:sz w:val="24"/>
        </w:rPr>
        <w:t> </w:t>
      </w:r>
      <w:r>
        <w:rPr>
          <w:sz w:val="24"/>
        </w:rPr>
        <w:t>obtain</w:t>
      </w:r>
      <w:r>
        <w:rPr>
          <w:spacing w:val="-4"/>
          <w:sz w:val="24"/>
        </w:rPr>
        <w:t> </w:t>
      </w:r>
      <w:r>
        <w:rPr>
          <w:sz w:val="24"/>
        </w:rPr>
        <w:t>verification</w:t>
      </w:r>
      <w:r>
        <w:rPr>
          <w:spacing w:val="-4"/>
          <w:sz w:val="24"/>
        </w:rPr>
        <w:t> </w:t>
      </w:r>
      <w:r>
        <w:rPr>
          <w:sz w:val="24"/>
        </w:rPr>
        <w:t>of</w:t>
      </w:r>
      <w:r>
        <w:rPr>
          <w:spacing w:val="-3"/>
          <w:sz w:val="24"/>
        </w:rPr>
        <w:t> </w:t>
      </w:r>
      <w:r>
        <w:rPr>
          <w:sz w:val="24"/>
        </w:rPr>
        <w:t>employment</w:t>
      </w:r>
      <w:r>
        <w:rPr>
          <w:spacing w:val="-3"/>
          <w:sz w:val="24"/>
        </w:rPr>
        <w:t> </w:t>
      </w:r>
      <w:r>
        <w:rPr>
          <w:sz w:val="24"/>
        </w:rPr>
        <w:t>earnings</w:t>
      </w:r>
      <w:r>
        <w:rPr>
          <w:spacing w:val="-4"/>
          <w:sz w:val="24"/>
        </w:rPr>
        <w:t> </w:t>
      </w:r>
      <w:r>
        <w:rPr>
          <w:sz w:val="24"/>
        </w:rPr>
        <w:t>will</w:t>
      </w:r>
      <w:r>
        <w:rPr>
          <w:spacing w:val="-4"/>
          <w:sz w:val="24"/>
        </w:rPr>
        <w:t> </w:t>
      </w:r>
      <w:r>
        <w:rPr>
          <w:sz w:val="24"/>
        </w:rPr>
        <w:t>be</w:t>
      </w:r>
      <w:r>
        <w:rPr>
          <w:spacing w:val="-4"/>
          <w:sz w:val="24"/>
        </w:rPr>
        <w:t> </w:t>
      </w:r>
      <w:r>
        <w:rPr>
          <w:sz w:val="24"/>
        </w:rPr>
        <w:t>documented</w:t>
      </w:r>
      <w:r>
        <w:rPr>
          <w:spacing w:val="-4"/>
          <w:sz w:val="24"/>
        </w:rPr>
        <w:t> </w:t>
      </w:r>
      <w:r>
        <w:rPr>
          <w:sz w:val="24"/>
        </w:rPr>
        <w:t>in</w:t>
      </w:r>
      <w:r>
        <w:rPr>
          <w:spacing w:val="-4"/>
          <w:sz w:val="24"/>
        </w:rPr>
        <w:t> </w:t>
      </w:r>
      <w:r>
        <w:rPr>
          <w:sz w:val="24"/>
        </w:rPr>
        <w:t>a case note including the reason as to why this verification was not forthcoming.</w:t>
      </w:r>
    </w:p>
    <w:p>
      <w:pPr>
        <w:pStyle w:val="BodyText"/>
        <w:spacing w:before="210"/>
      </w:pPr>
      <w:r>
        <w:rPr/>
        <w:t>Instructions</w:t>
      </w:r>
      <w:r>
        <w:rPr>
          <w:spacing w:val="-5"/>
        </w:rPr>
        <w:t> </w:t>
      </w:r>
      <w:r>
        <w:rPr/>
        <w:t>to</w:t>
      </w:r>
      <w:r>
        <w:rPr>
          <w:spacing w:val="-2"/>
        </w:rPr>
        <w:t> </w:t>
      </w:r>
      <w:r>
        <w:rPr>
          <w:spacing w:val="-4"/>
        </w:rPr>
        <w:t>Staff</w:t>
      </w:r>
    </w:p>
    <w:p>
      <w:pPr>
        <w:pStyle w:val="Heading2"/>
        <w:numPr>
          <w:ilvl w:val="0"/>
          <w:numId w:val="147"/>
        </w:numPr>
        <w:tabs>
          <w:tab w:pos="693" w:val="left" w:leader="none"/>
        </w:tabs>
        <w:spacing w:line="240" w:lineRule="auto" w:before="238" w:after="0"/>
        <w:ind w:left="693" w:right="0" w:hanging="333"/>
        <w:jc w:val="left"/>
        <w:rPr>
          <w:b w:val="0"/>
        </w:rPr>
      </w:pPr>
      <w:r>
        <w:rPr/>
        <w:t>Supported</w:t>
      </w:r>
      <w:r>
        <w:rPr>
          <w:spacing w:val="-6"/>
        </w:rPr>
        <w:t> </w:t>
      </w:r>
      <w:r>
        <w:rPr>
          <w:spacing w:val="-2"/>
        </w:rPr>
        <w:t>Employment</w:t>
      </w:r>
    </w:p>
    <w:p>
      <w:pPr>
        <w:pStyle w:val="BodyText"/>
        <w:spacing w:before="261"/>
        <w:ind w:right="775"/>
      </w:pPr>
      <w:r>
        <w:rPr/>
        <w:t>The</w:t>
      </w:r>
      <w:r>
        <w:rPr>
          <w:spacing w:val="-3"/>
        </w:rPr>
        <w:t> </w:t>
      </w:r>
      <w:r>
        <w:rPr/>
        <w:t>individual</w:t>
      </w:r>
      <w:r>
        <w:rPr>
          <w:spacing w:val="-3"/>
        </w:rPr>
        <w:t> </w:t>
      </w:r>
      <w:r>
        <w:rPr/>
        <w:t>has</w:t>
      </w:r>
      <w:r>
        <w:rPr>
          <w:spacing w:val="-3"/>
        </w:rPr>
        <w:t> </w:t>
      </w:r>
      <w:r>
        <w:rPr/>
        <w:t>been</w:t>
      </w:r>
      <w:r>
        <w:rPr>
          <w:spacing w:val="-3"/>
        </w:rPr>
        <w:t> </w:t>
      </w:r>
      <w:r>
        <w:rPr/>
        <w:t>employed</w:t>
      </w:r>
      <w:r>
        <w:rPr>
          <w:spacing w:val="-3"/>
        </w:rPr>
        <w:t> </w:t>
      </w:r>
      <w:r>
        <w:rPr/>
        <w:t>in</w:t>
      </w:r>
      <w:r>
        <w:rPr>
          <w:spacing w:val="-3"/>
        </w:rPr>
        <w:t> </w:t>
      </w:r>
      <w:r>
        <w:rPr/>
        <w:t>a</w:t>
      </w:r>
      <w:r>
        <w:rPr>
          <w:spacing w:val="-3"/>
        </w:rPr>
        <w:t> </w:t>
      </w:r>
      <w:r>
        <w:rPr/>
        <w:t>permanent</w:t>
      </w:r>
      <w:r>
        <w:rPr>
          <w:spacing w:val="-2"/>
        </w:rPr>
        <w:t> </w:t>
      </w:r>
      <w:r>
        <w:rPr/>
        <w:t>job</w:t>
      </w:r>
      <w:r>
        <w:rPr>
          <w:spacing w:val="-2"/>
        </w:rPr>
        <w:t> </w:t>
      </w:r>
      <w:r>
        <w:rPr/>
        <w:t>and</w:t>
      </w:r>
      <w:r>
        <w:rPr>
          <w:spacing w:val="-3"/>
        </w:rPr>
        <w:t> </w:t>
      </w:r>
      <w:r>
        <w:rPr/>
        <w:t>has</w:t>
      </w:r>
      <w:r>
        <w:rPr>
          <w:spacing w:val="-3"/>
        </w:rPr>
        <w:t> </w:t>
      </w:r>
      <w:r>
        <w:rPr/>
        <w:t>worked</w:t>
      </w:r>
      <w:r>
        <w:rPr>
          <w:spacing w:val="-3"/>
        </w:rPr>
        <w:t> </w:t>
      </w:r>
      <w:r>
        <w:rPr/>
        <w:t>a</w:t>
      </w:r>
      <w:r>
        <w:rPr>
          <w:spacing w:val="-3"/>
        </w:rPr>
        <w:t> </w:t>
      </w:r>
      <w:r>
        <w:rPr/>
        <w:t>minimum</w:t>
      </w:r>
      <w:r>
        <w:rPr>
          <w:spacing w:val="-2"/>
        </w:rPr>
        <w:t> </w:t>
      </w:r>
      <w:r>
        <w:rPr/>
        <w:t>of ninety (90) calendar days beyond completing the stabilization milestone.</w:t>
      </w:r>
    </w:p>
    <w:p>
      <w:pPr>
        <w:pStyle w:val="BodyText"/>
        <w:ind w:right="727"/>
      </w:pPr>
      <w:r>
        <w:rPr/>
        <w:t>The</w:t>
      </w:r>
      <w:r>
        <w:rPr>
          <w:spacing w:val="-4"/>
        </w:rPr>
        <w:t> </w:t>
      </w:r>
      <w:r>
        <w:rPr/>
        <w:t>Contractor</w:t>
      </w:r>
      <w:r>
        <w:rPr>
          <w:spacing w:val="-3"/>
        </w:rPr>
        <w:t> </w:t>
      </w:r>
      <w:r>
        <w:rPr/>
        <w:t>has</w:t>
      </w:r>
      <w:r>
        <w:rPr>
          <w:spacing w:val="-4"/>
        </w:rPr>
        <w:t> </w:t>
      </w:r>
      <w:r>
        <w:rPr/>
        <w:t>provided</w:t>
      </w:r>
      <w:r>
        <w:rPr>
          <w:spacing w:val="-4"/>
        </w:rPr>
        <w:t> </w:t>
      </w:r>
      <w:r>
        <w:rPr/>
        <w:t>all</w:t>
      </w:r>
      <w:r>
        <w:rPr>
          <w:spacing w:val="-4"/>
        </w:rPr>
        <w:t> </w:t>
      </w:r>
      <w:r>
        <w:rPr/>
        <w:t>appropriate</w:t>
      </w:r>
      <w:r>
        <w:rPr>
          <w:spacing w:val="-4"/>
        </w:rPr>
        <w:t> </w:t>
      </w:r>
      <w:r>
        <w:rPr/>
        <w:t>training</w:t>
      </w:r>
      <w:r>
        <w:rPr>
          <w:spacing w:val="-4"/>
        </w:rPr>
        <w:t> </w:t>
      </w:r>
      <w:r>
        <w:rPr/>
        <w:t>and</w:t>
      </w:r>
      <w:r>
        <w:rPr>
          <w:spacing w:val="-3"/>
        </w:rPr>
        <w:t> </w:t>
      </w:r>
      <w:r>
        <w:rPr/>
        <w:t>support</w:t>
      </w:r>
      <w:r>
        <w:rPr>
          <w:spacing w:val="-3"/>
        </w:rPr>
        <w:t> </w:t>
      </w:r>
      <w:r>
        <w:rPr/>
        <w:t>services,</w:t>
      </w:r>
      <w:r>
        <w:rPr>
          <w:spacing w:val="-3"/>
        </w:rPr>
        <w:t> </w:t>
      </w:r>
      <w:r>
        <w:rPr/>
        <w:t>and</w:t>
      </w:r>
      <w:r>
        <w:rPr>
          <w:spacing w:val="-4"/>
        </w:rPr>
        <w:t> </w:t>
      </w:r>
      <w:r>
        <w:rPr/>
        <w:t>extended services are in place. The employer is satisfied with the individual’s job performance, and the individual is satisfied with the job.</w:t>
      </w:r>
    </w:p>
    <w:p>
      <w:pPr>
        <w:pStyle w:val="BodyText"/>
        <w:spacing w:line="208" w:lineRule="auto" w:before="236"/>
        <w:ind w:right="727"/>
      </w:pPr>
      <w:r>
        <w:rPr/>
        <w:t>Only</w:t>
      </w:r>
      <w:r>
        <w:rPr>
          <w:spacing w:val="-3"/>
        </w:rPr>
        <w:t> </w:t>
      </w:r>
      <w:r>
        <w:rPr/>
        <w:t>weeks</w:t>
      </w:r>
      <w:r>
        <w:rPr>
          <w:spacing w:val="-3"/>
        </w:rPr>
        <w:t> </w:t>
      </w:r>
      <w:r>
        <w:rPr/>
        <w:t>where</w:t>
      </w:r>
      <w:r>
        <w:rPr>
          <w:spacing w:val="-3"/>
        </w:rPr>
        <w:t> </w:t>
      </w:r>
      <w:r>
        <w:rPr/>
        <w:t>the</w:t>
      </w:r>
      <w:r>
        <w:rPr>
          <w:spacing w:val="-3"/>
        </w:rPr>
        <w:t> </w:t>
      </w:r>
      <w:r>
        <w:rPr/>
        <w:t>hours</w:t>
      </w:r>
      <w:r>
        <w:rPr>
          <w:spacing w:val="-3"/>
        </w:rPr>
        <w:t> </w:t>
      </w:r>
      <w:r>
        <w:rPr/>
        <w:t>worked</w:t>
      </w:r>
      <w:r>
        <w:rPr>
          <w:spacing w:val="-3"/>
        </w:rPr>
        <w:t> </w:t>
      </w:r>
      <w:r>
        <w:rPr/>
        <w:t>meet</w:t>
      </w:r>
      <w:r>
        <w:rPr>
          <w:spacing w:val="-4"/>
        </w:rPr>
        <w:t> </w:t>
      </w:r>
      <w:r>
        <w:rPr/>
        <w:t>the</w:t>
      </w:r>
      <w:r>
        <w:rPr>
          <w:spacing w:val="-3"/>
        </w:rPr>
        <w:t> </w:t>
      </w:r>
      <w:r>
        <w:rPr/>
        <w:t>weekly</w:t>
      </w:r>
      <w:r>
        <w:rPr>
          <w:spacing w:val="-2"/>
        </w:rPr>
        <w:t> </w:t>
      </w:r>
      <w:r>
        <w:rPr/>
        <w:t>work</w:t>
      </w:r>
      <w:r>
        <w:rPr>
          <w:spacing w:val="-3"/>
        </w:rPr>
        <w:t> </w:t>
      </w:r>
      <w:r>
        <w:rPr/>
        <w:t>goal,</w:t>
      </w:r>
      <w:r>
        <w:rPr>
          <w:spacing w:val="-2"/>
        </w:rPr>
        <w:t> </w:t>
      </w:r>
      <w:r>
        <w:rPr/>
        <w:t>as</w:t>
      </w:r>
      <w:r>
        <w:rPr>
          <w:spacing w:val="-3"/>
        </w:rPr>
        <w:t> </w:t>
      </w:r>
      <w:r>
        <w:rPr/>
        <w:t>identified</w:t>
      </w:r>
      <w:r>
        <w:rPr>
          <w:spacing w:val="-3"/>
        </w:rPr>
        <w:t> </w:t>
      </w:r>
      <w:r>
        <w:rPr/>
        <w:t>in</w:t>
      </w:r>
      <w:r>
        <w:rPr>
          <w:spacing w:val="-3"/>
        </w:rPr>
        <w:t> </w:t>
      </w:r>
      <w:r>
        <w:rPr/>
        <w:t>the</w:t>
      </w:r>
      <w:r>
        <w:rPr>
          <w:spacing w:val="-3"/>
        </w:rPr>
        <w:t> </w:t>
      </w:r>
      <w:r>
        <w:rPr/>
        <w:t>IPE, are counted toward the required ninety (90) calendar days.</w:t>
      </w:r>
    </w:p>
    <w:p>
      <w:pPr>
        <w:pStyle w:val="BodyText"/>
        <w:spacing w:line="208" w:lineRule="auto"/>
        <w:ind w:right="775"/>
      </w:pPr>
      <w:r>
        <w:rPr/>
        <w:t>Please refer to the Employment Support Services webpage from the OKDRS website located at </w:t>
      </w:r>
      <w:hyperlink r:id="rId50">
        <w:r>
          <w:rPr>
            <w:color w:val="006FC0"/>
            <w:u w:val="single" w:color="006FC0"/>
          </w:rPr>
          <w:t>https://www.okdrs.gov/ESS/SEC</w:t>
        </w:r>
      </w:hyperlink>
      <w:r>
        <w:rPr>
          <w:color w:val="006FC0"/>
          <w:u w:val="none"/>
        </w:rPr>
        <w:t> </w:t>
      </w:r>
      <w:r>
        <w:rPr>
          <w:u w:val="none"/>
        </w:rPr>
        <w:t>to access the SE contract for Milestone categories,</w:t>
      </w:r>
      <w:r>
        <w:rPr>
          <w:spacing w:val="-4"/>
          <w:u w:val="none"/>
        </w:rPr>
        <w:t> </w:t>
      </w:r>
      <w:r>
        <w:rPr>
          <w:u w:val="none"/>
        </w:rPr>
        <w:t>rates,</w:t>
      </w:r>
      <w:r>
        <w:rPr>
          <w:spacing w:val="-6"/>
          <w:u w:val="none"/>
        </w:rPr>
        <w:t> </w:t>
      </w:r>
      <w:r>
        <w:rPr>
          <w:u w:val="none"/>
        </w:rPr>
        <w:t>required</w:t>
      </w:r>
      <w:r>
        <w:rPr>
          <w:spacing w:val="-5"/>
          <w:u w:val="none"/>
        </w:rPr>
        <w:t> </w:t>
      </w:r>
      <w:r>
        <w:rPr>
          <w:u w:val="none"/>
        </w:rPr>
        <w:t>documentation</w:t>
      </w:r>
      <w:r>
        <w:rPr>
          <w:spacing w:val="-5"/>
          <w:u w:val="none"/>
        </w:rPr>
        <w:t> </w:t>
      </w:r>
      <w:r>
        <w:rPr>
          <w:u w:val="none"/>
        </w:rPr>
        <w:t>for</w:t>
      </w:r>
      <w:r>
        <w:rPr>
          <w:spacing w:val="-4"/>
          <w:u w:val="none"/>
        </w:rPr>
        <w:t> </w:t>
      </w:r>
      <w:r>
        <w:rPr>
          <w:u w:val="none"/>
        </w:rPr>
        <w:t>payment,</w:t>
      </w:r>
      <w:r>
        <w:rPr>
          <w:spacing w:val="-6"/>
          <w:u w:val="none"/>
        </w:rPr>
        <w:t> </w:t>
      </w:r>
      <w:r>
        <w:rPr>
          <w:u w:val="none"/>
        </w:rPr>
        <w:t>and</w:t>
      </w:r>
      <w:r>
        <w:rPr>
          <w:spacing w:val="-5"/>
          <w:u w:val="none"/>
        </w:rPr>
        <w:t> </w:t>
      </w:r>
      <w:r>
        <w:rPr>
          <w:u w:val="none"/>
        </w:rPr>
        <w:t>other</w:t>
      </w:r>
      <w:r>
        <w:rPr>
          <w:spacing w:val="-4"/>
          <w:u w:val="none"/>
        </w:rPr>
        <w:t> </w:t>
      </w:r>
      <w:r>
        <w:rPr>
          <w:u w:val="none"/>
        </w:rPr>
        <w:t>contract</w:t>
      </w:r>
      <w:r>
        <w:rPr>
          <w:spacing w:val="-4"/>
          <w:u w:val="none"/>
        </w:rPr>
        <w:t> </w:t>
      </w:r>
      <w:r>
        <w:rPr>
          <w:u w:val="none"/>
        </w:rPr>
        <w:t>information.</w:t>
      </w:r>
    </w:p>
    <w:p>
      <w:pPr>
        <w:pStyle w:val="Heading2"/>
        <w:numPr>
          <w:ilvl w:val="0"/>
          <w:numId w:val="147"/>
        </w:numPr>
        <w:tabs>
          <w:tab w:pos="693" w:val="left" w:leader="none"/>
        </w:tabs>
        <w:spacing w:line="240" w:lineRule="auto" w:before="210" w:after="0"/>
        <w:ind w:left="693" w:right="0" w:hanging="333"/>
        <w:jc w:val="left"/>
      </w:pPr>
      <w:r>
        <w:rPr/>
        <w:t>Employment</w:t>
      </w:r>
      <w:r>
        <w:rPr>
          <w:spacing w:val="-4"/>
        </w:rPr>
        <w:t> </w:t>
      </w:r>
      <w:r>
        <w:rPr/>
        <w:t>and</w:t>
      </w:r>
      <w:r>
        <w:rPr>
          <w:spacing w:val="-5"/>
        </w:rPr>
        <w:t> </w:t>
      </w:r>
      <w:r>
        <w:rPr>
          <w:spacing w:val="-2"/>
        </w:rPr>
        <w:t>Retention</w:t>
      </w:r>
    </w:p>
    <w:p>
      <w:pPr>
        <w:pStyle w:val="BodyText"/>
        <w:spacing w:line="208" w:lineRule="auto" w:before="234"/>
        <w:ind w:right="775"/>
      </w:pPr>
      <w:r>
        <w:rPr/>
        <w:t>The</w:t>
      </w:r>
      <w:r>
        <w:rPr>
          <w:spacing w:val="-3"/>
        </w:rPr>
        <w:t> </w:t>
      </w:r>
      <w:r>
        <w:rPr/>
        <w:t>individual</w:t>
      </w:r>
      <w:r>
        <w:rPr>
          <w:spacing w:val="-3"/>
        </w:rPr>
        <w:t> </w:t>
      </w:r>
      <w:r>
        <w:rPr/>
        <w:t>has</w:t>
      </w:r>
      <w:r>
        <w:rPr>
          <w:spacing w:val="-3"/>
        </w:rPr>
        <w:t> </w:t>
      </w:r>
      <w:r>
        <w:rPr/>
        <w:t>been</w:t>
      </w:r>
      <w:r>
        <w:rPr>
          <w:spacing w:val="-3"/>
        </w:rPr>
        <w:t> </w:t>
      </w:r>
      <w:r>
        <w:rPr/>
        <w:t>employed</w:t>
      </w:r>
      <w:r>
        <w:rPr>
          <w:spacing w:val="-3"/>
        </w:rPr>
        <w:t> </w:t>
      </w:r>
      <w:r>
        <w:rPr/>
        <w:t>in</w:t>
      </w:r>
      <w:r>
        <w:rPr>
          <w:spacing w:val="-3"/>
        </w:rPr>
        <w:t> </w:t>
      </w:r>
      <w:r>
        <w:rPr/>
        <w:t>a</w:t>
      </w:r>
      <w:r>
        <w:rPr>
          <w:spacing w:val="-3"/>
        </w:rPr>
        <w:t> </w:t>
      </w:r>
      <w:r>
        <w:rPr/>
        <w:t>permanent</w:t>
      </w:r>
      <w:r>
        <w:rPr>
          <w:spacing w:val="-2"/>
        </w:rPr>
        <w:t> </w:t>
      </w:r>
      <w:r>
        <w:rPr/>
        <w:t>job</w:t>
      </w:r>
      <w:r>
        <w:rPr>
          <w:spacing w:val="-2"/>
        </w:rPr>
        <w:t> </w:t>
      </w:r>
      <w:r>
        <w:rPr/>
        <w:t>and</w:t>
      </w:r>
      <w:r>
        <w:rPr>
          <w:spacing w:val="-3"/>
        </w:rPr>
        <w:t> </w:t>
      </w:r>
      <w:r>
        <w:rPr/>
        <w:t>has</w:t>
      </w:r>
      <w:r>
        <w:rPr>
          <w:spacing w:val="-3"/>
        </w:rPr>
        <w:t> </w:t>
      </w:r>
      <w:r>
        <w:rPr/>
        <w:t>worked</w:t>
      </w:r>
      <w:r>
        <w:rPr>
          <w:spacing w:val="-3"/>
        </w:rPr>
        <w:t> </w:t>
      </w:r>
      <w:r>
        <w:rPr/>
        <w:t>a</w:t>
      </w:r>
      <w:r>
        <w:rPr>
          <w:spacing w:val="-3"/>
        </w:rPr>
        <w:t> </w:t>
      </w:r>
      <w:r>
        <w:rPr/>
        <w:t>minimum</w:t>
      </w:r>
      <w:r>
        <w:rPr>
          <w:spacing w:val="-2"/>
        </w:rPr>
        <w:t> </w:t>
      </w:r>
      <w:r>
        <w:rPr/>
        <w:t>of ninety (90) calendar days beyond completion of the R4 Milestone.</w:t>
      </w:r>
    </w:p>
    <w:p>
      <w:pPr>
        <w:pStyle w:val="BodyText"/>
        <w:spacing w:line="208" w:lineRule="auto"/>
        <w:ind w:right="1673"/>
      </w:pPr>
      <w:r>
        <w:rPr/>
        <w:t>The</w:t>
      </w:r>
      <w:r>
        <w:rPr>
          <w:spacing w:val="-5"/>
        </w:rPr>
        <w:t> </w:t>
      </w:r>
      <w:r>
        <w:rPr/>
        <w:t>Contractor</w:t>
      </w:r>
      <w:r>
        <w:rPr>
          <w:spacing w:val="-4"/>
        </w:rPr>
        <w:t> </w:t>
      </w:r>
      <w:r>
        <w:rPr/>
        <w:t>has</w:t>
      </w:r>
      <w:r>
        <w:rPr>
          <w:spacing w:val="-5"/>
        </w:rPr>
        <w:t> </w:t>
      </w:r>
      <w:r>
        <w:rPr/>
        <w:t>provided</w:t>
      </w:r>
      <w:r>
        <w:rPr>
          <w:spacing w:val="-5"/>
        </w:rPr>
        <w:t> </w:t>
      </w:r>
      <w:r>
        <w:rPr/>
        <w:t>all</w:t>
      </w:r>
      <w:r>
        <w:rPr>
          <w:spacing w:val="-5"/>
        </w:rPr>
        <w:t> </w:t>
      </w:r>
      <w:r>
        <w:rPr/>
        <w:t>appropriate</w:t>
      </w:r>
      <w:r>
        <w:rPr>
          <w:spacing w:val="-5"/>
        </w:rPr>
        <w:t> </w:t>
      </w:r>
      <w:r>
        <w:rPr/>
        <w:t>training</w:t>
      </w:r>
      <w:r>
        <w:rPr>
          <w:spacing w:val="-5"/>
        </w:rPr>
        <w:t> </w:t>
      </w:r>
      <w:r>
        <w:rPr/>
        <w:t>and</w:t>
      </w:r>
      <w:r>
        <w:rPr>
          <w:spacing w:val="-4"/>
        </w:rPr>
        <w:t> </w:t>
      </w:r>
      <w:r>
        <w:rPr/>
        <w:t>support</w:t>
      </w:r>
      <w:r>
        <w:rPr>
          <w:spacing w:val="-4"/>
        </w:rPr>
        <w:t> </w:t>
      </w:r>
      <w:r>
        <w:rPr/>
        <w:t>services.</w:t>
      </w:r>
      <w:r>
        <w:rPr>
          <w:spacing w:val="-4"/>
        </w:rPr>
        <w:t> </w:t>
      </w:r>
      <w:r>
        <w:rPr/>
        <w:t>The individual is satisfied with the job.</w:t>
      </w:r>
    </w:p>
    <w:p>
      <w:pPr>
        <w:pStyle w:val="BodyText"/>
        <w:spacing w:line="208" w:lineRule="auto" w:before="239"/>
        <w:ind w:right="775"/>
      </w:pPr>
      <w:r>
        <w:rPr/>
        <w:t>Please refer to the Employment Support Services webpage from the OKDRS website located at </w:t>
      </w:r>
      <w:hyperlink r:id="rId51">
        <w:r>
          <w:rPr>
            <w:color w:val="006FC0"/>
            <w:u w:val="single" w:color="006FC0"/>
          </w:rPr>
          <w:t>https://www.okdrs.gov/ESS/ERC</w:t>
        </w:r>
      </w:hyperlink>
      <w:r>
        <w:rPr>
          <w:color w:val="006FC0"/>
          <w:u w:val="none"/>
        </w:rPr>
        <w:t> </w:t>
      </w:r>
      <w:r>
        <w:rPr>
          <w:u w:val="none"/>
        </w:rPr>
        <w:t>to access the ER contract for Milestone categories,</w:t>
      </w:r>
      <w:r>
        <w:rPr>
          <w:spacing w:val="-4"/>
          <w:u w:val="none"/>
        </w:rPr>
        <w:t> </w:t>
      </w:r>
      <w:r>
        <w:rPr>
          <w:u w:val="none"/>
        </w:rPr>
        <w:t>rates,</w:t>
      </w:r>
      <w:r>
        <w:rPr>
          <w:spacing w:val="-6"/>
          <w:u w:val="none"/>
        </w:rPr>
        <w:t> </w:t>
      </w:r>
      <w:r>
        <w:rPr>
          <w:u w:val="none"/>
        </w:rPr>
        <w:t>required</w:t>
      </w:r>
      <w:r>
        <w:rPr>
          <w:spacing w:val="-5"/>
          <w:u w:val="none"/>
        </w:rPr>
        <w:t> </w:t>
      </w:r>
      <w:r>
        <w:rPr>
          <w:u w:val="none"/>
        </w:rPr>
        <w:t>documentation</w:t>
      </w:r>
      <w:r>
        <w:rPr>
          <w:spacing w:val="-5"/>
          <w:u w:val="none"/>
        </w:rPr>
        <w:t> </w:t>
      </w:r>
      <w:r>
        <w:rPr>
          <w:u w:val="none"/>
        </w:rPr>
        <w:t>for</w:t>
      </w:r>
      <w:r>
        <w:rPr>
          <w:spacing w:val="-4"/>
          <w:u w:val="none"/>
        </w:rPr>
        <w:t> </w:t>
      </w:r>
      <w:r>
        <w:rPr>
          <w:u w:val="none"/>
        </w:rPr>
        <w:t>payment,</w:t>
      </w:r>
      <w:r>
        <w:rPr>
          <w:spacing w:val="-6"/>
          <w:u w:val="none"/>
        </w:rPr>
        <w:t> </w:t>
      </w:r>
      <w:r>
        <w:rPr>
          <w:u w:val="none"/>
        </w:rPr>
        <w:t>and</w:t>
      </w:r>
      <w:r>
        <w:rPr>
          <w:spacing w:val="-5"/>
          <w:u w:val="none"/>
        </w:rPr>
        <w:t> </w:t>
      </w:r>
      <w:r>
        <w:rPr>
          <w:u w:val="none"/>
        </w:rPr>
        <w:t>other</w:t>
      </w:r>
      <w:r>
        <w:rPr>
          <w:spacing w:val="-4"/>
          <w:u w:val="none"/>
        </w:rPr>
        <w:t> </w:t>
      </w:r>
      <w:r>
        <w:rPr>
          <w:u w:val="none"/>
        </w:rPr>
        <w:t>contract</w:t>
      </w:r>
      <w:r>
        <w:rPr>
          <w:spacing w:val="-4"/>
          <w:u w:val="none"/>
        </w:rPr>
        <w:t> </w:t>
      </w:r>
      <w:r>
        <w:rPr>
          <w:u w:val="none"/>
        </w:rPr>
        <w:t>information.</w:t>
      </w:r>
    </w:p>
    <w:p>
      <w:pPr>
        <w:pStyle w:val="ListParagraph"/>
        <w:numPr>
          <w:ilvl w:val="0"/>
          <w:numId w:val="147"/>
        </w:numPr>
        <w:tabs>
          <w:tab w:pos="693" w:val="left" w:leader="none"/>
        </w:tabs>
        <w:spacing w:line="240" w:lineRule="auto" w:before="211" w:after="0"/>
        <w:ind w:left="693" w:right="0" w:hanging="333"/>
        <w:jc w:val="left"/>
        <w:rPr>
          <w:sz w:val="24"/>
        </w:rPr>
      </w:pPr>
      <w:r>
        <w:rPr>
          <w:sz w:val="24"/>
        </w:rPr>
        <w:t>See</w:t>
      </w:r>
      <w:r>
        <w:rPr>
          <w:spacing w:val="-5"/>
          <w:sz w:val="24"/>
        </w:rPr>
        <w:t> </w:t>
      </w:r>
      <w:hyperlink w:history="true" w:anchor="_bookmark17">
        <w:r>
          <w:rPr>
            <w:color w:val="0000FF"/>
            <w:sz w:val="24"/>
            <w:u w:val="single" w:color="0000FF"/>
          </w:rPr>
          <w:t>612:10-7-58</w:t>
        </w:r>
      </w:hyperlink>
      <w:r>
        <w:rPr>
          <w:color w:val="0000FF"/>
          <w:spacing w:val="-4"/>
          <w:sz w:val="24"/>
          <w:u w:val="none"/>
        </w:rPr>
        <w:t> </w:t>
      </w:r>
      <w:r>
        <w:rPr>
          <w:sz w:val="24"/>
          <w:u w:val="none"/>
        </w:rPr>
        <w:t>Closed</w:t>
      </w:r>
      <w:r>
        <w:rPr>
          <w:spacing w:val="-4"/>
          <w:sz w:val="24"/>
          <w:u w:val="none"/>
        </w:rPr>
        <w:t> </w:t>
      </w:r>
      <w:r>
        <w:rPr>
          <w:spacing w:val="-2"/>
          <w:sz w:val="24"/>
          <w:u w:val="none"/>
        </w:rPr>
        <w:t>Rehabilitation.</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7-1-97</w:t>
      </w:r>
      <w:r>
        <w:rPr>
          <w:sz w:val="22"/>
        </w:rPr>
        <w:tab/>
        <w:t>PT Memo #97-9</w:t>
      </w:r>
    </w:p>
    <w:p>
      <w:pPr>
        <w:tabs>
          <w:tab w:pos="1439" w:val="left" w:leader="none"/>
        </w:tabs>
        <w:spacing w:before="0"/>
        <w:ind w:left="359" w:right="3715" w:firstLine="1080"/>
        <w:jc w:val="left"/>
        <w:rPr>
          <w:sz w:val="22"/>
        </w:rPr>
      </w:pPr>
      <w:r>
        <w:rPr>
          <w:sz w:val="22"/>
        </w:rPr>
        <w:t>Permanent,</w:t>
      </w:r>
      <w:r>
        <w:rPr>
          <w:spacing w:val="-9"/>
          <w:sz w:val="22"/>
        </w:rPr>
        <w:t> </w:t>
      </w:r>
      <w:r>
        <w:rPr>
          <w:sz w:val="22"/>
        </w:rPr>
        <w:t>added</w:t>
      </w:r>
      <w:r>
        <w:rPr>
          <w:spacing w:val="-10"/>
          <w:sz w:val="22"/>
        </w:rPr>
        <w:t> </w:t>
      </w:r>
      <w:r>
        <w:rPr>
          <w:sz w:val="22"/>
        </w:rPr>
        <w:t>Supported</w:t>
      </w:r>
      <w:r>
        <w:rPr>
          <w:spacing w:val="-10"/>
          <w:sz w:val="22"/>
        </w:rPr>
        <w:t> </w:t>
      </w:r>
      <w:r>
        <w:rPr>
          <w:sz w:val="22"/>
        </w:rPr>
        <w:t>Employment</w:t>
      </w:r>
      <w:r>
        <w:rPr>
          <w:spacing w:val="-10"/>
          <w:sz w:val="22"/>
        </w:rPr>
        <w:t> </w:t>
      </w:r>
      <w:r>
        <w:rPr>
          <w:sz w:val="22"/>
        </w:rPr>
        <w:t>milestones </w:t>
      </w:r>
      <w:r>
        <w:rPr>
          <w:spacing w:val="-2"/>
          <w:sz w:val="22"/>
        </w:rPr>
        <w:t>10-1-97</w:t>
      </w:r>
      <w:r>
        <w:rPr>
          <w:sz w:val="22"/>
        </w:rPr>
        <w:tab/>
        <w:t>PT Memo #98-4</w:t>
      </w:r>
    </w:p>
    <w:p>
      <w:pPr>
        <w:tabs>
          <w:tab w:pos="1439" w:val="left" w:leader="none"/>
        </w:tabs>
        <w:spacing w:before="0"/>
        <w:ind w:left="359" w:right="1481" w:firstLine="1080"/>
        <w:jc w:val="left"/>
        <w:rPr>
          <w:sz w:val="22"/>
        </w:rPr>
      </w:pPr>
      <w:r>
        <w:rPr>
          <w:sz w:val="22"/>
        </w:rPr>
        <w:t>Emergency,</w:t>
      </w:r>
      <w:r>
        <w:rPr>
          <w:spacing w:val="-5"/>
          <w:sz w:val="22"/>
        </w:rPr>
        <w:t> </w:t>
      </w:r>
      <w:r>
        <w:rPr>
          <w:sz w:val="22"/>
        </w:rPr>
        <w:t>added</w:t>
      </w:r>
      <w:r>
        <w:rPr>
          <w:spacing w:val="-5"/>
          <w:sz w:val="22"/>
        </w:rPr>
        <w:t> </w:t>
      </w:r>
      <w:r>
        <w:rPr>
          <w:sz w:val="22"/>
        </w:rPr>
        <w:t>cross</w:t>
      </w:r>
      <w:r>
        <w:rPr>
          <w:spacing w:val="-5"/>
          <w:sz w:val="22"/>
        </w:rPr>
        <w:t> </w:t>
      </w:r>
      <w:r>
        <w:rPr>
          <w:sz w:val="22"/>
        </w:rPr>
        <w:t>reference</w:t>
      </w:r>
      <w:r>
        <w:rPr>
          <w:spacing w:val="-5"/>
          <w:sz w:val="22"/>
        </w:rPr>
        <w:t> </w:t>
      </w:r>
      <w:r>
        <w:rPr>
          <w:sz w:val="22"/>
        </w:rPr>
        <w:t>to</w:t>
      </w:r>
      <w:r>
        <w:rPr>
          <w:spacing w:val="-5"/>
          <w:sz w:val="22"/>
        </w:rPr>
        <w:t> </w:t>
      </w:r>
      <w:r>
        <w:rPr>
          <w:sz w:val="22"/>
        </w:rPr>
        <w:t>ITS,</w:t>
      </w:r>
      <w:r>
        <w:rPr>
          <w:spacing w:val="-5"/>
          <w:sz w:val="22"/>
        </w:rPr>
        <w:t> </w:t>
      </w:r>
      <w:r>
        <w:rPr>
          <w:sz w:val="22"/>
        </w:rPr>
        <w:t>added</w:t>
      </w:r>
      <w:r>
        <w:rPr>
          <w:spacing w:val="-5"/>
          <w:sz w:val="22"/>
        </w:rPr>
        <w:t> </w:t>
      </w:r>
      <w:r>
        <w:rPr>
          <w:sz w:val="22"/>
        </w:rPr>
        <w:t>"full</w:t>
      </w:r>
      <w:r>
        <w:rPr>
          <w:spacing w:val="-5"/>
          <w:sz w:val="22"/>
        </w:rPr>
        <w:t> </w:t>
      </w:r>
      <w:r>
        <w:rPr>
          <w:sz w:val="22"/>
        </w:rPr>
        <w:t>participation"</w:t>
      </w:r>
      <w:r>
        <w:rPr>
          <w:spacing w:val="-5"/>
          <w:sz w:val="22"/>
        </w:rPr>
        <w:t> </w:t>
      </w:r>
      <w:r>
        <w:rPr>
          <w:sz w:val="22"/>
        </w:rPr>
        <w:t>language </w:t>
      </w:r>
      <w:r>
        <w:rPr>
          <w:spacing w:val="-2"/>
          <w:sz w:val="22"/>
        </w:rPr>
        <w:t>7-1-98</w:t>
      </w:r>
      <w:r>
        <w:rPr>
          <w:sz w:val="22"/>
        </w:rPr>
        <w:tab/>
        <w:t>PT Memo #98-15</w:t>
      </w:r>
    </w:p>
    <w:p>
      <w:pPr>
        <w:spacing w:before="0"/>
        <w:ind w:left="1439" w:right="775" w:firstLine="0"/>
        <w:jc w:val="left"/>
        <w:rPr>
          <w:sz w:val="22"/>
        </w:rPr>
      </w:pPr>
      <w:r>
        <w:rPr>
          <w:sz w:val="22"/>
        </w:rPr>
        <w:t>Permanent</w:t>
      </w:r>
      <w:r>
        <w:rPr>
          <w:spacing w:val="-5"/>
          <w:sz w:val="22"/>
        </w:rPr>
        <w:t> </w:t>
      </w:r>
      <w:r>
        <w:rPr>
          <w:sz w:val="22"/>
        </w:rPr>
        <w:t>rules</w:t>
      </w:r>
      <w:r>
        <w:rPr>
          <w:spacing w:val="-5"/>
          <w:sz w:val="22"/>
        </w:rPr>
        <w:t> </w:t>
      </w:r>
      <w:r>
        <w:rPr>
          <w:sz w:val="22"/>
        </w:rPr>
        <w:t>supersede</w:t>
      </w:r>
      <w:r>
        <w:rPr>
          <w:spacing w:val="-5"/>
          <w:sz w:val="22"/>
        </w:rPr>
        <w:t> </w:t>
      </w:r>
      <w:r>
        <w:rPr>
          <w:sz w:val="22"/>
        </w:rPr>
        <w:t>emergency</w:t>
      </w:r>
      <w:r>
        <w:rPr>
          <w:spacing w:val="-5"/>
          <w:sz w:val="22"/>
        </w:rPr>
        <w:t> </w:t>
      </w:r>
      <w:r>
        <w:rPr>
          <w:sz w:val="22"/>
        </w:rPr>
        <w:t>rules</w:t>
      </w:r>
      <w:r>
        <w:rPr>
          <w:spacing w:val="-6"/>
          <w:sz w:val="22"/>
        </w:rPr>
        <w:t> </w:t>
      </w:r>
      <w:r>
        <w:rPr>
          <w:sz w:val="22"/>
        </w:rPr>
        <w:t>issued</w:t>
      </w:r>
      <w:r>
        <w:rPr>
          <w:spacing w:val="-5"/>
          <w:sz w:val="22"/>
        </w:rPr>
        <w:t> </w:t>
      </w:r>
      <w:r>
        <w:rPr>
          <w:sz w:val="22"/>
        </w:rPr>
        <w:t>10-1-97;</w:t>
      </w:r>
      <w:r>
        <w:rPr>
          <w:spacing w:val="-5"/>
          <w:sz w:val="22"/>
        </w:rPr>
        <w:t> </w:t>
      </w:r>
      <w:r>
        <w:rPr>
          <w:sz w:val="22"/>
        </w:rPr>
        <w:t>suitability</w:t>
      </w:r>
      <w:r>
        <w:rPr>
          <w:spacing w:val="-5"/>
          <w:sz w:val="22"/>
        </w:rPr>
        <w:t> </w:t>
      </w:r>
      <w:r>
        <w:rPr>
          <w:sz w:val="22"/>
        </w:rPr>
        <w:t>of employment decision is made with full participation of consumer and/or </w:t>
      </w:r>
      <w:r>
        <w:rPr>
          <w:spacing w:val="-2"/>
          <w:sz w:val="22"/>
        </w:rPr>
        <w:t>representative</w:t>
      </w:r>
    </w:p>
    <w:p>
      <w:pPr>
        <w:pStyle w:val="ListParagraph"/>
        <w:numPr>
          <w:ilvl w:val="2"/>
          <w:numId w:val="148"/>
        </w:numPr>
        <w:tabs>
          <w:tab w:pos="1439" w:val="left" w:leader="none"/>
        </w:tabs>
        <w:spacing w:line="240" w:lineRule="auto" w:before="1" w:after="0"/>
        <w:ind w:left="1439" w:right="0" w:hanging="1080"/>
        <w:jc w:val="left"/>
        <w:rPr>
          <w:sz w:val="22"/>
        </w:rPr>
      </w:pPr>
      <w:r>
        <w:rPr>
          <w:sz w:val="22"/>
        </w:rPr>
        <w:t>PT</w:t>
      </w:r>
      <w:r>
        <w:rPr>
          <w:spacing w:val="-8"/>
          <w:sz w:val="22"/>
        </w:rPr>
        <w:t> </w:t>
      </w:r>
      <w:r>
        <w:rPr>
          <w:sz w:val="22"/>
        </w:rPr>
        <w:t>Memo</w:t>
      </w:r>
      <w:r>
        <w:rPr>
          <w:spacing w:val="-8"/>
          <w:sz w:val="22"/>
        </w:rPr>
        <w:t> </w:t>
      </w:r>
      <w:r>
        <w:rPr>
          <w:sz w:val="22"/>
        </w:rPr>
        <w:t>#03-</w:t>
      </w:r>
      <w:r>
        <w:rPr>
          <w:spacing w:val="-5"/>
          <w:sz w:val="22"/>
        </w:rPr>
        <w:t>07</w:t>
      </w:r>
    </w:p>
    <w:p>
      <w:pPr>
        <w:pStyle w:val="ListParagraph"/>
        <w:spacing w:after="0" w:line="240" w:lineRule="auto"/>
        <w:jc w:val="left"/>
        <w:rPr>
          <w:sz w:val="22"/>
        </w:rPr>
        <w:sectPr>
          <w:pgSz w:w="12240" w:h="15840"/>
          <w:pgMar w:top="1340" w:bottom="280" w:left="1080" w:right="720"/>
        </w:sectPr>
      </w:pPr>
    </w:p>
    <w:p>
      <w:pPr>
        <w:spacing w:before="80"/>
        <w:ind w:left="1439" w:right="0" w:firstLine="0"/>
        <w:jc w:val="left"/>
        <w:rPr>
          <w:sz w:val="22"/>
        </w:rPr>
      </w:pPr>
      <w:r>
        <w:rPr>
          <w:sz w:val="22"/>
        </w:rPr>
        <w:t>Permanent,</w:t>
      </w:r>
      <w:r>
        <w:rPr>
          <w:spacing w:val="-6"/>
          <w:sz w:val="22"/>
        </w:rPr>
        <w:t> </w:t>
      </w:r>
      <w:r>
        <w:rPr>
          <w:sz w:val="22"/>
        </w:rPr>
        <w:t>added</w:t>
      </w:r>
      <w:r>
        <w:rPr>
          <w:spacing w:val="-7"/>
          <w:sz w:val="22"/>
        </w:rPr>
        <w:t> </w:t>
      </w:r>
      <w:r>
        <w:rPr>
          <w:sz w:val="22"/>
        </w:rPr>
        <w:t>sections</w:t>
      </w:r>
      <w:r>
        <w:rPr>
          <w:spacing w:val="-7"/>
          <w:sz w:val="22"/>
        </w:rPr>
        <w:t> </w:t>
      </w:r>
      <w:r>
        <w:rPr>
          <w:sz w:val="22"/>
        </w:rPr>
        <w:t>b</w:t>
      </w:r>
      <w:r>
        <w:rPr>
          <w:spacing w:val="-6"/>
          <w:sz w:val="22"/>
        </w:rPr>
        <w:t> </w:t>
      </w:r>
      <w:r>
        <w:rPr>
          <w:sz w:val="22"/>
        </w:rPr>
        <w:t>and</w:t>
      </w:r>
      <w:r>
        <w:rPr>
          <w:spacing w:val="-7"/>
          <w:sz w:val="22"/>
        </w:rPr>
        <w:t> </w:t>
      </w:r>
      <w:r>
        <w:rPr>
          <w:spacing w:val="-5"/>
          <w:sz w:val="22"/>
        </w:rPr>
        <w:t>c.</w:t>
      </w:r>
    </w:p>
    <w:p>
      <w:pPr>
        <w:pStyle w:val="ListParagraph"/>
        <w:numPr>
          <w:ilvl w:val="2"/>
          <w:numId w:val="13"/>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#06-</w:t>
      </w:r>
      <w:r>
        <w:rPr>
          <w:spacing w:val="-5"/>
          <w:sz w:val="22"/>
        </w:rPr>
        <w:t>01</w:t>
      </w:r>
    </w:p>
    <w:p>
      <w:pPr>
        <w:spacing w:line="253" w:lineRule="exact" w:before="0"/>
        <w:ind w:left="1439" w:right="0" w:firstLine="0"/>
        <w:jc w:val="left"/>
        <w:rPr>
          <w:sz w:val="22"/>
        </w:rPr>
      </w:pPr>
      <w:r>
        <w:rPr>
          <w:sz w:val="22"/>
        </w:rPr>
        <w:t>Permanent,</w:t>
      </w:r>
      <w:r>
        <w:rPr>
          <w:spacing w:val="-7"/>
          <w:sz w:val="22"/>
        </w:rPr>
        <w:t> </w:t>
      </w:r>
      <w:r>
        <w:rPr>
          <w:sz w:val="22"/>
        </w:rPr>
        <w:t>general</w:t>
      </w:r>
      <w:r>
        <w:rPr>
          <w:spacing w:val="-8"/>
          <w:sz w:val="22"/>
        </w:rPr>
        <w:t> </w:t>
      </w:r>
      <w:r>
        <w:rPr>
          <w:sz w:val="22"/>
        </w:rPr>
        <w:t>cleanup</w:t>
      </w:r>
      <w:r>
        <w:rPr>
          <w:spacing w:val="-8"/>
          <w:sz w:val="22"/>
        </w:rPr>
        <w:t> </w:t>
      </w:r>
      <w:r>
        <w:rPr>
          <w:sz w:val="22"/>
        </w:rPr>
        <w:t>of</w:t>
      </w:r>
      <w:r>
        <w:rPr>
          <w:spacing w:val="-8"/>
          <w:sz w:val="22"/>
        </w:rPr>
        <w:t> </w:t>
      </w:r>
      <w:r>
        <w:rPr>
          <w:spacing w:val="-2"/>
          <w:sz w:val="22"/>
        </w:rPr>
        <w:t>language.</w:t>
      </w:r>
    </w:p>
    <w:p>
      <w:pPr>
        <w:tabs>
          <w:tab w:pos="1439" w:val="left" w:leader="none"/>
        </w:tabs>
        <w:spacing w:before="0"/>
        <w:ind w:left="360" w:right="0" w:firstLine="0"/>
        <w:jc w:val="left"/>
        <w:rPr>
          <w:sz w:val="22"/>
        </w:rPr>
      </w:pPr>
      <w:r>
        <w:rPr>
          <w:spacing w:val="-2"/>
          <w:sz w:val="22"/>
        </w:rPr>
        <w:t>10-1-</w:t>
      </w:r>
      <w:r>
        <w:rPr>
          <w:spacing w:val="-5"/>
          <w:sz w:val="22"/>
        </w:rPr>
        <w:t>07</w:t>
      </w:r>
      <w:r>
        <w:rPr>
          <w:sz w:val="22"/>
        </w:rPr>
        <w:tab/>
        <w:t>PT</w:t>
      </w:r>
      <w:r>
        <w:rPr>
          <w:spacing w:val="-8"/>
          <w:sz w:val="22"/>
        </w:rPr>
        <w:t> </w:t>
      </w:r>
      <w:r>
        <w:rPr>
          <w:sz w:val="22"/>
        </w:rPr>
        <w:t>Memo</w:t>
      </w:r>
      <w:r>
        <w:rPr>
          <w:spacing w:val="-8"/>
          <w:sz w:val="22"/>
        </w:rPr>
        <w:t> </w:t>
      </w:r>
      <w:r>
        <w:rPr>
          <w:sz w:val="22"/>
        </w:rPr>
        <w:t>#08-</w:t>
      </w:r>
      <w:r>
        <w:rPr>
          <w:spacing w:val="-5"/>
          <w:sz w:val="22"/>
        </w:rPr>
        <w:t>02</w:t>
      </w:r>
    </w:p>
    <w:p>
      <w:pPr>
        <w:spacing w:before="0"/>
        <w:ind w:left="1439" w:right="0" w:firstLine="0"/>
        <w:jc w:val="left"/>
        <w:rPr>
          <w:sz w:val="22"/>
        </w:rPr>
      </w:pPr>
      <w:r>
        <w:rPr>
          <w:sz w:val="22"/>
        </w:rPr>
        <w:t>Permanent,</w:t>
      </w:r>
      <w:r>
        <w:rPr>
          <w:spacing w:val="-8"/>
          <w:sz w:val="22"/>
        </w:rPr>
        <w:t> </w:t>
      </w:r>
      <w:r>
        <w:rPr>
          <w:sz w:val="22"/>
        </w:rPr>
        <w:t>AWARE</w:t>
      </w:r>
      <w:r>
        <w:rPr>
          <w:spacing w:val="-8"/>
          <w:sz w:val="22"/>
        </w:rPr>
        <w:t> </w:t>
      </w:r>
      <w:r>
        <w:rPr>
          <w:sz w:val="22"/>
        </w:rPr>
        <w:t>change.</w:t>
      </w:r>
      <w:r>
        <w:rPr>
          <w:spacing w:val="45"/>
          <w:sz w:val="22"/>
        </w:rPr>
        <w:t> </w:t>
      </w:r>
      <w:r>
        <w:rPr>
          <w:sz w:val="22"/>
        </w:rPr>
        <w:t>Removed</w:t>
      </w:r>
      <w:r>
        <w:rPr>
          <w:spacing w:val="-8"/>
          <w:sz w:val="22"/>
        </w:rPr>
        <w:t> </w:t>
      </w:r>
      <w:r>
        <w:rPr>
          <w:sz w:val="22"/>
        </w:rPr>
        <w:t>Status</w:t>
      </w:r>
      <w:r>
        <w:rPr>
          <w:spacing w:val="-8"/>
          <w:sz w:val="22"/>
        </w:rPr>
        <w:t> </w:t>
      </w:r>
      <w:r>
        <w:rPr>
          <w:spacing w:val="-2"/>
          <w:sz w:val="22"/>
        </w:rPr>
        <w:t>numbers.</w:t>
      </w:r>
    </w:p>
    <w:p>
      <w:pPr>
        <w:tabs>
          <w:tab w:pos="1439" w:val="left" w:leader="none"/>
        </w:tabs>
        <w:spacing w:before="1"/>
        <w:ind w:left="360" w:right="0" w:firstLine="0"/>
        <w:jc w:val="left"/>
        <w:rPr>
          <w:sz w:val="22"/>
        </w:rPr>
      </w:pPr>
      <w:r>
        <w:rPr>
          <w:spacing w:val="-2"/>
          <w:sz w:val="22"/>
        </w:rPr>
        <w:t>7-1-</w:t>
      </w:r>
      <w:r>
        <w:rPr>
          <w:spacing w:val="-5"/>
          <w:sz w:val="22"/>
        </w:rPr>
        <w:t>11</w:t>
      </w:r>
      <w:r>
        <w:rPr>
          <w:sz w:val="22"/>
        </w:rPr>
        <w:tab/>
        <w:t>PT</w:t>
      </w:r>
      <w:r>
        <w:rPr>
          <w:spacing w:val="-8"/>
          <w:sz w:val="22"/>
        </w:rPr>
        <w:t> </w:t>
      </w:r>
      <w:r>
        <w:rPr>
          <w:sz w:val="22"/>
        </w:rPr>
        <w:t>Memo</w:t>
      </w:r>
      <w:r>
        <w:rPr>
          <w:spacing w:val="-8"/>
          <w:sz w:val="22"/>
        </w:rPr>
        <w:t> </w:t>
      </w:r>
      <w:r>
        <w:rPr>
          <w:sz w:val="22"/>
        </w:rPr>
        <w:t>#12-</w:t>
      </w:r>
      <w:r>
        <w:rPr>
          <w:spacing w:val="-5"/>
          <w:sz w:val="22"/>
        </w:rPr>
        <w:t>01</w:t>
      </w:r>
    </w:p>
    <w:p>
      <w:pPr>
        <w:spacing w:before="0"/>
        <w:ind w:left="1439" w:right="0" w:firstLine="0"/>
        <w:jc w:val="left"/>
        <w:rPr>
          <w:sz w:val="22"/>
        </w:rPr>
      </w:pPr>
      <w:r>
        <w:rPr>
          <w:sz w:val="22"/>
        </w:rPr>
        <w:t>Permanent,</w:t>
      </w:r>
      <w:r>
        <w:rPr>
          <w:spacing w:val="-4"/>
          <w:sz w:val="22"/>
        </w:rPr>
        <w:t> </w:t>
      </w:r>
      <w:r>
        <w:rPr>
          <w:sz w:val="22"/>
        </w:rPr>
        <w:t>change</w:t>
      </w:r>
      <w:r>
        <w:rPr>
          <w:spacing w:val="-5"/>
          <w:sz w:val="22"/>
        </w:rPr>
        <w:t> </w:t>
      </w:r>
      <w:r>
        <w:rPr>
          <w:sz w:val="22"/>
        </w:rPr>
        <w:t>in</w:t>
      </w:r>
      <w:r>
        <w:rPr>
          <w:spacing w:val="-4"/>
          <w:sz w:val="22"/>
        </w:rPr>
        <w:t> </w:t>
      </w:r>
      <w:r>
        <w:rPr>
          <w:sz w:val="22"/>
        </w:rPr>
        <w:t>(c)</w:t>
      </w:r>
      <w:r>
        <w:rPr>
          <w:spacing w:val="-5"/>
          <w:sz w:val="22"/>
        </w:rPr>
        <w:t> </w:t>
      </w:r>
      <w:r>
        <w:rPr>
          <w:sz w:val="22"/>
        </w:rPr>
        <w:t>from</w:t>
      </w:r>
      <w:r>
        <w:rPr>
          <w:spacing w:val="-5"/>
          <w:sz w:val="22"/>
        </w:rPr>
        <w:t> </w:t>
      </w:r>
      <w:r>
        <w:rPr>
          <w:sz w:val="22"/>
        </w:rPr>
        <w:t>third</w:t>
      </w:r>
      <w:r>
        <w:rPr>
          <w:spacing w:val="-5"/>
          <w:sz w:val="22"/>
        </w:rPr>
        <w:t> </w:t>
      </w:r>
      <w:r>
        <w:rPr>
          <w:sz w:val="22"/>
        </w:rPr>
        <w:t>to</w:t>
      </w:r>
      <w:r>
        <w:rPr>
          <w:spacing w:val="-4"/>
          <w:sz w:val="22"/>
        </w:rPr>
        <w:t> </w:t>
      </w:r>
      <w:r>
        <w:rPr>
          <w:sz w:val="22"/>
        </w:rPr>
        <w:t>fifth</w:t>
      </w:r>
      <w:r>
        <w:rPr>
          <w:spacing w:val="-5"/>
          <w:sz w:val="22"/>
        </w:rPr>
        <w:t> </w:t>
      </w:r>
      <w:r>
        <w:rPr>
          <w:sz w:val="22"/>
        </w:rPr>
        <w:t>day</w:t>
      </w:r>
      <w:r>
        <w:rPr>
          <w:spacing w:val="-4"/>
          <w:sz w:val="22"/>
        </w:rPr>
        <w:t> </w:t>
      </w:r>
      <w:r>
        <w:rPr>
          <w:sz w:val="22"/>
        </w:rPr>
        <w:t>of</w:t>
      </w:r>
      <w:r>
        <w:rPr>
          <w:spacing w:val="-6"/>
          <w:sz w:val="22"/>
        </w:rPr>
        <w:t> </w:t>
      </w:r>
      <w:r>
        <w:rPr>
          <w:spacing w:val="-2"/>
          <w:sz w:val="22"/>
        </w:rPr>
        <w:t>work.</w:t>
      </w:r>
    </w:p>
    <w:p>
      <w:pPr>
        <w:tabs>
          <w:tab w:pos="1439" w:val="left" w:leader="none"/>
        </w:tabs>
        <w:spacing w:before="0"/>
        <w:ind w:left="1439" w:right="744" w:hanging="1080"/>
        <w:jc w:val="left"/>
        <w:rPr>
          <w:sz w:val="22"/>
        </w:rPr>
      </w:pPr>
      <w:r>
        <w:rPr>
          <w:spacing w:val="-2"/>
          <w:sz w:val="22"/>
        </w:rPr>
        <w:t>9-11-17</w:t>
      </w:r>
      <w:r>
        <w:rPr>
          <w:sz w:val="22"/>
        </w:rPr>
        <w:tab/>
        <w:t>Updated</w:t>
      </w:r>
      <w:r>
        <w:rPr>
          <w:spacing w:val="-3"/>
          <w:sz w:val="22"/>
        </w:rPr>
        <w:t> </w:t>
      </w:r>
      <w:r>
        <w:rPr>
          <w:sz w:val="22"/>
        </w:rPr>
        <w:t>language</w:t>
      </w:r>
      <w:r>
        <w:rPr>
          <w:spacing w:val="-3"/>
          <w:sz w:val="22"/>
        </w:rPr>
        <w:t> </w:t>
      </w:r>
      <w:r>
        <w:rPr>
          <w:sz w:val="22"/>
        </w:rPr>
        <w:t>to</w:t>
      </w:r>
      <w:r>
        <w:rPr>
          <w:spacing w:val="-3"/>
          <w:sz w:val="22"/>
        </w:rPr>
        <w:t> </w:t>
      </w:r>
      <w:r>
        <w:rPr>
          <w:sz w:val="22"/>
        </w:rPr>
        <w:t>clarify</w:t>
      </w:r>
      <w:r>
        <w:rPr>
          <w:spacing w:val="-3"/>
          <w:sz w:val="22"/>
        </w:rPr>
        <w:t> </w:t>
      </w:r>
      <w:r>
        <w:rPr>
          <w:sz w:val="22"/>
        </w:rPr>
        <w:t>that</w:t>
      </w:r>
      <w:r>
        <w:rPr>
          <w:spacing w:val="-3"/>
          <w:sz w:val="22"/>
        </w:rPr>
        <w:t> </w:t>
      </w:r>
      <w:r>
        <w:rPr>
          <w:sz w:val="22"/>
        </w:rPr>
        <w:t>an</w:t>
      </w:r>
      <w:r>
        <w:rPr>
          <w:spacing w:val="-3"/>
          <w:sz w:val="22"/>
        </w:rPr>
        <w:t> </w:t>
      </w:r>
      <w:r>
        <w:rPr>
          <w:sz w:val="22"/>
        </w:rPr>
        <w:t>employment</w:t>
      </w:r>
      <w:r>
        <w:rPr>
          <w:spacing w:val="-2"/>
          <w:sz w:val="22"/>
        </w:rPr>
        <w:t> </w:t>
      </w:r>
      <w:r>
        <w:rPr>
          <w:sz w:val="22"/>
        </w:rPr>
        <w:t>outcome</w:t>
      </w:r>
      <w:r>
        <w:rPr>
          <w:spacing w:val="-3"/>
          <w:sz w:val="22"/>
        </w:rPr>
        <w:t> </w:t>
      </w:r>
      <w:r>
        <w:rPr>
          <w:sz w:val="22"/>
        </w:rPr>
        <w:t>for</w:t>
      </w:r>
      <w:r>
        <w:rPr>
          <w:spacing w:val="-3"/>
          <w:sz w:val="22"/>
        </w:rPr>
        <w:t> </w:t>
      </w:r>
      <w:r>
        <w:rPr>
          <w:sz w:val="22"/>
        </w:rPr>
        <w:t>a</w:t>
      </w:r>
      <w:r>
        <w:rPr>
          <w:spacing w:val="-3"/>
          <w:sz w:val="22"/>
        </w:rPr>
        <w:t> </w:t>
      </w:r>
      <w:r>
        <w:rPr>
          <w:sz w:val="22"/>
        </w:rPr>
        <w:t>client</w:t>
      </w:r>
      <w:r>
        <w:rPr>
          <w:spacing w:val="-3"/>
          <w:sz w:val="22"/>
        </w:rPr>
        <w:t> </w:t>
      </w:r>
      <w:r>
        <w:rPr>
          <w:sz w:val="22"/>
        </w:rPr>
        <w:t>is</w:t>
      </w:r>
      <w:r>
        <w:rPr>
          <w:spacing w:val="-3"/>
          <w:sz w:val="22"/>
        </w:rPr>
        <w:t> </w:t>
      </w:r>
      <w:r>
        <w:rPr>
          <w:sz w:val="22"/>
        </w:rPr>
        <w:t>considered</w:t>
      </w:r>
      <w:r>
        <w:rPr>
          <w:spacing w:val="-3"/>
          <w:sz w:val="22"/>
        </w:rPr>
        <w:t> </w:t>
      </w:r>
      <w:r>
        <w:rPr>
          <w:sz w:val="22"/>
        </w:rPr>
        <w:t>to have occurred after the client has maintained the job for 90 days.</w:t>
      </w:r>
    </w:p>
    <w:p>
      <w:pPr>
        <w:tabs>
          <w:tab w:pos="1439" w:val="left" w:leader="none"/>
        </w:tabs>
        <w:spacing w:line="252" w:lineRule="exact" w:before="0"/>
        <w:ind w:left="360" w:right="0" w:firstLine="0"/>
        <w:jc w:val="left"/>
        <w:rPr>
          <w:sz w:val="22"/>
        </w:rPr>
      </w:pPr>
      <w:r>
        <w:rPr>
          <w:spacing w:val="-2"/>
          <w:sz w:val="22"/>
        </w:rPr>
        <w:t>8-11-</w:t>
      </w:r>
      <w:r>
        <w:rPr>
          <w:spacing w:val="-5"/>
          <w:sz w:val="22"/>
        </w:rPr>
        <w:t>19</w:t>
      </w:r>
      <w:r>
        <w:rPr>
          <w:sz w:val="22"/>
        </w:rPr>
        <w:tab/>
        <w:t>Renumbered</w:t>
      </w:r>
      <w:r>
        <w:rPr>
          <w:spacing w:val="-7"/>
          <w:sz w:val="22"/>
        </w:rPr>
        <w:t> </w:t>
      </w:r>
      <w:r>
        <w:rPr>
          <w:sz w:val="22"/>
        </w:rPr>
        <w:t>section</w:t>
      </w:r>
      <w:r>
        <w:rPr>
          <w:spacing w:val="-6"/>
          <w:sz w:val="22"/>
        </w:rPr>
        <w:t> </w:t>
      </w:r>
      <w:r>
        <w:rPr>
          <w:sz w:val="22"/>
        </w:rPr>
        <w:t>(e)</w:t>
      </w:r>
      <w:r>
        <w:rPr>
          <w:spacing w:val="-7"/>
          <w:sz w:val="22"/>
        </w:rPr>
        <w:t> </w:t>
      </w:r>
      <w:r>
        <w:rPr>
          <w:sz w:val="22"/>
        </w:rPr>
        <w:t>to</w:t>
      </w:r>
      <w:r>
        <w:rPr>
          <w:spacing w:val="-6"/>
          <w:sz w:val="22"/>
        </w:rPr>
        <w:t> </w:t>
      </w:r>
      <w:r>
        <w:rPr>
          <w:sz w:val="22"/>
        </w:rPr>
        <w:t>(f).</w:t>
      </w:r>
      <w:r>
        <w:rPr>
          <w:spacing w:val="-7"/>
          <w:sz w:val="22"/>
        </w:rPr>
        <w:t> </w:t>
      </w:r>
      <w:r>
        <w:rPr>
          <w:sz w:val="22"/>
        </w:rPr>
        <w:t>New</w:t>
      </w:r>
      <w:r>
        <w:rPr>
          <w:spacing w:val="-7"/>
          <w:sz w:val="22"/>
        </w:rPr>
        <w:t> </w:t>
      </w:r>
      <w:r>
        <w:rPr>
          <w:sz w:val="22"/>
        </w:rPr>
        <w:t>section</w:t>
      </w:r>
      <w:r>
        <w:rPr>
          <w:spacing w:val="-6"/>
          <w:sz w:val="22"/>
        </w:rPr>
        <w:t> </w:t>
      </w:r>
      <w:r>
        <w:rPr>
          <w:sz w:val="22"/>
        </w:rPr>
        <w:t>(e),</w:t>
      </w:r>
      <w:r>
        <w:rPr>
          <w:spacing w:val="-7"/>
          <w:sz w:val="22"/>
        </w:rPr>
        <w:t> </w:t>
      </w:r>
      <w:r>
        <w:rPr>
          <w:sz w:val="22"/>
        </w:rPr>
        <w:t>Documentation</w:t>
      </w:r>
      <w:r>
        <w:rPr>
          <w:spacing w:val="-6"/>
          <w:sz w:val="22"/>
        </w:rPr>
        <w:t> </w:t>
      </w:r>
      <w:r>
        <w:rPr>
          <w:sz w:val="22"/>
        </w:rPr>
        <w:t>at</w:t>
      </w:r>
      <w:r>
        <w:rPr>
          <w:spacing w:val="-7"/>
          <w:sz w:val="22"/>
        </w:rPr>
        <w:t> </w:t>
      </w:r>
      <w:r>
        <w:rPr>
          <w:spacing w:val="-2"/>
          <w:sz w:val="22"/>
        </w:rPr>
        <w:t>placement.</w:t>
      </w:r>
    </w:p>
    <w:p>
      <w:pPr>
        <w:tabs>
          <w:tab w:pos="1439" w:val="left" w:leader="none"/>
        </w:tabs>
        <w:spacing w:before="0"/>
        <w:ind w:left="1439" w:right="804" w:hanging="1080"/>
        <w:jc w:val="left"/>
        <w:rPr>
          <w:sz w:val="22"/>
        </w:rPr>
      </w:pPr>
      <w:r>
        <w:rPr>
          <w:spacing w:val="-2"/>
          <w:sz w:val="22"/>
        </w:rPr>
        <w:t>8-26-21</w:t>
      </w:r>
      <w:r>
        <w:rPr>
          <w:sz w:val="22"/>
        </w:rPr>
        <w:tab/>
        <w:t>Revised language under section (d) case recording requirements. requirements to include</w:t>
      </w:r>
      <w:r>
        <w:rPr>
          <w:spacing w:val="-4"/>
          <w:sz w:val="22"/>
        </w:rPr>
        <w:t> </w:t>
      </w:r>
      <w:r>
        <w:rPr>
          <w:sz w:val="22"/>
        </w:rPr>
        <w:t>job</w:t>
      </w:r>
      <w:r>
        <w:rPr>
          <w:spacing w:val="-5"/>
          <w:sz w:val="22"/>
        </w:rPr>
        <w:t> </w:t>
      </w:r>
      <w:r>
        <w:rPr>
          <w:sz w:val="22"/>
        </w:rPr>
        <w:t>title,</w:t>
      </w:r>
      <w:r>
        <w:rPr>
          <w:spacing w:val="-4"/>
          <w:sz w:val="22"/>
        </w:rPr>
        <w:t> </w:t>
      </w:r>
      <w:r>
        <w:rPr>
          <w:sz w:val="22"/>
        </w:rPr>
        <w:t>client’s</w:t>
      </w:r>
      <w:r>
        <w:rPr>
          <w:spacing w:val="-4"/>
          <w:sz w:val="22"/>
        </w:rPr>
        <w:t> </w:t>
      </w:r>
      <w:r>
        <w:rPr>
          <w:sz w:val="22"/>
        </w:rPr>
        <w:t>hourly</w:t>
      </w:r>
      <w:r>
        <w:rPr>
          <w:spacing w:val="-4"/>
          <w:sz w:val="22"/>
        </w:rPr>
        <w:t> </w:t>
      </w:r>
      <w:r>
        <w:rPr>
          <w:sz w:val="22"/>
        </w:rPr>
        <w:t>wages/hours</w:t>
      </w:r>
      <w:r>
        <w:rPr>
          <w:spacing w:val="-4"/>
          <w:sz w:val="22"/>
        </w:rPr>
        <w:t> </w:t>
      </w:r>
      <w:r>
        <w:rPr>
          <w:sz w:val="22"/>
        </w:rPr>
        <w:t>worked</w:t>
      </w:r>
      <w:r>
        <w:rPr>
          <w:spacing w:val="-4"/>
          <w:sz w:val="22"/>
        </w:rPr>
        <w:t> </w:t>
      </w:r>
      <w:r>
        <w:rPr>
          <w:sz w:val="22"/>
        </w:rPr>
        <w:t>per</w:t>
      </w:r>
      <w:r>
        <w:rPr>
          <w:spacing w:val="-4"/>
          <w:sz w:val="22"/>
        </w:rPr>
        <w:t> </w:t>
      </w:r>
      <w:r>
        <w:rPr>
          <w:sz w:val="22"/>
        </w:rPr>
        <w:t>week</w:t>
      </w:r>
      <w:r>
        <w:rPr>
          <w:spacing w:val="-4"/>
          <w:sz w:val="22"/>
        </w:rPr>
        <w:t> </w:t>
      </w:r>
      <w:r>
        <w:rPr>
          <w:sz w:val="22"/>
        </w:rPr>
        <w:t>to</w:t>
      </w:r>
      <w:r>
        <w:rPr>
          <w:spacing w:val="-4"/>
          <w:sz w:val="22"/>
        </w:rPr>
        <w:t> </w:t>
      </w:r>
      <w:r>
        <w:rPr>
          <w:sz w:val="22"/>
        </w:rPr>
        <w:t>determine</w:t>
      </w:r>
      <w:r>
        <w:rPr>
          <w:spacing w:val="-4"/>
          <w:sz w:val="22"/>
        </w:rPr>
        <w:t> </w:t>
      </w:r>
      <w:r>
        <w:rPr>
          <w:sz w:val="22"/>
        </w:rPr>
        <w:t>earnings, suitability of employment and how the job was obtained. Revised to match WIOA </w:t>
      </w:r>
      <w:r>
        <w:rPr>
          <w:spacing w:val="-2"/>
          <w:sz w:val="22"/>
        </w:rPr>
        <w:t>language.</w:t>
      </w:r>
    </w:p>
    <w:p>
      <w:pPr>
        <w:tabs>
          <w:tab w:pos="1439" w:val="left" w:leader="none"/>
        </w:tabs>
        <w:spacing w:line="253" w:lineRule="exact" w:before="0"/>
        <w:ind w:left="360" w:right="0" w:firstLine="0"/>
        <w:jc w:val="left"/>
        <w:rPr>
          <w:sz w:val="22"/>
        </w:rPr>
      </w:pPr>
      <w:r>
        <w:rPr>
          <w:spacing w:val="-2"/>
          <w:sz w:val="22"/>
        </w:rPr>
        <w:t>5-4-</w:t>
      </w:r>
      <w:r>
        <w:rPr>
          <w:spacing w:val="-5"/>
          <w:sz w:val="22"/>
        </w:rPr>
        <w:t>23</w:t>
      </w:r>
      <w:r>
        <w:rPr>
          <w:sz w:val="22"/>
        </w:rPr>
        <w:tab/>
        <w:t>Updated</w:t>
      </w:r>
      <w:r>
        <w:rPr>
          <w:spacing w:val="-10"/>
          <w:sz w:val="22"/>
        </w:rPr>
        <w:t> </w:t>
      </w:r>
      <w:r>
        <w:rPr>
          <w:spacing w:val="-4"/>
          <w:sz w:val="22"/>
        </w:rPr>
        <w:t>ITS.</w:t>
      </w:r>
    </w:p>
    <w:p>
      <w:pPr>
        <w:pStyle w:val="ListParagraph"/>
        <w:numPr>
          <w:ilvl w:val="2"/>
          <w:numId w:val="88"/>
        </w:numPr>
        <w:tabs>
          <w:tab w:pos="1439" w:val="left" w:leader="none"/>
        </w:tabs>
        <w:spacing w:line="240" w:lineRule="auto" w:before="1" w:after="0"/>
        <w:ind w:left="1439" w:right="0" w:hanging="1079"/>
        <w:jc w:val="left"/>
        <w:rPr>
          <w:sz w:val="24"/>
        </w:rPr>
      </w:pPr>
      <w:r>
        <w:rPr>
          <w:sz w:val="22"/>
        </w:rPr>
        <w:t>Revised </w:t>
      </w:r>
      <w:r>
        <w:rPr>
          <w:sz w:val="24"/>
        </w:rPr>
        <w:t>section</w:t>
      </w:r>
      <w:r>
        <w:rPr>
          <w:spacing w:val="-5"/>
          <w:sz w:val="24"/>
        </w:rPr>
        <w:t> </w:t>
      </w:r>
      <w:r>
        <w:rPr>
          <w:sz w:val="24"/>
        </w:rPr>
        <w:t>(b)</w:t>
      </w:r>
      <w:r>
        <w:rPr>
          <w:spacing w:val="-4"/>
          <w:sz w:val="24"/>
        </w:rPr>
        <w:t> </w:t>
      </w:r>
      <w:r>
        <w:rPr>
          <w:sz w:val="24"/>
        </w:rPr>
        <w:t>removing</w:t>
      </w:r>
      <w:r>
        <w:rPr>
          <w:spacing w:val="-6"/>
          <w:sz w:val="24"/>
        </w:rPr>
        <w:t> </w:t>
      </w:r>
      <w:r>
        <w:rPr>
          <w:sz w:val="24"/>
        </w:rPr>
        <w:t>“Rehabilitation”</w:t>
      </w:r>
      <w:r>
        <w:rPr>
          <w:spacing w:val="-3"/>
          <w:sz w:val="24"/>
        </w:rPr>
        <w:t> </w:t>
      </w:r>
      <w:r>
        <w:rPr>
          <w:sz w:val="24"/>
        </w:rPr>
        <w:t>replacing</w:t>
      </w:r>
      <w:r>
        <w:rPr>
          <w:spacing w:val="-4"/>
          <w:sz w:val="24"/>
        </w:rPr>
        <w:t> </w:t>
      </w:r>
      <w:r>
        <w:rPr>
          <w:sz w:val="24"/>
        </w:rPr>
        <w:t>with</w:t>
      </w:r>
      <w:r>
        <w:rPr>
          <w:spacing w:val="-5"/>
          <w:sz w:val="24"/>
        </w:rPr>
        <w:t> </w:t>
      </w:r>
      <w:r>
        <w:rPr>
          <w:spacing w:val="-2"/>
          <w:sz w:val="24"/>
        </w:rPr>
        <w:t>“Employment”.</w:t>
      </w:r>
    </w:p>
    <w:p>
      <w:pPr>
        <w:pStyle w:val="BodyText"/>
        <w:spacing w:before="0"/>
        <w:ind w:left="1440"/>
      </w:pPr>
      <w:r>
        <w:rPr/>
        <w:t>Section</w:t>
      </w:r>
      <w:r>
        <w:rPr>
          <w:spacing w:val="-6"/>
        </w:rPr>
        <w:t> </w:t>
      </w:r>
      <w:r>
        <w:rPr/>
        <w:t>(c)</w:t>
      </w:r>
      <w:r>
        <w:rPr>
          <w:spacing w:val="-5"/>
        </w:rPr>
        <w:t> </w:t>
      </w:r>
      <w:r>
        <w:rPr/>
        <w:t>language</w:t>
      </w:r>
      <w:r>
        <w:rPr>
          <w:spacing w:val="-3"/>
        </w:rPr>
        <w:t> </w:t>
      </w:r>
      <w:r>
        <w:rPr/>
        <w:t>revised</w:t>
      </w:r>
      <w:r>
        <w:rPr>
          <w:spacing w:val="-4"/>
        </w:rPr>
        <w:t> </w:t>
      </w:r>
      <w:r>
        <w:rPr/>
        <w:t>removing</w:t>
      </w:r>
      <w:r>
        <w:rPr>
          <w:spacing w:val="-4"/>
        </w:rPr>
        <w:t> </w:t>
      </w:r>
      <w:r>
        <w:rPr/>
        <w:t>“Job</w:t>
      </w:r>
      <w:r>
        <w:rPr>
          <w:spacing w:val="-3"/>
        </w:rPr>
        <w:t> </w:t>
      </w:r>
      <w:r>
        <w:rPr/>
        <w:t>Placement”</w:t>
      </w:r>
      <w:r>
        <w:rPr>
          <w:spacing w:val="-3"/>
        </w:rPr>
        <w:t> </w:t>
      </w:r>
      <w:r>
        <w:rPr/>
        <w:t>milestone</w:t>
      </w:r>
      <w:r>
        <w:rPr>
          <w:spacing w:val="-3"/>
        </w:rPr>
        <w:t> </w:t>
      </w:r>
      <w:r>
        <w:rPr>
          <w:spacing w:val="-2"/>
        </w:rPr>
        <w:t>language.</w:t>
      </w:r>
    </w:p>
    <w:p>
      <w:pPr>
        <w:pStyle w:val="BodyText"/>
        <w:spacing w:after="0"/>
        <w:sectPr>
          <w:pgSz w:w="12240" w:h="15840"/>
          <w:pgMar w:top="1360" w:bottom="280" w:left="1080" w:right="720"/>
        </w:sectPr>
      </w:pPr>
    </w:p>
    <w:p>
      <w:pPr>
        <w:pStyle w:val="Heading2"/>
      </w:pPr>
      <w:bookmarkStart w:name="612:10-7-57.  Services interrupted, Serv" w:id="147"/>
      <w:bookmarkEnd w:id="147"/>
      <w:r>
        <w:rPr>
          <w:b w:val="0"/>
        </w:rPr>
      </w:r>
      <w:r>
        <w:rPr/>
        <w:t>612:10-7-57.</w:t>
      </w:r>
      <w:r>
        <w:rPr>
          <w:spacing w:val="54"/>
        </w:rPr>
        <w:t> </w:t>
      </w:r>
      <w:r>
        <w:rPr/>
        <w:t>Services</w:t>
      </w:r>
      <w:r>
        <w:rPr>
          <w:spacing w:val="-6"/>
        </w:rPr>
        <w:t> </w:t>
      </w:r>
      <w:r>
        <w:rPr/>
        <w:t>interrupted,</w:t>
      </w:r>
      <w:r>
        <w:rPr>
          <w:spacing w:val="-5"/>
        </w:rPr>
        <w:t> </w:t>
      </w:r>
      <w:r>
        <w:rPr/>
        <w:t>Service-</w:t>
      </w:r>
      <w:r>
        <w:rPr>
          <w:spacing w:val="-10"/>
        </w:rPr>
        <w:t>I</w:t>
      </w:r>
    </w:p>
    <w:p>
      <w:pPr>
        <w:pStyle w:val="ListParagraph"/>
        <w:numPr>
          <w:ilvl w:val="0"/>
          <w:numId w:val="149"/>
        </w:numPr>
        <w:tabs>
          <w:tab w:pos="786" w:val="left" w:leader="none"/>
        </w:tabs>
        <w:spacing w:line="259" w:lineRule="auto" w:before="237" w:after="0"/>
        <w:ind w:left="360" w:right="805" w:firstLine="0"/>
        <w:jc w:val="left"/>
        <w:rPr>
          <w:sz w:val="24"/>
        </w:rPr>
      </w:pPr>
      <w:r>
        <w:rPr>
          <w:sz w:val="24"/>
        </w:rPr>
        <w:t>Circumstances may arise that prevent a client from participating in the established IPE.</w:t>
      </w:r>
      <w:r>
        <w:rPr>
          <w:spacing w:val="-3"/>
          <w:sz w:val="24"/>
        </w:rPr>
        <w:t> </w:t>
      </w:r>
      <w:r>
        <w:rPr>
          <w:sz w:val="24"/>
        </w:rPr>
        <w:t>These</w:t>
      </w:r>
      <w:r>
        <w:rPr>
          <w:spacing w:val="-4"/>
          <w:sz w:val="24"/>
        </w:rPr>
        <w:t> </w:t>
      </w:r>
      <w:r>
        <w:rPr>
          <w:sz w:val="24"/>
        </w:rPr>
        <w:t>circumstances</w:t>
      </w:r>
      <w:r>
        <w:rPr>
          <w:spacing w:val="-4"/>
          <w:sz w:val="24"/>
        </w:rPr>
        <w:t> </w:t>
      </w:r>
      <w:r>
        <w:rPr>
          <w:sz w:val="24"/>
        </w:rPr>
        <w:t>may</w:t>
      </w:r>
      <w:r>
        <w:rPr>
          <w:spacing w:val="-4"/>
          <w:sz w:val="24"/>
        </w:rPr>
        <w:t> </w:t>
      </w:r>
      <w:r>
        <w:rPr>
          <w:sz w:val="24"/>
        </w:rPr>
        <w:t>therefore</w:t>
      </w:r>
      <w:r>
        <w:rPr>
          <w:spacing w:val="-4"/>
          <w:sz w:val="24"/>
        </w:rPr>
        <w:t> </w:t>
      </w:r>
      <w:r>
        <w:rPr>
          <w:sz w:val="24"/>
        </w:rPr>
        <w:t>require</w:t>
      </w:r>
      <w:r>
        <w:rPr>
          <w:spacing w:val="-4"/>
          <w:sz w:val="24"/>
        </w:rPr>
        <w:t> </w:t>
      </w:r>
      <w:r>
        <w:rPr>
          <w:sz w:val="24"/>
        </w:rPr>
        <w:t>a</w:t>
      </w:r>
      <w:r>
        <w:rPr>
          <w:spacing w:val="-4"/>
          <w:sz w:val="24"/>
        </w:rPr>
        <w:t> </w:t>
      </w:r>
      <w:r>
        <w:rPr>
          <w:sz w:val="24"/>
        </w:rPr>
        <w:t>temporary</w:t>
      </w:r>
      <w:r>
        <w:rPr>
          <w:spacing w:val="-4"/>
          <w:sz w:val="24"/>
        </w:rPr>
        <w:t> </w:t>
      </w:r>
      <w:r>
        <w:rPr>
          <w:sz w:val="24"/>
        </w:rPr>
        <w:t>interruption</w:t>
      </w:r>
      <w:r>
        <w:rPr>
          <w:spacing w:val="-4"/>
          <w:sz w:val="24"/>
        </w:rPr>
        <w:t> </w:t>
      </w:r>
      <w:r>
        <w:rPr>
          <w:sz w:val="24"/>
        </w:rPr>
        <w:t>of</w:t>
      </w:r>
      <w:r>
        <w:rPr>
          <w:spacing w:val="-3"/>
          <w:sz w:val="24"/>
        </w:rPr>
        <w:t> </w:t>
      </w:r>
      <w:r>
        <w:rPr>
          <w:sz w:val="24"/>
        </w:rPr>
        <w:t>services.</w:t>
      </w:r>
      <w:r>
        <w:rPr>
          <w:spacing w:val="-7"/>
          <w:sz w:val="24"/>
        </w:rPr>
        <w:t> </w:t>
      </w:r>
      <w:r>
        <w:rPr>
          <w:sz w:val="24"/>
        </w:rPr>
        <w:t>A case</w:t>
      </w:r>
      <w:r>
        <w:rPr>
          <w:spacing w:val="-3"/>
          <w:sz w:val="24"/>
        </w:rPr>
        <w:t> </w:t>
      </w:r>
      <w:r>
        <w:rPr>
          <w:sz w:val="24"/>
        </w:rPr>
        <w:t>is</w:t>
      </w:r>
      <w:r>
        <w:rPr>
          <w:spacing w:val="-3"/>
          <w:sz w:val="24"/>
        </w:rPr>
        <w:t> </w:t>
      </w:r>
      <w:r>
        <w:rPr>
          <w:sz w:val="24"/>
        </w:rPr>
        <w:t>placed</w:t>
      </w:r>
      <w:r>
        <w:rPr>
          <w:spacing w:val="-3"/>
          <w:sz w:val="24"/>
        </w:rPr>
        <w:t> </w:t>
      </w:r>
      <w:r>
        <w:rPr>
          <w:sz w:val="24"/>
        </w:rPr>
        <w:t>in</w:t>
      </w:r>
      <w:r>
        <w:rPr>
          <w:spacing w:val="-3"/>
          <w:sz w:val="24"/>
        </w:rPr>
        <w:t> </w:t>
      </w:r>
      <w:r>
        <w:rPr>
          <w:sz w:val="24"/>
        </w:rPr>
        <w:t>Service-I</w:t>
      </w:r>
      <w:r>
        <w:rPr>
          <w:spacing w:val="-2"/>
          <w:sz w:val="24"/>
        </w:rPr>
        <w:t> </w:t>
      </w:r>
      <w:r>
        <w:rPr>
          <w:sz w:val="24"/>
        </w:rPr>
        <w:t>when</w:t>
      </w:r>
      <w:r>
        <w:rPr>
          <w:spacing w:val="-3"/>
          <w:sz w:val="24"/>
        </w:rPr>
        <w:t> </w:t>
      </w:r>
      <w:r>
        <w:rPr>
          <w:sz w:val="24"/>
        </w:rPr>
        <w:t>the</w:t>
      </w:r>
      <w:r>
        <w:rPr>
          <w:spacing w:val="-3"/>
          <w:sz w:val="24"/>
        </w:rPr>
        <w:t> </w:t>
      </w:r>
      <w:r>
        <w:rPr>
          <w:sz w:val="24"/>
        </w:rPr>
        <w:t>client</w:t>
      </w:r>
      <w:r>
        <w:rPr>
          <w:spacing w:val="-2"/>
          <w:sz w:val="24"/>
        </w:rPr>
        <w:t> </w:t>
      </w:r>
      <w:r>
        <w:rPr>
          <w:sz w:val="24"/>
        </w:rPr>
        <w:t>is</w:t>
      </w:r>
      <w:r>
        <w:rPr>
          <w:spacing w:val="-3"/>
          <w:sz w:val="24"/>
        </w:rPr>
        <w:t> </w:t>
      </w:r>
      <w:r>
        <w:rPr>
          <w:sz w:val="24"/>
        </w:rPr>
        <w:t>unable</w:t>
      </w:r>
      <w:r>
        <w:rPr>
          <w:spacing w:val="-3"/>
          <w:sz w:val="24"/>
        </w:rPr>
        <w:t> </w:t>
      </w:r>
      <w:r>
        <w:rPr>
          <w:sz w:val="24"/>
        </w:rPr>
        <w:t>to</w:t>
      </w:r>
      <w:r>
        <w:rPr>
          <w:spacing w:val="-3"/>
          <w:sz w:val="24"/>
        </w:rPr>
        <w:t> </w:t>
      </w:r>
      <w:r>
        <w:rPr>
          <w:sz w:val="24"/>
        </w:rPr>
        <w:t>participate</w:t>
      </w:r>
      <w:r>
        <w:rPr>
          <w:spacing w:val="-3"/>
          <w:sz w:val="24"/>
        </w:rPr>
        <w:t> </w:t>
      </w:r>
      <w:r>
        <w:rPr>
          <w:sz w:val="24"/>
        </w:rPr>
        <w:t>in</w:t>
      </w:r>
      <w:r>
        <w:rPr>
          <w:spacing w:val="-2"/>
          <w:sz w:val="24"/>
        </w:rPr>
        <w:t> </w:t>
      </w:r>
      <w:r>
        <w:rPr>
          <w:sz w:val="24"/>
        </w:rPr>
        <w:t>the</w:t>
      </w:r>
      <w:r>
        <w:rPr>
          <w:spacing w:val="-3"/>
          <w:sz w:val="24"/>
        </w:rPr>
        <w:t> </w:t>
      </w:r>
      <w:r>
        <w:rPr>
          <w:sz w:val="24"/>
        </w:rPr>
        <w:t>IPE</w:t>
      </w:r>
      <w:r>
        <w:rPr>
          <w:spacing w:val="-3"/>
          <w:sz w:val="24"/>
        </w:rPr>
        <w:t> </w:t>
      </w:r>
      <w:r>
        <w:rPr>
          <w:sz w:val="24"/>
        </w:rPr>
        <w:t>because</w:t>
      </w:r>
      <w:r>
        <w:rPr>
          <w:spacing w:val="-3"/>
          <w:sz w:val="24"/>
        </w:rPr>
        <w:t> </w:t>
      </w:r>
      <w:r>
        <w:rPr>
          <w:sz w:val="24"/>
        </w:rPr>
        <w:t>of circumstances beyond their control or the participant has not fulfilled requirements identified by the VR agency. Service-I may be used when planned services will be interrupted and there is an assumption that services may resume within a reasonable period of time. Cases should not remain in interrupted status for more than 9 months.</w:t>
      </w:r>
    </w:p>
    <w:p>
      <w:pPr>
        <w:pStyle w:val="ListParagraph"/>
        <w:numPr>
          <w:ilvl w:val="0"/>
          <w:numId w:val="149"/>
        </w:numPr>
        <w:tabs>
          <w:tab w:pos="786" w:val="left" w:leader="none"/>
        </w:tabs>
        <w:spacing w:line="259" w:lineRule="auto" w:before="159" w:after="0"/>
        <w:ind w:left="360" w:right="968" w:firstLine="0"/>
        <w:jc w:val="left"/>
        <w:rPr>
          <w:sz w:val="24"/>
        </w:rPr>
      </w:pPr>
      <w:r>
        <w:rPr>
          <w:sz w:val="24"/>
        </w:rPr>
        <w:t>The</w:t>
      </w:r>
      <w:r>
        <w:rPr>
          <w:spacing w:val="-4"/>
          <w:sz w:val="24"/>
        </w:rPr>
        <w:t> </w:t>
      </w:r>
      <w:r>
        <w:rPr>
          <w:sz w:val="24"/>
        </w:rPr>
        <w:t>Rehabilitation</w:t>
      </w:r>
      <w:r>
        <w:rPr>
          <w:spacing w:val="-3"/>
          <w:sz w:val="24"/>
        </w:rPr>
        <w:t> </w:t>
      </w:r>
      <w:r>
        <w:rPr>
          <w:sz w:val="24"/>
        </w:rPr>
        <w:t>Counselor</w:t>
      </w:r>
      <w:r>
        <w:rPr>
          <w:spacing w:val="-3"/>
          <w:sz w:val="24"/>
        </w:rPr>
        <w:t> </w:t>
      </w:r>
      <w:r>
        <w:rPr>
          <w:sz w:val="24"/>
        </w:rPr>
        <w:t>will</w:t>
      </w:r>
      <w:r>
        <w:rPr>
          <w:spacing w:val="-4"/>
          <w:sz w:val="24"/>
        </w:rPr>
        <w:t> </w:t>
      </w:r>
      <w:r>
        <w:rPr>
          <w:sz w:val="24"/>
        </w:rPr>
        <w:t>perform</w:t>
      </w:r>
      <w:r>
        <w:rPr>
          <w:spacing w:val="-5"/>
          <w:sz w:val="24"/>
        </w:rPr>
        <w:t> </w:t>
      </w:r>
      <w:r>
        <w:rPr>
          <w:sz w:val="24"/>
        </w:rPr>
        <w:t>the</w:t>
      </w:r>
      <w:r>
        <w:rPr>
          <w:spacing w:val="-4"/>
          <w:sz w:val="24"/>
        </w:rPr>
        <w:t> </w:t>
      </w:r>
      <w:r>
        <w:rPr>
          <w:sz w:val="24"/>
        </w:rPr>
        <w:t>following</w:t>
      </w:r>
      <w:r>
        <w:rPr>
          <w:spacing w:val="-4"/>
          <w:sz w:val="24"/>
        </w:rPr>
        <w:t> </w:t>
      </w:r>
      <w:r>
        <w:rPr>
          <w:sz w:val="24"/>
        </w:rPr>
        <w:t>actions</w:t>
      </w:r>
      <w:r>
        <w:rPr>
          <w:spacing w:val="-4"/>
          <w:sz w:val="24"/>
        </w:rPr>
        <w:t> </w:t>
      </w:r>
      <w:r>
        <w:rPr>
          <w:sz w:val="24"/>
        </w:rPr>
        <w:t>to</w:t>
      </w:r>
      <w:r>
        <w:rPr>
          <w:spacing w:val="-4"/>
          <w:sz w:val="24"/>
        </w:rPr>
        <w:t> </w:t>
      </w:r>
      <w:r>
        <w:rPr>
          <w:sz w:val="24"/>
        </w:rPr>
        <w:t>a</w:t>
      </w:r>
      <w:r>
        <w:rPr>
          <w:spacing w:val="-4"/>
          <w:sz w:val="24"/>
        </w:rPr>
        <w:t> </w:t>
      </w:r>
      <w:r>
        <w:rPr>
          <w:sz w:val="24"/>
        </w:rPr>
        <w:t>case</w:t>
      </w:r>
      <w:r>
        <w:rPr>
          <w:spacing w:val="-4"/>
          <w:sz w:val="24"/>
        </w:rPr>
        <w:t> </w:t>
      </w:r>
      <w:r>
        <w:rPr>
          <w:sz w:val="24"/>
        </w:rPr>
        <w:t>placed</w:t>
      </w:r>
      <w:r>
        <w:rPr>
          <w:spacing w:val="-4"/>
          <w:sz w:val="24"/>
        </w:rPr>
        <w:t> </w:t>
      </w:r>
      <w:r>
        <w:rPr>
          <w:sz w:val="24"/>
        </w:rPr>
        <w:t>in Service-I status:</w:t>
      </w:r>
    </w:p>
    <w:p>
      <w:pPr>
        <w:pStyle w:val="ListParagraph"/>
        <w:numPr>
          <w:ilvl w:val="1"/>
          <w:numId w:val="149"/>
        </w:numPr>
        <w:tabs>
          <w:tab w:pos="1236" w:val="left" w:leader="none"/>
        </w:tabs>
        <w:spacing w:line="240" w:lineRule="auto" w:before="159" w:after="0"/>
        <w:ind w:left="1236" w:right="0" w:hanging="426"/>
        <w:jc w:val="left"/>
        <w:rPr>
          <w:sz w:val="24"/>
        </w:rPr>
      </w:pPr>
      <w:r>
        <w:rPr>
          <w:sz w:val="24"/>
        </w:rPr>
        <w:t>Contact</w:t>
      </w:r>
      <w:r>
        <w:rPr>
          <w:spacing w:val="-4"/>
          <w:sz w:val="24"/>
        </w:rPr>
        <w:t> </w:t>
      </w:r>
      <w:r>
        <w:rPr>
          <w:sz w:val="24"/>
        </w:rPr>
        <w:t>client</w:t>
      </w:r>
      <w:r>
        <w:rPr>
          <w:spacing w:val="-2"/>
          <w:sz w:val="24"/>
        </w:rPr>
        <w:t> </w:t>
      </w:r>
      <w:r>
        <w:rPr>
          <w:sz w:val="24"/>
        </w:rPr>
        <w:t>at</w:t>
      </w:r>
      <w:r>
        <w:rPr>
          <w:spacing w:val="-2"/>
          <w:sz w:val="24"/>
        </w:rPr>
        <w:t> </w:t>
      </w:r>
      <w:r>
        <w:rPr>
          <w:sz w:val="24"/>
        </w:rPr>
        <w:t>least</w:t>
      </w:r>
      <w:r>
        <w:rPr>
          <w:spacing w:val="-1"/>
          <w:sz w:val="24"/>
        </w:rPr>
        <w:t> </w:t>
      </w:r>
      <w:r>
        <w:rPr>
          <w:sz w:val="24"/>
        </w:rPr>
        <w:t>every</w:t>
      </w:r>
      <w:r>
        <w:rPr>
          <w:spacing w:val="-3"/>
          <w:sz w:val="24"/>
        </w:rPr>
        <w:t> </w:t>
      </w:r>
      <w:r>
        <w:rPr>
          <w:sz w:val="24"/>
        </w:rPr>
        <w:t>30</w:t>
      </w:r>
      <w:r>
        <w:rPr>
          <w:spacing w:val="-3"/>
          <w:sz w:val="24"/>
        </w:rPr>
        <w:t> </w:t>
      </w:r>
      <w:r>
        <w:rPr>
          <w:sz w:val="24"/>
        </w:rPr>
        <w:t>days</w:t>
      </w:r>
      <w:r>
        <w:rPr>
          <w:spacing w:val="-3"/>
          <w:sz w:val="24"/>
        </w:rPr>
        <w:t> </w:t>
      </w:r>
      <w:r>
        <w:rPr>
          <w:sz w:val="24"/>
        </w:rPr>
        <w:t>to</w:t>
      </w:r>
      <w:r>
        <w:rPr>
          <w:spacing w:val="-2"/>
          <w:sz w:val="24"/>
        </w:rPr>
        <w:t> </w:t>
      </w:r>
      <w:r>
        <w:rPr>
          <w:sz w:val="24"/>
        </w:rPr>
        <w:t>determine</w:t>
      </w:r>
      <w:r>
        <w:rPr>
          <w:spacing w:val="-3"/>
          <w:sz w:val="24"/>
        </w:rPr>
        <w:t> </w:t>
      </w:r>
      <w:r>
        <w:rPr>
          <w:sz w:val="24"/>
        </w:rPr>
        <w:t>status</w:t>
      </w:r>
      <w:r>
        <w:rPr>
          <w:spacing w:val="-3"/>
          <w:sz w:val="24"/>
        </w:rPr>
        <w:t> </w:t>
      </w:r>
      <w:r>
        <w:rPr>
          <w:sz w:val="24"/>
        </w:rPr>
        <w:t>of</w:t>
      </w:r>
      <w:r>
        <w:rPr>
          <w:spacing w:val="-1"/>
          <w:sz w:val="24"/>
        </w:rPr>
        <w:t> </w:t>
      </w:r>
      <w:r>
        <w:rPr>
          <w:spacing w:val="-2"/>
          <w:sz w:val="24"/>
        </w:rPr>
        <w:t>interruption.</w:t>
      </w:r>
    </w:p>
    <w:p>
      <w:pPr>
        <w:pStyle w:val="ListParagraph"/>
        <w:numPr>
          <w:ilvl w:val="1"/>
          <w:numId w:val="149"/>
        </w:numPr>
        <w:tabs>
          <w:tab w:pos="1236" w:val="left" w:leader="none"/>
        </w:tabs>
        <w:spacing w:line="259" w:lineRule="auto" w:before="182" w:after="0"/>
        <w:ind w:left="810" w:right="782" w:firstLine="0"/>
        <w:jc w:val="left"/>
        <w:rPr>
          <w:sz w:val="24"/>
        </w:rPr>
      </w:pPr>
      <w:r>
        <w:rPr>
          <w:sz w:val="24"/>
        </w:rPr>
        <w:t>Review circumstances periodically with Supervisor to determine whether the record</w:t>
      </w:r>
      <w:r>
        <w:rPr>
          <w:spacing w:val="-4"/>
          <w:sz w:val="24"/>
        </w:rPr>
        <w:t> </w:t>
      </w:r>
      <w:r>
        <w:rPr>
          <w:sz w:val="24"/>
        </w:rPr>
        <w:t>of</w:t>
      </w:r>
      <w:r>
        <w:rPr>
          <w:spacing w:val="-3"/>
          <w:sz w:val="24"/>
        </w:rPr>
        <w:t> </w:t>
      </w:r>
      <w:r>
        <w:rPr>
          <w:sz w:val="24"/>
        </w:rPr>
        <w:t>services</w:t>
      </w:r>
      <w:r>
        <w:rPr>
          <w:spacing w:val="-4"/>
          <w:sz w:val="24"/>
        </w:rPr>
        <w:t> </w:t>
      </w:r>
      <w:r>
        <w:rPr>
          <w:sz w:val="24"/>
        </w:rPr>
        <w:t>should</w:t>
      </w:r>
      <w:r>
        <w:rPr>
          <w:spacing w:val="-4"/>
          <w:sz w:val="24"/>
        </w:rPr>
        <w:t> </w:t>
      </w:r>
      <w:r>
        <w:rPr>
          <w:sz w:val="24"/>
        </w:rPr>
        <w:t>remain</w:t>
      </w:r>
      <w:r>
        <w:rPr>
          <w:spacing w:val="-4"/>
          <w:sz w:val="24"/>
        </w:rPr>
        <w:t> </w:t>
      </w:r>
      <w:r>
        <w:rPr>
          <w:sz w:val="24"/>
        </w:rPr>
        <w:t>open</w:t>
      </w:r>
      <w:r>
        <w:rPr>
          <w:spacing w:val="-4"/>
          <w:sz w:val="24"/>
        </w:rPr>
        <w:t> </w:t>
      </w:r>
      <w:r>
        <w:rPr>
          <w:sz w:val="24"/>
        </w:rPr>
        <w:t>or</w:t>
      </w:r>
      <w:r>
        <w:rPr>
          <w:spacing w:val="-3"/>
          <w:sz w:val="24"/>
        </w:rPr>
        <w:t> </w:t>
      </w:r>
      <w:r>
        <w:rPr>
          <w:sz w:val="24"/>
        </w:rPr>
        <w:t>be</w:t>
      </w:r>
      <w:r>
        <w:rPr>
          <w:spacing w:val="-4"/>
          <w:sz w:val="24"/>
        </w:rPr>
        <w:t> </w:t>
      </w:r>
      <w:r>
        <w:rPr>
          <w:sz w:val="24"/>
        </w:rPr>
        <w:t>closed,</w:t>
      </w:r>
      <w:r>
        <w:rPr>
          <w:spacing w:val="-3"/>
          <w:sz w:val="24"/>
        </w:rPr>
        <w:t> </w:t>
      </w:r>
      <w:r>
        <w:rPr>
          <w:sz w:val="24"/>
        </w:rPr>
        <w:t>as</w:t>
      </w:r>
      <w:r>
        <w:rPr>
          <w:spacing w:val="-4"/>
          <w:sz w:val="24"/>
        </w:rPr>
        <w:t> </w:t>
      </w:r>
      <w:r>
        <w:rPr>
          <w:sz w:val="24"/>
        </w:rPr>
        <w:t>appropriate</w:t>
      </w:r>
      <w:r>
        <w:rPr>
          <w:spacing w:val="-3"/>
          <w:sz w:val="24"/>
        </w:rPr>
        <w:t> </w:t>
      </w:r>
      <w:r>
        <w:rPr>
          <w:sz w:val="24"/>
        </w:rPr>
        <w:t>to</w:t>
      </w:r>
      <w:r>
        <w:rPr>
          <w:spacing w:val="-5"/>
          <w:sz w:val="24"/>
        </w:rPr>
        <w:t> </w:t>
      </w:r>
      <w:r>
        <w:rPr>
          <w:sz w:val="24"/>
        </w:rPr>
        <w:t>the</w:t>
      </w:r>
      <w:r>
        <w:rPr>
          <w:spacing w:val="-4"/>
          <w:sz w:val="24"/>
        </w:rPr>
        <w:t> </w:t>
      </w:r>
      <w:r>
        <w:rPr>
          <w:sz w:val="24"/>
        </w:rPr>
        <w:t>individual </w:t>
      </w:r>
      <w:r>
        <w:rPr>
          <w:spacing w:val="-4"/>
          <w:sz w:val="24"/>
        </w:rPr>
        <w:t>case.</w:t>
      </w:r>
    </w:p>
    <w:p>
      <w:pPr>
        <w:pStyle w:val="ListParagraph"/>
        <w:numPr>
          <w:ilvl w:val="1"/>
          <w:numId w:val="149"/>
        </w:numPr>
        <w:tabs>
          <w:tab w:pos="1236" w:val="left" w:leader="none"/>
        </w:tabs>
        <w:spacing w:line="240" w:lineRule="auto" w:before="160" w:after="0"/>
        <w:ind w:left="1236" w:right="0" w:hanging="426"/>
        <w:jc w:val="left"/>
        <w:rPr>
          <w:sz w:val="24"/>
        </w:rPr>
      </w:pPr>
      <w:r>
        <w:rPr>
          <w:sz w:val="24"/>
        </w:rPr>
        <w:t>Change</w:t>
      </w:r>
      <w:r>
        <w:rPr>
          <w:spacing w:val="-4"/>
          <w:sz w:val="24"/>
        </w:rPr>
        <w:t> </w:t>
      </w:r>
      <w:r>
        <w:rPr>
          <w:sz w:val="24"/>
        </w:rPr>
        <w:t>status</w:t>
      </w:r>
      <w:r>
        <w:rPr>
          <w:spacing w:val="-3"/>
          <w:sz w:val="24"/>
        </w:rPr>
        <w:t> </w:t>
      </w:r>
      <w:r>
        <w:rPr>
          <w:sz w:val="24"/>
        </w:rPr>
        <w:t>when</w:t>
      </w:r>
      <w:r>
        <w:rPr>
          <w:spacing w:val="-3"/>
          <w:sz w:val="24"/>
        </w:rPr>
        <w:t> </w:t>
      </w:r>
      <w:r>
        <w:rPr>
          <w:spacing w:val="-2"/>
          <w:sz w:val="24"/>
        </w:rPr>
        <w:t>appropriate.</w:t>
      </w:r>
    </w:p>
    <w:p>
      <w:pPr>
        <w:spacing w:before="180"/>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1"/>
        <w:ind w:left="359" w:right="6968" w:firstLine="0"/>
        <w:jc w:val="left"/>
        <w:rPr>
          <w:sz w:val="22"/>
        </w:rPr>
      </w:pPr>
      <w:r>
        <w:rPr>
          <w:spacing w:val="-2"/>
          <w:sz w:val="22"/>
        </w:rPr>
        <w:t>9-11-22</w:t>
      </w:r>
      <w:r>
        <w:rPr>
          <w:sz w:val="22"/>
        </w:rPr>
        <w:tab/>
        <w:t>Permanent,</w:t>
      </w:r>
      <w:r>
        <w:rPr>
          <w:spacing w:val="-16"/>
          <w:sz w:val="22"/>
        </w:rPr>
        <w:t> </w:t>
      </w:r>
      <w:r>
        <w:rPr>
          <w:sz w:val="22"/>
        </w:rPr>
        <w:t>new</w:t>
      </w:r>
      <w:r>
        <w:rPr>
          <w:spacing w:val="-15"/>
          <w:sz w:val="22"/>
        </w:rPr>
        <w:t> </w:t>
      </w:r>
      <w:r>
        <w:rPr>
          <w:sz w:val="22"/>
        </w:rPr>
        <w:t>rule</w:t>
      </w:r>
      <w:r>
        <w:rPr>
          <w:sz w:val="22"/>
        </w:rPr>
        <w:t> </w:t>
      </w:r>
      <w:r>
        <w:rPr>
          <w:spacing w:val="-2"/>
          <w:sz w:val="22"/>
        </w:rPr>
        <w:t>7-1-97</w:t>
      </w:r>
      <w:r>
        <w:rPr>
          <w:sz w:val="22"/>
        </w:rPr>
        <w:tab/>
        <w:t>PT Memo #97-9</w:t>
      </w:r>
    </w:p>
    <w:p>
      <w:pPr>
        <w:spacing w:before="0"/>
        <w:ind w:left="1439" w:right="0" w:firstLine="0"/>
        <w:jc w:val="left"/>
        <w:rPr>
          <w:sz w:val="22"/>
        </w:rPr>
      </w:pPr>
      <w:r>
        <w:rPr>
          <w:sz w:val="22"/>
        </w:rPr>
        <w:t>Permanent,</w:t>
      </w:r>
      <w:r>
        <w:rPr>
          <w:spacing w:val="-11"/>
          <w:sz w:val="22"/>
        </w:rPr>
        <w:t> </w:t>
      </w:r>
      <w:r>
        <w:rPr>
          <w:sz w:val="22"/>
        </w:rPr>
        <w:t>added</w:t>
      </w:r>
      <w:r>
        <w:rPr>
          <w:spacing w:val="-12"/>
          <w:sz w:val="22"/>
        </w:rPr>
        <w:t> </w:t>
      </w:r>
      <w:r>
        <w:rPr>
          <w:sz w:val="22"/>
        </w:rPr>
        <w:t>Supported</w:t>
      </w:r>
      <w:r>
        <w:rPr>
          <w:spacing w:val="-11"/>
          <w:sz w:val="22"/>
        </w:rPr>
        <w:t> </w:t>
      </w:r>
      <w:r>
        <w:rPr>
          <w:sz w:val="22"/>
        </w:rPr>
        <w:t>Employment</w:t>
      </w:r>
      <w:r>
        <w:rPr>
          <w:spacing w:val="-11"/>
          <w:sz w:val="22"/>
        </w:rPr>
        <w:t> </w:t>
      </w:r>
      <w:r>
        <w:rPr>
          <w:spacing w:val="-2"/>
          <w:sz w:val="22"/>
        </w:rPr>
        <w:t>milestones</w:t>
      </w:r>
    </w:p>
    <w:p>
      <w:pPr>
        <w:spacing w:after="0"/>
        <w:jc w:val="left"/>
        <w:rPr>
          <w:sz w:val="22"/>
        </w:rPr>
        <w:sectPr>
          <w:pgSz w:w="12240" w:h="15840"/>
          <w:pgMar w:top="1340" w:bottom="280" w:left="1080" w:right="720"/>
        </w:sectPr>
      </w:pPr>
    </w:p>
    <w:p>
      <w:pPr>
        <w:pStyle w:val="Heading2"/>
      </w:pPr>
      <w:bookmarkStart w:name="612:10-7-58.  Closed Rehabilitated" w:id="148"/>
      <w:bookmarkEnd w:id="148"/>
      <w:r>
        <w:rPr>
          <w:b w:val="0"/>
        </w:rPr>
      </w:r>
      <w:bookmarkStart w:name="_bookmark17" w:id="149"/>
      <w:bookmarkEnd w:id="149"/>
      <w:r>
        <w:rPr>
          <w:b w:val="0"/>
        </w:rPr>
      </w:r>
      <w:r>
        <w:rPr/>
        <w:t>612:10-7-58.</w:t>
      </w:r>
      <w:r>
        <w:rPr>
          <w:spacing w:val="56"/>
        </w:rPr>
        <w:t> </w:t>
      </w:r>
      <w:r>
        <w:rPr/>
        <w:t>Closed</w:t>
      </w:r>
      <w:r>
        <w:rPr>
          <w:spacing w:val="-4"/>
        </w:rPr>
        <w:t> </w:t>
      </w:r>
      <w:r>
        <w:rPr>
          <w:spacing w:val="-2"/>
        </w:rPr>
        <w:t>Rehabilitated</w:t>
      </w:r>
    </w:p>
    <w:p>
      <w:pPr>
        <w:pStyle w:val="ListParagraph"/>
        <w:numPr>
          <w:ilvl w:val="0"/>
          <w:numId w:val="150"/>
        </w:numPr>
        <w:tabs>
          <w:tab w:pos="786" w:val="left" w:leader="none"/>
        </w:tabs>
        <w:spacing w:line="208" w:lineRule="auto" w:before="233" w:after="0"/>
        <w:ind w:left="360" w:right="767" w:firstLine="0"/>
        <w:jc w:val="left"/>
        <w:rPr>
          <w:sz w:val="24"/>
        </w:rPr>
      </w:pPr>
      <w:r>
        <w:rPr>
          <w:b/>
          <w:sz w:val="24"/>
        </w:rPr>
        <w:t>Use</w:t>
      </w:r>
      <w:r>
        <w:rPr>
          <w:b/>
          <w:spacing w:val="-3"/>
          <w:sz w:val="24"/>
        </w:rPr>
        <w:t> </w:t>
      </w:r>
      <w:r>
        <w:rPr>
          <w:b/>
          <w:sz w:val="24"/>
        </w:rPr>
        <w:t>of</w:t>
      </w:r>
      <w:r>
        <w:rPr>
          <w:b/>
          <w:spacing w:val="-5"/>
          <w:sz w:val="24"/>
        </w:rPr>
        <w:t> </w:t>
      </w:r>
      <w:r>
        <w:rPr>
          <w:b/>
          <w:sz w:val="24"/>
        </w:rPr>
        <w:t>Closed</w:t>
      </w:r>
      <w:r>
        <w:rPr>
          <w:b/>
          <w:spacing w:val="-3"/>
          <w:sz w:val="24"/>
        </w:rPr>
        <w:t> </w:t>
      </w:r>
      <w:r>
        <w:rPr>
          <w:b/>
          <w:sz w:val="24"/>
        </w:rPr>
        <w:t>Rehabilitated</w:t>
      </w:r>
      <w:r>
        <w:rPr>
          <w:b/>
          <w:spacing w:val="-4"/>
          <w:sz w:val="24"/>
        </w:rPr>
        <w:t> </w:t>
      </w:r>
      <w:r>
        <w:rPr>
          <w:b/>
          <w:sz w:val="24"/>
        </w:rPr>
        <w:t>status</w:t>
      </w:r>
      <w:r>
        <w:rPr>
          <w:sz w:val="24"/>
        </w:rPr>
        <w:t>.</w:t>
      </w:r>
      <w:r>
        <w:rPr>
          <w:spacing w:val="-2"/>
          <w:sz w:val="24"/>
        </w:rPr>
        <w:t> </w:t>
      </w:r>
      <w:r>
        <w:rPr>
          <w:sz w:val="24"/>
        </w:rPr>
        <w:t>A</w:t>
      </w:r>
      <w:r>
        <w:rPr>
          <w:spacing w:val="-5"/>
          <w:sz w:val="24"/>
        </w:rPr>
        <w:t> </w:t>
      </w:r>
      <w:r>
        <w:rPr>
          <w:sz w:val="24"/>
        </w:rPr>
        <w:t>case</w:t>
      </w:r>
      <w:r>
        <w:rPr>
          <w:spacing w:val="-3"/>
          <w:sz w:val="24"/>
        </w:rPr>
        <w:t> </w:t>
      </w:r>
      <w:r>
        <w:rPr>
          <w:sz w:val="24"/>
        </w:rPr>
        <w:t>is</w:t>
      </w:r>
      <w:r>
        <w:rPr>
          <w:spacing w:val="-3"/>
          <w:sz w:val="24"/>
        </w:rPr>
        <w:t> </w:t>
      </w:r>
      <w:r>
        <w:rPr>
          <w:sz w:val="24"/>
        </w:rPr>
        <w:t>closed</w:t>
      </w:r>
      <w:r>
        <w:rPr>
          <w:spacing w:val="-3"/>
          <w:sz w:val="24"/>
        </w:rPr>
        <w:t> </w:t>
      </w:r>
      <w:r>
        <w:rPr>
          <w:sz w:val="24"/>
        </w:rPr>
        <w:t>as</w:t>
      </w:r>
      <w:r>
        <w:rPr>
          <w:spacing w:val="-3"/>
          <w:sz w:val="24"/>
        </w:rPr>
        <w:t> </w:t>
      </w:r>
      <w:r>
        <w:rPr>
          <w:sz w:val="24"/>
        </w:rPr>
        <w:t>rehabilitated</w:t>
      </w:r>
      <w:r>
        <w:rPr>
          <w:spacing w:val="-3"/>
          <w:sz w:val="24"/>
        </w:rPr>
        <w:t> </w:t>
      </w:r>
      <w:r>
        <w:rPr>
          <w:sz w:val="24"/>
        </w:rPr>
        <w:t>because</w:t>
      </w:r>
      <w:r>
        <w:rPr>
          <w:spacing w:val="-3"/>
          <w:sz w:val="24"/>
        </w:rPr>
        <w:t> </w:t>
      </w:r>
      <w:r>
        <w:rPr>
          <w:sz w:val="24"/>
        </w:rPr>
        <w:t>the client has achieved an employment outcome as a result of vocational rehabilitation services. Cases closed as rehabilitated must as a minimum meet the requirements in</w:t>
      </w:r>
    </w:p>
    <w:p>
      <w:pPr>
        <w:pStyle w:val="ListParagraph"/>
        <w:numPr>
          <w:ilvl w:val="1"/>
          <w:numId w:val="150"/>
        </w:numPr>
        <w:tabs>
          <w:tab w:pos="720" w:val="left" w:leader="none"/>
        </w:tabs>
        <w:spacing w:line="246" w:lineRule="exact" w:before="0" w:after="0"/>
        <w:ind w:left="720" w:right="0" w:hanging="360"/>
        <w:jc w:val="left"/>
        <w:rPr>
          <w:b/>
          <w:sz w:val="24"/>
        </w:rPr>
      </w:pPr>
      <w:r>
        <w:rPr>
          <w:sz w:val="24"/>
        </w:rPr>
        <w:t>through</w:t>
      </w:r>
      <w:r>
        <w:rPr>
          <w:spacing w:val="-3"/>
          <w:sz w:val="24"/>
        </w:rPr>
        <w:t> </w:t>
      </w:r>
      <w:r>
        <w:rPr>
          <w:sz w:val="24"/>
        </w:rPr>
        <w:t>(5)</w:t>
      </w:r>
      <w:r>
        <w:rPr>
          <w:spacing w:val="-2"/>
          <w:sz w:val="24"/>
        </w:rPr>
        <w:t> </w:t>
      </w:r>
      <w:r>
        <w:rPr>
          <w:sz w:val="24"/>
        </w:rPr>
        <w:t>of</w:t>
      </w:r>
      <w:r>
        <w:rPr>
          <w:spacing w:val="-3"/>
          <w:sz w:val="24"/>
        </w:rPr>
        <w:t> </w:t>
      </w:r>
      <w:r>
        <w:rPr>
          <w:sz w:val="24"/>
        </w:rPr>
        <w:t>this</w:t>
      </w:r>
      <w:r>
        <w:rPr>
          <w:spacing w:val="-3"/>
          <w:sz w:val="24"/>
        </w:rPr>
        <w:t> </w:t>
      </w:r>
      <w:r>
        <w:rPr>
          <w:sz w:val="24"/>
        </w:rPr>
        <w:t>Subsection:</w:t>
      </w:r>
      <w:r>
        <w:rPr>
          <w:spacing w:val="-2"/>
          <w:sz w:val="24"/>
        </w:rPr>
        <w:t> </w:t>
      </w:r>
      <w:r>
        <w:rPr>
          <w:b/>
          <w:sz w:val="24"/>
        </w:rPr>
        <w:t>1,</w:t>
      </w:r>
      <w:r>
        <w:rPr>
          <w:b/>
          <w:spacing w:val="-3"/>
          <w:sz w:val="24"/>
        </w:rPr>
        <w:t> </w:t>
      </w:r>
      <w:r>
        <w:rPr>
          <w:b/>
          <w:spacing w:val="-10"/>
          <w:sz w:val="24"/>
        </w:rPr>
        <w:t>2</w:t>
      </w:r>
    </w:p>
    <w:p>
      <w:pPr>
        <w:pStyle w:val="ListParagraph"/>
        <w:numPr>
          <w:ilvl w:val="2"/>
          <w:numId w:val="150"/>
        </w:numPr>
        <w:tabs>
          <w:tab w:pos="1217" w:val="left" w:leader="none"/>
        </w:tabs>
        <w:spacing w:line="208" w:lineRule="auto" w:before="233" w:after="0"/>
        <w:ind w:left="792" w:right="1502" w:firstLine="0"/>
        <w:jc w:val="left"/>
        <w:rPr>
          <w:sz w:val="24"/>
        </w:rPr>
      </w:pPr>
      <w:r>
        <w:rPr>
          <w:sz w:val="24"/>
        </w:rPr>
        <w:t>the</w:t>
      </w:r>
      <w:r>
        <w:rPr>
          <w:spacing w:val="-4"/>
          <w:sz w:val="24"/>
        </w:rPr>
        <w:t> </w:t>
      </w:r>
      <w:r>
        <w:rPr>
          <w:sz w:val="24"/>
        </w:rPr>
        <w:t>provision</w:t>
      </w:r>
      <w:r>
        <w:rPr>
          <w:spacing w:val="-4"/>
          <w:sz w:val="24"/>
        </w:rPr>
        <w:t> </w:t>
      </w:r>
      <w:r>
        <w:rPr>
          <w:sz w:val="24"/>
        </w:rPr>
        <w:t>of</w:t>
      </w:r>
      <w:r>
        <w:rPr>
          <w:spacing w:val="-3"/>
          <w:sz w:val="24"/>
        </w:rPr>
        <w:t> </w:t>
      </w:r>
      <w:r>
        <w:rPr>
          <w:sz w:val="24"/>
        </w:rPr>
        <w:t>services</w:t>
      </w:r>
      <w:r>
        <w:rPr>
          <w:spacing w:val="-4"/>
          <w:sz w:val="24"/>
        </w:rPr>
        <w:t> </w:t>
      </w:r>
      <w:r>
        <w:rPr>
          <w:sz w:val="24"/>
        </w:rPr>
        <w:t>under</w:t>
      </w:r>
      <w:r>
        <w:rPr>
          <w:spacing w:val="-3"/>
          <w:sz w:val="24"/>
        </w:rPr>
        <w:t> </w:t>
      </w:r>
      <w:r>
        <w:rPr>
          <w:sz w:val="24"/>
        </w:rPr>
        <w:t>the</w:t>
      </w:r>
      <w:r>
        <w:rPr>
          <w:spacing w:val="-4"/>
          <w:sz w:val="24"/>
        </w:rPr>
        <w:t> </w:t>
      </w:r>
      <w:r>
        <w:rPr>
          <w:sz w:val="24"/>
        </w:rPr>
        <w:t>individual's</w:t>
      </w:r>
      <w:r>
        <w:rPr>
          <w:spacing w:val="-4"/>
          <w:sz w:val="24"/>
        </w:rPr>
        <w:t> </w:t>
      </w:r>
      <w:r>
        <w:rPr>
          <w:sz w:val="24"/>
        </w:rPr>
        <w:t>IPE</w:t>
      </w:r>
      <w:r>
        <w:rPr>
          <w:spacing w:val="-4"/>
          <w:sz w:val="24"/>
        </w:rPr>
        <w:t> </w:t>
      </w:r>
      <w:r>
        <w:rPr>
          <w:sz w:val="24"/>
        </w:rPr>
        <w:t>has</w:t>
      </w:r>
      <w:r>
        <w:rPr>
          <w:spacing w:val="-4"/>
          <w:sz w:val="24"/>
        </w:rPr>
        <w:t> </w:t>
      </w:r>
      <w:r>
        <w:rPr>
          <w:sz w:val="24"/>
        </w:rPr>
        <w:t>contributed</w:t>
      </w:r>
      <w:r>
        <w:rPr>
          <w:spacing w:val="-4"/>
          <w:sz w:val="24"/>
        </w:rPr>
        <w:t> </w:t>
      </w:r>
      <w:r>
        <w:rPr>
          <w:sz w:val="24"/>
        </w:rPr>
        <w:t>to</w:t>
      </w:r>
      <w:r>
        <w:rPr>
          <w:spacing w:val="-5"/>
          <w:sz w:val="24"/>
        </w:rPr>
        <w:t> </w:t>
      </w:r>
      <w:r>
        <w:rPr>
          <w:sz w:val="24"/>
        </w:rPr>
        <w:t>the achievement of the employment outcome;</w:t>
      </w:r>
    </w:p>
    <w:p>
      <w:pPr>
        <w:pStyle w:val="ListParagraph"/>
        <w:numPr>
          <w:ilvl w:val="2"/>
          <w:numId w:val="150"/>
        </w:numPr>
        <w:tabs>
          <w:tab w:pos="1217" w:val="left" w:leader="none"/>
        </w:tabs>
        <w:spacing w:line="208" w:lineRule="auto" w:before="240" w:after="0"/>
        <w:ind w:left="792" w:right="791" w:firstLine="0"/>
        <w:jc w:val="left"/>
        <w:rPr>
          <w:sz w:val="24"/>
        </w:rPr>
      </w:pPr>
      <w:r>
        <w:rPr>
          <w:sz w:val="24"/>
        </w:rPr>
        <w:t>the employment outcome is consistent with the individual's strengths, resources,</w:t>
      </w:r>
      <w:r>
        <w:rPr>
          <w:spacing w:val="-7"/>
          <w:sz w:val="24"/>
        </w:rPr>
        <w:t> </w:t>
      </w:r>
      <w:r>
        <w:rPr>
          <w:sz w:val="24"/>
        </w:rPr>
        <w:t>priorities,</w:t>
      </w:r>
      <w:r>
        <w:rPr>
          <w:spacing w:val="-5"/>
          <w:sz w:val="24"/>
        </w:rPr>
        <w:t> </w:t>
      </w:r>
      <w:r>
        <w:rPr>
          <w:sz w:val="24"/>
        </w:rPr>
        <w:t>concerns,</w:t>
      </w:r>
      <w:r>
        <w:rPr>
          <w:spacing w:val="-5"/>
          <w:sz w:val="24"/>
        </w:rPr>
        <w:t> </w:t>
      </w:r>
      <w:r>
        <w:rPr>
          <w:sz w:val="24"/>
        </w:rPr>
        <w:t>abilities,</w:t>
      </w:r>
      <w:r>
        <w:rPr>
          <w:spacing w:val="-5"/>
          <w:sz w:val="24"/>
        </w:rPr>
        <w:t> </w:t>
      </w:r>
      <w:r>
        <w:rPr>
          <w:sz w:val="24"/>
        </w:rPr>
        <w:t>capabilities,</w:t>
      </w:r>
      <w:r>
        <w:rPr>
          <w:spacing w:val="-5"/>
          <w:sz w:val="24"/>
        </w:rPr>
        <w:t> </w:t>
      </w:r>
      <w:r>
        <w:rPr>
          <w:sz w:val="24"/>
        </w:rPr>
        <w:t>interests,</w:t>
      </w:r>
      <w:r>
        <w:rPr>
          <w:spacing w:val="-5"/>
          <w:sz w:val="24"/>
        </w:rPr>
        <w:t> </w:t>
      </w:r>
      <w:r>
        <w:rPr>
          <w:sz w:val="24"/>
        </w:rPr>
        <w:t>and</w:t>
      </w:r>
      <w:r>
        <w:rPr>
          <w:spacing w:val="-7"/>
          <w:sz w:val="24"/>
        </w:rPr>
        <w:t> </w:t>
      </w:r>
      <w:r>
        <w:rPr>
          <w:sz w:val="24"/>
        </w:rPr>
        <w:t>informed</w:t>
      </w:r>
      <w:r>
        <w:rPr>
          <w:spacing w:val="-6"/>
          <w:sz w:val="24"/>
        </w:rPr>
        <w:t> </w:t>
      </w:r>
      <w:r>
        <w:rPr>
          <w:sz w:val="24"/>
        </w:rPr>
        <w:t>choice;</w:t>
      </w:r>
    </w:p>
    <w:p>
      <w:pPr>
        <w:pStyle w:val="ListParagraph"/>
        <w:numPr>
          <w:ilvl w:val="2"/>
          <w:numId w:val="150"/>
        </w:numPr>
        <w:tabs>
          <w:tab w:pos="1217" w:val="left" w:leader="none"/>
        </w:tabs>
        <w:spacing w:line="208" w:lineRule="auto" w:before="240" w:after="0"/>
        <w:ind w:left="792" w:right="1680" w:firstLine="0"/>
        <w:jc w:val="left"/>
        <w:rPr>
          <w:sz w:val="24"/>
        </w:rPr>
      </w:pPr>
      <w:r>
        <w:rPr>
          <w:sz w:val="24"/>
        </w:rPr>
        <w:t>the</w:t>
      </w:r>
      <w:r>
        <w:rPr>
          <w:spacing w:val="-4"/>
          <w:sz w:val="24"/>
        </w:rPr>
        <w:t> </w:t>
      </w:r>
      <w:r>
        <w:rPr>
          <w:sz w:val="24"/>
        </w:rPr>
        <w:t>employment</w:t>
      </w:r>
      <w:r>
        <w:rPr>
          <w:spacing w:val="-3"/>
          <w:sz w:val="24"/>
        </w:rPr>
        <w:t> </w:t>
      </w:r>
      <w:r>
        <w:rPr>
          <w:sz w:val="24"/>
        </w:rPr>
        <w:t>outcome</w:t>
      </w:r>
      <w:r>
        <w:rPr>
          <w:spacing w:val="-4"/>
          <w:sz w:val="24"/>
        </w:rPr>
        <w:t> </w:t>
      </w:r>
      <w:r>
        <w:rPr>
          <w:sz w:val="24"/>
        </w:rPr>
        <w:t>is</w:t>
      </w:r>
      <w:r>
        <w:rPr>
          <w:spacing w:val="-4"/>
          <w:sz w:val="24"/>
        </w:rPr>
        <w:t> </w:t>
      </w:r>
      <w:r>
        <w:rPr>
          <w:sz w:val="24"/>
        </w:rPr>
        <w:t>in</w:t>
      </w:r>
      <w:r>
        <w:rPr>
          <w:spacing w:val="-4"/>
          <w:sz w:val="24"/>
        </w:rPr>
        <w:t> </w:t>
      </w:r>
      <w:r>
        <w:rPr>
          <w:sz w:val="24"/>
        </w:rPr>
        <w:t>an</w:t>
      </w:r>
      <w:r>
        <w:rPr>
          <w:spacing w:val="-4"/>
          <w:sz w:val="24"/>
        </w:rPr>
        <w:t> </w:t>
      </w:r>
      <w:r>
        <w:rPr>
          <w:sz w:val="24"/>
        </w:rPr>
        <w:t>integrated</w:t>
      </w:r>
      <w:r>
        <w:rPr>
          <w:spacing w:val="-4"/>
          <w:sz w:val="24"/>
        </w:rPr>
        <w:t> </w:t>
      </w:r>
      <w:r>
        <w:rPr>
          <w:sz w:val="24"/>
        </w:rPr>
        <w:t>setting,</w:t>
      </w:r>
      <w:r>
        <w:rPr>
          <w:spacing w:val="-3"/>
          <w:sz w:val="24"/>
        </w:rPr>
        <w:t> </w:t>
      </w:r>
      <w:r>
        <w:rPr>
          <w:sz w:val="24"/>
        </w:rPr>
        <w:t>consistent</w:t>
      </w:r>
      <w:r>
        <w:rPr>
          <w:spacing w:val="-3"/>
          <w:sz w:val="24"/>
        </w:rPr>
        <w:t> </w:t>
      </w:r>
      <w:r>
        <w:rPr>
          <w:sz w:val="24"/>
        </w:rPr>
        <w:t>with</w:t>
      </w:r>
      <w:r>
        <w:rPr>
          <w:spacing w:val="-4"/>
          <w:sz w:val="24"/>
        </w:rPr>
        <w:t> </w:t>
      </w:r>
      <w:r>
        <w:rPr>
          <w:sz w:val="24"/>
        </w:rPr>
        <w:t>the individual's informed choice;</w:t>
      </w:r>
    </w:p>
    <w:p>
      <w:pPr>
        <w:pStyle w:val="ListParagraph"/>
        <w:numPr>
          <w:ilvl w:val="2"/>
          <w:numId w:val="150"/>
        </w:numPr>
        <w:tabs>
          <w:tab w:pos="1217" w:val="left" w:leader="none"/>
        </w:tabs>
        <w:spacing w:line="208" w:lineRule="auto" w:before="240" w:after="0"/>
        <w:ind w:left="792" w:right="975" w:firstLine="0"/>
        <w:jc w:val="left"/>
        <w:rPr>
          <w:sz w:val="24"/>
        </w:rPr>
      </w:pPr>
      <w:r>
        <w:rPr>
          <w:sz w:val="24"/>
        </w:rPr>
        <w:t>the</w:t>
      </w:r>
      <w:r>
        <w:rPr>
          <w:spacing w:val="-4"/>
          <w:sz w:val="24"/>
        </w:rPr>
        <w:t> </w:t>
      </w:r>
      <w:r>
        <w:rPr>
          <w:sz w:val="24"/>
        </w:rPr>
        <w:t>individual</w:t>
      </w:r>
      <w:r>
        <w:rPr>
          <w:spacing w:val="-4"/>
          <w:sz w:val="24"/>
        </w:rPr>
        <w:t> </w:t>
      </w:r>
      <w:r>
        <w:rPr>
          <w:sz w:val="24"/>
        </w:rPr>
        <w:t>has</w:t>
      </w:r>
      <w:r>
        <w:rPr>
          <w:spacing w:val="-4"/>
          <w:sz w:val="24"/>
        </w:rPr>
        <w:t> </w:t>
      </w:r>
      <w:r>
        <w:rPr>
          <w:sz w:val="24"/>
        </w:rPr>
        <w:t>maintained</w:t>
      </w:r>
      <w:r>
        <w:rPr>
          <w:spacing w:val="-3"/>
          <w:sz w:val="24"/>
        </w:rPr>
        <w:t> </w:t>
      </w:r>
      <w:r>
        <w:rPr>
          <w:sz w:val="24"/>
        </w:rPr>
        <w:t>the</w:t>
      </w:r>
      <w:r>
        <w:rPr>
          <w:spacing w:val="-4"/>
          <w:sz w:val="24"/>
        </w:rPr>
        <w:t> </w:t>
      </w:r>
      <w:r>
        <w:rPr>
          <w:sz w:val="24"/>
        </w:rPr>
        <w:t>employment</w:t>
      </w:r>
      <w:r>
        <w:rPr>
          <w:spacing w:val="-3"/>
          <w:sz w:val="24"/>
        </w:rPr>
        <w:t> </w:t>
      </w:r>
      <w:r>
        <w:rPr>
          <w:sz w:val="24"/>
        </w:rPr>
        <w:t>outcome</w:t>
      </w:r>
      <w:r>
        <w:rPr>
          <w:spacing w:val="-4"/>
          <w:sz w:val="24"/>
        </w:rPr>
        <w:t> </w:t>
      </w:r>
      <w:r>
        <w:rPr>
          <w:sz w:val="24"/>
        </w:rPr>
        <w:t>for</w:t>
      </w:r>
      <w:r>
        <w:rPr>
          <w:spacing w:val="-3"/>
          <w:sz w:val="24"/>
        </w:rPr>
        <w:t> </w:t>
      </w:r>
      <w:r>
        <w:rPr>
          <w:sz w:val="24"/>
        </w:rPr>
        <w:t>a</w:t>
      </w:r>
      <w:r>
        <w:rPr>
          <w:spacing w:val="-5"/>
          <w:sz w:val="24"/>
        </w:rPr>
        <w:t> </w:t>
      </w:r>
      <w:r>
        <w:rPr>
          <w:sz w:val="24"/>
        </w:rPr>
        <w:t>period</w:t>
      </w:r>
      <w:r>
        <w:rPr>
          <w:spacing w:val="-4"/>
          <w:sz w:val="24"/>
        </w:rPr>
        <w:t> </w:t>
      </w:r>
      <w:r>
        <w:rPr>
          <w:sz w:val="24"/>
        </w:rPr>
        <w:t>of</w:t>
      </w:r>
      <w:r>
        <w:rPr>
          <w:spacing w:val="-3"/>
          <w:sz w:val="24"/>
        </w:rPr>
        <w:t> </w:t>
      </w:r>
      <w:r>
        <w:rPr>
          <w:sz w:val="24"/>
        </w:rPr>
        <w:t>at</w:t>
      </w:r>
      <w:r>
        <w:rPr>
          <w:spacing w:val="-3"/>
          <w:sz w:val="24"/>
        </w:rPr>
        <w:t> </w:t>
      </w:r>
      <w:r>
        <w:rPr>
          <w:sz w:val="24"/>
        </w:rPr>
        <w:t>least 90 days; and</w:t>
      </w:r>
    </w:p>
    <w:p>
      <w:pPr>
        <w:pStyle w:val="ListParagraph"/>
        <w:numPr>
          <w:ilvl w:val="2"/>
          <w:numId w:val="150"/>
        </w:numPr>
        <w:tabs>
          <w:tab w:pos="1218" w:val="left" w:leader="none"/>
        </w:tabs>
        <w:spacing w:line="208" w:lineRule="auto" w:before="239" w:after="0"/>
        <w:ind w:left="792" w:right="1200" w:firstLine="0"/>
        <w:jc w:val="left"/>
        <w:rPr>
          <w:sz w:val="24"/>
        </w:rPr>
      </w:pPr>
      <w:r>
        <w:rPr>
          <w:sz w:val="24"/>
        </w:rPr>
        <w:t>at</w:t>
      </w:r>
      <w:r>
        <w:rPr>
          <w:spacing w:val="-4"/>
          <w:sz w:val="24"/>
        </w:rPr>
        <w:t> </w:t>
      </w:r>
      <w:r>
        <w:rPr>
          <w:sz w:val="24"/>
        </w:rPr>
        <w:t>the</w:t>
      </w:r>
      <w:r>
        <w:rPr>
          <w:spacing w:val="-3"/>
          <w:sz w:val="24"/>
        </w:rPr>
        <w:t> </w:t>
      </w:r>
      <w:r>
        <w:rPr>
          <w:sz w:val="24"/>
        </w:rPr>
        <w:t>end</w:t>
      </w:r>
      <w:r>
        <w:rPr>
          <w:spacing w:val="-3"/>
          <w:sz w:val="24"/>
        </w:rPr>
        <w:t> </w:t>
      </w:r>
      <w:r>
        <w:rPr>
          <w:sz w:val="24"/>
        </w:rPr>
        <w:t>of</w:t>
      </w:r>
      <w:r>
        <w:rPr>
          <w:spacing w:val="-3"/>
          <w:sz w:val="24"/>
        </w:rPr>
        <w:t> </w:t>
      </w:r>
      <w:r>
        <w:rPr>
          <w:sz w:val="24"/>
        </w:rPr>
        <w:t>the</w:t>
      </w:r>
      <w:r>
        <w:rPr>
          <w:spacing w:val="-3"/>
          <w:sz w:val="24"/>
        </w:rPr>
        <w:t> </w:t>
      </w:r>
      <w:r>
        <w:rPr>
          <w:sz w:val="24"/>
        </w:rPr>
        <w:t>appropriate</w:t>
      </w:r>
      <w:r>
        <w:rPr>
          <w:spacing w:val="-3"/>
          <w:sz w:val="24"/>
        </w:rPr>
        <w:t> </w:t>
      </w:r>
      <w:r>
        <w:rPr>
          <w:sz w:val="24"/>
        </w:rPr>
        <w:t>period</w:t>
      </w:r>
      <w:r>
        <w:rPr>
          <w:spacing w:val="-3"/>
          <w:sz w:val="24"/>
        </w:rPr>
        <w:t> </w:t>
      </w:r>
      <w:r>
        <w:rPr>
          <w:sz w:val="24"/>
        </w:rPr>
        <w:t>under</w:t>
      </w:r>
      <w:r>
        <w:rPr>
          <w:spacing w:val="-3"/>
          <w:sz w:val="24"/>
        </w:rPr>
        <w:t> </w:t>
      </w:r>
      <w:r>
        <w:rPr>
          <w:sz w:val="24"/>
        </w:rPr>
        <w:t>Paragraph</w:t>
      </w:r>
      <w:r>
        <w:rPr>
          <w:spacing w:val="-3"/>
          <w:sz w:val="24"/>
        </w:rPr>
        <w:t> </w:t>
      </w:r>
      <w:r>
        <w:rPr>
          <w:sz w:val="24"/>
        </w:rPr>
        <w:t>(4)</w:t>
      </w:r>
      <w:r>
        <w:rPr>
          <w:spacing w:val="-3"/>
          <w:sz w:val="24"/>
        </w:rPr>
        <w:t> </w:t>
      </w:r>
      <w:r>
        <w:rPr>
          <w:sz w:val="24"/>
        </w:rPr>
        <w:t>of</w:t>
      </w:r>
      <w:r>
        <w:rPr>
          <w:spacing w:val="-4"/>
          <w:sz w:val="24"/>
        </w:rPr>
        <w:t> </w:t>
      </w:r>
      <w:r>
        <w:rPr>
          <w:sz w:val="24"/>
        </w:rPr>
        <w:t>this</w:t>
      </w:r>
      <w:r>
        <w:rPr>
          <w:spacing w:val="-3"/>
          <w:sz w:val="24"/>
        </w:rPr>
        <w:t> </w:t>
      </w:r>
      <w:r>
        <w:rPr>
          <w:sz w:val="24"/>
        </w:rPr>
        <w:t>Section,</w:t>
      </w:r>
      <w:r>
        <w:rPr>
          <w:spacing w:val="-3"/>
          <w:sz w:val="24"/>
        </w:rPr>
        <w:t> </w:t>
      </w:r>
      <w:r>
        <w:rPr>
          <w:sz w:val="24"/>
        </w:rPr>
        <w:t>the individual and the VR Counselor consider the employment outcome to be satisfactory and agree that the individual is performing well on the job.</w:t>
      </w:r>
    </w:p>
    <w:p>
      <w:pPr>
        <w:pStyle w:val="ListParagraph"/>
        <w:numPr>
          <w:ilvl w:val="0"/>
          <w:numId w:val="150"/>
        </w:numPr>
        <w:tabs>
          <w:tab w:pos="785" w:val="left" w:leader="none"/>
        </w:tabs>
        <w:spacing w:line="208" w:lineRule="auto" w:before="240" w:after="0"/>
        <w:ind w:left="360" w:right="766" w:firstLine="0"/>
        <w:jc w:val="both"/>
        <w:rPr>
          <w:sz w:val="24"/>
        </w:rPr>
      </w:pPr>
      <w:r>
        <w:rPr>
          <w:b/>
          <w:sz w:val="24"/>
        </w:rPr>
        <w:t>Out</w:t>
      </w:r>
      <w:r>
        <w:rPr>
          <w:b/>
          <w:spacing w:val="-4"/>
          <w:sz w:val="24"/>
        </w:rPr>
        <w:t> </w:t>
      </w:r>
      <w:r>
        <w:rPr>
          <w:b/>
          <w:sz w:val="24"/>
        </w:rPr>
        <w:t>of</w:t>
      </w:r>
      <w:r>
        <w:rPr>
          <w:b/>
          <w:spacing w:val="-4"/>
          <w:sz w:val="24"/>
        </w:rPr>
        <w:t> </w:t>
      </w:r>
      <w:r>
        <w:rPr>
          <w:b/>
          <w:sz w:val="24"/>
        </w:rPr>
        <w:t>state.</w:t>
      </w:r>
      <w:r>
        <w:rPr>
          <w:b/>
          <w:spacing w:val="-3"/>
          <w:sz w:val="24"/>
        </w:rPr>
        <w:t> </w:t>
      </w:r>
      <w:r>
        <w:rPr>
          <w:sz w:val="24"/>
        </w:rPr>
        <w:t>Clients</w:t>
      </w:r>
      <w:r>
        <w:rPr>
          <w:spacing w:val="-3"/>
          <w:sz w:val="24"/>
        </w:rPr>
        <w:t> </w:t>
      </w:r>
      <w:r>
        <w:rPr>
          <w:sz w:val="24"/>
        </w:rPr>
        <w:t>who</w:t>
      </w:r>
      <w:r>
        <w:rPr>
          <w:spacing w:val="-3"/>
          <w:sz w:val="24"/>
        </w:rPr>
        <w:t> </w:t>
      </w:r>
      <w:r>
        <w:rPr>
          <w:sz w:val="24"/>
        </w:rPr>
        <w:t>move</w:t>
      </w:r>
      <w:r>
        <w:rPr>
          <w:spacing w:val="-3"/>
          <w:sz w:val="24"/>
        </w:rPr>
        <w:t> </w:t>
      </w:r>
      <w:r>
        <w:rPr>
          <w:sz w:val="24"/>
        </w:rPr>
        <w:t>out</w:t>
      </w:r>
      <w:r>
        <w:rPr>
          <w:spacing w:val="-2"/>
          <w:sz w:val="24"/>
        </w:rPr>
        <w:t> </w:t>
      </w:r>
      <w:r>
        <w:rPr>
          <w:sz w:val="24"/>
        </w:rPr>
        <w:t>of</w:t>
      </w:r>
      <w:r>
        <w:rPr>
          <w:spacing w:val="-2"/>
          <w:sz w:val="24"/>
        </w:rPr>
        <w:t> </w:t>
      </w:r>
      <w:r>
        <w:rPr>
          <w:sz w:val="24"/>
        </w:rPr>
        <w:t>state</w:t>
      </w:r>
      <w:r>
        <w:rPr>
          <w:spacing w:val="-3"/>
          <w:sz w:val="24"/>
        </w:rPr>
        <w:t> </w:t>
      </w:r>
      <w:r>
        <w:rPr>
          <w:sz w:val="24"/>
        </w:rPr>
        <w:t>after</w:t>
      </w:r>
      <w:r>
        <w:rPr>
          <w:spacing w:val="-4"/>
          <w:sz w:val="24"/>
        </w:rPr>
        <w:t> </w:t>
      </w:r>
      <w:r>
        <w:rPr>
          <w:sz w:val="24"/>
        </w:rPr>
        <w:t>services</w:t>
      </w:r>
      <w:r>
        <w:rPr>
          <w:spacing w:val="-3"/>
          <w:sz w:val="24"/>
        </w:rPr>
        <w:t> </w:t>
      </w:r>
      <w:r>
        <w:rPr>
          <w:sz w:val="24"/>
        </w:rPr>
        <w:t>have</w:t>
      </w:r>
      <w:r>
        <w:rPr>
          <w:spacing w:val="-3"/>
          <w:sz w:val="24"/>
        </w:rPr>
        <w:t> </w:t>
      </w:r>
      <w:r>
        <w:rPr>
          <w:sz w:val="24"/>
        </w:rPr>
        <w:t>been</w:t>
      </w:r>
      <w:r>
        <w:rPr>
          <w:spacing w:val="-3"/>
          <w:sz w:val="24"/>
        </w:rPr>
        <w:t> </w:t>
      </w:r>
      <w:r>
        <w:rPr>
          <w:sz w:val="24"/>
        </w:rPr>
        <w:t>completed</w:t>
      </w:r>
      <w:r>
        <w:rPr>
          <w:spacing w:val="-3"/>
          <w:sz w:val="24"/>
        </w:rPr>
        <w:t> </w:t>
      </w:r>
      <w:r>
        <w:rPr>
          <w:sz w:val="24"/>
        </w:rPr>
        <w:t>are closed</w:t>
      </w:r>
      <w:r>
        <w:rPr>
          <w:spacing w:val="-3"/>
          <w:sz w:val="24"/>
        </w:rPr>
        <w:t> </w:t>
      </w:r>
      <w:r>
        <w:rPr>
          <w:sz w:val="24"/>
        </w:rPr>
        <w:t>in</w:t>
      </w:r>
      <w:r>
        <w:rPr>
          <w:spacing w:val="-3"/>
          <w:sz w:val="24"/>
        </w:rPr>
        <w:t> </w:t>
      </w:r>
      <w:r>
        <w:rPr>
          <w:sz w:val="24"/>
        </w:rPr>
        <w:t>rehabilitated</w:t>
      </w:r>
      <w:r>
        <w:rPr>
          <w:spacing w:val="-3"/>
          <w:sz w:val="24"/>
        </w:rPr>
        <w:t> </w:t>
      </w:r>
      <w:r>
        <w:rPr>
          <w:sz w:val="24"/>
        </w:rPr>
        <w:t>status</w:t>
      </w:r>
      <w:r>
        <w:rPr>
          <w:spacing w:val="-3"/>
          <w:sz w:val="24"/>
        </w:rPr>
        <w:t> </w:t>
      </w:r>
      <w:r>
        <w:rPr>
          <w:sz w:val="24"/>
        </w:rPr>
        <w:t>if</w:t>
      </w:r>
      <w:r>
        <w:rPr>
          <w:spacing w:val="-4"/>
          <w:sz w:val="24"/>
        </w:rPr>
        <w:t> </w:t>
      </w:r>
      <w:r>
        <w:rPr>
          <w:sz w:val="24"/>
        </w:rPr>
        <w:t>the</w:t>
      </w:r>
      <w:r>
        <w:rPr>
          <w:spacing w:val="-3"/>
          <w:sz w:val="24"/>
        </w:rPr>
        <w:t> </w:t>
      </w:r>
      <w:r>
        <w:rPr>
          <w:sz w:val="24"/>
        </w:rPr>
        <w:t>requirements</w:t>
      </w:r>
      <w:r>
        <w:rPr>
          <w:spacing w:val="-3"/>
          <w:sz w:val="24"/>
        </w:rPr>
        <w:t> </w:t>
      </w:r>
      <w:r>
        <w:rPr>
          <w:sz w:val="24"/>
        </w:rPr>
        <w:t>in</w:t>
      </w:r>
      <w:r>
        <w:rPr>
          <w:spacing w:val="-3"/>
          <w:sz w:val="24"/>
        </w:rPr>
        <w:t> </w:t>
      </w:r>
      <w:r>
        <w:rPr>
          <w:sz w:val="24"/>
        </w:rPr>
        <w:t>Subsection</w:t>
      </w:r>
      <w:r>
        <w:rPr>
          <w:spacing w:val="-3"/>
          <w:sz w:val="24"/>
        </w:rPr>
        <w:t> </w:t>
      </w:r>
      <w:r>
        <w:rPr>
          <w:sz w:val="24"/>
        </w:rPr>
        <w:t>(a)</w:t>
      </w:r>
      <w:r>
        <w:rPr>
          <w:spacing w:val="-2"/>
          <w:sz w:val="24"/>
        </w:rPr>
        <w:t> </w:t>
      </w:r>
      <w:r>
        <w:rPr>
          <w:sz w:val="24"/>
        </w:rPr>
        <w:t>of</w:t>
      </w:r>
      <w:r>
        <w:rPr>
          <w:spacing w:val="-2"/>
          <w:sz w:val="24"/>
        </w:rPr>
        <w:t> </w:t>
      </w:r>
      <w:r>
        <w:rPr>
          <w:sz w:val="24"/>
        </w:rPr>
        <w:t>this</w:t>
      </w:r>
      <w:r>
        <w:rPr>
          <w:spacing w:val="-3"/>
          <w:sz w:val="24"/>
        </w:rPr>
        <w:t> </w:t>
      </w:r>
      <w:r>
        <w:rPr>
          <w:sz w:val="24"/>
        </w:rPr>
        <w:t>Section</w:t>
      </w:r>
      <w:r>
        <w:rPr>
          <w:spacing w:val="-3"/>
          <w:sz w:val="24"/>
        </w:rPr>
        <w:t> </w:t>
      </w:r>
      <w:r>
        <w:rPr>
          <w:sz w:val="24"/>
        </w:rPr>
        <w:t>can</w:t>
      </w:r>
      <w:r>
        <w:rPr>
          <w:spacing w:val="-3"/>
          <w:sz w:val="24"/>
        </w:rPr>
        <w:t> </w:t>
      </w:r>
      <w:r>
        <w:rPr>
          <w:sz w:val="24"/>
        </w:rPr>
        <w:t>be met. If those requirements cannot be met the case will be closed, not rehabilitated.</w:t>
      </w:r>
    </w:p>
    <w:p>
      <w:pPr>
        <w:pStyle w:val="ListParagraph"/>
        <w:numPr>
          <w:ilvl w:val="0"/>
          <w:numId w:val="150"/>
        </w:numPr>
        <w:tabs>
          <w:tab w:pos="773" w:val="left" w:leader="none"/>
        </w:tabs>
        <w:spacing w:line="208" w:lineRule="auto" w:before="240" w:after="0"/>
        <w:ind w:left="360" w:right="739" w:firstLine="0"/>
        <w:jc w:val="left"/>
        <w:rPr>
          <w:sz w:val="24"/>
        </w:rPr>
      </w:pPr>
      <w:r>
        <w:rPr>
          <w:b/>
          <w:sz w:val="24"/>
        </w:rPr>
        <w:t>Successful closure prior to completion of IPE</w:t>
      </w:r>
      <w:r>
        <w:rPr>
          <w:sz w:val="24"/>
        </w:rPr>
        <w:t>. If employment is secured before completion</w:t>
      </w:r>
      <w:r>
        <w:rPr>
          <w:spacing w:val="-3"/>
          <w:sz w:val="24"/>
        </w:rPr>
        <w:t> </w:t>
      </w:r>
      <w:r>
        <w:rPr>
          <w:sz w:val="24"/>
        </w:rPr>
        <w:t>of</w:t>
      </w:r>
      <w:r>
        <w:rPr>
          <w:spacing w:val="-3"/>
          <w:sz w:val="24"/>
        </w:rPr>
        <w:t> </w:t>
      </w:r>
      <w:r>
        <w:rPr>
          <w:sz w:val="24"/>
        </w:rPr>
        <w:t>the</w:t>
      </w:r>
      <w:r>
        <w:rPr>
          <w:spacing w:val="-5"/>
          <w:sz w:val="24"/>
        </w:rPr>
        <w:t> </w:t>
      </w:r>
      <w:r>
        <w:rPr>
          <w:sz w:val="24"/>
        </w:rPr>
        <w:t>IPE,</w:t>
      </w:r>
      <w:r>
        <w:rPr>
          <w:spacing w:val="-5"/>
          <w:sz w:val="24"/>
        </w:rPr>
        <w:t> </w:t>
      </w:r>
      <w:r>
        <w:rPr>
          <w:sz w:val="24"/>
        </w:rPr>
        <w:t>a</w:t>
      </w:r>
      <w:r>
        <w:rPr>
          <w:spacing w:val="-4"/>
          <w:sz w:val="24"/>
        </w:rPr>
        <w:t> </w:t>
      </w:r>
      <w:r>
        <w:rPr>
          <w:sz w:val="24"/>
        </w:rPr>
        <w:t>counselor</w:t>
      </w:r>
      <w:r>
        <w:rPr>
          <w:spacing w:val="-3"/>
          <w:sz w:val="24"/>
        </w:rPr>
        <w:t> </w:t>
      </w:r>
      <w:r>
        <w:rPr>
          <w:sz w:val="24"/>
        </w:rPr>
        <w:t>must</w:t>
      </w:r>
      <w:r>
        <w:rPr>
          <w:spacing w:val="-5"/>
          <w:sz w:val="24"/>
        </w:rPr>
        <w:t> </w:t>
      </w:r>
      <w:r>
        <w:rPr>
          <w:sz w:val="24"/>
        </w:rPr>
        <w:t>document</w:t>
      </w:r>
      <w:r>
        <w:rPr>
          <w:spacing w:val="-3"/>
          <w:sz w:val="24"/>
        </w:rPr>
        <w:t> </w:t>
      </w:r>
      <w:r>
        <w:rPr>
          <w:sz w:val="24"/>
        </w:rPr>
        <w:t>the</w:t>
      </w:r>
      <w:r>
        <w:rPr>
          <w:spacing w:val="-5"/>
          <w:sz w:val="24"/>
        </w:rPr>
        <w:t> </w:t>
      </w:r>
      <w:r>
        <w:rPr>
          <w:sz w:val="24"/>
        </w:rPr>
        <w:t>conditions</w:t>
      </w:r>
      <w:r>
        <w:rPr>
          <w:spacing w:val="-4"/>
          <w:sz w:val="24"/>
        </w:rPr>
        <w:t> </w:t>
      </w:r>
      <w:r>
        <w:rPr>
          <w:sz w:val="24"/>
        </w:rPr>
        <w:t>of</w:t>
      </w:r>
      <w:r>
        <w:rPr>
          <w:spacing w:val="-3"/>
          <w:sz w:val="24"/>
        </w:rPr>
        <w:t> </w:t>
      </w:r>
      <w:r>
        <w:rPr>
          <w:sz w:val="24"/>
        </w:rPr>
        <w:t>substantial</w:t>
      </w:r>
      <w:r>
        <w:rPr>
          <w:spacing w:val="-4"/>
          <w:sz w:val="24"/>
        </w:rPr>
        <w:t> </w:t>
      </w:r>
      <w:r>
        <w:rPr>
          <w:sz w:val="24"/>
        </w:rPr>
        <w:t>services and suitable employment were met. If planned services are interrupted prior to</w:t>
      </w:r>
      <w:r>
        <w:rPr>
          <w:spacing w:val="40"/>
          <w:sz w:val="24"/>
        </w:rPr>
        <w:t> </w:t>
      </w:r>
      <w:r>
        <w:rPr>
          <w:sz w:val="24"/>
        </w:rPr>
        <w:t>achieving the originally planned vocational goal, and services provided have directly contributed to the employment outcome for the individual or to job retention, an IPE amendment is not needed to revise the vocational goal prior to closure. A plan amendment is required when there is a substantial deviation from the original employment goal.</w:t>
      </w:r>
    </w:p>
    <w:p>
      <w:pPr>
        <w:pStyle w:val="ListParagraph"/>
        <w:numPr>
          <w:ilvl w:val="0"/>
          <w:numId w:val="150"/>
        </w:numPr>
        <w:tabs>
          <w:tab w:pos="786" w:val="left" w:leader="none"/>
        </w:tabs>
        <w:spacing w:line="208" w:lineRule="auto" w:before="239" w:after="0"/>
        <w:ind w:left="360" w:right="765" w:firstLine="0"/>
        <w:jc w:val="left"/>
        <w:rPr>
          <w:sz w:val="24"/>
        </w:rPr>
      </w:pPr>
      <w:r>
        <w:rPr>
          <w:b/>
          <w:sz w:val="24"/>
        </w:rPr>
        <w:t>Cases closed from supported employment. </w:t>
      </w:r>
      <w:r>
        <w:rPr>
          <w:sz w:val="24"/>
        </w:rPr>
        <w:t>An individual with the most significant disabilities who is receiving supported employment services is considered to be successfully rehabilitated if the individual maintains a supported employment placement for a minimum of 90 days beyond stabilization. In addition to the criteria for "suitably employed", the counselor must document that the individual has met or has made substantial progress toward meeting the weekly work goal defined in the IPE, the client</w:t>
      </w:r>
      <w:r>
        <w:rPr>
          <w:spacing w:val="-1"/>
          <w:sz w:val="24"/>
        </w:rPr>
        <w:t> </w:t>
      </w:r>
      <w:r>
        <w:rPr>
          <w:sz w:val="24"/>
        </w:rPr>
        <w:t>is</w:t>
      </w:r>
      <w:r>
        <w:rPr>
          <w:spacing w:val="-2"/>
          <w:sz w:val="24"/>
        </w:rPr>
        <w:t> </w:t>
      </w:r>
      <w:r>
        <w:rPr>
          <w:sz w:val="24"/>
        </w:rPr>
        <w:t>satisfied</w:t>
      </w:r>
      <w:r>
        <w:rPr>
          <w:spacing w:val="-2"/>
          <w:sz w:val="24"/>
        </w:rPr>
        <w:t> </w:t>
      </w:r>
      <w:r>
        <w:rPr>
          <w:sz w:val="24"/>
        </w:rPr>
        <w:t>with</w:t>
      </w:r>
      <w:r>
        <w:rPr>
          <w:spacing w:val="-2"/>
          <w:sz w:val="24"/>
        </w:rPr>
        <w:t> </w:t>
      </w:r>
      <w:r>
        <w:rPr>
          <w:sz w:val="24"/>
        </w:rPr>
        <w:t>the</w:t>
      </w:r>
      <w:r>
        <w:rPr>
          <w:spacing w:val="-2"/>
          <w:sz w:val="24"/>
        </w:rPr>
        <w:t> </w:t>
      </w:r>
      <w:r>
        <w:rPr>
          <w:sz w:val="24"/>
        </w:rPr>
        <w:t>job,</w:t>
      </w:r>
      <w:r>
        <w:rPr>
          <w:spacing w:val="-1"/>
          <w:sz w:val="24"/>
        </w:rPr>
        <w:t> </w:t>
      </w:r>
      <w:r>
        <w:rPr>
          <w:sz w:val="24"/>
        </w:rPr>
        <w:t>the</w:t>
      </w:r>
      <w:r>
        <w:rPr>
          <w:spacing w:val="-2"/>
          <w:sz w:val="24"/>
        </w:rPr>
        <w:t> </w:t>
      </w:r>
      <w:r>
        <w:rPr>
          <w:sz w:val="24"/>
        </w:rPr>
        <w:t>employer</w:t>
      </w:r>
      <w:r>
        <w:rPr>
          <w:spacing w:val="-1"/>
          <w:sz w:val="24"/>
        </w:rPr>
        <w:t> </w:t>
      </w:r>
      <w:r>
        <w:rPr>
          <w:sz w:val="24"/>
        </w:rPr>
        <w:t>is</w:t>
      </w:r>
      <w:r>
        <w:rPr>
          <w:spacing w:val="-1"/>
          <w:sz w:val="24"/>
        </w:rPr>
        <w:t> </w:t>
      </w:r>
      <w:r>
        <w:rPr>
          <w:sz w:val="24"/>
        </w:rPr>
        <w:t>satisfied</w:t>
      </w:r>
      <w:r>
        <w:rPr>
          <w:spacing w:val="-2"/>
          <w:sz w:val="24"/>
        </w:rPr>
        <w:t> </w:t>
      </w:r>
      <w:r>
        <w:rPr>
          <w:sz w:val="24"/>
        </w:rPr>
        <w:t>with</w:t>
      </w:r>
      <w:r>
        <w:rPr>
          <w:spacing w:val="-2"/>
          <w:sz w:val="24"/>
        </w:rPr>
        <w:t> </w:t>
      </w:r>
      <w:r>
        <w:rPr>
          <w:sz w:val="24"/>
        </w:rPr>
        <w:t>the</w:t>
      </w:r>
      <w:r>
        <w:rPr>
          <w:spacing w:val="-2"/>
          <w:sz w:val="24"/>
        </w:rPr>
        <w:t> </w:t>
      </w:r>
      <w:r>
        <w:rPr>
          <w:sz w:val="24"/>
        </w:rPr>
        <w:t>client's</w:t>
      </w:r>
      <w:r>
        <w:rPr>
          <w:spacing w:val="-2"/>
          <w:sz w:val="24"/>
        </w:rPr>
        <w:t> </w:t>
      </w:r>
      <w:r>
        <w:rPr>
          <w:sz w:val="24"/>
        </w:rPr>
        <w:t>job</w:t>
      </w:r>
      <w:r>
        <w:rPr>
          <w:spacing w:val="-2"/>
          <w:sz w:val="24"/>
        </w:rPr>
        <w:t> </w:t>
      </w:r>
      <w:r>
        <w:rPr>
          <w:sz w:val="24"/>
        </w:rPr>
        <w:t>performance, extended</w:t>
      </w:r>
      <w:r>
        <w:rPr>
          <w:spacing w:val="-4"/>
          <w:sz w:val="24"/>
        </w:rPr>
        <w:t> </w:t>
      </w:r>
      <w:r>
        <w:rPr>
          <w:sz w:val="24"/>
        </w:rPr>
        <w:t>services</w:t>
      </w:r>
      <w:r>
        <w:rPr>
          <w:spacing w:val="-4"/>
          <w:sz w:val="24"/>
        </w:rPr>
        <w:t> </w:t>
      </w:r>
      <w:r>
        <w:rPr>
          <w:sz w:val="24"/>
        </w:rPr>
        <w:t>are</w:t>
      </w:r>
      <w:r>
        <w:rPr>
          <w:spacing w:val="-4"/>
          <w:sz w:val="24"/>
        </w:rPr>
        <w:t> </w:t>
      </w:r>
      <w:r>
        <w:rPr>
          <w:sz w:val="24"/>
        </w:rPr>
        <w:t>in</w:t>
      </w:r>
      <w:r>
        <w:rPr>
          <w:spacing w:val="-4"/>
          <w:sz w:val="24"/>
        </w:rPr>
        <w:t> </w:t>
      </w:r>
      <w:r>
        <w:rPr>
          <w:sz w:val="24"/>
        </w:rPr>
        <w:t>place,</w:t>
      </w:r>
      <w:r>
        <w:rPr>
          <w:spacing w:val="-3"/>
          <w:sz w:val="24"/>
        </w:rPr>
        <w:t> </w:t>
      </w:r>
      <w:r>
        <w:rPr>
          <w:sz w:val="24"/>
        </w:rPr>
        <w:t>all</w:t>
      </w:r>
      <w:r>
        <w:rPr>
          <w:spacing w:val="-4"/>
          <w:sz w:val="24"/>
        </w:rPr>
        <w:t> </w:t>
      </w:r>
      <w:r>
        <w:rPr>
          <w:sz w:val="24"/>
        </w:rPr>
        <w:t>supported</w:t>
      </w:r>
      <w:r>
        <w:rPr>
          <w:spacing w:val="-3"/>
          <w:sz w:val="24"/>
        </w:rPr>
        <w:t> </w:t>
      </w:r>
      <w:r>
        <w:rPr>
          <w:sz w:val="24"/>
        </w:rPr>
        <w:t>employment</w:t>
      </w:r>
      <w:r>
        <w:rPr>
          <w:spacing w:val="-3"/>
          <w:sz w:val="24"/>
        </w:rPr>
        <w:t> </w:t>
      </w:r>
      <w:r>
        <w:rPr>
          <w:sz w:val="24"/>
        </w:rPr>
        <w:t>requirements</w:t>
      </w:r>
      <w:r>
        <w:rPr>
          <w:spacing w:val="-4"/>
          <w:sz w:val="24"/>
        </w:rPr>
        <w:t> </w:t>
      </w:r>
      <w:r>
        <w:rPr>
          <w:sz w:val="24"/>
        </w:rPr>
        <w:t>have</w:t>
      </w:r>
      <w:r>
        <w:rPr>
          <w:spacing w:val="-4"/>
          <w:sz w:val="24"/>
        </w:rPr>
        <w:t> </w:t>
      </w:r>
      <w:r>
        <w:rPr>
          <w:sz w:val="24"/>
        </w:rPr>
        <w:t>been</w:t>
      </w:r>
      <w:r>
        <w:rPr>
          <w:spacing w:val="-4"/>
          <w:sz w:val="24"/>
        </w:rPr>
        <w:t> </w:t>
      </w:r>
      <w:r>
        <w:rPr>
          <w:sz w:val="24"/>
        </w:rPr>
        <w:t>met, and the case is ready for closure. The closure documentation will address any significant differences in the ultimate work week achieved as compared with the predicted goal.</w:t>
      </w:r>
    </w:p>
    <w:p>
      <w:pPr>
        <w:pStyle w:val="ListParagraph"/>
        <w:numPr>
          <w:ilvl w:val="0"/>
          <w:numId w:val="150"/>
        </w:numPr>
        <w:tabs>
          <w:tab w:pos="786" w:val="left" w:leader="none"/>
        </w:tabs>
        <w:spacing w:line="208" w:lineRule="auto" w:before="239" w:after="0"/>
        <w:ind w:left="360" w:right="1086" w:firstLine="0"/>
        <w:jc w:val="left"/>
        <w:rPr>
          <w:sz w:val="24"/>
        </w:rPr>
      </w:pPr>
      <w:r>
        <w:rPr>
          <w:b/>
          <w:sz w:val="24"/>
        </w:rPr>
        <w:t>Cases closed from employment and retention. </w:t>
      </w:r>
      <w:r>
        <w:rPr>
          <w:sz w:val="24"/>
        </w:rPr>
        <w:t>An individual with significant disabilities who is receiving employment and retention services is considered to be successfully</w:t>
      </w:r>
      <w:r>
        <w:rPr>
          <w:spacing w:val="-4"/>
          <w:sz w:val="24"/>
        </w:rPr>
        <w:t> </w:t>
      </w:r>
      <w:r>
        <w:rPr>
          <w:sz w:val="24"/>
        </w:rPr>
        <w:t>rehabilitated</w:t>
      </w:r>
      <w:r>
        <w:rPr>
          <w:spacing w:val="-4"/>
          <w:sz w:val="24"/>
        </w:rPr>
        <w:t> </w:t>
      </w:r>
      <w:r>
        <w:rPr>
          <w:sz w:val="24"/>
        </w:rPr>
        <w:t>when</w:t>
      </w:r>
      <w:r>
        <w:rPr>
          <w:spacing w:val="-4"/>
          <w:sz w:val="24"/>
        </w:rPr>
        <w:t> </w:t>
      </w:r>
      <w:r>
        <w:rPr>
          <w:sz w:val="24"/>
        </w:rPr>
        <w:t>the</w:t>
      </w:r>
      <w:r>
        <w:rPr>
          <w:spacing w:val="-4"/>
          <w:sz w:val="24"/>
        </w:rPr>
        <w:t> </w:t>
      </w:r>
      <w:r>
        <w:rPr>
          <w:sz w:val="24"/>
        </w:rPr>
        <w:t>client</w:t>
      </w:r>
      <w:r>
        <w:rPr>
          <w:spacing w:val="-3"/>
          <w:sz w:val="24"/>
        </w:rPr>
        <w:t> </w:t>
      </w:r>
      <w:r>
        <w:rPr>
          <w:sz w:val="24"/>
        </w:rPr>
        <w:t>maintains</w:t>
      </w:r>
      <w:r>
        <w:rPr>
          <w:spacing w:val="-4"/>
          <w:sz w:val="24"/>
        </w:rPr>
        <w:t> </w:t>
      </w:r>
      <w:r>
        <w:rPr>
          <w:sz w:val="24"/>
        </w:rPr>
        <w:t>employment</w:t>
      </w:r>
      <w:r>
        <w:rPr>
          <w:spacing w:val="-3"/>
          <w:sz w:val="24"/>
        </w:rPr>
        <w:t> </w:t>
      </w:r>
      <w:r>
        <w:rPr>
          <w:sz w:val="24"/>
        </w:rPr>
        <w:t>for</w:t>
      </w:r>
      <w:r>
        <w:rPr>
          <w:spacing w:val="-6"/>
          <w:sz w:val="24"/>
        </w:rPr>
        <w:t> </w:t>
      </w:r>
      <w:r>
        <w:rPr>
          <w:sz w:val="24"/>
        </w:rPr>
        <w:t>a</w:t>
      </w:r>
      <w:r>
        <w:rPr>
          <w:spacing w:val="-4"/>
          <w:sz w:val="24"/>
        </w:rPr>
        <w:t> </w:t>
      </w:r>
      <w:r>
        <w:rPr>
          <w:sz w:val="24"/>
        </w:rPr>
        <w:t>minimum</w:t>
      </w:r>
      <w:r>
        <w:rPr>
          <w:spacing w:val="-3"/>
          <w:sz w:val="24"/>
        </w:rPr>
        <w:t> </w:t>
      </w:r>
      <w:r>
        <w:rPr>
          <w:sz w:val="24"/>
        </w:rPr>
        <w:t>of</w:t>
      </w:r>
      <w:r>
        <w:rPr>
          <w:spacing w:val="-3"/>
          <w:sz w:val="24"/>
        </w:rPr>
        <w:t> </w:t>
      </w:r>
      <w:r>
        <w:rPr>
          <w:sz w:val="24"/>
        </w:rPr>
        <w:t>90 days beyond the "4 Weeks Job Support-Retention" Milestone.</w:t>
      </w:r>
    </w:p>
    <w:p>
      <w:pPr>
        <w:pStyle w:val="ListParagraph"/>
        <w:spacing w:after="0" w:line="208" w:lineRule="auto"/>
        <w:jc w:val="left"/>
        <w:rPr>
          <w:sz w:val="24"/>
        </w:rPr>
        <w:sectPr>
          <w:pgSz w:w="12240" w:h="15840"/>
          <w:pgMar w:top="1340" w:bottom="280" w:left="1080" w:right="720"/>
        </w:sectPr>
      </w:pPr>
    </w:p>
    <w:p>
      <w:pPr>
        <w:pStyle w:val="ListParagraph"/>
        <w:numPr>
          <w:ilvl w:val="0"/>
          <w:numId w:val="150"/>
        </w:numPr>
        <w:tabs>
          <w:tab w:pos="719" w:val="left" w:leader="none"/>
        </w:tabs>
        <w:spacing w:line="208" w:lineRule="auto" w:before="96" w:after="0"/>
        <w:ind w:left="360" w:right="738" w:firstLine="0"/>
        <w:jc w:val="left"/>
        <w:rPr>
          <w:sz w:val="24"/>
        </w:rPr>
      </w:pPr>
      <w:r>
        <w:rPr>
          <w:b/>
          <w:sz w:val="24"/>
        </w:rPr>
        <w:t>Case recording requirements</w:t>
      </w:r>
      <w:r>
        <w:rPr>
          <w:sz w:val="24"/>
        </w:rPr>
        <w:t>. The client, or the client's authorized representative as appropriate, will be a full participant in the decision to close the case. The last discussion of the closure decision with the client, or the client's authorized representative, will be held at the end of the required 90 days of the closure, and will be documented</w:t>
      </w:r>
      <w:r>
        <w:rPr>
          <w:spacing w:val="-3"/>
          <w:sz w:val="24"/>
        </w:rPr>
        <w:t> </w:t>
      </w:r>
      <w:r>
        <w:rPr>
          <w:sz w:val="24"/>
        </w:rPr>
        <w:t>in</w:t>
      </w:r>
      <w:r>
        <w:rPr>
          <w:spacing w:val="-3"/>
          <w:sz w:val="24"/>
        </w:rPr>
        <w:t> </w:t>
      </w:r>
      <w:r>
        <w:rPr>
          <w:sz w:val="24"/>
        </w:rPr>
        <w:t>a</w:t>
      </w:r>
      <w:r>
        <w:rPr>
          <w:spacing w:val="-3"/>
          <w:sz w:val="24"/>
        </w:rPr>
        <w:t> </w:t>
      </w:r>
      <w:r>
        <w:rPr>
          <w:sz w:val="24"/>
        </w:rPr>
        <w:t>case</w:t>
      </w:r>
      <w:r>
        <w:rPr>
          <w:spacing w:val="-3"/>
          <w:sz w:val="24"/>
        </w:rPr>
        <w:t> </w:t>
      </w:r>
      <w:r>
        <w:rPr>
          <w:sz w:val="24"/>
        </w:rPr>
        <w:t>narrative.</w:t>
      </w:r>
      <w:r>
        <w:rPr>
          <w:spacing w:val="-2"/>
          <w:sz w:val="24"/>
        </w:rPr>
        <w:t> </w:t>
      </w:r>
      <w:r>
        <w:rPr>
          <w:sz w:val="24"/>
        </w:rPr>
        <w:t>The</w:t>
      </w:r>
      <w:r>
        <w:rPr>
          <w:spacing w:val="-3"/>
          <w:sz w:val="24"/>
        </w:rPr>
        <w:t> </w:t>
      </w:r>
      <w:r>
        <w:rPr>
          <w:sz w:val="24"/>
        </w:rPr>
        <w:t>client</w:t>
      </w:r>
      <w:r>
        <w:rPr>
          <w:spacing w:val="-2"/>
          <w:sz w:val="24"/>
        </w:rPr>
        <w:t> </w:t>
      </w:r>
      <w:r>
        <w:rPr>
          <w:sz w:val="24"/>
        </w:rPr>
        <w:t>will</w:t>
      </w:r>
      <w:r>
        <w:rPr>
          <w:spacing w:val="-3"/>
          <w:sz w:val="24"/>
        </w:rPr>
        <w:t> </w:t>
      </w:r>
      <w:r>
        <w:rPr>
          <w:sz w:val="24"/>
        </w:rPr>
        <w:t>be</w:t>
      </w:r>
      <w:r>
        <w:rPr>
          <w:spacing w:val="-3"/>
          <w:sz w:val="24"/>
        </w:rPr>
        <w:t> </w:t>
      </w:r>
      <w:r>
        <w:rPr>
          <w:sz w:val="24"/>
        </w:rPr>
        <w:t>notified</w:t>
      </w:r>
      <w:r>
        <w:rPr>
          <w:spacing w:val="-3"/>
          <w:sz w:val="24"/>
        </w:rPr>
        <w:t> </w:t>
      </w:r>
      <w:r>
        <w:rPr>
          <w:sz w:val="24"/>
        </w:rPr>
        <w:t>in</w:t>
      </w:r>
      <w:r>
        <w:rPr>
          <w:spacing w:val="-3"/>
          <w:sz w:val="24"/>
        </w:rPr>
        <w:t> </w:t>
      </w:r>
      <w:r>
        <w:rPr>
          <w:sz w:val="24"/>
        </w:rPr>
        <w:t>their</w:t>
      </w:r>
      <w:r>
        <w:rPr>
          <w:spacing w:val="-2"/>
          <w:sz w:val="24"/>
        </w:rPr>
        <w:t> </w:t>
      </w:r>
      <w:r>
        <w:rPr>
          <w:sz w:val="24"/>
        </w:rPr>
        <w:t>preferred</w:t>
      </w:r>
      <w:r>
        <w:rPr>
          <w:spacing w:val="-3"/>
          <w:sz w:val="24"/>
        </w:rPr>
        <w:t> </w:t>
      </w:r>
      <w:r>
        <w:rPr>
          <w:sz w:val="24"/>
        </w:rPr>
        <w:t>format</w:t>
      </w:r>
      <w:r>
        <w:rPr>
          <w:spacing w:val="-2"/>
          <w:sz w:val="24"/>
        </w:rPr>
        <w:t> </w:t>
      </w:r>
      <w:r>
        <w:rPr>
          <w:sz w:val="24"/>
        </w:rPr>
        <w:t>of</w:t>
      </w:r>
      <w:r>
        <w:rPr>
          <w:spacing w:val="-4"/>
          <w:sz w:val="24"/>
        </w:rPr>
        <w:t> </w:t>
      </w:r>
      <w:r>
        <w:rPr>
          <w:sz w:val="24"/>
        </w:rPr>
        <w:t>the case closure.</w:t>
      </w:r>
    </w:p>
    <w:p>
      <w:pPr>
        <w:pStyle w:val="ListParagraph"/>
        <w:numPr>
          <w:ilvl w:val="0"/>
          <w:numId w:val="150"/>
        </w:numPr>
        <w:tabs>
          <w:tab w:pos="786" w:val="left" w:leader="none"/>
        </w:tabs>
        <w:spacing w:line="208" w:lineRule="auto" w:before="239" w:after="0"/>
        <w:ind w:left="360" w:right="806" w:firstLine="0"/>
        <w:jc w:val="both"/>
        <w:rPr>
          <w:sz w:val="24"/>
        </w:rPr>
      </w:pPr>
      <w:r>
        <w:rPr>
          <w:b/>
          <w:sz w:val="24"/>
        </w:rPr>
        <w:t>Documentation</w:t>
      </w:r>
      <w:r>
        <w:rPr>
          <w:b/>
          <w:spacing w:val="-5"/>
          <w:sz w:val="24"/>
        </w:rPr>
        <w:t> </w:t>
      </w:r>
      <w:r>
        <w:rPr>
          <w:b/>
          <w:sz w:val="24"/>
        </w:rPr>
        <w:t>at</w:t>
      </w:r>
      <w:r>
        <w:rPr>
          <w:b/>
          <w:spacing w:val="-3"/>
          <w:sz w:val="24"/>
        </w:rPr>
        <w:t> </w:t>
      </w:r>
      <w:r>
        <w:rPr>
          <w:b/>
          <w:sz w:val="24"/>
        </w:rPr>
        <w:t>Successful</w:t>
      </w:r>
      <w:r>
        <w:rPr>
          <w:b/>
          <w:spacing w:val="-3"/>
          <w:sz w:val="24"/>
        </w:rPr>
        <w:t> </w:t>
      </w:r>
      <w:r>
        <w:rPr>
          <w:b/>
          <w:sz w:val="24"/>
        </w:rPr>
        <w:t>Closure.</w:t>
      </w:r>
      <w:r>
        <w:rPr>
          <w:b/>
          <w:spacing w:val="-3"/>
          <w:sz w:val="24"/>
        </w:rPr>
        <w:t> </w:t>
      </w:r>
      <w:r>
        <w:rPr>
          <w:sz w:val="24"/>
        </w:rPr>
        <w:t>Prior</w:t>
      </w:r>
      <w:r>
        <w:rPr>
          <w:spacing w:val="-3"/>
          <w:sz w:val="24"/>
        </w:rPr>
        <w:t> </w:t>
      </w:r>
      <w:r>
        <w:rPr>
          <w:sz w:val="24"/>
        </w:rPr>
        <w:t>to</w:t>
      </w:r>
      <w:r>
        <w:rPr>
          <w:spacing w:val="-6"/>
          <w:sz w:val="24"/>
        </w:rPr>
        <w:t> </w:t>
      </w:r>
      <w:r>
        <w:rPr>
          <w:sz w:val="24"/>
        </w:rPr>
        <w:t>closure,</w:t>
      </w:r>
      <w:r>
        <w:rPr>
          <w:spacing w:val="-3"/>
          <w:sz w:val="24"/>
        </w:rPr>
        <w:t> </w:t>
      </w:r>
      <w:r>
        <w:rPr>
          <w:sz w:val="24"/>
        </w:rPr>
        <w:t>a</w:t>
      </w:r>
      <w:r>
        <w:rPr>
          <w:spacing w:val="-4"/>
          <w:sz w:val="24"/>
        </w:rPr>
        <w:t> </w:t>
      </w:r>
      <w:r>
        <w:rPr>
          <w:sz w:val="24"/>
        </w:rPr>
        <w:t>copy</w:t>
      </w:r>
      <w:r>
        <w:rPr>
          <w:spacing w:val="-4"/>
          <w:sz w:val="24"/>
        </w:rPr>
        <w:t> </w:t>
      </w:r>
      <w:r>
        <w:rPr>
          <w:sz w:val="24"/>
        </w:rPr>
        <w:t>of</w:t>
      </w:r>
      <w:r>
        <w:rPr>
          <w:spacing w:val="-3"/>
          <w:sz w:val="24"/>
        </w:rPr>
        <w:t> </w:t>
      </w:r>
      <w:r>
        <w:rPr>
          <w:sz w:val="24"/>
        </w:rPr>
        <w:t>the</w:t>
      </w:r>
      <w:r>
        <w:rPr>
          <w:spacing w:val="-5"/>
          <w:sz w:val="24"/>
        </w:rPr>
        <w:t> </w:t>
      </w:r>
      <w:r>
        <w:rPr>
          <w:sz w:val="24"/>
        </w:rPr>
        <w:t>current</w:t>
      </w:r>
      <w:r>
        <w:rPr>
          <w:spacing w:val="-3"/>
          <w:sz w:val="24"/>
        </w:rPr>
        <w:t> </w:t>
      </w:r>
      <w:r>
        <w:rPr>
          <w:sz w:val="24"/>
        </w:rPr>
        <w:t>pay stub identifying the individual's competitive hourly wage and hours to determine weekly earnings. If the current pay stub is not available, then the following is acceptable:</w:t>
      </w:r>
    </w:p>
    <w:p>
      <w:pPr>
        <w:pStyle w:val="ListParagraph"/>
        <w:numPr>
          <w:ilvl w:val="1"/>
          <w:numId w:val="150"/>
        </w:numPr>
        <w:tabs>
          <w:tab w:pos="1217" w:val="left" w:leader="none"/>
        </w:tabs>
        <w:spacing w:line="208" w:lineRule="auto" w:before="240" w:after="0"/>
        <w:ind w:left="791" w:right="936" w:firstLine="0"/>
        <w:jc w:val="left"/>
        <w:rPr>
          <w:sz w:val="24"/>
        </w:rPr>
      </w:pPr>
      <w:r>
        <w:rPr>
          <w:sz w:val="24"/>
        </w:rPr>
        <w:t>An individual's written report of employment information and required wage information</w:t>
      </w:r>
      <w:r>
        <w:rPr>
          <w:spacing w:val="-5"/>
          <w:sz w:val="24"/>
        </w:rPr>
        <w:t> </w:t>
      </w:r>
      <w:r>
        <w:rPr>
          <w:sz w:val="24"/>
        </w:rPr>
        <w:t>documented</w:t>
      </w:r>
      <w:r>
        <w:rPr>
          <w:spacing w:val="-5"/>
          <w:sz w:val="24"/>
        </w:rPr>
        <w:t> </w:t>
      </w:r>
      <w:r>
        <w:rPr>
          <w:sz w:val="24"/>
        </w:rPr>
        <w:t>on</w:t>
      </w:r>
      <w:r>
        <w:rPr>
          <w:spacing w:val="-5"/>
          <w:sz w:val="24"/>
        </w:rPr>
        <w:t> </w:t>
      </w:r>
      <w:r>
        <w:rPr>
          <w:sz w:val="24"/>
        </w:rPr>
        <w:t>an</w:t>
      </w:r>
      <w:r>
        <w:rPr>
          <w:spacing w:val="-5"/>
          <w:sz w:val="24"/>
        </w:rPr>
        <w:t> </w:t>
      </w:r>
      <w:r>
        <w:rPr>
          <w:sz w:val="24"/>
        </w:rPr>
        <w:t>authorized</w:t>
      </w:r>
      <w:r>
        <w:rPr>
          <w:spacing w:val="-5"/>
          <w:sz w:val="24"/>
        </w:rPr>
        <w:t> </w:t>
      </w:r>
      <w:r>
        <w:rPr>
          <w:sz w:val="24"/>
        </w:rPr>
        <w:t>DRS</w:t>
      </w:r>
      <w:r>
        <w:rPr>
          <w:spacing w:val="-5"/>
          <w:sz w:val="24"/>
        </w:rPr>
        <w:t> </w:t>
      </w:r>
      <w:r>
        <w:rPr>
          <w:sz w:val="24"/>
        </w:rPr>
        <w:t>form</w:t>
      </w:r>
      <w:r>
        <w:rPr>
          <w:spacing w:val="-4"/>
          <w:sz w:val="24"/>
        </w:rPr>
        <w:t> </w:t>
      </w:r>
      <w:r>
        <w:rPr>
          <w:sz w:val="24"/>
        </w:rPr>
        <w:t>(DRS-C-065)</w:t>
      </w:r>
      <w:r>
        <w:rPr>
          <w:spacing w:val="-4"/>
          <w:sz w:val="24"/>
        </w:rPr>
        <w:t> </w:t>
      </w:r>
      <w:r>
        <w:rPr>
          <w:sz w:val="24"/>
        </w:rPr>
        <w:t>with</w:t>
      </w:r>
      <w:r>
        <w:rPr>
          <w:spacing w:val="-5"/>
          <w:sz w:val="24"/>
        </w:rPr>
        <w:t> </w:t>
      </w:r>
      <w:r>
        <w:rPr>
          <w:sz w:val="24"/>
        </w:rPr>
        <w:t>their</w:t>
      </w:r>
      <w:r>
        <w:rPr>
          <w:spacing w:val="-4"/>
          <w:sz w:val="24"/>
        </w:rPr>
        <w:t> </w:t>
      </w:r>
      <w:r>
        <w:rPr>
          <w:sz w:val="24"/>
        </w:rPr>
        <w:t>dated signature; or</w:t>
      </w:r>
    </w:p>
    <w:p>
      <w:pPr>
        <w:pStyle w:val="ListParagraph"/>
        <w:numPr>
          <w:ilvl w:val="1"/>
          <w:numId w:val="150"/>
        </w:numPr>
        <w:tabs>
          <w:tab w:pos="1217" w:val="left" w:leader="none"/>
        </w:tabs>
        <w:spacing w:line="208" w:lineRule="auto" w:before="240" w:after="0"/>
        <w:ind w:left="791" w:right="772" w:firstLine="0"/>
        <w:jc w:val="left"/>
        <w:rPr>
          <w:sz w:val="24"/>
        </w:rPr>
      </w:pPr>
      <w:r>
        <w:rPr>
          <w:sz w:val="24"/>
        </w:rPr>
        <w:t>A detailed case note identifying the individual's employment information including the current competitive hourly wage and work hours in a typical week that is based on the counselor's conversation with the actual employer. Prior to calling an employer, the individual shall be informed that information provided and gathered is limited to what is necessary to document and verify employment. This provides the individual the opportunity to discuss preferences and options for obtaining</w:t>
      </w:r>
      <w:r>
        <w:rPr>
          <w:spacing w:val="-4"/>
          <w:sz w:val="24"/>
        </w:rPr>
        <w:t> </w:t>
      </w:r>
      <w:r>
        <w:rPr>
          <w:sz w:val="24"/>
        </w:rPr>
        <w:t>required</w:t>
      </w:r>
      <w:r>
        <w:rPr>
          <w:spacing w:val="-4"/>
          <w:sz w:val="24"/>
        </w:rPr>
        <w:t> </w:t>
      </w:r>
      <w:r>
        <w:rPr>
          <w:sz w:val="24"/>
        </w:rPr>
        <w:t>documentation.</w:t>
      </w:r>
      <w:r>
        <w:rPr>
          <w:spacing w:val="-3"/>
          <w:sz w:val="24"/>
        </w:rPr>
        <w:t> </w:t>
      </w:r>
      <w:r>
        <w:rPr>
          <w:sz w:val="24"/>
        </w:rPr>
        <w:t>A</w:t>
      </w:r>
      <w:r>
        <w:rPr>
          <w:spacing w:val="-4"/>
          <w:sz w:val="24"/>
        </w:rPr>
        <w:t> </w:t>
      </w:r>
      <w:r>
        <w:rPr>
          <w:sz w:val="24"/>
        </w:rPr>
        <w:t>signed</w:t>
      </w:r>
      <w:r>
        <w:rPr>
          <w:spacing w:val="-3"/>
          <w:sz w:val="24"/>
        </w:rPr>
        <w:t> </w:t>
      </w:r>
      <w:r>
        <w:rPr>
          <w:sz w:val="24"/>
        </w:rPr>
        <w:t>Release</w:t>
      </w:r>
      <w:r>
        <w:rPr>
          <w:spacing w:val="-4"/>
          <w:sz w:val="24"/>
        </w:rPr>
        <w:t> </w:t>
      </w:r>
      <w:r>
        <w:rPr>
          <w:sz w:val="24"/>
        </w:rPr>
        <w:t>of</w:t>
      </w:r>
      <w:r>
        <w:rPr>
          <w:spacing w:val="-2"/>
          <w:sz w:val="24"/>
        </w:rPr>
        <w:t> </w:t>
      </w:r>
      <w:r>
        <w:rPr>
          <w:sz w:val="24"/>
        </w:rPr>
        <w:t>Information</w:t>
      </w:r>
      <w:r>
        <w:rPr>
          <w:spacing w:val="-4"/>
          <w:sz w:val="24"/>
        </w:rPr>
        <w:t> </w:t>
      </w:r>
      <w:r>
        <w:rPr>
          <w:sz w:val="24"/>
        </w:rPr>
        <w:t>should</w:t>
      </w:r>
      <w:r>
        <w:rPr>
          <w:spacing w:val="-4"/>
          <w:sz w:val="24"/>
        </w:rPr>
        <w:t> </w:t>
      </w:r>
      <w:r>
        <w:rPr>
          <w:sz w:val="24"/>
        </w:rPr>
        <w:t>be</w:t>
      </w:r>
      <w:r>
        <w:rPr>
          <w:spacing w:val="-4"/>
          <w:sz w:val="24"/>
        </w:rPr>
        <w:t> </w:t>
      </w:r>
      <w:r>
        <w:rPr>
          <w:sz w:val="24"/>
        </w:rPr>
        <w:t>in</w:t>
      </w:r>
      <w:r>
        <w:rPr>
          <w:spacing w:val="-4"/>
          <w:sz w:val="24"/>
        </w:rPr>
        <w:t> </w:t>
      </w:r>
      <w:r>
        <w:rPr>
          <w:sz w:val="24"/>
        </w:rPr>
        <w:t>the case file.</w:t>
      </w:r>
    </w:p>
    <w:p>
      <w:pPr>
        <w:pStyle w:val="ListParagraph"/>
        <w:numPr>
          <w:ilvl w:val="1"/>
          <w:numId w:val="150"/>
        </w:numPr>
        <w:tabs>
          <w:tab w:pos="1216" w:val="left" w:leader="none"/>
        </w:tabs>
        <w:spacing w:line="208" w:lineRule="auto" w:before="239" w:after="0"/>
        <w:ind w:left="791" w:right="825" w:firstLine="0"/>
        <w:jc w:val="left"/>
        <w:rPr>
          <w:sz w:val="24"/>
        </w:rPr>
      </w:pPr>
      <w:r>
        <w:rPr>
          <w:sz w:val="24"/>
        </w:rPr>
        <w:t>If verification as stated above is not forthcoming and all efforts to obtain acceptable</w:t>
      </w:r>
      <w:r>
        <w:rPr>
          <w:spacing w:val="-3"/>
          <w:sz w:val="24"/>
        </w:rPr>
        <w:t> </w:t>
      </w:r>
      <w:r>
        <w:rPr>
          <w:sz w:val="24"/>
        </w:rPr>
        <w:t>verification</w:t>
      </w:r>
      <w:r>
        <w:rPr>
          <w:spacing w:val="-4"/>
          <w:sz w:val="24"/>
        </w:rPr>
        <w:t> </w:t>
      </w:r>
      <w:r>
        <w:rPr>
          <w:sz w:val="24"/>
        </w:rPr>
        <w:t>are</w:t>
      </w:r>
      <w:r>
        <w:rPr>
          <w:spacing w:val="-4"/>
          <w:sz w:val="24"/>
        </w:rPr>
        <w:t> </w:t>
      </w:r>
      <w:r>
        <w:rPr>
          <w:sz w:val="24"/>
        </w:rPr>
        <w:t>documented,</w:t>
      </w:r>
      <w:r>
        <w:rPr>
          <w:spacing w:val="-3"/>
          <w:sz w:val="24"/>
        </w:rPr>
        <w:t> </w:t>
      </w:r>
      <w:r>
        <w:rPr>
          <w:sz w:val="24"/>
        </w:rPr>
        <w:t>then</w:t>
      </w:r>
      <w:r>
        <w:rPr>
          <w:spacing w:val="-4"/>
          <w:sz w:val="24"/>
        </w:rPr>
        <w:t> </w:t>
      </w:r>
      <w:r>
        <w:rPr>
          <w:sz w:val="24"/>
        </w:rPr>
        <w:t>the</w:t>
      </w:r>
      <w:r>
        <w:rPr>
          <w:spacing w:val="-4"/>
          <w:sz w:val="24"/>
        </w:rPr>
        <w:t> </w:t>
      </w:r>
      <w:r>
        <w:rPr>
          <w:sz w:val="24"/>
        </w:rPr>
        <w:t>following</w:t>
      </w:r>
      <w:r>
        <w:rPr>
          <w:spacing w:val="-4"/>
          <w:sz w:val="24"/>
        </w:rPr>
        <w:t> </w:t>
      </w:r>
      <w:r>
        <w:rPr>
          <w:sz w:val="24"/>
        </w:rPr>
        <w:t>is</w:t>
      </w:r>
      <w:r>
        <w:rPr>
          <w:spacing w:val="-4"/>
          <w:sz w:val="24"/>
        </w:rPr>
        <w:t> </w:t>
      </w:r>
      <w:r>
        <w:rPr>
          <w:sz w:val="24"/>
        </w:rPr>
        <w:t>acceptable:</w:t>
      </w:r>
      <w:r>
        <w:rPr>
          <w:spacing w:val="-3"/>
          <w:sz w:val="24"/>
        </w:rPr>
        <w:t> </w:t>
      </w:r>
      <w:r>
        <w:rPr>
          <w:sz w:val="24"/>
        </w:rPr>
        <w:t>a</w:t>
      </w:r>
      <w:r>
        <w:rPr>
          <w:spacing w:val="-4"/>
          <w:sz w:val="24"/>
        </w:rPr>
        <w:t> </w:t>
      </w:r>
      <w:r>
        <w:rPr>
          <w:sz w:val="24"/>
        </w:rPr>
        <w:t>detailed case note identifying the individual's employment information including the current competitive hourly wage and work hours in a typical week, the date the final employment verification was received with justification for the individual not providing formal documentation.</w:t>
      </w:r>
    </w:p>
    <w:p>
      <w:pPr>
        <w:pStyle w:val="ListParagraph"/>
        <w:numPr>
          <w:ilvl w:val="1"/>
          <w:numId w:val="150"/>
        </w:numPr>
        <w:tabs>
          <w:tab w:pos="1234" w:val="left" w:leader="none"/>
        </w:tabs>
        <w:spacing w:line="208" w:lineRule="auto" w:before="239" w:after="0"/>
        <w:ind w:left="809" w:right="821" w:firstLine="0"/>
        <w:jc w:val="left"/>
        <w:rPr>
          <w:sz w:val="24"/>
        </w:rPr>
      </w:pPr>
      <w:r>
        <w:rPr>
          <w:sz w:val="24"/>
        </w:rPr>
        <w:t>Individuals</w:t>
      </w:r>
      <w:r>
        <w:rPr>
          <w:spacing w:val="-4"/>
          <w:sz w:val="24"/>
        </w:rPr>
        <w:t> </w:t>
      </w:r>
      <w:r>
        <w:rPr>
          <w:sz w:val="24"/>
        </w:rPr>
        <w:t>who</w:t>
      </w:r>
      <w:r>
        <w:rPr>
          <w:spacing w:val="-4"/>
          <w:sz w:val="24"/>
        </w:rPr>
        <w:t> </w:t>
      </w:r>
      <w:r>
        <w:rPr>
          <w:sz w:val="24"/>
        </w:rPr>
        <w:t>are</w:t>
      </w:r>
      <w:r>
        <w:rPr>
          <w:spacing w:val="-4"/>
          <w:sz w:val="24"/>
        </w:rPr>
        <w:t> </w:t>
      </w:r>
      <w:r>
        <w:rPr>
          <w:sz w:val="24"/>
        </w:rPr>
        <w:t>self-employed</w:t>
      </w:r>
      <w:r>
        <w:rPr>
          <w:spacing w:val="-4"/>
          <w:sz w:val="24"/>
        </w:rPr>
        <w:t> </w:t>
      </w:r>
      <w:r>
        <w:rPr>
          <w:sz w:val="24"/>
        </w:rPr>
        <w:t>are</w:t>
      </w:r>
      <w:r>
        <w:rPr>
          <w:spacing w:val="-4"/>
          <w:sz w:val="24"/>
        </w:rPr>
        <w:t> </w:t>
      </w:r>
      <w:r>
        <w:rPr>
          <w:sz w:val="24"/>
        </w:rPr>
        <w:t>required</w:t>
      </w:r>
      <w:r>
        <w:rPr>
          <w:spacing w:val="-4"/>
          <w:sz w:val="24"/>
        </w:rPr>
        <w:t> </w:t>
      </w:r>
      <w:r>
        <w:rPr>
          <w:sz w:val="24"/>
        </w:rPr>
        <w:t>to</w:t>
      </w:r>
      <w:r>
        <w:rPr>
          <w:spacing w:val="-4"/>
          <w:sz w:val="24"/>
        </w:rPr>
        <w:t> </w:t>
      </w:r>
      <w:r>
        <w:rPr>
          <w:sz w:val="24"/>
        </w:rPr>
        <w:t>provide</w:t>
      </w:r>
      <w:r>
        <w:rPr>
          <w:spacing w:val="-4"/>
          <w:sz w:val="24"/>
        </w:rPr>
        <w:t> </w:t>
      </w:r>
      <w:r>
        <w:rPr>
          <w:sz w:val="24"/>
        </w:rPr>
        <w:t>wage</w:t>
      </w:r>
      <w:r>
        <w:rPr>
          <w:spacing w:val="-3"/>
          <w:sz w:val="24"/>
        </w:rPr>
        <w:t> </w:t>
      </w:r>
      <w:r>
        <w:rPr>
          <w:sz w:val="24"/>
        </w:rPr>
        <w:t>documentation of competitive integrated self-employment.</w:t>
      </w:r>
    </w:p>
    <w:p>
      <w:pPr>
        <w:pStyle w:val="BodyText"/>
        <w:spacing w:before="211"/>
        <w:ind w:left="359"/>
      </w:pPr>
      <w:r>
        <w:rPr/>
        <w:t>Instructions</w:t>
      </w:r>
      <w:r>
        <w:rPr>
          <w:spacing w:val="-5"/>
        </w:rPr>
        <w:t> </w:t>
      </w:r>
      <w:r>
        <w:rPr/>
        <w:t>to</w:t>
      </w:r>
      <w:r>
        <w:rPr>
          <w:spacing w:val="-2"/>
        </w:rPr>
        <w:t> </w:t>
      </w:r>
      <w:r>
        <w:rPr>
          <w:spacing w:val="-4"/>
        </w:rPr>
        <w:t>Staff</w:t>
      </w:r>
    </w:p>
    <w:p>
      <w:pPr>
        <w:pStyle w:val="ListParagraph"/>
        <w:numPr>
          <w:ilvl w:val="0"/>
          <w:numId w:val="151"/>
        </w:numPr>
        <w:tabs>
          <w:tab w:pos="1077" w:val="left" w:leader="none"/>
        </w:tabs>
        <w:spacing w:line="240" w:lineRule="auto" w:before="204" w:after="0"/>
        <w:ind w:left="1077" w:right="0" w:hanging="286"/>
        <w:jc w:val="left"/>
        <w:rPr>
          <w:sz w:val="24"/>
        </w:rPr>
      </w:pPr>
      <w:r>
        <w:rPr>
          <w:sz w:val="24"/>
        </w:rPr>
        <w:t>Link</w:t>
      </w:r>
      <w:r>
        <w:rPr>
          <w:spacing w:val="-5"/>
          <w:sz w:val="24"/>
        </w:rPr>
        <w:t> </w:t>
      </w:r>
      <w:r>
        <w:rPr>
          <w:sz w:val="24"/>
        </w:rPr>
        <w:t>to</w:t>
      </w:r>
      <w:r>
        <w:rPr>
          <w:spacing w:val="-5"/>
          <w:sz w:val="24"/>
        </w:rPr>
        <w:t> </w:t>
      </w:r>
      <w:hyperlink r:id="rId52">
        <w:r>
          <w:rPr>
            <w:color w:val="0000FF"/>
            <w:sz w:val="24"/>
            <w:u w:val="single" w:color="0000FF"/>
          </w:rPr>
          <w:t>34CFR361.56</w:t>
        </w:r>
      </w:hyperlink>
      <w:r>
        <w:rPr>
          <w:color w:val="0000FF"/>
          <w:sz w:val="24"/>
          <w:u w:val="none"/>
        </w:rPr>
        <w:t>;</w:t>
      </w:r>
      <w:r>
        <w:rPr>
          <w:color w:val="0000FF"/>
          <w:spacing w:val="57"/>
          <w:sz w:val="24"/>
          <w:u w:val="none"/>
        </w:rPr>
        <w:t> </w:t>
      </w:r>
      <w:hyperlink r:id="rId53">
        <w:r>
          <w:rPr>
            <w:color w:val="0000FF"/>
            <w:sz w:val="24"/>
            <w:u w:val="single" w:color="0000FF"/>
          </w:rPr>
          <w:t>361.47(a)(9)&amp;(14)</w:t>
        </w:r>
      </w:hyperlink>
      <w:r>
        <w:rPr>
          <w:color w:val="0000FF"/>
          <w:sz w:val="24"/>
          <w:u w:val="none"/>
        </w:rPr>
        <w:t>;</w:t>
      </w:r>
      <w:r>
        <w:rPr>
          <w:color w:val="0000FF"/>
          <w:spacing w:val="-3"/>
          <w:sz w:val="24"/>
          <w:u w:val="none"/>
        </w:rPr>
        <w:t> </w:t>
      </w:r>
      <w:hyperlink r:id="rId54">
        <w:r>
          <w:rPr>
            <w:color w:val="0000FF"/>
            <w:spacing w:val="-2"/>
            <w:sz w:val="24"/>
            <w:u w:val="single" w:color="0000FF"/>
          </w:rPr>
          <w:t>361.57(b)(1)(2)(iv)</w:t>
        </w:r>
      </w:hyperlink>
    </w:p>
    <w:p>
      <w:pPr>
        <w:pStyle w:val="ListParagraph"/>
        <w:numPr>
          <w:ilvl w:val="0"/>
          <w:numId w:val="151"/>
        </w:numPr>
        <w:tabs>
          <w:tab w:pos="1077" w:val="left" w:leader="none"/>
        </w:tabs>
        <w:spacing w:line="208" w:lineRule="auto" w:before="233" w:after="0"/>
        <w:ind w:left="791" w:right="1151" w:firstLine="0"/>
        <w:jc w:val="left"/>
        <w:rPr>
          <w:sz w:val="24"/>
        </w:rPr>
      </w:pPr>
      <w:r>
        <w:rPr>
          <w:sz w:val="24"/>
        </w:rPr>
        <w:t>Before</w:t>
      </w:r>
      <w:r>
        <w:rPr>
          <w:spacing w:val="-3"/>
          <w:sz w:val="24"/>
        </w:rPr>
        <w:t> </w:t>
      </w:r>
      <w:r>
        <w:rPr>
          <w:sz w:val="24"/>
        </w:rPr>
        <w:t>the</w:t>
      </w:r>
      <w:r>
        <w:rPr>
          <w:spacing w:val="-4"/>
          <w:sz w:val="24"/>
        </w:rPr>
        <w:t> </w:t>
      </w:r>
      <w:r>
        <w:rPr>
          <w:sz w:val="24"/>
        </w:rPr>
        <w:t>case</w:t>
      </w:r>
      <w:r>
        <w:rPr>
          <w:spacing w:val="-3"/>
          <w:sz w:val="24"/>
        </w:rPr>
        <w:t> </w:t>
      </w:r>
      <w:r>
        <w:rPr>
          <w:sz w:val="24"/>
        </w:rPr>
        <w:t>is</w:t>
      </w:r>
      <w:r>
        <w:rPr>
          <w:spacing w:val="-4"/>
          <w:sz w:val="24"/>
        </w:rPr>
        <w:t> </w:t>
      </w:r>
      <w:r>
        <w:rPr>
          <w:sz w:val="24"/>
        </w:rPr>
        <w:t>closed,</w:t>
      </w:r>
      <w:r>
        <w:rPr>
          <w:spacing w:val="-3"/>
          <w:sz w:val="24"/>
        </w:rPr>
        <w:t> </w:t>
      </w:r>
      <w:r>
        <w:rPr>
          <w:sz w:val="24"/>
        </w:rPr>
        <w:t>all</w:t>
      </w:r>
      <w:r>
        <w:rPr>
          <w:spacing w:val="-3"/>
          <w:sz w:val="24"/>
        </w:rPr>
        <w:t> </w:t>
      </w:r>
      <w:r>
        <w:rPr>
          <w:sz w:val="24"/>
        </w:rPr>
        <w:t>unliquidated</w:t>
      </w:r>
      <w:r>
        <w:rPr>
          <w:spacing w:val="-4"/>
          <w:sz w:val="24"/>
        </w:rPr>
        <w:t> </w:t>
      </w:r>
      <w:r>
        <w:rPr>
          <w:sz w:val="24"/>
        </w:rPr>
        <w:t>authorizations</w:t>
      </w:r>
      <w:r>
        <w:rPr>
          <w:spacing w:val="-3"/>
          <w:sz w:val="24"/>
        </w:rPr>
        <w:t> </w:t>
      </w:r>
      <w:r>
        <w:rPr>
          <w:sz w:val="24"/>
        </w:rPr>
        <w:t>must</w:t>
      </w:r>
      <w:r>
        <w:rPr>
          <w:spacing w:val="-3"/>
          <w:sz w:val="24"/>
        </w:rPr>
        <w:t> </w:t>
      </w:r>
      <w:r>
        <w:rPr>
          <w:sz w:val="24"/>
        </w:rPr>
        <w:t>be</w:t>
      </w:r>
      <w:r>
        <w:rPr>
          <w:spacing w:val="-4"/>
          <w:sz w:val="24"/>
        </w:rPr>
        <w:t> </w:t>
      </w:r>
      <w:r>
        <w:rPr>
          <w:sz w:val="24"/>
        </w:rPr>
        <w:t>canceled</w:t>
      </w:r>
      <w:r>
        <w:rPr>
          <w:spacing w:val="-3"/>
          <w:sz w:val="24"/>
        </w:rPr>
        <w:t> </w:t>
      </w:r>
      <w:r>
        <w:rPr>
          <w:sz w:val="24"/>
        </w:rPr>
        <w:t>or accounted for to determine if a claim will be made against any outstanding </w:t>
      </w:r>
      <w:r>
        <w:rPr>
          <w:spacing w:val="-2"/>
          <w:sz w:val="24"/>
        </w:rPr>
        <w:t>authorization.</w:t>
      </w:r>
    </w:p>
    <w:p>
      <w:pPr>
        <w:pStyle w:val="ListParagraph"/>
        <w:numPr>
          <w:ilvl w:val="0"/>
          <w:numId w:val="151"/>
        </w:numPr>
        <w:tabs>
          <w:tab w:pos="1077" w:val="left" w:leader="none"/>
        </w:tabs>
        <w:spacing w:line="208" w:lineRule="auto" w:before="240" w:after="0"/>
        <w:ind w:left="791" w:right="787" w:firstLine="0"/>
        <w:jc w:val="left"/>
        <w:rPr>
          <w:sz w:val="24"/>
        </w:rPr>
      </w:pPr>
      <w:r>
        <w:rPr>
          <w:sz w:val="24"/>
        </w:rPr>
        <w:t>The documentation in the case record will specifically address the substantiality of the services provided, how they contributed to the client's suitable employment and type of employment, the name and address of the employer, and the client's wages,</w:t>
      </w:r>
      <w:r>
        <w:rPr>
          <w:spacing w:val="-3"/>
          <w:sz w:val="24"/>
        </w:rPr>
        <w:t> </w:t>
      </w:r>
      <w:r>
        <w:rPr>
          <w:sz w:val="24"/>
        </w:rPr>
        <w:t>and</w:t>
      </w:r>
      <w:r>
        <w:rPr>
          <w:spacing w:val="-3"/>
          <w:sz w:val="24"/>
        </w:rPr>
        <w:t> </w:t>
      </w:r>
      <w:r>
        <w:rPr>
          <w:sz w:val="24"/>
        </w:rPr>
        <w:t>the</w:t>
      </w:r>
      <w:r>
        <w:rPr>
          <w:spacing w:val="-4"/>
          <w:sz w:val="24"/>
        </w:rPr>
        <w:t> </w:t>
      </w:r>
      <w:r>
        <w:rPr>
          <w:sz w:val="24"/>
        </w:rPr>
        <w:t>individual</w:t>
      </w:r>
      <w:r>
        <w:rPr>
          <w:spacing w:val="-4"/>
          <w:sz w:val="24"/>
        </w:rPr>
        <w:t> </w:t>
      </w:r>
      <w:r>
        <w:rPr>
          <w:sz w:val="24"/>
        </w:rPr>
        <w:t>and</w:t>
      </w:r>
      <w:r>
        <w:rPr>
          <w:spacing w:val="-4"/>
          <w:sz w:val="24"/>
        </w:rPr>
        <w:t> </w:t>
      </w:r>
      <w:r>
        <w:rPr>
          <w:sz w:val="24"/>
        </w:rPr>
        <w:t>the</w:t>
      </w:r>
      <w:r>
        <w:rPr>
          <w:spacing w:val="-3"/>
          <w:sz w:val="24"/>
        </w:rPr>
        <w:t> </w:t>
      </w:r>
      <w:r>
        <w:rPr>
          <w:sz w:val="24"/>
        </w:rPr>
        <w:t>VR</w:t>
      </w:r>
      <w:r>
        <w:rPr>
          <w:spacing w:val="-4"/>
          <w:sz w:val="24"/>
        </w:rPr>
        <w:t> </w:t>
      </w:r>
      <w:r>
        <w:rPr>
          <w:sz w:val="24"/>
        </w:rPr>
        <w:t>Counselor</w:t>
      </w:r>
      <w:r>
        <w:rPr>
          <w:spacing w:val="-3"/>
          <w:sz w:val="24"/>
        </w:rPr>
        <w:t> </w:t>
      </w:r>
      <w:r>
        <w:rPr>
          <w:sz w:val="24"/>
        </w:rPr>
        <w:t>consider</w:t>
      </w:r>
      <w:r>
        <w:rPr>
          <w:spacing w:val="-3"/>
          <w:sz w:val="24"/>
        </w:rPr>
        <w:t> </w:t>
      </w:r>
      <w:r>
        <w:rPr>
          <w:sz w:val="24"/>
        </w:rPr>
        <w:t>the</w:t>
      </w:r>
      <w:r>
        <w:rPr>
          <w:spacing w:val="-4"/>
          <w:sz w:val="24"/>
        </w:rPr>
        <w:t> </w:t>
      </w:r>
      <w:r>
        <w:rPr>
          <w:sz w:val="24"/>
        </w:rPr>
        <w:t>employment</w:t>
      </w:r>
      <w:r>
        <w:rPr>
          <w:spacing w:val="-3"/>
          <w:sz w:val="24"/>
        </w:rPr>
        <w:t> </w:t>
      </w:r>
      <w:r>
        <w:rPr>
          <w:sz w:val="24"/>
        </w:rPr>
        <w:t>outcome to be satisfactory and</w:t>
      </w:r>
      <w:r>
        <w:rPr>
          <w:spacing w:val="-1"/>
          <w:sz w:val="24"/>
        </w:rPr>
        <w:t> </w:t>
      </w:r>
      <w:r>
        <w:rPr>
          <w:sz w:val="24"/>
        </w:rPr>
        <w:t>agree that the individual is performing well on the job, and no longer needs vocational rehabilitation services. The need for post-employment services will be reassessed prior to closure.</w:t>
      </w:r>
    </w:p>
    <w:p>
      <w:pPr>
        <w:pStyle w:val="ListParagraph"/>
        <w:numPr>
          <w:ilvl w:val="0"/>
          <w:numId w:val="151"/>
        </w:numPr>
        <w:tabs>
          <w:tab w:pos="1076" w:val="left" w:leader="none"/>
        </w:tabs>
        <w:spacing w:line="240" w:lineRule="auto" w:before="243" w:after="0"/>
        <w:ind w:left="1076" w:right="0" w:hanging="266"/>
        <w:jc w:val="left"/>
        <w:rPr>
          <w:sz w:val="24"/>
        </w:rPr>
      </w:pPr>
      <w:r>
        <w:rPr>
          <w:sz w:val="24"/>
        </w:rPr>
        <w:t>Supplemental</w:t>
      </w:r>
      <w:r>
        <w:rPr>
          <w:spacing w:val="-5"/>
          <w:sz w:val="24"/>
        </w:rPr>
        <w:t> </w:t>
      </w:r>
      <w:r>
        <w:rPr>
          <w:sz w:val="24"/>
        </w:rPr>
        <w:t>Wage</w:t>
      </w:r>
      <w:r>
        <w:rPr>
          <w:spacing w:val="-4"/>
          <w:sz w:val="24"/>
        </w:rPr>
        <w:t> </w:t>
      </w:r>
      <w:r>
        <w:rPr>
          <w:spacing w:val="-2"/>
          <w:sz w:val="24"/>
        </w:rPr>
        <w:t>Information</w:t>
      </w:r>
    </w:p>
    <w:p>
      <w:pPr>
        <w:pStyle w:val="ListParagraph"/>
        <w:spacing w:after="0" w:line="240" w:lineRule="auto"/>
        <w:jc w:val="left"/>
        <w:rPr>
          <w:sz w:val="24"/>
        </w:rPr>
        <w:sectPr>
          <w:pgSz w:w="12240" w:h="15840"/>
          <w:pgMar w:top="1340" w:bottom="280" w:left="1080" w:right="720"/>
        </w:sectPr>
      </w:pPr>
    </w:p>
    <w:p>
      <w:pPr>
        <w:pStyle w:val="BodyText"/>
        <w:spacing w:line="259" w:lineRule="auto" w:before="80"/>
        <w:ind w:left="1080" w:right="775"/>
      </w:pPr>
      <w:r>
        <w:rPr/>
        <w:t>Section 116 of WIOA establishes performance accountability indicators and performance reporting requirements to assess the effectiveness of States and local</w:t>
      </w:r>
      <w:r>
        <w:rPr>
          <w:spacing w:val="-4"/>
        </w:rPr>
        <w:t> </w:t>
      </w:r>
      <w:r>
        <w:rPr/>
        <w:t>areas</w:t>
      </w:r>
      <w:r>
        <w:rPr>
          <w:spacing w:val="-3"/>
        </w:rPr>
        <w:t> </w:t>
      </w:r>
      <w:r>
        <w:rPr/>
        <w:t>in</w:t>
      </w:r>
      <w:r>
        <w:rPr>
          <w:spacing w:val="-4"/>
        </w:rPr>
        <w:t> </w:t>
      </w:r>
      <w:r>
        <w:rPr/>
        <w:t>achieving</w:t>
      </w:r>
      <w:r>
        <w:rPr>
          <w:spacing w:val="-4"/>
        </w:rPr>
        <w:t> </w:t>
      </w:r>
      <w:r>
        <w:rPr/>
        <w:t>positive</w:t>
      </w:r>
      <w:r>
        <w:rPr>
          <w:spacing w:val="-4"/>
        </w:rPr>
        <w:t> </w:t>
      </w:r>
      <w:r>
        <w:rPr/>
        <w:t>outcomes</w:t>
      </w:r>
      <w:r>
        <w:rPr>
          <w:spacing w:val="-4"/>
        </w:rPr>
        <w:t> </w:t>
      </w:r>
      <w:r>
        <w:rPr/>
        <w:t>for</w:t>
      </w:r>
      <w:r>
        <w:rPr>
          <w:spacing w:val="-3"/>
        </w:rPr>
        <w:t> </w:t>
      </w:r>
      <w:r>
        <w:rPr/>
        <w:t>the</w:t>
      </w:r>
      <w:r>
        <w:rPr>
          <w:spacing w:val="-4"/>
        </w:rPr>
        <w:t> </w:t>
      </w:r>
      <w:r>
        <w:rPr/>
        <w:t>individuals</w:t>
      </w:r>
      <w:r>
        <w:rPr>
          <w:spacing w:val="-4"/>
        </w:rPr>
        <w:t> </w:t>
      </w:r>
      <w:r>
        <w:rPr/>
        <w:t>served</w:t>
      </w:r>
      <w:r>
        <w:rPr>
          <w:spacing w:val="-3"/>
        </w:rPr>
        <w:t> </w:t>
      </w:r>
      <w:r>
        <w:rPr/>
        <w:t>by</w:t>
      </w:r>
      <w:r>
        <w:rPr>
          <w:spacing w:val="-4"/>
        </w:rPr>
        <w:t> </w:t>
      </w:r>
      <w:r>
        <w:rPr/>
        <w:t>each</w:t>
      </w:r>
      <w:r>
        <w:rPr>
          <w:spacing w:val="-4"/>
        </w:rPr>
        <w:t> </w:t>
      </w:r>
      <w:r>
        <w:rPr/>
        <w:t>of the six core WIOA programs. Under section 116(b)(2)(A) of WIOA, the performance accountability indicators that apply across the six core programs </w:t>
      </w:r>
      <w:r>
        <w:rPr>
          <w:spacing w:val="-2"/>
        </w:rPr>
        <w:t>include:</w:t>
      </w:r>
    </w:p>
    <w:p>
      <w:pPr>
        <w:pStyle w:val="ListParagraph"/>
        <w:numPr>
          <w:ilvl w:val="1"/>
          <w:numId w:val="151"/>
        </w:numPr>
        <w:tabs>
          <w:tab w:pos="1618" w:val="left" w:leader="none"/>
        </w:tabs>
        <w:spacing w:line="240" w:lineRule="auto" w:before="158" w:after="0"/>
        <w:ind w:left="1618" w:right="0" w:hanging="268"/>
        <w:jc w:val="left"/>
        <w:rPr>
          <w:sz w:val="24"/>
        </w:rPr>
      </w:pPr>
      <w:r>
        <w:rPr>
          <w:sz w:val="24"/>
        </w:rPr>
        <w:t>Employment</w:t>
      </w:r>
      <w:r>
        <w:rPr>
          <w:spacing w:val="-2"/>
          <w:sz w:val="24"/>
        </w:rPr>
        <w:t> </w:t>
      </w:r>
      <w:r>
        <w:rPr>
          <w:sz w:val="24"/>
        </w:rPr>
        <w:t>Rate</w:t>
      </w:r>
      <w:r>
        <w:rPr>
          <w:spacing w:val="-3"/>
          <w:sz w:val="24"/>
        </w:rPr>
        <w:t> </w:t>
      </w:r>
      <w:r>
        <w:rPr>
          <w:sz w:val="24"/>
        </w:rPr>
        <w:t>–</w:t>
      </w:r>
      <w:r>
        <w:rPr>
          <w:spacing w:val="-2"/>
          <w:sz w:val="24"/>
        </w:rPr>
        <w:t> </w:t>
      </w:r>
      <w:r>
        <w:rPr>
          <w:sz w:val="24"/>
        </w:rPr>
        <w:t>2nd</w:t>
      </w:r>
      <w:r>
        <w:rPr>
          <w:spacing w:val="-3"/>
          <w:sz w:val="24"/>
        </w:rPr>
        <w:t> </w:t>
      </w:r>
      <w:r>
        <w:rPr>
          <w:sz w:val="24"/>
        </w:rPr>
        <w:t>Quarter</w:t>
      </w:r>
      <w:r>
        <w:rPr>
          <w:spacing w:val="-3"/>
          <w:sz w:val="24"/>
        </w:rPr>
        <w:t> </w:t>
      </w:r>
      <w:r>
        <w:rPr>
          <w:sz w:val="24"/>
        </w:rPr>
        <w:t>After</w:t>
      </w:r>
      <w:r>
        <w:rPr>
          <w:spacing w:val="-1"/>
          <w:sz w:val="24"/>
        </w:rPr>
        <w:t> </w:t>
      </w:r>
      <w:r>
        <w:rPr>
          <w:spacing w:val="-4"/>
          <w:sz w:val="24"/>
        </w:rPr>
        <w:t>Exit:</w:t>
      </w:r>
    </w:p>
    <w:p>
      <w:pPr>
        <w:pStyle w:val="ListParagraph"/>
        <w:numPr>
          <w:ilvl w:val="1"/>
          <w:numId w:val="151"/>
        </w:numPr>
        <w:tabs>
          <w:tab w:pos="1618" w:val="left" w:leader="none"/>
        </w:tabs>
        <w:spacing w:line="240" w:lineRule="auto" w:before="0" w:after="0"/>
        <w:ind w:left="1618" w:right="0" w:hanging="268"/>
        <w:jc w:val="left"/>
        <w:rPr>
          <w:sz w:val="24"/>
        </w:rPr>
      </w:pPr>
      <w:r>
        <w:rPr>
          <w:sz w:val="24"/>
        </w:rPr>
        <w:t>Employment</w:t>
      </w:r>
      <w:r>
        <w:rPr>
          <w:spacing w:val="-2"/>
          <w:sz w:val="24"/>
        </w:rPr>
        <w:t> </w:t>
      </w:r>
      <w:r>
        <w:rPr>
          <w:sz w:val="24"/>
        </w:rPr>
        <w:t>Rate</w:t>
      </w:r>
      <w:r>
        <w:rPr>
          <w:spacing w:val="-3"/>
          <w:sz w:val="24"/>
        </w:rPr>
        <w:t> </w:t>
      </w:r>
      <w:r>
        <w:rPr>
          <w:sz w:val="24"/>
        </w:rPr>
        <w:t>–</w:t>
      </w:r>
      <w:r>
        <w:rPr>
          <w:spacing w:val="-2"/>
          <w:sz w:val="24"/>
        </w:rPr>
        <w:t> </w:t>
      </w:r>
      <w:r>
        <w:rPr>
          <w:sz w:val="24"/>
        </w:rPr>
        <w:t>4th</w:t>
      </w:r>
      <w:r>
        <w:rPr>
          <w:spacing w:val="-3"/>
          <w:sz w:val="24"/>
        </w:rPr>
        <w:t> </w:t>
      </w:r>
      <w:r>
        <w:rPr>
          <w:sz w:val="24"/>
        </w:rPr>
        <w:t>Quarter</w:t>
      </w:r>
      <w:r>
        <w:rPr>
          <w:spacing w:val="-3"/>
          <w:sz w:val="24"/>
        </w:rPr>
        <w:t> </w:t>
      </w:r>
      <w:r>
        <w:rPr>
          <w:sz w:val="24"/>
        </w:rPr>
        <w:t>After</w:t>
      </w:r>
      <w:r>
        <w:rPr>
          <w:spacing w:val="-1"/>
          <w:sz w:val="24"/>
        </w:rPr>
        <w:t> </w:t>
      </w:r>
      <w:r>
        <w:rPr>
          <w:spacing w:val="-4"/>
          <w:sz w:val="24"/>
        </w:rPr>
        <w:t>Exit</w:t>
      </w:r>
    </w:p>
    <w:p>
      <w:pPr>
        <w:pStyle w:val="ListParagraph"/>
        <w:numPr>
          <w:ilvl w:val="1"/>
          <w:numId w:val="151"/>
        </w:numPr>
        <w:tabs>
          <w:tab w:pos="1618" w:val="left" w:leader="none"/>
        </w:tabs>
        <w:spacing w:line="240" w:lineRule="auto" w:before="0" w:after="0"/>
        <w:ind w:left="1618" w:right="0" w:hanging="268"/>
        <w:jc w:val="left"/>
        <w:rPr>
          <w:sz w:val="24"/>
        </w:rPr>
      </w:pPr>
      <w:r>
        <w:rPr>
          <w:sz w:val="24"/>
        </w:rPr>
        <w:t>Median</w:t>
      </w:r>
      <w:r>
        <w:rPr>
          <w:spacing w:val="-3"/>
          <w:sz w:val="24"/>
        </w:rPr>
        <w:t> </w:t>
      </w:r>
      <w:r>
        <w:rPr>
          <w:sz w:val="24"/>
        </w:rPr>
        <w:t>Earnings</w:t>
      </w:r>
      <w:r>
        <w:rPr>
          <w:spacing w:val="-3"/>
          <w:sz w:val="24"/>
        </w:rPr>
        <w:t> </w:t>
      </w:r>
      <w:r>
        <w:rPr>
          <w:sz w:val="24"/>
        </w:rPr>
        <w:t>–</w:t>
      </w:r>
      <w:r>
        <w:rPr>
          <w:spacing w:val="-2"/>
          <w:sz w:val="24"/>
        </w:rPr>
        <w:t> </w:t>
      </w:r>
      <w:r>
        <w:rPr>
          <w:sz w:val="24"/>
        </w:rPr>
        <w:t>2nd</w:t>
      </w:r>
      <w:r>
        <w:rPr>
          <w:spacing w:val="-3"/>
          <w:sz w:val="24"/>
        </w:rPr>
        <w:t> </w:t>
      </w:r>
      <w:r>
        <w:rPr>
          <w:sz w:val="24"/>
        </w:rPr>
        <w:t>Quarter</w:t>
      </w:r>
      <w:r>
        <w:rPr>
          <w:spacing w:val="-4"/>
          <w:sz w:val="24"/>
        </w:rPr>
        <w:t> </w:t>
      </w:r>
      <w:r>
        <w:rPr>
          <w:sz w:val="24"/>
        </w:rPr>
        <w:t>After</w:t>
      </w:r>
      <w:r>
        <w:rPr>
          <w:spacing w:val="-1"/>
          <w:sz w:val="24"/>
        </w:rPr>
        <w:t> </w:t>
      </w:r>
      <w:r>
        <w:rPr>
          <w:spacing w:val="-4"/>
          <w:sz w:val="24"/>
        </w:rPr>
        <w:t>Exit:</w:t>
      </w:r>
    </w:p>
    <w:p>
      <w:pPr>
        <w:pStyle w:val="BodyText"/>
        <w:spacing w:before="0"/>
        <w:ind w:left="0"/>
      </w:pPr>
    </w:p>
    <w:p>
      <w:pPr>
        <w:pStyle w:val="BodyText"/>
        <w:spacing w:line="259" w:lineRule="auto" w:before="0"/>
        <w:ind w:left="1080" w:right="775"/>
      </w:pPr>
      <w:r>
        <w:rPr/>
        <w:t>In order to comply with this requirement the agency is authorized to obtain earnings</w:t>
      </w:r>
      <w:r>
        <w:rPr>
          <w:spacing w:val="-4"/>
        </w:rPr>
        <w:t> </w:t>
      </w:r>
      <w:r>
        <w:rPr/>
        <w:t>information</w:t>
      </w:r>
      <w:r>
        <w:rPr>
          <w:spacing w:val="-4"/>
        </w:rPr>
        <w:t> </w:t>
      </w:r>
      <w:r>
        <w:rPr/>
        <w:t>through</w:t>
      </w:r>
      <w:r>
        <w:rPr>
          <w:spacing w:val="-4"/>
        </w:rPr>
        <w:t> </w:t>
      </w:r>
      <w:r>
        <w:rPr/>
        <w:t>a</w:t>
      </w:r>
      <w:r>
        <w:rPr>
          <w:spacing w:val="-4"/>
        </w:rPr>
        <w:t> </w:t>
      </w:r>
      <w:r>
        <w:rPr/>
        <w:t>variety</w:t>
      </w:r>
      <w:r>
        <w:rPr>
          <w:spacing w:val="-4"/>
        </w:rPr>
        <w:t> </w:t>
      </w:r>
      <w:r>
        <w:rPr/>
        <w:t>of</w:t>
      </w:r>
      <w:r>
        <w:rPr>
          <w:spacing w:val="-3"/>
        </w:rPr>
        <w:t> </w:t>
      </w:r>
      <w:r>
        <w:rPr/>
        <w:t>means</w:t>
      </w:r>
      <w:r>
        <w:rPr>
          <w:spacing w:val="-4"/>
        </w:rPr>
        <w:t> </w:t>
      </w:r>
      <w:r>
        <w:rPr/>
        <w:t>including</w:t>
      </w:r>
      <w:r>
        <w:rPr>
          <w:spacing w:val="-4"/>
        </w:rPr>
        <w:t> </w:t>
      </w:r>
      <w:r>
        <w:rPr/>
        <w:t>through</w:t>
      </w:r>
      <w:r>
        <w:rPr>
          <w:spacing w:val="-3"/>
        </w:rPr>
        <w:t> </w:t>
      </w:r>
      <w:r>
        <w:rPr/>
        <w:t>the</w:t>
      </w:r>
      <w:r>
        <w:rPr>
          <w:spacing w:val="-4"/>
        </w:rPr>
        <w:t> </w:t>
      </w:r>
      <w:r>
        <w:rPr/>
        <w:t>Oklahoma Employment Security Commission or other Agencies or entities through cooperative agreements.</w:t>
      </w:r>
      <w:r>
        <w:rPr>
          <w:spacing w:val="40"/>
        </w:rPr>
        <w:t> </w:t>
      </w:r>
      <w:r>
        <w:rPr/>
        <w:t>In the event wage information cannot be obtained by these means, Supplemental Wage Information can be obtained by DRS staff.</w:t>
      </w:r>
    </w:p>
    <w:p>
      <w:pPr>
        <w:pStyle w:val="BodyText"/>
        <w:spacing w:before="160"/>
        <w:ind w:left="1080" w:right="775"/>
      </w:pPr>
      <w:r>
        <w:rPr/>
        <w:t>Acceptable</w:t>
      </w:r>
      <w:r>
        <w:rPr>
          <w:spacing w:val="-4"/>
        </w:rPr>
        <w:t> </w:t>
      </w:r>
      <w:r>
        <w:rPr/>
        <w:t>forms</w:t>
      </w:r>
      <w:r>
        <w:rPr>
          <w:spacing w:val="-6"/>
        </w:rPr>
        <w:t> </w:t>
      </w:r>
      <w:r>
        <w:rPr/>
        <w:t>of</w:t>
      </w:r>
      <w:r>
        <w:rPr>
          <w:spacing w:val="-6"/>
        </w:rPr>
        <w:t> </w:t>
      </w:r>
      <w:r>
        <w:rPr/>
        <w:t>supplemental</w:t>
      </w:r>
      <w:r>
        <w:rPr>
          <w:spacing w:val="-5"/>
        </w:rPr>
        <w:t> </w:t>
      </w:r>
      <w:r>
        <w:rPr/>
        <w:t>wage</w:t>
      </w:r>
      <w:r>
        <w:rPr>
          <w:spacing w:val="-5"/>
        </w:rPr>
        <w:t> </w:t>
      </w:r>
      <w:r>
        <w:rPr/>
        <w:t>information,</w:t>
      </w:r>
      <w:r>
        <w:rPr>
          <w:spacing w:val="-4"/>
        </w:rPr>
        <w:t> </w:t>
      </w:r>
      <w:r>
        <w:rPr/>
        <w:t>relevant</w:t>
      </w:r>
      <w:r>
        <w:rPr>
          <w:spacing w:val="-4"/>
        </w:rPr>
        <w:t> </w:t>
      </w:r>
      <w:r>
        <w:rPr/>
        <w:t>to</w:t>
      </w:r>
      <w:r>
        <w:rPr>
          <w:spacing w:val="-5"/>
        </w:rPr>
        <w:t> </w:t>
      </w:r>
      <w:r>
        <w:rPr/>
        <w:t>the</w:t>
      </w:r>
      <w:r>
        <w:rPr>
          <w:spacing w:val="-5"/>
        </w:rPr>
        <w:t> </w:t>
      </w:r>
      <w:r>
        <w:rPr/>
        <w:t>core program, include, but are not limited to, the following:</w:t>
      </w:r>
    </w:p>
    <w:p>
      <w:pPr>
        <w:pStyle w:val="BodyText"/>
        <w:spacing w:before="0"/>
        <w:ind w:left="1080"/>
      </w:pPr>
      <w:r>
        <w:rPr/>
        <w:t>Tax</w:t>
      </w:r>
      <w:r>
        <w:rPr>
          <w:spacing w:val="-6"/>
        </w:rPr>
        <w:t> </w:t>
      </w:r>
      <w:r>
        <w:rPr/>
        <w:t>documents,</w:t>
      </w:r>
      <w:r>
        <w:rPr>
          <w:spacing w:val="-2"/>
        </w:rPr>
        <w:t> </w:t>
      </w:r>
      <w:r>
        <w:rPr/>
        <w:t>payroll</w:t>
      </w:r>
      <w:r>
        <w:rPr>
          <w:spacing w:val="-3"/>
        </w:rPr>
        <w:t> </w:t>
      </w:r>
      <w:r>
        <w:rPr/>
        <w:t>records,</w:t>
      </w:r>
      <w:r>
        <w:rPr>
          <w:spacing w:val="-4"/>
        </w:rPr>
        <w:t> </w:t>
      </w:r>
      <w:r>
        <w:rPr/>
        <w:t>and</w:t>
      </w:r>
      <w:r>
        <w:rPr>
          <w:spacing w:val="-3"/>
        </w:rPr>
        <w:t> </w:t>
      </w:r>
      <w:r>
        <w:rPr/>
        <w:t>employer</w:t>
      </w:r>
      <w:r>
        <w:rPr>
          <w:spacing w:val="-2"/>
        </w:rPr>
        <w:t> </w:t>
      </w:r>
      <w:r>
        <w:rPr/>
        <w:t>records</w:t>
      </w:r>
      <w:r>
        <w:rPr>
          <w:spacing w:val="-4"/>
        </w:rPr>
        <w:t> </w:t>
      </w:r>
      <w:r>
        <w:rPr/>
        <w:t>such</w:t>
      </w:r>
      <w:r>
        <w:rPr>
          <w:spacing w:val="-3"/>
        </w:rPr>
        <w:t> </w:t>
      </w:r>
      <w:r>
        <w:rPr>
          <w:spacing w:val="-5"/>
        </w:rPr>
        <w:t>as:</w:t>
      </w:r>
    </w:p>
    <w:p>
      <w:pPr>
        <w:pStyle w:val="ListParagraph"/>
        <w:numPr>
          <w:ilvl w:val="2"/>
          <w:numId w:val="151"/>
        </w:numPr>
        <w:tabs>
          <w:tab w:pos="1770" w:val="left" w:leader="none"/>
        </w:tabs>
        <w:spacing w:line="240" w:lineRule="auto" w:before="120" w:after="0"/>
        <w:ind w:left="1620" w:right="1116" w:firstLine="0"/>
        <w:jc w:val="left"/>
        <w:rPr>
          <w:sz w:val="24"/>
        </w:rPr>
      </w:pPr>
      <w:r>
        <w:rPr>
          <w:sz w:val="24"/>
        </w:rPr>
        <w:t>Copies</w:t>
      </w:r>
      <w:r>
        <w:rPr>
          <w:spacing w:val="-4"/>
          <w:sz w:val="24"/>
        </w:rPr>
        <w:t> </w:t>
      </w:r>
      <w:r>
        <w:rPr>
          <w:sz w:val="24"/>
        </w:rPr>
        <w:t>of</w:t>
      </w:r>
      <w:r>
        <w:rPr>
          <w:spacing w:val="-3"/>
          <w:sz w:val="24"/>
        </w:rPr>
        <w:t> </w:t>
      </w:r>
      <w:r>
        <w:rPr>
          <w:sz w:val="24"/>
        </w:rPr>
        <w:t>quarterly</w:t>
      </w:r>
      <w:r>
        <w:rPr>
          <w:spacing w:val="-4"/>
          <w:sz w:val="24"/>
        </w:rPr>
        <w:t> </w:t>
      </w:r>
      <w:r>
        <w:rPr>
          <w:sz w:val="24"/>
        </w:rPr>
        <w:t>tax</w:t>
      </w:r>
      <w:r>
        <w:rPr>
          <w:spacing w:val="-4"/>
          <w:sz w:val="24"/>
        </w:rPr>
        <w:t> </w:t>
      </w:r>
      <w:r>
        <w:rPr>
          <w:sz w:val="24"/>
        </w:rPr>
        <w:t>payment</w:t>
      </w:r>
      <w:r>
        <w:rPr>
          <w:spacing w:val="-3"/>
          <w:sz w:val="24"/>
        </w:rPr>
        <w:t> </w:t>
      </w:r>
      <w:r>
        <w:rPr>
          <w:sz w:val="24"/>
        </w:rPr>
        <w:t>forms</w:t>
      </w:r>
      <w:r>
        <w:rPr>
          <w:spacing w:val="-5"/>
          <w:sz w:val="24"/>
        </w:rPr>
        <w:t> </w:t>
      </w:r>
      <w:r>
        <w:rPr>
          <w:sz w:val="24"/>
        </w:rPr>
        <w:t>to</w:t>
      </w:r>
      <w:r>
        <w:rPr>
          <w:spacing w:val="-4"/>
          <w:sz w:val="24"/>
        </w:rPr>
        <w:t> </w:t>
      </w:r>
      <w:r>
        <w:rPr>
          <w:sz w:val="24"/>
        </w:rPr>
        <w:t>the</w:t>
      </w:r>
      <w:r>
        <w:rPr>
          <w:spacing w:val="-4"/>
          <w:sz w:val="24"/>
        </w:rPr>
        <w:t> </w:t>
      </w:r>
      <w:r>
        <w:rPr>
          <w:sz w:val="24"/>
        </w:rPr>
        <w:t>Internal</w:t>
      </w:r>
      <w:r>
        <w:rPr>
          <w:spacing w:val="-4"/>
          <w:sz w:val="24"/>
        </w:rPr>
        <w:t> </w:t>
      </w:r>
      <w:r>
        <w:rPr>
          <w:sz w:val="24"/>
        </w:rPr>
        <w:t>Revenue</w:t>
      </w:r>
      <w:r>
        <w:rPr>
          <w:spacing w:val="-4"/>
          <w:sz w:val="24"/>
        </w:rPr>
        <w:t> </w:t>
      </w:r>
      <w:r>
        <w:rPr>
          <w:sz w:val="24"/>
        </w:rPr>
        <w:t>Service, such as a Form 941 (Employer’s Quarterly Tax Return);</w:t>
      </w:r>
    </w:p>
    <w:p>
      <w:pPr>
        <w:pStyle w:val="ListParagraph"/>
        <w:numPr>
          <w:ilvl w:val="2"/>
          <w:numId w:val="151"/>
        </w:numPr>
        <w:tabs>
          <w:tab w:pos="1770" w:val="left" w:leader="none"/>
        </w:tabs>
        <w:spacing w:line="240" w:lineRule="auto" w:before="120" w:after="0"/>
        <w:ind w:left="1770" w:right="0" w:hanging="150"/>
        <w:jc w:val="left"/>
        <w:rPr>
          <w:sz w:val="24"/>
        </w:rPr>
      </w:pPr>
      <w:r>
        <w:rPr>
          <w:sz w:val="24"/>
        </w:rPr>
        <w:t>Copies</w:t>
      </w:r>
      <w:r>
        <w:rPr>
          <w:spacing w:val="-3"/>
          <w:sz w:val="24"/>
        </w:rPr>
        <w:t> </w:t>
      </w:r>
      <w:r>
        <w:rPr>
          <w:sz w:val="24"/>
        </w:rPr>
        <w:t>of</w:t>
      </w:r>
      <w:r>
        <w:rPr>
          <w:spacing w:val="-1"/>
          <w:sz w:val="24"/>
        </w:rPr>
        <w:t> </w:t>
      </w:r>
      <w:r>
        <w:rPr>
          <w:sz w:val="24"/>
        </w:rPr>
        <w:t>pay</w:t>
      </w:r>
      <w:r>
        <w:rPr>
          <w:spacing w:val="-2"/>
          <w:sz w:val="24"/>
        </w:rPr>
        <w:t> </w:t>
      </w:r>
      <w:r>
        <w:rPr>
          <w:sz w:val="24"/>
        </w:rPr>
        <w:t>stubs</w:t>
      </w:r>
      <w:r>
        <w:rPr>
          <w:spacing w:val="-3"/>
          <w:sz w:val="24"/>
        </w:rPr>
        <w:t> </w:t>
      </w:r>
      <w:r>
        <w:rPr>
          <w:sz w:val="24"/>
        </w:rPr>
        <w:t>(minimum</w:t>
      </w:r>
      <w:r>
        <w:rPr>
          <w:spacing w:val="-4"/>
          <w:sz w:val="24"/>
        </w:rPr>
        <w:t> </w:t>
      </w:r>
      <w:r>
        <w:rPr>
          <w:sz w:val="24"/>
        </w:rPr>
        <w:t>of</w:t>
      </w:r>
      <w:r>
        <w:rPr>
          <w:spacing w:val="-1"/>
          <w:sz w:val="24"/>
        </w:rPr>
        <w:t> </w:t>
      </w:r>
      <w:r>
        <w:rPr>
          <w:sz w:val="24"/>
        </w:rPr>
        <w:t>two</w:t>
      </w:r>
      <w:r>
        <w:rPr>
          <w:spacing w:val="-2"/>
          <w:sz w:val="24"/>
        </w:rPr>
        <w:t> </w:t>
      </w:r>
      <w:r>
        <w:rPr>
          <w:sz w:val="24"/>
        </w:rPr>
        <w:t>pay</w:t>
      </w:r>
      <w:r>
        <w:rPr>
          <w:spacing w:val="-3"/>
          <w:sz w:val="24"/>
        </w:rPr>
        <w:t> </w:t>
      </w:r>
      <w:r>
        <w:rPr>
          <w:sz w:val="24"/>
        </w:rPr>
        <w:t>stubs);</w:t>
      </w:r>
      <w:r>
        <w:rPr>
          <w:spacing w:val="-1"/>
          <w:sz w:val="24"/>
        </w:rPr>
        <w:t> </w:t>
      </w:r>
      <w:r>
        <w:rPr>
          <w:spacing w:val="-5"/>
          <w:sz w:val="24"/>
        </w:rPr>
        <w:t>or</w:t>
      </w:r>
    </w:p>
    <w:p>
      <w:pPr>
        <w:pStyle w:val="ListParagraph"/>
        <w:numPr>
          <w:ilvl w:val="2"/>
          <w:numId w:val="151"/>
        </w:numPr>
        <w:tabs>
          <w:tab w:pos="1770" w:val="left" w:leader="none"/>
        </w:tabs>
        <w:spacing w:line="240" w:lineRule="auto" w:before="120" w:after="0"/>
        <w:ind w:left="1620" w:right="1063" w:firstLine="0"/>
        <w:jc w:val="left"/>
        <w:rPr>
          <w:sz w:val="24"/>
        </w:rPr>
      </w:pPr>
      <w:r>
        <w:rPr>
          <w:sz w:val="24"/>
        </w:rPr>
        <w:t>Signed</w:t>
      </w:r>
      <w:r>
        <w:rPr>
          <w:spacing w:val="-5"/>
          <w:sz w:val="24"/>
        </w:rPr>
        <w:t> </w:t>
      </w:r>
      <w:r>
        <w:rPr>
          <w:sz w:val="24"/>
        </w:rPr>
        <w:t>letter</w:t>
      </w:r>
      <w:r>
        <w:rPr>
          <w:spacing w:val="-4"/>
          <w:sz w:val="24"/>
        </w:rPr>
        <w:t> </w:t>
      </w:r>
      <w:r>
        <w:rPr>
          <w:sz w:val="24"/>
        </w:rPr>
        <w:t>or</w:t>
      </w:r>
      <w:r>
        <w:rPr>
          <w:spacing w:val="-5"/>
          <w:sz w:val="24"/>
        </w:rPr>
        <w:t> </w:t>
      </w:r>
      <w:r>
        <w:rPr>
          <w:sz w:val="24"/>
        </w:rPr>
        <w:t>other</w:t>
      </w:r>
      <w:r>
        <w:rPr>
          <w:spacing w:val="-5"/>
          <w:sz w:val="24"/>
        </w:rPr>
        <w:t> </w:t>
      </w:r>
      <w:r>
        <w:rPr>
          <w:sz w:val="24"/>
        </w:rPr>
        <w:t>information</w:t>
      </w:r>
      <w:r>
        <w:rPr>
          <w:spacing w:val="-5"/>
          <w:sz w:val="24"/>
        </w:rPr>
        <w:t> </w:t>
      </w:r>
      <w:r>
        <w:rPr>
          <w:sz w:val="24"/>
        </w:rPr>
        <w:t>from</w:t>
      </w:r>
      <w:r>
        <w:rPr>
          <w:spacing w:val="-5"/>
          <w:sz w:val="24"/>
        </w:rPr>
        <w:t> </w:t>
      </w:r>
      <w:r>
        <w:rPr>
          <w:sz w:val="24"/>
        </w:rPr>
        <w:t>employer</w:t>
      </w:r>
      <w:r>
        <w:rPr>
          <w:spacing w:val="-4"/>
          <w:sz w:val="24"/>
        </w:rPr>
        <w:t> </w:t>
      </w:r>
      <w:r>
        <w:rPr>
          <w:sz w:val="24"/>
        </w:rPr>
        <w:t>on</w:t>
      </w:r>
      <w:r>
        <w:rPr>
          <w:spacing w:val="-5"/>
          <w:sz w:val="24"/>
        </w:rPr>
        <w:t> </w:t>
      </w:r>
      <w:r>
        <w:rPr>
          <w:sz w:val="24"/>
        </w:rPr>
        <w:t>company</w:t>
      </w:r>
      <w:r>
        <w:rPr>
          <w:spacing w:val="-5"/>
          <w:sz w:val="24"/>
        </w:rPr>
        <w:t> </w:t>
      </w:r>
      <w:r>
        <w:rPr>
          <w:sz w:val="24"/>
        </w:rPr>
        <w:t>letterhead attesting to an individual’s employment status and earnings.</w:t>
      </w:r>
    </w:p>
    <w:p>
      <w:pPr>
        <w:pStyle w:val="BodyText"/>
        <w:spacing w:before="119"/>
        <w:ind w:left="1620"/>
      </w:pPr>
      <w:r>
        <w:rPr/>
        <w:t>Other</w:t>
      </w:r>
      <w:r>
        <w:rPr>
          <w:spacing w:val="-4"/>
        </w:rPr>
        <w:t> </w:t>
      </w:r>
      <w:r>
        <w:rPr/>
        <w:t>supplemental</w:t>
      </w:r>
      <w:r>
        <w:rPr>
          <w:spacing w:val="-4"/>
        </w:rPr>
        <w:t> </w:t>
      </w:r>
      <w:r>
        <w:rPr/>
        <w:t>wage</w:t>
      </w:r>
      <w:r>
        <w:rPr>
          <w:spacing w:val="-4"/>
        </w:rPr>
        <w:t> </w:t>
      </w:r>
      <w:r>
        <w:rPr>
          <w:spacing w:val="-2"/>
        </w:rPr>
        <w:t>records:</w:t>
      </w:r>
    </w:p>
    <w:p>
      <w:pPr>
        <w:pStyle w:val="ListParagraph"/>
        <w:numPr>
          <w:ilvl w:val="2"/>
          <w:numId w:val="151"/>
        </w:numPr>
        <w:tabs>
          <w:tab w:pos="1770" w:val="left" w:leader="none"/>
        </w:tabs>
        <w:spacing w:line="240" w:lineRule="auto" w:before="120" w:after="0"/>
        <w:ind w:left="1770" w:right="0" w:hanging="150"/>
        <w:jc w:val="left"/>
        <w:rPr>
          <w:sz w:val="24"/>
        </w:rPr>
      </w:pPr>
      <w:r>
        <w:rPr>
          <w:sz w:val="24"/>
        </w:rPr>
        <w:t>Follow-up</w:t>
      </w:r>
      <w:r>
        <w:rPr>
          <w:spacing w:val="-5"/>
          <w:sz w:val="24"/>
        </w:rPr>
        <w:t> </w:t>
      </w:r>
      <w:r>
        <w:rPr>
          <w:sz w:val="24"/>
        </w:rPr>
        <w:t>survey</w:t>
      </w:r>
      <w:r>
        <w:rPr>
          <w:spacing w:val="-5"/>
          <w:sz w:val="24"/>
        </w:rPr>
        <w:t> </w:t>
      </w:r>
      <w:r>
        <w:rPr>
          <w:sz w:val="24"/>
        </w:rPr>
        <w:t>(self-reported)</w:t>
      </w:r>
      <w:r>
        <w:rPr>
          <w:spacing w:val="-7"/>
          <w:sz w:val="24"/>
        </w:rPr>
        <w:t> </w:t>
      </w:r>
      <w:r>
        <w:rPr>
          <w:sz w:val="24"/>
        </w:rPr>
        <w:t>from</w:t>
      </w:r>
      <w:r>
        <w:rPr>
          <w:spacing w:val="-4"/>
          <w:sz w:val="24"/>
        </w:rPr>
        <w:t> </w:t>
      </w:r>
      <w:r>
        <w:rPr>
          <w:sz w:val="24"/>
        </w:rPr>
        <w:t>program</w:t>
      </w:r>
      <w:r>
        <w:rPr>
          <w:spacing w:val="-4"/>
          <w:sz w:val="24"/>
        </w:rPr>
        <w:t> </w:t>
      </w:r>
      <w:r>
        <w:rPr>
          <w:spacing w:val="-2"/>
          <w:sz w:val="24"/>
        </w:rPr>
        <w:t>participants;</w:t>
      </w:r>
    </w:p>
    <w:p>
      <w:pPr>
        <w:pStyle w:val="ListParagraph"/>
        <w:numPr>
          <w:ilvl w:val="2"/>
          <w:numId w:val="151"/>
        </w:numPr>
        <w:tabs>
          <w:tab w:pos="1770" w:val="left" w:leader="none"/>
        </w:tabs>
        <w:spacing w:line="240" w:lineRule="auto" w:before="120" w:after="0"/>
        <w:ind w:left="1770" w:right="0" w:hanging="150"/>
        <w:jc w:val="left"/>
        <w:rPr>
          <w:sz w:val="24"/>
        </w:rPr>
      </w:pPr>
      <w:r>
        <w:rPr>
          <w:sz w:val="24"/>
        </w:rPr>
        <w:t>Income</w:t>
      </w:r>
      <w:r>
        <w:rPr>
          <w:spacing w:val="-5"/>
          <w:sz w:val="24"/>
        </w:rPr>
        <w:t> </w:t>
      </w:r>
      <w:r>
        <w:rPr>
          <w:sz w:val="24"/>
        </w:rPr>
        <w:t>earned</w:t>
      </w:r>
      <w:r>
        <w:rPr>
          <w:spacing w:val="-3"/>
          <w:sz w:val="24"/>
        </w:rPr>
        <w:t> </w:t>
      </w:r>
      <w:r>
        <w:rPr>
          <w:sz w:val="24"/>
        </w:rPr>
        <w:t>from</w:t>
      </w:r>
      <w:r>
        <w:rPr>
          <w:spacing w:val="-3"/>
          <w:sz w:val="24"/>
        </w:rPr>
        <w:t> </w:t>
      </w:r>
      <w:r>
        <w:rPr>
          <w:sz w:val="24"/>
        </w:rPr>
        <w:t>commission</w:t>
      </w:r>
      <w:r>
        <w:rPr>
          <w:spacing w:val="-3"/>
          <w:sz w:val="24"/>
        </w:rPr>
        <w:t> </w:t>
      </w:r>
      <w:r>
        <w:rPr>
          <w:sz w:val="24"/>
        </w:rPr>
        <w:t>in</w:t>
      </w:r>
      <w:r>
        <w:rPr>
          <w:spacing w:val="-3"/>
          <w:sz w:val="24"/>
        </w:rPr>
        <w:t> </w:t>
      </w:r>
      <w:r>
        <w:rPr>
          <w:sz w:val="24"/>
        </w:rPr>
        <w:t>sales</w:t>
      </w:r>
      <w:r>
        <w:rPr>
          <w:spacing w:val="-2"/>
          <w:sz w:val="24"/>
        </w:rPr>
        <w:t> </w:t>
      </w:r>
      <w:r>
        <w:rPr>
          <w:sz w:val="24"/>
        </w:rPr>
        <w:t>or</w:t>
      </w:r>
      <w:r>
        <w:rPr>
          <w:spacing w:val="-2"/>
          <w:sz w:val="24"/>
        </w:rPr>
        <w:t> </w:t>
      </w:r>
      <w:r>
        <w:rPr>
          <w:sz w:val="24"/>
        </w:rPr>
        <w:t>other</w:t>
      </w:r>
      <w:r>
        <w:rPr>
          <w:spacing w:val="-2"/>
          <w:sz w:val="24"/>
        </w:rPr>
        <w:t> </w:t>
      </w:r>
      <w:r>
        <w:rPr>
          <w:sz w:val="24"/>
        </w:rPr>
        <w:t>similar</w:t>
      </w:r>
      <w:r>
        <w:rPr>
          <w:spacing w:val="-1"/>
          <w:sz w:val="24"/>
        </w:rPr>
        <w:t> </w:t>
      </w:r>
      <w:r>
        <w:rPr>
          <w:spacing w:val="-2"/>
          <w:sz w:val="24"/>
        </w:rPr>
        <w:t>positions;</w:t>
      </w:r>
    </w:p>
    <w:p>
      <w:pPr>
        <w:pStyle w:val="ListParagraph"/>
        <w:numPr>
          <w:ilvl w:val="2"/>
          <w:numId w:val="151"/>
        </w:numPr>
        <w:tabs>
          <w:tab w:pos="1770" w:val="left" w:leader="none"/>
        </w:tabs>
        <w:spacing w:line="240" w:lineRule="auto" w:before="120" w:after="0"/>
        <w:ind w:left="1620" w:right="1022" w:firstLine="0"/>
        <w:jc w:val="left"/>
        <w:rPr>
          <w:sz w:val="24"/>
        </w:rPr>
      </w:pPr>
      <w:r>
        <w:rPr>
          <w:sz w:val="24"/>
        </w:rPr>
        <w:t>Detailed</w:t>
      </w:r>
      <w:r>
        <w:rPr>
          <w:spacing w:val="-4"/>
          <w:sz w:val="24"/>
        </w:rPr>
        <w:t> </w:t>
      </w:r>
      <w:r>
        <w:rPr>
          <w:sz w:val="24"/>
        </w:rPr>
        <w:t>case</w:t>
      </w:r>
      <w:r>
        <w:rPr>
          <w:spacing w:val="-4"/>
          <w:sz w:val="24"/>
        </w:rPr>
        <w:t> </w:t>
      </w:r>
      <w:r>
        <w:rPr>
          <w:sz w:val="24"/>
        </w:rPr>
        <w:t>notes</w:t>
      </w:r>
      <w:r>
        <w:rPr>
          <w:spacing w:val="-4"/>
          <w:sz w:val="24"/>
        </w:rPr>
        <w:t> </w:t>
      </w:r>
      <w:r>
        <w:rPr>
          <w:sz w:val="24"/>
        </w:rPr>
        <w:t>verified</w:t>
      </w:r>
      <w:r>
        <w:rPr>
          <w:spacing w:val="-4"/>
          <w:sz w:val="24"/>
        </w:rPr>
        <w:t> </w:t>
      </w:r>
      <w:r>
        <w:rPr>
          <w:sz w:val="24"/>
        </w:rPr>
        <w:t>by</w:t>
      </w:r>
      <w:r>
        <w:rPr>
          <w:spacing w:val="-4"/>
          <w:sz w:val="24"/>
        </w:rPr>
        <w:t> </w:t>
      </w:r>
      <w:r>
        <w:rPr>
          <w:sz w:val="24"/>
        </w:rPr>
        <w:t>employer</w:t>
      </w:r>
      <w:r>
        <w:rPr>
          <w:spacing w:val="-3"/>
          <w:sz w:val="24"/>
        </w:rPr>
        <w:t> </w:t>
      </w:r>
      <w:r>
        <w:rPr>
          <w:sz w:val="24"/>
        </w:rPr>
        <w:t>and</w:t>
      </w:r>
      <w:r>
        <w:rPr>
          <w:spacing w:val="-4"/>
          <w:sz w:val="24"/>
        </w:rPr>
        <w:t> </w:t>
      </w:r>
      <w:r>
        <w:rPr>
          <w:sz w:val="24"/>
        </w:rPr>
        <w:t>signed</w:t>
      </w:r>
      <w:r>
        <w:rPr>
          <w:spacing w:val="-4"/>
          <w:sz w:val="24"/>
        </w:rPr>
        <w:t> </w:t>
      </w:r>
      <w:r>
        <w:rPr>
          <w:sz w:val="24"/>
        </w:rPr>
        <w:t>by</w:t>
      </w:r>
      <w:r>
        <w:rPr>
          <w:spacing w:val="-3"/>
          <w:sz w:val="24"/>
        </w:rPr>
        <w:t> </w:t>
      </w:r>
      <w:r>
        <w:rPr>
          <w:sz w:val="24"/>
        </w:rPr>
        <w:t>the</w:t>
      </w:r>
      <w:r>
        <w:rPr>
          <w:spacing w:val="-4"/>
          <w:sz w:val="24"/>
        </w:rPr>
        <w:t> </w:t>
      </w:r>
      <w:r>
        <w:rPr>
          <w:sz w:val="24"/>
        </w:rPr>
        <w:t>counselor,</w:t>
      </w:r>
      <w:r>
        <w:rPr>
          <w:spacing w:val="-3"/>
          <w:sz w:val="24"/>
        </w:rPr>
        <w:t> </w:t>
      </w:r>
      <w:r>
        <w:rPr>
          <w:sz w:val="24"/>
        </w:rPr>
        <w:t>if appropriate to the program;</w:t>
      </w:r>
    </w:p>
    <w:p>
      <w:pPr>
        <w:pStyle w:val="ListParagraph"/>
        <w:numPr>
          <w:ilvl w:val="2"/>
          <w:numId w:val="151"/>
        </w:numPr>
        <w:tabs>
          <w:tab w:pos="1770" w:val="left" w:leader="none"/>
        </w:tabs>
        <w:spacing w:line="240" w:lineRule="auto" w:before="120" w:after="0"/>
        <w:ind w:left="1620" w:right="1101" w:firstLine="0"/>
        <w:jc w:val="left"/>
        <w:rPr>
          <w:sz w:val="24"/>
        </w:rPr>
      </w:pPr>
      <w:r>
        <w:rPr>
          <w:sz w:val="24"/>
        </w:rPr>
        <w:t>Automated</w:t>
      </w:r>
      <w:r>
        <w:rPr>
          <w:spacing w:val="-4"/>
          <w:sz w:val="24"/>
        </w:rPr>
        <w:t> </w:t>
      </w:r>
      <w:r>
        <w:rPr>
          <w:sz w:val="24"/>
        </w:rPr>
        <w:t>database</w:t>
      </w:r>
      <w:r>
        <w:rPr>
          <w:spacing w:val="-3"/>
          <w:sz w:val="24"/>
        </w:rPr>
        <w:t> </w:t>
      </w:r>
      <w:r>
        <w:rPr>
          <w:sz w:val="24"/>
        </w:rPr>
        <w:t>systems</w:t>
      </w:r>
      <w:r>
        <w:rPr>
          <w:spacing w:val="-5"/>
          <w:sz w:val="24"/>
        </w:rPr>
        <w:t> </w:t>
      </w:r>
      <w:r>
        <w:rPr>
          <w:sz w:val="24"/>
        </w:rPr>
        <w:t>or</w:t>
      </w:r>
      <w:r>
        <w:rPr>
          <w:spacing w:val="-5"/>
          <w:sz w:val="24"/>
        </w:rPr>
        <w:t> </w:t>
      </w:r>
      <w:r>
        <w:rPr>
          <w:sz w:val="24"/>
        </w:rPr>
        <w:t>data</w:t>
      </w:r>
      <w:r>
        <w:rPr>
          <w:spacing w:val="-4"/>
          <w:sz w:val="24"/>
        </w:rPr>
        <w:t> </w:t>
      </w:r>
      <w:r>
        <w:rPr>
          <w:sz w:val="24"/>
        </w:rPr>
        <w:t>matching</w:t>
      </w:r>
      <w:r>
        <w:rPr>
          <w:spacing w:val="-4"/>
          <w:sz w:val="24"/>
        </w:rPr>
        <w:t> </w:t>
      </w:r>
      <w:r>
        <w:rPr>
          <w:sz w:val="24"/>
        </w:rPr>
        <w:t>with</w:t>
      </w:r>
      <w:r>
        <w:rPr>
          <w:spacing w:val="-4"/>
          <w:sz w:val="24"/>
        </w:rPr>
        <w:t> </w:t>
      </w:r>
      <w:r>
        <w:rPr>
          <w:sz w:val="24"/>
        </w:rPr>
        <w:t>other</w:t>
      </w:r>
      <w:r>
        <w:rPr>
          <w:spacing w:val="-3"/>
          <w:sz w:val="24"/>
        </w:rPr>
        <w:t> </w:t>
      </w:r>
      <w:r>
        <w:rPr>
          <w:sz w:val="24"/>
        </w:rPr>
        <w:t>partners</w:t>
      </w:r>
      <w:r>
        <w:rPr>
          <w:spacing w:val="-4"/>
          <w:sz w:val="24"/>
        </w:rPr>
        <w:t> </w:t>
      </w:r>
      <w:r>
        <w:rPr>
          <w:sz w:val="24"/>
        </w:rPr>
        <w:t>with whom data sharing agreements exist;</w:t>
      </w:r>
    </w:p>
    <w:p>
      <w:pPr>
        <w:pStyle w:val="ListParagraph"/>
        <w:numPr>
          <w:ilvl w:val="2"/>
          <w:numId w:val="151"/>
        </w:numPr>
        <w:tabs>
          <w:tab w:pos="1770" w:val="left" w:leader="none"/>
        </w:tabs>
        <w:spacing w:line="240" w:lineRule="auto" w:before="120" w:after="0"/>
        <w:ind w:left="1620" w:right="735" w:firstLine="0"/>
        <w:jc w:val="left"/>
        <w:rPr>
          <w:sz w:val="24"/>
        </w:rPr>
      </w:pPr>
      <w:r>
        <w:rPr>
          <w:sz w:val="24"/>
        </w:rPr>
        <w:t>One-Stop operating systems’ administrative records, such as current records of eligibility for programs with income-based eligibility (e.g., Temporary</w:t>
      </w:r>
      <w:r>
        <w:rPr>
          <w:spacing w:val="-7"/>
          <w:sz w:val="24"/>
        </w:rPr>
        <w:t> </w:t>
      </w:r>
      <w:r>
        <w:rPr>
          <w:sz w:val="24"/>
        </w:rPr>
        <w:t>Assistance</w:t>
      </w:r>
      <w:r>
        <w:rPr>
          <w:spacing w:val="-5"/>
          <w:sz w:val="24"/>
        </w:rPr>
        <w:t> </w:t>
      </w:r>
      <w:r>
        <w:rPr>
          <w:sz w:val="24"/>
        </w:rPr>
        <w:t>for</w:t>
      </w:r>
      <w:r>
        <w:rPr>
          <w:spacing w:val="-5"/>
          <w:sz w:val="24"/>
        </w:rPr>
        <w:t> </w:t>
      </w:r>
      <w:r>
        <w:rPr>
          <w:sz w:val="24"/>
        </w:rPr>
        <w:t>Needy</w:t>
      </w:r>
      <w:r>
        <w:rPr>
          <w:spacing w:val="-6"/>
          <w:sz w:val="24"/>
        </w:rPr>
        <w:t> </w:t>
      </w:r>
      <w:r>
        <w:rPr>
          <w:sz w:val="24"/>
        </w:rPr>
        <w:t>Families</w:t>
      </w:r>
      <w:r>
        <w:rPr>
          <w:spacing w:val="-6"/>
          <w:sz w:val="24"/>
        </w:rPr>
        <w:t> </w:t>
      </w:r>
      <w:r>
        <w:rPr>
          <w:sz w:val="24"/>
        </w:rPr>
        <w:t>(TANF)</w:t>
      </w:r>
      <w:r>
        <w:rPr>
          <w:spacing w:val="-5"/>
          <w:sz w:val="24"/>
        </w:rPr>
        <w:t> </w:t>
      </w:r>
      <w:r>
        <w:rPr>
          <w:sz w:val="24"/>
        </w:rPr>
        <w:t>or</w:t>
      </w:r>
      <w:r>
        <w:rPr>
          <w:spacing w:val="-5"/>
          <w:sz w:val="24"/>
        </w:rPr>
        <w:t> </w:t>
      </w:r>
      <w:r>
        <w:rPr>
          <w:sz w:val="24"/>
        </w:rPr>
        <w:t>Supplemental</w:t>
      </w:r>
      <w:r>
        <w:rPr>
          <w:spacing w:val="-5"/>
          <w:sz w:val="24"/>
        </w:rPr>
        <w:t> </w:t>
      </w:r>
      <w:r>
        <w:rPr>
          <w:sz w:val="24"/>
        </w:rPr>
        <w:t>Nutrition Assistance Program (SNAP)); or</w:t>
      </w:r>
    </w:p>
    <w:p>
      <w:pPr>
        <w:pStyle w:val="ListParagraph"/>
        <w:numPr>
          <w:ilvl w:val="2"/>
          <w:numId w:val="151"/>
        </w:numPr>
        <w:tabs>
          <w:tab w:pos="1770" w:val="left" w:leader="none"/>
        </w:tabs>
        <w:spacing w:line="240" w:lineRule="auto" w:before="0" w:after="0"/>
        <w:ind w:left="1620" w:right="1877" w:firstLine="0"/>
        <w:jc w:val="left"/>
        <w:rPr>
          <w:sz w:val="24"/>
        </w:rPr>
      </w:pPr>
      <w:r>
        <w:rPr>
          <w:sz w:val="24"/>
        </w:rPr>
        <w:t>Self-employment</w:t>
      </w:r>
      <w:r>
        <w:rPr>
          <w:spacing w:val="-5"/>
          <w:sz w:val="24"/>
        </w:rPr>
        <w:t> </w:t>
      </w:r>
      <w:r>
        <w:rPr>
          <w:sz w:val="24"/>
        </w:rPr>
        <w:t>worksheets</w:t>
      </w:r>
      <w:r>
        <w:rPr>
          <w:spacing w:val="-6"/>
          <w:sz w:val="24"/>
        </w:rPr>
        <w:t> </w:t>
      </w:r>
      <w:r>
        <w:rPr>
          <w:sz w:val="24"/>
        </w:rPr>
        <w:t>signed</w:t>
      </w:r>
      <w:r>
        <w:rPr>
          <w:spacing w:val="-6"/>
          <w:sz w:val="24"/>
        </w:rPr>
        <w:t> </w:t>
      </w:r>
      <w:r>
        <w:rPr>
          <w:sz w:val="24"/>
        </w:rPr>
        <w:t>and</w:t>
      </w:r>
      <w:r>
        <w:rPr>
          <w:spacing w:val="-6"/>
          <w:sz w:val="24"/>
        </w:rPr>
        <w:t> </w:t>
      </w:r>
      <w:r>
        <w:rPr>
          <w:sz w:val="24"/>
        </w:rPr>
        <w:t>attested</w:t>
      </w:r>
      <w:r>
        <w:rPr>
          <w:spacing w:val="-7"/>
          <w:sz w:val="24"/>
        </w:rPr>
        <w:t> </w:t>
      </w:r>
      <w:r>
        <w:rPr>
          <w:sz w:val="24"/>
        </w:rPr>
        <w:t>to</w:t>
      </w:r>
      <w:r>
        <w:rPr>
          <w:spacing w:val="-6"/>
          <w:sz w:val="24"/>
        </w:rPr>
        <w:t> </w:t>
      </w:r>
      <w:r>
        <w:rPr>
          <w:sz w:val="24"/>
        </w:rPr>
        <w:t>by</w:t>
      </w:r>
      <w:r>
        <w:rPr>
          <w:spacing w:val="-6"/>
          <w:sz w:val="24"/>
        </w:rPr>
        <w:t> </w:t>
      </w:r>
      <w:r>
        <w:rPr>
          <w:sz w:val="24"/>
        </w:rPr>
        <w:t>program </w:t>
      </w:r>
      <w:r>
        <w:rPr>
          <w:spacing w:val="-2"/>
          <w:sz w:val="24"/>
        </w:rPr>
        <w:t>participants.</w:t>
      </w:r>
    </w:p>
    <w:p>
      <w:pPr>
        <w:spacing w:before="240"/>
        <w:ind w:left="360" w:right="0" w:firstLine="0"/>
        <w:jc w:val="left"/>
        <w:rPr>
          <w:sz w:val="22"/>
        </w:rPr>
      </w:pPr>
      <w:r>
        <w:rPr>
          <w:sz w:val="22"/>
        </w:rPr>
        <w:t>Section</w:t>
      </w:r>
      <w:r>
        <w:rPr>
          <w:spacing w:val="-9"/>
          <w:sz w:val="22"/>
        </w:rPr>
        <w:t> </w:t>
      </w:r>
      <w:r>
        <w:rPr>
          <w:spacing w:val="-2"/>
          <w:sz w:val="22"/>
        </w:rPr>
        <w:t>History</w:t>
      </w:r>
    </w:p>
    <w:p>
      <w:pPr>
        <w:tabs>
          <w:tab w:pos="1529" w:val="left" w:leader="none"/>
        </w:tabs>
        <w:spacing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529" w:val="left" w:leader="none"/>
        </w:tabs>
        <w:spacing w:before="0"/>
        <w:ind w:left="360" w:right="4346" w:firstLine="1170"/>
        <w:jc w:val="left"/>
        <w:rPr>
          <w:sz w:val="22"/>
        </w:rPr>
      </w:pPr>
      <w:r>
        <w:rPr>
          <w:sz w:val="22"/>
        </w:rPr>
        <w:t>Emergency,</w:t>
      </w:r>
      <w:r>
        <w:rPr>
          <w:spacing w:val="-7"/>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7"/>
          <w:sz w:val="22"/>
        </w:rPr>
        <w:t> </w:t>
      </w:r>
      <w:r>
        <w:rPr>
          <w:sz w:val="22"/>
        </w:rPr>
        <w:t>Title</w:t>
      </w:r>
      <w:r>
        <w:rPr>
          <w:spacing w:val="-7"/>
          <w:sz w:val="22"/>
        </w:rPr>
        <w:t> </w:t>
      </w:r>
      <w:r>
        <w:rPr>
          <w:sz w:val="22"/>
        </w:rPr>
        <w:t>612 </w:t>
      </w:r>
      <w:r>
        <w:rPr>
          <w:spacing w:val="-2"/>
          <w:sz w:val="22"/>
        </w:rPr>
        <w:t>7-1-94</w:t>
      </w:r>
      <w:r>
        <w:rPr>
          <w:sz w:val="22"/>
        </w:rPr>
        <w:tab/>
        <w:t>PT Memo #94-1</w:t>
      </w:r>
    </w:p>
    <w:p>
      <w:pPr>
        <w:spacing w:after="0"/>
        <w:jc w:val="left"/>
        <w:rPr>
          <w:sz w:val="22"/>
        </w:rPr>
        <w:sectPr>
          <w:pgSz w:w="12240" w:h="15840"/>
          <w:pgMar w:top="1360" w:bottom="280" w:left="1080" w:right="720"/>
        </w:sectPr>
      </w:pPr>
    </w:p>
    <w:p>
      <w:pPr>
        <w:tabs>
          <w:tab w:pos="1530" w:val="left" w:leader="none"/>
        </w:tabs>
        <w:spacing w:before="80"/>
        <w:ind w:left="360" w:right="4382" w:firstLine="1169"/>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4-3-96</w:t>
      </w:r>
      <w:r>
        <w:rPr>
          <w:sz w:val="22"/>
        </w:rPr>
        <w:tab/>
        <w:t>PT Memo #96-2</w:t>
      </w:r>
    </w:p>
    <w:p>
      <w:pPr>
        <w:tabs>
          <w:tab w:pos="1530" w:val="left" w:leader="none"/>
        </w:tabs>
        <w:spacing w:before="0"/>
        <w:ind w:left="360" w:right="3651" w:firstLine="1170"/>
        <w:jc w:val="left"/>
        <w:rPr>
          <w:sz w:val="22"/>
        </w:rPr>
      </w:pPr>
      <w:r>
        <w:rPr>
          <w:sz w:val="22"/>
        </w:rPr>
        <w:t>Emergency,</w:t>
      </w:r>
      <w:r>
        <w:rPr>
          <w:spacing w:val="-8"/>
          <w:sz w:val="22"/>
        </w:rPr>
        <w:t> </w:t>
      </w:r>
      <w:r>
        <w:rPr>
          <w:sz w:val="22"/>
        </w:rPr>
        <w:t>stricter</w:t>
      </w:r>
      <w:r>
        <w:rPr>
          <w:spacing w:val="-8"/>
          <w:sz w:val="22"/>
        </w:rPr>
        <w:t> </w:t>
      </w:r>
      <w:r>
        <w:rPr>
          <w:sz w:val="22"/>
        </w:rPr>
        <w:t>guidelines</w:t>
      </w:r>
      <w:r>
        <w:rPr>
          <w:spacing w:val="-8"/>
          <w:sz w:val="22"/>
        </w:rPr>
        <w:t> </w:t>
      </w:r>
      <w:r>
        <w:rPr>
          <w:sz w:val="22"/>
        </w:rPr>
        <w:t>for</w:t>
      </w:r>
      <w:r>
        <w:rPr>
          <w:spacing w:val="-8"/>
          <w:sz w:val="22"/>
        </w:rPr>
        <w:t> </w:t>
      </w:r>
      <w:r>
        <w:rPr>
          <w:sz w:val="22"/>
        </w:rPr>
        <w:t>homemaker</w:t>
      </w:r>
      <w:r>
        <w:rPr>
          <w:spacing w:val="-8"/>
          <w:sz w:val="22"/>
        </w:rPr>
        <w:t> </w:t>
      </w:r>
      <w:r>
        <w:rPr>
          <w:sz w:val="22"/>
        </w:rPr>
        <w:t>closure </w:t>
      </w:r>
      <w:r>
        <w:rPr>
          <w:spacing w:val="-2"/>
          <w:sz w:val="22"/>
        </w:rPr>
        <w:t>7-1-97</w:t>
      </w:r>
      <w:r>
        <w:rPr>
          <w:sz w:val="22"/>
        </w:rPr>
        <w:tab/>
        <w:t>PT Memo #97-9</w:t>
      </w:r>
    </w:p>
    <w:p>
      <w:pPr>
        <w:spacing w:before="0"/>
        <w:ind w:left="1530" w:right="775" w:firstLine="0"/>
        <w:jc w:val="left"/>
        <w:rPr>
          <w:sz w:val="22"/>
        </w:rPr>
      </w:pPr>
      <w:r>
        <w:rPr>
          <w:sz w:val="22"/>
        </w:rPr>
        <w:t>Permanent,</w:t>
      </w:r>
      <w:r>
        <w:rPr>
          <w:spacing w:val="-5"/>
          <w:sz w:val="22"/>
        </w:rPr>
        <w:t> </w:t>
      </w:r>
      <w:r>
        <w:rPr>
          <w:sz w:val="22"/>
        </w:rPr>
        <w:t>supersedes</w:t>
      </w:r>
      <w:r>
        <w:rPr>
          <w:spacing w:val="-7"/>
          <w:sz w:val="22"/>
        </w:rPr>
        <w:t> </w:t>
      </w:r>
      <w:r>
        <w:rPr>
          <w:sz w:val="22"/>
        </w:rPr>
        <w:t>emergency</w:t>
      </w:r>
      <w:r>
        <w:rPr>
          <w:spacing w:val="-6"/>
          <w:sz w:val="22"/>
        </w:rPr>
        <w:t> </w:t>
      </w:r>
      <w:r>
        <w:rPr>
          <w:sz w:val="22"/>
        </w:rPr>
        <w:t>rules</w:t>
      </w:r>
      <w:r>
        <w:rPr>
          <w:spacing w:val="-6"/>
          <w:sz w:val="22"/>
        </w:rPr>
        <w:t> </w:t>
      </w:r>
      <w:r>
        <w:rPr>
          <w:sz w:val="22"/>
        </w:rPr>
        <w:t>issued</w:t>
      </w:r>
      <w:r>
        <w:rPr>
          <w:spacing w:val="-7"/>
          <w:sz w:val="22"/>
        </w:rPr>
        <w:t> </w:t>
      </w:r>
      <w:r>
        <w:rPr>
          <w:sz w:val="22"/>
        </w:rPr>
        <w:t>4-3-96,</w:t>
      </w:r>
      <w:r>
        <w:rPr>
          <w:spacing w:val="-6"/>
          <w:sz w:val="22"/>
        </w:rPr>
        <w:t> </w:t>
      </w:r>
      <w:r>
        <w:rPr>
          <w:sz w:val="22"/>
        </w:rPr>
        <w:t>added</w:t>
      </w:r>
      <w:r>
        <w:rPr>
          <w:spacing w:val="-6"/>
          <w:sz w:val="22"/>
        </w:rPr>
        <w:t> </w:t>
      </w:r>
      <w:r>
        <w:rPr>
          <w:sz w:val="22"/>
        </w:rPr>
        <w:t>Supported Employment milestones, ITS changed to allow closure with outstanding </w:t>
      </w:r>
      <w:r>
        <w:rPr>
          <w:spacing w:val="-2"/>
          <w:sz w:val="22"/>
        </w:rPr>
        <w:t>authorizations</w:t>
      </w:r>
    </w:p>
    <w:p>
      <w:pPr>
        <w:tabs>
          <w:tab w:pos="1529" w:val="left" w:leader="none"/>
        </w:tabs>
        <w:spacing w:line="253" w:lineRule="exact" w:before="0"/>
        <w:ind w:left="360" w:right="0" w:firstLine="0"/>
        <w:jc w:val="left"/>
        <w:rPr>
          <w:sz w:val="22"/>
        </w:rPr>
      </w:pPr>
      <w:r>
        <w:rPr>
          <w:spacing w:val="-2"/>
          <w:sz w:val="22"/>
        </w:rPr>
        <w:t>10-1-</w:t>
      </w:r>
      <w:r>
        <w:rPr>
          <w:spacing w:val="-5"/>
          <w:sz w:val="22"/>
        </w:rPr>
        <w:t>97</w:t>
      </w:r>
      <w:r>
        <w:rPr>
          <w:sz w:val="22"/>
        </w:rPr>
        <w:tab/>
        <w:t>PT</w:t>
      </w:r>
      <w:r>
        <w:rPr>
          <w:spacing w:val="-8"/>
          <w:sz w:val="22"/>
        </w:rPr>
        <w:t> </w:t>
      </w:r>
      <w:r>
        <w:rPr>
          <w:sz w:val="22"/>
        </w:rPr>
        <w:t>Memo</w:t>
      </w:r>
      <w:r>
        <w:rPr>
          <w:spacing w:val="-8"/>
          <w:sz w:val="22"/>
        </w:rPr>
        <w:t> </w:t>
      </w:r>
      <w:r>
        <w:rPr>
          <w:sz w:val="22"/>
        </w:rPr>
        <w:t>#98-</w:t>
      </w:r>
      <w:r>
        <w:rPr>
          <w:spacing w:val="-10"/>
          <w:sz w:val="22"/>
        </w:rPr>
        <w:t>4</w:t>
      </w:r>
    </w:p>
    <w:p>
      <w:pPr>
        <w:spacing w:before="0"/>
        <w:ind w:left="1530" w:right="775" w:firstLine="0"/>
        <w:jc w:val="left"/>
        <w:rPr>
          <w:sz w:val="22"/>
        </w:rPr>
      </w:pPr>
      <w:r>
        <w:rPr>
          <w:sz w:val="22"/>
        </w:rPr>
        <w:t>Emergency,</w:t>
      </w:r>
      <w:r>
        <w:rPr>
          <w:spacing w:val="-5"/>
          <w:sz w:val="22"/>
        </w:rPr>
        <w:t> </w:t>
      </w:r>
      <w:r>
        <w:rPr>
          <w:sz w:val="22"/>
        </w:rPr>
        <w:t>general</w:t>
      </w:r>
      <w:r>
        <w:rPr>
          <w:spacing w:val="-5"/>
          <w:sz w:val="22"/>
        </w:rPr>
        <w:t> </w:t>
      </w:r>
      <w:r>
        <w:rPr>
          <w:sz w:val="22"/>
        </w:rPr>
        <w:t>criteria</w:t>
      </w:r>
      <w:r>
        <w:rPr>
          <w:spacing w:val="-5"/>
          <w:sz w:val="22"/>
        </w:rPr>
        <w:t> </w:t>
      </w:r>
      <w:r>
        <w:rPr>
          <w:sz w:val="22"/>
        </w:rPr>
        <w:t>for</w:t>
      </w:r>
      <w:r>
        <w:rPr>
          <w:spacing w:val="-5"/>
          <w:sz w:val="22"/>
        </w:rPr>
        <w:t> </w:t>
      </w:r>
      <w:r>
        <w:rPr>
          <w:sz w:val="22"/>
        </w:rPr>
        <w:t>successful</w:t>
      </w:r>
      <w:r>
        <w:rPr>
          <w:spacing w:val="-5"/>
          <w:sz w:val="22"/>
        </w:rPr>
        <w:t> </w:t>
      </w:r>
      <w:r>
        <w:rPr>
          <w:sz w:val="22"/>
        </w:rPr>
        <w:t>closure</w:t>
      </w:r>
      <w:r>
        <w:rPr>
          <w:spacing w:val="-5"/>
          <w:sz w:val="22"/>
        </w:rPr>
        <w:t> </w:t>
      </w:r>
      <w:r>
        <w:rPr>
          <w:sz w:val="22"/>
        </w:rPr>
        <w:t>changed</w:t>
      </w:r>
      <w:r>
        <w:rPr>
          <w:spacing w:val="-5"/>
          <w:sz w:val="22"/>
        </w:rPr>
        <w:t> </w:t>
      </w:r>
      <w:r>
        <w:rPr>
          <w:sz w:val="22"/>
        </w:rPr>
        <w:t>to</w:t>
      </w:r>
      <w:r>
        <w:rPr>
          <w:spacing w:val="-5"/>
          <w:sz w:val="22"/>
        </w:rPr>
        <w:t> </w:t>
      </w:r>
      <w:r>
        <w:rPr>
          <w:sz w:val="22"/>
        </w:rPr>
        <w:t>match</w:t>
      </w:r>
      <w:r>
        <w:rPr>
          <w:spacing w:val="-5"/>
          <w:sz w:val="22"/>
        </w:rPr>
        <w:t> </w:t>
      </w:r>
      <w:r>
        <w:rPr>
          <w:sz w:val="22"/>
        </w:rPr>
        <w:t>RSA </w:t>
      </w:r>
      <w:r>
        <w:rPr>
          <w:spacing w:val="-2"/>
          <w:sz w:val="22"/>
        </w:rPr>
        <w:t>regulations</w:t>
      </w:r>
    </w:p>
    <w:p>
      <w:pPr>
        <w:pStyle w:val="ListParagraph"/>
        <w:numPr>
          <w:ilvl w:val="2"/>
          <w:numId w:val="152"/>
        </w:numPr>
        <w:tabs>
          <w:tab w:pos="1529" w:val="left" w:leader="none"/>
        </w:tabs>
        <w:spacing w:line="240" w:lineRule="auto" w:before="0" w:after="0"/>
        <w:ind w:left="1529" w:right="0" w:hanging="1170"/>
        <w:jc w:val="left"/>
        <w:rPr>
          <w:sz w:val="22"/>
        </w:rPr>
      </w:pPr>
      <w:r>
        <w:rPr>
          <w:sz w:val="22"/>
        </w:rPr>
        <w:t>PT</w:t>
      </w:r>
      <w:r>
        <w:rPr>
          <w:spacing w:val="-8"/>
          <w:sz w:val="22"/>
        </w:rPr>
        <w:t> </w:t>
      </w:r>
      <w:r>
        <w:rPr>
          <w:sz w:val="22"/>
        </w:rPr>
        <w:t>Memo</w:t>
      </w:r>
      <w:r>
        <w:rPr>
          <w:spacing w:val="-8"/>
          <w:sz w:val="22"/>
        </w:rPr>
        <w:t> </w:t>
      </w:r>
      <w:r>
        <w:rPr>
          <w:sz w:val="22"/>
        </w:rPr>
        <w:t>#98-</w:t>
      </w:r>
      <w:r>
        <w:rPr>
          <w:spacing w:val="-5"/>
          <w:sz w:val="22"/>
        </w:rPr>
        <w:t>15</w:t>
      </w:r>
    </w:p>
    <w:p>
      <w:pPr>
        <w:spacing w:before="0"/>
        <w:ind w:left="1530" w:right="775" w:firstLine="0"/>
        <w:jc w:val="left"/>
        <w:rPr>
          <w:sz w:val="22"/>
        </w:rPr>
      </w:pPr>
      <w:r>
        <w:rPr>
          <w:sz w:val="22"/>
        </w:rPr>
        <w:t>Permanent rules supersede emergency rules issued 10-1-97; new criteria for successful</w:t>
      </w:r>
      <w:r>
        <w:rPr>
          <w:spacing w:val="-4"/>
          <w:sz w:val="22"/>
        </w:rPr>
        <w:t> </w:t>
      </w:r>
      <w:r>
        <w:rPr>
          <w:sz w:val="22"/>
        </w:rPr>
        <w:t>rehabilitation;</w:t>
      </w:r>
      <w:r>
        <w:rPr>
          <w:spacing w:val="-4"/>
          <w:sz w:val="22"/>
        </w:rPr>
        <w:t> </w:t>
      </w:r>
      <w:r>
        <w:rPr>
          <w:sz w:val="22"/>
        </w:rPr>
        <w:t>client,</w:t>
      </w:r>
      <w:r>
        <w:rPr>
          <w:spacing w:val="-4"/>
          <w:sz w:val="22"/>
        </w:rPr>
        <w:t> </w:t>
      </w:r>
      <w:r>
        <w:rPr>
          <w:sz w:val="22"/>
        </w:rPr>
        <w:t>or</w:t>
      </w:r>
      <w:r>
        <w:rPr>
          <w:spacing w:val="-4"/>
          <w:sz w:val="22"/>
        </w:rPr>
        <w:t> </w:t>
      </w:r>
      <w:r>
        <w:rPr>
          <w:sz w:val="22"/>
        </w:rPr>
        <w:t>representative,</w:t>
      </w:r>
      <w:r>
        <w:rPr>
          <w:spacing w:val="-4"/>
          <w:sz w:val="22"/>
        </w:rPr>
        <w:t> </w:t>
      </w:r>
      <w:r>
        <w:rPr>
          <w:sz w:val="22"/>
        </w:rPr>
        <w:t>must</w:t>
      </w:r>
      <w:r>
        <w:rPr>
          <w:spacing w:val="-4"/>
          <w:sz w:val="22"/>
        </w:rPr>
        <w:t> </w:t>
      </w:r>
      <w:r>
        <w:rPr>
          <w:sz w:val="22"/>
        </w:rPr>
        <w:t>be</w:t>
      </w:r>
      <w:r>
        <w:rPr>
          <w:spacing w:val="-4"/>
          <w:sz w:val="22"/>
        </w:rPr>
        <w:t> </w:t>
      </w:r>
      <w:r>
        <w:rPr>
          <w:sz w:val="22"/>
        </w:rPr>
        <w:t>full</w:t>
      </w:r>
      <w:r>
        <w:rPr>
          <w:spacing w:val="-4"/>
          <w:sz w:val="22"/>
        </w:rPr>
        <w:t> </w:t>
      </w:r>
      <w:r>
        <w:rPr>
          <w:sz w:val="22"/>
        </w:rPr>
        <w:t>participant</w:t>
      </w:r>
      <w:r>
        <w:rPr>
          <w:spacing w:val="-5"/>
          <w:sz w:val="22"/>
        </w:rPr>
        <w:t> </w:t>
      </w:r>
      <w:r>
        <w:rPr>
          <w:sz w:val="22"/>
        </w:rPr>
        <w:t>in</w:t>
      </w:r>
      <w:r>
        <w:rPr>
          <w:spacing w:val="-4"/>
          <w:sz w:val="22"/>
        </w:rPr>
        <w:t> </w:t>
      </w:r>
      <w:r>
        <w:rPr>
          <w:sz w:val="22"/>
        </w:rPr>
        <w:t>closure decision; review of extended employment closures requires maximum effort at competitive employment</w:t>
      </w:r>
    </w:p>
    <w:p>
      <w:pPr>
        <w:tabs>
          <w:tab w:pos="1529" w:val="left" w:leader="none"/>
        </w:tabs>
        <w:spacing w:line="253" w:lineRule="exact" w:before="0"/>
        <w:ind w:left="359" w:right="0" w:firstLine="0"/>
        <w:jc w:val="left"/>
        <w:rPr>
          <w:sz w:val="22"/>
        </w:rPr>
      </w:pPr>
      <w:r>
        <w:rPr>
          <w:spacing w:val="-2"/>
          <w:sz w:val="22"/>
        </w:rPr>
        <w:t>6-14-</w:t>
      </w:r>
      <w:r>
        <w:rPr>
          <w:spacing w:val="-5"/>
          <w:sz w:val="22"/>
        </w:rPr>
        <w:t>99</w:t>
      </w:r>
      <w:r>
        <w:rPr>
          <w:sz w:val="22"/>
        </w:rPr>
        <w:tab/>
        <w:t>POL</w:t>
      </w:r>
      <w:r>
        <w:rPr>
          <w:spacing w:val="-9"/>
          <w:sz w:val="22"/>
        </w:rPr>
        <w:t> </w:t>
      </w:r>
      <w:r>
        <w:rPr>
          <w:sz w:val="22"/>
        </w:rPr>
        <w:t>Memo</w:t>
      </w:r>
      <w:r>
        <w:rPr>
          <w:spacing w:val="-8"/>
          <w:sz w:val="22"/>
        </w:rPr>
        <w:t> </w:t>
      </w:r>
      <w:r>
        <w:rPr>
          <w:sz w:val="22"/>
        </w:rPr>
        <w:t>#99-</w:t>
      </w:r>
      <w:r>
        <w:rPr>
          <w:spacing w:val="-10"/>
          <w:sz w:val="22"/>
        </w:rPr>
        <w:t>7</w:t>
      </w:r>
    </w:p>
    <w:p>
      <w:pPr>
        <w:spacing w:before="1"/>
        <w:ind w:left="1529" w:right="855" w:firstLine="0"/>
        <w:jc w:val="left"/>
        <w:rPr>
          <w:sz w:val="22"/>
        </w:rPr>
      </w:pPr>
      <w:r>
        <w:rPr>
          <w:sz w:val="22"/>
        </w:rPr>
        <w:t>Emergency, updated DVR/DVS and IRP to IPE; a plan amendment is required when</w:t>
      </w:r>
      <w:r>
        <w:rPr>
          <w:spacing w:val="-4"/>
          <w:sz w:val="22"/>
        </w:rPr>
        <w:t> </w:t>
      </w:r>
      <w:r>
        <w:rPr>
          <w:sz w:val="22"/>
        </w:rPr>
        <w:t>there</w:t>
      </w:r>
      <w:r>
        <w:rPr>
          <w:spacing w:val="-4"/>
          <w:sz w:val="22"/>
        </w:rPr>
        <w:t> </w:t>
      </w:r>
      <w:r>
        <w:rPr>
          <w:sz w:val="22"/>
        </w:rPr>
        <w:t>is</w:t>
      </w:r>
      <w:r>
        <w:rPr>
          <w:spacing w:val="-4"/>
          <w:sz w:val="22"/>
        </w:rPr>
        <w:t> </w:t>
      </w:r>
      <w:r>
        <w:rPr>
          <w:sz w:val="22"/>
        </w:rPr>
        <w:t>a</w:t>
      </w:r>
      <w:r>
        <w:rPr>
          <w:spacing w:val="-4"/>
          <w:sz w:val="22"/>
        </w:rPr>
        <w:t> </w:t>
      </w:r>
      <w:r>
        <w:rPr>
          <w:sz w:val="22"/>
        </w:rPr>
        <w:t>substantial</w:t>
      </w:r>
      <w:r>
        <w:rPr>
          <w:spacing w:val="-4"/>
          <w:sz w:val="22"/>
        </w:rPr>
        <w:t> </w:t>
      </w:r>
      <w:r>
        <w:rPr>
          <w:sz w:val="22"/>
        </w:rPr>
        <w:t>deviation</w:t>
      </w:r>
      <w:r>
        <w:rPr>
          <w:spacing w:val="-5"/>
          <w:sz w:val="22"/>
        </w:rPr>
        <w:t> </w:t>
      </w:r>
      <w:r>
        <w:rPr>
          <w:sz w:val="22"/>
        </w:rPr>
        <w:t>from</w:t>
      </w:r>
      <w:r>
        <w:rPr>
          <w:spacing w:val="-5"/>
          <w:sz w:val="22"/>
        </w:rPr>
        <w:t> </w:t>
      </w:r>
      <w:r>
        <w:rPr>
          <w:sz w:val="22"/>
        </w:rPr>
        <w:t>the</w:t>
      </w:r>
      <w:r>
        <w:rPr>
          <w:spacing w:val="-4"/>
          <w:sz w:val="22"/>
        </w:rPr>
        <w:t> </w:t>
      </w:r>
      <w:r>
        <w:rPr>
          <w:sz w:val="22"/>
        </w:rPr>
        <w:t>original</w:t>
      </w:r>
      <w:r>
        <w:rPr>
          <w:spacing w:val="-4"/>
          <w:sz w:val="22"/>
        </w:rPr>
        <w:t> </w:t>
      </w:r>
      <w:r>
        <w:rPr>
          <w:sz w:val="22"/>
        </w:rPr>
        <w:t>employment</w:t>
      </w:r>
      <w:r>
        <w:rPr>
          <w:spacing w:val="-4"/>
          <w:sz w:val="22"/>
        </w:rPr>
        <w:t> </w:t>
      </w:r>
      <w:r>
        <w:rPr>
          <w:sz w:val="22"/>
        </w:rPr>
        <w:t>goal;</w:t>
      </w:r>
      <w:r>
        <w:rPr>
          <w:spacing w:val="-4"/>
          <w:sz w:val="22"/>
        </w:rPr>
        <w:t> </w:t>
      </w:r>
      <w:r>
        <w:rPr>
          <w:sz w:val="22"/>
        </w:rPr>
        <w:t>ineligibility reviews must be done for at least two years</w:t>
      </w:r>
    </w:p>
    <w:p>
      <w:pPr>
        <w:pStyle w:val="ListParagraph"/>
        <w:numPr>
          <w:ilvl w:val="2"/>
          <w:numId w:val="152"/>
        </w:numPr>
        <w:tabs>
          <w:tab w:pos="1529" w:val="left" w:leader="none"/>
        </w:tabs>
        <w:spacing w:line="253" w:lineRule="exact" w:before="0" w:after="0"/>
        <w:ind w:left="1529" w:right="0" w:hanging="1170"/>
        <w:jc w:val="left"/>
        <w:rPr>
          <w:sz w:val="22"/>
        </w:rPr>
      </w:pPr>
      <w:r>
        <w:rPr>
          <w:sz w:val="22"/>
        </w:rPr>
        <w:t>POL</w:t>
      </w:r>
      <w:r>
        <w:rPr>
          <w:spacing w:val="-9"/>
          <w:sz w:val="22"/>
        </w:rPr>
        <w:t> </w:t>
      </w:r>
      <w:r>
        <w:rPr>
          <w:sz w:val="22"/>
        </w:rPr>
        <w:t>Memo</w:t>
      </w:r>
      <w:r>
        <w:rPr>
          <w:spacing w:val="-8"/>
          <w:sz w:val="22"/>
        </w:rPr>
        <w:t> </w:t>
      </w:r>
      <w:r>
        <w:rPr>
          <w:sz w:val="22"/>
        </w:rPr>
        <w:t>#00-</w:t>
      </w:r>
      <w:r>
        <w:rPr>
          <w:spacing w:val="-10"/>
          <w:sz w:val="22"/>
        </w:rPr>
        <w:t>1</w:t>
      </w:r>
    </w:p>
    <w:p>
      <w:pPr>
        <w:tabs>
          <w:tab w:pos="1529" w:val="left" w:leader="none"/>
        </w:tabs>
        <w:spacing w:before="0"/>
        <w:ind w:left="359" w:right="3369" w:firstLine="117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7-1-03</w:t>
      </w:r>
      <w:r>
        <w:rPr>
          <w:sz w:val="22"/>
        </w:rPr>
        <w:tab/>
        <w:t>PT Memo #03-07</w:t>
      </w:r>
    </w:p>
    <w:p>
      <w:pPr>
        <w:spacing w:before="0"/>
        <w:ind w:left="1529" w:right="0" w:firstLine="0"/>
        <w:jc w:val="left"/>
        <w:rPr>
          <w:sz w:val="22"/>
        </w:rPr>
      </w:pPr>
      <w:r>
        <w:rPr>
          <w:sz w:val="22"/>
        </w:rPr>
        <w:t>Permanent,</w:t>
      </w:r>
      <w:r>
        <w:rPr>
          <w:spacing w:val="-10"/>
          <w:sz w:val="22"/>
        </w:rPr>
        <w:t> </w:t>
      </w:r>
      <w:r>
        <w:rPr>
          <w:sz w:val="22"/>
        </w:rPr>
        <w:t>updated</w:t>
      </w:r>
      <w:r>
        <w:rPr>
          <w:spacing w:val="-10"/>
          <w:sz w:val="22"/>
        </w:rPr>
        <w:t> </w:t>
      </w:r>
      <w:r>
        <w:rPr>
          <w:sz w:val="22"/>
        </w:rPr>
        <w:t>language,</w:t>
      </w:r>
      <w:r>
        <w:rPr>
          <w:spacing w:val="-10"/>
          <w:sz w:val="22"/>
        </w:rPr>
        <w:t> </w:t>
      </w:r>
      <w:r>
        <w:rPr>
          <w:sz w:val="22"/>
        </w:rPr>
        <w:t>amended</w:t>
      </w:r>
      <w:r>
        <w:rPr>
          <w:spacing w:val="-10"/>
          <w:sz w:val="22"/>
        </w:rPr>
        <w:t> </w:t>
      </w:r>
      <w:r>
        <w:rPr>
          <w:sz w:val="22"/>
        </w:rPr>
        <w:t>section</w:t>
      </w:r>
      <w:r>
        <w:rPr>
          <w:spacing w:val="-10"/>
          <w:sz w:val="22"/>
        </w:rPr>
        <w:t> </w:t>
      </w:r>
      <w:r>
        <w:rPr>
          <w:spacing w:val="-5"/>
          <w:sz w:val="22"/>
        </w:rPr>
        <w:t>e.</w:t>
      </w:r>
    </w:p>
    <w:p>
      <w:pPr>
        <w:pStyle w:val="ListParagraph"/>
        <w:numPr>
          <w:ilvl w:val="2"/>
          <w:numId w:val="153"/>
        </w:numPr>
        <w:tabs>
          <w:tab w:pos="1529" w:val="left" w:leader="none"/>
        </w:tabs>
        <w:spacing w:line="253" w:lineRule="exact" w:before="1" w:after="0"/>
        <w:ind w:left="1529" w:right="0" w:hanging="1170"/>
        <w:jc w:val="left"/>
        <w:rPr>
          <w:sz w:val="22"/>
        </w:rPr>
      </w:pPr>
      <w:r>
        <w:rPr>
          <w:sz w:val="22"/>
        </w:rPr>
        <w:t>PT</w:t>
      </w:r>
      <w:r>
        <w:rPr>
          <w:spacing w:val="-8"/>
          <w:sz w:val="22"/>
        </w:rPr>
        <w:t> </w:t>
      </w:r>
      <w:r>
        <w:rPr>
          <w:sz w:val="22"/>
        </w:rPr>
        <w:t>Memo</w:t>
      </w:r>
      <w:r>
        <w:rPr>
          <w:spacing w:val="-8"/>
          <w:sz w:val="22"/>
        </w:rPr>
        <w:t> </w:t>
      </w:r>
      <w:r>
        <w:rPr>
          <w:sz w:val="22"/>
        </w:rPr>
        <w:t>#06-</w:t>
      </w:r>
      <w:r>
        <w:rPr>
          <w:spacing w:val="-5"/>
          <w:sz w:val="22"/>
        </w:rPr>
        <w:t>01</w:t>
      </w:r>
    </w:p>
    <w:p>
      <w:pPr>
        <w:spacing w:line="253" w:lineRule="exact" w:before="0"/>
        <w:ind w:left="1529" w:right="0" w:firstLine="0"/>
        <w:jc w:val="left"/>
        <w:rPr>
          <w:sz w:val="22"/>
        </w:rPr>
      </w:pPr>
      <w:r>
        <w:rPr>
          <w:sz w:val="22"/>
        </w:rPr>
        <w:t>Permanent,</w:t>
      </w:r>
      <w:r>
        <w:rPr>
          <w:spacing w:val="-7"/>
          <w:sz w:val="22"/>
        </w:rPr>
        <w:t> </w:t>
      </w:r>
      <w:r>
        <w:rPr>
          <w:sz w:val="22"/>
        </w:rPr>
        <w:t>general</w:t>
      </w:r>
      <w:r>
        <w:rPr>
          <w:spacing w:val="-8"/>
          <w:sz w:val="22"/>
        </w:rPr>
        <w:t> </w:t>
      </w:r>
      <w:r>
        <w:rPr>
          <w:sz w:val="22"/>
        </w:rPr>
        <w:t>cleanup</w:t>
      </w:r>
      <w:r>
        <w:rPr>
          <w:spacing w:val="-8"/>
          <w:sz w:val="22"/>
        </w:rPr>
        <w:t> </w:t>
      </w:r>
      <w:r>
        <w:rPr>
          <w:sz w:val="22"/>
        </w:rPr>
        <w:t>of</w:t>
      </w:r>
      <w:r>
        <w:rPr>
          <w:spacing w:val="-8"/>
          <w:sz w:val="22"/>
        </w:rPr>
        <w:t> </w:t>
      </w:r>
      <w:r>
        <w:rPr>
          <w:spacing w:val="-2"/>
          <w:sz w:val="22"/>
        </w:rPr>
        <w:t>language.</w:t>
      </w:r>
    </w:p>
    <w:p>
      <w:pPr>
        <w:tabs>
          <w:tab w:pos="1529" w:val="left" w:leader="none"/>
        </w:tabs>
        <w:spacing w:before="0"/>
        <w:ind w:left="359" w:right="0" w:firstLine="0"/>
        <w:jc w:val="left"/>
        <w:rPr>
          <w:sz w:val="22"/>
        </w:rPr>
      </w:pPr>
      <w:r>
        <w:rPr>
          <w:spacing w:val="-2"/>
          <w:sz w:val="22"/>
        </w:rPr>
        <w:t>10-1-</w:t>
      </w:r>
      <w:r>
        <w:rPr>
          <w:spacing w:val="-5"/>
          <w:sz w:val="22"/>
        </w:rPr>
        <w:t>07</w:t>
      </w:r>
      <w:r>
        <w:rPr>
          <w:sz w:val="22"/>
        </w:rPr>
        <w:tab/>
        <w:t>PT</w:t>
      </w:r>
      <w:r>
        <w:rPr>
          <w:spacing w:val="-8"/>
          <w:sz w:val="22"/>
        </w:rPr>
        <w:t> </w:t>
      </w:r>
      <w:r>
        <w:rPr>
          <w:sz w:val="22"/>
        </w:rPr>
        <w:t>Memo</w:t>
      </w:r>
      <w:r>
        <w:rPr>
          <w:spacing w:val="-8"/>
          <w:sz w:val="22"/>
        </w:rPr>
        <w:t> </w:t>
      </w:r>
      <w:r>
        <w:rPr>
          <w:sz w:val="22"/>
        </w:rPr>
        <w:t>#08-</w:t>
      </w:r>
      <w:r>
        <w:rPr>
          <w:spacing w:val="-5"/>
          <w:sz w:val="22"/>
        </w:rPr>
        <w:t>02</w:t>
      </w:r>
    </w:p>
    <w:p>
      <w:pPr>
        <w:spacing w:before="0"/>
        <w:ind w:left="1529" w:right="0" w:firstLine="0"/>
        <w:jc w:val="left"/>
        <w:rPr>
          <w:sz w:val="22"/>
        </w:rPr>
      </w:pPr>
      <w:r>
        <w:rPr>
          <w:sz w:val="22"/>
        </w:rPr>
        <w:t>Permanent,</w:t>
      </w:r>
      <w:r>
        <w:rPr>
          <w:spacing w:val="-8"/>
          <w:sz w:val="22"/>
        </w:rPr>
        <w:t> </w:t>
      </w:r>
      <w:r>
        <w:rPr>
          <w:sz w:val="22"/>
        </w:rPr>
        <w:t>AWARE</w:t>
      </w:r>
      <w:r>
        <w:rPr>
          <w:spacing w:val="-8"/>
          <w:sz w:val="22"/>
        </w:rPr>
        <w:t> </w:t>
      </w:r>
      <w:r>
        <w:rPr>
          <w:sz w:val="22"/>
        </w:rPr>
        <w:t>change.</w:t>
      </w:r>
      <w:r>
        <w:rPr>
          <w:spacing w:val="45"/>
          <w:sz w:val="22"/>
        </w:rPr>
        <w:t> </w:t>
      </w:r>
      <w:r>
        <w:rPr>
          <w:sz w:val="22"/>
        </w:rPr>
        <w:t>Removed</w:t>
      </w:r>
      <w:r>
        <w:rPr>
          <w:spacing w:val="-8"/>
          <w:sz w:val="22"/>
        </w:rPr>
        <w:t> </w:t>
      </w:r>
      <w:r>
        <w:rPr>
          <w:sz w:val="22"/>
        </w:rPr>
        <w:t>Status</w:t>
      </w:r>
      <w:r>
        <w:rPr>
          <w:spacing w:val="-8"/>
          <w:sz w:val="22"/>
        </w:rPr>
        <w:t> </w:t>
      </w:r>
      <w:r>
        <w:rPr>
          <w:spacing w:val="-2"/>
          <w:sz w:val="22"/>
        </w:rPr>
        <w:t>numbers.</w:t>
      </w:r>
    </w:p>
    <w:p>
      <w:pPr>
        <w:tabs>
          <w:tab w:pos="1529" w:val="left" w:leader="none"/>
        </w:tabs>
        <w:spacing w:before="0"/>
        <w:ind w:left="359" w:right="0" w:firstLine="0"/>
        <w:jc w:val="left"/>
        <w:rPr>
          <w:sz w:val="22"/>
        </w:rPr>
      </w:pPr>
      <w:r>
        <w:rPr>
          <w:spacing w:val="-2"/>
          <w:sz w:val="22"/>
        </w:rPr>
        <w:t>7-1-</w:t>
      </w:r>
      <w:r>
        <w:rPr>
          <w:spacing w:val="-5"/>
          <w:sz w:val="22"/>
        </w:rPr>
        <w:t>08</w:t>
      </w:r>
      <w:r>
        <w:rPr>
          <w:sz w:val="22"/>
        </w:rPr>
        <w:tab/>
        <w:t>PT</w:t>
      </w:r>
      <w:r>
        <w:rPr>
          <w:spacing w:val="-8"/>
          <w:sz w:val="22"/>
        </w:rPr>
        <w:t> </w:t>
      </w:r>
      <w:r>
        <w:rPr>
          <w:sz w:val="22"/>
        </w:rPr>
        <w:t>Memo</w:t>
      </w:r>
      <w:r>
        <w:rPr>
          <w:spacing w:val="-8"/>
          <w:sz w:val="22"/>
        </w:rPr>
        <w:t> </w:t>
      </w:r>
      <w:r>
        <w:rPr>
          <w:sz w:val="22"/>
        </w:rPr>
        <w:t>#09-</w:t>
      </w:r>
      <w:r>
        <w:rPr>
          <w:spacing w:val="-5"/>
          <w:sz w:val="22"/>
        </w:rPr>
        <w:t>01</w:t>
      </w:r>
    </w:p>
    <w:p>
      <w:pPr>
        <w:tabs>
          <w:tab w:pos="1529" w:val="left" w:leader="none"/>
        </w:tabs>
        <w:spacing w:before="0"/>
        <w:ind w:left="359" w:right="4254" w:firstLine="1170"/>
        <w:jc w:val="left"/>
        <w:rPr>
          <w:sz w:val="22"/>
        </w:rPr>
      </w:pPr>
      <w:r>
        <w:rPr>
          <w:sz w:val="22"/>
        </w:rPr>
        <w:t>Permanent,</w:t>
      </w:r>
      <w:r>
        <w:rPr>
          <w:spacing w:val="-9"/>
          <w:sz w:val="22"/>
        </w:rPr>
        <w:t> </w:t>
      </w:r>
      <w:r>
        <w:rPr>
          <w:sz w:val="22"/>
        </w:rPr>
        <w:t>Replaced</w:t>
      </w:r>
      <w:r>
        <w:rPr>
          <w:spacing w:val="-10"/>
          <w:sz w:val="22"/>
        </w:rPr>
        <w:t> </w:t>
      </w:r>
      <w:r>
        <w:rPr>
          <w:sz w:val="22"/>
        </w:rPr>
        <w:t>"severe"</w:t>
      </w:r>
      <w:r>
        <w:rPr>
          <w:spacing w:val="-10"/>
          <w:sz w:val="22"/>
        </w:rPr>
        <w:t> </w:t>
      </w:r>
      <w:r>
        <w:rPr>
          <w:sz w:val="22"/>
        </w:rPr>
        <w:t>with</w:t>
      </w:r>
      <w:r>
        <w:rPr>
          <w:spacing w:val="-10"/>
          <w:sz w:val="22"/>
        </w:rPr>
        <w:t> </w:t>
      </w:r>
      <w:r>
        <w:rPr>
          <w:sz w:val="22"/>
        </w:rPr>
        <w:t>"significant" </w:t>
      </w:r>
      <w:r>
        <w:rPr>
          <w:spacing w:val="-2"/>
          <w:sz w:val="22"/>
        </w:rPr>
        <w:t>7-1-11</w:t>
      </w:r>
      <w:r>
        <w:rPr>
          <w:sz w:val="22"/>
        </w:rPr>
        <w:tab/>
        <w:t>PT Memo #12-01</w:t>
      </w:r>
    </w:p>
    <w:p>
      <w:pPr>
        <w:spacing w:line="252" w:lineRule="exact" w:before="0"/>
        <w:ind w:left="1529" w:right="0" w:firstLine="0"/>
        <w:jc w:val="left"/>
        <w:rPr>
          <w:sz w:val="22"/>
        </w:rPr>
      </w:pPr>
      <w:r>
        <w:rPr>
          <w:sz w:val="22"/>
        </w:rPr>
        <w:t>Permanent,</w:t>
      </w:r>
      <w:r>
        <w:rPr>
          <w:spacing w:val="-10"/>
          <w:sz w:val="22"/>
        </w:rPr>
        <w:t> </w:t>
      </w:r>
      <w:r>
        <w:rPr>
          <w:sz w:val="22"/>
        </w:rPr>
        <w:t>updated</w:t>
      </w:r>
      <w:r>
        <w:rPr>
          <w:spacing w:val="-10"/>
          <w:sz w:val="22"/>
        </w:rPr>
        <w:t> </w:t>
      </w:r>
      <w:r>
        <w:rPr>
          <w:sz w:val="22"/>
        </w:rPr>
        <w:t>language,</w:t>
      </w:r>
      <w:r>
        <w:rPr>
          <w:spacing w:val="-11"/>
          <w:sz w:val="22"/>
        </w:rPr>
        <w:t> </w:t>
      </w:r>
      <w:r>
        <w:rPr>
          <w:sz w:val="22"/>
        </w:rPr>
        <w:t>removed</w:t>
      </w:r>
      <w:r>
        <w:rPr>
          <w:spacing w:val="-10"/>
          <w:sz w:val="22"/>
        </w:rPr>
        <w:t> </w:t>
      </w:r>
      <w:r>
        <w:rPr>
          <w:spacing w:val="-2"/>
          <w:sz w:val="22"/>
        </w:rPr>
        <w:t>procedures</w:t>
      </w:r>
    </w:p>
    <w:p>
      <w:pPr>
        <w:tabs>
          <w:tab w:pos="1529" w:val="left" w:leader="none"/>
        </w:tabs>
        <w:spacing w:before="1"/>
        <w:ind w:left="1529" w:right="1147" w:hanging="1170"/>
        <w:jc w:val="left"/>
        <w:rPr>
          <w:sz w:val="22"/>
        </w:rPr>
      </w:pPr>
      <w:r>
        <w:rPr>
          <w:spacing w:val="-2"/>
          <w:sz w:val="22"/>
        </w:rPr>
        <w:t>9-14-18</w:t>
      </w:r>
      <w:r>
        <w:rPr>
          <w:sz w:val="22"/>
        </w:rPr>
        <w:tab/>
        <w:t>Removal</w:t>
      </w:r>
      <w:r>
        <w:rPr>
          <w:spacing w:val="-4"/>
          <w:sz w:val="22"/>
        </w:rPr>
        <w:t> </w:t>
      </w:r>
      <w:r>
        <w:rPr>
          <w:sz w:val="22"/>
        </w:rPr>
        <w:t>of</w:t>
      </w:r>
      <w:r>
        <w:rPr>
          <w:spacing w:val="-4"/>
          <w:sz w:val="22"/>
        </w:rPr>
        <w:t> </w:t>
      </w:r>
      <w:r>
        <w:rPr>
          <w:sz w:val="22"/>
        </w:rPr>
        <w:t>references</w:t>
      </w:r>
      <w:r>
        <w:rPr>
          <w:spacing w:val="-4"/>
          <w:sz w:val="22"/>
        </w:rPr>
        <w:t> </w:t>
      </w:r>
      <w:r>
        <w:rPr>
          <w:sz w:val="22"/>
        </w:rPr>
        <w:t>to</w:t>
      </w:r>
      <w:r>
        <w:rPr>
          <w:spacing w:val="-4"/>
          <w:sz w:val="22"/>
        </w:rPr>
        <w:t> </w:t>
      </w:r>
      <w:r>
        <w:rPr>
          <w:sz w:val="22"/>
        </w:rPr>
        <w:t>VR</w:t>
      </w:r>
      <w:r>
        <w:rPr>
          <w:spacing w:val="-5"/>
          <w:sz w:val="22"/>
        </w:rPr>
        <w:t> </w:t>
      </w:r>
      <w:r>
        <w:rPr>
          <w:sz w:val="22"/>
        </w:rPr>
        <w:t>cases</w:t>
      </w:r>
      <w:r>
        <w:rPr>
          <w:spacing w:val="-5"/>
          <w:sz w:val="22"/>
        </w:rPr>
        <w:t> </w:t>
      </w:r>
      <w:r>
        <w:rPr>
          <w:sz w:val="22"/>
        </w:rPr>
        <w:t>closed</w:t>
      </w:r>
      <w:r>
        <w:rPr>
          <w:spacing w:val="-4"/>
          <w:sz w:val="22"/>
        </w:rPr>
        <w:t> </w:t>
      </w:r>
      <w:r>
        <w:rPr>
          <w:sz w:val="22"/>
        </w:rPr>
        <w:t>as</w:t>
      </w:r>
      <w:r>
        <w:rPr>
          <w:spacing w:val="-4"/>
          <w:sz w:val="22"/>
        </w:rPr>
        <w:t> </w:t>
      </w:r>
      <w:r>
        <w:rPr>
          <w:sz w:val="22"/>
        </w:rPr>
        <w:t>“Homemakers”</w:t>
      </w:r>
      <w:r>
        <w:rPr>
          <w:spacing w:val="-3"/>
          <w:sz w:val="22"/>
        </w:rPr>
        <w:t> </w:t>
      </w:r>
      <w:r>
        <w:rPr>
          <w:sz w:val="22"/>
        </w:rPr>
        <w:t>or</w:t>
      </w:r>
      <w:r>
        <w:rPr>
          <w:spacing w:val="-4"/>
          <w:sz w:val="22"/>
        </w:rPr>
        <w:t> </w:t>
      </w:r>
      <w:r>
        <w:rPr>
          <w:sz w:val="22"/>
        </w:rPr>
        <w:t>“Unpaid</w:t>
      </w:r>
      <w:r>
        <w:rPr>
          <w:spacing w:val="-4"/>
          <w:sz w:val="22"/>
        </w:rPr>
        <w:t> </w:t>
      </w:r>
      <w:r>
        <w:rPr>
          <w:sz w:val="22"/>
        </w:rPr>
        <w:t>Family Workers” to conform to the Rehabilitation Act.</w:t>
      </w:r>
    </w:p>
    <w:p>
      <w:pPr>
        <w:tabs>
          <w:tab w:pos="1529" w:val="left" w:leader="none"/>
        </w:tabs>
        <w:spacing w:line="246" w:lineRule="exact" w:before="0"/>
        <w:ind w:left="359" w:right="0" w:firstLine="0"/>
        <w:jc w:val="left"/>
        <w:rPr>
          <w:sz w:val="22"/>
        </w:rPr>
      </w:pPr>
      <w:r>
        <w:rPr>
          <w:spacing w:val="-2"/>
          <w:sz w:val="22"/>
        </w:rPr>
        <w:t>8-11-</w:t>
      </w:r>
      <w:r>
        <w:rPr>
          <w:spacing w:val="-5"/>
          <w:sz w:val="22"/>
        </w:rPr>
        <w:t>19</w:t>
      </w:r>
      <w:r>
        <w:rPr>
          <w:sz w:val="22"/>
        </w:rPr>
        <w:tab/>
        <w:t>Added</w:t>
      </w:r>
      <w:r>
        <w:rPr>
          <w:spacing w:val="-10"/>
          <w:sz w:val="22"/>
        </w:rPr>
        <w:t> </w:t>
      </w:r>
      <w:r>
        <w:rPr>
          <w:sz w:val="22"/>
        </w:rPr>
        <w:t>section</w:t>
      </w:r>
      <w:r>
        <w:rPr>
          <w:spacing w:val="-9"/>
          <w:sz w:val="22"/>
        </w:rPr>
        <w:t> </w:t>
      </w:r>
      <w:r>
        <w:rPr>
          <w:sz w:val="22"/>
        </w:rPr>
        <w:t>(g)(1-4),</w:t>
      </w:r>
      <w:r>
        <w:rPr>
          <w:spacing w:val="-9"/>
          <w:sz w:val="22"/>
        </w:rPr>
        <w:t> </w:t>
      </w:r>
      <w:r>
        <w:rPr>
          <w:sz w:val="22"/>
        </w:rPr>
        <w:t>Documentation</w:t>
      </w:r>
      <w:r>
        <w:rPr>
          <w:spacing w:val="-9"/>
          <w:sz w:val="22"/>
        </w:rPr>
        <w:t> </w:t>
      </w:r>
      <w:r>
        <w:rPr>
          <w:sz w:val="22"/>
        </w:rPr>
        <w:t>at</w:t>
      </w:r>
      <w:r>
        <w:rPr>
          <w:spacing w:val="-9"/>
          <w:sz w:val="22"/>
        </w:rPr>
        <w:t> </w:t>
      </w:r>
      <w:r>
        <w:rPr>
          <w:sz w:val="22"/>
        </w:rPr>
        <w:t>Successful</w:t>
      </w:r>
      <w:r>
        <w:rPr>
          <w:spacing w:val="-9"/>
          <w:sz w:val="22"/>
        </w:rPr>
        <w:t> </w:t>
      </w:r>
      <w:r>
        <w:rPr>
          <w:spacing w:val="-2"/>
          <w:sz w:val="22"/>
        </w:rPr>
        <w:t>Closure</w:t>
      </w:r>
    </w:p>
    <w:p>
      <w:pPr>
        <w:tabs>
          <w:tab w:pos="1528" w:val="left" w:leader="none"/>
        </w:tabs>
        <w:spacing w:line="228" w:lineRule="auto" w:before="3"/>
        <w:ind w:left="1528" w:right="1028" w:hanging="1170"/>
        <w:jc w:val="left"/>
        <w:rPr>
          <w:sz w:val="22"/>
        </w:rPr>
      </w:pPr>
      <w:r>
        <w:rPr>
          <w:spacing w:val="-2"/>
          <w:sz w:val="22"/>
        </w:rPr>
        <w:t>9-11-22</w:t>
      </w:r>
      <w:r>
        <w:rPr>
          <w:sz w:val="22"/>
        </w:rPr>
        <w:tab/>
        <w:t>Updated</w:t>
      </w:r>
      <w:r>
        <w:rPr>
          <w:spacing w:val="-3"/>
          <w:sz w:val="22"/>
        </w:rPr>
        <w:t> </w:t>
      </w:r>
      <w:r>
        <w:rPr>
          <w:sz w:val="22"/>
        </w:rPr>
        <w:t>language</w:t>
      </w:r>
      <w:r>
        <w:rPr>
          <w:spacing w:val="-3"/>
          <w:sz w:val="22"/>
        </w:rPr>
        <w:t> </w:t>
      </w:r>
      <w:r>
        <w:rPr>
          <w:sz w:val="22"/>
        </w:rPr>
        <w:t>from</w:t>
      </w:r>
      <w:r>
        <w:rPr>
          <w:spacing w:val="-4"/>
          <w:sz w:val="22"/>
        </w:rPr>
        <w:t> </w:t>
      </w:r>
      <w:r>
        <w:rPr>
          <w:sz w:val="22"/>
        </w:rPr>
        <w:t>“within</w:t>
      </w:r>
      <w:r>
        <w:rPr>
          <w:spacing w:val="-3"/>
          <w:sz w:val="22"/>
        </w:rPr>
        <w:t> </w:t>
      </w:r>
      <w:r>
        <w:rPr>
          <w:sz w:val="22"/>
        </w:rPr>
        <w:t>30</w:t>
      </w:r>
      <w:r>
        <w:rPr>
          <w:spacing w:val="-3"/>
          <w:sz w:val="22"/>
        </w:rPr>
        <w:t> </w:t>
      </w:r>
      <w:r>
        <w:rPr>
          <w:sz w:val="22"/>
        </w:rPr>
        <w:t>days”</w:t>
      </w:r>
      <w:r>
        <w:rPr>
          <w:spacing w:val="-3"/>
          <w:sz w:val="22"/>
        </w:rPr>
        <w:t> </w:t>
      </w:r>
      <w:r>
        <w:rPr>
          <w:sz w:val="22"/>
        </w:rPr>
        <w:t>to</w:t>
      </w:r>
      <w:r>
        <w:rPr>
          <w:spacing w:val="-3"/>
          <w:sz w:val="22"/>
        </w:rPr>
        <w:t> </w:t>
      </w:r>
      <w:r>
        <w:rPr>
          <w:sz w:val="22"/>
        </w:rPr>
        <w:t>“at</w:t>
      </w:r>
      <w:r>
        <w:rPr>
          <w:spacing w:val="-3"/>
          <w:sz w:val="22"/>
        </w:rPr>
        <w:t> </w:t>
      </w:r>
      <w:r>
        <w:rPr>
          <w:sz w:val="22"/>
        </w:rPr>
        <w:t>the</w:t>
      </w:r>
      <w:r>
        <w:rPr>
          <w:spacing w:val="-3"/>
          <w:sz w:val="22"/>
        </w:rPr>
        <w:t> </w:t>
      </w:r>
      <w:r>
        <w:rPr>
          <w:sz w:val="22"/>
        </w:rPr>
        <w:t>end</w:t>
      </w:r>
      <w:r>
        <w:rPr>
          <w:spacing w:val="-3"/>
          <w:sz w:val="22"/>
        </w:rPr>
        <w:t> </w:t>
      </w:r>
      <w:r>
        <w:rPr>
          <w:sz w:val="22"/>
        </w:rPr>
        <w:t>of</w:t>
      </w:r>
      <w:r>
        <w:rPr>
          <w:spacing w:val="-3"/>
          <w:sz w:val="22"/>
        </w:rPr>
        <w:t> </w:t>
      </w:r>
      <w:r>
        <w:rPr>
          <w:sz w:val="22"/>
        </w:rPr>
        <w:t>the</w:t>
      </w:r>
      <w:r>
        <w:rPr>
          <w:spacing w:val="-4"/>
          <w:sz w:val="22"/>
        </w:rPr>
        <w:t> </w:t>
      </w:r>
      <w:r>
        <w:rPr>
          <w:sz w:val="22"/>
        </w:rPr>
        <w:t>required</w:t>
      </w:r>
      <w:r>
        <w:rPr>
          <w:spacing w:val="-3"/>
          <w:sz w:val="22"/>
        </w:rPr>
        <w:t> </w:t>
      </w:r>
      <w:r>
        <w:rPr>
          <w:sz w:val="22"/>
        </w:rPr>
        <w:t>90</w:t>
      </w:r>
      <w:r>
        <w:rPr>
          <w:spacing w:val="-4"/>
          <w:sz w:val="22"/>
        </w:rPr>
        <w:t> </w:t>
      </w:r>
      <w:r>
        <w:rPr>
          <w:sz w:val="22"/>
        </w:rPr>
        <w:t>days”</w:t>
      </w:r>
      <w:r>
        <w:rPr>
          <w:spacing w:val="-3"/>
          <w:sz w:val="22"/>
        </w:rPr>
        <w:t> </w:t>
      </w:r>
      <w:r>
        <w:rPr>
          <w:sz w:val="22"/>
        </w:rPr>
        <w:t>of closure, section (f) case recording requirements.</w:t>
      </w:r>
    </w:p>
    <w:p>
      <w:pPr>
        <w:spacing w:line="226" w:lineRule="exact" w:before="0"/>
        <w:ind w:left="1528" w:right="0" w:firstLine="0"/>
        <w:jc w:val="left"/>
        <w:rPr>
          <w:sz w:val="22"/>
        </w:rPr>
      </w:pPr>
      <w:r>
        <w:rPr>
          <w:sz w:val="22"/>
        </w:rPr>
        <w:t>Added</w:t>
      </w:r>
      <w:r>
        <w:rPr>
          <w:spacing w:val="-8"/>
          <w:sz w:val="22"/>
        </w:rPr>
        <w:t> </w:t>
      </w:r>
      <w:r>
        <w:rPr>
          <w:sz w:val="22"/>
        </w:rPr>
        <w:t>ITS</w:t>
      </w:r>
      <w:r>
        <w:rPr>
          <w:spacing w:val="-7"/>
          <w:sz w:val="22"/>
        </w:rPr>
        <w:t> </w:t>
      </w:r>
      <w:r>
        <w:rPr>
          <w:sz w:val="22"/>
        </w:rPr>
        <w:t>#4,</w:t>
      </w:r>
      <w:r>
        <w:rPr>
          <w:spacing w:val="-7"/>
          <w:sz w:val="22"/>
        </w:rPr>
        <w:t> </w:t>
      </w:r>
      <w:r>
        <w:rPr>
          <w:sz w:val="22"/>
        </w:rPr>
        <w:t>Supplemental</w:t>
      </w:r>
      <w:r>
        <w:rPr>
          <w:spacing w:val="-7"/>
          <w:sz w:val="22"/>
        </w:rPr>
        <w:t> </w:t>
      </w:r>
      <w:r>
        <w:rPr>
          <w:sz w:val="22"/>
        </w:rPr>
        <w:t>Wage</w:t>
      </w:r>
      <w:r>
        <w:rPr>
          <w:spacing w:val="-8"/>
          <w:sz w:val="22"/>
        </w:rPr>
        <w:t> </w:t>
      </w:r>
      <w:r>
        <w:rPr>
          <w:spacing w:val="-2"/>
          <w:sz w:val="22"/>
        </w:rPr>
        <w:t>Information.</w:t>
      </w:r>
    </w:p>
    <w:p>
      <w:pPr>
        <w:pStyle w:val="ListParagraph"/>
        <w:numPr>
          <w:ilvl w:val="2"/>
          <w:numId w:val="154"/>
        </w:numPr>
        <w:tabs>
          <w:tab w:pos="1528" w:val="left" w:leader="none"/>
          <w:tab w:pos="1530" w:val="left" w:leader="none"/>
        </w:tabs>
        <w:spacing w:line="208" w:lineRule="auto" w:before="14" w:after="0"/>
        <w:ind w:left="1530" w:right="1484" w:hanging="1172"/>
        <w:jc w:val="left"/>
        <w:rPr>
          <w:sz w:val="22"/>
        </w:rPr>
      </w:pPr>
      <w:r>
        <w:rPr>
          <w:sz w:val="22"/>
        </w:rPr>
        <w:t>Revised</w:t>
      </w:r>
      <w:r>
        <w:rPr>
          <w:spacing w:val="-4"/>
          <w:sz w:val="22"/>
        </w:rPr>
        <w:t> </w:t>
      </w:r>
      <w:r>
        <w:rPr>
          <w:sz w:val="22"/>
        </w:rPr>
        <w:t>language</w:t>
      </w:r>
      <w:r>
        <w:rPr>
          <w:spacing w:val="-4"/>
          <w:sz w:val="22"/>
        </w:rPr>
        <w:t> </w:t>
      </w:r>
      <w:r>
        <w:rPr>
          <w:sz w:val="22"/>
        </w:rPr>
        <w:t>under</w:t>
      </w:r>
      <w:r>
        <w:rPr>
          <w:spacing w:val="-2"/>
          <w:sz w:val="22"/>
        </w:rPr>
        <w:t> </w:t>
      </w:r>
      <w:r>
        <w:rPr>
          <w:sz w:val="24"/>
        </w:rPr>
        <w:t>Section</w:t>
      </w:r>
      <w:r>
        <w:rPr>
          <w:spacing w:val="-4"/>
          <w:sz w:val="24"/>
        </w:rPr>
        <w:t> </w:t>
      </w:r>
      <w:r>
        <w:rPr>
          <w:sz w:val="24"/>
        </w:rPr>
        <w:t>(f)</w:t>
      </w:r>
      <w:r>
        <w:rPr>
          <w:spacing w:val="-5"/>
          <w:sz w:val="24"/>
        </w:rPr>
        <w:t> </w:t>
      </w:r>
      <w:r>
        <w:rPr>
          <w:sz w:val="24"/>
        </w:rPr>
        <w:t>providing</w:t>
      </w:r>
      <w:r>
        <w:rPr>
          <w:spacing w:val="-4"/>
          <w:sz w:val="24"/>
        </w:rPr>
        <w:t> </w:t>
      </w:r>
      <w:r>
        <w:rPr>
          <w:sz w:val="24"/>
        </w:rPr>
        <w:t>client</w:t>
      </w:r>
      <w:r>
        <w:rPr>
          <w:spacing w:val="-3"/>
          <w:sz w:val="24"/>
        </w:rPr>
        <w:t> </w:t>
      </w:r>
      <w:r>
        <w:rPr>
          <w:sz w:val="24"/>
        </w:rPr>
        <w:t>the</w:t>
      </w:r>
      <w:r>
        <w:rPr>
          <w:spacing w:val="-4"/>
          <w:sz w:val="24"/>
        </w:rPr>
        <w:t> </w:t>
      </w:r>
      <w:r>
        <w:rPr>
          <w:sz w:val="24"/>
        </w:rPr>
        <w:t>ability</w:t>
      </w:r>
      <w:r>
        <w:rPr>
          <w:spacing w:val="-4"/>
          <w:sz w:val="24"/>
        </w:rPr>
        <w:t> </w:t>
      </w:r>
      <w:r>
        <w:rPr>
          <w:sz w:val="24"/>
        </w:rPr>
        <w:t>to</w:t>
      </w:r>
      <w:r>
        <w:rPr>
          <w:spacing w:val="-4"/>
          <w:sz w:val="24"/>
        </w:rPr>
        <w:t> </w:t>
      </w:r>
      <w:r>
        <w:rPr>
          <w:sz w:val="24"/>
        </w:rPr>
        <w:t>request correspondence in their preferred format.</w:t>
      </w:r>
    </w:p>
    <w:p>
      <w:pPr>
        <w:pStyle w:val="ListParagraph"/>
        <w:numPr>
          <w:ilvl w:val="2"/>
          <w:numId w:val="154"/>
        </w:numPr>
        <w:tabs>
          <w:tab w:pos="1530" w:val="left" w:leader="none"/>
        </w:tabs>
        <w:spacing w:line="208" w:lineRule="auto" w:before="0" w:after="0"/>
        <w:ind w:left="1530" w:right="929" w:hanging="1170"/>
        <w:jc w:val="left"/>
        <w:rPr>
          <w:sz w:val="24"/>
        </w:rPr>
      </w:pPr>
      <w:r>
        <w:rPr>
          <w:sz w:val="24"/>
        </w:rPr>
        <w:t>Language</w:t>
      </w:r>
      <w:r>
        <w:rPr>
          <w:spacing w:val="-6"/>
          <w:sz w:val="24"/>
        </w:rPr>
        <w:t> </w:t>
      </w:r>
      <w:r>
        <w:rPr>
          <w:sz w:val="24"/>
        </w:rPr>
        <w:t>amended</w:t>
      </w:r>
      <w:r>
        <w:rPr>
          <w:spacing w:val="-6"/>
          <w:sz w:val="24"/>
        </w:rPr>
        <w:t> </w:t>
      </w:r>
      <w:r>
        <w:rPr>
          <w:sz w:val="24"/>
        </w:rPr>
        <w:t>changing</w:t>
      </w:r>
      <w:r>
        <w:rPr>
          <w:spacing w:val="-6"/>
          <w:sz w:val="24"/>
        </w:rPr>
        <w:t> </w:t>
      </w:r>
      <w:r>
        <w:rPr>
          <w:sz w:val="24"/>
        </w:rPr>
        <w:t>“severe”</w:t>
      </w:r>
      <w:r>
        <w:rPr>
          <w:spacing w:val="-5"/>
          <w:sz w:val="24"/>
        </w:rPr>
        <w:t> </w:t>
      </w:r>
      <w:r>
        <w:rPr>
          <w:sz w:val="24"/>
        </w:rPr>
        <w:t>to</w:t>
      </w:r>
      <w:r>
        <w:rPr>
          <w:spacing w:val="-7"/>
          <w:sz w:val="24"/>
        </w:rPr>
        <w:t> </w:t>
      </w:r>
      <w:r>
        <w:rPr>
          <w:sz w:val="24"/>
        </w:rPr>
        <w:t>“significant”.</w:t>
      </w:r>
      <w:r>
        <w:rPr>
          <w:spacing w:val="-7"/>
          <w:sz w:val="24"/>
        </w:rPr>
        <w:t> </w:t>
      </w:r>
      <w:r>
        <w:rPr>
          <w:sz w:val="24"/>
        </w:rPr>
        <w:t>Removed</w:t>
      </w:r>
      <w:r>
        <w:rPr>
          <w:spacing w:val="-6"/>
          <w:sz w:val="24"/>
        </w:rPr>
        <w:t> </w:t>
      </w:r>
      <w:r>
        <w:rPr>
          <w:sz w:val="24"/>
        </w:rPr>
        <w:t>timeframe (i.e. 90 days after placement, or a minimum of 4 weeks) for successful rehabilitation when client maintains employment.</w:t>
      </w:r>
    </w:p>
    <w:p>
      <w:pPr>
        <w:pStyle w:val="ListParagraph"/>
        <w:spacing w:after="0" w:line="208" w:lineRule="auto"/>
        <w:jc w:val="left"/>
        <w:rPr>
          <w:sz w:val="24"/>
        </w:rPr>
        <w:sectPr>
          <w:pgSz w:w="12240" w:h="15840"/>
          <w:pgMar w:top="1360" w:bottom="280" w:left="1080" w:right="720"/>
        </w:sectPr>
      </w:pPr>
    </w:p>
    <w:p>
      <w:pPr>
        <w:pStyle w:val="Heading2"/>
      </w:pPr>
      <w:bookmarkStart w:name="612:10-7-62.  Post-Employment services" w:id="150"/>
      <w:bookmarkEnd w:id="150"/>
      <w:r>
        <w:rPr>
          <w:b w:val="0"/>
        </w:rPr>
      </w:r>
      <w:bookmarkStart w:name="_bookmark18" w:id="151"/>
      <w:bookmarkEnd w:id="151"/>
      <w:r>
        <w:rPr>
          <w:b w:val="0"/>
        </w:rPr>
      </w:r>
      <w:r>
        <w:rPr/>
        <w:t>612:10-7-62.</w:t>
      </w:r>
      <w:r>
        <w:rPr>
          <w:spacing w:val="55"/>
        </w:rPr>
        <w:t> </w:t>
      </w:r>
      <w:r>
        <w:rPr/>
        <w:t>Post-Employment</w:t>
      </w:r>
      <w:r>
        <w:rPr>
          <w:spacing w:val="-5"/>
        </w:rPr>
        <w:t> </w:t>
      </w:r>
      <w:r>
        <w:rPr>
          <w:spacing w:val="-2"/>
        </w:rPr>
        <w:t>services</w:t>
      </w:r>
    </w:p>
    <w:p>
      <w:pPr>
        <w:pStyle w:val="ListParagraph"/>
        <w:numPr>
          <w:ilvl w:val="0"/>
          <w:numId w:val="155"/>
        </w:numPr>
        <w:tabs>
          <w:tab w:pos="786" w:val="left" w:leader="none"/>
        </w:tabs>
        <w:spacing w:line="208" w:lineRule="auto" w:before="233" w:after="0"/>
        <w:ind w:left="360" w:right="729" w:firstLine="0"/>
        <w:jc w:val="left"/>
        <w:rPr>
          <w:sz w:val="24"/>
        </w:rPr>
      </w:pPr>
      <w:r>
        <w:rPr>
          <w:b/>
          <w:sz w:val="24"/>
        </w:rPr>
        <w:t>Use</w:t>
      </w:r>
      <w:r>
        <w:rPr>
          <w:b/>
          <w:spacing w:val="-5"/>
          <w:sz w:val="24"/>
        </w:rPr>
        <w:t> </w:t>
      </w:r>
      <w:r>
        <w:rPr>
          <w:b/>
          <w:sz w:val="24"/>
        </w:rPr>
        <w:t>of</w:t>
      </w:r>
      <w:r>
        <w:rPr>
          <w:b/>
          <w:spacing w:val="-7"/>
          <w:sz w:val="24"/>
        </w:rPr>
        <w:t> </w:t>
      </w:r>
      <w:r>
        <w:rPr>
          <w:b/>
          <w:sz w:val="24"/>
        </w:rPr>
        <w:t>Post-Employment</w:t>
      </w:r>
      <w:r>
        <w:rPr>
          <w:b/>
          <w:spacing w:val="-4"/>
          <w:sz w:val="24"/>
        </w:rPr>
        <w:t> </w:t>
      </w:r>
      <w:r>
        <w:rPr>
          <w:b/>
          <w:sz w:val="24"/>
        </w:rPr>
        <w:t>services.</w:t>
      </w:r>
      <w:r>
        <w:rPr>
          <w:b/>
          <w:spacing w:val="-5"/>
          <w:sz w:val="24"/>
        </w:rPr>
        <w:t> </w:t>
      </w:r>
      <w:r>
        <w:rPr>
          <w:sz w:val="24"/>
        </w:rPr>
        <w:t>Post-employment</w:t>
      </w:r>
      <w:r>
        <w:rPr>
          <w:spacing w:val="-4"/>
          <w:sz w:val="24"/>
        </w:rPr>
        <w:t> </w:t>
      </w:r>
      <w:r>
        <w:rPr>
          <w:sz w:val="24"/>
        </w:rPr>
        <w:t>services</w:t>
      </w:r>
      <w:r>
        <w:rPr>
          <w:spacing w:val="-5"/>
          <w:sz w:val="24"/>
        </w:rPr>
        <w:t> </w:t>
      </w:r>
      <w:r>
        <w:rPr>
          <w:sz w:val="24"/>
        </w:rPr>
        <w:t>may</w:t>
      </w:r>
      <w:r>
        <w:rPr>
          <w:spacing w:val="-5"/>
          <w:sz w:val="24"/>
        </w:rPr>
        <w:t> </w:t>
      </w:r>
      <w:r>
        <w:rPr>
          <w:sz w:val="24"/>
        </w:rPr>
        <w:t>be</w:t>
      </w:r>
      <w:r>
        <w:rPr>
          <w:spacing w:val="-6"/>
          <w:sz w:val="24"/>
        </w:rPr>
        <w:t> </w:t>
      </w:r>
      <w:r>
        <w:rPr>
          <w:sz w:val="24"/>
        </w:rPr>
        <w:t>provided</w:t>
      </w:r>
      <w:r>
        <w:rPr>
          <w:spacing w:val="-5"/>
          <w:sz w:val="24"/>
        </w:rPr>
        <w:t> </w:t>
      </w:r>
      <w:r>
        <w:rPr>
          <w:sz w:val="24"/>
        </w:rPr>
        <w:t>to assist employed clients to maintain, retain, regain, or advance in employment, consistent with the individual's strengths, resources, priorities, concerns, abilities, capabilities, interests and informed choice.</w:t>
      </w:r>
    </w:p>
    <w:p>
      <w:pPr>
        <w:pStyle w:val="ListParagraph"/>
        <w:numPr>
          <w:ilvl w:val="1"/>
          <w:numId w:val="155"/>
        </w:numPr>
        <w:tabs>
          <w:tab w:pos="1236" w:val="left" w:leader="none"/>
        </w:tabs>
        <w:spacing w:line="208" w:lineRule="auto" w:before="239" w:after="0"/>
        <w:ind w:left="810" w:right="769" w:firstLine="0"/>
        <w:jc w:val="left"/>
        <w:rPr>
          <w:sz w:val="24"/>
        </w:rPr>
      </w:pPr>
      <w:r>
        <w:rPr>
          <w:sz w:val="24"/>
        </w:rPr>
        <w:t>The</w:t>
      </w:r>
      <w:r>
        <w:rPr>
          <w:spacing w:val="-4"/>
          <w:sz w:val="24"/>
        </w:rPr>
        <w:t> </w:t>
      </w:r>
      <w:r>
        <w:rPr>
          <w:sz w:val="24"/>
        </w:rPr>
        <w:t>need</w:t>
      </w:r>
      <w:r>
        <w:rPr>
          <w:spacing w:val="-4"/>
          <w:sz w:val="24"/>
        </w:rPr>
        <w:t> </w:t>
      </w:r>
      <w:r>
        <w:rPr>
          <w:sz w:val="24"/>
        </w:rPr>
        <w:t>for</w:t>
      </w:r>
      <w:r>
        <w:rPr>
          <w:spacing w:val="-3"/>
          <w:sz w:val="24"/>
        </w:rPr>
        <w:t> </w:t>
      </w:r>
      <w:r>
        <w:rPr>
          <w:sz w:val="24"/>
        </w:rPr>
        <w:t>post-employment</w:t>
      </w:r>
      <w:r>
        <w:rPr>
          <w:spacing w:val="-3"/>
          <w:sz w:val="24"/>
        </w:rPr>
        <w:t> </w:t>
      </w:r>
      <w:r>
        <w:rPr>
          <w:sz w:val="24"/>
        </w:rPr>
        <w:t>services</w:t>
      </w:r>
      <w:r>
        <w:rPr>
          <w:spacing w:val="-5"/>
          <w:sz w:val="24"/>
        </w:rPr>
        <w:t> </w:t>
      </w:r>
      <w:r>
        <w:rPr>
          <w:sz w:val="24"/>
        </w:rPr>
        <w:t>will</w:t>
      </w:r>
      <w:r>
        <w:rPr>
          <w:spacing w:val="-4"/>
          <w:sz w:val="24"/>
        </w:rPr>
        <w:t> </w:t>
      </w:r>
      <w:r>
        <w:rPr>
          <w:sz w:val="24"/>
        </w:rPr>
        <w:t>be</w:t>
      </w:r>
      <w:r>
        <w:rPr>
          <w:spacing w:val="-4"/>
          <w:sz w:val="24"/>
        </w:rPr>
        <w:t> </w:t>
      </w:r>
      <w:r>
        <w:rPr>
          <w:sz w:val="24"/>
        </w:rPr>
        <w:t>assessed</w:t>
      </w:r>
      <w:r>
        <w:rPr>
          <w:spacing w:val="-4"/>
          <w:sz w:val="24"/>
        </w:rPr>
        <w:t> </w:t>
      </w:r>
      <w:r>
        <w:rPr>
          <w:sz w:val="24"/>
        </w:rPr>
        <w:t>at</w:t>
      </w:r>
      <w:r>
        <w:rPr>
          <w:spacing w:val="-3"/>
          <w:sz w:val="24"/>
        </w:rPr>
        <w:t> </w:t>
      </w:r>
      <w:r>
        <w:rPr>
          <w:sz w:val="24"/>
        </w:rPr>
        <w:t>initiation</w:t>
      </w:r>
      <w:r>
        <w:rPr>
          <w:spacing w:val="-4"/>
          <w:sz w:val="24"/>
        </w:rPr>
        <w:t> </w:t>
      </w:r>
      <w:r>
        <w:rPr>
          <w:sz w:val="24"/>
        </w:rPr>
        <w:t>of</w:t>
      </w:r>
      <w:r>
        <w:rPr>
          <w:spacing w:val="-3"/>
          <w:sz w:val="24"/>
        </w:rPr>
        <w:t> </w:t>
      </w:r>
      <w:r>
        <w:rPr>
          <w:sz w:val="24"/>
        </w:rPr>
        <w:t>the</w:t>
      </w:r>
      <w:r>
        <w:rPr>
          <w:spacing w:val="-4"/>
          <w:sz w:val="24"/>
        </w:rPr>
        <w:t> </w:t>
      </w:r>
      <w:r>
        <w:rPr>
          <w:sz w:val="24"/>
        </w:rPr>
        <w:t>IPE. Ongoing assessment continues during case services, is documented as needed, and is reassessed just prior to case closure.</w:t>
      </w:r>
    </w:p>
    <w:p>
      <w:pPr>
        <w:pStyle w:val="ListParagraph"/>
        <w:numPr>
          <w:ilvl w:val="1"/>
          <w:numId w:val="155"/>
        </w:numPr>
        <w:tabs>
          <w:tab w:pos="1235" w:val="left" w:leader="none"/>
        </w:tabs>
        <w:spacing w:line="208" w:lineRule="auto" w:before="240" w:after="0"/>
        <w:ind w:left="809" w:right="797" w:firstLine="0"/>
        <w:jc w:val="left"/>
        <w:rPr>
          <w:b/>
          <w:sz w:val="24"/>
        </w:rPr>
      </w:pPr>
      <w:r>
        <w:rPr>
          <w:sz w:val="24"/>
        </w:rPr>
        <w:t>Post-employment services may also be provided for needs that were not anticipated in the original IPE or prior to case closure. Post-employment services can</w:t>
      </w:r>
      <w:r>
        <w:rPr>
          <w:spacing w:val="-4"/>
          <w:sz w:val="24"/>
        </w:rPr>
        <w:t> </w:t>
      </w:r>
      <w:r>
        <w:rPr>
          <w:sz w:val="24"/>
        </w:rPr>
        <w:t>be</w:t>
      </w:r>
      <w:r>
        <w:rPr>
          <w:spacing w:val="-4"/>
          <w:sz w:val="24"/>
        </w:rPr>
        <w:t> </w:t>
      </w:r>
      <w:r>
        <w:rPr>
          <w:sz w:val="24"/>
        </w:rPr>
        <w:t>provided</w:t>
      </w:r>
      <w:r>
        <w:rPr>
          <w:spacing w:val="-4"/>
          <w:sz w:val="24"/>
        </w:rPr>
        <w:t> </w:t>
      </w:r>
      <w:r>
        <w:rPr>
          <w:sz w:val="24"/>
        </w:rPr>
        <w:t>to</w:t>
      </w:r>
      <w:r>
        <w:rPr>
          <w:spacing w:val="-4"/>
          <w:sz w:val="24"/>
        </w:rPr>
        <w:t> </w:t>
      </w:r>
      <w:r>
        <w:rPr>
          <w:sz w:val="24"/>
        </w:rPr>
        <w:t>individuals</w:t>
      </w:r>
      <w:r>
        <w:rPr>
          <w:spacing w:val="-4"/>
          <w:sz w:val="24"/>
        </w:rPr>
        <w:t> </w:t>
      </w:r>
      <w:r>
        <w:rPr>
          <w:sz w:val="24"/>
        </w:rPr>
        <w:t>who</w:t>
      </w:r>
      <w:r>
        <w:rPr>
          <w:spacing w:val="-4"/>
          <w:sz w:val="24"/>
        </w:rPr>
        <w:t> </w:t>
      </w:r>
      <w:r>
        <w:rPr>
          <w:sz w:val="24"/>
        </w:rPr>
        <w:t>receive</w:t>
      </w:r>
      <w:r>
        <w:rPr>
          <w:spacing w:val="-4"/>
          <w:sz w:val="24"/>
        </w:rPr>
        <w:t> </w:t>
      </w:r>
      <w:r>
        <w:rPr>
          <w:sz w:val="24"/>
        </w:rPr>
        <w:t>Supported</w:t>
      </w:r>
      <w:r>
        <w:rPr>
          <w:spacing w:val="-4"/>
          <w:sz w:val="24"/>
        </w:rPr>
        <w:t> </w:t>
      </w:r>
      <w:r>
        <w:rPr>
          <w:sz w:val="24"/>
        </w:rPr>
        <w:t>Employment</w:t>
      </w:r>
      <w:r>
        <w:rPr>
          <w:spacing w:val="-3"/>
          <w:sz w:val="24"/>
        </w:rPr>
        <w:t> </w:t>
      </w:r>
      <w:r>
        <w:rPr>
          <w:sz w:val="24"/>
        </w:rPr>
        <w:t>Services</w:t>
      </w:r>
      <w:r>
        <w:rPr>
          <w:spacing w:val="-4"/>
          <w:sz w:val="24"/>
        </w:rPr>
        <w:t> </w:t>
      </w:r>
      <w:r>
        <w:rPr>
          <w:sz w:val="24"/>
        </w:rPr>
        <w:t>if</w:t>
      </w:r>
      <w:r>
        <w:rPr>
          <w:spacing w:val="-3"/>
          <w:sz w:val="24"/>
        </w:rPr>
        <w:t> </w:t>
      </w:r>
      <w:r>
        <w:rPr>
          <w:sz w:val="24"/>
        </w:rPr>
        <w:t>such services are needed to maintain the supported employment placement and those services are not available from an extended services provider, and those services are provided prior to case closure. </w:t>
      </w:r>
      <w:r>
        <w:rPr>
          <w:b/>
          <w:sz w:val="24"/>
        </w:rPr>
        <w:t>1</w:t>
      </w:r>
    </w:p>
    <w:p>
      <w:pPr>
        <w:pStyle w:val="ListParagraph"/>
        <w:numPr>
          <w:ilvl w:val="1"/>
          <w:numId w:val="155"/>
        </w:numPr>
        <w:tabs>
          <w:tab w:pos="1236" w:val="left" w:leader="none"/>
        </w:tabs>
        <w:spacing w:line="208" w:lineRule="auto" w:before="240" w:after="0"/>
        <w:ind w:left="810" w:right="795" w:firstLine="0"/>
        <w:jc w:val="left"/>
        <w:rPr>
          <w:sz w:val="24"/>
        </w:rPr>
      </w:pPr>
      <w:r>
        <w:rPr>
          <w:sz w:val="24"/>
        </w:rPr>
        <w:t>Post-employment</w:t>
      </w:r>
      <w:r>
        <w:rPr>
          <w:spacing w:val="-3"/>
          <w:sz w:val="24"/>
        </w:rPr>
        <w:t> </w:t>
      </w:r>
      <w:r>
        <w:rPr>
          <w:sz w:val="24"/>
        </w:rPr>
        <w:t>services</w:t>
      </w:r>
      <w:r>
        <w:rPr>
          <w:spacing w:val="-4"/>
          <w:sz w:val="24"/>
        </w:rPr>
        <w:t> </w:t>
      </w:r>
      <w:r>
        <w:rPr>
          <w:sz w:val="24"/>
        </w:rPr>
        <w:t>are</w:t>
      </w:r>
      <w:r>
        <w:rPr>
          <w:spacing w:val="-4"/>
          <w:sz w:val="24"/>
        </w:rPr>
        <w:t> </w:t>
      </w:r>
      <w:r>
        <w:rPr>
          <w:sz w:val="24"/>
        </w:rPr>
        <w:t>not</w:t>
      </w:r>
      <w:r>
        <w:rPr>
          <w:spacing w:val="-3"/>
          <w:sz w:val="24"/>
        </w:rPr>
        <w:t> </w:t>
      </w:r>
      <w:r>
        <w:rPr>
          <w:sz w:val="24"/>
        </w:rPr>
        <w:t>to</w:t>
      </w:r>
      <w:r>
        <w:rPr>
          <w:spacing w:val="-4"/>
          <w:sz w:val="24"/>
        </w:rPr>
        <w:t> </w:t>
      </w:r>
      <w:r>
        <w:rPr>
          <w:sz w:val="24"/>
        </w:rPr>
        <w:t>be</w:t>
      </w:r>
      <w:r>
        <w:rPr>
          <w:spacing w:val="-5"/>
          <w:sz w:val="24"/>
        </w:rPr>
        <w:t> </w:t>
      </w:r>
      <w:r>
        <w:rPr>
          <w:sz w:val="24"/>
        </w:rPr>
        <w:t>used</w:t>
      </w:r>
      <w:r>
        <w:rPr>
          <w:spacing w:val="-4"/>
          <w:sz w:val="24"/>
        </w:rPr>
        <w:t> </w:t>
      </w:r>
      <w:r>
        <w:rPr>
          <w:sz w:val="24"/>
        </w:rPr>
        <w:t>in</w:t>
      </w:r>
      <w:r>
        <w:rPr>
          <w:spacing w:val="-4"/>
          <w:sz w:val="24"/>
        </w:rPr>
        <w:t> </w:t>
      </w:r>
      <w:r>
        <w:rPr>
          <w:sz w:val="24"/>
        </w:rPr>
        <w:t>instances</w:t>
      </w:r>
      <w:r>
        <w:rPr>
          <w:spacing w:val="-4"/>
          <w:sz w:val="24"/>
        </w:rPr>
        <w:t> </w:t>
      </w:r>
      <w:r>
        <w:rPr>
          <w:sz w:val="24"/>
        </w:rPr>
        <w:t>of</w:t>
      </w:r>
      <w:r>
        <w:rPr>
          <w:spacing w:val="-3"/>
          <w:sz w:val="24"/>
        </w:rPr>
        <w:t> </w:t>
      </w:r>
      <w:r>
        <w:rPr>
          <w:sz w:val="24"/>
        </w:rPr>
        <w:t>underemployment when extensive retraining is needed.</w:t>
      </w:r>
    </w:p>
    <w:p>
      <w:pPr>
        <w:pStyle w:val="ListParagraph"/>
        <w:numPr>
          <w:ilvl w:val="1"/>
          <w:numId w:val="155"/>
        </w:numPr>
        <w:tabs>
          <w:tab w:pos="1236" w:val="left" w:leader="none"/>
        </w:tabs>
        <w:spacing w:line="208" w:lineRule="auto" w:before="239" w:after="0"/>
        <w:ind w:left="810" w:right="796" w:firstLine="0"/>
        <w:jc w:val="left"/>
        <w:rPr>
          <w:sz w:val="24"/>
        </w:rPr>
      </w:pPr>
      <w:r>
        <w:rPr>
          <w:sz w:val="24"/>
        </w:rPr>
        <w:t>Post-employment</w:t>
      </w:r>
      <w:r>
        <w:rPr>
          <w:spacing w:val="-4"/>
          <w:sz w:val="24"/>
        </w:rPr>
        <w:t> </w:t>
      </w:r>
      <w:r>
        <w:rPr>
          <w:sz w:val="24"/>
        </w:rPr>
        <w:t>services</w:t>
      </w:r>
      <w:r>
        <w:rPr>
          <w:spacing w:val="-5"/>
          <w:sz w:val="24"/>
        </w:rPr>
        <w:t> </w:t>
      </w:r>
      <w:r>
        <w:rPr>
          <w:sz w:val="24"/>
        </w:rPr>
        <w:t>are</w:t>
      </w:r>
      <w:r>
        <w:rPr>
          <w:spacing w:val="-5"/>
          <w:sz w:val="24"/>
        </w:rPr>
        <w:t> </w:t>
      </w:r>
      <w:r>
        <w:rPr>
          <w:sz w:val="24"/>
        </w:rPr>
        <w:t>to</w:t>
      </w:r>
      <w:r>
        <w:rPr>
          <w:spacing w:val="-5"/>
          <w:sz w:val="24"/>
        </w:rPr>
        <w:t> </w:t>
      </w:r>
      <w:r>
        <w:rPr>
          <w:sz w:val="24"/>
        </w:rPr>
        <w:t>be</w:t>
      </w:r>
      <w:r>
        <w:rPr>
          <w:spacing w:val="-5"/>
          <w:sz w:val="24"/>
        </w:rPr>
        <w:t> </w:t>
      </w:r>
      <w:r>
        <w:rPr>
          <w:sz w:val="24"/>
        </w:rPr>
        <w:t>provided</w:t>
      </w:r>
      <w:r>
        <w:rPr>
          <w:spacing w:val="-5"/>
          <w:sz w:val="24"/>
        </w:rPr>
        <w:t> </w:t>
      </w:r>
      <w:r>
        <w:rPr>
          <w:sz w:val="24"/>
        </w:rPr>
        <w:t>under</w:t>
      </w:r>
      <w:r>
        <w:rPr>
          <w:spacing w:val="-4"/>
          <w:sz w:val="24"/>
        </w:rPr>
        <w:t> </w:t>
      </w:r>
      <w:r>
        <w:rPr>
          <w:sz w:val="24"/>
        </w:rPr>
        <w:t>an</w:t>
      </w:r>
      <w:r>
        <w:rPr>
          <w:spacing w:val="-5"/>
          <w:sz w:val="24"/>
        </w:rPr>
        <w:t> </w:t>
      </w:r>
      <w:r>
        <w:rPr>
          <w:sz w:val="24"/>
        </w:rPr>
        <w:t>amended</w:t>
      </w:r>
      <w:r>
        <w:rPr>
          <w:spacing w:val="-5"/>
          <w:sz w:val="24"/>
        </w:rPr>
        <w:t> </w:t>
      </w:r>
      <w:r>
        <w:rPr>
          <w:sz w:val="24"/>
        </w:rPr>
        <w:t>individualized plan for employment; thus, a re-determination of eligibility is not required. Any vocational rehabilitation service or combination of services necessary to assist the individual to maintain, retain, regain, or advance in employment may be provided if the service(s) does not involve a complex or comprehensive effort.</w:t>
      </w:r>
    </w:p>
    <w:p>
      <w:pPr>
        <w:pStyle w:val="ListParagraph"/>
        <w:numPr>
          <w:ilvl w:val="1"/>
          <w:numId w:val="155"/>
        </w:numPr>
        <w:tabs>
          <w:tab w:pos="1236" w:val="left" w:leader="none"/>
        </w:tabs>
        <w:spacing w:line="208" w:lineRule="auto" w:before="240" w:after="0"/>
        <w:ind w:left="810" w:right="728" w:firstLine="0"/>
        <w:jc w:val="left"/>
        <w:rPr>
          <w:sz w:val="24"/>
        </w:rPr>
      </w:pPr>
      <w:r>
        <w:rPr>
          <w:sz w:val="24"/>
        </w:rPr>
        <w:t>Federal regulations forbid the setting of arbitrary time limits on the provision of post-employment</w:t>
      </w:r>
      <w:r>
        <w:rPr>
          <w:spacing w:val="-3"/>
          <w:sz w:val="24"/>
        </w:rPr>
        <w:t> </w:t>
      </w:r>
      <w:r>
        <w:rPr>
          <w:sz w:val="24"/>
        </w:rPr>
        <w:t>services.</w:t>
      </w:r>
      <w:r>
        <w:rPr>
          <w:spacing w:val="-3"/>
          <w:sz w:val="24"/>
        </w:rPr>
        <w:t> </w:t>
      </w:r>
      <w:r>
        <w:rPr>
          <w:sz w:val="24"/>
        </w:rPr>
        <w:t>If</w:t>
      </w:r>
      <w:r>
        <w:rPr>
          <w:spacing w:val="-3"/>
          <w:sz w:val="24"/>
        </w:rPr>
        <w:t> </w:t>
      </w:r>
      <w:r>
        <w:rPr>
          <w:sz w:val="24"/>
        </w:rPr>
        <w:t>the</w:t>
      </w:r>
      <w:r>
        <w:rPr>
          <w:spacing w:val="-4"/>
          <w:sz w:val="24"/>
        </w:rPr>
        <w:t> </w:t>
      </w:r>
      <w:r>
        <w:rPr>
          <w:sz w:val="24"/>
        </w:rPr>
        <w:t>client</w:t>
      </w:r>
      <w:r>
        <w:rPr>
          <w:spacing w:val="-3"/>
          <w:sz w:val="24"/>
        </w:rPr>
        <w:t> </w:t>
      </w:r>
      <w:r>
        <w:rPr>
          <w:sz w:val="24"/>
        </w:rPr>
        <w:t>has</w:t>
      </w:r>
      <w:r>
        <w:rPr>
          <w:spacing w:val="-4"/>
          <w:sz w:val="24"/>
        </w:rPr>
        <w:t> </w:t>
      </w:r>
      <w:r>
        <w:rPr>
          <w:sz w:val="24"/>
        </w:rPr>
        <w:t>been</w:t>
      </w:r>
      <w:r>
        <w:rPr>
          <w:spacing w:val="-4"/>
          <w:sz w:val="24"/>
        </w:rPr>
        <w:t> </w:t>
      </w:r>
      <w:r>
        <w:rPr>
          <w:sz w:val="24"/>
        </w:rPr>
        <w:t>employed</w:t>
      </w:r>
      <w:r>
        <w:rPr>
          <w:spacing w:val="-4"/>
          <w:sz w:val="24"/>
        </w:rPr>
        <w:t> </w:t>
      </w:r>
      <w:r>
        <w:rPr>
          <w:sz w:val="24"/>
        </w:rPr>
        <w:t>for</w:t>
      </w:r>
      <w:r>
        <w:rPr>
          <w:spacing w:val="-4"/>
          <w:sz w:val="24"/>
        </w:rPr>
        <w:t> </w:t>
      </w:r>
      <w:r>
        <w:rPr>
          <w:sz w:val="24"/>
        </w:rPr>
        <w:t>a</w:t>
      </w:r>
      <w:r>
        <w:rPr>
          <w:spacing w:val="-4"/>
          <w:sz w:val="24"/>
        </w:rPr>
        <w:t> </w:t>
      </w:r>
      <w:r>
        <w:rPr>
          <w:sz w:val="24"/>
        </w:rPr>
        <w:t>long</w:t>
      </w:r>
      <w:r>
        <w:rPr>
          <w:spacing w:val="-4"/>
          <w:sz w:val="24"/>
        </w:rPr>
        <w:t> </w:t>
      </w:r>
      <w:r>
        <w:rPr>
          <w:sz w:val="24"/>
        </w:rPr>
        <w:t>period</w:t>
      </w:r>
      <w:r>
        <w:rPr>
          <w:spacing w:val="-4"/>
          <w:sz w:val="24"/>
        </w:rPr>
        <w:t> </w:t>
      </w:r>
      <w:r>
        <w:rPr>
          <w:sz w:val="24"/>
        </w:rPr>
        <w:t>of</w:t>
      </w:r>
      <w:r>
        <w:rPr>
          <w:spacing w:val="-3"/>
          <w:sz w:val="24"/>
        </w:rPr>
        <w:t> </w:t>
      </w:r>
      <w:r>
        <w:rPr>
          <w:sz w:val="24"/>
        </w:rPr>
        <w:t>time, the counselor must carefully review the client's situation before making the decision to provide post-employment services as opposed to opening a new case.</w:t>
      </w:r>
    </w:p>
    <w:p>
      <w:pPr>
        <w:pStyle w:val="ListParagraph"/>
        <w:numPr>
          <w:ilvl w:val="0"/>
          <w:numId w:val="155"/>
        </w:numPr>
        <w:tabs>
          <w:tab w:pos="785" w:val="left" w:leader="none"/>
        </w:tabs>
        <w:spacing w:line="208" w:lineRule="auto" w:before="239" w:after="0"/>
        <w:ind w:left="360" w:right="1003" w:firstLine="0"/>
        <w:jc w:val="left"/>
        <w:rPr>
          <w:sz w:val="24"/>
        </w:rPr>
      </w:pPr>
      <w:r>
        <w:rPr>
          <w:b/>
          <w:sz w:val="24"/>
        </w:rPr>
        <w:t>Other</w:t>
      </w:r>
      <w:r>
        <w:rPr>
          <w:b/>
          <w:spacing w:val="-6"/>
          <w:sz w:val="24"/>
        </w:rPr>
        <w:t> </w:t>
      </w:r>
      <w:r>
        <w:rPr>
          <w:b/>
          <w:sz w:val="24"/>
        </w:rPr>
        <w:t>considerations.</w:t>
      </w:r>
      <w:r>
        <w:rPr>
          <w:b/>
          <w:spacing w:val="-4"/>
          <w:sz w:val="24"/>
        </w:rPr>
        <w:t> </w:t>
      </w:r>
      <w:r>
        <w:rPr>
          <w:sz w:val="24"/>
        </w:rPr>
        <w:t>Other</w:t>
      </w:r>
      <w:r>
        <w:rPr>
          <w:spacing w:val="-5"/>
          <w:sz w:val="24"/>
        </w:rPr>
        <w:t> </w:t>
      </w:r>
      <w:r>
        <w:rPr>
          <w:sz w:val="24"/>
        </w:rPr>
        <w:t>considerations</w:t>
      </w:r>
      <w:r>
        <w:rPr>
          <w:spacing w:val="-4"/>
          <w:sz w:val="24"/>
        </w:rPr>
        <w:t> </w:t>
      </w:r>
      <w:r>
        <w:rPr>
          <w:sz w:val="24"/>
        </w:rPr>
        <w:t>in</w:t>
      </w:r>
      <w:r>
        <w:rPr>
          <w:spacing w:val="-4"/>
          <w:sz w:val="24"/>
        </w:rPr>
        <w:t> </w:t>
      </w:r>
      <w:r>
        <w:rPr>
          <w:sz w:val="24"/>
        </w:rPr>
        <w:t>determining</w:t>
      </w:r>
      <w:r>
        <w:rPr>
          <w:spacing w:val="-4"/>
          <w:sz w:val="24"/>
        </w:rPr>
        <w:t> </w:t>
      </w:r>
      <w:r>
        <w:rPr>
          <w:sz w:val="24"/>
        </w:rPr>
        <w:t>a</w:t>
      </w:r>
      <w:r>
        <w:rPr>
          <w:spacing w:val="-4"/>
          <w:sz w:val="24"/>
        </w:rPr>
        <w:t> </w:t>
      </w:r>
      <w:r>
        <w:rPr>
          <w:sz w:val="24"/>
        </w:rPr>
        <w:t>client's</w:t>
      </w:r>
      <w:r>
        <w:rPr>
          <w:spacing w:val="-4"/>
          <w:sz w:val="24"/>
        </w:rPr>
        <w:t> </w:t>
      </w:r>
      <w:r>
        <w:rPr>
          <w:sz w:val="24"/>
        </w:rPr>
        <w:t>eligibility</w:t>
      </w:r>
      <w:r>
        <w:rPr>
          <w:spacing w:val="-4"/>
          <w:sz w:val="24"/>
        </w:rPr>
        <w:t> </w:t>
      </w:r>
      <w:r>
        <w:rPr>
          <w:sz w:val="24"/>
        </w:rPr>
        <w:t>for post-employment services are:</w:t>
      </w:r>
    </w:p>
    <w:p>
      <w:pPr>
        <w:pStyle w:val="ListParagraph"/>
        <w:numPr>
          <w:ilvl w:val="1"/>
          <w:numId w:val="155"/>
        </w:numPr>
        <w:tabs>
          <w:tab w:pos="1218" w:val="left" w:leader="none"/>
        </w:tabs>
        <w:spacing w:line="208" w:lineRule="auto" w:before="240" w:after="0"/>
        <w:ind w:left="792" w:right="804" w:firstLine="0"/>
        <w:jc w:val="left"/>
        <w:rPr>
          <w:sz w:val="24"/>
        </w:rPr>
      </w:pPr>
      <w:r>
        <w:rPr>
          <w:b/>
          <w:sz w:val="24"/>
        </w:rPr>
        <w:t>Financial</w:t>
      </w:r>
      <w:r>
        <w:rPr>
          <w:b/>
          <w:spacing w:val="-3"/>
          <w:sz w:val="24"/>
        </w:rPr>
        <w:t> </w:t>
      </w:r>
      <w:r>
        <w:rPr>
          <w:b/>
          <w:sz w:val="24"/>
        </w:rPr>
        <w:t>Needs.</w:t>
      </w:r>
      <w:r>
        <w:rPr>
          <w:b/>
          <w:spacing w:val="-5"/>
          <w:sz w:val="24"/>
        </w:rPr>
        <w:t> </w:t>
      </w:r>
      <w:r>
        <w:rPr>
          <w:sz w:val="24"/>
        </w:rPr>
        <w:t>A</w:t>
      </w:r>
      <w:r>
        <w:rPr>
          <w:spacing w:val="-4"/>
          <w:sz w:val="24"/>
        </w:rPr>
        <w:t> </w:t>
      </w:r>
      <w:r>
        <w:rPr>
          <w:sz w:val="24"/>
        </w:rPr>
        <w:t>new</w:t>
      </w:r>
      <w:r>
        <w:rPr>
          <w:spacing w:val="-4"/>
          <w:sz w:val="24"/>
        </w:rPr>
        <w:t> </w:t>
      </w:r>
      <w:r>
        <w:rPr>
          <w:sz w:val="24"/>
        </w:rPr>
        <w:t>financial</w:t>
      </w:r>
      <w:r>
        <w:rPr>
          <w:spacing w:val="-4"/>
          <w:sz w:val="24"/>
        </w:rPr>
        <w:t> </w:t>
      </w:r>
      <w:r>
        <w:rPr>
          <w:sz w:val="24"/>
        </w:rPr>
        <w:t>need</w:t>
      </w:r>
      <w:r>
        <w:rPr>
          <w:spacing w:val="-4"/>
          <w:sz w:val="24"/>
        </w:rPr>
        <w:t> </w:t>
      </w:r>
      <w:r>
        <w:rPr>
          <w:sz w:val="24"/>
        </w:rPr>
        <w:t>determination</w:t>
      </w:r>
      <w:r>
        <w:rPr>
          <w:spacing w:val="-4"/>
          <w:sz w:val="24"/>
        </w:rPr>
        <w:t> </w:t>
      </w:r>
      <w:r>
        <w:rPr>
          <w:sz w:val="24"/>
        </w:rPr>
        <w:t>must</w:t>
      </w:r>
      <w:r>
        <w:rPr>
          <w:spacing w:val="-3"/>
          <w:sz w:val="24"/>
        </w:rPr>
        <w:t> </w:t>
      </w:r>
      <w:r>
        <w:rPr>
          <w:sz w:val="24"/>
        </w:rPr>
        <w:t>be</w:t>
      </w:r>
      <w:r>
        <w:rPr>
          <w:spacing w:val="-5"/>
          <w:sz w:val="24"/>
        </w:rPr>
        <w:t> </w:t>
      </w:r>
      <w:r>
        <w:rPr>
          <w:sz w:val="24"/>
        </w:rPr>
        <w:t>made</w:t>
      </w:r>
      <w:r>
        <w:rPr>
          <w:spacing w:val="-4"/>
          <w:sz w:val="24"/>
        </w:rPr>
        <w:t> </w:t>
      </w:r>
      <w:r>
        <w:rPr>
          <w:sz w:val="24"/>
        </w:rPr>
        <w:t>if</w:t>
      </w:r>
      <w:r>
        <w:rPr>
          <w:spacing w:val="-3"/>
          <w:sz w:val="24"/>
        </w:rPr>
        <w:t> </w:t>
      </w:r>
      <w:r>
        <w:rPr>
          <w:sz w:val="24"/>
        </w:rPr>
        <w:t>services requiring consideration of client participation in the cost of services are to be </w:t>
      </w:r>
      <w:r>
        <w:rPr>
          <w:spacing w:val="-2"/>
          <w:sz w:val="24"/>
        </w:rPr>
        <w:t>provided.</w:t>
      </w:r>
    </w:p>
    <w:p>
      <w:pPr>
        <w:pStyle w:val="ListParagraph"/>
        <w:numPr>
          <w:ilvl w:val="1"/>
          <w:numId w:val="155"/>
        </w:numPr>
        <w:tabs>
          <w:tab w:pos="1218" w:val="left" w:leader="none"/>
        </w:tabs>
        <w:spacing w:line="208" w:lineRule="auto" w:before="240" w:after="0"/>
        <w:ind w:left="792" w:right="1402" w:firstLine="0"/>
        <w:jc w:val="left"/>
        <w:rPr>
          <w:sz w:val="24"/>
        </w:rPr>
      </w:pPr>
      <w:r>
        <w:rPr>
          <w:b/>
          <w:sz w:val="24"/>
        </w:rPr>
        <w:t>Emergency</w:t>
      </w:r>
      <w:r>
        <w:rPr>
          <w:b/>
          <w:spacing w:val="-5"/>
          <w:sz w:val="24"/>
        </w:rPr>
        <w:t> </w:t>
      </w:r>
      <w:r>
        <w:rPr>
          <w:b/>
          <w:sz w:val="24"/>
        </w:rPr>
        <w:t>conditions.</w:t>
      </w:r>
      <w:r>
        <w:rPr>
          <w:b/>
          <w:spacing w:val="-6"/>
          <w:sz w:val="24"/>
        </w:rPr>
        <w:t> </w:t>
      </w:r>
      <w:r>
        <w:rPr>
          <w:sz w:val="24"/>
        </w:rPr>
        <w:t>Treatment</w:t>
      </w:r>
      <w:r>
        <w:rPr>
          <w:spacing w:val="-4"/>
          <w:sz w:val="24"/>
        </w:rPr>
        <w:t> </w:t>
      </w:r>
      <w:r>
        <w:rPr>
          <w:sz w:val="24"/>
        </w:rPr>
        <w:t>of</w:t>
      </w:r>
      <w:r>
        <w:rPr>
          <w:spacing w:val="-6"/>
          <w:sz w:val="24"/>
        </w:rPr>
        <w:t> </w:t>
      </w:r>
      <w:r>
        <w:rPr>
          <w:sz w:val="24"/>
        </w:rPr>
        <w:t>an</w:t>
      </w:r>
      <w:r>
        <w:rPr>
          <w:spacing w:val="-5"/>
          <w:sz w:val="24"/>
        </w:rPr>
        <w:t> </w:t>
      </w:r>
      <w:r>
        <w:rPr>
          <w:sz w:val="24"/>
        </w:rPr>
        <w:t>emergency</w:t>
      </w:r>
      <w:r>
        <w:rPr>
          <w:spacing w:val="-5"/>
          <w:sz w:val="24"/>
        </w:rPr>
        <w:t> </w:t>
      </w:r>
      <w:r>
        <w:rPr>
          <w:sz w:val="24"/>
        </w:rPr>
        <w:t>condition</w:t>
      </w:r>
      <w:r>
        <w:rPr>
          <w:spacing w:val="-5"/>
          <w:sz w:val="24"/>
        </w:rPr>
        <w:t> </w:t>
      </w:r>
      <w:r>
        <w:rPr>
          <w:sz w:val="24"/>
        </w:rPr>
        <w:t>will</w:t>
      </w:r>
      <w:r>
        <w:rPr>
          <w:spacing w:val="-5"/>
          <w:sz w:val="24"/>
        </w:rPr>
        <w:t> </w:t>
      </w:r>
      <w:r>
        <w:rPr>
          <w:sz w:val="24"/>
        </w:rPr>
        <w:t>not</w:t>
      </w:r>
      <w:r>
        <w:rPr>
          <w:spacing w:val="-4"/>
          <w:sz w:val="24"/>
        </w:rPr>
        <w:t> </w:t>
      </w:r>
      <w:r>
        <w:rPr>
          <w:sz w:val="24"/>
        </w:rPr>
        <w:t>be considered as a post-employment service.</w:t>
      </w:r>
    </w:p>
    <w:p>
      <w:pPr>
        <w:pStyle w:val="ListParagraph"/>
        <w:numPr>
          <w:ilvl w:val="0"/>
          <w:numId w:val="155"/>
        </w:numPr>
        <w:tabs>
          <w:tab w:pos="773" w:val="left" w:leader="none"/>
        </w:tabs>
        <w:spacing w:line="208" w:lineRule="auto" w:before="240" w:after="0"/>
        <w:ind w:left="360" w:right="862" w:firstLine="0"/>
        <w:jc w:val="left"/>
        <w:rPr>
          <w:sz w:val="24"/>
        </w:rPr>
      </w:pPr>
      <w:r>
        <w:rPr>
          <w:b/>
          <w:sz w:val="24"/>
        </w:rPr>
        <w:t>Criteria</w:t>
      </w:r>
      <w:r>
        <w:rPr>
          <w:b/>
          <w:spacing w:val="-5"/>
          <w:sz w:val="24"/>
        </w:rPr>
        <w:t> </w:t>
      </w:r>
      <w:r>
        <w:rPr>
          <w:b/>
          <w:sz w:val="24"/>
        </w:rPr>
        <w:t>for</w:t>
      </w:r>
      <w:r>
        <w:rPr>
          <w:b/>
          <w:spacing w:val="-5"/>
          <w:sz w:val="24"/>
        </w:rPr>
        <w:t> </w:t>
      </w:r>
      <w:r>
        <w:rPr>
          <w:b/>
          <w:sz w:val="24"/>
        </w:rPr>
        <w:t>terminating</w:t>
      </w:r>
      <w:r>
        <w:rPr>
          <w:b/>
          <w:spacing w:val="-5"/>
          <w:sz w:val="24"/>
        </w:rPr>
        <w:t> </w:t>
      </w:r>
      <w:r>
        <w:rPr>
          <w:b/>
          <w:sz w:val="24"/>
        </w:rPr>
        <w:t>post-employment</w:t>
      </w:r>
      <w:r>
        <w:rPr>
          <w:b/>
          <w:spacing w:val="-4"/>
          <w:sz w:val="24"/>
        </w:rPr>
        <w:t> </w:t>
      </w:r>
      <w:r>
        <w:rPr>
          <w:b/>
          <w:sz w:val="24"/>
        </w:rPr>
        <w:t>services.</w:t>
      </w:r>
      <w:r>
        <w:rPr>
          <w:b/>
          <w:spacing w:val="-5"/>
          <w:sz w:val="24"/>
        </w:rPr>
        <w:t> </w:t>
      </w:r>
      <w:r>
        <w:rPr>
          <w:sz w:val="24"/>
        </w:rPr>
        <w:t>Decisions</w:t>
      </w:r>
      <w:r>
        <w:rPr>
          <w:spacing w:val="-5"/>
          <w:sz w:val="24"/>
        </w:rPr>
        <w:t> </w:t>
      </w:r>
      <w:r>
        <w:rPr>
          <w:sz w:val="24"/>
        </w:rPr>
        <w:t>to</w:t>
      </w:r>
      <w:r>
        <w:rPr>
          <w:spacing w:val="-5"/>
          <w:sz w:val="24"/>
        </w:rPr>
        <w:t> </w:t>
      </w:r>
      <w:r>
        <w:rPr>
          <w:sz w:val="24"/>
        </w:rPr>
        <w:t>terminate</w:t>
      </w:r>
      <w:r>
        <w:rPr>
          <w:spacing w:val="-5"/>
          <w:sz w:val="24"/>
        </w:rPr>
        <w:t> </w:t>
      </w:r>
      <w:r>
        <w:rPr>
          <w:sz w:val="24"/>
        </w:rPr>
        <w:t>post- employment services must be made on an individual basis in consultation with the </w:t>
      </w:r>
      <w:r>
        <w:rPr>
          <w:spacing w:val="-2"/>
          <w:sz w:val="24"/>
        </w:rPr>
        <w:t>client.</w:t>
      </w:r>
    </w:p>
    <w:p>
      <w:pPr>
        <w:pStyle w:val="ListParagraph"/>
        <w:numPr>
          <w:ilvl w:val="0"/>
          <w:numId w:val="155"/>
        </w:numPr>
        <w:tabs>
          <w:tab w:pos="786" w:val="left" w:leader="none"/>
        </w:tabs>
        <w:spacing w:line="208" w:lineRule="auto" w:before="239" w:after="0"/>
        <w:ind w:left="360" w:right="846" w:firstLine="0"/>
        <w:jc w:val="left"/>
        <w:rPr>
          <w:sz w:val="24"/>
        </w:rPr>
      </w:pPr>
      <w:r>
        <w:rPr>
          <w:b/>
          <w:sz w:val="24"/>
        </w:rPr>
        <w:t>Case recording requirements. </w:t>
      </w:r>
      <w:r>
        <w:rPr>
          <w:sz w:val="24"/>
        </w:rPr>
        <w:t>The same principles of client involvement are required</w:t>
      </w:r>
      <w:r>
        <w:rPr>
          <w:spacing w:val="-4"/>
          <w:sz w:val="24"/>
        </w:rPr>
        <w:t> </w:t>
      </w:r>
      <w:r>
        <w:rPr>
          <w:sz w:val="24"/>
        </w:rPr>
        <w:t>in</w:t>
      </w:r>
      <w:r>
        <w:rPr>
          <w:spacing w:val="-3"/>
          <w:sz w:val="24"/>
        </w:rPr>
        <w:t> </w:t>
      </w:r>
      <w:r>
        <w:rPr>
          <w:sz w:val="24"/>
        </w:rPr>
        <w:t>the</w:t>
      </w:r>
      <w:r>
        <w:rPr>
          <w:spacing w:val="-4"/>
          <w:sz w:val="24"/>
        </w:rPr>
        <w:t> </w:t>
      </w:r>
      <w:r>
        <w:rPr>
          <w:sz w:val="24"/>
        </w:rPr>
        <w:t>IPE</w:t>
      </w:r>
      <w:r>
        <w:rPr>
          <w:spacing w:val="-4"/>
          <w:sz w:val="24"/>
        </w:rPr>
        <w:t> </w:t>
      </w:r>
      <w:r>
        <w:rPr>
          <w:sz w:val="24"/>
        </w:rPr>
        <w:t>for</w:t>
      </w:r>
      <w:r>
        <w:rPr>
          <w:spacing w:val="-5"/>
          <w:sz w:val="24"/>
        </w:rPr>
        <w:t> </w:t>
      </w:r>
      <w:r>
        <w:rPr>
          <w:sz w:val="24"/>
        </w:rPr>
        <w:t>Post-Employment</w:t>
      </w:r>
      <w:r>
        <w:rPr>
          <w:spacing w:val="-3"/>
          <w:sz w:val="24"/>
        </w:rPr>
        <w:t> </w:t>
      </w:r>
      <w:r>
        <w:rPr>
          <w:sz w:val="24"/>
        </w:rPr>
        <w:t>Services</w:t>
      </w:r>
      <w:r>
        <w:rPr>
          <w:spacing w:val="-4"/>
          <w:sz w:val="24"/>
        </w:rPr>
        <w:t> </w:t>
      </w:r>
      <w:r>
        <w:rPr>
          <w:sz w:val="24"/>
        </w:rPr>
        <w:t>as</w:t>
      </w:r>
      <w:r>
        <w:rPr>
          <w:spacing w:val="-4"/>
          <w:sz w:val="24"/>
        </w:rPr>
        <w:t> </w:t>
      </w:r>
      <w:r>
        <w:rPr>
          <w:sz w:val="24"/>
        </w:rPr>
        <w:t>are</w:t>
      </w:r>
      <w:r>
        <w:rPr>
          <w:spacing w:val="-4"/>
          <w:sz w:val="24"/>
        </w:rPr>
        <w:t> </w:t>
      </w:r>
      <w:r>
        <w:rPr>
          <w:sz w:val="24"/>
        </w:rPr>
        <w:t>required</w:t>
      </w:r>
      <w:r>
        <w:rPr>
          <w:spacing w:val="-4"/>
          <w:sz w:val="24"/>
        </w:rPr>
        <w:t> </w:t>
      </w:r>
      <w:r>
        <w:rPr>
          <w:sz w:val="24"/>
        </w:rPr>
        <w:t>under</w:t>
      </w:r>
      <w:r>
        <w:rPr>
          <w:spacing w:val="-3"/>
          <w:sz w:val="24"/>
        </w:rPr>
        <w:t> </w:t>
      </w:r>
      <w:r>
        <w:rPr>
          <w:sz w:val="24"/>
        </w:rPr>
        <w:t>any</w:t>
      </w:r>
      <w:r>
        <w:rPr>
          <w:spacing w:val="-4"/>
          <w:sz w:val="24"/>
        </w:rPr>
        <w:t> </w:t>
      </w:r>
      <w:r>
        <w:rPr>
          <w:sz w:val="24"/>
        </w:rPr>
        <w:t>other</w:t>
      </w:r>
      <w:r>
        <w:rPr>
          <w:spacing w:val="-3"/>
          <w:sz w:val="24"/>
        </w:rPr>
        <w:t> </w:t>
      </w:r>
      <w:r>
        <w:rPr>
          <w:sz w:val="24"/>
        </w:rPr>
        <w:t>IPE. Case recording will be made at significant times during the process, including assessment of progress, the decision to conclude services and the results achieved at the completion or termination of services.</w:t>
      </w:r>
    </w:p>
    <w:p>
      <w:pPr>
        <w:pStyle w:val="BodyText"/>
        <w:spacing w:before="244"/>
      </w:pPr>
      <w:r>
        <w:rPr/>
        <w:t>INSTRUCTIONS</w:t>
      </w:r>
      <w:r>
        <w:rPr>
          <w:spacing w:val="-3"/>
        </w:rPr>
        <w:t> </w:t>
      </w:r>
      <w:r>
        <w:rPr/>
        <w:t>TO</w:t>
      </w:r>
      <w:r>
        <w:rPr>
          <w:spacing w:val="-2"/>
        </w:rPr>
        <w:t> </w:t>
      </w:r>
      <w:r>
        <w:rPr>
          <w:spacing w:val="-4"/>
        </w:rPr>
        <w:t>STAFF</w:t>
      </w:r>
    </w:p>
    <w:p>
      <w:pPr>
        <w:pStyle w:val="BodyText"/>
        <w:spacing w:after="0"/>
        <w:sectPr>
          <w:pgSz w:w="12240" w:h="15840"/>
          <w:pgMar w:top="1340" w:bottom="280" w:left="1080" w:right="720"/>
        </w:sectPr>
      </w:pPr>
    </w:p>
    <w:p>
      <w:pPr>
        <w:pStyle w:val="BodyText"/>
        <w:spacing w:line="259" w:lineRule="auto" w:before="80"/>
        <w:ind w:right="1089"/>
      </w:pPr>
      <w:r>
        <w:rPr/>
        <w:t>1.</w:t>
      </w:r>
      <w:r>
        <w:rPr>
          <w:spacing w:val="40"/>
        </w:rPr>
        <w:t> </w:t>
      </w:r>
      <w:r>
        <w:rPr/>
        <w:t>Additional Employment Services are available in the SE contract for an individual who has completed the SE EM Milestone, is no longer employed, and requires replacement</w:t>
      </w:r>
      <w:r>
        <w:rPr>
          <w:spacing w:val="-3"/>
        </w:rPr>
        <w:t> </w:t>
      </w:r>
      <w:r>
        <w:rPr/>
        <w:t>in</w:t>
      </w:r>
      <w:r>
        <w:rPr>
          <w:spacing w:val="-3"/>
        </w:rPr>
        <w:t> </w:t>
      </w:r>
      <w:r>
        <w:rPr/>
        <w:t>a</w:t>
      </w:r>
      <w:r>
        <w:rPr>
          <w:spacing w:val="-3"/>
        </w:rPr>
        <w:t> </w:t>
      </w:r>
      <w:r>
        <w:rPr/>
        <w:t>similar</w:t>
      </w:r>
      <w:r>
        <w:rPr>
          <w:spacing w:val="-3"/>
        </w:rPr>
        <w:t> </w:t>
      </w:r>
      <w:r>
        <w:rPr/>
        <w:t>job</w:t>
      </w:r>
      <w:r>
        <w:rPr>
          <w:spacing w:val="-3"/>
        </w:rPr>
        <w:t> </w:t>
      </w:r>
      <w:r>
        <w:rPr/>
        <w:t>by</w:t>
      </w:r>
      <w:r>
        <w:rPr>
          <w:spacing w:val="-3"/>
        </w:rPr>
        <w:t> </w:t>
      </w:r>
      <w:r>
        <w:rPr/>
        <w:t>the</w:t>
      </w:r>
      <w:r>
        <w:rPr>
          <w:spacing w:val="-3"/>
        </w:rPr>
        <w:t> </w:t>
      </w:r>
      <w:r>
        <w:rPr/>
        <w:t>same</w:t>
      </w:r>
      <w:r>
        <w:rPr>
          <w:spacing w:val="-3"/>
        </w:rPr>
        <w:t> </w:t>
      </w:r>
      <w:r>
        <w:rPr/>
        <w:t>Contractor,</w:t>
      </w:r>
      <w:r>
        <w:rPr>
          <w:spacing w:val="-4"/>
        </w:rPr>
        <w:t> </w:t>
      </w:r>
      <w:r>
        <w:rPr/>
        <w:t>prior</w:t>
      </w:r>
      <w:r>
        <w:rPr>
          <w:spacing w:val="-3"/>
        </w:rPr>
        <w:t> </w:t>
      </w:r>
      <w:r>
        <w:rPr/>
        <w:t>to</w:t>
      </w:r>
      <w:r>
        <w:rPr>
          <w:spacing w:val="-3"/>
        </w:rPr>
        <w:t> </w:t>
      </w:r>
      <w:r>
        <w:rPr/>
        <w:t>DRS</w:t>
      </w:r>
      <w:r>
        <w:rPr>
          <w:spacing w:val="-3"/>
        </w:rPr>
        <w:t> </w:t>
      </w:r>
      <w:r>
        <w:rPr/>
        <w:t>case</w:t>
      </w:r>
      <w:r>
        <w:rPr>
          <w:spacing w:val="-3"/>
        </w:rPr>
        <w:t> </w:t>
      </w:r>
      <w:r>
        <w:rPr/>
        <w:t>closure</w:t>
      </w:r>
      <w:r>
        <w:rPr>
          <w:spacing w:val="-3"/>
        </w:rPr>
        <w:t> </w:t>
      </w:r>
      <w:r>
        <w:rPr/>
        <w:t>using post-employment services.</w:t>
      </w:r>
    </w:p>
    <w:p>
      <w:pPr>
        <w:pStyle w:val="BodyText"/>
        <w:spacing w:line="259" w:lineRule="auto" w:before="159"/>
        <w:ind w:right="775"/>
      </w:pPr>
      <w:r>
        <w:rPr/>
        <w:t>The counselor will authorize the following milestones: R4 Milestone: 4 Weeks Job Support,</w:t>
      </w:r>
      <w:r>
        <w:rPr>
          <w:spacing w:val="-4"/>
        </w:rPr>
        <w:t> </w:t>
      </w:r>
      <w:r>
        <w:rPr/>
        <w:t>ST</w:t>
      </w:r>
      <w:r>
        <w:rPr>
          <w:spacing w:val="-5"/>
        </w:rPr>
        <w:t> </w:t>
      </w:r>
      <w:r>
        <w:rPr/>
        <w:t>Milestone:</w:t>
      </w:r>
      <w:r>
        <w:rPr>
          <w:spacing w:val="-4"/>
        </w:rPr>
        <w:t> </w:t>
      </w:r>
      <w:r>
        <w:rPr/>
        <w:t>Job</w:t>
      </w:r>
      <w:r>
        <w:rPr>
          <w:spacing w:val="-5"/>
        </w:rPr>
        <w:t> </w:t>
      </w:r>
      <w:r>
        <w:rPr/>
        <w:t>Stabilization,</w:t>
      </w:r>
      <w:r>
        <w:rPr>
          <w:spacing w:val="-4"/>
        </w:rPr>
        <w:t> </w:t>
      </w:r>
      <w:r>
        <w:rPr/>
        <w:t>and</w:t>
      </w:r>
      <w:r>
        <w:rPr>
          <w:spacing w:val="-5"/>
        </w:rPr>
        <w:t> </w:t>
      </w:r>
      <w:r>
        <w:rPr/>
        <w:t>EM</w:t>
      </w:r>
      <w:r>
        <w:rPr>
          <w:spacing w:val="-4"/>
        </w:rPr>
        <w:t> </w:t>
      </w:r>
      <w:r>
        <w:rPr/>
        <w:t>Milestone:</w:t>
      </w:r>
      <w:r>
        <w:rPr>
          <w:spacing w:val="-4"/>
        </w:rPr>
        <w:t> </w:t>
      </w:r>
      <w:r>
        <w:rPr/>
        <w:t>Successful</w:t>
      </w:r>
      <w:r>
        <w:rPr>
          <w:spacing w:val="-5"/>
        </w:rPr>
        <w:t> </w:t>
      </w:r>
      <w:r>
        <w:rPr/>
        <w:t>Employment (additional ninety (90) calendar days.</w:t>
      </w:r>
    </w:p>
    <w:p>
      <w:pPr>
        <w:pStyle w:val="BodyText"/>
        <w:spacing w:line="343" w:lineRule="auto" w:before="160"/>
        <w:ind w:right="1443"/>
      </w:pPr>
      <w:r>
        <w:rPr/>
        <w:t>The</w:t>
      </w:r>
      <w:r>
        <w:rPr>
          <w:spacing w:val="-4"/>
        </w:rPr>
        <w:t> </w:t>
      </w:r>
      <w:r>
        <w:rPr/>
        <w:t>Eight</w:t>
      </w:r>
      <w:r>
        <w:rPr>
          <w:spacing w:val="-3"/>
        </w:rPr>
        <w:t> </w:t>
      </w:r>
      <w:r>
        <w:rPr/>
        <w:t>(8)</w:t>
      </w:r>
      <w:r>
        <w:rPr>
          <w:spacing w:val="-3"/>
        </w:rPr>
        <w:t> </w:t>
      </w:r>
      <w:r>
        <w:rPr/>
        <w:t>Weeks</w:t>
      </w:r>
      <w:r>
        <w:rPr>
          <w:spacing w:val="-4"/>
        </w:rPr>
        <w:t> </w:t>
      </w:r>
      <w:r>
        <w:rPr/>
        <w:t>Job</w:t>
      </w:r>
      <w:r>
        <w:rPr>
          <w:spacing w:val="-4"/>
        </w:rPr>
        <w:t> </w:t>
      </w:r>
      <w:r>
        <w:rPr/>
        <w:t>Support</w:t>
      </w:r>
      <w:r>
        <w:rPr>
          <w:spacing w:val="-3"/>
        </w:rPr>
        <w:t> </w:t>
      </w:r>
      <w:r>
        <w:rPr/>
        <w:t>milestones</w:t>
      </w:r>
      <w:r>
        <w:rPr>
          <w:spacing w:val="-4"/>
        </w:rPr>
        <w:t> </w:t>
      </w:r>
      <w:r>
        <w:rPr/>
        <w:t>is</w:t>
      </w:r>
      <w:r>
        <w:rPr>
          <w:spacing w:val="-5"/>
        </w:rPr>
        <w:t> </w:t>
      </w:r>
      <w:r>
        <w:rPr/>
        <w:t>not</w:t>
      </w:r>
      <w:r>
        <w:rPr>
          <w:spacing w:val="-3"/>
        </w:rPr>
        <w:t> </w:t>
      </w:r>
      <w:r>
        <w:rPr/>
        <w:t>utilized</w:t>
      </w:r>
      <w:r>
        <w:rPr>
          <w:spacing w:val="-4"/>
        </w:rPr>
        <w:t> </w:t>
      </w:r>
      <w:r>
        <w:rPr/>
        <w:t>and</w:t>
      </w:r>
      <w:r>
        <w:rPr>
          <w:spacing w:val="-4"/>
        </w:rPr>
        <w:t> </w:t>
      </w:r>
      <w:r>
        <w:rPr/>
        <w:t>will</w:t>
      </w:r>
      <w:r>
        <w:rPr>
          <w:spacing w:val="-4"/>
        </w:rPr>
        <w:t> </w:t>
      </w:r>
      <w:r>
        <w:rPr>
          <w:b/>
        </w:rPr>
        <w:t>not</w:t>
      </w:r>
      <w:r>
        <w:rPr>
          <w:b/>
          <w:spacing w:val="-3"/>
        </w:rPr>
        <w:t> </w:t>
      </w:r>
      <w:r>
        <w:rPr/>
        <w:t>be</w:t>
      </w:r>
      <w:r>
        <w:rPr>
          <w:spacing w:val="-4"/>
        </w:rPr>
        <w:t> </w:t>
      </w:r>
      <w:r>
        <w:rPr/>
        <w:t>paid. See </w:t>
      </w:r>
      <w:hyperlink r:id="rId50">
        <w:r>
          <w:rPr>
            <w:color w:val="0562C1"/>
            <w:u w:val="single" w:color="0562C1"/>
          </w:rPr>
          <w:t>https://www.okdrs.gov/ESS/SEC</w:t>
        </w:r>
      </w:hyperlink>
      <w:r>
        <w:rPr>
          <w:color w:val="0562C1"/>
          <w:u w:val="none"/>
        </w:rPr>
        <w:t> </w:t>
      </w:r>
      <w:r>
        <w:rPr>
          <w:u w:val="none"/>
        </w:rPr>
        <w:t>to access the SE contract and forms.</w:t>
      </w:r>
    </w:p>
    <w:p>
      <w:pPr>
        <w:spacing w:before="2"/>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7-1-98</w:t>
      </w:r>
      <w:r>
        <w:rPr>
          <w:sz w:val="22"/>
        </w:rPr>
        <w:tab/>
        <w:t>PT Memo #98-15</w:t>
      </w:r>
    </w:p>
    <w:p>
      <w:pPr>
        <w:tabs>
          <w:tab w:pos="1439" w:val="left" w:leader="none"/>
        </w:tabs>
        <w:spacing w:before="1"/>
        <w:ind w:left="359" w:right="6246" w:firstLine="1080"/>
        <w:jc w:val="left"/>
        <w:rPr>
          <w:sz w:val="22"/>
        </w:rPr>
      </w:pPr>
      <w:r>
        <w:rPr>
          <w:sz w:val="22"/>
        </w:rPr>
        <w:t>Permanent,</w:t>
      </w:r>
      <w:r>
        <w:rPr>
          <w:spacing w:val="-16"/>
          <w:sz w:val="22"/>
        </w:rPr>
        <w:t> </w:t>
      </w:r>
      <w:r>
        <w:rPr>
          <w:sz w:val="22"/>
        </w:rPr>
        <w:t>clean-up</w:t>
      </w:r>
      <w:r>
        <w:rPr>
          <w:spacing w:val="-15"/>
          <w:sz w:val="22"/>
        </w:rPr>
        <w:t> </w:t>
      </w:r>
      <w:r>
        <w:rPr>
          <w:sz w:val="22"/>
        </w:rPr>
        <w:t>editing </w:t>
      </w:r>
      <w:r>
        <w:rPr>
          <w:spacing w:val="-2"/>
          <w:sz w:val="22"/>
        </w:rPr>
        <w:t>6-14-99</w:t>
      </w:r>
      <w:r>
        <w:rPr>
          <w:sz w:val="22"/>
        </w:rPr>
        <w:tab/>
        <w:t>POL Memo #99-7</w:t>
      </w:r>
    </w:p>
    <w:p>
      <w:pPr>
        <w:spacing w:before="0"/>
        <w:ind w:left="1439" w:right="775" w:firstLine="0"/>
        <w:jc w:val="left"/>
        <w:rPr>
          <w:sz w:val="22"/>
        </w:rPr>
      </w:pPr>
      <w:r>
        <w:rPr>
          <w:sz w:val="22"/>
        </w:rPr>
        <w:t>Emergency,</w:t>
      </w:r>
      <w:r>
        <w:rPr>
          <w:spacing w:val="-5"/>
          <w:sz w:val="22"/>
        </w:rPr>
        <w:t> </w:t>
      </w:r>
      <w:r>
        <w:rPr>
          <w:sz w:val="22"/>
        </w:rPr>
        <w:t>changed</w:t>
      </w:r>
      <w:r>
        <w:rPr>
          <w:spacing w:val="-5"/>
          <w:sz w:val="22"/>
        </w:rPr>
        <w:t> </w:t>
      </w:r>
      <w:r>
        <w:rPr>
          <w:sz w:val="22"/>
        </w:rPr>
        <w:t>IRP</w:t>
      </w:r>
      <w:r>
        <w:rPr>
          <w:spacing w:val="-5"/>
          <w:sz w:val="22"/>
        </w:rPr>
        <w:t> </w:t>
      </w:r>
      <w:r>
        <w:rPr>
          <w:sz w:val="22"/>
        </w:rPr>
        <w:t>to</w:t>
      </w:r>
      <w:r>
        <w:rPr>
          <w:spacing w:val="-5"/>
          <w:sz w:val="22"/>
        </w:rPr>
        <w:t> </w:t>
      </w:r>
      <w:r>
        <w:rPr>
          <w:sz w:val="22"/>
        </w:rPr>
        <w:t>IPE;</w:t>
      </w:r>
      <w:r>
        <w:rPr>
          <w:spacing w:val="-5"/>
          <w:sz w:val="22"/>
        </w:rPr>
        <w:t> </w:t>
      </w:r>
      <w:r>
        <w:rPr>
          <w:sz w:val="22"/>
        </w:rPr>
        <w:t>clarified</w:t>
      </w:r>
      <w:r>
        <w:rPr>
          <w:spacing w:val="-5"/>
          <w:sz w:val="22"/>
        </w:rPr>
        <w:t> </w:t>
      </w:r>
      <w:r>
        <w:rPr>
          <w:sz w:val="22"/>
        </w:rPr>
        <w:t>post-employment</w:t>
      </w:r>
      <w:r>
        <w:rPr>
          <w:spacing w:val="-4"/>
          <w:sz w:val="22"/>
        </w:rPr>
        <w:t> </w:t>
      </w:r>
      <w:r>
        <w:rPr>
          <w:sz w:val="22"/>
        </w:rPr>
        <w:t>services;</w:t>
      </w:r>
      <w:r>
        <w:rPr>
          <w:spacing w:val="-5"/>
          <w:sz w:val="22"/>
        </w:rPr>
        <w:t> </w:t>
      </w:r>
      <w:r>
        <w:rPr>
          <w:sz w:val="22"/>
        </w:rPr>
        <w:t>"maintaining employment" changed to "retain, regain or advance"</w:t>
      </w:r>
    </w:p>
    <w:p>
      <w:pPr>
        <w:tabs>
          <w:tab w:pos="1439" w:val="left" w:leader="none"/>
        </w:tabs>
        <w:spacing w:before="0"/>
        <w:ind w:left="359" w:right="0" w:firstLine="0"/>
        <w:jc w:val="left"/>
        <w:rPr>
          <w:sz w:val="22"/>
        </w:rPr>
      </w:pPr>
      <w:r>
        <w:rPr>
          <w:spacing w:val="-2"/>
          <w:sz w:val="22"/>
        </w:rPr>
        <w:t>7-1-</w:t>
      </w:r>
      <w:r>
        <w:rPr>
          <w:spacing w:val="-5"/>
          <w:sz w:val="22"/>
        </w:rPr>
        <w:t>99</w:t>
      </w:r>
      <w:r>
        <w:rPr>
          <w:sz w:val="22"/>
        </w:rPr>
        <w:tab/>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7-1-05</w:t>
      </w:r>
      <w:r>
        <w:rPr>
          <w:sz w:val="22"/>
        </w:rPr>
        <w:tab/>
        <w:t>PT Memo #06-01</w:t>
      </w:r>
    </w:p>
    <w:p>
      <w:pPr>
        <w:spacing w:line="252" w:lineRule="exact" w:before="0"/>
        <w:ind w:left="1439" w:right="0" w:firstLine="0"/>
        <w:jc w:val="left"/>
        <w:rPr>
          <w:sz w:val="22"/>
        </w:rPr>
      </w:pPr>
      <w:r>
        <w:rPr>
          <w:sz w:val="22"/>
        </w:rPr>
        <w:t>Permanent,</w:t>
      </w:r>
      <w:r>
        <w:rPr>
          <w:spacing w:val="-7"/>
          <w:sz w:val="22"/>
        </w:rPr>
        <w:t> </w:t>
      </w:r>
      <w:r>
        <w:rPr>
          <w:sz w:val="22"/>
        </w:rPr>
        <w:t>general</w:t>
      </w:r>
      <w:r>
        <w:rPr>
          <w:spacing w:val="-8"/>
          <w:sz w:val="22"/>
        </w:rPr>
        <w:t> </w:t>
      </w:r>
      <w:r>
        <w:rPr>
          <w:sz w:val="22"/>
        </w:rPr>
        <w:t>cleanup</w:t>
      </w:r>
      <w:r>
        <w:rPr>
          <w:spacing w:val="-8"/>
          <w:sz w:val="22"/>
        </w:rPr>
        <w:t> </w:t>
      </w:r>
      <w:r>
        <w:rPr>
          <w:sz w:val="22"/>
        </w:rPr>
        <w:t>of</w:t>
      </w:r>
      <w:r>
        <w:rPr>
          <w:spacing w:val="-8"/>
          <w:sz w:val="22"/>
        </w:rPr>
        <w:t> </w:t>
      </w:r>
      <w:r>
        <w:rPr>
          <w:spacing w:val="-2"/>
          <w:sz w:val="22"/>
        </w:rPr>
        <w:t>language.</w:t>
      </w:r>
    </w:p>
    <w:p>
      <w:pPr>
        <w:tabs>
          <w:tab w:pos="1439" w:val="left" w:leader="none"/>
        </w:tabs>
        <w:spacing w:before="0"/>
        <w:ind w:left="359" w:right="0" w:firstLine="0"/>
        <w:jc w:val="left"/>
        <w:rPr>
          <w:sz w:val="22"/>
        </w:rPr>
      </w:pPr>
      <w:r>
        <w:rPr>
          <w:spacing w:val="-2"/>
          <w:sz w:val="22"/>
        </w:rPr>
        <w:t>10-1-</w:t>
      </w:r>
      <w:r>
        <w:rPr>
          <w:spacing w:val="-5"/>
          <w:sz w:val="22"/>
        </w:rPr>
        <w:t>07</w:t>
      </w:r>
      <w:r>
        <w:rPr>
          <w:sz w:val="22"/>
        </w:rPr>
        <w:tab/>
        <w:t>PT</w:t>
      </w:r>
      <w:r>
        <w:rPr>
          <w:spacing w:val="-8"/>
          <w:sz w:val="22"/>
        </w:rPr>
        <w:t> </w:t>
      </w:r>
      <w:r>
        <w:rPr>
          <w:sz w:val="22"/>
        </w:rPr>
        <w:t>Memo</w:t>
      </w:r>
      <w:r>
        <w:rPr>
          <w:spacing w:val="-8"/>
          <w:sz w:val="22"/>
        </w:rPr>
        <w:t> </w:t>
      </w:r>
      <w:r>
        <w:rPr>
          <w:sz w:val="22"/>
        </w:rPr>
        <w:t>#08-</w:t>
      </w:r>
      <w:r>
        <w:rPr>
          <w:spacing w:val="-5"/>
          <w:sz w:val="22"/>
        </w:rPr>
        <w:t>02</w:t>
      </w:r>
    </w:p>
    <w:p>
      <w:pPr>
        <w:spacing w:before="0"/>
        <w:ind w:left="1439" w:right="0" w:firstLine="0"/>
        <w:jc w:val="left"/>
        <w:rPr>
          <w:sz w:val="22"/>
        </w:rPr>
      </w:pPr>
      <w:r>
        <w:rPr>
          <w:sz w:val="22"/>
        </w:rPr>
        <w:t>Permanent,</w:t>
      </w:r>
      <w:r>
        <w:rPr>
          <w:spacing w:val="-8"/>
          <w:sz w:val="22"/>
        </w:rPr>
        <w:t> </w:t>
      </w:r>
      <w:r>
        <w:rPr>
          <w:sz w:val="22"/>
        </w:rPr>
        <w:t>AWARE</w:t>
      </w:r>
      <w:r>
        <w:rPr>
          <w:spacing w:val="-8"/>
          <w:sz w:val="22"/>
        </w:rPr>
        <w:t> </w:t>
      </w:r>
      <w:r>
        <w:rPr>
          <w:sz w:val="22"/>
        </w:rPr>
        <w:t>change.</w:t>
      </w:r>
      <w:r>
        <w:rPr>
          <w:spacing w:val="45"/>
          <w:sz w:val="22"/>
        </w:rPr>
        <w:t> </w:t>
      </w:r>
      <w:r>
        <w:rPr>
          <w:sz w:val="22"/>
        </w:rPr>
        <w:t>Removed</w:t>
      </w:r>
      <w:r>
        <w:rPr>
          <w:spacing w:val="-8"/>
          <w:sz w:val="22"/>
        </w:rPr>
        <w:t> </w:t>
      </w:r>
      <w:r>
        <w:rPr>
          <w:sz w:val="22"/>
        </w:rPr>
        <w:t>Status</w:t>
      </w:r>
      <w:r>
        <w:rPr>
          <w:spacing w:val="-8"/>
          <w:sz w:val="22"/>
        </w:rPr>
        <w:t> </w:t>
      </w:r>
      <w:r>
        <w:rPr>
          <w:spacing w:val="-2"/>
          <w:sz w:val="22"/>
        </w:rPr>
        <w:t>numbers.</w:t>
      </w:r>
    </w:p>
    <w:p>
      <w:pPr>
        <w:tabs>
          <w:tab w:pos="1439" w:val="left" w:leader="none"/>
        </w:tabs>
        <w:spacing w:before="0"/>
        <w:ind w:left="359" w:right="0" w:firstLine="0"/>
        <w:jc w:val="left"/>
        <w:rPr>
          <w:sz w:val="22"/>
        </w:rPr>
      </w:pPr>
      <w:r>
        <w:rPr>
          <w:spacing w:val="-2"/>
          <w:sz w:val="22"/>
        </w:rPr>
        <w:t>7-1-</w:t>
      </w:r>
      <w:r>
        <w:rPr>
          <w:spacing w:val="-5"/>
          <w:sz w:val="22"/>
        </w:rPr>
        <w:t>08</w:t>
      </w:r>
      <w:r>
        <w:rPr>
          <w:sz w:val="22"/>
        </w:rPr>
        <w:tab/>
        <w:t>PT</w:t>
      </w:r>
      <w:r>
        <w:rPr>
          <w:spacing w:val="-8"/>
          <w:sz w:val="22"/>
        </w:rPr>
        <w:t> </w:t>
      </w:r>
      <w:r>
        <w:rPr>
          <w:sz w:val="22"/>
        </w:rPr>
        <w:t>Memo</w:t>
      </w:r>
      <w:r>
        <w:rPr>
          <w:spacing w:val="-8"/>
          <w:sz w:val="22"/>
        </w:rPr>
        <w:t> </w:t>
      </w:r>
      <w:r>
        <w:rPr>
          <w:sz w:val="22"/>
        </w:rPr>
        <w:t>#09-</w:t>
      </w:r>
      <w:r>
        <w:rPr>
          <w:spacing w:val="-5"/>
          <w:sz w:val="22"/>
        </w:rPr>
        <w:t>01</w:t>
      </w:r>
    </w:p>
    <w:p>
      <w:pPr>
        <w:tabs>
          <w:tab w:pos="1439" w:val="left" w:leader="none"/>
        </w:tabs>
        <w:spacing w:before="0"/>
        <w:ind w:left="359" w:right="4419" w:firstLine="1080"/>
        <w:jc w:val="left"/>
        <w:rPr>
          <w:sz w:val="22"/>
        </w:rPr>
      </w:pPr>
      <w:r>
        <w:rPr>
          <w:sz w:val="22"/>
        </w:rPr>
        <w:t>Permanent,</w:t>
      </w:r>
      <w:r>
        <w:rPr>
          <w:spacing w:val="-9"/>
          <w:sz w:val="22"/>
        </w:rPr>
        <w:t> </w:t>
      </w:r>
      <w:r>
        <w:rPr>
          <w:sz w:val="22"/>
        </w:rPr>
        <w:t>Removed</w:t>
      </w:r>
      <w:r>
        <w:rPr>
          <w:spacing w:val="-10"/>
          <w:sz w:val="22"/>
        </w:rPr>
        <w:t> </w:t>
      </w:r>
      <w:r>
        <w:rPr>
          <w:sz w:val="22"/>
        </w:rPr>
        <w:t>"core"</w:t>
      </w:r>
      <w:r>
        <w:rPr>
          <w:spacing w:val="-10"/>
          <w:sz w:val="22"/>
        </w:rPr>
        <w:t> </w:t>
      </w:r>
      <w:r>
        <w:rPr>
          <w:sz w:val="22"/>
        </w:rPr>
        <w:t>inserted</w:t>
      </w:r>
      <w:r>
        <w:rPr>
          <w:spacing w:val="-10"/>
          <w:sz w:val="22"/>
        </w:rPr>
        <w:t> </w:t>
      </w:r>
      <w:r>
        <w:rPr>
          <w:sz w:val="22"/>
        </w:rPr>
        <w:t>"primary" </w:t>
      </w:r>
      <w:r>
        <w:rPr>
          <w:spacing w:val="-2"/>
          <w:sz w:val="22"/>
        </w:rPr>
        <w:t>7-1-09</w:t>
      </w:r>
      <w:r>
        <w:rPr>
          <w:sz w:val="22"/>
        </w:rPr>
        <w:tab/>
        <w:t>PT Memo #10-01</w:t>
      </w:r>
    </w:p>
    <w:p>
      <w:pPr>
        <w:spacing w:before="0"/>
        <w:ind w:left="1439" w:right="718" w:firstLine="0"/>
        <w:jc w:val="left"/>
        <w:rPr>
          <w:sz w:val="22"/>
        </w:rPr>
      </w:pPr>
      <w:r>
        <w:rPr>
          <w:sz w:val="22"/>
        </w:rPr>
        <w:t>Permanent,</w:t>
      </w:r>
      <w:r>
        <w:rPr>
          <w:spacing w:val="-3"/>
          <w:sz w:val="22"/>
        </w:rPr>
        <w:t> </w:t>
      </w:r>
      <w:r>
        <w:rPr>
          <w:sz w:val="22"/>
        </w:rPr>
        <w:t>allowing</w:t>
      </w:r>
      <w:r>
        <w:rPr>
          <w:spacing w:val="-4"/>
          <w:sz w:val="22"/>
        </w:rPr>
        <w:t> </w:t>
      </w:r>
      <w:r>
        <w:rPr>
          <w:sz w:val="22"/>
        </w:rPr>
        <w:t>post-employment</w:t>
      </w:r>
      <w:r>
        <w:rPr>
          <w:spacing w:val="-4"/>
          <w:sz w:val="22"/>
        </w:rPr>
        <w:t> </w:t>
      </w:r>
      <w:r>
        <w:rPr>
          <w:sz w:val="22"/>
        </w:rPr>
        <w:t>services</w:t>
      </w:r>
      <w:r>
        <w:rPr>
          <w:spacing w:val="-4"/>
          <w:sz w:val="22"/>
        </w:rPr>
        <w:t> </w:t>
      </w:r>
      <w:r>
        <w:rPr>
          <w:sz w:val="22"/>
        </w:rPr>
        <w:t>for</w:t>
      </w:r>
      <w:r>
        <w:rPr>
          <w:spacing w:val="-4"/>
          <w:sz w:val="22"/>
        </w:rPr>
        <w:t> </w:t>
      </w:r>
      <w:r>
        <w:rPr>
          <w:sz w:val="22"/>
        </w:rPr>
        <w:t>needs</w:t>
      </w:r>
      <w:r>
        <w:rPr>
          <w:spacing w:val="-4"/>
          <w:sz w:val="22"/>
        </w:rPr>
        <w:t> </w:t>
      </w:r>
      <w:r>
        <w:rPr>
          <w:sz w:val="22"/>
        </w:rPr>
        <w:t>that</w:t>
      </w:r>
      <w:r>
        <w:rPr>
          <w:spacing w:val="-4"/>
          <w:sz w:val="22"/>
        </w:rPr>
        <w:t> </w:t>
      </w:r>
      <w:r>
        <w:rPr>
          <w:sz w:val="22"/>
        </w:rPr>
        <w:t>were</w:t>
      </w:r>
      <w:r>
        <w:rPr>
          <w:spacing w:val="-4"/>
          <w:sz w:val="22"/>
        </w:rPr>
        <w:t> </w:t>
      </w:r>
      <w:r>
        <w:rPr>
          <w:sz w:val="22"/>
        </w:rPr>
        <w:t>not</w:t>
      </w:r>
      <w:r>
        <w:rPr>
          <w:spacing w:val="-4"/>
          <w:sz w:val="22"/>
        </w:rPr>
        <w:t> </w:t>
      </w:r>
      <w:r>
        <w:rPr>
          <w:sz w:val="22"/>
        </w:rPr>
        <w:t>anticipated</w:t>
      </w:r>
      <w:r>
        <w:rPr>
          <w:spacing w:val="-5"/>
          <w:sz w:val="22"/>
        </w:rPr>
        <w:t> </w:t>
      </w:r>
      <w:r>
        <w:rPr>
          <w:sz w:val="22"/>
        </w:rPr>
        <w:t>in the original IPE</w:t>
      </w:r>
    </w:p>
    <w:p>
      <w:pPr>
        <w:pStyle w:val="ListParagraph"/>
        <w:numPr>
          <w:ilvl w:val="2"/>
          <w:numId w:val="156"/>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#10-</w:t>
      </w:r>
      <w:r>
        <w:rPr>
          <w:spacing w:val="-5"/>
          <w:sz w:val="22"/>
        </w:rPr>
        <w:t>02</w:t>
      </w:r>
    </w:p>
    <w:p>
      <w:pPr>
        <w:spacing w:before="0"/>
        <w:ind w:left="1439" w:right="0" w:firstLine="0"/>
        <w:jc w:val="left"/>
        <w:rPr>
          <w:sz w:val="22"/>
        </w:rPr>
      </w:pPr>
      <w:r>
        <w:rPr>
          <w:sz w:val="22"/>
        </w:rPr>
        <w:t>Permanent,</w:t>
      </w:r>
      <w:r>
        <w:rPr>
          <w:spacing w:val="-11"/>
          <w:sz w:val="22"/>
        </w:rPr>
        <w:t> </w:t>
      </w:r>
      <w:r>
        <w:rPr>
          <w:sz w:val="22"/>
        </w:rPr>
        <w:t>clarifying</w:t>
      </w:r>
      <w:r>
        <w:rPr>
          <w:spacing w:val="-12"/>
          <w:sz w:val="22"/>
        </w:rPr>
        <w:t> </w:t>
      </w:r>
      <w:r>
        <w:rPr>
          <w:spacing w:val="-2"/>
          <w:sz w:val="22"/>
        </w:rPr>
        <w:t>language.</w:t>
      </w:r>
    </w:p>
    <w:p>
      <w:pPr>
        <w:pStyle w:val="ListParagraph"/>
        <w:numPr>
          <w:ilvl w:val="2"/>
          <w:numId w:val="156"/>
        </w:numPr>
        <w:tabs>
          <w:tab w:pos="1439" w:val="left" w:leader="none"/>
        </w:tabs>
        <w:spacing w:line="253" w:lineRule="exact" w:before="1" w:after="0"/>
        <w:ind w:left="1439" w:right="0" w:hanging="1080"/>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line="253" w:lineRule="exact" w:before="0"/>
        <w:ind w:left="1439" w:right="0" w:firstLine="0"/>
        <w:jc w:val="left"/>
        <w:rPr>
          <w:sz w:val="22"/>
        </w:rPr>
      </w:pPr>
      <w:r>
        <w:rPr>
          <w:sz w:val="22"/>
        </w:rPr>
        <w:t>Permanent,</w:t>
      </w:r>
      <w:r>
        <w:rPr>
          <w:spacing w:val="-11"/>
          <w:sz w:val="22"/>
        </w:rPr>
        <w:t> </w:t>
      </w:r>
      <w:r>
        <w:rPr>
          <w:sz w:val="22"/>
        </w:rPr>
        <w:t>clarifying</w:t>
      </w:r>
      <w:r>
        <w:rPr>
          <w:spacing w:val="-12"/>
          <w:sz w:val="22"/>
        </w:rPr>
        <w:t> </w:t>
      </w:r>
      <w:r>
        <w:rPr>
          <w:spacing w:val="-2"/>
          <w:sz w:val="22"/>
        </w:rPr>
        <w:t>language</w:t>
      </w:r>
    </w:p>
    <w:p>
      <w:pPr>
        <w:tabs>
          <w:tab w:pos="1439" w:val="left" w:leader="none"/>
        </w:tabs>
        <w:spacing w:before="0"/>
        <w:ind w:left="359" w:right="0" w:firstLine="0"/>
        <w:jc w:val="left"/>
        <w:rPr>
          <w:sz w:val="22"/>
        </w:rPr>
      </w:pPr>
      <w:r>
        <w:rPr>
          <w:spacing w:val="-2"/>
          <w:sz w:val="22"/>
        </w:rPr>
        <w:t>8-26-</w:t>
      </w:r>
      <w:r>
        <w:rPr>
          <w:spacing w:val="-5"/>
          <w:sz w:val="22"/>
        </w:rPr>
        <w:t>21</w:t>
      </w:r>
      <w:r>
        <w:rPr>
          <w:sz w:val="22"/>
        </w:rPr>
        <w:tab/>
        <w:t>Revised</w:t>
      </w:r>
      <w:r>
        <w:rPr>
          <w:spacing w:val="-7"/>
          <w:sz w:val="22"/>
        </w:rPr>
        <w:t> </w:t>
      </w:r>
      <w:r>
        <w:rPr>
          <w:sz w:val="22"/>
        </w:rPr>
        <w:t>to</w:t>
      </w:r>
      <w:r>
        <w:rPr>
          <w:spacing w:val="-6"/>
          <w:sz w:val="22"/>
        </w:rPr>
        <w:t> </w:t>
      </w:r>
      <w:r>
        <w:rPr>
          <w:sz w:val="22"/>
        </w:rPr>
        <w:t>reflect</w:t>
      </w:r>
      <w:r>
        <w:rPr>
          <w:spacing w:val="-7"/>
          <w:sz w:val="22"/>
        </w:rPr>
        <w:t> </w:t>
      </w:r>
      <w:r>
        <w:rPr>
          <w:sz w:val="22"/>
        </w:rPr>
        <w:t>WIOA</w:t>
      </w:r>
      <w:r>
        <w:rPr>
          <w:spacing w:val="-6"/>
          <w:sz w:val="22"/>
        </w:rPr>
        <w:t> </w:t>
      </w:r>
      <w:r>
        <w:rPr>
          <w:spacing w:val="-2"/>
          <w:sz w:val="22"/>
        </w:rPr>
        <w:t>language.</w:t>
      </w:r>
    </w:p>
    <w:p>
      <w:pPr>
        <w:tabs>
          <w:tab w:pos="1439" w:val="left" w:leader="none"/>
        </w:tabs>
        <w:spacing w:before="0"/>
        <w:ind w:left="1439" w:right="1089" w:hanging="1080"/>
        <w:jc w:val="left"/>
        <w:rPr>
          <w:sz w:val="22"/>
        </w:rPr>
      </w:pPr>
      <w:r>
        <w:rPr>
          <w:spacing w:val="-2"/>
          <w:sz w:val="22"/>
        </w:rPr>
        <w:t>9-11-22</w:t>
      </w:r>
      <w:r>
        <w:rPr>
          <w:sz w:val="22"/>
        </w:rPr>
        <w:tab/>
        <w:t>Removal</w:t>
      </w:r>
      <w:r>
        <w:rPr>
          <w:spacing w:val="-4"/>
          <w:sz w:val="22"/>
        </w:rPr>
        <w:t> </w:t>
      </w:r>
      <w:r>
        <w:rPr>
          <w:sz w:val="22"/>
        </w:rPr>
        <w:t>of</w:t>
      </w:r>
      <w:r>
        <w:rPr>
          <w:spacing w:val="-4"/>
          <w:sz w:val="22"/>
        </w:rPr>
        <w:t> </w:t>
      </w:r>
      <w:r>
        <w:rPr>
          <w:sz w:val="22"/>
        </w:rPr>
        <w:t>section</w:t>
      </w:r>
      <w:r>
        <w:rPr>
          <w:spacing w:val="-4"/>
          <w:sz w:val="22"/>
        </w:rPr>
        <w:t> </w:t>
      </w:r>
      <w:r>
        <w:rPr>
          <w:sz w:val="22"/>
        </w:rPr>
        <w:t>(f)</w:t>
      </w:r>
      <w:r>
        <w:rPr>
          <w:spacing w:val="-4"/>
          <w:sz w:val="22"/>
        </w:rPr>
        <w:t> </w:t>
      </w:r>
      <w:r>
        <w:rPr>
          <w:sz w:val="22"/>
        </w:rPr>
        <w:t>Use</w:t>
      </w:r>
      <w:r>
        <w:rPr>
          <w:spacing w:val="-4"/>
          <w:sz w:val="22"/>
        </w:rPr>
        <w:t> </w:t>
      </w:r>
      <w:r>
        <w:rPr>
          <w:sz w:val="22"/>
        </w:rPr>
        <w:t>of</w:t>
      </w:r>
      <w:r>
        <w:rPr>
          <w:spacing w:val="-4"/>
          <w:sz w:val="22"/>
        </w:rPr>
        <w:t> </w:t>
      </w:r>
      <w:r>
        <w:rPr>
          <w:sz w:val="22"/>
        </w:rPr>
        <w:t>Post-Employment</w:t>
      </w:r>
      <w:r>
        <w:rPr>
          <w:spacing w:val="-3"/>
          <w:sz w:val="22"/>
        </w:rPr>
        <w:t> </w:t>
      </w:r>
      <w:r>
        <w:rPr>
          <w:sz w:val="22"/>
        </w:rPr>
        <w:t>services</w:t>
      </w:r>
      <w:r>
        <w:rPr>
          <w:spacing w:val="-4"/>
          <w:sz w:val="22"/>
        </w:rPr>
        <w:t> </w:t>
      </w:r>
      <w:r>
        <w:rPr>
          <w:sz w:val="22"/>
        </w:rPr>
        <w:t>completed</w:t>
      </w:r>
      <w:r>
        <w:rPr>
          <w:spacing w:val="-4"/>
          <w:sz w:val="22"/>
        </w:rPr>
        <w:t> </w:t>
      </w:r>
      <w:r>
        <w:rPr>
          <w:sz w:val="22"/>
        </w:rPr>
        <w:t>and</w:t>
      </w:r>
      <w:r>
        <w:rPr>
          <w:spacing w:val="-4"/>
          <w:sz w:val="22"/>
        </w:rPr>
        <w:t> </w:t>
      </w:r>
      <w:r>
        <w:rPr>
          <w:sz w:val="22"/>
        </w:rPr>
        <w:t>(g)</w:t>
      </w:r>
      <w:r>
        <w:rPr>
          <w:spacing w:val="-4"/>
          <w:sz w:val="22"/>
        </w:rPr>
        <w:t> </w:t>
      </w:r>
      <w:r>
        <w:rPr>
          <w:sz w:val="22"/>
        </w:rPr>
        <w:t>Case recording requirements.</w:t>
      </w:r>
    </w:p>
    <w:p>
      <w:pPr>
        <w:tabs>
          <w:tab w:pos="1439" w:val="left" w:leader="none"/>
        </w:tabs>
        <w:spacing w:before="1"/>
        <w:ind w:left="359" w:right="0" w:firstLine="0"/>
        <w:jc w:val="left"/>
        <w:rPr>
          <w:sz w:val="22"/>
        </w:rPr>
      </w:pPr>
      <w:r>
        <w:rPr>
          <w:spacing w:val="-2"/>
          <w:sz w:val="22"/>
        </w:rPr>
        <w:t>5-4-</w:t>
      </w:r>
      <w:r>
        <w:rPr>
          <w:spacing w:val="-5"/>
          <w:sz w:val="22"/>
        </w:rPr>
        <w:t>23</w:t>
      </w:r>
      <w:r>
        <w:rPr>
          <w:sz w:val="22"/>
        </w:rPr>
        <w:tab/>
        <w:t>Added</w:t>
      </w:r>
      <w:r>
        <w:rPr>
          <w:spacing w:val="-6"/>
          <w:sz w:val="22"/>
        </w:rPr>
        <w:t> </w:t>
      </w:r>
      <w:r>
        <w:rPr>
          <w:sz w:val="22"/>
        </w:rPr>
        <w:t>ITS</w:t>
      </w:r>
      <w:r>
        <w:rPr>
          <w:spacing w:val="-5"/>
          <w:sz w:val="22"/>
        </w:rPr>
        <w:t> #1.</w:t>
      </w:r>
    </w:p>
    <w:p>
      <w:pPr>
        <w:pStyle w:val="ListParagraph"/>
        <w:numPr>
          <w:ilvl w:val="2"/>
          <w:numId w:val="157"/>
        </w:numPr>
        <w:tabs>
          <w:tab w:pos="1439" w:val="left" w:leader="none"/>
        </w:tabs>
        <w:spacing w:line="240" w:lineRule="auto" w:before="0" w:after="0"/>
        <w:ind w:left="1439" w:right="861" w:hanging="1081"/>
        <w:jc w:val="left"/>
        <w:rPr>
          <w:sz w:val="24"/>
        </w:rPr>
      </w:pPr>
      <w:r>
        <w:rPr>
          <w:sz w:val="24"/>
        </w:rPr>
        <w:t>Language clarification, “maintain” added before “retain, regain, or advance” under</w:t>
      </w:r>
      <w:r>
        <w:rPr>
          <w:spacing w:val="-3"/>
          <w:sz w:val="24"/>
        </w:rPr>
        <w:t> </w:t>
      </w:r>
      <w:r>
        <w:rPr>
          <w:sz w:val="24"/>
        </w:rPr>
        <w:t>section</w:t>
      </w:r>
      <w:r>
        <w:rPr>
          <w:spacing w:val="-4"/>
          <w:sz w:val="24"/>
        </w:rPr>
        <w:t> </w:t>
      </w:r>
      <w:r>
        <w:rPr>
          <w:sz w:val="24"/>
        </w:rPr>
        <w:t>(a).</w:t>
      </w:r>
      <w:r>
        <w:rPr>
          <w:spacing w:val="-3"/>
          <w:sz w:val="24"/>
        </w:rPr>
        <w:t> </w:t>
      </w:r>
      <w:r>
        <w:rPr>
          <w:sz w:val="24"/>
        </w:rPr>
        <w:t>Section</w:t>
      </w:r>
      <w:r>
        <w:rPr>
          <w:spacing w:val="-4"/>
          <w:sz w:val="24"/>
        </w:rPr>
        <w:t> </w:t>
      </w:r>
      <w:r>
        <w:rPr>
          <w:sz w:val="24"/>
        </w:rPr>
        <w:t>(a)</w:t>
      </w:r>
      <w:r>
        <w:rPr>
          <w:spacing w:val="-3"/>
          <w:sz w:val="24"/>
        </w:rPr>
        <w:t> </w:t>
      </w:r>
      <w:r>
        <w:rPr>
          <w:sz w:val="24"/>
        </w:rPr>
        <w:t>(4)</w:t>
      </w:r>
      <w:r>
        <w:rPr>
          <w:spacing w:val="-5"/>
          <w:sz w:val="24"/>
        </w:rPr>
        <w:t> </w:t>
      </w:r>
      <w:r>
        <w:rPr>
          <w:sz w:val="24"/>
        </w:rPr>
        <w:t>revised</w:t>
      </w:r>
      <w:r>
        <w:rPr>
          <w:spacing w:val="-4"/>
          <w:sz w:val="24"/>
        </w:rPr>
        <w:t> </w:t>
      </w:r>
      <w:r>
        <w:rPr>
          <w:sz w:val="24"/>
        </w:rPr>
        <w:t>language</w:t>
      </w:r>
      <w:r>
        <w:rPr>
          <w:spacing w:val="-4"/>
          <w:sz w:val="24"/>
        </w:rPr>
        <w:t> </w:t>
      </w:r>
      <w:r>
        <w:rPr>
          <w:sz w:val="24"/>
        </w:rPr>
        <w:t>to</w:t>
      </w:r>
      <w:r>
        <w:rPr>
          <w:spacing w:val="-4"/>
          <w:sz w:val="24"/>
        </w:rPr>
        <w:t> </w:t>
      </w:r>
      <w:r>
        <w:rPr>
          <w:sz w:val="24"/>
        </w:rPr>
        <w:t>state</w:t>
      </w:r>
      <w:r>
        <w:rPr>
          <w:spacing w:val="-4"/>
          <w:sz w:val="24"/>
        </w:rPr>
        <w:t> </w:t>
      </w:r>
      <w:r>
        <w:rPr>
          <w:sz w:val="24"/>
        </w:rPr>
        <w:t>Post-employment services are to be provided under an amended IPE and a eligibility -re- determination is not required. Section (b) (3) is revoked. Section (c) is being revoked and rule is renumbered accordingly.</w:t>
      </w:r>
    </w:p>
    <w:p>
      <w:pPr>
        <w:pStyle w:val="ListParagraph"/>
        <w:spacing w:after="0" w:line="240" w:lineRule="auto"/>
        <w:jc w:val="left"/>
        <w:rPr>
          <w:sz w:val="24"/>
        </w:rPr>
        <w:sectPr>
          <w:pgSz w:w="12240" w:h="15840"/>
          <w:pgMar w:top="1360" w:bottom="280" w:left="1080" w:right="720"/>
        </w:sectPr>
      </w:pPr>
    </w:p>
    <w:p>
      <w:pPr>
        <w:pStyle w:val="Heading2"/>
      </w:pPr>
      <w:bookmarkStart w:name="612:10-7-63. Post-Employment services co" w:id="152"/>
      <w:bookmarkEnd w:id="152"/>
      <w:r>
        <w:rPr>
          <w:b w:val="0"/>
        </w:rPr>
      </w:r>
      <w:r>
        <w:rPr/>
        <w:t>612:10-7-63.</w:t>
      </w:r>
      <w:r>
        <w:rPr>
          <w:spacing w:val="-7"/>
        </w:rPr>
        <w:t> </w:t>
      </w:r>
      <w:r>
        <w:rPr/>
        <w:t>Post-Employment</w:t>
      </w:r>
      <w:r>
        <w:rPr>
          <w:spacing w:val="-6"/>
        </w:rPr>
        <w:t> </w:t>
      </w:r>
      <w:r>
        <w:rPr/>
        <w:t>services</w:t>
      </w:r>
      <w:r>
        <w:rPr>
          <w:spacing w:val="-8"/>
        </w:rPr>
        <w:t> </w:t>
      </w:r>
      <w:r>
        <w:rPr>
          <w:spacing w:val="-2"/>
        </w:rPr>
        <w:t>completed</w:t>
      </w:r>
    </w:p>
    <w:p>
      <w:pPr>
        <w:pStyle w:val="ListParagraph"/>
        <w:numPr>
          <w:ilvl w:val="0"/>
          <w:numId w:val="158"/>
        </w:numPr>
        <w:tabs>
          <w:tab w:pos="786" w:val="left" w:leader="none"/>
        </w:tabs>
        <w:spacing w:line="208" w:lineRule="auto" w:before="233" w:after="0"/>
        <w:ind w:left="360" w:right="792" w:firstLine="0"/>
        <w:jc w:val="left"/>
        <w:rPr>
          <w:b/>
          <w:sz w:val="24"/>
        </w:rPr>
      </w:pPr>
      <w:r>
        <w:rPr>
          <w:b/>
          <w:sz w:val="24"/>
        </w:rPr>
        <w:t>Post-Employment services completed. </w:t>
      </w:r>
      <w:r>
        <w:rPr>
          <w:sz w:val="24"/>
        </w:rPr>
        <w:t>The case can be closed as soon as the services</w:t>
      </w:r>
      <w:r>
        <w:rPr>
          <w:spacing w:val="-4"/>
          <w:sz w:val="24"/>
        </w:rPr>
        <w:t> </w:t>
      </w:r>
      <w:r>
        <w:rPr>
          <w:sz w:val="24"/>
        </w:rPr>
        <w:t>in</w:t>
      </w:r>
      <w:r>
        <w:rPr>
          <w:spacing w:val="-4"/>
          <w:sz w:val="24"/>
        </w:rPr>
        <w:t> </w:t>
      </w:r>
      <w:r>
        <w:rPr>
          <w:sz w:val="24"/>
        </w:rPr>
        <w:t>the</w:t>
      </w:r>
      <w:r>
        <w:rPr>
          <w:spacing w:val="-4"/>
          <w:sz w:val="24"/>
        </w:rPr>
        <w:t> </w:t>
      </w:r>
      <w:r>
        <w:rPr>
          <w:sz w:val="24"/>
        </w:rPr>
        <w:t>Post-Employment</w:t>
      </w:r>
      <w:r>
        <w:rPr>
          <w:spacing w:val="-3"/>
          <w:sz w:val="24"/>
        </w:rPr>
        <w:t> </w:t>
      </w:r>
      <w:r>
        <w:rPr>
          <w:sz w:val="24"/>
        </w:rPr>
        <w:t>Services</w:t>
      </w:r>
      <w:r>
        <w:rPr>
          <w:spacing w:val="-4"/>
          <w:sz w:val="24"/>
        </w:rPr>
        <w:t> </w:t>
      </w:r>
      <w:r>
        <w:rPr>
          <w:sz w:val="24"/>
        </w:rPr>
        <w:t>amendment</w:t>
      </w:r>
      <w:r>
        <w:rPr>
          <w:spacing w:val="-5"/>
          <w:sz w:val="24"/>
        </w:rPr>
        <w:t> </w:t>
      </w:r>
      <w:r>
        <w:rPr>
          <w:sz w:val="24"/>
        </w:rPr>
        <w:t>have</w:t>
      </w:r>
      <w:r>
        <w:rPr>
          <w:spacing w:val="-4"/>
          <w:sz w:val="24"/>
        </w:rPr>
        <w:t> </w:t>
      </w:r>
      <w:r>
        <w:rPr>
          <w:sz w:val="24"/>
        </w:rPr>
        <w:t>been</w:t>
      </w:r>
      <w:r>
        <w:rPr>
          <w:spacing w:val="-3"/>
          <w:sz w:val="24"/>
        </w:rPr>
        <w:t> </w:t>
      </w:r>
      <w:r>
        <w:rPr>
          <w:sz w:val="24"/>
        </w:rPr>
        <w:t>completed</w:t>
      </w:r>
      <w:r>
        <w:rPr>
          <w:spacing w:val="-4"/>
          <w:sz w:val="24"/>
        </w:rPr>
        <w:t> </w:t>
      </w:r>
      <w:r>
        <w:rPr>
          <w:sz w:val="24"/>
        </w:rPr>
        <w:t>insofar</w:t>
      </w:r>
      <w:r>
        <w:rPr>
          <w:spacing w:val="-3"/>
          <w:sz w:val="24"/>
        </w:rPr>
        <w:t> </w:t>
      </w:r>
      <w:r>
        <w:rPr>
          <w:sz w:val="24"/>
        </w:rPr>
        <w:t>as possible and the client has been consulted regarding the closure decision. </w:t>
      </w:r>
      <w:r>
        <w:rPr>
          <w:b/>
          <w:sz w:val="24"/>
        </w:rPr>
        <w:t>1</w:t>
      </w:r>
    </w:p>
    <w:p>
      <w:pPr>
        <w:pStyle w:val="ListParagraph"/>
        <w:numPr>
          <w:ilvl w:val="0"/>
          <w:numId w:val="158"/>
        </w:numPr>
        <w:tabs>
          <w:tab w:pos="786" w:val="left" w:leader="none"/>
        </w:tabs>
        <w:spacing w:line="208" w:lineRule="auto" w:before="240" w:after="0"/>
        <w:ind w:left="360" w:right="1716" w:firstLine="0"/>
        <w:jc w:val="left"/>
        <w:rPr>
          <w:b/>
          <w:sz w:val="24"/>
        </w:rPr>
      </w:pPr>
      <w:r>
        <w:rPr>
          <w:b/>
          <w:sz w:val="24"/>
        </w:rPr>
        <w:t>Case</w:t>
      </w:r>
      <w:r>
        <w:rPr>
          <w:b/>
          <w:spacing w:val="-6"/>
          <w:sz w:val="24"/>
        </w:rPr>
        <w:t> </w:t>
      </w:r>
      <w:r>
        <w:rPr>
          <w:b/>
          <w:sz w:val="24"/>
        </w:rPr>
        <w:t>recording</w:t>
      </w:r>
      <w:r>
        <w:rPr>
          <w:b/>
          <w:spacing w:val="-6"/>
          <w:sz w:val="24"/>
        </w:rPr>
        <w:t> </w:t>
      </w:r>
      <w:r>
        <w:rPr>
          <w:b/>
          <w:sz w:val="24"/>
        </w:rPr>
        <w:t>requirements.</w:t>
      </w:r>
      <w:r>
        <w:rPr>
          <w:b/>
          <w:spacing w:val="-6"/>
          <w:sz w:val="24"/>
        </w:rPr>
        <w:t> </w:t>
      </w:r>
      <w:r>
        <w:rPr>
          <w:sz w:val="24"/>
        </w:rPr>
        <w:t>Closure</w:t>
      </w:r>
      <w:r>
        <w:rPr>
          <w:spacing w:val="-6"/>
          <w:sz w:val="24"/>
        </w:rPr>
        <w:t> </w:t>
      </w:r>
      <w:r>
        <w:rPr>
          <w:sz w:val="24"/>
        </w:rPr>
        <w:t>from</w:t>
      </w:r>
      <w:r>
        <w:rPr>
          <w:spacing w:val="-7"/>
          <w:sz w:val="24"/>
        </w:rPr>
        <w:t> </w:t>
      </w:r>
      <w:r>
        <w:rPr>
          <w:sz w:val="24"/>
        </w:rPr>
        <w:t>post-employment</w:t>
      </w:r>
      <w:r>
        <w:rPr>
          <w:spacing w:val="-6"/>
          <w:sz w:val="24"/>
        </w:rPr>
        <w:t> </w:t>
      </w:r>
      <w:r>
        <w:rPr>
          <w:sz w:val="24"/>
        </w:rPr>
        <w:t>services</w:t>
      </w:r>
      <w:r>
        <w:rPr>
          <w:spacing w:val="-7"/>
          <w:sz w:val="24"/>
        </w:rPr>
        <w:t> </w:t>
      </w:r>
      <w:r>
        <w:rPr>
          <w:sz w:val="24"/>
        </w:rPr>
        <w:t>is documented in the case record and in a closure letter given to the client. </w:t>
      </w:r>
      <w:r>
        <w:rPr>
          <w:b/>
          <w:sz w:val="24"/>
        </w:rPr>
        <w:t>2</w:t>
      </w:r>
    </w:p>
    <w:p>
      <w:pPr>
        <w:pStyle w:val="BodyText"/>
        <w:spacing w:before="210"/>
      </w:pPr>
      <w:r>
        <w:rPr/>
        <w:t>INSTRUCTIONS</w:t>
      </w:r>
      <w:r>
        <w:rPr>
          <w:spacing w:val="-3"/>
        </w:rPr>
        <w:t> </w:t>
      </w:r>
      <w:r>
        <w:rPr/>
        <w:t>TO</w:t>
      </w:r>
      <w:r>
        <w:rPr>
          <w:spacing w:val="-2"/>
        </w:rPr>
        <w:t> </w:t>
      </w:r>
      <w:r>
        <w:rPr>
          <w:spacing w:val="-4"/>
        </w:rPr>
        <w:t>STAFF</w:t>
      </w:r>
    </w:p>
    <w:p>
      <w:pPr>
        <w:pStyle w:val="ListParagraph"/>
        <w:numPr>
          <w:ilvl w:val="1"/>
          <w:numId w:val="158"/>
        </w:numPr>
        <w:tabs>
          <w:tab w:pos="1078" w:val="left" w:leader="none"/>
        </w:tabs>
        <w:spacing w:line="208" w:lineRule="auto" w:before="233" w:after="0"/>
        <w:ind w:left="792" w:right="1099" w:firstLine="0"/>
        <w:jc w:val="left"/>
        <w:rPr>
          <w:sz w:val="24"/>
        </w:rPr>
      </w:pPr>
      <w:r>
        <w:rPr>
          <w:sz w:val="24"/>
        </w:rPr>
        <w:t>Before</w:t>
      </w:r>
      <w:r>
        <w:rPr>
          <w:spacing w:val="-4"/>
          <w:sz w:val="24"/>
        </w:rPr>
        <w:t> </w:t>
      </w:r>
      <w:r>
        <w:rPr>
          <w:sz w:val="24"/>
        </w:rPr>
        <w:t>the</w:t>
      </w:r>
      <w:r>
        <w:rPr>
          <w:spacing w:val="-5"/>
          <w:sz w:val="24"/>
        </w:rPr>
        <w:t> </w:t>
      </w:r>
      <w:r>
        <w:rPr>
          <w:sz w:val="24"/>
        </w:rPr>
        <w:t>case</w:t>
      </w:r>
      <w:r>
        <w:rPr>
          <w:spacing w:val="-4"/>
          <w:sz w:val="24"/>
        </w:rPr>
        <w:t> </w:t>
      </w:r>
      <w:r>
        <w:rPr>
          <w:sz w:val="24"/>
        </w:rPr>
        <w:t>is</w:t>
      </w:r>
      <w:r>
        <w:rPr>
          <w:spacing w:val="-4"/>
          <w:sz w:val="24"/>
        </w:rPr>
        <w:t> </w:t>
      </w:r>
      <w:r>
        <w:rPr>
          <w:sz w:val="24"/>
        </w:rPr>
        <w:t>closed,</w:t>
      </w:r>
      <w:r>
        <w:rPr>
          <w:spacing w:val="-3"/>
          <w:sz w:val="24"/>
        </w:rPr>
        <w:t> </w:t>
      </w:r>
      <w:r>
        <w:rPr>
          <w:sz w:val="24"/>
        </w:rPr>
        <w:t>all</w:t>
      </w:r>
      <w:r>
        <w:rPr>
          <w:spacing w:val="-4"/>
          <w:sz w:val="24"/>
        </w:rPr>
        <w:t> </w:t>
      </w:r>
      <w:r>
        <w:rPr>
          <w:sz w:val="24"/>
        </w:rPr>
        <w:t>unliquidated</w:t>
      </w:r>
      <w:r>
        <w:rPr>
          <w:spacing w:val="-4"/>
          <w:sz w:val="24"/>
        </w:rPr>
        <w:t> </w:t>
      </w:r>
      <w:r>
        <w:rPr>
          <w:sz w:val="24"/>
        </w:rPr>
        <w:t>authorizations</w:t>
      </w:r>
      <w:r>
        <w:rPr>
          <w:spacing w:val="-4"/>
          <w:sz w:val="24"/>
        </w:rPr>
        <w:t> </w:t>
      </w:r>
      <w:r>
        <w:rPr>
          <w:sz w:val="24"/>
        </w:rPr>
        <w:t>must</w:t>
      </w:r>
      <w:r>
        <w:rPr>
          <w:spacing w:val="-3"/>
          <w:sz w:val="24"/>
        </w:rPr>
        <w:t> </w:t>
      </w:r>
      <w:r>
        <w:rPr>
          <w:sz w:val="24"/>
        </w:rPr>
        <w:t>be</w:t>
      </w:r>
      <w:r>
        <w:rPr>
          <w:spacing w:val="-5"/>
          <w:sz w:val="24"/>
        </w:rPr>
        <w:t> </w:t>
      </w:r>
      <w:r>
        <w:rPr>
          <w:sz w:val="24"/>
        </w:rPr>
        <w:t>cancelled</w:t>
      </w:r>
      <w:r>
        <w:rPr>
          <w:spacing w:val="-4"/>
          <w:sz w:val="24"/>
        </w:rPr>
        <w:t> </w:t>
      </w:r>
      <w:r>
        <w:rPr>
          <w:sz w:val="24"/>
        </w:rPr>
        <w:t>or accounted for to determine if a claim will be made against any outstanding </w:t>
      </w:r>
      <w:r>
        <w:rPr>
          <w:spacing w:val="-2"/>
          <w:sz w:val="24"/>
        </w:rPr>
        <w:t>authorization.</w:t>
      </w:r>
    </w:p>
    <w:p>
      <w:pPr>
        <w:pStyle w:val="ListParagraph"/>
        <w:numPr>
          <w:ilvl w:val="1"/>
          <w:numId w:val="158"/>
        </w:numPr>
        <w:tabs>
          <w:tab w:pos="286" w:val="left" w:leader="none"/>
        </w:tabs>
        <w:spacing w:line="240" w:lineRule="auto" w:before="211" w:after="0"/>
        <w:ind w:left="286" w:right="1622" w:hanging="286"/>
        <w:jc w:val="right"/>
        <w:rPr>
          <w:sz w:val="24"/>
        </w:rPr>
      </w:pPr>
      <w:r>
        <w:rPr>
          <w:sz w:val="24"/>
        </w:rPr>
        <w:t>For</w:t>
      </w:r>
      <w:r>
        <w:rPr>
          <w:spacing w:val="-5"/>
          <w:sz w:val="24"/>
        </w:rPr>
        <w:t> </w:t>
      </w:r>
      <w:r>
        <w:rPr>
          <w:sz w:val="24"/>
        </w:rPr>
        <w:t>post-employment</w:t>
      </w:r>
      <w:r>
        <w:rPr>
          <w:spacing w:val="-2"/>
          <w:sz w:val="24"/>
        </w:rPr>
        <w:t> </w:t>
      </w:r>
      <w:r>
        <w:rPr>
          <w:sz w:val="24"/>
        </w:rPr>
        <w:t>services</w:t>
      </w:r>
      <w:r>
        <w:rPr>
          <w:spacing w:val="-4"/>
          <w:sz w:val="24"/>
        </w:rPr>
        <w:t> </w:t>
      </w:r>
      <w:r>
        <w:rPr>
          <w:sz w:val="24"/>
        </w:rPr>
        <w:t>closure</w:t>
      </w:r>
      <w:r>
        <w:rPr>
          <w:spacing w:val="-3"/>
          <w:sz w:val="24"/>
        </w:rPr>
        <w:t> </w:t>
      </w:r>
      <w:r>
        <w:rPr>
          <w:sz w:val="24"/>
        </w:rPr>
        <w:t>the</w:t>
      </w:r>
      <w:r>
        <w:rPr>
          <w:spacing w:val="-3"/>
          <w:sz w:val="24"/>
        </w:rPr>
        <w:t> </w:t>
      </w:r>
      <w:r>
        <w:rPr>
          <w:sz w:val="24"/>
        </w:rPr>
        <w:t>case</w:t>
      </w:r>
      <w:r>
        <w:rPr>
          <w:spacing w:val="-4"/>
          <w:sz w:val="24"/>
        </w:rPr>
        <w:t> </w:t>
      </w:r>
      <w:r>
        <w:rPr>
          <w:sz w:val="24"/>
        </w:rPr>
        <w:t>record</w:t>
      </w:r>
      <w:r>
        <w:rPr>
          <w:spacing w:val="-4"/>
          <w:sz w:val="24"/>
        </w:rPr>
        <w:t> </w:t>
      </w:r>
      <w:r>
        <w:rPr>
          <w:sz w:val="24"/>
        </w:rPr>
        <w:t>should</w:t>
      </w:r>
      <w:r>
        <w:rPr>
          <w:spacing w:val="-3"/>
          <w:sz w:val="24"/>
        </w:rPr>
        <w:t> </w:t>
      </w:r>
      <w:r>
        <w:rPr>
          <w:spacing w:val="-2"/>
          <w:sz w:val="24"/>
        </w:rPr>
        <w:t>document:</w:t>
      </w:r>
    </w:p>
    <w:p>
      <w:pPr>
        <w:pStyle w:val="ListParagraph"/>
        <w:numPr>
          <w:ilvl w:val="2"/>
          <w:numId w:val="158"/>
        </w:numPr>
        <w:tabs>
          <w:tab w:pos="453" w:val="left" w:leader="none"/>
        </w:tabs>
        <w:spacing w:line="240" w:lineRule="auto" w:before="204" w:after="0"/>
        <w:ind w:left="453" w:right="1560" w:hanging="453"/>
        <w:jc w:val="right"/>
        <w:rPr>
          <w:sz w:val="24"/>
        </w:rPr>
      </w:pPr>
      <w:r>
        <w:rPr>
          <w:sz w:val="24"/>
        </w:rPr>
        <w:t>The</w:t>
      </w:r>
      <w:r>
        <w:rPr>
          <w:spacing w:val="-6"/>
          <w:sz w:val="24"/>
        </w:rPr>
        <w:t> </w:t>
      </w:r>
      <w:r>
        <w:rPr>
          <w:sz w:val="24"/>
        </w:rPr>
        <w:t>problem</w:t>
      </w:r>
      <w:r>
        <w:rPr>
          <w:spacing w:val="-4"/>
          <w:sz w:val="24"/>
        </w:rPr>
        <w:t> </w:t>
      </w:r>
      <w:r>
        <w:rPr>
          <w:sz w:val="24"/>
        </w:rPr>
        <w:t>which</w:t>
      </w:r>
      <w:r>
        <w:rPr>
          <w:spacing w:val="-3"/>
          <w:sz w:val="24"/>
        </w:rPr>
        <w:t> </w:t>
      </w:r>
      <w:r>
        <w:rPr>
          <w:sz w:val="24"/>
        </w:rPr>
        <w:t>required</w:t>
      </w:r>
      <w:r>
        <w:rPr>
          <w:spacing w:val="-4"/>
          <w:sz w:val="24"/>
        </w:rPr>
        <w:t> </w:t>
      </w:r>
      <w:r>
        <w:rPr>
          <w:sz w:val="24"/>
        </w:rPr>
        <w:t>post-employment</w:t>
      </w:r>
      <w:r>
        <w:rPr>
          <w:spacing w:val="-4"/>
          <w:sz w:val="24"/>
        </w:rPr>
        <w:t> </w:t>
      </w:r>
      <w:r>
        <w:rPr>
          <w:sz w:val="24"/>
        </w:rPr>
        <w:t>services</w:t>
      </w:r>
      <w:r>
        <w:rPr>
          <w:spacing w:val="-4"/>
          <w:sz w:val="24"/>
        </w:rPr>
        <w:t> </w:t>
      </w:r>
      <w:r>
        <w:rPr>
          <w:sz w:val="24"/>
        </w:rPr>
        <w:t>is</w:t>
      </w:r>
      <w:r>
        <w:rPr>
          <w:spacing w:val="-3"/>
          <w:sz w:val="24"/>
        </w:rPr>
        <w:t> </w:t>
      </w:r>
      <w:r>
        <w:rPr>
          <w:spacing w:val="-2"/>
          <w:sz w:val="24"/>
        </w:rPr>
        <w:t>remedied.</w:t>
      </w:r>
    </w:p>
    <w:p>
      <w:pPr>
        <w:pStyle w:val="ListParagraph"/>
        <w:numPr>
          <w:ilvl w:val="2"/>
          <w:numId w:val="158"/>
        </w:numPr>
        <w:tabs>
          <w:tab w:pos="1676" w:val="left" w:leader="none"/>
        </w:tabs>
        <w:spacing w:line="208" w:lineRule="auto" w:before="233" w:after="0"/>
        <w:ind w:left="1223" w:right="1472" w:firstLine="0"/>
        <w:jc w:val="left"/>
        <w:rPr>
          <w:sz w:val="24"/>
        </w:rPr>
      </w:pPr>
      <w:r>
        <w:rPr>
          <w:sz w:val="24"/>
        </w:rPr>
        <w:t>The client has attained sufficient independence to function without continuing</w:t>
      </w:r>
      <w:r>
        <w:rPr>
          <w:spacing w:val="-5"/>
          <w:sz w:val="24"/>
        </w:rPr>
        <w:t> </w:t>
      </w:r>
      <w:r>
        <w:rPr>
          <w:sz w:val="24"/>
        </w:rPr>
        <w:t>services,</w:t>
      </w:r>
      <w:r>
        <w:rPr>
          <w:spacing w:val="-4"/>
          <w:sz w:val="24"/>
        </w:rPr>
        <w:t> </w:t>
      </w:r>
      <w:r>
        <w:rPr>
          <w:sz w:val="24"/>
        </w:rPr>
        <w:t>or</w:t>
      </w:r>
      <w:r>
        <w:rPr>
          <w:spacing w:val="-6"/>
          <w:sz w:val="24"/>
        </w:rPr>
        <w:t> </w:t>
      </w:r>
      <w:r>
        <w:rPr>
          <w:sz w:val="24"/>
        </w:rPr>
        <w:t>in</w:t>
      </w:r>
      <w:r>
        <w:rPr>
          <w:spacing w:val="-5"/>
          <w:sz w:val="24"/>
        </w:rPr>
        <w:t> </w:t>
      </w:r>
      <w:r>
        <w:rPr>
          <w:sz w:val="24"/>
        </w:rPr>
        <w:t>the</w:t>
      </w:r>
      <w:r>
        <w:rPr>
          <w:spacing w:val="-5"/>
          <w:sz w:val="24"/>
        </w:rPr>
        <w:t> </w:t>
      </w:r>
      <w:r>
        <w:rPr>
          <w:sz w:val="24"/>
        </w:rPr>
        <w:t>counselor's</w:t>
      </w:r>
      <w:r>
        <w:rPr>
          <w:spacing w:val="-5"/>
          <w:sz w:val="24"/>
        </w:rPr>
        <w:t> </w:t>
      </w:r>
      <w:r>
        <w:rPr>
          <w:sz w:val="24"/>
        </w:rPr>
        <w:t>professional</w:t>
      </w:r>
      <w:r>
        <w:rPr>
          <w:spacing w:val="-5"/>
          <w:sz w:val="24"/>
        </w:rPr>
        <w:t> </w:t>
      </w:r>
      <w:r>
        <w:rPr>
          <w:sz w:val="24"/>
        </w:rPr>
        <w:t>judgment,</w:t>
      </w:r>
      <w:r>
        <w:rPr>
          <w:spacing w:val="-4"/>
          <w:sz w:val="24"/>
        </w:rPr>
        <w:t> </w:t>
      </w:r>
      <w:r>
        <w:rPr>
          <w:sz w:val="24"/>
        </w:rPr>
        <w:t>services should be discontinued.</w:t>
      </w:r>
    </w:p>
    <w:p>
      <w:pPr>
        <w:pStyle w:val="ListParagraph"/>
        <w:numPr>
          <w:ilvl w:val="2"/>
          <w:numId w:val="158"/>
        </w:numPr>
        <w:tabs>
          <w:tab w:pos="1689" w:val="left" w:leader="none"/>
        </w:tabs>
        <w:spacing w:line="208" w:lineRule="auto" w:before="240" w:after="0"/>
        <w:ind w:left="1223" w:right="1288" w:firstLine="0"/>
        <w:jc w:val="left"/>
        <w:rPr>
          <w:sz w:val="24"/>
        </w:rPr>
      </w:pPr>
      <w:r>
        <w:rPr>
          <w:sz w:val="24"/>
        </w:rPr>
        <w:t>Employment</w:t>
      </w:r>
      <w:r>
        <w:rPr>
          <w:spacing w:val="-2"/>
          <w:sz w:val="24"/>
        </w:rPr>
        <w:t> </w:t>
      </w:r>
      <w:r>
        <w:rPr>
          <w:sz w:val="24"/>
        </w:rPr>
        <w:t>appears</w:t>
      </w:r>
      <w:r>
        <w:rPr>
          <w:spacing w:val="-3"/>
          <w:sz w:val="24"/>
        </w:rPr>
        <w:t> </w:t>
      </w:r>
      <w:r>
        <w:rPr>
          <w:sz w:val="24"/>
        </w:rPr>
        <w:t>secure</w:t>
      </w:r>
      <w:r>
        <w:rPr>
          <w:spacing w:val="-3"/>
          <w:sz w:val="24"/>
        </w:rPr>
        <w:t> </w:t>
      </w:r>
      <w:r>
        <w:rPr>
          <w:sz w:val="24"/>
        </w:rPr>
        <w:t>and</w:t>
      </w:r>
      <w:r>
        <w:rPr>
          <w:spacing w:val="-3"/>
          <w:sz w:val="24"/>
        </w:rPr>
        <w:t> </w:t>
      </w:r>
      <w:r>
        <w:rPr>
          <w:sz w:val="24"/>
        </w:rPr>
        <w:t>is</w:t>
      </w:r>
      <w:r>
        <w:rPr>
          <w:spacing w:val="-3"/>
          <w:sz w:val="24"/>
        </w:rPr>
        <w:t> </w:t>
      </w:r>
      <w:r>
        <w:rPr>
          <w:sz w:val="24"/>
        </w:rPr>
        <w:t>at</w:t>
      </w:r>
      <w:r>
        <w:rPr>
          <w:spacing w:val="-4"/>
          <w:sz w:val="24"/>
        </w:rPr>
        <w:t> </w:t>
      </w:r>
      <w:r>
        <w:rPr>
          <w:sz w:val="24"/>
        </w:rPr>
        <w:t>a</w:t>
      </w:r>
      <w:r>
        <w:rPr>
          <w:spacing w:val="-3"/>
          <w:sz w:val="24"/>
        </w:rPr>
        <w:t> </w:t>
      </w:r>
      <w:r>
        <w:rPr>
          <w:sz w:val="24"/>
        </w:rPr>
        <w:t>suitable</w:t>
      </w:r>
      <w:r>
        <w:rPr>
          <w:spacing w:val="-3"/>
          <w:sz w:val="24"/>
        </w:rPr>
        <w:t> </w:t>
      </w:r>
      <w:r>
        <w:rPr>
          <w:sz w:val="24"/>
        </w:rPr>
        <w:t>level</w:t>
      </w:r>
      <w:r>
        <w:rPr>
          <w:spacing w:val="-3"/>
          <w:sz w:val="24"/>
        </w:rPr>
        <w:t> </w:t>
      </w:r>
      <w:r>
        <w:rPr>
          <w:sz w:val="24"/>
        </w:rPr>
        <w:t>in</w:t>
      </w:r>
      <w:r>
        <w:rPr>
          <w:spacing w:val="-3"/>
          <w:sz w:val="24"/>
        </w:rPr>
        <w:t> </w:t>
      </w:r>
      <w:r>
        <w:rPr>
          <w:sz w:val="24"/>
        </w:rPr>
        <w:t>relation</w:t>
      </w:r>
      <w:r>
        <w:rPr>
          <w:spacing w:val="-3"/>
          <w:sz w:val="24"/>
        </w:rPr>
        <w:t> </w:t>
      </w:r>
      <w:r>
        <w:rPr>
          <w:sz w:val="24"/>
        </w:rPr>
        <w:t>to</w:t>
      </w:r>
      <w:r>
        <w:rPr>
          <w:spacing w:val="-3"/>
          <w:sz w:val="24"/>
        </w:rPr>
        <w:t> </w:t>
      </w:r>
      <w:r>
        <w:rPr>
          <w:sz w:val="24"/>
        </w:rPr>
        <w:t>the particular locality and labor market.</w:t>
      </w:r>
    </w:p>
    <w:p>
      <w:pPr>
        <w:pStyle w:val="ListParagraph"/>
        <w:numPr>
          <w:ilvl w:val="2"/>
          <w:numId w:val="158"/>
        </w:numPr>
        <w:tabs>
          <w:tab w:pos="1689" w:val="left" w:leader="none"/>
        </w:tabs>
        <w:spacing w:line="208" w:lineRule="auto" w:before="240" w:after="0"/>
        <w:ind w:left="1223" w:right="1997" w:firstLine="0"/>
        <w:jc w:val="left"/>
        <w:rPr>
          <w:sz w:val="24"/>
        </w:rPr>
      </w:pPr>
      <w:r>
        <w:rPr>
          <w:sz w:val="24"/>
        </w:rPr>
        <w:t>The</w:t>
      </w:r>
      <w:r>
        <w:rPr>
          <w:spacing w:val="-5"/>
          <w:sz w:val="24"/>
        </w:rPr>
        <w:t> </w:t>
      </w:r>
      <w:r>
        <w:rPr>
          <w:sz w:val="24"/>
        </w:rPr>
        <w:t>circumstances</w:t>
      </w:r>
      <w:r>
        <w:rPr>
          <w:spacing w:val="-5"/>
          <w:sz w:val="24"/>
        </w:rPr>
        <w:t> </w:t>
      </w:r>
      <w:r>
        <w:rPr>
          <w:sz w:val="24"/>
        </w:rPr>
        <w:t>become</w:t>
      </w:r>
      <w:r>
        <w:rPr>
          <w:spacing w:val="-5"/>
          <w:sz w:val="24"/>
        </w:rPr>
        <w:t> </w:t>
      </w:r>
      <w:r>
        <w:rPr>
          <w:sz w:val="24"/>
        </w:rPr>
        <w:t>such</w:t>
      </w:r>
      <w:r>
        <w:rPr>
          <w:spacing w:val="-5"/>
          <w:sz w:val="24"/>
        </w:rPr>
        <w:t> </w:t>
      </w:r>
      <w:r>
        <w:rPr>
          <w:sz w:val="24"/>
        </w:rPr>
        <w:t>that</w:t>
      </w:r>
      <w:r>
        <w:rPr>
          <w:spacing w:val="-4"/>
          <w:sz w:val="24"/>
        </w:rPr>
        <w:t> </w:t>
      </w:r>
      <w:r>
        <w:rPr>
          <w:sz w:val="24"/>
        </w:rPr>
        <w:t>further</w:t>
      </w:r>
      <w:r>
        <w:rPr>
          <w:spacing w:val="-4"/>
          <w:sz w:val="24"/>
        </w:rPr>
        <w:t> </w:t>
      </w:r>
      <w:r>
        <w:rPr>
          <w:sz w:val="24"/>
        </w:rPr>
        <w:t>services</w:t>
      </w:r>
      <w:r>
        <w:rPr>
          <w:spacing w:val="-5"/>
          <w:sz w:val="24"/>
        </w:rPr>
        <w:t> </w:t>
      </w:r>
      <w:r>
        <w:rPr>
          <w:sz w:val="24"/>
        </w:rPr>
        <w:t>of</w:t>
      </w:r>
      <w:r>
        <w:rPr>
          <w:spacing w:val="-4"/>
          <w:sz w:val="24"/>
        </w:rPr>
        <w:t> </w:t>
      </w:r>
      <w:r>
        <w:rPr>
          <w:sz w:val="24"/>
        </w:rPr>
        <w:t>a</w:t>
      </w:r>
      <w:r>
        <w:rPr>
          <w:spacing w:val="-5"/>
          <w:sz w:val="24"/>
        </w:rPr>
        <w:t> </w:t>
      </w:r>
      <w:r>
        <w:rPr>
          <w:sz w:val="24"/>
        </w:rPr>
        <w:t>post- employment nature cannot help the client maintain employment.</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8-1-96</w:t>
      </w:r>
      <w:r>
        <w:rPr>
          <w:sz w:val="22"/>
        </w:rPr>
        <w:tab/>
        <w:t>PT Memo #97-2</w:t>
      </w:r>
    </w:p>
    <w:p>
      <w:pPr>
        <w:tabs>
          <w:tab w:pos="1439" w:val="left" w:leader="none"/>
        </w:tabs>
        <w:spacing w:before="0"/>
        <w:ind w:left="359" w:right="4877" w:firstLine="1080"/>
        <w:jc w:val="left"/>
        <w:rPr>
          <w:sz w:val="22"/>
        </w:rPr>
      </w:pPr>
      <w:r>
        <w:rPr>
          <w:sz w:val="22"/>
        </w:rPr>
        <w:t>Permanent,</w:t>
      </w:r>
      <w:r>
        <w:rPr>
          <w:spacing w:val="-12"/>
          <w:sz w:val="22"/>
        </w:rPr>
        <w:t> </w:t>
      </w:r>
      <w:r>
        <w:rPr>
          <w:sz w:val="22"/>
        </w:rPr>
        <w:t>corrected</w:t>
      </w:r>
      <w:r>
        <w:rPr>
          <w:spacing w:val="-13"/>
          <w:sz w:val="22"/>
        </w:rPr>
        <w:t> </w:t>
      </w:r>
      <w:r>
        <w:rPr>
          <w:sz w:val="22"/>
        </w:rPr>
        <w:t>typographical</w:t>
      </w:r>
      <w:r>
        <w:rPr>
          <w:spacing w:val="-14"/>
          <w:sz w:val="22"/>
        </w:rPr>
        <w:t> </w:t>
      </w:r>
      <w:r>
        <w:rPr>
          <w:sz w:val="22"/>
        </w:rPr>
        <w:t>errors </w:t>
      </w:r>
      <w:r>
        <w:rPr>
          <w:spacing w:val="-2"/>
          <w:sz w:val="22"/>
        </w:rPr>
        <w:t>7-1-97</w:t>
      </w:r>
      <w:r>
        <w:rPr>
          <w:sz w:val="22"/>
        </w:rPr>
        <w:tab/>
        <w:t>PT Memo #97-9</w:t>
      </w:r>
    </w:p>
    <w:p>
      <w:pPr>
        <w:tabs>
          <w:tab w:pos="1439" w:val="left" w:leader="none"/>
        </w:tabs>
        <w:spacing w:before="0"/>
        <w:ind w:left="359" w:right="3656" w:firstLine="1080"/>
        <w:jc w:val="left"/>
        <w:rPr>
          <w:sz w:val="22"/>
        </w:rPr>
      </w:pPr>
      <w:r>
        <w:rPr>
          <w:sz w:val="22"/>
        </w:rPr>
        <w:t>ITS,</w:t>
      </w:r>
      <w:r>
        <w:rPr>
          <w:spacing w:val="-7"/>
          <w:sz w:val="22"/>
        </w:rPr>
        <w:t> </w:t>
      </w:r>
      <w:r>
        <w:rPr>
          <w:sz w:val="22"/>
        </w:rPr>
        <w:t>allow</w:t>
      </w:r>
      <w:r>
        <w:rPr>
          <w:spacing w:val="-8"/>
          <w:sz w:val="22"/>
        </w:rPr>
        <w:t> </w:t>
      </w:r>
      <w:r>
        <w:rPr>
          <w:sz w:val="22"/>
        </w:rPr>
        <w:t>case</w:t>
      </w:r>
      <w:r>
        <w:rPr>
          <w:spacing w:val="-7"/>
          <w:sz w:val="22"/>
        </w:rPr>
        <w:t> </w:t>
      </w:r>
      <w:r>
        <w:rPr>
          <w:sz w:val="22"/>
        </w:rPr>
        <w:t>closure</w:t>
      </w:r>
      <w:r>
        <w:rPr>
          <w:spacing w:val="-8"/>
          <w:sz w:val="22"/>
        </w:rPr>
        <w:t> </w:t>
      </w:r>
      <w:r>
        <w:rPr>
          <w:sz w:val="22"/>
        </w:rPr>
        <w:t>with</w:t>
      </w:r>
      <w:r>
        <w:rPr>
          <w:spacing w:val="-7"/>
          <w:sz w:val="22"/>
        </w:rPr>
        <w:t> </w:t>
      </w:r>
      <w:r>
        <w:rPr>
          <w:sz w:val="22"/>
        </w:rPr>
        <w:t>outstanding</w:t>
      </w:r>
      <w:r>
        <w:rPr>
          <w:spacing w:val="-7"/>
          <w:sz w:val="22"/>
        </w:rPr>
        <w:t> </w:t>
      </w:r>
      <w:r>
        <w:rPr>
          <w:sz w:val="22"/>
        </w:rPr>
        <w:t>authorizations </w:t>
      </w:r>
      <w:r>
        <w:rPr>
          <w:spacing w:val="-2"/>
          <w:sz w:val="22"/>
        </w:rPr>
        <w:t>6-14-99</w:t>
      </w:r>
      <w:r>
        <w:rPr>
          <w:sz w:val="22"/>
        </w:rPr>
        <w:tab/>
        <w:t>POL Memo #99-7</w:t>
      </w:r>
    </w:p>
    <w:p>
      <w:pPr>
        <w:tabs>
          <w:tab w:pos="1439" w:val="left" w:leader="none"/>
        </w:tabs>
        <w:spacing w:before="0"/>
        <w:ind w:left="359" w:right="5832" w:firstLine="1080"/>
        <w:jc w:val="left"/>
        <w:rPr>
          <w:sz w:val="22"/>
        </w:rPr>
      </w:pPr>
      <w:r>
        <w:rPr>
          <w:sz w:val="22"/>
        </w:rPr>
        <w:t>Emergency,</w:t>
      </w:r>
      <w:r>
        <w:rPr>
          <w:spacing w:val="-10"/>
          <w:sz w:val="22"/>
        </w:rPr>
        <w:t> </w:t>
      </w:r>
      <w:r>
        <w:rPr>
          <w:sz w:val="22"/>
        </w:rPr>
        <w:t>changed</w:t>
      </w:r>
      <w:r>
        <w:rPr>
          <w:spacing w:val="-10"/>
          <w:sz w:val="22"/>
        </w:rPr>
        <w:t> </w:t>
      </w:r>
      <w:r>
        <w:rPr>
          <w:sz w:val="22"/>
        </w:rPr>
        <w:t>IRP</w:t>
      </w:r>
      <w:r>
        <w:rPr>
          <w:spacing w:val="-10"/>
          <w:sz w:val="22"/>
        </w:rPr>
        <w:t> </w:t>
      </w:r>
      <w:r>
        <w:rPr>
          <w:sz w:val="22"/>
        </w:rPr>
        <w:t>to</w:t>
      </w:r>
      <w:r>
        <w:rPr>
          <w:spacing w:val="-10"/>
          <w:sz w:val="22"/>
        </w:rPr>
        <w:t> </w:t>
      </w:r>
      <w:r>
        <w:rPr>
          <w:sz w:val="22"/>
        </w:rPr>
        <w:t>IPE </w:t>
      </w:r>
      <w:r>
        <w:rPr>
          <w:spacing w:val="-2"/>
          <w:sz w:val="22"/>
        </w:rPr>
        <w:t>7-1-99</w:t>
      </w:r>
      <w:r>
        <w:rPr>
          <w:sz w:val="22"/>
        </w:rPr>
        <w:tab/>
        <w:t>POL Memo #00-1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10-1-07</w:t>
      </w:r>
      <w:r>
        <w:rPr>
          <w:sz w:val="22"/>
        </w:rPr>
        <w:tab/>
        <w:t>PT Memo #08-02</w:t>
      </w:r>
    </w:p>
    <w:p>
      <w:pPr>
        <w:spacing w:line="252" w:lineRule="exact" w:before="0"/>
        <w:ind w:left="1439" w:right="0" w:firstLine="0"/>
        <w:jc w:val="left"/>
        <w:rPr>
          <w:sz w:val="22"/>
        </w:rPr>
      </w:pPr>
      <w:r>
        <w:rPr>
          <w:sz w:val="22"/>
        </w:rPr>
        <w:t>Permanent,</w:t>
      </w:r>
      <w:r>
        <w:rPr>
          <w:spacing w:val="-8"/>
          <w:sz w:val="22"/>
        </w:rPr>
        <w:t> </w:t>
      </w:r>
      <w:r>
        <w:rPr>
          <w:sz w:val="22"/>
        </w:rPr>
        <w:t>AWARE</w:t>
      </w:r>
      <w:r>
        <w:rPr>
          <w:spacing w:val="-8"/>
          <w:sz w:val="22"/>
        </w:rPr>
        <w:t> </w:t>
      </w:r>
      <w:r>
        <w:rPr>
          <w:sz w:val="22"/>
        </w:rPr>
        <w:t>change.</w:t>
      </w:r>
      <w:r>
        <w:rPr>
          <w:spacing w:val="45"/>
          <w:sz w:val="22"/>
        </w:rPr>
        <w:t> </w:t>
      </w:r>
      <w:r>
        <w:rPr>
          <w:sz w:val="22"/>
        </w:rPr>
        <w:t>Removed</w:t>
      </w:r>
      <w:r>
        <w:rPr>
          <w:spacing w:val="-8"/>
          <w:sz w:val="22"/>
        </w:rPr>
        <w:t> </w:t>
      </w:r>
      <w:r>
        <w:rPr>
          <w:sz w:val="22"/>
        </w:rPr>
        <w:t>Status</w:t>
      </w:r>
      <w:r>
        <w:rPr>
          <w:spacing w:val="-8"/>
          <w:sz w:val="22"/>
        </w:rPr>
        <w:t> </w:t>
      </w:r>
      <w:r>
        <w:rPr>
          <w:spacing w:val="-2"/>
          <w:sz w:val="22"/>
        </w:rPr>
        <w:t>numbers.</w:t>
      </w:r>
    </w:p>
    <w:p>
      <w:pPr>
        <w:pStyle w:val="ListParagraph"/>
        <w:numPr>
          <w:ilvl w:val="2"/>
          <w:numId w:val="159"/>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before="1"/>
        <w:ind w:left="1439" w:right="0" w:firstLine="0"/>
        <w:jc w:val="left"/>
        <w:rPr>
          <w:sz w:val="22"/>
        </w:rPr>
      </w:pPr>
      <w:r>
        <w:rPr>
          <w:sz w:val="22"/>
        </w:rPr>
        <w:t>Permanent,</w:t>
      </w:r>
      <w:r>
        <w:rPr>
          <w:spacing w:val="-8"/>
          <w:sz w:val="22"/>
        </w:rPr>
        <w:t> </w:t>
      </w:r>
      <w:r>
        <w:rPr>
          <w:sz w:val="22"/>
        </w:rPr>
        <w:t>procedures</w:t>
      </w:r>
      <w:r>
        <w:rPr>
          <w:spacing w:val="-9"/>
          <w:sz w:val="22"/>
        </w:rPr>
        <w:t> </w:t>
      </w:r>
      <w:r>
        <w:rPr>
          <w:sz w:val="22"/>
        </w:rPr>
        <w:t>placed</w:t>
      </w:r>
      <w:r>
        <w:rPr>
          <w:spacing w:val="-8"/>
          <w:sz w:val="22"/>
        </w:rPr>
        <w:t> </w:t>
      </w:r>
      <w:r>
        <w:rPr>
          <w:sz w:val="22"/>
        </w:rPr>
        <w:t>in</w:t>
      </w:r>
      <w:r>
        <w:rPr>
          <w:spacing w:val="-8"/>
          <w:sz w:val="22"/>
        </w:rPr>
        <w:t> </w:t>
      </w:r>
      <w:r>
        <w:rPr>
          <w:spacing w:val="-5"/>
          <w:sz w:val="22"/>
        </w:rPr>
        <w:t>ITS</w:t>
      </w:r>
    </w:p>
    <w:p>
      <w:pPr>
        <w:pStyle w:val="ListParagraph"/>
        <w:numPr>
          <w:ilvl w:val="2"/>
          <w:numId w:val="160"/>
        </w:numPr>
        <w:tabs>
          <w:tab w:pos="1439" w:val="left" w:leader="none"/>
        </w:tabs>
        <w:spacing w:line="240" w:lineRule="auto" w:before="0" w:after="0"/>
        <w:ind w:left="1439" w:right="0" w:hanging="1080"/>
        <w:jc w:val="left"/>
        <w:rPr>
          <w:sz w:val="22"/>
        </w:rPr>
      </w:pPr>
      <w:r>
        <w:rPr>
          <w:sz w:val="22"/>
        </w:rPr>
        <w:t>Language</w:t>
      </w:r>
      <w:r>
        <w:rPr>
          <w:spacing w:val="-8"/>
          <w:sz w:val="22"/>
        </w:rPr>
        <w:t> </w:t>
      </w:r>
      <w:r>
        <w:rPr>
          <w:sz w:val="22"/>
        </w:rPr>
        <w:t>clean-up</w:t>
      </w:r>
      <w:r>
        <w:rPr>
          <w:spacing w:val="-8"/>
          <w:sz w:val="22"/>
        </w:rPr>
        <w:t> </w:t>
      </w:r>
      <w:r>
        <w:rPr>
          <w:sz w:val="22"/>
        </w:rPr>
        <w:t>revising</w:t>
      </w:r>
      <w:r>
        <w:rPr>
          <w:spacing w:val="-8"/>
          <w:sz w:val="22"/>
        </w:rPr>
        <w:t> </w:t>
      </w:r>
      <w:r>
        <w:rPr>
          <w:sz w:val="22"/>
        </w:rPr>
        <w:t>“status”</w:t>
      </w:r>
      <w:r>
        <w:rPr>
          <w:spacing w:val="-8"/>
          <w:sz w:val="22"/>
        </w:rPr>
        <w:t> </w:t>
      </w:r>
      <w:r>
        <w:rPr>
          <w:sz w:val="22"/>
        </w:rPr>
        <w:t>to</w:t>
      </w:r>
      <w:r>
        <w:rPr>
          <w:spacing w:val="-8"/>
          <w:sz w:val="22"/>
        </w:rPr>
        <w:t> </w:t>
      </w:r>
      <w:r>
        <w:rPr>
          <w:sz w:val="22"/>
        </w:rPr>
        <w:t>“services”</w:t>
      </w:r>
      <w:r>
        <w:rPr>
          <w:spacing w:val="-10"/>
          <w:sz w:val="22"/>
        </w:rPr>
        <w:t> </w:t>
      </w:r>
      <w:r>
        <w:rPr>
          <w:sz w:val="22"/>
        </w:rPr>
        <w:t>under</w:t>
      </w:r>
      <w:r>
        <w:rPr>
          <w:spacing w:val="-8"/>
          <w:sz w:val="22"/>
        </w:rPr>
        <w:t> </w:t>
      </w:r>
      <w:r>
        <w:rPr>
          <w:sz w:val="22"/>
        </w:rPr>
        <w:t>section</w:t>
      </w:r>
      <w:r>
        <w:rPr>
          <w:spacing w:val="-8"/>
          <w:sz w:val="22"/>
        </w:rPr>
        <w:t> </w:t>
      </w:r>
      <w:r>
        <w:rPr>
          <w:spacing w:val="-4"/>
          <w:sz w:val="22"/>
        </w:rPr>
        <w:t>(b).</w:t>
      </w:r>
    </w:p>
    <w:p>
      <w:pPr>
        <w:pStyle w:val="ListParagraph"/>
        <w:spacing w:after="0" w:line="240" w:lineRule="auto"/>
        <w:jc w:val="left"/>
        <w:rPr>
          <w:sz w:val="22"/>
        </w:rPr>
        <w:sectPr>
          <w:pgSz w:w="12240" w:h="15840"/>
          <w:pgMar w:top="1340" w:bottom="280" w:left="1080" w:right="720"/>
        </w:sectPr>
      </w:pPr>
    </w:p>
    <w:p>
      <w:pPr>
        <w:pStyle w:val="Heading1"/>
        <w:ind w:right="778"/>
      </w:pPr>
      <w:bookmarkStart w:name="PART 9.  ACTIONS REQUIRING REVIEW AND AP" w:id="153"/>
      <w:bookmarkEnd w:id="153"/>
      <w:r>
        <w:rPr>
          <w:b w:val="0"/>
        </w:rPr>
      </w:r>
      <w:r>
        <w:rPr/>
        <w:t>PART</w:t>
      </w:r>
      <w:r>
        <w:rPr>
          <w:spacing w:val="-4"/>
        </w:rPr>
        <w:t> </w:t>
      </w:r>
      <w:r>
        <w:rPr/>
        <w:t>9.</w:t>
      </w:r>
      <w:r>
        <w:rPr>
          <w:spacing w:val="61"/>
        </w:rPr>
        <w:t> </w:t>
      </w:r>
      <w:r>
        <w:rPr/>
        <w:t>ACTIONS</w:t>
      </w:r>
      <w:r>
        <w:rPr>
          <w:spacing w:val="-2"/>
        </w:rPr>
        <w:t> </w:t>
      </w:r>
      <w:r>
        <w:rPr/>
        <w:t>REQUIRING</w:t>
      </w:r>
      <w:r>
        <w:rPr>
          <w:spacing w:val="-1"/>
        </w:rPr>
        <w:t> </w:t>
      </w:r>
      <w:r>
        <w:rPr/>
        <w:t>REVIEW</w:t>
      </w:r>
      <w:r>
        <w:rPr>
          <w:spacing w:val="-2"/>
        </w:rPr>
        <w:t> </w:t>
      </w:r>
      <w:r>
        <w:rPr/>
        <w:t>AND</w:t>
      </w:r>
      <w:r>
        <w:rPr>
          <w:spacing w:val="-2"/>
        </w:rPr>
        <w:t> APPROVAL</w:t>
      </w:r>
    </w:p>
    <w:p>
      <w:pPr>
        <w:pStyle w:val="BodyText"/>
        <w:spacing w:before="204"/>
      </w:pPr>
      <w:r>
        <w:rPr>
          <w:spacing w:val="-2"/>
        </w:rPr>
        <w:t>Section</w:t>
      </w:r>
    </w:p>
    <w:p>
      <w:pPr>
        <w:pStyle w:val="BodyText"/>
        <w:tabs>
          <w:tab w:pos="2069" w:val="left" w:leader="none"/>
        </w:tabs>
        <w:spacing w:before="204"/>
      </w:pPr>
      <w:r>
        <w:rPr>
          <w:spacing w:val="-2"/>
        </w:rPr>
        <w:t>612:10-7-</w:t>
      </w:r>
      <w:r>
        <w:rPr>
          <w:spacing w:val="-5"/>
        </w:rPr>
        <w:t>87.</w:t>
      </w:r>
      <w:r>
        <w:rPr/>
        <w:tab/>
        <w:t>Actions</w:t>
      </w:r>
      <w:r>
        <w:rPr>
          <w:spacing w:val="-7"/>
        </w:rPr>
        <w:t> </w:t>
      </w:r>
      <w:r>
        <w:rPr/>
        <w:t>requiring</w:t>
      </w:r>
      <w:r>
        <w:rPr>
          <w:spacing w:val="-5"/>
        </w:rPr>
        <w:t> </w:t>
      </w:r>
      <w:r>
        <w:rPr/>
        <w:t>supervisor's</w:t>
      </w:r>
      <w:r>
        <w:rPr>
          <w:spacing w:val="-5"/>
        </w:rPr>
        <w:t> </w:t>
      </w:r>
      <w:r>
        <w:rPr>
          <w:spacing w:val="-2"/>
        </w:rPr>
        <w:t>approval</w:t>
      </w:r>
    </w:p>
    <w:p>
      <w:pPr>
        <w:pStyle w:val="BodyText"/>
        <w:spacing w:after="0"/>
        <w:sectPr>
          <w:pgSz w:w="12240" w:h="15840"/>
          <w:pgMar w:top="1340" w:bottom="280" w:left="1080" w:right="720"/>
        </w:sectPr>
      </w:pPr>
    </w:p>
    <w:p>
      <w:pPr>
        <w:pStyle w:val="Heading2"/>
      </w:pPr>
      <w:bookmarkStart w:name="612:10-7-87.  Actions requiring supervis" w:id="154"/>
      <w:bookmarkEnd w:id="154"/>
      <w:r>
        <w:rPr>
          <w:b w:val="0"/>
        </w:rPr>
      </w:r>
      <w:bookmarkStart w:name="_bookmark19" w:id="155"/>
      <w:bookmarkEnd w:id="155"/>
      <w:r>
        <w:rPr>
          <w:b w:val="0"/>
        </w:rPr>
      </w:r>
      <w:r>
        <w:rPr/>
        <w:t>612:10-7-87.</w:t>
      </w:r>
      <w:r>
        <w:rPr>
          <w:spacing w:val="58"/>
        </w:rPr>
        <w:t> </w:t>
      </w:r>
      <w:r>
        <w:rPr/>
        <w:t>Actions</w:t>
      </w:r>
      <w:r>
        <w:rPr>
          <w:spacing w:val="-5"/>
        </w:rPr>
        <w:t> </w:t>
      </w:r>
      <w:r>
        <w:rPr/>
        <w:t>requiring</w:t>
      </w:r>
      <w:r>
        <w:rPr>
          <w:spacing w:val="-6"/>
        </w:rPr>
        <w:t> </w:t>
      </w:r>
      <w:r>
        <w:rPr/>
        <w:t>supervisor's</w:t>
      </w:r>
      <w:r>
        <w:rPr>
          <w:spacing w:val="-4"/>
        </w:rPr>
        <w:t> </w:t>
      </w:r>
      <w:r>
        <w:rPr>
          <w:spacing w:val="-2"/>
        </w:rPr>
        <w:t>approval</w:t>
      </w:r>
    </w:p>
    <w:p>
      <w:pPr>
        <w:pStyle w:val="ListParagraph"/>
        <w:numPr>
          <w:ilvl w:val="0"/>
          <w:numId w:val="161"/>
        </w:numPr>
        <w:tabs>
          <w:tab w:pos="786" w:val="left" w:leader="none"/>
        </w:tabs>
        <w:spacing w:line="240" w:lineRule="auto" w:before="204" w:after="0"/>
        <w:ind w:left="786" w:right="0" w:hanging="426"/>
        <w:jc w:val="left"/>
        <w:rPr>
          <w:b/>
          <w:sz w:val="24"/>
        </w:rPr>
      </w:pPr>
      <w:r>
        <w:rPr>
          <w:sz w:val="24"/>
        </w:rPr>
        <w:t>Actions</w:t>
      </w:r>
      <w:r>
        <w:rPr>
          <w:spacing w:val="-6"/>
          <w:sz w:val="24"/>
        </w:rPr>
        <w:t> </w:t>
      </w:r>
      <w:r>
        <w:rPr>
          <w:sz w:val="24"/>
        </w:rPr>
        <w:t>requiring</w:t>
      </w:r>
      <w:r>
        <w:rPr>
          <w:spacing w:val="-5"/>
          <w:sz w:val="24"/>
        </w:rPr>
        <w:t> </w:t>
      </w:r>
      <w:r>
        <w:rPr>
          <w:sz w:val="24"/>
        </w:rPr>
        <w:t>supervisory</w:t>
      </w:r>
      <w:r>
        <w:rPr>
          <w:spacing w:val="-5"/>
          <w:sz w:val="24"/>
        </w:rPr>
        <w:t> </w:t>
      </w:r>
      <w:r>
        <w:rPr>
          <w:sz w:val="24"/>
        </w:rPr>
        <w:t>approval</w:t>
      </w:r>
      <w:r>
        <w:rPr>
          <w:spacing w:val="-5"/>
          <w:sz w:val="24"/>
        </w:rPr>
        <w:t> </w:t>
      </w:r>
      <w:r>
        <w:rPr>
          <w:sz w:val="24"/>
        </w:rPr>
        <w:t>include:</w:t>
      </w:r>
      <w:r>
        <w:rPr>
          <w:spacing w:val="-4"/>
          <w:sz w:val="24"/>
        </w:rPr>
        <w:t> </w:t>
      </w:r>
      <w:r>
        <w:rPr>
          <w:b/>
          <w:spacing w:val="-10"/>
          <w:sz w:val="24"/>
        </w:rPr>
        <w:t>1</w:t>
      </w:r>
    </w:p>
    <w:p>
      <w:pPr>
        <w:pStyle w:val="ListParagraph"/>
        <w:numPr>
          <w:ilvl w:val="1"/>
          <w:numId w:val="161"/>
        </w:numPr>
        <w:tabs>
          <w:tab w:pos="1236" w:val="left" w:leader="none"/>
        </w:tabs>
        <w:spacing w:line="240" w:lineRule="auto" w:before="204" w:after="0"/>
        <w:ind w:left="1236" w:right="0" w:hanging="426"/>
        <w:jc w:val="left"/>
        <w:rPr>
          <w:b/>
          <w:sz w:val="24"/>
        </w:rPr>
      </w:pPr>
      <w:r>
        <w:rPr>
          <w:sz w:val="24"/>
        </w:rPr>
        <w:t>All</w:t>
      </w:r>
      <w:r>
        <w:rPr>
          <w:spacing w:val="-6"/>
          <w:sz w:val="24"/>
        </w:rPr>
        <w:t> </w:t>
      </w:r>
      <w:r>
        <w:rPr>
          <w:sz w:val="24"/>
        </w:rPr>
        <w:t>actions</w:t>
      </w:r>
      <w:r>
        <w:rPr>
          <w:spacing w:val="-3"/>
          <w:sz w:val="24"/>
        </w:rPr>
        <w:t> </w:t>
      </w:r>
      <w:r>
        <w:rPr>
          <w:sz w:val="24"/>
        </w:rPr>
        <w:t>of</w:t>
      </w:r>
      <w:r>
        <w:rPr>
          <w:spacing w:val="-3"/>
          <w:sz w:val="24"/>
        </w:rPr>
        <w:t> </w:t>
      </w:r>
      <w:r>
        <w:rPr>
          <w:sz w:val="24"/>
        </w:rPr>
        <w:t>a</w:t>
      </w:r>
      <w:r>
        <w:rPr>
          <w:spacing w:val="-3"/>
          <w:sz w:val="24"/>
        </w:rPr>
        <w:t> </w:t>
      </w:r>
      <w:r>
        <w:rPr>
          <w:sz w:val="24"/>
        </w:rPr>
        <w:t>newly</w:t>
      </w:r>
      <w:r>
        <w:rPr>
          <w:spacing w:val="-4"/>
          <w:sz w:val="24"/>
        </w:rPr>
        <w:t> </w:t>
      </w:r>
      <w:r>
        <w:rPr>
          <w:sz w:val="24"/>
        </w:rPr>
        <w:t>employed</w:t>
      </w:r>
      <w:r>
        <w:rPr>
          <w:spacing w:val="-3"/>
          <w:sz w:val="24"/>
        </w:rPr>
        <w:t> </w:t>
      </w:r>
      <w:r>
        <w:rPr>
          <w:sz w:val="24"/>
        </w:rPr>
        <w:t>counselor/teacher.</w:t>
      </w:r>
      <w:r>
        <w:rPr>
          <w:spacing w:val="-4"/>
          <w:sz w:val="24"/>
        </w:rPr>
        <w:t> </w:t>
      </w:r>
      <w:r>
        <w:rPr>
          <w:b/>
          <w:spacing w:val="-10"/>
          <w:sz w:val="24"/>
        </w:rPr>
        <w:t>2</w:t>
      </w:r>
    </w:p>
    <w:p>
      <w:pPr>
        <w:pStyle w:val="ListParagraph"/>
        <w:numPr>
          <w:ilvl w:val="1"/>
          <w:numId w:val="161"/>
        </w:numPr>
        <w:tabs>
          <w:tab w:pos="1236" w:val="left" w:leader="none"/>
        </w:tabs>
        <w:spacing w:line="208" w:lineRule="auto" w:before="233" w:after="0"/>
        <w:ind w:left="810" w:right="1606" w:firstLine="0"/>
        <w:jc w:val="left"/>
        <w:rPr>
          <w:sz w:val="24"/>
        </w:rPr>
      </w:pPr>
      <w:r>
        <w:rPr>
          <w:sz w:val="24"/>
        </w:rPr>
        <w:t>All</w:t>
      </w:r>
      <w:r>
        <w:rPr>
          <w:spacing w:val="-4"/>
          <w:sz w:val="24"/>
        </w:rPr>
        <w:t> </w:t>
      </w:r>
      <w:r>
        <w:rPr>
          <w:sz w:val="24"/>
        </w:rPr>
        <w:t>IPE's</w:t>
      </w:r>
      <w:r>
        <w:rPr>
          <w:spacing w:val="-4"/>
          <w:sz w:val="24"/>
        </w:rPr>
        <w:t> </w:t>
      </w:r>
      <w:r>
        <w:rPr>
          <w:sz w:val="24"/>
        </w:rPr>
        <w:t>or</w:t>
      </w:r>
      <w:r>
        <w:rPr>
          <w:spacing w:val="-3"/>
          <w:sz w:val="24"/>
        </w:rPr>
        <w:t> </w:t>
      </w:r>
      <w:r>
        <w:rPr>
          <w:sz w:val="24"/>
        </w:rPr>
        <w:t>amendments</w:t>
      </w:r>
      <w:r>
        <w:rPr>
          <w:spacing w:val="-4"/>
          <w:sz w:val="24"/>
        </w:rPr>
        <w:t> </w:t>
      </w:r>
      <w:r>
        <w:rPr>
          <w:sz w:val="24"/>
        </w:rPr>
        <w:t>when</w:t>
      </w:r>
      <w:r>
        <w:rPr>
          <w:spacing w:val="-4"/>
          <w:sz w:val="24"/>
        </w:rPr>
        <w:t> </w:t>
      </w:r>
      <w:r>
        <w:rPr>
          <w:sz w:val="24"/>
        </w:rPr>
        <w:t>the</w:t>
      </w:r>
      <w:r>
        <w:rPr>
          <w:spacing w:val="-4"/>
          <w:sz w:val="24"/>
        </w:rPr>
        <w:t> </w:t>
      </w:r>
      <w:r>
        <w:rPr>
          <w:sz w:val="24"/>
        </w:rPr>
        <w:t>total</w:t>
      </w:r>
      <w:r>
        <w:rPr>
          <w:spacing w:val="-6"/>
          <w:sz w:val="24"/>
        </w:rPr>
        <w:t> </w:t>
      </w:r>
      <w:r>
        <w:rPr>
          <w:sz w:val="24"/>
        </w:rPr>
        <w:t>of</w:t>
      </w:r>
      <w:r>
        <w:rPr>
          <w:spacing w:val="-3"/>
          <w:sz w:val="24"/>
        </w:rPr>
        <w:t> </w:t>
      </w:r>
      <w:r>
        <w:rPr>
          <w:sz w:val="24"/>
        </w:rPr>
        <w:t>the</w:t>
      </w:r>
      <w:r>
        <w:rPr>
          <w:spacing w:val="-4"/>
          <w:sz w:val="24"/>
        </w:rPr>
        <w:t> </w:t>
      </w:r>
      <w:r>
        <w:rPr>
          <w:sz w:val="24"/>
        </w:rPr>
        <w:t>planned</w:t>
      </w:r>
      <w:r>
        <w:rPr>
          <w:spacing w:val="-4"/>
          <w:sz w:val="24"/>
        </w:rPr>
        <w:t> </w:t>
      </w:r>
      <w:r>
        <w:rPr>
          <w:sz w:val="24"/>
        </w:rPr>
        <w:t>DVR</w:t>
      </w:r>
      <w:r>
        <w:rPr>
          <w:spacing w:val="-4"/>
          <w:sz w:val="24"/>
        </w:rPr>
        <w:t> </w:t>
      </w:r>
      <w:r>
        <w:rPr>
          <w:sz w:val="24"/>
        </w:rPr>
        <w:t>and</w:t>
      </w:r>
      <w:r>
        <w:rPr>
          <w:spacing w:val="-4"/>
          <w:sz w:val="24"/>
        </w:rPr>
        <w:t> </w:t>
      </w:r>
      <w:r>
        <w:rPr>
          <w:sz w:val="24"/>
        </w:rPr>
        <w:t>DSBVI expenditures for the entire case exceed $25,000.</w:t>
      </w:r>
    </w:p>
    <w:p>
      <w:pPr>
        <w:pStyle w:val="ListParagraph"/>
        <w:numPr>
          <w:ilvl w:val="1"/>
          <w:numId w:val="161"/>
        </w:numPr>
        <w:tabs>
          <w:tab w:pos="1236" w:val="left" w:leader="none"/>
        </w:tabs>
        <w:spacing w:line="208" w:lineRule="auto" w:before="240" w:after="0"/>
        <w:ind w:left="810" w:right="848" w:firstLine="0"/>
        <w:jc w:val="left"/>
        <w:rPr>
          <w:sz w:val="24"/>
        </w:rPr>
      </w:pPr>
      <w:r>
        <w:rPr>
          <w:sz w:val="24"/>
        </w:rPr>
        <w:t>All</w:t>
      </w:r>
      <w:r>
        <w:rPr>
          <w:spacing w:val="-3"/>
          <w:sz w:val="24"/>
        </w:rPr>
        <w:t> </w:t>
      </w:r>
      <w:r>
        <w:rPr>
          <w:sz w:val="24"/>
        </w:rPr>
        <w:t>case</w:t>
      </w:r>
      <w:r>
        <w:rPr>
          <w:spacing w:val="-3"/>
          <w:sz w:val="24"/>
        </w:rPr>
        <w:t> </w:t>
      </w:r>
      <w:r>
        <w:rPr>
          <w:sz w:val="24"/>
        </w:rPr>
        <w:t>closures</w:t>
      </w:r>
      <w:r>
        <w:rPr>
          <w:spacing w:val="-3"/>
          <w:sz w:val="24"/>
        </w:rPr>
        <w:t> </w:t>
      </w:r>
      <w:r>
        <w:rPr>
          <w:sz w:val="24"/>
        </w:rPr>
        <w:t>in</w:t>
      </w:r>
      <w:r>
        <w:rPr>
          <w:spacing w:val="-3"/>
          <w:sz w:val="24"/>
        </w:rPr>
        <w:t> </w:t>
      </w:r>
      <w:r>
        <w:rPr>
          <w:sz w:val="24"/>
        </w:rPr>
        <w:t>which</w:t>
      </w:r>
      <w:r>
        <w:rPr>
          <w:spacing w:val="-3"/>
          <w:sz w:val="24"/>
        </w:rPr>
        <w:t> </w:t>
      </w:r>
      <w:r>
        <w:rPr>
          <w:sz w:val="24"/>
        </w:rPr>
        <w:t>an</w:t>
      </w:r>
      <w:r>
        <w:rPr>
          <w:spacing w:val="-2"/>
          <w:sz w:val="24"/>
        </w:rPr>
        <w:t> </w:t>
      </w:r>
      <w:r>
        <w:rPr>
          <w:sz w:val="24"/>
        </w:rPr>
        <w:t>IPE</w:t>
      </w:r>
      <w:r>
        <w:rPr>
          <w:spacing w:val="-3"/>
          <w:sz w:val="24"/>
        </w:rPr>
        <w:t> </w:t>
      </w:r>
      <w:r>
        <w:rPr>
          <w:sz w:val="24"/>
        </w:rPr>
        <w:t>was</w:t>
      </w:r>
      <w:r>
        <w:rPr>
          <w:spacing w:val="-3"/>
          <w:sz w:val="24"/>
        </w:rPr>
        <w:t> </w:t>
      </w:r>
      <w:r>
        <w:rPr>
          <w:sz w:val="24"/>
        </w:rPr>
        <w:t>developed</w:t>
      </w:r>
      <w:r>
        <w:rPr>
          <w:spacing w:val="-3"/>
          <w:sz w:val="24"/>
        </w:rPr>
        <w:t> </w:t>
      </w:r>
      <w:r>
        <w:rPr>
          <w:sz w:val="24"/>
        </w:rPr>
        <w:t>and</w:t>
      </w:r>
      <w:r>
        <w:rPr>
          <w:spacing w:val="-3"/>
          <w:sz w:val="24"/>
        </w:rPr>
        <w:t> </w:t>
      </w:r>
      <w:r>
        <w:rPr>
          <w:sz w:val="24"/>
        </w:rPr>
        <w:t>the</w:t>
      </w:r>
      <w:r>
        <w:rPr>
          <w:spacing w:val="-3"/>
          <w:sz w:val="24"/>
        </w:rPr>
        <w:t> </w:t>
      </w:r>
      <w:r>
        <w:rPr>
          <w:sz w:val="24"/>
        </w:rPr>
        <w:t>case</w:t>
      </w:r>
      <w:r>
        <w:rPr>
          <w:spacing w:val="-4"/>
          <w:sz w:val="24"/>
        </w:rPr>
        <w:t> </w:t>
      </w:r>
      <w:r>
        <w:rPr>
          <w:sz w:val="24"/>
        </w:rPr>
        <w:t>was</w:t>
      </w:r>
      <w:r>
        <w:rPr>
          <w:spacing w:val="-3"/>
          <w:sz w:val="24"/>
        </w:rPr>
        <w:t> </w:t>
      </w:r>
      <w:r>
        <w:rPr>
          <w:sz w:val="24"/>
        </w:rPr>
        <w:t>placed</w:t>
      </w:r>
      <w:r>
        <w:rPr>
          <w:spacing w:val="-2"/>
          <w:sz w:val="24"/>
        </w:rPr>
        <w:t> </w:t>
      </w:r>
      <w:r>
        <w:rPr>
          <w:sz w:val="24"/>
        </w:rPr>
        <w:t>into service status or beyond.</w:t>
      </w:r>
    </w:p>
    <w:p>
      <w:pPr>
        <w:pStyle w:val="ListParagraph"/>
        <w:numPr>
          <w:ilvl w:val="1"/>
          <w:numId w:val="161"/>
        </w:numPr>
        <w:tabs>
          <w:tab w:pos="1236" w:val="left" w:leader="none"/>
        </w:tabs>
        <w:spacing w:line="208" w:lineRule="auto" w:before="240" w:after="0"/>
        <w:ind w:left="810" w:right="941" w:firstLine="0"/>
        <w:jc w:val="left"/>
        <w:rPr>
          <w:sz w:val="24"/>
        </w:rPr>
      </w:pPr>
      <w:r>
        <w:rPr>
          <w:sz w:val="24"/>
        </w:rPr>
        <w:t>Transfer</w:t>
      </w:r>
      <w:r>
        <w:rPr>
          <w:spacing w:val="-3"/>
          <w:sz w:val="24"/>
        </w:rPr>
        <w:t> </w:t>
      </w:r>
      <w:r>
        <w:rPr>
          <w:sz w:val="24"/>
        </w:rPr>
        <w:t>of</w:t>
      </w:r>
      <w:r>
        <w:rPr>
          <w:spacing w:val="-3"/>
          <w:sz w:val="24"/>
        </w:rPr>
        <w:t> </w:t>
      </w:r>
      <w:r>
        <w:rPr>
          <w:sz w:val="24"/>
        </w:rPr>
        <w:t>cases</w:t>
      </w:r>
      <w:r>
        <w:rPr>
          <w:spacing w:val="-5"/>
          <w:sz w:val="24"/>
        </w:rPr>
        <w:t> </w:t>
      </w:r>
      <w:r>
        <w:rPr>
          <w:sz w:val="24"/>
        </w:rPr>
        <w:t>from</w:t>
      </w:r>
      <w:r>
        <w:rPr>
          <w:spacing w:val="-5"/>
          <w:sz w:val="24"/>
        </w:rPr>
        <w:t> </w:t>
      </w:r>
      <w:r>
        <w:rPr>
          <w:sz w:val="24"/>
        </w:rPr>
        <w:t>one</w:t>
      </w:r>
      <w:r>
        <w:rPr>
          <w:spacing w:val="-4"/>
          <w:sz w:val="24"/>
        </w:rPr>
        <w:t> </w:t>
      </w:r>
      <w:r>
        <w:rPr>
          <w:sz w:val="24"/>
        </w:rPr>
        <w:t>counselor/teacher</w:t>
      </w:r>
      <w:r>
        <w:rPr>
          <w:spacing w:val="-3"/>
          <w:sz w:val="24"/>
        </w:rPr>
        <w:t> </w:t>
      </w:r>
      <w:r>
        <w:rPr>
          <w:sz w:val="24"/>
        </w:rPr>
        <w:t>caseload</w:t>
      </w:r>
      <w:r>
        <w:rPr>
          <w:spacing w:val="-4"/>
          <w:sz w:val="24"/>
        </w:rPr>
        <w:t> </w:t>
      </w:r>
      <w:r>
        <w:rPr>
          <w:sz w:val="24"/>
        </w:rPr>
        <w:t>to</w:t>
      </w:r>
      <w:r>
        <w:rPr>
          <w:spacing w:val="-4"/>
          <w:sz w:val="24"/>
        </w:rPr>
        <w:t> </w:t>
      </w:r>
      <w:r>
        <w:rPr>
          <w:sz w:val="24"/>
        </w:rPr>
        <w:t>another</w:t>
      </w:r>
      <w:r>
        <w:rPr>
          <w:spacing w:val="-3"/>
          <w:sz w:val="24"/>
        </w:rPr>
        <w:t> </w:t>
      </w:r>
      <w:r>
        <w:rPr>
          <w:sz w:val="24"/>
        </w:rPr>
        <w:t>outside</w:t>
      </w:r>
      <w:r>
        <w:rPr>
          <w:spacing w:val="-3"/>
          <w:sz w:val="24"/>
        </w:rPr>
        <w:t> </w:t>
      </w:r>
      <w:r>
        <w:rPr>
          <w:sz w:val="24"/>
        </w:rPr>
        <w:t>the sending supervisor's unit (signed by the supervisor of the sending counselor or </w:t>
      </w:r>
      <w:r>
        <w:rPr>
          <w:spacing w:val="-2"/>
          <w:sz w:val="24"/>
        </w:rPr>
        <w:t>teacher).</w:t>
      </w:r>
    </w:p>
    <w:p>
      <w:pPr>
        <w:pStyle w:val="ListParagraph"/>
        <w:numPr>
          <w:ilvl w:val="1"/>
          <w:numId w:val="161"/>
        </w:numPr>
        <w:tabs>
          <w:tab w:pos="1236" w:val="left" w:leader="none"/>
        </w:tabs>
        <w:spacing w:line="208" w:lineRule="auto" w:before="239" w:after="0"/>
        <w:ind w:left="810" w:right="969" w:firstLine="0"/>
        <w:jc w:val="left"/>
        <w:rPr>
          <w:sz w:val="24"/>
        </w:rPr>
      </w:pPr>
      <w:r>
        <w:rPr>
          <w:sz w:val="24"/>
        </w:rPr>
        <w:t>All IPE's which include purchase of physical or mental restoration services, prescription</w:t>
      </w:r>
      <w:r>
        <w:rPr>
          <w:spacing w:val="-4"/>
          <w:sz w:val="24"/>
        </w:rPr>
        <w:t> </w:t>
      </w:r>
      <w:r>
        <w:rPr>
          <w:sz w:val="24"/>
        </w:rPr>
        <w:t>drugs</w:t>
      </w:r>
      <w:r>
        <w:rPr>
          <w:spacing w:val="-4"/>
          <w:sz w:val="24"/>
        </w:rPr>
        <w:t> </w:t>
      </w:r>
      <w:r>
        <w:rPr>
          <w:sz w:val="24"/>
        </w:rPr>
        <w:t>or</w:t>
      </w:r>
      <w:r>
        <w:rPr>
          <w:spacing w:val="-5"/>
          <w:sz w:val="24"/>
        </w:rPr>
        <w:t> </w:t>
      </w:r>
      <w:r>
        <w:rPr>
          <w:sz w:val="24"/>
        </w:rPr>
        <w:t>prescribed</w:t>
      </w:r>
      <w:r>
        <w:rPr>
          <w:spacing w:val="-4"/>
          <w:sz w:val="24"/>
        </w:rPr>
        <w:t> </w:t>
      </w:r>
      <w:r>
        <w:rPr>
          <w:sz w:val="24"/>
        </w:rPr>
        <w:t>medical</w:t>
      </w:r>
      <w:r>
        <w:rPr>
          <w:spacing w:val="-4"/>
          <w:sz w:val="24"/>
        </w:rPr>
        <w:t> </w:t>
      </w:r>
      <w:r>
        <w:rPr>
          <w:sz w:val="24"/>
        </w:rPr>
        <w:t>supplies</w:t>
      </w:r>
      <w:r>
        <w:rPr>
          <w:spacing w:val="-4"/>
          <w:sz w:val="24"/>
        </w:rPr>
        <w:t> </w:t>
      </w:r>
      <w:r>
        <w:rPr>
          <w:sz w:val="24"/>
        </w:rPr>
        <w:t>lasting</w:t>
      </w:r>
      <w:r>
        <w:rPr>
          <w:spacing w:val="-4"/>
          <w:sz w:val="24"/>
        </w:rPr>
        <w:t> </w:t>
      </w:r>
      <w:r>
        <w:rPr>
          <w:sz w:val="24"/>
        </w:rPr>
        <w:t>more</w:t>
      </w:r>
      <w:r>
        <w:rPr>
          <w:spacing w:val="-4"/>
          <w:sz w:val="24"/>
        </w:rPr>
        <w:t> </w:t>
      </w:r>
      <w:r>
        <w:rPr>
          <w:sz w:val="24"/>
        </w:rPr>
        <w:t>than</w:t>
      </w:r>
      <w:r>
        <w:rPr>
          <w:spacing w:val="-4"/>
          <w:sz w:val="24"/>
        </w:rPr>
        <w:t> </w:t>
      </w:r>
      <w:r>
        <w:rPr>
          <w:sz w:val="24"/>
        </w:rPr>
        <w:t>three</w:t>
      </w:r>
      <w:r>
        <w:rPr>
          <w:spacing w:val="-4"/>
          <w:sz w:val="24"/>
        </w:rPr>
        <w:t> </w:t>
      </w:r>
      <w:r>
        <w:rPr>
          <w:sz w:val="24"/>
        </w:rPr>
        <w:t>months.</w:t>
      </w:r>
    </w:p>
    <w:p>
      <w:pPr>
        <w:pStyle w:val="ListParagraph"/>
        <w:numPr>
          <w:ilvl w:val="1"/>
          <w:numId w:val="161"/>
        </w:numPr>
        <w:tabs>
          <w:tab w:pos="1236" w:val="left" w:leader="none"/>
        </w:tabs>
        <w:spacing w:line="240" w:lineRule="auto" w:before="211" w:after="0"/>
        <w:ind w:left="1236" w:right="0" w:hanging="426"/>
        <w:jc w:val="left"/>
        <w:rPr>
          <w:sz w:val="24"/>
        </w:rPr>
      </w:pPr>
      <w:r>
        <w:rPr>
          <w:sz w:val="24"/>
        </w:rPr>
        <w:t>Small</w:t>
      </w:r>
      <w:r>
        <w:rPr>
          <w:spacing w:val="-6"/>
          <w:sz w:val="24"/>
        </w:rPr>
        <w:t> </w:t>
      </w:r>
      <w:r>
        <w:rPr>
          <w:sz w:val="24"/>
        </w:rPr>
        <w:t>Business</w:t>
      </w:r>
      <w:r>
        <w:rPr>
          <w:spacing w:val="-2"/>
          <w:sz w:val="24"/>
        </w:rPr>
        <w:t> </w:t>
      </w:r>
      <w:r>
        <w:rPr>
          <w:sz w:val="24"/>
        </w:rPr>
        <w:t>plans</w:t>
      </w:r>
      <w:r>
        <w:rPr>
          <w:spacing w:val="-2"/>
          <w:sz w:val="24"/>
        </w:rPr>
        <w:t> </w:t>
      </w:r>
      <w:r>
        <w:rPr>
          <w:sz w:val="24"/>
        </w:rPr>
        <w:t>with</w:t>
      </w:r>
      <w:r>
        <w:rPr>
          <w:spacing w:val="-1"/>
          <w:sz w:val="24"/>
        </w:rPr>
        <w:t> </w:t>
      </w:r>
      <w:r>
        <w:rPr>
          <w:sz w:val="24"/>
        </w:rPr>
        <w:t>a</w:t>
      </w:r>
      <w:r>
        <w:rPr>
          <w:spacing w:val="-2"/>
          <w:sz w:val="24"/>
        </w:rPr>
        <w:t> </w:t>
      </w:r>
      <w:r>
        <w:rPr>
          <w:sz w:val="24"/>
        </w:rPr>
        <w:t>cost</w:t>
      </w:r>
      <w:r>
        <w:rPr>
          <w:spacing w:val="-1"/>
          <w:sz w:val="24"/>
        </w:rPr>
        <w:t> </w:t>
      </w:r>
      <w:r>
        <w:rPr>
          <w:sz w:val="24"/>
        </w:rPr>
        <w:t>to</w:t>
      </w:r>
      <w:r>
        <w:rPr>
          <w:spacing w:val="-3"/>
          <w:sz w:val="24"/>
        </w:rPr>
        <w:t> </w:t>
      </w:r>
      <w:r>
        <w:rPr>
          <w:sz w:val="24"/>
        </w:rPr>
        <w:t>the</w:t>
      </w:r>
      <w:r>
        <w:rPr>
          <w:spacing w:val="-2"/>
          <w:sz w:val="24"/>
        </w:rPr>
        <w:t> </w:t>
      </w:r>
      <w:r>
        <w:rPr>
          <w:sz w:val="24"/>
        </w:rPr>
        <w:t>agency</w:t>
      </w:r>
      <w:r>
        <w:rPr>
          <w:spacing w:val="-2"/>
          <w:sz w:val="24"/>
        </w:rPr>
        <w:t> </w:t>
      </w:r>
      <w:r>
        <w:rPr>
          <w:sz w:val="24"/>
        </w:rPr>
        <w:t>in</w:t>
      </w:r>
      <w:r>
        <w:rPr>
          <w:spacing w:val="-2"/>
          <w:sz w:val="24"/>
        </w:rPr>
        <w:t> </w:t>
      </w:r>
      <w:r>
        <w:rPr>
          <w:sz w:val="24"/>
        </w:rPr>
        <w:t>excess</w:t>
      </w:r>
      <w:r>
        <w:rPr>
          <w:spacing w:val="-2"/>
          <w:sz w:val="24"/>
        </w:rPr>
        <w:t> </w:t>
      </w:r>
      <w:r>
        <w:rPr>
          <w:sz w:val="24"/>
        </w:rPr>
        <w:t>of </w:t>
      </w:r>
      <w:r>
        <w:rPr>
          <w:spacing w:val="-2"/>
          <w:sz w:val="24"/>
        </w:rPr>
        <w:t>$5,000.00.</w:t>
      </w:r>
    </w:p>
    <w:p>
      <w:pPr>
        <w:pStyle w:val="ListParagraph"/>
        <w:numPr>
          <w:ilvl w:val="1"/>
          <w:numId w:val="161"/>
        </w:numPr>
        <w:tabs>
          <w:tab w:pos="1236" w:val="left" w:leader="none"/>
        </w:tabs>
        <w:spacing w:line="208" w:lineRule="auto" w:before="233" w:after="0"/>
        <w:ind w:left="810" w:right="933" w:firstLine="0"/>
        <w:jc w:val="left"/>
        <w:rPr>
          <w:sz w:val="24"/>
        </w:rPr>
      </w:pPr>
      <w:r>
        <w:rPr>
          <w:sz w:val="24"/>
        </w:rPr>
        <w:t>Vehicle</w:t>
      </w:r>
      <w:r>
        <w:rPr>
          <w:spacing w:val="-4"/>
          <w:sz w:val="24"/>
        </w:rPr>
        <w:t> </w:t>
      </w:r>
      <w:r>
        <w:rPr>
          <w:sz w:val="24"/>
        </w:rPr>
        <w:t>or</w:t>
      </w:r>
      <w:r>
        <w:rPr>
          <w:spacing w:val="-4"/>
          <w:sz w:val="24"/>
        </w:rPr>
        <w:t> </w:t>
      </w:r>
      <w:r>
        <w:rPr>
          <w:sz w:val="24"/>
        </w:rPr>
        <w:t>home</w:t>
      </w:r>
      <w:r>
        <w:rPr>
          <w:spacing w:val="-5"/>
          <w:sz w:val="24"/>
        </w:rPr>
        <w:t> </w:t>
      </w:r>
      <w:r>
        <w:rPr>
          <w:sz w:val="24"/>
        </w:rPr>
        <w:t>modifications</w:t>
      </w:r>
      <w:r>
        <w:rPr>
          <w:spacing w:val="-4"/>
          <w:sz w:val="24"/>
        </w:rPr>
        <w:t> </w:t>
      </w:r>
      <w:r>
        <w:rPr>
          <w:sz w:val="24"/>
        </w:rPr>
        <w:t>over</w:t>
      </w:r>
      <w:r>
        <w:rPr>
          <w:spacing w:val="-4"/>
          <w:sz w:val="24"/>
        </w:rPr>
        <w:t> </w:t>
      </w:r>
      <w:r>
        <w:rPr>
          <w:sz w:val="24"/>
        </w:rPr>
        <w:t>the</w:t>
      </w:r>
      <w:r>
        <w:rPr>
          <w:spacing w:val="-5"/>
          <w:sz w:val="24"/>
        </w:rPr>
        <w:t> </w:t>
      </w:r>
      <w:r>
        <w:rPr>
          <w:sz w:val="24"/>
        </w:rPr>
        <w:t>OMES-DCAM</w:t>
      </w:r>
      <w:r>
        <w:rPr>
          <w:spacing w:val="-4"/>
          <w:sz w:val="24"/>
        </w:rPr>
        <w:t> </w:t>
      </w:r>
      <w:r>
        <w:rPr>
          <w:sz w:val="24"/>
        </w:rPr>
        <w:t>authority</w:t>
      </w:r>
      <w:r>
        <w:rPr>
          <w:spacing w:val="-5"/>
          <w:sz w:val="24"/>
        </w:rPr>
        <w:t> </w:t>
      </w:r>
      <w:r>
        <w:rPr>
          <w:sz w:val="24"/>
        </w:rPr>
        <w:t>order</w:t>
      </w:r>
      <w:r>
        <w:rPr>
          <w:spacing w:val="-4"/>
          <w:sz w:val="24"/>
        </w:rPr>
        <w:t> </w:t>
      </w:r>
      <w:r>
        <w:rPr>
          <w:sz w:val="24"/>
        </w:rPr>
        <w:t>limit</w:t>
      </w:r>
      <w:r>
        <w:rPr>
          <w:spacing w:val="-5"/>
          <w:sz w:val="24"/>
        </w:rPr>
        <w:t> </w:t>
      </w:r>
      <w:r>
        <w:rPr>
          <w:sz w:val="24"/>
        </w:rPr>
        <w:t>and housing modifications involving structural modifications.</w:t>
      </w:r>
    </w:p>
    <w:p>
      <w:pPr>
        <w:pStyle w:val="ListParagraph"/>
        <w:numPr>
          <w:ilvl w:val="1"/>
          <w:numId w:val="161"/>
        </w:numPr>
        <w:tabs>
          <w:tab w:pos="1236" w:val="left" w:leader="none"/>
        </w:tabs>
        <w:spacing w:line="240" w:lineRule="auto" w:before="211" w:after="0"/>
        <w:ind w:left="1236" w:right="0" w:hanging="426"/>
        <w:jc w:val="left"/>
        <w:rPr>
          <w:sz w:val="24"/>
        </w:rPr>
      </w:pPr>
      <w:r>
        <w:rPr>
          <w:sz w:val="24"/>
        </w:rPr>
        <w:t>Vehicle</w:t>
      </w:r>
      <w:r>
        <w:rPr>
          <w:spacing w:val="-3"/>
          <w:sz w:val="24"/>
        </w:rPr>
        <w:t> </w:t>
      </w:r>
      <w:r>
        <w:rPr>
          <w:sz w:val="24"/>
        </w:rPr>
        <w:t>repairs</w:t>
      </w:r>
      <w:r>
        <w:rPr>
          <w:spacing w:val="-3"/>
          <w:sz w:val="24"/>
        </w:rPr>
        <w:t> </w:t>
      </w:r>
      <w:r>
        <w:rPr>
          <w:sz w:val="24"/>
        </w:rPr>
        <w:t>that</w:t>
      </w:r>
      <w:r>
        <w:rPr>
          <w:spacing w:val="-1"/>
          <w:sz w:val="24"/>
        </w:rPr>
        <w:t> </w:t>
      </w:r>
      <w:r>
        <w:rPr>
          <w:sz w:val="24"/>
        </w:rPr>
        <w:t>exceed</w:t>
      </w:r>
      <w:r>
        <w:rPr>
          <w:spacing w:val="-3"/>
          <w:sz w:val="24"/>
        </w:rPr>
        <w:t> </w:t>
      </w:r>
      <w:r>
        <w:rPr>
          <w:sz w:val="24"/>
        </w:rPr>
        <w:t>$1,000.00</w:t>
      </w:r>
      <w:r>
        <w:rPr>
          <w:spacing w:val="-3"/>
          <w:sz w:val="24"/>
        </w:rPr>
        <w:t> </w:t>
      </w:r>
      <w:r>
        <w:rPr>
          <w:sz w:val="24"/>
        </w:rPr>
        <w:t>for</w:t>
      </w:r>
      <w:r>
        <w:rPr>
          <w:spacing w:val="-1"/>
          <w:sz w:val="24"/>
        </w:rPr>
        <w:t> </w:t>
      </w:r>
      <w:r>
        <w:rPr>
          <w:sz w:val="24"/>
        </w:rPr>
        <w:t>the</w:t>
      </w:r>
      <w:r>
        <w:rPr>
          <w:spacing w:val="-3"/>
          <w:sz w:val="24"/>
        </w:rPr>
        <w:t> </w:t>
      </w:r>
      <w:r>
        <w:rPr>
          <w:sz w:val="24"/>
        </w:rPr>
        <w:t>life</w:t>
      </w:r>
      <w:r>
        <w:rPr>
          <w:spacing w:val="-2"/>
          <w:sz w:val="24"/>
        </w:rPr>
        <w:t> </w:t>
      </w:r>
      <w:r>
        <w:rPr>
          <w:sz w:val="24"/>
        </w:rPr>
        <w:t>of</w:t>
      </w:r>
      <w:r>
        <w:rPr>
          <w:spacing w:val="-5"/>
          <w:sz w:val="24"/>
        </w:rPr>
        <w:t> </w:t>
      </w:r>
      <w:r>
        <w:rPr>
          <w:sz w:val="24"/>
        </w:rPr>
        <w:t>a</w:t>
      </w:r>
      <w:r>
        <w:rPr>
          <w:spacing w:val="-2"/>
          <w:sz w:val="24"/>
        </w:rPr>
        <w:t> case.</w:t>
      </w:r>
    </w:p>
    <w:p>
      <w:pPr>
        <w:pStyle w:val="ListParagraph"/>
        <w:numPr>
          <w:ilvl w:val="1"/>
          <w:numId w:val="161"/>
        </w:numPr>
        <w:tabs>
          <w:tab w:pos="1236" w:val="left" w:leader="none"/>
        </w:tabs>
        <w:spacing w:line="240" w:lineRule="auto" w:before="204" w:after="0"/>
        <w:ind w:left="1236" w:right="0" w:hanging="426"/>
        <w:jc w:val="left"/>
        <w:rPr>
          <w:sz w:val="24"/>
        </w:rPr>
      </w:pPr>
      <w:r>
        <w:rPr>
          <w:sz w:val="24"/>
        </w:rPr>
        <w:t>Dental</w:t>
      </w:r>
      <w:r>
        <w:rPr>
          <w:spacing w:val="-5"/>
          <w:sz w:val="24"/>
        </w:rPr>
        <w:t> </w:t>
      </w:r>
      <w:r>
        <w:rPr>
          <w:sz w:val="24"/>
        </w:rPr>
        <w:t>services</w:t>
      </w:r>
      <w:r>
        <w:rPr>
          <w:spacing w:val="-2"/>
          <w:sz w:val="24"/>
        </w:rPr>
        <w:t> </w:t>
      </w:r>
      <w:r>
        <w:rPr>
          <w:sz w:val="24"/>
        </w:rPr>
        <w:t>with</w:t>
      </w:r>
      <w:r>
        <w:rPr>
          <w:spacing w:val="-3"/>
          <w:sz w:val="24"/>
        </w:rPr>
        <w:t> </w:t>
      </w:r>
      <w:r>
        <w:rPr>
          <w:sz w:val="24"/>
        </w:rPr>
        <w:t>a</w:t>
      </w:r>
      <w:r>
        <w:rPr>
          <w:spacing w:val="-2"/>
          <w:sz w:val="24"/>
        </w:rPr>
        <w:t> </w:t>
      </w:r>
      <w:r>
        <w:rPr>
          <w:sz w:val="24"/>
        </w:rPr>
        <w:t>projected</w:t>
      </w:r>
      <w:r>
        <w:rPr>
          <w:spacing w:val="-3"/>
          <w:sz w:val="24"/>
        </w:rPr>
        <w:t> </w:t>
      </w:r>
      <w:r>
        <w:rPr>
          <w:sz w:val="24"/>
        </w:rPr>
        <w:t>cost</w:t>
      </w:r>
      <w:r>
        <w:rPr>
          <w:spacing w:val="-1"/>
          <w:sz w:val="24"/>
        </w:rPr>
        <w:t> </w:t>
      </w:r>
      <w:r>
        <w:rPr>
          <w:sz w:val="24"/>
        </w:rPr>
        <w:t>over</w:t>
      </w:r>
      <w:r>
        <w:rPr>
          <w:spacing w:val="-1"/>
          <w:sz w:val="24"/>
        </w:rPr>
        <w:t> </w:t>
      </w:r>
      <w:r>
        <w:rPr>
          <w:spacing w:val="-2"/>
          <w:sz w:val="24"/>
        </w:rPr>
        <w:t>$5,000.00.</w:t>
      </w:r>
    </w:p>
    <w:p>
      <w:pPr>
        <w:pStyle w:val="ListParagraph"/>
        <w:numPr>
          <w:ilvl w:val="0"/>
          <w:numId w:val="161"/>
        </w:numPr>
        <w:tabs>
          <w:tab w:pos="786" w:val="left" w:leader="none"/>
        </w:tabs>
        <w:spacing w:line="417" w:lineRule="auto" w:before="204" w:after="0"/>
        <w:ind w:left="360" w:right="2300" w:firstLine="0"/>
        <w:jc w:val="left"/>
        <w:rPr>
          <w:sz w:val="24"/>
        </w:rPr>
      </w:pPr>
      <w:r>
        <w:rPr>
          <w:sz w:val="24"/>
        </w:rPr>
        <w:t>Documentation</w:t>
      </w:r>
      <w:r>
        <w:rPr>
          <w:spacing w:val="-4"/>
          <w:sz w:val="24"/>
        </w:rPr>
        <w:t> </w:t>
      </w:r>
      <w:r>
        <w:rPr>
          <w:sz w:val="24"/>
        </w:rPr>
        <w:t>in</w:t>
      </w:r>
      <w:r>
        <w:rPr>
          <w:spacing w:val="-4"/>
          <w:sz w:val="24"/>
        </w:rPr>
        <w:t> </w:t>
      </w:r>
      <w:r>
        <w:rPr>
          <w:sz w:val="24"/>
        </w:rPr>
        <w:t>a</w:t>
      </w:r>
      <w:r>
        <w:rPr>
          <w:spacing w:val="-4"/>
          <w:sz w:val="24"/>
        </w:rPr>
        <w:t> </w:t>
      </w:r>
      <w:r>
        <w:rPr>
          <w:sz w:val="24"/>
        </w:rPr>
        <w:t>case</w:t>
      </w:r>
      <w:r>
        <w:rPr>
          <w:spacing w:val="-4"/>
          <w:sz w:val="24"/>
        </w:rPr>
        <w:t> </w:t>
      </w:r>
      <w:r>
        <w:rPr>
          <w:sz w:val="24"/>
        </w:rPr>
        <w:t>note</w:t>
      </w:r>
      <w:r>
        <w:rPr>
          <w:spacing w:val="-4"/>
          <w:sz w:val="24"/>
        </w:rPr>
        <w:t> </w:t>
      </w:r>
      <w:r>
        <w:rPr>
          <w:sz w:val="24"/>
        </w:rPr>
        <w:t>of</w:t>
      </w:r>
      <w:r>
        <w:rPr>
          <w:spacing w:val="-3"/>
          <w:sz w:val="24"/>
        </w:rPr>
        <w:t> </w:t>
      </w:r>
      <w:r>
        <w:rPr>
          <w:sz w:val="24"/>
        </w:rPr>
        <w:t>when</w:t>
      </w:r>
      <w:r>
        <w:rPr>
          <w:spacing w:val="-4"/>
          <w:sz w:val="24"/>
        </w:rPr>
        <w:t> </w:t>
      </w:r>
      <w:r>
        <w:rPr>
          <w:sz w:val="24"/>
        </w:rPr>
        <w:t>verbal</w:t>
      </w:r>
      <w:r>
        <w:rPr>
          <w:spacing w:val="-4"/>
          <w:sz w:val="24"/>
        </w:rPr>
        <w:t> </w:t>
      </w:r>
      <w:r>
        <w:rPr>
          <w:sz w:val="24"/>
        </w:rPr>
        <w:t>approval</w:t>
      </w:r>
      <w:r>
        <w:rPr>
          <w:spacing w:val="-4"/>
          <w:sz w:val="24"/>
        </w:rPr>
        <w:t> </w:t>
      </w:r>
      <w:r>
        <w:rPr>
          <w:sz w:val="24"/>
        </w:rPr>
        <w:t>may</w:t>
      </w:r>
      <w:r>
        <w:rPr>
          <w:spacing w:val="-4"/>
          <w:sz w:val="24"/>
        </w:rPr>
        <w:t> </w:t>
      </w:r>
      <w:r>
        <w:rPr>
          <w:sz w:val="24"/>
        </w:rPr>
        <w:t>be</w:t>
      </w:r>
      <w:r>
        <w:rPr>
          <w:spacing w:val="-4"/>
          <w:sz w:val="24"/>
        </w:rPr>
        <w:t> </w:t>
      </w:r>
      <w:r>
        <w:rPr>
          <w:sz w:val="24"/>
        </w:rPr>
        <w:t>given. Instructions to Staff</w:t>
      </w:r>
    </w:p>
    <w:p>
      <w:pPr>
        <w:pStyle w:val="ListParagraph"/>
        <w:numPr>
          <w:ilvl w:val="0"/>
          <w:numId w:val="162"/>
        </w:numPr>
        <w:tabs>
          <w:tab w:pos="1078" w:val="left" w:leader="none"/>
        </w:tabs>
        <w:spacing w:line="208" w:lineRule="auto" w:before="28" w:after="0"/>
        <w:ind w:left="792" w:right="1018" w:firstLine="0"/>
        <w:jc w:val="left"/>
        <w:rPr>
          <w:sz w:val="24"/>
        </w:rPr>
      </w:pPr>
      <w:r>
        <w:rPr>
          <w:sz w:val="24"/>
        </w:rPr>
        <w:t>The</w:t>
      </w:r>
      <w:r>
        <w:rPr>
          <w:spacing w:val="-5"/>
          <w:sz w:val="24"/>
        </w:rPr>
        <w:t> </w:t>
      </w:r>
      <w:r>
        <w:rPr>
          <w:sz w:val="24"/>
        </w:rPr>
        <w:t>supervisor</w:t>
      </w:r>
      <w:r>
        <w:rPr>
          <w:spacing w:val="-4"/>
          <w:sz w:val="24"/>
        </w:rPr>
        <w:t> </w:t>
      </w:r>
      <w:r>
        <w:rPr>
          <w:sz w:val="24"/>
        </w:rPr>
        <w:t>indicates</w:t>
      </w:r>
      <w:r>
        <w:rPr>
          <w:spacing w:val="-5"/>
          <w:sz w:val="24"/>
        </w:rPr>
        <w:t> </w:t>
      </w:r>
      <w:r>
        <w:rPr>
          <w:sz w:val="24"/>
        </w:rPr>
        <w:t>approval</w:t>
      </w:r>
      <w:r>
        <w:rPr>
          <w:spacing w:val="-5"/>
          <w:sz w:val="24"/>
        </w:rPr>
        <w:t> </w:t>
      </w:r>
      <w:r>
        <w:rPr>
          <w:sz w:val="24"/>
        </w:rPr>
        <w:t>by</w:t>
      </w:r>
      <w:r>
        <w:rPr>
          <w:spacing w:val="-5"/>
          <w:sz w:val="24"/>
        </w:rPr>
        <w:t> </w:t>
      </w:r>
      <w:r>
        <w:rPr>
          <w:sz w:val="24"/>
        </w:rPr>
        <w:t>signing</w:t>
      </w:r>
      <w:r>
        <w:rPr>
          <w:spacing w:val="-4"/>
          <w:sz w:val="24"/>
        </w:rPr>
        <w:t> </w:t>
      </w:r>
      <w:r>
        <w:rPr>
          <w:sz w:val="24"/>
        </w:rPr>
        <w:t>the</w:t>
      </w:r>
      <w:r>
        <w:rPr>
          <w:spacing w:val="-5"/>
          <w:sz w:val="24"/>
        </w:rPr>
        <w:t> </w:t>
      </w:r>
      <w:r>
        <w:rPr>
          <w:sz w:val="24"/>
        </w:rPr>
        <w:t>appropriate</w:t>
      </w:r>
      <w:r>
        <w:rPr>
          <w:spacing w:val="-5"/>
          <w:sz w:val="24"/>
        </w:rPr>
        <w:t> </w:t>
      </w:r>
      <w:r>
        <w:rPr>
          <w:sz w:val="24"/>
        </w:rPr>
        <w:t>documentation</w:t>
      </w:r>
      <w:r>
        <w:rPr>
          <w:spacing w:val="-5"/>
          <w:sz w:val="24"/>
        </w:rPr>
        <w:t> </w:t>
      </w:r>
      <w:r>
        <w:rPr>
          <w:sz w:val="24"/>
        </w:rPr>
        <w:t>or form in the case, or by memorandum when necessary. Verbal approval may be given when circumstances warrant, but must be followed immediately by written </w:t>
      </w:r>
      <w:r>
        <w:rPr>
          <w:spacing w:val="-2"/>
          <w:sz w:val="24"/>
        </w:rPr>
        <w:t>approval.</w:t>
      </w:r>
    </w:p>
    <w:p>
      <w:pPr>
        <w:pStyle w:val="ListParagraph"/>
        <w:numPr>
          <w:ilvl w:val="0"/>
          <w:numId w:val="162"/>
        </w:numPr>
        <w:tabs>
          <w:tab w:pos="1078" w:val="left" w:leader="none"/>
        </w:tabs>
        <w:spacing w:line="208" w:lineRule="auto" w:before="240" w:after="0"/>
        <w:ind w:left="792" w:right="734" w:firstLine="0"/>
        <w:jc w:val="left"/>
        <w:rPr>
          <w:sz w:val="24"/>
        </w:rPr>
      </w:pPr>
      <w:r>
        <w:rPr>
          <w:sz w:val="24"/>
        </w:rPr>
        <w:t>The newly employed counselor/teacher will remain under intensive supervision until the counselor/teacher has reached a sufficient level of competence to work under general supervision as documented by the program manager. The release from intensive supervision will be given to the counselor/teacher in writing with a copy to the field coordinator. A counselor or teacher can be returned to intensive supervision when documentation or observation indicates he or she is no longer at</w:t>
      </w:r>
      <w:r>
        <w:rPr>
          <w:spacing w:val="40"/>
          <w:sz w:val="24"/>
        </w:rPr>
        <w:t> </w:t>
      </w:r>
      <w:r>
        <w:rPr>
          <w:sz w:val="24"/>
        </w:rPr>
        <w:t>a</w:t>
      </w:r>
      <w:r>
        <w:rPr>
          <w:spacing w:val="-4"/>
          <w:sz w:val="24"/>
        </w:rPr>
        <w:t> </w:t>
      </w:r>
      <w:r>
        <w:rPr>
          <w:sz w:val="24"/>
        </w:rPr>
        <w:t>level</w:t>
      </w:r>
      <w:r>
        <w:rPr>
          <w:spacing w:val="-4"/>
          <w:sz w:val="24"/>
        </w:rPr>
        <w:t> </w:t>
      </w:r>
      <w:r>
        <w:rPr>
          <w:sz w:val="24"/>
        </w:rPr>
        <w:t>of</w:t>
      </w:r>
      <w:r>
        <w:rPr>
          <w:spacing w:val="-3"/>
          <w:sz w:val="24"/>
        </w:rPr>
        <w:t> </w:t>
      </w:r>
      <w:r>
        <w:rPr>
          <w:sz w:val="24"/>
        </w:rPr>
        <w:t>competence</w:t>
      </w:r>
      <w:r>
        <w:rPr>
          <w:spacing w:val="-3"/>
          <w:sz w:val="24"/>
        </w:rPr>
        <w:t> </w:t>
      </w:r>
      <w:r>
        <w:rPr>
          <w:sz w:val="24"/>
        </w:rPr>
        <w:t>to</w:t>
      </w:r>
      <w:r>
        <w:rPr>
          <w:spacing w:val="-4"/>
          <w:sz w:val="24"/>
        </w:rPr>
        <w:t> </w:t>
      </w:r>
      <w:r>
        <w:rPr>
          <w:sz w:val="24"/>
        </w:rPr>
        <w:t>work</w:t>
      </w:r>
      <w:r>
        <w:rPr>
          <w:spacing w:val="-4"/>
          <w:sz w:val="24"/>
        </w:rPr>
        <w:t> </w:t>
      </w:r>
      <w:r>
        <w:rPr>
          <w:sz w:val="24"/>
        </w:rPr>
        <w:t>under</w:t>
      </w:r>
      <w:r>
        <w:rPr>
          <w:spacing w:val="-3"/>
          <w:sz w:val="24"/>
        </w:rPr>
        <w:t> </w:t>
      </w:r>
      <w:r>
        <w:rPr>
          <w:sz w:val="24"/>
        </w:rPr>
        <w:t>general</w:t>
      </w:r>
      <w:r>
        <w:rPr>
          <w:spacing w:val="-3"/>
          <w:sz w:val="24"/>
        </w:rPr>
        <w:t> </w:t>
      </w:r>
      <w:r>
        <w:rPr>
          <w:sz w:val="24"/>
        </w:rPr>
        <w:t>supervision.</w:t>
      </w:r>
      <w:r>
        <w:rPr>
          <w:spacing w:val="-3"/>
          <w:sz w:val="24"/>
        </w:rPr>
        <w:t> </w:t>
      </w:r>
      <w:r>
        <w:rPr>
          <w:sz w:val="24"/>
        </w:rPr>
        <w:t>This</w:t>
      </w:r>
      <w:r>
        <w:rPr>
          <w:spacing w:val="-4"/>
          <w:sz w:val="24"/>
        </w:rPr>
        <w:t> </w:t>
      </w:r>
      <w:r>
        <w:rPr>
          <w:sz w:val="24"/>
        </w:rPr>
        <w:t>decision</w:t>
      </w:r>
      <w:r>
        <w:rPr>
          <w:spacing w:val="-4"/>
          <w:sz w:val="24"/>
        </w:rPr>
        <w:t> </w:t>
      </w:r>
      <w:r>
        <w:rPr>
          <w:sz w:val="24"/>
        </w:rPr>
        <w:t>will</w:t>
      </w:r>
      <w:r>
        <w:rPr>
          <w:spacing w:val="-4"/>
          <w:sz w:val="24"/>
        </w:rPr>
        <w:t> </w:t>
      </w:r>
      <w:r>
        <w:rPr>
          <w:sz w:val="24"/>
        </w:rPr>
        <w:t>be</w:t>
      </w:r>
      <w:r>
        <w:rPr>
          <w:spacing w:val="-3"/>
          <w:sz w:val="24"/>
        </w:rPr>
        <w:t> </w:t>
      </w:r>
      <w:r>
        <w:rPr>
          <w:sz w:val="24"/>
        </w:rPr>
        <w:t>given to the counselor/teacher in writing with a copy to the field coordinator.</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775" w:firstLine="0"/>
        <w:jc w:val="left"/>
        <w:rPr>
          <w:sz w:val="22"/>
        </w:rPr>
      </w:pPr>
      <w:r>
        <w:rPr>
          <w:sz w:val="22"/>
        </w:rPr>
        <w:t>Permanent, first adoption under OAC Title 612, added delegation of supervisory authority,</w:t>
      </w:r>
      <w:r>
        <w:rPr>
          <w:spacing w:val="-4"/>
          <w:sz w:val="22"/>
        </w:rPr>
        <w:t> </w:t>
      </w:r>
      <w:r>
        <w:rPr>
          <w:sz w:val="22"/>
        </w:rPr>
        <w:t>verbal</w:t>
      </w:r>
      <w:r>
        <w:rPr>
          <w:spacing w:val="-4"/>
          <w:sz w:val="22"/>
        </w:rPr>
        <w:t> </w:t>
      </w:r>
      <w:r>
        <w:rPr>
          <w:sz w:val="22"/>
        </w:rPr>
        <w:t>approval</w:t>
      </w:r>
      <w:r>
        <w:rPr>
          <w:spacing w:val="-4"/>
          <w:sz w:val="22"/>
        </w:rPr>
        <w:t> </w:t>
      </w:r>
      <w:r>
        <w:rPr>
          <w:sz w:val="22"/>
        </w:rPr>
        <w:t>must</w:t>
      </w:r>
      <w:r>
        <w:rPr>
          <w:spacing w:val="-4"/>
          <w:sz w:val="22"/>
        </w:rPr>
        <w:t> </w:t>
      </w:r>
      <w:r>
        <w:rPr>
          <w:sz w:val="22"/>
        </w:rPr>
        <w:t>be</w:t>
      </w:r>
      <w:r>
        <w:rPr>
          <w:spacing w:val="-4"/>
          <w:sz w:val="22"/>
        </w:rPr>
        <w:t> </w:t>
      </w:r>
      <w:r>
        <w:rPr>
          <w:sz w:val="22"/>
        </w:rPr>
        <w:t>followed</w:t>
      </w:r>
      <w:r>
        <w:rPr>
          <w:spacing w:val="-4"/>
          <w:sz w:val="22"/>
        </w:rPr>
        <w:t> </w:t>
      </w:r>
      <w:r>
        <w:rPr>
          <w:sz w:val="22"/>
        </w:rPr>
        <w:t>by</w:t>
      </w:r>
      <w:r>
        <w:rPr>
          <w:spacing w:val="-4"/>
          <w:sz w:val="22"/>
        </w:rPr>
        <w:t> </w:t>
      </w:r>
      <w:r>
        <w:rPr>
          <w:sz w:val="22"/>
        </w:rPr>
        <w:t>written,</w:t>
      </w:r>
      <w:r>
        <w:rPr>
          <w:spacing w:val="-4"/>
          <w:sz w:val="22"/>
        </w:rPr>
        <w:t> </w:t>
      </w:r>
      <w:r>
        <w:rPr>
          <w:sz w:val="22"/>
        </w:rPr>
        <w:t>made</w:t>
      </w:r>
      <w:r>
        <w:rPr>
          <w:spacing w:val="-4"/>
          <w:sz w:val="22"/>
        </w:rPr>
        <w:t> </w:t>
      </w:r>
      <w:r>
        <w:rPr>
          <w:sz w:val="22"/>
        </w:rPr>
        <w:t>$10,000</w:t>
      </w:r>
      <w:r>
        <w:rPr>
          <w:spacing w:val="-4"/>
          <w:sz w:val="22"/>
        </w:rPr>
        <w:t> </w:t>
      </w:r>
      <w:r>
        <w:rPr>
          <w:sz w:val="22"/>
        </w:rPr>
        <w:t>limit</w:t>
      </w:r>
      <w:r>
        <w:rPr>
          <w:spacing w:val="-5"/>
          <w:sz w:val="22"/>
        </w:rPr>
        <w:t> </w:t>
      </w:r>
      <w:r>
        <w:rPr>
          <w:sz w:val="22"/>
        </w:rPr>
        <w:t>apply</w:t>
      </w:r>
      <w:r>
        <w:rPr>
          <w:spacing w:val="-4"/>
          <w:sz w:val="22"/>
        </w:rPr>
        <w:t> </w:t>
      </w:r>
      <w:r>
        <w:rPr>
          <w:sz w:val="22"/>
        </w:rPr>
        <w:t>to</w:t>
      </w:r>
    </w:p>
    <w:p>
      <w:pPr>
        <w:spacing w:after="0"/>
        <w:jc w:val="left"/>
        <w:rPr>
          <w:sz w:val="22"/>
        </w:rPr>
        <w:sectPr>
          <w:pgSz w:w="12240" w:h="15840"/>
          <w:pgMar w:top="1340" w:bottom="280" w:left="1080" w:right="720"/>
        </w:sectPr>
      </w:pPr>
    </w:p>
    <w:p>
      <w:pPr>
        <w:spacing w:before="80"/>
        <w:ind w:left="1440" w:right="775" w:firstLine="0"/>
        <w:jc w:val="left"/>
        <w:rPr>
          <w:sz w:val="22"/>
        </w:rPr>
      </w:pPr>
      <w:r>
        <w:rPr>
          <w:sz w:val="22"/>
        </w:rPr>
        <w:t>life</w:t>
      </w:r>
      <w:r>
        <w:rPr>
          <w:spacing w:val="-4"/>
          <w:sz w:val="22"/>
        </w:rPr>
        <w:t> </w:t>
      </w:r>
      <w:r>
        <w:rPr>
          <w:sz w:val="22"/>
        </w:rPr>
        <w:t>of</w:t>
      </w:r>
      <w:r>
        <w:rPr>
          <w:spacing w:val="-4"/>
          <w:sz w:val="22"/>
        </w:rPr>
        <w:t> </w:t>
      </w:r>
      <w:r>
        <w:rPr>
          <w:sz w:val="22"/>
        </w:rPr>
        <w:t>case,</w:t>
      </w:r>
      <w:r>
        <w:rPr>
          <w:spacing w:val="-5"/>
          <w:sz w:val="22"/>
        </w:rPr>
        <w:t> </w:t>
      </w:r>
      <w:r>
        <w:rPr>
          <w:sz w:val="22"/>
        </w:rPr>
        <w:t>added</w:t>
      </w:r>
      <w:r>
        <w:rPr>
          <w:spacing w:val="-4"/>
          <w:sz w:val="22"/>
        </w:rPr>
        <w:t> </w:t>
      </w:r>
      <w:r>
        <w:rPr>
          <w:sz w:val="22"/>
        </w:rPr>
        <w:t>approval</w:t>
      </w:r>
      <w:r>
        <w:rPr>
          <w:spacing w:val="-4"/>
          <w:sz w:val="22"/>
        </w:rPr>
        <w:t> </w:t>
      </w:r>
      <w:r>
        <w:rPr>
          <w:sz w:val="22"/>
        </w:rPr>
        <w:t>of</w:t>
      </w:r>
      <w:r>
        <w:rPr>
          <w:spacing w:val="-4"/>
          <w:sz w:val="22"/>
        </w:rPr>
        <w:t> </w:t>
      </w:r>
      <w:r>
        <w:rPr>
          <w:sz w:val="22"/>
        </w:rPr>
        <w:t>medication</w:t>
      </w:r>
      <w:r>
        <w:rPr>
          <w:spacing w:val="-4"/>
          <w:sz w:val="22"/>
        </w:rPr>
        <w:t> </w:t>
      </w:r>
      <w:r>
        <w:rPr>
          <w:sz w:val="22"/>
        </w:rPr>
        <w:t>over</w:t>
      </w:r>
      <w:r>
        <w:rPr>
          <w:spacing w:val="-6"/>
          <w:sz w:val="22"/>
        </w:rPr>
        <w:t> </w:t>
      </w:r>
      <w:r>
        <w:rPr>
          <w:sz w:val="22"/>
        </w:rPr>
        <w:t>$3000,</w:t>
      </w:r>
      <w:r>
        <w:rPr>
          <w:spacing w:val="-4"/>
          <w:sz w:val="22"/>
        </w:rPr>
        <w:t> </w:t>
      </w:r>
      <w:r>
        <w:rPr>
          <w:sz w:val="22"/>
        </w:rPr>
        <w:t>added</w:t>
      </w:r>
      <w:r>
        <w:rPr>
          <w:spacing w:val="-4"/>
          <w:sz w:val="22"/>
        </w:rPr>
        <w:t> </w:t>
      </w:r>
      <w:r>
        <w:rPr>
          <w:sz w:val="22"/>
        </w:rPr>
        <w:t>purchase</w:t>
      </w:r>
      <w:r>
        <w:rPr>
          <w:spacing w:val="-4"/>
          <w:sz w:val="22"/>
        </w:rPr>
        <w:t> </w:t>
      </w:r>
      <w:r>
        <w:rPr>
          <w:sz w:val="22"/>
        </w:rPr>
        <w:t>requisition approvals to this list to reflect actual practice</w:t>
      </w:r>
    </w:p>
    <w:p>
      <w:pPr>
        <w:tabs>
          <w:tab w:pos="1439" w:val="left" w:leader="none"/>
        </w:tabs>
        <w:spacing w:line="252" w:lineRule="exact" w:before="0"/>
        <w:ind w:left="360" w:right="0" w:firstLine="0"/>
        <w:jc w:val="left"/>
        <w:rPr>
          <w:sz w:val="22"/>
        </w:rPr>
      </w:pPr>
      <w:r>
        <w:rPr>
          <w:spacing w:val="-2"/>
          <w:sz w:val="22"/>
        </w:rPr>
        <w:t>4-3-</w:t>
      </w:r>
      <w:r>
        <w:rPr>
          <w:spacing w:val="-5"/>
          <w:sz w:val="22"/>
        </w:rPr>
        <w:t>96</w:t>
      </w:r>
      <w:r>
        <w:rPr>
          <w:sz w:val="22"/>
        </w:rPr>
        <w:tab/>
        <w:t>PT</w:t>
      </w:r>
      <w:r>
        <w:rPr>
          <w:spacing w:val="-8"/>
          <w:sz w:val="22"/>
        </w:rPr>
        <w:t> </w:t>
      </w:r>
      <w:r>
        <w:rPr>
          <w:sz w:val="22"/>
        </w:rPr>
        <w:t>Memo</w:t>
      </w:r>
      <w:r>
        <w:rPr>
          <w:spacing w:val="-8"/>
          <w:sz w:val="22"/>
        </w:rPr>
        <w:t> </w:t>
      </w:r>
      <w:r>
        <w:rPr>
          <w:sz w:val="22"/>
        </w:rPr>
        <w:t>#96-</w:t>
      </w:r>
      <w:r>
        <w:rPr>
          <w:spacing w:val="-10"/>
          <w:sz w:val="22"/>
        </w:rPr>
        <w:t>2</w:t>
      </w:r>
    </w:p>
    <w:p>
      <w:pPr>
        <w:spacing w:before="0"/>
        <w:ind w:left="1439" w:right="775" w:firstLine="0"/>
        <w:jc w:val="left"/>
        <w:rPr>
          <w:sz w:val="22"/>
        </w:rPr>
      </w:pPr>
      <w:r>
        <w:rPr>
          <w:sz w:val="22"/>
        </w:rPr>
        <w:t>Emergency,</w:t>
      </w:r>
      <w:r>
        <w:rPr>
          <w:spacing w:val="-5"/>
          <w:sz w:val="22"/>
        </w:rPr>
        <w:t> </w:t>
      </w:r>
      <w:r>
        <w:rPr>
          <w:sz w:val="22"/>
        </w:rPr>
        <w:t>clarified</w:t>
      </w:r>
      <w:r>
        <w:rPr>
          <w:spacing w:val="-5"/>
          <w:sz w:val="22"/>
        </w:rPr>
        <w:t> </w:t>
      </w:r>
      <w:r>
        <w:rPr>
          <w:sz w:val="22"/>
        </w:rPr>
        <w:t>probationary</w:t>
      </w:r>
      <w:r>
        <w:rPr>
          <w:spacing w:val="-5"/>
          <w:sz w:val="22"/>
        </w:rPr>
        <w:t> </w:t>
      </w:r>
      <w:r>
        <w:rPr>
          <w:sz w:val="22"/>
        </w:rPr>
        <w:t>period</w:t>
      </w:r>
      <w:r>
        <w:rPr>
          <w:spacing w:val="-5"/>
          <w:sz w:val="22"/>
        </w:rPr>
        <w:t> </w:t>
      </w:r>
      <w:r>
        <w:rPr>
          <w:sz w:val="22"/>
        </w:rPr>
        <w:t>and</w:t>
      </w:r>
      <w:r>
        <w:rPr>
          <w:spacing w:val="-5"/>
          <w:sz w:val="22"/>
        </w:rPr>
        <w:t> </w:t>
      </w:r>
      <w:r>
        <w:rPr>
          <w:sz w:val="22"/>
        </w:rPr>
        <w:t>intensive</w:t>
      </w:r>
      <w:r>
        <w:rPr>
          <w:spacing w:val="-5"/>
          <w:sz w:val="22"/>
        </w:rPr>
        <w:t> </w:t>
      </w:r>
      <w:r>
        <w:rPr>
          <w:sz w:val="22"/>
        </w:rPr>
        <w:t>supervision</w:t>
      </w:r>
      <w:r>
        <w:rPr>
          <w:spacing w:val="-5"/>
          <w:sz w:val="22"/>
        </w:rPr>
        <w:t> </w:t>
      </w:r>
      <w:r>
        <w:rPr>
          <w:sz w:val="22"/>
        </w:rPr>
        <w:t>for</w:t>
      </w:r>
      <w:r>
        <w:rPr>
          <w:spacing w:val="-7"/>
          <w:sz w:val="22"/>
        </w:rPr>
        <w:t> </w:t>
      </w:r>
      <w:r>
        <w:rPr>
          <w:sz w:val="22"/>
        </w:rPr>
        <w:t>counselors, added approval of plans with physical restoration services lasting over 3 months</w:t>
      </w:r>
    </w:p>
    <w:p>
      <w:pPr>
        <w:tabs>
          <w:tab w:pos="1439" w:val="left" w:leader="none"/>
        </w:tabs>
        <w:spacing w:before="0"/>
        <w:ind w:left="360" w:right="0" w:firstLine="0"/>
        <w:jc w:val="left"/>
        <w:rPr>
          <w:sz w:val="22"/>
        </w:rPr>
      </w:pPr>
      <w:r>
        <w:rPr>
          <w:spacing w:val="-2"/>
          <w:sz w:val="22"/>
        </w:rPr>
        <w:t>3-1-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5</w:t>
      </w:r>
    </w:p>
    <w:p>
      <w:pPr>
        <w:tabs>
          <w:tab w:pos="1439" w:val="left" w:leader="none"/>
        </w:tabs>
        <w:spacing w:before="1"/>
        <w:ind w:left="360" w:right="1368" w:firstLine="1080"/>
        <w:jc w:val="left"/>
        <w:rPr>
          <w:sz w:val="22"/>
        </w:rPr>
      </w:pPr>
      <w:r>
        <w:rPr>
          <w:sz w:val="22"/>
        </w:rPr>
        <w:t>Emergency,</w:t>
      </w:r>
      <w:r>
        <w:rPr>
          <w:spacing w:val="-4"/>
          <w:sz w:val="22"/>
        </w:rPr>
        <w:t> </w:t>
      </w:r>
      <w:r>
        <w:rPr>
          <w:sz w:val="22"/>
        </w:rPr>
        <w:t>changed</w:t>
      </w:r>
      <w:r>
        <w:rPr>
          <w:spacing w:val="-4"/>
          <w:sz w:val="22"/>
        </w:rPr>
        <w:t> </w:t>
      </w:r>
      <w:r>
        <w:rPr>
          <w:sz w:val="22"/>
        </w:rPr>
        <w:t>approvals</w:t>
      </w:r>
      <w:r>
        <w:rPr>
          <w:spacing w:val="-4"/>
          <w:sz w:val="22"/>
        </w:rPr>
        <w:t> </w:t>
      </w:r>
      <w:r>
        <w:rPr>
          <w:sz w:val="22"/>
        </w:rPr>
        <w:t>so</w:t>
      </w:r>
      <w:r>
        <w:rPr>
          <w:spacing w:val="-5"/>
          <w:sz w:val="22"/>
        </w:rPr>
        <w:t> </w:t>
      </w:r>
      <w:r>
        <w:rPr>
          <w:sz w:val="22"/>
        </w:rPr>
        <w:t>that</w:t>
      </w:r>
      <w:r>
        <w:rPr>
          <w:spacing w:val="-4"/>
          <w:sz w:val="22"/>
        </w:rPr>
        <w:t> </w:t>
      </w:r>
      <w:r>
        <w:rPr>
          <w:sz w:val="22"/>
        </w:rPr>
        <w:t>most</w:t>
      </w:r>
      <w:r>
        <w:rPr>
          <w:spacing w:val="-4"/>
          <w:sz w:val="22"/>
        </w:rPr>
        <w:t> </w:t>
      </w:r>
      <w:r>
        <w:rPr>
          <w:sz w:val="22"/>
        </w:rPr>
        <w:t>apply</w:t>
      </w:r>
      <w:r>
        <w:rPr>
          <w:spacing w:val="-4"/>
          <w:sz w:val="22"/>
        </w:rPr>
        <w:t> </w:t>
      </w:r>
      <w:r>
        <w:rPr>
          <w:sz w:val="22"/>
        </w:rPr>
        <w:t>to</w:t>
      </w:r>
      <w:r>
        <w:rPr>
          <w:spacing w:val="-4"/>
          <w:sz w:val="22"/>
        </w:rPr>
        <w:t> </w:t>
      </w:r>
      <w:r>
        <w:rPr>
          <w:sz w:val="22"/>
        </w:rPr>
        <w:t>IRP</w:t>
      </w:r>
      <w:r>
        <w:rPr>
          <w:spacing w:val="-4"/>
          <w:sz w:val="22"/>
        </w:rPr>
        <w:t> </w:t>
      </w:r>
      <w:r>
        <w:rPr>
          <w:sz w:val="22"/>
        </w:rPr>
        <w:t>rather</w:t>
      </w:r>
      <w:r>
        <w:rPr>
          <w:spacing w:val="-4"/>
          <w:sz w:val="22"/>
        </w:rPr>
        <w:t> </w:t>
      </w:r>
      <w:r>
        <w:rPr>
          <w:sz w:val="22"/>
        </w:rPr>
        <w:t>than</w:t>
      </w:r>
      <w:r>
        <w:rPr>
          <w:spacing w:val="-4"/>
          <w:sz w:val="22"/>
        </w:rPr>
        <w:t> </w:t>
      </w:r>
      <w:r>
        <w:rPr>
          <w:sz w:val="22"/>
        </w:rPr>
        <w:t>to</w:t>
      </w:r>
      <w:r>
        <w:rPr>
          <w:spacing w:val="-5"/>
          <w:sz w:val="22"/>
        </w:rPr>
        <w:t> </w:t>
      </w:r>
      <w:r>
        <w:rPr>
          <w:sz w:val="22"/>
        </w:rPr>
        <w:t>action </w:t>
      </w:r>
      <w:r>
        <w:rPr>
          <w:spacing w:val="-2"/>
          <w:sz w:val="22"/>
        </w:rPr>
        <w:t>7-1-97</w:t>
      </w:r>
      <w:r>
        <w:rPr>
          <w:sz w:val="22"/>
        </w:rPr>
        <w:tab/>
        <w:t>PT Memo #97-9</w:t>
      </w:r>
    </w:p>
    <w:p>
      <w:pPr>
        <w:tabs>
          <w:tab w:pos="1439" w:val="left" w:leader="none"/>
        </w:tabs>
        <w:spacing w:before="0"/>
        <w:ind w:left="360" w:right="2454" w:firstLine="1080"/>
        <w:jc w:val="left"/>
        <w:rPr>
          <w:sz w:val="22"/>
        </w:rPr>
      </w:pPr>
      <w:r>
        <w:rPr>
          <w:sz w:val="22"/>
        </w:rPr>
        <w:t>Permanent,</w:t>
      </w:r>
      <w:r>
        <w:rPr>
          <w:spacing w:val="-5"/>
          <w:sz w:val="22"/>
        </w:rPr>
        <w:t> </w:t>
      </w:r>
      <w:r>
        <w:rPr>
          <w:sz w:val="22"/>
        </w:rPr>
        <w:t>supersedes</w:t>
      </w:r>
      <w:r>
        <w:rPr>
          <w:spacing w:val="-7"/>
          <w:sz w:val="22"/>
        </w:rPr>
        <w:t> </w:t>
      </w:r>
      <w:r>
        <w:rPr>
          <w:sz w:val="22"/>
        </w:rPr>
        <w:t>emergency</w:t>
      </w:r>
      <w:r>
        <w:rPr>
          <w:spacing w:val="-6"/>
          <w:sz w:val="22"/>
        </w:rPr>
        <w:t> </w:t>
      </w:r>
      <w:r>
        <w:rPr>
          <w:sz w:val="22"/>
        </w:rPr>
        <w:t>rules</w:t>
      </w:r>
      <w:r>
        <w:rPr>
          <w:spacing w:val="-6"/>
          <w:sz w:val="22"/>
        </w:rPr>
        <w:t> </w:t>
      </w:r>
      <w:r>
        <w:rPr>
          <w:sz w:val="22"/>
        </w:rPr>
        <w:t>issued</w:t>
      </w:r>
      <w:r>
        <w:rPr>
          <w:spacing w:val="-7"/>
          <w:sz w:val="22"/>
        </w:rPr>
        <w:t> </w:t>
      </w:r>
      <w:r>
        <w:rPr>
          <w:sz w:val="22"/>
        </w:rPr>
        <w:t>4-3-96</w:t>
      </w:r>
      <w:r>
        <w:rPr>
          <w:spacing w:val="-6"/>
          <w:sz w:val="22"/>
        </w:rPr>
        <w:t> </w:t>
      </w:r>
      <w:r>
        <w:rPr>
          <w:sz w:val="22"/>
        </w:rPr>
        <w:t>and</w:t>
      </w:r>
      <w:r>
        <w:rPr>
          <w:spacing w:val="-6"/>
          <w:sz w:val="22"/>
        </w:rPr>
        <w:t> </w:t>
      </w:r>
      <w:r>
        <w:rPr>
          <w:sz w:val="22"/>
        </w:rPr>
        <w:t>3-1-97 </w:t>
      </w:r>
      <w:r>
        <w:rPr>
          <w:spacing w:val="-2"/>
          <w:sz w:val="22"/>
        </w:rPr>
        <w:t>7-1-98</w:t>
      </w:r>
      <w:r>
        <w:rPr>
          <w:sz w:val="22"/>
        </w:rPr>
        <w:tab/>
        <w:t>PT Memo #98-15</w:t>
      </w:r>
    </w:p>
    <w:p>
      <w:pPr>
        <w:spacing w:before="0"/>
        <w:ind w:left="1439" w:right="775" w:firstLine="0"/>
        <w:jc w:val="left"/>
        <w:rPr>
          <w:sz w:val="22"/>
        </w:rPr>
      </w:pPr>
      <w:r>
        <w:rPr>
          <w:sz w:val="22"/>
        </w:rPr>
        <w:t>Permanent, OJT no longer requires supervisory approval; 08 closures no longer require</w:t>
      </w:r>
      <w:r>
        <w:rPr>
          <w:spacing w:val="-4"/>
          <w:sz w:val="22"/>
        </w:rPr>
        <w:t> </w:t>
      </w:r>
      <w:r>
        <w:rPr>
          <w:sz w:val="22"/>
        </w:rPr>
        <w:t>supervisory</w:t>
      </w:r>
      <w:r>
        <w:rPr>
          <w:spacing w:val="-4"/>
          <w:sz w:val="22"/>
        </w:rPr>
        <w:t> </w:t>
      </w:r>
      <w:r>
        <w:rPr>
          <w:sz w:val="22"/>
        </w:rPr>
        <w:t>approval;</w:t>
      </w:r>
      <w:r>
        <w:rPr>
          <w:spacing w:val="-4"/>
          <w:sz w:val="22"/>
        </w:rPr>
        <w:t> </w:t>
      </w:r>
      <w:r>
        <w:rPr>
          <w:sz w:val="22"/>
        </w:rPr>
        <w:t>dental</w:t>
      </w:r>
      <w:r>
        <w:rPr>
          <w:spacing w:val="-5"/>
          <w:sz w:val="22"/>
        </w:rPr>
        <w:t> </w:t>
      </w:r>
      <w:r>
        <w:rPr>
          <w:sz w:val="22"/>
        </w:rPr>
        <w:t>as</w:t>
      </w:r>
      <w:r>
        <w:rPr>
          <w:spacing w:val="-4"/>
          <w:sz w:val="22"/>
        </w:rPr>
        <w:t> </w:t>
      </w:r>
      <w:r>
        <w:rPr>
          <w:sz w:val="22"/>
        </w:rPr>
        <w:t>primary</w:t>
      </w:r>
      <w:r>
        <w:rPr>
          <w:spacing w:val="-4"/>
          <w:sz w:val="22"/>
        </w:rPr>
        <w:t> </w:t>
      </w:r>
      <w:r>
        <w:rPr>
          <w:sz w:val="22"/>
        </w:rPr>
        <w:t>disability</w:t>
      </w:r>
      <w:r>
        <w:rPr>
          <w:spacing w:val="-4"/>
          <w:sz w:val="22"/>
        </w:rPr>
        <w:t> </w:t>
      </w:r>
      <w:r>
        <w:rPr>
          <w:sz w:val="22"/>
        </w:rPr>
        <w:t>does</w:t>
      </w:r>
      <w:r>
        <w:rPr>
          <w:spacing w:val="-4"/>
          <w:sz w:val="22"/>
        </w:rPr>
        <w:t> </w:t>
      </w:r>
      <w:r>
        <w:rPr>
          <w:sz w:val="22"/>
        </w:rPr>
        <w:t>require</w:t>
      </w:r>
      <w:r>
        <w:rPr>
          <w:spacing w:val="-4"/>
          <w:sz w:val="22"/>
        </w:rPr>
        <w:t> </w:t>
      </w:r>
      <w:r>
        <w:rPr>
          <w:sz w:val="22"/>
        </w:rPr>
        <w:t>supervisory </w:t>
      </w:r>
      <w:r>
        <w:rPr>
          <w:spacing w:val="-2"/>
          <w:sz w:val="22"/>
        </w:rPr>
        <w:t>approval</w:t>
      </w:r>
    </w:p>
    <w:p>
      <w:pPr>
        <w:tabs>
          <w:tab w:pos="1439" w:val="left" w:leader="none"/>
        </w:tabs>
        <w:spacing w:line="253" w:lineRule="exact" w:before="0"/>
        <w:ind w:left="360" w:right="0" w:firstLine="0"/>
        <w:jc w:val="left"/>
        <w:rPr>
          <w:sz w:val="22"/>
        </w:rPr>
      </w:pPr>
      <w:r>
        <w:rPr>
          <w:spacing w:val="-2"/>
          <w:sz w:val="22"/>
        </w:rPr>
        <w:t>6-14-</w:t>
      </w:r>
      <w:r>
        <w:rPr>
          <w:spacing w:val="-5"/>
          <w:sz w:val="22"/>
        </w:rPr>
        <w:t>99</w:t>
      </w:r>
      <w:r>
        <w:rPr>
          <w:sz w:val="22"/>
        </w:rPr>
        <w:tab/>
        <w:t>POL</w:t>
      </w:r>
      <w:r>
        <w:rPr>
          <w:spacing w:val="-9"/>
          <w:sz w:val="22"/>
        </w:rPr>
        <w:t> </w:t>
      </w:r>
      <w:r>
        <w:rPr>
          <w:sz w:val="22"/>
        </w:rPr>
        <w:t>Memo</w:t>
      </w:r>
      <w:r>
        <w:rPr>
          <w:spacing w:val="-8"/>
          <w:sz w:val="22"/>
        </w:rPr>
        <w:t> </w:t>
      </w:r>
      <w:r>
        <w:rPr>
          <w:sz w:val="22"/>
        </w:rPr>
        <w:t>#99-</w:t>
      </w:r>
      <w:r>
        <w:rPr>
          <w:spacing w:val="-10"/>
          <w:sz w:val="22"/>
        </w:rPr>
        <w:t>7</w:t>
      </w:r>
    </w:p>
    <w:p>
      <w:pPr>
        <w:spacing w:before="0"/>
        <w:ind w:left="1439" w:right="721" w:firstLine="0"/>
        <w:jc w:val="both"/>
        <w:rPr>
          <w:sz w:val="22"/>
        </w:rPr>
      </w:pPr>
      <w:r>
        <w:rPr>
          <w:sz w:val="22"/>
        </w:rPr>
        <w:t>Emergency,</w:t>
      </w:r>
      <w:r>
        <w:rPr>
          <w:spacing w:val="-1"/>
          <w:sz w:val="22"/>
        </w:rPr>
        <w:t> </w:t>
      </w:r>
      <w:r>
        <w:rPr>
          <w:sz w:val="22"/>
        </w:rPr>
        <w:t>updated</w:t>
      </w:r>
      <w:r>
        <w:rPr>
          <w:spacing w:val="-1"/>
          <w:sz w:val="22"/>
        </w:rPr>
        <w:t> </w:t>
      </w:r>
      <w:r>
        <w:rPr>
          <w:sz w:val="22"/>
        </w:rPr>
        <w:t>DVR/DVS</w:t>
      </w:r>
      <w:r>
        <w:rPr>
          <w:spacing w:val="-1"/>
          <w:sz w:val="22"/>
        </w:rPr>
        <w:t> </w:t>
      </w:r>
      <w:r>
        <w:rPr>
          <w:sz w:val="22"/>
        </w:rPr>
        <w:t>and</w:t>
      </w:r>
      <w:r>
        <w:rPr>
          <w:spacing w:val="-1"/>
          <w:sz w:val="22"/>
        </w:rPr>
        <w:t> </w:t>
      </w:r>
      <w:r>
        <w:rPr>
          <w:sz w:val="22"/>
        </w:rPr>
        <w:t>IRP</w:t>
      </w:r>
      <w:r>
        <w:rPr>
          <w:spacing w:val="-1"/>
          <w:sz w:val="22"/>
        </w:rPr>
        <w:t> </w:t>
      </w:r>
      <w:r>
        <w:rPr>
          <w:sz w:val="22"/>
        </w:rPr>
        <w:t>to</w:t>
      </w:r>
      <w:r>
        <w:rPr>
          <w:spacing w:val="-1"/>
          <w:sz w:val="22"/>
        </w:rPr>
        <w:t> </w:t>
      </w:r>
      <w:r>
        <w:rPr>
          <w:sz w:val="22"/>
        </w:rPr>
        <w:t>IPE;</w:t>
      </w:r>
      <w:r>
        <w:rPr>
          <w:spacing w:val="-1"/>
          <w:sz w:val="22"/>
        </w:rPr>
        <w:t> </w:t>
      </w:r>
      <w:r>
        <w:rPr>
          <w:sz w:val="22"/>
        </w:rPr>
        <w:t>changed</w:t>
      </w:r>
      <w:r>
        <w:rPr>
          <w:spacing w:val="-1"/>
          <w:sz w:val="22"/>
        </w:rPr>
        <w:t> </w:t>
      </w:r>
      <w:r>
        <w:rPr>
          <w:sz w:val="22"/>
        </w:rPr>
        <w:t>extended</w:t>
      </w:r>
      <w:r>
        <w:rPr>
          <w:spacing w:val="-1"/>
          <w:sz w:val="22"/>
        </w:rPr>
        <w:t> </w:t>
      </w:r>
      <w:r>
        <w:rPr>
          <w:sz w:val="22"/>
        </w:rPr>
        <w:t>evaluation</w:t>
      </w:r>
      <w:r>
        <w:rPr>
          <w:spacing w:val="-1"/>
          <w:sz w:val="22"/>
        </w:rPr>
        <w:t> </w:t>
      </w:r>
      <w:r>
        <w:rPr>
          <w:sz w:val="22"/>
        </w:rPr>
        <w:t>to</w:t>
      </w:r>
      <w:r>
        <w:rPr>
          <w:spacing w:val="-1"/>
          <w:sz w:val="22"/>
        </w:rPr>
        <w:t> </w:t>
      </w:r>
      <w:r>
        <w:rPr>
          <w:sz w:val="22"/>
        </w:rPr>
        <w:t>trial work</w:t>
      </w:r>
      <w:r>
        <w:rPr>
          <w:spacing w:val="-5"/>
          <w:sz w:val="22"/>
        </w:rPr>
        <w:t> </w:t>
      </w:r>
      <w:r>
        <w:rPr>
          <w:sz w:val="22"/>
        </w:rPr>
        <w:t>experience;</w:t>
      </w:r>
      <w:r>
        <w:rPr>
          <w:spacing w:val="-5"/>
          <w:sz w:val="22"/>
        </w:rPr>
        <w:t> </w:t>
      </w:r>
      <w:r>
        <w:rPr>
          <w:sz w:val="22"/>
        </w:rPr>
        <w:t>removed</w:t>
      </w:r>
      <w:r>
        <w:rPr>
          <w:spacing w:val="-5"/>
          <w:sz w:val="22"/>
        </w:rPr>
        <w:t> </w:t>
      </w:r>
      <w:r>
        <w:rPr>
          <w:sz w:val="22"/>
        </w:rPr>
        <w:t>reference</w:t>
      </w:r>
      <w:r>
        <w:rPr>
          <w:spacing w:val="-5"/>
          <w:sz w:val="22"/>
        </w:rPr>
        <w:t> </w:t>
      </w:r>
      <w:r>
        <w:rPr>
          <w:sz w:val="22"/>
        </w:rPr>
        <w:t>to</w:t>
      </w:r>
      <w:r>
        <w:rPr>
          <w:spacing w:val="-5"/>
          <w:sz w:val="22"/>
        </w:rPr>
        <w:t> </w:t>
      </w:r>
      <w:r>
        <w:rPr>
          <w:sz w:val="22"/>
        </w:rPr>
        <w:t>Certification</w:t>
      </w:r>
      <w:r>
        <w:rPr>
          <w:spacing w:val="-5"/>
          <w:sz w:val="22"/>
        </w:rPr>
        <w:t> </w:t>
      </w:r>
      <w:r>
        <w:rPr>
          <w:sz w:val="22"/>
        </w:rPr>
        <w:t>of</w:t>
      </w:r>
      <w:r>
        <w:rPr>
          <w:spacing w:val="-5"/>
          <w:sz w:val="22"/>
        </w:rPr>
        <w:t> </w:t>
      </w:r>
      <w:r>
        <w:rPr>
          <w:sz w:val="22"/>
        </w:rPr>
        <w:t>Eligibility/Extended</w:t>
      </w:r>
      <w:r>
        <w:rPr>
          <w:spacing w:val="-5"/>
          <w:sz w:val="22"/>
        </w:rPr>
        <w:t> </w:t>
      </w:r>
      <w:r>
        <w:rPr>
          <w:sz w:val="22"/>
        </w:rPr>
        <w:t>Evaluation </w:t>
      </w:r>
      <w:r>
        <w:rPr>
          <w:spacing w:val="-4"/>
          <w:sz w:val="22"/>
        </w:rPr>
        <w:t>form</w:t>
      </w:r>
    </w:p>
    <w:p>
      <w:pPr>
        <w:spacing w:line="253" w:lineRule="exact" w:before="0"/>
        <w:ind w:left="360" w:right="0" w:firstLine="0"/>
        <w:jc w:val="both"/>
        <w:rPr>
          <w:sz w:val="22"/>
        </w:rPr>
      </w:pPr>
      <w:r>
        <w:rPr>
          <w:sz w:val="22"/>
        </w:rPr>
        <w:t>7-1-99</w:t>
      </w:r>
      <w:r>
        <w:rPr>
          <w:spacing w:val="49"/>
          <w:w w:val="150"/>
          <w:sz w:val="22"/>
        </w:rPr>
        <w:t>   </w:t>
      </w:r>
      <w:r>
        <w:rPr>
          <w:sz w:val="22"/>
        </w:rPr>
        <w:t>POL</w:t>
      </w:r>
      <w:r>
        <w:rPr>
          <w:spacing w:val="-1"/>
          <w:sz w:val="22"/>
        </w:rPr>
        <w:t> </w:t>
      </w:r>
      <w:r>
        <w:rPr>
          <w:sz w:val="22"/>
        </w:rPr>
        <w:t>Memo</w:t>
      </w:r>
      <w:r>
        <w:rPr>
          <w:spacing w:val="-2"/>
          <w:sz w:val="22"/>
        </w:rPr>
        <w:t> </w:t>
      </w:r>
      <w:r>
        <w:rPr>
          <w:sz w:val="22"/>
        </w:rPr>
        <w:t>#00-</w:t>
      </w:r>
      <w:r>
        <w:rPr>
          <w:spacing w:val="-10"/>
          <w:sz w:val="22"/>
        </w:rPr>
        <w:t>1</w:t>
      </w:r>
    </w:p>
    <w:p>
      <w:pPr>
        <w:tabs>
          <w:tab w:pos="1439" w:val="left" w:leader="none"/>
        </w:tabs>
        <w:spacing w:before="0"/>
        <w:ind w:left="360"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7-1-01</w:t>
      </w:r>
      <w:r>
        <w:rPr>
          <w:sz w:val="22"/>
        </w:rPr>
        <w:tab/>
        <w:t>PT Memo #01-08</w:t>
      </w:r>
    </w:p>
    <w:p>
      <w:pPr>
        <w:tabs>
          <w:tab w:pos="1439" w:val="left" w:leader="none"/>
        </w:tabs>
        <w:spacing w:before="0"/>
        <w:ind w:left="360" w:right="4711" w:firstLine="1080"/>
        <w:jc w:val="left"/>
        <w:rPr>
          <w:sz w:val="22"/>
        </w:rPr>
      </w:pPr>
      <w:r>
        <w:rPr>
          <w:sz w:val="22"/>
        </w:rPr>
        <w:t>Permanent,</w:t>
      </w:r>
      <w:r>
        <w:rPr>
          <w:spacing w:val="-9"/>
          <w:sz w:val="22"/>
        </w:rPr>
        <w:t> </w:t>
      </w:r>
      <w:r>
        <w:rPr>
          <w:sz w:val="22"/>
        </w:rPr>
        <w:t>change</w:t>
      </w:r>
      <w:r>
        <w:rPr>
          <w:spacing w:val="-10"/>
          <w:sz w:val="22"/>
        </w:rPr>
        <w:t> </w:t>
      </w:r>
      <w:r>
        <w:rPr>
          <w:sz w:val="22"/>
        </w:rPr>
        <w:t>in</w:t>
      </w:r>
      <w:r>
        <w:rPr>
          <w:spacing w:val="-10"/>
          <w:sz w:val="22"/>
        </w:rPr>
        <w:t> </w:t>
      </w:r>
      <w:r>
        <w:rPr>
          <w:sz w:val="22"/>
        </w:rPr>
        <w:t>supervisor's</w:t>
      </w:r>
      <w:r>
        <w:rPr>
          <w:spacing w:val="-11"/>
          <w:sz w:val="22"/>
        </w:rPr>
        <w:t> </w:t>
      </w:r>
      <w:r>
        <w:rPr>
          <w:sz w:val="22"/>
        </w:rPr>
        <w:t>approval </w:t>
      </w:r>
      <w:r>
        <w:rPr>
          <w:spacing w:val="-2"/>
          <w:sz w:val="22"/>
        </w:rPr>
        <w:t>7-1-03</w:t>
      </w:r>
      <w:r>
        <w:rPr>
          <w:sz w:val="22"/>
        </w:rPr>
        <w:tab/>
        <w:t>PT Memo #03-07</w:t>
      </w:r>
    </w:p>
    <w:p>
      <w:pPr>
        <w:spacing w:before="1"/>
        <w:ind w:left="1439" w:right="0" w:firstLine="0"/>
        <w:jc w:val="left"/>
        <w:rPr>
          <w:sz w:val="22"/>
        </w:rPr>
      </w:pPr>
      <w:r>
        <w:rPr>
          <w:sz w:val="22"/>
        </w:rPr>
        <w:t>Permanent,</w:t>
      </w:r>
      <w:r>
        <w:rPr>
          <w:spacing w:val="-8"/>
          <w:sz w:val="22"/>
        </w:rPr>
        <w:t> </w:t>
      </w:r>
      <w:r>
        <w:rPr>
          <w:sz w:val="22"/>
        </w:rPr>
        <w:t>update</w:t>
      </w:r>
      <w:r>
        <w:rPr>
          <w:spacing w:val="-9"/>
          <w:sz w:val="22"/>
        </w:rPr>
        <w:t> </w:t>
      </w:r>
      <w:r>
        <w:rPr>
          <w:sz w:val="22"/>
        </w:rPr>
        <w:t>language,</w:t>
      </w:r>
      <w:r>
        <w:rPr>
          <w:spacing w:val="-9"/>
          <w:sz w:val="22"/>
        </w:rPr>
        <w:t> </w:t>
      </w:r>
      <w:r>
        <w:rPr>
          <w:sz w:val="22"/>
        </w:rPr>
        <w:t>removed</w:t>
      </w:r>
      <w:r>
        <w:rPr>
          <w:spacing w:val="-8"/>
          <w:sz w:val="22"/>
        </w:rPr>
        <w:t> </w:t>
      </w:r>
      <w:r>
        <w:rPr>
          <w:sz w:val="22"/>
        </w:rPr>
        <w:t>old</w:t>
      </w:r>
      <w:r>
        <w:rPr>
          <w:spacing w:val="-9"/>
          <w:sz w:val="22"/>
        </w:rPr>
        <w:t> </w:t>
      </w:r>
      <w:r>
        <w:rPr>
          <w:spacing w:val="-5"/>
          <w:sz w:val="22"/>
        </w:rPr>
        <w:t>#6.</w:t>
      </w:r>
    </w:p>
    <w:p>
      <w:pPr>
        <w:pStyle w:val="ListParagraph"/>
        <w:numPr>
          <w:ilvl w:val="2"/>
          <w:numId w:val="148"/>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#05-</w:t>
      </w:r>
      <w:r>
        <w:rPr>
          <w:spacing w:val="-5"/>
          <w:sz w:val="22"/>
        </w:rPr>
        <w:t>01</w:t>
      </w:r>
    </w:p>
    <w:p>
      <w:pPr>
        <w:spacing w:line="253" w:lineRule="exact" w:before="0"/>
        <w:ind w:left="1439" w:right="0" w:firstLine="0"/>
        <w:jc w:val="left"/>
        <w:rPr>
          <w:sz w:val="22"/>
        </w:rPr>
      </w:pPr>
      <w:r>
        <w:rPr>
          <w:sz w:val="22"/>
        </w:rPr>
        <w:t>Permanent,</w:t>
      </w:r>
      <w:r>
        <w:rPr>
          <w:spacing w:val="-4"/>
          <w:sz w:val="22"/>
        </w:rPr>
        <w:t> </w:t>
      </w:r>
      <w:r>
        <w:rPr>
          <w:sz w:val="22"/>
        </w:rPr>
        <w:t>addition</w:t>
      </w:r>
      <w:r>
        <w:rPr>
          <w:spacing w:val="-5"/>
          <w:sz w:val="22"/>
        </w:rPr>
        <w:t> </w:t>
      </w:r>
      <w:r>
        <w:rPr>
          <w:sz w:val="22"/>
        </w:rPr>
        <w:t>to</w:t>
      </w:r>
      <w:r>
        <w:rPr>
          <w:spacing w:val="-5"/>
          <w:sz w:val="22"/>
        </w:rPr>
        <w:t> </w:t>
      </w:r>
      <w:r>
        <w:rPr>
          <w:sz w:val="22"/>
        </w:rPr>
        <w:t>#s</w:t>
      </w:r>
      <w:r>
        <w:rPr>
          <w:spacing w:val="-5"/>
          <w:sz w:val="22"/>
        </w:rPr>
        <w:t> </w:t>
      </w:r>
      <w:r>
        <w:rPr>
          <w:sz w:val="22"/>
        </w:rPr>
        <w:t>10,</w:t>
      </w:r>
      <w:r>
        <w:rPr>
          <w:spacing w:val="-4"/>
          <w:sz w:val="22"/>
        </w:rPr>
        <w:t> </w:t>
      </w:r>
      <w:r>
        <w:rPr>
          <w:sz w:val="22"/>
        </w:rPr>
        <w:t>11</w:t>
      </w:r>
      <w:r>
        <w:rPr>
          <w:spacing w:val="-5"/>
          <w:sz w:val="22"/>
        </w:rPr>
        <w:t> </w:t>
      </w:r>
      <w:r>
        <w:rPr>
          <w:sz w:val="22"/>
        </w:rPr>
        <w:t>&amp;</w:t>
      </w:r>
      <w:r>
        <w:rPr>
          <w:spacing w:val="-5"/>
          <w:sz w:val="22"/>
        </w:rPr>
        <w:t> 12</w:t>
      </w:r>
    </w:p>
    <w:p>
      <w:pPr>
        <w:pStyle w:val="ListParagraph"/>
        <w:numPr>
          <w:ilvl w:val="2"/>
          <w:numId w:val="153"/>
        </w:numPr>
        <w:tabs>
          <w:tab w:pos="1439" w:val="left" w:leader="none"/>
        </w:tabs>
        <w:spacing w:line="240" w:lineRule="auto"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#07-</w:t>
      </w:r>
      <w:r>
        <w:rPr>
          <w:spacing w:val="-5"/>
          <w:sz w:val="22"/>
        </w:rPr>
        <w:t>01</w:t>
      </w:r>
    </w:p>
    <w:p>
      <w:pPr>
        <w:spacing w:before="0"/>
        <w:ind w:left="1439" w:right="775" w:firstLine="0"/>
        <w:jc w:val="left"/>
        <w:rPr>
          <w:sz w:val="22"/>
        </w:rPr>
      </w:pPr>
      <w:r>
        <w:rPr>
          <w:sz w:val="22"/>
        </w:rPr>
        <w:t>Permanent,</w:t>
      </w:r>
      <w:r>
        <w:rPr>
          <w:spacing w:val="-3"/>
          <w:sz w:val="22"/>
        </w:rPr>
        <w:t> </w:t>
      </w:r>
      <w:r>
        <w:rPr>
          <w:sz w:val="22"/>
        </w:rPr>
        <w:t>added</w:t>
      </w:r>
      <w:r>
        <w:rPr>
          <w:spacing w:val="-4"/>
          <w:sz w:val="22"/>
        </w:rPr>
        <w:t> </w:t>
      </w:r>
      <w:r>
        <w:rPr>
          <w:sz w:val="22"/>
        </w:rPr>
        <w:t>reference</w:t>
      </w:r>
      <w:r>
        <w:rPr>
          <w:spacing w:val="-4"/>
          <w:sz w:val="22"/>
        </w:rPr>
        <w:t> </w:t>
      </w:r>
      <w:r>
        <w:rPr>
          <w:sz w:val="22"/>
        </w:rPr>
        <w:t>to</w:t>
      </w:r>
      <w:r>
        <w:rPr>
          <w:spacing w:val="-4"/>
          <w:sz w:val="22"/>
        </w:rPr>
        <w:t> </w:t>
      </w:r>
      <w:r>
        <w:rPr>
          <w:sz w:val="22"/>
        </w:rPr>
        <w:t>Specialist</w:t>
      </w:r>
      <w:r>
        <w:rPr>
          <w:spacing w:val="-4"/>
          <w:sz w:val="22"/>
        </w:rPr>
        <w:t> </w:t>
      </w:r>
      <w:r>
        <w:rPr>
          <w:sz w:val="22"/>
        </w:rPr>
        <w:t>IV</w:t>
      </w:r>
      <w:r>
        <w:rPr>
          <w:spacing w:val="-4"/>
          <w:sz w:val="22"/>
        </w:rPr>
        <w:t> </w:t>
      </w:r>
      <w:r>
        <w:rPr>
          <w:sz w:val="22"/>
        </w:rPr>
        <w:t>and</w:t>
      </w:r>
      <w:r>
        <w:rPr>
          <w:spacing w:val="-4"/>
          <w:sz w:val="22"/>
        </w:rPr>
        <w:t> </w:t>
      </w:r>
      <w:r>
        <w:rPr>
          <w:sz w:val="22"/>
        </w:rPr>
        <w:t>deleted</w:t>
      </w:r>
      <w:r>
        <w:rPr>
          <w:spacing w:val="-4"/>
          <w:sz w:val="22"/>
        </w:rPr>
        <w:t> </w:t>
      </w:r>
      <w:r>
        <w:rPr>
          <w:sz w:val="22"/>
        </w:rPr>
        <w:t>reference</w:t>
      </w:r>
      <w:r>
        <w:rPr>
          <w:spacing w:val="-4"/>
          <w:sz w:val="22"/>
        </w:rPr>
        <w:t> </w:t>
      </w:r>
      <w:r>
        <w:rPr>
          <w:sz w:val="22"/>
        </w:rPr>
        <w:t>to</w:t>
      </w:r>
      <w:r>
        <w:rPr>
          <w:spacing w:val="-4"/>
          <w:sz w:val="22"/>
        </w:rPr>
        <w:t> </w:t>
      </w:r>
      <w:r>
        <w:rPr>
          <w:sz w:val="22"/>
        </w:rPr>
        <w:t>subordinate professional with two years experience.</w:t>
      </w:r>
    </w:p>
    <w:p>
      <w:pPr>
        <w:tabs>
          <w:tab w:pos="1439" w:val="left" w:leader="none"/>
        </w:tabs>
        <w:spacing w:line="253" w:lineRule="exact" w:before="1"/>
        <w:ind w:left="360" w:right="0" w:firstLine="0"/>
        <w:jc w:val="left"/>
        <w:rPr>
          <w:sz w:val="22"/>
        </w:rPr>
      </w:pPr>
      <w:r>
        <w:rPr>
          <w:spacing w:val="-2"/>
          <w:sz w:val="22"/>
        </w:rPr>
        <w:t>10-1-</w:t>
      </w:r>
      <w:r>
        <w:rPr>
          <w:spacing w:val="-5"/>
          <w:sz w:val="22"/>
        </w:rPr>
        <w:t>07</w:t>
      </w:r>
      <w:r>
        <w:rPr>
          <w:sz w:val="22"/>
        </w:rPr>
        <w:tab/>
        <w:t>PT</w:t>
      </w:r>
      <w:r>
        <w:rPr>
          <w:spacing w:val="-8"/>
          <w:sz w:val="22"/>
        </w:rPr>
        <w:t> </w:t>
      </w:r>
      <w:r>
        <w:rPr>
          <w:sz w:val="22"/>
        </w:rPr>
        <w:t>Memo</w:t>
      </w:r>
      <w:r>
        <w:rPr>
          <w:spacing w:val="-8"/>
          <w:sz w:val="22"/>
        </w:rPr>
        <w:t> </w:t>
      </w:r>
      <w:r>
        <w:rPr>
          <w:sz w:val="22"/>
        </w:rPr>
        <w:t>#08-</w:t>
      </w:r>
      <w:r>
        <w:rPr>
          <w:spacing w:val="-5"/>
          <w:sz w:val="22"/>
        </w:rPr>
        <w:t>02</w:t>
      </w:r>
    </w:p>
    <w:p>
      <w:pPr>
        <w:spacing w:line="253" w:lineRule="exact" w:before="0"/>
        <w:ind w:left="1439" w:right="0" w:firstLine="0"/>
        <w:jc w:val="left"/>
        <w:rPr>
          <w:sz w:val="22"/>
        </w:rPr>
      </w:pPr>
      <w:r>
        <w:rPr>
          <w:sz w:val="22"/>
        </w:rPr>
        <w:t>Permanent,</w:t>
      </w:r>
      <w:r>
        <w:rPr>
          <w:spacing w:val="-8"/>
          <w:sz w:val="22"/>
        </w:rPr>
        <w:t> </w:t>
      </w:r>
      <w:r>
        <w:rPr>
          <w:sz w:val="22"/>
        </w:rPr>
        <w:t>AWARE</w:t>
      </w:r>
      <w:r>
        <w:rPr>
          <w:spacing w:val="-8"/>
          <w:sz w:val="22"/>
        </w:rPr>
        <w:t> </w:t>
      </w:r>
      <w:r>
        <w:rPr>
          <w:sz w:val="22"/>
        </w:rPr>
        <w:t>change.</w:t>
      </w:r>
      <w:r>
        <w:rPr>
          <w:spacing w:val="45"/>
          <w:sz w:val="22"/>
        </w:rPr>
        <w:t> </w:t>
      </w:r>
      <w:r>
        <w:rPr>
          <w:sz w:val="22"/>
        </w:rPr>
        <w:t>Removed</w:t>
      </w:r>
      <w:r>
        <w:rPr>
          <w:spacing w:val="-8"/>
          <w:sz w:val="22"/>
        </w:rPr>
        <w:t> </w:t>
      </w:r>
      <w:r>
        <w:rPr>
          <w:sz w:val="22"/>
        </w:rPr>
        <w:t>Status</w:t>
      </w:r>
      <w:r>
        <w:rPr>
          <w:spacing w:val="-8"/>
          <w:sz w:val="22"/>
        </w:rPr>
        <w:t> </w:t>
      </w:r>
      <w:r>
        <w:rPr>
          <w:spacing w:val="-2"/>
          <w:sz w:val="22"/>
        </w:rPr>
        <w:t>numbers.</w:t>
      </w:r>
    </w:p>
    <w:p>
      <w:pPr>
        <w:pStyle w:val="ListParagraph"/>
        <w:numPr>
          <w:ilvl w:val="2"/>
          <w:numId w:val="163"/>
        </w:numPr>
        <w:tabs>
          <w:tab w:pos="1439" w:val="left" w:leader="none"/>
        </w:tabs>
        <w:spacing w:line="240" w:lineRule="auto"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#10-</w:t>
      </w:r>
      <w:r>
        <w:rPr>
          <w:spacing w:val="-5"/>
          <w:sz w:val="22"/>
        </w:rPr>
        <w:t>02</w:t>
      </w:r>
    </w:p>
    <w:p>
      <w:pPr>
        <w:tabs>
          <w:tab w:pos="1439" w:val="left" w:leader="none"/>
        </w:tabs>
        <w:spacing w:before="0"/>
        <w:ind w:left="360" w:right="5110" w:firstLine="1080"/>
        <w:jc w:val="left"/>
        <w:rPr>
          <w:sz w:val="22"/>
        </w:rPr>
      </w:pPr>
      <w:r>
        <w:rPr>
          <w:sz w:val="22"/>
        </w:rPr>
        <w:t>Permanent,</w:t>
      </w:r>
      <w:r>
        <w:rPr>
          <w:spacing w:val="-13"/>
          <w:sz w:val="22"/>
        </w:rPr>
        <w:t> </w:t>
      </w:r>
      <w:r>
        <w:rPr>
          <w:sz w:val="22"/>
        </w:rPr>
        <w:t>expediting</w:t>
      </w:r>
      <w:r>
        <w:rPr>
          <w:spacing w:val="-14"/>
          <w:sz w:val="22"/>
        </w:rPr>
        <w:t> </w:t>
      </w:r>
      <w:r>
        <w:rPr>
          <w:sz w:val="22"/>
        </w:rPr>
        <w:t>services</w:t>
      </w:r>
      <w:r>
        <w:rPr>
          <w:spacing w:val="-13"/>
          <w:sz w:val="22"/>
        </w:rPr>
        <w:t> </w:t>
      </w:r>
      <w:r>
        <w:rPr>
          <w:sz w:val="22"/>
        </w:rPr>
        <w:t>delivery </w:t>
      </w:r>
      <w:r>
        <w:rPr>
          <w:spacing w:val="-2"/>
          <w:sz w:val="22"/>
        </w:rPr>
        <w:t>7-1-11</w:t>
      </w:r>
      <w:r>
        <w:rPr>
          <w:sz w:val="22"/>
        </w:rPr>
        <w:tab/>
        <w:t>PT Memo #12-01</w:t>
      </w:r>
    </w:p>
    <w:p>
      <w:pPr>
        <w:spacing w:before="1"/>
        <w:ind w:left="1439" w:right="0" w:firstLine="0"/>
        <w:jc w:val="left"/>
        <w:rPr>
          <w:sz w:val="22"/>
        </w:rPr>
      </w:pPr>
      <w:r>
        <w:rPr>
          <w:sz w:val="22"/>
        </w:rPr>
        <w:t>Permanent,</w:t>
      </w:r>
      <w:r>
        <w:rPr>
          <w:spacing w:val="-8"/>
          <w:sz w:val="22"/>
        </w:rPr>
        <w:t> </w:t>
      </w:r>
      <w:r>
        <w:rPr>
          <w:sz w:val="22"/>
        </w:rPr>
        <w:t>non-policy</w:t>
      </w:r>
      <w:r>
        <w:rPr>
          <w:spacing w:val="-9"/>
          <w:sz w:val="22"/>
        </w:rPr>
        <w:t> </w:t>
      </w:r>
      <w:r>
        <w:rPr>
          <w:sz w:val="22"/>
        </w:rPr>
        <w:t>material</w:t>
      </w:r>
      <w:r>
        <w:rPr>
          <w:spacing w:val="-8"/>
          <w:sz w:val="22"/>
        </w:rPr>
        <w:t> </w:t>
      </w:r>
      <w:r>
        <w:rPr>
          <w:sz w:val="22"/>
        </w:rPr>
        <w:t>moved</w:t>
      </w:r>
      <w:r>
        <w:rPr>
          <w:spacing w:val="-8"/>
          <w:sz w:val="22"/>
        </w:rPr>
        <w:t> </w:t>
      </w:r>
      <w:r>
        <w:rPr>
          <w:sz w:val="22"/>
        </w:rPr>
        <w:t>to</w:t>
      </w:r>
      <w:r>
        <w:rPr>
          <w:spacing w:val="-8"/>
          <w:sz w:val="22"/>
        </w:rPr>
        <w:t> </w:t>
      </w:r>
      <w:r>
        <w:rPr>
          <w:spacing w:val="-5"/>
          <w:sz w:val="22"/>
        </w:rPr>
        <w:t>ITS</w:t>
      </w:r>
    </w:p>
    <w:p>
      <w:pPr>
        <w:pStyle w:val="ListParagraph"/>
        <w:numPr>
          <w:ilvl w:val="2"/>
          <w:numId w:val="159"/>
        </w:numPr>
        <w:tabs>
          <w:tab w:pos="1439" w:val="left" w:leader="none"/>
        </w:tabs>
        <w:spacing w:line="253" w:lineRule="exact" w:before="0" w:after="0"/>
        <w:ind w:left="1439" w:right="0" w:hanging="1079"/>
        <w:jc w:val="left"/>
        <w:rPr>
          <w:sz w:val="22"/>
        </w:rPr>
      </w:pPr>
      <w:r>
        <w:rPr>
          <w:sz w:val="22"/>
        </w:rPr>
        <w:t>Permanent,</w:t>
      </w:r>
      <w:r>
        <w:rPr>
          <w:spacing w:val="-7"/>
          <w:sz w:val="22"/>
        </w:rPr>
        <w:t> </w:t>
      </w:r>
      <w:r>
        <w:rPr>
          <w:sz w:val="22"/>
        </w:rPr>
        <w:t>added</w:t>
      </w:r>
      <w:r>
        <w:rPr>
          <w:spacing w:val="-7"/>
          <w:sz w:val="22"/>
        </w:rPr>
        <w:t> </w:t>
      </w:r>
      <w:r>
        <w:rPr>
          <w:sz w:val="22"/>
        </w:rPr>
        <w:t>vehicle</w:t>
      </w:r>
      <w:r>
        <w:rPr>
          <w:spacing w:val="-8"/>
          <w:sz w:val="22"/>
        </w:rPr>
        <w:t> </w:t>
      </w:r>
      <w:r>
        <w:rPr>
          <w:sz w:val="22"/>
        </w:rPr>
        <w:t>repairs</w:t>
      </w:r>
      <w:r>
        <w:rPr>
          <w:spacing w:val="-7"/>
          <w:sz w:val="22"/>
        </w:rPr>
        <w:t> </w:t>
      </w:r>
      <w:r>
        <w:rPr>
          <w:sz w:val="22"/>
        </w:rPr>
        <w:t>and</w:t>
      </w:r>
      <w:r>
        <w:rPr>
          <w:spacing w:val="-8"/>
          <w:sz w:val="22"/>
        </w:rPr>
        <w:t> </w:t>
      </w:r>
      <w:r>
        <w:rPr>
          <w:sz w:val="22"/>
        </w:rPr>
        <w:t>dental</w:t>
      </w:r>
      <w:r>
        <w:rPr>
          <w:spacing w:val="-7"/>
          <w:sz w:val="22"/>
        </w:rPr>
        <w:t> </w:t>
      </w:r>
      <w:r>
        <w:rPr>
          <w:spacing w:val="-2"/>
          <w:sz w:val="22"/>
        </w:rPr>
        <w:t>services</w:t>
      </w:r>
    </w:p>
    <w:p>
      <w:pPr>
        <w:tabs>
          <w:tab w:pos="1439" w:val="left" w:leader="none"/>
        </w:tabs>
        <w:spacing w:before="0"/>
        <w:ind w:left="1439" w:right="1171" w:hanging="1080"/>
        <w:jc w:val="left"/>
        <w:rPr>
          <w:sz w:val="22"/>
        </w:rPr>
      </w:pPr>
      <w:r>
        <w:rPr>
          <w:spacing w:val="-2"/>
          <w:sz w:val="22"/>
        </w:rPr>
        <w:t>9-12-14</w:t>
      </w:r>
      <w:r>
        <w:rPr>
          <w:sz w:val="22"/>
        </w:rPr>
        <w:tab/>
        <w:t>Updated</w:t>
      </w:r>
      <w:r>
        <w:rPr>
          <w:spacing w:val="-3"/>
          <w:sz w:val="22"/>
        </w:rPr>
        <w:t> </w:t>
      </w:r>
      <w:r>
        <w:rPr>
          <w:sz w:val="22"/>
        </w:rPr>
        <w:t>to</w:t>
      </w:r>
      <w:r>
        <w:rPr>
          <w:spacing w:val="-3"/>
          <w:sz w:val="22"/>
        </w:rPr>
        <w:t> </w:t>
      </w:r>
      <w:r>
        <w:rPr>
          <w:sz w:val="22"/>
        </w:rPr>
        <w:t>reflect</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Department</w:t>
      </w:r>
      <w:r>
        <w:rPr>
          <w:spacing w:val="-3"/>
          <w:sz w:val="22"/>
        </w:rPr>
        <w:t> </w:t>
      </w:r>
      <w:r>
        <w:rPr>
          <w:sz w:val="22"/>
        </w:rPr>
        <w:t>of</w:t>
      </w:r>
      <w:r>
        <w:rPr>
          <w:spacing w:val="-3"/>
          <w:sz w:val="22"/>
        </w:rPr>
        <w:t> </w:t>
      </w:r>
      <w:r>
        <w:rPr>
          <w:sz w:val="22"/>
        </w:rPr>
        <w:t>Central</w:t>
      </w:r>
      <w:r>
        <w:rPr>
          <w:spacing w:val="-3"/>
          <w:sz w:val="22"/>
        </w:rPr>
        <w:t> </w:t>
      </w:r>
      <w:r>
        <w:rPr>
          <w:sz w:val="22"/>
        </w:rPr>
        <w:t>Services</w:t>
      </w:r>
      <w:r>
        <w:rPr>
          <w:spacing w:val="-3"/>
          <w:sz w:val="22"/>
        </w:rPr>
        <w:t> </w:t>
      </w:r>
      <w:r>
        <w:rPr>
          <w:sz w:val="22"/>
        </w:rPr>
        <w:t>to</w:t>
      </w:r>
      <w:r>
        <w:rPr>
          <w:spacing w:val="-4"/>
          <w:sz w:val="22"/>
        </w:rPr>
        <w:t> </w:t>
      </w:r>
      <w:r>
        <w:rPr>
          <w:sz w:val="22"/>
        </w:rPr>
        <w:t>Division</w:t>
      </w:r>
      <w:r>
        <w:rPr>
          <w:spacing w:val="-3"/>
          <w:sz w:val="22"/>
        </w:rPr>
        <w:t> </w:t>
      </w:r>
      <w:r>
        <w:rPr>
          <w:sz w:val="22"/>
        </w:rPr>
        <w:t>of Capital Assets Management (DCAM)</w:t>
      </w:r>
    </w:p>
    <w:p>
      <w:pPr>
        <w:tabs>
          <w:tab w:pos="1439" w:val="left" w:leader="none"/>
        </w:tabs>
        <w:spacing w:before="0"/>
        <w:ind w:left="1439" w:right="854" w:hanging="1080"/>
        <w:jc w:val="left"/>
        <w:rPr>
          <w:sz w:val="22"/>
        </w:rPr>
      </w:pPr>
      <w:r>
        <w:rPr>
          <w:spacing w:val="-2"/>
          <w:sz w:val="22"/>
        </w:rPr>
        <w:t>8-27-15</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to</w:t>
      </w:r>
      <w:r>
        <w:rPr>
          <w:spacing w:val="-4"/>
          <w:sz w:val="22"/>
        </w:rPr>
        <w:t> </w:t>
      </w:r>
      <w:r>
        <w:rPr>
          <w:sz w:val="22"/>
        </w:rPr>
        <w:t>Vocational</w:t>
      </w:r>
      <w:r>
        <w:rPr>
          <w:spacing w:val="-3"/>
          <w:sz w:val="22"/>
        </w:rPr>
        <w:t> </w:t>
      </w:r>
      <w:r>
        <w:rPr>
          <w:sz w:val="22"/>
        </w:rPr>
        <w:t>Rehabilitation</w:t>
      </w:r>
      <w:r>
        <w:rPr>
          <w:spacing w:val="-4"/>
          <w:sz w:val="22"/>
        </w:rPr>
        <w:t> </w:t>
      </w:r>
      <w:r>
        <w:rPr>
          <w:sz w:val="22"/>
        </w:rPr>
        <w:t>for</w:t>
      </w:r>
      <w:r>
        <w:rPr>
          <w:spacing w:val="-3"/>
          <w:sz w:val="22"/>
        </w:rPr>
        <w:t> </w:t>
      </w:r>
      <w:r>
        <w:rPr>
          <w:sz w:val="22"/>
        </w:rPr>
        <w:t>the</w:t>
      </w:r>
      <w:r>
        <w:rPr>
          <w:spacing w:val="-3"/>
          <w:sz w:val="22"/>
        </w:rPr>
        <w:t> </w:t>
      </w:r>
      <w:r>
        <w:rPr>
          <w:sz w:val="22"/>
        </w:rPr>
        <w:t>Blind</w:t>
      </w:r>
      <w:r>
        <w:rPr>
          <w:spacing w:val="-3"/>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line="252" w:lineRule="exact" w:before="0"/>
        <w:ind w:left="360" w:right="0" w:firstLine="0"/>
        <w:jc w:val="left"/>
        <w:rPr>
          <w:sz w:val="22"/>
        </w:rPr>
      </w:pPr>
      <w:r>
        <w:rPr>
          <w:spacing w:val="-2"/>
          <w:sz w:val="22"/>
        </w:rPr>
        <w:t>8-11-</w:t>
      </w:r>
      <w:r>
        <w:rPr>
          <w:spacing w:val="-5"/>
          <w:sz w:val="22"/>
        </w:rPr>
        <w:t>19</w:t>
      </w:r>
      <w:r>
        <w:rPr>
          <w:sz w:val="22"/>
        </w:rPr>
        <w:tab/>
        <w:t>Updated</w:t>
      </w:r>
      <w:r>
        <w:rPr>
          <w:spacing w:val="-8"/>
          <w:sz w:val="22"/>
        </w:rPr>
        <w:t> </w:t>
      </w:r>
      <w:r>
        <w:rPr>
          <w:sz w:val="22"/>
        </w:rPr>
        <w:t>section</w:t>
      </w:r>
      <w:r>
        <w:rPr>
          <w:spacing w:val="-7"/>
          <w:sz w:val="22"/>
        </w:rPr>
        <w:t> </w:t>
      </w:r>
      <w:r>
        <w:rPr>
          <w:sz w:val="22"/>
        </w:rPr>
        <w:t>(3),</w:t>
      </w:r>
      <w:r>
        <w:rPr>
          <w:spacing w:val="-7"/>
          <w:sz w:val="22"/>
        </w:rPr>
        <w:t> </w:t>
      </w:r>
      <w:r>
        <w:rPr>
          <w:sz w:val="22"/>
        </w:rPr>
        <w:t>service</w:t>
      </w:r>
      <w:r>
        <w:rPr>
          <w:spacing w:val="-7"/>
          <w:sz w:val="22"/>
        </w:rPr>
        <w:t> </w:t>
      </w:r>
      <w:r>
        <w:rPr>
          <w:sz w:val="22"/>
        </w:rPr>
        <w:t>status</w:t>
      </w:r>
      <w:r>
        <w:rPr>
          <w:spacing w:val="-7"/>
          <w:sz w:val="22"/>
        </w:rPr>
        <w:t> </w:t>
      </w:r>
      <w:r>
        <w:rPr>
          <w:spacing w:val="-2"/>
          <w:sz w:val="22"/>
        </w:rPr>
        <w:t>language.</w:t>
      </w:r>
    </w:p>
    <w:p>
      <w:pPr>
        <w:tabs>
          <w:tab w:pos="1439" w:val="left" w:leader="none"/>
        </w:tabs>
        <w:spacing w:before="1"/>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tabs>
          <w:tab w:pos="1439" w:val="left" w:leader="none"/>
        </w:tabs>
        <w:spacing w:before="0"/>
        <w:ind w:left="360" w:right="0" w:firstLine="0"/>
        <w:jc w:val="left"/>
        <w:rPr>
          <w:sz w:val="22"/>
        </w:rPr>
      </w:pPr>
      <w:r>
        <w:rPr>
          <w:spacing w:val="-2"/>
          <w:sz w:val="22"/>
        </w:rPr>
        <w:t>8-26-</w:t>
      </w:r>
      <w:r>
        <w:rPr>
          <w:spacing w:val="-5"/>
          <w:sz w:val="22"/>
        </w:rPr>
        <w:t>21</w:t>
      </w:r>
      <w:r>
        <w:rPr>
          <w:sz w:val="22"/>
        </w:rPr>
        <w:tab/>
        <w:t>Revise</w:t>
      </w:r>
      <w:r>
        <w:rPr>
          <w:spacing w:val="-6"/>
          <w:sz w:val="22"/>
        </w:rPr>
        <w:t> </w:t>
      </w:r>
      <w:r>
        <w:rPr>
          <w:sz w:val="22"/>
        </w:rPr>
        <w:t>to</w:t>
      </w:r>
      <w:r>
        <w:rPr>
          <w:spacing w:val="-6"/>
          <w:sz w:val="22"/>
        </w:rPr>
        <w:t> </w:t>
      </w:r>
      <w:r>
        <w:rPr>
          <w:sz w:val="22"/>
        </w:rPr>
        <w:t>match</w:t>
      </w:r>
      <w:r>
        <w:rPr>
          <w:spacing w:val="-6"/>
          <w:sz w:val="22"/>
        </w:rPr>
        <w:t> </w:t>
      </w:r>
      <w:r>
        <w:rPr>
          <w:sz w:val="22"/>
        </w:rPr>
        <w:t>WIOA</w:t>
      </w:r>
      <w:r>
        <w:rPr>
          <w:spacing w:val="-6"/>
          <w:sz w:val="22"/>
        </w:rPr>
        <w:t> </w:t>
      </w:r>
      <w:r>
        <w:rPr>
          <w:spacing w:val="-2"/>
          <w:sz w:val="22"/>
        </w:rPr>
        <w:t>language.</w:t>
      </w:r>
    </w:p>
    <w:p>
      <w:pPr>
        <w:pStyle w:val="ListParagraph"/>
        <w:numPr>
          <w:ilvl w:val="2"/>
          <w:numId w:val="160"/>
        </w:numPr>
        <w:tabs>
          <w:tab w:pos="1439" w:val="left" w:leader="none"/>
        </w:tabs>
        <w:spacing w:line="240" w:lineRule="auto" w:before="0" w:after="0"/>
        <w:ind w:left="1439" w:right="769" w:hanging="1080"/>
        <w:jc w:val="left"/>
        <w:rPr>
          <w:sz w:val="22"/>
        </w:rPr>
      </w:pPr>
      <w:r>
        <w:rPr>
          <w:sz w:val="22"/>
        </w:rPr>
        <w:t>Language</w:t>
      </w:r>
      <w:r>
        <w:rPr>
          <w:spacing w:val="-4"/>
          <w:sz w:val="22"/>
        </w:rPr>
        <w:t> </w:t>
      </w:r>
      <w:r>
        <w:rPr>
          <w:sz w:val="22"/>
        </w:rPr>
        <w:t>amended</w:t>
      </w:r>
      <w:r>
        <w:rPr>
          <w:spacing w:val="-4"/>
          <w:sz w:val="22"/>
        </w:rPr>
        <w:t> </w:t>
      </w:r>
      <w:r>
        <w:rPr>
          <w:sz w:val="22"/>
        </w:rPr>
        <w:t>under</w:t>
      </w:r>
      <w:r>
        <w:rPr>
          <w:spacing w:val="-4"/>
          <w:sz w:val="22"/>
        </w:rPr>
        <w:t> </w:t>
      </w:r>
      <w:r>
        <w:rPr>
          <w:sz w:val="22"/>
        </w:rPr>
        <w:t>(a)</w:t>
      </w:r>
      <w:r>
        <w:rPr>
          <w:spacing w:val="-4"/>
          <w:sz w:val="22"/>
        </w:rPr>
        <w:t> </w:t>
      </w:r>
      <w:r>
        <w:rPr>
          <w:sz w:val="22"/>
        </w:rPr>
        <w:t>(6)</w:t>
      </w:r>
      <w:r>
        <w:rPr>
          <w:spacing w:val="-4"/>
          <w:sz w:val="22"/>
        </w:rPr>
        <w:t> </w:t>
      </w:r>
      <w:r>
        <w:rPr>
          <w:sz w:val="22"/>
        </w:rPr>
        <w:t>decreasing</w:t>
      </w:r>
      <w:r>
        <w:rPr>
          <w:spacing w:val="-4"/>
          <w:sz w:val="22"/>
        </w:rPr>
        <w:t> </w:t>
      </w:r>
      <w:r>
        <w:rPr>
          <w:sz w:val="22"/>
        </w:rPr>
        <w:t>the</w:t>
      </w:r>
      <w:r>
        <w:rPr>
          <w:spacing w:val="-5"/>
          <w:sz w:val="22"/>
        </w:rPr>
        <w:t> </w:t>
      </w:r>
      <w:r>
        <w:rPr>
          <w:sz w:val="22"/>
        </w:rPr>
        <w:t>supervisory</w:t>
      </w:r>
      <w:r>
        <w:rPr>
          <w:spacing w:val="-5"/>
          <w:sz w:val="22"/>
        </w:rPr>
        <w:t> </w:t>
      </w:r>
      <w:r>
        <w:rPr>
          <w:sz w:val="22"/>
        </w:rPr>
        <w:t>approval</w:t>
      </w:r>
      <w:r>
        <w:rPr>
          <w:spacing w:val="-4"/>
          <w:sz w:val="22"/>
        </w:rPr>
        <w:t> </w:t>
      </w:r>
      <w:r>
        <w:rPr>
          <w:sz w:val="22"/>
        </w:rPr>
        <w:t>dollar</w:t>
      </w:r>
      <w:r>
        <w:rPr>
          <w:spacing w:val="-4"/>
          <w:sz w:val="22"/>
        </w:rPr>
        <w:t> </w:t>
      </w:r>
      <w:r>
        <w:rPr>
          <w:sz w:val="22"/>
        </w:rPr>
        <w:t>amount from $10,000 to $5,000 for Small Business plans.</w:t>
      </w:r>
    </w:p>
    <w:p>
      <w:pPr>
        <w:pStyle w:val="ListParagraph"/>
        <w:spacing w:after="0" w:line="240" w:lineRule="auto"/>
        <w:jc w:val="left"/>
        <w:rPr>
          <w:sz w:val="22"/>
        </w:rPr>
        <w:sectPr>
          <w:pgSz w:w="12240" w:h="15840"/>
          <w:pgMar w:top="1360" w:bottom="280" w:left="1080" w:right="720"/>
        </w:sectPr>
      </w:pPr>
    </w:p>
    <w:p>
      <w:pPr>
        <w:pStyle w:val="Heading1"/>
        <w:ind w:right="778"/>
      </w:pPr>
      <w:bookmarkStart w:name="PART 11.  PHYSICAL AND MENTAL RESTORATIO" w:id="156"/>
      <w:bookmarkEnd w:id="156"/>
      <w:r>
        <w:rPr>
          <w:b w:val="0"/>
        </w:rPr>
      </w:r>
      <w:r>
        <w:rPr/>
        <w:t>PART</w:t>
      </w:r>
      <w:r>
        <w:rPr>
          <w:spacing w:val="-4"/>
        </w:rPr>
        <w:t> </w:t>
      </w:r>
      <w:r>
        <w:rPr/>
        <w:t>11.</w:t>
      </w:r>
      <w:r>
        <w:rPr>
          <w:spacing w:val="61"/>
        </w:rPr>
        <w:t> </w:t>
      </w:r>
      <w:r>
        <w:rPr/>
        <w:t>PHYSICAL</w:t>
      </w:r>
      <w:r>
        <w:rPr>
          <w:spacing w:val="-2"/>
        </w:rPr>
        <w:t> </w:t>
      </w:r>
      <w:r>
        <w:rPr/>
        <w:t>AND</w:t>
      </w:r>
      <w:r>
        <w:rPr>
          <w:spacing w:val="-2"/>
        </w:rPr>
        <w:t> </w:t>
      </w:r>
      <w:r>
        <w:rPr/>
        <w:t>MENTAL</w:t>
      </w:r>
      <w:r>
        <w:rPr>
          <w:spacing w:val="-3"/>
        </w:rPr>
        <w:t> </w:t>
      </w:r>
      <w:r>
        <w:rPr/>
        <w:t>RESTORATION</w:t>
      </w:r>
      <w:r>
        <w:rPr>
          <w:spacing w:val="-3"/>
        </w:rPr>
        <w:t> </w:t>
      </w:r>
      <w:r>
        <w:rPr>
          <w:spacing w:val="-2"/>
        </w:rPr>
        <w:t>SERVICES</w:t>
      </w:r>
    </w:p>
    <w:p>
      <w:pPr>
        <w:pStyle w:val="BodyText"/>
        <w:spacing w:before="204"/>
      </w:pPr>
      <w:r>
        <w:rPr>
          <w:spacing w:val="-2"/>
        </w:rPr>
        <w:t>Section</w:t>
      </w:r>
    </w:p>
    <w:p>
      <w:pPr>
        <w:pStyle w:val="BodyText"/>
        <w:tabs>
          <w:tab w:pos="2069" w:val="left" w:leader="none"/>
        </w:tabs>
        <w:spacing w:before="204"/>
      </w:pPr>
      <w:r>
        <w:rPr>
          <w:spacing w:val="-2"/>
        </w:rPr>
        <w:t>612:10-7-</w:t>
      </w:r>
      <w:r>
        <w:rPr>
          <w:spacing w:val="-5"/>
        </w:rPr>
        <w:t>98.</w:t>
      </w:r>
      <w:r>
        <w:rPr/>
        <w:tab/>
        <w:t>General</w:t>
      </w:r>
      <w:r>
        <w:rPr>
          <w:spacing w:val="-6"/>
        </w:rPr>
        <w:t> </w:t>
      </w:r>
      <w:r>
        <w:rPr/>
        <w:t>guidelines</w:t>
      </w:r>
      <w:r>
        <w:rPr>
          <w:spacing w:val="-4"/>
        </w:rPr>
        <w:t> </w:t>
      </w:r>
      <w:r>
        <w:rPr/>
        <w:t>for</w:t>
      </w:r>
      <w:r>
        <w:rPr>
          <w:spacing w:val="-2"/>
        </w:rPr>
        <w:t> </w:t>
      </w:r>
      <w:r>
        <w:rPr/>
        <w:t>physical</w:t>
      </w:r>
      <w:r>
        <w:rPr>
          <w:spacing w:val="-4"/>
        </w:rPr>
        <w:t> </w:t>
      </w:r>
      <w:r>
        <w:rPr/>
        <w:t>and</w:t>
      </w:r>
      <w:r>
        <w:rPr>
          <w:spacing w:val="-3"/>
        </w:rPr>
        <w:t> </w:t>
      </w:r>
      <w:r>
        <w:rPr/>
        <w:t>mental</w:t>
      </w:r>
      <w:r>
        <w:rPr>
          <w:spacing w:val="-4"/>
        </w:rPr>
        <w:t> </w:t>
      </w:r>
      <w:r>
        <w:rPr/>
        <w:t>restoration</w:t>
      </w:r>
      <w:r>
        <w:rPr>
          <w:spacing w:val="-3"/>
        </w:rPr>
        <w:t> </w:t>
      </w:r>
      <w:r>
        <w:rPr>
          <w:spacing w:val="-2"/>
        </w:rPr>
        <w:t>services</w:t>
      </w:r>
    </w:p>
    <w:p>
      <w:pPr>
        <w:pStyle w:val="BodyText"/>
        <w:spacing w:after="0"/>
        <w:sectPr>
          <w:pgSz w:w="12240" w:h="15840"/>
          <w:pgMar w:top="1340" w:bottom="280" w:left="1080" w:right="720"/>
        </w:sectPr>
      </w:pPr>
    </w:p>
    <w:p>
      <w:pPr>
        <w:pStyle w:val="Heading2"/>
      </w:pPr>
      <w:bookmarkStart w:name="612:10-7-98.  General guidelines for phy" w:id="157"/>
      <w:bookmarkEnd w:id="157"/>
      <w:r>
        <w:rPr>
          <w:b w:val="0"/>
        </w:rPr>
      </w:r>
      <w:bookmarkStart w:name="_bookmark20" w:id="158"/>
      <w:bookmarkEnd w:id="158"/>
      <w:r>
        <w:rPr>
          <w:b w:val="0"/>
        </w:rPr>
      </w:r>
      <w:r>
        <w:rPr/>
        <w:t>612:10-7-98.</w:t>
      </w:r>
      <w:r>
        <w:rPr>
          <w:spacing w:val="58"/>
        </w:rPr>
        <w:t> </w:t>
      </w:r>
      <w:r>
        <w:rPr/>
        <w:t>General</w:t>
      </w:r>
      <w:r>
        <w:rPr>
          <w:spacing w:val="-3"/>
        </w:rPr>
        <w:t> </w:t>
      </w:r>
      <w:r>
        <w:rPr/>
        <w:t>guidelines</w:t>
      </w:r>
      <w:r>
        <w:rPr>
          <w:spacing w:val="-5"/>
        </w:rPr>
        <w:t> </w:t>
      </w:r>
      <w:r>
        <w:rPr/>
        <w:t>for</w:t>
      </w:r>
      <w:r>
        <w:rPr>
          <w:spacing w:val="-4"/>
        </w:rPr>
        <w:t> </w:t>
      </w:r>
      <w:r>
        <w:rPr/>
        <w:t>physical</w:t>
      </w:r>
      <w:r>
        <w:rPr>
          <w:spacing w:val="-3"/>
        </w:rPr>
        <w:t> </w:t>
      </w:r>
      <w:r>
        <w:rPr/>
        <w:t>and</w:t>
      </w:r>
      <w:r>
        <w:rPr>
          <w:spacing w:val="-4"/>
        </w:rPr>
        <w:t> </w:t>
      </w:r>
      <w:r>
        <w:rPr/>
        <w:t>mental</w:t>
      </w:r>
      <w:r>
        <w:rPr>
          <w:spacing w:val="-4"/>
        </w:rPr>
        <w:t> </w:t>
      </w:r>
      <w:r>
        <w:rPr/>
        <w:t>restoration</w:t>
      </w:r>
      <w:r>
        <w:rPr>
          <w:spacing w:val="-4"/>
        </w:rPr>
        <w:t> </w:t>
      </w:r>
      <w:r>
        <w:rPr>
          <w:spacing w:val="-2"/>
        </w:rPr>
        <w:t>services</w:t>
      </w:r>
    </w:p>
    <w:p>
      <w:pPr>
        <w:pStyle w:val="ListParagraph"/>
        <w:numPr>
          <w:ilvl w:val="0"/>
          <w:numId w:val="164"/>
        </w:numPr>
        <w:tabs>
          <w:tab w:pos="786" w:val="left" w:leader="none"/>
        </w:tabs>
        <w:spacing w:line="208" w:lineRule="auto" w:before="233" w:after="0"/>
        <w:ind w:left="360" w:right="788" w:firstLine="0"/>
        <w:jc w:val="left"/>
        <w:rPr>
          <w:sz w:val="24"/>
        </w:rPr>
      </w:pPr>
      <w:r>
        <w:rPr>
          <w:sz w:val="24"/>
        </w:rPr>
        <w:t>To the extent that assistance is not readily available from a source other than DVR or DSBVI, diagnosis and treatment of physical and mental impairments may be provided to assist the individual with a disability in preparing for, securing, retaining or regaining employment. Physical or mental restoration services are provided only when the condition is stable, or slowly progressive. A slowly progressive condition is one in which</w:t>
      </w:r>
      <w:r>
        <w:rPr>
          <w:spacing w:val="-3"/>
          <w:sz w:val="24"/>
        </w:rPr>
        <w:t> </w:t>
      </w:r>
      <w:r>
        <w:rPr>
          <w:sz w:val="24"/>
        </w:rPr>
        <w:t>the</w:t>
      </w:r>
      <w:r>
        <w:rPr>
          <w:spacing w:val="-3"/>
          <w:sz w:val="24"/>
        </w:rPr>
        <w:t> </w:t>
      </w:r>
      <w:r>
        <w:rPr>
          <w:sz w:val="24"/>
        </w:rPr>
        <w:t>client's</w:t>
      </w:r>
      <w:r>
        <w:rPr>
          <w:spacing w:val="-3"/>
          <w:sz w:val="24"/>
        </w:rPr>
        <w:t> </w:t>
      </w:r>
      <w:r>
        <w:rPr>
          <w:sz w:val="24"/>
        </w:rPr>
        <w:t>functional</w:t>
      </w:r>
      <w:r>
        <w:rPr>
          <w:spacing w:val="-3"/>
          <w:sz w:val="24"/>
        </w:rPr>
        <w:t> </w:t>
      </w:r>
      <w:r>
        <w:rPr>
          <w:sz w:val="24"/>
        </w:rPr>
        <w:t>capacity</w:t>
      </w:r>
      <w:r>
        <w:rPr>
          <w:spacing w:val="-3"/>
          <w:sz w:val="24"/>
        </w:rPr>
        <w:t> </w:t>
      </w:r>
      <w:r>
        <w:rPr>
          <w:sz w:val="24"/>
        </w:rPr>
        <w:t>is</w:t>
      </w:r>
      <w:r>
        <w:rPr>
          <w:spacing w:val="-3"/>
          <w:sz w:val="24"/>
        </w:rPr>
        <w:t> </w:t>
      </w:r>
      <w:r>
        <w:rPr>
          <w:sz w:val="24"/>
        </w:rPr>
        <w:t>not</w:t>
      </w:r>
      <w:r>
        <w:rPr>
          <w:spacing w:val="-2"/>
          <w:sz w:val="24"/>
        </w:rPr>
        <w:t> </w:t>
      </w:r>
      <w:r>
        <w:rPr>
          <w:sz w:val="24"/>
        </w:rPr>
        <w:t>expected</w:t>
      </w:r>
      <w:r>
        <w:rPr>
          <w:spacing w:val="-3"/>
          <w:sz w:val="24"/>
        </w:rPr>
        <w:t> </w:t>
      </w:r>
      <w:r>
        <w:rPr>
          <w:sz w:val="24"/>
        </w:rPr>
        <w:t>to</w:t>
      </w:r>
      <w:r>
        <w:rPr>
          <w:spacing w:val="-3"/>
          <w:sz w:val="24"/>
        </w:rPr>
        <w:t> </w:t>
      </w:r>
      <w:r>
        <w:rPr>
          <w:sz w:val="24"/>
        </w:rPr>
        <w:t>diminish</w:t>
      </w:r>
      <w:r>
        <w:rPr>
          <w:spacing w:val="-3"/>
          <w:sz w:val="24"/>
        </w:rPr>
        <w:t> </w:t>
      </w:r>
      <w:r>
        <w:rPr>
          <w:sz w:val="24"/>
        </w:rPr>
        <w:t>so</w:t>
      </w:r>
      <w:r>
        <w:rPr>
          <w:spacing w:val="-3"/>
          <w:sz w:val="24"/>
        </w:rPr>
        <w:t> </w:t>
      </w:r>
      <w:r>
        <w:rPr>
          <w:sz w:val="24"/>
        </w:rPr>
        <w:t>rapidly</w:t>
      </w:r>
      <w:r>
        <w:rPr>
          <w:spacing w:val="-3"/>
          <w:sz w:val="24"/>
        </w:rPr>
        <w:t> </w:t>
      </w:r>
      <w:r>
        <w:rPr>
          <w:sz w:val="24"/>
        </w:rPr>
        <w:t>as</w:t>
      </w:r>
      <w:r>
        <w:rPr>
          <w:spacing w:val="-4"/>
          <w:sz w:val="24"/>
        </w:rPr>
        <w:t> </w:t>
      </w:r>
      <w:r>
        <w:rPr>
          <w:sz w:val="24"/>
        </w:rPr>
        <w:t>to</w:t>
      </w:r>
      <w:r>
        <w:rPr>
          <w:spacing w:val="-3"/>
          <w:sz w:val="24"/>
        </w:rPr>
        <w:t> </w:t>
      </w:r>
      <w:r>
        <w:rPr>
          <w:sz w:val="24"/>
        </w:rPr>
        <w:t>prevent successful completion of vocational rehabilitation services, and/or employment for a reasonable period</w:t>
      </w:r>
      <w:r>
        <w:rPr>
          <w:spacing w:val="-1"/>
          <w:sz w:val="24"/>
        </w:rPr>
        <w:t> </w:t>
      </w:r>
      <w:r>
        <w:rPr>
          <w:sz w:val="24"/>
        </w:rPr>
        <w:t>of time. The</w:t>
      </w:r>
      <w:r>
        <w:rPr>
          <w:spacing w:val="-1"/>
          <w:sz w:val="24"/>
        </w:rPr>
        <w:t> </w:t>
      </w:r>
      <w:r>
        <w:rPr>
          <w:sz w:val="24"/>
        </w:rPr>
        <w:t>individual</w:t>
      </w:r>
      <w:r>
        <w:rPr>
          <w:spacing w:val="-1"/>
          <w:sz w:val="24"/>
        </w:rPr>
        <w:t> </w:t>
      </w:r>
      <w:r>
        <w:rPr>
          <w:sz w:val="24"/>
        </w:rPr>
        <w:t>is</w:t>
      </w:r>
      <w:r>
        <w:rPr>
          <w:spacing w:val="-1"/>
          <w:sz w:val="24"/>
        </w:rPr>
        <w:t> </w:t>
      </w:r>
      <w:r>
        <w:rPr>
          <w:sz w:val="24"/>
        </w:rPr>
        <w:t>liable</w:t>
      </w:r>
      <w:r>
        <w:rPr>
          <w:spacing w:val="-1"/>
          <w:sz w:val="24"/>
        </w:rPr>
        <w:t> </w:t>
      </w:r>
      <w:r>
        <w:rPr>
          <w:sz w:val="24"/>
        </w:rPr>
        <w:t>for services</w:t>
      </w:r>
      <w:r>
        <w:rPr>
          <w:spacing w:val="-1"/>
          <w:sz w:val="24"/>
        </w:rPr>
        <w:t> </w:t>
      </w:r>
      <w:r>
        <w:rPr>
          <w:sz w:val="24"/>
        </w:rPr>
        <w:t>he</w:t>
      </w:r>
      <w:r>
        <w:rPr>
          <w:spacing w:val="-1"/>
          <w:sz w:val="24"/>
        </w:rPr>
        <w:t> </w:t>
      </w:r>
      <w:r>
        <w:rPr>
          <w:sz w:val="24"/>
        </w:rPr>
        <w:t>or she</w:t>
      </w:r>
      <w:r>
        <w:rPr>
          <w:spacing w:val="-1"/>
          <w:sz w:val="24"/>
        </w:rPr>
        <w:t> </w:t>
      </w:r>
      <w:r>
        <w:rPr>
          <w:sz w:val="24"/>
        </w:rPr>
        <w:t>arranged</w:t>
      </w:r>
      <w:r>
        <w:rPr>
          <w:spacing w:val="-1"/>
          <w:sz w:val="24"/>
        </w:rPr>
        <w:t> </w:t>
      </w:r>
      <w:r>
        <w:rPr>
          <w:sz w:val="24"/>
        </w:rPr>
        <w:t>which were</w:t>
      </w:r>
      <w:r>
        <w:rPr>
          <w:spacing w:val="-3"/>
          <w:sz w:val="24"/>
        </w:rPr>
        <w:t> </w:t>
      </w:r>
      <w:r>
        <w:rPr>
          <w:sz w:val="24"/>
        </w:rPr>
        <w:t>not</w:t>
      </w:r>
      <w:r>
        <w:rPr>
          <w:spacing w:val="-2"/>
          <w:sz w:val="24"/>
        </w:rPr>
        <w:t> </w:t>
      </w:r>
      <w:r>
        <w:rPr>
          <w:sz w:val="24"/>
        </w:rPr>
        <w:t>planned</w:t>
      </w:r>
      <w:r>
        <w:rPr>
          <w:spacing w:val="-3"/>
          <w:sz w:val="24"/>
        </w:rPr>
        <w:t> </w:t>
      </w:r>
      <w:r>
        <w:rPr>
          <w:sz w:val="24"/>
        </w:rPr>
        <w:t>and</w:t>
      </w:r>
      <w:r>
        <w:rPr>
          <w:spacing w:val="-2"/>
          <w:sz w:val="24"/>
        </w:rPr>
        <w:t> </w:t>
      </w:r>
      <w:r>
        <w:rPr>
          <w:sz w:val="24"/>
        </w:rPr>
        <w:t>initiated</w:t>
      </w:r>
      <w:r>
        <w:rPr>
          <w:spacing w:val="-3"/>
          <w:sz w:val="24"/>
        </w:rPr>
        <w:t> </w:t>
      </w:r>
      <w:r>
        <w:rPr>
          <w:sz w:val="24"/>
        </w:rPr>
        <w:t>under</w:t>
      </w:r>
      <w:r>
        <w:rPr>
          <w:spacing w:val="-2"/>
          <w:sz w:val="24"/>
        </w:rPr>
        <w:t> </w:t>
      </w:r>
      <w:r>
        <w:rPr>
          <w:sz w:val="24"/>
        </w:rPr>
        <w:t>the</w:t>
      </w:r>
      <w:r>
        <w:rPr>
          <w:spacing w:val="-3"/>
          <w:sz w:val="24"/>
        </w:rPr>
        <w:t> </w:t>
      </w:r>
      <w:r>
        <w:rPr>
          <w:sz w:val="24"/>
        </w:rPr>
        <w:t>auspices</w:t>
      </w:r>
      <w:r>
        <w:rPr>
          <w:spacing w:val="-3"/>
          <w:sz w:val="24"/>
        </w:rPr>
        <w:t> </w:t>
      </w:r>
      <w:r>
        <w:rPr>
          <w:sz w:val="24"/>
        </w:rPr>
        <w:t>of</w:t>
      </w:r>
      <w:r>
        <w:rPr>
          <w:spacing w:val="-2"/>
          <w:sz w:val="24"/>
        </w:rPr>
        <w:t> </w:t>
      </w:r>
      <w:r>
        <w:rPr>
          <w:sz w:val="24"/>
        </w:rPr>
        <w:t>DVR</w:t>
      </w:r>
      <w:r>
        <w:rPr>
          <w:spacing w:val="-3"/>
          <w:sz w:val="24"/>
        </w:rPr>
        <w:t> </w:t>
      </w:r>
      <w:r>
        <w:rPr>
          <w:sz w:val="24"/>
        </w:rPr>
        <w:t>and</w:t>
      </w:r>
      <w:r>
        <w:rPr>
          <w:spacing w:val="-3"/>
          <w:sz w:val="24"/>
        </w:rPr>
        <w:t> </w:t>
      </w:r>
      <w:r>
        <w:rPr>
          <w:sz w:val="24"/>
        </w:rPr>
        <w:t>DSBVI.</w:t>
      </w:r>
      <w:r>
        <w:rPr>
          <w:spacing w:val="-2"/>
          <w:sz w:val="24"/>
        </w:rPr>
        <w:t> </w:t>
      </w:r>
      <w:r>
        <w:rPr>
          <w:sz w:val="24"/>
        </w:rPr>
        <w:t>DVR</w:t>
      </w:r>
      <w:r>
        <w:rPr>
          <w:spacing w:val="-3"/>
          <w:sz w:val="24"/>
        </w:rPr>
        <w:t> </w:t>
      </w:r>
      <w:r>
        <w:rPr>
          <w:sz w:val="24"/>
        </w:rPr>
        <w:t>and</w:t>
      </w:r>
      <w:r>
        <w:rPr>
          <w:spacing w:val="-3"/>
          <w:sz w:val="24"/>
        </w:rPr>
        <w:t> </w:t>
      </w:r>
      <w:r>
        <w:rPr>
          <w:sz w:val="24"/>
        </w:rPr>
        <w:t>DSBVI will not pay for hospitalization or treatment occurring prior to initiation of an Individualized Plan for Employment (IPE). DVR and DSBVI will not pay for emergency hospitalization or treatment needed at the time of referral. However, diagnostic examinations or information may be paid from DVR and DSBVI funds for use in eligibility determination, priority group placement, or determination of vocational rehabilitation needs. Physical and/or mental restoration services will be purchased only from licensed or board certified health professionals unless otherwise specified in DRS policy. Payment will be made in accordance with the established fee schedule of the </w:t>
      </w:r>
      <w:r>
        <w:rPr>
          <w:spacing w:val="-2"/>
          <w:sz w:val="24"/>
        </w:rPr>
        <w:t>Department.</w:t>
      </w:r>
    </w:p>
    <w:p>
      <w:pPr>
        <w:pStyle w:val="ListParagraph"/>
        <w:numPr>
          <w:ilvl w:val="0"/>
          <w:numId w:val="164"/>
        </w:numPr>
        <w:tabs>
          <w:tab w:pos="786" w:val="left" w:leader="none"/>
        </w:tabs>
        <w:spacing w:line="208" w:lineRule="auto" w:before="238" w:after="0"/>
        <w:ind w:left="360" w:right="966" w:firstLine="0"/>
        <w:jc w:val="left"/>
        <w:rPr>
          <w:sz w:val="24"/>
        </w:rPr>
      </w:pPr>
      <w:r>
        <w:rPr>
          <w:sz w:val="24"/>
        </w:rPr>
        <w:t>Temporary conditions with sudden onset do not fall within the definition of impairment for eligibility purposes. Emergency treatment of remediable conditions will not</w:t>
      </w:r>
      <w:r>
        <w:rPr>
          <w:spacing w:val="-3"/>
          <w:sz w:val="24"/>
        </w:rPr>
        <w:t> </w:t>
      </w:r>
      <w:r>
        <w:rPr>
          <w:sz w:val="24"/>
        </w:rPr>
        <w:t>be</w:t>
      </w:r>
      <w:r>
        <w:rPr>
          <w:spacing w:val="-4"/>
          <w:sz w:val="24"/>
        </w:rPr>
        <w:t> </w:t>
      </w:r>
      <w:r>
        <w:rPr>
          <w:sz w:val="24"/>
        </w:rPr>
        <w:t>purchased</w:t>
      </w:r>
      <w:r>
        <w:rPr>
          <w:spacing w:val="-4"/>
          <w:sz w:val="24"/>
        </w:rPr>
        <w:t> </w:t>
      </w:r>
      <w:r>
        <w:rPr>
          <w:sz w:val="24"/>
        </w:rPr>
        <w:t>by</w:t>
      </w:r>
      <w:r>
        <w:rPr>
          <w:spacing w:val="-4"/>
          <w:sz w:val="24"/>
        </w:rPr>
        <w:t> </w:t>
      </w:r>
      <w:r>
        <w:rPr>
          <w:sz w:val="24"/>
        </w:rPr>
        <w:t>DVR</w:t>
      </w:r>
      <w:r>
        <w:rPr>
          <w:spacing w:val="-4"/>
          <w:sz w:val="24"/>
        </w:rPr>
        <w:t> </w:t>
      </w:r>
      <w:r>
        <w:rPr>
          <w:sz w:val="24"/>
        </w:rPr>
        <w:t>and</w:t>
      </w:r>
      <w:r>
        <w:rPr>
          <w:spacing w:val="-4"/>
          <w:sz w:val="24"/>
        </w:rPr>
        <w:t> </w:t>
      </w:r>
      <w:r>
        <w:rPr>
          <w:sz w:val="24"/>
        </w:rPr>
        <w:t>DSBVI</w:t>
      </w:r>
      <w:r>
        <w:rPr>
          <w:spacing w:val="-3"/>
          <w:sz w:val="24"/>
        </w:rPr>
        <w:t> </w:t>
      </w:r>
      <w:r>
        <w:rPr>
          <w:sz w:val="24"/>
        </w:rPr>
        <w:t>except</w:t>
      </w:r>
      <w:r>
        <w:rPr>
          <w:spacing w:val="-3"/>
          <w:sz w:val="24"/>
        </w:rPr>
        <w:t> </w:t>
      </w:r>
      <w:r>
        <w:rPr>
          <w:sz w:val="24"/>
        </w:rPr>
        <w:t>under</w:t>
      </w:r>
      <w:r>
        <w:rPr>
          <w:spacing w:val="-3"/>
          <w:sz w:val="24"/>
        </w:rPr>
        <w:t> </w:t>
      </w:r>
      <w:r>
        <w:rPr>
          <w:sz w:val="24"/>
        </w:rPr>
        <w:t>intercurrent</w:t>
      </w:r>
      <w:r>
        <w:rPr>
          <w:spacing w:val="-3"/>
          <w:sz w:val="24"/>
        </w:rPr>
        <w:t> </w:t>
      </w:r>
      <w:r>
        <w:rPr>
          <w:sz w:val="24"/>
        </w:rPr>
        <w:t>illness</w:t>
      </w:r>
      <w:r>
        <w:rPr>
          <w:spacing w:val="-4"/>
          <w:sz w:val="24"/>
        </w:rPr>
        <w:t> </w:t>
      </w:r>
      <w:r>
        <w:rPr>
          <w:sz w:val="24"/>
        </w:rPr>
        <w:t>policy.</w:t>
      </w:r>
      <w:r>
        <w:rPr>
          <w:spacing w:val="-3"/>
          <w:sz w:val="24"/>
        </w:rPr>
        <w:t> </w:t>
      </w:r>
      <w:r>
        <w:rPr>
          <w:b/>
          <w:sz w:val="24"/>
        </w:rPr>
        <w:t>1</w:t>
      </w:r>
      <w:r>
        <w:rPr>
          <w:b/>
          <w:spacing w:val="-5"/>
          <w:sz w:val="24"/>
        </w:rPr>
        <w:t> </w:t>
      </w:r>
      <w:r>
        <w:rPr>
          <w:sz w:val="24"/>
        </w:rPr>
        <w:t>When the staff is in doubt as to the effect of such a condition upon the outcome of the IPE objectives, a medical consultation may be requested.</w:t>
      </w:r>
    </w:p>
    <w:p>
      <w:pPr>
        <w:pStyle w:val="ListParagraph"/>
        <w:numPr>
          <w:ilvl w:val="0"/>
          <w:numId w:val="164"/>
        </w:numPr>
        <w:tabs>
          <w:tab w:pos="773" w:val="left" w:leader="none"/>
        </w:tabs>
        <w:spacing w:line="208" w:lineRule="auto" w:before="240" w:after="0"/>
        <w:ind w:left="360" w:right="751" w:firstLine="0"/>
        <w:jc w:val="left"/>
        <w:rPr>
          <w:sz w:val="24"/>
        </w:rPr>
      </w:pPr>
      <w:r>
        <w:rPr>
          <w:sz w:val="24"/>
        </w:rPr>
        <w:t>DVR and DSBVI do not provide long-term or ongoing physical or psychological treatment.</w:t>
      </w:r>
      <w:r>
        <w:rPr>
          <w:spacing w:val="-4"/>
          <w:sz w:val="24"/>
        </w:rPr>
        <w:t> </w:t>
      </w:r>
      <w:r>
        <w:rPr>
          <w:sz w:val="24"/>
        </w:rPr>
        <w:t>DVR</w:t>
      </w:r>
      <w:r>
        <w:rPr>
          <w:spacing w:val="-3"/>
          <w:sz w:val="24"/>
        </w:rPr>
        <w:t> </w:t>
      </w:r>
      <w:r>
        <w:rPr>
          <w:sz w:val="24"/>
        </w:rPr>
        <w:t>and</w:t>
      </w:r>
      <w:r>
        <w:rPr>
          <w:spacing w:val="-3"/>
          <w:sz w:val="24"/>
        </w:rPr>
        <w:t> </w:t>
      </w:r>
      <w:r>
        <w:rPr>
          <w:sz w:val="24"/>
        </w:rPr>
        <w:t>DSBVI</w:t>
      </w:r>
      <w:r>
        <w:rPr>
          <w:spacing w:val="-2"/>
          <w:sz w:val="24"/>
        </w:rPr>
        <w:t> </w:t>
      </w:r>
      <w:r>
        <w:rPr>
          <w:sz w:val="24"/>
        </w:rPr>
        <w:t>funds</w:t>
      </w:r>
      <w:r>
        <w:rPr>
          <w:spacing w:val="-2"/>
          <w:sz w:val="24"/>
        </w:rPr>
        <w:t> </w:t>
      </w:r>
      <w:r>
        <w:rPr>
          <w:sz w:val="24"/>
        </w:rPr>
        <w:t>cannot</w:t>
      </w:r>
      <w:r>
        <w:rPr>
          <w:spacing w:val="-2"/>
          <w:sz w:val="24"/>
        </w:rPr>
        <w:t> </w:t>
      </w:r>
      <w:r>
        <w:rPr>
          <w:sz w:val="24"/>
        </w:rPr>
        <w:t>be</w:t>
      </w:r>
      <w:r>
        <w:rPr>
          <w:spacing w:val="-3"/>
          <w:sz w:val="24"/>
        </w:rPr>
        <w:t> </w:t>
      </w:r>
      <w:r>
        <w:rPr>
          <w:sz w:val="24"/>
        </w:rPr>
        <w:t>used</w:t>
      </w:r>
      <w:r>
        <w:rPr>
          <w:spacing w:val="-3"/>
          <w:sz w:val="24"/>
        </w:rPr>
        <w:t> </w:t>
      </w:r>
      <w:r>
        <w:rPr>
          <w:sz w:val="24"/>
        </w:rPr>
        <w:t>to</w:t>
      </w:r>
      <w:r>
        <w:rPr>
          <w:spacing w:val="-3"/>
          <w:sz w:val="24"/>
        </w:rPr>
        <w:t> </w:t>
      </w:r>
      <w:r>
        <w:rPr>
          <w:sz w:val="24"/>
        </w:rPr>
        <w:t>initiate</w:t>
      </w:r>
      <w:r>
        <w:rPr>
          <w:spacing w:val="-3"/>
          <w:sz w:val="24"/>
        </w:rPr>
        <w:t> </w:t>
      </w:r>
      <w:r>
        <w:rPr>
          <w:sz w:val="24"/>
        </w:rPr>
        <w:t>treatment</w:t>
      </w:r>
      <w:r>
        <w:rPr>
          <w:spacing w:val="-2"/>
          <w:sz w:val="24"/>
        </w:rPr>
        <w:t> </w:t>
      </w:r>
      <w:r>
        <w:rPr>
          <w:sz w:val="24"/>
        </w:rPr>
        <w:t>that</w:t>
      </w:r>
      <w:r>
        <w:rPr>
          <w:spacing w:val="-4"/>
          <w:sz w:val="24"/>
        </w:rPr>
        <w:t> </w:t>
      </w:r>
      <w:r>
        <w:rPr>
          <w:sz w:val="24"/>
        </w:rPr>
        <w:t>is</w:t>
      </w:r>
      <w:r>
        <w:rPr>
          <w:spacing w:val="-3"/>
          <w:sz w:val="24"/>
        </w:rPr>
        <w:t> </w:t>
      </w:r>
      <w:r>
        <w:rPr>
          <w:sz w:val="24"/>
        </w:rPr>
        <w:t>reasonably anticipated to last more than three months unless supervisory approval has been obtained for a three month extension. Additional three month extensions may be approved if the client maintains reasonable progress toward achieving the vocational goal. Persons needing long-term or ongoing treatment are to be referred to other medical assistance sources if available.</w:t>
      </w:r>
    </w:p>
    <w:p>
      <w:pPr>
        <w:pStyle w:val="ListParagraph"/>
        <w:numPr>
          <w:ilvl w:val="0"/>
          <w:numId w:val="164"/>
        </w:numPr>
        <w:tabs>
          <w:tab w:pos="786" w:val="left" w:leader="none"/>
        </w:tabs>
        <w:spacing w:line="208" w:lineRule="auto" w:before="239" w:after="0"/>
        <w:ind w:left="360" w:right="753" w:firstLine="0"/>
        <w:jc w:val="left"/>
        <w:rPr>
          <w:b/>
          <w:sz w:val="24"/>
        </w:rPr>
      </w:pPr>
      <w:r>
        <w:rPr>
          <w:sz w:val="24"/>
        </w:rPr>
        <w:t>Payment from DVR and DSBVI funds may be planned and authorized only after applicable third party pay sources provide verification of the expense they will cover, and not cover, associated with the physical or mental restoration services in question. When DVR and DSBVI funds are used to supplement a third party pay source, planned services</w:t>
      </w:r>
      <w:r>
        <w:rPr>
          <w:spacing w:val="-3"/>
          <w:sz w:val="24"/>
        </w:rPr>
        <w:t> </w:t>
      </w:r>
      <w:r>
        <w:rPr>
          <w:sz w:val="24"/>
        </w:rPr>
        <w:t>and</w:t>
      </w:r>
      <w:r>
        <w:rPr>
          <w:spacing w:val="-3"/>
          <w:sz w:val="24"/>
        </w:rPr>
        <w:t> </w:t>
      </w:r>
      <w:r>
        <w:rPr>
          <w:sz w:val="24"/>
        </w:rPr>
        <w:t>the</w:t>
      </w:r>
      <w:r>
        <w:rPr>
          <w:spacing w:val="-3"/>
          <w:sz w:val="24"/>
        </w:rPr>
        <w:t> </w:t>
      </w:r>
      <w:r>
        <w:rPr>
          <w:sz w:val="24"/>
        </w:rPr>
        <w:t>authorization</w:t>
      </w:r>
      <w:r>
        <w:rPr>
          <w:spacing w:val="-3"/>
          <w:sz w:val="24"/>
        </w:rPr>
        <w:t> </w:t>
      </w:r>
      <w:r>
        <w:rPr>
          <w:sz w:val="24"/>
        </w:rPr>
        <w:t>will</w:t>
      </w:r>
      <w:r>
        <w:rPr>
          <w:spacing w:val="-2"/>
          <w:sz w:val="24"/>
        </w:rPr>
        <w:t> </w:t>
      </w:r>
      <w:r>
        <w:rPr>
          <w:sz w:val="24"/>
        </w:rPr>
        <w:t>be</w:t>
      </w:r>
      <w:r>
        <w:rPr>
          <w:spacing w:val="-3"/>
          <w:sz w:val="24"/>
        </w:rPr>
        <w:t> </w:t>
      </w:r>
      <w:r>
        <w:rPr>
          <w:sz w:val="24"/>
        </w:rPr>
        <w:t>limited</w:t>
      </w:r>
      <w:r>
        <w:rPr>
          <w:spacing w:val="-3"/>
          <w:sz w:val="24"/>
        </w:rPr>
        <w:t> </w:t>
      </w:r>
      <w:r>
        <w:rPr>
          <w:sz w:val="24"/>
        </w:rPr>
        <w:t>to</w:t>
      </w:r>
      <w:r>
        <w:rPr>
          <w:spacing w:val="-3"/>
          <w:sz w:val="24"/>
        </w:rPr>
        <w:t> </w:t>
      </w:r>
      <w:r>
        <w:rPr>
          <w:sz w:val="24"/>
        </w:rPr>
        <w:t>those</w:t>
      </w:r>
      <w:r>
        <w:rPr>
          <w:spacing w:val="-3"/>
          <w:sz w:val="24"/>
        </w:rPr>
        <w:t> </w:t>
      </w:r>
      <w:r>
        <w:rPr>
          <w:sz w:val="24"/>
        </w:rPr>
        <w:t>expenses</w:t>
      </w:r>
      <w:r>
        <w:rPr>
          <w:spacing w:val="-3"/>
          <w:sz w:val="24"/>
        </w:rPr>
        <w:t> </w:t>
      </w:r>
      <w:r>
        <w:rPr>
          <w:sz w:val="24"/>
        </w:rPr>
        <w:t>that</w:t>
      </w:r>
      <w:r>
        <w:rPr>
          <w:spacing w:val="-2"/>
          <w:sz w:val="24"/>
        </w:rPr>
        <w:t> </w:t>
      </w:r>
      <w:r>
        <w:rPr>
          <w:sz w:val="24"/>
        </w:rPr>
        <w:t>fall</w:t>
      </w:r>
      <w:r>
        <w:rPr>
          <w:spacing w:val="-3"/>
          <w:sz w:val="24"/>
        </w:rPr>
        <w:t> </w:t>
      </w:r>
      <w:r>
        <w:rPr>
          <w:sz w:val="24"/>
        </w:rPr>
        <w:t>within</w:t>
      </w:r>
      <w:r>
        <w:rPr>
          <w:spacing w:val="-3"/>
          <w:sz w:val="24"/>
        </w:rPr>
        <w:t> </w:t>
      </w:r>
      <w:r>
        <w:rPr>
          <w:sz w:val="24"/>
        </w:rPr>
        <w:t>the</w:t>
      </w:r>
      <w:r>
        <w:rPr>
          <w:spacing w:val="-3"/>
          <w:sz w:val="24"/>
        </w:rPr>
        <w:t> </w:t>
      </w:r>
      <w:r>
        <w:rPr>
          <w:sz w:val="24"/>
        </w:rPr>
        <w:t>scope of the program and that do not exceed the difference between what the third party pay source will pay and the Department's established payment schedule. </w:t>
      </w:r>
      <w:r>
        <w:rPr>
          <w:b/>
          <w:sz w:val="24"/>
        </w:rPr>
        <w:t>2</w:t>
      </w:r>
    </w:p>
    <w:p>
      <w:pPr>
        <w:pStyle w:val="ListParagraph"/>
        <w:numPr>
          <w:ilvl w:val="0"/>
          <w:numId w:val="164"/>
        </w:numPr>
        <w:tabs>
          <w:tab w:pos="785" w:val="left" w:leader="none"/>
        </w:tabs>
        <w:spacing w:line="208" w:lineRule="auto" w:before="239" w:after="0"/>
        <w:ind w:left="360" w:right="1178" w:firstLine="0"/>
        <w:jc w:val="left"/>
        <w:rPr>
          <w:sz w:val="24"/>
        </w:rPr>
      </w:pPr>
      <w:r>
        <w:rPr>
          <w:sz w:val="24"/>
        </w:rPr>
        <w:t>Individuals with chronic disabilities that can be removed with little or no residual limitations</w:t>
      </w:r>
      <w:r>
        <w:rPr>
          <w:spacing w:val="-2"/>
          <w:sz w:val="24"/>
        </w:rPr>
        <w:t> </w:t>
      </w:r>
      <w:r>
        <w:rPr>
          <w:sz w:val="24"/>
        </w:rPr>
        <w:t>will</w:t>
      </w:r>
      <w:r>
        <w:rPr>
          <w:spacing w:val="-3"/>
          <w:sz w:val="24"/>
        </w:rPr>
        <w:t> </w:t>
      </w:r>
      <w:r>
        <w:rPr>
          <w:sz w:val="24"/>
        </w:rPr>
        <w:t>not</w:t>
      </w:r>
      <w:r>
        <w:rPr>
          <w:spacing w:val="-2"/>
          <w:sz w:val="24"/>
        </w:rPr>
        <w:t> </w:t>
      </w:r>
      <w:r>
        <w:rPr>
          <w:sz w:val="24"/>
        </w:rPr>
        <w:t>be</w:t>
      </w:r>
      <w:r>
        <w:rPr>
          <w:spacing w:val="-3"/>
          <w:sz w:val="24"/>
        </w:rPr>
        <w:t> </w:t>
      </w:r>
      <w:r>
        <w:rPr>
          <w:sz w:val="24"/>
        </w:rPr>
        <w:t>eligible</w:t>
      </w:r>
      <w:r>
        <w:rPr>
          <w:spacing w:val="-3"/>
          <w:sz w:val="24"/>
        </w:rPr>
        <w:t> </w:t>
      </w:r>
      <w:r>
        <w:rPr>
          <w:sz w:val="24"/>
        </w:rPr>
        <w:t>for</w:t>
      </w:r>
      <w:r>
        <w:rPr>
          <w:spacing w:val="-4"/>
          <w:sz w:val="24"/>
        </w:rPr>
        <w:t> </w:t>
      </w:r>
      <w:r>
        <w:rPr>
          <w:sz w:val="24"/>
        </w:rPr>
        <w:t>purchase</w:t>
      </w:r>
      <w:r>
        <w:rPr>
          <w:spacing w:val="-3"/>
          <w:sz w:val="24"/>
        </w:rPr>
        <w:t> </w:t>
      </w:r>
      <w:r>
        <w:rPr>
          <w:sz w:val="24"/>
        </w:rPr>
        <w:t>of</w:t>
      </w:r>
      <w:r>
        <w:rPr>
          <w:spacing w:val="-2"/>
          <w:sz w:val="24"/>
        </w:rPr>
        <w:t> </w:t>
      </w:r>
      <w:r>
        <w:rPr>
          <w:sz w:val="24"/>
        </w:rPr>
        <w:t>services</w:t>
      </w:r>
      <w:r>
        <w:rPr>
          <w:spacing w:val="-3"/>
          <w:sz w:val="24"/>
        </w:rPr>
        <w:t> </w:t>
      </w:r>
      <w:r>
        <w:rPr>
          <w:sz w:val="24"/>
        </w:rPr>
        <w:t>other</w:t>
      </w:r>
      <w:r>
        <w:rPr>
          <w:spacing w:val="-2"/>
          <w:sz w:val="24"/>
        </w:rPr>
        <w:t> </w:t>
      </w:r>
      <w:r>
        <w:rPr>
          <w:sz w:val="24"/>
        </w:rPr>
        <w:t>than</w:t>
      </w:r>
      <w:r>
        <w:rPr>
          <w:spacing w:val="-3"/>
          <w:sz w:val="24"/>
        </w:rPr>
        <w:t> </w:t>
      </w:r>
      <w:r>
        <w:rPr>
          <w:sz w:val="24"/>
        </w:rPr>
        <w:t>those</w:t>
      </w:r>
      <w:r>
        <w:rPr>
          <w:spacing w:val="-3"/>
          <w:sz w:val="24"/>
        </w:rPr>
        <w:t> </w:t>
      </w:r>
      <w:r>
        <w:rPr>
          <w:sz w:val="24"/>
        </w:rPr>
        <w:t>related</w:t>
      </w:r>
      <w:r>
        <w:rPr>
          <w:spacing w:val="-2"/>
          <w:sz w:val="24"/>
        </w:rPr>
        <w:t> </w:t>
      </w:r>
      <w:r>
        <w:rPr>
          <w:sz w:val="24"/>
        </w:rPr>
        <w:t>to</w:t>
      </w:r>
      <w:r>
        <w:rPr>
          <w:spacing w:val="-4"/>
          <w:sz w:val="24"/>
        </w:rPr>
        <w:t> </w:t>
      </w:r>
      <w:r>
        <w:rPr>
          <w:sz w:val="24"/>
        </w:rPr>
        <w:t>the required treatment.</w:t>
      </w:r>
    </w:p>
    <w:p>
      <w:pPr>
        <w:pStyle w:val="ListParagraph"/>
        <w:numPr>
          <w:ilvl w:val="0"/>
          <w:numId w:val="164"/>
        </w:numPr>
        <w:tabs>
          <w:tab w:pos="719" w:val="left" w:leader="none"/>
        </w:tabs>
        <w:spacing w:line="240" w:lineRule="auto" w:before="211" w:after="0"/>
        <w:ind w:left="719" w:right="0" w:hanging="359"/>
        <w:jc w:val="left"/>
        <w:rPr>
          <w:sz w:val="24"/>
        </w:rPr>
      </w:pPr>
      <w:r>
        <w:rPr>
          <w:sz w:val="24"/>
        </w:rPr>
        <w:t>Physical</w:t>
      </w:r>
      <w:r>
        <w:rPr>
          <w:spacing w:val="-6"/>
          <w:sz w:val="24"/>
        </w:rPr>
        <w:t> </w:t>
      </w:r>
      <w:r>
        <w:rPr>
          <w:sz w:val="24"/>
        </w:rPr>
        <w:t>and</w:t>
      </w:r>
      <w:r>
        <w:rPr>
          <w:spacing w:val="-3"/>
          <w:sz w:val="24"/>
        </w:rPr>
        <w:t> </w:t>
      </w:r>
      <w:r>
        <w:rPr>
          <w:sz w:val="24"/>
        </w:rPr>
        <w:t>mental</w:t>
      </w:r>
      <w:r>
        <w:rPr>
          <w:spacing w:val="-3"/>
          <w:sz w:val="24"/>
        </w:rPr>
        <w:t> </w:t>
      </w:r>
      <w:r>
        <w:rPr>
          <w:sz w:val="24"/>
        </w:rPr>
        <w:t>restoration</w:t>
      </w:r>
      <w:r>
        <w:rPr>
          <w:spacing w:val="-3"/>
          <w:sz w:val="24"/>
        </w:rPr>
        <w:t> </w:t>
      </w:r>
      <w:r>
        <w:rPr>
          <w:sz w:val="24"/>
        </w:rPr>
        <w:t>services</w:t>
      </w:r>
      <w:r>
        <w:rPr>
          <w:spacing w:val="-3"/>
          <w:sz w:val="24"/>
        </w:rPr>
        <w:t> </w:t>
      </w:r>
      <w:r>
        <w:rPr>
          <w:sz w:val="24"/>
        </w:rPr>
        <w:t>may</w:t>
      </w:r>
      <w:r>
        <w:rPr>
          <w:spacing w:val="-3"/>
          <w:sz w:val="24"/>
        </w:rPr>
        <w:t> </w:t>
      </w:r>
      <w:r>
        <w:rPr>
          <w:sz w:val="24"/>
        </w:rPr>
        <w:t>include</w:t>
      </w:r>
      <w:r>
        <w:rPr>
          <w:spacing w:val="-3"/>
          <w:sz w:val="24"/>
        </w:rPr>
        <w:t> </w:t>
      </w:r>
      <w:r>
        <w:rPr>
          <w:sz w:val="24"/>
        </w:rPr>
        <w:t>but</w:t>
      </w:r>
      <w:r>
        <w:rPr>
          <w:spacing w:val="-2"/>
          <w:sz w:val="24"/>
        </w:rPr>
        <w:t> </w:t>
      </w:r>
      <w:r>
        <w:rPr>
          <w:sz w:val="24"/>
        </w:rPr>
        <w:t>are</w:t>
      </w:r>
      <w:r>
        <w:rPr>
          <w:spacing w:val="-3"/>
          <w:sz w:val="24"/>
        </w:rPr>
        <w:t> </w:t>
      </w:r>
      <w:r>
        <w:rPr>
          <w:sz w:val="24"/>
        </w:rPr>
        <w:t>not</w:t>
      </w:r>
      <w:r>
        <w:rPr>
          <w:spacing w:val="-2"/>
          <w:sz w:val="24"/>
        </w:rPr>
        <w:t> </w:t>
      </w:r>
      <w:r>
        <w:rPr>
          <w:sz w:val="24"/>
        </w:rPr>
        <w:t>limited</w:t>
      </w:r>
      <w:r>
        <w:rPr>
          <w:spacing w:val="-3"/>
          <w:sz w:val="24"/>
        </w:rPr>
        <w:t> </w:t>
      </w:r>
      <w:r>
        <w:rPr>
          <w:spacing w:val="-5"/>
          <w:sz w:val="24"/>
        </w:rPr>
        <w:t>to:</w:t>
      </w:r>
    </w:p>
    <w:p>
      <w:pPr>
        <w:pStyle w:val="ListParagraph"/>
        <w:numPr>
          <w:ilvl w:val="1"/>
          <w:numId w:val="164"/>
        </w:numPr>
        <w:tabs>
          <w:tab w:pos="1146" w:val="left" w:leader="none"/>
        </w:tabs>
        <w:spacing w:line="240" w:lineRule="auto" w:before="204" w:after="0"/>
        <w:ind w:left="1146" w:right="0" w:hanging="426"/>
        <w:jc w:val="left"/>
        <w:rPr>
          <w:sz w:val="24"/>
        </w:rPr>
      </w:pPr>
      <w:r>
        <w:rPr>
          <w:sz w:val="24"/>
        </w:rPr>
        <w:t>Braces</w:t>
      </w:r>
      <w:r>
        <w:rPr>
          <w:spacing w:val="-4"/>
          <w:sz w:val="24"/>
        </w:rPr>
        <w:t> </w:t>
      </w:r>
      <w:r>
        <w:rPr>
          <w:sz w:val="24"/>
        </w:rPr>
        <w:t>and</w:t>
      </w:r>
      <w:r>
        <w:rPr>
          <w:spacing w:val="-3"/>
          <w:sz w:val="24"/>
        </w:rPr>
        <w:t> </w:t>
      </w:r>
      <w:r>
        <w:rPr>
          <w:sz w:val="24"/>
        </w:rPr>
        <w:t>orthotic</w:t>
      </w:r>
      <w:r>
        <w:rPr>
          <w:spacing w:val="-3"/>
          <w:sz w:val="24"/>
        </w:rPr>
        <w:t> </w:t>
      </w:r>
      <w:r>
        <w:rPr>
          <w:spacing w:val="-2"/>
          <w:sz w:val="24"/>
        </w:rPr>
        <w:t>devices.</w:t>
      </w:r>
    </w:p>
    <w:p>
      <w:pPr>
        <w:pStyle w:val="ListParagraph"/>
        <w:numPr>
          <w:ilvl w:val="1"/>
          <w:numId w:val="164"/>
        </w:numPr>
        <w:tabs>
          <w:tab w:pos="1146" w:val="left" w:leader="none"/>
        </w:tabs>
        <w:spacing w:line="208" w:lineRule="auto" w:before="233" w:after="0"/>
        <w:ind w:left="720" w:right="941" w:firstLine="0"/>
        <w:jc w:val="left"/>
        <w:rPr>
          <w:sz w:val="24"/>
        </w:rPr>
      </w:pPr>
      <w:r>
        <w:rPr>
          <w:sz w:val="24"/>
        </w:rPr>
        <w:t>Chiropractic</w:t>
      </w:r>
      <w:r>
        <w:rPr>
          <w:spacing w:val="-5"/>
          <w:sz w:val="24"/>
        </w:rPr>
        <w:t> </w:t>
      </w:r>
      <w:r>
        <w:rPr>
          <w:sz w:val="24"/>
        </w:rPr>
        <w:t>services.</w:t>
      </w:r>
      <w:r>
        <w:rPr>
          <w:spacing w:val="-4"/>
          <w:sz w:val="24"/>
        </w:rPr>
        <w:t> </w:t>
      </w:r>
      <w:r>
        <w:rPr>
          <w:sz w:val="24"/>
        </w:rPr>
        <w:t>A</w:t>
      </w:r>
      <w:r>
        <w:rPr>
          <w:spacing w:val="-5"/>
          <w:sz w:val="24"/>
        </w:rPr>
        <w:t> </w:t>
      </w:r>
      <w:r>
        <w:rPr>
          <w:sz w:val="24"/>
        </w:rPr>
        <w:t>chiropractor</w:t>
      </w:r>
      <w:r>
        <w:rPr>
          <w:spacing w:val="-4"/>
          <w:sz w:val="24"/>
        </w:rPr>
        <w:t> </w:t>
      </w:r>
      <w:r>
        <w:rPr>
          <w:sz w:val="24"/>
        </w:rPr>
        <w:t>providing</w:t>
      </w:r>
      <w:r>
        <w:rPr>
          <w:spacing w:val="-5"/>
          <w:sz w:val="24"/>
        </w:rPr>
        <w:t> </w:t>
      </w:r>
      <w:r>
        <w:rPr>
          <w:sz w:val="24"/>
        </w:rPr>
        <w:t>treatment</w:t>
      </w:r>
      <w:r>
        <w:rPr>
          <w:spacing w:val="-4"/>
          <w:sz w:val="24"/>
        </w:rPr>
        <w:t> </w:t>
      </w:r>
      <w:r>
        <w:rPr>
          <w:sz w:val="24"/>
        </w:rPr>
        <w:t>must</w:t>
      </w:r>
      <w:r>
        <w:rPr>
          <w:spacing w:val="-7"/>
          <w:sz w:val="24"/>
        </w:rPr>
        <w:t> </w:t>
      </w:r>
      <w:r>
        <w:rPr>
          <w:sz w:val="24"/>
        </w:rPr>
        <w:t>be</w:t>
      </w:r>
      <w:r>
        <w:rPr>
          <w:spacing w:val="-5"/>
          <w:sz w:val="24"/>
        </w:rPr>
        <w:t> </w:t>
      </w:r>
      <w:r>
        <w:rPr>
          <w:sz w:val="24"/>
        </w:rPr>
        <w:t>duly</w:t>
      </w:r>
      <w:r>
        <w:rPr>
          <w:spacing w:val="-5"/>
          <w:sz w:val="24"/>
        </w:rPr>
        <w:t> </w:t>
      </w:r>
      <w:r>
        <w:rPr>
          <w:sz w:val="24"/>
        </w:rPr>
        <w:t>licensed to practice his profession in Oklahoma, have a current provider/vendor agreement with DRS, and following evaluation of the client's needs, must provide a treatment</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720" w:right="775"/>
      </w:pPr>
      <w:r>
        <w:rPr/>
        <w:t>plan</w:t>
      </w:r>
      <w:r>
        <w:rPr>
          <w:spacing w:val="-4"/>
        </w:rPr>
        <w:t> </w:t>
      </w:r>
      <w:r>
        <w:rPr/>
        <w:t>with</w:t>
      </w:r>
      <w:r>
        <w:rPr>
          <w:spacing w:val="-4"/>
        </w:rPr>
        <w:t> </w:t>
      </w:r>
      <w:r>
        <w:rPr/>
        <w:t>goals,</w:t>
      </w:r>
      <w:r>
        <w:rPr>
          <w:spacing w:val="-3"/>
        </w:rPr>
        <w:t> </w:t>
      </w:r>
      <w:r>
        <w:rPr/>
        <w:t>time</w:t>
      </w:r>
      <w:r>
        <w:rPr>
          <w:spacing w:val="-4"/>
        </w:rPr>
        <w:t> </w:t>
      </w:r>
      <w:r>
        <w:rPr/>
        <w:t>frames</w:t>
      </w:r>
      <w:r>
        <w:rPr>
          <w:spacing w:val="-4"/>
        </w:rPr>
        <w:t> </w:t>
      </w:r>
      <w:r>
        <w:rPr/>
        <w:t>and</w:t>
      </w:r>
      <w:r>
        <w:rPr>
          <w:spacing w:val="-5"/>
        </w:rPr>
        <w:t> </w:t>
      </w:r>
      <w:r>
        <w:rPr/>
        <w:t>the</w:t>
      </w:r>
      <w:r>
        <w:rPr>
          <w:spacing w:val="-4"/>
        </w:rPr>
        <w:t> </w:t>
      </w:r>
      <w:r>
        <w:rPr/>
        <w:t>estimated</w:t>
      </w:r>
      <w:r>
        <w:rPr>
          <w:spacing w:val="-4"/>
        </w:rPr>
        <w:t> </w:t>
      </w:r>
      <w:r>
        <w:rPr/>
        <w:t>number</w:t>
      </w:r>
      <w:r>
        <w:rPr>
          <w:spacing w:val="-3"/>
        </w:rPr>
        <w:t> </w:t>
      </w:r>
      <w:r>
        <w:rPr/>
        <w:t>of</w:t>
      </w:r>
      <w:r>
        <w:rPr>
          <w:spacing w:val="-3"/>
        </w:rPr>
        <w:t> </w:t>
      </w:r>
      <w:r>
        <w:rPr/>
        <w:t>treatments</w:t>
      </w:r>
      <w:r>
        <w:rPr>
          <w:spacing w:val="-4"/>
        </w:rPr>
        <w:t> </w:t>
      </w:r>
      <w:r>
        <w:rPr/>
        <w:t>required</w:t>
      </w:r>
      <w:r>
        <w:rPr>
          <w:spacing w:val="-5"/>
        </w:rPr>
        <w:t> </w:t>
      </w:r>
      <w:r>
        <w:rPr/>
        <w:t>to meet the goals. Treatment may not be extended beyond three months unless progress toward treatment goals can be determined.</w:t>
      </w:r>
    </w:p>
    <w:p>
      <w:pPr>
        <w:pStyle w:val="ListParagraph"/>
        <w:numPr>
          <w:ilvl w:val="1"/>
          <w:numId w:val="164"/>
        </w:numPr>
        <w:tabs>
          <w:tab w:pos="1146" w:val="left" w:leader="none"/>
        </w:tabs>
        <w:spacing w:line="208" w:lineRule="auto" w:before="240" w:after="0"/>
        <w:ind w:left="720" w:right="992" w:firstLine="0"/>
        <w:jc w:val="left"/>
        <w:rPr>
          <w:sz w:val="24"/>
        </w:rPr>
      </w:pPr>
      <w:r>
        <w:rPr>
          <w:sz w:val="24"/>
        </w:rPr>
        <w:t>Dental services. Dental services may be provided to treat or correct dental conditions that constitute an impediment to employment or participation in the rehabilitation</w:t>
      </w:r>
      <w:r>
        <w:rPr>
          <w:spacing w:val="-5"/>
          <w:sz w:val="24"/>
        </w:rPr>
        <w:t> </w:t>
      </w:r>
      <w:r>
        <w:rPr>
          <w:sz w:val="24"/>
        </w:rPr>
        <w:t>process,</w:t>
      </w:r>
      <w:r>
        <w:rPr>
          <w:spacing w:val="-6"/>
          <w:sz w:val="24"/>
        </w:rPr>
        <w:t> </w:t>
      </w:r>
      <w:r>
        <w:rPr>
          <w:sz w:val="24"/>
        </w:rPr>
        <w:t>produce</w:t>
      </w:r>
      <w:r>
        <w:rPr>
          <w:spacing w:val="-5"/>
          <w:sz w:val="24"/>
        </w:rPr>
        <w:t> </w:t>
      </w:r>
      <w:r>
        <w:rPr>
          <w:sz w:val="24"/>
        </w:rPr>
        <w:t>health</w:t>
      </w:r>
      <w:r>
        <w:rPr>
          <w:spacing w:val="-5"/>
          <w:sz w:val="24"/>
        </w:rPr>
        <w:t> </w:t>
      </w:r>
      <w:r>
        <w:rPr>
          <w:sz w:val="24"/>
        </w:rPr>
        <w:t>problems</w:t>
      </w:r>
      <w:r>
        <w:rPr>
          <w:spacing w:val="-5"/>
          <w:sz w:val="24"/>
        </w:rPr>
        <w:t> </w:t>
      </w:r>
      <w:r>
        <w:rPr>
          <w:sz w:val="24"/>
        </w:rPr>
        <w:t>or</w:t>
      </w:r>
      <w:r>
        <w:rPr>
          <w:spacing w:val="-4"/>
          <w:sz w:val="24"/>
        </w:rPr>
        <w:t> </w:t>
      </w:r>
      <w:r>
        <w:rPr>
          <w:sz w:val="24"/>
        </w:rPr>
        <w:t>aggravate</w:t>
      </w:r>
      <w:r>
        <w:rPr>
          <w:spacing w:val="-5"/>
          <w:sz w:val="24"/>
        </w:rPr>
        <w:t> </w:t>
      </w:r>
      <w:r>
        <w:rPr>
          <w:sz w:val="24"/>
        </w:rPr>
        <w:t>an</w:t>
      </w:r>
      <w:r>
        <w:rPr>
          <w:spacing w:val="-5"/>
          <w:sz w:val="24"/>
        </w:rPr>
        <w:t> </w:t>
      </w:r>
      <w:r>
        <w:rPr>
          <w:sz w:val="24"/>
        </w:rPr>
        <w:t>existing</w:t>
      </w:r>
      <w:r>
        <w:rPr>
          <w:spacing w:val="-5"/>
          <w:sz w:val="24"/>
        </w:rPr>
        <w:t> </w:t>
      </w:r>
      <w:r>
        <w:rPr>
          <w:sz w:val="24"/>
        </w:rPr>
        <w:t>disability. Dental services with a projected cost over $5,000.00 require review by the DRS dental consultant and supervisory approval.</w:t>
      </w:r>
    </w:p>
    <w:p>
      <w:pPr>
        <w:pStyle w:val="ListParagraph"/>
        <w:numPr>
          <w:ilvl w:val="1"/>
          <w:numId w:val="164"/>
        </w:numPr>
        <w:tabs>
          <w:tab w:pos="1146" w:val="left" w:leader="none"/>
        </w:tabs>
        <w:spacing w:line="208" w:lineRule="auto" w:before="239" w:after="0"/>
        <w:ind w:left="720" w:right="821" w:firstLine="0"/>
        <w:jc w:val="left"/>
        <w:rPr>
          <w:b/>
          <w:sz w:val="24"/>
        </w:rPr>
      </w:pPr>
      <w:r>
        <w:rPr>
          <w:sz w:val="24"/>
        </w:rPr>
        <w:t>Dialysis</w:t>
      </w:r>
      <w:r>
        <w:rPr>
          <w:spacing w:val="-5"/>
          <w:sz w:val="24"/>
        </w:rPr>
        <w:t> </w:t>
      </w:r>
      <w:r>
        <w:rPr>
          <w:sz w:val="24"/>
        </w:rPr>
        <w:t>and</w:t>
      </w:r>
      <w:r>
        <w:rPr>
          <w:spacing w:val="-5"/>
          <w:sz w:val="24"/>
        </w:rPr>
        <w:t> </w:t>
      </w:r>
      <w:r>
        <w:rPr>
          <w:sz w:val="24"/>
        </w:rPr>
        <w:t>treatment</w:t>
      </w:r>
      <w:r>
        <w:rPr>
          <w:spacing w:val="-4"/>
          <w:sz w:val="24"/>
        </w:rPr>
        <w:t> </w:t>
      </w:r>
      <w:r>
        <w:rPr>
          <w:sz w:val="24"/>
        </w:rPr>
        <w:t>for</w:t>
      </w:r>
      <w:r>
        <w:rPr>
          <w:spacing w:val="-6"/>
          <w:sz w:val="24"/>
        </w:rPr>
        <w:t> </w:t>
      </w:r>
      <w:r>
        <w:rPr>
          <w:sz w:val="24"/>
        </w:rPr>
        <w:t>end-stage-renal-disease.</w:t>
      </w:r>
      <w:r>
        <w:rPr>
          <w:spacing w:val="-4"/>
          <w:sz w:val="24"/>
        </w:rPr>
        <w:t> </w:t>
      </w:r>
      <w:r>
        <w:rPr>
          <w:sz w:val="24"/>
        </w:rPr>
        <w:t>DVR</w:t>
      </w:r>
      <w:r>
        <w:rPr>
          <w:spacing w:val="-5"/>
          <w:sz w:val="24"/>
        </w:rPr>
        <w:t> </w:t>
      </w:r>
      <w:r>
        <w:rPr>
          <w:sz w:val="24"/>
        </w:rPr>
        <w:t>and</w:t>
      </w:r>
      <w:r>
        <w:rPr>
          <w:spacing w:val="-5"/>
          <w:sz w:val="24"/>
        </w:rPr>
        <w:t> </w:t>
      </w:r>
      <w:r>
        <w:rPr>
          <w:sz w:val="24"/>
        </w:rPr>
        <w:t>DSBVI</w:t>
      </w:r>
      <w:r>
        <w:rPr>
          <w:spacing w:val="-4"/>
          <w:sz w:val="24"/>
        </w:rPr>
        <w:t> </w:t>
      </w:r>
      <w:r>
        <w:rPr>
          <w:sz w:val="24"/>
        </w:rPr>
        <w:t>may</w:t>
      </w:r>
      <w:r>
        <w:rPr>
          <w:spacing w:val="-5"/>
          <w:sz w:val="24"/>
        </w:rPr>
        <w:t> </w:t>
      </w:r>
      <w:r>
        <w:rPr>
          <w:sz w:val="24"/>
        </w:rPr>
        <w:t>assist with the cost of Medicare deductible, co-insurance, and services not covered by Medicare if documentation states other resources are not available and the client is actively participating in an IPE with treatment as part of the plan. Requests for kidney transplants must be approved by the medical consultant. </w:t>
      </w:r>
      <w:r>
        <w:rPr>
          <w:b/>
          <w:sz w:val="24"/>
        </w:rPr>
        <w:t>4</w:t>
      </w:r>
    </w:p>
    <w:p>
      <w:pPr>
        <w:pStyle w:val="ListParagraph"/>
        <w:numPr>
          <w:ilvl w:val="1"/>
          <w:numId w:val="164"/>
        </w:numPr>
        <w:tabs>
          <w:tab w:pos="1146" w:val="left" w:leader="none"/>
        </w:tabs>
        <w:spacing w:line="208" w:lineRule="auto" w:before="240" w:after="0"/>
        <w:ind w:left="720" w:right="753" w:firstLine="0"/>
        <w:jc w:val="left"/>
        <w:rPr>
          <w:sz w:val="24"/>
        </w:rPr>
      </w:pPr>
      <w:r>
        <w:rPr>
          <w:sz w:val="24"/>
        </w:rPr>
        <w:t>Prescription drugs and prescribed medical supplies. </w:t>
      </w:r>
      <w:r>
        <w:rPr>
          <w:b/>
          <w:sz w:val="24"/>
        </w:rPr>
        <w:t>5 </w:t>
      </w:r>
      <w:r>
        <w:rPr>
          <w:sz w:val="24"/>
        </w:rPr>
        <w:t>Prescription drugs and/or prescribed medical supplies may be purchased when required for proper diagnosis, for</w:t>
      </w:r>
      <w:r>
        <w:rPr>
          <w:spacing w:val="-3"/>
          <w:sz w:val="24"/>
        </w:rPr>
        <w:t> </w:t>
      </w:r>
      <w:r>
        <w:rPr>
          <w:sz w:val="24"/>
        </w:rPr>
        <w:t>post-operative</w:t>
      </w:r>
      <w:r>
        <w:rPr>
          <w:spacing w:val="-4"/>
          <w:sz w:val="24"/>
        </w:rPr>
        <w:t> </w:t>
      </w:r>
      <w:r>
        <w:rPr>
          <w:sz w:val="24"/>
        </w:rPr>
        <w:t>treatment,</w:t>
      </w:r>
      <w:r>
        <w:rPr>
          <w:spacing w:val="-5"/>
          <w:sz w:val="24"/>
        </w:rPr>
        <w:t> </w:t>
      </w:r>
      <w:r>
        <w:rPr>
          <w:sz w:val="24"/>
        </w:rPr>
        <w:t>or</w:t>
      </w:r>
      <w:r>
        <w:rPr>
          <w:spacing w:val="-5"/>
          <w:sz w:val="24"/>
        </w:rPr>
        <w:t> </w:t>
      </w:r>
      <w:r>
        <w:rPr>
          <w:sz w:val="24"/>
        </w:rPr>
        <w:t>to</w:t>
      </w:r>
      <w:r>
        <w:rPr>
          <w:spacing w:val="-5"/>
          <w:sz w:val="24"/>
        </w:rPr>
        <w:t> </w:t>
      </w:r>
      <w:r>
        <w:rPr>
          <w:sz w:val="24"/>
        </w:rPr>
        <w:t>stabilize</w:t>
      </w:r>
      <w:r>
        <w:rPr>
          <w:spacing w:val="-4"/>
          <w:sz w:val="24"/>
        </w:rPr>
        <w:t> </w:t>
      </w:r>
      <w:r>
        <w:rPr>
          <w:sz w:val="24"/>
        </w:rPr>
        <w:t>a</w:t>
      </w:r>
      <w:r>
        <w:rPr>
          <w:spacing w:val="-4"/>
          <w:sz w:val="24"/>
        </w:rPr>
        <w:t> </w:t>
      </w:r>
      <w:r>
        <w:rPr>
          <w:sz w:val="24"/>
        </w:rPr>
        <w:t>documented</w:t>
      </w:r>
      <w:r>
        <w:rPr>
          <w:spacing w:val="-4"/>
          <w:sz w:val="24"/>
        </w:rPr>
        <w:t> </w:t>
      </w:r>
      <w:r>
        <w:rPr>
          <w:sz w:val="24"/>
        </w:rPr>
        <w:t>disability.</w:t>
      </w:r>
      <w:r>
        <w:rPr>
          <w:spacing w:val="-3"/>
          <w:sz w:val="24"/>
        </w:rPr>
        <w:t> </w:t>
      </w:r>
      <w:r>
        <w:rPr>
          <w:sz w:val="24"/>
        </w:rPr>
        <w:t>The</w:t>
      </w:r>
      <w:r>
        <w:rPr>
          <w:spacing w:val="-4"/>
          <w:sz w:val="24"/>
        </w:rPr>
        <w:t> </w:t>
      </w:r>
      <w:r>
        <w:rPr>
          <w:sz w:val="24"/>
        </w:rPr>
        <w:t>need</w:t>
      </w:r>
      <w:r>
        <w:rPr>
          <w:spacing w:val="-4"/>
          <w:sz w:val="24"/>
        </w:rPr>
        <w:t> </w:t>
      </w:r>
      <w:r>
        <w:rPr>
          <w:sz w:val="24"/>
        </w:rPr>
        <w:t>for</w:t>
      </w:r>
      <w:r>
        <w:rPr>
          <w:spacing w:val="-3"/>
          <w:sz w:val="24"/>
        </w:rPr>
        <w:t> </w:t>
      </w:r>
      <w:r>
        <w:rPr>
          <w:sz w:val="24"/>
        </w:rPr>
        <w:t>the drugs</w:t>
      </w:r>
      <w:r>
        <w:rPr>
          <w:spacing w:val="-3"/>
          <w:sz w:val="24"/>
        </w:rPr>
        <w:t> </w:t>
      </w:r>
      <w:r>
        <w:rPr>
          <w:sz w:val="24"/>
        </w:rPr>
        <w:t>and/or</w:t>
      </w:r>
      <w:r>
        <w:rPr>
          <w:spacing w:val="-2"/>
          <w:sz w:val="24"/>
        </w:rPr>
        <w:t> </w:t>
      </w:r>
      <w:r>
        <w:rPr>
          <w:sz w:val="24"/>
        </w:rPr>
        <w:t>medical</w:t>
      </w:r>
      <w:r>
        <w:rPr>
          <w:spacing w:val="-3"/>
          <w:sz w:val="24"/>
        </w:rPr>
        <w:t> </w:t>
      </w:r>
      <w:r>
        <w:rPr>
          <w:sz w:val="24"/>
        </w:rPr>
        <w:t>supplies</w:t>
      </w:r>
      <w:r>
        <w:rPr>
          <w:spacing w:val="-3"/>
          <w:sz w:val="24"/>
        </w:rPr>
        <w:t> </w:t>
      </w:r>
      <w:r>
        <w:rPr>
          <w:sz w:val="24"/>
        </w:rPr>
        <w:t>must</w:t>
      </w:r>
      <w:r>
        <w:rPr>
          <w:spacing w:val="-2"/>
          <w:sz w:val="24"/>
        </w:rPr>
        <w:t> </w:t>
      </w:r>
      <w:r>
        <w:rPr>
          <w:sz w:val="24"/>
        </w:rPr>
        <w:t>be</w:t>
      </w:r>
      <w:r>
        <w:rPr>
          <w:spacing w:val="-3"/>
          <w:sz w:val="24"/>
        </w:rPr>
        <w:t> </w:t>
      </w:r>
      <w:r>
        <w:rPr>
          <w:sz w:val="24"/>
        </w:rPr>
        <w:t>documented</w:t>
      </w:r>
      <w:r>
        <w:rPr>
          <w:spacing w:val="-3"/>
          <w:sz w:val="24"/>
        </w:rPr>
        <w:t> </w:t>
      </w:r>
      <w:r>
        <w:rPr>
          <w:sz w:val="24"/>
        </w:rPr>
        <w:t>in</w:t>
      </w:r>
      <w:r>
        <w:rPr>
          <w:spacing w:val="-2"/>
          <w:sz w:val="24"/>
        </w:rPr>
        <w:t> </w:t>
      </w:r>
      <w:r>
        <w:rPr>
          <w:sz w:val="24"/>
        </w:rPr>
        <w:t>a</w:t>
      </w:r>
      <w:r>
        <w:rPr>
          <w:spacing w:val="-3"/>
          <w:sz w:val="24"/>
        </w:rPr>
        <w:t> </w:t>
      </w:r>
      <w:r>
        <w:rPr>
          <w:sz w:val="24"/>
        </w:rPr>
        <w:t>physician's</w:t>
      </w:r>
      <w:r>
        <w:rPr>
          <w:spacing w:val="-3"/>
          <w:sz w:val="24"/>
        </w:rPr>
        <w:t> </w:t>
      </w:r>
      <w:r>
        <w:rPr>
          <w:sz w:val="24"/>
        </w:rPr>
        <w:t>report.</w:t>
      </w:r>
      <w:r>
        <w:rPr>
          <w:spacing w:val="-4"/>
          <w:sz w:val="24"/>
        </w:rPr>
        <w:t> </w:t>
      </w:r>
      <w:r>
        <w:rPr>
          <w:sz w:val="24"/>
        </w:rPr>
        <w:t>Payment will be made for generic type drugs unless the physician specifically requests a brand name drug.</w:t>
      </w:r>
    </w:p>
    <w:p>
      <w:pPr>
        <w:pStyle w:val="ListParagraph"/>
        <w:numPr>
          <w:ilvl w:val="1"/>
          <w:numId w:val="164"/>
        </w:numPr>
        <w:tabs>
          <w:tab w:pos="1146" w:val="left" w:leader="none"/>
        </w:tabs>
        <w:spacing w:line="240" w:lineRule="auto" w:before="210" w:after="0"/>
        <w:ind w:left="1146" w:right="0" w:hanging="426"/>
        <w:jc w:val="left"/>
        <w:rPr>
          <w:sz w:val="24"/>
        </w:rPr>
      </w:pPr>
      <w:r>
        <w:rPr>
          <w:sz w:val="24"/>
        </w:rPr>
        <w:t>Hearing</w:t>
      </w:r>
      <w:r>
        <w:rPr>
          <w:spacing w:val="-5"/>
          <w:sz w:val="24"/>
        </w:rPr>
        <w:t> </w:t>
      </w:r>
      <w:r>
        <w:rPr>
          <w:sz w:val="24"/>
        </w:rPr>
        <w:t>aids</w:t>
      </w:r>
      <w:r>
        <w:rPr>
          <w:spacing w:val="-4"/>
          <w:sz w:val="24"/>
        </w:rPr>
        <w:t> </w:t>
      </w:r>
      <w:r>
        <w:rPr>
          <w:sz w:val="24"/>
        </w:rPr>
        <w:t>and</w:t>
      </w:r>
      <w:r>
        <w:rPr>
          <w:spacing w:val="-4"/>
          <w:sz w:val="24"/>
        </w:rPr>
        <w:t> </w:t>
      </w:r>
      <w:r>
        <w:rPr>
          <w:sz w:val="24"/>
        </w:rPr>
        <w:t>audiological</w:t>
      </w:r>
      <w:r>
        <w:rPr>
          <w:spacing w:val="-4"/>
          <w:sz w:val="24"/>
        </w:rPr>
        <w:t> </w:t>
      </w:r>
      <w:r>
        <w:rPr>
          <w:spacing w:val="-2"/>
          <w:sz w:val="24"/>
        </w:rPr>
        <w:t>services.</w:t>
      </w:r>
    </w:p>
    <w:p>
      <w:pPr>
        <w:pStyle w:val="ListParagraph"/>
        <w:numPr>
          <w:ilvl w:val="1"/>
          <w:numId w:val="164"/>
        </w:numPr>
        <w:tabs>
          <w:tab w:pos="1146" w:val="left" w:leader="none"/>
        </w:tabs>
        <w:spacing w:line="208" w:lineRule="auto" w:before="233" w:after="0"/>
        <w:ind w:left="720" w:right="925" w:firstLine="0"/>
        <w:jc w:val="left"/>
        <w:rPr>
          <w:sz w:val="24"/>
        </w:rPr>
      </w:pPr>
      <w:r>
        <w:rPr>
          <w:sz w:val="24"/>
        </w:rPr>
        <w:t>Hospitalization when recommended by a physician and the client is to receive medical</w:t>
      </w:r>
      <w:r>
        <w:rPr>
          <w:spacing w:val="-4"/>
          <w:sz w:val="24"/>
        </w:rPr>
        <w:t> </w:t>
      </w:r>
      <w:r>
        <w:rPr>
          <w:sz w:val="24"/>
        </w:rPr>
        <w:t>treatment</w:t>
      </w:r>
      <w:r>
        <w:rPr>
          <w:spacing w:val="-3"/>
          <w:sz w:val="24"/>
        </w:rPr>
        <w:t> </w:t>
      </w:r>
      <w:r>
        <w:rPr>
          <w:sz w:val="24"/>
        </w:rPr>
        <w:t>or</w:t>
      </w:r>
      <w:r>
        <w:rPr>
          <w:spacing w:val="-5"/>
          <w:sz w:val="24"/>
        </w:rPr>
        <w:t> </w:t>
      </w:r>
      <w:r>
        <w:rPr>
          <w:sz w:val="24"/>
        </w:rPr>
        <w:t>surgery.</w:t>
      </w:r>
      <w:r>
        <w:rPr>
          <w:spacing w:val="-3"/>
          <w:sz w:val="24"/>
        </w:rPr>
        <w:t> </w:t>
      </w:r>
      <w:r>
        <w:rPr>
          <w:sz w:val="24"/>
        </w:rPr>
        <w:t>Hospitalization</w:t>
      </w:r>
      <w:r>
        <w:rPr>
          <w:spacing w:val="-4"/>
          <w:sz w:val="24"/>
        </w:rPr>
        <w:t> </w:t>
      </w:r>
      <w:r>
        <w:rPr>
          <w:sz w:val="24"/>
        </w:rPr>
        <w:t>may</w:t>
      </w:r>
      <w:r>
        <w:rPr>
          <w:spacing w:val="-4"/>
          <w:sz w:val="24"/>
        </w:rPr>
        <w:t> </w:t>
      </w:r>
      <w:r>
        <w:rPr>
          <w:sz w:val="24"/>
        </w:rPr>
        <w:t>also</w:t>
      </w:r>
      <w:r>
        <w:rPr>
          <w:spacing w:val="-4"/>
          <w:sz w:val="24"/>
        </w:rPr>
        <w:t> </w:t>
      </w:r>
      <w:r>
        <w:rPr>
          <w:sz w:val="24"/>
        </w:rPr>
        <w:t>be</w:t>
      </w:r>
      <w:r>
        <w:rPr>
          <w:spacing w:val="-4"/>
          <w:sz w:val="24"/>
        </w:rPr>
        <w:t> </w:t>
      </w:r>
      <w:r>
        <w:rPr>
          <w:sz w:val="24"/>
        </w:rPr>
        <w:t>authorized</w:t>
      </w:r>
      <w:r>
        <w:rPr>
          <w:spacing w:val="-4"/>
          <w:sz w:val="24"/>
        </w:rPr>
        <w:t> </w:t>
      </w:r>
      <w:r>
        <w:rPr>
          <w:sz w:val="24"/>
        </w:rPr>
        <w:t>for</w:t>
      </w:r>
      <w:r>
        <w:rPr>
          <w:spacing w:val="-3"/>
          <w:sz w:val="24"/>
        </w:rPr>
        <w:t> </w:t>
      </w:r>
      <w:r>
        <w:rPr>
          <w:sz w:val="24"/>
        </w:rPr>
        <w:t>diagnostic services upon recommendation of a physician.</w:t>
      </w:r>
    </w:p>
    <w:p>
      <w:pPr>
        <w:pStyle w:val="ListParagraph"/>
        <w:numPr>
          <w:ilvl w:val="1"/>
          <w:numId w:val="164"/>
        </w:numPr>
        <w:tabs>
          <w:tab w:pos="1146" w:val="left" w:leader="none"/>
        </w:tabs>
        <w:spacing w:line="208" w:lineRule="auto" w:before="240" w:after="0"/>
        <w:ind w:left="720" w:right="802" w:firstLine="0"/>
        <w:jc w:val="left"/>
        <w:rPr>
          <w:sz w:val="24"/>
        </w:rPr>
      </w:pPr>
      <w:r>
        <w:rPr>
          <w:sz w:val="24"/>
        </w:rPr>
        <w:t>Treatment for intercurrent illness. Intercurrent illness</w:t>
      </w:r>
      <w:r>
        <w:rPr>
          <w:spacing w:val="-1"/>
          <w:sz w:val="24"/>
        </w:rPr>
        <w:t> </w:t>
      </w:r>
      <w:r>
        <w:rPr>
          <w:sz w:val="24"/>
        </w:rPr>
        <w:t>is</w:t>
      </w:r>
      <w:r>
        <w:rPr>
          <w:spacing w:val="-1"/>
          <w:sz w:val="24"/>
        </w:rPr>
        <w:t> </w:t>
      </w:r>
      <w:r>
        <w:rPr>
          <w:sz w:val="24"/>
        </w:rPr>
        <w:t>an</w:t>
      </w:r>
      <w:r>
        <w:rPr>
          <w:spacing w:val="-1"/>
          <w:sz w:val="24"/>
        </w:rPr>
        <w:t> </w:t>
      </w:r>
      <w:r>
        <w:rPr>
          <w:sz w:val="24"/>
        </w:rPr>
        <w:t>illness</w:t>
      </w:r>
      <w:r>
        <w:rPr>
          <w:spacing w:val="-1"/>
          <w:sz w:val="24"/>
        </w:rPr>
        <w:t> </w:t>
      </w:r>
      <w:r>
        <w:rPr>
          <w:sz w:val="24"/>
        </w:rPr>
        <w:t>or injury</w:t>
      </w:r>
      <w:r>
        <w:rPr>
          <w:spacing w:val="-1"/>
          <w:sz w:val="24"/>
        </w:rPr>
        <w:t> </w:t>
      </w:r>
      <w:r>
        <w:rPr>
          <w:sz w:val="24"/>
        </w:rPr>
        <w:t>which occurs during the course of an individual's vocational rehabilitation and, if not treated,</w:t>
      </w:r>
      <w:r>
        <w:rPr>
          <w:spacing w:val="-4"/>
          <w:sz w:val="24"/>
        </w:rPr>
        <w:t> </w:t>
      </w:r>
      <w:r>
        <w:rPr>
          <w:sz w:val="24"/>
        </w:rPr>
        <w:t>will</w:t>
      </w:r>
      <w:r>
        <w:rPr>
          <w:spacing w:val="-5"/>
          <w:sz w:val="24"/>
        </w:rPr>
        <w:t> </w:t>
      </w:r>
      <w:r>
        <w:rPr>
          <w:sz w:val="24"/>
        </w:rPr>
        <w:t>complicate</w:t>
      </w:r>
      <w:r>
        <w:rPr>
          <w:spacing w:val="-5"/>
          <w:sz w:val="24"/>
        </w:rPr>
        <w:t> </w:t>
      </w:r>
      <w:r>
        <w:rPr>
          <w:sz w:val="24"/>
        </w:rPr>
        <w:t>or</w:t>
      </w:r>
      <w:r>
        <w:rPr>
          <w:spacing w:val="-4"/>
          <w:sz w:val="24"/>
        </w:rPr>
        <w:t> </w:t>
      </w:r>
      <w:r>
        <w:rPr>
          <w:sz w:val="24"/>
        </w:rPr>
        <w:t>significantly</w:t>
      </w:r>
      <w:r>
        <w:rPr>
          <w:spacing w:val="-5"/>
          <w:sz w:val="24"/>
        </w:rPr>
        <w:t> </w:t>
      </w:r>
      <w:r>
        <w:rPr>
          <w:sz w:val="24"/>
        </w:rPr>
        <w:t>delay</w:t>
      </w:r>
      <w:r>
        <w:rPr>
          <w:spacing w:val="-5"/>
          <w:sz w:val="24"/>
        </w:rPr>
        <w:t> </w:t>
      </w:r>
      <w:r>
        <w:rPr>
          <w:sz w:val="24"/>
        </w:rPr>
        <w:t>achievement</w:t>
      </w:r>
      <w:r>
        <w:rPr>
          <w:spacing w:val="-3"/>
          <w:sz w:val="24"/>
        </w:rPr>
        <w:t> </w:t>
      </w:r>
      <w:r>
        <w:rPr>
          <w:sz w:val="24"/>
        </w:rPr>
        <w:t>of</w:t>
      </w:r>
      <w:r>
        <w:rPr>
          <w:spacing w:val="-6"/>
          <w:sz w:val="24"/>
        </w:rPr>
        <w:t> </w:t>
      </w:r>
      <w:r>
        <w:rPr>
          <w:sz w:val="24"/>
        </w:rPr>
        <w:t>the</w:t>
      </w:r>
      <w:r>
        <w:rPr>
          <w:spacing w:val="-5"/>
          <w:sz w:val="24"/>
        </w:rPr>
        <w:t> </w:t>
      </w:r>
      <w:r>
        <w:rPr>
          <w:sz w:val="24"/>
        </w:rPr>
        <w:t>client's</w:t>
      </w:r>
      <w:r>
        <w:rPr>
          <w:spacing w:val="-5"/>
          <w:sz w:val="24"/>
        </w:rPr>
        <w:t> </w:t>
      </w:r>
      <w:r>
        <w:rPr>
          <w:sz w:val="24"/>
        </w:rPr>
        <w:t>employment outcome. DVR and DSBVI will purchase treatment for intercurrent illness or injuries if the client is not covered by health insurance or eligible for comparable services and benefits, or when the provision of services through comparable services and benefits would significantly interrupt or delay treatment for an individual at extreme medical risk, jeopardize a job placement or impair the individual's progress in achieving the planned employment outcome.</w:t>
      </w:r>
    </w:p>
    <w:p>
      <w:pPr>
        <w:pStyle w:val="ListParagraph"/>
        <w:numPr>
          <w:ilvl w:val="1"/>
          <w:numId w:val="164"/>
        </w:numPr>
        <w:tabs>
          <w:tab w:pos="1146" w:val="left" w:leader="none"/>
        </w:tabs>
        <w:spacing w:line="208" w:lineRule="auto" w:before="239" w:after="0"/>
        <w:ind w:left="720" w:right="1782" w:firstLine="0"/>
        <w:jc w:val="left"/>
        <w:rPr>
          <w:sz w:val="24"/>
        </w:rPr>
      </w:pPr>
      <w:r>
        <w:rPr>
          <w:sz w:val="24"/>
        </w:rPr>
        <w:t>Laboratory</w:t>
      </w:r>
      <w:r>
        <w:rPr>
          <w:spacing w:val="-4"/>
          <w:sz w:val="24"/>
        </w:rPr>
        <w:t> </w:t>
      </w:r>
      <w:r>
        <w:rPr>
          <w:sz w:val="24"/>
        </w:rPr>
        <w:t>work</w:t>
      </w:r>
      <w:r>
        <w:rPr>
          <w:spacing w:val="-4"/>
          <w:sz w:val="24"/>
        </w:rPr>
        <w:t> </w:t>
      </w:r>
      <w:r>
        <w:rPr>
          <w:sz w:val="24"/>
        </w:rPr>
        <w:t>and</w:t>
      </w:r>
      <w:r>
        <w:rPr>
          <w:spacing w:val="-4"/>
          <w:sz w:val="24"/>
        </w:rPr>
        <w:t> </w:t>
      </w:r>
      <w:r>
        <w:rPr>
          <w:sz w:val="24"/>
        </w:rPr>
        <w:t>x-rays</w:t>
      </w:r>
      <w:r>
        <w:rPr>
          <w:spacing w:val="-4"/>
          <w:sz w:val="24"/>
        </w:rPr>
        <w:t> </w:t>
      </w:r>
      <w:r>
        <w:rPr>
          <w:sz w:val="24"/>
        </w:rPr>
        <w:t>if</w:t>
      </w:r>
      <w:r>
        <w:rPr>
          <w:spacing w:val="-5"/>
          <w:sz w:val="24"/>
        </w:rPr>
        <w:t> </w:t>
      </w:r>
      <w:r>
        <w:rPr>
          <w:sz w:val="24"/>
        </w:rPr>
        <w:t>required</w:t>
      </w:r>
      <w:r>
        <w:rPr>
          <w:spacing w:val="-4"/>
          <w:sz w:val="24"/>
        </w:rPr>
        <w:t> </w:t>
      </w:r>
      <w:r>
        <w:rPr>
          <w:sz w:val="24"/>
        </w:rPr>
        <w:t>by</w:t>
      </w:r>
      <w:r>
        <w:rPr>
          <w:spacing w:val="-4"/>
          <w:sz w:val="24"/>
        </w:rPr>
        <w:t> </w:t>
      </w:r>
      <w:r>
        <w:rPr>
          <w:sz w:val="24"/>
        </w:rPr>
        <w:t>the</w:t>
      </w:r>
      <w:r>
        <w:rPr>
          <w:spacing w:val="-4"/>
          <w:sz w:val="24"/>
        </w:rPr>
        <w:t> </w:t>
      </w:r>
      <w:r>
        <w:rPr>
          <w:sz w:val="24"/>
        </w:rPr>
        <w:t>physician</w:t>
      </w:r>
      <w:r>
        <w:rPr>
          <w:spacing w:val="-4"/>
          <w:sz w:val="24"/>
        </w:rPr>
        <w:t> </w:t>
      </w:r>
      <w:r>
        <w:rPr>
          <w:sz w:val="24"/>
        </w:rPr>
        <w:t>to</w:t>
      </w:r>
      <w:r>
        <w:rPr>
          <w:spacing w:val="-4"/>
          <w:sz w:val="24"/>
        </w:rPr>
        <w:t> </w:t>
      </w:r>
      <w:r>
        <w:rPr>
          <w:sz w:val="24"/>
        </w:rPr>
        <w:t>complete</w:t>
      </w:r>
      <w:r>
        <w:rPr>
          <w:spacing w:val="-4"/>
          <w:sz w:val="24"/>
        </w:rPr>
        <w:t> </w:t>
      </w:r>
      <w:r>
        <w:rPr>
          <w:sz w:val="24"/>
        </w:rPr>
        <w:t>his examination or in conjunction with diagnosis or treatment.</w:t>
      </w:r>
    </w:p>
    <w:p>
      <w:pPr>
        <w:pStyle w:val="ListParagraph"/>
        <w:numPr>
          <w:ilvl w:val="1"/>
          <w:numId w:val="164"/>
        </w:numPr>
        <w:tabs>
          <w:tab w:pos="1279" w:val="left" w:leader="none"/>
        </w:tabs>
        <w:spacing w:line="240" w:lineRule="auto" w:before="210" w:after="0"/>
        <w:ind w:left="1279" w:right="0" w:hanging="559"/>
        <w:jc w:val="left"/>
        <w:rPr>
          <w:sz w:val="24"/>
        </w:rPr>
      </w:pPr>
      <w:r>
        <w:rPr>
          <w:sz w:val="24"/>
        </w:rPr>
        <w:t>Low</w:t>
      </w:r>
      <w:r>
        <w:rPr>
          <w:spacing w:val="-4"/>
          <w:sz w:val="24"/>
        </w:rPr>
        <w:t> </w:t>
      </w:r>
      <w:r>
        <w:rPr>
          <w:sz w:val="24"/>
        </w:rPr>
        <w:t>vision</w:t>
      </w:r>
      <w:r>
        <w:rPr>
          <w:spacing w:val="-3"/>
          <w:sz w:val="24"/>
        </w:rPr>
        <w:t> </w:t>
      </w:r>
      <w:r>
        <w:rPr>
          <w:spacing w:val="-2"/>
          <w:sz w:val="24"/>
        </w:rPr>
        <w:t>services.</w:t>
      </w:r>
    </w:p>
    <w:p>
      <w:pPr>
        <w:pStyle w:val="ListParagraph"/>
        <w:numPr>
          <w:ilvl w:val="1"/>
          <w:numId w:val="164"/>
        </w:numPr>
        <w:tabs>
          <w:tab w:pos="1278" w:val="left" w:leader="none"/>
        </w:tabs>
        <w:spacing w:line="208" w:lineRule="auto" w:before="234" w:after="0"/>
        <w:ind w:left="720" w:right="926" w:firstLine="0"/>
        <w:jc w:val="left"/>
        <w:rPr>
          <w:sz w:val="24"/>
        </w:rPr>
      </w:pPr>
      <w:r>
        <w:rPr>
          <w:sz w:val="24"/>
        </w:rPr>
        <w:t>Medical</w:t>
      </w:r>
      <w:r>
        <w:rPr>
          <w:spacing w:val="-5"/>
          <w:sz w:val="24"/>
        </w:rPr>
        <w:t> </w:t>
      </w:r>
      <w:r>
        <w:rPr>
          <w:sz w:val="24"/>
        </w:rPr>
        <w:t>examinations,</w:t>
      </w:r>
      <w:r>
        <w:rPr>
          <w:spacing w:val="-4"/>
          <w:sz w:val="24"/>
        </w:rPr>
        <w:t> </w:t>
      </w:r>
      <w:r>
        <w:rPr>
          <w:sz w:val="24"/>
        </w:rPr>
        <w:t>when</w:t>
      </w:r>
      <w:r>
        <w:rPr>
          <w:spacing w:val="-4"/>
          <w:sz w:val="24"/>
        </w:rPr>
        <w:t> </w:t>
      </w:r>
      <w:r>
        <w:rPr>
          <w:sz w:val="24"/>
        </w:rPr>
        <w:t>necessary</w:t>
      </w:r>
      <w:r>
        <w:rPr>
          <w:spacing w:val="-5"/>
          <w:sz w:val="24"/>
        </w:rPr>
        <w:t> </w:t>
      </w:r>
      <w:r>
        <w:rPr>
          <w:sz w:val="24"/>
        </w:rPr>
        <w:t>to</w:t>
      </w:r>
      <w:r>
        <w:rPr>
          <w:spacing w:val="-5"/>
          <w:sz w:val="24"/>
        </w:rPr>
        <w:t> </w:t>
      </w:r>
      <w:r>
        <w:rPr>
          <w:sz w:val="24"/>
        </w:rPr>
        <w:t>determine</w:t>
      </w:r>
      <w:r>
        <w:rPr>
          <w:spacing w:val="-5"/>
          <w:sz w:val="24"/>
        </w:rPr>
        <w:t> </w:t>
      </w:r>
      <w:r>
        <w:rPr>
          <w:sz w:val="24"/>
        </w:rPr>
        <w:t>eligibility,</w:t>
      </w:r>
      <w:r>
        <w:rPr>
          <w:spacing w:val="-4"/>
          <w:sz w:val="24"/>
        </w:rPr>
        <w:t> </w:t>
      </w:r>
      <w:r>
        <w:rPr>
          <w:sz w:val="24"/>
        </w:rPr>
        <w:t>achieve</w:t>
      </w:r>
      <w:r>
        <w:rPr>
          <w:spacing w:val="-5"/>
          <w:sz w:val="24"/>
        </w:rPr>
        <w:t> </w:t>
      </w:r>
      <w:r>
        <w:rPr>
          <w:sz w:val="24"/>
        </w:rPr>
        <w:t>a</w:t>
      </w:r>
      <w:r>
        <w:rPr>
          <w:spacing w:val="-5"/>
          <w:sz w:val="24"/>
        </w:rPr>
        <w:t> </w:t>
      </w:r>
      <w:r>
        <w:rPr>
          <w:sz w:val="24"/>
        </w:rPr>
        <w:t>goal in the IPE or when related to an intercurrent illness.</w:t>
      </w:r>
    </w:p>
    <w:p>
      <w:pPr>
        <w:pStyle w:val="ListParagraph"/>
        <w:numPr>
          <w:ilvl w:val="1"/>
          <w:numId w:val="164"/>
        </w:numPr>
        <w:tabs>
          <w:tab w:pos="1278" w:val="left" w:leader="none"/>
        </w:tabs>
        <w:spacing w:line="208" w:lineRule="auto" w:before="239" w:after="0"/>
        <w:ind w:left="719" w:right="756" w:firstLine="0"/>
        <w:jc w:val="left"/>
        <w:rPr>
          <w:sz w:val="24"/>
        </w:rPr>
      </w:pPr>
      <w:r>
        <w:rPr>
          <w:sz w:val="24"/>
        </w:rPr>
        <w:t>Nursing</w:t>
      </w:r>
      <w:r>
        <w:rPr>
          <w:spacing w:val="-4"/>
          <w:sz w:val="24"/>
        </w:rPr>
        <w:t> </w:t>
      </w:r>
      <w:r>
        <w:rPr>
          <w:sz w:val="24"/>
        </w:rPr>
        <w:t>services</w:t>
      </w:r>
      <w:r>
        <w:rPr>
          <w:spacing w:val="-4"/>
          <w:sz w:val="24"/>
        </w:rPr>
        <w:t> </w:t>
      </w:r>
      <w:r>
        <w:rPr>
          <w:sz w:val="24"/>
        </w:rPr>
        <w:t>can</w:t>
      </w:r>
      <w:r>
        <w:rPr>
          <w:spacing w:val="-4"/>
          <w:sz w:val="24"/>
        </w:rPr>
        <w:t> </w:t>
      </w:r>
      <w:r>
        <w:rPr>
          <w:sz w:val="24"/>
        </w:rPr>
        <w:t>be</w:t>
      </w:r>
      <w:r>
        <w:rPr>
          <w:spacing w:val="-4"/>
          <w:sz w:val="24"/>
        </w:rPr>
        <w:t> </w:t>
      </w:r>
      <w:r>
        <w:rPr>
          <w:sz w:val="24"/>
        </w:rPr>
        <w:t>provided</w:t>
      </w:r>
      <w:r>
        <w:rPr>
          <w:spacing w:val="-4"/>
          <w:sz w:val="24"/>
        </w:rPr>
        <w:t> </w:t>
      </w:r>
      <w:r>
        <w:rPr>
          <w:sz w:val="24"/>
        </w:rPr>
        <w:t>for</w:t>
      </w:r>
      <w:r>
        <w:rPr>
          <w:spacing w:val="-3"/>
          <w:sz w:val="24"/>
        </w:rPr>
        <w:t> </w:t>
      </w:r>
      <w:r>
        <w:rPr>
          <w:sz w:val="24"/>
        </w:rPr>
        <w:t>a</w:t>
      </w:r>
      <w:r>
        <w:rPr>
          <w:spacing w:val="-5"/>
          <w:sz w:val="24"/>
        </w:rPr>
        <w:t> </w:t>
      </w:r>
      <w:r>
        <w:rPr>
          <w:sz w:val="24"/>
        </w:rPr>
        <w:t>client</w:t>
      </w:r>
      <w:r>
        <w:rPr>
          <w:spacing w:val="-3"/>
          <w:sz w:val="24"/>
        </w:rPr>
        <w:t> </w:t>
      </w:r>
      <w:r>
        <w:rPr>
          <w:sz w:val="24"/>
        </w:rPr>
        <w:t>who</w:t>
      </w:r>
      <w:r>
        <w:rPr>
          <w:spacing w:val="-4"/>
          <w:sz w:val="24"/>
        </w:rPr>
        <w:t> </w:t>
      </w:r>
      <w:r>
        <w:rPr>
          <w:sz w:val="24"/>
        </w:rPr>
        <w:t>is</w:t>
      </w:r>
      <w:r>
        <w:rPr>
          <w:spacing w:val="-4"/>
          <w:sz w:val="24"/>
        </w:rPr>
        <w:t> </w:t>
      </w:r>
      <w:r>
        <w:rPr>
          <w:sz w:val="24"/>
        </w:rPr>
        <w:t>convalescing</w:t>
      </w:r>
      <w:r>
        <w:rPr>
          <w:spacing w:val="-4"/>
          <w:sz w:val="24"/>
        </w:rPr>
        <w:t> </w:t>
      </w:r>
      <w:r>
        <w:rPr>
          <w:sz w:val="24"/>
        </w:rPr>
        <w:t>from</w:t>
      </w:r>
      <w:r>
        <w:rPr>
          <w:spacing w:val="-3"/>
          <w:sz w:val="24"/>
        </w:rPr>
        <w:t> </w:t>
      </w:r>
      <w:r>
        <w:rPr>
          <w:sz w:val="24"/>
        </w:rPr>
        <w:t>physical restoration services if recommended by the doctor of treatment. Either Registered Nurses or Licensed Practical Nurses may be used to provide this service when a current</w:t>
      </w:r>
      <w:r>
        <w:rPr>
          <w:spacing w:val="-2"/>
          <w:sz w:val="24"/>
        </w:rPr>
        <w:t> </w:t>
      </w:r>
      <w:r>
        <w:rPr>
          <w:sz w:val="24"/>
        </w:rPr>
        <w:t>medical</w:t>
      </w:r>
      <w:r>
        <w:rPr>
          <w:spacing w:val="-3"/>
          <w:sz w:val="24"/>
        </w:rPr>
        <w:t> </w:t>
      </w:r>
      <w:r>
        <w:rPr>
          <w:sz w:val="24"/>
        </w:rPr>
        <w:t>vendor</w:t>
      </w:r>
      <w:r>
        <w:rPr>
          <w:spacing w:val="-2"/>
          <w:sz w:val="24"/>
        </w:rPr>
        <w:t> </w:t>
      </w:r>
      <w:r>
        <w:rPr>
          <w:sz w:val="24"/>
        </w:rPr>
        <w:t>agreement</w:t>
      </w:r>
      <w:r>
        <w:rPr>
          <w:spacing w:val="-2"/>
          <w:sz w:val="24"/>
        </w:rPr>
        <w:t> </w:t>
      </w:r>
      <w:r>
        <w:rPr>
          <w:sz w:val="24"/>
        </w:rPr>
        <w:t>is</w:t>
      </w:r>
      <w:r>
        <w:rPr>
          <w:spacing w:val="-3"/>
          <w:sz w:val="24"/>
        </w:rPr>
        <w:t> </w:t>
      </w:r>
      <w:r>
        <w:rPr>
          <w:sz w:val="24"/>
        </w:rPr>
        <w:t>on</w:t>
      </w:r>
      <w:r>
        <w:rPr>
          <w:spacing w:val="-3"/>
          <w:sz w:val="24"/>
        </w:rPr>
        <w:t> </w:t>
      </w:r>
      <w:r>
        <w:rPr>
          <w:sz w:val="24"/>
        </w:rPr>
        <w:t>file</w:t>
      </w:r>
      <w:r>
        <w:rPr>
          <w:spacing w:val="-4"/>
          <w:sz w:val="24"/>
        </w:rPr>
        <w:t> </w:t>
      </w:r>
      <w:r>
        <w:rPr>
          <w:sz w:val="24"/>
        </w:rPr>
        <w:t>with</w:t>
      </w:r>
      <w:r>
        <w:rPr>
          <w:spacing w:val="-3"/>
          <w:sz w:val="24"/>
        </w:rPr>
        <w:t> </w:t>
      </w:r>
      <w:r>
        <w:rPr>
          <w:sz w:val="24"/>
        </w:rPr>
        <w:t>the</w:t>
      </w:r>
      <w:r>
        <w:rPr>
          <w:spacing w:val="-3"/>
          <w:sz w:val="24"/>
        </w:rPr>
        <w:t> </w:t>
      </w:r>
      <w:r>
        <w:rPr>
          <w:sz w:val="24"/>
        </w:rPr>
        <w:t>Department.</w:t>
      </w:r>
      <w:r>
        <w:rPr>
          <w:spacing w:val="-5"/>
          <w:sz w:val="24"/>
        </w:rPr>
        <w:t> </w:t>
      </w:r>
      <w:r>
        <w:rPr>
          <w:sz w:val="24"/>
        </w:rPr>
        <w:t>Volunteers</w:t>
      </w:r>
      <w:r>
        <w:rPr>
          <w:spacing w:val="-3"/>
          <w:sz w:val="24"/>
        </w:rPr>
        <w:t> </w:t>
      </w:r>
      <w:r>
        <w:rPr>
          <w:sz w:val="24"/>
        </w:rPr>
        <w:t>may</w:t>
      </w:r>
      <w:r>
        <w:rPr>
          <w:spacing w:val="-3"/>
          <w:sz w:val="24"/>
        </w:rPr>
        <w:t> </w:t>
      </w:r>
      <w:r>
        <w:rPr>
          <w:sz w:val="24"/>
        </w:rPr>
        <w:t>be used if less technical care is needed and if approved by the client's physician.</w:t>
      </w:r>
    </w:p>
    <w:p>
      <w:pPr>
        <w:pStyle w:val="ListParagraph"/>
        <w:spacing w:after="0" w:line="208" w:lineRule="auto"/>
        <w:jc w:val="left"/>
        <w:rPr>
          <w:sz w:val="24"/>
        </w:rPr>
        <w:sectPr>
          <w:pgSz w:w="12240" w:h="15840"/>
          <w:pgMar w:top="1340" w:bottom="280" w:left="1080" w:right="720"/>
        </w:sectPr>
      </w:pPr>
    </w:p>
    <w:p>
      <w:pPr>
        <w:pStyle w:val="ListParagraph"/>
        <w:numPr>
          <w:ilvl w:val="1"/>
          <w:numId w:val="164"/>
        </w:numPr>
        <w:tabs>
          <w:tab w:pos="1279" w:val="left" w:leader="none"/>
        </w:tabs>
        <w:spacing w:line="208" w:lineRule="auto" w:before="96" w:after="0"/>
        <w:ind w:left="720" w:right="899" w:firstLine="0"/>
        <w:jc w:val="left"/>
        <w:rPr>
          <w:sz w:val="24"/>
        </w:rPr>
      </w:pPr>
      <w:r>
        <w:rPr>
          <w:sz w:val="24"/>
        </w:rPr>
        <w:t>Physical</w:t>
      </w:r>
      <w:r>
        <w:rPr>
          <w:spacing w:val="-4"/>
          <w:sz w:val="24"/>
        </w:rPr>
        <w:t> </w:t>
      </w:r>
      <w:r>
        <w:rPr>
          <w:sz w:val="24"/>
        </w:rPr>
        <w:t>and</w:t>
      </w:r>
      <w:r>
        <w:rPr>
          <w:spacing w:val="-4"/>
          <w:sz w:val="24"/>
        </w:rPr>
        <w:t> </w:t>
      </w:r>
      <w:r>
        <w:rPr>
          <w:sz w:val="24"/>
        </w:rPr>
        <w:t>occupational</w:t>
      </w:r>
      <w:r>
        <w:rPr>
          <w:spacing w:val="-4"/>
          <w:sz w:val="24"/>
        </w:rPr>
        <w:t> </w:t>
      </w:r>
      <w:r>
        <w:rPr>
          <w:sz w:val="24"/>
        </w:rPr>
        <w:t>therapy</w:t>
      </w:r>
      <w:r>
        <w:rPr>
          <w:spacing w:val="-4"/>
          <w:sz w:val="24"/>
        </w:rPr>
        <w:t> </w:t>
      </w:r>
      <w:r>
        <w:rPr>
          <w:sz w:val="24"/>
        </w:rPr>
        <w:t>may</w:t>
      </w:r>
      <w:r>
        <w:rPr>
          <w:spacing w:val="-4"/>
          <w:sz w:val="24"/>
        </w:rPr>
        <w:t> </w:t>
      </w:r>
      <w:r>
        <w:rPr>
          <w:sz w:val="24"/>
        </w:rPr>
        <w:t>be</w:t>
      </w:r>
      <w:r>
        <w:rPr>
          <w:spacing w:val="-4"/>
          <w:sz w:val="24"/>
        </w:rPr>
        <w:t> </w:t>
      </w:r>
      <w:r>
        <w:rPr>
          <w:sz w:val="24"/>
        </w:rPr>
        <w:t>provided</w:t>
      </w:r>
      <w:r>
        <w:rPr>
          <w:spacing w:val="-4"/>
          <w:sz w:val="24"/>
        </w:rPr>
        <w:t> </w:t>
      </w:r>
      <w:r>
        <w:rPr>
          <w:sz w:val="24"/>
        </w:rPr>
        <w:t>on</w:t>
      </w:r>
      <w:r>
        <w:rPr>
          <w:spacing w:val="-4"/>
          <w:sz w:val="24"/>
        </w:rPr>
        <w:t> </w:t>
      </w:r>
      <w:r>
        <w:rPr>
          <w:sz w:val="24"/>
        </w:rPr>
        <w:t>either</w:t>
      </w:r>
      <w:r>
        <w:rPr>
          <w:spacing w:val="-3"/>
          <w:sz w:val="24"/>
        </w:rPr>
        <w:t> </w:t>
      </w:r>
      <w:r>
        <w:rPr>
          <w:sz w:val="24"/>
        </w:rPr>
        <w:t>an</w:t>
      </w:r>
      <w:r>
        <w:rPr>
          <w:spacing w:val="-4"/>
          <w:sz w:val="24"/>
        </w:rPr>
        <w:t> </w:t>
      </w:r>
      <w:r>
        <w:rPr>
          <w:sz w:val="24"/>
        </w:rPr>
        <w:t>in-hospital</w:t>
      </w:r>
      <w:r>
        <w:rPr>
          <w:spacing w:val="-4"/>
          <w:sz w:val="24"/>
        </w:rPr>
        <w:t> </w:t>
      </w:r>
      <w:r>
        <w:rPr>
          <w:sz w:val="24"/>
        </w:rPr>
        <w:t>or outpatient basis if recommended by the attending physician.</w:t>
      </w:r>
    </w:p>
    <w:p>
      <w:pPr>
        <w:pStyle w:val="ListParagraph"/>
        <w:numPr>
          <w:ilvl w:val="1"/>
          <w:numId w:val="164"/>
        </w:numPr>
        <w:tabs>
          <w:tab w:pos="1279" w:val="left" w:leader="none"/>
        </w:tabs>
        <w:spacing w:line="240" w:lineRule="auto" w:before="210" w:after="0"/>
        <w:ind w:left="1279" w:right="0" w:hanging="559"/>
        <w:jc w:val="left"/>
        <w:rPr>
          <w:b/>
          <w:sz w:val="24"/>
        </w:rPr>
      </w:pPr>
      <w:r>
        <w:rPr>
          <w:sz w:val="24"/>
        </w:rPr>
        <w:t>Post-operative</w:t>
      </w:r>
      <w:r>
        <w:rPr>
          <w:spacing w:val="-4"/>
          <w:sz w:val="24"/>
        </w:rPr>
        <w:t> </w:t>
      </w:r>
      <w:r>
        <w:rPr>
          <w:sz w:val="24"/>
        </w:rPr>
        <w:t>care</w:t>
      </w:r>
      <w:r>
        <w:rPr>
          <w:spacing w:val="-4"/>
          <w:sz w:val="24"/>
        </w:rPr>
        <w:t> </w:t>
      </w:r>
      <w:r>
        <w:rPr>
          <w:sz w:val="24"/>
        </w:rPr>
        <w:t>of</w:t>
      </w:r>
      <w:r>
        <w:rPr>
          <w:spacing w:val="-3"/>
          <w:sz w:val="24"/>
        </w:rPr>
        <w:t> </w:t>
      </w:r>
      <w:r>
        <w:rPr>
          <w:sz w:val="24"/>
        </w:rPr>
        <w:t>cataract</w:t>
      </w:r>
      <w:r>
        <w:rPr>
          <w:spacing w:val="-3"/>
          <w:sz w:val="24"/>
        </w:rPr>
        <w:t> </w:t>
      </w:r>
      <w:r>
        <w:rPr>
          <w:sz w:val="24"/>
        </w:rPr>
        <w:t>patients.</w:t>
      </w:r>
      <w:r>
        <w:rPr>
          <w:spacing w:val="-2"/>
          <w:sz w:val="24"/>
        </w:rPr>
        <w:t> </w:t>
      </w:r>
      <w:r>
        <w:rPr>
          <w:b/>
          <w:spacing w:val="-10"/>
          <w:sz w:val="24"/>
        </w:rPr>
        <w:t>6</w:t>
      </w:r>
    </w:p>
    <w:p>
      <w:pPr>
        <w:pStyle w:val="ListParagraph"/>
        <w:numPr>
          <w:ilvl w:val="1"/>
          <w:numId w:val="164"/>
        </w:numPr>
        <w:tabs>
          <w:tab w:pos="1279" w:val="left" w:leader="none"/>
        </w:tabs>
        <w:spacing w:line="240" w:lineRule="auto" w:before="204" w:after="0"/>
        <w:ind w:left="1279" w:right="0" w:hanging="559"/>
        <w:jc w:val="left"/>
        <w:rPr>
          <w:sz w:val="24"/>
        </w:rPr>
      </w:pPr>
      <w:r>
        <w:rPr>
          <w:sz w:val="24"/>
        </w:rPr>
        <w:t>Prosthetic</w:t>
      </w:r>
      <w:r>
        <w:rPr>
          <w:spacing w:val="-6"/>
          <w:sz w:val="24"/>
        </w:rPr>
        <w:t> </w:t>
      </w:r>
      <w:r>
        <w:rPr>
          <w:sz w:val="24"/>
        </w:rPr>
        <w:t>eyes,</w:t>
      </w:r>
      <w:r>
        <w:rPr>
          <w:spacing w:val="-2"/>
          <w:sz w:val="24"/>
        </w:rPr>
        <w:t> </w:t>
      </w:r>
      <w:r>
        <w:rPr>
          <w:sz w:val="24"/>
        </w:rPr>
        <w:t>glasses</w:t>
      </w:r>
      <w:r>
        <w:rPr>
          <w:spacing w:val="-3"/>
          <w:sz w:val="24"/>
        </w:rPr>
        <w:t> </w:t>
      </w:r>
      <w:r>
        <w:rPr>
          <w:sz w:val="24"/>
        </w:rPr>
        <w:t>and</w:t>
      </w:r>
      <w:r>
        <w:rPr>
          <w:spacing w:val="-4"/>
          <w:sz w:val="24"/>
        </w:rPr>
        <w:t> </w:t>
      </w:r>
      <w:r>
        <w:rPr>
          <w:sz w:val="24"/>
        </w:rPr>
        <w:t>other</w:t>
      </w:r>
      <w:r>
        <w:rPr>
          <w:spacing w:val="-2"/>
          <w:sz w:val="24"/>
        </w:rPr>
        <w:t> </w:t>
      </w:r>
      <w:r>
        <w:rPr>
          <w:sz w:val="24"/>
        </w:rPr>
        <w:t>optical</w:t>
      </w:r>
      <w:r>
        <w:rPr>
          <w:spacing w:val="-3"/>
          <w:sz w:val="24"/>
        </w:rPr>
        <w:t> </w:t>
      </w:r>
      <w:r>
        <w:rPr>
          <w:spacing w:val="-2"/>
          <w:sz w:val="24"/>
        </w:rPr>
        <w:t>aids.</w:t>
      </w:r>
    </w:p>
    <w:p>
      <w:pPr>
        <w:pStyle w:val="ListParagraph"/>
        <w:numPr>
          <w:ilvl w:val="2"/>
          <w:numId w:val="164"/>
        </w:numPr>
        <w:tabs>
          <w:tab w:pos="1802" w:val="left" w:leader="none"/>
        </w:tabs>
        <w:spacing w:line="208" w:lineRule="auto" w:before="234" w:after="0"/>
        <w:ind w:left="1350" w:right="778" w:firstLine="0"/>
        <w:jc w:val="left"/>
        <w:rPr>
          <w:sz w:val="24"/>
        </w:rPr>
      </w:pPr>
      <w:r>
        <w:rPr>
          <w:sz w:val="24"/>
        </w:rPr>
        <w:t>Glasses</w:t>
      </w:r>
      <w:r>
        <w:rPr>
          <w:spacing w:val="-4"/>
          <w:sz w:val="24"/>
        </w:rPr>
        <w:t> </w:t>
      </w:r>
      <w:r>
        <w:rPr>
          <w:sz w:val="24"/>
        </w:rPr>
        <w:t>and</w:t>
      </w:r>
      <w:r>
        <w:rPr>
          <w:spacing w:val="-4"/>
          <w:sz w:val="24"/>
        </w:rPr>
        <w:t> </w:t>
      </w:r>
      <w:r>
        <w:rPr>
          <w:sz w:val="24"/>
        </w:rPr>
        <w:t>other</w:t>
      </w:r>
      <w:r>
        <w:rPr>
          <w:spacing w:val="-3"/>
          <w:sz w:val="24"/>
        </w:rPr>
        <w:t> </w:t>
      </w:r>
      <w:r>
        <w:rPr>
          <w:sz w:val="24"/>
        </w:rPr>
        <w:t>visual</w:t>
      </w:r>
      <w:r>
        <w:rPr>
          <w:spacing w:val="-4"/>
          <w:sz w:val="24"/>
        </w:rPr>
        <w:t> </w:t>
      </w:r>
      <w:r>
        <w:rPr>
          <w:sz w:val="24"/>
        </w:rPr>
        <w:t>aids</w:t>
      </w:r>
      <w:r>
        <w:rPr>
          <w:spacing w:val="-3"/>
          <w:sz w:val="24"/>
        </w:rPr>
        <w:t> </w:t>
      </w:r>
      <w:r>
        <w:rPr>
          <w:sz w:val="24"/>
        </w:rPr>
        <w:t>and</w:t>
      </w:r>
      <w:r>
        <w:rPr>
          <w:spacing w:val="-4"/>
          <w:sz w:val="24"/>
        </w:rPr>
        <w:t> </w:t>
      </w:r>
      <w:r>
        <w:rPr>
          <w:sz w:val="24"/>
        </w:rPr>
        <w:t>services</w:t>
      </w:r>
      <w:r>
        <w:rPr>
          <w:spacing w:val="-4"/>
          <w:sz w:val="24"/>
        </w:rPr>
        <w:t> </w:t>
      </w:r>
      <w:r>
        <w:rPr>
          <w:sz w:val="24"/>
        </w:rPr>
        <w:t>may</w:t>
      </w:r>
      <w:r>
        <w:rPr>
          <w:spacing w:val="-4"/>
          <w:sz w:val="24"/>
        </w:rPr>
        <w:t> </w:t>
      </w:r>
      <w:r>
        <w:rPr>
          <w:sz w:val="24"/>
        </w:rPr>
        <w:t>be</w:t>
      </w:r>
      <w:r>
        <w:rPr>
          <w:spacing w:val="-5"/>
          <w:sz w:val="24"/>
        </w:rPr>
        <w:t> </w:t>
      </w:r>
      <w:r>
        <w:rPr>
          <w:sz w:val="24"/>
        </w:rPr>
        <w:t>prescribed</w:t>
      </w:r>
      <w:r>
        <w:rPr>
          <w:spacing w:val="-4"/>
          <w:sz w:val="24"/>
        </w:rPr>
        <w:t> </w:t>
      </w:r>
      <w:r>
        <w:rPr>
          <w:sz w:val="24"/>
        </w:rPr>
        <w:t>or</w:t>
      </w:r>
      <w:r>
        <w:rPr>
          <w:spacing w:val="-3"/>
          <w:sz w:val="24"/>
        </w:rPr>
        <w:t> </w:t>
      </w:r>
      <w:r>
        <w:rPr>
          <w:sz w:val="24"/>
        </w:rPr>
        <w:t>provided by either an ophthalmologist or an optometrist. Other optical aids recommended by optical aid clinics are purchased upon the recommendation of the specialist(s) in one or more such clinics. Prosthetic eyes are provided, upon the recommendation of an ophthalmologist.</w:t>
      </w:r>
    </w:p>
    <w:p>
      <w:pPr>
        <w:pStyle w:val="ListParagraph"/>
        <w:numPr>
          <w:ilvl w:val="2"/>
          <w:numId w:val="164"/>
        </w:numPr>
        <w:tabs>
          <w:tab w:pos="1803" w:val="left" w:leader="none"/>
        </w:tabs>
        <w:spacing w:line="208" w:lineRule="auto" w:before="239" w:after="0"/>
        <w:ind w:left="1350" w:right="950" w:firstLine="0"/>
        <w:jc w:val="left"/>
        <w:rPr>
          <w:b/>
          <w:sz w:val="24"/>
        </w:rPr>
      </w:pPr>
      <w:r>
        <w:rPr>
          <w:sz w:val="24"/>
        </w:rPr>
        <w:t>Lenses and frames for glasses purchased by DRS will be authorized at fee</w:t>
      </w:r>
      <w:r>
        <w:rPr>
          <w:spacing w:val="-4"/>
          <w:sz w:val="24"/>
        </w:rPr>
        <w:t> </w:t>
      </w:r>
      <w:r>
        <w:rPr>
          <w:sz w:val="24"/>
        </w:rPr>
        <w:t>schedule</w:t>
      </w:r>
      <w:r>
        <w:rPr>
          <w:spacing w:val="-4"/>
          <w:sz w:val="24"/>
        </w:rPr>
        <w:t> </w:t>
      </w:r>
      <w:r>
        <w:rPr>
          <w:sz w:val="24"/>
        </w:rPr>
        <w:t>prices.</w:t>
      </w:r>
      <w:r>
        <w:rPr>
          <w:spacing w:val="-3"/>
          <w:sz w:val="24"/>
        </w:rPr>
        <w:t> </w:t>
      </w:r>
      <w:r>
        <w:rPr>
          <w:sz w:val="24"/>
        </w:rPr>
        <w:t>The</w:t>
      </w:r>
      <w:r>
        <w:rPr>
          <w:spacing w:val="-4"/>
          <w:sz w:val="24"/>
        </w:rPr>
        <w:t> </w:t>
      </w:r>
      <w:r>
        <w:rPr>
          <w:sz w:val="24"/>
        </w:rPr>
        <w:t>vendor</w:t>
      </w:r>
      <w:r>
        <w:rPr>
          <w:spacing w:val="-3"/>
          <w:sz w:val="24"/>
        </w:rPr>
        <w:t> </w:t>
      </w:r>
      <w:r>
        <w:rPr>
          <w:sz w:val="24"/>
        </w:rPr>
        <w:t>may</w:t>
      </w:r>
      <w:r>
        <w:rPr>
          <w:spacing w:val="-4"/>
          <w:sz w:val="24"/>
        </w:rPr>
        <w:t> </w:t>
      </w:r>
      <w:r>
        <w:rPr>
          <w:sz w:val="24"/>
        </w:rPr>
        <w:t>add</w:t>
      </w:r>
      <w:r>
        <w:rPr>
          <w:spacing w:val="-4"/>
          <w:sz w:val="24"/>
        </w:rPr>
        <w:t> </w:t>
      </w:r>
      <w:r>
        <w:rPr>
          <w:sz w:val="24"/>
        </w:rPr>
        <w:t>a</w:t>
      </w:r>
      <w:r>
        <w:rPr>
          <w:spacing w:val="-5"/>
          <w:sz w:val="24"/>
        </w:rPr>
        <w:t> </w:t>
      </w:r>
      <w:r>
        <w:rPr>
          <w:sz w:val="24"/>
        </w:rPr>
        <w:t>service</w:t>
      </w:r>
      <w:r>
        <w:rPr>
          <w:spacing w:val="-4"/>
          <w:sz w:val="24"/>
        </w:rPr>
        <w:t> </w:t>
      </w:r>
      <w:r>
        <w:rPr>
          <w:sz w:val="24"/>
        </w:rPr>
        <w:t>charge</w:t>
      </w:r>
      <w:r>
        <w:rPr>
          <w:spacing w:val="-4"/>
          <w:sz w:val="24"/>
        </w:rPr>
        <w:t> </w:t>
      </w:r>
      <w:r>
        <w:rPr>
          <w:sz w:val="24"/>
        </w:rPr>
        <w:t>not</w:t>
      </w:r>
      <w:r>
        <w:rPr>
          <w:spacing w:val="-3"/>
          <w:sz w:val="24"/>
        </w:rPr>
        <w:t> </w:t>
      </w:r>
      <w:r>
        <w:rPr>
          <w:sz w:val="24"/>
        </w:rPr>
        <w:t>to</w:t>
      </w:r>
      <w:r>
        <w:rPr>
          <w:spacing w:val="-4"/>
          <w:sz w:val="24"/>
        </w:rPr>
        <w:t> </w:t>
      </w:r>
      <w:r>
        <w:rPr>
          <w:sz w:val="24"/>
        </w:rPr>
        <w:t>exceed</w:t>
      </w:r>
      <w:r>
        <w:rPr>
          <w:spacing w:val="-4"/>
          <w:sz w:val="24"/>
        </w:rPr>
        <w:t> </w:t>
      </w:r>
      <w:r>
        <w:rPr>
          <w:sz w:val="24"/>
        </w:rPr>
        <w:t>the established fee. An additional code and fee may be added for tinting if it has been prescribed by the physician or optometrist that performed the eye examination with written medical/vocational justification. </w:t>
      </w:r>
      <w:r>
        <w:rPr>
          <w:b/>
          <w:sz w:val="24"/>
        </w:rPr>
        <w:t>7</w:t>
      </w:r>
    </w:p>
    <w:p>
      <w:pPr>
        <w:pStyle w:val="ListParagraph"/>
        <w:numPr>
          <w:ilvl w:val="2"/>
          <w:numId w:val="164"/>
        </w:numPr>
        <w:tabs>
          <w:tab w:pos="1816" w:val="left" w:leader="none"/>
        </w:tabs>
        <w:spacing w:line="208" w:lineRule="auto" w:before="240" w:after="0"/>
        <w:ind w:left="1350" w:right="1015" w:firstLine="0"/>
        <w:jc w:val="left"/>
        <w:rPr>
          <w:sz w:val="24"/>
        </w:rPr>
      </w:pPr>
      <w:r>
        <w:rPr>
          <w:sz w:val="24"/>
        </w:rPr>
        <w:t>The fee that has been established for frames will only cover the cost of plain sturdy frames. Clients do not have the option of selecting more expensive</w:t>
      </w:r>
      <w:r>
        <w:rPr>
          <w:spacing w:val="-1"/>
          <w:sz w:val="24"/>
        </w:rPr>
        <w:t> </w:t>
      </w:r>
      <w:r>
        <w:rPr>
          <w:sz w:val="24"/>
        </w:rPr>
        <w:t>frames</w:t>
      </w:r>
      <w:r>
        <w:rPr>
          <w:spacing w:val="-1"/>
          <w:sz w:val="24"/>
        </w:rPr>
        <w:t> </w:t>
      </w:r>
      <w:r>
        <w:rPr>
          <w:sz w:val="24"/>
        </w:rPr>
        <w:t>and</w:t>
      </w:r>
      <w:r>
        <w:rPr>
          <w:spacing w:val="-2"/>
          <w:sz w:val="24"/>
        </w:rPr>
        <w:t> </w:t>
      </w:r>
      <w:r>
        <w:rPr>
          <w:sz w:val="24"/>
        </w:rPr>
        <w:t>paying</w:t>
      </w:r>
      <w:r>
        <w:rPr>
          <w:spacing w:val="-1"/>
          <w:sz w:val="24"/>
        </w:rPr>
        <w:t> </w:t>
      </w:r>
      <w:r>
        <w:rPr>
          <w:sz w:val="24"/>
        </w:rPr>
        <w:t>the</w:t>
      </w:r>
      <w:r>
        <w:rPr>
          <w:spacing w:val="-1"/>
          <w:sz w:val="24"/>
        </w:rPr>
        <w:t> </w:t>
      </w:r>
      <w:r>
        <w:rPr>
          <w:sz w:val="24"/>
        </w:rPr>
        <w:t>difference</w:t>
      </w:r>
      <w:r>
        <w:rPr>
          <w:spacing w:val="-1"/>
          <w:sz w:val="24"/>
        </w:rPr>
        <w:t> </w:t>
      </w:r>
      <w:r>
        <w:rPr>
          <w:sz w:val="24"/>
        </w:rPr>
        <w:t>between</w:t>
      </w:r>
      <w:r>
        <w:rPr>
          <w:spacing w:val="-1"/>
          <w:sz w:val="24"/>
        </w:rPr>
        <w:t> </w:t>
      </w:r>
      <w:r>
        <w:rPr>
          <w:sz w:val="24"/>
        </w:rPr>
        <w:t>the</w:t>
      </w:r>
      <w:r>
        <w:rPr>
          <w:spacing w:val="-1"/>
          <w:sz w:val="24"/>
        </w:rPr>
        <w:t> </w:t>
      </w:r>
      <w:r>
        <w:rPr>
          <w:sz w:val="24"/>
        </w:rPr>
        <w:t>vendor's</w:t>
      </w:r>
      <w:r>
        <w:rPr>
          <w:spacing w:val="-1"/>
          <w:sz w:val="24"/>
        </w:rPr>
        <w:t> </w:t>
      </w:r>
      <w:r>
        <w:rPr>
          <w:sz w:val="24"/>
        </w:rPr>
        <w:t>price</w:t>
      </w:r>
      <w:r>
        <w:rPr>
          <w:spacing w:val="-1"/>
          <w:sz w:val="24"/>
        </w:rPr>
        <w:t> </w:t>
      </w:r>
      <w:r>
        <w:rPr>
          <w:sz w:val="24"/>
        </w:rPr>
        <w:t>and the amount authorized. If the vendor accepts payment from the client or a representative</w:t>
      </w:r>
      <w:r>
        <w:rPr>
          <w:spacing w:val="-3"/>
          <w:sz w:val="24"/>
        </w:rPr>
        <w:t> </w:t>
      </w:r>
      <w:r>
        <w:rPr>
          <w:sz w:val="24"/>
        </w:rPr>
        <w:t>of</w:t>
      </w:r>
      <w:r>
        <w:rPr>
          <w:spacing w:val="-2"/>
          <w:sz w:val="24"/>
        </w:rPr>
        <w:t> </w:t>
      </w:r>
      <w:r>
        <w:rPr>
          <w:sz w:val="24"/>
        </w:rPr>
        <w:t>the</w:t>
      </w:r>
      <w:r>
        <w:rPr>
          <w:spacing w:val="-3"/>
          <w:sz w:val="24"/>
        </w:rPr>
        <w:t> </w:t>
      </w:r>
      <w:r>
        <w:rPr>
          <w:sz w:val="24"/>
        </w:rPr>
        <w:t>client</w:t>
      </w:r>
      <w:r>
        <w:rPr>
          <w:spacing w:val="-2"/>
          <w:sz w:val="24"/>
        </w:rPr>
        <w:t> </w:t>
      </w:r>
      <w:r>
        <w:rPr>
          <w:sz w:val="24"/>
        </w:rPr>
        <w:t>and</w:t>
      </w:r>
      <w:r>
        <w:rPr>
          <w:spacing w:val="-3"/>
          <w:sz w:val="24"/>
        </w:rPr>
        <w:t> </w:t>
      </w:r>
      <w:r>
        <w:rPr>
          <w:sz w:val="24"/>
        </w:rPr>
        <w:t>also</w:t>
      </w:r>
      <w:r>
        <w:rPr>
          <w:spacing w:val="-3"/>
          <w:sz w:val="24"/>
        </w:rPr>
        <w:t> </w:t>
      </w:r>
      <w:r>
        <w:rPr>
          <w:sz w:val="24"/>
        </w:rPr>
        <w:t>files</w:t>
      </w:r>
      <w:r>
        <w:rPr>
          <w:spacing w:val="-3"/>
          <w:sz w:val="24"/>
        </w:rPr>
        <w:t> </w:t>
      </w:r>
      <w:r>
        <w:rPr>
          <w:sz w:val="24"/>
        </w:rPr>
        <w:t>a</w:t>
      </w:r>
      <w:r>
        <w:rPr>
          <w:spacing w:val="-3"/>
          <w:sz w:val="24"/>
        </w:rPr>
        <w:t> </w:t>
      </w:r>
      <w:r>
        <w:rPr>
          <w:sz w:val="24"/>
        </w:rPr>
        <w:t>claim</w:t>
      </w:r>
      <w:r>
        <w:rPr>
          <w:spacing w:val="-2"/>
          <w:sz w:val="24"/>
        </w:rPr>
        <w:t> </w:t>
      </w:r>
      <w:r>
        <w:rPr>
          <w:sz w:val="24"/>
        </w:rPr>
        <w:t>with</w:t>
      </w:r>
      <w:r>
        <w:rPr>
          <w:spacing w:val="-3"/>
          <w:sz w:val="24"/>
        </w:rPr>
        <w:t> </w:t>
      </w:r>
      <w:r>
        <w:rPr>
          <w:sz w:val="24"/>
        </w:rPr>
        <w:t>the</w:t>
      </w:r>
      <w:r>
        <w:rPr>
          <w:spacing w:val="-4"/>
          <w:sz w:val="24"/>
        </w:rPr>
        <w:t> </w:t>
      </w:r>
      <w:r>
        <w:rPr>
          <w:sz w:val="24"/>
        </w:rPr>
        <w:t>Department</w:t>
      </w:r>
      <w:r>
        <w:rPr>
          <w:spacing w:val="-2"/>
          <w:sz w:val="24"/>
        </w:rPr>
        <w:t> </w:t>
      </w:r>
      <w:r>
        <w:rPr>
          <w:sz w:val="24"/>
        </w:rPr>
        <w:t>for</w:t>
      </w:r>
      <w:r>
        <w:rPr>
          <w:spacing w:val="-4"/>
          <w:sz w:val="24"/>
        </w:rPr>
        <w:t> </w:t>
      </w:r>
      <w:r>
        <w:rPr>
          <w:sz w:val="24"/>
        </w:rPr>
        <w:t>the same services, a violation of the Provider Agreement has occurred and the vendor would be subject to sanctions.</w:t>
      </w:r>
    </w:p>
    <w:p>
      <w:pPr>
        <w:pStyle w:val="ListParagraph"/>
        <w:numPr>
          <w:ilvl w:val="2"/>
          <w:numId w:val="164"/>
        </w:numPr>
        <w:tabs>
          <w:tab w:pos="1815" w:val="left" w:leader="none"/>
        </w:tabs>
        <w:spacing w:line="208" w:lineRule="auto" w:before="239" w:after="0"/>
        <w:ind w:left="1350" w:right="858" w:firstLine="0"/>
        <w:jc w:val="left"/>
        <w:rPr>
          <w:b/>
          <w:sz w:val="24"/>
        </w:rPr>
      </w:pPr>
      <w:r>
        <w:rPr>
          <w:sz w:val="24"/>
        </w:rPr>
        <w:t>If</w:t>
      </w:r>
      <w:r>
        <w:rPr>
          <w:spacing w:val="-5"/>
          <w:sz w:val="24"/>
        </w:rPr>
        <w:t> </w:t>
      </w:r>
      <w:r>
        <w:rPr>
          <w:sz w:val="24"/>
        </w:rPr>
        <w:t>a</w:t>
      </w:r>
      <w:r>
        <w:rPr>
          <w:spacing w:val="-4"/>
          <w:sz w:val="24"/>
        </w:rPr>
        <w:t> </w:t>
      </w:r>
      <w:r>
        <w:rPr>
          <w:sz w:val="24"/>
        </w:rPr>
        <w:t>client</w:t>
      </w:r>
      <w:r>
        <w:rPr>
          <w:spacing w:val="-3"/>
          <w:sz w:val="24"/>
        </w:rPr>
        <w:t> </w:t>
      </w:r>
      <w:r>
        <w:rPr>
          <w:sz w:val="24"/>
        </w:rPr>
        <w:t>selects</w:t>
      </w:r>
      <w:r>
        <w:rPr>
          <w:spacing w:val="-4"/>
          <w:sz w:val="24"/>
        </w:rPr>
        <w:t> </w:t>
      </w:r>
      <w:r>
        <w:rPr>
          <w:sz w:val="24"/>
        </w:rPr>
        <w:t>special</w:t>
      </w:r>
      <w:r>
        <w:rPr>
          <w:spacing w:val="-4"/>
          <w:sz w:val="24"/>
        </w:rPr>
        <w:t> </w:t>
      </w:r>
      <w:r>
        <w:rPr>
          <w:sz w:val="24"/>
        </w:rPr>
        <w:t>frames</w:t>
      </w:r>
      <w:r>
        <w:rPr>
          <w:spacing w:val="-4"/>
          <w:sz w:val="24"/>
        </w:rPr>
        <w:t> </w:t>
      </w:r>
      <w:r>
        <w:rPr>
          <w:sz w:val="24"/>
        </w:rPr>
        <w:t>and</w:t>
      </w:r>
      <w:r>
        <w:rPr>
          <w:spacing w:val="-4"/>
          <w:sz w:val="24"/>
        </w:rPr>
        <w:t> </w:t>
      </w:r>
      <w:r>
        <w:rPr>
          <w:sz w:val="24"/>
        </w:rPr>
        <w:t>has</w:t>
      </w:r>
      <w:r>
        <w:rPr>
          <w:spacing w:val="-4"/>
          <w:sz w:val="24"/>
        </w:rPr>
        <w:t> </w:t>
      </w:r>
      <w:r>
        <w:rPr>
          <w:sz w:val="24"/>
        </w:rPr>
        <w:t>sufficient</w:t>
      </w:r>
      <w:r>
        <w:rPr>
          <w:spacing w:val="-3"/>
          <w:sz w:val="24"/>
        </w:rPr>
        <w:t> </w:t>
      </w:r>
      <w:r>
        <w:rPr>
          <w:sz w:val="24"/>
        </w:rPr>
        <w:t>resources</w:t>
      </w:r>
      <w:r>
        <w:rPr>
          <w:spacing w:val="-4"/>
          <w:sz w:val="24"/>
        </w:rPr>
        <w:t> </w:t>
      </w:r>
      <w:r>
        <w:rPr>
          <w:sz w:val="24"/>
        </w:rPr>
        <w:t>to</w:t>
      </w:r>
      <w:r>
        <w:rPr>
          <w:spacing w:val="-4"/>
          <w:sz w:val="24"/>
        </w:rPr>
        <w:t> </w:t>
      </w:r>
      <w:r>
        <w:rPr>
          <w:sz w:val="24"/>
        </w:rPr>
        <w:t>purchase them, the frames should not be included on the authorization and the client would be responsible for the entire cost of the frames. </w:t>
      </w:r>
      <w:r>
        <w:rPr>
          <w:b/>
          <w:sz w:val="24"/>
        </w:rPr>
        <w:t>8</w:t>
      </w:r>
    </w:p>
    <w:p>
      <w:pPr>
        <w:pStyle w:val="ListParagraph"/>
        <w:numPr>
          <w:ilvl w:val="1"/>
          <w:numId w:val="164"/>
        </w:numPr>
        <w:tabs>
          <w:tab w:pos="1351" w:val="left" w:leader="none"/>
        </w:tabs>
        <w:spacing w:line="240" w:lineRule="auto" w:before="210" w:after="0"/>
        <w:ind w:left="1351" w:right="0" w:hanging="559"/>
        <w:jc w:val="left"/>
        <w:rPr>
          <w:sz w:val="24"/>
        </w:rPr>
      </w:pPr>
      <w:r>
        <w:rPr>
          <w:sz w:val="24"/>
        </w:rPr>
        <w:t>Prosthetic</w:t>
      </w:r>
      <w:r>
        <w:rPr>
          <w:spacing w:val="-6"/>
          <w:sz w:val="24"/>
        </w:rPr>
        <w:t> </w:t>
      </w:r>
      <w:r>
        <w:rPr>
          <w:spacing w:val="-2"/>
          <w:sz w:val="24"/>
        </w:rPr>
        <w:t>limbs.</w:t>
      </w:r>
    </w:p>
    <w:p>
      <w:pPr>
        <w:pStyle w:val="ListParagraph"/>
        <w:numPr>
          <w:ilvl w:val="2"/>
          <w:numId w:val="164"/>
        </w:numPr>
        <w:tabs>
          <w:tab w:pos="1803" w:val="left" w:leader="none"/>
        </w:tabs>
        <w:spacing w:line="208" w:lineRule="auto" w:before="234" w:after="0"/>
        <w:ind w:left="1350" w:right="991" w:firstLine="0"/>
        <w:jc w:val="left"/>
        <w:rPr>
          <w:sz w:val="24"/>
        </w:rPr>
      </w:pPr>
      <w:r>
        <w:rPr>
          <w:sz w:val="24"/>
        </w:rPr>
        <w:t>Prosthetic</w:t>
      </w:r>
      <w:r>
        <w:rPr>
          <w:spacing w:val="-4"/>
          <w:sz w:val="24"/>
        </w:rPr>
        <w:t> </w:t>
      </w:r>
      <w:r>
        <w:rPr>
          <w:sz w:val="24"/>
        </w:rPr>
        <w:t>limbs</w:t>
      </w:r>
      <w:r>
        <w:rPr>
          <w:spacing w:val="-4"/>
          <w:sz w:val="24"/>
        </w:rPr>
        <w:t> </w:t>
      </w:r>
      <w:r>
        <w:rPr>
          <w:sz w:val="24"/>
        </w:rPr>
        <w:t>may</w:t>
      </w:r>
      <w:r>
        <w:rPr>
          <w:spacing w:val="-4"/>
          <w:sz w:val="24"/>
        </w:rPr>
        <w:t> </w:t>
      </w:r>
      <w:r>
        <w:rPr>
          <w:sz w:val="24"/>
        </w:rPr>
        <w:t>be</w:t>
      </w:r>
      <w:r>
        <w:rPr>
          <w:spacing w:val="-4"/>
          <w:sz w:val="24"/>
        </w:rPr>
        <w:t> </w:t>
      </w:r>
      <w:r>
        <w:rPr>
          <w:sz w:val="24"/>
        </w:rPr>
        <w:t>provided</w:t>
      </w:r>
      <w:r>
        <w:rPr>
          <w:spacing w:val="-4"/>
          <w:sz w:val="24"/>
        </w:rPr>
        <w:t> </w:t>
      </w:r>
      <w:r>
        <w:rPr>
          <w:sz w:val="24"/>
        </w:rPr>
        <w:t>if</w:t>
      </w:r>
      <w:r>
        <w:rPr>
          <w:spacing w:val="-3"/>
          <w:sz w:val="24"/>
        </w:rPr>
        <w:t> </w:t>
      </w:r>
      <w:r>
        <w:rPr>
          <w:sz w:val="24"/>
        </w:rPr>
        <w:t>the</w:t>
      </w:r>
      <w:r>
        <w:rPr>
          <w:spacing w:val="-4"/>
          <w:sz w:val="24"/>
        </w:rPr>
        <w:t> </w:t>
      </w:r>
      <w:r>
        <w:rPr>
          <w:sz w:val="24"/>
        </w:rPr>
        <w:t>prosthesis</w:t>
      </w:r>
      <w:r>
        <w:rPr>
          <w:spacing w:val="-4"/>
          <w:sz w:val="24"/>
        </w:rPr>
        <w:t> </w:t>
      </w:r>
      <w:r>
        <w:rPr>
          <w:sz w:val="24"/>
        </w:rPr>
        <w:t>is</w:t>
      </w:r>
      <w:r>
        <w:rPr>
          <w:spacing w:val="-4"/>
          <w:sz w:val="24"/>
        </w:rPr>
        <w:t> </w:t>
      </w:r>
      <w:r>
        <w:rPr>
          <w:sz w:val="24"/>
        </w:rPr>
        <w:t>recommended</w:t>
      </w:r>
      <w:r>
        <w:rPr>
          <w:spacing w:val="-4"/>
          <w:sz w:val="24"/>
        </w:rPr>
        <w:t> </w:t>
      </w:r>
      <w:r>
        <w:rPr>
          <w:sz w:val="24"/>
        </w:rPr>
        <w:t>by</w:t>
      </w:r>
      <w:r>
        <w:rPr>
          <w:spacing w:val="-4"/>
          <w:sz w:val="24"/>
        </w:rPr>
        <w:t> </w:t>
      </w:r>
      <w:r>
        <w:rPr>
          <w:sz w:val="24"/>
        </w:rPr>
        <w:t>a physician. The client who has successfully worn a prosthesis will not be required to see an orthopedist or physiatrist, or attend an amputee clinic unless some other disorder is apparent.</w:t>
      </w:r>
    </w:p>
    <w:p>
      <w:pPr>
        <w:pStyle w:val="ListParagraph"/>
        <w:numPr>
          <w:ilvl w:val="2"/>
          <w:numId w:val="164"/>
        </w:numPr>
        <w:tabs>
          <w:tab w:pos="1803" w:val="left" w:leader="none"/>
        </w:tabs>
        <w:spacing w:line="208" w:lineRule="auto" w:before="239" w:after="0"/>
        <w:ind w:left="1350" w:right="737" w:firstLine="0"/>
        <w:jc w:val="left"/>
        <w:rPr>
          <w:sz w:val="24"/>
        </w:rPr>
      </w:pPr>
      <w:r>
        <w:rPr>
          <w:sz w:val="24"/>
        </w:rPr>
        <w:t>An individual who has never worn a prosthesis must be seen by a physician</w:t>
      </w:r>
      <w:r>
        <w:rPr>
          <w:spacing w:val="-4"/>
          <w:sz w:val="24"/>
        </w:rPr>
        <w:t> </w:t>
      </w:r>
      <w:r>
        <w:rPr>
          <w:sz w:val="24"/>
        </w:rPr>
        <w:t>before</w:t>
      </w:r>
      <w:r>
        <w:rPr>
          <w:spacing w:val="-4"/>
          <w:sz w:val="24"/>
        </w:rPr>
        <w:t> </w:t>
      </w:r>
      <w:r>
        <w:rPr>
          <w:sz w:val="24"/>
        </w:rPr>
        <w:t>the</w:t>
      </w:r>
      <w:r>
        <w:rPr>
          <w:spacing w:val="-4"/>
          <w:sz w:val="24"/>
        </w:rPr>
        <w:t> </w:t>
      </w:r>
      <w:r>
        <w:rPr>
          <w:sz w:val="24"/>
        </w:rPr>
        <w:t>prosthesis</w:t>
      </w:r>
      <w:r>
        <w:rPr>
          <w:spacing w:val="-4"/>
          <w:sz w:val="24"/>
        </w:rPr>
        <w:t> </w:t>
      </w:r>
      <w:r>
        <w:rPr>
          <w:sz w:val="24"/>
        </w:rPr>
        <w:t>is</w:t>
      </w:r>
      <w:r>
        <w:rPr>
          <w:spacing w:val="-4"/>
          <w:sz w:val="24"/>
        </w:rPr>
        <w:t> </w:t>
      </w:r>
      <w:r>
        <w:rPr>
          <w:sz w:val="24"/>
        </w:rPr>
        <w:t>provided.</w:t>
      </w:r>
      <w:r>
        <w:rPr>
          <w:spacing w:val="-3"/>
          <w:sz w:val="24"/>
        </w:rPr>
        <w:t> </w:t>
      </w:r>
      <w:r>
        <w:rPr>
          <w:sz w:val="24"/>
        </w:rPr>
        <w:t>The</w:t>
      </w:r>
      <w:r>
        <w:rPr>
          <w:spacing w:val="-4"/>
          <w:sz w:val="24"/>
        </w:rPr>
        <w:t> </w:t>
      </w:r>
      <w:r>
        <w:rPr>
          <w:sz w:val="24"/>
        </w:rPr>
        <w:t>client</w:t>
      </w:r>
      <w:r>
        <w:rPr>
          <w:spacing w:val="-3"/>
          <w:sz w:val="24"/>
        </w:rPr>
        <w:t> </w:t>
      </w:r>
      <w:r>
        <w:rPr>
          <w:sz w:val="24"/>
        </w:rPr>
        <w:t>must</w:t>
      </w:r>
      <w:r>
        <w:rPr>
          <w:spacing w:val="-3"/>
          <w:sz w:val="24"/>
        </w:rPr>
        <w:t> </w:t>
      </w:r>
      <w:r>
        <w:rPr>
          <w:sz w:val="24"/>
        </w:rPr>
        <w:t>agree</w:t>
      </w:r>
      <w:r>
        <w:rPr>
          <w:spacing w:val="-4"/>
          <w:sz w:val="24"/>
        </w:rPr>
        <w:t> </w:t>
      </w:r>
      <w:r>
        <w:rPr>
          <w:sz w:val="24"/>
        </w:rPr>
        <w:t>to</w:t>
      </w:r>
      <w:r>
        <w:rPr>
          <w:spacing w:val="-4"/>
          <w:sz w:val="24"/>
        </w:rPr>
        <w:t> </w:t>
      </w:r>
      <w:r>
        <w:rPr>
          <w:sz w:val="24"/>
        </w:rPr>
        <w:t>training</w:t>
      </w:r>
      <w:r>
        <w:rPr>
          <w:spacing w:val="-4"/>
          <w:sz w:val="24"/>
        </w:rPr>
        <w:t> </w:t>
      </w:r>
      <w:r>
        <w:rPr>
          <w:sz w:val="24"/>
        </w:rPr>
        <w:t>in its use. Gait training is considered Personal Adjustment Training </w:t>
      </w:r>
      <w:r>
        <w:rPr>
          <w:b/>
          <w:sz w:val="24"/>
        </w:rPr>
        <w:t>3 </w:t>
      </w:r>
      <w:r>
        <w:rPr>
          <w:sz w:val="24"/>
        </w:rPr>
        <w:t>and does not require client participation in cost. However, physical therapists providing the training are recognized as medical vendors and require authorizations completed on a Medical Service Authorization.</w:t>
      </w:r>
    </w:p>
    <w:p>
      <w:pPr>
        <w:pStyle w:val="ListParagraph"/>
        <w:numPr>
          <w:ilvl w:val="2"/>
          <w:numId w:val="164"/>
        </w:numPr>
        <w:tabs>
          <w:tab w:pos="1816" w:val="left" w:leader="none"/>
        </w:tabs>
        <w:spacing w:line="208" w:lineRule="auto" w:before="240" w:after="0"/>
        <w:ind w:left="1350" w:right="762" w:firstLine="0"/>
        <w:jc w:val="left"/>
        <w:rPr>
          <w:sz w:val="24"/>
        </w:rPr>
      </w:pPr>
      <w:r>
        <w:rPr>
          <w:sz w:val="24"/>
        </w:rPr>
        <w:t>Persons</w:t>
      </w:r>
      <w:r>
        <w:rPr>
          <w:spacing w:val="-4"/>
          <w:sz w:val="24"/>
        </w:rPr>
        <w:t> </w:t>
      </w:r>
      <w:r>
        <w:rPr>
          <w:sz w:val="24"/>
        </w:rPr>
        <w:t>with</w:t>
      </w:r>
      <w:r>
        <w:rPr>
          <w:spacing w:val="-4"/>
          <w:sz w:val="24"/>
        </w:rPr>
        <w:t> </w:t>
      </w:r>
      <w:r>
        <w:rPr>
          <w:sz w:val="24"/>
        </w:rPr>
        <w:t>multiple</w:t>
      </w:r>
      <w:r>
        <w:rPr>
          <w:spacing w:val="-4"/>
          <w:sz w:val="24"/>
        </w:rPr>
        <w:t> </w:t>
      </w:r>
      <w:r>
        <w:rPr>
          <w:sz w:val="24"/>
        </w:rPr>
        <w:t>amputations</w:t>
      </w:r>
      <w:r>
        <w:rPr>
          <w:spacing w:val="-4"/>
          <w:sz w:val="24"/>
        </w:rPr>
        <w:t> </w:t>
      </w:r>
      <w:r>
        <w:rPr>
          <w:sz w:val="24"/>
        </w:rPr>
        <w:t>must</w:t>
      </w:r>
      <w:r>
        <w:rPr>
          <w:spacing w:val="-5"/>
          <w:sz w:val="24"/>
        </w:rPr>
        <w:t> </w:t>
      </w:r>
      <w:r>
        <w:rPr>
          <w:sz w:val="24"/>
        </w:rPr>
        <w:t>have</w:t>
      </w:r>
      <w:r>
        <w:rPr>
          <w:spacing w:val="-4"/>
          <w:sz w:val="24"/>
        </w:rPr>
        <w:t> </w:t>
      </w:r>
      <w:r>
        <w:rPr>
          <w:sz w:val="24"/>
        </w:rPr>
        <w:t>the</w:t>
      </w:r>
      <w:r>
        <w:rPr>
          <w:spacing w:val="-4"/>
          <w:sz w:val="24"/>
        </w:rPr>
        <w:t> </w:t>
      </w:r>
      <w:r>
        <w:rPr>
          <w:sz w:val="24"/>
        </w:rPr>
        <w:t>special</w:t>
      </w:r>
      <w:r>
        <w:rPr>
          <w:spacing w:val="-4"/>
          <w:sz w:val="24"/>
        </w:rPr>
        <w:t> </w:t>
      </w:r>
      <w:r>
        <w:rPr>
          <w:sz w:val="24"/>
        </w:rPr>
        <w:t>examination</w:t>
      </w:r>
      <w:r>
        <w:rPr>
          <w:spacing w:val="-4"/>
          <w:sz w:val="24"/>
        </w:rPr>
        <w:t> </w:t>
      </w:r>
      <w:r>
        <w:rPr>
          <w:sz w:val="24"/>
        </w:rPr>
        <w:t>and </w:t>
      </w:r>
      <w:r>
        <w:rPr>
          <w:spacing w:val="-2"/>
          <w:sz w:val="24"/>
        </w:rPr>
        <w:t>training.</w:t>
      </w:r>
    </w:p>
    <w:p>
      <w:pPr>
        <w:pStyle w:val="ListParagraph"/>
        <w:numPr>
          <w:ilvl w:val="2"/>
          <w:numId w:val="164"/>
        </w:numPr>
        <w:tabs>
          <w:tab w:pos="1816" w:val="left" w:leader="none"/>
        </w:tabs>
        <w:spacing w:line="208" w:lineRule="auto" w:before="240" w:after="0"/>
        <w:ind w:left="1350" w:right="805" w:firstLine="0"/>
        <w:jc w:val="left"/>
        <w:rPr>
          <w:sz w:val="24"/>
        </w:rPr>
      </w:pPr>
      <w:r>
        <w:rPr>
          <w:sz w:val="24"/>
        </w:rPr>
        <w:t>The</w:t>
      </w:r>
      <w:r>
        <w:rPr>
          <w:spacing w:val="-5"/>
          <w:sz w:val="24"/>
        </w:rPr>
        <w:t> </w:t>
      </w:r>
      <w:r>
        <w:rPr>
          <w:sz w:val="24"/>
        </w:rPr>
        <w:t>counselor</w:t>
      </w:r>
      <w:r>
        <w:rPr>
          <w:spacing w:val="-4"/>
          <w:sz w:val="24"/>
        </w:rPr>
        <w:t> </w:t>
      </w:r>
      <w:r>
        <w:rPr>
          <w:sz w:val="24"/>
        </w:rPr>
        <w:t>may</w:t>
      </w:r>
      <w:r>
        <w:rPr>
          <w:spacing w:val="-5"/>
          <w:sz w:val="24"/>
        </w:rPr>
        <w:t> </w:t>
      </w:r>
      <w:r>
        <w:rPr>
          <w:sz w:val="24"/>
        </w:rPr>
        <w:t>authorize</w:t>
      </w:r>
      <w:r>
        <w:rPr>
          <w:spacing w:val="-5"/>
          <w:sz w:val="24"/>
        </w:rPr>
        <w:t> </w:t>
      </w:r>
      <w:r>
        <w:rPr>
          <w:sz w:val="24"/>
        </w:rPr>
        <w:t>for</w:t>
      </w:r>
      <w:r>
        <w:rPr>
          <w:spacing w:val="-4"/>
          <w:sz w:val="24"/>
        </w:rPr>
        <w:t> </w:t>
      </w:r>
      <w:r>
        <w:rPr>
          <w:sz w:val="24"/>
        </w:rPr>
        <w:t>a</w:t>
      </w:r>
      <w:r>
        <w:rPr>
          <w:spacing w:val="-6"/>
          <w:sz w:val="24"/>
        </w:rPr>
        <w:t> </w:t>
      </w:r>
      <w:r>
        <w:rPr>
          <w:sz w:val="24"/>
        </w:rPr>
        <w:t>prescribed</w:t>
      </w:r>
      <w:r>
        <w:rPr>
          <w:spacing w:val="-5"/>
          <w:sz w:val="24"/>
        </w:rPr>
        <w:t> </w:t>
      </w:r>
      <w:r>
        <w:rPr>
          <w:sz w:val="24"/>
        </w:rPr>
        <w:t>standard</w:t>
      </w:r>
      <w:r>
        <w:rPr>
          <w:spacing w:val="-5"/>
          <w:sz w:val="24"/>
        </w:rPr>
        <w:t> </w:t>
      </w:r>
      <w:r>
        <w:rPr>
          <w:sz w:val="24"/>
        </w:rPr>
        <w:t>prosthesis</w:t>
      </w:r>
      <w:r>
        <w:rPr>
          <w:spacing w:val="-5"/>
          <w:sz w:val="24"/>
        </w:rPr>
        <w:t> </w:t>
      </w:r>
      <w:r>
        <w:rPr>
          <w:sz w:val="24"/>
        </w:rPr>
        <w:t>without further</w:t>
      </w:r>
      <w:r>
        <w:rPr>
          <w:spacing w:val="-4"/>
          <w:sz w:val="24"/>
        </w:rPr>
        <w:t> </w:t>
      </w:r>
      <w:r>
        <w:rPr>
          <w:sz w:val="24"/>
        </w:rPr>
        <w:t>review.</w:t>
      </w:r>
      <w:r>
        <w:rPr>
          <w:spacing w:val="-2"/>
          <w:sz w:val="24"/>
        </w:rPr>
        <w:t> </w:t>
      </w:r>
      <w:r>
        <w:rPr>
          <w:sz w:val="24"/>
        </w:rPr>
        <w:t>The</w:t>
      </w:r>
      <w:r>
        <w:rPr>
          <w:spacing w:val="-3"/>
          <w:sz w:val="24"/>
        </w:rPr>
        <w:t> </w:t>
      </w:r>
      <w:r>
        <w:rPr>
          <w:sz w:val="24"/>
        </w:rPr>
        <w:t>choice</w:t>
      </w:r>
      <w:r>
        <w:rPr>
          <w:spacing w:val="-3"/>
          <w:sz w:val="24"/>
        </w:rPr>
        <w:t> </w:t>
      </w:r>
      <w:r>
        <w:rPr>
          <w:sz w:val="24"/>
        </w:rPr>
        <w:t>of</w:t>
      </w:r>
      <w:r>
        <w:rPr>
          <w:spacing w:val="-2"/>
          <w:sz w:val="24"/>
        </w:rPr>
        <w:t> </w:t>
      </w:r>
      <w:r>
        <w:rPr>
          <w:sz w:val="24"/>
        </w:rPr>
        <w:t>prosthesis</w:t>
      </w:r>
      <w:r>
        <w:rPr>
          <w:spacing w:val="-3"/>
          <w:sz w:val="24"/>
        </w:rPr>
        <w:t> </w:t>
      </w:r>
      <w:r>
        <w:rPr>
          <w:sz w:val="24"/>
        </w:rPr>
        <w:t>must</w:t>
      </w:r>
      <w:r>
        <w:rPr>
          <w:spacing w:val="-2"/>
          <w:sz w:val="24"/>
        </w:rPr>
        <w:t> </w:t>
      </w:r>
      <w:r>
        <w:rPr>
          <w:sz w:val="24"/>
        </w:rPr>
        <w:t>be</w:t>
      </w:r>
      <w:r>
        <w:rPr>
          <w:spacing w:val="-3"/>
          <w:sz w:val="24"/>
        </w:rPr>
        <w:t> </w:t>
      </w:r>
      <w:r>
        <w:rPr>
          <w:sz w:val="24"/>
        </w:rPr>
        <w:t>closely</w:t>
      </w:r>
      <w:r>
        <w:rPr>
          <w:spacing w:val="-3"/>
          <w:sz w:val="24"/>
        </w:rPr>
        <w:t> </w:t>
      </w:r>
      <w:r>
        <w:rPr>
          <w:sz w:val="24"/>
        </w:rPr>
        <w:t>related</w:t>
      </w:r>
      <w:r>
        <w:rPr>
          <w:spacing w:val="-3"/>
          <w:sz w:val="24"/>
        </w:rPr>
        <w:t> </w:t>
      </w:r>
      <w:r>
        <w:rPr>
          <w:sz w:val="24"/>
        </w:rPr>
        <w:t>to</w:t>
      </w:r>
      <w:r>
        <w:rPr>
          <w:spacing w:val="-4"/>
          <w:sz w:val="24"/>
        </w:rPr>
        <w:t> </w:t>
      </w:r>
      <w:r>
        <w:rPr>
          <w:sz w:val="24"/>
        </w:rPr>
        <w:t>its</w:t>
      </w:r>
      <w:r>
        <w:rPr>
          <w:spacing w:val="-3"/>
          <w:sz w:val="24"/>
        </w:rPr>
        <w:t> </w:t>
      </w:r>
      <w:r>
        <w:rPr>
          <w:sz w:val="24"/>
        </w:rPr>
        <w:t>intended use in a work setting, or in relation to reasonable independent living goals. Non-standard prostheses (i.e., myoelectric) will not be purchased with DRS funds unless medically justified and/or required for a specific employment, or independent living, outcome. When a prosthesis other than a standard</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1350" w:right="775"/>
      </w:pPr>
      <w:r>
        <w:rPr/>
        <w:t>prosthesis is prescribed the counselor will request a consultation from the appropriate</w:t>
      </w:r>
      <w:r>
        <w:rPr>
          <w:spacing w:val="-5"/>
        </w:rPr>
        <w:t> </w:t>
      </w:r>
      <w:r>
        <w:rPr/>
        <w:t>medical</w:t>
      </w:r>
      <w:r>
        <w:rPr>
          <w:spacing w:val="-6"/>
        </w:rPr>
        <w:t> </w:t>
      </w:r>
      <w:r>
        <w:rPr/>
        <w:t>consultant.</w:t>
      </w:r>
      <w:r>
        <w:rPr>
          <w:spacing w:val="-5"/>
        </w:rPr>
        <w:t> </w:t>
      </w:r>
      <w:r>
        <w:rPr/>
        <w:t>Justification</w:t>
      </w:r>
      <w:r>
        <w:rPr>
          <w:spacing w:val="-6"/>
        </w:rPr>
        <w:t> </w:t>
      </w:r>
      <w:r>
        <w:rPr/>
        <w:t>for</w:t>
      </w:r>
      <w:r>
        <w:rPr>
          <w:spacing w:val="-5"/>
        </w:rPr>
        <w:t> </w:t>
      </w:r>
      <w:r>
        <w:rPr/>
        <w:t>the</w:t>
      </w:r>
      <w:r>
        <w:rPr>
          <w:spacing w:val="-6"/>
        </w:rPr>
        <w:t> </w:t>
      </w:r>
      <w:r>
        <w:rPr/>
        <w:t>non-standard</w:t>
      </w:r>
      <w:r>
        <w:rPr>
          <w:spacing w:val="-6"/>
        </w:rPr>
        <w:t> </w:t>
      </w:r>
      <w:r>
        <w:rPr/>
        <w:t>prosthesis must be documented in the case record.</w:t>
      </w:r>
    </w:p>
    <w:p>
      <w:pPr>
        <w:pStyle w:val="ListParagraph"/>
        <w:numPr>
          <w:ilvl w:val="1"/>
          <w:numId w:val="164"/>
        </w:numPr>
        <w:tabs>
          <w:tab w:pos="1350" w:val="left" w:leader="none"/>
        </w:tabs>
        <w:spacing w:line="240" w:lineRule="auto" w:before="210" w:after="0"/>
        <w:ind w:left="1350" w:right="0" w:hanging="559"/>
        <w:jc w:val="left"/>
        <w:rPr>
          <w:sz w:val="24"/>
        </w:rPr>
      </w:pPr>
      <w:r>
        <w:rPr>
          <w:sz w:val="24"/>
        </w:rPr>
        <w:t>Psychiatric</w:t>
      </w:r>
      <w:r>
        <w:rPr>
          <w:spacing w:val="-5"/>
          <w:sz w:val="24"/>
        </w:rPr>
        <w:t> </w:t>
      </w:r>
      <w:r>
        <w:rPr>
          <w:sz w:val="24"/>
        </w:rPr>
        <w:t>and</w:t>
      </w:r>
      <w:r>
        <w:rPr>
          <w:spacing w:val="-5"/>
          <w:sz w:val="24"/>
        </w:rPr>
        <w:t> </w:t>
      </w:r>
      <w:r>
        <w:rPr>
          <w:sz w:val="24"/>
        </w:rPr>
        <w:t>psychological</w:t>
      </w:r>
      <w:r>
        <w:rPr>
          <w:spacing w:val="-5"/>
          <w:sz w:val="24"/>
        </w:rPr>
        <w:t> </w:t>
      </w:r>
      <w:r>
        <w:rPr>
          <w:spacing w:val="-2"/>
          <w:sz w:val="24"/>
        </w:rPr>
        <w:t>treatment.</w:t>
      </w:r>
    </w:p>
    <w:p>
      <w:pPr>
        <w:pStyle w:val="ListParagraph"/>
        <w:numPr>
          <w:ilvl w:val="2"/>
          <w:numId w:val="164"/>
        </w:numPr>
        <w:tabs>
          <w:tab w:pos="1803" w:val="left" w:leader="none"/>
        </w:tabs>
        <w:spacing w:line="208" w:lineRule="auto" w:before="234" w:after="0"/>
        <w:ind w:left="1350" w:right="748" w:firstLine="0"/>
        <w:jc w:val="left"/>
        <w:rPr>
          <w:sz w:val="24"/>
        </w:rPr>
      </w:pPr>
      <w:r>
        <w:rPr>
          <w:sz w:val="24"/>
        </w:rPr>
        <w:t>Psychotherapy may be provided for emotional conditions which may be expected</w:t>
      </w:r>
      <w:r>
        <w:rPr>
          <w:spacing w:val="-4"/>
          <w:sz w:val="24"/>
        </w:rPr>
        <w:t> </w:t>
      </w:r>
      <w:r>
        <w:rPr>
          <w:sz w:val="24"/>
        </w:rPr>
        <w:t>to</w:t>
      </w:r>
      <w:r>
        <w:rPr>
          <w:spacing w:val="-4"/>
          <w:sz w:val="24"/>
        </w:rPr>
        <w:t> </w:t>
      </w:r>
      <w:r>
        <w:rPr>
          <w:sz w:val="24"/>
        </w:rPr>
        <w:t>respond</w:t>
      </w:r>
      <w:r>
        <w:rPr>
          <w:spacing w:val="-4"/>
          <w:sz w:val="24"/>
        </w:rPr>
        <w:t> </w:t>
      </w:r>
      <w:r>
        <w:rPr>
          <w:sz w:val="24"/>
        </w:rPr>
        <w:t>within</w:t>
      </w:r>
      <w:r>
        <w:rPr>
          <w:spacing w:val="-4"/>
          <w:sz w:val="24"/>
        </w:rPr>
        <w:t> </w:t>
      </w:r>
      <w:r>
        <w:rPr>
          <w:sz w:val="24"/>
        </w:rPr>
        <w:t>a</w:t>
      </w:r>
      <w:r>
        <w:rPr>
          <w:spacing w:val="-4"/>
          <w:sz w:val="24"/>
        </w:rPr>
        <w:t> </w:t>
      </w:r>
      <w:r>
        <w:rPr>
          <w:sz w:val="24"/>
        </w:rPr>
        <w:t>reasonable</w:t>
      </w:r>
      <w:r>
        <w:rPr>
          <w:spacing w:val="-4"/>
          <w:sz w:val="24"/>
        </w:rPr>
        <w:t> </w:t>
      </w:r>
      <w:r>
        <w:rPr>
          <w:sz w:val="24"/>
        </w:rPr>
        <w:t>period</w:t>
      </w:r>
      <w:r>
        <w:rPr>
          <w:spacing w:val="-4"/>
          <w:sz w:val="24"/>
        </w:rPr>
        <w:t> </w:t>
      </w:r>
      <w:r>
        <w:rPr>
          <w:sz w:val="24"/>
        </w:rPr>
        <w:t>of</w:t>
      </w:r>
      <w:r>
        <w:rPr>
          <w:spacing w:val="-3"/>
          <w:sz w:val="24"/>
        </w:rPr>
        <w:t> </w:t>
      </w:r>
      <w:r>
        <w:rPr>
          <w:sz w:val="24"/>
        </w:rPr>
        <w:t>time.</w:t>
      </w:r>
      <w:r>
        <w:rPr>
          <w:spacing w:val="-3"/>
          <w:sz w:val="24"/>
        </w:rPr>
        <w:t> </w:t>
      </w:r>
      <w:r>
        <w:rPr>
          <w:sz w:val="24"/>
        </w:rPr>
        <w:t>Psychotherapy</w:t>
      </w:r>
      <w:r>
        <w:rPr>
          <w:spacing w:val="-4"/>
          <w:sz w:val="24"/>
        </w:rPr>
        <w:t> </w:t>
      </w:r>
      <w:r>
        <w:rPr>
          <w:sz w:val="24"/>
        </w:rPr>
        <w:t>can</w:t>
      </w:r>
      <w:r>
        <w:rPr>
          <w:spacing w:val="-4"/>
          <w:sz w:val="24"/>
        </w:rPr>
        <w:t> </w:t>
      </w:r>
      <w:r>
        <w:rPr>
          <w:sz w:val="24"/>
        </w:rPr>
        <w:t>be provided only by the sources in (1) - (5) of this Subsection.</w:t>
      </w:r>
    </w:p>
    <w:p>
      <w:pPr>
        <w:pStyle w:val="ListParagraph"/>
        <w:numPr>
          <w:ilvl w:val="3"/>
          <w:numId w:val="164"/>
        </w:numPr>
        <w:tabs>
          <w:tab w:pos="2146" w:val="left" w:leader="none"/>
        </w:tabs>
        <w:spacing w:line="208" w:lineRule="auto" w:before="239" w:after="0"/>
        <w:ind w:left="1800" w:right="768" w:firstLine="0"/>
        <w:jc w:val="left"/>
        <w:rPr>
          <w:sz w:val="24"/>
        </w:rPr>
      </w:pPr>
      <w:r>
        <w:rPr>
          <w:sz w:val="24"/>
        </w:rPr>
        <w:t>Psychiatrists certified by the American Board of Psychiatry and Neurology</w:t>
      </w:r>
      <w:r>
        <w:rPr>
          <w:spacing w:val="-4"/>
          <w:sz w:val="24"/>
        </w:rPr>
        <w:t> </w:t>
      </w:r>
      <w:r>
        <w:rPr>
          <w:sz w:val="24"/>
        </w:rPr>
        <w:t>or</w:t>
      </w:r>
      <w:r>
        <w:rPr>
          <w:spacing w:val="-3"/>
          <w:sz w:val="24"/>
        </w:rPr>
        <w:t> </w:t>
      </w:r>
      <w:r>
        <w:rPr>
          <w:sz w:val="24"/>
        </w:rPr>
        <w:t>completed</w:t>
      </w:r>
      <w:r>
        <w:rPr>
          <w:spacing w:val="-4"/>
          <w:sz w:val="24"/>
        </w:rPr>
        <w:t> </w:t>
      </w:r>
      <w:r>
        <w:rPr>
          <w:sz w:val="24"/>
        </w:rPr>
        <w:t>the</w:t>
      </w:r>
      <w:r>
        <w:rPr>
          <w:spacing w:val="-4"/>
          <w:sz w:val="24"/>
        </w:rPr>
        <w:t> </w:t>
      </w:r>
      <w:r>
        <w:rPr>
          <w:sz w:val="24"/>
        </w:rPr>
        <w:t>required</w:t>
      </w:r>
      <w:r>
        <w:rPr>
          <w:spacing w:val="-4"/>
          <w:sz w:val="24"/>
        </w:rPr>
        <w:t> </w:t>
      </w:r>
      <w:r>
        <w:rPr>
          <w:sz w:val="24"/>
        </w:rPr>
        <w:t>training</w:t>
      </w:r>
      <w:r>
        <w:rPr>
          <w:spacing w:val="-4"/>
          <w:sz w:val="24"/>
        </w:rPr>
        <w:t> </w:t>
      </w:r>
      <w:r>
        <w:rPr>
          <w:sz w:val="24"/>
        </w:rPr>
        <w:t>and</w:t>
      </w:r>
      <w:r>
        <w:rPr>
          <w:spacing w:val="-4"/>
          <w:sz w:val="24"/>
        </w:rPr>
        <w:t> </w:t>
      </w:r>
      <w:r>
        <w:rPr>
          <w:sz w:val="24"/>
        </w:rPr>
        <w:t>are</w:t>
      </w:r>
      <w:r>
        <w:rPr>
          <w:spacing w:val="-4"/>
          <w:sz w:val="24"/>
        </w:rPr>
        <w:t> </w:t>
      </w:r>
      <w:r>
        <w:rPr>
          <w:sz w:val="24"/>
        </w:rPr>
        <w:t>"Board</w:t>
      </w:r>
      <w:r>
        <w:rPr>
          <w:spacing w:val="-4"/>
          <w:sz w:val="24"/>
        </w:rPr>
        <w:t> </w:t>
      </w:r>
      <w:r>
        <w:rPr>
          <w:sz w:val="24"/>
        </w:rPr>
        <w:t>Qualified",</w:t>
      </w:r>
      <w:r>
        <w:rPr>
          <w:spacing w:val="-3"/>
          <w:sz w:val="24"/>
        </w:rPr>
        <w:t> </w:t>
      </w:r>
      <w:r>
        <w:rPr>
          <w:sz w:val="24"/>
        </w:rPr>
        <w:t>or who have spent a major portion of their time in a particular specialty for at least two years and are recognized as specialists in the local community (same criteria as applied to other medical specialists).</w:t>
      </w:r>
    </w:p>
    <w:p>
      <w:pPr>
        <w:pStyle w:val="ListParagraph"/>
        <w:numPr>
          <w:ilvl w:val="3"/>
          <w:numId w:val="164"/>
        </w:numPr>
        <w:tabs>
          <w:tab w:pos="2198" w:val="left" w:leader="none"/>
        </w:tabs>
        <w:spacing w:line="208" w:lineRule="auto" w:before="240" w:after="0"/>
        <w:ind w:left="1800" w:right="1152" w:firstLine="0"/>
        <w:jc w:val="left"/>
        <w:rPr>
          <w:sz w:val="24"/>
        </w:rPr>
      </w:pPr>
      <w:r>
        <w:rPr>
          <w:sz w:val="24"/>
        </w:rPr>
        <w:t>Licensed Doctors of Medicine or Doctors of Osteopathy who have received</w:t>
      </w:r>
      <w:r>
        <w:rPr>
          <w:spacing w:val="-5"/>
          <w:sz w:val="24"/>
        </w:rPr>
        <w:t> </w:t>
      </w:r>
      <w:r>
        <w:rPr>
          <w:sz w:val="24"/>
        </w:rPr>
        <w:t>specific</w:t>
      </w:r>
      <w:r>
        <w:rPr>
          <w:spacing w:val="-5"/>
          <w:sz w:val="24"/>
        </w:rPr>
        <w:t> </w:t>
      </w:r>
      <w:r>
        <w:rPr>
          <w:sz w:val="24"/>
        </w:rPr>
        <w:t>training</w:t>
      </w:r>
      <w:r>
        <w:rPr>
          <w:spacing w:val="-5"/>
          <w:sz w:val="24"/>
        </w:rPr>
        <w:t> </w:t>
      </w:r>
      <w:r>
        <w:rPr>
          <w:sz w:val="24"/>
        </w:rPr>
        <w:t>for</w:t>
      </w:r>
      <w:r>
        <w:rPr>
          <w:spacing w:val="-4"/>
          <w:sz w:val="24"/>
        </w:rPr>
        <w:t> </w:t>
      </w:r>
      <w:r>
        <w:rPr>
          <w:sz w:val="24"/>
        </w:rPr>
        <w:t>and</w:t>
      </w:r>
      <w:r>
        <w:rPr>
          <w:spacing w:val="-5"/>
          <w:sz w:val="24"/>
        </w:rPr>
        <w:t> </w:t>
      </w:r>
      <w:r>
        <w:rPr>
          <w:sz w:val="24"/>
        </w:rPr>
        <w:t>are</w:t>
      </w:r>
      <w:r>
        <w:rPr>
          <w:spacing w:val="-5"/>
          <w:sz w:val="24"/>
        </w:rPr>
        <w:t> </w:t>
      </w:r>
      <w:r>
        <w:rPr>
          <w:sz w:val="24"/>
        </w:rPr>
        <w:t>experienced</w:t>
      </w:r>
      <w:r>
        <w:rPr>
          <w:spacing w:val="-5"/>
          <w:sz w:val="24"/>
        </w:rPr>
        <w:t> </w:t>
      </w:r>
      <w:r>
        <w:rPr>
          <w:sz w:val="24"/>
        </w:rPr>
        <w:t>in</w:t>
      </w:r>
      <w:r>
        <w:rPr>
          <w:spacing w:val="-5"/>
          <w:sz w:val="24"/>
        </w:rPr>
        <w:t> </w:t>
      </w:r>
      <w:r>
        <w:rPr>
          <w:sz w:val="24"/>
        </w:rPr>
        <w:t>performing</w:t>
      </w:r>
      <w:r>
        <w:rPr>
          <w:spacing w:val="-5"/>
          <w:sz w:val="24"/>
        </w:rPr>
        <w:t> </w:t>
      </w:r>
      <w:r>
        <w:rPr>
          <w:sz w:val="24"/>
        </w:rPr>
        <w:t>mental health therapeutic, diagnostic, or counseling functions.</w:t>
      </w:r>
    </w:p>
    <w:p>
      <w:pPr>
        <w:pStyle w:val="ListParagraph"/>
        <w:numPr>
          <w:ilvl w:val="3"/>
          <w:numId w:val="164"/>
        </w:numPr>
        <w:tabs>
          <w:tab w:pos="2251" w:val="left" w:leader="none"/>
        </w:tabs>
        <w:spacing w:line="208" w:lineRule="auto" w:before="239" w:after="0"/>
        <w:ind w:left="1800" w:right="1154" w:firstLine="0"/>
        <w:jc w:val="left"/>
        <w:rPr>
          <w:sz w:val="24"/>
        </w:rPr>
      </w:pPr>
      <w:r>
        <w:rPr>
          <w:sz w:val="24"/>
        </w:rPr>
        <w:t>Psychologists</w:t>
      </w:r>
      <w:r>
        <w:rPr>
          <w:spacing w:val="-5"/>
          <w:sz w:val="24"/>
        </w:rPr>
        <w:t> </w:t>
      </w:r>
      <w:r>
        <w:rPr>
          <w:sz w:val="24"/>
        </w:rPr>
        <w:t>with</w:t>
      </w:r>
      <w:r>
        <w:rPr>
          <w:spacing w:val="-5"/>
          <w:sz w:val="24"/>
        </w:rPr>
        <w:t> </w:t>
      </w:r>
      <w:r>
        <w:rPr>
          <w:sz w:val="24"/>
        </w:rPr>
        <w:t>a</w:t>
      </w:r>
      <w:r>
        <w:rPr>
          <w:spacing w:val="-5"/>
          <w:sz w:val="24"/>
        </w:rPr>
        <w:t> </w:t>
      </w:r>
      <w:r>
        <w:rPr>
          <w:sz w:val="24"/>
        </w:rPr>
        <w:t>doctorate</w:t>
      </w:r>
      <w:r>
        <w:rPr>
          <w:spacing w:val="-5"/>
          <w:sz w:val="24"/>
        </w:rPr>
        <w:t> </w:t>
      </w:r>
      <w:r>
        <w:rPr>
          <w:sz w:val="24"/>
        </w:rPr>
        <w:t>in</w:t>
      </w:r>
      <w:r>
        <w:rPr>
          <w:spacing w:val="-5"/>
          <w:sz w:val="24"/>
        </w:rPr>
        <w:t> </w:t>
      </w:r>
      <w:r>
        <w:rPr>
          <w:sz w:val="24"/>
        </w:rPr>
        <w:t>clinical</w:t>
      </w:r>
      <w:r>
        <w:rPr>
          <w:spacing w:val="-5"/>
          <w:sz w:val="24"/>
        </w:rPr>
        <w:t> </w:t>
      </w:r>
      <w:r>
        <w:rPr>
          <w:sz w:val="24"/>
        </w:rPr>
        <w:t>or</w:t>
      </w:r>
      <w:r>
        <w:rPr>
          <w:spacing w:val="-4"/>
          <w:sz w:val="24"/>
        </w:rPr>
        <w:t> </w:t>
      </w:r>
      <w:r>
        <w:rPr>
          <w:sz w:val="24"/>
        </w:rPr>
        <w:t>counseling</w:t>
      </w:r>
      <w:r>
        <w:rPr>
          <w:spacing w:val="-5"/>
          <w:sz w:val="24"/>
        </w:rPr>
        <w:t> </w:t>
      </w:r>
      <w:r>
        <w:rPr>
          <w:sz w:val="24"/>
        </w:rPr>
        <w:t>psychology who hold a valid license to practice psychology.</w:t>
      </w:r>
    </w:p>
    <w:p>
      <w:pPr>
        <w:pStyle w:val="ListParagraph"/>
        <w:numPr>
          <w:ilvl w:val="3"/>
          <w:numId w:val="164"/>
        </w:numPr>
        <w:tabs>
          <w:tab w:pos="2266" w:val="left" w:leader="none"/>
        </w:tabs>
        <w:spacing w:line="208" w:lineRule="auto" w:before="240" w:after="0"/>
        <w:ind w:left="1800" w:right="1008" w:firstLine="0"/>
        <w:jc w:val="left"/>
        <w:rPr>
          <w:sz w:val="24"/>
        </w:rPr>
      </w:pPr>
      <w:r>
        <w:rPr>
          <w:sz w:val="24"/>
        </w:rPr>
        <w:t>Psychologists with a doctorate in clinical or counseling psychology who</w:t>
      </w:r>
      <w:r>
        <w:rPr>
          <w:spacing w:val="-5"/>
          <w:sz w:val="24"/>
        </w:rPr>
        <w:t> </w:t>
      </w:r>
      <w:r>
        <w:rPr>
          <w:sz w:val="24"/>
        </w:rPr>
        <w:t>are</w:t>
      </w:r>
      <w:r>
        <w:rPr>
          <w:spacing w:val="-5"/>
          <w:sz w:val="24"/>
        </w:rPr>
        <w:t> </w:t>
      </w:r>
      <w:r>
        <w:rPr>
          <w:sz w:val="24"/>
        </w:rPr>
        <w:t>employed</w:t>
      </w:r>
      <w:r>
        <w:rPr>
          <w:spacing w:val="-5"/>
          <w:sz w:val="24"/>
        </w:rPr>
        <w:t> </w:t>
      </w:r>
      <w:r>
        <w:rPr>
          <w:sz w:val="24"/>
        </w:rPr>
        <w:t>by</w:t>
      </w:r>
      <w:r>
        <w:rPr>
          <w:spacing w:val="-4"/>
          <w:sz w:val="24"/>
        </w:rPr>
        <w:t> </w:t>
      </w:r>
      <w:r>
        <w:rPr>
          <w:sz w:val="24"/>
        </w:rPr>
        <w:t>governmental</w:t>
      </w:r>
      <w:r>
        <w:rPr>
          <w:spacing w:val="-5"/>
          <w:sz w:val="24"/>
        </w:rPr>
        <w:t> </w:t>
      </w:r>
      <w:r>
        <w:rPr>
          <w:sz w:val="24"/>
        </w:rPr>
        <w:t>agencies</w:t>
      </w:r>
      <w:r>
        <w:rPr>
          <w:spacing w:val="-5"/>
          <w:sz w:val="24"/>
        </w:rPr>
        <w:t> </w:t>
      </w:r>
      <w:r>
        <w:rPr>
          <w:sz w:val="24"/>
        </w:rPr>
        <w:t>exempt</w:t>
      </w:r>
      <w:r>
        <w:rPr>
          <w:spacing w:val="-6"/>
          <w:sz w:val="24"/>
        </w:rPr>
        <w:t> </w:t>
      </w:r>
      <w:r>
        <w:rPr>
          <w:sz w:val="24"/>
        </w:rPr>
        <w:t>from</w:t>
      </w:r>
      <w:r>
        <w:rPr>
          <w:spacing w:val="-6"/>
          <w:sz w:val="24"/>
        </w:rPr>
        <w:t> </w:t>
      </w:r>
      <w:r>
        <w:rPr>
          <w:sz w:val="24"/>
        </w:rPr>
        <w:t>the</w:t>
      </w:r>
      <w:r>
        <w:rPr>
          <w:spacing w:val="-5"/>
          <w:sz w:val="24"/>
        </w:rPr>
        <w:t> </w:t>
      </w:r>
      <w:r>
        <w:rPr>
          <w:sz w:val="24"/>
        </w:rPr>
        <w:t>licensing </w:t>
      </w:r>
      <w:r>
        <w:rPr>
          <w:spacing w:val="-4"/>
          <w:sz w:val="24"/>
        </w:rPr>
        <w:t>law.</w:t>
      </w:r>
    </w:p>
    <w:p>
      <w:pPr>
        <w:pStyle w:val="ListParagraph"/>
        <w:numPr>
          <w:ilvl w:val="3"/>
          <w:numId w:val="164"/>
        </w:numPr>
        <w:tabs>
          <w:tab w:pos="2213" w:val="left" w:leader="none"/>
        </w:tabs>
        <w:spacing w:line="208" w:lineRule="auto" w:before="240" w:after="0"/>
        <w:ind w:left="1800" w:right="728" w:firstLine="0"/>
        <w:jc w:val="left"/>
        <w:rPr>
          <w:sz w:val="24"/>
        </w:rPr>
      </w:pPr>
      <w:r>
        <w:rPr>
          <w:sz w:val="24"/>
        </w:rPr>
        <w:t>Other</w:t>
      </w:r>
      <w:r>
        <w:rPr>
          <w:spacing w:val="-5"/>
          <w:sz w:val="24"/>
        </w:rPr>
        <w:t> </w:t>
      </w:r>
      <w:r>
        <w:rPr>
          <w:sz w:val="24"/>
        </w:rPr>
        <w:t>licensed</w:t>
      </w:r>
      <w:r>
        <w:rPr>
          <w:spacing w:val="-6"/>
          <w:sz w:val="24"/>
        </w:rPr>
        <w:t> </w:t>
      </w:r>
      <w:r>
        <w:rPr>
          <w:sz w:val="24"/>
        </w:rPr>
        <w:t>clinicians</w:t>
      </w:r>
      <w:r>
        <w:rPr>
          <w:spacing w:val="-6"/>
          <w:sz w:val="24"/>
        </w:rPr>
        <w:t> </w:t>
      </w:r>
      <w:r>
        <w:rPr>
          <w:sz w:val="24"/>
        </w:rPr>
        <w:t>or</w:t>
      </w:r>
      <w:r>
        <w:rPr>
          <w:spacing w:val="-5"/>
          <w:sz w:val="24"/>
        </w:rPr>
        <w:t> </w:t>
      </w:r>
      <w:r>
        <w:rPr>
          <w:sz w:val="24"/>
        </w:rPr>
        <w:t>those</w:t>
      </w:r>
      <w:r>
        <w:rPr>
          <w:spacing w:val="-6"/>
          <w:sz w:val="24"/>
        </w:rPr>
        <w:t> </w:t>
      </w:r>
      <w:r>
        <w:rPr>
          <w:sz w:val="24"/>
        </w:rPr>
        <w:t>employed</w:t>
      </w:r>
      <w:r>
        <w:rPr>
          <w:spacing w:val="-6"/>
          <w:sz w:val="24"/>
        </w:rPr>
        <w:t> </w:t>
      </w:r>
      <w:r>
        <w:rPr>
          <w:sz w:val="24"/>
        </w:rPr>
        <w:t>by</w:t>
      </w:r>
      <w:r>
        <w:rPr>
          <w:spacing w:val="-6"/>
          <w:sz w:val="24"/>
        </w:rPr>
        <w:t> </w:t>
      </w:r>
      <w:r>
        <w:rPr>
          <w:sz w:val="24"/>
        </w:rPr>
        <w:t>governmental</w:t>
      </w:r>
      <w:r>
        <w:rPr>
          <w:spacing w:val="-6"/>
          <w:sz w:val="24"/>
        </w:rPr>
        <w:t> </w:t>
      </w:r>
      <w:r>
        <w:rPr>
          <w:sz w:val="24"/>
        </w:rPr>
        <w:t>agencies who have received administrative approval to provide this treatment </w:t>
      </w:r>
      <w:r>
        <w:rPr>
          <w:spacing w:val="-2"/>
          <w:sz w:val="24"/>
        </w:rPr>
        <w:t>service.</w:t>
      </w:r>
    </w:p>
    <w:p>
      <w:pPr>
        <w:pStyle w:val="ListParagraph"/>
        <w:numPr>
          <w:ilvl w:val="2"/>
          <w:numId w:val="164"/>
        </w:numPr>
        <w:tabs>
          <w:tab w:pos="1803" w:val="left" w:leader="none"/>
        </w:tabs>
        <w:spacing w:line="208" w:lineRule="auto" w:before="240" w:after="0"/>
        <w:ind w:left="1350" w:right="908" w:firstLine="0"/>
        <w:jc w:val="left"/>
        <w:rPr>
          <w:sz w:val="24"/>
        </w:rPr>
      </w:pPr>
      <w:r>
        <w:rPr>
          <w:sz w:val="24"/>
        </w:rPr>
        <w:t>Upon receipt of a written report from the therapist, the supervisor may approve</w:t>
      </w:r>
      <w:r>
        <w:rPr>
          <w:spacing w:val="-5"/>
          <w:sz w:val="24"/>
        </w:rPr>
        <w:t> </w:t>
      </w:r>
      <w:r>
        <w:rPr>
          <w:sz w:val="24"/>
        </w:rPr>
        <w:t>additional</w:t>
      </w:r>
      <w:r>
        <w:rPr>
          <w:spacing w:val="-5"/>
          <w:sz w:val="24"/>
        </w:rPr>
        <w:t> </w:t>
      </w:r>
      <w:r>
        <w:rPr>
          <w:sz w:val="24"/>
        </w:rPr>
        <w:t>three-month</w:t>
      </w:r>
      <w:r>
        <w:rPr>
          <w:spacing w:val="-5"/>
          <w:sz w:val="24"/>
        </w:rPr>
        <w:t> </w:t>
      </w:r>
      <w:r>
        <w:rPr>
          <w:sz w:val="24"/>
        </w:rPr>
        <w:t>periods</w:t>
      </w:r>
      <w:r>
        <w:rPr>
          <w:spacing w:val="-5"/>
          <w:sz w:val="24"/>
        </w:rPr>
        <w:t> </w:t>
      </w:r>
      <w:r>
        <w:rPr>
          <w:sz w:val="24"/>
        </w:rPr>
        <w:t>of</w:t>
      </w:r>
      <w:r>
        <w:rPr>
          <w:spacing w:val="-4"/>
          <w:sz w:val="24"/>
        </w:rPr>
        <w:t> </w:t>
      </w:r>
      <w:r>
        <w:rPr>
          <w:sz w:val="24"/>
        </w:rPr>
        <w:t>therapy.</w:t>
      </w:r>
      <w:r>
        <w:rPr>
          <w:spacing w:val="-4"/>
          <w:sz w:val="24"/>
        </w:rPr>
        <w:t> </w:t>
      </w:r>
      <w:r>
        <w:rPr>
          <w:sz w:val="24"/>
        </w:rPr>
        <w:t>Clients</w:t>
      </w:r>
      <w:r>
        <w:rPr>
          <w:spacing w:val="-5"/>
          <w:sz w:val="24"/>
        </w:rPr>
        <w:t> </w:t>
      </w:r>
      <w:r>
        <w:rPr>
          <w:sz w:val="24"/>
        </w:rPr>
        <w:t>needing</w:t>
      </w:r>
      <w:r>
        <w:rPr>
          <w:spacing w:val="-5"/>
          <w:sz w:val="24"/>
        </w:rPr>
        <w:t> </w:t>
      </w:r>
      <w:r>
        <w:rPr>
          <w:sz w:val="24"/>
        </w:rPr>
        <w:t>long-term or ongoing psychiatric or psychological treatment will be referred to the appropriate community mental health center.</w:t>
      </w:r>
    </w:p>
    <w:p>
      <w:pPr>
        <w:pStyle w:val="ListParagraph"/>
        <w:numPr>
          <w:ilvl w:val="2"/>
          <w:numId w:val="164"/>
        </w:numPr>
        <w:tabs>
          <w:tab w:pos="1816" w:val="left" w:leader="none"/>
        </w:tabs>
        <w:spacing w:line="208" w:lineRule="auto" w:before="239" w:after="0"/>
        <w:ind w:left="1350" w:right="855" w:firstLine="0"/>
        <w:jc w:val="left"/>
        <w:rPr>
          <w:sz w:val="24"/>
        </w:rPr>
      </w:pPr>
      <w:r>
        <w:rPr>
          <w:sz w:val="24"/>
        </w:rPr>
        <w:t>Personal</w:t>
      </w:r>
      <w:r>
        <w:rPr>
          <w:spacing w:val="-2"/>
          <w:sz w:val="24"/>
        </w:rPr>
        <w:t> </w:t>
      </w:r>
      <w:r>
        <w:rPr>
          <w:sz w:val="24"/>
        </w:rPr>
        <w:t>Adjustment</w:t>
      </w:r>
      <w:r>
        <w:rPr>
          <w:spacing w:val="-1"/>
          <w:sz w:val="24"/>
        </w:rPr>
        <w:t> </w:t>
      </w:r>
      <w:r>
        <w:rPr>
          <w:sz w:val="24"/>
        </w:rPr>
        <w:t>Counseling</w:t>
      </w:r>
      <w:r>
        <w:rPr>
          <w:spacing w:val="-2"/>
          <w:sz w:val="24"/>
        </w:rPr>
        <w:t> </w:t>
      </w:r>
      <w:r>
        <w:rPr>
          <w:sz w:val="24"/>
        </w:rPr>
        <w:t>may</w:t>
      </w:r>
      <w:r>
        <w:rPr>
          <w:spacing w:val="-2"/>
          <w:sz w:val="24"/>
        </w:rPr>
        <w:t> </w:t>
      </w:r>
      <w:r>
        <w:rPr>
          <w:sz w:val="24"/>
        </w:rPr>
        <w:t>be</w:t>
      </w:r>
      <w:r>
        <w:rPr>
          <w:spacing w:val="-1"/>
          <w:sz w:val="24"/>
        </w:rPr>
        <w:t> </w:t>
      </w:r>
      <w:r>
        <w:rPr>
          <w:sz w:val="24"/>
        </w:rPr>
        <w:t>provided</w:t>
      </w:r>
      <w:r>
        <w:rPr>
          <w:spacing w:val="-2"/>
          <w:sz w:val="24"/>
        </w:rPr>
        <w:t> </w:t>
      </w:r>
      <w:r>
        <w:rPr>
          <w:sz w:val="24"/>
        </w:rPr>
        <w:t>for</w:t>
      </w:r>
      <w:r>
        <w:rPr>
          <w:spacing w:val="-1"/>
          <w:sz w:val="24"/>
        </w:rPr>
        <w:t> </w:t>
      </w:r>
      <w:r>
        <w:rPr>
          <w:sz w:val="24"/>
        </w:rPr>
        <w:t>those</w:t>
      </w:r>
      <w:r>
        <w:rPr>
          <w:spacing w:val="-2"/>
          <w:sz w:val="24"/>
        </w:rPr>
        <w:t> </w:t>
      </w:r>
      <w:r>
        <w:rPr>
          <w:sz w:val="24"/>
        </w:rPr>
        <w:t>persons</w:t>
      </w:r>
      <w:r>
        <w:rPr>
          <w:spacing w:val="-2"/>
          <w:sz w:val="24"/>
        </w:rPr>
        <w:t> </w:t>
      </w:r>
      <w:r>
        <w:rPr>
          <w:sz w:val="24"/>
        </w:rPr>
        <w:t>with emotional conditions who may benefit from counseling to bring about a more adequate social adjustment, alleviate superficial anxiety, and to create more effective</w:t>
      </w:r>
      <w:r>
        <w:rPr>
          <w:spacing w:val="-6"/>
          <w:sz w:val="24"/>
        </w:rPr>
        <w:t> </w:t>
      </w:r>
      <w:r>
        <w:rPr>
          <w:sz w:val="24"/>
        </w:rPr>
        <w:t>interpersonal</w:t>
      </w:r>
      <w:r>
        <w:rPr>
          <w:spacing w:val="-5"/>
          <w:sz w:val="24"/>
        </w:rPr>
        <w:t> </w:t>
      </w:r>
      <w:r>
        <w:rPr>
          <w:sz w:val="24"/>
        </w:rPr>
        <w:t>relationships.</w:t>
      </w:r>
      <w:r>
        <w:rPr>
          <w:spacing w:val="-5"/>
          <w:sz w:val="24"/>
        </w:rPr>
        <w:t> </w:t>
      </w:r>
      <w:r>
        <w:rPr>
          <w:sz w:val="24"/>
        </w:rPr>
        <w:t>Personal</w:t>
      </w:r>
      <w:r>
        <w:rPr>
          <w:spacing w:val="-6"/>
          <w:sz w:val="24"/>
        </w:rPr>
        <w:t> </w:t>
      </w:r>
      <w:r>
        <w:rPr>
          <w:sz w:val="24"/>
        </w:rPr>
        <w:t>Adjustment</w:t>
      </w:r>
      <w:r>
        <w:rPr>
          <w:spacing w:val="-5"/>
          <w:sz w:val="24"/>
        </w:rPr>
        <w:t> </w:t>
      </w:r>
      <w:r>
        <w:rPr>
          <w:sz w:val="24"/>
        </w:rPr>
        <w:t>Counseling</w:t>
      </w:r>
      <w:r>
        <w:rPr>
          <w:spacing w:val="-6"/>
          <w:sz w:val="24"/>
        </w:rPr>
        <w:t> </w:t>
      </w:r>
      <w:r>
        <w:rPr>
          <w:sz w:val="24"/>
        </w:rPr>
        <w:t>may</w:t>
      </w:r>
      <w:r>
        <w:rPr>
          <w:spacing w:val="-6"/>
          <w:sz w:val="24"/>
        </w:rPr>
        <w:t> </w:t>
      </w:r>
      <w:r>
        <w:rPr>
          <w:sz w:val="24"/>
        </w:rPr>
        <w:t>be provided by: those individuals listed in (17) (A) of this Subsection.</w:t>
      </w:r>
    </w:p>
    <w:p>
      <w:pPr>
        <w:pStyle w:val="ListParagraph"/>
        <w:numPr>
          <w:ilvl w:val="1"/>
          <w:numId w:val="164"/>
        </w:numPr>
        <w:tabs>
          <w:tab w:pos="1351" w:val="left" w:leader="none"/>
        </w:tabs>
        <w:spacing w:line="208" w:lineRule="auto" w:before="240" w:after="0"/>
        <w:ind w:left="792" w:right="975" w:firstLine="0"/>
        <w:jc w:val="left"/>
        <w:rPr>
          <w:b/>
          <w:sz w:val="24"/>
        </w:rPr>
      </w:pPr>
      <w:r>
        <w:rPr>
          <w:sz w:val="24"/>
        </w:rPr>
        <w:t>Speech therapy/training as recommended in a speech evaluation. Speech therapy,</w:t>
      </w:r>
      <w:r>
        <w:rPr>
          <w:spacing w:val="-1"/>
          <w:sz w:val="24"/>
        </w:rPr>
        <w:t> </w:t>
      </w:r>
      <w:r>
        <w:rPr>
          <w:sz w:val="24"/>
        </w:rPr>
        <w:t>although</w:t>
      </w:r>
      <w:r>
        <w:rPr>
          <w:spacing w:val="-2"/>
          <w:sz w:val="24"/>
        </w:rPr>
        <w:t> </w:t>
      </w:r>
      <w:r>
        <w:rPr>
          <w:sz w:val="24"/>
        </w:rPr>
        <w:t>provided</w:t>
      </w:r>
      <w:r>
        <w:rPr>
          <w:spacing w:val="-2"/>
          <w:sz w:val="24"/>
        </w:rPr>
        <w:t> </w:t>
      </w:r>
      <w:r>
        <w:rPr>
          <w:sz w:val="24"/>
        </w:rPr>
        <w:t>by</w:t>
      </w:r>
      <w:r>
        <w:rPr>
          <w:spacing w:val="-2"/>
          <w:sz w:val="24"/>
        </w:rPr>
        <w:t> </w:t>
      </w:r>
      <w:r>
        <w:rPr>
          <w:sz w:val="24"/>
        </w:rPr>
        <w:t>recognized</w:t>
      </w:r>
      <w:r>
        <w:rPr>
          <w:spacing w:val="-2"/>
          <w:sz w:val="24"/>
        </w:rPr>
        <w:t> </w:t>
      </w:r>
      <w:r>
        <w:rPr>
          <w:sz w:val="24"/>
        </w:rPr>
        <w:t>speech-language</w:t>
      </w:r>
      <w:r>
        <w:rPr>
          <w:spacing w:val="-2"/>
          <w:sz w:val="24"/>
        </w:rPr>
        <w:t> </w:t>
      </w:r>
      <w:r>
        <w:rPr>
          <w:sz w:val="24"/>
        </w:rPr>
        <w:t>pathologists</w:t>
      </w:r>
      <w:r>
        <w:rPr>
          <w:spacing w:val="-2"/>
          <w:sz w:val="24"/>
        </w:rPr>
        <w:t> </w:t>
      </w:r>
      <w:r>
        <w:rPr>
          <w:sz w:val="24"/>
        </w:rPr>
        <w:t>(SLP),</w:t>
      </w:r>
      <w:r>
        <w:rPr>
          <w:spacing w:val="-1"/>
          <w:sz w:val="24"/>
        </w:rPr>
        <w:t> </w:t>
      </w:r>
      <w:r>
        <w:rPr>
          <w:sz w:val="24"/>
        </w:rPr>
        <w:t>is considered</w:t>
      </w:r>
      <w:r>
        <w:rPr>
          <w:spacing w:val="-3"/>
          <w:sz w:val="24"/>
        </w:rPr>
        <w:t> </w:t>
      </w:r>
      <w:r>
        <w:rPr>
          <w:sz w:val="24"/>
        </w:rPr>
        <w:t>Personal</w:t>
      </w:r>
      <w:r>
        <w:rPr>
          <w:spacing w:val="-4"/>
          <w:sz w:val="24"/>
        </w:rPr>
        <w:t> </w:t>
      </w:r>
      <w:r>
        <w:rPr>
          <w:sz w:val="24"/>
        </w:rPr>
        <w:t>Adjustment</w:t>
      </w:r>
      <w:r>
        <w:rPr>
          <w:spacing w:val="-3"/>
          <w:sz w:val="24"/>
        </w:rPr>
        <w:t> </w:t>
      </w:r>
      <w:r>
        <w:rPr>
          <w:sz w:val="24"/>
        </w:rPr>
        <w:t>training</w:t>
      </w:r>
      <w:r>
        <w:rPr>
          <w:spacing w:val="-4"/>
          <w:sz w:val="24"/>
        </w:rPr>
        <w:t> </w:t>
      </w:r>
      <w:r>
        <w:rPr>
          <w:sz w:val="24"/>
        </w:rPr>
        <w:t>and</w:t>
      </w:r>
      <w:r>
        <w:rPr>
          <w:spacing w:val="-4"/>
          <w:sz w:val="24"/>
        </w:rPr>
        <w:t> </w:t>
      </w:r>
      <w:r>
        <w:rPr>
          <w:sz w:val="24"/>
        </w:rPr>
        <w:t>is</w:t>
      </w:r>
      <w:r>
        <w:rPr>
          <w:spacing w:val="-4"/>
          <w:sz w:val="24"/>
        </w:rPr>
        <w:t> </w:t>
      </w:r>
      <w:r>
        <w:rPr>
          <w:sz w:val="24"/>
        </w:rPr>
        <w:t>not</w:t>
      </w:r>
      <w:r>
        <w:rPr>
          <w:spacing w:val="-3"/>
          <w:sz w:val="24"/>
        </w:rPr>
        <w:t> </w:t>
      </w:r>
      <w:r>
        <w:rPr>
          <w:sz w:val="24"/>
        </w:rPr>
        <w:t>based</w:t>
      </w:r>
      <w:r>
        <w:rPr>
          <w:spacing w:val="-4"/>
          <w:sz w:val="24"/>
        </w:rPr>
        <w:t> </w:t>
      </w:r>
      <w:r>
        <w:rPr>
          <w:sz w:val="24"/>
        </w:rPr>
        <w:t>on</w:t>
      </w:r>
      <w:r>
        <w:rPr>
          <w:spacing w:val="-4"/>
          <w:sz w:val="24"/>
        </w:rPr>
        <w:t> </w:t>
      </w:r>
      <w:r>
        <w:rPr>
          <w:sz w:val="24"/>
        </w:rPr>
        <w:t>financial</w:t>
      </w:r>
      <w:r>
        <w:rPr>
          <w:spacing w:val="-4"/>
          <w:sz w:val="24"/>
        </w:rPr>
        <w:t> </w:t>
      </w:r>
      <w:r>
        <w:rPr>
          <w:sz w:val="24"/>
        </w:rPr>
        <w:t>status.</w:t>
      </w:r>
      <w:r>
        <w:rPr>
          <w:spacing w:val="-5"/>
          <w:sz w:val="24"/>
        </w:rPr>
        <w:t> </w:t>
      </w:r>
      <w:r>
        <w:rPr>
          <w:sz w:val="24"/>
        </w:rPr>
        <w:t>The providers of speech therapy are classified as medical vendors. </w:t>
      </w:r>
      <w:r>
        <w:rPr>
          <w:b/>
          <w:sz w:val="24"/>
        </w:rPr>
        <w:t>2, 12</w:t>
      </w:r>
    </w:p>
    <w:p>
      <w:pPr>
        <w:pStyle w:val="ListParagraph"/>
        <w:numPr>
          <w:ilvl w:val="1"/>
          <w:numId w:val="164"/>
        </w:numPr>
        <w:tabs>
          <w:tab w:pos="1351" w:val="left" w:leader="none"/>
        </w:tabs>
        <w:spacing w:line="240" w:lineRule="auto" w:before="210" w:after="0"/>
        <w:ind w:left="1351" w:right="0" w:hanging="559"/>
        <w:jc w:val="left"/>
        <w:rPr>
          <w:sz w:val="24"/>
        </w:rPr>
      </w:pPr>
      <w:r>
        <w:rPr>
          <w:sz w:val="24"/>
        </w:rPr>
        <w:t>Surgery</w:t>
      </w:r>
      <w:r>
        <w:rPr>
          <w:spacing w:val="-4"/>
          <w:sz w:val="24"/>
        </w:rPr>
        <w:t> </w:t>
      </w:r>
      <w:r>
        <w:rPr>
          <w:sz w:val="24"/>
        </w:rPr>
        <w:t>and</w:t>
      </w:r>
      <w:r>
        <w:rPr>
          <w:spacing w:val="-4"/>
          <w:sz w:val="24"/>
        </w:rPr>
        <w:t> </w:t>
      </w:r>
      <w:r>
        <w:rPr>
          <w:sz w:val="24"/>
        </w:rPr>
        <w:t>medical</w:t>
      </w:r>
      <w:r>
        <w:rPr>
          <w:spacing w:val="-4"/>
          <w:sz w:val="24"/>
        </w:rPr>
        <w:t> </w:t>
      </w:r>
      <w:r>
        <w:rPr>
          <w:spacing w:val="-2"/>
          <w:sz w:val="24"/>
        </w:rPr>
        <w:t>treatment.</w:t>
      </w:r>
    </w:p>
    <w:p>
      <w:pPr>
        <w:pStyle w:val="ListParagraph"/>
        <w:numPr>
          <w:ilvl w:val="2"/>
          <w:numId w:val="164"/>
        </w:numPr>
        <w:tabs>
          <w:tab w:pos="1803" w:val="left" w:leader="none"/>
        </w:tabs>
        <w:spacing w:line="208" w:lineRule="auto" w:before="233" w:after="0"/>
        <w:ind w:left="1350" w:right="723" w:firstLine="0"/>
        <w:jc w:val="left"/>
        <w:rPr>
          <w:sz w:val="24"/>
        </w:rPr>
      </w:pPr>
      <w:r>
        <w:rPr>
          <w:sz w:val="24"/>
        </w:rPr>
        <w:t>Surgery</w:t>
      </w:r>
      <w:r>
        <w:rPr>
          <w:spacing w:val="-4"/>
          <w:sz w:val="24"/>
        </w:rPr>
        <w:t> </w:t>
      </w:r>
      <w:r>
        <w:rPr>
          <w:sz w:val="24"/>
        </w:rPr>
        <w:t>and</w:t>
      </w:r>
      <w:r>
        <w:rPr>
          <w:spacing w:val="-4"/>
          <w:sz w:val="24"/>
        </w:rPr>
        <w:t> </w:t>
      </w:r>
      <w:r>
        <w:rPr>
          <w:sz w:val="24"/>
        </w:rPr>
        <w:t>complex</w:t>
      </w:r>
      <w:r>
        <w:rPr>
          <w:spacing w:val="-4"/>
          <w:sz w:val="24"/>
        </w:rPr>
        <w:t> </w:t>
      </w:r>
      <w:r>
        <w:rPr>
          <w:sz w:val="24"/>
        </w:rPr>
        <w:t>or</w:t>
      </w:r>
      <w:r>
        <w:rPr>
          <w:spacing w:val="-3"/>
          <w:sz w:val="24"/>
        </w:rPr>
        <w:t> </w:t>
      </w:r>
      <w:r>
        <w:rPr>
          <w:sz w:val="24"/>
        </w:rPr>
        <w:t>unusual</w:t>
      </w:r>
      <w:r>
        <w:rPr>
          <w:spacing w:val="-4"/>
          <w:sz w:val="24"/>
        </w:rPr>
        <w:t> </w:t>
      </w:r>
      <w:r>
        <w:rPr>
          <w:sz w:val="24"/>
        </w:rPr>
        <w:t>medical</w:t>
      </w:r>
      <w:r>
        <w:rPr>
          <w:spacing w:val="-4"/>
          <w:sz w:val="24"/>
        </w:rPr>
        <w:t> </w:t>
      </w:r>
      <w:r>
        <w:rPr>
          <w:sz w:val="24"/>
        </w:rPr>
        <w:t>treatment</w:t>
      </w:r>
      <w:r>
        <w:rPr>
          <w:spacing w:val="-3"/>
          <w:sz w:val="24"/>
        </w:rPr>
        <w:t> </w:t>
      </w:r>
      <w:r>
        <w:rPr>
          <w:sz w:val="24"/>
        </w:rPr>
        <w:t>may</w:t>
      </w:r>
      <w:r>
        <w:rPr>
          <w:spacing w:val="-4"/>
          <w:sz w:val="24"/>
        </w:rPr>
        <w:t> </w:t>
      </w:r>
      <w:r>
        <w:rPr>
          <w:sz w:val="24"/>
        </w:rPr>
        <w:t>be</w:t>
      </w:r>
      <w:r>
        <w:rPr>
          <w:spacing w:val="-4"/>
          <w:sz w:val="24"/>
        </w:rPr>
        <w:t> </w:t>
      </w:r>
      <w:r>
        <w:rPr>
          <w:sz w:val="24"/>
        </w:rPr>
        <w:t>provided</w:t>
      </w:r>
      <w:r>
        <w:rPr>
          <w:spacing w:val="-4"/>
          <w:sz w:val="24"/>
        </w:rPr>
        <w:t> </w:t>
      </w:r>
      <w:r>
        <w:rPr>
          <w:sz w:val="24"/>
        </w:rPr>
        <w:t>when recommended by a specialist. Medical consultant approval will be obtained prior to planning and authorizing a diagnostic procedure which could lead to immediate surgical treatment. The medical consultant will give conditional approval for the possible surgery if deemed necessary. Normal post-operative</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1350" w:right="739"/>
      </w:pPr>
      <w:r>
        <w:rPr/>
        <w:t>care</w:t>
      </w:r>
      <w:r>
        <w:rPr>
          <w:spacing w:val="-4"/>
        </w:rPr>
        <w:t> </w:t>
      </w:r>
      <w:r>
        <w:rPr/>
        <w:t>is</w:t>
      </w:r>
      <w:r>
        <w:rPr>
          <w:spacing w:val="-4"/>
        </w:rPr>
        <w:t> </w:t>
      </w:r>
      <w:r>
        <w:rPr/>
        <w:t>an</w:t>
      </w:r>
      <w:r>
        <w:rPr>
          <w:spacing w:val="-4"/>
        </w:rPr>
        <w:t> </w:t>
      </w:r>
      <w:r>
        <w:rPr/>
        <w:t>integral</w:t>
      </w:r>
      <w:r>
        <w:rPr>
          <w:spacing w:val="-4"/>
        </w:rPr>
        <w:t> </w:t>
      </w:r>
      <w:r>
        <w:rPr/>
        <w:t>part</w:t>
      </w:r>
      <w:r>
        <w:rPr>
          <w:spacing w:val="-3"/>
        </w:rPr>
        <w:t> </w:t>
      </w:r>
      <w:r>
        <w:rPr/>
        <w:t>of</w:t>
      </w:r>
      <w:r>
        <w:rPr>
          <w:spacing w:val="-5"/>
        </w:rPr>
        <w:t> </w:t>
      </w:r>
      <w:r>
        <w:rPr/>
        <w:t>the</w:t>
      </w:r>
      <w:r>
        <w:rPr>
          <w:spacing w:val="-4"/>
        </w:rPr>
        <w:t> </w:t>
      </w:r>
      <w:r>
        <w:rPr/>
        <w:t>surgery;</w:t>
      </w:r>
      <w:r>
        <w:rPr>
          <w:spacing w:val="-3"/>
        </w:rPr>
        <w:t> </w:t>
      </w:r>
      <w:r>
        <w:rPr/>
        <w:t>therefore,</w:t>
      </w:r>
      <w:r>
        <w:rPr>
          <w:spacing w:val="-3"/>
        </w:rPr>
        <w:t> </w:t>
      </w:r>
      <w:r>
        <w:rPr/>
        <w:t>no</w:t>
      </w:r>
      <w:r>
        <w:rPr>
          <w:spacing w:val="-4"/>
        </w:rPr>
        <w:t> </w:t>
      </w:r>
      <w:r>
        <w:rPr/>
        <w:t>post-operative</w:t>
      </w:r>
      <w:r>
        <w:rPr>
          <w:spacing w:val="-4"/>
        </w:rPr>
        <w:t> </w:t>
      </w:r>
      <w:r>
        <w:rPr/>
        <w:t>charges</w:t>
      </w:r>
      <w:r>
        <w:rPr>
          <w:spacing w:val="-4"/>
        </w:rPr>
        <w:t> </w:t>
      </w:r>
      <w:r>
        <w:rPr/>
        <w:t>are to be paid above the approved surgical fee.</w:t>
      </w:r>
    </w:p>
    <w:p>
      <w:pPr>
        <w:pStyle w:val="ListParagraph"/>
        <w:numPr>
          <w:ilvl w:val="2"/>
          <w:numId w:val="164"/>
        </w:numPr>
        <w:tabs>
          <w:tab w:pos="1802" w:val="left" w:leader="none"/>
        </w:tabs>
        <w:spacing w:line="208" w:lineRule="auto" w:before="240" w:after="0"/>
        <w:ind w:left="1349" w:right="1177" w:firstLine="0"/>
        <w:jc w:val="left"/>
        <w:rPr>
          <w:sz w:val="24"/>
        </w:rPr>
      </w:pPr>
      <w:r>
        <w:rPr>
          <w:sz w:val="24"/>
        </w:rPr>
        <w:t>Specified outpatient surgical services are approved for payment when provided</w:t>
      </w:r>
      <w:r>
        <w:rPr>
          <w:spacing w:val="-4"/>
          <w:sz w:val="24"/>
        </w:rPr>
        <w:t> </w:t>
      </w:r>
      <w:r>
        <w:rPr>
          <w:sz w:val="24"/>
        </w:rPr>
        <w:t>in</w:t>
      </w:r>
      <w:r>
        <w:rPr>
          <w:spacing w:val="-3"/>
          <w:sz w:val="24"/>
        </w:rPr>
        <w:t> </w:t>
      </w:r>
      <w:r>
        <w:rPr>
          <w:sz w:val="24"/>
        </w:rPr>
        <w:t>qualified</w:t>
      </w:r>
      <w:r>
        <w:rPr>
          <w:spacing w:val="-4"/>
          <w:sz w:val="24"/>
        </w:rPr>
        <w:t> </w:t>
      </w:r>
      <w:r>
        <w:rPr>
          <w:sz w:val="24"/>
        </w:rPr>
        <w:t>outpatient</w:t>
      </w:r>
      <w:r>
        <w:rPr>
          <w:spacing w:val="-3"/>
          <w:sz w:val="24"/>
        </w:rPr>
        <w:t> </w:t>
      </w:r>
      <w:r>
        <w:rPr>
          <w:sz w:val="24"/>
        </w:rPr>
        <w:t>surgical</w:t>
      </w:r>
      <w:r>
        <w:rPr>
          <w:spacing w:val="-4"/>
          <w:sz w:val="24"/>
        </w:rPr>
        <w:t> </w:t>
      </w:r>
      <w:r>
        <w:rPr>
          <w:sz w:val="24"/>
        </w:rPr>
        <w:t>facilities.</w:t>
      </w:r>
      <w:r>
        <w:rPr>
          <w:spacing w:val="-3"/>
          <w:sz w:val="24"/>
        </w:rPr>
        <w:t> </w:t>
      </w:r>
      <w:r>
        <w:rPr>
          <w:sz w:val="24"/>
        </w:rPr>
        <w:t>Qualified</w:t>
      </w:r>
      <w:r>
        <w:rPr>
          <w:spacing w:val="-4"/>
          <w:sz w:val="24"/>
        </w:rPr>
        <w:t> </w:t>
      </w:r>
      <w:r>
        <w:rPr>
          <w:sz w:val="24"/>
        </w:rPr>
        <w:t>facilities</w:t>
      </w:r>
      <w:r>
        <w:rPr>
          <w:spacing w:val="-4"/>
          <w:sz w:val="24"/>
        </w:rPr>
        <w:t> </w:t>
      </w:r>
      <w:r>
        <w:rPr>
          <w:sz w:val="24"/>
        </w:rPr>
        <w:t>include Medicare certified free standing ambulatory surgical centers, Medicare certified</w:t>
      </w:r>
      <w:r>
        <w:rPr>
          <w:spacing w:val="-5"/>
          <w:sz w:val="24"/>
        </w:rPr>
        <w:t> </w:t>
      </w:r>
      <w:r>
        <w:rPr>
          <w:sz w:val="24"/>
        </w:rPr>
        <w:t>hospitals</w:t>
      </w:r>
      <w:r>
        <w:rPr>
          <w:spacing w:val="-5"/>
          <w:sz w:val="24"/>
        </w:rPr>
        <w:t> </w:t>
      </w:r>
      <w:r>
        <w:rPr>
          <w:sz w:val="24"/>
        </w:rPr>
        <w:t>offering</w:t>
      </w:r>
      <w:r>
        <w:rPr>
          <w:spacing w:val="-5"/>
          <w:sz w:val="24"/>
        </w:rPr>
        <w:t> </w:t>
      </w:r>
      <w:r>
        <w:rPr>
          <w:sz w:val="24"/>
        </w:rPr>
        <w:t>outpatient</w:t>
      </w:r>
      <w:r>
        <w:rPr>
          <w:spacing w:val="-5"/>
          <w:sz w:val="24"/>
        </w:rPr>
        <w:t> </w:t>
      </w:r>
      <w:r>
        <w:rPr>
          <w:sz w:val="24"/>
        </w:rPr>
        <w:t>surgical</w:t>
      </w:r>
      <w:r>
        <w:rPr>
          <w:spacing w:val="-5"/>
          <w:sz w:val="24"/>
        </w:rPr>
        <w:t> </w:t>
      </w:r>
      <w:r>
        <w:rPr>
          <w:sz w:val="24"/>
        </w:rPr>
        <w:t>services,</w:t>
      </w:r>
      <w:r>
        <w:rPr>
          <w:spacing w:val="-5"/>
          <w:sz w:val="24"/>
        </w:rPr>
        <w:t> </w:t>
      </w:r>
      <w:r>
        <w:rPr>
          <w:sz w:val="24"/>
        </w:rPr>
        <w:t>and</w:t>
      </w:r>
      <w:r>
        <w:rPr>
          <w:spacing w:val="-5"/>
          <w:sz w:val="24"/>
        </w:rPr>
        <w:t> </w:t>
      </w:r>
      <w:r>
        <w:rPr>
          <w:sz w:val="24"/>
        </w:rPr>
        <w:t>hospitals</w:t>
      </w:r>
      <w:r>
        <w:rPr>
          <w:spacing w:val="-5"/>
          <w:sz w:val="24"/>
        </w:rPr>
        <w:t> </w:t>
      </w:r>
      <w:r>
        <w:rPr>
          <w:sz w:val="24"/>
        </w:rPr>
        <w:t>which have an agreement with DRS.</w:t>
      </w:r>
    </w:p>
    <w:p>
      <w:pPr>
        <w:pStyle w:val="ListParagraph"/>
        <w:numPr>
          <w:ilvl w:val="2"/>
          <w:numId w:val="164"/>
        </w:numPr>
        <w:tabs>
          <w:tab w:pos="1816" w:val="left" w:leader="none"/>
        </w:tabs>
        <w:spacing w:line="208" w:lineRule="auto" w:before="239" w:after="0"/>
        <w:ind w:left="1350" w:right="937" w:firstLine="0"/>
        <w:jc w:val="left"/>
        <w:rPr>
          <w:sz w:val="24"/>
        </w:rPr>
      </w:pPr>
      <w:r>
        <w:rPr>
          <w:sz w:val="24"/>
        </w:rPr>
        <w:t>The</w:t>
      </w:r>
      <w:r>
        <w:rPr>
          <w:spacing w:val="-4"/>
          <w:sz w:val="24"/>
        </w:rPr>
        <w:t> </w:t>
      </w:r>
      <w:r>
        <w:rPr>
          <w:sz w:val="24"/>
        </w:rPr>
        <w:t>counselor</w:t>
      </w:r>
      <w:r>
        <w:rPr>
          <w:spacing w:val="-3"/>
          <w:sz w:val="24"/>
        </w:rPr>
        <w:t> </w:t>
      </w:r>
      <w:r>
        <w:rPr>
          <w:sz w:val="24"/>
        </w:rPr>
        <w:t>will</w:t>
      </w:r>
      <w:r>
        <w:rPr>
          <w:spacing w:val="-3"/>
          <w:sz w:val="24"/>
        </w:rPr>
        <w:t> </w:t>
      </w:r>
      <w:r>
        <w:rPr>
          <w:sz w:val="24"/>
        </w:rPr>
        <w:t>advise</w:t>
      </w:r>
      <w:r>
        <w:rPr>
          <w:spacing w:val="-4"/>
          <w:sz w:val="24"/>
        </w:rPr>
        <w:t> </w:t>
      </w:r>
      <w:r>
        <w:rPr>
          <w:sz w:val="24"/>
        </w:rPr>
        <w:t>the</w:t>
      </w:r>
      <w:r>
        <w:rPr>
          <w:spacing w:val="-4"/>
          <w:sz w:val="24"/>
        </w:rPr>
        <w:t> </w:t>
      </w:r>
      <w:r>
        <w:rPr>
          <w:sz w:val="24"/>
        </w:rPr>
        <w:t>client</w:t>
      </w:r>
      <w:r>
        <w:rPr>
          <w:spacing w:val="-3"/>
          <w:sz w:val="24"/>
        </w:rPr>
        <w:t> </w:t>
      </w:r>
      <w:r>
        <w:rPr>
          <w:sz w:val="24"/>
        </w:rPr>
        <w:t>he/she</w:t>
      </w:r>
      <w:r>
        <w:rPr>
          <w:spacing w:val="-4"/>
          <w:sz w:val="24"/>
        </w:rPr>
        <w:t> </w:t>
      </w:r>
      <w:r>
        <w:rPr>
          <w:sz w:val="24"/>
        </w:rPr>
        <w:t>may</w:t>
      </w:r>
      <w:r>
        <w:rPr>
          <w:spacing w:val="-4"/>
          <w:sz w:val="24"/>
        </w:rPr>
        <w:t> </w:t>
      </w:r>
      <w:r>
        <w:rPr>
          <w:sz w:val="24"/>
        </w:rPr>
        <w:t>be</w:t>
      </w:r>
      <w:r>
        <w:rPr>
          <w:spacing w:val="-4"/>
          <w:sz w:val="24"/>
        </w:rPr>
        <w:t> </w:t>
      </w:r>
      <w:r>
        <w:rPr>
          <w:sz w:val="24"/>
        </w:rPr>
        <w:t>liable</w:t>
      </w:r>
      <w:r>
        <w:rPr>
          <w:spacing w:val="-4"/>
          <w:sz w:val="24"/>
        </w:rPr>
        <w:t> </w:t>
      </w:r>
      <w:r>
        <w:rPr>
          <w:sz w:val="24"/>
        </w:rPr>
        <w:t>for</w:t>
      </w:r>
      <w:r>
        <w:rPr>
          <w:spacing w:val="-3"/>
          <w:sz w:val="24"/>
        </w:rPr>
        <w:t> </w:t>
      </w:r>
      <w:r>
        <w:rPr>
          <w:sz w:val="24"/>
        </w:rPr>
        <w:t>any</w:t>
      </w:r>
      <w:r>
        <w:rPr>
          <w:spacing w:val="-4"/>
          <w:sz w:val="24"/>
        </w:rPr>
        <w:t> </w:t>
      </w:r>
      <w:r>
        <w:rPr>
          <w:sz w:val="24"/>
        </w:rPr>
        <w:t>balance due when payment by private insurance exceeds the Department allowable </w:t>
      </w:r>
      <w:r>
        <w:rPr>
          <w:spacing w:val="-2"/>
          <w:sz w:val="24"/>
        </w:rPr>
        <w:t>rate.</w:t>
      </w:r>
    </w:p>
    <w:p>
      <w:pPr>
        <w:pStyle w:val="ListParagraph"/>
        <w:numPr>
          <w:ilvl w:val="1"/>
          <w:numId w:val="164"/>
        </w:numPr>
        <w:tabs>
          <w:tab w:pos="1350" w:val="left" w:leader="none"/>
        </w:tabs>
        <w:spacing w:line="208" w:lineRule="auto" w:before="240" w:after="0"/>
        <w:ind w:left="791" w:right="759" w:firstLine="0"/>
        <w:jc w:val="left"/>
        <w:rPr>
          <w:b/>
          <w:sz w:val="24"/>
        </w:rPr>
      </w:pPr>
      <w:r>
        <w:rPr>
          <w:sz w:val="24"/>
        </w:rPr>
        <w:t>Weight loss treatment. A weight loss plan or treatment are included as a service in the IPE for individuals who are eligible on the basis of obesity. A licensed dietician or a physician skilled in weight reduction must monitor any treatment program authorized by the agency. Surgery for weight loss is not provided unless medically recommended as treatment for morbid obesity, a second confirming medical</w:t>
      </w:r>
      <w:r>
        <w:rPr>
          <w:spacing w:val="-4"/>
          <w:sz w:val="24"/>
        </w:rPr>
        <w:t> </w:t>
      </w:r>
      <w:r>
        <w:rPr>
          <w:sz w:val="24"/>
        </w:rPr>
        <w:t>opinion</w:t>
      </w:r>
      <w:r>
        <w:rPr>
          <w:spacing w:val="-4"/>
          <w:sz w:val="24"/>
        </w:rPr>
        <w:t> </w:t>
      </w:r>
      <w:r>
        <w:rPr>
          <w:sz w:val="24"/>
        </w:rPr>
        <w:t>is</w:t>
      </w:r>
      <w:r>
        <w:rPr>
          <w:spacing w:val="-4"/>
          <w:sz w:val="24"/>
        </w:rPr>
        <w:t> </w:t>
      </w:r>
      <w:r>
        <w:rPr>
          <w:sz w:val="24"/>
        </w:rPr>
        <w:t>obtained,</w:t>
      </w:r>
      <w:r>
        <w:rPr>
          <w:spacing w:val="-3"/>
          <w:sz w:val="24"/>
        </w:rPr>
        <w:t> </w:t>
      </w:r>
      <w:r>
        <w:rPr>
          <w:sz w:val="24"/>
        </w:rPr>
        <w:t>the</w:t>
      </w:r>
      <w:r>
        <w:rPr>
          <w:spacing w:val="-4"/>
          <w:sz w:val="24"/>
        </w:rPr>
        <w:t> </w:t>
      </w:r>
      <w:r>
        <w:rPr>
          <w:sz w:val="24"/>
        </w:rPr>
        <w:t>surgery</w:t>
      </w:r>
      <w:r>
        <w:rPr>
          <w:spacing w:val="-4"/>
          <w:sz w:val="24"/>
        </w:rPr>
        <w:t> </w:t>
      </w:r>
      <w:r>
        <w:rPr>
          <w:sz w:val="24"/>
        </w:rPr>
        <w:t>is</w:t>
      </w:r>
      <w:r>
        <w:rPr>
          <w:spacing w:val="-4"/>
          <w:sz w:val="24"/>
        </w:rPr>
        <w:t> </w:t>
      </w:r>
      <w:r>
        <w:rPr>
          <w:sz w:val="24"/>
        </w:rPr>
        <w:t>approved</w:t>
      </w:r>
      <w:r>
        <w:rPr>
          <w:spacing w:val="-4"/>
          <w:sz w:val="24"/>
        </w:rPr>
        <w:t> </w:t>
      </w:r>
      <w:r>
        <w:rPr>
          <w:sz w:val="24"/>
        </w:rPr>
        <w:t>by</w:t>
      </w:r>
      <w:r>
        <w:rPr>
          <w:spacing w:val="-3"/>
          <w:sz w:val="24"/>
        </w:rPr>
        <w:t> </w:t>
      </w:r>
      <w:r>
        <w:rPr>
          <w:sz w:val="24"/>
        </w:rPr>
        <w:t>the</w:t>
      </w:r>
      <w:r>
        <w:rPr>
          <w:spacing w:val="-4"/>
          <w:sz w:val="24"/>
        </w:rPr>
        <w:t> </w:t>
      </w:r>
      <w:r>
        <w:rPr>
          <w:sz w:val="24"/>
        </w:rPr>
        <w:t>DRS</w:t>
      </w:r>
      <w:r>
        <w:rPr>
          <w:spacing w:val="-4"/>
          <w:sz w:val="24"/>
        </w:rPr>
        <w:t> </w:t>
      </w:r>
      <w:r>
        <w:rPr>
          <w:sz w:val="24"/>
        </w:rPr>
        <w:t>medical</w:t>
      </w:r>
      <w:r>
        <w:rPr>
          <w:spacing w:val="-4"/>
          <w:sz w:val="24"/>
        </w:rPr>
        <w:t> </w:t>
      </w:r>
      <w:r>
        <w:rPr>
          <w:sz w:val="24"/>
        </w:rPr>
        <w:t>consultant and supervisory approval is obtained. Before approving DRS provision of surgery for treatment of morbid obesity, the supervisor shall consider the individual's past experience with standard weight loss protocols, and medical and behavioral factors that may impact the individual's ability to obtain long-term benefit from the surgery. </w:t>
      </w:r>
      <w:r>
        <w:rPr>
          <w:b/>
          <w:spacing w:val="-10"/>
          <w:sz w:val="24"/>
        </w:rPr>
        <w:t>9</w:t>
      </w:r>
    </w:p>
    <w:p>
      <w:pPr>
        <w:pStyle w:val="ListParagraph"/>
        <w:numPr>
          <w:ilvl w:val="1"/>
          <w:numId w:val="164"/>
        </w:numPr>
        <w:tabs>
          <w:tab w:pos="1350" w:val="left" w:leader="none"/>
        </w:tabs>
        <w:spacing w:line="208" w:lineRule="auto" w:before="239" w:after="0"/>
        <w:ind w:left="791" w:right="1226" w:firstLine="0"/>
        <w:jc w:val="left"/>
        <w:rPr>
          <w:sz w:val="24"/>
        </w:rPr>
      </w:pPr>
      <w:r>
        <w:rPr>
          <w:sz w:val="24"/>
        </w:rPr>
        <w:t>Wheelchairs and other durable medical equipment when prescribed by a physician or recommended by an occupational therapist, physical therapist, assistive technology specialist or person with equivalent qualifications. Power mobility</w:t>
      </w:r>
      <w:r>
        <w:rPr>
          <w:spacing w:val="-4"/>
          <w:sz w:val="24"/>
        </w:rPr>
        <w:t> </w:t>
      </w:r>
      <w:r>
        <w:rPr>
          <w:sz w:val="24"/>
        </w:rPr>
        <w:t>devices</w:t>
      </w:r>
      <w:r>
        <w:rPr>
          <w:spacing w:val="-4"/>
          <w:sz w:val="24"/>
        </w:rPr>
        <w:t> </w:t>
      </w:r>
      <w:r>
        <w:rPr>
          <w:sz w:val="24"/>
        </w:rPr>
        <w:t>may</w:t>
      </w:r>
      <w:r>
        <w:rPr>
          <w:spacing w:val="-4"/>
          <w:sz w:val="24"/>
        </w:rPr>
        <w:t> </w:t>
      </w:r>
      <w:r>
        <w:rPr>
          <w:sz w:val="24"/>
        </w:rPr>
        <w:t>be</w:t>
      </w:r>
      <w:r>
        <w:rPr>
          <w:spacing w:val="-4"/>
          <w:sz w:val="24"/>
        </w:rPr>
        <w:t> </w:t>
      </w:r>
      <w:r>
        <w:rPr>
          <w:sz w:val="24"/>
        </w:rPr>
        <w:t>purchased</w:t>
      </w:r>
      <w:r>
        <w:rPr>
          <w:spacing w:val="-4"/>
          <w:sz w:val="24"/>
        </w:rPr>
        <w:t> </w:t>
      </w:r>
      <w:r>
        <w:rPr>
          <w:sz w:val="24"/>
        </w:rPr>
        <w:t>for</w:t>
      </w:r>
      <w:r>
        <w:rPr>
          <w:spacing w:val="-3"/>
          <w:sz w:val="24"/>
        </w:rPr>
        <w:t> </w:t>
      </w:r>
      <w:r>
        <w:rPr>
          <w:sz w:val="24"/>
        </w:rPr>
        <w:t>individuals</w:t>
      </w:r>
      <w:r>
        <w:rPr>
          <w:spacing w:val="-4"/>
          <w:sz w:val="24"/>
        </w:rPr>
        <w:t> </w:t>
      </w:r>
      <w:r>
        <w:rPr>
          <w:sz w:val="24"/>
        </w:rPr>
        <w:t>when</w:t>
      </w:r>
      <w:r>
        <w:rPr>
          <w:spacing w:val="-3"/>
          <w:sz w:val="24"/>
        </w:rPr>
        <w:t> </w:t>
      </w:r>
      <w:r>
        <w:rPr>
          <w:sz w:val="24"/>
        </w:rPr>
        <w:t>necessary</w:t>
      </w:r>
      <w:r>
        <w:rPr>
          <w:spacing w:val="-4"/>
          <w:sz w:val="24"/>
        </w:rPr>
        <w:t> </w:t>
      </w:r>
      <w:r>
        <w:rPr>
          <w:sz w:val="24"/>
        </w:rPr>
        <w:t>to</w:t>
      </w:r>
      <w:r>
        <w:rPr>
          <w:spacing w:val="-4"/>
          <w:sz w:val="24"/>
        </w:rPr>
        <w:t> </w:t>
      </w:r>
      <w:r>
        <w:rPr>
          <w:sz w:val="24"/>
        </w:rPr>
        <w:t>assist</w:t>
      </w:r>
      <w:r>
        <w:rPr>
          <w:spacing w:val="-3"/>
          <w:sz w:val="24"/>
        </w:rPr>
        <w:t> </w:t>
      </w:r>
      <w:r>
        <w:rPr>
          <w:sz w:val="24"/>
        </w:rPr>
        <w:t>the client in achieving IPE goals.</w:t>
      </w:r>
    </w:p>
    <w:p>
      <w:pPr>
        <w:pStyle w:val="ListParagraph"/>
        <w:numPr>
          <w:ilvl w:val="2"/>
          <w:numId w:val="164"/>
        </w:numPr>
        <w:tabs>
          <w:tab w:pos="1802" w:val="left" w:leader="none"/>
        </w:tabs>
        <w:spacing w:line="208" w:lineRule="auto" w:before="239" w:after="0"/>
        <w:ind w:left="1349" w:right="857" w:firstLine="0"/>
        <w:jc w:val="left"/>
        <w:rPr>
          <w:sz w:val="24"/>
        </w:rPr>
      </w:pPr>
      <w:r>
        <w:rPr>
          <w:sz w:val="24"/>
        </w:rPr>
        <w:t>The client, and/or client's authorized representative, will participate in choosing</w:t>
      </w:r>
      <w:r>
        <w:rPr>
          <w:spacing w:val="-5"/>
          <w:sz w:val="24"/>
        </w:rPr>
        <w:t> </w:t>
      </w:r>
      <w:r>
        <w:rPr>
          <w:sz w:val="24"/>
        </w:rPr>
        <w:t>from</w:t>
      </w:r>
      <w:r>
        <w:rPr>
          <w:spacing w:val="-4"/>
          <w:sz w:val="24"/>
        </w:rPr>
        <w:t> </w:t>
      </w:r>
      <w:r>
        <w:rPr>
          <w:sz w:val="24"/>
        </w:rPr>
        <w:t>which</w:t>
      </w:r>
      <w:r>
        <w:rPr>
          <w:spacing w:val="-5"/>
          <w:sz w:val="24"/>
        </w:rPr>
        <w:t> </w:t>
      </w:r>
      <w:r>
        <w:rPr>
          <w:sz w:val="24"/>
        </w:rPr>
        <w:t>vendor</w:t>
      </w:r>
      <w:r>
        <w:rPr>
          <w:spacing w:val="-4"/>
          <w:sz w:val="24"/>
        </w:rPr>
        <w:t> </w:t>
      </w:r>
      <w:r>
        <w:rPr>
          <w:sz w:val="24"/>
        </w:rPr>
        <w:t>the</w:t>
      </w:r>
      <w:r>
        <w:rPr>
          <w:spacing w:val="-5"/>
          <w:sz w:val="24"/>
        </w:rPr>
        <w:t> </w:t>
      </w:r>
      <w:r>
        <w:rPr>
          <w:sz w:val="24"/>
        </w:rPr>
        <w:t>wheelchair</w:t>
      </w:r>
      <w:r>
        <w:rPr>
          <w:spacing w:val="-3"/>
          <w:sz w:val="24"/>
        </w:rPr>
        <w:t> </w:t>
      </w:r>
      <w:r>
        <w:rPr>
          <w:sz w:val="24"/>
        </w:rPr>
        <w:t>or</w:t>
      </w:r>
      <w:r>
        <w:rPr>
          <w:spacing w:val="-4"/>
          <w:sz w:val="24"/>
        </w:rPr>
        <w:t> </w:t>
      </w:r>
      <w:r>
        <w:rPr>
          <w:sz w:val="24"/>
        </w:rPr>
        <w:t>durable</w:t>
      </w:r>
      <w:r>
        <w:rPr>
          <w:spacing w:val="-5"/>
          <w:sz w:val="24"/>
        </w:rPr>
        <w:t> </w:t>
      </w:r>
      <w:r>
        <w:rPr>
          <w:sz w:val="24"/>
        </w:rPr>
        <w:t>medical</w:t>
      </w:r>
      <w:r>
        <w:rPr>
          <w:spacing w:val="-5"/>
          <w:sz w:val="24"/>
        </w:rPr>
        <w:t> </w:t>
      </w:r>
      <w:r>
        <w:rPr>
          <w:sz w:val="24"/>
        </w:rPr>
        <w:t>equipment</w:t>
      </w:r>
      <w:r>
        <w:rPr>
          <w:spacing w:val="-4"/>
          <w:sz w:val="24"/>
        </w:rPr>
        <w:t> </w:t>
      </w:r>
      <w:r>
        <w:rPr>
          <w:sz w:val="24"/>
        </w:rPr>
        <w:t>will be purchased. Wheelchairs and other durable medical equipment will be authorized at the agency approved fee.</w:t>
      </w:r>
    </w:p>
    <w:p>
      <w:pPr>
        <w:pStyle w:val="ListParagraph"/>
        <w:numPr>
          <w:ilvl w:val="2"/>
          <w:numId w:val="164"/>
        </w:numPr>
        <w:tabs>
          <w:tab w:pos="1802" w:val="left" w:leader="none"/>
        </w:tabs>
        <w:spacing w:line="208" w:lineRule="auto" w:before="240" w:after="0"/>
        <w:ind w:left="1349" w:right="790" w:firstLine="0"/>
        <w:jc w:val="left"/>
        <w:rPr>
          <w:b/>
          <w:sz w:val="24"/>
        </w:rPr>
      </w:pPr>
      <w:r>
        <w:rPr>
          <w:sz w:val="24"/>
        </w:rPr>
        <w:t>The</w:t>
      </w:r>
      <w:r>
        <w:rPr>
          <w:spacing w:val="-4"/>
          <w:sz w:val="24"/>
        </w:rPr>
        <w:t> </w:t>
      </w:r>
      <w:r>
        <w:rPr>
          <w:sz w:val="24"/>
        </w:rPr>
        <w:t>client,</w:t>
      </w:r>
      <w:r>
        <w:rPr>
          <w:spacing w:val="-3"/>
          <w:sz w:val="24"/>
        </w:rPr>
        <w:t> </w:t>
      </w:r>
      <w:r>
        <w:rPr>
          <w:sz w:val="24"/>
        </w:rPr>
        <w:t>or</w:t>
      </w:r>
      <w:r>
        <w:rPr>
          <w:spacing w:val="-3"/>
          <w:sz w:val="24"/>
        </w:rPr>
        <w:t> </w:t>
      </w:r>
      <w:r>
        <w:rPr>
          <w:sz w:val="24"/>
        </w:rPr>
        <w:t>client's</w:t>
      </w:r>
      <w:r>
        <w:rPr>
          <w:spacing w:val="-4"/>
          <w:sz w:val="24"/>
        </w:rPr>
        <w:t> </w:t>
      </w:r>
      <w:r>
        <w:rPr>
          <w:sz w:val="24"/>
        </w:rPr>
        <w:t>family</w:t>
      </w:r>
      <w:r>
        <w:rPr>
          <w:spacing w:val="-5"/>
          <w:sz w:val="24"/>
        </w:rPr>
        <w:t> </w:t>
      </w:r>
      <w:r>
        <w:rPr>
          <w:sz w:val="24"/>
        </w:rPr>
        <w:t>or</w:t>
      </w:r>
      <w:r>
        <w:rPr>
          <w:spacing w:val="-3"/>
          <w:sz w:val="24"/>
        </w:rPr>
        <w:t> </w:t>
      </w:r>
      <w:r>
        <w:rPr>
          <w:sz w:val="24"/>
        </w:rPr>
        <w:t>authorized</w:t>
      </w:r>
      <w:r>
        <w:rPr>
          <w:spacing w:val="-4"/>
          <w:sz w:val="24"/>
        </w:rPr>
        <w:t> </w:t>
      </w:r>
      <w:r>
        <w:rPr>
          <w:sz w:val="24"/>
        </w:rPr>
        <w:t>representative</w:t>
      </w:r>
      <w:r>
        <w:rPr>
          <w:spacing w:val="-4"/>
          <w:sz w:val="24"/>
        </w:rPr>
        <w:t> </w:t>
      </w:r>
      <w:r>
        <w:rPr>
          <w:sz w:val="24"/>
        </w:rPr>
        <w:t>as</w:t>
      </w:r>
      <w:r>
        <w:rPr>
          <w:spacing w:val="-4"/>
          <w:sz w:val="24"/>
        </w:rPr>
        <w:t> </w:t>
      </w:r>
      <w:r>
        <w:rPr>
          <w:sz w:val="24"/>
        </w:rPr>
        <w:t>appropriate,</w:t>
      </w:r>
      <w:r>
        <w:rPr>
          <w:spacing w:val="-3"/>
          <w:sz w:val="24"/>
        </w:rPr>
        <w:t> </w:t>
      </w:r>
      <w:r>
        <w:rPr>
          <w:sz w:val="24"/>
        </w:rPr>
        <w:t>is responsible</w:t>
      </w:r>
      <w:r>
        <w:rPr>
          <w:spacing w:val="-4"/>
          <w:sz w:val="24"/>
        </w:rPr>
        <w:t> </w:t>
      </w:r>
      <w:r>
        <w:rPr>
          <w:sz w:val="24"/>
        </w:rPr>
        <w:t>for</w:t>
      </w:r>
      <w:r>
        <w:rPr>
          <w:spacing w:val="-6"/>
          <w:sz w:val="24"/>
        </w:rPr>
        <w:t> </w:t>
      </w:r>
      <w:r>
        <w:rPr>
          <w:sz w:val="24"/>
        </w:rPr>
        <w:t>maintaining</w:t>
      </w:r>
      <w:r>
        <w:rPr>
          <w:spacing w:val="-5"/>
          <w:sz w:val="24"/>
        </w:rPr>
        <w:t> </w:t>
      </w:r>
      <w:r>
        <w:rPr>
          <w:sz w:val="24"/>
        </w:rPr>
        <w:t>wheelchairs</w:t>
      </w:r>
      <w:r>
        <w:rPr>
          <w:spacing w:val="-5"/>
          <w:sz w:val="24"/>
        </w:rPr>
        <w:t> </w:t>
      </w:r>
      <w:r>
        <w:rPr>
          <w:sz w:val="24"/>
        </w:rPr>
        <w:t>or</w:t>
      </w:r>
      <w:r>
        <w:rPr>
          <w:spacing w:val="-4"/>
          <w:sz w:val="24"/>
        </w:rPr>
        <w:t> </w:t>
      </w:r>
      <w:r>
        <w:rPr>
          <w:sz w:val="24"/>
        </w:rPr>
        <w:t>other</w:t>
      </w:r>
      <w:r>
        <w:rPr>
          <w:spacing w:val="-4"/>
          <w:sz w:val="24"/>
        </w:rPr>
        <w:t> </w:t>
      </w:r>
      <w:r>
        <w:rPr>
          <w:sz w:val="24"/>
        </w:rPr>
        <w:t>durable</w:t>
      </w:r>
      <w:r>
        <w:rPr>
          <w:spacing w:val="-4"/>
          <w:sz w:val="24"/>
        </w:rPr>
        <w:t> </w:t>
      </w:r>
      <w:r>
        <w:rPr>
          <w:sz w:val="24"/>
        </w:rPr>
        <w:t>medical</w:t>
      </w:r>
      <w:r>
        <w:rPr>
          <w:spacing w:val="-5"/>
          <w:sz w:val="24"/>
        </w:rPr>
        <w:t> </w:t>
      </w:r>
      <w:r>
        <w:rPr>
          <w:sz w:val="24"/>
        </w:rPr>
        <w:t>equipment</w:t>
      </w:r>
      <w:r>
        <w:rPr>
          <w:spacing w:val="-4"/>
          <w:sz w:val="24"/>
        </w:rPr>
        <w:t> </w:t>
      </w:r>
      <w:r>
        <w:rPr>
          <w:sz w:val="24"/>
        </w:rPr>
        <w:t>in good working order. DVR and DSBVI will pay for repairs to wheelchairs or other durable medical equipment during the life of the case unless there is clear evidence the equipment has been damaged due to client abuse or neglect. An agency-purchased wheelchair will be returned to the agency if the client becomes unable to use it. </w:t>
      </w:r>
      <w:r>
        <w:rPr>
          <w:b/>
          <w:sz w:val="24"/>
        </w:rPr>
        <w:t>10</w:t>
      </w:r>
    </w:p>
    <w:p>
      <w:pPr>
        <w:pStyle w:val="ListParagraph"/>
        <w:numPr>
          <w:ilvl w:val="2"/>
          <w:numId w:val="164"/>
        </w:numPr>
        <w:tabs>
          <w:tab w:pos="1815" w:val="left" w:leader="none"/>
        </w:tabs>
        <w:spacing w:line="208" w:lineRule="auto" w:before="239" w:after="0"/>
        <w:ind w:left="1349" w:right="845" w:firstLine="0"/>
        <w:jc w:val="left"/>
        <w:rPr>
          <w:sz w:val="24"/>
        </w:rPr>
      </w:pPr>
      <w:r>
        <w:rPr>
          <w:sz w:val="24"/>
        </w:rPr>
        <w:t>Wheelchair rental may be authorized for a period not to exceed six months</w:t>
      </w:r>
      <w:r>
        <w:rPr>
          <w:spacing w:val="-4"/>
          <w:sz w:val="24"/>
        </w:rPr>
        <w:t> </w:t>
      </w:r>
      <w:r>
        <w:rPr>
          <w:sz w:val="24"/>
        </w:rPr>
        <w:t>when</w:t>
      </w:r>
      <w:r>
        <w:rPr>
          <w:spacing w:val="-4"/>
          <w:sz w:val="24"/>
        </w:rPr>
        <w:t> </w:t>
      </w:r>
      <w:r>
        <w:rPr>
          <w:sz w:val="24"/>
        </w:rPr>
        <w:t>necessary</w:t>
      </w:r>
      <w:r>
        <w:rPr>
          <w:spacing w:val="-4"/>
          <w:sz w:val="24"/>
        </w:rPr>
        <w:t> </w:t>
      </w:r>
      <w:r>
        <w:rPr>
          <w:sz w:val="24"/>
        </w:rPr>
        <w:t>to</w:t>
      </w:r>
      <w:r>
        <w:rPr>
          <w:spacing w:val="-4"/>
          <w:sz w:val="24"/>
        </w:rPr>
        <w:t> </w:t>
      </w:r>
      <w:r>
        <w:rPr>
          <w:sz w:val="24"/>
        </w:rPr>
        <w:t>assist</w:t>
      </w:r>
      <w:r>
        <w:rPr>
          <w:spacing w:val="-6"/>
          <w:sz w:val="24"/>
        </w:rPr>
        <w:t> </w:t>
      </w:r>
      <w:r>
        <w:rPr>
          <w:sz w:val="24"/>
        </w:rPr>
        <w:t>the</w:t>
      </w:r>
      <w:r>
        <w:rPr>
          <w:spacing w:val="-4"/>
          <w:sz w:val="24"/>
        </w:rPr>
        <w:t> </w:t>
      </w:r>
      <w:r>
        <w:rPr>
          <w:sz w:val="24"/>
        </w:rPr>
        <w:t>client</w:t>
      </w:r>
      <w:r>
        <w:rPr>
          <w:spacing w:val="-3"/>
          <w:sz w:val="24"/>
        </w:rPr>
        <w:t> </w:t>
      </w:r>
      <w:r>
        <w:rPr>
          <w:sz w:val="24"/>
        </w:rPr>
        <w:t>with</w:t>
      </w:r>
      <w:r>
        <w:rPr>
          <w:spacing w:val="-4"/>
          <w:sz w:val="24"/>
        </w:rPr>
        <w:t> </w:t>
      </w:r>
      <w:r>
        <w:rPr>
          <w:sz w:val="24"/>
        </w:rPr>
        <w:t>mobility.</w:t>
      </w:r>
      <w:r>
        <w:rPr>
          <w:spacing w:val="-3"/>
          <w:sz w:val="24"/>
        </w:rPr>
        <w:t> </w:t>
      </w:r>
      <w:r>
        <w:rPr>
          <w:sz w:val="24"/>
        </w:rPr>
        <w:t>An</w:t>
      </w:r>
      <w:r>
        <w:rPr>
          <w:spacing w:val="-4"/>
          <w:sz w:val="24"/>
        </w:rPr>
        <w:t> </w:t>
      </w:r>
      <w:r>
        <w:rPr>
          <w:sz w:val="24"/>
        </w:rPr>
        <w:t>exception</w:t>
      </w:r>
      <w:r>
        <w:rPr>
          <w:spacing w:val="-4"/>
          <w:sz w:val="24"/>
        </w:rPr>
        <w:t> </w:t>
      </w:r>
      <w:r>
        <w:rPr>
          <w:sz w:val="24"/>
        </w:rPr>
        <w:t>can</w:t>
      </w:r>
      <w:r>
        <w:rPr>
          <w:spacing w:val="-4"/>
          <w:sz w:val="24"/>
        </w:rPr>
        <w:t> </w:t>
      </w:r>
      <w:r>
        <w:rPr>
          <w:sz w:val="24"/>
        </w:rPr>
        <w:t>be made if it is documented that rental is more cost effective than purchase.</w:t>
      </w:r>
    </w:p>
    <w:p>
      <w:pPr>
        <w:pStyle w:val="BodyText"/>
        <w:spacing w:before="211"/>
        <w:ind w:left="359"/>
      </w:pPr>
      <w:r>
        <w:rPr/>
        <w:t>Instructions</w:t>
      </w:r>
      <w:r>
        <w:rPr>
          <w:spacing w:val="-5"/>
        </w:rPr>
        <w:t> </w:t>
      </w:r>
      <w:r>
        <w:rPr/>
        <w:t>to</w:t>
      </w:r>
      <w:r>
        <w:rPr>
          <w:spacing w:val="-2"/>
        </w:rPr>
        <w:t> </w:t>
      </w:r>
      <w:r>
        <w:rPr>
          <w:spacing w:val="-4"/>
        </w:rPr>
        <w:t>Staff</w:t>
      </w:r>
    </w:p>
    <w:p>
      <w:pPr>
        <w:pStyle w:val="ListParagraph"/>
        <w:numPr>
          <w:ilvl w:val="0"/>
          <w:numId w:val="165"/>
        </w:numPr>
        <w:tabs>
          <w:tab w:pos="1077" w:val="left" w:leader="none"/>
        </w:tabs>
        <w:spacing w:line="240" w:lineRule="auto" w:before="204" w:after="0"/>
        <w:ind w:left="1077" w:right="0" w:hanging="286"/>
        <w:jc w:val="left"/>
        <w:rPr>
          <w:sz w:val="24"/>
        </w:rPr>
      </w:pPr>
      <w:hyperlink w:history="true" w:anchor="_bookmark20">
        <w:r>
          <w:rPr>
            <w:color w:val="0000FF"/>
            <w:sz w:val="24"/>
            <w:u w:val="single" w:color="0000FF"/>
          </w:rPr>
          <w:t>612:10-7-98(f)(8)</w:t>
        </w:r>
      </w:hyperlink>
      <w:r>
        <w:rPr>
          <w:color w:val="0000FF"/>
          <w:spacing w:val="-8"/>
          <w:sz w:val="24"/>
          <w:u w:val="none"/>
        </w:rPr>
        <w:t> </w:t>
      </w:r>
      <w:r>
        <w:rPr>
          <w:sz w:val="24"/>
          <w:u w:val="none"/>
        </w:rPr>
        <w:t>Intercurrent</w:t>
      </w:r>
      <w:r>
        <w:rPr>
          <w:spacing w:val="-7"/>
          <w:sz w:val="24"/>
          <w:u w:val="none"/>
        </w:rPr>
        <w:t> </w:t>
      </w:r>
      <w:r>
        <w:rPr>
          <w:spacing w:val="-2"/>
          <w:sz w:val="24"/>
          <w:u w:val="none"/>
        </w:rPr>
        <w:t>illness</w:t>
      </w:r>
    </w:p>
    <w:p>
      <w:pPr>
        <w:pStyle w:val="ListParagraph"/>
        <w:numPr>
          <w:ilvl w:val="0"/>
          <w:numId w:val="165"/>
        </w:numPr>
        <w:tabs>
          <w:tab w:pos="1144" w:val="left" w:leader="none"/>
        </w:tabs>
        <w:spacing w:line="240" w:lineRule="auto" w:before="204" w:after="0"/>
        <w:ind w:left="1144" w:right="0" w:hanging="353"/>
        <w:jc w:val="left"/>
        <w:rPr>
          <w:sz w:val="24"/>
        </w:rPr>
      </w:pPr>
      <w:hyperlink w:history="true" w:anchor="_bookmark5">
        <w:r>
          <w:rPr>
            <w:color w:val="0000FF"/>
            <w:sz w:val="24"/>
            <w:u w:val="single" w:color="0000FF"/>
          </w:rPr>
          <w:t>612:10-3-2</w:t>
        </w:r>
      </w:hyperlink>
      <w:r>
        <w:rPr>
          <w:color w:val="0000FF"/>
          <w:spacing w:val="-7"/>
          <w:sz w:val="24"/>
          <w:u w:val="none"/>
        </w:rPr>
        <w:t> </w:t>
      </w:r>
      <w:r>
        <w:rPr>
          <w:sz w:val="24"/>
          <w:u w:val="none"/>
        </w:rPr>
        <w:t>Consideration</w:t>
      </w:r>
      <w:r>
        <w:rPr>
          <w:spacing w:val="-4"/>
          <w:sz w:val="24"/>
          <w:u w:val="none"/>
        </w:rPr>
        <w:t> </w:t>
      </w:r>
      <w:r>
        <w:rPr>
          <w:sz w:val="24"/>
          <w:u w:val="none"/>
        </w:rPr>
        <w:t>of</w:t>
      </w:r>
      <w:r>
        <w:rPr>
          <w:spacing w:val="-3"/>
          <w:sz w:val="24"/>
          <w:u w:val="none"/>
        </w:rPr>
        <w:t> </w:t>
      </w:r>
      <w:r>
        <w:rPr>
          <w:sz w:val="24"/>
          <w:u w:val="none"/>
        </w:rPr>
        <w:t>comparable</w:t>
      </w:r>
      <w:r>
        <w:rPr>
          <w:spacing w:val="-4"/>
          <w:sz w:val="24"/>
          <w:u w:val="none"/>
        </w:rPr>
        <w:t> </w:t>
      </w:r>
      <w:r>
        <w:rPr>
          <w:sz w:val="24"/>
          <w:u w:val="none"/>
        </w:rPr>
        <w:t>services</w:t>
      </w:r>
      <w:r>
        <w:rPr>
          <w:spacing w:val="-4"/>
          <w:sz w:val="24"/>
          <w:u w:val="none"/>
        </w:rPr>
        <w:t> </w:t>
      </w:r>
      <w:r>
        <w:rPr>
          <w:sz w:val="24"/>
          <w:u w:val="none"/>
        </w:rPr>
        <w:t>and</w:t>
      </w:r>
      <w:r>
        <w:rPr>
          <w:spacing w:val="-4"/>
          <w:sz w:val="24"/>
          <w:u w:val="none"/>
        </w:rPr>
        <w:t> </w:t>
      </w:r>
      <w:r>
        <w:rPr>
          <w:spacing w:val="-2"/>
          <w:sz w:val="24"/>
          <w:u w:val="none"/>
        </w:rPr>
        <w:t>benefits</w:t>
      </w:r>
    </w:p>
    <w:p>
      <w:pPr>
        <w:pStyle w:val="ListParagraph"/>
        <w:spacing w:after="0" w:line="240" w:lineRule="auto"/>
        <w:jc w:val="left"/>
        <w:rPr>
          <w:sz w:val="24"/>
        </w:rPr>
        <w:sectPr>
          <w:pgSz w:w="12240" w:h="15840"/>
          <w:pgMar w:top="1340" w:bottom="280" w:left="1080" w:right="720"/>
        </w:sectPr>
      </w:pPr>
    </w:p>
    <w:p>
      <w:pPr>
        <w:pStyle w:val="ListParagraph"/>
        <w:numPr>
          <w:ilvl w:val="0"/>
          <w:numId w:val="165"/>
        </w:numPr>
        <w:tabs>
          <w:tab w:pos="1057" w:val="left" w:leader="none"/>
        </w:tabs>
        <w:spacing w:line="240" w:lineRule="auto" w:before="67" w:after="0"/>
        <w:ind w:left="1057" w:right="0" w:hanging="266"/>
        <w:jc w:val="left"/>
        <w:rPr>
          <w:sz w:val="24"/>
        </w:rPr>
      </w:pPr>
      <w:r>
        <w:rPr>
          <w:sz w:val="24"/>
        </w:rPr>
        <w:t>See</w:t>
      </w:r>
      <w:r>
        <w:rPr>
          <w:spacing w:val="60"/>
          <w:sz w:val="24"/>
        </w:rPr>
        <w:t> </w:t>
      </w:r>
      <w:hyperlink w:history="true" w:anchor="_bookmark24">
        <w:r>
          <w:rPr>
            <w:color w:val="0000FF"/>
            <w:sz w:val="24"/>
            <w:u w:val="single" w:color="0000FF"/>
          </w:rPr>
          <w:t>612:10-7-164</w:t>
        </w:r>
        <w:r>
          <w:rPr>
            <w:color w:val="0000FF"/>
            <w:spacing w:val="-4"/>
            <w:sz w:val="24"/>
            <w:u w:val="single" w:color="0000FF"/>
          </w:rPr>
          <w:t> </w:t>
        </w:r>
        <w:r>
          <w:rPr>
            <w:color w:val="0000FF"/>
            <w:sz w:val="24"/>
            <w:u w:val="single" w:color="0000FF"/>
          </w:rPr>
          <w:t>Personal</w:t>
        </w:r>
        <w:r>
          <w:rPr>
            <w:color w:val="0000FF"/>
            <w:spacing w:val="-3"/>
            <w:sz w:val="24"/>
            <w:u w:val="single" w:color="0000FF"/>
          </w:rPr>
          <w:t> </w:t>
        </w:r>
        <w:r>
          <w:rPr>
            <w:color w:val="0000FF"/>
            <w:sz w:val="24"/>
            <w:u w:val="single" w:color="0000FF"/>
          </w:rPr>
          <w:t>and</w:t>
        </w:r>
        <w:r>
          <w:rPr>
            <w:color w:val="0000FF"/>
            <w:spacing w:val="-3"/>
            <w:sz w:val="24"/>
            <w:u w:val="single" w:color="0000FF"/>
          </w:rPr>
          <w:t> </w:t>
        </w:r>
        <w:r>
          <w:rPr>
            <w:color w:val="0000FF"/>
            <w:sz w:val="24"/>
            <w:u w:val="single" w:color="0000FF"/>
          </w:rPr>
          <w:t>work</w:t>
        </w:r>
        <w:r>
          <w:rPr>
            <w:color w:val="0000FF"/>
            <w:spacing w:val="-3"/>
            <w:sz w:val="24"/>
            <w:u w:val="single" w:color="0000FF"/>
          </w:rPr>
          <w:t> </w:t>
        </w:r>
        <w:r>
          <w:rPr>
            <w:color w:val="0000FF"/>
            <w:sz w:val="24"/>
            <w:u w:val="single" w:color="0000FF"/>
          </w:rPr>
          <w:t>adjustment</w:t>
        </w:r>
        <w:r>
          <w:rPr>
            <w:color w:val="0000FF"/>
            <w:spacing w:val="-3"/>
            <w:sz w:val="24"/>
            <w:u w:val="single" w:color="0000FF"/>
          </w:rPr>
          <w:t> </w:t>
        </w:r>
        <w:r>
          <w:rPr>
            <w:color w:val="0000FF"/>
            <w:spacing w:val="-2"/>
            <w:sz w:val="24"/>
            <w:u w:val="single" w:color="0000FF"/>
          </w:rPr>
          <w:t>training</w:t>
        </w:r>
      </w:hyperlink>
    </w:p>
    <w:p>
      <w:pPr>
        <w:pStyle w:val="ListParagraph"/>
        <w:numPr>
          <w:ilvl w:val="0"/>
          <w:numId w:val="165"/>
        </w:numPr>
        <w:tabs>
          <w:tab w:pos="1077" w:val="left" w:leader="none"/>
        </w:tabs>
        <w:spacing w:line="208" w:lineRule="auto" w:before="233" w:after="0"/>
        <w:ind w:left="791" w:right="888" w:firstLine="0"/>
        <w:jc w:val="left"/>
        <w:rPr>
          <w:sz w:val="24"/>
        </w:rPr>
      </w:pPr>
      <w:r>
        <w:rPr>
          <w:sz w:val="24"/>
        </w:rPr>
        <w:t>Medicare</w:t>
      </w:r>
      <w:r>
        <w:rPr>
          <w:spacing w:val="-4"/>
          <w:sz w:val="24"/>
        </w:rPr>
        <w:t> </w:t>
      </w:r>
      <w:r>
        <w:rPr>
          <w:sz w:val="24"/>
        </w:rPr>
        <w:t>benefits</w:t>
      </w:r>
      <w:r>
        <w:rPr>
          <w:spacing w:val="-4"/>
          <w:sz w:val="24"/>
        </w:rPr>
        <w:t> </w:t>
      </w:r>
      <w:r>
        <w:rPr>
          <w:sz w:val="24"/>
        </w:rPr>
        <w:t>are</w:t>
      </w:r>
      <w:r>
        <w:rPr>
          <w:spacing w:val="-5"/>
          <w:sz w:val="24"/>
        </w:rPr>
        <w:t> </w:t>
      </w:r>
      <w:r>
        <w:rPr>
          <w:sz w:val="24"/>
        </w:rPr>
        <w:t>available</w:t>
      </w:r>
      <w:r>
        <w:rPr>
          <w:spacing w:val="-4"/>
          <w:sz w:val="24"/>
        </w:rPr>
        <w:t> </w:t>
      </w:r>
      <w:r>
        <w:rPr>
          <w:sz w:val="24"/>
        </w:rPr>
        <w:t>for</w:t>
      </w:r>
      <w:r>
        <w:rPr>
          <w:spacing w:val="-3"/>
          <w:sz w:val="24"/>
        </w:rPr>
        <w:t> </w:t>
      </w:r>
      <w:r>
        <w:rPr>
          <w:sz w:val="24"/>
        </w:rPr>
        <w:t>those</w:t>
      </w:r>
      <w:r>
        <w:rPr>
          <w:spacing w:val="-4"/>
          <w:sz w:val="24"/>
        </w:rPr>
        <w:t> </w:t>
      </w:r>
      <w:r>
        <w:rPr>
          <w:sz w:val="24"/>
        </w:rPr>
        <w:t>clients</w:t>
      </w:r>
      <w:r>
        <w:rPr>
          <w:spacing w:val="-4"/>
          <w:sz w:val="24"/>
        </w:rPr>
        <w:t> </w:t>
      </w:r>
      <w:r>
        <w:rPr>
          <w:sz w:val="24"/>
        </w:rPr>
        <w:t>in</w:t>
      </w:r>
      <w:r>
        <w:rPr>
          <w:spacing w:val="-4"/>
          <w:sz w:val="24"/>
        </w:rPr>
        <w:t> </w:t>
      </w:r>
      <w:r>
        <w:rPr>
          <w:sz w:val="24"/>
        </w:rPr>
        <w:t>need</w:t>
      </w:r>
      <w:r>
        <w:rPr>
          <w:spacing w:val="-4"/>
          <w:sz w:val="24"/>
        </w:rPr>
        <w:t> </w:t>
      </w:r>
      <w:r>
        <w:rPr>
          <w:sz w:val="24"/>
        </w:rPr>
        <w:t>of</w:t>
      </w:r>
      <w:r>
        <w:rPr>
          <w:spacing w:val="-3"/>
          <w:sz w:val="24"/>
        </w:rPr>
        <w:t> </w:t>
      </w:r>
      <w:r>
        <w:rPr>
          <w:sz w:val="24"/>
        </w:rPr>
        <w:t>kidney</w:t>
      </w:r>
      <w:r>
        <w:rPr>
          <w:spacing w:val="-4"/>
          <w:sz w:val="24"/>
        </w:rPr>
        <w:t> </w:t>
      </w:r>
      <w:r>
        <w:rPr>
          <w:sz w:val="24"/>
        </w:rPr>
        <w:t>transplants</w:t>
      </w:r>
      <w:r>
        <w:rPr>
          <w:spacing w:val="-4"/>
          <w:sz w:val="24"/>
        </w:rPr>
        <w:t> </w:t>
      </w:r>
      <w:r>
        <w:rPr>
          <w:sz w:val="24"/>
        </w:rPr>
        <w:t>or dialysis if the individual, spouse or parent has worked and paid FICA taxes for an average of one calendar quarter per year since age 21, regardless of SSDI beneficiary status, income or work activity.</w:t>
      </w:r>
    </w:p>
    <w:p>
      <w:pPr>
        <w:pStyle w:val="ListParagraph"/>
        <w:numPr>
          <w:ilvl w:val="0"/>
          <w:numId w:val="165"/>
        </w:numPr>
        <w:tabs>
          <w:tab w:pos="1078" w:val="left" w:leader="none"/>
          <w:tab w:pos="1080" w:val="left" w:leader="none"/>
        </w:tabs>
        <w:spacing w:line="417" w:lineRule="auto" w:before="210" w:after="0"/>
        <w:ind w:left="1080" w:right="5568" w:hanging="288"/>
        <w:jc w:val="left"/>
        <w:rPr>
          <w:sz w:val="24"/>
        </w:rPr>
      </w:pPr>
      <w:r>
        <w:rPr>
          <w:sz w:val="24"/>
        </w:rPr>
        <w:t>Resources</w:t>
      </w:r>
      <w:r>
        <w:rPr>
          <w:spacing w:val="-12"/>
          <w:sz w:val="24"/>
        </w:rPr>
        <w:t> </w:t>
      </w:r>
      <w:r>
        <w:rPr>
          <w:sz w:val="24"/>
        </w:rPr>
        <w:t>for</w:t>
      </w:r>
      <w:r>
        <w:rPr>
          <w:spacing w:val="-12"/>
          <w:sz w:val="24"/>
        </w:rPr>
        <w:t> </w:t>
      </w:r>
      <w:r>
        <w:rPr>
          <w:sz w:val="24"/>
        </w:rPr>
        <w:t>comparable</w:t>
      </w:r>
      <w:r>
        <w:rPr>
          <w:spacing w:val="-12"/>
          <w:sz w:val="24"/>
        </w:rPr>
        <w:t> </w:t>
      </w:r>
      <w:r>
        <w:rPr>
          <w:sz w:val="24"/>
        </w:rPr>
        <w:t>benefits: Advantage Program</w:t>
      </w:r>
    </w:p>
    <w:p>
      <w:pPr>
        <w:pStyle w:val="BodyText"/>
        <w:spacing w:line="417" w:lineRule="auto" w:before="0"/>
        <w:ind w:left="1079" w:right="2982"/>
      </w:pPr>
      <w:r>
        <w:rPr/>
        <w:t>Prescription</w:t>
      </w:r>
      <w:r>
        <w:rPr>
          <w:spacing w:val="-8"/>
        </w:rPr>
        <w:t> </w:t>
      </w:r>
      <w:r>
        <w:rPr/>
        <w:t>drug</w:t>
      </w:r>
      <w:r>
        <w:rPr>
          <w:spacing w:val="-8"/>
        </w:rPr>
        <w:t> </w:t>
      </w:r>
      <w:r>
        <w:rPr/>
        <w:t>websites</w:t>
      </w:r>
      <w:r>
        <w:rPr>
          <w:spacing w:val="-8"/>
        </w:rPr>
        <w:t> </w:t>
      </w:r>
      <w:r>
        <w:rPr/>
        <w:t>(drug</w:t>
      </w:r>
      <w:r>
        <w:rPr>
          <w:spacing w:val="-9"/>
        </w:rPr>
        <w:t> </w:t>
      </w:r>
      <w:r>
        <w:rPr/>
        <w:t>manufacturer</w:t>
      </w:r>
      <w:r>
        <w:rPr>
          <w:spacing w:val="-7"/>
        </w:rPr>
        <w:t> </w:t>
      </w:r>
      <w:r>
        <w:rPr/>
        <w:t>programs) Tribal medical facilities</w:t>
      </w:r>
    </w:p>
    <w:p>
      <w:pPr>
        <w:pStyle w:val="BodyText"/>
        <w:spacing w:line="276" w:lineRule="exact" w:before="0"/>
        <w:ind w:left="1079"/>
      </w:pPr>
      <w:r>
        <w:rPr/>
        <w:t>Medicare</w:t>
      </w:r>
      <w:r>
        <w:rPr>
          <w:spacing w:val="-3"/>
        </w:rPr>
        <w:t> </w:t>
      </w:r>
      <w:r>
        <w:rPr/>
        <w:t>and</w:t>
      </w:r>
      <w:r>
        <w:rPr>
          <w:spacing w:val="-3"/>
        </w:rPr>
        <w:t> </w:t>
      </w:r>
      <w:r>
        <w:rPr>
          <w:spacing w:val="-2"/>
        </w:rPr>
        <w:t>Medicaid</w:t>
      </w:r>
    </w:p>
    <w:p>
      <w:pPr>
        <w:pStyle w:val="ListParagraph"/>
        <w:numPr>
          <w:ilvl w:val="0"/>
          <w:numId w:val="165"/>
        </w:numPr>
        <w:tabs>
          <w:tab w:pos="1077" w:val="left" w:leader="none"/>
        </w:tabs>
        <w:spacing w:line="208" w:lineRule="auto" w:before="233" w:after="0"/>
        <w:ind w:left="791" w:right="1014" w:firstLine="0"/>
        <w:jc w:val="left"/>
        <w:rPr>
          <w:sz w:val="24"/>
        </w:rPr>
      </w:pPr>
      <w:r>
        <w:rPr>
          <w:sz w:val="24"/>
        </w:rPr>
        <w:t>Normal post-operative</w:t>
      </w:r>
      <w:r>
        <w:rPr>
          <w:spacing w:val="-1"/>
          <w:sz w:val="24"/>
        </w:rPr>
        <w:t> </w:t>
      </w:r>
      <w:r>
        <w:rPr>
          <w:sz w:val="24"/>
        </w:rPr>
        <w:t>care for cataract removal is included in the surgical fee. However, when an ophthalmologist wishes to assign post-operative care of a cataract</w:t>
      </w:r>
      <w:r>
        <w:rPr>
          <w:spacing w:val="-3"/>
          <w:sz w:val="24"/>
        </w:rPr>
        <w:t> </w:t>
      </w:r>
      <w:r>
        <w:rPr>
          <w:sz w:val="24"/>
        </w:rPr>
        <w:t>patient</w:t>
      </w:r>
      <w:r>
        <w:rPr>
          <w:spacing w:val="-3"/>
          <w:sz w:val="24"/>
        </w:rPr>
        <w:t> </w:t>
      </w:r>
      <w:r>
        <w:rPr>
          <w:sz w:val="24"/>
        </w:rPr>
        <w:t>to</w:t>
      </w:r>
      <w:r>
        <w:rPr>
          <w:spacing w:val="-3"/>
          <w:sz w:val="24"/>
        </w:rPr>
        <w:t> </w:t>
      </w:r>
      <w:r>
        <w:rPr>
          <w:sz w:val="24"/>
        </w:rPr>
        <w:t>an</w:t>
      </w:r>
      <w:r>
        <w:rPr>
          <w:spacing w:val="-4"/>
          <w:sz w:val="24"/>
        </w:rPr>
        <w:t> </w:t>
      </w:r>
      <w:r>
        <w:rPr>
          <w:sz w:val="24"/>
        </w:rPr>
        <w:t>optometrist</w:t>
      </w:r>
      <w:r>
        <w:rPr>
          <w:spacing w:val="-4"/>
          <w:sz w:val="24"/>
        </w:rPr>
        <w:t> </w:t>
      </w:r>
      <w:r>
        <w:rPr>
          <w:sz w:val="24"/>
        </w:rPr>
        <w:t>and</w:t>
      </w:r>
      <w:r>
        <w:rPr>
          <w:spacing w:val="-3"/>
          <w:sz w:val="24"/>
        </w:rPr>
        <w:t> </w:t>
      </w:r>
      <w:r>
        <w:rPr>
          <w:sz w:val="24"/>
        </w:rPr>
        <w:t>is</w:t>
      </w:r>
      <w:r>
        <w:rPr>
          <w:spacing w:val="-3"/>
          <w:sz w:val="24"/>
        </w:rPr>
        <w:t> </w:t>
      </w:r>
      <w:r>
        <w:rPr>
          <w:sz w:val="24"/>
        </w:rPr>
        <w:t>willing</w:t>
      </w:r>
      <w:r>
        <w:rPr>
          <w:spacing w:val="-3"/>
          <w:sz w:val="24"/>
        </w:rPr>
        <w:t> </w:t>
      </w:r>
      <w:r>
        <w:rPr>
          <w:sz w:val="24"/>
        </w:rPr>
        <w:t>to</w:t>
      </w:r>
      <w:r>
        <w:rPr>
          <w:spacing w:val="-3"/>
          <w:sz w:val="24"/>
        </w:rPr>
        <w:t> </w:t>
      </w:r>
      <w:r>
        <w:rPr>
          <w:sz w:val="24"/>
        </w:rPr>
        <w:t>accept</w:t>
      </w:r>
      <w:r>
        <w:rPr>
          <w:spacing w:val="-3"/>
          <w:sz w:val="24"/>
        </w:rPr>
        <w:t> </w:t>
      </w:r>
      <w:r>
        <w:rPr>
          <w:sz w:val="24"/>
        </w:rPr>
        <w:t>the</w:t>
      </w:r>
      <w:r>
        <w:rPr>
          <w:spacing w:val="-3"/>
          <w:sz w:val="24"/>
        </w:rPr>
        <w:t> </w:t>
      </w:r>
      <w:r>
        <w:rPr>
          <w:sz w:val="24"/>
        </w:rPr>
        <w:t>reduced</w:t>
      </w:r>
      <w:r>
        <w:rPr>
          <w:spacing w:val="-3"/>
          <w:sz w:val="24"/>
        </w:rPr>
        <w:t> </w:t>
      </w:r>
      <w:r>
        <w:rPr>
          <w:sz w:val="24"/>
        </w:rPr>
        <w:t>payment</w:t>
      </w:r>
      <w:r>
        <w:rPr>
          <w:spacing w:val="-3"/>
          <w:sz w:val="24"/>
        </w:rPr>
        <w:t> </w:t>
      </w:r>
      <w:r>
        <w:rPr>
          <w:sz w:val="24"/>
        </w:rPr>
        <w:t>for his surgical services, the counselor will apply these guidelines:</w:t>
      </w:r>
    </w:p>
    <w:p>
      <w:pPr>
        <w:pStyle w:val="ListParagraph"/>
        <w:numPr>
          <w:ilvl w:val="1"/>
          <w:numId w:val="165"/>
        </w:numPr>
        <w:tabs>
          <w:tab w:pos="1799" w:val="left" w:leader="none"/>
        </w:tabs>
        <w:spacing w:line="240" w:lineRule="auto" w:before="210" w:after="0"/>
        <w:ind w:left="1799" w:right="0" w:hanging="576"/>
        <w:jc w:val="left"/>
        <w:rPr>
          <w:sz w:val="24"/>
        </w:rPr>
      </w:pPr>
      <w:r>
        <w:rPr>
          <w:sz w:val="24"/>
        </w:rPr>
        <w:t>The</w:t>
      </w:r>
      <w:r>
        <w:rPr>
          <w:spacing w:val="-3"/>
          <w:sz w:val="24"/>
        </w:rPr>
        <w:t> </w:t>
      </w:r>
      <w:r>
        <w:rPr>
          <w:sz w:val="24"/>
        </w:rPr>
        <w:t>client</w:t>
      </w:r>
      <w:r>
        <w:rPr>
          <w:spacing w:val="-1"/>
          <w:sz w:val="24"/>
        </w:rPr>
        <w:t> </w:t>
      </w:r>
      <w:r>
        <w:rPr>
          <w:sz w:val="24"/>
        </w:rPr>
        <w:t>is</w:t>
      </w:r>
      <w:r>
        <w:rPr>
          <w:spacing w:val="-3"/>
          <w:sz w:val="24"/>
        </w:rPr>
        <w:t> </w:t>
      </w:r>
      <w:r>
        <w:rPr>
          <w:sz w:val="24"/>
        </w:rPr>
        <w:t>in</w:t>
      </w:r>
      <w:r>
        <w:rPr>
          <w:spacing w:val="-2"/>
          <w:sz w:val="24"/>
        </w:rPr>
        <w:t> </w:t>
      </w:r>
      <w:r>
        <w:rPr>
          <w:sz w:val="24"/>
        </w:rPr>
        <w:t>agreement</w:t>
      </w:r>
      <w:r>
        <w:rPr>
          <w:spacing w:val="-2"/>
          <w:sz w:val="24"/>
        </w:rPr>
        <w:t> </w:t>
      </w:r>
      <w:r>
        <w:rPr>
          <w:sz w:val="24"/>
        </w:rPr>
        <w:t>with</w:t>
      </w:r>
      <w:r>
        <w:rPr>
          <w:spacing w:val="-2"/>
          <w:sz w:val="24"/>
        </w:rPr>
        <w:t> </w:t>
      </w:r>
      <w:r>
        <w:rPr>
          <w:sz w:val="24"/>
        </w:rPr>
        <w:t>the</w:t>
      </w:r>
      <w:r>
        <w:rPr>
          <w:spacing w:val="-2"/>
          <w:sz w:val="24"/>
        </w:rPr>
        <w:t> arrangements.</w:t>
      </w:r>
    </w:p>
    <w:p>
      <w:pPr>
        <w:pStyle w:val="ListParagraph"/>
        <w:numPr>
          <w:ilvl w:val="1"/>
          <w:numId w:val="165"/>
        </w:numPr>
        <w:tabs>
          <w:tab w:pos="1799" w:val="left" w:leader="none"/>
        </w:tabs>
        <w:spacing w:line="208" w:lineRule="auto" w:before="234" w:after="0"/>
        <w:ind w:left="1223" w:right="1018" w:firstLine="0"/>
        <w:jc w:val="left"/>
        <w:rPr>
          <w:sz w:val="24"/>
        </w:rPr>
      </w:pPr>
      <w:r>
        <w:rPr>
          <w:sz w:val="24"/>
        </w:rPr>
        <w:t>Authorizations</w:t>
      </w:r>
      <w:r>
        <w:rPr>
          <w:spacing w:val="-4"/>
          <w:sz w:val="24"/>
        </w:rPr>
        <w:t> </w:t>
      </w:r>
      <w:r>
        <w:rPr>
          <w:sz w:val="24"/>
        </w:rPr>
        <w:t>to</w:t>
      </w:r>
      <w:r>
        <w:rPr>
          <w:spacing w:val="-4"/>
          <w:sz w:val="24"/>
        </w:rPr>
        <w:t> </w:t>
      </w:r>
      <w:r>
        <w:rPr>
          <w:sz w:val="24"/>
        </w:rPr>
        <w:t>the</w:t>
      </w:r>
      <w:r>
        <w:rPr>
          <w:spacing w:val="-5"/>
          <w:sz w:val="24"/>
        </w:rPr>
        <w:t> </w:t>
      </w:r>
      <w:r>
        <w:rPr>
          <w:sz w:val="24"/>
        </w:rPr>
        <w:t>ophthalmologist</w:t>
      </w:r>
      <w:r>
        <w:rPr>
          <w:spacing w:val="-3"/>
          <w:sz w:val="24"/>
        </w:rPr>
        <w:t> </w:t>
      </w:r>
      <w:r>
        <w:rPr>
          <w:sz w:val="24"/>
        </w:rPr>
        <w:t>will</w:t>
      </w:r>
      <w:r>
        <w:rPr>
          <w:spacing w:val="-4"/>
          <w:sz w:val="24"/>
        </w:rPr>
        <w:t> </w:t>
      </w:r>
      <w:r>
        <w:rPr>
          <w:sz w:val="24"/>
        </w:rPr>
        <w:t>be</w:t>
      </w:r>
      <w:r>
        <w:rPr>
          <w:spacing w:val="-4"/>
          <w:sz w:val="24"/>
        </w:rPr>
        <w:t> </w:t>
      </w:r>
      <w:r>
        <w:rPr>
          <w:sz w:val="24"/>
        </w:rPr>
        <w:t>at</w:t>
      </w:r>
      <w:r>
        <w:rPr>
          <w:spacing w:val="-3"/>
          <w:sz w:val="24"/>
        </w:rPr>
        <w:t> </w:t>
      </w:r>
      <w:r>
        <w:rPr>
          <w:sz w:val="24"/>
        </w:rPr>
        <w:t>85%</w:t>
      </w:r>
      <w:r>
        <w:rPr>
          <w:spacing w:val="-4"/>
          <w:sz w:val="24"/>
        </w:rPr>
        <w:t> </w:t>
      </w:r>
      <w:r>
        <w:rPr>
          <w:sz w:val="24"/>
        </w:rPr>
        <w:t>of</w:t>
      </w:r>
      <w:r>
        <w:rPr>
          <w:spacing w:val="-5"/>
          <w:sz w:val="24"/>
        </w:rPr>
        <w:t> </w:t>
      </w:r>
      <w:r>
        <w:rPr>
          <w:sz w:val="24"/>
        </w:rPr>
        <w:t>the</w:t>
      </w:r>
      <w:r>
        <w:rPr>
          <w:spacing w:val="-4"/>
          <w:sz w:val="24"/>
        </w:rPr>
        <w:t> </w:t>
      </w:r>
      <w:r>
        <w:rPr>
          <w:sz w:val="24"/>
        </w:rPr>
        <w:t>approved</w:t>
      </w:r>
      <w:r>
        <w:rPr>
          <w:spacing w:val="-4"/>
          <w:sz w:val="24"/>
        </w:rPr>
        <w:t> </w:t>
      </w:r>
      <w:r>
        <w:rPr>
          <w:sz w:val="24"/>
        </w:rPr>
        <w:t>fee and will identify the optometrist providing the post-operative care.</w:t>
      </w:r>
    </w:p>
    <w:p>
      <w:pPr>
        <w:pStyle w:val="ListParagraph"/>
        <w:numPr>
          <w:ilvl w:val="1"/>
          <w:numId w:val="165"/>
        </w:numPr>
        <w:tabs>
          <w:tab w:pos="1799" w:val="left" w:leader="none"/>
        </w:tabs>
        <w:spacing w:line="208" w:lineRule="auto" w:before="240" w:after="0"/>
        <w:ind w:left="1223" w:right="874" w:firstLine="0"/>
        <w:jc w:val="left"/>
        <w:rPr>
          <w:sz w:val="24"/>
        </w:rPr>
      </w:pPr>
      <w:r>
        <w:rPr>
          <w:sz w:val="24"/>
        </w:rPr>
        <w:t>Authorizations</w:t>
      </w:r>
      <w:r>
        <w:rPr>
          <w:spacing w:val="-3"/>
          <w:sz w:val="24"/>
        </w:rPr>
        <w:t> </w:t>
      </w:r>
      <w:r>
        <w:rPr>
          <w:sz w:val="24"/>
        </w:rPr>
        <w:t>to</w:t>
      </w:r>
      <w:r>
        <w:rPr>
          <w:spacing w:val="-3"/>
          <w:sz w:val="24"/>
        </w:rPr>
        <w:t> </w:t>
      </w:r>
      <w:r>
        <w:rPr>
          <w:sz w:val="24"/>
        </w:rPr>
        <w:t>the</w:t>
      </w:r>
      <w:r>
        <w:rPr>
          <w:spacing w:val="-5"/>
          <w:sz w:val="24"/>
        </w:rPr>
        <w:t> </w:t>
      </w:r>
      <w:r>
        <w:rPr>
          <w:sz w:val="24"/>
        </w:rPr>
        <w:t>optometrist</w:t>
      </w:r>
      <w:r>
        <w:rPr>
          <w:spacing w:val="-4"/>
          <w:sz w:val="24"/>
        </w:rPr>
        <w:t> </w:t>
      </w:r>
      <w:r>
        <w:rPr>
          <w:sz w:val="24"/>
        </w:rPr>
        <w:t>will</w:t>
      </w:r>
      <w:r>
        <w:rPr>
          <w:spacing w:val="-3"/>
          <w:sz w:val="24"/>
        </w:rPr>
        <w:t> </w:t>
      </w:r>
      <w:r>
        <w:rPr>
          <w:sz w:val="24"/>
        </w:rPr>
        <w:t>be</w:t>
      </w:r>
      <w:r>
        <w:rPr>
          <w:spacing w:val="-3"/>
          <w:sz w:val="24"/>
        </w:rPr>
        <w:t> </w:t>
      </w:r>
      <w:r>
        <w:rPr>
          <w:sz w:val="24"/>
        </w:rPr>
        <w:t>limited</w:t>
      </w:r>
      <w:r>
        <w:rPr>
          <w:spacing w:val="-3"/>
          <w:sz w:val="24"/>
        </w:rPr>
        <w:t> </w:t>
      </w:r>
      <w:r>
        <w:rPr>
          <w:sz w:val="24"/>
        </w:rPr>
        <w:t>to</w:t>
      </w:r>
      <w:r>
        <w:rPr>
          <w:spacing w:val="-3"/>
          <w:sz w:val="24"/>
        </w:rPr>
        <w:t> </w:t>
      </w:r>
      <w:r>
        <w:rPr>
          <w:sz w:val="24"/>
        </w:rPr>
        <w:t>no</w:t>
      </w:r>
      <w:r>
        <w:rPr>
          <w:spacing w:val="-3"/>
          <w:sz w:val="24"/>
        </w:rPr>
        <w:t> </w:t>
      </w:r>
      <w:r>
        <w:rPr>
          <w:sz w:val="24"/>
        </w:rPr>
        <w:t>more</w:t>
      </w:r>
      <w:r>
        <w:rPr>
          <w:spacing w:val="-3"/>
          <w:sz w:val="24"/>
        </w:rPr>
        <w:t> </w:t>
      </w:r>
      <w:r>
        <w:rPr>
          <w:sz w:val="24"/>
        </w:rPr>
        <w:t>than</w:t>
      </w:r>
      <w:r>
        <w:rPr>
          <w:spacing w:val="-3"/>
          <w:sz w:val="24"/>
        </w:rPr>
        <w:t> </w:t>
      </w:r>
      <w:r>
        <w:rPr>
          <w:sz w:val="24"/>
        </w:rPr>
        <w:t>four</w:t>
      </w:r>
      <w:r>
        <w:rPr>
          <w:spacing w:val="-2"/>
          <w:sz w:val="24"/>
        </w:rPr>
        <w:t> </w:t>
      </w:r>
      <w:r>
        <w:rPr>
          <w:sz w:val="24"/>
        </w:rPr>
        <w:t>post- operative visits within a 90-day period and will identify the ophthalmologist providing surgery.</w:t>
      </w:r>
    </w:p>
    <w:p>
      <w:pPr>
        <w:pStyle w:val="ListParagraph"/>
        <w:numPr>
          <w:ilvl w:val="1"/>
          <w:numId w:val="165"/>
        </w:numPr>
        <w:tabs>
          <w:tab w:pos="1799" w:val="left" w:leader="none"/>
        </w:tabs>
        <w:spacing w:line="208" w:lineRule="auto" w:before="239" w:after="0"/>
        <w:ind w:left="1223" w:right="1284" w:firstLine="0"/>
        <w:jc w:val="left"/>
        <w:rPr>
          <w:sz w:val="24"/>
        </w:rPr>
      </w:pPr>
      <w:r>
        <w:rPr>
          <w:sz w:val="24"/>
        </w:rPr>
        <w:t>If</w:t>
      </w:r>
      <w:r>
        <w:rPr>
          <w:spacing w:val="-4"/>
          <w:sz w:val="24"/>
        </w:rPr>
        <w:t> </w:t>
      </w:r>
      <w:r>
        <w:rPr>
          <w:sz w:val="24"/>
        </w:rPr>
        <w:t>severe</w:t>
      </w:r>
      <w:r>
        <w:rPr>
          <w:spacing w:val="-5"/>
          <w:sz w:val="24"/>
        </w:rPr>
        <w:t> </w:t>
      </w:r>
      <w:r>
        <w:rPr>
          <w:sz w:val="24"/>
        </w:rPr>
        <w:t>complications</w:t>
      </w:r>
      <w:r>
        <w:rPr>
          <w:spacing w:val="-5"/>
          <w:sz w:val="24"/>
        </w:rPr>
        <w:t> </w:t>
      </w:r>
      <w:r>
        <w:rPr>
          <w:sz w:val="24"/>
        </w:rPr>
        <w:t>arise</w:t>
      </w:r>
      <w:r>
        <w:rPr>
          <w:spacing w:val="-5"/>
          <w:sz w:val="24"/>
        </w:rPr>
        <w:t> </w:t>
      </w:r>
      <w:r>
        <w:rPr>
          <w:sz w:val="24"/>
        </w:rPr>
        <w:t>requiring</w:t>
      </w:r>
      <w:r>
        <w:rPr>
          <w:spacing w:val="-5"/>
          <w:sz w:val="24"/>
        </w:rPr>
        <w:t> </w:t>
      </w:r>
      <w:r>
        <w:rPr>
          <w:sz w:val="24"/>
        </w:rPr>
        <w:t>additional</w:t>
      </w:r>
      <w:r>
        <w:rPr>
          <w:spacing w:val="-5"/>
          <w:sz w:val="24"/>
        </w:rPr>
        <w:t> </w:t>
      </w:r>
      <w:r>
        <w:rPr>
          <w:sz w:val="24"/>
        </w:rPr>
        <w:t>surgery</w:t>
      </w:r>
      <w:r>
        <w:rPr>
          <w:spacing w:val="-5"/>
          <w:sz w:val="24"/>
        </w:rPr>
        <w:t> </w:t>
      </w:r>
      <w:r>
        <w:rPr>
          <w:sz w:val="24"/>
        </w:rPr>
        <w:t>or</w:t>
      </w:r>
      <w:r>
        <w:rPr>
          <w:spacing w:val="-4"/>
          <w:sz w:val="24"/>
        </w:rPr>
        <w:t> </w:t>
      </w:r>
      <w:r>
        <w:rPr>
          <w:sz w:val="24"/>
        </w:rPr>
        <w:t>extensive treatment, the client will be referred to the ophthalmologist.</w:t>
      </w:r>
    </w:p>
    <w:p>
      <w:pPr>
        <w:pStyle w:val="ListParagraph"/>
        <w:numPr>
          <w:ilvl w:val="1"/>
          <w:numId w:val="165"/>
        </w:numPr>
        <w:tabs>
          <w:tab w:pos="1799" w:val="left" w:leader="none"/>
        </w:tabs>
        <w:spacing w:line="208" w:lineRule="auto" w:before="240" w:after="0"/>
        <w:ind w:left="1223" w:right="770" w:firstLine="0"/>
        <w:jc w:val="left"/>
        <w:rPr>
          <w:sz w:val="24"/>
        </w:rPr>
      </w:pPr>
      <w:r>
        <w:rPr>
          <w:sz w:val="24"/>
        </w:rPr>
        <w:t>Unanticipated severe complications requiring additional surgery or extensive</w:t>
      </w:r>
      <w:r>
        <w:rPr>
          <w:spacing w:val="-4"/>
          <w:sz w:val="24"/>
        </w:rPr>
        <w:t> </w:t>
      </w:r>
      <w:r>
        <w:rPr>
          <w:sz w:val="24"/>
        </w:rPr>
        <w:t>treatment</w:t>
      </w:r>
      <w:r>
        <w:rPr>
          <w:spacing w:val="-3"/>
          <w:sz w:val="24"/>
        </w:rPr>
        <w:t> </w:t>
      </w:r>
      <w:r>
        <w:rPr>
          <w:sz w:val="24"/>
        </w:rPr>
        <w:t>will</w:t>
      </w:r>
      <w:r>
        <w:rPr>
          <w:spacing w:val="-4"/>
          <w:sz w:val="24"/>
        </w:rPr>
        <w:t> </w:t>
      </w:r>
      <w:r>
        <w:rPr>
          <w:sz w:val="24"/>
        </w:rPr>
        <w:t>be</w:t>
      </w:r>
      <w:r>
        <w:rPr>
          <w:spacing w:val="-4"/>
          <w:sz w:val="24"/>
        </w:rPr>
        <w:t> </w:t>
      </w:r>
      <w:r>
        <w:rPr>
          <w:sz w:val="24"/>
        </w:rPr>
        <w:t>considered</w:t>
      </w:r>
      <w:r>
        <w:rPr>
          <w:spacing w:val="-4"/>
          <w:sz w:val="24"/>
        </w:rPr>
        <w:t> </w:t>
      </w:r>
      <w:r>
        <w:rPr>
          <w:sz w:val="24"/>
        </w:rPr>
        <w:t>separate</w:t>
      </w:r>
      <w:r>
        <w:rPr>
          <w:spacing w:val="-4"/>
          <w:sz w:val="24"/>
        </w:rPr>
        <w:t> </w:t>
      </w:r>
      <w:r>
        <w:rPr>
          <w:sz w:val="24"/>
        </w:rPr>
        <w:t>from</w:t>
      </w:r>
      <w:r>
        <w:rPr>
          <w:spacing w:val="-5"/>
          <w:sz w:val="24"/>
        </w:rPr>
        <w:t> </w:t>
      </w:r>
      <w:r>
        <w:rPr>
          <w:sz w:val="24"/>
        </w:rPr>
        <w:t>normal</w:t>
      </w:r>
      <w:r>
        <w:rPr>
          <w:spacing w:val="-4"/>
          <w:sz w:val="24"/>
        </w:rPr>
        <w:t> </w:t>
      </w:r>
      <w:r>
        <w:rPr>
          <w:sz w:val="24"/>
        </w:rPr>
        <w:t>follow-up</w:t>
      </w:r>
      <w:r>
        <w:rPr>
          <w:spacing w:val="-4"/>
          <w:sz w:val="24"/>
        </w:rPr>
        <w:t> </w:t>
      </w:r>
      <w:r>
        <w:rPr>
          <w:sz w:val="24"/>
        </w:rPr>
        <w:t>care</w:t>
      </w:r>
      <w:r>
        <w:rPr>
          <w:spacing w:val="-4"/>
          <w:sz w:val="24"/>
        </w:rPr>
        <w:t> </w:t>
      </w:r>
      <w:r>
        <w:rPr>
          <w:sz w:val="24"/>
        </w:rPr>
        <w:t>and will follow the established procedure for surgery or complex medical care.</w:t>
      </w:r>
    </w:p>
    <w:p>
      <w:pPr>
        <w:pStyle w:val="ListParagraph"/>
        <w:numPr>
          <w:ilvl w:val="0"/>
          <w:numId w:val="165"/>
        </w:numPr>
        <w:tabs>
          <w:tab w:pos="1077" w:val="left" w:leader="none"/>
        </w:tabs>
        <w:spacing w:line="240" w:lineRule="auto" w:before="210" w:after="0"/>
        <w:ind w:left="1077" w:right="0" w:hanging="286"/>
        <w:jc w:val="left"/>
        <w:rPr>
          <w:sz w:val="24"/>
        </w:rPr>
      </w:pPr>
      <w:r>
        <w:rPr>
          <w:sz w:val="24"/>
        </w:rPr>
        <w:t>Vision</w:t>
      </w:r>
      <w:r>
        <w:rPr>
          <w:spacing w:val="-3"/>
          <w:sz w:val="24"/>
        </w:rPr>
        <w:t> </w:t>
      </w:r>
      <w:r>
        <w:rPr>
          <w:sz w:val="24"/>
        </w:rPr>
        <w:t>services</w:t>
      </w:r>
      <w:r>
        <w:rPr>
          <w:spacing w:val="-3"/>
          <w:sz w:val="24"/>
        </w:rPr>
        <w:t> </w:t>
      </w:r>
      <w:r>
        <w:rPr>
          <w:sz w:val="24"/>
        </w:rPr>
        <w:t>(glasses</w:t>
      </w:r>
      <w:r>
        <w:rPr>
          <w:spacing w:val="-3"/>
          <w:sz w:val="24"/>
        </w:rPr>
        <w:t> </w:t>
      </w:r>
      <w:r>
        <w:rPr>
          <w:sz w:val="24"/>
        </w:rPr>
        <w:t>and</w:t>
      </w:r>
      <w:r>
        <w:rPr>
          <w:spacing w:val="-2"/>
          <w:sz w:val="24"/>
        </w:rPr>
        <w:t> frames)</w:t>
      </w:r>
    </w:p>
    <w:p>
      <w:pPr>
        <w:pStyle w:val="BodyText"/>
        <w:spacing w:line="208" w:lineRule="auto" w:before="234"/>
        <w:ind w:left="1079" w:right="775"/>
      </w:pPr>
      <w:r>
        <w:rPr/>
        <w:t>If a recommended item falls into the category of "REQUIRING Justification" on the</w:t>
      </w:r>
      <w:r>
        <w:rPr>
          <w:spacing w:val="-4"/>
        </w:rPr>
        <w:t> </w:t>
      </w:r>
      <w:r>
        <w:rPr/>
        <w:t>Vision</w:t>
      </w:r>
      <w:r>
        <w:rPr>
          <w:spacing w:val="-3"/>
        </w:rPr>
        <w:t> </w:t>
      </w:r>
      <w:r>
        <w:rPr/>
        <w:t>Guidelines</w:t>
      </w:r>
      <w:r>
        <w:rPr>
          <w:spacing w:val="-3"/>
        </w:rPr>
        <w:t> </w:t>
      </w:r>
      <w:r>
        <w:rPr/>
        <w:t>Form,</w:t>
      </w:r>
      <w:r>
        <w:rPr>
          <w:spacing w:val="-5"/>
        </w:rPr>
        <w:t> </w:t>
      </w:r>
      <w:r>
        <w:rPr/>
        <w:t>the</w:t>
      </w:r>
      <w:r>
        <w:rPr>
          <w:spacing w:val="-4"/>
        </w:rPr>
        <w:t> </w:t>
      </w:r>
      <w:r>
        <w:rPr/>
        <w:t>counselor</w:t>
      </w:r>
      <w:r>
        <w:rPr>
          <w:spacing w:val="-3"/>
        </w:rPr>
        <w:t> </w:t>
      </w:r>
      <w:r>
        <w:rPr/>
        <w:t>should</w:t>
      </w:r>
      <w:r>
        <w:rPr>
          <w:spacing w:val="-4"/>
        </w:rPr>
        <w:t> </w:t>
      </w:r>
      <w:r>
        <w:rPr/>
        <w:t>obtain</w:t>
      </w:r>
      <w:r>
        <w:rPr>
          <w:spacing w:val="-4"/>
        </w:rPr>
        <w:t> </w:t>
      </w:r>
      <w:r>
        <w:rPr/>
        <w:t>written</w:t>
      </w:r>
      <w:r>
        <w:rPr>
          <w:spacing w:val="-4"/>
        </w:rPr>
        <w:t> </w:t>
      </w:r>
      <w:r>
        <w:rPr/>
        <w:t>justification</w:t>
      </w:r>
      <w:r>
        <w:rPr>
          <w:spacing w:val="-4"/>
        </w:rPr>
        <w:t> </w:t>
      </w:r>
      <w:r>
        <w:rPr/>
        <w:t>from the provider as to why the item is medically or vocationally necessary. "Prescribing" an item does not suffice as written justification.</w:t>
      </w:r>
    </w:p>
    <w:p>
      <w:pPr>
        <w:pStyle w:val="BodyText"/>
        <w:spacing w:line="208" w:lineRule="auto" w:before="239"/>
        <w:ind w:left="1079" w:right="775"/>
      </w:pPr>
      <w:r>
        <w:rPr/>
        <w:t>The</w:t>
      </w:r>
      <w:r>
        <w:rPr>
          <w:spacing w:val="-4"/>
        </w:rPr>
        <w:t> </w:t>
      </w:r>
      <w:r>
        <w:rPr/>
        <w:t>Vision</w:t>
      </w:r>
      <w:r>
        <w:rPr>
          <w:spacing w:val="-4"/>
        </w:rPr>
        <w:t> </w:t>
      </w:r>
      <w:r>
        <w:rPr/>
        <w:t>Guidelines</w:t>
      </w:r>
      <w:r>
        <w:rPr>
          <w:spacing w:val="-3"/>
        </w:rPr>
        <w:t> </w:t>
      </w:r>
      <w:r>
        <w:rPr/>
        <w:t>Form</w:t>
      </w:r>
      <w:r>
        <w:rPr>
          <w:spacing w:val="-3"/>
        </w:rPr>
        <w:t> </w:t>
      </w:r>
      <w:r>
        <w:rPr/>
        <w:t>must</w:t>
      </w:r>
      <w:r>
        <w:rPr>
          <w:spacing w:val="-6"/>
        </w:rPr>
        <w:t> </w:t>
      </w:r>
      <w:r>
        <w:rPr/>
        <w:t>be</w:t>
      </w:r>
      <w:r>
        <w:rPr>
          <w:spacing w:val="-4"/>
        </w:rPr>
        <w:t> </w:t>
      </w:r>
      <w:r>
        <w:rPr/>
        <w:t>faxed</w:t>
      </w:r>
      <w:r>
        <w:rPr>
          <w:spacing w:val="-4"/>
        </w:rPr>
        <w:t> </w:t>
      </w:r>
      <w:r>
        <w:rPr/>
        <w:t>along</w:t>
      </w:r>
      <w:r>
        <w:rPr>
          <w:spacing w:val="-4"/>
        </w:rPr>
        <w:t> </w:t>
      </w:r>
      <w:r>
        <w:rPr/>
        <w:t>with</w:t>
      </w:r>
      <w:r>
        <w:rPr>
          <w:spacing w:val="-4"/>
        </w:rPr>
        <w:t> </w:t>
      </w:r>
      <w:r>
        <w:rPr/>
        <w:t>the</w:t>
      </w:r>
      <w:r>
        <w:rPr>
          <w:spacing w:val="-4"/>
        </w:rPr>
        <w:t> </w:t>
      </w:r>
      <w:r>
        <w:rPr/>
        <w:t>medical</w:t>
      </w:r>
      <w:r>
        <w:rPr>
          <w:spacing w:val="-4"/>
        </w:rPr>
        <w:t> </w:t>
      </w:r>
      <w:r>
        <w:rPr/>
        <w:t>authorization for the vision exam prior to the client's appointment.</w:t>
      </w:r>
    </w:p>
    <w:p>
      <w:pPr>
        <w:pStyle w:val="ListParagraph"/>
        <w:numPr>
          <w:ilvl w:val="0"/>
          <w:numId w:val="165"/>
        </w:numPr>
        <w:tabs>
          <w:tab w:pos="1077" w:val="left" w:leader="none"/>
        </w:tabs>
        <w:spacing w:line="208" w:lineRule="auto" w:before="240" w:after="0"/>
        <w:ind w:left="791" w:right="779" w:firstLine="0"/>
        <w:jc w:val="left"/>
        <w:rPr>
          <w:sz w:val="24"/>
        </w:rPr>
      </w:pPr>
      <w:r>
        <w:rPr>
          <w:sz w:val="24"/>
        </w:rPr>
        <w:t>When</w:t>
      </w:r>
      <w:r>
        <w:rPr>
          <w:spacing w:val="-3"/>
          <w:sz w:val="24"/>
        </w:rPr>
        <w:t> </w:t>
      </w:r>
      <w:r>
        <w:rPr>
          <w:sz w:val="24"/>
        </w:rPr>
        <w:t>the</w:t>
      </w:r>
      <w:r>
        <w:rPr>
          <w:spacing w:val="-3"/>
          <w:sz w:val="24"/>
        </w:rPr>
        <w:t> </w:t>
      </w:r>
      <w:r>
        <w:rPr>
          <w:sz w:val="24"/>
        </w:rPr>
        <w:t>client</w:t>
      </w:r>
      <w:r>
        <w:rPr>
          <w:spacing w:val="-3"/>
          <w:sz w:val="24"/>
        </w:rPr>
        <w:t> </w:t>
      </w:r>
      <w:r>
        <w:rPr>
          <w:sz w:val="24"/>
        </w:rPr>
        <w:t>is</w:t>
      </w:r>
      <w:r>
        <w:rPr>
          <w:spacing w:val="-3"/>
          <w:sz w:val="24"/>
        </w:rPr>
        <w:t> </w:t>
      </w:r>
      <w:r>
        <w:rPr>
          <w:sz w:val="24"/>
        </w:rPr>
        <w:t>paying</w:t>
      </w:r>
      <w:r>
        <w:rPr>
          <w:spacing w:val="-3"/>
          <w:sz w:val="24"/>
        </w:rPr>
        <w:t> </w:t>
      </w:r>
      <w:r>
        <w:rPr>
          <w:sz w:val="24"/>
        </w:rPr>
        <w:t>for</w:t>
      </w:r>
      <w:r>
        <w:rPr>
          <w:spacing w:val="-3"/>
          <w:sz w:val="24"/>
        </w:rPr>
        <w:t> </w:t>
      </w:r>
      <w:r>
        <w:rPr>
          <w:sz w:val="24"/>
        </w:rPr>
        <w:t>glasses</w:t>
      </w:r>
      <w:r>
        <w:rPr>
          <w:spacing w:val="-3"/>
          <w:sz w:val="24"/>
        </w:rPr>
        <w:t> </w:t>
      </w:r>
      <w:r>
        <w:rPr>
          <w:sz w:val="24"/>
        </w:rPr>
        <w:t>frames</w:t>
      </w:r>
      <w:r>
        <w:rPr>
          <w:spacing w:val="-4"/>
          <w:sz w:val="24"/>
        </w:rPr>
        <w:t> </w:t>
      </w:r>
      <w:r>
        <w:rPr>
          <w:sz w:val="24"/>
        </w:rPr>
        <w:t>because</w:t>
      </w:r>
      <w:r>
        <w:rPr>
          <w:spacing w:val="-3"/>
          <w:sz w:val="24"/>
        </w:rPr>
        <w:t> </w:t>
      </w:r>
      <w:r>
        <w:rPr>
          <w:sz w:val="24"/>
        </w:rPr>
        <w:t>his/her</w:t>
      </w:r>
      <w:r>
        <w:rPr>
          <w:spacing w:val="-3"/>
          <w:sz w:val="24"/>
        </w:rPr>
        <w:t> </w:t>
      </w:r>
      <w:r>
        <w:rPr>
          <w:sz w:val="24"/>
        </w:rPr>
        <w:t>choice</w:t>
      </w:r>
      <w:r>
        <w:rPr>
          <w:spacing w:val="-3"/>
          <w:sz w:val="24"/>
        </w:rPr>
        <w:t> </w:t>
      </w:r>
      <w:r>
        <w:rPr>
          <w:sz w:val="24"/>
        </w:rPr>
        <w:t>exceeds</w:t>
      </w:r>
      <w:r>
        <w:rPr>
          <w:spacing w:val="-3"/>
          <w:sz w:val="24"/>
        </w:rPr>
        <w:t> </w:t>
      </w:r>
      <w:r>
        <w:rPr>
          <w:sz w:val="24"/>
        </w:rPr>
        <w:t>the DRS allowable cost, the authorization will contain a statement the client will be responsible for the full cost of the frames.</w:t>
      </w:r>
    </w:p>
    <w:p>
      <w:pPr>
        <w:pStyle w:val="ListParagraph"/>
        <w:numPr>
          <w:ilvl w:val="0"/>
          <w:numId w:val="165"/>
        </w:numPr>
        <w:tabs>
          <w:tab w:pos="1077" w:val="left" w:leader="none"/>
        </w:tabs>
        <w:spacing w:line="240" w:lineRule="auto" w:before="244" w:after="0"/>
        <w:ind w:left="1077" w:right="0" w:hanging="268"/>
        <w:jc w:val="left"/>
        <w:rPr>
          <w:sz w:val="24"/>
        </w:rPr>
      </w:pPr>
      <w:r>
        <w:rPr>
          <w:sz w:val="24"/>
        </w:rPr>
        <w:t>Links</w:t>
      </w:r>
      <w:r>
        <w:rPr>
          <w:spacing w:val="-3"/>
          <w:sz w:val="24"/>
        </w:rPr>
        <w:t> </w:t>
      </w:r>
      <w:r>
        <w:rPr>
          <w:sz w:val="24"/>
        </w:rPr>
        <w:t>to</w:t>
      </w:r>
      <w:r>
        <w:rPr>
          <w:spacing w:val="-2"/>
          <w:sz w:val="24"/>
        </w:rPr>
        <w:t> </w:t>
      </w:r>
      <w:hyperlink r:id="rId44">
        <w:r>
          <w:rPr>
            <w:color w:val="0000FF"/>
            <w:sz w:val="24"/>
            <w:u w:val="single" w:color="0000FF"/>
          </w:rPr>
          <w:t>BMI</w:t>
        </w:r>
        <w:r>
          <w:rPr>
            <w:color w:val="0000FF"/>
            <w:spacing w:val="-1"/>
            <w:sz w:val="24"/>
            <w:u w:val="single" w:color="0000FF"/>
          </w:rPr>
          <w:t> </w:t>
        </w:r>
        <w:r>
          <w:rPr>
            <w:color w:val="0000FF"/>
            <w:sz w:val="24"/>
            <w:u w:val="single" w:color="0000FF"/>
          </w:rPr>
          <w:t>Chart</w:t>
        </w:r>
        <w:r>
          <w:rPr>
            <w:color w:val="0000FF"/>
            <w:spacing w:val="-3"/>
            <w:sz w:val="24"/>
            <w:u w:val="single" w:color="0000FF"/>
          </w:rPr>
          <w:t> </w:t>
        </w:r>
        <w:r>
          <w:rPr>
            <w:color w:val="0000FF"/>
            <w:sz w:val="24"/>
            <w:u w:val="single" w:color="0000FF"/>
          </w:rPr>
          <w:t>(okdrs.gov)</w:t>
        </w:r>
      </w:hyperlink>
      <w:r>
        <w:rPr>
          <w:color w:val="0000FF"/>
          <w:spacing w:val="63"/>
          <w:sz w:val="24"/>
          <w:u w:val="none"/>
        </w:rPr>
        <w:t> </w:t>
      </w:r>
      <w:hyperlink r:id="rId45">
        <w:r>
          <w:rPr>
            <w:color w:val="0000FF"/>
            <w:sz w:val="24"/>
            <w:u w:val="single" w:color="0000FF"/>
          </w:rPr>
          <w:t>Body</w:t>
        </w:r>
        <w:r>
          <w:rPr>
            <w:color w:val="0000FF"/>
            <w:spacing w:val="-2"/>
            <w:sz w:val="24"/>
            <w:u w:val="single" w:color="0000FF"/>
          </w:rPr>
          <w:t> </w:t>
        </w:r>
        <w:r>
          <w:rPr>
            <w:color w:val="0000FF"/>
            <w:sz w:val="24"/>
            <w:u w:val="single" w:color="0000FF"/>
          </w:rPr>
          <w:t>Mass</w:t>
        </w:r>
        <w:r>
          <w:rPr>
            <w:color w:val="0000FF"/>
            <w:spacing w:val="-3"/>
            <w:sz w:val="24"/>
            <w:u w:val="single" w:color="0000FF"/>
          </w:rPr>
          <w:t> </w:t>
        </w:r>
        <w:r>
          <w:rPr>
            <w:color w:val="0000FF"/>
            <w:sz w:val="24"/>
            <w:u w:val="single" w:color="0000FF"/>
          </w:rPr>
          <w:t>Index</w:t>
        </w:r>
        <w:r>
          <w:rPr>
            <w:color w:val="0000FF"/>
            <w:spacing w:val="-2"/>
            <w:sz w:val="24"/>
            <w:u w:val="single" w:color="0000FF"/>
          </w:rPr>
          <w:t> </w:t>
        </w:r>
        <w:r>
          <w:rPr>
            <w:color w:val="0000FF"/>
            <w:sz w:val="24"/>
            <w:u w:val="single" w:color="0000FF"/>
          </w:rPr>
          <w:t>Table</w:t>
        </w:r>
        <w:r>
          <w:rPr>
            <w:color w:val="0000FF"/>
            <w:spacing w:val="-2"/>
            <w:sz w:val="24"/>
            <w:u w:val="single" w:color="0000FF"/>
          </w:rPr>
          <w:t> </w:t>
        </w:r>
        <w:r>
          <w:rPr>
            <w:color w:val="0000FF"/>
            <w:sz w:val="24"/>
            <w:u w:val="single" w:color="0000FF"/>
          </w:rPr>
          <w:t>2</w:t>
        </w:r>
        <w:r>
          <w:rPr>
            <w:color w:val="0000FF"/>
            <w:spacing w:val="-2"/>
            <w:sz w:val="24"/>
            <w:u w:val="single" w:color="0000FF"/>
          </w:rPr>
          <w:t> (nih.gov)</w:t>
        </w:r>
      </w:hyperlink>
    </w:p>
    <w:p>
      <w:pPr>
        <w:pStyle w:val="ListParagraph"/>
        <w:spacing w:after="0" w:line="240" w:lineRule="auto"/>
        <w:jc w:val="left"/>
        <w:rPr>
          <w:sz w:val="24"/>
        </w:rPr>
        <w:sectPr>
          <w:pgSz w:w="12240" w:h="15840"/>
          <w:pgMar w:top="1340" w:bottom="280" w:left="1080" w:right="720"/>
        </w:sectPr>
      </w:pPr>
    </w:p>
    <w:p>
      <w:pPr>
        <w:pStyle w:val="ListParagraph"/>
        <w:numPr>
          <w:ilvl w:val="0"/>
          <w:numId w:val="165"/>
        </w:numPr>
        <w:tabs>
          <w:tab w:pos="1190" w:val="left" w:leader="none"/>
        </w:tabs>
        <w:spacing w:line="208" w:lineRule="auto" w:before="96" w:after="0"/>
        <w:ind w:left="791" w:right="934" w:firstLine="0"/>
        <w:jc w:val="left"/>
        <w:rPr>
          <w:sz w:val="24"/>
        </w:rPr>
      </w:pPr>
      <w:r>
        <w:rPr>
          <w:sz w:val="24"/>
        </w:rPr>
        <w:t>Authorization is made on a computerized medical services authorization using the</w:t>
      </w:r>
      <w:r>
        <w:rPr>
          <w:spacing w:val="-4"/>
          <w:sz w:val="24"/>
        </w:rPr>
        <w:t> </w:t>
      </w:r>
      <w:r>
        <w:rPr>
          <w:sz w:val="24"/>
        </w:rPr>
        <w:t>appropriate</w:t>
      </w:r>
      <w:r>
        <w:rPr>
          <w:spacing w:val="-4"/>
          <w:sz w:val="24"/>
        </w:rPr>
        <w:t> </w:t>
      </w:r>
      <w:r>
        <w:rPr>
          <w:sz w:val="24"/>
        </w:rPr>
        <w:t>fee</w:t>
      </w:r>
      <w:r>
        <w:rPr>
          <w:spacing w:val="-4"/>
          <w:sz w:val="24"/>
        </w:rPr>
        <w:t> </w:t>
      </w:r>
      <w:r>
        <w:rPr>
          <w:sz w:val="24"/>
        </w:rPr>
        <w:t>code.</w:t>
      </w:r>
      <w:r>
        <w:rPr>
          <w:spacing w:val="-3"/>
          <w:sz w:val="24"/>
        </w:rPr>
        <w:t> </w:t>
      </w:r>
      <w:r>
        <w:rPr>
          <w:sz w:val="24"/>
        </w:rPr>
        <w:t>When</w:t>
      </w:r>
      <w:r>
        <w:rPr>
          <w:spacing w:val="-4"/>
          <w:sz w:val="24"/>
        </w:rPr>
        <w:t> </w:t>
      </w:r>
      <w:r>
        <w:rPr>
          <w:sz w:val="24"/>
        </w:rPr>
        <w:t>the</w:t>
      </w:r>
      <w:r>
        <w:rPr>
          <w:spacing w:val="-4"/>
          <w:sz w:val="24"/>
        </w:rPr>
        <w:t> </w:t>
      </w:r>
      <w:r>
        <w:rPr>
          <w:sz w:val="24"/>
        </w:rPr>
        <w:t>item(s)</w:t>
      </w:r>
      <w:r>
        <w:rPr>
          <w:spacing w:val="-3"/>
          <w:sz w:val="24"/>
        </w:rPr>
        <w:t> </w:t>
      </w:r>
      <w:r>
        <w:rPr>
          <w:sz w:val="24"/>
        </w:rPr>
        <w:t>is</w:t>
      </w:r>
      <w:r>
        <w:rPr>
          <w:spacing w:val="-4"/>
          <w:sz w:val="24"/>
        </w:rPr>
        <w:t> </w:t>
      </w:r>
      <w:r>
        <w:rPr>
          <w:sz w:val="24"/>
        </w:rPr>
        <w:t>delivered</w:t>
      </w:r>
      <w:r>
        <w:rPr>
          <w:spacing w:val="-3"/>
          <w:sz w:val="24"/>
        </w:rPr>
        <w:t> </w:t>
      </w:r>
      <w:r>
        <w:rPr>
          <w:sz w:val="24"/>
        </w:rPr>
        <w:t>to</w:t>
      </w:r>
      <w:r>
        <w:rPr>
          <w:spacing w:val="-4"/>
          <w:sz w:val="24"/>
        </w:rPr>
        <w:t> </w:t>
      </w:r>
      <w:r>
        <w:rPr>
          <w:sz w:val="24"/>
        </w:rPr>
        <w:t>the</w:t>
      </w:r>
      <w:r>
        <w:rPr>
          <w:spacing w:val="-4"/>
          <w:sz w:val="24"/>
        </w:rPr>
        <w:t> </w:t>
      </w:r>
      <w:r>
        <w:rPr>
          <w:sz w:val="24"/>
        </w:rPr>
        <w:t>client,</w:t>
      </w:r>
      <w:r>
        <w:rPr>
          <w:spacing w:val="-3"/>
          <w:sz w:val="24"/>
        </w:rPr>
        <w:t> </w:t>
      </w:r>
      <w:r>
        <w:rPr>
          <w:sz w:val="24"/>
        </w:rPr>
        <w:t>counselor</w:t>
      </w:r>
      <w:r>
        <w:rPr>
          <w:spacing w:val="-3"/>
          <w:sz w:val="24"/>
        </w:rPr>
        <w:t> </w:t>
      </w:r>
      <w:r>
        <w:rPr>
          <w:sz w:val="24"/>
        </w:rPr>
        <w:t>will obtain a completed and signed Receipt of Equipment and Title Agreement. Counselor judgment must be used to determine when it is appropriate to release title to durable medical equipment. Also, see 612:10-7-217.</w:t>
      </w:r>
    </w:p>
    <w:p>
      <w:pPr>
        <w:pStyle w:val="ListParagraph"/>
        <w:numPr>
          <w:ilvl w:val="0"/>
          <w:numId w:val="165"/>
        </w:numPr>
        <w:tabs>
          <w:tab w:pos="1168" w:val="left" w:leader="none"/>
        </w:tabs>
        <w:spacing w:line="208" w:lineRule="auto" w:before="239" w:after="0"/>
        <w:ind w:left="792" w:right="769" w:firstLine="0"/>
        <w:jc w:val="left"/>
        <w:rPr>
          <w:sz w:val="24"/>
        </w:rPr>
      </w:pPr>
      <w:r>
        <w:rPr>
          <w:sz w:val="24"/>
        </w:rPr>
        <w:t>Durable</w:t>
      </w:r>
      <w:r>
        <w:rPr>
          <w:spacing w:val="-4"/>
          <w:sz w:val="24"/>
        </w:rPr>
        <w:t> </w:t>
      </w:r>
      <w:r>
        <w:rPr>
          <w:sz w:val="24"/>
        </w:rPr>
        <w:t>Medical</w:t>
      </w:r>
      <w:r>
        <w:rPr>
          <w:spacing w:val="-4"/>
          <w:sz w:val="24"/>
        </w:rPr>
        <w:t> </w:t>
      </w:r>
      <w:r>
        <w:rPr>
          <w:sz w:val="24"/>
        </w:rPr>
        <w:t>Equipment</w:t>
      </w:r>
      <w:r>
        <w:rPr>
          <w:spacing w:val="-3"/>
          <w:sz w:val="24"/>
        </w:rPr>
        <w:t> </w:t>
      </w:r>
      <w:r>
        <w:rPr>
          <w:sz w:val="24"/>
        </w:rPr>
        <w:t>and</w:t>
      </w:r>
      <w:r>
        <w:rPr>
          <w:spacing w:val="-4"/>
          <w:sz w:val="24"/>
        </w:rPr>
        <w:t> </w:t>
      </w:r>
      <w:r>
        <w:rPr>
          <w:sz w:val="24"/>
        </w:rPr>
        <w:t>Assistive</w:t>
      </w:r>
      <w:r>
        <w:rPr>
          <w:spacing w:val="-4"/>
          <w:sz w:val="24"/>
        </w:rPr>
        <w:t> </w:t>
      </w:r>
      <w:r>
        <w:rPr>
          <w:sz w:val="24"/>
        </w:rPr>
        <w:t>Aids</w:t>
      </w:r>
      <w:r>
        <w:rPr>
          <w:spacing w:val="-4"/>
          <w:sz w:val="24"/>
        </w:rPr>
        <w:t> </w:t>
      </w:r>
      <w:r>
        <w:rPr>
          <w:sz w:val="24"/>
        </w:rPr>
        <w:t>purchased</w:t>
      </w:r>
      <w:r>
        <w:rPr>
          <w:spacing w:val="-4"/>
          <w:sz w:val="24"/>
        </w:rPr>
        <w:t> </w:t>
      </w:r>
      <w:r>
        <w:rPr>
          <w:sz w:val="24"/>
        </w:rPr>
        <w:t>on</w:t>
      </w:r>
      <w:r>
        <w:rPr>
          <w:spacing w:val="-4"/>
          <w:sz w:val="24"/>
        </w:rPr>
        <w:t> </w:t>
      </w:r>
      <w:r>
        <w:rPr>
          <w:sz w:val="24"/>
        </w:rPr>
        <w:t>behalf</w:t>
      </w:r>
      <w:r>
        <w:rPr>
          <w:spacing w:val="-3"/>
          <w:sz w:val="24"/>
        </w:rPr>
        <w:t> </w:t>
      </w:r>
      <w:r>
        <w:rPr>
          <w:sz w:val="24"/>
        </w:rPr>
        <w:t>of</w:t>
      </w:r>
      <w:r>
        <w:rPr>
          <w:spacing w:val="-5"/>
          <w:sz w:val="24"/>
        </w:rPr>
        <w:t> </w:t>
      </w:r>
      <w:r>
        <w:rPr>
          <w:sz w:val="24"/>
        </w:rPr>
        <w:t>the</w:t>
      </w:r>
      <w:r>
        <w:rPr>
          <w:spacing w:val="-4"/>
          <w:sz w:val="24"/>
        </w:rPr>
        <w:t> </w:t>
      </w:r>
      <w:r>
        <w:rPr>
          <w:sz w:val="24"/>
        </w:rPr>
        <w:t>client is subject to prior approval from RSA. Prior approval for this section is received as part of the aggregated approval process as defined in </w:t>
      </w:r>
      <w:hyperlink r:id="rId55">
        <w:r>
          <w:rPr>
            <w:color w:val="0000FF"/>
            <w:sz w:val="24"/>
            <w:u w:val="single" w:color="0000FF"/>
          </w:rPr>
          <w:t>RSA-TAC-18-02</w:t>
        </w:r>
      </w:hyperlink>
      <w:r>
        <w:rPr>
          <w:sz w:val="24"/>
          <w:u w:val="none"/>
        </w:rPr>
        <w:t>.</w:t>
      </w:r>
    </w:p>
    <w:p>
      <w:pPr>
        <w:pStyle w:val="ListParagraph"/>
        <w:numPr>
          <w:ilvl w:val="0"/>
          <w:numId w:val="165"/>
        </w:numPr>
        <w:tabs>
          <w:tab w:pos="1208" w:val="left" w:leader="none"/>
        </w:tabs>
        <w:spacing w:line="259" w:lineRule="auto" w:before="244" w:after="0"/>
        <w:ind w:left="810" w:right="915" w:firstLine="0"/>
        <w:jc w:val="left"/>
        <w:rPr>
          <w:sz w:val="24"/>
        </w:rPr>
      </w:pPr>
      <w:r>
        <w:rPr>
          <w:sz w:val="24"/>
        </w:rPr>
        <w:t>Speech therapy is the assessment and treatment of communication problems and speech disorders. It is performed by speech-language pathologists (SLPs), which are often referred to as speech therapists. Speech therapy techniques are used to improve communication. </w:t>
      </w:r>
      <w:r>
        <w:rPr>
          <w:color w:val="282828"/>
          <w:sz w:val="24"/>
        </w:rPr>
        <w:t>Speech Pathologists, also referred to as Speech Therapists or SLPs (speech language pathologists), are professionals who work with</w:t>
      </w:r>
      <w:r>
        <w:rPr>
          <w:color w:val="282828"/>
          <w:spacing w:val="-4"/>
          <w:sz w:val="24"/>
        </w:rPr>
        <w:t> </w:t>
      </w:r>
      <w:r>
        <w:rPr>
          <w:color w:val="282828"/>
          <w:sz w:val="24"/>
        </w:rPr>
        <w:t>people</w:t>
      </w:r>
      <w:r>
        <w:rPr>
          <w:color w:val="282828"/>
          <w:spacing w:val="-3"/>
          <w:sz w:val="24"/>
        </w:rPr>
        <w:t> </w:t>
      </w:r>
      <w:r>
        <w:rPr>
          <w:color w:val="282828"/>
          <w:sz w:val="24"/>
        </w:rPr>
        <w:t>of</w:t>
      </w:r>
      <w:r>
        <w:rPr>
          <w:color w:val="282828"/>
          <w:spacing w:val="-3"/>
          <w:sz w:val="24"/>
        </w:rPr>
        <w:t> </w:t>
      </w:r>
      <w:r>
        <w:rPr>
          <w:color w:val="282828"/>
          <w:sz w:val="24"/>
        </w:rPr>
        <w:t>all</w:t>
      </w:r>
      <w:r>
        <w:rPr>
          <w:color w:val="282828"/>
          <w:spacing w:val="-4"/>
          <w:sz w:val="24"/>
        </w:rPr>
        <w:t> </w:t>
      </w:r>
      <w:r>
        <w:rPr>
          <w:color w:val="282828"/>
          <w:sz w:val="24"/>
        </w:rPr>
        <w:t>ages</w:t>
      </w:r>
      <w:r>
        <w:rPr>
          <w:color w:val="282828"/>
          <w:spacing w:val="-4"/>
          <w:sz w:val="24"/>
        </w:rPr>
        <w:t> </w:t>
      </w:r>
      <w:r>
        <w:rPr>
          <w:color w:val="282828"/>
          <w:sz w:val="24"/>
        </w:rPr>
        <w:t>to</w:t>
      </w:r>
      <w:r>
        <w:rPr>
          <w:color w:val="282828"/>
          <w:spacing w:val="-4"/>
          <w:sz w:val="24"/>
        </w:rPr>
        <w:t> </w:t>
      </w:r>
      <w:r>
        <w:rPr>
          <w:color w:val="282828"/>
          <w:sz w:val="24"/>
        </w:rPr>
        <w:t>improve</w:t>
      </w:r>
      <w:r>
        <w:rPr>
          <w:color w:val="282828"/>
          <w:spacing w:val="-5"/>
          <w:sz w:val="24"/>
        </w:rPr>
        <w:t> </w:t>
      </w:r>
      <w:r>
        <w:rPr>
          <w:color w:val="282828"/>
          <w:sz w:val="24"/>
        </w:rPr>
        <w:t>communication</w:t>
      </w:r>
      <w:r>
        <w:rPr>
          <w:color w:val="282828"/>
          <w:spacing w:val="-4"/>
          <w:sz w:val="24"/>
        </w:rPr>
        <w:t> </w:t>
      </w:r>
      <w:r>
        <w:rPr>
          <w:color w:val="282828"/>
          <w:sz w:val="24"/>
        </w:rPr>
        <w:t>techniques</w:t>
      </w:r>
      <w:r>
        <w:rPr>
          <w:color w:val="282828"/>
          <w:spacing w:val="-4"/>
          <w:sz w:val="24"/>
        </w:rPr>
        <w:t> </w:t>
      </w:r>
      <w:r>
        <w:rPr>
          <w:color w:val="282828"/>
          <w:sz w:val="24"/>
        </w:rPr>
        <w:t>and</w:t>
      </w:r>
      <w:r>
        <w:rPr>
          <w:color w:val="282828"/>
          <w:spacing w:val="-4"/>
          <w:sz w:val="24"/>
        </w:rPr>
        <w:t> </w:t>
      </w:r>
      <w:r>
        <w:rPr>
          <w:color w:val="282828"/>
          <w:sz w:val="24"/>
        </w:rPr>
        <w:t>treat</w:t>
      </w:r>
      <w:r>
        <w:rPr>
          <w:color w:val="282828"/>
          <w:spacing w:val="-3"/>
          <w:sz w:val="24"/>
        </w:rPr>
        <w:t> </w:t>
      </w:r>
      <w:r>
        <w:rPr>
          <w:color w:val="282828"/>
          <w:sz w:val="24"/>
        </w:rPr>
        <w:t>swallowing disorders, amongst many other job responsibilities.</w:t>
      </w:r>
    </w:p>
    <w:p>
      <w:pPr>
        <w:spacing w:before="158"/>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775" w:firstLine="0"/>
        <w:jc w:val="left"/>
        <w:rPr>
          <w:sz w:val="22"/>
        </w:rPr>
      </w:pPr>
      <w:r>
        <w:rPr>
          <w:sz w:val="22"/>
        </w:rPr>
        <w:t>Permanent,</w:t>
      </w:r>
      <w:r>
        <w:rPr>
          <w:spacing w:val="-3"/>
          <w:sz w:val="22"/>
        </w:rPr>
        <w:t> </w:t>
      </w:r>
      <w:r>
        <w:rPr>
          <w:sz w:val="22"/>
        </w:rPr>
        <w:t>first</w:t>
      </w:r>
      <w:r>
        <w:rPr>
          <w:spacing w:val="-4"/>
          <w:sz w:val="22"/>
        </w:rPr>
        <w:t> </w:t>
      </w:r>
      <w:r>
        <w:rPr>
          <w:sz w:val="22"/>
        </w:rPr>
        <w:t>adoption</w:t>
      </w:r>
      <w:r>
        <w:rPr>
          <w:spacing w:val="-4"/>
          <w:sz w:val="22"/>
        </w:rPr>
        <w:t> </w:t>
      </w:r>
      <w:r>
        <w:rPr>
          <w:sz w:val="22"/>
        </w:rPr>
        <w:t>under</w:t>
      </w:r>
      <w:r>
        <w:rPr>
          <w:spacing w:val="-4"/>
          <w:sz w:val="22"/>
        </w:rPr>
        <w:t> </w:t>
      </w:r>
      <w:r>
        <w:rPr>
          <w:sz w:val="22"/>
        </w:rPr>
        <w:t>OAC</w:t>
      </w:r>
      <w:r>
        <w:rPr>
          <w:spacing w:val="-5"/>
          <w:sz w:val="22"/>
        </w:rPr>
        <w:t> </w:t>
      </w:r>
      <w:r>
        <w:rPr>
          <w:sz w:val="22"/>
        </w:rPr>
        <w:t>Title</w:t>
      </w:r>
      <w:r>
        <w:rPr>
          <w:spacing w:val="-4"/>
          <w:sz w:val="22"/>
        </w:rPr>
        <w:t> </w:t>
      </w:r>
      <w:r>
        <w:rPr>
          <w:sz w:val="22"/>
        </w:rPr>
        <w:t>612,</w:t>
      </w:r>
      <w:r>
        <w:rPr>
          <w:spacing w:val="-5"/>
          <w:sz w:val="22"/>
        </w:rPr>
        <w:t> </w:t>
      </w:r>
      <w:r>
        <w:rPr>
          <w:sz w:val="22"/>
        </w:rPr>
        <w:t>total</w:t>
      </w:r>
      <w:r>
        <w:rPr>
          <w:spacing w:val="-4"/>
          <w:sz w:val="22"/>
        </w:rPr>
        <w:t> </w:t>
      </w:r>
      <w:r>
        <w:rPr>
          <w:sz w:val="22"/>
        </w:rPr>
        <w:t>revision</w:t>
      </w:r>
      <w:r>
        <w:rPr>
          <w:spacing w:val="-4"/>
          <w:sz w:val="22"/>
        </w:rPr>
        <w:t> </w:t>
      </w:r>
      <w:r>
        <w:rPr>
          <w:sz w:val="22"/>
        </w:rPr>
        <w:t>of</w:t>
      </w:r>
      <w:r>
        <w:rPr>
          <w:spacing w:val="-4"/>
          <w:sz w:val="22"/>
        </w:rPr>
        <w:t> </w:t>
      </w:r>
      <w:r>
        <w:rPr>
          <w:sz w:val="22"/>
        </w:rPr>
        <w:t>section,</w:t>
      </w:r>
      <w:r>
        <w:rPr>
          <w:spacing w:val="-5"/>
          <w:sz w:val="22"/>
        </w:rPr>
        <w:t> </w:t>
      </w:r>
      <w:r>
        <w:rPr>
          <w:sz w:val="22"/>
        </w:rPr>
        <w:t>incorporated other sections which were revoked</w:t>
      </w:r>
    </w:p>
    <w:p>
      <w:pPr>
        <w:tabs>
          <w:tab w:pos="1439" w:val="left" w:leader="none"/>
        </w:tabs>
        <w:spacing w:line="252" w:lineRule="exact" w:before="0"/>
        <w:ind w:left="359" w:right="0" w:firstLine="0"/>
        <w:jc w:val="left"/>
        <w:rPr>
          <w:sz w:val="22"/>
        </w:rPr>
      </w:pPr>
      <w:r>
        <w:rPr>
          <w:spacing w:val="-2"/>
          <w:sz w:val="22"/>
        </w:rPr>
        <w:t>4-3-</w:t>
      </w:r>
      <w:r>
        <w:rPr>
          <w:spacing w:val="-5"/>
          <w:sz w:val="22"/>
        </w:rPr>
        <w:t>96</w:t>
      </w:r>
      <w:r>
        <w:rPr>
          <w:sz w:val="22"/>
        </w:rPr>
        <w:tab/>
        <w:t>PT</w:t>
      </w:r>
      <w:r>
        <w:rPr>
          <w:spacing w:val="-8"/>
          <w:sz w:val="22"/>
        </w:rPr>
        <w:t> </w:t>
      </w:r>
      <w:r>
        <w:rPr>
          <w:sz w:val="22"/>
        </w:rPr>
        <w:t>Memo</w:t>
      </w:r>
      <w:r>
        <w:rPr>
          <w:spacing w:val="-8"/>
          <w:sz w:val="22"/>
        </w:rPr>
        <w:t> </w:t>
      </w:r>
      <w:r>
        <w:rPr>
          <w:sz w:val="22"/>
        </w:rPr>
        <w:t>#96-</w:t>
      </w:r>
      <w:r>
        <w:rPr>
          <w:spacing w:val="-10"/>
          <w:sz w:val="22"/>
        </w:rPr>
        <w:t>2</w:t>
      </w:r>
    </w:p>
    <w:p>
      <w:pPr>
        <w:spacing w:before="1"/>
        <w:ind w:left="1439" w:right="775" w:firstLine="0"/>
        <w:jc w:val="left"/>
        <w:rPr>
          <w:sz w:val="22"/>
        </w:rPr>
      </w:pPr>
      <w:r>
        <w:rPr>
          <w:sz w:val="22"/>
        </w:rPr>
        <w:t>Emergency, RVS won't pay for long term or ongoing treatment, treatment over 3 months</w:t>
      </w:r>
      <w:r>
        <w:rPr>
          <w:spacing w:val="-4"/>
          <w:sz w:val="22"/>
        </w:rPr>
        <w:t> </w:t>
      </w:r>
      <w:r>
        <w:rPr>
          <w:sz w:val="22"/>
        </w:rPr>
        <w:t>requires</w:t>
      </w:r>
      <w:r>
        <w:rPr>
          <w:spacing w:val="-4"/>
          <w:sz w:val="22"/>
        </w:rPr>
        <w:t> </w:t>
      </w:r>
      <w:r>
        <w:rPr>
          <w:sz w:val="22"/>
        </w:rPr>
        <w:t>supervisory</w:t>
      </w:r>
      <w:r>
        <w:rPr>
          <w:spacing w:val="-4"/>
          <w:sz w:val="22"/>
        </w:rPr>
        <w:t> </w:t>
      </w:r>
      <w:r>
        <w:rPr>
          <w:sz w:val="22"/>
        </w:rPr>
        <w:t>approval,</w:t>
      </w:r>
      <w:r>
        <w:rPr>
          <w:spacing w:val="-4"/>
          <w:sz w:val="22"/>
        </w:rPr>
        <w:t> </w:t>
      </w:r>
      <w:r>
        <w:rPr>
          <w:sz w:val="22"/>
        </w:rPr>
        <w:t>will</w:t>
      </w:r>
      <w:r>
        <w:rPr>
          <w:spacing w:val="-4"/>
          <w:sz w:val="22"/>
        </w:rPr>
        <w:t> </w:t>
      </w:r>
      <w:r>
        <w:rPr>
          <w:sz w:val="22"/>
        </w:rPr>
        <w:t>not</w:t>
      </w:r>
      <w:r>
        <w:rPr>
          <w:spacing w:val="-4"/>
          <w:sz w:val="22"/>
        </w:rPr>
        <w:t> </w:t>
      </w:r>
      <w:r>
        <w:rPr>
          <w:sz w:val="22"/>
        </w:rPr>
        <w:t>supplement</w:t>
      </w:r>
      <w:r>
        <w:rPr>
          <w:spacing w:val="-4"/>
          <w:sz w:val="22"/>
        </w:rPr>
        <w:t> </w:t>
      </w:r>
      <w:r>
        <w:rPr>
          <w:sz w:val="22"/>
        </w:rPr>
        <w:t>third</w:t>
      </w:r>
      <w:r>
        <w:rPr>
          <w:spacing w:val="-4"/>
          <w:sz w:val="22"/>
        </w:rPr>
        <w:t> </w:t>
      </w:r>
      <w:r>
        <w:rPr>
          <w:sz w:val="22"/>
        </w:rPr>
        <w:t>party</w:t>
      </w:r>
      <w:r>
        <w:rPr>
          <w:spacing w:val="-4"/>
          <w:sz w:val="22"/>
        </w:rPr>
        <w:t> </w:t>
      </w:r>
      <w:r>
        <w:rPr>
          <w:sz w:val="22"/>
        </w:rPr>
        <w:t>payments</w:t>
      </w:r>
      <w:r>
        <w:rPr>
          <w:spacing w:val="-4"/>
          <w:sz w:val="22"/>
        </w:rPr>
        <w:t> </w:t>
      </w:r>
      <w:r>
        <w:rPr>
          <w:sz w:val="22"/>
        </w:rPr>
        <w:t>for physical restoration, do not authorize if client is eligible for third party pay</w:t>
      </w:r>
    </w:p>
    <w:p>
      <w:pPr>
        <w:pStyle w:val="ListParagraph"/>
        <w:numPr>
          <w:ilvl w:val="2"/>
          <w:numId w:val="20"/>
        </w:numPr>
        <w:tabs>
          <w:tab w:pos="1439" w:val="left" w:leader="none"/>
        </w:tabs>
        <w:spacing w:line="253"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#96-</w:t>
      </w:r>
      <w:r>
        <w:rPr>
          <w:spacing w:val="-10"/>
          <w:sz w:val="22"/>
        </w:rPr>
        <w:t>5</w:t>
      </w:r>
    </w:p>
    <w:p>
      <w:pPr>
        <w:spacing w:before="0"/>
        <w:ind w:left="1439" w:right="724" w:firstLine="0"/>
        <w:jc w:val="left"/>
        <w:rPr>
          <w:sz w:val="22"/>
        </w:rPr>
      </w:pPr>
      <w:r>
        <w:rPr>
          <w:sz w:val="22"/>
        </w:rPr>
        <w:t>Permanent, supersedes emergency rules issued 4-3-96, also made medical consultant</w:t>
      </w:r>
      <w:r>
        <w:rPr>
          <w:spacing w:val="-4"/>
          <w:sz w:val="22"/>
        </w:rPr>
        <w:t> </w:t>
      </w:r>
      <w:r>
        <w:rPr>
          <w:sz w:val="22"/>
        </w:rPr>
        <w:t>review</w:t>
      </w:r>
      <w:r>
        <w:rPr>
          <w:spacing w:val="-5"/>
          <w:sz w:val="22"/>
        </w:rPr>
        <w:t> </w:t>
      </w:r>
      <w:r>
        <w:rPr>
          <w:sz w:val="22"/>
        </w:rPr>
        <w:t>optional,</w:t>
      </w:r>
      <w:r>
        <w:rPr>
          <w:spacing w:val="-4"/>
          <w:sz w:val="22"/>
        </w:rPr>
        <w:t> </w:t>
      </w:r>
      <w:r>
        <w:rPr>
          <w:sz w:val="22"/>
        </w:rPr>
        <w:t>except</w:t>
      </w:r>
      <w:r>
        <w:rPr>
          <w:spacing w:val="-4"/>
          <w:sz w:val="22"/>
        </w:rPr>
        <w:t> </w:t>
      </w:r>
      <w:r>
        <w:rPr>
          <w:sz w:val="22"/>
        </w:rPr>
        <w:t>for</w:t>
      </w:r>
      <w:r>
        <w:rPr>
          <w:spacing w:val="-4"/>
          <w:sz w:val="22"/>
        </w:rPr>
        <w:t> </w:t>
      </w:r>
      <w:r>
        <w:rPr>
          <w:sz w:val="22"/>
        </w:rPr>
        <w:t>diagnostic</w:t>
      </w:r>
      <w:r>
        <w:rPr>
          <w:spacing w:val="-5"/>
          <w:sz w:val="22"/>
        </w:rPr>
        <w:t> </w:t>
      </w:r>
      <w:r>
        <w:rPr>
          <w:sz w:val="22"/>
        </w:rPr>
        <w:t>procedures</w:t>
      </w:r>
      <w:r>
        <w:rPr>
          <w:spacing w:val="-5"/>
          <w:sz w:val="22"/>
        </w:rPr>
        <w:t> </w:t>
      </w:r>
      <w:r>
        <w:rPr>
          <w:sz w:val="22"/>
        </w:rPr>
        <w:t>which</w:t>
      </w:r>
      <w:r>
        <w:rPr>
          <w:spacing w:val="-4"/>
          <w:sz w:val="22"/>
        </w:rPr>
        <w:t> </w:t>
      </w:r>
      <w:r>
        <w:rPr>
          <w:sz w:val="22"/>
        </w:rPr>
        <w:t>could</w:t>
      </w:r>
      <w:r>
        <w:rPr>
          <w:spacing w:val="-5"/>
          <w:sz w:val="22"/>
        </w:rPr>
        <w:t> </w:t>
      </w:r>
      <w:r>
        <w:rPr>
          <w:sz w:val="22"/>
        </w:rPr>
        <w:t>lead</w:t>
      </w:r>
      <w:r>
        <w:rPr>
          <w:spacing w:val="-4"/>
          <w:sz w:val="22"/>
        </w:rPr>
        <w:t> </w:t>
      </w:r>
      <w:r>
        <w:rPr>
          <w:sz w:val="22"/>
        </w:rPr>
        <w:t>directly to surgery</w:t>
      </w:r>
    </w:p>
    <w:p>
      <w:pPr>
        <w:pStyle w:val="ListParagraph"/>
        <w:numPr>
          <w:ilvl w:val="2"/>
          <w:numId w:val="20"/>
        </w:numPr>
        <w:tabs>
          <w:tab w:pos="1439" w:val="left" w:leader="none"/>
        </w:tabs>
        <w:spacing w:line="240" w:lineRule="auto" w:before="1" w:after="0"/>
        <w:ind w:left="1439" w:right="0" w:hanging="1080"/>
        <w:jc w:val="left"/>
        <w:rPr>
          <w:sz w:val="22"/>
        </w:rPr>
      </w:pPr>
      <w:r>
        <w:rPr>
          <w:sz w:val="22"/>
        </w:rPr>
        <w:t>PT</w:t>
      </w:r>
      <w:r>
        <w:rPr>
          <w:spacing w:val="-8"/>
          <w:sz w:val="22"/>
        </w:rPr>
        <w:t> </w:t>
      </w:r>
      <w:r>
        <w:rPr>
          <w:sz w:val="22"/>
        </w:rPr>
        <w:t>Memo</w:t>
      </w:r>
      <w:r>
        <w:rPr>
          <w:spacing w:val="-8"/>
          <w:sz w:val="22"/>
        </w:rPr>
        <w:t> </w:t>
      </w:r>
      <w:r>
        <w:rPr>
          <w:sz w:val="22"/>
        </w:rPr>
        <w:t>#97-</w:t>
      </w:r>
      <w:r>
        <w:rPr>
          <w:spacing w:val="-10"/>
          <w:sz w:val="22"/>
        </w:rPr>
        <w:t>9</w:t>
      </w:r>
    </w:p>
    <w:p>
      <w:pPr>
        <w:spacing w:before="0"/>
        <w:ind w:left="1439" w:right="1036" w:firstLine="0"/>
        <w:jc w:val="left"/>
        <w:rPr>
          <w:sz w:val="22"/>
        </w:rPr>
      </w:pPr>
      <w:r>
        <w:rPr>
          <w:sz w:val="22"/>
        </w:rPr>
        <w:t>Permanent, replaced provision allowing supplement of third party pay sources, added</w:t>
      </w:r>
      <w:r>
        <w:rPr>
          <w:spacing w:val="-3"/>
          <w:sz w:val="22"/>
        </w:rPr>
        <w:t> </w:t>
      </w:r>
      <w:r>
        <w:rPr>
          <w:sz w:val="22"/>
        </w:rPr>
        <w:t>that</w:t>
      </w:r>
      <w:r>
        <w:rPr>
          <w:spacing w:val="-3"/>
          <w:sz w:val="22"/>
        </w:rPr>
        <w:t> </w:t>
      </w:r>
      <w:r>
        <w:rPr>
          <w:sz w:val="22"/>
        </w:rPr>
        <w:t>verification</w:t>
      </w:r>
      <w:r>
        <w:rPr>
          <w:spacing w:val="-4"/>
          <w:sz w:val="22"/>
        </w:rPr>
        <w:t> </w:t>
      </w:r>
      <w:r>
        <w:rPr>
          <w:sz w:val="22"/>
        </w:rPr>
        <w:t>of</w:t>
      </w:r>
      <w:r>
        <w:rPr>
          <w:spacing w:val="-4"/>
          <w:sz w:val="22"/>
        </w:rPr>
        <w:t> </w:t>
      </w:r>
      <w:r>
        <w:rPr>
          <w:sz w:val="22"/>
        </w:rPr>
        <w:t>eligibility</w:t>
      </w:r>
      <w:r>
        <w:rPr>
          <w:spacing w:val="-3"/>
          <w:sz w:val="22"/>
        </w:rPr>
        <w:t> </w:t>
      </w:r>
      <w:r>
        <w:rPr>
          <w:sz w:val="22"/>
        </w:rPr>
        <w:t>for</w:t>
      </w:r>
      <w:r>
        <w:rPr>
          <w:spacing w:val="-4"/>
          <w:sz w:val="22"/>
        </w:rPr>
        <w:t> </w:t>
      </w:r>
      <w:r>
        <w:rPr>
          <w:sz w:val="22"/>
        </w:rPr>
        <w:t>third</w:t>
      </w:r>
      <w:r>
        <w:rPr>
          <w:spacing w:val="-3"/>
          <w:sz w:val="22"/>
        </w:rPr>
        <w:t> </w:t>
      </w:r>
      <w:r>
        <w:rPr>
          <w:sz w:val="22"/>
        </w:rPr>
        <w:t>party</w:t>
      </w:r>
      <w:r>
        <w:rPr>
          <w:spacing w:val="-3"/>
          <w:sz w:val="22"/>
        </w:rPr>
        <w:t> </w:t>
      </w:r>
      <w:r>
        <w:rPr>
          <w:sz w:val="22"/>
        </w:rPr>
        <w:t>pay</w:t>
      </w:r>
      <w:r>
        <w:rPr>
          <w:spacing w:val="-3"/>
          <w:sz w:val="22"/>
        </w:rPr>
        <w:t> </w:t>
      </w:r>
      <w:r>
        <w:rPr>
          <w:sz w:val="22"/>
        </w:rPr>
        <w:t>be</w:t>
      </w:r>
      <w:r>
        <w:rPr>
          <w:spacing w:val="-3"/>
          <w:sz w:val="22"/>
        </w:rPr>
        <w:t> </w:t>
      </w:r>
      <w:r>
        <w:rPr>
          <w:sz w:val="22"/>
        </w:rPr>
        <w:t>obtained</w:t>
      </w:r>
      <w:r>
        <w:rPr>
          <w:spacing w:val="-3"/>
          <w:sz w:val="22"/>
        </w:rPr>
        <w:t> </w:t>
      </w:r>
      <w:r>
        <w:rPr>
          <w:sz w:val="22"/>
        </w:rPr>
        <w:t>prior</w:t>
      </w:r>
      <w:r>
        <w:rPr>
          <w:spacing w:val="-3"/>
          <w:sz w:val="22"/>
        </w:rPr>
        <w:t> </w:t>
      </w:r>
      <w:r>
        <w:rPr>
          <w:sz w:val="22"/>
        </w:rPr>
        <w:t>to</w:t>
      </w:r>
      <w:r>
        <w:rPr>
          <w:spacing w:val="-3"/>
          <w:sz w:val="22"/>
        </w:rPr>
        <w:t> </w:t>
      </w:r>
      <w:r>
        <w:rPr>
          <w:sz w:val="22"/>
        </w:rPr>
        <w:t>planning physical restoration services</w:t>
      </w:r>
    </w:p>
    <w:p>
      <w:pPr>
        <w:tabs>
          <w:tab w:pos="1439" w:val="left" w:leader="none"/>
        </w:tabs>
        <w:spacing w:line="253" w:lineRule="exact" w:before="0"/>
        <w:ind w:left="359" w:right="0" w:firstLine="0"/>
        <w:jc w:val="left"/>
        <w:rPr>
          <w:sz w:val="22"/>
        </w:rPr>
      </w:pPr>
      <w:r>
        <w:rPr>
          <w:spacing w:val="-2"/>
          <w:sz w:val="22"/>
        </w:rPr>
        <w:t>6-14-</w:t>
      </w:r>
      <w:r>
        <w:rPr>
          <w:spacing w:val="-5"/>
          <w:sz w:val="22"/>
        </w:rPr>
        <w:t>99</w:t>
      </w:r>
      <w:r>
        <w:rPr>
          <w:sz w:val="22"/>
        </w:rPr>
        <w:tab/>
        <w:t>POL</w:t>
      </w:r>
      <w:r>
        <w:rPr>
          <w:spacing w:val="-9"/>
          <w:sz w:val="22"/>
        </w:rPr>
        <w:t> </w:t>
      </w:r>
      <w:r>
        <w:rPr>
          <w:sz w:val="22"/>
        </w:rPr>
        <w:t>Memo</w:t>
      </w:r>
      <w:r>
        <w:rPr>
          <w:spacing w:val="-8"/>
          <w:sz w:val="22"/>
        </w:rPr>
        <w:t> </w:t>
      </w:r>
      <w:r>
        <w:rPr>
          <w:sz w:val="22"/>
        </w:rPr>
        <w:t>#99-</w:t>
      </w:r>
      <w:r>
        <w:rPr>
          <w:spacing w:val="-10"/>
          <w:sz w:val="22"/>
        </w:rPr>
        <w:t>7</w:t>
      </w:r>
    </w:p>
    <w:p>
      <w:pPr>
        <w:spacing w:before="0"/>
        <w:ind w:left="1439" w:right="727" w:firstLine="0"/>
        <w:jc w:val="left"/>
        <w:rPr>
          <w:sz w:val="22"/>
        </w:rPr>
      </w:pPr>
      <w:r>
        <w:rPr>
          <w:sz w:val="22"/>
        </w:rPr>
        <w:t>Emergency,</w:t>
      </w:r>
      <w:r>
        <w:rPr>
          <w:spacing w:val="-4"/>
          <w:sz w:val="22"/>
        </w:rPr>
        <w:t> </w:t>
      </w:r>
      <w:r>
        <w:rPr>
          <w:sz w:val="22"/>
        </w:rPr>
        <w:t>added</w:t>
      </w:r>
      <w:r>
        <w:rPr>
          <w:spacing w:val="-4"/>
          <w:sz w:val="22"/>
        </w:rPr>
        <w:t> </w:t>
      </w:r>
      <w:r>
        <w:rPr>
          <w:sz w:val="22"/>
        </w:rPr>
        <w:t>language</w:t>
      </w:r>
      <w:r>
        <w:rPr>
          <w:spacing w:val="-4"/>
          <w:sz w:val="22"/>
        </w:rPr>
        <w:t> </w:t>
      </w:r>
      <w:r>
        <w:rPr>
          <w:sz w:val="22"/>
        </w:rPr>
        <w:t>from</w:t>
      </w:r>
      <w:r>
        <w:rPr>
          <w:spacing w:val="-5"/>
          <w:sz w:val="22"/>
        </w:rPr>
        <w:t> </w:t>
      </w:r>
      <w:r>
        <w:rPr>
          <w:sz w:val="22"/>
        </w:rPr>
        <w:t>1998</w:t>
      </w:r>
      <w:r>
        <w:rPr>
          <w:spacing w:val="-4"/>
          <w:sz w:val="22"/>
        </w:rPr>
        <w:t> </w:t>
      </w:r>
      <w:r>
        <w:rPr>
          <w:sz w:val="22"/>
        </w:rPr>
        <w:t>amendments</w:t>
      </w:r>
      <w:r>
        <w:rPr>
          <w:spacing w:val="-4"/>
          <w:sz w:val="22"/>
        </w:rPr>
        <w:t> </w:t>
      </w:r>
      <w:r>
        <w:rPr>
          <w:sz w:val="22"/>
        </w:rPr>
        <w:t>to</w:t>
      </w:r>
      <w:r>
        <w:rPr>
          <w:spacing w:val="-4"/>
          <w:sz w:val="22"/>
        </w:rPr>
        <w:t> </w:t>
      </w:r>
      <w:r>
        <w:rPr>
          <w:sz w:val="22"/>
        </w:rPr>
        <w:t>Rehabilitation</w:t>
      </w:r>
      <w:r>
        <w:rPr>
          <w:spacing w:val="-7"/>
          <w:sz w:val="22"/>
        </w:rPr>
        <w:t> </w:t>
      </w:r>
      <w:r>
        <w:rPr>
          <w:sz w:val="22"/>
        </w:rPr>
        <w:t>Act</w:t>
      </w:r>
      <w:r>
        <w:rPr>
          <w:spacing w:val="-4"/>
          <w:sz w:val="22"/>
        </w:rPr>
        <w:t> </w:t>
      </w:r>
      <w:r>
        <w:rPr>
          <w:sz w:val="22"/>
        </w:rPr>
        <w:t>stating</w:t>
      </w:r>
      <w:r>
        <w:rPr>
          <w:spacing w:val="-5"/>
          <w:sz w:val="22"/>
        </w:rPr>
        <w:t> </w:t>
      </w:r>
      <w:r>
        <w:rPr>
          <w:sz w:val="22"/>
        </w:rPr>
        <w:t>we can pay for qualifying physical restoration services when other sources of payment are not available</w:t>
      </w:r>
    </w:p>
    <w:p>
      <w:pPr>
        <w:tabs>
          <w:tab w:pos="1439" w:val="left" w:leader="none"/>
        </w:tabs>
        <w:spacing w:line="253" w:lineRule="exact" w:before="0"/>
        <w:ind w:left="359" w:right="0" w:firstLine="0"/>
        <w:jc w:val="left"/>
        <w:rPr>
          <w:sz w:val="22"/>
        </w:rPr>
      </w:pPr>
      <w:r>
        <w:rPr>
          <w:spacing w:val="-2"/>
          <w:sz w:val="22"/>
        </w:rPr>
        <w:t>7-1-</w:t>
      </w:r>
      <w:r>
        <w:rPr>
          <w:spacing w:val="-5"/>
          <w:sz w:val="22"/>
        </w:rPr>
        <w:t>99</w:t>
      </w:r>
      <w:r>
        <w:rPr>
          <w:sz w:val="22"/>
        </w:rPr>
        <w:tab/>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7-1-02</w:t>
      </w:r>
      <w:r>
        <w:rPr>
          <w:sz w:val="22"/>
        </w:rPr>
        <w:tab/>
        <w:t>POL Memo #02-02</w:t>
      </w:r>
    </w:p>
    <w:p>
      <w:pPr>
        <w:tabs>
          <w:tab w:pos="1439" w:val="left" w:leader="none"/>
        </w:tabs>
        <w:spacing w:before="1"/>
        <w:ind w:left="359" w:right="4425" w:firstLine="1080"/>
        <w:jc w:val="left"/>
        <w:rPr>
          <w:sz w:val="22"/>
        </w:rPr>
      </w:pPr>
      <w:r>
        <w:rPr>
          <w:sz w:val="22"/>
        </w:rPr>
        <w:t>Permanent,</w:t>
      </w:r>
      <w:r>
        <w:rPr>
          <w:spacing w:val="-6"/>
          <w:sz w:val="22"/>
        </w:rPr>
        <w:t> </w:t>
      </w:r>
      <w:r>
        <w:rPr>
          <w:sz w:val="22"/>
        </w:rPr>
        <w:t>no</w:t>
      </w:r>
      <w:r>
        <w:rPr>
          <w:spacing w:val="-7"/>
          <w:sz w:val="22"/>
        </w:rPr>
        <w:t> </w:t>
      </w:r>
      <w:r>
        <w:rPr>
          <w:sz w:val="22"/>
        </w:rPr>
        <w:t>restoration</w:t>
      </w:r>
      <w:r>
        <w:rPr>
          <w:spacing w:val="-7"/>
          <w:sz w:val="22"/>
        </w:rPr>
        <w:t> </w:t>
      </w:r>
      <w:r>
        <w:rPr>
          <w:sz w:val="22"/>
        </w:rPr>
        <w:t>services</w:t>
      </w:r>
      <w:r>
        <w:rPr>
          <w:spacing w:val="-7"/>
          <w:sz w:val="22"/>
        </w:rPr>
        <w:t> </w:t>
      </w:r>
      <w:r>
        <w:rPr>
          <w:sz w:val="22"/>
        </w:rPr>
        <w:t>prior</w:t>
      </w:r>
      <w:r>
        <w:rPr>
          <w:spacing w:val="-7"/>
          <w:sz w:val="22"/>
        </w:rPr>
        <w:t> </w:t>
      </w:r>
      <w:r>
        <w:rPr>
          <w:sz w:val="22"/>
        </w:rPr>
        <w:t>to</w:t>
      </w:r>
      <w:r>
        <w:rPr>
          <w:spacing w:val="-7"/>
          <w:sz w:val="22"/>
        </w:rPr>
        <w:t> </w:t>
      </w:r>
      <w:r>
        <w:rPr>
          <w:sz w:val="22"/>
        </w:rPr>
        <w:t>IPE </w:t>
      </w:r>
      <w:r>
        <w:rPr>
          <w:spacing w:val="-2"/>
          <w:sz w:val="22"/>
        </w:rPr>
        <w:t>7-1-04</w:t>
      </w:r>
      <w:r>
        <w:rPr>
          <w:sz w:val="22"/>
        </w:rPr>
        <w:tab/>
        <w:t>PT Memo #05-01</w:t>
      </w:r>
    </w:p>
    <w:p>
      <w:pPr>
        <w:tabs>
          <w:tab w:pos="1439" w:val="left" w:leader="none"/>
        </w:tabs>
        <w:spacing w:before="0"/>
        <w:ind w:left="359" w:right="3668" w:firstLine="1080"/>
        <w:jc w:val="left"/>
        <w:rPr>
          <w:sz w:val="22"/>
        </w:rPr>
      </w:pPr>
      <w:r>
        <w:rPr>
          <w:sz w:val="22"/>
        </w:rPr>
        <w:t>Permanent,</w:t>
      </w:r>
      <w:r>
        <w:rPr>
          <w:spacing w:val="-6"/>
          <w:sz w:val="22"/>
        </w:rPr>
        <w:t> </w:t>
      </w:r>
      <w:r>
        <w:rPr>
          <w:sz w:val="22"/>
        </w:rPr>
        <w:t>narrowing</w:t>
      </w:r>
      <w:r>
        <w:rPr>
          <w:spacing w:val="-7"/>
          <w:sz w:val="22"/>
        </w:rPr>
        <w:t> </w:t>
      </w:r>
      <w:r>
        <w:rPr>
          <w:sz w:val="22"/>
        </w:rPr>
        <w:t>restorative</w:t>
      </w:r>
      <w:r>
        <w:rPr>
          <w:spacing w:val="-8"/>
          <w:sz w:val="22"/>
        </w:rPr>
        <w:t> </w:t>
      </w:r>
      <w:r>
        <w:rPr>
          <w:sz w:val="22"/>
        </w:rPr>
        <w:t>services</w:t>
      </w:r>
      <w:r>
        <w:rPr>
          <w:spacing w:val="-7"/>
          <w:sz w:val="22"/>
        </w:rPr>
        <w:t> </w:t>
      </w:r>
      <w:r>
        <w:rPr>
          <w:sz w:val="22"/>
        </w:rPr>
        <w:t>to</w:t>
      </w:r>
      <w:r>
        <w:rPr>
          <w:spacing w:val="-8"/>
          <w:sz w:val="22"/>
        </w:rPr>
        <w:t> </w:t>
      </w:r>
      <w:r>
        <w:rPr>
          <w:sz w:val="22"/>
        </w:rPr>
        <w:t>3</w:t>
      </w:r>
      <w:r>
        <w:rPr>
          <w:spacing w:val="-7"/>
          <w:sz w:val="22"/>
        </w:rPr>
        <w:t> </w:t>
      </w:r>
      <w:r>
        <w:rPr>
          <w:sz w:val="22"/>
        </w:rPr>
        <w:t>months </w:t>
      </w:r>
      <w:r>
        <w:rPr>
          <w:spacing w:val="-2"/>
          <w:sz w:val="22"/>
        </w:rPr>
        <w:t>7-1-10</w:t>
      </w:r>
      <w:r>
        <w:rPr>
          <w:sz w:val="22"/>
        </w:rPr>
        <w:tab/>
        <w:t>PT Memo #10-02</w:t>
      </w:r>
    </w:p>
    <w:p>
      <w:pPr>
        <w:spacing w:before="0"/>
        <w:ind w:left="1438" w:right="0" w:firstLine="0"/>
        <w:jc w:val="left"/>
        <w:rPr>
          <w:sz w:val="22"/>
        </w:rPr>
      </w:pPr>
      <w:r>
        <w:rPr>
          <w:sz w:val="22"/>
        </w:rPr>
        <w:t>Permanent,</w:t>
      </w:r>
      <w:r>
        <w:rPr>
          <w:spacing w:val="-9"/>
          <w:sz w:val="22"/>
        </w:rPr>
        <w:t> </w:t>
      </w:r>
      <w:r>
        <w:rPr>
          <w:sz w:val="22"/>
        </w:rPr>
        <w:t>updating</w:t>
      </w:r>
      <w:r>
        <w:rPr>
          <w:spacing w:val="-8"/>
          <w:sz w:val="22"/>
        </w:rPr>
        <w:t> </w:t>
      </w:r>
      <w:r>
        <w:rPr>
          <w:sz w:val="22"/>
        </w:rPr>
        <w:t>policy</w:t>
      </w:r>
      <w:r>
        <w:rPr>
          <w:spacing w:val="-8"/>
          <w:sz w:val="22"/>
        </w:rPr>
        <w:t> </w:t>
      </w:r>
      <w:r>
        <w:rPr>
          <w:sz w:val="22"/>
        </w:rPr>
        <w:t>for</w:t>
      </w:r>
      <w:r>
        <w:rPr>
          <w:spacing w:val="-7"/>
          <w:sz w:val="22"/>
        </w:rPr>
        <w:t> </w:t>
      </w:r>
      <w:r>
        <w:rPr>
          <w:spacing w:val="-2"/>
          <w:sz w:val="22"/>
        </w:rPr>
        <w:t>accuracy.</w:t>
      </w:r>
    </w:p>
    <w:p>
      <w:pPr>
        <w:pStyle w:val="ListParagraph"/>
        <w:numPr>
          <w:ilvl w:val="2"/>
          <w:numId w:val="163"/>
        </w:numPr>
        <w:tabs>
          <w:tab w:pos="1438" w:val="left" w:leader="none"/>
        </w:tabs>
        <w:spacing w:line="240" w:lineRule="auto" w:before="0" w:after="0"/>
        <w:ind w:left="1438" w:right="0" w:hanging="1080"/>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pStyle w:val="ListParagraph"/>
        <w:spacing w:after="0" w:line="240" w:lineRule="auto"/>
        <w:jc w:val="left"/>
        <w:rPr>
          <w:sz w:val="22"/>
        </w:rPr>
        <w:sectPr>
          <w:pgSz w:w="12240" w:h="15840"/>
          <w:pgMar w:top="1340" w:bottom="280" w:left="1080" w:right="720"/>
        </w:sectPr>
      </w:pPr>
    </w:p>
    <w:p>
      <w:pPr>
        <w:spacing w:before="80"/>
        <w:ind w:left="1440" w:right="775" w:firstLine="0"/>
        <w:jc w:val="left"/>
        <w:rPr>
          <w:sz w:val="22"/>
        </w:rPr>
      </w:pPr>
      <w:r>
        <w:rPr>
          <w:sz w:val="22"/>
        </w:rPr>
        <w:t>Permanent,</w:t>
      </w:r>
      <w:r>
        <w:rPr>
          <w:spacing w:val="-4"/>
          <w:sz w:val="22"/>
        </w:rPr>
        <w:t> </w:t>
      </w:r>
      <w:r>
        <w:rPr>
          <w:sz w:val="22"/>
        </w:rPr>
        <w:t>removed</w:t>
      </w:r>
      <w:r>
        <w:rPr>
          <w:spacing w:val="-4"/>
          <w:sz w:val="22"/>
        </w:rPr>
        <w:t> </w:t>
      </w:r>
      <w:r>
        <w:rPr>
          <w:sz w:val="22"/>
        </w:rPr>
        <w:t>duplicative</w:t>
      </w:r>
      <w:r>
        <w:rPr>
          <w:spacing w:val="-4"/>
          <w:sz w:val="22"/>
        </w:rPr>
        <w:t> </w:t>
      </w:r>
      <w:r>
        <w:rPr>
          <w:sz w:val="22"/>
        </w:rPr>
        <w:t>language</w:t>
      </w:r>
      <w:r>
        <w:rPr>
          <w:spacing w:val="-4"/>
          <w:sz w:val="22"/>
        </w:rPr>
        <w:t> </w:t>
      </w:r>
      <w:r>
        <w:rPr>
          <w:sz w:val="22"/>
        </w:rPr>
        <w:t>and</w:t>
      </w:r>
      <w:r>
        <w:rPr>
          <w:spacing w:val="-4"/>
          <w:sz w:val="22"/>
        </w:rPr>
        <w:t> </w:t>
      </w:r>
      <w:r>
        <w:rPr>
          <w:sz w:val="22"/>
        </w:rPr>
        <w:t>added</w:t>
      </w:r>
      <w:r>
        <w:rPr>
          <w:spacing w:val="-4"/>
          <w:sz w:val="22"/>
        </w:rPr>
        <w:t> </w:t>
      </w:r>
      <w:r>
        <w:rPr>
          <w:sz w:val="22"/>
        </w:rPr>
        <w:t>surgery</w:t>
      </w:r>
      <w:r>
        <w:rPr>
          <w:spacing w:val="-4"/>
          <w:sz w:val="22"/>
        </w:rPr>
        <w:t> </w:t>
      </w:r>
      <w:r>
        <w:rPr>
          <w:sz w:val="22"/>
        </w:rPr>
        <w:t>for</w:t>
      </w:r>
      <w:r>
        <w:rPr>
          <w:spacing w:val="-4"/>
          <w:sz w:val="22"/>
        </w:rPr>
        <w:t> </w:t>
      </w:r>
      <w:r>
        <w:rPr>
          <w:sz w:val="22"/>
        </w:rPr>
        <w:t>weight</w:t>
      </w:r>
      <w:r>
        <w:rPr>
          <w:spacing w:val="-5"/>
          <w:sz w:val="22"/>
        </w:rPr>
        <w:t> </w:t>
      </w:r>
      <w:r>
        <w:rPr>
          <w:sz w:val="22"/>
        </w:rPr>
        <w:t>loss</w:t>
      </w:r>
      <w:r>
        <w:rPr>
          <w:spacing w:val="-4"/>
          <w:sz w:val="22"/>
        </w:rPr>
        <w:t> </w:t>
      </w:r>
      <w:r>
        <w:rPr>
          <w:sz w:val="22"/>
        </w:rPr>
        <w:t>when medically necessary.</w:t>
      </w:r>
    </w:p>
    <w:p>
      <w:pPr>
        <w:pStyle w:val="ListParagraph"/>
        <w:numPr>
          <w:ilvl w:val="2"/>
          <w:numId w:val="163"/>
        </w:numPr>
        <w:tabs>
          <w:tab w:pos="1439" w:val="left" w:leader="none"/>
        </w:tabs>
        <w:spacing w:line="252" w:lineRule="exact" w:before="0" w:after="0"/>
        <w:ind w:left="1439" w:right="0" w:hanging="1079"/>
        <w:jc w:val="left"/>
        <w:rPr>
          <w:sz w:val="22"/>
        </w:rPr>
      </w:pPr>
      <w:r>
        <w:rPr>
          <w:sz w:val="22"/>
        </w:rPr>
        <w:t>Permanent,</w:t>
      </w:r>
      <w:r>
        <w:rPr>
          <w:spacing w:val="-7"/>
          <w:sz w:val="22"/>
        </w:rPr>
        <w:t> </w:t>
      </w:r>
      <w:r>
        <w:rPr>
          <w:sz w:val="22"/>
        </w:rPr>
        <w:t>added</w:t>
      </w:r>
      <w:r>
        <w:rPr>
          <w:spacing w:val="-8"/>
          <w:sz w:val="22"/>
        </w:rPr>
        <w:t> </w:t>
      </w:r>
      <w:r>
        <w:rPr>
          <w:sz w:val="22"/>
        </w:rPr>
        <w:t>definition</w:t>
      </w:r>
      <w:r>
        <w:rPr>
          <w:spacing w:val="-7"/>
          <w:sz w:val="22"/>
        </w:rPr>
        <w:t> </w:t>
      </w:r>
      <w:r>
        <w:rPr>
          <w:sz w:val="22"/>
        </w:rPr>
        <w:t>to</w:t>
      </w:r>
      <w:r>
        <w:rPr>
          <w:spacing w:val="-8"/>
          <w:sz w:val="22"/>
        </w:rPr>
        <w:t> </w:t>
      </w:r>
      <w:r>
        <w:rPr>
          <w:sz w:val="22"/>
        </w:rPr>
        <w:t>dental</w:t>
      </w:r>
      <w:r>
        <w:rPr>
          <w:spacing w:val="-8"/>
          <w:sz w:val="22"/>
        </w:rPr>
        <w:t> </w:t>
      </w:r>
      <w:r>
        <w:rPr>
          <w:spacing w:val="-2"/>
          <w:sz w:val="22"/>
        </w:rPr>
        <w:t>services</w:t>
      </w:r>
    </w:p>
    <w:p>
      <w:pPr>
        <w:tabs>
          <w:tab w:pos="1439" w:val="left" w:leader="none"/>
        </w:tabs>
        <w:spacing w:before="0"/>
        <w:ind w:left="1440"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spacing w:before="0"/>
        <w:ind w:left="1440" w:right="775" w:firstLine="0"/>
        <w:jc w:val="left"/>
        <w:rPr>
          <w:sz w:val="22"/>
        </w:rPr>
      </w:pPr>
      <w:r>
        <w:rPr>
          <w:sz w:val="22"/>
        </w:rPr>
        <w:t>Added</w:t>
      </w:r>
      <w:r>
        <w:rPr>
          <w:spacing w:val="-5"/>
          <w:sz w:val="22"/>
        </w:rPr>
        <w:t> </w:t>
      </w:r>
      <w:r>
        <w:rPr>
          <w:sz w:val="22"/>
        </w:rPr>
        <w:t>language</w:t>
      </w:r>
      <w:r>
        <w:rPr>
          <w:spacing w:val="-5"/>
          <w:sz w:val="22"/>
        </w:rPr>
        <w:t> </w:t>
      </w:r>
      <w:r>
        <w:rPr>
          <w:sz w:val="22"/>
        </w:rPr>
        <w:t>on</w:t>
      </w:r>
      <w:r>
        <w:rPr>
          <w:spacing w:val="-5"/>
          <w:sz w:val="22"/>
        </w:rPr>
        <w:t> </w:t>
      </w:r>
      <w:r>
        <w:rPr>
          <w:sz w:val="22"/>
        </w:rPr>
        <w:t>lenses</w:t>
      </w:r>
      <w:r>
        <w:rPr>
          <w:spacing w:val="-5"/>
          <w:sz w:val="22"/>
        </w:rPr>
        <w:t> </w:t>
      </w:r>
      <w:r>
        <w:rPr>
          <w:sz w:val="22"/>
        </w:rPr>
        <w:t>and</w:t>
      </w:r>
      <w:r>
        <w:rPr>
          <w:spacing w:val="-5"/>
          <w:sz w:val="22"/>
        </w:rPr>
        <w:t> </w:t>
      </w:r>
      <w:r>
        <w:rPr>
          <w:sz w:val="22"/>
        </w:rPr>
        <w:t>frames</w:t>
      </w:r>
      <w:r>
        <w:rPr>
          <w:spacing w:val="-5"/>
          <w:sz w:val="22"/>
        </w:rPr>
        <w:t> </w:t>
      </w:r>
      <w:r>
        <w:rPr>
          <w:sz w:val="22"/>
        </w:rPr>
        <w:t>to</w:t>
      </w:r>
      <w:r>
        <w:rPr>
          <w:spacing w:val="-5"/>
          <w:sz w:val="22"/>
        </w:rPr>
        <w:t> </w:t>
      </w:r>
      <w:r>
        <w:rPr>
          <w:sz w:val="22"/>
        </w:rPr>
        <w:t>include</w:t>
      </w:r>
      <w:r>
        <w:rPr>
          <w:spacing w:val="-5"/>
          <w:sz w:val="22"/>
        </w:rPr>
        <w:t> </w:t>
      </w:r>
      <w:r>
        <w:rPr>
          <w:sz w:val="22"/>
        </w:rPr>
        <w:t>written</w:t>
      </w:r>
      <w:r>
        <w:rPr>
          <w:spacing w:val="-5"/>
          <w:sz w:val="22"/>
        </w:rPr>
        <w:t> </w:t>
      </w:r>
      <w:r>
        <w:rPr>
          <w:sz w:val="22"/>
        </w:rPr>
        <w:t>medical/vocational justification on eye examinations.</w:t>
      </w:r>
    </w:p>
    <w:p>
      <w:pPr>
        <w:spacing w:before="1"/>
        <w:ind w:left="1440" w:right="775" w:firstLine="0"/>
        <w:jc w:val="left"/>
        <w:rPr>
          <w:sz w:val="22"/>
        </w:rPr>
      </w:pPr>
      <w:r>
        <w:rPr>
          <w:sz w:val="22"/>
        </w:rPr>
        <w:t>Added</w:t>
      </w:r>
      <w:r>
        <w:rPr>
          <w:spacing w:val="-1"/>
          <w:sz w:val="22"/>
        </w:rPr>
        <w:t> </w:t>
      </w:r>
      <w:r>
        <w:rPr>
          <w:sz w:val="22"/>
        </w:rPr>
        <w:t>language</w:t>
      </w:r>
      <w:r>
        <w:rPr>
          <w:spacing w:val="-1"/>
          <w:sz w:val="22"/>
        </w:rPr>
        <w:t> </w:t>
      </w:r>
      <w:r>
        <w:rPr>
          <w:sz w:val="22"/>
        </w:rPr>
        <w:t>on</w:t>
      </w:r>
      <w:r>
        <w:rPr>
          <w:spacing w:val="-1"/>
          <w:sz w:val="22"/>
        </w:rPr>
        <w:t> </w:t>
      </w:r>
      <w:r>
        <w:rPr>
          <w:sz w:val="22"/>
        </w:rPr>
        <w:t>weight</w:t>
      </w:r>
      <w:r>
        <w:rPr>
          <w:spacing w:val="-1"/>
          <w:sz w:val="22"/>
        </w:rPr>
        <w:t> </w:t>
      </w:r>
      <w:r>
        <w:rPr>
          <w:sz w:val="22"/>
        </w:rPr>
        <w:t>loss</w:t>
      </w:r>
      <w:r>
        <w:rPr>
          <w:spacing w:val="-1"/>
          <w:sz w:val="22"/>
        </w:rPr>
        <w:t> </w:t>
      </w:r>
      <w:r>
        <w:rPr>
          <w:sz w:val="22"/>
        </w:rPr>
        <w:t>treatment</w:t>
      </w:r>
      <w:r>
        <w:rPr>
          <w:spacing w:val="-1"/>
          <w:sz w:val="22"/>
        </w:rPr>
        <w:t> </w:t>
      </w:r>
      <w:r>
        <w:rPr>
          <w:sz w:val="22"/>
        </w:rPr>
        <w:t>to</w:t>
      </w:r>
      <w:r>
        <w:rPr>
          <w:spacing w:val="-1"/>
          <w:sz w:val="22"/>
        </w:rPr>
        <w:t> </w:t>
      </w:r>
      <w:r>
        <w:rPr>
          <w:sz w:val="22"/>
        </w:rPr>
        <w:t>include</w:t>
      </w:r>
      <w:r>
        <w:rPr>
          <w:spacing w:val="-1"/>
          <w:sz w:val="22"/>
        </w:rPr>
        <w:t> </w:t>
      </w:r>
      <w:r>
        <w:rPr>
          <w:sz w:val="22"/>
        </w:rPr>
        <w:t>receiving</w:t>
      </w:r>
      <w:r>
        <w:rPr>
          <w:spacing w:val="-1"/>
          <w:sz w:val="22"/>
        </w:rPr>
        <w:t> </w:t>
      </w:r>
      <w:r>
        <w:rPr>
          <w:sz w:val="22"/>
        </w:rPr>
        <w:t>a</w:t>
      </w:r>
      <w:r>
        <w:rPr>
          <w:spacing w:val="-1"/>
          <w:sz w:val="22"/>
        </w:rPr>
        <w:t> </w:t>
      </w:r>
      <w:r>
        <w:rPr>
          <w:sz w:val="22"/>
        </w:rPr>
        <w:t>second</w:t>
      </w:r>
      <w:r>
        <w:rPr>
          <w:spacing w:val="-2"/>
          <w:sz w:val="22"/>
        </w:rPr>
        <w:t> </w:t>
      </w:r>
      <w:r>
        <w:rPr>
          <w:sz w:val="22"/>
        </w:rPr>
        <w:t>confirming medical opinion when treated for morbid obesity. When considering treatment the supervisor</w:t>
      </w:r>
      <w:r>
        <w:rPr>
          <w:spacing w:val="-6"/>
          <w:sz w:val="22"/>
        </w:rPr>
        <w:t> </w:t>
      </w:r>
      <w:r>
        <w:rPr>
          <w:sz w:val="22"/>
        </w:rPr>
        <w:t>shall</w:t>
      </w:r>
      <w:r>
        <w:rPr>
          <w:spacing w:val="-4"/>
          <w:sz w:val="22"/>
        </w:rPr>
        <w:t> </w:t>
      </w:r>
      <w:r>
        <w:rPr>
          <w:sz w:val="22"/>
        </w:rPr>
        <w:t>consider</w:t>
      </w:r>
      <w:r>
        <w:rPr>
          <w:spacing w:val="-4"/>
          <w:sz w:val="22"/>
        </w:rPr>
        <w:t> </w:t>
      </w:r>
      <w:r>
        <w:rPr>
          <w:sz w:val="22"/>
        </w:rPr>
        <w:t>the</w:t>
      </w:r>
      <w:r>
        <w:rPr>
          <w:spacing w:val="-4"/>
          <w:sz w:val="22"/>
        </w:rPr>
        <w:t> </w:t>
      </w:r>
      <w:r>
        <w:rPr>
          <w:sz w:val="22"/>
        </w:rPr>
        <w:t>individual</w:t>
      </w:r>
      <w:r>
        <w:rPr>
          <w:sz w:val="24"/>
        </w:rPr>
        <w:t>'</w:t>
      </w:r>
      <w:r>
        <w:rPr>
          <w:sz w:val="22"/>
        </w:rPr>
        <w:t>s</w:t>
      </w:r>
      <w:r>
        <w:rPr>
          <w:spacing w:val="-4"/>
          <w:sz w:val="22"/>
        </w:rPr>
        <w:t> </w:t>
      </w:r>
      <w:r>
        <w:rPr>
          <w:sz w:val="22"/>
        </w:rPr>
        <w:t>past</w:t>
      </w:r>
      <w:r>
        <w:rPr>
          <w:spacing w:val="-4"/>
          <w:sz w:val="22"/>
        </w:rPr>
        <w:t> </w:t>
      </w:r>
      <w:r>
        <w:rPr>
          <w:sz w:val="22"/>
        </w:rPr>
        <w:t>experience</w:t>
      </w:r>
      <w:r>
        <w:rPr>
          <w:spacing w:val="-4"/>
          <w:sz w:val="22"/>
        </w:rPr>
        <w:t> </w:t>
      </w:r>
      <w:r>
        <w:rPr>
          <w:sz w:val="22"/>
        </w:rPr>
        <w:t>with</w:t>
      </w:r>
      <w:r>
        <w:rPr>
          <w:spacing w:val="-4"/>
          <w:sz w:val="22"/>
        </w:rPr>
        <w:t> </w:t>
      </w:r>
      <w:r>
        <w:rPr>
          <w:sz w:val="22"/>
        </w:rPr>
        <w:t>standard</w:t>
      </w:r>
      <w:r>
        <w:rPr>
          <w:spacing w:val="-5"/>
          <w:sz w:val="22"/>
        </w:rPr>
        <w:t> </w:t>
      </w:r>
      <w:r>
        <w:rPr>
          <w:sz w:val="22"/>
        </w:rPr>
        <w:t>weight</w:t>
      </w:r>
      <w:r>
        <w:rPr>
          <w:spacing w:val="-4"/>
          <w:sz w:val="22"/>
        </w:rPr>
        <w:t> </w:t>
      </w:r>
      <w:r>
        <w:rPr>
          <w:sz w:val="22"/>
        </w:rPr>
        <w:t>loss and the individual</w:t>
      </w:r>
      <w:r>
        <w:rPr>
          <w:sz w:val="24"/>
        </w:rPr>
        <w:t>'</w:t>
      </w:r>
      <w:r>
        <w:rPr>
          <w:sz w:val="22"/>
        </w:rPr>
        <w:t>s ability to obtain long-term benefit from surgery.</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359" w:right="0" w:firstLine="0"/>
        <w:jc w:val="left"/>
        <w:rPr>
          <w:sz w:val="22"/>
        </w:rPr>
      </w:pPr>
      <w:r>
        <w:rPr>
          <w:spacing w:val="-2"/>
          <w:sz w:val="22"/>
        </w:rPr>
        <w:t>9-30-</w:t>
      </w:r>
      <w:r>
        <w:rPr>
          <w:spacing w:val="-5"/>
          <w:sz w:val="22"/>
        </w:rPr>
        <w:t>19</w:t>
      </w:r>
      <w:r>
        <w:rPr>
          <w:sz w:val="22"/>
        </w:rPr>
        <w:tab/>
        <w:t>Added</w:t>
      </w:r>
      <w:r>
        <w:rPr>
          <w:spacing w:val="-5"/>
          <w:sz w:val="22"/>
        </w:rPr>
        <w:t> </w:t>
      </w:r>
      <w:r>
        <w:rPr>
          <w:sz w:val="22"/>
        </w:rPr>
        <w:t>ITS</w:t>
      </w:r>
      <w:r>
        <w:rPr>
          <w:spacing w:val="-5"/>
          <w:sz w:val="22"/>
        </w:rPr>
        <w:t> </w:t>
      </w:r>
      <w:r>
        <w:rPr>
          <w:sz w:val="22"/>
        </w:rPr>
        <w:t>#11</w:t>
      </w:r>
      <w:r>
        <w:rPr>
          <w:spacing w:val="-4"/>
          <w:sz w:val="22"/>
        </w:rPr>
        <w:t> </w:t>
      </w:r>
      <w:r>
        <w:rPr>
          <w:sz w:val="22"/>
        </w:rPr>
        <w:t>and</w:t>
      </w:r>
      <w:r>
        <w:rPr>
          <w:spacing w:val="-5"/>
          <w:sz w:val="22"/>
        </w:rPr>
        <w:t> </w:t>
      </w:r>
      <w:r>
        <w:rPr>
          <w:spacing w:val="-2"/>
          <w:sz w:val="22"/>
        </w:rPr>
        <w:t>hyperlink.</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tabs>
          <w:tab w:pos="1439" w:val="left" w:leader="none"/>
        </w:tabs>
        <w:spacing w:before="0"/>
        <w:ind w:left="1439" w:right="720" w:hanging="1080"/>
        <w:jc w:val="left"/>
        <w:rPr>
          <w:sz w:val="22"/>
        </w:rPr>
      </w:pPr>
      <w:r>
        <w:rPr>
          <w:spacing w:val="-2"/>
          <w:sz w:val="22"/>
        </w:rPr>
        <w:t>9-11-22</w:t>
      </w:r>
      <w:r>
        <w:rPr>
          <w:sz w:val="22"/>
        </w:rPr>
        <w:tab/>
        <w:t>Added</w:t>
      </w:r>
      <w:r>
        <w:rPr>
          <w:spacing w:val="-4"/>
          <w:sz w:val="22"/>
        </w:rPr>
        <w:t> </w:t>
      </w:r>
      <w:r>
        <w:rPr>
          <w:sz w:val="22"/>
        </w:rPr>
        <w:t>language</w:t>
      </w:r>
      <w:r>
        <w:rPr>
          <w:spacing w:val="-4"/>
          <w:sz w:val="22"/>
        </w:rPr>
        <w:t> </w:t>
      </w:r>
      <w:r>
        <w:rPr>
          <w:sz w:val="22"/>
        </w:rPr>
        <w:t>for</w:t>
      </w:r>
      <w:r>
        <w:rPr>
          <w:spacing w:val="-4"/>
          <w:sz w:val="22"/>
        </w:rPr>
        <w:t> </w:t>
      </w:r>
      <w:r>
        <w:rPr>
          <w:sz w:val="22"/>
        </w:rPr>
        <w:t>speech-language</w:t>
      </w:r>
      <w:r>
        <w:rPr>
          <w:spacing w:val="-4"/>
          <w:sz w:val="22"/>
        </w:rPr>
        <w:t> </w:t>
      </w:r>
      <w:r>
        <w:rPr>
          <w:sz w:val="22"/>
        </w:rPr>
        <w:t>pathologist</w:t>
      </w:r>
      <w:r>
        <w:rPr>
          <w:spacing w:val="-4"/>
          <w:sz w:val="22"/>
        </w:rPr>
        <w:t> </w:t>
      </w:r>
      <w:r>
        <w:rPr>
          <w:sz w:val="22"/>
        </w:rPr>
        <w:t>(SLP)</w:t>
      </w:r>
      <w:r>
        <w:rPr>
          <w:spacing w:val="-4"/>
          <w:sz w:val="22"/>
        </w:rPr>
        <w:t> </w:t>
      </w:r>
      <w:r>
        <w:rPr>
          <w:sz w:val="22"/>
        </w:rPr>
        <w:t>under</w:t>
      </w:r>
      <w:r>
        <w:rPr>
          <w:spacing w:val="-4"/>
          <w:sz w:val="22"/>
        </w:rPr>
        <w:t> </w:t>
      </w:r>
      <w:r>
        <w:rPr>
          <w:sz w:val="22"/>
        </w:rPr>
        <w:t>section</w:t>
      </w:r>
      <w:r>
        <w:rPr>
          <w:spacing w:val="-4"/>
          <w:sz w:val="22"/>
        </w:rPr>
        <w:t> </w:t>
      </w:r>
      <w:r>
        <w:rPr>
          <w:sz w:val="22"/>
        </w:rPr>
        <w:t>(f)</w:t>
      </w:r>
      <w:r>
        <w:rPr>
          <w:spacing w:val="-5"/>
          <w:sz w:val="22"/>
        </w:rPr>
        <w:t> </w:t>
      </w:r>
      <w:r>
        <w:rPr>
          <w:sz w:val="22"/>
        </w:rPr>
        <w:t>(18).</w:t>
      </w:r>
      <w:r>
        <w:rPr>
          <w:spacing w:val="-4"/>
          <w:sz w:val="22"/>
        </w:rPr>
        <w:t> </w:t>
      </w:r>
      <w:r>
        <w:rPr>
          <w:sz w:val="22"/>
        </w:rPr>
        <w:t>Added ITS #3 612:10-7-164 Personal and work adjustment training, #11 speech therapy assessment, renumbered accordingly.</w:t>
      </w:r>
    </w:p>
    <w:p>
      <w:pPr>
        <w:spacing w:after="0"/>
        <w:jc w:val="left"/>
        <w:rPr>
          <w:sz w:val="22"/>
        </w:rPr>
        <w:sectPr>
          <w:pgSz w:w="12240" w:h="15840"/>
          <w:pgMar w:top="1360" w:bottom="280" w:left="1080" w:right="720"/>
        </w:sectPr>
      </w:pPr>
    </w:p>
    <w:p>
      <w:pPr>
        <w:pStyle w:val="Heading1"/>
        <w:ind w:right="778"/>
      </w:pPr>
      <w:bookmarkStart w:name="PART 13. SUPPORTIVE SERVICES" w:id="159"/>
      <w:bookmarkEnd w:id="159"/>
      <w:r>
        <w:rPr>
          <w:b w:val="0"/>
        </w:rPr>
      </w:r>
      <w:r>
        <w:rPr/>
        <w:t>PART</w:t>
      </w:r>
      <w:r>
        <w:rPr>
          <w:spacing w:val="-3"/>
        </w:rPr>
        <w:t> </w:t>
      </w:r>
      <w:r>
        <w:rPr/>
        <w:t>13.</w:t>
      </w:r>
      <w:r>
        <w:rPr>
          <w:spacing w:val="-3"/>
        </w:rPr>
        <w:t> </w:t>
      </w:r>
      <w:r>
        <w:rPr/>
        <w:t>SUPPORTIVE</w:t>
      </w:r>
      <w:r>
        <w:rPr>
          <w:spacing w:val="-3"/>
        </w:rPr>
        <w:t> </w:t>
      </w:r>
      <w:r>
        <w:rPr>
          <w:spacing w:val="-2"/>
        </w:rPr>
        <w:t>SERVICES</w:t>
      </w:r>
    </w:p>
    <w:p>
      <w:pPr>
        <w:pStyle w:val="BodyText"/>
        <w:spacing w:before="204"/>
        <w:ind w:left="359"/>
      </w:pPr>
      <w:r>
        <w:rPr>
          <w:spacing w:val="-2"/>
        </w:rPr>
        <w:t>Section</w:t>
      </w:r>
    </w:p>
    <w:p>
      <w:pPr>
        <w:pStyle w:val="BodyText"/>
        <w:tabs>
          <w:tab w:pos="2519" w:val="left" w:leader="none"/>
        </w:tabs>
        <w:spacing w:before="204"/>
        <w:ind w:left="359"/>
      </w:pPr>
      <w:r>
        <w:rPr>
          <w:spacing w:val="-2"/>
        </w:rPr>
        <w:t>612:10-7-</w:t>
      </w:r>
      <w:r>
        <w:rPr>
          <w:spacing w:val="-4"/>
        </w:rPr>
        <w:t>130.</w:t>
      </w:r>
      <w:r>
        <w:rPr/>
        <w:tab/>
      </w:r>
      <w:r>
        <w:rPr>
          <w:spacing w:val="-2"/>
        </w:rPr>
        <w:t>Maintenance</w:t>
      </w:r>
    </w:p>
    <w:p>
      <w:pPr>
        <w:pStyle w:val="BodyText"/>
        <w:tabs>
          <w:tab w:pos="2519" w:val="left" w:leader="none"/>
        </w:tabs>
        <w:spacing w:before="204"/>
        <w:ind w:left="359"/>
      </w:pPr>
      <w:r>
        <w:rPr>
          <w:spacing w:val="-2"/>
        </w:rPr>
        <w:t>612:10-7-</w:t>
      </w:r>
      <w:r>
        <w:rPr>
          <w:spacing w:val="-4"/>
        </w:rPr>
        <w:t>131.</w:t>
      </w:r>
      <w:r>
        <w:rPr/>
        <w:tab/>
      </w:r>
      <w:r>
        <w:rPr>
          <w:spacing w:val="-2"/>
        </w:rPr>
        <w:t>Transportation</w:t>
      </w:r>
    </w:p>
    <w:p>
      <w:pPr>
        <w:pStyle w:val="BodyText"/>
        <w:tabs>
          <w:tab w:pos="2519" w:val="left" w:leader="none"/>
        </w:tabs>
        <w:spacing w:before="204"/>
      </w:pPr>
      <w:r>
        <w:rPr>
          <w:spacing w:val="-2"/>
        </w:rPr>
        <w:t>612:10-7-</w:t>
      </w:r>
      <w:r>
        <w:rPr>
          <w:spacing w:val="-4"/>
        </w:rPr>
        <w:t>132.</w:t>
      </w:r>
      <w:r>
        <w:rPr/>
        <w:tab/>
        <w:t>Services</w:t>
      </w:r>
      <w:r>
        <w:rPr>
          <w:spacing w:val="-3"/>
        </w:rPr>
        <w:t> </w:t>
      </w:r>
      <w:r>
        <w:rPr/>
        <w:t>to</w:t>
      </w:r>
      <w:r>
        <w:rPr>
          <w:spacing w:val="-2"/>
        </w:rPr>
        <w:t> </w:t>
      </w:r>
      <w:r>
        <w:rPr/>
        <w:t>family</w:t>
      </w:r>
      <w:r>
        <w:rPr>
          <w:spacing w:val="-2"/>
        </w:rPr>
        <w:t> members</w:t>
      </w:r>
    </w:p>
    <w:p>
      <w:pPr>
        <w:pStyle w:val="BodyText"/>
        <w:spacing w:after="0"/>
        <w:sectPr>
          <w:pgSz w:w="12240" w:h="15840"/>
          <w:pgMar w:top="1340" w:bottom="280" w:left="1080" w:right="720"/>
        </w:sectPr>
      </w:pPr>
    </w:p>
    <w:p>
      <w:pPr>
        <w:pStyle w:val="Heading2"/>
      </w:pPr>
      <w:bookmarkStart w:name="612:10-7-130.  Maintenance" w:id="160"/>
      <w:bookmarkEnd w:id="160"/>
      <w:r>
        <w:rPr>
          <w:b w:val="0"/>
        </w:rPr>
      </w:r>
      <w:bookmarkStart w:name="_bookmark21" w:id="161"/>
      <w:bookmarkEnd w:id="161"/>
      <w:r>
        <w:rPr>
          <w:b w:val="0"/>
        </w:rPr>
      </w:r>
      <w:r>
        <w:rPr/>
        <w:t>612:10-7-130.</w:t>
      </w:r>
      <w:r>
        <w:rPr>
          <w:spacing w:val="58"/>
        </w:rPr>
        <w:t> </w:t>
      </w:r>
      <w:r>
        <w:rPr>
          <w:spacing w:val="-2"/>
        </w:rPr>
        <w:t>Maintenance</w:t>
      </w:r>
    </w:p>
    <w:p>
      <w:pPr>
        <w:pStyle w:val="ListParagraph"/>
        <w:numPr>
          <w:ilvl w:val="0"/>
          <w:numId w:val="166"/>
        </w:numPr>
        <w:tabs>
          <w:tab w:pos="784" w:val="left" w:leader="none"/>
        </w:tabs>
        <w:spacing w:line="208" w:lineRule="auto" w:before="233" w:after="0"/>
        <w:ind w:left="359" w:right="1166" w:firstLine="0"/>
        <w:jc w:val="left"/>
        <w:rPr>
          <w:b/>
          <w:sz w:val="24"/>
        </w:rPr>
      </w:pPr>
      <w:r>
        <w:rPr>
          <w:b/>
          <w:sz w:val="24"/>
        </w:rPr>
        <w:t>General guidelines. </w:t>
      </w:r>
      <w:r>
        <w:rPr>
          <w:sz w:val="24"/>
        </w:rPr>
        <w:t>Maintenance means monetary support provided to an individual</w:t>
      </w:r>
      <w:r>
        <w:rPr>
          <w:spacing w:val="-2"/>
          <w:sz w:val="24"/>
        </w:rPr>
        <w:t> </w:t>
      </w:r>
      <w:r>
        <w:rPr>
          <w:sz w:val="24"/>
        </w:rPr>
        <w:t>for</w:t>
      </w:r>
      <w:r>
        <w:rPr>
          <w:spacing w:val="-1"/>
          <w:sz w:val="24"/>
        </w:rPr>
        <w:t> </w:t>
      </w:r>
      <w:r>
        <w:rPr>
          <w:sz w:val="24"/>
        </w:rPr>
        <w:t>expenses,</w:t>
      </w:r>
      <w:r>
        <w:rPr>
          <w:spacing w:val="-2"/>
          <w:sz w:val="24"/>
        </w:rPr>
        <w:t> </w:t>
      </w:r>
      <w:r>
        <w:rPr>
          <w:sz w:val="24"/>
        </w:rPr>
        <w:t>such</w:t>
      </w:r>
      <w:r>
        <w:rPr>
          <w:spacing w:val="-2"/>
          <w:sz w:val="24"/>
        </w:rPr>
        <w:t> </w:t>
      </w:r>
      <w:r>
        <w:rPr>
          <w:sz w:val="24"/>
        </w:rPr>
        <w:t>as</w:t>
      </w:r>
      <w:r>
        <w:rPr>
          <w:spacing w:val="-3"/>
          <w:sz w:val="24"/>
        </w:rPr>
        <w:t> </w:t>
      </w:r>
      <w:r>
        <w:rPr>
          <w:sz w:val="24"/>
        </w:rPr>
        <w:t>food,</w:t>
      </w:r>
      <w:r>
        <w:rPr>
          <w:spacing w:val="-1"/>
          <w:sz w:val="24"/>
        </w:rPr>
        <w:t> </w:t>
      </w:r>
      <w:r>
        <w:rPr>
          <w:sz w:val="24"/>
        </w:rPr>
        <w:t>shelter,</w:t>
      </w:r>
      <w:r>
        <w:rPr>
          <w:spacing w:val="-2"/>
          <w:sz w:val="24"/>
        </w:rPr>
        <w:t> </w:t>
      </w:r>
      <w:r>
        <w:rPr>
          <w:sz w:val="24"/>
        </w:rPr>
        <w:t>and</w:t>
      </w:r>
      <w:r>
        <w:rPr>
          <w:spacing w:val="-2"/>
          <w:sz w:val="24"/>
        </w:rPr>
        <w:t> </w:t>
      </w:r>
      <w:r>
        <w:rPr>
          <w:sz w:val="24"/>
        </w:rPr>
        <w:t>clothing,</w:t>
      </w:r>
      <w:r>
        <w:rPr>
          <w:spacing w:val="-1"/>
          <w:sz w:val="24"/>
        </w:rPr>
        <w:t> </w:t>
      </w:r>
      <w:r>
        <w:rPr>
          <w:sz w:val="24"/>
        </w:rPr>
        <w:t>that</w:t>
      </w:r>
      <w:r>
        <w:rPr>
          <w:spacing w:val="-2"/>
          <w:sz w:val="24"/>
        </w:rPr>
        <w:t> </w:t>
      </w:r>
      <w:r>
        <w:rPr>
          <w:sz w:val="24"/>
        </w:rPr>
        <w:t>are</w:t>
      </w:r>
      <w:r>
        <w:rPr>
          <w:spacing w:val="-2"/>
          <w:sz w:val="24"/>
        </w:rPr>
        <w:t> </w:t>
      </w:r>
      <w:r>
        <w:rPr>
          <w:sz w:val="24"/>
        </w:rPr>
        <w:t>in</w:t>
      </w:r>
      <w:r>
        <w:rPr>
          <w:spacing w:val="-2"/>
          <w:sz w:val="24"/>
        </w:rPr>
        <w:t> </w:t>
      </w:r>
      <w:r>
        <w:rPr>
          <w:sz w:val="24"/>
        </w:rPr>
        <w:t>excess</w:t>
      </w:r>
      <w:r>
        <w:rPr>
          <w:spacing w:val="-2"/>
          <w:sz w:val="24"/>
        </w:rPr>
        <w:t> </w:t>
      </w:r>
      <w:r>
        <w:rPr>
          <w:sz w:val="24"/>
        </w:rPr>
        <w:t>of</w:t>
      </w:r>
      <w:r>
        <w:rPr>
          <w:spacing w:val="-3"/>
          <w:sz w:val="24"/>
        </w:rPr>
        <w:t> </w:t>
      </w:r>
      <w:r>
        <w:rPr>
          <w:sz w:val="24"/>
        </w:rPr>
        <w:t>the normal expenses of the individual and that are necessitated by the individual's participation</w:t>
      </w:r>
      <w:r>
        <w:rPr>
          <w:spacing w:val="-5"/>
          <w:sz w:val="24"/>
        </w:rPr>
        <w:t> </w:t>
      </w:r>
      <w:r>
        <w:rPr>
          <w:sz w:val="24"/>
        </w:rPr>
        <w:t>in</w:t>
      </w:r>
      <w:r>
        <w:rPr>
          <w:spacing w:val="-5"/>
          <w:sz w:val="24"/>
        </w:rPr>
        <w:t> </w:t>
      </w:r>
      <w:r>
        <w:rPr>
          <w:sz w:val="24"/>
        </w:rPr>
        <w:t>an</w:t>
      </w:r>
      <w:r>
        <w:rPr>
          <w:spacing w:val="-5"/>
          <w:sz w:val="24"/>
        </w:rPr>
        <w:t> </w:t>
      </w:r>
      <w:r>
        <w:rPr>
          <w:sz w:val="24"/>
        </w:rPr>
        <w:t>assessment</w:t>
      </w:r>
      <w:r>
        <w:rPr>
          <w:spacing w:val="-4"/>
          <w:sz w:val="24"/>
        </w:rPr>
        <w:t> </w:t>
      </w:r>
      <w:r>
        <w:rPr>
          <w:sz w:val="24"/>
        </w:rPr>
        <w:t>for</w:t>
      </w:r>
      <w:r>
        <w:rPr>
          <w:spacing w:val="-4"/>
          <w:sz w:val="24"/>
        </w:rPr>
        <w:t> </w:t>
      </w:r>
      <w:r>
        <w:rPr>
          <w:sz w:val="24"/>
        </w:rPr>
        <w:t>determining</w:t>
      </w:r>
      <w:r>
        <w:rPr>
          <w:spacing w:val="-5"/>
          <w:sz w:val="24"/>
        </w:rPr>
        <w:t> </w:t>
      </w:r>
      <w:r>
        <w:rPr>
          <w:sz w:val="24"/>
        </w:rPr>
        <w:t>eligibility</w:t>
      </w:r>
      <w:r>
        <w:rPr>
          <w:spacing w:val="-5"/>
          <w:sz w:val="24"/>
        </w:rPr>
        <w:t> </w:t>
      </w:r>
      <w:r>
        <w:rPr>
          <w:sz w:val="24"/>
        </w:rPr>
        <w:t>and</w:t>
      </w:r>
      <w:r>
        <w:rPr>
          <w:spacing w:val="-5"/>
          <w:sz w:val="24"/>
        </w:rPr>
        <w:t> </w:t>
      </w:r>
      <w:r>
        <w:rPr>
          <w:sz w:val="24"/>
        </w:rPr>
        <w:t>vocational</w:t>
      </w:r>
      <w:r>
        <w:rPr>
          <w:spacing w:val="-5"/>
          <w:sz w:val="24"/>
        </w:rPr>
        <w:t> </w:t>
      </w:r>
      <w:r>
        <w:rPr>
          <w:sz w:val="24"/>
        </w:rPr>
        <w:t>rehabilitation needs or the individual's receipt of vocational rehabilitation services under an individualized plan for employment. </w:t>
      </w:r>
      <w:r>
        <w:rPr>
          <w:b/>
          <w:sz w:val="24"/>
        </w:rPr>
        <w:t>1</w:t>
      </w:r>
    </w:p>
    <w:p>
      <w:pPr>
        <w:pStyle w:val="ListParagraph"/>
        <w:numPr>
          <w:ilvl w:val="1"/>
          <w:numId w:val="166"/>
        </w:numPr>
        <w:tabs>
          <w:tab w:pos="1234" w:val="left" w:leader="none"/>
        </w:tabs>
        <w:spacing w:line="208" w:lineRule="auto" w:before="239" w:after="0"/>
        <w:ind w:left="809" w:right="931" w:firstLine="0"/>
        <w:jc w:val="left"/>
        <w:rPr>
          <w:sz w:val="24"/>
        </w:rPr>
      </w:pPr>
      <w:r>
        <w:rPr>
          <w:sz w:val="24"/>
        </w:rPr>
        <w:t>Maintenance</w:t>
      </w:r>
      <w:r>
        <w:rPr>
          <w:spacing w:val="-4"/>
          <w:sz w:val="24"/>
        </w:rPr>
        <w:t> </w:t>
      </w:r>
      <w:r>
        <w:rPr>
          <w:sz w:val="24"/>
        </w:rPr>
        <w:t>is</w:t>
      </w:r>
      <w:r>
        <w:rPr>
          <w:spacing w:val="-4"/>
          <w:sz w:val="24"/>
        </w:rPr>
        <w:t> </w:t>
      </w:r>
      <w:r>
        <w:rPr>
          <w:sz w:val="24"/>
        </w:rPr>
        <w:t>a</w:t>
      </w:r>
      <w:r>
        <w:rPr>
          <w:spacing w:val="-4"/>
          <w:sz w:val="24"/>
        </w:rPr>
        <w:t> </w:t>
      </w:r>
      <w:r>
        <w:rPr>
          <w:sz w:val="24"/>
        </w:rPr>
        <w:t>supportive</w:t>
      </w:r>
      <w:r>
        <w:rPr>
          <w:spacing w:val="-4"/>
          <w:sz w:val="24"/>
        </w:rPr>
        <w:t> </w:t>
      </w:r>
      <w:r>
        <w:rPr>
          <w:sz w:val="24"/>
        </w:rPr>
        <w:t>service</w:t>
      </w:r>
      <w:r>
        <w:rPr>
          <w:spacing w:val="-4"/>
          <w:sz w:val="24"/>
        </w:rPr>
        <w:t> </w:t>
      </w:r>
      <w:r>
        <w:rPr>
          <w:sz w:val="24"/>
        </w:rPr>
        <w:t>provided</w:t>
      </w:r>
      <w:r>
        <w:rPr>
          <w:spacing w:val="-4"/>
          <w:sz w:val="24"/>
        </w:rPr>
        <w:t> </w:t>
      </w:r>
      <w:r>
        <w:rPr>
          <w:sz w:val="24"/>
        </w:rPr>
        <w:t>to</w:t>
      </w:r>
      <w:r>
        <w:rPr>
          <w:spacing w:val="-4"/>
          <w:sz w:val="24"/>
        </w:rPr>
        <w:t> </w:t>
      </w:r>
      <w:r>
        <w:rPr>
          <w:sz w:val="24"/>
        </w:rPr>
        <w:t>assist</w:t>
      </w:r>
      <w:r>
        <w:rPr>
          <w:spacing w:val="-3"/>
          <w:sz w:val="24"/>
        </w:rPr>
        <w:t> </w:t>
      </w:r>
      <w:r>
        <w:rPr>
          <w:sz w:val="24"/>
        </w:rPr>
        <w:t>with</w:t>
      </w:r>
      <w:r>
        <w:rPr>
          <w:spacing w:val="-4"/>
          <w:sz w:val="24"/>
        </w:rPr>
        <w:t> </w:t>
      </w:r>
      <w:r>
        <w:rPr>
          <w:sz w:val="24"/>
        </w:rPr>
        <w:t>the</w:t>
      </w:r>
      <w:r>
        <w:rPr>
          <w:spacing w:val="-4"/>
          <w:sz w:val="24"/>
        </w:rPr>
        <w:t> </w:t>
      </w:r>
      <w:r>
        <w:rPr>
          <w:sz w:val="24"/>
        </w:rPr>
        <w:t>out-of-ordinary or extra expenses to the individual resulting from and needed to support the individual's participation in diagnostic, evaluative, or other substantial services in the IPE. The provision of maintenance as a supportive service is not synonymous with general assistance payments. It is not intended to pay for those living costs that exist irrespective of the individual's status as a DVR and DSBVI client.</w:t>
      </w:r>
    </w:p>
    <w:p>
      <w:pPr>
        <w:pStyle w:val="ListParagraph"/>
        <w:numPr>
          <w:ilvl w:val="1"/>
          <w:numId w:val="166"/>
        </w:numPr>
        <w:tabs>
          <w:tab w:pos="1234" w:val="left" w:leader="none"/>
        </w:tabs>
        <w:spacing w:line="208" w:lineRule="auto" w:before="240" w:after="0"/>
        <w:ind w:left="809" w:right="1248" w:firstLine="0"/>
        <w:jc w:val="left"/>
        <w:rPr>
          <w:sz w:val="24"/>
        </w:rPr>
      </w:pPr>
      <w:r>
        <w:rPr>
          <w:sz w:val="24"/>
        </w:rPr>
        <w:t>Maintenance,</w:t>
      </w:r>
      <w:r>
        <w:rPr>
          <w:spacing w:val="-3"/>
          <w:sz w:val="24"/>
        </w:rPr>
        <w:t> </w:t>
      </w:r>
      <w:r>
        <w:rPr>
          <w:sz w:val="24"/>
        </w:rPr>
        <w:t>including</w:t>
      </w:r>
      <w:r>
        <w:rPr>
          <w:spacing w:val="-4"/>
          <w:sz w:val="24"/>
        </w:rPr>
        <w:t> </w:t>
      </w:r>
      <w:r>
        <w:rPr>
          <w:sz w:val="24"/>
        </w:rPr>
        <w:t>payments,</w:t>
      </w:r>
      <w:r>
        <w:rPr>
          <w:spacing w:val="-5"/>
          <w:sz w:val="24"/>
        </w:rPr>
        <w:t> </w:t>
      </w:r>
      <w:r>
        <w:rPr>
          <w:sz w:val="24"/>
        </w:rPr>
        <w:t>may</w:t>
      </w:r>
      <w:r>
        <w:rPr>
          <w:spacing w:val="-4"/>
          <w:sz w:val="24"/>
        </w:rPr>
        <w:t> </w:t>
      </w:r>
      <w:r>
        <w:rPr>
          <w:sz w:val="24"/>
        </w:rPr>
        <w:t>not</w:t>
      </w:r>
      <w:r>
        <w:rPr>
          <w:spacing w:val="-3"/>
          <w:sz w:val="24"/>
        </w:rPr>
        <w:t> </w:t>
      </w:r>
      <w:r>
        <w:rPr>
          <w:sz w:val="24"/>
        </w:rPr>
        <w:t>exceed</w:t>
      </w:r>
      <w:r>
        <w:rPr>
          <w:spacing w:val="-4"/>
          <w:sz w:val="24"/>
        </w:rPr>
        <w:t> </w:t>
      </w:r>
      <w:r>
        <w:rPr>
          <w:sz w:val="24"/>
        </w:rPr>
        <w:t>the</w:t>
      </w:r>
      <w:r>
        <w:rPr>
          <w:spacing w:val="-4"/>
          <w:sz w:val="24"/>
        </w:rPr>
        <w:t> </w:t>
      </w:r>
      <w:r>
        <w:rPr>
          <w:sz w:val="24"/>
        </w:rPr>
        <w:t>cost</w:t>
      </w:r>
      <w:r>
        <w:rPr>
          <w:spacing w:val="-5"/>
          <w:sz w:val="24"/>
        </w:rPr>
        <w:t> </w:t>
      </w:r>
      <w:r>
        <w:rPr>
          <w:sz w:val="24"/>
        </w:rPr>
        <w:t>of</w:t>
      </w:r>
      <w:r>
        <w:rPr>
          <w:spacing w:val="-3"/>
          <w:sz w:val="24"/>
        </w:rPr>
        <w:t> </w:t>
      </w:r>
      <w:r>
        <w:rPr>
          <w:sz w:val="24"/>
        </w:rPr>
        <w:t>documented expenses to the individual resulting from service provision. Authorizations for maintenance</w:t>
      </w:r>
      <w:r>
        <w:rPr>
          <w:spacing w:val="-3"/>
          <w:sz w:val="24"/>
        </w:rPr>
        <w:t> </w:t>
      </w:r>
      <w:r>
        <w:rPr>
          <w:sz w:val="24"/>
        </w:rPr>
        <w:t>will</w:t>
      </w:r>
      <w:r>
        <w:rPr>
          <w:spacing w:val="-3"/>
          <w:sz w:val="24"/>
        </w:rPr>
        <w:t> </w:t>
      </w:r>
      <w:r>
        <w:rPr>
          <w:sz w:val="24"/>
        </w:rPr>
        <w:t>not</w:t>
      </w:r>
      <w:r>
        <w:rPr>
          <w:spacing w:val="-2"/>
          <w:sz w:val="24"/>
        </w:rPr>
        <w:t> </w:t>
      </w:r>
      <w:r>
        <w:rPr>
          <w:sz w:val="24"/>
        </w:rPr>
        <w:t>be</w:t>
      </w:r>
      <w:r>
        <w:rPr>
          <w:spacing w:val="-3"/>
          <w:sz w:val="24"/>
        </w:rPr>
        <w:t> </w:t>
      </w:r>
      <w:r>
        <w:rPr>
          <w:sz w:val="24"/>
        </w:rPr>
        <w:t>issued</w:t>
      </w:r>
      <w:r>
        <w:rPr>
          <w:spacing w:val="-3"/>
          <w:sz w:val="24"/>
        </w:rPr>
        <w:t> </w:t>
      </w:r>
      <w:r>
        <w:rPr>
          <w:sz w:val="24"/>
        </w:rPr>
        <w:t>to</w:t>
      </w:r>
      <w:r>
        <w:rPr>
          <w:spacing w:val="-3"/>
          <w:sz w:val="24"/>
        </w:rPr>
        <w:t> </w:t>
      </w:r>
      <w:r>
        <w:rPr>
          <w:sz w:val="24"/>
        </w:rPr>
        <w:t>pay</w:t>
      </w:r>
      <w:r>
        <w:rPr>
          <w:spacing w:val="-3"/>
          <w:sz w:val="24"/>
        </w:rPr>
        <w:t> </w:t>
      </w:r>
      <w:r>
        <w:rPr>
          <w:sz w:val="24"/>
        </w:rPr>
        <w:t>the</w:t>
      </w:r>
      <w:r>
        <w:rPr>
          <w:spacing w:val="-3"/>
          <w:sz w:val="24"/>
        </w:rPr>
        <w:t> </w:t>
      </w:r>
      <w:r>
        <w:rPr>
          <w:sz w:val="24"/>
        </w:rPr>
        <w:t>cost,</w:t>
      </w:r>
      <w:r>
        <w:rPr>
          <w:spacing w:val="-2"/>
          <w:sz w:val="24"/>
        </w:rPr>
        <w:t> </w:t>
      </w:r>
      <w:r>
        <w:rPr>
          <w:sz w:val="24"/>
        </w:rPr>
        <w:t>or</w:t>
      </w:r>
      <w:r>
        <w:rPr>
          <w:spacing w:val="-4"/>
          <w:sz w:val="24"/>
        </w:rPr>
        <w:t> </w:t>
      </w:r>
      <w:r>
        <w:rPr>
          <w:sz w:val="24"/>
        </w:rPr>
        <w:t>part</w:t>
      </w:r>
      <w:r>
        <w:rPr>
          <w:spacing w:val="-5"/>
          <w:sz w:val="24"/>
        </w:rPr>
        <w:t> </w:t>
      </w:r>
      <w:r>
        <w:rPr>
          <w:sz w:val="24"/>
        </w:rPr>
        <w:t>of</w:t>
      </w:r>
      <w:r>
        <w:rPr>
          <w:spacing w:val="-2"/>
          <w:sz w:val="24"/>
        </w:rPr>
        <w:t> </w:t>
      </w:r>
      <w:r>
        <w:rPr>
          <w:sz w:val="24"/>
        </w:rPr>
        <w:t>the</w:t>
      </w:r>
      <w:r>
        <w:rPr>
          <w:spacing w:val="-3"/>
          <w:sz w:val="24"/>
        </w:rPr>
        <w:t> </w:t>
      </w:r>
      <w:r>
        <w:rPr>
          <w:sz w:val="24"/>
        </w:rPr>
        <w:t>cost,</w:t>
      </w:r>
      <w:r>
        <w:rPr>
          <w:spacing w:val="-4"/>
          <w:sz w:val="24"/>
        </w:rPr>
        <w:t> </w:t>
      </w:r>
      <w:r>
        <w:rPr>
          <w:sz w:val="24"/>
        </w:rPr>
        <w:t>for</w:t>
      </w:r>
      <w:r>
        <w:rPr>
          <w:spacing w:val="-2"/>
          <w:sz w:val="24"/>
        </w:rPr>
        <w:t> </w:t>
      </w:r>
      <w:r>
        <w:rPr>
          <w:sz w:val="24"/>
        </w:rPr>
        <w:t>any</w:t>
      </w:r>
      <w:r>
        <w:rPr>
          <w:spacing w:val="-3"/>
          <w:sz w:val="24"/>
        </w:rPr>
        <w:t> </w:t>
      </w:r>
      <w:r>
        <w:rPr>
          <w:sz w:val="24"/>
        </w:rPr>
        <w:t>other service or expense.</w:t>
      </w:r>
    </w:p>
    <w:p>
      <w:pPr>
        <w:pStyle w:val="ListParagraph"/>
        <w:numPr>
          <w:ilvl w:val="0"/>
          <w:numId w:val="166"/>
        </w:numPr>
        <w:tabs>
          <w:tab w:pos="785" w:val="left" w:leader="none"/>
        </w:tabs>
        <w:spacing w:line="208" w:lineRule="auto" w:before="239" w:after="0"/>
        <w:ind w:left="359" w:right="738" w:firstLine="0"/>
        <w:jc w:val="left"/>
        <w:rPr>
          <w:sz w:val="24"/>
        </w:rPr>
      </w:pPr>
      <w:r>
        <w:rPr>
          <w:b/>
          <w:sz w:val="24"/>
        </w:rPr>
        <w:t>Provision of maintenance. </w:t>
      </w:r>
      <w:r>
        <w:rPr>
          <w:sz w:val="24"/>
        </w:rPr>
        <w:t>To receive maintenance, an individual must be either an eligible DVR or DSBVI client or an applicant for vocational rehabilitation services undergoing</w:t>
      </w:r>
      <w:r>
        <w:rPr>
          <w:spacing w:val="-4"/>
          <w:sz w:val="24"/>
        </w:rPr>
        <w:t> </w:t>
      </w:r>
      <w:r>
        <w:rPr>
          <w:sz w:val="24"/>
        </w:rPr>
        <w:t>diagnostic</w:t>
      </w:r>
      <w:r>
        <w:rPr>
          <w:spacing w:val="-4"/>
          <w:sz w:val="24"/>
        </w:rPr>
        <w:t> </w:t>
      </w:r>
      <w:r>
        <w:rPr>
          <w:sz w:val="24"/>
        </w:rPr>
        <w:t>evaluation</w:t>
      </w:r>
      <w:r>
        <w:rPr>
          <w:spacing w:val="-5"/>
          <w:sz w:val="24"/>
        </w:rPr>
        <w:t> </w:t>
      </w:r>
      <w:r>
        <w:rPr>
          <w:sz w:val="24"/>
        </w:rPr>
        <w:t>and</w:t>
      </w:r>
      <w:r>
        <w:rPr>
          <w:spacing w:val="-5"/>
          <w:sz w:val="24"/>
        </w:rPr>
        <w:t> </w:t>
      </w:r>
      <w:r>
        <w:rPr>
          <w:sz w:val="24"/>
        </w:rPr>
        <w:t>testing.</w:t>
      </w:r>
      <w:r>
        <w:rPr>
          <w:spacing w:val="-4"/>
          <w:sz w:val="24"/>
        </w:rPr>
        <w:t> </w:t>
      </w:r>
      <w:r>
        <w:rPr>
          <w:sz w:val="24"/>
        </w:rPr>
        <w:t>For</w:t>
      </w:r>
      <w:r>
        <w:rPr>
          <w:spacing w:val="-4"/>
          <w:sz w:val="24"/>
        </w:rPr>
        <w:t> </w:t>
      </w:r>
      <w:r>
        <w:rPr>
          <w:sz w:val="24"/>
        </w:rPr>
        <w:t>an</w:t>
      </w:r>
      <w:r>
        <w:rPr>
          <w:spacing w:val="-5"/>
          <w:sz w:val="24"/>
        </w:rPr>
        <w:t> </w:t>
      </w:r>
      <w:r>
        <w:rPr>
          <w:sz w:val="24"/>
        </w:rPr>
        <w:t>accepted</w:t>
      </w:r>
      <w:r>
        <w:rPr>
          <w:spacing w:val="-5"/>
          <w:sz w:val="24"/>
        </w:rPr>
        <w:t> </w:t>
      </w:r>
      <w:r>
        <w:rPr>
          <w:sz w:val="24"/>
        </w:rPr>
        <w:t>client,</w:t>
      </w:r>
      <w:r>
        <w:rPr>
          <w:spacing w:val="-4"/>
          <w:sz w:val="24"/>
        </w:rPr>
        <w:t> </w:t>
      </w:r>
      <w:r>
        <w:rPr>
          <w:sz w:val="24"/>
        </w:rPr>
        <w:t>maintenance</w:t>
      </w:r>
      <w:r>
        <w:rPr>
          <w:spacing w:val="-5"/>
          <w:sz w:val="24"/>
        </w:rPr>
        <w:t> </w:t>
      </w:r>
      <w:r>
        <w:rPr>
          <w:sz w:val="24"/>
        </w:rPr>
        <w:t>must be a supportive service and will be provided in combination, with another VR service listed in the Individualized Plan for Employment. The costs of the maintenance may not exceed the amount of increased expenses that the IPE causes for the individual or his/her family. Maintenance cannot substitute for or supplement income assistance </w:t>
      </w:r>
      <w:r>
        <w:rPr>
          <w:spacing w:val="-2"/>
          <w:sz w:val="24"/>
        </w:rPr>
        <w:t>payments.</w:t>
      </w:r>
    </w:p>
    <w:p>
      <w:pPr>
        <w:pStyle w:val="ListParagraph"/>
        <w:numPr>
          <w:ilvl w:val="1"/>
          <w:numId w:val="166"/>
        </w:numPr>
        <w:tabs>
          <w:tab w:pos="1234" w:val="left" w:leader="none"/>
        </w:tabs>
        <w:spacing w:line="208" w:lineRule="auto" w:before="239" w:after="0"/>
        <w:ind w:left="809" w:right="1636" w:firstLine="0"/>
        <w:jc w:val="left"/>
        <w:rPr>
          <w:b/>
          <w:sz w:val="24"/>
        </w:rPr>
      </w:pPr>
      <w:r>
        <w:rPr>
          <w:b/>
          <w:sz w:val="24"/>
        </w:rPr>
        <w:t>Maintenance for diagnostic and evaluation services. </w:t>
      </w:r>
      <w:r>
        <w:rPr>
          <w:sz w:val="24"/>
        </w:rPr>
        <w:t>Maintenance payments</w:t>
      </w:r>
      <w:r>
        <w:rPr>
          <w:spacing w:val="-5"/>
          <w:sz w:val="24"/>
        </w:rPr>
        <w:t> </w:t>
      </w:r>
      <w:r>
        <w:rPr>
          <w:sz w:val="24"/>
        </w:rPr>
        <w:t>for</w:t>
      </w:r>
      <w:r>
        <w:rPr>
          <w:spacing w:val="-4"/>
          <w:sz w:val="24"/>
        </w:rPr>
        <w:t> </w:t>
      </w:r>
      <w:r>
        <w:rPr>
          <w:sz w:val="24"/>
        </w:rPr>
        <w:t>individuals</w:t>
      </w:r>
      <w:r>
        <w:rPr>
          <w:spacing w:val="-5"/>
          <w:sz w:val="24"/>
        </w:rPr>
        <w:t> </w:t>
      </w:r>
      <w:r>
        <w:rPr>
          <w:sz w:val="24"/>
        </w:rPr>
        <w:t>receiving</w:t>
      </w:r>
      <w:r>
        <w:rPr>
          <w:spacing w:val="-4"/>
          <w:sz w:val="24"/>
        </w:rPr>
        <w:t> </w:t>
      </w:r>
      <w:r>
        <w:rPr>
          <w:sz w:val="24"/>
        </w:rPr>
        <w:t>diagnostic</w:t>
      </w:r>
      <w:r>
        <w:rPr>
          <w:spacing w:val="-4"/>
          <w:sz w:val="24"/>
        </w:rPr>
        <w:t> </w:t>
      </w:r>
      <w:r>
        <w:rPr>
          <w:sz w:val="24"/>
        </w:rPr>
        <w:t>or</w:t>
      </w:r>
      <w:r>
        <w:rPr>
          <w:spacing w:val="-4"/>
          <w:sz w:val="24"/>
        </w:rPr>
        <w:t> </w:t>
      </w:r>
      <w:r>
        <w:rPr>
          <w:sz w:val="24"/>
        </w:rPr>
        <w:t>evaluation</w:t>
      </w:r>
      <w:r>
        <w:rPr>
          <w:spacing w:val="-5"/>
          <w:sz w:val="24"/>
        </w:rPr>
        <w:t> </w:t>
      </w:r>
      <w:r>
        <w:rPr>
          <w:sz w:val="24"/>
        </w:rPr>
        <w:t>services</w:t>
      </w:r>
      <w:r>
        <w:rPr>
          <w:spacing w:val="-5"/>
          <w:sz w:val="24"/>
        </w:rPr>
        <w:t> </w:t>
      </w:r>
      <w:r>
        <w:rPr>
          <w:sz w:val="24"/>
        </w:rPr>
        <w:t>may</w:t>
      </w:r>
      <w:r>
        <w:rPr>
          <w:spacing w:val="-5"/>
          <w:sz w:val="24"/>
        </w:rPr>
        <w:t> </w:t>
      </w:r>
      <w:r>
        <w:rPr>
          <w:sz w:val="24"/>
        </w:rPr>
        <w:t>be authorized for overnight care, short-term lodging and/or meals. </w:t>
      </w:r>
      <w:r>
        <w:rPr>
          <w:b/>
          <w:sz w:val="24"/>
        </w:rPr>
        <w:t>2</w:t>
      </w:r>
    </w:p>
    <w:p>
      <w:pPr>
        <w:pStyle w:val="ListParagraph"/>
        <w:numPr>
          <w:ilvl w:val="1"/>
          <w:numId w:val="166"/>
        </w:numPr>
        <w:tabs>
          <w:tab w:pos="1216" w:val="left" w:leader="none"/>
        </w:tabs>
        <w:spacing w:line="208" w:lineRule="auto" w:before="240" w:after="0"/>
        <w:ind w:left="791" w:right="854" w:firstLine="0"/>
        <w:jc w:val="left"/>
        <w:rPr>
          <w:sz w:val="24"/>
        </w:rPr>
      </w:pPr>
      <w:r>
        <w:rPr>
          <w:b/>
          <w:sz w:val="24"/>
        </w:rPr>
        <w:t>Maintenance for physical restoration services. </w:t>
      </w:r>
      <w:r>
        <w:rPr>
          <w:sz w:val="24"/>
        </w:rPr>
        <w:t>Maintenance for physical restoration</w:t>
      </w:r>
      <w:r>
        <w:rPr>
          <w:spacing w:val="-4"/>
          <w:sz w:val="24"/>
        </w:rPr>
        <w:t> </w:t>
      </w:r>
      <w:r>
        <w:rPr>
          <w:sz w:val="24"/>
        </w:rPr>
        <w:t>services</w:t>
      </w:r>
      <w:r>
        <w:rPr>
          <w:spacing w:val="-3"/>
          <w:sz w:val="24"/>
        </w:rPr>
        <w:t> </w:t>
      </w:r>
      <w:r>
        <w:rPr>
          <w:sz w:val="24"/>
        </w:rPr>
        <w:t>is</w:t>
      </w:r>
      <w:r>
        <w:rPr>
          <w:spacing w:val="-3"/>
          <w:sz w:val="24"/>
        </w:rPr>
        <w:t> </w:t>
      </w:r>
      <w:r>
        <w:rPr>
          <w:sz w:val="24"/>
        </w:rPr>
        <w:t>paid</w:t>
      </w:r>
      <w:r>
        <w:rPr>
          <w:spacing w:val="-3"/>
          <w:sz w:val="24"/>
        </w:rPr>
        <w:t> </w:t>
      </w:r>
      <w:r>
        <w:rPr>
          <w:sz w:val="24"/>
        </w:rPr>
        <w:t>to</w:t>
      </w:r>
      <w:r>
        <w:rPr>
          <w:spacing w:val="-3"/>
          <w:sz w:val="24"/>
        </w:rPr>
        <w:t> </w:t>
      </w:r>
      <w:r>
        <w:rPr>
          <w:sz w:val="24"/>
        </w:rPr>
        <w:t>the</w:t>
      </w:r>
      <w:r>
        <w:rPr>
          <w:spacing w:val="-3"/>
          <w:sz w:val="24"/>
        </w:rPr>
        <w:t> </w:t>
      </w:r>
      <w:r>
        <w:rPr>
          <w:sz w:val="24"/>
        </w:rPr>
        <w:t>client</w:t>
      </w:r>
      <w:r>
        <w:rPr>
          <w:spacing w:val="-2"/>
          <w:sz w:val="24"/>
        </w:rPr>
        <w:t> </w:t>
      </w:r>
      <w:r>
        <w:rPr>
          <w:sz w:val="24"/>
        </w:rPr>
        <w:t>until</w:t>
      </w:r>
      <w:r>
        <w:rPr>
          <w:spacing w:val="-2"/>
          <w:sz w:val="24"/>
        </w:rPr>
        <w:t> </w:t>
      </w:r>
      <w:r>
        <w:rPr>
          <w:sz w:val="24"/>
        </w:rPr>
        <w:t>he/she</w:t>
      </w:r>
      <w:r>
        <w:rPr>
          <w:spacing w:val="-3"/>
          <w:sz w:val="24"/>
        </w:rPr>
        <w:t> </w:t>
      </w:r>
      <w:r>
        <w:rPr>
          <w:sz w:val="24"/>
        </w:rPr>
        <w:t>is</w:t>
      </w:r>
      <w:r>
        <w:rPr>
          <w:spacing w:val="-3"/>
          <w:sz w:val="24"/>
        </w:rPr>
        <w:t> </w:t>
      </w:r>
      <w:r>
        <w:rPr>
          <w:sz w:val="24"/>
        </w:rPr>
        <w:t>able</w:t>
      </w:r>
      <w:r>
        <w:rPr>
          <w:spacing w:val="-3"/>
          <w:sz w:val="24"/>
        </w:rPr>
        <w:t> </w:t>
      </w:r>
      <w:r>
        <w:rPr>
          <w:sz w:val="24"/>
        </w:rPr>
        <w:t>to</w:t>
      </w:r>
      <w:r>
        <w:rPr>
          <w:spacing w:val="-3"/>
          <w:sz w:val="24"/>
        </w:rPr>
        <w:t> </w:t>
      </w:r>
      <w:r>
        <w:rPr>
          <w:sz w:val="24"/>
        </w:rPr>
        <w:t>work.</w:t>
      </w:r>
      <w:r>
        <w:rPr>
          <w:spacing w:val="-2"/>
          <w:sz w:val="24"/>
        </w:rPr>
        <w:t> </w:t>
      </w:r>
      <w:r>
        <w:rPr>
          <w:sz w:val="24"/>
        </w:rPr>
        <w:t>The</w:t>
      </w:r>
      <w:r>
        <w:rPr>
          <w:spacing w:val="-3"/>
          <w:sz w:val="24"/>
        </w:rPr>
        <w:t> </w:t>
      </w:r>
      <w:r>
        <w:rPr>
          <w:sz w:val="24"/>
        </w:rPr>
        <w:t>client</w:t>
      </w:r>
      <w:r>
        <w:rPr>
          <w:spacing w:val="-2"/>
          <w:sz w:val="24"/>
        </w:rPr>
        <w:t> </w:t>
      </w:r>
      <w:r>
        <w:rPr>
          <w:sz w:val="24"/>
        </w:rPr>
        <w:t>must be in his/her own home and the covered period of convalescence is to be 60 days or less. For convalescent periods in excess of 60 days, the counselor will refer the client to other sources for assistance (public assistance, SSI). In no instance will medical maintenance be paid while the client is hospitalized.</w:t>
      </w:r>
    </w:p>
    <w:p>
      <w:pPr>
        <w:pStyle w:val="ListParagraph"/>
        <w:numPr>
          <w:ilvl w:val="1"/>
          <w:numId w:val="166"/>
        </w:numPr>
        <w:tabs>
          <w:tab w:pos="1216" w:val="left" w:leader="none"/>
        </w:tabs>
        <w:spacing w:line="208" w:lineRule="auto" w:before="240" w:after="0"/>
        <w:ind w:left="791" w:right="718" w:firstLine="0"/>
        <w:jc w:val="left"/>
        <w:rPr>
          <w:sz w:val="24"/>
        </w:rPr>
      </w:pPr>
      <w:r>
        <w:rPr>
          <w:b/>
          <w:sz w:val="24"/>
        </w:rPr>
        <w:t>Maintenance for training. </w:t>
      </w:r>
      <w:r>
        <w:rPr>
          <w:sz w:val="24"/>
        </w:rPr>
        <w:t>Maintenance can be authorized for full time vocational</w:t>
      </w:r>
      <w:r>
        <w:rPr>
          <w:spacing w:val="-4"/>
          <w:sz w:val="24"/>
        </w:rPr>
        <w:t> </w:t>
      </w:r>
      <w:r>
        <w:rPr>
          <w:sz w:val="24"/>
        </w:rPr>
        <w:t>school</w:t>
      </w:r>
      <w:r>
        <w:rPr>
          <w:spacing w:val="-4"/>
          <w:sz w:val="24"/>
        </w:rPr>
        <w:t> </w:t>
      </w:r>
      <w:r>
        <w:rPr>
          <w:sz w:val="24"/>
        </w:rPr>
        <w:t>students</w:t>
      </w:r>
      <w:r>
        <w:rPr>
          <w:spacing w:val="-4"/>
          <w:sz w:val="24"/>
        </w:rPr>
        <w:t> </w:t>
      </w:r>
      <w:r>
        <w:rPr>
          <w:sz w:val="24"/>
        </w:rPr>
        <w:t>or</w:t>
      </w:r>
      <w:r>
        <w:rPr>
          <w:spacing w:val="-3"/>
          <w:sz w:val="24"/>
        </w:rPr>
        <w:t> </w:t>
      </w:r>
      <w:r>
        <w:rPr>
          <w:sz w:val="24"/>
        </w:rPr>
        <w:t>college</w:t>
      </w:r>
      <w:r>
        <w:rPr>
          <w:spacing w:val="-4"/>
          <w:sz w:val="24"/>
        </w:rPr>
        <w:t> </w:t>
      </w:r>
      <w:r>
        <w:rPr>
          <w:sz w:val="24"/>
        </w:rPr>
        <w:t>students.</w:t>
      </w:r>
      <w:r>
        <w:rPr>
          <w:spacing w:val="-5"/>
          <w:sz w:val="24"/>
        </w:rPr>
        <w:t> </w:t>
      </w:r>
      <w:r>
        <w:rPr>
          <w:sz w:val="24"/>
        </w:rPr>
        <w:t>Maintenance</w:t>
      </w:r>
      <w:r>
        <w:rPr>
          <w:spacing w:val="-4"/>
          <w:sz w:val="24"/>
        </w:rPr>
        <w:t> </w:t>
      </w:r>
      <w:r>
        <w:rPr>
          <w:sz w:val="24"/>
        </w:rPr>
        <w:t>can</w:t>
      </w:r>
      <w:r>
        <w:rPr>
          <w:spacing w:val="-4"/>
          <w:sz w:val="24"/>
        </w:rPr>
        <w:t> </w:t>
      </w:r>
      <w:r>
        <w:rPr>
          <w:sz w:val="24"/>
        </w:rPr>
        <w:t>be</w:t>
      </w:r>
      <w:r>
        <w:rPr>
          <w:spacing w:val="-4"/>
          <w:sz w:val="24"/>
        </w:rPr>
        <w:t> </w:t>
      </w:r>
      <w:r>
        <w:rPr>
          <w:sz w:val="24"/>
        </w:rPr>
        <w:t>authorized</w:t>
      </w:r>
      <w:r>
        <w:rPr>
          <w:spacing w:val="-4"/>
          <w:sz w:val="24"/>
        </w:rPr>
        <w:t> </w:t>
      </w:r>
      <w:r>
        <w:rPr>
          <w:sz w:val="24"/>
        </w:rPr>
        <w:t>for</w:t>
      </w:r>
      <w:r>
        <w:rPr>
          <w:spacing w:val="-3"/>
          <w:sz w:val="24"/>
        </w:rPr>
        <w:t> </w:t>
      </w:r>
      <w:r>
        <w:rPr>
          <w:sz w:val="24"/>
        </w:rPr>
        <w:t>a client granted an exception to the full-time attendance requirement under 612:10-7-</w:t>
      </w:r>
    </w:p>
    <w:p>
      <w:pPr>
        <w:pStyle w:val="BodyText"/>
        <w:spacing w:line="208" w:lineRule="auto" w:before="0"/>
        <w:ind w:left="791" w:right="718"/>
      </w:pPr>
      <w:r>
        <w:rPr/>
        <w:t>150(a).</w:t>
      </w:r>
      <w:r>
        <w:rPr>
          <w:spacing w:val="-3"/>
        </w:rPr>
        <w:t> </w:t>
      </w:r>
      <w:r>
        <w:rPr>
          <w:b/>
        </w:rPr>
        <w:t>3</w:t>
      </w:r>
      <w:r>
        <w:rPr>
          <w:b/>
          <w:spacing w:val="-3"/>
        </w:rPr>
        <w:t> </w:t>
      </w:r>
      <w:r>
        <w:rPr/>
        <w:t>DRS</w:t>
      </w:r>
      <w:r>
        <w:rPr>
          <w:spacing w:val="-3"/>
        </w:rPr>
        <w:t> </w:t>
      </w:r>
      <w:r>
        <w:rPr/>
        <w:t>will</w:t>
      </w:r>
      <w:r>
        <w:rPr>
          <w:spacing w:val="-3"/>
        </w:rPr>
        <w:t> </w:t>
      </w:r>
      <w:r>
        <w:rPr/>
        <w:t>not</w:t>
      </w:r>
      <w:r>
        <w:rPr>
          <w:spacing w:val="-2"/>
        </w:rPr>
        <w:t> </w:t>
      </w:r>
      <w:r>
        <w:rPr/>
        <w:t>pay</w:t>
      </w:r>
      <w:r>
        <w:rPr>
          <w:spacing w:val="-3"/>
        </w:rPr>
        <w:t> </w:t>
      </w:r>
      <w:r>
        <w:rPr/>
        <w:t>for</w:t>
      </w:r>
      <w:r>
        <w:rPr>
          <w:spacing w:val="-2"/>
        </w:rPr>
        <w:t> </w:t>
      </w:r>
      <w:r>
        <w:rPr/>
        <w:t>assistance</w:t>
      </w:r>
      <w:r>
        <w:rPr>
          <w:spacing w:val="-3"/>
        </w:rPr>
        <w:t> </w:t>
      </w:r>
      <w:r>
        <w:rPr/>
        <w:t>with</w:t>
      </w:r>
      <w:r>
        <w:rPr>
          <w:spacing w:val="-3"/>
        </w:rPr>
        <w:t> </w:t>
      </w:r>
      <w:r>
        <w:rPr/>
        <w:t>room</w:t>
      </w:r>
      <w:r>
        <w:rPr>
          <w:spacing w:val="-2"/>
        </w:rPr>
        <w:t> </w:t>
      </w:r>
      <w:r>
        <w:rPr/>
        <w:t>and</w:t>
      </w:r>
      <w:r>
        <w:rPr>
          <w:spacing w:val="-4"/>
        </w:rPr>
        <w:t> </w:t>
      </w:r>
      <w:r>
        <w:rPr/>
        <w:t>board</w:t>
      </w:r>
      <w:r>
        <w:rPr>
          <w:spacing w:val="-3"/>
        </w:rPr>
        <w:t> </w:t>
      </w:r>
      <w:r>
        <w:rPr/>
        <w:t>expenses</w:t>
      </w:r>
      <w:r>
        <w:rPr>
          <w:spacing w:val="-3"/>
        </w:rPr>
        <w:t> </w:t>
      </w:r>
      <w:r>
        <w:rPr/>
        <w:t>if</w:t>
      </w:r>
      <w:r>
        <w:rPr>
          <w:spacing w:val="-2"/>
        </w:rPr>
        <w:t> </w:t>
      </w:r>
      <w:r>
        <w:rPr/>
        <w:t>there</w:t>
      </w:r>
      <w:r>
        <w:rPr>
          <w:spacing w:val="-3"/>
        </w:rPr>
        <w:t> </w:t>
      </w:r>
      <w:r>
        <w:rPr/>
        <w:t>is</w:t>
      </w:r>
      <w:r>
        <w:rPr>
          <w:spacing w:val="-3"/>
        </w:rPr>
        <w:t> </w:t>
      </w:r>
      <w:r>
        <w:rPr/>
        <w:t>a state funded vocational school, college or university within 40 miles of the client's official residence. In addition, DRS will only sponsor room and board expenses related to on-campus housing options with the lowest cost. DRS will only sponsor hotel costs associated with pre-vocational or personal and work adjustment training if the total cost of the hotel stay and per diem is less than the total cost of transportation to and from the hotel. Exceptions to this administrative rule</w:t>
      </w:r>
      <w:r>
        <w:rPr>
          <w:strike/>
        </w:rPr>
        <w:t>s</w:t>
      </w:r>
      <w:r>
        <w:rPr>
          <w:strike w:val="0"/>
        </w:rPr>
        <w:t> may be granted due to issues such as disability requirements. All exceptions must be approved by the Programs Manager and thorough justification must be documented in the case. If DRS is to assist with summer room and board costs or rental</w:t>
      </w:r>
    </w:p>
    <w:p>
      <w:pPr>
        <w:pStyle w:val="BodyText"/>
        <w:spacing w:after="0" w:line="208" w:lineRule="auto"/>
        <w:sectPr>
          <w:pgSz w:w="12240" w:h="15840"/>
          <w:pgMar w:top="1340" w:bottom="280" w:left="1080" w:right="720"/>
        </w:sectPr>
      </w:pPr>
    </w:p>
    <w:p>
      <w:pPr>
        <w:pStyle w:val="BodyText"/>
        <w:spacing w:line="208" w:lineRule="auto" w:before="96"/>
        <w:ind w:left="791" w:right="775"/>
      </w:pPr>
      <w:r>
        <w:rPr/>
        <w:t>assistance</w:t>
      </w:r>
      <w:r>
        <w:rPr>
          <w:spacing w:val="-4"/>
        </w:rPr>
        <w:t> </w:t>
      </w:r>
      <w:r>
        <w:rPr/>
        <w:t>for</w:t>
      </w:r>
      <w:r>
        <w:rPr>
          <w:spacing w:val="-3"/>
        </w:rPr>
        <w:t> </w:t>
      </w:r>
      <w:r>
        <w:rPr/>
        <w:t>summer</w:t>
      </w:r>
      <w:r>
        <w:rPr>
          <w:spacing w:val="-5"/>
        </w:rPr>
        <w:t> </w:t>
      </w:r>
      <w:r>
        <w:rPr/>
        <w:t>semester</w:t>
      </w:r>
      <w:r>
        <w:rPr>
          <w:spacing w:val="-5"/>
        </w:rPr>
        <w:t> </w:t>
      </w:r>
      <w:r>
        <w:rPr/>
        <w:t>at</w:t>
      </w:r>
      <w:r>
        <w:rPr>
          <w:spacing w:val="-3"/>
        </w:rPr>
        <w:t> </w:t>
      </w:r>
      <w:r>
        <w:rPr/>
        <w:t>any</w:t>
      </w:r>
      <w:r>
        <w:rPr>
          <w:spacing w:val="-4"/>
        </w:rPr>
        <w:t> </w:t>
      </w:r>
      <w:r>
        <w:rPr/>
        <w:t>level,</w:t>
      </w:r>
      <w:r>
        <w:rPr>
          <w:spacing w:val="-3"/>
        </w:rPr>
        <w:t> </w:t>
      </w:r>
      <w:r>
        <w:rPr/>
        <w:t>there</w:t>
      </w:r>
      <w:r>
        <w:rPr>
          <w:spacing w:val="-4"/>
        </w:rPr>
        <w:t> </w:t>
      </w:r>
      <w:r>
        <w:rPr/>
        <w:t>will</w:t>
      </w:r>
      <w:r>
        <w:rPr>
          <w:spacing w:val="-4"/>
        </w:rPr>
        <w:t> </w:t>
      </w:r>
      <w:r>
        <w:rPr/>
        <w:t>be</w:t>
      </w:r>
      <w:r>
        <w:rPr>
          <w:spacing w:val="-4"/>
        </w:rPr>
        <w:t> </w:t>
      </w:r>
      <w:r>
        <w:rPr/>
        <w:t>a</w:t>
      </w:r>
      <w:r>
        <w:rPr>
          <w:spacing w:val="-4"/>
        </w:rPr>
        <w:t> </w:t>
      </w:r>
      <w:r>
        <w:rPr/>
        <w:t>requirement</w:t>
      </w:r>
      <w:r>
        <w:rPr>
          <w:spacing w:val="-3"/>
        </w:rPr>
        <w:t> </w:t>
      </w:r>
      <w:r>
        <w:rPr/>
        <w:t>to participate in a minimum of 6 hours.</w:t>
      </w:r>
    </w:p>
    <w:p>
      <w:pPr>
        <w:pStyle w:val="ListParagraph"/>
        <w:numPr>
          <w:ilvl w:val="1"/>
          <w:numId w:val="166"/>
        </w:numPr>
        <w:tabs>
          <w:tab w:pos="1217" w:val="left" w:leader="none"/>
        </w:tabs>
        <w:spacing w:line="208" w:lineRule="auto" w:before="240" w:after="0"/>
        <w:ind w:left="792" w:right="1110" w:firstLine="0"/>
        <w:jc w:val="left"/>
        <w:rPr>
          <w:sz w:val="24"/>
        </w:rPr>
      </w:pPr>
      <w:r>
        <w:rPr>
          <w:b/>
          <w:sz w:val="24"/>
        </w:rPr>
        <w:t>Maintenance</w:t>
      </w:r>
      <w:r>
        <w:rPr>
          <w:b/>
          <w:spacing w:val="-5"/>
          <w:sz w:val="24"/>
        </w:rPr>
        <w:t> </w:t>
      </w:r>
      <w:r>
        <w:rPr>
          <w:b/>
          <w:sz w:val="24"/>
        </w:rPr>
        <w:t>for</w:t>
      </w:r>
      <w:r>
        <w:rPr>
          <w:b/>
          <w:spacing w:val="-5"/>
          <w:sz w:val="24"/>
        </w:rPr>
        <w:t> </w:t>
      </w:r>
      <w:r>
        <w:rPr>
          <w:b/>
          <w:sz w:val="24"/>
        </w:rPr>
        <w:t>job</w:t>
      </w:r>
      <w:r>
        <w:rPr>
          <w:b/>
          <w:spacing w:val="-5"/>
          <w:sz w:val="24"/>
        </w:rPr>
        <w:t> </w:t>
      </w:r>
      <w:r>
        <w:rPr>
          <w:b/>
          <w:sz w:val="24"/>
        </w:rPr>
        <w:t>search</w:t>
      </w:r>
      <w:r>
        <w:rPr>
          <w:b/>
          <w:spacing w:val="-5"/>
          <w:sz w:val="24"/>
        </w:rPr>
        <w:t> </w:t>
      </w:r>
      <w:r>
        <w:rPr>
          <w:b/>
          <w:sz w:val="24"/>
        </w:rPr>
        <w:t>services.</w:t>
      </w:r>
      <w:r>
        <w:rPr>
          <w:b/>
          <w:spacing w:val="-5"/>
          <w:sz w:val="24"/>
        </w:rPr>
        <w:t> </w:t>
      </w:r>
      <w:r>
        <w:rPr>
          <w:sz w:val="24"/>
        </w:rPr>
        <w:t>Maintenance</w:t>
      </w:r>
      <w:r>
        <w:rPr>
          <w:spacing w:val="-5"/>
          <w:sz w:val="24"/>
        </w:rPr>
        <w:t> </w:t>
      </w:r>
      <w:r>
        <w:rPr>
          <w:sz w:val="24"/>
        </w:rPr>
        <w:t>for</w:t>
      </w:r>
      <w:r>
        <w:rPr>
          <w:spacing w:val="-4"/>
          <w:sz w:val="24"/>
        </w:rPr>
        <w:t> </w:t>
      </w:r>
      <w:r>
        <w:rPr>
          <w:sz w:val="24"/>
        </w:rPr>
        <w:t>job</w:t>
      </w:r>
      <w:r>
        <w:rPr>
          <w:spacing w:val="-5"/>
          <w:sz w:val="24"/>
        </w:rPr>
        <w:t> </w:t>
      </w:r>
      <w:r>
        <w:rPr>
          <w:sz w:val="24"/>
        </w:rPr>
        <w:t>search</w:t>
      </w:r>
      <w:r>
        <w:rPr>
          <w:spacing w:val="-5"/>
          <w:sz w:val="24"/>
        </w:rPr>
        <w:t> </w:t>
      </w:r>
      <w:r>
        <w:rPr>
          <w:sz w:val="24"/>
        </w:rPr>
        <w:t>services requires an IPE with major services directed toward the goal of employment.</w:t>
      </w:r>
    </w:p>
    <w:p>
      <w:pPr>
        <w:pStyle w:val="ListParagraph"/>
        <w:numPr>
          <w:ilvl w:val="1"/>
          <w:numId w:val="166"/>
        </w:numPr>
        <w:tabs>
          <w:tab w:pos="1217" w:val="left" w:leader="none"/>
        </w:tabs>
        <w:spacing w:line="208" w:lineRule="auto" w:before="239" w:after="0"/>
        <w:ind w:left="792" w:right="1175" w:firstLine="0"/>
        <w:jc w:val="left"/>
        <w:rPr>
          <w:b/>
          <w:sz w:val="24"/>
        </w:rPr>
      </w:pPr>
      <w:r>
        <w:rPr>
          <w:b/>
          <w:sz w:val="24"/>
        </w:rPr>
        <w:t>Maintenance for job relocation. </w:t>
      </w:r>
      <w:r>
        <w:rPr>
          <w:sz w:val="24"/>
        </w:rPr>
        <w:t>Maintenance may be paid to a client for assistance</w:t>
      </w:r>
      <w:r>
        <w:rPr>
          <w:spacing w:val="-4"/>
          <w:sz w:val="24"/>
        </w:rPr>
        <w:t> </w:t>
      </w:r>
      <w:r>
        <w:rPr>
          <w:sz w:val="24"/>
        </w:rPr>
        <w:t>in</w:t>
      </w:r>
      <w:r>
        <w:rPr>
          <w:spacing w:val="-4"/>
          <w:sz w:val="24"/>
        </w:rPr>
        <w:t> </w:t>
      </w:r>
      <w:r>
        <w:rPr>
          <w:sz w:val="24"/>
        </w:rPr>
        <w:t>relocating</w:t>
      </w:r>
      <w:r>
        <w:rPr>
          <w:spacing w:val="-4"/>
          <w:sz w:val="24"/>
        </w:rPr>
        <w:t> </w:t>
      </w:r>
      <w:r>
        <w:rPr>
          <w:sz w:val="24"/>
        </w:rPr>
        <w:t>to</w:t>
      </w:r>
      <w:r>
        <w:rPr>
          <w:spacing w:val="-4"/>
          <w:sz w:val="24"/>
        </w:rPr>
        <w:t> </w:t>
      </w:r>
      <w:r>
        <w:rPr>
          <w:sz w:val="24"/>
        </w:rPr>
        <w:t>a</w:t>
      </w:r>
      <w:r>
        <w:rPr>
          <w:spacing w:val="-4"/>
          <w:sz w:val="24"/>
        </w:rPr>
        <w:t> </w:t>
      </w:r>
      <w:r>
        <w:rPr>
          <w:sz w:val="24"/>
        </w:rPr>
        <w:t>new</w:t>
      </w:r>
      <w:r>
        <w:rPr>
          <w:spacing w:val="-4"/>
          <w:sz w:val="24"/>
        </w:rPr>
        <w:t> </w:t>
      </w:r>
      <w:r>
        <w:rPr>
          <w:sz w:val="24"/>
        </w:rPr>
        <w:t>job</w:t>
      </w:r>
      <w:r>
        <w:rPr>
          <w:spacing w:val="-4"/>
          <w:sz w:val="24"/>
        </w:rPr>
        <w:t> </w:t>
      </w:r>
      <w:r>
        <w:rPr>
          <w:sz w:val="24"/>
        </w:rPr>
        <w:t>site.</w:t>
      </w:r>
      <w:r>
        <w:rPr>
          <w:spacing w:val="-3"/>
          <w:sz w:val="24"/>
        </w:rPr>
        <w:t> </w:t>
      </w:r>
      <w:r>
        <w:rPr>
          <w:sz w:val="24"/>
        </w:rPr>
        <w:t>Maintenance</w:t>
      </w:r>
      <w:r>
        <w:rPr>
          <w:spacing w:val="-4"/>
          <w:sz w:val="24"/>
        </w:rPr>
        <w:t> </w:t>
      </w:r>
      <w:r>
        <w:rPr>
          <w:sz w:val="24"/>
        </w:rPr>
        <w:t>services</w:t>
      </w:r>
      <w:r>
        <w:rPr>
          <w:spacing w:val="-4"/>
          <w:sz w:val="24"/>
        </w:rPr>
        <w:t> </w:t>
      </w:r>
      <w:r>
        <w:rPr>
          <w:sz w:val="24"/>
        </w:rPr>
        <w:t>for</w:t>
      </w:r>
      <w:r>
        <w:rPr>
          <w:spacing w:val="-5"/>
          <w:sz w:val="24"/>
        </w:rPr>
        <w:t> </w:t>
      </w:r>
      <w:r>
        <w:rPr>
          <w:sz w:val="24"/>
        </w:rPr>
        <w:t>this</w:t>
      </w:r>
      <w:r>
        <w:rPr>
          <w:spacing w:val="-4"/>
          <w:sz w:val="24"/>
        </w:rPr>
        <w:t> </w:t>
      </w:r>
      <w:r>
        <w:rPr>
          <w:sz w:val="24"/>
        </w:rPr>
        <w:t>purpose must be identified on the IPE. </w:t>
      </w:r>
      <w:r>
        <w:rPr>
          <w:b/>
          <w:sz w:val="24"/>
        </w:rPr>
        <w:t>4</w:t>
      </w:r>
    </w:p>
    <w:p>
      <w:pPr>
        <w:pStyle w:val="ListParagraph"/>
        <w:numPr>
          <w:ilvl w:val="0"/>
          <w:numId w:val="166"/>
        </w:numPr>
        <w:tabs>
          <w:tab w:pos="773" w:val="left" w:leader="none"/>
        </w:tabs>
        <w:spacing w:line="208" w:lineRule="auto" w:before="240" w:after="0"/>
        <w:ind w:left="360" w:right="728" w:firstLine="0"/>
        <w:jc w:val="left"/>
        <w:rPr>
          <w:sz w:val="24"/>
        </w:rPr>
      </w:pPr>
      <w:r>
        <w:rPr>
          <w:b/>
          <w:sz w:val="24"/>
        </w:rPr>
        <w:t>Clothing expenses. </w:t>
      </w:r>
      <w:r>
        <w:rPr>
          <w:sz w:val="24"/>
        </w:rPr>
        <w:t>Clothing and/or uniforms can be purchased when needed to begin training or enter employment. </w:t>
      </w:r>
      <w:r>
        <w:rPr>
          <w:b/>
          <w:sz w:val="24"/>
        </w:rPr>
        <w:t>5 </w:t>
      </w:r>
      <w:r>
        <w:rPr>
          <w:sz w:val="24"/>
        </w:rPr>
        <w:t>Everyday clothing needs of the client are considered</w:t>
      </w:r>
      <w:r>
        <w:rPr>
          <w:spacing w:val="-3"/>
          <w:sz w:val="24"/>
        </w:rPr>
        <w:t> </w:t>
      </w:r>
      <w:r>
        <w:rPr>
          <w:sz w:val="24"/>
        </w:rPr>
        <w:t>as</w:t>
      </w:r>
      <w:r>
        <w:rPr>
          <w:spacing w:val="-4"/>
          <w:sz w:val="24"/>
        </w:rPr>
        <w:t> </w:t>
      </w:r>
      <w:r>
        <w:rPr>
          <w:sz w:val="24"/>
        </w:rPr>
        <w:t>part</w:t>
      </w:r>
      <w:r>
        <w:rPr>
          <w:spacing w:val="-3"/>
          <w:sz w:val="24"/>
        </w:rPr>
        <w:t> </w:t>
      </w:r>
      <w:r>
        <w:rPr>
          <w:sz w:val="24"/>
        </w:rPr>
        <w:t>of</w:t>
      </w:r>
      <w:r>
        <w:rPr>
          <w:spacing w:val="-5"/>
          <w:sz w:val="24"/>
        </w:rPr>
        <w:t> </w:t>
      </w:r>
      <w:r>
        <w:rPr>
          <w:sz w:val="24"/>
        </w:rPr>
        <w:t>the</w:t>
      </w:r>
      <w:r>
        <w:rPr>
          <w:spacing w:val="-4"/>
          <w:sz w:val="24"/>
        </w:rPr>
        <w:t> </w:t>
      </w:r>
      <w:r>
        <w:rPr>
          <w:sz w:val="24"/>
        </w:rPr>
        <w:t>basic</w:t>
      </w:r>
      <w:r>
        <w:rPr>
          <w:spacing w:val="-4"/>
          <w:sz w:val="24"/>
        </w:rPr>
        <w:t> </w:t>
      </w:r>
      <w:r>
        <w:rPr>
          <w:sz w:val="24"/>
        </w:rPr>
        <w:t>living</w:t>
      </w:r>
      <w:r>
        <w:rPr>
          <w:spacing w:val="-4"/>
          <w:sz w:val="24"/>
        </w:rPr>
        <w:t> </w:t>
      </w:r>
      <w:r>
        <w:rPr>
          <w:sz w:val="24"/>
        </w:rPr>
        <w:t>requirements.</w:t>
      </w:r>
      <w:r>
        <w:rPr>
          <w:spacing w:val="-3"/>
          <w:sz w:val="24"/>
        </w:rPr>
        <w:t> </w:t>
      </w:r>
      <w:r>
        <w:rPr>
          <w:sz w:val="24"/>
        </w:rPr>
        <w:t>Any</w:t>
      </w:r>
      <w:r>
        <w:rPr>
          <w:spacing w:val="-5"/>
          <w:sz w:val="24"/>
        </w:rPr>
        <w:t> </w:t>
      </w:r>
      <w:r>
        <w:rPr>
          <w:sz w:val="24"/>
        </w:rPr>
        <w:t>clothing</w:t>
      </w:r>
      <w:r>
        <w:rPr>
          <w:spacing w:val="-4"/>
          <w:sz w:val="24"/>
        </w:rPr>
        <w:t> </w:t>
      </w:r>
      <w:r>
        <w:rPr>
          <w:sz w:val="24"/>
        </w:rPr>
        <w:t>purchased</w:t>
      </w:r>
      <w:r>
        <w:rPr>
          <w:spacing w:val="-4"/>
          <w:sz w:val="24"/>
        </w:rPr>
        <w:t> </w:t>
      </w:r>
      <w:r>
        <w:rPr>
          <w:sz w:val="24"/>
        </w:rPr>
        <w:t>for</w:t>
      </w:r>
      <w:r>
        <w:rPr>
          <w:spacing w:val="-5"/>
          <w:sz w:val="24"/>
        </w:rPr>
        <w:t> </w:t>
      </w:r>
      <w:r>
        <w:rPr>
          <w:sz w:val="24"/>
        </w:rPr>
        <w:t>the</w:t>
      </w:r>
      <w:r>
        <w:rPr>
          <w:spacing w:val="-4"/>
          <w:sz w:val="24"/>
        </w:rPr>
        <w:t> </w:t>
      </w:r>
      <w:r>
        <w:rPr>
          <w:sz w:val="24"/>
        </w:rPr>
        <w:t>client must be:</w:t>
      </w:r>
    </w:p>
    <w:p>
      <w:pPr>
        <w:pStyle w:val="ListParagraph"/>
        <w:numPr>
          <w:ilvl w:val="1"/>
          <w:numId w:val="166"/>
        </w:numPr>
        <w:tabs>
          <w:tab w:pos="1217" w:val="left" w:leader="none"/>
        </w:tabs>
        <w:spacing w:line="240" w:lineRule="auto" w:before="210" w:after="0"/>
        <w:ind w:left="1217" w:right="0" w:hanging="425"/>
        <w:jc w:val="left"/>
        <w:rPr>
          <w:sz w:val="24"/>
        </w:rPr>
      </w:pPr>
      <w:r>
        <w:rPr>
          <w:sz w:val="24"/>
        </w:rPr>
        <w:t>required</w:t>
      </w:r>
      <w:r>
        <w:rPr>
          <w:spacing w:val="-3"/>
          <w:sz w:val="24"/>
        </w:rPr>
        <w:t> </w:t>
      </w:r>
      <w:r>
        <w:rPr>
          <w:sz w:val="24"/>
        </w:rPr>
        <w:t>by</w:t>
      </w:r>
      <w:r>
        <w:rPr>
          <w:spacing w:val="-3"/>
          <w:sz w:val="24"/>
        </w:rPr>
        <w:t> </w:t>
      </w:r>
      <w:r>
        <w:rPr>
          <w:sz w:val="24"/>
        </w:rPr>
        <w:t>the</w:t>
      </w:r>
      <w:r>
        <w:rPr>
          <w:spacing w:val="-3"/>
          <w:sz w:val="24"/>
        </w:rPr>
        <w:t> </w:t>
      </w:r>
      <w:r>
        <w:rPr>
          <w:sz w:val="24"/>
        </w:rPr>
        <w:t>training</w:t>
      </w:r>
      <w:r>
        <w:rPr>
          <w:spacing w:val="-3"/>
          <w:sz w:val="24"/>
        </w:rPr>
        <w:t> </w:t>
      </w:r>
      <w:r>
        <w:rPr>
          <w:spacing w:val="-2"/>
          <w:sz w:val="24"/>
        </w:rPr>
        <w:t>facility;</w:t>
      </w:r>
    </w:p>
    <w:p>
      <w:pPr>
        <w:pStyle w:val="ListParagraph"/>
        <w:numPr>
          <w:ilvl w:val="1"/>
          <w:numId w:val="166"/>
        </w:numPr>
        <w:tabs>
          <w:tab w:pos="1217" w:val="left" w:leader="none"/>
        </w:tabs>
        <w:spacing w:line="240" w:lineRule="auto" w:before="205" w:after="0"/>
        <w:ind w:left="1217" w:right="0" w:hanging="426"/>
        <w:jc w:val="left"/>
        <w:rPr>
          <w:sz w:val="24"/>
        </w:rPr>
      </w:pPr>
      <w:r>
        <w:rPr>
          <w:sz w:val="24"/>
        </w:rPr>
        <w:t>necessary</w:t>
      </w:r>
      <w:r>
        <w:rPr>
          <w:spacing w:val="-5"/>
          <w:sz w:val="24"/>
        </w:rPr>
        <w:t> </w:t>
      </w:r>
      <w:r>
        <w:rPr>
          <w:sz w:val="24"/>
        </w:rPr>
        <w:t>to</w:t>
      </w:r>
      <w:r>
        <w:rPr>
          <w:spacing w:val="-3"/>
          <w:sz w:val="24"/>
        </w:rPr>
        <w:t> </w:t>
      </w:r>
      <w:r>
        <w:rPr>
          <w:sz w:val="24"/>
        </w:rPr>
        <w:t>participate</w:t>
      </w:r>
      <w:r>
        <w:rPr>
          <w:spacing w:val="-3"/>
          <w:sz w:val="24"/>
        </w:rPr>
        <w:t> </w:t>
      </w:r>
      <w:r>
        <w:rPr>
          <w:sz w:val="24"/>
        </w:rPr>
        <w:t>in</w:t>
      </w:r>
      <w:r>
        <w:rPr>
          <w:spacing w:val="-3"/>
          <w:sz w:val="24"/>
        </w:rPr>
        <w:t> </w:t>
      </w:r>
      <w:r>
        <w:rPr>
          <w:sz w:val="24"/>
        </w:rPr>
        <w:t>job</w:t>
      </w:r>
      <w:r>
        <w:rPr>
          <w:spacing w:val="-3"/>
          <w:sz w:val="24"/>
        </w:rPr>
        <w:t> </w:t>
      </w:r>
      <w:r>
        <w:rPr>
          <w:sz w:val="24"/>
        </w:rPr>
        <w:t>search</w:t>
      </w:r>
      <w:r>
        <w:rPr>
          <w:spacing w:val="-3"/>
          <w:sz w:val="24"/>
        </w:rPr>
        <w:t> </w:t>
      </w:r>
      <w:r>
        <w:rPr>
          <w:sz w:val="24"/>
        </w:rPr>
        <w:t>or</w:t>
      </w:r>
      <w:r>
        <w:rPr>
          <w:spacing w:val="-4"/>
          <w:sz w:val="24"/>
        </w:rPr>
        <w:t> </w:t>
      </w:r>
      <w:r>
        <w:rPr>
          <w:sz w:val="24"/>
        </w:rPr>
        <w:t>begin</w:t>
      </w:r>
      <w:r>
        <w:rPr>
          <w:spacing w:val="-3"/>
          <w:sz w:val="24"/>
        </w:rPr>
        <w:t> </w:t>
      </w:r>
      <w:r>
        <w:rPr>
          <w:sz w:val="24"/>
        </w:rPr>
        <w:t>employment;</w:t>
      </w:r>
      <w:r>
        <w:rPr>
          <w:spacing w:val="-2"/>
          <w:sz w:val="24"/>
        </w:rPr>
        <w:t> </w:t>
      </w:r>
      <w:r>
        <w:rPr>
          <w:spacing w:val="-5"/>
          <w:sz w:val="24"/>
        </w:rPr>
        <w:t>or</w:t>
      </w:r>
    </w:p>
    <w:p>
      <w:pPr>
        <w:pStyle w:val="ListParagraph"/>
        <w:numPr>
          <w:ilvl w:val="1"/>
          <w:numId w:val="166"/>
        </w:numPr>
        <w:tabs>
          <w:tab w:pos="1218" w:val="left" w:leader="none"/>
        </w:tabs>
        <w:spacing w:line="208" w:lineRule="auto" w:before="233" w:after="0"/>
        <w:ind w:left="792" w:right="919" w:firstLine="0"/>
        <w:jc w:val="left"/>
        <w:rPr>
          <w:sz w:val="24"/>
        </w:rPr>
      </w:pPr>
      <w:r>
        <w:rPr>
          <w:sz w:val="24"/>
        </w:rPr>
        <w:t>necessary</w:t>
      </w:r>
      <w:r>
        <w:rPr>
          <w:spacing w:val="-4"/>
          <w:sz w:val="24"/>
        </w:rPr>
        <w:t> </w:t>
      </w:r>
      <w:r>
        <w:rPr>
          <w:sz w:val="24"/>
        </w:rPr>
        <w:t>to</w:t>
      </w:r>
      <w:r>
        <w:rPr>
          <w:spacing w:val="-4"/>
          <w:sz w:val="24"/>
        </w:rPr>
        <w:t> </w:t>
      </w:r>
      <w:r>
        <w:rPr>
          <w:sz w:val="24"/>
        </w:rPr>
        <w:t>begin</w:t>
      </w:r>
      <w:r>
        <w:rPr>
          <w:spacing w:val="-4"/>
          <w:sz w:val="24"/>
        </w:rPr>
        <w:t> </w:t>
      </w:r>
      <w:r>
        <w:rPr>
          <w:sz w:val="24"/>
        </w:rPr>
        <w:t>a</w:t>
      </w:r>
      <w:r>
        <w:rPr>
          <w:spacing w:val="-4"/>
          <w:sz w:val="24"/>
        </w:rPr>
        <w:t> </w:t>
      </w:r>
      <w:r>
        <w:rPr>
          <w:sz w:val="24"/>
        </w:rPr>
        <w:t>training</w:t>
      </w:r>
      <w:r>
        <w:rPr>
          <w:spacing w:val="-3"/>
          <w:sz w:val="24"/>
        </w:rPr>
        <w:t> </w:t>
      </w:r>
      <w:r>
        <w:rPr>
          <w:sz w:val="24"/>
        </w:rPr>
        <w:t>program</w:t>
      </w:r>
      <w:r>
        <w:rPr>
          <w:spacing w:val="-5"/>
          <w:sz w:val="24"/>
        </w:rPr>
        <w:t> </w:t>
      </w:r>
      <w:r>
        <w:rPr>
          <w:sz w:val="24"/>
        </w:rPr>
        <w:t>that</w:t>
      </w:r>
      <w:r>
        <w:rPr>
          <w:spacing w:val="-3"/>
          <w:sz w:val="24"/>
        </w:rPr>
        <w:t> </w:t>
      </w:r>
      <w:r>
        <w:rPr>
          <w:sz w:val="24"/>
        </w:rPr>
        <w:t>requires</w:t>
      </w:r>
      <w:r>
        <w:rPr>
          <w:spacing w:val="-5"/>
          <w:sz w:val="24"/>
        </w:rPr>
        <w:t> </w:t>
      </w:r>
      <w:r>
        <w:rPr>
          <w:sz w:val="24"/>
        </w:rPr>
        <w:t>clothing</w:t>
      </w:r>
      <w:r>
        <w:rPr>
          <w:spacing w:val="-4"/>
          <w:sz w:val="24"/>
        </w:rPr>
        <w:t> </w:t>
      </w:r>
      <w:r>
        <w:rPr>
          <w:sz w:val="24"/>
        </w:rPr>
        <w:t>standards</w:t>
      </w:r>
      <w:r>
        <w:rPr>
          <w:spacing w:val="-4"/>
          <w:sz w:val="24"/>
        </w:rPr>
        <w:t> </w:t>
      </w:r>
      <w:r>
        <w:rPr>
          <w:sz w:val="24"/>
        </w:rPr>
        <w:t>beyond the client's means.</w:t>
      </w:r>
    </w:p>
    <w:p>
      <w:pPr>
        <w:pStyle w:val="ListParagraph"/>
        <w:numPr>
          <w:ilvl w:val="0"/>
          <w:numId w:val="166"/>
        </w:numPr>
        <w:tabs>
          <w:tab w:pos="786" w:val="left" w:leader="none"/>
        </w:tabs>
        <w:spacing w:line="208" w:lineRule="auto" w:before="240" w:after="0"/>
        <w:ind w:left="360" w:right="990" w:firstLine="0"/>
        <w:jc w:val="left"/>
        <w:rPr>
          <w:b/>
          <w:sz w:val="24"/>
        </w:rPr>
      </w:pPr>
      <w:r>
        <w:rPr>
          <w:b/>
          <w:sz w:val="24"/>
        </w:rPr>
        <w:t>Day care expenses. </w:t>
      </w:r>
      <w:r>
        <w:rPr>
          <w:sz w:val="24"/>
        </w:rPr>
        <w:t>Day care expenses will be paid for from DVR and DSBVI funds</w:t>
      </w:r>
      <w:r>
        <w:rPr>
          <w:spacing w:val="-3"/>
          <w:sz w:val="24"/>
        </w:rPr>
        <w:t> </w:t>
      </w:r>
      <w:r>
        <w:rPr>
          <w:sz w:val="24"/>
        </w:rPr>
        <w:t>only</w:t>
      </w:r>
      <w:r>
        <w:rPr>
          <w:spacing w:val="-3"/>
          <w:sz w:val="24"/>
        </w:rPr>
        <w:t> </w:t>
      </w:r>
      <w:r>
        <w:rPr>
          <w:sz w:val="24"/>
        </w:rPr>
        <w:t>when</w:t>
      </w:r>
      <w:r>
        <w:rPr>
          <w:spacing w:val="-3"/>
          <w:sz w:val="24"/>
        </w:rPr>
        <w:t> </w:t>
      </w:r>
      <w:r>
        <w:rPr>
          <w:sz w:val="24"/>
        </w:rPr>
        <w:t>necessary</w:t>
      </w:r>
      <w:r>
        <w:rPr>
          <w:spacing w:val="-3"/>
          <w:sz w:val="24"/>
        </w:rPr>
        <w:t> </w:t>
      </w:r>
      <w:r>
        <w:rPr>
          <w:sz w:val="24"/>
        </w:rPr>
        <w:t>to</w:t>
      </w:r>
      <w:r>
        <w:rPr>
          <w:spacing w:val="-3"/>
          <w:sz w:val="24"/>
        </w:rPr>
        <w:t> </w:t>
      </w:r>
      <w:r>
        <w:rPr>
          <w:sz w:val="24"/>
        </w:rPr>
        <w:t>participate</w:t>
      </w:r>
      <w:r>
        <w:rPr>
          <w:spacing w:val="-3"/>
          <w:sz w:val="24"/>
        </w:rPr>
        <w:t> </w:t>
      </w:r>
      <w:r>
        <w:rPr>
          <w:sz w:val="24"/>
        </w:rPr>
        <w:t>in</w:t>
      </w:r>
      <w:r>
        <w:rPr>
          <w:spacing w:val="-3"/>
          <w:sz w:val="24"/>
        </w:rPr>
        <w:t> </w:t>
      </w:r>
      <w:r>
        <w:rPr>
          <w:sz w:val="24"/>
        </w:rPr>
        <w:t>the</w:t>
      </w:r>
      <w:r>
        <w:rPr>
          <w:spacing w:val="-3"/>
          <w:sz w:val="24"/>
        </w:rPr>
        <w:t> </w:t>
      </w:r>
      <w:r>
        <w:rPr>
          <w:sz w:val="24"/>
        </w:rPr>
        <w:t>IPE,</w:t>
      </w:r>
      <w:r>
        <w:rPr>
          <w:spacing w:val="-2"/>
          <w:sz w:val="24"/>
        </w:rPr>
        <w:t> </w:t>
      </w:r>
      <w:r>
        <w:rPr>
          <w:sz w:val="24"/>
        </w:rPr>
        <w:t>and</w:t>
      </w:r>
      <w:r>
        <w:rPr>
          <w:spacing w:val="-3"/>
          <w:sz w:val="24"/>
        </w:rPr>
        <w:t> </w:t>
      </w:r>
      <w:r>
        <w:rPr>
          <w:sz w:val="24"/>
        </w:rPr>
        <w:t>it</w:t>
      </w:r>
      <w:r>
        <w:rPr>
          <w:spacing w:val="-2"/>
          <w:sz w:val="24"/>
        </w:rPr>
        <w:t> </w:t>
      </w:r>
      <w:r>
        <w:rPr>
          <w:sz w:val="24"/>
        </w:rPr>
        <w:t>is</w:t>
      </w:r>
      <w:r>
        <w:rPr>
          <w:spacing w:val="-3"/>
          <w:sz w:val="24"/>
        </w:rPr>
        <w:t> </w:t>
      </w:r>
      <w:r>
        <w:rPr>
          <w:sz w:val="24"/>
        </w:rPr>
        <w:t>fully</w:t>
      </w:r>
      <w:r>
        <w:rPr>
          <w:spacing w:val="-3"/>
          <w:sz w:val="24"/>
        </w:rPr>
        <w:t> </w:t>
      </w:r>
      <w:r>
        <w:rPr>
          <w:sz w:val="24"/>
        </w:rPr>
        <w:t>documented</w:t>
      </w:r>
      <w:r>
        <w:rPr>
          <w:spacing w:val="-3"/>
          <w:sz w:val="24"/>
        </w:rPr>
        <w:t> </w:t>
      </w:r>
      <w:r>
        <w:rPr>
          <w:sz w:val="24"/>
        </w:rPr>
        <w:t>that</w:t>
      </w:r>
      <w:r>
        <w:rPr>
          <w:spacing w:val="-2"/>
          <w:sz w:val="24"/>
        </w:rPr>
        <w:t> </w:t>
      </w:r>
      <w:r>
        <w:rPr>
          <w:sz w:val="24"/>
        </w:rPr>
        <w:t>no other</w:t>
      </w:r>
      <w:r>
        <w:rPr>
          <w:spacing w:val="-2"/>
          <w:sz w:val="24"/>
        </w:rPr>
        <w:t> </w:t>
      </w:r>
      <w:r>
        <w:rPr>
          <w:sz w:val="24"/>
        </w:rPr>
        <w:t>resources</w:t>
      </w:r>
      <w:r>
        <w:rPr>
          <w:spacing w:val="-2"/>
          <w:sz w:val="24"/>
        </w:rPr>
        <w:t> </w:t>
      </w:r>
      <w:r>
        <w:rPr>
          <w:sz w:val="24"/>
        </w:rPr>
        <w:t>are</w:t>
      </w:r>
      <w:r>
        <w:rPr>
          <w:spacing w:val="-2"/>
          <w:sz w:val="24"/>
        </w:rPr>
        <w:t> </w:t>
      </w:r>
      <w:r>
        <w:rPr>
          <w:sz w:val="24"/>
        </w:rPr>
        <w:t>available</w:t>
      </w:r>
      <w:r>
        <w:rPr>
          <w:spacing w:val="-2"/>
          <w:sz w:val="24"/>
        </w:rPr>
        <w:t> </w:t>
      </w:r>
      <w:r>
        <w:rPr>
          <w:sz w:val="24"/>
        </w:rPr>
        <w:t>for</w:t>
      </w:r>
      <w:r>
        <w:rPr>
          <w:spacing w:val="-2"/>
          <w:sz w:val="24"/>
        </w:rPr>
        <w:t> </w:t>
      </w:r>
      <w:r>
        <w:rPr>
          <w:sz w:val="24"/>
        </w:rPr>
        <w:t>this</w:t>
      </w:r>
      <w:r>
        <w:rPr>
          <w:spacing w:val="-2"/>
          <w:sz w:val="24"/>
        </w:rPr>
        <w:t> </w:t>
      </w:r>
      <w:r>
        <w:rPr>
          <w:sz w:val="24"/>
        </w:rPr>
        <w:t>service,</w:t>
      </w:r>
      <w:r>
        <w:rPr>
          <w:spacing w:val="-2"/>
          <w:sz w:val="24"/>
        </w:rPr>
        <w:t> </w:t>
      </w:r>
      <w:r>
        <w:rPr>
          <w:sz w:val="24"/>
        </w:rPr>
        <w:t>including</w:t>
      </w:r>
      <w:r>
        <w:rPr>
          <w:spacing w:val="-2"/>
          <w:sz w:val="24"/>
        </w:rPr>
        <w:t> </w:t>
      </w:r>
      <w:r>
        <w:rPr>
          <w:sz w:val="24"/>
        </w:rPr>
        <w:t>family</w:t>
      </w:r>
      <w:r>
        <w:rPr>
          <w:spacing w:val="-2"/>
          <w:sz w:val="24"/>
        </w:rPr>
        <w:t> </w:t>
      </w:r>
      <w:r>
        <w:rPr>
          <w:sz w:val="24"/>
        </w:rPr>
        <w:t>members</w:t>
      </w:r>
      <w:r>
        <w:rPr>
          <w:spacing w:val="-2"/>
          <w:sz w:val="24"/>
        </w:rPr>
        <w:t> </w:t>
      </w:r>
      <w:r>
        <w:rPr>
          <w:sz w:val="24"/>
        </w:rPr>
        <w:t>and</w:t>
      </w:r>
      <w:r>
        <w:rPr>
          <w:spacing w:val="-2"/>
          <w:sz w:val="24"/>
        </w:rPr>
        <w:t> </w:t>
      </w:r>
      <w:r>
        <w:rPr>
          <w:sz w:val="24"/>
        </w:rPr>
        <w:t>friends.</w:t>
      </w:r>
      <w:r>
        <w:rPr>
          <w:spacing w:val="-2"/>
          <w:sz w:val="24"/>
        </w:rPr>
        <w:t> </w:t>
      </w:r>
      <w:r>
        <w:rPr>
          <w:b/>
          <w:sz w:val="24"/>
        </w:rPr>
        <w:t>6</w:t>
      </w:r>
    </w:p>
    <w:p>
      <w:pPr>
        <w:pStyle w:val="Heading2"/>
        <w:numPr>
          <w:ilvl w:val="0"/>
          <w:numId w:val="166"/>
        </w:numPr>
        <w:tabs>
          <w:tab w:pos="786" w:val="left" w:leader="none"/>
        </w:tabs>
        <w:spacing w:line="240" w:lineRule="auto" w:before="210" w:after="0"/>
        <w:ind w:left="786" w:right="0" w:hanging="426"/>
        <w:jc w:val="left"/>
      </w:pPr>
      <w:r>
        <w:rPr/>
        <w:t>Case</w:t>
      </w:r>
      <w:r>
        <w:rPr>
          <w:spacing w:val="-4"/>
        </w:rPr>
        <w:t> </w:t>
      </w:r>
      <w:r>
        <w:rPr>
          <w:spacing w:val="-2"/>
        </w:rPr>
        <w:t>Recording.</w:t>
      </w:r>
    </w:p>
    <w:p>
      <w:pPr>
        <w:pStyle w:val="ListParagraph"/>
        <w:numPr>
          <w:ilvl w:val="1"/>
          <w:numId w:val="166"/>
        </w:numPr>
        <w:tabs>
          <w:tab w:pos="1235" w:val="left" w:leader="none"/>
        </w:tabs>
        <w:spacing w:line="208" w:lineRule="auto" w:before="233" w:after="0"/>
        <w:ind w:left="810" w:right="754" w:firstLine="0"/>
        <w:jc w:val="left"/>
        <w:rPr>
          <w:sz w:val="24"/>
        </w:rPr>
      </w:pPr>
      <w:r>
        <w:rPr>
          <w:sz w:val="24"/>
        </w:rPr>
        <w:t>Maintenance</w:t>
      </w:r>
      <w:r>
        <w:rPr>
          <w:spacing w:val="-4"/>
          <w:sz w:val="24"/>
        </w:rPr>
        <w:t> </w:t>
      </w:r>
      <w:r>
        <w:rPr>
          <w:sz w:val="24"/>
        </w:rPr>
        <w:t>payments</w:t>
      </w:r>
      <w:r>
        <w:rPr>
          <w:spacing w:val="-4"/>
          <w:sz w:val="24"/>
        </w:rPr>
        <w:t> </w:t>
      </w:r>
      <w:r>
        <w:rPr>
          <w:sz w:val="24"/>
        </w:rPr>
        <w:t>will</w:t>
      </w:r>
      <w:r>
        <w:rPr>
          <w:spacing w:val="-4"/>
          <w:sz w:val="24"/>
        </w:rPr>
        <w:t> </w:t>
      </w:r>
      <w:r>
        <w:rPr>
          <w:sz w:val="24"/>
        </w:rPr>
        <w:t>be</w:t>
      </w:r>
      <w:r>
        <w:rPr>
          <w:spacing w:val="-4"/>
          <w:sz w:val="24"/>
        </w:rPr>
        <w:t> </w:t>
      </w:r>
      <w:r>
        <w:rPr>
          <w:sz w:val="24"/>
        </w:rPr>
        <w:t>provided</w:t>
      </w:r>
      <w:r>
        <w:rPr>
          <w:spacing w:val="-4"/>
          <w:sz w:val="24"/>
        </w:rPr>
        <w:t> </w:t>
      </w:r>
      <w:r>
        <w:rPr>
          <w:sz w:val="24"/>
        </w:rPr>
        <w:t>and</w:t>
      </w:r>
      <w:r>
        <w:rPr>
          <w:spacing w:val="-4"/>
          <w:sz w:val="24"/>
        </w:rPr>
        <w:t> </w:t>
      </w:r>
      <w:r>
        <w:rPr>
          <w:sz w:val="24"/>
        </w:rPr>
        <w:t>carefully</w:t>
      </w:r>
      <w:r>
        <w:rPr>
          <w:spacing w:val="-4"/>
          <w:sz w:val="24"/>
        </w:rPr>
        <w:t> </w:t>
      </w:r>
      <w:r>
        <w:rPr>
          <w:sz w:val="24"/>
        </w:rPr>
        <w:t>tied</w:t>
      </w:r>
      <w:r>
        <w:rPr>
          <w:spacing w:val="-4"/>
          <w:sz w:val="24"/>
        </w:rPr>
        <w:t> </w:t>
      </w:r>
      <w:r>
        <w:rPr>
          <w:sz w:val="24"/>
        </w:rPr>
        <w:t>to</w:t>
      </w:r>
      <w:r>
        <w:rPr>
          <w:spacing w:val="-4"/>
          <w:sz w:val="24"/>
        </w:rPr>
        <w:t> </w:t>
      </w:r>
      <w:r>
        <w:rPr>
          <w:sz w:val="24"/>
        </w:rPr>
        <w:t>the</w:t>
      </w:r>
      <w:r>
        <w:rPr>
          <w:spacing w:val="-4"/>
          <w:sz w:val="24"/>
        </w:rPr>
        <w:t> </w:t>
      </w:r>
      <w:r>
        <w:rPr>
          <w:sz w:val="24"/>
        </w:rPr>
        <w:t>achievement</w:t>
      </w:r>
      <w:r>
        <w:rPr>
          <w:spacing w:val="-3"/>
          <w:sz w:val="24"/>
        </w:rPr>
        <w:t> </w:t>
      </w:r>
      <w:r>
        <w:rPr>
          <w:sz w:val="24"/>
        </w:rPr>
        <w:t>of specific VR outcomes which must be stated and documented in the case record and the IPE to justify such payments.</w:t>
      </w:r>
    </w:p>
    <w:p>
      <w:pPr>
        <w:pStyle w:val="ListParagraph"/>
        <w:numPr>
          <w:ilvl w:val="1"/>
          <w:numId w:val="166"/>
        </w:numPr>
        <w:tabs>
          <w:tab w:pos="1236" w:val="left" w:leader="none"/>
        </w:tabs>
        <w:spacing w:line="208" w:lineRule="auto" w:before="240" w:after="0"/>
        <w:ind w:left="810" w:right="1463" w:firstLine="0"/>
        <w:jc w:val="left"/>
        <w:rPr>
          <w:sz w:val="24"/>
        </w:rPr>
      </w:pPr>
      <w:r>
        <w:rPr>
          <w:sz w:val="24"/>
        </w:rPr>
        <w:t>Documentation</w:t>
      </w:r>
      <w:r>
        <w:rPr>
          <w:spacing w:val="-5"/>
          <w:sz w:val="24"/>
        </w:rPr>
        <w:t> </w:t>
      </w:r>
      <w:r>
        <w:rPr>
          <w:sz w:val="24"/>
        </w:rPr>
        <w:t>as</w:t>
      </w:r>
      <w:r>
        <w:rPr>
          <w:spacing w:val="-5"/>
          <w:sz w:val="24"/>
        </w:rPr>
        <w:t> </w:t>
      </w:r>
      <w:r>
        <w:rPr>
          <w:sz w:val="24"/>
        </w:rPr>
        <w:t>appropriate</w:t>
      </w:r>
      <w:r>
        <w:rPr>
          <w:spacing w:val="-5"/>
          <w:sz w:val="24"/>
        </w:rPr>
        <w:t> </w:t>
      </w:r>
      <w:r>
        <w:rPr>
          <w:sz w:val="24"/>
        </w:rPr>
        <w:t>that</w:t>
      </w:r>
      <w:r>
        <w:rPr>
          <w:spacing w:val="-4"/>
          <w:sz w:val="24"/>
        </w:rPr>
        <w:t> </w:t>
      </w:r>
      <w:r>
        <w:rPr>
          <w:sz w:val="24"/>
        </w:rPr>
        <w:t>justifies</w:t>
      </w:r>
      <w:r>
        <w:rPr>
          <w:spacing w:val="-5"/>
          <w:sz w:val="24"/>
        </w:rPr>
        <w:t> </w:t>
      </w:r>
      <w:r>
        <w:rPr>
          <w:sz w:val="24"/>
        </w:rPr>
        <w:t>room</w:t>
      </w:r>
      <w:r>
        <w:rPr>
          <w:spacing w:val="-4"/>
          <w:sz w:val="24"/>
        </w:rPr>
        <w:t> </w:t>
      </w:r>
      <w:r>
        <w:rPr>
          <w:sz w:val="24"/>
        </w:rPr>
        <w:t>and</w:t>
      </w:r>
      <w:r>
        <w:rPr>
          <w:spacing w:val="-5"/>
          <w:sz w:val="24"/>
        </w:rPr>
        <w:t> </w:t>
      </w:r>
      <w:r>
        <w:rPr>
          <w:sz w:val="24"/>
        </w:rPr>
        <w:t>board</w:t>
      </w:r>
      <w:r>
        <w:rPr>
          <w:spacing w:val="-5"/>
          <w:sz w:val="24"/>
        </w:rPr>
        <w:t> </w:t>
      </w:r>
      <w:r>
        <w:rPr>
          <w:sz w:val="24"/>
        </w:rPr>
        <w:t>expenses</w:t>
      </w:r>
      <w:r>
        <w:rPr>
          <w:spacing w:val="-5"/>
          <w:sz w:val="24"/>
        </w:rPr>
        <w:t> </w:t>
      </w:r>
      <w:r>
        <w:rPr>
          <w:sz w:val="24"/>
        </w:rPr>
        <w:t>off campus related to on-campus housing options with the lowest cost.</w:t>
      </w:r>
    </w:p>
    <w:p>
      <w:pPr>
        <w:pStyle w:val="ListParagraph"/>
        <w:numPr>
          <w:ilvl w:val="1"/>
          <w:numId w:val="166"/>
        </w:numPr>
        <w:tabs>
          <w:tab w:pos="1236" w:val="left" w:leader="none"/>
        </w:tabs>
        <w:spacing w:line="208" w:lineRule="auto" w:before="240" w:after="0"/>
        <w:ind w:left="810" w:right="1369" w:firstLine="0"/>
        <w:jc w:val="left"/>
        <w:rPr>
          <w:sz w:val="24"/>
        </w:rPr>
      </w:pPr>
      <w:r>
        <w:rPr>
          <w:sz w:val="24"/>
        </w:rPr>
        <w:t>Documentation</w:t>
      </w:r>
      <w:r>
        <w:rPr>
          <w:spacing w:val="-4"/>
          <w:sz w:val="24"/>
        </w:rPr>
        <w:t> </w:t>
      </w:r>
      <w:r>
        <w:rPr>
          <w:sz w:val="24"/>
        </w:rPr>
        <w:t>that</w:t>
      </w:r>
      <w:r>
        <w:rPr>
          <w:spacing w:val="-3"/>
          <w:sz w:val="24"/>
        </w:rPr>
        <w:t> </w:t>
      </w:r>
      <w:r>
        <w:rPr>
          <w:sz w:val="24"/>
        </w:rPr>
        <w:t>other</w:t>
      </w:r>
      <w:r>
        <w:rPr>
          <w:spacing w:val="-5"/>
          <w:sz w:val="24"/>
        </w:rPr>
        <w:t> </w:t>
      </w:r>
      <w:r>
        <w:rPr>
          <w:sz w:val="24"/>
        </w:rPr>
        <w:t>resources</w:t>
      </w:r>
      <w:r>
        <w:rPr>
          <w:spacing w:val="-4"/>
          <w:sz w:val="24"/>
        </w:rPr>
        <w:t> </w:t>
      </w:r>
      <w:r>
        <w:rPr>
          <w:sz w:val="24"/>
        </w:rPr>
        <w:t>are</w:t>
      </w:r>
      <w:r>
        <w:rPr>
          <w:spacing w:val="-5"/>
          <w:sz w:val="24"/>
        </w:rPr>
        <w:t> </w:t>
      </w:r>
      <w:r>
        <w:rPr>
          <w:sz w:val="24"/>
        </w:rPr>
        <w:t>not</w:t>
      </w:r>
      <w:r>
        <w:rPr>
          <w:spacing w:val="-3"/>
          <w:sz w:val="24"/>
        </w:rPr>
        <w:t> </w:t>
      </w:r>
      <w:r>
        <w:rPr>
          <w:sz w:val="24"/>
        </w:rPr>
        <w:t>available</w:t>
      </w:r>
      <w:r>
        <w:rPr>
          <w:spacing w:val="-4"/>
          <w:sz w:val="24"/>
        </w:rPr>
        <w:t> </w:t>
      </w:r>
      <w:r>
        <w:rPr>
          <w:sz w:val="24"/>
        </w:rPr>
        <w:t>to</w:t>
      </w:r>
      <w:r>
        <w:rPr>
          <w:spacing w:val="-4"/>
          <w:sz w:val="24"/>
        </w:rPr>
        <w:t> </w:t>
      </w:r>
      <w:r>
        <w:rPr>
          <w:sz w:val="24"/>
        </w:rPr>
        <w:t>assist</w:t>
      </w:r>
      <w:r>
        <w:rPr>
          <w:spacing w:val="-3"/>
          <w:sz w:val="24"/>
        </w:rPr>
        <w:t> </w:t>
      </w:r>
      <w:r>
        <w:rPr>
          <w:sz w:val="24"/>
        </w:rPr>
        <w:t>in</w:t>
      </w:r>
      <w:r>
        <w:rPr>
          <w:spacing w:val="-4"/>
          <w:sz w:val="24"/>
        </w:rPr>
        <w:t> </w:t>
      </w:r>
      <w:r>
        <w:rPr>
          <w:sz w:val="24"/>
        </w:rPr>
        <w:t>day</w:t>
      </w:r>
      <w:r>
        <w:rPr>
          <w:spacing w:val="-4"/>
          <w:sz w:val="24"/>
        </w:rPr>
        <w:t> </w:t>
      </w:r>
      <w:r>
        <w:rPr>
          <w:sz w:val="24"/>
        </w:rPr>
        <w:t>care expense, including family and friends.</w:t>
      </w:r>
    </w:p>
    <w:p>
      <w:pPr>
        <w:pStyle w:val="BodyText"/>
        <w:spacing w:before="210"/>
        <w:ind w:left="359"/>
      </w:pPr>
      <w:r>
        <w:rPr/>
        <w:t>Instructions</w:t>
      </w:r>
      <w:r>
        <w:rPr>
          <w:spacing w:val="-5"/>
        </w:rPr>
        <w:t> </w:t>
      </w:r>
      <w:r>
        <w:rPr/>
        <w:t>to</w:t>
      </w:r>
      <w:r>
        <w:rPr>
          <w:spacing w:val="-2"/>
        </w:rPr>
        <w:t> </w:t>
      </w:r>
      <w:r>
        <w:rPr>
          <w:spacing w:val="-4"/>
        </w:rPr>
        <w:t>Staff</w:t>
      </w:r>
    </w:p>
    <w:p>
      <w:pPr>
        <w:pStyle w:val="ListParagraph"/>
        <w:numPr>
          <w:ilvl w:val="0"/>
          <w:numId w:val="167"/>
        </w:numPr>
        <w:tabs>
          <w:tab w:pos="1077" w:val="left" w:leader="none"/>
        </w:tabs>
        <w:spacing w:line="208" w:lineRule="auto" w:before="234" w:after="0"/>
        <w:ind w:left="791" w:right="735" w:firstLine="0"/>
        <w:jc w:val="left"/>
        <w:rPr>
          <w:sz w:val="24"/>
        </w:rPr>
      </w:pPr>
      <w:r>
        <w:rPr>
          <w:sz w:val="24"/>
        </w:rPr>
        <w:t>Each authorization for maintenance must indicate the payment beginning dates, intervals</w:t>
      </w:r>
      <w:r>
        <w:rPr>
          <w:spacing w:val="-4"/>
          <w:sz w:val="24"/>
        </w:rPr>
        <w:t> </w:t>
      </w:r>
      <w:r>
        <w:rPr>
          <w:sz w:val="24"/>
        </w:rPr>
        <w:t>and</w:t>
      </w:r>
      <w:r>
        <w:rPr>
          <w:spacing w:val="-4"/>
          <w:sz w:val="24"/>
        </w:rPr>
        <w:t> </w:t>
      </w:r>
      <w:r>
        <w:rPr>
          <w:sz w:val="24"/>
        </w:rPr>
        <w:t>amounts</w:t>
      </w:r>
      <w:r>
        <w:rPr>
          <w:spacing w:val="-5"/>
          <w:sz w:val="24"/>
        </w:rPr>
        <w:t> </w:t>
      </w:r>
      <w:r>
        <w:rPr>
          <w:sz w:val="24"/>
        </w:rPr>
        <w:t>and</w:t>
      </w:r>
      <w:r>
        <w:rPr>
          <w:spacing w:val="-4"/>
          <w:sz w:val="24"/>
        </w:rPr>
        <w:t> </w:t>
      </w:r>
      <w:r>
        <w:rPr>
          <w:sz w:val="24"/>
        </w:rPr>
        <w:t>the</w:t>
      </w:r>
      <w:r>
        <w:rPr>
          <w:spacing w:val="-4"/>
          <w:sz w:val="24"/>
        </w:rPr>
        <w:t> </w:t>
      </w:r>
      <w:r>
        <w:rPr>
          <w:sz w:val="24"/>
        </w:rPr>
        <w:t>total</w:t>
      </w:r>
      <w:r>
        <w:rPr>
          <w:spacing w:val="-4"/>
          <w:sz w:val="24"/>
        </w:rPr>
        <w:t> </w:t>
      </w:r>
      <w:r>
        <w:rPr>
          <w:sz w:val="24"/>
        </w:rPr>
        <w:t>amount</w:t>
      </w:r>
      <w:r>
        <w:rPr>
          <w:spacing w:val="-3"/>
          <w:sz w:val="24"/>
        </w:rPr>
        <w:t> </w:t>
      </w:r>
      <w:r>
        <w:rPr>
          <w:sz w:val="24"/>
        </w:rPr>
        <w:t>to</w:t>
      </w:r>
      <w:r>
        <w:rPr>
          <w:spacing w:val="-4"/>
          <w:sz w:val="24"/>
        </w:rPr>
        <w:t> </w:t>
      </w:r>
      <w:r>
        <w:rPr>
          <w:sz w:val="24"/>
        </w:rPr>
        <w:t>be</w:t>
      </w:r>
      <w:r>
        <w:rPr>
          <w:spacing w:val="-4"/>
          <w:sz w:val="24"/>
        </w:rPr>
        <w:t> </w:t>
      </w:r>
      <w:r>
        <w:rPr>
          <w:sz w:val="24"/>
        </w:rPr>
        <w:t>paid.</w:t>
      </w:r>
      <w:r>
        <w:rPr>
          <w:spacing w:val="-3"/>
          <w:sz w:val="24"/>
        </w:rPr>
        <w:t> </w:t>
      </w:r>
      <w:r>
        <w:rPr>
          <w:sz w:val="24"/>
        </w:rPr>
        <w:t>The</w:t>
      </w:r>
      <w:r>
        <w:rPr>
          <w:spacing w:val="-4"/>
          <w:sz w:val="24"/>
        </w:rPr>
        <w:t> </w:t>
      </w:r>
      <w:r>
        <w:rPr>
          <w:sz w:val="24"/>
        </w:rPr>
        <w:t>justification</w:t>
      </w:r>
      <w:r>
        <w:rPr>
          <w:spacing w:val="-4"/>
          <w:sz w:val="24"/>
        </w:rPr>
        <w:t> </w:t>
      </w:r>
      <w:r>
        <w:rPr>
          <w:sz w:val="24"/>
        </w:rPr>
        <w:t>for</w:t>
      </w:r>
      <w:r>
        <w:rPr>
          <w:spacing w:val="-3"/>
          <w:sz w:val="24"/>
        </w:rPr>
        <w:t> </w:t>
      </w:r>
      <w:r>
        <w:rPr>
          <w:sz w:val="24"/>
        </w:rPr>
        <w:t>providing maintenance, the amount of maintenance provided and time span will be documented in the case record. Maintenance and transportation may be authorized on the same authorization when regular monthly payments are to be made, but each must be shown as a separate item on the authorization. The authorization is made to the client so that warrants are mailed directly to the client's current</w:t>
      </w:r>
      <w:r>
        <w:rPr>
          <w:spacing w:val="40"/>
          <w:sz w:val="24"/>
        </w:rPr>
        <w:t> </w:t>
      </w:r>
      <w:r>
        <w:rPr>
          <w:spacing w:val="-2"/>
          <w:sz w:val="24"/>
        </w:rPr>
        <w:t>address.</w:t>
      </w:r>
    </w:p>
    <w:p>
      <w:pPr>
        <w:pStyle w:val="ListParagraph"/>
        <w:numPr>
          <w:ilvl w:val="0"/>
          <w:numId w:val="167"/>
        </w:numPr>
        <w:tabs>
          <w:tab w:pos="1077" w:val="left" w:leader="none"/>
        </w:tabs>
        <w:spacing w:line="208" w:lineRule="auto" w:before="239" w:after="0"/>
        <w:ind w:left="791" w:right="1420" w:firstLine="0"/>
        <w:jc w:val="left"/>
        <w:rPr>
          <w:sz w:val="24"/>
        </w:rPr>
      </w:pPr>
      <w:r>
        <w:rPr>
          <w:sz w:val="24"/>
        </w:rPr>
        <w:t>The</w:t>
      </w:r>
      <w:r>
        <w:rPr>
          <w:spacing w:val="-4"/>
          <w:sz w:val="24"/>
        </w:rPr>
        <w:t> </w:t>
      </w:r>
      <w:r>
        <w:rPr>
          <w:sz w:val="24"/>
        </w:rPr>
        <w:t>authorization</w:t>
      </w:r>
      <w:r>
        <w:rPr>
          <w:spacing w:val="-4"/>
          <w:sz w:val="24"/>
        </w:rPr>
        <w:t> </w:t>
      </w:r>
      <w:r>
        <w:rPr>
          <w:sz w:val="24"/>
        </w:rPr>
        <w:t>is</w:t>
      </w:r>
      <w:r>
        <w:rPr>
          <w:spacing w:val="-4"/>
          <w:sz w:val="24"/>
        </w:rPr>
        <w:t> </w:t>
      </w:r>
      <w:r>
        <w:rPr>
          <w:sz w:val="24"/>
        </w:rPr>
        <w:t>made</w:t>
      </w:r>
      <w:r>
        <w:rPr>
          <w:spacing w:val="-4"/>
          <w:sz w:val="24"/>
        </w:rPr>
        <w:t> </w:t>
      </w:r>
      <w:r>
        <w:rPr>
          <w:sz w:val="24"/>
        </w:rPr>
        <w:t>to</w:t>
      </w:r>
      <w:r>
        <w:rPr>
          <w:spacing w:val="-4"/>
          <w:sz w:val="24"/>
        </w:rPr>
        <w:t> </w:t>
      </w:r>
      <w:r>
        <w:rPr>
          <w:sz w:val="24"/>
        </w:rPr>
        <w:t>the</w:t>
      </w:r>
      <w:r>
        <w:rPr>
          <w:spacing w:val="-5"/>
          <w:sz w:val="24"/>
        </w:rPr>
        <w:t> </w:t>
      </w:r>
      <w:r>
        <w:rPr>
          <w:sz w:val="24"/>
        </w:rPr>
        <w:t>vendor</w:t>
      </w:r>
      <w:r>
        <w:rPr>
          <w:spacing w:val="-3"/>
          <w:sz w:val="24"/>
        </w:rPr>
        <w:t> </w:t>
      </w:r>
      <w:r>
        <w:rPr>
          <w:sz w:val="24"/>
        </w:rPr>
        <w:t>providing</w:t>
      </w:r>
      <w:r>
        <w:rPr>
          <w:spacing w:val="-4"/>
          <w:sz w:val="24"/>
        </w:rPr>
        <w:t> </w:t>
      </w:r>
      <w:r>
        <w:rPr>
          <w:sz w:val="24"/>
        </w:rPr>
        <w:t>maintenance</w:t>
      </w:r>
      <w:r>
        <w:rPr>
          <w:spacing w:val="-4"/>
          <w:sz w:val="24"/>
        </w:rPr>
        <w:t> </w:t>
      </w:r>
      <w:r>
        <w:rPr>
          <w:sz w:val="24"/>
        </w:rPr>
        <w:t>services</w:t>
      </w:r>
      <w:r>
        <w:rPr>
          <w:spacing w:val="-4"/>
          <w:sz w:val="24"/>
        </w:rPr>
        <w:t> </w:t>
      </w:r>
      <w:r>
        <w:rPr>
          <w:sz w:val="24"/>
        </w:rPr>
        <w:t>or directly to the client.</w:t>
      </w:r>
    </w:p>
    <w:p>
      <w:pPr>
        <w:pStyle w:val="ListParagraph"/>
        <w:spacing w:after="0" w:line="208" w:lineRule="auto"/>
        <w:jc w:val="left"/>
        <w:rPr>
          <w:sz w:val="24"/>
        </w:rPr>
        <w:sectPr>
          <w:pgSz w:w="12240" w:h="15840"/>
          <w:pgMar w:top="1340" w:bottom="280" w:left="1080" w:right="720"/>
        </w:sectPr>
      </w:pPr>
    </w:p>
    <w:p>
      <w:pPr>
        <w:pStyle w:val="ListParagraph"/>
        <w:numPr>
          <w:ilvl w:val="0"/>
          <w:numId w:val="167"/>
        </w:numPr>
        <w:tabs>
          <w:tab w:pos="1077" w:val="left" w:leader="none"/>
        </w:tabs>
        <w:spacing w:line="208" w:lineRule="auto" w:before="96" w:after="0"/>
        <w:ind w:left="791" w:right="779" w:firstLine="0"/>
        <w:jc w:val="left"/>
        <w:rPr>
          <w:sz w:val="24"/>
        </w:rPr>
      </w:pPr>
      <w:r>
        <w:rPr>
          <w:sz w:val="24"/>
        </w:rPr>
        <w:t>The</w:t>
      </w:r>
      <w:r>
        <w:rPr>
          <w:spacing w:val="-4"/>
          <w:sz w:val="24"/>
        </w:rPr>
        <w:t> </w:t>
      </w:r>
      <w:r>
        <w:rPr>
          <w:sz w:val="24"/>
        </w:rPr>
        <w:t>counselor</w:t>
      </w:r>
      <w:r>
        <w:rPr>
          <w:spacing w:val="-3"/>
          <w:sz w:val="24"/>
        </w:rPr>
        <w:t> </w:t>
      </w:r>
      <w:r>
        <w:rPr>
          <w:sz w:val="24"/>
        </w:rPr>
        <w:t>must</w:t>
      </w:r>
      <w:r>
        <w:rPr>
          <w:spacing w:val="-3"/>
          <w:sz w:val="24"/>
        </w:rPr>
        <w:t> </w:t>
      </w:r>
      <w:r>
        <w:rPr>
          <w:sz w:val="24"/>
        </w:rPr>
        <w:t>investigate</w:t>
      </w:r>
      <w:r>
        <w:rPr>
          <w:spacing w:val="-4"/>
          <w:sz w:val="24"/>
        </w:rPr>
        <w:t> </w:t>
      </w:r>
      <w:r>
        <w:rPr>
          <w:sz w:val="24"/>
        </w:rPr>
        <w:t>the</w:t>
      </w:r>
      <w:r>
        <w:rPr>
          <w:spacing w:val="-4"/>
          <w:sz w:val="24"/>
        </w:rPr>
        <w:t> </w:t>
      </w:r>
      <w:r>
        <w:rPr>
          <w:sz w:val="24"/>
        </w:rPr>
        <w:t>effect</w:t>
      </w:r>
      <w:r>
        <w:rPr>
          <w:spacing w:val="-5"/>
          <w:sz w:val="24"/>
        </w:rPr>
        <w:t> </w:t>
      </w:r>
      <w:r>
        <w:rPr>
          <w:sz w:val="24"/>
        </w:rPr>
        <w:t>maintenance</w:t>
      </w:r>
      <w:r>
        <w:rPr>
          <w:spacing w:val="-3"/>
          <w:sz w:val="24"/>
        </w:rPr>
        <w:t> </w:t>
      </w:r>
      <w:r>
        <w:rPr>
          <w:sz w:val="24"/>
        </w:rPr>
        <w:t>payment</w:t>
      </w:r>
      <w:r>
        <w:rPr>
          <w:spacing w:val="-3"/>
          <w:sz w:val="24"/>
        </w:rPr>
        <w:t> </w:t>
      </w:r>
      <w:r>
        <w:rPr>
          <w:sz w:val="24"/>
        </w:rPr>
        <w:t>will</w:t>
      </w:r>
      <w:r>
        <w:rPr>
          <w:spacing w:val="-4"/>
          <w:sz w:val="24"/>
        </w:rPr>
        <w:t> </w:t>
      </w:r>
      <w:r>
        <w:rPr>
          <w:sz w:val="24"/>
        </w:rPr>
        <w:t>have</w:t>
      </w:r>
      <w:r>
        <w:rPr>
          <w:spacing w:val="-4"/>
          <w:sz w:val="24"/>
        </w:rPr>
        <w:t> </w:t>
      </w:r>
      <w:r>
        <w:rPr>
          <w:sz w:val="24"/>
        </w:rPr>
        <w:t>on</w:t>
      </w:r>
      <w:r>
        <w:rPr>
          <w:spacing w:val="-4"/>
          <w:sz w:val="24"/>
        </w:rPr>
        <w:t> </w:t>
      </w:r>
      <w:r>
        <w:rPr>
          <w:sz w:val="24"/>
        </w:rPr>
        <w:t>any other payments or grants the client receives from SSI, SSDI or other government </w:t>
      </w:r>
      <w:r>
        <w:rPr>
          <w:spacing w:val="-2"/>
          <w:sz w:val="24"/>
        </w:rPr>
        <w:t>programs.</w:t>
      </w:r>
    </w:p>
    <w:p>
      <w:pPr>
        <w:pStyle w:val="ListParagraph"/>
        <w:numPr>
          <w:ilvl w:val="0"/>
          <w:numId w:val="167"/>
        </w:numPr>
        <w:tabs>
          <w:tab w:pos="1077" w:val="left" w:leader="none"/>
        </w:tabs>
        <w:spacing w:line="208" w:lineRule="auto" w:before="240" w:after="0"/>
        <w:ind w:left="791" w:right="738" w:firstLine="0"/>
        <w:jc w:val="left"/>
        <w:rPr>
          <w:sz w:val="24"/>
        </w:rPr>
      </w:pPr>
      <w:r>
        <w:rPr>
          <w:sz w:val="24"/>
        </w:rPr>
        <w:t>Due to wide variances in client needs for this service, no specific guidelines are</w:t>
      </w:r>
      <w:r>
        <w:rPr>
          <w:spacing w:val="40"/>
          <w:sz w:val="24"/>
        </w:rPr>
        <w:t> </w:t>
      </w:r>
      <w:r>
        <w:rPr>
          <w:sz w:val="24"/>
        </w:rPr>
        <w:t>in place. If a client needs this service for successful employment, the counselor will write a memo to the supervisor giving a brief summary of the situation with an itemized</w:t>
      </w:r>
      <w:r>
        <w:rPr>
          <w:spacing w:val="-3"/>
          <w:sz w:val="24"/>
        </w:rPr>
        <w:t> </w:t>
      </w:r>
      <w:r>
        <w:rPr>
          <w:sz w:val="24"/>
        </w:rPr>
        <w:t>list</w:t>
      </w:r>
      <w:r>
        <w:rPr>
          <w:spacing w:val="-2"/>
          <w:sz w:val="24"/>
        </w:rPr>
        <w:t> </w:t>
      </w:r>
      <w:r>
        <w:rPr>
          <w:sz w:val="24"/>
        </w:rPr>
        <w:t>of</w:t>
      </w:r>
      <w:r>
        <w:rPr>
          <w:spacing w:val="-4"/>
          <w:sz w:val="24"/>
        </w:rPr>
        <w:t> </w:t>
      </w:r>
      <w:r>
        <w:rPr>
          <w:sz w:val="24"/>
        </w:rPr>
        <w:t>the</w:t>
      </w:r>
      <w:r>
        <w:rPr>
          <w:spacing w:val="-3"/>
          <w:sz w:val="24"/>
        </w:rPr>
        <w:t> </w:t>
      </w:r>
      <w:r>
        <w:rPr>
          <w:sz w:val="24"/>
        </w:rPr>
        <w:t>client's</w:t>
      </w:r>
      <w:r>
        <w:rPr>
          <w:spacing w:val="-3"/>
          <w:sz w:val="24"/>
        </w:rPr>
        <w:t> </w:t>
      </w:r>
      <w:r>
        <w:rPr>
          <w:sz w:val="24"/>
        </w:rPr>
        <w:t>needs,</w:t>
      </w:r>
      <w:r>
        <w:rPr>
          <w:spacing w:val="-2"/>
          <w:sz w:val="24"/>
        </w:rPr>
        <w:t> </w:t>
      </w:r>
      <w:r>
        <w:rPr>
          <w:sz w:val="24"/>
        </w:rPr>
        <w:t>such</w:t>
      </w:r>
      <w:r>
        <w:rPr>
          <w:spacing w:val="-3"/>
          <w:sz w:val="24"/>
        </w:rPr>
        <w:t> </w:t>
      </w:r>
      <w:r>
        <w:rPr>
          <w:sz w:val="24"/>
        </w:rPr>
        <w:t>as:</w:t>
      </w:r>
      <w:r>
        <w:rPr>
          <w:spacing w:val="-2"/>
          <w:sz w:val="24"/>
        </w:rPr>
        <w:t> </w:t>
      </w:r>
      <w:r>
        <w:rPr>
          <w:sz w:val="24"/>
        </w:rPr>
        <w:t>transportation,</w:t>
      </w:r>
      <w:r>
        <w:rPr>
          <w:spacing w:val="-2"/>
          <w:sz w:val="24"/>
        </w:rPr>
        <w:t> </w:t>
      </w:r>
      <w:r>
        <w:rPr>
          <w:sz w:val="24"/>
        </w:rPr>
        <w:t>rent,</w:t>
      </w:r>
      <w:r>
        <w:rPr>
          <w:spacing w:val="-4"/>
          <w:sz w:val="24"/>
        </w:rPr>
        <w:t> </w:t>
      </w:r>
      <w:r>
        <w:rPr>
          <w:sz w:val="24"/>
        </w:rPr>
        <w:t>utility</w:t>
      </w:r>
      <w:r>
        <w:rPr>
          <w:spacing w:val="-3"/>
          <w:sz w:val="24"/>
        </w:rPr>
        <w:t> </w:t>
      </w:r>
      <w:r>
        <w:rPr>
          <w:sz w:val="24"/>
        </w:rPr>
        <w:t>deposits,</w:t>
      </w:r>
      <w:r>
        <w:rPr>
          <w:spacing w:val="-2"/>
          <w:sz w:val="24"/>
        </w:rPr>
        <w:t> </w:t>
      </w:r>
      <w:r>
        <w:rPr>
          <w:sz w:val="24"/>
        </w:rPr>
        <w:t>etc.</w:t>
      </w:r>
      <w:r>
        <w:rPr>
          <w:spacing w:val="-4"/>
          <w:sz w:val="24"/>
        </w:rPr>
        <w:t> </w:t>
      </w:r>
      <w:r>
        <w:rPr>
          <w:sz w:val="24"/>
        </w:rPr>
        <w:t>If a moving company is to be used, the job will be let for competitive bidding as required by state law.</w:t>
      </w:r>
    </w:p>
    <w:p>
      <w:pPr>
        <w:pStyle w:val="ListParagraph"/>
        <w:numPr>
          <w:ilvl w:val="0"/>
          <w:numId w:val="167"/>
        </w:numPr>
        <w:tabs>
          <w:tab w:pos="1077" w:val="left" w:leader="none"/>
        </w:tabs>
        <w:spacing w:line="240" w:lineRule="auto" w:before="210" w:after="0"/>
        <w:ind w:left="1077" w:right="0" w:hanging="286"/>
        <w:jc w:val="left"/>
        <w:rPr>
          <w:sz w:val="24"/>
        </w:rPr>
      </w:pPr>
      <w:r>
        <w:rPr>
          <w:sz w:val="24"/>
        </w:rPr>
        <w:t>Receipts</w:t>
      </w:r>
      <w:r>
        <w:rPr>
          <w:spacing w:val="-5"/>
          <w:sz w:val="24"/>
        </w:rPr>
        <w:t> </w:t>
      </w:r>
      <w:r>
        <w:rPr>
          <w:sz w:val="24"/>
        </w:rPr>
        <w:t>for</w:t>
      </w:r>
      <w:r>
        <w:rPr>
          <w:spacing w:val="-2"/>
          <w:sz w:val="24"/>
        </w:rPr>
        <w:t> </w:t>
      </w:r>
      <w:r>
        <w:rPr>
          <w:sz w:val="24"/>
        </w:rPr>
        <w:t>clothing</w:t>
      </w:r>
      <w:r>
        <w:rPr>
          <w:spacing w:val="-3"/>
          <w:sz w:val="24"/>
        </w:rPr>
        <w:t> </w:t>
      </w:r>
      <w:r>
        <w:rPr>
          <w:sz w:val="24"/>
        </w:rPr>
        <w:t>and/or</w:t>
      </w:r>
      <w:r>
        <w:rPr>
          <w:spacing w:val="-2"/>
          <w:sz w:val="24"/>
        </w:rPr>
        <w:t> </w:t>
      </w:r>
      <w:r>
        <w:rPr>
          <w:sz w:val="24"/>
        </w:rPr>
        <w:t>uniforms</w:t>
      </w:r>
      <w:r>
        <w:rPr>
          <w:spacing w:val="-3"/>
          <w:sz w:val="24"/>
        </w:rPr>
        <w:t> </w:t>
      </w:r>
      <w:r>
        <w:rPr>
          <w:sz w:val="24"/>
        </w:rPr>
        <w:t>must</w:t>
      </w:r>
      <w:r>
        <w:rPr>
          <w:spacing w:val="-4"/>
          <w:sz w:val="24"/>
        </w:rPr>
        <w:t> </w:t>
      </w:r>
      <w:r>
        <w:rPr>
          <w:sz w:val="24"/>
        </w:rPr>
        <w:t>be</w:t>
      </w:r>
      <w:r>
        <w:rPr>
          <w:spacing w:val="-3"/>
          <w:sz w:val="24"/>
        </w:rPr>
        <w:t> </w:t>
      </w:r>
      <w:r>
        <w:rPr>
          <w:sz w:val="24"/>
        </w:rPr>
        <w:t>documented</w:t>
      </w:r>
      <w:r>
        <w:rPr>
          <w:spacing w:val="-3"/>
          <w:sz w:val="24"/>
        </w:rPr>
        <w:t> </w:t>
      </w:r>
      <w:r>
        <w:rPr>
          <w:sz w:val="24"/>
        </w:rPr>
        <w:t>in</w:t>
      </w:r>
      <w:r>
        <w:rPr>
          <w:spacing w:val="-3"/>
          <w:sz w:val="24"/>
        </w:rPr>
        <w:t> </w:t>
      </w:r>
      <w:r>
        <w:rPr>
          <w:sz w:val="24"/>
        </w:rPr>
        <w:t>the</w:t>
      </w:r>
      <w:r>
        <w:rPr>
          <w:spacing w:val="-3"/>
          <w:sz w:val="24"/>
        </w:rPr>
        <w:t> </w:t>
      </w:r>
      <w:r>
        <w:rPr>
          <w:sz w:val="24"/>
        </w:rPr>
        <w:t>case</w:t>
      </w:r>
      <w:r>
        <w:rPr>
          <w:spacing w:val="-2"/>
          <w:sz w:val="24"/>
        </w:rPr>
        <w:t> file.</w:t>
      </w:r>
    </w:p>
    <w:p>
      <w:pPr>
        <w:pStyle w:val="ListParagraph"/>
        <w:numPr>
          <w:ilvl w:val="0"/>
          <w:numId w:val="167"/>
        </w:numPr>
        <w:tabs>
          <w:tab w:pos="1077" w:val="left" w:leader="none"/>
        </w:tabs>
        <w:spacing w:line="208" w:lineRule="auto" w:before="233" w:after="0"/>
        <w:ind w:left="791" w:right="882" w:firstLine="0"/>
        <w:jc w:val="left"/>
        <w:rPr>
          <w:sz w:val="24"/>
        </w:rPr>
      </w:pPr>
      <w:r>
        <w:rPr>
          <w:sz w:val="24"/>
        </w:rPr>
        <w:t>The client and counselor can obtain reasonable payment rates in the client's community</w:t>
      </w:r>
      <w:r>
        <w:rPr>
          <w:spacing w:val="-5"/>
          <w:sz w:val="24"/>
        </w:rPr>
        <w:t> </w:t>
      </w:r>
      <w:r>
        <w:rPr>
          <w:sz w:val="24"/>
        </w:rPr>
        <w:t>by</w:t>
      </w:r>
      <w:r>
        <w:rPr>
          <w:spacing w:val="-4"/>
          <w:sz w:val="24"/>
        </w:rPr>
        <w:t> </w:t>
      </w:r>
      <w:r>
        <w:rPr>
          <w:sz w:val="24"/>
        </w:rPr>
        <w:t>contacting</w:t>
      </w:r>
      <w:r>
        <w:rPr>
          <w:spacing w:val="-4"/>
          <w:sz w:val="24"/>
        </w:rPr>
        <w:t> </w:t>
      </w:r>
      <w:r>
        <w:rPr>
          <w:sz w:val="24"/>
        </w:rPr>
        <w:t>the</w:t>
      </w:r>
      <w:r>
        <w:rPr>
          <w:spacing w:val="-4"/>
          <w:sz w:val="24"/>
        </w:rPr>
        <w:t> </w:t>
      </w:r>
      <w:r>
        <w:rPr>
          <w:sz w:val="24"/>
        </w:rPr>
        <w:t>Department</w:t>
      </w:r>
      <w:r>
        <w:rPr>
          <w:spacing w:val="-3"/>
          <w:sz w:val="24"/>
        </w:rPr>
        <w:t> </w:t>
      </w:r>
      <w:r>
        <w:rPr>
          <w:sz w:val="24"/>
        </w:rPr>
        <w:t>of</w:t>
      </w:r>
      <w:r>
        <w:rPr>
          <w:spacing w:val="-5"/>
          <w:sz w:val="24"/>
        </w:rPr>
        <w:t> </w:t>
      </w:r>
      <w:r>
        <w:rPr>
          <w:sz w:val="24"/>
        </w:rPr>
        <w:t>Human</w:t>
      </w:r>
      <w:r>
        <w:rPr>
          <w:spacing w:val="-4"/>
          <w:sz w:val="24"/>
        </w:rPr>
        <w:t> </w:t>
      </w:r>
      <w:r>
        <w:rPr>
          <w:sz w:val="24"/>
        </w:rPr>
        <w:t>Services</w:t>
      </w:r>
      <w:r>
        <w:rPr>
          <w:spacing w:val="-4"/>
          <w:sz w:val="24"/>
        </w:rPr>
        <w:t> </w:t>
      </w:r>
      <w:r>
        <w:rPr>
          <w:sz w:val="24"/>
        </w:rPr>
        <w:t>and</w:t>
      </w:r>
      <w:r>
        <w:rPr>
          <w:spacing w:val="-4"/>
          <w:sz w:val="24"/>
        </w:rPr>
        <w:t> </w:t>
      </w:r>
      <w:r>
        <w:rPr>
          <w:sz w:val="24"/>
        </w:rPr>
        <w:t>other</w:t>
      </w:r>
      <w:r>
        <w:rPr>
          <w:spacing w:val="-3"/>
          <w:sz w:val="24"/>
        </w:rPr>
        <w:t> </w:t>
      </w:r>
      <w:r>
        <w:rPr>
          <w:sz w:val="24"/>
        </w:rPr>
        <w:t>community resources. This information can be used in deciding upon a monthly payment for this service.</w:t>
      </w:r>
    </w:p>
    <w:p>
      <w:pPr>
        <w:spacing w:before="243"/>
        <w:ind w:left="360" w:right="0" w:firstLine="0"/>
        <w:jc w:val="both"/>
        <w:rPr>
          <w:sz w:val="22"/>
        </w:rPr>
      </w:pPr>
      <w:r>
        <w:rPr>
          <w:sz w:val="22"/>
        </w:rPr>
        <w:t>Section</w:t>
      </w:r>
      <w:r>
        <w:rPr>
          <w:spacing w:val="-9"/>
          <w:sz w:val="22"/>
        </w:rPr>
        <w:t> </w:t>
      </w:r>
      <w:r>
        <w:rPr>
          <w:spacing w:val="-2"/>
          <w:sz w:val="22"/>
        </w:rPr>
        <w:t>History</w:t>
      </w:r>
    </w:p>
    <w:p>
      <w:pPr>
        <w:spacing w:line="253" w:lineRule="exact" w:before="1"/>
        <w:ind w:left="360" w:right="0" w:firstLine="0"/>
        <w:jc w:val="both"/>
        <w:rPr>
          <w:sz w:val="22"/>
        </w:rPr>
      </w:pPr>
      <w:r>
        <w:rPr>
          <w:sz w:val="22"/>
        </w:rPr>
        <w:t>9-1-93</w:t>
      </w:r>
      <w:r>
        <w:rPr>
          <w:spacing w:val="52"/>
          <w:w w:val="150"/>
          <w:sz w:val="22"/>
        </w:rPr>
        <w:t>   </w:t>
      </w:r>
      <w:r>
        <w:rPr>
          <w:sz w:val="22"/>
        </w:rPr>
        <w:t>No</w:t>
      </w:r>
      <w:r>
        <w:rPr>
          <w:spacing w:val="-1"/>
          <w:sz w:val="22"/>
        </w:rPr>
        <w:t> </w:t>
      </w:r>
      <w:r>
        <w:rPr>
          <w:sz w:val="22"/>
        </w:rPr>
        <w:t>PT</w:t>
      </w:r>
      <w:r>
        <w:rPr>
          <w:spacing w:val="-1"/>
          <w:sz w:val="22"/>
        </w:rPr>
        <w:t> </w:t>
      </w:r>
      <w:r>
        <w:rPr>
          <w:spacing w:val="-4"/>
          <w:sz w:val="22"/>
        </w:rPr>
        <w:t>Memo</w:t>
      </w:r>
    </w:p>
    <w:p>
      <w:pPr>
        <w:spacing w:before="0"/>
        <w:ind w:left="359" w:right="4436" w:firstLine="1080"/>
        <w:jc w:val="both"/>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7-1-94</w:t>
      </w:r>
      <w:r>
        <w:rPr>
          <w:spacing w:val="80"/>
          <w:w w:val="150"/>
          <w:sz w:val="22"/>
        </w:rPr>
        <w:t>  </w:t>
      </w:r>
      <w:r>
        <w:rPr>
          <w:sz w:val="22"/>
        </w:rPr>
        <w:t>PT Memo #94-1</w:t>
      </w:r>
    </w:p>
    <w:p>
      <w:pPr>
        <w:spacing w:before="0"/>
        <w:ind w:left="1439" w:right="852" w:firstLine="0"/>
        <w:jc w:val="both"/>
        <w:rPr>
          <w:sz w:val="22"/>
        </w:rPr>
      </w:pPr>
      <w:r>
        <w:rPr>
          <w:sz w:val="22"/>
        </w:rPr>
        <w:t>Permanent,</w:t>
      </w:r>
      <w:r>
        <w:rPr>
          <w:spacing w:val="-3"/>
          <w:sz w:val="22"/>
        </w:rPr>
        <w:t> </w:t>
      </w:r>
      <w:r>
        <w:rPr>
          <w:sz w:val="22"/>
        </w:rPr>
        <w:t>first</w:t>
      </w:r>
      <w:r>
        <w:rPr>
          <w:spacing w:val="-4"/>
          <w:sz w:val="22"/>
        </w:rPr>
        <w:t> </w:t>
      </w:r>
      <w:r>
        <w:rPr>
          <w:sz w:val="22"/>
        </w:rPr>
        <w:t>adoption</w:t>
      </w:r>
      <w:r>
        <w:rPr>
          <w:spacing w:val="-4"/>
          <w:sz w:val="22"/>
        </w:rPr>
        <w:t> </w:t>
      </w:r>
      <w:r>
        <w:rPr>
          <w:sz w:val="22"/>
        </w:rPr>
        <w:t>under</w:t>
      </w:r>
      <w:r>
        <w:rPr>
          <w:spacing w:val="-4"/>
          <w:sz w:val="22"/>
        </w:rPr>
        <w:t> </w:t>
      </w:r>
      <w:r>
        <w:rPr>
          <w:sz w:val="22"/>
        </w:rPr>
        <w:t>OAC</w:t>
      </w:r>
      <w:r>
        <w:rPr>
          <w:spacing w:val="-5"/>
          <w:sz w:val="22"/>
        </w:rPr>
        <w:t> </w:t>
      </w:r>
      <w:r>
        <w:rPr>
          <w:sz w:val="22"/>
        </w:rPr>
        <w:t>Title</w:t>
      </w:r>
      <w:r>
        <w:rPr>
          <w:spacing w:val="-4"/>
          <w:sz w:val="22"/>
        </w:rPr>
        <w:t> </w:t>
      </w:r>
      <w:r>
        <w:rPr>
          <w:sz w:val="22"/>
        </w:rPr>
        <w:t>612,</w:t>
      </w:r>
      <w:r>
        <w:rPr>
          <w:spacing w:val="-5"/>
          <w:sz w:val="22"/>
        </w:rPr>
        <w:t> </w:t>
      </w:r>
      <w:r>
        <w:rPr>
          <w:sz w:val="22"/>
        </w:rPr>
        <w:t>added</w:t>
      </w:r>
      <w:r>
        <w:rPr>
          <w:spacing w:val="-4"/>
          <w:sz w:val="22"/>
        </w:rPr>
        <w:t> </w:t>
      </w:r>
      <w:r>
        <w:rPr>
          <w:sz w:val="22"/>
        </w:rPr>
        <w:t>that</w:t>
      </w:r>
      <w:r>
        <w:rPr>
          <w:spacing w:val="-4"/>
          <w:sz w:val="22"/>
        </w:rPr>
        <w:t> </w:t>
      </w:r>
      <w:r>
        <w:rPr>
          <w:sz w:val="22"/>
        </w:rPr>
        <w:t>cannot</w:t>
      </w:r>
      <w:r>
        <w:rPr>
          <w:spacing w:val="-4"/>
          <w:sz w:val="22"/>
        </w:rPr>
        <w:t> </w:t>
      </w:r>
      <w:r>
        <w:rPr>
          <w:sz w:val="22"/>
        </w:rPr>
        <w:t>use</w:t>
      </w:r>
      <w:r>
        <w:rPr>
          <w:spacing w:val="-4"/>
          <w:sz w:val="22"/>
        </w:rPr>
        <w:t> </w:t>
      </w:r>
      <w:r>
        <w:rPr>
          <w:sz w:val="22"/>
        </w:rPr>
        <w:t>maintenance to pay for other services, removed wording that allowed sending warrants in care of supervising counselor, added ITS that warrants are to go directly to client</w:t>
      </w:r>
    </w:p>
    <w:p>
      <w:pPr>
        <w:pStyle w:val="ListParagraph"/>
        <w:numPr>
          <w:ilvl w:val="2"/>
          <w:numId w:val="168"/>
        </w:numPr>
        <w:tabs>
          <w:tab w:pos="1437" w:val="left" w:leader="none"/>
        </w:tabs>
        <w:spacing w:line="253" w:lineRule="exact" w:before="0" w:after="0"/>
        <w:ind w:left="1437" w:right="0" w:hanging="1078"/>
        <w:jc w:val="both"/>
        <w:rPr>
          <w:sz w:val="22"/>
        </w:rPr>
      </w:pPr>
      <w:r>
        <w:rPr>
          <w:sz w:val="22"/>
        </w:rPr>
        <w:t>PT</w:t>
      </w:r>
      <w:r>
        <w:rPr>
          <w:spacing w:val="-8"/>
          <w:sz w:val="22"/>
        </w:rPr>
        <w:t> </w:t>
      </w:r>
      <w:r>
        <w:rPr>
          <w:sz w:val="22"/>
        </w:rPr>
        <w:t>Memo</w:t>
      </w:r>
      <w:r>
        <w:rPr>
          <w:spacing w:val="-8"/>
          <w:sz w:val="22"/>
        </w:rPr>
        <w:t> </w:t>
      </w:r>
      <w:r>
        <w:rPr>
          <w:sz w:val="22"/>
        </w:rPr>
        <w:t>#95-</w:t>
      </w:r>
      <w:r>
        <w:rPr>
          <w:spacing w:val="-10"/>
          <w:sz w:val="22"/>
        </w:rPr>
        <w:t>2</w:t>
      </w:r>
    </w:p>
    <w:p>
      <w:pPr>
        <w:spacing w:before="0"/>
        <w:ind w:left="1439" w:right="1122" w:firstLine="0"/>
        <w:jc w:val="both"/>
        <w:rPr>
          <w:sz w:val="22"/>
        </w:rPr>
      </w:pPr>
      <w:r>
        <w:rPr>
          <w:sz w:val="22"/>
        </w:rPr>
        <w:t>ITS,</w:t>
      </w:r>
      <w:r>
        <w:rPr>
          <w:spacing w:val="-4"/>
          <w:sz w:val="22"/>
        </w:rPr>
        <w:t> </w:t>
      </w:r>
      <w:r>
        <w:rPr>
          <w:sz w:val="22"/>
        </w:rPr>
        <w:t>added</w:t>
      </w:r>
      <w:r>
        <w:rPr>
          <w:spacing w:val="-4"/>
          <w:sz w:val="22"/>
        </w:rPr>
        <w:t> </w:t>
      </w:r>
      <w:r>
        <w:rPr>
          <w:sz w:val="22"/>
        </w:rPr>
        <w:t>cross</w:t>
      </w:r>
      <w:r>
        <w:rPr>
          <w:spacing w:val="-4"/>
          <w:sz w:val="22"/>
        </w:rPr>
        <w:t> </w:t>
      </w:r>
      <w:r>
        <w:rPr>
          <w:sz w:val="22"/>
        </w:rPr>
        <w:t>reference</w:t>
      </w:r>
      <w:r>
        <w:rPr>
          <w:spacing w:val="-4"/>
          <w:sz w:val="22"/>
        </w:rPr>
        <w:t> </w:t>
      </w:r>
      <w:r>
        <w:rPr>
          <w:sz w:val="22"/>
        </w:rPr>
        <w:t>to</w:t>
      </w:r>
      <w:r>
        <w:rPr>
          <w:spacing w:val="-4"/>
          <w:sz w:val="22"/>
        </w:rPr>
        <w:t> </w:t>
      </w:r>
      <w:r>
        <w:rPr>
          <w:sz w:val="22"/>
        </w:rPr>
        <w:t>612:10-7-150</w:t>
      </w:r>
      <w:r>
        <w:rPr>
          <w:spacing w:val="-4"/>
          <w:sz w:val="22"/>
        </w:rPr>
        <w:t> </w:t>
      </w:r>
      <w:r>
        <w:rPr>
          <w:sz w:val="22"/>
        </w:rPr>
        <w:t>to</w:t>
      </w:r>
      <w:r>
        <w:rPr>
          <w:spacing w:val="-4"/>
          <w:sz w:val="22"/>
        </w:rPr>
        <w:t> </w:t>
      </w:r>
      <w:r>
        <w:rPr>
          <w:sz w:val="22"/>
        </w:rPr>
        <w:t>relate</w:t>
      </w:r>
      <w:r>
        <w:rPr>
          <w:spacing w:val="-4"/>
          <w:sz w:val="22"/>
        </w:rPr>
        <w:t> </w:t>
      </w:r>
      <w:r>
        <w:rPr>
          <w:sz w:val="22"/>
        </w:rPr>
        <w:t>provision</w:t>
      </w:r>
      <w:r>
        <w:rPr>
          <w:spacing w:val="-4"/>
          <w:sz w:val="22"/>
        </w:rPr>
        <w:t> </w:t>
      </w:r>
      <w:r>
        <w:rPr>
          <w:sz w:val="22"/>
        </w:rPr>
        <w:t>of</w:t>
      </w:r>
      <w:r>
        <w:rPr>
          <w:spacing w:val="-4"/>
          <w:sz w:val="22"/>
        </w:rPr>
        <w:t> </w:t>
      </w:r>
      <w:r>
        <w:rPr>
          <w:sz w:val="22"/>
        </w:rPr>
        <w:t>maintenance</w:t>
      </w:r>
      <w:r>
        <w:rPr>
          <w:spacing w:val="-4"/>
          <w:sz w:val="22"/>
        </w:rPr>
        <w:t> </w:t>
      </w:r>
      <w:r>
        <w:rPr>
          <w:sz w:val="22"/>
        </w:rPr>
        <w:t>to exception for full-time enrollment requirement</w:t>
      </w:r>
    </w:p>
    <w:p>
      <w:pPr>
        <w:spacing w:before="0"/>
        <w:ind w:left="359" w:right="0" w:firstLine="0"/>
        <w:jc w:val="both"/>
        <w:rPr>
          <w:sz w:val="22"/>
        </w:rPr>
      </w:pPr>
      <w:r>
        <w:rPr>
          <w:sz w:val="22"/>
        </w:rPr>
        <w:t>4-3-96</w:t>
      </w:r>
      <w:r>
        <w:rPr>
          <w:spacing w:val="50"/>
          <w:w w:val="150"/>
          <w:sz w:val="22"/>
        </w:rPr>
        <w:t>   </w:t>
      </w:r>
      <w:r>
        <w:rPr>
          <w:sz w:val="22"/>
        </w:rPr>
        <w:t>PT</w:t>
      </w:r>
      <w:r>
        <w:rPr>
          <w:spacing w:val="-2"/>
          <w:sz w:val="22"/>
        </w:rPr>
        <w:t> </w:t>
      </w:r>
      <w:r>
        <w:rPr>
          <w:sz w:val="22"/>
        </w:rPr>
        <w:t>Memo</w:t>
      </w:r>
      <w:r>
        <w:rPr>
          <w:spacing w:val="-2"/>
          <w:sz w:val="22"/>
        </w:rPr>
        <w:t> </w:t>
      </w:r>
      <w:r>
        <w:rPr>
          <w:sz w:val="22"/>
        </w:rPr>
        <w:t>#96-</w:t>
      </w:r>
      <w:r>
        <w:rPr>
          <w:spacing w:val="-10"/>
          <w:sz w:val="22"/>
        </w:rPr>
        <w:t>2</w:t>
      </w:r>
    </w:p>
    <w:p>
      <w:pPr>
        <w:spacing w:before="1"/>
        <w:ind w:left="1439" w:right="816" w:firstLine="0"/>
        <w:jc w:val="both"/>
        <w:rPr>
          <w:sz w:val="22"/>
        </w:rPr>
      </w:pPr>
      <w:r>
        <w:rPr>
          <w:sz w:val="22"/>
        </w:rPr>
        <w:t>Emergency,</w:t>
      </w:r>
      <w:r>
        <w:rPr>
          <w:spacing w:val="-3"/>
          <w:sz w:val="22"/>
        </w:rPr>
        <w:t> </w:t>
      </w:r>
      <w:r>
        <w:rPr>
          <w:sz w:val="22"/>
        </w:rPr>
        <w:t>emphasis</w:t>
      </w:r>
      <w:r>
        <w:rPr>
          <w:spacing w:val="-3"/>
          <w:sz w:val="22"/>
        </w:rPr>
        <w:t> </w:t>
      </w:r>
      <w:r>
        <w:rPr>
          <w:sz w:val="22"/>
        </w:rPr>
        <w:t>on</w:t>
      </w:r>
      <w:r>
        <w:rPr>
          <w:spacing w:val="-3"/>
          <w:sz w:val="22"/>
        </w:rPr>
        <w:t> </w:t>
      </w:r>
      <w:r>
        <w:rPr>
          <w:sz w:val="22"/>
        </w:rPr>
        <w:t>concept</w:t>
      </w:r>
      <w:r>
        <w:rPr>
          <w:spacing w:val="-3"/>
          <w:sz w:val="22"/>
        </w:rPr>
        <w:t> </w:t>
      </w:r>
      <w:r>
        <w:rPr>
          <w:sz w:val="22"/>
        </w:rPr>
        <w:t>that</w:t>
      </w:r>
      <w:r>
        <w:rPr>
          <w:spacing w:val="-3"/>
          <w:sz w:val="22"/>
        </w:rPr>
        <w:t> </w:t>
      </w:r>
      <w:r>
        <w:rPr>
          <w:sz w:val="22"/>
        </w:rPr>
        <w:t>maintenance</w:t>
      </w:r>
      <w:r>
        <w:rPr>
          <w:spacing w:val="-3"/>
          <w:sz w:val="22"/>
        </w:rPr>
        <w:t> </w:t>
      </w:r>
      <w:r>
        <w:rPr>
          <w:sz w:val="22"/>
        </w:rPr>
        <w:t>is</w:t>
      </w:r>
      <w:r>
        <w:rPr>
          <w:spacing w:val="-3"/>
          <w:sz w:val="22"/>
        </w:rPr>
        <w:t> </w:t>
      </w:r>
      <w:r>
        <w:rPr>
          <w:sz w:val="22"/>
        </w:rPr>
        <w:t>to</w:t>
      </w:r>
      <w:r>
        <w:rPr>
          <w:spacing w:val="-3"/>
          <w:sz w:val="22"/>
        </w:rPr>
        <w:t> </w:t>
      </w:r>
      <w:r>
        <w:rPr>
          <w:sz w:val="22"/>
        </w:rPr>
        <w:t>be</w:t>
      </w:r>
      <w:r>
        <w:rPr>
          <w:spacing w:val="-4"/>
          <w:sz w:val="22"/>
        </w:rPr>
        <w:t> </w:t>
      </w:r>
      <w:r>
        <w:rPr>
          <w:sz w:val="22"/>
        </w:rPr>
        <w:t>used</w:t>
      </w:r>
      <w:r>
        <w:rPr>
          <w:spacing w:val="-3"/>
          <w:sz w:val="22"/>
        </w:rPr>
        <w:t> </w:t>
      </w:r>
      <w:r>
        <w:rPr>
          <w:sz w:val="22"/>
        </w:rPr>
        <w:t>only</w:t>
      </w:r>
      <w:r>
        <w:rPr>
          <w:spacing w:val="-3"/>
          <w:sz w:val="22"/>
        </w:rPr>
        <w:t> </w:t>
      </w:r>
      <w:r>
        <w:rPr>
          <w:sz w:val="22"/>
        </w:rPr>
        <w:t>to</w:t>
      </w:r>
      <w:r>
        <w:rPr>
          <w:spacing w:val="-4"/>
          <w:sz w:val="22"/>
        </w:rPr>
        <w:t> </w:t>
      </w:r>
      <w:r>
        <w:rPr>
          <w:sz w:val="22"/>
        </w:rPr>
        <w:t>pay</w:t>
      </w:r>
      <w:r>
        <w:rPr>
          <w:spacing w:val="-3"/>
          <w:sz w:val="22"/>
        </w:rPr>
        <w:t> </w:t>
      </w:r>
      <w:r>
        <w:rPr>
          <w:sz w:val="22"/>
        </w:rPr>
        <w:t>for</w:t>
      </w:r>
      <w:r>
        <w:rPr>
          <w:spacing w:val="-3"/>
          <w:sz w:val="22"/>
        </w:rPr>
        <w:t> </w:t>
      </w:r>
      <w:r>
        <w:rPr>
          <w:sz w:val="22"/>
        </w:rPr>
        <w:t>the out of ordinary increased expenses resulting from service provision</w:t>
      </w:r>
    </w:p>
    <w:p>
      <w:pPr>
        <w:pStyle w:val="ListParagraph"/>
        <w:numPr>
          <w:ilvl w:val="2"/>
          <w:numId w:val="168"/>
        </w:numPr>
        <w:tabs>
          <w:tab w:pos="1437" w:val="left" w:leader="none"/>
        </w:tabs>
        <w:spacing w:line="252" w:lineRule="exact" w:before="0" w:after="0"/>
        <w:ind w:left="1437" w:right="0" w:hanging="1078"/>
        <w:jc w:val="both"/>
        <w:rPr>
          <w:sz w:val="22"/>
        </w:rPr>
      </w:pPr>
      <w:r>
        <w:rPr>
          <w:sz w:val="22"/>
        </w:rPr>
        <w:t>PT</w:t>
      </w:r>
      <w:r>
        <w:rPr>
          <w:spacing w:val="-8"/>
          <w:sz w:val="22"/>
        </w:rPr>
        <w:t> </w:t>
      </w:r>
      <w:r>
        <w:rPr>
          <w:sz w:val="22"/>
        </w:rPr>
        <w:t>Memo</w:t>
      </w:r>
      <w:r>
        <w:rPr>
          <w:spacing w:val="-8"/>
          <w:sz w:val="22"/>
        </w:rPr>
        <w:t> </w:t>
      </w:r>
      <w:r>
        <w:rPr>
          <w:sz w:val="22"/>
        </w:rPr>
        <w:t>#96-</w:t>
      </w:r>
      <w:r>
        <w:rPr>
          <w:spacing w:val="-10"/>
          <w:sz w:val="22"/>
        </w:rPr>
        <w:t>5</w:t>
      </w:r>
    </w:p>
    <w:p>
      <w:pPr>
        <w:spacing w:before="0"/>
        <w:ind w:left="1439" w:right="939" w:firstLine="0"/>
        <w:jc w:val="both"/>
        <w:rPr>
          <w:sz w:val="22"/>
        </w:rPr>
      </w:pPr>
      <w:r>
        <w:rPr>
          <w:sz w:val="22"/>
        </w:rPr>
        <w:t>Permanent,</w:t>
      </w:r>
      <w:r>
        <w:rPr>
          <w:spacing w:val="-3"/>
          <w:sz w:val="22"/>
        </w:rPr>
        <w:t> </w:t>
      </w:r>
      <w:r>
        <w:rPr>
          <w:sz w:val="22"/>
        </w:rPr>
        <w:t>clarify</w:t>
      </w:r>
      <w:r>
        <w:rPr>
          <w:spacing w:val="-4"/>
          <w:sz w:val="22"/>
        </w:rPr>
        <w:t> </w:t>
      </w:r>
      <w:r>
        <w:rPr>
          <w:sz w:val="22"/>
        </w:rPr>
        <w:t>that</w:t>
      </w:r>
      <w:r>
        <w:rPr>
          <w:spacing w:val="-5"/>
          <w:sz w:val="22"/>
        </w:rPr>
        <w:t> </w:t>
      </w:r>
      <w:r>
        <w:rPr>
          <w:sz w:val="22"/>
        </w:rPr>
        <w:t>maintenance</w:t>
      </w:r>
      <w:r>
        <w:rPr>
          <w:spacing w:val="-4"/>
          <w:sz w:val="22"/>
        </w:rPr>
        <w:t> </w:t>
      </w:r>
      <w:r>
        <w:rPr>
          <w:sz w:val="22"/>
        </w:rPr>
        <w:t>can</w:t>
      </w:r>
      <w:r>
        <w:rPr>
          <w:spacing w:val="-4"/>
          <w:sz w:val="22"/>
        </w:rPr>
        <w:t> </w:t>
      </w:r>
      <w:r>
        <w:rPr>
          <w:sz w:val="22"/>
        </w:rPr>
        <w:t>be</w:t>
      </w:r>
      <w:r>
        <w:rPr>
          <w:spacing w:val="-4"/>
          <w:sz w:val="22"/>
        </w:rPr>
        <w:t> </w:t>
      </w:r>
      <w:r>
        <w:rPr>
          <w:sz w:val="22"/>
        </w:rPr>
        <w:t>paid</w:t>
      </w:r>
      <w:r>
        <w:rPr>
          <w:spacing w:val="-4"/>
          <w:sz w:val="22"/>
        </w:rPr>
        <w:t> </w:t>
      </w:r>
      <w:r>
        <w:rPr>
          <w:sz w:val="22"/>
        </w:rPr>
        <w:t>to</w:t>
      </w:r>
      <w:r>
        <w:rPr>
          <w:spacing w:val="-4"/>
          <w:sz w:val="22"/>
        </w:rPr>
        <w:t> </w:t>
      </w:r>
      <w:r>
        <w:rPr>
          <w:sz w:val="22"/>
        </w:rPr>
        <w:t>individual</w:t>
      </w:r>
      <w:r>
        <w:rPr>
          <w:spacing w:val="-4"/>
          <w:sz w:val="22"/>
        </w:rPr>
        <w:t> </w:t>
      </w:r>
      <w:r>
        <w:rPr>
          <w:sz w:val="22"/>
        </w:rPr>
        <w:t>granted</w:t>
      </w:r>
      <w:r>
        <w:rPr>
          <w:spacing w:val="-4"/>
          <w:sz w:val="22"/>
        </w:rPr>
        <w:t> </w:t>
      </w:r>
      <w:r>
        <w:rPr>
          <w:sz w:val="22"/>
        </w:rPr>
        <w:t>an</w:t>
      </w:r>
      <w:r>
        <w:rPr>
          <w:spacing w:val="-4"/>
          <w:sz w:val="22"/>
        </w:rPr>
        <w:t> </w:t>
      </w:r>
      <w:r>
        <w:rPr>
          <w:sz w:val="22"/>
        </w:rPr>
        <w:t>exception to full-time attendance requirement for post-secondary training</w:t>
      </w:r>
    </w:p>
    <w:p>
      <w:pPr>
        <w:pStyle w:val="ListParagraph"/>
        <w:numPr>
          <w:ilvl w:val="2"/>
          <w:numId w:val="168"/>
        </w:numPr>
        <w:tabs>
          <w:tab w:pos="1437" w:val="left" w:leader="none"/>
        </w:tabs>
        <w:spacing w:line="240" w:lineRule="auto" w:before="0" w:after="0"/>
        <w:ind w:left="1437" w:right="0" w:hanging="1078"/>
        <w:jc w:val="both"/>
        <w:rPr>
          <w:sz w:val="22"/>
        </w:rPr>
      </w:pPr>
      <w:r>
        <w:rPr>
          <w:sz w:val="22"/>
        </w:rPr>
        <w:t>PT</w:t>
      </w:r>
      <w:r>
        <w:rPr>
          <w:spacing w:val="-8"/>
          <w:sz w:val="22"/>
        </w:rPr>
        <w:t> </w:t>
      </w:r>
      <w:r>
        <w:rPr>
          <w:sz w:val="22"/>
        </w:rPr>
        <w:t>Memo</w:t>
      </w:r>
      <w:r>
        <w:rPr>
          <w:spacing w:val="-8"/>
          <w:sz w:val="22"/>
        </w:rPr>
        <w:t> </w:t>
      </w:r>
      <w:r>
        <w:rPr>
          <w:sz w:val="22"/>
        </w:rPr>
        <w:t>#97-</w:t>
      </w:r>
      <w:r>
        <w:rPr>
          <w:spacing w:val="-10"/>
          <w:sz w:val="22"/>
        </w:rPr>
        <w:t>9</w:t>
      </w:r>
    </w:p>
    <w:p>
      <w:pPr>
        <w:spacing w:line="253" w:lineRule="exact" w:before="0"/>
        <w:ind w:left="1439" w:right="0" w:firstLine="0"/>
        <w:jc w:val="both"/>
        <w:rPr>
          <w:sz w:val="22"/>
        </w:rPr>
      </w:pPr>
      <w:r>
        <w:rPr>
          <w:sz w:val="22"/>
        </w:rPr>
        <w:t>Permanent,</w:t>
      </w:r>
      <w:r>
        <w:rPr>
          <w:spacing w:val="-9"/>
          <w:sz w:val="22"/>
        </w:rPr>
        <w:t> </w:t>
      </w:r>
      <w:r>
        <w:rPr>
          <w:sz w:val="22"/>
        </w:rPr>
        <w:t>consolidated</w:t>
      </w:r>
      <w:r>
        <w:rPr>
          <w:spacing w:val="-9"/>
          <w:sz w:val="22"/>
        </w:rPr>
        <w:t> </w:t>
      </w:r>
      <w:r>
        <w:rPr>
          <w:sz w:val="22"/>
        </w:rPr>
        <w:t>changes</w:t>
      </w:r>
      <w:r>
        <w:rPr>
          <w:spacing w:val="-10"/>
          <w:sz w:val="22"/>
        </w:rPr>
        <w:t> </w:t>
      </w:r>
      <w:r>
        <w:rPr>
          <w:sz w:val="22"/>
        </w:rPr>
        <w:t>made</w:t>
      </w:r>
      <w:r>
        <w:rPr>
          <w:spacing w:val="-9"/>
          <w:sz w:val="22"/>
        </w:rPr>
        <w:t> </w:t>
      </w:r>
      <w:r>
        <w:rPr>
          <w:sz w:val="22"/>
        </w:rPr>
        <w:t>7-1-95,</w:t>
      </w:r>
      <w:r>
        <w:rPr>
          <w:spacing w:val="-9"/>
          <w:sz w:val="22"/>
        </w:rPr>
        <w:t> </w:t>
      </w:r>
      <w:r>
        <w:rPr>
          <w:sz w:val="22"/>
        </w:rPr>
        <w:t>4-3-96,</w:t>
      </w:r>
      <w:r>
        <w:rPr>
          <w:spacing w:val="-9"/>
          <w:sz w:val="22"/>
        </w:rPr>
        <w:t> </w:t>
      </w:r>
      <w:r>
        <w:rPr>
          <w:sz w:val="22"/>
        </w:rPr>
        <w:t>and</w:t>
      </w:r>
      <w:r>
        <w:rPr>
          <w:spacing w:val="-10"/>
          <w:sz w:val="22"/>
        </w:rPr>
        <w:t> </w:t>
      </w:r>
      <w:r>
        <w:rPr>
          <w:sz w:val="22"/>
        </w:rPr>
        <w:t>7-1-</w:t>
      </w:r>
      <w:r>
        <w:rPr>
          <w:spacing w:val="-5"/>
          <w:sz w:val="22"/>
        </w:rPr>
        <w:t>96</w:t>
      </w:r>
    </w:p>
    <w:p>
      <w:pPr>
        <w:spacing w:line="253" w:lineRule="exact" w:before="0"/>
        <w:ind w:left="359" w:right="0" w:firstLine="0"/>
        <w:jc w:val="both"/>
        <w:rPr>
          <w:sz w:val="22"/>
        </w:rPr>
      </w:pPr>
      <w:r>
        <w:rPr>
          <w:sz w:val="22"/>
        </w:rPr>
        <w:t>10-1-97</w:t>
      </w:r>
      <w:r>
        <w:rPr>
          <w:spacing w:val="60"/>
          <w:w w:val="150"/>
          <w:sz w:val="22"/>
        </w:rPr>
        <w:t>  </w:t>
      </w:r>
      <w:r>
        <w:rPr>
          <w:sz w:val="22"/>
        </w:rPr>
        <w:t>PT</w:t>
      </w:r>
      <w:r>
        <w:rPr>
          <w:spacing w:val="-2"/>
          <w:sz w:val="22"/>
        </w:rPr>
        <w:t> </w:t>
      </w:r>
      <w:r>
        <w:rPr>
          <w:sz w:val="22"/>
        </w:rPr>
        <w:t>Memo</w:t>
      </w:r>
      <w:r>
        <w:rPr>
          <w:spacing w:val="-4"/>
          <w:sz w:val="22"/>
        </w:rPr>
        <w:t> </w:t>
      </w:r>
      <w:r>
        <w:rPr>
          <w:sz w:val="22"/>
        </w:rPr>
        <w:t>#98-</w:t>
      </w:r>
      <w:r>
        <w:rPr>
          <w:spacing w:val="-10"/>
          <w:sz w:val="22"/>
        </w:rPr>
        <w:t>4</w:t>
      </w:r>
    </w:p>
    <w:p>
      <w:pPr>
        <w:spacing w:before="1"/>
        <w:ind w:left="1439" w:right="842" w:firstLine="0"/>
        <w:jc w:val="both"/>
        <w:rPr>
          <w:sz w:val="22"/>
        </w:rPr>
      </w:pPr>
      <w:r>
        <w:rPr>
          <w:sz w:val="22"/>
        </w:rPr>
        <w:t>Emergency,</w:t>
      </w:r>
      <w:r>
        <w:rPr>
          <w:spacing w:val="-4"/>
          <w:sz w:val="22"/>
        </w:rPr>
        <w:t> </w:t>
      </w:r>
      <w:r>
        <w:rPr>
          <w:sz w:val="22"/>
        </w:rPr>
        <w:t>allows</w:t>
      </w:r>
      <w:r>
        <w:rPr>
          <w:spacing w:val="-4"/>
          <w:sz w:val="22"/>
        </w:rPr>
        <w:t> </w:t>
      </w:r>
      <w:r>
        <w:rPr>
          <w:sz w:val="22"/>
        </w:rPr>
        <w:t>payment</w:t>
      </w:r>
      <w:r>
        <w:rPr>
          <w:spacing w:val="-4"/>
          <w:sz w:val="22"/>
        </w:rPr>
        <w:t> </w:t>
      </w:r>
      <w:r>
        <w:rPr>
          <w:sz w:val="22"/>
        </w:rPr>
        <w:t>of</w:t>
      </w:r>
      <w:r>
        <w:rPr>
          <w:spacing w:val="-4"/>
          <w:sz w:val="22"/>
        </w:rPr>
        <w:t> </w:t>
      </w:r>
      <w:r>
        <w:rPr>
          <w:sz w:val="22"/>
        </w:rPr>
        <w:t>daycare</w:t>
      </w:r>
      <w:r>
        <w:rPr>
          <w:spacing w:val="-4"/>
          <w:sz w:val="22"/>
        </w:rPr>
        <w:t> </w:t>
      </w:r>
      <w:r>
        <w:rPr>
          <w:sz w:val="22"/>
        </w:rPr>
        <w:t>expenses</w:t>
      </w:r>
      <w:r>
        <w:rPr>
          <w:spacing w:val="-4"/>
          <w:sz w:val="22"/>
        </w:rPr>
        <w:t> </w:t>
      </w:r>
      <w:r>
        <w:rPr>
          <w:sz w:val="22"/>
        </w:rPr>
        <w:t>when</w:t>
      </w:r>
      <w:r>
        <w:rPr>
          <w:spacing w:val="-4"/>
          <w:sz w:val="22"/>
        </w:rPr>
        <w:t> </w:t>
      </w:r>
      <w:r>
        <w:rPr>
          <w:sz w:val="22"/>
        </w:rPr>
        <w:t>no</w:t>
      </w:r>
      <w:r>
        <w:rPr>
          <w:spacing w:val="-4"/>
          <w:sz w:val="22"/>
        </w:rPr>
        <w:t> </w:t>
      </w:r>
      <w:r>
        <w:rPr>
          <w:sz w:val="22"/>
        </w:rPr>
        <w:t>other</w:t>
      </w:r>
      <w:r>
        <w:rPr>
          <w:spacing w:val="-4"/>
          <w:sz w:val="22"/>
        </w:rPr>
        <w:t> </w:t>
      </w:r>
      <w:r>
        <w:rPr>
          <w:sz w:val="22"/>
        </w:rPr>
        <w:t>resource</w:t>
      </w:r>
      <w:r>
        <w:rPr>
          <w:spacing w:val="-4"/>
          <w:sz w:val="22"/>
        </w:rPr>
        <w:t> </w:t>
      </w:r>
      <w:r>
        <w:rPr>
          <w:sz w:val="22"/>
        </w:rPr>
        <w:t>for</w:t>
      </w:r>
      <w:r>
        <w:rPr>
          <w:spacing w:val="-4"/>
          <w:sz w:val="22"/>
        </w:rPr>
        <w:t> </w:t>
      </w:r>
      <w:r>
        <w:rPr>
          <w:sz w:val="22"/>
        </w:rPr>
        <w:t>this</w:t>
      </w:r>
      <w:r>
        <w:rPr>
          <w:spacing w:val="-4"/>
          <w:sz w:val="22"/>
        </w:rPr>
        <w:t> </w:t>
      </w:r>
      <w:r>
        <w:rPr>
          <w:sz w:val="22"/>
        </w:rPr>
        <w:t>is </w:t>
      </w:r>
      <w:r>
        <w:rPr>
          <w:spacing w:val="-2"/>
          <w:sz w:val="22"/>
        </w:rPr>
        <w:t>available</w:t>
      </w:r>
    </w:p>
    <w:p>
      <w:pPr>
        <w:pStyle w:val="ListParagraph"/>
        <w:numPr>
          <w:ilvl w:val="2"/>
          <w:numId w:val="168"/>
        </w:numPr>
        <w:tabs>
          <w:tab w:pos="1437" w:val="left" w:leader="none"/>
        </w:tabs>
        <w:spacing w:line="240" w:lineRule="auto" w:before="0" w:after="0"/>
        <w:ind w:left="1437" w:right="0" w:hanging="1078"/>
        <w:jc w:val="both"/>
        <w:rPr>
          <w:sz w:val="22"/>
        </w:rPr>
      </w:pPr>
      <w:r>
        <w:rPr>
          <w:sz w:val="22"/>
        </w:rPr>
        <w:t>PT</w:t>
      </w:r>
      <w:r>
        <w:rPr>
          <w:spacing w:val="-8"/>
          <w:sz w:val="22"/>
        </w:rPr>
        <w:t> </w:t>
      </w:r>
      <w:r>
        <w:rPr>
          <w:sz w:val="22"/>
        </w:rPr>
        <w:t>Memo</w:t>
      </w:r>
      <w:r>
        <w:rPr>
          <w:spacing w:val="-8"/>
          <w:sz w:val="22"/>
        </w:rPr>
        <w:t> </w:t>
      </w:r>
      <w:r>
        <w:rPr>
          <w:sz w:val="22"/>
        </w:rPr>
        <w:t>#98-</w:t>
      </w:r>
      <w:r>
        <w:rPr>
          <w:spacing w:val="-5"/>
          <w:sz w:val="22"/>
        </w:rPr>
        <w:t>15</w:t>
      </w:r>
    </w:p>
    <w:p>
      <w:pPr>
        <w:spacing w:before="0"/>
        <w:ind w:left="1439" w:right="1196" w:firstLine="0"/>
        <w:jc w:val="both"/>
        <w:rPr>
          <w:sz w:val="22"/>
        </w:rPr>
      </w:pPr>
      <w:r>
        <w:rPr>
          <w:sz w:val="22"/>
        </w:rPr>
        <w:t>Makes</w:t>
      </w:r>
      <w:r>
        <w:rPr>
          <w:spacing w:val="-4"/>
          <w:sz w:val="22"/>
        </w:rPr>
        <w:t> </w:t>
      </w:r>
      <w:r>
        <w:rPr>
          <w:sz w:val="22"/>
        </w:rPr>
        <w:t>Emergency</w:t>
      </w:r>
      <w:r>
        <w:rPr>
          <w:spacing w:val="-4"/>
          <w:sz w:val="22"/>
        </w:rPr>
        <w:t> </w:t>
      </w:r>
      <w:r>
        <w:rPr>
          <w:sz w:val="22"/>
        </w:rPr>
        <w:t>rules</w:t>
      </w:r>
      <w:r>
        <w:rPr>
          <w:spacing w:val="-5"/>
          <w:sz w:val="22"/>
        </w:rPr>
        <w:t> </w:t>
      </w:r>
      <w:r>
        <w:rPr>
          <w:sz w:val="22"/>
        </w:rPr>
        <w:t>issued</w:t>
      </w:r>
      <w:r>
        <w:rPr>
          <w:spacing w:val="-4"/>
          <w:sz w:val="22"/>
        </w:rPr>
        <w:t> </w:t>
      </w:r>
      <w:r>
        <w:rPr>
          <w:sz w:val="22"/>
        </w:rPr>
        <w:t>10-1-97</w:t>
      </w:r>
      <w:r>
        <w:rPr>
          <w:spacing w:val="-4"/>
          <w:sz w:val="22"/>
        </w:rPr>
        <w:t> </w:t>
      </w:r>
      <w:r>
        <w:rPr>
          <w:sz w:val="22"/>
        </w:rPr>
        <w:t>permanent.</w:t>
      </w:r>
      <w:r>
        <w:rPr>
          <w:spacing w:val="-4"/>
          <w:sz w:val="22"/>
        </w:rPr>
        <w:t> </w:t>
      </w:r>
      <w:r>
        <w:rPr>
          <w:sz w:val="22"/>
        </w:rPr>
        <w:t>Day</w:t>
      </w:r>
      <w:r>
        <w:rPr>
          <w:spacing w:val="-4"/>
          <w:sz w:val="22"/>
        </w:rPr>
        <w:t> </w:t>
      </w:r>
      <w:r>
        <w:rPr>
          <w:sz w:val="22"/>
        </w:rPr>
        <w:t>care</w:t>
      </w:r>
      <w:r>
        <w:rPr>
          <w:spacing w:val="-4"/>
          <w:sz w:val="22"/>
        </w:rPr>
        <w:t> </w:t>
      </w:r>
      <w:r>
        <w:rPr>
          <w:sz w:val="22"/>
        </w:rPr>
        <w:t>expenses</w:t>
      </w:r>
      <w:r>
        <w:rPr>
          <w:spacing w:val="-5"/>
          <w:sz w:val="22"/>
        </w:rPr>
        <w:t> </w:t>
      </w:r>
      <w:r>
        <w:rPr>
          <w:sz w:val="22"/>
        </w:rPr>
        <w:t>allowed under specified conditions</w:t>
      </w:r>
    </w:p>
    <w:p>
      <w:pPr>
        <w:spacing w:line="252" w:lineRule="exact" w:before="0"/>
        <w:ind w:left="359" w:right="0" w:firstLine="0"/>
        <w:jc w:val="both"/>
        <w:rPr>
          <w:sz w:val="22"/>
        </w:rPr>
      </w:pPr>
      <w:r>
        <w:rPr>
          <w:sz w:val="22"/>
        </w:rPr>
        <w:t>6-14-99</w:t>
      </w:r>
      <w:r>
        <w:rPr>
          <w:spacing w:val="59"/>
          <w:w w:val="150"/>
          <w:sz w:val="22"/>
        </w:rPr>
        <w:t>  </w:t>
      </w:r>
      <w:r>
        <w:rPr>
          <w:sz w:val="22"/>
        </w:rPr>
        <w:t>POL</w:t>
      </w:r>
      <w:r>
        <w:rPr>
          <w:spacing w:val="-3"/>
          <w:sz w:val="22"/>
        </w:rPr>
        <w:t> </w:t>
      </w:r>
      <w:r>
        <w:rPr>
          <w:sz w:val="22"/>
        </w:rPr>
        <w:t>Memo</w:t>
      </w:r>
      <w:r>
        <w:rPr>
          <w:spacing w:val="-2"/>
          <w:sz w:val="22"/>
        </w:rPr>
        <w:t> </w:t>
      </w:r>
      <w:r>
        <w:rPr>
          <w:sz w:val="22"/>
        </w:rPr>
        <w:t>#99-</w:t>
      </w:r>
      <w:r>
        <w:rPr>
          <w:spacing w:val="-10"/>
          <w:sz w:val="22"/>
        </w:rPr>
        <w:t>7</w:t>
      </w:r>
    </w:p>
    <w:p>
      <w:pPr>
        <w:tabs>
          <w:tab w:pos="1439" w:val="left" w:leader="none"/>
        </w:tabs>
        <w:spacing w:before="1"/>
        <w:ind w:left="359" w:right="4414" w:firstLine="1080"/>
        <w:jc w:val="left"/>
        <w:rPr>
          <w:sz w:val="22"/>
        </w:rPr>
      </w:pPr>
      <w:r>
        <w:rPr>
          <w:sz w:val="22"/>
        </w:rPr>
        <w:t>Emergency,</w:t>
      </w:r>
      <w:r>
        <w:rPr>
          <w:spacing w:val="-7"/>
          <w:sz w:val="22"/>
        </w:rPr>
        <w:t> </w:t>
      </w:r>
      <w:r>
        <w:rPr>
          <w:sz w:val="22"/>
        </w:rPr>
        <w:t>updated</w:t>
      </w:r>
      <w:r>
        <w:rPr>
          <w:spacing w:val="-7"/>
          <w:sz w:val="22"/>
        </w:rPr>
        <w:t> </w:t>
      </w:r>
      <w:r>
        <w:rPr>
          <w:sz w:val="22"/>
        </w:rPr>
        <w:t>DVR/DVS</w:t>
      </w:r>
      <w:r>
        <w:rPr>
          <w:spacing w:val="-7"/>
          <w:sz w:val="22"/>
        </w:rPr>
        <w:t> </w:t>
      </w:r>
      <w:r>
        <w:rPr>
          <w:sz w:val="22"/>
        </w:rPr>
        <w:t>and</w:t>
      </w:r>
      <w:r>
        <w:rPr>
          <w:spacing w:val="-7"/>
          <w:sz w:val="22"/>
        </w:rPr>
        <w:t> </w:t>
      </w:r>
      <w:r>
        <w:rPr>
          <w:sz w:val="22"/>
        </w:rPr>
        <w:t>IRP</w:t>
      </w:r>
      <w:r>
        <w:rPr>
          <w:spacing w:val="-7"/>
          <w:sz w:val="22"/>
        </w:rPr>
        <w:t> </w:t>
      </w:r>
      <w:r>
        <w:rPr>
          <w:sz w:val="22"/>
        </w:rPr>
        <w:t>to</w:t>
      </w:r>
      <w:r>
        <w:rPr>
          <w:spacing w:val="-7"/>
          <w:sz w:val="22"/>
        </w:rPr>
        <w:t> </w:t>
      </w:r>
      <w:r>
        <w:rPr>
          <w:sz w:val="22"/>
        </w:rPr>
        <w:t>IPE </w:t>
      </w:r>
      <w:r>
        <w:rPr>
          <w:spacing w:val="-2"/>
          <w:sz w:val="22"/>
        </w:rPr>
        <w:t>7-1-99</w:t>
      </w:r>
      <w:r>
        <w:rPr>
          <w:sz w:val="22"/>
        </w:rPr>
        <w:tab/>
        <w:t>POL Memo #00-1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10-1-00</w:t>
      </w:r>
      <w:r>
        <w:rPr>
          <w:sz w:val="22"/>
        </w:rPr>
        <w:tab/>
        <w:t>POL Memo #00-11</w:t>
      </w:r>
    </w:p>
    <w:p>
      <w:pPr>
        <w:spacing w:line="252" w:lineRule="exact" w:before="0"/>
        <w:ind w:left="1439" w:right="0" w:firstLine="0"/>
        <w:jc w:val="left"/>
        <w:rPr>
          <w:sz w:val="22"/>
        </w:rPr>
      </w:pPr>
      <w:r>
        <w:rPr>
          <w:sz w:val="22"/>
        </w:rPr>
        <w:t>Remove</w:t>
      </w:r>
      <w:r>
        <w:rPr>
          <w:spacing w:val="-6"/>
          <w:sz w:val="22"/>
        </w:rPr>
        <w:t> </w:t>
      </w:r>
      <w:r>
        <w:rPr>
          <w:sz w:val="22"/>
        </w:rPr>
        <w:t>Inst.</w:t>
      </w:r>
      <w:r>
        <w:rPr>
          <w:spacing w:val="-5"/>
          <w:sz w:val="22"/>
        </w:rPr>
        <w:t> </w:t>
      </w:r>
      <w:r>
        <w:rPr>
          <w:sz w:val="22"/>
        </w:rPr>
        <w:t>to</w:t>
      </w:r>
      <w:r>
        <w:rPr>
          <w:spacing w:val="-6"/>
          <w:sz w:val="22"/>
        </w:rPr>
        <w:t> </w:t>
      </w:r>
      <w:r>
        <w:rPr>
          <w:sz w:val="22"/>
        </w:rPr>
        <w:t>Staff</w:t>
      </w:r>
      <w:r>
        <w:rPr>
          <w:spacing w:val="-5"/>
          <w:sz w:val="22"/>
        </w:rPr>
        <w:t> </w:t>
      </w:r>
      <w:r>
        <w:rPr>
          <w:sz w:val="22"/>
        </w:rPr>
        <w:t>#</w:t>
      </w:r>
      <w:r>
        <w:rPr>
          <w:spacing w:val="-7"/>
          <w:sz w:val="22"/>
        </w:rPr>
        <w:t> </w:t>
      </w:r>
      <w:r>
        <w:rPr>
          <w:sz w:val="22"/>
        </w:rPr>
        <w:t>6</w:t>
      </w:r>
      <w:r>
        <w:rPr>
          <w:spacing w:val="-5"/>
          <w:sz w:val="22"/>
        </w:rPr>
        <w:t> </w:t>
      </w:r>
      <w:r>
        <w:rPr>
          <w:sz w:val="22"/>
        </w:rPr>
        <w:t>which</w:t>
      </w:r>
      <w:r>
        <w:rPr>
          <w:spacing w:val="-6"/>
          <w:sz w:val="22"/>
        </w:rPr>
        <w:t> </w:t>
      </w:r>
      <w:r>
        <w:rPr>
          <w:sz w:val="22"/>
        </w:rPr>
        <w:t>required</w:t>
      </w:r>
      <w:r>
        <w:rPr>
          <w:spacing w:val="-5"/>
          <w:sz w:val="22"/>
        </w:rPr>
        <w:t> </w:t>
      </w:r>
      <w:r>
        <w:rPr>
          <w:sz w:val="22"/>
        </w:rPr>
        <w:t>authorization</w:t>
      </w:r>
      <w:r>
        <w:rPr>
          <w:spacing w:val="-6"/>
          <w:sz w:val="22"/>
        </w:rPr>
        <w:t> </w:t>
      </w:r>
      <w:r>
        <w:rPr>
          <w:sz w:val="22"/>
        </w:rPr>
        <w:t>for</w:t>
      </w:r>
      <w:r>
        <w:rPr>
          <w:spacing w:val="-5"/>
          <w:sz w:val="22"/>
        </w:rPr>
        <w:t> </w:t>
      </w:r>
      <w:r>
        <w:rPr>
          <w:sz w:val="22"/>
        </w:rPr>
        <w:t>clothing</w:t>
      </w:r>
      <w:r>
        <w:rPr>
          <w:spacing w:val="-6"/>
          <w:sz w:val="22"/>
        </w:rPr>
        <w:t> </w:t>
      </w:r>
      <w:r>
        <w:rPr>
          <w:sz w:val="22"/>
        </w:rPr>
        <w:t>to</w:t>
      </w:r>
      <w:r>
        <w:rPr>
          <w:spacing w:val="-5"/>
          <w:sz w:val="22"/>
        </w:rPr>
        <w:t> </w:t>
      </w:r>
      <w:r>
        <w:rPr>
          <w:sz w:val="22"/>
        </w:rPr>
        <w:t>be</w:t>
      </w:r>
      <w:r>
        <w:rPr>
          <w:spacing w:val="-6"/>
          <w:sz w:val="22"/>
        </w:rPr>
        <w:t> </w:t>
      </w:r>
      <w:r>
        <w:rPr>
          <w:sz w:val="22"/>
        </w:rPr>
        <w:t>made</w:t>
      </w:r>
      <w:r>
        <w:rPr>
          <w:spacing w:val="-6"/>
          <w:sz w:val="22"/>
        </w:rPr>
        <w:t> </w:t>
      </w:r>
      <w:r>
        <w:rPr>
          <w:spacing w:val="-5"/>
          <w:sz w:val="22"/>
        </w:rPr>
        <w:t>to</w:t>
      </w:r>
    </w:p>
    <w:p>
      <w:pPr>
        <w:spacing w:before="0"/>
        <w:ind w:left="359" w:right="0" w:firstLine="0"/>
        <w:jc w:val="left"/>
        <w:rPr>
          <w:sz w:val="22"/>
        </w:rPr>
      </w:pPr>
      <w:r>
        <w:rPr>
          <w:spacing w:val="-2"/>
          <w:sz w:val="22"/>
        </w:rPr>
        <w:t>vendor.</w:t>
      </w:r>
    </w:p>
    <w:p>
      <w:pPr>
        <w:tabs>
          <w:tab w:pos="1439" w:val="left" w:leader="none"/>
        </w:tabs>
        <w:spacing w:before="0"/>
        <w:ind w:left="359" w:right="0" w:firstLine="0"/>
        <w:jc w:val="left"/>
        <w:rPr>
          <w:sz w:val="22"/>
        </w:rPr>
      </w:pPr>
      <w:r>
        <w:rPr>
          <w:spacing w:val="-2"/>
          <w:sz w:val="22"/>
        </w:rPr>
        <w:t>12-1-</w:t>
      </w:r>
      <w:r>
        <w:rPr>
          <w:spacing w:val="-5"/>
          <w:sz w:val="22"/>
        </w:rPr>
        <w:t>03</w:t>
      </w:r>
      <w:r>
        <w:rPr>
          <w:sz w:val="22"/>
        </w:rPr>
        <w:tab/>
        <w:t>POL</w:t>
      </w:r>
      <w:r>
        <w:rPr>
          <w:spacing w:val="-9"/>
          <w:sz w:val="22"/>
        </w:rPr>
        <w:t> </w:t>
      </w:r>
      <w:r>
        <w:rPr>
          <w:sz w:val="22"/>
        </w:rPr>
        <w:t>Memo</w:t>
      </w:r>
      <w:r>
        <w:rPr>
          <w:spacing w:val="-8"/>
          <w:sz w:val="22"/>
        </w:rPr>
        <w:t> </w:t>
      </w:r>
      <w:r>
        <w:rPr>
          <w:sz w:val="22"/>
        </w:rPr>
        <w:t>#04-</w:t>
      </w:r>
      <w:r>
        <w:rPr>
          <w:spacing w:val="-5"/>
          <w:sz w:val="22"/>
        </w:rPr>
        <w:t>02</w:t>
      </w:r>
    </w:p>
    <w:p>
      <w:pPr>
        <w:tabs>
          <w:tab w:pos="1439" w:val="left" w:leader="none"/>
        </w:tabs>
        <w:spacing w:before="1"/>
        <w:ind w:left="359" w:right="5036" w:firstLine="1080"/>
        <w:jc w:val="left"/>
        <w:rPr>
          <w:sz w:val="22"/>
        </w:rPr>
      </w:pPr>
      <w:r>
        <w:rPr>
          <w:sz w:val="22"/>
        </w:rPr>
        <w:t>Permanent,</w:t>
      </w:r>
      <w:r>
        <w:rPr>
          <w:spacing w:val="-13"/>
          <w:sz w:val="22"/>
        </w:rPr>
        <w:t> </w:t>
      </w:r>
      <w:r>
        <w:rPr>
          <w:sz w:val="22"/>
        </w:rPr>
        <w:t>removed</w:t>
      </w:r>
      <w:r>
        <w:rPr>
          <w:spacing w:val="-13"/>
          <w:sz w:val="22"/>
        </w:rPr>
        <w:t> </w:t>
      </w:r>
      <w:r>
        <w:rPr>
          <w:sz w:val="22"/>
        </w:rPr>
        <w:t>redundant</w:t>
      </w:r>
      <w:r>
        <w:rPr>
          <w:spacing w:val="-13"/>
          <w:sz w:val="22"/>
        </w:rPr>
        <w:t> </w:t>
      </w:r>
      <w:r>
        <w:rPr>
          <w:sz w:val="22"/>
        </w:rPr>
        <w:t>footnote </w:t>
      </w:r>
      <w:r>
        <w:rPr>
          <w:spacing w:val="-2"/>
          <w:sz w:val="22"/>
        </w:rPr>
        <w:t>7-1-10</w:t>
      </w:r>
      <w:r>
        <w:rPr>
          <w:sz w:val="22"/>
        </w:rPr>
        <w:tab/>
        <w:t>PT Memo #10-02</w:t>
      </w:r>
    </w:p>
    <w:p>
      <w:pPr>
        <w:spacing w:after="0"/>
        <w:jc w:val="left"/>
        <w:rPr>
          <w:sz w:val="22"/>
        </w:rPr>
        <w:sectPr>
          <w:pgSz w:w="12240" w:h="15840"/>
          <w:pgMar w:top="1340" w:bottom="280" w:left="1080" w:right="720"/>
        </w:sectPr>
      </w:pPr>
    </w:p>
    <w:p>
      <w:pPr>
        <w:spacing w:before="80"/>
        <w:ind w:left="1439" w:right="0" w:firstLine="0"/>
        <w:jc w:val="both"/>
        <w:rPr>
          <w:sz w:val="22"/>
        </w:rPr>
      </w:pPr>
      <w:r>
        <w:rPr>
          <w:sz w:val="22"/>
        </w:rPr>
        <w:t>Permanent,</w:t>
      </w:r>
      <w:r>
        <w:rPr>
          <w:spacing w:val="-9"/>
          <w:sz w:val="22"/>
        </w:rPr>
        <w:t> </w:t>
      </w:r>
      <w:r>
        <w:rPr>
          <w:sz w:val="22"/>
        </w:rPr>
        <w:t>updated</w:t>
      </w:r>
      <w:r>
        <w:rPr>
          <w:spacing w:val="-9"/>
          <w:sz w:val="22"/>
        </w:rPr>
        <w:t> </w:t>
      </w:r>
      <w:r>
        <w:rPr>
          <w:sz w:val="22"/>
        </w:rPr>
        <w:t>language</w:t>
      </w:r>
      <w:r>
        <w:rPr>
          <w:spacing w:val="-9"/>
          <w:sz w:val="22"/>
        </w:rPr>
        <w:t> </w:t>
      </w:r>
      <w:r>
        <w:rPr>
          <w:sz w:val="22"/>
        </w:rPr>
        <w:t>and</w:t>
      </w:r>
      <w:r>
        <w:rPr>
          <w:spacing w:val="-10"/>
          <w:sz w:val="22"/>
        </w:rPr>
        <w:t> </w:t>
      </w:r>
      <w:r>
        <w:rPr>
          <w:sz w:val="22"/>
        </w:rPr>
        <w:t>removed</w:t>
      </w:r>
      <w:r>
        <w:rPr>
          <w:spacing w:val="-9"/>
          <w:sz w:val="22"/>
        </w:rPr>
        <w:t> </w:t>
      </w:r>
      <w:r>
        <w:rPr>
          <w:sz w:val="22"/>
        </w:rPr>
        <w:t>supervisory</w:t>
      </w:r>
      <w:r>
        <w:rPr>
          <w:spacing w:val="-9"/>
          <w:sz w:val="22"/>
        </w:rPr>
        <w:t> </w:t>
      </w:r>
      <w:r>
        <w:rPr>
          <w:spacing w:val="-2"/>
          <w:sz w:val="22"/>
        </w:rPr>
        <w:t>approvals.</w:t>
      </w:r>
    </w:p>
    <w:p>
      <w:pPr>
        <w:spacing w:before="0"/>
        <w:ind w:left="1439" w:right="856" w:hanging="1080"/>
        <w:jc w:val="both"/>
        <w:rPr>
          <w:sz w:val="22"/>
        </w:rPr>
      </w:pPr>
      <w:r>
        <w:rPr>
          <w:sz w:val="22"/>
        </w:rPr>
        <w:t>8-27-15</w:t>
      </w:r>
      <w:r>
        <w:rPr>
          <w:spacing w:val="40"/>
          <w:sz w:val="22"/>
        </w:rPr>
        <w:t>  </w:t>
      </w:r>
      <w:r>
        <w:rPr>
          <w:sz w:val="22"/>
        </w:rPr>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to</w:t>
      </w:r>
      <w:r>
        <w:rPr>
          <w:spacing w:val="-4"/>
          <w:sz w:val="22"/>
        </w:rPr>
        <w:t> </w:t>
      </w:r>
      <w:r>
        <w:rPr>
          <w:sz w:val="22"/>
        </w:rPr>
        <w:t>Vocational</w:t>
      </w:r>
      <w:r>
        <w:rPr>
          <w:spacing w:val="-3"/>
          <w:sz w:val="22"/>
        </w:rPr>
        <w:t> </w:t>
      </w:r>
      <w:r>
        <w:rPr>
          <w:sz w:val="22"/>
        </w:rPr>
        <w:t>Rehabilitation</w:t>
      </w:r>
      <w:r>
        <w:rPr>
          <w:spacing w:val="-4"/>
          <w:sz w:val="22"/>
        </w:rPr>
        <w:t> </w:t>
      </w:r>
      <w:r>
        <w:rPr>
          <w:sz w:val="22"/>
        </w:rPr>
        <w:t>for</w:t>
      </w:r>
      <w:r>
        <w:rPr>
          <w:spacing w:val="-3"/>
          <w:sz w:val="22"/>
        </w:rPr>
        <w:t> </w:t>
      </w:r>
      <w:r>
        <w:rPr>
          <w:sz w:val="22"/>
        </w:rPr>
        <w:t>the</w:t>
      </w:r>
      <w:r>
        <w:rPr>
          <w:spacing w:val="-3"/>
          <w:sz w:val="22"/>
        </w:rPr>
        <w:t> </w:t>
      </w:r>
      <w:r>
        <w:rPr>
          <w:sz w:val="22"/>
        </w:rPr>
        <w:t>Blind</w:t>
      </w:r>
      <w:r>
        <w:rPr>
          <w:spacing w:val="-3"/>
          <w:sz w:val="22"/>
        </w:rPr>
        <w:t> </w:t>
      </w:r>
      <w:r>
        <w:rPr>
          <w:sz w:val="22"/>
        </w:rPr>
        <w:t>&amp; Visually Impaired.</w:t>
      </w:r>
    </w:p>
    <w:p>
      <w:pPr>
        <w:spacing w:before="0"/>
        <w:ind w:left="1439" w:right="927" w:hanging="1080"/>
        <w:jc w:val="both"/>
        <w:rPr>
          <w:sz w:val="22"/>
        </w:rPr>
      </w:pPr>
      <w:r>
        <w:rPr>
          <w:sz w:val="22"/>
        </w:rPr>
        <w:t>9-11-17</w:t>
      </w:r>
      <w:r>
        <w:rPr>
          <w:spacing w:val="80"/>
          <w:sz w:val="22"/>
        </w:rPr>
        <w:t>  </w:t>
      </w:r>
      <w:r>
        <w:rPr>
          <w:sz w:val="22"/>
        </w:rPr>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Vocational</w:t>
      </w:r>
      <w:r>
        <w:rPr>
          <w:spacing w:val="-3"/>
          <w:sz w:val="22"/>
        </w:rPr>
        <w:t> </w:t>
      </w:r>
      <w:r>
        <w:rPr>
          <w:sz w:val="22"/>
        </w:rPr>
        <w:t>Rehabilitation</w:t>
      </w:r>
      <w:r>
        <w:rPr>
          <w:spacing w:val="-3"/>
          <w:sz w:val="22"/>
        </w:rPr>
        <w:t> </w:t>
      </w:r>
      <w:r>
        <w:rPr>
          <w:sz w:val="22"/>
        </w:rPr>
        <w:t>for</w:t>
      </w:r>
      <w:r>
        <w:rPr>
          <w:spacing w:val="-3"/>
          <w:sz w:val="22"/>
        </w:rPr>
        <w:t> </w:t>
      </w:r>
      <w:r>
        <w:rPr>
          <w:sz w:val="22"/>
        </w:rPr>
        <w:t>the</w:t>
      </w:r>
      <w:r>
        <w:rPr>
          <w:spacing w:val="-3"/>
          <w:sz w:val="22"/>
        </w:rPr>
        <w:t> </w:t>
      </w:r>
      <w:r>
        <w:rPr>
          <w:sz w:val="22"/>
        </w:rPr>
        <w:t>Blind</w:t>
      </w:r>
      <w:r>
        <w:rPr>
          <w:spacing w:val="-3"/>
          <w:sz w:val="22"/>
        </w:rPr>
        <w:t> </w:t>
      </w:r>
      <w:r>
        <w:rPr>
          <w:sz w:val="22"/>
        </w:rPr>
        <w:t>&amp;</w:t>
      </w:r>
      <w:r>
        <w:rPr>
          <w:spacing w:val="-3"/>
          <w:sz w:val="22"/>
        </w:rPr>
        <w:t> </w:t>
      </w:r>
      <w:r>
        <w:rPr>
          <w:sz w:val="22"/>
        </w:rPr>
        <w:t>Visually</w:t>
      </w:r>
      <w:r>
        <w:rPr>
          <w:spacing w:val="-3"/>
          <w:sz w:val="22"/>
        </w:rPr>
        <w:t> </w:t>
      </w:r>
      <w:r>
        <w:rPr>
          <w:sz w:val="22"/>
        </w:rPr>
        <w:t>Impaired to Visual Services.</w:t>
      </w:r>
    </w:p>
    <w:p>
      <w:pPr>
        <w:spacing w:before="0"/>
        <w:ind w:left="1439" w:right="877" w:hanging="1080"/>
        <w:jc w:val="both"/>
        <w:rPr>
          <w:sz w:val="22"/>
        </w:rPr>
      </w:pPr>
      <w:r>
        <w:rPr>
          <w:sz w:val="22"/>
        </w:rPr>
        <w:t>8-11-19</w:t>
      </w:r>
      <w:r>
        <w:rPr>
          <w:spacing w:val="40"/>
          <w:sz w:val="22"/>
        </w:rPr>
        <w:t>  </w:t>
      </w:r>
      <w:r>
        <w:rPr>
          <w:sz w:val="22"/>
        </w:rPr>
        <w:t>Updated</w:t>
      </w:r>
      <w:r>
        <w:rPr>
          <w:spacing w:val="-2"/>
          <w:sz w:val="22"/>
        </w:rPr>
        <w:t> </w:t>
      </w:r>
      <w:r>
        <w:rPr>
          <w:sz w:val="22"/>
        </w:rPr>
        <w:t>section</w:t>
      </w:r>
      <w:r>
        <w:rPr>
          <w:spacing w:val="-2"/>
          <w:sz w:val="22"/>
        </w:rPr>
        <w:t> </w:t>
      </w:r>
      <w:r>
        <w:rPr>
          <w:sz w:val="22"/>
        </w:rPr>
        <w:t>(3),</w:t>
      </w:r>
      <w:r>
        <w:rPr>
          <w:spacing w:val="-2"/>
          <w:sz w:val="22"/>
        </w:rPr>
        <w:t> </w:t>
      </w:r>
      <w:r>
        <w:rPr>
          <w:sz w:val="22"/>
        </w:rPr>
        <w:t>Maintenance</w:t>
      </w:r>
      <w:r>
        <w:rPr>
          <w:spacing w:val="-2"/>
          <w:sz w:val="22"/>
        </w:rPr>
        <w:t> </w:t>
      </w:r>
      <w:r>
        <w:rPr>
          <w:sz w:val="22"/>
        </w:rPr>
        <w:t>for</w:t>
      </w:r>
      <w:r>
        <w:rPr>
          <w:spacing w:val="-2"/>
          <w:sz w:val="22"/>
        </w:rPr>
        <w:t> </w:t>
      </w:r>
      <w:r>
        <w:rPr>
          <w:sz w:val="22"/>
        </w:rPr>
        <w:t>training,</w:t>
      </w:r>
      <w:r>
        <w:rPr>
          <w:spacing w:val="-2"/>
          <w:sz w:val="22"/>
        </w:rPr>
        <w:t> </w:t>
      </w:r>
      <w:r>
        <w:rPr>
          <w:sz w:val="22"/>
        </w:rPr>
        <w:t>room</w:t>
      </w:r>
      <w:r>
        <w:rPr>
          <w:spacing w:val="-3"/>
          <w:sz w:val="22"/>
        </w:rPr>
        <w:t> </w:t>
      </w:r>
      <w:r>
        <w:rPr>
          <w:sz w:val="22"/>
        </w:rPr>
        <w:t>and</w:t>
      </w:r>
      <w:r>
        <w:rPr>
          <w:spacing w:val="-2"/>
          <w:sz w:val="22"/>
        </w:rPr>
        <w:t> </w:t>
      </w:r>
      <w:r>
        <w:rPr>
          <w:sz w:val="22"/>
        </w:rPr>
        <w:t>board</w:t>
      </w:r>
      <w:r>
        <w:rPr>
          <w:spacing w:val="-2"/>
          <w:sz w:val="22"/>
        </w:rPr>
        <w:t> </w:t>
      </w:r>
      <w:r>
        <w:rPr>
          <w:sz w:val="22"/>
        </w:rPr>
        <w:t>expenses</w:t>
      </w:r>
      <w:r>
        <w:rPr>
          <w:spacing w:val="-3"/>
          <w:sz w:val="22"/>
        </w:rPr>
        <w:t> </w:t>
      </w:r>
      <w:r>
        <w:rPr>
          <w:sz w:val="22"/>
        </w:rPr>
        <w:t>will</w:t>
      </w:r>
      <w:r>
        <w:rPr>
          <w:spacing w:val="-2"/>
          <w:sz w:val="22"/>
        </w:rPr>
        <w:t> </w:t>
      </w:r>
      <w:r>
        <w:rPr>
          <w:sz w:val="22"/>
        </w:rPr>
        <w:t>not</w:t>
      </w:r>
      <w:r>
        <w:rPr>
          <w:spacing w:val="-2"/>
          <w:sz w:val="22"/>
        </w:rPr>
        <w:t> </w:t>
      </w:r>
      <w:r>
        <w:rPr>
          <w:sz w:val="22"/>
        </w:rPr>
        <w:t>be paid</w:t>
      </w:r>
      <w:r>
        <w:rPr>
          <w:spacing w:val="-2"/>
          <w:sz w:val="22"/>
        </w:rPr>
        <w:t> </w:t>
      </w:r>
      <w:r>
        <w:rPr>
          <w:sz w:val="22"/>
        </w:rPr>
        <w:t>by</w:t>
      </w:r>
      <w:r>
        <w:rPr>
          <w:spacing w:val="-2"/>
          <w:sz w:val="22"/>
        </w:rPr>
        <w:t> </w:t>
      </w:r>
      <w:r>
        <w:rPr>
          <w:sz w:val="22"/>
        </w:rPr>
        <w:t>DRS</w:t>
      </w:r>
      <w:r>
        <w:rPr>
          <w:spacing w:val="-2"/>
          <w:sz w:val="22"/>
        </w:rPr>
        <w:t> </w:t>
      </w:r>
      <w:r>
        <w:rPr>
          <w:sz w:val="22"/>
        </w:rPr>
        <w:t>if</w:t>
      </w:r>
      <w:r>
        <w:rPr>
          <w:spacing w:val="-2"/>
          <w:sz w:val="22"/>
        </w:rPr>
        <w:t> </w:t>
      </w:r>
      <w:r>
        <w:rPr>
          <w:sz w:val="22"/>
        </w:rPr>
        <w:t>a</w:t>
      </w:r>
      <w:r>
        <w:rPr>
          <w:spacing w:val="-2"/>
          <w:sz w:val="22"/>
        </w:rPr>
        <w:t> </w:t>
      </w:r>
      <w:r>
        <w:rPr>
          <w:sz w:val="22"/>
        </w:rPr>
        <w:t>vocational</w:t>
      </w:r>
      <w:r>
        <w:rPr>
          <w:spacing w:val="-2"/>
          <w:sz w:val="22"/>
        </w:rPr>
        <w:t> </w:t>
      </w:r>
      <w:r>
        <w:rPr>
          <w:sz w:val="22"/>
        </w:rPr>
        <w:t>school,</w:t>
      </w:r>
      <w:r>
        <w:rPr>
          <w:spacing w:val="-3"/>
          <w:sz w:val="22"/>
        </w:rPr>
        <w:t> </w:t>
      </w:r>
      <w:r>
        <w:rPr>
          <w:sz w:val="22"/>
        </w:rPr>
        <w:t>college</w:t>
      </w:r>
      <w:r>
        <w:rPr>
          <w:spacing w:val="-2"/>
          <w:sz w:val="22"/>
        </w:rPr>
        <w:t> </w:t>
      </w:r>
      <w:r>
        <w:rPr>
          <w:sz w:val="22"/>
        </w:rPr>
        <w:t>or</w:t>
      </w:r>
      <w:r>
        <w:rPr>
          <w:spacing w:val="-2"/>
          <w:sz w:val="22"/>
        </w:rPr>
        <w:t> </w:t>
      </w:r>
      <w:r>
        <w:rPr>
          <w:sz w:val="22"/>
        </w:rPr>
        <w:t>university</w:t>
      </w:r>
      <w:r>
        <w:rPr>
          <w:spacing w:val="-2"/>
          <w:sz w:val="22"/>
        </w:rPr>
        <w:t> </w:t>
      </w:r>
      <w:r>
        <w:rPr>
          <w:sz w:val="22"/>
        </w:rPr>
        <w:t>is</w:t>
      </w:r>
      <w:r>
        <w:rPr>
          <w:spacing w:val="-3"/>
          <w:sz w:val="22"/>
        </w:rPr>
        <w:t> </w:t>
      </w:r>
      <w:r>
        <w:rPr>
          <w:sz w:val="22"/>
        </w:rPr>
        <w:t>within</w:t>
      </w:r>
      <w:r>
        <w:rPr>
          <w:spacing w:val="-2"/>
          <w:sz w:val="22"/>
        </w:rPr>
        <w:t> </w:t>
      </w:r>
      <w:r>
        <w:rPr>
          <w:sz w:val="22"/>
        </w:rPr>
        <w:t>40</w:t>
      </w:r>
      <w:r>
        <w:rPr>
          <w:spacing w:val="-2"/>
          <w:sz w:val="22"/>
        </w:rPr>
        <w:t> </w:t>
      </w:r>
      <w:r>
        <w:rPr>
          <w:sz w:val="22"/>
        </w:rPr>
        <w:t>miles</w:t>
      </w:r>
      <w:r>
        <w:rPr>
          <w:spacing w:val="-2"/>
          <w:sz w:val="22"/>
        </w:rPr>
        <w:t> </w:t>
      </w:r>
      <w:r>
        <w:rPr>
          <w:sz w:val="22"/>
        </w:rPr>
        <w:t>of</w:t>
      </w:r>
      <w:r>
        <w:rPr>
          <w:spacing w:val="-2"/>
          <w:sz w:val="22"/>
        </w:rPr>
        <w:t> </w:t>
      </w:r>
      <w:r>
        <w:rPr>
          <w:sz w:val="22"/>
        </w:rPr>
        <w:t>client</w:t>
      </w:r>
      <w:r>
        <w:rPr>
          <w:sz w:val="24"/>
        </w:rPr>
        <w:t>'</w:t>
      </w:r>
      <w:r>
        <w:rPr>
          <w:sz w:val="22"/>
        </w:rPr>
        <w:t>s </w:t>
      </w:r>
      <w:r>
        <w:rPr>
          <w:spacing w:val="-2"/>
          <w:sz w:val="22"/>
        </w:rPr>
        <w:t>residence.</w:t>
      </w:r>
    </w:p>
    <w:p>
      <w:pPr>
        <w:spacing w:before="0"/>
        <w:ind w:left="1439" w:right="891" w:hanging="1080"/>
        <w:jc w:val="both"/>
        <w:rPr>
          <w:sz w:val="22"/>
        </w:rPr>
      </w:pPr>
      <w:r>
        <w:rPr>
          <w:sz w:val="22"/>
        </w:rPr>
        <w:t>9-11-20</w:t>
      </w:r>
      <w:r>
        <w:rPr>
          <w:spacing w:val="40"/>
          <w:sz w:val="22"/>
        </w:rPr>
        <w:t>  </w:t>
      </w:r>
      <w:r>
        <w:rPr>
          <w:sz w:val="22"/>
        </w:rPr>
        <w:t>Division</w:t>
      </w:r>
      <w:r>
        <w:rPr>
          <w:spacing w:val="-2"/>
          <w:sz w:val="22"/>
        </w:rPr>
        <w:t> </w:t>
      </w:r>
      <w:r>
        <w:rPr>
          <w:sz w:val="22"/>
        </w:rPr>
        <w:t>name</w:t>
      </w:r>
      <w:r>
        <w:rPr>
          <w:spacing w:val="-2"/>
          <w:sz w:val="22"/>
        </w:rPr>
        <w:t> </w:t>
      </w:r>
      <w:r>
        <w:rPr>
          <w:sz w:val="22"/>
        </w:rPr>
        <w:t>change</w:t>
      </w:r>
      <w:r>
        <w:rPr>
          <w:spacing w:val="-2"/>
          <w:sz w:val="22"/>
        </w:rPr>
        <w:t> </w:t>
      </w:r>
      <w:r>
        <w:rPr>
          <w:sz w:val="22"/>
        </w:rPr>
        <w:t>of</w:t>
      </w:r>
      <w:r>
        <w:rPr>
          <w:spacing w:val="-2"/>
          <w:sz w:val="22"/>
        </w:rPr>
        <w:t> </w:t>
      </w:r>
      <w:r>
        <w:rPr>
          <w:sz w:val="22"/>
        </w:rPr>
        <w:t>Visual</w:t>
      </w:r>
      <w:r>
        <w:rPr>
          <w:spacing w:val="-2"/>
          <w:sz w:val="22"/>
        </w:rPr>
        <w:t> </w:t>
      </w:r>
      <w:r>
        <w:rPr>
          <w:sz w:val="22"/>
        </w:rPr>
        <w:t>Services</w:t>
      </w:r>
      <w:r>
        <w:rPr>
          <w:spacing w:val="-2"/>
          <w:sz w:val="22"/>
        </w:rPr>
        <w:t> </w:t>
      </w:r>
      <w:r>
        <w:rPr>
          <w:sz w:val="22"/>
        </w:rPr>
        <w:t>(VS)</w:t>
      </w:r>
      <w:r>
        <w:rPr>
          <w:spacing w:val="-2"/>
          <w:sz w:val="22"/>
        </w:rPr>
        <w:t> </w:t>
      </w:r>
      <w:r>
        <w:rPr>
          <w:sz w:val="22"/>
        </w:rPr>
        <w:t>to</w:t>
      </w:r>
      <w:r>
        <w:rPr>
          <w:spacing w:val="-2"/>
          <w:sz w:val="22"/>
        </w:rPr>
        <w:t> </w:t>
      </w:r>
      <w:r>
        <w:rPr>
          <w:sz w:val="22"/>
        </w:rPr>
        <w:t>Services</w:t>
      </w:r>
      <w:r>
        <w:rPr>
          <w:spacing w:val="-2"/>
          <w:sz w:val="22"/>
        </w:rPr>
        <w:t> </w:t>
      </w:r>
      <w:r>
        <w:rPr>
          <w:sz w:val="22"/>
        </w:rPr>
        <w:t>for</w:t>
      </w:r>
      <w:r>
        <w:rPr>
          <w:spacing w:val="-2"/>
          <w:sz w:val="22"/>
        </w:rPr>
        <w:t> </w:t>
      </w:r>
      <w:r>
        <w:rPr>
          <w:sz w:val="22"/>
        </w:rPr>
        <w:t>the</w:t>
      </w:r>
      <w:r>
        <w:rPr>
          <w:spacing w:val="-2"/>
          <w:sz w:val="22"/>
        </w:rPr>
        <w:t> </w:t>
      </w:r>
      <w:r>
        <w:rPr>
          <w:sz w:val="22"/>
        </w:rPr>
        <w:t>Blind</w:t>
      </w:r>
      <w:r>
        <w:rPr>
          <w:spacing w:val="-3"/>
          <w:sz w:val="22"/>
        </w:rPr>
        <w:t> </w:t>
      </w:r>
      <w:r>
        <w:rPr>
          <w:sz w:val="22"/>
        </w:rPr>
        <w:t>and</w:t>
      </w:r>
      <w:r>
        <w:rPr>
          <w:spacing w:val="-2"/>
          <w:sz w:val="22"/>
        </w:rPr>
        <w:t> </w:t>
      </w:r>
      <w:r>
        <w:rPr>
          <w:sz w:val="22"/>
        </w:rPr>
        <w:t>Visually Impaired (SBVI).</w:t>
      </w:r>
    </w:p>
    <w:p>
      <w:pPr>
        <w:tabs>
          <w:tab w:pos="1439" w:val="left" w:leader="none"/>
        </w:tabs>
        <w:spacing w:line="252" w:lineRule="exact" w:before="0"/>
        <w:ind w:left="359" w:right="0" w:firstLine="0"/>
        <w:jc w:val="left"/>
        <w:rPr>
          <w:sz w:val="22"/>
        </w:rPr>
      </w:pPr>
      <w:r>
        <w:rPr>
          <w:spacing w:val="-2"/>
          <w:sz w:val="22"/>
        </w:rPr>
        <w:t>8-26-</w:t>
      </w:r>
      <w:r>
        <w:rPr>
          <w:spacing w:val="-5"/>
          <w:sz w:val="22"/>
        </w:rPr>
        <w:t>21</w:t>
      </w:r>
      <w:r>
        <w:rPr>
          <w:sz w:val="22"/>
        </w:rPr>
        <w:tab/>
        <w:t>Revised</w:t>
      </w:r>
      <w:r>
        <w:rPr>
          <w:spacing w:val="-7"/>
          <w:sz w:val="22"/>
        </w:rPr>
        <w:t> </w:t>
      </w:r>
      <w:r>
        <w:rPr>
          <w:sz w:val="22"/>
        </w:rPr>
        <w:t>to</w:t>
      </w:r>
      <w:r>
        <w:rPr>
          <w:spacing w:val="-6"/>
          <w:sz w:val="22"/>
        </w:rPr>
        <w:t> </w:t>
      </w:r>
      <w:r>
        <w:rPr>
          <w:sz w:val="22"/>
        </w:rPr>
        <w:t>reflect</w:t>
      </w:r>
      <w:r>
        <w:rPr>
          <w:spacing w:val="-7"/>
          <w:sz w:val="22"/>
        </w:rPr>
        <w:t> </w:t>
      </w:r>
      <w:r>
        <w:rPr>
          <w:sz w:val="22"/>
        </w:rPr>
        <w:t>WIOA</w:t>
      </w:r>
      <w:r>
        <w:rPr>
          <w:spacing w:val="-6"/>
          <w:sz w:val="22"/>
        </w:rPr>
        <w:t> </w:t>
      </w:r>
      <w:r>
        <w:rPr>
          <w:spacing w:val="-2"/>
          <w:sz w:val="22"/>
        </w:rPr>
        <w:t>language.</w:t>
      </w:r>
    </w:p>
    <w:p>
      <w:pPr>
        <w:tabs>
          <w:tab w:pos="1439" w:val="left" w:leader="none"/>
        </w:tabs>
        <w:spacing w:before="0"/>
        <w:ind w:left="1439" w:right="843" w:hanging="1080"/>
        <w:jc w:val="left"/>
        <w:rPr>
          <w:sz w:val="22"/>
        </w:rPr>
      </w:pPr>
      <w:r>
        <w:rPr>
          <w:spacing w:val="-2"/>
          <w:sz w:val="22"/>
        </w:rPr>
        <w:t>9-11-22</w:t>
      </w:r>
      <w:r>
        <w:rPr>
          <w:sz w:val="22"/>
        </w:rPr>
        <w:tab/>
        <w:t>Revised (b) (3) to reflect DRS will only sponsor hotel costs with pre-vocational or personal</w:t>
      </w:r>
      <w:r>
        <w:rPr>
          <w:spacing w:val="-3"/>
          <w:sz w:val="22"/>
        </w:rPr>
        <w:t> </w:t>
      </w:r>
      <w:r>
        <w:rPr>
          <w:sz w:val="22"/>
        </w:rPr>
        <w:t>and</w:t>
      </w:r>
      <w:r>
        <w:rPr>
          <w:spacing w:val="-3"/>
          <w:sz w:val="22"/>
        </w:rPr>
        <w:t> </w:t>
      </w:r>
      <w:r>
        <w:rPr>
          <w:sz w:val="22"/>
        </w:rPr>
        <w:t>work</w:t>
      </w:r>
      <w:r>
        <w:rPr>
          <w:spacing w:val="-3"/>
          <w:sz w:val="22"/>
        </w:rPr>
        <w:t> </w:t>
      </w:r>
      <w:r>
        <w:rPr>
          <w:sz w:val="22"/>
        </w:rPr>
        <w:t>adjustment</w:t>
      </w:r>
      <w:r>
        <w:rPr>
          <w:spacing w:val="-3"/>
          <w:sz w:val="22"/>
        </w:rPr>
        <w:t> </w:t>
      </w:r>
      <w:r>
        <w:rPr>
          <w:sz w:val="22"/>
        </w:rPr>
        <w:t>training</w:t>
      </w:r>
      <w:r>
        <w:rPr>
          <w:spacing w:val="-3"/>
          <w:sz w:val="22"/>
        </w:rPr>
        <w:t> </w:t>
      </w:r>
      <w:r>
        <w:rPr>
          <w:sz w:val="22"/>
        </w:rPr>
        <w:t>if</w:t>
      </w:r>
      <w:r>
        <w:rPr>
          <w:spacing w:val="-3"/>
          <w:sz w:val="22"/>
        </w:rPr>
        <w:t> </w:t>
      </w:r>
      <w:r>
        <w:rPr>
          <w:sz w:val="22"/>
        </w:rPr>
        <w:t>the</w:t>
      </w:r>
      <w:r>
        <w:rPr>
          <w:spacing w:val="-3"/>
          <w:sz w:val="22"/>
        </w:rPr>
        <w:t> </w:t>
      </w:r>
      <w:r>
        <w:rPr>
          <w:sz w:val="22"/>
        </w:rPr>
        <w:t>total</w:t>
      </w:r>
      <w:r>
        <w:rPr>
          <w:spacing w:val="-3"/>
          <w:sz w:val="22"/>
        </w:rPr>
        <w:t> </w:t>
      </w:r>
      <w:r>
        <w:rPr>
          <w:sz w:val="22"/>
        </w:rPr>
        <w:t>cost</w:t>
      </w:r>
      <w:r>
        <w:rPr>
          <w:spacing w:val="-3"/>
          <w:sz w:val="22"/>
        </w:rPr>
        <w:t> </w:t>
      </w:r>
      <w:r>
        <w:rPr>
          <w:sz w:val="22"/>
        </w:rPr>
        <w:t>of</w:t>
      </w:r>
      <w:r>
        <w:rPr>
          <w:spacing w:val="-3"/>
          <w:sz w:val="22"/>
        </w:rPr>
        <w:t> </w:t>
      </w:r>
      <w:r>
        <w:rPr>
          <w:sz w:val="22"/>
        </w:rPr>
        <w:t>the</w:t>
      </w:r>
      <w:r>
        <w:rPr>
          <w:spacing w:val="-4"/>
          <w:sz w:val="22"/>
        </w:rPr>
        <w:t> </w:t>
      </w:r>
      <w:r>
        <w:rPr>
          <w:sz w:val="22"/>
        </w:rPr>
        <w:t>hotel</w:t>
      </w:r>
      <w:r>
        <w:rPr>
          <w:spacing w:val="-3"/>
          <w:sz w:val="22"/>
        </w:rPr>
        <w:t> </w:t>
      </w:r>
      <w:r>
        <w:rPr>
          <w:sz w:val="22"/>
        </w:rPr>
        <w:t>stay</w:t>
      </w:r>
      <w:r>
        <w:rPr>
          <w:spacing w:val="-3"/>
          <w:sz w:val="22"/>
        </w:rPr>
        <w:t> </w:t>
      </w:r>
      <w:r>
        <w:rPr>
          <w:sz w:val="22"/>
        </w:rPr>
        <w:t>and</w:t>
      </w:r>
      <w:r>
        <w:rPr>
          <w:spacing w:val="-3"/>
          <w:sz w:val="22"/>
        </w:rPr>
        <w:t> </w:t>
      </w:r>
      <w:r>
        <w:rPr>
          <w:sz w:val="22"/>
        </w:rPr>
        <w:t>per</w:t>
      </w:r>
      <w:r>
        <w:rPr>
          <w:spacing w:val="-3"/>
          <w:sz w:val="22"/>
        </w:rPr>
        <w:t> </w:t>
      </w:r>
      <w:r>
        <w:rPr>
          <w:sz w:val="22"/>
        </w:rPr>
        <w:t>diem is less than the total cost of transportation to and from the hotel.</w:t>
      </w:r>
    </w:p>
    <w:p>
      <w:pPr>
        <w:spacing w:after="0"/>
        <w:jc w:val="left"/>
        <w:rPr>
          <w:sz w:val="22"/>
        </w:rPr>
        <w:sectPr>
          <w:pgSz w:w="12240" w:h="15840"/>
          <w:pgMar w:top="1360" w:bottom="280" w:left="1080" w:right="720"/>
        </w:sectPr>
      </w:pPr>
    </w:p>
    <w:p>
      <w:pPr>
        <w:pStyle w:val="Heading2"/>
      </w:pPr>
      <w:bookmarkStart w:name="612:10-7-131.  Transportation" w:id="162"/>
      <w:bookmarkEnd w:id="162"/>
      <w:r>
        <w:rPr>
          <w:b w:val="0"/>
        </w:rPr>
      </w:r>
      <w:r>
        <w:rPr/>
        <w:t>612:10-7-131.</w:t>
      </w:r>
      <w:r>
        <w:rPr>
          <w:spacing w:val="57"/>
        </w:rPr>
        <w:t> </w:t>
      </w:r>
      <w:r>
        <w:rPr>
          <w:spacing w:val="-2"/>
        </w:rPr>
        <w:t>Transportation</w:t>
      </w:r>
    </w:p>
    <w:p>
      <w:pPr>
        <w:pStyle w:val="ListParagraph"/>
        <w:numPr>
          <w:ilvl w:val="0"/>
          <w:numId w:val="169"/>
        </w:numPr>
        <w:tabs>
          <w:tab w:pos="786" w:val="left" w:leader="none"/>
        </w:tabs>
        <w:spacing w:line="208" w:lineRule="auto" w:before="233" w:after="0"/>
        <w:ind w:left="360" w:right="1019" w:firstLine="0"/>
        <w:jc w:val="left"/>
        <w:rPr>
          <w:b/>
          <w:sz w:val="24"/>
        </w:rPr>
      </w:pPr>
      <w:r>
        <w:rPr>
          <w:sz w:val="24"/>
        </w:rPr>
        <w:t>Transportation, including adequate training in the use of public transportation vehicles</w:t>
      </w:r>
      <w:r>
        <w:rPr>
          <w:spacing w:val="-3"/>
          <w:sz w:val="24"/>
        </w:rPr>
        <w:t> </w:t>
      </w:r>
      <w:r>
        <w:rPr>
          <w:sz w:val="24"/>
        </w:rPr>
        <w:t>and</w:t>
      </w:r>
      <w:r>
        <w:rPr>
          <w:spacing w:val="-3"/>
          <w:sz w:val="24"/>
        </w:rPr>
        <w:t> </w:t>
      </w:r>
      <w:r>
        <w:rPr>
          <w:sz w:val="24"/>
        </w:rPr>
        <w:t>systems,</w:t>
      </w:r>
      <w:r>
        <w:rPr>
          <w:spacing w:val="-5"/>
          <w:sz w:val="24"/>
        </w:rPr>
        <w:t> </w:t>
      </w:r>
      <w:r>
        <w:rPr>
          <w:sz w:val="24"/>
        </w:rPr>
        <w:t>may</w:t>
      </w:r>
      <w:r>
        <w:rPr>
          <w:spacing w:val="-3"/>
          <w:sz w:val="24"/>
        </w:rPr>
        <w:t> </w:t>
      </w:r>
      <w:r>
        <w:rPr>
          <w:sz w:val="24"/>
        </w:rPr>
        <w:t>be</w:t>
      </w:r>
      <w:r>
        <w:rPr>
          <w:spacing w:val="-3"/>
          <w:sz w:val="24"/>
        </w:rPr>
        <w:t> </w:t>
      </w:r>
      <w:r>
        <w:rPr>
          <w:sz w:val="24"/>
        </w:rPr>
        <w:t>provided</w:t>
      </w:r>
      <w:r>
        <w:rPr>
          <w:spacing w:val="-3"/>
          <w:sz w:val="24"/>
        </w:rPr>
        <w:t> </w:t>
      </w:r>
      <w:r>
        <w:rPr>
          <w:sz w:val="24"/>
        </w:rPr>
        <w:t>for</w:t>
      </w:r>
      <w:r>
        <w:rPr>
          <w:spacing w:val="-2"/>
          <w:sz w:val="24"/>
        </w:rPr>
        <w:t> </w:t>
      </w:r>
      <w:r>
        <w:rPr>
          <w:sz w:val="24"/>
        </w:rPr>
        <w:t>a</w:t>
      </w:r>
      <w:r>
        <w:rPr>
          <w:spacing w:val="-4"/>
          <w:sz w:val="24"/>
        </w:rPr>
        <w:t> </w:t>
      </w:r>
      <w:r>
        <w:rPr>
          <w:sz w:val="24"/>
        </w:rPr>
        <w:t>client</w:t>
      </w:r>
      <w:r>
        <w:rPr>
          <w:spacing w:val="-2"/>
          <w:sz w:val="24"/>
        </w:rPr>
        <w:t> </w:t>
      </w:r>
      <w:r>
        <w:rPr>
          <w:sz w:val="24"/>
        </w:rPr>
        <w:t>as</w:t>
      </w:r>
      <w:r>
        <w:rPr>
          <w:spacing w:val="-3"/>
          <w:sz w:val="24"/>
        </w:rPr>
        <w:t> </w:t>
      </w:r>
      <w:r>
        <w:rPr>
          <w:sz w:val="24"/>
        </w:rPr>
        <w:t>a</w:t>
      </w:r>
      <w:r>
        <w:rPr>
          <w:spacing w:val="-3"/>
          <w:sz w:val="24"/>
        </w:rPr>
        <w:t> </w:t>
      </w:r>
      <w:r>
        <w:rPr>
          <w:sz w:val="24"/>
        </w:rPr>
        <w:t>service</w:t>
      </w:r>
      <w:r>
        <w:rPr>
          <w:spacing w:val="-3"/>
          <w:sz w:val="24"/>
        </w:rPr>
        <w:t> </w:t>
      </w:r>
      <w:r>
        <w:rPr>
          <w:sz w:val="24"/>
        </w:rPr>
        <w:t>to</w:t>
      </w:r>
      <w:r>
        <w:rPr>
          <w:spacing w:val="-3"/>
          <w:sz w:val="24"/>
        </w:rPr>
        <w:t> </w:t>
      </w:r>
      <w:r>
        <w:rPr>
          <w:sz w:val="24"/>
        </w:rPr>
        <w:t>enable</w:t>
      </w:r>
      <w:r>
        <w:rPr>
          <w:spacing w:val="-3"/>
          <w:sz w:val="24"/>
        </w:rPr>
        <w:t> </w:t>
      </w:r>
      <w:r>
        <w:rPr>
          <w:sz w:val="24"/>
        </w:rPr>
        <w:t>the</w:t>
      </w:r>
      <w:r>
        <w:rPr>
          <w:spacing w:val="-3"/>
          <w:sz w:val="24"/>
        </w:rPr>
        <w:t> </w:t>
      </w:r>
      <w:r>
        <w:rPr>
          <w:sz w:val="24"/>
        </w:rPr>
        <w:t>client</w:t>
      </w:r>
      <w:r>
        <w:rPr>
          <w:spacing w:val="-2"/>
          <w:sz w:val="24"/>
        </w:rPr>
        <w:t> </w:t>
      </w:r>
      <w:r>
        <w:rPr>
          <w:sz w:val="24"/>
        </w:rPr>
        <w:t>to receive diagnosis, evaluation or other rehabilitation services. Authorizations for transportation will not be issued to pay the cost, or part of the cost, for any other service. </w:t>
      </w:r>
      <w:r>
        <w:rPr>
          <w:b/>
          <w:sz w:val="24"/>
        </w:rPr>
        <w:t>1</w:t>
      </w:r>
    </w:p>
    <w:p>
      <w:pPr>
        <w:pStyle w:val="ListParagraph"/>
        <w:numPr>
          <w:ilvl w:val="1"/>
          <w:numId w:val="169"/>
        </w:numPr>
        <w:tabs>
          <w:tab w:pos="1217" w:val="left" w:leader="none"/>
        </w:tabs>
        <w:spacing w:line="208" w:lineRule="auto" w:before="239" w:after="0"/>
        <w:ind w:left="791" w:right="1336" w:firstLine="0"/>
        <w:jc w:val="left"/>
        <w:rPr>
          <w:b/>
          <w:sz w:val="24"/>
        </w:rPr>
      </w:pPr>
      <w:r>
        <w:rPr>
          <w:b/>
          <w:sz w:val="24"/>
        </w:rPr>
        <w:t>Public</w:t>
      </w:r>
      <w:r>
        <w:rPr>
          <w:b/>
          <w:spacing w:val="-5"/>
          <w:sz w:val="24"/>
        </w:rPr>
        <w:t> </w:t>
      </w:r>
      <w:r>
        <w:rPr>
          <w:b/>
          <w:sz w:val="24"/>
        </w:rPr>
        <w:t>transportation.</w:t>
      </w:r>
      <w:r>
        <w:rPr>
          <w:b/>
          <w:spacing w:val="-3"/>
          <w:sz w:val="24"/>
        </w:rPr>
        <w:t> </w:t>
      </w:r>
      <w:r>
        <w:rPr>
          <w:sz w:val="24"/>
        </w:rPr>
        <w:t>The</w:t>
      </w:r>
      <w:r>
        <w:rPr>
          <w:spacing w:val="-4"/>
          <w:sz w:val="24"/>
        </w:rPr>
        <w:t> </w:t>
      </w:r>
      <w:r>
        <w:rPr>
          <w:sz w:val="24"/>
        </w:rPr>
        <w:t>authorization</w:t>
      </w:r>
      <w:r>
        <w:rPr>
          <w:spacing w:val="-4"/>
          <w:sz w:val="24"/>
        </w:rPr>
        <w:t> </w:t>
      </w:r>
      <w:r>
        <w:rPr>
          <w:sz w:val="24"/>
        </w:rPr>
        <w:t>is</w:t>
      </w:r>
      <w:r>
        <w:rPr>
          <w:spacing w:val="-4"/>
          <w:sz w:val="24"/>
        </w:rPr>
        <w:t> </w:t>
      </w:r>
      <w:r>
        <w:rPr>
          <w:sz w:val="24"/>
        </w:rPr>
        <w:t>made</w:t>
      </w:r>
      <w:r>
        <w:rPr>
          <w:spacing w:val="-4"/>
          <w:sz w:val="24"/>
        </w:rPr>
        <w:t> </w:t>
      </w:r>
      <w:r>
        <w:rPr>
          <w:sz w:val="24"/>
        </w:rPr>
        <w:t>directly</w:t>
      </w:r>
      <w:r>
        <w:rPr>
          <w:spacing w:val="-4"/>
          <w:sz w:val="24"/>
        </w:rPr>
        <w:t> </w:t>
      </w:r>
      <w:r>
        <w:rPr>
          <w:sz w:val="24"/>
        </w:rPr>
        <w:t>to</w:t>
      </w:r>
      <w:r>
        <w:rPr>
          <w:spacing w:val="-4"/>
          <w:sz w:val="24"/>
        </w:rPr>
        <w:t> </w:t>
      </w:r>
      <w:r>
        <w:rPr>
          <w:sz w:val="24"/>
        </w:rPr>
        <w:t>the</w:t>
      </w:r>
      <w:r>
        <w:rPr>
          <w:spacing w:val="-4"/>
          <w:sz w:val="24"/>
        </w:rPr>
        <w:t> </w:t>
      </w:r>
      <w:r>
        <w:rPr>
          <w:sz w:val="24"/>
        </w:rPr>
        <w:t>vendor</w:t>
      </w:r>
      <w:r>
        <w:rPr>
          <w:spacing w:val="-3"/>
          <w:sz w:val="24"/>
        </w:rPr>
        <w:t> </w:t>
      </w:r>
      <w:r>
        <w:rPr>
          <w:sz w:val="24"/>
        </w:rPr>
        <w:t>or client for actual cost. </w:t>
      </w:r>
      <w:r>
        <w:rPr>
          <w:b/>
          <w:sz w:val="24"/>
        </w:rPr>
        <w:t>2</w:t>
      </w:r>
    </w:p>
    <w:p>
      <w:pPr>
        <w:pStyle w:val="ListParagraph"/>
        <w:numPr>
          <w:ilvl w:val="1"/>
          <w:numId w:val="169"/>
        </w:numPr>
        <w:tabs>
          <w:tab w:pos="1218" w:val="left" w:leader="none"/>
        </w:tabs>
        <w:spacing w:line="208" w:lineRule="auto" w:before="240" w:after="0"/>
        <w:ind w:left="792" w:right="976" w:firstLine="0"/>
        <w:jc w:val="left"/>
        <w:rPr>
          <w:sz w:val="24"/>
        </w:rPr>
      </w:pPr>
      <w:r>
        <w:rPr>
          <w:b/>
          <w:sz w:val="24"/>
        </w:rPr>
        <w:t>Private transportation. </w:t>
      </w:r>
      <w:r>
        <w:rPr>
          <w:sz w:val="24"/>
        </w:rPr>
        <w:t>Mileage for use of a private vehicle is paid at 50% of the</w:t>
      </w:r>
      <w:r>
        <w:rPr>
          <w:spacing w:val="-4"/>
          <w:sz w:val="24"/>
        </w:rPr>
        <w:t> </w:t>
      </w:r>
      <w:r>
        <w:rPr>
          <w:sz w:val="24"/>
        </w:rPr>
        <w:t>rate</w:t>
      </w:r>
      <w:r>
        <w:rPr>
          <w:spacing w:val="-4"/>
          <w:sz w:val="24"/>
        </w:rPr>
        <w:t> </w:t>
      </w:r>
      <w:r>
        <w:rPr>
          <w:sz w:val="24"/>
        </w:rPr>
        <w:t>allowed</w:t>
      </w:r>
      <w:r>
        <w:rPr>
          <w:spacing w:val="-4"/>
          <w:sz w:val="24"/>
        </w:rPr>
        <w:t> </w:t>
      </w:r>
      <w:r>
        <w:rPr>
          <w:sz w:val="24"/>
        </w:rPr>
        <w:t>by</w:t>
      </w:r>
      <w:r>
        <w:rPr>
          <w:spacing w:val="-4"/>
          <w:sz w:val="24"/>
        </w:rPr>
        <w:t> </w:t>
      </w:r>
      <w:r>
        <w:rPr>
          <w:sz w:val="24"/>
        </w:rPr>
        <w:t>the</w:t>
      </w:r>
      <w:r>
        <w:rPr>
          <w:spacing w:val="-4"/>
          <w:sz w:val="24"/>
        </w:rPr>
        <w:t> </w:t>
      </w:r>
      <w:r>
        <w:rPr>
          <w:sz w:val="24"/>
        </w:rPr>
        <w:t>State</w:t>
      </w:r>
      <w:r>
        <w:rPr>
          <w:spacing w:val="-4"/>
          <w:sz w:val="24"/>
        </w:rPr>
        <w:t> </w:t>
      </w:r>
      <w:r>
        <w:rPr>
          <w:sz w:val="24"/>
        </w:rPr>
        <w:t>Travel</w:t>
      </w:r>
      <w:r>
        <w:rPr>
          <w:spacing w:val="-4"/>
          <w:sz w:val="24"/>
        </w:rPr>
        <w:t> </w:t>
      </w:r>
      <w:r>
        <w:rPr>
          <w:sz w:val="24"/>
        </w:rPr>
        <w:t>Reimbursement</w:t>
      </w:r>
      <w:r>
        <w:rPr>
          <w:spacing w:val="-3"/>
          <w:sz w:val="24"/>
        </w:rPr>
        <w:t> </w:t>
      </w:r>
      <w:r>
        <w:rPr>
          <w:sz w:val="24"/>
        </w:rPr>
        <w:t>Act</w:t>
      </w:r>
      <w:r>
        <w:rPr>
          <w:spacing w:val="-3"/>
          <w:sz w:val="24"/>
        </w:rPr>
        <w:t> </w:t>
      </w:r>
      <w:r>
        <w:rPr>
          <w:sz w:val="24"/>
        </w:rPr>
        <w:t>and</w:t>
      </w:r>
      <w:r>
        <w:rPr>
          <w:spacing w:val="-4"/>
          <w:sz w:val="24"/>
        </w:rPr>
        <w:t> </w:t>
      </w:r>
      <w:r>
        <w:rPr>
          <w:sz w:val="24"/>
        </w:rPr>
        <w:t>is</w:t>
      </w:r>
      <w:r>
        <w:rPr>
          <w:spacing w:val="-4"/>
          <w:sz w:val="24"/>
        </w:rPr>
        <w:t> </w:t>
      </w:r>
      <w:r>
        <w:rPr>
          <w:sz w:val="24"/>
        </w:rPr>
        <w:t>authorized</w:t>
      </w:r>
      <w:r>
        <w:rPr>
          <w:spacing w:val="-4"/>
          <w:sz w:val="24"/>
        </w:rPr>
        <w:t> </w:t>
      </w:r>
      <w:r>
        <w:rPr>
          <w:sz w:val="24"/>
        </w:rPr>
        <w:t>directly to the client. In these instances, mileage will be restricted to the most direct route and to the least possible number of trips.</w:t>
      </w:r>
    </w:p>
    <w:p>
      <w:pPr>
        <w:pStyle w:val="ListParagraph"/>
        <w:numPr>
          <w:ilvl w:val="1"/>
          <w:numId w:val="169"/>
        </w:numPr>
        <w:tabs>
          <w:tab w:pos="1218" w:val="left" w:leader="none"/>
        </w:tabs>
        <w:spacing w:line="208" w:lineRule="auto" w:before="240" w:after="0"/>
        <w:ind w:left="792" w:right="771" w:firstLine="0"/>
        <w:jc w:val="left"/>
        <w:rPr>
          <w:b/>
          <w:sz w:val="24"/>
        </w:rPr>
      </w:pPr>
      <w:r>
        <w:rPr>
          <w:b/>
          <w:sz w:val="24"/>
        </w:rPr>
        <w:t>Vehicle Repairs. </w:t>
      </w:r>
      <w:r>
        <w:rPr>
          <w:sz w:val="24"/>
        </w:rPr>
        <w:t>Vehicle repairs will only be provided if there is a clearly defined need to enable the client to participate in vocational rehabilitation. Maintaining and repairing a private vehicle is primarily the responsibility of the owner. Assistance with vehicle repair is intended for emergency situations where services have been initiated under the IPE and participation in the IPE cannot continue</w:t>
      </w:r>
      <w:r>
        <w:rPr>
          <w:spacing w:val="-4"/>
          <w:sz w:val="24"/>
        </w:rPr>
        <w:t> </w:t>
      </w:r>
      <w:r>
        <w:rPr>
          <w:sz w:val="24"/>
        </w:rPr>
        <w:t>without</w:t>
      </w:r>
      <w:r>
        <w:rPr>
          <w:spacing w:val="-3"/>
          <w:sz w:val="24"/>
        </w:rPr>
        <w:t> </w:t>
      </w:r>
      <w:r>
        <w:rPr>
          <w:sz w:val="24"/>
        </w:rPr>
        <w:t>the</w:t>
      </w:r>
      <w:r>
        <w:rPr>
          <w:spacing w:val="-4"/>
          <w:sz w:val="24"/>
        </w:rPr>
        <w:t> </w:t>
      </w:r>
      <w:r>
        <w:rPr>
          <w:sz w:val="24"/>
        </w:rPr>
        <w:t>repair.</w:t>
      </w:r>
      <w:r>
        <w:rPr>
          <w:spacing w:val="-3"/>
          <w:sz w:val="24"/>
        </w:rPr>
        <w:t> </w:t>
      </w:r>
      <w:r>
        <w:rPr>
          <w:sz w:val="24"/>
        </w:rPr>
        <w:t>The</w:t>
      </w:r>
      <w:r>
        <w:rPr>
          <w:spacing w:val="-4"/>
          <w:sz w:val="24"/>
        </w:rPr>
        <w:t> </w:t>
      </w:r>
      <w:r>
        <w:rPr>
          <w:sz w:val="24"/>
        </w:rPr>
        <w:t>cost</w:t>
      </w:r>
      <w:r>
        <w:rPr>
          <w:spacing w:val="-3"/>
          <w:sz w:val="24"/>
        </w:rPr>
        <w:t> </w:t>
      </w:r>
      <w:r>
        <w:rPr>
          <w:sz w:val="24"/>
        </w:rPr>
        <w:t>of</w:t>
      </w:r>
      <w:r>
        <w:rPr>
          <w:spacing w:val="-3"/>
          <w:sz w:val="24"/>
        </w:rPr>
        <w:t> </w:t>
      </w:r>
      <w:r>
        <w:rPr>
          <w:sz w:val="24"/>
        </w:rPr>
        <w:t>vehicle</w:t>
      </w:r>
      <w:r>
        <w:rPr>
          <w:spacing w:val="-4"/>
          <w:sz w:val="24"/>
        </w:rPr>
        <w:t> </w:t>
      </w:r>
      <w:r>
        <w:rPr>
          <w:sz w:val="24"/>
        </w:rPr>
        <w:t>repairs</w:t>
      </w:r>
      <w:r>
        <w:rPr>
          <w:spacing w:val="-4"/>
          <w:sz w:val="24"/>
        </w:rPr>
        <w:t> </w:t>
      </w:r>
      <w:r>
        <w:rPr>
          <w:sz w:val="24"/>
        </w:rPr>
        <w:t>will</w:t>
      </w:r>
      <w:r>
        <w:rPr>
          <w:spacing w:val="-4"/>
          <w:sz w:val="24"/>
        </w:rPr>
        <w:t> </w:t>
      </w:r>
      <w:r>
        <w:rPr>
          <w:sz w:val="24"/>
        </w:rPr>
        <w:t>not</w:t>
      </w:r>
      <w:r>
        <w:rPr>
          <w:spacing w:val="-3"/>
          <w:sz w:val="24"/>
        </w:rPr>
        <w:t> </w:t>
      </w:r>
      <w:r>
        <w:rPr>
          <w:sz w:val="24"/>
        </w:rPr>
        <w:t>exceed</w:t>
      </w:r>
      <w:r>
        <w:rPr>
          <w:spacing w:val="-4"/>
          <w:sz w:val="24"/>
        </w:rPr>
        <w:t> </w:t>
      </w:r>
      <w:r>
        <w:rPr>
          <w:sz w:val="24"/>
        </w:rPr>
        <w:t>$1,000.00</w:t>
      </w:r>
      <w:r>
        <w:rPr>
          <w:spacing w:val="-4"/>
          <w:sz w:val="24"/>
        </w:rPr>
        <w:t> </w:t>
      </w:r>
      <w:r>
        <w:rPr>
          <w:sz w:val="24"/>
        </w:rPr>
        <w:t>for the life of the case unless approved by the appropriate program manager. </w:t>
      </w:r>
      <w:r>
        <w:rPr>
          <w:b/>
          <w:sz w:val="24"/>
        </w:rPr>
        <w:t>3, 4</w:t>
      </w:r>
    </w:p>
    <w:p>
      <w:pPr>
        <w:pStyle w:val="ListParagraph"/>
        <w:numPr>
          <w:ilvl w:val="1"/>
          <w:numId w:val="169"/>
        </w:numPr>
        <w:tabs>
          <w:tab w:pos="1217" w:val="left" w:leader="none"/>
        </w:tabs>
        <w:spacing w:line="208" w:lineRule="auto" w:before="239" w:after="0"/>
        <w:ind w:left="792" w:right="732" w:firstLine="0"/>
        <w:jc w:val="left"/>
        <w:rPr>
          <w:b/>
          <w:sz w:val="24"/>
        </w:rPr>
      </w:pPr>
      <w:r>
        <w:rPr>
          <w:b/>
          <w:sz w:val="24"/>
        </w:rPr>
        <w:t>Out-of-state/air transportation. </w:t>
      </w:r>
      <w:r>
        <w:rPr>
          <w:sz w:val="24"/>
        </w:rPr>
        <w:t>Transportation by airplane or out of state</w:t>
      </w:r>
      <w:r>
        <w:rPr>
          <w:spacing w:val="40"/>
          <w:sz w:val="24"/>
        </w:rPr>
        <w:t> </w:t>
      </w:r>
      <w:r>
        <w:rPr>
          <w:sz w:val="24"/>
        </w:rPr>
        <w:t>travel</w:t>
      </w:r>
      <w:r>
        <w:rPr>
          <w:spacing w:val="-3"/>
          <w:sz w:val="24"/>
        </w:rPr>
        <w:t> </w:t>
      </w:r>
      <w:r>
        <w:rPr>
          <w:sz w:val="24"/>
        </w:rPr>
        <w:t>may</w:t>
      </w:r>
      <w:r>
        <w:rPr>
          <w:spacing w:val="-4"/>
          <w:sz w:val="24"/>
        </w:rPr>
        <w:t> </w:t>
      </w:r>
      <w:r>
        <w:rPr>
          <w:sz w:val="24"/>
        </w:rPr>
        <w:t>be</w:t>
      </w:r>
      <w:r>
        <w:rPr>
          <w:spacing w:val="-3"/>
          <w:sz w:val="24"/>
        </w:rPr>
        <w:t> </w:t>
      </w:r>
      <w:r>
        <w:rPr>
          <w:sz w:val="24"/>
        </w:rPr>
        <w:t>provided</w:t>
      </w:r>
      <w:r>
        <w:rPr>
          <w:spacing w:val="-3"/>
          <w:sz w:val="24"/>
        </w:rPr>
        <w:t> </w:t>
      </w:r>
      <w:r>
        <w:rPr>
          <w:sz w:val="24"/>
        </w:rPr>
        <w:t>to</w:t>
      </w:r>
      <w:r>
        <w:rPr>
          <w:spacing w:val="-3"/>
          <w:sz w:val="24"/>
        </w:rPr>
        <w:t> </w:t>
      </w:r>
      <w:r>
        <w:rPr>
          <w:sz w:val="24"/>
        </w:rPr>
        <w:t>allow</w:t>
      </w:r>
      <w:r>
        <w:rPr>
          <w:spacing w:val="-3"/>
          <w:sz w:val="24"/>
        </w:rPr>
        <w:t> </w:t>
      </w:r>
      <w:r>
        <w:rPr>
          <w:sz w:val="24"/>
        </w:rPr>
        <w:t>a</w:t>
      </w:r>
      <w:r>
        <w:rPr>
          <w:spacing w:val="-2"/>
          <w:sz w:val="24"/>
        </w:rPr>
        <w:t> </w:t>
      </w:r>
      <w:r>
        <w:rPr>
          <w:sz w:val="24"/>
        </w:rPr>
        <w:t>client</w:t>
      </w:r>
      <w:r>
        <w:rPr>
          <w:spacing w:val="-2"/>
          <w:sz w:val="24"/>
        </w:rPr>
        <w:t> </w:t>
      </w:r>
      <w:r>
        <w:rPr>
          <w:sz w:val="24"/>
        </w:rPr>
        <w:t>to</w:t>
      </w:r>
      <w:r>
        <w:rPr>
          <w:spacing w:val="-3"/>
          <w:sz w:val="24"/>
        </w:rPr>
        <w:t> </w:t>
      </w:r>
      <w:r>
        <w:rPr>
          <w:sz w:val="24"/>
        </w:rPr>
        <w:t>receive</w:t>
      </w:r>
      <w:r>
        <w:rPr>
          <w:spacing w:val="-3"/>
          <w:sz w:val="24"/>
        </w:rPr>
        <w:t> </w:t>
      </w:r>
      <w:r>
        <w:rPr>
          <w:sz w:val="24"/>
        </w:rPr>
        <w:t>services</w:t>
      </w:r>
      <w:r>
        <w:rPr>
          <w:spacing w:val="-3"/>
          <w:sz w:val="24"/>
        </w:rPr>
        <w:t> </w:t>
      </w:r>
      <w:r>
        <w:rPr>
          <w:sz w:val="24"/>
        </w:rPr>
        <w:t>not</w:t>
      </w:r>
      <w:r>
        <w:rPr>
          <w:spacing w:val="-2"/>
          <w:sz w:val="24"/>
        </w:rPr>
        <w:t> </w:t>
      </w:r>
      <w:r>
        <w:rPr>
          <w:sz w:val="24"/>
        </w:rPr>
        <w:t>available</w:t>
      </w:r>
      <w:r>
        <w:rPr>
          <w:spacing w:val="-3"/>
          <w:sz w:val="24"/>
        </w:rPr>
        <w:t> </w:t>
      </w:r>
      <w:r>
        <w:rPr>
          <w:sz w:val="24"/>
        </w:rPr>
        <w:t>in</w:t>
      </w:r>
      <w:r>
        <w:rPr>
          <w:spacing w:val="-3"/>
          <w:sz w:val="24"/>
        </w:rPr>
        <w:t> </w:t>
      </w:r>
      <w:r>
        <w:rPr>
          <w:sz w:val="24"/>
        </w:rPr>
        <w:t>the</w:t>
      </w:r>
      <w:r>
        <w:rPr>
          <w:spacing w:val="-2"/>
          <w:sz w:val="24"/>
        </w:rPr>
        <w:t> </w:t>
      </w:r>
      <w:r>
        <w:rPr>
          <w:sz w:val="24"/>
        </w:rPr>
        <w:t>state. Transportation may also be provided for a client to seek employment out of state provided the counselor has written documentation that the significance of the disability, or the nature of the vocational objective, makes in-state placement unusually difficult. </w:t>
      </w:r>
      <w:r>
        <w:rPr>
          <w:b/>
          <w:sz w:val="24"/>
        </w:rPr>
        <w:t>5</w:t>
      </w:r>
    </w:p>
    <w:p>
      <w:pPr>
        <w:pStyle w:val="ListParagraph"/>
        <w:numPr>
          <w:ilvl w:val="1"/>
          <w:numId w:val="169"/>
        </w:numPr>
        <w:tabs>
          <w:tab w:pos="1217" w:val="left" w:leader="none"/>
        </w:tabs>
        <w:spacing w:line="208" w:lineRule="auto" w:before="239" w:after="0"/>
        <w:ind w:left="792" w:right="937" w:firstLine="0"/>
        <w:jc w:val="left"/>
        <w:rPr>
          <w:sz w:val="24"/>
        </w:rPr>
      </w:pPr>
      <w:r>
        <w:rPr>
          <w:b/>
          <w:sz w:val="24"/>
        </w:rPr>
        <w:t>Transportation</w:t>
      </w:r>
      <w:r>
        <w:rPr>
          <w:b/>
          <w:spacing w:val="-5"/>
          <w:sz w:val="24"/>
        </w:rPr>
        <w:t> </w:t>
      </w:r>
      <w:r>
        <w:rPr>
          <w:b/>
          <w:sz w:val="24"/>
        </w:rPr>
        <w:t>for</w:t>
      </w:r>
      <w:r>
        <w:rPr>
          <w:b/>
          <w:spacing w:val="-4"/>
          <w:sz w:val="24"/>
        </w:rPr>
        <w:t> </w:t>
      </w:r>
      <w:r>
        <w:rPr>
          <w:b/>
          <w:sz w:val="24"/>
        </w:rPr>
        <w:t>an</w:t>
      </w:r>
      <w:r>
        <w:rPr>
          <w:b/>
          <w:spacing w:val="-4"/>
          <w:sz w:val="24"/>
        </w:rPr>
        <w:t> </w:t>
      </w:r>
      <w:r>
        <w:rPr>
          <w:b/>
          <w:sz w:val="24"/>
        </w:rPr>
        <w:t>attendant.</w:t>
      </w:r>
      <w:r>
        <w:rPr>
          <w:b/>
          <w:spacing w:val="-4"/>
          <w:sz w:val="24"/>
        </w:rPr>
        <w:t> </w:t>
      </w:r>
      <w:r>
        <w:rPr>
          <w:sz w:val="24"/>
        </w:rPr>
        <w:t>Transportation</w:t>
      </w:r>
      <w:r>
        <w:rPr>
          <w:spacing w:val="-4"/>
          <w:sz w:val="24"/>
        </w:rPr>
        <w:t> </w:t>
      </w:r>
      <w:r>
        <w:rPr>
          <w:sz w:val="24"/>
        </w:rPr>
        <w:t>may</w:t>
      </w:r>
      <w:r>
        <w:rPr>
          <w:spacing w:val="-4"/>
          <w:sz w:val="24"/>
        </w:rPr>
        <w:t> </w:t>
      </w:r>
      <w:r>
        <w:rPr>
          <w:sz w:val="24"/>
        </w:rPr>
        <w:t>also</w:t>
      </w:r>
      <w:r>
        <w:rPr>
          <w:spacing w:val="-4"/>
          <w:sz w:val="24"/>
        </w:rPr>
        <w:t> </w:t>
      </w:r>
      <w:r>
        <w:rPr>
          <w:sz w:val="24"/>
        </w:rPr>
        <w:t>include</w:t>
      </w:r>
      <w:r>
        <w:rPr>
          <w:spacing w:val="-4"/>
          <w:sz w:val="24"/>
        </w:rPr>
        <w:t> </w:t>
      </w:r>
      <w:r>
        <w:rPr>
          <w:sz w:val="24"/>
        </w:rPr>
        <w:t>the</w:t>
      </w:r>
      <w:r>
        <w:rPr>
          <w:spacing w:val="-4"/>
          <w:sz w:val="24"/>
        </w:rPr>
        <w:t> </w:t>
      </w:r>
      <w:r>
        <w:rPr>
          <w:sz w:val="24"/>
        </w:rPr>
        <w:t>cost</w:t>
      </w:r>
      <w:r>
        <w:rPr>
          <w:spacing w:val="-3"/>
          <w:sz w:val="24"/>
        </w:rPr>
        <w:t> </w:t>
      </w:r>
      <w:r>
        <w:rPr>
          <w:sz w:val="24"/>
        </w:rPr>
        <w:t>of travel for an attendant of an individual with a significant disability. Subsistence will be paid at the rates established by the State and described in OAC 340:2-1. The counselor will have an agreement with the client regarding allowable expenses before the trip is made.</w:t>
      </w:r>
    </w:p>
    <w:p>
      <w:pPr>
        <w:pStyle w:val="ListParagraph"/>
        <w:numPr>
          <w:ilvl w:val="1"/>
          <w:numId w:val="169"/>
        </w:numPr>
        <w:tabs>
          <w:tab w:pos="1150" w:val="left" w:leader="none"/>
        </w:tabs>
        <w:spacing w:line="208" w:lineRule="auto" w:before="240" w:after="0"/>
        <w:ind w:left="792" w:right="893" w:firstLine="0"/>
        <w:jc w:val="left"/>
        <w:rPr>
          <w:sz w:val="24"/>
        </w:rPr>
      </w:pPr>
      <w:r>
        <w:rPr>
          <w:b/>
          <w:sz w:val="24"/>
        </w:rPr>
        <w:t>Training for use of public transportation. </w:t>
      </w:r>
      <w:r>
        <w:rPr>
          <w:sz w:val="24"/>
        </w:rPr>
        <w:t>When expertise is not available within</w:t>
      </w:r>
      <w:r>
        <w:rPr>
          <w:spacing w:val="-4"/>
          <w:sz w:val="24"/>
        </w:rPr>
        <w:t> </w:t>
      </w:r>
      <w:r>
        <w:rPr>
          <w:sz w:val="24"/>
        </w:rPr>
        <w:t>the</w:t>
      </w:r>
      <w:r>
        <w:rPr>
          <w:spacing w:val="-4"/>
          <w:sz w:val="24"/>
        </w:rPr>
        <w:t> </w:t>
      </w:r>
      <w:r>
        <w:rPr>
          <w:sz w:val="24"/>
        </w:rPr>
        <w:t>agency</w:t>
      </w:r>
      <w:r>
        <w:rPr>
          <w:spacing w:val="-4"/>
          <w:sz w:val="24"/>
        </w:rPr>
        <w:t> </w:t>
      </w:r>
      <w:r>
        <w:rPr>
          <w:sz w:val="24"/>
        </w:rPr>
        <w:t>or</w:t>
      </w:r>
      <w:r>
        <w:rPr>
          <w:spacing w:val="-3"/>
          <w:sz w:val="24"/>
        </w:rPr>
        <w:t> </w:t>
      </w:r>
      <w:r>
        <w:rPr>
          <w:sz w:val="24"/>
        </w:rPr>
        <w:t>community</w:t>
      </w:r>
      <w:r>
        <w:rPr>
          <w:spacing w:val="-4"/>
          <w:sz w:val="24"/>
        </w:rPr>
        <w:t> </w:t>
      </w:r>
      <w:r>
        <w:rPr>
          <w:sz w:val="24"/>
        </w:rPr>
        <w:t>to</w:t>
      </w:r>
      <w:r>
        <w:rPr>
          <w:spacing w:val="-4"/>
          <w:sz w:val="24"/>
        </w:rPr>
        <w:t> </w:t>
      </w:r>
      <w:r>
        <w:rPr>
          <w:sz w:val="24"/>
        </w:rPr>
        <w:t>provide</w:t>
      </w:r>
      <w:r>
        <w:rPr>
          <w:spacing w:val="-4"/>
          <w:sz w:val="24"/>
        </w:rPr>
        <w:t> </w:t>
      </w:r>
      <w:r>
        <w:rPr>
          <w:sz w:val="24"/>
        </w:rPr>
        <w:t>effective</w:t>
      </w:r>
      <w:r>
        <w:rPr>
          <w:spacing w:val="-4"/>
          <w:sz w:val="24"/>
        </w:rPr>
        <w:t> </w:t>
      </w:r>
      <w:r>
        <w:rPr>
          <w:sz w:val="24"/>
        </w:rPr>
        <w:t>training</w:t>
      </w:r>
      <w:r>
        <w:rPr>
          <w:spacing w:val="-4"/>
          <w:sz w:val="24"/>
        </w:rPr>
        <w:t> </w:t>
      </w:r>
      <w:r>
        <w:rPr>
          <w:sz w:val="24"/>
        </w:rPr>
        <w:t>in</w:t>
      </w:r>
      <w:r>
        <w:rPr>
          <w:spacing w:val="-4"/>
          <w:sz w:val="24"/>
        </w:rPr>
        <w:t> </w:t>
      </w:r>
      <w:r>
        <w:rPr>
          <w:sz w:val="24"/>
        </w:rPr>
        <w:t>use</w:t>
      </w:r>
      <w:r>
        <w:rPr>
          <w:spacing w:val="-3"/>
          <w:sz w:val="24"/>
        </w:rPr>
        <w:t> </w:t>
      </w:r>
      <w:r>
        <w:rPr>
          <w:sz w:val="24"/>
        </w:rPr>
        <w:t>of</w:t>
      </w:r>
      <w:r>
        <w:rPr>
          <w:spacing w:val="-3"/>
          <w:sz w:val="24"/>
        </w:rPr>
        <w:t> </w:t>
      </w:r>
      <w:r>
        <w:rPr>
          <w:sz w:val="24"/>
        </w:rPr>
        <w:t>public</w:t>
      </w:r>
      <w:r>
        <w:rPr>
          <w:spacing w:val="-4"/>
          <w:sz w:val="24"/>
        </w:rPr>
        <w:t> </w:t>
      </w:r>
      <w:r>
        <w:rPr>
          <w:sz w:val="24"/>
        </w:rPr>
        <w:t>transit, the service may be purchased, with authorization made directly to the vendor or client for actual cost.</w:t>
      </w:r>
    </w:p>
    <w:p>
      <w:pPr>
        <w:pStyle w:val="ListParagraph"/>
        <w:numPr>
          <w:ilvl w:val="0"/>
          <w:numId w:val="169"/>
        </w:numPr>
        <w:tabs>
          <w:tab w:pos="786" w:val="left" w:leader="none"/>
        </w:tabs>
        <w:spacing w:line="240" w:lineRule="auto" w:before="210" w:after="0"/>
        <w:ind w:left="786" w:right="0" w:hanging="426"/>
        <w:jc w:val="left"/>
        <w:rPr>
          <w:sz w:val="24"/>
        </w:rPr>
      </w:pPr>
      <w:r>
        <w:rPr>
          <w:sz w:val="24"/>
        </w:rPr>
        <w:t>Case</w:t>
      </w:r>
      <w:r>
        <w:rPr>
          <w:spacing w:val="-2"/>
          <w:sz w:val="24"/>
        </w:rPr>
        <w:t> Recording.</w:t>
      </w:r>
    </w:p>
    <w:p>
      <w:pPr>
        <w:pStyle w:val="ListParagraph"/>
        <w:numPr>
          <w:ilvl w:val="1"/>
          <w:numId w:val="169"/>
        </w:numPr>
        <w:tabs>
          <w:tab w:pos="1236" w:val="left" w:leader="none"/>
        </w:tabs>
        <w:spacing w:line="208" w:lineRule="auto" w:before="234" w:after="0"/>
        <w:ind w:left="810" w:right="1397" w:firstLine="0"/>
        <w:jc w:val="left"/>
        <w:rPr>
          <w:sz w:val="24"/>
        </w:rPr>
      </w:pPr>
      <w:r>
        <w:rPr>
          <w:sz w:val="24"/>
        </w:rPr>
        <w:t>Case</w:t>
      </w:r>
      <w:r>
        <w:rPr>
          <w:spacing w:val="-5"/>
          <w:sz w:val="24"/>
        </w:rPr>
        <w:t> </w:t>
      </w:r>
      <w:r>
        <w:rPr>
          <w:sz w:val="24"/>
        </w:rPr>
        <w:t>narrative</w:t>
      </w:r>
      <w:r>
        <w:rPr>
          <w:spacing w:val="-5"/>
          <w:sz w:val="24"/>
        </w:rPr>
        <w:t> </w:t>
      </w:r>
      <w:r>
        <w:rPr>
          <w:sz w:val="24"/>
        </w:rPr>
        <w:t>documentation</w:t>
      </w:r>
      <w:r>
        <w:rPr>
          <w:spacing w:val="-5"/>
          <w:sz w:val="24"/>
        </w:rPr>
        <w:t> </w:t>
      </w:r>
      <w:r>
        <w:rPr>
          <w:sz w:val="24"/>
        </w:rPr>
        <w:t>is</w:t>
      </w:r>
      <w:r>
        <w:rPr>
          <w:spacing w:val="-5"/>
          <w:sz w:val="24"/>
        </w:rPr>
        <w:t> </w:t>
      </w:r>
      <w:r>
        <w:rPr>
          <w:sz w:val="24"/>
        </w:rPr>
        <w:t>required</w:t>
      </w:r>
      <w:r>
        <w:rPr>
          <w:spacing w:val="-5"/>
          <w:sz w:val="24"/>
        </w:rPr>
        <w:t> </w:t>
      </w:r>
      <w:r>
        <w:rPr>
          <w:sz w:val="24"/>
        </w:rPr>
        <w:t>explaining</w:t>
      </w:r>
      <w:r>
        <w:rPr>
          <w:spacing w:val="-5"/>
          <w:sz w:val="24"/>
        </w:rPr>
        <w:t> </w:t>
      </w:r>
      <w:r>
        <w:rPr>
          <w:sz w:val="24"/>
        </w:rPr>
        <w:t>how</w:t>
      </w:r>
      <w:r>
        <w:rPr>
          <w:spacing w:val="-5"/>
          <w:sz w:val="24"/>
        </w:rPr>
        <w:t> </w:t>
      </w:r>
      <w:r>
        <w:rPr>
          <w:sz w:val="24"/>
        </w:rPr>
        <w:t>the</w:t>
      </w:r>
      <w:r>
        <w:rPr>
          <w:spacing w:val="-5"/>
          <w:sz w:val="24"/>
        </w:rPr>
        <w:t> </w:t>
      </w:r>
      <w:r>
        <w:rPr>
          <w:sz w:val="24"/>
        </w:rPr>
        <w:t>amount</w:t>
      </w:r>
      <w:r>
        <w:rPr>
          <w:spacing w:val="-4"/>
          <w:sz w:val="24"/>
        </w:rPr>
        <w:t> </w:t>
      </w:r>
      <w:r>
        <w:rPr>
          <w:sz w:val="24"/>
        </w:rPr>
        <w:t>was </w:t>
      </w:r>
      <w:r>
        <w:rPr>
          <w:spacing w:val="-2"/>
          <w:sz w:val="24"/>
        </w:rPr>
        <w:t>determined.</w:t>
      </w:r>
    </w:p>
    <w:p>
      <w:pPr>
        <w:pStyle w:val="ListParagraph"/>
        <w:numPr>
          <w:ilvl w:val="1"/>
          <w:numId w:val="169"/>
        </w:numPr>
        <w:tabs>
          <w:tab w:pos="1236" w:val="left" w:leader="none"/>
        </w:tabs>
        <w:spacing w:line="208" w:lineRule="auto" w:before="239" w:after="0"/>
        <w:ind w:left="810" w:right="904" w:firstLine="0"/>
        <w:jc w:val="left"/>
        <w:rPr>
          <w:sz w:val="24"/>
        </w:rPr>
      </w:pPr>
      <w:r>
        <w:rPr>
          <w:sz w:val="24"/>
        </w:rPr>
        <w:t>Documentation as appropriate that the significance of the disability, or the nature</w:t>
      </w:r>
      <w:r>
        <w:rPr>
          <w:spacing w:val="-5"/>
          <w:sz w:val="24"/>
        </w:rPr>
        <w:t> </w:t>
      </w:r>
      <w:r>
        <w:rPr>
          <w:sz w:val="24"/>
        </w:rPr>
        <w:t>of</w:t>
      </w:r>
      <w:r>
        <w:rPr>
          <w:spacing w:val="-4"/>
          <w:sz w:val="24"/>
        </w:rPr>
        <w:t> </w:t>
      </w:r>
      <w:r>
        <w:rPr>
          <w:sz w:val="24"/>
        </w:rPr>
        <w:t>the</w:t>
      </w:r>
      <w:r>
        <w:rPr>
          <w:spacing w:val="-5"/>
          <w:sz w:val="24"/>
        </w:rPr>
        <w:t> </w:t>
      </w:r>
      <w:r>
        <w:rPr>
          <w:sz w:val="24"/>
        </w:rPr>
        <w:t>vocational</w:t>
      </w:r>
      <w:r>
        <w:rPr>
          <w:spacing w:val="-5"/>
          <w:sz w:val="24"/>
        </w:rPr>
        <w:t> </w:t>
      </w:r>
      <w:r>
        <w:rPr>
          <w:sz w:val="24"/>
        </w:rPr>
        <w:t>objective,</w:t>
      </w:r>
      <w:r>
        <w:rPr>
          <w:spacing w:val="-4"/>
          <w:sz w:val="24"/>
        </w:rPr>
        <w:t> </w:t>
      </w:r>
      <w:r>
        <w:rPr>
          <w:sz w:val="24"/>
        </w:rPr>
        <w:t>makes</w:t>
      </w:r>
      <w:r>
        <w:rPr>
          <w:spacing w:val="-5"/>
          <w:sz w:val="24"/>
        </w:rPr>
        <w:t> </w:t>
      </w:r>
      <w:r>
        <w:rPr>
          <w:sz w:val="24"/>
        </w:rPr>
        <w:t>in-state</w:t>
      </w:r>
      <w:r>
        <w:rPr>
          <w:spacing w:val="-5"/>
          <w:sz w:val="24"/>
        </w:rPr>
        <w:t> </w:t>
      </w:r>
      <w:r>
        <w:rPr>
          <w:sz w:val="24"/>
        </w:rPr>
        <w:t>job</w:t>
      </w:r>
      <w:r>
        <w:rPr>
          <w:spacing w:val="-5"/>
          <w:sz w:val="24"/>
        </w:rPr>
        <w:t> </w:t>
      </w:r>
      <w:r>
        <w:rPr>
          <w:sz w:val="24"/>
        </w:rPr>
        <w:t>placement</w:t>
      </w:r>
      <w:r>
        <w:rPr>
          <w:spacing w:val="-4"/>
          <w:sz w:val="24"/>
        </w:rPr>
        <w:t> </w:t>
      </w:r>
      <w:r>
        <w:rPr>
          <w:sz w:val="24"/>
        </w:rPr>
        <w:t>unusually</w:t>
      </w:r>
      <w:r>
        <w:rPr>
          <w:spacing w:val="-5"/>
          <w:sz w:val="24"/>
        </w:rPr>
        <w:t> </w:t>
      </w:r>
      <w:r>
        <w:rPr>
          <w:sz w:val="24"/>
        </w:rPr>
        <w:t>difficult.</w:t>
      </w:r>
    </w:p>
    <w:p>
      <w:pPr>
        <w:pStyle w:val="ListParagraph"/>
        <w:numPr>
          <w:ilvl w:val="1"/>
          <w:numId w:val="169"/>
        </w:numPr>
        <w:tabs>
          <w:tab w:pos="1236" w:val="left" w:leader="none"/>
        </w:tabs>
        <w:spacing w:line="208" w:lineRule="auto" w:before="240" w:after="0"/>
        <w:ind w:left="810" w:right="864" w:firstLine="0"/>
        <w:jc w:val="left"/>
        <w:rPr>
          <w:sz w:val="24"/>
        </w:rPr>
      </w:pPr>
      <w:r>
        <w:rPr>
          <w:sz w:val="24"/>
        </w:rPr>
        <w:t>Documentation of the agreement made between the counselor and the client regarding</w:t>
      </w:r>
      <w:r>
        <w:rPr>
          <w:spacing w:val="-3"/>
          <w:sz w:val="24"/>
        </w:rPr>
        <w:t> </w:t>
      </w:r>
      <w:r>
        <w:rPr>
          <w:sz w:val="24"/>
        </w:rPr>
        <w:t>the</w:t>
      </w:r>
      <w:r>
        <w:rPr>
          <w:spacing w:val="-3"/>
          <w:sz w:val="24"/>
        </w:rPr>
        <w:t> </w:t>
      </w:r>
      <w:r>
        <w:rPr>
          <w:sz w:val="24"/>
        </w:rPr>
        <w:t>cost</w:t>
      </w:r>
      <w:r>
        <w:rPr>
          <w:spacing w:val="-3"/>
          <w:sz w:val="24"/>
        </w:rPr>
        <w:t> </w:t>
      </w:r>
      <w:r>
        <w:rPr>
          <w:sz w:val="24"/>
        </w:rPr>
        <w:t>of</w:t>
      </w:r>
      <w:r>
        <w:rPr>
          <w:spacing w:val="-4"/>
          <w:sz w:val="24"/>
        </w:rPr>
        <w:t> </w:t>
      </w:r>
      <w:r>
        <w:rPr>
          <w:sz w:val="24"/>
        </w:rPr>
        <w:t>travel</w:t>
      </w:r>
      <w:r>
        <w:rPr>
          <w:spacing w:val="-3"/>
          <w:sz w:val="24"/>
        </w:rPr>
        <w:t> </w:t>
      </w:r>
      <w:r>
        <w:rPr>
          <w:sz w:val="24"/>
        </w:rPr>
        <w:t>for</w:t>
      </w:r>
      <w:r>
        <w:rPr>
          <w:spacing w:val="-3"/>
          <w:sz w:val="24"/>
        </w:rPr>
        <w:t> </w:t>
      </w:r>
      <w:r>
        <w:rPr>
          <w:sz w:val="24"/>
        </w:rPr>
        <w:t>an</w:t>
      </w:r>
      <w:r>
        <w:rPr>
          <w:spacing w:val="-4"/>
          <w:sz w:val="24"/>
        </w:rPr>
        <w:t> </w:t>
      </w:r>
      <w:r>
        <w:rPr>
          <w:sz w:val="24"/>
        </w:rPr>
        <w:t>attendant</w:t>
      </w:r>
      <w:r>
        <w:rPr>
          <w:spacing w:val="-4"/>
          <w:sz w:val="24"/>
        </w:rPr>
        <w:t> </w:t>
      </w:r>
      <w:r>
        <w:rPr>
          <w:sz w:val="24"/>
        </w:rPr>
        <w:t>and</w:t>
      </w:r>
      <w:r>
        <w:rPr>
          <w:spacing w:val="-3"/>
          <w:sz w:val="24"/>
        </w:rPr>
        <w:t> </w:t>
      </w:r>
      <w:r>
        <w:rPr>
          <w:sz w:val="24"/>
        </w:rPr>
        <w:t>allowable</w:t>
      </w:r>
      <w:r>
        <w:rPr>
          <w:spacing w:val="-3"/>
          <w:sz w:val="24"/>
        </w:rPr>
        <w:t> </w:t>
      </w:r>
      <w:r>
        <w:rPr>
          <w:sz w:val="24"/>
        </w:rPr>
        <w:t>expenses</w:t>
      </w:r>
      <w:r>
        <w:rPr>
          <w:spacing w:val="-3"/>
          <w:sz w:val="24"/>
        </w:rPr>
        <w:t> </w:t>
      </w:r>
      <w:r>
        <w:rPr>
          <w:sz w:val="24"/>
        </w:rPr>
        <w:t>before</w:t>
      </w:r>
      <w:r>
        <w:rPr>
          <w:spacing w:val="-3"/>
          <w:sz w:val="24"/>
        </w:rPr>
        <w:t> </w:t>
      </w:r>
      <w:r>
        <w:rPr>
          <w:sz w:val="24"/>
        </w:rPr>
        <w:t>the</w:t>
      </w:r>
      <w:r>
        <w:rPr>
          <w:spacing w:val="-3"/>
          <w:sz w:val="24"/>
        </w:rPr>
        <w:t> </w:t>
      </w:r>
      <w:r>
        <w:rPr>
          <w:sz w:val="24"/>
        </w:rPr>
        <w:t>trip is made.</w:t>
      </w:r>
    </w:p>
    <w:p>
      <w:pPr>
        <w:pStyle w:val="ListParagraph"/>
        <w:spacing w:after="0" w:line="208" w:lineRule="auto"/>
        <w:jc w:val="left"/>
        <w:rPr>
          <w:sz w:val="24"/>
        </w:rPr>
        <w:sectPr>
          <w:pgSz w:w="12240" w:h="15840"/>
          <w:pgMar w:top="1340" w:bottom="280" w:left="1080" w:right="720"/>
        </w:sectPr>
      </w:pPr>
    </w:p>
    <w:p>
      <w:pPr>
        <w:pStyle w:val="ListParagraph"/>
        <w:numPr>
          <w:ilvl w:val="1"/>
          <w:numId w:val="169"/>
        </w:numPr>
        <w:tabs>
          <w:tab w:pos="1236" w:val="left" w:leader="none"/>
        </w:tabs>
        <w:spacing w:line="208" w:lineRule="auto" w:before="96" w:after="0"/>
        <w:ind w:left="810" w:right="876" w:firstLine="0"/>
        <w:jc w:val="left"/>
        <w:rPr>
          <w:sz w:val="24"/>
        </w:rPr>
      </w:pPr>
      <w:r>
        <w:rPr>
          <w:sz w:val="24"/>
        </w:rPr>
        <w:t>The</w:t>
      </w:r>
      <w:r>
        <w:rPr>
          <w:spacing w:val="-5"/>
          <w:sz w:val="24"/>
        </w:rPr>
        <w:t> </w:t>
      </w:r>
      <w:r>
        <w:rPr>
          <w:sz w:val="24"/>
        </w:rPr>
        <w:t>justification</w:t>
      </w:r>
      <w:r>
        <w:rPr>
          <w:spacing w:val="-5"/>
          <w:sz w:val="24"/>
        </w:rPr>
        <w:t> </w:t>
      </w:r>
      <w:r>
        <w:rPr>
          <w:sz w:val="24"/>
        </w:rPr>
        <w:t>for</w:t>
      </w:r>
      <w:r>
        <w:rPr>
          <w:spacing w:val="-4"/>
          <w:sz w:val="24"/>
        </w:rPr>
        <w:t> </w:t>
      </w:r>
      <w:r>
        <w:rPr>
          <w:sz w:val="24"/>
        </w:rPr>
        <w:t>providing</w:t>
      </w:r>
      <w:r>
        <w:rPr>
          <w:spacing w:val="-5"/>
          <w:sz w:val="24"/>
        </w:rPr>
        <w:t> </w:t>
      </w:r>
      <w:r>
        <w:rPr>
          <w:sz w:val="24"/>
        </w:rPr>
        <w:t>transportation,</w:t>
      </w:r>
      <w:r>
        <w:rPr>
          <w:spacing w:val="-4"/>
          <w:sz w:val="24"/>
        </w:rPr>
        <w:t> </w:t>
      </w:r>
      <w:r>
        <w:rPr>
          <w:sz w:val="24"/>
        </w:rPr>
        <w:t>the</w:t>
      </w:r>
      <w:r>
        <w:rPr>
          <w:spacing w:val="-5"/>
          <w:sz w:val="24"/>
        </w:rPr>
        <w:t> </w:t>
      </w:r>
      <w:r>
        <w:rPr>
          <w:sz w:val="24"/>
        </w:rPr>
        <w:t>amount</w:t>
      </w:r>
      <w:r>
        <w:rPr>
          <w:spacing w:val="-4"/>
          <w:sz w:val="24"/>
        </w:rPr>
        <w:t> </w:t>
      </w:r>
      <w:r>
        <w:rPr>
          <w:sz w:val="24"/>
        </w:rPr>
        <w:t>of</w:t>
      </w:r>
      <w:r>
        <w:rPr>
          <w:spacing w:val="-4"/>
          <w:sz w:val="24"/>
        </w:rPr>
        <w:t> </w:t>
      </w:r>
      <w:r>
        <w:rPr>
          <w:sz w:val="24"/>
        </w:rPr>
        <w:t>transportation</w:t>
      </w:r>
      <w:r>
        <w:rPr>
          <w:spacing w:val="-5"/>
          <w:sz w:val="24"/>
        </w:rPr>
        <w:t> </w:t>
      </w:r>
      <w:r>
        <w:rPr>
          <w:sz w:val="24"/>
        </w:rPr>
        <w:t>to</w:t>
      </w:r>
      <w:r>
        <w:rPr>
          <w:spacing w:val="-5"/>
          <w:sz w:val="24"/>
        </w:rPr>
        <w:t> </w:t>
      </w:r>
      <w:r>
        <w:rPr>
          <w:sz w:val="24"/>
        </w:rPr>
        <w:t>be provided and time span will be documented in the record of service.</w:t>
      </w:r>
    </w:p>
    <w:p>
      <w:pPr>
        <w:pStyle w:val="BodyText"/>
        <w:spacing w:before="210"/>
        <w:ind w:left="810"/>
      </w:pPr>
      <w:r>
        <w:rPr/>
        <w:t>INSTRUCTIONS</w:t>
      </w:r>
      <w:r>
        <w:rPr>
          <w:spacing w:val="-3"/>
        </w:rPr>
        <w:t> </w:t>
      </w:r>
      <w:r>
        <w:rPr/>
        <w:t>TO</w:t>
      </w:r>
      <w:r>
        <w:rPr>
          <w:spacing w:val="-2"/>
        </w:rPr>
        <w:t> </w:t>
      </w:r>
      <w:r>
        <w:rPr>
          <w:spacing w:val="-4"/>
        </w:rPr>
        <w:t>STAFF</w:t>
      </w:r>
    </w:p>
    <w:p>
      <w:pPr>
        <w:pStyle w:val="ListParagraph"/>
        <w:numPr>
          <w:ilvl w:val="0"/>
          <w:numId w:val="170"/>
        </w:numPr>
        <w:tabs>
          <w:tab w:pos="1077" w:val="left" w:leader="none"/>
        </w:tabs>
        <w:spacing w:line="208" w:lineRule="auto" w:before="234" w:after="0"/>
        <w:ind w:left="791" w:right="830" w:firstLine="0"/>
        <w:jc w:val="left"/>
        <w:rPr>
          <w:sz w:val="24"/>
        </w:rPr>
      </w:pPr>
      <w:r>
        <w:rPr>
          <w:sz w:val="24"/>
        </w:rPr>
        <w:t>The justification for providing transportation, the amount of transportation to be provided and time span will be documented in the case record. The non-medical authorization is used to authorize payment for transportation. When the authorization is to a vendor, the vendor's invoice must be filed with the claim for payment. Authorizations are to be addressed directly to the client at the client's mailing address. Transportation and maintenance may be authorized on the same authorization when regular monthly payments are to be made, but each must be shown as a separate item on the authorization. Clients need to be reminded that it is</w:t>
      </w:r>
      <w:r>
        <w:rPr>
          <w:spacing w:val="-4"/>
          <w:sz w:val="24"/>
        </w:rPr>
        <w:t> </w:t>
      </w:r>
      <w:r>
        <w:rPr>
          <w:sz w:val="24"/>
        </w:rPr>
        <w:t>their</w:t>
      </w:r>
      <w:r>
        <w:rPr>
          <w:spacing w:val="-3"/>
          <w:sz w:val="24"/>
        </w:rPr>
        <w:t> </w:t>
      </w:r>
      <w:r>
        <w:rPr>
          <w:sz w:val="24"/>
        </w:rPr>
        <w:t>responsibility</w:t>
      </w:r>
      <w:r>
        <w:rPr>
          <w:spacing w:val="-4"/>
          <w:sz w:val="24"/>
        </w:rPr>
        <w:t> </w:t>
      </w:r>
      <w:r>
        <w:rPr>
          <w:sz w:val="24"/>
        </w:rPr>
        <w:t>to</w:t>
      </w:r>
      <w:r>
        <w:rPr>
          <w:spacing w:val="-4"/>
          <w:sz w:val="24"/>
        </w:rPr>
        <w:t> </w:t>
      </w:r>
      <w:r>
        <w:rPr>
          <w:sz w:val="24"/>
        </w:rPr>
        <w:t>keep</w:t>
      </w:r>
      <w:r>
        <w:rPr>
          <w:spacing w:val="-4"/>
          <w:sz w:val="24"/>
        </w:rPr>
        <w:t> </w:t>
      </w:r>
      <w:r>
        <w:rPr>
          <w:sz w:val="24"/>
        </w:rPr>
        <w:t>their</w:t>
      </w:r>
      <w:r>
        <w:rPr>
          <w:spacing w:val="-3"/>
          <w:sz w:val="24"/>
        </w:rPr>
        <w:t> </w:t>
      </w:r>
      <w:r>
        <w:rPr>
          <w:sz w:val="24"/>
        </w:rPr>
        <w:t>address</w:t>
      </w:r>
      <w:r>
        <w:rPr>
          <w:spacing w:val="-4"/>
          <w:sz w:val="24"/>
        </w:rPr>
        <w:t> </w:t>
      </w:r>
      <w:r>
        <w:rPr>
          <w:sz w:val="24"/>
        </w:rPr>
        <w:t>current.</w:t>
      </w:r>
      <w:r>
        <w:rPr>
          <w:spacing w:val="-5"/>
          <w:sz w:val="24"/>
        </w:rPr>
        <w:t> </w:t>
      </w:r>
      <w:r>
        <w:rPr>
          <w:sz w:val="24"/>
        </w:rPr>
        <w:t>Warrants</w:t>
      </w:r>
      <w:r>
        <w:rPr>
          <w:spacing w:val="-4"/>
          <w:sz w:val="24"/>
        </w:rPr>
        <w:t> </w:t>
      </w:r>
      <w:r>
        <w:rPr>
          <w:sz w:val="24"/>
        </w:rPr>
        <w:t>not</w:t>
      </w:r>
      <w:r>
        <w:rPr>
          <w:spacing w:val="-3"/>
          <w:sz w:val="24"/>
        </w:rPr>
        <w:t> </w:t>
      </w:r>
      <w:r>
        <w:rPr>
          <w:sz w:val="24"/>
        </w:rPr>
        <w:t>deliverable</w:t>
      </w:r>
      <w:r>
        <w:rPr>
          <w:spacing w:val="-3"/>
          <w:sz w:val="24"/>
        </w:rPr>
        <w:t> </w:t>
      </w:r>
      <w:r>
        <w:rPr>
          <w:sz w:val="24"/>
        </w:rPr>
        <w:t>will</w:t>
      </w:r>
      <w:r>
        <w:rPr>
          <w:spacing w:val="-4"/>
          <w:sz w:val="24"/>
        </w:rPr>
        <w:t> </w:t>
      </w:r>
      <w:r>
        <w:rPr>
          <w:sz w:val="24"/>
        </w:rPr>
        <w:t>not be forwarded.</w:t>
      </w:r>
    </w:p>
    <w:p>
      <w:pPr>
        <w:pStyle w:val="ListParagraph"/>
        <w:numPr>
          <w:ilvl w:val="0"/>
          <w:numId w:val="170"/>
        </w:numPr>
        <w:tabs>
          <w:tab w:pos="1078" w:val="left" w:leader="none"/>
        </w:tabs>
        <w:spacing w:line="208" w:lineRule="auto" w:before="239" w:after="0"/>
        <w:ind w:left="792" w:right="921" w:firstLine="0"/>
        <w:jc w:val="left"/>
        <w:rPr>
          <w:sz w:val="24"/>
        </w:rPr>
      </w:pPr>
      <w:r>
        <w:rPr>
          <w:sz w:val="24"/>
        </w:rPr>
        <w:t>The Department also has contracts with some private vendors in the major metropolitan</w:t>
      </w:r>
      <w:r>
        <w:rPr>
          <w:spacing w:val="-4"/>
          <w:sz w:val="24"/>
        </w:rPr>
        <w:t> </w:t>
      </w:r>
      <w:r>
        <w:rPr>
          <w:sz w:val="24"/>
        </w:rPr>
        <w:t>areas</w:t>
      </w:r>
      <w:r>
        <w:rPr>
          <w:spacing w:val="-4"/>
          <w:sz w:val="24"/>
        </w:rPr>
        <w:t> </w:t>
      </w:r>
      <w:r>
        <w:rPr>
          <w:sz w:val="24"/>
        </w:rPr>
        <w:t>which</w:t>
      </w:r>
      <w:r>
        <w:rPr>
          <w:spacing w:val="-4"/>
          <w:sz w:val="24"/>
        </w:rPr>
        <w:t> </w:t>
      </w:r>
      <w:r>
        <w:rPr>
          <w:sz w:val="24"/>
        </w:rPr>
        <w:t>may</w:t>
      </w:r>
      <w:r>
        <w:rPr>
          <w:spacing w:val="-4"/>
          <w:sz w:val="24"/>
        </w:rPr>
        <w:t> </w:t>
      </w:r>
      <w:r>
        <w:rPr>
          <w:sz w:val="24"/>
        </w:rPr>
        <w:t>be</w:t>
      </w:r>
      <w:r>
        <w:rPr>
          <w:spacing w:val="-5"/>
          <w:sz w:val="24"/>
        </w:rPr>
        <w:t> </w:t>
      </w:r>
      <w:r>
        <w:rPr>
          <w:sz w:val="24"/>
        </w:rPr>
        <w:t>used</w:t>
      </w:r>
      <w:r>
        <w:rPr>
          <w:spacing w:val="-4"/>
          <w:sz w:val="24"/>
        </w:rPr>
        <w:t> </w:t>
      </w:r>
      <w:r>
        <w:rPr>
          <w:sz w:val="24"/>
        </w:rPr>
        <w:t>to</w:t>
      </w:r>
      <w:r>
        <w:rPr>
          <w:spacing w:val="-4"/>
          <w:sz w:val="24"/>
        </w:rPr>
        <w:t> </w:t>
      </w:r>
      <w:r>
        <w:rPr>
          <w:sz w:val="24"/>
        </w:rPr>
        <w:t>provide</w:t>
      </w:r>
      <w:r>
        <w:rPr>
          <w:spacing w:val="-4"/>
          <w:sz w:val="24"/>
        </w:rPr>
        <w:t> </w:t>
      </w:r>
      <w:r>
        <w:rPr>
          <w:sz w:val="24"/>
        </w:rPr>
        <w:t>transportation,</w:t>
      </w:r>
      <w:r>
        <w:rPr>
          <w:spacing w:val="-3"/>
          <w:sz w:val="24"/>
        </w:rPr>
        <w:t> </w:t>
      </w:r>
      <w:r>
        <w:rPr>
          <w:sz w:val="24"/>
        </w:rPr>
        <w:t>e.g.,</w:t>
      </w:r>
      <w:r>
        <w:rPr>
          <w:spacing w:val="-5"/>
          <w:sz w:val="24"/>
        </w:rPr>
        <w:t> </w:t>
      </w:r>
      <w:r>
        <w:rPr>
          <w:sz w:val="24"/>
        </w:rPr>
        <w:t>taxi</w:t>
      </w:r>
      <w:r>
        <w:rPr>
          <w:spacing w:val="-4"/>
          <w:sz w:val="24"/>
        </w:rPr>
        <w:t> </w:t>
      </w:r>
      <w:r>
        <w:rPr>
          <w:sz w:val="24"/>
        </w:rPr>
        <w:t>and</w:t>
      </w:r>
      <w:r>
        <w:rPr>
          <w:spacing w:val="-4"/>
          <w:sz w:val="24"/>
        </w:rPr>
        <w:t> </w:t>
      </w:r>
      <w:r>
        <w:rPr>
          <w:sz w:val="24"/>
        </w:rPr>
        <w:t>bus </w:t>
      </w:r>
      <w:r>
        <w:rPr>
          <w:spacing w:val="-2"/>
          <w:sz w:val="24"/>
        </w:rPr>
        <w:t>services.</w:t>
      </w:r>
    </w:p>
    <w:p>
      <w:pPr>
        <w:pStyle w:val="ListParagraph"/>
        <w:numPr>
          <w:ilvl w:val="0"/>
          <w:numId w:val="170"/>
        </w:numPr>
        <w:tabs>
          <w:tab w:pos="1078" w:val="left" w:leader="none"/>
        </w:tabs>
        <w:spacing w:line="240" w:lineRule="auto" w:before="210" w:after="0"/>
        <w:ind w:left="1078" w:right="0" w:hanging="286"/>
        <w:jc w:val="left"/>
        <w:rPr>
          <w:sz w:val="24"/>
        </w:rPr>
      </w:pPr>
      <w:hyperlink w:history="true" w:anchor="_bookmark19">
        <w:r>
          <w:rPr>
            <w:color w:val="0000FF"/>
            <w:sz w:val="24"/>
            <w:u w:val="single" w:color="0000FF"/>
          </w:rPr>
          <w:t>612:10-7-87</w:t>
        </w:r>
      </w:hyperlink>
      <w:r>
        <w:rPr>
          <w:color w:val="0000FF"/>
          <w:spacing w:val="-6"/>
          <w:sz w:val="24"/>
          <w:u w:val="none"/>
        </w:rPr>
        <w:t> </w:t>
      </w:r>
      <w:r>
        <w:rPr>
          <w:sz w:val="24"/>
          <w:u w:val="none"/>
        </w:rPr>
        <w:t>Actions</w:t>
      </w:r>
      <w:r>
        <w:rPr>
          <w:spacing w:val="-5"/>
          <w:sz w:val="24"/>
          <w:u w:val="none"/>
        </w:rPr>
        <w:t> </w:t>
      </w:r>
      <w:r>
        <w:rPr>
          <w:sz w:val="24"/>
          <w:u w:val="none"/>
        </w:rPr>
        <w:t>requiring</w:t>
      </w:r>
      <w:r>
        <w:rPr>
          <w:spacing w:val="-6"/>
          <w:sz w:val="24"/>
          <w:u w:val="none"/>
        </w:rPr>
        <w:t> </w:t>
      </w:r>
      <w:r>
        <w:rPr>
          <w:sz w:val="24"/>
          <w:u w:val="none"/>
        </w:rPr>
        <w:t>supervisor’s</w:t>
      </w:r>
      <w:r>
        <w:rPr>
          <w:spacing w:val="-5"/>
          <w:sz w:val="24"/>
          <w:u w:val="none"/>
        </w:rPr>
        <w:t> </w:t>
      </w:r>
      <w:r>
        <w:rPr>
          <w:spacing w:val="-2"/>
          <w:sz w:val="24"/>
          <w:u w:val="none"/>
        </w:rPr>
        <w:t>approval</w:t>
      </w:r>
    </w:p>
    <w:p>
      <w:pPr>
        <w:pStyle w:val="ListParagraph"/>
        <w:numPr>
          <w:ilvl w:val="0"/>
          <w:numId w:val="170"/>
        </w:numPr>
        <w:tabs>
          <w:tab w:pos="1077" w:val="left" w:leader="none"/>
        </w:tabs>
        <w:spacing w:line="208" w:lineRule="auto" w:before="233" w:after="0"/>
        <w:ind w:left="791" w:right="720" w:firstLine="0"/>
        <w:jc w:val="left"/>
        <w:rPr>
          <w:sz w:val="24"/>
        </w:rPr>
      </w:pPr>
      <w:r>
        <w:rPr>
          <w:sz w:val="24"/>
        </w:rPr>
        <w:t>All vehicle repairs will be directly authorized to the client including situations where the ownership of the vehicle is other than the client's. Clients requesting assistance with vehicle repairs must provide counselors with the driver's valid driver's license and current vehicle registration for the vehicle considered for repair. If the client is not a driver, he/she must provide a plan to the counselor that describes how he/she will utilize family members or others as drivers for transportation to participate in vocational rehabilitation services. Copies of these documents will be maintained in the case file. Prior to vehicle repair, clients will provide counselors with an estimate outlining the repairs and cost for counselor's approval. Upon completion of repairs, clients will provide counselors with a receipt verifying</w:t>
      </w:r>
      <w:r>
        <w:rPr>
          <w:spacing w:val="-4"/>
          <w:sz w:val="24"/>
        </w:rPr>
        <w:t> </w:t>
      </w:r>
      <w:r>
        <w:rPr>
          <w:sz w:val="24"/>
        </w:rPr>
        <w:t>the</w:t>
      </w:r>
      <w:r>
        <w:rPr>
          <w:spacing w:val="-4"/>
          <w:sz w:val="24"/>
        </w:rPr>
        <w:t> </w:t>
      </w:r>
      <w:r>
        <w:rPr>
          <w:sz w:val="24"/>
        </w:rPr>
        <w:t>completion</w:t>
      </w:r>
      <w:r>
        <w:rPr>
          <w:spacing w:val="-4"/>
          <w:sz w:val="24"/>
        </w:rPr>
        <w:t> </w:t>
      </w:r>
      <w:r>
        <w:rPr>
          <w:sz w:val="24"/>
        </w:rPr>
        <w:t>of</w:t>
      </w:r>
      <w:r>
        <w:rPr>
          <w:spacing w:val="-3"/>
          <w:sz w:val="24"/>
        </w:rPr>
        <w:t> </w:t>
      </w:r>
      <w:r>
        <w:rPr>
          <w:sz w:val="24"/>
        </w:rPr>
        <w:t>the</w:t>
      </w:r>
      <w:r>
        <w:rPr>
          <w:spacing w:val="-5"/>
          <w:sz w:val="24"/>
        </w:rPr>
        <w:t> </w:t>
      </w:r>
      <w:r>
        <w:rPr>
          <w:sz w:val="24"/>
        </w:rPr>
        <w:t>repairs.</w:t>
      </w:r>
      <w:r>
        <w:rPr>
          <w:spacing w:val="-3"/>
          <w:sz w:val="24"/>
        </w:rPr>
        <w:t> </w:t>
      </w:r>
      <w:r>
        <w:rPr>
          <w:sz w:val="24"/>
        </w:rPr>
        <w:t>Counselors</w:t>
      </w:r>
      <w:r>
        <w:rPr>
          <w:spacing w:val="-4"/>
          <w:sz w:val="24"/>
        </w:rPr>
        <w:t> </w:t>
      </w:r>
      <w:r>
        <w:rPr>
          <w:sz w:val="24"/>
        </w:rPr>
        <w:t>will</w:t>
      </w:r>
      <w:r>
        <w:rPr>
          <w:spacing w:val="-4"/>
          <w:sz w:val="24"/>
        </w:rPr>
        <w:t> </w:t>
      </w:r>
      <w:r>
        <w:rPr>
          <w:sz w:val="24"/>
        </w:rPr>
        <w:t>secure</w:t>
      </w:r>
      <w:r>
        <w:rPr>
          <w:spacing w:val="-4"/>
          <w:sz w:val="24"/>
        </w:rPr>
        <w:t> </w:t>
      </w:r>
      <w:r>
        <w:rPr>
          <w:sz w:val="24"/>
        </w:rPr>
        <w:t>copies</w:t>
      </w:r>
      <w:r>
        <w:rPr>
          <w:spacing w:val="-4"/>
          <w:sz w:val="24"/>
        </w:rPr>
        <w:t> </w:t>
      </w:r>
      <w:r>
        <w:rPr>
          <w:sz w:val="24"/>
        </w:rPr>
        <w:t>of</w:t>
      </w:r>
      <w:r>
        <w:rPr>
          <w:spacing w:val="-3"/>
          <w:sz w:val="24"/>
        </w:rPr>
        <w:t> </w:t>
      </w:r>
      <w:r>
        <w:rPr>
          <w:sz w:val="24"/>
        </w:rPr>
        <w:t>the</w:t>
      </w:r>
      <w:r>
        <w:rPr>
          <w:spacing w:val="-4"/>
          <w:sz w:val="24"/>
        </w:rPr>
        <w:t> </w:t>
      </w:r>
      <w:r>
        <w:rPr>
          <w:sz w:val="24"/>
        </w:rPr>
        <w:t>estimate and</w:t>
      </w:r>
      <w:r>
        <w:rPr>
          <w:spacing w:val="-3"/>
          <w:sz w:val="24"/>
        </w:rPr>
        <w:t> </w:t>
      </w:r>
      <w:r>
        <w:rPr>
          <w:sz w:val="24"/>
        </w:rPr>
        <w:t>receipts</w:t>
      </w:r>
      <w:r>
        <w:rPr>
          <w:spacing w:val="-2"/>
          <w:sz w:val="24"/>
        </w:rPr>
        <w:t> </w:t>
      </w:r>
      <w:r>
        <w:rPr>
          <w:sz w:val="24"/>
        </w:rPr>
        <w:t>for</w:t>
      </w:r>
      <w:r>
        <w:rPr>
          <w:spacing w:val="-2"/>
          <w:sz w:val="24"/>
        </w:rPr>
        <w:t> </w:t>
      </w:r>
      <w:r>
        <w:rPr>
          <w:sz w:val="24"/>
        </w:rPr>
        <w:t>any</w:t>
      </w:r>
      <w:r>
        <w:rPr>
          <w:spacing w:val="-3"/>
          <w:sz w:val="24"/>
        </w:rPr>
        <w:t> </w:t>
      </w:r>
      <w:r>
        <w:rPr>
          <w:sz w:val="24"/>
        </w:rPr>
        <w:t>repairs</w:t>
      </w:r>
      <w:r>
        <w:rPr>
          <w:spacing w:val="-3"/>
          <w:sz w:val="24"/>
        </w:rPr>
        <w:t> </w:t>
      </w:r>
      <w:r>
        <w:rPr>
          <w:sz w:val="24"/>
        </w:rPr>
        <w:t>and</w:t>
      </w:r>
      <w:r>
        <w:rPr>
          <w:spacing w:val="-2"/>
          <w:sz w:val="24"/>
        </w:rPr>
        <w:t> </w:t>
      </w:r>
      <w:r>
        <w:rPr>
          <w:sz w:val="24"/>
        </w:rPr>
        <w:t>these</w:t>
      </w:r>
      <w:r>
        <w:rPr>
          <w:spacing w:val="-2"/>
          <w:sz w:val="24"/>
        </w:rPr>
        <w:t> </w:t>
      </w:r>
      <w:r>
        <w:rPr>
          <w:sz w:val="24"/>
        </w:rPr>
        <w:t>documents</w:t>
      </w:r>
      <w:r>
        <w:rPr>
          <w:spacing w:val="-3"/>
          <w:sz w:val="24"/>
        </w:rPr>
        <w:t> </w:t>
      </w:r>
      <w:r>
        <w:rPr>
          <w:sz w:val="24"/>
        </w:rPr>
        <w:t>will</w:t>
      </w:r>
      <w:r>
        <w:rPr>
          <w:spacing w:val="-2"/>
          <w:sz w:val="24"/>
        </w:rPr>
        <w:t> </w:t>
      </w:r>
      <w:r>
        <w:rPr>
          <w:sz w:val="24"/>
        </w:rPr>
        <w:t>be</w:t>
      </w:r>
      <w:r>
        <w:rPr>
          <w:spacing w:val="-3"/>
          <w:sz w:val="24"/>
        </w:rPr>
        <w:t> </w:t>
      </w:r>
      <w:r>
        <w:rPr>
          <w:sz w:val="24"/>
        </w:rPr>
        <w:t>maintained</w:t>
      </w:r>
      <w:r>
        <w:rPr>
          <w:spacing w:val="-2"/>
          <w:sz w:val="24"/>
        </w:rPr>
        <w:t> </w:t>
      </w:r>
      <w:r>
        <w:rPr>
          <w:sz w:val="24"/>
        </w:rPr>
        <w:t>in</w:t>
      </w:r>
      <w:r>
        <w:rPr>
          <w:spacing w:val="-3"/>
          <w:sz w:val="24"/>
        </w:rPr>
        <w:t> </w:t>
      </w:r>
      <w:r>
        <w:rPr>
          <w:sz w:val="24"/>
        </w:rPr>
        <w:t>the</w:t>
      </w:r>
      <w:r>
        <w:rPr>
          <w:spacing w:val="-2"/>
          <w:sz w:val="24"/>
        </w:rPr>
        <w:t> </w:t>
      </w:r>
      <w:r>
        <w:rPr>
          <w:sz w:val="24"/>
        </w:rPr>
        <w:t>case</w:t>
      </w:r>
      <w:r>
        <w:rPr>
          <w:spacing w:val="-2"/>
          <w:sz w:val="24"/>
        </w:rPr>
        <w:t> file.</w:t>
      </w:r>
    </w:p>
    <w:p>
      <w:pPr>
        <w:pStyle w:val="ListParagraph"/>
        <w:numPr>
          <w:ilvl w:val="0"/>
          <w:numId w:val="170"/>
        </w:numPr>
        <w:tabs>
          <w:tab w:pos="1077" w:val="left" w:leader="none"/>
        </w:tabs>
        <w:spacing w:line="208" w:lineRule="auto" w:before="239" w:after="0"/>
        <w:ind w:left="791" w:right="768" w:firstLine="0"/>
        <w:jc w:val="left"/>
        <w:rPr>
          <w:sz w:val="24"/>
        </w:rPr>
      </w:pPr>
      <w:r>
        <w:rPr>
          <w:sz w:val="24"/>
        </w:rPr>
        <w:t>If</w:t>
      </w:r>
      <w:r>
        <w:rPr>
          <w:spacing w:val="-2"/>
          <w:sz w:val="24"/>
        </w:rPr>
        <w:t> </w:t>
      </w:r>
      <w:r>
        <w:rPr>
          <w:sz w:val="24"/>
        </w:rPr>
        <w:t>air</w:t>
      </w:r>
      <w:r>
        <w:rPr>
          <w:spacing w:val="-4"/>
          <w:sz w:val="24"/>
        </w:rPr>
        <w:t> </w:t>
      </w:r>
      <w:r>
        <w:rPr>
          <w:sz w:val="24"/>
        </w:rPr>
        <w:t>fare</w:t>
      </w:r>
      <w:r>
        <w:rPr>
          <w:spacing w:val="-3"/>
          <w:sz w:val="24"/>
        </w:rPr>
        <w:t> </w:t>
      </w:r>
      <w:r>
        <w:rPr>
          <w:sz w:val="24"/>
        </w:rPr>
        <w:t>is</w:t>
      </w:r>
      <w:r>
        <w:rPr>
          <w:spacing w:val="-4"/>
          <w:sz w:val="24"/>
        </w:rPr>
        <w:t> </w:t>
      </w:r>
      <w:r>
        <w:rPr>
          <w:sz w:val="24"/>
        </w:rPr>
        <w:t>to</w:t>
      </w:r>
      <w:r>
        <w:rPr>
          <w:spacing w:val="-3"/>
          <w:sz w:val="24"/>
        </w:rPr>
        <w:t> </w:t>
      </w:r>
      <w:r>
        <w:rPr>
          <w:sz w:val="24"/>
        </w:rPr>
        <w:t>be</w:t>
      </w:r>
      <w:r>
        <w:rPr>
          <w:spacing w:val="-3"/>
          <w:sz w:val="24"/>
        </w:rPr>
        <w:t> </w:t>
      </w:r>
      <w:r>
        <w:rPr>
          <w:sz w:val="24"/>
        </w:rPr>
        <w:t>provided,</w:t>
      </w:r>
      <w:r>
        <w:rPr>
          <w:spacing w:val="-2"/>
          <w:sz w:val="24"/>
        </w:rPr>
        <w:t> </w:t>
      </w:r>
      <w:r>
        <w:rPr>
          <w:sz w:val="24"/>
        </w:rPr>
        <w:t>arrangements</w:t>
      </w:r>
      <w:r>
        <w:rPr>
          <w:spacing w:val="-3"/>
          <w:sz w:val="24"/>
        </w:rPr>
        <w:t> </w:t>
      </w:r>
      <w:r>
        <w:rPr>
          <w:sz w:val="24"/>
        </w:rPr>
        <w:t>for</w:t>
      </w:r>
      <w:r>
        <w:rPr>
          <w:spacing w:val="-5"/>
          <w:sz w:val="24"/>
        </w:rPr>
        <w:t> </w:t>
      </w:r>
      <w:r>
        <w:rPr>
          <w:sz w:val="24"/>
        </w:rPr>
        <w:t>such</w:t>
      </w:r>
      <w:r>
        <w:rPr>
          <w:spacing w:val="-3"/>
          <w:sz w:val="24"/>
        </w:rPr>
        <w:t> </w:t>
      </w:r>
      <w:r>
        <w:rPr>
          <w:sz w:val="24"/>
        </w:rPr>
        <w:t>fares</w:t>
      </w:r>
      <w:r>
        <w:rPr>
          <w:spacing w:val="-4"/>
          <w:sz w:val="24"/>
        </w:rPr>
        <w:t> </w:t>
      </w:r>
      <w:r>
        <w:rPr>
          <w:sz w:val="24"/>
        </w:rPr>
        <w:t>will</w:t>
      </w:r>
      <w:r>
        <w:rPr>
          <w:spacing w:val="-3"/>
          <w:sz w:val="24"/>
        </w:rPr>
        <w:t> </w:t>
      </w:r>
      <w:r>
        <w:rPr>
          <w:sz w:val="24"/>
        </w:rPr>
        <w:t>be</w:t>
      </w:r>
      <w:r>
        <w:rPr>
          <w:spacing w:val="-3"/>
          <w:sz w:val="24"/>
        </w:rPr>
        <w:t> </w:t>
      </w:r>
      <w:r>
        <w:rPr>
          <w:sz w:val="24"/>
        </w:rPr>
        <w:t>made</w:t>
      </w:r>
      <w:r>
        <w:rPr>
          <w:spacing w:val="-3"/>
          <w:sz w:val="24"/>
        </w:rPr>
        <w:t> </w:t>
      </w:r>
      <w:r>
        <w:rPr>
          <w:sz w:val="24"/>
        </w:rPr>
        <w:t>through</w:t>
      </w:r>
      <w:r>
        <w:rPr>
          <w:spacing w:val="-3"/>
          <w:sz w:val="24"/>
        </w:rPr>
        <w:t> </w:t>
      </w:r>
      <w:r>
        <w:rPr>
          <w:sz w:val="24"/>
        </w:rPr>
        <w:t>the State Travel Coordinator, Department of Rehabilitation Services State Office.</w:t>
      </w:r>
      <w:r>
        <w:rPr>
          <w:spacing w:val="40"/>
          <w:sz w:val="24"/>
        </w:rPr>
        <w:t> </w:t>
      </w:r>
      <w:r>
        <w:rPr>
          <w:sz w:val="24"/>
        </w:rPr>
        <w:t>A request</w:t>
      </w:r>
      <w:r>
        <w:rPr>
          <w:spacing w:val="-1"/>
          <w:sz w:val="24"/>
        </w:rPr>
        <w:t> </w:t>
      </w:r>
      <w:r>
        <w:rPr>
          <w:sz w:val="24"/>
        </w:rPr>
        <w:t>for</w:t>
      </w:r>
      <w:r>
        <w:rPr>
          <w:spacing w:val="-3"/>
          <w:sz w:val="24"/>
        </w:rPr>
        <w:t> </w:t>
      </w:r>
      <w:r>
        <w:rPr>
          <w:sz w:val="24"/>
        </w:rPr>
        <w:t>Out-of-State</w:t>
      </w:r>
      <w:r>
        <w:rPr>
          <w:spacing w:val="-2"/>
          <w:sz w:val="24"/>
        </w:rPr>
        <w:t> </w:t>
      </w:r>
      <w:r>
        <w:rPr>
          <w:sz w:val="24"/>
        </w:rPr>
        <w:t>Travel</w:t>
      </w:r>
      <w:r>
        <w:rPr>
          <w:spacing w:val="-2"/>
          <w:sz w:val="24"/>
        </w:rPr>
        <w:t> </w:t>
      </w:r>
      <w:r>
        <w:rPr>
          <w:sz w:val="24"/>
        </w:rPr>
        <w:t>form</w:t>
      </w:r>
      <w:r>
        <w:rPr>
          <w:spacing w:val="-1"/>
          <w:sz w:val="24"/>
        </w:rPr>
        <w:t> </w:t>
      </w:r>
      <w:r>
        <w:rPr>
          <w:sz w:val="24"/>
        </w:rPr>
        <w:t>is</w:t>
      </w:r>
      <w:r>
        <w:rPr>
          <w:spacing w:val="-2"/>
          <w:sz w:val="24"/>
        </w:rPr>
        <w:t> </w:t>
      </w:r>
      <w:r>
        <w:rPr>
          <w:sz w:val="24"/>
        </w:rPr>
        <w:t>required</w:t>
      </w:r>
      <w:r>
        <w:rPr>
          <w:spacing w:val="-2"/>
          <w:sz w:val="24"/>
        </w:rPr>
        <w:t> </w:t>
      </w:r>
      <w:r>
        <w:rPr>
          <w:sz w:val="24"/>
        </w:rPr>
        <w:t>to</w:t>
      </w:r>
      <w:r>
        <w:rPr>
          <w:spacing w:val="-2"/>
          <w:sz w:val="24"/>
        </w:rPr>
        <w:t> </w:t>
      </w:r>
      <w:r>
        <w:rPr>
          <w:sz w:val="24"/>
        </w:rPr>
        <w:t>document</w:t>
      </w:r>
      <w:r>
        <w:rPr>
          <w:spacing w:val="-1"/>
          <w:sz w:val="24"/>
        </w:rPr>
        <w:t> </w:t>
      </w:r>
      <w:r>
        <w:rPr>
          <w:sz w:val="24"/>
        </w:rPr>
        <w:t>out-of-state</w:t>
      </w:r>
      <w:r>
        <w:rPr>
          <w:spacing w:val="-3"/>
          <w:sz w:val="24"/>
        </w:rPr>
        <w:t> </w:t>
      </w:r>
      <w:r>
        <w:rPr>
          <w:sz w:val="24"/>
        </w:rPr>
        <w:t>travel.</w:t>
      </w:r>
      <w:r>
        <w:rPr>
          <w:spacing w:val="-1"/>
          <w:sz w:val="24"/>
        </w:rPr>
        <w:t> </w:t>
      </w:r>
      <w:r>
        <w:rPr>
          <w:sz w:val="24"/>
        </w:rPr>
        <w:t>The authorization and claim must show the date(s) of the trip(s), rate of payment and points of departure and arrival.</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775" w:firstLine="0"/>
        <w:jc w:val="left"/>
        <w:rPr>
          <w:sz w:val="22"/>
        </w:rPr>
      </w:pPr>
      <w:r>
        <w:rPr>
          <w:sz w:val="22"/>
        </w:rPr>
        <w:t>Permanent,</w:t>
      </w:r>
      <w:r>
        <w:rPr>
          <w:spacing w:val="-3"/>
          <w:sz w:val="22"/>
        </w:rPr>
        <w:t> </w:t>
      </w:r>
      <w:r>
        <w:rPr>
          <w:sz w:val="22"/>
        </w:rPr>
        <w:t>first</w:t>
      </w:r>
      <w:r>
        <w:rPr>
          <w:spacing w:val="-4"/>
          <w:sz w:val="22"/>
        </w:rPr>
        <w:t> </w:t>
      </w:r>
      <w:r>
        <w:rPr>
          <w:sz w:val="22"/>
        </w:rPr>
        <w:t>adoption</w:t>
      </w:r>
      <w:r>
        <w:rPr>
          <w:spacing w:val="-4"/>
          <w:sz w:val="22"/>
        </w:rPr>
        <w:t> </w:t>
      </w:r>
      <w:r>
        <w:rPr>
          <w:sz w:val="22"/>
        </w:rPr>
        <w:t>under</w:t>
      </w:r>
      <w:r>
        <w:rPr>
          <w:spacing w:val="-4"/>
          <w:sz w:val="22"/>
        </w:rPr>
        <w:t> </w:t>
      </w:r>
      <w:r>
        <w:rPr>
          <w:sz w:val="22"/>
        </w:rPr>
        <w:t>OAC</w:t>
      </w:r>
      <w:r>
        <w:rPr>
          <w:spacing w:val="-5"/>
          <w:sz w:val="22"/>
        </w:rPr>
        <w:t> </w:t>
      </w:r>
      <w:r>
        <w:rPr>
          <w:sz w:val="22"/>
        </w:rPr>
        <w:t>Title</w:t>
      </w:r>
      <w:r>
        <w:rPr>
          <w:spacing w:val="-4"/>
          <w:sz w:val="22"/>
        </w:rPr>
        <w:t> </w:t>
      </w:r>
      <w:r>
        <w:rPr>
          <w:sz w:val="22"/>
        </w:rPr>
        <w:t>612,</w:t>
      </w:r>
      <w:r>
        <w:rPr>
          <w:spacing w:val="-5"/>
          <w:sz w:val="22"/>
        </w:rPr>
        <w:t> </w:t>
      </w:r>
      <w:r>
        <w:rPr>
          <w:sz w:val="22"/>
        </w:rPr>
        <w:t>added</w:t>
      </w:r>
      <w:r>
        <w:rPr>
          <w:spacing w:val="-4"/>
          <w:sz w:val="22"/>
        </w:rPr>
        <w:t> </w:t>
      </w:r>
      <w:r>
        <w:rPr>
          <w:sz w:val="22"/>
        </w:rPr>
        <w:t>that</w:t>
      </w:r>
      <w:r>
        <w:rPr>
          <w:spacing w:val="-4"/>
          <w:sz w:val="22"/>
        </w:rPr>
        <w:t> </w:t>
      </w:r>
      <w:r>
        <w:rPr>
          <w:sz w:val="22"/>
        </w:rPr>
        <w:t>cannot</w:t>
      </w:r>
      <w:r>
        <w:rPr>
          <w:spacing w:val="-4"/>
          <w:sz w:val="22"/>
        </w:rPr>
        <w:t> </w:t>
      </w:r>
      <w:r>
        <w:rPr>
          <w:sz w:val="22"/>
        </w:rPr>
        <w:t>use</w:t>
      </w:r>
      <w:r>
        <w:rPr>
          <w:spacing w:val="-4"/>
          <w:sz w:val="22"/>
        </w:rPr>
        <w:t> </w:t>
      </w:r>
      <w:r>
        <w:rPr>
          <w:sz w:val="22"/>
        </w:rPr>
        <w:t>transportation to pay for other services</w:t>
      </w:r>
    </w:p>
    <w:p>
      <w:pPr>
        <w:pStyle w:val="ListParagraph"/>
        <w:numPr>
          <w:ilvl w:val="2"/>
          <w:numId w:val="64"/>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831" w:firstLine="1080"/>
        <w:jc w:val="left"/>
        <w:rPr>
          <w:sz w:val="22"/>
        </w:rPr>
      </w:pPr>
      <w:r>
        <w:rPr>
          <w:sz w:val="22"/>
        </w:rPr>
        <w:t>Permanent,</w:t>
      </w:r>
      <w:r>
        <w:rPr>
          <w:spacing w:val="-4"/>
          <w:sz w:val="22"/>
        </w:rPr>
        <w:t> </w:t>
      </w:r>
      <w:r>
        <w:rPr>
          <w:sz w:val="22"/>
        </w:rPr>
        <w:t>added</w:t>
      </w:r>
      <w:r>
        <w:rPr>
          <w:spacing w:val="-5"/>
          <w:sz w:val="22"/>
        </w:rPr>
        <w:t> </w:t>
      </w:r>
      <w:r>
        <w:rPr>
          <w:sz w:val="22"/>
        </w:rPr>
        <w:t>criteria</w:t>
      </w:r>
      <w:r>
        <w:rPr>
          <w:spacing w:val="-5"/>
          <w:sz w:val="22"/>
        </w:rPr>
        <w:t> </w:t>
      </w:r>
      <w:r>
        <w:rPr>
          <w:sz w:val="22"/>
        </w:rPr>
        <w:t>for</w:t>
      </w:r>
      <w:r>
        <w:rPr>
          <w:spacing w:val="-5"/>
          <w:sz w:val="22"/>
        </w:rPr>
        <w:t> </w:t>
      </w:r>
      <w:r>
        <w:rPr>
          <w:sz w:val="22"/>
        </w:rPr>
        <w:t>paying</w:t>
      </w:r>
      <w:r>
        <w:rPr>
          <w:spacing w:val="-6"/>
          <w:sz w:val="22"/>
        </w:rPr>
        <w:t> </w:t>
      </w:r>
      <w:r>
        <w:rPr>
          <w:sz w:val="22"/>
        </w:rPr>
        <w:t>out-of-state</w:t>
      </w:r>
      <w:r>
        <w:rPr>
          <w:spacing w:val="-6"/>
          <w:sz w:val="22"/>
        </w:rPr>
        <w:t> </w:t>
      </w:r>
      <w:r>
        <w:rPr>
          <w:sz w:val="22"/>
        </w:rPr>
        <w:t>transportation</w:t>
      </w:r>
      <w:r>
        <w:rPr>
          <w:spacing w:val="-5"/>
          <w:sz w:val="22"/>
        </w:rPr>
        <w:t> </w:t>
      </w:r>
      <w:r>
        <w:rPr>
          <w:sz w:val="22"/>
        </w:rPr>
        <w:t>to</w:t>
      </w:r>
      <w:r>
        <w:rPr>
          <w:spacing w:val="-5"/>
          <w:sz w:val="22"/>
        </w:rPr>
        <w:t> </w:t>
      </w:r>
      <w:r>
        <w:rPr>
          <w:sz w:val="22"/>
        </w:rPr>
        <w:t>seek</w:t>
      </w:r>
      <w:r>
        <w:rPr>
          <w:spacing w:val="-5"/>
          <w:sz w:val="22"/>
        </w:rPr>
        <w:t> </w:t>
      </w:r>
      <w:r>
        <w:rPr>
          <w:sz w:val="22"/>
        </w:rPr>
        <w:t>employment </w:t>
      </w:r>
      <w:r>
        <w:rPr>
          <w:spacing w:val="-2"/>
          <w:sz w:val="22"/>
        </w:rPr>
        <w:t>7-1-98</w:t>
      </w:r>
      <w:r>
        <w:rPr>
          <w:sz w:val="22"/>
        </w:rPr>
        <w:tab/>
        <w:t>PT Memo #98-15</w:t>
      </w:r>
    </w:p>
    <w:p>
      <w:pPr>
        <w:spacing w:before="0"/>
        <w:ind w:left="1439" w:right="775" w:firstLine="0"/>
        <w:jc w:val="left"/>
        <w:rPr>
          <w:sz w:val="22"/>
        </w:rPr>
      </w:pPr>
      <w:r>
        <w:rPr>
          <w:sz w:val="22"/>
        </w:rPr>
        <w:t>Permanent,</w:t>
      </w:r>
      <w:r>
        <w:rPr>
          <w:spacing w:val="-4"/>
          <w:sz w:val="22"/>
        </w:rPr>
        <w:t> </w:t>
      </w:r>
      <w:r>
        <w:rPr>
          <w:sz w:val="22"/>
        </w:rPr>
        <w:t>consumer</w:t>
      </w:r>
      <w:r>
        <w:rPr>
          <w:spacing w:val="-5"/>
          <w:sz w:val="22"/>
        </w:rPr>
        <w:t> </w:t>
      </w:r>
      <w:r>
        <w:rPr>
          <w:sz w:val="22"/>
        </w:rPr>
        <w:t>transportation</w:t>
      </w:r>
      <w:r>
        <w:rPr>
          <w:spacing w:val="-6"/>
          <w:sz w:val="22"/>
        </w:rPr>
        <w:t> </w:t>
      </w:r>
      <w:r>
        <w:rPr>
          <w:sz w:val="22"/>
        </w:rPr>
        <w:t>in</w:t>
      </w:r>
      <w:r>
        <w:rPr>
          <w:spacing w:val="-5"/>
          <w:sz w:val="22"/>
        </w:rPr>
        <w:t> </w:t>
      </w:r>
      <w:r>
        <w:rPr>
          <w:sz w:val="22"/>
        </w:rPr>
        <w:t>private</w:t>
      </w:r>
      <w:r>
        <w:rPr>
          <w:spacing w:val="-6"/>
          <w:sz w:val="22"/>
        </w:rPr>
        <w:t> </w:t>
      </w:r>
      <w:r>
        <w:rPr>
          <w:sz w:val="22"/>
        </w:rPr>
        <w:t>vehicle</w:t>
      </w:r>
      <w:r>
        <w:rPr>
          <w:spacing w:val="-5"/>
          <w:sz w:val="22"/>
        </w:rPr>
        <w:t> </w:t>
      </w:r>
      <w:r>
        <w:rPr>
          <w:sz w:val="22"/>
        </w:rPr>
        <w:t>always</w:t>
      </w:r>
      <w:r>
        <w:rPr>
          <w:spacing w:val="-5"/>
          <w:sz w:val="22"/>
        </w:rPr>
        <w:t> </w:t>
      </w:r>
      <w:r>
        <w:rPr>
          <w:sz w:val="22"/>
        </w:rPr>
        <w:t>authorized</w:t>
      </w:r>
      <w:r>
        <w:rPr>
          <w:spacing w:val="-6"/>
          <w:sz w:val="22"/>
        </w:rPr>
        <w:t> </w:t>
      </w:r>
      <w:r>
        <w:rPr>
          <w:sz w:val="22"/>
        </w:rPr>
        <w:t>to consumer. Rate is negotiated up to State reimbursement rate.</w:t>
      </w:r>
    </w:p>
    <w:p>
      <w:pPr>
        <w:tabs>
          <w:tab w:pos="1439" w:val="left" w:leader="none"/>
        </w:tabs>
        <w:spacing w:before="0"/>
        <w:ind w:left="359" w:right="0" w:firstLine="0"/>
        <w:jc w:val="left"/>
        <w:rPr>
          <w:sz w:val="22"/>
        </w:rPr>
      </w:pPr>
      <w:r>
        <w:rPr>
          <w:spacing w:val="-2"/>
          <w:sz w:val="22"/>
        </w:rPr>
        <w:t>6-14-</w:t>
      </w:r>
      <w:r>
        <w:rPr>
          <w:spacing w:val="-5"/>
          <w:sz w:val="22"/>
        </w:rPr>
        <w:t>99</w:t>
      </w:r>
      <w:r>
        <w:rPr>
          <w:sz w:val="22"/>
        </w:rPr>
        <w:tab/>
        <w:t>POL</w:t>
      </w:r>
      <w:r>
        <w:rPr>
          <w:spacing w:val="-9"/>
          <w:sz w:val="22"/>
        </w:rPr>
        <w:t> </w:t>
      </w:r>
      <w:r>
        <w:rPr>
          <w:sz w:val="22"/>
        </w:rPr>
        <w:t>Memo</w:t>
      </w:r>
      <w:r>
        <w:rPr>
          <w:spacing w:val="-8"/>
          <w:sz w:val="22"/>
        </w:rPr>
        <w:t> </w:t>
      </w:r>
      <w:r>
        <w:rPr>
          <w:sz w:val="22"/>
        </w:rPr>
        <w:t>#99-</w:t>
      </w:r>
      <w:r>
        <w:rPr>
          <w:spacing w:val="-10"/>
          <w:sz w:val="22"/>
        </w:rPr>
        <w:t>7</w:t>
      </w:r>
    </w:p>
    <w:p>
      <w:pPr>
        <w:spacing w:after="0"/>
        <w:jc w:val="left"/>
        <w:rPr>
          <w:sz w:val="22"/>
        </w:rPr>
        <w:sectPr>
          <w:pgSz w:w="12240" w:h="15840"/>
          <w:pgMar w:top="1340" w:bottom="280" w:left="1080" w:right="720"/>
        </w:sectPr>
      </w:pPr>
    </w:p>
    <w:p>
      <w:pPr>
        <w:spacing w:before="80"/>
        <w:ind w:left="1440" w:right="775" w:firstLine="0"/>
        <w:jc w:val="left"/>
        <w:rPr>
          <w:sz w:val="22"/>
        </w:rPr>
      </w:pPr>
      <w:r>
        <w:rPr>
          <w:sz w:val="22"/>
        </w:rPr>
        <w:t>Emergency,</w:t>
      </w:r>
      <w:r>
        <w:rPr>
          <w:spacing w:val="-4"/>
          <w:sz w:val="22"/>
        </w:rPr>
        <w:t> </w:t>
      </w:r>
      <w:r>
        <w:rPr>
          <w:sz w:val="22"/>
        </w:rPr>
        <w:t>Section</w:t>
      </w:r>
      <w:r>
        <w:rPr>
          <w:spacing w:val="-4"/>
          <w:sz w:val="22"/>
        </w:rPr>
        <w:t> </w:t>
      </w:r>
      <w:r>
        <w:rPr>
          <w:sz w:val="22"/>
        </w:rPr>
        <w:t>amended</w:t>
      </w:r>
      <w:r>
        <w:rPr>
          <w:spacing w:val="-4"/>
          <w:sz w:val="22"/>
        </w:rPr>
        <w:t> </w:t>
      </w:r>
      <w:r>
        <w:rPr>
          <w:sz w:val="22"/>
        </w:rPr>
        <w:t>to</w:t>
      </w:r>
      <w:r>
        <w:rPr>
          <w:spacing w:val="-4"/>
          <w:sz w:val="22"/>
        </w:rPr>
        <w:t> </w:t>
      </w:r>
      <w:r>
        <w:rPr>
          <w:sz w:val="22"/>
        </w:rPr>
        <w:t>include</w:t>
      </w:r>
      <w:r>
        <w:rPr>
          <w:spacing w:val="-4"/>
          <w:sz w:val="22"/>
        </w:rPr>
        <w:t> </w:t>
      </w:r>
      <w:r>
        <w:rPr>
          <w:sz w:val="22"/>
        </w:rPr>
        <w:t>instruction</w:t>
      </w:r>
      <w:r>
        <w:rPr>
          <w:spacing w:val="-4"/>
          <w:sz w:val="22"/>
        </w:rPr>
        <w:t> </w:t>
      </w:r>
      <w:r>
        <w:rPr>
          <w:sz w:val="22"/>
        </w:rPr>
        <w:t>in</w:t>
      </w:r>
      <w:r>
        <w:rPr>
          <w:spacing w:val="-4"/>
          <w:sz w:val="22"/>
        </w:rPr>
        <w:t> </w:t>
      </w:r>
      <w:r>
        <w:rPr>
          <w:sz w:val="22"/>
        </w:rPr>
        <w:t>the</w:t>
      </w:r>
      <w:r>
        <w:rPr>
          <w:spacing w:val="-4"/>
          <w:sz w:val="22"/>
        </w:rPr>
        <w:t> </w:t>
      </w:r>
      <w:r>
        <w:rPr>
          <w:sz w:val="22"/>
        </w:rPr>
        <w:t>use</w:t>
      </w:r>
      <w:r>
        <w:rPr>
          <w:spacing w:val="-4"/>
          <w:sz w:val="22"/>
        </w:rPr>
        <w:t> </w:t>
      </w:r>
      <w:r>
        <w:rPr>
          <w:sz w:val="22"/>
        </w:rPr>
        <w:t>of</w:t>
      </w:r>
      <w:r>
        <w:rPr>
          <w:spacing w:val="-4"/>
          <w:sz w:val="22"/>
        </w:rPr>
        <w:t> </w:t>
      </w:r>
      <w:r>
        <w:rPr>
          <w:sz w:val="22"/>
        </w:rPr>
        <w:t>public</w:t>
      </w:r>
      <w:r>
        <w:rPr>
          <w:spacing w:val="-4"/>
          <w:sz w:val="22"/>
        </w:rPr>
        <w:t> </w:t>
      </w:r>
      <w:r>
        <w:rPr>
          <w:sz w:val="22"/>
        </w:rPr>
        <w:t>transit</w:t>
      </w:r>
      <w:r>
        <w:rPr>
          <w:spacing w:val="-4"/>
          <w:sz w:val="22"/>
        </w:rPr>
        <w:t> </w:t>
      </w:r>
      <w:r>
        <w:rPr>
          <w:sz w:val="22"/>
        </w:rPr>
        <w:t>and </w:t>
      </w:r>
      <w:r>
        <w:rPr>
          <w:spacing w:val="-2"/>
          <w:sz w:val="22"/>
        </w:rPr>
        <w:t>vehicles</w:t>
      </w:r>
    </w:p>
    <w:p>
      <w:pPr>
        <w:pStyle w:val="ListParagraph"/>
        <w:numPr>
          <w:ilvl w:val="2"/>
          <w:numId w:val="168"/>
        </w:numPr>
        <w:tabs>
          <w:tab w:pos="1439" w:val="left" w:leader="none"/>
        </w:tabs>
        <w:spacing w:line="252" w:lineRule="exact" w:before="0" w:after="0"/>
        <w:ind w:left="1439" w:right="0" w:hanging="1080"/>
        <w:jc w:val="left"/>
        <w:rPr>
          <w:sz w:val="22"/>
        </w:rPr>
      </w:pPr>
      <w:r>
        <w:rPr>
          <w:sz w:val="22"/>
        </w:rPr>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7-1-06</w:t>
      </w:r>
      <w:r>
        <w:rPr>
          <w:sz w:val="22"/>
        </w:rPr>
        <w:tab/>
        <w:t>PT Memo #07-01</w:t>
      </w:r>
    </w:p>
    <w:p>
      <w:pPr>
        <w:spacing w:before="0"/>
        <w:ind w:left="1439" w:right="775" w:firstLine="0"/>
        <w:jc w:val="left"/>
        <w:rPr>
          <w:sz w:val="22"/>
        </w:rPr>
      </w:pPr>
      <w:r>
        <w:rPr>
          <w:sz w:val="22"/>
        </w:rPr>
        <w:t>Permanent,</w:t>
      </w:r>
      <w:r>
        <w:rPr>
          <w:spacing w:val="-2"/>
          <w:sz w:val="22"/>
        </w:rPr>
        <w:t> </w:t>
      </w:r>
      <w:r>
        <w:rPr>
          <w:sz w:val="22"/>
        </w:rPr>
        <w:t>transportation</w:t>
      </w:r>
      <w:r>
        <w:rPr>
          <w:spacing w:val="-3"/>
          <w:sz w:val="22"/>
        </w:rPr>
        <w:t> </w:t>
      </w:r>
      <w:r>
        <w:rPr>
          <w:sz w:val="22"/>
        </w:rPr>
        <w:t>is</w:t>
      </w:r>
      <w:r>
        <w:rPr>
          <w:spacing w:val="-3"/>
          <w:sz w:val="22"/>
        </w:rPr>
        <w:t> </w:t>
      </w:r>
      <w:r>
        <w:rPr>
          <w:sz w:val="22"/>
        </w:rPr>
        <w:t>paid</w:t>
      </w:r>
      <w:r>
        <w:rPr>
          <w:spacing w:val="-3"/>
          <w:sz w:val="22"/>
        </w:rPr>
        <w:t> </w:t>
      </w:r>
      <w:r>
        <w:rPr>
          <w:sz w:val="22"/>
        </w:rPr>
        <w:t>at</w:t>
      </w:r>
      <w:r>
        <w:rPr>
          <w:spacing w:val="-3"/>
          <w:sz w:val="22"/>
        </w:rPr>
        <w:t> </w:t>
      </w:r>
      <w:r>
        <w:rPr>
          <w:sz w:val="22"/>
        </w:rPr>
        <w:t>the</w:t>
      </w:r>
      <w:r>
        <w:rPr>
          <w:spacing w:val="-3"/>
          <w:sz w:val="22"/>
        </w:rPr>
        <w:t> </w:t>
      </w:r>
      <w:r>
        <w:rPr>
          <w:sz w:val="22"/>
        </w:rPr>
        <w:t>rate</w:t>
      </w:r>
      <w:r>
        <w:rPr>
          <w:spacing w:val="-3"/>
          <w:sz w:val="22"/>
        </w:rPr>
        <w:t> </w:t>
      </w:r>
      <w:r>
        <w:rPr>
          <w:sz w:val="22"/>
        </w:rPr>
        <w:t>of</w:t>
      </w:r>
      <w:r>
        <w:rPr>
          <w:spacing w:val="-3"/>
          <w:sz w:val="22"/>
        </w:rPr>
        <w:t> </w:t>
      </w:r>
      <w:r>
        <w:rPr>
          <w:sz w:val="22"/>
        </w:rPr>
        <w:t>100%</w:t>
      </w:r>
      <w:r>
        <w:rPr>
          <w:spacing w:val="-3"/>
          <w:sz w:val="22"/>
        </w:rPr>
        <w:t> </w:t>
      </w:r>
      <w:r>
        <w:rPr>
          <w:sz w:val="22"/>
        </w:rPr>
        <w:t>of</w:t>
      </w:r>
      <w:r>
        <w:rPr>
          <w:spacing w:val="-3"/>
          <w:sz w:val="22"/>
        </w:rPr>
        <w:t> </w:t>
      </w:r>
      <w:r>
        <w:rPr>
          <w:sz w:val="22"/>
        </w:rPr>
        <w:t>the</w:t>
      </w:r>
      <w:r>
        <w:rPr>
          <w:spacing w:val="-3"/>
          <w:sz w:val="22"/>
        </w:rPr>
        <w:t> </w:t>
      </w:r>
      <w:r>
        <w:rPr>
          <w:sz w:val="22"/>
        </w:rPr>
        <w:t>state</w:t>
      </w:r>
      <w:r>
        <w:rPr>
          <w:spacing w:val="-3"/>
          <w:sz w:val="22"/>
        </w:rPr>
        <w:t> </w:t>
      </w:r>
      <w:r>
        <w:rPr>
          <w:sz w:val="22"/>
        </w:rPr>
        <w:t>rate</w:t>
      </w:r>
      <w:r>
        <w:rPr>
          <w:spacing w:val="-3"/>
          <w:sz w:val="22"/>
        </w:rPr>
        <w:t> </w:t>
      </w:r>
      <w:r>
        <w:rPr>
          <w:sz w:val="22"/>
        </w:rPr>
        <w:t>and</w:t>
      </w:r>
      <w:r>
        <w:rPr>
          <w:spacing w:val="-3"/>
          <w:sz w:val="22"/>
        </w:rPr>
        <w:t> </w:t>
      </w:r>
      <w:r>
        <w:rPr>
          <w:sz w:val="22"/>
        </w:rPr>
        <w:t>clarified mileage reimbursement is to pay for all costs associated with driving a vehicle.</w:t>
      </w:r>
    </w:p>
    <w:p>
      <w:pPr>
        <w:tabs>
          <w:tab w:pos="1439" w:val="left" w:leader="none"/>
        </w:tabs>
        <w:spacing w:line="253" w:lineRule="exact" w:before="1"/>
        <w:ind w:left="359" w:right="0" w:firstLine="0"/>
        <w:jc w:val="left"/>
        <w:rPr>
          <w:sz w:val="22"/>
        </w:rPr>
      </w:pPr>
      <w:r>
        <w:rPr>
          <w:spacing w:val="-2"/>
          <w:sz w:val="22"/>
        </w:rPr>
        <w:t>7-1-</w:t>
      </w:r>
      <w:r>
        <w:rPr>
          <w:spacing w:val="-5"/>
          <w:sz w:val="22"/>
        </w:rPr>
        <w:t>08</w:t>
      </w:r>
      <w:r>
        <w:rPr>
          <w:sz w:val="22"/>
        </w:rPr>
        <w:tab/>
        <w:t>PT</w:t>
      </w:r>
      <w:r>
        <w:rPr>
          <w:spacing w:val="-8"/>
          <w:sz w:val="22"/>
        </w:rPr>
        <w:t> </w:t>
      </w:r>
      <w:r>
        <w:rPr>
          <w:sz w:val="22"/>
        </w:rPr>
        <w:t>Memo</w:t>
      </w:r>
      <w:r>
        <w:rPr>
          <w:spacing w:val="-8"/>
          <w:sz w:val="22"/>
        </w:rPr>
        <w:t> </w:t>
      </w:r>
      <w:r>
        <w:rPr>
          <w:sz w:val="22"/>
        </w:rPr>
        <w:t>#09-</w:t>
      </w:r>
      <w:r>
        <w:rPr>
          <w:spacing w:val="-5"/>
          <w:sz w:val="22"/>
        </w:rPr>
        <w:t>01</w:t>
      </w:r>
    </w:p>
    <w:p>
      <w:pPr>
        <w:tabs>
          <w:tab w:pos="1439" w:val="left" w:leader="none"/>
        </w:tabs>
        <w:spacing w:before="0"/>
        <w:ind w:left="359" w:right="5158" w:firstLine="1080"/>
        <w:jc w:val="left"/>
        <w:rPr>
          <w:sz w:val="22"/>
        </w:rPr>
      </w:pPr>
      <w:r>
        <w:rPr>
          <w:sz w:val="22"/>
        </w:rPr>
        <w:t>Permanent,</w:t>
      </w:r>
      <w:r>
        <w:rPr>
          <w:spacing w:val="-12"/>
          <w:sz w:val="22"/>
        </w:rPr>
        <w:t> </w:t>
      </w:r>
      <w:r>
        <w:rPr>
          <w:sz w:val="22"/>
        </w:rPr>
        <w:t>Travel</w:t>
      </w:r>
      <w:r>
        <w:rPr>
          <w:spacing w:val="-13"/>
          <w:sz w:val="22"/>
        </w:rPr>
        <w:t> </w:t>
      </w:r>
      <w:r>
        <w:rPr>
          <w:sz w:val="22"/>
        </w:rPr>
        <w:t>reimbursement</w:t>
      </w:r>
      <w:r>
        <w:rPr>
          <w:spacing w:val="-13"/>
          <w:sz w:val="22"/>
        </w:rPr>
        <w:t> </w:t>
      </w:r>
      <w:r>
        <w:rPr>
          <w:sz w:val="22"/>
        </w:rPr>
        <w:t>75% </w:t>
      </w:r>
      <w:r>
        <w:rPr>
          <w:spacing w:val="-2"/>
          <w:sz w:val="22"/>
        </w:rPr>
        <w:t>7-1-09</w:t>
      </w:r>
      <w:r>
        <w:rPr>
          <w:sz w:val="22"/>
        </w:rPr>
        <w:tab/>
        <w:t>PT Memo #10-01</w:t>
      </w:r>
    </w:p>
    <w:p>
      <w:pPr>
        <w:spacing w:before="0"/>
        <w:ind w:left="1439" w:right="0" w:firstLine="0"/>
        <w:jc w:val="left"/>
        <w:rPr>
          <w:sz w:val="22"/>
        </w:rPr>
      </w:pPr>
      <w:r>
        <w:rPr>
          <w:sz w:val="22"/>
        </w:rPr>
        <w:t>Permanent,</w:t>
      </w:r>
      <w:r>
        <w:rPr>
          <w:spacing w:val="-7"/>
          <w:sz w:val="22"/>
        </w:rPr>
        <w:t> </w:t>
      </w:r>
      <w:r>
        <w:rPr>
          <w:sz w:val="22"/>
        </w:rPr>
        <w:t>added</w:t>
      </w:r>
      <w:r>
        <w:rPr>
          <w:spacing w:val="-7"/>
          <w:sz w:val="22"/>
        </w:rPr>
        <w:t> </w:t>
      </w:r>
      <w:r>
        <w:rPr>
          <w:sz w:val="22"/>
        </w:rPr>
        <w:t>vehicle</w:t>
      </w:r>
      <w:r>
        <w:rPr>
          <w:spacing w:val="-7"/>
          <w:sz w:val="22"/>
        </w:rPr>
        <w:t> </w:t>
      </w:r>
      <w:r>
        <w:rPr>
          <w:sz w:val="22"/>
        </w:rPr>
        <w:t>repairs</w:t>
      </w:r>
      <w:r>
        <w:rPr>
          <w:spacing w:val="-7"/>
          <w:sz w:val="22"/>
        </w:rPr>
        <w:t> </w:t>
      </w:r>
      <w:r>
        <w:rPr>
          <w:sz w:val="22"/>
        </w:rPr>
        <w:t>and</w:t>
      </w:r>
      <w:r>
        <w:rPr>
          <w:spacing w:val="-7"/>
          <w:sz w:val="22"/>
        </w:rPr>
        <w:t> </w:t>
      </w:r>
      <w:r>
        <w:rPr>
          <w:sz w:val="22"/>
        </w:rPr>
        <w:t>formula</w:t>
      </w:r>
      <w:r>
        <w:rPr>
          <w:spacing w:val="-7"/>
          <w:sz w:val="22"/>
        </w:rPr>
        <w:t> </w:t>
      </w:r>
      <w:r>
        <w:rPr>
          <w:sz w:val="22"/>
        </w:rPr>
        <w:t>for</w:t>
      </w:r>
      <w:r>
        <w:rPr>
          <w:spacing w:val="-7"/>
          <w:sz w:val="22"/>
        </w:rPr>
        <w:t> </w:t>
      </w:r>
      <w:r>
        <w:rPr>
          <w:sz w:val="22"/>
        </w:rPr>
        <w:t>private</w:t>
      </w:r>
      <w:r>
        <w:rPr>
          <w:spacing w:val="-7"/>
          <w:sz w:val="22"/>
        </w:rPr>
        <w:t> </w:t>
      </w:r>
      <w:r>
        <w:rPr>
          <w:spacing w:val="-2"/>
          <w:sz w:val="22"/>
        </w:rPr>
        <w:t>transportation.</w:t>
      </w:r>
    </w:p>
    <w:p>
      <w:pPr>
        <w:pStyle w:val="ListParagraph"/>
        <w:numPr>
          <w:ilvl w:val="2"/>
          <w:numId w:val="171"/>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#10-</w:t>
      </w:r>
      <w:r>
        <w:rPr>
          <w:spacing w:val="-5"/>
          <w:sz w:val="22"/>
        </w:rPr>
        <w:t>02</w:t>
      </w:r>
    </w:p>
    <w:p>
      <w:pPr>
        <w:spacing w:line="253" w:lineRule="exact" w:before="0"/>
        <w:ind w:left="1439" w:right="0" w:firstLine="0"/>
        <w:jc w:val="left"/>
        <w:rPr>
          <w:sz w:val="22"/>
        </w:rPr>
      </w:pPr>
      <w:r>
        <w:rPr>
          <w:sz w:val="22"/>
        </w:rPr>
        <w:t>Permanent,</w:t>
      </w:r>
      <w:r>
        <w:rPr>
          <w:spacing w:val="-10"/>
          <w:sz w:val="22"/>
        </w:rPr>
        <w:t> </w:t>
      </w:r>
      <w:r>
        <w:rPr>
          <w:sz w:val="22"/>
        </w:rPr>
        <w:t>expediting</w:t>
      </w:r>
      <w:r>
        <w:rPr>
          <w:spacing w:val="-11"/>
          <w:sz w:val="22"/>
        </w:rPr>
        <w:t> </w:t>
      </w:r>
      <w:r>
        <w:rPr>
          <w:sz w:val="22"/>
        </w:rPr>
        <w:t>calculation</w:t>
      </w:r>
      <w:r>
        <w:rPr>
          <w:spacing w:val="-11"/>
          <w:sz w:val="22"/>
        </w:rPr>
        <w:t> </w:t>
      </w:r>
      <w:r>
        <w:rPr>
          <w:sz w:val="22"/>
        </w:rPr>
        <w:t>of</w:t>
      </w:r>
      <w:r>
        <w:rPr>
          <w:spacing w:val="-11"/>
          <w:sz w:val="22"/>
        </w:rPr>
        <w:t> </w:t>
      </w:r>
      <w:r>
        <w:rPr>
          <w:sz w:val="22"/>
        </w:rPr>
        <w:t>transportation</w:t>
      </w:r>
      <w:r>
        <w:rPr>
          <w:spacing w:val="-11"/>
          <w:sz w:val="22"/>
        </w:rPr>
        <w:t> </w:t>
      </w:r>
      <w:r>
        <w:rPr>
          <w:spacing w:val="-2"/>
          <w:sz w:val="22"/>
        </w:rPr>
        <w:t>assistance.</w:t>
      </w:r>
    </w:p>
    <w:p>
      <w:pPr>
        <w:pStyle w:val="ListParagraph"/>
        <w:numPr>
          <w:ilvl w:val="2"/>
          <w:numId w:val="171"/>
        </w:numPr>
        <w:tabs>
          <w:tab w:pos="1439" w:val="left" w:leader="none"/>
        </w:tabs>
        <w:spacing w:line="253"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before="1"/>
        <w:ind w:left="1439" w:right="0" w:firstLine="0"/>
        <w:jc w:val="left"/>
        <w:rPr>
          <w:sz w:val="22"/>
        </w:rPr>
      </w:pPr>
      <w:r>
        <w:rPr>
          <w:sz w:val="22"/>
        </w:rPr>
        <w:t>Permanent,</w:t>
      </w:r>
      <w:r>
        <w:rPr>
          <w:spacing w:val="-9"/>
          <w:sz w:val="22"/>
        </w:rPr>
        <w:t> </w:t>
      </w:r>
      <w:r>
        <w:rPr>
          <w:sz w:val="22"/>
        </w:rPr>
        <w:t>removed</w:t>
      </w:r>
      <w:r>
        <w:rPr>
          <w:spacing w:val="-9"/>
          <w:sz w:val="22"/>
        </w:rPr>
        <w:t> </w:t>
      </w:r>
      <w:r>
        <w:rPr>
          <w:sz w:val="22"/>
        </w:rPr>
        <w:t>duplicative</w:t>
      </w:r>
      <w:r>
        <w:rPr>
          <w:spacing w:val="-10"/>
          <w:sz w:val="22"/>
        </w:rPr>
        <w:t> </w:t>
      </w:r>
      <w:r>
        <w:rPr>
          <w:sz w:val="22"/>
        </w:rPr>
        <w:t>language</w:t>
      </w:r>
      <w:r>
        <w:rPr>
          <w:spacing w:val="-9"/>
          <w:sz w:val="22"/>
        </w:rPr>
        <w:t> </w:t>
      </w:r>
      <w:r>
        <w:rPr>
          <w:sz w:val="22"/>
        </w:rPr>
        <w:t>and</w:t>
      </w:r>
      <w:r>
        <w:rPr>
          <w:spacing w:val="-10"/>
          <w:sz w:val="22"/>
        </w:rPr>
        <w:t> </w:t>
      </w:r>
      <w:r>
        <w:rPr>
          <w:sz w:val="22"/>
        </w:rPr>
        <w:t>clarified</w:t>
      </w:r>
      <w:r>
        <w:rPr>
          <w:spacing w:val="-9"/>
          <w:sz w:val="22"/>
        </w:rPr>
        <w:t> </w:t>
      </w:r>
      <w:r>
        <w:rPr>
          <w:spacing w:val="-2"/>
          <w:sz w:val="22"/>
        </w:rPr>
        <w:t>intent.</w:t>
      </w:r>
    </w:p>
    <w:p>
      <w:pPr>
        <w:tabs>
          <w:tab w:pos="1439" w:val="left" w:leader="none"/>
        </w:tabs>
        <w:spacing w:before="0"/>
        <w:ind w:left="359" w:right="0" w:firstLine="0"/>
        <w:jc w:val="left"/>
        <w:rPr>
          <w:sz w:val="22"/>
        </w:rPr>
      </w:pPr>
      <w:r>
        <w:rPr>
          <w:spacing w:val="-2"/>
          <w:sz w:val="22"/>
        </w:rPr>
        <w:t>8-26-</w:t>
      </w:r>
      <w:r>
        <w:rPr>
          <w:spacing w:val="-5"/>
          <w:sz w:val="22"/>
        </w:rPr>
        <w:t>21</w:t>
      </w:r>
      <w:r>
        <w:rPr>
          <w:sz w:val="22"/>
        </w:rPr>
        <w:tab/>
        <w:t>Revised</w:t>
      </w:r>
      <w:r>
        <w:rPr>
          <w:spacing w:val="-7"/>
          <w:sz w:val="22"/>
        </w:rPr>
        <w:t> </w:t>
      </w:r>
      <w:r>
        <w:rPr>
          <w:sz w:val="22"/>
        </w:rPr>
        <w:t>to</w:t>
      </w:r>
      <w:r>
        <w:rPr>
          <w:spacing w:val="-6"/>
          <w:sz w:val="22"/>
        </w:rPr>
        <w:t> </w:t>
      </w:r>
      <w:r>
        <w:rPr>
          <w:sz w:val="22"/>
        </w:rPr>
        <w:t>reflect</w:t>
      </w:r>
      <w:r>
        <w:rPr>
          <w:spacing w:val="-7"/>
          <w:sz w:val="22"/>
        </w:rPr>
        <w:t> </w:t>
      </w:r>
      <w:r>
        <w:rPr>
          <w:sz w:val="22"/>
        </w:rPr>
        <w:t>WIOA</w:t>
      </w:r>
      <w:r>
        <w:rPr>
          <w:spacing w:val="-6"/>
          <w:sz w:val="22"/>
        </w:rPr>
        <w:t> </w:t>
      </w:r>
      <w:r>
        <w:rPr>
          <w:spacing w:val="-2"/>
          <w:sz w:val="22"/>
        </w:rPr>
        <w:t>language.</w:t>
      </w:r>
    </w:p>
    <w:p>
      <w:pPr>
        <w:spacing w:after="0"/>
        <w:jc w:val="left"/>
        <w:rPr>
          <w:sz w:val="22"/>
        </w:rPr>
        <w:sectPr>
          <w:pgSz w:w="12240" w:h="15840"/>
          <w:pgMar w:top="1360" w:bottom="280" w:left="1080" w:right="720"/>
        </w:sectPr>
      </w:pPr>
    </w:p>
    <w:p>
      <w:pPr>
        <w:pStyle w:val="Heading2"/>
      </w:pPr>
      <w:bookmarkStart w:name="612:10-7-132.  Services to family member" w:id="163"/>
      <w:bookmarkEnd w:id="163"/>
      <w:r>
        <w:rPr>
          <w:b w:val="0"/>
        </w:rPr>
      </w:r>
      <w:r>
        <w:rPr/>
        <w:t>612:10-7-132.</w:t>
      </w:r>
      <w:r>
        <w:rPr>
          <w:spacing w:val="60"/>
        </w:rPr>
        <w:t> </w:t>
      </w:r>
      <w:r>
        <w:rPr/>
        <w:t>Services</w:t>
      </w:r>
      <w:r>
        <w:rPr>
          <w:spacing w:val="-4"/>
        </w:rPr>
        <w:t> </w:t>
      </w:r>
      <w:r>
        <w:rPr/>
        <w:t>to</w:t>
      </w:r>
      <w:r>
        <w:rPr>
          <w:spacing w:val="-3"/>
        </w:rPr>
        <w:t> </w:t>
      </w:r>
      <w:r>
        <w:rPr/>
        <w:t>family</w:t>
      </w:r>
      <w:r>
        <w:rPr>
          <w:spacing w:val="-3"/>
        </w:rPr>
        <w:t> </w:t>
      </w:r>
      <w:r>
        <w:rPr>
          <w:spacing w:val="-2"/>
        </w:rPr>
        <w:t>members</w:t>
      </w:r>
    </w:p>
    <w:p>
      <w:pPr>
        <w:pStyle w:val="ListParagraph"/>
        <w:numPr>
          <w:ilvl w:val="0"/>
          <w:numId w:val="172"/>
        </w:numPr>
        <w:tabs>
          <w:tab w:pos="786" w:val="left" w:leader="none"/>
        </w:tabs>
        <w:spacing w:line="208" w:lineRule="auto" w:before="233" w:after="0"/>
        <w:ind w:left="360" w:right="793" w:firstLine="0"/>
        <w:jc w:val="left"/>
        <w:rPr>
          <w:sz w:val="24"/>
        </w:rPr>
      </w:pPr>
      <w:r>
        <w:rPr>
          <w:sz w:val="24"/>
        </w:rPr>
        <w:t>Services to family members of an individual with a disability may be provided when such</w:t>
      </w:r>
      <w:r>
        <w:rPr>
          <w:spacing w:val="-4"/>
          <w:sz w:val="24"/>
        </w:rPr>
        <w:t> </w:t>
      </w:r>
      <w:r>
        <w:rPr>
          <w:sz w:val="24"/>
        </w:rPr>
        <w:t>services</w:t>
      </w:r>
      <w:r>
        <w:rPr>
          <w:spacing w:val="-4"/>
          <w:sz w:val="24"/>
        </w:rPr>
        <w:t> </w:t>
      </w:r>
      <w:r>
        <w:rPr>
          <w:sz w:val="24"/>
        </w:rPr>
        <w:t>are</w:t>
      </w:r>
      <w:r>
        <w:rPr>
          <w:spacing w:val="-4"/>
          <w:sz w:val="24"/>
        </w:rPr>
        <w:t> </w:t>
      </w:r>
      <w:r>
        <w:rPr>
          <w:sz w:val="24"/>
        </w:rPr>
        <w:t>necessary</w:t>
      </w:r>
      <w:r>
        <w:rPr>
          <w:spacing w:val="-4"/>
          <w:sz w:val="24"/>
        </w:rPr>
        <w:t> </w:t>
      </w:r>
      <w:r>
        <w:rPr>
          <w:sz w:val="24"/>
        </w:rPr>
        <w:t>to</w:t>
      </w:r>
      <w:r>
        <w:rPr>
          <w:spacing w:val="-4"/>
          <w:sz w:val="24"/>
        </w:rPr>
        <w:t> </w:t>
      </w:r>
      <w:r>
        <w:rPr>
          <w:sz w:val="24"/>
        </w:rPr>
        <w:t>enable</w:t>
      </w:r>
      <w:r>
        <w:rPr>
          <w:spacing w:val="-4"/>
          <w:sz w:val="24"/>
        </w:rPr>
        <w:t> </w:t>
      </w:r>
      <w:r>
        <w:rPr>
          <w:sz w:val="24"/>
        </w:rPr>
        <w:t>the</w:t>
      </w:r>
      <w:r>
        <w:rPr>
          <w:spacing w:val="-4"/>
          <w:sz w:val="24"/>
        </w:rPr>
        <w:t> </w:t>
      </w:r>
      <w:r>
        <w:rPr>
          <w:sz w:val="24"/>
        </w:rPr>
        <w:t>applicant</w:t>
      </w:r>
      <w:r>
        <w:rPr>
          <w:spacing w:val="-3"/>
          <w:sz w:val="24"/>
        </w:rPr>
        <w:t> </w:t>
      </w:r>
      <w:r>
        <w:rPr>
          <w:sz w:val="24"/>
        </w:rPr>
        <w:t>or</w:t>
      </w:r>
      <w:r>
        <w:rPr>
          <w:spacing w:val="-4"/>
          <w:sz w:val="24"/>
        </w:rPr>
        <w:t> </w:t>
      </w:r>
      <w:r>
        <w:rPr>
          <w:sz w:val="24"/>
        </w:rPr>
        <w:t>client</w:t>
      </w:r>
      <w:r>
        <w:rPr>
          <w:spacing w:val="-3"/>
          <w:sz w:val="24"/>
        </w:rPr>
        <w:t> </w:t>
      </w:r>
      <w:r>
        <w:rPr>
          <w:sz w:val="24"/>
        </w:rPr>
        <w:t>to</w:t>
      </w:r>
      <w:r>
        <w:rPr>
          <w:spacing w:val="-4"/>
          <w:sz w:val="24"/>
        </w:rPr>
        <w:t> </w:t>
      </w:r>
      <w:r>
        <w:rPr>
          <w:sz w:val="24"/>
        </w:rPr>
        <w:t>achieve</w:t>
      </w:r>
      <w:r>
        <w:rPr>
          <w:spacing w:val="-4"/>
          <w:sz w:val="24"/>
        </w:rPr>
        <w:t> </w:t>
      </w:r>
      <w:r>
        <w:rPr>
          <w:sz w:val="24"/>
        </w:rPr>
        <w:t>an</w:t>
      </w:r>
      <w:r>
        <w:rPr>
          <w:spacing w:val="-4"/>
          <w:sz w:val="24"/>
        </w:rPr>
        <w:t> </w:t>
      </w:r>
      <w:r>
        <w:rPr>
          <w:sz w:val="24"/>
        </w:rPr>
        <w:t>employment </w:t>
      </w:r>
      <w:r>
        <w:rPr>
          <w:spacing w:val="-2"/>
          <w:sz w:val="24"/>
        </w:rPr>
        <w:t>outcome.</w:t>
      </w:r>
    </w:p>
    <w:p>
      <w:pPr>
        <w:pStyle w:val="ListParagraph"/>
        <w:numPr>
          <w:ilvl w:val="0"/>
          <w:numId w:val="172"/>
        </w:numPr>
        <w:tabs>
          <w:tab w:pos="786" w:val="left" w:leader="none"/>
        </w:tabs>
        <w:spacing w:line="208" w:lineRule="auto" w:before="240" w:after="0"/>
        <w:ind w:left="360" w:right="928" w:firstLine="0"/>
        <w:jc w:val="both"/>
        <w:rPr>
          <w:sz w:val="24"/>
        </w:rPr>
      </w:pPr>
      <w:r>
        <w:rPr>
          <w:sz w:val="24"/>
        </w:rPr>
        <w:t>Services</w:t>
      </w:r>
      <w:r>
        <w:rPr>
          <w:spacing w:val="-5"/>
          <w:sz w:val="24"/>
        </w:rPr>
        <w:t> </w:t>
      </w:r>
      <w:r>
        <w:rPr>
          <w:sz w:val="24"/>
        </w:rPr>
        <w:t>provided</w:t>
      </w:r>
      <w:r>
        <w:rPr>
          <w:spacing w:val="-5"/>
          <w:sz w:val="24"/>
        </w:rPr>
        <w:t> </w:t>
      </w:r>
      <w:r>
        <w:rPr>
          <w:sz w:val="24"/>
        </w:rPr>
        <w:t>family</w:t>
      </w:r>
      <w:r>
        <w:rPr>
          <w:spacing w:val="-5"/>
          <w:sz w:val="24"/>
        </w:rPr>
        <w:t> </w:t>
      </w:r>
      <w:r>
        <w:rPr>
          <w:sz w:val="24"/>
        </w:rPr>
        <w:t>members</w:t>
      </w:r>
      <w:r>
        <w:rPr>
          <w:spacing w:val="-5"/>
          <w:sz w:val="24"/>
        </w:rPr>
        <w:t> </w:t>
      </w:r>
      <w:r>
        <w:rPr>
          <w:sz w:val="24"/>
        </w:rPr>
        <w:t>will</w:t>
      </w:r>
      <w:r>
        <w:rPr>
          <w:spacing w:val="-5"/>
          <w:sz w:val="24"/>
        </w:rPr>
        <w:t> </w:t>
      </w:r>
      <w:r>
        <w:rPr>
          <w:sz w:val="24"/>
        </w:rPr>
        <w:t>consist</w:t>
      </w:r>
      <w:r>
        <w:rPr>
          <w:spacing w:val="-4"/>
          <w:sz w:val="24"/>
        </w:rPr>
        <w:t> </w:t>
      </w:r>
      <w:r>
        <w:rPr>
          <w:sz w:val="24"/>
        </w:rPr>
        <w:t>of</w:t>
      </w:r>
      <w:r>
        <w:rPr>
          <w:spacing w:val="-4"/>
          <w:sz w:val="24"/>
        </w:rPr>
        <w:t> </w:t>
      </w:r>
      <w:r>
        <w:rPr>
          <w:sz w:val="24"/>
        </w:rPr>
        <w:t>counseling,</w:t>
      </w:r>
      <w:r>
        <w:rPr>
          <w:spacing w:val="-4"/>
          <w:sz w:val="24"/>
        </w:rPr>
        <w:t> </w:t>
      </w:r>
      <w:r>
        <w:rPr>
          <w:sz w:val="24"/>
        </w:rPr>
        <w:t>guidance,</w:t>
      </w:r>
      <w:r>
        <w:rPr>
          <w:spacing w:val="-4"/>
          <w:sz w:val="24"/>
        </w:rPr>
        <w:t> </w:t>
      </w:r>
      <w:r>
        <w:rPr>
          <w:sz w:val="24"/>
        </w:rPr>
        <w:t>training</w:t>
      </w:r>
      <w:r>
        <w:rPr>
          <w:spacing w:val="-5"/>
          <w:sz w:val="24"/>
        </w:rPr>
        <w:t> </w:t>
      </w:r>
      <w:r>
        <w:rPr>
          <w:sz w:val="24"/>
        </w:rPr>
        <w:t>on how to help the individual with adjustment to</w:t>
      </w:r>
      <w:r>
        <w:rPr>
          <w:spacing w:val="-1"/>
          <w:sz w:val="24"/>
        </w:rPr>
        <w:t> </w:t>
      </w:r>
      <w:r>
        <w:rPr>
          <w:sz w:val="24"/>
        </w:rPr>
        <w:t>limitations, and referral to sources where needed services may be obtained.</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10-1-97</w:t>
      </w:r>
      <w:r>
        <w:rPr>
          <w:sz w:val="22"/>
        </w:rPr>
        <w:tab/>
        <w:t>PT Memo #98-4</w:t>
      </w:r>
    </w:p>
    <w:p>
      <w:pPr>
        <w:spacing w:before="1"/>
        <w:ind w:left="1439" w:right="775" w:firstLine="0"/>
        <w:jc w:val="left"/>
        <w:rPr>
          <w:sz w:val="22"/>
        </w:rPr>
      </w:pPr>
      <w:r>
        <w:rPr>
          <w:sz w:val="22"/>
        </w:rPr>
        <w:t>Emergency,</w:t>
      </w:r>
      <w:r>
        <w:rPr>
          <w:spacing w:val="-5"/>
          <w:sz w:val="22"/>
        </w:rPr>
        <w:t> </w:t>
      </w:r>
      <w:r>
        <w:rPr>
          <w:sz w:val="22"/>
        </w:rPr>
        <w:t>removed</w:t>
      </w:r>
      <w:r>
        <w:rPr>
          <w:spacing w:val="-5"/>
          <w:sz w:val="22"/>
        </w:rPr>
        <w:t> </w:t>
      </w:r>
      <w:r>
        <w:rPr>
          <w:sz w:val="22"/>
        </w:rPr>
        <w:t>prohibition</w:t>
      </w:r>
      <w:r>
        <w:rPr>
          <w:spacing w:val="-5"/>
          <w:sz w:val="22"/>
        </w:rPr>
        <w:t> </w:t>
      </w:r>
      <w:r>
        <w:rPr>
          <w:sz w:val="22"/>
        </w:rPr>
        <w:t>against</w:t>
      </w:r>
      <w:r>
        <w:rPr>
          <w:spacing w:val="-5"/>
          <w:sz w:val="22"/>
        </w:rPr>
        <w:t> </w:t>
      </w:r>
      <w:r>
        <w:rPr>
          <w:sz w:val="22"/>
        </w:rPr>
        <w:t>paying</w:t>
      </w:r>
      <w:r>
        <w:rPr>
          <w:spacing w:val="-6"/>
          <w:sz w:val="22"/>
        </w:rPr>
        <w:t> </w:t>
      </w:r>
      <w:r>
        <w:rPr>
          <w:sz w:val="22"/>
        </w:rPr>
        <w:t>for</w:t>
      </w:r>
      <w:r>
        <w:rPr>
          <w:spacing w:val="-5"/>
          <w:sz w:val="22"/>
        </w:rPr>
        <w:t> </w:t>
      </w:r>
      <w:r>
        <w:rPr>
          <w:sz w:val="22"/>
        </w:rPr>
        <w:t>services</w:t>
      </w:r>
      <w:r>
        <w:rPr>
          <w:spacing w:val="-6"/>
          <w:sz w:val="22"/>
        </w:rPr>
        <w:t> </w:t>
      </w:r>
      <w:r>
        <w:rPr>
          <w:sz w:val="22"/>
        </w:rPr>
        <w:t>to</w:t>
      </w:r>
      <w:r>
        <w:rPr>
          <w:spacing w:val="-5"/>
          <w:sz w:val="22"/>
        </w:rPr>
        <w:t> </w:t>
      </w:r>
      <w:r>
        <w:rPr>
          <w:sz w:val="22"/>
        </w:rPr>
        <w:t>family</w:t>
      </w:r>
      <w:r>
        <w:rPr>
          <w:spacing w:val="-5"/>
          <w:sz w:val="22"/>
        </w:rPr>
        <w:t> </w:t>
      </w:r>
      <w:r>
        <w:rPr>
          <w:sz w:val="22"/>
        </w:rPr>
        <w:t>members, added description of services to family members which may be purchased</w:t>
      </w:r>
    </w:p>
    <w:p>
      <w:pPr>
        <w:pStyle w:val="ListParagraph"/>
        <w:numPr>
          <w:ilvl w:val="2"/>
          <w:numId w:val="64"/>
        </w:numPr>
        <w:tabs>
          <w:tab w:pos="1439" w:val="left" w:leader="none"/>
        </w:tabs>
        <w:spacing w:line="252"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#98-</w:t>
      </w:r>
      <w:r>
        <w:rPr>
          <w:spacing w:val="-5"/>
          <w:sz w:val="22"/>
        </w:rPr>
        <w:t>15</w:t>
      </w:r>
    </w:p>
    <w:p>
      <w:pPr>
        <w:spacing w:before="0"/>
        <w:ind w:left="1439" w:right="775" w:firstLine="0"/>
        <w:jc w:val="left"/>
        <w:rPr>
          <w:sz w:val="22"/>
        </w:rPr>
      </w:pPr>
      <w:r>
        <w:rPr>
          <w:sz w:val="22"/>
        </w:rPr>
        <w:t>Makes</w:t>
      </w:r>
      <w:r>
        <w:rPr>
          <w:spacing w:val="-4"/>
          <w:sz w:val="22"/>
        </w:rPr>
        <w:t> </w:t>
      </w:r>
      <w:r>
        <w:rPr>
          <w:sz w:val="22"/>
        </w:rPr>
        <w:t>emergency</w:t>
      </w:r>
      <w:r>
        <w:rPr>
          <w:spacing w:val="-4"/>
          <w:sz w:val="22"/>
        </w:rPr>
        <w:t> </w:t>
      </w:r>
      <w:r>
        <w:rPr>
          <w:sz w:val="22"/>
        </w:rPr>
        <w:t>issued</w:t>
      </w:r>
      <w:r>
        <w:rPr>
          <w:spacing w:val="-4"/>
          <w:sz w:val="22"/>
        </w:rPr>
        <w:t> </w:t>
      </w:r>
      <w:r>
        <w:rPr>
          <w:sz w:val="22"/>
        </w:rPr>
        <w:t>10-1-97</w:t>
      </w:r>
      <w:r>
        <w:rPr>
          <w:spacing w:val="-4"/>
          <w:sz w:val="22"/>
        </w:rPr>
        <w:t> </w:t>
      </w:r>
      <w:r>
        <w:rPr>
          <w:sz w:val="22"/>
        </w:rPr>
        <w:t>permanent.</w:t>
      </w:r>
      <w:r>
        <w:rPr>
          <w:spacing w:val="-4"/>
          <w:sz w:val="22"/>
        </w:rPr>
        <w:t> </w:t>
      </w:r>
      <w:r>
        <w:rPr>
          <w:sz w:val="22"/>
        </w:rPr>
        <w:t>RVS</w:t>
      </w:r>
      <w:r>
        <w:rPr>
          <w:spacing w:val="-4"/>
          <w:sz w:val="22"/>
        </w:rPr>
        <w:t> </w:t>
      </w:r>
      <w:r>
        <w:rPr>
          <w:sz w:val="22"/>
        </w:rPr>
        <w:t>funds</w:t>
      </w:r>
      <w:r>
        <w:rPr>
          <w:spacing w:val="-4"/>
          <w:sz w:val="22"/>
        </w:rPr>
        <w:t> </w:t>
      </w:r>
      <w:r>
        <w:rPr>
          <w:sz w:val="22"/>
        </w:rPr>
        <w:t>can</w:t>
      </w:r>
      <w:r>
        <w:rPr>
          <w:spacing w:val="-4"/>
          <w:sz w:val="22"/>
        </w:rPr>
        <w:t> </w:t>
      </w:r>
      <w:r>
        <w:rPr>
          <w:sz w:val="22"/>
        </w:rPr>
        <w:t>be</w:t>
      </w:r>
      <w:r>
        <w:rPr>
          <w:spacing w:val="-4"/>
          <w:sz w:val="22"/>
        </w:rPr>
        <w:t> </w:t>
      </w:r>
      <w:r>
        <w:rPr>
          <w:sz w:val="22"/>
        </w:rPr>
        <w:t>used</w:t>
      </w:r>
      <w:r>
        <w:rPr>
          <w:spacing w:val="-4"/>
          <w:sz w:val="22"/>
        </w:rPr>
        <w:t> </w:t>
      </w:r>
      <w:r>
        <w:rPr>
          <w:sz w:val="22"/>
        </w:rPr>
        <w:t>to</w:t>
      </w:r>
      <w:r>
        <w:rPr>
          <w:spacing w:val="-5"/>
          <w:sz w:val="22"/>
        </w:rPr>
        <w:t> </w:t>
      </w:r>
      <w:r>
        <w:rPr>
          <w:sz w:val="22"/>
        </w:rPr>
        <w:t>purchase services to family members under specified conditions.</w:t>
      </w:r>
    </w:p>
    <w:p>
      <w:pPr>
        <w:spacing w:after="0"/>
        <w:jc w:val="left"/>
        <w:rPr>
          <w:sz w:val="22"/>
        </w:rPr>
        <w:sectPr>
          <w:pgSz w:w="12240" w:h="15840"/>
          <w:pgMar w:top="1340" w:bottom="280" w:left="1080" w:right="720"/>
        </w:sectPr>
      </w:pPr>
    </w:p>
    <w:p>
      <w:pPr>
        <w:pStyle w:val="Heading1"/>
        <w:ind w:left="421" w:right="777"/>
      </w:pPr>
      <w:bookmarkStart w:name="PART 14.  COMMUNITY PROVIDER EMPLOYMENT " w:id="164"/>
      <w:bookmarkEnd w:id="164"/>
      <w:r>
        <w:rPr>
          <w:b w:val="0"/>
        </w:rPr>
      </w:r>
      <w:r>
        <w:rPr/>
        <w:t>PART</w:t>
      </w:r>
      <w:r>
        <w:rPr>
          <w:spacing w:val="-2"/>
        </w:rPr>
        <w:t> </w:t>
      </w:r>
      <w:r>
        <w:rPr/>
        <w:t>14.</w:t>
      </w:r>
      <w:r>
        <w:rPr>
          <w:spacing w:val="59"/>
        </w:rPr>
        <w:t> </w:t>
      </w:r>
      <w:r>
        <w:rPr/>
        <w:t>COMMUNITY</w:t>
      </w:r>
      <w:r>
        <w:rPr>
          <w:spacing w:val="-3"/>
        </w:rPr>
        <w:t> </w:t>
      </w:r>
      <w:r>
        <w:rPr/>
        <w:t>PROVIDER</w:t>
      </w:r>
      <w:r>
        <w:rPr>
          <w:spacing w:val="-3"/>
        </w:rPr>
        <w:t> </w:t>
      </w:r>
      <w:r>
        <w:rPr/>
        <w:t>EMPLOYMENT</w:t>
      </w:r>
      <w:r>
        <w:rPr>
          <w:spacing w:val="-1"/>
        </w:rPr>
        <w:t> </w:t>
      </w:r>
      <w:r>
        <w:rPr>
          <w:spacing w:val="-2"/>
        </w:rPr>
        <w:t>SERVICES</w:t>
      </w:r>
    </w:p>
    <w:p>
      <w:pPr>
        <w:pStyle w:val="Heading1"/>
        <w:spacing w:after="0"/>
        <w:sectPr>
          <w:pgSz w:w="12240" w:h="15840"/>
          <w:pgMar w:top="1340" w:bottom="280" w:left="1080" w:right="720"/>
        </w:sectPr>
      </w:pPr>
    </w:p>
    <w:p>
      <w:pPr>
        <w:pStyle w:val="Heading2"/>
      </w:pPr>
      <w:bookmarkStart w:name="612:10-7-134.  Competitive integrated em" w:id="165"/>
      <w:bookmarkEnd w:id="165"/>
      <w:r>
        <w:rPr>
          <w:b w:val="0"/>
        </w:rPr>
      </w:r>
      <w:r>
        <w:rPr/>
        <w:t>612:10-7-134.</w:t>
      </w:r>
      <w:r>
        <w:rPr>
          <w:spacing w:val="54"/>
        </w:rPr>
        <w:t> </w:t>
      </w:r>
      <w:r>
        <w:rPr/>
        <w:t>Competitive</w:t>
      </w:r>
      <w:r>
        <w:rPr>
          <w:spacing w:val="-5"/>
        </w:rPr>
        <w:t> </w:t>
      </w:r>
      <w:r>
        <w:rPr/>
        <w:t>integrated</w:t>
      </w:r>
      <w:r>
        <w:rPr>
          <w:spacing w:val="-5"/>
        </w:rPr>
        <w:t> </w:t>
      </w:r>
      <w:r>
        <w:rPr>
          <w:spacing w:val="-2"/>
        </w:rPr>
        <w:t>employment</w:t>
      </w:r>
    </w:p>
    <w:p>
      <w:pPr>
        <w:pStyle w:val="BodyText"/>
        <w:spacing w:line="259" w:lineRule="auto" w:before="237"/>
        <w:ind w:left="359" w:right="750" w:firstLine="450"/>
      </w:pPr>
      <w:r>
        <w:rPr/>
        <w:t>Competitive</w:t>
      </w:r>
      <w:r>
        <w:rPr>
          <w:spacing w:val="-5"/>
        </w:rPr>
        <w:t> </w:t>
      </w:r>
      <w:r>
        <w:rPr/>
        <w:t>integrated</w:t>
      </w:r>
      <w:r>
        <w:rPr>
          <w:spacing w:val="-5"/>
        </w:rPr>
        <w:t> </w:t>
      </w:r>
      <w:r>
        <w:rPr/>
        <w:t>employment</w:t>
      </w:r>
      <w:r>
        <w:rPr>
          <w:spacing w:val="-4"/>
        </w:rPr>
        <w:t> </w:t>
      </w:r>
      <w:r>
        <w:rPr/>
        <w:t>for</w:t>
      </w:r>
      <w:r>
        <w:rPr>
          <w:spacing w:val="-4"/>
        </w:rPr>
        <w:t> </w:t>
      </w:r>
      <w:r>
        <w:rPr/>
        <w:t>individuals</w:t>
      </w:r>
      <w:r>
        <w:rPr>
          <w:spacing w:val="-5"/>
        </w:rPr>
        <w:t> </w:t>
      </w:r>
      <w:r>
        <w:rPr/>
        <w:t>receiving</w:t>
      </w:r>
      <w:r>
        <w:rPr>
          <w:spacing w:val="-5"/>
        </w:rPr>
        <w:t> </w:t>
      </w:r>
      <w:r>
        <w:rPr/>
        <w:t>employment</w:t>
      </w:r>
      <w:r>
        <w:rPr>
          <w:spacing w:val="-4"/>
        </w:rPr>
        <w:t> </w:t>
      </w:r>
      <w:r>
        <w:rPr/>
        <w:t>services</w:t>
      </w:r>
      <w:r>
        <w:rPr>
          <w:spacing w:val="-5"/>
        </w:rPr>
        <w:t> </w:t>
      </w:r>
      <w:r>
        <w:rPr/>
        <w:t>is defined as employment performed on a full-time or part-time basis in an integrated setting, consistent with the strengths, resources, priorities, concerns, abilities, capabilities, interests, and informed choice of the individual. The individual is compensated at or above minimum wage, but not less than the customary or usual wage paid by the employer for the same or similar work performed by individuals</w:t>
      </w:r>
      <w:r>
        <w:rPr>
          <w:spacing w:val="40"/>
        </w:rPr>
        <w:t> </w:t>
      </w:r>
      <w:r>
        <w:rPr/>
        <w:t>without disabilities. </w:t>
      </w:r>
      <w:r>
        <w:rPr>
          <w:b/>
        </w:rPr>
        <w:t>(See </w:t>
      </w:r>
      <w:r>
        <w:rPr>
          <w:b/>
          <w:sz w:val="23"/>
        </w:rPr>
        <w:t>34 CFR 361.5(c)(9).) </w:t>
      </w:r>
      <w:r>
        <w:rPr/>
        <w:t>Wages must be paid by the employer instead of the contractor, unless the contractor is the employer of record, and the wage meets the ONET median hourly wage, (</w:t>
      </w:r>
      <w:hyperlink r:id="rId56">
        <w:r>
          <w:rPr>
            <w:color w:val="0000FF"/>
            <w:u w:val="single" w:color="0000FF"/>
          </w:rPr>
          <w:t>www.onetonline.org</w:t>
        </w:r>
      </w:hyperlink>
      <w:r>
        <w:rPr>
          <w:u w:val="none"/>
        </w:rPr>
        <w:t>) for the type of job and location of the job.</w:t>
      </w:r>
    </w:p>
    <w:p>
      <w:pPr>
        <w:spacing w:before="157"/>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157"/>
        </w:numPr>
        <w:tabs>
          <w:tab w:pos="1439" w:val="left" w:leader="none"/>
        </w:tabs>
        <w:spacing w:line="240" w:lineRule="auto" w:before="0" w:after="0"/>
        <w:ind w:left="1439" w:right="0" w:hanging="1079"/>
        <w:jc w:val="left"/>
        <w:rPr>
          <w:sz w:val="22"/>
        </w:rPr>
      </w:pPr>
      <w:r>
        <w:rPr>
          <w:sz w:val="22"/>
        </w:rPr>
        <w:t>Permanent,</w:t>
      </w:r>
      <w:r>
        <w:rPr>
          <w:spacing w:val="-8"/>
          <w:sz w:val="22"/>
        </w:rPr>
        <w:t> </w:t>
      </w:r>
      <w:r>
        <w:rPr>
          <w:sz w:val="22"/>
        </w:rPr>
        <w:t>new</w:t>
      </w:r>
      <w:r>
        <w:rPr>
          <w:spacing w:val="-10"/>
          <w:sz w:val="22"/>
        </w:rPr>
        <w:t> </w:t>
      </w:r>
      <w:r>
        <w:rPr>
          <w:spacing w:val="-2"/>
          <w:sz w:val="22"/>
        </w:rPr>
        <w:t>rule.</w:t>
      </w:r>
    </w:p>
    <w:p>
      <w:pPr>
        <w:pStyle w:val="ListParagraph"/>
        <w:spacing w:after="0" w:line="240" w:lineRule="auto"/>
        <w:jc w:val="left"/>
        <w:rPr>
          <w:sz w:val="22"/>
        </w:rPr>
        <w:sectPr>
          <w:pgSz w:w="12240" w:h="15840"/>
          <w:pgMar w:top="1340" w:bottom="280" w:left="1080" w:right="720"/>
        </w:sectPr>
      </w:pPr>
    </w:p>
    <w:p>
      <w:pPr>
        <w:pStyle w:val="Heading2"/>
      </w:pPr>
      <w:bookmarkStart w:name="612:10-7-135.  Supplemental Employment S" w:id="166"/>
      <w:bookmarkEnd w:id="166"/>
      <w:r>
        <w:rPr>
          <w:b w:val="0"/>
        </w:rPr>
      </w:r>
      <w:r>
        <w:rPr/>
        <w:t>612:10-7-135.</w:t>
      </w:r>
      <w:r>
        <w:rPr>
          <w:spacing w:val="53"/>
        </w:rPr>
        <w:t> </w:t>
      </w:r>
      <w:r>
        <w:rPr/>
        <w:t>Supplemental</w:t>
      </w:r>
      <w:r>
        <w:rPr>
          <w:spacing w:val="-4"/>
        </w:rPr>
        <w:t> </w:t>
      </w:r>
      <w:r>
        <w:rPr/>
        <w:t>Employment</w:t>
      </w:r>
      <w:r>
        <w:rPr>
          <w:spacing w:val="-5"/>
        </w:rPr>
        <w:t> </w:t>
      </w:r>
      <w:r>
        <w:rPr/>
        <w:t>Services</w:t>
      </w:r>
      <w:r>
        <w:rPr>
          <w:spacing w:val="-5"/>
        </w:rPr>
        <w:t> </w:t>
      </w:r>
      <w:r>
        <w:rPr>
          <w:spacing w:val="-2"/>
        </w:rPr>
        <w:t>(SES)</w:t>
      </w:r>
    </w:p>
    <w:p>
      <w:pPr>
        <w:pStyle w:val="ListParagraph"/>
        <w:numPr>
          <w:ilvl w:val="0"/>
          <w:numId w:val="173"/>
        </w:numPr>
        <w:tabs>
          <w:tab w:pos="785" w:val="left" w:leader="none"/>
        </w:tabs>
        <w:spacing w:line="259" w:lineRule="auto" w:before="237" w:after="0"/>
        <w:ind w:left="360" w:right="859" w:firstLine="0"/>
        <w:jc w:val="left"/>
        <w:rPr>
          <w:sz w:val="24"/>
        </w:rPr>
      </w:pPr>
      <w:r>
        <w:rPr>
          <w:b/>
          <w:sz w:val="24"/>
        </w:rPr>
        <w:t>Overview of Supplemental Employment Services (SES). </w:t>
      </w:r>
      <w:r>
        <w:rPr>
          <w:sz w:val="24"/>
        </w:rPr>
        <w:t>Supplemental Employment</w:t>
      </w:r>
      <w:r>
        <w:rPr>
          <w:spacing w:val="-3"/>
          <w:sz w:val="24"/>
        </w:rPr>
        <w:t> </w:t>
      </w:r>
      <w:r>
        <w:rPr>
          <w:sz w:val="24"/>
        </w:rPr>
        <w:t>Services</w:t>
      </w:r>
      <w:r>
        <w:rPr>
          <w:spacing w:val="-4"/>
          <w:sz w:val="24"/>
        </w:rPr>
        <w:t> </w:t>
      </w:r>
      <w:r>
        <w:rPr>
          <w:sz w:val="24"/>
        </w:rPr>
        <w:t>(SES)</w:t>
      </w:r>
      <w:r>
        <w:rPr>
          <w:spacing w:val="-3"/>
          <w:sz w:val="24"/>
        </w:rPr>
        <w:t> </w:t>
      </w:r>
      <w:r>
        <w:rPr>
          <w:sz w:val="24"/>
        </w:rPr>
        <w:t>are</w:t>
      </w:r>
      <w:r>
        <w:rPr>
          <w:spacing w:val="-5"/>
          <w:sz w:val="24"/>
        </w:rPr>
        <w:t> </w:t>
      </w:r>
      <w:r>
        <w:rPr>
          <w:sz w:val="24"/>
        </w:rPr>
        <w:t>intended</w:t>
      </w:r>
      <w:r>
        <w:rPr>
          <w:spacing w:val="-4"/>
          <w:sz w:val="24"/>
        </w:rPr>
        <w:t> </w:t>
      </w:r>
      <w:r>
        <w:rPr>
          <w:sz w:val="24"/>
        </w:rPr>
        <w:t>for</w:t>
      </w:r>
      <w:r>
        <w:rPr>
          <w:spacing w:val="-3"/>
          <w:sz w:val="24"/>
        </w:rPr>
        <w:t> </w:t>
      </w:r>
      <w:r>
        <w:rPr>
          <w:sz w:val="24"/>
        </w:rPr>
        <w:t>individuals</w:t>
      </w:r>
      <w:r>
        <w:rPr>
          <w:spacing w:val="-4"/>
          <w:sz w:val="24"/>
        </w:rPr>
        <w:t> </w:t>
      </w:r>
      <w:r>
        <w:rPr>
          <w:sz w:val="24"/>
        </w:rPr>
        <w:t>with</w:t>
      </w:r>
      <w:r>
        <w:rPr>
          <w:spacing w:val="-4"/>
          <w:sz w:val="24"/>
        </w:rPr>
        <w:t> </w:t>
      </w:r>
      <w:r>
        <w:rPr>
          <w:sz w:val="24"/>
        </w:rPr>
        <w:t>disabilities,</w:t>
      </w:r>
      <w:r>
        <w:rPr>
          <w:spacing w:val="-3"/>
          <w:sz w:val="24"/>
        </w:rPr>
        <w:t> </w:t>
      </w:r>
      <w:r>
        <w:rPr>
          <w:sz w:val="24"/>
        </w:rPr>
        <w:t>who</w:t>
      </w:r>
      <w:r>
        <w:rPr>
          <w:spacing w:val="-4"/>
          <w:sz w:val="24"/>
        </w:rPr>
        <w:t> </w:t>
      </w:r>
      <w:r>
        <w:rPr>
          <w:sz w:val="24"/>
        </w:rPr>
        <w:t>need</w:t>
      </w:r>
      <w:r>
        <w:rPr>
          <w:spacing w:val="-4"/>
          <w:sz w:val="24"/>
        </w:rPr>
        <w:t> </w:t>
      </w:r>
      <w:r>
        <w:rPr>
          <w:sz w:val="24"/>
        </w:rPr>
        <w:t>on- site and off-site support and training to prepare for and obtain competitive integrated employment. These services can be used individually or with other employment contracts to meet the individual’s needs.</w:t>
      </w:r>
    </w:p>
    <w:p>
      <w:pPr>
        <w:pStyle w:val="ListParagraph"/>
        <w:numPr>
          <w:ilvl w:val="0"/>
          <w:numId w:val="173"/>
        </w:numPr>
        <w:tabs>
          <w:tab w:pos="786" w:val="left" w:leader="none"/>
        </w:tabs>
        <w:spacing w:line="259" w:lineRule="auto" w:before="159" w:after="0"/>
        <w:ind w:left="360" w:right="781" w:firstLine="0"/>
        <w:jc w:val="left"/>
        <w:rPr>
          <w:sz w:val="24"/>
        </w:rPr>
      </w:pPr>
      <w:r>
        <w:rPr>
          <w:b/>
          <w:sz w:val="24"/>
        </w:rPr>
        <w:t>Provision of Supplemental Employment Services (SES). </w:t>
      </w:r>
      <w:r>
        <w:rPr>
          <w:sz w:val="24"/>
        </w:rPr>
        <w:t>Supplemental Employment Services (SES) are not subject to financial status determination. SES services are purchased from a qualified contractor with the Oklahoma Department of Rehabilitation Services and are provided by certified employment consultants or job coaches.</w:t>
      </w:r>
      <w:r>
        <w:rPr>
          <w:spacing w:val="-4"/>
          <w:sz w:val="24"/>
        </w:rPr>
        <w:t> </w:t>
      </w:r>
      <w:r>
        <w:rPr>
          <w:sz w:val="24"/>
        </w:rPr>
        <w:t>Payment</w:t>
      </w:r>
      <w:r>
        <w:rPr>
          <w:spacing w:val="-4"/>
          <w:sz w:val="24"/>
        </w:rPr>
        <w:t> </w:t>
      </w:r>
      <w:r>
        <w:rPr>
          <w:sz w:val="24"/>
        </w:rPr>
        <w:t>rates</w:t>
      </w:r>
      <w:r>
        <w:rPr>
          <w:spacing w:val="-5"/>
          <w:sz w:val="24"/>
        </w:rPr>
        <w:t> </w:t>
      </w:r>
      <w:r>
        <w:rPr>
          <w:sz w:val="24"/>
        </w:rPr>
        <w:t>are</w:t>
      </w:r>
      <w:r>
        <w:rPr>
          <w:spacing w:val="-5"/>
          <w:sz w:val="24"/>
        </w:rPr>
        <w:t> </w:t>
      </w:r>
      <w:r>
        <w:rPr>
          <w:sz w:val="24"/>
        </w:rPr>
        <w:t>established</w:t>
      </w:r>
      <w:r>
        <w:rPr>
          <w:spacing w:val="-5"/>
          <w:sz w:val="24"/>
        </w:rPr>
        <w:t> </w:t>
      </w:r>
      <w:r>
        <w:rPr>
          <w:sz w:val="24"/>
        </w:rPr>
        <w:t>by</w:t>
      </w:r>
      <w:r>
        <w:rPr>
          <w:spacing w:val="-5"/>
          <w:sz w:val="24"/>
        </w:rPr>
        <w:t> </w:t>
      </w:r>
      <w:r>
        <w:rPr>
          <w:sz w:val="24"/>
        </w:rPr>
        <w:t>the</w:t>
      </w:r>
      <w:r>
        <w:rPr>
          <w:spacing w:val="-5"/>
          <w:sz w:val="24"/>
        </w:rPr>
        <w:t> </w:t>
      </w:r>
      <w:r>
        <w:rPr>
          <w:sz w:val="24"/>
        </w:rPr>
        <w:t>Commission</w:t>
      </w:r>
      <w:r>
        <w:rPr>
          <w:spacing w:val="-5"/>
          <w:sz w:val="24"/>
        </w:rPr>
        <w:t> </w:t>
      </w:r>
      <w:r>
        <w:rPr>
          <w:sz w:val="24"/>
        </w:rPr>
        <w:t>for</w:t>
      </w:r>
      <w:r>
        <w:rPr>
          <w:spacing w:val="-4"/>
          <w:sz w:val="24"/>
        </w:rPr>
        <w:t> </w:t>
      </w:r>
      <w:r>
        <w:rPr>
          <w:sz w:val="24"/>
        </w:rPr>
        <w:t>Rehabilitation</w:t>
      </w:r>
      <w:r>
        <w:rPr>
          <w:spacing w:val="-4"/>
          <w:sz w:val="24"/>
        </w:rPr>
        <w:t> </w:t>
      </w:r>
      <w:r>
        <w:rPr>
          <w:sz w:val="24"/>
        </w:rPr>
        <w:t>Services.</w:t>
      </w:r>
    </w:p>
    <w:p>
      <w:pPr>
        <w:pStyle w:val="ListParagraph"/>
        <w:numPr>
          <w:ilvl w:val="0"/>
          <w:numId w:val="173"/>
        </w:numPr>
        <w:tabs>
          <w:tab w:pos="773" w:val="left" w:leader="none"/>
        </w:tabs>
        <w:spacing w:line="259" w:lineRule="auto" w:before="159" w:after="0"/>
        <w:ind w:left="360" w:right="917" w:firstLine="0"/>
        <w:jc w:val="left"/>
        <w:rPr>
          <w:sz w:val="24"/>
        </w:rPr>
      </w:pPr>
      <w:r>
        <w:rPr>
          <w:b/>
          <w:sz w:val="24"/>
        </w:rPr>
        <w:t>Eligibility</w:t>
      </w:r>
      <w:r>
        <w:rPr>
          <w:b/>
          <w:spacing w:val="-5"/>
          <w:sz w:val="24"/>
        </w:rPr>
        <w:t> </w:t>
      </w:r>
      <w:r>
        <w:rPr>
          <w:b/>
          <w:sz w:val="24"/>
        </w:rPr>
        <w:t>for</w:t>
      </w:r>
      <w:r>
        <w:rPr>
          <w:b/>
          <w:spacing w:val="-6"/>
          <w:sz w:val="24"/>
        </w:rPr>
        <w:t> </w:t>
      </w:r>
      <w:r>
        <w:rPr>
          <w:b/>
          <w:sz w:val="24"/>
        </w:rPr>
        <w:t>Supplemental</w:t>
      </w:r>
      <w:r>
        <w:rPr>
          <w:b/>
          <w:spacing w:val="-6"/>
          <w:sz w:val="24"/>
        </w:rPr>
        <w:t> </w:t>
      </w:r>
      <w:r>
        <w:rPr>
          <w:b/>
          <w:sz w:val="24"/>
        </w:rPr>
        <w:t>Employment</w:t>
      </w:r>
      <w:r>
        <w:rPr>
          <w:b/>
          <w:spacing w:val="-4"/>
          <w:sz w:val="24"/>
        </w:rPr>
        <w:t> </w:t>
      </w:r>
      <w:r>
        <w:rPr>
          <w:b/>
          <w:sz w:val="24"/>
        </w:rPr>
        <w:t>Services</w:t>
      </w:r>
      <w:r>
        <w:rPr>
          <w:b/>
          <w:spacing w:val="-5"/>
          <w:sz w:val="24"/>
        </w:rPr>
        <w:t> </w:t>
      </w:r>
      <w:r>
        <w:rPr>
          <w:b/>
          <w:sz w:val="24"/>
        </w:rPr>
        <w:t>(SES).</w:t>
      </w:r>
      <w:r>
        <w:rPr>
          <w:b/>
          <w:spacing w:val="-5"/>
          <w:sz w:val="24"/>
        </w:rPr>
        <w:t> </w:t>
      </w:r>
      <w:r>
        <w:rPr>
          <w:sz w:val="24"/>
        </w:rPr>
        <w:t>An</w:t>
      </w:r>
      <w:r>
        <w:rPr>
          <w:spacing w:val="-5"/>
          <w:sz w:val="24"/>
        </w:rPr>
        <w:t> </w:t>
      </w:r>
      <w:r>
        <w:rPr>
          <w:sz w:val="24"/>
        </w:rPr>
        <w:t>individual</w:t>
      </w:r>
      <w:r>
        <w:rPr>
          <w:spacing w:val="-4"/>
          <w:sz w:val="24"/>
        </w:rPr>
        <w:t> </w:t>
      </w:r>
      <w:r>
        <w:rPr>
          <w:sz w:val="24"/>
        </w:rPr>
        <w:t>shall</w:t>
      </w:r>
      <w:r>
        <w:rPr>
          <w:spacing w:val="-5"/>
          <w:sz w:val="24"/>
        </w:rPr>
        <w:t> </w:t>
      </w:r>
      <w:r>
        <w:rPr>
          <w:sz w:val="24"/>
        </w:rPr>
        <w:t>be eligible for supplemental employment services if:</w:t>
      </w:r>
    </w:p>
    <w:p>
      <w:pPr>
        <w:pStyle w:val="ListParagraph"/>
        <w:numPr>
          <w:ilvl w:val="1"/>
          <w:numId w:val="173"/>
        </w:numPr>
        <w:tabs>
          <w:tab w:pos="1218" w:val="left" w:leader="none"/>
        </w:tabs>
        <w:spacing w:line="240" w:lineRule="auto" w:before="126" w:after="0"/>
        <w:ind w:left="1218" w:right="0" w:hanging="426"/>
        <w:jc w:val="left"/>
        <w:rPr>
          <w:sz w:val="24"/>
        </w:rPr>
      </w:pPr>
      <w:r>
        <w:rPr>
          <w:sz w:val="24"/>
        </w:rPr>
        <w:t>The</w:t>
      </w:r>
      <w:r>
        <w:rPr>
          <w:spacing w:val="-6"/>
          <w:sz w:val="24"/>
        </w:rPr>
        <w:t> </w:t>
      </w:r>
      <w:r>
        <w:rPr>
          <w:sz w:val="24"/>
        </w:rPr>
        <w:t>individual</w:t>
      </w:r>
      <w:r>
        <w:rPr>
          <w:spacing w:val="-4"/>
          <w:sz w:val="24"/>
        </w:rPr>
        <w:t> </w:t>
      </w:r>
      <w:r>
        <w:rPr>
          <w:sz w:val="24"/>
        </w:rPr>
        <w:t>is</w:t>
      </w:r>
      <w:r>
        <w:rPr>
          <w:spacing w:val="-4"/>
          <w:sz w:val="24"/>
        </w:rPr>
        <w:t> </w:t>
      </w:r>
      <w:r>
        <w:rPr>
          <w:sz w:val="24"/>
        </w:rPr>
        <w:t>determined</w:t>
      </w:r>
      <w:r>
        <w:rPr>
          <w:spacing w:val="-4"/>
          <w:sz w:val="24"/>
        </w:rPr>
        <w:t> </w:t>
      </w:r>
      <w:r>
        <w:rPr>
          <w:sz w:val="24"/>
        </w:rPr>
        <w:t>to</w:t>
      </w:r>
      <w:r>
        <w:rPr>
          <w:spacing w:val="-3"/>
          <w:sz w:val="24"/>
        </w:rPr>
        <w:t> </w:t>
      </w:r>
      <w:r>
        <w:rPr>
          <w:sz w:val="24"/>
        </w:rPr>
        <w:t>be</w:t>
      </w:r>
      <w:r>
        <w:rPr>
          <w:spacing w:val="-4"/>
          <w:sz w:val="24"/>
        </w:rPr>
        <w:t> </w:t>
      </w:r>
      <w:r>
        <w:rPr>
          <w:sz w:val="24"/>
        </w:rPr>
        <w:t>eligible</w:t>
      </w:r>
      <w:r>
        <w:rPr>
          <w:spacing w:val="-4"/>
          <w:sz w:val="24"/>
        </w:rPr>
        <w:t> </w:t>
      </w:r>
      <w:r>
        <w:rPr>
          <w:sz w:val="24"/>
        </w:rPr>
        <w:t>for</w:t>
      </w:r>
      <w:r>
        <w:rPr>
          <w:spacing w:val="-3"/>
          <w:sz w:val="24"/>
        </w:rPr>
        <w:t> </w:t>
      </w:r>
      <w:r>
        <w:rPr>
          <w:sz w:val="24"/>
        </w:rPr>
        <w:t>vocational</w:t>
      </w:r>
      <w:r>
        <w:rPr>
          <w:spacing w:val="-4"/>
          <w:sz w:val="24"/>
        </w:rPr>
        <w:t> </w:t>
      </w:r>
      <w:r>
        <w:rPr>
          <w:sz w:val="24"/>
        </w:rPr>
        <w:t>rehabilitation</w:t>
      </w:r>
      <w:r>
        <w:rPr>
          <w:spacing w:val="-3"/>
          <w:sz w:val="24"/>
        </w:rPr>
        <w:t> </w:t>
      </w:r>
      <w:r>
        <w:rPr>
          <w:spacing w:val="-2"/>
          <w:sz w:val="24"/>
        </w:rPr>
        <w:t>services;</w:t>
      </w:r>
    </w:p>
    <w:p>
      <w:pPr>
        <w:pStyle w:val="ListParagraph"/>
        <w:numPr>
          <w:ilvl w:val="1"/>
          <w:numId w:val="173"/>
        </w:numPr>
        <w:tabs>
          <w:tab w:pos="1236" w:val="left" w:leader="none"/>
        </w:tabs>
        <w:spacing w:line="208" w:lineRule="auto" w:before="233" w:after="0"/>
        <w:ind w:left="810" w:right="1037" w:firstLine="0"/>
        <w:jc w:val="left"/>
        <w:rPr>
          <w:sz w:val="24"/>
        </w:rPr>
      </w:pPr>
      <w:r>
        <w:rPr>
          <w:sz w:val="24"/>
        </w:rPr>
        <w:t>The</w:t>
      </w:r>
      <w:r>
        <w:rPr>
          <w:spacing w:val="-4"/>
          <w:sz w:val="24"/>
        </w:rPr>
        <w:t> </w:t>
      </w:r>
      <w:r>
        <w:rPr>
          <w:sz w:val="24"/>
        </w:rPr>
        <w:t>individual</w:t>
      </w:r>
      <w:r>
        <w:rPr>
          <w:spacing w:val="-4"/>
          <w:sz w:val="24"/>
        </w:rPr>
        <w:t> </w:t>
      </w:r>
      <w:r>
        <w:rPr>
          <w:sz w:val="24"/>
        </w:rPr>
        <w:t>needs</w:t>
      </w:r>
      <w:r>
        <w:rPr>
          <w:spacing w:val="-4"/>
          <w:sz w:val="24"/>
        </w:rPr>
        <w:t> </w:t>
      </w:r>
      <w:r>
        <w:rPr>
          <w:sz w:val="24"/>
        </w:rPr>
        <w:t>support</w:t>
      </w:r>
      <w:r>
        <w:rPr>
          <w:spacing w:val="-5"/>
          <w:sz w:val="24"/>
        </w:rPr>
        <w:t> </w:t>
      </w:r>
      <w:r>
        <w:rPr>
          <w:sz w:val="24"/>
        </w:rPr>
        <w:t>from</w:t>
      </w:r>
      <w:r>
        <w:rPr>
          <w:spacing w:val="-3"/>
          <w:sz w:val="24"/>
        </w:rPr>
        <w:t> </w:t>
      </w:r>
      <w:r>
        <w:rPr>
          <w:sz w:val="24"/>
        </w:rPr>
        <w:t>a</w:t>
      </w:r>
      <w:r>
        <w:rPr>
          <w:spacing w:val="-5"/>
          <w:sz w:val="24"/>
        </w:rPr>
        <w:t> </w:t>
      </w:r>
      <w:r>
        <w:rPr>
          <w:sz w:val="24"/>
        </w:rPr>
        <w:t>qualified</w:t>
      </w:r>
      <w:r>
        <w:rPr>
          <w:spacing w:val="-4"/>
          <w:sz w:val="24"/>
        </w:rPr>
        <w:t> </w:t>
      </w:r>
      <w:r>
        <w:rPr>
          <w:sz w:val="24"/>
        </w:rPr>
        <w:t>contractor</w:t>
      </w:r>
      <w:r>
        <w:rPr>
          <w:spacing w:val="-3"/>
          <w:sz w:val="24"/>
        </w:rPr>
        <w:t> </w:t>
      </w:r>
      <w:r>
        <w:rPr>
          <w:sz w:val="24"/>
        </w:rPr>
        <w:t>to</w:t>
      </w:r>
      <w:r>
        <w:rPr>
          <w:spacing w:val="-5"/>
          <w:sz w:val="24"/>
        </w:rPr>
        <w:t> </w:t>
      </w:r>
      <w:r>
        <w:rPr>
          <w:sz w:val="24"/>
        </w:rPr>
        <w:t>prepare</w:t>
      </w:r>
      <w:r>
        <w:rPr>
          <w:spacing w:val="-4"/>
          <w:sz w:val="24"/>
        </w:rPr>
        <w:t> </w:t>
      </w:r>
      <w:r>
        <w:rPr>
          <w:sz w:val="24"/>
        </w:rPr>
        <w:t>for</w:t>
      </w:r>
      <w:r>
        <w:rPr>
          <w:spacing w:val="-3"/>
          <w:sz w:val="24"/>
        </w:rPr>
        <w:t> </w:t>
      </w:r>
      <w:r>
        <w:rPr>
          <w:sz w:val="24"/>
        </w:rPr>
        <w:t>and/or obtain successful employment.</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360" w:right="0" w:firstLine="0"/>
        <w:jc w:val="left"/>
        <w:rPr>
          <w:sz w:val="22"/>
        </w:rPr>
      </w:pPr>
      <w:r>
        <w:rPr>
          <w:spacing w:val="-2"/>
          <w:sz w:val="22"/>
        </w:rPr>
        <w:t>8-11-</w:t>
      </w:r>
      <w:r>
        <w:rPr>
          <w:spacing w:val="-5"/>
          <w:sz w:val="22"/>
        </w:rPr>
        <w:t>24</w:t>
      </w:r>
      <w:r>
        <w:rPr>
          <w:sz w:val="22"/>
        </w:rPr>
        <w:tab/>
        <w:t>Permanent,</w:t>
      </w:r>
      <w:r>
        <w:rPr>
          <w:spacing w:val="-8"/>
          <w:sz w:val="22"/>
        </w:rPr>
        <w:t> </w:t>
      </w:r>
      <w:r>
        <w:rPr>
          <w:sz w:val="22"/>
        </w:rPr>
        <w:t>new</w:t>
      </w:r>
      <w:r>
        <w:rPr>
          <w:spacing w:val="-10"/>
          <w:sz w:val="22"/>
        </w:rPr>
        <w:t> </w:t>
      </w:r>
      <w:r>
        <w:rPr>
          <w:spacing w:val="-2"/>
          <w:sz w:val="22"/>
        </w:rPr>
        <w:t>rule.</w:t>
      </w:r>
    </w:p>
    <w:p>
      <w:pPr>
        <w:spacing w:after="0"/>
        <w:jc w:val="left"/>
        <w:rPr>
          <w:sz w:val="22"/>
        </w:rPr>
        <w:sectPr>
          <w:pgSz w:w="12240" w:h="15840"/>
          <w:pgMar w:top="1340" w:bottom="280" w:left="1080" w:right="720"/>
        </w:sectPr>
      </w:pPr>
    </w:p>
    <w:p>
      <w:pPr>
        <w:pStyle w:val="Heading2"/>
      </w:pPr>
      <w:bookmarkStart w:name="612:10-7-136.  Job Placement Services" w:id="167"/>
      <w:bookmarkEnd w:id="167"/>
      <w:r>
        <w:rPr>
          <w:b w:val="0"/>
        </w:rPr>
      </w:r>
      <w:r>
        <w:rPr/>
        <w:t>612:10-7-136.</w:t>
      </w:r>
      <w:r>
        <w:rPr>
          <w:spacing w:val="58"/>
        </w:rPr>
        <w:t> </w:t>
      </w:r>
      <w:r>
        <w:rPr/>
        <w:t>Job</w:t>
      </w:r>
      <w:r>
        <w:rPr>
          <w:spacing w:val="-5"/>
        </w:rPr>
        <w:t> </w:t>
      </w:r>
      <w:r>
        <w:rPr/>
        <w:t>Placement</w:t>
      </w:r>
      <w:r>
        <w:rPr>
          <w:spacing w:val="-3"/>
        </w:rPr>
        <w:t> </w:t>
      </w:r>
      <w:r>
        <w:rPr>
          <w:spacing w:val="-2"/>
        </w:rPr>
        <w:t>Services</w:t>
      </w:r>
    </w:p>
    <w:p>
      <w:pPr>
        <w:pStyle w:val="ListParagraph"/>
        <w:numPr>
          <w:ilvl w:val="0"/>
          <w:numId w:val="174"/>
        </w:numPr>
        <w:tabs>
          <w:tab w:pos="785" w:val="left" w:leader="none"/>
        </w:tabs>
        <w:spacing w:line="259" w:lineRule="auto" w:before="237" w:after="0"/>
        <w:ind w:left="360" w:right="822" w:firstLine="0"/>
        <w:jc w:val="left"/>
        <w:rPr>
          <w:sz w:val="24"/>
        </w:rPr>
      </w:pPr>
      <w:r>
        <w:rPr>
          <w:b/>
          <w:sz w:val="24"/>
        </w:rPr>
        <w:t>Overview of Job</w:t>
      </w:r>
      <w:r>
        <w:rPr>
          <w:b/>
          <w:spacing w:val="-1"/>
          <w:sz w:val="24"/>
        </w:rPr>
        <w:t> </w:t>
      </w:r>
      <w:r>
        <w:rPr>
          <w:b/>
          <w:sz w:val="24"/>
        </w:rPr>
        <w:t>Placement Services. </w:t>
      </w:r>
      <w:r>
        <w:rPr>
          <w:sz w:val="24"/>
        </w:rPr>
        <w:t>Job Placement (JP)</w:t>
      </w:r>
      <w:r>
        <w:rPr>
          <w:spacing w:val="-2"/>
          <w:sz w:val="24"/>
        </w:rPr>
        <w:t> </w:t>
      </w:r>
      <w:r>
        <w:rPr>
          <w:sz w:val="24"/>
        </w:rPr>
        <w:t>Services are provided to individuals having one or more disabilities, not meeting the definition of an individual with a significant or most significant barrier to employment, who need assistance from an employment consultant to identify and implement accommodations to assist the individual</w:t>
      </w:r>
      <w:r>
        <w:rPr>
          <w:spacing w:val="-5"/>
          <w:sz w:val="24"/>
        </w:rPr>
        <w:t> </w:t>
      </w:r>
      <w:r>
        <w:rPr>
          <w:sz w:val="24"/>
        </w:rPr>
        <w:t>with</w:t>
      </w:r>
      <w:r>
        <w:rPr>
          <w:spacing w:val="-5"/>
          <w:sz w:val="24"/>
        </w:rPr>
        <w:t> </w:t>
      </w:r>
      <w:r>
        <w:rPr>
          <w:sz w:val="24"/>
        </w:rPr>
        <w:t>maintaining</w:t>
      </w:r>
      <w:r>
        <w:rPr>
          <w:spacing w:val="-5"/>
          <w:sz w:val="24"/>
        </w:rPr>
        <w:t> </w:t>
      </w:r>
      <w:r>
        <w:rPr>
          <w:sz w:val="24"/>
        </w:rPr>
        <w:t>successful</w:t>
      </w:r>
      <w:r>
        <w:rPr>
          <w:spacing w:val="-5"/>
          <w:sz w:val="24"/>
        </w:rPr>
        <w:t> </w:t>
      </w:r>
      <w:r>
        <w:rPr>
          <w:sz w:val="24"/>
        </w:rPr>
        <w:t>employment.</w:t>
      </w:r>
      <w:r>
        <w:rPr>
          <w:spacing w:val="-4"/>
          <w:sz w:val="24"/>
        </w:rPr>
        <w:t> </w:t>
      </w:r>
      <w:r>
        <w:rPr>
          <w:sz w:val="24"/>
        </w:rPr>
        <w:t>Job</w:t>
      </w:r>
      <w:r>
        <w:rPr>
          <w:spacing w:val="-6"/>
          <w:sz w:val="24"/>
        </w:rPr>
        <w:t> </w:t>
      </w:r>
      <w:r>
        <w:rPr>
          <w:sz w:val="24"/>
        </w:rPr>
        <w:t>Placement</w:t>
      </w:r>
      <w:r>
        <w:rPr>
          <w:spacing w:val="-4"/>
          <w:sz w:val="24"/>
        </w:rPr>
        <w:t> </w:t>
      </w:r>
      <w:r>
        <w:rPr>
          <w:sz w:val="24"/>
        </w:rPr>
        <w:t>Services</w:t>
      </w:r>
      <w:r>
        <w:rPr>
          <w:spacing w:val="-5"/>
          <w:sz w:val="24"/>
        </w:rPr>
        <w:t> </w:t>
      </w:r>
      <w:r>
        <w:rPr>
          <w:sz w:val="24"/>
        </w:rPr>
        <w:t>consists</w:t>
      </w:r>
      <w:r>
        <w:rPr>
          <w:spacing w:val="-5"/>
          <w:sz w:val="24"/>
        </w:rPr>
        <w:t> </w:t>
      </w:r>
      <w:r>
        <w:rPr>
          <w:sz w:val="24"/>
        </w:rPr>
        <w:t>of the Successful Employment Milestone.</w:t>
      </w:r>
    </w:p>
    <w:p>
      <w:pPr>
        <w:pStyle w:val="ListParagraph"/>
        <w:numPr>
          <w:ilvl w:val="0"/>
          <w:numId w:val="174"/>
        </w:numPr>
        <w:tabs>
          <w:tab w:pos="785" w:val="left" w:leader="none"/>
        </w:tabs>
        <w:spacing w:line="259" w:lineRule="auto" w:before="158" w:after="0"/>
        <w:ind w:left="359" w:right="939" w:firstLine="0"/>
        <w:jc w:val="left"/>
        <w:rPr>
          <w:sz w:val="24"/>
        </w:rPr>
      </w:pPr>
      <w:r>
        <w:rPr>
          <w:b/>
          <w:sz w:val="24"/>
        </w:rPr>
        <w:t>Provision of Job Placement Services. </w:t>
      </w:r>
      <w:r>
        <w:rPr>
          <w:sz w:val="24"/>
        </w:rPr>
        <w:t>Job Placement (JP) services are not subject to financial status determination. JP services are purchased from a qualified contractor with the Oklahoma Department of Rehabilitation Services and are provided by</w:t>
      </w:r>
      <w:r>
        <w:rPr>
          <w:spacing w:val="-4"/>
          <w:sz w:val="24"/>
        </w:rPr>
        <w:t> </w:t>
      </w:r>
      <w:r>
        <w:rPr>
          <w:sz w:val="24"/>
        </w:rPr>
        <w:t>certified</w:t>
      </w:r>
      <w:r>
        <w:rPr>
          <w:spacing w:val="-4"/>
          <w:sz w:val="24"/>
        </w:rPr>
        <w:t> </w:t>
      </w:r>
      <w:r>
        <w:rPr>
          <w:sz w:val="24"/>
        </w:rPr>
        <w:t>employment</w:t>
      </w:r>
      <w:r>
        <w:rPr>
          <w:spacing w:val="-3"/>
          <w:sz w:val="24"/>
        </w:rPr>
        <w:t> </w:t>
      </w:r>
      <w:r>
        <w:rPr>
          <w:sz w:val="24"/>
        </w:rPr>
        <w:t>consultants</w:t>
      </w:r>
      <w:r>
        <w:rPr>
          <w:spacing w:val="-4"/>
          <w:sz w:val="24"/>
        </w:rPr>
        <w:t> </w:t>
      </w:r>
      <w:r>
        <w:rPr>
          <w:sz w:val="24"/>
        </w:rPr>
        <w:t>or</w:t>
      </w:r>
      <w:r>
        <w:rPr>
          <w:spacing w:val="-3"/>
          <w:sz w:val="24"/>
        </w:rPr>
        <w:t> </w:t>
      </w:r>
      <w:r>
        <w:rPr>
          <w:sz w:val="24"/>
        </w:rPr>
        <w:t>job</w:t>
      </w:r>
      <w:r>
        <w:rPr>
          <w:spacing w:val="-4"/>
          <w:sz w:val="24"/>
        </w:rPr>
        <w:t> </w:t>
      </w:r>
      <w:r>
        <w:rPr>
          <w:sz w:val="24"/>
        </w:rPr>
        <w:t>coaches.</w:t>
      </w:r>
      <w:r>
        <w:rPr>
          <w:spacing w:val="-3"/>
          <w:sz w:val="24"/>
        </w:rPr>
        <w:t> </w:t>
      </w:r>
      <w:r>
        <w:rPr>
          <w:sz w:val="24"/>
        </w:rPr>
        <w:t>Payment</w:t>
      </w:r>
      <w:r>
        <w:rPr>
          <w:spacing w:val="-3"/>
          <w:sz w:val="24"/>
        </w:rPr>
        <w:t> </w:t>
      </w:r>
      <w:r>
        <w:rPr>
          <w:sz w:val="24"/>
        </w:rPr>
        <w:t>rates</w:t>
      </w:r>
      <w:r>
        <w:rPr>
          <w:spacing w:val="-4"/>
          <w:sz w:val="24"/>
        </w:rPr>
        <w:t> </w:t>
      </w:r>
      <w:r>
        <w:rPr>
          <w:sz w:val="24"/>
        </w:rPr>
        <w:t>are</w:t>
      </w:r>
      <w:r>
        <w:rPr>
          <w:spacing w:val="-4"/>
          <w:sz w:val="24"/>
        </w:rPr>
        <w:t> </w:t>
      </w:r>
      <w:r>
        <w:rPr>
          <w:sz w:val="24"/>
        </w:rPr>
        <w:t>established</w:t>
      </w:r>
      <w:r>
        <w:rPr>
          <w:spacing w:val="-4"/>
          <w:sz w:val="24"/>
        </w:rPr>
        <w:t> </w:t>
      </w:r>
      <w:r>
        <w:rPr>
          <w:sz w:val="24"/>
        </w:rPr>
        <w:t>by the Commission for Rehabilitation Services and are based on a milestone delivery </w:t>
      </w:r>
      <w:r>
        <w:rPr>
          <w:spacing w:val="-2"/>
          <w:sz w:val="24"/>
        </w:rPr>
        <w:t>system.</w:t>
      </w:r>
    </w:p>
    <w:p>
      <w:pPr>
        <w:pStyle w:val="ListParagraph"/>
        <w:numPr>
          <w:ilvl w:val="0"/>
          <w:numId w:val="174"/>
        </w:numPr>
        <w:tabs>
          <w:tab w:pos="772" w:val="left" w:leader="none"/>
        </w:tabs>
        <w:spacing w:line="259" w:lineRule="auto" w:before="160" w:after="0"/>
        <w:ind w:left="359" w:right="1461" w:firstLine="0"/>
        <w:jc w:val="left"/>
        <w:rPr>
          <w:sz w:val="24"/>
        </w:rPr>
      </w:pPr>
      <w:r>
        <w:rPr>
          <w:b/>
          <w:sz w:val="24"/>
        </w:rPr>
        <w:t>Eligibility</w:t>
      </w:r>
      <w:r>
        <w:rPr>
          <w:b/>
          <w:spacing w:val="-4"/>
          <w:sz w:val="24"/>
        </w:rPr>
        <w:t> </w:t>
      </w:r>
      <w:r>
        <w:rPr>
          <w:b/>
          <w:sz w:val="24"/>
        </w:rPr>
        <w:t>for</w:t>
      </w:r>
      <w:r>
        <w:rPr>
          <w:b/>
          <w:spacing w:val="-5"/>
          <w:sz w:val="24"/>
        </w:rPr>
        <w:t> </w:t>
      </w:r>
      <w:r>
        <w:rPr>
          <w:b/>
          <w:sz w:val="24"/>
        </w:rPr>
        <w:t>Job</w:t>
      </w:r>
      <w:r>
        <w:rPr>
          <w:b/>
          <w:spacing w:val="-5"/>
          <w:sz w:val="24"/>
        </w:rPr>
        <w:t> </w:t>
      </w:r>
      <w:r>
        <w:rPr>
          <w:b/>
          <w:sz w:val="24"/>
        </w:rPr>
        <w:t>Placement</w:t>
      </w:r>
      <w:r>
        <w:rPr>
          <w:b/>
          <w:spacing w:val="-3"/>
          <w:sz w:val="24"/>
        </w:rPr>
        <w:t> </w:t>
      </w:r>
      <w:r>
        <w:rPr>
          <w:b/>
          <w:sz w:val="24"/>
        </w:rPr>
        <w:t>Services.</w:t>
      </w:r>
      <w:r>
        <w:rPr>
          <w:b/>
          <w:spacing w:val="-4"/>
          <w:sz w:val="24"/>
        </w:rPr>
        <w:t> </w:t>
      </w:r>
      <w:r>
        <w:rPr>
          <w:sz w:val="24"/>
        </w:rPr>
        <w:t>An</w:t>
      </w:r>
      <w:r>
        <w:rPr>
          <w:spacing w:val="-4"/>
          <w:sz w:val="24"/>
        </w:rPr>
        <w:t> </w:t>
      </w:r>
      <w:r>
        <w:rPr>
          <w:sz w:val="24"/>
        </w:rPr>
        <w:t>individual</w:t>
      </w:r>
      <w:r>
        <w:rPr>
          <w:spacing w:val="-4"/>
          <w:sz w:val="24"/>
        </w:rPr>
        <w:t> </w:t>
      </w:r>
      <w:r>
        <w:rPr>
          <w:sz w:val="24"/>
        </w:rPr>
        <w:t>shall</w:t>
      </w:r>
      <w:r>
        <w:rPr>
          <w:spacing w:val="-4"/>
          <w:sz w:val="24"/>
        </w:rPr>
        <w:t> </w:t>
      </w:r>
      <w:r>
        <w:rPr>
          <w:sz w:val="24"/>
        </w:rPr>
        <w:t>be</w:t>
      </w:r>
      <w:r>
        <w:rPr>
          <w:spacing w:val="-4"/>
          <w:sz w:val="24"/>
        </w:rPr>
        <w:t> </w:t>
      </w:r>
      <w:r>
        <w:rPr>
          <w:sz w:val="24"/>
        </w:rPr>
        <w:t>eligible</w:t>
      </w:r>
      <w:r>
        <w:rPr>
          <w:spacing w:val="-4"/>
          <w:sz w:val="24"/>
        </w:rPr>
        <w:t> </w:t>
      </w:r>
      <w:r>
        <w:rPr>
          <w:sz w:val="24"/>
        </w:rPr>
        <w:t>for</w:t>
      </w:r>
      <w:r>
        <w:rPr>
          <w:spacing w:val="-3"/>
          <w:sz w:val="24"/>
        </w:rPr>
        <w:t> </w:t>
      </w:r>
      <w:r>
        <w:rPr>
          <w:sz w:val="24"/>
        </w:rPr>
        <w:t>job placement (JP) services if:</w:t>
      </w:r>
    </w:p>
    <w:p>
      <w:pPr>
        <w:pStyle w:val="ListParagraph"/>
        <w:numPr>
          <w:ilvl w:val="1"/>
          <w:numId w:val="174"/>
        </w:numPr>
        <w:tabs>
          <w:tab w:pos="1595" w:val="left" w:leader="none"/>
        </w:tabs>
        <w:spacing w:line="208" w:lineRule="auto" w:before="155" w:after="0"/>
        <w:ind w:left="1169" w:right="1518" w:firstLine="0"/>
        <w:jc w:val="left"/>
        <w:rPr>
          <w:sz w:val="24"/>
        </w:rPr>
      </w:pPr>
      <w:r>
        <w:rPr>
          <w:sz w:val="24"/>
        </w:rPr>
        <w:t>The</w:t>
      </w:r>
      <w:r>
        <w:rPr>
          <w:spacing w:val="-5"/>
          <w:sz w:val="24"/>
        </w:rPr>
        <w:t> </w:t>
      </w:r>
      <w:r>
        <w:rPr>
          <w:sz w:val="24"/>
        </w:rPr>
        <w:t>individual</w:t>
      </w:r>
      <w:r>
        <w:rPr>
          <w:spacing w:val="-5"/>
          <w:sz w:val="24"/>
        </w:rPr>
        <w:t> </w:t>
      </w:r>
      <w:r>
        <w:rPr>
          <w:sz w:val="24"/>
        </w:rPr>
        <w:t>is</w:t>
      </w:r>
      <w:r>
        <w:rPr>
          <w:spacing w:val="-5"/>
          <w:sz w:val="24"/>
        </w:rPr>
        <w:t> </w:t>
      </w:r>
      <w:r>
        <w:rPr>
          <w:sz w:val="24"/>
        </w:rPr>
        <w:t>determined</w:t>
      </w:r>
      <w:r>
        <w:rPr>
          <w:spacing w:val="-5"/>
          <w:sz w:val="24"/>
        </w:rPr>
        <w:t> </w:t>
      </w:r>
      <w:r>
        <w:rPr>
          <w:sz w:val="24"/>
        </w:rPr>
        <w:t>to</w:t>
      </w:r>
      <w:r>
        <w:rPr>
          <w:spacing w:val="-5"/>
          <w:sz w:val="24"/>
        </w:rPr>
        <w:t> </w:t>
      </w:r>
      <w:r>
        <w:rPr>
          <w:sz w:val="24"/>
        </w:rPr>
        <w:t>be</w:t>
      </w:r>
      <w:r>
        <w:rPr>
          <w:spacing w:val="-5"/>
          <w:sz w:val="24"/>
        </w:rPr>
        <w:t> </w:t>
      </w:r>
      <w:r>
        <w:rPr>
          <w:sz w:val="24"/>
        </w:rPr>
        <w:t>eligible</w:t>
      </w:r>
      <w:r>
        <w:rPr>
          <w:spacing w:val="-5"/>
          <w:sz w:val="24"/>
        </w:rPr>
        <w:t> </w:t>
      </w:r>
      <w:r>
        <w:rPr>
          <w:sz w:val="24"/>
        </w:rPr>
        <w:t>for</w:t>
      </w:r>
      <w:r>
        <w:rPr>
          <w:spacing w:val="-4"/>
          <w:sz w:val="24"/>
        </w:rPr>
        <w:t> </w:t>
      </w:r>
      <w:r>
        <w:rPr>
          <w:sz w:val="24"/>
        </w:rPr>
        <w:t>vocational</w:t>
      </w:r>
      <w:r>
        <w:rPr>
          <w:spacing w:val="-5"/>
          <w:sz w:val="24"/>
        </w:rPr>
        <w:t> </w:t>
      </w:r>
      <w:r>
        <w:rPr>
          <w:sz w:val="24"/>
        </w:rPr>
        <w:t>rehabilitation </w:t>
      </w:r>
      <w:r>
        <w:rPr>
          <w:spacing w:val="-2"/>
          <w:sz w:val="24"/>
        </w:rPr>
        <w:t>services;</w:t>
      </w:r>
    </w:p>
    <w:p>
      <w:pPr>
        <w:pStyle w:val="ListParagraph"/>
        <w:numPr>
          <w:ilvl w:val="1"/>
          <w:numId w:val="174"/>
        </w:numPr>
        <w:tabs>
          <w:tab w:pos="1595" w:val="left" w:leader="none"/>
        </w:tabs>
        <w:spacing w:line="208" w:lineRule="auto" w:before="240" w:after="0"/>
        <w:ind w:left="1169" w:right="1076" w:firstLine="0"/>
        <w:jc w:val="left"/>
        <w:rPr>
          <w:sz w:val="24"/>
        </w:rPr>
      </w:pPr>
      <w:r>
        <w:rPr>
          <w:sz w:val="24"/>
        </w:rPr>
        <w:t>The</w:t>
      </w:r>
      <w:r>
        <w:rPr>
          <w:spacing w:val="-4"/>
          <w:sz w:val="24"/>
        </w:rPr>
        <w:t> </w:t>
      </w:r>
      <w:r>
        <w:rPr>
          <w:sz w:val="24"/>
        </w:rPr>
        <w:t>individual</w:t>
      </w:r>
      <w:r>
        <w:rPr>
          <w:spacing w:val="-4"/>
          <w:sz w:val="24"/>
        </w:rPr>
        <w:t> </w:t>
      </w:r>
      <w:r>
        <w:rPr>
          <w:sz w:val="24"/>
        </w:rPr>
        <w:t>is</w:t>
      </w:r>
      <w:r>
        <w:rPr>
          <w:spacing w:val="-4"/>
          <w:sz w:val="24"/>
        </w:rPr>
        <w:t> </w:t>
      </w:r>
      <w:r>
        <w:rPr>
          <w:sz w:val="24"/>
        </w:rPr>
        <w:t>determined</w:t>
      </w:r>
      <w:r>
        <w:rPr>
          <w:spacing w:val="-4"/>
          <w:sz w:val="24"/>
        </w:rPr>
        <w:t> </w:t>
      </w:r>
      <w:r>
        <w:rPr>
          <w:sz w:val="24"/>
        </w:rPr>
        <w:t>to</w:t>
      </w:r>
      <w:r>
        <w:rPr>
          <w:spacing w:val="-4"/>
          <w:sz w:val="24"/>
        </w:rPr>
        <w:t> </w:t>
      </w:r>
      <w:r>
        <w:rPr>
          <w:sz w:val="24"/>
        </w:rPr>
        <w:t>have</w:t>
      </w:r>
      <w:r>
        <w:rPr>
          <w:spacing w:val="-4"/>
          <w:sz w:val="24"/>
        </w:rPr>
        <w:t> </w:t>
      </w:r>
      <w:r>
        <w:rPr>
          <w:sz w:val="24"/>
        </w:rPr>
        <w:t>one</w:t>
      </w:r>
      <w:r>
        <w:rPr>
          <w:spacing w:val="-3"/>
          <w:sz w:val="24"/>
        </w:rPr>
        <w:t> </w:t>
      </w:r>
      <w:r>
        <w:rPr>
          <w:sz w:val="24"/>
        </w:rPr>
        <w:t>or</w:t>
      </w:r>
      <w:r>
        <w:rPr>
          <w:spacing w:val="-3"/>
          <w:sz w:val="24"/>
        </w:rPr>
        <w:t> </w:t>
      </w:r>
      <w:r>
        <w:rPr>
          <w:sz w:val="24"/>
        </w:rPr>
        <w:t>more</w:t>
      </w:r>
      <w:r>
        <w:rPr>
          <w:spacing w:val="-4"/>
          <w:sz w:val="24"/>
        </w:rPr>
        <w:t> </w:t>
      </w:r>
      <w:r>
        <w:rPr>
          <w:sz w:val="24"/>
        </w:rPr>
        <w:t>disabilities,</w:t>
      </w:r>
      <w:r>
        <w:rPr>
          <w:spacing w:val="-3"/>
          <w:sz w:val="24"/>
        </w:rPr>
        <w:t> </w:t>
      </w:r>
      <w:r>
        <w:rPr>
          <w:sz w:val="24"/>
        </w:rPr>
        <w:t>not</w:t>
      </w:r>
      <w:r>
        <w:rPr>
          <w:spacing w:val="-3"/>
          <w:sz w:val="24"/>
        </w:rPr>
        <w:t> </w:t>
      </w:r>
      <w:r>
        <w:rPr>
          <w:sz w:val="24"/>
        </w:rPr>
        <w:t>meeting the definition of an individual with a significant or most significant barrier to employment; and</w:t>
      </w:r>
    </w:p>
    <w:p>
      <w:pPr>
        <w:pStyle w:val="ListParagraph"/>
        <w:numPr>
          <w:ilvl w:val="1"/>
          <w:numId w:val="174"/>
        </w:numPr>
        <w:tabs>
          <w:tab w:pos="1595" w:val="left" w:leader="none"/>
        </w:tabs>
        <w:spacing w:line="259" w:lineRule="auto" w:before="244" w:after="0"/>
        <w:ind w:left="1169" w:right="930" w:firstLine="0"/>
        <w:jc w:val="left"/>
        <w:rPr>
          <w:sz w:val="24"/>
        </w:rPr>
      </w:pPr>
      <w:r>
        <w:rPr>
          <w:sz w:val="24"/>
        </w:rPr>
        <w:t>The</w:t>
      </w:r>
      <w:r>
        <w:rPr>
          <w:spacing w:val="-5"/>
          <w:sz w:val="24"/>
        </w:rPr>
        <w:t> </w:t>
      </w:r>
      <w:r>
        <w:rPr>
          <w:sz w:val="24"/>
        </w:rPr>
        <w:t>individual</w:t>
      </w:r>
      <w:r>
        <w:rPr>
          <w:spacing w:val="-5"/>
          <w:sz w:val="24"/>
        </w:rPr>
        <w:t> </w:t>
      </w:r>
      <w:r>
        <w:rPr>
          <w:sz w:val="24"/>
        </w:rPr>
        <w:t>needs</w:t>
      </w:r>
      <w:r>
        <w:rPr>
          <w:spacing w:val="-5"/>
          <w:sz w:val="24"/>
        </w:rPr>
        <w:t> </w:t>
      </w:r>
      <w:r>
        <w:rPr>
          <w:sz w:val="24"/>
        </w:rPr>
        <w:t>assistance</w:t>
      </w:r>
      <w:r>
        <w:rPr>
          <w:spacing w:val="-5"/>
          <w:sz w:val="24"/>
        </w:rPr>
        <w:t> </w:t>
      </w:r>
      <w:r>
        <w:rPr>
          <w:sz w:val="24"/>
        </w:rPr>
        <w:t>from</w:t>
      </w:r>
      <w:r>
        <w:rPr>
          <w:spacing w:val="-5"/>
          <w:sz w:val="24"/>
        </w:rPr>
        <w:t> </w:t>
      </w:r>
      <w:r>
        <w:rPr>
          <w:sz w:val="24"/>
        </w:rPr>
        <w:t>an</w:t>
      </w:r>
      <w:r>
        <w:rPr>
          <w:spacing w:val="-5"/>
          <w:sz w:val="24"/>
        </w:rPr>
        <w:t> </w:t>
      </w:r>
      <w:r>
        <w:rPr>
          <w:sz w:val="24"/>
        </w:rPr>
        <w:t>employment</w:t>
      </w:r>
      <w:r>
        <w:rPr>
          <w:spacing w:val="-4"/>
          <w:sz w:val="24"/>
        </w:rPr>
        <w:t> </w:t>
      </w:r>
      <w:r>
        <w:rPr>
          <w:sz w:val="24"/>
        </w:rPr>
        <w:t>consultant</w:t>
      </w:r>
      <w:r>
        <w:rPr>
          <w:spacing w:val="-4"/>
          <w:sz w:val="24"/>
        </w:rPr>
        <w:t> </w:t>
      </w:r>
      <w:r>
        <w:rPr>
          <w:sz w:val="24"/>
        </w:rPr>
        <w:t>to</w:t>
      </w:r>
      <w:r>
        <w:rPr>
          <w:spacing w:val="-5"/>
          <w:sz w:val="24"/>
        </w:rPr>
        <w:t> </w:t>
      </w:r>
      <w:r>
        <w:rPr>
          <w:sz w:val="24"/>
        </w:rPr>
        <w:t>identify and implement accommodations to assist with maintaining successful </w:t>
      </w:r>
      <w:r>
        <w:rPr>
          <w:spacing w:val="-2"/>
          <w:sz w:val="24"/>
        </w:rPr>
        <w:t>employment.</w:t>
      </w:r>
    </w:p>
    <w:p>
      <w:pPr>
        <w:spacing w:before="158"/>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360" w:right="0" w:firstLine="0"/>
        <w:jc w:val="left"/>
        <w:rPr>
          <w:sz w:val="22"/>
        </w:rPr>
      </w:pPr>
      <w:r>
        <w:rPr>
          <w:spacing w:val="-2"/>
          <w:sz w:val="22"/>
        </w:rPr>
        <w:t>8-11-</w:t>
      </w:r>
      <w:r>
        <w:rPr>
          <w:spacing w:val="-5"/>
          <w:sz w:val="22"/>
        </w:rPr>
        <w:t>24</w:t>
      </w:r>
      <w:r>
        <w:rPr>
          <w:sz w:val="22"/>
        </w:rPr>
        <w:tab/>
        <w:t>Permanent,</w:t>
      </w:r>
      <w:r>
        <w:rPr>
          <w:spacing w:val="-8"/>
          <w:sz w:val="22"/>
        </w:rPr>
        <w:t> </w:t>
      </w:r>
      <w:r>
        <w:rPr>
          <w:sz w:val="22"/>
        </w:rPr>
        <w:t>new</w:t>
      </w:r>
      <w:r>
        <w:rPr>
          <w:spacing w:val="-10"/>
          <w:sz w:val="22"/>
        </w:rPr>
        <w:t> </w:t>
      </w:r>
      <w:r>
        <w:rPr>
          <w:spacing w:val="-2"/>
          <w:sz w:val="22"/>
        </w:rPr>
        <w:t>rule.</w:t>
      </w:r>
    </w:p>
    <w:p>
      <w:pPr>
        <w:spacing w:after="0"/>
        <w:jc w:val="left"/>
        <w:rPr>
          <w:sz w:val="22"/>
        </w:rPr>
        <w:sectPr>
          <w:pgSz w:w="12240" w:h="15840"/>
          <w:pgMar w:top="1340" w:bottom="280" w:left="1080" w:right="720"/>
        </w:sectPr>
      </w:pPr>
    </w:p>
    <w:p>
      <w:pPr>
        <w:pStyle w:val="Heading2"/>
      </w:pPr>
      <w:bookmarkStart w:name="612:10-7-137.  JOBS Services" w:id="168"/>
      <w:bookmarkEnd w:id="168"/>
      <w:r>
        <w:rPr>
          <w:b w:val="0"/>
        </w:rPr>
      </w:r>
      <w:r>
        <w:rPr/>
        <w:t>612:10-7-137.</w:t>
      </w:r>
      <w:r>
        <w:rPr>
          <w:spacing w:val="59"/>
        </w:rPr>
        <w:t> </w:t>
      </w:r>
      <w:r>
        <w:rPr/>
        <w:t>JOBS</w:t>
      </w:r>
      <w:r>
        <w:rPr>
          <w:spacing w:val="-5"/>
        </w:rPr>
        <w:t> </w:t>
      </w:r>
      <w:r>
        <w:rPr>
          <w:spacing w:val="-2"/>
        </w:rPr>
        <w:t>Services</w:t>
      </w:r>
    </w:p>
    <w:p>
      <w:pPr>
        <w:pStyle w:val="ListParagraph"/>
        <w:numPr>
          <w:ilvl w:val="0"/>
          <w:numId w:val="175"/>
        </w:numPr>
        <w:tabs>
          <w:tab w:pos="784" w:val="left" w:leader="none"/>
        </w:tabs>
        <w:spacing w:line="259" w:lineRule="auto" w:before="237" w:after="0"/>
        <w:ind w:left="359" w:right="780" w:firstLine="0"/>
        <w:jc w:val="left"/>
        <w:rPr>
          <w:sz w:val="24"/>
        </w:rPr>
      </w:pPr>
      <w:r>
        <w:rPr>
          <w:b/>
          <w:sz w:val="24"/>
        </w:rPr>
        <w:t>Overview</w:t>
      </w:r>
      <w:r>
        <w:rPr>
          <w:b/>
          <w:spacing w:val="-3"/>
          <w:sz w:val="24"/>
        </w:rPr>
        <w:t> </w:t>
      </w:r>
      <w:r>
        <w:rPr>
          <w:b/>
          <w:sz w:val="24"/>
        </w:rPr>
        <w:t>of</w:t>
      </w:r>
      <w:r>
        <w:rPr>
          <w:b/>
          <w:spacing w:val="-3"/>
          <w:sz w:val="24"/>
        </w:rPr>
        <w:t> </w:t>
      </w:r>
      <w:r>
        <w:rPr>
          <w:b/>
          <w:sz w:val="24"/>
        </w:rPr>
        <w:t>JOBS</w:t>
      </w:r>
      <w:r>
        <w:rPr>
          <w:b/>
          <w:spacing w:val="-4"/>
          <w:sz w:val="24"/>
        </w:rPr>
        <w:t> </w:t>
      </w:r>
      <w:r>
        <w:rPr>
          <w:b/>
          <w:sz w:val="24"/>
        </w:rPr>
        <w:t>Services.</w:t>
      </w:r>
      <w:r>
        <w:rPr>
          <w:b/>
          <w:spacing w:val="-3"/>
          <w:sz w:val="24"/>
        </w:rPr>
        <w:t> </w:t>
      </w:r>
      <w:r>
        <w:rPr>
          <w:sz w:val="24"/>
        </w:rPr>
        <w:t>JOBS</w:t>
      </w:r>
      <w:r>
        <w:rPr>
          <w:spacing w:val="-4"/>
          <w:sz w:val="24"/>
        </w:rPr>
        <w:t> </w:t>
      </w:r>
      <w:r>
        <w:rPr>
          <w:sz w:val="24"/>
        </w:rPr>
        <w:t>services</w:t>
      </w:r>
      <w:r>
        <w:rPr>
          <w:spacing w:val="-4"/>
          <w:sz w:val="24"/>
        </w:rPr>
        <w:t> </w:t>
      </w:r>
      <w:r>
        <w:rPr>
          <w:sz w:val="24"/>
        </w:rPr>
        <w:t>are</w:t>
      </w:r>
      <w:r>
        <w:rPr>
          <w:spacing w:val="-4"/>
          <w:sz w:val="24"/>
        </w:rPr>
        <w:t> </w:t>
      </w:r>
      <w:r>
        <w:rPr>
          <w:sz w:val="24"/>
        </w:rPr>
        <w:t>intended</w:t>
      </w:r>
      <w:r>
        <w:rPr>
          <w:spacing w:val="-4"/>
          <w:sz w:val="24"/>
        </w:rPr>
        <w:t> </w:t>
      </w:r>
      <w:r>
        <w:rPr>
          <w:sz w:val="24"/>
        </w:rPr>
        <w:t>to</w:t>
      </w:r>
      <w:r>
        <w:rPr>
          <w:spacing w:val="-4"/>
          <w:sz w:val="24"/>
        </w:rPr>
        <w:t> </w:t>
      </w:r>
      <w:r>
        <w:rPr>
          <w:sz w:val="24"/>
        </w:rPr>
        <w:t>assist</w:t>
      </w:r>
      <w:r>
        <w:rPr>
          <w:spacing w:val="-3"/>
          <w:sz w:val="24"/>
        </w:rPr>
        <w:t> </w:t>
      </w:r>
      <w:r>
        <w:rPr>
          <w:sz w:val="24"/>
        </w:rPr>
        <w:t>individuals</w:t>
      </w:r>
      <w:r>
        <w:rPr>
          <w:spacing w:val="-4"/>
          <w:sz w:val="24"/>
        </w:rPr>
        <w:t> </w:t>
      </w:r>
      <w:r>
        <w:rPr>
          <w:sz w:val="24"/>
        </w:rPr>
        <w:t>with job placement to meet their financial needs, (i.e., housing, transportation, daily living expenses, etc.) while completing other services on their Individualized Plan for Employment (IPE), and before pursuing placement in their chosen IPE vocational goal. This contract is open to individuals in all priority groups who do not need on-site support, but may need accommodations.</w:t>
      </w:r>
    </w:p>
    <w:p>
      <w:pPr>
        <w:pStyle w:val="ListParagraph"/>
        <w:numPr>
          <w:ilvl w:val="0"/>
          <w:numId w:val="175"/>
        </w:numPr>
        <w:tabs>
          <w:tab w:pos="785" w:val="left" w:leader="none"/>
        </w:tabs>
        <w:spacing w:line="259" w:lineRule="auto" w:before="119" w:after="0"/>
        <w:ind w:left="359" w:right="1220" w:firstLine="0"/>
        <w:jc w:val="left"/>
        <w:rPr>
          <w:sz w:val="24"/>
        </w:rPr>
      </w:pPr>
      <w:r>
        <w:rPr>
          <w:b/>
          <w:sz w:val="24"/>
        </w:rPr>
        <w:t>Provision</w:t>
      </w:r>
      <w:r>
        <w:rPr>
          <w:b/>
          <w:spacing w:val="-4"/>
          <w:sz w:val="24"/>
        </w:rPr>
        <w:t> </w:t>
      </w:r>
      <w:r>
        <w:rPr>
          <w:b/>
          <w:sz w:val="24"/>
        </w:rPr>
        <w:t>of</w:t>
      </w:r>
      <w:r>
        <w:rPr>
          <w:b/>
          <w:spacing w:val="-3"/>
          <w:sz w:val="24"/>
        </w:rPr>
        <w:t> </w:t>
      </w:r>
      <w:r>
        <w:rPr>
          <w:b/>
          <w:sz w:val="24"/>
        </w:rPr>
        <w:t>JOBS</w:t>
      </w:r>
      <w:r>
        <w:rPr>
          <w:b/>
          <w:spacing w:val="-4"/>
          <w:sz w:val="24"/>
        </w:rPr>
        <w:t> </w:t>
      </w:r>
      <w:r>
        <w:rPr>
          <w:b/>
          <w:sz w:val="24"/>
        </w:rPr>
        <w:t>Services.</w:t>
      </w:r>
      <w:r>
        <w:rPr>
          <w:b/>
          <w:spacing w:val="-3"/>
          <w:sz w:val="24"/>
        </w:rPr>
        <w:t> </w:t>
      </w:r>
      <w:r>
        <w:rPr>
          <w:sz w:val="24"/>
        </w:rPr>
        <w:t>JOBS</w:t>
      </w:r>
      <w:r>
        <w:rPr>
          <w:spacing w:val="-4"/>
          <w:sz w:val="24"/>
        </w:rPr>
        <w:t> </w:t>
      </w:r>
      <w:r>
        <w:rPr>
          <w:sz w:val="24"/>
        </w:rPr>
        <w:t>services</w:t>
      </w:r>
      <w:r>
        <w:rPr>
          <w:spacing w:val="-4"/>
          <w:sz w:val="24"/>
        </w:rPr>
        <w:t> </w:t>
      </w:r>
      <w:r>
        <w:rPr>
          <w:sz w:val="24"/>
        </w:rPr>
        <w:t>are</w:t>
      </w:r>
      <w:r>
        <w:rPr>
          <w:spacing w:val="-4"/>
          <w:sz w:val="24"/>
        </w:rPr>
        <w:t> </w:t>
      </w:r>
      <w:r>
        <w:rPr>
          <w:sz w:val="24"/>
        </w:rPr>
        <w:t>not</w:t>
      </w:r>
      <w:r>
        <w:rPr>
          <w:spacing w:val="-3"/>
          <w:sz w:val="24"/>
        </w:rPr>
        <w:t> </w:t>
      </w:r>
      <w:r>
        <w:rPr>
          <w:sz w:val="24"/>
        </w:rPr>
        <w:t>subject</w:t>
      </w:r>
      <w:r>
        <w:rPr>
          <w:spacing w:val="-3"/>
          <w:sz w:val="24"/>
        </w:rPr>
        <w:t> </w:t>
      </w:r>
      <w:r>
        <w:rPr>
          <w:sz w:val="24"/>
        </w:rPr>
        <w:t>to</w:t>
      </w:r>
      <w:r>
        <w:rPr>
          <w:spacing w:val="-4"/>
          <w:sz w:val="24"/>
        </w:rPr>
        <w:t> </w:t>
      </w:r>
      <w:r>
        <w:rPr>
          <w:sz w:val="24"/>
        </w:rPr>
        <w:t>financial</w:t>
      </w:r>
      <w:r>
        <w:rPr>
          <w:spacing w:val="-4"/>
          <w:sz w:val="24"/>
        </w:rPr>
        <w:t> </w:t>
      </w:r>
      <w:r>
        <w:rPr>
          <w:sz w:val="24"/>
        </w:rPr>
        <w:t>status determination. JOBS services are purchased from a qualified contractor with the Oklahoma Department of Rehabilitation Services and are provided by certified employment consultants or job coaches. Payment rates are established by the Commission for Rehabilitation Services.</w:t>
      </w:r>
    </w:p>
    <w:p>
      <w:pPr>
        <w:pStyle w:val="ListParagraph"/>
        <w:numPr>
          <w:ilvl w:val="0"/>
          <w:numId w:val="175"/>
        </w:numPr>
        <w:tabs>
          <w:tab w:pos="772" w:val="left" w:leader="none"/>
        </w:tabs>
        <w:spacing w:line="240" w:lineRule="auto" w:before="119" w:after="0"/>
        <w:ind w:left="772" w:right="0" w:hanging="413"/>
        <w:jc w:val="left"/>
        <w:rPr>
          <w:sz w:val="24"/>
        </w:rPr>
      </w:pPr>
      <w:r>
        <w:rPr>
          <w:b/>
          <w:sz w:val="24"/>
        </w:rPr>
        <w:t>Eligibility</w:t>
      </w:r>
      <w:r>
        <w:rPr>
          <w:b/>
          <w:spacing w:val="-5"/>
          <w:sz w:val="24"/>
        </w:rPr>
        <w:t> </w:t>
      </w:r>
      <w:r>
        <w:rPr>
          <w:b/>
          <w:sz w:val="24"/>
        </w:rPr>
        <w:t>for</w:t>
      </w:r>
      <w:r>
        <w:rPr>
          <w:b/>
          <w:spacing w:val="-4"/>
          <w:sz w:val="24"/>
        </w:rPr>
        <w:t> </w:t>
      </w:r>
      <w:r>
        <w:rPr>
          <w:b/>
          <w:sz w:val="24"/>
        </w:rPr>
        <w:t>JOBS</w:t>
      </w:r>
      <w:r>
        <w:rPr>
          <w:b/>
          <w:spacing w:val="-3"/>
          <w:sz w:val="24"/>
        </w:rPr>
        <w:t> </w:t>
      </w:r>
      <w:r>
        <w:rPr>
          <w:b/>
          <w:sz w:val="24"/>
        </w:rPr>
        <w:t>Services.</w:t>
      </w:r>
      <w:r>
        <w:rPr>
          <w:b/>
          <w:spacing w:val="-2"/>
          <w:sz w:val="24"/>
        </w:rPr>
        <w:t> </w:t>
      </w:r>
      <w:r>
        <w:rPr>
          <w:sz w:val="24"/>
        </w:rPr>
        <w:t>An</w:t>
      </w:r>
      <w:r>
        <w:rPr>
          <w:spacing w:val="-3"/>
          <w:sz w:val="24"/>
        </w:rPr>
        <w:t> </w:t>
      </w:r>
      <w:r>
        <w:rPr>
          <w:sz w:val="24"/>
        </w:rPr>
        <w:t>individual</w:t>
      </w:r>
      <w:r>
        <w:rPr>
          <w:spacing w:val="-3"/>
          <w:sz w:val="24"/>
        </w:rPr>
        <w:t> </w:t>
      </w:r>
      <w:r>
        <w:rPr>
          <w:sz w:val="24"/>
        </w:rPr>
        <w:t>shall</w:t>
      </w:r>
      <w:r>
        <w:rPr>
          <w:spacing w:val="-3"/>
          <w:sz w:val="24"/>
        </w:rPr>
        <w:t> </w:t>
      </w:r>
      <w:r>
        <w:rPr>
          <w:sz w:val="24"/>
        </w:rPr>
        <w:t>be</w:t>
      </w:r>
      <w:r>
        <w:rPr>
          <w:spacing w:val="-2"/>
          <w:sz w:val="24"/>
        </w:rPr>
        <w:t> </w:t>
      </w:r>
      <w:r>
        <w:rPr>
          <w:sz w:val="24"/>
        </w:rPr>
        <w:t>eligible</w:t>
      </w:r>
      <w:r>
        <w:rPr>
          <w:spacing w:val="-3"/>
          <w:sz w:val="24"/>
        </w:rPr>
        <w:t> </w:t>
      </w:r>
      <w:r>
        <w:rPr>
          <w:sz w:val="24"/>
        </w:rPr>
        <w:t>for</w:t>
      </w:r>
      <w:r>
        <w:rPr>
          <w:spacing w:val="-3"/>
          <w:sz w:val="24"/>
        </w:rPr>
        <w:t> </w:t>
      </w:r>
      <w:r>
        <w:rPr>
          <w:sz w:val="24"/>
        </w:rPr>
        <w:t>JOBS</w:t>
      </w:r>
      <w:r>
        <w:rPr>
          <w:spacing w:val="-2"/>
          <w:sz w:val="24"/>
        </w:rPr>
        <w:t> </w:t>
      </w:r>
      <w:r>
        <w:rPr>
          <w:sz w:val="24"/>
        </w:rPr>
        <w:t>services</w:t>
      </w:r>
      <w:r>
        <w:rPr>
          <w:spacing w:val="-3"/>
          <w:sz w:val="24"/>
        </w:rPr>
        <w:t> </w:t>
      </w:r>
      <w:r>
        <w:rPr>
          <w:spacing w:val="-5"/>
          <w:sz w:val="24"/>
        </w:rPr>
        <w:t>if:</w:t>
      </w:r>
    </w:p>
    <w:p>
      <w:pPr>
        <w:pStyle w:val="ListParagraph"/>
        <w:numPr>
          <w:ilvl w:val="1"/>
          <w:numId w:val="175"/>
        </w:numPr>
        <w:tabs>
          <w:tab w:pos="1685" w:val="left" w:leader="none"/>
        </w:tabs>
        <w:spacing w:line="208" w:lineRule="auto" w:before="137" w:after="0"/>
        <w:ind w:left="1259" w:right="1428" w:firstLine="0"/>
        <w:jc w:val="left"/>
        <w:rPr>
          <w:sz w:val="24"/>
        </w:rPr>
      </w:pPr>
      <w:r>
        <w:rPr>
          <w:sz w:val="24"/>
        </w:rPr>
        <w:t>The</w:t>
      </w:r>
      <w:r>
        <w:rPr>
          <w:spacing w:val="-5"/>
          <w:sz w:val="24"/>
        </w:rPr>
        <w:t> </w:t>
      </w:r>
      <w:r>
        <w:rPr>
          <w:sz w:val="24"/>
        </w:rPr>
        <w:t>individual</w:t>
      </w:r>
      <w:r>
        <w:rPr>
          <w:spacing w:val="-5"/>
          <w:sz w:val="24"/>
        </w:rPr>
        <w:t> </w:t>
      </w:r>
      <w:r>
        <w:rPr>
          <w:sz w:val="24"/>
        </w:rPr>
        <w:t>is</w:t>
      </w:r>
      <w:r>
        <w:rPr>
          <w:spacing w:val="-5"/>
          <w:sz w:val="24"/>
        </w:rPr>
        <w:t> </w:t>
      </w:r>
      <w:r>
        <w:rPr>
          <w:sz w:val="24"/>
        </w:rPr>
        <w:t>determined</w:t>
      </w:r>
      <w:r>
        <w:rPr>
          <w:spacing w:val="-5"/>
          <w:sz w:val="24"/>
        </w:rPr>
        <w:t> </w:t>
      </w:r>
      <w:r>
        <w:rPr>
          <w:sz w:val="24"/>
        </w:rPr>
        <w:t>to</w:t>
      </w:r>
      <w:r>
        <w:rPr>
          <w:spacing w:val="-5"/>
          <w:sz w:val="24"/>
        </w:rPr>
        <w:t> </w:t>
      </w:r>
      <w:r>
        <w:rPr>
          <w:sz w:val="24"/>
        </w:rPr>
        <w:t>be</w:t>
      </w:r>
      <w:r>
        <w:rPr>
          <w:spacing w:val="-5"/>
          <w:sz w:val="24"/>
        </w:rPr>
        <w:t> </w:t>
      </w:r>
      <w:r>
        <w:rPr>
          <w:sz w:val="24"/>
        </w:rPr>
        <w:t>eligible</w:t>
      </w:r>
      <w:r>
        <w:rPr>
          <w:spacing w:val="-5"/>
          <w:sz w:val="24"/>
        </w:rPr>
        <w:t> </w:t>
      </w:r>
      <w:r>
        <w:rPr>
          <w:sz w:val="24"/>
        </w:rPr>
        <w:t>for</w:t>
      </w:r>
      <w:r>
        <w:rPr>
          <w:spacing w:val="-4"/>
          <w:sz w:val="24"/>
        </w:rPr>
        <w:t> </w:t>
      </w:r>
      <w:r>
        <w:rPr>
          <w:sz w:val="24"/>
        </w:rPr>
        <w:t>vocational</w:t>
      </w:r>
      <w:r>
        <w:rPr>
          <w:spacing w:val="-5"/>
          <w:sz w:val="24"/>
        </w:rPr>
        <w:t> </w:t>
      </w:r>
      <w:r>
        <w:rPr>
          <w:sz w:val="24"/>
        </w:rPr>
        <w:t>rehabilitation services; and</w:t>
      </w:r>
    </w:p>
    <w:p>
      <w:pPr>
        <w:pStyle w:val="ListParagraph"/>
        <w:numPr>
          <w:ilvl w:val="1"/>
          <w:numId w:val="175"/>
        </w:numPr>
        <w:tabs>
          <w:tab w:pos="1685" w:val="left" w:leader="none"/>
        </w:tabs>
        <w:spacing w:line="208" w:lineRule="auto" w:before="240" w:after="0"/>
        <w:ind w:left="1259" w:right="984" w:firstLine="0"/>
        <w:jc w:val="left"/>
        <w:rPr>
          <w:sz w:val="24"/>
        </w:rPr>
      </w:pPr>
      <w:r>
        <w:rPr>
          <w:sz w:val="24"/>
        </w:rPr>
        <w:t>The individual requires assistance with obtaining employment to meet financial</w:t>
      </w:r>
      <w:r>
        <w:rPr>
          <w:spacing w:val="-5"/>
          <w:sz w:val="24"/>
        </w:rPr>
        <w:t> </w:t>
      </w:r>
      <w:r>
        <w:rPr>
          <w:sz w:val="24"/>
        </w:rPr>
        <w:t>needs</w:t>
      </w:r>
      <w:r>
        <w:rPr>
          <w:spacing w:val="-5"/>
          <w:sz w:val="24"/>
        </w:rPr>
        <w:t> </w:t>
      </w:r>
      <w:r>
        <w:rPr>
          <w:sz w:val="24"/>
        </w:rPr>
        <w:t>(i.e.,</w:t>
      </w:r>
      <w:r>
        <w:rPr>
          <w:spacing w:val="-4"/>
          <w:sz w:val="24"/>
        </w:rPr>
        <w:t> </w:t>
      </w:r>
      <w:r>
        <w:rPr>
          <w:sz w:val="24"/>
        </w:rPr>
        <w:t>housing,</w:t>
      </w:r>
      <w:r>
        <w:rPr>
          <w:spacing w:val="-4"/>
          <w:sz w:val="24"/>
        </w:rPr>
        <w:t> </w:t>
      </w:r>
      <w:r>
        <w:rPr>
          <w:sz w:val="24"/>
        </w:rPr>
        <w:t>transportation,</w:t>
      </w:r>
      <w:r>
        <w:rPr>
          <w:spacing w:val="-4"/>
          <w:sz w:val="24"/>
        </w:rPr>
        <w:t> </w:t>
      </w:r>
      <w:r>
        <w:rPr>
          <w:sz w:val="24"/>
        </w:rPr>
        <w:t>daily</w:t>
      </w:r>
      <w:r>
        <w:rPr>
          <w:spacing w:val="-5"/>
          <w:sz w:val="24"/>
        </w:rPr>
        <w:t> </w:t>
      </w:r>
      <w:r>
        <w:rPr>
          <w:sz w:val="24"/>
        </w:rPr>
        <w:t>living</w:t>
      </w:r>
      <w:r>
        <w:rPr>
          <w:spacing w:val="-5"/>
          <w:sz w:val="24"/>
        </w:rPr>
        <w:t> </w:t>
      </w:r>
      <w:r>
        <w:rPr>
          <w:sz w:val="24"/>
        </w:rPr>
        <w:t>expenses,</w:t>
      </w:r>
      <w:r>
        <w:rPr>
          <w:spacing w:val="-4"/>
          <w:sz w:val="24"/>
        </w:rPr>
        <w:t> </w:t>
      </w:r>
      <w:r>
        <w:rPr>
          <w:sz w:val="24"/>
        </w:rPr>
        <w:t>etc.)</w:t>
      </w:r>
      <w:r>
        <w:rPr>
          <w:spacing w:val="-4"/>
          <w:sz w:val="24"/>
        </w:rPr>
        <w:t> </w:t>
      </w:r>
      <w:r>
        <w:rPr>
          <w:sz w:val="24"/>
        </w:rPr>
        <w:t>while completing other services on their Individualized Plan for Employment (IPE), and before pursuing placement in their chosen IPE vocational goal.</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360" w:right="0" w:firstLine="0"/>
        <w:jc w:val="left"/>
        <w:rPr>
          <w:sz w:val="22"/>
        </w:rPr>
      </w:pPr>
      <w:r>
        <w:rPr>
          <w:spacing w:val="-2"/>
          <w:sz w:val="22"/>
        </w:rPr>
        <w:t>8-11-</w:t>
      </w:r>
      <w:r>
        <w:rPr>
          <w:spacing w:val="-5"/>
          <w:sz w:val="22"/>
        </w:rPr>
        <w:t>24</w:t>
      </w:r>
      <w:r>
        <w:rPr>
          <w:sz w:val="22"/>
        </w:rPr>
        <w:tab/>
        <w:t>Permanent,</w:t>
      </w:r>
      <w:r>
        <w:rPr>
          <w:spacing w:val="-8"/>
          <w:sz w:val="22"/>
        </w:rPr>
        <w:t> </w:t>
      </w:r>
      <w:r>
        <w:rPr>
          <w:sz w:val="22"/>
        </w:rPr>
        <w:t>new</w:t>
      </w:r>
      <w:r>
        <w:rPr>
          <w:spacing w:val="-10"/>
          <w:sz w:val="22"/>
        </w:rPr>
        <w:t> </w:t>
      </w:r>
      <w:r>
        <w:rPr>
          <w:spacing w:val="-2"/>
          <w:sz w:val="22"/>
        </w:rPr>
        <w:t>rule.</w:t>
      </w:r>
    </w:p>
    <w:p>
      <w:pPr>
        <w:spacing w:after="0"/>
        <w:jc w:val="left"/>
        <w:rPr>
          <w:sz w:val="22"/>
        </w:rPr>
        <w:sectPr>
          <w:pgSz w:w="12240" w:h="15840"/>
          <w:pgMar w:top="1340" w:bottom="280" w:left="1080" w:right="720"/>
        </w:sectPr>
      </w:pPr>
    </w:p>
    <w:p>
      <w:pPr>
        <w:pStyle w:val="Heading2"/>
      </w:pPr>
      <w:bookmarkStart w:name="612:10-7-138.  Support Services for Empl" w:id="169"/>
      <w:bookmarkEnd w:id="169"/>
      <w:r>
        <w:rPr>
          <w:b w:val="0"/>
        </w:rPr>
      </w:r>
      <w:r>
        <w:rPr/>
        <w:t>612:10-7-138.</w:t>
      </w:r>
      <w:r>
        <w:rPr>
          <w:spacing w:val="56"/>
        </w:rPr>
        <w:t> </w:t>
      </w:r>
      <w:r>
        <w:rPr/>
        <w:t>Support</w:t>
      </w:r>
      <w:r>
        <w:rPr>
          <w:spacing w:val="-4"/>
        </w:rPr>
        <w:t> </w:t>
      </w:r>
      <w:r>
        <w:rPr/>
        <w:t>Services</w:t>
      </w:r>
      <w:r>
        <w:rPr>
          <w:spacing w:val="-4"/>
        </w:rPr>
        <w:t> </w:t>
      </w:r>
      <w:r>
        <w:rPr/>
        <w:t>for</w:t>
      </w:r>
      <w:r>
        <w:rPr>
          <w:spacing w:val="-5"/>
        </w:rPr>
        <w:t> </w:t>
      </w:r>
      <w:r>
        <w:rPr/>
        <w:t>Employment</w:t>
      </w:r>
      <w:r>
        <w:rPr>
          <w:spacing w:val="-3"/>
        </w:rPr>
        <w:t> </w:t>
      </w:r>
      <w:r>
        <w:rPr>
          <w:spacing w:val="-2"/>
        </w:rPr>
        <w:t>(SSE)</w:t>
      </w:r>
    </w:p>
    <w:p>
      <w:pPr>
        <w:pStyle w:val="ListParagraph"/>
        <w:numPr>
          <w:ilvl w:val="0"/>
          <w:numId w:val="176"/>
        </w:numPr>
        <w:tabs>
          <w:tab w:pos="785" w:val="left" w:leader="none"/>
        </w:tabs>
        <w:spacing w:line="259" w:lineRule="auto" w:before="237" w:after="0"/>
        <w:ind w:left="360" w:right="1324" w:firstLine="0"/>
        <w:jc w:val="left"/>
        <w:rPr>
          <w:sz w:val="24"/>
        </w:rPr>
      </w:pPr>
      <w:r>
        <w:rPr>
          <w:b/>
          <w:sz w:val="24"/>
        </w:rPr>
        <w:t>Overview</w:t>
      </w:r>
      <w:r>
        <w:rPr>
          <w:b/>
          <w:spacing w:val="-2"/>
          <w:sz w:val="24"/>
        </w:rPr>
        <w:t> </w:t>
      </w:r>
      <w:r>
        <w:rPr>
          <w:b/>
          <w:sz w:val="24"/>
        </w:rPr>
        <w:t>of</w:t>
      </w:r>
      <w:r>
        <w:rPr>
          <w:b/>
          <w:spacing w:val="-2"/>
          <w:sz w:val="24"/>
        </w:rPr>
        <w:t> </w:t>
      </w:r>
      <w:r>
        <w:rPr>
          <w:b/>
          <w:sz w:val="24"/>
        </w:rPr>
        <w:t>Support</w:t>
      </w:r>
      <w:r>
        <w:rPr>
          <w:b/>
          <w:spacing w:val="-2"/>
          <w:sz w:val="24"/>
        </w:rPr>
        <w:t> </w:t>
      </w:r>
      <w:r>
        <w:rPr>
          <w:b/>
          <w:sz w:val="24"/>
        </w:rPr>
        <w:t>Services</w:t>
      </w:r>
      <w:r>
        <w:rPr>
          <w:b/>
          <w:spacing w:val="-3"/>
          <w:sz w:val="24"/>
        </w:rPr>
        <w:t> </w:t>
      </w:r>
      <w:r>
        <w:rPr>
          <w:b/>
          <w:sz w:val="24"/>
        </w:rPr>
        <w:t>for</w:t>
      </w:r>
      <w:r>
        <w:rPr>
          <w:b/>
          <w:spacing w:val="-3"/>
          <w:sz w:val="24"/>
        </w:rPr>
        <w:t> </w:t>
      </w:r>
      <w:r>
        <w:rPr>
          <w:b/>
          <w:sz w:val="24"/>
        </w:rPr>
        <w:t>Employment</w:t>
      </w:r>
      <w:r>
        <w:rPr>
          <w:b/>
          <w:spacing w:val="-2"/>
          <w:sz w:val="24"/>
        </w:rPr>
        <w:t> </w:t>
      </w:r>
      <w:r>
        <w:rPr>
          <w:b/>
          <w:sz w:val="24"/>
        </w:rPr>
        <w:t>(SSE).</w:t>
      </w:r>
      <w:r>
        <w:rPr>
          <w:b/>
          <w:spacing w:val="-2"/>
          <w:sz w:val="24"/>
        </w:rPr>
        <w:t> </w:t>
      </w:r>
      <w:r>
        <w:rPr>
          <w:sz w:val="24"/>
        </w:rPr>
        <w:t>Support</w:t>
      </w:r>
      <w:r>
        <w:rPr>
          <w:spacing w:val="-2"/>
          <w:sz w:val="24"/>
        </w:rPr>
        <w:t> </w:t>
      </w:r>
      <w:r>
        <w:rPr>
          <w:sz w:val="24"/>
        </w:rPr>
        <w:t>Services</w:t>
      </w:r>
      <w:r>
        <w:rPr>
          <w:spacing w:val="-3"/>
          <w:sz w:val="24"/>
        </w:rPr>
        <w:t> </w:t>
      </w:r>
      <w:r>
        <w:rPr>
          <w:sz w:val="24"/>
        </w:rPr>
        <w:t>for Employment</w:t>
      </w:r>
      <w:r>
        <w:rPr>
          <w:spacing w:val="-3"/>
          <w:sz w:val="24"/>
        </w:rPr>
        <w:t> </w:t>
      </w:r>
      <w:r>
        <w:rPr>
          <w:sz w:val="24"/>
        </w:rPr>
        <w:t>are</w:t>
      </w:r>
      <w:r>
        <w:rPr>
          <w:spacing w:val="-4"/>
          <w:sz w:val="24"/>
        </w:rPr>
        <w:t> </w:t>
      </w:r>
      <w:r>
        <w:rPr>
          <w:sz w:val="24"/>
        </w:rPr>
        <w:t>intended</w:t>
      </w:r>
      <w:r>
        <w:rPr>
          <w:spacing w:val="-4"/>
          <w:sz w:val="24"/>
        </w:rPr>
        <w:t> </w:t>
      </w:r>
      <w:r>
        <w:rPr>
          <w:sz w:val="24"/>
        </w:rPr>
        <w:t>for</w:t>
      </w:r>
      <w:r>
        <w:rPr>
          <w:spacing w:val="-3"/>
          <w:sz w:val="24"/>
        </w:rPr>
        <w:t> </w:t>
      </w:r>
      <w:r>
        <w:rPr>
          <w:sz w:val="24"/>
        </w:rPr>
        <w:t>individuals</w:t>
      </w:r>
      <w:r>
        <w:rPr>
          <w:spacing w:val="-4"/>
          <w:sz w:val="24"/>
        </w:rPr>
        <w:t> </w:t>
      </w:r>
      <w:r>
        <w:rPr>
          <w:sz w:val="24"/>
        </w:rPr>
        <w:t>who</w:t>
      </w:r>
      <w:r>
        <w:rPr>
          <w:spacing w:val="-4"/>
          <w:sz w:val="24"/>
        </w:rPr>
        <w:t> </w:t>
      </w:r>
      <w:r>
        <w:rPr>
          <w:sz w:val="24"/>
        </w:rPr>
        <w:t>require</w:t>
      </w:r>
      <w:r>
        <w:rPr>
          <w:spacing w:val="-4"/>
          <w:sz w:val="24"/>
        </w:rPr>
        <w:t> </w:t>
      </w:r>
      <w:r>
        <w:rPr>
          <w:sz w:val="24"/>
        </w:rPr>
        <w:t>additional</w:t>
      </w:r>
      <w:r>
        <w:rPr>
          <w:spacing w:val="-4"/>
          <w:sz w:val="24"/>
        </w:rPr>
        <w:t> </w:t>
      </w:r>
      <w:r>
        <w:rPr>
          <w:sz w:val="24"/>
        </w:rPr>
        <w:t>support</w:t>
      </w:r>
      <w:r>
        <w:rPr>
          <w:spacing w:val="-3"/>
          <w:sz w:val="24"/>
        </w:rPr>
        <w:t> </w:t>
      </w:r>
      <w:r>
        <w:rPr>
          <w:sz w:val="24"/>
        </w:rPr>
        <w:t>to</w:t>
      </w:r>
      <w:r>
        <w:rPr>
          <w:spacing w:val="-5"/>
          <w:sz w:val="24"/>
        </w:rPr>
        <w:t> </w:t>
      </w:r>
      <w:r>
        <w:rPr>
          <w:sz w:val="24"/>
        </w:rPr>
        <w:t>manage disability-related issues or barriers that limit their ability to achieve or maintain competitive, integrated employment.</w:t>
      </w:r>
    </w:p>
    <w:p>
      <w:pPr>
        <w:pStyle w:val="ListParagraph"/>
        <w:numPr>
          <w:ilvl w:val="0"/>
          <w:numId w:val="176"/>
        </w:numPr>
        <w:tabs>
          <w:tab w:pos="786" w:val="left" w:leader="none"/>
        </w:tabs>
        <w:spacing w:line="259" w:lineRule="auto" w:before="159" w:after="0"/>
        <w:ind w:left="360" w:right="953" w:firstLine="0"/>
        <w:jc w:val="left"/>
        <w:rPr>
          <w:sz w:val="24"/>
        </w:rPr>
      </w:pPr>
      <w:r>
        <w:rPr>
          <w:b/>
          <w:sz w:val="24"/>
        </w:rPr>
        <w:t>Provision of Support Services for Employment (SSE). </w:t>
      </w:r>
      <w:r>
        <w:rPr>
          <w:sz w:val="24"/>
        </w:rPr>
        <w:t>Support Services for Employment</w:t>
      </w:r>
      <w:r>
        <w:rPr>
          <w:spacing w:val="-1"/>
          <w:sz w:val="24"/>
        </w:rPr>
        <w:t> </w:t>
      </w:r>
      <w:r>
        <w:rPr>
          <w:sz w:val="24"/>
        </w:rPr>
        <w:t>(SSE)</w:t>
      </w:r>
      <w:r>
        <w:rPr>
          <w:spacing w:val="-1"/>
          <w:sz w:val="24"/>
        </w:rPr>
        <w:t> </w:t>
      </w:r>
      <w:r>
        <w:rPr>
          <w:sz w:val="24"/>
        </w:rPr>
        <w:t>are</w:t>
      </w:r>
      <w:r>
        <w:rPr>
          <w:spacing w:val="-2"/>
          <w:sz w:val="24"/>
        </w:rPr>
        <w:t> </w:t>
      </w:r>
      <w:r>
        <w:rPr>
          <w:sz w:val="24"/>
        </w:rPr>
        <w:t>not</w:t>
      </w:r>
      <w:r>
        <w:rPr>
          <w:spacing w:val="-1"/>
          <w:sz w:val="24"/>
        </w:rPr>
        <w:t> </w:t>
      </w:r>
      <w:r>
        <w:rPr>
          <w:sz w:val="24"/>
        </w:rPr>
        <w:t>subject</w:t>
      </w:r>
      <w:r>
        <w:rPr>
          <w:spacing w:val="-1"/>
          <w:sz w:val="24"/>
        </w:rPr>
        <w:t> </w:t>
      </w:r>
      <w:r>
        <w:rPr>
          <w:sz w:val="24"/>
        </w:rPr>
        <w:t>to</w:t>
      </w:r>
      <w:r>
        <w:rPr>
          <w:spacing w:val="-3"/>
          <w:sz w:val="24"/>
        </w:rPr>
        <w:t> </w:t>
      </w:r>
      <w:r>
        <w:rPr>
          <w:sz w:val="24"/>
        </w:rPr>
        <w:t>financial</w:t>
      </w:r>
      <w:r>
        <w:rPr>
          <w:spacing w:val="-2"/>
          <w:sz w:val="24"/>
        </w:rPr>
        <w:t> </w:t>
      </w:r>
      <w:r>
        <w:rPr>
          <w:sz w:val="24"/>
        </w:rPr>
        <w:t>status</w:t>
      </w:r>
      <w:r>
        <w:rPr>
          <w:spacing w:val="-2"/>
          <w:sz w:val="24"/>
        </w:rPr>
        <w:t> </w:t>
      </w:r>
      <w:r>
        <w:rPr>
          <w:sz w:val="24"/>
        </w:rPr>
        <w:t>determination.</w:t>
      </w:r>
      <w:r>
        <w:rPr>
          <w:spacing w:val="-1"/>
          <w:sz w:val="24"/>
        </w:rPr>
        <w:t> </w:t>
      </w:r>
      <w:r>
        <w:rPr>
          <w:sz w:val="24"/>
        </w:rPr>
        <w:t>SSE</w:t>
      </w:r>
      <w:r>
        <w:rPr>
          <w:spacing w:val="-2"/>
          <w:sz w:val="24"/>
        </w:rPr>
        <w:t> </w:t>
      </w:r>
      <w:r>
        <w:rPr>
          <w:sz w:val="24"/>
        </w:rPr>
        <w:t>services</w:t>
      </w:r>
      <w:r>
        <w:rPr>
          <w:spacing w:val="-2"/>
          <w:sz w:val="24"/>
        </w:rPr>
        <w:t> </w:t>
      </w:r>
      <w:r>
        <w:rPr>
          <w:sz w:val="24"/>
        </w:rPr>
        <w:t>are purchased</w:t>
      </w:r>
      <w:r>
        <w:rPr>
          <w:spacing w:val="-4"/>
          <w:sz w:val="24"/>
        </w:rPr>
        <w:t> </w:t>
      </w:r>
      <w:r>
        <w:rPr>
          <w:sz w:val="24"/>
        </w:rPr>
        <w:t>from</w:t>
      </w:r>
      <w:r>
        <w:rPr>
          <w:spacing w:val="-4"/>
          <w:sz w:val="24"/>
        </w:rPr>
        <w:t> </w:t>
      </w:r>
      <w:r>
        <w:rPr>
          <w:sz w:val="24"/>
        </w:rPr>
        <w:t>a</w:t>
      </w:r>
      <w:r>
        <w:rPr>
          <w:spacing w:val="-6"/>
          <w:sz w:val="24"/>
        </w:rPr>
        <w:t> </w:t>
      </w:r>
      <w:r>
        <w:rPr>
          <w:sz w:val="24"/>
        </w:rPr>
        <w:t>qualified</w:t>
      </w:r>
      <w:r>
        <w:rPr>
          <w:spacing w:val="-5"/>
          <w:sz w:val="24"/>
        </w:rPr>
        <w:t> </w:t>
      </w:r>
      <w:r>
        <w:rPr>
          <w:sz w:val="24"/>
        </w:rPr>
        <w:t>contractor</w:t>
      </w:r>
      <w:r>
        <w:rPr>
          <w:spacing w:val="-4"/>
          <w:sz w:val="24"/>
        </w:rPr>
        <w:t> </w:t>
      </w:r>
      <w:r>
        <w:rPr>
          <w:sz w:val="24"/>
        </w:rPr>
        <w:t>with</w:t>
      </w:r>
      <w:r>
        <w:rPr>
          <w:spacing w:val="-5"/>
          <w:sz w:val="24"/>
        </w:rPr>
        <w:t> </w:t>
      </w:r>
      <w:r>
        <w:rPr>
          <w:sz w:val="24"/>
        </w:rPr>
        <w:t>the</w:t>
      </w:r>
      <w:r>
        <w:rPr>
          <w:spacing w:val="-5"/>
          <w:sz w:val="24"/>
        </w:rPr>
        <w:t> </w:t>
      </w:r>
      <w:r>
        <w:rPr>
          <w:sz w:val="24"/>
        </w:rPr>
        <w:t>Oklahoma</w:t>
      </w:r>
      <w:r>
        <w:rPr>
          <w:spacing w:val="-5"/>
          <w:sz w:val="24"/>
        </w:rPr>
        <w:t> </w:t>
      </w:r>
      <w:r>
        <w:rPr>
          <w:sz w:val="24"/>
        </w:rPr>
        <w:t>Department</w:t>
      </w:r>
      <w:r>
        <w:rPr>
          <w:spacing w:val="-4"/>
          <w:sz w:val="24"/>
        </w:rPr>
        <w:t> </w:t>
      </w:r>
      <w:r>
        <w:rPr>
          <w:sz w:val="24"/>
        </w:rPr>
        <w:t>of</w:t>
      </w:r>
      <w:r>
        <w:rPr>
          <w:spacing w:val="-4"/>
          <w:sz w:val="24"/>
        </w:rPr>
        <w:t> </w:t>
      </w:r>
      <w:r>
        <w:rPr>
          <w:sz w:val="24"/>
        </w:rPr>
        <w:t>Rehabilitation Services and are provided by certified employment consultants or job coaches.</w:t>
      </w:r>
    </w:p>
    <w:p>
      <w:pPr>
        <w:pStyle w:val="ListParagraph"/>
        <w:numPr>
          <w:ilvl w:val="1"/>
          <w:numId w:val="176"/>
        </w:numPr>
        <w:tabs>
          <w:tab w:pos="1236" w:val="left" w:leader="none"/>
        </w:tabs>
        <w:spacing w:line="259" w:lineRule="auto" w:before="159" w:after="0"/>
        <w:ind w:left="810" w:right="982" w:firstLine="0"/>
        <w:jc w:val="left"/>
        <w:rPr>
          <w:sz w:val="24"/>
        </w:rPr>
      </w:pPr>
      <w:r>
        <w:rPr>
          <w:sz w:val="24"/>
        </w:rPr>
        <w:t>An Employment Support Assessment (ESA) of the individual's level of independence</w:t>
      </w:r>
      <w:r>
        <w:rPr>
          <w:spacing w:val="-4"/>
          <w:sz w:val="24"/>
        </w:rPr>
        <w:t> </w:t>
      </w:r>
      <w:r>
        <w:rPr>
          <w:sz w:val="24"/>
        </w:rPr>
        <w:t>and</w:t>
      </w:r>
      <w:r>
        <w:rPr>
          <w:spacing w:val="-4"/>
          <w:sz w:val="24"/>
        </w:rPr>
        <w:t> </w:t>
      </w:r>
      <w:r>
        <w:rPr>
          <w:sz w:val="24"/>
        </w:rPr>
        <w:t>support</w:t>
      </w:r>
      <w:r>
        <w:rPr>
          <w:spacing w:val="-3"/>
          <w:sz w:val="24"/>
        </w:rPr>
        <w:t> </w:t>
      </w:r>
      <w:r>
        <w:rPr>
          <w:sz w:val="24"/>
        </w:rPr>
        <w:t>needs</w:t>
      </w:r>
      <w:r>
        <w:rPr>
          <w:spacing w:val="-4"/>
          <w:sz w:val="24"/>
        </w:rPr>
        <w:t> </w:t>
      </w:r>
      <w:r>
        <w:rPr>
          <w:sz w:val="24"/>
        </w:rPr>
        <w:t>is</w:t>
      </w:r>
      <w:r>
        <w:rPr>
          <w:spacing w:val="-4"/>
          <w:sz w:val="24"/>
        </w:rPr>
        <w:t> </w:t>
      </w:r>
      <w:r>
        <w:rPr>
          <w:sz w:val="24"/>
        </w:rPr>
        <w:t>used</w:t>
      </w:r>
      <w:r>
        <w:rPr>
          <w:spacing w:val="-4"/>
          <w:sz w:val="24"/>
        </w:rPr>
        <w:t> </w:t>
      </w:r>
      <w:r>
        <w:rPr>
          <w:sz w:val="24"/>
        </w:rPr>
        <w:t>by</w:t>
      </w:r>
      <w:r>
        <w:rPr>
          <w:spacing w:val="-4"/>
          <w:sz w:val="24"/>
        </w:rPr>
        <w:t> </w:t>
      </w:r>
      <w:r>
        <w:rPr>
          <w:sz w:val="24"/>
        </w:rPr>
        <w:t>the</w:t>
      </w:r>
      <w:r>
        <w:rPr>
          <w:spacing w:val="-4"/>
          <w:sz w:val="24"/>
        </w:rPr>
        <w:t> </w:t>
      </w:r>
      <w:r>
        <w:rPr>
          <w:sz w:val="24"/>
        </w:rPr>
        <w:t>individual</w:t>
      </w:r>
      <w:r>
        <w:rPr>
          <w:spacing w:val="-4"/>
          <w:sz w:val="24"/>
        </w:rPr>
        <w:t> </w:t>
      </w:r>
      <w:r>
        <w:rPr>
          <w:sz w:val="24"/>
        </w:rPr>
        <w:t>and</w:t>
      </w:r>
      <w:r>
        <w:rPr>
          <w:spacing w:val="-4"/>
          <w:sz w:val="24"/>
        </w:rPr>
        <w:t> </w:t>
      </w:r>
      <w:r>
        <w:rPr>
          <w:sz w:val="24"/>
        </w:rPr>
        <w:t>DRS</w:t>
      </w:r>
      <w:r>
        <w:rPr>
          <w:spacing w:val="-4"/>
          <w:sz w:val="24"/>
        </w:rPr>
        <w:t> </w:t>
      </w:r>
      <w:r>
        <w:rPr>
          <w:sz w:val="24"/>
        </w:rPr>
        <w:t>Counselor</w:t>
      </w:r>
      <w:r>
        <w:rPr>
          <w:spacing w:val="-3"/>
          <w:sz w:val="24"/>
        </w:rPr>
        <w:t> </w:t>
      </w:r>
      <w:r>
        <w:rPr>
          <w:sz w:val="24"/>
        </w:rPr>
        <w:t>to identify needed services and supports.</w:t>
      </w:r>
    </w:p>
    <w:p>
      <w:pPr>
        <w:pStyle w:val="ListParagraph"/>
        <w:numPr>
          <w:ilvl w:val="1"/>
          <w:numId w:val="176"/>
        </w:numPr>
        <w:tabs>
          <w:tab w:pos="1236" w:val="left" w:leader="none"/>
        </w:tabs>
        <w:spacing w:line="259" w:lineRule="auto" w:before="160" w:after="0"/>
        <w:ind w:left="810" w:right="888" w:firstLine="0"/>
        <w:jc w:val="left"/>
        <w:rPr>
          <w:sz w:val="24"/>
        </w:rPr>
      </w:pPr>
      <w:r>
        <w:rPr>
          <w:sz w:val="24"/>
        </w:rPr>
        <w:t>Services</w:t>
      </w:r>
      <w:r>
        <w:rPr>
          <w:spacing w:val="-3"/>
          <w:sz w:val="24"/>
        </w:rPr>
        <w:t> </w:t>
      </w:r>
      <w:r>
        <w:rPr>
          <w:sz w:val="24"/>
        </w:rPr>
        <w:t>identified</w:t>
      </w:r>
      <w:r>
        <w:rPr>
          <w:spacing w:val="-2"/>
          <w:sz w:val="24"/>
        </w:rPr>
        <w:t> </w:t>
      </w:r>
      <w:r>
        <w:rPr>
          <w:sz w:val="24"/>
        </w:rPr>
        <w:t>in</w:t>
      </w:r>
      <w:r>
        <w:rPr>
          <w:spacing w:val="-3"/>
          <w:sz w:val="24"/>
        </w:rPr>
        <w:t> </w:t>
      </w:r>
      <w:r>
        <w:rPr>
          <w:sz w:val="24"/>
        </w:rPr>
        <w:t>the</w:t>
      </w:r>
      <w:r>
        <w:rPr>
          <w:spacing w:val="-3"/>
          <w:sz w:val="24"/>
        </w:rPr>
        <w:t> </w:t>
      </w:r>
      <w:r>
        <w:rPr>
          <w:sz w:val="24"/>
        </w:rPr>
        <w:t>ESA</w:t>
      </w:r>
      <w:r>
        <w:rPr>
          <w:spacing w:val="-2"/>
          <w:sz w:val="24"/>
        </w:rPr>
        <w:t> </w:t>
      </w:r>
      <w:r>
        <w:rPr>
          <w:sz w:val="24"/>
        </w:rPr>
        <w:t>may</w:t>
      </w:r>
      <w:r>
        <w:rPr>
          <w:spacing w:val="-3"/>
          <w:sz w:val="24"/>
        </w:rPr>
        <w:t> </w:t>
      </w:r>
      <w:r>
        <w:rPr>
          <w:sz w:val="24"/>
        </w:rPr>
        <w:t>include,</w:t>
      </w:r>
      <w:r>
        <w:rPr>
          <w:spacing w:val="-2"/>
          <w:sz w:val="24"/>
        </w:rPr>
        <w:t> </w:t>
      </w:r>
      <w:r>
        <w:rPr>
          <w:sz w:val="24"/>
        </w:rPr>
        <w:t>but</w:t>
      </w:r>
      <w:r>
        <w:rPr>
          <w:spacing w:val="-2"/>
          <w:sz w:val="24"/>
        </w:rPr>
        <w:t> </w:t>
      </w:r>
      <w:r>
        <w:rPr>
          <w:sz w:val="24"/>
        </w:rPr>
        <w:t>are</w:t>
      </w:r>
      <w:r>
        <w:rPr>
          <w:spacing w:val="-3"/>
          <w:sz w:val="24"/>
        </w:rPr>
        <w:t> </w:t>
      </w:r>
      <w:r>
        <w:rPr>
          <w:sz w:val="24"/>
        </w:rPr>
        <w:t>not</w:t>
      </w:r>
      <w:r>
        <w:rPr>
          <w:spacing w:val="-2"/>
          <w:sz w:val="24"/>
        </w:rPr>
        <w:t> </w:t>
      </w:r>
      <w:r>
        <w:rPr>
          <w:sz w:val="24"/>
        </w:rPr>
        <w:t>limited</w:t>
      </w:r>
      <w:r>
        <w:rPr>
          <w:spacing w:val="-3"/>
          <w:sz w:val="24"/>
        </w:rPr>
        <w:t> </w:t>
      </w:r>
      <w:r>
        <w:rPr>
          <w:sz w:val="24"/>
        </w:rPr>
        <w:t>to</w:t>
      </w:r>
      <w:r>
        <w:rPr>
          <w:spacing w:val="-3"/>
          <w:sz w:val="24"/>
        </w:rPr>
        <w:t> </w:t>
      </w:r>
      <w:r>
        <w:rPr>
          <w:sz w:val="24"/>
        </w:rPr>
        <w:t>training</w:t>
      </w:r>
      <w:r>
        <w:rPr>
          <w:spacing w:val="-3"/>
          <w:sz w:val="24"/>
        </w:rPr>
        <w:t> </w:t>
      </w:r>
      <w:r>
        <w:rPr>
          <w:sz w:val="24"/>
        </w:rPr>
        <w:t>in</w:t>
      </w:r>
      <w:r>
        <w:rPr>
          <w:spacing w:val="-3"/>
          <w:sz w:val="24"/>
        </w:rPr>
        <w:t> </w:t>
      </w:r>
      <w:r>
        <w:rPr>
          <w:sz w:val="24"/>
        </w:rPr>
        <w:t>the following areas:</w:t>
      </w:r>
    </w:p>
    <w:p>
      <w:pPr>
        <w:pStyle w:val="ListParagraph"/>
        <w:numPr>
          <w:ilvl w:val="2"/>
          <w:numId w:val="176"/>
        </w:numPr>
        <w:tabs>
          <w:tab w:pos="1713" w:val="left" w:leader="none"/>
        </w:tabs>
        <w:spacing w:line="240" w:lineRule="auto" w:before="159" w:after="0"/>
        <w:ind w:left="1713" w:right="0" w:hanging="453"/>
        <w:jc w:val="left"/>
        <w:rPr>
          <w:sz w:val="24"/>
        </w:rPr>
      </w:pPr>
      <w:r>
        <w:rPr>
          <w:sz w:val="24"/>
        </w:rPr>
        <w:t>accessing</w:t>
      </w:r>
      <w:r>
        <w:rPr>
          <w:spacing w:val="-5"/>
          <w:sz w:val="24"/>
        </w:rPr>
        <w:t> </w:t>
      </w:r>
      <w:r>
        <w:rPr>
          <w:sz w:val="24"/>
        </w:rPr>
        <w:t>public</w:t>
      </w:r>
      <w:r>
        <w:rPr>
          <w:spacing w:val="-5"/>
          <w:sz w:val="24"/>
        </w:rPr>
        <w:t> </w:t>
      </w:r>
      <w:r>
        <w:rPr>
          <w:spacing w:val="-2"/>
          <w:sz w:val="24"/>
        </w:rPr>
        <w:t>transportation;</w:t>
      </w:r>
    </w:p>
    <w:p>
      <w:pPr>
        <w:pStyle w:val="ListParagraph"/>
        <w:numPr>
          <w:ilvl w:val="2"/>
          <w:numId w:val="176"/>
        </w:numPr>
        <w:tabs>
          <w:tab w:pos="1713" w:val="left" w:leader="none"/>
        </w:tabs>
        <w:spacing w:line="240" w:lineRule="auto" w:before="121" w:after="0"/>
        <w:ind w:left="1713" w:right="0" w:hanging="453"/>
        <w:jc w:val="left"/>
        <w:rPr>
          <w:sz w:val="24"/>
        </w:rPr>
      </w:pPr>
      <w:r>
        <w:rPr>
          <w:sz w:val="24"/>
        </w:rPr>
        <w:t>securing</w:t>
      </w:r>
      <w:r>
        <w:rPr>
          <w:spacing w:val="-5"/>
          <w:sz w:val="24"/>
        </w:rPr>
        <w:t> </w:t>
      </w:r>
      <w:r>
        <w:rPr>
          <w:sz w:val="24"/>
        </w:rPr>
        <w:t>reliable</w:t>
      </w:r>
      <w:r>
        <w:rPr>
          <w:spacing w:val="-5"/>
          <w:sz w:val="24"/>
        </w:rPr>
        <w:t> </w:t>
      </w:r>
      <w:r>
        <w:rPr>
          <w:spacing w:val="-2"/>
          <w:sz w:val="24"/>
        </w:rPr>
        <w:t>transportation;</w:t>
      </w:r>
    </w:p>
    <w:p>
      <w:pPr>
        <w:pStyle w:val="ListParagraph"/>
        <w:numPr>
          <w:ilvl w:val="2"/>
          <w:numId w:val="176"/>
        </w:numPr>
        <w:tabs>
          <w:tab w:pos="1726" w:val="left" w:leader="none"/>
        </w:tabs>
        <w:spacing w:line="240" w:lineRule="auto" w:before="120" w:after="0"/>
        <w:ind w:left="1260" w:right="974" w:firstLine="0"/>
        <w:jc w:val="left"/>
        <w:rPr>
          <w:sz w:val="24"/>
        </w:rPr>
      </w:pPr>
      <w:r>
        <w:rPr>
          <w:sz w:val="24"/>
        </w:rPr>
        <w:t>assisting</w:t>
      </w:r>
      <w:r>
        <w:rPr>
          <w:spacing w:val="-5"/>
          <w:sz w:val="24"/>
        </w:rPr>
        <w:t> </w:t>
      </w:r>
      <w:r>
        <w:rPr>
          <w:sz w:val="24"/>
        </w:rPr>
        <w:t>individuals</w:t>
      </w:r>
      <w:r>
        <w:rPr>
          <w:spacing w:val="-5"/>
          <w:sz w:val="24"/>
        </w:rPr>
        <w:t> </w:t>
      </w:r>
      <w:r>
        <w:rPr>
          <w:sz w:val="24"/>
        </w:rPr>
        <w:t>in</w:t>
      </w:r>
      <w:r>
        <w:rPr>
          <w:spacing w:val="-5"/>
          <w:sz w:val="24"/>
        </w:rPr>
        <w:t> </w:t>
      </w:r>
      <w:r>
        <w:rPr>
          <w:sz w:val="24"/>
        </w:rPr>
        <w:t>obtaining</w:t>
      </w:r>
      <w:r>
        <w:rPr>
          <w:spacing w:val="-5"/>
          <w:sz w:val="24"/>
        </w:rPr>
        <w:t> </w:t>
      </w:r>
      <w:r>
        <w:rPr>
          <w:sz w:val="24"/>
        </w:rPr>
        <w:t>the</w:t>
      </w:r>
      <w:r>
        <w:rPr>
          <w:spacing w:val="-5"/>
          <w:sz w:val="24"/>
        </w:rPr>
        <w:t> </w:t>
      </w:r>
      <w:r>
        <w:rPr>
          <w:sz w:val="24"/>
        </w:rPr>
        <w:t>information/items</w:t>
      </w:r>
      <w:r>
        <w:rPr>
          <w:spacing w:val="-5"/>
          <w:sz w:val="24"/>
        </w:rPr>
        <w:t> </w:t>
      </w:r>
      <w:r>
        <w:rPr>
          <w:sz w:val="24"/>
        </w:rPr>
        <w:t>necessary</w:t>
      </w:r>
      <w:r>
        <w:rPr>
          <w:spacing w:val="-5"/>
          <w:sz w:val="24"/>
        </w:rPr>
        <w:t> </w:t>
      </w:r>
      <w:r>
        <w:rPr>
          <w:sz w:val="24"/>
        </w:rPr>
        <w:t>to</w:t>
      </w:r>
      <w:r>
        <w:rPr>
          <w:spacing w:val="-6"/>
          <w:sz w:val="24"/>
        </w:rPr>
        <w:t> </w:t>
      </w:r>
      <w:r>
        <w:rPr>
          <w:sz w:val="24"/>
        </w:rPr>
        <w:t>meet the requirements for an I-9;</w:t>
      </w:r>
    </w:p>
    <w:p>
      <w:pPr>
        <w:pStyle w:val="ListParagraph"/>
        <w:numPr>
          <w:ilvl w:val="2"/>
          <w:numId w:val="176"/>
        </w:numPr>
        <w:tabs>
          <w:tab w:pos="1725" w:val="left" w:leader="none"/>
        </w:tabs>
        <w:spacing w:line="240" w:lineRule="auto" w:before="120" w:after="0"/>
        <w:ind w:left="1260" w:right="800" w:firstLine="0"/>
        <w:jc w:val="left"/>
        <w:rPr>
          <w:sz w:val="24"/>
        </w:rPr>
      </w:pPr>
      <w:r>
        <w:rPr>
          <w:sz w:val="24"/>
        </w:rPr>
        <w:t>teaching</w:t>
      </w:r>
      <w:r>
        <w:rPr>
          <w:spacing w:val="-5"/>
          <w:sz w:val="24"/>
        </w:rPr>
        <w:t> </w:t>
      </w:r>
      <w:r>
        <w:rPr>
          <w:sz w:val="24"/>
        </w:rPr>
        <w:t>skills</w:t>
      </w:r>
      <w:r>
        <w:rPr>
          <w:spacing w:val="-5"/>
          <w:sz w:val="24"/>
        </w:rPr>
        <w:t> </w:t>
      </w:r>
      <w:r>
        <w:rPr>
          <w:sz w:val="24"/>
        </w:rPr>
        <w:t>for</w:t>
      </w:r>
      <w:r>
        <w:rPr>
          <w:spacing w:val="-4"/>
          <w:sz w:val="24"/>
        </w:rPr>
        <w:t> </w:t>
      </w:r>
      <w:r>
        <w:rPr>
          <w:sz w:val="24"/>
        </w:rPr>
        <w:t>obtaining</w:t>
      </w:r>
      <w:r>
        <w:rPr>
          <w:spacing w:val="-4"/>
          <w:sz w:val="24"/>
        </w:rPr>
        <w:t> </w:t>
      </w:r>
      <w:r>
        <w:rPr>
          <w:sz w:val="24"/>
        </w:rPr>
        <w:t>worksite</w:t>
      </w:r>
      <w:r>
        <w:rPr>
          <w:spacing w:val="-5"/>
          <w:sz w:val="24"/>
        </w:rPr>
        <w:t> </w:t>
      </w:r>
      <w:r>
        <w:rPr>
          <w:sz w:val="24"/>
        </w:rPr>
        <w:t>and/or</w:t>
      </w:r>
      <w:r>
        <w:rPr>
          <w:spacing w:val="-4"/>
          <w:sz w:val="24"/>
        </w:rPr>
        <w:t> </w:t>
      </w:r>
      <w:r>
        <w:rPr>
          <w:sz w:val="24"/>
        </w:rPr>
        <w:t>training</w:t>
      </w:r>
      <w:r>
        <w:rPr>
          <w:spacing w:val="-5"/>
          <w:sz w:val="24"/>
        </w:rPr>
        <w:t> </w:t>
      </w:r>
      <w:r>
        <w:rPr>
          <w:sz w:val="24"/>
        </w:rPr>
        <w:t>facility</w:t>
      </w:r>
      <w:r>
        <w:rPr>
          <w:spacing w:val="-5"/>
          <w:sz w:val="24"/>
        </w:rPr>
        <w:t> </w:t>
      </w:r>
      <w:r>
        <w:rPr>
          <w:sz w:val="24"/>
        </w:rPr>
        <w:t>modifications</w:t>
      </w:r>
      <w:r>
        <w:rPr>
          <w:spacing w:val="-4"/>
          <w:sz w:val="24"/>
        </w:rPr>
        <w:t> </w:t>
      </w:r>
      <w:r>
        <w:rPr>
          <w:sz w:val="24"/>
        </w:rPr>
        <w:t>or </w:t>
      </w:r>
      <w:r>
        <w:rPr>
          <w:spacing w:val="-2"/>
          <w:sz w:val="24"/>
        </w:rPr>
        <w:t>accommodations;</w:t>
      </w:r>
    </w:p>
    <w:p>
      <w:pPr>
        <w:pStyle w:val="ListParagraph"/>
        <w:numPr>
          <w:ilvl w:val="2"/>
          <w:numId w:val="176"/>
        </w:numPr>
        <w:tabs>
          <w:tab w:pos="1713" w:val="left" w:leader="none"/>
        </w:tabs>
        <w:spacing w:line="240" w:lineRule="auto" w:before="120" w:after="0"/>
        <w:ind w:left="1713" w:right="0" w:hanging="453"/>
        <w:jc w:val="left"/>
        <w:rPr>
          <w:sz w:val="24"/>
        </w:rPr>
      </w:pPr>
      <w:r>
        <w:rPr>
          <w:sz w:val="24"/>
        </w:rPr>
        <w:t>navigation</w:t>
      </w:r>
      <w:r>
        <w:rPr>
          <w:spacing w:val="-3"/>
          <w:sz w:val="24"/>
        </w:rPr>
        <w:t> </w:t>
      </w:r>
      <w:r>
        <w:rPr>
          <w:sz w:val="24"/>
        </w:rPr>
        <w:t>in</w:t>
      </w:r>
      <w:r>
        <w:rPr>
          <w:spacing w:val="-2"/>
          <w:sz w:val="24"/>
        </w:rPr>
        <w:t> </w:t>
      </w:r>
      <w:r>
        <w:rPr>
          <w:sz w:val="24"/>
        </w:rPr>
        <w:t>a</w:t>
      </w:r>
      <w:r>
        <w:rPr>
          <w:spacing w:val="-3"/>
          <w:sz w:val="24"/>
        </w:rPr>
        <w:t> </w:t>
      </w:r>
      <w:r>
        <w:rPr>
          <w:sz w:val="24"/>
        </w:rPr>
        <w:t>new</w:t>
      </w:r>
      <w:r>
        <w:rPr>
          <w:spacing w:val="-2"/>
          <w:sz w:val="24"/>
        </w:rPr>
        <w:t> </w:t>
      </w:r>
      <w:r>
        <w:rPr>
          <w:sz w:val="24"/>
        </w:rPr>
        <w:t>environment</w:t>
      </w:r>
      <w:r>
        <w:rPr>
          <w:spacing w:val="-2"/>
          <w:sz w:val="24"/>
        </w:rPr>
        <w:t> </w:t>
      </w:r>
      <w:r>
        <w:rPr>
          <w:sz w:val="24"/>
        </w:rPr>
        <w:t>such</w:t>
      </w:r>
      <w:r>
        <w:rPr>
          <w:spacing w:val="-2"/>
          <w:sz w:val="24"/>
        </w:rPr>
        <w:t> </w:t>
      </w:r>
      <w:r>
        <w:rPr>
          <w:sz w:val="24"/>
        </w:rPr>
        <w:t>as</w:t>
      </w:r>
      <w:r>
        <w:rPr>
          <w:spacing w:val="-3"/>
          <w:sz w:val="24"/>
        </w:rPr>
        <w:t> </w:t>
      </w:r>
      <w:r>
        <w:rPr>
          <w:sz w:val="24"/>
        </w:rPr>
        <w:t>a</w:t>
      </w:r>
      <w:r>
        <w:rPr>
          <w:spacing w:val="-2"/>
          <w:sz w:val="24"/>
        </w:rPr>
        <w:t> </w:t>
      </w:r>
      <w:r>
        <w:rPr>
          <w:sz w:val="24"/>
        </w:rPr>
        <w:t>college</w:t>
      </w:r>
      <w:r>
        <w:rPr>
          <w:spacing w:val="-2"/>
          <w:sz w:val="24"/>
        </w:rPr>
        <w:t> campus;</w:t>
      </w:r>
    </w:p>
    <w:p>
      <w:pPr>
        <w:pStyle w:val="ListParagraph"/>
        <w:numPr>
          <w:ilvl w:val="2"/>
          <w:numId w:val="176"/>
        </w:numPr>
        <w:tabs>
          <w:tab w:pos="1698" w:val="left" w:leader="none"/>
        </w:tabs>
        <w:spacing w:line="240" w:lineRule="auto" w:before="120" w:after="0"/>
        <w:ind w:left="1260" w:right="1202" w:firstLine="0"/>
        <w:jc w:val="left"/>
        <w:rPr>
          <w:sz w:val="24"/>
        </w:rPr>
      </w:pPr>
      <w:r>
        <w:rPr>
          <w:sz w:val="24"/>
        </w:rPr>
        <w:t>advocacy/assertive</w:t>
      </w:r>
      <w:r>
        <w:rPr>
          <w:spacing w:val="-6"/>
          <w:sz w:val="24"/>
        </w:rPr>
        <w:t> </w:t>
      </w:r>
      <w:r>
        <w:rPr>
          <w:sz w:val="24"/>
        </w:rPr>
        <w:t>skills</w:t>
      </w:r>
      <w:r>
        <w:rPr>
          <w:spacing w:val="-6"/>
          <w:sz w:val="24"/>
        </w:rPr>
        <w:t> </w:t>
      </w:r>
      <w:r>
        <w:rPr>
          <w:sz w:val="24"/>
        </w:rPr>
        <w:t>to</w:t>
      </w:r>
      <w:r>
        <w:rPr>
          <w:spacing w:val="-6"/>
          <w:sz w:val="24"/>
        </w:rPr>
        <w:t> </w:t>
      </w:r>
      <w:r>
        <w:rPr>
          <w:sz w:val="24"/>
        </w:rPr>
        <w:t>develop</w:t>
      </w:r>
      <w:r>
        <w:rPr>
          <w:spacing w:val="-6"/>
          <w:sz w:val="24"/>
        </w:rPr>
        <w:t> </w:t>
      </w:r>
      <w:r>
        <w:rPr>
          <w:sz w:val="24"/>
        </w:rPr>
        <w:t>their</w:t>
      </w:r>
      <w:r>
        <w:rPr>
          <w:spacing w:val="-5"/>
          <w:sz w:val="24"/>
        </w:rPr>
        <w:t> </w:t>
      </w:r>
      <w:r>
        <w:rPr>
          <w:sz w:val="24"/>
        </w:rPr>
        <w:t>independence</w:t>
      </w:r>
      <w:r>
        <w:rPr>
          <w:spacing w:val="-6"/>
          <w:sz w:val="24"/>
        </w:rPr>
        <w:t> </w:t>
      </w:r>
      <w:r>
        <w:rPr>
          <w:sz w:val="24"/>
        </w:rPr>
        <w:t>in</w:t>
      </w:r>
      <w:r>
        <w:rPr>
          <w:spacing w:val="-6"/>
          <w:sz w:val="24"/>
        </w:rPr>
        <w:t> </w:t>
      </w:r>
      <w:r>
        <w:rPr>
          <w:sz w:val="24"/>
        </w:rPr>
        <w:t>employment </w:t>
      </w:r>
      <w:r>
        <w:rPr>
          <w:spacing w:val="-2"/>
          <w:sz w:val="24"/>
        </w:rPr>
        <w:t>situations;</w:t>
      </w:r>
    </w:p>
    <w:p>
      <w:pPr>
        <w:pStyle w:val="ListParagraph"/>
        <w:numPr>
          <w:ilvl w:val="2"/>
          <w:numId w:val="176"/>
        </w:numPr>
        <w:tabs>
          <w:tab w:pos="1739" w:val="left" w:leader="none"/>
        </w:tabs>
        <w:spacing w:line="240" w:lineRule="auto" w:before="120" w:after="0"/>
        <w:ind w:left="1739" w:right="0" w:hanging="479"/>
        <w:jc w:val="left"/>
        <w:rPr>
          <w:sz w:val="24"/>
        </w:rPr>
      </w:pPr>
      <w:r>
        <w:rPr>
          <w:sz w:val="24"/>
        </w:rPr>
        <w:t>choosing</w:t>
      </w:r>
      <w:r>
        <w:rPr>
          <w:spacing w:val="-4"/>
          <w:sz w:val="24"/>
        </w:rPr>
        <w:t> </w:t>
      </w:r>
      <w:r>
        <w:rPr>
          <w:sz w:val="24"/>
        </w:rPr>
        <w:t>and</w:t>
      </w:r>
      <w:r>
        <w:rPr>
          <w:spacing w:val="-3"/>
          <w:sz w:val="24"/>
        </w:rPr>
        <w:t> </w:t>
      </w:r>
      <w:r>
        <w:rPr>
          <w:sz w:val="24"/>
        </w:rPr>
        <w:t>caring</w:t>
      </w:r>
      <w:r>
        <w:rPr>
          <w:spacing w:val="-3"/>
          <w:sz w:val="24"/>
        </w:rPr>
        <w:t> </w:t>
      </w:r>
      <w:r>
        <w:rPr>
          <w:sz w:val="24"/>
        </w:rPr>
        <w:t>for</w:t>
      </w:r>
      <w:r>
        <w:rPr>
          <w:spacing w:val="-3"/>
          <w:sz w:val="24"/>
        </w:rPr>
        <w:t> </w:t>
      </w:r>
      <w:r>
        <w:rPr>
          <w:sz w:val="24"/>
        </w:rPr>
        <w:t>appropriate</w:t>
      </w:r>
      <w:r>
        <w:rPr>
          <w:spacing w:val="-3"/>
          <w:sz w:val="24"/>
        </w:rPr>
        <w:t> </w:t>
      </w:r>
      <w:r>
        <w:rPr>
          <w:sz w:val="24"/>
        </w:rPr>
        <w:t>work</w:t>
      </w:r>
      <w:r>
        <w:rPr>
          <w:spacing w:val="-3"/>
          <w:sz w:val="24"/>
        </w:rPr>
        <w:t> </w:t>
      </w:r>
      <w:r>
        <w:rPr>
          <w:spacing w:val="-2"/>
          <w:sz w:val="24"/>
        </w:rPr>
        <w:t>clothing;</w:t>
      </w:r>
    </w:p>
    <w:p>
      <w:pPr>
        <w:pStyle w:val="ListParagraph"/>
        <w:numPr>
          <w:ilvl w:val="2"/>
          <w:numId w:val="176"/>
        </w:numPr>
        <w:tabs>
          <w:tab w:pos="1726" w:val="left" w:leader="none"/>
        </w:tabs>
        <w:spacing w:line="240" w:lineRule="auto" w:before="120" w:after="0"/>
        <w:ind w:left="1726" w:right="0" w:hanging="466"/>
        <w:jc w:val="left"/>
        <w:rPr>
          <w:sz w:val="24"/>
        </w:rPr>
      </w:pPr>
      <w:r>
        <w:rPr>
          <w:sz w:val="24"/>
        </w:rPr>
        <w:t>banking</w:t>
      </w:r>
      <w:r>
        <w:rPr>
          <w:spacing w:val="-5"/>
          <w:sz w:val="24"/>
        </w:rPr>
        <w:t> </w:t>
      </w:r>
      <w:r>
        <w:rPr>
          <w:spacing w:val="-2"/>
          <w:sz w:val="24"/>
        </w:rPr>
        <w:t>skills;</w:t>
      </w:r>
    </w:p>
    <w:p>
      <w:pPr>
        <w:pStyle w:val="ListParagraph"/>
        <w:numPr>
          <w:ilvl w:val="2"/>
          <w:numId w:val="176"/>
        </w:numPr>
        <w:tabs>
          <w:tab w:pos="1619" w:val="left" w:leader="none"/>
        </w:tabs>
        <w:spacing w:line="240" w:lineRule="auto" w:before="120" w:after="0"/>
        <w:ind w:left="1619" w:right="0" w:hanging="359"/>
        <w:jc w:val="left"/>
        <w:rPr>
          <w:sz w:val="24"/>
        </w:rPr>
      </w:pPr>
      <w:r>
        <w:rPr>
          <w:sz w:val="24"/>
        </w:rPr>
        <w:t>assisting</w:t>
      </w:r>
      <w:r>
        <w:rPr>
          <w:spacing w:val="-3"/>
          <w:sz w:val="24"/>
        </w:rPr>
        <w:t> </w:t>
      </w:r>
      <w:r>
        <w:rPr>
          <w:sz w:val="24"/>
        </w:rPr>
        <w:t>the</w:t>
      </w:r>
      <w:r>
        <w:rPr>
          <w:spacing w:val="-3"/>
          <w:sz w:val="24"/>
        </w:rPr>
        <w:t> </w:t>
      </w:r>
      <w:r>
        <w:rPr>
          <w:sz w:val="24"/>
        </w:rPr>
        <w:t>individual</w:t>
      </w:r>
      <w:r>
        <w:rPr>
          <w:spacing w:val="-3"/>
          <w:sz w:val="24"/>
        </w:rPr>
        <w:t> </w:t>
      </w:r>
      <w:r>
        <w:rPr>
          <w:sz w:val="24"/>
        </w:rPr>
        <w:t>in</w:t>
      </w:r>
      <w:r>
        <w:rPr>
          <w:spacing w:val="-2"/>
          <w:sz w:val="24"/>
        </w:rPr>
        <w:t> </w:t>
      </w:r>
      <w:r>
        <w:rPr>
          <w:sz w:val="24"/>
        </w:rPr>
        <w:t>obtaining</w:t>
      </w:r>
      <w:r>
        <w:rPr>
          <w:spacing w:val="-3"/>
          <w:sz w:val="24"/>
        </w:rPr>
        <w:t> </w:t>
      </w:r>
      <w:r>
        <w:rPr>
          <w:sz w:val="24"/>
        </w:rPr>
        <w:t>a</w:t>
      </w:r>
      <w:r>
        <w:rPr>
          <w:spacing w:val="-3"/>
          <w:sz w:val="24"/>
        </w:rPr>
        <w:t> </w:t>
      </w:r>
      <w:r>
        <w:rPr>
          <w:sz w:val="24"/>
        </w:rPr>
        <w:t>food</w:t>
      </w:r>
      <w:r>
        <w:rPr>
          <w:spacing w:val="-2"/>
          <w:sz w:val="24"/>
        </w:rPr>
        <w:t> </w:t>
      </w:r>
      <w:r>
        <w:rPr>
          <w:sz w:val="24"/>
        </w:rPr>
        <w:t>handler’s</w:t>
      </w:r>
      <w:r>
        <w:rPr>
          <w:spacing w:val="-3"/>
          <w:sz w:val="24"/>
        </w:rPr>
        <w:t> </w:t>
      </w:r>
      <w:r>
        <w:rPr>
          <w:sz w:val="24"/>
        </w:rPr>
        <w:t>card</w:t>
      </w:r>
      <w:r>
        <w:rPr>
          <w:spacing w:val="-3"/>
          <w:sz w:val="24"/>
        </w:rPr>
        <w:t> </w:t>
      </w:r>
      <w:r>
        <w:rPr>
          <w:sz w:val="24"/>
        </w:rPr>
        <w:t>(if</w:t>
      </w:r>
      <w:r>
        <w:rPr>
          <w:spacing w:val="-3"/>
          <w:sz w:val="24"/>
        </w:rPr>
        <w:t> </w:t>
      </w:r>
      <w:r>
        <w:rPr>
          <w:spacing w:val="-2"/>
          <w:sz w:val="24"/>
        </w:rPr>
        <w:t>needed);</w:t>
      </w:r>
    </w:p>
    <w:p>
      <w:pPr>
        <w:pStyle w:val="ListParagraph"/>
        <w:numPr>
          <w:ilvl w:val="2"/>
          <w:numId w:val="176"/>
        </w:numPr>
        <w:tabs>
          <w:tab w:pos="1673" w:val="left" w:leader="none"/>
        </w:tabs>
        <w:spacing w:line="240" w:lineRule="auto" w:before="120" w:after="0"/>
        <w:ind w:left="1673" w:right="0" w:hanging="413"/>
        <w:jc w:val="left"/>
        <w:rPr>
          <w:sz w:val="24"/>
        </w:rPr>
      </w:pPr>
      <w:r>
        <w:rPr>
          <w:sz w:val="24"/>
        </w:rPr>
        <w:t>training</w:t>
      </w:r>
      <w:r>
        <w:rPr>
          <w:spacing w:val="-3"/>
          <w:sz w:val="24"/>
        </w:rPr>
        <w:t> </w:t>
      </w:r>
      <w:r>
        <w:rPr>
          <w:sz w:val="24"/>
        </w:rPr>
        <w:t>in</w:t>
      </w:r>
      <w:r>
        <w:rPr>
          <w:spacing w:val="-4"/>
          <w:sz w:val="24"/>
        </w:rPr>
        <w:t> </w:t>
      </w:r>
      <w:r>
        <w:rPr>
          <w:sz w:val="24"/>
        </w:rPr>
        <w:t>the</w:t>
      </w:r>
      <w:r>
        <w:rPr>
          <w:spacing w:val="-3"/>
          <w:sz w:val="24"/>
        </w:rPr>
        <w:t> </w:t>
      </w:r>
      <w:r>
        <w:rPr>
          <w:sz w:val="24"/>
        </w:rPr>
        <w:t>management</w:t>
      </w:r>
      <w:r>
        <w:rPr>
          <w:spacing w:val="-3"/>
          <w:sz w:val="24"/>
        </w:rPr>
        <w:t> </w:t>
      </w:r>
      <w:r>
        <w:rPr>
          <w:sz w:val="24"/>
        </w:rPr>
        <w:t>of</w:t>
      </w:r>
      <w:r>
        <w:rPr>
          <w:spacing w:val="-3"/>
          <w:sz w:val="24"/>
        </w:rPr>
        <w:t> </w:t>
      </w:r>
      <w:r>
        <w:rPr>
          <w:sz w:val="24"/>
        </w:rPr>
        <w:t>personal</w:t>
      </w:r>
      <w:r>
        <w:rPr>
          <w:spacing w:val="-3"/>
          <w:sz w:val="24"/>
        </w:rPr>
        <w:t> </w:t>
      </w:r>
      <w:r>
        <w:rPr>
          <w:sz w:val="24"/>
        </w:rPr>
        <w:t>assistant</w:t>
      </w:r>
      <w:r>
        <w:rPr>
          <w:spacing w:val="-3"/>
          <w:sz w:val="24"/>
        </w:rPr>
        <w:t> </w:t>
      </w:r>
      <w:r>
        <w:rPr>
          <w:sz w:val="24"/>
        </w:rPr>
        <w:t>services,</w:t>
      </w:r>
      <w:r>
        <w:rPr>
          <w:spacing w:val="-2"/>
          <w:sz w:val="24"/>
        </w:rPr>
        <w:t> and/or;</w:t>
      </w:r>
    </w:p>
    <w:p>
      <w:pPr>
        <w:pStyle w:val="ListParagraph"/>
        <w:numPr>
          <w:ilvl w:val="2"/>
          <w:numId w:val="176"/>
        </w:numPr>
        <w:tabs>
          <w:tab w:pos="1712" w:val="left" w:leader="none"/>
        </w:tabs>
        <w:spacing w:line="240" w:lineRule="auto" w:before="120" w:after="0"/>
        <w:ind w:left="1712" w:right="0" w:hanging="452"/>
        <w:jc w:val="left"/>
        <w:rPr>
          <w:sz w:val="24"/>
        </w:rPr>
      </w:pPr>
      <w:r>
        <w:rPr>
          <w:spacing w:val="-2"/>
          <w:sz w:val="24"/>
        </w:rPr>
        <w:t>Other.</w:t>
      </w:r>
    </w:p>
    <w:p>
      <w:pPr>
        <w:pStyle w:val="ListParagraph"/>
        <w:numPr>
          <w:ilvl w:val="3"/>
          <w:numId w:val="176"/>
        </w:numPr>
        <w:tabs>
          <w:tab w:pos="2056" w:val="left" w:leader="none"/>
        </w:tabs>
        <w:spacing w:line="240" w:lineRule="auto" w:before="120" w:after="0"/>
        <w:ind w:left="1710" w:right="975" w:firstLine="0"/>
        <w:jc w:val="left"/>
        <w:rPr>
          <w:sz w:val="24"/>
        </w:rPr>
      </w:pPr>
      <w:r>
        <w:rPr>
          <w:sz w:val="24"/>
        </w:rPr>
        <w:t>SSE services are intended to be used individually or with other employment</w:t>
      </w:r>
      <w:r>
        <w:rPr>
          <w:spacing w:val="-4"/>
          <w:sz w:val="24"/>
        </w:rPr>
        <w:t> </w:t>
      </w:r>
      <w:r>
        <w:rPr>
          <w:sz w:val="24"/>
        </w:rPr>
        <w:t>contracts</w:t>
      </w:r>
      <w:r>
        <w:rPr>
          <w:spacing w:val="-5"/>
          <w:sz w:val="24"/>
        </w:rPr>
        <w:t> </w:t>
      </w:r>
      <w:r>
        <w:rPr>
          <w:sz w:val="24"/>
        </w:rPr>
        <w:t>to</w:t>
      </w:r>
      <w:r>
        <w:rPr>
          <w:spacing w:val="-5"/>
          <w:sz w:val="24"/>
        </w:rPr>
        <w:t> </w:t>
      </w:r>
      <w:r>
        <w:rPr>
          <w:sz w:val="24"/>
        </w:rPr>
        <w:t>meet</w:t>
      </w:r>
      <w:r>
        <w:rPr>
          <w:spacing w:val="-6"/>
          <w:sz w:val="24"/>
        </w:rPr>
        <w:t> </w:t>
      </w:r>
      <w:r>
        <w:rPr>
          <w:sz w:val="24"/>
        </w:rPr>
        <w:t>the</w:t>
      </w:r>
      <w:r>
        <w:rPr>
          <w:spacing w:val="-5"/>
          <w:sz w:val="24"/>
        </w:rPr>
        <w:t> </w:t>
      </w:r>
      <w:r>
        <w:rPr>
          <w:sz w:val="24"/>
        </w:rPr>
        <w:t>individual’s</w:t>
      </w:r>
      <w:r>
        <w:rPr>
          <w:spacing w:val="-5"/>
          <w:sz w:val="24"/>
        </w:rPr>
        <w:t> </w:t>
      </w:r>
      <w:r>
        <w:rPr>
          <w:sz w:val="24"/>
        </w:rPr>
        <w:t>employment</w:t>
      </w:r>
      <w:r>
        <w:rPr>
          <w:spacing w:val="-4"/>
          <w:sz w:val="24"/>
        </w:rPr>
        <w:t> </w:t>
      </w:r>
      <w:r>
        <w:rPr>
          <w:sz w:val="24"/>
        </w:rPr>
        <w:t>needs.</w:t>
      </w:r>
      <w:r>
        <w:rPr>
          <w:spacing w:val="-4"/>
          <w:sz w:val="24"/>
        </w:rPr>
        <w:t> </w:t>
      </w:r>
      <w:r>
        <w:rPr>
          <w:sz w:val="24"/>
        </w:rPr>
        <w:t>These services are open to individuals in all priority groups.</w:t>
      </w:r>
    </w:p>
    <w:p>
      <w:pPr>
        <w:pStyle w:val="ListParagraph"/>
        <w:numPr>
          <w:ilvl w:val="3"/>
          <w:numId w:val="176"/>
        </w:numPr>
        <w:tabs>
          <w:tab w:pos="2108" w:val="left" w:leader="none"/>
        </w:tabs>
        <w:spacing w:line="240" w:lineRule="auto" w:before="239" w:after="0"/>
        <w:ind w:left="1710" w:right="723" w:firstLine="0"/>
        <w:jc w:val="left"/>
        <w:rPr>
          <w:sz w:val="24"/>
        </w:rPr>
      </w:pPr>
      <w:r>
        <w:rPr>
          <w:sz w:val="24"/>
        </w:rPr>
        <w:t>This</w:t>
      </w:r>
      <w:r>
        <w:rPr>
          <w:spacing w:val="-4"/>
          <w:sz w:val="24"/>
        </w:rPr>
        <w:t> </w:t>
      </w:r>
      <w:r>
        <w:rPr>
          <w:sz w:val="24"/>
        </w:rPr>
        <w:t>service</w:t>
      </w:r>
      <w:r>
        <w:rPr>
          <w:spacing w:val="-4"/>
          <w:sz w:val="24"/>
        </w:rPr>
        <w:t> </w:t>
      </w:r>
      <w:r>
        <w:rPr>
          <w:sz w:val="24"/>
        </w:rPr>
        <w:t>cannot</w:t>
      </w:r>
      <w:r>
        <w:rPr>
          <w:spacing w:val="-3"/>
          <w:sz w:val="24"/>
        </w:rPr>
        <w:t> </w:t>
      </w:r>
      <w:r>
        <w:rPr>
          <w:sz w:val="24"/>
        </w:rPr>
        <w:t>be</w:t>
      </w:r>
      <w:r>
        <w:rPr>
          <w:spacing w:val="-4"/>
          <w:sz w:val="24"/>
        </w:rPr>
        <w:t> </w:t>
      </w:r>
      <w:r>
        <w:rPr>
          <w:sz w:val="24"/>
        </w:rPr>
        <w:t>used</w:t>
      </w:r>
      <w:r>
        <w:rPr>
          <w:spacing w:val="-4"/>
          <w:sz w:val="24"/>
        </w:rPr>
        <w:t> </w:t>
      </w:r>
      <w:r>
        <w:rPr>
          <w:sz w:val="24"/>
        </w:rPr>
        <w:t>to</w:t>
      </w:r>
      <w:r>
        <w:rPr>
          <w:spacing w:val="-4"/>
          <w:sz w:val="24"/>
        </w:rPr>
        <w:t> </w:t>
      </w:r>
      <w:r>
        <w:rPr>
          <w:sz w:val="24"/>
        </w:rPr>
        <w:t>provide</w:t>
      </w:r>
      <w:r>
        <w:rPr>
          <w:spacing w:val="-4"/>
          <w:sz w:val="24"/>
        </w:rPr>
        <w:t> </w:t>
      </w:r>
      <w:r>
        <w:rPr>
          <w:sz w:val="24"/>
        </w:rPr>
        <w:t>the</w:t>
      </w:r>
      <w:r>
        <w:rPr>
          <w:spacing w:val="-4"/>
          <w:sz w:val="24"/>
        </w:rPr>
        <w:t> </w:t>
      </w:r>
      <w:r>
        <w:rPr>
          <w:sz w:val="24"/>
        </w:rPr>
        <w:t>individual</w:t>
      </w:r>
      <w:r>
        <w:rPr>
          <w:spacing w:val="-4"/>
          <w:sz w:val="24"/>
        </w:rPr>
        <w:t> </w:t>
      </w:r>
      <w:r>
        <w:rPr>
          <w:sz w:val="24"/>
        </w:rPr>
        <w:t>with</w:t>
      </w:r>
      <w:r>
        <w:rPr>
          <w:spacing w:val="-4"/>
          <w:sz w:val="24"/>
        </w:rPr>
        <w:t> </w:t>
      </w:r>
      <w:r>
        <w:rPr>
          <w:sz w:val="24"/>
        </w:rPr>
        <w:t>transportation or assistance</w:t>
      </w:r>
      <w:r>
        <w:rPr>
          <w:spacing w:val="-1"/>
          <w:sz w:val="24"/>
        </w:rPr>
        <w:t> </w:t>
      </w:r>
      <w:r>
        <w:rPr>
          <w:sz w:val="24"/>
        </w:rPr>
        <w:t>to</w:t>
      </w:r>
      <w:r>
        <w:rPr>
          <w:spacing w:val="-1"/>
          <w:sz w:val="24"/>
        </w:rPr>
        <w:t> </w:t>
      </w:r>
      <w:r>
        <w:rPr>
          <w:sz w:val="24"/>
        </w:rPr>
        <w:t>or</w:t>
      </w:r>
      <w:r>
        <w:rPr>
          <w:spacing w:val="-2"/>
          <w:sz w:val="24"/>
        </w:rPr>
        <w:t> </w:t>
      </w:r>
      <w:r>
        <w:rPr>
          <w:sz w:val="24"/>
        </w:rPr>
        <w:t>from appointments,</w:t>
      </w:r>
      <w:r>
        <w:rPr>
          <w:spacing w:val="-2"/>
          <w:sz w:val="24"/>
        </w:rPr>
        <w:t> </w:t>
      </w:r>
      <w:r>
        <w:rPr>
          <w:sz w:val="24"/>
        </w:rPr>
        <w:t>the</w:t>
      </w:r>
      <w:r>
        <w:rPr>
          <w:spacing w:val="-2"/>
          <w:sz w:val="24"/>
        </w:rPr>
        <w:t> </w:t>
      </w:r>
      <w:r>
        <w:rPr>
          <w:sz w:val="24"/>
        </w:rPr>
        <w:t>worksite, or</w:t>
      </w:r>
      <w:r>
        <w:rPr>
          <w:spacing w:val="-2"/>
          <w:sz w:val="24"/>
        </w:rPr>
        <w:t> </w:t>
      </w:r>
      <w:r>
        <w:rPr>
          <w:sz w:val="24"/>
        </w:rPr>
        <w:t>the</w:t>
      </w:r>
      <w:r>
        <w:rPr>
          <w:spacing w:val="-1"/>
          <w:sz w:val="24"/>
        </w:rPr>
        <w:t> </w:t>
      </w:r>
      <w:r>
        <w:rPr>
          <w:sz w:val="24"/>
        </w:rPr>
        <w:t>college campus. It is not to be used in place of public transportation or when the individual has circumstances that arise that prevent self-transportation.</w:t>
      </w:r>
    </w:p>
    <w:p>
      <w:pPr>
        <w:pStyle w:val="ListParagraph"/>
        <w:spacing w:after="0" w:line="240" w:lineRule="auto"/>
        <w:jc w:val="left"/>
        <w:rPr>
          <w:sz w:val="24"/>
        </w:rPr>
        <w:sectPr>
          <w:pgSz w:w="12240" w:h="15840"/>
          <w:pgMar w:top="1340" w:bottom="280" w:left="1080" w:right="720"/>
        </w:sectPr>
      </w:pPr>
    </w:p>
    <w:p>
      <w:pPr>
        <w:pStyle w:val="ListParagraph"/>
        <w:numPr>
          <w:ilvl w:val="3"/>
          <w:numId w:val="176"/>
        </w:numPr>
        <w:tabs>
          <w:tab w:pos="2161" w:val="left" w:leader="none"/>
        </w:tabs>
        <w:spacing w:line="208" w:lineRule="auto" w:before="96" w:after="0"/>
        <w:ind w:left="1710" w:right="923" w:firstLine="0"/>
        <w:jc w:val="left"/>
        <w:rPr>
          <w:sz w:val="24"/>
        </w:rPr>
      </w:pPr>
      <w:r>
        <w:rPr>
          <w:sz w:val="24"/>
        </w:rPr>
        <w:t>Optional Team Meetings can be conducted anytime throughout the delivery</w:t>
      </w:r>
      <w:r>
        <w:rPr>
          <w:spacing w:val="-4"/>
          <w:sz w:val="24"/>
        </w:rPr>
        <w:t> </w:t>
      </w:r>
      <w:r>
        <w:rPr>
          <w:sz w:val="24"/>
        </w:rPr>
        <w:t>of</w:t>
      </w:r>
      <w:r>
        <w:rPr>
          <w:spacing w:val="-5"/>
          <w:sz w:val="24"/>
        </w:rPr>
        <w:t> </w:t>
      </w:r>
      <w:r>
        <w:rPr>
          <w:sz w:val="24"/>
        </w:rPr>
        <w:t>services</w:t>
      </w:r>
      <w:r>
        <w:rPr>
          <w:spacing w:val="-4"/>
          <w:sz w:val="24"/>
        </w:rPr>
        <w:t> </w:t>
      </w:r>
      <w:r>
        <w:rPr>
          <w:sz w:val="24"/>
        </w:rPr>
        <w:t>as</w:t>
      </w:r>
      <w:r>
        <w:rPr>
          <w:spacing w:val="-4"/>
          <w:sz w:val="24"/>
        </w:rPr>
        <w:t> </w:t>
      </w:r>
      <w:r>
        <w:rPr>
          <w:sz w:val="24"/>
        </w:rPr>
        <w:t>needed</w:t>
      </w:r>
      <w:r>
        <w:rPr>
          <w:spacing w:val="-4"/>
          <w:sz w:val="24"/>
        </w:rPr>
        <w:t> </w:t>
      </w:r>
      <w:r>
        <w:rPr>
          <w:sz w:val="24"/>
        </w:rPr>
        <w:t>to</w:t>
      </w:r>
      <w:r>
        <w:rPr>
          <w:spacing w:val="-4"/>
          <w:sz w:val="24"/>
        </w:rPr>
        <w:t> </w:t>
      </w:r>
      <w:r>
        <w:rPr>
          <w:sz w:val="24"/>
        </w:rPr>
        <w:t>address</w:t>
      </w:r>
      <w:r>
        <w:rPr>
          <w:spacing w:val="-4"/>
          <w:sz w:val="24"/>
        </w:rPr>
        <w:t> </w:t>
      </w:r>
      <w:r>
        <w:rPr>
          <w:sz w:val="24"/>
        </w:rPr>
        <w:t>progress</w:t>
      </w:r>
      <w:r>
        <w:rPr>
          <w:spacing w:val="-4"/>
          <w:sz w:val="24"/>
        </w:rPr>
        <w:t> </w:t>
      </w:r>
      <w:r>
        <w:rPr>
          <w:sz w:val="24"/>
        </w:rPr>
        <w:t>or</w:t>
      </w:r>
      <w:r>
        <w:rPr>
          <w:spacing w:val="-3"/>
          <w:sz w:val="24"/>
        </w:rPr>
        <w:t> </w:t>
      </w:r>
      <w:r>
        <w:rPr>
          <w:sz w:val="24"/>
        </w:rPr>
        <w:t>concerns</w:t>
      </w:r>
      <w:r>
        <w:rPr>
          <w:spacing w:val="-4"/>
          <w:sz w:val="24"/>
        </w:rPr>
        <w:t> </w:t>
      </w:r>
      <w:r>
        <w:rPr>
          <w:sz w:val="24"/>
        </w:rPr>
        <w:t>related</w:t>
      </w:r>
      <w:r>
        <w:rPr>
          <w:spacing w:val="-4"/>
          <w:sz w:val="24"/>
        </w:rPr>
        <w:t> </w:t>
      </w:r>
      <w:r>
        <w:rPr>
          <w:sz w:val="24"/>
        </w:rPr>
        <w:t>to the successful completion of SSE services.</w:t>
      </w:r>
    </w:p>
    <w:p>
      <w:pPr>
        <w:pStyle w:val="ListParagraph"/>
        <w:numPr>
          <w:ilvl w:val="0"/>
          <w:numId w:val="176"/>
        </w:numPr>
        <w:tabs>
          <w:tab w:pos="772" w:val="left" w:leader="none"/>
        </w:tabs>
        <w:spacing w:line="208" w:lineRule="auto" w:before="240" w:after="0"/>
        <w:ind w:left="359" w:right="1182" w:firstLine="0"/>
        <w:jc w:val="left"/>
        <w:rPr>
          <w:sz w:val="24"/>
        </w:rPr>
      </w:pPr>
      <w:r>
        <w:rPr>
          <w:b/>
          <w:sz w:val="24"/>
        </w:rPr>
        <w:t>Eligibility</w:t>
      </w:r>
      <w:r>
        <w:rPr>
          <w:b/>
          <w:spacing w:val="-4"/>
          <w:sz w:val="24"/>
        </w:rPr>
        <w:t> </w:t>
      </w:r>
      <w:r>
        <w:rPr>
          <w:b/>
          <w:sz w:val="24"/>
        </w:rPr>
        <w:t>for</w:t>
      </w:r>
      <w:r>
        <w:rPr>
          <w:b/>
          <w:spacing w:val="-5"/>
          <w:sz w:val="24"/>
        </w:rPr>
        <w:t> </w:t>
      </w:r>
      <w:r>
        <w:rPr>
          <w:b/>
          <w:sz w:val="24"/>
        </w:rPr>
        <w:t>Support</w:t>
      </w:r>
      <w:r>
        <w:rPr>
          <w:b/>
          <w:spacing w:val="-3"/>
          <w:sz w:val="24"/>
        </w:rPr>
        <w:t> </w:t>
      </w:r>
      <w:r>
        <w:rPr>
          <w:b/>
          <w:sz w:val="24"/>
        </w:rPr>
        <w:t>Services</w:t>
      </w:r>
      <w:r>
        <w:rPr>
          <w:b/>
          <w:spacing w:val="-4"/>
          <w:sz w:val="24"/>
        </w:rPr>
        <w:t> </w:t>
      </w:r>
      <w:r>
        <w:rPr>
          <w:b/>
          <w:sz w:val="24"/>
        </w:rPr>
        <w:t>for</w:t>
      </w:r>
      <w:r>
        <w:rPr>
          <w:b/>
          <w:spacing w:val="-4"/>
          <w:sz w:val="24"/>
        </w:rPr>
        <w:t> </w:t>
      </w:r>
      <w:r>
        <w:rPr>
          <w:b/>
          <w:sz w:val="24"/>
        </w:rPr>
        <w:t>Employment</w:t>
      </w:r>
      <w:r>
        <w:rPr>
          <w:b/>
          <w:spacing w:val="-3"/>
          <w:sz w:val="24"/>
        </w:rPr>
        <w:t> </w:t>
      </w:r>
      <w:r>
        <w:rPr>
          <w:b/>
          <w:sz w:val="24"/>
        </w:rPr>
        <w:t>(SSE).</w:t>
      </w:r>
      <w:r>
        <w:rPr>
          <w:b/>
          <w:spacing w:val="-3"/>
          <w:sz w:val="24"/>
        </w:rPr>
        <w:t> </w:t>
      </w:r>
      <w:r>
        <w:rPr>
          <w:sz w:val="24"/>
        </w:rPr>
        <w:t>An</w:t>
      </w:r>
      <w:r>
        <w:rPr>
          <w:spacing w:val="-4"/>
          <w:sz w:val="24"/>
        </w:rPr>
        <w:t> </w:t>
      </w:r>
      <w:r>
        <w:rPr>
          <w:sz w:val="24"/>
        </w:rPr>
        <w:t>individual</w:t>
      </w:r>
      <w:r>
        <w:rPr>
          <w:spacing w:val="-4"/>
          <w:sz w:val="24"/>
        </w:rPr>
        <w:t> </w:t>
      </w:r>
      <w:r>
        <w:rPr>
          <w:sz w:val="24"/>
        </w:rPr>
        <w:t>shall</w:t>
      </w:r>
      <w:r>
        <w:rPr>
          <w:spacing w:val="-4"/>
          <w:sz w:val="24"/>
        </w:rPr>
        <w:t> </w:t>
      </w:r>
      <w:r>
        <w:rPr>
          <w:sz w:val="24"/>
        </w:rPr>
        <w:t>be eligible for support services for employment if:</w:t>
      </w:r>
    </w:p>
    <w:p>
      <w:pPr>
        <w:pStyle w:val="ListParagraph"/>
        <w:numPr>
          <w:ilvl w:val="1"/>
          <w:numId w:val="176"/>
        </w:numPr>
        <w:tabs>
          <w:tab w:pos="1235" w:val="left" w:leader="none"/>
        </w:tabs>
        <w:spacing w:line="259" w:lineRule="auto" w:before="244" w:after="0"/>
        <w:ind w:left="809" w:right="864" w:firstLine="0"/>
        <w:jc w:val="left"/>
        <w:rPr>
          <w:sz w:val="24"/>
        </w:rPr>
      </w:pPr>
      <w:r>
        <w:rPr>
          <w:sz w:val="24"/>
        </w:rPr>
        <w:t>The</w:t>
      </w:r>
      <w:r>
        <w:rPr>
          <w:spacing w:val="-4"/>
          <w:sz w:val="24"/>
        </w:rPr>
        <w:t> </w:t>
      </w:r>
      <w:r>
        <w:rPr>
          <w:sz w:val="24"/>
        </w:rPr>
        <w:t>individual</w:t>
      </w:r>
      <w:r>
        <w:rPr>
          <w:spacing w:val="-4"/>
          <w:sz w:val="24"/>
        </w:rPr>
        <w:t> </w:t>
      </w:r>
      <w:r>
        <w:rPr>
          <w:sz w:val="24"/>
        </w:rPr>
        <w:t>is</w:t>
      </w:r>
      <w:r>
        <w:rPr>
          <w:spacing w:val="-4"/>
          <w:sz w:val="24"/>
        </w:rPr>
        <w:t> </w:t>
      </w:r>
      <w:r>
        <w:rPr>
          <w:sz w:val="24"/>
        </w:rPr>
        <w:t>determined</w:t>
      </w:r>
      <w:r>
        <w:rPr>
          <w:spacing w:val="-4"/>
          <w:sz w:val="24"/>
        </w:rPr>
        <w:t> </w:t>
      </w:r>
      <w:r>
        <w:rPr>
          <w:sz w:val="24"/>
        </w:rPr>
        <w:t>to</w:t>
      </w:r>
      <w:r>
        <w:rPr>
          <w:spacing w:val="-4"/>
          <w:sz w:val="24"/>
        </w:rPr>
        <w:t> </w:t>
      </w:r>
      <w:r>
        <w:rPr>
          <w:sz w:val="24"/>
        </w:rPr>
        <w:t>be</w:t>
      </w:r>
      <w:r>
        <w:rPr>
          <w:spacing w:val="-4"/>
          <w:sz w:val="24"/>
        </w:rPr>
        <w:t> </w:t>
      </w:r>
      <w:r>
        <w:rPr>
          <w:sz w:val="24"/>
        </w:rPr>
        <w:t>eligible</w:t>
      </w:r>
      <w:r>
        <w:rPr>
          <w:spacing w:val="-4"/>
          <w:sz w:val="24"/>
        </w:rPr>
        <w:t> </w:t>
      </w:r>
      <w:r>
        <w:rPr>
          <w:sz w:val="24"/>
        </w:rPr>
        <w:t>for</w:t>
      </w:r>
      <w:r>
        <w:rPr>
          <w:spacing w:val="-3"/>
          <w:sz w:val="24"/>
        </w:rPr>
        <w:t> </w:t>
      </w:r>
      <w:r>
        <w:rPr>
          <w:sz w:val="24"/>
        </w:rPr>
        <w:t>vocational</w:t>
      </w:r>
      <w:r>
        <w:rPr>
          <w:spacing w:val="-4"/>
          <w:sz w:val="24"/>
        </w:rPr>
        <w:t> </w:t>
      </w:r>
      <w:r>
        <w:rPr>
          <w:sz w:val="24"/>
        </w:rPr>
        <w:t>rehabilitation</w:t>
      </w:r>
      <w:r>
        <w:rPr>
          <w:spacing w:val="-4"/>
          <w:sz w:val="24"/>
        </w:rPr>
        <w:t> </w:t>
      </w:r>
      <w:r>
        <w:rPr>
          <w:sz w:val="24"/>
        </w:rPr>
        <w:t>services; </w:t>
      </w:r>
      <w:r>
        <w:rPr>
          <w:spacing w:val="-4"/>
          <w:sz w:val="24"/>
        </w:rPr>
        <w:t>and</w:t>
      </w:r>
    </w:p>
    <w:p>
      <w:pPr>
        <w:pStyle w:val="ListParagraph"/>
        <w:numPr>
          <w:ilvl w:val="1"/>
          <w:numId w:val="176"/>
        </w:numPr>
        <w:tabs>
          <w:tab w:pos="1235" w:val="left" w:leader="none"/>
        </w:tabs>
        <w:spacing w:line="259" w:lineRule="auto" w:before="160" w:after="0"/>
        <w:ind w:left="810" w:right="1063" w:firstLine="0"/>
        <w:jc w:val="left"/>
        <w:rPr>
          <w:sz w:val="24"/>
        </w:rPr>
      </w:pPr>
      <w:r>
        <w:rPr>
          <w:sz w:val="24"/>
        </w:rPr>
        <w:t>they</w:t>
      </w:r>
      <w:r>
        <w:rPr>
          <w:spacing w:val="-4"/>
          <w:sz w:val="24"/>
        </w:rPr>
        <w:t> </w:t>
      </w:r>
      <w:r>
        <w:rPr>
          <w:sz w:val="24"/>
        </w:rPr>
        <w:t>require</w:t>
      </w:r>
      <w:r>
        <w:rPr>
          <w:spacing w:val="-4"/>
          <w:sz w:val="24"/>
        </w:rPr>
        <w:t> </w:t>
      </w:r>
      <w:r>
        <w:rPr>
          <w:sz w:val="24"/>
        </w:rPr>
        <w:t>additional</w:t>
      </w:r>
      <w:r>
        <w:rPr>
          <w:spacing w:val="-4"/>
          <w:sz w:val="24"/>
        </w:rPr>
        <w:t> </w:t>
      </w:r>
      <w:r>
        <w:rPr>
          <w:sz w:val="24"/>
        </w:rPr>
        <w:t>support</w:t>
      </w:r>
      <w:r>
        <w:rPr>
          <w:spacing w:val="-5"/>
          <w:sz w:val="24"/>
        </w:rPr>
        <w:t> </w:t>
      </w:r>
      <w:r>
        <w:rPr>
          <w:sz w:val="24"/>
        </w:rPr>
        <w:t>to</w:t>
      </w:r>
      <w:r>
        <w:rPr>
          <w:spacing w:val="-4"/>
          <w:sz w:val="24"/>
        </w:rPr>
        <w:t> </w:t>
      </w:r>
      <w:r>
        <w:rPr>
          <w:sz w:val="24"/>
        </w:rPr>
        <w:t>manage</w:t>
      </w:r>
      <w:r>
        <w:rPr>
          <w:spacing w:val="-4"/>
          <w:sz w:val="24"/>
        </w:rPr>
        <w:t> </w:t>
      </w:r>
      <w:r>
        <w:rPr>
          <w:sz w:val="24"/>
        </w:rPr>
        <w:t>disability-related</w:t>
      </w:r>
      <w:r>
        <w:rPr>
          <w:spacing w:val="-4"/>
          <w:sz w:val="24"/>
        </w:rPr>
        <w:t> </w:t>
      </w:r>
      <w:r>
        <w:rPr>
          <w:sz w:val="24"/>
        </w:rPr>
        <w:t>issues</w:t>
      </w:r>
      <w:r>
        <w:rPr>
          <w:spacing w:val="-4"/>
          <w:sz w:val="24"/>
        </w:rPr>
        <w:t> </w:t>
      </w:r>
      <w:r>
        <w:rPr>
          <w:sz w:val="24"/>
        </w:rPr>
        <w:t>or</w:t>
      </w:r>
      <w:r>
        <w:rPr>
          <w:spacing w:val="-4"/>
          <w:sz w:val="24"/>
        </w:rPr>
        <w:t> </w:t>
      </w:r>
      <w:r>
        <w:rPr>
          <w:sz w:val="24"/>
        </w:rPr>
        <w:t>barriers that limit their ability to achieve or maintain competitive, integrated employment.</w:t>
      </w:r>
    </w:p>
    <w:p>
      <w:pPr>
        <w:spacing w:before="158"/>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360" w:right="0" w:firstLine="0"/>
        <w:jc w:val="left"/>
        <w:rPr>
          <w:sz w:val="22"/>
        </w:rPr>
      </w:pPr>
      <w:r>
        <w:rPr>
          <w:spacing w:val="-2"/>
          <w:sz w:val="22"/>
        </w:rPr>
        <w:t>8-11-</w:t>
      </w:r>
      <w:r>
        <w:rPr>
          <w:spacing w:val="-5"/>
          <w:sz w:val="22"/>
        </w:rPr>
        <w:t>24</w:t>
      </w:r>
      <w:r>
        <w:rPr>
          <w:sz w:val="22"/>
        </w:rPr>
        <w:tab/>
        <w:t>Permanent,</w:t>
      </w:r>
      <w:r>
        <w:rPr>
          <w:spacing w:val="-8"/>
          <w:sz w:val="22"/>
        </w:rPr>
        <w:t> </w:t>
      </w:r>
      <w:r>
        <w:rPr>
          <w:sz w:val="22"/>
        </w:rPr>
        <w:t>new</w:t>
      </w:r>
      <w:r>
        <w:rPr>
          <w:spacing w:val="-10"/>
          <w:sz w:val="22"/>
        </w:rPr>
        <w:t> </w:t>
      </w:r>
      <w:r>
        <w:rPr>
          <w:spacing w:val="-2"/>
          <w:sz w:val="22"/>
        </w:rPr>
        <w:t>rule.</w:t>
      </w:r>
    </w:p>
    <w:p>
      <w:pPr>
        <w:spacing w:after="0"/>
        <w:jc w:val="left"/>
        <w:rPr>
          <w:sz w:val="22"/>
        </w:rPr>
        <w:sectPr>
          <w:pgSz w:w="12240" w:h="15840"/>
          <w:pgMar w:top="1340" w:bottom="280" w:left="1080" w:right="720"/>
        </w:sect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77"/>
        <w:gridCol w:w="7479"/>
      </w:tblGrid>
      <w:tr>
        <w:trPr>
          <w:trHeight w:val="374" w:hRule="atLeast"/>
        </w:trPr>
        <w:tc>
          <w:tcPr>
            <w:tcW w:w="1877" w:type="dxa"/>
          </w:tcPr>
          <w:p>
            <w:pPr>
              <w:pStyle w:val="TableParagraph"/>
              <w:spacing w:before="0"/>
              <w:ind w:left="0"/>
              <w:rPr>
                <w:rFonts w:ascii="Times New Roman"/>
                <w:sz w:val="24"/>
              </w:rPr>
            </w:pPr>
          </w:p>
        </w:tc>
        <w:tc>
          <w:tcPr>
            <w:tcW w:w="7479" w:type="dxa"/>
          </w:tcPr>
          <w:p>
            <w:pPr>
              <w:pStyle w:val="TableParagraph"/>
              <w:spacing w:line="268" w:lineRule="exact" w:before="0"/>
              <w:ind w:left="1711"/>
              <w:rPr>
                <w:b/>
                <w:sz w:val="24"/>
              </w:rPr>
            </w:pPr>
            <w:bookmarkStart w:name="PART 15. TRAINING" w:id="170"/>
            <w:bookmarkEnd w:id="170"/>
            <w:r>
              <w:rPr/>
            </w:r>
            <w:r>
              <w:rPr>
                <w:b/>
                <w:sz w:val="24"/>
              </w:rPr>
              <w:t>PART</w:t>
            </w:r>
            <w:r>
              <w:rPr>
                <w:b/>
                <w:spacing w:val="-2"/>
                <w:sz w:val="24"/>
              </w:rPr>
              <w:t> </w:t>
            </w:r>
            <w:r>
              <w:rPr>
                <w:b/>
                <w:sz w:val="24"/>
              </w:rPr>
              <w:t>15.</w:t>
            </w:r>
            <w:r>
              <w:rPr>
                <w:b/>
                <w:spacing w:val="-2"/>
                <w:sz w:val="24"/>
              </w:rPr>
              <w:t> TRAINING</w:t>
            </w:r>
          </w:p>
        </w:tc>
      </w:tr>
      <w:tr>
        <w:trPr>
          <w:trHeight w:val="480" w:hRule="atLeast"/>
        </w:trPr>
        <w:tc>
          <w:tcPr>
            <w:tcW w:w="1877" w:type="dxa"/>
          </w:tcPr>
          <w:p>
            <w:pPr>
              <w:pStyle w:val="TableParagraph"/>
              <w:rPr>
                <w:sz w:val="24"/>
              </w:rPr>
            </w:pPr>
            <w:r>
              <w:rPr>
                <w:spacing w:val="-2"/>
                <w:sz w:val="24"/>
              </w:rPr>
              <w:t>Section</w:t>
            </w:r>
          </w:p>
        </w:tc>
        <w:tc>
          <w:tcPr>
            <w:tcW w:w="7479" w:type="dxa"/>
          </w:tcPr>
          <w:p>
            <w:pPr>
              <w:pStyle w:val="TableParagraph"/>
              <w:spacing w:before="0"/>
              <w:ind w:left="0"/>
              <w:rPr>
                <w:rFonts w:ascii="Times New Roman"/>
                <w:sz w:val="24"/>
              </w:rPr>
            </w:pPr>
          </w:p>
        </w:tc>
      </w:tr>
      <w:tr>
        <w:trPr>
          <w:trHeight w:val="480" w:hRule="atLeast"/>
        </w:trPr>
        <w:tc>
          <w:tcPr>
            <w:tcW w:w="1877" w:type="dxa"/>
          </w:tcPr>
          <w:p>
            <w:pPr>
              <w:pStyle w:val="TableParagraph"/>
              <w:rPr>
                <w:sz w:val="24"/>
              </w:rPr>
            </w:pPr>
            <w:r>
              <w:rPr>
                <w:spacing w:val="-2"/>
                <w:sz w:val="24"/>
              </w:rPr>
              <w:t>612:10-7-</w:t>
            </w:r>
            <w:r>
              <w:rPr>
                <w:spacing w:val="-4"/>
                <w:sz w:val="24"/>
              </w:rPr>
              <w:t>142.</w:t>
            </w:r>
          </w:p>
        </w:tc>
        <w:tc>
          <w:tcPr>
            <w:tcW w:w="7479" w:type="dxa"/>
          </w:tcPr>
          <w:p>
            <w:pPr>
              <w:pStyle w:val="TableParagraph"/>
              <w:ind w:left="333"/>
              <w:rPr>
                <w:sz w:val="24"/>
              </w:rPr>
            </w:pPr>
            <w:r>
              <w:rPr>
                <w:sz w:val="24"/>
              </w:rPr>
              <w:t>General</w:t>
            </w:r>
            <w:r>
              <w:rPr>
                <w:spacing w:val="-5"/>
                <w:sz w:val="24"/>
              </w:rPr>
              <w:t> </w:t>
            </w:r>
            <w:r>
              <w:rPr>
                <w:sz w:val="24"/>
              </w:rPr>
              <w:t>guidelines</w:t>
            </w:r>
            <w:r>
              <w:rPr>
                <w:spacing w:val="-4"/>
                <w:sz w:val="24"/>
              </w:rPr>
              <w:t> </w:t>
            </w:r>
            <w:r>
              <w:rPr>
                <w:sz w:val="24"/>
              </w:rPr>
              <w:t>for</w:t>
            </w:r>
            <w:r>
              <w:rPr>
                <w:spacing w:val="-3"/>
                <w:sz w:val="24"/>
              </w:rPr>
              <w:t> </w:t>
            </w:r>
            <w:r>
              <w:rPr>
                <w:sz w:val="24"/>
              </w:rPr>
              <w:t>training</w:t>
            </w:r>
            <w:r>
              <w:rPr>
                <w:spacing w:val="-4"/>
                <w:sz w:val="24"/>
              </w:rPr>
              <w:t> </w:t>
            </w:r>
            <w:r>
              <w:rPr>
                <w:spacing w:val="-2"/>
                <w:sz w:val="24"/>
              </w:rPr>
              <w:t>services</w:t>
            </w:r>
          </w:p>
        </w:tc>
      </w:tr>
      <w:tr>
        <w:trPr>
          <w:trHeight w:val="480" w:hRule="atLeast"/>
        </w:trPr>
        <w:tc>
          <w:tcPr>
            <w:tcW w:w="1877" w:type="dxa"/>
          </w:tcPr>
          <w:p>
            <w:pPr>
              <w:pStyle w:val="TableParagraph"/>
              <w:rPr>
                <w:sz w:val="24"/>
              </w:rPr>
            </w:pPr>
            <w:r>
              <w:rPr>
                <w:spacing w:val="-2"/>
                <w:sz w:val="24"/>
              </w:rPr>
              <w:t>612:10-7-</w:t>
            </w:r>
            <w:r>
              <w:rPr>
                <w:spacing w:val="-4"/>
                <w:sz w:val="24"/>
              </w:rPr>
              <w:t>149.</w:t>
            </w:r>
          </w:p>
        </w:tc>
        <w:tc>
          <w:tcPr>
            <w:tcW w:w="7479" w:type="dxa"/>
          </w:tcPr>
          <w:p>
            <w:pPr>
              <w:pStyle w:val="TableParagraph"/>
              <w:ind w:left="333"/>
              <w:rPr>
                <w:sz w:val="24"/>
              </w:rPr>
            </w:pPr>
            <w:r>
              <w:rPr>
                <w:sz w:val="24"/>
              </w:rPr>
              <w:t>College</w:t>
            </w:r>
            <w:r>
              <w:rPr>
                <w:spacing w:val="-4"/>
                <w:sz w:val="24"/>
              </w:rPr>
              <w:t> </w:t>
            </w:r>
            <w:r>
              <w:rPr>
                <w:sz w:val="24"/>
              </w:rPr>
              <w:t>and</w:t>
            </w:r>
            <w:r>
              <w:rPr>
                <w:spacing w:val="-4"/>
                <w:sz w:val="24"/>
              </w:rPr>
              <w:t> </w:t>
            </w:r>
            <w:r>
              <w:rPr>
                <w:sz w:val="24"/>
              </w:rPr>
              <w:t>university</w:t>
            </w:r>
            <w:r>
              <w:rPr>
                <w:spacing w:val="-3"/>
                <w:sz w:val="24"/>
              </w:rPr>
              <w:t> </w:t>
            </w:r>
            <w:r>
              <w:rPr>
                <w:spacing w:val="-2"/>
                <w:sz w:val="24"/>
              </w:rPr>
              <w:t>training</w:t>
            </w:r>
          </w:p>
        </w:tc>
      </w:tr>
      <w:tr>
        <w:trPr>
          <w:trHeight w:val="480" w:hRule="atLeast"/>
        </w:trPr>
        <w:tc>
          <w:tcPr>
            <w:tcW w:w="1877" w:type="dxa"/>
          </w:tcPr>
          <w:p>
            <w:pPr>
              <w:pStyle w:val="TableParagraph"/>
              <w:rPr>
                <w:sz w:val="24"/>
              </w:rPr>
            </w:pPr>
            <w:r>
              <w:rPr>
                <w:spacing w:val="-2"/>
                <w:sz w:val="24"/>
              </w:rPr>
              <w:t>612:10-7-</w:t>
            </w:r>
            <w:r>
              <w:rPr>
                <w:spacing w:val="-4"/>
                <w:sz w:val="24"/>
              </w:rPr>
              <w:t>150.</w:t>
            </w:r>
          </w:p>
        </w:tc>
        <w:tc>
          <w:tcPr>
            <w:tcW w:w="7479" w:type="dxa"/>
          </w:tcPr>
          <w:p>
            <w:pPr>
              <w:pStyle w:val="TableParagraph"/>
              <w:ind w:left="333"/>
              <w:rPr>
                <w:sz w:val="24"/>
              </w:rPr>
            </w:pPr>
            <w:r>
              <w:rPr>
                <w:sz w:val="24"/>
              </w:rPr>
              <w:t>Continued</w:t>
            </w:r>
            <w:r>
              <w:rPr>
                <w:spacing w:val="-7"/>
                <w:sz w:val="24"/>
              </w:rPr>
              <w:t> </w:t>
            </w:r>
            <w:r>
              <w:rPr>
                <w:sz w:val="24"/>
              </w:rPr>
              <w:t>eligibility</w:t>
            </w:r>
            <w:r>
              <w:rPr>
                <w:spacing w:val="-4"/>
                <w:sz w:val="24"/>
              </w:rPr>
              <w:t> </w:t>
            </w:r>
            <w:r>
              <w:rPr>
                <w:sz w:val="24"/>
              </w:rPr>
              <w:t>for</w:t>
            </w:r>
            <w:r>
              <w:rPr>
                <w:spacing w:val="-3"/>
                <w:sz w:val="24"/>
              </w:rPr>
              <w:t> </w:t>
            </w:r>
            <w:r>
              <w:rPr>
                <w:sz w:val="24"/>
              </w:rPr>
              <w:t>college</w:t>
            </w:r>
            <w:r>
              <w:rPr>
                <w:spacing w:val="-4"/>
                <w:sz w:val="24"/>
              </w:rPr>
              <w:t> </w:t>
            </w:r>
            <w:r>
              <w:rPr>
                <w:sz w:val="24"/>
              </w:rPr>
              <w:t>or</w:t>
            </w:r>
            <w:r>
              <w:rPr>
                <w:spacing w:val="-3"/>
                <w:sz w:val="24"/>
              </w:rPr>
              <w:t> </w:t>
            </w:r>
            <w:r>
              <w:rPr>
                <w:sz w:val="24"/>
              </w:rPr>
              <w:t>university</w:t>
            </w:r>
            <w:r>
              <w:rPr>
                <w:spacing w:val="-4"/>
                <w:sz w:val="24"/>
              </w:rPr>
              <w:t> </w:t>
            </w:r>
            <w:r>
              <w:rPr>
                <w:spacing w:val="-2"/>
                <w:sz w:val="24"/>
              </w:rPr>
              <w:t>training</w:t>
            </w:r>
          </w:p>
        </w:tc>
      </w:tr>
      <w:tr>
        <w:trPr>
          <w:trHeight w:val="480" w:hRule="atLeast"/>
        </w:trPr>
        <w:tc>
          <w:tcPr>
            <w:tcW w:w="1877" w:type="dxa"/>
          </w:tcPr>
          <w:p>
            <w:pPr>
              <w:pStyle w:val="TableParagraph"/>
              <w:rPr>
                <w:sz w:val="24"/>
              </w:rPr>
            </w:pPr>
            <w:r>
              <w:rPr>
                <w:spacing w:val="-2"/>
                <w:sz w:val="24"/>
              </w:rPr>
              <w:t>612:10-7-</w:t>
            </w:r>
            <w:r>
              <w:rPr>
                <w:spacing w:val="-4"/>
                <w:sz w:val="24"/>
              </w:rPr>
              <w:t>152.</w:t>
            </w:r>
          </w:p>
        </w:tc>
        <w:tc>
          <w:tcPr>
            <w:tcW w:w="7479" w:type="dxa"/>
          </w:tcPr>
          <w:p>
            <w:pPr>
              <w:pStyle w:val="TableParagraph"/>
              <w:ind w:left="333"/>
              <w:rPr>
                <w:sz w:val="24"/>
              </w:rPr>
            </w:pPr>
            <w:r>
              <w:rPr>
                <w:sz w:val="24"/>
              </w:rPr>
              <w:t>Payment</w:t>
            </w:r>
            <w:r>
              <w:rPr>
                <w:spacing w:val="-4"/>
                <w:sz w:val="24"/>
              </w:rPr>
              <w:t> </w:t>
            </w:r>
            <w:r>
              <w:rPr>
                <w:sz w:val="24"/>
              </w:rPr>
              <w:t>of</w:t>
            </w:r>
            <w:r>
              <w:rPr>
                <w:spacing w:val="-2"/>
                <w:sz w:val="24"/>
              </w:rPr>
              <w:t> </w:t>
            </w:r>
            <w:r>
              <w:rPr>
                <w:sz w:val="24"/>
              </w:rPr>
              <w:t>tuition</w:t>
            </w:r>
            <w:r>
              <w:rPr>
                <w:spacing w:val="-2"/>
                <w:sz w:val="24"/>
              </w:rPr>
              <w:t> </w:t>
            </w:r>
            <w:r>
              <w:rPr>
                <w:sz w:val="24"/>
              </w:rPr>
              <w:t>and</w:t>
            </w:r>
            <w:r>
              <w:rPr>
                <w:spacing w:val="-3"/>
                <w:sz w:val="24"/>
              </w:rPr>
              <w:t> </w:t>
            </w:r>
            <w:r>
              <w:rPr>
                <w:sz w:val="24"/>
              </w:rPr>
              <w:t>fees</w:t>
            </w:r>
            <w:r>
              <w:rPr>
                <w:spacing w:val="-3"/>
                <w:sz w:val="24"/>
              </w:rPr>
              <w:t> </w:t>
            </w:r>
            <w:r>
              <w:rPr>
                <w:sz w:val="24"/>
              </w:rPr>
              <w:t>at</w:t>
            </w:r>
            <w:r>
              <w:rPr>
                <w:spacing w:val="-3"/>
                <w:sz w:val="24"/>
              </w:rPr>
              <w:t> </w:t>
            </w:r>
            <w:r>
              <w:rPr>
                <w:sz w:val="24"/>
              </w:rPr>
              <w:t>colleges</w:t>
            </w:r>
            <w:r>
              <w:rPr>
                <w:spacing w:val="-3"/>
                <w:sz w:val="24"/>
              </w:rPr>
              <w:t> </w:t>
            </w:r>
            <w:r>
              <w:rPr>
                <w:sz w:val="24"/>
              </w:rPr>
              <w:t>and</w:t>
            </w:r>
            <w:r>
              <w:rPr>
                <w:spacing w:val="-2"/>
                <w:sz w:val="24"/>
              </w:rPr>
              <w:t> universities</w:t>
            </w:r>
          </w:p>
        </w:tc>
      </w:tr>
      <w:tr>
        <w:trPr>
          <w:trHeight w:val="480" w:hRule="atLeast"/>
        </w:trPr>
        <w:tc>
          <w:tcPr>
            <w:tcW w:w="1877" w:type="dxa"/>
          </w:tcPr>
          <w:p>
            <w:pPr>
              <w:pStyle w:val="TableParagraph"/>
              <w:rPr>
                <w:sz w:val="24"/>
              </w:rPr>
            </w:pPr>
            <w:r>
              <w:rPr>
                <w:spacing w:val="-2"/>
                <w:sz w:val="24"/>
              </w:rPr>
              <w:t>612:10-7-</w:t>
            </w:r>
            <w:r>
              <w:rPr>
                <w:spacing w:val="-4"/>
                <w:sz w:val="24"/>
              </w:rPr>
              <w:t>156.</w:t>
            </w:r>
          </w:p>
        </w:tc>
        <w:tc>
          <w:tcPr>
            <w:tcW w:w="7479" w:type="dxa"/>
          </w:tcPr>
          <w:p>
            <w:pPr>
              <w:pStyle w:val="TableParagraph"/>
              <w:ind w:left="333"/>
              <w:rPr>
                <w:sz w:val="24"/>
              </w:rPr>
            </w:pPr>
            <w:r>
              <w:rPr>
                <w:sz w:val="24"/>
              </w:rPr>
              <w:t>Advanced</w:t>
            </w:r>
            <w:r>
              <w:rPr>
                <w:spacing w:val="-4"/>
                <w:sz w:val="24"/>
              </w:rPr>
              <w:t> </w:t>
            </w:r>
            <w:r>
              <w:rPr>
                <w:sz w:val="24"/>
              </w:rPr>
              <w:t>standing</w:t>
            </w:r>
            <w:r>
              <w:rPr>
                <w:spacing w:val="-3"/>
                <w:sz w:val="24"/>
              </w:rPr>
              <w:t> </w:t>
            </w:r>
            <w:r>
              <w:rPr>
                <w:sz w:val="24"/>
              </w:rPr>
              <w:t>tests</w:t>
            </w:r>
            <w:r>
              <w:rPr>
                <w:spacing w:val="-3"/>
                <w:sz w:val="24"/>
              </w:rPr>
              <w:t> </w:t>
            </w:r>
            <w:r>
              <w:rPr>
                <w:sz w:val="24"/>
              </w:rPr>
              <w:t>for</w:t>
            </w:r>
            <w:r>
              <w:rPr>
                <w:spacing w:val="-4"/>
                <w:sz w:val="24"/>
              </w:rPr>
              <w:t> </w:t>
            </w:r>
            <w:r>
              <w:rPr>
                <w:sz w:val="24"/>
              </w:rPr>
              <w:t>college</w:t>
            </w:r>
            <w:r>
              <w:rPr>
                <w:spacing w:val="-3"/>
                <w:sz w:val="24"/>
              </w:rPr>
              <w:t> </w:t>
            </w:r>
            <w:r>
              <w:rPr>
                <w:spacing w:val="-2"/>
                <w:sz w:val="24"/>
              </w:rPr>
              <w:t>students</w:t>
            </w:r>
          </w:p>
        </w:tc>
      </w:tr>
      <w:tr>
        <w:trPr>
          <w:trHeight w:val="480" w:hRule="atLeast"/>
        </w:trPr>
        <w:tc>
          <w:tcPr>
            <w:tcW w:w="1877" w:type="dxa"/>
          </w:tcPr>
          <w:p>
            <w:pPr>
              <w:pStyle w:val="TableParagraph"/>
              <w:rPr>
                <w:sz w:val="24"/>
              </w:rPr>
            </w:pPr>
            <w:r>
              <w:rPr>
                <w:spacing w:val="-2"/>
                <w:sz w:val="24"/>
              </w:rPr>
              <w:t>612:10-7-</w:t>
            </w:r>
            <w:r>
              <w:rPr>
                <w:spacing w:val="-4"/>
                <w:sz w:val="24"/>
              </w:rPr>
              <w:t>157.</w:t>
            </w:r>
          </w:p>
        </w:tc>
        <w:tc>
          <w:tcPr>
            <w:tcW w:w="7479" w:type="dxa"/>
          </w:tcPr>
          <w:p>
            <w:pPr>
              <w:pStyle w:val="TableParagraph"/>
              <w:ind w:left="333"/>
              <w:rPr>
                <w:sz w:val="24"/>
              </w:rPr>
            </w:pPr>
            <w:r>
              <w:rPr>
                <w:sz w:val="24"/>
              </w:rPr>
              <w:t>Out-of-state</w:t>
            </w:r>
            <w:r>
              <w:rPr>
                <w:spacing w:val="-5"/>
                <w:sz w:val="24"/>
              </w:rPr>
              <w:t> </w:t>
            </w:r>
            <w:r>
              <w:rPr>
                <w:spacing w:val="-2"/>
                <w:sz w:val="24"/>
              </w:rPr>
              <w:t>training</w:t>
            </w:r>
          </w:p>
        </w:tc>
      </w:tr>
      <w:tr>
        <w:trPr>
          <w:trHeight w:val="480" w:hRule="atLeast"/>
        </w:trPr>
        <w:tc>
          <w:tcPr>
            <w:tcW w:w="1877" w:type="dxa"/>
          </w:tcPr>
          <w:p>
            <w:pPr>
              <w:pStyle w:val="TableParagraph"/>
              <w:rPr>
                <w:sz w:val="24"/>
              </w:rPr>
            </w:pPr>
            <w:r>
              <w:rPr>
                <w:spacing w:val="-2"/>
                <w:sz w:val="24"/>
              </w:rPr>
              <w:t>612:10-7-</w:t>
            </w:r>
            <w:r>
              <w:rPr>
                <w:spacing w:val="-4"/>
                <w:sz w:val="24"/>
              </w:rPr>
              <w:t>158.</w:t>
            </w:r>
          </w:p>
        </w:tc>
        <w:tc>
          <w:tcPr>
            <w:tcW w:w="7479" w:type="dxa"/>
          </w:tcPr>
          <w:p>
            <w:pPr>
              <w:pStyle w:val="TableParagraph"/>
              <w:ind w:left="333"/>
              <w:rPr>
                <w:sz w:val="24"/>
              </w:rPr>
            </w:pPr>
            <w:r>
              <w:rPr>
                <w:sz w:val="24"/>
              </w:rPr>
              <w:t>Training</w:t>
            </w:r>
            <w:r>
              <w:rPr>
                <w:spacing w:val="-4"/>
                <w:sz w:val="24"/>
              </w:rPr>
              <w:t> </w:t>
            </w:r>
            <w:r>
              <w:rPr>
                <w:sz w:val="24"/>
              </w:rPr>
              <w:t>for</w:t>
            </w:r>
            <w:r>
              <w:rPr>
                <w:spacing w:val="-4"/>
                <w:sz w:val="24"/>
              </w:rPr>
              <w:t> </w:t>
            </w:r>
            <w:r>
              <w:rPr>
                <w:sz w:val="24"/>
              </w:rPr>
              <w:t>individuals</w:t>
            </w:r>
            <w:r>
              <w:rPr>
                <w:spacing w:val="-2"/>
                <w:sz w:val="24"/>
              </w:rPr>
              <w:t> </w:t>
            </w:r>
            <w:r>
              <w:rPr>
                <w:sz w:val="24"/>
              </w:rPr>
              <w:t>in</w:t>
            </w:r>
            <w:r>
              <w:rPr>
                <w:spacing w:val="-3"/>
                <w:sz w:val="24"/>
              </w:rPr>
              <w:t> </w:t>
            </w:r>
            <w:r>
              <w:rPr>
                <w:sz w:val="24"/>
              </w:rPr>
              <w:t>custody</w:t>
            </w:r>
            <w:r>
              <w:rPr>
                <w:spacing w:val="-3"/>
                <w:sz w:val="24"/>
              </w:rPr>
              <w:t> </w:t>
            </w:r>
            <w:r>
              <w:rPr>
                <w:sz w:val="24"/>
              </w:rPr>
              <w:t>of</w:t>
            </w:r>
            <w:r>
              <w:rPr>
                <w:spacing w:val="-2"/>
                <w:sz w:val="24"/>
              </w:rPr>
              <w:t> </w:t>
            </w:r>
            <w:r>
              <w:rPr>
                <w:sz w:val="24"/>
              </w:rPr>
              <w:t>the</w:t>
            </w:r>
            <w:r>
              <w:rPr>
                <w:spacing w:val="-3"/>
                <w:sz w:val="24"/>
              </w:rPr>
              <w:t> </w:t>
            </w:r>
            <w:r>
              <w:rPr>
                <w:sz w:val="24"/>
              </w:rPr>
              <w:t>Department</w:t>
            </w:r>
            <w:r>
              <w:rPr>
                <w:spacing w:val="-2"/>
                <w:sz w:val="24"/>
              </w:rPr>
              <w:t> </w:t>
            </w:r>
            <w:r>
              <w:rPr>
                <w:sz w:val="24"/>
              </w:rPr>
              <w:t>of</w:t>
            </w:r>
            <w:r>
              <w:rPr>
                <w:spacing w:val="-4"/>
                <w:sz w:val="24"/>
              </w:rPr>
              <w:t> </w:t>
            </w:r>
            <w:r>
              <w:rPr>
                <w:spacing w:val="-2"/>
                <w:sz w:val="24"/>
              </w:rPr>
              <w:t>Corrections</w:t>
            </w:r>
          </w:p>
        </w:tc>
      </w:tr>
      <w:tr>
        <w:trPr>
          <w:trHeight w:val="480" w:hRule="atLeast"/>
        </w:trPr>
        <w:tc>
          <w:tcPr>
            <w:tcW w:w="1877" w:type="dxa"/>
          </w:tcPr>
          <w:p>
            <w:pPr>
              <w:pStyle w:val="TableParagraph"/>
              <w:rPr>
                <w:sz w:val="24"/>
              </w:rPr>
            </w:pPr>
            <w:r>
              <w:rPr>
                <w:spacing w:val="-2"/>
                <w:sz w:val="24"/>
              </w:rPr>
              <w:t>612:10-7-</w:t>
            </w:r>
            <w:r>
              <w:rPr>
                <w:spacing w:val="-4"/>
                <w:sz w:val="24"/>
              </w:rPr>
              <w:t>161.</w:t>
            </w:r>
          </w:p>
        </w:tc>
        <w:tc>
          <w:tcPr>
            <w:tcW w:w="7479" w:type="dxa"/>
          </w:tcPr>
          <w:p>
            <w:pPr>
              <w:pStyle w:val="TableParagraph"/>
              <w:ind w:left="333"/>
              <w:rPr>
                <w:sz w:val="24"/>
              </w:rPr>
            </w:pPr>
            <w:r>
              <w:rPr>
                <w:sz w:val="24"/>
              </w:rPr>
              <w:t>Public</w:t>
            </w:r>
            <w:r>
              <w:rPr>
                <w:spacing w:val="-4"/>
                <w:sz w:val="24"/>
              </w:rPr>
              <w:t> </w:t>
            </w:r>
            <w:r>
              <w:rPr>
                <w:sz w:val="24"/>
              </w:rPr>
              <w:t>and</w:t>
            </w:r>
            <w:r>
              <w:rPr>
                <w:spacing w:val="-3"/>
                <w:sz w:val="24"/>
              </w:rPr>
              <w:t> </w:t>
            </w:r>
            <w:r>
              <w:rPr>
                <w:sz w:val="24"/>
              </w:rPr>
              <w:t>private</w:t>
            </w:r>
            <w:r>
              <w:rPr>
                <w:spacing w:val="-4"/>
                <w:sz w:val="24"/>
              </w:rPr>
              <w:t> </w:t>
            </w:r>
            <w:r>
              <w:rPr>
                <w:sz w:val="24"/>
              </w:rPr>
              <w:t>vocational</w:t>
            </w:r>
            <w:r>
              <w:rPr>
                <w:spacing w:val="-3"/>
                <w:sz w:val="24"/>
              </w:rPr>
              <w:t> </w:t>
            </w:r>
            <w:r>
              <w:rPr>
                <w:spacing w:val="-2"/>
                <w:sz w:val="24"/>
              </w:rPr>
              <w:t>schools</w:t>
            </w:r>
          </w:p>
        </w:tc>
      </w:tr>
      <w:tr>
        <w:trPr>
          <w:trHeight w:val="480" w:hRule="atLeast"/>
        </w:trPr>
        <w:tc>
          <w:tcPr>
            <w:tcW w:w="1877" w:type="dxa"/>
          </w:tcPr>
          <w:p>
            <w:pPr>
              <w:pStyle w:val="TableParagraph"/>
              <w:rPr>
                <w:sz w:val="24"/>
              </w:rPr>
            </w:pPr>
            <w:r>
              <w:rPr>
                <w:spacing w:val="-2"/>
                <w:sz w:val="24"/>
              </w:rPr>
              <w:t>612:10-7-</w:t>
            </w:r>
            <w:r>
              <w:rPr>
                <w:spacing w:val="-4"/>
                <w:sz w:val="24"/>
              </w:rPr>
              <w:t>162.</w:t>
            </w:r>
          </w:p>
        </w:tc>
        <w:tc>
          <w:tcPr>
            <w:tcW w:w="7479" w:type="dxa"/>
          </w:tcPr>
          <w:p>
            <w:pPr>
              <w:pStyle w:val="TableParagraph"/>
              <w:ind w:left="333"/>
              <w:rPr>
                <w:sz w:val="24"/>
              </w:rPr>
            </w:pPr>
            <w:r>
              <w:rPr>
                <w:sz w:val="24"/>
              </w:rPr>
              <w:t>Textbooks,</w:t>
            </w:r>
            <w:r>
              <w:rPr>
                <w:spacing w:val="-4"/>
                <w:sz w:val="24"/>
              </w:rPr>
              <w:t> </w:t>
            </w:r>
            <w:r>
              <w:rPr>
                <w:sz w:val="24"/>
              </w:rPr>
              <w:t>supplies,</w:t>
            </w:r>
            <w:r>
              <w:rPr>
                <w:spacing w:val="-3"/>
                <w:sz w:val="24"/>
              </w:rPr>
              <w:t> </w:t>
            </w:r>
            <w:r>
              <w:rPr>
                <w:sz w:val="24"/>
              </w:rPr>
              <w:t>training</w:t>
            </w:r>
            <w:r>
              <w:rPr>
                <w:spacing w:val="-4"/>
                <w:sz w:val="24"/>
              </w:rPr>
              <w:t> </w:t>
            </w:r>
            <w:r>
              <w:rPr>
                <w:sz w:val="24"/>
              </w:rPr>
              <w:t>tools</w:t>
            </w:r>
            <w:r>
              <w:rPr>
                <w:spacing w:val="-3"/>
                <w:sz w:val="24"/>
              </w:rPr>
              <w:t> </w:t>
            </w:r>
            <w:r>
              <w:rPr>
                <w:sz w:val="24"/>
              </w:rPr>
              <w:t>and</w:t>
            </w:r>
            <w:r>
              <w:rPr>
                <w:spacing w:val="-3"/>
                <w:sz w:val="24"/>
              </w:rPr>
              <w:t> </w:t>
            </w:r>
            <w:r>
              <w:rPr>
                <w:spacing w:val="-2"/>
                <w:sz w:val="24"/>
              </w:rPr>
              <w:t>equipment</w:t>
            </w:r>
          </w:p>
        </w:tc>
      </w:tr>
      <w:tr>
        <w:trPr>
          <w:trHeight w:val="480" w:hRule="atLeast"/>
        </w:trPr>
        <w:tc>
          <w:tcPr>
            <w:tcW w:w="1877" w:type="dxa"/>
          </w:tcPr>
          <w:p>
            <w:pPr>
              <w:pStyle w:val="TableParagraph"/>
              <w:rPr>
                <w:sz w:val="24"/>
              </w:rPr>
            </w:pPr>
            <w:r>
              <w:rPr>
                <w:spacing w:val="-2"/>
                <w:sz w:val="24"/>
              </w:rPr>
              <w:t>612:10-7-</w:t>
            </w:r>
            <w:r>
              <w:rPr>
                <w:spacing w:val="-4"/>
                <w:sz w:val="24"/>
              </w:rPr>
              <w:t>163.</w:t>
            </w:r>
          </w:p>
        </w:tc>
        <w:tc>
          <w:tcPr>
            <w:tcW w:w="7479" w:type="dxa"/>
          </w:tcPr>
          <w:p>
            <w:pPr>
              <w:pStyle w:val="TableParagraph"/>
              <w:ind w:left="333"/>
              <w:rPr>
                <w:sz w:val="24"/>
              </w:rPr>
            </w:pPr>
            <w:r>
              <w:rPr>
                <w:sz w:val="24"/>
              </w:rPr>
              <w:t>On-the-job</w:t>
            </w:r>
            <w:r>
              <w:rPr>
                <w:spacing w:val="-8"/>
                <w:sz w:val="24"/>
              </w:rPr>
              <w:t> </w:t>
            </w:r>
            <w:r>
              <w:rPr>
                <w:spacing w:val="-2"/>
                <w:sz w:val="24"/>
              </w:rPr>
              <w:t>training</w:t>
            </w:r>
          </w:p>
        </w:tc>
      </w:tr>
      <w:tr>
        <w:trPr>
          <w:trHeight w:val="480" w:hRule="atLeast"/>
        </w:trPr>
        <w:tc>
          <w:tcPr>
            <w:tcW w:w="1877" w:type="dxa"/>
          </w:tcPr>
          <w:p>
            <w:pPr>
              <w:pStyle w:val="TableParagraph"/>
              <w:rPr>
                <w:sz w:val="24"/>
              </w:rPr>
            </w:pPr>
            <w:r>
              <w:rPr>
                <w:spacing w:val="-2"/>
                <w:sz w:val="24"/>
              </w:rPr>
              <w:t>612:10-7-</w:t>
            </w:r>
            <w:r>
              <w:rPr>
                <w:spacing w:val="-4"/>
                <w:sz w:val="24"/>
              </w:rPr>
              <w:t>164.</w:t>
            </w:r>
          </w:p>
        </w:tc>
        <w:tc>
          <w:tcPr>
            <w:tcW w:w="7479" w:type="dxa"/>
          </w:tcPr>
          <w:p>
            <w:pPr>
              <w:pStyle w:val="TableParagraph"/>
              <w:ind w:left="333"/>
              <w:rPr>
                <w:sz w:val="24"/>
              </w:rPr>
            </w:pPr>
            <w:r>
              <w:rPr>
                <w:sz w:val="24"/>
              </w:rPr>
              <w:t>Personal</w:t>
            </w:r>
            <w:r>
              <w:rPr>
                <w:spacing w:val="-4"/>
                <w:sz w:val="24"/>
              </w:rPr>
              <w:t> </w:t>
            </w:r>
            <w:r>
              <w:rPr>
                <w:sz w:val="24"/>
              </w:rPr>
              <w:t>and</w:t>
            </w:r>
            <w:r>
              <w:rPr>
                <w:spacing w:val="-3"/>
                <w:sz w:val="24"/>
              </w:rPr>
              <w:t> </w:t>
            </w:r>
            <w:r>
              <w:rPr>
                <w:sz w:val="24"/>
              </w:rPr>
              <w:t>work</w:t>
            </w:r>
            <w:r>
              <w:rPr>
                <w:spacing w:val="-3"/>
                <w:sz w:val="24"/>
              </w:rPr>
              <w:t> </w:t>
            </w:r>
            <w:r>
              <w:rPr>
                <w:sz w:val="24"/>
              </w:rPr>
              <w:t>adjustment</w:t>
            </w:r>
            <w:r>
              <w:rPr>
                <w:spacing w:val="-2"/>
                <w:sz w:val="24"/>
              </w:rPr>
              <w:t> training</w:t>
            </w:r>
          </w:p>
        </w:tc>
      </w:tr>
      <w:tr>
        <w:trPr>
          <w:trHeight w:val="480" w:hRule="atLeast"/>
        </w:trPr>
        <w:tc>
          <w:tcPr>
            <w:tcW w:w="1877" w:type="dxa"/>
          </w:tcPr>
          <w:p>
            <w:pPr>
              <w:pStyle w:val="TableParagraph"/>
              <w:rPr>
                <w:sz w:val="24"/>
              </w:rPr>
            </w:pPr>
            <w:r>
              <w:rPr>
                <w:spacing w:val="-2"/>
                <w:sz w:val="24"/>
              </w:rPr>
              <w:t>612:10-7-</w:t>
            </w:r>
            <w:r>
              <w:rPr>
                <w:spacing w:val="-4"/>
                <w:sz w:val="24"/>
              </w:rPr>
              <w:t>165.</w:t>
            </w:r>
          </w:p>
        </w:tc>
        <w:tc>
          <w:tcPr>
            <w:tcW w:w="7479" w:type="dxa"/>
          </w:tcPr>
          <w:p>
            <w:pPr>
              <w:pStyle w:val="TableParagraph"/>
              <w:ind w:left="333"/>
              <w:rPr>
                <w:sz w:val="24"/>
              </w:rPr>
            </w:pPr>
            <w:r>
              <w:rPr>
                <w:sz w:val="24"/>
              </w:rPr>
              <w:t>Distance</w:t>
            </w:r>
            <w:r>
              <w:rPr>
                <w:spacing w:val="-4"/>
                <w:sz w:val="24"/>
              </w:rPr>
              <w:t> </w:t>
            </w:r>
            <w:r>
              <w:rPr>
                <w:spacing w:val="-2"/>
                <w:sz w:val="24"/>
              </w:rPr>
              <w:t>Education</w:t>
            </w:r>
          </w:p>
        </w:tc>
      </w:tr>
      <w:tr>
        <w:trPr>
          <w:trHeight w:val="480" w:hRule="atLeast"/>
        </w:trPr>
        <w:tc>
          <w:tcPr>
            <w:tcW w:w="1877" w:type="dxa"/>
          </w:tcPr>
          <w:p>
            <w:pPr>
              <w:pStyle w:val="TableParagraph"/>
              <w:rPr>
                <w:sz w:val="24"/>
              </w:rPr>
            </w:pPr>
            <w:r>
              <w:rPr>
                <w:spacing w:val="-2"/>
                <w:sz w:val="24"/>
              </w:rPr>
              <w:t>612:10-7-</w:t>
            </w:r>
            <w:r>
              <w:rPr>
                <w:spacing w:val="-4"/>
                <w:sz w:val="24"/>
              </w:rPr>
              <w:t>166.</w:t>
            </w:r>
          </w:p>
        </w:tc>
        <w:tc>
          <w:tcPr>
            <w:tcW w:w="7479" w:type="dxa"/>
          </w:tcPr>
          <w:p>
            <w:pPr>
              <w:pStyle w:val="TableParagraph"/>
              <w:ind w:left="333"/>
              <w:rPr>
                <w:sz w:val="24"/>
              </w:rPr>
            </w:pPr>
            <w:r>
              <w:rPr>
                <w:sz w:val="24"/>
              </w:rPr>
              <w:t>Tutorial</w:t>
            </w:r>
            <w:r>
              <w:rPr>
                <w:spacing w:val="-5"/>
                <w:sz w:val="24"/>
              </w:rPr>
              <w:t> </w:t>
            </w:r>
            <w:r>
              <w:rPr>
                <w:spacing w:val="-2"/>
                <w:sz w:val="24"/>
              </w:rPr>
              <w:t>training</w:t>
            </w:r>
          </w:p>
        </w:tc>
      </w:tr>
      <w:tr>
        <w:trPr>
          <w:trHeight w:val="480" w:hRule="atLeast"/>
        </w:trPr>
        <w:tc>
          <w:tcPr>
            <w:tcW w:w="1877" w:type="dxa"/>
          </w:tcPr>
          <w:p>
            <w:pPr>
              <w:pStyle w:val="TableParagraph"/>
              <w:rPr>
                <w:sz w:val="24"/>
              </w:rPr>
            </w:pPr>
            <w:r>
              <w:rPr>
                <w:spacing w:val="-2"/>
                <w:sz w:val="24"/>
              </w:rPr>
              <w:t>612:10-7-</w:t>
            </w:r>
            <w:r>
              <w:rPr>
                <w:spacing w:val="-4"/>
                <w:sz w:val="24"/>
              </w:rPr>
              <w:t>167.</w:t>
            </w:r>
          </w:p>
        </w:tc>
        <w:tc>
          <w:tcPr>
            <w:tcW w:w="7479" w:type="dxa"/>
          </w:tcPr>
          <w:p>
            <w:pPr>
              <w:pStyle w:val="TableParagraph"/>
              <w:ind w:left="333"/>
              <w:rPr>
                <w:sz w:val="24"/>
              </w:rPr>
            </w:pPr>
            <w:r>
              <w:rPr>
                <w:sz w:val="24"/>
              </w:rPr>
              <w:t>Compensatory</w:t>
            </w:r>
            <w:r>
              <w:rPr>
                <w:spacing w:val="-8"/>
                <w:sz w:val="24"/>
              </w:rPr>
              <w:t> </w:t>
            </w:r>
            <w:r>
              <w:rPr>
                <w:spacing w:val="-2"/>
                <w:sz w:val="24"/>
              </w:rPr>
              <w:t>training</w:t>
            </w:r>
          </w:p>
        </w:tc>
      </w:tr>
      <w:tr>
        <w:trPr>
          <w:trHeight w:val="480" w:hRule="atLeast"/>
        </w:trPr>
        <w:tc>
          <w:tcPr>
            <w:tcW w:w="1877" w:type="dxa"/>
          </w:tcPr>
          <w:p>
            <w:pPr>
              <w:pStyle w:val="TableParagraph"/>
              <w:rPr>
                <w:sz w:val="24"/>
              </w:rPr>
            </w:pPr>
            <w:r>
              <w:rPr>
                <w:spacing w:val="-2"/>
                <w:sz w:val="24"/>
              </w:rPr>
              <w:t>612:10-7-</w:t>
            </w:r>
            <w:r>
              <w:rPr>
                <w:spacing w:val="-4"/>
                <w:sz w:val="24"/>
              </w:rPr>
              <w:t>170.</w:t>
            </w:r>
          </w:p>
        </w:tc>
        <w:tc>
          <w:tcPr>
            <w:tcW w:w="7479" w:type="dxa"/>
          </w:tcPr>
          <w:p>
            <w:pPr>
              <w:pStyle w:val="TableParagraph"/>
              <w:ind w:left="333"/>
              <w:rPr>
                <w:sz w:val="24"/>
              </w:rPr>
            </w:pPr>
            <w:r>
              <w:rPr>
                <w:sz w:val="24"/>
              </w:rPr>
              <w:t>Work</w:t>
            </w:r>
            <w:r>
              <w:rPr>
                <w:spacing w:val="-5"/>
                <w:sz w:val="24"/>
              </w:rPr>
              <w:t> </w:t>
            </w:r>
            <w:r>
              <w:rPr>
                <w:sz w:val="24"/>
              </w:rPr>
              <w:t>experience,</w:t>
            </w:r>
            <w:r>
              <w:rPr>
                <w:spacing w:val="-3"/>
                <w:sz w:val="24"/>
              </w:rPr>
              <w:t> </w:t>
            </w:r>
            <w:r>
              <w:rPr>
                <w:sz w:val="24"/>
              </w:rPr>
              <w:t>internship</w:t>
            </w:r>
            <w:r>
              <w:rPr>
                <w:spacing w:val="-4"/>
                <w:sz w:val="24"/>
              </w:rPr>
              <w:t> </w:t>
            </w:r>
            <w:r>
              <w:rPr>
                <w:sz w:val="24"/>
              </w:rPr>
              <w:t>and</w:t>
            </w:r>
            <w:r>
              <w:rPr>
                <w:spacing w:val="-3"/>
                <w:sz w:val="24"/>
              </w:rPr>
              <w:t> </w:t>
            </w:r>
            <w:r>
              <w:rPr>
                <w:spacing w:val="-2"/>
                <w:sz w:val="24"/>
              </w:rPr>
              <w:t>apprenticeship</w:t>
            </w:r>
          </w:p>
        </w:tc>
      </w:tr>
      <w:tr>
        <w:trPr>
          <w:trHeight w:val="614" w:hRule="atLeast"/>
        </w:trPr>
        <w:tc>
          <w:tcPr>
            <w:tcW w:w="1877" w:type="dxa"/>
          </w:tcPr>
          <w:p>
            <w:pPr>
              <w:pStyle w:val="TableParagraph"/>
              <w:rPr>
                <w:sz w:val="24"/>
              </w:rPr>
            </w:pPr>
            <w:bookmarkStart w:name="_bookmark22" w:id="171"/>
            <w:bookmarkEnd w:id="171"/>
            <w:r>
              <w:rPr/>
            </w:r>
            <w:r>
              <w:rPr>
                <w:spacing w:val="-2"/>
                <w:sz w:val="24"/>
              </w:rPr>
              <w:t>612:10-7-</w:t>
            </w:r>
            <w:r>
              <w:rPr>
                <w:spacing w:val="-4"/>
                <w:sz w:val="24"/>
              </w:rPr>
              <w:t>171.</w:t>
            </w:r>
          </w:p>
        </w:tc>
        <w:tc>
          <w:tcPr>
            <w:tcW w:w="7479" w:type="dxa"/>
          </w:tcPr>
          <w:p>
            <w:pPr>
              <w:pStyle w:val="TableParagraph"/>
              <w:spacing w:line="240" w:lineRule="exact" w:before="114"/>
              <w:ind w:left="333"/>
              <w:rPr>
                <w:sz w:val="24"/>
              </w:rPr>
            </w:pPr>
            <w:r>
              <w:rPr>
                <w:sz w:val="24"/>
              </w:rPr>
              <w:t>Credential</w:t>
            </w:r>
            <w:r>
              <w:rPr>
                <w:spacing w:val="-6"/>
                <w:sz w:val="24"/>
              </w:rPr>
              <w:t> </w:t>
            </w:r>
            <w:r>
              <w:rPr>
                <w:sz w:val="24"/>
              </w:rPr>
              <w:t>attainment</w:t>
            </w:r>
            <w:r>
              <w:rPr>
                <w:spacing w:val="-7"/>
                <w:sz w:val="24"/>
              </w:rPr>
              <w:t> </w:t>
            </w:r>
            <w:r>
              <w:rPr>
                <w:sz w:val="24"/>
              </w:rPr>
              <w:t>and</w:t>
            </w:r>
            <w:r>
              <w:rPr>
                <w:spacing w:val="-6"/>
                <w:sz w:val="24"/>
              </w:rPr>
              <w:t> </w:t>
            </w:r>
            <w:r>
              <w:rPr>
                <w:sz w:val="24"/>
              </w:rPr>
              <w:t>measurable</w:t>
            </w:r>
            <w:r>
              <w:rPr>
                <w:spacing w:val="-6"/>
                <w:sz w:val="24"/>
              </w:rPr>
              <w:t> </w:t>
            </w:r>
            <w:r>
              <w:rPr>
                <w:sz w:val="24"/>
              </w:rPr>
              <w:t>skill</w:t>
            </w:r>
            <w:r>
              <w:rPr>
                <w:spacing w:val="-6"/>
                <w:sz w:val="24"/>
              </w:rPr>
              <w:t> </w:t>
            </w:r>
            <w:r>
              <w:rPr>
                <w:sz w:val="24"/>
              </w:rPr>
              <w:t>gains</w:t>
            </w:r>
            <w:r>
              <w:rPr>
                <w:spacing w:val="-6"/>
                <w:sz w:val="24"/>
              </w:rPr>
              <w:t> </w:t>
            </w:r>
            <w:r>
              <w:rPr>
                <w:sz w:val="24"/>
              </w:rPr>
              <w:t>for</w:t>
            </w:r>
            <w:r>
              <w:rPr>
                <w:spacing w:val="-5"/>
                <w:sz w:val="24"/>
              </w:rPr>
              <w:t> </w:t>
            </w:r>
            <w:r>
              <w:rPr>
                <w:sz w:val="24"/>
              </w:rPr>
              <w:t>post- secondary training programs</w:t>
            </w:r>
          </w:p>
        </w:tc>
      </w:tr>
    </w:tbl>
    <w:p>
      <w:pPr>
        <w:pStyle w:val="TableParagraph"/>
        <w:spacing w:after="0" w:line="240" w:lineRule="exact"/>
        <w:rPr>
          <w:sz w:val="24"/>
        </w:rPr>
        <w:sectPr>
          <w:pgSz w:w="12240" w:h="15840"/>
          <w:pgMar w:top="1400" w:bottom="280" w:left="1080" w:right="720"/>
        </w:sectPr>
      </w:pPr>
    </w:p>
    <w:p>
      <w:pPr>
        <w:pStyle w:val="Heading2"/>
      </w:pPr>
      <w:bookmarkStart w:name="612:10-7-142.  General guidelines for tr" w:id="172"/>
      <w:bookmarkEnd w:id="172"/>
      <w:r>
        <w:rPr>
          <w:b w:val="0"/>
        </w:rPr>
      </w:r>
      <w:r>
        <w:rPr/>
        <w:t>612:10-7-142.</w:t>
      </w:r>
      <w:r>
        <w:rPr>
          <w:spacing w:val="56"/>
        </w:rPr>
        <w:t> </w:t>
      </w:r>
      <w:r>
        <w:rPr/>
        <w:t>General</w:t>
      </w:r>
      <w:r>
        <w:rPr>
          <w:spacing w:val="-4"/>
        </w:rPr>
        <w:t> </w:t>
      </w:r>
      <w:r>
        <w:rPr/>
        <w:t>guidelines</w:t>
      </w:r>
      <w:r>
        <w:rPr>
          <w:spacing w:val="-5"/>
        </w:rPr>
        <w:t> </w:t>
      </w:r>
      <w:r>
        <w:rPr/>
        <w:t>for</w:t>
      </w:r>
      <w:r>
        <w:rPr>
          <w:spacing w:val="-4"/>
        </w:rPr>
        <w:t> </w:t>
      </w:r>
      <w:r>
        <w:rPr/>
        <w:t>training</w:t>
      </w:r>
      <w:r>
        <w:rPr>
          <w:spacing w:val="-4"/>
        </w:rPr>
        <w:t> </w:t>
      </w:r>
      <w:r>
        <w:rPr>
          <w:spacing w:val="-2"/>
        </w:rPr>
        <w:t>services</w:t>
      </w:r>
    </w:p>
    <w:p>
      <w:pPr>
        <w:pStyle w:val="ListParagraph"/>
        <w:numPr>
          <w:ilvl w:val="0"/>
          <w:numId w:val="177"/>
        </w:numPr>
        <w:tabs>
          <w:tab w:pos="785" w:val="left" w:leader="none"/>
        </w:tabs>
        <w:spacing w:line="240" w:lineRule="auto" w:before="204" w:after="0"/>
        <w:ind w:left="785" w:right="0" w:hanging="425"/>
        <w:jc w:val="left"/>
        <w:rPr>
          <w:sz w:val="24"/>
        </w:rPr>
      </w:pPr>
      <w:r>
        <w:rPr>
          <w:b/>
          <w:sz w:val="24"/>
        </w:rPr>
        <w:t>Types</w:t>
      </w:r>
      <w:r>
        <w:rPr>
          <w:b/>
          <w:spacing w:val="-4"/>
          <w:sz w:val="24"/>
        </w:rPr>
        <w:t> </w:t>
      </w:r>
      <w:r>
        <w:rPr>
          <w:b/>
          <w:sz w:val="24"/>
        </w:rPr>
        <w:t>of</w:t>
      </w:r>
      <w:r>
        <w:rPr>
          <w:b/>
          <w:spacing w:val="-2"/>
          <w:sz w:val="24"/>
        </w:rPr>
        <w:t> </w:t>
      </w:r>
      <w:r>
        <w:rPr>
          <w:b/>
          <w:sz w:val="24"/>
        </w:rPr>
        <w:t>training.</w:t>
      </w:r>
      <w:r>
        <w:rPr>
          <w:b/>
          <w:spacing w:val="62"/>
          <w:sz w:val="24"/>
        </w:rPr>
        <w:t> </w:t>
      </w:r>
      <w:r>
        <w:rPr>
          <w:sz w:val="24"/>
        </w:rPr>
        <w:t>Training</w:t>
      </w:r>
      <w:r>
        <w:rPr>
          <w:spacing w:val="-1"/>
          <w:sz w:val="24"/>
        </w:rPr>
        <w:t> </w:t>
      </w:r>
      <w:r>
        <w:rPr>
          <w:sz w:val="24"/>
        </w:rPr>
        <w:t>provided</w:t>
      </w:r>
      <w:r>
        <w:rPr>
          <w:spacing w:val="-3"/>
          <w:sz w:val="24"/>
        </w:rPr>
        <w:t> </w:t>
      </w:r>
      <w:r>
        <w:rPr>
          <w:sz w:val="24"/>
        </w:rPr>
        <w:t>by</w:t>
      </w:r>
      <w:r>
        <w:rPr>
          <w:spacing w:val="-2"/>
          <w:sz w:val="24"/>
        </w:rPr>
        <w:t> </w:t>
      </w:r>
      <w:r>
        <w:rPr>
          <w:sz w:val="24"/>
        </w:rPr>
        <w:t>DVR</w:t>
      </w:r>
      <w:r>
        <w:rPr>
          <w:spacing w:val="-3"/>
          <w:sz w:val="24"/>
        </w:rPr>
        <w:t> </w:t>
      </w:r>
      <w:r>
        <w:rPr>
          <w:sz w:val="24"/>
        </w:rPr>
        <w:t>and</w:t>
      </w:r>
      <w:r>
        <w:rPr>
          <w:spacing w:val="-1"/>
          <w:sz w:val="24"/>
        </w:rPr>
        <w:t> </w:t>
      </w:r>
      <w:r>
        <w:rPr>
          <w:sz w:val="24"/>
        </w:rPr>
        <w:t>DSBVI</w:t>
      </w:r>
      <w:r>
        <w:rPr>
          <w:spacing w:val="-2"/>
          <w:sz w:val="24"/>
        </w:rPr>
        <w:t> </w:t>
      </w:r>
      <w:r>
        <w:rPr>
          <w:sz w:val="24"/>
        </w:rPr>
        <w:t>may</w:t>
      </w:r>
      <w:r>
        <w:rPr>
          <w:spacing w:val="-2"/>
          <w:sz w:val="24"/>
        </w:rPr>
        <w:t> include:</w:t>
      </w:r>
    </w:p>
    <w:p>
      <w:pPr>
        <w:pStyle w:val="ListParagraph"/>
        <w:numPr>
          <w:ilvl w:val="1"/>
          <w:numId w:val="177"/>
        </w:numPr>
        <w:tabs>
          <w:tab w:pos="1217" w:val="left" w:leader="none"/>
        </w:tabs>
        <w:spacing w:line="208" w:lineRule="auto" w:before="233" w:after="0"/>
        <w:ind w:left="791" w:right="829" w:firstLine="0"/>
        <w:jc w:val="left"/>
        <w:rPr>
          <w:sz w:val="24"/>
        </w:rPr>
      </w:pPr>
      <w:r>
        <w:rPr>
          <w:b/>
          <w:sz w:val="24"/>
        </w:rPr>
        <w:t>Vocational.</w:t>
      </w:r>
      <w:r>
        <w:rPr>
          <w:b/>
          <w:spacing w:val="40"/>
          <w:sz w:val="24"/>
        </w:rPr>
        <w:t> </w:t>
      </w:r>
      <w:r>
        <w:rPr>
          <w:sz w:val="24"/>
        </w:rPr>
        <w:t>Vocational training provides the knowledge and skills necessary for</w:t>
      </w:r>
      <w:r>
        <w:rPr>
          <w:spacing w:val="-3"/>
          <w:sz w:val="24"/>
        </w:rPr>
        <w:t> </w:t>
      </w:r>
      <w:r>
        <w:rPr>
          <w:sz w:val="24"/>
        </w:rPr>
        <w:t>performing</w:t>
      </w:r>
      <w:r>
        <w:rPr>
          <w:spacing w:val="-4"/>
          <w:sz w:val="24"/>
        </w:rPr>
        <w:t> </w:t>
      </w:r>
      <w:r>
        <w:rPr>
          <w:sz w:val="24"/>
        </w:rPr>
        <w:t>the</w:t>
      </w:r>
      <w:r>
        <w:rPr>
          <w:spacing w:val="-4"/>
          <w:sz w:val="24"/>
        </w:rPr>
        <w:t> </w:t>
      </w:r>
      <w:r>
        <w:rPr>
          <w:sz w:val="24"/>
        </w:rPr>
        <w:t>tasks</w:t>
      </w:r>
      <w:r>
        <w:rPr>
          <w:spacing w:val="-4"/>
          <w:sz w:val="24"/>
        </w:rPr>
        <w:t> </w:t>
      </w:r>
      <w:r>
        <w:rPr>
          <w:sz w:val="24"/>
        </w:rPr>
        <w:t>involved</w:t>
      </w:r>
      <w:r>
        <w:rPr>
          <w:spacing w:val="-4"/>
          <w:sz w:val="24"/>
        </w:rPr>
        <w:t> </w:t>
      </w:r>
      <w:r>
        <w:rPr>
          <w:sz w:val="24"/>
        </w:rPr>
        <w:t>in</w:t>
      </w:r>
      <w:r>
        <w:rPr>
          <w:spacing w:val="-4"/>
          <w:sz w:val="24"/>
        </w:rPr>
        <w:t> </w:t>
      </w:r>
      <w:r>
        <w:rPr>
          <w:sz w:val="24"/>
        </w:rPr>
        <w:t>an</w:t>
      </w:r>
      <w:r>
        <w:rPr>
          <w:spacing w:val="-4"/>
          <w:sz w:val="24"/>
        </w:rPr>
        <w:t> </w:t>
      </w:r>
      <w:r>
        <w:rPr>
          <w:sz w:val="24"/>
        </w:rPr>
        <w:t>occupation.</w:t>
      </w:r>
      <w:r>
        <w:rPr>
          <w:spacing w:val="40"/>
          <w:sz w:val="24"/>
        </w:rPr>
        <w:t> </w:t>
      </w:r>
      <w:r>
        <w:rPr>
          <w:sz w:val="24"/>
        </w:rPr>
        <w:t>Such</w:t>
      </w:r>
      <w:r>
        <w:rPr>
          <w:spacing w:val="-4"/>
          <w:sz w:val="24"/>
        </w:rPr>
        <w:t> </w:t>
      </w:r>
      <w:r>
        <w:rPr>
          <w:sz w:val="24"/>
        </w:rPr>
        <w:t>knowledge</w:t>
      </w:r>
      <w:r>
        <w:rPr>
          <w:spacing w:val="-4"/>
          <w:sz w:val="24"/>
        </w:rPr>
        <w:t> </w:t>
      </w:r>
      <w:r>
        <w:rPr>
          <w:sz w:val="24"/>
        </w:rPr>
        <w:t>and</w:t>
      </w:r>
      <w:r>
        <w:rPr>
          <w:spacing w:val="-4"/>
          <w:sz w:val="24"/>
        </w:rPr>
        <w:t> </w:t>
      </w:r>
      <w:r>
        <w:rPr>
          <w:sz w:val="24"/>
        </w:rPr>
        <w:t>skills</w:t>
      </w:r>
      <w:r>
        <w:rPr>
          <w:spacing w:val="-3"/>
          <w:sz w:val="24"/>
        </w:rPr>
        <w:t> </w:t>
      </w:r>
      <w:r>
        <w:rPr>
          <w:sz w:val="24"/>
        </w:rPr>
        <w:t>may be acquired through training from an institution, on-the-job, by tutors or through a combination of these methods. Vocational training may be provided for any </w:t>
      </w:r>
      <w:r>
        <w:rPr>
          <w:spacing w:val="-2"/>
          <w:sz w:val="24"/>
        </w:rPr>
        <w:t>occupation.</w:t>
      </w:r>
    </w:p>
    <w:p>
      <w:pPr>
        <w:pStyle w:val="ListParagraph"/>
        <w:numPr>
          <w:ilvl w:val="1"/>
          <w:numId w:val="177"/>
        </w:numPr>
        <w:tabs>
          <w:tab w:pos="1217" w:val="left" w:leader="none"/>
        </w:tabs>
        <w:spacing w:line="208" w:lineRule="auto" w:before="239" w:after="0"/>
        <w:ind w:left="791" w:right="908" w:firstLine="0"/>
        <w:jc w:val="left"/>
        <w:rPr>
          <w:sz w:val="24"/>
        </w:rPr>
      </w:pPr>
      <w:r>
        <w:rPr>
          <w:b/>
          <w:sz w:val="24"/>
        </w:rPr>
        <w:t>Prevocational.</w:t>
      </w:r>
      <w:r>
        <w:rPr>
          <w:b/>
          <w:spacing w:val="40"/>
          <w:sz w:val="24"/>
        </w:rPr>
        <w:t> </w:t>
      </w:r>
      <w:r>
        <w:rPr>
          <w:sz w:val="24"/>
        </w:rPr>
        <w:t>Prevocational</w:t>
      </w:r>
      <w:r>
        <w:rPr>
          <w:spacing w:val="-2"/>
          <w:sz w:val="24"/>
        </w:rPr>
        <w:t> </w:t>
      </w:r>
      <w:r>
        <w:rPr>
          <w:sz w:val="24"/>
        </w:rPr>
        <w:t>training</w:t>
      </w:r>
      <w:r>
        <w:rPr>
          <w:spacing w:val="-3"/>
          <w:sz w:val="24"/>
        </w:rPr>
        <w:t> </w:t>
      </w:r>
      <w:r>
        <w:rPr>
          <w:sz w:val="24"/>
        </w:rPr>
        <w:t>includes</w:t>
      </w:r>
      <w:r>
        <w:rPr>
          <w:spacing w:val="-3"/>
          <w:sz w:val="24"/>
        </w:rPr>
        <w:t> </w:t>
      </w:r>
      <w:r>
        <w:rPr>
          <w:sz w:val="24"/>
        </w:rPr>
        <w:t>any</w:t>
      </w:r>
      <w:r>
        <w:rPr>
          <w:spacing w:val="-3"/>
          <w:sz w:val="24"/>
        </w:rPr>
        <w:t> </w:t>
      </w:r>
      <w:r>
        <w:rPr>
          <w:sz w:val="24"/>
        </w:rPr>
        <w:t>form</w:t>
      </w:r>
      <w:r>
        <w:rPr>
          <w:spacing w:val="-2"/>
          <w:sz w:val="24"/>
        </w:rPr>
        <w:t> </w:t>
      </w:r>
      <w:r>
        <w:rPr>
          <w:sz w:val="24"/>
        </w:rPr>
        <w:t>of</w:t>
      </w:r>
      <w:r>
        <w:rPr>
          <w:spacing w:val="-4"/>
          <w:sz w:val="24"/>
        </w:rPr>
        <w:t> </w:t>
      </w:r>
      <w:r>
        <w:rPr>
          <w:sz w:val="24"/>
        </w:rPr>
        <w:t>academic</w:t>
      </w:r>
      <w:r>
        <w:rPr>
          <w:spacing w:val="-3"/>
          <w:sz w:val="24"/>
        </w:rPr>
        <w:t> </w:t>
      </w:r>
      <w:r>
        <w:rPr>
          <w:sz w:val="24"/>
        </w:rPr>
        <w:t>or</w:t>
      </w:r>
      <w:r>
        <w:rPr>
          <w:spacing w:val="-2"/>
          <w:sz w:val="24"/>
        </w:rPr>
        <w:t> </w:t>
      </w:r>
      <w:r>
        <w:rPr>
          <w:sz w:val="24"/>
        </w:rPr>
        <w:t>basic training provided for the preparatory skills needed for entrance into a vocational training program or employment.</w:t>
      </w:r>
      <w:r>
        <w:rPr>
          <w:spacing w:val="40"/>
          <w:sz w:val="24"/>
        </w:rPr>
        <w:t> </w:t>
      </w:r>
      <w:r>
        <w:rPr>
          <w:sz w:val="24"/>
        </w:rPr>
        <w:t>Prevocational training is initiated to enhance occupational</w:t>
      </w:r>
      <w:r>
        <w:rPr>
          <w:spacing w:val="-4"/>
          <w:sz w:val="24"/>
        </w:rPr>
        <w:t> </w:t>
      </w:r>
      <w:r>
        <w:rPr>
          <w:sz w:val="24"/>
        </w:rPr>
        <w:t>knowledge</w:t>
      </w:r>
      <w:r>
        <w:rPr>
          <w:spacing w:val="-4"/>
          <w:sz w:val="24"/>
        </w:rPr>
        <w:t> </w:t>
      </w:r>
      <w:r>
        <w:rPr>
          <w:sz w:val="24"/>
        </w:rPr>
        <w:t>or</w:t>
      </w:r>
      <w:r>
        <w:rPr>
          <w:spacing w:val="-3"/>
          <w:sz w:val="24"/>
        </w:rPr>
        <w:t> </w:t>
      </w:r>
      <w:r>
        <w:rPr>
          <w:sz w:val="24"/>
        </w:rPr>
        <w:t>skills</w:t>
      </w:r>
      <w:r>
        <w:rPr>
          <w:spacing w:val="-4"/>
          <w:sz w:val="24"/>
        </w:rPr>
        <w:t> </w:t>
      </w:r>
      <w:r>
        <w:rPr>
          <w:sz w:val="24"/>
        </w:rPr>
        <w:t>or</w:t>
      </w:r>
      <w:r>
        <w:rPr>
          <w:spacing w:val="-3"/>
          <w:sz w:val="24"/>
        </w:rPr>
        <w:t> </w:t>
      </w:r>
      <w:r>
        <w:rPr>
          <w:sz w:val="24"/>
        </w:rPr>
        <w:t>to</w:t>
      </w:r>
      <w:r>
        <w:rPr>
          <w:spacing w:val="-5"/>
          <w:sz w:val="24"/>
        </w:rPr>
        <w:t> </w:t>
      </w:r>
      <w:r>
        <w:rPr>
          <w:sz w:val="24"/>
        </w:rPr>
        <w:t>remove</w:t>
      </w:r>
      <w:r>
        <w:rPr>
          <w:spacing w:val="-4"/>
          <w:sz w:val="24"/>
        </w:rPr>
        <w:t> </w:t>
      </w:r>
      <w:r>
        <w:rPr>
          <w:sz w:val="24"/>
        </w:rPr>
        <w:t>an</w:t>
      </w:r>
      <w:r>
        <w:rPr>
          <w:spacing w:val="-4"/>
          <w:sz w:val="24"/>
        </w:rPr>
        <w:t> </w:t>
      </w:r>
      <w:r>
        <w:rPr>
          <w:sz w:val="24"/>
        </w:rPr>
        <w:t>educational</w:t>
      </w:r>
      <w:r>
        <w:rPr>
          <w:spacing w:val="-4"/>
          <w:sz w:val="24"/>
        </w:rPr>
        <w:t> </w:t>
      </w:r>
      <w:r>
        <w:rPr>
          <w:sz w:val="24"/>
        </w:rPr>
        <w:t>deficiency</w:t>
      </w:r>
      <w:r>
        <w:rPr>
          <w:spacing w:val="-4"/>
          <w:sz w:val="24"/>
        </w:rPr>
        <w:t> </w:t>
      </w:r>
      <w:r>
        <w:rPr>
          <w:sz w:val="24"/>
        </w:rPr>
        <w:t>interfering with employment.</w:t>
      </w:r>
    </w:p>
    <w:p>
      <w:pPr>
        <w:pStyle w:val="ListParagraph"/>
        <w:numPr>
          <w:ilvl w:val="1"/>
          <w:numId w:val="177"/>
        </w:numPr>
        <w:tabs>
          <w:tab w:pos="1217" w:val="left" w:leader="none"/>
        </w:tabs>
        <w:spacing w:line="208" w:lineRule="auto" w:before="240" w:after="0"/>
        <w:ind w:left="791" w:right="884" w:firstLine="0"/>
        <w:jc w:val="left"/>
        <w:rPr>
          <w:sz w:val="24"/>
        </w:rPr>
      </w:pPr>
      <w:r>
        <w:rPr>
          <w:b/>
          <w:sz w:val="24"/>
        </w:rPr>
        <w:t>Personal</w:t>
      </w:r>
      <w:r>
        <w:rPr>
          <w:b/>
          <w:spacing w:val="-4"/>
          <w:sz w:val="24"/>
        </w:rPr>
        <w:t> </w:t>
      </w:r>
      <w:r>
        <w:rPr>
          <w:b/>
          <w:sz w:val="24"/>
        </w:rPr>
        <w:t>or</w:t>
      </w:r>
      <w:r>
        <w:rPr>
          <w:b/>
          <w:spacing w:val="-5"/>
          <w:sz w:val="24"/>
        </w:rPr>
        <w:t> </w:t>
      </w:r>
      <w:r>
        <w:rPr>
          <w:b/>
          <w:sz w:val="24"/>
        </w:rPr>
        <w:t>work</w:t>
      </w:r>
      <w:r>
        <w:rPr>
          <w:b/>
          <w:spacing w:val="-5"/>
          <w:sz w:val="24"/>
        </w:rPr>
        <w:t> </w:t>
      </w:r>
      <w:r>
        <w:rPr>
          <w:b/>
          <w:sz w:val="24"/>
        </w:rPr>
        <w:t>adjustment.</w:t>
      </w:r>
      <w:r>
        <w:rPr>
          <w:b/>
          <w:spacing w:val="40"/>
          <w:sz w:val="24"/>
        </w:rPr>
        <w:t> </w:t>
      </w:r>
      <w:r>
        <w:rPr>
          <w:sz w:val="24"/>
        </w:rPr>
        <w:t>Personal</w:t>
      </w:r>
      <w:r>
        <w:rPr>
          <w:spacing w:val="-5"/>
          <w:sz w:val="24"/>
        </w:rPr>
        <w:t> </w:t>
      </w:r>
      <w:r>
        <w:rPr>
          <w:sz w:val="24"/>
        </w:rPr>
        <w:t>or</w:t>
      </w:r>
      <w:r>
        <w:rPr>
          <w:spacing w:val="-4"/>
          <w:sz w:val="24"/>
        </w:rPr>
        <w:t> </w:t>
      </w:r>
      <w:r>
        <w:rPr>
          <w:sz w:val="24"/>
        </w:rPr>
        <w:t>work</w:t>
      </w:r>
      <w:r>
        <w:rPr>
          <w:spacing w:val="-5"/>
          <w:sz w:val="24"/>
        </w:rPr>
        <w:t> </w:t>
      </w:r>
      <w:r>
        <w:rPr>
          <w:sz w:val="24"/>
        </w:rPr>
        <w:t>adjustment</w:t>
      </w:r>
      <w:r>
        <w:rPr>
          <w:spacing w:val="-4"/>
          <w:sz w:val="24"/>
        </w:rPr>
        <w:t> </w:t>
      </w:r>
      <w:r>
        <w:rPr>
          <w:sz w:val="24"/>
        </w:rPr>
        <w:t>training</w:t>
      </w:r>
      <w:r>
        <w:rPr>
          <w:spacing w:val="-5"/>
          <w:sz w:val="24"/>
        </w:rPr>
        <w:t> </w:t>
      </w:r>
      <w:r>
        <w:rPr>
          <w:sz w:val="24"/>
        </w:rPr>
        <w:t>includes any training given for one or a combination of the reasons given in (A) - (D) of this </w:t>
      </w:r>
      <w:r>
        <w:rPr>
          <w:spacing w:val="-2"/>
          <w:sz w:val="24"/>
        </w:rPr>
        <w:t>paragraph.</w:t>
      </w:r>
    </w:p>
    <w:p>
      <w:pPr>
        <w:pStyle w:val="ListParagraph"/>
        <w:numPr>
          <w:ilvl w:val="2"/>
          <w:numId w:val="177"/>
        </w:numPr>
        <w:tabs>
          <w:tab w:pos="1676" w:val="left" w:leader="none"/>
        </w:tabs>
        <w:spacing w:line="208" w:lineRule="auto" w:before="240" w:after="0"/>
        <w:ind w:left="1223" w:right="998" w:firstLine="0"/>
        <w:jc w:val="left"/>
        <w:rPr>
          <w:sz w:val="24"/>
        </w:rPr>
      </w:pPr>
      <w:r>
        <w:rPr>
          <w:sz w:val="24"/>
        </w:rPr>
        <w:t>To</w:t>
      </w:r>
      <w:r>
        <w:rPr>
          <w:spacing w:val="-5"/>
          <w:sz w:val="24"/>
        </w:rPr>
        <w:t> </w:t>
      </w:r>
      <w:r>
        <w:rPr>
          <w:sz w:val="24"/>
        </w:rPr>
        <w:t>assist</w:t>
      </w:r>
      <w:r>
        <w:rPr>
          <w:spacing w:val="-4"/>
          <w:sz w:val="24"/>
        </w:rPr>
        <w:t> </w:t>
      </w:r>
      <w:r>
        <w:rPr>
          <w:sz w:val="24"/>
        </w:rPr>
        <w:t>the</w:t>
      </w:r>
      <w:r>
        <w:rPr>
          <w:spacing w:val="-5"/>
          <w:sz w:val="24"/>
        </w:rPr>
        <w:t> </w:t>
      </w:r>
      <w:r>
        <w:rPr>
          <w:sz w:val="24"/>
        </w:rPr>
        <w:t>individual</w:t>
      </w:r>
      <w:r>
        <w:rPr>
          <w:spacing w:val="-5"/>
          <w:sz w:val="24"/>
        </w:rPr>
        <w:t> </w:t>
      </w:r>
      <w:r>
        <w:rPr>
          <w:sz w:val="24"/>
        </w:rPr>
        <w:t>in</w:t>
      </w:r>
      <w:r>
        <w:rPr>
          <w:spacing w:val="-5"/>
          <w:sz w:val="24"/>
        </w:rPr>
        <w:t> </w:t>
      </w:r>
      <w:r>
        <w:rPr>
          <w:sz w:val="24"/>
        </w:rPr>
        <w:t>developing</w:t>
      </w:r>
      <w:r>
        <w:rPr>
          <w:spacing w:val="-5"/>
          <w:sz w:val="24"/>
        </w:rPr>
        <w:t> </w:t>
      </w:r>
      <w:r>
        <w:rPr>
          <w:sz w:val="24"/>
        </w:rPr>
        <w:t>personal</w:t>
      </w:r>
      <w:r>
        <w:rPr>
          <w:spacing w:val="-5"/>
          <w:sz w:val="24"/>
        </w:rPr>
        <w:t> </w:t>
      </w:r>
      <w:r>
        <w:rPr>
          <w:sz w:val="24"/>
        </w:rPr>
        <w:t>habits,</w:t>
      </w:r>
      <w:r>
        <w:rPr>
          <w:spacing w:val="-4"/>
          <w:sz w:val="24"/>
        </w:rPr>
        <w:t> </w:t>
      </w:r>
      <w:r>
        <w:rPr>
          <w:sz w:val="24"/>
        </w:rPr>
        <w:t>attitudes,</w:t>
      </w:r>
      <w:r>
        <w:rPr>
          <w:spacing w:val="-4"/>
          <w:sz w:val="24"/>
        </w:rPr>
        <w:t> </w:t>
      </w:r>
      <w:r>
        <w:rPr>
          <w:sz w:val="24"/>
        </w:rPr>
        <w:t>and</w:t>
      </w:r>
      <w:r>
        <w:rPr>
          <w:spacing w:val="-5"/>
          <w:sz w:val="24"/>
        </w:rPr>
        <w:t> </w:t>
      </w:r>
      <w:r>
        <w:rPr>
          <w:sz w:val="24"/>
        </w:rPr>
        <w:t>skills enabling the individual to function effectively in spite of disability.</w:t>
      </w:r>
    </w:p>
    <w:p>
      <w:pPr>
        <w:pStyle w:val="ListParagraph"/>
        <w:numPr>
          <w:ilvl w:val="2"/>
          <w:numId w:val="177"/>
        </w:numPr>
        <w:tabs>
          <w:tab w:pos="1676" w:val="left" w:leader="none"/>
        </w:tabs>
        <w:spacing w:line="208" w:lineRule="auto" w:before="239" w:after="0"/>
        <w:ind w:left="1223" w:right="796" w:firstLine="0"/>
        <w:jc w:val="left"/>
        <w:rPr>
          <w:sz w:val="24"/>
        </w:rPr>
      </w:pPr>
      <w:r>
        <w:rPr>
          <w:sz w:val="24"/>
        </w:rPr>
        <w:t>To</w:t>
      </w:r>
      <w:r>
        <w:rPr>
          <w:spacing w:val="-4"/>
          <w:sz w:val="24"/>
        </w:rPr>
        <w:t> </w:t>
      </w:r>
      <w:r>
        <w:rPr>
          <w:sz w:val="24"/>
        </w:rPr>
        <w:t>develop</w:t>
      </w:r>
      <w:r>
        <w:rPr>
          <w:spacing w:val="-4"/>
          <w:sz w:val="24"/>
        </w:rPr>
        <w:t> </w:t>
      </w:r>
      <w:r>
        <w:rPr>
          <w:sz w:val="24"/>
        </w:rPr>
        <w:t>or</w:t>
      </w:r>
      <w:r>
        <w:rPr>
          <w:spacing w:val="-3"/>
          <w:sz w:val="24"/>
        </w:rPr>
        <w:t> </w:t>
      </w:r>
      <w:r>
        <w:rPr>
          <w:sz w:val="24"/>
        </w:rPr>
        <w:t>increase</w:t>
      </w:r>
      <w:r>
        <w:rPr>
          <w:spacing w:val="-4"/>
          <w:sz w:val="24"/>
        </w:rPr>
        <w:t> </w:t>
      </w:r>
      <w:r>
        <w:rPr>
          <w:sz w:val="24"/>
        </w:rPr>
        <w:t>work</w:t>
      </w:r>
      <w:r>
        <w:rPr>
          <w:spacing w:val="-4"/>
          <w:sz w:val="24"/>
        </w:rPr>
        <w:t> </w:t>
      </w:r>
      <w:r>
        <w:rPr>
          <w:sz w:val="24"/>
        </w:rPr>
        <w:t>tolerance</w:t>
      </w:r>
      <w:r>
        <w:rPr>
          <w:spacing w:val="-4"/>
          <w:sz w:val="24"/>
        </w:rPr>
        <w:t> </w:t>
      </w:r>
      <w:r>
        <w:rPr>
          <w:sz w:val="24"/>
        </w:rPr>
        <w:t>prior</w:t>
      </w:r>
      <w:r>
        <w:rPr>
          <w:spacing w:val="-3"/>
          <w:sz w:val="24"/>
        </w:rPr>
        <w:t> </w:t>
      </w:r>
      <w:r>
        <w:rPr>
          <w:sz w:val="24"/>
        </w:rPr>
        <w:t>to</w:t>
      </w:r>
      <w:r>
        <w:rPr>
          <w:spacing w:val="-4"/>
          <w:sz w:val="24"/>
        </w:rPr>
        <w:t> </w:t>
      </w:r>
      <w:r>
        <w:rPr>
          <w:sz w:val="24"/>
        </w:rPr>
        <w:t>engaging</w:t>
      </w:r>
      <w:r>
        <w:rPr>
          <w:spacing w:val="-4"/>
          <w:sz w:val="24"/>
        </w:rPr>
        <w:t> </w:t>
      </w:r>
      <w:r>
        <w:rPr>
          <w:sz w:val="24"/>
        </w:rPr>
        <w:t>in</w:t>
      </w:r>
      <w:r>
        <w:rPr>
          <w:spacing w:val="-4"/>
          <w:sz w:val="24"/>
        </w:rPr>
        <w:t> </w:t>
      </w:r>
      <w:r>
        <w:rPr>
          <w:sz w:val="24"/>
        </w:rPr>
        <w:t>prevocational</w:t>
      </w:r>
      <w:r>
        <w:rPr>
          <w:spacing w:val="-4"/>
          <w:sz w:val="24"/>
        </w:rPr>
        <w:t> </w:t>
      </w:r>
      <w:r>
        <w:rPr>
          <w:sz w:val="24"/>
        </w:rPr>
        <w:t>or vocational training or in employment.</w:t>
      </w:r>
    </w:p>
    <w:p>
      <w:pPr>
        <w:pStyle w:val="ListParagraph"/>
        <w:numPr>
          <w:ilvl w:val="2"/>
          <w:numId w:val="177"/>
        </w:numPr>
        <w:tabs>
          <w:tab w:pos="1689" w:val="left" w:leader="none"/>
        </w:tabs>
        <w:spacing w:line="240" w:lineRule="auto" w:before="211" w:after="0"/>
        <w:ind w:left="1689" w:right="0" w:hanging="466"/>
        <w:jc w:val="left"/>
        <w:rPr>
          <w:sz w:val="24"/>
        </w:rPr>
      </w:pPr>
      <w:r>
        <w:rPr>
          <w:sz w:val="24"/>
        </w:rPr>
        <w:t>To</w:t>
      </w:r>
      <w:r>
        <w:rPr>
          <w:spacing w:val="-3"/>
          <w:sz w:val="24"/>
        </w:rPr>
        <w:t> </w:t>
      </w:r>
      <w:r>
        <w:rPr>
          <w:sz w:val="24"/>
        </w:rPr>
        <w:t>develop</w:t>
      </w:r>
      <w:r>
        <w:rPr>
          <w:spacing w:val="-2"/>
          <w:sz w:val="24"/>
        </w:rPr>
        <w:t> </w:t>
      </w:r>
      <w:r>
        <w:rPr>
          <w:sz w:val="24"/>
        </w:rPr>
        <w:t>work</w:t>
      </w:r>
      <w:r>
        <w:rPr>
          <w:spacing w:val="-3"/>
          <w:sz w:val="24"/>
        </w:rPr>
        <w:t> </w:t>
      </w:r>
      <w:r>
        <w:rPr>
          <w:sz w:val="24"/>
        </w:rPr>
        <w:t>habits</w:t>
      </w:r>
      <w:r>
        <w:rPr>
          <w:spacing w:val="-2"/>
          <w:sz w:val="24"/>
        </w:rPr>
        <w:t> </w:t>
      </w:r>
      <w:r>
        <w:rPr>
          <w:sz w:val="24"/>
        </w:rPr>
        <w:t>and</w:t>
      </w:r>
      <w:r>
        <w:rPr>
          <w:spacing w:val="-2"/>
          <w:sz w:val="24"/>
        </w:rPr>
        <w:t> </w:t>
      </w:r>
      <w:r>
        <w:rPr>
          <w:sz w:val="24"/>
        </w:rPr>
        <w:t>to</w:t>
      </w:r>
      <w:r>
        <w:rPr>
          <w:spacing w:val="-3"/>
          <w:sz w:val="24"/>
        </w:rPr>
        <w:t> </w:t>
      </w:r>
      <w:r>
        <w:rPr>
          <w:sz w:val="24"/>
        </w:rPr>
        <w:t>orient</w:t>
      </w:r>
      <w:r>
        <w:rPr>
          <w:spacing w:val="-1"/>
          <w:sz w:val="24"/>
        </w:rPr>
        <w:t> </w:t>
      </w:r>
      <w:r>
        <w:rPr>
          <w:sz w:val="24"/>
        </w:rPr>
        <w:t>the</w:t>
      </w:r>
      <w:r>
        <w:rPr>
          <w:spacing w:val="-3"/>
          <w:sz w:val="24"/>
        </w:rPr>
        <w:t> </w:t>
      </w:r>
      <w:r>
        <w:rPr>
          <w:sz w:val="24"/>
        </w:rPr>
        <w:t>individual</w:t>
      </w:r>
      <w:r>
        <w:rPr>
          <w:spacing w:val="-2"/>
          <w:sz w:val="24"/>
        </w:rPr>
        <w:t> </w:t>
      </w:r>
      <w:r>
        <w:rPr>
          <w:sz w:val="24"/>
        </w:rPr>
        <w:t>to</w:t>
      </w:r>
      <w:r>
        <w:rPr>
          <w:spacing w:val="-2"/>
          <w:sz w:val="24"/>
        </w:rPr>
        <w:t> </w:t>
      </w:r>
      <w:r>
        <w:rPr>
          <w:sz w:val="24"/>
        </w:rPr>
        <w:t>the</w:t>
      </w:r>
      <w:r>
        <w:rPr>
          <w:spacing w:val="-3"/>
          <w:sz w:val="24"/>
        </w:rPr>
        <w:t> </w:t>
      </w:r>
      <w:r>
        <w:rPr>
          <w:sz w:val="24"/>
        </w:rPr>
        <w:t>world</w:t>
      </w:r>
      <w:r>
        <w:rPr>
          <w:spacing w:val="-2"/>
          <w:sz w:val="24"/>
        </w:rPr>
        <w:t> </w:t>
      </w:r>
      <w:r>
        <w:rPr>
          <w:sz w:val="24"/>
        </w:rPr>
        <w:t>of</w:t>
      </w:r>
      <w:r>
        <w:rPr>
          <w:spacing w:val="-1"/>
          <w:sz w:val="24"/>
        </w:rPr>
        <w:t> </w:t>
      </w:r>
      <w:r>
        <w:rPr>
          <w:spacing w:val="-2"/>
          <w:sz w:val="24"/>
        </w:rPr>
        <w:t>work.</w:t>
      </w:r>
    </w:p>
    <w:p>
      <w:pPr>
        <w:pStyle w:val="ListParagraph"/>
        <w:numPr>
          <w:ilvl w:val="2"/>
          <w:numId w:val="177"/>
        </w:numPr>
        <w:tabs>
          <w:tab w:pos="1689" w:val="left" w:leader="none"/>
        </w:tabs>
        <w:spacing w:line="208" w:lineRule="auto" w:before="233" w:after="0"/>
        <w:ind w:left="1223" w:right="887" w:firstLine="0"/>
        <w:jc w:val="left"/>
        <w:rPr>
          <w:sz w:val="24"/>
        </w:rPr>
      </w:pPr>
      <w:r>
        <w:rPr>
          <w:sz w:val="24"/>
        </w:rPr>
        <w:t>To</w:t>
      </w:r>
      <w:r>
        <w:rPr>
          <w:spacing w:val="-4"/>
          <w:sz w:val="24"/>
        </w:rPr>
        <w:t> </w:t>
      </w:r>
      <w:r>
        <w:rPr>
          <w:sz w:val="24"/>
        </w:rPr>
        <w:t>provide</w:t>
      </w:r>
      <w:r>
        <w:rPr>
          <w:spacing w:val="-4"/>
          <w:sz w:val="24"/>
        </w:rPr>
        <w:t> </w:t>
      </w:r>
      <w:r>
        <w:rPr>
          <w:sz w:val="24"/>
        </w:rPr>
        <w:t>skills</w:t>
      </w:r>
      <w:r>
        <w:rPr>
          <w:spacing w:val="-4"/>
          <w:sz w:val="24"/>
        </w:rPr>
        <w:t> </w:t>
      </w:r>
      <w:r>
        <w:rPr>
          <w:sz w:val="24"/>
        </w:rPr>
        <w:t>or</w:t>
      </w:r>
      <w:r>
        <w:rPr>
          <w:spacing w:val="-3"/>
          <w:sz w:val="24"/>
        </w:rPr>
        <w:t> </w:t>
      </w:r>
      <w:r>
        <w:rPr>
          <w:sz w:val="24"/>
        </w:rPr>
        <w:t>techniques</w:t>
      </w:r>
      <w:r>
        <w:rPr>
          <w:spacing w:val="-4"/>
          <w:sz w:val="24"/>
        </w:rPr>
        <w:t> </w:t>
      </w:r>
      <w:r>
        <w:rPr>
          <w:sz w:val="24"/>
        </w:rPr>
        <w:t>enabling</w:t>
      </w:r>
      <w:r>
        <w:rPr>
          <w:spacing w:val="-4"/>
          <w:sz w:val="24"/>
        </w:rPr>
        <w:t> </w:t>
      </w:r>
      <w:r>
        <w:rPr>
          <w:sz w:val="24"/>
        </w:rPr>
        <w:t>the</w:t>
      </w:r>
      <w:r>
        <w:rPr>
          <w:spacing w:val="-4"/>
          <w:sz w:val="24"/>
        </w:rPr>
        <w:t> </w:t>
      </w:r>
      <w:r>
        <w:rPr>
          <w:sz w:val="24"/>
        </w:rPr>
        <w:t>individual</w:t>
      </w:r>
      <w:r>
        <w:rPr>
          <w:spacing w:val="-4"/>
          <w:sz w:val="24"/>
        </w:rPr>
        <w:t> </w:t>
      </w:r>
      <w:r>
        <w:rPr>
          <w:sz w:val="24"/>
        </w:rPr>
        <w:t>to</w:t>
      </w:r>
      <w:r>
        <w:rPr>
          <w:spacing w:val="-4"/>
          <w:sz w:val="24"/>
        </w:rPr>
        <w:t> </w:t>
      </w:r>
      <w:r>
        <w:rPr>
          <w:sz w:val="24"/>
        </w:rPr>
        <w:t>compensate</w:t>
      </w:r>
      <w:r>
        <w:rPr>
          <w:spacing w:val="-4"/>
          <w:sz w:val="24"/>
        </w:rPr>
        <w:t> </w:t>
      </w:r>
      <w:r>
        <w:rPr>
          <w:sz w:val="24"/>
        </w:rPr>
        <w:t>for</w:t>
      </w:r>
      <w:r>
        <w:rPr>
          <w:spacing w:val="-5"/>
          <w:sz w:val="24"/>
        </w:rPr>
        <w:t> </w:t>
      </w:r>
      <w:r>
        <w:rPr>
          <w:sz w:val="24"/>
        </w:rPr>
        <w:t>a disability such as the loss of a body part or the loss of a sensory function.</w:t>
      </w:r>
    </w:p>
    <w:p>
      <w:pPr>
        <w:pStyle w:val="ListParagraph"/>
        <w:numPr>
          <w:ilvl w:val="0"/>
          <w:numId w:val="177"/>
        </w:numPr>
        <w:tabs>
          <w:tab w:pos="785" w:val="left" w:leader="none"/>
        </w:tabs>
        <w:spacing w:line="240" w:lineRule="auto" w:before="211" w:after="0"/>
        <w:ind w:left="785" w:right="0" w:hanging="426"/>
        <w:jc w:val="left"/>
        <w:rPr>
          <w:sz w:val="24"/>
        </w:rPr>
      </w:pPr>
      <w:r>
        <w:rPr>
          <w:sz w:val="24"/>
        </w:rPr>
        <w:t>Training</w:t>
      </w:r>
      <w:r>
        <w:rPr>
          <w:spacing w:val="-4"/>
          <w:sz w:val="24"/>
        </w:rPr>
        <w:t> </w:t>
      </w:r>
      <w:r>
        <w:rPr>
          <w:sz w:val="24"/>
        </w:rPr>
        <w:t>may</w:t>
      </w:r>
      <w:r>
        <w:rPr>
          <w:spacing w:val="-3"/>
          <w:sz w:val="24"/>
        </w:rPr>
        <w:t> </w:t>
      </w:r>
      <w:r>
        <w:rPr>
          <w:sz w:val="24"/>
        </w:rPr>
        <w:t>be</w:t>
      </w:r>
      <w:r>
        <w:rPr>
          <w:spacing w:val="-3"/>
          <w:sz w:val="24"/>
        </w:rPr>
        <w:t> </w:t>
      </w:r>
      <w:r>
        <w:rPr>
          <w:sz w:val="24"/>
        </w:rPr>
        <w:t>provided</w:t>
      </w:r>
      <w:r>
        <w:rPr>
          <w:spacing w:val="-3"/>
          <w:sz w:val="24"/>
        </w:rPr>
        <w:t> </w:t>
      </w:r>
      <w:r>
        <w:rPr>
          <w:sz w:val="24"/>
        </w:rPr>
        <w:t>for</w:t>
      </w:r>
      <w:r>
        <w:rPr>
          <w:spacing w:val="-4"/>
          <w:sz w:val="24"/>
        </w:rPr>
        <w:t> </w:t>
      </w:r>
      <w:r>
        <w:rPr>
          <w:sz w:val="24"/>
        </w:rPr>
        <w:t>clients</w:t>
      </w:r>
      <w:r>
        <w:rPr>
          <w:spacing w:val="-3"/>
          <w:sz w:val="24"/>
        </w:rPr>
        <w:t> </w:t>
      </w:r>
      <w:r>
        <w:rPr>
          <w:spacing w:val="-4"/>
          <w:sz w:val="24"/>
        </w:rPr>
        <w:t>who:</w:t>
      </w:r>
    </w:p>
    <w:p>
      <w:pPr>
        <w:pStyle w:val="ListParagraph"/>
        <w:numPr>
          <w:ilvl w:val="1"/>
          <w:numId w:val="177"/>
        </w:numPr>
        <w:tabs>
          <w:tab w:pos="1217" w:val="left" w:leader="none"/>
        </w:tabs>
        <w:spacing w:line="208" w:lineRule="auto" w:before="233" w:after="0"/>
        <w:ind w:left="791" w:right="1294" w:firstLine="0"/>
        <w:jc w:val="left"/>
        <w:rPr>
          <w:sz w:val="24"/>
        </w:rPr>
      </w:pPr>
      <w:r>
        <w:rPr>
          <w:sz w:val="24"/>
        </w:rPr>
        <w:t>are</w:t>
      </w:r>
      <w:r>
        <w:rPr>
          <w:spacing w:val="-4"/>
          <w:sz w:val="24"/>
        </w:rPr>
        <w:t> </w:t>
      </w:r>
      <w:r>
        <w:rPr>
          <w:sz w:val="24"/>
        </w:rPr>
        <w:t>mentally,</w:t>
      </w:r>
      <w:r>
        <w:rPr>
          <w:spacing w:val="-3"/>
          <w:sz w:val="24"/>
        </w:rPr>
        <w:t> </w:t>
      </w:r>
      <w:r>
        <w:rPr>
          <w:sz w:val="24"/>
        </w:rPr>
        <w:t>physically</w:t>
      </w:r>
      <w:r>
        <w:rPr>
          <w:spacing w:val="-4"/>
          <w:sz w:val="24"/>
        </w:rPr>
        <w:t> </w:t>
      </w:r>
      <w:r>
        <w:rPr>
          <w:sz w:val="24"/>
        </w:rPr>
        <w:t>and/or</w:t>
      </w:r>
      <w:r>
        <w:rPr>
          <w:spacing w:val="-3"/>
          <w:sz w:val="24"/>
        </w:rPr>
        <w:t> </w:t>
      </w:r>
      <w:r>
        <w:rPr>
          <w:sz w:val="24"/>
        </w:rPr>
        <w:t>emotionally</w:t>
      </w:r>
      <w:r>
        <w:rPr>
          <w:spacing w:val="-4"/>
          <w:sz w:val="24"/>
        </w:rPr>
        <w:t> </w:t>
      </w:r>
      <w:r>
        <w:rPr>
          <w:sz w:val="24"/>
        </w:rPr>
        <w:t>capable</w:t>
      </w:r>
      <w:r>
        <w:rPr>
          <w:spacing w:val="-4"/>
          <w:sz w:val="24"/>
        </w:rPr>
        <w:t> </w:t>
      </w:r>
      <w:r>
        <w:rPr>
          <w:sz w:val="24"/>
        </w:rPr>
        <w:t>of</w:t>
      </w:r>
      <w:r>
        <w:rPr>
          <w:spacing w:val="-3"/>
          <w:sz w:val="24"/>
        </w:rPr>
        <w:t> </w:t>
      </w:r>
      <w:r>
        <w:rPr>
          <w:sz w:val="24"/>
        </w:rPr>
        <w:t>pursuing</w:t>
      </w:r>
      <w:r>
        <w:rPr>
          <w:spacing w:val="-3"/>
          <w:sz w:val="24"/>
        </w:rPr>
        <w:t> </w:t>
      </w:r>
      <w:r>
        <w:rPr>
          <w:sz w:val="24"/>
        </w:rPr>
        <w:t>a</w:t>
      </w:r>
      <w:r>
        <w:rPr>
          <w:spacing w:val="-4"/>
          <w:sz w:val="24"/>
        </w:rPr>
        <w:t> </w:t>
      </w:r>
      <w:r>
        <w:rPr>
          <w:sz w:val="24"/>
        </w:rPr>
        <w:t>course</w:t>
      </w:r>
      <w:r>
        <w:rPr>
          <w:spacing w:val="-4"/>
          <w:sz w:val="24"/>
        </w:rPr>
        <w:t> </w:t>
      </w:r>
      <w:r>
        <w:rPr>
          <w:sz w:val="24"/>
        </w:rPr>
        <w:t>of training to completion;</w:t>
      </w:r>
    </w:p>
    <w:p>
      <w:pPr>
        <w:pStyle w:val="ListParagraph"/>
        <w:numPr>
          <w:ilvl w:val="1"/>
          <w:numId w:val="177"/>
        </w:numPr>
        <w:tabs>
          <w:tab w:pos="1216" w:val="left" w:leader="none"/>
        </w:tabs>
        <w:spacing w:line="208" w:lineRule="auto" w:before="240" w:after="0"/>
        <w:ind w:left="791" w:right="948" w:firstLine="0"/>
        <w:jc w:val="left"/>
        <w:rPr>
          <w:sz w:val="24"/>
        </w:rPr>
      </w:pPr>
      <w:r>
        <w:rPr>
          <w:sz w:val="24"/>
        </w:rPr>
        <w:t>require</w:t>
      </w:r>
      <w:r>
        <w:rPr>
          <w:spacing w:val="-4"/>
          <w:sz w:val="24"/>
        </w:rPr>
        <w:t> </w:t>
      </w:r>
      <w:r>
        <w:rPr>
          <w:sz w:val="24"/>
        </w:rPr>
        <w:t>training</w:t>
      </w:r>
      <w:r>
        <w:rPr>
          <w:spacing w:val="-4"/>
          <w:sz w:val="24"/>
        </w:rPr>
        <w:t> </w:t>
      </w:r>
      <w:r>
        <w:rPr>
          <w:sz w:val="24"/>
        </w:rPr>
        <w:t>to</w:t>
      </w:r>
      <w:r>
        <w:rPr>
          <w:spacing w:val="-5"/>
          <w:sz w:val="24"/>
        </w:rPr>
        <w:t> </w:t>
      </w:r>
      <w:r>
        <w:rPr>
          <w:sz w:val="24"/>
        </w:rPr>
        <w:t>achieve</w:t>
      </w:r>
      <w:r>
        <w:rPr>
          <w:spacing w:val="-4"/>
          <w:sz w:val="24"/>
        </w:rPr>
        <w:t> </w:t>
      </w:r>
      <w:r>
        <w:rPr>
          <w:sz w:val="24"/>
        </w:rPr>
        <w:t>an</w:t>
      </w:r>
      <w:r>
        <w:rPr>
          <w:spacing w:val="-3"/>
          <w:sz w:val="24"/>
        </w:rPr>
        <w:t> </w:t>
      </w:r>
      <w:r>
        <w:rPr>
          <w:sz w:val="24"/>
        </w:rPr>
        <w:t>employment</w:t>
      </w:r>
      <w:r>
        <w:rPr>
          <w:spacing w:val="-3"/>
          <w:sz w:val="24"/>
        </w:rPr>
        <w:t> </w:t>
      </w:r>
      <w:r>
        <w:rPr>
          <w:sz w:val="24"/>
        </w:rPr>
        <w:t>outcome</w:t>
      </w:r>
      <w:r>
        <w:rPr>
          <w:spacing w:val="-5"/>
          <w:sz w:val="24"/>
        </w:rPr>
        <w:t> </w:t>
      </w:r>
      <w:r>
        <w:rPr>
          <w:sz w:val="24"/>
        </w:rPr>
        <w:t>or</w:t>
      </w:r>
      <w:r>
        <w:rPr>
          <w:spacing w:val="-3"/>
          <w:sz w:val="24"/>
        </w:rPr>
        <w:t> </w:t>
      </w:r>
      <w:r>
        <w:rPr>
          <w:sz w:val="24"/>
        </w:rPr>
        <w:t>other</w:t>
      </w:r>
      <w:r>
        <w:rPr>
          <w:spacing w:val="-5"/>
          <w:sz w:val="24"/>
        </w:rPr>
        <w:t> </w:t>
      </w:r>
      <w:r>
        <w:rPr>
          <w:sz w:val="24"/>
        </w:rPr>
        <w:t>goals</w:t>
      </w:r>
      <w:r>
        <w:rPr>
          <w:spacing w:val="-4"/>
          <w:sz w:val="24"/>
        </w:rPr>
        <w:t> </w:t>
      </w:r>
      <w:r>
        <w:rPr>
          <w:sz w:val="24"/>
        </w:rPr>
        <w:t>established in the Individual Plan for Employment (IPE); and</w:t>
      </w:r>
    </w:p>
    <w:p>
      <w:pPr>
        <w:pStyle w:val="ListParagraph"/>
        <w:numPr>
          <w:ilvl w:val="1"/>
          <w:numId w:val="177"/>
        </w:numPr>
        <w:tabs>
          <w:tab w:pos="1217" w:val="left" w:leader="none"/>
        </w:tabs>
        <w:spacing w:line="208" w:lineRule="auto" w:before="240" w:after="0"/>
        <w:ind w:left="791" w:right="1026" w:firstLine="0"/>
        <w:jc w:val="left"/>
        <w:rPr>
          <w:sz w:val="24"/>
        </w:rPr>
      </w:pPr>
      <w:r>
        <w:rPr>
          <w:sz w:val="24"/>
        </w:rPr>
        <w:t>are</w:t>
      </w:r>
      <w:r>
        <w:rPr>
          <w:spacing w:val="-4"/>
          <w:sz w:val="24"/>
        </w:rPr>
        <w:t> </w:t>
      </w:r>
      <w:r>
        <w:rPr>
          <w:sz w:val="24"/>
        </w:rPr>
        <w:t>determined</w:t>
      </w:r>
      <w:r>
        <w:rPr>
          <w:spacing w:val="-4"/>
          <w:sz w:val="24"/>
        </w:rPr>
        <w:t> </w:t>
      </w:r>
      <w:r>
        <w:rPr>
          <w:sz w:val="24"/>
        </w:rPr>
        <w:t>to</w:t>
      </w:r>
      <w:r>
        <w:rPr>
          <w:spacing w:val="-5"/>
          <w:sz w:val="24"/>
        </w:rPr>
        <w:t> </w:t>
      </w:r>
      <w:r>
        <w:rPr>
          <w:sz w:val="24"/>
        </w:rPr>
        <w:t>have</w:t>
      </w:r>
      <w:r>
        <w:rPr>
          <w:spacing w:val="-4"/>
          <w:sz w:val="24"/>
        </w:rPr>
        <w:t> </w:t>
      </w:r>
      <w:r>
        <w:rPr>
          <w:sz w:val="24"/>
        </w:rPr>
        <w:t>a</w:t>
      </w:r>
      <w:r>
        <w:rPr>
          <w:spacing w:val="-4"/>
          <w:sz w:val="24"/>
        </w:rPr>
        <w:t> </w:t>
      </w:r>
      <w:r>
        <w:rPr>
          <w:sz w:val="24"/>
        </w:rPr>
        <w:t>reasonable</w:t>
      </w:r>
      <w:r>
        <w:rPr>
          <w:spacing w:val="-4"/>
          <w:sz w:val="24"/>
        </w:rPr>
        <w:t> </w:t>
      </w:r>
      <w:r>
        <w:rPr>
          <w:sz w:val="24"/>
        </w:rPr>
        <w:t>opportunity</w:t>
      </w:r>
      <w:r>
        <w:rPr>
          <w:spacing w:val="-4"/>
          <w:sz w:val="24"/>
        </w:rPr>
        <w:t> </w:t>
      </w:r>
      <w:r>
        <w:rPr>
          <w:sz w:val="24"/>
        </w:rPr>
        <w:t>for</w:t>
      </w:r>
      <w:r>
        <w:rPr>
          <w:spacing w:val="-3"/>
          <w:sz w:val="24"/>
        </w:rPr>
        <w:t> </w:t>
      </w:r>
      <w:r>
        <w:rPr>
          <w:sz w:val="24"/>
        </w:rPr>
        <w:t>obtaining</w:t>
      </w:r>
      <w:r>
        <w:rPr>
          <w:spacing w:val="-3"/>
          <w:sz w:val="24"/>
        </w:rPr>
        <w:t> </w:t>
      </w:r>
      <w:r>
        <w:rPr>
          <w:sz w:val="24"/>
        </w:rPr>
        <w:t>employment</w:t>
      </w:r>
      <w:r>
        <w:rPr>
          <w:spacing w:val="-3"/>
          <w:sz w:val="24"/>
        </w:rPr>
        <w:t> </w:t>
      </w:r>
      <w:r>
        <w:rPr>
          <w:sz w:val="24"/>
        </w:rPr>
        <w:t>in the chosen vocation.</w:t>
      </w:r>
    </w:p>
    <w:p>
      <w:pPr>
        <w:pStyle w:val="ListParagraph"/>
        <w:numPr>
          <w:ilvl w:val="0"/>
          <w:numId w:val="177"/>
        </w:numPr>
        <w:tabs>
          <w:tab w:pos="772" w:val="left" w:leader="none"/>
        </w:tabs>
        <w:spacing w:line="208" w:lineRule="auto" w:before="239" w:after="0"/>
        <w:ind w:left="359" w:right="1580" w:firstLine="0"/>
        <w:jc w:val="left"/>
        <w:rPr>
          <w:b/>
          <w:sz w:val="24"/>
        </w:rPr>
      </w:pPr>
      <w:r>
        <w:rPr>
          <w:sz w:val="24"/>
        </w:rPr>
        <w:t>Decisions</w:t>
      </w:r>
      <w:r>
        <w:rPr>
          <w:spacing w:val="-4"/>
          <w:sz w:val="24"/>
        </w:rPr>
        <w:t> </w:t>
      </w:r>
      <w:r>
        <w:rPr>
          <w:sz w:val="24"/>
        </w:rPr>
        <w:t>related</w:t>
      </w:r>
      <w:r>
        <w:rPr>
          <w:spacing w:val="-4"/>
          <w:sz w:val="24"/>
        </w:rPr>
        <w:t> </w:t>
      </w:r>
      <w:r>
        <w:rPr>
          <w:sz w:val="24"/>
        </w:rPr>
        <w:t>to</w:t>
      </w:r>
      <w:r>
        <w:rPr>
          <w:spacing w:val="-4"/>
          <w:sz w:val="24"/>
        </w:rPr>
        <w:t> </w:t>
      </w:r>
      <w:r>
        <w:rPr>
          <w:sz w:val="24"/>
        </w:rPr>
        <w:t>training</w:t>
      </w:r>
      <w:r>
        <w:rPr>
          <w:spacing w:val="-4"/>
          <w:sz w:val="24"/>
        </w:rPr>
        <w:t> </w:t>
      </w:r>
      <w:r>
        <w:rPr>
          <w:sz w:val="24"/>
        </w:rPr>
        <w:t>are</w:t>
      </w:r>
      <w:r>
        <w:rPr>
          <w:spacing w:val="-4"/>
          <w:sz w:val="24"/>
        </w:rPr>
        <w:t> </w:t>
      </w:r>
      <w:r>
        <w:rPr>
          <w:sz w:val="24"/>
        </w:rPr>
        <w:t>based</w:t>
      </w:r>
      <w:r>
        <w:rPr>
          <w:spacing w:val="-4"/>
          <w:sz w:val="24"/>
        </w:rPr>
        <w:t> </w:t>
      </w:r>
      <w:r>
        <w:rPr>
          <w:sz w:val="24"/>
        </w:rPr>
        <w:t>on</w:t>
      </w:r>
      <w:r>
        <w:rPr>
          <w:spacing w:val="-4"/>
          <w:sz w:val="24"/>
        </w:rPr>
        <w:t> </w:t>
      </w:r>
      <w:r>
        <w:rPr>
          <w:sz w:val="24"/>
        </w:rPr>
        <w:t>the</w:t>
      </w:r>
      <w:r>
        <w:rPr>
          <w:spacing w:val="-4"/>
          <w:sz w:val="24"/>
        </w:rPr>
        <w:t> </w:t>
      </w:r>
      <w:r>
        <w:rPr>
          <w:sz w:val="24"/>
        </w:rPr>
        <w:t>individual</w:t>
      </w:r>
      <w:r>
        <w:rPr>
          <w:spacing w:val="-4"/>
          <w:sz w:val="24"/>
        </w:rPr>
        <w:t> </w:t>
      </w:r>
      <w:r>
        <w:rPr>
          <w:sz w:val="24"/>
        </w:rPr>
        <w:t>needs</w:t>
      </w:r>
      <w:r>
        <w:rPr>
          <w:spacing w:val="-3"/>
          <w:sz w:val="24"/>
        </w:rPr>
        <w:t> </w:t>
      </w:r>
      <w:r>
        <w:rPr>
          <w:sz w:val="24"/>
        </w:rPr>
        <w:t>and</w:t>
      </w:r>
      <w:r>
        <w:rPr>
          <w:spacing w:val="-4"/>
          <w:sz w:val="24"/>
        </w:rPr>
        <w:t> </w:t>
      </w:r>
      <w:r>
        <w:rPr>
          <w:sz w:val="24"/>
        </w:rPr>
        <w:t>informed choices of the client as identified in the IPE. </w:t>
      </w:r>
      <w:r>
        <w:rPr>
          <w:b/>
          <w:sz w:val="24"/>
        </w:rPr>
        <w:t>1</w:t>
      </w:r>
    </w:p>
    <w:p>
      <w:pPr>
        <w:pStyle w:val="ListParagraph"/>
        <w:numPr>
          <w:ilvl w:val="0"/>
          <w:numId w:val="177"/>
        </w:numPr>
        <w:tabs>
          <w:tab w:pos="785" w:val="left" w:leader="none"/>
        </w:tabs>
        <w:spacing w:line="208" w:lineRule="auto" w:before="240" w:after="0"/>
        <w:ind w:left="359" w:right="885" w:firstLine="0"/>
        <w:jc w:val="left"/>
        <w:rPr>
          <w:b/>
          <w:sz w:val="24"/>
        </w:rPr>
      </w:pPr>
      <w:r>
        <w:rPr>
          <w:sz w:val="24"/>
        </w:rPr>
        <w:t>DVR and DSBVI will only pay tuition and fees for courses which count toward requirements consistent with the vocational goal of the IPE.</w:t>
      </w:r>
      <w:r>
        <w:rPr>
          <w:spacing w:val="40"/>
          <w:sz w:val="24"/>
        </w:rPr>
        <w:t> </w:t>
      </w:r>
      <w:r>
        <w:rPr>
          <w:sz w:val="24"/>
        </w:rPr>
        <w:t>Training of DVR and DSBVI</w:t>
      </w:r>
      <w:r>
        <w:rPr>
          <w:spacing w:val="-3"/>
          <w:sz w:val="24"/>
        </w:rPr>
        <w:t> </w:t>
      </w:r>
      <w:r>
        <w:rPr>
          <w:sz w:val="24"/>
        </w:rPr>
        <w:t>clients</w:t>
      </w:r>
      <w:r>
        <w:rPr>
          <w:spacing w:val="-4"/>
          <w:sz w:val="24"/>
        </w:rPr>
        <w:t> </w:t>
      </w:r>
      <w:r>
        <w:rPr>
          <w:sz w:val="24"/>
        </w:rPr>
        <w:t>is</w:t>
      </w:r>
      <w:r>
        <w:rPr>
          <w:spacing w:val="-4"/>
          <w:sz w:val="24"/>
        </w:rPr>
        <w:t> </w:t>
      </w:r>
      <w:r>
        <w:rPr>
          <w:sz w:val="24"/>
        </w:rPr>
        <w:t>provided</w:t>
      </w:r>
      <w:r>
        <w:rPr>
          <w:spacing w:val="-4"/>
          <w:sz w:val="24"/>
        </w:rPr>
        <w:t> </w:t>
      </w:r>
      <w:r>
        <w:rPr>
          <w:sz w:val="24"/>
        </w:rPr>
        <w:t>by</w:t>
      </w:r>
      <w:r>
        <w:rPr>
          <w:spacing w:val="-4"/>
          <w:sz w:val="24"/>
        </w:rPr>
        <w:t> </w:t>
      </w:r>
      <w:r>
        <w:rPr>
          <w:sz w:val="24"/>
        </w:rPr>
        <w:t>colleges,</w:t>
      </w:r>
      <w:r>
        <w:rPr>
          <w:spacing w:val="-3"/>
          <w:sz w:val="24"/>
        </w:rPr>
        <w:t> </w:t>
      </w:r>
      <w:r>
        <w:rPr>
          <w:sz w:val="24"/>
        </w:rPr>
        <w:t>universities,</w:t>
      </w:r>
      <w:r>
        <w:rPr>
          <w:spacing w:val="-3"/>
          <w:sz w:val="24"/>
        </w:rPr>
        <w:t> </w:t>
      </w:r>
      <w:r>
        <w:rPr>
          <w:sz w:val="24"/>
        </w:rPr>
        <w:t>private</w:t>
      </w:r>
      <w:r>
        <w:rPr>
          <w:spacing w:val="-4"/>
          <w:sz w:val="24"/>
        </w:rPr>
        <w:t> </w:t>
      </w:r>
      <w:r>
        <w:rPr>
          <w:sz w:val="24"/>
        </w:rPr>
        <w:t>business</w:t>
      </w:r>
      <w:r>
        <w:rPr>
          <w:spacing w:val="-4"/>
          <w:sz w:val="24"/>
        </w:rPr>
        <w:t> </w:t>
      </w:r>
      <w:r>
        <w:rPr>
          <w:sz w:val="24"/>
        </w:rPr>
        <w:t>and</w:t>
      </w:r>
      <w:r>
        <w:rPr>
          <w:spacing w:val="-4"/>
          <w:sz w:val="24"/>
        </w:rPr>
        <w:t> </w:t>
      </w:r>
      <w:r>
        <w:rPr>
          <w:sz w:val="24"/>
        </w:rPr>
        <w:t>trade</w:t>
      </w:r>
      <w:r>
        <w:rPr>
          <w:spacing w:val="-4"/>
          <w:sz w:val="24"/>
        </w:rPr>
        <w:t> </w:t>
      </w:r>
      <w:r>
        <w:rPr>
          <w:sz w:val="24"/>
        </w:rPr>
        <w:t>schools, state supported vocational schools, employers in the form of on-the-job training, sheltered workshops, and other approved training facilities with valid contracts. </w:t>
      </w:r>
      <w:r>
        <w:rPr>
          <w:b/>
          <w:sz w:val="24"/>
        </w:rPr>
        <w:t>2</w:t>
      </w:r>
    </w:p>
    <w:p>
      <w:pPr>
        <w:pStyle w:val="ListParagraph"/>
        <w:numPr>
          <w:ilvl w:val="0"/>
          <w:numId w:val="177"/>
        </w:numPr>
        <w:tabs>
          <w:tab w:pos="785" w:val="left" w:leader="none"/>
        </w:tabs>
        <w:spacing w:line="208" w:lineRule="auto" w:before="240" w:after="0"/>
        <w:ind w:left="359" w:right="912" w:firstLine="0"/>
        <w:jc w:val="left"/>
        <w:rPr>
          <w:sz w:val="24"/>
        </w:rPr>
      </w:pPr>
      <w:r>
        <w:rPr>
          <w:sz w:val="24"/>
        </w:rPr>
        <w:t>Federal</w:t>
      </w:r>
      <w:r>
        <w:rPr>
          <w:spacing w:val="-4"/>
          <w:sz w:val="24"/>
        </w:rPr>
        <w:t> </w:t>
      </w:r>
      <w:r>
        <w:rPr>
          <w:sz w:val="24"/>
        </w:rPr>
        <w:t>regulations</w:t>
      </w:r>
      <w:r>
        <w:rPr>
          <w:spacing w:val="-4"/>
          <w:sz w:val="24"/>
        </w:rPr>
        <w:t> </w:t>
      </w:r>
      <w:r>
        <w:rPr>
          <w:sz w:val="24"/>
        </w:rPr>
        <w:t>require</w:t>
      </w:r>
      <w:r>
        <w:rPr>
          <w:spacing w:val="-4"/>
          <w:sz w:val="24"/>
        </w:rPr>
        <w:t> </w:t>
      </w:r>
      <w:r>
        <w:rPr>
          <w:sz w:val="24"/>
        </w:rPr>
        <w:t>a</w:t>
      </w:r>
      <w:r>
        <w:rPr>
          <w:spacing w:val="-4"/>
          <w:sz w:val="24"/>
        </w:rPr>
        <w:t> </w:t>
      </w:r>
      <w:r>
        <w:rPr>
          <w:sz w:val="24"/>
        </w:rPr>
        <w:t>search</w:t>
      </w:r>
      <w:r>
        <w:rPr>
          <w:spacing w:val="-4"/>
          <w:sz w:val="24"/>
        </w:rPr>
        <w:t> </w:t>
      </w:r>
      <w:r>
        <w:rPr>
          <w:sz w:val="24"/>
        </w:rPr>
        <w:t>for</w:t>
      </w:r>
      <w:r>
        <w:rPr>
          <w:spacing w:val="-4"/>
          <w:sz w:val="24"/>
        </w:rPr>
        <w:t> </w:t>
      </w:r>
      <w:r>
        <w:rPr>
          <w:sz w:val="24"/>
        </w:rPr>
        <w:t>comparable</w:t>
      </w:r>
      <w:r>
        <w:rPr>
          <w:spacing w:val="-4"/>
          <w:sz w:val="24"/>
        </w:rPr>
        <w:t> </w:t>
      </w:r>
      <w:r>
        <w:rPr>
          <w:sz w:val="24"/>
        </w:rPr>
        <w:t>services</w:t>
      </w:r>
      <w:r>
        <w:rPr>
          <w:spacing w:val="-4"/>
          <w:sz w:val="24"/>
        </w:rPr>
        <w:t> </w:t>
      </w:r>
      <w:r>
        <w:rPr>
          <w:sz w:val="24"/>
        </w:rPr>
        <w:t>and</w:t>
      </w:r>
      <w:r>
        <w:rPr>
          <w:spacing w:val="-4"/>
          <w:sz w:val="24"/>
        </w:rPr>
        <w:t> </w:t>
      </w:r>
      <w:r>
        <w:rPr>
          <w:sz w:val="24"/>
        </w:rPr>
        <w:t>benefits</w:t>
      </w:r>
      <w:r>
        <w:rPr>
          <w:spacing w:val="-4"/>
          <w:sz w:val="24"/>
        </w:rPr>
        <w:t> </w:t>
      </w:r>
      <w:r>
        <w:rPr>
          <w:sz w:val="24"/>
        </w:rPr>
        <w:t>with</w:t>
      </w:r>
      <w:r>
        <w:rPr>
          <w:spacing w:val="-4"/>
          <w:sz w:val="24"/>
        </w:rPr>
        <w:t> </w:t>
      </w:r>
      <w:r>
        <w:rPr>
          <w:sz w:val="24"/>
        </w:rPr>
        <w:t>the results documented before payment can be made for training in the following institutions: colleges, universities, community/junior colleges, public or private</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right="775"/>
      </w:pPr>
      <w:r>
        <w:rPr/>
        <w:t>vocational/technical schools, or hospital schools of nursing.</w:t>
      </w:r>
      <w:r>
        <w:rPr>
          <w:spacing w:val="40"/>
        </w:rPr>
        <w:t> </w:t>
      </w:r>
      <w:r>
        <w:rPr/>
        <w:t>PELL grants and other available</w:t>
      </w:r>
      <w:r>
        <w:rPr>
          <w:spacing w:val="-1"/>
        </w:rPr>
        <w:t> </w:t>
      </w:r>
      <w:r>
        <w:rPr/>
        <w:t>Federal/State</w:t>
      </w:r>
      <w:r>
        <w:rPr>
          <w:spacing w:val="-1"/>
        </w:rPr>
        <w:t> </w:t>
      </w:r>
      <w:r>
        <w:rPr/>
        <w:t>student aid</w:t>
      </w:r>
      <w:r>
        <w:rPr>
          <w:spacing w:val="-1"/>
        </w:rPr>
        <w:t> </w:t>
      </w:r>
      <w:r>
        <w:rPr/>
        <w:t>(excluding</w:t>
      </w:r>
      <w:r>
        <w:rPr>
          <w:spacing w:val="-1"/>
        </w:rPr>
        <w:t> </w:t>
      </w:r>
      <w:r>
        <w:rPr/>
        <w:t>merit awards) must</w:t>
      </w:r>
      <w:r>
        <w:rPr>
          <w:spacing w:val="-3"/>
        </w:rPr>
        <w:t> </w:t>
      </w:r>
      <w:r>
        <w:rPr/>
        <w:t>be</w:t>
      </w:r>
      <w:r>
        <w:rPr>
          <w:spacing w:val="-1"/>
        </w:rPr>
        <w:t> </w:t>
      </w:r>
      <w:r>
        <w:rPr/>
        <w:t>applied to</w:t>
      </w:r>
      <w:r>
        <w:rPr>
          <w:spacing w:val="-1"/>
        </w:rPr>
        <w:t> </w:t>
      </w:r>
      <w:r>
        <w:rPr/>
        <w:t>tuition, fees</w:t>
      </w:r>
      <w:r>
        <w:rPr>
          <w:spacing w:val="-4"/>
        </w:rPr>
        <w:t> </w:t>
      </w:r>
      <w:r>
        <w:rPr/>
        <w:t>and</w:t>
      </w:r>
      <w:r>
        <w:rPr>
          <w:spacing w:val="-4"/>
        </w:rPr>
        <w:t> </w:t>
      </w:r>
      <w:r>
        <w:rPr/>
        <w:t>all</w:t>
      </w:r>
      <w:r>
        <w:rPr>
          <w:spacing w:val="-3"/>
        </w:rPr>
        <w:t> </w:t>
      </w:r>
      <w:r>
        <w:rPr/>
        <w:t>other</w:t>
      </w:r>
      <w:r>
        <w:rPr>
          <w:spacing w:val="-3"/>
        </w:rPr>
        <w:t> </w:t>
      </w:r>
      <w:r>
        <w:rPr/>
        <w:t>educational</w:t>
      </w:r>
      <w:r>
        <w:rPr>
          <w:spacing w:val="-4"/>
        </w:rPr>
        <w:t> </w:t>
      </w:r>
      <w:r>
        <w:rPr/>
        <w:t>expenses</w:t>
      </w:r>
      <w:r>
        <w:rPr>
          <w:spacing w:val="-4"/>
        </w:rPr>
        <w:t> </w:t>
      </w:r>
      <w:r>
        <w:rPr/>
        <w:t>as</w:t>
      </w:r>
      <w:r>
        <w:rPr>
          <w:spacing w:val="-4"/>
        </w:rPr>
        <w:t> </w:t>
      </w:r>
      <w:r>
        <w:rPr/>
        <w:t>a</w:t>
      </w:r>
      <w:r>
        <w:rPr>
          <w:spacing w:val="-4"/>
        </w:rPr>
        <w:t> </w:t>
      </w:r>
      <w:r>
        <w:rPr/>
        <w:t>first</w:t>
      </w:r>
      <w:r>
        <w:rPr>
          <w:spacing w:val="-3"/>
        </w:rPr>
        <w:t> </w:t>
      </w:r>
      <w:r>
        <w:rPr/>
        <w:t>dollar</w:t>
      </w:r>
      <w:r>
        <w:rPr>
          <w:spacing w:val="-3"/>
        </w:rPr>
        <w:t> </w:t>
      </w:r>
      <w:r>
        <w:rPr/>
        <w:t>source</w:t>
      </w:r>
      <w:r>
        <w:rPr>
          <w:spacing w:val="-4"/>
        </w:rPr>
        <w:t> </w:t>
      </w:r>
      <w:r>
        <w:rPr/>
        <w:t>prior</w:t>
      </w:r>
      <w:r>
        <w:rPr>
          <w:spacing w:val="-4"/>
        </w:rPr>
        <w:t> </w:t>
      </w:r>
      <w:r>
        <w:rPr/>
        <w:t>to</w:t>
      </w:r>
      <w:r>
        <w:rPr>
          <w:spacing w:val="-4"/>
        </w:rPr>
        <w:t> </w:t>
      </w:r>
      <w:r>
        <w:rPr/>
        <w:t>consideration</w:t>
      </w:r>
      <w:r>
        <w:rPr>
          <w:spacing w:val="-4"/>
        </w:rPr>
        <w:t> </w:t>
      </w:r>
      <w:r>
        <w:rPr/>
        <w:t>of the expenditure of DRS funds.</w:t>
      </w:r>
    </w:p>
    <w:p>
      <w:pPr>
        <w:pStyle w:val="ListParagraph"/>
        <w:numPr>
          <w:ilvl w:val="0"/>
          <w:numId w:val="177"/>
        </w:numPr>
        <w:tabs>
          <w:tab w:pos="719" w:val="left" w:leader="none"/>
        </w:tabs>
        <w:spacing w:line="208" w:lineRule="auto" w:before="239" w:after="0"/>
        <w:ind w:left="360" w:right="795" w:firstLine="0"/>
        <w:jc w:val="left"/>
        <w:rPr>
          <w:sz w:val="24"/>
        </w:rPr>
      </w:pPr>
      <w:r>
        <w:rPr>
          <w:sz w:val="24"/>
        </w:rPr>
        <w:t>Training</w:t>
      </w:r>
      <w:r>
        <w:rPr>
          <w:spacing w:val="-3"/>
          <w:sz w:val="24"/>
        </w:rPr>
        <w:t> </w:t>
      </w:r>
      <w:r>
        <w:rPr>
          <w:sz w:val="24"/>
        </w:rPr>
        <w:t>costs</w:t>
      </w:r>
      <w:r>
        <w:rPr>
          <w:spacing w:val="-3"/>
          <w:sz w:val="24"/>
        </w:rPr>
        <w:t> </w:t>
      </w:r>
      <w:r>
        <w:rPr>
          <w:sz w:val="24"/>
        </w:rPr>
        <w:t>will</w:t>
      </w:r>
      <w:r>
        <w:rPr>
          <w:spacing w:val="-3"/>
          <w:sz w:val="24"/>
        </w:rPr>
        <w:t> </w:t>
      </w:r>
      <w:r>
        <w:rPr>
          <w:sz w:val="24"/>
        </w:rPr>
        <w:t>not</w:t>
      </w:r>
      <w:r>
        <w:rPr>
          <w:spacing w:val="-2"/>
          <w:sz w:val="24"/>
        </w:rPr>
        <w:t> </w:t>
      </w:r>
      <w:r>
        <w:rPr>
          <w:sz w:val="24"/>
        </w:rPr>
        <w:t>be</w:t>
      </w:r>
      <w:r>
        <w:rPr>
          <w:spacing w:val="-3"/>
          <w:sz w:val="24"/>
        </w:rPr>
        <w:t> </w:t>
      </w:r>
      <w:r>
        <w:rPr>
          <w:sz w:val="24"/>
        </w:rPr>
        <w:t>authorized</w:t>
      </w:r>
      <w:r>
        <w:rPr>
          <w:spacing w:val="-3"/>
          <w:sz w:val="24"/>
        </w:rPr>
        <w:t> </w:t>
      </w:r>
      <w:r>
        <w:rPr>
          <w:sz w:val="24"/>
        </w:rPr>
        <w:t>by</w:t>
      </w:r>
      <w:r>
        <w:rPr>
          <w:spacing w:val="-3"/>
          <w:sz w:val="24"/>
        </w:rPr>
        <w:t> </w:t>
      </w:r>
      <w:r>
        <w:rPr>
          <w:sz w:val="24"/>
        </w:rPr>
        <w:t>DVR</w:t>
      </w:r>
      <w:r>
        <w:rPr>
          <w:spacing w:val="-3"/>
          <w:sz w:val="24"/>
        </w:rPr>
        <w:t> </w:t>
      </w:r>
      <w:r>
        <w:rPr>
          <w:sz w:val="24"/>
        </w:rPr>
        <w:t>and</w:t>
      </w:r>
      <w:r>
        <w:rPr>
          <w:spacing w:val="-3"/>
          <w:sz w:val="24"/>
        </w:rPr>
        <w:t> </w:t>
      </w:r>
      <w:r>
        <w:rPr>
          <w:sz w:val="24"/>
        </w:rPr>
        <w:t>DSBVI</w:t>
      </w:r>
      <w:r>
        <w:rPr>
          <w:spacing w:val="-2"/>
          <w:sz w:val="24"/>
        </w:rPr>
        <w:t> </w:t>
      </w:r>
      <w:r>
        <w:rPr>
          <w:sz w:val="24"/>
        </w:rPr>
        <w:t>until</w:t>
      </w:r>
      <w:r>
        <w:rPr>
          <w:spacing w:val="-3"/>
          <w:sz w:val="24"/>
        </w:rPr>
        <w:t> </w:t>
      </w:r>
      <w:r>
        <w:rPr>
          <w:sz w:val="24"/>
        </w:rPr>
        <w:t>proof</w:t>
      </w:r>
      <w:r>
        <w:rPr>
          <w:spacing w:val="-2"/>
          <w:sz w:val="24"/>
        </w:rPr>
        <w:t> </w:t>
      </w:r>
      <w:r>
        <w:rPr>
          <w:sz w:val="24"/>
        </w:rPr>
        <w:t>of</w:t>
      </w:r>
      <w:r>
        <w:rPr>
          <w:spacing w:val="-4"/>
          <w:sz w:val="24"/>
        </w:rPr>
        <w:t> </w:t>
      </w:r>
      <w:r>
        <w:rPr>
          <w:sz w:val="24"/>
        </w:rPr>
        <w:t>the</w:t>
      </w:r>
      <w:r>
        <w:rPr>
          <w:spacing w:val="-3"/>
          <w:sz w:val="24"/>
        </w:rPr>
        <w:t> </w:t>
      </w:r>
      <w:r>
        <w:rPr>
          <w:sz w:val="24"/>
        </w:rPr>
        <w:t>availability of comparable benefits is received by the counselor.</w:t>
      </w:r>
    </w:p>
    <w:p>
      <w:pPr>
        <w:pStyle w:val="ListParagraph"/>
        <w:numPr>
          <w:ilvl w:val="0"/>
          <w:numId w:val="177"/>
        </w:numPr>
        <w:tabs>
          <w:tab w:pos="785" w:val="left" w:leader="none"/>
        </w:tabs>
        <w:spacing w:line="208" w:lineRule="auto" w:before="240" w:after="0"/>
        <w:ind w:left="360" w:right="777" w:firstLine="0"/>
        <w:jc w:val="left"/>
        <w:rPr>
          <w:sz w:val="24"/>
        </w:rPr>
      </w:pPr>
      <w:r>
        <w:rPr>
          <w:sz w:val="24"/>
        </w:rPr>
        <w:t>Once training has begun, the client is expected to progress toward the vocational objective at a steady rate.</w:t>
      </w:r>
      <w:r>
        <w:rPr>
          <w:spacing w:val="40"/>
          <w:sz w:val="24"/>
        </w:rPr>
        <w:t> </w:t>
      </w:r>
      <w:r>
        <w:rPr>
          <w:sz w:val="24"/>
        </w:rPr>
        <w:t>This requires the client to attend training on a regular basis, and maintain a full-time load unless an exception is granted by the counselor due to severity of disability, scheduling problems or other valid reasons. Training progress reports or other methods of reporting (i.e., grade reports, transcripts) are utilized to document</w:t>
      </w:r>
      <w:r>
        <w:rPr>
          <w:spacing w:val="-3"/>
          <w:sz w:val="24"/>
        </w:rPr>
        <w:t> </w:t>
      </w:r>
      <w:r>
        <w:rPr>
          <w:sz w:val="24"/>
        </w:rPr>
        <w:t>training</w:t>
      </w:r>
      <w:r>
        <w:rPr>
          <w:spacing w:val="-4"/>
          <w:sz w:val="24"/>
        </w:rPr>
        <w:t> </w:t>
      </w:r>
      <w:r>
        <w:rPr>
          <w:sz w:val="24"/>
        </w:rPr>
        <w:t>progress.</w:t>
      </w:r>
      <w:r>
        <w:rPr>
          <w:spacing w:val="40"/>
          <w:sz w:val="24"/>
        </w:rPr>
        <w:t> </w:t>
      </w:r>
      <w:r>
        <w:rPr>
          <w:sz w:val="24"/>
        </w:rPr>
        <w:t>Sporadic</w:t>
      </w:r>
      <w:r>
        <w:rPr>
          <w:spacing w:val="-4"/>
          <w:sz w:val="24"/>
        </w:rPr>
        <w:t> </w:t>
      </w:r>
      <w:r>
        <w:rPr>
          <w:sz w:val="24"/>
        </w:rPr>
        <w:t>attendance</w:t>
      </w:r>
      <w:r>
        <w:rPr>
          <w:spacing w:val="-4"/>
          <w:sz w:val="24"/>
        </w:rPr>
        <w:t> </w:t>
      </w:r>
      <w:r>
        <w:rPr>
          <w:sz w:val="24"/>
        </w:rPr>
        <w:t>and</w:t>
      </w:r>
      <w:r>
        <w:rPr>
          <w:spacing w:val="-3"/>
          <w:sz w:val="24"/>
        </w:rPr>
        <w:t> </w:t>
      </w:r>
      <w:r>
        <w:rPr>
          <w:sz w:val="24"/>
        </w:rPr>
        <w:t>reduced</w:t>
      </w:r>
      <w:r>
        <w:rPr>
          <w:spacing w:val="-4"/>
          <w:sz w:val="24"/>
        </w:rPr>
        <w:t> </w:t>
      </w:r>
      <w:r>
        <w:rPr>
          <w:sz w:val="24"/>
        </w:rPr>
        <w:t>training</w:t>
      </w:r>
      <w:r>
        <w:rPr>
          <w:spacing w:val="-4"/>
          <w:sz w:val="24"/>
        </w:rPr>
        <w:t> </w:t>
      </w:r>
      <w:r>
        <w:rPr>
          <w:sz w:val="24"/>
        </w:rPr>
        <w:t>loads</w:t>
      </w:r>
      <w:r>
        <w:rPr>
          <w:spacing w:val="-3"/>
          <w:sz w:val="24"/>
        </w:rPr>
        <w:t> </w:t>
      </w:r>
      <w:r>
        <w:rPr>
          <w:sz w:val="24"/>
        </w:rPr>
        <w:t>causing</w:t>
      </w:r>
      <w:r>
        <w:rPr>
          <w:spacing w:val="-4"/>
          <w:sz w:val="24"/>
        </w:rPr>
        <w:t> </w:t>
      </w:r>
      <w:r>
        <w:rPr>
          <w:sz w:val="24"/>
        </w:rPr>
        <w:t>a delay in the completion of training must be reviewed by the counselor. The client is responsible for advising the counselor of problems encountered during the training </w:t>
      </w:r>
      <w:r>
        <w:rPr>
          <w:spacing w:val="-2"/>
          <w:sz w:val="24"/>
        </w:rPr>
        <w:t>program.</w:t>
      </w:r>
    </w:p>
    <w:p>
      <w:pPr>
        <w:pStyle w:val="ListParagraph"/>
        <w:numPr>
          <w:ilvl w:val="0"/>
          <w:numId w:val="177"/>
        </w:numPr>
        <w:tabs>
          <w:tab w:pos="786" w:val="left" w:leader="none"/>
        </w:tabs>
        <w:spacing w:line="208" w:lineRule="auto" w:before="239" w:after="0"/>
        <w:ind w:left="360" w:right="914" w:firstLine="0"/>
        <w:jc w:val="left"/>
        <w:rPr>
          <w:sz w:val="24"/>
        </w:rPr>
      </w:pPr>
      <w:r>
        <w:rPr>
          <w:sz w:val="24"/>
        </w:rPr>
        <w:t>All</w:t>
      </w:r>
      <w:r>
        <w:rPr>
          <w:spacing w:val="-5"/>
          <w:sz w:val="24"/>
        </w:rPr>
        <w:t> </w:t>
      </w:r>
      <w:r>
        <w:rPr>
          <w:sz w:val="24"/>
        </w:rPr>
        <w:t>types</w:t>
      </w:r>
      <w:r>
        <w:rPr>
          <w:spacing w:val="-5"/>
          <w:sz w:val="24"/>
        </w:rPr>
        <w:t> </w:t>
      </w:r>
      <w:r>
        <w:rPr>
          <w:sz w:val="24"/>
        </w:rPr>
        <w:t>of</w:t>
      </w:r>
      <w:r>
        <w:rPr>
          <w:spacing w:val="-4"/>
          <w:sz w:val="24"/>
        </w:rPr>
        <w:t> </w:t>
      </w:r>
      <w:r>
        <w:rPr>
          <w:sz w:val="24"/>
        </w:rPr>
        <w:t>institutional,</w:t>
      </w:r>
      <w:r>
        <w:rPr>
          <w:spacing w:val="-4"/>
          <w:sz w:val="24"/>
        </w:rPr>
        <w:t> </w:t>
      </w:r>
      <w:r>
        <w:rPr>
          <w:sz w:val="24"/>
        </w:rPr>
        <w:t>technical,</w:t>
      </w:r>
      <w:r>
        <w:rPr>
          <w:spacing w:val="-4"/>
          <w:sz w:val="24"/>
        </w:rPr>
        <w:t> </w:t>
      </w:r>
      <w:r>
        <w:rPr>
          <w:sz w:val="24"/>
        </w:rPr>
        <w:t>personal</w:t>
      </w:r>
      <w:r>
        <w:rPr>
          <w:spacing w:val="-5"/>
          <w:sz w:val="24"/>
        </w:rPr>
        <w:t> </w:t>
      </w:r>
      <w:r>
        <w:rPr>
          <w:sz w:val="24"/>
        </w:rPr>
        <w:t>adjustment</w:t>
      </w:r>
      <w:r>
        <w:rPr>
          <w:spacing w:val="-4"/>
          <w:sz w:val="24"/>
        </w:rPr>
        <w:t> </w:t>
      </w:r>
      <w:r>
        <w:rPr>
          <w:sz w:val="24"/>
        </w:rPr>
        <w:t>or</w:t>
      </w:r>
      <w:r>
        <w:rPr>
          <w:spacing w:val="-4"/>
          <w:sz w:val="24"/>
        </w:rPr>
        <w:t> </w:t>
      </w:r>
      <w:r>
        <w:rPr>
          <w:sz w:val="24"/>
        </w:rPr>
        <w:t>employment</w:t>
      </w:r>
      <w:r>
        <w:rPr>
          <w:spacing w:val="-4"/>
          <w:sz w:val="24"/>
        </w:rPr>
        <w:t> </w:t>
      </w:r>
      <w:r>
        <w:rPr>
          <w:sz w:val="24"/>
        </w:rPr>
        <w:t>training</w:t>
      </w:r>
      <w:r>
        <w:rPr>
          <w:spacing w:val="-5"/>
          <w:sz w:val="24"/>
        </w:rPr>
        <w:t> </w:t>
      </w:r>
      <w:r>
        <w:rPr>
          <w:sz w:val="24"/>
        </w:rPr>
        <w:t>are purchased by an authorization issued by the counselor.</w:t>
      </w:r>
    </w:p>
    <w:p>
      <w:pPr>
        <w:pStyle w:val="BodyText"/>
        <w:spacing w:before="211"/>
      </w:pPr>
      <w:r>
        <w:rPr/>
        <w:t>Instructions</w:t>
      </w:r>
      <w:r>
        <w:rPr>
          <w:spacing w:val="-5"/>
        </w:rPr>
        <w:t> </w:t>
      </w:r>
      <w:r>
        <w:rPr/>
        <w:t>to</w:t>
      </w:r>
      <w:r>
        <w:rPr>
          <w:spacing w:val="-2"/>
        </w:rPr>
        <w:t> </w:t>
      </w:r>
      <w:r>
        <w:rPr>
          <w:spacing w:val="-4"/>
        </w:rPr>
        <w:t>Staff</w:t>
      </w:r>
    </w:p>
    <w:p>
      <w:pPr>
        <w:pStyle w:val="ListParagraph"/>
        <w:numPr>
          <w:ilvl w:val="0"/>
          <w:numId w:val="178"/>
        </w:numPr>
        <w:tabs>
          <w:tab w:pos="790" w:val="left" w:leader="none"/>
          <w:tab w:pos="792" w:val="left" w:leader="none"/>
        </w:tabs>
        <w:spacing w:line="208" w:lineRule="auto" w:before="233" w:after="0"/>
        <w:ind w:left="792" w:right="787" w:hanging="252"/>
        <w:jc w:val="left"/>
        <w:rPr>
          <w:sz w:val="24"/>
        </w:rPr>
      </w:pPr>
      <w:r>
        <w:rPr>
          <w:sz w:val="24"/>
        </w:rPr>
        <w:t>Training</w:t>
      </w:r>
      <w:r>
        <w:rPr>
          <w:spacing w:val="-4"/>
          <w:sz w:val="24"/>
        </w:rPr>
        <w:t> </w:t>
      </w:r>
      <w:r>
        <w:rPr>
          <w:sz w:val="24"/>
        </w:rPr>
        <w:t>provided</w:t>
      </w:r>
      <w:r>
        <w:rPr>
          <w:spacing w:val="-4"/>
          <w:sz w:val="24"/>
        </w:rPr>
        <w:t> </w:t>
      </w:r>
      <w:r>
        <w:rPr>
          <w:sz w:val="24"/>
        </w:rPr>
        <w:t>any</w:t>
      </w:r>
      <w:r>
        <w:rPr>
          <w:spacing w:val="-3"/>
          <w:sz w:val="24"/>
        </w:rPr>
        <w:t> </w:t>
      </w:r>
      <w:r>
        <w:rPr>
          <w:sz w:val="24"/>
        </w:rPr>
        <w:t>eligible</w:t>
      </w:r>
      <w:r>
        <w:rPr>
          <w:spacing w:val="-4"/>
          <w:sz w:val="24"/>
        </w:rPr>
        <w:t> </w:t>
      </w:r>
      <w:r>
        <w:rPr>
          <w:sz w:val="24"/>
        </w:rPr>
        <w:t>client</w:t>
      </w:r>
      <w:r>
        <w:rPr>
          <w:spacing w:val="-3"/>
          <w:sz w:val="24"/>
        </w:rPr>
        <w:t> </w:t>
      </w:r>
      <w:r>
        <w:rPr>
          <w:sz w:val="24"/>
        </w:rPr>
        <w:t>must</w:t>
      </w:r>
      <w:r>
        <w:rPr>
          <w:spacing w:val="-5"/>
          <w:sz w:val="24"/>
        </w:rPr>
        <w:t> </w:t>
      </w:r>
      <w:r>
        <w:rPr>
          <w:sz w:val="24"/>
        </w:rPr>
        <w:t>be</w:t>
      </w:r>
      <w:r>
        <w:rPr>
          <w:spacing w:val="-5"/>
          <w:sz w:val="24"/>
        </w:rPr>
        <w:t> </w:t>
      </w:r>
      <w:r>
        <w:rPr>
          <w:sz w:val="24"/>
        </w:rPr>
        <w:t>adequate</w:t>
      </w:r>
      <w:r>
        <w:rPr>
          <w:spacing w:val="-4"/>
          <w:sz w:val="24"/>
        </w:rPr>
        <w:t> </w:t>
      </w:r>
      <w:r>
        <w:rPr>
          <w:sz w:val="24"/>
        </w:rPr>
        <w:t>to</w:t>
      </w:r>
      <w:r>
        <w:rPr>
          <w:spacing w:val="-4"/>
          <w:sz w:val="24"/>
        </w:rPr>
        <w:t> </w:t>
      </w:r>
      <w:r>
        <w:rPr>
          <w:sz w:val="24"/>
        </w:rPr>
        <w:t>meet</w:t>
      </w:r>
      <w:r>
        <w:rPr>
          <w:spacing w:val="-3"/>
          <w:sz w:val="24"/>
        </w:rPr>
        <w:t> </w:t>
      </w:r>
      <w:r>
        <w:rPr>
          <w:sz w:val="24"/>
        </w:rPr>
        <w:t>individual</w:t>
      </w:r>
      <w:r>
        <w:rPr>
          <w:spacing w:val="-4"/>
          <w:sz w:val="24"/>
        </w:rPr>
        <w:t> </w:t>
      </w:r>
      <w:r>
        <w:rPr>
          <w:sz w:val="24"/>
        </w:rPr>
        <w:t>needs,</w:t>
      </w:r>
      <w:r>
        <w:rPr>
          <w:spacing w:val="-3"/>
          <w:sz w:val="24"/>
        </w:rPr>
        <w:t> </w:t>
      </w:r>
      <w:r>
        <w:rPr>
          <w:sz w:val="24"/>
        </w:rPr>
        <w:t>not only to acquire suitable employment, but for job retention. In developing a training program, the counselor and the client must give consideration to such items as:</w:t>
      </w:r>
    </w:p>
    <w:p>
      <w:pPr>
        <w:pStyle w:val="ListParagraph"/>
        <w:numPr>
          <w:ilvl w:val="1"/>
          <w:numId w:val="178"/>
        </w:numPr>
        <w:tabs>
          <w:tab w:pos="1677" w:val="left" w:leader="none"/>
        </w:tabs>
        <w:spacing w:line="240" w:lineRule="auto" w:before="211" w:after="0"/>
        <w:ind w:left="1677" w:right="0" w:hanging="453"/>
        <w:jc w:val="left"/>
        <w:rPr>
          <w:sz w:val="24"/>
        </w:rPr>
      </w:pPr>
      <w:r>
        <w:rPr>
          <w:sz w:val="24"/>
        </w:rPr>
        <w:t>limitations</w:t>
      </w:r>
      <w:r>
        <w:rPr>
          <w:spacing w:val="-4"/>
          <w:sz w:val="24"/>
        </w:rPr>
        <w:t> </w:t>
      </w:r>
      <w:r>
        <w:rPr>
          <w:sz w:val="24"/>
        </w:rPr>
        <w:t>imposed</w:t>
      </w:r>
      <w:r>
        <w:rPr>
          <w:spacing w:val="-4"/>
          <w:sz w:val="24"/>
        </w:rPr>
        <w:t> </w:t>
      </w:r>
      <w:r>
        <w:rPr>
          <w:sz w:val="24"/>
        </w:rPr>
        <w:t>by</w:t>
      </w:r>
      <w:r>
        <w:rPr>
          <w:spacing w:val="-3"/>
          <w:sz w:val="24"/>
        </w:rPr>
        <w:t> </w:t>
      </w:r>
      <w:r>
        <w:rPr>
          <w:sz w:val="24"/>
        </w:rPr>
        <w:t>the</w:t>
      </w:r>
      <w:r>
        <w:rPr>
          <w:spacing w:val="-4"/>
          <w:sz w:val="24"/>
        </w:rPr>
        <w:t> </w:t>
      </w:r>
      <w:r>
        <w:rPr>
          <w:sz w:val="24"/>
        </w:rPr>
        <w:t>client's</w:t>
      </w:r>
      <w:r>
        <w:rPr>
          <w:spacing w:val="-3"/>
          <w:sz w:val="24"/>
        </w:rPr>
        <w:t> </w:t>
      </w:r>
      <w:r>
        <w:rPr>
          <w:spacing w:val="-2"/>
          <w:sz w:val="24"/>
        </w:rPr>
        <w:t>disability;</w:t>
      </w:r>
    </w:p>
    <w:p>
      <w:pPr>
        <w:pStyle w:val="ListParagraph"/>
        <w:numPr>
          <w:ilvl w:val="1"/>
          <w:numId w:val="178"/>
        </w:numPr>
        <w:tabs>
          <w:tab w:pos="1677" w:val="left" w:leader="none"/>
        </w:tabs>
        <w:spacing w:line="240" w:lineRule="auto" w:before="204" w:after="0"/>
        <w:ind w:left="1677" w:right="0" w:hanging="453"/>
        <w:jc w:val="left"/>
        <w:rPr>
          <w:sz w:val="24"/>
        </w:rPr>
      </w:pPr>
      <w:r>
        <w:rPr>
          <w:sz w:val="24"/>
        </w:rPr>
        <w:t>past</w:t>
      </w:r>
      <w:r>
        <w:rPr>
          <w:spacing w:val="-3"/>
          <w:sz w:val="24"/>
        </w:rPr>
        <w:t> </w:t>
      </w:r>
      <w:r>
        <w:rPr>
          <w:sz w:val="24"/>
        </w:rPr>
        <w:t>work</w:t>
      </w:r>
      <w:r>
        <w:rPr>
          <w:spacing w:val="-2"/>
          <w:sz w:val="24"/>
        </w:rPr>
        <w:t> record;</w:t>
      </w:r>
    </w:p>
    <w:p>
      <w:pPr>
        <w:pStyle w:val="ListParagraph"/>
        <w:numPr>
          <w:ilvl w:val="1"/>
          <w:numId w:val="178"/>
        </w:numPr>
        <w:tabs>
          <w:tab w:pos="1690" w:val="left" w:leader="none"/>
        </w:tabs>
        <w:spacing w:line="240" w:lineRule="auto" w:before="204" w:after="0"/>
        <w:ind w:left="1690" w:right="0" w:hanging="466"/>
        <w:jc w:val="left"/>
        <w:rPr>
          <w:sz w:val="24"/>
        </w:rPr>
      </w:pPr>
      <w:r>
        <w:rPr>
          <w:sz w:val="24"/>
        </w:rPr>
        <w:t>academic</w:t>
      </w:r>
      <w:r>
        <w:rPr>
          <w:spacing w:val="-5"/>
          <w:sz w:val="24"/>
        </w:rPr>
        <w:t> </w:t>
      </w:r>
      <w:r>
        <w:rPr>
          <w:spacing w:val="-2"/>
          <w:sz w:val="24"/>
        </w:rPr>
        <w:t>achievement;</w:t>
      </w:r>
    </w:p>
    <w:p>
      <w:pPr>
        <w:pStyle w:val="ListParagraph"/>
        <w:numPr>
          <w:ilvl w:val="1"/>
          <w:numId w:val="178"/>
        </w:numPr>
        <w:tabs>
          <w:tab w:pos="1690" w:val="left" w:leader="none"/>
        </w:tabs>
        <w:spacing w:line="240" w:lineRule="auto" w:before="204" w:after="0"/>
        <w:ind w:left="1690" w:right="0" w:hanging="466"/>
        <w:jc w:val="left"/>
        <w:rPr>
          <w:sz w:val="24"/>
        </w:rPr>
      </w:pPr>
      <w:r>
        <w:rPr>
          <w:sz w:val="24"/>
        </w:rPr>
        <w:t>ambitions</w:t>
      </w:r>
      <w:r>
        <w:rPr>
          <w:spacing w:val="-4"/>
          <w:sz w:val="24"/>
        </w:rPr>
        <w:t> </w:t>
      </w:r>
      <w:r>
        <w:rPr>
          <w:sz w:val="24"/>
        </w:rPr>
        <w:t>and</w:t>
      </w:r>
      <w:r>
        <w:rPr>
          <w:spacing w:val="-3"/>
          <w:sz w:val="24"/>
        </w:rPr>
        <w:t> </w:t>
      </w:r>
      <w:r>
        <w:rPr>
          <w:sz w:val="24"/>
        </w:rPr>
        <w:t>expectations</w:t>
      </w:r>
      <w:r>
        <w:rPr>
          <w:spacing w:val="-3"/>
          <w:sz w:val="24"/>
        </w:rPr>
        <w:t> </w:t>
      </w:r>
      <w:r>
        <w:rPr>
          <w:sz w:val="24"/>
        </w:rPr>
        <w:t>of</w:t>
      </w:r>
      <w:r>
        <w:rPr>
          <w:spacing w:val="-2"/>
          <w:sz w:val="24"/>
        </w:rPr>
        <w:t> </w:t>
      </w:r>
      <w:r>
        <w:rPr>
          <w:sz w:val="24"/>
        </w:rPr>
        <w:t>the</w:t>
      </w:r>
      <w:r>
        <w:rPr>
          <w:spacing w:val="-3"/>
          <w:sz w:val="24"/>
        </w:rPr>
        <w:t> </w:t>
      </w:r>
      <w:r>
        <w:rPr>
          <w:sz w:val="24"/>
        </w:rPr>
        <w:t>client</w:t>
      </w:r>
      <w:r>
        <w:rPr>
          <w:spacing w:val="-2"/>
          <w:sz w:val="24"/>
        </w:rPr>
        <w:t> </w:t>
      </w:r>
      <w:r>
        <w:rPr>
          <w:sz w:val="24"/>
        </w:rPr>
        <w:t>and</w:t>
      </w:r>
      <w:r>
        <w:rPr>
          <w:spacing w:val="-3"/>
          <w:sz w:val="24"/>
        </w:rPr>
        <w:t> </w:t>
      </w:r>
      <w:r>
        <w:rPr>
          <w:sz w:val="24"/>
        </w:rPr>
        <w:t>the</w:t>
      </w:r>
      <w:r>
        <w:rPr>
          <w:spacing w:val="-3"/>
          <w:sz w:val="24"/>
        </w:rPr>
        <w:t> </w:t>
      </w:r>
      <w:r>
        <w:rPr>
          <w:spacing w:val="-2"/>
          <w:sz w:val="24"/>
        </w:rPr>
        <w:t>family;</w:t>
      </w:r>
    </w:p>
    <w:p>
      <w:pPr>
        <w:pStyle w:val="ListParagraph"/>
        <w:numPr>
          <w:ilvl w:val="1"/>
          <w:numId w:val="178"/>
        </w:numPr>
        <w:tabs>
          <w:tab w:pos="1677" w:val="left" w:leader="none"/>
        </w:tabs>
        <w:spacing w:line="240" w:lineRule="auto" w:before="204" w:after="0"/>
        <w:ind w:left="1677" w:right="0" w:hanging="453"/>
        <w:jc w:val="left"/>
        <w:rPr>
          <w:sz w:val="24"/>
        </w:rPr>
      </w:pPr>
      <w:r>
        <w:rPr>
          <w:sz w:val="24"/>
        </w:rPr>
        <w:t>aptitude</w:t>
      </w:r>
      <w:r>
        <w:rPr>
          <w:spacing w:val="-5"/>
          <w:sz w:val="24"/>
        </w:rPr>
        <w:t> </w:t>
      </w:r>
      <w:r>
        <w:rPr>
          <w:sz w:val="24"/>
        </w:rPr>
        <w:t>tests</w:t>
      </w:r>
      <w:r>
        <w:rPr>
          <w:spacing w:val="-3"/>
          <w:sz w:val="24"/>
        </w:rPr>
        <w:t> </w:t>
      </w:r>
      <w:r>
        <w:rPr>
          <w:sz w:val="24"/>
        </w:rPr>
        <w:t>given</w:t>
      </w:r>
      <w:r>
        <w:rPr>
          <w:spacing w:val="-3"/>
          <w:sz w:val="24"/>
        </w:rPr>
        <w:t> </w:t>
      </w:r>
      <w:r>
        <w:rPr>
          <w:sz w:val="24"/>
        </w:rPr>
        <w:t>by</w:t>
      </w:r>
      <w:r>
        <w:rPr>
          <w:spacing w:val="-3"/>
          <w:sz w:val="24"/>
        </w:rPr>
        <w:t> </w:t>
      </w:r>
      <w:r>
        <w:rPr>
          <w:sz w:val="24"/>
        </w:rPr>
        <w:t>the</w:t>
      </w:r>
      <w:r>
        <w:rPr>
          <w:spacing w:val="-3"/>
          <w:sz w:val="24"/>
        </w:rPr>
        <w:t> </w:t>
      </w:r>
      <w:r>
        <w:rPr>
          <w:sz w:val="24"/>
        </w:rPr>
        <w:t>counselor</w:t>
      </w:r>
      <w:r>
        <w:rPr>
          <w:spacing w:val="-2"/>
          <w:sz w:val="24"/>
        </w:rPr>
        <w:t> </w:t>
      </w:r>
      <w:r>
        <w:rPr>
          <w:sz w:val="24"/>
        </w:rPr>
        <w:t>or</w:t>
      </w:r>
      <w:r>
        <w:rPr>
          <w:spacing w:val="-2"/>
          <w:sz w:val="24"/>
        </w:rPr>
        <w:t> </w:t>
      </w:r>
      <w:r>
        <w:rPr>
          <w:sz w:val="24"/>
        </w:rPr>
        <w:t>from</w:t>
      </w:r>
      <w:r>
        <w:rPr>
          <w:spacing w:val="-3"/>
          <w:sz w:val="24"/>
        </w:rPr>
        <w:t> </w:t>
      </w:r>
      <w:r>
        <w:rPr>
          <w:sz w:val="24"/>
        </w:rPr>
        <w:t>other</w:t>
      </w:r>
      <w:r>
        <w:rPr>
          <w:spacing w:val="-3"/>
          <w:sz w:val="24"/>
        </w:rPr>
        <w:t> </w:t>
      </w:r>
      <w:r>
        <w:rPr>
          <w:sz w:val="24"/>
        </w:rPr>
        <w:t>sources,</w:t>
      </w:r>
      <w:r>
        <w:rPr>
          <w:spacing w:val="-2"/>
          <w:sz w:val="24"/>
        </w:rPr>
        <w:t> </w:t>
      </w:r>
      <w:r>
        <w:rPr>
          <w:spacing w:val="-5"/>
          <w:sz w:val="24"/>
        </w:rPr>
        <w:t>and</w:t>
      </w:r>
    </w:p>
    <w:p>
      <w:pPr>
        <w:pStyle w:val="ListParagraph"/>
        <w:numPr>
          <w:ilvl w:val="1"/>
          <w:numId w:val="178"/>
        </w:numPr>
        <w:tabs>
          <w:tab w:pos="1662" w:val="left" w:leader="none"/>
        </w:tabs>
        <w:spacing w:line="240" w:lineRule="auto" w:before="204" w:after="0"/>
        <w:ind w:left="1662" w:right="0" w:hanging="438"/>
        <w:jc w:val="left"/>
        <w:rPr>
          <w:sz w:val="24"/>
        </w:rPr>
      </w:pPr>
      <w:r>
        <w:rPr>
          <w:sz w:val="24"/>
        </w:rPr>
        <w:t>availability</w:t>
      </w:r>
      <w:r>
        <w:rPr>
          <w:spacing w:val="-4"/>
          <w:sz w:val="24"/>
        </w:rPr>
        <w:t> </w:t>
      </w:r>
      <w:r>
        <w:rPr>
          <w:sz w:val="24"/>
        </w:rPr>
        <w:t>of</w:t>
      </w:r>
      <w:r>
        <w:rPr>
          <w:spacing w:val="-3"/>
          <w:sz w:val="24"/>
        </w:rPr>
        <w:t> </w:t>
      </w:r>
      <w:r>
        <w:rPr>
          <w:sz w:val="24"/>
        </w:rPr>
        <w:t>employment</w:t>
      </w:r>
      <w:r>
        <w:rPr>
          <w:spacing w:val="-2"/>
          <w:sz w:val="24"/>
        </w:rPr>
        <w:t> </w:t>
      </w:r>
      <w:r>
        <w:rPr>
          <w:sz w:val="24"/>
        </w:rPr>
        <w:t>in</w:t>
      </w:r>
      <w:r>
        <w:rPr>
          <w:spacing w:val="-4"/>
          <w:sz w:val="24"/>
        </w:rPr>
        <w:t> </w:t>
      </w:r>
      <w:r>
        <w:rPr>
          <w:sz w:val="24"/>
        </w:rPr>
        <w:t>a</w:t>
      </w:r>
      <w:r>
        <w:rPr>
          <w:spacing w:val="-3"/>
          <w:sz w:val="24"/>
        </w:rPr>
        <w:t> </w:t>
      </w:r>
      <w:r>
        <w:rPr>
          <w:sz w:val="24"/>
        </w:rPr>
        <w:t>selected</w:t>
      </w:r>
      <w:r>
        <w:rPr>
          <w:spacing w:val="-4"/>
          <w:sz w:val="24"/>
        </w:rPr>
        <w:t> </w:t>
      </w:r>
      <w:r>
        <w:rPr>
          <w:sz w:val="24"/>
        </w:rPr>
        <w:t>training</w:t>
      </w:r>
      <w:r>
        <w:rPr>
          <w:spacing w:val="-3"/>
          <w:sz w:val="24"/>
        </w:rPr>
        <w:t> </w:t>
      </w:r>
      <w:r>
        <w:rPr>
          <w:spacing w:val="-2"/>
          <w:sz w:val="24"/>
        </w:rPr>
        <w:t>field.</w:t>
      </w:r>
    </w:p>
    <w:p>
      <w:pPr>
        <w:pStyle w:val="BodyText"/>
        <w:spacing w:line="208" w:lineRule="auto" w:before="233"/>
        <w:ind w:left="792" w:right="775"/>
      </w:pPr>
      <w:r>
        <w:rPr/>
        <w:t>A</w:t>
      </w:r>
      <w:r>
        <w:rPr>
          <w:spacing w:val="-3"/>
        </w:rPr>
        <w:t> </w:t>
      </w:r>
      <w:r>
        <w:rPr/>
        <w:t>training</w:t>
      </w:r>
      <w:r>
        <w:rPr>
          <w:spacing w:val="-3"/>
        </w:rPr>
        <w:t> </w:t>
      </w:r>
      <w:r>
        <w:rPr/>
        <w:t>program</w:t>
      </w:r>
      <w:r>
        <w:rPr>
          <w:spacing w:val="-2"/>
        </w:rPr>
        <w:t> </w:t>
      </w:r>
      <w:r>
        <w:rPr/>
        <w:t>should</w:t>
      </w:r>
      <w:r>
        <w:rPr>
          <w:spacing w:val="-3"/>
        </w:rPr>
        <w:t> </w:t>
      </w:r>
      <w:r>
        <w:rPr/>
        <w:t>be</w:t>
      </w:r>
      <w:r>
        <w:rPr>
          <w:spacing w:val="-3"/>
        </w:rPr>
        <w:t> </w:t>
      </w:r>
      <w:r>
        <w:rPr/>
        <w:t>broad</w:t>
      </w:r>
      <w:r>
        <w:rPr>
          <w:spacing w:val="-3"/>
        </w:rPr>
        <w:t> </w:t>
      </w:r>
      <w:r>
        <w:rPr/>
        <w:t>enough</w:t>
      </w:r>
      <w:r>
        <w:rPr>
          <w:spacing w:val="-3"/>
        </w:rPr>
        <w:t> </w:t>
      </w:r>
      <w:r>
        <w:rPr/>
        <w:t>to</w:t>
      </w:r>
      <w:r>
        <w:rPr>
          <w:spacing w:val="-3"/>
        </w:rPr>
        <w:t> </w:t>
      </w:r>
      <w:r>
        <w:rPr/>
        <w:t>provide</w:t>
      </w:r>
      <w:r>
        <w:rPr>
          <w:spacing w:val="-3"/>
        </w:rPr>
        <w:t> </w:t>
      </w:r>
      <w:r>
        <w:rPr/>
        <w:t>the</w:t>
      </w:r>
      <w:r>
        <w:rPr>
          <w:spacing w:val="-3"/>
        </w:rPr>
        <w:t> </w:t>
      </w:r>
      <w:r>
        <w:rPr/>
        <w:t>client</w:t>
      </w:r>
      <w:r>
        <w:rPr>
          <w:spacing w:val="-2"/>
        </w:rPr>
        <w:t> </w:t>
      </w:r>
      <w:r>
        <w:rPr/>
        <w:t>with</w:t>
      </w:r>
      <w:r>
        <w:rPr>
          <w:spacing w:val="-3"/>
        </w:rPr>
        <w:t> </w:t>
      </w:r>
      <w:r>
        <w:rPr/>
        <w:t>a</w:t>
      </w:r>
      <w:r>
        <w:rPr>
          <w:spacing w:val="-3"/>
        </w:rPr>
        <w:t> </w:t>
      </w:r>
      <w:r>
        <w:rPr/>
        <w:t>choice</w:t>
      </w:r>
      <w:r>
        <w:rPr>
          <w:spacing w:val="-3"/>
        </w:rPr>
        <w:t> </w:t>
      </w:r>
      <w:r>
        <w:rPr/>
        <w:t>of jobs if the specific objective cannot be reached and a base for advancement to greater responsibility if the training is completed.</w:t>
      </w:r>
    </w:p>
    <w:p>
      <w:pPr>
        <w:pStyle w:val="BodyText"/>
        <w:spacing w:line="208" w:lineRule="auto"/>
        <w:ind w:left="792" w:right="775"/>
      </w:pPr>
      <w:r>
        <w:rPr/>
        <w:t>The</w:t>
      </w:r>
      <w:r>
        <w:rPr>
          <w:spacing w:val="-4"/>
        </w:rPr>
        <w:t> </w:t>
      </w:r>
      <w:r>
        <w:rPr/>
        <w:t>case</w:t>
      </w:r>
      <w:r>
        <w:rPr>
          <w:spacing w:val="-4"/>
        </w:rPr>
        <w:t> </w:t>
      </w:r>
      <w:r>
        <w:rPr/>
        <w:t>record</w:t>
      </w:r>
      <w:r>
        <w:rPr>
          <w:spacing w:val="-4"/>
        </w:rPr>
        <w:t> </w:t>
      </w:r>
      <w:r>
        <w:rPr/>
        <w:t>must</w:t>
      </w:r>
      <w:r>
        <w:rPr>
          <w:spacing w:val="-5"/>
        </w:rPr>
        <w:t> </w:t>
      </w:r>
      <w:r>
        <w:rPr/>
        <w:t>contain</w:t>
      </w:r>
      <w:r>
        <w:rPr>
          <w:spacing w:val="-4"/>
        </w:rPr>
        <w:t> </w:t>
      </w:r>
      <w:r>
        <w:rPr/>
        <w:t>testing</w:t>
      </w:r>
      <w:r>
        <w:rPr>
          <w:spacing w:val="-4"/>
        </w:rPr>
        <w:t> </w:t>
      </w:r>
      <w:r>
        <w:rPr/>
        <w:t>and/or</w:t>
      </w:r>
      <w:r>
        <w:rPr>
          <w:spacing w:val="-3"/>
        </w:rPr>
        <w:t> </w:t>
      </w:r>
      <w:r>
        <w:rPr/>
        <w:t>supportive</w:t>
      </w:r>
      <w:r>
        <w:rPr>
          <w:spacing w:val="-4"/>
        </w:rPr>
        <w:t> </w:t>
      </w:r>
      <w:r>
        <w:rPr/>
        <w:t>data</w:t>
      </w:r>
      <w:r>
        <w:rPr>
          <w:spacing w:val="-4"/>
        </w:rPr>
        <w:t> </w:t>
      </w:r>
      <w:r>
        <w:rPr/>
        <w:t>to</w:t>
      </w:r>
      <w:r>
        <w:rPr>
          <w:spacing w:val="-4"/>
        </w:rPr>
        <w:t> </w:t>
      </w:r>
      <w:r>
        <w:rPr/>
        <w:t>substantiate</w:t>
      </w:r>
      <w:r>
        <w:rPr>
          <w:spacing w:val="-4"/>
        </w:rPr>
        <w:t> </w:t>
      </w:r>
      <w:r>
        <w:rPr/>
        <w:t>the reasonable expectation for successful completion of a training program.</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11-17-94</w:t>
      </w:r>
      <w:r>
        <w:rPr>
          <w:spacing w:val="80"/>
          <w:sz w:val="22"/>
        </w:rPr>
        <w:t> </w:t>
      </w:r>
      <w:r>
        <w:rPr>
          <w:sz w:val="22"/>
        </w:rPr>
        <w:t>PT Memo #94-5</w:t>
      </w:r>
    </w:p>
    <w:p>
      <w:pPr>
        <w:spacing w:after="0"/>
        <w:jc w:val="left"/>
        <w:rPr>
          <w:sz w:val="22"/>
        </w:rPr>
        <w:sectPr>
          <w:pgSz w:w="12240" w:h="15840"/>
          <w:pgMar w:top="1340" w:bottom="280" w:left="1080" w:right="720"/>
        </w:sectPr>
      </w:pPr>
    </w:p>
    <w:p>
      <w:pPr>
        <w:spacing w:before="80"/>
        <w:ind w:left="1440" w:right="775" w:firstLine="0"/>
        <w:jc w:val="left"/>
        <w:rPr>
          <w:sz w:val="22"/>
        </w:rPr>
      </w:pPr>
      <w:r>
        <w:rPr>
          <w:sz w:val="22"/>
        </w:rPr>
        <w:t>Emergency,</w:t>
      </w:r>
      <w:r>
        <w:rPr>
          <w:spacing w:val="-4"/>
          <w:sz w:val="22"/>
        </w:rPr>
        <w:t> </w:t>
      </w:r>
      <w:r>
        <w:rPr>
          <w:sz w:val="22"/>
        </w:rPr>
        <w:t>removed</w:t>
      </w:r>
      <w:r>
        <w:rPr>
          <w:spacing w:val="-4"/>
          <w:sz w:val="22"/>
        </w:rPr>
        <w:t> </w:t>
      </w:r>
      <w:r>
        <w:rPr>
          <w:sz w:val="22"/>
        </w:rPr>
        <w:t>word</w:t>
      </w:r>
      <w:r>
        <w:rPr>
          <w:spacing w:val="-4"/>
          <w:sz w:val="22"/>
        </w:rPr>
        <w:t> </w:t>
      </w:r>
      <w:r>
        <w:rPr>
          <w:sz w:val="22"/>
        </w:rPr>
        <w:t>"basic"</w:t>
      </w:r>
      <w:r>
        <w:rPr>
          <w:spacing w:val="-4"/>
          <w:sz w:val="22"/>
        </w:rPr>
        <w:t> </w:t>
      </w:r>
      <w:r>
        <w:rPr>
          <w:sz w:val="22"/>
        </w:rPr>
        <w:t>from</w:t>
      </w:r>
      <w:r>
        <w:rPr>
          <w:spacing w:val="-5"/>
          <w:sz w:val="22"/>
        </w:rPr>
        <w:t> </w:t>
      </w:r>
      <w:r>
        <w:rPr>
          <w:sz w:val="22"/>
        </w:rPr>
        <w:t>description</w:t>
      </w:r>
      <w:r>
        <w:rPr>
          <w:spacing w:val="-4"/>
          <w:sz w:val="22"/>
        </w:rPr>
        <w:t> </w:t>
      </w:r>
      <w:r>
        <w:rPr>
          <w:sz w:val="22"/>
        </w:rPr>
        <w:t>of</w:t>
      </w:r>
      <w:r>
        <w:rPr>
          <w:spacing w:val="-4"/>
          <w:sz w:val="22"/>
        </w:rPr>
        <w:t> </w:t>
      </w:r>
      <w:r>
        <w:rPr>
          <w:sz w:val="22"/>
        </w:rPr>
        <w:t>training</w:t>
      </w:r>
      <w:r>
        <w:rPr>
          <w:spacing w:val="-4"/>
          <w:sz w:val="22"/>
        </w:rPr>
        <w:t> </w:t>
      </w:r>
      <w:r>
        <w:rPr>
          <w:sz w:val="22"/>
        </w:rPr>
        <w:t>to</w:t>
      </w:r>
      <w:r>
        <w:rPr>
          <w:spacing w:val="-4"/>
          <w:sz w:val="22"/>
        </w:rPr>
        <w:t> </w:t>
      </w:r>
      <w:r>
        <w:rPr>
          <w:sz w:val="22"/>
        </w:rPr>
        <w:t>meet</w:t>
      </w:r>
      <w:r>
        <w:rPr>
          <w:spacing w:val="-4"/>
          <w:sz w:val="22"/>
        </w:rPr>
        <w:t> </w:t>
      </w:r>
      <w:r>
        <w:rPr>
          <w:sz w:val="22"/>
        </w:rPr>
        <w:t>the requirements of a particular vocational objective</w:t>
      </w:r>
    </w:p>
    <w:p>
      <w:pPr>
        <w:tabs>
          <w:tab w:pos="1439" w:val="left" w:leader="none"/>
        </w:tabs>
        <w:spacing w:line="252" w:lineRule="exact" w:before="0"/>
        <w:ind w:left="360" w:right="0" w:firstLine="0"/>
        <w:jc w:val="left"/>
        <w:rPr>
          <w:sz w:val="22"/>
        </w:rPr>
      </w:pPr>
      <w:r>
        <w:rPr>
          <w:spacing w:val="-2"/>
          <w:sz w:val="22"/>
        </w:rPr>
        <w:t>7-1-</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tabs>
          <w:tab w:pos="1439" w:val="left" w:leader="none"/>
        </w:tabs>
        <w:spacing w:before="0"/>
        <w:ind w:left="360" w:right="3336"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11-17-94 </w:t>
      </w:r>
      <w:r>
        <w:rPr>
          <w:spacing w:val="-2"/>
          <w:sz w:val="22"/>
        </w:rPr>
        <w:t>4-3-96</w:t>
      </w:r>
      <w:r>
        <w:rPr>
          <w:sz w:val="22"/>
        </w:rPr>
        <w:tab/>
        <w:t>PT Memo #96-2</w:t>
      </w:r>
    </w:p>
    <w:p>
      <w:pPr>
        <w:spacing w:before="0"/>
        <w:ind w:left="1439" w:right="739" w:firstLine="0"/>
        <w:jc w:val="left"/>
        <w:rPr>
          <w:sz w:val="22"/>
        </w:rPr>
      </w:pPr>
      <w:r>
        <w:rPr>
          <w:sz w:val="22"/>
        </w:rPr>
        <w:t>Emergency,</w:t>
      </w:r>
      <w:r>
        <w:rPr>
          <w:spacing w:val="-3"/>
          <w:sz w:val="22"/>
        </w:rPr>
        <w:t> </w:t>
      </w:r>
      <w:r>
        <w:rPr>
          <w:sz w:val="22"/>
        </w:rPr>
        <w:t>clarify</w:t>
      </w:r>
      <w:r>
        <w:rPr>
          <w:spacing w:val="-3"/>
          <w:sz w:val="22"/>
        </w:rPr>
        <w:t> </w:t>
      </w:r>
      <w:r>
        <w:rPr>
          <w:sz w:val="22"/>
        </w:rPr>
        <w:t>that</w:t>
      </w:r>
      <w:r>
        <w:rPr>
          <w:spacing w:val="-4"/>
          <w:sz w:val="22"/>
        </w:rPr>
        <w:t> </w:t>
      </w:r>
      <w:r>
        <w:rPr>
          <w:sz w:val="22"/>
        </w:rPr>
        <w:t>RVS</w:t>
      </w:r>
      <w:r>
        <w:rPr>
          <w:spacing w:val="-3"/>
          <w:sz w:val="22"/>
        </w:rPr>
        <w:t> </w:t>
      </w:r>
      <w:r>
        <w:rPr>
          <w:sz w:val="22"/>
        </w:rPr>
        <w:t>will</w:t>
      </w:r>
      <w:r>
        <w:rPr>
          <w:spacing w:val="-3"/>
          <w:sz w:val="22"/>
        </w:rPr>
        <w:t> </w:t>
      </w:r>
      <w:r>
        <w:rPr>
          <w:sz w:val="22"/>
        </w:rPr>
        <w:t>not</w:t>
      </w:r>
      <w:r>
        <w:rPr>
          <w:spacing w:val="-4"/>
          <w:sz w:val="22"/>
        </w:rPr>
        <w:t> </w:t>
      </w:r>
      <w:r>
        <w:rPr>
          <w:sz w:val="22"/>
        </w:rPr>
        <w:t>pay</w:t>
      </w:r>
      <w:r>
        <w:rPr>
          <w:spacing w:val="-3"/>
          <w:sz w:val="22"/>
        </w:rPr>
        <w:t> </w:t>
      </w:r>
      <w:r>
        <w:rPr>
          <w:sz w:val="22"/>
        </w:rPr>
        <w:t>beyond</w:t>
      </w:r>
      <w:r>
        <w:rPr>
          <w:spacing w:val="-4"/>
          <w:sz w:val="22"/>
        </w:rPr>
        <w:t> </w:t>
      </w:r>
      <w:r>
        <w:rPr>
          <w:sz w:val="22"/>
        </w:rPr>
        <w:t>first</w:t>
      </w:r>
      <w:r>
        <w:rPr>
          <w:spacing w:val="-3"/>
          <w:sz w:val="22"/>
        </w:rPr>
        <w:t> </w:t>
      </w:r>
      <w:r>
        <w:rPr>
          <w:sz w:val="22"/>
        </w:rPr>
        <w:t>RVS</w:t>
      </w:r>
      <w:r>
        <w:rPr>
          <w:spacing w:val="-3"/>
          <w:sz w:val="22"/>
        </w:rPr>
        <w:t> </w:t>
      </w:r>
      <w:r>
        <w:rPr>
          <w:sz w:val="22"/>
        </w:rPr>
        <w:t>sponsored</w:t>
      </w:r>
      <w:r>
        <w:rPr>
          <w:spacing w:val="-4"/>
          <w:sz w:val="22"/>
        </w:rPr>
        <w:t> </w:t>
      </w:r>
      <w:r>
        <w:rPr>
          <w:sz w:val="22"/>
        </w:rPr>
        <w:t>enrollment</w:t>
      </w:r>
      <w:r>
        <w:rPr>
          <w:spacing w:val="-3"/>
          <w:sz w:val="22"/>
        </w:rPr>
        <w:t> </w:t>
      </w:r>
      <w:r>
        <w:rPr>
          <w:sz w:val="22"/>
        </w:rPr>
        <w:t>until client provides proof of eligibility/ineligibility for comparable benefits</w:t>
      </w:r>
    </w:p>
    <w:p>
      <w:pPr>
        <w:pStyle w:val="ListParagraph"/>
        <w:numPr>
          <w:ilvl w:val="2"/>
          <w:numId w:val="179"/>
        </w:numPr>
        <w:tabs>
          <w:tab w:pos="1439" w:val="left" w:leader="none"/>
        </w:tabs>
        <w:spacing w:line="253" w:lineRule="exact" w:before="1" w:after="0"/>
        <w:ind w:left="1439" w:right="0" w:hanging="1079"/>
        <w:jc w:val="left"/>
        <w:rPr>
          <w:sz w:val="22"/>
        </w:rPr>
      </w:pPr>
      <w:r>
        <w:rPr>
          <w:sz w:val="22"/>
        </w:rPr>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60" w:right="3580"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4-3-96 </w:t>
      </w:r>
      <w:r>
        <w:rPr>
          <w:spacing w:val="-2"/>
          <w:sz w:val="22"/>
        </w:rPr>
        <w:t>7-1-99</w:t>
      </w:r>
      <w:r>
        <w:rPr>
          <w:sz w:val="22"/>
        </w:rPr>
        <w:tab/>
        <w:t>POL Memo #00-1</w:t>
      </w:r>
    </w:p>
    <w:p>
      <w:pPr>
        <w:tabs>
          <w:tab w:pos="1439" w:val="left" w:leader="none"/>
        </w:tabs>
        <w:spacing w:before="0"/>
        <w:ind w:left="360" w:right="5967" w:firstLine="1080"/>
        <w:jc w:val="left"/>
        <w:rPr>
          <w:sz w:val="22"/>
        </w:rPr>
      </w:pPr>
      <w:r>
        <w:rPr>
          <w:sz w:val="22"/>
        </w:rPr>
        <w:t>Permanent,</w:t>
      </w:r>
      <w:r>
        <w:rPr>
          <w:spacing w:val="-16"/>
          <w:sz w:val="22"/>
        </w:rPr>
        <w:t> </w:t>
      </w:r>
      <w:r>
        <w:rPr>
          <w:sz w:val="22"/>
        </w:rPr>
        <w:t>updated</w:t>
      </w:r>
      <w:r>
        <w:rPr>
          <w:spacing w:val="-15"/>
          <w:sz w:val="22"/>
        </w:rPr>
        <w:t> </w:t>
      </w:r>
      <w:r>
        <w:rPr>
          <w:sz w:val="22"/>
        </w:rPr>
        <w:t>DVR/DVS </w:t>
      </w:r>
      <w:r>
        <w:rPr>
          <w:spacing w:val="-2"/>
          <w:sz w:val="22"/>
        </w:rPr>
        <w:t>12-1-03</w:t>
      </w:r>
      <w:r>
        <w:rPr>
          <w:sz w:val="22"/>
        </w:rPr>
        <w:tab/>
        <w:t>POL Memo #04-02</w:t>
      </w:r>
    </w:p>
    <w:p>
      <w:pPr>
        <w:tabs>
          <w:tab w:pos="1439" w:val="left" w:leader="none"/>
        </w:tabs>
        <w:spacing w:before="0"/>
        <w:ind w:left="360" w:right="3959" w:firstLine="1080"/>
        <w:jc w:val="left"/>
        <w:rPr>
          <w:sz w:val="22"/>
        </w:rPr>
      </w:pPr>
      <w:r>
        <w:rPr>
          <w:sz w:val="22"/>
        </w:rPr>
        <w:t>Permanent,</w:t>
      </w:r>
      <w:r>
        <w:rPr>
          <w:spacing w:val="-5"/>
          <w:sz w:val="22"/>
        </w:rPr>
        <w:t> </w:t>
      </w:r>
      <w:r>
        <w:rPr>
          <w:sz w:val="22"/>
        </w:rPr>
        <w:t>added</w:t>
      </w:r>
      <w:r>
        <w:rPr>
          <w:spacing w:val="-6"/>
          <w:sz w:val="22"/>
        </w:rPr>
        <w:t> </w:t>
      </w:r>
      <w:r>
        <w:rPr>
          <w:sz w:val="22"/>
        </w:rPr>
        <w:t>footnote</w:t>
      </w:r>
      <w:r>
        <w:rPr>
          <w:spacing w:val="-6"/>
          <w:sz w:val="22"/>
        </w:rPr>
        <w:t> </w:t>
      </w:r>
      <w:r>
        <w:rPr>
          <w:sz w:val="22"/>
        </w:rPr>
        <w:t>2</w:t>
      </w:r>
      <w:r>
        <w:rPr>
          <w:spacing w:val="-6"/>
          <w:sz w:val="22"/>
        </w:rPr>
        <w:t> </w:t>
      </w:r>
      <w:r>
        <w:rPr>
          <w:sz w:val="22"/>
        </w:rPr>
        <w:t>to</w:t>
      </w:r>
      <w:r>
        <w:rPr>
          <w:spacing w:val="-6"/>
          <w:sz w:val="22"/>
        </w:rPr>
        <w:t> </w:t>
      </w:r>
      <w:r>
        <w:rPr>
          <w:sz w:val="22"/>
        </w:rPr>
        <w:t>Instructions</w:t>
      </w:r>
      <w:r>
        <w:rPr>
          <w:spacing w:val="-6"/>
          <w:sz w:val="22"/>
        </w:rPr>
        <w:t> </w:t>
      </w:r>
      <w:r>
        <w:rPr>
          <w:sz w:val="22"/>
        </w:rPr>
        <w:t>to</w:t>
      </w:r>
      <w:r>
        <w:rPr>
          <w:spacing w:val="-6"/>
          <w:sz w:val="22"/>
        </w:rPr>
        <w:t> </w:t>
      </w:r>
      <w:r>
        <w:rPr>
          <w:sz w:val="22"/>
        </w:rPr>
        <w:t>Staff </w:t>
      </w:r>
      <w:r>
        <w:rPr>
          <w:spacing w:val="-2"/>
          <w:sz w:val="22"/>
        </w:rPr>
        <w:t>7-1-04</w:t>
      </w:r>
      <w:r>
        <w:rPr>
          <w:sz w:val="22"/>
        </w:rPr>
        <w:tab/>
        <w:t>PT Memo #05-01</w:t>
      </w:r>
    </w:p>
    <w:p>
      <w:pPr>
        <w:tabs>
          <w:tab w:pos="1439" w:val="left" w:leader="none"/>
        </w:tabs>
        <w:spacing w:before="0"/>
        <w:ind w:left="360" w:right="2151" w:firstLine="1080"/>
        <w:jc w:val="left"/>
        <w:rPr>
          <w:sz w:val="22"/>
        </w:rPr>
      </w:pPr>
      <w:r>
        <w:rPr>
          <w:sz w:val="22"/>
        </w:rPr>
        <w:t>Permanent,</w:t>
      </w:r>
      <w:r>
        <w:rPr>
          <w:spacing w:val="-4"/>
          <w:sz w:val="22"/>
        </w:rPr>
        <w:t> </w:t>
      </w:r>
      <w:r>
        <w:rPr>
          <w:sz w:val="22"/>
        </w:rPr>
        <w:t>limiting</w:t>
      </w:r>
      <w:r>
        <w:rPr>
          <w:spacing w:val="-5"/>
          <w:sz w:val="22"/>
        </w:rPr>
        <w:t> </w:t>
      </w:r>
      <w:r>
        <w:rPr>
          <w:sz w:val="22"/>
        </w:rPr>
        <w:t>payment</w:t>
      </w:r>
      <w:r>
        <w:rPr>
          <w:spacing w:val="-5"/>
          <w:sz w:val="22"/>
        </w:rPr>
        <w:t> </w:t>
      </w:r>
      <w:r>
        <w:rPr>
          <w:sz w:val="22"/>
        </w:rPr>
        <w:t>for</w:t>
      </w:r>
      <w:r>
        <w:rPr>
          <w:spacing w:val="-5"/>
          <w:sz w:val="22"/>
        </w:rPr>
        <w:t> </w:t>
      </w:r>
      <w:r>
        <w:rPr>
          <w:sz w:val="22"/>
        </w:rPr>
        <w:t>courses</w:t>
      </w:r>
      <w:r>
        <w:rPr>
          <w:spacing w:val="-5"/>
          <w:sz w:val="22"/>
        </w:rPr>
        <w:t> </w:t>
      </w:r>
      <w:r>
        <w:rPr>
          <w:sz w:val="22"/>
        </w:rPr>
        <w:t>toward</w:t>
      </w:r>
      <w:r>
        <w:rPr>
          <w:spacing w:val="-6"/>
          <w:sz w:val="22"/>
        </w:rPr>
        <w:t> </w:t>
      </w:r>
      <w:r>
        <w:rPr>
          <w:sz w:val="22"/>
        </w:rPr>
        <w:t>requirements</w:t>
      </w:r>
      <w:r>
        <w:rPr>
          <w:spacing w:val="-5"/>
          <w:sz w:val="22"/>
        </w:rPr>
        <w:t> </w:t>
      </w:r>
      <w:r>
        <w:rPr>
          <w:sz w:val="22"/>
        </w:rPr>
        <w:t>and</w:t>
      </w:r>
      <w:r>
        <w:rPr>
          <w:spacing w:val="-5"/>
          <w:sz w:val="22"/>
        </w:rPr>
        <w:t> </w:t>
      </w:r>
      <w:r>
        <w:rPr>
          <w:sz w:val="22"/>
        </w:rPr>
        <w:t>IPE </w:t>
      </w:r>
      <w:r>
        <w:rPr>
          <w:spacing w:val="-2"/>
          <w:sz w:val="22"/>
        </w:rPr>
        <w:t>7-1-10</w:t>
      </w:r>
      <w:r>
        <w:rPr>
          <w:sz w:val="22"/>
        </w:rPr>
        <w:tab/>
        <w:t>PT Memo #10-02</w:t>
      </w:r>
    </w:p>
    <w:p>
      <w:pPr>
        <w:spacing w:before="0"/>
        <w:ind w:left="1439" w:right="0" w:firstLine="0"/>
        <w:jc w:val="left"/>
        <w:rPr>
          <w:sz w:val="22"/>
        </w:rPr>
      </w:pPr>
      <w:r>
        <w:rPr>
          <w:sz w:val="22"/>
        </w:rPr>
        <w:t>Permanent,</w:t>
      </w:r>
      <w:r>
        <w:rPr>
          <w:spacing w:val="-7"/>
          <w:sz w:val="22"/>
        </w:rPr>
        <w:t> </w:t>
      </w:r>
      <w:r>
        <w:rPr>
          <w:sz w:val="22"/>
        </w:rPr>
        <w:t>clarifying</w:t>
      </w:r>
      <w:r>
        <w:rPr>
          <w:spacing w:val="-8"/>
          <w:sz w:val="22"/>
        </w:rPr>
        <w:t> </w:t>
      </w:r>
      <w:r>
        <w:rPr>
          <w:sz w:val="22"/>
        </w:rPr>
        <w:t>language</w:t>
      </w:r>
      <w:r>
        <w:rPr>
          <w:spacing w:val="-8"/>
          <w:sz w:val="22"/>
        </w:rPr>
        <w:t> </w:t>
      </w:r>
      <w:r>
        <w:rPr>
          <w:sz w:val="22"/>
        </w:rPr>
        <w:t>regarding</w:t>
      </w:r>
      <w:r>
        <w:rPr>
          <w:spacing w:val="-8"/>
          <w:sz w:val="22"/>
        </w:rPr>
        <w:t> </w:t>
      </w:r>
      <w:r>
        <w:rPr>
          <w:sz w:val="22"/>
        </w:rPr>
        <w:t>PELL</w:t>
      </w:r>
      <w:r>
        <w:rPr>
          <w:spacing w:val="-7"/>
          <w:sz w:val="22"/>
        </w:rPr>
        <w:t> </w:t>
      </w:r>
      <w:r>
        <w:rPr>
          <w:sz w:val="22"/>
        </w:rPr>
        <w:t>and</w:t>
      </w:r>
      <w:r>
        <w:rPr>
          <w:spacing w:val="-8"/>
          <w:sz w:val="22"/>
        </w:rPr>
        <w:t> </w:t>
      </w:r>
      <w:r>
        <w:rPr>
          <w:sz w:val="22"/>
        </w:rPr>
        <w:t>other</w:t>
      </w:r>
      <w:r>
        <w:rPr>
          <w:spacing w:val="-8"/>
          <w:sz w:val="22"/>
        </w:rPr>
        <w:t> </w:t>
      </w:r>
      <w:r>
        <w:rPr>
          <w:sz w:val="22"/>
        </w:rPr>
        <w:t>student</w:t>
      </w:r>
      <w:r>
        <w:rPr>
          <w:spacing w:val="-7"/>
          <w:sz w:val="22"/>
        </w:rPr>
        <w:t> </w:t>
      </w:r>
      <w:r>
        <w:rPr>
          <w:sz w:val="22"/>
        </w:rPr>
        <w:t>aid</w:t>
      </w:r>
      <w:r>
        <w:rPr>
          <w:spacing w:val="-8"/>
          <w:sz w:val="22"/>
        </w:rPr>
        <w:t> </w:t>
      </w:r>
      <w:r>
        <w:rPr>
          <w:spacing w:val="-2"/>
          <w:sz w:val="22"/>
        </w:rPr>
        <w:t>programs.</w:t>
      </w:r>
    </w:p>
    <w:p>
      <w:pPr>
        <w:tabs>
          <w:tab w:pos="1439" w:val="left" w:leader="none"/>
        </w:tabs>
        <w:spacing w:line="253" w:lineRule="exact" w:before="0"/>
        <w:ind w:left="360" w:right="0" w:firstLine="0"/>
        <w:jc w:val="left"/>
        <w:rPr>
          <w:sz w:val="22"/>
        </w:rPr>
      </w:pPr>
      <w:r>
        <w:rPr>
          <w:spacing w:val="-2"/>
          <w:sz w:val="22"/>
        </w:rPr>
        <w:t>7-1-</w:t>
      </w:r>
      <w:r>
        <w:rPr>
          <w:spacing w:val="-5"/>
          <w:sz w:val="22"/>
        </w:rPr>
        <w:t>11</w:t>
      </w:r>
      <w:r>
        <w:rPr>
          <w:sz w:val="22"/>
        </w:rPr>
        <w:tab/>
        <w:t>PT</w:t>
      </w:r>
      <w:r>
        <w:rPr>
          <w:spacing w:val="-8"/>
          <w:sz w:val="22"/>
        </w:rPr>
        <w:t> </w:t>
      </w:r>
      <w:r>
        <w:rPr>
          <w:sz w:val="22"/>
        </w:rPr>
        <w:t>Memo</w:t>
      </w:r>
      <w:r>
        <w:rPr>
          <w:spacing w:val="-8"/>
          <w:sz w:val="22"/>
        </w:rPr>
        <w:t> </w:t>
      </w:r>
      <w:r>
        <w:rPr>
          <w:sz w:val="22"/>
        </w:rPr>
        <w:t>#12-</w:t>
      </w:r>
      <w:r>
        <w:rPr>
          <w:spacing w:val="-5"/>
          <w:sz w:val="22"/>
        </w:rPr>
        <w:t>01</w:t>
      </w:r>
    </w:p>
    <w:p>
      <w:pPr>
        <w:spacing w:line="253" w:lineRule="exact" w:before="0"/>
        <w:ind w:left="1439" w:right="0" w:firstLine="0"/>
        <w:jc w:val="left"/>
        <w:rPr>
          <w:sz w:val="22"/>
        </w:rPr>
      </w:pPr>
      <w:r>
        <w:rPr>
          <w:sz w:val="22"/>
        </w:rPr>
        <w:t>Permanent,</w:t>
      </w:r>
      <w:r>
        <w:rPr>
          <w:spacing w:val="-12"/>
          <w:sz w:val="22"/>
        </w:rPr>
        <w:t> </w:t>
      </w:r>
      <w:r>
        <w:rPr>
          <w:sz w:val="22"/>
        </w:rPr>
        <w:t>consolidating</w:t>
      </w:r>
      <w:r>
        <w:rPr>
          <w:spacing w:val="-12"/>
          <w:sz w:val="22"/>
        </w:rPr>
        <w:t> </w:t>
      </w:r>
      <w:r>
        <w:rPr>
          <w:sz w:val="22"/>
        </w:rPr>
        <w:t>training</w:t>
      </w:r>
      <w:r>
        <w:rPr>
          <w:spacing w:val="-12"/>
          <w:sz w:val="22"/>
        </w:rPr>
        <w:t> </w:t>
      </w:r>
      <w:r>
        <w:rPr>
          <w:spacing w:val="-2"/>
          <w:sz w:val="22"/>
        </w:rPr>
        <w:t>provisions</w:t>
      </w:r>
    </w:p>
    <w:p>
      <w:pPr>
        <w:tabs>
          <w:tab w:pos="1439" w:val="left" w:leader="none"/>
        </w:tabs>
        <w:spacing w:before="1"/>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tabs>
          <w:tab w:pos="1439" w:val="left" w:leader="none"/>
        </w:tabs>
        <w:spacing w:line="252" w:lineRule="exact" w:before="0"/>
        <w:ind w:left="360" w:right="0" w:firstLine="0"/>
        <w:jc w:val="left"/>
        <w:rPr>
          <w:sz w:val="22"/>
        </w:rPr>
      </w:pPr>
      <w:r>
        <w:rPr>
          <w:spacing w:val="-2"/>
          <w:sz w:val="22"/>
        </w:rPr>
        <w:t>8-26-</w:t>
      </w:r>
      <w:r>
        <w:rPr>
          <w:spacing w:val="-5"/>
          <w:sz w:val="22"/>
        </w:rPr>
        <w:t>21</w:t>
      </w:r>
      <w:r>
        <w:rPr>
          <w:sz w:val="22"/>
        </w:rPr>
        <w:tab/>
        <w:t>Revised</w:t>
      </w:r>
      <w:r>
        <w:rPr>
          <w:spacing w:val="-7"/>
          <w:sz w:val="22"/>
        </w:rPr>
        <w:t> </w:t>
      </w:r>
      <w:r>
        <w:rPr>
          <w:sz w:val="22"/>
        </w:rPr>
        <w:t>to</w:t>
      </w:r>
      <w:r>
        <w:rPr>
          <w:spacing w:val="-6"/>
          <w:sz w:val="22"/>
        </w:rPr>
        <w:t> </w:t>
      </w:r>
      <w:r>
        <w:rPr>
          <w:sz w:val="22"/>
        </w:rPr>
        <w:t>reflect</w:t>
      </w:r>
      <w:r>
        <w:rPr>
          <w:spacing w:val="-7"/>
          <w:sz w:val="22"/>
        </w:rPr>
        <w:t> </w:t>
      </w:r>
      <w:r>
        <w:rPr>
          <w:sz w:val="22"/>
        </w:rPr>
        <w:t>WIOA</w:t>
      </w:r>
      <w:r>
        <w:rPr>
          <w:spacing w:val="-6"/>
          <w:sz w:val="22"/>
        </w:rPr>
        <w:t> </w:t>
      </w:r>
      <w:r>
        <w:rPr>
          <w:spacing w:val="-2"/>
          <w:sz w:val="22"/>
        </w:rPr>
        <w:t>language.</w:t>
      </w:r>
    </w:p>
    <w:p>
      <w:pPr>
        <w:tabs>
          <w:tab w:pos="1439" w:val="left" w:leader="none"/>
        </w:tabs>
        <w:spacing w:before="1"/>
        <w:ind w:left="1439" w:right="1013" w:hanging="1080"/>
        <w:jc w:val="left"/>
        <w:rPr>
          <w:sz w:val="22"/>
        </w:rPr>
      </w:pPr>
      <w:r>
        <w:rPr>
          <w:spacing w:val="-2"/>
          <w:sz w:val="22"/>
        </w:rPr>
        <w:t>9-11-22</w:t>
      </w:r>
      <w:r>
        <w:rPr>
          <w:sz w:val="22"/>
        </w:rPr>
        <w:tab/>
        <w:t>Reverted</w:t>
      </w:r>
      <w:r>
        <w:rPr>
          <w:spacing w:val="-4"/>
          <w:sz w:val="22"/>
        </w:rPr>
        <w:t> </w:t>
      </w:r>
      <w:r>
        <w:rPr>
          <w:sz w:val="22"/>
        </w:rPr>
        <w:t>to</w:t>
      </w:r>
      <w:r>
        <w:rPr>
          <w:spacing w:val="-4"/>
          <w:sz w:val="22"/>
        </w:rPr>
        <w:t> </w:t>
      </w:r>
      <w:r>
        <w:rPr>
          <w:sz w:val="22"/>
        </w:rPr>
        <w:t>previous</w:t>
      </w:r>
      <w:r>
        <w:rPr>
          <w:spacing w:val="-4"/>
          <w:sz w:val="22"/>
        </w:rPr>
        <w:t> </w:t>
      </w:r>
      <w:r>
        <w:rPr>
          <w:sz w:val="22"/>
        </w:rPr>
        <w:t>version.</w:t>
      </w:r>
      <w:r>
        <w:rPr>
          <w:spacing w:val="-4"/>
          <w:sz w:val="22"/>
        </w:rPr>
        <w:t> </w:t>
      </w:r>
      <w:r>
        <w:rPr>
          <w:sz w:val="22"/>
        </w:rPr>
        <w:t>Removed</w:t>
      </w:r>
      <w:r>
        <w:rPr>
          <w:spacing w:val="-4"/>
          <w:sz w:val="22"/>
        </w:rPr>
        <w:t> </w:t>
      </w:r>
      <w:r>
        <w:rPr>
          <w:sz w:val="22"/>
        </w:rPr>
        <w:t>ITS</w:t>
      </w:r>
      <w:r>
        <w:rPr>
          <w:spacing w:val="-4"/>
          <w:sz w:val="22"/>
        </w:rPr>
        <w:t> </w:t>
      </w:r>
      <w:r>
        <w:rPr>
          <w:sz w:val="22"/>
        </w:rPr>
        <w:t>#2,</w:t>
      </w:r>
      <w:r>
        <w:rPr>
          <w:spacing w:val="-4"/>
          <w:sz w:val="22"/>
        </w:rPr>
        <w:t> </w:t>
      </w:r>
      <w:r>
        <w:rPr>
          <w:sz w:val="22"/>
        </w:rPr>
        <w:t>612-10-1-8</w:t>
      </w:r>
      <w:r>
        <w:rPr>
          <w:spacing w:val="-4"/>
          <w:sz w:val="22"/>
        </w:rPr>
        <w:t> </w:t>
      </w:r>
      <w:r>
        <w:rPr>
          <w:sz w:val="22"/>
        </w:rPr>
        <w:t>Vendor</w:t>
      </w:r>
      <w:r>
        <w:rPr>
          <w:spacing w:val="-4"/>
          <w:sz w:val="22"/>
        </w:rPr>
        <w:t> </w:t>
      </w:r>
      <w:r>
        <w:rPr>
          <w:sz w:val="22"/>
        </w:rPr>
        <w:t>contracts,</w:t>
      </w:r>
      <w:r>
        <w:rPr>
          <w:spacing w:val="-4"/>
          <w:sz w:val="22"/>
        </w:rPr>
        <w:t> </w:t>
      </w:r>
      <w:r>
        <w:rPr>
          <w:sz w:val="22"/>
        </w:rPr>
        <w:t>rule was revoked 8-26-21.</w:t>
      </w:r>
    </w:p>
    <w:p>
      <w:pPr>
        <w:pStyle w:val="ListParagraph"/>
        <w:numPr>
          <w:ilvl w:val="2"/>
          <w:numId w:val="180"/>
        </w:numPr>
        <w:tabs>
          <w:tab w:pos="1439" w:val="left" w:leader="none"/>
        </w:tabs>
        <w:spacing w:line="240" w:lineRule="auto" w:before="0" w:after="0"/>
        <w:ind w:left="1439" w:right="0" w:hanging="1079"/>
        <w:jc w:val="left"/>
        <w:rPr>
          <w:sz w:val="22"/>
        </w:rPr>
      </w:pPr>
      <w:r>
        <w:rPr>
          <w:sz w:val="22"/>
        </w:rPr>
        <w:t>Revision</w:t>
      </w:r>
      <w:r>
        <w:rPr>
          <w:spacing w:val="-9"/>
          <w:sz w:val="22"/>
        </w:rPr>
        <w:t> </w:t>
      </w:r>
      <w:r>
        <w:rPr>
          <w:sz w:val="22"/>
        </w:rPr>
        <w:t>under</w:t>
      </w:r>
      <w:r>
        <w:rPr>
          <w:spacing w:val="-9"/>
          <w:sz w:val="22"/>
        </w:rPr>
        <w:t> </w:t>
      </w:r>
      <w:r>
        <w:rPr>
          <w:sz w:val="22"/>
        </w:rPr>
        <w:t>section</w:t>
      </w:r>
      <w:r>
        <w:rPr>
          <w:spacing w:val="-8"/>
          <w:sz w:val="22"/>
        </w:rPr>
        <w:t> </w:t>
      </w:r>
      <w:r>
        <w:rPr>
          <w:sz w:val="22"/>
        </w:rPr>
        <w:t>(f)</w:t>
      </w:r>
      <w:r>
        <w:rPr>
          <w:spacing w:val="-9"/>
          <w:sz w:val="22"/>
        </w:rPr>
        <w:t> </w:t>
      </w:r>
      <w:r>
        <w:rPr>
          <w:sz w:val="22"/>
        </w:rPr>
        <w:t>removes</w:t>
      </w:r>
      <w:r>
        <w:rPr>
          <w:spacing w:val="-8"/>
          <w:sz w:val="22"/>
        </w:rPr>
        <w:t> </w:t>
      </w:r>
      <w:r>
        <w:rPr>
          <w:sz w:val="22"/>
        </w:rPr>
        <w:t>sponsored</w:t>
      </w:r>
      <w:r>
        <w:rPr>
          <w:spacing w:val="-9"/>
          <w:sz w:val="22"/>
        </w:rPr>
        <w:t> </w:t>
      </w:r>
      <w:r>
        <w:rPr>
          <w:sz w:val="22"/>
        </w:rPr>
        <w:t>enrollment</w:t>
      </w:r>
      <w:r>
        <w:rPr>
          <w:spacing w:val="-9"/>
          <w:sz w:val="22"/>
        </w:rPr>
        <w:t> </w:t>
      </w:r>
      <w:r>
        <w:rPr>
          <w:spacing w:val="-2"/>
          <w:sz w:val="22"/>
        </w:rPr>
        <w:t>language.</w:t>
      </w:r>
    </w:p>
    <w:p>
      <w:pPr>
        <w:pStyle w:val="ListParagraph"/>
        <w:spacing w:after="0" w:line="240" w:lineRule="auto"/>
        <w:jc w:val="left"/>
        <w:rPr>
          <w:sz w:val="22"/>
        </w:rPr>
        <w:sectPr>
          <w:pgSz w:w="12240" w:h="15840"/>
          <w:pgMar w:top="1360" w:bottom="280" w:left="1080" w:right="720"/>
        </w:sectPr>
      </w:pPr>
    </w:p>
    <w:p>
      <w:pPr>
        <w:pStyle w:val="Heading2"/>
      </w:pPr>
      <w:bookmarkStart w:name="612:10-7-149.  College and university tr" w:id="173"/>
      <w:bookmarkEnd w:id="173"/>
      <w:r>
        <w:rPr>
          <w:b w:val="0"/>
        </w:rPr>
      </w:r>
      <w:r>
        <w:rPr/>
        <w:t>612:10-7-149.</w:t>
      </w:r>
      <w:r>
        <w:rPr>
          <w:spacing w:val="58"/>
        </w:rPr>
        <w:t> </w:t>
      </w:r>
      <w:r>
        <w:rPr/>
        <w:t>College</w:t>
      </w:r>
      <w:r>
        <w:rPr>
          <w:spacing w:val="-4"/>
        </w:rPr>
        <w:t> </w:t>
      </w:r>
      <w:r>
        <w:rPr/>
        <w:t>and</w:t>
      </w:r>
      <w:r>
        <w:rPr>
          <w:spacing w:val="-4"/>
        </w:rPr>
        <w:t> </w:t>
      </w:r>
      <w:r>
        <w:rPr/>
        <w:t>university</w:t>
      </w:r>
      <w:r>
        <w:rPr>
          <w:spacing w:val="-4"/>
        </w:rPr>
        <w:t> </w:t>
      </w:r>
      <w:r>
        <w:rPr>
          <w:spacing w:val="-2"/>
        </w:rPr>
        <w:t>training</w:t>
      </w:r>
    </w:p>
    <w:p>
      <w:pPr>
        <w:pStyle w:val="ListParagraph"/>
        <w:numPr>
          <w:ilvl w:val="0"/>
          <w:numId w:val="181"/>
        </w:numPr>
        <w:tabs>
          <w:tab w:pos="785" w:val="left" w:leader="none"/>
        </w:tabs>
        <w:spacing w:line="208" w:lineRule="auto" w:before="233" w:after="0"/>
        <w:ind w:left="359" w:right="766" w:firstLine="0"/>
        <w:jc w:val="left"/>
        <w:rPr>
          <w:sz w:val="24"/>
        </w:rPr>
      </w:pPr>
      <w:r>
        <w:rPr>
          <w:sz w:val="24"/>
        </w:rPr>
        <w:t>Training</w:t>
      </w:r>
      <w:r>
        <w:rPr>
          <w:spacing w:val="-4"/>
          <w:sz w:val="24"/>
        </w:rPr>
        <w:t> </w:t>
      </w:r>
      <w:r>
        <w:rPr>
          <w:sz w:val="24"/>
        </w:rPr>
        <w:t>for</w:t>
      </w:r>
      <w:r>
        <w:rPr>
          <w:spacing w:val="-5"/>
          <w:sz w:val="24"/>
        </w:rPr>
        <w:t> </w:t>
      </w:r>
      <w:r>
        <w:rPr>
          <w:sz w:val="24"/>
        </w:rPr>
        <w:t>rehabilitation</w:t>
      </w:r>
      <w:r>
        <w:rPr>
          <w:spacing w:val="-4"/>
          <w:sz w:val="24"/>
        </w:rPr>
        <w:t> </w:t>
      </w:r>
      <w:r>
        <w:rPr>
          <w:sz w:val="24"/>
        </w:rPr>
        <w:t>clients</w:t>
      </w:r>
      <w:r>
        <w:rPr>
          <w:spacing w:val="-4"/>
          <w:sz w:val="24"/>
        </w:rPr>
        <w:t> </w:t>
      </w:r>
      <w:r>
        <w:rPr>
          <w:sz w:val="24"/>
        </w:rPr>
        <w:t>is</w:t>
      </w:r>
      <w:r>
        <w:rPr>
          <w:spacing w:val="-4"/>
          <w:sz w:val="24"/>
        </w:rPr>
        <w:t> </w:t>
      </w:r>
      <w:r>
        <w:rPr>
          <w:sz w:val="24"/>
        </w:rPr>
        <w:t>provided</w:t>
      </w:r>
      <w:r>
        <w:rPr>
          <w:spacing w:val="-4"/>
          <w:sz w:val="24"/>
        </w:rPr>
        <w:t> </w:t>
      </w:r>
      <w:r>
        <w:rPr>
          <w:sz w:val="24"/>
        </w:rPr>
        <w:t>in</w:t>
      </w:r>
      <w:r>
        <w:rPr>
          <w:spacing w:val="-4"/>
          <w:sz w:val="24"/>
        </w:rPr>
        <w:t> </w:t>
      </w:r>
      <w:r>
        <w:rPr>
          <w:sz w:val="24"/>
        </w:rPr>
        <w:t>those</w:t>
      </w:r>
      <w:r>
        <w:rPr>
          <w:spacing w:val="-4"/>
          <w:sz w:val="24"/>
        </w:rPr>
        <w:t> </w:t>
      </w:r>
      <w:r>
        <w:rPr>
          <w:sz w:val="24"/>
        </w:rPr>
        <w:t>colleges</w:t>
      </w:r>
      <w:r>
        <w:rPr>
          <w:spacing w:val="-4"/>
          <w:sz w:val="24"/>
        </w:rPr>
        <w:t> </w:t>
      </w:r>
      <w:r>
        <w:rPr>
          <w:sz w:val="24"/>
        </w:rPr>
        <w:t>and</w:t>
      </w:r>
      <w:r>
        <w:rPr>
          <w:spacing w:val="-4"/>
          <w:sz w:val="24"/>
        </w:rPr>
        <w:t> </w:t>
      </w:r>
      <w:r>
        <w:rPr>
          <w:sz w:val="24"/>
        </w:rPr>
        <w:t>universities</w:t>
      </w:r>
      <w:r>
        <w:rPr>
          <w:spacing w:val="-4"/>
          <w:sz w:val="24"/>
        </w:rPr>
        <w:t> </w:t>
      </w:r>
      <w:r>
        <w:rPr>
          <w:sz w:val="24"/>
        </w:rPr>
        <w:t>which are accredited by the appropriate accrediting agency, whose credits will be given full recognition by other accredited colleges and universities, and which are under contract. Private and denominational colleges and universities may be used for the training of DRS clients, provided they are accredited and under contract.</w:t>
      </w:r>
    </w:p>
    <w:p>
      <w:pPr>
        <w:pStyle w:val="ListParagraph"/>
        <w:numPr>
          <w:ilvl w:val="0"/>
          <w:numId w:val="181"/>
        </w:numPr>
        <w:tabs>
          <w:tab w:pos="785" w:val="left" w:leader="none"/>
        </w:tabs>
        <w:spacing w:line="208" w:lineRule="auto" w:before="239" w:after="0"/>
        <w:ind w:left="359" w:right="1200" w:firstLine="0"/>
        <w:jc w:val="left"/>
        <w:rPr>
          <w:sz w:val="24"/>
        </w:rPr>
      </w:pPr>
      <w:r>
        <w:rPr>
          <w:sz w:val="24"/>
        </w:rPr>
        <w:t>Clients approved for college or university training must exhibit the ability to do college</w:t>
      </w:r>
      <w:r>
        <w:rPr>
          <w:spacing w:val="-4"/>
          <w:sz w:val="24"/>
        </w:rPr>
        <w:t> </w:t>
      </w:r>
      <w:r>
        <w:rPr>
          <w:sz w:val="24"/>
        </w:rPr>
        <w:t>work.</w:t>
      </w:r>
      <w:r>
        <w:rPr>
          <w:spacing w:val="-3"/>
          <w:sz w:val="24"/>
        </w:rPr>
        <w:t> </w:t>
      </w:r>
      <w:r>
        <w:rPr>
          <w:sz w:val="24"/>
        </w:rPr>
        <w:t>The</w:t>
      </w:r>
      <w:r>
        <w:rPr>
          <w:spacing w:val="-4"/>
          <w:sz w:val="24"/>
        </w:rPr>
        <w:t> </w:t>
      </w:r>
      <w:r>
        <w:rPr>
          <w:sz w:val="24"/>
        </w:rPr>
        <w:t>counselor</w:t>
      </w:r>
      <w:r>
        <w:rPr>
          <w:spacing w:val="-3"/>
          <w:sz w:val="24"/>
        </w:rPr>
        <w:t> </w:t>
      </w:r>
      <w:r>
        <w:rPr>
          <w:sz w:val="24"/>
        </w:rPr>
        <w:t>will</w:t>
      </w:r>
      <w:r>
        <w:rPr>
          <w:spacing w:val="-3"/>
          <w:sz w:val="24"/>
        </w:rPr>
        <w:t> </w:t>
      </w:r>
      <w:r>
        <w:rPr>
          <w:sz w:val="24"/>
        </w:rPr>
        <w:t>have</w:t>
      </w:r>
      <w:r>
        <w:rPr>
          <w:spacing w:val="-4"/>
          <w:sz w:val="24"/>
        </w:rPr>
        <w:t> </w:t>
      </w:r>
      <w:r>
        <w:rPr>
          <w:sz w:val="24"/>
        </w:rPr>
        <w:t>evidence</w:t>
      </w:r>
      <w:r>
        <w:rPr>
          <w:spacing w:val="-4"/>
          <w:sz w:val="24"/>
        </w:rPr>
        <w:t> </w:t>
      </w:r>
      <w:r>
        <w:rPr>
          <w:sz w:val="24"/>
        </w:rPr>
        <w:t>in</w:t>
      </w:r>
      <w:r>
        <w:rPr>
          <w:spacing w:val="-4"/>
          <w:sz w:val="24"/>
        </w:rPr>
        <w:t> </w:t>
      </w:r>
      <w:r>
        <w:rPr>
          <w:sz w:val="24"/>
        </w:rPr>
        <w:t>the</w:t>
      </w:r>
      <w:r>
        <w:rPr>
          <w:spacing w:val="-4"/>
          <w:sz w:val="24"/>
        </w:rPr>
        <w:t> </w:t>
      </w:r>
      <w:r>
        <w:rPr>
          <w:sz w:val="24"/>
        </w:rPr>
        <w:t>case</w:t>
      </w:r>
      <w:r>
        <w:rPr>
          <w:spacing w:val="-4"/>
          <w:sz w:val="24"/>
        </w:rPr>
        <w:t> </w:t>
      </w:r>
      <w:r>
        <w:rPr>
          <w:sz w:val="24"/>
        </w:rPr>
        <w:t>file</w:t>
      </w:r>
      <w:r>
        <w:rPr>
          <w:spacing w:val="-4"/>
          <w:sz w:val="24"/>
        </w:rPr>
        <w:t> </w:t>
      </w:r>
      <w:r>
        <w:rPr>
          <w:sz w:val="24"/>
        </w:rPr>
        <w:t>indicating</w:t>
      </w:r>
      <w:r>
        <w:rPr>
          <w:spacing w:val="-4"/>
          <w:sz w:val="24"/>
        </w:rPr>
        <w:t> </w:t>
      </w:r>
      <w:r>
        <w:rPr>
          <w:sz w:val="24"/>
        </w:rPr>
        <w:t>the</w:t>
      </w:r>
      <w:r>
        <w:rPr>
          <w:spacing w:val="-4"/>
          <w:sz w:val="24"/>
        </w:rPr>
        <w:t> </w:t>
      </w:r>
      <w:r>
        <w:rPr>
          <w:sz w:val="24"/>
        </w:rPr>
        <w:t>client's ability to do college work before a program is developed calling for training at the college or university level.</w:t>
      </w:r>
    </w:p>
    <w:p>
      <w:pPr>
        <w:pStyle w:val="ListParagraph"/>
        <w:numPr>
          <w:ilvl w:val="0"/>
          <w:numId w:val="181"/>
        </w:numPr>
        <w:tabs>
          <w:tab w:pos="773" w:val="left" w:leader="none"/>
        </w:tabs>
        <w:spacing w:line="208" w:lineRule="auto" w:before="240" w:after="0"/>
        <w:ind w:left="360" w:right="755" w:firstLine="0"/>
        <w:jc w:val="left"/>
        <w:rPr>
          <w:sz w:val="24"/>
        </w:rPr>
      </w:pPr>
      <w:r>
        <w:rPr>
          <w:sz w:val="24"/>
        </w:rPr>
        <w:t>For</w:t>
      </w:r>
      <w:r>
        <w:rPr>
          <w:spacing w:val="-3"/>
          <w:sz w:val="24"/>
        </w:rPr>
        <w:t> </w:t>
      </w:r>
      <w:r>
        <w:rPr>
          <w:sz w:val="24"/>
        </w:rPr>
        <w:t>DVR</w:t>
      </w:r>
      <w:r>
        <w:rPr>
          <w:spacing w:val="-4"/>
          <w:sz w:val="24"/>
        </w:rPr>
        <w:t> </w:t>
      </w:r>
      <w:r>
        <w:rPr>
          <w:sz w:val="24"/>
        </w:rPr>
        <w:t>and</w:t>
      </w:r>
      <w:r>
        <w:rPr>
          <w:spacing w:val="-4"/>
          <w:sz w:val="24"/>
        </w:rPr>
        <w:t> </w:t>
      </w:r>
      <w:r>
        <w:rPr>
          <w:sz w:val="24"/>
        </w:rPr>
        <w:t>DSBVI</w:t>
      </w:r>
      <w:r>
        <w:rPr>
          <w:spacing w:val="-3"/>
          <w:sz w:val="24"/>
        </w:rPr>
        <w:t> </w:t>
      </w:r>
      <w:r>
        <w:rPr>
          <w:sz w:val="24"/>
        </w:rPr>
        <w:t>clients</w:t>
      </w:r>
      <w:r>
        <w:rPr>
          <w:spacing w:val="-4"/>
          <w:sz w:val="24"/>
        </w:rPr>
        <w:t> </w:t>
      </w:r>
      <w:r>
        <w:rPr>
          <w:sz w:val="24"/>
        </w:rPr>
        <w:t>pursuing</w:t>
      </w:r>
      <w:r>
        <w:rPr>
          <w:spacing w:val="-4"/>
          <w:sz w:val="24"/>
        </w:rPr>
        <w:t> </w:t>
      </w:r>
      <w:r>
        <w:rPr>
          <w:sz w:val="24"/>
        </w:rPr>
        <w:t>a</w:t>
      </w:r>
      <w:r>
        <w:rPr>
          <w:spacing w:val="-4"/>
          <w:sz w:val="24"/>
        </w:rPr>
        <w:t> </w:t>
      </w:r>
      <w:r>
        <w:rPr>
          <w:sz w:val="24"/>
        </w:rPr>
        <w:t>college</w:t>
      </w:r>
      <w:r>
        <w:rPr>
          <w:spacing w:val="-4"/>
          <w:sz w:val="24"/>
        </w:rPr>
        <w:t> </w:t>
      </w:r>
      <w:r>
        <w:rPr>
          <w:sz w:val="24"/>
        </w:rPr>
        <w:t>or</w:t>
      </w:r>
      <w:r>
        <w:rPr>
          <w:spacing w:val="-3"/>
          <w:sz w:val="24"/>
        </w:rPr>
        <w:t> </w:t>
      </w:r>
      <w:r>
        <w:rPr>
          <w:sz w:val="24"/>
        </w:rPr>
        <w:t>university</w:t>
      </w:r>
      <w:r>
        <w:rPr>
          <w:spacing w:val="-4"/>
          <w:sz w:val="24"/>
        </w:rPr>
        <w:t> </w:t>
      </w:r>
      <w:r>
        <w:rPr>
          <w:sz w:val="24"/>
        </w:rPr>
        <w:t>degree,</w:t>
      </w:r>
      <w:r>
        <w:rPr>
          <w:spacing w:val="-3"/>
          <w:sz w:val="24"/>
        </w:rPr>
        <w:t> </w:t>
      </w:r>
      <w:r>
        <w:rPr>
          <w:sz w:val="24"/>
        </w:rPr>
        <w:t>the</w:t>
      </w:r>
      <w:r>
        <w:rPr>
          <w:spacing w:val="-4"/>
          <w:sz w:val="24"/>
        </w:rPr>
        <w:t> </w:t>
      </w:r>
      <w:r>
        <w:rPr>
          <w:sz w:val="24"/>
        </w:rPr>
        <w:t>Department will sponsor only the number of semester hours or remaining hours required for a specific degree. Exceptions may be approved by the counselor.</w:t>
      </w:r>
    </w:p>
    <w:p>
      <w:pPr>
        <w:pStyle w:val="ListParagraph"/>
        <w:numPr>
          <w:ilvl w:val="0"/>
          <w:numId w:val="181"/>
        </w:numPr>
        <w:tabs>
          <w:tab w:pos="786" w:val="left" w:leader="none"/>
        </w:tabs>
        <w:spacing w:line="208" w:lineRule="auto" w:before="240" w:after="0"/>
        <w:ind w:left="360" w:right="805" w:firstLine="0"/>
        <w:jc w:val="left"/>
        <w:rPr>
          <w:sz w:val="24"/>
        </w:rPr>
      </w:pPr>
      <w:r>
        <w:rPr>
          <w:sz w:val="24"/>
        </w:rPr>
        <w:t>Previously completed credit hours which are applicable to the degree requirements will</w:t>
      </w:r>
      <w:r>
        <w:rPr>
          <w:spacing w:val="-3"/>
          <w:sz w:val="24"/>
        </w:rPr>
        <w:t> </w:t>
      </w:r>
      <w:r>
        <w:rPr>
          <w:sz w:val="24"/>
        </w:rPr>
        <w:t>be</w:t>
      </w:r>
      <w:r>
        <w:rPr>
          <w:spacing w:val="-3"/>
          <w:sz w:val="24"/>
        </w:rPr>
        <w:t> </w:t>
      </w:r>
      <w:r>
        <w:rPr>
          <w:sz w:val="24"/>
        </w:rPr>
        <w:t>incorporated</w:t>
      </w:r>
      <w:r>
        <w:rPr>
          <w:spacing w:val="-3"/>
          <w:sz w:val="24"/>
        </w:rPr>
        <w:t> </w:t>
      </w:r>
      <w:r>
        <w:rPr>
          <w:sz w:val="24"/>
        </w:rPr>
        <w:t>in</w:t>
      </w:r>
      <w:r>
        <w:rPr>
          <w:spacing w:val="-3"/>
          <w:sz w:val="24"/>
        </w:rPr>
        <w:t> </w:t>
      </w:r>
      <w:r>
        <w:rPr>
          <w:sz w:val="24"/>
        </w:rPr>
        <w:t>the</w:t>
      </w:r>
      <w:r>
        <w:rPr>
          <w:spacing w:val="-3"/>
          <w:sz w:val="24"/>
        </w:rPr>
        <w:t> </w:t>
      </w:r>
      <w:r>
        <w:rPr>
          <w:sz w:val="24"/>
        </w:rPr>
        <w:t>development</w:t>
      </w:r>
      <w:r>
        <w:rPr>
          <w:spacing w:val="-2"/>
          <w:sz w:val="24"/>
        </w:rPr>
        <w:t> </w:t>
      </w:r>
      <w:r>
        <w:rPr>
          <w:sz w:val="24"/>
        </w:rPr>
        <w:t>of</w:t>
      </w:r>
      <w:r>
        <w:rPr>
          <w:spacing w:val="-4"/>
          <w:sz w:val="24"/>
        </w:rPr>
        <w:t> </w:t>
      </w:r>
      <w:r>
        <w:rPr>
          <w:sz w:val="24"/>
        </w:rPr>
        <w:t>the</w:t>
      </w:r>
      <w:r>
        <w:rPr>
          <w:spacing w:val="-3"/>
          <w:sz w:val="24"/>
        </w:rPr>
        <w:t> </w:t>
      </w:r>
      <w:r>
        <w:rPr>
          <w:sz w:val="24"/>
        </w:rPr>
        <w:t>IPE.</w:t>
      </w:r>
      <w:r>
        <w:rPr>
          <w:spacing w:val="-2"/>
          <w:sz w:val="24"/>
        </w:rPr>
        <w:t> </w:t>
      </w:r>
      <w:r>
        <w:rPr>
          <w:sz w:val="24"/>
        </w:rPr>
        <w:t>When</w:t>
      </w:r>
      <w:r>
        <w:rPr>
          <w:spacing w:val="-3"/>
          <w:sz w:val="24"/>
        </w:rPr>
        <w:t> </w:t>
      </w:r>
      <w:r>
        <w:rPr>
          <w:sz w:val="24"/>
        </w:rPr>
        <w:t>a</w:t>
      </w:r>
      <w:r>
        <w:rPr>
          <w:spacing w:val="-3"/>
          <w:sz w:val="24"/>
        </w:rPr>
        <w:t> </w:t>
      </w:r>
      <w:r>
        <w:rPr>
          <w:sz w:val="24"/>
        </w:rPr>
        <w:t>client</w:t>
      </w:r>
      <w:r>
        <w:rPr>
          <w:spacing w:val="-2"/>
          <w:sz w:val="24"/>
        </w:rPr>
        <w:t> </w:t>
      </w:r>
      <w:r>
        <w:rPr>
          <w:sz w:val="24"/>
        </w:rPr>
        <w:t>changes</w:t>
      </w:r>
      <w:r>
        <w:rPr>
          <w:spacing w:val="-3"/>
          <w:sz w:val="24"/>
        </w:rPr>
        <w:t> </w:t>
      </w:r>
      <w:r>
        <w:rPr>
          <w:sz w:val="24"/>
        </w:rPr>
        <w:t>majors,</w:t>
      </w:r>
      <w:r>
        <w:rPr>
          <w:spacing w:val="-2"/>
          <w:sz w:val="24"/>
        </w:rPr>
        <w:t> </w:t>
      </w:r>
      <w:r>
        <w:rPr>
          <w:sz w:val="24"/>
        </w:rPr>
        <w:t>DVR and DSBVI funding will be limited to the number of credit hours needed for the new major minus</w:t>
      </w:r>
      <w:r>
        <w:rPr>
          <w:spacing w:val="-1"/>
          <w:sz w:val="24"/>
        </w:rPr>
        <w:t> </w:t>
      </w:r>
      <w:r>
        <w:rPr>
          <w:sz w:val="24"/>
        </w:rPr>
        <w:t>the</w:t>
      </w:r>
      <w:r>
        <w:rPr>
          <w:spacing w:val="-1"/>
          <w:sz w:val="24"/>
        </w:rPr>
        <w:t> </w:t>
      </w:r>
      <w:r>
        <w:rPr>
          <w:sz w:val="24"/>
        </w:rPr>
        <w:t>number of DVR</w:t>
      </w:r>
      <w:r>
        <w:rPr>
          <w:spacing w:val="-1"/>
          <w:sz w:val="24"/>
        </w:rPr>
        <w:t> </w:t>
      </w:r>
      <w:r>
        <w:rPr>
          <w:sz w:val="24"/>
        </w:rPr>
        <w:t>and</w:t>
      </w:r>
      <w:r>
        <w:rPr>
          <w:spacing w:val="-1"/>
          <w:sz w:val="24"/>
        </w:rPr>
        <w:t> </w:t>
      </w:r>
      <w:r>
        <w:rPr>
          <w:sz w:val="24"/>
        </w:rPr>
        <w:t>DSBVI funded</w:t>
      </w:r>
      <w:r>
        <w:rPr>
          <w:spacing w:val="-1"/>
          <w:sz w:val="24"/>
        </w:rPr>
        <w:t> </w:t>
      </w:r>
      <w:r>
        <w:rPr>
          <w:sz w:val="24"/>
        </w:rPr>
        <w:t>credit hours</w:t>
      </w:r>
      <w:r>
        <w:rPr>
          <w:spacing w:val="-1"/>
          <w:sz w:val="24"/>
        </w:rPr>
        <w:t> </w:t>
      </w:r>
      <w:r>
        <w:rPr>
          <w:sz w:val="24"/>
        </w:rPr>
        <w:t>lost due</w:t>
      </w:r>
      <w:r>
        <w:rPr>
          <w:spacing w:val="-1"/>
          <w:sz w:val="24"/>
        </w:rPr>
        <w:t> </w:t>
      </w:r>
      <w:r>
        <w:rPr>
          <w:sz w:val="24"/>
        </w:rPr>
        <w:t>to</w:t>
      </w:r>
      <w:r>
        <w:rPr>
          <w:spacing w:val="-2"/>
          <w:sz w:val="24"/>
        </w:rPr>
        <w:t> </w:t>
      </w:r>
      <w:r>
        <w:rPr>
          <w:sz w:val="24"/>
        </w:rPr>
        <w:t>the</w:t>
      </w:r>
      <w:r>
        <w:rPr>
          <w:spacing w:val="-1"/>
          <w:sz w:val="24"/>
        </w:rPr>
        <w:t> </w:t>
      </w:r>
      <w:r>
        <w:rPr>
          <w:sz w:val="24"/>
        </w:rPr>
        <w:t>change in majors, unless the change in majors results from circumstances beyond the client's </w:t>
      </w:r>
      <w:r>
        <w:rPr>
          <w:spacing w:val="-2"/>
          <w:sz w:val="24"/>
        </w:rPr>
        <w:t>control.</w:t>
      </w:r>
    </w:p>
    <w:p>
      <w:pPr>
        <w:pStyle w:val="BodyText"/>
        <w:spacing w:before="210"/>
      </w:pPr>
      <w:r>
        <w:rPr/>
        <w:t>Instructions</w:t>
      </w:r>
      <w:r>
        <w:rPr>
          <w:spacing w:val="-5"/>
        </w:rPr>
        <w:t> </w:t>
      </w:r>
      <w:r>
        <w:rPr/>
        <w:t>to</w:t>
      </w:r>
      <w:r>
        <w:rPr>
          <w:spacing w:val="-2"/>
        </w:rPr>
        <w:t> </w:t>
      </w:r>
      <w:r>
        <w:rPr>
          <w:spacing w:val="-4"/>
        </w:rPr>
        <w:t>Staff</w:t>
      </w:r>
    </w:p>
    <w:p>
      <w:pPr>
        <w:pStyle w:val="BodyText"/>
        <w:spacing w:line="208" w:lineRule="auto" w:before="233"/>
        <w:ind w:left="791" w:right="775"/>
      </w:pPr>
      <w:r>
        <w:rPr/>
        <w:t>See</w:t>
      </w:r>
      <w:r>
        <w:rPr>
          <w:spacing w:val="-4"/>
        </w:rPr>
        <w:t> </w:t>
      </w:r>
      <w:hyperlink w:history="true" w:anchor="_bookmark6">
        <w:r>
          <w:rPr>
            <w:color w:val="0000FF"/>
            <w:u w:val="single" w:color="0000FF"/>
          </w:rPr>
          <w:t>612:10-3-3</w:t>
        </w:r>
      </w:hyperlink>
      <w:r>
        <w:rPr>
          <w:color w:val="0000FF"/>
          <w:spacing w:val="-4"/>
          <w:u w:val="none"/>
        </w:rPr>
        <w:t> </w:t>
      </w:r>
      <w:r>
        <w:rPr>
          <w:u w:val="none"/>
        </w:rPr>
        <w:t>Participation</w:t>
      </w:r>
      <w:r>
        <w:rPr>
          <w:spacing w:val="-4"/>
          <w:u w:val="none"/>
        </w:rPr>
        <w:t> </w:t>
      </w:r>
      <w:r>
        <w:rPr>
          <w:u w:val="none"/>
        </w:rPr>
        <w:t>of</w:t>
      </w:r>
      <w:r>
        <w:rPr>
          <w:spacing w:val="-3"/>
          <w:u w:val="none"/>
        </w:rPr>
        <w:t> </w:t>
      </w:r>
      <w:r>
        <w:rPr>
          <w:u w:val="none"/>
        </w:rPr>
        <w:t>individuals</w:t>
      </w:r>
      <w:r>
        <w:rPr>
          <w:spacing w:val="-4"/>
          <w:u w:val="none"/>
        </w:rPr>
        <w:t> </w:t>
      </w:r>
      <w:r>
        <w:rPr>
          <w:u w:val="none"/>
        </w:rPr>
        <w:t>in</w:t>
      </w:r>
      <w:r>
        <w:rPr>
          <w:spacing w:val="-3"/>
          <w:u w:val="none"/>
        </w:rPr>
        <w:t> </w:t>
      </w:r>
      <w:r>
        <w:rPr>
          <w:u w:val="none"/>
        </w:rPr>
        <w:t>cost</w:t>
      </w:r>
      <w:r>
        <w:rPr>
          <w:spacing w:val="-3"/>
          <w:u w:val="none"/>
        </w:rPr>
        <w:t> </w:t>
      </w:r>
      <w:r>
        <w:rPr>
          <w:u w:val="none"/>
        </w:rPr>
        <w:t>of</w:t>
      </w:r>
      <w:r>
        <w:rPr>
          <w:spacing w:val="-5"/>
          <w:u w:val="none"/>
        </w:rPr>
        <w:t> </w:t>
      </w:r>
      <w:r>
        <w:rPr>
          <w:u w:val="none"/>
        </w:rPr>
        <w:t>services</w:t>
      </w:r>
      <w:r>
        <w:rPr>
          <w:spacing w:val="-4"/>
          <w:u w:val="none"/>
        </w:rPr>
        <w:t> </w:t>
      </w:r>
      <w:r>
        <w:rPr>
          <w:u w:val="none"/>
        </w:rPr>
        <w:t>based</w:t>
      </w:r>
      <w:r>
        <w:rPr>
          <w:spacing w:val="-4"/>
          <w:u w:val="none"/>
        </w:rPr>
        <w:t> </w:t>
      </w:r>
      <w:r>
        <w:rPr>
          <w:u w:val="none"/>
        </w:rPr>
        <w:t>on</w:t>
      </w:r>
      <w:r>
        <w:rPr>
          <w:spacing w:val="-4"/>
          <w:u w:val="none"/>
        </w:rPr>
        <w:t> </w:t>
      </w:r>
      <w:r>
        <w:rPr>
          <w:u w:val="none"/>
        </w:rPr>
        <w:t>financial </w:t>
      </w:r>
      <w:r>
        <w:rPr>
          <w:spacing w:val="-2"/>
          <w:u w:val="none"/>
        </w:rPr>
        <w:t>needs</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12-01-03</w:t>
      </w:r>
      <w:r>
        <w:rPr>
          <w:spacing w:val="80"/>
          <w:sz w:val="22"/>
        </w:rPr>
        <w:t> </w:t>
      </w:r>
      <w:r>
        <w:rPr>
          <w:sz w:val="22"/>
        </w:rPr>
        <w:t>POL Memo #04-02</w:t>
      </w:r>
    </w:p>
    <w:p>
      <w:pPr>
        <w:tabs>
          <w:tab w:pos="1439" w:val="left" w:leader="none"/>
        </w:tabs>
        <w:spacing w:before="0"/>
        <w:ind w:left="359" w:right="6149" w:firstLine="1080"/>
        <w:jc w:val="left"/>
        <w:rPr>
          <w:sz w:val="22"/>
        </w:rPr>
      </w:pPr>
      <w:r>
        <w:rPr>
          <w:sz w:val="22"/>
        </w:rPr>
        <w:t>Permanent,</w:t>
      </w:r>
      <w:r>
        <w:rPr>
          <w:spacing w:val="-13"/>
          <w:sz w:val="22"/>
        </w:rPr>
        <w:t> </w:t>
      </w:r>
      <w:r>
        <w:rPr>
          <w:sz w:val="22"/>
        </w:rPr>
        <w:t>added</w:t>
      </w:r>
      <w:r>
        <w:rPr>
          <w:spacing w:val="-13"/>
          <w:sz w:val="22"/>
        </w:rPr>
        <w:t> </w:t>
      </w:r>
      <w:r>
        <w:rPr>
          <w:sz w:val="22"/>
        </w:rPr>
        <w:t>footnote</w:t>
      </w:r>
      <w:r>
        <w:rPr>
          <w:spacing w:val="-13"/>
          <w:sz w:val="22"/>
        </w:rPr>
        <w:t> </w:t>
      </w:r>
      <w:r>
        <w:rPr>
          <w:sz w:val="22"/>
        </w:rPr>
        <w:t>1 </w:t>
      </w:r>
      <w:r>
        <w:rPr>
          <w:spacing w:val="-2"/>
          <w:sz w:val="22"/>
        </w:rPr>
        <w:t>7-1-11</w:t>
      </w:r>
      <w:r>
        <w:rPr>
          <w:sz w:val="22"/>
        </w:rPr>
        <w:tab/>
        <w:t>PT Memo #12-01</w:t>
      </w:r>
    </w:p>
    <w:p>
      <w:pPr>
        <w:spacing w:line="252" w:lineRule="exact" w:before="0"/>
        <w:ind w:left="1439" w:right="0" w:firstLine="0"/>
        <w:jc w:val="left"/>
        <w:rPr>
          <w:sz w:val="22"/>
        </w:rPr>
      </w:pPr>
      <w:r>
        <w:rPr>
          <w:sz w:val="22"/>
        </w:rPr>
        <w:t>Permanent,</w:t>
      </w:r>
      <w:r>
        <w:rPr>
          <w:spacing w:val="-10"/>
          <w:sz w:val="22"/>
        </w:rPr>
        <w:t> </w:t>
      </w:r>
      <w:r>
        <w:rPr>
          <w:sz w:val="22"/>
        </w:rPr>
        <w:t>updating</w:t>
      </w:r>
      <w:r>
        <w:rPr>
          <w:spacing w:val="-11"/>
          <w:sz w:val="22"/>
        </w:rPr>
        <w:t> </w:t>
      </w:r>
      <w:r>
        <w:rPr>
          <w:spacing w:val="-2"/>
          <w:sz w:val="22"/>
        </w:rPr>
        <w:t>language</w:t>
      </w:r>
    </w:p>
    <w:p>
      <w:pPr>
        <w:tabs>
          <w:tab w:pos="1439" w:val="left" w:leader="none"/>
        </w:tabs>
        <w:spacing w:before="1"/>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spacing w:before="0"/>
        <w:ind w:left="1439" w:right="0" w:firstLine="0"/>
        <w:jc w:val="left"/>
        <w:rPr>
          <w:sz w:val="22"/>
        </w:rPr>
      </w:pPr>
      <w:r>
        <w:rPr>
          <w:sz w:val="22"/>
        </w:rPr>
        <w:t>Updated</w:t>
      </w:r>
      <w:r>
        <w:rPr>
          <w:spacing w:val="-10"/>
          <w:sz w:val="22"/>
        </w:rPr>
        <w:t> </w:t>
      </w:r>
      <w:r>
        <w:rPr>
          <w:spacing w:val="-2"/>
          <w:sz w:val="22"/>
        </w:rPr>
        <w:t>language.</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spacing w:after="0"/>
        <w:jc w:val="left"/>
        <w:rPr>
          <w:sz w:val="22"/>
        </w:rPr>
        <w:sectPr>
          <w:pgSz w:w="12240" w:h="15840"/>
          <w:pgMar w:top="1340" w:bottom="280" w:left="1080" w:right="720"/>
        </w:sectPr>
      </w:pPr>
    </w:p>
    <w:p>
      <w:pPr>
        <w:pStyle w:val="Heading2"/>
      </w:pPr>
      <w:bookmarkStart w:name="612:10-7-150.  Continued eligibility for" w:id="174"/>
      <w:bookmarkEnd w:id="174"/>
      <w:r>
        <w:rPr>
          <w:b w:val="0"/>
        </w:rPr>
      </w:r>
      <w:r>
        <w:rPr/>
        <w:t>612:10-7-150.</w:t>
      </w:r>
      <w:r>
        <w:rPr>
          <w:spacing w:val="56"/>
        </w:rPr>
        <w:t> </w:t>
      </w:r>
      <w:r>
        <w:rPr/>
        <w:t>Continued</w:t>
      </w:r>
      <w:r>
        <w:rPr>
          <w:spacing w:val="-4"/>
        </w:rPr>
        <w:t> </w:t>
      </w:r>
      <w:r>
        <w:rPr/>
        <w:t>eligibility</w:t>
      </w:r>
      <w:r>
        <w:rPr>
          <w:spacing w:val="-5"/>
        </w:rPr>
        <w:t> </w:t>
      </w:r>
      <w:r>
        <w:rPr/>
        <w:t>for</w:t>
      </w:r>
      <w:r>
        <w:rPr>
          <w:spacing w:val="-4"/>
        </w:rPr>
        <w:t> </w:t>
      </w:r>
      <w:r>
        <w:rPr/>
        <w:t>college</w:t>
      </w:r>
      <w:r>
        <w:rPr>
          <w:spacing w:val="-4"/>
        </w:rPr>
        <w:t> </w:t>
      </w:r>
      <w:r>
        <w:rPr/>
        <w:t>or</w:t>
      </w:r>
      <w:r>
        <w:rPr>
          <w:spacing w:val="-4"/>
        </w:rPr>
        <w:t> </w:t>
      </w:r>
      <w:r>
        <w:rPr/>
        <w:t>university</w:t>
      </w:r>
      <w:r>
        <w:rPr>
          <w:spacing w:val="-4"/>
        </w:rPr>
        <w:t> </w:t>
      </w:r>
      <w:r>
        <w:rPr>
          <w:spacing w:val="-2"/>
        </w:rPr>
        <w:t>training</w:t>
      </w:r>
    </w:p>
    <w:p>
      <w:pPr>
        <w:pStyle w:val="ListParagraph"/>
        <w:numPr>
          <w:ilvl w:val="0"/>
          <w:numId w:val="182"/>
        </w:numPr>
        <w:tabs>
          <w:tab w:pos="786" w:val="left" w:leader="none"/>
        </w:tabs>
        <w:spacing w:line="208" w:lineRule="auto" w:before="233" w:after="0"/>
        <w:ind w:left="360" w:right="1234" w:firstLine="0"/>
        <w:jc w:val="left"/>
        <w:rPr>
          <w:sz w:val="24"/>
        </w:rPr>
      </w:pPr>
      <w:r>
        <w:rPr>
          <w:b/>
          <w:sz w:val="24"/>
        </w:rPr>
        <w:t>Requirements for continued eligibility. </w:t>
      </w:r>
      <w:r>
        <w:rPr>
          <w:sz w:val="24"/>
        </w:rPr>
        <w:t>DVR or DSBVI clients in college or university</w:t>
      </w:r>
      <w:r>
        <w:rPr>
          <w:spacing w:val="-4"/>
          <w:sz w:val="24"/>
        </w:rPr>
        <w:t> </w:t>
      </w:r>
      <w:r>
        <w:rPr>
          <w:sz w:val="24"/>
        </w:rPr>
        <w:t>training</w:t>
      </w:r>
      <w:r>
        <w:rPr>
          <w:spacing w:val="-4"/>
          <w:sz w:val="24"/>
        </w:rPr>
        <w:t> </w:t>
      </w:r>
      <w:r>
        <w:rPr>
          <w:sz w:val="24"/>
        </w:rPr>
        <w:t>will</w:t>
      </w:r>
      <w:r>
        <w:rPr>
          <w:spacing w:val="-3"/>
          <w:sz w:val="24"/>
        </w:rPr>
        <w:t> </w:t>
      </w:r>
      <w:r>
        <w:rPr>
          <w:sz w:val="24"/>
        </w:rPr>
        <w:t>be</w:t>
      </w:r>
      <w:r>
        <w:rPr>
          <w:spacing w:val="-4"/>
          <w:sz w:val="24"/>
        </w:rPr>
        <w:t> </w:t>
      </w:r>
      <w:r>
        <w:rPr>
          <w:sz w:val="24"/>
        </w:rPr>
        <w:t>expected</w:t>
      </w:r>
      <w:r>
        <w:rPr>
          <w:spacing w:val="-4"/>
          <w:sz w:val="24"/>
        </w:rPr>
        <w:t> </w:t>
      </w:r>
      <w:r>
        <w:rPr>
          <w:sz w:val="24"/>
        </w:rPr>
        <w:t>to</w:t>
      </w:r>
      <w:r>
        <w:rPr>
          <w:spacing w:val="-4"/>
          <w:sz w:val="24"/>
        </w:rPr>
        <w:t> </w:t>
      </w:r>
      <w:r>
        <w:rPr>
          <w:sz w:val="24"/>
        </w:rPr>
        <w:t>attend</w:t>
      </w:r>
      <w:r>
        <w:rPr>
          <w:spacing w:val="-4"/>
          <w:sz w:val="24"/>
        </w:rPr>
        <w:t> </w:t>
      </w:r>
      <w:r>
        <w:rPr>
          <w:sz w:val="24"/>
        </w:rPr>
        <w:t>classes</w:t>
      </w:r>
      <w:r>
        <w:rPr>
          <w:spacing w:val="-4"/>
          <w:sz w:val="24"/>
        </w:rPr>
        <w:t> </w:t>
      </w:r>
      <w:r>
        <w:rPr>
          <w:sz w:val="24"/>
        </w:rPr>
        <w:t>regularly</w:t>
      </w:r>
      <w:r>
        <w:rPr>
          <w:spacing w:val="-4"/>
          <w:sz w:val="24"/>
        </w:rPr>
        <w:t> </w:t>
      </w:r>
      <w:r>
        <w:rPr>
          <w:sz w:val="24"/>
        </w:rPr>
        <w:t>and</w:t>
      </w:r>
      <w:r>
        <w:rPr>
          <w:spacing w:val="-3"/>
          <w:sz w:val="24"/>
        </w:rPr>
        <w:t> </w:t>
      </w:r>
      <w:r>
        <w:rPr>
          <w:sz w:val="24"/>
        </w:rPr>
        <w:t>make</w:t>
      </w:r>
      <w:r>
        <w:rPr>
          <w:spacing w:val="-4"/>
          <w:sz w:val="24"/>
        </w:rPr>
        <w:t> </w:t>
      </w:r>
      <w:r>
        <w:rPr>
          <w:sz w:val="24"/>
        </w:rPr>
        <w:t>continuous progress toward graduation.</w:t>
      </w:r>
    </w:p>
    <w:p>
      <w:pPr>
        <w:pStyle w:val="ListParagraph"/>
        <w:numPr>
          <w:ilvl w:val="0"/>
          <w:numId w:val="182"/>
        </w:numPr>
        <w:tabs>
          <w:tab w:pos="718" w:val="left" w:leader="none"/>
        </w:tabs>
        <w:spacing w:line="208" w:lineRule="auto" w:before="240" w:after="0"/>
        <w:ind w:left="360" w:right="764" w:firstLine="0"/>
        <w:jc w:val="left"/>
        <w:rPr>
          <w:sz w:val="24"/>
        </w:rPr>
      </w:pPr>
      <w:r>
        <w:rPr>
          <w:b/>
          <w:sz w:val="24"/>
        </w:rPr>
        <w:t>To continue assistance with college or university training</w:t>
      </w:r>
      <w:r>
        <w:rPr>
          <w:sz w:val="24"/>
        </w:rPr>
        <w:t>, the client must maintain</w:t>
      </w:r>
      <w:r>
        <w:rPr>
          <w:spacing w:val="-3"/>
          <w:sz w:val="24"/>
        </w:rPr>
        <w:t> </w:t>
      </w:r>
      <w:r>
        <w:rPr>
          <w:sz w:val="24"/>
        </w:rPr>
        <w:t>a</w:t>
      </w:r>
      <w:r>
        <w:rPr>
          <w:spacing w:val="-3"/>
          <w:sz w:val="24"/>
        </w:rPr>
        <w:t> </w:t>
      </w:r>
      <w:r>
        <w:rPr>
          <w:sz w:val="24"/>
        </w:rPr>
        <w:t>cumulative</w:t>
      </w:r>
      <w:r>
        <w:rPr>
          <w:spacing w:val="-3"/>
          <w:sz w:val="24"/>
        </w:rPr>
        <w:t> </w:t>
      </w:r>
      <w:r>
        <w:rPr>
          <w:sz w:val="24"/>
        </w:rPr>
        <w:t>2.0</w:t>
      </w:r>
      <w:r>
        <w:rPr>
          <w:spacing w:val="-3"/>
          <w:sz w:val="24"/>
        </w:rPr>
        <w:t> </w:t>
      </w:r>
      <w:r>
        <w:rPr>
          <w:sz w:val="24"/>
        </w:rPr>
        <w:t>grade-point</w:t>
      </w:r>
      <w:r>
        <w:rPr>
          <w:spacing w:val="-3"/>
          <w:sz w:val="24"/>
        </w:rPr>
        <w:t> </w:t>
      </w:r>
      <w:r>
        <w:rPr>
          <w:sz w:val="24"/>
        </w:rPr>
        <w:t>average</w:t>
      </w:r>
      <w:r>
        <w:rPr>
          <w:spacing w:val="-3"/>
          <w:sz w:val="24"/>
        </w:rPr>
        <w:t> </w:t>
      </w:r>
      <w:r>
        <w:rPr>
          <w:sz w:val="24"/>
        </w:rPr>
        <w:t>(GPA),</w:t>
      </w:r>
      <w:r>
        <w:rPr>
          <w:spacing w:val="-4"/>
          <w:sz w:val="24"/>
        </w:rPr>
        <w:t> </w:t>
      </w:r>
      <w:r>
        <w:rPr>
          <w:sz w:val="24"/>
        </w:rPr>
        <w:t>based</w:t>
      </w:r>
      <w:r>
        <w:rPr>
          <w:spacing w:val="-3"/>
          <w:sz w:val="24"/>
        </w:rPr>
        <w:t> </w:t>
      </w:r>
      <w:r>
        <w:rPr>
          <w:sz w:val="24"/>
        </w:rPr>
        <w:t>on</w:t>
      </w:r>
      <w:r>
        <w:rPr>
          <w:spacing w:val="-3"/>
          <w:sz w:val="24"/>
        </w:rPr>
        <w:t> </w:t>
      </w:r>
      <w:r>
        <w:rPr>
          <w:sz w:val="24"/>
        </w:rPr>
        <w:t>a</w:t>
      </w:r>
      <w:r>
        <w:rPr>
          <w:spacing w:val="-3"/>
          <w:sz w:val="24"/>
        </w:rPr>
        <w:t> </w:t>
      </w:r>
      <w:r>
        <w:rPr>
          <w:sz w:val="24"/>
        </w:rPr>
        <w:t>four</w:t>
      </w:r>
      <w:r>
        <w:rPr>
          <w:spacing w:val="-3"/>
          <w:sz w:val="24"/>
        </w:rPr>
        <w:t> </w:t>
      </w:r>
      <w:r>
        <w:rPr>
          <w:sz w:val="24"/>
        </w:rPr>
        <w:t>point</w:t>
      </w:r>
      <w:r>
        <w:rPr>
          <w:spacing w:val="-3"/>
          <w:sz w:val="24"/>
        </w:rPr>
        <w:t> </w:t>
      </w:r>
      <w:r>
        <w:rPr>
          <w:sz w:val="24"/>
        </w:rPr>
        <w:t>(4.0)</w:t>
      </w:r>
      <w:r>
        <w:rPr>
          <w:spacing w:val="-3"/>
          <w:sz w:val="24"/>
        </w:rPr>
        <w:t> </w:t>
      </w:r>
      <w:r>
        <w:rPr>
          <w:sz w:val="24"/>
        </w:rPr>
        <w:t>scale.</w:t>
      </w:r>
    </w:p>
    <w:p>
      <w:pPr>
        <w:pStyle w:val="ListParagraph"/>
        <w:numPr>
          <w:ilvl w:val="0"/>
          <w:numId w:val="182"/>
        </w:numPr>
        <w:tabs>
          <w:tab w:pos="772" w:val="left" w:leader="none"/>
        </w:tabs>
        <w:spacing w:line="208" w:lineRule="auto" w:before="239" w:after="0"/>
        <w:ind w:left="360" w:right="781" w:firstLine="0"/>
        <w:jc w:val="left"/>
        <w:rPr>
          <w:sz w:val="24"/>
        </w:rPr>
      </w:pPr>
      <w:r>
        <w:rPr>
          <w:b/>
          <w:sz w:val="24"/>
        </w:rPr>
        <w:t>The client must maintain at a minimum the cumulative GPA required by the Institution for the client's major field of study. </w:t>
      </w:r>
      <w:r>
        <w:rPr>
          <w:sz w:val="24"/>
        </w:rPr>
        <w:t>If the client is unable to consistently maintain</w:t>
      </w:r>
      <w:r>
        <w:rPr>
          <w:spacing w:val="-4"/>
          <w:sz w:val="24"/>
        </w:rPr>
        <w:t> </w:t>
      </w:r>
      <w:r>
        <w:rPr>
          <w:sz w:val="24"/>
        </w:rPr>
        <w:t>the</w:t>
      </w:r>
      <w:r>
        <w:rPr>
          <w:spacing w:val="-4"/>
          <w:sz w:val="24"/>
        </w:rPr>
        <w:t> </w:t>
      </w:r>
      <w:r>
        <w:rPr>
          <w:sz w:val="24"/>
        </w:rPr>
        <w:t>minimum</w:t>
      </w:r>
      <w:r>
        <w:rPr>
          <w:spacing w:val="-3"/>
          <w:sz w:val="24"/>
        </w:rPr>
        <w:t> </w:t>
      </w:r>
      <w:r>
        <w:rPr>
          <w:sz w:val="24"/>
        </w:rPr>
        <w:t>cumulative</w:t>
      </w:r>
      <w:r>
        <w:rPr>
          <w:spacing w:val="-4"/>
          <w:sz w:val="24"/>
        </w:rPr>
        <w:t> </w:t>
      </w:r>
      <w:r>
        <w:rPr>
          <w:sz w:val="24"/>
        </w:rPr>
        <w:t>GPA</w:t>
      </w:r>
      <w:r>
        <w:rPr>
          <w:spacing w:val="-4"/>
          <w:sz w:val="24"/>
        </w:rPr>
        <w:t> </w:t>
      </w:r>
      <w:r>
        <w:rPr>
          <w:sz w:val="24"/>
        </w:rPr>
        <w:t>for</w:t>
      </w:r>
      <w:r>
        <w:rPr>
          <w:spacing w:val="-5"/>
          <w:sz w:val="24"/>
        </w:rPr>
        <w:t> </w:t>
      </w:r>
      <w:r>
        <w:rPr>
          <w:sz w:val="24"/>
        </w:rPr>
        <w:t>their</w:t>
      </w:r>
      <w:r>
        <w:rPr>
          <w:spacing w:val="-3"/>
          <w:sz w:val="24"/>
        </w:rPr>
        <w:t> </w:t>
      </w:r>
      <w:r>
        <w:rPr>
          <w:sz w:val="24"/>
        </w:rPr>
        <w:t>chosen</w:t>
      </w:r>
      <w:r>
        <w:rPr>
          <w:spacing w:val="-4"/>
          <w:sz w:val="24"/>
        </w:rPr>
        <w:t> </w:t>
      </w:r>
      <w:r>
        <w:rPr>
          <w:sz w:val="24"/>
        </w:rPr>
        <w:t>field</w:t>
      </w:r>
      <w:r>
        <w:rPr>
          <w:spacing w:val="-4"/>
          <w:sz w:val="24"/>
        </w:rPr>
        <w:t> </w:t>
      </w:r>
      <w:r>
        <w:rPr>
          <w:sz w:val="24"/>
        </w:rPr>
        <w:t>of</w:t>
      </w:r>
      <w:r>
        <w:rPr>
          <w:spacing w:val="-3"/>
          <w:sz w:val="24"/>
        </w:rPr>
        <w:t> </w:t>
      </w:r>
      <w:r>
        <w:rPr>
          <w:sz w:val="24"/>
        </w:rPr>
        <w:t>study,</w:t>
      </w:r>
      <w:r>
        <w:rPr>
          <w:spacing w:val="-3"/>
          <w:sz w:val="24"/>
        </w:rPr>
        <w:t> </w:t>
      </w:r>
      <w:r>
        <w:rPr>
          <w:sz w:val="24"/>
        </w:rPr>
        <w:t>the</w:t>
      </w:r>
      <w:r>
        <w:rPr>
          <w:spacing w:val="-4"/>
          <w:sz w:val="24"/>
        </w:rPr>
        <w:t> </w:t>
      </w:r>
      <w:r>
        <w:rPr>
          <w:sz w:val="24"/>
        </w:rPr>
        <w:t>Counselor</w:t>
      </w:r>
      <w:r>
        <w:rPr>
          <w:spacing w:val="-3"/>
          <w:sz w:val="24"/>
        </w:rPr>
        <w:t> </w:t>
      </w:r>
      <w:r>
        <w:rPr>
          <w:sz w:val="24"/>
        </w:rPr>
        <w:t>will reassess</w:t>
      </w:r>
      <w:r>
        <w:rPr>
          <w:spacing w:val="-3"/>
          <w:sz w:val="24"/>
        </w:rPr>
        <w:t> </w:t>
      </w:r>
      <w:r>
        <w:rPr>
          <w:sz w:val="24"/>
        </w:rPr>
        <w:t>the</w:t>
      </w:r>
      <w:r>
        <w:rPr>
          <w:spacing w:val="-3"/>
          <w:sz w:val="24"/>
        </w:rPr>
        <w:t> </w:t>
      </w:r>
      <w:r>
        <w:rPr>
          <w:sz w:val="24"/>
        </w:rPr>
        <w:t>justification</w:t>
      </w:r>
      <w:r>
        <w:rPr>
          <w:spacing w:val="-3"/>
          <w:sz w:val="24"/>
        </w:rPr>
        <w:t> </w:t>
      </w:r>
      <w:r>
        <w:rPr>
          <w:sz w:val="24"/>
        </w:rPr>
        <w:t>for</w:t>
      </w:r>
      <w:r>
        <w:rPr>
          <w:spacing w:val="-2"/>
          <w:sz w:val="24"/>
        </w:rPr>
        <w:t> </w:t>
      </w:r>
      <w:r>
        <w:rPr>
          <w:sz w:val="24"/>
        </w:rPr>
        <w:t>continued</w:t>
      </w:r>
      <w:r>
        <w:rPr>
          <w:spacing w:val="-3"/>
          <w:sz w:val="24"/>
        </w:rPr>
        <w:t> </w:t>
      </w:r>
      <w:r>
        <w:rPr>
          <w:sz w:val="24"/>
        </w:rPr>
        <w:t>training</w:t>
      </w:r>
      <w:r>
        <w:rPr>
          <w:spacing w:val="-3"/>
          <w:sz w:val="24"/>
        </w:rPr>
        <w:t> </w:t>
      </w:r>
      <w:r>
        <w:rPr>
          <w:sz w:val="24"/>
        </w:rPr>
        <w:t>and</w:t>
      </w:r>
      <w:r>
        <w:rPr>
          <w:spacing w:val="-3"/>
          <w:sz w:val="24"/>
        </w:rPr>
        <w:t> </w:t>
      </w:r>
      <w:r>
        <w:rPr>
          <w:sz w:val="24"/>
        </w:rPr>
        <w:t>whether</w:t>
      </w:r>
      <w:r>
        <w:rPr>
          <w:spacing w:val="-2"/>
          <w:sz w:val="24"/>
        </w:rPr>
        <w:t> </w:t>
      </w:r>
      <w:r>
        <w:rPr>
          <w:sz w:val="24"/>
        </w:rPr>
        <w:t>a</w:t>
      </w:r>
      <w:r>
        <w:rPr>
          <w:spacing w:val="-3"/>
          <w:sz w:val="24"/>
        </w:rPr>
        <w:t> </w:t>
      </w:r>
      <w:r>
        <w:rPr>
          <w:sz w:val="24"/>
        </w:rPr>
        <w:t>change</w:t>
      </w:r>
      <w:r>
        <w:rPr>
          <w:spacing w:val="-3"/>
          <w:sz w:val="24"/>
        </w:rPr>
        <w:t> </w:t>
      </w:r>
      <w:r>
        <w:rPr>
          <w:sz w:val="24"/>
        </w:rPr>
        <w:t>in</w:t>
      </w:r>
      <w:r>
        <w:rPr>
          <w:spacing w:val="-3"/>
          <w:sz w:val="24"/>
        </w:rPr>
        <w:t> </w:t>
      </w:r>
      <w:r>
        <w:rPr>
          <w:sz w:val="24"/>
        </w:rPr>
        <w:t>vocational</w:t>
      </w:r>
      <w:r>
        <w:rPr>
          <w:spacing w:val="-3"/>
          <w:sz w:val="24"/>
        </w:rPr>
        <w:t> </w:t>
      </w:r>
      <w:r>
        <w:rPr>
          <w:sz w:val="24"/>
        </w:rPr>
        <w:t>goal is necessary.</w:t>
      </w:r>
    </w:p>
    <w:p>
      <w:pPr>
        <w:pStyle w:val="ListParagraph"/>
        <w:numPr>
          <w:ilvl w:val="0"/>
          <w:numId w:val="182"/>
        </w:numPr>
        <w:tabs>
          <w:tab w:pos="785" w:val="left" w:leader="none"/>
        </w:tabs>
        <w:spacing w:line="208" w:lineRule="auto" w:before="240" w:after="0"/>
        <w:ind w:left="360" w:right="929" w:firstLine="0"/>
        <w:jc w:val="left"/>
        <w:rPr>
          <w:sz w:val="24"/>
        </w:rPr>
      </w:pPr>
      <w:r>
        <w:rPr>
          <w:b/>
          <w:sz w:val="24"/>
        </w:rPr>
        <w:t>The</w:t>
      </w:r>
      <w:r>
        <w:rPr>
          <w:b/>
          <w:spacing w:val="-4"/>
          <w:sz w:val="24"/>
        </w:rPr>
        <w:t> </w:t>
      </w:r>
      <w:r>
        <w:rPr>
          <w:b/>
          <w:sz w:val="24"/>
        </w:rPr>
        <w:t>client</w:t>
      </w:r>
      <w:r>
        <w:rPr>
          <w:b/>
          <w:spacing w:val="-3"/>
          <w:sz w:val="24"/>
        </w:rPr>
        <w:t> </w:t>
      </w:r>
      <w:r>
        <w:rPr>
          <w:b/>
          <w:sz w:val="24"/>
        </w:rPr>
        <w:t>must</w:t>
      </w:r>
      <w:r>
        <w:rPr>
          <w:b/>
          <w:spacing w:val="-3"/>
          <w:sz w:val="24"/>
        </w:rPr>
        <w:t> </w:t>
      </w:r>
      <w:r>
        <w:rPr>
          <w:b/>
          <w:sz w:val="24"/>
        </w:rPr>
        <w:t>carry</w:t>
      </w:r>
      <w:r>
        <w:rPr>
          <w:b/>
          <w:spacing w:val="-4"/>
          <w:sz w:val="24"/>
        </w:rPr>
        <w:t> </w:t>
      </w:r>
      <w:r>
        <w:rPr>
          <w:b/>
          <w:sz w:val="24"/>
        </w:rPr>
        <w:t>the</w:t>
      </w:r>
      <w:r>
        <w:rPr>
          <w:b/>
          <w:spacing w:val="-4"/>
          <w:sz w:val="24"/>
        </w:rPr>
        <w:t> </w:t>
      </w:r>
      <w:r>
        <w:rPr>
          <w:b/>
          <w:sz w:val="24"/>
        </w:rPr>
        <w:t>minimum</w:t>
      </w:r>
      <w:r>
        <w:rPr>
          <w:b/>
          <w:spacing w:val="-4"/>
          <w:sz w:val="24"/>
        </w:rPr>
        <w:t> </w:t>
      </w:r>
      <w:r>
        <w:rPr>
          <w:b/>
          <w:sz w:val="24"/>
        </w:rPr>
        <w:t>number</w:t>
      </w:r>
      <w:r>
        <w:rPr>
          <w:b/>
          <w:spacing w:val="-4"/>
          <w:sz w:val="24"/>
        </w:rPr>
        <w:t> </w:t>
      </w:r>
      <w:r>
        <w:rPr>
          <w:b/>
          <w:sz w:val="24"/>
        </w:rPr>
        <w:t>of</w:t>
      </w:r>
      <w:r>
        <w:rPr>
          <w:b/>
          <w:spacing w:val="-3"/>
          <w:sz w:val="24"/>
        </w:rPr>
        <w:t> </w:t>
      </w:r>
      <w:r>
        <w:rPr>
          <w:b/>
          <w:sz w:val="24"/>
        </w:rPr>
        <w:t>semester</w:t>
      </w:r>
      <w:r>
        <w:rPr>
          <w:b/>
          <w:spacing w:val="-4"/>
          <w:sz w:val="24"/>
        </w:rPr>
        <w:t> </w:t>
      </w:r>
      <w:r>
        <w:rPr>
          <w:b/>
          <w:sz w:val="24"/>
        </w:rPr>
        <w:t>hours</w:t>
      </w:r>
      <w:r>
        <w:rPr>
          <w:b/>
          <w:spacing w:val="-4"/>
          <w:sz w:val="24"/>
        </w:rPr>
        <w:t> </w:t>
      </w:r>
      <w:r>
        <w:rPr>
          <w:b/>
          <w:sz w:val="24"/>
        </w:rPr>
        <w:t>determined</w:t>
      </w:r>
      <w:r>
        <w:rPr>
          <w:b/>
          <w:spacing w:val="-4"/>
          <w:sz w:val="24"/>
        </w:rPr>
        <w:t> </w:t>
      </w:r>
      <w:r>
        <w:rPr>
          <w:b/>
          <w:sz w:val="24"/>
        </w:rPr>
        <w:t>to be full time at the school attended. </w:t>
      </w:r>
      <w:r>
        <w:rPr>
          <w:sz w:val="24"/>
        </w:rPr>
        <w:t>Exceptions may be granted by the counselor, based on severity of disability, scheduling problems, or other valid reasons.</w:t>
      </w:r>
    </w:p>
    <w:p>
      <w:pPr>
        <w:pStyle w:val="Heading2"/>
        <w:numPr>
          <w:ilvl w:val="0"/>
          <w:numId w:val="182"/>
        </w:numPr>
        <w:tabs>
          <w:tab w:pos="785" w:val="left" w:leader="none"/>
        </w:tabs>
        <w:spacing w:line="208" w:lineRule="auto" w:before="240" w:after="0"/>
        <w:ind w:left="360" w:right="1091" w:firstLine="0"/>
        <w:jc w:val="left"/>
      </w:pPr>
      <w:r>
        <w:rPr/>
        <w:t>When</w:t>
      </w:r>
      <w:r>
        <w:rPr>
          <w:spacing w:val="-4"/>
        </w:rPr>
        <w:t> </w:t>
      </w:r>
      <w:r>
        <w:rPr/>
        <w:t>a</w:t>
      </w:r>
      <w:r>
        <w:rPr>
          <w:spacing w:val="-3"/>
        </w:rPr>
        <w:t> </w:t>
      </w:r>
      <w:r>
        <w:rPr/>
        <w:t>client</w:t>
      </w:r>
      <w:r>
        <w:rPr>
          <w:spacing w:val="-4"/>
        </w:rPr>
        <w:t> </w:t>
      </w:r>
      <w:r>
        <w:rPr/>
        <w:t>fails</w:t>
      </w:r>
      <w:r>
        <w:rPr>
          <w:spacing w:val="-3"/>
        </w:rPr>
        <w:t> </w:t>
      </w:r>
      <w:r>
        <w:rPr/>
        <w:t>to</w:t>
      </w:r>
      <w:r>
        <w:rPr>
          <w:spacing w:val="-3"/>
        </w:rPr>
        <w:t> </w:t>
      </w:r>
      <w:r>
        <w:rPr/>
        <w:t>meet</w:t>
      </w:r>
      <w:r>
        <w:rPr>
          <w:spacing w:val="-5"/>
        </w:rPr>
        <w:t> </w:t>
      </w:r>
      <w:r>
        <w:rPr/>
        <w:t>the</w:t>
      </w:r>
      <w:r>
        <w:rPr>
          <w:spacing w:val="-3"/>
        </w:rPr>
        <w:t> </w:t>
      </w:r>
      <w:r>
        <w:rPr/>
        <w:t>requirements</w:t>
      </w:r>
      <w:r>
        <w:rPr>
          <w:spacing w:val="-3"/>
        </w:rPr>
        <w:t> </w:t>
      </w:r>
      <w:r>
        <w:rPr/>
        <w:t>for</w:t>
      </w:r>
      <w:r>
        <w:rPr>
          <w:spacing w:val="-4"/>
        </w:rPr>
        <w:t> </w:t>
      </w:r>
      <w:r>
        <w:rPr/>
        <w:t>continued</w:t>
      </w:r>
      <w:r>
        <w:rPr>
          <w:spacing w:val="-3"/>
        </w:rPr>
        <w:t> </w:t>
      </w:r>
      <w:r>
        <w:rPr/>
        <w:t>sponsorship</w:t>
      </w:r>
      <w:r>
        <w:rPr>
          <w:spacing w:val="-3"/>
        </w:rPr>
        <w:t> </w:t>
      </w:r>
      <w:r>
        <w:rPr/>
        <w:t>the guidelines in (1) – (5) of this Subsection are to be followed:</w:t>
      </w:r>
    </w:p>
    <w:p>
      <w:pPr>
        <w:pStyle w:val="ListParagraph"/>
        <w:numPr>
          <w:ilvl w:val="1"/>
          <w:numId w:val="182"/>
        </w:numPr>
        <w:tabs>
          <w:tab w:pos="1236" w:val="left" w:leader="none"/>
        </w:tabs>
        <w:spacing w:line="208" w:lineRule="auto" w:before="239" w:after="0"/>
        <w:ind w:left="810" w:right="1551" w:firstLine="0"/>
        <w:jc w:val="left"/>
        <w:rPr>
          <w:sz w:val="24"/>
        </w:rPr>
      </w:pPr>
      <w:r>
        <w:rPr>
          <w:sz w:val="24"/>
        </w:rPr>
        <w:t>Payment</w:t>
      </w:r>
      <w:r>
        <w:rPr>
          <w:spacing w:val="-3"/>
          <w:sz w:val="24"/>
        </w:rPr>
        <w:t> </w:t>
      </w:r>
      <w:r>
        <w:rPr>
          <w:sz w:val="24"/>
        </w:rPr>
        <w:t>of</w:t>
      </w:r>
      <w:r>
        <w:rPr>
          <w:spacing w:val="-5"/>
          <w:sz w:val="24"/>
        </w:rPr>
        <w:t> </w:t>
      </w:r>
      <w:r>
        <w:rPr>
          <w:sz w:val="24"/>
        </w:rPr>
        <w:t>training</w:t>
      </w:r>
      <w:r>
        <w:rPr>
          <w:spacing w:val="-4"/>
          <w:sz w:val="24"/>
        </w:rPr>
        <w:t> </w:t>
      </w:r>
      <w:r>
        <w:rPr>
          <w:sz w:val="24"/>
        </w:rPr>
        <w:t>services</w:t>
      </w:r>
      <w:r>
        <w:rPr>
          <w:spacing w:val="-4"/>
          <w:sz w:val="24"/>
        </w:rPr>
        <w:t> </w:t>
      </w:r>
      <w:r>
        <w:rPr>
          <w:sz w:val="24"/>
        </w:rPr>
        <w:t>based</w:t>
      </w:r>
      <w:r>
        <w:rPr>
          <w:spacing w:val="-4"/>
          <w:sz w:val="24"/>
        </w:rPr>
        <w:t> </w:t>
      </w:r>
      <w:r>
        <w:rPr>
          <w:sz w:val="24"/>
        </w:rPr>
        <w:t>on</w:t>
      </w:r>
      <w:r>
        <w:rPr>
          <w:spacing w:val="-4"/>
          <w:sz w:val="24"/>
        </w:rPr>
        <w:t> </w:t>
      </w:r>
      <w:r>
        <w:rPr>
          <w:sz w:val="24"/>
        </w:rPr>
        <w:t>client's</w:t>
      </w:r>
      <w:r>
        <w:rPr>
          <w:spacing w:val="-4"/>
          <w:sz w:val="24"/>
        </w:rPr>
        <w:t> </w:t>
      </w:r>
      <w:r>
        <w:rPr>
          <w:sz w:val="24"/>
        </w:rPr>
        <w:t>financial</w:t>
      </w:r>
      <w:r>
        <w:rPr>
          <w:spacing w:val="-4"/>
          <w:sz w:val="24"/>
        </w:rPr>
        <w:t> </w:t>
      </w:r>
      <w:r>
        <w:rPr>
          <w:sz w:val="24"/>
        </w:rPr>
        <w:t>status</w:t>
      </w:r>
      <w:r>
        <w:rPr>
          <w:spacing w:val="-4"/>
          <w:sz w:val="24"/>
        </w:rPr>
        <w:t> </w:t>
      </w:r>
      <w:r>
        <w:rPr>
          <w:sz w:val="24"/>
        </w:rPr>
        <w:t>will</w:t>
      </w:r>
      <w:r>
        <w:rPr>
          <w:spacing w:val="-4"/>
          <w:sz w:val="24"/>
        </w:rPr>
        <w:t> </w:t>
      </w:r>
      <w:r>
        <w:rPr>
          <w:sz w:val="24"/>
        </w:rPr>
        <w:t>not</w:t>
      </w:r>
      <w:r>
        <w:rPr>
          <w:spacing w:val="-3"/>
          <w:sz w:val="24"/>
        </w:rPr>
        <w:t> </w:t>
      </w:r>
      <w:r>
        <w:rPr>
          <w:sz w:val="24"/>
        </w:rPr>
        <w:t>be provided if the client's grades fall below 1.5 cumulative GPA.</w:t>
      </w:r>
    </w:p>
    <w:p>
      <w:pPr>
        <w:pStyle w:val="ListParagraph"/>
        <w:numPr>
          <w:ilvl w:val="1"/>
          <w:numId w:val="182"/>
        </w:numPr>
        <w:tabs>
          <w:tab w:pos="1236" w:val="left" w:leader="none"/>
        </w:tabs>
        <w:spacing w:line="258" w:lineRule="exact" w:before="211" w:after="0"/>
        <w:ind w:left="1236" w:right="0" w:hanging="426"/>
        <w:jc w:val="left"/>
        <w:rPr>
          <w:sz w:val="24"/>
        </w:rPr>
      </w:pPr>
      <w:r>
        <w:rPr>
          <w:sz w:val="24"/>
        </w:rPr>
        <w:t>Training</w:t>
      </w:r>
      <w:r>
        <w:rPr>
          <w:spacing w:val="-3"/>
          <w:sz w:val="24"/>
        </w:rPr>
        <w:t> </w:t>
      </w:r>
      <w:r>
        <w:rPr>
          <w:sz w:val="24"/>
        </w:rPr>
        <w:t>services</w:t>
      </w:r>
      <w:r>
        <w:rPr>
          <w:spacing w:val="-2"/>
          <w:sz w:val="24"/>
        </w:rPr>
        <w:t> </w:t>
      </w:r>
      <w:r>
        <w:rPr>
          <w:sz w:val="24"/>
        </w:rPr>
        <w:t>may</w:t>
      </w:r>
      <w:r>
        <w:rPr>
          <w:spacing w:val="-3"/>
          <w:sz w:val="24"/>
        </w:rPr>
        <w:t> </w:t>
      </w:r>
      <w:r>
        <w:rPr>
          <w:sz w:val="24"/>
        </w:rPr>
        <w:t>be</w:t>
      </w:r>
      <w:r>
        <w:rPr>
          <w:spacing w:val="-2"/>
          <w:sz w:val="24"/>
        </w:rPr>
        <w:t> </w:t>
      </w:r>
      <w:r>
        <w:rPr>
          <w:sz w:val="24"/>
        </w:rPr>
        <w:t>paid</w:t>
      </w:r>
      <w:r>
        <w:rPr>
          <w:spacing w:val="-3"/>
          <w:sz w:val="24"/>
        </w:rPr>
        <w:t> </w:t>
      </w:r>
      <w:r>
        <w:rPr>
          <w:sz w:val="24"/>
        </w:rPr>
        <w:t>for</w:t>
      </w:r>
      <w:r>
        <w:rPr>
          <w:spacing w:val="-1"/>
          <w:sz w:val="24"/>
        </w:rPr>
        <w:t> </w:t>
      </w:r>
      <w:r>
        <w:rPr>
          <w:sz w:val="24"/>
        </w:rPr>
        <w:t>a</w:t>
      </w:r>
      <w:r>
        <w:rPr>
          <w:spacing w:val="-2"/>
          <w:sz w:val="24"/>
        </w:rPr>
        <w:t> </w:t>
      </w:r>
      <w:r>
        <w:rPr>
          <w:sz w:val="24"/>
        </w:rPr>
        <w:t>client</w:t>
      </w:r>
      <w:r>
        <w:rPr>
          <w:spacing w:val="-2"/>
          <w:sz w:val="24"/>
        </w:rPr>
        <w:t> </w:t>
      </w:r>
      <w:r>
        <w:rPr>
          <w:sz w:val="24"/>
        </w:rPr>
        <w:t>having</w:t>
      </w:r>
      <w:r>
        <w:rPr>
          <w:spacing w:val="-2"/>
          <w:sz w:val="24"/>
        </w:rPr>
        <w:t> </w:t>
      </w:r>
      <w:r>
        <w:rPr>
          <w:sz w:val="24"/>
        </w:rPr>
        <w:t>a</w:t>
      </w:r>
      <w:r>
        <w:rPr>
          <w:spacing w:val="-3"/>
          <w:sz w:val="24"/>
        </w:rPr>
        <w:t> </w:t>
      </w:r>
      <w:r>
        <w:rPr>
          <w:sz w:val="24"/>
        </w:rPr>
        <w:t>cumulative</w:t>
      </w:r>
      <w:r>
        <w:rPr>
          <w:spacing w:val="-2"/>
          <w:sz w:val="24"/>
        </w:rPr>
        <w:t> </w:t>
      </w:r>
      <w:r>
        <w:rPr>
          <w:sz w:val="24"/>
        </w:rPr>
        <w:t>GPA</w:t>
      </w:r>
      <w:r>
        <w:rPr>
          <w:spacing w:val="-2"/>
          <w:sz w:val="24"/>
        </w:rPr>
        <w:t> between</w:t>
      </w:r>
    </w:p>
    <w:p>
      <w:pPr>
        <w:pStyle w:val="BodyText"/>
        <w:spacing w:line="208" w:lineRule="auto" w:before="11"/>
        <w:ind w:left="810" w:right="775"/>
      </w:pPr>
      <w:r>
        <w:rPr/>
        <w:t>1.5 and 1.9 for the first semester that grades fall below 2.0 cumulative GPA. Subsequent</w:t>
      </w:r>
      <w:r>
        <w:rPr>
          <w:spacing w:val="-3"/>
        </w:rPr>
        <w:t> </w:t>
      </w:r>
      <w:r>
        <w:rPr/>
        <w:t>enrollments</w:t>
      </w:r>
      <w:r>
        <w:rPr>
          <w:spacing w:val="-4"/>
        </w:rPr>
        <w:t> </w:t>
      </w:r>
      <w:r>
        <w:rPr/>
        <w:t>can</w:t>
      </w:r>
      <w:r>
        <w:rPr>
          <w:spacing w:val="-4"/>
        </w:rPr>
        <w:t> </w:t>
      </w:r>
      <w:r>
        <w:rPr/>
        <w:t>only</w:t>
      </w:r>
      <w:r>
        <w:rPr>
          <w:spacing w:val="-4"/>
        </w:rPr>
        <w:t> </w:t>
      </w:r>
      <w:r>
        <w:rPr/>
        <w:t>be</w:t>
      </w:r>
      <w:r>
        <w:rPr>
          <w:spacing w:val="-4"/>
        </w:rPr>
        <w:t> </w:t>
      </w:r>
      <w:r>
        <w:rPr/>
        <w:t>paid</w:t>
      </w:r>
      <w:r>
        <w:rPr>
          <w:spacing w:val="-4"/>
        </w:rPr>
        <w:t> </w:t>
      </w:r>
      <w:r>
        <w:rPr/>
        <w:t>if</w:t>
      </w:r>
      <w:r>
        <w:rPr>
          <w:spacing w:val="-3"/>
        </w:rPr>
        <w:t> </w:t>
      </w:r>
      <w:r>
        <w:rPr/>
        <w:t>the</w:t>
      </w:r>
      <w:r>
        <w:rPr>
          <w:spacing w:val="-4"/>
        </w:rPr>
        <w:t> </w:t>
      </w:r>
      <w:r>
        <w:rPr/>
        <w:t>student's</w:t>
      </w:r>
      <w:r>
        <w:rPr>
          <w:spacing w:val="-4"/>
        </w:rPr>
        <w:t> </w:t>
      </w:r>
      <w:r>
        <w:rPr/>
        <w:t>cumulative</w:t>
      </w:r>
      <w:r>
        <w:rPr>
          <w:spacing w:val="-4"/>
        </w:rPr>
        <w:t> </w:t>
      </w:r>
      <w:r>
        <w:rPr/>
        <w:t>GPA</w:t>
      </w:r>
      <w:r>
        <w:rPr>
          <w:spacing w:val="-4"/>
        </w:rPr>
        <w:t> </w:t>
      </w:r>
      <w:r>
        <w:rPr/>
        <w:t>shows </w:t>
      </w:r>
      <w:r>
        <w:rPr>
          <w:spacing w:val="-2"/>
        </w:rPr>
        <w:t>progress.</w:t>
      </w:r>
    </w:p>
    <w:p>
      <w:pPr>
        <w:pStyle w:val="ListParagraph"/>
        <w:numPr>
          <w:ilvl w:val="1"/>
          <w:numId w:val="182"/>
        </w:numPr>
        <w:tabs>
          <w:tab w:pos="1236" w:val="left" w:leader="none"/>
        </w:tabs>
        <w:spacing w:line="208" w:lineRule="auto" w:before="240" w:after="0"/>
        <w:ind w:left="810" w:right="1236" w:firstLine="0"/>
        <w:jc w:val="left"/>
        <w:rPr>
          <w:sz w:val="24"/>
        </w:rPr>
      </w:pPr>
      <w:r>
        <w:rPr>
          <w:sz w:val="24"/>
        </w:rPr>
        <w:t>A</w:t>
      </w:r>
      <w:r>
        <w:rPr>
          <w:spacing w:val="-4"/>
          <w:sz w:val="24"/>
        </w:rPr>
        <w:t> </w:t>
      </w:r>
      <w:r>
        <w:rPr>
          <w:sz w:val="24"/>
        </w:rPr>
        <w:t>client</w:t>
      </w:r>
      <w:r>
        <w:rPr>
          <w:spacing w:val="-5"/>
          <w:sz w:val="24"/>
        </w:rPr>
        <w:t> </w:t>
      </w:r>
      <w:r>
        <w:rPr>
          <w:sz w:val="24"/>
        </w:rPr>
        <w:t>failing</w:t>
      </w:r>
      <w:r>
        <w:rPr>
          <w:spacing w:val="-4"/>
          <w:sz w:val="24"/>
        </w:rPr>
        <w:t> </w:t>
      </w:r>
      <w:r>
        <w:rPr>
          <w:sz w:val="24"/>
        </w:rPr>
        <w:t>to</w:t>
      </w:r>
      <w:r>
        <w:rPr>
          <w:spacing w:val="-4"/>
          <w:sz w:val="24"/>
        </w:rPr>
        <w:t> </w:t>
      </w:r>
      <w:r>
        <w:rPr>
          <w:sz w:val="24"/>
        </w:rPr>
        <w:t>meet</w:t>
      </w:r>
      <w:r>
        <w:rPr>
          <w:spacing w:val="-3"/>
          <w:sz w:val="24"/>
        </w:rPr>
        <w:t> </w:t>
      </w:r>
      <w:r>
        <w:rPr>
          <w:sz w:val="24"/>
        </w:rPr>
        <w:t>the</w:t>
      </w:r>
      <w:r>
        <w:rPr>
          <w:spacing w:val="-4"/>
          <w:sz w:val="24"/>
        </w:rPr>
        <w:t> </w:t>
      </w:r>
      <w:r>
        <w:rPr>
          <w:sz w:val="24"/>
        </w:rPr>
        <w:t>grade</w:t>
      </w:r>
      <w:r>
        <w:rPr>
          <w:spacing w:val="-4"/>
          <w:sz w:val="24"/>
        </w:rPr>
        <w:t> </w:t>
      </w:r>
      <w:r>
        <w:rPr>
          <w:sz w:val="24"/>
        </w:rPr>
        <w:t>point</w:t>
      </w:r>
      <w:r>
        <w:rPr>
          <w:spacing w:val="-3"/>
          <w:sz w:val="24"/>
        </w:rPr>
        <w:t> </w:t>
      </w:r>
      <w:r>
        <w:rPr>
          <w:sz w:val="24"/>
        </w:rPr>
        <w:t>requirement</w:t>
      </w:r>
      <w:r>
        <w:rPr>
          <w:spacing w:val="-3"/>
          <w:sz w:val="24"/>
        </w:rPr>
        <w:t> </w:t>
      </w:r>
      <w:r>
        <w:rPr>
          <w:sz w:val="24"/>
        </w:rPr>
        <w:t>may</w:t>
      </w:r>
      <w:r>
        <w:rPr>
          <w:spacing w:val="-4"/>
          <w:sz w:val="24"/>
        </w:rPr>
        <w:t> </w:t>
      </w:r>
      <w:r>
        <w:rPr>
          <w:sz w:val="24"/>
        </w:rPr>
        <w:t>continue</w:t>
      </w:r>
      <w:r>
        <w:rPr>
          <w:spacing w:val="-4"/>
          <w:sz w:val="24"/>
        </w:rPr>
        <w:t> </w:t>
      </w:r>
      <w:r>
        <w:rPr>
          <w:sz w:val="24"/>
        </w:rPr>
        <w:t>to</w:t>
      </w:r>
      <w:r>
        <w:rPr>
          <w:spacing w:val="-4"/>
          <w:sz w:val="24"/>
        </w:rPr>
        <w:t> </w:t>
      </w:r>
      <w:r>
        <w:rPr>
          <w:sz w:val="24"/>
        </w:rPr>
        <w:t>receive services not based on financial status.</w:t>
      </w:r>
    </w:p>
    <w:p>
      <w:pPr>
        <w:pStyle w:val="ListParagraph"/>
        <w:numPr>
          <w:ilvl w:val="1"/>
          <w:numId w:val="182"/>
        </w:numPr>
        <w:tabs>
          <w:tab w:pos="1236" w:val="left" w:leader="none"/>
        </w:tabs>
        <w:spacing w:line="208" w:lineRule="auto" w:before="240" w:after="0"/>
        <w:ind w:left="810" w:right="1475" w:firstLine="0"/>
        <w:jc w:val="left"/>
        <w:rPr>
          <w:sz w:val="24"/>
        </w:rPr>
      </w:pPr>
      <w:r>
        <w:rPr>
          <w:sz w:val="24"/>
        </w:rPr>
        <w:t>A</w:t>
      </w:r>
      <w:r>
        <w:rPr>
          <w:spacing w:val="-3"/>
          <w:sz w:val="24"/>
        </w:rPr>
        <w:t> </w:t>
      </w:r>
      <w:r>
        <w:rPr>
          <w:sz w:val="24"/>
        </w:rPr>
        <w:t>client</w:t>
      </w:r>
      <w:r>
        <w:rPr>
          <w:spacing w:val="-4"/>
          <w:sz w:val="24"/>
        </w:rPr>
        <w:t> </w:t>
      </w:r>
      <w:r>
        <w:rPr>
          <w:sz w:val="24"/>
        </w:rPr>
        <w:t>failing</w:t>
      </w:r>
      <w:r>
        <w:rPr>
          <w:spacing w:val="-3"/>
          <w:sz w:val="24"/>
        </w:rPr>
        <w:t> </w:t>
      </w:r>
      <w:r>
        <w:rPr>
          <w:sz w:val="24"/>
        </w:rPr>
        <w:t>to</w:t>
      </w:r>
      <w:r>
        <w:rPr>
          <w:spacing w:val="-3"/>
          <w:sz w:val="24"/>
        </w:rPr>
        <w:t> </w:t>
      </w:r>
      <w:r>
        <w:rPr>
          <w:sz w:val="24"/>
        </w:rPr>
        <w:t>meet</w:t>
      </w:r>
      <w:r>
        <w:rPr>
          <w:spacing w:val="-3"/>
          <w:sz w:val="24"/>
        </w:rPr>
        <w:t> </w:t>
      </w:r>
      <w:r>
        <w:rPr>
          <w:sz w:val="24"/>
        </w:rPr>
        <w:t>grade</w:t>
      </w:r>
      <w:r>
        <w:rPr>
          <w:spacing w:val="-3"/>
          <w:sz w:val="24"/>
        </w:rPr>
        <w:t> </w:t>
      </w:r>
      <w:r>
        <w:rPr>
          <w:sz w:val="24"/>
        </w:rPr>
        <w:t>point</w:t>
      </w:r>
      <w:r>
        <w:rPr>
          <w:spacing w:val="-3"/>
          <w:sz w:val="24"/>
        </w:rPr>
        <w:t> </w:t>
      </w:r>
      <w:r>
        <w:rPr>
          <w:sz w:val="24"/>
        </w:rPr>
        <w:t>requirements</w:t>
      </w:r>
      <w:r>
        <w:rPr>
          <w:spacing w:val="-3"/>
          <w:sz w:val="24"/>
        </w:rPr>
        <w:t> </w:t>
      </w:r>
      <w:r>
        <w:rPr>
          <w:sz w:val="24"/>
        </w:rPr>
        <w:t>may</w:t>
      </w:r>
      <w:r>
        <w:rPr>
          <w:spacing w:val="-4"/>
          <w:sz w:val="24"/>
        </w:rPr>
        <w:t> </w:t>
      </w:r>
      <w:r>
        <w:rPr>
          <w:sz w:val="24"/>
        </w:rPr>
        <w:t>be</w:t>
      </w:r>
      <w:r>
        <w:rPr>
          <w:spacing w:val="-3"/>
          <w:sz w:val="24"/>
        </w:rPr>
        <w:t> </w:t>
      </w:r>
      <w:r>
        <w:rPr>
          <w:sz w:val="24"/>
        </w:rPr>
        <w:t>approved</w:t>
      </w:r>
      <w:r>
        <w:rPr>
          <w:spacing w:val="-3"/>
          <w:sz w:val="24"/>
        </w:rPr>
        <w:t> </w:t>
      </w:r>
      <w:r>
        <w:rPr>
          <w:sz w:val="24"/>
        </w:rPr>
        <w:t>by</w:t>
      </w:r>
      <w:r>
        <w:rPr>
          <w:spacing w:val="-3"/>
          <w:sz w:val="24"/>
        </w:rPr>
        <w:t> </w:t>
      </w:r>
      <w:r>
        <w:rPr>
          <w:sz w:val="24"/>
        </w:rPr>
        <w:t>the counselor if there are extenuating circumstances beyond the client's control.</w:t>
      </w:r>
    </w:p>
    <w:p>
      <w:pPr>
        <w:pStyle w:val="ListParagraph"/>
        <w:numPr>
          <w:ilvl w:val="1"/>
          <w:numId w:val="182"/>
        </w:numPr>
        <w:tabs>
          <w:tab w:pos="1236" w:val="left" w:leader="none"/>
        </w:tabs>
        <w:spacing w:line="208" w:lineRule="auto" w:before="239" w:after="0"/>
        <w:ind w:left="810" w:right="929" w:firstLine="0"/>
        <w:jc w:val="left"/>
        <w:rPr>
          <w:sz w:val="24"/>
        </w:rPr>
      </w:pPr>
      <w:r>
        <w:rPr>
          <w:sz w:val="24"/>
        </w:rPr>
        <w:t>A client failing to meet grade point requirements will be contacted as soon as appropriate to complete a program review to determine if a change in services, vocational goal, or objectives is needed. A client failing to meet chosen goals will not have his/her case closed until the counselor has provided counseling and guidance</w:t>
      </w:r>
      <w:r>
        <w:rPr>
          <w:spacing w:val="-4"/>
          <w:sz w:val="24"/>
        </w:rPr>
        <w:t> </w:t>
      </w:r>
      <w:r>
        <w:rPr>
          <w:sz w:val="24"/>
        </w:rPr>
        <w:t>and</w:t>
      </w:r>
      <w:r>
        <w:rPr>
          <w:spacing w:val="-4"/>
          <w:sz w:val="24"/>
        </w:rPr>
        <w:t> </w:t>
      </w:r>
      <w:r>
        <w:rPr>
          <w:sz w:val="24"/>
        </w:rPr>
        <w:t>determined</w:t>
      </w:r>
      <w:r>
        <w:rPr>
          <w:spacing w:val="-4"/>
          <w:sz w:val="24"/>
        </w:rPr>
        <w:t> </w:t>
      </w:r>
      <w:r>
        <w:rPr>
          <w:sz w:val="24"/>
        </w:rPr>
        <w:t>that</w:t>
      </w:r>
      <w:r>
        <w:rPr>
          <w:spacing w:val="-3"/>
          <w:sz w:val="24"/>
        </w:rPr>
        <w:t> </w:t>
      </w:r>
      <w:r>
        <w:rPr>
          <w:sz w:val="24"/>
        </w:rPr>
        <w:t>a</w:t>
      </w:r>
      <w:r>
        <w:rPr>
          <w:spacing w:val="-5"/>
          <w:sz w:val="24"/>
        </w:rPr>
        <w:t> </w:t>
      </w:r>
      <w:r>
        <w:rPr>
          <w:sz w:val="24"/>
        </w:rPr>
        <w:t>change</w:t>
      </w:r>
      <w:r>
        <w:rPr>
          <w:spacing w:val="-4"/>
          <w:sz w:val="24"/>
        </w:rPr>
        <w:t> </w:t>
      </w:r>
      <w:r>
        <w:rPr>
          <w:sz w:val="24"/>
        </w:rPr>
        <w:t>in</w:t>
      </w:r>
      <w:r>
        <w:rPr>
          <w:spacing w:val="-4"/>
          <w:sz w:val="24"/>
        </w:rPr>
        <w:t> </w:t>
      </w:r>
      <w:r>
        <w:rPr>
          <w:sz w:val="24"/>
        </w:rPr>
        <w:t>the</w:t>
      </w:r>
      <w:r>
        <w:rPr>
          <w:spacing w:val="-4"/>
          <w:sz w:val="24"/>
        </w:rPr>
        <w:t> </w:t>
      </w:r>
      <w:r>
        <w:rPr>
          <w:sz w:val="24"/>
        </w:rPr>
        <w:t>IPE</w:t>
      </w:r>
      <w:r>
        <w:rPr>
          <w:spacing w:val="-4"/>
          <w:sz w:val="24"/>
        </w:rPr>
        <w:t> </w:t>
      </w:r>
      <w:r>
        <w:rPr>
          <w:sz w:val="24"/>
        </w:rPr>
        <w:t>is</w:t>
      </w:r>
      <w:r>
        <w:rPr>
          <w:spacing w:val="-4"/>
          <w:sz w:val="24"/>
        </w:rPr>
        <w:t> </w:t>
      </w:r>
      <w:r>
        <w:rPr>
          <w:sz w:val="24"/>
        </w:rPr>
        <w:t>inappropriate.</w:t>
      </w:r>
      <w:r>
        <w:rPr>
          <w:spacing w:val="-3"/>
          <w:sz w:val="24"/>
        </w:rPr>
        <w:t> </w:t>
      </w:r>
      <w:r>
        <w:rPr>
          <w:sz w:val="24"/>
        </w:rPr>
        <w:t>The</w:t>
      </w:r>
      <w:r>
        <w:rPr>
          <w:spacing w:val="-4"/>
          <w:sz w:val="24"/>
        </w:rPr>
        <w:t> </w:t>
      </w:r>
      <w:r>
        <w:rPr>
          <w:sz w:val="24"/>
        </w:rPr>
        <w:t>counselor should investigate the need for further vocational and/or educational evaluation to explore alternative employment goals.</w:t>
      </w:r>
    </w:p>
    <w:p>
      <w:pPr>
        <w:pStyle w:val="ListParagraph"/>
        <w:numPr>
          <w:ilvl w:val="0"/>
          <w:numId w:val="182"/>
        </w:numPr>
        <w:tabs>
          <w:tab w:pos="719" w:val="left" w:leader="none"/>
        </w:tabs>
        <w:spacing w:line="208" w:lineRule="auto" w:before="240" w:after="0"/>
        <w:ind w:left="360" w:right="845" w:firstLine="0"/>
        <w:jc w:val="left"/>
        <w:rPr>
          <w:sz w:val="24"/>
        </w:rPr>
      </w:pPr>
      <w:r>
        <w:rPr>
          <w:b/>
          <w:sz w:val="24"/>
        </w:rPr>
        <w:t>Withdrawals and failures. </w:t>
      </w:r>
      <w:r>
        <w:rPr>
          <w:sz w:val="24"/>
        </w:rPr>
        <w:t>Clients who withdraw or fail courses paid by DVR and DSBVI</w:t>
      </w:r>
      <w:r>
        <w:rPr>
          <w:spacing w:val="-2"/>
          <w:sz w:val="24"/>
        </w:rPr>
        <w:t> </w:t>
      </w:r>
      <w:r>
        <w:rPr>
          <w:sz w:val="24"/>
        </w:rPr>
        <w:t>will</w:t>
      </w:r>
      <w:r>
        <w:rPr>
          <w:spacing w:val="-2"/>
          <w:sz w:val="24"/>
        </w:rPr>
        <w:t> </w:t>
      </w:r>
      <w:r>
        <w:rPr>
          <w:sz w:val="24"/>
        </w:rPr>
        <w:t>be</w:t>
      </w:r>
      <w:r>
        <w:rPr>
          <w:spacing w:val="-3"/>
          <w:sz w:val="24"/>
        </w:rPr>
        <w:t> </w:t>
      </w:r>
      <w:r>
        <w:rPr>
          <w:sz w:val="24"/>
        </w:rPr>
        <w:t>required</w:t>
      </w:r>
      <w:r>
        <w:rPr>
          <w:spacing w:val="-2"/>
          <w:sz w:val="24"/>
        </w:rPr>
        <w:t> </w:t>
      </w:r>
      <w:r>
        <w:rPr>
          <w:sz w:val="24"/>
        </w:rPr>
        <w:t>to</w:t>
      </w:r>
      <w:r>
        <w:rPr>
          <w:spacing w:val="-3"/>
          <w:sz w:val="24"/>
        </w:rPr>
        <w:t> </w:t>
      </w:r>
      <w:r>
        <w:rPr>
          <w:sz w:val="24"/>
        </w:rPr>
        <w:t>pay</w:t>
      </w:r>
      <w:r>
        <w:rPr>
          <w:spacing w:val="-4"/>
          <w:sz w:val="24"/>
        </w:rPr>
        <w:t> </w:t>
      </w:r>
      <w:r>
        <w:rPr>
          <w:sz w:val="24"/>
        </w:rPr>
        <w:t>for</w:t>
      </w:r>
      <w:r>
        <w:rPr>
          <w:spacing w:val="-4"/>
          <w:sz w:val="24"/>
        </w:rPr>
        <w:t> </w:t>
      </w:r>
      <w:r>
        <w:rPr>
          <w:sz w:val="24"/>
        </w:rPr>
        <w:t>a</w:t>
      </w:r>
      <w:r>
        <w:rPr>
          <w:spacing w:val="-3"/>
          <w:sz w:val="24"/>
        </w:rPr>
        <w:t> </w:t>
      </w:r>
      <w:r>
        <w:rPr>
          <w:sz w:val="24"/>
        </w:rPr>
        <w:t>like</w:t>
      </w:r>
      <w:r>
        <w:rPr>
          <w:spacing w:val="-3"/>
          <w:sz w:val="24"/>
        </w:rPr>
        <w:t> </w:t>
      </w:r>
      <w:r>
        <w:rPr>
          <w:sz w:val="24"/>
        </w:rPr>
        <w:t>number</w:t>
      </w:r>
      <w:r>
        <w:rPr>
          <w:spacing w:val="-2"/>
          <w:sz w:val="24"/>
        </w:rPr>
        <w:t> </w:t>
      </w:r>
      <w:r>
        <w:rPr>
          <w:sz w:val="24"/>
        </w:rPr>
        <w:t>of</w:t>
      </w:r>
      <w:r>
        <w:rPr>
          <w:spacing w:val="-2"/>
          <w:sz w:val="24"/>
        </w:rPr>
        <w:t> </w:t>
      </w:r>
      <w:r>
        <w:rPr>
          <w:sz w:val="24"/>
        </w:rPr>
        <w:t>hours</w:t>
      </w:r>
      <w:r>
        <w:rPr>
          <w:spacing w:val="-4"/>
          <w:sz w:val="24"/>
        </w:rPr>
        <w:t> </w:t>
      </w:r>
      <w:r>
        <w:rPr>
          <w:sz w:val="24"/>
        </w:rPr>
        <w:t>during</w:t>
      </w:r>
      <w:r>
        <w:rPr>
          <w:spacing w:val="-3"/>
          <w:sz w:val="24"/>
        </w:rPr>
        <w:t> </w:t>
      </w:r>
      <w:r>
        <w:rPr>
          <w:sz w:val="24"/>
        </w:rPr>
        <w:t>the</w:t>
      </w:r>
      <w:r>
        <w:rPr>
          <w:spacing w:val="-3"/>
          <w:sz w:val="24"/>
        </w:rPr>
        <w:t> </w:t>
      </w:r>
      <w:r>
        <w:rPr>
          <w:sz w:val="24"/>
        </w:rPr>
        <w:t>following</w:t>
      </w:r>
      <w:r>
        <w:rPr>
          <w:spacing w:val="-3"/>
          <w:sz w:val="24"/>
        </w:rPr>
        <w:t> </w:t>
      </w:r>
      <w:r>
        <w:rPr>
          <w:sz w:val="24"/>
        </w:rPr>
        <w:t>enrollment period subject to the guidelines in (a) of this Section.</w:t>
      </w:r>
    </w:p>
    <w:p>
      <w:pPr>
        <w:pStyle w:val="ListParagraph"/>
        <w:numPr>
          <w:ilvl w:val="0"/>
          <w:numId w:val="182"/>
        </w:numPr>
        <w:tabs>
          <w:tab w:pos="786" w:val="left" w:leader="none"/>
        </w:tabs>
        <w:spacing w:line="208" w:lineRule="auto" w:before="239" w:after="0"/>
        <w:ind w:left="360" w:right="1006" w:firstLine="0"/>
        <w:jc w:val="left"/>
        <w:rPr>
          <w:sz w:val="24"/>
        </w:rPr>
      </w:pPr>
      <w:r>
        <w:rPr>
          <w:b/>
          <w:sz w:val="24"/>
        </w:rPr>
        <w:t>Changes in training program</w:t>
      </w:r>
      <w:r>
        <w:rPr>
          <w:sz w:val="24"/>
        </w:rPr>
        <w:t>. Client will be required to sponsor a like amount when</w:t>
      </w:r>
      <w:r>
        <w:rPr>
          <w:spacing w:val="-4"/>
          <w:sz w:val="24"/>
        </w:rPr>
        <w:t> </w:t>
      </w:r>
      <w:r>
        <w:rPr>
          <w:sz w:val="24"/>
        </w:rPr>
        <w:t>there</w:t>
      </w:r>
      <w:r>
        <w:rPr>
          <w:spacing w:val="-3"/>
          <w:sz w:val="24"/>
        </w:rPr>
        <w:t> </w:t>
      </w:r>
      <w:r>
        <w:rPr>
          <w:sz w:val="24"/>
        </w:rPr>
        <w:t>is</w:t>
      </w:r>
      <w:r>
        <w:rPr>
          <w:spacing w:val="-4"/>
          <w:sz w:val="24"/>
        </w:rPr>
        <w:t> </w:t>
      </w:r>
      <w:r>
        <w:rPr>
          <w:sz w:val="24"/>
        </w:rPr>
        <w:t>a</w:t>
      </w:r>
      <w:r>
        <w:rPr>
          <w:spacing w:val="-4"/>
          <w:sz w:val="24"/>
        </w:rPr>
        <w:t> </w:t>
      </w:r>
      <w:r>
        <w:rPr>
          <w:sz w:val="24"/>
        </w:rPr>
        <w:t>change</w:t>
      </w:r>
      <w:r>
        <w:rPr>
          <w:spacing w:val="-4"/>
          <w:sz w:val="24"/>
        </w:rPr>
        <w:t> </w:t>
      </w:r>
      <w:r>
        <w:rPr>
          <w:sz w:val="24"/>
        </w:rPr>
        <w:t>in</w:t>
      </w:r>
      <w:r>
        <w:rPr>
          <w:spacing w:val="-4"/>
          <w:sz w:val="24"/>
        </w:rPr>
        <w:t> </w:t>
      </w:r>
      <w:r>
        <w:rPr>
          <w:sz w:val="24"/>
        </w:rPr>
        <w:t>the</w:t>
      </w:r>
      <w:r>
        <w:rPr>
          <w:spacing w:val="-4"/>
          <w:sz w:val="24"/>
        </w:rPr>
        <w:t> </w:t>
      </w:r>
      <w:r>
        <w:rPr>
          <w:sz w:val="24"/>
        </w:rPr>
        <w:t>planned</w:t>
      </w:r>
      <w:r>
        <w:rPr>
          <w:spacing w:val="-4"/>
          <w:sz w:val="24"/>
        </w:rPr>
        <w:t> </w:t>
      </w:r>
      <w:r>
        <w:rPr>
          <w:sz w:val="24"/>
        </w:rPr>
        <w:t>training,</w:t>
      </w:r>
      <w:r>
        <w:rPr>
          <w:spacing w:val="-3"/>
          <w:sz w:val="24"/>
        </w:rPr>
        <w:t> </w:t>
      </w:r>
      <w:r>
        <w:rPr>
          <w:sz w:val="24"/>
        </w:rPr>
        <w:t>and</w:t>
      </w:r>
      <w:r>
        <w:rPr>
          <w:spacing w:val="-4"/>
          <w:sz w:val="24"/>
        </w:rPr>
        <w:t> </w:t>
      </w:r>
      <w:r>
        <w:rPr>
          <w:sz w:val="24"/>
        </w:rPr>
        <w:t>coursework</w:t>
      </w:r>
      <w:r>
        <w:rPr>
          <w:spacing w:val="-4"/>
          <w:sz w:val="24"/>
        </w:rPr>
        <w:t> </w:t>
      </w:r>
      <w:r>
        <w:rPr>
          <w:sz w:val="24"/>
        </w:rPr>
        <w:t>previously</w:t>
      </w:r>
      <w:r>
        <w:rPr>
          <w:spacing w:val="-4"/>
          <w:sz w:val="24"/>
        </w:rPr>
        <w:t> </w:t>
      </w:r>
      <w:r>
        <w:rPr>
          <w:sz w:val="24"/>
        </w:rPr>
        <w:t>sponsored by DRS cannot be applied to the new training program. This will not be applied when the change is required due to the disability.</w:t>
      </w:r>
    </w:p>
    <w:p>
      <w:pPr>
        <w:pStyle w:val="ListParagraph"/>
        <w:spacing w:after="0" w:line="208" w:lineRule="auto"/>
        <w:jc w:val="left"/>
        <w:rPr>
          <w:sz w:val="24"/>
        </w:rPr>
        <w:sectPr>
          <w:pgSz w:w="12240" w:h="15840"/>
          <w:pgMar w:top="1340" w:bottom="280" w:left="1080" w:right="720"/>
        </w:sectPr>
      </w:pPr>
    </w:p>
    <w:p>
      <w:pPr>
        <w:spacing w:before="80"/>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11-17-94</w:t>
      </w:r>
      <w:r>
        <w:rPr>
          <w:spacing w:val="80"/>
          <w:sz w:val="22"/>
        </w:rPr>
        <w:t> </w:t>
      </w:r>
      <w:r>
        <w:rPr>
          <w:sz w:val="22"/>
        </w:rPr>
        <w:t>PT Memo #94-5</w:t>
      </w:r>
    </w:p>
    <w:p>
      <w:pPr>
        <w:spacing w:before="0"/>
        <w:ind w:left="1439" w:right="775" w:firstLine="0"/>
        <w:jc w:val="left"/>
        <w:rPr>
          <w:sz w:val="22"/>
        </w:rPr>
      </w:pPr>
      <w:r>
        <w:rPr>
          <w:sz w:val="22"/>
        </w:rPr>
        <w:t>Emergency,</w:t>
      </w:r>
      <w:r>
        <w:rPr>
          <w:spacing w:val="-4"/>
          <w:sz w:val="22"/>
        </w:rPr>
        <w:t> </w:t>
      </w:r>
      <w:r>
        <w:rPr>
          <w:sz w:val="22"/>
        </w:rPr>
        <w:t>clarify</w:t>
      </w:r>
      <w:r>
        <w:rPr>
          <w:spacing w:val="-4"/>
          <w:sz w:val="22"/>
        </w:rPr>
        <w:t> </w:t>
      </w:r>
      <w:r>
        <w:rPr>
          <w:sz w:val="22"/>
        </w:rPr>
        <w:t>that</w:t>
      </w:r>
      <w:r>
        <w:rPr>
          <w:spacing w:val="-4"/>
          <w:sz w:val="22"/>
        </w:rPr>
        <w:t> </w:t>
      </w:r>
      <w:r>
        <w:rPr>
          <w:sz w:val="22"/>
        </w:rPr>
        <w:t>tuition</w:t>
      </w:r>
      <w:r>
        <w:rPr>
          <w:spacing w:val="-4"/>
          <w:sz w:val="22"/>
        </w:rPr>
        <w:t> </w:t>
      </w:r>
      <w:r>
        <w:rPr>
          <w:sz w:val="22"/>
        </w:rPr>
        <w:t>and</w:t>
      </w:r>
      <w:r>
        <w:rPr>
          <w:spacing w:val="-4"/>
          <w:sz w:val="22"/>
        </w:rPr>
        <w:t> </w:t>
      </w:r>
      <w:r>
        <w:rPr>
          <w:sz w:val="22"/>
        </w:rPr>
        <w:t>fees</w:t>
      </w:r>
      <w:r>
        <w:rPr>
          <w:spacing w:val="-4"/>
          <w:sz w:val="22"/>
        </w:rPr>
        <w:t> </w:t>
      </w:r>
      <w:r>
        <w:rPr>
          <w:sz w:val="22"/>
        </w:rPr>
        <w:t>will</w:t>
      </w:r>
      <w:r>
        <w:rPr>
          <w:spacing w:val="-4"/>
          <w:sz w:val="22"/>
        </w:rPr>
        <w:t> </w:t>
      </w:r>
      <w:r>
        <w:rPr>
          <w:sz w:val="22"/>
        </w:rPr>
        <w:t>be</w:t>
      </w:r>
      <w:r>
        <w:rPr>
          <w:spacing w:val="-4"/>
          <w:sz w:val="22"/>
        </w:rPr>
        <w:t> </w:t>
      </w:r>
      <w:r>
        <w:rPr>
          <w:sz w:val="22"/>
        </w:rPr>
        <w:t>withheld</w:t>
      </w:r>
      <w:r>
        <w:rPr>
          <w:spacing w:val="-4"/>
          <w:sz w:val="22"/>
        </w:rPr>
        <w:t> </w:t>
      </w:r>
      <w:r>
        <w:rPr>
          <w:sz w:val="22"/>
        </w:rPr>
        <w:t>if</w:t>
      </w:r>
      <w:r>
        <w:rPr>
          <w:spacing w:val="-4"/>
          <w:sz w:val="22"/>
        </w:rPr>
        <w:t> </w:t>
      </w:r>
      <w:r>
        <w:rPr>
          <w:sz w:val="22"/>
        </w:rPr>
        <w:t>client</w:t>
      </w:r>
      <w:r>
        <w:rPr>
          <w:spacing w:val="-4"/>
          <w:sz w:val="22"/>
        </w:rPr>
        <w:t> </w:t>
      </w:r>
      <w:r>
        <w:rPr>
          <w:sz w:val="22"/>
        </w:rPr>
        <w:t>doesn't</w:t>
      </w:r>
      <w:r>
        <w:rPr>
          <w:spacing w:val="-4"/>
          <w:sz w:val="22"/>
        </w:rPr>
        <w:t> </w:t>
      </w:r>
      <w:r>
        <w:rPr>
          <w:sz w:val="22"/>
        </w:rPr>
        <w:t>make satisfactory progress.</w:t>
      </w:r>
    </w:p>
    <w:p>
      <w:pPr>
        <w:tabs>
          <w:tab w:pos="1439" w:val="left" w:leader="none"/>
        </w:tabs>
        <w:spacing w:line="252" w:lineRule="exact" w:before="0"/>
        <w:ind w:left="359" w:right="0" w:firstLine="0"/>
        <w:jc w:val="left"/>
        <w:rPr>
          <w:sz w:val="22"/>
        </w:rPr>
      </w:pPr>
      <w:r>
        <w:rPr>
          <w:spacing w:val="-2"/>
          <w:sz w:val="22"/>
        </w:rPr>
        <w:t>7-1-</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tabs>
          <w:tab w:pos="1439" w:val="left" w:leader="none"/>
        </w:tabs>
        <w:spacing w:before="1"/>
        <w:ind w:left="359" w:right="3337"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11-17-94 </w:t>
      </w:r>
      <w:r>
        <w:rPr>
          <w:spacing w:val="-2"/>
          <w:sz w:val="22"/>
        </w:rPr>
        <w:t>4-3-96</w:t>
      </w:r>
      <w:r>
        <w:rPr>
          <w:sz w:val="22"/>
        </w:rPr>
        <w:tab/>
        <w:t>PT Memo #96-2</w:t>
      </w:r>
    </w:p>
    <w:p>
      <w:pPr>
        <w:spacing w:before="0"/>
        <w:ind w:left="1439" w:right="0" w:firstLine="0"/>
        <w:jc w:val="left"/>
        <w:rPr>
          <w:sz w:val="22"/>
        </w:rPr>
      </w:pPr>
      <w:r>
        <w:rPr>
          <w:sz w:val="22"/>
        </w:rPr>
        <w:t>Emergency,</w:t>
      </w:r>
      <w:r>
        <w:rPr>
          <w:spacing w:val="-4"/>
          <w:sz w:val="22"/>
        </w:rPr>
        <w:t> </w:t>
      </w:r>
      <w:r>
        <w:rPr>
          <w:sz w:val="22"/>
        </w:rPr>
        <w:t>removed</w:t>
      </w:r>
      <w:r>
        <w:rPr>
          <w:spacing w:val="-4"/>
          <w:sz w:val="22"/>
        </w:rPr>
        <w:t> </w:t>
      </w:r>
      <w:r>
        <w:rPr>
          <w:sz w:val="22"/>
        </w:rPr>
        <w:t>wording</w:t>
      </w:r>
      <w:r>
        <w:rPr>
          <w:spacing w:val="-4"/>
          <w:sz w:val="22"/>
        </w:rPr>
        <w:t> </w:t>
      </w:r>
      <w:r>
        <w:rPr>
          <w:sz w:val="22"/>
        </w:rPr>
        <w:t>that</w:t>
      </w:r>
      <w:r>
        <w:rPr>
          <w:spacing w:val="-4"/>
          <w:sz w:val="22"/>
        </w:rPr>
        <w:t> </w:t>
      </w:r>
      <w:r>
        <w:rPr>
          <w:sz w:val="22"/>
        </w:rPr>
        <w:t>indicated</w:t>
      </w:r>
      <w:r>
        <w:rPr>
          <w:spacing w:val="-4"/>
          <w:sz w:val="22"/>
        </w:rPr>
        <w:t> </w:t>
      </w:r>
      <w:r>
        <w:rPr>
          <w:sz w:val="22"/>
        </w:rPr>
        <w:t>tuition</w:t>
      </w:r>
      <w:r>
        <w:rPr>
          <w:spacing w:val="-4"/>
          <w:sz w:val="22"/>
        </w:rPr>
        <w:t> </w:t>
      </w:r>
      <w:r>
        <w:rPr>
          <w:sz w:val="22"/>
        </w:rPr>
        <w:t>and</w:t>
      </w:r>
      <w:r>
        <w:rPr>
          <w:spacing w:val="-4"/>
          <w:sz w:val="22"/>
        </w:rPr>
        <w:t> </w:t>
      </w:r>
      <w:r>
        <w:rPr>
          <w:sz w:val="22"/>
        </w:rPr>
        <w:t>fees</w:t>
      </w:r>
      <w:r>
        <w:rPr>
          <w:spacing w:val="-5"/>
          <w:sz w:val="22"/>
        </w:rPr>
        <w:t> </w:t>
      </w:r>
      <w:r>
        <w:rPr>
          <w:sz w:val="22"/>
        </w:rPr>
        <w:t>were</w:t>
      </w:r>
      <w:r>
        <w:rPr>
          <w:spacing w:val="-4"/>
          <w:sz w:val="22"/>
        </w:rPr>
        <w:t> </w:t>
      </w:r>
      <w:r>
        <w:rPr>
          <w:sz w:val="22"/>
        </w:rPr>
        <w:t>exempt</w:t>
      </w:r>
      <w:r>
        <w:rPr>
          <w:spacing w:val="-4"/>
          <w:sz w:val="22"/>
        </w:rPr>
        <w:t> </w:t>
      </w:r>
      <w:r>
        <w:rPr>
          <w:sz w:val="22"/>
        </w:rPr>
        <w:t>from</w:t>
      </w:r>
      <w:r>
        <w:rPr>
          <w:spacing w:val="-5"/>
          <w:sz w:val="22"/>
        </w:rPr>
        <w:t> </w:t>
      </w:r>
      <w:r>
        <w:rPr>
          <w:sz w:val="22"/>
        </w:rPr>
        <w:t>client participation in cost.</w:t>
      </w:r>
    </w:p>
    <w:p>
      <w:pPr>
        <w:pStyle w:val="ListParagraph"/>
        <w:numPr>
          <w:ilvl w:val="2"/>
          <w:numId w:val="183"/>
        </w:numPr>
        <w:tabs>
          <w:tab w:pos="1439" w:val="left" w:leader="none"/>
        </w:tabs>
        <w:spacing w:line="252"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3580" w:firstLine="1080"/>
        <w:jc w:val="left"/>
        <w:rPr>
          <w:sz w:val="22"/>
        </w:rPr>
      </w:pPr>
      <w:r>
        <w:rPr>
          <w:sz w:val="22"/>
        </w:rPr>
        <w:t>Permanent,</w:t>
      </w:r>
      <w:r>
        <w:rPr>
          <w:spacing w:val="-7"/>
          <w:sz w:val="22"/>
        </w:rPr>
        <w:t> </w:t>
      </w:r>
      <w:r>
        <w:rPr>
          <w:sz w:val="22"/>
        </w:rPr>
        <w:t>supersedes</w:t>
      </w:r>
      <w:r>
        <w:rPr>
          <w:spacing w:val="-8"/>
          <w:sz w:val="22"/>
        </w:rPr>
        <w:t> </w:t>
      </w:r>
      <w:r>
        <w:rPr>
          <w:sz w:val="22"/>
        </w:rPr>
        <w:t>emergency</w:t>
      </w:r>
      <w:r>
        <w:rPr>
          <w:spacing w:val="-8"/>
          <w:sz w:val="22"/>
        </w:rPr>
        <w:t> </w:t>
      </w:r>
      <w:r>
        <w:rPr>
          <w:sz w:val="22"/>
        </w:rPr>
        <w:t>rules</w:t>
      </w:r>
      <w:r>
        <w:rPr>
          <w:spacing w:val="-8"/>
          <w:sz w:val="22"/>
        </w:rPr>
        <w:t> </w:t>
      </w:r>
      <w:r>
        <w:rPr>
          <w:sz w:val="22"/>
        </w:rPr>
        <w:t>issued</w:t>
      </w:r>
      <w:r>
        <w:rPr>
          <w:spacing w:val="-8"/>
          <w:sz w:val="22"/>
        </w:rPr>
        <w:t> </w:t>
      </w:r>
      <w:r>
        <w:rPr>
          <w:sz w:val="22"/>
        </w:rPr>
        <w:t>4-3-96 </w:t>
      </w:r>
      <w:r>
        <w:rPr>
          <w:spacing w:val="-2"/>
          <w:sz w:val="22"/>
        </w:rPr>
        <w:t>7-1-98</w:t>
      </w:r>
      <w:r>
        <w:rPr>
          <w:sz w:val="22"/>
        </w:rPr>
        <w:tab/>
        <w:t>PT Memo #98-15</w:t>
      </w:r>
    </w:p>
    <w:p>
      <w:pPr>
        <w:tabs>
          <w:tab w:pos="1439" w:val="left" w:leader="none"/>
        </w:tabs>
        <w:spacing w:before="1"/>
        <w:ind w:left="359" w:right="4877" w:firstLine="1080"/>
        <w:jc w:val="left"/>
        <w:rPr>
          <w:sz w:val="22"/>
        </w:rPr>
      </w:pPr>
      <w:r>
        <w:rPr>
          <w:sz w:val="22"/>
        </w:rPr>
        <w:t>Permanent,</w:t>
      </w:r>
      <w:r>
        <w:rPr>
          <w:spacing w:val="-7"/>
          <w:sz w:val="22"/>
        </w:rPr>
        <w:t> </w:t>
      </w:r>
      <w:r>
        <w:rPr>
          <w:sz w:val="22"/>
        </w:rPr>
        <w:t>Clean-up</w:t>
      </w:r>
      <w:r>
        <w:rPr>
          <w:spacing w:val="-8"/>
          <w:sz w:val="22"/>
        </w:rPr>
        <w:t> </w:t>
      </w:r>
      <w:r>
        <w:rPr>
          <w:sz w:val="22"/>
        </w:rPr>
        <w:t>editing;</w:t>
      </w:r>
      <w:r>
        <w:rPr>
          <w:spacing w:val="-8"/>
          <w:sz w:val="22"/>
        </w:rPr>
        <w:t> </w:t>
      </w:r>
      <w:r>
        <w:rPr>
          <w:sz w:val="22"/>
        </w:rPr>
        <w:t>added</w:t>
      </w:r>
      <w:r>
        <w:rPr>
          <w:spacing w:val="-9"/>
          <w:sz w:val="22"/>
        </w:rPr>
        <w:t> </w:t>
      </w:r>
      <w:r>
        <w:rPr>
          <w:sz w:val="22"/>
        </w:rPr>
        <w:t>ITS</w:t>
      </w:r>
      <w:r>
        <w:rPr>
          <w:spacing w:val="-8"/>
          <w:sz w:val="22"/>
        </w:rPr>
        <w:t> </w:t>
      </w:r>
      <w:r>
        <w:rPr>
          <w:sz w:val="22"/>
        </w:rPr>
        <w:t>2 </w:t>
      </w:r>
      <w:r>
        <w:rPr>
          <w:spacing w:val="-2"/>
          <w:sz w:val="22"/>
        </w:rPr>
        <w:t>6-14-99</w:t>
      </w:r>
      <w:r>
        <w:rPr>
          <w:sz w:val="22"/>
        </w:rPr>
        <w:tab/>
        <w:t>POL Memo #99-7</w:t>
      </w:r>
    </w:p>
    <w:p>
      <w:pPr>
        <w:spacing w:before="0"/>
        <w:ind w:left="1439" w:right="775" w:firstLine="0"/>
        <w:jc w:val="left"/>
        <w:rPr>
          <w:sz w:val="22"/>
        </w:rPr>
      </w:pPr>
      <w:r>
        <w:rPr>
          <w:sz w:val="22"/>
        </w:rPr>
        <w:t>Emergency,</w:t>
      </w:r>
      <w:r>
        <w:rPr>
          <w:spacing w:val="-6"/>
          <w:sz w:val="22"/>
        </w:rPr>
        <w:t> </w:t>
      </w:r>
      <w:r>
        <w:rPr>
          <w:sz w:val="22"/>
        </w:rPr>
        <w:t>updated</w:t>
      </w:r>
      <w:r>
        <w:rPr>
          <w:spacing w:val="-6"/>
          <w:sz w:val="22"/>
        </w:rPr>
        <w:t> </w:t>
      </w:r>
      <w:r>
        <w:rPr>
          <w:sz w:val="22"/>
        </w:rPr>
        <w:t>DVR/DVS;</w:t>
      </w:r>
      <w:r>
        <w:rPr>
          <w:spacing w:val="-6"/>
          <w:sz w:val="22"/>
        </w:rPr>
        <w:t> </w:t>
      </w:r>
      <w:r>
        <w:rPr>
          <w:sz w:val="22"/>
        </w:rPr>
        <w:t>changed</w:t>
      </w:r>
      <w:r>
        <w:rPr>
          <w:spacing w:val="-6"/>
          <w:sz w:val="22"/>
        </w:rPr>
        <w:t> </w:t>
      </w:r>
      <w:r>
        <w:rPr>
          <w:sz w:val="22"/>
        </w:rPr>
        <w:t>Department</w:t>
      </w:r>
      <w:r>
        <w:rPr>
          <w:spacing w:val="-6"/>
          <w:sz w:val="22"/>
        </w:rPr>
        <w:t> </w:t>
      </w:r>
      <w:r>
        <w:rPr>
          <w:sz w:val="22"/>
        </w:rPr>
        <w:t>sponsorship</w:t>
      </w:r>
      <w:r>
        <w:rPr>
          <w:spacing w:val="-6"/>
          <w:sz w:val="22"/>
        </w:rPr>
        <w:t> </w:t>
      </w:r>
      <w:r>
        <w:rPr>
          <w:sz w:val="22"/>
        </w:rPr>
        <w:t>guidelines</w:t>
      </w:r>
      <w:r>
        <w:rPr>
          <w:spacing w:val="-6"/>
          <w:sz w:val="22"/>
        </w:rPr>
        <w:t> </w:t>
      </w:r>
      <w:r>
        <w:rPr>
          <w:sz w:val="22"/>
        </w:rPr>
        <w:t>to grade point requirements.</w:t>
      </w:r>
    </w:p>
    <w:p>
      <w:pPr>
        <w:tabs>
          <w:tab w:pos="1439" w:val="left" w:leader="none"/>
        </w:tabs>
        <w:spacing w:before="0"/>
        <w:ind w:left="359" w:right="0" w:firstLine="0"/>
        <w:jc w:val="left"/>
        <w:rPr>
          <w:sz w:val="22"/>
        </w:rPr>
      </w:pPr>
      <w:r>
        <w:rPr>
          <w:spacing w:val="-2"/>
          <w:sz w:val="22"/>
        </w:rPr>
        <w:t>7-1-</w:t>
      </w:r>
      <w:r>
        <w:rPr>
          <w:spacing w:val="-5"/>
          <w:sz w:val="22"/>
        </w:rPr>
        <w:t>99</w:t>
      </w:r>
      <w:r>
        <w:rPr>
          <w:sz w:val="22"/>
        </w:rPr>
        <w:tab/>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7-1-02</w:t>
      </w:r>
      <w:r>
        <w:rPr>
          <w:sz w:val="22"/>
        </w:rPr>
        <w:tab/>
        <w:t>POL Memo #02-02</w:t>
      </w:r>
    </w:p>
    <w:p>
      <w:pPr>
        <w:tabs>
          <w:tab w:pos="1439" w:val="left" w:leader="none"/>
        </w:tabs>
        <w:spacing w:before="0"/>
        <w:ind w:left="359" w:right="4101" w:firstLine="1080"/>
        <w:jc w:val="left"/>
        <w:rPr>
          <w:sz w:val="22"/>
        </w:rPr>
      </w:pPr>
      <w:r>
        <w:rPr>
          <w:sz w:val="22"/>
        </w:rPr>
        <w:t>Permanent,</w:t>
      </w:r>
      <w:r>
        <w:rPr>
          <w:spacing w:val="-6"/>
          <w:sz w:val="22"/>
        </w:rPr>
        <w:t> </w:t>
      </w:r>
      <w:r>
        <w:rPr>
          <w:sz w:val="22"/>
        </w:rPr>
        <w:t>cutoff</w:t>
      </w:r>
      <w:r>
        <w:rPr>
          <w:spacing w:val="-7"/>
          <w:sz w:val="22"/>
        </w:rPr>
        <w:t> </w:t>
      </w:r>
      <w:r>
        <w:rPr>
          <w:sz w:val="22"/>
        </w:rPr>
        <w:t>for</w:t>
      </w:r>
      <w:r>
        <w:rPr>
          <w:spacing w:val="-7"/>
          <w:sz w:val="22"/>
        </w:rPr>
        <w:t> </w:t>
      </w:r>
      <w:r>
        <w:rPr>
          <w:sz w:val="22"/>
        </w:rPr>
        <w:t>payment</w:t>
      </w:r>
      <w:r>
        <w:rPr>
          <w:spacing w:val="-7"/>
          <w:sz w:val="22"/>
        </w:rPr>
        <w:t> </w:t>
      </w:r>
      <w:r>
        <w:rPr>
          <w:sz w:val="22"/>
        </w:rPr>
        <w:t>of</w:t>
      </w:r>
      <w:r>
        <w:rPr>
          <w:spacing w:val="-7"/>
          <w:sz w:val="22"/>
        </w:rPr>
        <w:t> </w:t>
      </w:r>
      <w:r>
        <w:rPr>
          <w:sz w:val="22"/>
        </w:rPr>
        <w:t>semester's</w:t>
      </w:r>
      <w:r>
        <w:rPr>
          <w:spacing w:val="-7"/>
          <w:sz w:val="22"/>
        </w:rPr>
        <w:t> </w:t>
      </w:r>
      <w:r>
        <w:rPr>
          <w:sz w:val="22"/>
        </w:rPr>
        <w:t>costs </w:t>
      </w:r>
      <w:r>
        <w:rPr>
          <w:spacing w:val="-2"/>
          <w:sz w:val="22"/>
        </w:rPr>
        <w:t>10-1-07</w:t>
      </w:r>
      <w:r>
        <w:rPr>
          <w:sz w:val="22"/>
        </w:rPr>
        <w:tab/>
        <w:t>PT Memo #08-02</w:t>
      </w:r>
    </w:p>
    <w:p>
      <w:pPr>
        <w:spacing w:line="252" w:lineRule="exact" w:before="0"/>
        <w:ind w:left="1439" w:right="0" w:firstLine="0"/>
        <w:jc w:val="left"/>
        <w:rPr>
          <w:sz w:val="22"/>
        </w:rPr>
      </w:pPr>
      <w:r>
        <w:rPr>
          <w:sz w:val="22"/>
        </w:rPr>
        <w:t>Permanent,</w:t>
      </w:r>
      <w:r>
        <w:rPr>
          <w:spacing w:val="-8"/>
          <w:sz w:val="22"/>
        </w:rPr>
        <w:t> </w:t>
      </w:r>
      <w:r>
        <w:rPr>
          <w:sz w:val="22"/>
        </w:rPr>
        <w:t>AWARE</w:t>
      </w:r>
      <w:r>
        <w:rPr>
          <w:spacing w:val="-8"/>
          <w:sz w:val="22"/>
        </w:rPr>
        <w:t> </w:t>
      </w:r>
      <w:r>
        <w:rPr>
          <w:sz w:val="22"/>
        </w:rPr>
        <w:t>change.</w:t>
      </w:r>
      <w:r>
        <w:rPr>
          <w:spacing w:val="45"/>
          <w:sz w:val="22"/>
        </w:rPr>
        <w:t> </w:t>
      </w:r>
      <w:r>
        <w:rPr>
          <w:sz w:val="22"/>
        </w:rPr>
        <w:t>Removed</w:t>
      </w:r>
      <w:r>
        <w:rPr>
          <w:spacing w:val="-8"/>
          <w:sz w:val="22"/>
        </w:rPr>
        <w:t> </w:t>
      </w:r>
      <w:r>
        <w:rPr>
          <w:sz w:val="22"/>
        </w:rPr>
        <w:t>Case</w:t>
      </w:r>
      <w:r>
        <w:rPr>
          <w:spacing w:val="-8"/>
          <w:sz w:val="22"/>
        </w:rPr>
        <w:t> </w:t>
      </w:r>
      <w:r>
        <w:rPr>
          <w:sz w:val="22"/>
        </w:rPr>
        <w:t>Narrative</w:t>
      </w:r>
      <w:r>
        <w:rPr>
          <w:spacing w:val="-8"/>
          <w:sz w:val="22"/>
        </w:rPr>
        <w:t> </w:t>
      </w:r>
      <w:r>
        <w:rPr>
          <w:sz w:val="22"/>
        </w:rPr>
        <w:t>form</w:t>
      </w:r>
      <w:r>
        <w:rPr>
          <w:spacing w:val="-9"/>
          <w:sz w:val="22"/>
        </w:rPr>
        <w:t> </w:t>
      </w:r>
      <w:r>
        <w:rPr>
          <w:spacing w:val="-2"/>
          <w:sz w:val="22"/>
        </w:rPr>
        <w:t>reference.</w:t>
      </w:r>
    </w:p>
    <w:p>
      <w:pPr>
        <w:pStyle w:val="ListParagraph"/>
        <w:numPr>
          <w:ilvl w:val="2"/>
          <w:numId w:val="184"/>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#10-</w:t>
      </w:r>
      <w:r>
        <w:rPr>
          <w:spacing w:val="-5"/>
          <w:sz w:val="22"/>
        </w:rPr>
        <w:t>02</w:t>
      </w:r>
    </w:p>
    <w:p>
      <w:pPr>
        <w:spacing w:before="1"/>
        <w:ind w:left="1439" w:right="0" w:firstLine="0"/>
        <w:jc w:val="left"/>
        <w:rPr>
          <w:sz w:val="22"/>
        </w:rPr>
      </w:pPr>
      <w:r>
        <w:rPr>
          <w:sz w:val="22"/>
        </w:rPr>
        <w:t>Permanent,</w:t>
      </w:r>
      <w:r>
        <w:rPr>
          <w:spacing w:val="-8"/>
          <w:sz w:val="22"/>
        </w:rPr>
        <w:t> </w:t>
      </w:r>
      <w:r>
        <w:rPr>
          <w:sz w:val="22"/>
        </w:rPr>
        <w:t>removal</w:t>
      </w:r>
      <w:r>
        <w:rPr>
          <w:spacing w:val="-8"/>
          <w:sz w:val="22"/>
        </w:rPr>
        <w:t> </w:t>
      </w:r>
      <w:r>
        <w:rPr>
          <w:sz w:val="22"/>
        </w:rPr>
        <w:t>of</w:t>
      </w:r>
      <w:r>
        <w:rPr>
          <w:spacing w:val="-8"/>
          <w:sz w:val="22"/>
        </w:rPr>
        <w:t> </w:t>
      </w:r>
      <w:r>
        <w:rPr>
          <w:sz w:val="22"/>
        </w:rPr>
        <w:t>obsolete</w:t>
      </w:r>
      <w:r>
        <w:rPr>
          <w:spacing w:val="-8"/>
          <w:sz w:val="22"/>
        </w:rPr>
        <w:t> </w:t>
      </w:r>
      <w:r>
        <w:rPr>
          <w:sz w:val="22"/>
        </w:rPr>
        <w:t>terms</w:t>
      </w:r>
      <w:r>
        <w:rPr>
          <w:spacing w:val="-8"/>
          <w:sz w:val="22"/>
        </w:rPr>
        <w:t> </w:t>
      </w:r>
      <w:r>
        <w:rPr>
          <w:sz w:val="22"/>
        </w:rPr>
        <w:t>and</w:t>
      </w:r>
      <w:r>
        <w:rPr>
          <w:spacing w:val="-8"/>
          <w:sz w:val="22"/>
        </w:rPr>
        <w:t> </w:t>
      </w:r>
      <w:r>
        <w:rPr>
          <w:sz w:val="22"/>
        </w:rPr>
        <w:t>grammatical</w:t>
      </w:r>
      <w:r>
        <w:rPr>
          <w:spacing w:val="-8"/>
          <w:sz w:val="22"/>
        </w:rPr>
        <w:t> </w:t>
      </w:r>
      <w:r>
        <w:rPr>
          <w:spacing w:val="-2"/>
          <w:sz w:val="22"/>
        </w:rPr>
        <w:t>corrections.</w:t>
      </w:r>
    </w:p>
    <w:p>
      <w:pPr>
        <w:pStyle w:val="ListParagraph"/>
        <w:numPr>
          <w:ilvl w:val="2"/>
          <w:numId w:val="184"/>
        </w:numPr>
        <w:tabs>
          <w:tab w:pos="1439" w:val="left" w:leader="none"/>
        </w:tabs>
        <w:spacing w:line="253"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line="253" w:lineRule="exact" w:before="0"/>
        <w:ind w:left="1438" w:right="0" w:firstLine="0"/>
        <w:jc w:val="left"/>
        <w:rPr>
          <w:sz w:val="22"/>
        </w:rPr>
      </w:pPr>
      <w:r>
        <w:rPr>
          <w:sz w:val="22"/>
        </w:rPr>
        <w:t>Permanent,</w:t>
      </w:r>
      <w:r>
        <w:rPr>
          <w:spacing w:val="-10"/>
          <w:sz w:val="22"/>
        </w:rPr>
        <w:t> </w:t>
      </w:r>
      <w:r>
        <w:rPr>
          <w:sz w:val="22"/>
        </w:rPr>
        <w:t>updating</w:t>
      </w:r>
      <w:r>
        <w:rPr>
          <w:spacing w:val="-11"/>
          <w:sz w:val="22"/>
        </w:rPr>
        <w:t> </w:t>
      </w:r>
      <w:r>
        <w:rPr>
          <w:spacing w:val="-2"/>
          <w:sz w:val="22"/>
        </w:rPr>
        <w:t>language</w:t>
      </w:r>
    </w:p>
    <w:p>
      <w:pPr>
        <w:tabs>
          <w:tab w:pos="1438" w:val="left" w:leader="none"/>
        </w:tabs>
        <w:spacing w:before="0"/>
        <w:ind w:left="1438" w:right="867"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8" w:val="left" w:leader="none"/>
        </w:tabs>
        <w:spacing w:before="0"/>
        <w:ind w:left="1438"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8" w:val="left" w:leader="none"/>
        </w:tabs>
        <w:spacing w:before="1"/>
        <w:ind w:left="1438"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spacing w:before="0"/>
        <w:ind w:left="1439" w:right="775" w:hanging="2"/>
        <w:jc w:val="left"/>
        <w:rPr>
          <w:sz w:val="22"/>
        </w:rPr>
      </w:pPr>
      <w:r>
        <w:rPr>
          <w:sz w:val="22"/>
        </w:rPr>
        <w:t>Revised</w:t>
      </w:r>
      <w:r>
        <w:rPr>
          <w:spacing w:val="-4"/>
          <w:sz w:val="22"/>
        </w:rPr>
        <w:t> </w:t>
      </w:r>
      <w:r>
        <w:rPr>
          <w:sz w:val="22"/>
        </w:rPr>
        <w:t>language</w:t>
      </w:r>
      <w:r>
        <w:rPr>
          <w:spacing w:val="-4"/>
          <w:sz w:val="22"/>
        </w:rPr>
        <w:t> </w:t>
      </w:r>
      <w:r>
        <w:rPr>
          <w:sz w:val="22"/>
        </w:rPr>
        <w:t>for</w:t>
      </w:r>
      <w:r>
        <w:rPr>
          <w:spacing w:val="-4"/>
          <w:sz w:val="22"/>
        </w:rPr>
        <w:t> </w:t>
      </w:r>
      <w:r>
        <w:rPr>
          <w:sz w:val="22"/>
        </w:rPr>
        <w:t>clarification</w:t>
      </w:r>
      <w:r>
        <w:rPr>
          <w:spacing w:val="-5"/>
          <w:sz w:val="22"/>
        </w:rPr>
        <w:t> </w:t>
      </w:r>
      <w:r>
        <w:rPr>
          <w:sz w:val="22"/>
        </w:rPr>
        <w:t>on</w:t>
      </w:r>
      <w:r>
        <w:rPr>
          <w:spacing w:val="-4"/>
          <w:sz w:val="22"/>
        </w:rPr>
        <w:t> </w:t>
      </w:r>
      <w:r>
        <w:rPr>
          <w:sz w:val="22"/>
        </w:rPr>
        <w:t>maintaining</w:t>
      </w:r>
      <w:r>
        <w:rPr>
          <w:spacing w:val="-4"/>
          <w:sz w:val="22"/>
        </w:rPr>
        <w:t> </w:t>
      </w:r>
      <w:r>
        <w:rPr>
          <w:sz w:val="22"/>
        </w:rPr>
        <w:t>the</w:t>
      </w:r>
      <w:r>
        <w:rPr>
          <w:spacing w:val="-4"/>
          <w:sz w:val="22"/>
        </w:rPr>
        <w:t> </w:t>
      </w:r>
      <w:r>
        <w:rPr>
          <w:sz w:val="22"/>
        </w:rPr>
        <w:t>minimum</w:t>
      </w:r>
      <w:r>
        <w:rPr>
          <w:spacing w:val="-5"/>
          <w:sz w:val="22"/>
        </w:rPr>
        <w:t> </w:t>
      </w:r>
      <w:r>
        <w:rPr>
          <w:sz w:val="22"/>
        </w:rPr>
        <w:t>GPA</w:t>
      </w:r>
      <w:r>
        <w:rPr>
          <w:spacing w:val="-4"/>
          <w:sz w:val="22"/>
        </w:rPr>
        <w:t> </w:t>
      </w:r>
      <w:r>
        <w:rPr>
          <w:sz w:val="22"/>
        </w:rPr>
        <w:t>in</w:t>
      </w:r>
      <w:r>
        <w:rPr>
          <w:spacing w:val="-4"/>
          <w:sz w:val="22"/>
        </w:rPr>
        <w:t> </w:t>
      </w:r>
      <w:r>
        <w:rPr>
          <w:sz w:val="22"/>
        </w:rPr>
        <w:t>client</w:t>
      </w:r>
      <w:r>
        <w:rPr>
          <w:sz w:val="24"/>
        </w:rPr>
        <w:t>'</w:t>
      </w:r>
      <w:r>
        <w:rPr>
          <w:sz w:val="22"/>
        </w:rPr>
        <w:t>s</w:t>
      </w:r>
      <w:r>
        <w:rPr>
          <w:spacing w:val="-4"/>
          <w:sz w:val="22"/>
        </w:rPr>
        <w:t> </w:t>
      </w:r>
      <w:r>
        <w:rPr>
          <w:sz w:val="22"/>
        </w:rPr>
        <w:t>major field of study.</w:t>
      </w:r>
    </w:p>
    <w:p>
      <w:pPr>
        <w:tabs>
          <w:tab w:pos="1439" w:val="left" w:leader="none"/>
        </w:tabs>
        <w:spacing w:line="252" w:lineRule="exact" w:before="0"/>
        <w:ind w:left="360" w:right="0" w:firstLine="0"/>
        <w:jc w:val="left"/>
        <w:rPr>
          <w:sz w:val="22"/>
        </w:rPr>
      </w:pPr>
      <w:r>
        <w:rPr>
          <w:spacing w:val="-2"/>
          <w:sz w:val="22"/>
        </w:rPr>
        <w:t>9-11-</w:t>
      </w:r>
      <w:r>
        <w:rPr>
          <w:spacing w:val="-5"/>
          <w:sz w:val="22"/>
        </w:rPr>
        <w:t>22</w:t>
      </w:r>
      <w:r>
        <w:rPr>
          <w:sz w:val="22"/>
        </w:rPr>
        <w:tab/>
        <w:t>Added</w:t>
      </w:r>
      <w:r>
        <w:rPr>
          <w:spacing w:val="-7"/>
          <w:sz w:val="22"/>
        </w:rPr>
        <w:t> </w:t>
      </w:r>
      <w:r>
        <w:rPr>
          <w:sz w:val="22"/>
        </w:rPr>
        <w:t>section</w:t>
      </w:r>
      <w:r>
        <w:rPr>
          <w:spacing w:val="-6"/>
          <w:sz w:val="22"/>
        </w:rPr>
        <w:t> </w:t>
      </w:r>
      <w:r>
        <w:rPr>
          <w:sz w:val="22"/>
        </w:rPr>
        <w:t>(g)</w:t>
      </w:r>
      <w:r>
        <w:rPr>
          <w:spacing w:val="-7"/>
          <w:sz w:val="22"/>
        </w:rPr>
        <w:t> </w:t>
      </w:r>
      <w:r>
        <w:rPr>
          <w:sz w:val="22"/>
        </w:rPr>
        <w:t>Changes</w:t>
      </w:r>
      <w:r>
        <w:rPr>
          <w:spacing w:val="-6"/>
          <w:sz w:val="22"/>
        </w:rPr>
        <w:t> </w:t>
      </w:r>
      <w:r>
        <w:rPr>
          <w:sz w:val="22"/>
        </w:rPr>
        <w:t>in</w:t>
      </w:r>
      <w:r>
        <w:rPr>
          <w:spacing w:val="-7"/>
          <w:sz w:val="22"/>
        </w:rPr>
        <w:t> </w:t>
      </w:r>
      <w:r>
        <w:rPr>
          <w:sz w:val="22"/>
        </w:rPr>
        <w:t>training</w:t>
      </w:r>
      <w:r>
        <w:rPr>
          <w:spacing w:val="-6"/>
          <w:sz w:val="22"/>
        </w:rPr>
        <w:t> </w:t>
      </w:r>
      <w:r>
        <w:rPr>
          <w:spacing w:val="-2"/>
          <w:sz w:val="22"/>
        </w:rPr>
        <w:t>program.</w:t>
      </w:r>
    </w:p>
    <w:p>
      <w:pPr>
        <w:spacing w:after="0" w:line="252" w:lineRule="exact"/>
        <w:jc w:val="left"/>
        <w:rPr>
          <w:sz w:val="22"/>
        </w:rPr>
        <w:sectPr>
          <w:pgSz w:w="12240" w:h="15840"/>
          <w:pgMar w:top="1360" w:bottom="280" w:left="1080" w:right="720"/>
        </w:sectPr>
      </w:pPr>
    </w:p>
    <w:p>
      <w:pPr>
        <w:pStyle w:val="Heading2"/>
      </w:pPr>
      <w:bookmarkStart w:name="612:10-7-152.  Payment of tuition and fe" w:id="175"/>
      <w:bookmarkEnd w:id="175"/>
      <w:r>
        <w:rPr>
          <w:b w:val="0"/>
        </w:rPr>
      </w:r>
      <w:r>
        <w:rPr/>
        <w:t>612:10-7-152.</w:t>
      </w:r>
      <w:r>
        <w:rPr>
          <w:spacing w:val="58"/>
        </w:rPr>
        <w:t> </w:t>
      </w:r>
      <w:r>
        <w:rPr/>
        <w:t>Payment</w:t>
      </w:r>
      <w:r>
        <w:rPr>
          <w:spacing w:val="-2"/>
        </w:rPr>
        <w:t> </w:t>
      </w:r>
      <w:r>
        <w:rPr/>
        <w:t>of</w:t>
      </w:r>
      <w:r>
        <w:rPr>
          <w:spacing w:val="-4"/>
        </w:rPr>
        <w:t> </w:t>
      </w:r>
      <w:r>
        <w:rPr/>
        <w:t>tuition</w:t>
      </w:r>
      <w:r>
        <w:rPr>
          <w:spacing w:val="-3"/>
        </w:rPr>
        <w:t> </w:t>
      </w:r>
      <w:r>
        <w:rPr/>
        <w:t>and</w:t>
      </w:r>
      <w:r>
        <w:rPr>
          <w:spacing w:val="-4"/>
        </w:rPr>
        <w:t> </w:t>
      </w:r>
      <w:r>
        <w:rPr/>
        <w:t>fees</w:t>
      </w:r>
      <w:r>
        <w:rPr>
          <w:spacing w:val="-3"/>
        </w:rPr>
        <w:t> </w:t>
      </w:r>
      <w:r>
        <w:rPr/>
        <w:t>at</w:t>
      </w:r>
      <w:r>
        <w:rPr>
          <w:spacing w:val="-2"/>
        </w:rPr>
        <w:t> </w:t>
      </w:r>
      <w:r>
        <w:rPr/>
        <w:t>colleges</w:t>
      </w:r>
      <w:r>
        <w:rPr>
          <w:spacing w:val="-3"/>
        </w:rPr>
        <w:t> </w:t>
      </w:r>
      <w:r>
        <w:rPr/>
        <w:t>and</w:t>
      </w:r>
      <w:r>
        <w:rPr>
          <w:spacing w:val="-3"/>
        </w:rPr>
        <w:t> </w:t>
      </w:r>
      <w:r>
        <w:rPr>
          <w:spacing w:val="-2"/>
        </w:rPr>
        <w:t>universities</w:t>
      </w:r>
    </w:p>
    <w:p>
      <w:pPr>
        <w:pStyle w:val="ListParagraph"/>
        <w:numPr>
          <w:ilvl w:val="0"/>
          <w:numId w:val="185"/>
        </w:numPr>
        <w:tabs>
          <w:tab w:pos="785" w:val="left" w:leader="none"/>
        </w:tabs>
        <w:spacing w:line="208" w:lineRule="auto" w:before="233" w:after="0"/>
        <w:ind w:left="359" w:right="805" w:firstLine="0"/>
        <w:jc w:val="left"/>
        <w:rPr>
          <w:b/>
          <w:sz w:val="24"/>
        </w:rPr>
      </w:pPr>
      <w:r>
        <w:rPr>
          <w:b/>
          <w:sz w:val="24"/>
        </w:rPr>
        <w:t>Public institutions of higher learning. </w:t>
      </w:r>
      <w:r>
        <w:rPr>
          <w:sz w:val="24"/>
        </w:rPr>
        <w:t>Tuition and fees for DVR and DSBVI clients attending public colleges and universities will be paid at the rate set for resident students</w:t>
      </w:r>
      <w:r>
        <w:rPr>
          <w:spacing w:val="-4"/>
          <w:sz w:val="24"/>
        </w:rPr>
        <w:t> </w:t>
      </w:r>
      <w:r>
        <w:rPr>
          <w:sz w:val="24"/>
        </w:rPr>
        <w:t>by</w:t>
      </w:r>
      <w:r>
        <w:rPr>
          <w:spacing w:val="-4"/>
          <w:sz w:val="24"/>
        </w:rPr>
        <w:t> </w:t>
      </w:r>
      <w:r>
        <w:rPr>
          <w:sz w:val="24"/>
        </w:rPr>
        <w:t>the</w:t>
      </w:r>
      <w:r>
        <w:rPr>
          <w:spacing w:val="-4"/>
          <w:sz w:val="24"/>
        </w:rPr>
        <w:t> </w:t>
      </w:r>
      <w:r>
        <w:rPr>
          <w:sz w:val="24"/>
        </w:rPr>
        <w:t>Oklahoma</w:t>
      </w:r>
      <w:r>
        <w:rPr>
          <w:spacing w:val="-4"/>
          <w:sz w:val="24"/>
        </w:rPr>
        <w:t> </w:t>
      </w:r>
      <w:r>
        <w:rPr>
          <w:sz w:val="24"/>
        </w:rPr>
        <w:t>Regents</w:t>
      </w:r>
      <w:r>
        <w:rPr>
          <w:spacing w:val="-4"/>
          <w:sz w:val="24"/>
        </w:rPr>
        <w:t> </w:t>
      </w:r>
      <w:r>
        <w:rPr>
          <w:sz w:val="24"/>
        </w:rPr>
        <w:t>for</w:t>
      </w:r>
      <w:r>
        <w:rPr>
          <w:spacing w:val="-3"/>
          <w:sz w:val="24"/>
        </w:rPr>
        <w:t> </w:t>
      </w:r>
      <w:r>
        <w:rPr>
          <w:sz w:val="24"/>
        </w:rPr>
        <w:t>Higher</w:t>
      </w:r>
      <w:r>
        <w:rPr>
          <w:spacing w:val="-3"/>
          <w:sz w:val="24"/>
        </w:rPr>
        <w:t> </w:t>
      </w:r>
      <w:r>
        <w:rPr>
          <w:sz w:val="24"/>
        </w:rPr>
        <w:t>Education</w:t>
      </w:r>
      <w:r>
        <w:rPr>
          <w:spacing w:val="-3"/>
          <w:sz w:val="24"/>
        </w:rPr>
        <w:t> </w:t>
      </w:r>
      <w:r>
        <w:rPr>
          <w:sz w:val="24"/>
        </w:rPr>
        <w:t>and</w:t>
      </w:r>
      <w:r>
        <w:rPr>
          <w:spacing w:val="-4"/>
          <w:sz w:val="24"/>
        </w:rPr>
        <w:t> </w:t>
      </w:r>
      <w:r>
        <w:rPr>
          <w:sz w:val="24"/>
        </w:rPr>
        <w:t>within</w:t>
      </w:r>
      <w:r>
        <w:rPr>
          <w:spacing w:val="-3"/>
          <w:sz w:val="24"/>
        </w:rPr>
        <w:t> </w:t>
      </w:r>
      <w:r>
        <w:rPr>
          <w:sz w:val="24"/>
        </w:rPr>
        <w:t>limits</w:t>
      </w:r>
      <w:r>
        <w:rPr>
          <w:spacing w:val="-4"/>
          <w:sz w:val="24"/>
        </w:rPr>
        <w:t> </w:t>
      </w:r>
      <w:r>
        <w:rPr>
          <w:sz w:val="24"/>
        </w:rPr>
        <w:t>prescribed</w:t>
      </w:r>
      <w:r>
        <w:rPr>
          <w:spacing w:val="-4"/>
          <w:sz w:val="24"/>
        </w:rPr>
        <w:t> </w:t>
      </w:r>
      <w:r>
        <w:rPr>
          <w:sz w:val="24"/>
        </w:rPr>
        <w:t>by the</w:t>
      </w:r>
      <w:r>
        <w:rPr>
          <w:spacing w:val="-2"/>
          <w:sz w:val="24"/>
        </w:rPr>
        <w:t> </w:t>
      </w:r>
      <w:r>
        <w:rPr>
          <w:sz w:val="24"/>
        </w:rPr>
        <w:t>Legislature.</w:t>
      </w:r>
      <w:r>
        <w:rPr>
          <w:spacing w:val="-1"/>
          <w:sz w:val="24"/>
        </w:rPr>
        <w:t> </w:t>
      </w:r>
      <w:r>
        <w:rPr>
          <w:sz w:val="24"/>
        </w:rPr>
        <w:t>DVR</w:t>
      </w:r>
      <w:r>
        <w:rPr>
          <w:spacing w:val="-2"/>
          <w:sz w:val="24"/>
        </w:rPr>
        <w:t> </w:t>
      </w:r>
      <w:r>
        <w:rPr>
          <w:sz w:val="24"/>
        </w:rPr>
        <w:t>and</w:t>
      </w:r>
      <w:r>
        <w:rPr>
          <w:spacing w:val="-2"/>
          <w:sz w:val="24"/>
        </w:rPr>
        <w:t> </w:t>
      </w:r>
      <w:r>
        <w:rPr>
          <w:sz w:val="24"/>
        </w:rPr>
        <w:t>DSBVI</w:t>
      </w:r>
      <w:r>
        <w:rPr>
          <w:spacing w:val="-1"/>
          <w:sz w:val="24"/>
        </w:rPr>
        <w:t> </w:t>
      </w:r>
      <w:r>
        <w:rPr>
          <w:sz w:val="24"/>
        </w:rPr>
        <w:t>will</w:t>
      </w:r>
      <w:r>
        <w:rPr>
          <w:spacing w:val="-2"/>
          <w:sz w:val="24"/>
        </w:rPr>
        <w:t> </w:t>
      </w:r>
      <w:r>
        <w:rPr>
          <w:sz w:val="24"/>
        </w:rPr>
        <w:t>pay</w:t>
      </w:r>
      <w:r>
        <w:rPr>
          <w:spacing w:val="-2"/>
          <w:sz w:val="24"/>
        </w:rPr>
        <w:t> </w:t>
      </w:r>
      <w:r>
        <w:rPr>
          <w:sz w:val="24"/>
        </w:rPr>
        <w:t>those</w:t>
      </w:r>
      <w:r>
        <w:rPr>
          <w:spacing w:val="-2"/>
          <w:sz w:val="24"/>
        </w:rPr>
        <w:t> </w:t>
      </w:r>
      <w:r>
        <w:rPr>
          <w:sz w:val="24"/>
        </w:rPr>
        <w:t>fees</w:t>
      </w:r>
      <w:r>
        <w:rPr>
          <w:spacing w:val="-2"/>
          <w:sz w:val="24"/>
        </w:rPr>
        <w:t> </w:t>
      </w:r>
      <w:r>
        <w:rPr>
          <w:sz w:val="24"/>
        </w:rPr>
        <w:t>charged</w:t>
      </w:r>
      <w:r>
        <w:rPr>
          <w:spacing w:val="-2"/>
          <w:sz w:val="24"/>
        </w:rPr>
        <w:t> </w:t>
      </w:r>
      <w:r>
        <w:rPr>
          <w:sz w:val="24"/>
        </w:rPr>
        <w:t>to</w:t>
      </w:r>
      <w:r>
        <w:rPr>
          <w:spacing w:val="-2"/>
          <w:sz w:val="24"/>
        </w:rPr>
        <w:t> </w:t>
      </w:r>
      <w:r>
        <w:rPr>
          <w:sz w:val="24"/>
        </w:rPr>
        <w:t>all</w:t>
      </w:r>
      <w:r>
        <w:rPr>
          <w:spacing w:val="-2"/>
          <w:sz w:val="24"/>
        </w:rPr>
        <w:t> </w:t>
      </w:r>
      <w:r>
        <w:rPr>
          <w:sz w:val="24"/>
        </w:rPr>
        <w:t>students</w:t>
      </w:r>
      <w:r>
        <w:rPr>
          <w:spacing w:val="-2"/>
          <w:sz w:val="24"/>
        </w:rPr>
        <w:t> </w:t>
      </w:r>
      <w:r>
        <w:rPr>
          <w:sz w:val="24"/>
        </w:rPr>
        <w:t>and</w:t>
      </w:r>
      <w:r>
        <w:rPr>
          <w:spacing w:val="-2"/>
          <w:sz w:val="24"/>
        </w:rPr>
        <w:t> </w:t>
      </w:r>
      <w:r>
        <w:rPr>
          <w:sz w:val="24"/>
        </w:rPr>
        <w:t>special fees associated with required courses in the student's major field of study. </w:t>
      </w:r>
      <w:r>
        <w:rPr>
          <w:b/>
          <w:sz w:val="24"/>
        </w:rPr>
        <w:t>1</w:t>
      </w:r>
    </w:p>
    <w:p>
      <w:pPr>
        <w:pStyle w:val="ListParagraph"/>
        <w:numPr>
          <w:ilvl w:val="0"/>
          <w:numId w:val="185"/>
        </w:numPr>
        <w:tabs>
          <w:tab w:pos="786" w:val="left" w:leader="none"/>
        </w:tabs>
        <w:spacing w:line="208" w:lineRule="auto" w:before="239" w:after="0"/>
        <w:ind w:left="360" w:right="815" w:firstLine="0"/>
        <w:jc w:val="left"/>
        <w:rPr>
          <w:sz w:val="24"/>
        </w:rPr>
      </w:pPr>
      <w:r>
        <w:rPr>
          <w:sz w:val="24"/>
        </w:rPr>
        <w:t>For</w:t>
      </w:r>
      <w:r>
        <w:rPr>
          <w:spacing w:val="-4"/>
          <w:sz w:val="24"/>
        </w:rPr>
        <w:t> </w:t>
      </w:r>
      <w:r>
        <w:rPr>
          <w:sz w:val="24"/>
        </w:rPr>
        <w:t>the</w:t>
      </w:r>
      <w:r>
        <w:rPr>
          <w:spacing w:val="-4"/>
          <w:sz w:val="24"/>
        </w:rPr>
        <w:t> </w:t>
      </w:r>
      <w:r>
        <w:rPr>
          <w:sz w:val="24"/>
        </w:rPr>
        <w:t>first</w:t>
      </w:r>
      <w:r>
        <w:rPr>
          <w:spacing w:val="-4"/>
          <w:sz w:val="24"/>
        </w:rPr>
        <w:t> </w:t>
      </w:r>
      <w:r>
        <w:rPr>
          <w:sz w:val="24"/>
        </w:rPr>
        <w:t>60</w:t>
      </w:r>
      <w:r>
        <w:rPr>
          <w:spacing w:val="-3"/>
          <w:sz w:val="24"/>
        </w:rPr>
        <w:t> </w:t>
      </w:r>
      <w:r>
        <w:rPr>
          <w:sz w:val="24"/>
        </w:rPr>
        <w:t>credit</w:t>
      </w:r>
      <w:r>
        <w:rPr>
          <w:spacing w:val="-2"/>
          <w:sz w:val="24"/>
        </w:rPr>
        <w:t> </w:t>
      </w:r>
      <w:r>
        <w:rPr>
          <w:sz w:val="24"/>
        </w:rPr>
        <w:t>hours</w:t>
      </w:r>
      <w:r>
        <w:rPr>
          <w:spacing w:val="-3"/>
          <w:sz w:val="24"/>
        </w:rPr>
        <w:t> </w:t>
      </w:r>
      <w:r>
        <w:rPr>
          <w:sz w:val="24"/>
        </w:rPr>
        <w:t>or</w:t>
      </w:r>
      <w:r>
        <w:rPr>
          <w:spacing w:val="-4"/>
          <w:sz w:val="24"/>
        </w:rPr>
        <w:t> </w:t>
      </w:r>
      <w:r>
        <w:rPr>
          <w:sz w:val="24"/>
        </w:rPr>
        <w:t>during</w:t>
      </w:r>
      <w:r>
        <w:rPr>
          <w:spacing w:val="-3"/>
          <w:sz w:val="24"/>
        </w:rPr>
        <w:t> </w:t>
      </w:r>
      <w:r>
        <w:rPr>
          <w:sz w:val="24"/>
        </w:rPr>
        <w:t>the</w:t>
      </w:r>
      <w:r>
        <w:rPr>
          <w:spacing w:val="-3"/>
          <w:sz w:val="24"/>
        </w:rPr>
        <w:t> </w:t>
      </w:r>
      <w:r>
        <w:rPr>
          <w:sz w:val="24"/>
        </w:rPr>
        <w:t>completion</w:t>
      </w:r>
      <w:r>
        <w:rPr>
          <w:spacing w:val="-2"/>
          <w:sz w:val="24"/>
        </w:rPr>
        <w:t> </w:t>
      </w:r>
      <w:r>
        <w:rPr>
          <w:sz w:val="24"/>
        </w:rPr>
        <w:t>of</w:t>
      </w:r>
      <w:r>
        <w:rPr>
          <w:spacing w:val="-2"/>
          <w:sz w:val="24"/>
        </w:rPr>
        <w:t> </w:t>
      </w:r>
      <w:r>
        <w:rPr>
          <w:sz w:val="24"/>
        </w:rPr>
        <w:t>an</w:t>
      </w:r>
      <w:r>
        <w:rPr>
          <w:spacing w:val="-3"/>
          <w:sz w:val="24"/>
        </w:rPr>
        <w:t> </w:t>
      </w:r>
      <w:r>
        <w:rPr>
          <w:sz w:val="24"/>
        </w:rPr>
        <w:t>Associate's</w:t>
      </w:r>
      <w:r>
        <w:rPr>
          <w:spacing w:val="-3"/>
          <w:sz w:val="24"/>
        </w:rPr>
        <w:t> </w:t>
      </w:r>
      <w:r>
        <w:rPr>
          <w:sz w:val="24"/>
        </w:rPr>
        <w:t>degree,</w:t>
      </w:r>
      <w:r>
        <w:rPr>
          <w:spacing w:val="-2"/>
          <w:sz w:val="24"/>
        </w:rPr>
        <w:t> </w:t>
      </w:r>
      <w:r>
        <w:rPr>
          <w:sz w:val="24"/>
        </w:rPr>
        <w:t>DRS will only sponsor up to the cost of tuition and fees charged by the local state funded community college or state university within 40 miles of the client's official place of residence. If the client chooses to attend a different training site, DRS will only sponsor an amount equivalent to the amount that would be sponsored if attending the local college/university. Additional transportation or maintenance costs related to attending another training site will not be sponsored by DRS.</w:t>
      </w:r>
    </w:p>
    <w:p>
      <w:pPr>
        <w:pStyle w:val="ListParagraph"/>
        <w:numPr>
          <w:ilvl w:val="0"/>
          <w:numId w:val="185"/>
        </w:numPr>
        <w:tabs>
          <w:tab w:pos="773" w:val="left" w:leader="none"/>
        </w:tabs>
        <w:spacing w:line="208" w:lineRule="auto" w:before="240" w:after="0"/>
        <w:ind w:left="360" w:right="843" w:firstLine="0"/>
        <w:jc w:val="left"/>
        <w:rPr>
          <w:sz w:val="24"/>
        </w:rPr>
      </w:pPr>
      <w:r>
        <w:rPr>
          <w:sz w:val="24"/>
        </w:rPr>
        <w:t>For the completion of a Bachelor's degree, DRS will only sponsor up to the cost of tuition and fees charged by the state funded college or university closest to the client's official place of residence that offers a program to reach the vocational objective. Additional</w:t>
      </w:r>
      <w:r>
        <w:rPr>
          <w:spacing w:val="-4"/>
          <w:sz w:val="24"/>
        </w:rPr>
        <w:t> </w:t>
      </w:r>
      <w:r>
        <w:rPr>
          <w:sz w:val="24"/>
        </w:rPr>
        <w:t>transportation</w:t>
      </w:r>
      <w:r>
        <w:rPr>
          <w:spacing w:val="-4"/>
          <w:sz w:val="24"/>
        </w:rPr>
        <w:t> </w:t>
      </w:r>
      <w:r>
        <w:rPr>
          <w:sz w:val="24"/>
        </w:rPr>
        <w:t>or</w:t>
      </w:r>
      <w:r>
        <w:rPr>
          <w:spacing w:val="-3"/>
          <w:sz w:val="24"/>
        </w:rPr>
        <w:t> </w:t>
      </w:r>
      <w:r>
        <w:rPr>
          <w:sz w:val="24"/>
        </w:rPr>
        <w:t>maintenance</w:t>
      </w:r>
      <w:r>
        <w:rPr>
          <w:spacing w:val="-4"/>
          <w:sz w:val="24"/>
        </w:rPr>
        <w:t> </w:t>
      </w:r>
      <w:r>
        <w:rPr>
          <w:sz w:val="24"/>
        </w:rPr>
        <w:t>costs</w:t>
      </w:r>
      <w:r>
        <w:rPr>
          <w:spacing w:val="-4"/>
          <w:sz w:val="24"/>
        </w:rPr>
        <w:t> </w:t>
      </w:r>
      <w:r>
        <w:rPr>
          <w:sz w:val="24"/>
        </w:rPr>
        <w:t>related</w:t>
      </w:r>
      <w:r>
        <w:rPr>
          <w:spacing w:val="-4"/>
          <w:sz w:val="24"/>
        </w:rPr>
        <w:t> </w:t>
      </w:r>
      <w:r>
        <w:rPr>
          <w:sz w:val="24"/>
        </w:rPr>
        <w:t>to</w:t>
      </w:r>
      <w:r>
        <w:rPr>
          <w:spacing w:val="-4"/>
          <w:sz w:val="24"/>
        </w:rPr>
        <w:t> </w:t>
      </w:r>
      <w:r>
        <w:rPr>
          <w:sz w:val="24"/>
        </w:rPr>
        <w:t>attending</w:t>
      </w:r>
      <w:r>
        <w:rPr>
          <w:spacing w:val="-3"/>
          <w:sz w:val="24"/>
        </w:rPr>
        <w:t> </w:t>
      </w:r>
      <w:r>
        <w:rPr>
          <w:sz w:val="24"/>
        </w:rPr>
        <w:t>another</w:t>
      </w:r>
      <w:r>
        <w:rPr>
          <w:spacing w:val="-3"/>
          <w:sz w:val="24"/>
        </w:rPr>
        <w:t> </w:t>
      </w:r>
      <w:r>
        <w:rPr>
          <w:sz w:val="24"/>
        </w:rPr>
        <w:t>training</w:t>
      </w:r>
      <w:r>
        <w:rPr>
          <w:spacing w:val="-4"/>
          <w:sz w:val="24"/>
        </w:rPr>
        <w:t> </w:t>
      </w:r>
      <w:r>
        <w:rPr>
          <w:sz w:val="24"/>
        </w:rPr>
        <w:t>site will not be sponsored by DRS.</w:t>
      </w:r>
    </w:p>
    <w:p>
      <w:pPr>
        <w:pStyle w:val="ListParagraph"/>
        <w:numPr>
          <w:ilvl w:val="0"/>
          <w:numId w:val="185"/>
        </w:numPr>
        <w:tabs>
          <w:tab w:pos="786" w:val="left" w:leader="none"/>
        </w:tabs>
        <w:spacing w:line="208" w:lineRule="auto" w:before="239" w:after="0"/>
        <w:ind w:left="360" w:right="848" w:firstLine="0"/>
        <w:jc w:val="left"/>
        <w:rPr>
          <w:sz w:val="24"/>
        </w:rPr>
      </w:pPr>
      <w:r>
        <w:rPr>
          <w:sz w:val="24"/>
        </w:rPr>
        <w:t>Exceptions to the policies for college/university training must be approved by the Programs</w:t>
      </w:r>
      <w:r>
        <w:rPr>
          <w:spacing w:val="-5"/>
          <w:sz w:val="24"/>
        </w:rPr>
        <w:t> </w:t>
      </w:r>
      <w:r>
        <w:rPr>
          <w:sz w:val="24"/>
        </w:rPr>
        <w:t>Manager</w:t>
      </w:r>
      <w:r>
        <w:rPr>
          <w:spacing w:val="-3"/>
          <w:sz w:val="24"/>
        </w:rPr>
        <w:t> </w:t>
      </w:r>
      <w:r>
        <w:rPr>
          <w:sz w:val="24"/>
        </w:rPr>
        <w:t>through</w:t>
      </w:r>
      <w:r>
        <w:rPr>
          <w:spacing w:val="-4"/>
          <w:sz w:val="24"/>
        </w:rPr>
        <w:t> </w:t>
      </w:r>
      <w:r>
        <w:rPr>
          <w:sz w:val="24"/>
        </w:rPr>
        <w:t>justification</w:t>
      </w:r>
      <w:r>
        <w:rPr>
          <w:spacing w:val="-4"/>
          <w:sz w:val="24"/>
        </w:rPr>
        <w:t> </w:t>
      </w:r>
      <w:r>
        <w:rPr>
          <w:sz w:val="24"/>
        </w:rPr>
        <w:t>and</w:t>
      </w:r>
      <w:r>
        <w:rPr>
          <w:spacing w:val="-4"/>
          <w:sz w:val="24"/>
        </w:rPr>
        <w:t> </w:t>
      </w:r>
      <w:r>
        <w:rPr>
          <w:sz w:val="24"/>
        </w:rPr>
        <w:t>must</w:t>
      </w:r>
      <w:r>
        <w:rPr>
          <w:spacing w:val="-3"/>
          <w:sz w:val="24"/>
        </w:rPr>
        <w:t> </w:t>
      </w:r>
      <w:r>
        <w:rPr>
          <w:sz w:val="24"/>
        </w:rPr>
        <w:t>be</w:t>
      </w:r>
      <w:r>
        <w:rPr>
          <w:spacing w:val="-4"/>
          <w:sz w:val="24"/>
        </w:rPr>
        <w:t> </w:t>
      </w:r>
      <w:r>
        <w:rPr>
          <w:sz w:val="24"/>
        </w:rPr>
        <w:t>documented</w:t>
      </w:r>
      <w:r>
        <w:rPr>
          <w:spacing w:val="-4"/>
          <w:sz w:val="24"/>
        </w:rPr>
        <w:t> </w:t>
      </w:r>
      <w:r>
        <w:rPr>
          <w:sz w:val="24"/>
        </w:rPr>
        <w:t>in</w:t>
      </w:r>
      <w:r>
        <w:rPr>
          <w:spacing w:val="-4"/>
          <w:sz w:val="24"/>
        </w:rPr>
        <w:t> </w:t>
      </w:r>
      <w:r>
        <w:rPr>
          <w:sz w:val="24"/>
        </w:rPr>
        <w:t>the</w:t>
      </w:r>
      <w:r>
        <w:rPr>
          <w:spacing w:val="-4"/>
          <w:sz w:val="24"/>
        </w:rPr>
        <w:t> </w:t>
      </w:r>
      <w:r>
        <w:rPr>
          <w:sz w:val="24"/>
        </w:rPr>
        <w:t>case.</w:t>
      </w:r>
      <w:r>
        <w:rPr>
          <w:spacing w:val="-5"/>
          <w:sz w:val="24"/>
        </w:rPr>
        <w:t> </w:t>
      </w:r>
      <w:r>
        <w:rPr>
          <w:sz w:val="24"/>
        </w:rPr>
        <w:t>Possible exceptions include but are not limited to:</w:t>
      </w:r>
    </w:p>
    <w:p>
      <w:pPr>
        <w:pStyle w:val="ListParagraph"/>
        <w:numPr>
          <w:ilvl w:val="1"/>
          <w:numId w:val="185"/>
        </w:numPr>
        <w:tabs>
          <w:tab w:pos="1217" w:val="left" w:leader="none"/>
        </w:tabs>
        <w:spacing w:line="208" w:lineRule="auto" w:before="240" w:after="0"/>
        <w:ind w:left="791" w:right="1443" w:firstLine="0"/>
        <w:jc w:val="left"/>
        <w:rPr>
          <w:sz w:val="24"/>
        </w:rPr>
      </w:pPr>
      <w:r>
        <w:rPr>
          <w:sz w:val="24"/>
        </w:rPr>
        <w:t>The</w:t>
      </w:r>
      <w:r>
        <w:rPr>
          <w:spacing w:val="-3"/>
          <w:sz w:val="24"/>
        </w:rPr>
        <w:t> </w:t>
      </w:r>
      <w:r>
        <w:rPr>
          <w:sz w:val="24"/>
        </w:rPr>
        <w:t>need</w:t>
      </w:r>
      <w:r>
        <w:rPr>
          <w:spacing w:val="-3"/>
          <w:sz w:val="24"/>
        </w:rPr>
        <w:t> </w:t>
      </w:r>
      <w:r>
        <w:rPr>
          <w:sz w:val="24"/>
        </w:rPr>
        <w:t>to</w:t>
      </w:r>
      <w:r>
        <w:rPr>
          <w:spacing w:val="-3"/>
          <w:sz w:val="24"/>
        </w:rPr>
        <w:t> </w:t>
      </w:r>
      <w:r>
        <w:rPr>
          <w:sz w:val="24"/>
        </w:rPr>
        <w:t>attend</w:t>
      </w:r>
      <w:r>
        <w:rPr>
          <w:spacing w:val="-3"/>
          <w:sz w:val="24"/>
        </w:rPr>
        <w:t> </w:t>
      </w:r>
      <w:r>
        <w:rPr>
          <w:sz w:val="24"/>
        </w:rPr>
        <w:t>a</w:t>
      </w:r>
      <w:r>
        <w:rPr>
          <w:spacing w:val="-3"/>
          <w:sz w:val="24"/>
        </w:rPr>
        <w:t> </w:t>
      </w:r>
      <w:r>
        <w:rPr>
          <w:sz w:val="24"/>
        </w:rPr>
        <w:t>school</w:t>
      </w:r>
      <w:r>
        <w:rPr>
          <w:spacing w:val="-3"/>
          <w:sz w:val="24"/>
        </w:rPr>
        <w:t> </w:t>
      </w:r>
      <w:r>
        <w:rPr>
          <w:sz w:val="24"/>
        </w:rPr>
        <w:t>outside</w:t>
      </w:r>
      <w:r>
        <w:rPr>
          <w:spacing w:val="-3"/>
          <w:sz w:val="24"/>
        </w:rPr>
        <w:t> </w:t>
      </w:r>
      <w:r>
        <w:rPr>
          <w:sz w:val="24"/>
        </w:rPr>
        <w:t>of</w:t>
      </w:r>
      <w:r>
        <w:rPr>
          <w:spacing w:val="-2"/>
          <w:sz w:val="24"/>
        </w:rPr>
        <w:t> </w:t>
      </w:r>
      <w:r>
        <w:rPr>
          <w:sz w:val="24"/>
        </w:rPr>
        <w:t>the</w:t>
      </w:r>
      <w:r>
        <w:rPr>
          <w:spacing w:val="-3"/>
          <w:sz w:val="24"/>
        </w:rPr>
        <w:t> </w:t>
      </w:r>
      <w:r>
        <w:rPr>
          <w:sz w:val="24"/>
        </w:rPr>
        <w:t>40</w:t>
      </w:r>
      <w:r>
        <w:rPr>
          <w:spacing w:val="-3"/>
          <w:sz w:val="24"/>
        </w:rPr>
        <w:t> </w:t>
      </w:r>
      <w:r>
        <w:rPr>
          <w:sz w:val="24"/>
        </w:rPr>
        <w:t>mile</w:t>
      </w:r>
      <w:r>
        <w:rPr>
          <w:spacing w:val="-3"/>
          <w:sz w:val="24"/>
        </w:rPr>
        <w:t> </w:t>
      </w:r>
      <w:r>
        <w:rPr>
          <w:sz w:val="24"/>
        </w:rPr>
        <w:t>limit</w:t>
      </w:r>
      <w:r>
        <w:rPr>
          <w:spacing w:val="-2"/>
          <w:sz w:val="24"/>
        </w:rPr>
        <w:t> </w:t>
      </w:r>
      <w:r>
        <w:rPr>
          <w:sz w:val="24"/>
        </w:rPr>
        <w:t>is</w:t>
      </w:r>
      <w:r>
        <w:rPr>
          <w:spacing w:val="-3"/>
          <w:sz w:val="24"/>
        </w:rPr>
        <w:t> </w:t>
      </w:r>
      <w:r>
        <w:rPr>
          <w:sz w:val="24"/>
        </w:rPr>
        <w:t>due</w:t>
      </w:r>
      <w:r>
        <w:rPr>
          <w:spacing w:val="-3"/>
          <w:sz w:val="24"/>
        </w:rPr>
        <w:t> </w:t>
      </w:r>
      <w:r>
        <w:rPr>
          <w:sz w:val="24"/>
        </w:rPr>
        <w:t>to</w:t>
      </w:r>
      <w:r>
        <w:rPr>
          <w:spacing w:val="-3"/>
          <w:sz w:val="24"/>
        </w:rPr>
        <w:t> </w:t>
      </w:r>
      <w:r>
        <w:rPr>
          <w:sz w:val="24"/>
        </w:rPr>
        <w:t>disability related factors such as the need for accessible on-campus housing.</w:t>
      </w:r>
    </w:p>
    <w:p>
      <w:pPr>
        <w:pStyle w:val="ListParagraph"/>
        <w:numPr>
          <w:ilvl w:val="1"/>
          <w:numId w:val="185"/>
        </w:numPr>
        <w:tabs>
          <w:tab w:pos="1218" w:val="left" w:leader="none"/>
        </w:tabs>
        <w:spacing w:line="208" w:lineRule="auto" w:before="240" w:after="0"/>
        <w:ind w:left="792" w:right="774" w:firstLine="0"/>
        <w:jc w:val="left"/>
        <w:rPr>
          <w:sz w:val="24"/>
        </w:rPr>
      </w:pPr>
      <w:r>
        <w:rPr>
          <w:sz w:val="24"/>
        </w:rPr>
        <w:t>The</w:t>
      </w:r>
      <w:r>
        <w:rPr>
          <w:spacing w:val="-4"/>
          <w:sz w:val="24"/>
        </w:rPr>
        <w:t> </w:t>
      </w:r>
      <w:r>
        <w:rPr>
          <w:sz w:val="24"/>
        </w:rPr>
        <w:t>degree</w:t>
      </w:r>
      <w:r>
        <w:rPr>
          <w:spacing w:val="-4"/>
          <w:sz w:val="24"/>
        </w:rPr>
        <w:t> </w:t>
      </w:r>
      <w:r>
        <w:rPr>
          <w:sz w:val="24"/>
        </w:rPr>
        <w:t>major</w:t>
      </w:r>
      <w:r>
        <w:rPr>
          <w:spacing w:val="-4"/>
          <w:sz w:val="24"/>
        </w:rPr>
        <w:t> </w:t>
      </w:r>
      <w:r>
        <w:rPr>
          <w:sz w:val="24"/>
        </w:rPr>
        <w:t>approved</w:t>
      </w:r>
      <w:r>
        <w:rPr>
          <w:spacing w:val="-4"/>
          <w:sz w:val="24"/>
        </w:rPr>
        <w:t> </w:t>
      </w:r>
      <w:r>
        <w:rPr>
          <w:sz w:val="24"/>
        </w:rPr>
        <w:t>by</w:t>
      </w:r>
      <w:r>
        <w:rPr>
          <w:spacing w:val="-4"/>
          <w:sz w:val="24"/>
        </w:rPr>
        <w:t> </w:t>
      </w:r>
      <w:r>
        <w:rPr>
          <w:sz w:val="24"/>
        </w:rPr>
        <w:t>the</w:t>
      </w:r>
      <w:r>
        <w:rPr>
          <w:spacing w:val="-4"/>
          <w:sz w:val="24"/>
        </w:rPr>
        <w:t> </w:t>
      </w:r>
      <w:r>
        <w:rPr>
          <w:sz w:val="24"/>
        </w:rPr>
        <w:t>DRS</w:t>
      </w:r>
      <w:r>
        <w:rPr>
          <w:spacing w:val="-4"/>
          <w:sz w:val="24"/>
        </w:rPr>
        <w:t> </w:t>
      </w:r>
      <w:r>
        <w:rPr>
          <w:sz w:val="24"/>
        </w:rPr>
        <w:t>Counselor</w:t>
      </w:r>
      <w:r>
        <w:rPr>
          <w:spacing w:val="-3"/>
          <w:sz w:val="24"/>
        </w:rPr>
        <w:t> </w:t>
      </w:r>
      <w:r>
        <w:rPr>
          <w:sz w:val="24"/>
        </w:rPr>
        <w:t>for</w:t>
      </w:r>
      <w:r>
        <w:rPr>
          <w:spacing w:val="-3"/>
          <w:sz w:val="24"/>
        </w:rPr>
        <w:t> </w:t>
      </w:r>
      <w:r>
        <w:rPr>
          <w:sz w:val="24"/>
        </w:rPr>
        <w:t>the</w:t>
      </w:r>
      <w:r>
        <w:rPr>
          <w:spacing w:val="-4"/>
          <w:sz w:val="24"/>
        </w:rPr>
        <w:t> </w:t>
      </w:r>
      <w:r>
        <w:rPr>
          <w:sz w:val="24"/>
        </w:rPr>
        <w:t>client</w:t>
      </w:r>
      <w:r>
        <w:rPr>
          <w:spacing w:val="-3"/>
          <w:sz w:val="24"/>
        </w:rPr>
        <w:t> </w:t>
      </w:r>
      <w:r>
        <w:rPr>
          <w:sz w:val="24"/>
        </w:rPr>
        <w:t>is</w:t>
      </w:r>
      <w:r>
        <w:rPr>
          <w:spacing w:val="-4"/>
          <w:sz w:val="24"/>
        </w:rPr>
        <w:t> </w:t>
      </w:r>
      <w:r>
        <w:rPr>
          <w:sz w:val="24"/>
        </w:rPr>
        <w:t>not</w:t>
      </w:r>
      <w:r>
        <w:rPr>
          <w:spacing w:val="-3"/>
          <w:sz w:val="24"/>
        </w:rPr>
        <w:t> </w:t>
      </w:r>
      <w:r>
        <w:rPr>
          <w:sz w:val="24"/>
        </w:rPr>
        <w:t>available at the local college or university.</w:t>
      </w:r>
    </w:p>
    <w:p>
      <w:pPr>
        <w:pStyle w:val="ListParagraph"/>
        <w:numPr>
          <w:ilvl w:val="0"/>
          <w:numId w:val="185"/>
        </w:numPr>
        <w:tabs>
          <w:tab w:pos="786" w:val="left" w:leader="none"/>
        </w:tabs>
        <w:spacing w:line="208" w:lineRule="auto" w:before="239" w:after="0"/>
        <w:ind w:left="360" w:right="886" w:firstLine="0"/>
        <w:jc w:val="left"/>
        <w:rPr>
          <w:sz w:val="24"/>
        </w:rPr>
      </w:pPr>
      <w:r>
        <w:rPr>
          <w:sz w:val="24"/>
        </w:rPr>
        <w:t>After the completion of the first semester, a grade report, proof of enrollment, and an itemized invoice are required documentation to support the authorization for tuition and</w:t>
      </w:r>
      <w:r>
        <w:rPr>
          <w:spacing w:val="-3"/>
          <w:sz w:val="24"/>
        </w:rPr>
        <w:t> </w:t>
      </w:r>
      <w:r>
        <w:rPr>
          <w:sz w:val="24"/>
        </w:rPr>
        <w:t>fees.</w:t>
      </w:r>
      <w:r>
        <w:rPr>
          <w:spacing w:val="-3"/>
          <w:sz w:val="24"/>
        </w:rPr>
        <w:t> </w:t>
      </w:r>
      <w:r>
        <w:rPr>
          <w:sz w:val="24"/>
        </w:rPr>
        <w:t>It</w:t>
      </w:r>
      <w:r>
        <w:rPr>
          <w:spacing w:val="-4"/>
          <w:sz w:val="24"/>
        </w:rPr>
        <w:t> </w:t>
      </w:r>
      <w:r>
        <w:rPr>
          <w:sz w:val="24"/>
        </w:rPr>
        <w:t>is</w:t>
      </w:r>
      <w:r>
        <w:rPr>
          <w:spacing w:val="-3"/>
          <w:sz w:val="24"/>
        </w:rPr>
        <w:t> </w:t>
      </w:r>
      <w:r>
        <w:rPr>
          <w:sz w:val="24"/>
        </w:rPr>
        <w:t>the</w:t>
      </w:r>
      <w:r>
        <w:rPr>
          <w:spacing w:val="-3"/>
          <w:sz w:val="24"/>
        </w:rPr>
        <w:t> </w:t>
      </w:r>
      <w:r>
        <w:rPr>
          <w:sz w:val="24"/>
        </w:rPr>
        <w:t>responsibility</w:t>
      </w:r>
      <w:r>
        <w:rPr>
          <w:spacing w:val="-3"/>
          <w:sz w:val="24"/>
        </w:rPr>
        <w:t> </w:t>
      </w:r>
      <w:r>
        <w:rPr>
          <w:sz w:val="24"/>
        </w:rPr>
        <w:t>of</w:t>
      </w:r>
      <w:r>
        <w:rPr>
          <w:spacing w:val="-3"/>
          <w:sz w:val="24"/>
        </w:rPr>
        <w:t> </w:t>
      </w:r>
      <w:r>
        <w:rPr>
          <w:sz w:val="24"/>
        </w:rPr>
        <w:t>the</w:t>
      </w:r>
      <w:r>
        <w:rPr>
          <w:spacing w:val="-3"/>
          <w:sz w:val="24"/>
        </w:rPr>
        <w:t> </w:t>
      </w:r>
      <w:r>
        <w:rPr>
          <w:sz w:val="24"/>
        </w:rPr>
        <w:t>client</w:t>
      </w:r>
      <w:r>
        <w:rPr>
          <w:spacing w:val="-3"/>
          <w:sz w:val="24"/>
        </w:rPr>
        <w:t> </w:t>
      </w:r>
      <w:r>
        <w:rPr>
          <w:sz w:val="24"/>
        </w:rPr>
        <w:t>to</w:t>
      </w:r>
      <w:r>
        <w:rPr>
          <w:spacing w:val="-3"/>
          <w:sz w:val="24"/>
        </w:rPr>
        <w:t> </w:t>
      </w:r>
      <w:r>
        <w:rPr>
          <w:sz w:val="24"/>
        </w:rPr>
        <w:t>provide</w:t>
      </w:r>
      <w:r>
        <w:rPr>
          <w:spacing w:val="-3"/>
          <w:sz w:val="24"/>
        </w:rPr>
        <w:t> </w:t>
      </w:r>
      <w:r>
        <w:rPr>
          <w:sz w:val="24"/>
        </w:rPr>
        <w:t>this</w:t>
      </w:r>
      <w:r>
        <w:rPr>
          <w:spacing w:val="-3"/>
          <w:sz w:val="24"/>
        </w:rPr>
        <w:t> </w:t>
      </w:r>
      <w:r>
        <w:rPr>
          <w:sz w:val="24"/>
        </w:rPr>
        <w:t>support</w:t>
      </w:r>
      <w:r>
        <w:rPr>
          <w:spacing w:val="-3"/>
          <w:sz w:val="24"/>
        </w:rPr>
        <w:t> </w:t>
      </w:r>
      <w:r>
        <w:rPr>
          <w:sz w:val="24"/>
        </w:rPr>
        <w:t>documentation.</w:t>
      </w:r>
      <w:r>
        <w:rPr>
          <w:spacing w:val="-3"/>
          <w:sz w:val="24"/>
        </w:rPr>
        <w:t> </w:t>
      </w:r>
      <w:r>
        <w:rPr>
          <w:sz w:val="24"/>
        </w:rPr>
        <w:t>The client may provide this documentation electronically or as a printed document in the standard format used by the school.</w:t>
      </w:r>
    </w:p>
    <w:p>
      <w:pPr>
        <w:pStyle w:val="ListParagraph"/>
        <w:numPr>
          <w:ilvl w:val="0"/>
          <w:numId w:val="185"/>
        </w:numPr>
        <w:tabs>
          <w:tab w:pos="719" w:val="left" w:leader="none"/>
        </w:tabs>
        <w:spacing w:line="208" w:lineRule="auto" w:before="240" w:after="0"/>
        <w:ind w:left="360" w:right="781" w:firstLine="0"/>
        <w:jc w:val="left"/>
        <w:rPr>
          <w:sz w:val="24"/>
        </w:rPr>
      </w:pPr>
      <w:r>
        <w:rPr>
          <w:b/>
          <w:sz w:val="24"/>
        </w:rPr>
        <w:t>Private</w:t>
      </w:r>
      <w:r>
        <w:rPr>
          <w:b/>
          <w:spacing w:val="-3"/>
          <w:sz w:val="24"/>
        </w:rPr>
        <w:t> </w:t>
      </w:r>
      <w:r>
        <w:rPr>
          <w:b/>
          <w:sz w:val="24"/>
        </w:rPr>
        <w:t>institutions</w:t>
      </w:r>
      <w:r>
        <w:rPr>
          <w:b/>
          <w:spacing w:val="-2"/>
          <w:sz w:val="24"/>
        </w:rPr>
        <w:t> </w:t>
      </w:r>
      <w:r>
        <w:rPr>
          <w:b/>
          <w:sz w:val="24"/>
        </w:rPr>
        <w:t>of</w:t>
      </w:r>
      <w:r>
        <w:rPr>
          <w:b/>
          <w:spacing w:val="-1"/>
          <w:sz w:val="24"/>
        </w:rPr>
        <w:t> </w:t>
      </w:r>
      <w:r>
        <w:rPr>
          <w:b/>
          <w:sz w:val="24"/>
        </w:rPr>
        <w:t>higher</w:t>
      </w:r>
      <w:r>
        <w:rPr>
          <w:b/>
          <w:spacing w:val="-3"/>
          <w:sz w:val="24"/>
        </w:rPr>
        <w:t> </w:t>
      </w:r>
      <w:r>
        <w:rPr>
          <w:b/>
          <w:sz w:val="24"/>
        </w:rPr>
        <w:t>learning.</w:t>
      </w:r>
      <w:r>
        <w:rPr>
          <w:b/>
          <w:spacing w:val="-3"/>
          <w:sz w:val="24"/>
        </w:rPr>
        <w:t> </w:t>
      </w:r>
      <w:r>
        <w:rPr>
          <w:sz w:val="24"/>
        </w:rPr>
        <w:t>Tuition</w:t>
      </w:r>
      <w:r>
        <w:rPr>
          <w:spacing w:val="-2"/>
          <w:sz w:val="24"/>
        </w:rPr>
        <w:t> </w:t>
      </w:r>
      <w:r>
        <w:rPr>
          <w:sz w:val="24"/>
        </w:rPr>
        <w:t>and</w:t>
      </w:r>
      <w:r>
        <w:rPr>
          <w:spacing w:val="-1"/>
          <w:sz w:val="24"/>
        </w:rPr>
        <w:t> </w:t>
      </w:r>
      <w:r>
        <w:rPr>
          <w:sz w:val="24"/>
        </w:rPr>
        <w:t>fees</w:t>
      </w:r>
      <w:r>
        <w:rPr>
          <w:spacing w:val="-2"/>
          <w:sz w:val="24"/>
        </w:rPr>
        <w:t> </w:t>
      </w:r>
      <w:r>
        <w:rPr>
          <w:sz w:val="24"/>
        </w:rPr>
        <w:t>for</w:t>
      </w:r>
      <w:r>
        <w:rPr>
          <w:spacing w:val="-3"/>
          <w:sz w:val="24"/>
        </w:rPr>
        <w:t> </w:t>
      </w:r>
      <w:r>
        <w:rPr>
          <w:sz w:val="24"/>
        </w:rPr>
        <w:t>students</w:t>
      </w:r>
      <w:r>
        <w:rPr>
          <w:spacing w:val="-2"/>
          <w:sz w:val="24"/>
        </w:rPr>
        <w:t> </w:t>
      </w:r>
      <w:r>
        <w:rPr>
          <w:sz w:val="24"/>
        </w:rPr>
        <w:t>in</w:t>
      </w:r>
      <w:r>
        <w:rPr>
          <w:spacing w:val="-2"/>
          <w:sz w:val="24"/>
        </w:rPr>
        <w:t> </w:t>
      </w:r>
      <w:r>
        <w:rPr>
          <w:sz w:val="24"/>
        </w:rPr>
        <w:t>attendance at accredited private or denominational schools will be paid at the same rate as that paid at state-supported colleges or universities of equal rank. </w:t>
      </w:r>
      <w:r>
        <w:rPr>
          <w:b/>
          <w:sz w:val="24"/>
        </w:rPr>
        <w:t>2 </w:t>
      </w:r>
      <w:r>
        <w:rPr>
          <w:sz w:val="24"/>
        </w:rPr>
        <w:t>After the completion of the first semester, a grade report, proof of enrollment, and an itemized invoice are required documentation to support the authorization for tuition and fees. It is the responsibility</w:t>
      </w:r>
      <w:r>
        <w:rPr>
          <w:spacing w:val="-4"/>
          <w:sz w:val="24"/>
        </w:rPr>
        <w:t> </w:t>
      </w:r>
      <w:r>
        <w:rPr>
          <w:sz w:val="24"/>
        </w:rPr>
        <w:t>of</w:t>
      </w:r>
      <w:r>
        <w:rPr>
          <w:spacing w:val="-5"/>
          <w:sz w:val="24"/>
        </w:rPr>
        <w:t> </w:t>
      </w:r>
      <w:r>
        <w:rPr>
          <w:sz w:val="24"/>
        </w:rPr>
        <w:t>the</w:t>
      </w:r>
      <w:r>
        <w:rPr>
          <w:spacing w:val="-4"/>
          <w:sz w:val="24"/>
        </w:rPr>
        <w:t> </w:t>
      </w:r>
      <w:r>
        <w:rPr>
          <w:sz w:val="24"/>
        </w:rPr>
        <w:t>client</w:t>
      </w:r>
      <w:r>
        <w:rPr>
          <w:spacing w:val="-3"/>
          <w:sz w:val="24"/>
        </w:rPr>
        <w:t> </w:t>
      </w:r>
      <w:r>
        <w:rPr>
          <w:sz w:val="24"/>
        </w:rPr>
        <w:t>to</w:t>
      </w:r>
      <w:r>
        <w:rPr>
          <w:spacing w:val="-4"/>
          <w:sz w:val="24"/>
        </w:rPr>
        <w:t> </w:t>
      </w:r>
      <w:r>
        <w:rPr>
          <w:sz w:val="24"/>
        </w:rPr>
        <w:t>provide</w:t>
      </w:r>
      <w:r>
        <w:rPr>
          <w:spacing w:val="-4"/>
          <w:sz w:val="24"/>
        </w:rPr>
        <w:t> </w:t>
      </w:r>
      <w:r>
        <w:rPr>
          <w:sz w:val="24"/>
        </w:rPr>
        <w:t>this</w:t>
      </w:r>
      <w:r>
        <w:rPr>
          <w:spacing w:val="-4"/>
          <w:sz w:val="24"/>
        </w:rPr>
        <w:t> </w:t>
      </w:r>
      <w:r>
        <w:rPr>
          <w:sz w:val="24"/>
        </w:rPr>
        <w:t>support</w:t>
      </w:r>
      <w:r>
        <w:rPr>
          <w:spacing w:val="-3"/>
          <w:sz w:val="24"/>
        </w:rPr>
        <w:t> </w:t>
      </w:r>
      <w:r>
        <w:rPr>
          <w:sz w:val="24"/>
        </w:rPr>
        <w:t>documentation.</w:t>
      </w:r>
      <w:r>
        <w:rPr>
          <w:spacing w:val="-3"/>
          <w:sz w:val="24"/>
        </w:rPr>
        <w:t> </w:t>
      </w:r>
      <w:r>
        <w:rPr>
          <w:sz w:val="24"/>
        </w:rPr>
        <w:t>The</w:t>
      </w:r>
      <w:r>
        <w:rPr>
          <w:spacing w:val="-4"/>
          <w:sz w:val="24"/>
        </w:rPr>
        <w:t> </w:t>
      </w:r>
      <w:r>
        <w:rPr>
          <w:sz w:val="24"/>
        </w:rPr>
        <w:t>client</w:t>
      </w:r>
      <w:r>
        <w:rPr>
          <w:spacing w:val="-3"/>
          <w:sz w:val="24"/>
        </w:rPr>
        <w:t> </w:t>
      </w:r>
      <w:r>
        <w:rPr>
          <w:sz w:val="24"/>
        </w:rPr>
        <w:t>may</w:t>
      </w:r>
      <w:r>
        <w:rPr>
          <w:spacing w:val="-4"/>
          <w:sz w:val="24"/>
        </w:rPr>
        <w:t> </w:t>
      </w:r>
      <w:r>
        <w:rPr>
          <w:sz w:val="24"/>
        </w:rPr>
        <w:t>provide this documentation electronically or as a printed document in the standard format used by the school.</w:t>
      </w:r>
    </w:p>
    <w:p>
      <w:pPr>
        <w:pStyle w:val="ListParagraph"/>
        <w:numPr>
          <w:ilvl w:val="0"/>
          <w:numId w:val="185"/>
        </w:numPr>
        <w:tabs>
          <w:tab w:pos="786" w:val="left" w:leader="none"/>
        </w:tabs>
        <w:spacing w:line="208" w:lineRule="auto" w:before="239" w:after="0"/>
        <w:ind w:left="360" w:right="873" w:firstLine="0"/>
        <w:jc w:val="left"/>
        <w:rPr>
          <w:sz w:val="24"/>
        </w:rPr>
      </w:pPr>
      <w:r>
        <w:rPr>
          <w:b/>
          <w:sz w:val="24"/>
        </w:rPr>
        <w:t>Federal/State student aid. </w:t>
      </w:r>
      <w:r>
        <w:rPr>
          <w:sz w:val="24"/>
        </w:rPr>
        <w:t>Pell Grant and all other Federal/State aid (excluding merit awards) must be applied to tuition, fees and all other educational expenses as a first</w:t>
      </w:r>
      <w:r>
        <w:rPr>
          <w:spacing w:val="-3"/>
          <w:sz w:val="24"/>
        </w:rPr>
        <w:t> </w:t>
      </w:r>
      <w:r>
        <w:rPr>
          <w:sz w:val="24"/>
        </w:rPr>
        <w:t>dollar</w:t>
      </w:r>
      <w:r>
        <w:rPr>
          <w:spacing w:val="-3"/>
          <w:sz w:val="24"/>
        </w:rPr>
        <w:t> </w:t>
      </w:r>
      <w:r>
        <w:rPr>
          <w:sz w:val="24"/>
        </w:rPr>
        <w:t>source</w:t>
      </w:r>
      <w:r>
        <w:rPr>
          <w:spacing w:val="-4"/>
          <w:sz w:val="24"/>
        </w:rPr>
        <w:t> </w:t>
      </w:r>
      <w:r>
        <w:rPr>
          <w:sz w:val="24"/>
        </w:rPr>
        <w:t>prior</w:t>
      </w:r>
      <w:r>
        <w:rPr>
          <w:spacing w:val="-5"/>
          <w:sz w:val="24"/>
        </w:rPr>
        <w:t> </w:t>
      </w:r>
      <w:r>
        <w:rPr>
          <w:sz w:val="24"/>
        </w:rPr>
        <w:t>to</w:t>
      </w:r>
      <w:r>
        <w:rPr>
          <w:spacing w:val="-4"/>
          <w:sz w:val="24"/>
        </w:rPr>
        <w:t> </w:t>
      </w:r>
      <w:r>
        <w:rPr>
          <w:sz w:val="24"/>
        </w:rPr>
        <w:t>the</w:t>
      </w:r>
      <w:r>
        <w:rPr>
          <w:spacing w:val="-4"/>
          <w:sz w:val="24"/>
        </w:rPr>
        <w:t> </w:t>
      </w:r>
      <w:r>
        <w:rPr>
          <w:sz w:val="24"/>
        </w:rPr>
        <w:t>consideration</w:t>
      </w:r>
      <w:r>
        <w:rPr>
          <w:spacing w:val="-4"/>
          <w:sz w:val="24"/>
        </w:rPr>
        <w:t> </w:t>
      </w:r>
      <w:r>
        <w:rPr>
          <w:sz w:val="24"/>
        </w:rPr>
        <w:t>of</w:t>
      </w:r>
      <w:r>
        <w:rPr>
          <w:spacing w:val="-3"/>
          <w:sz w:val="24"/>
        </w:rPr>
        <w:t> </w:t>
      </w:r>
      <w:r>
        <w:rPr>
          <w:sz w:val="24"/>
        </w:rPr>
        <w:t>the</w:t>
      </w:r>
      <w:r>
        <w:rPr>
          <w:spacing w:val="-4"/>
          <w:sz w:val="24"/>
        </w:rPr>
        <w:t> </w:t>
      </w:r>
      <w:r>
        <w:rPr>
          <w:sz w:val="24"/>
        </w:rPr>
        <w:t>expenditure</w:t>
      </w:r>
      <w:r>
        <w:rPr>
          <w:spacing w:val="-4"/>
          <w:sz w:val="24"/>
        </w:rPr>
        <w:t> </w:t>
      </w:r>
      <w:r>
        <w:rPr>
          <w:sz w:val="24"/>
        </w:rPr>
        <w:t>of</w:t>
      </w:r>
      <w:r>
        <w:rPr>
          <w:spacing w:val="-3"/>
          <w:sz w:val="24"/>
        </w:rPr>
        <w:t> </w:t>
      </w:r>
      <w:r>
        <w:rPr>
          <w:sz w:val="24"/>
        </w:rPr>
        <w:t>DRS</w:t>
      </w:r>
      <w:r>
        <w:rPr>
          <w:spacing w:val="-4"/>
          <w:sz w:val="24"/>
        </w:rPr>
        <w:t> </w:t>
      </w:r>
      <w:r>
        <w:rPr>
          <w:sz w:val="24"/>
        </w:rPr>
        <w:t>funds</w:t>
      </w:r>
      <w:r>
        <w:rPr>
          <w:spacing w:val="-4"/>
          <w:sz w:val="24"/>
        </w:rPr>
        <w:t> </w:t>
      </w:r>
      <w:r>
        <w:rPr>
          <w:sz w:val="24"/>
        </w:rPr>
        <w:t>regardless of whether the student is attending a public or private institution of higher education.</w:t>
      </w:r>
    </w:p>
    <w:p>
      <w:pPr>
        <w:pStyle w:val="ListParagraph"/>
        <w:spacing w:after="0" w:line="208" w:lineRule="auto"/>
        <w:jc w:val="left"/>
        <w:rPr>
          <w:sz w:val="24"/>
        </w:rPr>
        <w:sectPr>
          <w:pgSz w:w="12240" w:h="15840"/>
          <w:pgMar w:top="1340" w:bottom="280" w:left="1080" w:right="720"/>
        </w:sectPr>
      </w:pPr>
    </w:p>
    <w:p>
      <w:pPr>
        <w:pStyle w:val="ListParagraph"/>
        <w:numPr>
          <w:ilvl w:val="0"/>
          <w:numId w:val="185"/>
        </w:numPr>
        <w:tabs>
          <w:tab w:pos="786" w:val="left" w:leader="none"/>
        </w:tabs>
        <w:spacing w:line="208" w:lineRule="auto" w:before="96" w:after="0"/>
        <w:ind w:left="360" w:right="821" w:firstLine="0"/>
        <w:jc w:val="left"/>
        <w:rPr>
          <w:sz w:val="24"/>
        </w:rPr>
      </w:pPr>
      <w:r>
        <w:rPr>
          <w:b/>
          <w:sz w:val="24"/>
        </w:rPr>
        <w:t>Cost</w:t>
      </w:r>
      <w:r>
        <w:rPr>
          <w:b/>
          <w:spacing w:val="-3"/>
          <w:sz w:val="24"/>
        </w:rPr>
        <w:t> </w:t>
      </w:r>
      <w:r>
        <w:rPr>
          <w:b/>
          <w:sz w:val="24"/>
        </w:rPr>
        <w:t>documentation.</w:t>
      </w:r>
      <w:r>
        <w:rPr>
          <w:b/>
          <w:spacing w:val="-3"/>
          <w:sz w:val="24"/>
        </w:rPr>
        <w:t> </w:t>
      </w:r>
      <w:r>
        <w:rPr>
          <w:sz w:val="24"/>
        </w:rPr>
        <w:t>Each</w:t>
      </w:r>
      <w:r>
        <w:rPr>
          <w:spacing w:val="-4"/>
          <w:sz w:val="24"/>
        </w:rPr>
        <w:t> </w:t>
      </w:r>
      <w:r>
        <w:rPr>
          <w:sz w:val="24"/>
        </w:rPr>
        <w:t>client</w:t>
      </w:r>
      <w:r>
        <w:rPr>
          <w:spacing w:val="-3"/>
          <w:sz w:val="24"/>
        </w:rPr>
        <w:t> </w:t>
      </w:r>
      <w:r>
        <w:rPr>
          <w:sz w:val="24"/>
        </w:rPr>
        <w:t>is</w:t>
      </w:r>
      <w:r>
        <w:rPr>
          <w:spacing w:val="-4"/>
          <w:sz w:val="24"/>
        </w:rPr>
        <w:t> </w:t>
      </w:r>
      <w:r>
        <w:rPr>
          <w:sz w:val="24"/>
        </w:rPr>
        <w:t>responsible</w:t>
      </w:r>
      <w:r>
        <w:rPr>
          <w:spacing w:val="-4"/>
          <w:sz w:val="24"/>
        </w:rPr>
        <w:t> </w:t>
      </w:r>
      <w:r>
        <w:rPr>
          <w:sz w:val="24"/>
        </w:rPr>
        <w:t>for</w:t>
      </w:r>
      <w:r>
        <w:rPr>
          <w:spacing w:val="-5"/>
          <w:sz w:val="24"/>
        </w:rPr>
        <w:t> </w:t>
      </w:r>
      <w:r>
        <w:rPr>
          <w:sz w:val="24"/>
        </w:rPr>
        <w:t>providing</w:t>
      </w:r>
      <w:r>
        <w:rPr>
          <w:spacing w:val="-4"/>
          <w:sz w:val="24"/>
        </w:rPr>
        <w:t> </w:t>
      </w:r>
      <w:r>
        <w:rPr>
          <w:sz w:val="24"/>
        </w:rPr>
        <w:t>the</w:t>
      </w:r>
      <w:r>
        <w:rPr>
          <w:spacing w:val="-4"/>
          <w:sz w:val="24"/>
        </w:rPr>
        <w:t> </w:t>
      </w:r>
      <w:r>
        <w:rPr>
          <w:sz w:val="24"/>
        </w:rPr>
        <w:t>counselor</w:t>
      </w:r>
      <w:r>
        <w:rPr>
          <w:spacing w:val="-3"/>
          <w:sz w:val="24"/>
        </w:rPr>
        <w:t> </w:t>
      </w:r>
      <w:r>
        <w:rPr>
          <w:sz w:val="24"/>
        </w:rPr>
        <w:t>a</w:t>
      </w:r>
      <w:r>
        <w:rPr>
          <w:spacing w:val="-4"/>
          <w:sz w:val="24"/>
        </w:rPr>
        <w:t> </w:t>
      </w:r>
      <w:r>
        <w:rPr>
          <w:sz w:val="24"/>
        </w:rPr>
        <w:t>copy of the college or university's current semester costs before the designated "Drop and Add" date.</w:t>
      </w:r>
    </w:p>
    <w:p>
      <w:pPr>
        <w:pStyle w:val="BodyText"/>
        <w:spacing w:before="210"/>
      </w:pPr>
      <w:r>
        <w:rPr/>
        <w:t>Instructions</w:t>
      </w:r>
      <w:r>
        <w:rPr>
          <w:spacing w:val="-5"/>
        </w:rPr>
        <w:t> </w:t>
      </w:r>
      <w:r>
        <w:rPr/>
        <w:t>to</w:t>
      </w:r>
      <w:r>
        <w:rPr>
          <w:spacing w:val="-2"/>
        </w:rPr>
        <w:t> </w:t>
      </w:r>
      <w:r>
        <w:rPr>
          <w:spacing w:val="-4"/>
        </w:rPr>
        <w:t>Staff</w:t>
      </w:r>
    </w:p>
    <w:p>
      <w:pPr>
        <w:pStyle w:val="ListParagraph"/>
        <w:numPr>
          <w:ilvl w:val="0"/>
          <w:numId w:val="186"/>
        </w:numPr>
        <w:tabs>
          <w:tab w:pos="1077" w:val="left" w:leader="none"/>
        </w:tabs>
        <w:spacing w:line="240" w:lineRule="auto" w:before="204" w:after="0"/>
        <w:ind w:left="1077" w:right="0" w:hanging="286"/>
        <w:jc w:val="left"/>
        <w:rPr>
          <w:sz w:val="24"/>
        </w:rPr>
      </w:pPr>
      <w:r>
        <w:rPr>
          <w:sz w:val="24"/>
        </w:rPr>
        <w:t>Authorization</w:t>
      </w:r>
      <w:r>
        <w:rPr>
          <w:spacing w:val="-5"/>
          <w:sz w:val="24"/>
        </w:rPr>
        <w:t> </w:t>
      </w:r>
      <w:r>
        <w:rPr>
          <w:sz w:val="24"/>
        </w:rPr>
        <w:t>and</w:t>
      </w:r>
      <w:r>
        <w:rPr>
          <w:spacing w:val="-3"/>
          <w:sz w:val="24"/>
        </w:rPr>
        <w:t> </w:t>
      </w:r>
      <w:r>
        <w:rPr>
          <w:sz w:val="24"/>
        </w:rPr>
        <w:t>payment</w:t>
      </w:r>
      <w:r>
        <w:rPr>
          <w:spacing w:val="-3"/>
          <w:sz w:val="24"/>
        </w:rPr>
        <w:t> </w:t>
      </w:r>
      <w:r>
        <w:rPr>
          <w:sz w:val="24"/>
        </w:rPr>
        <w:t>of</w:t>
      </w:r>
      <w:r>
        <w:rPr>
          <w:spacing w:val="-3"/>
          <w:sz w:val="24"/>
        </w:rPr>
        <w:t> </w:t>
      </w:r>
      <w:r>
        <w:rPr>
          <w:sz w:val="24"/>
        </w:rPr>
        <w:t>tuition</w:t>
      </w:r>
      <w:r>
        <w:rPr>
          <w:spacing w:val="-3"/>
          <w:sz w:val="24"/>
        </w:rPr>
        <w:t> </w:t>
      </w:r>
      <w:r>
        <w:rPr>
          <w:sz w:val="24"/>
        </w:rPr>
        <w:t>and</w:t>
      </w:r>
      <w:r>
        <w:rPr>
          <w:spacing w:val="-3"/>
          <w:sz w:val="24"/>
        </w:rPr>
        <w:t> </w:t>
      </w:r>
      <w:r>
        <w:rPr>
          <w:sz w:val="24"/>
        </w:rPr>
        <w:t>fees</w:t>
      </w:r>
      <w:r>
        <w:rPr>
          <w:spacing w:val="-3"/>
          <w:sz w:val="24"/>
        </w:rPr>
        <w:t> </w:t>
      </w:r>
      <w:r>
        <w:rPr>
          <w:sz w:val="24"/>
        </w:rPr>
        <w:t>at</w:t>
      </w:r>
      <w:r>
        <w:rPr>
          <w:spacing w:val="-3"/>
          <w:sz w:val="24"/>
        </w:rPr>
        <w:t> </w:t>
      </w:r>
      <w:r>
        <w:rPr>
          <w:sz w:val="24"/>
        </w:rPr>
        <w:t>public</w:t>
      </w:r>
      <w:r>
        <w:rPr>
          <w:spacing w:val="-2"/>
          <w:sz w:val="24"/>
        </w:rPr>
        <w:t> </w:t>
      </w:r>
      <w:r>
        <w:rPr>
          <w:sz w:val="24"/>
        </w:rPr>
        <w:t>colleges</w:t>
      </w:r>
      <w:r>
        <w:rPr>
          <w:spacing w:val="-3"/>
          <w:sz w:val="24"/>
        </w:rPr>
        <w:t> </w:t>
      </w:r>
      <w:r>
        <w:rPr>
          <w:sz w:val="24"/>
        </w:rPr>
        <w:t>and</w:t>
      </w:r>
      <w:r>
        <w:rPr>
          <w:spacing w:val="-3"/>
          <w:sz w:val="24"/>
        </w:rPr>
        <w:t> </w:t>
      </w:r>
      <w:r>
        <w:rPr>
          <w:spacing w:val="-2"/>
          <w:sz w:val="24"/>
        </w:rPr>
        <w:t>universities:</w:t>
      </w:r>
    </w:p>
    <w:p>
      <w:pPr>
        <w:pStyle w:val="BodyText"/>
        <w:spacing w:line="208" w:lineRule="auto" w:before="234"/>
        <w:ind w:left="791" w:right="718"/>
      </w:pPr>
      <w:r>
        <w:rPr/>
        <w:t>Direct client payments for tuition and fees at a public college or university should be authorized and paid to the client prior to the school-imposed deadline for payment</w:t>
      </w:r>
      <w:r>
        <w:rPr>
          <w:spacing w:val="40"/>
        </w:rPr>
        <w:t> </w:t>
      </w:r>
      <w:r>
        <w:rPr/>
        <w:t>of tuition and fees. The amount of a direct client payment authorization for tuition and fees shall be based on the number of hours to be taken, the</w:t>
      </w:r>
      <w:r>
        <w:rPr>
          <w:spacing w:val="-1"/>
        </w:rPr>
        <w:t> </w:t>
      </w:r>
      <w:r>
        <w:rPr/>
        <w:t>Oklahoma resident student rate established for tuition, mandatory fees and additional fees associated with the student's course of study. The counselor will review the itemized invoice to ensure</w:t>
      </w:r>
      <w:r>
        <w:rPr>
          <w:spacing w:val="-3"/>
        </w:rPr>
        <w:t> </w:t>
      </w:r>
      <w:r>
        <w:rPr/>
        <w:t>that</w:t>
      </w:r>
      <w:r>
        <w:rPr>
          <w:spacing w:val="-2"/>
        </w:rPr>
        <w:t> </w:t>
      </w:r>
      <w:r>
        <w:rPr/>
        <w:t>all</w:t>
      </w:r>
      <w:r>
        <w:rPr>
          <w:spacing w:val="-3"/>
        </w:rPr>
        <w:t> </w:t>
      </w:r>
      <w:r>
        <w:rPr/>
        <w:t>charges</w:t>
      </w:r>
      <w:r>
        <w:rPr>
          <w:spacing w:val="-2"/>
        </w:rPr>
        <w:t> </w:t>
      </w:r>
      <w:r>
        <w:rPr/>
        <w:t>are</w:t>
      </w:r>
      <w:r>
        <w:rPr>
          <w:spacing w:val="-3"/>
        </w:rPr>
        <w:t> </w:t>
      </w:r>
      <w:r>
        <w:rPr/>
        <w:t>related</w:t>
      </w:r>
      <w:r>
        <w:rPr>
          <w:spacing w:val="-3"/>
        </w:rPr>
        <w:t> </w:t>
      </w:r>
      <w:r>
        <w:rPr/>
        <w:t>to</w:t>
      </w:r>
      <w:r>
        <w:rPr>
          <w:spacing w:val="-4"/>
        </w:rPr>
        <w:t> </w:t>
      </w:r>
      <w:r>
        <w:rPr/>
        <w:t>the</w:t>
      </w:r>
      <w:r>
        <w:rPr>
          <w:spacing w:val="-3"/>
        </w:rPr>
        <w:t> </w:t>
      </w:r>
      <w:r>
        <w:rPr/>
        <w:t>vocational</w:t>
      </w:r>
      <w:r>
        <w:rPr>
          <w:spacing w:val="-3"/>
        </w:rPr>
        <w:t> </w:t>
      </w:r>
      <w:r>
        <w:rPr/>
        <w:t>goal.</w:t>
      </w:r>
      <w:r>
        <w:rPr>
          <w:spacing w:val="-2"/>
        </w:rPr>
        <w:t> </w:t>
      </w:r>
      <w:r>
        <w:rPr/>
        <w:t>The</w:t>
      </w:r>
      <w:r>
        <w:rPr>
          <w:spacing w:val="-3"/>
        </w:rPr>
        <w:t> </w:t>
      </w:r>
      <w:r>
        <w:rPr/>
        <w:t>counselor</w:t>
      </w:r>
      <w:r>
        <w:rPr>
          <w:spacing w:val="-2"/>
        </w:rPr>
        <w:t> </w:t>
      </w:r>
      <w:r>
        <w:rPr/>
        <w:t>shall</w:t>
      </w:r>
      <w:r>
        <w:rPr>
          <w:spacing w:val="-3"/>
        </w:rPr>
        <w:t> </w:t>
      </w:r>
      <w:r>
        <w:rPr/>
        <w:t>inform the client of his/her responsibility to supply the current semester class schedule, academic calendar, itemized invoice and student aid award letter prior to the school "Drop and Add Date" so that authorization and payment amounts may be</w:t>
      </w:r>
      <w:r>
        <w:rPr>
          <w:spacing w:val="40"/>
        </w:rPr>
        <w:t> </w:t>
      </w:r>
      <w:r>
        <w:rPr/>
        <w:t>calculated.</w:t>
      </w:r>
      <w:r>
        <w:rPr>
          <w:spacing w:val="40"/>
        </w:rPr>
        <w:t> </w:t>
      </w:r>
      <w:r>
        <w:rPr/>
        <w:t>In the absence of an itemized invoice, an online resident student rate schedule</w:t>
      </w:r>
      <w:r>
        <w:rPr>
          <w:spacing w:val="-4"/>
        </w:rPr>
        <w:t> </w:t>
      </w:r>
      <w:r>
        <w:rPr/>
        <w:t>may</w:t>
      </w:r>
      <w:r>
        <w:rPr>
          <w:spacing w:val="-4"/>
        </w:rPr>
        <w:t> </w:t>
      </w:r>
      <w:r>
        <w:rPr/>
        <w:t>be</w:t>
      </w:r>
      <w:r>
        <w:rPr>
          <w:spacing w:val="-4"/>
        </w:rPr>
        <w:t> </w:t>
      </w:r>
      <w:r>
        <w:rPr/>
        <w:t>used.</w:t>
      </w:r>
      <w:r>
        <w:rPr>
          <w:spacing w:val="-3"/>
        </w:rPr>
        <w:t> </w:t>
      </w:r>
      <w:r>
        <w:rPr/>
        <w:t>For</w:t>
      </w:r>
      <w:r>
        <w:rPr>
          <w:spacing w:val="-3"/>
        </w:rPr>
        <w:t> </w:t>
      </w:r>
      <w:r>
        <w:rPr/>
        <w:t>continuing</w:t>
      </w:r>
      <w:r>
        <w:rPr>
          <w:spacing w:val="-4"/>
        </w:rPr>
        <w:t> </w:t>
      </w:r>
      <w:r>
        <w:rPr/>
        <w:t>students,</w:t>
      </w:r>
      <w:r>
        <w:rPr>
          <w:spacing w:val="-5"/>
        </w:rPr>
        <w:t> </w:t>
      </w:r>
      <w:r>
        <w:rPr/>
        <w:t>the</w:t>
      </w:r>
      <w:r>
        <w:rPr>
          <w:spacing w:val="-4"/>
        </w:rPr>
        <w:t> </w:t>
      </w:r>
      <w:r>
        <w:rPr/>
        <w:t>counselor</w:t>
      </w:r>
      <w:r>
        <w:rPr>
          <w:spacing w:val="-3"/>
        </w:rPr>
        <w:t> </w:t>
      </w:r>
      <w:r>
        <w:rPr/>
        <w:t>shall</w:t>
      </w:r>
      <w:r>
        <w:rPr>
          <w:spacing w:val="-4"/>
        </w:rPr>
        <w:t> </w:t>
      </w:r>
      <w:r>
        <w:rPr/>
        <w:t>inform</w:t>
      </w:r>
      <w:r>
        <w:rPr>
          <w:spacing w:val="-3"/>
        </w:rPr>
        <w:t> </w:t>
      </w:r>
      <w:r>
        <w:rPr/>
        <w:t>the</w:t>
      </w:r>
      <w:r>
        <w:rPr>
          <w:spacing w:val="-4"/>
        </w:rPr>
        <w:t> </w:t>
      </w:r>
      <w:r>
        <w:rPr/>
        <w:t>client of his/her responsibility to provide the previous semester's grade report to confirm continued eligibility for DRS tuition assistance.</w:t>
      </w:r>
    </w:p>
    <w:p>
      <w:pPr>
        <w:pStyle w:val="ListParagraph"/>
        <w:numPr>
          <w:ilvl w:val="0"/>
          <w:numId w:val="186"/>
        </w:numPr>
        <w:tabs>
          <w:tab w:pos="1077" w:val="left" w:leader="none"/>
        </w:tabs>
        <w:spacing w:line="208" w:lineRule="auto" w:before="238" w:after="0"/>
        <w:ind w:left="791" w:right="1286" w:firstLine="0"/>
        <w:jc w:val="left"/>
        <w:rPr>
          <w:sz w:val="24"/>
        </w:rPr>
      </w:pPr>
      <w:r>
        <w:rPr>
          <w:sz w:val="24"/>
        </w:rPr>
        <w:t>Authorization</w:t>
      </w:r>
      <w:r>
        <w:rPr>
          <w:spacing w:val="-4"/>
          <w:sz w:val="24"/>
        </w:rPr>
        <w:t> </w:t>
      </w:r>
      <w:r>
        <w:rPr>
          <w:sz w:val="24"/>
        </w:rPr>
        <w:t>and</w:t>
      </w:r>
      <w:r>
        <w:rPr>
          <w:spacing w:val="-4"/>
          <w:sz w:val="24"/>
        </w:rPr>
        <w:t> </w:t>
      </w:r>
      <w:r>
        <w:rPr>
          <w:sz w:val="24"/>
        </w:rPr>
        <w:t>payment</w:t>
      </w:r>
      <w:r>
        <w:rPr>
          <w:spacing w:val="-3"/>
          <w:sz w:val="24"/>
        </w:rPr>
        <w:t> </w:t>
      </w:r>
      <w:r>
        <w:rPr>
          <w:sz w:val="24"/>
        </w:rPr>
        <w:t>of</w:t>
      </w:r>
      <w:r>
        <w:rPr>
          <w:spacing w:val="-5"/>
          <w:sz w:val="24"/>
        </w:rPr>
        <w:t> </w:t>
      </w:r>
      <w:r>
        <w:rPr>
          <w:sz w:val="24"/>
        </w:rPr>
        <w:t>tuition</w:t>
      </w:r>
      <w:r>
        <w:rPr>
          <w:spacing w:val="-4"/>
          <w:sz w:val="24"/>
        </w:rPr>
        <w:t> </w:t>
      </w:r>
      <w:r>
        <w:rPr>
          <w:sz w:val="24"/>
        </w:rPr>
        <w:t>and</w:t>
      </w:r>
      <w:r>
        <w:rPr>
          <w:spacing w:val="-4"/>
          <w:sz w:val="24"/>
        </w:rPr>
        <w:t> </w:t>
      </w:r>
      <w:r>
        <w:rPr>
          <w:sz w:val="24"/>
        </w:rPr>
        <w:t>fees</w:t>
      </w:r>
      <w:r>
        <w:rPr>
          <w:spacing w:val="-4"/>
          <w:sz w:val="24"/>
        </w:rPr>
        <w:t> </w:t>
      </w:r>
      <w:r>
        <w:rPr>
          <w:sz w:val="24"/>
        </w:rPr>
        <w:t>at</w:t>
      </w:r>
      <w:r>
        <w:rPr>
          <w:spacing w:val="-3"/>
          <w:sz w:val="24"/>
        </w:rPr>
        <w:t> </w:t>
      </w:r>
      <w:r>
        <w:rPr>
          <w:sz w:val="24"/>
        </w:rPr>
        <w:t>private</w:t>
      </w:r>
      <w:r>
        <w:rPr>
          <w:spacing w:val="-5"/>
          <w:sz w:val="24"/>
        </w:rPr>
        <w:t> </w:t>
      </w:r>
      <w:r>
        <w:rPr>
          <w:sz w:val="24"/>
        </w:rPr>
        <w:t>institutions</w:t>
      </w:r>
      <w:r>
        <w:rPr>
          <w:spacing w:val="-4"/>
          <w:sz w:val="24"/>
        </w:rPr>
        <w:t> </w:t>
      </w:r>
      <w:r>
        <w:rPr>
          <w:sz w:val="24"/>
        </w:rPr>
        <w:t>of</w:t>
      </w:r>
      <w:r>
        <w:rPr>
          <w:spacing w:val="-3"/>
          <w:sz w:val="24"/>
        </w:rPr>
        <w:t> </w:t>
      </w:r>
      <w:r>
        <w:rPr>
          <w:sz w:val="24"/>
        </w:rPr>
        <w:t>higher </w:t>
      </w:r>
      <w:r>
        <w:rPr>
          <w:spacing w:val="-2"/>
          <w:sz w:val="24"/>
        </w:rPr>
        <w:t>learning:</w:t>
      </w:r>
    </w:p>
    <w:p>
      <w:pPr>
        <w:pStyle w:val="BodyText"/>
        <w:spacing w:line="208" w:lineRule="auto"/>
        <w:ind w:left="791" w:right="775"/>
      </w:pPr>
      <w:r>
        <w:rPr/>
        <w:t>Tuition and fees for students attending private or denominational colleges or universities are authorized and paid directly to the institutions in accordance with applicable DRS contracts. The authorization and payment amount is calculated based on the number of course hours in which the student is enrolled, the applicable tuition rate per hour, mandatory student fees and any additional fees associated with the student's course of study. The counselor will review the itemized invoice to ensure that all charges are related to the vocational goal. For continuing students, the counselor shall inform the client of his/her responsibility to provide</w:t>
      </w:r>
      <w:r>
        <w:rPr>
          <w:spacing w:val="-4"/>
        </w:rPr>
        <w:t> </w:t>
      </w:r>
      <w:r>
        <w:rPr/>
        <w:t>the</w:t>
      </w:r>
      <w:r>
        <w:rPr>
          <w:spacing w:val="-3"/>
        </w:rPr>
        <w:t> </w:t>
      </w:r>
      <w:r>
        <w:rPr/>
        <w:t>previous</w:t>
      </w:r>
      <w:r>
        <w:rPr>
          <w:spacing w:val="-4"/>
        </w:rPr>
        <w:t> </w:t>
      </w:r>
      <w:r>
        <w:rPr/>
        <w:t>semester's</w:t>
      </w:r>
      <w:r>
        <w:rPr>
          <w:spacing w:val="-5"/>
        </w:rPr>
        <w:t> </w:t>
      </w:r>
      <w:r>
        <w:rPr/>
        <w:t>grade</w:t>
      </w:r>
      <w:r>
        <w:rPr>
          <w:spacing w:val="-4"/>
        </w:rPr>
        <w:t> </w:t>
      </w:r>
      <w:r>
        <w:rPr/>
        <w:t>report</w:t>
      </w:r>
      <w:r>
        <w:rPr>
          <w:spacing w:val="-5"/>
        </w:rPr>
        <w:t> </w:t>
      </w:r>
      <w:r>
        <w:rPr/>
        <w:t>to</w:t>
      </w:r>
      <w:r>
        <w:rPr>
          <w:spacing w:val="-4"/>
        </w:rPr>
        <w:t> </w:t>
      </w:r>
      <w:r>
        <w:rPr/>
        <w:t>confirm</w:t>
      </w:r>
      <w:r>
        <w:rPr>
          <w:spacing w:val="-3"/>
        </w:rPr>
        <w:t> </w:t>
      </w:r>
      <w:r>
        <w:rPr/>
        <w:t>continued</w:t>
      </w:r>
      <w:r>
        <w:rPr>
          <w:spacing w:val="-4"/>
        </w:rPr>
        <w:t> </w:t>
      </w:r>
      <w:r>
        <w:rPr/>
        <w:t>eligibility</w:t>
      </w:r>
      <w:r>
        <w:rPr>
          <w:spacing w:val="-4"/>
        </w:rPr>
        <w:t> </w:t>
      </w:r>
      <w:r>
        <w:rPr/>
        <w:t>for</w:t>
      </w:r>
      <w:r>
        <w:rPr>
          <w:spacing w:val="-3"/>
        </w:rPr>
        <w:t> </w:t>
      </w:r>
      <w:r>
        <w:rPr/>
        <w:t>DRS tuition assistance. The counselor shall also inform the</w:t>
      </w:r>
      <w:r>
        <w:rPr>
          <w:spacing w:val="-1"/>
        </w:rPr>
        <w:t> </w:t>
      </w:r>
      <w:r>
        <w:rPr/>
        <w:t>client of his/her responsibility to</w:t>
      </w:r>
      <w:r>
        <w:rPr>
          <w:spacing w:val="-3"/>
        </w:rPr>
        <w:t> </w:t>
      </w:r>
      <w:r>
        <w:rPr/>
        <w:t>supply</w:t>
      </w:r>
      <w:r>
        <w:rPr>
          <w:spacing w:val="-3"/>
        </w:rPr>
        <w:t> </w:t>
      </w:r>
      <w:r>
        <w:rPr/>
        <w:t>the</w:t>
      </w:r>
      <w:r>
        <w:rPr>
          <w:spacing w:val="-3"/>
        </w:rPr>
        <w:t> </w:t>
      </w:r>
      <w:r>
        <w:rPr/>
        <w:t>current</w:t>
      </w:r>
      <w:r>
        <w:rPr>
          <w:spacing w:val="-2"/>
        </w:rPr>
        <w:t> </w:t>
      </w:r>
      <w:r>
        <w:rPr/>
        <w:t>semester</w:t>
      </w:r>
      <w:r>
        <w:rPr>
          <w:spacing w:val="-2"/>
        </w:rPr>
        <w:t> </w:t>
      </w:r>
      <w:r>
        <w:rPr/>
        <w:t>class</w:t>
      </w:r>
      <w:r>
        <w:rPr>
          <w:spacing w:val="-3"/>
        </w:rPr>
        <w:t> </w:t>
      </w:r>
      <w:r>
        <w:rPr/>
        <w:t>schedule,</w:t>
      </w:r>
      <w:r>
        <w:rPr>
          <w:spacing w:val="-2"/>
        </w:rPr>
        <w:t> </w:t>
      </w:r>
      <w:r>
        <w:rPr/>
        <w:t>academic</w:t>
      </w:r>
      <w:r>
        <w:rPr>
          <w:spacing w:val="-3"/>
        </w:rPr>
        <w:t> </w:t>
      </w:r>
      <w:r>
        <w:rPr/>
        <w:t>calendar,</w:t>
      </w:r>
      <w:r>
        <w:rPr>
          <w:spacing w:val="-2"/>
        </w:rPr>
        <w:t> </w:t>
      </w:r>
      <w:r>
        <w:rPr/>
        <w:t>itemized</w:t>
      </w:r>
      <w:r>
        <w:rPr>
          <w:spacing w:val="-3"/>
        </w:rPr>
        <w:t> </w:t>
      </w:r>
      <w:r>
        <w:rPr/>
        <w:t>invoice and student aid award letter prior to the school "Drop and Add Date" so that authorization and payment amounts may be calculated. Authorization shall be issued at the beginning of each semester and no later than the "Drop and Add Date." Payment shall be released by the "Drop and Add Date."</w:t>
      </w:r>
    </w:p>
    <w:p>
      <w:pPr>
        <w:spacing w:before="242"/>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11-17-94</w:t>
      </w:r>
      <w:r>
        <w:rPr>
          <w:spacing w:val="80"/>
          <w:sz w:val="22"/>
        </w:rPr>
        <w:t> </w:t>
      </w:r>
      <w:r>
        <w:rPr>
          <w:sz w:val="22"/>
        </w:rPr>
        <w:t>PT Memo #94-5</w:t>
      </w:r>
    </w:p>
    <w:p>
      <w:pPr>
        <w:spacing w:before="0"/>
        <w:ind w:left="1439" w:right="775" w:firstLine="0"/>
        <w:jc w:val="left"/>
        <w:rPr>
          <w:sz w:val="22"/>
        </w:rPr>
      </w:pPr>
      <w:r>
        <w:rPr>
          <w:sz w:val="22"/>
        </w:rPr>
        <w:t>Emergency,</w:t>
      </w:r>
      <w:r>
        <w:rPr>
          <w:spacing w:val="-4"/>
          <w:sz w:val="22"/>
        </w:rPr>
        <w:t> </w:t>
      </w:r>
      <w:r>
        <w:rPr>
          <w:sz w:val="22"/>
        </w:rPr>
        <w:t>exempted</w:t>
      </w:r>
      <w:r>
        <w:rPr>
          <w:spacing w:val="-4"/>
          <w:sz w:val="22"/>
        </w:rPr>
        <w:t> </w:t>
      </w:r>
      <w:r>
        <w:rPr>
          <w:sz w:val="22"/>
        </w:rPr>
        <w:t>payment</w:t>
      </w:r>
      <w:r>
        <w:rPr>
          <w:spacing w:val="-4"/>
          <w:sz w:val="22"/>
        </w:rPr>
        <w:t> </w:t>
      </w:r>
      <w:r>
        <w:rPr>
          <w:sz w:val="22"/>
        </w:rPr>
        <w:t>of</w:t>
      </w:r>
      <w:r>
        <w:rPr>
          <w:spacing w:val="-4"/>
          <w:sz w:val="22"/>
        </w:rPr>
        <w:t> </w:t>
      </w:r>
      <w:r>
        <w:rPr>
          <w:sz w:val="22"/>
        </w:rPr>
        <w:t>tuition</w:t>
      </w:r>
      <w:r>
        <w:rPr>
          <w:spacing w:val="-4"/>
          <w:sz w:val="22"/>
        </w:rPr>
        <w:t> </w:t>
      </w:r>
      <w:r>
        <w:rPr>
          <w:sz w:val="22"/>
        </w:rPr>
        <w:t>and</w:t>
      </w:r>
      <w:r>
        <w:rPr>
          <w:spacing w:val="-4"/>
          <w:sz w:val="22"/>
        </w:rPr>
        <w:t> </w:t>
      </w:r>
      <w:r>
        <w:rPr>
          <w:sz w:val="22"/>
        </w:rPr>
        <w:t>fees</w:t>
      </w:r>
      <w:r>
        <w:rPr>
          <w:spacing w:val="-4"/>
          <w:sz w:val="22"/>
        </w:rPr>
        <w:t> </w:t>
      </w:r>
      <w:r>
        <w:rPr>
          <w:sz w:val="22"/>
        </w:rPr>
        <w:t>from</w:t>
      </w:r>
      <w:r>
        <w:rPr>
          <w:spacing w:val="-5"/>
          <w:sz w:val="22"/>
        </w:rPr>
        <w:t> </w:t>
      </w:r>
      <w:r>
        <w:rPr>
          <w:sz w:val="22"/>
        </w:rPr>
        <w:t>client</w:t>
      </w:r>
      <w:r>
        <w:rPr>
          <w:spacing w:val="-5"/>
          <w:sz w:val="22"/>
        </w:rPr>
        <w:t> </w:t>
      </w:r>
      <w:r>
        <w:rPr>
          <w:sz w:val="22"/>
        </w:rPr>
        <w:t>participation</w:t>
      </w:r>
      <w:r>
        <w:rPr>
          <w:spacing w:val="-4"/>
          <w:sz w:val="22"/>
        </w:rPr>
        <w:t> </w:t>
      </w:r>
      <w:r>
        <w:rPr>
          <w:sz w:val="22"/>
        </w:rPr>
        <w:t>in</w:t>
      </w:r>
      <w:r>
        <w:rPr>
          <w:spacing w:val="-4"/>
          <w:sz w:val="22"/>
        </w:rPr>
        <w:t> </w:t>
      </w:r>
      <w:r>
        <w:rPr>
          <w:sz w:val="22"/>
        </w:rPr>
        <w:t>service </w:t>
      </w:r>
      <w:r>
        <w:rPr>
          <w:spacing w:val="-2"/>
          <w:sz w:val="22"/>
        </w:rPr>
        <w:t>costs.</w:t>
      </w:r>
    </w:p>
    <w:p>
      <w:pPr>
        <w:tabs>
          <w:tab w:pos="1439" w:val="left" w:leader="none"/>
        </w:tabs>
        <w:spacing w:line="252" w:lineRule="exact" w:before="0"/>
        <w:ind w:left="359" w:right="0" w:firstLine="0"/>
        <w:jc w:val="left"/>
        <w:rPr>
          <w:sz w:val="22"/>
        </w:rPr>
      </w:pPr>
      <w:r>
        <w:rPr>
          <w:spacing w:val="-2"/>
          <w:sz w:val="22"/>
        </w:rPr>
        <w:t>7-1-</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tabs>
          <w:tab w:pos="1439" w:val="left" w:leader="none"/>
        </w:tabs>
        <w:spacing w:before="0"/>
        <w:ind w:left="359" w:right="3337"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11-17-94 </w:t>
      </w:r>
      <w:r>
        <w:rPr>
          <w:spacing w:val="-2"/>
          <w:sz w:val="22"/>
        </w:rPr>
        <w:t>4-3-96</w:t>
      </w:r>
      <w:r>
        <w:rPr>
          <w:sz w:val="22"/>
        </w:rPr>
        <w:tab/>
        <w:t>PT Memo #96-2</w:t>
      </w:r>
    </w:p>
    <w:p>
      <w:pPr>
        <w:spacing w:after="0"/>
        <w:jc w:val="left"/>
        <w:rPr>
          <w:sz w:val="22"/>
        </w:rPr>
        <w:sectPr>
          <w:pgSz w:w="12240" w:h="15840"/>
          <w:pgMar w:top="1340" w:bottom="280" w:left="1080" w:right="720"/>
        </w:sectPr>
      </w:pPr>
    </w:p>
    <w:p>
      <w:pPr>
        <w:spacing w:before="80"/>
        <w:ind w:left="1440" w:right="758" w:firstLine="0"/>
        <w:jc w:val="both"/>
        <w:rPr>
          <w:sz w:val="22"/>
        </w:rPr>
      </w:pPr>
      <w:r>
        <w:rPr>
          <w:sz w:val="22"/>
        </w:rPr>
        <w:t>Emergency,</w:t>
      </w:r>
      <w:r>
        <w:rPr>
          <w:spacing w:val="-4"/>
          <w:sz w:val="22"/>
        </w:rPr>
        <w:t> </w:t>
      </w:r>
      <w:r>
        <w:rPr>
          <w:sz w:val="22"/>
        </w:rPr>
        <w:t>removed</w:t>
      </w:r>
      <w:r>
        <w:rPr>
          <w:spacing w:val="-4"/>
          <w:sz w:val="22"/>
        </w:rPr>
        <w:t> </w:t>
      </w:r>
      <w:r>
        <w:rPr>
          <w:sz w:val="22"/>
        </w:rPr>
        <w:t>language</w:t>
      </w:r>
      <w:r>
        <w:rPr>
          <w:spacing w:val="-4"/>
          <w:sz w:val="22"/>
        </w:rPr>
        <w:t> </w:t>
      </w:r>
      <w:r>
        <w:rPr>
          <w:sz w:val="22"/>
        </w:rPr>
        <w:t>exempting</w:t>
      </w:r>
      <w:r>
        <w:rPr>
          <w:spacing w:val="-4"/>
          <w:sz w:val="22"/>
        </w:rPr>
        <w:t> </w:t>
      </w:r>
      <w:r>
        <w:rPr>
          <w:sz w:val="22"/>
        </w:rPr>
        <w:t>tuition</w:t>
      </w:r>
      <w:r>
        <w:rPr>
          <w:spacing w:val="-4"/>
          <w:sz w:val="22"/>
        </w:rPr>
        <w:t> </w:t>
      </w:r>
      <w:r>
        <w:rPr>
          <w:sz w:val="22"/>
        </w:rPr>
        <w:t>and</w:t>
      </w:r>
      <w:r>
        <w:rPr>
          <w:spacing w:val="-4"/>
          <w:sz w:val="22"/>
        </w:rPr>
        <w:t> </w:t>
      </w:r>
      <w:r>
        <w:rPr>
          <w:sz w:val="22"/>
        </w:rPr>
        <w:t>fees</w:t>
      </w:r>
      <w:r>
        <w:rPr>
          <w:spacing w:val="-4"/>
          <w:sz w:val="22"/>
        </w:rPr>
        <w:t> </w:t>
      </w:r>
      <w:r>
        <w:rPr>
          <w:sz w:val="22"/>
        </w:rPr>
        <w:t>from</w:t>
      </w:r>
      <w:r>
        <w:rPr>
          <w:spacing w:val="-5"/>
          <w:sz w:val="22"/>
        </w:rPr>
        <w:t> </w:t>
      </w:r>
      <w:r>
        <w:rPr>
          <w:sz w:val="22"/>
        </w:rPr>
        <w:t>client</w:t>
      </w:r>
      <w:r>
        <w:rPr>
          <w:spacing w:val="-4"/>
          <w:sz w:val="22"/>
        </w:rPr>
        <w:t> </w:t>
      </w:r>
      <w:r>
        <w:rPr>
          <w:sz w:val="22"/>
        </w:rPr>
        <w:t>participation</w:t>
      </w:r>
      <w:r>
        <w:rPr>
          <w:spacing w:val="-5"/>
          <w:sz w:val="22"/>
        </w:rPr>
        <w:t> </w:t>
      </w:r>
      <w:r>
        <w:rPr>
          <w:sz w:val="22"/>
        </w:rPr>
        <w:t>in service costs, limited service beyond bachelor</w:t>
      </w:r>
      <w:r>
        <w:rPr>
          <w:sz w:val="24"/>
        </w:rPr>
        <w:t>'</w:t>
      </w:r>
      <w:r>
        <w:rPr>
          <w:sz w:val="22"/>
        </w:rPr>
        <w:t>s degree to disability related services, returned field coordinator approval of training beyond bachelor</w:t>
      </w:r>
      <w:r>
        <w:rPr>
          <w:sz w:val="24"/>
        </w:rPr>
        <w:t>'</w:t>
      </w:r>
      <w:r>
        <w:rPr>
          <w:sz w:val="22"/>
        </w:rPr>
        <w:t>s degree.</w:t>
      </w:r>
    </w:p>
    <w:p>
      <w:pPr>
        <w:pStyle w:val="ListParagraph"/>
        <w:numPr>
          <w:ilvl w:val="2"/>
          <w:numId w:val="187"/>
        </w:numPr>
        <w:tabs>
          <w:tab w:pos="1437" w:val="left" w:leader="none"/>
        </w:tabs>
        <w:spacing w:line="253" w:lineRule="exact" w:before="0" w:after="0"/>
        <w:ind w:left="1437" w:right="0" w:hanging="1078"/>
        <w:jc w:val="both"/>
        <w:rPr>
          <w:sz w:val="22"/>
        </w:rPr>
      </w:pPr>
      <w:r>
        <w:rPr>
          <w:sz w:val="22"/>
        </w:rPr>
        <w:t>PT</w:t>
      </w:r>
      <w:r>
        <w:rPr>
          <w:spacing w:val="-8"/>
          <w:sz w:val="22"/>
        </w:rPr>
        <w:t> </w:t>
      </w:r>
      <w:r>
        <w:rPr>
          <w:sz w:val="22"/>
        </w:rPr>
        <w:t>Memo</w:t>
      </w:r>
      <w:r>
        <w:rPr>
          <w:spacing w:val="-8"/>
          <w:sz w:val="22"/>
        </w:rPr>
        <w:t> </w:t>
      </w:r>
      <w:r>
        <w:rPr>
          <w:sz w:val="22"/>
        </w:rPr>
        <w:t>#97-</w:t>
      </w:r>
      <w:r>
        <w:rPr>
          <w:spacing w:val="-10"/>
          <w:sz w:val="22"/>
        </w:rPr>
        <w:t>9</w:t>
      </w:r>
    </w:p>
    <w:p>
      <w:pPr>
        <w:spacing w:before="0"/>
        <w:ind w:left="359" w:right="3580" w:firstLine="1080"/>
        <w:jc w:val="both"/>
        <w:rPr>
          <w:sz w:val="22"/>
        </w:rPr>
      </w:pPr>
      <w:r>
        <w:rPr>
          <w:sz w:val="22"/>
        </w:rPr>
        <w:t>Permanent,</w:t>
      </w:r>
      <w:r>
        <w:rPr>
          <w:spacing w:val="-7"/>
          <w:sz w:val="22"/>
        </w:rPr>
        <w:t> </w:t>
      </w:r>
      <w:r>
        <w:rPr>
          <w:sz w:val="22"/>
        </w:rPr>
        <w:t>supersedes</w:t>
      </w:r>
      <w:r>
        <w:rPr>
          <w:spacing w:val="-8"/>
          <w:sz w:val="22"/>
        </w:rPr>
        <w:t> </w:t>
      </w:r>
      <w:r>
        <w:rPr>
          <w:sz w:val="22"/>
        </w:rPr>
        <w:t>emergency</w:t>
      </w:r>
      <w:r>
        <w:rPr>
          <w:spacing w:val="-8"/>
          <w:sz w:val="22"/>
        </w:rPr>
        <w:t> </w:t>
      </w:r>
      <w:r>
        <w:rPr>
          <w:sz w:val="22"/>
        </w:rPr>
        <w:t>rules</w:t>
      </w:r>
      <w:r>
        <w:rPr>
          <w:spacing w:val="-8"/>
          <w:sz w:val="22"/>
        </w:rPr>
        <w:t> </w:t>
      </w:r>
      <w:r>
        <w:rPr>
          <w:sz w:val="22"/>
        </w:rPr>
        <w:t>issued</w:t>
      </w:r>
      <w:r>
        <w:rPr>
          <w:spacing w:val="-8"/>
          <w:sz w:val="22"/>
        </w:rPr>
        <w:t> </w:t>
      </w:r>
      <w:r>
        <w:rPr>
          <w:sz w:val="22"/>
        </w:rPr>
        <w:t>4-3-96 6-14-99</w:t>
      </w:r>
      <w:r>
        <w:rPr>
          <w:spacing w:val="80"/>
          <w:sz w:val="22"/>
        </w:rPr>
        <w:t>  </w:t>
      </w:r>
      <w:r>
        <w:rPr>
          <w:sz w:val="22"/>
        </w:rPr>
        <w:t>POL Memo #99-7</w:t>
      </w:r>
    </w:p>
    <w:p>
      <w:pPr>
        <w:spacing w:before="0"/>
        <w:ind w:left="1439" w:right="1210" w:firstLine="0"/>
        <w:jc w:val="both"/>
        <w:rPr>
          <w:sz w:val="22"/>
        </w:rPr>
      </w:pPr>
      <w:r>
        <w:rPr>
          <w:sz w:val="22"/>
        </w:rPr>
        <w:t>Emergency,</w:t>
      </w:r>
      <w:r>
        <w:rPr>
          <w:spacing w:val="-4"/>
          <w:sz w:val="22"/>
        </w:rPr>
        <w:t> </w:t>
      </w:r>
      <w:r>
        <w:rPr>
          <w:sz w:val="22"/>
        </w:rPr>
        <w:t>removed</w:t>
      </w:r>
      <w:r>
        <w:rPr>
          <w:spacing w:val="-4"/>
          <w:sz w:val="22"/>
        </w:rPr>
        <w:t> </w:t>
      </w:r>
      <w:r>
        <w:rPr>
          <w:sz w:val="22"/>
        </w:rPr>
        <w:t>restriction</w:t>
      </w:r>
      <w:r>
        <w:rPr>
          <w:spacing w:val="-4"/>
          <w:sz w:val="22"/>
        </w:rPr>
        <w:t> </w:t>
      </w:r>
      <w:r>
        <w:rPr>
          <w:sz w:val="22"/>
        </w:rPr>
        <w:t>on</w:t>
      </w:r>
      <w:r>
        <w:rPr>
          <w:spacing w:val="-5"/>
          <w:sz w:val="22"/>
        </w:rPr>
        <w:t> </w:t>
      </w:r>
      <w:r>
        <w:rPr>
          <w:sz w:val="22"/>
        </w:rPr>
        <w:t>services</w:t>
      </w:r>
      <w:r>
        <w:rPr>
          <w:spacing w:val="-4"/>
          <w:sz w:val="22"/>
        </w:rPr>
        <w:t> </w:t>
      </w:r>
      <w:r>
        <w:rPr>
          <w:sz w:val="22"/>
        </w:rPr>
        <w:t>that</w:t>
      </w:r>
      <w:r>
        <w:rPr>
          <w:spacing w:val="-4"/>
          <w:sz w:val="22"/>
        </w:rPr>
        <w:t> </w:t>
      </w:r>
      <w:r>
        <w:rPr>
          <w:sz w:val="22"/>
        </w:rPr>
        <w:t>can</w:t>
      </w:r>
      <w:r>
        <w:rPr>
          <w:spacing w:val="-4"/>
          <w:sz w:val="22"/>
        </w:rPr>
        <w:t> </w:t>
      </w:r>
      <w:r>
        <w:rPr>
          <w:sz w:val="22"/>
        </w:rPr>
        <w:t>be</w:t>
      </w:r>
      <w:r>
        <w:rPr>
          <w:spacing w:val="-4"/>
          <w:sz w:val="22"/>
        </w:rPr>
        <w:t> </w:t>
      </w:r>
      <w:r>
        <w:rPr>
          <w:sz w:val="22"/>
        </w:rPr>
        <w:t>provided</w:t>
      </w:r>
      <w:r>
        <w:rPr>
          <w:spacing w:val="-4"/>
          <w:sz w:val="22"/>
        </w:rPr>
        <w:t> </w:t>
      </w:r>
      <w:r>
        <w:rPr>
          <w:sz w:val="22"/>
        </w:rPr>
        <w:t>during</w:t>
      </w:r>
      <w:r>
        <w:rPr>
          <w:spacing w:val="-5"/>
          <w:sz w:val="22"/>
        </w:rPr>
        <w:t> </w:t>
      </w:r>
      <w:r>
        <w:rPr>
          <w:sz w:val="22"/>
        </w:rPr>
        <w:t>training beyond bachelor</w:t>
      </w:r>
      <w:r>
        <w:rPr>
          <w:sz w:val="24"/>
        </w:rPr>
        <w:t>'</w:t>
      </w:r>
      <w:r>
        <w:rPr>
          <w:sz w:val="22"/>
        </w:rPr>
        <w:t>s degree.</w:t>
      </w:r>
    </w:p>
    <w:p>
      <w:pPr>
        <w:spacing w:before="0"/>
        <w:ind w:left="359" w:right="0" w:firstLine="0"/>
        <w:jc w:val="both"/>
        <w:rPr>
          <w:sz w:val="22"/>
        </w:rPr>
      </w:pPr>
      <w:r>
        <w:rPr>
          <w:sz w:val="22"/>
        </w:rPr>
        <w:t>7-1-99</w:t>
      </w:r>
      <w:r>
        <w:rPr>
          <w:spacing w:val="49"/>
          <w:w w:val="150"/>
          <w:sz w:val="22"/>
        </w:rPr>
        <w:t>   </w:t>
      </w:r>
      <w:r>
        <w:rPr>
          <w:sz w:val="22"/>
        </w:rPr>
        <w:t>POL</w:t>
      </w:r>
      <w:r>
        <w:rPr>
          <w:spacing w:val="-1"/>
          <w:sz w:val="22"/>
        </w:rPr>
        <w:t> </w:t>
      </w:r>
      <w:r>
        <w:rPr>
          <w:sz w:val="22"/>
        </w:rPr>
        <w:t>Memo</w:t>
      </w:r>
      <w:r>
        <w:rPr>
          <w:spacing w:val="-2"/>
          <w:sz w:val="22"/>
        </w:rPr>
        <w:t> </w:t>
      </w:r>
      <w:r>
        <w:rPr>
          <w:sz w:val="22"/>
        </w:rPr>
        <w:t>#00-</w:t>
      </w:r>
      <w:r>
        <w:rPr>
          <w:spacing w:val="-10"/>
          <w:sz w:val="22"/>
        </w:rPr>
        <w:t>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7-1-01</w:t>
      </w:r>
      <w:r>
        <w:rPr>
          <w:sz w:val="22"/>
        </w:rPr>
        <w:tab/>
        <w:t>PT Memo #01-08</w:t>
      </w:r>
    </w:p>
    <w:p>
      <w:pPr>
        <w:tabs>
          <w:tab w:pos="1439" w:val="left" w:leader="none"/>
        </w:tabs>
        <w:spacing w:before="0"/>
        <w:ind w:left="359" w:right="2432" w:firstLine="1080"/>
        <w:jc w:val="left"/>
        <w:rPr>
          <w:sz w:val="22"/>
        </w:rPr>
      </w:pPr>
      <w:r>
        <w:rPr>
          <w:sz w:val="22"/>
        </w:rPr>
        <w:t>Permanent,</w:t>
      </w:r>
      <w:r>
        <w:rPr>
          <w:spacing w:val="-4"/>
          <w:sz w:val="22"/>
        </w:rPr>
        <w:t> </w:t>
      </w:r>
      <w:r>
        <w:rPr>
          <w:sz w:val="22"/>
        </w:rPr>
        <w:t>amended</w:t>
      </w:r>
      <w:r>
        <w:rPr>
          <w:spacing w:val="-5"/>
          <w:sz w:val="22"/>
        </w:rPr>
        <w:t> </w:t>
      </w:r>
      <w:r>
        <w:rPr>
          <w:sz w:val="22"/>
        </w:rPr>
        <w:t>direct</w:t>
      </w:r>
      <w:r>
        <w:rPr>
          <w:spacing w:val="-5"/>
          <w:sz w:val="22"/>
        </w:rPr>
        <w:t> </w:t>
      </w:r>
      <w:r>
        <w:rPr>
          <w:sz w:val="22"/>
        </w:rPr>
        <w:t>client</w:t>
      </w:r>
      <w:r>
        <w:rPr>
          <w:spacing w:val="-5"/>
          <w:sz w:val="22"/>
        </w:rPr>
        <w:t> </w:t>
      </w:r>
      <w:r>
        <w:rPr>
          <w:sz w:val="22"/>
        </w:rPr>
        <w:t>payment</w:t>
      </w:r>
      <w:r>
        <w:rPr>
          <w:spacing w:val="-5"/>
          <w:sz w:val="22"/>
        </w:rPr>
        <w:t> </w:t>
      </w:r>
      <w:r>
        <w:rPr>
          <w:sz w:val="22"/>
        </w:rPr>
        <w:t>and</w:t>
      </w:r>
      <w:r>
        <w:rPr>
          <w:spacing w:val="-5"/>
          <w:sz w:val="22"/>
        </w:rPr>
        <w:t> </w:t>
      </w:r>
      <w:r>
        <w:rPr>
          <w:sz w:val="22"/>
        </w:rPr>
        <w:t>Instructions</w:t>
      </w:r>
      <w:r>
        <w:rPr>
          <w:spacing w:val="-5"/>
          <w:sz w:val="22"/>
        </w:rPr>
        <w:t> </w:t>
      </w:r>
      <w:r>
        <w:rPr>
          <w:sz w:val="22"/>
        </w:rPr>
        <w:t>to</w:t>
      </w:r>
      <w:r>
        <w:rPr>
          <w:spacing w:val="-5"/>
          <w:sz w:val="22"/>
        </w:rPr>
        <w:t> </w:t>
      </w:r>
      <w:r>
        <w:rPr>
          <w:sz w:val="22"/>
        </w:rPr>
        <w:t>Staff </w:t>
      </w:r>
      <w:r>
        <w:rPr>
          <w:spacing w:val="-2"/>
          <w:sz w:val="22"/>
        </w:rPr>
        <w:t>7-1-02</w:t>
      </w:r>
      <w:r>
        <w:rPr>
          <w:sz w:val="22"/>
        </w:rPr>
        <w:tab/>
        <w:t>POL Memo #02-02</w:t>
      </w:r>
    </w:p>
    <w:p>
      <w:pPr>
        <w:tabs>
          <w:tab w:pos="1439" w:val="left" w:leader="none"/>
        </w:tabs>
        <w:spacing w:before="0"/>
        <w:ind w:left="359" w:right="4100" w:firstLine="1080"/>
        <w:jc w:val="left"/>
        <w:rPr>
          <w:sz w:val="22"/>
        </w:rPr>
      </w:pPr>
      <w:r>
        <w:rPr>
          <w:sz w:val="22"/>
        </w:rPr>
        <w:t>Permanent,</w:t>
      </w:r>
      <w:r>
        <w:rPr>
          <w:spacing w:val="-6"/>
          <w:sz w:val="22"/>
        </w:rPr>
        <w:t> </w:t>
      </w:r>
      <w:r>
        <w:rPr>
          <w:sz w:val="22"/>
        </w:rPr>
        <w:t>cutoff</w:t>
      </w:r>
      <w:r>
        <w:rPr>
          <w:spacing w:val="-7"/>
          <w:sz w:val="22"/>
        </w:rPr>
        <w:t> </w:t>
      </w:r>
      <w:r>
        <w:rPr>
          <w:sz w:val="22"/>
        </w:rPr>
        <w:t>for</w:t>
      </w:r>
      <w:r>
        <w:rPr>
          <w:spacing w:val="-7"/>
          <w:sz w:val="22"/>
        </w:rPr>
        <w:t> </w:t>
      </w:r>
      <w:r>
        <w:rPr>
          <w:sz w:val="22"/>
        </w:rPr>
        <w:t>payment</w:t>
      </w:r>
      <w:r>
        <w:rPr>
          <w:spacing w:val="-7"/>
          <w:sz w:val="22"/>
        </w:rPr>
        <w:t> </w:t>
      </w:r>
      <w:r>
        <w:rPr>
          <w:sz w:val="22"/>
        </w:rPr>
        <w:t>of</w:t>
      </w:r>
      <w:r>
        <w:rPr>
          <w:spacing w:val="-7"/>
          <w:sz w:val="22"/>
        </w:rPr>
        <w:t> </w:t>
      </w:r>
      <w:r>
        <w:rPr>
          <w:sz w:val="22"/>
        </w:rPr>
        <w:t>semester's</w:t>
      </w:r>
      <w:r>
        <w:rPr>
          <w:spacing w:val="-7"/>
          <w:sz w:val="22"/>
        </w:rPr>
        <w:t> </w:t>
      </w:r>
      <w:r>
        <w:rPr>
          <w:sz w:val="22"/>
        </w:rPr>
        <w:t>costs </w:t>
      </w:r>
      <w:r>
        <w:rPr>
          <w:spacing w:val="-2"/>
          <w:sz w:val="22"/>
        </w:rPr>
        <w:t>7-1-02</w:t>
      </w:r>
      <w:r>
        <w:rPr>
          <w:sz w:val="22"/>
        </w:rPr>
        <w:tab/>
        <w:t>POL Memo (future memo)</w:t>
      </w:r>
    </w:p>
    <w:p>
      <w:pPr>
        <w:tabs>
          <w:tab w:pos="1439" w:val="left" w:leader="none"/>
        </w:tabs>
        <w:spacing w:before="1"/>
        <w:ind w:left="359" w:right="3007" w:firstLine="1080"/>
        <w:jc w:val="left"/>
        <w:rPr>
          <w:sz w:val="22"/>
        </w:rPr>
      </w:pPr>
      <w:r>
        <w:rPr>
          <w:sz w:val="22"/>
        </w:rPr>
        <w:t>ITS,</w:t>
      </w:r>
      <w:r>
        <w:rPr>
          <w:spacing w:val="-6"/>
          <w:sz w:val="22"/>
        </w:rPr>
        <w:t> </w:t>
      </w:r>
      <w:r>
        <w:rPr>
          <w:sz w:val="22"/>
        </w:rPr>
        <w:t>additional</w:t>
      </w:r>
      <w:r>
        <w:rPr>
          <w:spacing w:val="-6"/>
          <w:sz w:val="22"/>
        </w:rPr>
        <w:t> </w:t>
      </w:r>
      <w:r>
        <w:rPr>
          <w:sz w:val="22"/>
        </w:rPr>
        <w:t>training</w:t>
      </w:r>
      <w:r>
        <w:rPr>
          <w:spacing w:val="-6"/>
          <w:sz w:val="22"/>
        </w:rPr>
        <w:t> </w:t>
      </w:r>
      <w:r>
        <w:rPr>
          <w:sz w:val="22"/>
        </w:rPr>
        <w:t>institutions</w:t>
      </w:r>
      <w:r>
        <w:rPr>
          <w:spacing w:val="-6"/>
          <w:sz w:val="22"/>
        </w:rPr>
        <w:t> </w:t>
      </w:r>
      <w:r>
        <w:rPr>
          <w:sz w:val="22"/>
        </w:rPr>
        <w:t>under</w:t>
      </w:r>
      <w:r>
        <w:rPr>
          <w:spacing w:val="-6"/>
          <w:sz w:val="22"/>
        </w:rPr>
        <w:t> </w:t>
      </w:r>
      <w:r>
        <w:rPr>
          <w:sz w:val="22"/>
        </w:rPr>
        <w:t>direct</w:t>
      </w:r>
      <w:r>
        <w:rPr>
          <w:spacing w:val="-6"/>
          <w:sz w:val="22"/>
        </w:rPr>
        <w:t> </w:t>
      </w:r>
      <w:r>
        <w:rPr>
          <w:sz w:val="22"/>
        </w:rPr>
        <w:t>client</w:t>
      </w:r>
      <w:r>
        <w:rPr>
          <w:spacing w:val="-6"/>
          <w:sz w:val="22"/>
        </w:rPr>
        <w:t> </w:t>
      </w:r>
      <w:r>
        <w:rPr>
          <w:sz w:val="22"/>
        </w:rPr>
        <w:t>payment </w:t>
      </w:r>
      <w:r>
        <w:rPr>
          <w:spacing w:val="-2"/>
          <w:sz w:val="22"/>
        </w:rPr>
        <w:t>7-1-03</w:t>
      </w:r>
      <w:r>
        <w:rPr>
          <w:sz w:val="22"/>
        </w:rPr>
        <w:tab/>
        <w:t>PT Memo #03-07</w:t>
      </w:r>
    </w:p>
    <w:p>
      <w:pPr>
        <w:spacing w:line="252" w:lineRule="exact" w:before="0"/>
        <w:ind w:left="1439" w:right="0" w:firstLine="0"/>
        <w:jc w:val="left"/>
        <w:rPr>
          <w:sz w:val="22"/>
        </w:rPr>
      </w:pPr>
      <w:r>
        <w:rPr>
          <w:sz w:val="22"/>
        </w:rPr>
        <w:t>Permanent,</w:t>
      </w:r>
      <w:r>
        <w:rPr>
          <w:spacing w:val="-7"/>
          <w:sz w:val="22"/>
        </w:rPr>
        <w:t> </w:t>
      </w:r>
      <w:r>
        <w:rPr>
          <w:sz w:val="22"/>
        </w:rPr>
        <w:t>adapted</w:t>
      </w:r>
      <w:r>
        <w:rPr>
          <w:spacing w:val="-7"/>
          <w:sz w:val="22"/>
        </w:rPr>
        <w:t> </w:t>
      </w:r>
      <w:r>
        <w:rPr>
          <w:sz w:val="22"/>
        </w:rPr>
        <w:t>to</w:t>
      </w:r>
      <w:r>
        <w:rPr>
          <w:spacing w:val="-8"/>
          <w:sz w:val="22"/>
        </w:rPr>
        <w:t> </w:t>
      </w:r>
      <w:r>
        <w:rPr>
          <w:sz w:val="22"/>
        </w:rPr>
        <w:t>conform</w:t>
      </w:r>
      <w:r>
        <w:rPr>
          <w:spacing w:val="-8"/>
          <w:sz w:val="22"/>
        </w:rPr>
        <w:t> </w:t>
      </w:r>
      <w:r>
        <w:rPr>
          <w:sz w:val="22"/>
        </w:rPr>
        <w:t>with</w:t>
      </w:r>
      <w:r>
        <w:rPr>
          <w:spacing w:val="-8"/>
          <w:sz w:val="22"/>
        </w:rPr>
        <w:t> </w:t>
      </w:r>
      <w:r>
        <w:rPr>
          <w:spacing w:val="-2"/>
          <w:sz w:val="22"/>
        </w:rPr>
        <w:t>statute.</w:t>
      </w:r>
    </w:p>
    <w:p>
      <w:pPr>
        <w:tabs>
          <w:tab w:pos="1439" w:val="left" w:leader="none"/>
        </w:tabs>
        <w:spacing w:before="0"/>
        <w:ind w:left="359" w:right="0" w:firstLine="0"/>
        <w:jc w:val="left"/>
        <w:rPr>
          <w:sz w:val="22"/>
        </w:rPr>
      </w:pPr>
      <w:r>
        <w:rPr>
          <w:spacing w:val="-2"/>
          <w:sz w:val="22"/>
        </w:rPr>
        <w:t>10-1-</w:t>
      </w:r>
      <w:r>
        <w:rPr>
          <w:spacing w:val="-5"/>
          <w:sz w:val="22"/>
        </w:rPr>
        <w:t>07</w:t>
      </w:r>
      <w:r>
        <w:rPr>
          <w:sz w:val="22"/>
        </w:rPr>
        <w:tab/>
        <w:t>PT</w:t>
      </w:r>
      <w:r>
        <w:rPr>
          <w:spacing w:val="-8"/>
          <w:sz w:val="22"/>
        </w:rPr>
        <w:t> </w:t>
      </w:r>
      <w:r>
        <w:rPr>
          <w:sz w:val="22"/>
        </w:rPr>
        <w:t>Memo</w:t>
      </w:r>
      <w:r>
        <w:rPr>
          <w:spacing w:val="-8"/>
          <w:sz w:val="22"/>
        </w:rPr>
        <w:t> </w:t>
      </w:r>
      <w:r>
        <w:rPr>
          <w:sz w:val="22"/>
        </w:rPr>
        <w:t>#08-</w:t>
      </w:r>
      <w:r>
        <w:rPr>
          <w:spacing w:val="-5"/>
          <w:sz w:val="22"/>
        </w:rPr>
        <w:t>02</w:t>
      </w:r>
    </w:p>
    <w:p>
      <w:pPr>
        <w:tabs>
          <w:tab w:pos="1439" w:val="left" w:leader="none"/>
        </w:tabs>
        <w:spacing w:before="0"/>
        <w:ind w:left="359" w:right="3311" w:firstLine="1080"/>
        <w:jc w:val="left"/>
        <w:rPr>
          <w:sz w:val="22"/>
        </w:rPr>
      </w:pPr>
      <w:r>
        <w:rPr>
          <w:sz w:val="22"/>
        </w:rPr>
        <w:t>Permanent,</w:t>
      </w:r>
      <w:r>
        <w:rPr>
          <w:spacing w:val="-6"/>
          <w:sz w:val="22"/>
        </w:rPr>
        <w:t> </w:t>
      </w:r>
      <w:r>
        <w:rPr>
          <w:sz w:val="22"/>
        </w:rPr>
        <w:t>AWARE</w:t>
      </w:r>
      <w:r>
        <w:rPr>
          <w:spacing w:val="-7"/>
          <w:sz w:val="22"/>
        </w:rPr>
        <w:t> </w:t>
      </w:r>
      <w:r>
        <w:rPr>
          <w:sz w:val="22"/>
        </w:rPr>
        <w:t>change.</w:t>
      </w:r>
      <w:r>
        <w:rPr>
          <w:spacing w:val="40"/>
          <w:sz w:val="22"/>
        </w:rPr>
        <w:t> </w:t>
      </w:r>
      <w:r>
        <w:rPr>
          <w:sz w:val="22"/>
        </w:rPr>
        <w:t>Removed</w:t>
      </w:r>
      <w:r>
        <w:rPr>
          <w:spacing w:val="-7"/>
          <w:sz w:val="22"/>
        </w:rPr>
        <w:t> </w:t>
      </w:r>
      <w:r>
        <w:rPr>
          <w:sz w:val="22"/>
        </w:rPr>
        <w:t>ORMIS</w:t>
      </w:r>
      <w:r>
        <w:rPr>
          <w:spacing w:val="-6"/>
          <w:sz w:val="22"/>
        </w:rPr>
        <w:t> </w:t>
      </w:r>
      <w:r>
        <w:rPr>
          <w:sz w:val="22"/>
        </w:rPr>
        <w:t>reference </w:t>
      </w:r>
      <w:r>
        <w:rPr>
          <w:spacing w:val="-2"/>
          <w:sz w:val="22"/>
        </w:rPr>
        <w:t>7-1-09</w:t>
      </w:r>
      <w:r>
        <w:rPr>
          <w:sz w:val="22"/>
        </w:rPr>
        <w:tab/>
        <w:t>PT Memo #10-01</w:t>
      </w:r>
    </w:p>
    <w:p>
      <w:pPr>
        <w:spacing w:before="0"/>
        <w:ind w:left="1439" w:right="1036" w:firstLine="0"/>
        <w:jc w:val="left"/>
        <w:rPr>
          <w:sz w:val="22"/>
        </w:rPr>
      </w:pPr>
      <w:r>
        <w:rPr>
          <w:sz w:val="22"/>
        </w:rPr>
        <w:t>Permanent,</w:t>
      </w:r>
      <w:r>
        <w:rPr>
          <w:spacing w:val="-2"/>
          <w:sz w:val="22"/>
        </w:rPr>
        <w:t> </w:t>
      </w:r>
      <w:r>
        <w:rPr>
          <w:sz w:val="22"/>
        </w:rPr>
        <w:t>Pell</w:t>
      </w:r>
      <w:r>
        <w:rPr>
          <w:spacing w:val="-3"/>
          <w:sz w:val="22"/>
        </w:rPr>
        <w:t> </w:t>
      </w:r>
      <w:r>
        <w:rPr>
          <w:sz w:val="22"/>
        </w:rPr>
        <w:t>grants,</w:t>
      </w:r>
      <w:r>
        <w:rPr>
          <w:spacing w:val="-4"/>
          <w:sz w:val="22"/>
        </w:rPr>
        <w:t> </w:t>
      </w:r>
      <w:r>
        <w:rPr>
          <w:sz w:val="22"/>
        </w:rPr>
        <w:t>Fed</w:t>
      </w:r>
      <w:r>
        <w:rPr>
          <w:spacing w:val="-3"/>
          <w:sz w:val="22"/>
        </w:rPr>
        <w:t> </w:t>
      </w:r>
      <w:r>
        <w:rPr>
          <w:sz w:val="22"/>
        </w:rPr>
        <w:t>and</w:t>
      </w:r>
      <w:r>
        <w:rPr>
          <w:spacing w:val="-3"/>
          <w:sz w:val="22"/>
        </w:rPr>
        <w:t> </w:t>
      </w:r>
      <w:r>
        <w:rPr>
          <w:sz w:val="22"/>
        </w:rPr>
        <w:t>State</w:t>
      </w:r>
      <w:r>
        <w:rPr>
          <w:spacing w:val="-3"/>
          <w:sz w:val="22"/>
        </w:rPr>
        <w:t> </w:t>
      </w:r>
      <w:r>
        <w:rPr>
          <w:sz w:val="22"/>
        </w:rPr>
        <w:t>aids</w:t>
      </w:r>
      <w:r>
        <w:rPr>
          <w:spacing w:val="-3"/>
          <w:sz w:val="22"/>
        </w:rPr>
        <w:t> </w:t>
      </w:r>
      <w:r>
        <w:rPr>
          <w:sz w:val="22"/>
        </w:rPr>
        <w:t>must</w:t>
      </w:r>
      <w:r>
        <w:rPr>
          <w:spacing w:val="-4"/>
          <w:sz w:val="22"/>
        </w:rPr>
        <w:t> </w:t>
      </w:r>
      <w:r>
        <w:rPr>
          <w:sz w:val="22"/>
        </w:rPr>
        <w:t>be</w:t>
      </w:r>
      <w:r>
        <w:rPr>
          <w:spacing w:val="-3"/>
          <w:sz w:val="22"/>
        </w:rPr>
        <w:t> </w:t>
      </w:r>
      <w:r>
        <w:rPr>
          <w:sz w:val="22"/>
        </w:rPr>
        <w:t>applied</w:t>
      </w:r>
      <w:r>
        <w:rPr>
          <w:spacing w:val="-3"/>
          <w:sz w:val="22"/>
        </w:rPr>
        <w:t> </w:t>
      </w:r>
      <w:r>
        <w:rPr>
          <w:sz w:val="22"/>
        </w:rPr>
        <w:t>to</w:t>
      </w:r>
      <w:r>
        <w:rPr>
          <w:spacing w:val="-3"/>
          <w:sz w:val="22"/>
        </w:rPr>
        <w:t> </w:t>
      </w:r>
      <w:r>
        <w:rPr>
          <w:sz w:val="22"/>
        </w:rPr>
        <w:t>tuition</w:t>
      </w:r>
      <w:r>
        <w:rPr>
          <w:spacing w:val="-3"/>
          <w:sz w:val="22"/>
        </w:rPr>
        <w:t> </w:t>
      </w:r>
      <w:r>
        <w:rPr>
          <w:sz w:val="22"/>
        </w:rPr>
        <w:t>and</w:t>
      </w:r>
      <w:r>
        <w:rPr>
          <w:spacing w:val="-4"/>
          <w:sz w:val="22"/>
        </w:rPr>
        <w:t> </w:t>
      </w:r>
      <w:r>
        <w:rPr>
          <w:sz w:val="22"/>
        </w:rPr>
        <w:t>fees before DRS funds</w:t>
      </w:r>
    </w:p>
    <w:p>
      <w:pPr>
        <w:pStyle w:val="ListParagraph"/>
        <w:numPr>
          <w:ilvl w:val="2"/>
          <w:numId w:val="188"/>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#10-</w:t>
      </w:r>
      <w:r>
        <w:rPr>
          <w:spacing w:val="-5"/>
          <w:sz w:val="22"/>
        </w:rPr>
        <w:t>02</w:t>
      </w:r>
    </w:p>
    <w:p>
      <w:pPr>
        <w:spacing w:before="0"/>
        <w:ind w:left="1439" w:right="0" w:firstLine="0"/>
        <w:jc w:val="left"/>
        <w:rPr>
          <w:sz w:val="22"/>
        </w:rPr>
      </w:pPr>
      <w:r>
        <w:rPr>
          <w:sz w:val="22"/>
        </w:rPr>
        <w:t>Permanent,</w:t>
      </w:r>
      <w:r>
        <w:rPr>
          <w:spacing w:val="-8"/>
          <w:sz w:val="22"/>
        </w:rPr>
        <w:t> </w:t>
      </w:r>
      <w:r>
        <w:rPr>
          <w:sz w:val="22"/>
        </w:rPr>
        <w:t>clarifying</w:t>
      </w:r>
      <w:r>
        <w:rPr>
          <w:spacing w:val="-9"/>
          <w:sz w:val="22"/>
        </w:rPr>
        <w:t> </w:t>
      </w:r>
      <w:r>
        <w:rPr>
          <w:sz w:val="22"/>
        </w:rPr>
        <w:t>language</w:t>
      </w:r>
      <w:r>
        <w:rPr>
          <w:spacing w:val="-8"/>
          <w:sz w:val="22"/>
        </w:rPr>
        <w:t> </w:t>
      </w:r>
      <w:r>
        <w:rPr>
          <w:sz w:val="22"/>
        </w:rPr>
        <w:t>and</w:t>
      </w:r>
      <w:r>
        <w:rPr>
          <w:spacing w:val="-9"/>
          <w:sz w:val="22"/>
        </w:rPr>
        <w:t> </w:t>
      </w:r>
      <w:r>
        <w:rPr>
          <w:sz w:val="22"/>
        </w:rPr>
        <w:t>removal</w:t>
      </w:r>
      <w:r>
        <w:rPr>
          <w:spacing w:val="-8"/>
          <w:sz w:val="22"/>
        </w:rPr>
        <w:t> </w:t>
      </w:r>
      <w:r>
        <w:rPr>
          <w:sz w:val="22"/>
        </w:rPr>
        <w:t>of</w:t>
      </w:r>
      <w:r>
        <w:rPr>
          <w:spacing w:val="-9"/>
          <w:sz w:val="22"/>
        </w:rPr>
        <w:t> </w:t>
      </w:r>
      <w:r>
        <w:rPr>
          <w:sz w:val="22"/>
        </w:rPr>
        <w:t>supervisory</w:t>
      </w:r>
      <w:r>
        <w:rPr>
          <w:spacing w:val="-8"/>
          <w:sz w:val="22"/>
        </w:rPr>
        <w:t> </w:t>
      </w:r>
      <w:r>
        <w:rPr>
          <w:spacing w:val="-2"/>
          <w:sz w:val="22"/>
        </w:rPr>
        <w:t>approval.</w:t>
      </w:r>
    </w:p>
    <w:p>
      <w:pPr>
        <w:pStyle w:val="ListParagraph"/>
        <w:numPr>
          <w:ilvl w:val="2"/>
          <w:numId w:val="188"/>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line="253" w:lineRule="exact" w:before="0"/>
        <w:ind w:left="1439" w:right="0" w:firstLine="0"/>
        <w:jc w:val="left"/>
        <w:rPr>
          <w:sz w:val="22"/>
        </w:rPr>
      </w:pPr>
      <w:r>
        <w:rPr>
          <w:sz w:val="22"/>
        </w:rPr>
        <w:t>Permanent,</w:t>
      </w:r>
      <w:r>
        <w:rPr>
          <w:spacing w:val="-11"/>
          <w:sz w:val="22"/>
        </w:rPr>
        <w:t> </w:t>
      </w:r>
      <w:r>
        <w:rPr>
          <w:sz w:val="22"/>
        </w:rPr>
        <w:t>clarifying</w:t>
      </w:r>
      <w:r>
        <w:rPr>
          <w:spacing w:val="-12"/>
          <w:sz w:val="22"/>
        </w:rPr>
        <w:t> </w:t>
      </w:r>
      <w:r>
        <w:rPr>
          <w:spacing w:val="-2"/>
          <w:sz w:val="22"/>
        </w:rPr>
        <w:t>language.</w:t>
      </w:r>
    </w:p>
    <w:p>
      <w:pPr>
        <w:tabs>
          <w:tab w:pos="1439" w:val="left" w:leader="none"/>
        </w:tabs>
        <w:spacing w:line="253" w:lineRule="exact" w:before="0"/>
        <w:ind w:left="359" w:right="0" w:firstLine="0"/>
        <w:jc w:val="left"/>
        <w:rPr>
          <w:sz w:val="22"/>
        </w:rPr>
      </w:pPr>
      <w:r>
        <w:rPr>
          <w:spacing w:val="-2"/>
          <w:sz w:val="22"/>
        </w:rPr>
        <w:t>9-12-</w:t>
      </w:r>
      <w:r>
        <w:rPr>
          <w:spacing w:val="-5"/>
          <w:sz w:val="22"/>
        </w:rPr>
        <w:t>14</w:t>
      </w:r>
      <w:r>
        <w:rPr>
          <w:sz w:val="22"/>
        </w:rPr>
        <w:tab/>
        <w:t>Permanent,</w:t>
      </w:r>
      <w:r>
        <w:rPr>
          <w:spacing w:val="-7"/>
          <w:sz w:val="22"/>
        </w:rPr>
        <w:t> </w:t>
      </w:r>
      <w:r>
        <w:rPr>
          <w:sz w:val="22"/>
        </w:rPr>
        <w:t>Deletion</w:t>
      </w:r>
      <w:r>
        <w:rPr>
          <w:spacing w:val="-6"/>
          <w:sz w:val="22"/>
        </w:rPr>
        <w:t> </w:t>
      </w:r>
      <w:r>
        <w:rPr>
          <w:sz w:val="22"/>
        </w:rPr>
        <w:t>of</w:t>
      </w:r>
      <w:r>
        <w:rPr>
          <w:spacing w:val="-7"/>
          <w:sz w:val="22"/>
        </w:rPr>
        <w:t> </w:t>
      </w:r>
      <w:r>
        <w:rPr>
          <w:sz w:val="22"/>
        </w:rPr>
        <w:t>language</w:t>
      </w:r>
      <w:r>
        <w:rPr>
          <w:spacing w:val="-7"/>
          <w:sz w:val="22"/>
        </w:rPr>
        <w:t> </w:t>
      </w:r>
      <w:r>
        <w:rPr>
          <w:sz w:val="22"/>
        </w:rPr>
        <w:t>on</w:t>
      </w:r>
      <w:r>
        <w:rPr>
          <w:spacing w:val="-8"/>
          <w:sz w:val="22"/>
        </w:rPr>
        <w:t> </w:t>
      </w:r>
      <w:r>
        <w:rPr>
          <w:sz w:val="22"/>
        </w:rPr>
        <w:t>authorization</w:t>
      </w:r>
      <w:r>
        <w:rPr>
          <w:spacing w:val="-7"/>
          <w:sz w:val="22"/>
        </w:rPr>
        <w:t> </w:t>
      </w:r>
      <w:r>
        <w:rPr>
          <w:sz w:val="22"/>
        </w:rPr>
        <w:t>issued</w:t>
      </w:r>
      <w:r>
        <w:rPr>
          <w:spacing w:val="-7"/>
          <w:sz w:val="22"/>
        </w:rPr>
        <w:t> </w:t>
      </w:r>
      <w:r>
        <w:rPr>
          <w:sz w:val="22"/>
        </w:rPr>
        <w:t>for</w:t>
      </w:r>
      <w:r>
        <w:rPr>
          <w:spacing w:val="-9"/>
          <w:sz w:val="22"/>
        </w:rPr>
        <w:t> </w:t>
      </w:r>
      <w:r>
        <w:rPr>
          <w:sz w:val="22"/>
        </w:rPr>
        <w:t>tuition</w:t>
      </w:r>
      <w:r>
        <w:rPr>
          <w:spacing w:val="-6"/>
          <w:sz w:val="22"/>
        </w:rPr>
        <w:t> </w:t>
      </w:r>
      <w:r>
        <w:rPr>
          <w:sz w:val="22"/>
        </w:rPr>
        <w:t>and</w:t>
      </w:r>
      <w:r>
        <w:rPr>
          <w:spacing w:val="-7"/>
          <w:sz w:val="22"/>
        </w:rPr>
        <w:t> </w:t>
      </w:r>
      <w:r>
        <w:rPr>
          <w:spacing w:val="-2"/>
          <w:sz w:val="22"/>
        </w:rPr>
        <w:t>fees.</w:t>
      </w:r>
    </w:p>
    <w:p>
      <w:pPr>
        <w:tabs>
          <w:tab w:pos="1439" w:val="left" w:leader="none"/>
        </w:tabs>
        <w:spacing w:before="1"/>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spacing w:before="0"/>
        <w:ind w:left="1439" w:right="1036" w:firstLine="0"/>
        <w:jc w:val="left"/>
        <w:rPr>
          <w:sz w:val="22"/>
        </w:rPr>
      </w:pPr>
      <w:r>
        <w:rPr>
          <w:sz w:val="22"/>
        </w:rPr>
        <w:t>Added</w:t>
      </w:r>
      <w:r>
        <w:rPr>
          <w:spacing w:val="-3"/>
          <w:sz w:val="22"/>
        </w:rPr>
        <w:t> </w:t>
      </w:r>
      <w:r>
        <w:rPr>
          <w:sz w:val="22"/>
        </w:rPr>
        <w:t>language</w:t>
      </w:r>
      <w:r>
        <w:rPr>
          <w:spacing w:val="-3"/>
          <w:sz w:val="22"/>
        </w:rPr>
        <w:t> </w:t>
      </w:r>
      <w:r>
        <w:rPr>
          <w:sz w:val="22"/>
        </w:rPr>
        <w:t>requiring</w:t>
      </w:r>
      <w:r>
        <w:rPr>
          <w:spacing w:val="-3"/>
          <w:sz w:val="22"/>
        </w:rPr>
        <w:t> </w:t>
      </w:r>
      <w:r>
        <w:rPr>
          <w:sz w:val="22"/>
        </w:rPr>
        <w:t>the</w:t>
      </w:r>
      <w:r>
        <w:rPr>
          <w:spacing w:val="-3"/>
          <w:sz w:val="22"/>
        </w:rPr>
        <w:t> </w:t>
      </w:r>
      <w:r>
        <w:rPr>
          <w:sz w:val="22"/>
        </w:rPr>
        <w:t>client</w:t>
      </w:r>
      <w:r>
        <w:rPr>
          <w:spacing w:val="-4"/>
          <w:sz w:val="22"/>
        </w:rPr>
        <w:t> </w:t>
      </w:r>
      <w:r>
        <w:rPr>
          <w:sz w:val="22"/>
        </w:rPr>
        <w:t>to</w:t>
      </w:r>
      <w:r>
        <w:rPr>
          <w:spacing w:val="-3"/>
          <w:sz w:val="22"/>
        </w:rPr>
        <w:t> </w:t>
      </w:r>
      <w:r>
        <w:rPr>
          <w:sz w:val="22"/>
        </w:rPr>
        <w:t>provide</w:t>
      </w:r>
      <w:r>
        <w:rPr>
          <w:spacing w:val="-3"/>
          <w:sz w:val="22"/>
        </w:rPr>
        <w:t> </w:t>
      </w:r>
      <w:r>
        <w:rPr>
          <w:sz w:val="22"/>
        </w:rPr>
        <w:t>a</w:t>
      </w:r>
      <w:r>
        <w:rPr>
          <w:spacing w:val="-4"/>
          <w:sz w:val="22"/>
        </w:rPr>
        <w:t> </w:t>
      </w:r>
      <w:r>
        <w:rPr>
          <w:sz w:val="22"/>
        </w:rPr>
        <w:t>grade</w:t>
      </w:r>
      <w:r>
        <w:rPr>
          <w:spacing w:val="-3"/>
          <w:sz w:val="22"/>
        </w:rPr>
        <w:t> </w:t>
      </w:r>
      <w:r>
        <w:rPr>
          <w:sz w:val="22"/>
        </w:rPr>
        <w:t>report,</w:t>
      </w:r>
      <w:r>
        <w:rPr>
          <w:spacing w:val="-3"/>
          <w:sz w:val="22"/>
        </w:rPr>
        <w:t> </w:t>
      </w:r>
      <w:r>
        <w:rPr>
          <w:sz w:val="22"/>
        </w:rPr>
        <w:t>proof</w:t>
      </w:r>
      <w:r>
        <w:rPr>
          <w:spacing w:val="-3"/>
          <w:sz w:val="22"/>
        </w:rPr>
        <w:t> </w:t>
      </w:r>
      <w:r>
        <w:rPr>
          <w:sz w:val="22"/>
        </w:rPr>
        <w:t>of</w:t>
      </w:r>
      <w:r>
        <w:rPr>
          <w:spacing w:val="-3"/>
          <w:sz w:val="22"/>
        </w:rPr>
        <w:t> </w:t>
      </w:r>
      <w:r>
        <w:rPr>
          <w:sz w:val="22"/>
        </w:rPr>
        <w:t>enrollment and an itemized invoice after the completion of the first semester to support the authorization for tuition and fees.</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359" w:right="0" w:firstLine="0"/>
        <w:jc w:val="left"/>
        <w:rPr>
          <w:sz w:val="22"/>
        </w:rPr>
      </w:pPr>
      <w:r>
        <w:rPr>
          <w:spacing w:val="-2"/>
          <w:sz w:val="22"/>
        </w:rPr>
        <w:t>4-11-</w:t>
      </w:r>
      <w:r>
        <w:rPr>
          <w:spacing w:val="-5"/>
          <w:sz w:val="22"/>
        </w:rPr>
        <w:t>18</w:t>
      </w:r>
      <w:r>
        <w:rPr>
          <w:sz w:val="22"/>
        </w:rPr>
        <w:tab/>
        <w:t>Updated</w:t>
      </w:r>
      <w:r>
        <w:rPr>
          <w:spacing w:val="-6"/>
          <w:sz w:val="22"/>
        </w:rPr>
        <w:t> </w:t>
      </w:r>
      <w:r>
        <w:rPr>
          <w:sz w:val="22"/>
        </w:rPr>
        <w:t>ITS</w:t>
      </w:r>
      <w:r>
        <w:rPr>
          <w:spacing w:val="-6"/>
          <w:sz w:val="22"/>
        </w:rPr>
        <w:t> </w:t>
      </w:r>
      <w:r>
        <w:rPr>
          <w:sz w:val="22"/>
        </w:rPr>
        <w:t>#1</w:t>
      </w:r>
      <w:r>
        <w:rPr>
          <w:spacing w:val="-5"/>
          <w:sz w:val="22"/>
        </w:rPr>
        <w:t> </w:t>
      </w:r>
      <w:r>
        <w:rPr>
          <w:sz w:val="22"/>
        </w:rPr>
        <w:t>and</w:t>
      </w:r>
      <w:r>
        <w:rPr>
          <w:spacing w:val="-6"/>
          <w:sz w:val="22"/>
        </w:rPr>
        <w:t> </w:t>
      </w:r>
      <w:r>
        <w:rPr>
          <w:sz w:val="22"/>
        </w:rPr>
        <w:t>#2</w:t>
      </w:r>
      <w:r>
        <w:rPr>
          <w:spacing w:val="-6"/>
          <w:sz w:val="22"/>
        </w:rPr>
        <w:t> </w:t>
      </w:r>
      <w:r>
        <w:rPr>
          <w:sz w:val="22"/>
        </w:rPr>
        <w:t>to</w:t>
      </w:r>
      <w:r>
        <w:rPr>
          <w:spacing w:val="-5"/>
          <w:sz w:val="22"/>
        </w:rPr>
        <w:t> </w:t>
      </w:r>
      <w:r>
        <w:rPr>
          <w:sz w:val="22"/>
        </w:rPr>
        <w:t>include</w:t>
      </w:r>
      <w:r>
        <w:rPr>
          <w:spacing w:val="-6"/>
          <w:sz w:val="22"/>
        </w:rPr>
        <w:t> </w:t>
      </w:r>
      <w:r>
        <w:rPr>
          <w:sz w:val="22"/>
        </w:rPr>
        <w:t>academic</w:t>
      </w:r>
      <w:r>
        <w:rPr>
          <w:spacing w:val="-6"/>
          <w:sz w:val="22"/>
        </w:rPr>
        <w:t> </w:t>
      </w:r>
      <w:r>
        <w:rPr>
          <w:sz w:val="22"/>
        </w:rPr>
        <w:t>calendar</w:t>
      </w:r>
      <w:r>
        <w:rPr>
          <w:spacing w:val="-5"/>
          <w:sz w:val="22"/>
        </w:rPr>
        <w:t> </w:t>
      </w:r>
      <w:r>
        <w:rPr>
          <w:spacing w:val="-2"/>
          <w:sz w:val="22"/>
        </w:rPr>
        <w:t>language.</w:t>
      </w:r>
    </w:p>
    <w:p>
      <w:pPr>
        <w:tabs>
          <w:tab w:pos="1439" w:val="left" w:leader="none"/>
        </w:tabs>
        <w:spacing w:line="253" w:lineRule="exact" w:before="0"/>
        <w:ind w:left="359" w:right="0" w:firstLine="0"/>
        <w:jc w:val="left"/>
        <w:rPr>
          <w:sz w:val="22"/>
        </w:rPr>
      </w:pPr>
      <w:r>
        <w:rPr>
          <w:spacing w:val="-2"/>
          <w:sz w:val="22"/>
        </w:rPr>
        <w:t>8-11-</w:t>
      </w:r>
      <w:r>
        <w:rPr>
          <w:spacing w:val="-5"/>
          <w:sz w:val="22"/>
        </w:rPr>
        <w:t>19</w:t>
      </w:r>
      <w:r>
        <w:rPr>
          <w:sz w:val="22"/>
        </w:rPr>
        <w:tab/>
        <w:t>Removal</w:t>
      </w:r>
      <w:r>
        <w:rPr>
          <w:spacing w:val="-6"/>
          <w:sz w:val="22"/>
        </w:rPr>
        <w:t> </w:t>
      </w:r>
      <w:r>
        <w:rPr>
          <w:sz w:val="22"/>
        </w:rPr>
        <w:t>of</w:t>
      </w:r>
      <w:r>
        <w:rPr>
          <w:spacing w:val="-6"/>
          <w:sz w:val="22"/>
        </w:rPr>
        <w:t> </w:t>
      </w:r>
      <w:r>
        <w:rPr>
          <w:sz w:val="22"/>
        </w:rPr>
        <w:t>antiquated</w:t>
      </w:r>
      <w:r>
        <w:rPr>
          <w:spacing w:val="-5"/>
          <w:sz w:val="22"/>
        </w:rPr>
        <w:t> </w:t>
      </w:r>
      <w:r>
        <w:rPr>
          <w:sz w:val="22"/>
        </w:rPr>
        <w:t>language</w:t>
      </w:r>
      <w:r>
        <w:rPr>
          <w:spacing w:val="-6"/>
          <w:sz w:val="22"/>
        </w:rPr>
        <w:t> </w:t>
      </w:r>
      <w:r>
        <w:rPr>
          <w:sz w:val="22"/>
        </w:rPr>
        <w:t>in</w:t>
      </w:r>
      <w:r>
        <w:rPr>
          <w:spacing w:val="-6"/>
          <w:sz w:val="22"/>
        </w:rPr>
        <w:t> </w:t>
      </w:r>
      <w:r>
        <w:rPr>
          <w:sz w:val="22"/>
        </w:rPr>
        <w:t>section</w:t>
      </w:r>
      <w:r>
        <w:rPr>
          <w:spacing w:val="-6"/>
          <w:sz w:val="22"/>
        </w:rPr>
        <w:t> </w:t>
      </w:r>
      <w:r>
        <w:rPr>
          <w:sz w:val="22"/>
        </w:rPr>
        <w:t>a,</w:t>
      </w:r>
      <w:r>
        <w:rPr>
          <w:spacing w:val="-5"/>
          <w:sz w:val="22"/>
        </w:rPr>
        <w:t> </w:t>
      </w:r>
      <w:r>
        <w:rPr>
          <w:sz w:val="22"/>
        </w:rPr>
        <w:t>added</w:t>
      </w:r>
      <w:r>
        <w:rPr>
          <w:spacing w:val="-6"/>
          <w:sz w:val="22"/>
        </w:rPr>
        <w:t> </w:t>
      </w:r>
      <w:r>
        <w:rPr>
          <w:sz w:val="22"/>
        </w:rPr>
        <w:t>sections</w:t>
      </w:r>
      <w:r>
        <w:rPr>
          <w:spacing w:val="-6"/>
          <w:sz w:val="22"/>
        </w:rPr>
        <w:t> </w:t>
      </w:r>
      <w:r>
        <w:rPr>
          <w:sz w:val="22"/>
        </w:rPr>
        <w:t>(b)</w:t>
      </w:r>
      <w:r>
        <w:rPr>
          <w:spacing w:val="-5"/>
          <w:sz w:val="22"/>
        </w:rPr>
        <w:t> </w:t>
      </w:r>
      <w:r>
        <w:rPr>
          <w:sz w:val="22"/>
        </w:rPr>
        <w:t>–</w:t>
      </w:r>
      <w:r>
        <w:rPr>
          <w:spacing w:val="-5"/>
          <w:sz w:val="22"/>
        </w:rPr>
        <w:t> </w:t>
      </w:r>
      <w:r>
        <w:rPr>
          <w:sz w:val="22"/>
        </w:rPr>
        <w:t>(e),</w:t>
      </w:r>
      <w:r>
        <w:rPr>
          <w:spacing w:val="-6"/>
          <w:sz w:val="22"/>
        </w:rPr>
        <w:t> </w:t>
      </w:r>
      <w:r>
        <w:rPr>
          <w:spacing w:val="-2"/>
          <w:sz w:val="22"/>
        </w:rPr>
        <w:t>renumbered</w:t>
      </w:r>
    </w:p>
    <w:p>
      <w:pPr>
        <w:spacing w:line="253" w:lineRule="exact" w:before="0"/>
        <w:ind w:left="1439" w:right="0" w:firstLine="0"/>
        <w:jc w:val="left"/>
        <w:rPr>
          <w:sz w:val="22"/>
        </w:rPr>
      </w:pPr>
      <w:r>
        <w:rPr>
          <w:sz w:val="22"/>
        </w:rPr>
        <w:t>(f)</w:t>
      </w:r>
      <w:r>
        <w:rPr>
          <w:spacing w:val="-2"/>
          <w:sz w:val="22"/>
        </w:rPr>
        <w:t> </w:t>
      </w:r>
      <w:r>
        <w:rPr>
          <w:sz w:val="22"/>
        </w:rPr>
        <w:t>–</w:t>
      </w:r>
      <w:r>
        <w:rPr>
          <w:spacing w:val="-2"/>
          <w:sz w:val="22"/>
        </w:rPr>
        <w:t> </w:t>
      </w:r>
      <w:r>
        <w:rPr>
          <w:spacing w:val="-4"/>
          <w:sz w:val="22"/>
        </w:rPr>
        <w:t>(h).</w:t>
      </w:r>
    </w:p>
    <w:p>
      <w:pPr>
        <w:tabs>
          <w:tab w:pos="1439" w:val="left" w:leader="none"/>
        </w:tabs>
        <w:spacing w:before="1"/>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spacing w:after="0"/>
        <w:jc w:val="left"/>
        <w:rPr>
          <w:sz w:val="22"/>
        </w:rPr>
        <w:sectPr>
          <w:pgSz w:w="12240" w:h="15840"/>
          <w:pgMar w:top="1360" w:bottom="280" w:left="1080" w:right="720"/>
        </w:sectPr>
      </w:pPr>
    </w:p>
    <w:p>
      <w:pPr>
        <w:pStyle w:val="Heading2"/>
      </w:pPr>
      <w:bookmarkStart w:name="612:10-7-156.  Advanced standing test fo" w:id="176"/>
      <w:bookmarkEnd w:id="176"/>
      <w:r>
        <w:rPr>
          <w:b w:val="0"/>
        </w:rPr>
      </w:r>
      <w:r>
        <w:rPr/>
        <w:t>612:10-7-156.</w:t>
      </w:r>
      <w:r>
        <w:rPr>
          <w:spacing w:val="56"/>
        </w:rPr>
        <w:t> </w:t>
      </w:r>
      <w:r>
        <w:rPr/>
        <w:t>Advanced</w:t>
      </w:r>
      <w:r>
        <w:rPr>
          <w:spacing w:val="-4"/>
        </w:rPr>
        <w:t> </w:t>
      </w:r>
      <w:r>
        <w:rPr/>
        <w:t>standing</w:t>
      </w:r>
      <w:r>
        <w:rPr>
          <w:spacing w:val="-3"/>
        </w:rPr>
        <w:t> </w:t>
      </w:r>
      <w:r>
        <w:rPr/>
        <w:t>test</w:t>
      </w:r>
      <w:r>
        <w:rPr>
          <w:spacing w:val="-4"/>
        </w:rPr>
        <w:t> </w:t>
      </w:r>
      <w:r>
        <w:rPr/>
        <w:t>for</w:t>
      </w:r>
      <w:r>
        <w:rPr>
          <w:spacing w:val="-4"/>
        </w:rPr>
        <w:t> </w:t>
      </w:r>
      <w:r>
        <w:rPr/>
        <w:t>college</w:t>
      </w:r>
      <w:r>
        <w:rPr>
          <w:spacing w:val="-4"/>
        </w:rPr>
        <w:t> </w:t>
      </w:r>
      <w:r>
        <w:rPr>
          <w:spacing w:val="-2"/>
        </w:rPr>
        <w:t>students</w:t>
      </w:r>
    </w:p>
    <w:p>
      <w:pPr>
        <w:pStyle w:val="BodyText"/>
        <w:spacing w:before="237"/>
        <w:ind w:left="359" w:right="710" w:firstLine="450"/>
      </w:pPr>
      <w:r>
        <w:rPr/>
        <w:t>DRS</w:t>
      </w:r>
      <w:r>
        <w:rPr>
          <w:spacing w:val="-17"/>
        </w:rPr>
        <w:t> </w:t>
      </w:r>
      <w:r>
        <w:rPr/>
        <w:t>can</w:t>
      </w:r>
      <w:r>
        <w:rPr>
          <w:spacing w:val="-17"/>
        </w:rPr>
        <w:t> </w:t>
      </w:r>
      <w:r>
        <w:rPr/>
        <w:t>pay</w:t>
      </w:r>
      <w:r>
        <w:rPr>
          <w:spacing w:val="-16"/>
        </w:rPr>
        <w:t> </w:t>
      </w:r>
      <w:r>
        <w:rPr/>
        <w:t>the</w:t>
      </w:r>
      <w:r>
        <w:rPr>
          <w:spacing w:val="-17"/>
        </w:rPr>
        <w:t> </w:t>
      </w:r>
      <w:r>
        <w:rPr/>
        <w:t>fee</w:t>
      </w:r>
      <w:r>
        <w:rPr>
          <w:spacing w:val="-17"/>
        </w:rPr>
        <w:t> </w:t>
      </w:r>
      <w:r>
        <w:rPr/>
        <w:t>for</w:t>
      </w:r>
      <w:r>
        <w:rPr>
          <w:spacing w:val="-17"/>
        </w:rPr>
        <w:t> </w:t>
      </w:r>
      <w:r>
        <w:rPr/>
        <w:t>advanced</w:t>
      </w:r>
      <w:r>
        <w:rPr>
          <w:spacing w:val="-17"/>
        </w:rPr>
        <w:t> </w:t>
      </w:r>
      <w:r>
        <w:rPr/>
        <w:t>standing</w:t>
      </w:r>
      <w:r>
        <w:rPr>
          <w:spacing w:val="-17"/>
        </w:rPr>
        <w:t> </w:t>
      </w:r>
      <w:r>
        <w:rPr/>
        <w:t>tests.</w:t>
      </w:r>
      <w:r>
        <w:rPr>
          <w:spacing w:val="-16"/>
        </w:rPr>
        <w:t> </w:t>
      </w:r>
      <w:r>
        <w:rPr/>
        <w:t>Proof</w:t>
      </w:r>
      <w:r>
        <w:rPr>
          <w:spacing w:val="-17"/>
        </w:rPr>
        <w:t> </w:t>
      </w:r>
      <w:r>
        <w:rPr/>
        <w:t>of</w:t>
      </w:r>
      <w:r>
        <w:rPr>
          <w:spacing w:val="-17"/>
        </w:rPr>
        <w:t> </w:t>
      </w:r>
      <w:r>
        <w:rPr/>
        <w:t>a</w:t>
      </w:r>
      <w:r>
        <w:rPr>
          <w:spacing w:val="-17"/>
        </w:rPr>
        <w:t> </w:t>
      </w:r>
      <w:r>
        <w:rPr/>
        <w:t>passing</w:t>
      </w:r>
      <w:r>
        <w:rPr>
          <w:spacing w:val="-16"/>
        </w:rPr>
        <w:t> </w:t>
      </w:r>
      <w:r>
        <w:rPr/>
        <w:t>grade</w:t>
      </w:r>
      <w:r>
        <w:rPr>
          <w:spacing w:val="-17"/>
        </w:rPr>
        <w:t> </w:t>
      </w:r>
      <w:r>
        <w:rPr/>
        <w:t>is</w:t>
      </w:r>
      <w:r>
        <w:rPr>
          <w:spacing w:val="-17"/>
        </w:rPr>
        <w:t> </w:t>
      </w:r>
      <w:r>
        <w:rPr/>
        <w:t>required prior to payment.</w:t>
      </w:r>
    </w:p>
    <w:p>
      <w:pPr>
        <w:spacing w:before="240"/>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7-1-01</w:t>
      </w:r>
      <w:r>
        <w:rPr>
          <w:sz w:val="22"/>
        </w:rPr>
        <w:tab/>
        <w:t>PT Memo #01-08</w:t>
      </w:r>
    </w:p>
    <w:p>
      <w:pPr>
        <w:tabs>
          <w:tab w:pos="1439" w:val="left" w:leader="none"/>
        </w:tabs>
        <w:spacing w:before="0"/>
        <w:ind w:left="359" w:right="4986" w:firstLine="1080"/>
        <w:jc w:val="left"/>
        <w:rPr>
          <w:sz w:val="22"/>
        </w:rPr>
      </w:pPr>
      <w:r>
        <w:rPr>
          <w:sz w:val="22"/>
        </w:rPr>
        <w:t>Permanent,</w:t>
      </w:r>
      <w:r>
        <w:rPr>
          <w:spacing w:val="-8"/>
          <w:sz w:val="22"/>
        </w:rPr>
        <w:t> </w:t>
      </w:r>
      <w:r>
        <w:rPr>
          <w:sz w:val="22"/>
        </w:rPr>
        <w:t>amended</w:t>
      </w:r>
      <w:r>
        <w:rPr>
          <w:spacing w:val="-9"/>
          <w:sz w:val="22"/>
        </w:rPr>
        <w:t> </w:t>
      </w:r>
      <w:r>
        <w:rPr>
          <w:sz w:val="22"/>
        </w:rPr>
        <w:t>instructions</w:t>
      </w:r>
      <w:r>
        <w:rPr>
          <w:spacing w:val="-10"/>
          <w:sz w:val="22"/>
        </w:rPr>
        <w:t> </w:t>
      </w:r>
      <w:r>
        <w:rPr>
          <w:sz w:val="22"/>
        </w:rPr>
        <w:t>to</w:t>
      </w:r>
      <w:r>
        <w:rPr>
          <w:spacing w:val="-10"/>
          <w:sz w:val="22"/>
        </w:rPr>
        <w:t> </w:t>
      </w:r>
      <w:r>
        <w:rPr>
          <w:sz w:val="22"/>
        </w:rPr>
        <w:t>staff </w:t>
      </w:r>
      <w:r>
        <w:rPr>
          <w:spacing w:val="-2"/>
          <w:sz w:val="22"/>
        </w:rPr>
        <w:t>7-1-02</w:t>
      </w:r>
      <w:r>
        <w:rPr>
          <w:sz w:val="22"/>
        </w:rPr>
        <w:tab/>
        <w:t>POL Memo 02-02</w:t>
      </w:r>
    </w:p>
    <w:p>
      <w:pPr>
        <w:tabs>
          <w:tab w:pos="1439" w:val="left" w:leader="none"/>
        </w:tabs>
        <w:spacing w:before="0"/>
        <w:ind w:left="359" w:right="3007" w:firstLine="1080"/>
        <w:jc w:val="left"/>
        <w:rPr>
          <w:sz w:val="22"/>
        </w:rPr>
      </w:pPr>
      <w:r>
        <w:rPr>
          <w:sz w:val="22"/>
        </w:rPr>
        <w:t>ITS,</w:t>
      </w:r>
      <w:r>
        <w:rPr>
          <w:spacing w:val="-6"/>
          <w:sz w:val="22"/>
        </w:rPr>
        <w:t> </w:t>
      </w:r>
      <w:r>
        <w:rPr>
          <w:sz w:val="22"/>
        </w:rPr>
        <w:t>additional</w:t>
      </w:r>
      <w:r>
        <w:rPr>
          <w:spacing w:val="-6"/>
          <w:sz w:val="22"/>
        </w:rPr>
        <w:t> </w:t>
      </w:r>
      <w:r>
        <w:rPr>
          <w:sz w:val="22"/>
        </w:rPr>
        <w:t>training</w:t>
      </w:r>
      <w:r>
        <w:rPr>
          <w:spacing w:val="-6"/>
          <w:sz w:val="22"/>
        </w:rPr>
        <w:t> </w:t>
      </w:r>
      <w:r>
        <w:rPr>
          <w:sz w:val="22"/>
        </w:rPr>
        <w:t>institutions</w:t>
      </w:r>
      <w:r>
        <w:rPr>
          <w:spacing w:val="-6"/>
          <w:sz w:val="22"/>
        </w:rPr>
        <w:t> </w:t>
      </w:r>
      <w:r>
        <w:rPr>
          <w:sz w:val="22"/>
        </w:rPr>
        <w:t>under</w:t>
      </w:r>
      <w:r>
        <w:rPr>
          <w:spacing w:val="-6"/>
          <w:sz w:val="22"/>
        </w:rPr>
        <w:t> </w:t>
      </w:r>
      <w:r>
        <w:rPr>
          <w:sz w:val="22"/>
        </w:rPr>
        <w:t>direct</w:t>
      </w:r>
      <w:r>
        <w:rPr>
          <w:spacing w:val="-6"/>
          <w:sz w:val="22"/>
        </w:rPr>
        <w:t> </w:t>
      </w:r>
      <w:r>
        <w:rPr>
          <w:sz w:val="22"/>
        </w:rPr>
        <w:t>client</w:t>
      </w:r>
      <w:r>
        <w:rPr>
          <w:spacing w:val="-6"/>
          <w:sz w:val="22"/>
        </w:rPr>
        <w:t> </w:t>
      </w:r>
      <w:r>
        <w:rPr>
          <w:sz w:val="22"/>
        </w:rPr>
        <w:t>payment </w:t>
      </w:r>
      <w:r>
        <w:rPr>
          <w:spacing w:val="-2"/>
          <w:sz w:val="22"/>
        </w:rPr>
        <w:t>2-14-03</w:t>
      </w:r>
      <w:r>
        <w:rPr>
          <w:sz w:val="22"/>
        </w:rPr>
        <w:tab/>
        <w:t>POL Memo #03-05</w:t>
      </w:r>
    </w:p>
    <w:p>
      <w:pPr>
        <w:tabs>
          <w:tab w:pos="1439" w:val="left" w:leader="none"/>
        </w:tabs>
        <w:spacing w:before="0"/>
        <w:ind w:left="359" w:right="3007" w:firstLine="1080"/>
        <w:jc w:val="left"/>
        <w:rPr>
          <w:sz w:val="22"/>
        </w:rPr>
      </w:pPr>
      <w:r>
        <w:rPr>
          <w:sz w:val="22"/>
        </w:rPr>
        <w:t>Permanent,</w:t>
      </w:r>
      <w:r>
        <w:rPr>
          <w:spacing w:val="-3"/>
          <w:sz w:val="22"/>
        </w:rPr>
        <w:t> </w:t>
      </w:r>
      <w:r>
        <w:rPr>
          <w:sz w:val="22"/>
        </w:rPr>
        <w:t>ITS</w:t>
      </w:r>
      <w:r>
        <w:rPr>
          <w:spacing w:val="-4"/>
          <w:sz w:val="22"/>
        </w:rPr>
        <w:t> </w:t>
      </w:r>
      <w:r>
        <w:rPr>
          <w:sz w:val="22"/>
        </w:rPr>
        <w:t>changed</w:t>
      </w:r>
      <w:r>
        <w:rPr>
          <w:spacing w:val="-4"/>
          <w:sz w:val="22"/>
        </w:rPr>
        <w:t> </w:t>
      </w:r>
      <w:r>
        <w:rPr>
          <w:sz w:val="22"/>
        </w:rPr>
        <w:t>list</w:t>
      </w:r>
      <w:r>
        <w:rPr>
          <w:spacing w:val="-4"/>
          <w:sz w:val="22"/>
        </w:rPr>
        <w:t> </w:t>
      </w:r>
      <w:r>
        <w:rPr>
          <w:sz w:val="22"/>
        </w:rPr>
        <w:t>of</w:t>
      </w:r>
      <w:r>
        <w:rPr>
          <w:spacing w:val="-5"/>
          <w:sz w:val="22"/>
        </w:rPr>
        <w:t> </w:t>
      </w:r>
      <w:r>
        <w:rPr>
          <w:sz w:val="22"/>
        </w:rPr>
        <w:t>colleges</w:t>
      </w:r>
      <w:r>
        <w:rPr>
          <w:spacing w:val="-4"/>
          <w:sz w:val="22"/>
        </w:rPr>
        <w:t> </w:t>
      </w:r>
      <w:r>
        <w:rPr>
          <w:sz w:val="22"/>
        </w:rPr>
        <w:t>to</w:t>
      </w:r>
      <w:r>
        <w:rPr>
          <w:spacing w:val="-4"/>
          <w:sz w:val="22"/>
        </w:rPr>
        <w:t> </w:t>
      </w:r>
      <w:r>
        <w:rPr>
          <w:sz w:val="22"/>
        </w:rPr>
        <w:t>table</w:t>
      </w:r>
      <w:r>
        <w:rPr>
          <w:spacing w:val="-5"/>
          <w:sz w:val="22"/>
        </w:rPr>
        <w:t> </w:t>
      </w:r>
      <w:r>
        <w:rPr>
          <w:sz w:val="22"/>
        </w:rPr>
        <w:t>71</w:t>
      </w:r>
      <w:r>
        <w:rPr>
          <w:spacing w:val="-4"/>
          <w:sz w:val="22"/>
        </w:rPr>
        <w:t> </w:t>
      </w:r>
      <w:r>
        <w:rPr>
          <w:sz w:val="22"/>
        </w:rPr>
        <w:t>in</w:t>
      </w:r>
      <w:r>
        <w:rPr>
          <w:spacing w:val="-4"/>
          <w:sz w:val="22"/>
        </w:rPr>
        <w:t> </w:t>
      </w:r>
      <w:r>
        <w:rPr>
          <w:sz w:val="22"/>
        </w:rPr>
        <w:t>ORMIS </w:t>
      </w:r>
      <w:r>
        <w:rPr>
          <w:spacing w:val="-2"/>
          <w:sz w:val="22"/>
        </w:rPr>
        <w:t>10-1-07</w:t>
      </w:r>
      <w:r>
        <w:rPr>
          <w:sz w:val="22"/>
        </w:rPr>
        <w:tab/>
        <w:t>PT Memo #08-02</w:t>
      </w:r>
    </w:p>
    <w:p>
      <w:pPr>
        <w:spacing w:line="253" w:lineRule="exact" w:before="1"/>
        <w:ind w:left="1439" w:right="0" w:firstLine="0"/>
        <w:jc w:val="left"/>
        <w:rPr>
          <w:sz w:val="22"/>
        </w:rPr>
      </w:pPr>
      <w:r>
        <w:rPr>
          <w:sz w:val="22"/>
        </w:rPr>
        <w:t>Permanent,</w:t>
      </w:r>
      <w:r>
        <w:rPr>
          <w:spacing w:val="-12"/>
          <w:sz w:val="22"/>
        </w:rPr>
        <w:t> </w:t>
      </w:r>
      <w:r>
        <w:rPr>
          <w:sz w:val="22"/>
        </w:rPr>
        <w:t>AWARE</w:t>
      </w:r>
      <w:r>
        <w:rPr>
          <w:spacing w:val="-12"/>
          <w:sz w:val="22"/>
        </w:rPr>
        <w:t> </w:t>
      </w:r>
      <w:r>
        <w:rPr>
          <w:spacing w:val="-2"/>
          <w:sz w:val="22"/>
        </w:rPr>
        <w:t>change.</w:t>
      </w:r>
    </w:p>
    <w:p>
      <w:pPr>
        <w:pStyle w:val="ListParagraph"/>
        <w:numPr>
          <w:ilvl w:val="2"/>
          <w:numId w:val="189"/>
        </w:numPr>
        <w:tabs>
          <w:tab w:pos="1439" w:val="left" w:leader="none"/>
        </w:tabs>
        <w:spacing w:line="253"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#10-</w:t>
      </w:r>
      <w:r>
        <w:rPr>
          <w:spacing w:val="-5"/>
          <w:sz w:val="22"/>
        </w:rPr>
        <w:t>02</w:t>
      </w:r>
    </w:p>
    <w:p>
      <w:pPr>
        <w:spacing w:before="0"/>
        <w:ind w:left="1439" w:right="0" w:firstLine="0"/>
        <w:jc w:val="left"/>
        <w:rPr>
          <w:sz w:val="22"/>
        </w:rPr>
      </w:pPr>
      <w:r>
        <w:rPr>
          <w:sz w:val="22"/>
        </w:rPr>
        <w:t>Permanent,</w:t>
      </w:r>
      <w:r>
        <w:rPr>
          <w:spacing w:val="-11"/>
          <w:sz w:val="22"/>
        </w:rPr>
        <w:t> </w:t>
      </w:r>
      <w:r>
        <w:rPr>
          <w:sz w:val="22"/>
        </w:rPr>
        <w:t>removed</w:t>
      </w:r>
      <w:r>
        <w:rPr>
          <w:spacing w:val="-11"/>
          <w:sz w:val="22"/>
        </w:rPr>
        <w:t> </w:t>
      </w:r>
      <w:r>
        <w:rPr>
          <w:spacing w:val="-5"/>
          <w:sz w:val="22"/>
        </w:rPr>
        <w:t>ITS</w:t>
      </w:r>
    </w:p>
    <w:p>
      <w:pPr>
        <w:spacing w:after="0"/>
        <w:jc w:val="left"/>
        <w:rPr>
          <w:sz w:val="22"/>
        </w:rPr>
        <w:sectPr>
          <w:pgSz w:w="12240" w:h="15840"/>
          <w:pgMar w:top="1340" w:bottom="280" w:left="1080" w:right="720"/>
        </w:sectPr>
      </w:pPr>
    </w:p>
    <w:p>
      <w:pPr>
        <w:pStyle w:val="Heading2"/>
      </w:pPr>
      <w:bookmarkStart w:name="612:10-7-157.  Out-of-state training" w:id="177"/>
      <w:bookmarkEnd w:id="177"/>
      <w:r>
        <w:rPr>
          <w:b w:val="0"/>
        </w:rPr>
      </w:r>
      <w:r>
        <w:rPr/>
        <w:t>612:10-7-157.</w:t>
      </w:r>
      <w:r>
        <w:rPr>
          <w:spacing w:val="57"/>
        </w:rPr>
        <w:t> </w:t>
      </w:r>
      <w:r>
        <w:rPr/>
        <w:t>Out-of-state</w:t>
      </w:r>
      <w:r>
        <w:rPr>
          <w:spacing w:val="-5"/>
        </w:rPr>
        <w:t> </w:t>
      </w:r>
      <w:r>
        <w:rPr>
          <w:spacing w:val="-2"/>
        </w:rPr>
        <w:t>training</w:t>
      </w:r>
    </w:p>
    <w:p>
      <w:pPr>
        <w:pStyle w:val="ListParagraph"/>
        <w:numPr>
          <w:ilvl w:val="0"/>
          <w:numId w:val="190"/>
        </w:numPr>
        <w:tabs>
          <w:tab w:pos="785" w:val="left" w:leader="none"/>
        </w:tabs>
        <w:spacing w:line="208" w:lineRule="auto" w:before="233" w:after="0"/>
        <w:ind w:left="360" w:right="965" w:firstLine="0"/>
        <w:jc w:val="left"/>
        <w:rPr>
          <w:sz w:val="24"/>
        </w:rPr>
      </w:pPr>
      <w:r>
        <w:rPr>
          <w:sz w:val="24"/>
        </w:rPr>
        <w:t>Out-of-state</w:t>
      </w:r>
      <w:r>
        <w:rPr>
          <w:spacing w:val="-3"/>
          <w:sz w:val="24"/>
        </w:rPr>
        <w:t> </w:t>
      </w:r>
      <w:r>
        <w:rPr>
          <w:sz w:val="24"/>
        </w:rPr>
        <w:t>training</w:t>
      </w:r>
      <w:r>
        <w:rPr>
          <w:spacing w:val="-3"/>
          <w:sz w:val="24"/>
        </w:rPr>
        <w:t> </w:t>
      </w:r>
      <w:r>
        <w:rPr>
          <w:sz w:val="24"/>
        </w:rPr>
        <w:t>of</w:t>
      </w:r>
      <w:r>
        <w:rPr>
          <w:spacing w:val="-2"/>
          <w:sz w:val="24"/>
        </w:rPr>
        <w:t> </w:t>
      </w:r>
      <w:r>
        <w:rPr>
          <w:sz w:val="24"/>
        </w:rPr>
        <w:t>DRS</w:t>
      </w:r>
      <w:r>
        <w:rPr>
          <w:spacing w:val="-3"/>
          <w:sz w:val="24"/>
        </w:rPr>
        <w:t> </w:t>
      </w:r>
      <w:r>
        <w:rPr>
          <w:sz w:val="24"/>
        </w:rPr>
        <w:t>clients</w:t>
      </w:r>
      <w:r>
        <w:rPr>
          <w:spacing w:val="-3"/>
          <w:sz w:val="24"/>
        </w:rPr>
        <w:t> </w:t>
      </w:r>
      <w:r>
        <w:rPr>
          <w:sz w:val="24"/>
        </w:rPr>
        <w:t>is</w:t>
      </w:r>
      <w:r>
        <w:rPr>
          <w:spacing w:val="-3"/>
          <w:sz w:val="24"/>
        </w:rPr>
        <w:t> </w:t>
      </w:r>
      <w:r>
        <w:rPr>
          <w:sz w:val="24"/>
        </w:rPr>
        <w:t>approved</w:t>
      </w:r>
      <w:r>
        <w:rPr>
          <w:spacing w:val="-3"/>
          <w:sz w:val="24"/>
        </w:rPr>
        <w:t> </w:t>
      </w:r>
      <w:r>
        <w:rPr>
          <w:sz w:val="24"/>
        </w:rPr>
        <w:t>when</w:t>
      </w:r>
      <w:r>
        <w:rPr>
          <w:spacing w:val="-3"/>
          <w:sz w:val="24"/>
        </w:rPr>
        <w:t> </w:t>
      </w:r>
      <w:r>
        <w:rPr>
          <w:sz w:val="24"/>
        </w:rPr>
        <w:t>one</w:t>
      </w:r>
      <w:r>
        <w:rPr>
          <w:spacing w:val="-3"/>
          <w:sz w:val="24"/>
        </w:rPr>
        <w:t> </w:t>
      </w:r>
      <w:r>
        <w:rPr>
          <w:sz w:val="24"/>
        </w:rPr>
        <w:t>or</w:t>
      </w:r>
      <w:r>
        <w:rPr>
          <w:spacing w:val="-2"/>
          <w:sz w:val="24"/>
        </w:rPr>
        <w:t> </w:t>
      </w:r>
      <w:r>
        <w:rPr>
          <w:sz w:val="24"/>
        </w:rPr>
        <w:t>more</w:t>
      </w:r>
      <w:r>
        <w:rPr>
          <w:spacing w:val="-3"/>
          <w:sz w:val="24"/>
        </w:rPr>
        <w:t> </w:t>
      </w:r>
      <w:r>
        <w:rPr>
          <w:sz w:val="24"/>
        </w:rPr>
        <w:t>of</w:t>
      </w:r>
      <w:r>
        <w:rPr>
          <w:spacing w:val="-4"/>
          <w:sz w:val="24"/>
        </w:rPr>
        <w:t> </w:t>
      </w:r>
      <w:r>
        <w:rPr>
          <w:sz w:val="24"/>
        </w:rPr>
        <w:t>the</w:t>
      </w:r>
      <w:r>
        <w:rPr>
          <w:spacing w:val="-3"/>
          <w:sz w:val="24"/>
        </w:rPr>
        <w:t> </w:t>
      </w:r>
      <w:r>
        <w:rPr>
          <w:sz w:val="24"/>
        </w:rPr>
        <w:t>following </w:t>
      </w:r>
      <w:r>
        <w:rPr>
          <w:spacing w:val="-2"/>
          <w:sz w:val="24"/>
        </w:rPr>
        <w:t>applies:</w:t>
      </w:r>
    </w:p>
    <w:p>
      <w:pPr>
        <w:pStyle w:val="ListParagraph"/>
        <w:numPr>
          <w:ilvl w:val="1"/>
          <w:numId w:val="190"/>
        </w:numPr>
        <w:tabs>
          <w:tab w:pos="1217" w:val="left" w:leader="none"/>
        </w:tabs>
        <w:spacing w:line="240" w:lineRule="auto" w:before="210" w:after="0"/>
        <w:ind w:left="1217" w:right="0" w:hanging="426"/>
        <w:jc w:val="left"/>
        <w:rPr>
          <w:sz w:val="24"/>
        </w:rPr>
      </w:pPr>
      <w:r>
        <w:rPr>
          <w:sz w:val="24"/>
        </w:rPr>
        <w:t>The</w:t>
      </w:r>
      <w:r>
        <w:rPr>
          <w:spacing w:val="-3"/>
          <w:sz w:val="24"/>
        </w:rPr>
        <w:t> </w:t>
      </w:r>
      <w:r>
        <w:rPr>
          <w:sz w:val="24"/>
        </w:rPr>
        <w:t>course</w:t>
      </w:r>
      <w:r>
        <w:rPr>
          <w:spacing w:val="-3"/>
          <w:sz w:val="24"/>
        </w:rPr>
        <w:t> </w:t>
      </w:r>
      <w:r>
        <w:rPr>
          <w:sz w:val="24"/>
        </w:rPr>
        <w:t>of</w:t>
      </w:r>
      <w:r>
        <w:rPr>
          <w:spacing w:val="-2"/>
          <w:sz w:val="24"/>
        </w:rPr>
        <w:t> </w:t>
      </w:r>
      <w:r>
        <w:rPr>
          <w:sz w:val="24"/>
        </w:rPr>
        <w:t>training</w:t>
      </w:r>
      <w:r>
        <w:rPr>
          <w:spacing w:val="-3"/>
          <w:sz w:val="24"/>
        </w:rPr>
        <w:t> </w:t>
      </w:r>
      <w:r>
        <w:rPr>
          <w:sz w:val="24"/>
        </w:rPr>
        <w:t>is</w:t>
      </w:r>
      <w:r>
        <w:rPr>
          <w:spacing w:val="-2"/>
          <w:sz w:val="24"/>
        </w:rPr>
        <w:t> </w:t>
      </w:r>
      <w:r>
        <w:rPr>
          <w:sz w:val="24"/>
        </w:rPr>
        <w:t>not</w:t>
      </w:r>
      <w:r>
        <w:rPr>
          <w:spacing w:val="-2"/>
          <w:sz w:val="24"/>
        </w:rPr>
        <w:t> </w:t>
      </w:r>
      <w:r>
        <w:rPr>
          <w:sz w:val="24"/>
        </w:rPr>
        <w:t>available</w:t>
      </w:r>
      <w:r>
        <w:rPr>
          <w:spacing w:val="-3"/>
          <w:sz w:val="24"/>
        </w:rPr>
        <w:t> </w:t>
      </w:r>
      <w:r>
        <w:rPr>
          <w:sz w:val="24"/>
        </w:rPr>
        <w:t>within</w:t>
      </w:r>
      <w:r>
        <w:rPr>
          <w:spacing w:val="-3"/>
          <w:sz w:val="24"/>
        </w:rPr>
        <w:t> </w:t>
      </w:r>
      <w:r>
        <w:rPr>
          <w:sz w:val="24"/>
        </w:rPr>
        <w:t>the</w:t>
      </w:r>
      <w:r>
        <w:rPr>
          <w:spacing w:val="-2"/>
          <w:sz w:val="24"/>
        </w:rPr>
        <w:t> state;</w:t>
      </w:r>
    </w:p>
    <w:p>
      <w:pPr>
        <w:pStyle w:val="ListParagraph"/>
        <w:numPr>
          <w:ilvl w:val="1"/>
          <w:numId w:val="190"/>
        </w:numPr>
        <w:tabs>
          <w:tab w:pos="1217" w:val="left" w:leader="none"/>
        </w:tabs>
        <w:spacing w:line="240" w:lineRule="auto" w:before="204" w:after="0"/>
        <w:ind w:left="1217" w:right="0" w:hanging="426"/>
        <w:jc w:val="left"/>
        <w:rPr>
          <w:sz w:val="24"/>
        </w:rPr>
      </w:pPr>
      <w:r>
        <w:rPr>
          <w:sz w:val="24"/>
        </w:rPr>
        <w:t>The</w:t>
      </w:r>
      <w:r>
        <w:rPr>
          <w:spacing w:val="-5"/>
          <w:sz w:val="24"/>
        </w:rPr>
        <w:t> </w:t>
      </w:r>
      <w:r>
        <w:rPr>
          <w:sz w:val="24"/>
        </w:rPr>
        <w:t>out</w:t>
      </w:r>
      <w:r>
        <w:rPr>
          <w:spacing w:val="-2"/>
          <w:sz w:val="24"/>
        </w:rPr>
        <w:t> </w:t>
      </w:r>
      <w:r>
        <w:rPr>
          <w:sz w:val="24"/>
        </w:rPr>
        <w:t>of</w:t>
      </w:r>
      <w:r>
        <w:rPr>
          <w:spacing w:val="-3"/>
          <w:sz w:val="24"/>
        </w:rPr>
        <w:t> </w:t>
      </w:r>
      <w:r>
        <w:rPr>
          <w:sz w:val="24"/>
        </w:rPr>
        <w:t>state</w:t>
      </w:r>
      <w:r>
        <w:rPr>
          <w:spacing w:val="-4"/>
          <w:sz w:val="24"/>
        </w:rPr>
        <w:t> </w:t>
      </w:r>
      <w:r>
        <w:rPr>
          <w:sz w:val="24"/>
        </w:rPr>
        <w:t>training</w:t>
      </w:r>
      <w:r>
        <w:rPr>
          <w:spacing w:val="-3"/>
          <w:sz w:val="24"/>
        </w:rPr>
        <w:t> </w:t>
      </w:r>
      <w:r>
        <w:rPr>
          <w:sz w:val="24"/>
        </w:rPr>
        <w:t>program</w:t>
      </w:r>
      <w:r>
        <w:rPr>
          <w:spacing w:val="-1"/>
          <w:sz w:val="24"/>
        </w:rPr>
        <w:t> </w:t>
      </w:r>
      <w:r>
        <w:rPr>
          <w:sz w:val="24"/>
        </w:rPr>
        <w:t>is</w:t>
      </w:r>
      <w:r>
        <w:rPr>
          <w:spacing w:val="-3"/>
          <w:sz w:val="24"/>
        </w:rPr>
        <w:t> </w:t>
      </w:r>
      <w:r>
        <w:rPr>
          <w:sz w:val="24"/>
        </w:rPr>
        <w:t>no</w:t>
      </w:r>
      <w:r>
        <w:rPr>
          <w:spacing w:val="-3"/>
          <w:sz w:val="24"/>
        </w:rPr>
        <w:t> </w:t>
      </w:r>
      <w:r>
        <w:rPr>
          <w:sz w:val="24"/>
        </w:rPr>
        <w:t>more</w:t>
      </w:r>
      <w:r>
        <w:rPr>
          <w:spacing w:val="-3"/>
          <w:sz w:val="24"/>
        </w:rPr>
        <w:t> </w:t>
      </w:r>
      <w:r>
        <w:rPr>
          <w:sz w:val="24"/>
        </w:rPr>
        <w:t>expensive</w:t>
      </w:r>
      <w:r>
        <w:rPr>
          <w:spacing w:val="-3"/>
          <w:sz w:val="24"/>
        </w:rPr>
        <w:t> </w:t>
      </w:r>
      <w:r>
        <w:rPr>
          <w:sz w:val="24"/>
        </w:rPr>
        <w:t>than</w:t>
      </w:r>
      <w:r>
        <w:rPr>
          <w:spacing w:val="-2"/>
          <w:sz w:val="24"/>
        </w:rPr>
        <w:t> </w:t>
      </w:r>
      <w:r>
        <w:rPr>
          <w:sz w:val="24"/>
        </w:rPr>
        <w:t>in-state</w:t>
      </w:r>
      <w:r>
        <w:rPr>
          <w:spacing w:val="-3"/>
          <w:sz w:val="24"/>
        </w:rPr>
        <w:t> </w:t>
      </w:r>
      <w:r>
        <w:rPr>
          <w:sz w:val="24"/>
        </w:rPr>
        <w:t>training;</w:t>
      </w:r>
      <w:r>
        <w:rPr>
          <w:spacing w:val="-1"/>
          <w:sz w:val="24"/>
        </w:rPr>
        <w:t> </w:t>
      </w:r>
      <w:r>
        <w:rPr>
          <w:spacing w:val="-5"/>
          <w:sz w:val="24"/>
        </w:rPr>
        <w:t>or</w:t>
      </w:r>
    </w:p>
    <w:p>
      <w:pPr>
        <w:pStyle w:val="ListParagraph"/>
        <w:numPr>
          <w:ilvl w:val="1"/>
          <w:numId w:val="190"/>
        </w:numPr>
        <w:tabs>
          <w:tab w:pos="1217" w:val="left" w:leader="none"/>
        </w:tabs>
        <w:spacing w:line="208" w:lineRule="auto" w:before="234" w:after="0"/>
        <w:ind w:left="791" w:right="1415" w:firstLine="0"/>
        <w:jc w:val="left"/>
        <w:rPr>
          <w:sz w:val="24"/>
        </w:rPr>
      </w:pPr>
      <w:r>
        <w:rPr>
          <w:sz w:val="24"/>
        </w:rPr>
        <w:t>There</w:t>
      </w:r>
      <w:r>
        <w:rPr>
          <w:spacing w:val="-5"/>
          <w:sz w:val="24"/>
        </w:rPr>
        <w:t> </w:t>
      </w:r>
      <w:r>
        <w:rPr>
          <w:sz w:val="24"/>
        </w:rPr>
        <w:t>are</w:t>
      </w:r>
      <w:r>
        <w:rPr>
          <w:spacing w:val="-4"/>
          <w:sz w:val="24"/>
        </w:rPr>
        <w:t> </w:t>
      </w:r>
      <w:r>
        <w:rPr>
          <w:sz w:val="24"/>
        </w:rPr>
        <w:t>specific</w:t>
      </w:r>
      <w:r>
        <w:rPr>
          <w:spacing w:val="-4"/>
          <w:sz w:val="24"/>
        </w:rPr>
        <w:t> </w:t>
      </w:r>
      <w:r>
        <w:rPr>
          <w:sz w:val="24"/>
        </w:rPr>
        <w:t>considerations</w:t>
      </w:r>
      <w:r>
        <w:rPr>
          <w:spacing w:val="-4"/>
          <w:sz w:val="24"/>
        </w:rPr>
        <w:t> </w:t>
      </w:r>
      <w:r>
        <w:rPr>
          <w:sz w:val="24"/>
        </w:rPr>
        <w:t>based</w:t>
      </w:r>
      <w:r>
        <w:rPr>
          <w:spacing w:val="-4"/>
          <w:sz w:val="24"/>
        </w:rPr>
        <w:t> </w:t>
      </w:r>
      <w:r>
        <w:rPr>
          <w:sz w:val="24"/>
        </w:rPr>
        <w:t>on</w:t>
      </w:r>
      <w:r>
        <w:rPr>
          <w:spacing w:val="-4"/>
          <w:sz w:val="24"/>
        </w:rPr>
        <w:t> </w:t>
      </w:r>
      <w:r>
        <w:rPr>
          <w:sz w:val="24"/>
        </w:rPr>
        <w:t>severity</w:t>
      </w:r>
      <w:r>
        <w:rPr>
          <w:spacing w:val="-4"/>
          <w:sz w:val="24"/>
        </w:rPr>
        <w:t> </w:t>
      </w:r>
      <w:r>
        <w:rPr>
          <w:sz w:val="24"/>
        </w:rPr>
        <w:t>of</w:t>
      </w:r>
      <w:r>
        <w:rPr>
          <w:spacing w:val="-3"/>
          <w:sz w:val="24"/>
        </w:rPr>
        <w:t> </w:t>
      </w:r>
      <w:r>
        <w:rPr>
          <w:sz w:val="24"/>
        </w:rPr>
        <w:t>the</w:t>
      </w:r>
      <w:r>
        <w:rPr>
          <w:spacing w:val="-4"/>
          <w:sz w:val="24"/>
        </w:rPr>
        <w:t> </w:t>
      </w:r>
      <w:r>
        <w:rPr>
          <w:sz w:val="24"/>
        </w:rPr>
        <w:t>disability</w:t>
      </w:r>
      <w:r>
        <w:rPr>
          <w:spacing w:val="-4"/>
          <w:sz w:val="24"/>
        </w:rPr>
        <w:t> </w:t>
      </w:r>
      <w:r>
        <w:rPr>
          <w:sz w:val="24"/>
        </w:rPr>
        <w:t>which preclude the use of in-state facilities.</w:t>
      </w:r>
    </w:p>
    <w:p>
      <w:pPr>
        <w:pStyle w:val="ListParagraph"/>
        <w:numPr>
          <w:ilvl w:val="0"/>
          <w:numId w:val="190"/>
        </w:numPr>
        <w:tabs>
          <w:tab w:pos="785" w:val="left" w:leader="none"/>
        </w:tabs>
        <w:spacing w:line="240" w:lineRule="auto" w:before="210" w:after="0"/>
        <w:ind w:left="785" w:right="0" w:hanging="426"/>
        <w:jc w:val="left"/>
        <w:rPr>
          <w:b/>
          <w:sz w:val="24"/>
        </w:rPr>
      </w:pPr>
      <w:r>
        <w:rPr>
          <w:sz w:val="24"/>
        </w:rPr>
        <w:t>The</w:t>
      </w:r>
      <w:r>
        <w:rPr>
          <w:spacing w:val="-3"/>
          <w:sz w:val="24"/>
        </w:rPr>
        <w:t> </w:t>
      </w:r>
      <w:r>
        <w:rPr>
          <w:sz w:val="24"/>
        </w:rPr>
        <w:t>case</w:t>
      </w:r>
      <w:r>
        <w:rPr>
          <w:spacing w:val="-3"/>
          <w:sz w:val="24"/>
        </w:rPr>
        <w:t> </w:t>
      </w:r>
      <w:r>
        <w:rPr>
          <w:sz w:val="24"/>
        </w:rPr>
        <w:t>record</w:t>
      </w:r>
      <w:r>
        <w:rPr>
          <w:spacing w:val="-3"/>
          <w:sz w:val="24"/>
        </w:rPr>
        <w:t> </w:t>
      </w:r>
      <w:r>
        <w:rPr>
          <w:sz w:val="24"/>
        </w:rPr>
        <w:t>is</w:t>
      </w:r>
      <w:r>
        <w:rPr>
          <w:spacing w:val="-2"/>
          <w:sz w:val="24"/>
        </w:rPr>
        <w:t> </w:t>
      </w:r>
      <w:r>
        <w:rPr>
          <w:sz w:val="24"/>
        </w:rPr>
        <w:t>to</w:t>
      </w:r>
      <w:r>
        <w:rPr>
          <w:spacing w:val="-3"/>
          <w:sz w:val="24"/>
        </w:rPr>
        <w:t> </w:t>
      </w:r>
      <w:r>
        <w:rPr>
          <w:sz w:val="24"/>
        </w:rPr>
        <w:t>document</w:t>
      </w:r>
      <w:r>
        <w:rPr>
          <w:spacing w:val="-2"/>
          <w:sz w:val="24"/>
        </w:rPr>
        <w:t> </w:t>
      </w:r>
      <w:r>
        <w:rPr>
          <w:sz w:val="24"/>
        </w:rPr>
        <w:t>the</w:t>
      </w:r>
      <w:r>
        <w:rPr>
          <w:spacing w:val="-3"/>
          <w:sz w:val="24"/>
        </w:rPr>
        <w:t> </w:t>
      </w:r>
      <w:r>
        <w:rPr>
          <w:sz w:val="24"/>
        </w:rPr>
        <w:t>basis</w:t>
      </w:r>
      <w:r>
        <w:rPr>
          <w:spacing w:val="-2"/>
          <w:sz w:val="24"/>
        </w:rPr>
        <w:t> </w:t>
      </w:r>
      <w:r>
        <w:rPr>
          <w:sz w:val="24"/>
        </w:rPr>
        <w:t>for</w:t>
      </w:r>
      <w:r>
        <w:rPr>
          <w:spacing w:val="-2"/>
          <w:sz w:val="24"/>
        </w:rPr>
        <w:t> </w:t>
      </w:r>
      <w:r>
        <w:rPr>
          <w:sz w:val="24"/>
        </w:rPr>
        <w:t>this</w:t>
      </w:r>
      <w:r>
        <w:rPr>
          <w:spacing w:val="-3"/>
          <w:sz w:val="24"/>
        </w:rPr>
        <w:t> </w:t>
      </w:r>
      <w:r>
        <w:rPr>
          <w:sz w:val="24"/>
        </w:rPr>
        <w:t>determination.</w:t>
      </w:r>
      <w:r>
        <w:rPr>
          <w:spacing w:val="-1"/>
          <w:sz w:val="24"/>
        </w:rPr>
        <w:t> </w:t>
      </w:r>
      <w:r>
        <w:rPr>
          <w:b/>
          <w:spacing w:val="-10"/>
          <w:sz w:val="24"/>
        </w:rPr>
        <w:t>1</w:t>
      </w:r>
    </w:p>
    <w:p>
      <w:pPr>
        <w:pStyle w:val="ListParagraph"/>
        <w:numPr>
          <w:ilvl w:val="0"/>
          <w:numId w:val="190"/>
        </w:numPr>
        <w:tabs>
          <w:tab w:pos="772" w:val="left" w:leader="none"/>
        </w:tabs>
        <w:spacing w:line="208" w:lineRule="auto" w:before="234" w:after="0"/>
        <w:ind w:left="359" w:right="871" w:firstLine="0"/>
        <w:jc w:val="left"/>
        <w:rPr>
          <w:b/>
          <w:sz w:val="24"/>
        </w:rPr>
      </w:pPr>
      <w:r>
        <w:rPr>
          <w:sz w:val="24"/>
        </w:rPr>
        <w:t>Individual counselors will be responsible for authorizing payment to out-of-state training</w:t>
      </w:r>
      <w:r>
        <w:rPr>
          <w:spacing w:val="-3"/>
          <w:sz w:val="24"/>
        </w:rPr>
        <w:t> </w:t>
      </w:r>
      <w:r>
        <w:rPr>
          <w:sz w:val="24"/>
        </w:rPr>
        <w:t>facilities,</w:t>
      </w:r>
      <w:r>
        <w:rPr>
          <w:spacing w:val="-2"/>
          <w:sz w:val="24"/>
        </w:rPr>
        <w:t> </w:t>
      </w:r>
      <w:r>
        <w:rPr>
          <w:sz w:val="24"/>
        </w:rPr>
        <w:t>unless</w:t>
      </w:r>
      <w:r>
        <w:rPr>
          <w:spacing w:val="-3"/>
          <w:sz w:val="24"/>
        </w:rPr>
        <w:t> </w:t>
      </w:r>
      <w:r>
        <w:rPr>
          <w:sz w:val="24"/>
        </w:rPr>
        <w:t>a</w:t>
      </w:r>
      <w:r>
        <w:rPr>
          <w:spacing w:val="-3"/>
          <w:sz w:val="24"/>
        </w:rPr>
        <w:t> </w:t>
      </w:r>
      <w:r>
        <w:rPr>
          <w:sz w:val="24"/>
        </w:rPr>
        <w:t>specific</w:t>
      </w:r>
      <w:r>
        <w:rPr>
          <w:spacing w:val="-3"/>
          <w:sz w:val="24"/>
        </w:rPr>
        <w:t> </w:t>
      </w:r>
      <w:r>
        <w:rPr>
          <w:sz w:val="24"/>
        </w:rPr>
        <w:t>counselor</w:t>
      </w:r>
      <w:r>
        <w:rPr>
          <w:spacing w:val="-2"/>
          <w:sz w:val="24"/>
        </w:rPr>
        <w:t> </w:t>
      </w:r>
      <w:r>
        <w:rPr>
          <w:sz w:val="24"/>
        </w:rPr>
        <w:t>has</w:t>
      </w:r>
      <w:r>
        <w:rPr>
          <w:spacing w:val="-3"/>
          <w:sz w:val="24"/>
        </w:rPr>
        <w:t> </w:t>
      </w:r>
      <w:r>
        <w:rPr>
          <w:sz w:val="24"/>
        </w:rPr>
        <w:t>been</w:t>
      </w:r>
      <w:r>
        <w:rPr>
          <w:spacing w:val="-3"/>
          <w:sz w:val="24"/>
        </w:rPr>
        <w:t> </w:t>
      </w:r>
      <w:r>
        <w:rPr>
          <w:sz w:val="24"/>
        </w:rPr>
        <w:t>assigned</w:t>
      </w:r>
      <w:r>
        <w:rPr>
          <w:spacing w:val="-3"/>
          <w:sz w:val="24"/>
        </w:rPr>
        <w:t> </w:t>
      </w:r>
      <w:r>
        <w:rPr>
          <w:sz w:val="24"/>
        </w:rPr>
        <w:t>for</w:t>
      </w:r>
      <w:r>
        <w:rPr>
          <w:spacing w:val="-2"/>
          <w:sz w:val="24"/>
        </w:rPr>
        <w:t> </w:t>
      </w:r>
      <w:r>
        <w:rPr>
          <w:sz w:val="24"/>
        </w:rPr>
        <w:t>the</w:t>
      </w:r>
      <w:r>
        <w:rPr>
          <w:spacing w:val="-3"/>
          <w:sz w:val="24"/>
        </w:rPr>
        <w:t> </w:t>
      </w:r>
      <w:r>
        <w:rPr>
          <w:sz w:val="24"/>
        </w:rPr>
        <w:t>training</w:t>
      </w:r>
      <w:r>
        <w:rPr>
          <w:spacing w:val="-3"/>
          <w:sz w:val="24"/>
        </w:rPr>
        <w:t> </w:t>
      </w:r>
      <w:r>
        <w:rPr>
          <w:sz w:val="24"/>
        </w:rPr>
        <w:t>facility. Tuition</w:t>
      </w:r>
      <w:r>
        <w:rPr>
          <w:spacing w:val="-3"/>
          <w:sz w:val="24"/>
        </w:rPr>
        <w:t> </w:t>
      </w:r>
      <w:r>
        <w:rPr>
          <w:sz w:val="24"/>
        </w:rPr>
        <w:t>for</w:t>
      </w:r>
      <w:r>
        <w:rPr>
          <w:spacing w:val="-2"/>
          <w:sz w:val="24"/>
        </w:rPr>
        <w:t> </w:t>
      </w:r>
      <w:r>
        <w:rPr>
          <w:sz w:val="24"/>
        </w:rPr>
        <w:t>a</w:t>
      </w:r>
      <w:r>
        <w:rPr>
          <w:spacing w:val="-3"/>
          <w:sz w:val="24"/>
        </w:rPr>
        <w:t> </w:t>
      </w:r>
      <w:r>
        <w:rPr>
          <w:sz w:val="24"/>
        </w:rPr>
        <w:t>student</w:t>
      </w:r>
      <w:r>
        <w:rPr>
          <w:spacing w:val="-2"/>
          <w:sz w:val="24"/>
        </w:rPr>
        <w:t> </w:t>
      </w:r>
      <w:r>
        <w:rPr>
          <w:sz w:val="24"/>
        </w:rPr>
        <w:t>who</w:t>
      </w:r>
      <w:r>
        <w:rPr>
          <w:spacing w:val="-3"/>
          <w:sz w:val="24"/>
        </w:rPr>
        <w:t> </w:t>
      </w:r>
      <w:r>
        <w:rPr>
          <w:sz w:val="24"/>
        </w:rPr>
        <w:t>attends</w:t>
      </w:r>
      <w:r>
        <w:rPr>
          <w:spacing w:val="-3"/>
          <w:sz w:val="24"/>
        </w:rPr>
        <w:t> </w:t>
      </w:r>
      <w:r>
        <w:rPr>
          <w:sz w:val="24"/>
        </w:rPr>
        <w:t>an</w:t>
      </w:r>
      <w:r>
        <w:rPr>
          <w:spacing w:val="-3"/>
          <w:sz w:val="24"/>
        </w:rPr>
        <w:t> </w:t>
      </w:r>
      <w:r>
        <w:rPr>
          <w:sz w:val="24"/>
        </w:rPr>
        <w:t>out-of-state</w:t>
      </w:r>
      <w:r>
        <w:rPr>
          <w:spacing w:val="-3"/>
          <w:sz w:val="24"/>
        </w:rPr>
        <w:t> </w:t>
      </w:r>
      <w:r>
        <w:rPr>
          <w:sz w:val="24"/>
        </w:rPr>
        <w:t>college</w:t>
      </w:r>
      <w:r>
        <w:rPr>
          <w:spacing w:val="-2"/>
          <w:sz w:val="24"/>
        </w:rPr>
        <w:t> </w:t>
      </w:r>
      <w:r>
        <w:rPr>
          <w:sz w:val="24"/>
        </w:rPr>
        <w:t>or</w:t>
      </w:r>
      <w:r>
        <w:rPr>
          <w:spacing w:val="-2"/>
          <w:sz w:val="24"/>
        </w:rPr>
        <w:t> </w:t>
      </w:r>
      <w:r>
        <w:rPr>
          <w:sz w:val="24"/>
        </w:rPr>
        <w:t>university</w:t>
      </w:r>
      <w:r>
        <w:rPr>
          <w:spacing w:val="-3"/>
          <w:sz w:val="24"/>
        </w:rPr>
        <w:t> </w:t>
      </w:r>
      <w:r>
        <w:rPr>
          <w:sz w:val="24"/>
        </w:rPr>
        <w:t>will</w:t>
      </w:r>
      <w:r>
        <w:rPr>
          <w:spacing w:val="-3"/>
          <w:sz w:val="24"/>
        </w:rPr>
        <w:t> </w:t>
      </w:r>
      <w:r>
        <w:rPr>
          <w:sz w:val="24"/>
        </w:rPr>
        <w:t>be</w:t>
      </w:r>
      <w:r>
        <w:rPr>
          <w:spacing w:val="-3"/>
          <w:sz w:val="24"/>
        </w:rPr>
        <w:t> </w:t>
      </w:r>
      <w:r>
        <w:rPr>
          <w:sz w:val="24"/>
        </w:rPr>
        <w:t>paid</w:t>
      </w:r>
      <w:r>
        <w:rPr>
          <w:spacing w:val="-3"/>
          <w:sz w:val="24"/>
        </w:rPr>
        <w:t> </w:t>
      </w:r>
      <w:r>
        <w:rPr>
          <w:sz w:val="24"/>
        </w:rPr>
        <w:t>at</w:t>
      </w:r>
      <w:r>
        <w:rPr>
          <w:spacing w:val="-2"/>
          <w:sz w:val="24"/>
        </w:rPr>
        <w:t> </w:t>
      </w:r>
      <w:r>
        <w:rPr>
          <w:sz w:val="24"/>
        </w:rPr>
        <w:t>the same rate paid at Oklahoma colleges or universities of equal rank. Payment for textbooks and training tools and supplies can be provided for clients in out-of-state training, in accordance with DRS policy. </w:t>
      </w:r>
      <w:r>
        <w:rPr>
          <w:b/>
          <w:sz w:val="24"/>
        </w:rPr>
        <w:t>2</w:t>
      </w:r>
    </w:p>
    <w:p>
      <w:pPr>
        <w:pStyle w:val="ListParagraph"/>
        <w:numPr>
          <w:ilvl w:val="0"/>
          <w:numId w:val="190"/>
        </w:numPr>
        <w:tabs>
          <w:tab w:pos="785" w:val="left" w:leader="none"/>
        </w:tabs>
        <w:spacing w:line="208" w:lineRule="auto" w:before="239" w:after="0"/>
        <w:ind w:left="359" w:right="968" w:firstLine="0"/>
        <w:jc w:val="left"/>
        <w:rPr>
          <w:sz w:val="24"/>
        </w:rPr>
      </w:pPr>
      <w:r>
        <w:rPr>
          <w:sz w:val="24"/>
        </w:rPr>
        <w:t>Prior to client's enrollment at a facility located in another state, an approved Justification</w:t>
      </w:r>
      <w:r>
        <w:rPr>
          <w:spacing w:val="-3"/>
          <w:sz w:val="24"/>
        </w:rPr>
        <w:t> </w:t>
      </w:r>
      <w:r>
        <w:rPr>
          <w:sz w:val="24"/>
        </w:rPr>
        <w:t>for</w:t>
      </w:r>
      <w:r>
        <w:rPr>
          <w:spacing w:val="-4"/>
          <w:sz w:val="24"/>
        </w:rPr>
        <w:t> </w:t>
      </w:r>
      <w:r>
        <w:rPr>
          <w:sz w:val="24"/>
        </w:rPr>
        <w:t>Out-of-State</w:t>
      </w:r>
      <w:r>
        <w:rPr>
          <w:spacing w:val="-3"/>
          <w:sz w:val="24"/>
        </w:rPr>
        <w:t> </w:t>
      </w:r>
      <w:r>
        <w:rPr>
          <w:sz w:val="24"/>
        </w:rPr>
        <w:t>Training</w:t>
      </w:r>
      <w:r>
        <w:rPr>
          <w:spacing w:val="-3"/>
          <w:sz w:val="24"/>
        </w:rPr>
        <w:t> </w:t>
      </w:r>
      <w:r>
        <w:rPr>
          <w:sz w:val="24"/>
        </w:rPr>
        <w:t>form</w:t>
      </w:r>
      <w:r>
        <w:rPr>
          <w:spacing w:val="-4"/>
          <w:sz w:val="24"/>
        </w:rPr>
        <w:t> </w:t>
      </w:r>
      <w:r>
        <w:rPr>
          <w:sz w:val="24"/>
        </w:rPr>
        <w:t>must</w:t>
      </w:r>
      <w:r>
        <w:rPr>
          <w:spacing w:val="-3"/>
          <w:sz w:val="24"/>
        </w:rPr>
        <w:t> </w:t>
      </w:r>
      <w:r>
        <w:rPr>
          <w:sz w:val="24"/>
        </w:rPr>
        <w:t>be</w:t>
      </w:r>
      <w:r>
        <w:rPr>
          <w:spacing w:val="-3"/>
          <w:sz w:val="24"/>
        </w:rPr>
        <w:t> </w:t>
      </w:r>
      <w:r>
        <w:rPr>
          <w:sz w:val="24"/>
        </w:rPr>
        <w:t>submitted</w:t>
      </w:r>
      <w:r>
        <w:rPr>
          <w:spacing w:val="-3"/>
          <w:sz w:val="24"/>
        </w:rPr>
        <w:t> </w:t>
      </w:r>
      <w:r>
        <w:rPr>
          <w:sz w:val="24"/>
        </w:rPr>
        <w:t>to</w:t>
      </w:r>
      <w:r>
        <w:rPr>
          <w:spacing w:val="-4"/>
          <w:sz w:val="24"/>
        </w:rPr>
        <w:t> </w:t>
      </w:r>
      <w:r>
        <w:rPr>
          <w:sz w:val="24"/>
        </w:rPr>
        <w:t>the</w:t>
      </w:r>
      <w:r>
        <w:rPr>
          <w:spacing w:val="-3"/>
          <w:sz w:val="24"/>
        </w:rPr>
        <w:t> </w:t>
      </w:r>
      <w:r>
        <w:rPr>
          <w:sz w:val="24"/>
        </w:rPr>
        <w:t>DRS</w:t>
      </w:r>
      <w:r>
        <w:rPr>
          <w:spacing w:val="-3"/>
          <w:sz w:val="24"/>
        </w:rPr>
        <w:t> </w:t>
      </w:r>
      <w:r>
        <w:rPr>
          <w:sz w:val="24"/>
        </w:rPr>
        <w:t>State</w:t>
      </w:r>
      <w:r>
        <w:rPr>
          <w:spacing w:val="-3"/>
          <w:sz w:val="24"/>
        </w:rPr>
        <w:t> </w:t>
      </w:r>
      <w:r>
        <w:rPr>
          <w:sz w:val="24"/>
        </w:rPr>
        <w:t>Office.</w:t>
      </w:r>
    </w:p>
    <w:p>
      <w:pPr>
        <w:pStyle w:val="ListParagraph"/>
        <w:numPr>
          <w:ilvl w:val="0"/>
          <w:numId w:val="190"/>
        </w:numPr>
        <w:tabs>
          <w:tab w:pos="785" w:val="left" w:leader="none"/>
        </w:tabs>
        <w:spacing w:line="208" w:lineRule="auto" w:before="240" w:after="0"/>
        <w:ind w:left="359" w:right="1151" w:firstLine="0"/>
        <w:jc w:val="left"/>
        <w:rPr>
          <w:sz w:val="24"/>
        </w:rPr>
      </w:pPr>
      <w:r>
        <w:rPr>
          <w:sz w:val="24"/>
        </w:rPr>
        <w:t>The DRS Contracts Unit must complete renewal of contracts no less than two months prior to present contract expiration date to ensure continuation of services. When</w:t>
      </w:r>
      <w:r>
        <w:rPr>
          <w:spacing w:val="-4"/>
          <w:sz w:val="24"/>
        </w:rPr>
        <w:t> </w:t>
      </w:r>
      <w:r>
        <w:rPr>
          <w:sz w:val="24"/>
        </w:rPr>
        <w:t>a</w:t>
      </w:r>
      <w:r>
        <w:rPr>
          <w:spacing w:val="-4"/>
          <w:sz w:val="24"/>
        </w:rPr>
        <w:t> </w:t>
      </w:r>
      <w:r>
        <w:rPr>
          <w:sz w:val="24"/>
        </w:rPr>
        <w:t>contract</w:t>
      </w:r>
      <w:r>
        <w:rPr>
          <w:spacing w:val="-3"/>
          <w:sz w:val="24"/>
        </w:rPr>
        <w:t> </w:t>
      </w:r>
      <w:r>
        <w:rPr>
          <w:sz w:val="24"/>
        </w:rPr>
        <w:t>lapses</w:t>
      </w:r>
      <w:r>
        <w:rPr>
          <w:spacing w:val="-4"/>
          <w:sz w:val="24"/>
        </w:rPr>
        <w:t> </w:t>
      </w:r>
      <w:r>
        <w:rPr>
          <w:sz w:val="24"/>
        </w:rPr>
        <w:t>because</w:t>
      </w:r>
      <w:r>
        <w:rPr>
          <w:spacing w:val="-3"/>
          <w:sz w:val="24"/>
        </w:rPr>
        <w:t> </w:t>
      </w:r>
      <w:r>
        <w:rPr>
          <w:sz w:val="24"/>
        </w:rPr>
        <w:t>renewal</w:t>
      </w:r>
      <w:r>
        <w:rPr>
          <w:spacing w:val="-4"/>
          <w:sz w:val="24"/>
        </w:rPr>
        <w:t> </w:t>
      </w:r>
      <w:r>
        <w:rPr>
          <w:sz w:val="24"/>
        </w:rPr>
        <w:t>was</w:t>
      </w:r>
      <w:r>
        <w:rPr>
          <w:spacing w:val="-4"/>
          <w:sz w:val="24"/>
        </w:rPr>
        <w:t> </w:t>
      </w:r>
      <w:r>
        <w:rPr>
          <w:sz w:val="24"/>
        </w:rPr>
        <w:t>not</w:t>
      </w:r>
      <w:r>
        <w:rPr>
          <w:spacing w:val="-3"/>
          <w:sz w:val="24"/>
        </w:rPr>
        <w:t> </w:t>
      </w:r>
      <w:r>
        <w:rPr>
          <w:sz w:val="24"/>
        </w:rPr>
        <w:t>completed</w:t>
      </w:r>
      <w:r>
        <w:rPr>
          <w:spacing w:val="-4"/>
          <w:sz w:val="24"/>
        </w:rPr>
        <w:t> </w:t>
      </w:r>
      <w:r>
        <w:rPr>
          <w:sz w:val="24"/>
        </w:rPr>
        <w:t>within</w:t>
      </w:r>
      <w:r>
        <w:rPr>
          <w:spacing w:val="-4"/>
          <w:sz w:val="24"/>
        </w:rPr>
        <w:t> </w:t>
      </w:r>
      <w:r>
        <w:rPr>
          <w:sz w:val="24"/>
        </w:rPr>
        <w:t>time</w:t>
      </w:r>
      <w:r>
        <w:rPr>
          <w:spacing w:val="-4"/>
          <w:sz w:val="24"/>
        </w:rPr>
        <w:t> </w:t>
      </w:r>
      <w:r>
        <w:rPr>
          <w:sz w:val="24"/>
        </w:rPr>
        <w:t>frames,</w:t>
      </w:r>
      <w:r>
        <w:rPr>
          <w:spacing w:val="-3"/>
          <w:sz w:val="24"/>
        </w:rPr>
        <w:t> </w:t>
      </w:r>
      <w:r>
        <w:rPr>
          <w:sz w:val="24"/>
        </w:rPr>
        <w:t>the Department cannot pay the institution's claim.</w:t>
      </w:r>
    </w:p>
    <w:p>
      <w:pPr>
        <w:pStyle w:val="BodyText"/>
        <w:spacing w:before="210"/>
        <w:ind w:left="359"/>
      </w:pPr>
      <w:r>
        <w:rPr/>
        <w:t>INSTRUCTIONS</w:t>
      </w:r>
      <w:r>
        <w:rPr>
          <w:spacing w:val="-3"/>
        </w:rPr>
        <w:t> </w:t>
      </w:r>
      <w:r>
        <w:rPr/>
        <w:t>TO</w:t>
      </w:r>
      <w:r>
        <w:rPr>
          <w:spacing w:val="-2"/>
        </w:rPr>
        <w:t> </w:t>
      </w:r>
      <w:r>
        <w:rPr>
          <w:spacing w:val="-4"/>
        </w:rPr>
        <w:t>STAFF</w:t>
      </w:r>
    </w:p>
    <w:p>
      <w:pPr>
        <w:pStyle w:val="ListParagraph"/>
        <w:numPr>
          <w:ilvl w:val="0"/>
          <w:numId w:val="191"/>
        </w:numPr>
        <w:tabs>
          <w:tab w:pos="1077" w:val="left" w:leader="none"/>
        </w:tabs>
        <w:spacing w:line="208" w:lineRule="auto" w:before="233" w:after="0"/>
        <w:ind w:left="791" w:right="1152" w:firstLine="0"/>
        <w:jc w:val="left"/>
        <w:rPr>
          <w:sz w:val="24"/>
        </w:rPr>
      </w:pPr>
      <w:r>
        <w:rPr>
          <w:sz w:val="24"/>
        </w:rPr>
        <w:t>Documentation</w:t>
      </w:r>
      <w:r>
        <w:rPr>
          <w:spacing w:val="-3"/>
          <w:sz w:val="24"/>
        </w:rPr>
        <w:t> </w:t>
      </w:r>
      <w:r>
        <w:rPr>
          <w:sz w:val="24"/>
        </w:rPr>
        <w:t>must</w:t>
      </w:r>
      <w:r>
        <w:rPr>
          <w:spacing w:val="-2"/>
          <w:sz w:val="24"/>
        </w:rPr>
        <w:t> </w:t>
      </w:r>
      <w:r>
        <w:rPr>
          <w:sz w:val="24"/>
        </w:rPr>
        <w:t>state</w:t>
      </w:r>
      <w:r>
        <w:rPr>
          <w:spacing w:val="-3"/>
          <w:sz w:val="24"/>
        </w:rPr>
        <w:t> </w:t>
      </w:r>
      <w:r>
        <w:rPr>
          <w:sz w:val="24"/>
        </w:rPr>
        <w:t>why</w:t>
      </w:r>
      <w:r>
        <w:rPr>
          <w:spacing w:val="-3"/>
          <w:sz w:val="24"/>
        </w:rPr>
        <w:t> </w:t>
      </w:r>
      <w:r>
        <w:rPr>
          <w:sz w:val="24"/>
        </w:rPr>
        <w:t>the</w:t>
      </w:r>
      <w:r>
        <w:rPr>
          <w:spacing w:val="-3"/>
          <w:sz w:val="24"/>
        </w:rPr>
        <w:t> </w:t>
      </w:r>
      <w:r>
        <w:rPr>
          <w:sz w:val="24"/>
        </w:rPr>
        <w:t>particular</w:t>
      </w:r>
      <w:r>
        <w:rPr>
          <w:spacing w:val="-2"/>
          <w:sz w:val="24"/>
        </w:rPr>
        <w:t> </w:t>
      </w:r>
      <w:r>
        <w:rPr>
          <w:sz w:val="24"/>
        </w:rPr>
        <w:t>vendor</w:t>
      </w:r>
      <w:r>
        <w:rPr>
          <w:spacing w:val="-2"/>
          <w:sz w:val="24"/>
        </w:rPr>
        <w:t> </w:t>
      </w:r>
      <w:r>
        <w:rPr>
          <w:sz w:val="24"/>
        </w:rPr>
        <w:t>is</w:t>
      </w:r>
      <w:r>
        <w:rPr>
          <w:spacing w:val="-3"/>
          <w:sz w:val="24"/>
        </w:rPr>
        <w:t> </w:t>
      </w:r>
      <w:r>
        <w:rPr>
          <w:sz w:val="24"/>
        </w:rPr>
        <w:t>being</w:t>
      </w:r>
      <w:r>
        <w:rPr>
          <w:spacing w:val="-3"/>
          <w:sz w:val="24"/>
        </w:rPr>
        <w:t> </w:t>
      </w:r>
      <w:r>
        <w:rPr>
          <w:sz w:val="24"/>
        </w:rPr>
        <w:t>used</w:t>
      </w:r>
      <w:r>
        <w:rPr>
          <w:spacing w:val="-3"/>
          <w:sz w:val="24"/>
        </w:rPr>
        <w:t> </w:t>
      </w:r>
      <w:r>
        <w:rPr>
          <w:sz w:val="24"/>
        </w:rPr>
        <w:t>in</w:t>
      </w:r>
      <w:r>
        <w:rPr>
          <w:spacing w:val="-3"/>
          <w:sz w:val="24"/>
        </w:rPr>
        <w:t> </w:t>
      </w:r>
      <w:r>
        <w:rPr>
          <w:sz w:val="24"/>
        </w:rPr>
        <w:t>terms</w:t>
      </w:r>
      <w:r>
        <w:rPr>
          <w:spacing w:val="-4"/>
          <w:sz w:val="24"/>
        </w:rPr>
        <w:t> </w:t>
      </w:r>
      <w:r>
        <w:rPr>
          <w:sz w:val="24"/>
        </w:rPr>
        <w:t>of specific clients, and address the issues of:</w:t>
      </w:r>
    </w:p>
    <w:p>
      <w:pPr>
        <w:pStyle w:val="ListParagraph"/>
        <w:numPr>
          <w:ilvl w:val="1"/>
          <w:numId w:val="191"/>
        </w:numPr>
        <w:tabs>
          <w:tab w:pos="1649" w:val="left" w:leader="none"/>
        </w:tabs>
        <w:spacing w:line="240" w:lineRule="auto" w:before="211" w:after="0"/>
        <w:ind w:left="1649" w:right="0" w:hanging="426"/>
        <w:jc w:val="left"/>
        <w:rPr>
          <w:sz w:val="24"/>
        </w:rPr>
      </w:pPr>
      <w:r>
        <w:rPr>
          <w:sz w:val="24"/>
        </w:rPr>
        <w:t>selection</w:t>
      </w:r>
      <w:r>
        <w:rPr>
          <w:spacing w:val="-5"/>
          <w:sz w:val="24"/>
        </w:rPr>
        <w:t> </w:t>
      </w:r>
      <w:r>
        <w:rPr>
          <w:sz w:val="24"/>
        </w:rPr>
        <w:t>of</w:t>
      </w:r>
      <w:r>
        <w:rPr>
          <w:spacing w:val="-3"/>
          <w:sz w:val="24"/>
        </w:rPr>
        <w:t> </w:t>
      </w:r>
      <w:r>
        <w:rPr>
          <w:sz w:val="24"/>
        </w:rPr>
        <w:t>vocational</w:t>
      </w:r>
      <w:r>
        <w:rPr>
          <w:spacing w:val="-4"/>
          <w:sz w:val="24"/>
        </w:rPr>
        <w:t> </w:t>
      </w:r>
      <w:r>
        <w:rPr>
          <w:spacing w:val="-2"/>
          <w:sz w:val="24"/>
        </w:rPr>
        <w:t>objective;</w:t>
      </w:r>
    </w:p>
    <w:p>
      <w:pPr>
        <w:pStyle w:val="ListParagraph"/>
        <w:numPr>
          <w:ilvl w:val="1"/>
          <w:numId w:val="191"/>
        </w:numPr>
        <w:tabs>
          <w:tab w:pos="1649" w:val="left" w:leader="none"/>
        </w:tabs>
        <w:spacing w:line="240" w:lineRule="auto" w:before="204" w:after="0"/>
        <w:ind w:left="1649" w:right="0" w:hanging="426"/>
        <w:jc w:val="left"/>
        <w:rPr>
          <w:sz w:val="24"/>
        </w:rPr>
      </w:pPr>
      <w:r>
        <w:rPr>
          <w:sz w:val="24"/>
        </w:rPr>
        <w:t>projected</w:t>
      </w:r>
      <w:r>
        <w:rPr>
          <w:spacing w:val="-5"/>
          <w:sz w:val="24"/>
        </w:rPr>
        <w:t> </w:t>
      </w:r>
      <w:r>
        <w:rPr>
          <w:sz w:val="24"/>
        </w:rPr>
        <w:t>starting</w:t>
      </w:r>
      <w:r>
        <w:rPr>
          <w:spacing w:val="-4"/>
          <w:sz w:val="24"/>
        </w:rPr>
        <w:t> </w:t>
      </w:r>
      <w:r>
        <w:rPr>
          <w:sz w:val="24"/>
        </w:rPr>
        <w:t>and</w:t>
      </w:r>
      <w:r>
        <w:rPr>
          <w:spacing w:val="-4"/>
          <w:sz w:val="24"/>
        </w:rPr>
        <w:t> </w:t>
      </w:r>
      <w:r>
        <w:rPr>
          <w:sz w:val="24"/>
        </w:rPr>
        <w:t>completion</w:t>
      </w:r>
      <w:r>
        <w:rPr>
          <w:spacing w:val="-4"/>
          <w:sz w:val="24"/>
        </w:rPr>
        <w:t> </w:t>
      </w:r>
      <w:r>
        <w:rPr>
          <w:spacing w:val="-2"/>
          <w:sz w:val="24"/>
        </w:rPr>
        <w:t>dates;</w:t>
      </w:r>
    </w:p>
    <w:p>
      <w:pPr>
        <w:pStyle w:val="ListParagraph"/>
        <w:numPr>
          <w:ilvl w:val="1"/>
          <w:numId w:val="191"/>
        </w:numPr>
        <w:tabs>
          <w:tab w:pos="1649" w:val="left" w:leader="none"/>
        </w:tabs>
        <w:spacing w:line="240" w:lineRule="auto" w:before="204" w:after="0"/>
        <w:ind w:left="1649" w:right="0" w:hanging="426"/>
        <w:jc w:val="left"/>
        <w:rPr>
          <w:sz w:val="24"/>
        </w:rPr>
      </w:pPr>
      <w:r>
        <w:rPr>
          <w:sz w:val="24"/>
        </w:rPr>
        <w:t>breakdown</w:t>
      </w:r>
      <w:r>
        <w:rPr>
          <w:spacing w:val="-3"/>
          <w:sz w:val="24"/>
        </w:rPr>
        <w:t> </w:t>
      </w:r>
      <w:r>
        <w:rPr>
          <w:sz w:val="24"/>
        </w:rPr>
        <w:t>of</w:t>
      </w:r>
      <w:r>
        <w:rPr>
          <w:spacing w:val="-2"/>
          <w:sz w:val="24"/>
        </w:rPr>
        <w:t> </w:t>
      </w:r>
      <w:r>
        <w:rPr>
          <w:sz w:val="24"/>
        </w:rPr>
        <w:t>costs;</w:t>
      </w:r>
      <w:r>
        <w:rPr>
          <w:spacing w:val="-2"/>
          <w:sz w:val="24"/>
        </w:rPr>
        <w:t> </w:t>
      </w:r>
      <w:r>
        <w:rPr>
          <w:spacing w:val="-5"/>
          <w:sz w:val="24"/>
        </w:rPr>
        <w:t>and</w:t>
      </w:r>
    </w:p>
    <w:p>
      <w:pPr>
        <w:pStyle w:val="ListParagraph"/>
        <w:numPr>
          <w:ilvl w:val="1"/>
          <w:numId w:val="191"/>
        </w:numPr>
        <w:tabs>
          <w:tab w:pos="1649" w:val="left" w:leader="none"/>
        </w:tabs>
        <w:spacing w:line="240" w:lineRule="auto" w:before="204" w:after="0"/>
        <w:ind w:left="1649" w:right="0" w:hanging="426"/>
        <w:jc w:val="left"/>
        <w:rPr>
          <w:sz w:val="24"/>
        </w:rPr>
      </w:pPr>
      <w:r>
        <w:rPr>
          <w:sz w:val="24"/>
        </w:rPr>
        <w:t>extent</w:t>
      </w:r>
      <w:r>
        <w:rPr>
          <w:spacing w:val="-5"/>
          <w:sz w:val="24"/>
        </w:rPr>
        <w:t> </w:t>
      </w:r>
      <w:r>
        <w:rPr>
          <w:sz w:val="24"/>
        </w:rPr>
        <w:t>of</w:t>
      </w:r>
      <w:r>
        <w:rPr>
          <w:spacing w:val="-2"/>
          <w:sz w:val="24"/>
        </w:rPr>
        <w:t> </w:t>
      </w:r>
      <w:r>
        <w:rPr>
          <w:sz w:val="24"/>
        </w:rPr>
        <w:t>comparable</w:t>
      </w:r>
      <w:r>
        <w:rPr>
          <w:spacing w:val="-4"/>
          <w:sz w:val="24"/>
        </w:rPr>
        <w:t> </w:t>
      </w:r>
      <w:r>
        <w:rPr>
          <w:sz w:val="24"/>
        </w:rPr>
        <w:t>services</w:t>
      </w:r>
      <w:r>
        <w:rPr>
          <w:spacing w:val="-3"/>
          <w:sz w:val="24"/>
        </w:rPr>
        <w:t> </w:t>
      </w:r>
      <w:r>
        <w:rPr>
          <w:sz w:val="24"/>
        </w:rPr>
        <w:t>and</w:t>
      </w:r>
      <w:r>
        <w:rPr>
          <w:spacing w:val="-3"/>
          <w:sz w:val="24"/>
        </w:rPr>
        <w:t> </w:t>
      </w:r>
      <w:r>
        <w:rPr>
          <w:spacing w:val="-2"/>
          <w:sz w:val="24"/>
        </w:rPr>
        <w:t>benefits.</w:t>
      </w:r>
    </w:p>
    <w:p>
      <w:pPr>
        <w:pStyle w:val="ListParagraph"/>
        <w:numPr>
          <w:ilvl w:val="0"/>
          <w:numId w:val="191"/>
        </w:numPr>
        <w:tabs>
          <w:tab w:pos="1077" w:val="left" w:leader="none"/>
        </w:tabs>
        <w:spacing w:line="240" w:lineRule="auto" w:before="204" w:after="0"/>
        <w:ind w:left="1077" w:right="0" w:hanging="286"/>
        <w:jc w:val="left"/>
        <w:rPr>
          <w:sz w:val="24"/>
        </w:rPr>
      </w:pPr>
      <w:r>
        <w:rPr>
          <w:sz w:val="24"/>
        </w:rPr>
        <w:t>See</w:t>
      </w:r>
      <w:r>
        <w:rPr>
          <w:spacing w:val="-5"/>
          <w:sz w:val="24"/>
        </w:rPr>
        <w:t> </w:t>
      </w:r>
      <w:hyperlink w:history="true" w:anchor="_bookmark23">
        <w:r>
          <w:rPr>
            <w:color w:val="0000FF"/>
            <w:sz w:val="24"/>
            <w:u w:val="single" w:color="0000FF"/>
          </w:rPr>
          <w:t>612:10-7-162</w:t>
        </w:r>
      </w:hyperlink>
      <w:r>
        <w:rPr>
          <w:color w:val="0000FF"/>
          <w:spacing w:val="-4"/>
          <w:sz w:val="24"/>
          <w:u w:val="none"/>
        </w:rPr>
        <w:t> </w:t>
      </w:r>
      <w:r>
        <w:rPr>
          <w:sz w:val="24"/>
          <w:u w:val="none"/>
        </w:rPr>
        <w:t>Textbooks,</w:t>
      </w:r>
      <w:r>
        <w:rPr>
          <w:spacing w:val="-3"/>
          <w:sz w:val="24"/>
          <w:u w:val="none"/>
        </w:rPr>
        <w:t> </w:t>
      </w:r>
      <w:r>
        <w:rPr>
          <w:sz w:val="24"/>
          <w:u w:val="none"/>
        </w:rPr>
        <w:t>supplies,</w:t>
      </w:r>
      <w:r>
        <w:rPr>
          <w:spacing w:val="-3"/>
          <w:sz w:val="24"/>
          <w:u w:val="none"/>
        </w:rPr>
        <w:t> </w:t>
      </w:r>
      <w:r>
        <w:rPr>
          <w:sz w:val="24"/>
          <w:u w:val="none"/>
        </w:rPr>
        <w:t>training</w:t>
      </w:r>
      <w:r>
        <w:rPr>
          <w:spacing w:val="-4"/>
          <w:sz w:val="24"/>
          <w:u w:val="none"/>
        </w:rPr>
        <w:t> </w:t>
      </w:r>
      <w:r>
        <w:rPr>
          <w:sz w:val="24"/>
          <w:u w:val="none"/>
        </w:rPr>
        <w:t>tools</w:t>
      </w:r>
      <w:r>
        <w:rPr>
          <w:spacing w:val="-4"/>
          <w:sz w:val="24"/>
          <w:u w:val="none"/>
        </w:rPr>
        <w:t> </w:t>
      </w:r>
      <w:r>
        <w:rPr>
          <w:sz w:val="24"/>
          <w:u w:val="none"/>
        </w:rPr>
        <w:t>and</w:t>
      </w:r>
      <w:r>
        <w:rPr>
          <w:spacing w:val="-4"/>
          <w:sz w:val="24"/>
          <w:u w:val="none"/>
        </w:rPr>
        <w:t> </w:t>
      </w:r>
      <w:r>
        <w:rPr>
          <w:spacing w:val="-2"/>
          <w:sz w:val="24"/>
          <w:u w:val="none"/>
        </w:rPr>
        <w:t>equipment</w:t>
      </w:r>
    </w:p>
    <w:p>
      <w:pPr>
        <w:pStyle w:val="ListParagraph"/>
        <w:numPr>
          <w:ilvl w:val="0"/>
          <w:numId w:val="191"/>
        </w:numPr>
        <w:tabs>
          <w:tab w:pos="1077" w:val="left" w:leader="none"/>
        </w:tabs>
        <w:spacing w:line="208" w:lineRule="auto" w:before="233" w:after="0"/>
        <w:ind w:left="791" w:right="1206" w:firstLine="0"/>
        <w:jc w:val="left"/>
        <w:rPr>
          <w:sz w:val="24"/>
        </w:rPr>
      </w:pPr>
      <w:r>
        <w:rPr>
          <w:sz w:val="24"/>
        </w:rPr>
        <w:t>Out-of-state</w:t>
      </w:r>
      <w:r>
        <w:rPr>
          <w:spacing w:val="-4"/>
          <w:sz w:val="24"/>
        </w:rPr>
        <w:t> </w:t>
      </w:r>
      <w:r>
        <w:rPr>
          <w:sz w:val="24"/>
        </w:rPr>
        <w:t>training</w:t>
      </w:r>
      <w:r>
        <w:rPr>
          <w:spacing w:val="-4"/>
          <w:sz w:val="24"/>
        </w:rPr>
        <w:t> </w:t>
      </w:r>
      <w:r>
        <w:rPr>
          <w:sz w:val="24"/>
        </w:rPr>
        <w:t>for</w:t>
      </w:r>
      <w:r>
        <w:rPr>
          <w:spacing w:val="-3"/>
          <w:sz w:val="24"/>
        </w:rPr>
        <w:t> </w:t>
      </w:r>
      <w:r>
        <w:rPr>
          <w:sz w:val="24"/>
        </w:rPr>
        <w:t>clients</w:t>
      </w:r>
      <w:r>
        <w:rPr>
          <w:spacing w:val="-4"/>
          <w:sz w:val="24"/>
        </w:rPr>
        <w:t> </w:t>
      </w:r>
      <w:r>
        <w:rPr>
          <w:sz w:val="24"/>
        </w:rPr>
        <w:t>that</w:t>
      </w:r>
      <w:r>
        <w:rPr>
          <w:spacing w:val="-3"/>
          <w:sz w:val="24"/>
        </w:rPr>
        <w:t> </w:t>
      </w:r>
      <w:r>
        <w:rPr>
          <w:sz w:val="24"/>
        </w:rPr>
        <w:t>include</w:t>
      </w:r>
      <w:r>
        <w:rPr>
          <w:spacing w:val="-4"/>
          <w:sz w:val="24"/>
        </w:rPr>
        <w:t> </w:t>
      </w:r>
      <w:r>
        <w:rPr>
          <w:sz w:val="24"/>
        </w:rPr>
        <w:t>equipment,</w:t>
      </w:r>
      <w:r>
        <w:rPr>
          <w:spacing w:val="-3"/>
          <w:sz w:val="24"/>
        </w:rPr>
        <w:t> </w:t>
      </w:r>
      <w:r>
        <w:rPr>
          <w:sz w:val="24"/>
        </w:rPr>
        <w:t>tools,</w:t>
      </w:r>
      <w:r>
        <w:rPr>
          <w:spacing w:val="-3"/>
          <w:sz w:val="24"/>
        </w:rPr>
        <w:t> </w:t>
      </w:r>
      <w:r>
        <w:rPr>
          <w:sz w:val="24"/>
        </w:rPr>
        <w:t>or</w:t>
      </w:r>
      <w:r>
        <w:rPr>
          <w:spacing w:val="-3"/>
          <w:sz w:val="24"/>
        </w:rPr>
        <w:t> </w:t>
      </w:r>
      <w:r>
        <w:rPr>
          <w:sz w:val="24"/>
        </w:rPr>
        <w:t>travel</w:t>
      </w:r>
      <w:r>
        <w:rPr>
          <w:spacing w:val="-4"/>
          <w:sz w:val="24"/>
        </w:rPr>
        <w:t> </w:t>
      </w:r>
      <w:r>
        <w:rPr>
          <w:sz w:val="24"/>
        </w:rPr>
        <w:t>require prior approval from RSA.</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7-1-95</w:t>
      </w:r>
      <w:r>
        <w:rPr>
          <w:sz w:val="22"/>
        </w:rPr>
        <w:tab/>
        <w:t>PT Memo #95-2</w:t>
      </w:r>
    </w:p>
    <w:p>
      <w:pPr>
        <w:spacing w:after="0"/>
        <w:jc w:val="left"/>
        <w:rPr>
          <w:sz w:val="22"/>
        </w:rPr>
        <w:sectPr>
          <w:pgSz w:w="12240" w:h="15840"/>
          <w:pgMar w:top="1340" w:bottom="280" w:left="1080" w:right="720"/>
        </w:sectPr>
      </w:pPr>
    </w:p>
    <w:p>
      <w:pPr>
        <w:tabs>
          <w:tab w:pos="1439" w:val="left" w:leader="none"/>
        </w:tabs>
        <w:spacing w:before="80"/>
        <w:ind w:left="360" w:right="3837" w:firstLine="1080"/>
        <w:jc w:val="left"/>
        <w:rPr>
          <w:sz w:val="22"/>
        </w:rPr>
      </w:pPr>
      <w:r>
        <w:rPr>
          <w:sz w:val="22"/>
        </w:rPr>
        <w:t>Permanent,</w:t>
      </w:r>
      <w:r>
        <w:rPr>
          <w:spacing w:val="-7"/>
          <w:sz w:val="22"/>
        </w:rPr>
        <w:t> </w:t>
      </w:r>
      <w:r>
        <w:rPr>
          <w:sz w:val="22"/>
        </w:rPr>
        <w:t>liberalized</w:t>
      </w:r>
      <w:r>
        <w:rPr>
          <w:spacing w:val="-8"/>
          <w:sz w:val="22"/>
        </w:rPr>
        <w:t> </w:t>
      </w:r>
      <w:r>
        <w:rPr>
          <w:sz w:val="22"/>
        </w:rPr>
        <w:t>payment</w:t>
      </w:r>
      <w:r>
        <w:rPr>
          <w:spacing w:val="-8"/>
          <w:sz w:val="22"/>
        </w:rPr>
        <w:t> </w:t>
      </w:r>
      <w:r>
        <w:rPr>
          <w:sz w:val="22"/>
        </w:rPr>
        <w:t>of</w:t>
      </w:r>
      <w:r>
        <w:rPr>
          <w:spacing w:val="-8"/>
          <w:sz w:val="22"/>
        </w:rPr>
        <w:t> </w:t>
      </w:r>
      <w:r>
        <w:rPr>
          <w:sz w:val="22"/>
        </w:rPr>
        <w:t>out-of-state</w:t>
      </w:r>
      <w:r>
        <w:rPr>
          <w:spacing w:val="-8"/>
          <w:sz w:val="22"/>
        </w:rPr>
        <w:t> </w:t>
      </w:r>
      <w:r>
        <w:rPr>
          <w:sz w:val="22"/>
        </w:rPr>
        <w:t>tuition </w:t>
      </w:r>
      <w:r>
        <w:rPr>
          <w:spacing w:val="-2"/>
          <w:sz w:val="22"/>
        </w:rPr>
        <w:t>6-14-99</w:t>
      </w:r>
      <w:r>
        <w:rPr>
          <w:sz w:val="22"/>
        </w:rPr>
        <w:tab/>
        <w:t>POL Memo #99-7</w:t>
      </w:r>
    </w:p>
    <w:p>
      <w:pPr>
        <w:tabs>
          <w:tab w:pos="1439" w:val="left" w:leader="none"/>
        </w:tabs>
        <w:spacing w:before="0"/>
        <w:ind w:left="360" w:right="5831" w:firstLine="1080"/>
        <w:jc w:val="left"/>
        <w:rPr>
          <w:sz w:val="22"/>
        </w:rPr>
      </w:pPr>
      <w:r>
        <w:rPr>
          <w:sz w:val="22"/>
        </w:rPr>
        <w:t>Emergency,</w:t>
      </w:r>
      <w:r>
        <w:rPr>
          <w:spacing w:val="-10"/>
          <w:sz w:val="22"/>
        </w:rPr>
        <w:t> </w:t>
      </w:r>
      <w:r>
        <w:rPr>
          <w:sz w:val="22"/>
        </w:rPr>
        <w:t>changed</w:t>
      </w:r>
      <w:r>
        <w:rPr>
          <w:spacing w:val="-10"/>
          <w:sz w:val="22"/>
        </w:rPr>
        <w:t> </w:t>
      </w:r>
      <w:r>
        <w:rPr>
          <w:sz w:val="22"/>
        </w:rPr>
        <w:t>IRP</w:t>
      </w:r>
      <w:r>
        <w:rPr>
          <w:spacing w:val="-10"/>
          <w:sz w:val="22"/>
        </w:rPr>
        <w:t> </w:t>
      </w:r>
      <w:r>
        <w:rPr>
          <w:sz w:val="22"/>
        </w:rPr>
        <w:t>to</w:t>
      </w:r>
      <w:r>
        <w:rPr>
          <w:spacing w:val="-10"/>
          <w:sz w:val="22"/>
        </w:rPr>
        <w:t> </w:t>
      </w:r>
      <w:r>
        <w:rPr>
          <w:sz w:val="22"/>
        </w:rPr>
        <w:t>IPE </w:t>
      </w:r>
      <w:r>
        <w:rPr>
          <w:spacing w:val="-2"/>
          <w:sz w:val="22"/>
        </w:rPr>
        <w:t>7-1-99</w:t>
      </w:r>
      <w:r>
        <w:rPr>
          <w:sz w:val="22"/>
        </w:rPr>
        <w:tab/>
        <w:t>POL Memo #00-1</w:t>
      </w:r>
    </w:p>
    <w:p>
      <w:pPr>
        <w:tabs>
          <w:tab w:pos="1439" w:val="left" w:leader="none"/>
        </w:tabs>
        <w:spacing w:before="0"/>
        <w:ind w:left="360"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7-1-03</w:t>
      </w:r>
      <w:r>
        <w:rPr>
          <w:sz w:val="22"/>
        </w:rPr>
        <w:tab/>
        <w:t>PT Memo #03-07</w:t>
      </w:r>
    </w:p>
    <w:p>
      <w:pPr>
        <w:spacing w:before="0"/>
        <w:ind w:left="1439" w:right="0" w:firstLine="0"/>
        <w:jc w:val="left"/>
        <w:rPr>
          <w:sz w:val="22"/>
        </w:rPr>
      </w:pPr>
      <w:r>
        <w:rPr>
          <w:sz w:val="22"/>
        </w:rPr>
        <w:t>Permanent,</w:t>
      </w:r>
      <w:r>
        <w:rPr>
          <w:spacing w:val="-10"/>
          <w:sz w:val="22"/>
        </w:rPr>
        <w:t> </w:t>
      </w:r>
      <w:r>
        <w:rPr>
          <w:sz w:val="22"/>
        </w:rPr>
        <w:t>deleted</w:t>
      </w:r>
      <w:r>
        <w:rPr>
          <w:spacing w:val="-11"/>
          <w:sz w:val="22"/>
        </w:rPr>
        <w:t> </w:t>
      </w:r>
      <w:r>
        <w:rPr>
          <w:sz w:val="22"/>
        </w:rPr>
        <w:t>ambiguous</w:t>
      </w:r>
      <w:r>
        <w:rPr>
          <w:spacing w:val="-11"/>
          <w:sz w:val="22"/>
        </w:rPr>
        <w:t> </w:t>
      </w:r>
      <w:r>
        <w:rPr>
          <w:spacing w:val="-2"/>
          <w:sz w:val="22"/>
        </w:rPr>
        <w:t>language.</w:t>
      </w:r>
    </w:p>
    <w:p>
      <w:pPr>
        <w:tabs>
          <w:tab w:pos="1439" w:val="left" w:leader="none"/>
        </w:tabs>
        <w:spacing w:line="253" w:lineRule="exact" w:before="0"/>
        <w:ind w:left="360" w:right="0" w:firstLine="0"/>
        <w:jc w:val="left"/>
        <w:rPr>
          <w:sz w:val="22"/>
        </w:rPr>
      </w:pPr>
      <w:r>
        <w:rPr>
          <w:spacing w:val="-2"/>
          <w:sz w:val="22"/>
        </w:rPr>
        <w:t>7-1-</w:t>
      </w:r>
      <w:r>
        <w:rPr>
          <w:spacing w:val="-5"/>
          <w:sz w:val="22"/>
        </w:rPr>
        <w:t>06</w:t>
      </w:r>
      <w:r>
        <w:rPr>
          <w:sz w:val="22"/>
        </w:rPr>
        <w:tab/>
        <w:t>PT</w:t>
      </w:r>
      <w:r>
        <w:rPr>
          <w:spacing w:val="-8"/>
          <w:sz w:val="22"/>
        </w:rPr>
        <w:t> </w:t>
      </w:r>
      <w:r>
        <w:rPr>
          <w:sz w:val="22"/>
        </w:rPr>
        <w:t>Memo</w:t>
      </w:r>
      <w:r>
        <w:rPr>
          <w:spacing w:val="-8"/>
          <w:sz w:val="22"/>
        </w:rPr>
        <w:t> </w:t>
      </w:r>
      <w:r>
        <w:rPr>
          <w:sz w:val="22"/>
        </w:rPr>
        <w:t>#07-</w:t>
      </w:r>
      <w:r>
        <w:rPr>
          <w:spacing w:val="-5"/>
          <w:sz w:val="22"/>
        </w:rPr>
        <w:t>01</w:t>
      </w:r>
    </w:p>
    <w:p>
      <w:pPr>
        <w:tabs>
          <w:tab w:pos="1439" w:val="left" w:leader="none"/>
        </w:tabs>
        <w:spacing w:before="0"/>
        <w:ind w:left="360" w:right="1092" w:firstLine="1080"/>
        <w:jc w:val="left"/>
        <w:rPr>
          <w:sz w:val="22"/>
        </w:rPr>
      </w:pPr>
      <w:r>
        <w:rPr>
          <w:sz w:val="22"/>
        </w:rPr>
        <w:t>Permanent,</w:t>
      </w:r>
      <w:r>
        <w:rPr>
          <w:spacing w:val="-3"/>
          <w:sz w:val="22"/>
        </w:rPr>
        <w:t> </w:t>
      </w:r>
      <w:r>
        <w:rPr>
          <w:sz w:val="22"/>
        </w:rPr>
        <w:t>deleted</w:t>
      </w:r>
      <w:r>
        <w:rPr>
          <w:spacing w:val="-4"/>
          <w:sz w:val="22"/>
        </w:rPr>
        <w:t> </w:t>
      </w:r>
      <w:r>
        <w:rPr>
          <w:sz w:val="22"/>
        </w:rPr>
        <w:t>IPE's</w:t>
      </w:r>
      <w:r>
        <w:rPr>
          <w:spacing w:val="-4"/>
          <w:sz w:val="22"/>
        </w:rPr>
        <w:t> </w:t>
      </w:r>
      <w:r>
        <w:rPr>
          <w:sz w:val="22"/>
        </w:rPr>
        <w:t>for</w:t>
      </w:r>
      <w:r>
        <w:rPr>
          <w:spacing w:val="-4"/>
          <w:sz w:val="22"/>
        </w:rPr>
        <w:t> </w:t>
      </w:r>
      <w:r>
        <w:rPr>
          <w:sz w:val="22"/>
        </w:rPr>
        <w:t>out</w:t>
      </w:r>
      <w:r>
        <w:rPr>
          <w:spacing w:val="-4"/>
          <w:sz w:val="22"/>
        </w:rPr>
        <w:t> </w:t>
      </w:r>
      <w:r>
        <w:rPr>
          <w:sz w:val="22"/>
        </w:rPr>
        <w:t>of</w:t>
      </w:r>
      <w:r>
        <w:rPr>
          <w:spacing w:val="-4"/>
          <w:sz w:val="22"/>
        </w:rPr>
        <w:t> </w:t>
      </w:r>
      <w:r>
        <w:rPr>
          <w:sz w:val="22"/>
        </w:rPr>
        <w:t>state</w:t>
      </w:r>
      <w:r>
        <w:rPr>
          <w:spacing w:val="-4"/>
          <w:sz w:val="22"/>
        </w:rPr>
        <w:t> </w:t>
      </w:r>
      <w:r>
        <w:rPr>
          <w:sz w:val="22"/>
        </w:rPr>
        <w:t>training</w:t>
      </w:r>
      <w:r>
        <w:rPr>
          <w:spacing w:val="-5"/>
          <w:sz w:val="22"/>
        </w:rPr>
        <w:t> </w:t>
      </w:r>
      <w:r>
        <w:rPr>
          <w:sz w:val="22"/>
        </w:rPr>
        <w:t>must</w:t>
      </w:r>
      <w:r>
        <w:rPr>
          <w:spacing w:val="-4"/>
          <w:sz w:val="22"/>
        </w:rPr>
        <w:t> </w:t>
      </w:r>
      <w:r>
        <w:rPr>
          <w:sz w:val="22"/>
        </w:rPr>
        <w:t>have</w:t>
      </w:r>
      <w:r>
        <w:rPr>
          <w:spacing w:val="-4"/>
          <w:sz w:val="22"/>
        </w:rPr>
        <w:t> </w:t>
      </w:r>
      <w:r>
        <w:rPr>
          <w:sz w:val="22"/>
        </w:rPr>
        <w:t>supervisory</w:t>
      </w:r>
      <w:r>
        <w:rPr>
          <w:spacing w:val="-4"/>
          <w:sz w:val="22"/>
        </w:rPr>
        <w:t> </w:t>
      </w:r>
      <w:r>
        <w:rPr>
          <w:sz w:val="22"/>
        </w:rPr>
        <w:t>approval </w:t>
      </w:r>
      <w:r>
        <w:rPr>
          <w:spacing w:val="-2"/>
          <w:sz w:val="22"/>
        </w:rPr>
        <w:t>7-1-10</w:t>
      </w:r>
      <w:r>
        <w:rPr>
          <w:sz w:val="22"/>
        </w:rPr>
        <w:tab/>
        <w:t>PT Memo #10-02</w:t>
      </w:r>
    </w:p>
    <w:p>
      <w:pPr>
        <w:spacing w:before="0"/>
        <w:ind w:left="1439" w:right="0" w:firstLine="0"/>
        <w:jc w:val="left"/>
        <w:rPr>
          <w:sz w:val="22"/>
        </w:rPr>
      </w:pPr>
      <w:r>
        <w:rPr>
          <w:sz w:val="22"/>
        </w:rPr>
        <w:t>Permanent,</w:t>
      </w:r>
      <w:r>
        <w:rPr>
          <w:spacing w:val="-11"/>
          <w:sz w:val="22"/>
        </w:rPr>
        <w:t> </w:t>
      </w:r>
      <w:r>
        <w:rPr>
          <w:sz w:val="22"/>
        </w:rPr>
        <w:t>removed</w:t>
      </w:r>
      <w:r>
        <w:rPr>
          <w:spacing w:val="-11"/>
          <w:sz w:val="22"/>
        </w:rPr>
        <w:t> </w:t>
      </w:r>
      <w:r>
        <w:rPr>
          <w:sz w:val="22"/>
        </w:rPr>
        <w:t>inaccurate</w:t>
      </w:r>
      <w:r>
        <w:rPr>
          <w:spacing w:val="-11"/>
          <w:sz w:val="22"/>
        </w:rPr>
        <w:t> </w:t>
      </w:r>
      <w:r>
        <w:rPr>
          <w:spacing w:val="-2"/>
          <w:sz w:val="22"/>
        </w:rPr>
        <w:t>reference.</w:t>
      </w:r>
    </w:p>
    <w:p>
      <w:pPr>
        <w:pStyle w:val="ListParagraph"/>
        <w:numPr>
          <w:ilvl w:val="2"/>
          <w:numId w:val="189"/>
        </w:numPr>
        <w:tabs>
          <w:tab w:pos="1439" w:val="left" w:leader="none"/>
        </w:tabs>
        <w:spacing w:line="240" w:lineRule="auto"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tabs>
          <w:tab w:pos="1439" w:val="left" w:leader="none"/>
        </w:tabs>
        <w:spacing w:before="1"/>
        <w:ind w:left="360" w:right="0" w:firstLine="0"/>
        <w:jc w:val="left"/>
        <w:rPr>
          <w:sz w:val="22"/>
        </w:rPr>
      </w:pPr>
      <w:r>
        <w:rPr>
          <w:spacing w:val="-2"/>
          <w:sz w:val="22"/>
        </w:rPr>
        <w:t>9-30-</w:t>
      </w:r>
      <w:r>
        <w:rPr>
          <w:spacing w:val="-5"/>
          <w:sz w:val="22"/>
        </w:rPr>
        <w:t>19</w:t>
      </w:r>
      <w:r>
        <w:rPr>
          <w:sz w:val="22"/>
        </w:rPr>
        <w:tab/>
        <w:t>Added</w:t>
      </w:r>
      <w:r>
        <w:rPr>
          <w:spacing w:val="-6"/>
          <w:sz w:val="22"/>
        </w:rPr>
        <w:t> </w:t>
      </w:r>
      <w:r>
        <w:rPr>
          <w:sz w:val="22"/>
        </w:rPr>
        <w:t>ITS</w:t>
      </w:r>
      <w:r>
        <w:rPr>
          <w:spacing w:val="-5"/>
          <w:sz w:val="22"/>
        </w:rPr>
        <w:t> #3.</w:t>
      </w:r>
    </w:p>
    <w:p>
      <w:pPr>
        <w:spacing w:after="0"/>
        <w:jc w:val="left"/>
        <w:rPr>
          <w:sz w:val="22"/>
        </w:rPr>
        <w:sectPr>
          <w:pgSz w:w="12240" w:h="15840"/>
          <w:pgMar w:top="1360" w:bottom="280" w:left="1080" w:right="720"/>
        </w:sectPr>
      </w:pPr>
    </w:p>
    <w:p>
      <w:pPr>
        <w:pStyle w:val="Heading2"/>
        <w:spacing w:line="208" w:lineRule="auto" w:before="96"/>
        <w:ind w:right="1673"/>
      </w:pPr>
      <w:bookmarkStart w:name="612:10-7-158.  Training for individuals " w:id="178"/>
      <w:bookmarkEnd w:id="178"/>
      <w:r>
        <w:rPr>
          <w:b w:val="0"/>
        </w:rPr>
      </w:r>
      <w:r>
        <w:rPr/>
        <w:t>612:10-7-158.</w:t>
      </w:r>
      <w:r>
        <w:rPr>
          <w:spacing w:val="40"/>
        </w:rPr>
        <w:t> </w:t>
      </w:r>
      <w:r>
        <w:rPr/>
        <w:t>Training</w:t>
      </w:r>
      <w:r>
        <w:rPr>
          <w:spacing w:val="-4"/>
        </w:rPr>
        <w:t> </w:t>
      </w:r>
      <w:r>
        <w:rPr/>
        <w:t>for</w:t>
      </w:r>
      <w:r>
        <w:rPr>
          <w:spacing w:val="-4"/>
        </w:rPr>
        <w:t> </w:t>
      </w:r>
      <w:r>
        <w:rPr/>
        <w:t>individuals</w:t>
      </w:r>
      <w:r>
        <w:rPr>
          <w:spacing w:val="-4"/>
        </w:rPr>
        <w:t> </w:t>
      </w:r>
      <w:r>
        <w:rPr/>
        <w:t>in</w:t>
      </w:r>
      <w:r>
        <w:rPr>
          <w:spacing w:val="-5"/>
        </w:rPr>
        <w:t> </w:t>
      </w:r>
      <w:r>
        <w:rPr/>
        <w:t>custody</w:t>
      </w:r>
      <w:r>
        <w:rPr>
          <w:spacing w:val="-4"/>
        </w:rPr>
        <w:t> </w:t>
      </w:r>
      <w:r>
        <w:rPr/>
        <w:t>of</w:t>
      </w:r>
      <w:r>
        <w:rPr>
          <w:spacing w:val="-3"/>
        </w:rPr>
        <w:t> </w:t>
      </w:r>
      <w:r>
        <w:rPr/>
        <w:t>the</w:t>
      </w:r>
      <w:r>
        <w:rPr>
          <w:spacing w:val="-4"/>
        </w:rPr>
        <w:t> </w:t>
      </w:r>
      <w:r>
        <w:rPr/>
        <w:t>Department</w:t>
      </w:r>
      <w:r>
        <w:rPr>
          <w:spacing w:val="-3"/>
        </w:rPr>
        <w:t> </w:t>
      </w:r>
      <w:r>
        <w:rPr/>
        <w:t>of </w:t>
      </w:r>
      <w:r>
        <w:rPr>
          <w:spacing w:val="-2"/>
        </w:rPr>
        <w:t>Corrections</w:t>
      </w:r>
    </w:p>
    <w:p>
      <w:pPr>
        <w:pStyle w:val="BodyText"/>
        <w:spacing w:line="208" w:lineRule="auto"/>
        <w:ind w:right="775" w:firstLine="432"/>
      </w:pPr>
      <w:r>
        <w:rPr/>
        <w:t>DVR</w:t>
      </w:r>
      <w:r>
        <w:rPr>
          <w:spacing w:val="-3"/>
        </w:rPr>
        <w:t> </w:t>
      </w:r>
      <w:r>
        <w:rPr/>
        <w:t>and</w:t>
      </w:r>
      <w:r>
        <w:rPr>
          <w:spacing w:val="-3"/>
        </w:rPr>
        <w:t> </w:t>
      </w:r>
      <w:r>
        <w:rPr/>
        <w:t>DSBVI</w:t>
      </w:r>
      <w:r>
        <w:rPr>
          <w:spacing w:val="-2"/>
        </w:rPr>
        <w:t> </w:t>
      </w:r>
      <w:r>
        <w:rPr/>
        <w:t>funds</w:t>
      </w:r>
      <w:r>
        <w:rPr>
          <w:spacing w:val="-2"/>
        </w:rPr>
        <w:t> </w:t>
      </w:r>
      <w:r>
        <w:rPr/>
        <w:t>are</w:t>
      </w:r>
      <w:r>
        <w:rPr>
          <w:spacing w:val="-3"/>
        </w:rPr>
        <w:t> </w:t>
      </w:r>
      <w:r>
        <w:rPr/>
        <w:t>not</w:t>
      </w:r>
      <w:r>
        <w:rPr>
          <w:spacing w:val="-2"/>
        </w:rPr>
        <w:t> </w:t>
      </w:r>
      <w:r>
        <w:rPr/>
        <w:t>used</w:t>
      </w:r>
      <w:r>
        <w:rPr>
          <w:spacing w:val="-3"/>
        </w:rPr>
        <w:t> </w:t>
      </w:r>
      <w:r>
        <w:rPr/>
        <w:t>to</w:t>
      </w:r>
      <w:r>
        <w:rPr>
          <w:spacing w:val="-3"/>
        </w:rPr>
        <w:t> </w:t>
      </w:r>
      <w:r>
        <w:rPr/>
        <w:t>defray</w:t>
      </w:r>
      <w:r>
        <w:rPr>
          <w:spacing w:val="-3"/>
        </w:rPr>
        <w:t> </w:t>
      </w:r>
      <w:r>
        <w:rPr/>
        <w:t>the</w:t>
      </w:r>
      <w:r>
        <w:rPr>
          <w:spacing w:val="-3"/>
        </w:rPr>
        <w:t> </w:t>
      </w:r>
      <w:r>
        <w:rPr/>
        <w:t>cost</w:t>
      </w:r>
      <w:r>
        <w:rPr>
          <w:spacing w:val="-4"/>
        </w:rPr>
        <w:t> </w:t>
      </w:r>
      <w:r>
        <w:rPr/>
        <w:t>of</w:t>
      </w:r>
      <w:r>
        <w:rPr>
          <w:spacing w:val="-2"/>
        </w:rPr>
        <w:t> </w:t>
      </w:r>
      <w:r>
        <w:rPr/>
        <w:t>training</w:t>
      </w:r>
      <w:r>
        <w:rPr>
          <w:spacing w:val="-3"/>
        </w:rPr>
        <w:t> </w:t>
      </w:r>
      <w:r>
        <w:rPr/>
        <w:t>for</w:t>
      </w:r>
      <w:r>
        <w:rPr>
          <w:spacing w:val="-2"/>
        </w:rPr>
        <w:t> </w:t>
      </w:r>
      <w:r>
        <w:rPr/>
        <w:t>individuals</w:t>
      </w:r>
      <w:r>
        <w:rPr>
          <w:spacing w:val="-3"/>
        </w:rPr>
        <w:t> </w:t>
      </w:r>
      <w:r>
        <w:rPr/>
        <w:t>in the custody of the Department of Corrections. </w:t>
      </w:r>
      <w:r>
        <w:rPr>
          <w:b/>
        </w:rPr>
        <w:t>1, 2 </w:t>
      </w:r>
      <w:r>
        <w:rPr/>
        <w:t>This does not apply to individuals who meet the criteria set forth within a joint memorandum of understanding between DRS and the Department of Corrections.</w:t>
      </w:r>
    </w:p>
    <w:p>
      <w:pPr>
        <w:pStyle w:val="BodyText"/>
        <w:spacing w:before="210"/>
      </w:pPr>
      <w:r>
        <w:rPr/>
        <w:t>Instructions</w:t>
      </w:r>
      <w:r>
        <w:rPr>
          <w:spacing w:val="-5"/>
        </w:rPr>
        <w:t> </w:t>
      </w:r>
      <w:r>
        <w:rPr/>
        <w:t>to</w:t>
      </w:r>
      <w:r>
        <w:rPr>
          <w:spacing w:val="-2"/>
        </w:rPr>
        <w:t> </w:t>
      </w:r>
      <w:r>
        <w:rPr>
          <w:spacing w:val="-4"/>
        </w:rPr>
        <w:t>Staff</w:t>
      </w:r>
    </w:p>
    <w:p>
      <w:pPr>
        <w:pStyle w:val="ListParagraph"/>
        <w:numPr>
          <w:ilvl w:val="0"/>
          <w:numId w:val="192"/>
        </w:numPr>
        <w:tabs>
          <w:tab w:pos="693" w:val="left" w:leader="none"/>
        </w:tabs>
        <w:spacing w:line="208" w:lineRule="auto" w:before="233" w:after="0"/>
        <w:ind w:left="360" w:right="1154" w:firstLine="0"/>
        <w:jc w:val="left"/>
        <w:rPr>
          <w:sz w:val="24"/>
        </w:rPr>
      </w:pPr>
      <w:r>
        <w:rPr>
          <w:sz w:val="24"/>
        </w:rPr>
        <w:t>The</w:t>
      </w:r>
      <w:r>
        <w:rPr>
          <w:spacing w:val="-5"/>
          <w:sz w:val="24"/>
        </w:rPr>
        <w:t> </w:t>
      </w:r>
      <w:r>
        <w:rPr>
          <w:sz w:val="24"/>
        </w:rPr>
        <w:t>Department</w:t>
      </w:r>
      <w:r>
        <w:rPr>
          <w:spacing w:val="-4"/>
          <w:sz w:val="24"/>
        </w:rPr>
        <w:t> </w:t>
      </w:r>
      <w:r>
        <w:rPr>
          <w:sz w:val="24"/>
        </w:rPr>
        <w:t>of</w:t>
      </w:r>
      <w:r>
        <w:rPr>
          <w:spacing w:val="-6"/>
          <w:sz w:val="24"/>
        </w:rPr>
        <w:t> </w:t>
      </w:r>
      <w:r>
        <w:rPr>
          <w:sz w:val="24"/>
        </w:rPr>
        <w:t>Corrections</w:t>
      </w:r>
      <w:r>
        <w:rPr>
          <w:spacing w:val="-5"/>
          <w:sz w:val="24"/>
        </w:rPr>
        <w:t> </w:t>
      </w:r>
      <w:r>
        <w:rPr>
          <w:sz w:val="24"/>
        </w:rPr>
        <w:t>has</w:t>
      </w:r>
      <w:r>
        <w:rPr>
          <w:spacing w:val="-5"/>
          <w:sz w:val="24"/>
        </w:rPr>
        <w:t> </w:t>
      </w:r>
      <w:r>
        <w:rPr>
          <w:sz w:val="24"/>
        </w:rPr>
        <w:t>cooperative</w:t>
      </w:r>
      <w:r>
        <w:rPr>
          <w:spacing w:val="-5"/>
          <w:sz w:val="24"/>
        </w:rPr>
        <w:t> </w:t>
      </w:r>
      <w:r>
        <w:rPr>
          <w:sz w:val="24"/>
        </w:rPr>
        <w:t>agreements</w:t>
      </w:r>
      <w:r>
        <w:rPr>
          <w:spacing w:val="-5"/>
          <w:sz w:val="24"/>
        </w:rPr>
        <w:t> </w:t>
      </w:r>
      <w:r>
        <w:rPr>
          <w:sz w:val="24"/>
        </w:rPr>
        <w:t>with</w:t>
      </w:r>
      <w:r>
        <w:rPr>
          <w:spacing w:val="-5"/>
          <w:sz w:val="24"/>
        </w:rPr>
        <w:t> </w:t>
      </w:r>
      <w:r>
        <w:rPr>
          <w:sz w:val="24"/>
        </w:rPr>
        <w:t>local</w:t>
      </w:r>
      <w:r>
        <w:rPr>
          <w:spacing w:val="-5"/>
          <w:sz w:val="24"/>
        </w:rPr>
        <w:t> </w:t>
      </w:r>
      <w:r>
        <w:rPr>
          <w:sz w:val="24"/>
        </w:rPr>
        <w:t>vocational technical schools specifically for training purposes.</w:t>
      </w:r>
    </w:p>
    <w:p>
      <w:pPr>
        <w:pStyle w:val="ListParagraph"/>
        <w:numPr>
          <w:ilvl w:val="0"/>
          <w:numId w:val="192"/>
        </w:numPr>
        <w:tabs>
          <w:tab w:pos="693" w:val="left" w:leader="none"/>
        </w:tabs>
        <w:spacing w:line="208" w:lineRule="auto" w:before="240" w:after="0"/>
        <w:ind w:left="360" w:right="1110" w:firstLine="0"/>
        <w:jc w:val="left"/>
        <w:rPr>
          <w:sz w:val="24"/>
        </w:rPr>
      </w:pPr>
      <w:r>
        <w:rPr>
          <w:sz w:val="24"/>
        </w:rPr>
        <w:t>An</w:t>
      </w:r>
      <w:r>
        <w:rPr>
          <w:spacing w:val="-3"/>
          <w:sz w:val="24"/>
        </w:rPr>
        <w:t> </w:t>
      </w:r>
      <w:r>
        <w:rPr>
          <w:sz w:val="24"/>
        </w:rPr>
        <w:t>individual</w:t>
      </w:r>
      <w:r>
        <w:rPr>
          <w:spacing w:val="-3"/>
          <w:sz w:val="24"/>
        </w:rPr>
        <w:t> </w:t>
      </w:r>
      <w:r>
        <w:rPr>
          <w:sz w:val="24"/>
        </w:rPr>
        <w:t>is</w:t>
      </w:r>
      <w:r>
        <w:rPr>
          <w:spacing w:val="-3"/>
          <w:sz w:val="24"/>
        </w:rPr>
        <w:t> </w:t>
      </w:r>
      <w:r>
        <w:rPr>
          <w:sz w:val="24"/>
        </w:rPr>
        <w:t>in</w:t>
      </w:r>
      <w:r>
        <w:rPr>
          <w:spacing w:val="-3"/>
          <w:sz w:val="24"/>
        </w:rPr>
        <w:t> </w:t>
      </w:r>
      <w:r>
        <w:rPr>
          <w:sz w:val="24"/>
        </w:rPr>
        <w:t>the</w:t>
      </w:r>
      <w:r>
        <w:rPr>
          <w:spacing w:val="-3"/>
          <w:sz w:val="24"/>
        </w:rPr>
        <w:t> </w:t>
      </w:r>
      <w:r>
        <w:rPr>
          <w:sz w:val="24"/>
        </w:rPr>
        <w:t>custody</w:t>
      </w:r>
      <w:r>
        <w:rPr>
          <w:spacing w:val="-3"/>
          <w:sz w:val="24"/>
        </w:rPr>
        <w:t> </w:t>
      </w:r>
      <w:r>
        <w:rPr>
          <w:sz w:val="24"/>
        </w:rPr>
        <w:t>of</w:t>
      </w:r>
      <w:r>
        <w:rPr>
          <w:spacing w:val="-2"/>
          <w:sz w:val="24"/>
        </w:rPr>
        <w:t> </w:t>
      </w:r>
      <w:r>
        <w:rPr>
          <w:sz w:val="24"/>
        </w:rPr>
        <w:t>the</w:t>
      </w:r>
      <w:r>
        <w:rPr>
          <w:spacing w:val="-3"/>
          <w:sz w:val="24"/>
        </w:rPr>
        <w:t> </w:t>
      </w:r>
      <w:r>
        <w:rPr>
          <w:sz w:val="24"/>
        </w:rPr>
        <w:t>Department</w:t>
      </w:r>
      <w:r>
        <w:rPr>
          <w:spacing w:val="-2"/>
          <w:sz w:val="24"/>
        </w:rPr>
        <w:t> </w:t>
      </w:r>
      <w:r>
        <w:rPr>
          <w:sz w:val="24"/>
        </w:rPr>
        <w:t>of</w:t>
      </w:r>
      <w:r>
        <w:rPr>
          <w:spacing w:val="-4"/>
          <w:sz w:val="24"/>
        </w:rPr>
        <w:t> </w:t>
      </w:r>
      <w:r>
        <w:rPr>
          <w:sz w:val="24"/>
        </w:rPr>
        <w:t>Corrections</w:t>
      </w:r>
      <w:r>
        <w:rPr>
          <w:spacing w:val="-2"/>
          <w:sz w:val="24"/>
        </w:rPr>
        <w:t> </w:t>
      </w:r>
      <w:r>
        <w:rPr>
          <w:sz w:val="24"/>
        </w:rPr>
        <w:t>when</w:t>
      </w:r>
      <w:r>
        <w:rPr>
          <w:spacing w:val="-3"/>
          <w:sz w:val="24"/>
        </w:rPr>
        <w:t> </w:t>
      </w:r>
      <w:r>
        <w:rPr>
          <w:sz w:val="24"/>
        </w:rPr>
        <w:t>in</w:t>
      </w:r>
      <w:r>
        <w:rPr>
          <w:spacing w:val="-3"/>
          <w:sz w:val="24"/>
        </w:rPr>
        <w:t> </w:t>
      </w:r>
      <w:r>
        <w:rPr>
          <w:sz w:val="24"/>
        </w:rPr>
        <w:t>one</w:t>
      </w:r>
      <w:r>
        <w:rPr>
          <w:spacing w:val="-3"/>
          <w:sz w:val="24"/>
        </w:rPr>
        <w:t> </w:t>
      </w:r>
      <w:r>
        <w:rPr>
          <w:sz w:val="24"/>
        </w:rPr>
        <w:t>of</w:t>
      </w:r>
      <w:r>
        <w:rPr>
          <w:spacing w:val="-2"/>
          <w:sz w:val="24"/>
        </w:rPr>
        <w:t> </w:t>
      </w:r>
      <w:r>
        <w:rPr>
          <w:sz w:val="24"/>
        </w:rPr>
        <w:t>its facilities, or under house arrest. Individuals who are on pardon or parole are not considered to</w:t>
      </w:r>
      <w:r>
        <w:rPr>
          <w:spacing w:val="-1"/>
          <w:sz w:val="24"/>
        </w:rPr>
        <w:t> </w:t>
      </w:r>
      <w:r>
        <w:rPr>
          <w:sz w:val="24"/>
        </w:rPr>
        <w:t>be</w:t>
      </w:r>
      <w:r>
        <w:rPr>
          <w:spacing w:val="-1"/>
          <w:sz w:val="24"/>
        </w:rPr>
        <w:t> </w:t>
      </w:r>
      <w:r>
        <w:rPr>
          <w:sz w:val="24"/>
        </w:rPr>
        <w:t>in</w:t>
      </w:r>
      <w:r>
        <w:rPr>
          <w:spacing w:val="-1"/>
          <w:sz w:val="24"/>
        </w:rPr>
        <w:t> </w:t>
      </w:r>
      <w:r>
        <w:rPr>
          <w:sz w:val="24"/>
        </w:rPr>
        <w:t>the</w:t>
      </w:r>
      <w:r>
        <w:rPr>
          <w:spacing w:val="-1"/>
          <w:sz w:val="24"/>
        </w:rPr>
        <w:t> </w:t>
      </w:r>
      <w:r>
        <w:rPr>
          <w:sz w:val="24"/>
        </w:rPr>
        <w:t>custody</w:t>
      </w:r>
      <w:r>
        <w:rPr>
          <w:spacing w:val="-1"/>
          <w:sz w:val="24"/>
        </w:rPr>
        <w:t> </w:t>
      </w:r>
      <w:r>
        <w:rPr>
          <w:sz w:val="24"/>
        </w:rPr>
        <w:t>of the</w:t>
      </w:r>
      <w:r>
        <w:rPr>
          <w:spacing w:val="-1"/>
          <w:sz w:val="24"/>
        </w:rPr>
        <w:t> </w:t>
      </w:r>
      <w:r>
        <w:rPr>
          <w:sz w:val="24"/>
        </w:rPr>
        <w:t>Department of</w:t>
      </w:r>
      <w:r>
        <w:rPr>
          <w:spacing w:val="-2"/>
          <w:sz w:val="24"/>
        </w:rPr>
        <w:t> </w:t>
      </w:r>
      <w:r>
        <w:rPr>
          <w:sz w:val="24"/>
        </w:rPr>
        <w:t>Corrections</w:t>
      </w:r>
      <w:r>
        <w:rPr>
          <w:spacing w:val="-1"/>
          <w:sz w:val="24"/>
        </w:rPr>
        <w:t> </w:t>
      </w:r>
      <w:r>
        <w:rPr>
          <w:sz w:val="24"/>
        </w:rPr>
        <w:t>for the</w:t>
      </w:r>
      <w:r>
        <w:rPr>
          <w:spacing w:val="-1"/>
          <w:sz w:val="24"/>
        </w:rPr>
        <w:t> </w:t>
      </w:r>
      <w:r>
        <w:rPr>
          <w:sz w:val="24"/>
        </w:rPr>
        <w:t>purposes</w:t>
      </w:r>
      <w:r>
        <w:rPr>
          <w:spacing w:val="-1"/>
          <w:sz w:val="24"/>
        </w:rPr>
        <w:t> </w:t>
      </w:r>
      <w:r>
        <w:rPr>
          <w:sz w:val="24"/>
        </w:rPr>
        <w:t>of this Section.</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7-1-99</w:t>
      </w:r>
      <w:r>
        <w:rPr>
          <w:sz w:val="22"/>
        </w:rPr>
        <w:tab/>
        <w:t>POL Memo #00-1</w:t>
      </w:r>
    </w:p>
    <w:p>
      <w:pPr>
        <w:spacing w:before="0"/>
        <w:ind w:left="1439" w:right="775" w:firstLine="0"/>
        <w:jc w:val="left"/>
        <w:rPr>
          <w:sz w:val="22"/>
        </w:rPr>
      </w:pPr>
      <w:r>
        <w:rPr>
          <w:sz w:val="22"/>
        </w:rPr>
        <w:t>Permanent,</w:t>
      </w:r>
      <w:r>
        <w:rPr>
          <w:spacing w:val="-5"/>
          <w:sz w:val="22"/>
        </w:rPr>
        <w:t> </w:t>
      </w:r>
      <w:r>
        <w:rPr>
          <w:sz w:val="22"/>
        </w:rPr>
        <w:t>updated</w:t>
      </w:r>
      <w:r>
        <w:rPr>
          <w:spacing w:val="-6"/>
          <w:sz w:val="22"/>
        </w:rPr>
        <w:t> </w:t>
      </w:r>
      <w:r>
        <w:rPr>
          <w:sz w:val="22"/>
        </w:rPr>
        <w:t>DVR/DVS;</w:t>
      </w:r>
      <w:r>
        <w:rPr>
          <w:spacing w:val="-6"/>
          <w:sz w:val="22"/>
        </w:rPr>
        <w:t> </w:t>
      </w:r>
      <w:r>
        <w:rPr>
          <w:sz w:val="22"/>
        </w:rPr>
        <w:t>cooperative</w:t>
      </w:r>
      <w:r>
        <w:rPr>
          <w:spacing w:val="-6"/>
          <w:sz w:val="22"/>
        </w:rPr>
        <w:t> </w:t>
      </w:r>
      <w:r>
        <w:rPr>
          <w:sz w:val="22"/>
        </w:rPr>
        <w:t>agreement</w:t>
      </w:r>
      <w:r>
        <w:rPr>
          <w:spacing w:val="-6"/>
          <w:sz w:val="22"/>
        </w:rPr>
        <w:t> </w:t>
      </w:r>
      <w:r>
        <w:rPr>
          <w:sz w:val="22"/>
        </w:rPr>
        <w:t>language</w:t>
      </w:r>
      <w:r>
        <w:rPr>
          <w:spacing w:val="-6"/>
          <w:sz w:val="22"/>
        </w:rPr>
        <w:t> </w:t>
      </w:r>
      <w:r>
        <w:rPr>
          <w:sz w:val="22"/>
        </w:rPr>
        <w:t>moved</w:t>
      </w:r>
      <w:r>
        <w:rPr>
          <w:spacing w:val="-6"/>
          <w:sz w:val="22"/>
        </w:rPr>
        <w:t> </w:t>
      </w:r>
      <w:r>
        <w:rPr>
          <w:sz w:val="22"/>
        </w:rPr>
        <w:t>to Instructions to Staff.</w:t>
      </w:r>
    </w:p>
    <w:p>
      <w:pPr>
        <w:tabs>
          <w:tab w:pos="1439" w:val="left" w:leader="none"/>
        </w:tabs>
        <w:spacing w:line="252" w:lineRule="exact" w:before="0"/>
        <w:ind w:left="359" w:right="0" w:firstLine="0"/>
        <w:jc w:val="left"/>
        <w:rPr>
          <w:sz w:val="22"/>
        </w:rPr>
      </w:pPr>
      <w:r>
        <w:rPr>
          <w:spacing w:val="-2"/>
          <w:sz w:val="22"/>
        </w:rPr>
        <w:t>7-1-</w:t>
      </w:r>
      <w:r>
        <w:rPr>
          <w:spacing w:val="-5"/>
          <w:sz w:val="22"/>
        </w:rPr>
        <w:t>11</w:t>
      </w:r>
      <w:r>
        <w:rPr>
          <w:sz w:val="22"/>
        </w:rPr>
        <w:tab/>
        <w:t>PT</w:t>
      </w:r>
      <w:r>
        <w:rPr>
          <w:spacing w:val="-8"/>
          <w:sz w:val="22"/>
        </w:rPr>
        <w:t> </w:t>
      </w:r>
      <w:r>
        <w:rPr>
          <w:sz w:val="22"/>
        </w:rPr>
        <w:t>Memo</w:t>
      </w:r>
      <w:r>
        <w:rPr>
          <w:spacing w:val="-8"/>
          <w:sz w:val="22"/>
        </w:rPr>
        <w:t> </w:t>
      </w:r>
      <w:r>
        <w:rPr>
          <w:sz w:val="22"/>
        </w:rPr>
        <w:t>#12-</w:t>
      </w:r>
      <w:r>
        <w:rPr>
          <w:spacing w:val="-5"/>
          <w:sz w:val="22"/>
        </w:rPr>
        <w:t>01</w:t>
      </w:r>
    </w:p>
    <w:p>
      <w:pPr>
        <w:spacing w:before="0"/>
        <w:ind w:left="1439" w:right="855" w:firstLine="0"/>
        <w:jc w:val="left"/>
        <w:rPr>
          <w:sz w:val="22"/>
        </w:rPr>
      </w:pPr>
      <w:r>
        <w:rPr>
          <w:sz w:val="22"/>
        </w:rPr>
        <w:t>Permanent,</w:t>
      </w:r>
      <w:r>
        <w:rPr>
          <w:spacing w:val="-4"/>
          <w:sz w:val="22"/>
        </w:rPr>
        <w:t> </w:t>
      </w:r>
      <w:r>
        <w:rPr>
          <w:sz w:val="22"/>
        </w:rPr>
        <w:t>removed</w:t>
      </w:r>
      <w:r>
        <w:rPr>
          <w:spacing w:val="-5"/>
          <w:sz w:val="22"/>
        </w:rPr>
        <w:t> </w:t>
      </w:r>
      <w:r>
        <w:rPr>
          <w:sz w:val="22"/>
        </w:rPr>
        <w:t>blanket</w:t>
      </w:r>
      <w:r>
        <w:rPr>
          <w:spacing w:val="-5"/>
          <w:sz w:val="22"/>
        </w:rPr>
        <w:t> </w:t>
      </w:r>
      <w:r>
        <w:rPr>
          <w:sz w:val="22"/>
        </w:rPr>
        <w:t>prohibitions</w:t>
      </w:r>
      <w:r>
        <w:rPr>
          <w:spacing w:val="-5"/>
          <w:sz w:val="22"/>
        </w:rPr>
        <w:t> </w:t>
      </w:r>
      <w:r>
        <w:rPr>
          <w:sz w:val="22"/>
        </w:rPr>
        <w:t>of</w:t>
      </w:r>
      <w:r>
        <w:rPr>
          <w:spacing w:val="-5"/>
          <w:sz w:val="22"/>
        </w:rPr>
        <w:t> </w:t>
      </w:r>
      <w:r>
        <w:rPr>
          <w:sz w:val="22"/>
        </w:rPr>
        <w:t>services</w:t>
      </w:r>
      <w:r>
        <w:rPr>
          <w:spacing w:val="-5"/>
          <w:sz w:val="22"/>
        </w:rPr>
        <w:t> </w:t>
      </w:r>
      <w:r>
        <w:rPr>
          <w:sz w:val="22"/>
        </w:rPr>
        <w:t>for</w:t>
      </w:r>
      <w:r>
        <w:rPr>
          <w:spacing w:val="-5"/>
          <w:sz w:val="22"/>
        </w:rPr>
        <w:t> </w:t>
      </w:r>
      <w:r>
        <w:rPr>
          <w:sz w:val="22"/>
        </w:rPr>
        <w:t>individuals</w:t>
      </w:r>
      <w:r>
        <w:rPr>
          <w:spacing w:val="-5"/>
          <w:sz w:val="22"/>
        </w:rPr>
        <w:t> </w:t>
      </w:r>
      <w:r>
        <w:rPr>
          <w:sz w:val="22"/>
        </w:rPr>
        <w:t>with</w:t>
      </w:r>
      <w:r>
        <w:rPr>
          <w:spacing w:val="-5"/>
          <w:sz w:val="22"/>
        </w:rPr>
        <w:t> </w:t>
      </w:r>
      <w:r>
        <w:rPr>
          <w:sz w:val="22"/>
        </w:rPr>
        <w:t>disabilities in DOC custody.</w:t>
      </w:r>
    </w:p>
    <w:p>
      <w:pPr>
        <w:tabs>
          <w:tab w:pos="1439" w:val="left" w:leader="none"/>
        </w:tabs>
        <w:spacing w:before="1"/>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spacing w:after="0"/>
        <w:jc w:val="left"/>
        <w:rPr>
          <w:sz w:val="22"/>
        </w:rPr>
        <w:sectPr>
          <w:pgSz w:w="12240" w:h="15840"/>
          <w:pgMar w:top="1340" w:bottom="280" w:left="1080" w:right="720"/>
        </w:sectPr>
      </w:pPr>
    </w:p>
    <w:p>
      <w:pPr>
        <w:pStyle w:val="Heading2"/>
      </w:pPr>
      <w:bookmarkStart w:name="612:10-7-161.  Public and private vocati" w:id="179"/>
      <w:bookmarkEnd w:id="179"/>
      <w:r>
        <w:rPr>
          <w:b w:val="0"/>
        </w:rPr>
      </w:r>
      <w:bookmarkStart w:name="_bookmark23" w:id="180"/>
      <w:bookmarkEnd w:id="180"/>
      <w:r>
        <w:rPr>
          <w:b w:val="0"/>
        </w:rPr>
      </w:r>
      <w:r>
        <w:rPr/>
        <w:t>612:10-7-161.</w:t>
      </w:r>
      <w:r>
        <w:rPr>
          <w:spacing w:val="56"/>
        </w:rPr>
        <w:t> </w:t>
      </w:r>
      <w:r>
        <w:rPr/>
        <w:t>Public</w:t>
      </w:r>
      <w:r>
        <w:rPr>
          <w:spacing w:val="-5"/>
        </w:rPr>
        <w:t> </w:t>
      </w:r>
      <w:r>
        <w:rPr/>
        <w:t>and</w:t>
      </w:r>
      <w:r>
        <w:rPr>
          <w:spacing w:val="-4"/>
        </w:rPr>
        <w:t> </w:t>
      </w:r>
      <w:r>
        <w:rPr/>
        <w:t>private</w:t>
      </w:r>
      <w:r>
        <w:rPr>
          <w:spacing w:val="-4"/>
        </w:rPr>
        <w:t> </w:t>
      </w:r>
      <w:r>
        <w:rPr/>
        <w:t>vocational</w:t>
      </w:r>
      <w:r>
        <w:rPr>
          <w:spacing w:val="-3"/>
        </w:rPr>
        <w:t> </w:t>
      </w:r>
      <w:r>
        <w:rPr>
          <w:spacing w:val="-2"/>
        </w:rPr>
        <w:t>schools</w:t>
      </w:r>
    </w:p>
    <w:p>
      <w:pPr>
        <w:pStyle w:val="ListParagraph"/>
        <w:numPr>
          <w:ilvl w:val="0"/>
          <w:numId w:val="193"/>
        </w:numPr>
        <w:tabs>
          <w:tab w:pos="786" w:val="left" w:leader="none"/>
        </w:tabs>
        <w:spacing w:line="208" w:lineRule="auto" w:before="233" w:after="0"/>
        <w:ind w:left="360" w:right="751" w:firstLine="0"/>
        <w:jc w:val="left"/>
        <w:rPr>
          <w:b/>
          <w:sz w:val="24"/>
        </w:rPr>
      </w:pPr>
      <w:r>
        <w:rPr>
          <w:sz w:val="24"/>
        </w:rPr>
        <w:t>Client</w:t>
      </w:r>
      <w:r>
        <w:rPr>
          <w:spacing w:val="-3"/>
          <w:sz w:val="24"/>
        </w:rPr>
        <w:t> </w:t>
      </w:r>
      <w:r>
        <w:rPr>
          <w:sz w:val="24"/>
        </w:rPr>
        <w:t>training</w:t>
      </w:r>
      <w:r>
        <w:rPr>
          <w:spacing w:val="-4"/>
          <w:sz w:val="24"/>
        </w:rPr>
        <w:t> </w:t>
      </w:r>
      <w:r>
        <w:rPr>
          <w:sz w:val="24"/>
        </w:rPr>
        <w:t>may</w:t>
      </w:r>
      <w:r>
        <w:rPr>
          <w:spacing w:val="-4"/>
          <w:sz w:val="24"/>
        </w:rPr>
        <w:t> </w:t>
      </w:r>
      <w:r>
        <w:rPr>
          <w:sz w:val="24"/>
        </w:rPr>
        <w:t>be</w:t>
      </w:r>
      <w:r>
        <w:rPr>
          <w:spacing w:val="-4"/>
          <w:sz w:val="24"/>
        </w:rPr>
        <w:t> </w:t>
      </w:r>
      <w:r>
        <w:rPr>
          <w:sz w:val="24"/>
        </w:rPr>
        <w:t>purchased</w:t>
      </w:r>
      <w:r>
        <w:rPr>
          <w:spacing w:val="-4"/>
          <w:sz w:val="24"/>
        </w:rPr>
        <w:t> </w:t>
      </w:r>
      <w:r>
        <w:rPr>
          <w:sz w:val="24"/>
        </w:rPr>
        <w:t>from</w:t>
      </w:r>
      <w:r>
        <w:rPr>
          <w:spacing w:val="-5"/>
          <w:sz w:val="24"/>
        </w:rPr>
        <w:t> </w:t>
      </w:r>
      <w:r>
        <w:rPr>
          <w:sz w:val="24"/>
        </w:rPr>
        <w:t>public</w:t>
      </w:r>
      <w:r>
        <w:rPr>
          <w:spacing w:val="-4"/>
          <w:sz w:val="24"/>
        </w:rPr>
        <w:t> </w:t>
      </w:r>
      <w:r>
        <w:rPr>
          <w:sz w:val="24"/>
        </w:rPr>
        <w:t>or</w:t>
      </w:r>
      <w:r>
        <w:rPr>
          <w:spacing w:val="-3"/>
          <w:sz w:val="24"/>
        </w:rPr>
        <w:t> </w:t>
      </w:r>
      <w:r>
        <w:rPr>
          <w:sz w:val="24"/>
        </w:rPr>
        <w:t>private</w:t>
      </w:r>
      <w:r>
        <w:rPr>
          <w:spacing w:val="-4"/>
          <w:sz w:val="24"/>
        </w:rPr>
        <w:t> </w:t>
      </w:r>
      <w:r>
        <w:rPr>
          <w:sz w:val="24"/>
        </w:rPr>
        <w:t>vocational</w:t>
      </w:r>
      <w:r>
        <w:rPr>
          <w:spacing w:val="-4"/>
          <w:sz w:val="24"/>
        </w:rPr>
        <w:t> </w:t>
      </w:r>
      <w:r>
        <w:rPr>
          <w:sz w:val="24"/>
        </w:rPr>
        <w:t>schools</w:t>
      </w:r>
      <w:r>
        <w:rPr>
          <w:spacing w:val="-4"/>
          <w:sz w:val="24"/>
        </w:rPr>
        <w:t> </w:t>
      </w:r>
      <w:r>
        <w:rPr>
          <w:sz w:val="24"/>
        </w:rPr>
        <w:t>that</w:t>
      </w:r>
      <w:r>
        <w:rPr>
          <w:spacing w:val="-3"/>
          <w:sz w:val="24"/>
        </w:rPr>
        <w:t> </w:t>
      </w:r>
      <w:r>
        <w:rPr>
          <w:sz w:val="24"/>
        </w:rPr>
        <w:t>have a valid purchasing agreement with DRS, after use of available comparable benefits</w:t>
      </w:r>
      <w:r>
        <w:rPr>
          <w:spacing w:val="40"/>
          <w:sz w:val="24"/>
        </w:rPr>
        <w:t> </w:t>
      </w:r>
      <w:r>
        <w:rPr>
          <w:sz w:val="24"/>
        </w:rPr>
        <w:t>such as PELL grants and other federal/state student aid (excluding merit awards). </w:t>
      </w:r>
      <w:r>
        <w:rPr>
          <w:b/>
          <w:sz w:val="24"/>
        </w:rPr>
        <w:t>1</w:t>
      </w:r>
    </w:p>
    <w:p>
      <w:pPr>
        <w:pStyle w:val="ListParagraph"/>
        <w:numPr>
          <w:ilvl w:val="0"/>
          <w:numId w:val="193"/>
        </w:numPr>
        <w:tabs>
          <w:tab w:pos="786" w:val="left" w:leader="none"/>
        </w:tabs>
        <w:spacing w:line="208" w:lineRule="auto" w:before="240" w:after="0"/>
        <w:ind w:left="360" w:right="807" w:firstLine="0"/>
        <w:jc w:val="left"/>
        <w:rPr>
          <w:sz w:val="24"/>
        </w:rPr>
      </w:pPr>
      <w:r>
        <w:rPr>
          <w:sz w:val="24"/>
        </w:rPr>
        <w:t>Privately-owned vocational schools must be accredited or licensed through the appropriate state board, if applicable, before a purchasing agreement with DRS can be finalized.</w:t>
      </w:r>
      <w:r>
        <w:rPr>
          <w:spacing w:val="-3"/>
          <w:sz w:val="24"/>
        </w:rPr>
        <w:t> </w:t>
      </w:r>
      <w:r>
        <w:rPr>
          <w:sz w:val="24"/>
        </w:rPr>
        <w:t>Tuition</w:t>
      </w:r>
      <w:r>
        <w:rPr>
          <w:spacing w:val="-4"/>
          <w:sz w:val="24"/>
        </w:rPr>
        <w:t> </w:t>
      </w:r>
      <w:r>
        <w:rPr>
          <w:sz w:val="24"/>
        </w:rPr>
        <w:t>at</w:t>
      </w:r>
      <w:r>
        <w:rPr>
          <w:spacing w:val="-3"/>
          <w:sz w:val="24"/>
        </w:rPr>
        <w:t> </w:t>
      </w:r>
      <w:r>
        <w:rPr>
          <w:sz w:val="24"/>
        </w:rPr>
        <w:t>privately</w:t>
      </w:r>
      <w:r>
        <w:rPr>
          <w:spacing w:val="-4"/>
          <w:sz w:val="24"/>
        </w:rPr>
        <w:t> </w:t>
      </w:r>
      <w:r>
        <w:rPr>
          <w:sz w:val="24"/>
        </w:rPr>
        <w:t>owned</w:t>
      </w:r>
      <w:r>
        <w:rPr>
          <w:spacing w:val="-4"/>
          <w:sz w:val="24"/>
        </w:rPr>
        <w:t> </w:t>
      </w:r>
      <w:r>
        <w:rPr>
          <w:sz w:val="24"/>
        </w:rPr>
        <w:t>vocational</w:t>
      </w:r>
      <w:r>
        <w:rPr>
          <w:spacing w:val="-4"/>
          <w:sz w:val="24"/>
        </w:rPr>
        <w:t> </w:t>
      </w:r>
      <w:r>
        <w:rPr>
          <w:sz w:val="24"/>
        </w:rPr>
        <w:t>schools</w:t>
      </w:r>
      <w:r>
        <w:rPr>
          <w:spacing w:val="-3"/>
          <w:sz w:val="24"/>
        </w:rPr>
        <w:t> </w:t>
      </w:r>
      <w:r>
        <w:rPr>
          <w:sz w:val="24"/>
        </w:rPr>
        <w:t>will</w:t>
      </w:r>
      <w:r>
        <w:rPr>
          <w:spacing w:val="-4"/>
          <w:sz w:val="24"/>
        </w:rPr>
        <w:t> </w:t>
      </w:r>
      <w:r>
        <w:rPr>
          <w:sz w:val="24"/>
        </w:rPr>
        <w:t>be</w:t>
      </w:r>
      <w:r>
        <w:rPr>
          <w:spacing w:val="-4"/>
          <w:sz w:val="24"/>
        </w:rPr>
        <w:t> </w:t>
      </w:r>
      <w:r>
        <w:rPr>
          <w:sz w:val="24"/>
        </w:rPr>
        <w:t>paid</w:t>
      </w:r>
      <w:r>
        <w:rPr>
          <w:spacing w:val="-3"/>
          <w:sz w:val="24"/>
        </w:rPr>
        <w:t> </w:t>
      </w:r>
      <w:r>
        <w:rPr>
          <w:sz w:val="24"/>
        </w:rPr>
        <w:t>at</w:t>
      </w:r>
      <w:r>
        <w:rPr>
          <w:spacing w:val="-3"/>
          <w:sz w:val="24"/>
        </w:rPr>
        <w:t> </w:t>
      </w:r>
      <w:r>
        <w:rPr>
          <w:sz w:val="24"/>
        </w:rPr>
        <w:t>rates</w:t>
      </w:r>
      <w:r>
        <w:rPr>
          <w:spacing w:val="-4"/>
          <w:sz w:val="24"/>
        </w:rPr>
        <w:t> </w:t>
      </w:r>
      <w:r>
        <w:rPr>
          <w:sz w:val="24"/>
        </w:rPr>
        <w:t>approved</w:t>
      </w:r>
      <w:r>
        <w:rPr>
          <w:spacing w:val="-5"/>
          <w:sz w:val="24"/>
        </w:rPr>
        <w:t> </w:t>
      </w:r>
      <w:r>
        <w:rPr>
          <w:sz w:val="24"/>
        </w:rPr>
        <w:t>by the Oklahoma Commission for Rehabilitation Services sitting as the Rates and Standards Committee. The authorized rate will remain constant during the contract </w:t>
      </w:r>
      <w:r>
        <w:rPr>
          <w:spacing w:val="-2"/>
          <w:sz w:val="24"/>
        </w:rPr>
        <w:t>period.</w:t>
      </w:r>
    </w:p>
    <w:p>
      <w:pPr>
        <w:pStyle w:val="ListParagraph"/>
        <w:numPr>
          <w:ilvl w:val="0"/>
          <w:numId w:val="193"/>
        </w:numPr>
        <w:tabs>
          <w:tab w:pos="773" w:val="left" w:leader="none"/>
        </w:tabs>
        <w:spacing w:line="208" w:lineRule="auto" w:before="239" w:after="0"/>
        <w:ind w:left="360" w:right="832" w:firstLine="0"/>
        <w:jc w:val="left"/>
        <w:rPr>
          <w:sz w:val="24"/>
        </w:rPr>
      </w:pPr>
      <w:r>
        <w:rPr>
          <w:sz w:val="24"/>
        </w:rPr>
        <w:t>Continued</w:t>
      </w:r>
      <w:r>
        <w:rPr>
          <w:spacing w:val="-3"/>
          <w:sz w:val="24"/>
        </w:rPr>
        <w:t> </w:t>
      </w:r>
      <w:r>
        <w:rPr>
          <w:sz w:val="24"/>
        </w:rPr>
        <w:t>eligibility</w:t>
      </w:r>
      <w:r>
        <w:rPr>
          <w:spacing w:val="-3"/>
          <w:sz w:val="24"/>
        </w:rPr>
        <w:t> </w:t>
      </w:r>
      <w:r>
        <w:rPr>
          <w:sz w:val="24"/>
        </w:rPr>
        <w:t>of</w:t>
      </w:r>
      <w:r>
        <w:rPr>
          <w:spacing w:val="-4"/>
          <w:sz w:val="24"/>
        </w:rPr>
        <w:t> </w:t>
      </w:r>
      <w:r>
        <w:rPr>
          <w:sz w:val="24"/>
        </w:rPr>
        <w:t>a</w:t>
      </w:r>
      <w:r>
        <w:rPr>
          <w:spacing w:val="-3"/>
          <w:sz w:val="24"/>
        </w:rPr>
        <w:t> </w:t>
      </w:r>
      <w:r>
        <w:rPr>
          <w:sz w:val="24"/>
        </w:rPr>
        <w:t>client</w:t>
      </w:r>
      <w:r>
        <w:rPr>
          <w:spacing w:val="-2"/>
          <w:sz w:val="24"/>
        </w:rPr>
        <w:t> </w:t>
      </w:r>
      <w:r>
        <w:rPr>
          <w:sz w:val="24"/>
        </w:rPr>
        <w:t>in</w:t>
      </w:r>
      <w:r>
        <w:rPr>
          <w:spacing w:val="-3"/>
          <w:sz w:val="24"/>
        </w:rPr>
        <w:t> </w:t>
      </w:r>
      <w:r>
        <w:rPr>
          <w:sz w:val="24"/>
        </w:rPr>
        <w:t>training</w:t>
      </w:r>
      <w:r>
        <w:rPr>
          <w:spacing w:val="-3"/>
          <w:sz w:val="24"/>
        </w:rPr>
        <w:t> </w:t>
      </w:r>
      <w:r>
        <w:rPr>
          <w:sz w:val="24"/>
        </w:rPr>
        <w:t>at</w:t>
      </w:r>
      <w:r>
        <w:rPr>
          <w:spacing w:val="-2"/>
          <w:sz w:val="24"/>
        </w:rPr>
        <w:t> </w:t>
      </w:r>
      <w:r>
        <w:rPr>
          <w:sz w:val="24"/>
        </w:rPr>
        <w:t>a</w:t>
      </w:r>
      <w:r>
        <w:rPr>
          <w:spacing w:val="-3"/>
          <w:sz w:val="24"/>
        </w:rPr>
        <w:t> </w:t>
      </w:r>
      <w:r>
        <w:rPr>
          <w:sz w:val="24"/>
        </w:rPr>
        <w:t>vocational</w:t>
      </w:r>
      <w:r>
        <w:rPr>
          <w:spacing w:val="-3"/>
          <w:sz w:val="24"/>
        </w:rPr>
        <w:t> </w:t>
      </w:r>
      <w:r>
        <w:rPr>
          <w:sz w:val="24"/>
        </w:rPr>
        <w:t>school</w:t>
      </w:r>
      <w:r>
        <w:rPr>
          <w:spacing w:val="-2"/>
          <w:sz w:val="24"/>
        </w:rPr>
        <w:t> </w:t>
      </w:r>
      <w:r>
        <w:rPr>
          <w:sz w:val="24"/>
        </w:rPr>
        <w:t>will</w:t>
      </w:r>
      <w:r>
        <w:rPr>
          <w:spacing w:val="-3"/>
          <w:sz w:val="24"/>
        </w:rPr>
        <w:t> </w:t>
      </w:r>
      <w:r>
        <w:rPr>
          <w:sz w:val="24"/>
        </w:rPr>
        <w:t>be</w:t>
      </w:r>
      <w:r>
        <w:rPr>
          <w:spacing w:val="-3"/>
          <w:sz w:val="24"/>
        </w:rPr>
        <w:t> </w:t>
      </w:r>
      <w:r>
        <w:rPr>
          <w:sz w:val="24"/>
        </w:rPr>
        <w:t>based</w:t>
      </w:r>
      <w:r>
        <w:rPr>
          <w:spacing w:val="-3"/>
          <w:sz w:val="24"/>
        </w:rPr>
        <w:t> </w:t>
      </w:r>
      <w:r>
        <w:rPr>
          <w:sz w:val="24"/>
        </w:rPr>
        <w:t>on</w:t>
      </w:r>
      <w:r>
        <w:rPr>
          <w:spacing w:val="-3"/>
          <w:sz w:val="24"/>
        </w:rPr>
        <w:t> </w:t>
      </w:r>
      <w:r>
        <w:rPr>
          <w:sz w:val="24"/>
        </w:rPr>
        <w:t>the client's performance in respect to grades, progress and attendance. The minimum standards</w:t>
      </w:r>
      <w:r>
        <w:rPr>
          <w:spacing w:val="-1"/>
          <w:sz w:val="24"/>
        </w:rPr>
        <w:t> </w:t>
      </w:r>
      <w:r>
        <w:rPr>
          <w:sz w:val="24"/>
        </w:rPr>
        <w:t>used</w:t>
      </w:r>
      <w:r>
        <w:rPr>
          <w:spacing w:val="-1"/>
          <w:sz w:val="24"/>
        </w:rPr>
        <w:t> </w:t>
      </w:r>
      <w:r>
        <w:rPr>
          <w:sz w:val="24"/>
        </w:rPr>
        <w:t>by</w:t>
      </w:r>
      <w:r>
        <w:rPr>
          <w:spacing w:val="-1"/>
          <w:sz w:val="24"/>
        </w:rPr>
        <w:t> </w:t>
      </w:r>
      <w:r>
        <w:rPr>
          <w:sz w:val="24"/>
        </w:rPr>
        <w:t>the</w:t>
      </w:r>
      <w:r>
        <w:rPr>
          <w:spacing w:val="-1"/>
          <w:sz w:val="24"/>
        </w:rPr>
        <w:t> </w:t>
      </w:r>
      <w:r>
        <w:rPr>
          <w:sz w:val="24"/>
        </w:rPr>
        <w:t>training</w:t>
      </w:r>
      <w:r>
        <w:rPr>
          <w:spacing w:val="-1"/>
          <w:sz w:val="24"/>
        </w:rPr>
        <w:t> </w:t>
      </w:r>
      <w:r>
        <w:rPr>
          <w:sz w:val="24"/>
        </w:rPr>
        <w:t>facility</w:t>
      </w:r>
      <w:r>
        <w:rPr>
          <w:spacing w:val="-1"/>
          <w:sz w:val="24"/>
        </w:rPr>
        <w:t> </w:t>
      </w:r>
      <w:r>
        <w:rPr>
          <w:sz w:val="24"/>
        </w:rPr>
        <w:t>for satisfactory</w:t>
      </w:r>
      <w:r>
        <w:rPr>
          <w:spacing w:val="-2"/>
          <w:sz w:val="24"/>
        </w:rPr>
        <w:t> </w:t>
      </w:r>
      <w:r>
        <w:rPr>
          <w:sz w:val="24"/>
        </w:rPr>
        <w:t>progress</w:t>
      </w:r>
      <w:r>
        <w:rPr>
          <w:spacing w:val="-1"/>
          <w:sz w:val="24"/>
        </w:rPr>
        <w:t> </w:t>
      </w:r>
      <w:r>
        <w:rPr>
          <w:sz w:val="24"/>
        </w:rPr>
        <w:t>in</w:t>
      </w:r>
      <w:r>
        <w:rPr>
          <w:spacing w:val="-1"/>
          <w:sz w:val="24"/>
        </w:rPr>
        <w:t> </w:t>
      </w:r>
      <w:r>
        <w:rPr>
          <w:sz w:val="24"/>
        </w:rPr>
        <w:t>respect to</w:t>
      </w:r>
      <w:r>
        <w:rPr>
          <w:spacing w:val="-4"/>
          <w:sz w:val="24"/>
        </w:rPr>
        <w:t> </w:t>
      </w:r>
      <w:r>
        <w:rPr>
          <w:sz w:val="24"/>
        </w:rPr>
        <w:t>grades</w:t>
      </w:r>
      <w:r>
        <w:rPr>
          <w:spacing w:val="-1"/>
          <w:sz w:val="24"/>
        </w:rPr>
        <w:t> </w:t>
      </w:r>
      <w:r>
        <w:rPr>
          <w:sz w:val="24"/>
        </w:rPr>
        <w:t>and attendance will be utilized by DVR and DSBVI staff in determining the progress of the </w:t>
      </w:r>
      <w:r>
        <w:rPr>
          <w:spacing w:val="-2"/>
          <w:sz w:val="24"/>
        </w:rPr>
        <w:t>client.</w:t>
      </w:r>
    </w:p>
    <w:p>
      <w:pPr>
        <w:pStyle w:val="ListParagraph"/>
        <w:numPr>
          <w:ilvl w:val="1"/>
          <w:numId w:val="193"/>
        </w:numPr>
        <w:tabs>
          <w:tab w:pos="1218" w:val="left" w:leader="none"/>
        </w:tabs>
        <w:spacing w:line="208" w:lineRule="auto" w:before="239" w:after="0"/>
        <w:ind w:left="792" w:right="920" w:firstLine="0"/>
        <w:jc w:val="left"/>
        <w:rPr>
          <w:sz w:val="24"/>
        </w:rPr>
      </w:pPr>
      <w:r>
        <w:rPr>
          <w:sz w:val="24"/>
        </w:rPr>
        <w:t>DVR</w:t>
      </w:r>
      <w:r>
        <w:rPr>
          <w:spacing w:val="-5"/>
          <w:sz w:val="24"/>
        </w:rPr>
        <w:t> </w:t>
      </w:r>
      <w:r>
        <w:rPr>
          <w:sz w:val="24"/>
        </w:rPr>
        <w:t>and</w:t>
      </w:r>
      <w:r>
        <w:rPr>
          <w:spacing w:val="-5"/>
          <w:sz w:val="24"/>
        </w:rPr>
        <w:t> </w:t>
      </w:r>
      <w:r>
        <w:rPr>
          <w:sz w:val="24"/>
        </w:rPr>
        <w:t>DSBVI</w:t>
      </w:r>
      <w:r>
        <w:rPr>
          <w:spacing w:val="-4"/>
          <w:sz w:val="24"/>
        </w:rPr>
        <w:t> </w:t>
      </w:r>
      <w:r>
        <w:rPr>
          <w:sz w:val="24"/>
        </w:rPr>
        <w:t>sponsored</w:t>
      </w:r>
      <w:r>
        <w:rPr>
          <w:spacing w:val="-4"/>
          <w:sz w:val="24"/>
        </w:rPr>
        <w:t> </w:t>
      </w:r>
      <w:r>
        <w:rPr>
          <w:sz w:val="24"/>
        </w:rPr>
        <w:t>clients</w:t>
      </w:r>
      <w:r>
        <w:rPr>
          <w:spacing w:val="-5"/>
          <w:sz w:val="24"/>
        </w:rPr>
        <w:t> </w:t>
      </w:r>
      <w:r>
        <w:rPr>
          <w:sz w:val="24"/>
        </w:rPr>
        <w:t>attending</w:t>
      </w:r>
      <w:r>
        <w:rPr>
          <w:spacing w:val="-5"/>
          <w:sz w:val="24"/>
        </w:rPr>
        <w:t> </w:t>
      </w:r>
      <w:r>
        <w:rPr>
          <w:sz w:val="24"/>
        </w:rPr>
        <w:t>vocational</w:t>
      </w:r>
      <w:r>
        <w:rPr>
          <w:spacing w:val="-5"/>
          <w:sz w:val="24"/>
        </w:rPr>
        <w:t> </w:t>
      </w:r>
      <w:r>
        <w:rPr>
          <w:sz w:val="24"/>
        </w:rPr>
        <w:t>technical</w:t>
      </w:r>
      <w:r>
        <w:rPr>
          <w:spacing w:val="-5"/>
          <w:sz w:val="24"/>
        </w:rPr>
        <w:t> </w:t>
      </w:r>
      <w:r>
        <w:rPr>
          <w:sz w:val="24"/>
        </w:rPr>
        <w:t>schools</w:t>
      </w:r>
      <w:r>
        <w:rPr>
          <w:spacing w:val="-4"/>
          <w:sz w:val="24"/>
        </w:rPr>
        <w:t> </w:t>
      </w:r>
      <w:r>
        <w:rPr>
          <w:sz w:val="24"/>
        </w:rPr>
        <w:t>who withdraw or fail course work will be required to pay for like credit or clock hours during the following enrollment period.</w:t>
      </w:r>
    </w:p>
    <w:p>
      <w:pPr>
        <w:pStyle w:val="ListParagraph"/>
        <w:numPr>
          <w:ilvl w:val="1"/>
          <w:numId w:val="193"/>
        </w:numPr>
        <w:tabs>
          <w:tab w:pos="1218" w:val="left" w:leader="none"/>
        </w:tabs>
        <w:spacing w:line="208" w:lineRule="auto" w:before="240" w:after="0"/>
        <w:ind w:left="792" w:right="1095" w:firstLine="0"/>
        <w:jc w:val="left"/>
        <w:rPr>
          <w:sz w:val="24"/>
        </w:rPr>
      </w:pPr>
      <w:r>
        <w:rPr>
          <w:sz w:val="24"/>
        </w:rPr>
        <w:t>A client who fails to meet agency sponsorship guidelines for training at vocational</w:t>
      </w:r>
      <w:r>
        <w:rPr>
          <w:spacing w:val="-4"/>
          <w:sz w:val="24"/>
        </w:rPr>
        <w:t> </w:t>
      </w:r>
      <w:r>
        <w:rPr>
          <w:sz w:val="24"/>
        </w:rPr>
        <w:t>technical</w:t>
      </w:r>
      <w:r>
        <w:rPr>
          <w:spacing w:val="-4"/>
          <w:sz w:val="24"/>
        </w:rPr>
        <w:t> </w:t>
      </w:r>
      <w:r>
        <w:rPr>
          <w:sz w:val="24"/>
        </w:rPr>
        <w:t>schools</w:t>
      </w:r>
      <w:r>
        <w:rPr>
          <w:spacing w:val="-4"/>
          <w:sz w:val="24"/>
        </w:rPr>
        <w:t> </w:t>
      </w:r>
      <w:r>
        <w:rPr>
          <w:sz w:val="24"/>
        </w:rPr>
        <w:t>may</w:t>
      </w:r>
      <w:r>
        <w:rPr>
          <w:spacing w:val="-4"/>
          <w:sz w:val="24"/>
        </w:rPr>
        <w:t> </w:t>
      </w:r>
      <w:r>
        <w:rPr>
          <w:sz w:val="24"/>
        </w:rPr>
        <w:t>continue</w:t>
      </w:r>
      <w:r>
        <w:rPr>
          <w:spacing w:val="-4"/>
          <w:sz w:val="24"/>
        </w:rPr>
        <w:t> </w:t>
      </w:r>
      <w:r>
        <w:rPr>
          <w:sz w:val="24"/>
        </w:rPr>
        <w:t>to</w:t>
      </w:r>
      <w:r>
        <w:rPr>
          <w:spacing w:val="-4"/>
          <w:sz w:val="24"/>
        </w:rPr>
        <w:t> </w:t>
      </w:r>
      <w:r>
        <w:rPr>
          <w:sz w:val="24"/>
        </w:rPr>
        <w:t>receive</w:t>
      </w:r>
      <w:r>
        <w:rPr>
          <w:spacing w:val="-4"/>
          <w:sz w:val="24"/>
        </w:rPr>
        <w:t> </w:t>
      </w:r>
      <w:r>
        <w:rPr>
          <w:sz w:val="24"/>
        </w:rPr>
        <w:t>services</w:t>
      </w:r>
      <w:r>
        <w:rPr>
          <w:spacing w:val="-4"/>
          <w:sz w:val="24"/>
        </w:rPr>
        <w:t> </w:t>
      </w:r>
      <w:r>
        <w:rPr>
          <w:sz w:val="24"/>
        </w:rPr>
        <w:t>not</w:t>
      </w:r>
      <w:r>
        <w:rPr>
          <w:spacing w:val="-3"/>
          <w:sz w:val="24"/>
        </w:rPr>
        <w:t> </w:t>
      </w:r>
      <w:r>
        <w:rPr>
          <w:sz w:val="24"/>
        </w:rPr>
        <w:t>requiring</w:t>
      </w:r>
      <w:r>
        <w:rPr>
          <w:spacing w:val="-4"/>
          <w:sz w:val="24"/>
        </w:rPr>
        <w:t> </w:t>
      </w:r>
      <w:r>
        <w:rPr>
          <w:sz w:val="24"/>
        </w:rPr>
        <w:t>client participation in cost of services.</w:t>
      </w:r>
    </w:p>
    <w:p>
      <w:pPr>
        <w:pStyle w:val="ListParagraph"/>
        <w:numPr>
          <w:ilvl w:val="1"/>
          <w:numId w:val="193"/>
        </w:numPr>
        <w:tabs>
          <w:tab w:pos="1218" w:val="left" w:leader="none"/>
        </w:tabs>
        <w:spacing w:line="208" w:lineRule="auto" w:before="240" w:after="0"/>
        <w:ind w:left="792" w:right="880" w:firstLine="0"/>
        <w:jc w:val="left"/>
        <w:rPr>
          <w:sz w:val="24"/>
        </w:rPr>
      </w:pPr>
      <w:r>
        <w:rPr>
          <w:sz w:val="24"/>
        </w:rPr>
        <w:t>A</w:t>
      </w:r>
      <w:r>
        <w:rPr>
          <w:spacing w:val="-4"/>
          <w:sz w:val="24"/>
        </w:rPr>
        <w:t> </w:t>
      </w:r>
      <w:r>
        <w:rPr>
          <w:sz w:val="24"/>
        </w:rPr>
        <w:t>client</w:t>
      </w:r>
      <w:r>
        <w:rPr>
          <w:spacing w:val="-5"/>
          <w:sz w:val="24"/>
        </w:rPr>
        <w:t> </w:t>
      </w:r>
      <w:r>
        <w:rPr>
          <w:sz w:val="24"/>
        </w:rPr>
        <w:t>failing</w:t>
      </w:r>
      <w:r>
        <w:rPr>
          <w:spacing w:val="-4"/>
          <w:sz w:val="24"/>
        </w:rPr>
        <w:t> </w:t>
      </w:r>
      <w:r>
        <w:rPr>
          <w:sz w:val="24"/>
        </w:rPr>
        <w:t>to</w:t>
      </w:r>
      <w:r>
        <w:rPr>
          <w:spacing w:val="-4"/>
          <w:sz w:val="24"/>
        </w:rPr>
        <w:t> </w:t>
      </w:r>
      <w:r>
        <w:rPr>
          <w:sz w:val="24"/>
        </w:rPr>
        <w:t>meet</w:t>
      </w:r>
      <w:r>
        <w:rPr>
          <w:spacing w:val="-3"/>
          <w:sz w:val="24"/>
        </w:rPr>
        <w:t> </w:t>
      </w:r>
      <w:r>
        <w:rPr>
          <w:sz w:val="24"/>
        </w:rPr>
        <w:t>agency</w:t>
      </w:r>
      <w:r>
        <w:rPr>
          <w:spacing w:val="-4"/>
          <w:sz w:val="24"/>
        </w:rPr>
        <w:t> </w:t>
      </w:r>
      <w:r>
        <w:rPr>
          <w:sz w:val="24"/>
        </w:rPr>
        <w:t>sponsorship</w:t>
      </w:r>
      <w:r>
        <w:rPr>
          <w:spacing w:val="-4"/>
          <w:sz w:val="24"/>
        </w:rPr>
        <w:t> </w:t>
      </w:r>
      <w:r>
        <w:rPr>
          <w:sz w:val="24"/>
        </w:rPr>
        <w:t>guidelines</w:t>
      </w:r>
      <w:r>
        <w:rPr>
          <w:spacing w:val="-4"/>
          <w:sz w:val="24"/>
        </w:rPr>
        <w:t> </w:t>
      </w:r>
      <w:r>
        <w:rPr>
          <w:sz w:val="24"/>
        </w:rPr>
        <w:t>may</w:t>
      </w:r>
      <w:r>
        <w:rPr>
          <w:spacing w:val="-4"/>
          <w:sz w:val="24"/>
        </w:rPr>
        <w:t> </w:t>
      </w:r>
      <w:r>
        <w:rPr>
          <w:sz w:val="24"/>
        </w:rPr>
        <w:t>be</w:t>
      </w:r>
      <w:r>
        <w:rPr>
          <w:spacing w:val="-4"/>
          <w:sz w:val="24"/>
        </w:rPr>
        <w:t> </w:t>
      </w:r>
      <w:r>
        <w:rPr>
          <w:sz w:val="24"/>
        </w:rPr>
        <w:t>approved</w:t>
      </w:r>
      <w:r>
        <w:rPr>
          <w:spacing w:val="-4"/>
          <w:sz w:val="24"/>
        </w:rPr>
        <w:t> </w:t>
      </w:r>
      <w:r>
        <w:rPr>
          <w:sz w:val="24"/>
        </w:rPr>
        <w:t>by</w:t>
      </w:r>
      <w:r>
        <w:rPr>
          <w:spacing w:val="-3"/>
          <w:sz w:val="24"/>
        </w:rPr>
        <w:t> </w:t>
      </w:r>
      <w:r>
        <w:rPr>
          <w:sz w:val="24"/>
        </w:rPr>
        <w:t>the counselor if there are extenuating circumstances.</w:t>
      </w:r>
    </w:p>
    <w:p>
      <w:pPr>
        <w:pStyle w:val="ListParagraph"/>
        <w:numPr>
          <w:ilvl w:val="1"/>
          <w:numId w:val="193"/>
        </w:numPr>
        <w:tabs>
          <w:tab w:pos="1218" w:val="left" w:leader="none"/>
        </w:tabs>
        <w:spacing w:line="208" w:lineRule="auto" w:before="240" w:after="0"/>
        <w:ind w:left="792" w:right="760" w:firstLine="0"/>
        <w:jc w:val="left"/>
        <w:rPr>
          <w:sz w:val="24"/>
        </w:rPr>
      </w:pPr>
      <w:r>
        <w:rPr>
          <w:sz w:val="24"/>
        </w:rPr>
        <w:t>A</w:t>
      </w:r>
      <w:r>
        <w:rPr>
          <w:spacing w:val="-2"/>
          <w:sz w:val="24"/>
        </w:rPr>
        <w:t> </w:t>
      </w:r>
      <w:r>
        <w:rPr>
          <w:sz w:val="24"/>
        </w:rPr>
        <w:t>client</w:t>
      </w:r>
      <w:r>
        <w:rPr>
          <w:spacing w:val="-3"/>
          <w:sz w:val="24"/>
        </w:rPr>
        <w:t> </w:t>
      </w:r>
      <w:r>
        <w:rPr>
          <w:sz w:val="24"/>
        </w:rPr>
        <w:t>failing</w:t>
      </w:r>
      <w:r>
        <w:rPr>
          <w:spacing w:val="-2"/>
          <w:sz w:val="24"/>
        </w:rPr>
        <w:t> </w:t>
      </w:r>
      <w:r>
        <w:rPr>
          <w:sz w:val="24"/>
        </w:rPr>
        <w:t>to</w:t>
      </w:r>
      <w:r>
        <w:rPr>
          <w:spacing w:val="-2"/>
          <w:sz w:val="24"/>
        </w:rPr>
        <w:t> </w:t>
      </w:r>
      <w:r>
        <w:rPr>
          <w:sz w:val="24"/>
        </w:rPr>
        <w:t>meet</w:t>
      </w:r>
      <w:r>
        <w:rPr>
          <w:spacing w:val="-1"/>
          <w:sz w:val="24"/>
        </w:rPr>
        <w:t> </w:t>
      </w:r>
      <w:r>
        <w:rPr>
          <w:sz w:val="24"/>
        </w:rPr>
        <w:t>agency</w:t>
      </w:r>
      <w:r>
        <w:rPr>
          <w:spacing w:val="-2"/>
          <w:sz w:val="24"/>
        </w:rPr>
        <w:t> </w:t>
      </w:r>
      <w:r>
        <w:rPr>
          <w:sz w:val="24"/>
        </w:rPr>
        <w:t>sponsorship</w:t>
      </w:r>
      <w:r>
        <w:rPr>
          <w:spacing w:val="-2"/>
          <w:sz w:val="24"/>
        </w:rPr>
        <w:t> </w:t>
      </w:r>
      <w:r>
        <w:rPr>
          <w:sz w:val="24"/>
        </w:rPr>
        <w:t>guidelines</w:t>
      </w:r>
      <w:r>
        <w:rPr>
          <w:spacing w:val="-2"/>
          <w:sz w:val="24"/>
        </w:rPr>
        <w:t> </w:t>
      </w:r>
      <w:r>
        <w:rPr>
          <w:sz w:val="24"/>
        </w:rPr>
        <w:t>will</w:t>
      </w:r>
      <w:r>
        <w:rPr>
          <w:spacing w:val="-2"/>
          <w:sz w:val="24"/>
        </w:rPr>
        <w:t> </w:t>
      </w:r>
      <w:r>
        <w:rPr>
          <w:sz w:val="24"/>
        </w:rPr>
        <w:t>be</w:t>
      </w:r>
      <w:r>
        <w:rPr>
          <w:spacing w:val="-2"/>
          <w:sz w:val="24"/>
        </w:rPr>
        <w:t> </w:t>
      </w:r>
      <w:r>
        <w:rPr>
          <w:sz w:val="24"/>
        </w:rPr>
        <w:t>contacted</w:t>
      </w:r>
      <w:r>
        <w:rPr>
          <w:spacing w:val="-2"/>
          <w:sz w:val="24"/>
        </w:rPr>
        <w:t> </w:t>
      </w:r>
      <w:r>
        <w:rPr>
          <w:sz w:val="24"/>
        </w:rPr>
        <w:t>as</w:t>
      </w:r>
      <w:r>
        <w:rPr>
          <w:spacing w:val="-3"/>
          <w:sz w:val="24"/>
        </w:rPr>
        <w:t> </w:t>
      </w:r>
      <w:r>
        <w:rPr>
          <w:sz w:val="24"/>
        </w:rPr>
        <w:t>soon as appropriate to complete a program review to determine if a change in services, vocational goal or objective is needed. A client failing to meet chosen goals will not have her/his case closed until the counselor has provided counseling and guidance and</w:t>
      </w:r>
      <w:r>
        <w:rPr>
          <w:spacing w:val="-4"/>
          <w:sz w:val="24"/>
        </w:rPr>
        <w:t> </w:t>
      </w:r>
      <w:r>
        <w:rPr>
          <w:sz w:val="24"/>
        </w:rPr>
        <w:t>has</w:t>
      </w:r>
      <w:r>
        <w:rPr>
          <w:spacing w:val="-4"/>
          <w:sz w:val="24"/>
        </w:rPr>
        <w:t> </w:t>
      </w:r>
      <w:r>
        <w:rPr>
          <w:sz w:val="24"/>
        </w:rPr>
        <w:t>determined</w:t>
      </w:r>
      <w:r>
        <w:rPr>
          <w:spacing w:val="-4"/>
          <w:sz w:val="24"/>
        </w:rPr>
        <w:t> </w:t>
      </w:r>
      <w:r>
        <w:rPr>
          <w:sz w:val="24"/>
        </w:rPr>
        <w:t>that</w:t>
      </w:r>
      <w:r>
        <w:rPr>
          <w:spacing w:val="-3"/>
          <w:sz w:val="24"/>
        </w:rPr>
        <w:t> </w:t>
      </w:r>
      <w:r>
        <w:rPr>
          <w:sz w:val="24"/>
        </w:rPr>
        <w:t>a</w:t>
      </w:r>
      <w:r>
        <w:rPr>
          <w:spacing w:val="-4"/>
          <w:sz w:val="24"/>
        </w:rPr>
        <w:t> </w:t>
      </w:r>
      <w:r>
        <w:rPr>
          <w:sz w:val="24"/>
        </w:rPr>
        <w:t>change</w:t>
      </w:r>
      <w:r>
        <w:rPr>
          <w:spacing w:val="-4"/>
          <w:sz w:val="24"/>
        </w:rPr>
        <w:t> </w:t>
      </w:r>
      <w:r>
        <w:rPr>
          <w:sz w:val="24"/>
        </w:rPr>
        <w:t>in</w:t>
      </w:r>
      <w:r>
        <w:rPr>
          <w:spacing w:val="-4"/>
          <w:sz w:val="24"/>
        </w:rPr>
        <w:t> </w:t>
      </w:r>
      <w:r>
        <w:rPr>
          <w:sz w:val="24"/>
        </w:rPr>
        <w:t>the</w:t>
      </w:r>
      <w:r>
        <w:rPr>
          <w:spacing w:val="-4"/>
          <w:sz w:val="24"/>
        </w:rPr>
        <w:t> </w:t>
      </w:r>
      <w:r>
        <w:rPr>
          <w:sz w:val="24"/>
        </w:rPr>
        <w:t>IPE</w:t>
      </w:r>
      <w:r>
        <w:rPr>
          <w:spacing w:val="-4"/>
          <w:sz w:val="24"/>
        </w:rPr>
        <w:t> </w:t>
      </w:r>
      <w:r>
        <w:rPr>
          <w:sz w:val="24"/>
        </w:rPr>
        <w:t>is</w:t>
      </w:r>
      <w:r>
        <w:rPr>
          <w:spacing w:val="-4"/>
          <w:sz w:val="24"/>
        </w:rPr>
        <w:t> </w:t>
      </w:r>
      <w:r>
        <w:rPr>
          <w:sz w:val="24"/>
        </w:rPr>
        <w:t>inappropriate.</w:t>
      </w:r>
      <w:r>
        <w:rPr>
          <w:spacing w:val="-3"/>
          <w:sz w:val="24"/>
        </w:rPr>
        <w:t> </w:t>
      </w:r>
      <w:r>
        <w:rPr>
          <w:sz w:val="24"/>
        </w:rPr>
        <w:t>The</w:t>
      </w:r>
      <w:r>
        <w:rPr>
          <w:spacing w:val="-4"/>
          <w:sz w:val="24"/>
        </w:rPr>
        <w:t> </w:t>
      </w:r>
      <w:r>
        <w:rPr>
          <w:sz w:val="24"/>
        </w:rPr>
        <w:t>counselor</w:t>
      </w:r>
      <w:r>
        <w:rPr>
          <w:spacing w:val="-3"/>
          <w:sz w:val="24"/>
        </w:rPr>
        <w:t> </w:t>
      </w:r>
      <w:r>
        <w:rPr>
          <w:sz w:val="24"/>
        </w:rPr>
        <w:t>should investigate the need for further vocational and/or educational evaluation to explore alternative employment goals.</w:t>
      </w:r>
    </w:p>
    <w:p>
      <w:pPr>
        <w:pStyle w:val="BodyText"/>
        <w:spacing w:before="210"/>
      </w:pPr>
      <w:r>
        <w:rPr/>
        <w:t>Instructions</w:t>
      </w:r>
      <w:r>
        <w:rPr>
          <w:spacing w:val="-5"/>
        </w:rPr>
        <w:t> </w:t>
      </w:r>
      <w:r>
        <w:rPr/>
        <w:t>to</w:t>
      </w:r>
      <w:r>
        <w:rPr>
          <w:spacing w:val="-2"/>
        </w:rPr>
        <w:t> </w:t>
      </w:r>
      <w:r>
        <w:rPr>
          <w:spacing w:val="-4"/>
        </w:rPr>
        <w:t>Staff</w:t>
      </w:r>
    </w:p>
    <w:p>
      <w:pPr>
        <w:pStyle w:val="BodyText"/>
        <w:spacing w:line="208" w:lineRule="auto" w:before="233"/>
        <w:ind w:right="775"/>
      </w:pPr>
      <w:r>
        <w:rPr/>
        <w:t>1.</w:t>
      </w:r>
      <w:r>
        <w:rPr>
          <w:spacing w:val="40"/>
        </w:rPr>
        <w:t> </w:t>
      </w:r>
      <w:r>
        <w:rPr/>
        <w:t>Every</w:t>
      </w:r>
      <w:r>
        <w:rPr>
          <w:spacing w:val="-3"/>
        </w:rPr>
        <w:t> </w:t>
      </w:r>
      <w:r>
        <w:rPr/>
        <w:t>vocational</w:t>
      </w:r>
      <w:r>
        <w:rPr>
          <w:spacing w:val="-3"/>
        </w:rPr>
        <w:t> </w:t>
      </w:r>
      <w:r>
        <w:rPr/>
        <w:t>school</w:t>
      </w:r>
      <w:r>
        <w:rPr>
          <w:spacing w:val="-3"/>
        </w:rPr>
        <w:t> </w:t>
      </w:r>
      <w:r>
        <w:rPr/>
        <w:t>that</w:t>
      </w:r>
      <w:r>
        <w:rPr>
          <w:spacing w:val="-2"/>
        </w:rPr>
        <w:t> </w:t>
      </w:r>
      <w:r>
        <w:rPr/>
        <w:t>has</w:t>
      </w:r>
      <w:r>
        <w:rPr>
          <w:spacing w:val="-3"/>
        </w:rPr>
        <w:t> </w:t>
      </w:r>
      <w:r>
        <w:rPr/>
        <w:t>a</w:t>
      </w:r>
      <w:r>
        <w:rPr>
          <w:spacing w:val="-3"/>
        </w:rPr>
        <w:t> </w:t>
      </w:r>
      <w:r>
        <w:rPr/>
        <w:t>valid</w:t>
      </w:r>
      <w:r>
        <w:rPr>
          <w:spacing w:val="-2"/>
        </w:rPr>
        <w:t> </w:t>
      </w:r>
      <w:r>
        <w:rPr/>
        <w:t>purchasing</w:t>
      </w:r>
      <w:r>
        <w:rPr>
          <w:spacing w:val="-2"/>
        </w:rPr>
        <w:t> </w:t>
      </w:r>
      <w:r>
        <w:rPr/>
        <w:t>agreement</w:t>
      </w:r>
      <w:r>
        <w:rPr>
          <w:spacing w:val="-2"/>
        </w:rPr>
        <w:t> </w:t>
      </w:r>
      <w:r>
        <w:rPr/>
        <w:t>with</w:t>
      </w:r>
      <w:r>
        <w:rPr>
          <w:spacing w:val="-3"/>
        </w:rPr>
        <w:t> </w:t>
      </w:r>
      <w:r>
        <w:rPr/>
        <w:t>DRS</w:t>
      </w:r>
      <w:r>
        <w:rPr>
          <w:spacing w:val="-3"/>
        </w:rPr>
        <w:t> </w:t>
      </w:r>
      <w:r>
        <w:rPr/>
        <w:t>is</w:t>
      </w:r>
      <w:r>
        <w:rPr>
          <w:spacing w:val="-3"/>
        </w:rPr>
        <w:t> </w:t>
      </w:r>
      <w:r>
        <w:rPr/>
        <w:t>listed</w:t>
      </w:r>
      <w:r>
        <w:rPr>
          <w:spacing w:val="-3"/>
        </w:rPr>
        <w:t> </w:t>
      </w:r>
      <w:r>
        <w:rPr/>
        <w:t>in the contract log.</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11-17-94</w:t>
      </w:r>
      <w:r>
        <w:rPr>
          <w:spacing w:val="80"/>
          <w:sz w:val="22"/>
        </w:rPr>
        <w:t> </w:t>
      </w:r>
      <w:r>
        <w:rPr>
          <w:sz w:val="22"/>
        </w:rPr>
        <w:t>PT Memo #94-5</w:t>
      </w:r>
    </w:p>
    <w:p>
      <w:pPr>
        <w:spacing w:before="0"/>
        <w:ind w:left="1439" w:right="775" w:firstLine="0"/>
        <w:jc w:val="left"/>
        <w:rPr>
          <w:sz w:val="22"/>
        </w:rPr>
      </w:pPr>
      <w:r>
        <w:rPr>
          <w:sz w:val="22"/>
        </w:rPr>
        <w:t>Emergency,</w:t>
      </w:r>
      <w:r>
        <w:rPr>
          <w:spacing w:val="-4"/>
          <w:sz w:val="22"/>
        </w:rPr>
        <w:t> </w:t>
      </w:r>
      <w:r>
        <w:rPr>
          <w:sz w:val="22"/>
        </w:rPr>
        <w:t>exempted</w:t>
      </w:r>
      <w:r>
        <w:rPr>
          <w:spacing w:val="-4"/>
          <w:sz w:val="22"/>
        </w:rPr>
        <w:t> </w:t>
      </w:r>
      <w:r>
        <w:rPr>
          <w:sz w:val="22"/>
        </w:rPr>
        <w:t>payment</w:t>
      </w:r>
      <w:r>
        <w:rPr>
          <w:spacing w:val="-4"/>
          <w:sz w:val="22"/>
        </w:rPr>
        <w:t> </w:t>
      </w:r>
      <w:r>
        <w:rPr>
          <w:sz w:val="22"/>
        </w:rPr>
        <w:t>of</w:t>
      </w:r>
      <w:r>
        <w:rPr>
          <w:spacing w:val="-4"/>
          <w:sz w:val="22"/>
        </w:rPr>
        <w:t> </w:t>
      </w:r>
      <w:r>
        <w:rPr>
          <w:sz w:val="22"/>
        </w:rPr>
        <w:t>tuition</w:t>
      </w:r>
      <w:r>
        <w:rPr>
          <w:spacing w:val="-4"/>
          <w:sz w:val="22"/>
        </w:rPr>
        <w:t> </w:t>
      </w:r>
      <w:r>
        <w:rPr>
          <w:sz w:val="22"/>
        </w:rPr>
        <w:t>and</w:t>
      </w:r>
      <w:r>
        <w:rPr>
          <w:spacing w:val="-4"/>
          <w:sz w:val="22"/>
        </w:rPr>
        <w:t> </w:t>
      </w:r>
      <w:r>
        <w:rPr>
          <w:sz w:val="22"/>
        </w:rPr>
        <w:t>fees</w:t>
      </w:r>
      <w:r>
        <w:rPr>
          <w:spacing w:val="-4"/>
          <w:sz w:val="22"/>
        </w:rPr>
        <w:t> </w:t>
      </w:r>
      <w:r>
        <w:rPr>
          <w:sz w:val="22"/>
        </w:rPr>
        <w:t>from</w:t>
      </w:r>
      <w:r>
        <w:rPr>
          <w:spacing w:val="-5"/>
          <w:sz w:val="22"/>
        </w:rPr>
        <w:t> </w:t>
      </w:r>
      <w:r>
        <w:rPr>
          <w:sz w:val="22"/>
        </w:rPr>
        <w:t>client</w:t>
      </w:r>
      <w:r>
        <w:rPr>
          <w:spacing w:val="-5"/>
          <w:sz w:val="22"/>
        </w:rPr>
        <w:t> </w:t>
      </w:r>
      <w:r>
        <w:rPr>
          <w:sz w:val="22"/>
        </w:rPr>
        <w:t>participation</w:t>
      </w:r>
      <w:r>
        <w:rPr>
          <w:spacing w:val="-4"/>
          <w:sz w:val="22"/>
        </w:rPr>
        <w:t> </w:t>
      </w:r>
      <w:r>
        <w:rPr>
          <w:sz w:val="22"/>
        </w:rPr>
        <w:t>in</w:t>
      </w:r>
      <w:r>
        <w:rPr>
          <w:spacing w:val="-4"/>
          <w:sz w:val="22"/>
        </w:rPr>
        <w:t> </w:t>
      </w:r>
      <w:r>
        <w:rPr>
          <w:sz w:val="22"/>
        </w:rPr>
        <w:t>service </w:t>
      </w:r>
      <w:r>
        <w:rPr>
          <w:spacing w:val="-2"/>
          <w:sz w:val="22"/>
        </w:rPr>
        <w:t>costs.</w:t>
      </w:r>
    </w:p>
    <w:p>
      <w:pPr>
        <w:tabs>
          <w:tab w:pos="1439" w:val="left" w:leader="none"/>
        </w:tabs>
        <w:spacing w:line="252" w:lineRule="exact" w:before="0"/>
        <w:ind w:left="359" w:right="0" w:firstLine="0"/>
        <w:jc w:val="left"/>
        <w:rPr>
          <w:sz w:val="22"/>
        </w:rPr>
      </w:pPr>
      <w:r>
        <w:rPr>
          <w:spacing w:val="-2"/>
          <w:sz w:val="22"/>
        </w:rPr>
        <w:t>7-1-</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spacing w:before="1"/>
        <w:ind w:left="1439" w:right="0" w:firstLine="0"/>
        <w:jc w:val="left"/>
        <w:rPr>
          <w:sz w:val="22"/>
        </w:rPr>
      </w:pPr>
      <w:r>
        <w:rPr>
          <w:sz w:val="22"/>
        </w:rPr>
        <w:t>Permanent,</w:t>
      </w:r>
      <w:r>
        <w:rPr>
          <w:spacing w:val="-11"/>
          <w:sz w:val="22"/>
        </w:rPr>
        <w:t> </w:t>
      </w:r>
      <w:r>
        <w:rPr>
          <w:sz w:val="22"/>
        </w:rPr>
        <w:t>supersedes</w:t>
      </w:r>
      <w:r>
        <w:rPr>
          <w:spacing w:val="-12"/>
          <w:sz w:val="22"/>
        </w:rPr>
        <w:t> </w:t>
      </w:r>
      <w:r>
        <w:rPr>
          <w:sz w:val="22"/>
        </w:rPr>
        <w:t>emergency</w:t>
      </w:r>
      <w:r>
        <w:rPr>
          <w:spacing w:val="-11"/>
          <w:sz w:val="22"/>
        </w:rPr>
        <w:t> </w:t>
      </w:r>
      <w:r>
        <w:rPr>
          <w:sz w:val="22"/>
        </w:rPr>
        <w:t>rules</w:t>
      </w:r>
      <w:r>
        <w:rPr>
          <w:spacing w:val="-11"/>
          <w:sz w:val="22"/>
        </w:rPr>
        <w:t> </w:t>
      </w:r>
      <w:r>
        <w:rPr>
          <w:sz w:val="22"/>
        </w:rPr>
        <w:t>issued</w:t>
      </w:r>
      <w:r>
        <w:rPr>
          <w:spacing w:val="-12"/>
          <w:sz w:val="22"/>
        </w:rPr>
        <w:t> </w:t>
      </w:r>
      <w:r>
        <w:rPr>
          <w:sz w:val="22"/>
        </w:rPr>
        <w:t>11-17-</w:t>
      </w:r>
      <w:r>
        <w:rPr>
          <w:spacing w:val="-5"/>
          <w:sz w:val="22"/>
        </w:rPr>
        <w:t>94</w:t>
      </w:r>
    </w:p>
    <w:p>
      <w:pPr>
        <w:spacing w:after="0"/>
        <w:jc w:val="left"/>
        <w:rPr>
          <w:sz w:val="22"/>
        </w:rPr>
        <w:sectPr>
          <w:pgSz w:w="12240" w:h="15840"/>
          <w:pgMar w:top="1340" w:bottom="280" w:left="1080" w:right="720"/>
        </w:sectPr>
      </w:pPr>
    </w:p>
    <w:p>
      <w:pPr>
        <w:tabs>
          <w:tab w:pos="1439" w:val="left" w:leader="none"/>
        </w:tabs>
        <w:spacing w:before="80"/>
        <w:ind w:left="360" w:right="0" w:firstLine="0"/>
        <w:jc w:val="left"/>
        <w:rPr>
          <w:sz w:val="22"/>
        </w:rPr>
      </w:pPr>
      <w:r>
        <w:rPr>
          <w:spacing w:val="-2"/>
          <w:sz w:val="22"/>
        </w:rPr>
        <w:t>4-3-</w:t>
      </w:r>
      <w:r>
        <w:rPr>
          <w:spacing w:val="-5"/>
          <w:sz w:val="22"/>
        </w:rPr>
        <w:t>96</w:t>
      </w:r>
      <w:r>
        <w:rPr>
          <w:sz w:val="22"/>
        </w:rPr>
        <w:tab/>
        <w:t>PT</w:t>
      </w:r>
      <w:r>
        <w:rPr>
          <w:spacing w:val="-8"/>
          <w:sz w:val="22"/>
        </w:rPr>
        <w:t> </w:t>
      </w:r>
      <w:r>
        <w:rPr>
          <w:sz w:val="22"/>
        </w:rPr>
        <w:t>Memo</w:t>
      </w:r>
      <w:r>
        <w:rPr>
          <w:spacing w:val="-8"/>
          <w:sz w:val="22"/>
        </w:rPr>
        <w:t> </w:t>
      </w:r>
      <w:r>
        <w:rPr>
          <w:sz w:val="22"/>
        </w:rPr>
        <w:t>#96-</w:t>
      </w:r>
      <w:r>
        <w:rPr>
          <w:spacing w:val="-10"/>
          <w:sz w:val="22"/>
        </w:rPr>
        <w:t>2</w:t>
      </w:r>
    </w:p>
    <w:p>
      <w:pPr>
        <w:spacing w:before="0"/>
        <w:ind w:left="1439" w:right="739" w:firstLine="0"/>
        <w:jc w:val="left"/>
        <w:rPr>
          <w:sz w:val="22"/>
        </w:rPr>
      </w:pPr>
      <w:r>
        <w:rPr>
          <w:sz w:val="22"/>
        </w:rPr>
        <w:t>Emergency,</w:t>
      </w:r>
      <w:r>
        <w:rPr>
          <w:spacing w:val="-4"/>
          <w:sz w:val="22"/>
        </w:rPr>
        <w:t> </w:t>
      </w:r>
      <w:r>
        <w:rPr>
          <w:sz w:val="22"/>
        </w:rPr>
        <w:t>removed</w:t>
      </w:r>
      <w:r>
        <w:rPr>
          <w:spacing w:val="-4"/>
          <w:sz w:val="22"/>
        </w:rPr>
        <w:t> </w:t>
      </w:r>
      <w:r>
        <w:rPr>
          <w:sz w:val="22"/>
        </w:rPr>
        <w:t>language</w:t>
      </w:r>
      <w:r>
        <w:rPr>
          <w:spacing w:val="-4"/>
          <w:sz w:val="22"/>
        </w:rPr>
        <w:t> </w:t>
      </w:r>
      <w:r>
        <w:rPr>
          <w:sz w:val="22"/>
        </w:rPr>
        <w:t>exempting</w:t>
      </w:r>
      <w:r>
        <w:rPr>
          <w:spacing w:val="-4"/>
          <w:sz w:val="22"/>
        </w:rPr>
        <w:t> </w:t>
      </w:r>
      <w:r>
        <w:rPr>
          <w:sz w:val="22"/>
        </w:rPr>
        <w:t>tuition</w:t>
      </w:r>
      <w:r>
        <w:rPr>
          <w:spacing w:val="-4"/>
          <w:sz w:val="22"/>
        </w:rPr>
        <w:t> </w:t>
      </w:r>
      <w:r>
        <w:rPr>
          <w:sz w:val="22"/>
        </w:rPr>
        <w:t>and</w:t>
      </w:r>
      <w:r>
        <w:rPr>
          <w:spacing w:val="-4"/>
          <w:sz w:val="22"/>
        </w:rPr>
        <w:t> </w:t>
      </w:r>
      <w:r>
        <w:rPr>
          <w:sz w:val="22"/>
        </w:rPr>
        <w:t>fees</w:t>
      </w:r>
      <w:r>
        <w:rPr>
          <w:spacing w:val="-4"/>
          <w:sz w:val="22"/>
        </w:rPr>
        <w:t> </w:t>
      </w:r>
      <w:r>
        <w:rPr>
          <w:sz w:val="22"/>
        </w:rPr>
        <w:t>from</w:t>
      </w:r>
      <w:r>
        <w:rPr>
          <w:spacing w:val="-5"/>
          <w:sz w:val="22"/>
        </w:rPr>
        <w:t> </w:t>
      </w:r>
      <w:r>
        <w:rPr>
          <w:sz w:val="22"/>
        </w:rPr>
        <w:t>client</w:t>
      </w:r>
      <w:r>
        <w:rPr>
          <w:spacing w:val="-4"/>
          <w:sz w:val="22"/>
        </w:rPr>
        <w:t> </w:t>
      </w:r>
      <w:r>
        <w:rPr>
          <w:sz w:val="22"/>
        </w:rPr>
        <w:t>participation</w:t>
      </w:r>
      <w:r>
        <w:rPr>
          <w:spacing w:val="-5"/>
          <w:sz w:val="22"/>
        </w:rPr>
        <w:t> </w:t>
      </w:r>
      <w:r>
        <w:rPr>
          <w:sz w:val="22"/>
        </w:rPr>
        <w:t>in service costs.</w:t>
      </w:r>
    </w:p>
    <w:p>
      <w:pPr>
        <w:pStyle w:val="ListParagraph"/>
        <w:numPr>
          <w:ilvl w:val="2"/>
          <w:numId w:val="194"/>
        </w:numPr>
        <w:tabs>
          <w:tab w:pos="1439" w:val="left" w:leader="none"/>
        </w:tabs>
        <w:spacing w:line="252"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3580" w:firstLine="1080"/>
        <w:jc w:val="left"/>
        <w:rPr>
          <w:sz w:val="22"/>
        </w:rPr>
      </w:pPr>
      <w:r>
        <w:rPr>
          <w:sz w:val="22"/>
        </w:rPr>
        <w:t>Permanent,</w:t>
      </w:r>
      <w:r>
        <w:rPr>
          <w:spacing w:val="-7"/>
          <w:sz w:val="22"/>
        </w:rPr>
        <w:t> </w:t>
      </w:r>
      <w:r>
        <w:rPr>
          <w:sz w:val="22"/>
        </w:rPr>
        <w:t>supersedes</w:t>
      </w:r>
      <w:r>
        <w:rPr>
          <w:spacing w:val="-8"/>
          <w:sz w:val="22"/>
        </w:rPr>
        <w:t> </w:t>
      </w:r>
      <w:r>
        <w:rPr>
          <w:sz w:val="22"/>
        </w:rPr>
        <w:t>emergency</w:t>
      </w:r>
      <w:r>
        <w:rPr>
          <w:spacing w:val="-8"/>
          <w:sz w:val="22"/>
        </w:rPr>
        <w:t> </w:t>
      </w:r>
      <w:r>
        <w:rPr>
          <w:sz w:val="22"/>
        </w:rPr>
        <w:t>rules</w:t>
      </w:r>
      <w:r>
        <w:rPr>
          <w:spacing w:val="-8"/>
          <w:sz w:val="22"/>
        </w:rPr>
        <w:t> </w:t>
      </w:r>
      <w:r>
        <w:rPr>
          <w:sz w:val="22"/>
        </w:rPr>
        <w:t>issued</w:t>
      </w:r>
      <w:r>
        <w:rPr>
          <w:spacing w:val="-8"/>
          <w:sz w:val="22"/>
        </w:rPr>
        <w:t> </w:t>
      </w:r>
      <w:r>
        <w:rPr>
          <w:sz w:val="22"/>
        </w:rPr>
        <w:t>4-3-96 </w:t>
      </w:r>
      <w:r>
        <w:rPr>
          <w:spacing w:val="-2"/>
          <w:sz w:val="22"/>
        </w:rPr>
        <w:t>7-1-98</w:t>
      </w:r>
      <w:r>
        <w:rPr>
          <w:sz w:val="22"/>
        </w:rPr>
        <w:tab/>
        <w:t>PT Memo #98-15</w:t>
      </w:r>
    </w:p>
    <w:p>
      <w:pPr>
        <w:tabs>
          <w:tab w:pos="1439" w:val="left" w:leader="none"/>
        </w:tabs>
        <w:spacing w:before="1"/>
        <w:ind w:left="359" w:right="4803" w:firstLine="1080"/>
        <w:jc w:val="left"/>
        <w:rPr>
          <w:sz w:val="22"/>
        </w:rPr>
      </w:pPr>
      <w:r>
        <w:rPr>
          <w:sz w:val="22"/>
        </w:rPr>
        <w:t>Permanent,</w:t>
      </w:r>
      <w:r>
        <w:rPr>
          <w:spacing w:val="-7"/>
          <w:sz w:val="22"/>
        </w:rPr>
        <w:t> </w:t>
      </w:r>
      <w:r>
        <w:rPr>
          <w:sz w:val="22"/>
        </w:rPr>
        <w:t>clean-up</w:t>
      </w:r>
      <w:r>
        <w:rPr>
          <w:spacing w:val="-8"/>
          <w:sz w:val="22"/>
        </w:rPr>
        <w:t> </w:t>
      </w:r>
      <w:r>
        <w:rPr>
          <w:sz w:val="22"/>
        </w:rPr>
        <w:t>editing,</w:t>
      </w:r>
      <w:r>
        <w:rPr>
          <w:spacing w:val="-8"/>
          <w:sz w:val="22"/>
        </w:rPr>
        <w:t> </w:t>
      </w:r>
      <w:r>
        <w:rPr>
          <w:sz w:val="22"/>
        </w:rPr>
        <w:t>added</w:t>
      </w:r>
      <w:r>
        <w:rPr>
          <w:spacing w:val="-8"/>
          <w:sz w:val="22"/>
        </w:rPr>
        <w:t> </w:t>
      </w:r>
      <w:r>
        <w:rPr>
          <w:sz w:val="22"/>
        </w:rPr>
        <w:t>ITS</w:t>
      </w:r>
      <w:r>
        <w:rPr>
          <w:spacing w:val="-8"/>
          <w:sz w:val="22"/>
        </w:rPr>
        <w:t> </w:t>
      </w:r>
      <w:r>
        <w:rPr>
          <w:sz w:val="22"/>
        </w:rPr>
        <w:t>#2 </w:t>
      </w:r>
      <w:r>
        <w:rPr>
          <w:spacing w:val="-2"/>
          <w:sz w:val="22"/>
        </w:rPr>
        <w:t>6-14-99</w:t>
      </w:r>
      <w:r>
        <w:rPr>
          <w:sz w:val="22"/>
        </w:rPr>
        <w:tab/>
        <w:t>POL Memo #99-7</w:t>
      </w:r>
    </w:p>
    <w:p>
      <w:pPr>
        <w:tabs>
          <w:tab w:pos="1439" w:val="left" w:leader="none"/>
        </w:tabs>
        <w:spacing w:before="0"/>
        <w:ind w:left="359" w:right="4414" w:firstLine="1080"/>
        <w:jc w:val="left"/>
        <w:rPr>
          <w:sz w:val="22"/>
        </w:rPr>
      </w:pPr>
      <w:r>
        <w:rPr>
          <w:sz w:val="22"/>
        </w:rPr>
        <w:t>Emergency,</w:t>
      </w:r>
      <w:r>
        <w:rPr>
          <w:spacing w:val="-7"/>
          <w:sz w:val="22"/>
        </w:rPr>
        <w:t> </w:t>
      </w:r>
      <w:r>
        <w:rPr>
          <w:sz w:val="22"/>
        </w:rPr>
        <w:t>updated</w:t>
      </w:r>
      <w:r>
        <w:rPr>
          <w:spacing w:val="-7"/>
          <w:sz w:val="22"/>
        </w:rPr>
        <w:t> </w:t>
      </w:r>
      <w:r>
        <w:rPr>
          <w:sz w:val="22"/>
        </w:rPr>
        <w:t>DVR/DVS</w:t>
      </w:r>
      <w:r>
        <w:rPr>
          <w:spacing w:val="-7"/>
          <w:sz w:val="22"/>
        </w:rPr>
        <w:t> </w:t>
      </w:r>
      <w:r>
        <w:rPr>
          <w:sz w:val="22"/>
        </w:rPr>
        <w:t>and</w:t>
      </w:r>
      <w:r>
        <w:rPr>
          <w:spacing w:val="-7"/>
          <w:sz w:val="22"/>
        </w:rPr>
        <w:t> </w:t>
      </w:r>
      <w:r>
        <w:rPr>
          <w:sz w:val="22"/>
        </w:rPr>
        <w:t>IRP</w:t>
      </w:r>
      <w:r>
        <w:rPr>
          <w:spacing w:val="-7"/>
          <w:sz w:val="22"/>
        </w:rPr>
        <w:t> </w:t>
      </w:r>
      <w:r>
        <w:rPr>
          <w:sz w:val="22"/>
        </w:rPr>
        <w:t>to</w:t>
      </w:r>
      <w:r>
        <w:rPr>
          <w:spacing w:val="-7"/>
          <w:sz w:val="22"/>
        </w:rPr>
        <w:t> </w:t>
      </w:r>
      <w:r>
        <w:rPr>
          <w:sz w:val="22"/>
        </w:rPr>
        <w:t>IPE </w:t>
      </w:r>
      <w:r>
        <w:rPr>
          <w:spacing w:val="-2"/>
          <w:sz w:val="22"/>
        </w:rPr>
        <w:t>7-1-99</w:t>
      </w:r>
      <w:r>
        <w:rPr>
          <w:sz w:val="22"/>
        </w:rPr>
        <w:tab/>
        <w:t>POL Memo #00-1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7-1-01</w:t>
      </w:r>
      <w:r>
        <w:rPr>
          <w:sz w:val="22"/>
        </w:rPr>
        <w:tab/>
        <w:t>PT Memo #01-08</w:t>
      </w:r>
    </w:p>
    <w:p>
      <w:pPr>
        <w:tabs>
          <w:tab w:pos="1439" w:val="left" w:leader="none"/>
        </w:tabs>
        <w:spacing w:before="0"/>
        <w:ind w:left="359" w:right="4534" w:firstLine="1080"/>
        <w:jc w:val="left"/>
        <w:rPr>
          <w:sz w:val="22"/>
        </w:rPr>
      </w:pPr>
      <w:r>
        <w:rPr>
          <w:sz w:val="22"/>
        </w:rPr>
        <w:t>Permanent,</w:t>
      </w:r>
      <w:r>
        <w:rPr>
          <w:spacing w:val="-7"/>
          <w:sz w:val="22"/>
        </w:rPr>
        <w:t> </w:t>
      </w:r>
      <w:r>
        <w:rPr>
          <w:sz w:val="22"/>
        </w:rPr>
        <w:t>changes</w:t>
      </w:r>
      <w:r>
        <w:rPr>
          <w:spacing w:val="-8"/>
          <w:sz w:val="22"/>
        </w:rPr>
        <w:t> </w:t>
      </w:r>
      <w:r>
        <w:rPr>
          <w:sz w:val="22"/>
        </w:rPr>
        <w:t>to</w:t>
      </w:r>
      <w:r>
        <w:rPr>
          <w:spacing w:val="-9"/>
          <w:sz w:val="22"/>
        </w:rPr>
        <w:t> </w:t>
      </w:r>
      <w:r>
        <w:rPr>
          <w:sz w:val="22"/>
        </w:rPr>
        <w:t>direct</w:t>
      </w:r>
      <w:r>
        <w:rPr>
          <w:spacing w:val="-8"/>
          <w:sz w:val="22"/>
        </w:rPr>
        <w:t> </w:t>
      </w:r>
      <w:r>
        <w:rPr>
          <w:sz w:val="22"/>
        </w:rPr>
        <w:t>client</w:t>
      </w:r>
      <w:r>
        <w:rPr>
          <w:spacing w:val="-9"/>
          <w:sz w:val="22"/>
        </w:rPr>
        <w:t> </w:t>
      </w:r>
      <w:r>
        <w:rPr>
          <w:sz w:val="22"/>
        </w:rPr>
        <w:t>payments </w:t>
      </w:r>
      <w:r>
        <w:rPr>
          <w:spacing w:val="-2"/>
          <w:sz w:val="22"/>
        </w:rPr>
        <w:t>7-1-07</w:t>
      </w:r>
      <w:r>
        <w:rPr>
          <w:sz w:val="22"/>
        </w:rPr>
        <w:tab/>
        <w:t>PT Memo #08-01</w:t>
      </w:r>
    </w:p>
    <w:p>
      <w:pPr>
        <w:spacing w:line="252" w:lineRule="exact" w:before="0"/>
        <w:ind w:left="1439" w:right="0" w:firstLine="0"/>
        <w:jc w:val="left"/>
        <w:rPr>
          <w:sz w:val="22"/>
        </w:rPr>
      </w:pPr>
      <w:r>
        <w:rPr>
          <w:sz w:val="22"/>
        </w:rPr>
        <w:t>Permanent,</w:t>
      </w:r>
      <w:r>
        <w:rPr>
          <w:spacing w:val="-8"/>
          <w:sz w:val="22"/>
        </w:rPr>
        <w:t> </w:t>
      </w:r>
      <w:r>
        <w:rPr>
          <w:sz w:val="22"/>
        </w:rPr>
        <w:t>removed</w:t>
      </w:r>
      <w:r>
        <w:rPr>
          <w:spacing w:val="-9"/>
          <w:sz w:val="22"/>
        </w:rPr>
        <w:t> </w:t>
      </w:r>
      <w:r>
        <w:rPr>
          <w:sz w:val="22"/>
        </w:rPr>
        <w:t>direct</w:t>
      </w:r>
      <w:r>
        <w:rPr>
          <w:spacing w:val="-8"/>
          <w:sz w:val="22"/>
        </w:rPr>
        <w:t> </w:t>
      </w:r>
      <w:r>
        <w:rPr>
          <w:sz w:val="22"/>
        </w:rPr>
        <w:t>client</w:t>
      </w:r>
      <w:r>
        <w:rPr>
          <w:spacing w:val="-9"/>
          <w:sz w:val="22"/>
        </w:rPr>
        <w:t> </w:t>
      </w:r>
      <w:r>
        <w:rPr>
          <w:spacing w:val="-2"/>
          <w:sz w:val="22"/>
        </w:rPr>
        <w:t>payment.</w:t>
      </w:r>
    </w:p>
    <w:p>
      <w:pPr>
        <w:pStyle w:val="ListParagraph"/>
        <w:numPr>
          <w:ilvl w:val="2"/>
          <w:numId w:val="195"/>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#10-</w:t>
      </w:r>
      <w:r>
        <w:rPr>
          <w:spacing w:val="-5"/>
          <w:sz w:val="22"/>
        </w:rPr>
        <w:t>02</w:t>
      </w:r>
    </w:p>
    <w:p>
      <w:pPr>
        <w:spacing w:before="0"/>
        <w:ind w:left="1439" w:right="0" w:firstLine="0"/>
        <w:jc w:val="left"/>
        <w:rPr>
          <w:sz w:val="22"/>
        </w:rPr>
      </w:pPr>
      <w:r>
        <w:rPr>
          <w:sz w:val="22"/>
        </w:rPr>
        <w:t>Permanent,</w:t>
      </w:r>
      <w:r>
        <w:rPr>
          <w:spacing w:val="-10"/>
          <w:sz w:val="22"/>
        </w:rPr>
        <w:t> </w:t>
      </w:r>
      <w:r>
        <w:rPr>
          <w:sz w:val="22"/>
        </w:rPr>
        <w:t>removed</w:t>
      </w:r>
      <w:r>
        <w:rPr>
          <w:spacing w:val="-11"/>
          <w:sz w:val="22"/>
        </w:rPr>
        <w:t> </w:t>
      </w:r>
      <w:r>
        <w:rPr>
          <w:sz w:val="22"/>
        </w:rPr>
        <w:t>outdated</w:t>
      </w:r>
      <w:r>
        <w:rPr>
          <w:spacing w:val="-10"/>
          <w:sz w:val="22"/>
        </w:rPr>
        <w:t> </w:t>
      </w:r>
      <w:r>
        <w:rPr>
          <w:spacing w:val="-2"/>
          <w:sz w:val="22"/>
        </w:rPr>
        <w:t>information.</w:t>
      </w:r>
    </w:p>
    <w:p>
      <w:pPr>
        <w:pStyle w:val="ListParagraph"/>
        <w:numPr>
          <w:ilvl w:val="2"/>
          <w:numId w:val="195"/>
        </w:numPr>
        <w:tabs>
          <w:tab w:pos="1439" w:val="left" w:leader="none"/>
        </w:tabs>
        <w:spacing w:line="253" w:lineRule="exact" w:before="1" w:after="0"/>
        <w:ind w:left="1439" w:right="0" w:hanging="1079"/>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line="253" w:lineRule="exact" w:before="0"/>
        <w:ind w:left="1439" w:right="0" w:firstLine="0"/>
        <w:jc w:val="left"/>
        <w:rPr>
          <w:sz w:val="22"/>
        </w:rPr>
      </w:pPr>
      <w:r>
        <w:rPr>
          <w:sz w:val="22"/>
        </w:rPr>
        <w:t>Permanent,</w:t>
      </w:r>
      <w:r>
        <w:rPr>
          <w:spacing w:val="-14"/>
          <w:sz w:val="22"/>
        </w:rPr>
        <w:t> </w:t>
      </w:r>
      <w:r>
        <w:rPr>
          <w:sz w:val="22"/>
        </w:rPr>
        <w:t>consolidating</w:t>
      </w:r>
      <w:r>
        <w:rPr>
          <w:spacing w:val="-15"/>
          <w:sz w:val="22"/>
        </w:rPr>
        <w:t> </w:t>
      </w:r>
      <w:r>
        <w:rPr>
          <w:spacing w:val="-2"/>
          <w:sz w:val="22"/>
        </w:rPr>
        <w:t>policy</w:t>
      </w:r>
    </w:p>
    <w:p>
      <w:pPr>
        <w:tabs>
          <w:tab w:pos="1439" w:val="left" w:leader="none"/>
        </w:tabs>
        <w:spacing w:before="0"/>
        <w:ind w:left="1439" w:right="86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1"/>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spacing w:after="0"/>
        <w:jc w:val="left"/>
        <w:rPr>
          <w:sz w:val="22"/>
        </w:rPr>
        <w:sectPr>
          <w:pgSz w:w="12240" w:h="15840"/>
          <w:pgMar w:top="1360" w:bottom="280" w:left="1080" w:right="720"/>
        </w:sectPr>
      </w:pPr>
    </w:p>
    <w:p>
      <w:pPr>
        <w:pStyle w:val="Heading2"/>
      </w:pPr>
      <w:bookmarkStart w:name="612:10-7-162.  Textbooks, supplies, trai" w:id="181"/>
      <w:bookmarkEnd w:id="181"/>
      <w:r>
        <w:rPr>
          <w:b w:val="0"/>
        </w:rPr>
      </w:r>
      <w:r>
        <w:rPr/>
        <w:t>612:10-7-162.</w:t>
      </w:r>
      <w:r>
        <w:rPr>
          <w:spacing w:val="58"/>
        </w:rPr>
        <w:t> </w:t>
      </w:r>
      <w:r>
        <w:rPr/>
        <w:t>Textbooks,</w:t>
      </w:r>
      <w:r>
        <w:rPr>
          <w:spacing w:val="-4"/>
        </w:rPr>
        <w:t> </w:t>
      </w:r>
      <w:r>
        <w:rPr/>
        <w:t>supplies,</w:t>
      </w:r>
      <w:r>
        <w:rPr>
          <w:spacing w:val="-5"/>
        </w:rPr>
        <w:t> </w:t>
      </w:r>
      <w:r>
        <w:rPr/>
        <w:t>training</w:t>
      </w:r>
      <w:r>
        <w:rPr>
          <w:spacing w:val="-4"/>
        </w:rPr>
        <w:t> </w:t>
      </w:r>
      <w:r>
        <w:rPr/>
        <w:t>tools</w:t>
      </w:r>
      <w:r>
        <w:rPr>
          <w:spacing w:val="-5"/>
        </w:rPr>
        <w:t> </w:t>
      </w:r>
      <w:r>
        <w:rPr/>
        <w:t>and</w:t>
      </w:r>
      <w:r>
        <w:rPr>
          <w:spacing w:val="-4"/>
        </w:rPr>
        <w:t> </w:t>
      </w:r>
      <w:r>
        <w:rPr>
          <w:spacing w:val="-2"/>
        </w:rPr>
        <w:t>equipment</w:t>
      </w:r>
    </w:p>
    <w:p>
      <w:pPr>
        <w:pStyle w:val="ListParagraph"/>
        <w:numPr>
          <w:ilvl w:val="0"/>
          <w:numId w:val="196"/>
        </w:numPr>
        <w:tabs>
          <w:tab w:pos="786" w:val="left" w:leader="none"/>
        </w:tabs>
        <w:spacing w:line="208" w:lineRule="auto" w:before="233" w:after="0"/>
        <w:ind w:left="360" w:right="725" w:firstLine="0"/>
        <w:jc w:val="left"/>
        <w:rPr>
          <w:sz w:val="24"/>
        </w:rPr>
      </w:pPr>
      <w:r>
        <w:rPr>
          <w:sz w:val="24"/>
        </w:rPr>
        <w:t>For</w:t>
      </w:r>
      <w:r>
        <w:rPr>
          <w:spacing w:val="-4"/>
          <w:sz w:val="24"/>
        </w:rPr>
        <w:t> </w:t>
      </w:r>
      <w:r>
        <w:rPr>
          <w:sz w:val="24"/>
        </w:rPr>
        <w:t>clients</w:t>
      </w:r>
      <w:r>
        <w:rPr>
          <w:spacing w:val="-3"/>
          <w:sz w:val="24"/>
        </w:rPr>
        <w:t> </w:t>
      </w:r>
      <w:r>
        <w:rPr>
          <w:sz w:val="24"/>
        </w:rPr>
        <w:t>attending</w:t>
      </w:r>
      <w:r>
        <w:rPr>
          <w:spacing w:val="-3"/>
          <w:sz w:val="24"/>
        </w:rPr>
        <w:t> </w:t>
      </w:r>
      <w:r>
        <w:rPr>
          <w:sz w:val="24"/>
        </w:rPr>
        <w:t>training,</w:t>
      </w:r>
      <w:r>
        <w:rPr>
          <w:spacing w:val="-1"/>
          <w:sz w:val="24"/>
        </w:rPr>
        <w:t> </w:t>
      </w:r>
      <w:r>
        <w:rPr>
          <w:sz w:val="24"/>
        </w:rPr>
        <w:t>an</w:t>
      </w:r>
      <w:r>
        <w:rPr>
          <w:spacing w:val="-3"/>
          <w:sz w:val="24"/>
        </w:rPr>
        <w:t> </w:t>
      </w:r>
      <w:r>
        <w:rPr>
          <w:sz w:val="24"/>
        </w:rPr>
        <w:t>allowance</w:t>
      </w:r>
      <w:r>
        <w:rPr>
          <w:spacing w:val="-3"/>
          <w:sz w:val="24"/>
        </w:rPr>
        <w:t> </w:t>
      </w:r>
      <w:r>
        <w:rPr>
          <w:sz w:val="24"/>
        </w:rPr>
        <w:t>may</w:t>
      </w:r>
      <w:r>
        <w:rPr>
          <w:spacing w:val="-3"/>
          <w:sz w:val="24"/>
        </w:rPr>
        <w:t> </w:t>
      </w:r>
      <w:r>
        <w:rPr>
          <w:sz w:val="24"/>
        </w:rPr>
        <w:t>be</w:t>
      </w:r>
      <w:r>
        <w:rPr>
          <w:spacing w:val="-4"/>
          <w:sz w:val="24"/>
        </w:rPr>
        <w:t> </w:t>
      </w:r>
      <w:r>
        <w:rPr>
          <w:sz w:val="24"/>
        </w:rPr>
        <w:t>provided</w:t>
      </w:r>
      <w:r>
        <w:rPr>
          <w:spacing w:val="-3"/>
          <w:sz w:val="24"/>
        </w:rPr>
        <w:t> </w:t>
      </w:r>
      <w:r>
        <w:rPr>
          <w:sz w:val="24"/>
        </w:rPr>
        <w:t>to</w:t>
      </w:r>
      <w:r>
        <w:rPr>
          <w:spacing w:val="-2"/>
          <w:sz w:val="24"/>
        </w:rPr>
        <w:t> </w:t>
      </w:r>
      <w:r>
        <w:rPr>
          <w:sz w:val="24"/>
        </w:rPr>
        <w:t>cover</w:t>
      </w:r>
      <w:r>
        <w:rPr>
          <w:spacing w:val="-3"/>
          <w:sz w:val="24"/>
        </w:rPr>
        <w:t> </w:t>
      </w:r>
      <w:r>
        <w:rPr>
          <w:sz w:val="24"/>
        </w:rPr>
        <w:t>the</w:t>
      </w:r>
      <w:r>
        <w:rPr>
          <w:spacing w:val="-4"/>
          <w:sz w:val="24"/>
        </w:rPr>
        <w:t> </w:t>
      </w:r>
      <w:r>
        <w:rPr>
          <w:sz w:val="24"/>
        </w:rPr>
        <w:t>actual</w:t>
      </w:r>
      <w:r>
        <w:rPr>
          <w:spacing w:val="-3"/>
          <w:sz w:val="24"/>
        </w:rPr>
        <w:t> </w:t>
      </w:r>
      <w:r>
        <w:rPr>
          <w:sz w:val="24"/>
        </w:rPr>
        <w:t>cost of required books, supplies, training tools and equipment, after available comparable benefits have been applied. When an allowance is provided, the client will be required</w:t>
      </w:r>
      <w:r>
        <w:rPr>
          <w:spacing w:val="40"/>
          <w:sz w:val="24"/>
        </w:rPr>
        <w:t> </w:t>
      </w:r>
      <w:r>
        <w:rPr>
          <w:sz w:val="24"/>
        </w:rPr>
        <w:t>to furnish documentation of the costs of required books, supplies, tools or equipment. The counselor will work with the client in obtaining and utilizing comparable benefits including the PELL grant and planning for the use of other resources to help meet this expense. The</w:t>
      </w:r>
      <w:r>
        <w:rPr>
          <w:spacing w:val="-1"/>
          <w:sz w:val="24"/>
        </w:rPr>
        <w:t> </w:t>
      </w:r>
      <w:r>
        <w:rPr>
          <w:sz w:val="24"/>
        </w:rPr>
        <w:t>textbook</w:t>
      </w:r>
      <w:r>
        <w:rPr>
          <w:spacing w:val="-1"/>
          <w:sz w:val="24"/>
        </w:rPr>
        <w:t> </w:t>
      </w:r>
      <w:r>
        <w:rPr>
          <w:sz w:val="24"/>
        </w:rPr>
        <w:t>allowance</w:t>
      </w:r>
      <w:r>
        <w:rPr>
          <w:spacing w:val="-1"/>
          <w:sz w:val="24"/>
        </w:rPr>
        <w:t> </w:t>
      </w:r>
      <w:r>
        <w:rPr>
          <w:sz w:val="24"/>
        </w:rPr>
        <w:t>will</w:t>
      </w:r>
      <w:r>
        <w:rPr>
          <w:spacing w:val="-1"/>
          <w:sz w:val="24"/>
        </w:rPr>
        <w:t> </w:t>
      </w:r>
      <w:r>
        <w:rPr>
          <w:sz w:val="24"/>
        </w:rPr>
        <w:t>be</w:t>
      </w:r>
      <w:r>
        <w:rPr>
          <w:spacing w:val="-1"/>
          <w:sz w:val="24"/>
        </w:rPr>
        <w:t> </w:t>
      </w:r>
      <w:r>
        <w:rPr>
          <w:sz w:val="24"/>
        </w:rPr>
        <w:t>adjusted</w:t>
      </w:r>
      <w:r>
        <w:rPr>
          <w:spacing w:val="-1"/>
          <w:sz w:val="24"/>
        </w:rPr>
        <w:t> </w:t>
      </w:r>
      <w:r>
        <w:rPr>
          <w:sz w:val="24"/>
        </w:rPr>
        <w:t>the</w:t>
      </w:r>
      <w:r>
        <w:rPr>
          <w:spacing w:val="-1"/>
          <w:sz w:val="24"/>
        </w:rPr>
        <w:t> </w:t>
      </w:r>
      <w:r>
        <w:rPr>
          <w:sz w:val="24"/>
        </w:rPr>
        <w:t>following</w:t>
      </w:r>
      <w:r>
        <w:rPr>
          <w:spacing w:val="-1"/>
          <w:sz w:val="24"/>
        </w:rPr>
        <w:t> </w:t>
      </w:r>
      <w:r>
        <w:rPr>
          <w:sz w:val="24"/>
        </w:rPr>
        <w:t>semester</w:t>
      </w:r>
      <w:r>
        <w:rPr>
          <w:spacing w:val="-2"/>
          <w:sz w:val="24"/>
        </w:rPr>
        <w:t> </w:t>
      </w:r>
      <w:r>
        <w:rPr>
          <w:sz w:val="24"/>
        </w:rPr>
        <w:t>for</w:t>
      </w:r>
      <w:r>
        <w:rPr>
          <w:spacing w:val="-2"/>
          <w:sz w:val="24"/>
        </w:rPr>
        <w:t> </w:t>
      </w:r>
      <w:r>
        <w:rPr>
          <w:sz w:val="24"/>
        </w:rPr>
        <w:t>clients</w:t>
      </w:r>
      <w:r>
        <w:rPr>
          <w:spacing w:val="-1"/>
          <w:sz w:val="24"/>
        </w:rPr>
        <w:t> </w:t>
      </w:r>
      <w:r>
        <w:rPr>
          <w:sz w:val="24"/>
        </w:rPr>
        <w:t>who fail or withdraw from courses paid by DVR or DSBVI. Only textbooks for the current semester's enrollment will be provided.</w:t>
      </w:r>
    </w:p>
    <w:p>
      <w:pPr>
        <w:pStyle w:val="ListParagraph"/>
        <w:numPr>
          <w:ilvl w:val="0"/>
          <w:numId w:val="196"/>
        </w:numPr>
        <w:tabs>
          <w:tab w:pos="786" w:val="left" w:leader="none"/>
        </w:tabs>
        <w:spacing w:line="208" w:lineRule="auto" w:before="239" w:after="0"/>
        <w:ind w:left="360" w:right="1232" w:firstLine="0"/>
        <w:jc w:val="left"/>
        <w:rPr>
          <w:sz w:val="24"/>
        </w:rPr>
      </w:pPr>
      <w:r>
        <w:rPr>
          <w:sz w:val="24"/>
        </w:rPr>
        <w:t>Training</w:t>
      </w:r>
      <w:r>
        <w:rPr>
          <w:spacing w:val="-4"/>
          <w:sz w:val="24"/>
        </w:rPr>
        <w:t> </w:t>
      </w:r>
      <w:r>
        <w:rPr>
          <w:sz w:val="24"/>
        </w:rPr>
        <w:t>tools</w:t>
      </w:r>
      <w:r>
        <w:rPr>
          <w:spacing w:val="-4"/>
          <w:sz w:val="24"/>
        </w:rPr>
        <w:t> </w:t>
      </w:r>
      <w:r>
        <w:rPr>
          <w:sz w:val="24"/>
        </w:rPr>
        <w:t>and</w:t>
      </w:r>
      <w:r>
        <w:rPr>
          <w:spacing w:val="-4"/>
          <w:sz w:val="24"/>
        </w:rPr>
        <w:t> </w:t>
      </w:r>
      <w:r>
        <w:rPr>
          <w:sz w:val="24"/>
        </w:rPr>
        <w:t>equipment</w:t>
      </w:r>
      <w:r>
        <w:rPr>
          <w:spacing w:val="-2"/>
          <w:sz w:val="24"/>
        </w:rPr>
        <w:t> </w:t>
      </w:r>
      <w:r>
        <w:rPr>
          <w:sz w:val="24"/>
        </w:rPr>
        <w:t>costing</w:t>
      </w:r>
      <w:r>
        <w:rPr>
          <w:spacing w:val="-4"/>
          <w:sz w:val="24"/>
        </w:rPr>
        <w:t> </w:t>
      </w:r>
      <w:r>
        <w:rPr>
          <w:sz w:val="24"/>
        </w:rPr>
        <w:t>more</w:t>
      </w:r>
      <w:r>
        <w:rPr>
          <w:spacing w:val="-4"/>
          <w:sz w:val="24"/>
        </w:rPr>
        <w:t> </w:t>
      </w:r>
      <w:r>
        <w:rPr>
          <w:sz w:val="24"/>
        </w:rPr>
        <w:t>than</w:t>
      </w:r>
      <w:r>
        <w:rPr>
          <w:spacing w:val="-4"/>
          <w:sz w:val="24"/>
        </w:rPr>
        <w:t> </w:t>
      </w:r>
      <w:r>
        <w:rPr>
          <w:sz w:val="24"/>
        </w:rPr>
        <w:t>$500</w:t>
      </w:r>
      <w:r>
        <w:rPr>
          <w:spacing w:val="-4"/>
          <w:sz w:val="24"/>
        </w:rPr>
        <w:t> </w:t>
      </w:r>
      <w:r>
        <w:rPr>
          <w:sz w:val="24"/>
        </w:rPr>
        <w:t>will</w:t>
      </w:r>
      <w:r>
        <w:rPr>
          <w:spacing w:val="-4"/>
          <w:sz w:val="24"/>
        </w:rPr>
        <w:t> </w:t>
      </w:r>
      <w:r>
        <w:rPr>
          <w:sz w:val="24"/>
        </w:rPr>
        <w:t>be</w:t>
      </w:r>
      <w:r>
        <w:rPr>
          <w:spacing w:val="-4"/>
          <w:sz w:val="24"/>
        </w:rPr>
        <w:t> </w:t>
      </w:r>
      <w:r>
        <w:rPr>
          <w:sz w:val="24"/>
        </w:rPr>
        <w:t>purchased</w:t>
      </w:r>
      <w:r>
        <w:rPr>
          <w:spacing w:val="-4"/>
          <w:sz w:val="24"/>
        </w:rPr>
        <w:t> </w:t>
      </w:r>
      <w:r>
        <w:rPr>
          <w:sz w:val="24"/>
        </w:rPr>
        <w:t>directly from the provider in accordance with DRS administrative rules.</w:t>
      </w:r>
    </w:p>
    <w:p>
      <w:pPr>
        <w:pStyle w:val="ListParagraph"/>
        <w:numPr>
          <w:ilvl w:val="0"/>
          <w:numId w:val="196"/>
        </w:numPr>
        <w:tabs>
          <w:tab w:pos="773" w:val="left" w:leader="none"/>
        </w:tabs>
        <w:spacing w:line="208" w:lineRule="auto" w:before="240" w:after="0"/>
        <w:ind w:left="360" w:right="740" w:firstLine="0"/>
        <w:jc w:val="left"/>
        <w:rPr>
          <w:sz w:val="24"/>
        </w:rPr>
      </w:pPr>
      <w:r>
        <w:rPr>
          <w:sz w:val="24"/>
        </w:rPr>
        <w:t>The client, or client's family or authorized representative as appropriate, is responsible for maintaining supplies and training tools in good working order. DVR and DSBVI</w:t>
      </w:r>
      <w:r>
        <w:rPr>
          <w:spacing w:val="-3"/>
          <w:sz w:val="24"/>
        </w:rPr>
        <w:t> </w:t>
      </w:r>
      <w:r>
        <w:rPr>
          <w:sz w:val="24"/>
        </w:rPr>
        <w:t>will</w:t>
      </w:r>
      <w:r>
        <w:rPr>
          <w:spacing w:val="-3"/>
          <w:sz w:val="24"/>
        </w:rPr>
        <w:t> </w:t>
      </w:r>
      <w:r>
        <w:rPr>
          <w:sz w:val="24"/>
        </w:rPr>
        <w:t>pay</w:t>
      </w:r>
      <w:r>
        <w:rPr>
          <w:spacing w:val="-4"/>
          <w:sz w:val="24"/>
        </w:rPr>
        <w:t> </w:t>
      </w:r>
      <w:r>
        <w:rPr>
          <w:sz w:val="24"/>
        </w:rPr>
        <w:t>for</w:t>
      </w:r>
      <w:r>
        <w:rPr>
          <w:spacing w:val="-3"/>
          <w:sz w:val="24"/>
        </w:rPr>
        <w:t> </w:t>
      </w:r>
      <w:r>
        <w:rPr>
          <w:sz w:val="24"/>
        </w:rPr>
        <w:t>repairs</w:t>
      </w:r>
      <w:r>
        <w:rPr>
          <w:spacing w:val="-4"/>
          <w:sz w:val="24"/>
        </w:rPr>
        <w:t> </w:t>
      </w:r>
      <w:r>
        <w:rPr>
          <w:sz w:val="24"/>
        </w:rPr>
        <w:t>to</w:t>
      </w:r>
      <w:r>
        <w:rPr>
          <w:spacing w:val="-4"/>
          <w:sz w:val="24"/>
        </w:rPr>
        <w:t> </w:t>
      </w:r>
      <w:r>
        <w:rPr>
          <w:sz w:val="24"/>
        </w:rPr>
        <w:t>supplies</w:t>
      </w:r>
      <w:r>
        <w:rPr>
          <w:spacing w:val="-4"/>
          <w:sz w:val="24"/>
        </w:rPr>
        <w:t> </w:t>
      </w:r>
      <w:r>
        <w:rPr>
          <w:sz w:val="24"/>
        </w:rPr>
        <w:t>and</w:t>
      </w:r>
      <w:r>
        <w:rPr>
          <w:spacing w:val="-4"/>
          <w:sz w:val="24"/>
        </w:rPr>
        <w:t> </w:t>
      </w:r>
      <w:r>
        <w:rPr>
          <w:sz w:val="24"/>
        </w:rPr>
        <w:t>training</w:t>
      </w:r>
      <w:r>
        <w:rPr>
          <w:spacing w:val="-4"/>
          <w:sz w:val="24"/>
        </w:rPr>
        <w:t> </w:t>
      </w:r>
      <w:r>
        <w:rPr>
          <w:sz w:val="24"/>
        </w:rPr>
        <w:t>tools</w:t>
      </w:r>
      <w:r>
        <w:rPr>
          <w:spacing w:val="-3"/>
          <w:sz w:val="24"/>
        </w:rPr>
        <w:t> </w:t>
      </w:r>
      <w:r>
        <w:rPr>
          <w:sz w:val="24"/>
        </w:rPr>
        <w:t>purchased</w:t>
      </w:r>
      <w:r>
        <w:rPr>
          <w:spacing w:val="-3"/>
          <w:sz w:val="24"/>
        </w:rPr>
        <w:t> </w:t>
      </w:r>
      <w:r>
        <w:rPr>
          <w:sz w:val="24"/>
        </w:rPr>
        <w:t>with</w:t>
      </w:r>
      <w:r>
        <w:rPr>
          <w:spacing w:val="-4"/>
          <w:sz w:val="24"/>
        </w:rPr>
        <w:t> </w:t>
      </w:r>
      <w:r>
        <w:rPr>
          <w:sz w:val="24"/>
        </w:rPr>
        <w:t>DVR</w:t>
      </w:r>
      <w:r>
        <w:rPr>
          <w:spacing w:val="-3"/>
          <w:sz w:val="24"/>
        </w:rPr>
        <w:t> </w:t>
      </w:r>
      <w:r>
        <w:rPr>
          <w:sz w:val="24"/>
        </w:rPr>
        <w:t>and</w:t>
      </w:r>
      <w:r>
        <w:rPr>
          <w:spacing w:val="-4"/>
          <w:sz w:val="24"/>
        </w:rPr>
        <w:t> </w:t>
      </w:r>
      <w:r>
        <w:rPr>
          <w:sz w:val="24"/>
        </w:rPr>
        <w:t>DSBVI funds during the life of the case unless there is clear evidence the supplies or training tools have been damaged due to client abuse or neglect.</w:t>
      </w:r>
    </w:p>
    <w:p>
      <w:pPr>
        <w:pStyle w:val="ListParagraph"/>
        <w:numPr>
          <w:ilvl w:val="0"/>
          <w:numId w:val="196"/>
        </w:numPr>
        <w:tabs>
          <w:tab w:pos="785" w:val="left" w:leader="none"/>
        </w:tabs>
        <w:spacing w:line="208" w:lineRule="auto" w:before="239" w:after="0"/>
        <w:ind w:left="360" w:right="1008" w:firstLine="0"/>
        <w:jc w:val="left"/>
        <w:rPr>
          <w:sz w:val="24"/>
        </w:rPr>
      </w:pPr>
      <w:r>
        <w:rPr>
          <w:sz w:val="24"/>
        </w:rPr>
        <w:t>Gun</w:t>
      </w:r>
      <w:r>
        <w:rPr>
          <w:spacing w:val="-3"/>
          <w:sz w:val="24"/>
        </w:rPr>
        <w:t> </w:t>
      </w:r>
      <w:r>
        <w:rPr>
          <w:sz w:val="24"/>
        </w:rPr>
        <w:t>"kits",</w:t>
      </w:r>
      <w:r>
        <w:rPr>
          <w:spacing w:val="-2"/>
          <w:sz w:val="24"/>
        </w:rPr>
        <w:t> </w:t>
      </w:r>
      <w:r>
        <w:rPr>
          <w:sz w:val="24"/>
        </w:rPr>
        <w:t>but</w:t>
      </w:r>
      <w:r>
        <w:rPr>
          <w:spacing w:val="-4"/>
          <w:sz w:val="24"/>
        </w:rPr>
        <w:t> </w:t>
      </w:r>
      <w:r>
        <w:rPr>
          <w:sz w:val="24"/>
        </w:rPr>
        <w:t>not</w:t>
      </w:r>
      <w:r>
        <w:rPr>
          <w:spacing w:val="-4"/>
          <w:sz w:val="24"/>
        </w:rPr>
        <w:t> </w:t>
      </w:r>
      <w:r>
        <w:rPr>
          <w:sz w:val="24"/>
        </w:rPr>
        <w:t>operable</w:t>
      </w:r>
      <w:r>
        <w:rPr>
          <w:spacing w:val="-3"/>
          <w:sz w:val="24"/>
        </w:rPr>
        <w:t> </w:t>
      </w:r>
      <w:r>
        <w:rPr>
          <w:sz w:val="24"/>
        </w:rPr>
        <w:t>firearms,</w:t>
      </w:r>
      <w:r>
        <w:rPr>
          <w:spacing w:val="-2"/>
          <w:sz w:val="24"/>
        </w:rPr>
        <w:t> </w:t>
      </w:r>
      <w:r>
        <w:rPr>
          <w:sz w:val="24"/>
        </w:rPr>
        <w:t>used</w:t>
      </w:r>
      <w:r>
        <w:rPr>
          <w:spacing w:val="-3"/>
          <w:sz w:val="24"/>
        </w:rPr>
        <w:t> </w:t>
      </w:r>
      <w:r>
        <w:rPr>
          <w:sz w:val="24"/>
        </w:rPr>
        <w:t>as</w:t>
      </w:r>
      <w:r>
        <w:rPr>
          <w:spacing w:val="-3"/>
          <w:sz w:val="24"/>
        </w:rPr>
        <w:t> </w:t>
      </w:r>
      <w:r>
        <w:rPr>
          <w:sz w:val="24"/>
        </w:rPr>
        <w:t>training</w:t>
      </w:r>
      <w:r>
        <w:rPr>
          <w:spacing w:val="-3"/>
          <w:sz w:val="24"/>
        </w:rPr>
        <w:t> </w:t>
      </w:r>
      <w:r>
        <w:rPr>
          <w:sz w:val="24"/>
        </w:rPr>
        <w:t>tools</w:t>
      </w:r>
      <w:r>
        <w:rPr>
          <w:spacing w:val="-3"/>
          <w:sz w:val="24"/>
        </w:rPr>
        <w:t> </w:t>
      </w:r>
      <w:r>
        <w:rPr>
          <w:sz w:val="24"/>
        </w:rPr>
        <w:t>may</w:t>
      </w:r>
      <w:r>
        <w:rPr>
          <w:spacing w:val="-3"/>
          <w:sz w:val="24"/>
        </w:rPr>
        <w:t> </w:t>
      </w:r>
      <w:r>
        <w:rPr>
          <w:sz w:val="24"/>
        </w:rPr>
        <w:t>be</w:t>
      </w:r>
      <w:r>
        <w:rPr>
          <w:spacing w:val="-3"/>
          <w:sz w:val="24"/>
        </w:rPr>
        <w:t> </w:t>
      </w:r>
      <w:r>
        <w:rPr>
          <w:sz w:val="24"/>
        </w:rPr>
        <w:t>purchased</w:t>
      </w:r>
      <w:r>
        <w:rPr>
          <w:spacing w:val="-3"/>
          <w:sz w:val="24"/>
        </w:rPr>
        <w:t> </w:t>
      </w:r>
      <w:r>
        <w:rPr>
          <w:sz w:val="24"/>
        </w:rPr>
        <w:t>for students in gun-smithing school only.</w:t>
      </w:r>
    </w:p>
    <w:p>
      <w:pPr>
        <w:pStyle w:val="ListParagraph"/>
        <w:numPr>
          <w:ilvl w:val="0"/>
          <w:numId w:val="196"/>
        </w:numPr>
        <w:tabs>
          <w:tab w:pos="786" w:val="left" w:leader="none"/>
        </w:tabs>
        <w:spacing w:line="208" w:lineRule="auto" w:before="240" w:after="0"/>
        <w:ind w:left="360" w:right="773" w:firstLine="0"/>
        <w:jc w:val="left"/>
        <w:rPr>
          <w:sz w:val="24"/>
        </w:rPr>
      </w:pPr>
      <w:r>
        <w:rPr>
          <w:sz w:val="24"/>
        </w:rPr>
        <w:t>The Department retains title to any tools costing $500 or more purchased for training purposes until title is released by an authorized agent of the Department. The counselor will complete the Receipt for Equipment and Title Agreement, and obtain necessary signatures, before releasing such tools to the client. Any tools purchased for training purposes remain with the client while he/she is in training and after the completion</w:t>
      </w:r>
      <w:r>
        <w:rPr>
          <w:spacing w:val="-2"/>
          <w:sz w:val="24"/>
        </w:rPr>
        <w:t> </w:t>
      </w:r>
      <w:r>
        <w:rPr>
          <w:sz w:val="24"/>
        </w:rPr>
        <w:t>of</w:t>
      </w:r>
      <w:r>
        <w:rPr>
          <w:spacing w:val="-2"/>
          <w:sz w:val="24"/>
        </w:rPr>
        <w:t> </w:t>
      </w:r>
      <w:r>
        <w:rPr>
          <w:sz w:val="24"/>
        </w:rPr>
        <w:t>the</w:t>
      </w:r>
      <w:r>
        <w:rPr>
          <w:spacing w:val="-4"/>
          <w:sz w:val="24"/>
        </w:rPr>
        <w:t> </w:t>
      </w:r>
      <w:r>
        <w:rPr>
          <w:sz w:val="24"/>
        </w:rPr>
        <w:t>training</w:t>
      </w:r>
      <w:r>
        <w:rPr>
          <w:spacing w:val="-3"/>
          <w:sz w:val="24"/>
        </w:rPr>
        <w:t> </w:t>
      </w:r>
      <w:r>
        <w:rPr>
          <w:sz w:val="24"/>
        </w:rPr>
        <w:t>if</w:t>
      </w:r>
      <w:r>
        <w:rPr>
          <w:spacing w:val="-2"/>
          <w:sz w:val="24"/>
        </w:rPr>
        <w:t> </w:t>
      </w:r>
      <w:r>
        <w:rPr>
          <w:sz w:val="24"/>
        </w:rPr>
        <w:t>they</w:t>
      </w:r>
      <w:r>
        <w:rPr>
          <w:spacing w:val="-3"/>
          <w:sz w:val="24"/>
        </w:rPr>
        <w:t> </w:t>
      </w:r>
      <w:r>
        <w:rPr>
          <w:sz w:val="24"/>
        </w:rPr>
        <w:t>can</w:t>
      </w:r>
      <w:r>
        <w:rPr>
          <w:spacing w:val="-3"/>
          <w:sz w:val="24"/>
        </w:rPr>
        <w:t> </w:t>
      </w:r>
      <w:r>
        <w:rPr>
          <w:sz w:val="24"/>
        </w:rPr>
        <w:t>be</w:t>
      </w:r>
      <w:r>
        <w:rPr>
          <w:spacing w:val="-3"/>
          <w:sz w:val="24"/>
        </w:rPr>
        <w:t> </w:t>
      </w:r>
      <w:r>
        <w:rPr>
          <w:sz w:val="24"/>
        </w:rPr>
        <w:t>used</w:t>
      </w:r>
      <w:r>
        <w:rPr>
          <w:spacing w:val="-2"/>
          <w:sz w:val="24"/>
        </w:rPr>
        <w:t> </w:t>
      </w:r>
      <w:r>
        <w:rPr>
          <w:sz w:val="24"/>
        </w:rPr>
        <w:t>in</w:t>
      </w:r>
      <w:r>
        <w:rPr>
          <w:spacing w:val="-3"/>
          <w:sz w:val="24"/>
        </w:rPr>
        <w:t> </w:t>
      </w:r>
      <w:r>
        <w:rPr>
          <w:sz w:val="24"/>
        </w:rPr>
        <w:t>the</w:t>
      </w:r>
      <w:r>
        <w:rPr>
          <w:spacing w:val="-3"/>
          <w:sz w:val="24"/>
        </w:rPr>
        <w:t> </w:t>
      </w:r>
      <w:r>
        <w:rPr>
          <w:sz w:val="24"/>
        </w:rPr>
        <w:t>client's</w:t>
      </w:r>
      <w:r>
        <w:rPr>
          <w:spacing w:val="-3"/>
          <w:sz w:val="24"/>
        </w:rPr>
        <w:t> </w:t>
      </w:r>
      <w:r>
        <w:rPr>
          <w:sz w:val="24"/>
        </w:rPr>
        <w:t>chosen</w:t>
      </w:r>
      <w:r>
        <w:rPr>
          <w:spacing w:val="-3"/>
          <w:sz w:val="24"/>
        </w:rPr>
        <w:t> </w:t>
      </w:r>
      <w:r>
        <w:rPr>
          <w:sz w:val="24"/>
        </w:rPr>
        <w:t>vocation.</w:t>
      </w:r>
      <w:r>
        <w:rPr>
          <w:spacing w:val="-2"/>
          <w:sz w:val="24"/>
        </w:rPr>
        <w:t> </w:t>
      </w:r>
      <w:r>
        <w:rPr>
          <w:sz w:val="24"/>
        </w:rPr>
        <w:t>If</w:t>
      </w:r>
      <w:r>
        <w:rPr>
          <w:spacing w:val="-4"/>
          <w:sz w:val="24"/>
        </w:rPr>
        <w:t> </w:t>
      </w:r>
      <w:r>
        <w:rPr>
          <w:sz w:val="24"/>
        </w:rPr>
        <w:t>the</w:t>
      </w:r>
      <w:r>
        <w:rPr>
          <w:spacing w:val="-3"/>
          <w:sz w:val="24"/>
        </w:rPr>
        <w:t> </w:t>
      </w:r>
      <w:r>
        <w:rPr>
          <w:sz w:val="24"/>
        </w:rPr>
        <w:t>client drops out of training, DRS at its discretion may take steps to repossess the tools to transfer to another client.</w:t>
      </w:r>
    </w:p>
    <w:p>
      <w:pPr>
        <w:pStyle w:val="ListParagraph"/>
        <w:numPr>
          <w:ilvl w:val="0"/>
          <w:numId w:val="196"/>
        </w:numPr>
        <w:tabs>
          <w:tab w:pos="719" w:val="left" w:leader="none"/>
        </w:tabs>
        <w:spacing w:line="208" w:lineRule="auto" w:before="239" w:after="0"/>
        <w:ind w:left="360" w:right="822" w:firstLine="0"/>
        <w:jc w:val="left"/>
        <w:rPr>
          <w:sz w:val="24"/>
        </w:rPr>
      </w:pPr>
      <w:r>
        <w:rPr>
          <w:sz w:val="24"/>
        </w:rPr>
        <w:t>Case</w:t>
      </w:r>
      <w:r>
        <w:rPr>
          <w:spacing w:val="-4"/>
          <w:sz w:val="24"/>
        </w:rPr>
        <w:t> </w:t>
      </w:r>
      <w:r>
        <w:rPr>
          <w:sz w:val="24"/>
        </w:rPr>
        <w:t>recording</w:t>
      </w:r>
      <w:r>
        <w:rPr>
          <w:spacing w:val="-4"/>
          <w:sz w:val="24"/>
        </w:rPr>
        <w:t> </w:t>
      </w:r>
      <w:r>
        <w:rPr>
          <w:sz w:val="24"/>
        </w:rPr>
        <w:t>must</w:t>
      </w:r>
      <w:r>
        <w:rPr>
          <w:spacing w:val="-3"/>
          <w:sz w:val="24"/>
        </w:rPr>
        <w:t> </w:t>
      </w:r>
      <w:r>
        <w:rPr>
          <w:sz w:val="24"/>
        </w:rPr>
        <w:t>reflect</w:t>
      </w:r>
      <w:r>
        <w:rPr>
          <w:spacing w:val="-5"/>
          <w:sz w:val="24"/>
        </w:rPr>
        <w:t> </w:t>
      </w:r>
      <w:r>
        <w:rPr>
          <w:sz w:val="24"/>
        </w:rPr>
        <w:t>the</w:t>
      </w:r>
      <w:r>
        <w:rPr>
          <w:spacing w:val="-4"/>
          <w:sz w:val="24"/>
        </w:rPr>
        <w:t> </w:t>
      </w:r>
      <w:r>
        <w:rPr>
          <w:sz w:val="24"/>
        </w:rPr>
        <w:t>disposition</w:t>
      </w:r>
      <w:r>
        <w:rPr>
          <w:spacing w:val="-4"/>
          <w:sz w:val="24"/>
        </w:rPr>
        <w:t> </w:t>
      </w:r>
      <w:r>
        <w:rPr>
          <w:sz w:val="24"/>
        </w:rPr>
        <w:t>of</w:t>
      </w:r>
      <w:r>
        <w:rPr>
          <w:spacing w:val="-3"/>
          <w:sz w:val="24"/>
        </w:rPr>
        <w:t> </w:t>
      </w:r>
      <w:r>
        <w:rPr>
          <w:sz w:val="24"/>
        </w:rPr>
        <w:t>tools</w:t>
      </w:r>
      <w:r>
        <w:rPr>
          <w:spacing w:val="-4"/>
          <w:sz w:val="24"/>
        </w:rPr>
        <w:t> </w:t>
      </w:r>
      <w:r>
        <w:rPr>
          <w:sz w:val="24"/>
        </w:rPr>
        <w:t>and</w:t>
      </w:r>
      <w:r>
        <w:rPr>
          <w:spacing w:val="-4"/>
          <w:sz w:val="24"/>
        </w:rPr>
        <w:t> </w:t>
      </w:r>
      <w:r>
        <w:rPr>
          <w:sz w:val="24"/>
        </w:rPr>
        <w:t>materials</w:t>
      </w:r>
      <w:r>
        <w:rPr>
          <w:spacing w:val="-4"/>
          <w:sz w:val="24"/>
        </w:rPr>
        <w:t> </w:t>
      </w:r>
      <w:r>
        <w:rPr>
          <w:sz w:val="24"/>
        </w:rPr>
        <w:t>provided</w:t>
      </w:r>
      <w:r>
        <w:rPr>
          <w:spacing w:val="-4"/>
          <w:sz w:val="24"/>
        </w:rPr>
        <w:t> </w:t>
      </w:r>
      <w:r>
        <w:rPr>
          <w:sz w:val="24"/>
        </w:rPr>
        <w:t>the</w:t>
      </w:r>
      <w:r>
        <w:rPr>
          <w:spacing w:val="-4"/>
          <w:sz w:val="24"/>
        </w:rPr>
        <w:t> </w:t>
      </w:r>
      <w:r>
        <w:rPr>
          <w:sz w:val="24"/>
        </w:rPr>
        <w:t>client before the case is closed.</w:t>
      </w:r>
    </w:p>
    <w:p>
      <w:pPr>
        <w:pStyle w:val="ListParagraph"/>
        <w:numPr>
          <w:ilvl w:val="0"/>
          <w:numId w:val="196"/>
        </w:numPr>
        <w:tabs>
          <w:tab w:pos="786" w:val="left" w:leader="none"/>
        </w:tabs>
        <w:spacing w:line="208" w:lineRule="auto" w:before="240" w:after="0"/>
        <w:ind w:left="360" w:right="727" w:firstLine="0"/>
        <w:jc w:val="left"/>
        <w:rPr>
          <w:sz w:val="24"/>
        </w:rPr>
      </w:pPr>
      <w:r>
        <w:rPr>
          <w:sz w:val="24"/>
        </w:rPr>
        <w:t>Computers</w:t>
      </w:r>
      <w:r>
        <w:rPr>
          <w:spacing w:val="-2"/>
          <w:sz w:val="24"/>
        </w:rPr>
        <w:t> </w:t>
      </w:r>
      <w:r>
        <w:rPr>
          <w:sz w:val="24"/>
        </w:rPr>
        <w:t>and</w:t>
      </w:r>
      <w:r>
        <w:rPr>
          <w:spacing w:val="-2"/>
          <w:sz w:val="24"/>
        </w:rPr>
        <w:t> </w:t>
      </w:r>
      <w:r>
        <w:rPr>
          <w:sz w:val="24"/>
        </w:rPr>
        <w:t>related</w:t>
      </w:r>
      <w:r>
        <w:rPr>
          <w:spacing w:val="-2"/>
          <w:sz w:val="24"/>
        </w:rPr>
        <w:t> </w:t>
      </w:r>
      <w:r>
        <w:rPr>
          <w:sz w:val="24"/>
        </w:rPr>
        <w:t>high</w:t>
      </w:r>
      <w:r>
        <w:rPr>
          <w:spacing w:val="-2"/>
          <w:sz w:val="24"/>
        </w:rPr>
        <w:t> </w:t>
      </w:r>
      <w:r>
        <w:rPr>
          <w:sz w:val="24"/>
        </w:rPr>
        <w:t>tech</w:t>
      </w:r>
      <w:r>
        <w:rPr>
          <w:spacing w:val="-2"/>
          <w:sz w:val="24"/>
        </w:rPr>
        <w:t> </w:t>
      </w:r>
      <w:r>
        <w:rPr>
          <w:sz w:val="24"/>
        </w:rPr>
        <w:t>equipment</w:t>
      </w:r>
      <w:r>
        <w:rPr>
          <w:spacing w:val="-1"/>
          <w:sz w:val="24"/>
        </w:rPr>
        <w:t> </w:t>
      </w:r>
      <w:r>
        <w:rPr>
          <w:sz w:val="24"/>
        </w:rPr>
        <w:t>necessary</w:t>
      </w:r>
      <w:r>
        <w:rPr>
          <w:spacing w:val="-2"/>
          <w:sz w:val="24"/>
        </w:rPr>
        <w:t> </w:t>
      </w:r>
      <w:r>
        <w:rPr>
          <w:sz w:val="24"/>
        </w:rPr>
        <w:t>for</w:t>
      </w:r>
      <w:r>
        <w:rPr>
          <w:spacing w:val="-3"/>
          <w:sz w:val="24"/>
        </w:rPr>
        <w:t> </w:t>
      </w:r>
      <w:r>
        <w:rPr>
          <w:sz w:val="24"/>
        </w:rPr>
        <w:t>the</w:t>
      </w:r>
      <w:r>
        <w:rPr>
          <w:spacing w:val="-2"/>
          <w:sz w:val="24"/>
        </w:rPr>
        <w:t> </w:t>
      </w:r>
      <w:r>
        <w:rPr>
          <w:sz w:val="24"/>
        </w:rPr>
        <w:t>client</w:t>
      </w:r>
      <w:r>
        <w:rPr>
          <w:spacing w:val="-1"/>
          <w:sz w:val="24"/>
        </w:rPr>
        <w:t> </w:t>
      </w:r>
      <w:r>
        <w:rPr>
          <w:sz w:val="24"/>
        </w:rPr>
        <w:t>to</w:t>
      </w:r>
      <w:r>
        <w:rPr>
          <w:spacing w:val="-2"/>
          <w:sz w:val="24"/>
        </w:rPr>
        <w:t> </w:t>
      </w:r>
      <w:r>
        <w:rPr>
          <w:sz w:val="24"/>
        </w:rPr>
        <w:t>participate</w:t>
      </w:r>
      <w:r>
        <w:rPr>
          <w:spacing w:val="-2"/>
          <w:sz w:val="24"/>
        </w:rPr>
        <w:t> </w:t>
      </w:r>
      <w:r>
        <w:rPr>
          <w:sz w:val="24"/>
        </w:rPr>
        <w:t>in a training program or required by the training entity may be purchased as a client service in accordance with agency administrative rule(s), or participation in the rehabilitation process, or is essential to the client's achievement of his or her employment</w:t>
      </w:r>
      <w:r>
        <w:rPr>
          <w:spacing w:val="-3"/>
          <w:sz w:val="24"/>
        </w:rPr>
        <w:t> </w:t>
      </w:r>
      <w:r>
        <w:rPr>
          <w:sz w:val="24"/>
        </w:rPr>
        <w:t>outcome.</w:t>
      </w:r>
      <w:r>
        <w:rPr>
          <w:spacing w:val="-3"/>
          <w:sz w:val="24"/>
        </w:rPr>
        <w:t> </w:t>
      </w:r>
      <w:r>
        <w:rPr>
          <w:sz w:val="24"/>
        </w:rPr>
        <w:t>The</w:t>
      </w:r>
      <w:r>
        <w:rPr>
          <w:spacing w:val="-4"/>
          <w:sz w:val="24"/>
        </w:rPr>
        <w:t> </w:t>
      </w:r>
      <w:r>
        <w:rPr>
          <w:sz w:val="24"/>
        </w:rPr>
        <w:t>cost</w:t>
      </w:r>
      <w:r>
        <w:rPr>
          <w:spacing w:val="-5"/>
          <w:sz w:val="24"/>
        </w:rPr>
        <w:t> </w:t>
      </w:r>
      <w:r>
        <w:rPr>
          <w:sz w:val="24"/>
        </w:rPr>
        <w:t>of</w:t>
      </w:r>
      <w:r>
        <w:rPr>
          <w:spacing w:val="-3"/>
          <w:sz w:val="24"/>
        </w:rPr>
        <w:t> </w:t>
      </w:r>
      <w:r>
        <w:rPr>
          <w:sz w:val="24"/>
        </w:rPr>
        <w:t>computers</w:t>
      </w:r>
      <w:r>
        <w:rPr>
          <w:spacing w:val="-4"/>
          <w:sz w:val="24"/>
        </w:rPr>
        <w:t> </w:t>
      </w:r>
      <w:r>
        <w:rPr>
          <w:sz w:val="24"/>
        </w:rPr>
        <w:t>and</w:t>
      </w:r>
      <w:r>
        <w:rPr>
          <w:spacing w:val="-4"/>
          <w:sz w:val="24"/>
        </w:rPr>
        <w:t> </w:t>
      </w:r>
      <w:r>
        <w:rPr>
          <w:sz w:val="24"/>
        </w:rPr>
        <w:t>related</w:t>
      </w:r>
      <w:r>
        <w:rPr>
          <w:spacing w:val="-4"/>
          <w:sz w:val="24"/>
        </w:rPr>
        <w:t> </w:t>
      </w:r>
      <w:r>
        <w:rPr>
          <w:sz w:val="24"/>
        </w:rPr>
        <w:t>equipment</w:t>
      </w:r>
      <w:r>
        <w:rPr>
          <w:spacing w:val="-3"/>
          <w:sz w:val="24"/>
        </w:rPr>
        <w:t> </w:t>
      </w:r>
      <w:r>
        <w:rPr>
          <w:sz w:val="24"/>
        </w:rPr>
        <w:t>will</w:t>
      </w:r>
      <w:r>
        <w:rPr>
          <w:spacing w:val="-4"/>
          <w:sz w:val="24"/>
        </w:rPr>
        <w:t> </w:t>
      </w:r>
      <w:r>
        <w:rPr>
          <w:sz w:val="24"/>
        </w:rPr>
        <w:t>not</w:t>
      </w:r>
      <w:r>
        <w:rPr>
          <w:spacing w:val="-3"/>
          <w:sz w:val="24"/>
        </w:rPr>
        <w:t> </w:t>
      </w:r>
      <w:r>
        <w:rPr>
          <w:sz w:val="24"/>
        </w:rPr>
        <w:t>be</w:t>
      </w:r>
      <w:r>
        <w:rPr>
          <w:spacing w:val="-4"/>
          <w:sz w:val="24"/>
        </w:rPr>
        <w:t> </w:t>
      </w:r>
      <w:r>
        <w:rPr>
          <w:sz w:val="24"/>
        </w:rPr>
        <w:t>included in an allowance for textbooks and supplies.</w:t>
      </w:r>
    </w:p>
    <w:p>
      <w:pPr>
        <w:pStyle w:val="BodyText"/>
        <w:spacing w:before="210"/>
      </w:pPr>
      <w:r>
        <w:rPr/>
        <w:t>Instructions</w:t>
      </w:r>
      <w:r>
        <w:rPr>
          <w:spacing w:val="-5"/>
        </w:rPr>
        <w:t> </w:t>
      </w:r>
      <w:r>
        <w:rPr/>
        <w:t>to</w:t>
      </w:r>
      <w:r>
        <w:rPr>
          <w:spacing w:val="-2"/>
        </w:rPr>
        <w:t> </w:t>
      </w:r>
      <w:r>
        <w:rPr>
          <w:spacing w:val="-4"/>
        </w:rPr>
        <w:t>Staff</w:t>
      </w:r>
    </w:p>
    <w:p>
      <w:pPr>
        <w:pStyle w:val="ListParagraph"/>
        <w:numPr>
          <w:ilvl w:val="1"/>
          <w:numId w:val="196"/>
        </w:numPr>
        <w:tabs>
          <w:tab w:pos="1078" w:val="left" w:leader="none"/>
        </w:tabs>
        <w:spacing w:line="240" w:lineRule="auto" w:before="204" w:after="0"/>
        <w:ind w:left="1078" w:right="0" w:hanging="286"/>
        <w:jc w:val="left"/>
        <w:rPr>
          <w:sz w:val="24"/>
        </w:rPr>
      </w:pPr>
      <w:r>
        <w:rPr>
          <w:sz w:val="24"/>
        </w:rPr>
        <w:t>See</w:t>
      </w:r>
      <w:r>
        <w:rPr>
          <w:spacing w:val="-7"/>
          <w:sz w:val="24"/>
        </w:rPr>
        <w:t> </w:t>
      </w:r>
      <w:hyperlink w:history="true" w:anchor="_bookmark5">
        <w:r>
          <w:rPr>
            <w:color w:val="0000FF"/>
            <w:sz w:val="24"/>
            <w:u w:val="single" w:color="0000FF"/>
          </w:rPr>
          <w:t>612:10-3-2</w:t>
        </w:r>
      </w:hyperlink>
      <w:r>
        <w:rPr>
          <w:sz w:val="24"/>
          <w:u w:val="none"/>
        </w:rPr>
        <w:t>.Consideration</w:t>
      </w:r>
      <w:r>
        <w:rPr>
          <w:spacing w:val="-4"/>
          <w:sz w:val="24"/>
          <w:u w:val="none"/>
        </w:rPr>
        <w:t> </w:t>
      </w:r>
      <w:r>
        <w:rPr>
          <w:sz w:val="24"/>
          <w:u w:val="none"/>
        </w:rPr>
        <w:t>of</w:t>
      </w:r>
      <w:r>
        <w:rPr>
          <w:spacing w:val="-4"/>
          <w:sz w:val="24"/>
          <w:u w:val="none"/>
        </w:rPr>
        <w:t> </w:t>
      </w:r>
      <w:r>
        <w:rPr>
          <w:sz w:val="24"/>
          <w:u w:val="none"/>
        </w:rPr>
        <w:t>comparable</w:t>
      </w:r>
      <w:r>
        <w:rPr>
          <w:spacing w:val="-5"/>
          <w:sz w:val="24"/>
          <w:u w:val="none"/>
        </w:rPr>
        <w:t> </w:t>
      </w:r>
      <w:r>
        <w:rPr>
          <w:sz w:val="24"/>
          <w:u w:val="none"/>
        </w:rPr>
        <w:t>services</w:t>
      </w:r>
      <w:r>
        <w:rPr>
          <w:spacing w:val="-4"/>
          <w:sz w:val="24"/>
          <w:u w:val="none"/>
        </w:rPr>
        <w:t> </w:t>
      </w:r>
      <w:r>
        <w:rPr>
          <w:sz w:val="24"/>
          <w:u w:val="none"/>
        </w:rPr>
        <w:t>and</w:t>
      </w:r>
      <w:r>
        <w:rPr>
          <w:spacing w:val="-4"/>
          <w:sz w:val="24"/>
          <w:u w:val="none"/>
        </w:rPr>
        <w:t> </w:t>
      </w:r>
      <w:r>
        <w:rPr>
          <w:spacing w:val="-2"/>
          <w:sz w:val="24"/>
          <w:u w:val="none"/>
        </w:rPr>
        <w:t>benefits</w:t>
      </w:r>
    </w:p>
    <w:p>
      <w:pPr>
        <w:pStyle w:val="ListParagraph"/>
        <w:numPr>
          <w:ilvl w:val="1"/>
          <w:numId w:val="196"/>
        </w:numPr>
        <w:tabs>
          <w:tab w:pos="1077" w:val="left" w:leader="none"/>
        </w:tabs>
        <w:spacing w:line="240" w:lineRule="auto" w:before="204" w:after="0"/>
        <w:ind w:left="1077" w:right="0" w:hanging="286"/>
        <w:jc w:val="left"/>
        <w:rPr>
          <w:sz w:val="24"/>
        </w:rPr>
      </w:pPr>
      <w:r>
        <w:rPr>
          <w:sz w:val="24"/>
        </w:rPr>
        <w:t>See</w:t>
      </w:r>
      <w:r>
        <w:rPr>
          <w:spacing w:val="-4"/>
          <w:sz w:val="24"/>
        </w:rPr>
        <w:t> </w:t>
      </w:r>
      <w:hyperlink w:history="true" w:anchor="_bookmark4">
        <w:r>
          <w:rPr>
            <w:color w:val="0000FF"/>
            <w:sz w:val="24"/>
            <w:u w:val="single" w:color="0000FF"/>
          </w:rPr>
          <w:t>612:10-1-7</w:t>
        </w:r>
      </w:hyperlink>
      <w:r>
        <w:rPr>
          <w:sz w:val="24"/>
          <w:u w:val="none"/>
        </w:rPr>
        <w:t>.</w:t>
      </w:r>
      <w:r>
        <w:rPr>
          <w:spacing w:val="-2"/>
          <w:sz w:val="24"/>
          <w:u w:val="none"/>
        </w:rPr>
        <w:t> </w:t>
      </w:r>
      <w:r>
        <w:rPr>
          <w:sz w:val="24"/>
          <w:u w:val="none"/>
        </w:rPr>
        <w:t>Purchase</w:t>
      </w:r>
      <w:r>
        <w:rPr>
          <w:spacing w:val="-3"/>
          <w:sz w:val="24"/>
          <w:u w:val="none"/>
        </w:rPr>
        <w:t> </w:t>
      </w:r>
      <w:r>
        <w:rPr>
          <w:sz w:val="24"/>
          <w:u w:val="none"/>
        </w:rPr>
        <w:t>of</w:t>
      </w:r>
      <w:r>
        <w:rPr>
          <w:spacing w:val="-3"/>
          <w:sz w:val="24"/>
          <w:u w:val="none"/>
        </w:rPr>
        <w:t> </w:t>
      </w:r>
      <w:r>
        <w:rPr>
          <w:sz w:val="24"/>
          <w:u w:val="none"/>
        </w:rPr>
        <w:t>services</w:t>
      </w:r>
      <w:r>
        <w:rPr>
          <w:spacing w:val="-3"/>
          <w:sz w:val="24"/>
          <w:u w:val="none"/>
        </w:rPr>
        <w:t> </w:t>
      </w:r>
      <w:r>
        <w:rPr>
          <w:sz w:val="24"/>
          <w:u w:val="none"/>
        </w:rPr>
        <w:t>and</w:t>
      </w:r>
      <w:r>
        <w:rPr>
          <w:spacing w:val="-3"/>
          <w:sz w:val="24"/>
          <w:u w:val="none"/>
        </w:rPr>
        <w:t> </w:t>
      </w:r>
      <w:r>
        <w:rPr>
          <w:sz w:val="24"/>
          <w:u w:val="none"/>
        </w:rPr>
        <w:t>goods</w:t>
      </w:r>
      <w:r>
        <w:rPr>
          <w:spacing w:val="-4"/>
          <w:sz w:val="24"/>
          <w:u w:val="none"/>
        </w:rPr>
        <w:t> </w:t>
      </w:r>
      <w:r>
        <w:rPr>
          <w:sz w:val="24"/>
          <w:u w:val="none"/>
        </w:rPr>
        <w:t>for</w:t>
      </w:r>
      <w:r>
        <w:rPr>
          <w:spacing w:val="-2"/>
          <w:sz w:val="24"/>
          <w:u w:val="none"/>
        </w:rPr>
        <w:t> </w:t>
      </w:r>
      <w:r>
        <w:rPr>
          <w:sz w:val="24"/>
          <w:u w:val="none"/>
        </w:rPr>
        <w:t>individuals</w:t>
      </w:r>
      <w:r>
        <w:rPr>
          <w:spacing w:val="-3"/>
          <w:sz w:val="24"/>
          <w:u w:val="none"/>
        </w:rPr>
        <w:t> </w:t>
      </w:r>
      <w:r>
        <w:rPr>
          <w:sz w:val="24"/>
          <w:u w:val="none"/>
        </w:rPr>
        <w:t>with</w:t>
      </w:r>
      <w:r>
        <w:rPr>
          <w:spacing w:val="-3"/>
          <w:sz w:val="24"/>
          <w:u w:val="none"/>
        </w:rPr>
        <w:t> </w:t>
      </w:r>
      <w:r>
        <w:rPr>
          <w:spacing w:val="-2"/>
          <w:sz w:val="24"/>
          <w:u w:val="none"/>
        </w:rPr>
        <w:t>disabilities</w:t>
      </w:r>
    </w:p>
    <w:p>
      <w:pPr>
        <w:pStyle w:val="ListParagraph"/>
        <w:numPr>
          <w:ilvl w:val="1"/>
          <w:numId w:val="196"/>
        </w:numPr>
        <w:tabs>
          <w:tab w:pos="1077" w:val="left" w:leader="none"/>
        </w:tabs>
        <w:spacing w:line="208" w:lineRule="auto" w:before="234" w:after="0"/>
        <w:ind w:left="791" w:right="961" w:firstLine="0"/>
        <w:jc w:val="left"/>
        <w:rPr>
          <w:sz w:val="24"/>
        </w:rPr>
      </w:pPr>
      <w:r>
        <w:rPr>
          <w:sz w:val="24"/>
        </w:rPr>
        <w:t>Equipment purchased on behalf of the client is subject to prior approval from RSA.</w:t>
      </w:r>
      <w:r>
        <w:rPr>
          <w:spacing w:val="-3"/>
          <w:sz w:val="24"/>
        </w:rPr>
        <w:t> </w:t>
      </w:r>
      <w:r>
        <w:rPr>
          <w:sz w:val="24"/>
        </w:rPr>
        <w:t>Prior</w:t>
      </w:r>
      <w:r>
        <w:rPr>
          <w:spacing w:val="-3"/>
          <w:sz w:val="24"/>
        </w:rPr>
        <w:t> </w:t>
      </w:r>
      <w:r>
        <w:rPr>
          <w:sz w:val="24"/>
        </w:rPr>
        <w:t>approval</w:t>
      </w:r>
      <w:r>
        <w:rPr>
          <w:spacing w:val="-4"/>
          <w:sz w:val="24"/>
        </w:rPr>
        <w:t> </w:t>
      </w:r>
      <w:r>
        <w:rPr>
          <w:sz w:val="24"/>
        </w:rPr>
        <w:t>for</w:t>
      </w:r>
      <w:r>
        <w:rPr>
          <w:spacing w:val="-3"/>
          <w:sz w:val="24"/>
        </w:rPr>
        <w:t> </w:t>
      </w:r>
      <w:r>
        <w:rPr>
          <w:sz w:val="24"/>
        </w:rPr>
        <w:t>this</w:t>
      </w:r>
      <w:r>
        <w:rPr>
          <w:spacing w:val="-4"/>
          <w:sz w:val="24"/>
        </w:rPr>
        <w:t> </w:t>
      </w:r>
      <w:r>
        <w:rPr>
          <w:sz w:val="24"/>
        </w:rPr>
        <w:t>section</w:t>
      </w:r>
      <w:r>
        <w:rPr>
          <w:spacing w:val="-4"/>
          <w:sz w:val="24"/>
        </w:rPr>
        <w:t> </w:t>
      </w:r>
      <w:r>
        <w:rPr>
          <w:sz w:val="24"/>
        </w:rPr>
        <w:t>is</w:t>
      </w:r>
      <w:r>
        <w:rPr>
          <w:spacing w:val="-4"/>
          <w:sz w:val="24"/>
        </w:rPr>
        <w:t> </w:t>
      </w:r>
      <w:r>
        <w:rPr>
          <w:sz w:val="24"/>
        </w:rPr>
        <w:t>received</w:t>
      </w:r>
      <w:r>
        <w:rPr>
          <w:spacing w:val="-4"/>
          <w:sz w:val="24"/>
        </w:rPr>
        <w:t> </w:t>
      </w:r>
      <w:r>
        <w:rPr>
          <w:sz w:val="24"/>
        </w:rPr>
        <w:t>as</w:t>
      </w:r>
      <w:r>
        <w:rPr>
          <w:spacing w:val="-4"/>
          <w:sz w:val="24"/>
        </w:rPr>
        <w:t> </w:t>
      </w:r>
      <w:r>
        <w:rPr>
          <w:sz w:val="24"/>
        </w:rPr>
        <w:t>part</w:t>
      </w:r>
      <w:r>
        <w:rPr>
          <w:spacing w:val="-3"/>
          <w:sz w:val="24"/>
        </w:rPr>
        <w:t> </w:t>
      </w:r>
      <w:r>
        <w:rPr>
          <w:sz w:val="24"/>
        </w:rPr>
        <w:t>of</w:t>
      </w:r>
      <w:r>
        <w:rPr>
          <w:spacing w:val="-4"/>
          <w:sz w:val="24"/>
        </w:rPr>
        <w:t> </w:t>
      </w:r>
      <w:r>
        <w:rPr>
          <w:sz w:val="24"/>
        </w:rPr>
        <w:t>the</w:t>
      </w:r>
      <w:r>
        <w:rPr>
          <w:spacing w:val="-4"/>
          <w:sz w:val="24"/>
        </w:rPr>
        <w:t> </w:t>
      </w:r>
      <w:r>
        <w:rPr>
          <w:sz w:val="24"/>
        </w:rPr>
        <w:t>aggregated</w:t>
      </w:r>
      <w:r>
        <w:rPr>
          <w:spacing w:val="-4"/>
          <w:sz w:val="24"/>
        </w:rPr>
        <w:t> </w:t>
      </w:r>
      <w:r>
        <w:rPr>
          <w:sz w:val="24"/>
        </w:rPr>
        <w:t>approval process as defined in </w:t>
      </w:r>
      <w:hyperlink r:id="rId55">
        <w:r>
          <w:rPr>
            <w:color w:val="0000FF"/>
            <w:sz w:val="24"/>
            <w:u w:val="single" w:color="0000FF"/>
          </w:rPr>
          <w:t>RSA-TAC-18-02</w:t>
        </w:r>
      </w:hyperlink>
      <w:r>
        <w:rPr>
          <w:sz w:val="24"/>
          <w:u w:val="none"/>
        </w:rPr>
        <w:t>.</w:t>
      </w:r>
    </w:p>
    <w:p>
      <w:pPr>
        <w:pStyle w:val="ListParagraph"/>
        <w:spacing w:after="0" w:line="208" w:lineRule="auto"/>
        <w:jc w:val="left"/>
        <w:rPr>
          <w:sz w:val="24"/>
        </w:rPr>
        <w:sectPr>
          <w:pgSz w:w="12240" w:h="15840"/>
          <w:pgMar w:top="1340" w:bottom="280" w:left="1080" w:right="720"/>
        </w:sectPr>
      </w:pPr>
    </w:p>
    <w:p>
      <w:pPr>
        <w:spacing w:before="80"/>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7"/>
          <w:sz w:val="22"/>
        </w:rPr>
        <w:t> </w:t>
      </w:r>
      <w:r>
        <w:rPr>
          <w:sz w:val="22"/>
        </w:rPr>
        <w:t>Title</w:t>
      </w:r>
      <w:r>
        <w:rPr>
          <w:spacing w:val="-7"/>
          <w:sz w:val="22"/>
        </w:rPr>
        <w:t> </w:t>
      </w:r>
      <w:r>
        <w:rPr>
          <w:sz w:val="22"/>
        </w:rPr>
        <w:t>612,</w:t>
      </w:r>
      <w:r>
        <w:rPr>
          <w:spacing w:val="-8"/>
          <w:sz w:val="22"/>
        </w:rPr>
        <w:t> </w:t>
      </w:r>
      <w:r>
        <w:rPr>
          <w:sz w:val="22"/>
        </w:rPr>
        <w:t>added</w:t>
      </w:r>
      <w:r>
        <w:rPr>
          <w:spacing w:val="-7"/>
          <w:sz w:val="22"/>
        </w:rPr>
        <w:t> </w:t>
      </w:r>
      <w:r>
        <w:rPr>
          <w:sz w:val="22"/>
        </w:rPr>
        <w:t>requirement</w:t>
      </w:r>
      <w:r>
        <w:rPr>
          <w:spacing w:val="-6"/>
          <w:sz w:val="22"/>
        </w:rPr>
        <w:t> </w:t>
      </w:r>
      <w:r>
        <w:rPr>
          <w:sz w:val="22"/>
        </w:rPr>
        <w:t>for</w:t>
      </w:r>
      <w:r>
        <w:rPr>
          <w:spacing w:val="-7"/>
          <w:sz w:val="22"/>
        </w:rPr>
        <w:t> </w:t>
      </w:r>
      <w:r>
        <w:rPr>
          <w:spacing w:val="-2"/>
          <w:sz w:val="22"/>
        </w:rPr>
        <w:t>title</w:t>
      </w:r>
    </w:p>
    <w:p>
      <w:pPr>
        <w:spacing w:before="0"/>
        <w:ind w:left="359" w:right="0" w:firstLine="0"/>
        <w:jc w:val="left"/>
        <w:rPr>
          <w:sz w:val="22"/>
        </w:rPr>
      </w:pPr>
      <w:r>
        <w:rPr>
          <w:spacing w:val="-2"/>
          <w:sz w:val="22"/>
        </w:rPr>
        <w:t>agreement</w:t>
      </w:r>
    </w:p>
    <w:p>
      <w:pPr>
        <w:tabs>
          <w:tab w:pos="1439" w:val="left" w:leader="none"/>
        </w:tabs>
        <w:spacing w:before="0"/>
        <w:ind w:left="359" w:right="0" w:firstLine="0"/>
        <w:jc w:val="left"/>
        <w:rPr>
          <w:sz w:val="22"/>
        </w:rPr>
      </w:pPr>
      <w:r>
        <w:rPr>
          <w:spacing w:val="-2"/>
          <w:sz w:val="22"/>
        </w:rPr>
        <w:t>4-3-</w:t>
      </w:r>
      <w:r>
        <w:rPr>
          <w:spacing w:val="-5"/>
          <w:sz w:val="22"/>
        </w:rPr>
        <w:t>96</w:t>
      </w:r>
      <w:r>
        <w:rPr>
          <w:sz w:val="22"/>
        </w:rPr>
        <w:tab/>
        <w:t>PT</w:t>
      </w:r>
      <w:r>
        <w:rPr>
          <w:spacing w:val="-8"/>
          <w:sz w:val="22"/>
        </w:rPr>
        <w:t> </w:t>
      </w:r>
      <w:r>
        <w:rPr>
          <w:sz w:val="22"/>
        </w:rPr>
        <w:t>Memo</w:t>
      </w:r>
      <w:r>
        <w:rPr>
          <w:spacing w:val="-8"/>
          <w:sz w:val="22"/>
        </w:rPr>
        <w:t> </w:t>
      </w:r>
      <w:r>
        <w:rPr>
          <w:sz w:val="22"/>
        </w:rPr>
        <w:t>#96-</w:t>
      </w:r>
      <w:r>
        <w:rPr>
          <w:spacing w:val="-10"/>
          <w:sz w:val="22"/>
        </w:rPr>
        <w:t>2</w:t>
      </w:r>
    </w:p>
    <w:p>
      <w:pPr>
        <w:spacing w:before="1"/>
        <w:ind w:left="1439" w:right="1036" w:firstLine="0"/>
        <w:jc w:val="left"/>
        <w:rPr>
          <w:sz w:val="22"/>
        </w:rPr>
      </w:pPr>
      <w:r>
        <w:rPr>
          <w:sz w:val="22"/>
        </w:rPr>
        <w:t>Emergency,</w:t>
      </w:r>
      <w:r>
        <w:rPr>
          <w:spacing w:val="-4"/>
          <w:sz w:val="22"/>
        </w:rPr>
        <w:t> </w:t>
      </w:r>
      <w:r>
        <w:rPr>
          <w:sz w:val="22"/>
        </w:rPr>
        <w:t>client</w:t>
      </w:r>
      <w:r>
        <w:rPr>
          <w:spacing w:val="-4"/>
          <w:sz w:val="22"/>
        </w:rPr>
        <w:t> </w:t>
      </w:r>
      <w:r>
        <w:rPr>
          <w:sz w:val="22"/>
        </w:rPr>
        <w:t>responsible</w:t>
      </w:r>
      <w:r>
        <w:rPr>
          <w:spacing w:val="-4"/>
          <w:sz w:val="22"/>
        </w:rPr>
        <w:t> </w:t>
      </w:r>
      <w:r>
        <w:rPr>
          <w:sz w:val="22"/>
        </w:rPr>
        <w:t>for</w:t>
      </w:r>
      <w:r>
        <w:rPr>
          <w:spacing w:val="-4"/>
          <w:sz w:val="22"/>
        </w:rPr>
        <w:t> </w:t>
      </w:r>
      <w:r>
        <w:rPr>
          <w:sz w:val="22"/>
        </w:rPr>
        <w:t>upkeep</w:t>
      </w:r>
      <w:r>
        <w:rPr>
          <w:spacing w:val="-4"/>
          <w:sz w:val="22"/>
        </w:rPr>
        <w:t> </w:t>
      </w:r>
      <w:r>
        <w:rPr>
          <w:sz w:val="22"/>
        </w:rPr>
        <w:t>of</w:t>
      </w:r>
      <w:r>
        <w:rPr>
          <w:spacing w:val="-4"/>
          <w:sz w:val="22"/>
        </w:rPr>
        <w:t> </w:t>
      </w:r>
      <w:r>
        <w:rPr>
          <w:sz w:val="22"/>
        </w:rPr>
        <w:t>training</w:t>
      </w:r>
      <w:r>
        <w:rPr>
          <w:spacing w:val="-4"/>
          <w:sz w:val="22"/>
        </w:rPr>
        <w:t> </w:t>
      </w:r>
      <w:r>
        <w:rPr>
          <w:sz w:val="22"/>
        </w:rPr>
        <w:t>supplies,</w:t>
      </w:r>
      <w:r>
        <w:rPr>
          <w:spacing w:val="-5"/>
          <w:sz w:val="22"/>
        </w:rPr>
        <w:t> </w:t>
      </w:r>
      <w:r>
        <w:rPr>
          <w:sz w:val="22"/>
        </w:rPr>
        <w:t>tools,</w:t>
      </w:r>
      <w:r>
        <w:rPr>
          <w:spacing w:val="-4"/>
          <w:sz w:val="22"/>
        </w:rPr>
        <w:t> </w:t>
      </w:r>
      <w:r>
        <w:rPr>
          <w:sz w:val="22"/>
        </w:rPr>
        <w:t>etc.,</w:t>
      </w:r>
      <w:r>
        <w:rPr>
          <w:spacing w:val="-5"/>
          <w:sz w:val="22"/>
        </w:rPr>
        <w:t> </w:t>
      </w:r>
      <w:r>
        <w:rPr>
          <w:sz w:val="22"/>
        </w:rPr>
        <w:t>RVS</w:t>
      </w:r>
      <w:r>
        <w:rPr>
          <w:spacing w:val="-4"/>
          <w:sz w:val="22"/>
        </w:rPr>
        <w:t> </w:t>
      </w:r>
      <w:r>
        <w:rPr>
          <w:sz w:val="22"/>
        </w:rPr>
        <w:t>will pay for repairs only when no evidence of neglect or abuse</w:t>
      </w:r>
    </w:p>
    <w:p>
      <w:pPr>
        <w:tabs>
          <w:tab w:pos="1439" w:val="left" w:leader="none"/>
        </w:tabs>
        <w:spacing w:line="252" w:lineRule="exact" w:before="0"/>
        <w:ind w:left="359" w:right="0" w:firstLine="0"/>
        <w:jc w:val="left"/>
        <w:rPr>
          <w:sz w:val="22"/>
        </w:rPr>
      </w:pPr>
      <w:r>
        <w:rPr>
          <w:spacing w:val="-2"/>
          <w:sz w:val="22"/>
        </w:rPr>
        <w:t>3-1-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5</w:t>
      </w:r>
    </w:p>
    <w:p>
      <w:pPr>
        <w:tabs>
          <w:tab w:pos="1439" w:val="left" w:leader="none"/>
        </w:tabs>
        <w:spacing w:before="0"/>
        <w:ind w:left="359" w:right="4278" w:firstLine="1080"/>
        <w:jc w:val="left"/>
        <w:rPr>
          <w:sz w:val="22"/>
        </w:rPr>
      </w:pPr>
      <w:r>
        <w:rPr>
          <w:sz w:val="22"/>
        </w:rPr>
        <w:t>Emergency,</w:t>
      </w:r>
      <w:r>
        <w:rPr>
          <w:spacing w:val="-10"/>
          <w:sz w:val="22"/>
        </w:rPr>
        <w:t> </w:t>
      </w:r>
      <w:r>
        <w:rPr>
          <w:sz w:val="22"/>
        </w:rPr>
        <w:t>strengthened</w:t>
      </w:r>
      <w:r>
        <w:rPr>
          <w:spacing w:val="-10"/>
          <w:sz w:val="22"/>
        </w:rPr>
        <w:t> </w:t>
      </w:r>
      <w:r>
        <w:rPr>
          <w:sz w:val="22"/>
        </w:rPr>
        <w:t>changes</w:t>
      </w:r>
      <w:r>
        <w:rPr>
          <w:spacing w:val="-11"/>
          <w:sz w:val="22"/>
        </w:rPr>
        <w:t> </w:t>
      </w:r>
      <w:r>
        <w:rPr>
          <w:sz w:val="22"/>
        </w:rPr>
        <w:t>made</w:t>
      </w:r>
      <w:r>
        <w:rPr>
          <w:spacing w:val="-10"/>
          <w:sz w:val="22"/>
        </w:rPr>
        <w:t> </w:t>
      </w:r>
      <w:r>
        <w:rPr>
          <w:sz w:val="22"/>
        </w:rPr>
        <w:t>4-3-96 </w:t>
      </w:r>
      <w:r>
        <w:rPr>
          <w:spacing w:val="-2"/>
          <w:sz w:val="22"/>
        </w:rPr>
        <w:t>7-1-97</w:t>
      </w:r>
      <w:r>
        <w:rPr>
          <w:sz w:val="22"/>
        </w:rPr>
        <w:tab/>
        <w:t>PT Memo #97-9</w:t>
      </w:r>
    </w:p>
    <w:p>
      <w:pPr>
        <w:tabs>
          <w:tab w:pos="1439" w:val="left" w:leader="none"/>
        </w:tabs>
        <w:spacing w:before="0"/>
        <w:ind w:left="359" w:right="3580" w:firstLine="1080"/>
        <w:jc w:val="left"/>
        <w:rPr>
          <w:sz w:val="22"/>
        </w:rPr>
      </w:pPr>
      <w:r>
        <w:rPr>
          <w:sz w:val="22"/>
        </w:rPr>
        <w:t>Permanent,</w:t>
      </w:r>
      <w:r>
        <w:rPr>
          <w:spacing w:val="-7"/>
          <w:sz w:val="22"/>
        </w:rPr>
        <w:t> </w:t>
      </w:r>
      <w:r>
        <w:rPr>
          <w:sz w:val="22"/>
        </w:rPr>
        <w:t>supersedes</w:t>
      </w:r>
      <w:r>
        <w:rPr>
          <w:spacing w:val="-8"/>
          <w:sz w:val="22"/>
        </w:rPr>
        <w:t> </w:t>
      </w:r>
      <w:r>
        <w:rPr>
          <w:sz w:val="22"/>
        </w:rPr>
        <w:t>emergency</w:t>
      </w:r>
      <w:r>
        <w:rPr>
          <w:spacing w:val="-8"/>
          <w:sz w:val="22"/>
        </w:rPr>
        <w:t> </w:t>
      </w:r>
      <w:r>
        <w:rPr>
          <w:sz w:val="22"/>
        </w:rPr>
        <w:t>rules</w:t>
      </w:r>
      <w:r>
        <w:rPr>
          <w:spacing w:val="-8"/>
          <w:sz w:val="22"/>
        </w:rPr>
        <w:t> </w:t>
      </w:r>
      <w:r>
        <w:rPr>
          <w:sz w:val="22"/>
        </w:rPr>
        <w:t>issued</w:t>
      </w:r>
      <w:r>
        <w:rPr>
          <w:spacing w:val="-8"/>
          <w:sz w:val="22"/>
        </w:rPr>
        <w:t> </w:t>
      </w:r>
      <w:r>
        <w:rPr>
          <w:sz w:val="22"/>
        </w:rPr>
        <w:t>4-3-96 </w:t>
      </w:r>
      <w:r>
        <w:rPr>
          <w:spacing w:val="-2"/>
          <w:sz w:val="22"/>
        </w:rPr>
        <w:t>7-1-99</w:t>
      </w:r>
      <w:r>
        <w:rPr>
          <w:sz w:val="22"/>
        </w:rPr>
        <w:tab/>
        <w:t>POL Memo #00-1</w:t>
      </w:r>
    </w:p>
    <w:p>
      <w:pPr>
        <w:tabs>
          <w:tab w:pos="1439" w:val="left" w:leader="none"/>
        </w:tabs>
        <w:spacing w:before="0"/>
        <w:ind w:left="359" w:right="5967" w:firstLine="1080"/>
        <w:jc w:val="left"/>
        <w:rPr>
          <w:sz w:val="22"/>
        </w:rPr>
      </w:pPr>
      <w:r>
        <w:rPr>
          <w:sz w:val="22"/>
        </w:rPr>
        <w:t>Permanent,</w:t>
      </w:r>
      <w:r>
        <w:rPr>
          <w:spacing w:val="-16"/>
          <w:sz w:val="22"/>
        </w:rPr>
        <w:t> </w:t>
      </w:r>
      <w:r>
        <w:rPr>
          <w:sz w:val="22"/>
        </w:rPr>
        <w:t>updated</w:t>
      </w:r>
      <w:r>
        <w:rPr>
          <w:spacing w:val="-15"/>
          <w:sz w:val="22"/>
        </w:rPr>
        <w:t> </w:t>
      </w:r>
      <w:r>
        <w:rPr>
          <w:sz w:val="22"/>
        </w:rPr>
        <w:t>DVR/DVS </w:t>
      </w:r>
      <w:r>
        <w:rPr>
          <w:spacing w:val="-2"/>
          <w:sz w:val="22"/>
        </w:rPr>
        <w:t>7-1-03</w:t>
      </w:r>
      <w:r>
        <w:rPr>
          <w:sz w:val="22"/>
        </w:rPr>
        <w:tab/>
        <w:t>PT Memo #03-07</w:t>
      </w:r>
    </w:p>
    <w:p>
      <w:pPr>
        <w:spacing w:before="0"/>
        <w:ind w:left="1439" w:right="0" w:firstLine="0"/>
        <w:jc w:val="left"/>
        <w:rPr>
          <w:sz w:val="22"/>
        </w:rPr>
      </w:pPr>
      <w:r>
        <w:rPr>
          <w:sz w:val="22"/>
        </w:rPr>
        <w:t>Permanent,</w:t>
      </w:r>
      <w:r>
        <w:rPr>
          <w:spacing w:val="-10"/>
          <w:sz w:val="22"/>
        </w:rPr>
        <w:t> </w:t>
      </w:r>
      <w:r>
        <w:rPr>
          <w:sz w:val="22"/>
        </w:rPr>
        <w:t>updated</w:t>
      </w:r>
      <w:r>
        <w:rPr>
          <w:spacing w:val="-11"/>
          <w:sz w:val="22"/>
        </w:rPr>
        <w:t> </w:t>
      </w:r>
      <w:r>
        <w:rPr>
          <w:spacing w:val="-2"/>
          <w:sz w:val="22"/>
        </w:rPr>
        <w:t>language.</w:t>
      </w:r>
    </w:p>
    <w:p>
      <w:pPr>
        <w:tabs>
          <w:tab w:pos="1439" w:val="left" w:leader="none"/>
        </w:tabs>
        <w:spacing w:line="253" w:lineRule="exact" w:before="0"/>
        <w:ind w:left="359" w:right="0" w:firstLine="0"/>
        <w:jc w:val="left"/>
        <w:rPr>
          <w:sz w:val="22"/>
        </w:rPr>
      </w:pPr>
      <w:r>
        <w:rPr>
          <w:spacing w:val="-2"/>
          <w:sz w:val="22"/>
        </w:rPr>
        <w:t>7-1-</w:t>
      </w:r>
      <w:r>
        <w:rPr>
          <w:spacing w:val="-5"/>
          <w:sz w:val="22"/>
        </w:rPr>
        <w:t>06</w:t>
      </w:r>
      <w:r>
        <w:rPr>
          <w:sz w:val="22"/>
        </w:rPr>
        <w:tab/>
        <w:t>PT</w:t>
      </w:r>
      <w:r>
        <w:rPr>
          <w:spacing w:val="-8"/>
          <w:sz w:val="22"/>
        </w:rPr>
        <w:t> </w:t>
      </w:r>
      <w:r>
        <w:rPr>
          <w:sz w:val="22"/>
        </w:rPr>
        <w:t>Memo</w:t>
      </w:r>
      <w:r>
        <w:rPr>
          <w:spacing w:val="-8"/>
          <w:sz w:val="22"/>
        </w:rPr>
        <w:t> </w:t>
      </w:r>
      <w:r>
        <w:rPr>
          <w:sz w:val="22"/>
        </w:rPr>
        <w:t>#07-</w:t>
      </w:r>
      <w:r>
        <w:rPr>
          <w:spacing w:val="-5"/>
          <w:sz w:val="22"/>
        </w:rPr>
        <w:t>01</w:t>
      </w:r>
    </w:p>
    <w:p>
      <w:pPr>
        <w:spacing w:line="253" w:lineRule="exact" w:before="0"/>
        <w:ind w:left="1439" w:right="0" w:firstLine="0"/>
        <w:jc w:val="left"/>
        <w:rPr>
          <w:sz w:val="22"/>
        </w:rPr>
      </w:pPr>
      <w:r>
        <w:rPr>
          <w:sz w:val="22"/>
        </w:rPr>
        <w:t>Permanent,</w:t>
      </w:r>
      <w:r>
        <w:rPr>
          <w:spacing w:val="-6"/>
          <w:sz w:val="22"/>
        </w:rPr>
        <w:t> </w:t>
      </w:r>
      <w:r>
        <w:rPr>
          <w:sz w:val="22"/>
        </w:rPr>
        <w:t>adds</w:t>
      </w:r>
      <w:r>
        <w:rPr>
          <w:spacing w:val="-7"/>
          <w:sz w:val="22"/>
        </w:rPr>
        <w:t> </w:t>
      </w:r>
      <w:r>
        <w:rPr>
          <w:sz w:val="22"/>
        </w:rPr>
        <w:t>language</w:t>
      </w:r>
      <w:r>
        <w:rPr>
          <w:spacing w:val="-6"/>
          <w:sz w:val="22"/>
        </w:rPr>
        <w:t> </w:t>
      </w:r>
      <w:r>
        <w:rPr>
          <w:sz w:val="22"/>
        </w:rPr>
        <w:t>stating</w:t>
      </w:r>
      <w:r>
        <w:rPr>
          <w:spacing w:val="-7"/>
          <w:sz w:val="22"/>
        </w:rPr>
        <w:t> </w:t>
      </w:r>
      <w:r>
        <w:rPr>
          <w:sz w:val="22"/>
        </w:rPr>
        <w:t>we</w:t>
      </w:r>
      <w:r>
        <w:rPr>
          <w:spacing w:val="-7"/>
          <w:sz w:val="22"/>
        </w:rPr>
        <w:t> </w:t>
      </w:r>
      <w:r>
        <w:rPr>
          <w:sz w:val="22"/>
        </w:rPr>
        <w:t>will</w:t>
      </w:r>
      <w:r>
        <w:rPr>
          <w:spacing w:val="-6"/>
          <w:sz w:val="22"/>
        </w:rPr>
        <w:t> </w:t>
      </w:r>
      <w:r>
        <w:rPr>
          <w:sz w:val="22"/>
        </w:rPr>
        <w:t>not</w:t>
      </w:r>
      <w:r>
        <w:rPr>
          <w:spacing w:val="-7"/>
          <w:sz w:val="22"/>
        </w:rPr>
        <w:t> </w:t>
      </w:r>
      <w:r>
        <w:rPr>
          <w:sz w:val="22"/>
        </w:rPr>
        <w:t>buy</w:t>
      </w:r>
      <w:r>
        <w:rPr>
          <w:spacing w:val="-7"/>
          <w:sz w:val="22"/>
        </w:rPr>
        <w:t> </w:t>
      </w:r>
      <w:r>
        <w:rPr>
          <w:sz w:val="22"/>
        </w:rPr>
        <w:t>operable</w:t>
      </w:r>
      <w:r>
        <w:rPr>
          <w:spacing w:val="-6"/>
          <w:sz w:val="22"/>
        </w:rPr>
        <w:t> </w:t>
      </w:r>
      <w:r>
        <w:rPr>
          <w:spacing w:val="-2"/>
          <w:sz w:val="22"/>
        </w:rPr>
        <w:t>firearms.</w:t>
      </w:r>
    </w:p>
    <w:p>
      <w:pPr>
        <w:pStyle w:val="ListParagraph"/>
        <w:numPr>
          <w:ilvl w:val="2"/>
          <w:numId w:val="197"/>
        </w:numPr>
        <w:tabs>
          <w:tab w:pos="1439" w:val="left" w:leader="none"/>
        </w:tabs>
        <w:spacing w:line="240" w:lineRule="auto" w:before="1" w:after="0"/>
        <w:ind w:left="1439" w:right="0" w:hanging="1080"/>
        <w:jc w:val="left"/>
        <w:rPr>
          <w:sz w:val="22"/>
        </w:rPr>
      </w:pPr>
      <w:r>
        <w:rPr>
          <w:sz w:val="22"/>
        </w:rPr>
        <w:t>PT</w:t>
      </w:r>
      <w:r>
        <w:rPr>
          <w:spacing w:val="-8"/>
          <w:sz w:val="22"/>
        </w:rPr>
        <w:t> </w:t>
      </w:r>
      <w:r>
        <w:rPr>
          <w:sz w:val="22"/>
        </w:rPr>
        <w:t>Memo</w:t>
      </w:r>
      <w:r>
        <w:rPr>
          <w:spacing w:val="-8"/>
          <w:sz w:val="22"/>
        </w:rPr>
        <w:t> </w:t>
      </w:r>
      <w:r>
        <w:rPr>
          <w:sz w:val="22"/>
        </w:rPr>
        <w:t>#10-</w:t>
      </w:r>
      <w:r>
        <w:rPr>
          <w:spacing w:val="-5"/>
          <w:sz w:val="22"/>
        </w:rPr>
        <w:t>02</w:t>
      </w:r>
    </w:p>
    <w:p>
      <w:pPr>
        <w:spacing w:before="0"/>
        <w:ind w:left="1439" w:right="0" w:firstLine="0"/>
        <w:jc w:val="left"/>
        <w:rPr>
          <w:sz w:val="22"/>
        </w:rPr>
      </w:pPr>
      <w:r>
        <w:rPr>
          <w:sz w:val="22"/>
        </w:rPr>
        <w:t>Permanent,</w:t>
      </w:r>
      <w:r>
        <w:rPr>
          <w:spacing w:val="-8"/>
          <w:sz w:val="22"/>
        </w:rPr>
        <w:t> </w:t>
      </w:r>
      <w:r>
        <w:rPr>
          <w:sz w:val="22"/>
        </w:rPr>
        <w:t>clarified</w:t>
      </w:r>
      <w:r>
        <w:rPr>
          <w:spacing w:val="-8"/>
          <w:sz w:val="22"/>
        </w:rPr>
        <w:t> </w:t>
      </w:r>
      <w:r>
        <w:rPr>
          <w:sz w:val="22"/>
        </w:rPr>
        <w:t>using</w:t>
      </w:r>
      <w:r>
        <w:rPr>
          <w:spacing w:val="-8"/>
          <w:sz w:val="22"/>
        </w:rPr>
        <w:t> </w:t>
      </w:r>
      <w:r>
        <w:rPr>
          <w:sz w:val="22"/>
        </w:rPr>
        <w:t>comparable</w:t>
      </w:r>
      <w:r>
        <w:rPr>
          <w:spacing w:val="-8"/>
          <w:sz w:val="22"/>
        </w:rPr>
        <w:t> </w:t>
      </w:r>
      <w:r>
        <w:rPr>
          <w:sz w:val="22"/>
        </w:rPr>
        <w:t>funds</w:t>
      </w:r>
      <w:r>
        <w:rPr>
          <w:spacing w:val="-9"/>
          <w:sz w:val="22"/>
        </w:rPr>
        <w:t> </w:t>
      </w:r>
      <w:r>
        <w:rPr>
          <w:sz w:val="22"/>
        </w:rPr>
        <w:t>before</w:t>
      </w:r>
      <w:r>
        <w:rPr>
          <w:spacing w:val="-8"/>
          <w:sz w:val="22"/>
        </w:rPr>
        <w:t> </w:t>
      </w:r>
      <w:r>
        <w:rPr>
          <w:sz w:val="22"/>
        </w:rPr>
        <w:t>VR</w:t>
      </w:r>
      <w:r>
        <w:rPr>
          <w:spacing w:val="-9"/>
          <w:sz w:val="22"/>
        </w:rPr>
        <w:t> </w:t>
      </w:r>
      <w:r>
        <w:rPr>
          <w:spacing w:val="-2"/>
          <w:sz w:val="22"/>
        </w:rPr>
        <w:t>funds.</w:t>
      </w:r>
    </w:p>
    <w:p>
      <w:pPr>
        <w:pStyle w:val="ListParagraph"/>
        <w:numPr>
          <w:ilvl w:val="2"/>
          <w:numId w:val="197"/>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before="0"/>
        <w:ind w:left="1439" w:right="0" w:firstLine="0"/>
        <w:jc w:val="left"/>
        <w:rPr>
          <w:sz w:val="22"/>
        </w:rPr>
      </w:pPr>
      <w:r>
        <w:rPr>
          <w:sz w:val="22"/>
        </w:rPr>
        <w:t>Permanent,</w:t>
      </w:r>
      <w:r>
        <w:rPr>
          <w:spacing w:val="-14"/>
          <w:sz w:val="22"/>
        </w:rPr>
        <w:t> </w:t>
      </w:r>
      <w:r>
        <w:rPr>
          <w:sz w:val="22"/>
        </w:rPr>
        <w:t>consolidating</w:t>
      </w:r>
      <w:r>
        <w:rPr>
          <w:spacing w:val="-15"/>
          <w:sz w:val="22"/>
        </w:rPr>
        <w:t> </w:t>
      </w:r>
      <w:r>
        <w:rPr>
          <w:spacing w:val="-2"/>
          <w:sz w:val="22"/>
        </w:rPr>
        <w:t>policy</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359" w:right="0" w:firstLine="0"/>
        <w:jc w:val="left"/>
        <w:rPr>
          <w:sz w:val="22"/>
        </w:rPr>
      </w:pPr>
      <w:r>
        <w:rPr>
          <w:spacing w:val="-2"/>
          <w:sz w:val="22"/>
        </w:rPr>
        <w:t>9-30-</w:t>
      </w:r>
      <w:r>
        <w:rPr>
          <w:spacing w:val="-5"/>
          <w:sz w:val="22"/>
        </w:rPr>
        <w:t>19</w:t>
      </w:r>
      <w:r>
        <w:rPr>
          <w:sz w:val="22"/>
        </w:rPr>
        <w:tab/>
        <w:t>Added</w:t>
      </w:r>
      <w:r>
        <w:rPr>
          <w:spacing w:val="-5"/>
          <w:sz w:val="22"/>
        </w:rPr>
        <w:t> </w:t>
      </w:r>
      <w:r>
        <w:rPr>
          <w:sz w:val="22"/>
        </w:rPr>
        <w:t>ITS</w:t>
      </w:r>
      <w:r>
        <w:rPr>
          <w:spacing w:val="-4"/>
          <w:sz w:val="22"/>
        </w:rPr>
        <w:t> </w:t>
      </w:r>
      <w:r>
        <w:rPr>
          <w:sz w:val="22"/>
        </w:rPr>
        <w:t>#3</w:t>
      </w:r>
      <w:r>
        <w:rPr>
          <w:spacing w:val="-4"/>
          <w:sz w:val="22"/>
        </w:rPr>
        <w:t> </w:t>
      </w:r>
      <w:r>
        <w:rPr>
          <w:sz w:val="22"/>
        </w:rPr>
        <w:t>and</w:t>
      </w:r>
      <w:r>
        <w:rPr>
          <w:spacing w:val="-4"/>
          <w:sz w:val="22"/>
        </w:rPr>
        <w:t> </w:t>
      </w:r>
      <w:r>
        <w:rPr>
          <w:spacing w:val="-2"/>
          <w:sz w:val="22"/>
        </w:rPr>
        <w:t>hyperlink.</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tabs>
          <w:tab w:pos="1439" w:val="left" w:leader="none"/>
        </w:tabs>
        <w:spacing w:line="252" w:lineRule="exact" w:before="0"/>
        <w:ind w:left="359" w:right="0" w:firstLine="0"/>
        <w:jc w:val="left"/>
        <w:rPr>
          <w:sz w:val="22"/>
        </w:rPr>
      </w:pPr>
      <w:r>
        <w:rPr>
          <w:spacing w:val="-2"/>
          <w:sz w:val="22"/>
        </w:rPr>
        <w:t>8-26-</w:t>
      </w:r>
      <w:r>
        <w:rPr>
          <w:spacing w:val="-5"/>
          <w:sz w:val="22"/>
        </w:rPr>
        <w:t>21</w:t>
      </w:r>
      <w:r>
        <w:rPr>
          <w:sz w:val="22"/>
        </w:rPr>
        <w:tab/>
        <w:t>Revised</w:t>
      </w:r>
      <w:r>
        <w:rPr>
          <w:spacing w:val="-6"/>
          <w:sz w:val="22"/>
        </w:rPr>
        <w:t> </w:t>
      </w:r>
      <w:r>
        <w:rPr>
          <w:sz w:val="22"/>
        </w:rPr>
        <w:t>to</w:t>
      </w:r>
      <w:r>
        <w:rPr>
          <w:spacing w:val="-7"/>
          <w:sz w:val="22"/>
        </w:rPr>
        <w:t> </w:t>
      </w:r>
      <w:r>
        <w:rPr>
          <w:sz w:val="22"/>
        </w:rPr>
        <w:t>match</w:t>
      </w:r>
      <w:r>
        <w:rPr>
          <w:spacing w:val="-6"/>
          <w:sz w:val="22"/>
        </w:rPr>
        <w:t> </w:t>
      </w:r>
      <w:r>
        <w:rPr>
          <w:sz w:val="22"/>
        </w:rPr>
        <w:t>WIOA</w:t>
      </w:r>
      <w:r>
        <w:rPr>
          <w:spacing w:val="-6"/>
          <w:sz w:val="22"/>
        </w:rPr>
        <w:t> </w:t>
      </w:r>
      <w:r>
        <w:rPr>
          <w:spacing w:val="-2"/>
          <w:sz w:val="22"/>
        </w:rPr>
        <w:t>language.</w:t>
      </w:r>
    </w:p>
    <w:p>
      <w:pPr>
        <w:spacing w:after="0" w:line="252" w:lineRule="exact"/>
        <w:jc w:val="left"/>
        <w:rPr>
          <w:sz w:val="22"/>
        </w:rPr>
        <w:sectPr>
          <w:pgSz w:w="12240" w:h="15840"/>
          <w:pgMar w:top="1360" w:bottom="280" w:left="1080" w:right="720"/>
        </w:sectPr>
      </w:pPr>
    </w:p>
    <w:p>
      <w:pPr>
        <w:pStyle w:val="Heading2"/>
      </w:pPr>
      <w:bookmarkStart w:name="612:10-7-163.  On-the-job training" w:id="182"/>
      <w:bookmarkEnd w:id="182"/>
      <w:r>
        <w:rPr>
          <w:b w:val="0"/>
        </w:rPr>
      </w:r>
      <w:r>
        <w:rPr/>
        <w:t>612:10-7-163.</w:t>
      </w:r>
      <w:r>
        <w:rPr>
          <w:spacing w:val="57"/>
        </w:rPr>
        <w:t> </w:t>
      </w:r>
      <w:r>
        <w:rPr/>
        <w:t>On-the-job</w:t>
      </w:r>
      <w:r>
        <w:rPr>
          <w:spacing w:val="-5"/>
        </w:rPr>
        <w:t> </w:t>
      </w:r>
      <w:r>
        <w:rPr>
          <w:spacing w:val="-2"/>
        </w:rPr>
        <w:t>training</w:t>
      </w:r>
    </w:p>
    <w:p>
      <w:pPr>
        <w:pStyle w:val="ListParagraph"/>
        <w:numPr>
          <w:ilvl w:val="0"/>
          <w:numId w:val="198"/>
        </w:numPr>
        <w:tabs>
          <w:tab w:pos="784" w:val="left" w:leader="none"/>
        </w:tabs>
        <w:spacing w:line="208" w:lineRule="auto" w:before="233" w:after="0"/>
        <w:ind w:left="359" w:right="921" w:firstLine="0"/>
        <w:jc w:val="left"/>
        <w:rPr>
          <w:sz w:val="24"/>
        </w:rPr>
      </w:pPr>
      <w:r>
        <w:rPr>
          <w:sz w:val="24"/>
        </w:rPr>
        <w:t>When</w:t>
      </w:r>
      <w:r>
        <w:rPr>
          <w:spacing w:val="-3"/>
          <w:sz w:val="24"/>
        </w:rPr>
        <w:t> </w:t>
      </w:r>
      <w:r>
        <w:rPr>
          <w:sz w:val="24"/>
        </w:rPr>
        <w:t>on-the-job</w:t>
      </w:r>
      <w:r>
        <w:rPr>
          <w:spacing w:val="-3"/>
          <w:sz w:val="24"/>
        </w:rPr>
        <w:t> </w:t>
      </w:r>
      <w:r>
        <w:rPr>
          <w:sz w:val="24"/>
        </w:rPr>
        <w:t>training</w:t>
      </w:r>
      <w:r>
        <w:rPr>
          <w:spacing w:val="-3"/>
          <w:sz w:val="24"/>
        </w:rPr>
        <w:t> </w:t>
      </w:r>
      <w:r>
        <w:rPr>
          <w:sz w:val="24"/>
        </w:rPr>
        <w:t>(OJT)</w:t>
      </w:r>
      <w:r>
        <w:rPr>
          <w:spacing w:val="-2"/>
          <w:sz w:val="24"/>
        </w:rPr>
        <w:t> </w:t>
      </w:r>
      <w:r>
        <w:rPr>
          <w:sz w:val="24"/>
        </w:rPr>
        <w:t>will</w:t>
      </w:r>
      <w:r>
        <w:rPr>
          <w:spacing w:val="-3"/>
          <w:sz w:val="24"/>
        </w:rPr>
        <w:t> </w:t>
      </w:r>
      <w:r>
        <w:rPr>
          <w:sz w:val="24"/>
        </w:rPr>
        <w:t>best</w:t>
      </w:r>
      <w:r>
        <w:rPr>
          <w:spacing w:val="-2"/>
          <w:sz w:val="24"/>
        </w:rPr>
        <w:t> </w:t>
      </w:r>
      <w:r>
        <w:rPr>
          <w:sz w:val="24"/>
        </w:rPr>
        <w:t>suit</w:t>
      </w:r>
      <w:r>
        <w:rPr>
          <w:spacing w:val="-2"/>
          <w:sz w:val="24"/>
        </w:rPr>
        <w:t> </w:t>
      </w:r>
      <w:r>
        <w:rPr>
          <w:sz w:val="24"/>
        </w:rPr>
        <w:t>the</w:t>
      </w:r>
      <w:r>
        <w:rPr>
          <w:spacing w:val="-3"/>
          <w:sz w:val="24"/>
        </w:rPr>
        <w:t> </w:t>
      </w:r>
      <w:r>
        <w:rPr>
          <w:sz w:val="24"/>
        </w:rPr>
        <w:t>client's</w:t>
      </w:r>
      <w:r>
        <w:rPr>
          <w:spacing w:val="-3"/>
          <w:sz w:val="24"/>
        </w:rPr>
        <w:t> </w:t>
      </w:r>
      <w:r>
        <w:rPr>
          <w:sz w:val="24"/>
        </w:rPr>
        <w:t>needs,</w:t>
      </w:r>
      <w:r>
        <w:rPr>
          <w:spacing w:val="-2"/>
          <w:sz w:val="24"/>
        </w:rPr>
        <w:t> </w:t>
      </w:r>
      <w:r>
        <w:rPr>
          <w:sz w:val="24"/>
        </w:rPr>
        <w:t>this</w:t>
      </w:r>
      <w:r>
        <w:rPr>
          <w:spacing w:val="-3"/>
          <w:sz w:val="24"/>
        </w:rPr>
        <w:t> </w:t>
      </w:r>
      <w:r>
        <w:rPr>
          <w:sz w:val="24"/>
        </w:rPr>
        <w:t>type</w:t>
      </w:r>
      <w:r>
        <w:rPr>
          <w:spacing w:val="-3"/>
          <w:sz w:val="24"/>
        </w:rPr>
        <w:t> </w:t>
      </w:r>
      <w:r>
        <w:rPr>
          <w:sz w:val="24"/>
        </w:rPr>
        <w:t>of</w:t>
      </w:r>
      <w:r>
        <w:rPr>
          <w:spacing w:val="-4"/>
          <w:sz w:val="24"/>
        </w:rPr>
        <w:t> </w:t>
      </w:r>
      <w:r>
        <w:rPr>
          <w:sz w:val="24"/>
        </w:rPr>
        <w:t>training can be considered. In order for the client to gain work experience and obtain employment, this type of training focuses on specific job skills by a prospective employer, and OJT can be provided in conjunction with any other DRS services. This service does not require client participation in cost of services.</w:t>
      </w:r>
    </w:p>
    <w:p>
      <w:pPr>
        <w:pStyle w:val="ListParagraph"/>
        <w:numPr>
          <w:ilvl w:val="0"/>
          <w:numId w:val="198"/>
        </w:numPr>
        <w:tabs>
          <w:tab w:pos="784" w:val="left" w:leader="none"/>
        </w:tabs>
        <w:spacing w:line="208" w:lineRule="auto" w:before="239" w:after="0"/>
        <w:ind w:left="359" w:right="768" w:firstLine="0"/>
        <w:jc w:val="left"/>
        <w:rPr>
          <w:sz w:val="24"/>
        </w:rPr>
      </w:pPr>
      <w:r>
        <w:rPr>
          <w:sz w:val="24"/>
        </w:rPr>
        <w:t>In</w:t>
      </w:r>
      <w:r>
        <w:rPr>
          <w:spacing w:val="-3"/>
          <w:sz w:val="24"/>
        </w:rPr>
        <w:t> </w:t>
      </w:r>
      <w:r>
        <w:rPr>
          <w:sz w:val="24"/>
        </w:rPr>
        <w:t>selecting</w:t>
      </w:r>
      <w:r>
        <w:rPr>
          <w:spacing w:val="-3"/>
          <w:sz w:val="24"/>
        </w:rPr>
        <w:t> </w:t>
      </w:r>
      <w:r>
        <w:rPr>
          <w:sz w:val="24"/>
        </w:rPr>
        <w:t>on-the-job</w:t>
      </w:r>
      <w:r>
        <w:rPr>
          <w:spacing w:val="-3"/>
          <w:sz w:val="24"/>
        </w:rPr>
        <w:t> </w:t>
      </w:r>
      <w:r>
        <w:rPr>
          <w:sz w:val="24"/>
        </w:rPr>
        <w:t>training</w:t>
      </w:r>
      <w:r>
        <w:rPr>
          <w:spacing w:val="-3"/>
          <w:sz w:val="24"/>
        </w:rPr>
        <w:t> </w:t>
      </w:r>
      <w:r>
        <w:rPr>
          <w:sz w:val="24"/>
        </w:rPr>
        <w:t>sites,</w:t>
      </w:r>
      <w:r>
        <w:rPr>
          <w:spacing w:val="-2"/>
          <w:sz w:val="24"/>
        </w:rPr>
        <w:t> </w:t>
      </w:r>
      <w:r>
        <w:rPr>
          <w:sz w:val="24"/>
        </w:rPr>
        <w:t>the</w:t>
      </w:r>
      <w:r>
        <w:rPr>
          <w:spacing w:val="-3"/>
          <w:sz w:val="24"/>
        </w:rPr>
        <w:t> </w:t>
      </w:r>
      <w:r>
        <w:rPr>
          <w:sz w:val="24"/>
        </w:rPr>
        <w:t>counselor</w:t>
      </w:r>
      <w:r>
        <w:rPr>
          <w:spacing w:val="-2"/>
          <w:sz w:val="24"/>
        </w:rPr>
        <w:t> </w:t>
      </w:r>
      <w:r>
        <w:rPr>
          <w:sz w:val="24"/>
        </w:rPr>
        <w:t>must</w:t>
      </w:r>
      <w:r>
        <w:rPr>
          <w:spacing w:val="-4"/>
          <w:sz w:val="24"/>
        </w:rPr>
        <w:t> </w:t>
      </w:r>
      <w:r>
        <w:rPr>
          <w:sz w:val="24"/>
        </w:rPr>
        <w:t>assure</w:t>
      </w:r>
      <w:r>
        <w:rPr>
          <w:spacing w:val="-3"/>
          <w:sz w:val="24"/>
        </w:rPr>
        <w:t> </w:t>
      </w:r>
      <w:r>
        <w:rPr>
          <w:sz w:val="24"/>
        </w:rPr>
        <w:t>the</w:t>
      </w:r>
      <w:r>
        <w:rPr>
          <w:spacing w:val="-3"/>
          <w:sz w:val="24"/>
        </w:rPr>
        <w:t> </w:t>
      </w:r>
      <w:r>
        <w:rPr>
          <w:sz w:val="24"/>
        </w:rPr>
        <w:t>items</w:t>
      </w:r>
      <w:r>
        <w:rPr>
          <w:spacing w:val="-3"/>
          <w:sz w:val="24"/>
        </w:rPr>
        <w:t> </w:t>
      </w:r>
      <w:r>
        <w:rPr>
          <w:sz w:val="24"/>
        </w:rPr>
        <w:t>in</w:t>
      </w:r>
      <w:r>
        <w:rPr>
          <w:spacing w:val="-3"/>
          <w:sz w:val="24"/>
        </w:rPr>
        <w:t> </w:t>
      </w:r>
      <w:r>
        <w:rPr>
          <w:sz w:val="24"/>
        </w:rPr>
        <w:t>(1)</w:t>
      </w:r>
      <w:r>
        <w:rPr>
          <w:spacing w:val="-4"/>
          <w:sz w:val="24"/>
        </w:rPr>
        <w:t> </w:t>
      </w:r>
      <w:r>
        <w:rPr>
          <w:sz w:val="24"/>
        </w:rPr>
        <w:t>-</w:t>
      </w:r>
      <w:r>
        <w:rPr>
          <w:spacing w:val="-4"/>
          <w:sz w:val="24"/>
        </w:rPr>
        <w:t> </w:t>
      </w:r>
      <w:r>
        <w:rPr>
          <w:sz w:val="24"/>
        </w:rPr>
        <w:t>(6) of this Subsection are met:</w:t>
      </w:r>
    </w:p>
    <w:p>
      <w:pPr>
        <w:pStyle w:val="ListParagraph"/>
        <w:numPr>
          <w:ilvl w:val="1"/>
          <w:numId w:val="198"/>
        </w:numPr>
        <w:tabs>
          <w:tab w:pos="1217" w:val="left" w:leader="none"/>
        </w:tabs>
        <w:spacing w:line="208" w:lineRule="auto" w:before="240" w:after="0"/>
        <w:ind w:left="791" w:right="1684" w:firstLine="0"/>
        <w:jc w:val="left"/>
        <w:rPr>
          <w:sz w:val="24"/>
        </w:rPr>
      </w:pPr>
      <w:r>
        <w:rPr>
          <w:sz w:val="24"/>
        </w:rPr>
        <w:t>The</w:t>
      </w:r>
      <w:r>
        <w:rPr>
          <w:spacing w:val="-4"/>
          <w:sz w:val="24"/>
        </w:rPr>
        <w:t> </w:t>
      </w:r>
      <w:r>
        <w:rPr>
          <w:sz w:val="24"/>
        </w:rPr>
        <w:t>business</w:t>
      </w:r>
      <w:r>
        <w:rPr>
          <w:spacing w:val="-4"/>
          <w:sz w:val="24"/>
        </w:rPr>
        <w:t> </w:t>
      </w:r>
      <w:r>
        <w:rPr>
          <w:sz w:val="24"/>
        </w:rPr>
        <w:t>or</w:t>
      </w:r>
      <w:r>
        <w:rPr>
          <w:spacing w:val="-3"/>
          <w:sz w:val="24"/>
        </w:rPr>
        <w:t> </w:t>
      </w:r>
      <w:r>
        <w:rPr>
          <w:sz w:val="24"/>
        </w:rPr>
        <w:t>individual</w:t>
      </w:r>
      <w:r>
        <w:rPr>
          <w:spacing w:val="-4"/>
          <w:sz w:val="24"/>
        </w:rPr>
        <w:t> </w:t>
      </w:r>
      <w:r>
        <w:rPr>
          <w:sz w:val="24"/>
        </w:rPr>
        <w:t>must</w:t>
      </w:r>
      <w:r>
        <w:rPr>
          <w:spacing w:val="-3"/>
          <w:sz w:val="24"/>
        </w:rPr>
        <w:t> </w:t>
      </w:r>
      <w:r>
        <w:rPr>
          <w:sz w:val="24"/>
        </w:rPr>
        <w:t>have</w:t>
      </w:r>
      <w:r>
        <w:rPr>
          <w:spacing w:val="-4"/>
          <w:sz w:val="24"/>
        </w:rPr>
        <w:t> </w:t>
      </w:r>
      <w:r>
        <w:rPr>
          <w:sz w:val="24"/>
        </w:rPr>
        <w:t>enough</w:t>
      </w:r>
      <w:r>
        <w:rPr>
          <w:spacing w:val="-4"/>
          <w:sz w:val="24"/>
        </w:rPr>
        <w:t> </w:t>
      </w:r>
      <w:r>
        <w:rPr>
          <w:sz w:val="24"/>
        </w:rPr>
        <w:t>work</w:t>
      </w:r>
      <w:r>
        <w:rPr>
          <w:spacing w:val="-4"/>
          <w:sz w:val="24"/>
        </w:rPr>
        <w:t> </w:t>
      </w:r>
      <w:r>
        <w:rPr>
          <w:sz w:val="24"/>
        </w:rPr>
        <w:t>to</w:t>
      </w:r>
      <w:r>
        <w:rPr>
          <w:spacing w:val="-4"/>
          <w:sz w:val="24"/>
        </w:rPr>
        <w:t> </w:t>
      </w:r>
      <w:r>
        <w:rPr>
          <w:sz w:val="24"/>
        </w:rPr>
        <w:t>provide</w:t>
      </w:r>
      <w:r>
        <w:rPr>
          <w:spacing w:val="-4"/>
          <w:sz w:val="24"/>
        </w:rPr>
        <w:t> </w:t>
      </w:r>
      <w:r>
        <w:rPr>
          <w:sz w:val="24"/>
        </w:rPr>
        <w:t>the</w:t>
      </w:r>
      <w:r>
        <w:rPr>
          <w:spacing w:val="-4"/>
          <w:sz w:val="24"/>
        </w:rPr>
        <w:t> </w:t>
      </w:r>
      <w:r>
        <w:rPr>
          <w:sz w:val="24"/>
        </w:rPr>
        <w:t>client sufficient training.</w:t>
      </w:r>
    </w:p>
    <w:p>
      <w:pPr>
        <w:pStyle w:val="ListParagraph"/>
        <w:numPr>
          <w:ilvl w:val="1"/>
          <w:numId w:val="198"/>
        </w:numPr>
        <w:tabs>
          <w:tab w:pos="1217" w:val="left" w:leader="none"/>
        </w:tabs>
        <w:spacing w:line="240" w:lineRule="auto" w:before="211" w:after="0"/>
        <w:ind w:left="1217" w:right="0" w:hanging="426"/>
        <w:jc w:val="left"/>
        <w:rPr>
          <w:sz w:val="24"/>
        </w:rPr>
      </w:pPr>
      <w:r>
        <w:rPr>
          <w:sz w:val="24"/>
        </w:rPr>
        <w:t>The</w:t>
      </w:r>
      <w:r>
        <w:rPr>
          <w:spacing w:val="-3"/>
          <w:sz w:val="24"/>
        </w:rPr>
        <w:t> </w:t>
      </w:r>
      <w:r>
        <w:rPr>
          <w:sz w:val="24"/>
        </w:rPr>
        <w:t>business</w:t>
      </w:r>
      <w:r>
        <w:rPr>
          <w:spacing w:val="-3"/>
          <w:sz w:val="24"/>
        </w:rPr>
        <w:t> </w:t>
      </w:r>
      <w:r>
        <w:rPr>
          <w:sz w:val="24"/>
        </w:rPr>
        <w:t>or</w:t>
      </w:r>
      <w:r>
        <w:rPr>
          <w:spacing w:val="-2"/>
          <w:sz w:val="24"/>
        </w:rPr>
        <w:t> </w:t>
      </w:r>
      <w:r>
        <w:rPr>
          <w:sz w:val="24"/>
        </w:rPr>
        <w:t>individual</w:t>
      </w:r>
      <w:r>
        <w:rPr>
          <w:spacing w:val="-3"/>
          <w:sz w:val="24"/>
        </w:rPr>
        <w:t> </w:t>
      </w:r>
      <w:r>
        <w:rPr>
          <w:sz w:val="24"/>
        </w:rPr>
        <w:t>must</w:t>
      </w:r>
      <w:r>
        <w:rPr>
          <w:spacing w:val="-2"/>
          <w:sz w:val="24"/>
        </w:rPr>
        <w:t> </w:t>
      </w:r>
      <w:r>
        <w:rPr>
          <w:sz w:val="24"/>
        </w:rPr>
        <w:t>be</w:t>
      </w:r>
      <w:r>
        <w:rPr>
          <w:spacing w:val="-2"/>
          <w:sz w:val="24"/>
        </w:rPr>
        <w:t> </w:t>
      </w:r>
      <w:r>
        <w:rPr>
          <w:sz w:val="24"/>
        </w:rPr>
        <w:t>able</w:t>
      </w:r>
      <w:r>
        <w:rPr>
          <w:spacing w:val="-3"/>
          <w:sz w:val="24"/>
        </w:rPr>
        <w:t> </w:t>
      </w:r>
      <w:r>
        <w:rPr>
          <w:sz w:val="24"/>
        </w:rPr>
        <w:t>to</w:t>
      </w:r>
      <w:r>
        <w:rPr>
          <w:spacing w:val="-3"/>
          <w:sz w:val="24"/>
        </w:rPr>
        <w:t> </w:t>
      </w:r>
      <w:r>
        <w:rPr>
          <w:sz w:val="24"/>
        </w:rPr>
        <w:t>provide</w:t>
      </w:r>
      <w:r>
        <w:rPr>
          <w:spacing w:val="-3"/>
          <w:sz w:val="24"/>
        </w:rPr>
        <w:t> </w:t>
      </w:r>
      <w:r>
        <w:rPr>
          <w:sz w:val="24"/>
        </w:rPr>
        <w:t>proper</w:t>
      </w:r>
      <w:r>
        <w:rPr>
          <w:spacing w:val="-1"/>
          <w:sz w:val="24"/>
        </w:rPr>
        <w:t> </w:t>
      </w:r>
      <w:r>
        <w:rPr>
          <w:spacing w:val="-2"/>
          <w:sz w:val="24"/>
        </w:rPr>
        <w:t>equipment.</w:t>
      </w:r>
    </w:p>
    <w:p>
      <w:pPr>
        <w:pStyle w:val="ListParagraph"/>
        <w:numPr>
          <w:ilvl w:val="1"/>
          <w:numId w:val="198"/>
        </w:numPr>
        <w:tabs>
          <w:tab w:pos="1217" w:val="left" w:leader="none"/>
        </w:tabs>
        <w:spacing w:line="208" w:lineRule="auto" w:before="233" w:after="0"/>
        <w:ind w:left="791" w:right="1306" w:firstLine="0"/>
        <w:jc w:val="left"/>
        <w:rPr>
          <w:sz w:val="24"/>
        </w:rPr>
      </w:pPr>
      <w:r>
        <w:rPr>
          <w:sz w:val="24"/>
        </w:rPr>
        <w:t>The individual who actually does the training must be the employer or an employee</w:t>
      </w:r>
      <w:r>
        <w:rPr>
          <w:spacing w:val="-3"/>
          <w:sz w:val="24"/>
        </w:rPr>
        <w:t> </w:t>
      </w:r>
      <w:r>
        <w:rPr>
          <w:sz w:val="24"/>
        </w:rPr>
        <w:t>of</w:t>
      </w:r>
      <w:r>
        <w:rPr>
          <w:spacing w:val="-3"/>
          <w:sz w:val="24"/>
        </w:rPr>
        <w:t> </w:t>
      </w:r>
      <w:r>
        <w:rPr>
          <w:sz w:val="24"/>
        </w:rPr>
        <w:t>the</w:t>
      </w:r>
      <w:r>
        <w:rPr>
          <w:spacing w:val="-4"/>
          <w:sz w:val="24"/>
        </w:rPr>
        <w:t> </w:t>
      </w:r>
      <w:r>
        <w:rPr>
          <w:sz w:val="24"/>
        </w:rPr>
        <w:t>business</w:t>
      </w:r>
      <w:r>
        <w:rPr>
          <w:spacing w:val="-4"/>
          <w:sz w:val="24"/>
        </w:rPr>
        <w:t> </w:t>
      </w:r>
      <w:r>
        <w:rPr>
          <w:sz w:val="24"/>
        </w:rPr>
        <w:t>and</w:t>
      </w:r>
      <w:r>
        <w:rPr>
          <w:spacing w:val="-4"/>
          <w:sz w:val="24"/>
        </w:rPr>
        <w:t> </w:t>
      </w:r>
      <w:r>
        <w:rPr>
          <w:sz w:val="24"/>
        </w:rPr>
        <w:t>have</w:t>
      </w:r>
      <w:r>
        <w:rPr>
          <w:spacing w:val="-4"/>
          <w:sz w:val="24"/>
        </w:rPr>
        <w:t> </w:t>
      </w:r>
      <w:r>
        <w:rPr>
          <w:sz w:val="24"/>
        </w:rPr>
        <w:t>the</w:t>
      </w:r>
      <w:r>
        <w:rPr>
          <w:spacing w:val="-4"/>
          <w:sz w:val="24"/>
        </w:rPr>
        <w:t> </w:t>
      </w:r>
      <w:r>
        <w:rPr>
          <w:sz w:val="24"/>
        </w:rPr>
        <w:t>knowledge,</w:t>
      </w:r>
      <w:r>
        <w:rPr>
          <w:spacing w:val="-3"/>
          <w:sz w:val="24"/>
        </w:rPr>
        <w:t> </w:t>
      </w:r>
      <w:r>
        <w:rPr>
          <w:sz w:val="24"/>
        </w:rPr>
        <w:t>skill,</w:t>
      </w:r>
      <w:r>
        <w:rPr>
          <w:spacing w:val="-3"/>
          <w:sz w:val="24"/>
        </w:rPr>
        <w:t> </w:t>
      </w:r>
      <w:r>
        <w:rPr>
          <w:sz w:val="24"/>
        </w:rPr>
        <w:t>and</w:t>
      </w:r>
      <w:r>
        <w:rPr>
          <w:spacing w:val="-4"/>
          <w:sz w:val="24"/>
        </w:rPr>
        <w:t> </w:t>
      </w:r>
      <w:r>
        <w:rPr>
          <w:sz w:val="24"/>
        </w:rPr>
        <w:t>ability</w:t>
      </w:r>
      <w:r>
        <w:rPr>
          <w:spacing w:val="-4"/>
          <w:sz w:val="24"/>
        </w:rPr>
        <w:t> </w:t>
      </w:r>
      <w:r>
        <w:rPr>
          <w:sz w:val="24"/>
        </w:rPr>
        <w:t>to</w:t>
      </w:r>
      <w:r>
        <w:rPr>
          <w:spacing w:val="-4"/>
          <w:sz w:val="24"/>
        </w:rPr>
        <w:t> </w:t>
      </w:r>
      <w:r>
        <w:rPr>
          <w:sz w:val="24"/>
        </w:rPr>
        <w:t>train</w:t>
      </w:r>
      <w:r>
        <w:rPr>
          <w:spacing w:val="-4"/>
          <w:sz w:val="24"/>
        </w:rPr>
        <w:t> </w:t>
      </w:r>
      <w:r>
        <w:rPr>
          <w:sz w:val="24"/>
        </w:rPr>
        <w:t>the </w:t>
      </w:r>
      <w:r>
        <w:rPr>
          <w:spacing w:val="-2"/>
          <w:sz w:val="24"/>
        </w:rPr>
        <w:t>client.</w:t>
      </w:r>
    </w:p>
    <w:p>
      <w:pPr>
        <w:pStyle w:val="ListParagraph"/>
        <w:numPr>
          <w:ilvl w:val="1"/>
          <w:numId w:val="198"/>
        </w:numPr>
        <w:tabs>
          <w:tab w:pos="1217" w:val="left" w:leader="none"/>
        </w:tabs>
        <w:spacing w:line="240" w:lineRule="auto" w:before="210" w:after="0"/>
        <w:ind w:left="1217" w:right="0" w:hanging="426"/>
        <w:jc w:val="left"/>
        <w:rPr>
          <w:sz w:val="24"/>
        </w:rPr>
      </w:pPr>
      <w:r>
        <w:rPr>
          <w:sz w:val="24"/>
        </w:rPr>
        <w:t>Time</w:t>
      </w:r>
      <w:r>
        <w:rPr>
          <w:spacing w:val="-4"/>
          <w:sz w:val="24"/>
        </w:rPr>
        <w:t> </w:t>
      </w:r>
      <w:r>
        <w:rPr>
          <w:sz w:val="24"/>
        </w:rPr>
        <w:t>must</w:t>
      </w:r>
      <w:r>
        <w:rPr>
          <w:spacing w:val="-1"/>
          <w:sz w:val="24"/>
        </w:rPr>
        <w:t> </w:t>
      </w:r>
      <w:r>
        <w:rPr>
          <w:sz w:val="24"/>
        </w:rPr>
        <w:t>be</w:t>
      </w:r>
      <w:r>
        <w:rPr>
          <w:spacing w:val="-2"/>
          <w:sz w:val="24"/>
        </w:rPr>
        <w:t> </w:t>
      </w:r>
      <w:r>
        <w:rPr>
          <w:sz w:val="24"/>
        </w:rPr>
        <w:t>devoted</w:t>
      </w:r>
      <w:r>
        <w:rPr>
          <w:spacing w:val="-2"/>
          <w:sz w:val="24"/>
        </w:rPr>
        <w:t> </w:t>
      </w:r>
      <w:r>
        <w:rPr>
          <w:sz w:val="24"/>
        </w:rPr>
        <w:t>daily</w:t>
      </w:r>
      <w:r>
        <w:rPr>
          <w:spacing w:val="-2"/>
          <w:sz w:val="24"/>
        </w:rPr>
        <w:t> </w:t>
      </w:r>
      <w:r>
        <w:rPr>
          <w:sz w:val="24"/>
        </w:rPr>
        <w:t>to</w:t>
      </w:r>
      <w:r>
        <w:rPr>
          <w:spacing w:val="-2"/>
          <w:sz w:val="24"/>
        </w:rPr>
        <w:t> </w:t>
      </w:r>
      <w:r>
        <w:rPr>
          <w:sz w:val="24"/>
        </w:rPr>
        <w:t>the</w:t>
      </w:r>
      <w:r>
        <w:rPr>
          <w:spacing w:val="-2"/>
          <w:sz w:val="24"/>
        </w:rPr>
        <w:t> </w:t>
      </w:r>
      <w:r>
        <w:rPr>
          <w:sz w:val="24"/>
        </w:rPr>
        <w:t>training</w:t>
      </w:r>
      <w:r>
        <w:rPr>
          <w:spacing w:val="-2"/>
          <w:sz w:val="24"/>
        </w:rPr>
        <w:t> </w:t>
      </w:r>
      <w:r>
        <w:rPr>
          <w:sz w:val="24"/>
        </w:rPr>
        <w:t>of</w:t>
      </w:r>
      <w:r>
        <w:rPr>
          <w:spacing w:val="-1"/>
          <w:sz w:val="24"/>
        </w:rPr>
        <w:t> </w:t>
      </w:r>
      <w:r>
        <w:rPr>
          <w:sz w:val="24"/>
        </w:rPr>
        <w:t>the</w:t>
      </w:r>
      <w:r>
        <w:rPr>
          <w:spacing w:val="-2"/>
          <w:sz w:val="24"/>
        </w:rPr>
        <w:t> client.</w:t>
      </w:r>
    </w:p>
    <w:p>
      <w:pPr>
        <w:pStyle w:val="ListParagraph"/>
        <w:numPr>
          <w:ilvl w:val="1"/>
          <w:numId w:val="198"/>
        </w:numPr>
        <w:tabs>
          <w:tab w:pos="1216" w:val="left" w:leader="none"/>
        </w:tabs>
        <w:spacing w:line="208" w:lineRule="auto" w:before="234" w:after="0"/>
        <w:ind w:left="791" w:right="1055" w:firstLine="0"/>
        <w:jc w:val="left"/>
        <w:rPr>
          <w:sz w:val="24"/>
        </w:rPr>
      </w:pPr>
      <w:r>
        <w:rPr>
          <w:sz w:val="24"/>
        </w:rPr>
        <w:t>It</w:t>
      </w:r>
      <w:r>
        <w:rPr>
          <w:spacing w:val="-4"/>
          <w:sz w:val="24"/>
        </w:rPr>
        <w:t> </w:t>
      </w:r>
      <w:r>
        <w:rPr>
          <w:sz w:val="24"/>
        </w:rPr>
        <w:t>is</w:t>
      </w:r>
      <w:r>
        <w:rPr>
          <w:spacing w:val="-3"/>
          <w:sz w:val="24"/>
        </w:rPr>
        <w:t> </w:t>
      </w:r>
      <w:r>
        <w:rPr>
          <w:sz w:val="24"/>
        </w:rPr>
        <w:t>expected</w:t>
      </w:r>
      <w:r>
        <w:rPr>
          <w:spacing w:val="-3"/>
          <w:sz w:val="24"/>
        </w:rPr>
        <w:t> </w:t>
      </w:r>
      <w:r>
        <w:rPr>
          <w:sz w:val="24"/>
        </w:rPr>
        <w:t>the</w:t>
      </w:r>
      <w:r>
        <w:rPr>
          <w:spacing w:val="-3"/>
          <w:sz w:val="24"/>
        </w:rPr>
        <w:t> </w:t>
      </w:r>
      <w:r>
        <w:rPr>
          <w:sz w:val="24"/>
        </w:rPr>
        <w:t>client</w:t>
      </w:r>
      <w:r>
        <w:rPr>
          <w:spacing w:val="-2"/>
          <w:sz w:val="24"/>
        </w:rPr>
        <w:t> </w:t>
      </w:r>
      <w:r>
        <w:rPr>
          <w:sz w:val="24"/>
        </w:rPr>
        <w:t>will</w:t>
      </w:r>
      <w:r>
        <w:rPr>
          <w:spacing w:val="-3"/>
          <w:sz w:val="24"/>
        </w:rPr>
        <w:t> </w:t>
      </w:r>
      <w:r>
        <w:rPr>
          <w:sz w:val="24"/>
        </w:rPr>
        <w:t>remain</w:t>
      </w:r>
      <w:r>
        <w:rPr>
          <w:spacing w:val="-3"/>
          <w:sz w:val="24"/>
        </w:rPr>
        <w:t> </w:t>
      </w:r>
      <w:r>
        <w:rPr>
          <w:sz w:val="24"/>
        </w:rPr>
        <w:t>in</w:t>
      </w:r>
      <w:r>
        <w:rPr>
          <w:spacing w:val="-3"/>
          <w:sz w:val="24"/>
        </w:rPr>
        <w:t> </w:t>
      </w:r>
      <w:r>
        <w:rPr>
          <w:sz w:val="24"/>
        </w:rPr>
        <w:t>the</w:t>
      </w:r>
      <w:r>
        <w:rPr>
          <w:spacing w:val="-3"/>
          <w:sz w:val="24"/>
        </w:rPr>
        <w:t> </w:t>
      </w:r>
      <w:r>
        <w:rPr>
          <w:sz w:val="24"/>
        </w:rPr>
        <w:t>same</w:t>
      </w:r>
      <w:r>
        <w:rPr>
          <w:spacing w:val="-3"/>
          <w:sz w:val="24"/>
        </w:rPr>
        <w:t> </w:t>
      </w:r>
      <w:r>
        <w:rPr>
          <w:sz w:val="24"/>
        </w:rPr>
        <w:t>or</w:t>
      </w:r>
      <w:r>
        <w:rPr>
          <w:spacing w:val="-4"/>
          <w:sz w:val="24"/>
        </w:rPr>
        <w:t> </w:t>
      </w:r>
      <w:r>
        <w:rPr>
          <w:sz w:val="24"/>
        </w:rPr>
        <w:t>similar</w:t>
      </w:r>
      <w:r>
        <w:rPr>
          <w:spacing w:val="-2"/>
          <w:sz w:val="24"/>
        </w:rPr>
        <w:t> </w:t>
      </w:r>
      <w:r>
        <w:rPr>
          <w:sz w:val="24"/>
        </w:rPr>
        <w:t>job</w:t>
      </w:r>
      <w:r>
        <w:rPr>
          <w:spacing w:val="-2"/>
          <w:sz w:val="24"/>
        </w:rPr>
        <w:t> </w:t>
      </w:r>
      <w:r>
        <w:rPr>
          <w:sz w:val="24"/>
        </w:rPr>
        <w:t>upon</w:t>
      </w:r>
      <w:r>
        <w:rPr>
          <w:spacing w:val="-3"/>
          <w:sz w:val="24"/>
        </w:rPr>
        <w:t> </w:t>
      </w:r>
      <w:r>
        <w:rPr>
          <w:sz w:val="24"/>
        </w:rPr>
        <w:t>successful </w:t>
      </w:r>
      <w:r>
        <w:rPr>
          <w:spacing w:val="-2"/>
          <w:sz w:val="24"/>
        </w:rPr>
        <w:t>completion.</w:t>
      </w:r>
    </w:p>
    <w:p>
      <w:pPr>
        <w:pStyle w:val="ListParagraph"/>
        <w:numPr>
          <w:ilvl w:val="1"/>
          <w:numId w:val="198"/>
        </w:numPr>
        <w:tabs>
          <w:tab w:pos="1217" w:val="left" w:leader="none"/>
        </w:tabs>
        <w:spacing w:line="208" w:lineRule="auto" w:before="240" w:after="0"/>
        <w:ind w:left="791" w:right="828" w:firstLine="0"/>
        <w:jc w:val="left"/>
        <w:rPr>
          <w:sz w:val="24"/>
        </w:rPr>
      </w:pPr>
      <w:r>
        <w:rPr>
          <w:sz w:val="24"/>
        </w:rPr>
        <w:t>The</w:t>
      </w:r>
      <w:r>
        <w:rPr>
          <w:spacing w:val="-3"/>
          <w:sz w:val="24"/>
        </w:rPr>
        <w:t> </w:t>
      </w:r>
      <w:r>
        <w:rPr>
          <w:sz w:val="24"/>
        </w:rPr>
        <w:t>employer</w:t>
      </w:r>
      <w:r>
        <w:rPr>
          <w:spacing w:val="-2"/>
          <w:sz w:val="24"/>
        </w:rPr>
        <w:t> </w:t>
      </w:r>
      <w:r>
        <w:rPr>
          <w:sz w:val="24"/>
        </w:rPr>
        <w:t>must</w:t>
      </w:r>
      <w:r>
        <w:rPr>
          <w:spacing w:val="-2"/>
          <w:sz w:val="24"/>
        </w:rPr>
        <w:t> </w:t>
      </w:r>
      <w:r>
        <w:rPr>
          <w:sz w:val="24"/>
        </w:rPr>
        <w:t>be</w:t>
      </w:r>
      <w:r>
        <w:rPr>
          <w:spacing w:val="-3"/>
          <w:sz w:val="24"/>
        </w:rPr>
        <w:t> </w:t>
      </w:r>
      <w:r>
        <w:rPr>
          <w:sz w:val="24"/>
        </w:rPr>
        <w:t>willing</w:t>
      </w:r>
      <w:r>
        <w:rPr>
          <w:spacing w:val="-3"/>
          <w:sz w:val="24"/>
        </w:rPr>
        <w:t> </w:t>
      </w:r>
      <w:r>
        <w:rPr>
          <w:sz w:val="24"/>
        </w:rPr>
        <w:t>to</w:t>
      </w:r>
      <w:r>
        <w:rPr>
          <w:spacing w:val="-3"/>
          <w:sz w:val="24"/>
        </w:rPr>
        <w:t> </w:t>
      </w:r>
      <w:r>
        <w:rPr>
          <w:sz w:val="24"/>
        </w:rPr>
        <w:t>consider</w:t>
      </w:r>
      <w:r>
        <w:rPr>
          <w:spacing w:val="-2"/>
          <w:sz w:val="24"/>
        </w:rPr>
        <w:t> </w:t>
      </w:r>
      <w:r>
        <w:rPr>
          <w:sz w:val="24"/>
        </w:rPr>
        <w:t>the</w:t>
      </w:r>
      <w:r>
        <w:rPr>
          <w:spacing w:val="-3"/>
          <w:sz w:val="24"/>
        </w:rPr>
        <w:t> </w:t>
      </w:r>
      <w:r>
        <w:rPr>
          <w:sz w:val="24"/>
        </w:rPr>
        <w:t>client</w:t>
      </w:r>
      <w:r>
        <w:rPr>
          <w:spacing w:val="-2"/>
          <w:sz w:val="24"/>
        </w:rPr>
        <w:t> </w:t>
      </w:r>
      <w:r>
        <w:rPr>
          <w:sz w:val="24"/>
        </w:rPr>
        <w:t>for</w:t>
      </w:r>
      <w:r>
        <w:rPr>
          <w:spacing w:val="-4"/>
          <w:sz w:val="24"/>
        </w:rPr>
        <w:t> </w:t>
      </w:r>
      <w:r>
        <w:rPr>
          <w:sz w:val="24"/>
        </w:rPr>
        <w:t>any</w:t>
      </w:r>
      <w:r>
        <w:rPr>
          <w:spacing w:val="-3"/>
          <w:sz w:val="24"/>
        </w:rPr>
        <w:t> </w:t>
      </w:r>
      <w:r>
        <w:rPr>
          <w:sz w:val="24"/>
        </w:rPr>
        <w:t>open</w:t>
      </w:r>
      <w:r>
        <w:rPr>
          <w:spacing w:val="-3"/>
          <w:sz w:val="24"/>
        </w:rPr>
        <w:t> </w:t>
      </w:r>
      <w:r>
        <w:rPr>
          <w:sz w:val="24"/>
        </w:rPr>
        <w:t>position,</w:t>
      </w:r>
      <w:r>
        <w:rPr>
          <w:spacing w:val="-2"/>
          <w:sz w:val="24"/>
        </w:rPr>
        <w:t> </w:t>
      </w:r>
      <w:r>
        <w:rPr>
          <w:sz w:val="24"/>
        </w:rPr>
        <w:t>full</w:t>
      </w:r>
      <w:r>
        <w:rPr>
          <w:spacing w:val="-3"/>
          <w:sz w:val="24"/>
        </w:rPr>
        <w:t> </w:t>
      </w:r>
      <w:r>
        <w:rPr>
          <w:sz w:val="24"/>
        </w:rPr>
        <w:t>or part time, after the initial training period.</w:t>
      </w:r>
    </w:p>
    <w:p>
      <w:pPr>
        <w:pStyle w:val="ListParagraph"/>
        <w:numPr>
          <w:ilvl w:val="0"/>
          <w:numId w:val="198"/>
        </w:numPr>
        <w:tabs>
          <w:tab w:pos="772" w:val="left" w:leader="none"/>
        </w:tabs>
        <w:spacing w:line="208" w:lineRule="auto" w:before="239" w:after="0"/>
        <w:ind w:left="359" w:right="1446" w:firstLine="0"/>
        <w:jc w:val="left"/>
        <w:rPr>
          <w:b/>
          <w:sz w:val="24"/>
        </w:rPr>
      </w:pPr>
      <w:r>
        <w:rPr>
          <w:sz w:val="24"/>
        </w:rPr>
        <w:t>There</w:t>
      </w:r>
      <w:r>
        <w:rPr>
          <w:spacing w:val="-3"/>
          <w:sz w:val="24"/>
        </w:rPr>
        <w:t> </w:t>
      </w:r>
      <w:r>
        <w:rPr>
          <w:sz w:val="24"/>
        </w:rPr>
        <w:t>is</w:t>
      </w:r>
      <w:r>
        <w:rPr>
          <w:spacing w:val="-3"/>
          <w:sz w:val="24"/>
        </w:rPr>
        <w:t> </w:t>
      </w:r>
      <w:r>
        <w:rPr>
          <w:sz w:val="24"/>
        </w:rPr>
        <w:t>no</w:t>
      </w:r>
      <w:r>
        <w:rPr>
          <w:spacing w:val="-3"/>
          <w:sz w:val="24"/>
        </w:rPr>
        <w:t> </w:t>
      </w:r>
      <w:r>
        <w:rPr>
          <w:sz w:val="24"/>
        </w:rPr>
        <w:t>specific</w:t>
      </w:r>
      <w:r>
        <w:rPr>
          <w:spacing w:val="-3"/>
          <w:sz w:val="24"/>
        </w:rPr>
        <w:t> </w:t>
      </w:r>
      <w:r>
        <w:rPr>
          <w:sz w:val="24"/>
        </w:rPr>
        <w:t>length</w:t>
      </w:r>
      <w:r>
        <w:rPr>
          <w:spacing w:val="-3"/>
          <w:sz w:val="24"/>
        </w:rPr>
        <w:t> </w:t>
      </w:r>
      <w:r>
        <w:rPr>
          <w:sz w:val="24"/>
        </w:rPr>
        <w:t>of</w:t>
      </w:r>
      <w:r>
        <w:rPr>
          <w:spacing w:val="-4"/>
          <w:sz w:val="24"/>
        </w:rPr>
        <w:t> </w:t>
      </w:r>
      <w:r>
        <w:rPr>
          <w:sz w:val="24"/>
        </w:rPr>
        <w:t>time</w:t>
      </w:r>
      <w:r>
        <w:rPr>
          <w:spacing w:val="-3"/>
          <w:sz w:val="24"/>
        </w:rPr>
        <w:t> </w:t>
      </w:r>
      <w:r>
        <w:rPr>
          <w:sz w:val="24"/>
        </w:rPr>
        <w:t>for</w:t>
      </w:r>
      <w:r>
        <w:rPr>
          <w:spacing w:val="-4"/>
          <w:sz w:val="24"/>
        </w:rPr>
        <w:t> </w:t>
      </w:r>
      <w:r>
        <w:rPr>
          <w:sz w:val="24"/>
        </w:rPr>
        <w:t>on-the-job</w:t>
      </w:r>
      <w:r>
        <w:rPr>
          <w:spacing w:val="-3"/>
          <w:sz w:val="24"/>
        </w:rPr>
        <w:t> </w:t>
      </w:r>
      <w:r>
        <w:rPr>
          <w:sz w:val="24"/>
        </w:rPr>
        <w:t>training,</w:t>
      </w:r>
      <w:r>
        <w:rPr>
          <w:spacing w:val="-2"/>
          <w:sz w:val="24"/>
        </w:rPr>
        <w:t> </w:t>
      </w:r>
      <w:r>
        <w:rPr>
          <w:sz w:val="24"/>
        </w:rPr>
        <w:t>as</w:t>
      </w:r>
      <w:r>
        <w:rPr>
          <w:spacing w:val="-3"/>
          <w:sz w:val="24"/>
        </w:rPr>
        <w:t> </w:t>
      </w:r>
      <w:r>
        <w:rPr>
          <w:sz w:val="24"/>
        </w:rPr>
        <w:t>the</w:t>
      </w:r>
      <w:r>
        <w:rPr>
          <w:spacing w:val="-3"/>
          <w:sz w:val="24"/>
        </w:rPr>
        <w:t> </w:t>
      </w:r>
      <w:r>
        <w:rPr>
          <w:sz w:val="24"/>
        </w:rPr>
        <w:t>length</w:t>
      </w:r>
      <w:r>
        <w:rPr>
          <w:spacing w:val="-3"/>
          <w:sz w:val="24"/>
        </w:rPr>
        <w:t> </w:t>
      </w:r>
      <w:r>
        <w:rPr>
          <w:sz w:val="24"/>
        </w:rPr>
        <w:t>of</w:t>
      </w:r>
      <w:r>
        <w:rPr>
          <w:spacing w:val="-2"/>
          <w:sz w:val="24"/>
        </w:rPr>
        <w:t> </w:t>
      </w:r>
      <w:r>
        <w:rPr>
          <w:sz w:val="24"/>
        </w:rPr>
        <w:t>time needed for training will vary with the complexity of the job being learned. </w:t>
      </w:r>
      <w:r>
        <w:rPr>
          <w:b/>
          <w:sz w:val="24"/>
        </w:rPr>
        <w:t>1</w:t>
      </w:r>
    </w:p>
    <w:p>
      <w:pPr>
        <w:pStyle w:val="ListParagraph"/>
        <w:numPr>
          <w:ilvl w:val="0"/>
          <w:numId w:val="198"/>
        </w:numPr>
        <w:tabs>
          <w:tab w:pos="784" w:val="left" w:leader="none"/>
        </w:tabs>
        <w:spacing w:line="208" w:lineRule="auto" w:before="240" w:after="0"/>
        <w:ind w:left="359" w:right="767" w:firstLine="0"/>
        <w:jc w:val="left"/>
        <w:rPr>
          <w:b/>
          <w:sz w:val="24"/>
        </w:rPr>
      </w:pPr>
      <w:r>
        <w:rPr>
          <w:sz w:val="24"/>
        </w:rPr>
        <w:t>Individuals and businesses which provide on-the-job training are expected to compensate OJT participants according to applicable minimum wage and hour regulations under the Fair Labor Standards Act. The employer must pay the client at least the applicable minimum wage unless the counselor issues a sub-minimum wage certificate.</w:t>
      </w:r>
      <w:r>
        <w:rPr>
          <w:spacing w:val="-4"/>
          <w:sz w:val="24"/>
        </w:rPr>
        <w:t> </w:t>
      </w:r>
      <w:r>
        <w:rPr>
          <w:sz w:val="24"/>
        </w:rPr>
        <w:t>This</w:t>
      </w:r>
      <w:r>
        <w:rPr>
          <w:spacing w:val="-3"/>
          <w:sz w:val="24"/>
        </w:rPr>
        <w:t> </w:t>
      </w:r>
      <w:r>
        <w:rPr>
          <w:sz w:val="24"/>
        </w:rPr>
        <w:t>permits</w:t>
      </w:r>
      <w:r>
        <w:rPr>
          <w:spacing w:val="-3"/>
          <w:sz w:val="24"/>
        </w:rPr>
        <w:t> </w:t>
      </w:r>
      <w:r>
        <w:rPr>
          <w:sz w:val="24"/>
        </w:rPr>
        <w:t>the</w:t>
      </w:r>
      <w:r>
        <w:rPr>
          <w:spacing w:val="-3"/>
          <w:sz w:val="24"/>
        </w:rPr>
        <w:t> </w:t>
      </w:r>
      <w:r>
        <w:rPr>
          <w:sz w:val="24"/>
        </w:rPr>
        <w:t>employer</w:t>
      </w:r>
      <w:r>
        <w:rPr>
          <w:spacing w:val="-2"/>
          <w:sz w:val="24"/>
        </w:rPr>
        <w:t> </w:t>
      </w:r>
      <w:r>
        <w:rPr>
          <w:sz w:val="24"/>
        </w:rPr>
        <w:t>to</w:t>
      </w:r>
      <w:r>
        <w:rPr>
          <w:spacing w:val="-3"/>
          <w:sz w:val="24"/>
        </w:rPr>
        <w:t> </w:t>
      </w:r>
      <w:r>
        <w:rPr>
          <w:sz w:val="24"/>
        </w:rPr>
        <w:t>pay</w:t>
      </w:r>
      <w:r>
        <w:rPr>
          <w:spacing w:val="-4"/>
          <w:sz w:val="24"/>
        </w:rPr>
        <w:t> </w:t>
      </w:r>
      <w:r>
        <w:rPr>
          <w:sz w:val="24"/>
        </w:rPr>
        <w:t>less</w:t>
      </w:r>
      <w:r>
        <w:rPr>
          <w:spacing w:val="-3"/>
          <w:sz w:val="24"/>
        </w:rPr>
        <w:t> </w:t>
      </w:r>
      <w:r>
        <w:rPr>
          <w:sz w:val="24"/>
        </w:rPr>
        <w:t>than</w:t>
      </w:r>
      <w:r>
        <w:rPr>
          <w:spacing w:val="-3"/>
          <w:sz w:val="24"/>
        </w:rPr>
        <w:t> </w:t>
      </w:r>
      <w:r>
        <w:rPr>
          <w:sz w:val="24"/>
        </w:rPr>
        <w:t>the</w:t>
      </w:r>
      <w:r>
        <w:rPr>
          <w:spacing w:val="-3"/>
          <w:sz w:val="24"/>
        </w:rPr>
        <w:t> </w:t>
      </w:r>
      <w:r>
        <w:rPr>
          <w:sz w:val="24"/>
        </w:rPr>
        <w:t>minimum</w:t>
      </w:r>
      <w:r>
        <w:rPr>
          <w:spacing w:val="-2"/>
          <w:sz w:val="24"/>
        </w:rPr>
        <w:t> </w:t>
      </w:r>
      <w:r>
        <w:rPr>
          <w:sz w:val="24"/>
        </w:rPr>
        <w:t>wage</w:t>
      </w:r>
      <w:r>
        <w:rPr>
          <w:spacing w:val="-3"/>
          <w:sz w:val="24"/>
        </w:rPr>
        <w:t> </w:t>
      </w:r>
      <w:r>
        <w:rPr>
          <w:sz w:val="24"/>
        </w:rPr>
        <w:t>for</w:t>
      </w:r>
      <w:r>
        <w:rPr>
          <w:spacing w:val="-4"/>
          <w:sz w:val="24"/>
        </w:rPr>
        <w:t> </w:t>
      </w:r>
      <w:r>
        <w:rPr>
          <w:sz w:val="24"/>
        </w:rPr>
        <w:t>a</w:t>
      </w:r>
      <w:r>
        <w:rPr>
          <w:spacing w:val="-3"/>
          <w:sz w:val="24"/>
        </w:rPr>
        <w:t> </w:t>
      </w:r>
      <w:r>
        <w:rPr>
          <w:sz w:val="24"/>
        </w:rPr>
        <w:t>specified period of time if the client has a severe disability. </w:t>
      </w:r>
      <w:r>
        <w:rPr>
          <w:b/>
          <w:sz w:val="24"/>
        </w:rPr>
        <w:t>2,3</w:t>
      </w:r>
    </w:p>
    <w:p>
      <w:pPr>
        <w:pStyle w:val="ListParagraph"/>
        <w:numPr>
          <w:ilvl w:val="0"/>
          <w:numId w:val="198"/>
        </w:numPr>
        <w:tabs>
          <w:tab w:pos="784" w:val="left" w:leader="none"/>
        </w:tabs>
        <w:spacing w:line="208" w:lineRule="auto" w:before="240" w:after="0"/>
        <w:ind w:left="359" w:right="739" w:firstLine="0"/>
        <w:jc w:val="left"/>
        <w:rPr>
          <w:b/>
          <w:sz w:val="24"/>
        </w:rPr>
      </w:pPr>
      <w:r>
        <w:rPr>
          <w:sz w:val="24"/>
        </w:rPr>
        <w:t>On-the-job</w:t>
      </w:r>
      <w:r>
        <w:rPr>
          <w:spacing w:val="-3"/>
          <w:sz w:val="24"/>
        </w:rPr>
        <w:t> </w:t>
      </w:r>
      <w:r>
        <w:rPr>
          <w:sz w:val="24"/>
        </w:rPr>
        <w:t>training</w:t>
      </w:r>
      <w:r>
        <w:rPr>
          <w:spacing w:val="-3"/>
          <w:sz w:val="24"/>
        </w:rPr>
        <w:t> </w:t>
      </w:r>
      <w:r>
        <w:rPr>
          <w:sz w:val="24"/>
        </w:rPr>
        <w:t>payments</w:t>
      </w:r>
      <w:r>
        <w:rPr>
          <w:spacing w:val="-3"/>
          <w:sz w:val="24"/>
        </w:rPr>
        <w:t> </w:t>
      </w:r>
      <w:r>
        <w:rPr>
          <w:sz w:val="24"/>
        </w:rPr>
        <w:t>are</w:t>
      </w:r>
      <w:r>
        <w:rPr>
          <w:spacing w:val="-3"/>
          <w:sz w:val="24"/>
        </w:rPr>
        <w:t> </w:t>
      </w:r>
      <w:r>
        <w:rPr>
          <w:sz w:val="24"/>
        </w:rPr>
        <w:t>reimbursement</w:t>
      </w:r>
      <w:r>
        <w:rPr>
          <w:spacing w:val="-2"/>
          <w:sz w:val="24"/>
        </w:rPr>
        <w:t> </w:t>
      </w:r>
      <w:r>
        <w:rPr>
          <w:sz w:val="24"/>
        </w:rPr>
        <w:t>for</w:t>
      </w:r>
      <w:r>
        <w:rPr>
          <w:spacing w:val="-2"/>
          <w:sz w:val="24"/>
        </w:rPr>
        <w:t> </w:t>
      </w:r>
      <w:r>
        <w:rPr>
          <w:sz w:val="24"/>
        </w:rPr>
        <w:t>wages</w:t>
      </w:r>
      <w:r>
        <w:rPr>
          <w:spacing w:val="-3"/>
          <w:sz w:val="24"/>
        </w:rPr>
        <w:t> </w:t>
      </w:r>
      <w:r>
        <w:rPr>
          <w:sz w:val="24"/>
        </w:rPr>
        <w:t>and</w:t>
      </w:r>
      <w:r>
        <w:rPr>
          <w:spacing w:val="-3"/>
          <w:sz w:val="24"/>
        </w:rPr>
        <w:t> </w:t>
      </w:r>
      <w:r>
        <w:rPr>
          <w:sz w:val="24"/>
        </w:rPr>
        <w:t>benefits</w:t>
      </w:r>
      <w:r>
        <w:rPr>
          <w:spacing w:val="-3"/>
          <w:sz w:val="24"/>
        </w:rPr>
        <w:t> </w:t>
      </w:r>
      <w:r>
        <w:rPr>
          <w:sz w:val="24"/>
        </w:rPr>
        <w:t>paid</w:t>
      </w:r>
      <w:r>
        <w:rPr>
          <w:spacing w:val="-3"/>
          <w:sz w:val="24"/>
        </w:rPr>
        <w:t> </w:t>
      </w:r>
      <w:r>
        <w:rPr>
          <w:sz w:val="24"/>
        </w:rPr>
        <w:t>by</w:t>
      </w:r>
      <w:r>
        <w:rPr>
          <w:spacing w:val="-3"/>
          <w:sz w:val="24"/>
        </w:rPr>
        <w:t> </w:t>
      </w:r>
      <w:r>
        <w:rPr>
          <w:sz w:val="24"/>
        </w:rPr>
        <w:t>the employer.</w:t>
      </w:r>
      <w:r>
        <w:rPr>
          <w:spacing w:val="-2"/>
          <w:sz w:val="24"/>
        </w:rPr>
        <w:t> </w:t>
      </w:r>
      <w:r>
        <w:rPr>
          <w:sz w:val="24"/>
        </w:rPr>
        <w:t>Reimbursement</w:t>
      </w:r>
      <w:r>
        <w:rPr>
          <w:spacing w:val="-2"/>
          <w:sz w:val="24"/>
        </w:rPr>
        <w:t> </w:t>
      </w:r>
      <w:r>
        <w:rPr>
          <w:sz w:val="24"/>
        </w:rPr>
        <w:t>is</w:t>
      </w:r>
      <w:r>
        <w:rPr>
          <w:spacing w:val="-3"/>
          <w:sz w:val="24"/>
        </w:rPr>
        <w:t> </w:t>
      </w:r>
      <w:r>
        <w:rPr>
          <w:sz w:val="24"/>
        </w:rPr>
        <w:t>paid</w:t>
      </w:r>
      <w:r>
        <w:rPr>
          <w:spacing w:val="-3"/>
          <w:sz w:val="24"/>
        </w:rPr>
        <w:t> </w:t>
      </w:r>
      <w:r>
        <w:rPr>
          <w:sz w:val="24"/>
        </w:rPr>
        <w:t>to</w:t>
      </w:r>
      <w:r>
        <w:rPr>
          <w:spacing w:val="-3"/>
          <w:sz w:val="24"/>
        </w:rPr>
        <w:t> </w:t>
      </w:r>
      <w:r>
        <w:rPr>
          <w:sz w:val="24"/>
        </w:rPr>
        <w:t>the</w:t>
      </w:r>
      <w:r>
        <w:rPr>
          <w:spacing w:val="-3"/>
          <w:sz w:val="24"/>
        </w:rPr>
        <w:t> </w:t>
      </w:r>
      <w:r>
        <w:rPr>
          <w:sz w:val="24"/>
        </w:rPr>
        <w:t>employer</w:t>
      </w:r>
      <w:r>
        <w:rPr>
          <w:spacing w:val="-2"/>
          <w:sz w:val="24"/>
        </w:rPr>
        <w:t> </w:t>
      </w:r>
      <w:r>
        <w:rPr>
          <w:sz w:val="24"/>
        </w:rPr>
        <w:t>who</w:t>
      </w:r>
      <w:r>
        <w:rPr>
          <w:spacing w:val="-2"/>
          <w:sz w:val="24"/>
        </w:rPr>
        <w:t> </w:t>
      </w:r>
      <w:r>
        <w:rPr>
          <w:sz w:val="24"/>
        </w:rPr>
        <w:t>pays</w:t>
      </w:r>
      <w:r>
        <w:rPr>
          <w:spacing w:val="-3"/>
          <w:sz w:val="24"/>
        </w:rPr>
        <w:t> </w:t>
      </w:r>
      <w:r>
        <w:rPr>
          <w:sz w:val="24"/>
        </w:rPr>
        <w:t>the</w:t>
      </w:r>
      <w:r>
        <w:rPr>
          <w:spacing w:val="-3"/>
          <w:sz w:val="24"/>
        </w:rPr>
        <w:t> </w:t>
      </w:r>
      <w:r>
        <w:rPr>
          <w:sz w:val="24"/>
        </w:rPr>
        <w:t>client</w:t>
      </w:r>
      <w:r>
        <w:rPr>
          <w:spacing w:val="-2"/>
          <w:sz w:val="24"/>
        </w:rPr>
        <w:t> </w:t>
      </w:r>
      <w:r>
        <w:rPr>
          <w:sz w:val="24"/>
        </w:rPr>
        <w:t>just</w:t>
      </w:r>
      <w:r>
        <w:rPr>
          <w:spacing w:val="-2"/>
          <w:sz w:val="24"/>
        </w:rPr>
        <w:t> </w:t>
      </w:r>
      <w:r>
        <w:rPr>
          <w:sz w:val="24"/>
        </w:rPr>
        <w:t>like</w:t>
      </w:r>
      <w:r>
        <w:rPr>
          <w:spacing w:val="-3"/>
          <w:sz w:val="24"/>
        </w:rPr>
        <w:t> </w:t>
      </w:r>
      <w:r>
        <w:rPr>
          <w:sz w:val="24"/>
        </w:rPr>
        <w:t>his</w:t>
      </w:r>
      <w:r>
        <w:rPr>
          <w:spacing w:val="-3"/>
          <w:sz w:val="24"/>
        </w:rPr>
        <w:t> </w:t>
      </w:r>
      <w:r>
        <w:rPr>
          <w:sz w:val="24"/>
        </w:rPr>
        <w:t>or</w:t>
      </w:r>
      <w:r>
        <w:rPr>
          <w:spacing w:val="-2"/>
          <w:sz w:val="24"/>
        </w:rPr>
        <w:t> </w:t>
      </w:r>
      <w:r>
        <w:rPr>
          <w:sz w:val="24"/>
        </w:rPr>
        <w:t>her own employees. It is not permissible for the employer to endorse the reimbursement check and give it to the client in lieu of wages. </w:t>
      </w:r>
      <w:r>
        <w:rPr>
          <w:b/>
          <w:sz w:val="24"/>
        </w:rPr>
        <w:t>4</w:t>
      </w:r>
    </w:p>
    <w:p>
      <w:pPr>
        <w:pStyle w:val="ListParagraph"/>
        <w:numPr>
          <w:ilvl w:val="0"/>
          <w:numId w:val="198"/>
        </w:numPr>
        <w:tabs>
          <w:tab w:pos="718" w:val="left" w:leader="none"/>
        </w:tabs>
        <w:spacing w:line="240" w:lineRule="auto" w:before="210" w:after="0"/>
        <w:ind w:left="718" w:right="0" w:hanging="359"/>
        <w:jc w:val="left"/>
        <w:rPr>
          <w:sz w:val="24"/>
        </w:rPr>
      </w:pPr>
      <w:r>
        <w:rPr>
          <w:sz w:val="24"/>
        </w:rPr>
        <w:t>Reimbursement</w:t>
      </w:r>
      <w:r>
        <w:rPr>
          <w:spacing w:val="-3"/>
          <w:sz w:val="24"/>
        </w:rPr>
        <w:t> </w:t>
      </w:r>
      <w:r>
        <w:rPr>
          <w:sz w:val="24"/>
        </w:rPr>
        <w:t>for</w:t>
      </w:r>
      <w:r>
        <w:rPr>
          <w:spacing w:val="-4"/>
          <w:sz w:val="24"/>
        </w:rPr>
        <w:t> </w:t>
      </w:r>
      <w:r>
        <w:rPr>
          <w:sz w:val="24"/>
        </w:rPr>
        <w:t>on-the-job</w:t>
      </w:r>
      <w:r>
        <w:rPr>
          <w:spacing w:val="-3"/>
          <w:sz w:val="24"/>
        </w:rPr>
        <w:t> </w:t>
      </w:r>
      <w:r>
        <w:rPr>
          <w:sz w:val="24"/>
        </w:rPr>
        <w:t>training</w:t>
      </w:r>
      <w:r>
        <w:rPr>
          <w:spacing w:val="-3"/>
          <w:sz w:val="24"/>
        </w:rPr>
        <w:t> </w:t>
      </w:r>
      <w:r>
        <w:rPr>
          <w:sz w:val="24"/>
        </w:rPr>
        <w:t>is</w:t>
      </w:r>
      <w:r>
        <w:rPr>
          <w:spacing w:val="-4"/>
          <w:sz w:val="24"/>
        </w:rPr>
        <w:t> </w:t>
      </w:r>
      <w:r>
        <w:rPr>
          <w:sz w:val="24"/>
        </w:rPr>
        <w:t>paid</w:t>
      </w:r>
      <w:r>
        <w:rPr>
          <w:spacing w:val="-3"/>
          <w:sz w:val="24"/>
        </w:rPr>
        <w:t> </w:t>
      </w:r>
      <w:r>
        <w:rPr>
          <w:sz w:val="24"/>
        </w:rPr>
        <w:t>on</w:t>
      </w:r>
      <w:r>
        <w:rPr>
          <w:spacing w:val="-3"/>
          <w:sz w:val="24"/>
        </w:rPr>
        <w:t> </w:t>
      </w:r>
      <w:r>
        <w:rPr>
          <w:sz w:val="24"/>
        </w:rPr>
        <w:t>a</w:t>
      </w:r>
      <w:r>
        <w:rPr>
          <w:spacing w:val="-3"/>
          <w:sz w:val="24"/>
        </w:rPr>
        <w:t> </w:t>
      </w:r>
      <w:r>
        <w:rPr>
          <w:sz w:val="24"/>
        </w:rPr>
        <w:t>monthly</w:t>
      </w:r>
      <w:r>
        <w:rPr>
          <w:spacing w:val="-3"/>
          <w:sz w:val="24"/>
        </w:rPr>
        <w:t> </w:t>
      </w:r>
      <w:r>
        <w:rPr>
          <w:spacing w:val="-2"/>
          <w:sz w:val="24"/>
        </w:rPr>
        <w:t>basis.</w:t>
      </w:r>
    </w:p>
    <w:p>
      <w:pPr>
        <w:pStyle w:val="ListParagraph"/>
        <w:numPr>
          <w:ilvl w:val="0"/>
          <w:numId w:val="198"/>
        </w:numPr>
        <w:tabs>
          <w:tab w:pos="784" w:val="left" w:leader="none"/>
        </w:tabs>
        <w:spacing w:line="208" w:lineRule="auto" w:before="233" w:after="0"/>
        <w:ind w:left="359" w:right="1099" w:firstLine="0"/>
        <w:jc w:val="left"/>
        <w:rPr>
          <w:sz w:val="24"/>
        </w:rPr>
      </w:pPr>
      <w:r>
        <w:rPr>
          <w:sz w:val="24"/>
        </w:rPr>
        <w:t>On-the-job</w:t>
      </w:r>
      <w:r>
        <w:rPr>
          <w:spacing w:val="-4"/>
          <w:sz w:val="24"/>
        </w:rPr>
        <w:t> </w:t>
      </w:r>
      <w:r>
        <w:rPr>
          <w:sz w:val="24"/>
        </w:rPr>
        <w:t>training,</w:t>
      </w:r>
      <w:r>
        <w:rPr>
          <w:spacing w:val="-3"/>
          <w:sz w:val="24"/>
        </w:rPr>
        <w:t> </w:t>
      </w:r>
      <w:r>
        <w:rPr>
          <w:sz w:val="24"/>
        </w:rPr>
        <w:t>using</w:t>
      </w:r>
      <w:r>
        <w:rPr>
          <w:spacing w:val="-4"/>
          <w:sz w:val="24"/>
        </w:rPr>
        <w:t> </w:t>
      </w:r>
      <w:r>
        <w:rPr>
          <w:sz w:val="24"/>
        </w:rPr>
        <w:t>realistic</w:t>
      </w:r>
      <w:r>
        <w:rPr>
          <w:spacing w:val="-4"/>
          <w:sz w:val="24"/>
        </w:rPr>
        <w:t> </w:t>
      </w:r>
      <w:r>
        <w:rPr>
          <w:sz w:val="24"/>
        </w:rPr>
        <w:t>integrated</w:t>
      </w:r>
      <w:r>
        <w:rPr>
          <w:spacing w:val="-4"/>
          <w:sz w:val="24"/>
        </w:rPr>
        <w:t> </w:t>
      </w:r>
      <w:r>
        <w:rPr>
          <w:sz w:val="24"/>
        </w:rPr>
        <w:t>work</w:t>
      </w:r>
      <w:r>
        <w:rPr>
          <w:spacing w:val="-5"/>
          <w:sz w:val="24"/>
        </w:rPr>
        <w:t> </w:t>
      </w:r>
      <w:r>
        <w:rPr>
          <w:sz w:val="24"/>
        </w:rPr>
        <w:t>settings</w:t>
      </w:r>
      <w:r>
        <w:rPr>
          <w:spacing w:val="-4"/>
          <w:sz w:val="24"/>
        </w:rPr>
        <w:t> </w:t>
      </w:r>
      <w:r>
        <w:rPr>
          <w:sz w:val="24"/>
        </w:rPr>
        <w:t>may</w:t>
      </w:r>
      <w:r>
        <w:rPr>
          <w:spacing w:val="-4"/>
          <w:sz w:val="24"/>
        </w:rPr>
        <w:t> </w:t>
      </w:r>
      <w:r>
        <w:rPr>
          <w:sz w:val="24"/>
        </w:rPr>
        <w:t>be</w:t>
      </w:r>
      <w:r>
        <w:rPr>
          <w:spacing w:val="-4"/>
          <w:sz w:val="24"/>
        </w:rPr>
        <w:t> </w:t>
      </w:r>
      <w:r>
        <w:rPr>
          <w:sz w:val="24"/>
        </w:rPr>
        <w:t>used</w:t>
      </w:r>
      <w:r>
        <w:rPr>
          <w:spacing w:val="-4"/>
          <w:sz w:val="24"/>
        </w:rPr>
        <w:t> </w:t>
      </w:r>
      <w:r>
        <w:rPr>
          <w:sz w:val="24"/>
        </w:rPr>
        <w:t>during</w:t>
      </w:r>
      <w:r>
        <w:rPr>
          <w:spacing w:val="-4"/>
          <w:sz w:val="24"/>
        </w:rPr>
        <w:t> </w:t>
      </w:r>
      <w:r>
        <w:rPr>
          <w:sz w:val="24"/>
        </w:rPr>
        <w:t>a Trial work experiences.</w:t>
      </w:r>
    </w:p>
    <w:p>
      <w:pPr>
        <w:pStyle w:val="ListParagraph"/>
        <w:numPr>
          <w:ilvl w:val="0"/>
          <w:numId w:val="198"/>
        </w:numPr>
        <w:tabs>
          <w:tab w:pos="785" w:val="left" w:leader="none"/>
        </w:tabs>
        <w:spacing w:line="240" w:lineRule="auto" w:before="211" w:after="0"/>
        <w:ind w:left="785" w:right="0" w:hanging="426"/>
        <w:jc w:val="left"/>
        <w:rPr>
          <w:sz w:val="24"/>
        </w:rPr>
      </w:pPr>
      <w:r>
        <w:rPr>
          <w:sz w:val="24"/>
        </w:rPr>
        <w:t>Case</w:t>
      </w:r>
      <w:r>
        <w:rPr>
          <w:spacing w:val="-2"/>
          <w:sz w:val="24"/>
        </w:rPr>
        <w:t> Recording.</w:t>
      </w:r>
    </w:p>
    <w:p>
      <w:pPr>
        <w:pStyle w:val="ListParagraph"/>
        <w:numPr>
          <w:ilvl w:val="1"/>
          <w:numId w:val="198"/>
        </w:numPr>
        <w:tabs>
          <w:tab w:pos="1235" w:val="left" w:leader="none"/>
        </w:tabs>
        <w:spacing w:line="208" w:lineRule="auto" w:before="233" w:after="0"/>
        <w:ind w:left="809" w:right="730" w:firstLine="0"/>
        <w:jc w:val="left"/>
        <w:rPr>
          <w:sz w:val="24"/>
        </w:rPr>
      </w:pPr>
      <w:r>
        <w:rPr>
          <w:sz w:val="24"/>
        </w:rPr>
        <w:t>Direct</w:t>
      </w:r>
      <w:r>
        <w:rPr>
          <w:spacing w:val="-6"/>
          <w:sz w:val="24"/>
        </w:rPr>
        <w:t> </w:t>
      </w:r>
      <w:r>
        <w:rPr>
          <w:sz w:val="24"/>
        </w:rPr>
        <w:t>contact</w:t>
      </w:r>
      <w:r>
        <w:rPr>
          <w:spacing w:val="-3"/>
          <w:sz w:val="24"/>
        </w:rPr>
        <w:t> </w:t>
      </w:r>
      <w:r>
        <w:rPr>
          <w:sz w:val="24"/>
        </w:rPr>
        <w:t>with</w:t>
      </w:r>
      <w:r>
        <w:rPr>
          <w:spacing w:val="-4"/>
          <w:sz w:val="24"/>
        </w:rPr>
        <w:t> </w:t>
      </w:r>
      <w:r>
        <w:rPr>
          <w:sz w:val="24"/>
        </w:rPr>
        <w:t>an</w:t>
      </w:r>
      <w:r>
        <w:rPr>
          <w:spacing w:val="-4"/>
          <w:sz w:val="24"/>
        </w:rPr>
        <w:t> </w:t>
      </w:r>
      <w:r>
        <w:rPr>
          <w:sz w:val="24"/>
        </w:rPr>
        <w:t>employed</w:t>
      </w:r>
      <w:r>
        <w:rPr>
          <w:spacing w:val="-4"/>
          <w:sz w:val="24"/>
        </w:rPr>
        <w:t> </w:t>
      </w:r>
      <w:r>
        <w:rPr>
          <w:sz w:val="24"/>
        </w:rPr>
        <w:t>individual</w:t>
      </w:r>
      <w:r>
        <w:rPr>
          <w:spacing w:val="-4"/>
          <w:sz w:val="24"/>
        </w:rPr>
        <w:t> </w:t>
      </w:r>
      <w:r>
        <w:rPr>
          <w:sz w:val="24"/>
        </w:rPr>
        <w:t>to</w:t>
      </w:r>
      <w:r>
        <w:rPr>
          <w:spacing w:val="-4"/>
          <w:sz w:val="24"/>
        </w:rPr>
        <w:t> </w:t>
      </w:r>
      <w:r>
        <w:rPr>
          <w:sz w:val="24"/>
        </w:rPr>
        <w:t>provide</w:t>
      </w:r>
      <w:r>
        <w:rPr>
          <w:spacing w:val="-4"/>
          <w:sz w:val="24"/>
        </w:rPr>
        <w:t> </w:t>
      </w:r>
      <w:r>
        <w:rPr>
          <w:sz w:val="24"/>
        </w:rPr>
        <w:t>support</w:t>
      </w:r>
      <w:r>
        <w:rPr>
          <w:spacing w:val="-3"/>
          <w:sz w:val="24"/>
        </w:rPr>
        <w:t> </w:t>
      </w:r>
      <w:r>
        <w:rPr>
          <w:sz w:val="24"/>
        </w:rPr>
        <w:t>with</w:t>
      </w:r>
      <w:r>
        <w:rPr>
          <w:spacing w:val="-4"/>
          <w:sz w:val="24"/>
        </w:rPr>
        <w:t> </w:t>
      </w:r>
      <w:r>
        <w:rPr>
          <w:sz w:val="24"/>
        </w:rPr>
        <w:t>issues</w:t>
      </w:r>
      <w:r>
        <w:rPr>
          <w:spacing w:val="-3"/>
          <w:sz w:val="24"/>
        </w:rPr>
        <w:t> </w:t>
      </w:r>
      <w:r>
        <w:rPr>
          <w:sz w:val="24"/>
        </w:rPr>
        <w:t>arising from employment, such as on-the-job performance, or with addressing employment barriers, such as absenteeism or tardiness, that could jeopardize employment will be documented in a case note.</w:t>
      </w:r>
    </w:p>
    <w:p>
      <w:pPr>
        <w:pStyle w:val="ListParagraph"/>
        <w:spacing w:after="0" w:line="208" w:lineRule="auto"/>
        <w:jc w:val="left"/>
        <w:rPr>
          <w:sz w:val="24"/>
        </w:rPr>
        <w:sectPr>
          <w:pgSz w:w="12240" w:h="15840"/>
          <w:pgMar w:top="1340" w:bottom="280" w:left="1080" w:right="720"/>
        </w:sectPr>
      </w:pPr>
    </w:p>
    <w:p>
      <w:pPr>
        <w:pStyle w:val="ListParagraph"/>
        <w:numPr>
          <w:ilvl w:val="1"/>
          <w:numId w:val="198"/>
        </w:numPr>
        <w:tabs>
          <w:tab w:pos="1235" w:val="left" w:leader="none"/>
        </w:tabs>
        <w:spacing w:line="208" w:lineRule="auto" w:before="96" w:after="0"/>
        <w:ind w:left="809" w:right="1139" w:firstLine="0"/>
        <w:jc w:val="left"/>
        <w:rPr>
          <w:sz w:val="24"/>
        </w:rPr>
      </w:pPr>
      <w:r>
        <w:rPr>
          <w:sz w:val="24"/>
        </w:rPr>
        <w:t>Progress</w:t>
      </w:r>
      <w:r>
        <w:rPr>
          <w:spacing w:val="-4"/>
          <w:sz w:val="24"/>
        </w:rPr>
        <w:t> </w:t>
      </w:r>
      <w:r>
        <w:rPr>
          <w:sz w:val="24"/>
        </w:rPr>
        <w:t>narratives</w:t>
      </w:r>
      <w:r>
        <w:rPr>
          <w:spacing w:val="-4"/>
          <w:sz w:val="24"/>
        </w:rPr>
        <w:t> </w:t>
      </w:r>
      <w:r>
        <w:rPr>
          <w:sz w:val="24"/>
        </w:rPr>
        <w:t>on</w:t>
      </w:r>
      <w:r>
        <w:rPr>
          <w:spacing w:val="-4"/>
          <w:sz w:val="24"/>
        </w:rPr>
        <w:t> </w:t>
      </w:r>
      <w:r>
        <w:rPr>
          <w:sz w:val="24"/>
        </w:rPr>
        <w:t>a</w:t>
      </w:r>
      <w:r>
        <w:rPr>
          <w:spacing w:val="-4"/>
          <w:sz w:val="24"/>
        </w:rPr>
        <w:t> </w:t>
      </w:r>
      <w:r>
        <w:rPr>
          <w:sz w:val="24"/>
        </w:rPr>
        <w:t>monthly</w:t>
      </w:r>
      <w:r>
        <w:rPr>
          <w:spacing w:val="-4"/>
          <w:sz w:val="24"/>
        </w:rPr>
        <w:t> </w:t>
      </w:r>
      <w:r>
        <w:rPr>
          <w:sz w:val="24"/>
        </w:rPr>
        <w:t>basis</w:t>
      </w:r>
      <w:r>
        <w:rPr>
          <w:spacing w:val="-4"/>
          <w:sz w:val="24"/>
        </w:rPr>
        <w:t> </w:t>
      </w:r>
      <w:r>
        <w:rPr>
          <w:sz w:val="24"/>
        </w:rPr>
        <w:t>that</w:t>
      </w:r>
      <w:r>
        <w:rPr>
          <w:spacing w:val="-3"/>
          <w:sz w:val="24"/>
        </w:rPr>
        <w:t> </w:t>
      </w:r>
      <w:r>
        <w:rPr>
          <w:sz w:val="24"/>
        </w:rPr>
        <w:t>assess</w:t>
      </w:r>
      <w:r>
        <w:rPr>
          <w:spacing w:val="-4"/>
          <w:sz w:val="24"/>
        </w:rPr>
        <w:t> </w:t>
      </w:r>
      <w:r>
        <w:rPr>
          <w:sz w:val="24"/>
        </w:rPr>
        <w:t>the</w:t>
      </w:r>
      <w:r>
        <w:rPr>
          <w:spacing w:val="-4"/>
          <w:sz w:val="24"/>
        </w:rPr>
        <w:t> </w:t>
      </w:r>
      <w:r>
        <w:rPr>
          <w:sz w:val="24"/>
        </w:rPr>
        <w:t>individual's</w:t>
      </w:r>
      <w:r>
        <w:rPr>
          <w:spacing w:val="-4"/>
          <w:sz w:val="24"/>
        </w:rPr>
        <w:t> </w:t>
      </w:r>
      <w:r>
        <w:rPr>
          <w:sz w:val="24"/>
        </w:rPr>
        <w:t>progress toward employment goal and OJT outcome.</w:t>
      </w:r>
    </w:p>
    <w:p>
      <w:pPr>
        <w:pStyle w:val="BodyText"/>
        <w:spacing w:before="210"/>
        <w:ind w:left="359"/>
      </w:pPr>
      <w:r>
        <w:rPr/>
        <w:t>INSTRUCTIONS</w:t>
      </w:r>
      <w:r>
        <w:rPr>
          <w:spacing w:val="-3"/>
        </w:rPr>
        <w:t> </w:t>
      </w:r>
      <w:r>
        <w:rPr/>
        <w:t>TO</w:t>
      </w:r>
      <w:r>
        <w:rPr>
          <w:spacing w:val="-2"/>
        </w:rPr>
        <w:t> </w:t>
      </w:r>
      <w:r>
        <w:rPr>
          <w:spacing w:val="-4"/>
        </w:rPr>
        <w:t>STAFF</w:t>
      </w:r>
    </w:p>
    <w:p>
      <w:pPr>
        <w:pStyle w:val="ListParagraph"/>
        <w:numPr>
          <w:ilvl w:val="0"/>
          <w:numId w:val="199"/>
        </w:numPr>
        <w:tabs>
          <w:tab w:pos="1077" w:val="left" w:leader="none"/>
        </w:tabs>
        <w:spacing w:line="208" w:lineRule="auto" w:before="234" w:after="0"/>
        <w:ind w:left="791" w:right="1060" w:firstLine="0"/>
        <w:jc w:val="left"/>
        <w:rPr>
          <w:sz w:val="24"/>
        </w:rPr>
      </w:pPr>
      <w:r>
        <w:rPr>
          <w:sz w:val="24"/>
        </w:rPr>
        <w:t>The</w:t>
      </w:r>
      <w:r>
        <w:rPr>
          <w:spacing w:val="-3"/>
          <w:sz w:val="24"/>
        </w:rPr>
        <w:t> </w:t>
      </w:r>
      <w:r>
        <w:rPr>
          <w:sz w:val="24"/>
        </w:rPr>
        <w:t>counselor</w:t>
      </w:r>
      <w:r>
        <w:rPr>
          <w:spacing w:val="-2"/>
          <w:sz w:val="24"/>
        </w:rPr>
        <w:t> </w:t>
      </w:r>
      <w:r>
        <w:rPr>
          <w:sz w:val="24"/>
        </w:rPr>
        <w:t>will</w:t>
      </w:r>
      <w:r>
        <w:rPr>
          <w:spacing w:val="-3"/>
          <w:sz w:val="24"/>
        </w:rPr>
        <w:t> </w:t>
      </w:r>
      <w:r>
        <w:rPr>
          <w:sz w:val="24"/>
        </w:rPr>
        <w:t>review</w:t>
      </w:r>
      <w:r>
        <w:rPr>
          <w:spacing w:val="-3"/>
          <w:sz w:val="24"/>
        </w:rPr>
        <w:t> </w:t>
      </w:r>
      <w:r>
        <w:rPr>
          <w:sz w:val="24"/>
        </w:rPr>
        <w:t>the</w:t>
      </w:r>
      <w:r>
        <w:rPr>
          <w:spacing w:val="-3"/>
          <w:sz w:val="24"/>
        </w:rPr>
        <w:t> </w:t>
      </w:r>
      <w:r>
        <w:rPr>
          <w:sz w:val="24"/>
        </w:rPr>
        <w:t>progress</w:t>
      </w:r>
      <w:r>
        <w:rPr>
          <w:spacing w:val="-3"/>
          <w:sz w:val="24"/>
        </w:rPr>
        <w:t> </w:t>
      </w:r>
      <w:r>
        <w:rPr>
          <w:sz w:val="24"/>
        </w:rPr>
        <w:t>of</w:t>
      </w:r>
      <w:r>
        <w:rPr>
          <w:spacing w:val="-2"/>
          <w:sz w:val="24"/>
        </w:rPr>
        <w:t> </w:t>
      </w:r>
      <w:r>
        <w:rPr>
          <w:sz w:val="24"/>
        </w:rPr>
        <w:t>the</w:t>
      </w:r>
      <w:r>
        <w:rPr>
          <w:spacing w:val="-3"/>
          <w:sz w:val="24"/>
        </w:rPr>
        <w:t> </w:t>
      </w:r>
      <w:r>
        <w:rPr>
          <w:sz w:val="24"/>
        </w:rPr>
        <w:t>client</w:t>
      </w:r>
      <w:r>
        <w:rPr>
          <w:spacing w:val="-2"/>
          <w:sz w:val="24"/>
        </w:rPr>
        <w:t> </w:t>
      </w:r>
      <w:r>
        <w:rPr>
          <w:sz w:val="24"/>
        </w:rPr>
        <w:t>on</w:t>
      </w:r>
      <w:r>
        <w:rPr>
          <w:spacing w:val="-3"/>
          <w:sz w:val="24"/>
        </w:rPr>
        <w:t> </w:t>
      </w:r>
      <w:r>
        <w:rPr>
          <w:sz w:val="24"/>
        </w:rPr>
        <w:t>a</w:t>
      </w:r>
      <w:r>
        <w:rPr>
          <w:spacing w:val="-3"/>
          <w:sz w:val="24"/>
        </w:rPr>
        <w:t> </w:t>
      </w:r>
      <w:r>
        <w:rPr>
          <w:sz w:val="24"/>
        </w:rPr>
        <w:t>monthly</w:t>
      </w:r>
      <w:r>
        <w:rPr>
          <w:spacing w:val="-3"/>
          <w:sz w:val="24"/>
        </w:rPr>
        <w:t> </w:t>
      </w:r>
      <w:r>
        <w:rPr>
          <w:sz w:val="24"/>
        </w:rPr>
        <w:t>basis</w:t>
      </w:r>
      <w:r>
        <w:rPr>
          <w:spacing w:val="-3"/>
          <w:sz w:val="24"/>
        </w:rPr>
        <w:t> </w:t>
      </w:r>
      <w:r>
        <w:rPr>
          <w:sz w:val="24"/>
        </w:rPr>
        <w:t>to</w:t>
      </w:r>
      <w:r>
        <w:rPr>
          <w:spacing w:val="-3"/>
          <w:sz w:val="24"/>
        </w:rPr>
        <w:t> </w:t>
      </w:r>
      <w:r>
        <w:rPr>
          <w:sz w:val="24"/>
        </w:rPr>
        <w:t>keep the training period to a minimum.</w:t>
      </w:r>
    </w:p>
    <w:p>
      <w:pPr>
        <w:pStyle w:val="ListParagraph"/>
        <w:numPr>
          <w:ilvl w:val="0"/>
          <w:numId w:val="199"/>
        </w:numPr>
        <w:tabs>
          <w:tab w:pos="1077" w:val="left" w:leader="none"/>
        </w:tabs>
        <w:spacing w:line="208" w:lineRule="auto" w:before="239" w:after="0"/>
        <w:ind w:left="791" w:right="1029" w:firstLine="0"/>
        <w:jc w:val="left"/>
        <w:rPr>
          <w:sz w:val="24"/>
        </w:rPr>
      </w:pPr>
      <w:r>
        <w:rPr>
          <w:sz w:val="24"/>
        </w:rPr>
        <w:t>Counselors may assist employers in acquiring copies of minimum wage regulations</w:t>
      </w:r>
      <w:r>
        <w:rPr>
          <w:spacing w:val="-3"/>
          <w:sz w:val="24"/>
        </w:rPr>
        <w:t> </w:t>
      </w:r>
      <w:r>
        <w:rPr>
          <w:sz w:val="24"/>
        </w:rPr>
        <w:t>and</w:t>
      </w:r>
      <w:r>
        <w:rPr>
          <w:spacing w:val="-3"/>
          <w:sz w:val="24"/>
        </w:rPr>
        <w:t> </w:t>
      </w:r>
      <w:r>
        <w:rPr>
          <w:sz w:val="24"/>
        </w:rPr>
        <w:t>forms</w:t>
      </w:r>
      <w:r>
        <w:rPr>
          <w:spacing w:val="-5"/>
          <w:sz w:val="24"/>
        </w:rPr>
        <w:t> </w:t>
      </w:r>
      <w:r>
        <w:rPr>
          <w:sz w:val="24"/>
        </w:rPr>
        <w:t>from</w:t>
      </w:r>
      <w:r>
        <w:rPr>
          <w:spacing w:val="-4"/>
          <w:sz w:val="24"/>
        </w:rPr>
        <w:t> </w:t>
      </w:r>
      <w:r>
        <w:rPr>
          <w:sz w:val="24"/>
        </w:rPr>
        <w:t>the</w:t>
      </w:r>
      <w:r>
        <w:rPr>
          <w:spacing w:val="-3"/>
          <w:sz w:val="24"/>
        </w:rPr>
        <w:t> </w:t>
      </w:r>
      <w:r>
        <w:rPr>
          <w:sz w:val="24"/>
        </w:rPr>
        <w:t>local</w:t>
      </w:r>
      <w:r>
        <w:rPr>
          <w:spacing w:val="-4"/>
          <w:sz w:val="24"/>
        </w:rPr>
        <w:t> </w:t>
      </w:r>
      <w:r>
        <w:rPr>
          <w:sz w:val="24"/>
        </w:rPr>
        <w:t>office</w:t>
      </w:r>
      <w:r>
        <w:rPr>
          <w:spacing w:val="-3"/>
          <w:sz w:val="24"/>
        </w:rPr>
        <w:t> </w:t>
      </w:r>
      <w:r>
        <w:rPr>
          <w:sz w:val="24"/>
        </w:rPr>
        <w:t>of</w:t>
      </w:r>
      <w:r>
        <w:rPr>
          <w:spacing w:val="-3"/>
          <w:sz w:val="24"/>
        </w:rPr>
        <w:t> </w:t>
      </w:r>
      <w:r>
        <w:rPr>
          <w:sz w:val="24"/>
        </w:rPr>
        <w:t>the</w:t>
      </w:r>
      <w:r>
        <w:rPr>
          <w:spacing w:val="-3"/>
          <w:sz w:val="24"/>
        </w:rPr>
        <w:t> </w:t>
      </w:r>
      <w:r>
        <w:rPr>
          <w:sz w:val="24"/>
        </w:rPr>
        <w:t>Department</w:t>
      </w:r>
      <w:r>
        <w:rPr>
          <w:spacing w:val="-3"/>
          <w:sz w:val="24"/>
        </w:rPr>
        <w:t> </w:t>
      </w:r>
      <w:r>
        <w:rPr>
          <w:sz w:val="24"/>
        </w:rPr>
        <w:t>of</w:t>
      </w:r>
      <w:r>
        <w:rPr>
          <w:spacing w:val="-3"/>
          <w:sz w:val="24"/>
        </w:rPr>
        <w:t> </w:t>
      </w:r>
      <w:r>
        <w:rPr>
          <w:sz w:val="24"/>
        </w:rPr>
        <w:t>Labor,</w:t>
      </w:r>
      <w:r>
        <w:rPr>
          <w:spacing w:val="-3"/>
          <w:sz w:val="24"/>
        </w:rPr>
        <w:t> </w:t>
      </w:r>
      <w:r>
        <w:rPr>
          <w:sz w:val="24"/>
        </w:rPr>
        <w:t>Wage</w:t>
      </w:r>
      <w:r>
        <w:rPr>
          <w:spacing w:val="-4"/>
          <w:sz w:val="24"/>
        </w:rPr>
        <w:t> </w:t>
      </w:r>
      <w:r>
        <w:rPr>
          <w:sz w:val="24"/>
        </w:rPr>
        <w:t>and Hour Division.</w:t>
      </w:r>
    </w:p>
    <w:p>
      <w:pPr>
        <w:pStyle w:val="ListParagraph"/>
        <w:numPr>
          <w:ilvl w:val="0"/>
          <w:numId w:val="199"/>
        </w:numPr>
        <w:tabs>
          <w:tab w:pos="1077" w:val="left" w:leader="none"/>
        </w:tabs>
        <w:spacing w:line="208" w:lineRule="auto" w:before="240" w:after="0"/>
        <w:ind w:left="791" w:right="1085" w:firstLine="0"/>
        <w:jc w:val="left"/>
        <w:rPr>
          <w:sz w:val="24"/>
        </w:rPr>
      </w:pPr>
      <w:r>
        <w:rPr>
          <w:sz w:val="24"/>
        </w:rPr>
        <w:t>Subminimum</w:t>
      </w:r>
      <w:r>
        <w:rPr>
          <w:spacing w:val="-3"/>
          <w:sz w:val="24"/>
        </w:rPr>
        <w:t> </w:t>
      </w:r>
      <w:r>
        <w:rPr>
          <w:sz w:val="24"/>
        </w:rPr>
        <w:t>certificates</w:t>
      </w:r>
      <w:r>
        <w:rPr>
          <w:spacing w:val="-4"/>
          <w:sz w:val="24"/>
        </w:rPr>
        <w:t> </w:t>
      </w:r>
      <w:r>
        <w:rPr>
          <w:sz w:val="24"/>
        </w:rPr>
        <w:t>can</w:t>
      </w:r>
      <w:r>
        <w:rPr>
          <w:spacing w:val="-4"/>
          <w:sz w:val="24"/>
        </w:rPr>
        <w:t> </w:t>
      </w:r>
      <w:r>
        <w:rPr>
          <w:sz w:val="24"/>
        </w:rPr>
        <w:t>be</w:t>
      </w:r>
      <w:r>
        <w:rPr>
          <w:spacing w:val="-4"/>
          <w:sz w:val="24"/>
        </w:rPr>
        <w:t> </w:t>
      </w:r>
      <w:r>
        <w:rPr>
          <w:sz w:val="24"/>
        </w:rPr>
        <w:t>obtained</w:t>
      </w:r>
      <w:r>
        <w:rPr>
          <w:spacing w:val="-4"/>
          <w:sz w:val="24"/>
        </w:rPr>
        <w:t> </w:t>
      </w:r>
      <w:r>
        <w:rPr>
          <w:sz w:val="24"/>
        </w:rPr>
        <w:t>from</w:t>
      </w:r>
      <w:r>
        <w:rPr>
          <w:spacing w:val="-3"/>
          <w:sz w:val="24"/>
        </w:rPr>
        <w:t> </w:t>
      </w:r>
      <w:r>
        <w:rPr>
          <w:sz w:val="24"/>
        </w:rPr>
        <w:t>the</w:t>
      </w:r>
      <w:r>
        <w:rPr>
          <w:spacing w:val="-4"/>
          <w:sz w:val="24"/>
        </w:rPr>
        <w:t> </w:t>
      </w:r>
      <w:r>
        <w:rPr>
          <w:sz w:val="24"/>
        </w:rPr>
        <w:t>U.</w:t>
      </w:r>
      <w:r>
        <w:rPr>
          <w:spacing w:val="-5"/>
          <w:sz w:val="24"/>
        </w:rPr>
        <w:t> </w:t>
      </w:r>
      <w:r>
        <w:rPr>
          <w:sz w:val="24"/>
        </w:rPr>
        <w:t>S.</w:t>
      </w:r>
      <w:r>
        <w:rPr>
          <w:spacing w:val="-3"/>
          <w:sz w:val="24"/>
        </w:rPr>
        <w:t> </w:t>
      </w:r>
      <w:r>
        <w:rPr>
          <w:sz w:val="24"/>
        </w:rPr>
        <w:t>Department</w:t>
      </w:r>
      <w:r>
        <w:rPr>
          <w:spacing w:val="-3"/>
          <w:sz w:val="24"/>
        </w:rPr>
        <w:t> </w:t>
      </w:r>
      <w:r>
        <w:rPr>
          <w:sz w:val="24"/>
        </w:rPr>
        <w:t>of</w:t>
      </w:r>
      <w:r>
        <w:rPr>
          <w:spacing w:val="-3"/>
          <w:sz w:val="24"/>
        </w:rPr>
        <w:t> </w:t>
      </w:r>
      <w:r>
        <w:rPr>
          <w:sz w:val="24"/>
        </w:rPr>
        <w:t>Labor, Certification Department, 525 S. Griffin Street, Suite 800, Dallas, Texas 75202; telephone: 214 767-6895.</w:t>
      </w:r>
    </w:p>
    <w:p>
      <w:pPr>
        <w:pStyle w:val="ListParagraph"/>
        <w:numPr>
          <w:ilvl w:val="0"/>
          <w:numId w:val="199"/>
        </w:numPr>
        <w:tabs>
          <w:tab w:pos="1077" w:val="left" w:leader="none"/>
        </w:tabs>
        <w:spacing w:line="240" w:lineRule="auto" w:before="211" w:after="0"/>
        <w:ind w:left="1077" w:right="0" w:hanging="286"/>
        <w:jc w:val="left"/>
        <w:rPr>
          <w:sz w:val="24"/>
        </w:rPr>
      </w:pPr>
      <w:r>
        <w:rPr>
          <w:sz w:val="24"/>
        </w:rPr>
        <w:t>Link</w:t>
      </w:r>
      <w:r>
        <w:rPr>
          <w:spacing w:val="-3"/>
          <w:sz w:val="24"/>
        </w:rPr>
        <w:t> </w:t>
      </w:r>
      <w:r>
        <w:rPr>
          <w:sz w:val="24"/>
        </w:rPr>
        <w:t>to</w:t>
      </w:r>
      <w:r>
        <w:rPr>
          <w:spacing w:val="-2"/>
          <w:sz w:val="24"/>
        </w:rPr>
        <w:t> </w:t>
      </w:r>
      <w:r>
        <w:rPr>
          <w:sz w:val="24"/>
        </w:rPr>
        <w:t>OJT</w:t>
      </w:r>
      <w:r>
        <w:rPr>
          <w:spacing w:val="-3"/>
          <w:sz w:val="24"/>
        </w:rPr>
        <w:t> </w:t>
      </w:r>
      <w:r>
        <w:rPr>
          <w:sz w:val="24"/>
        </w:rPr>
        <w:t>contract</w:t>
      </w:r>
      <w:r>
        <w:rPr>
          <w:spacing w:val="-2"/>
          <w:sz w:val="24"/>
        </w:rPr>
        <w:t> </w:t>
      </w:r>
      <w:r>
        <w:rPr>
          <w:sz w:val="24"/>
        </w:rPr>
        <w:t>documents:</w:t>
      </w:r>
      <w:r>
        <w:rPr>
          <w:spacing w:val="-3"/>
          <w:sz w:val="24"/>
        </w:rPr>
        <w:t> </w:t>
      </w:r>
      <w:hyperlink r:id="rId57">
        <w:r>
          <w:rPr>
            <w:color w:val="0000FF"/>
            <w:sz w:val="24"/>
            <w:u w:val="single" w:color="0000FF"/>
          </w:rPr>
          <w:t>Click</w:t>
        </w:r>
        <w:r>
          <w:rPr>
            <w:color w:val="0000FF"/>
            <w:spacing w:val="-2"/>
            <w:sz w:val="24"/>
            <w:u w:val="single" w:color="0000FF"/>
          </w:rPr>
          <w:t> </w:t>
        </w:r>
        <w:r>
          <w:rPr>
            <w:color w:val="0000FF"/>
            <w:spacing w:val="-4"/>
            <w:sz w:val="24"/>
            <w:u w:val="single" w:color="0000FF"/>
          </w:rPr>
          <w:t>Here</w:t>
        </w:r>
      </w:hyperlink>
    </w:p>
    <w:p>
      <w:pPr>
        <w:pStyle w:val="ListParagraph"/>
        <w:numPr>
          <w:ilvl w:val="0"/>
          <w:numId w:val="199"/>
        </w:numPr>
        <w:tabs>
          <w:tab w:pos="1077" w:val="left" w:leader="none"/>
        </w:tabs>
        <w:spacing w:line="208" w:lineRule="auto" w:before="233" w:after="0"/>
        <w:ind w:left="791" w:right="1151" w:firstLine="0"/>
        <w:jc w:val="both"/>
        <w:rPr>
          <w:sz w:val="24"/>
        </w:rPr>
      </w:pPr>
      <w:r>
        <w:rPr>
          <w:sz w:val="24"/>
        </w:rPr>
        <w:t>Equipment</w:t>
      </w:r>
      <w:r>
        <w:rPr>
          <w:spacing w:val="-3"/>
          <w:sz w:val="24"/>
        </w:rPr>
        <w:t> </w:t>
      </w:r>
      <w:r>
        <w:rPr>
          <w:sz w:val="24"/>
        </w:rPr>
        <w:t>for</w:t>
      </w:r>
      <w:r>
        <w:rPr>
          <w:spacing w:val="-3"/>
          <w:sz w:val="24"/>
        </w:rPr>
        <w:t> </w:t>
      </w:r>
      <w:r>
        <w:rPr>
          <w:sz w:val="24"/>
        </w:rPr>
        <w:t>working</w:t>
      </w:r>
      <w:r>
        <w:rPr>
          <w:spacing w:val="-4"/>
          <w:sz w:val="24"/>
        </w:rPr>
        <w:t> </w:t>
      </w:r>
      <w:r>
        <w:rPr>
          <w:sz w:val="24"/>
        </w:rPr>
        <w:t>conditions</w:t>
      </w:r>
      <w:r>
        <w:rPr>
          <w:spacing w:val="-3"/>
          <w:sz w:val="24"/>
        </w:rPr>
        <w:t> </w:t>
      </w:r>
      <w:r>
        <w:rPr>
          <w:sz w:val="24"/>
        </w:rPr>
        <w:t>that</w:t>
      </w:r>
      <w:r>
        <w:rPr>
          <w:spacing w:val="-3"/>
          <w:sz w:val="24"/>
        </w:rPr>
        <w:t> </w:t>
      </w:r>
      <w:r>
        <w:rPr>
          <w:sz w:val="24"/>
        </w:rPr>
        <w:t>are</w:t>
      </w:r>
      <w:r>
        <w:rPr>
          <w:spacing w:val="-4"/>
          <w:sz w:val="24"/>
        </w:rPr>
        <w:t> </w:t>
      </w:r>
      <w:r>
        <w:rPr>
          <w:sz w:val="24"/>
        </w:rPr>
        <w:t>provided</w:t>
      </w:r>
      <w:r>
        <w:rPr>
          <w:spacing w:val="-4"/>
          <w:sz w:val="24"/>
        </w:rPr>
        <w:t> </w:t>
      </w:r>
      <w:r>
        <w:rPr>
          <w:sz w:val="24"/>
        </w:rPr>
        <w:t>to</w:t>
      </w:r>
      <w:r>
        <w:rPr>
          <w:spacing w:val="-4"/>
          <w:sz w:val="24"/>
        </w:rPr>
        <w:t> </w:t>
      </w:r>
      <w:r>
        <w:rPr>
          <w:sz w:val="24"/>
        </w:rPr>
        <w:t>the</w:t>
      </w:r>
      <w:r>
        <w:rPr>
          <w:spacing w:val="-4"/>
          <w:sz w:val="24"/>
        </w:rPr>
        <w:t> </w:t>
      </w:r>
      <w:r>
        <w:rPr>
          <w:sz w:val="24"/>
        </w:rPr>
        <w:t>client</w:t>
      </w:r>
      <w:r>
        <w:rPr>
          <w:spacing w:val="-3"/>
          <w:sz w:val="24"/>
        </w:rPr>
        <w:t> </w:t>
      </w:r>
      <w:r>
        <w:rPr>
          <w:sz w:val="24"/>
        </w:rPr>
        <w:t>are</w:t>
      </w:r>
      <w:r>
        <w:rPr>
          <w:spacing w:val="-4"/>
          <w:sz w:val="24"/>
        </w:rPr>
        <w:t> </w:t>
      </w:r>
      <w:r>
        <w:rPr>
          <w:sz w:val="24"/>
        </w:rPr>
        <w:t>subject</w:t>
      </w:r>
      <w:r>
        <w:rPr>
          <w:spacing w:val="-3"/>
          <w:sz w:val="24"/>
        </w:rPr>
        <w:t> </w:t>
      </w:r>
      <w:r>
        <w:rPr>
          <w:sz w:val="24"/>
        </w:rPr>
        <w:t>to prior approval from</w:t>
      </w:r>
      <w:r>
        <w:rPr>
          <w:spacing w:val="-1"/>
          <w:sz w:val="24"/>
        </w:rPr>
        <w:t> </w:t>
      </w:r>
      <w:r>
        <w:rPr>
          <w:sz w:val="24"/>
        </w:rPr>
        <w:t>the RSA. Equipment provided by the employer would not be subject to the prior approval requirements.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1673" w:firstLine="0"/>
        <w:jc w:val="left"/>
        <w:rPr>
          <w:sz w:val="22"/>
        </w:rPr>
      </w:pPr>
      <w:r>
        <w:rPr>
          <w:sz w:val="22"/>
        </w:rPr>
        <w:t>Permanent,</w:t>
      </w:r>
      <w:r>
        <w:rPr>
          <w:spacing w:val="-3"/>
          <w:sz w:val="22"/>
        </w:rPr>
        <w:t> </w:t>
      </w:r>
      <w:r>
        <w:rPr>
          <w:sz w:val="22"/>
        </w:rPr>
        <w:t>first</w:t>
      </w:r>
      <w:r>
        <w:rPr>
          <w:spacing w:val="-4"/>
          <w:sz w:val="22"/>
        </w:rPr>
        <w:t> </w:t>
      </w:r>
      <w:r>
        <w:rPr>
          <w:sz w:val="22"/>
        </w:rPr>
        <w:t>adoption</w:t>
      </w:r>
      <w:r>
        <w:rPr>
          <w:spacing w:val="-4"/>
          <w:sz w:val="22"/>
        </w:rPr>
        <w:t> </w:t>
      </w:r>
      <w:r>
        <w:rPr>
          <w:sz w:val="22"/>
        </w:rPr>
        <w:t>under</w:t>
      </w:r>
      <w:r>
        <w:rPr>
          <w:spacing w:val="-4"/>
          <w:sz w:val="22"/>
        </w:rPr>
        <w:t> </w:t>
      </w:r>
      <w:r>
        <w:rPr>
          <w:sz w:val="22"/>
        </w:rPr>
        <w:t>OAC</w:t>
      </w:r>
      <w:r>
        <w:rPr>
          <w:spacing w:val="-5"/>
          <w:sz w:val="22"/>
        </w:rPr>
        <w:t> </w:t>
      </w:r>
      <w:r>
        <w:rPr>
          <w:sz w:val="22"/>
        </w:rPr>
        <w:t>Title</w:t>
      </w:r>
      <w:r>
        <w:rPr>
          <w:spacing w:val="-4"/>
          <w:sz w:val="22"/>
        </w:rPr>
        <w:t> </w:t>
      </w:r>
      <w:r>
        <w:rPr>
          <w:sz w:val="22"/>
        </w:rPr>
        <w:t>612,</w:t>
      </w:r>
      <w:r>
        <w:rPr>
          <w:spacing w:val="-5"/>
          <w:sz w:val="22"/>
        </w:rPr>
        <w:t> </w:t>
      </w:r>
      <w:r>
        <w:rPr>
          <w:sz w:val="22"/>
        </w:rPr>
        <w:t>added</w:t>
      </w:r>
      <w:r>
        <w:rPr>
          <w:spacing w:val="-4"/>
          <w:sz w:val="22"/>
        </w:rPr>
        <w:t> </w:t>
      </w:r>
      <w:r>
        <w:rPr>
          <w:sz w:val="22"/>
        </w:rPr>
        <w:t>requirement</w:t>
      </w:r>
      <w:r>
        <w:rPr>
          <w:spacing w:val="-4"/>
          <w:sz w:val="22"/>
        </w:rPr>
        <w:t> </w:t>
      </w:r>
      <w:r>
        <w:rPr>
          <w:sz w:val="22"/>
        </w:rPr>
        <w:t>for</w:t>
      </w:r>
      <w:r>
        <w:rPr>
          <w:spacing w:val="-4"/>
          <w:sz w:val="22"/>
        </w:rPr>
        <w:t> </w:t>
      </w:r>
      <w:r>
        <w:rPr>
          <w:sz w:val="22"/>
        </w:rPr>
        <w:t>title </w:t>
      </w:r>
      <w:r>
        <w:rPr>
          <w:spacing w:val="-2"/>
          <w:sz w:val="22"/>
        </w:rPr>
        <w:t>agreement</w:t>
      </w:r>
    </w:p>
    <w:p>
      <w:pPr>
        <w:pStyle w:val="ListParagraph"/>
        <w:numPr>
          <w:ilvl w:val="2"/>
          <w:numId w:val="200"/>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3202" w:firstLine="1080"/>
        <w:jc w:val="left"/>
        <w:rPr>
          <w:sz w:val="22"/>
        </w:rPr>
      </w:pPr>
      <w:r>
        <w:rPr>
          <w:sz w:val="22"/>
        </w:rPr>
        <w:t>ITS,</w:t>
      </w:r>
      <w:r>
        <w:rPr>
          <w:spacing w:val="-6"/>
          <w:sz w:val="22"/>
        </w:rPr>
        <w:t> </w:t>
      </w:r>
      <w:r>
        <w:rPr>
          <w:sz w:val="22"/>
        </w:rPr>
        <w:t>address</w:t>
      </w:r>
      <w:r>
        <w:rPr>
          <w:spacing w:val="-6"/>
          <w:sz w:val="22"/>
        </w:rPr>
        <w:t> </w:t>
      </w:r>
      <w:r>
        <w:rPr>
          <w:sz w:val="22"/>
        </w:rPr>
        <w:t>to</w:t>
      </w:r>
      <w:r>
        <w:rPr>
          <w:spacing w:val="-6"/>
          <w:sz w:val="22"/>
        </w:rPr>
        <w:t> </w:t>
      </w:r>
      <w:r>
        <w:rPr>
          <w:sz w:val="22"/>
        </w:rPr>
        <w:t>obtain</w:t>
      </w:r>
      <w:r>
        <w:rPr>
          <w:spacing w:val="-6"/>
          <w:sz w:val="22"/>
        </w:rPr>
        <w:t> </w:t>
      </w:r>
      <w:r>
        <w:rPr>
          <w:sz w:val="22"/>
        </w:rPr>
        <w:t>sub-minimum</w:t>
      </w:r>
      <w:r>
        <w:rPr>
          <w:spacing w:val="-6"/>
          <w:sz w:val="22"/>
        </w:rPr>
        <w:t> </w:t>
      </w:r>
      <w:r>
        <w:rPr>
          <w:sz w:val="22"/>
        </w:rPr>
        <w:t>wage</w:t>
      </w:r>
      <w:r>
        <w:rPr>
          <w:spacing w:val="-6"/>
          <w:sz w:val="22"/>
        </w:rPr>
        <w:t> </w:t>
      </w:r>
      <w:r>
        <w:rPr>
          <w:sz w:val="22"/>
        </w:rPr>
        <w:t>certificate</w:t>
      </w:r>
      <w:r>
        <w:rPr>
          <w:spacing w:val="-6"/>
          <w:sz w:val="22"/>
        </w:rPr>
        <w:t> </w:t>
      </w:r>
      <w:r>
        <w:rPr>
          <w:sz w:val="22"/>
        </w:rPr>
        <w:t>added </w:t>
      </w:r>
      <w:r>
        <w:rPr>
          <w:spacing w:val="-2"/>
          <w:sz w:val="22"/>
        </w:rPr>
        <w:t>7-1-98</w:t>
      </w:r>
      <w:r>
        <w:rPr>
          <w:sz w:val="22"/>
        </w:rPr>
        <w:tab/>
        <w:t>PT Memo #98-15</w:t>
      </w:r>
    </w:p>
    <w:p>
      <w:pPr>
        <w:spacing w:before="0"/>
        <w:ind w:left="1439" w:right="775" w:firstLine="0"/>
        <w:jc w:val="left"/>
        <w:rPr>
          <w:sz w:val="22"/>
        </w:rPr>
      </w:pPr>
      <w:r>
        <w:rPr>
          <w:sz w:val="22"/>
        </w:rPr>
        <w:t>Permanent,</w:t>
      </w:r>
      <w:r>
        <w:rPr>
          <w:spacing w:val="-2"/>
          <w:sz w:val="22"/>
        </w:rPr>
        <w:t> </w:t>
      </w:r>
      <w:r>
        <w:rPr>
          <w:sz w:val="22"/>
        </w:rPr>
        <w:t>trainer</w:t>
      </w:r>
      <w:r>
        <w:rPr>
          <w:spacing w:val="-3"/>
          <w:sz w:val="22"/>
        </w:rPr>
        <w:t> </w:t>
      </w:r>
      <w:r>
        <w:rPr>
          <w:sz w:val="22"/>
        </w:rPr>
        <w:t>must</w:t>
      </w:r>
      <w:r>
        <w:rPr>
          <w:spacing w:val="-3"/>
          <w:sz w:val="22"/>
        </w:rPr>
        <w:t> </w:t>
      </w:r>
      <w:r>
        <w:rPr>
          <w:sz w:val="22"/>
        </w:rPr>
        <w:t>be</w:t>
      </w:r>
      <w:r>
        <w:rPr>
          <w:spacing w:val="-3"/>
          <w:sz w:val="22"/>
        </w:rPr>
        <w:t> </w:t>
      </w:r>
      <w:r>
        <w:rPr>
          <w:sz w:val="22"/>
        </w:rPr>
        <w:t>employer</w:t>
      </w:r>
      <w:r>
        <w:rPr>
          <w:spacing w:val="-3"/>
          <w:sz w:val="22"/>
        </w:rPr>
        <w:t> </w:t>
      </w:r>
      <w:r>
        <w:rPr>
          <w:sz w:val="22"/>
        </w:rPr>
        <w:t>or</w:t>
      </w:r>
      <w:r>
        <w:rPr>
          <w:spacing w:val="-3"/>
          <w:sz w:val="22"/>
        </w:rPr>
        <w:t> </w:t>
      </w:r>
      <w:r>
        <w:rPr>
          <w:sz w:val="22"/>
        </w:rPr>
        <w:t>employee</w:t>
      </w:r>
      <w:r>
        <w:rPr>
          <w:spacing w:val="-3"/>
          <w:sz w:val="22"/>
        </w:rPr>
        <w:t> </w:t>
      </w:r>
      <w:r>
        <w:rPr>
          <w:sz w:val="22"/>
        </w:rPr>
        <w:t>of</w:t>
      </w:r>
      <w:r>
        <w:rPr>
          <w:spacing w:val="-3"/>
          <w:sz w:val="22"/>
        </w:rPr>
        <w:t> </w:t>
      </w:r>
      <w:r>
        <w:rPr>
          <w:sz w:val="22"/>
        </w:rPr>
        <w:t>business.</w:t>
      </w:r>
      <w:r>
        <w:rPr>
          <w:spacing w:val="-3"/>
          <w:sz w:val="22"/>
        </w:rPr>
        <w:t> </w:t>
      </w:r>
      <w:r>
        <w:rPr>
          <w:sz w:val="22"/>
        </w:rPr>
        <w:t>OJT</w:t>
      </w:r>
      <w:r>
        <w:rPr>
          <w:spacing w:val="-3"/>
          <w:sz w:val="22"/>
        </w:rPr>
        <w:t> </w:t>
      </w:r>
      <w:r>
        <w:rPr>
          <w:sz w:val="22"/>
        </w:rPr>
        <w:t>funds</w:t>
      </w:r>
      <w:r>
        <w:rPr>
          <w:spacing w:val="-3"/>
          <w:sz w:val="22"/>
        </w:rPr>
        <w:t> </w:t>
      </w:r>
      <w:r>
        <w:rPr>
          <w:sz w:val="22"/>
        </w:rPr>
        <w:t>are</w:t>
      </w:r>
      <w:r>
        <w:rPr>
          <w:spacing w:val="-3"/>
          <w:sz w:val="22"/>
        </w:rPr>
        <w:t> </w:t>
      </w:r>
      <w:r>
        <w:rPr>
          <w:sz w:val="22"/>
        </w:rPr>
        <w:t>not</w:t>
      </w:r>
      <w:r>
        <w:rPr>
          <w:spacing w:val="-3"/>
          <w:sz w:val="22"/>
        </w:rPr>
        <w:t> </w:t>
      </w:r>
      <w:r>
        <w:rPr>
          <w:sz w:val="22"/>
        </w:rPr>
        <w:t>to be used to reimburse wages. Removed cross reference to supervisory approval section. OJT no longer requires supervisory approval.</w:t>
      </w:r>
    </w:p>
    <w:p>
      <w:pPr>
        <w:pStyle w:val="ListParagraph"/>
        <w:numPr>
          <w:ilvl w:val="2"/>
          <w:numId w:val="201"/>
        </w:numPr>
        <w:tabs>
          <w:tab w:pos="1439" w:val="left" w:leader="none"/>
        </w:tabs>
        <w:spacing w:line="253" w:lineRule="exact" w:before="0" w:after="0"/>
        <w:ind w:left="1439" w:right="0" w:hanging="1080"/>
        <w:jc w:val="left"/>
        <w:rPr>
          <w:sz w:val="22"/>
        </w:rPr>
      </w:pPr>
      <w:r>
        <w:rPr>
          <w:sz w:val="22"/>
        </w:rPr>
        <w:t>PT</w:t>
      </w:r>
      <w:r>
        <w:rPr>
          <w:spacing w:val="-8"/>
          <w:sz w:val="22"/>
        </w:rPr>
        <w:t> </w:t>
      </w:r>
      <w:r>
        <w:rPr>
          <w:sz w:val="22"/>
        </w:rPr>
        <w:t>Memo</w:t>
      </w:r>
      <w:r>
        <w:rPr>
          <w:spacing w:val="-7"/>
          <w:sz w:val="22"/>
        </w:rPr>
        <w:t> </w:t>
      </w:r>
      <w:r>
        <w:rPr>
          <w:sz w:val="22"/>
        </w:rPr>
        <w:t>10-</w:t>
      </w:r>
      <w:r>
        <w:rPr>
          <w:spacing w:val="-5"/>
          <w:sz w:val="22"/>
        </w:rPr>
        <w:t>02</w:t>
      </w:r>
    </w:p>
    <w:p>
      <w:pPr>
        <w:spacing w:line="253" w:lineRule="exact" w:before="0"/>
        <w:ind w:left="1439" w:right="0" w:firstLine="0"/>
        <w:jc w:val="left"/>
        <w:rPr>
          <w:sz w:val="22"/>
        </w:rPr>
      </w:pPr>
      <w:r>
        <w:rPr>
          <w:sz w:val="22"/>
        </w:rPr>
        <w:t>Emergency</w:t>
      </w:r>
      <w:r>
        <w:rPr>
          <w:spacing w:val="-7"/>
          <w:sz w:val="22"/>
        </w:rPr>
        <w:t> </w:t>
      </w:r>
      <w:r>
        <w:rPr>
          <w:sz w:val="22"/>
        </w:rPr>
        <w:t>rule/Permanent,</w:t>
      </w:r>
      <w:r>
        <w:rPr>
          <w:spacing w:val="-7"/>
          <w:sz w:val="22"/>
        </w:rPr>
        <w:t> </w:t>
      </w:r>
      <w:r>
        <w:rPr>
          <w:sz w:val="22"/>
        </w:rPr>
        <w:t>OJT</w:t>
      </w:r>
      <w:r>
        <w:rPr>
          <w:spacing w:val="-6"/>
          <w:sz w:val="22"/>
        </w:rPr>
        <w:t> </w:t>
      </w:r>
      <w:r>
        <w:rPr>
          <w:sz w:val="22"/>
        </w:rPr>
        <w:t>funds</w:t>
      </w:r>
      <w:r>
        <w:rPr>
          <w:spacing w:val="-7"/>
          <w:sz w:val="22"/>
        </w:rPr>
        <w:t> </w:t>
      </w:r>
      <w:r>
        <w:rPr>
          <w:sz w:val="22"/>
        </w:rPr>
        <w:t>are</w:t>
      </w:r>
      <w:r>
        <w:rPr>
          <w:spacing w:val="-6"/>
          <w:sz w:val="22"/>
        </w:rPr>
        <w:t> </w:t>
      </w:r>
      <w:r>
        <w:rPr>
          <w:sz w:val="22"/>
        </w:rPr>
        <w:t>to</w:t>
      </w:r>
      <w:r>
        <w:rPr>
          <w:spacing w:val="-7"/>
          <w:sz w:val="22"/>
        </w:rPr>
        <w:t> </w:t>
      </w:r>
      <w:r>
        <w:rPr>
          <w:sz w:val="22"/>
        </w:rPr>
        <w:t>be</w:t>
      </w:r>
      <w:r>
        <w:rPr>
          <w:spacing w:val="-7"/>
          <w:sz w:val="22"/>
        </w:rPr>
        <w:t> </w:t>
      </w:r>
      <w:r>
        <w:rPr>
          <w:sz w:val="22"/>
        </w:rPr>
        <w:t>used</w:t>
      </w:r>
      <w:r>
        <w:rPr>
          <w:spacing w:val="-7"/>
          <w:sz w:val="22"/>
        </w:rPr>
        <w:t> </w:t>
      </w:r>
      <w:r>
        <w:rPr>
          <w:sz w:val="22"/>
        </w:rPr>
        <w:t>to</w:t>
      </w:r>
      <w:r>
        <w:rPr>
          <w:spacing w:val="-6"/>
          <w:sz w:val="22"/>
        </w:rPr>
        <w:t> </w:t>
      </w:r>
      <w:r>
        <w:rPr>
          <w:sz w:val="22"/>
        </w:rPr>
        <w:t>reimburse</w:t>
      </w:r>
      <w:r>
        <w:rPr>
          <w:spacing w:val="-7"/>
          <w:sz w:val="22"/>
        </w:rPr>
        <w:t> </w:t>
      </w:r>
      <w:r>
        <w:rPr>
          <w:spacing w:val="-2"/>
          <w:sz w:val="22"/>
        </w:rPr>
        <w:t>wages.</w:t>
      </w:r>
    </w:p>
    <w:p>
      <w:pPr>
        <w:tabs>
          <w:tab w:pos="1439" w:val="left" w:leader="none"/>
        </w:tabs>
        <w:spacing w:before="1"/>
        <w:ind w:left="359" w:right="0" w:firstLine="0"/>
        <w:jc w:val="left"/>
        <w:rPr>
          <w:sz w:val="22"/>
        </w:rPr>
      </w:pPr>
      <w:r>
        <w:rPr>
          <w:spacing w:val="-2"/>
          <w:sz w:val="22"/>
        </w:rPr>
        <w:t>9-30-</w:t>
      </w:r>
      <w:r>
        <w:rPr>
          <w:spacing w:val="-5"/>
          <w:sz w:val="22"/>
        </w:rPr>
        <w:t>19</w:t>
      </w:r>
      <w:r>
        <w:rPr>
          <w:sz w:val="22"/>
        </w:rPr>
        <w:tab/>
        <w:t>Added</w:t>
      </w:r>
      <w:r>
        <w:rPr>
          <w:spacing w:val="-6"/>
          <w:sz w:val="22"/>
        </w:rPr>
        <w:t> </w:t>
      </w:r>
      <w:r>
        <w:rPr>
          <w:sz w:val="22"/>
        </w:rPr>
        <w:t>ITS</w:t>
      </w:r>
      <w:r>
        <w:rPr>
          <w:spacing w:val="-5"/>
          <w:sz w:val="22"/>
        </w:rPr>
        <w:t> #7.</w:t>
      </w:r>
    </w:p>
    <w:p>
      <w:pPr>
        <w:tabs>
          <w:tab w:pos="1439" w:val="left" w:leader="none"/>
        </w:tabs>
        <w:spacing w:before="0"/>
        <w:ind w:left="359" w:right="0" w:firstLine="0"/>
        <w:jc w:val="left"/>
        <w:rPr>
          <w:sz w:val="22"/>
        </w:rPr>
      </w:pPr>
      <w:r>
        <w:rPr>
          <w:spacing w:val="-2"/>
          <w:sz w:val="22"/>
        </w:rPr>
        <w:t>8-26-</w:t>
      </w:r>
      <w:r>
        <w:rPr>
          <w:spacing w:val="-5"/>
          <w:sz w:val="22"/>
        </w:rPr>
        <w:t>21</w:t>
      </w:r>
      <w:r>
        <w:rPr>
          <w:sz w:val="22"/>
        </w:rPr>
        <w:tab/>
        <w:t>Revised</w:t>
      </w:r>
      <w:r>
        <w:rPr>
          <w:spacing w:val="-7"/>
          <w:sz w:val="22"/>
        </w:rPr>
        <w:t> </w:t>
      </w:r>
      <w:r>
        <w:rPr>
          <w:sz w:val="22"/>
        </w:rPr>
        <w:t>to</w:t>
      </w:r>
      <w:r>
        <w:rPr>
          <w:spacing w:val="-6"/>
          <w:sz w:val="22"/>
        </w:rPr>
        <w:t> </w:t>
      </w:r>
      <w:r>
        <w:rPr>
          <w:sz w:val="22"/>
        </w:rPr>
        <w:t>reflect</w:t>
      </w:r>
      <w:r>
        <w:rPr>
          <w:spacing w:val="-7"/>
          <w:sz w:val="22"/>
        </w:rPr>
        <w:t> </w:t>
      </w:r>
      <w:r>
        <w:rPr>
          <w:sz w:val="22"/>
        </w:rPr>
        <w:t>WIOA</w:t>
      </w:r>
      <w:r>
        <w:rPr>
          <w:spacing w:val="-6"/>
          <w:sz w:val="22"/>
        </w:rPr>
        <w:t> </w:t>
      </w:r>
      <w:r>
        <w:rPr>
          <w:spacing w:val="-2"/>
          <w:sz w:val="22"/>
        </w:rPr>
        <w:t>language.</w:t>
      </w:r>
    </w:p>
    <w:p>
      <w:pPr>
        <w:spacing w:after="0"/>
        <w:jc w:val="left"/>
        <w:rPr>
          <w:sz w:val="22"/>
        </w:rPr>
        <w:sectPr>
          <w:pgSz w:w="12240" w:h="15840"/>
          <w:pgMar w:top="1340" w:bottom="280" w:left="1080" w:right="720"/>
        </w:sectPr>
      </w:pPr>
    </w:p>
    <w:p>
      <w:pPr>
        <w:pStyle w:val="Heading2"/>
      </w:pPr>
      <w:bookmarkStart w:name="612:10-7-164.  Personal and work adjustm" w:id="183"/>
      <w:bookmarkEnd w:id="183"/>
      <w:r>
        <w:rPr>
          <w:b w:val="0"/>
        </w:rPr>
      </w:r>
      <w:bookmarkStart w:name="_bookmark24" w:id="184"/>
      <w:bookmarkEnd w:id="184"/>
      <w:r>
        <w:rPr>
          <w:b w:val="0"/>
        </w:rPr>
      </w:r>
      <w:r>
        <w:rPr/>
        <w:t>612:10-7-164.</w:t>
      </w:r>
      <w:r>
        <w:rPr>
          <w:spacing w:val="56"/>
        </w:rPr>
        <w:t> </w:t>
      </w:r>
      <w:r>
        <w:rPr/>
        <w:t>Personal</w:t>
      </w:r>
      <w:r>
        <w:rPr>
          <w:spacing w:val="-3"/>
        </w:rPr>
        <w:t> </w:t>
      </w:r>
      <w:r>
        <w:rPr/>
        <w:t>and</w:t>
      </w:r>
      <w:r>
        <w:rPr>
          <w:spacing w:val="-4"/>
        </w:rPr>
        <w:t> </w:t>
      </w:r>
      <w:r>
        <w:rPr/>
        <w:t>work</w:t>
      </w:r>
      <w:r>
        <w:rPr>
          <w:spacing w:val="-4"/>
        </w:rPr>
        <w:t> </w:t>
      </w:r>
      <w:r>
        <w:rPr/>
        <w:t>adjustment</w:t>
      </w:r>
      <w:r>
        <w:rPr>
          <w:spacing w:val="-3"/>
        </w:rPr>
        <w:t> </w:t>
      </w:r>
      <w:r>
        <w:rPr>
          <w:spacing w:val="-2"/>
        </w:rPr>
        <w:t>training</w:t>
      </w:r>
    </w:p>
    <w:p>
      <w:pPr>
        <w:pStyle w:val="ListParagraph"/>
        <w:numPr>
          <w:ilvl w:val="0"/>
          <w:numId w:val="202"/>
        </w:numPr>
        <w:tabs>
          <w:tab w:pos="786" w:val="left" w:leader="none"/>
        </w:tabs>
        <w:spacing w:line="208" w:lineRule="auto" w:before="233" w:after="0"/>
        <w:ind w:left="360" w:right="1474" w:firstLine="0"/>
        <w:jc w:val="left"/>
        <w:rPr>
          <w:sz w:val="24"/>
        </w:rPr>
      </w:pPr>
      <w:r>
        <w:rPr>
          <w:sz w:val="24"/>
        </w:rPr>
        <w:t>Personal</w:t>
      </w:r>
      <w:r>
        <w:rPr>
          <w:spacing w:val="-4"/>
          <w:sz w:val="24"/>
        </w:rPr>
        <w:t> </w:t>
      </w:r>
      <w:r>
        <w:rPr>
          <w:sz w:val="24"/>
        </w:rPr>
        <w:t>and/or</w:t>
      </w:r>
      <w:r>
        <w:rPr>
          <w:spacing w:val="-4"/>
          <w:sz w:val="24"/>
        </w:rPr>
        <w:t> </w:t>
      </w:r>
      <w:r>
        <w:rPr>
          <w:sz w:val="24"/>
        </w:rPr>
        <w:t>work</w:t>
      </w:r>
      <w:r>
        <w:rPr>
          <w:spacing w:val="-4"/>
          <w:sz w:val="24"/>
        </w:rPr>
        <w:t> </w:t>
      </w:r>
      <w:r>
        <w:rPr>
          <w:sz w:val="24"/>
        </w:rPr>
        <w:t>adjustment</w:t>
      </w:r>
      <w:r>
        <w:rPr>
          <w:spacing w:val="-4"/>
          <w:sz w:val="24"/>
        </w:rPr>
        <w:t> </w:t>
      </w:r>
      <w:r>
        <w:rPr>
          <w:sz w:val="24"/>
        </w:rPr>
        <w:t>training</w:t>
      </w:r>
      <w:r>
        <w:rPr>
          <w:spacing w:val="-4"/>
          <w:sz w:val="24"/>
        </w:rPr>
        <w:t> </w:t>
      </w:r>
      <w:r>
        <w:rPr>
          <w:sz w:val="24"/>
        </w:rPr>
        <w:t>is</w:t>
      </w:r>
      <w:r>
        <w:rPr>
          <w:spacing w:val="-4"/>
          <w:sz w:val="24"/>
        </w:rPr>
        <w:t> </w:t>
      </w:r>
      <w:r>
        <w:rPr>
          <w:sz w:val="24"/>
        </w:rPr>
        <w:t>provided</w:t>
      </w:r>
      <w:r>
        <w:rPr>
          <w:spacing w:val="-4"/>
          <w:sz w:val="24"/>
        </w:rPr>
        <w:t> </w:t>
      </w:r>
      <w:r>
        <w:rPr>
          <w:sz w:val="24"/>
        </w:rPr>
        <w:t>by</w:t>
      </w:r>
      <w:r>
        <w:rPr>
          <w:spacing w:val="-4"/>
          <w:sz w:val="24"/>
        </w:rPr>
        <w:t> </w:t>
      </w:r>
      <w:r>
        <w:rPr>
          <w:sz w:val="24"/>
        </w:rPr>
        <w:t>facilities</w:t>
      </w:r>
      <w:r>
        <w:rPr>
          <w:spacing w:val="-4"/>
          <w:sz w:val="24"/>
        </w:rPr>
        <w:t> </w:t>
      </w:r>
      <w:r>
        <w:rPr>
          <w:sz w:val="24"/>
        </w:rPr>
        <w:t>and</w:t>
      </w:r>
      <w:r>
        <w:rPr>
          <w:spacing w:val="-4"/>
          <w:sz w:val="24"/>
        </w:rPr>
        <w:t> </w:t>
      </w:r>
      <w:r>
        <w:rPr>
          <w:sz w:val="24"/>
        </w:rPr>
        <w:t>schools having valid contracts with the Department.</w:t>
      </w:r>
    </w:p>
    <w:p>
      <w:pPr>
        <w:pStyle w:val="ListParagraph"/>
        <w:numPr>
          <w:ilvl w:val="0"/>
          <w:numId w:val="202"/>
        </w:numPr>
        <w:tabs>
          <w:tab w:pos="785" w:val="left" w:leader="none"/>
        </w:tabs>
        <w:spacing w:line="208" w:lineRule="auto" w:before="240" w:after="0"/>
        <w:ind w:left="359" w:right="980" w:firstLine="0"/>
        <w:jc w:val="left"/>
        <w:rPr>
          <w:sz w:val="24"/>
        </w:rPr>
      </w:pPr>
      <w:r>
        <w:rPr>
          <w:sz w:val="24"/>
        </w:rPr>
        <w:t>Personal</w:t>
      </w:r>
      <w:r>
        <w:rPr>
          <w:spacing w:val="-3"/>
          <w:sz w:val="24"/>
        </w:rPr>
        <w:t> </w:t>
      </w:r>
      <w:r>
        <w:rPr>
          <w:sz w:val="24"/>
        </w:rPr>
        <w:t>or</w:t>
      </w:r>
      <w:r>
        <w:rPr>
          <w:spacing w:val="-2"/>
          <w:sz w:val="24"/>
        </w:rPr>
        <w:t> </w:t>
      </w:r>
      <w:r>
        <w:rPr>
          <w:sz w:val="24"/>
        </w:rPr>
        <w:t>work</w:t>
      </w:r>
      <w:r>
        <w:rPr>
          <w:spacing w:val="-4"/>
          <w:sz w:val="24"/>
        </w:rPr>
        <w:t> </w:t>
      </w:r>
      <w:r>
        <w:rPr>
          <w:sz w:val="24"/>
        </w:rPr>
        <w:t>adjustment</w:t>
      </w:r>
      <w:r>
        <w:rPr>
          <w:spacing w:val="-2"/>
          <w:sz w:val="24"/>
        </w:rPr>
        <w:t> </w:t>
      </w:r>
      <w:r>
        <w:rPr>
          <w:sz w:val="24"/>
        </w:rPr>
        <w:t>training</w:t>
      </w:r>
      <w:r>
        <w:rPr>
          <w:spacing w:val="-3"/>
          <w:sz w:val="24"/>
        </w:rPr>
        <w:t> </w:t>
      </w:r>
      <w:r>
        <w:rPr>
          <w:sz w:val="24"/>
        </w:rPr>
        <w:t>is</w:t>
      </w:r>
      <w:r>
        <w:rPr>
          <w:spacing w:val="-3"/>
          <w:sz w:val="24"/>
        </w:rPr>
        <w:t> </w:t>
      </w:r>
      <w:r>
        <w:rPr>
          <w:sz w:val="24"/>
        </w:rPr>
        <w:t>the</w:t>
      </w:r>
      <w:r>
        <w:rPr>
          <w:spacing w:val="-3"/>
          <w:sz w:val="24"/>
        </w:rPr>
        <w:t> </w:t>
      </w:r>
      <w:r>
        <w:rPr>
          <w:sz w:val="24"/>
        </w:rPr>
        <w:t>provision</w:t>
      </w:r>
      <w:r>
        <w:rPr>
          <w:spacing w:val="-3"/>
          <w:sz w:val="24"/>
        </w:rPr>
        <w:t> </w:t>
      </w:r>
      <w:r>
        <w:rPr>
          <w:sz w:val="24"/>
        </w:rPr>
        <w:t>of</w:t>
      </w:r>
      <w:r>
        <w:rPr>
          <w:spacing w:val="-2"/>
          <w:sz w:val="24"/>
        </w:rPr>
        <w:t> </w:t>
      </w:r>
      <w:r>
        <w:rPr>
          <w:sz w:val="24"/>
        </w:rPr>
        <w:t>skills</w:t>
      </w:r>
      <w:r>
        <w:rPr>
          <w:spacing w:val="-3"/>
          <w:sz w:val="24"/>
        </w:rPr>
        <w:t> </w:t>
      </w:r>
      <w:r>
        <w:rPr>
          <w:sz w:val="24"/>
        </w:rPr>
        <w:t>or</w:t>
      </w:r>
      <w:r>
        <w:rPr>
          <w:spacing w:val="-2"/>
          <w:sz w:val="24"/>
        </w:rPr>
        <w:t> </w:t>
      </w:r>
      <w:r>
        <w:rPr>
          <w:sz w:val="24"/>
        </w:rPr>
        <w:t>techniques</w:t>
      </w:r>
      <w:r>
        <w:rPr>
          <w:spacing w:val="-3"/>
          <w:sz w:val="24"/>
        </w:rPr>
        <w:t> </w:t>
      </w:r>
      <w:r>
        <w:rPr>
          <w:sz w:val="24"/>
        </w:rPr>
        <w:t>for</w:t>
      </w:r>
      <w:r>
        <w:rPr>
          <w:spacing w:val="-4"/>
          <w:sz w:val="24"/>
        </w:rPr>
        <w:t> </w:t>
      </w:r>
      <w:r>
        <w:rPr>
          <w:sz w:val="24"/>
        </w:rPr>
        <w:t>the purpose of enabling the individual to compensate for a disability such as the loss of a member of the body or the loss of sensory function.</w:t>
      </w:r>
    </w:p>
    <w:p>
      <w:pPr>
        <w:pStyle w:val="ListParagraph"/>
        <w:numPr>
          <w:ilvl w:val="1"/>
          <w:numId w:val="202"/>
        </w:numPr>
        <w:tabs>
          <w:tab w:pos="1234" w:val="left" w:leader="none"/>
        </w:tabs>
        <w:spacing w:line="240" w:lineRule="auto" w:before="250" w:after="0"/>
        <w:ind w:left="1234" w:right="0" w:hanging="425"/>
        <w:jc w:val="left"/>
        <w:rPr>
          <w:sz w:val="24"/>
        </w:rPr>
      </w:pPr>
      <w:r>
        <w:rPr>
          <w:sz w:val="24"/>
        </w:rPr>
        <w:t>Work</w:t>
      </w:r>
      <w:r>
        <w:rPr>
          <w:spacing w:val="-6"/>
          <w:sz w:val="24"/>
        </w:rPr>
        <w:t> </w:t>
      </w:r>
      <w:r>
        <w:rPr>
          <w:sz w:val="24"/>
        </w:rPr>
        <w:t>adjustment</w:t>
      </w:r>
      <w:r>
        <w:rPr>
          <w:spacing w:val="-2"/>
          <w:sz w:val="24"/>
        </w:rPr>
        <w:t> </w:t>
      </w:r>
      <w:r>
        <w:rPr>
          <w:sz w:val="24"/>
        </w:rPr>
        <w:t>training</w:t>
      </w:r>
      <w:r>
        <w:rPr>
          <w:spacing w:val="-4"/>
          <w:sz w:val="24"/>
        </w:rPr>
        <w:t> </w:t>
      </w:r>
      <w:r>
        <w:rPr>
          <w:sz w:val="24"/>
        </w:rPr>
        <w:t>includes</w:t>
      </w:r>
      <w:r>
        <w:rPr>
          <w:spacing w:val="-3"/>
          <w:sz w:val="24"/>
        </w:rPr>
        <w:t> </w:t>
      </w:r>
      <w:r>
        <w:rPr>
          <w:sz w:val="24"/>
        </w:rPr>
        <w:t>but</w:t>
      </w:r>
      <w:r>
        <w:rPr>
          <w:spacing w:val="-2"/>
          <w:sz w:val="24"/>
        </w:rPr>
        <w:t> </w:t>
      </w:r>
      <w:r>
        <w:rPr>
          <w:sz w:val="24"/>
        </w:rPr>
        <w:t>is</w:t>
      </w:r>
      <w:r>
        <w:rPr>
          <w:spacing w:val="-4"/>
          <w:sz w:val="24"/>
        </w:rPr>
        <w:t> </w:t>
      </w:r>
      <w:r>
        <w:rPr>
          <w:sz w:val="24"/>
        </w:rPr>
        <w:t>not</w:t>
      </w:r>
      <w:r>
        <w:rPr>
          <w:spacing w:val="-2"/>
          <w:sz w:val="24"/>
        </w:rPr>
        <w:t> </w:t>
      </w:r>
      <w:r>
        <w:rPr>
          <w:sz w:val="24"/>
        </w:rPr>
        <w:t>limited</w:t>
      </w:r>
      <w:r>
        <w:rPr>
          <w:spacing w:val="-3"/>
          <w:sz w:val="24"/>
        </w:rPr>
        <w:t> </w:t>
      </w:r>
      <w:r>
        <w:rPr>
          <w:spacing w:val="-5"/>
          <w:sz w:val="24"/>
        </w:rPr>
        <w:t>to:</w:t>
      </w:r>
    </w:p>
    <w:p>
      <w:pPr>
        <w:pStyle w:val="ListParagraph"/>
        <w:numPr>
          <w:ilvl w:val="2"/>
          <w:numId w:val="202"/>
        </w:numPr>
        <w:tabs>
          <w:tab w:pos="1712" w:val="left" w:leader="none"/>
        </w:tabs>
        <w:spacing w:line="240" w:lineRule="auto" w:before="243" w:after="0"/>
        <w:ind w:left="1712" w:right="0" w:hanging="453"/>
        <w:jc w:val="left"/>
        <w:rPr>
          <w:sz w:val="24"/>
        </w:rPr>
      </w:pPr>
      <w:r>
        <w:rPr>
          <w:sz w:val="24"/>
        </w:rPr>
        <w:t>conditioning</w:t>
      </w:r>
      <w:r>
        <w:rPr>
          <w:spacing w:val="-5"/>
          <w:sz w:val="24"/>
        </w:rPr>
        <w:t> </w:t>
      </w:r>
      <w:r>
        <w:rPr>
          <w:sz w:val="24"/>
        </w:rPr>
        <w:t>activities</w:t>
      </w:r>
      <w:r>
        <w:rPr>
          <w:spacing w:val="-5"/>
          <w:sz w:val="24"/>
        </w:rPr>
        <w:t> </w:t>
      </w:r>
      <w:r>
        <w:rPr>
          <w:sz w:val="24"/>
        </w:rPr>
        <w:t>for</w:t>
      </w:r>
      <w:r>
        <w:rPr>
          <w:spacing w:val="-3"/>
          <w:sz w:val="24"/>
        </w:rPr>
        <w:t> </w:t>
      </w:r>
      <w:r>
        <w:rPr>
          <w:sz w:val="24"/>
        </w:rPr>
        <w:t>developing</w:t>
      </w:r>
      <w:r>
        <w:rPr>
          <w:spacing w:val="-5"/>
          <w:sz w:val="24"/>
        </w:rPr>
        <w:t> </w:t>
      </w:r>
      <w:r>
        <w:rPr>
          <w:sz w:val="24"/>
        </w:rPr>
        <w:t>work</w:t>
      </w:r>
      <w:r>
        <w:rPr>
          <w:spacing w:val="-4"/>
          <w:sz w:val="24"/>
        </w:rPr>
        <w:t> </w:t>
      </w:r>
      <w:r>
        <w:rPr>
          <w:spacing w:val="-2"/>
          <w:sz w:val="24"/>
        </w:rPr>
        <w:t>tolerance,</w:t>
      </w:r>
    </w:p>
    <w:p>
      <w:pPr>
        <w:pStyle w:val="ListParagraph"/>
        <w:numPr>
          <w:ilvl w:val="2"/>
          <w:numId w:val="202"/>
        </w:numPr>
        <w:tabs>
          <w:tab w:pos="1712" w:val="left" w:leader="none"/>
        </w:tabs>
        <w:spacing w:line="240" w:lineRule="auto" w:before="245" w:after="0"/>
        <w:ind w:left="1712" w:right="0" w:hanging="453"/>
        <w:jc w:val="left"/>
        <w:rPr>
          <w:sz w:val="24"/>
        </w:rPr>
      </w:pPr>
      <w:r>
        <w:rPr>
          <w:sz w:val="24"/>
        </w:rPr>
        <w:t>work</w:t>
      </w:r>
      <w:r>
        <w:rPr>
          <w:spacing w:val="-5"/>
          <w:sz w:val="24"/>
        </w:rPr>
        <w:t> </w:t>
      </w:r>
      <w:r>
        <w:rPr>
          <w:spacing w:val="-2"/>
          <w:sz w:val="24"/>
        </w:rPr>
        <w:t>therapy,</w:t>
      </w:r>
    </w:p>
    <w:p>
      <w:pPr>
        <w:pStyle w:val="ListParagraph"/>
        <w:numPr>
          <w:ilvl w:val="2"/>
          <w:numId w:val="202"/>
        </w:numPr>
        <w:tabs>
          <w:tab w:pos="1725" w:val="left" w:leader="none"/>
        </w:tabs>
        <w:spacing w:line="240" w:lineRule="auto" w:before="244" w:after="0"/>
        <w:ind w:left="1725" w:right="0" w:hanging="466"/>
        <w:jc w:val="left"/>
        <w:rPr>
          <w:sz w:val="24"/>
        </w:rPr>
      </w:pPr>
      <w:r>
        <w:rPr>
          <w:sz w:val="24"/>
        </w:rPr>
        <w:t>occupational</w:t>
      </w:r>
      <w:r>
        <w:rPr>
          <w:spacing w:val="-9"/>
          <w:sz w:val="24"/>
        </w:rPr>
        <w:t> </w:t>
      </w:r>
      <w:r>
        <w:rPr>
          <w:spacing w:val="-2"/>
          <w:sz w:val="24"/>
        </w:rPr>
        <w:t>therapy,</w:t>
      </w:r>
    </w:p>
    <w:p>
      <w:pPr>
        <w:pStyle w:val="ListParagraph"/>
        <w:numPr>
          <w:ilvl w:val="2"/>
          <w:numId w:val="202"/>
        </w:numPr>
        <w:tabs>
          <w:tab w:pos="1725" w:val="left" w:leader="none"/>
        </w:tabs>
        <w:spacing w:line="240" w:lineRule="auto" w:before="243" w:after="0"/>
        <w:ind w:left="1725" w:right="0" w:hanging="466"/>
        <w:jc w:val="left"/>
        <w:rPr>
          <w:sz w:val="24"/>
        </w:rPr>
      </w:pPr>
      <w:r>
        <w:rPr>
          <w:sz w:val="24"/>
        </w:rPr>
        <w:t>lip</w:t>
      </w:r>
      <w:r>
        <w:rPr>
          <w:spacing w:val="-4"/>
          <w:sz w:val="24"/>
        </w:rPr>
        <w:t> </w:t>
      </w:r>
      <w:r>
        <w:rPr>
          <w:spacing w:val="-2"/>
          <w:sz w:val="24"/>
        </w:rPr>
        <w:t>reading,</w:t>
      </w:r>
    </w:p>
    <w:p>
      <w:pPr>
        <w:pStyle w:val="ListParagraph"/>
        <w:numPr>
          <w:ilvl w:val="2"/>
          <w:numId w:val="202"/>
        </w:numPr>
        <w:tabs>
          <w:tab w:pos="1712" w:val="left" w:leader="none"/>
        </w:tabs>
        <w:spacing w:line="240" w:lineRule="auto" w:before="245" w:after="0"/>
        <w:ind w:left="1712" w:right="0" w:hanging="453"/>
        <w:jc w:val="left"/>
        <w:rPr>
          <w:sz w:val="24"/>
        </w:rPr>
      </w:pPr>
      <w:r>
        <w:rPr>
          <w:sz w:val="24"/>
        </w:rPr>
        <w:t>speech</w:t>
      </w:r>
      <w:r>
        <w:rPr>
          <w:spacing w:val="-3"/>
          <w:sz w:val="24"/>
        </w:rPr>
        <w:t> </w:t>
      </w:r>
      <w:r>
        <w:rPr>
          <w:spacing w:val="-2"/>
          <w:sz w:val="24"/>
        </w:rPr>
        <w:t>therapy,</w:t>
      </w:r>
    </w:p>
    <w:p>
      <w:pPr>
        <w:pStyle w:val="ListParagraph"/>
        <w:numPr>
          <w:ilvl w:val="2"/>
          <w:numId w:val="202"/>
        </w:numPr>
        <w:tabs>
          <w:tab w:pos="1697" w:val="left" w:leader="none"/>
        </w:tabs>
        <w:spacing w:line="240" w:lineRule="auto" w:before="244" w:after="0"/>
        <w:ind w:left="1697" w:right="0" w:hanging="438"/>
        <w:jc w:val="left"/>
        <w:rPr>
          <w:sz w:val="24"/>
        </w:rPr>
      </w:pPr>
      <w:r>
        <w:rPr>
          <w:sz w:val="24"/>
        </w:rPr>
        <w:t>auditory</w:t>
      </w:r>
      <w:r>
        <w:rPr>
          <w:spacing w:val="-5"/>
          <w:sz w:val="24"/>
        </w:rPr>
        <w:t> </w:t>
      </w:r>
      <w:r>
        <w:rPr>
          <w:spacing w:val="-2"/>
          <w:sz w:val="24"/>
        </w:rPr>
        <w:t>training,</w:t>
      </w:r>
    </w:p>
    <w:p>
      <w:pPr>
        <w:pStyle w:val="ListParagraph"/>
        <w:numPr>
          <w:ilvl w:val="2"/>
          <w:numId w:val="202"/>
        </w:numPr>
        <w:tabs>
          <w:tab w:pos="1738" w:val="left" w:leader="none"/>
        </w:tabs>
        <w:spacing w:line="240" w:lineRule="auto" w:before="243" w:after="0"/>
        <w:ind w:left="1738" w:right="0" w:hanging="479"/>
        <w:jc w:val="left"/>
        <w:rPr>
          <w:sz w:val="24"/>
        </w:rPr>
      </w:pPr>
      <w:r>
        <w:rPr>
          <w:sz w:val="24"/>
        </w:rPr>
        <w:t>gait</w:t>
      </w:r>
      <w:r>
        <w:rPr>
          <w:spacing w:val="-4"/>
          <w:sz w:val="24"/>
        </w:rPr>
        <w:t> </w:t>
      </w:r>
      <w:r>
        <w:rPr>
          <w:spacing w:val="-2"/>
          <w:sz w:val="24"/>
        </w:rPr>
        <w:t>training,</w:t>
      </w:r>
    </w:p>
    <w:p>
      <w:pPr>
        <w:pStyle w:val="ListParagraph"/>
        <w:numPr>
          <w:ilvl w:val="2"/>
          <w:numId w:val="202"/>
        </w:numPr>
        <w:tabs>
          <w:tab w:pos="1725" w:val="left" w:leader="none"/>
        </w:tabs>
        <w:spacing w:line="240" w:lineRule="auto" w:before="245" w:after="0"/>
        <w:ind w:left="1725" w:right="0" w:hanging="466"/>
        <w:jc w:val="left"/>
        <w:rPr>
          <w:sz w:val="24"/>
        </w:rPr>
      </w:pPr>
      <w:r>
        <w:rPr>
          <w:sz w:val="24"/>
        </w:rPr>
        <w:t>diabetes</w:t>
      </w:r>
      <w:r>
        <w:rPr>
          <w:spacing w:val="-6"/>
          <w:sz w:val="24"/>
        </w:rPr>
        <w:t> </w:t>
      </w:r>
      <w:r>
        <w:rPr>
          <w:sz w:val="24"/>
        </w:rPr>
        <w:t>education</w:t>
      </w:r>
      <w:r>
        <w:rPr>
          <w:spacing w:val="-5"/>
          <w:sz w:val="24"/>
        </w:rPr>
        <w:t> </w:t>
      </w:r>
      <w:r>
        <w:rPr>
          <w:spacing w:val="-2"/>
          <w:sz w:val="24"/>
        </w:rPr>
        <w:t>training,</w:t>
      </w:r>
    </w:p>
    <w:p>
      <w:pPr>
        <w:pStyle w:val="ListParagraph"/>
        <w:numPr>
          <w:ilvl w:val="2"/>
          <w:numId w:val="202"/>
        </w:numPr>
        <w:tabs>
          <w:tab w:pos="1618" w:val="left" w:leader="none"/>
        </w:tabs>
        <w:spacing w:line="240" w:lineRule="auto" w:before="244" w:after="0"/>
        <w:ind w:left="1618" w:right="0" w:hanging="359"/>
        <w:jc w:val="left"/>
        <w:rPr>
          <w:sz w:val="24"/>
        </w:rPr>
      </w:pPr>
      <w:r>
        <w:rPr>
          <w:sz w:val="24"/>
        </w:rPr>
        <w:t>driver's</w:t>
      </w:r>
      <w:r>
        <w:rPr>
          <w:spacing w:val="-6"/>
          <w:sz w:val="24"/>
        </w:rPr>
        <w:t> </w:t>
      </w:r>
      <w:r>
        <w:rPr>
          <w:sz w:val="24"/>
        </w:rPr>
        <w:t>training,</w:t>
      </w:r>
      <w:r>
        <w:rPr>
          <w:spacing w:val="-4"/>
          <w:sz w:val="24"/>
        </w:rPr>
        <w:t> </w:t>
      </w:r>
      <w:r>
        <w:rPr>
          <w:spacing w:val="-5"/>
          <w:sz w:val="24"/>
        </w:rPr>
        <w:t>and</w:t>
      </w:r>
    </w:p>
    <w:p>
      <w:pPr>
        <w:pStyle w:val="ListParagraph"/>
        <w:numPr>
          <w:ilvl w:val="2"/>
          <w:numId w:val="202"/>
        </w:numPr>
        <w:tabs>
          <w:tab w:pos="1672" w:val="left" w:leader="none"/>
        </w:tabs>
        <w:spacing w:line="240" w:lineRule="auto" w:before="244" w:after="0"/>
        <w:ind w:left="1672" w:right="0" w:hanging="413"/>
        <w:jc w:val="left"/>
        <w:rPr>
          <w:sz w:val="24"/>
        </w:rPr>
      </w:pPr>
      <w:r>
        <w:rPr>
          <w:sz w:val="24"/>
        </w:rPr>
        <w:t>mobility</w:t>
      </w:r>
      <w:r>
        <w:rPr>
          <w:spacing w:val="-5"/>
          <w:sz w:val="24"/>
        </w:rPr>
        <w:t> </w:t>
      </w:r>
      <w:r>
        <w:rPr>
          <w:spacing w:val="-2"/>
          <w:sz w:val="24"/>
        </w:rPr>
        <w:t>training.</w:t>
      </w:r>
    </w:p>
    <w:p>
      <w:pPr>
        <w:pStyle w:val="ListParagraph"/>
        <w:numPr>
          <w:ilvl w:val="1"/>
          <w:numId w:val="202"/>
        </w:numPr>
        <w:tabs>
          <w:tab w:pos="1235" w:val="left" w:leader="none"/>
        </w:tabs>
        <w:spacing w:line="240" w:lineRule="auto" w:before="244" w:after="0"/>
        <w:ind w:left="1235" w:right="0" w:hanging="426"/>
        <w:jc w:val="left"/>
        <w:rPr>
          <w:sz w:val="24"/>
        </w:rPr>
      </w:pPr>
      <w:r>
        <w:rPr>
          <w:sz w:val="24"/>
        </w:rPr>
        <w:t>Personal</w:t>
      </w:r>
      <w:r>
        <w:rPr>
          <w:spacing w:val="-4"/>
          <w:sz w:val="24"/>
        </w:rPr>
        <w:t> </w:t>
      </w:r>
      <w:r>
        <w:rPr>
          <w:sz w:val="24"/>
        </w:rPr>
        <w:t>adjustment</w:t>
      </w:r>
      <w:r>
        <w:rPr>
          <w:spacing w:val="-4"/>
          <w:sz w:val="24"/>
        </w:rPr>
        <w:t> </w:t>
      </w:r>
      <w:r>
        <w:rPr>
          <w:sz w:val="24"/>
        </w:rPr>
        <w:t>training</w:t>
      </w:r>
      <w:r>
        <w:rPr>
          <w:spacing w:val="-4"/>
          <w:sz w:val="24"/>
        </w:rPr>
        <w:t> </w:t>
      </w:r>
      <w:r>
        <w:rPr>
          <w:sz w:val="24"/>
        </w:rPr>
        <w:t>may</w:t>
      </w:r>
      <w:r>
        <w:rPr>
          <w:spacing w:val="-4"/>
          <w:sz w:val="24"/>
        </w:rPr>
        <w:t> </w:t>
      </w:r>
      <w:r>
        <w:rPr>
          <w:sz w:val="24"/>
        </w:rPr>
        <w:t>also</w:t>
      </w:r>
      <w:r>
        <w:rPr>
          <w:spacing w:val="-3"/>
          <w:sz w:val="24"/>
        </w:rPr>
        <w:t> </w:t>
      </w:r>
      <w:r>
        <w:rPr>
          <w:spacing w:val="-2"/>
          <w:sz w:val="24"/>
        </w:rPr>
        <w:t>include:</w:t>
      </w:r>
    </w:p>
    <w:p>
      <w:pPr>
        <w:pStyle w:val="ListParagraph"/>
        <w:numPr>
          <w:ilvl w:val="2"/>
          <w:numId w:val="202"/>
        </w:numPr>
        <w:tabs>
          <w:tab w:pos="1712" w:val="left" w:leader="none"/>
        </w:tabs>
        <w:spacing w:line="240" w:lineRule="auto" w:before="244" w:after="0"/>
        <w:ind w:left="1712" w:right="0" w:hanging="453"/>
        <w:jc w:val="left"/>
        <w:rPr>
          <w:sz w:val="24"/>
        </w:rPr>
      </w:pPr>
      <w:r>
        <w:rPr>
          <w:sz w:val="24"/>
        </w:rPr>
        <w:t>development</w:t>
      </w:r>
      <w:r>
        <w:rPr>
          <w:spacing w:val="-5"/>
          <w:sz w:val="24"/>
        </w:rPr>
        <w:t> </w:t>
      </w:r>
      <w:r>
        <w:rPr>
          <w:sz w:val="24"/>
        </w:rPr>
        <w:t>of</w:t>
      </w:r>
      <w:r>
        <w:rPr>
          <w:spacing w:val="-4"/>
          <w:sz w:val="24"/>
        </w:rPr>
        <w:t> </w:t>
      </w:r>
      <w:r>
        <w:rPr>
          <w:sz w:val="24"/>
        </w:rPr>
        <w:t>personal</w:t>
      </w:r>
      <w:r>
        <w:rPr>
          <w:spacing w:val="-4"/>
          <w:sz w:val="24"/>
        </w:rPr>
        <w:t> </w:t>
      </w:r>
      <w:r>
        <w:rPr>
          <w:spacing w:val="-2"/>
          <w:sz w:val="24"/>
        </w:rPr>
        <w:t>habits,</w:t>
      </w:r>
    </w:p>
    <w:p>
      <w:pPr>
        <w:pStyle w:val="ListParagraph"/>
        <w:numPr>
          <w:ilvl w:val="2"/>
          <w:numId w:val="202"/>
        </w:numPr>
        <w:tabs>
          <w:tab w:pos="1712" w:val="left" w:leader="none"/>
        </w:tabs>
        <w:spacing w:line="240" w:lineRule="auto" w:before="244" w:after="0"/>
        <w:ind w:left="1712" w:right="0" w:hanging="453"/>
        <w:jc w:val="left"/>
        <w:rPr>
          <w:sz w:val="24"/>
        </w:rPr>
      </w:pPr>
      <w:r>
        <w:rPr>
          <w:sz w:val="24"/>
        </w:rPr>
        <w:t>attitudes,</w:t>
      </w:r>
      <w:r>
        <w:rPr>
          <w:spacing w:val="-5"/>
          <w:sz w:val="24"/>
        </w:rPr>
        <w:t> and</w:t>
      </w:r>
    </w:p>
    <w:p>
      <w:pPr>
        <w:pStyle w:val="ListParagraph"/>
        <w:numPr>
          <w:ilvl w:val="2"/>
          <w:numId w:val="202"/>
        </w:numPr>
        <w:tabs>
          <w:tab w:pos="1725" w:val="left" w:leader="none"/>
        </w:tabs>
        <w:spacing w:line="240" w:lineRule="auto" w:before="244" w:after="0"/>
        <w:ind w:left="1725" w:right="0" w:hanging="466"/>
        <w:jc w:val="left"/>
        <w:rPr>
          <w:sz w:val="24"/>
        </w:rPr>
      </w:pPr>
      <w:r>
        <w:rPr>
          <w:sz w:val="24"/>
        </w:rPr>
        <w:t>work</w:t>
      </w:r>
      <w:r>
        <w:rPr>
          <w:spacing w:val="-5"/>
          <w:sz w:val="24"/>
        </w:rPr>
        <w:t> </w:t>
      </w:r>
      <w:r>
        <w:rPr>
          <w:sz w:val="24"/>
        </w:rPr>
        <w:t>habits</w:t>
      </w:r>
      <w:r>
        <w:rPr>
          <w:spacing w:val="-3"/>
          <w:sz w:val="24"/>
        </w:rPr>
        <w:t> </w:t>
      </w:r>
      <w:r>
        <w:rPr>
          <w:sz w:val="24"/>
        </w:rPr>
        <w:t>necessary</w:t>
      </w:r>
      <w:r>
        <w:rPr>
          <w:spacing w:val="-2"/>
          <w:sz w:val="24"/>
        </w:rPr>
        <w:t> </w:t>
      </w:r>
      <w:r>
        <w:rPr>
          <w:sz w:val="24"/>
        </w:rPr>
        <w:t>to</w:t>
      </w:r>
      <w:r>
        <w:rPr>
          <w:spacing w:val="-3"/>
          <w:sz w:val="24"/>
        </w:rPr>
        <w:t> </w:t>
      </w:r>
      <w:r>
        <w:rPr>
          <w:sz w:val="24"/>
        </w:rPr>
        <w:t>orient</w:t>
      </w:r>
      <w:r>
        <w:rPr>
          <w:spacing w:val="-1"/>
          <w:sz w:val="24"/>
        </w:rPr>
        <w:t> </w:t>
      </w:r>
      <w:r>
        <w:rPr>
          <w:sz w:val="24"/>
        </w:rPr>
        <w:t>the</w:t>
      </w:r>
      <w:r>
        <w:rPr>
          <w:spacing w:val="-3"/>
          <w:sz w:val="24"/>
        </w:rPr>
        <w:t> </w:t>
      </w:r>
      <w:r>
        <w:rPr>
          <w:sz w:val="24"/>
        </w:rPr>
        <w:t>individual</w:t>
      </w:r>
      <w:r>
        <w:rPr>
          <w:spacing w:val="-2"/>
          <w:sz w:val="24"/>
        </w:rPr>
        <w:t> </w:t>
      </w:r>
      <w:r>
        <w:rPr>
          <w:sz w:val="24"/>
        </w:rPr>
        <w:t>to</w:t>
      </w:r>
      <w:r>
        <w:rPr>
          <w:spacing w:val="-3"/>
          <w:sz w:val="24"/>
        </w:rPr>
        <w:t> </w:t>
      </w:r>
      <w:r>
        <w:rPr>
          <w:sz w:val="24"/>
        </w:rPr>
        <w:t>the</w:t>
      </w:r>
      <w:r>
        <w:rPr>
          <w:spacing w:val="-2"/>
          <w:sz w:val="24"/>
        </w:rPr>
        <w:t> </w:t>
      </w:r>
      <w:r>
        <w:rPr>
          <w:sz w:val="24"/>
        </w:rPr>
        <w:t>world</w:t>
      </w:r>
      <w:r>
        <w:rPr>
          <w:spacing w:val="-3"/>
          <w:sz w:val="24"/>
        </w:rPr>
        <w:t> </w:t>
      </w:r>
      <w:r>
        <w:rPr>
          <w:sz w:val="24"/>
        </w:rPr>
        <w:t>of</w:t>
      </w:r>
      <w:r>
        <w:rPr>
          <w:spacing w:val="-1"/>
          <w:sz w:val="24"/>
        </w:rPr>
        <w:t> </w:t>
      </w:r>
      <w:r>
        <w:rPr>
          <w:spacing w:val="-2"/>
          <w:sz w:val="24"/>
        </w:rPr>
        <w:t>work.</w:t>
      </w:r>
    </w:p>
    <w:p>
      <w:pPr>
        <w:pStyle w:val="ListParagraph"/>
        <w:numPr>
          <w:ilvl w:val="1"/>
          <w:numId w:val="202"/>
        </w:numPr>
        <w:tabs>
          <w:tab w:pos="1235" w:val="left" w:leader="none"/>
        </w:tabs>
        <w:spacing w:line="208" w:lineRule="auto" w:before="273" w:after="0"/>
        <w:ind w:left="809" w:right="1063" w:firstLine="0"/>
        <w:jc w:val="left"/>
        <w:rPr>
          <w:b/>
          <w:sz w:val="24"/>
        </w:rPr>
      </w:pPr>
      <w:r>
        <w:rPr>
          <w:sz w:val="24"/>
        </w:rPr>
        <w:t>This service does not require client participation in cost of services. </w:t>
      </w:r>
      <w:r>
        <w:rPr>
          <w:b/>
          <w:sz w:val="24"/>
        </w:rPr>
        <w:t>1 </w:t>
      </w:r>
      <w:r>
        <w:rPr>
          <w:sz w:val="24"/>
        </w:rPr>
        <w:t>High school</w:t>
      </w:r>
      <w:r>
        <w:rPr>
          <w:spacing w:val="-3"/>
          <w:sz w:val="24"/>
        </w:rPr>
        <w:t> </w:t>
      </w:r>
      <w:r>
        <w:rPr>
          <w:sz w:val="24"/>
        </w:rPr>
        <w:t>students</w:t>
      </w:r>
      <w:r>
        <w:rPr>
          <w:spacing w:val="-3"/>
          <w:sz w:val="24"/>
        </w:rPr>
        <w:t> </w:t>
      </w:r>
      <w:r>
        <w:rPr>
          <w:sz w:val="24"/>
        </w:rPr>
        <w:t>eligible</w:t>
      </w:r>
      <w:r>
        <w:rPr>
          <w:spacing w:val="-3"/>
          <w:sz w:val="24"/>
        </w:rPr>
        <w:t> </w:t>
      </w:r>
      <w:r>
        <w:rPr>
          <w:sz w:val="24"/>
        </w:rPr>
        <w:t>for</w:t>
      </w:r>
      <w:r>
        <w:rPr>
          <w:spacing w:val="-4"/>
          <w:sz w:val="24"/>
        </w:rPr>
        <w:t> </w:t>
      </w:r>
      <w:r>
        <w:rPr>
          <w:sz w:val="24"/>
        </w:rPr>
        <w:t>this</w:t>
      </w:r>
      <w:r>
        <w:rPr>
          <w:spacing w:val="-3"/>
          <w:sz w:val="24"/>
        </w:rPr>
        <w:t> </w:t>
      </w:r>
      <w:r>
        <w:rPr>
          <w:sz w:val="24"/>
        </w:rPr>
        <w:t>service</w:t>
      </w:r>
      <w:r>
        <w:rPr>
          <w:spacing w:val="-3"/>
          <w:sz w:val="24"/>
        </w:rPr>
        <w:t> </w:t>
      </w:r>
      <w:r>
        <w:rPr>
          <w:sz w:val="24"/>
        </w:rPr>
        <w:t>must</w:t>
      </w:r>
      <w:r>
        <w:rPr>
          <w:spacing w:val="-4"/>
          <w:sz w:val="24"/>
        </w:rPr>
        <w:t> </w:t>
      </w:r>
      <w:r>
        <w:rPr>
          <w:sz w:val="24"/>
        </w:rPr>
        <w:t>be</w:t>
      </w:r>
      <w:r>
        <w:rPr>
          <w:spacing w:val="-3"/>
          <w:sz w:val="24"/>
        </w:rPr>
        <w:t> </w:t>
      </w:r>
      <w:r>
        <w:rPr>
          <w:sz w:val="24"/>
        </w:rPr>
        <w:t>at</w:t>
      </w:r>
      <w:r>
        <w:rPr>
          <w:spacing w:val="-2"/>
          <w:sz w:val="24"/>
        </w:rPr>
        <w:t> </w:t>
      </w:r>
      <w:r>
        <w:rPr>
          <w:sz w:val="24"/>
        </w:rPr>
        <w:t>least</w:t>
      </w:r>
      <w:r>
        <w:rPr>
          <w:spacing w:val="-4"/>
          <w:sz w:val="24"/>
        </w:rPr>
        <w:t> </w:t>
      </w:r>
      <w:r>
        <w:rPr>
          <w:sz w:val="24"/>
        </w:rPr>
        <w:t>16</w:t>
      </w:r>
      <w:r>
        <w:rPr>
          <w:spacing w:val="-3"/>
          <w:sz w:val="24"/>
        </w:rPr>
        <w:t> </w:t>
      </w:r>
      <w:r>
        <w:rPr>
          <w:sz w:val="24"/>
        </w:rPr>
        <w:t>years</w:t>
      </w:r>
      <w:r>
        <w:rPr>
          <w:spacing w:val="-3"/>
          <w:sz w:val="24"/>
        </w:rPr>
        <w:t> </w:t>
      </w:r>
      <w:r>
        <w:rPr>
          <w:sz w:val="24"/>
        </w:rPr>
        <w:t>of</w:t>
      </w:r>
      <w:r>
        <w:rPr>
          <w:spacing w:val="-2"/>
          <w:sz w:val="24"/>
        </w:rPr>
        <w:t> </w:t>
      </w:r>
      <w:r>
        <w:rPr>
          <w:sz w:val="24"/>
        </w:rPr>
        <w:t>age</w:t>
      </w:r>
      <w:r>
        <w:rPr>
          <w:spacing w:val="-3"/>
          <w:sz w:val="24"/>
        </w:rPr>
        <w:t> </w:t>
      </w:r>
      <w:r>
        <w:rPr>
          <w:sz w:val="24"/>
        </w:rPr>
        <w:t>and</w:t>
      </w:r>
      <w:r>
        <w:rPr>
          <w:spacing w:val="-3"/>
          <w:sz w:val="24"/>
        </w:rPr>
        <w:t> </w:t>
      </w:r>
      <w:r>
        <w:rPr>
          <w:sz w:val="24"/>
        </w:rPr>
        <w:t>may not participate for more than 18 months unless client and counselor determine additional time is needed. </w:t>
      </w:r>
      <w:r>
        <w:rPr>
          <w:b/>
          <w:sz w:val="24"/>
        </w:rPr>
        <w:t>2</w:t>
      </w:r>
    </w:p>
    <w:p>
      <w:pPr>
        <w:pStyle w:val="BodyText"/>
        <w:spacing w:before="211"/>
        <w:ind w:left="359"/>
      </w:pPr>
      <w:r>
        <w:rPr/>
        <w:t>Instructions</w:t>
      </w:r>
      <w:r>
        <w:rPr>
          <w:spacing w:val="-5"/>
        </w:rPr>
        <w:t> </w:t>
      </w:r>
      <w:r>
        <w:rPr/>
        <w:t>to</w:t>
      </w:r>
      <w:r>
        <w:rPr>
          <w:spacing w:val="-2"/>
        </w:rPr>
        <w:t> </w:t>
      </w:r>
      <w:r>
        <w:rPr>
          <w:spacing w:val="-4"/>
        </w:rPr>
        <w:t>Staff</w:t>
      </w:r>
    </w:p>
    <w:p>
      <w:pPr>
        <w:pStyle w:val="ListParagraph"/>
        <w:numPr>
          <w:ilvl w:val="0"/>
          <w:numId w:val="203"/>
        </w:numPr>
        <w:tabs>
          <w:tab w:pos="692" w:val="left" w:leader="none"/>
        </w:tabs>
        <w:spacing w:line="240" w:lineRule="auto" w:before="204" w:after="0"/>
        <w:ind w:left="692" w:right="0" w:hanging="333"/>
        <w:jc w:val="left"/>
        <w:rPr>
          <w:sz w:val="24"/>
        </w:rPr>
      </w:pPr>
      <w:hyperlink w:history="true" w:anchor="_bookmark6">
        <w:r>
          <w:rPr>
            <w:color w:val="0000FF"/>
            <w:sz w:val="24"/>
            <w:u w:val="single" w:color="0000FF"/>
          </w:rPr>
          <w:t>612:10-3-3</w:t>
        </w:r>
      </w:hyperlink>
      <w:r>
        <w:rPr>
          <w:color w:val="0000FF"/>
          <w:spacing w:val="60"/>
          <w:sz w:val="24"/>
          <w:u w:val="none"/>
        </w:rPr>
        <w:t> </w:t>
      </w:r>
      <w:r>
        <w:rPr>
          <w:sz w:val="24"/>
          <w:u w:val="none"/>
        </w:rPr>
        <w:t>Participation</w:t>
      </w:r>
      <w:r>
        <w:rPr>
          <w:spacing w:val="-4"/>
          <w:sz w:val="24"/>
          <w:u w:val="none"/>
        </w:rPr>
        <w:t> </w:t>
      </w:r>
      <w:r>
        <w:rPr>
          <w:sz w:val="24"/>
          <w:u w:val="none"/>
        </w:rPr>
        <w:t>of</w:t>
      </w:r>
      <w:r>
        <w:rPr>
          <w:spacing w:val="-2"/>
          <w:sz w:val="24"/>
          <w:u w:val="none"/>
        </w:rPr>
        <w:t> </w:t>
      </w:r>
      <w:r>
        <w:rPr>
          <w:sz w:val="24"/>
          <w:u w:val="none"/>
        </w:rPr>
        <w:t>individuals</w:t>
      </w:r>
      <w:r>
        <w:rPr>
          <w:spacing w:val="-3"/>
          <w:sz w:val="24"/>
          <w:u w:val="none"/>
        </w:rPr>
        <w:t> </w:t>
      </w:r>
      <w:r>
        <w:rPr>
          <w:sz w:val="24"/>
          <w:u w:val="none"/>
        </w:rPr>
        <w:t>in</w:t>
      </w:r>
      <w:r>
        <w:rPr>
          <w:spacing w:val="-2"/>
          <w:sz w:val="24"/>
          <w:u w:val="none"/>
        </w:rPr>
        <w:t> </w:t>
      </w:r>
      <w:r>
        <w:rPr>
          <w:sz w:val="24"/>
          <w:u w:val="none"/>
        </w:rPr>
        <w:t>cost</w:t>
      </w:r>
      <w:r>
        <w:rPr>
          <w:spacing w:val="-3"/>
          <w:sz w:val="24"/>
          <w:u w:val="none"/>
        </w:rPr>
        <w:t> </w:t>
      </w:r>
      <w:r>
        <w:rPr>
          <w:sz w:val="24"/>
          <w:u w:val="none"/>
        </w:rPr>
        <w:t>of</w:t>
      </w:r>
      <w:r>
        <w:rPr>
          <w:spacing w:val="-4"/>
          <w:sz w:val="24"/>
          <w:u w:val="none"/>
        </w:rPr>
        <w:t> </w:t>
      </w:r>
      <w:r>
        <w:rPr>
          <w:sz w:val="24"/>
          <w:u w:val="none"/>
        </w:rPr>
        <w:t>services</w:t>
      </w:r>
      <w:r>
        <w:rPr>
          <w:spacing w:val="-3"/>
          <w:sz w:val="24"/>
          <w:u w:val="none"/>
        </w:rPr>
        <w:t> </w:t>
      </w:r>
      <w:r>
        <w:rPr>
          <w:sz w:val="24"/>
          <w:u w:val="none"/>
        </w:rPr>
        <w:t>based</w:t>
      </w:r>
      <w:r>
        <w:rPr>
          <w:spacing w:val="-3"/>
          <w:sz w:val="24"/>
          <w:u w:val="none"/>
        </w:rPr>
        <w:t> </w:t>
      </w:r>
      <w:r>
        <w:rPr>
          <w:sz w:val="24"/>
          <w:u w:val="none"/>
        </w:rPr>
        <w:t>on</w:t>
      </w:r>
      <w:r>
        <w:rPr>
          <w:spacing w:val="-4"/>
          <w:sz w:val="24"/>
          <w:u w:val="none"/>
        </w:rPr>
        <w:t> </w:t>
      </w:r>
      <w:r>
        <w:rPr>
          <w:sz w:val="24"/>
          <w:u w:val="none"/>
        </w:rPr>
        <w:t>financial</w:t>
      </w:r>
      <w:r>
        <w:rPr>
          <w:spacing w:val="-3"/>
          <w:sz w:val="24"/>
          <w:u w:val="none"/>
        </w:rPr>
        <w:t> </w:t>
      </w:r>
      <w:r>
        <w:rPr>
          <w:spacing w:val="-4"/>
          <w:sz w:val="24"/>
          <w:u w:val="none"/>
        </w:rPr>
        <w:t>need</w:t>
      </w:r>
    </w:p>
    <w:p>
      <w:pPr>
        <w:pStyle w:val="ListParagraph"/>
        <w:numPr>
          <w:ilvl w:val="0"/>
          <w:numId w:val="203"/>
        </w:numPr>
        <w:tabs>
          <w:tab w:pos="693" w:val="left" w:leader="none"/>
        </w:tabs>
        <w:spacing w:line="240" w:lineRule="auto" w:before="204" w:after="0"/>
        <w:ind w:left="693" w:right="0" w:hanging="333"/>
        <w:jc w:val="left"/>
        <w:rPr>
          <w:sz w:val="24"/>
        </w:rPr>
      </w:pPr>
      <w:r>
        <w:rPr>
          <w:sz w:val="24"/>
        </w:rPr>
        <w:t>Link</w:t>
      </w:r>
      <w:r>
        <w:rPr>
          <w:spacing w:val="-7"/>
          <w:sz w:val="24"/>
        </w:rPr>
        <w:t> </w:t>
      </w:r>
      <w:r>
        <w:rPr>
          <w:sz w:val="24"/>
        </w:rPr>
        <w:t>to</w:t>
      </w:r>
      <w:r>
        <w:rPr>
          <w:spacing w:val="-5"/>
          <w:sz w:val="24"/>
        </w:rPr>
        <w:t> </w:t>
      </w:r>
      <w:hyperlink r:id="rId58">
        <w:r>
          <w:rPr>
            <w:color w:val="0000FF"/>
            <w:sz w:val="24"/>
            <w:u w:val="single" w:color="0000FF"/>
          </w:rPr>
          <w:t>Work</w:t>
        </w:r>
        <w:r>
          <w:rPr>
            <w:color w:val="0000FF"/>
            <w:spacing w:val="-5"/>
            <w:sz w:val="24"/>
            <w:u w:val="single" w:color="0000FF"/>
          </w:rPr>
          <w:t> </w:t>
        </w:r>
        <w:r>
          <w:rPr>
            <w:color w:val="0000FF"/>
            <w:sz w:val="24"/>
            <w:u w:val="single" w:color="0000FF"/>
          </w:rPr>
          <w:t>Adjustment</w:t>
        </w:r>
        <w:r>
          <w:rPr>
            <w:color w:val="0000FF"/>
            <w:spacing w:val="-3"/>
            <w:sz w:val="24"/>
            <w:u w:val="single" w:color="0000FF"/>
          </w:rPr>
          <w:t> </w:t>
        </w:r>
        <w:r>
          <w:rPr>
            <w:color w:val="0000FF"/>
            <w:sz w:val="24"/>
            <w:u w:val="single" w:color="0000FF"/>
          </w:rPr>
          <w:t>Training-Transition</w:t>
        </w:r>
        <w:r>
          <w:rPr>
            <w:color w:val="0000FF"/>
            <w:spacing w:val="-5"/>
            <w:sz w:val="24"/>
            <w:u w:val="single" w:color="0000FF"/>
          </w:rPr>
          <w:t> </w:t>
        </w:r>
        <w:r>
          <w:rPr>
            <w:color w:val="0000FF"/>
            <w:sz w:val="24"/>
            <w:u w:val="single" w:color="0000FF"/>
          </w:rPr>
          <w:t>Guidance</w:t>
        </w:r>
        <w:r>
          <w:rPr>
            <w:color w:val="0000FF"/>
            <w:spacing w:val="-4"/>
            <w:sz w:val="24"/>
            <w:u w:val="single" w:color="0000FF"/>
          </w:rPr>
          <w:t> </w:t>
        </w:r>
        <w:r>
          <w:rPr>
            <w:color w:val="0000FF"/>
            <w:spacing w:val="-2"/>
            <w:sz w:val="24"/>
            <w:u w:val="single" w:color="0000FF"/>
          </w:rPr>
          <w:t>Document</w:t>
        </w:r>
      </w:hyperlink>
      <w:r>
        <w:rPr>
          <w:spacing w:val="-2"/>
          <w:sz w:val="24"/>
          <w:u w:val="none"/>
        </w:rPr>
        <w:t>.</w:t>
      </w:r>
    </w:p>
    <w:p>
      <w:pPr>
        <w:spacing w:before="237"/>
        <w:ind w:left="360" w:right="0" w:firstLine="0"/>
        <w:jc w:val="left"/>
        <w:rPr>
          <w:sz w:val="22"/>
        </w:rPr>
      </w:pPr>
      <w:r>
        <w:rPr>
          <w:sz w:val="22"/>
        </w:rPr>
        <w:t>Section</w:t>
      </w:r>
      <w:r>
        <w:rPr>
          <w:spacing w:val="-9"/>
          <w:sz w:val="22"/>
        </w:rPr>
        <w:t> </w:t>
      </w:r>
      <w:r>
        <w:rPr>
          <w:spacing w:val="-2"/>
          <w:sz w:val="22"/>
        </w:rPr>
        <w:t>History</w:t>
      </w:r>
    </w:p>
    <w:p>
      <w:pPr>
        <w:spacing w:after="0"/>
        <w:jc w:val="left"/>
        <w:rPr>
          <w:sz w:val="22"/>
        </w:rPr>
        <w:sectPr>
          <w:pgSz w:w="12240" w:h="15840"/>
          <w:pgMar w:top="1340" w:bottom="280" w:left="1080" w:right="720"/>
        </w:sectPr>
      </w:pPr>
    </w:p>
    <w:p>
      <w:pPr>
        <w:tabs>
          <w:tab w:pos="1439" w:val="left" w:leader="none"/>
        </w:tabs>
        <w:spacing w:before="8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1673" w:firstLine="0"/>
        <w:jc w:val="left"/>
        <w:rPr>
          <w:sz w:val="22"/>
        </w:rPr>
      </w:pPr>
      <w:r>
        <w:rPr>
          <w:sz w:val="22"/>
        </w:rPr>
        <w:t>Permanent,</w:t>
      </w:r>
      <w:r>
        <w:rPr>
          <w:spacing w:val="-3"/>
          <w:sz w:val="22"/>
        </w:rPr>
        <w:t> </w:t>
      </w:r>
      <w:r>
        <w:rPr>
          <w:sz w:val="22"/>
        </w:rPr>
        <w:t>first</w:t>
      </w:r>
      <w:r>
        <w:rPr>
          <w:spacing w:val="-4"/>
          <w:sz w:val="22"/>
        </w:rPr>
        <w:t> </w:t>
      </w:r>
      <w:r>
        <w:rPr>
          <w:sz w:val="22"/>
        </w:rPr>
        <w:t>adoption</w:t>
      </w:r>
      <w:r>
        <w:rPr>
          <w:spacing w:val="-4"/>
          <w:sz w:val="22"/>
        </w:rPr>
        <w:t> </w:t>
      </w:r>
      <w:r>
        <w:rPr>
          <w:sz w:val="22"/>
        </w:rPr>
        <w:t>under</w:t>
      </w:r>
      <w:r>
        <w:rPr>
          <w:spacing w:val="-4"/>
          <w:sz w:val="22"/>
        </w:rPr>
        <w:t> </w:t>
      </w:r>
      <w:r>
        <w:rPr>
          <w:sz w:val="22"/>
        </w:rPr>
        <w:t>OAC</w:t>
      </w:r>
      <w:r>
        <w:rPr>
          <w:spacing w:val="-5"/>
          <w:sz w:val="22"/>
        </w:rPr>
        <w:t> </w:t>
      </w:r>
      <w:r>
        <w:rPr>
          <w:sz w:val="22"/>
        </w:rPr>
        <w:t>Title</w:t>
      </w:r>
      <w:r>
        <w:rPr>
          <w:spacing w:val="-4"/>
          <w:sz w:val="22"/>
        </w:rPr>
        <w:t> </w:t>
      </w:r>
      <w:r>
        <w:rPr>
          <w:sz w:val="22"/>
        </w:rPr>
        <w:t>612,</w:t>
      </w:r>
      <w:r>
        <w:rPr>
          <w:spacing w:val="-5"/>
          <w:sz w:val="22"/>
        </w:rPr>
        <w:t> </w:t>
      </w:r>
      <w:r>
        <w:rPr>
          <w:sz w:val="22"/>
        </w:rPr>
        <w:t>added</w:t>
      </w:r>
      <w:r>
        <w:rPr>
          <w:spacing w:val="-4"/>
          <w:sz w:val="22"/>
        </w:rPr>
        <w:t> </w:t>
      </w:r>
      <w:r>
        <w:rPr>
          <w:sz w:val="22"/>
        </w:rPr>
        <w:t>requirement</w:t>
      </w:r>
      <w:r>
        <w:rPr>
          <w:spacing w:val="-4"/>
          <w:sz w:val="22"/>
        </w:rPr>
        <w:t> </w:t>
      </w:r>
      <w:r>
        <w:rPr>
          <w:sz w:val="22"/>
        </w:rPr>
        <w:t>for</w:t>
      </w:r>
      <w:r>
        <w:rPr>
          <w:spacing w:val="-4"/>
          <w:sz w:val="22"/>
        </w:rPr>
        <w:t> </w:t>
      </w:r>
      <w:r>
        <w:rPr>
          <w:sz w:val="22"/>
        </w:rPr>
        <w:t>title </w:t>
      </w:r>
      <w:r>
        <w:rPr>
          <w:spacing w:val="-2"/>
          <w:sz w:val="22"/>
        </w:rPr>
        <w:t>agreement</w:t>
      </w:r>
    </w:p>
    <w:p>
      <w:pPr>
        <w:tabs>
          <w:tab w:pos="1439" w:val="left" w:leader="none"/>
        </w:tabs>
        <w:spacing w:before="0"/>
        <w:ind w:left="359" w:right="0" w:firstLine="0"/>
        <w:jc w:val="left"/>
        <w:rPr>
          <w:sz w:val="22"/>
        </w:rPr>
      </w:pPr>
      <w:r>
        <w:rPr>
          <w:spacing w:val="-2"/>
          <w:sz w:val="22"/>
        </w:rPr>
        <w:t>10-1-</w:t>
      </w:r>
      <w:r>
        <w:rPr>
          <w:spacing w:val="-5"/>
          <w:sz w:val="22"/>
        </w:rPr>
        <w:t>97</w:t>
      </w:r>
      <w:r>
        <w:rPr>
          <w:sz w:val="22"/>
        </w:rPr>
        <w:tab/>
        <w:t>PT</w:t>
      </w:r>
      <w:r>
        <w:rPr>
          <w:spacing w:val="-8"/>
          <w:sz w:val="22"/>
        </w:rPr>
        <w:t> </w:t>
      </w:r>
      <w:r>
        <w:rPr>
          <w:sz w:val="22"/>
        </w:rPr>
        <w:t>Memo</w:t>
      </w:r>
      <w:r>
        <w:rPr>
          <w:spacing w:val="-8"/>
          <w:sz w:val="22"/>
        </w:rPr>
        <w:t> </w:t>
      </w:r>
      <w:r>
        <w:rPr>
          <w:sz w:val="22"/>
        </w:rPr>
        <w:t>#98-</w:t>
      </w:r>
      <w:r>
        <w:rPr>
          <w:spacing w:val="-10"/>
          <w:sz w:val="22"/>
        </w:rPr>
        <w:t>4</w:t>
      </w:r>
    </w:p>
    <w:p>
      <w:pPr>
        <w:tabs>
          <w:tab w:pos="1439" w:val="left" w:leader="none"/>
        </w:tabs>
        <w:spacing w:before="0"/>
        <w:ind w:left="359" w:right="762" w:firstLine="1080"/>
        <w:jc w:val="left"/>
        <w:rPr>
          <w:sz w:val="22"/>
        </w:rPr>
      </w:pPr>
      <w:r>
        <w:rPr>
          <w:sz w:val="22"/>
        </w:rPr>
        <w:t>Emergency,</w:t>
      </w:r>
      <w:r>
        <w:rPr>
          <w:spacing w:val="-6"/>
          <w:sz w:val="22"/>
        </w:rPr>
        <w:t> </w:t>
      </w:r>
      <w:r>
        <w:rPr>
          <w:sz w:val="22"/>
        </w:rPr>
        <w:t>changed</w:t>
      </w:r>
      <w:r>
        <w:rPr>
          <w:spacing w:val="-6"/>
          <w:sz w:val="22"/>
        </w:rPr>
        <w:t> </w:t>
      </w:r>
      <w:r>
        <w:rPr>
          <w:sz w:val="22"/>
        </w:rPr>
        <w:t>'Sheltered</w:t>
      </w:r>
      <w:r>
        <w:rPr>
          <w:spacing w:val="-6"/>
          <w:sz w:val="22"/>
        </w:rPr>
        <w:t> </w:t>
      </w:r>
      <w:r>
        <w:rPr>
          <w:sz w:val="22"/>
        </w:rPr>
        <w:t>Workshops'</w:t>
      </w:r>
      <w:r>
        <w:rPr>
          <w:spacing w:val="-6"/>
          <w:sz w:val="22"/>
        </w:rPr>
        <w:t> </w:t>
      </w:r>
      <w:r>
        <w:rPr>
          <w:sz w:val="22"/>
        </w:rPr>
        <w:t>to</w:t>
      </w:r>
      <w:r>
        <w:rPr>
          <w:spacing w:val="-6"/>
          <w:sz w:val="22"/>
        </w:rPr>
        <w:t> </w:t>
      </w:r>
      <w:r>
        <w:rPr>
          <w:sz w:val="22"/>
        </w:rPr>
        <w:t>'Community</w:t>
      </w:r>
      <w:r>
        <w:rPr>
          <w:spacing w:val="-6"/>
          <w:sz w:val="22"/>
        </w:rPr>
        <w:t> </w:t>
      </w:r>
      <w:r>
        <w:rPr>
          <w:sz w:val="22"/>
        </w:rPr>
        <w:t>Rehabilitation</w:t>
      </w:r>
      <w:r>
        <w:rPr>
          <w:spacing w:val="-6"/>
          <w:sz w:val="22"/>
        </w:rPr>
        <w:t> </w:t>
      </w:r>
      <w:r>
        <w:rPr>
          <w:sz w:val="22"/>
        </w:rPr>
        <w:t>Programs' </w:t>
      </w:r>
      <w:r>
        <w:rPr>
          <w:spacing w:val="-2"/>
          <w:sz w:val="22"/>
        </w:rPr>
        <w:t>7-1-98</w:t>
      </w:r>
      <w:r>
        <w:rPr>
          <w:sz w:val="22"/>
        </w:rPr>
        <w:tab/>
        <w:t>PT Memo #98-15</w:t>
      </w:r>
    </w:p>
    <w:p>
      <w:pPr>
        <w:spacing w:before="0"/>
        <w:ind w:left="1439" w:right="775" w:firstLine="0"/>
        <w:jc w:val="left"/>
        <w:rPr>
          <w:sz w:val="22"/>
        </w:rPr>
      </w:pPr>
      <w:r>
        <w:rPr>
          <w:sz w:val="22"/>
        </w:rPr>
        <w:t>Makes</w:t>
      </w:r>
      <w:r>
        <w:rPr>
          <w:spacing w:val="-5"/>
          <w:sz w:val="22"/>
        </w:rPr>
        <w:t> </w:t>
      </w:r>
      <w:r>
        <w:rPr>
          <w:sz w:val="22"/>
        </w:rPr>
        <w:t>emergency</w:t>
      </w:r>
      <w:r>
        <w:rPr>
          <w:spacing w:val="-5"/>
          <w:sz w:val="22"/>
        </w:rPr>
        <w:t> </w:t>
      </w:r>
      <w:r>
        <w:rPr>
          <w:sz w:val="22"/>
        </w:rPr>
        <w:t>rules</w:t>
      </w:r>
      <w:r>
        <w:rPr>
          <w:spacing w:val="-6"/>
          <w:sz w:val="22"/>
        </w:rPr>
        <w:t> </w:t>
      </w:r>
      <w:r>
        <w:rPr>
          <w:sz w:val="22"/>
        </w:rPr>
        <w:t>issued</w:t>
      </w:r>
      <w:r>
        <w:rPr>
          <w:spacing w:val="-5"/>
          <w:sz w:val="22"/>
        </w:rPr>
        <w:t> </w:t>
      </w:r>
      <w:r>
        <w:rPr>
          <w:sz w:val="22"/>
        </w:rPr>
        <w:t>10-1-97</w:t>
      </w:r>
      <w:r>
        <w:rPr>
          <w:spacing w:val="-5"/>
          <w:sz w:val="22"/>
        </w:rPr>
        <w:t> </w:t>
      </w:r>
      <w:r>
        <w:rPr>
          <w:sz w:val="22"/>
        </w:rPr>
        <w:t>permanent,</w:t>
      </w:r>
      <w:r>
        <w:rPr>
          <w:spacing w:val="-5"/>
          <w:sz w:val="22"/>
        </w:rPr>
        <w:t> </w:t>
      </w:r>
      <w:r>
        <w:rPr>
          <w:sz w:val="22"/>
        </w:rPr>
        <w:t>took</w:t>
      </w:r>
      <w:r>
        <w:rPr>
          <w:spacing w:val="-5"/>
          <w:sz w:val="22"/>
        </w:rPr>
        <w:t> </w:t>
      </w:r>
      <w:r>
        <w:rPr>
          <w:sz w:val="22"/>
        </w:rPr>
        <w:t>out</w:t>
      </w:r>
      <w:r>
        <w:rPr>
          <w:spacing w:val="-5"/>
          <w:sz w:val="22"/>
        </w:rPr>
        <w:t> </w:t>
      </w:r>
      <w:r>
        <w:rPr>
          <w:sz w:val="22"/>
        </w:rPr>
        <w:t>'sheltered</w:t>
      </w:r>
      <w:r>
        <w:rPr>
          <w:spacing w:val="-5"/>
          <w:sz w:val="22"/>
        </w:rPr>
        <w:t> </w:t>
      </w:r>
      <w:r>
        <w:rPr>
          <w:sz w:val="22"/>
        </w:rPr>
        <w:t>workshop' which is now an obsolete term</w:t>
      </w:r>
    </w:p>
    <w:p>
      <w:pPr>
        <w:pStyle w:val="ListParagraph"/>
        <w:numPr>
          <w:ilvl w:val="2"/>
          <w:numId w:val="204"/>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#10-</w:t>
      </w:r>
      <w:r>
        <w:rPr>
          <w:spacing w:val="-5"/>
          <w:sz w:val="22"/>
        </w:rPr>
        <w:t>02</w:t>
      </w:r>
    </w:p>
    <w:p>
      <w:pPr>
        <w:spacing w:before="0"/>
        <w:ind w:left="1439" w:right="0" w:firstLine="0"/>
        <w:jc w:val="left"/>
        <w:rPr>
          <w:sz w:val="22"/>
        </w:rPr>
      </w:pPr>
      <w:r>
        <w:rPr>
          <w:sz w:val="22"/>
        </w:rPr>
        <w:t>Permanent,</w:t>
      </w:r>
      <w:r>
        <w:rPr>
          <w:spacing w:val="-10"/>
          <w:sz w:val="22"/>
        </w:rPr>
        <w:t> </w:t>
      </w:r>
      <w:r>
        <w:rPr>
          <w:sz w:val="22"/>
        </w:rPr>
        <w:t>updating</w:t>
      </w:r>
      <w:r>
        <w:rPr>
          <w:spacing w:val="-11"/>
          <w:sz w:val="22"/>
        </w:rPr>
        <w:t> </w:t>
      </w:r>
      <w:r>
        <w:rPr>
          <w:spacing w:val="-2"/>
          <w:sz w:val="22"/>
        </w:rPr>
        <w:t>language.</w:t>
      </w:r>
    </w:p>
    <w:p>
      <w:pPr>
        <w:pStyle w:val="ListParagraph"/>
        <w:numPr>
          <w:ilvl w:val="2"/>
          <w:numId w:val="204"/>
        </w:numPr>
        <w:tabs>
          <w:tab w:pos="1439" w:val="left" w:leader="none"/>
        </w:tabs>
        <w:spacing w:line="253"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line="253" w:lineRule="exact" w:before="0"/>
        <w:ind w:left="1439" w:right="0" w:firstLine="0"/>
        <w:jc w:val="left"/>
        <w:rPr>
          <w:sz w:val="22"/>
        </w:rPr>
      </w:pPr>
      <w:r>
        <w:rPr>
          <w:sz w:val="22"/>
        </w:rPr>
        <w:t>Permanent,</w:t>
      </w:r>
      <w:r>
        <w:rPr>
          <w:spacing w:val="-11"/>
          <w:sz w:val="22"/>
        </w:rPr>
        <w:t> </w:t>
      </w:r>
      <w:r>
        <w:rPr>
          <w:sz w:val="22"/>
        </w:rPr>
        <w:t>clarifying</w:t>
      </w:r>
      <w:r>
        <w:rPr>
          <w:spacing w:val="-12"/>
          <w:sz w:val="22"/>
        </w:rPr>
        <w:t> </w:t>
      </w:r>
      <w:r>
        <w:rPr>
          <w:spacing w:val="-2"/>
          <w:sz w:val="22"/>
        </w:rPr>
        <w:t>language</w:t>
      </w:r>
    </w:p>
    <w:p>
      <w:pPr>
        <w:pStyle w:val="ListParagraph"/>
        <w:numPr>
          <w:ilvl w:val="2"/>
          <w:numId w:val="204"/>
        </w:numPr>
        <w:tabs>
          <w:tab w:pos="1439" w:val="left" w:leader="none"/>
        </w:tabs>
        <w:spacing w:line="240" w:lineRule="auto" w:before="0" w:after="0"/>
        <w:ind w:left="359" w:right="829" w:firstLine="0"/>
        <w:jc w:val="left"/>
        <w:rPr>
          <w:sz w:val="22"/>
        </w:rPr>
      </w:pPr>
      <w:r>
        <w:rPr>
          <w:sz w:val="22"/>
        </w:rPr>
        <w:t>Permanent,</w:t>
      </w:r>
      <w:r>
        <w:rPr>
          <w:spacing w:val="-4"/>
          <w:sz w:val="22"/>
        </w:rPr>
        <w:t> </w:t>
      </w:r>
      <w:r>
        <w:rPr>
          <w:sz w:val="22"/>
        </w:rPr>
        <w:t>added</w:t>
      </w:r>
      <w:r>
        <w:rPr>
          <w:spacing w:val="-5"/>
          <w:sz w:val="22"/>
        </w:rPr>
        <w:t> </w:t>
      </w:r>
      <w:r>
        <w:rPr>
          <w:sz w:val="22"/>
        </w:rPr>
        <w:t>link</w:t>
      </w:r>
      <w:r>
        <w:rPr>
          <w:spacing w:val="-5"/>
          <w:sz w:val="22"/>
        </w:rPr>
        <w:t> </w:t>
      </w:r>
      <w:r>
        <w:rPr>
          <w:sz w:val="22"/>
        </w:rPr>
        <w:t>to</w:t>
      </w:r>
      <w:r>
        <w:rPr>
          <w:spacing w:val="-5"/>
          <w:sz w:val="22"/>
        </w:rPr>
        <w:t> </w:t>
      </w:r>
      <w:r>
        <w:rPr>
          <w:sz w:val="22"/>
        </w:rPr>
        <w:t>Work</w:t>
      </w:r>
      <w:r>
        <w:rPr>
          <w:spacing w:val="-5"/>
          <w:sz w:val="22"/>
        </w:rPr>
        <w:t> </w:t>
      </w:r>
      <w:r>
        <w:rPr>
          <w:sz w:val="22"/>
        </w:rPr>
        <w:t>Adjustment</w:t>
      </w:r>
      <w:r>
        <w:rPr>
          <w:spacing w:val="-5"/>
          <w:sz w:val="22"/>
        </w:rPr>
        <w:t> </w:t>
      </w:r>
      <w:r>
        <w:rPr>
          <w:sz w:val="22"/>
        </w:rPr>
        <w:t>Training-Transition</w:t>
      </w:r>
      <w:r>
        <w:rPr>
          <w:spacing w:val="-5"/>
          <w:sz w:val="22"/>
        </w:rPr>
        <w:t> </w:t>
      </w:r>
      <w:r>
        <w:rPr>
          <w:sz w:val="22"/>
        </w:rPr>
        <w:t>Guidance</w:t>
      </w:r>
      <w:r>
        <w:rPr>
          <w:spacing w:val="-5"/>
          <w:sz w:val="22"/>
        </w:rPr>
        <w:t> </w:t>
      </w:r>
      <w:r>
        <w:rPr>
          <w:sz w:val="22"/>
        </w:rPr>
        <w:t>document. </w:t>
      </w:r>
      <w:r>
        <w:rPr>
          <w:spacing w:val="-2"/>
          <w:sz w:val="22"/>
        </w:rPr>
        <w:t>8-11-24</w:t>
      </w:r>
      <w:r>
        <w:rPr>
          <w:sz w:val="22"/>
        </w:rPr>
        <w:tab/>
        <w:t>Language revision under section (b) changing the amount of time a high school</w:t>
      </w:r>
    </w:p>
    <w:p>
      <w:pPr>
        <w:spacing w:before="1"/>
        <w:ind w:left="1439" w:right="775" w:firstLine="0"/>
        <w:jc w:val="left"/>
        <w:rPr>
          <w:sz w:val="22"/>
        </w:rPr>
      </w:pPr>
      <w:r>
        <w:rPr>
          <w:sz w:val="22"/>
        </w:rPr>
        <w:t>student</w:t>
      </w:r>
      <w:r>
        <w:rPr>
          <w:spacing w:val="-3"/>
          <w:sz w:val="22"/>
        </w:rPr>
        <w:t> </w:t>
      </w:r>
      <w:r>
        <w:rPr>
          <w:sz w:val="22"/>
        </w:rPr>
        <w:t>can</w:t>
      </w:r>
      <w:r>
        <w:rPr>
          <w:spacing w:val="-4"/>
          <w:sz w:val="22"/>
        </w:rPr>
        <w:t> </w:t>
      </w:r>
      <w:r>
        <w:rPr>
          <w:sz w:val="22"/>
        </w:rPr>
        <w:t>participate</w:t>
      </w:r>
      <w:r>
        <w:rPr>
          <w:spacing w:val="-4"/>
          <w:sz w:val="22"/>
        </w:rPr>
        <w:t> </w:t>
      </w:r>
      <w:r>
        <w:rPr>
          <w:sz w:val="22"/>
        </w:rPr>
        <w:t>in</w:t>
      </w:r>
      <w:r>
        <w:rPr>
          <w:spacing w:val="-3"/>
          <w:sz w:val="22"/>
        </w:rPr>
        <w:t> </w:t>
      </w:r>
      <w:r>
        <w:rPr>
          <w:sz w:val="22"/>
        </w:rPr>
        <w:t>personal</w:t>
      </w:r>
      <w:r>
        <w:rPr>
          <w:spacing w:val="-3"/>
          <w:sz w:val="22"/>
        </w:rPr>
        <w:t> </w:t>
      </w:r>
      <w:r>
        <w:rPr>
          <w:sz w:val="22"/>
        </w:rPr>
        <w:t>and</w:t>
      </w:r>
      <w:r>
        <w:rPr>
          <w:spacing w:val="-3"/>
          <w:sz w:val="22"/>
        </w:rPr>
        <w:t> </w:t>
      </w:r>
      <w:r>
        <w:rPr>
          <w:sz w:val="22"/>
        </w:rPr>
        <w:t>work</w:t>
      </w:r>
      <w:r>
        <w:rPr>
          <w:spacing w:val="-3"/>
          <w:sz w:val="22"/>
        </w:rPr>
        <w:t> </w:t>
      </w:r>
      <w:r>
        <w:rPr>
          <w:sz w:val="22"/>
        </w:rPr>
        <w:t>adjustment</w:t>
      </w:r>
      <w:r>
        <w:rPr>
          <w:spacing w:val="-3"/>
          <w:sz w:val="22"/>
        </w:rPr>
        <w:t> </w:t>
      </w:r>
      <w:r>
        <w:rPr>
          <w:sz w:val="22"/>
        </w:rPr>
        <w:t>training</w:t>
      </w:r>
      <w:r>
        <w:rPr>
          <w:spacing w:val="-3"/>
          <w:sz w:val="22"/>
        </w:rPr>
        <w:t> </w:t>
      </w:r>
      <w:r>
        <w:rPr>
          <w:sz w:val="22"/>
        </w:rPr>
        <w:t>from</w:t>
      </w:r>
      <w:r>
        <w:rPr>
          <w:spacing w:val="-4"/>
          <w:sz w:val="22"/>
        </w:rPr>
        <w:t> </w:t>
      </w:r>
      <w:r>
        <w:rPr>
          <w:sz w:val="22"/>
        </w:rPr>
        <w:t>“18”</w:t>
      </w:r>
      <w:r>
        <w:rPr>
          <w:spacing w:val="-3"/>
          <w:sz w:val="22"/>
        </w:rPr>
        <w:t> </w:t>
      </w:r>
      <w:r>
        <w:rPr>
          <w:sz w:val="22"/>
        </w:rPr>
        <w:t>to</w:t>
      </w:r>
      <w:r>
        <w:rPr>
          <w:spacing w:val="-3"/>
          <w:sz w:val="22"/>
        </w:rPr>
        <w:t> </w:t>
      </w:r>
      <w:r>
        <w:rPr>
          <w:sz w:val="22"/>
        </w:rPr>
        <w:t>“24” </w:t>
      </w:r>
      <w:r>
        <w:rPr>
          <w:spacing w:val="-2"/>
          <w:sz w:val="22"/>
        </w:rPr>
        <w:t>months.</w:t>
      </w:r>
    </w:p>
    <w:p>
      <w:pPr>
        <w:spacing w:after="0"/>
        <w:jc w:val="left"/>
        <w:rPr>
          <w:sz w:val="22"/>
        </w:rPr>
        <w:sectPr>
          <w:pgSz w:w="12240" w:h="15840"/>
          <w:pgMar w:top="1360" w:bottom="280" w:left="1080" w:right="720"/>
        </w:sectPr>
      </w:pPr>
    </w:p>
    <w:p>
      <w:pPr>
        <w:pStyle w:val="Heading2"/>
      </w:pPr>
      <w:bookmarkStart w:name="612:10-7-165.  Distance Education" w:id="185"/>
      <w:bookmarkEnd w:id="185"/>
      <w:r>
        <w:rPr>
          <w:b w:val="0"/>
        </w:rPr>
      </w:r>
      <w:r>
        <w:rPr/>
        <w:t>612:10-7-165.</w:t>
      </w:r>
      <w:r>
        <w:rPr>
          <w:spacing w:val="57"/>
        </w:rPr>
        <w:t> </w:t>
      </w:r>
      <w:r>
        <w:rPr/>
        <w:t>Distance</w:t>
      </w:r>
      <w:r>
        <w:rPr>
          <w:spacing w:val="-5"/>
        </w:rPr>
        <w:t> </w:t>
      </w:r>
      <w:r>
        <w:rPr>
          <w:spacing w:val="-2"/>
        </w:rPr>
        <w:t>Education</w:t>
      </w:r>
    </w:p>
    <w:p>
      <w:pPr>
        <w:pStyle w:val="BodyText"/>
        <w:spacing w:line="208" w:lineRule="auto" w:before="233"/>
        <w:ind w:right="775" w:firstLine="432"/>
      </w:pPr>
      <w:r>
        <w:rPr/>
        <w:t>Distance</w:t>
      </w:r>
      <w:r>
        <w:rPr>
          <w:spacing w:val="-5"/>
        </w:rPr>
        <w:t> </w:t>
      </w:r>
      <w:r>
        <w:rPr/>
        <w:t>Education</w:t>
      </w:r>
      <w:r>
        <w:rPr>
          <w:spacing w:val="-5"/>
        </w:rPr>
        <w:t> </w:t>
      </w:r>
      <w:r>
        <w:rPr/>
        <w:t>includes</w:t>
      </w:r>
      <w:r>
        <w:rPr>
          <w:spacing w:val="-5"/>
        </w:rPr>
        <w:t> </w:t>
      </w:r>
      <w:r>
        <w:rPr/>
        <w:t>but</w:t>
      </w:r>
      <w:r>
        <w:rPr>
          <w:spacing w:val="-4"/>
        </w:rPr>
        <w:t> </w:t>
      </w:r>
      <w:r>
        <w:rPr/>
        <w:t>is</w:t>
      </w:r>
      <w:r>
        <w:rPr>
          <w:spacing w:val="-5"/>
        </w:rPr>
        <w:t> </w:t>
      </w:r>
      <w:r>
        <w:rPr/>
        <w:t>not</w:t>
      </w:r>
      <w:r>
        <w:rPr>
          <w:spacing w:val="-4"/>
        </w:rPr>
        <w:t> </w:t>
      </w:r>
      <w:r>
        <w:rPr/>
        <w:t>limited</w:t>
      </w:r>
      <w:r>
        <w:rPr>
          <w:spacing w:val="-5"/>
        </w:rPr>
        <w:t> </w:t>
      </w:r>
      <w:r>
        <w:rPr/>
        <w:t>to</w:t>
      </w:r>
      <w:r>
        <w:rPr>
          <w:spacing w:val="-5"/>
        </w:rPr>
        <w:t> </w:t>
      </w:r>
      <w:r>
        <w:rPr/>
        <w:t>internet</w:t>
      </w:r>
      <w:r>
        <w:rPr>
          <w:spacing w:val="-4"/>
        </w:rPr>
        <w:t> </w:t>
      </w:r>
      <w:r>
        <w:rPr/>
        <w:t>training,</w:t>
      </w:r>
      <w:r>
        <w:rPr>
          <w:spacing w:val="-4"/>
        </w:rPr>
        <w:t> </w:t>
      </w:r>
      <w:r>
        <w:rPr/>
        <w:t>correspondence training and talkback TV.</w:t>
      </w:r>
    </w:p>
    <w:p>
      <w:pPr>
        <w:pStyle w:val="ListParagraph"/>
        <w:numPr>
          <w:ilvl w:val="3"/>
          <w:numId w:val="204"/>
        </w:numPr>
        <w:tabs>
          <w:tab w:pos="1217" w:val="left" w:leader="none"/>
        </w:tabs>
        <w:spacing w:line="208" w:lineRule="auto" w:before="240" w:after="0"/>
        <w:ind w:left="791" w:right="1014" w:firstLine="0"/>
        <w:jc w:val="left"/>
        <w:rPr>
          <w:sz w:val="24"/>
        </w:rPr>
      </w:pPr>
      <w:r>
        <w:rPr>
          <w:sz w:val="24"/>
        </w:rPr>
        <w:t>Distance</w:t>
      </w:r>
      <w:r>
        <w:rPr>
          <w:spacing w:val="-4"/>
          <w:sz w:val="24"/>
        </w:rPr>
        <w:t> </w:t>
      </w:r>
      <w:r>
        <w:rPr>
          <w:sz w:val="24"/>
        </w:rPr>
        <w:t>education</w:t>
      </w:r>
      <w:r>
        <w:rPr>
          <w:spacing w:val="-4"/>
          <w:sz w:val="24"/>
        </w:rPr>
        <w:t> </w:t>
      </w:r>
      <w:r>
        <w:rPr>
          <w:sz w:val="24"/>
        </w:rPr>
        <w:t>may</w:t>
      </w:r>
      <w:r>
        <w:rPr>
          <w:spacing w:val="-4"/>
          <w:sz w:val="24"/>
        </w:rPr>
        <w:t> </w:t>
      </w:r>
      <w:r>
        <w:rPr>
          <w:sz w:val="24"/>
        </w:rPr>
        <w:t>be</w:t>
      </w:r>
      <w:r>
        <w:rPr>
          <w:spacing w:val="-4"/>
          <w:sz w:val="24"/>
        </w:rPr>
        <w:t> </w:t>
      </w:r>
      <w:r>
        <w:rPr>
          <w:sz w:val="24"/>
        </w:rPr>
        <w:t>provided</w:t>
      </w:r>
      <w:r>
        <w:rPr>
          <w:spacing w:val="-4"/>
          <w:sz w:val="24"/>
        </w:rPr>
        <w:t> </w:t>
      </w:r>
      <w:r>
        <w:rPr>
          <w:sz w:val="24"/>
        </w:rPr>
        <w:t>if</w:t>
      </w:r>
      <w:r>
        <w:rPr>
          <w:spacing w:val="-3"/>
          <w:sz w:val="24"/>
        </w:rPr>
        <w:t> </w:t>
      </w:r>
      <w:r>
        <w:rPr>
          <w:sz w:val="24"/>
        </w:rPr>
        <w:t>the</w:t>
      </w:r>
      <w:r>
        <w:rPr>
          <w:spacing w:val="-4"/>
          <w:sz w:val="24"/>
        </w:rPr>
        <w:t> </w:t>
      </w:r>
      <w:r>
        <w:rPr>
          <w:sz w:val="24"/>
        </w:rPr>
        <w:t>client</w:t>
      </w:r>
      <w:r>
        <w:rPr>
          <w:spacing w:val="-3"/>
          <w:sz w:val="24"/>
        </w:rPr>
        <w:t> </w:t>
      </w:r>
      <w:r>
        <w:rPr>
          <w:sz w:val="24"/>
        </w:rPr>
        <w:t>needs</w:t>
      </w:r>
      <w:r>
        <w:rPr>
          <w:spacing w:val="-4"/>
          <w:sz w:val="24"/>
        </w:rPr>
        <w:t> </w:t>
      </w:r>
      <w:r>
        <w:rPr>
          <w:sz w:val="24"/>
        </w:rPr>
        <w:t>training</w:t>
      </w:r>
      <w:r>
        <w:rPr>
          <w:spacing w:val="-4"/>
          <w:sz w:val="24"/>
        </w:rPr>
        <w:t> </w:t>
      </w:r>
      <w:r>
        <w:rPr>
          <w:sz w:val="24"/>
        </w:rPr>
        <w:t>which</w:t>
      </w:r>
      <w:r>
        <w:rPr>
          <w:spacing w:val="-4"/>
          <w:sz w:val="24"/>
        </w:rPr>
        <w:t> </w:t>
      </w:r>
      <w:r>
        <w:rPr>
          <w:sz w:val="24"/>
        </w:rPr>
        <w:t>may</w:t>
      </w:r>
      <w:r>
        <w:rPr>
          <w:spacing w:val="-4"/>
          <w:sz w:val="24"/>
        </w:rPr>
        <w:t> </w:t>
      </w:r>
      <w:r>
        <w:rPr>
          <w:sz w:val="24"/>
        </w:rPr>
        <w:t>be obtained most practically by distance education.</w:t>
      </w:r>
    </w:p>
    <w:p>
      <w:pPr>
        <w:pStyle w:val="ListParagraph"/>
        <w:numPr>
          <w:ilvl w:val="3"/>
          <w:numId w:val="204"/>
        </w:numPr>
        <w:tabs>
          <w:tab w:pos="1218" w:val="left" w:leader="none"/>
        </w:tabs>
        <w:spacing w:line="208" w:lineRule="auto" w:before="239" w:after="0"/>
        <w:ind w:left="792" w:right="1335" w:firstLine="0"/>
        <w:jc w:val="left"/>
        <w:rPr>
          <w:sz w:val="24"/>
        </w:rPr>
      </w:pPr>
      <w:r>
        <w:rPr>
          <w:sz w:val="24"/>
        </w:rPr>
        <w:t>Tuition</w:t>
      </w:r>
      <w:r>
        <w:rPr>
          <w:spacing w:val="-6"/>
          <w:sz w:val="24"/>
        </w:rPr>
        <w:t> </w:t>
      </w:r>
      <w:r>
        <w:rPr>
          <w:sz w:val="24"/>
        </w:rPr>
        <w:t>for</w:t>
      </w:r>
      <w:r>
        <w:rPr>
          <w:spacing w:val="-4"/>
          <w:sz w:val="24"/>
        </w:rPr>
        <w:t> </w:t>
      </w:r>
      <w:r>
        <w:rPr>
          <w:sz w:val="24"/>
        </w:rPr>
        <w:t>college</w:t>
      </w:r>
      <w:r>
        <w:rPr>
          <w:spacing w:val="-5"/>
          <w:sz w:val="24"/>
        </w:rPr>
        <w:t> </w:t>
      </w:r>
      <w:r>
        <w:rPr>
          <w:sz w:val="24"/>
        </w:rPr>
        <w:t>and/or</w:t>
      </w:r>
      <w:r>
        <w:rPr>
          <w:spacing w:val="-4"/>
          <w:sz w:val="24"/>
        </w:rPr>
        <w:t> </w:t>
      </w:r>
      <w:r>
        <w:rPr>
          <w:sz w:val="24"/>
        </w:rPr>
        <w:t>vocational</w:t>
      </w:r>
      <w:r>
        <w:rPr>
          <w:spacing w:val="-5"/>
          <w:sz w:val="24"/>
        </w:rPr>
        <w:t> </w:t>
      </w:r>
      <w:r>
        <w:rPr>
          <w:sz w:val="24"/>
        </w:rPr>
        <w:t>distance</w:t>
      </w:r>
      <w:r>
        <w:rPr>
          <w:spacing w:val="-5"/>
          <w:sz w:val="24"/>
        </w:rPr>
        <w:t> </w:t>
      </w:r>
      <w:r>
        <w:rPr>
          <w:sz w:val="24"/>
        </w:rPr>
        <w:t>education</w:t>
      </w:r>
      <w:r>
        <w:rPr>
          <w:spacing w:val="-5"/>
          <w:sz w:val="24"/>
        </w:rPr>
        <w:t> </w:t>
      </w:r>
      <w:r>
        <w:rPr>
          <w:sz w:val="24"/>
        </w:rPr>
        <w:t>cannot</w:t>
      </w:r>
      <w:r>
        <w:rPr>
          <w:spacing w:val="-4"/>
          <w:sz w:val="24"/>
        </w:rPr>
        <w:t> </w:t>
      </w:r>
      <w:r>
        <w:rPr>
          <w:sz w:val="24"/>
        </w:rPr>
        <w:t>exceed</w:t>
      </w:r>
      <w:r>
        <w:rPr>
          <w:spacing w:val="-5"/>
          <w:sz w:val="24"/>
        </w:rPr>
        <w:t> </w:t>
      </w:r>
      <w:r>
        <w:rPr>
          <w:sz w:val="24"/>
        </w:rPr>
        <w:t>the State rate for comparable training.</w:t>
      </w:r>
    </w:p>
    <w:p>
      <w:pPr>
        <w:pStyle w:val="ListParagraph"/>
        <w:numPr>
          <w:ilvl w:val="3"/>
          <w:numId w:val="204"/>
        </w:numPr>
        <w:tabs>
          <w:tab w:pos="1218" w:val="left" w:leader="none"/>
        </w:tabs>
        <w:spacing w:line="208" w:lineRule="auto" w:before="240" w:after="0"/>
        <w:ind w:left="792" w:right="1882" w:firstLine="0"/>
        <w:jc w:val="left"/>
        <w:rPr>
          <w:sz w:val="24"/>
        </w:rPr>
      </w:pPr>
      <w:r>
        <w:rPr>
          <w:sz w:val="24"/>
        </w:rPr>
        <w:t>Distance</w:t>
      </w:r>
      <w:r>
        <w:rPr>
          <w:spacing w:val="-5"/>
          <w:sz w:val="24"/>
        </w:rPr>
        <w:t> </w:t>
      </w:r>
      <w:r>
        <w:rPr>
          <w:sz w:val="24"/>
        </w:rPr>
        <w:t>educational</w:t>
      </w:r>
      <w:r>
        <w:rPr>
          <w:spacing w:val="-5"/>
          <w:sz w:val="24"/>
        </w:rPr>
        <w:t> </w:t>
      </w:r>
      <w:r>
        <w:rPr>
          <w:sz w:val="24"/>
        </w:rPr>
        <w:t>programs</w:t>
      </w:r>
      <w:r>
        <w:rPr>
          <w:spacing w:val="-5"/>
          <w:sz w:val="24"/>
        </w:rPr>
        <w:t> </w:t>
      </w:r>
      <w:r>
        <w:rPr>
          <w:sz w:val="24"/>
        </w:rPr>
        <w:t>will</w:t>
      </w:r>
      <w:r>
        <w:rPr>
          <w:spacing w:val="-5"/>
          <w:sz w:val="24"/>
        </w:rPr>
        <w:t> </w:t>
      </w:r>
      <w:r>
        <w:rPr>
          <w:sz w:val="24"/>
        </w:rPr>
        <w:t>only</w:t>
      </w:r>
      <w:r>
        <w:rPr>
          <w:spacing w:val="-4"/>
          <w:sz w:val="24"/>
        </w:rPr>
        <w:t> </w:t>
      </w:r>
      <w:r>
        <w:rPr>
          <w:sz w:val="24"/>
        </w:rPr>
        <w:t>be</w:t>
      </w:r>
      <w:r>
        <w:rPr>
          <w:spacing w:val="-5"/>
          <w:sz w:val="24"/>
        </w:rPr>
        <w:t> </w:t>
      </w:r>
      <w:r>
        <w:rPr>
          <w:sz w:val="24"/>
        </w:rPr>
        <w:t>approved</w:t>
      </w:r>
      <w:r>
        <w:rPr>
          <w:spacing w:val="-5"/>
          <w:sz w:val="24"/>
        </w:rPr>
        <w:t> </w:t>
      </w:r>
      <w:r>
        <w:rPr>
          <w:sz w:val="24"/>
        </w:rPr>
        <w:t>if</w:t>
      </w:r>
      <w:r>
        <w:rPr>
          <w:spacing w:val="-4"/>
          <w:sz w:val="24"/>
        </w:rPr>
        <w:t> </w:t>
      </w:r>
      <w:r>
        <w:rPr>
          <w:sz w:val="24"/>
        </w:rPr>
        <w:t>institution</w:t>
      </w:r>
      <w:r>
        <w:rPr>
          <w:spacing w:val="-5"/>
          <w:sz w:val="24"/>
        </w:rPr>
        <w:t> </w:t>
      </w:r>
      <w:r>
        <w:rPr>
          <w:sz w:val="24"/>
        </w:rPr>
        <w:t>has recognized accreditation.</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7-1-98</w:t>
      </w:r>
      <w:r>
        <w:rPr>
          <w:sz w:val="22"/>
        </w:rPr>
        <w:tab/>
        <w:t>PT Memo #98-15</w:t>
      </w:r>
    </w:p>
    <w:p>
      <w:pPr>
        <w:tabs>
          <w:tab w:pos="1439" w:val="left" w:leader="none"/>
        </w:tabs>
        <w:spacing w:before="1"/>
        <w:ind w:left="359" w:right="5354" w:firstLine="1080"/>
        <w:jc w:val="left"/>
        <w:rPr>
          <w:sz w:val="22"/>
        </w:rPr>
      </w:pPr>
      <w:r>
        <w:rPr>
          <w:sz w:val="22"/>
        </w:rPr>
        <w:t>ITS,</w:t>
      </w:r>
      <w:r>
        <w:rPr>
          <w:spacing w:val="-8"/>
          <w:sz w:val="22"/>
        </w:rPr>
        <w:t> </w:t>
      </w:r>
      <w:r>
        <w:rPr>
          <w:sz w:val="22"/>
        </w:rPr>
        <w:t>changed</w:t>
      </w:r>
      <w:r>
        <w:rPr>
          <w:spacing w:val="-8"/>
          <w:sz w:val="22"/>
        </w:rPr>
        <w:t> </w:t>
      </w:r>
      <w:r>
        <w:rPr>
          <w:sz w:val="22"/>
        </w:rPr>
        <w:t>to</w:t>
      </w:r>
      <w:r>
        <w:rPr>
          <w:spacing w:val="-8"/>
          <w:sz w:val="22"/>
        </w:rPr>
        <w:t> </w:t>
      </w:r>
      <w:r>
        <w:rPr>
          <w:sz w:val="22"/>
        </w:rPr>
        <w:t>conform</w:t>
      </w:r>
      <w:r>
        <w:rPr>
          <w:spacing w:val="-9"/>
          <w:sz w:val="22"/>
        </w:rPr>
        <w:t> </w:t>
      </w:r>
      <w:r>
        <w:rPr>
          <w:sz w:val="22"/>
        </w:rPr>
        <w:t>with</w:t>
      </w:r>
      <w:r>
        <w:rPr>
          <w:spacing w:val="-8"/>
          <w:sz w:val="22"/>
        </w:rPr>
        <w:t> </w:t>
      </w:r>
      <w:r>
        <w:rPr>
          <w:sz w:val="22"/>
        </w:rPr>
        <w:t>ORMIS </w:t>
      </w:r>
      <w:r>
        <w:rPr>
          <w:spacing w:val="-2"/>
          <w:sz w:val="22"/>
        </w:rPr>
        <w:t>6-14-99</w:t>
      </w:r>
      <w:r>
        <w:rPr>
          <w:sz w:val="22"/>
        </w:rPr>
        <w:tab/>
        <w:t>POL Memo #99-7</w:t>
      </w:r>
    </w:p>
    <w:p>
      <w:pPr>
        <w:tabs>
          <w:tab w:pos="1439" w:val="left" w:leader="none"/>
        </w:tabs>
        <w:spacing w:before="0"/>
        <w:ind w:left="359" w:right="5831" w:firstLine="1080"/>
        <w:jc w:val="left"/>
        <w:rPr>
          <w:sz w:val="22"/>
        </w:rPr>
      </w:pPr>
      <w:r>
        <w:rPr>
          <w:sz w:val="22"/>
        </w:rPr>
        <w:t>Emergency,</w:t>
      </w:r>
      <w:r>
        <w:rPr>
          <w:spacing w:val="-10"/>
          <w:sz w:val="22"/>
        </w:rPr>
        <w:t> </w:t>
      </w:r>
      <w:r>
        <w:rPr>
          <w:sz w:val="22"/>
        </w:rPr>
        <w:t>changed</w:t>
      </w:r>
      <w:r>
        <w:rPr>
          <w:spacing w:val="-10"/>
          <w:sz w:val="22"/>
        </w:rPr>
        <w:t> </w:t>
      </w:r>
      <w:r>
        <w:rPr>
          <w:sz w:val="22"/>
        </w:rPr>
        <w:t>IRP</w:t>
      </w:r>
      <w:r>
        <w:rPr>
          <w:spacing w:val="-10"/>
          <w:sz w:val="22"/>
        </w:rPr>
        <w:t> </w:t>
      </w:r>
      <w:r>
        <w:rPr>
          <w:sz w:val="22"/>
        </w:rPr>
        <w:t>to</w:t>
      </w:r>
      <w:r>
        <w:rPr>
          <w:spacing w:val="-10"/>
          <w:sz w:val="22"/>
        </w:rPr>
        <w:t> </w:t>
      </w:r>
      <w:r>
        <w:rPr>
          <w:sz w:val="22"/>
        </w:rPr>
        <w:t>IPE </w:t>
      </w:r>
      <w:r>
        <w:rPr>
          <w:spacing w:val="-2"/>
          <w:sz w:val="22"/>
        </w:rPr>
        <w:t>7-1-99</w:t>
      </w:r>
      <w:r>
        <w:rPr>
          <w:sz w:val="22"/>
        </w:rPr>
        <w:tab/>
        <w:t>POL Memo #00-1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7-1-01</w:t>
      </w:r>
      <w:r>
        <w:rPr>
          <w:sz w:val="22"/>
        </w:rPr>
        <w:tab/>
        <w:t>PT Memo #01-08</w:t>
      </w:r>
    </w:p>
    <w:p>
      <w:pPr>
        <w:tabs>
          <w:tab w:pos="1439" w:val="left" w:leader="none"/>
        </w:tabs>
        <w:spacing w:before="0"/>
        <w:ind w:left="359" w:right="4938" w:firstLine="1080"/>
        <w:jc w:val="left"/>
        <w:rPr>
          <w:sz w:val="22"/>
        </w:rPr>
      </w:pPr>
      <w:r>
        <w:rPr>
          <w:sz w:val="22"/>
        </w:rPr>
        <w:t>Permanent,</w:t>
      </w:r>
      <w:r>
        <w:rPr>
          <w:spacing w:val="-9"/>
          <w:sz w:val="22"/>
        </w:rPr>
        <w:t> </w:t>
      </w:r>
      <w:r>
        <w:rPr>
          <w:sz w:val="22"/>
        </w:rPr>
        <w:t>amended</w:t>
      </w:r>
      <w:r>
        <w:rPr>
          <w:spacing w:val="-10"/>
          <w:sz w:val="22"/>
        </w:rPr>
        <w:t> </w:t>
      </w:r>
      <w:r>
        <w:rPr>
          <w:sz w:val="22"/>
        </w:rPr>
        <w:t>Instructions</w:t>
      </w:r>
      <w:r>
        <w:rPr>
          <w:spacing w:val="-10"/>
          <w:sz w:val="22"/>
        </w:rPr>
        <w:t> </w:t>
      </w:r>
      <w:r>
        <w:rPr>
          <w:sz w:val="22"/>
        </w:rPr>
        <w:t>to</w:t>
      </w:r>
      <w:r>
        <w:rPr>
          <w:spacing w:val="-10"/>
          <w:sz w:val="22"/>
        </w:rPr>
        <w:t> </w:t>
      </w:r>
      <w:r>
        <w:rPr>
          <w:sz w:val="22"/>
        </w:rPr>
        <w:t>Staff </w:t>
      </w:r>
      <w:r>
        <w:rPr>
          <w:spacing w:val="-2"/>
          <w:sz w:val="22"/>
        </w:rPr>
        <w:t>7-1-02</w:t>
      </w:r>
      <w:r>
        <w:rPr>
          <w:sz w:val="22"/>
        </w:rPr>
        <w:tab/>
        <w:t>POL Memo 02-02</w:t>
      </w:r>
    </w:p>
    <w:p>
      <w:pPr>
        <w:tabs>
          <w:tab w:pos="1439" w:val="left" w:leader="none"/>
        </w:tabs>
        <w:spacing w:before="0"/>
        <w:ind w:left="359" w:right="3007" w:firstLine="1080"/>
        <w:jc w:val="left"/>
        <w:rPr>
          <w:sz w:val="22"/>
        </w:rPr>
      </w:pPr>
      <w:r>
        <w:rPr>
          <w:sz w:val="22"/>
        </w:rPr>
        <w:t>ITS,</w:t>
      </w:r>
      <w:r>
        <w:rPr>
          <w:spacing w:val="-6"/>
          <w:sz w:val="22"/>
        </w:rPr>
        <w:t> </w:t>
      </w:r>
      <w:r>
        <w:rPr>
          <w:sz w:val="22"/>
        </w:rPr>
        <w:t>additional</w:t>
      </w:r>
      <w:r>
        <w:rPr>
          <w:spacing w:val="-6"/>
          <w:sz w:val="22"/>
        </w:rPr>
        <w:t> </w:t>
      </w:r>
      <w:r>
        <w:rPr>
          <w:sz w:val="22"/>
        </w:rPr>
        <w:t>training</w:t>
      </w:r>
      <w:r>
        <w:rPr>
          <w:spacing w:val="-6"/>
          <w:sz w:val="22"/>
        </w:rPr>
        <w:t> </w:t>
      </w:r>
      <w:r>
        <w:rPr>
          <w:sz w:val="22"/>
        </w:rPr>
        <w:t>institutions</w:t>
      </w:r>
      <w:r>
        <w:rPr>
          <w:spacing w:val="-6"/>
          <w:sz w:val="22"/>
        </w:rPr>
        <w:t> </w:t>
      </w:r>
      <w:r>
        <w:rPr>
          <w:sz w:val="22"/>
        </w:rPr>
        <w:t>under</w:t>
      </w:r>
      <w:r>
        <w:rPr>
          <w:spacing w:val="-6"/>
          <w:sz w:val="22"/>
        </w:rPr>
        <w:t> </w:t>
      </w:r>
      <w:r>
        <w:rPr>
          <w:sz w:val="22"/>
        </w:rPr>
        <w:t>direct</w:t>
      </w:r>
      <w:r>
        <w:rPr>
          <w:spacing w:val="-6"/>
          <w:sz w:val="22"/>
        </w:rPr>
        <w:t> </w:t>
      </w:r>
      <w:r>
        <w:rPr>
          <w:sz w:val="22"/>
        </w:rPr>
        <w:t>client</w:t>
      </w:r>
      <w:r>
        <w:rPr>
          <w:spacing w:val="-6"/>
          <w:sz w:val="22"/>
        </w:rPr>
        <w:t> </w:t>
      </w:r>
      <w:r>
        <w:rPr>
          <w:sz w:val="22"/>
        </w:rPr>
        <w:t>payment </w:t>
      </w:r>
      <w:r>
        <w:rPr>
          <w:spacing w:val="-2"/>
          <w:sz w:val="22"/>
        </w:rPr>
        <w:t>2-14-03</w:t>
      </w:r>
      <w:r>
        <w:rPr>
          <w:sz w:val="22"/>
        </w:rPr>
        <w:tab/>
        <w:t>POL Memo #03-05</w:t>
      </w:r>
    </w:p>
    <w:p>
      <w:pPr>
        <w:tabs>
          <w:tab w:pos="1439" w:val="left" w:leader="none"/>
        </w:tabs>
        <w:spacing w:before="0"/>
        <w:ind w:left="359" w:right="3006" w:firstLine="1080"/>
        <w:jc w:val="left"/>
        <w:rPr>
          <w:sz w:val="22"/>
        </w:rPr>
      </w:pPr>
      <w:r>
        <w:rPr>
          <w:sz w:val="22"/>
        </w:rPr>
        <w:t>Permanent,</w:t>
      </w:r>
      <w:r>
        <w:rPr>
          <w:spacing w:val="-3"/>
          <w:sz w:val="22"/>
        </w:rPr>
        <w:t> </w:t>
      </w:r>
      <w:r>
        <w:rPr>
          <w:sz w:val="22"/>
        </w:rPr>
        <w:t>ITS</w:t>
      </w:r>
      <w:r>
        <w:rPr>
          <w:spacing w:val="-4"/>
          <w:sz w:val="22"/>
        </w:rPr>
        <w:t> </w:t>
      </w:r>
      <w:r>
        <w:rPr>
          <w:sz w:val="22"/>
        </w:rPr>
        <w:t>changed</w:t>
      </w:r>
      <w:r>
        <w:rPr>
          <w:spacing w:val="-4"/>
          <w:sz w:val="22"/>
        </w:rPr>
        <w:t> </w:t>
      </w:r>
      <w:r>
        <w:rPr>
          <w:sz w:val="22"/>
        </w:rPr>
        <w:t>list</w:t>
      </w:r>
      <w:r>
        <w:rPr>
          <w:spacing w:val="-4"/>
          <w:sz w:val="22"/>
        </w:rPr>
        <w:t> </w:t>
      </w:r>
      <w:r>
        <w:rPr>
          <w:sz w:val="22"/>
        </w:rPr>
        <w:t>of</w:t>
      </w:r>
      <w:r>
        <w:rPr>
          <w:spacing w:val="-5"/>
          <w:sz w:val="22"/>
        </w:rPr>
        <w:t> </w:t>
      </w:r>
      <w:r>
        <w:rPr>
          <w:sz w:val="22"/>
        </w:rPr>
        <w:t>colleges</w:t>
      </w:r>
      <w:r>
        <w:rPr>
          <w:spacing w:val="-4"/>
          <w:sz w:val="22"/>
        </w:rPr>
        <w:t> </w:t>
      </w:r>
      <w:r>
        <w:rPr>
          <w:sz w:val="22"/>
        </w:rPr>
        <w:t>to</w:t>
      </w:r>
      <w:r>
        <w:rPr>
          <w:spacing w:val="-4"/>
          <w:sz w:val="22"/>
        </w:rPr>
        <w:t> </w:t>
      </w:r>
      <w:r>
        <w:rPr>
          <w:sz w:val="22"/>
        </w:rPr>
        <w:t>table</w:t>
      </w:r>
      <w:r>
        <w:rPr>
          <w:spacing w:val="-5"/>
          <w:sz w:val="22"/>
        </w:rPr>
        <w:t> </w:t>
      </w:r>
      <w:r>
        <w:rPr>
          <w:sz w:val="22"/>
        </w:rPr>
        <w:t>71</w:t>
      </w:r>
      <w:r>
        <w:rPr>
          <w:spacing w:val="-4"/>
          <w:sz w:val="22"/>
        </w:rPr>
        <w:t> </w:t>
      </w:r>
      <w:r>
        <w:rPr>
          <w:sz w:val="22"/>
        </w:rPr>
        <w:t>in</w:t>
      </w:r>
      <w:r>
        <w:rPr>
          <w:spacing w:val="-4"/>
          <w:sz w:val="22"/>
        </w:rPr>
        <w:t> </w:t>
      </w:r>
      <w:r>
        <w:rPr>
          <w:sz w:val="22"/>
        </w:rPr>
        <w:t>ORMIS </w:t>
      </w:r>
      <w:r>
        <w:rPr>
          <w:spacing w:val="-2"/>
          <w:sz w:val="22"/>
        </w:rPr>
        <w:t>7-1-05</w:t>
      </w:r>
      <w:r>
        <w:rPr>
          <w:sz w:val="22"/>
        </w:rPr>
        <w:tab/>
        <w:t>PT Memo #06-01</w:t>
      </w:r>
    </w:p>
    <w:p>
      <w:pPr>
        <w:tabs>
          <w:tab w:pos="1439" w:val="left" w:leader="none"/>
        </w:tabs>
        <w:spacing w:before="0"/>
        <w:ind w:left="359" w:right="5023" w:firstLine="1080"/>
        <w:jc w:val="left"/>
        <w:rPr>
          <w:sz w:val="22"/>
        </w:rPr>
      </w:pPr>
      <w:r>
        <w:rPr>
          <w:sz w:val="22"/>
        </w:rPr>
        <w:t>Permanent,</w:t>
      </w:r>
      <w:r>
        <w:rPr>
          <w:spacing w:val="-9"/>
          <w:sz w:val="22"/>
        </w:rPr>
        <w:t> </w:t>
      </w:r>
      <w:r>
        <w:rPr>
          <w:sz w:val="22"/>
        </w:rPr>
        <w:t>general</w:t>
      </w:r>
      <w:r>
        <w:rPr>
          <w:spacing w:val="-10"/>
          <w:sz w:val="22"/>
        </w:rPr>
        <w:t> </w:t>
      </w:r>
      <w:r>
        <w:rPr>
          <w:sz w:val="22"/>
        </w:rPr>
        <w:t>cleanup</w:t>
      </w:r>
      <w:r>
        <w:rPr>
          <w:spacing w:val="-10"/>
          <w:sz w:val="22"/>
        </w:rPr>
        <w:t> </w:t>
      </w:r>
      <w:r>
        <w:rPr>
          <w:sz w:val="22"/>
        </w:rPr>
        <w:t>of</w:t>
      </w:r>
      <w:r>
        <w:rPr>
          <w:spacing w:val="-10"/>
          <w:sz w:val="22"/>
        </w:rPr>
        <w:t> </w:t>
      </w:r>
      <w:r>
        <w:rPr>
          <w:sz w:val="22"/>
        </w:rPr>
        <w:t>language </w:t>
      </w:r>
      <w:r>
        <w:rPr>
          <w:spacing w:val="-2"/>
          <w:sz w:val="22"/>
        </w:rPr>
        <w:t>7-1-10</w:t>
      </w:r>
      <w:r>
        <w:rPr>
          <w:sz w:val="22"/>
        </w:rPr>
        <w:tab/>
        <w:t>PT Memo #10-02</w:t>
      </w:r>
    </w:p>
    <w:p>
      <w:pPr>
        <w:spacing w:before="0"/>
        <w:ind w:left="1439" w:right="0" w:firstLine="0"/>
        <w:jc w:val="left"/>
        <w:rPr>
          <w:sz w:val="22"/>
        </w:rPr>
      </w:pPr>
      <w:r>
        <w:rPr>
          <w:sz w:val="22"/>
        </w:rPr>
        <w:t>Permanent,</w:t>
      </w:r>
      <w:r>
        <w:rPr>
          <w:spacing w:val="-11"/>
          <w:sz w:val="22"/>
        </w:rPr>
        <w:t> </w:t>
      </w:r>
      <w:r>
        <w:rPr>
          <w:sz w:val="22"/>
        </w:rPr>
        <w:t>removed</w:t>
      </w:r>
      <w:r>
        <w:rPr>
          <w:spacing w:val="-11"/>
          <w:sz w:val="22"/>
        </w:rPr>
        <w:t> </w:t>
      </w:r>
      <w:r>
        <w:rPr>
          <w:spacing w:val="-5"/>
          <w:sz w:val="22"/>
        </w:rPr>
        <w:t>ITS</w:t>
      </w:r>
    </w:p>
    <w:p>
      <w:pPr>
        <w:spacing w:after="0"/>
        <w:jc w:val="left"/>
        <w:rPr>
          <w:sz w:val="22"/>
        </w:rPr>
        <w:sectPr>
          <w:pgSz w:w="12240" w:h="15840"/>
          <w:pgMar w:top="1340" w:bottom="280" w:left="1080" w:right="720"/>
        </w:sectPr>
      </w:pPr>
    </w:p>
    <w:p>
      <w:pPr>
        <w:pStyle w:val="Heading2"/>
      </w:pPr>
      <w:bookmarkStart w:name="612:10-7-166.  Tutorial training" w:id="186"/>
      <w:bookmarkEnd w:id="186"/>
      <w:r>
        <w:rPr>
          <w:b w:val="0"/>
        </w:rPr>
      </w:r>
      <w:r>
        <w:rPr/>
        <w:t>612:10-7-166.</w:t>
      </w:r>
      <w:r>
        <w:rPr>
          <w:spacing w:val="58"/>
        </w:rPr>
        <w:t> </w:t>
      </w:r>
      <w:r>
        <w:rPr/>
        <w:t>Tutorial</w:t>
      </w:r>
      <w:r>
        <w:rPr>
          <w:spacing w:val="-3"/>
        </w:rPr>
        <w:t> </w:t>
      </w:r>
      <w:r>
        <w:rPr>
          <w:spacing w:val="-2"/>
        </w:rPr>
        <w:t>training</w:t>
      </w:r>
    </w:p>
    <w:p>
      <w:pPr>
        <w:pStyle w:val="ListParagraph"/>
        <w:numPr>
          <w:ilvl w:val="0"/>
          <w:numId w:val="205"/>
        </w:numPr>
        <w:tabs>
          <w:tab w:pos="786" w:val="left" w:leader="none"/>
        </w:tabs>
        <w:spacing w:line="208" w:lineRule="auto" w:before="233" w:after="0"/>
        <w:ind w:left="360" w:right="978" w:firstLine="0"/>
        <w:jc w:val="both"/>
        <w:rPr>
          <w:b/>
          <w:sz w:val="24"/>
        </w:rPr>
      </w:pPr>
      <w:r>
        <w:rPr>
          <w:sz w:val="24"/>
        </w:rPr>
        <w:t>Counselors may</w:t>
      </w:r>
      <w:r>
        <w:rPr>
          <w:spacing w:val="-1"/>
          <w:sz w:val="24"/>
        </w:rPr>
        <w:t> </w:t>
      </w:r>
      <w:r>
        <w:rPr>
          <w:sz w:val="24"/>
        </w:rPr>
        <w:t>provide tutorial training for clients with significant disabilities who cannot</w:t>
      </w:r>
      <w:r>
        <w:rPr>
          <w:spacing w:val="-3"/>
          <w:sz w:val="24"/>
        </w:rPr>
        <w:t> </w:t>
      </w:r>
      <w:r>
        <w:rPr>
          <w:sz w:val="24"/>
        </w:rPr>
        <w:t>receive</w:t>
      </w:r>
      <w:r>
        <w:rPr>
          <w:spacing w:val="-3"/>
          <w:sz w:val="24"/>
        </w:rPr>
        <w:t> </w:t>
      </w:r>
      <w:r>
        <w:rPr>
          <w:sz w:val="24"/>
        </w:rPr>
        <w:t>training</w:t>
      </w:r>
      <w:r>
        <w:rPr>
          <w:spacing w:val="-3"/>
          <w:sz w:val="24"/>
        </w:rPr>
        <w:t> </w:t>
      </w:r>
      <w:r>
        <w:rPr>
          <w:sz w:val="24"/>
        </w:rPr>
        <w:t>by</w:t>
      </w:r>
      <w:r>
        <w:rPr>
          <w:spacing w:val="-3"/>
          <w:sz w:val="24"/>
        </w:rPr>
        <w:t> </w:t>
      </w:r>
      <w:r>
        <w:rPr>
          <w:sz w:val="24"/>
        </w:rPr>
        <w:t>another</w:t>
      </w:r>
      <w:r>
        <w:rPr>
          <w:spacing w:val="-3"/>
          <w:sz w:val="24"/>
        </w:rPr>
        <w:t> </w:t>
      </w:r>
      <w:r>
        <w:rPr>
          <w:sz w:val="24"/>
        </w:rPr>
        <w:t>method</w:t>
      </w:r>
      <w:r>
        <w:rPr>
          <w:spacing w:val="-4"/>
          <w:sz w:val="24"/>
        </w:rPr>
        <w:t> </w:t>
      </w:r>
      <w:r>
        <w:rPr>
          <w:sz w:val="24"/>
        </w:rPr>
        <w:t>or</w:t>
      </w:r>
      <w:r>
        <w:rPr>
          <w:spacing w:val="-3"/>
          <w:sz w:val="24"/>
        </w:rPr>
        <w:t> </w:t>
      </w:r>
      <w:r>
        <w:rPr>
          <w:sz w:val="24"/>
        </w:rPr>
        <w:t>who</w:t>
      </w:r>
      <w:r>
        <w:rPr>
          <w:spacing w:val="-3"/>
          <w:sz w:val="24"/>
        </w:rPr>
        <w:t> </w:t>
      </w:r>
      <w:r>
        <w:rPr>
          <w:sz w:val="24"/>
        </w:rPr>
        <w:t>may</w:t>
      </w:r>
      <w:r>
        <w:rPr>
          <w:spacing w:val="-3"/>
          <w:sz w:val="24"/>
        </w:rPr>
        <w:t> </w:t>
      </w:r>
      <w:r>
        <w:rPr>
          <w:sz w:val="24"/>
        </w:rPr>
        <w:t>need</w:t>
      </w:r>
      <w:r>
        <w:rPr>
          <w:spacing w:val="-3"/>
          <w:sz w:val="24"/>
        </w:rPr>
        <w:t> </w:t>
      </w:r>
      <w:r>
        <w:rPr>
          <w:sz w:val="24"/>
        </w:rPr>
        <w:t>assistance</w:t>
      </w:r>
      <w:r>
        <w:rPr>
          <w:spacing w:val="-3"/>
          <w:sz w:val="24"/>
        </w:rPr>
        <w:t> </w:t>
      </w:r>
      <w:r>
        <w:rPr>
          <w:sz w:val="24"/>
        </w:rPr>
        <w:t>to</w:t>
      </w:r>
      <w:r>
        <w:rPr>
          <w:spacing w:val="-3"/>
          <w:sz w:val="24"/>
        </w:rPr>
        <w:t> </w:t>
      </w:r>
      <w:r>
        <w:rPr>
          <w:sz w:val="24"/>
        </w:rPr>
        <w:t>complete</w:t>
      </w:r>
      <w:r>
        <w:rPr>
          <w:spacing w:val="-3"/>
          <w:sz w:val="24"/>
        </w:rPr>
        <w:t> </w:t>
      </w:r>
      <w:r>
        <w:rPr>
          <w:sz w:val="24"/>
        </w:rPr>
        <w:t>a formal training course satisfactorily. </w:t>
      </w:r>
      <w:r>
        <w:rPr>
          <w:b/>
          <w:sz w:val="24"/>
        </w:rPr>
        <w:t>1</w:t>
      </w:r>
    </w:p>
    <w:p>
      <w:pPr>
        <w:pStyle w:val="ListParagraph"/>
        <w:numPr>
          <w:ilvl w:val="0"/>
          <w:numId w:val="205"/>
        </w:numPr>
        <w:tabs>
          <w:tab w:pos="786" w:val="left" w:leader="none"/>
        </w:tabs>
        <w:spacing w:line="208" w:lineRule="auto" w:before="240" w:after="0"/>
        <w:ind w:left="360" w:right="754" w:firstLine="0"/>
        <w:jc w:val="left"/>
        <w:rPr>
          <w:sz w:val="24"/>
        </w:rPr>
      </w:pPr>
      <w:r>
        <w:rPr>
          <w:sz w:val="24"/>
        </w:rPr>
        <w:t>Persons</w:t>
      </w:r>
      <w:r>
        <w:rPr>
          <w:spacing w:val="-4"/>
          <w:sz w:val="24"/>
        </w:rPr>
        <w:t> </w:t>
      </w:r>
      <w:r>
        <w:rPr>
          <w:sz w:val="24"/>
        </w:rPr>
        <w:t>chosen</w:t>
      </w:r>
      <w:r>
        <w:rPr>
          <w:spacing w:val="-4"/>
          <w:sz w:val="24"/>
        </w:rPr>
        <w:t> </w:t>
      </w:r>
      <w:r>
        <w:rPr>
          <w:sz w:val="24"/>
        </w:rPr>
        <w:t>to</w:t>
      </w:r>
      <w:r>
        <w:rPr>
          <w:spacing w:val="-4"/>
          <w:sz w:val="24"/>
        </w:rPr>
        <w:t> </w:t>
      </w:r>
      <w:r>
        <w:rPr>
          <w:sz w:val="24"/>
        </w:rPr>
        <w:t>provide</w:t>
      </w:r>
      <w:r>
        <w:rPr>
          <w:spacing w:val="-4"/>
          <w:sz w:val="24"/>
        </w:rPr>
        <w:t> </w:t>
      </w:r>
      <w:r>
        <w:rPr>
          <w:sz w:val="24"/>
        </w:rPr>
        <w:t>tutorial</w:t>
      </w:r>
      <w:r>
        <w:rPr>
          <w:spacing w:val="-4"/>
          <w:sz w:val="24"/>
        </w:rPr>
        <w:t> </w:t>
      </w:r>
      <w:r>
        <w:rPr>
          <w:sz w:val="24"/>
        </w:rPr>
        <w:t>training</w:t>
      </w:r>
      <w:r>
        <w:rPr>
          <w:spacing w:val="-4"/>
          <w:sz w:val="24"/>
        </w:rPr>
        <w:t> </w:t>
      </w:r>
      <w:r>
        <w:rPr>
          <w:sz w:val="24"/>
        </w:rPr>
        <w:t>for</w:t>
      </w:r>
      <w:r>
        <w:rPr>
          <w:spacing w:val="-3"/>
          <w:sz w:val="24"/>
        </w:rPr>
        <w:t> </w:t>
      </w:r>
      <w:r>
        <w:rPr>
          <w:sz w:val="24"/>
        </w:rPr>
        <w:t>clients</w:t>
      </w:r>
      <w:r>
        <w:rPr>
          <w:spacing w:val="-4"/>
          <w:sz w:val="24"/>
        </w:rPr>
        <w:t> </w:t>
      </w:r>
      <w:r>
        <w:rPr>
          <w:sz w:val="24"/>
        </w:rPr>
        <w:t>must</w:t>
      </w:r>
      <w:r>
        <w:rPr>
          <w:spacing w:val="-3"/>
          <w:sz w:val="24"/>
        </w:rPr>
        <w:t> </w:t>
      </w:r>
      <w:r>
        <w:rPr>
          <w:sz w:val="24"/>
        </w:rPr>
        <w:t>have</w:t>
      </w:r>
      <w:r>
        <w:rPr>
          <w:spacing w:val="-5"/>
          <w:sz w:val="24"/>
        </w:rPr>
        <w:t> </w:t>
      </w:r>
      <w:r>
        <w:rPr>
          <w:sz w:val="24"/>
        </w:rPr>
        <w:t>the</w:t>
      </w:r>
      <w:r>
        <w:rPr>
          <w:spacing w:val="-4"/>
          <w:sz w:val="24"/>
        </w:rPr>
        <w:t> </w:t>
      </w:r>
      <w:r>
        <w:rPr>
          <w:sz w:val="24"/>
        </w:rPr>
        <w:t>necessary</w:t>
      </w:r>
      <w:r>
        <w:rPr>
          <w:spacing w:val="-4"/>
          <w:sz w:val="24"/>
        </w:rPr>
        <w:t> </w:t>
      </w:r>
      <w:r>
        <w:rPr>
          <w:sz w:val="24"/>
        </w:rPr>
        <w:t>skills to provide assistance to the client and be willing to provide the training at a time and place suitable to the client. Examples of proof of necessary skills are the following:</w:t>
      </w:r>
    </w:p>
    <w:p>
      <w:pPr>
        <w:pStyle w:val="ListParagraph"/>
        <w:numPr>
          <w:ilvl w:val="1"/>
          <w:numId w:val="205"/>
        </w:numPr>
        <w:tabs>
          <w:tab w:pos="1218" w:val="left" w:leader="none"/>
        </w:tabs>
        <w:spacing w:line="240" w:lineRule="auto" w:before="210" w:after="0"/>
        <w:ind w:left="1218" w:right="0" w:hanging="426"/>
        <w:jc w:val="left"/>
        <w:rPr>
          <w:sz w:val="24"/>
        </w:rPr>
      </w:pPr>
      <w:r>
        <w:rPr>
          <w:sz w:val="24"/>
        </w:rPr>
        <w:t>Letter</w:t>
      </w:r>
      <w:r>
        <w:rPr>
          <w:spacing w:val="-5"/>
          <w:sz w:val="24"/>
        </w:rPr>
        <w:t> </w:t>
      </w:r>
      <w:r>
        <w:rPr>
          <w:sz w:val="24"/>
        </w:rPr>
        <w:t>of</w:t>
      </w:r>
      <w:r>
        <w:rPr>
          <w:spacing w:val="-2"/>
          <w:sz w:val="24"/>
        </w:rPr>
        <w:t> </w:t>
      </w:r>
      <w:r>
        <w:rPr>
          <w:sz w:val="24"/>
        </w:rPr>
        <w:t>recommendation</w:t>
      </w:r>
      <w:r>
        <w:rPr>
          <w:spacing w:val="-4"/>
          <w:sz w:val="24"/>
        </w:rPr>
        <w:t> </w:t>
      </w:r>
      <w:r>
        <w:rPr>
          <w:sz w:val="24"/>
        </w:rPr>
        <w:t>from</w:t>
      </w:r>
      <w:r>
        <w:rPr>
          <w:spacing w:val="-2"/>
          <w:sz w:val="24"/>
        </w:rPr>
        <w:t> </w:t>
      </w:r>
      <w:r>
        <w:rPr>
          <w:sz w:val="24"/>
        </w:rPr>
        <w:t>college</w:t>
      </w:r>
      <w:r>
        <w:rPr>
          <w:spacing w:val="-3"/>
          <w:sz w:val="24"/>
        </w:rPr>
        <w:t> </w:t>
      </w:r>
      <w:r>
        <w:rPr>
          <w:sz w:val="24"/>
        </w:rPr>
        <w:t>or</w:t>
      </w:r>
      <w:r>
        <w:rPr>
          <w:spacing w:val="-2"/>
          <w:sz w:val="24"/>
        </w:rPr>
        <w:t> university</w:t>
      </w:r>
    </w:p>
    <w:p>
      <w:pPr>
        <w:pStyle w:val="ListParagraph"/>
        <w:numPr>
          <w:ilvl w:val="1"/>
          <w:numId w:val="205"/>
        </w:numPr>
        <w:tabs>
          <w:tab w:pos="1218" w:val="left" w:leader="none"/>
        </w:tabs>
        <w:spacing w:line="240" w:lineRule="auto" w:before="204" w:after="0"/>
        <w:ind w:left="1218" w:right="0" w:hanging="426"/>
        <w:jc w:val="left"/>
        <w:rPr>
          <w:sz w:val="24"/>
        </w:rPr>
      </w:pPr>
      <w:r>
        <w:rPr>
          <w:sz w:val="24"/>
        </w:rPr>
        <w:t>Teaching</w:t>
      </w:r>
      <w:r>
        <w:rPr>
          <w:spacing w:val="-6"/>
          <w:sz w:val="24"/>
        </w:rPr>
        <w:t> </w:t>
      </w:r>
      <w:r>
        <w:rPr>
          <w:spacing w:val="-2"/>
          <w:sz w:val="24"/>
        </w:rPr>
        <w:t>certificate</w:t>
      </w:r>
    </w:p>
    <w:p>
      <w:pPr>
        <w:pStyle w:val="ListParagraph"/>
        <w:numPr>
          <w:ilvl w:val="1"/>
          <w:numId w:val="205"/>
        </w:numPr>
        <w:tabs>
          <w:tab w:pos="1218" w:val="left" w:leader="none"/>
        </w:tabs>
        <w:spacing w:line="240" w:lineRule="auto" w:before="204" w:after="0"/>
        <w:ind w:left="1218" w:right="0" w:hanging="426"/>
        <w:jc w:val="left"/>
        <w:rPr>
          <w:sz w:val="24"/>
        </w:rPr>
      </w:pPr>
      <w:r>
        <w:rPr>
          <w:spacing w:val="-2"/>
          <w:sz w:val="24"/>
        </w:rPr>
        <w:t>Transcripts.</w:t>
      </w:r>
    </w:p>
    <w:p>
      <w:pPr>
        <w:pStyle w:val="ListParagraph"/>
        <w:numPr>
          <w:ilvl w:val="1"/>
          <w:numId w:val="205"/>
        </w:numPr>
        <w:tabs>
          <w:tab w:pos="1217" w:val="left" w:leader="none"/>
        </w:tabs>
        <w:spacing w:line="208" w:lineRule="auto" w:before="233" w:after="0"/>
        <w:ind w:left="792" w:right="878" w:firstLine="0"/>
        <w:jc w:val="left"/>
        <w:rPr>
          <w:sz w:val="24"/>
        </w:rPr>
      </w:pPr>
      <w:r>
        <w:rPr>
          <w:sz w:val="24"/>
        </w:rPr>
        <w:t>Other</w:t>
      </w:r>
      <w:r>
        <w:rPr>
          <w:spacing w:val="-5"/>
          <w:sz w:val="24"/>
        </w:rPr>
        <w:t> </w:t>
      </w:r>
      <w:r>
        <w:rPr>
          <w:sz w:val="24"/>
        </w:rPr>
        <w:t>documentation</w:t>
      </w:r>
      <w:r>
        <w:rPr>
          <w:spacing w:val="-4"/>
          <w:sz w:val="24"/>
        </w:rPr>
        <w:t> </w:t>
      </w:r>
      <w:r>
        <w:rPr>
          <w:sz w:val="24"/>
        </w:rPr>
        <w:t>of</w:t>
      </w:r>
      <w:r>
        <w:rPr>
          <w:spacing w:val="-3"/>
          <w:sz w:val="24"/>
        </w:rPr>
        <w:t> </w:t>
      </w:r>
      <w:r>
        <w:rPr>
          <w:sz w:val="24"/>
        </w:rPr>
        <w:t>knowledge,</w:t>
      </w:r>
      <w:r>
        <w:rPr>
          <w:spacing w:val="-3"/>
          <w:sz w:val="24"/>
        </w:rPr>
        <w:t> </w:t>
      </w:r>
      <w:r>
        <w:rPr>
          <w:sz w:val="24"/>
        </w:rPr>
        <w:t>skills</w:t>
      </w:r>
      <w:r>
        <w:rPr>
          <w:spacing w:val="-3"/>
          <w:sz w:val="24"/>
        </w:rPr>
        <w:t> </w:t>
      </w:r>
      <w:r>
        <w:rPr>
          <w:sz w:val="24"/>
        </w:rPr>
        <w:t>or</w:t>
      </w:r>
      <w:r>
        <w:rPr>
          <w:spacing w:val="-3"/>
          <w:sz w:val="24"/>
        </w:rPr>
        <w:t> </w:t>
      </w:r>
      <w:r>
        <w:rPr>
          <w:sz w:val="24"/>
        </w:rPr>
        <w:t>ability</w:t>
      </w:r>
      <w:r>
        <w:rPr>
          <w:spacing w:val="-4"/>
          <w:sz w:val="24"/>
        </w:rPr>
        <w:t> </w:t>
      </w:r>
      <w:r>
        <w:rPr>
          <w:sz w:val="24"/>
        </w:rPr>
        <w:t>to</w:t>
      </w:r>
      <w:r>
        <w:rPr>
          <w:spacing w:val="-4"/>
          <w:sz w:val="24"/>
        </w:rPr>
        <w:t> </w:t>
      </w:r>
      <w:r>
        <w:rPr>
          <w:sz w:val="24"/>
        </w:rPr>
        <w:t>instruct</w:t>
      </w:r>
      <w:r>
        <w:rPr>
          <w:spacing w:val="-3"/>
          <w:sz w:val="24"/>
        </w:rPr>
        <w:t> </w:t>
      </w:r>
      <w:r>
        <w:rPr>
          <w:sz w:val="24"/>
        </w:rPr>
        <w:t>in</w:t>
      </w:r>
      <w:r>
        <w:rPr>
          <w:spacing w:val="-4"/>
          <w:sz w:val="24"/>
        </w:rPr>
        <w:t> </w:t>
      </w:r>
      <w:r>
        <w:rPr>
          <w:sz w:val="24"/>
        </w:rPr>
        <w:t>the</w:t>
      </w:r>
      <w:r>
        <w:rPr>
          <w:spacing w:val="-4"/>
          <w:sz w:val="24"/>
        </w:rPr>
        <w:t> </w:t>
      </w:r>
      <w:r>
        <w:rPr>
          <w:sz w:val="24"/>
        </w:rPr>
        <w:t>designated </w:t>
      </w:r>
      <w:r>
        <w:rPr>
          <w:spacing w:val="-2"/>
          <w:sz w:val="24"/>
        </w:rPr>
        <w:t>subject.</w:t>
      </w:r>
    </w:p>
    <w:p>
      <w:pPr>
        <w:pStyle w:val="BodyText"/>
        <w:spacing w:before="211"/>
      </w:pPr>
      <w:r>
        <w:rPr/>
        <w:t>INSTRUCTIONS</w:t>
      </w:r>
      <w:r>
        <w:rPr>
          <w:spacing w:val="-3"/>
        </w:rPr>
        <w:t> </w:t>
      </w:r>
      <w:r>
        <w:rPr/>
        <w:t>TO</w:t>
      </w:r>
      <w:r>
        <w:rPr>
          <w:spacing w:val="-2"/>
        </w:rPr>
        <w:t> </w:t>
      </w:r>
      <w:r>
        <w:rPr>
          <w:spacing w:val="-4"/>
        </w:rPr>
        <w:t>STAFF</w:t>
      </w:r>
    </w:p>
    <w:p>
      <w:pPr>
        <w:pStyle w:val="BodyText"/>
        <w:spacing w:line="208" w:lineRule="auto" w:before="233"/>
        <w:ind w:left="792" w:right="775"/>
      </w:pPr>
      <w:r>
        <w:rPr/>
        <w:t>1. Payment for tutorial training is negotiated between the client, vendor and counselor with a direct payment made to the client. However, when services are provided by a training facility or learning center a contract is required. Counselors must assure themselves of the credentials of the tutor. A copy of the tutor's transcript</w:t>
      </w:r>
      <w:r>
        <w:rPr>
          <w:spacing w:val="-3"/>
        </w:rPr>
        <w:t> </w:t>
      </w:r>
      <w:r>
        <w:rPr/>
        <w:t>and/or</w:t>
      </w:r>
      <w:r>
        <w:rPr>
          <w:spacing w:val="-3"/>
        </w:rPr>
        <w:t> </w:t>
      </w:r>
      <w:r>
        <w:rPr/>
        <w:t>other</w:t>
      </w:r>
      <w:r>
        <w:rPr>
          <w:spacing w:val="-5"/>
        </w:rPr>
        <w:t> </w:t>
      </w:r>
      <w:r>
        <w:rPr/>
        <w:t>credentials</w:t>
      </w:r>
      <w:r>
        <w:rPr>
          <w:spacing w:val="-3"/>
        </w:rPr>
        <w:t> </w:t>
      </w:r>
      <w:r>
        <w:rPr/>
        <w:t>should</w:t>
      </w:r>
      <w:r>
        <w:rPr>
          <w:spacing w:val="-4"/>
        </w:rPr>
        <w:t> </w:t>
      </w:r>
      <w:r>
        <w:rPr/>
        <w:t>be</w:t>
      </w:r>
      <w:r>
        <w:rPr>
          <w:spacing w:val="-3"/>
        </w:rPr>
        <w:t> </w:t>
      </w:r>
      <w:r>
        <w:rPr/>
        <w:t>placed</w:t>
      </w:r>
      <w:r>
        <w:rPr>
          <w:spacing w:val="-4"/>
        </w:rPr>
        <w:t> </w:t>
      </w:r>
      <w:r>
        <w:rPr/>
        <w:t>in</w:t>
      </w:r>
      <w:r>
        <w:rPr>
          <w:spacing w:val="-4"/>
        </w:rPr>
        <w:t> </w:t>
      </w:r>
      <w:r>
        <w:rPr/>
        <w:t>the</w:t>
      </w:r>
      <w:r>
        <w:rPr>
          <w:spacing w:val="-4"/>
        </w:rPr>
        <w:t> </w:t>
      </w:r>
      <w:r>
        <w:rPr/>
        <w:t>client's</w:t>
      </w:r>
      <w:r>
        <w:rPr>
          <w:spacing w:val="-4"/>
        </w:rPr>
        <w:t> </w:t>
      </w:r>
      <w:r>
        <w:rPr/>
        <w:t>record.</w:t>
      </w:r>
      <w:r>
        <w:rPr>
          <w:spacing w:val="-3"/>
        </w:rPr>
        <w:t> </w:t>
      </w:r>
      <w:r>
        <w:rPr/>
        <w:t>Once</w:t>
      </w:r>
      <w:r>
        <w:rPr>
          <w:spacing w:val="-5"/>
        </w:rPr>
        <w:t> </w:t>
      </w:r>
      <w:r>
        <w:rPr/>
        <w:t>the tutor's credentials are established, the client will arrange for and pay the tutor of their choice. The counselor will list the tutor services as a separate service on the </w:t>
      </w:r>
      <w:r>
        <w:rPr>
          <w:spacing w:val="-4"/>
        </w:rPr>
        <w:t>IPE.</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12-01-03</w:t>
      </w:r>
      <w:r>
        <w:rPr>
          <w:spacing w:val="80"/>
          <w:sz w:val="22"/>
        </w:rPr>
        <w:t> </w:t>
      </w:r>
      <w:r>
        <w:rPr>
          <w:sz w:val="22"/>
        </w:rPr>
        <w:t>PT Memo #04-02</w:t>
      </w:r>
    </w:p>
    <w:p>
      <w:pPr>
        <w:tabs>
          <w:tab w:pos="1439" w:val="left" w:leader="none"/>
        </w:tabs>
        <w:spacing w:before="1"/>
        <w:ind w:left="359" w:right="5549" w:firstLine="1080"/>
        <w:jc w:val="left"/>
        <w:rPr>
          <w:sz w:val="22"/>
        </w:rPr>
      </w:pPr>
      <w:r>
        <w:rPr>
          <w:sz w:val="22"/>
        </w:rPr>
        <w:t>Permanent,</w:t>
      </w:r>
      <w:r>
        <w:rPr>
          <w:spacing w:val="-9"/>
          <w:sz w:val="22"/>
        </w:rPr>
        <w:t> </w:t>
      </w:r>
      <w:r>
        <w:rPr>
          <w:sz w:val="22"/>
        </w:rPr>
        <w:t>clarified</w:t>
      </w:r>
      <w:r>
        <w:rPr>
          <w:spacing w:val="-10"/>
          <w:sz w:val="22"/>
        </w:rPr>
        <w:t> </w:t>
      </w:r>
      <w:r>
        <w:rPr>
          <w:sz w:val="22"/>
        </w:rPr>
        <w:t>footnote</w:t>
      </w:r>
      <w:r>
        <w:rPr>
          <w:spacing w:val="-10"/>
          <w:sz w:val="22"/>
        </w:rPr>
        <w:t> </w:t>
      </w:r>
      <w:r>
        <w:rPr>
          <w:sz w:val="22"/>
        </w:rPr>
        <w:t>in</w:t>
      </w:r>
      <w:r>
        <w:rPr>
          <w:spacing w:val="-10"/>
          <w:sz w:val="22"/>
        </w:rPr>
        <w:t> </w:t>
      </w:r>
      <w:r>
        <w:rPr>
          <w:sz w:val="22"/>
        </w:rPr>
        <w:t>ITS </w:t>
      </w:r>
      <w:r>
        <w:rPr>
          <w:spacing w:val="-2"/>
          <w:sz w:val="22"/>
        </w:rPr>
        <w:t>7-1-07</w:t>
      </w:r>
      <w:r>
        <w:rPr>
          <w:sz w:val="22"/>
        </w:rPr>
        <w:tab/>
        <w:t>PT Memo #08-01</w:t>
      </w:r>
    </w:p>
    <w:p>
      <w:pPr>
        <w:tabs>
          <w:tab w:pos="1439" w:val="left" w:leader="none"/>
        </w:tabs>
        <w:spacing w:before="0"/>
        <w:ind w:left="359" w:right="4338" w:firstLine="1080"/>
        <w:jc w:val="left"/>
        <w:rPr>
          <w:sz w:val="22"/>
        </w:rPr>
      </w:pPr>
      <w:r>
        <w:rPr>
          <w:sz w:val="22"/>
        </w:rPr>
        <w:t>Permanent,</w:t>
      </w:r>
      <w:r>
        <w:rPr>
          <w:spacing w:val="-7"/>
          <w:sz w:val="22"/>
        </w:rPr>
        <w:t> </w:t>
      </w:r>
      <w:r>
        <w:rPr>
          <w:sz w:val="22"/>
        </w:rPr>
        <w:t>added</w:t>
      </w:r>
      <w:r>
        <w:rPr>
          <w:spacing w:val="-8"/>
          <w:sz w:val="22"/>
        </w:rPr>
        <w:t> </w:t>
      </w:r>
      <w:r>
        <w:rPr>
          <w:sz w:val="22"/>
        </w:rPr>
        <w:t>examples</w:t>
      </w:r>
      <w:r>
        <w:rPr>
          <w:spacing w:val="-8"/>
          <w:sz w:val="22"/>
        </w:rPr>
        <w:t> </w:t>
      </w:r>
      <w:r>
        <w:rPr>
          <w:sz w:val="22"/>
        </w:rPr>
        <w:t>of</w:t>
      </w:r>
      <w:r>
        <w:rPr>
          <w:spacing w:val="-8"/>
          <w:sz w:val="22"/>
        </w:rPr>
        <w:t> </w:t>
      </w:r>
      <w:r>
        <w:rPr>
          <w:sz w:val="22"/>
        </w:rPr>
        <w:t>necessary</w:t>
      </w:r>
      <w:r>
        <w:rPr>
          <w:spacing w:val="-8"/>
          <w:sz w:val="22"/>
        </w:rPr>
        <w:t> </w:t>
      </w:r>
      <w:r>
        <w:rPr>
          <w:sz w:val="22"/>
        </w:rPr>
        <w:t>skills </w:t>
      </w:r>
      <w:r>
        <w:rPr>
          <w:spacing w:val="-2"/>
          <w:sz w:val="22"/>
        </w:rPr>
        <w:t>7-1-08</w:t>
      </w:r>
      <w:r>
        <w:rPr>
          <w:sz w:val="22"/>
        </w:rPr>
        <w:tab/>
        <w:t>PT Memo #09-01</w:t>
      </w:r>
    </w:p>
    <w:p>
      <w:pPr>
        <w:tabs>
          <w:tab w:pos="1439" w:val="left" w:leader="none"/>
        </w:tabs>
        <w:spacing w:before="0"/>
        <w:ind w:left="359" w:right="4343" w:firstLine="1080"/>
        <w:jc w:val="left"/>
        <w:rPr>
          <w:sz w:val="22"/>
        </w:rPr>
      </w:pPr>
      <w:r>
        <w:rPr>
          <w:sz w:val="22"/>
        </w:rPr>
        <w:t>Permanent,</w:t>
      </w:r>
      <w:r>
        <w:rPr>
          <w:spacing w:val="-9"/>
          <w:sz w:val="22"/>
        </w:rPr>
        <w:t> </w:t>
      </w:r>
      <w:r>
        <w:rPr>
          <w:sz w:val="22"/>
        </w:rPr>
        <w:t>Replaced</w:t>
      </w:r>
      <w:r>
        <w:rPr>
          <w:spacing w:val="-10"/>
          <w:sz w:val="22"/>
        </w:rPr>
        <w:t> </w:t>
      </w:r>
      <w:r>
        <w:rPr>
          <w:sz w:val="22"/>
        </w:rPr>
        <w:t>"severe"</w:t>
      </w:r>
      <w:r>
        <w:rPr>
          <w:spacing w:val="-10"/>
          <w:sz w:val="22"/>
        </w:rPr>
        <w:t> </w:t>
      </w:r>
      <w:r>
        <w:rPr>
          <w:sz w:val="22"/>
        </w:rPr>
        <w:t>with</w:t>
      </w:r>
      <w:r>
        <w:rPr>
          <w:spacing w:val="-10"/>
          <w:sz w:val="22"/>
        </w:rPr>
        <w:t> </w:t>
      </w:r>
      <w:r>
        <w:rPr>
          <w:sz w:val="22"/>
        </w:rPr>
        <w:t>"significant" </w:t>
      </w:r>
      <w:r>
        <w:rPr>
          <w:spacing w:val="-2"/>
          <w:sz w:val="22"/>
        </w:rPr>
        <w:t>7-1-10</w:t>
      </w:r>
      <w:r>
        <w:rPr>
          <w:sz w:val="22"/>
        </w:rPr>
        <w:tab/>
        <w:t>PT Memo #10-02</w:t>
      </w:r>
    </w:p>
    <w:p>
      <w:pPr>
        <w:tabs>
          <w:tab w:pos="1439" w:val="left" w:leader="none"/>
        </w:tabs>
        <w:spacing w:before="0"/>
        <w:ind w:left="359" w:right="4093" w:firstLine="1080"/>
        <w:jc w:val="left"/>
        <w:rPr>
          <w:sz w:val="22"/>
        </w:rPr>
      </w:pPr>
      <w:r>
        <w:rPr>
          <w:sz w:val="22"/>
        </w:rPr>
        <w:t>Permanent,</w:t>
      </w:r>
      <w:r>
        <w:rPr>
          <w:spacing w:val="-5"/>
          <w:sz w:val="22"/>
        </w:rPr>
        <w:t> </w:t>
      </w:r>
      <w:r>
        <w:rPr>
          <w:sz w:val="22"/>
        </w:rPr>
        <w:t>removed</w:t>
      </w:r>
      <w:r>
        <w:rPr>
          <w:spacing w:val="-6"/>
          <w:sz w:val="22"/>
        </w:rPr>
        <w:t> </w:t>
      </w:r>
      <w:r>
        <w:rPr>
          <w:sz w:val="22"/>
        </w:rPr>
        <w:t>upper</w:t>
      </w:r>
      <w:r>
        <w:rPr>
          <w:spacing w:val="-6"/>
          <w:sz w:val="22"/>
        </w:rPr>
        <w:t> </w:t>
      </w:r>
      <w:r>
        <w:rPr>
          <w:sz w:val="22"/>
        </w:rPr>
        <w:t>limit</w:t>
      </w:r>
      <w:r>
        <w:rPr>
          <w:spacing w:val="-6"/>
          <w:sz w:val="22"/>
        </w:rPr>
        <w:t> </w:t>
      </w:r>
      <w:r>
        <w:rPr>
          <w:sz w:val="22"/>
        </w:rPr>
        <w:t>for</w:t>
      </w:r>
      <w:r>
        <w:rPr>
          <w:spacing w:val="-6"/>
          <w:sz w:val="22"/>
        </w:rPr>
        <w:t> </w:t>
      </w:r>
      <w:r>
        <w:rPr>
          <w:sz w:val="22"/>
        </w:rPr>
        <w:t>per</w:t>
      </w:r>
      <w:r>
        <w:rPr>
          <w:spacing w:val="-6"/>
          <w:sz w:val="22"/>
        </w:rPr>
        <w:t> </w:t>
      </w:r>
      <w:r>
        <w:rPr>
          <w:sz w:val="22"/>
        </w:rPr>
        <w:t>hour</w:t>
      </w:r>
      <w:r>
        <w:rPr>
          <w:spacing w:val="-6"/>
          <w:sz w:val="22"/>
        </w:rPr>
        <w:t> </w:t>
      </w:r>
      <w:r>
        <w:rPr>
          <w:sz w:val="22"/>
        </w:rPr>
        <w:t>basis </w:t>
      </w:r>
      <w:r>
        <w:rPr>
          <w:spacing w:val="-2"/>
          <w:sz w:val="22"/>
        </w:rPr>
        <w:t>7-1-11</w:t>
      </w:r>
      <w:r>
        <w:rPr>
          <w:sz w:val="22"/>
        </w:rPr>
        <w:tab/>
        <w:t>PT Memo #12-01</w:t>
      </w:r>
    </w:p>
    <w:p>
      <w:pPr>
        <w:spacing w:line="252" w:lineRule="exact" w:before="0"/>
        <w:ind w:left="1439" w:right="0" w:firstLine="0"/>
        <w:jc w:val="left"/>
        <w:rPr>
          <w:sz w:val="22"/>
        </w:rPr>
      </w:pPr>
      <w:r>
        <w:rPr>
          <w:sz w:val="22"/>
        </w:rPr>
        <w:t>Permanent,</w:t>
      </w:r>
      <w:r>
        <w:rPr>
          <w:spacing w:val="-9"/>
          <w:sz w:val="22"/>
        </w:rPr>
        <w:t> </w:t>
      </w:r>
      <w:r>
        <w:rPr>
          <w:sz w:val="22"/>
        </w:rPr>
        <w:t>added</w:t>
      </w:r>
      <w:r>
        <w:rPr>
          <w:spacing w:val="-10"/>
          <w:sz w:val="22"/>
        </w:rPr>
        <w:t> </w:t>
      </w:r>
      <w:r>
        <w:rPr>
          <w:spacing w:val="-2"/>
          <w:sz w:val="22"/>
        </w:rPr>
        <w:t>(b)(4)</w:t>
      </w:r>
    </w:p>
    <w:p>
      <w:pPr>
        <w:spacing w:after="0" w:line="252" w:lineRule="exact"/>
        <w:jc w:val="left"/>
        <w:rPr>
          <w:sz w:val="22"/>
        </w:rPr>
        <w:sectPr>
          <w:pgSz w:w="12240" w:h="15840"/>
          <w:pgMar w:top="1340" w:bottom="280" w:left="1080" w:right="720"/>
        </w:sectPr>
      </w:pPr>
    </w:p>
    <w:p>
      <w:pPr>
        <w:pStyle w:val="Heading2"/>
      </w:pPr>
      <w:bookmarkStart w:name="612:10-7-167.  Compensatory training" w:id="187"/>
      <w:bookmarkEnd w:id="187"/>
      <w:r>
        <w:rPr>
          <w:b w:val="0"/>
        </w:rPr>
      </w:r>
      <w:r>
        <w:rPr/>
        <w:t>612:10-7-167.</w:t>
      </w:r>
      <w:r>
        <w:rPr>
          <w:spacing w:val="55"/>
        </w:rPr>
        <w:t> </w:t>
      </w:r>
      <w:r>
        <w:rPr/>
        <w:t>Compensatory</w:t>
      </w:r>
      <w:r>
        <w:rPr>
          <w:spacing w:val="-5"/>
        </w:rPr>
        <w:t> </w:t>
      </w:r>
      <w:r>
        <w:rPr>
          <w:spacing w:val="-2"/>
        </w:rPr>
        <w:t>training</w:t>
      </w:r>
    </w:p>
    <w:p>
      <w:pPr>
        <w:pStyle w:val="BodyText"/>
        <w:spacing w:line="208" w:lineRule="auto" w:before="233"/>
        <w:ind w:right="855" w:firstLine="450"/>
      </w:pPr>
      <w:r>
        <w:rPr/>
        <w:t>Compensatory training is defined as training required so that the client can benefit from</w:t>
      </w:r>
      <w:r>
        <w:rPr>
          <w:spacing w:val="-3"/>
        </w:rPr>
        <w:t> </w:t>
      </w:r>
      <w:r>
        <w:rPr/>
        <w:t>a</w:t>
      </w:r>
      <w:r>
        <w:rPr>
          <w:spacing w:val="-5"/>
        </w:rPr>
        <w:t> </w:t>
      </w:r>
      <w:r>
        <w:rPr/>
        <w:t>formal</w:t>
      </w:r>
      <w:r>
        <w:rPr>
          <w:spacing w:val="-4"/>
        </w:rPr>
        <w:t> </w:t>
      </w:r>
      <w:r>
        <w:rPr/>
        <w:t>training</w:t>
      </w:r>
      <w:r>
        <w:rPr>
          <w:spacing w:val="-3"/>
        </w:rPr>
        <w:t> </w:t>
      </w:r>
      <w:r>
        <w:rPr/>
        <w:t>program</w:t>
      </w:r>
      <w:r>
        <w:rPr>
          <w:spacing w:val="-3"/>
        </w:rPr>
        <w:t> </w:t>
      </w:r>
      <w:r>
        <w:rPr/>
        <w:t>or</w:t>
      </w:r>
      <w:r>
        <w:rPr>
          <w:spacing w:val="-5"/>
        </w:rPr>
        <w:t> </w:t>
      </w:r>
      <w:r>
        <w:rPr/>
        <w:t>enter</w:t>
      </w:r>
      <w:r>
        <w:rPr>
          <w:spacing w:val="-3"/>
        </w:rPr>
        <w:t> </w:t>
      </w:r>
      <w:r>
        <w:rPr/>
        <w:t>or</w:t>
      </w:r>
      <w:r>
        <w:rPr>
          <w:spacing w:val="-5"/>
        </w:rPr>
        <w:t> </w:t>
      </w:r>
      <w:r>
        <w:rPr/>
        <w:t>retain</w:t>
      </w:r>
      <w:r>
        <w:rPr>
          <w:spacing w:val="-4"/>
        </w:rPr>
        <w:t> </w:t>
      </w:r>
      <w:r>
        <w:rPr/>
        <w:t>employment.</w:t>
      </w:r>
      <w:r>
        <w:rPr>
          <w:spacing w:val="-3"/>
        </w:rPr>
        <w:t> </w:t>
      </w:r>
      <w:r>
        <w:rPr>
          <w:b/>
        </w:rPr>
        <w:t>1</w:t>
      </w:r>
      <w:r>
        <w:rPr>
          <w:b/>
          <w:spacing w:val="-5"/>
        </w:rPr>
        <w:t> </w:t>
      </w:r>
      <w:r>
        <w:rPr/>
        <w:t>Compensatory</w:t>
      </w:r>
      <w:r>
        <w:rPr>
          <w:spacing w:val="-4"/>
        </w:rPr>
        <w:t> </w:t>
      </w:r>
      <w:r>
        <w:rPr/>
        <w:t>training is important to individuals who have cognitive problems due to traumatic brain injury, specific learning disabilities or sensory deficits.</w:t>
      </w:r>
    </w:p>
    <w:p>
      <w:pPr>
        <w:pStyle w:val="BodyText"/>
        <w:spacing w:before="210"/>
      </w:pPr>
      <w:r>
        <w:rPr/>
        <w:t>INSTRUCTIONS</w:t>
      </w:r>
      <w:r>
        <w:rPr>
          <w:spacing w:val="-3"/>
        </w:rPr>
        <w:t> </w:t>
      </w:r>
      <w:r>
        <w:rPr/>
        <w:t>TO</w:t>
      </w:r>
      <w:r>
        <w:rPr>
          <w:spacing w:val="-2"/>
        </w:rPr>
        <w:t> </w:t>
      </w:r>
      <w:r>
        <w:rPr>
          <w:spacing w:val="-4"/>
        </w:rPr>
        <w:t>STAFF</w:t>
      </w:r>
    </w:p>
    <w:p>
      <w:pPr>
        <w:pStyle w:val="BodyText"/>
        <w:spacing w:line="208" w:lineRule="auto" w:before="233"/>
        <w:ind w:right="775"/>
      </w:pPr>
      <w:r>
        <w:rPr/>
        <w:t>1.</w:t>
      </w:r>
      <w:r>
        <w:rPr>
          <w:spacing w:val="80"/>
        </w:rPr>
        <w:t> </w:t>
      </w:r>
      <w:r>
        <w:rPr/>
        <w:t>Link</w:t>
      </w:r>
      <w:r>
        <w:rPr>
          <w:spacing w:val="-3"/>
        </w:rPr>
        <w:t> </w:t>
      </w:r>
      <w:r>
        <w:rPr/>
        <w:t>to</w:t>
      </w:r>
      <w:r>
        <w:rPr>
          <w:spacing w:val="-3"/>
        </w:rPr>
        <w:t> </w:t>
      </w:r>
      <w:hyperlink w:history="true" w:anchor="_bookmark6">
        <w:r>
          <w:rPr>
            <w:color w:val="0000FF"/>
            <w:u w:val="single" w:color="0000FF"/>
          </w:rPr>
          <w:t>612:10-3-3</w:t>
        </w:r>
      </w:hyperlink>
      <w:r>
        <w:rPr>
          <w:color w:val="0000FF"/>
          <w:spacing w:val="-3"/>
          <w:u w:val="none"/>
        </w:rPr>
        <w:t> </w:t>
      </w:r>
      <w:r>
        <w:rPr>
          <w:u w:val="none"/>
        </w:rPr>
        <w:t>Participation</w:t>
      </w:r>
      <w:r>
        <w:rPr>
          <w:spacing w:val="-3"/>
          <w:u w:val="none"/>
        </w:rPr>
        <w:t> </w:t>
      </w:r>
      <w:r>
        <w:rPr>
          <w:u w:val="none"/>
        </w:rPr>
        <w:t>of</w:t>
      </w:r>
      <w:r>
        <w:rPr>
          <w:spacing w:val="-2"/>
          <w:u w:val="none"/>
        </w:rPr>
        <w:t> </w:t>
      </w:r>
      <w:r>
        <w:rPr>
          <w:u w:val="none"/>
        </w:rPr>
        <w:t>individuals</w:t>
      </w:r>
      <w:r>
        <w:rPr>
          <w:spacing w:val="-2"/>
          <w:u w:val="none"/>
        </w:rPr>
        <w:t> </w:t>
      </w:r>
      <w:r>
        <w:rPr>
          <w:u w:val="none"/>
        </w:rPr>
        <w:t>in</w:t>
      </w:r>
      <w:r>
        <w:rPr>
          <w:spacing w:val="-3"/>
          <w:u w:val="none"/>
        </w:rPr>
        <w:t> </w:t>
      </w:r>
      <w:r>
        <w:rPr>
          <w:u w:val="none"/>
        </w:rPr>
        <w:t>cost</w:t>
      </w:r>
      <w:r>
        <w:rPr>
          <w:spacing w:val="-2"/>
          <w:u w:val="none"/>
        </w:rPr>
        <w:t> </w:t>
      </w:r>
      <w:r>
        <w:rPr>
          <w:u w:val="none"/>
        </w:rPr>
        <w:t>of</w:t>
      </w:r>
      <w:r>
        <w:rPr>
          <w:spacing w:val="-4"/>
          <w:u w:val="none"/>
        </w:rPr>
        <w:t> </w:t>
      </w:r>
      <w:r>
        <w:rPr>
          <w:u w:val="none"/>
        </w:rPr>
        <w:t>services</w:t>
      </w:r>
      <w:r>
        <w:rPr>
          <w:spacing w:val="-3"/>
          <w:u w:val="none"/>
        </w:rPr>
        <w:t> </w:t>
      </w:r>
      <w:r>
        <w:rPr>
          <w:u w:val="none"/>
        </w:rPr>
        <w:t>based</w:t>
      </w:r>
      <w:r>
        <w:rPr>
          <w:spacing w:val="-3"/>
          <w:u w:val="none"/>
        </w:rPr>
        <w:t> </w:t>
      </w:r>
      <w:r>
        <w:rPr>
          <w:u w:val="none"/>
        </w:rPr>
        <w:t>on</w:t>
      </w:r>
      <w:r>
        <w:rPr>
          <w:spacing w:val="-3"/>
          <w:u w:val="none"/>
        </w:rPr>
        <w:t> </w:t>
      </w:r>
      <w:r>
        <w:rPr>
          <w:u w:val="none"/>
        </w:rPr>
        <w:t>financial </w:t>
      </w:r>
      <w:r>
        <w:rPr>
          <w:spacing w:val="-2"/>
          <w:u w:val="none"/>
        </w:rPr>
        <w:t>needs</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4-3-96</w:t>
      </w:r>
      <w:r>
        <w:rPr>
          <w:sz w:val="22"/>
        </w:rPr>
        <w:tab/>
        <w:t>PT Memo #96-2</w:t>
      </w:r>
    </w:p>
    <w:p>
      <w:pPr>
        <w:spacing w:before="1"/>
        <w:ind w:left="359" w:right="775" w:firstLine="1080"/>
        <w:jc w:val="left"/>
        <w:rPr>
          <w:sz w:val="22"/>
        </w:rPr>
      </w:pPr>
      <w:r>
        <w:rPr>
          <w:sz w:val="22"/>
        </w:rPr>
        <w:t>Emergency,</w:t>
      </w:r>
      <w:r>
        <w:rPr>
          <w:spacing w:val="-4"/>
          <w:sz w:val="22"/>
        </w:rPr>
        <w:t> </w:t>
      </w:r>
      <w:r>
        <w:rPr>
          <w:sz w:val="22"/>
        </w:rPr>
        <w:t>clarified</w:t>
      </w:r>
      <w:r>
        <w:rPr>
          <w:spacing w:val="-4"/>
          <w:sz w:val="22"/>
        </w:rPr>
        <w:t> </w:t>
      </w:r>
      <w:r>
        <w:rPr>
          <w:sz w:val="22"/>
        </w:rPr>
        <w:t>that</w:t>
      </w:r>
      <w:r>
        <w:rPr>
          <w:spacing w:val="-4"/>
          <w:sz w:val="22"/>
        </w:rPr>
        <w:t> </w:t>
      </w:r>
      <w:r>
        <w:rPr>
          <w:sz w:val="22"/>
        </w:rPr>
        <w:t>compensatory</w:t>
      </w:r>
      <w:r>
        <w:rPr>
          <w:spacing w:val="-4"/>
          <w:sz w:val="22"/>
        </w:rPr>
        <w:t> </w:t>
      </w:r>
      <w:r>
        <w:rPr>
          <w:sz w:val="22"/>
        </w:rPr>
        <w:t>training</w:t>
      </w:r>
      <w:r>
        <w:rPr>
          <w:spacing w:val="-4"/>
          <w:sz w:val="22"/>
        </w:rPr>
        <w:t> </w:t>
      </w:r>
      <w:r>
        <w:rPr>
          <w:sz w:val="22"/>
        </w:rPr>
        <w:t>is</w:t>
      </w:r>
      <w:r>
        <w:rPr>
          <w:spacing w:val="-4"/>
          <w:sz w:val="22"/>
        </w:rPr>
        <w:t> </w:t>
      </w:r>
      <w:r>
        <w:rPr>
          <w:sz w:val="22"/>
        </w:rPr>
        <w:t>to</w:t>
      </w:r>
      <w:r>
        <w:rPr>
          <w:spacing w:val="-4"/>
          <w:sz w:val="22"/>
        </w:rPr>
        <w:t> </w:t>
      </w:r>
      <w:r>
        <w:rPr>
          <w:sz w:val="22"/>
        </w:rPr>
        <w:t>be</w:t>
      </w:r>
      <w:r>
        <w:rPr>
          <w:spacing w:val="-4"/>
          <w:sz w:val="22"/>
        </w:rPr>
        <w:t> </w:t>
      </w:r>
      <w:r>
        <w:rPr>
          <w:sz w:val="22"/>
        </w:rPr>
        <w:t>directly</w:t>
      </w:r>
      <w:r>
        <w:rPr>
          <w:spacing w:val="-4"/>
          <w:sz w:val="22"/>
        </w:rPr>
        <w:t> </w:t>
      </w:r>
      <w:r>
        <w:rPr>
          <w:sz w:val="22"/>
        </w:rPr>
        <w:t>related</w:t>
      </w:r>
      <w:r>
        <w:rPr>
          <w:spacing w:val="-4"/>
          <w:sz w:val="22"/>
        </w:rPr>
        <w:t> </w:t>
      </w:r>
      <w:r>
        <w:rPr>
          <w:sz w:val="22"/>
        </w:rPr>
        <w:t>to </w:t>
      </w:r>
      <w:r>
        <w:rPr>
          <w:spacing w:val="-2"/>
          <w:sz w:val="22"/>
        </w:rPr>
        <w:t>employment</w:t>
      </w:r>
    </w:p>
    <w:p>
      <w:pPr>
        <w:pStyle w:val="ListParagraph"/>
        <w:numPr>
          <w:ilvl w:val="2"/>
          <w:numId w:val="206"/>
        </w:numPr>
        <w:tabs>
          <w:tab w:pos="1439" w:val="left" w:leader="none"/>
        </w:tabs>
        <w:spacing w:line="252"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#97-</w:t>
      </w:r>
      <w:r>
        <w:rPr>
          <w:spacing w:val="-10"/>
          <w:sz w:val="22"/>
        </w:rPr>
        <w:t>9</w:t>
      </w:r>
    </w:p>
    <w:p>
      <w:pPr>
        <w:pStyle w:val="BodyText"/>
        <w:spacing w:before="0"/>
        <w:ind w:left="1800"/>
      </w:pPr>
      <w:r>
        <w:rPr/>
        <w:t>Permanent,</w:t>
      </w:r>
      <w:r>
        <w:rPr>
          <w:spacing w:val="-7"/>
        </w:rPr>
        <w:t> </w:t>
      </w:r>
      <w:r>
        <w:rPr/>
        <w:t>supersedes</w:t>
      </w:r>
      <w:r>
        <w:rPr>
          <w:spacing w:val="-5"/>
        </w:rPr>
        <w:t> </w:t>
      </w:r>
      <w:r>
        <w:rPr/>
        <w:t>emergency</w:t>
      </w:r>
      <w:r>
        <w:rPr>
          <w:spacing w:val="-5"/>
        </w:rPr>
        <w:t> </w:t>
      </w:r>
      <w:r>
        <w:rPr/>
        <w:t>rules</w:t>
      </w:r>
      <w:r>
        <w:rPr>
          <w:spacing w:val="-5"/>
        </w:rPr>
        <w:t> </w:t>
      </w:r>
      <w:r>
        <w:rPr/>
        <w:t>issued</w:t>
      </w:r>
      <w:r>
        <w:rPr>
          <w:spacing w:val="-5"/>
        </w:rPr>
        <w:t> </w:t>
      </w:r>
      <w:r>
        <w:rPr/>
        <w:t>4-3-</w:t>
      </w:r>
      <w:r>
        <w:rPr>
          <w:spacing w:val="-5"/>
        </w:rPr>
        <w:t>96</w:t>
      </w:r>
    </w:p>
    <w:p>
      <w:pPr>
        <w:pStyle w:val="BodyText"/>
        <w:spacing w:after="0"/>
        <w:sectPr>
          <w:pgSz w:w="12240" w:h="15840"/>
          <w:pgMar w:top="1340" w:bottom="280" w:left="1080" w:right="720"/>
        </w:sectPr>
      </w:pPr>
    </w:p>
    <w:p>
      <w:pPr>
        <w:pStyle w:val="Heading2"/>
      </w:pPr>
      <w:bookmarkStart w:name="612:10-7-170.  Work experience, internsh" w:id="188"/>
      <w:bookmarkEnd w:id="188"/>
      <w:r>
        <w:rPr>
          <w:b w:val="0"/>
        </w:rPr>
      </w:r>
      <w:r>
        <w:rPr/>
        <w:t>612:10-7-170.</w:t>
      </w:r>
      <w:r>
        <w:rPr>
          <w:spacing w:val="58"/>
        </w:rPr>
        <w:t> </w:t>
      </w:r>
      <w:r>
        <w:rPr/>
        <w:t>Work</w:t>
      </w:r>
      <w:r>
        <w:rPr>
          <w:spacing w:val="-5"/>
        </w:rPr>
        <w:t> </w:t>
      </w:r>
      <w:r>
        <w:rPr/>
        <w:t>experience,</w:t>
      </w:r>
      <w:r>
        <w:rPr>
          <w:spacing w:val="-3"/>
        </w:rPr>
        <w:t> </w:t>
      </w:r>
      <w:r>
        <w:rPr/>
        <w:t>internship</w:t>
      </w:r>
      <w:r>
        <w:rPr>
          <w:spacing w:val="-4"/>
        </w:rPr>
        <w:t> </w:t>
      </w:r>
      <w:r>
        <w:rPr/>
        <w:t>and</w:t>
      </w:r>
      <w:r>
        <w:rPr>
          <w:spacing w:val="-4"/>
        </w:rPr>
        <w:t> </w:t>
      </w:r>
      <w:r>
        <w:rPr>
          <w:spacing w:val="-2"/>
        </w:rPr>
        <w:t>apprenticeship</w:t>
      </w:r>
    </w:p>
    <w:p>
      <w:pPr>
        <w:pStyle w:val="ListParagraph"/>
        <w:numPr>
          <w:ilvl w:val="0"/>
          <w:numId w:val="207"/>
        </w:numPr>
        <w:tabs>
          <w:tab w:pos="785" w:val="left" w:leader="none"/>
        </w:tabs>
        <w:spacing w:line="208" w:lineRule="auto" w:before="233" w:after="0"/>
        <w:ind w:left="360" w:right="939" w:firstLine="0"/>
        <w:jc w:val="left"/>
        <w:rPr>
          <w:sz w:val="24"/>
        </w:rPr>
      </w:pPr>
      <w:r>
        <w:rPr>
          <w:sz w:val="24"/>
        </w:rPr>
        <w:t>Work</w:t>
      </w:r>
      <w:r>
        <w:rPr>
          <w:spacing w:val="-1"/>
          <w:sz w:val="24"/>
        </w:rPr>
        <w:t> </w:t>
      </w:r>
      <w:r>
        <w:rPr>
          <w:sz w:val="24"/>
        </w:rPr>
        <w:t>experience, internship</w:t>
      </w:r>
      <w:r>
        <w:rPr>
          <w:spacing w:val="-1"/>
          <w:sz w:val="24"/>
        </w:rPr>
        <w:t> </w:t>
      </w:r>
      <w:r>
        <w:rPr>
          <w:sz w:val="24"/>
        </w:rPr>
        <w:t>and</w:t>
      </w:r>
      <w:r>
        <w:rPr>
          <w:spacing w:val="-1"/>
          <w:sz w:val="24"/>
        </w:rPr>
        <w:t> </w:t>
      </w:r>
      <w:r>
        <w:rPr>
          <w:sz w:val="24"/>
        </w:rPr>
        <w:t>apprenticeship</w:t>
      </w:r>
      <w:r>
        <w:rPr>
          <w:spacing w:val="-1"/>
          <w:sz w:val="24"/>
        </w:rPr>
        <w:t> </w:t>
      </w:r>
      <w:r>
        <w:rPr>
          <w:sz w:val="24"/>
        </w:rPr>
        <w:t>opportunities</w:t>
      </w:r>
      <w:r>
        <w:rPr>
          <w:spacing w:val="-1"/>
          <w:sz w:val="24"/>
        </w:rPr>
        <w:t> </w:t>
      </w:r>
      <w:r>
        <w:rPr>
          <w:sz w:val="24"/>
        </w:rPr>
        <w:t>are</w:t>
      </w:r>
      <w:r>
        <w:rPr>
          <w:spacing w:val="-1"/>
          <w:sz w:val="24"/>
        </w:rPr>
        <w:t> </w:t>
      </w:r>
      <w:r>
        <w:rPr>
          <w:sz w:val="24"/>
        </w:rPr>
        <w:t>types</w:t>
      </w:r>
      <w:r>
        <w:rPr>
          <w:spacing w:val="-1"/>
          <w:sz w:val="24"/>
        </w:rPr>
        <w:t> </w:t>
      </w:r>
      <w:r>
        <w:rPr>
          <w:sz w:val="24"/>
        </w:rPr>
        <w:t>of</w:t>
      </w:r>
      <w:r>
        <w:rPr>
          <w:spacing w:val="-3"/>
          <w:sz w:val="24"/>
        </w:rPr>
        <w:t> </w:t>
      </w:r>
      <w:r>
        <w:rPr>
          <w:sz w:val="24"/>
        </w:rPr>
        <w:t>training that may be provided or arranged to help clients gain experience in the world of work, improve</w:t>
      </w:r>
      <w:r>
        <w:rPr>
          <w:spacing w:val="-4"/>
          <w:sz w:val="24"/>
        </w:rPr>
        <w:t> </w:t>
      </w:r>
      <w:r>
        <w:rPr>
          <w:sz w:val="24"/>
        </w:rPr>
        <w:t>job</w:t>
      </w:r>
      <w:r>
        <w:rPr>
          <w:spacing w:val="-4"/>
          <w:sz w:val="24"/>
        </w:rPr>
        <w:t> </w:t>
      </w:r>
      <w:r>
        <w:rPr>
          <w:sz w:val="24"/>
        </w:rPr>
        <w:t>readiness,</w:t>
      </w:r>
      <w:r>
        <w:rPr>
          <w:spacing w:val="-3"/>
          <w:sz w:val="24"/>
        </w:rPr>
        <w:t> </w:t>
      </w:r>
      <w:r>
        <w:rPr>
          <w:sz w:val="24"/>
        </w:rPr>
        <w:t>develop</w:t>
      </w:r>
      <w:r>
        <w:rPr>
          <w:spacing w:val="-4"/>
          <w:sz w:val="24"/>
        </w:rPr>
        <w:t> </w:t>
      </w:r>
      <w:r>
        <w:rPr>
          <w:sz w:val="24"/>
        </w:rPr>
        <w:t>a</w:t>
      </w:r>
      <w:r>
        <w:rPr>
          <w:spacing w:val="-4"/>
          <w:sz w:val="24"/>
        </w:rPr>
        <w:t> </w:t>
      </w:r>
      <w:r>
        <w:rPr>
          <w:sz w:val="24"/>
        </w:rPr>
        <w:t>work</w:t>
      </w:r>
      <w:r>
        <w:rPr>
          <w:spacing w:val="-4"/>
          <w:sz w:val="24"/>
        </w:rPr>
        <w:t> </w:t>
      </w:r>
      <w:r>
        <w:rPr>
          <w:sz w:val="24"/>
        </w:rPr>
        <w:t>record</w:t>
      </w:r>
      <w:r>
        <w:rPr>
          <w:spacing w:val="-4"/>
          <w:sz w:val="24"/>
        </w:rPr>
        <w:t> </w:t>
      </w:r>
      <w:r>
        <w:rPr>
          <w:sz w:val="24"/>
        </w:rPr>
        <w:t>to</w:t>
      </w:r>
      <w:r>
        <w:rPr>
          <w:spacing w:val="-4"/>
          <w:sz w:val="24"/>
        </w:rPr>
        <w:t> </w:t>
      </w:r>
      <w:r>
        <w:rPr>
          <w:sz w:val="24"/>
        </w:rPr>
        <w:t>advance</w:t>
      </w:r>
      <w:r>
        <w:rPr>
          <w:spacing w:val="-4"/>
          <w:sz w:val="24"/>
        </w:rPr>
        <w:t> </w:t>
      </w:r>
      <w:r>
        <w:rPr>
          <w:sz w:val="24"/>
        </w:rPr>
        <w:t>future</w:t>
      </w:r>
      <w:r>
        <w:rPr>
          <w:spacing w:val="-5"/>
          <w:sz w:val="24"/>
        </w:rPr>
        <w:t> </w:t>
      </w:r>
      <w:r>
        <w:rPr>
          <w:sz w:val="24"/>
        </w:rPr>
        <w:t>employment,</w:t>
      </w:r>
      <w:r>
        <w:rPr>
          <w:spacing w:val="-3"/>
          <w:sz w:val="24"/>
        </w:rPr>
        <w:t> </w:t>
      </w:r>
      <w:r>
        <w:rPr>
          <w:sz w:val="24"/>
        </w:rPr>
        <w:t>make</w:t>
      </w:r>
      <w:r>
        <w:rPr>
          <w:spacing w:val="-4"/>
          <w:sz w:val="24"/>
        </w:rPr>
        <w:t> </w:t>
      </w:r>
      <w:r>
        <w:rPr>
          <w:sz w:val="24"/>
        </w:rPr>
        <w:t>or refine vocational goal decisions, develop career/discipline familiarity, obtain specific skills related to a career choice, or prepare for a specific occupation.</w:t>
      </w:r>
    </w:p>
    <w:p>
      <w:pPr>
        <w:pStyle w:val="ListParagraph"/>
        <w:numPr>
          <w:ilvl w:val="0"/>
          <w:numId w:val="207"/>
        </w:numPr>
        <w:tabs>
          <w:tab w:pos="785" w:val="left" w:leader="none"/>
        </w:tabs>
        <w:spacing w:line="208" w:lineRule="auto" w:before="239" w:after="0"/>
        <w:ind w:left="360" w:right="872" w:firstLine="0"/>
        <w:jc w:val="left"/>
        <w:rPr>
          <w:sz w:val="24"/>
        </w:rPr>
      </w:pPr>
      <w:r>
        <w:rPr>
          <w:sz w:val="24"/>
        </w:rPr>
        <w:t>Work</w:t>
      </w:r>
      <w:r>
        <w:rPr>
          <w:spacing w:val="-4"/>
          <w:sz w:val="24"/>
        </w:rPr>
        <w:t> </w:t>
      </w:r>
      <w:r>
        <w:rPr>
          <w:sz w:val="24"/>
        </w:rPr>
        <w:t>experiences,</w:t>
      </w:r>
      <w:r>
        <w:rPr>
          <w:spacing w:val="-2"/>
          <w:sz w:val="24"/>
        </w:rPr>
        <w:t> </w:t>
      </w:r>
      <w:r>
        <w:rPr>
          <w:sz w:val="24"/>
        </w:rPr>
        <w:t>internships</w:t>
      </w:r>
      <w:r>
        <w:rPr>
          <w:spacing w:val="-3"/>
          <w:sz w:val="24"/>
        </w:rPr>
        <w:t> </w:t>
      </w:r>
      <w:r>
        <w:rPr>
          <w:sz w:val="24"/>
        </w:rPr>
        <w:t>and</w:t>
      </w:r>
      <w:r>
        <w:rPr>
          <w:spacing w:val="-4"/>
          <w:sz w:val="24"/>
        </w:rPr>
        <w:t> </w:t>
      </w:r>
      <w:r>
        <w:rPr>
          <w:sz w:val="24"/>
        </w:rPr>
        <w:t>apprenticeships</w:t>
      </w:r>
      <w:r>
        <w:rPr>
          <w:spacing w:val="-3"/>
          <w:sz w:val="24"/>
        </w:rPr>
        <w:t> </w:t>
      </w:r>
      <w:r>
        <w:rPr>
          <w:sz w:val="24"/>
        </w:rPr>
        <w:t>may</w:t>
      </w:r>
      <w:r>
        <w:rPr>
          <w:spacing w:val="-4"/>
          <w:sz w:val="24"/>
        </w:rPr>
        <w:t> </w:t>
      </w:r>
      <w:r>
        <w:rPr>
          <w:sz w:val="24"/>
        </w:rPr>
        <w:t>be</w:t>
      </w:r>
      <w:r>
        <w:rPr>
          <w:spacing w:val="-4"/>
          <w:sz w:val="24"/>
        </w:rPr>
        <w:t> </w:t>
      </w:r>
      <w:r>
        <w:rPr>
          <w:sz w:val="24"/>
        </w:rPr>
        <w:t>arranged</w:t>
      </w:r>
      <w:r>
        <w:rPr>
          <w:spacing w:val="-4"/>
          <w:sz w:val="24"/>
        </w:rPr>
        <w:t> </w:t>
      </w:r>
      <w:r>
        <w:rPr>
          <w:sz w:val="24"/>
        </w:rPr>
        <w:t>with</w:t>
      </w:r>
      <w:r>
        <w:rPr>
          <w:spacing w:val="-4"/>
          <w:sz w:val="24"/>
        </w:rPr>
        <w:t> </w:t>
      </w:r>
      <w:r>
        <w:rPr>
          <w:sz w:val="24"/>
        </w:rPr>
        <w:t>public</w:t>
      </w:r>
      <w:r>
        <w:rPr>
          <w:spacing w:val="-4"/>
          <w:sz w:val="24"/>
        </w:rPr>
        <w:t> </w:t>
      </w:r>
      <w:r>
        <w:rPr>
          <w:sz w:val="24"/>
        </w:rPr>
        <w:t>or private organizations or employers.</w:t>
      </w:r>
    </w:p>
    <w:p>
      <w:pPr>
        <w:pStyle w:val="ListParagraph"/>
        <w:numPr>
          <w:ilvl w:val="0"/>
          <w:numId w:val="207"/>
        </w:numPr>
        <w:tabs>
          <w:tab w:pos="773" w:val="left" w:leader="none"/>
        </w:tabs>
        <w:spacing w:line="208" w:lineRule="auto" w:before="240" w:after="0"/>
        <w:ind w:left="360" w:right="979" w:firstLine="0"/>
        <w:jc w:val="left"/>
        <w:rPr>
          <w:sz w:val="24"/>
        </w:rPr>
      </w:pPr>
      <w:r>
        <w:rPr>
          <w:sz w:val="24"/>
        </w:rPr>
        <w:t>To the extent that costs of providing work experiences, internships or apprenticeships are not met by employers or through comparable benefits, DRS may provide these types of training through agreement or contracted with the employer or organization, in accordance with agency procedures for purchase of services. Work experiences,</w:t>
      </w:r>
      <w:r>
        <w:rPr>
          <w:spacing w:val="-4"/>
          <w:sz w:val="24"/>
        </w:rPr>
        <w:t> </w:t>
      </w:r>
      <w:r>
        <w:rPr>
          <w:sz w:val="24"/>
        </w:rPr>
        <w:t>internships</w:t>
      </w:r>
      <w:r>
        <w:rPr>
          <w:spacing w:val="-5"/>
          <w:sz w:val="24"/>
        </w:rPr>
        <w:t> </w:t>
      </w:r>
      <w:r>
        <w:rPr>
          <w:sz w:val="24"/>
        </w:rPr>
        <w:t>and</w:t>
      </w:r>
      <w:r>
        <w:rPr>
          <w:spacing w:val="-5"/>
          <w:sz w:val="24"/>
        </w:rPr>
        <w:t> </w:t>
      </w:r>
      <w:r>
        <w:rPr>
          <w:sz w:val="24"/>
        </w:rPr>
        <w:t>apprenticeships</w:t>
      </w:r>
      <w:r>
        <w:rPr>
          <w:spacing w:val="-5"/>
          <w:sz w:val="24"/>
        </w:rPr>
        <w:t> </w:t>
      </w:r>
      <w:r>
        <w:rPr>
          <w:sz w:val="24"/>
        </w:rPr>
        <w:t>do</w:t>
      </w:r>
      <w:r>
        <w:rPr>
          <w:spacing w:val="-5"/>
          <w:sz w:val="24"/>
        </w:rPr>
        <w:t> </w:t>
      </w:r>
      <w:r>
        <w:rPr>
          <w:sz w:val="24"/>
        </w:rPr>
        <w:t>not</w:t>
      </w:r>
      <w:r>
        <w:rPr>
          <w:spacing w:val="-4"/>
          <w:sz w:val="24"/>
        </w:rPr>
        <w:t> </w:t>
      </w:r>
      <w:r>
        <w:rPr>
          <w:sz w:val="24"/>
        </w:rPr>
        <w:t>require</w:t>
      </w:r>
      <w:r>
        <w:rPr>
          <w:spacing w:val="-5"/>
          <w:sz w:val="24"/>
        </w:rPr>
        <w:t> </w:t>
      </w:r>
      <w:r>
        <w:rPr>
          <w:sz w:val="24"/>
        </w:rPr>
        <w:t>client</w:t>
      </w:r>
      <w:r>
        <w:rPr>
          <w:spacing w:val="-4"/>
          <w:sz w:val="24"/>
        </w:rPr>
        <w:t> </w:t>
      </w:r>
      <w:r>
        <w:rPr>
          <w:sz w:val="24"/>
        </w:rPr>
        <w:t>participation</w:t>
      </w:r>
      <w:r>
        <w:rPr>
          <w:spacing w:val="-5"/>
          <w:sz w:val="24"/>
        </w:rPr>
        <w:t> </w:t>
      </w:r>
      <w:r>
        <w:rPr>
          <w:sz w:val="24"/>
        </w:rPr>
        <w:t>in</w:t>
      </w:r>
      <w:r>
        <w:rPr>
          <w:spacing w:val="-5"/>
          <w:sz w:val="24"/>
        </w:rPr>
        <w:t> </w:t>
      </w:r>
      <w:r>
        <w:rPr>
          <w:sz w:val="24"/>
        </w:rPr>
        <w:t>cost of services.</w:t>
      </w:r>
    </w:p>
    <w:p>
      <w:pPr>
        <w:pStyle w:val="ListParagraph"/>
        <w:numPr>
          <w:ilvl w:val="0"/>
          <w:numId w:val="207"/>
        </w:numPr>
        <w:tabs>
          <w:tab w:pos="785" w:val="left" w:leader="none"/>
        </w:tabs>
        <w:spacing w:line="208" w:lineRule="auto" w:before="240" w:after="0"/>
        <w:ind w:left="360" w:right="752" w:firstLine="0"/>
        <w:jc w:val="left"/>
        <w:rPr>
          <w:sz w:val="24"/>
        </w:rPr>
      </w:pPr>
      <w:r>
        <w:rPr>
          <w:sz w:val="24"/>
        </w:rPr>
        <w:t>Work</w:t>
      </w:r>
      <w:r>
        <w:rPr>
          <w:spacing w:val="-4"/>
          <w:sz w:val="24"/>
        </w:rPr>
        <w:t> </w:t>
      </w:r>
      <w:r>
        <w:rPr>
          <w:sz w:val="24"/>
        </w:rPr>
        <w:t>experiences</w:t>
      </w:r>
      <w:r>
        <w:rPr>
          <w:spacing w:val="-3"/>
          <w:sz w:val="24"/>
        </w:rPr>
        <w:t> </w:t>
      </w:r>
      <w:r>
        <w:rPr>
          <w:sz w:val="24"/>
        </w:rPr>
        <w:t>and</w:t>
      </w:r>
      <w:r>
        <w:rPr>
          <w:spacing w:val="-4"/>
          <w:sz w:val="24"/>
        </w:rPr>
        <w:t> </w:t>
      </w:r>
      <w:r>
        <w:rPr>
          <w:sz w:val="24"/>
        </w:rPr>
        <w:t>internships</w:t>
      </w:r>
      <w:r>
        <w:rPr>
          <w:spacing w:val="-4"/>
          <w:sz w:val="24"/>
        </w:rPr>
        <w:t> </w:t>
      </w:r>
      <w:r>
        <w:rPr>
          <w:sz w:val="24"/>
        </w:rPr>
        <w:t>or</w:t>
      </w:r>
      <w:r>
        <w:rPr>
          <w:spacing w:val="-3"/>
          <w:sz w:val="24"/>
        </w:rPr>
        <w:t> </w:t>
      </w:r>
      <w:r>
        <w:rPr>
          <w:sz w:val="24"/>
        </w:rPr>
        <w:t>any</w:t>
      </w:r>
      <w:r>
        <w:rPr>
          <w:spacing w:val="-4"/>
          <w:sz w:val="24"/>
        </w:rPr>
        <w:t> </w:t>
      </w:r>
      <w:r>
        <w:rPr>
          <w:sz w:val="24"/>
        </w:rPr>
        <w:t>combination</w:t>
      </w:r>
      <w:r>
        <w:rPr>
          <w:spacing w:val="-4"/>
          <w:sz w:val="24"/>
        </w:rPr>
        <w:t> </w:t>
      </w:r>
      <w:r>
        <w:rPr>
          <w:sz w:val="24"/>
        </w:rPr>
        <w:t>of</w:t>
      </w:r>
      <w:r>
        <w:rPr>
          <w:spacing w:val="-3"/>
          <w:sz w:val="24"/>
        </w:rPr>
        <w:t> </w:t>
      </w:r>
      <w:r>
        <w:rPr>
          <w:sz w:val="24"/>
        </w:rPr>
        <w:t>such</w:t>
      </w:r>
      <w:r>
        <w:rPr>
          <w:spacing w:val="-4"/>
          <w:sz w:val="24"/>
        </w:rPr>
        <w:t> </w:t>
      </w:r>
      <w:r>
        <w:rPr>
          <w:sz w:val="24"/>
        </w:rPr>
        <w:t>experiences</w:t>
      </w:r>
      <w:r>
        <w:rPr>
          <w:spacing w:val="-3"/>
          <w:sz w:val="24"/>
        </w:rPr>
        <w:t> </w:t>
      </w:r>
      <w:r>
        <w:rPr>
          <w:sz w:val="24"/>
        </w:rPr>
        <w:t>provided for a client by DRS may be of any duration not to exceed six months except with supervisory approval.</w:t>
      </w:r>
    </w:p>
    <w:p>
      <w:pPr>
        <w:spacing w:before="243"/>
        <w:ind w:left="360" w:right="0" w:firstLine="0"/>
        <w:jc w:val="left"/>
        <w:rPr>
          <w:sz w:val="22"/>
        </w:rPr>
      </w:pPr>
      <w:r>
        <w:rPr>
          <w:sz w:val="22"/>
        </w:rPr>
        <w:t>Instructions</w:t>
      </w:r>
      <w:r>
        <w:rPr>
          <w:spacing w:val="-8"/>
          <w:sz w:val="22"/>
        </w:rPr>
        <w:t> </w:t>
      </w:r>
      <w:r>
        <w:rPr>
          <w:sz w:val="22"/>
        </w:rPr>
        <w:t>to</w:t>
      </w:r>
      <w:r>
        <w:rPr>
          <w:spacing w:val="-8"/>
          <w:sz w:val="22"/>
        </w:rPr>
        <w:t> </w:t>
      </w:r>
      <w:r>
        <w:rPr>
          <w:spacing w:val="-2"/>
          <w:sz w:val="22"/>
        </w:rPr>
        <w:t>Staff</w:t>
      </w:r>
    </w:p>
    <w:p>
      <w:pPr>
        <w:pStyle w:val="BodyText"/>
        <w:spacing w:before="1"/>
        <w:ind w:left="0"/>
        <w:rPr>
          <w:sz w:val="22"/>
        </w:rPr>
      </w:pPr>
    </w:p>
    <w:p>
      <w:pPr>
        <w:pStyle w:val="BodyText"/>
        <w:spacing w:before="0"/>
        <w:ind w:left="720"/>
      </w:pPr>
      <w:r>
        <w:rPr/>
        <w:t>1.</w:t>
      </w:r>
      <w:r>
        <w:rPr>
          <w:spacing w:val="91"/>
        </w:rPr>
        <w:t> </w:t>
      </w:r>
      <w:hyperlink r:id="rId59">
        <w:r>
          <w:rPr>
            <w:color w:val="0000FF"/>
            <w:spacing w:val="-2"/>
            <w:u w:val="single" w:color="0000FF"/>
          </w:rPr>
          <w:t>https://drs.okdrs.gov/sites/training/AWARE/Pages/Education.aspx</w:t>
        </w:r>
      </w:hyperlink>
    </w:p>
    <w:p>
      <w:pPr>
        <w:spacing w:before="252"/>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360" w:right="0" w:firstLine="0"/>
        <w:jc w:val="left"/>
        <w:rPr>
          <w:sz w:val="22"/>
        </w:rPr>
      </w:pPr>
      <w:r>
        <w:rPr>
          <w:spacing w:val="-2"/>
          <w:sz w:val="22"/>
        </w:rPr>
        <w:t>9-11-</w:t>
      </w:r>
      <w:r>
        <w:rPr>
          <w:spacing w:val="-5"/>
          <w:sz w:val="22"/>
        </w:rPr>
        <w:t>17</w:t>
      </w:r>
      <w:r>
        <w:rPr>
          <w:sz w:val="22"/>
        </w:rPr>
        <w:tab/>
        <w:t>Permanent,</w:t>
      </w:r>
      <w:r>
        <w:rPr>
          <w:spacing w:val="-8"/>
          <w:sz w:val="22"/>
        </w:rPr>
        <w:t> </w:t>
      </w:r>
      <w:r>
        <w:rPr>
          <w:sz w:val="22"/>
        </w:rPr>
        <w:t>new</w:t>
      </w:r>
      <w:r>
        <w:rPr>
          <w:spacing w:val="-9"/>
          <w:sz w:val="22"/>
        </w:rPr>
        <w:t> </w:t>
      </w:r>
      <w:r>
        <w:rPr>
          <w:spacing w:val="-4"/>
          <w:sz w:val="22"/>
        </w:rPr>
        <w:t>rule</w:t>
      </w:r>
    </w:p>
    <w:p>
      <w:pPr>
        <w:spacing w:after="0"/>
        <w:jc w:val="left"/>
        <w:rPr>
          <w:sz w:val="22"/>
        </w:rPr>
        <w:sectPr>
          <w:pgSz w:w="12240" w:h="15840"/>
          <w:pgMar w:top="1340" w:bottom="280" w:left="1080" w:right="720"/>
        </w:sectPr>
      </w:pPr>
    </w:p>
    <w:p>
      <w:pPr>
        <w:pStyle w:val="Heading2"/>
        <w:spacing w:line="208" w:lineRule="auto" w:before="96"/>
        <w:ind w:left="359" w:right="775"/>
      </w:pPr>
      <w:bookmarkStart w:name="612:10-7-171. Credential attainment and " w:id="189"/>
      <w:bookmarkEnd w:id="189"/>
      <w:r>
        <w:rPr>
          <w:b w:val="0"/>
        </w:rPr>
      </w:r>
      <w:r>
        <w:rPr/>
        <w:t>612:10-7-171.</w:t>
      </w:r>
      <w:r>
        <w:rPr>
          <w:spacing w:val="-4"/>
        </w:rPr>
        <w:t> </w:t>
      </w:r>
      <w:r>
        <w:rPr/>
        <w:t>Credential</w:t>
      </w:r>
      <w:r>
        <w:rPr>
          <w:spacing w:val="-4"/>
        </w:rPr>
        <w:t> </w:t>
      </w:r>
      <w:r>
        <w:rPr/>
        <w:t>attainment</w:t>
      </w:r>
      <w:r>
        <w:rPr>
          <w:spacing w:val="-4"/>
        </w:rPr>
        <w:t> </w:t>
      </w:r>
      <w:r>
        <w:rPr/>
        <w:t>and</w:t>
      </w:r>
      <w:r>
        <w:rPr>
          <w:spacing w:val="-6"/>
        </w:rPr>
        <w:t> </w:t>
      </w:r>
      <w:r>
        <w:rPr/>
        <w:t>measurable</w:t>
      </w:r>
      <w:r>
        <w:rPr>
          <w:spacing w:val="-5"/>
        </w:rPr>
        <w:t> </w:t>
      </w:r>
      <w:r>
        <w:rPr/>
        <w:t>skill</w:t>
      </w:r>
      <w:r>
        <w:rPr>
          <w:spacing w:val="-6"/>
        </w:rPr>
        <w:t> </w:t>
      </w:r>
      <w:r>
        <w:rPr/>
        <w:t>gains</w:t>
      </w:r>
      <w:r>
        <w:rPr>
          <w:spacing w:val="-5"/>
        </w:rPr>
        <w:t> </w:t>
      </w:r>
      <w:r>
        <w:rPr/>
        <w:t>for</w:t>
      </w:r>
      <w:r>
        <w:rPr>
          <w:spacing w:val="-5"/>
        </w:rPr>
        <w:t> </w:t>
      </w:r>
      <w:r>
        <w:rPr/>
        <w:t>post- secondary training programs</w:t>
      </w:r>
    </w:p>
    <w:p>
      <w:pPr>
        <w:pStyle w:val="ListParagraph"/>
        <w:numPr>
          <w:ilvl w:val="0"/>
          <w:numId w:val="208"/>
        </w:numPr>
        <w:tabs>
          <w:tab w:pos="785" w:val="left" w:leader="none"/>
        </w:tabs>
        <w:spacing w:line="208" w:lineRule="auto" w:before="240" w:after="0"/>
        <w:ind w:left="359" w:right="766" w:firstLine="0"/>
        <w:jc w:val="left"/>
        <w:rPr>
          <w:sz w:val="24"/>
        </w:rPr>
      </w:pPr>
      <w:r>
        <w:rPr>
          <w:sz w:val="24"/>
        </w:rPr>
        <w:t>Recognized</w:t>
      </w:r>
      <w:r>
        <w:rPr>
          <w:spacing w:val="-6"/>
          <w:sz w:val="24"/>
        </w:rPr>
        <w:t> </w:t>
      </w:r>
      <w:r>
        <w:rPr>
          <w:sz w:val="24"/>
        </w:rPr>
        <w:t>Postsecondary</w:t>
      </w:r>
      <w:r>
        <w:rPr>
          <w:spacing w:val="-6"/>
          <w:sz w:val="24"/>
        </w:rPr>
        <w:t> </w:t>
      </w:r>
      <w:r>
        <w:rPr>
          <w:sz w:val="24"/>
        </w:rPr>
        <w:t>Credentials:</w:t>
      </w:r>
      <w:r>
        <w:rPr>
          <w:spacing w:val="-5"/>
          <w:sz w:val="24"/>
        </w:rPr>
        <w:t> </w:t>
      </w:r>
      <w:r>
        <w:rPr>
          <w:sz w:val="24"/>
        </w:rPr>
        <w:t>A</w:t>
      </w:r>
      <w:r>
        <w:rPr>
          <w:spacing w:val="-6"/>
          <w:sz w:val="24"/>
        </w:rPr>
        <w:t> </w:t>
      </w:r>
      <w:r>
        <w:rPr>
          <w:sz w:val="24"/>
        </w:rPr>
        <w:t>Recognized</w:t>
      </w:r>
      <w:r>
        <w:rPr>
          <w:spacing w:val="-6"/>
          <w:sz w:val="24"/>
        </w:rPr>
        <w:t> </w:t>
      </w:r>
      <w:r>
        <w:rPr>
          <w:sz w:val="24"/>
        </w:rPr>
        <w:t>Postsecondary</w:t>
      </w:r>
      <w:r>
        <w:rPr>
          <w:spacing w:val="-6"/>
          <w:sz w:val="24"/>
        </w:rPr>
        <w:t> </w:t>
      </w:r>
      <w:r>
        <w:rPr>
          <w:sz w:val="24"/>
        </w:rPr>
        <w:t>Credential</w:t>
      </w:r>
      <w:r>
        <w:rPr>
          <w:spacing w:val="-6"/>
          <w:sz w:val="24"/>
        </w:rPr>
        <w:t> </w:t>
      </w:r>
      <w:r>
        <w:rPr>
          <w:sz w:val="24"/>
        </w:rPr>
        <w:t>is defined as a credential consisting of an industry-recognized certificate or certification, a certificate of completion of an apprenticeship, a license recognized by the State involved or Federal Government, or an associate or baccalaureate degree, as well as graduate degrees for purposes of the VR program as required by section 103(a)(5) of the Rehabilitation Act of 1973, as amended by Title IV of WIOA. A recognized postsecondary credential is awarded in recognition of an individual's attainment of measurable technical or industry/occupational skills necessary to obtain employment or advance within an industry/occupation. These technical or industry/occupational skills generally are based on standards developed or endorsed by employers or industry </w:t>
      </w:r>
      <w:r>
        <w:rPr>
          <w:spacing w:val="-2"/>
          <w:sz w:val="24"/>
        </w:rPr>
        <w:t>associations.</w:t>
      </w:r>
    </w:p>
    <w:p>
      <w:pPr>
        <w:pStyle w:val="ListParagraph"/>
        <w:numPr>
          <w:ilvl w:val="0"/>
          <w:numId w:val="208"/>
        </w:numPr>
        <w:tabs>
          <w:tab w:pos="785" w:val="left" w:leader="none"/>
        </w:tabs>
        <w:spacing w:line="208" w:lineRule="auto" w:before="239" w:after="0"/>
        <w:ind w:left="359" w:right="832" w:firstLine="0"/>
        <w:jc w:val="left"/>
        <w:rPr>
          <w:sz w:val="24"/>
        </w:rPr>
      </w:pPr>
      <w:r>
        <w:rPr>
          <w:sz w:val="24"/>
        </w:rPr>
        <w:t>Credential Attainment: Under the WIOA, workforce agencies are required to report the percentage of those participants enrolled in an education or training program (excluding those in OJT and customized training) who attained a recognized postsecondary credential during participation in or within one year after closure of the case. This is based on the sub-regulatory guidance related to the implementation and operation</w:t>
      </w:r>
      <w:r>
        <w:rPr>
          <w:spacing w:val="-4"/>
          <w:sz w:val="24"/>
        </w:rPr>
        <w:t> </w:t>
      </w:r>
      <w:r>
        <w:rPr>
          <w:sz w:val="24"/>
        </w:rPr>
        <w:t>of</w:t>
      </w:r>
      <w:r>
        <w:rPr>
          <w:spacing w:val="-3"/>
          <w:sz w:val="24"/>
        </w:rPr>
        <w:t> </w:t>
      </w:r>
      <w:r>
        <w:rPr>
          <w:sz w:val="24"/>
        </w:rPr>
        <w:t>the</w:t>
      </w:r>
      <w:r>
        <w:rPr>
          <w:spacing w:val="-4"/>
          <w:sz w:val="24"/>
        </w:rPr>
        <w:t> </w:t>
      </w:r>
      <w:r>
        <w:rPr>
          <w:sz w:val="24"/>
        </w:rPr>
        <w:t>performance</w:t>
      </w:r>
      <w:r>
        <w:rPr>
          <w:spacing w:val="-4"/>
          <w:sz w:val="24"/>
        </w:rPr>
        <w:t> </w:t>
      </w:r>
      <w:r>
        <w:rPr>
          <w:sz w:val="24"/>
        </w:rPr>
        <w:t>accountability</w:t>
      </w:r>
      <w:r>
        <w:rPr>
          <w:spacing w:val="-4"/>
          <w:sz w:val="24"/>
        </w:rPr>
        <w:t> </w:t>
      </w:r>
      <w:r>
        <w:rPr>
          <w:sz w:val="24"/>
        </w:rPr>
        <w:t>system</w:t>
      </w:r>
      <w:r>
        <w:rPr>
          <w:spacing w:val="-3"/>
          <w:sz w:val="24"/>
        </w:rPr>
        <w:t> </w:t>
      </w:r>
      <w:r>
        <w:rPr>
          <w:sz w:val="24"/>
        </w:rPr>
        <w:t>under</w:t>
      </w:r>
      <w:r>
        <w:rPr>
          <w:spacing w:val="-3"/>
          <w:sz w:val="24"/>
        </w:rPr>
        <w:t> </w:t>
      </w:r>
      <w:r>
        <w:rPr>
          <w:sz w:val="24"/>
        </w:rPr>
        <w:t>section</w:t>
      </w:r>
      <w:r>
        <w:rPr>
          <w:spacing w:val="-4"/>
          <w:sz w:val="24"/>
        </w:rPr>
        <w:t> </w:t>
      </w:r>
      <w:r>
        <w:rPr>
          <w:sz w:val="24"/>
        </w:rPr>
        <w:t>116</w:t>
      </w:r>
      <w:r>
        <w:rPr>
          <w:spacing w:val="-4"/>
          <w:sz w:val="24"/>
        </w:rPr>
        <w:t> </w:t>
      </w:r>
      <w:r>
        <w:rPr>
          <w:sz w:val="24"/>
        </w:rPr>
        <w:t>of</w:t>
      </w:r>
      <w:r>
        <w:rPr>
          <w:spacing w:val="-3"/>
          <w:sz w:val="24"/>
        </w:rPr>
        <w:t> </w:t>
      </w:r>
      <w:r>
        <w:rPr>
          <w:sz w:val="24"/>
        </w:rPr>
        <w:t>WIOA</w:t>
      </w:r>
      <w:r>
        <w:rPr>
          <w:spacing w:val="-4"/>
          <w:sz w:val="24"/>
        </w:rPr>
        <w:t> </w:t>
      </w:r>
      <w:r>
        <w:rPr>
          <w:sz w:val="24"/>
        </w:rPr>
        <w:t>and</w:t>
      </w:r>
      <w:r>
        <w:rPr>
          <w:spacing w:val="-4"/>
          <w:sz w:val="24"/>
        </w:rPr>
        <w:t> </w:t>
      </w:r>
      <w:r>
        <w:rPr>
          <w:sz w:val="24"/>
        </w:rPr>
        <w:t>the implementing regulations in 34 CFR parts 361 subpart E.</w:t>
      </w:r>
    </w:p>
    <w:p>
      <w:pPr>
        <w:pStyle w:val="ListParagraph"/>
        <w:numPr>
          <w:ilvl w:val="0"/>
          <w:numId w:val="208"/>
        </w:numPr>
        <w:tabs>
          <w:tab w:pos="772" w:val="left" w:leader="none"/>
        </w:tabs>
        <w:spacing w:line="208" w:lineRule="auto" w:before="239" w:after="0"/>
        <w:ind w:left="359" w:right="1060" w:firstLine="0"/>
        <w:jc w:val="left"/>
        <w:rPr>
          <w:sz w:val="24"/>
        </w:rPr>
      </w:pPr>
      <w:r>
        <w:rPr>
          <w:sz w:val="24"/>
        </w:rPr>
        <w:t>In addition, agencies are expected to report documented progress (academic, technical, occupational, or other) that a participant makes in a training or education program toward obtaining a recognized postsecondary credential. This progress is reported</w:t>
      </w:r>
      <w:r>
        <w:rPr>
          <w:spacing w:val="-3"/>
          <w:sz w:val="24"/>
        </w:rPr>
        <w:t> </w:t>
      </w:r>
      <w:r>
        <w:rPr>
          <w:sz w:val="24"/>
        </w:rPr>
        <w:t>throughout</w:t>
      </w:r>
      <w:r>
        <w:rPr>
          <w:spacing w:val="-2"/>
          <w:sz w:val="24"/>
        </w:rPr>
        <w:t> </w:t>
      </w:r>
      <w:r>
        <w:rPr>
          <w:sz w:val="24"/>
        </w:rPr>
        <w:t>the</w:t>
      </w:r>
      <w:r>
        <w:rPr>
          <w:spacing w:val="-3"/>
          <w:sz w:val="24"/>
        </w:rPr>
        <w:t> </w:t>
      </w:r>
      <w:r>
        <w:rPr>
          <w:sz w:val="24"/>
        </w:rPr>
        <w:t>life</w:t>
      </w:r>
      <w:r>
        <w:rPr>
          <w:spacing w:val="-3"/>
          <w:sz w:val="24"/>
        </w:rPr>
        <w:t> </w:t>
      </w:r>
      <w:r>
        <w:rPr>
          <w:sz w:val="24"/>
        </w:rPr>
        <w:t>of</w:t>
      </w:r>
      <w:r>
        <w:rPr>
          <w:spacing w:val="-2"/>
          <w:sz w:val="24"/>
        </w:rPr>
        <w:t> </w:t>
      </w:r>
      <w:r>
        <w:rPr>
          <w:sz w:val="24"/>
        </w:rPr>
        <w:t>the</w:t>
      </w:r>
      <w:r>
        <w:rPr>
          <w:spacing w:val="-4"/>
          <w:sz w:val="24"/>
        </w:rPr>
        <w:t> </w:t>
      </w:r>
      <w:r>
        <w:rPr>
          <w:sz w:val="24"/>
        </w:rPr>
        <w:t>case</w:t>
      </w:r>
      <w:r>
        <w:rPr>
          <w:spacing w:val="-3"/>
          <w:sz w:val="24"/>
        </w:rPr>
        <w:t> </w:t>
      </w:r>
      <w:r>
        <w:rPr>
          <w:sz w:val="24"/>
        </w:rPr>
        <w:t>and</w:t>
      </w:r>
      <w:r>
        <w:rPr>
          <w:spacing w:val="-3"/>
          <w:sz w:val="24"/>
        </w:rPr>
        <w:t> </w:t>
      </w:r>
      <w:r>
        <w:rPr>
          <w:sz w:val="24"/>
        </w:rPr>
        <w:t>are</w:t>
      </w:r>
      <w:r>
        <w:rPr>
          <w:spacing w:val="-3"/>
          <w:sz w:val="24"/>
        </w:rPr>
        <w:t> </w:t>
      </w:r>
      <w:r>
        <w:rPr>
          <w:sz w:val="24"/>
        </w:rPr>
        <w:t>referred</w:t>
      </w:r>
      <w:r>
        <w:rPr>
          <w:spacing w:val="-3"/>
          <w:sz w:val="24"/>
        </w:rPr>
        <w:t> </w:t>
      </w:r>
      <w:r>
        <w:rPr>
          <w:sz w:val="24"/>
        </w:rPr>
        <w:t>to</w:t>
      </w:r>
      <w:r>
        <w:rPr>
          <w:spacing w:val="-3"/>
          <w:sz w:val="24"/>
        </w:rPr>
        <w:t> </w:t>
      </w:r>
      <w:r>
        <w:rPr>
          <w:sz w:val="24"/>
        </w:rPr>
        <w:t>as</w:t>
      </w:r>
      <w:r>
        <w:rPr>
          <w:spacing w:val="-3"/>
          <w:sz w:val="24"/>
        </w:rPr>
        <w:t> </w:t>
      </w:r>
      <w:r>
        <w:rPr>
          <w:sz w:val="24"/>
        </w:rPr>
        <w:t>Measurable</w:t>
      </w:r>
      <w:r>
        <w:rPr>
          <w:spacing w:val="-3"/>
          <w:sz w:val="24"/>
        </w:rPr>
        <w:t> </w:t>
      </w:r>
      <w:r>
        <w:rPr>
          <w:sz w:val="24"/>
        </w:rPr>
        <w:t>Skill</w:t>
      </w:r>
      <w:r>
        <w:rPr>
          <w:spacing w:val="-3"/>
          <w:sz w:val="24"/>
        </w:rPr>
        <w:t> </w:t>
      </w:r>
      <w:r>
        <w:rPr>
          <w:sz w:val="24"/>
        </w:rPr>
        <w:t>Gains </w:t>
      </w:r>
      <w:r>
        <w:rPr>
          <w:spacing w:val="-2"/>
          <w:sz w:val="24"/>
        </w:rPr>
        <w:t>(MSG).</w:t>
      </w:r>
    </w:p>
    <w:p>
      <w:pPr>
        <w:pStyle w:val="ListParagraph"/>
        <w:numPr>
          <w:ilvl w:val="0"/>
          <w:numId w:val="208"/>
        </w:numPr>
        <w:tabs>
          <w:tab w:pos="785" w:val="left" w:leader="none"/>
        </w:tabs>
        <w:spacing w:line="208" w:lineRule="auto" w:before="239" w:after="0"/>
        <w:ind w:left="359" w:right="736" w:firstLine="0"/>
        <w:jc w:val="left"/>
        <w:rPr>
          <w:sz w:val="24"/>
        </w:rPr>
      </w:pPr>
      <w:r>
        <w:rPr>
          <w:sz w:val="24"/>
        </w:rPr>
        <w:t>Reporting credential attainment and Measurable Skill Gains: The goal to achieve a credential through a recognized education or training program must be included on the IPE in order to properly report Credential Attainments and MSGs. No Credentials or MSG's are reported on cases that have not reached Service status or higher. It is expected that Participants assist with obtaining the required documentation and staff</w:t>
      </w:r>
      <w:r>
        <w:rPr>
          <w:spacing w:val="40"/>
          <w:sz w:val="24"/>
        </w:rPr>
        <w:t> </w:t>
      </w:r>
      <w:r>
        <w:rPr>
          <w:sz w:val="24"/>
        </w:rPr>
        <w:t>are to use DRS electronic case management system to record credential attainments and</w:t>
      </w:r>
      <w:r>
        <w:rPr>
          <w:spacing w:val="-4"/>
          <w:sz w:val="24"/>
        </w:rPr>
        <w:t> </w:t>
      </w:r>
      <w:r>
        <w:rPr>
          <w:sz w:val="24"/>
        </w:rPr>
        <w:t>MSGs,</w:t>
      </w:r>
      <w:r>
        <w:rPr>
          <w:spacing w:val="-4"/>
          <w:sz w:val="24"/>
        </w:rPr>
        <w:t> </w:t>
      </w:r>
      <w:r>
        <w:rPr>
          <w:sz w:val="24"/>
        </w:rPr>
        <w:t>as</w:t>
      </w:r>
      <w:r>
        <w:rPr>
          <w:spacing w:val="-4"/>
          <w:sz w:val="24"/>
        </w:rPr>
        <w:t> </w:t>
      </w:r>
      <w:r>
        <w:rPr>
          <w:sz w:val="24"/>
        </w:rPr>
        <w:t>soon</w:t>
      </w:r>
      <w:r>
        <w:rPr>
          <w:spacing w:val="-4"/>
          <w:sz w:val="24"/>
        </w:rPr>
        <w:t> </w:t>
      </w:r>
      <w:r>
        <w:rPr>
          <w:sz w:val="24"/>
        </w:rPr>
        <w:t>as</w:t>
      </w:r>
      <w:r>
        <w:rPr>
          <w:spacing w:val="-4"/>
          <w:sz w:val="24"/>
        </w:rPr>
        <w:t> </w:t>
      </w:r>
      <w:r>
        <w:rPr>
          <w:sz w:val="24"/>
        </w:rPr>
        <w:t>documented</w:t>
      </w:r>
      <w:r>
        <w:rPr>
          <w:spacing w:val="-4"/>
          <w:sz w:val="24"/>
        </w:rPr>
        <w:t> </w:t>
      </w:r>
      <w:r>
        <w:rPr>
          <w:sz w:val="24"/>
        </w:rPr>
        <w:t>proof</w:t>
      </w:r>
      <w:r>
        <w:rPr>
          <w:spacing w:val="-3"/>
          <w:sz w:val="24"/>
        </w:rPr>
        <w:t> </w:t>
      </w:r>
      <w:r>
        <w:rPr>
          <w:sz w:val="24"/>
        </w:rPr>
        <w:t>has</w:t>
      </w:r>
      <w:r>
        <w:rPr>
          <w:spacing w:val="-4"/>
          <w:sz w:val="24"/>
        </w:rPr>
        <w:t> </w:t>
      </w:r>
      <w:r>
        <w:rPr>
          <w:sz w:val="24"/>
        </w:rPr>
        <w:t>been</w:t>
      </w:r>
      <w:r>
        <w:rPr>
          <w:spacing w:val="-4"/>
          <w:sz w:val="24"/>
        </w:rPr>
        <w:t> </w:t>
      </w:r>
      <w:r>
        <w:rPr>
          <w:sz w:val="24"/>
        </w:rPr>
        <w:t>obtained.</w:t>
      </w:r>
      <w:r>
        <w:rPr>
          <w:spacing w:val="-3"/>
          <w:sz w:val="24"/>
        </w:rPr>
        <w:t> </w:t>
      </w:r>
      <w:r>
        <w:rPr>
          <w:sz w:val="24"/>
        </w:rPr>
        <w:t>Credential</w:t>
      </w:r>
      <w:r>
        <w:rPr>
          <w:spacing w:val="-4"/>
          <w:sz w:val="24"/>
        </w:rPr>
        <w:t> </w:t>
      </w:r>
      <w:r>
        <w:rPr>
          <w:sz w:val="24"/>
        </w:rPr>
        <w:t>attainment</w:t>
      </w:r>
      <w:r>
        <w:rPr>
          <w:spacing w:val="-3"/>
          <w:sz w:val="24"/>
        </w:rPr>
        <w:t> </w:t>
      </w:r>
      <w:r>
        <w:rPr>
          <w:sz w:val="24"/>
        </w:rPr>
        <w:t>can be reported up to one year after case closure. Measurable Skill Gains are only reported prior to case closure.</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1"/>
        <w:ind w:left="360" w:right="0" w:firstLine="0"/>
        <w:jc w:val="left"/>
        <w:rPr>
          <w:sz w:val="22"/>
        </w:rPr>
      </w:pPr>
      <w:r>
        <w:rPr>
          <w:spacing w:val="-2"/>
          <w:sz w:val="22"/>
        </w:rPr>
        <w:t>9-11-</w:t>
      </w:r>
      <w:r>
        <w:rPr>
          <w:spacing w:val="-5"/>
          <w:sz w:val="22"/>
        </w:rPr>
        <w:t>22</w:t>
      </w:r>
      <w:r>
        <w:rPr>
          <w:sz w:val="22"/>
        </w:rPr>
        <w:tab/>
        <w:t>Permanent,</w:t>
      </w:r>
      <w:r>
        <w:rPr>
          <w:spacing w:val="-8"/>
          <w:sz w:val="22"/>
        </w:rPr>
        <w:t> </w:t>
      </w:r>
      <w:r>
        <w:rPr>
          <w:sz w:val="22"/>
        </w:rPr>
        <w:t>new</w:t>
      </w:r>
      <w:r>
        <w:rPr>
          <w:spacing w:val="-9"/>
          <w:sz w:val="22"/>
        </w:rPr>
        <w:t> </w:t>
      </w:r>
      <w:r>
        <w:rPr>
          <w:spacing w:val="-4"/>
          <w:sz w:val="22"/>
        </w:rPr>
        <w:t>rule</w:t>
      </w:r>
    </w:p>
    <w:p>
      <w:pPr>
        <w:spacing w:after="0"/>
        <w:jc w:val="left"/>
        <w:rPr>
          <w:sz w:val="22"/>
        </w:rPr>
        <w:sectPr>
          <w:pgSz w:w="12240" w:h="15840"/>
          <w:pgMar w:top="1340" w:bottom="280" w:left="1080" w:right="720"/>
        </w:sectPr>
      </w:pPr>
    </w:p>
    <w:p>
      <w:pPr>
        <w:pStyle w:val="Heading1"/>
        <w:ind w:right="780"/>
      </w:pPr>
      <w:bookmarkStart w:name="PART 17.  SUPPORTED EMPLOYMENT SERVICES" w:id="190"/>
      <w:bookmarkEnd w:id="190"/>
      <w:r>
        <w:rPr>
          <w:b w:val="0"/>
        </w:rPr>
      </w:r>
      <w:r>
        <w:rPr/>
        <w:t>PART</w:t>
      </w:r>
      <w:r>
        <w:rPr>
          <w:spacing w:val="-2"/>
        </w:rPr>
        <w:t> </w:t>
      </w:r>
      <w:r>
        <w:rPr/>
        <w:t>17.</w:t>
      </w:r>
      <w:r>
        <w:rPr>
          <w:spacing w:val="60"/>
        </w:rPr>
        <w:t> </w:t>
      </w:r>
      <w:r>
        <w:rPr/>
        <w:t>SUPPORTED</w:t>
      </w:r>
      <w:r>
        <w:rPr>
          <w:spacing w:val="-2"/>
        </w:rPr>
        <w:t> </w:t>
      </w:r>
      <w:r>
        <w:rPr/>
        <w:t>EMPLOYMENT</w:t>
      </w:r>
      <w:r>
        <w:rPr>
          <w:spacing w:val="-2"/>
        </w:rPr>
        <w:t> SERVICES</w:t>
      </w:r>
    </w:p>
    <w:p>
      <w:pPr>
        <w:pStyle w:val="BodyText"/>
        <w:spacing w:before="204"/>
      </w:pPr>
      <w:r>
        <w:rPr>
          <w:spacing w:val="-2"/>
        </w:rPr>
        <w:t>Section</w:t>
      </w:r>
    </w:p>
    <w:p>
      <w:pPr>
        <w:pStyle w:val="BodyText"/>
        <w:tabs>
          <w:tab w:pos="2519" w:val="left" w:leader="none"/>
        </w:tabs>
        <w:spacing w:line="417" w:lineRule="auto" w:before="204"/>
        <w:ind w:right="2676"/>
      </w:pPr>
      <w:r>
        <w:rPr>
          <w:spacing w:val="-2"/>
        </w:rPr>
        <w:t>612:10-7-179.</w:t>
      </w:r>
      <w:r>
        <w:rPr/>
        <w:tab/>
        <w:t>Overview of Supported Employment Services </w:t>
      </w:r>
      <w:r>
        <w:rPr>
          <w:spacing w:val="-2"/>
        </w:rPr>
        <w:t>612:10-7-180.</w:t>
      </w:r>
      <w:r>
        <w:rPr/>
        <w:tab/>
        <w:t>Eligibility</w:t>
      </w:r>
      <w:r>
        <w:rPr>
          <w:spacing w:val="-8"/>
        </w:rPr>
        <w:t> </w:t>
      </w:r>
      <w:r>
        <w:rPr/>
        <w:t>for</w:t>
      </w:r>
      <w:r>
        <w:rPr>
          <w:spacing w:val="-7"/>
        </w:rPr>
        <w:t> </w:t>
      </w:r>
      <w:r>
        <w:rPr/>
        <w:t>the</w:t>
      </w:r>
      <w:r>
        <w:rPr>
          <w:spacing w:val="-8"/>
        </w:rPr>
        <w:t> </w:t>
      </w:r>
      <w:r>
        <w:rPr/>
        <w:t>Supported</w:t>
      </w:r>
      <w:r>
        <w:rPr>
          <w:spacing w:val="-8"/>
        </w:rPr>
        <w:t> </w:t>
      </w:r>
      <w:r>
        <w:rPr/>
        <w:t>Employment</w:t>
      </w:r>
      <w:r>
        <w:rPr>
          <w:spacing w:val="-7"/>
        </w:rPr>
        <w:t> </w:t>
      </w:r>
      <w:r>
        <w:rPr/>
        <w:t>Services </w:t>
      </w:r>
      <w:r>
        <w:rPr>
          <w:spacing w:val="-2"/>
        </w:rPr>
        <w:t>612:10-7-181.</w:t>
      </w:r>
      <w:r>
        <w:rPr/>
        <w:tab/>
        <w:t>Integrated settings</w:t>
      </w:r>
    </w:p>
    <w:p>
      <w:pPr>
        <w:pStyle w:val="BodyText"/>
        <w:tabs>
          <w:tab w:pos="2519" w:val="left" w:leader="none"/>
        </w:tabs>
        <w:spacing w:line="208" w:lineRule="auto" w:before="28"/>
        <w:ind w:left="2519" w:right="1222" w:hanging="2160"/>
      </w:pPr>
      <w:r>
        <w:rPr>
          <w:spacing w:val="-2"/>
        </w:rPr>
        <w:t>612:10-7-182.</w:t>
      </w:r>
      <w:r>
        <w:rPr/>
        <w:tab/>
        <w:t>Competitive</w:t>
      </w:r>
      <w:r>
        <w:rPr>
          <w:spacing w:val="-8"/>
        </w:rPr>
        <w:t> </w:t>
      </w:r>
      <w:r>
        <w:rPr/>
        <w:t>integrated</w:t>
      </w:r>
      <w:r>
        <w:rPr>
          <w:spacing w:val="-8"/>
        </w:rPr>
        <w:t> </w:t>
      </w:r>
      <w:r>
        <w:rPr/>
        <w:t>employment</w:t>
      </w:r>
      <w:r>
        <w:rPr>
          <w:spacing w:val="-8"/>
        </w:rPr>
        <w:t> </w:t>
      </w:r>
      <w:r>
        <w:rPr/>
        <w:t>for</w:t>
      </w:r>
      <w:r>
        <w:rPr>
          <w:spacing w:val="-8"/>
        </w:rPr>
        <w:t> </w:t>
      </w:r>
      <w:r>
        <w:rPr/>
        <w:t>Supported</w:t>
      </w:r>
      <w:r>
        <w:rPr>
          <w:spacing w:val="-8"/>
        </w:rPr>
        <w:t> </w:t>
      </w:r>
      <w:r>
        <w:rPr/>
        <w:t>Employment </w:t>
      </w:r>
      <w:r>
        <w:rPr>
          <w:spacing w:val="-2"/>
        </w:rPr>
        <w:t>clients</w:t>
      </w:r>
    </w:p>
    <w:p>
      <w:pPr>
        <w:pStyle w:val="BodyText"/>
        <w:tabs>
          <w:tab w:pos="2519" w:val="left" w:leader="none"/>
        </w:tabs>
        <w:spacing w:line="417" w:lineRule="auto" w:before="211"/>
        <w:ind w:left="359" w:right="5196"/>
      </w:pPr>
      <w:r>
        <w:rPr>
          <w:spacing w:val="-2"/>
        </w:rPr>
        <w:t>612:10-7-183.</w:t>
      </w:r>
      <w:r>
        <w:rPr/>
        <w:tab/>
        <w:t>Ongoing</w:t>
      </w:r>
      <w:r>
        <w:rPr>
          <w:spacing w:val="-17"/>
        </w:rPr>
        <w:t> </w:t>
      </w:r>
      <w:r>
        <w:rPr/>
        <w:t>support</w:t>
      </w:r>
      <w:r>
        <w:rPr>
          <w:spacing w:val="-17"/>
        </w:rPr>
        <w:t> </w:t>
      </w:r>
      <w:r>
        <w:rPr/>
        <w:t>services </w:t>
      </w:r>
      <w:r>
        <w:rPr>
          <w:spacing w:val="-2"/>
        </w:rPr>
        <w:t>612:10-7-184.</w:t>
      </w:r>
      <w:r>
        <w:rPr/>
        <w:tab/>
        <w:t>Extended services</w:t>
      </w:r>
    </w:p>
    <w:p>
      <w:pPr>
        <w:pStyle w:val="BodyText"/>
        <w:tabs>
          <w:tab w:pos="2519" w:val="left" w:leader="none"/>
        </w:tabs>
        <w:spacing w:line="276" w:lineRule="exact" w:before="0"/>
        <w:ind w:left="359"/>
      </w:pPr>
      <w:r>
        <w:rPr>
          <w:spacing w:val="-2"/>
        </w:rPr>
        <w:t>612:10-7-</w:t>
      </w:r>
      <w:r>
        <w:rPr>
          <w:spacing w:val="-4"/>
        </w:rPr>
        <w:t>185.</w:t>
      </w:r>
      <w:r>
        <w:rPr/>
        <w:tab/>
        <w:t>Provision</w:t>
      </w:r>
      <w:r>
        <w:rPr>
          <w:spacing w:val="-6"/>
        </w:rPr>
        <w:t> </w:t>
      </w:r>
      <w:r>
        <w:rPr/>
        <w:t>of</w:t>
      </w:r>
      <w:r>
        <w:rPr>
          <w:spacing w:val="-3"/>
        </w:rPr>
        <w:t> </w:t>
      </w:r>
      <w:r>
        <w:rPr/>
        <w:t>supported</w:t>
      </w:r>
      <w:r>
        <w:rPr>
          <w:spacing w:val="-4"/>
        </w:rPr>
        <w:t> </w:t>
      </w:r>
      <w:r>
        <w:rPr/>
        <w:t>employment</w:t>
      </w:r>
      <w:r>
        <w:rPr>
          <w:spacing w:val="-3"/>
        </w:rPr>
        <w:t> </w:t>
      </w:r>
      <w:r>
        <w:rPr>
          <w:spacing w:val="-2"/>
        </w:rPr>
        <w:t>services</w:t>
      </w:r>
    </w:p>
    <w:p>
      <w:pPr>
        <w:pStyle w:val="BodyText"/>
        <w:spacing w:after="0" w:line="276" w:lineRule="exact"/>
        <w:sectPr>
          <w:pgSz w:w="12240" w:h="15840"/>
          <w:pgMar w:top="1340" w:bottom="280" w:left="1080" w:right="720"/>
        </w:sectPr>
      </w:pPr>
    </w:p>
    <w:p>
      <w:pPr>
        <w:pStyle w:val="Heading2"/>
      </w:pPr>
      <w:bookmarkStart w:name="612:10-7-179.  Overview of Supported Emp" w:id="191"/>
      <w:bookmarkEnd w:id="191"/>
      <w:r>
        <w:rPr>
          <w:b w:val="0"/>
        </w:rPr>
      </w:r>
      <w:bookmarkStart w:name="_bookmark25" w:id="192"/>
      <w:bookmarkEnd w:id="192"/>
      <w:r>
        <w:rPr>
          <w:b w:val="0"/>
        </w:rPr>
      </w:r>
      <w:r>
        <w:rPr/>
        <w:t>612:10-7-179.</w:t>
      </w:r>
      <w:r>
        <w:rPr>
          <w:spacing w:val="55"/>
        </w:rPr>
        <w:t> </w:t>
      </w:r>
      <w:r>
        <w:rPr/>
        <w:t>Overview</w:t>
      </w:r>
      <w:r>
        <w:rPr>
          <w:spacing w:val="-4"/>
        </w:rPr>
        <w:t> </w:t>
      </w:r>
      <w:r>
        <w:rPr/>
        <w:t>of</w:t>
      </w:r>
      <w:r>
        <w:rPr>
          <w:spacing w:val="-3"/>
        </w:rPr>
        <w:t> </w:t>
      </w:r>
      <w:r>
        <w:rPr/>
        <w:t>Supported</w:t>
      </w:r>
      <w:r>
        <w:rPr>
          <w:spacing w:val="-5"/>
        </w:rPr>
        <w:t> </w:t>
      </w:r>
      <w:r>
        <w:rPr/>
        <w:t>Employment</w:t>
      </w:r>
      <w:r>
        <w:rPr>
          <w:spacing w:val="-5"/>
        </w:rPr>
        <w:t> </w:t>
      </w:r>
      <w:r>
        <w:rPr>
          <w:spacing w:val="-2"/>
        </w:rPr>
        <w:t>Services</w:t>
      </w:r>
    </w:p>
    <w:p>
      <w:pPr>
        <w:pStyle w:val="BodyText"/>
        <w:spacing w:line="208" w:lineRule="auto" w:before="233"/>
        <w:ind w:right="775" w:firstLine="432"/>
        <w:rPr>
          <w:b/>
        </w:rPr>
      </w:pPr>
      <w:r>
        <w:rPr/>
        <w:t>Supported Employment Services are provided to individuals with the most significant</w:t>
      </w:r>
      <w:r>
        <w:rPr>
          <w:spacing w:val="-2"/>
        </w:rPr>
        <w:t> </w:t>
      </w:r>
      <w:r>
        <w:rPr/>
        <w:t>disabilities</w:t>
      </w:r>
      <w:r>
        <w:rPr>
          <w:spacing w:val="-3"/>
        </w:rPr>
        <w:t> </w:t>
      </w:r>
      <w:r>
        <w:rPr/>
        <w:t>who</w:t>
      </w:r>
      <w:r>
        <w:rPr>
          <w:spacing w:val="-3"/>
        </w:rPr>
        <w:t> </w:t>
      </w:r>
      <w:r>
        <w:rPr/>
        <w:t>need</w:t>
      </w:r>
      <w:r>
        <w:rPr>
          <w:spacing w:val="-3"/>
        </w:rPr>
        <w:t> </w:t>
      </w:r>
      <w:r>
        <w:rPr/>
        <w:t>supports</w:t>
      </w:r>
      <w:r>
        <w:rPr>
          <w:spacing w:val="-3"/>
        </w:rPr>
        <w:t> </w:t>
      </w:r>
      <w:r>
        <w:rPr/>
        <w:t>on</w:t>
      </w:r>
      <w:r>
        <w:rPr>
          <w:spacing w:val="-3"/>
        </w:rPr>
        <w:t> </w:t>
      </w:r>
      <w:r>
        <w:rPr/>
        <w:t>and</w:t>
      </w:r>
      <w:r>
        <w:rPr>
          <w:spacing w:val="-3"/>
        </w:rPr>
        <w:t> </w:t>
      </w:r>
      <w:r>
        <w:rPr/>
        <w:t>off</w:t>
      </w:r>
      <w:r>
        <w:rPr>
          <w:spacing w:val="-2"/>
        </w:rPr>
        <w:t> </w:t>
      </w:r>
      <w:r>
        <w:rPr/>
        <w:t>the</w:t>
      </w:r>
      <w:r>
        <w:rPr>
          <w:spacing w:val="-4"/>
        </w:rPr>
        <w:t> </w:t>
      </w:r>
      <w:r>
        <w:rPr/>
        <w:t>job</w:t>
      </w:r>
      <w:r>
        <w:rPr>
          <w:spacing w:val="-3"/>
        </w:rPr>
        <w:t> </w:t>
      </w:r>
      <w:r>
        <w:rPr/>
        <w:t>to</w:t>
      </w:r>
      <w:r>
        <w:rPr>
          <w:spacing w:val="-3"/>
        </w:rPr>
        <w:t> </w:t>
      </w:r>
      <w:r>
        <w:rPr/>
        <w:t>obtain</w:t>
      </w:r>
      <w:r>
        <w:rPr>
          <w:spacing w:val="-3"/>
        </w:rPr>
        <w:t> </w:t>
      </w:r>
      <w:r>
        <w:rPr/>
        <w:t>and</w:t>
      </w:r>
      <w:r>
        <w:rPr>
          <w:spacing w:val="-3"/>
        </w:rPr>
        <w:t> </w:t>
      </w:r>
      <w:r>
        <w:rPr/>
        <w:t>maintain employment and who require: </w:t>
      </w:r>
      <w:r>
        <w:rPr>
          <w:b/>
        </w:rPr>
        <w:t>1</w:t>
      </w:r>
    </w:p>
    <w:p>
      <w:pPr>
        <w:pStyle w:val="ListParagraph"/>
        <w:numPr>
          <w:ilvl w:val="0"/>
          <w:numId w:val="209"/>
        </w:numPr>
        <w:tabs>
          <w:tab w:pos="1236" w:val="left" w:leader="none"/>
        </w:tabs>
        <w:spacing w:line="208" w:lineRule="auto" w:before="240" w:after="0"/>
        <w:ind w:left="810" w:right="848" w:firstLine="0"/>
        <w:jc w:val="left"/>
        <w:rPr>
          <w:sz w:val="24"/>
        </w:rPr>
      </w:pPr>
      <w:r>
        <w:rPr>
          <w:sz w:val="24"/>
        </w:rPr>
        <w:t>A</w:t>
      </w:r>
      <w:r>
        <w:rPr>
          <w:spacing w:val="-3"/>
          <w:sz w:val="24"/>
        </w:rPr>
        <w:t> </w:t>
      </w:r>
      <w:r>
        <w:rPr>
          <w:sz w:val="24"/>
        </w:rPr>
        <w:t>significant</w:t>
      </w:r>
      <w:r>
        <w:rPr>
          <w:spacing w:val="-2"/>
          <w:sz w:val="24"/>
        </w:rPr>
        <w:t> </w:t>
      </w:r>
      <w:r>
        <w:rPr>
          <w:sz w:val="24"/>
        </w:rPr>
        <w:t>degree</w:t>
      </w:r>
      <w:r>
        <w:rPr>
          <w:spacing w:val="-3"/>
          <w:sz w:val="24"/>
        </w:rPr>
        <w:t> </w:t>
      </w:r>
      <w:r>
        <w:rPr>
          <w:sz w:val="24"/>
        </w:rPr>
        <w:t>of</w:t>
      </w:r>
      <w:r>
        <w:rPr>
          <w:spacing w:val="-2"/>
          <w:sz w:val="24"/>
        </w:rPr>
        <w:t> </w:t>
      </w:r>
      <w:r>
        <w:rPr>
          <w:sz w:val="24"/>
        </w:rPr>
        <w:t>job</w:t>
      </w:r>
      <w:r>
        <w:rPr>
          <w:spacing w:val="-3"/>
          <w:sz w:val="24"/>
        </w:rPr>
        <w:t> </w:t>
      </w:r>
      <w:r>
        <w:rPr>
          <w:sz w:val="24"/>
        </w:rPr>
        <w:t>site</w:t>
      </w:r>
      <w:r>
        <w:rPr>
          <w:spacing w:val="-3"/>
          <w:sz w:val="24"/>
        </w:rPr>
        <w:t> </w:t>
      </w:r>
      <w:r>
        <w:rPr>
          <w:sz w:val="24"/>
        </w:rPr>
        <w:t>support</w:t>
      </w:r>
      <w:r>
        <w:rPr>
          <w:spacing w:val="-2"/>
          <w:sz w:val="24"/>
        </w:rPr>
        <w:t> </w:t>
      </w:r>
      <w:r>
        <w:rPr>
          <w:sz w:val="24"/>
        </w:rPr>
        <w:t>to</w:t>
      </w:r>
      <w:r>
        <w:rPr>
          <w:spacing w:val="-4"/>
          <w:sz w:val="24"/>
        </w:rPr>
        <w:t> </w:t>
      </w:r>
      <w:r>
        <w:rPr>
          <w:sz w:val="24"/>
        </w:rPr>
        <w:t>learn</w:t>
      </w:r>
      <w:r>
        <w:rPr>
          <w:spacing w:val="-3"/>
          <w:sz w:val="24"/>
        </w:rPr>
        <w:t> </w:t>
      </w:r>
      <w:r>
        <w:rPr>
          <w:sz w:val="24"/>
        </w:rPr>
        <w:t>job</w:t>
      </w:r>
      <w:r>
        <w:rPr>
          <w:spacing w:val="-3"/>
          <w:sz w:val="24"/>
        </w:rPr>
        <w:t> </w:t>
      </w:r>
      <w:r>
        <w:rPr>
          <w:sz w:val="24"/>
        </w:rPr>
        <w:t>tasks,</w:t>
      </w:r>
      <w:r>
        <w:rPr>
          <w:spacing w:val="-2"/>
          <w:sz w:val="24"/>
        </w:rPr>
        <w:t> </w:t>
      </w:r>
      <w:r>
        <w:rPr>
          <w:sz w:val="24"/>
        </w:rPr>
        <w:t>gain</w:t>
      </w:r>
      <w:r>
        <w:rPr>
          <w:spacing w:val="-3"/>
          <w:sz w:val="24"/>
        </w:rPr>
        <w:t> </w:t>
      </w:r>
      <w:r>
        <w:rPr>
          <w:sz w:val="24"/>
        </w:rPr>
        <w:t>work</w:t>
      </w:r>
      <w:r>
        <w:rPr>
          <w:spacing w:val="-3"/>
          <w:sz w:val="24"/>
        </w:rPr>
        <w:t> </w:t>
      </w:r>
      <w:r>
        <w:rPr>
          <w:sz w:val="24"/>
        </w:rPr>
        <w:t>adjustment skills, and stabilize in employment, and;</w:t>
      </w:r>
    </w:p>
    <w:p>
      <w:pPr>
        <w:pStyle w:val="ListParagraph"/>
        <w:numPr>
          <w:ilvl w:val="0"/>
          <w:numId w:val="209"/>
        </w:numPr>
        <w:tabs>
          <w:tab w:pos="1236" w:val="left" w:leader="none"/>
        </w:tabs>
        <w:spacing w:line="417" w:lineRule="auto" w:before="210" w:after="0"/>
        <w:ind w:left="360" w:right="4865" w:firstLine="450"/>
        <w:jc w:val="left"/>
        <w:rPr>
          <w:sz w:val="24"/>
        </w:rPr>
      </w:pPr>
      <w:r>
        <w:rPr>
          <w:sz w:val="24"/>
        </w:rPr>
        <w:t>Long-term</w:t>
      </w:r>
      <w:r>
        <w:rPr>
          <w:spacing w:val="-9"/>
          <w:sz w:val="24"/>
        </w:rPr>
        <w:t> </w:t>
      </w:r>
      <w:r>
        <w:rPr>
          <w:sz w:val="24"/>
        </w:rPr>
        <w:t>support</w:t>
      </w:r>
      <w:r>
        <w:rPr>
          <w:spacing w:val="-9"/>
          <w:sz w:val="24"/>
        </w:rPr>
        <w:t> </w:t>
      </w:r>
      <w:r>
        <w:rPr>
          <w:sz w:val="24"/>
        </w:rPr>
        <w:t>to</w:t>
      </w:r>
      <w:r>
        <w:rPr>
          <w:spacing w:val="-11"/>
          <w:sz w:val="24"/>
        </w:rPr>
        <w:t> </w:t>
      </w:r>
      <w:r>
        <w:rPr>
          <w:sz w:val="24"/>
        </w:rPr>
        <w:t>retain</w:t>
      </w:r>
      <w:r>
        <w:rPr>
          <w:spacing w:val="-10"/>
          <w:sz w:val="24"/>
        </w:rPr>
        <w:t> </w:t>
      </w:r>
      <w:r>
        <w:rPr>
          <w:sz w:val="24"/>
        </w:rPr>
        <w:t>employment. Instructions to Staff</w:t>
      </w:r>
    </w:p>
    <w:p>
      <w:pPr>
        <w:pStyle w:val="BodyText"/>
        <w:tabs>
          <w:tab w:pos="809" w:val="left" w:leader="none"/>
        </w:tabs>
        <w:spacing w:line="208" w:lineRule="auto" w:before="29"/>
        <w:ind w:left="810" w:right="759" w:hanging="450"/>
      </w:pPr>
      <w:r>
        <w:rPr>
          <w:spacing w:val="-6"/>
        </w:rPr>
        <w:t>1.</w:t>
      </w:r>
      <w:r>
        <w:rPr/>
        <w:tab/>
        <w:t>Supported</w:t>
      </w:r>
      <w:r>
        <w:rPr>
          <w:spacing w:val="-4"/>
        </w:rPr>
        <w:t> </w:t>
      </w:r>
      <w:r>
        <w:rPr/>
        <w:t>employment</w:t>
      </w:r>
      <w:r>
        <w:rPr>
          <w:spacing w:val="-3"/>
        </w:rPr>
        <w:t> </w:t>
      </w:r>
      <w:r>
        <w:rPr/>
        <w:t>is</w:t>
      </w:r>
      <w:r>
        <w:rPr>
          <w:spacing w:val="-4"/>
        </w:rPr>
        <w:t> </w:t>
      </w:r>
      <w:r>
        <w:rPr/>
        <w:t>for</w:t>
      </w:r>
      <w:r>
        <w:rPr>
          <w:spacing w:val="-5"/>
        </w:rPr>
        <w:t> </w:t>
      </w:r>
      <w:r>
        <w:rPr/>
        <w:t>individuals</w:t>
      </w:r>
      <w:r>
        <w:rPr>
          <w:spacing w:val="-4"/>
        </w:rPr>
        <w:t> </w:t>
      </w:r>
      <w:r>
        <w:rPr/>
        <w:t>who</w:t>
      </w:r>
      <w:r>
        <w:rPr>
          <w:spacing w:val="-4"/>
        </w:rPr>
        <w:t> </w:t>
      </w:r>
      <w:r>
        <w:rPr/>
        <w:t>need</w:t>
      </w:r>
      <w:r>
        <w:rPr>
          <w:spacing w:val="-4"/>
        </w:rPr>
        <w:t> </w:t>
      </w:r>
      <w:r>
        <w:rPr/>
        <w:t>substantial</w:t>
      </w:r>
      <w:r>
        <w:rPr>
          <w:spacing w:val="-4"/>
        </w:rPr>
        <w:t> </w:t>
      </w:r>
      <w:r>
        <w:rPr/>
        <w:t>assistance</w:t>
      </w:r>
      <w:r>
        <w:rPr>
          <w:spacing w:val="-4"/>
        </w:rPr>
        <w:t> </w:t>
      </w:r>
      <w:r>
        <w:rPr/>
        <w:t>in</w:t>
      </w:r>
      <w:r>
        <w:rPr>
          <w:spacing w:val="-4"/>
        </w:rPr>
        <w:t> </w:t>
      </w:r>
      <w:r>
        <w:rPr/>
        <w:t>making a job choice; finding a job matching that choice; learning job tasks, gaining work adjustment skills, and stabilizing in employment; as well as long term support to retain employment.</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10-1-97</w:t>
      </w:r>
      <w:r>
        <w:rPr>
          <w:sz w:val="22"/>
        </w:rPr>
        <w:tab/>
        <w:t>PT Memo #98-4</w:t>
      </w:r>
    </w:p>
    <w:p>
      <w:pPr>
        <w:tabs>
          <w:tab w:pos="1439" w:val="left" w:leader="none"/>
        </w:tabs>
        <w:spacing w:before="0"/>
        <w:ind w:left="359" w:right="2690" w:firstLine="1080"/>
        <w:jc w:val="left"/>
        <w:rPr>
          <w:sz w:val="22"/>
        </w:rPr>
      </w:pPr>
      <w:r>
        <w:rPr>
          <w:sz w:val="22"/>
        </w:rPr>
        <w:t>Emergency,</w:t>
      </w:r>
      <w:r>
        <w:rPr>
          <w:spacing w:val="-5"/>
          <w:sz w:val="22"/>
        </w:rPr>
        <w:t> </w:t>
      </w:r>
      <w:r>
        <w:rPr>
          <w:sz w:val="22"/>
        </w:rPr>
        <w:t>complete</w:t>
      </w:r>
      <w:r>
        <w:rPr>
          <w:spacing w:val="-5"/>
          <w:sz w:val="22"/>
        </w:rPr>
        <w:t> </w:t>
      </w:r>
      <w:r>
        <w:rPr>
          <w:sz w:val="22"/>
        </w:rPr>
        <w:t>rewrite</w:t>
      </w:r>
      <w:r>
        <w:rPr>
          <w:spacing w:val="-5"/>
          <w:sz w:val="22"/>
        </w:rPr>
        <w:t> </w:t>
      </w:r>
      <w:r>
        <w:rPr>
          <w:sz w:val="22"/>
        </w:rPr>
        <w:t>to</w:t>
      </w:r>
      <w:r>
        <w:rPr>
          <w:spacing w:val="-5"/>
          <w:sz w:val="22"/>
        </w:rPr>
        <w:t> </w:t>
      </w:r>
      <w:r>
        <w:rPr>
          <w:sz w:val="22"/>
        </w:rPr>
        <w:t>conform</w:t>
      </w:r>
      <w:r>
        <w:rPr>
          <w:spacing w:val="-6"/>
          <w:sz w:val="22"/>
        </w:rPr>
        <w:t> </w:t>
      </w:r>
      <w:r>
        <w:rPr>
          <w:sz w:val="22"/>
        </w:rPr>
        <w:t>to</w:t>
      </w:r>
      <w:r>
        <w:rPr>
          <w:spacing w:val="-5"/>
          <w:sz w:val="22"/>
        </w:rPr>
        <w:t> </w:t>
      </w:r>
      <w:r>
        <w:rPr>
          <w:sz w:val="22"/>
        </w:rPr>
        <w:t>new</w:t>
      </w:r>
      <w:r>
        <w:rPr>
          <w:spacing w:val="-4"/>
          <w:sz w:val="22"/>
        </w:rPr>
        <w:t> </w:t>
      </w:r>
      <w:r>
        <w:rPr>
          <w:sz w:val="22"/>
        </w:rPr>
        <w:t>RSA</w:t>
      </w:r>
      <w:r>
        <w:rPr>
          <w:spacing w:val="-5"/>
          <w:sz w:val="22"/>
        </w:rPr>
        <w:t> </w:t>
      </w:r>
      <w:r>
        <w:rPr>
          <w:sz w:val="22"/>
        </w:rPr>
        <w:t>regulations </w:t>
      </w:r>
      <w:r>
        <w:rPr>
          <w:spacing w:val="-2"/>
          <w:sz w:val="22"/>
        </w:rPr>
        <w:t>7-1-98</w:t>
      </w:r>
      <w:r>
        <w:rPr>
          <w:sz w:val="22"/>
        </w:rPr>
        <w:tab/>
        <w:t>PT Memo #98-15</w:t>
      </w:r>
    </w:p>
    <w:p>
      <w:pPr>
        <w:spacing w:before="0"/>
        <w:ind w:left="1439" w:right="775" w:firstLine="0"/>
        <w:jc w:val="left"/>
        <w:rPr>
          <w:sz w:val="22"/>
        </w:rPr>
      </w:pPr>
      <w:r>
        <w:rPr>
          <w:sz w:val="22"/>
        </w:rPr>
        <w:t>Makes</w:t>
      </w:r>
      <w:r>
        <w:rPr>
          <w:spacing w:val="-4"/>
          <w:sz w:val="22"/>
        </w:rPr>
        <w:t> </w:t>
      </w:r>
      <w:r>
        <w:rPr>
          <w:sz w:val="22"/>
        </w:rPr>
        <w:t>emergency</w:t>
      </w:r>
      <w:r>
        <w:rPr>
          <w:spacing w:val="-4"/>
          <w:sz w:val="22"/>
        </w:rPr>
        <w:t> </w:t>
      </w:r>
      <w:r>
        <w:rPr>
          <w:sz w:val="22"/>
        </w:rPr>
        <w:t>rules</w:t>
      </w:r>
      <w:r>
        <w:rPr>
          <w:spacing w:val="-5"/>
          <w:sz w:val="22"/>
        </w:rPr>
        <w:t> </w:t>
      </w:r>
      <w:r>
        <w:rPr>
          <w:sz w:val="22"/>
        </w:rPr>
        <w:t>issued</w:t>
      </w:r>
      <w:r>
        <w:rPr>
          <w:spacing w:val="-4"/>
          <w:sz w:val="22"/>
        </w:rPr>
        <w:t> </w:t>
      </w:r>
      <w:r>
        <w:rPr>
          <w:sz w:val="22"/>
        </w:rPr>
        <w:t>10-1-97</w:t>
      </w:r>
      <w:r>
        <w:rPr>
          <w:spacing w:val="-4"/>
          <w:sz w:val="22"/>
        </w:rPr>
        <w:t> </w:t>
      </w:r>
      <w:r>
        <w:rPr>
          <w:sz w:val="22"/>
        </w:rPr>
        <w:t>permanent,</w:t>
      </w:r>
      <w:r>
        <w:rPr>
          <w:spacing w:val="-4"/>
          <w:sz w:val="22"/>
        </w:rPr>
        <w:t> </w:t>
      </w:r>
      <w:r>
        <w:rPr>
          <w:sz w:val="22"/>
        </w:rPr>
        <w:t>reworded</w:t>
      </w:r>
      <w:r>
        <w:rPr>
          <w:spacing w:val="-4"/>
          <w:sz w:val="22"/>
        </w:rPr>
        <w:t> </w:t>
      </w:r>
      <w:r>
        <w:rPr>
          <w:sz w:val="22"/>
        </w:rPr>
        <w:t>to</w:t>
      </w:r>
      <w:r>
        <w:rPr>
          <w:spacing w:val="-4"/>
          <w:sz w:val="22"/>
        </w:rPr>
        <w:t> </w:t>
      </w:r>
      <w:r>
        <w:rPr>
          <w:sz w:val="22"/>
        </w:rPr>
        <w:t>conform</w:t>
      </w:r>
      <w:r>
        <w:rPr>
          <w:spacing w:val="-5"/>
          <w:sz w:val="22"/>
        </w:rPr>
        <w:t> </w:t>
      </w:r>
      <w:r>
        <w:rPr>
          <w:sz w:val="22"/>
        </w:rPr>
        <w:t>with</w:t>
      </w:r>
      <w:r>
        <w:rPr>
          <w:spacing w:val="-4"/>
          <w:sz w:val="22"/>
        </w:rPr>
        <w:t> </w:t>
      </w:r>
      <w:r>
        <w:rPr>
          <w:sz w:val="22"/>
        </w:rPr>
        <w:t>RSA </w:t>
      </w:r>
      <w:r>
        <w:rPr>
          <w:spacing w:val="-2"/>
          <w:sz w:val="22"/>
        </w:rPr>
        <w:t>regulations</w:t>
      </w:r>
    </w:p>
    <w:p>
      <w:pPr>
        <w:tabs>
          <w:tab w:pos="1439" w:val="left" w:leader="none"/>
        </w:tabs>
        <w:spacing w:before="0"/>
        <w:ind w:left="359" w:right="0" w:firstLine="0"/>
        <w:jc w:val="left"/>
        <w:rPr>
          <w:sz w:val="22"/>
        </w:rPr>
      </w:pPr>
      <w:r>
        <w:rPr>
          <w:spacing w:val="-2"/>
          <w:sz w:val="22"/>
        </w:rPr>
        <w:t>6-14-</w:t>
      </w:r>
      <w:r>
        <w:rPr>
          <w:spacing w:val="-5"/>
          <w:sz w:val="22"/>
        </w:rPr>
        <w:t>99</w:t>
      </w:r>
      <w:r>
        <w:rPr>
          <w:sz w:val="22"/>
        </w:rPr>
        <w:tab/>
        <w:t>POL</w:t>
      </w:r>
      <w:r>
        <w:rPr>
          <w:spacing w:val="-9"/>
          <w:sz w:val="22"/>
        </w:rPr>
        <w:t> </w:t>
      </w:r>
      <w:r>
        <w:rPr>
          <w:sz w:val="22"/>
        </w:rPr>
        <w:t>Memo</w:t>
      </w:r>
      <w:r>
        <w:rPr>
          <w:spacing w:val="-8"/>
          <w:sz w:val="22"/>
        </w:rPr>
        <w:t> </w:t>
      </w:r>
      <w:r>
        <w:rPr>
          <w:sz w:val="22"/>
        </w:rPr>
        <w:t>#99-</w:t>
      </w:r>
      <w:r>
        <w:rPr>
          <w:spacing w:val="-10"/>
          <w:sz w:val="22"/>
        </w:rPr>
        <w:t>7</w:t>
      </w:r>
    </w:p>
    <w:p>
      <w:pPr>
        <w:tabs>
          <w:tab w:pos="1439" w:val="left" w:leader="none"/>
        </w:tabs>
        <w:spacing w:before="0"/>
        <w:ind w:left="359" w:right="5831" w:firstLine="1080"/>
        <w:jc w:val="left"/>
        <w:rPr>
          <w:sz w:val="22"/>
        </w:rPr>
      </w:pPr>
      <w:r>
        <w:rPr>
          <w:sz w:val="22"/>
        </w:rPr>
        <w:t>Emergency,</w:t>
      </w:r>
      <w:r>
        <w:rPr>
          <w:spacing w:val="-10"/>
          <w:sz w:val="22"/>
        </w:rPr>
        <w:t> </w:t>
      </w:r>
      <w:r>
        <w:rPr>
          <w:sz w:val="22"/>
        </w:rPr>
        <w:t>changed</w:t>
      </w:r>
      <w:r>
        <w:rPr>
          <w:spacing w:val="-10"/>
          <w:sz w:val="22"/>
        </w:rPr>
        <w:t> </w:t>
      </w:r>
      <w:r>
        <w:rPr>
          <w:sz w:val="22"/>
        </w:rPr>
        <w:t>IRP</w:t>
      </w:r>
      <w:r>
        <w:rPr>
          <w:spacing w:val="-10"/>
          <w:sz w:val="22"/>
        </w:rPr>
        <w:t> </w:t>
      </w:r>
      <w:r>
        <w:rPr>
          <w:sz w:val="22"/>
        </w:rPr>
        <w:t>to</w:t>
      </w:r>
      <w:r>
        <w:rPr>
          <w:spacing w:val="-10"/>
          <w:sz w:val="22"/>
        </w:rPr>
        <w:t> </w:t>
      </w:r>
      <w:r>
        <w:rPr>
          <w:sz w:val="22"/>
        </w:rPr>
        <w:t>IPE </w:t>
      </w:r>
      <w:r>
        <w:rPr>
          <w:spacing w:val="-2"/>
          <w:sz w:val="22"/>
        </w:rPr>
        <w:t>7-1-99</w:t>
      </w:r>
      <w:r>
        <w:rPr>
          <w:sz w:val="22"/>
        </w:rPr>
        <w:tab/>
        <w:t>POL Memo #00-1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7-1-03</w:t>
      </w:r>
      <w:r>
        <w:rPr>
          <w:sz w:val="22"/>
        </w:rPr>
        <w:tab/>
        <w:t>PT Memo #03-07</w:t>
      </w:r>
    </w:p>
    <w:p>
      <w:pPr>
        <w:spacing w:before="0"/>
        <w:ind w:left="1439" w:right="0" w:firstLine="0"/>
        <w:jc w:val="left"/>
        <w:rPr>
          <w:sz w:val="22"/>
        </w:rPr>
      </w:pPr>
      <w:r>
        <w:rPr>
          <w:sz w:val="22"/>
        </w:rPr>
        <w:t>Permanent,</w:t>
      </w:r>
      <w:r>
        <w:rPr>
          <w:spacing w:val="-6"/>
          <w:sz w:val="22"/>
        </w:rPr>
        <w:t> </w:t>
      </w:r>
      <w:r>
        <w:rPr>
          <w:sz w:val="22"/>
        </w:rPr>
        <w:t>added</w:t>
      </w:r>
      <w:r>
        <w:rPr>
          <w:spacing w:val="-7"/>
          <w:sz w:val="22"/>
        </w:rPr>
        <w:t> </w:t>
      </w:r>
      <w:r>
        <w:rPr>
          <w:sz w:val="22"/>
        </w:rPr>
        <w:t>sections</w:t>
      </w:r>
      <w:r>
        <w:rPr>
          <w:spacing w:val="-7"/>
          <w:sz w:val="22"/>
        </w:rPr>
        <w:t> </w:t>
      </w:r>
      <w:r>
        <w:rPr>
          <w:sz w:val="22"/>
        </w:rPr>
        <w:t>b</w:t>
      </w:r>
      <w:r>
        <w:rPr>
          <w:spacing w:val="-6"/>
          <w:sz w:val="22"/>
        </w:rPr>
        <w:t> </w:t>
      </w:r>
      <w:r>
        <w:rPr>
          <w:sz w:val="22"/>
        </w:rPr>
        <w:t>and</w:t>
      </w:r>
      <w:r>
        <w:rPr>
          <w:spacing w:val="-7"/>
          <w:sz w:val="22"/>
        </w:rPr>
        <w:t> </w:t>
      </w:r>
      <w:r>
        <w:rPr>
          <w:spacing w:val="-5"/>
          <w:sz w:val="22"/>
        </w:rPr>
        <w:t>c.</w:t>
      </w:r>
    </w:p>
    <w:p>
      <w:pPr>
        <w:pStyle w:val="ListParagraph"/>
        <w:numPr>
          <w:ilvl w:val="2"/>
          <w:numId w:val="148"/>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#06-</w:t>
      </w:r>
      <w:r>
        <w:rPr>
          <w:spacing w:val="-5"/>
          <w:sz w:val="22"/>
        </w:rPr>
        <w:t>01</w:t>
      </w:r>
    </w:p>
    <w:p>
      <w:pPr>
        <w:tabs>
          <w:tab w:pos="1439" w:val="left" w:leader="none"/>
        </w:tabs>
        <w:spacing w:before="0"/>
        <w:ind w:left="359" w:right="5023" w:firstLine="1080"/>
        <w:jc w:val="left"/>
        <w:rPr>
          <w:sz w:val="22"/>
        </w:rPr>
      </w:pPr>
      <w:r>
        <w:rPr>
          <w:sz w:val="22"/>
        </w:rPr>
        <w:t>Permanent,</w:t>
      </w:r>
      <w:r>
        <w:rPr>
          <w:spacing w:val="-9"/>
          <w:sz w:val="22"/>
        </w:rPr>
        <w:t> </w:t>
      </w:r>
      <w:r>
        <w:rPr>
          <w:sz w:val="22"/>
        </w:rPr>
        <w:t>general</w:t>
      </w:r>
      <w:r>
        <w:rPr>
          <w:spacing w:val="-10"/>
          <w:sz w:val="22"/>
        </w:rPr>
        <w:t> </w:t>
      </w:r>
      <w:r>
        <w:rPr>
          <w:sz w:val="22"/>
        </w:rPr>
        <w:t>cleanup</w:t>
      </w:r>
      <w:r>
        <w:rPr>
          <w:spacing w:val="-10"/>
          <w:sz w:val="22"/>
        </w:rPr>
        <w:t> </w:t>
      </w:r>
      <w:r>
        <w:rPr>
          <w:sz w:val="22"/>
        </w:rPr>
        <w:t>of</w:t>
      </w:r>
      <w:r>
        <w:rPr>
          <w:spacing w:val="-10"/>
          <w:sz w:val="22"/>
        </w:rPr>
        <w:t> </w:t>
      </w:r>
      <w:r>
        <w:rPr>
          <w:sz w:val="22"/>
        </w:rPr>
        <w:t>language </w:t>
      </w:r>
      <w:r>
        <w:rPr>
          <w:spacing w:val="-2"/>
          <w:sz w:val="22"/>
        </w:rPr>
        <w:t>7-1-06</w:t>
      </w:r>
      <w:r>
        <w:rPr>
          <w:sz w:val="22"/>
        </w:rPr>
        <w:tab/>
        <w:t>PT Memo #07-01</w:t>
      </w:r>
    </w:p>
    <w:p>
      <w:pPr>
        <w:spacing w:line="252" w:lineRule="exact" w:before="0"/>
        <w:ind w:left="1439" w:right="0" w:firstLine="0"/>
        <w:jc w:val="left"/>
        <w:rPr>
          <w:sz w:val="22"/>
        </w:rPr>
      </w:pPr>
      <w:r>
        <w:rPr>
          <w:sz w:val="22"/>
        </w:rPr>
        <w:t>Permanent,</w:t>
      </w:r>
      <w:r>
        <w:rPr>
          <w:spacing w:val="-8"/>
          <w:sz w:val="22"/>
        </w:rPr>
        <w:t> </w:t>
      </w:r>
      <w:r>
        <w:rPr>
          <w:sz w:val="22"/>
        </w:rPr>
        <w:t>deleted</w:t>
      </w:r>
      <w:r>
        <w:rPr>
          <w:spacing w:val="-8"/>
          <w:sz w:val="22"/>
        </w:rPr>
        <w:t> </w:t>
      </w:r>
      <w:r>
        <w:rPr>
          <w:sz w:val="22"/>
        </w:rPr>
        <w:t>reference</w:t>
      </w:r>
      <w:r>
        <w:rPr>
          <w:spacing w:val="-8"/>
          <w:sz w:val="22"/>
        </w:rPr>
        <w:t> </w:t>
      </w:r>
      <w:r>
        <w:rPr>
          <w:sz w:val="22"/>
        </w:rPr>
        <w:t>to</w:t>
      </w:r>
      <w:r>
        <w:rPr>
          <w:spacing w:val="-8"/>
          <w:sz w:val="22"/>
        </w:rPr>
        <w:t> </w:t>
      </w:r>
      <w:r>
        <w:rPr>
          <w:sz w:val="22"/>
        </w:rPr>
        <w:t>Priority</w:t>
      </w:r>
      <w:r>
        <w:rPr>
          <w:spacing w:val="-8"/>
          <w:sz w:val="22"/>
        </w:rPr>
        <w:t> </w:t>
      </w:r>
      <w:r>
        <w:rPr>
          <w:sz w:val="22"/>
        </w:rPr>
        <w:t>Group</w:t>
      </w:r>
      <w:r>
        <w:rPr>
          <w:spacing w:val="-8"/>
          <w:sz w:val="22"/>
        </w:rPr>
        <w:t> </w:t>
      </w:r>
      <w:r>
        <w:rPr>
          <w:spacing w:val="-5"/>
          <w:sz w:val="22"/>
        </w:rPr>
        <w:t>1.</w:t>
      </w:r>
    </w:p>
    <w:p>
      <w:pPr>
        <w:pStyle w:val="ListParagraph"/>
        <w:numPr>
          <w:ilvl w:val="2"/>
          <w:numId w:val="201"/>
        </w:numPr>
        <w:tabs>
          <w:tab w:pos="1439" w:val="left" w:leader="none"/>
        </w:tabs>
        <w:spacing w:line="240" w:lineRule="auto" w:before="1" w:after="0"/>
        <w:ind w:left="1439" w:right="0" w:hanging="1080"/>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before="0"/>
        <w:ind w:left="1439" w:right="0" w:firstLine="0"/>
        <w:jc w:val="left"/>
        <w:rPr>
          <w:sz w:val="22"/>
        </w:rPr>
      </w:pPr>
      <w:r>
        <w:rPr>
          <w:sz w:val="22"/>
        </w:rPr>
        <w:t>Permanent,</w:t>
      </w:r>
      <w:r>
        <w:rPr>
          <w:spacing w:val="-9"/>
          <w:sz w:val="22"/>
        </w:rPr>
        <w:t> </w:t>
      </w:r>
      <w:r>
        <w:rPr>
          <w:sz w:val="22"/>
        </w:rPr>
        <w:t>deleted</w:t>
      </w:r>
      <w:r>
        <w:rPr>
          <w:spacing w:val="-9"/>
          <w:sz w:val="22"/>
        </w:rPr>
        <w:t> </w:t>
      </w:r>
      <w:r>
        <w:rPr>
          <w:sz w:val="22"/>
        </w:rPr>
        <w:t>duplications</w:t>
      </w:r>
      <w:r>
        <w:rPr>
          <w:spacing w:val="-9"/>
          <w:sz w:val="22"/>
        </w:rPr>
        <w:t> </w:t>
      </w:r>
      <w:r>
        <w:rPr>
          <w:sz w:val="22"/>
        </w:rPr>
        <w:t>and</w:t>
      </w:r>
      <w:r>
        <w:rPr>
          <w:spacing w:val="-10"/>
          <w:sz w:val="22"/>
        </w:rPr>
        <w:t> </w:t>
      </w:r>
      <w:r>
        <w:rPr>
          <w:sz w:val="22"/>
        </w:rPr>
        <w:t>clarified</w:t>
      </w:r>
      <w:r>
        <w:rPr>
          <w:spacing w:val="-10"/>
          <w:sz w:val="22"/>
        </w:rPr>
        <w:t> </w:t>
      </w:r>
      <w:r>
        <w:rPr>
          <w:spacing w:val="-2"/>
          <w:sz w:val="22"/>
        </w:rPr>
        <w:t>language</w:t>
      </w:r>
    </w:p>
    <w:p>
      <w:pPr>
        <w:pStyle w:val="ListParagraph"/>
        <w:numPr>
          <w:ilvl w:val="2"/>
          <w:numId w:val="180"/>
        </w:numPr>
        <w:tabs>
          <w:tab w:pos="1440" w:val="left" w:leader="none"/>
        </w:tabs>
        <w:spacing w:line="240" w:lineRule="auto" w:before="0" w:after="0"/>
        <w:ind w:left="1440" w:right="782" w:hanging="1081"/>
        <w:jc w:val="left"/>
        <w:rPr>
          <w:sz w:val="24"/>
        </w:rPr>
      </w:pPr>
      <w:r>
        <w:rPr>
          <w:sz w:val="24"/>
        </w:rPr>
        <w:t>Added new sections (1) providing job site support to learn tasks, gain work adjustment</w:t>
      </w:r>
      <w:r>
        <w:rPr>
          <w:spacing w:val="-4"/>
          <w:sz w:val="24"/>
        </w:rPr>
        <w:t> </w:t>
      </w:r>
      <w:r>
        <w:rPr>
          <w:sz w:val="24"/>
        </w:rPr>
        <w:t>skills,</w:t>
      </w:r>
      <w:r>
        <w:rPr>
          <w:spacing w:val="-4"/>
          <w:sz w:val="24"/>
        </w:rPr>
        <w:t> </w:t>
      </w:r>
      <w:r>
        <w:rPr>
          <w:sz w:val="24"/>
        </w:rPr>
        <w:t>and</w:t>
      </w:r>
      <w:r>
        <w:rPr>
          <w:spacing w:val="-5"/>
          <w:sz w:val="24"/>
        </w:rPr>
        <w:t> </w:t>
      </w:r>
      <w:r>
        <w:rPr>
          <w:sz w:val="24"/>
        </w:rPr>
        <w:t>stabilize</w:t>
      </w:r>
      <w:r>
        <w:rPr>
          <w:spacing w:val="-5"/>
          <w:sz w:val="24"/>
        </w:rPr>
        <w:t> </w:t>
      </w:r>
      <w:r>
        <w:rPr>
          <w:sz w:val="24"/>
        </w:rPr>
        <w:t>employment,</w:t>
      </w:r>
      <w:r>
        <w:rPr>
          <w:spacing w:val="-4"/>
          <w:sz w:val="24"/>
        </w:rPr>
        <w:t> </w:t>
      </w:r>
      <w:r>
        <w:rPr>
          <w:sz w:val="24"/>
        </w:rPr>
        <w:t>(2)</w:t>
      </w:r>
      <w:r>
        <w:rPr>
          <w:spacing w:val="-6"/>
          <w:sz w:val="24"/>
        </w:rPr>
        <w:t> </w:t>
      </w:r>
      <w:r>
        <w:rPr>
          <w:sz w:val="24"/>
        </w:rPr>
        <w:t>provides</w:t>
      </w:r>
      <w:r>
        <w:rPr>
          <w:spacing w:val="-5"/>
          <w:sz w:val="24"/>
        </w:rPr>
        <w:t> </w:t>
      </w:r>
      <w:r>
        <w:rPr>
          <w:sz w:val="24"/>
        </w:rPr>
        <w:t>long-term</w:t>
      </w:r>
      <w:r>
        <w:rPr>
          <w:spacing w:val="-4"/>
          <w:sz w:val="24"/>
        </w:rPr>
        <w:t> </w:t>
      </w:r>
      <w:r>
        <w:rPr>
          <w:sz w:val="24"/>
        </w:rPr>
        <w:t>support</w:t>
      </w:r>
      <w:r>
        <w:rPr>
          <w:spacing w:val="-6"/>
          <w:sz w:val="24"/>
        </w:rPr>
        <w:t> </w:t>
      </w:r>
      <w:r>
        <w:rPr>
          <w:sz w:val="24"/>
        </w:rPr>
        <w:t>to retain employment.</w:t>
      </w:r>
    </w:p>
    <w:p>
      <w:pPr>
        <w:pStyle w:val="ListParagraph"/>
        <w:spacing w:after="0" w:line="240" w:lineRule="auto"/>
        <w:jc w:val="left"/>
        <w:rPr>
          <w:sz w:val="24"/>
        </w:rPr>
        <w:sectPr>
          <w:pgSz w:w="12240" w:h="15840"/>
          <w:pgMar w:top="1340" w:bottom="280" w:left="1080" w:right="720"/>
        </w:sectPr>
      </w:pPr>
    </w:p>
    <w:p>
      <w:pPr>
        <w:pStyle w:val="Heading2"/>
      </w:pPr>
      <w:bookmarkStart w:name="612:10-7-180.  Eligibility for the Suppo" w:id="193"/>
      <w:bookmarkEnd w:id="193"/>
      <w:r>
        <w:rPr>
          <w:b w:val="0"/>
        </w:rPr>
      </w:r>
      <w:r>
        <w:rPr/>
        <w:t>612:10-7-180.</w:t>
      </w:r>
      <w:r>
        <w:rPr>
          <w:spacing w:val="56"/>
        </w:rPr>
        <w:t> </w:t>
      </w:r>
      <w:r>
        <w:rPr/>
        <w:t>Eligibility</w:t>
      </w:r>
      <w:r>
        <w:rPr>
          <w:spacing w:val="-4"/>
        </w:rPr>
        <w:t> </w:t>
      </w:r>
      <w:r>
        <w:rPr/>
        <w:t>for</w:t>
      </w:r>
      <w:r>
        <w:rPr>
          <w:spacing w:val="-5"/>
        </w:rPr>
        <w:t> </w:t>
      </w:r>
      <w:r>
        <w:rPr/>
        <w:t>the</w:t>
      </w:r>
      <w:r>
        <w:rPr>
          <w:spacing w:val="-5"/>
        </w:rPr>
        <w:t> </w:t>
      </w:r>
      <w:r>
        <w:rPr/>
        <w:t>Supported</w:t>
      </w:r>
      <w:r>
        <w:rPr>
          <w:spacing w:val="-3"/>
        </w:rPr>
        <w:t> </w:t>
      </w:r>
      <w:r>
        <w:rPr/>
        <w:t>Employment</w:t>
      </w:r>
      <w:r>
        <w:rPr>
          <w:spacing w:val="-3"/>
        </w:rPr>
        <w:t> </w:t>
      </w:r>
      <w:r>
        <w:rPr>
          <w:spacing w:val="-2"/>
        </w:rPr>
        <w:t>Services</w:t>
      </w:r>
    </w:p>
    <w:p>
      <w:pPr>
        <w:pStyle w:val="BodyText"/>
        <w:spacing w:before="204"/>
        <w:ind w:left="359"/>
      </w:pPr>
      <w:r>
        <w:rPr/>
        <w:t>An</w:t>
      </w:r>
      <w:r>
        <w:rPr>
          <w:spacing w:val="-4"/>
        </w:rPr>
        <w:t> </w:t>
      </w:r>
      <w:r>
        <w:rPr/>
        <w:t>individual</w:t>
      </w:r>
      <w:r>
        <w:rPr>
          <w:spacing w:val="-3"/>
        </w:rPr>
        <w:t> </w:t>
      </w:r>
      <w:r>
        <w:rPr/>
        <w:t>shall</w:t>
      </w:r>
      <w:r>
        <w:rPr>
          <w:spacing w:val="-3"/>
        </w:rPr>
        <w:t> </w:t>
      </w:r>
      <w:r>
        <w:rPr/>
        <w:t>be</w:t>
      </w:r>
      <w:r>
        <w:rPr>
          <w:spacing w:val="-3"/>
        </w:rPr>
        <w:t> </w:t>
      </w:r>
      <w:r>
        <w:rPr/>
        <w:t>eligible</w:t>
      </w:r>
      <w:r>
        <w:rPr>
          <w:spacing w:val="-3"/>
        </w:rPr>
        <w:t> </w:t>
      </w:r>
      <w:r>
        <w:rPr/>
        <w:t>for</w:t>
      </w:r>
      <w:r>
        <w:rPr>
          <w:spacing w:val="-5"/>
        </w:rPr>
        <w:t> </w:t>
      </w:r>
      <w:r>
        <w:rPr/>
        <w:t>supported</w:t>
      </w:r>
      <w:r>
        <w:rPr>
          <w:spacing w:val="-3"/>
        </w:rPr>
        <w:t> </w:t>
      </w:r>
      <w:r>
        <w:rPr/>
        <w:t>employment</w:t>
      </w:r>
      <w:r>
        <w:rPr>
          <w:spacing w:val="-2"/>
        </w:rPr>
        <w:t> </w:t>
      </w:r>
      <w:r>
        <w:rPr/>
        <w:t>(SE)</w:t>
      </w:r>
      <w:r>
        <w:rPr>
          <w:spacing w:val="-2"/>
        </w:rPr>
        <w:t> </w:t>
      </w:r>
      <w:r>
        <w:rPr/>
        <w:t>services</w:t>
      </w:r>
      <w:r>
        <w:rPr>
          <w:spacing w:val="-3"/>
        </w:rPr>
        <w:t> </w:t>
      </w:r>
      <w:r>
        <w:rPr>
          <w:spacing w:val="-5"/>
        </w:rPr>
        <w:t>if:</w:t>
      </w:r>
    </w:p>
    <w:p>
      <w:pPr>
        <w:pStyle w:val="ListParagraph"/>
        <w:numPr>
          <w:ilvl w:val="3"/>
          <w:numId w:val="180"/>
        </w:numPr>
        <w:tabs>
          <w:tab w:pos="1217" w:val="left" w:leader="none"/>
        </w:tabs>
        <w:spacing w:line="266" w:lineRule="exact" w:before="204" w:after="0"/>
        <w:ind w:left="1217" w:right="0" w:hanging="426"/>
        <w:jc w:val="left"/>
        <w:rPr>
          <w:sz w:val="24"/>
        </w:rPr>
      </w:pPr>
      <w:r>
        <w:rPr>
          <w:sz w:val="24"/>
        </w:rPr>
        <w:t>The</w:t>
      </w:r>
      <w:r>
        <w:rPr>
          <w:spacing w:val="-6"/>
          <w:sz w:val="24"/>
        </w:rPr>
        <w:t> </w:t>
      </w:r>
      <w:r>
        <w:rPr>
          <w:sz w:val="24"/>
        </w:rPr>
        <w:t>individual</w:t>
      </w:r>
      <w:r>
        <w:rPr>
          <w:spacing w:val="-4"/>
          <w:sz w:val="24"/>
        </w:rPr>
        <w:t> </w:t>
      </w:r>
      <w:r>
        <w:rPr>
          <w:sz w:val="24"/>
        </w:rPr>
        <w:t>is</w:t>
      </w:r>
      <w:r>
        <w:rPr>
          <w:spacing w:val="-4"/>
          <w:sz w:val="24"/>
        </w:rPr>
        <w:t> </w:t>
      </w:r>
      <w:r>
        <w:rPr>
          <w:sz w:val="24"/>
        </w:rPr>
        <w:t>determined</w:t>
      </w:r>
      <w:r>
        <w:rPr>
          <w:spacing w:val="-4"/>
          <w:sz w:val="24"/>
        </w:rPr>
        <w:t> </w:t>
      </w:r>
      <w:r>
        <w:rPr>
          <w:sz w:val="24"/>
        </w:rPr>
        <w:t>to</w:t>
      </w:r>
      <w:r>
        <w:rPr>
          <w:spacing w:val="-3"/>
          <w:sz w:val="24"/>
        </w:rPr>
        <w:t> </w:t>
      </w:r>
      <w:r>
        <w:rPr>
          <w:sz w:val="24"/>
        </w:rPr>
        <w:t>be</w:t>
      </w:r>
      <w:r>
        <w:rPr>
          <w:spacing w:val="-4"/>
          <w:sz w:val="24"/>
        </w:rPr>
        <w:t> </w:t>
      </w:r>
      <w:r>
        <w:rPr>
          <w:sz w:val="24"/>
        </w:rPr>
        <w:t>eligible</w:t>
      </w:r>
      <w:r>
        <w:rPr>
          <w:spacing w:val="-4"/>
          <w:sz w:val="24"/>
        </w:rPr>
        <w:t> </w:t>
      </w:r>
      <w:r>
        <w:rPr>
          <w:sz w:val="24"/>
        </w:rPr>
        <w:t>for</w:t>
      </w:r>
      <w:r>
        <w:rPr>
          <w:spacing w:val="-3"/>
          <w:sz w:val="24"/>
        </w:rPr>
        <w:t> </w:t>
      </w:r>
      <w:r>
        <w:rPr>
          <w:sz w:val="24"/>
        </w:rPr>
        <w:t>vocational</w:t>
      </w:r>
      <w:r>
        <w:rPr>
          <w:spacing w:val="-4"/>
          <w:sz w:val="24"/>
        </w:rPr>
        <w:t> </w:t>
      </w:r>
      <w:r>
        <w:rPr>
          <w:sz w:val="24"/>
        </w:rPr>
        <w:t>rehabilitation</w:t>
      </w:r>
      <w:r>
        <w:rPr>
          <w:spacing w:val="-3"/>
          <w:sz w:val="24"/>
        </w:rPr>
        <w:t> </w:t>
      </w:r>
      <w:r>
        <w:rPr>
          <w:spacing w:val="-2"/>
          <w:sz w:val="24"/>
        </w:rPr>
        <w:t>services;</w:t>
      </w:r>
    </w:p>
    <w:p>
      <w:pPr>
        <w:spacing w:line="258" w:lineRule="exact" w:before="0"/>
        <w:ind w:left="791" w:right="0" w:firstLine="0"/>
        <w:jc w:val="left"/>
        <w:rPr>
          <w:rFonts w:ascii="Calibri"/>
          <w:b/>
          <w:sz w:val="22"/>
        </w:rPr>
      </w:pPr>
      <w:r>
        <w:rPr>
          <w:rFonts w:ascii="Calibri"/>
          <w:b/>
          <w:spacing w:val="-10"/>
          <w:sz w:val="22"/>
        </w:rPr>
        <w:t>1</w:t>
      </w:r>
    </w:p>
    <w:p>
      <w:pPr>
        <w:pStyle w:val="ListParagraph"/>
        <w:numPr>
          <w:ilvl w:val="3"/>
          <w:numId w:val="180"/>
        </w:numPr>
        <w:tabs>
          <w:tab w:pos="1218" w:val="left" w:leader="none"/>
        </w:tabs>
        <w:spacing w:line="208" w:lineRule="auto" w:before="225" w:after="0"/>
        <w:ind w:left="792" w:right="1616" w:firstLine="0"/>
        <w:jc w:val="left"/>
        <w:rPr>
          <w:rFonts w:ascii="Calibri"/>
          <w:b/>
          <w:sz w:val="22"/>
        </w:rPr>
      </w:pPr>
      <w:r>
        <w:rPr>
          <w:sz w:val="24"/>
        </w:rPr>
        <w:t>The</w:t>
      </w:r>
      <w:r>
        <w:rPr>
          <w:spacing w:val="-4"/>
          <w:sz w:val="24"/>
        </w:rPr>
        <w:t> </w:t>
      </w:r>
      <w:r>
        <w:rPr>
          <w:sz w:val="24"/>
        </w:rPr>
        <w:t>individual</w:t>
      </w:r>
      <w:r>
        <w:rPr>
          <w:spacing w:val="-4"/>
          <w:sz w:val="24"/>
        </w:rPr>
        <w:t> </w:t>
      </w:r>
      <w:r>
        <w:rPr>
          <w:sz w:val="24"/>
        </w:rPr>
        <w:t>is</w:t>
      </w:r>
      <w:r>
        <w:rPr>
          <w:spacing w:val="-4"/>
          <w:sz w:val="24"/>
        </w:rPr>
        <w:t> </w:t>
      </w:r>
      <w:r>
        <w:rPr>
          <w:sz w:val="24"/>
        </w:rPr>
        <w:t>determined</w:t>
      </w:r>
      <w:r>
        <w:rPr>
          <w:spacing w:val="-4"/>
          <w:sz w:val="24"/>
        </w:rPr>
        <w:t> </w:t>
      </w:r>
      <w:r>
        <w:rPr>
          <w:sz w:val="24"/>
        </w:rPr>
        <w:t>to</w:t>
      </w:r>
      <w:r>
        <w:rPr>
          <w:spacing w:val="-4"/>
          <w:sz w:val="24"/>
        </w:rPr>
        <w:t> </w:t>
      </w:r>
      <w:r>
        <w:rPr>
          <w:sz w:val="24"/>
        </w:rPr>
        <w:t>be</w:t>
      </w:r>
      <w:r>
        <w:rPr>
          <w:spacing w:val="-4"/>
          <w:sz w:val="24"/>
        </w:rPr>
        <w:t> </w:t>
      </w:r>
      <w:r>
        <w:rPr>
          <w:sz w:val="24"/>
        </w:rPr>
        <w:t>an</w:t>
      </w:r>
      <w:r>
        <w:rPr>
          <w:spacing w:val="-4"/>
          <w:sz w:val="24"/>
        </w:rPr>
        <w:t> </w:t>
      </w:r>
      <w:r>
        <w:rPr>
          <w:sz w:val="24"/>
        </w:rPr>
        <w:t>individual</w:t>
      </w:r>
      <w:r>
        <w:rPr>
          <w:spacing w:val="-4"/>
          <w:sz w:val="24"/>
        </w:rPr>
        <w:t> </w:t>
      </w:r>
      <w:r>
        <w:rPr>
          <w:sz w:val="24"/>
        </w:rPr>
        <w:t>with</w:t>
      </w:r>
      <w:r>
        <w:rPr>
          <w:spacing w:val="-3"/>
          <w:sz w:val="24"/>
        </w:rPr>
        <w:t> </w:t>
      </w:r>
      <w:r>
        <w:rPr>
          <w:sz w:val="24"/>
        </w:rPr>
        <w:t>the</w:t>
      </w:r>
      <w:r>
        <w:rPr>
          <w:spacing w:val="-4"/>
          <w:sz w:val="24"/>
        </w:rPr>
        <w:t> </w:t>
      </w:r>
      <w:r>
        <w:rPr>
          <w:sz w:val="24"/>
        </w:rPr>
        <w:t>most</w:t>
      </w:r>
      <w:r>
        <w:rPr>
          <w:spacing w:val="-5"/>
          <w:sz w:val="24"/>
        </w:rPr>
        <w:t> </w:t>
      </w:r>
      <w:r>
        <w:rPr>
          <w:sz w:val="24"/>
        </w:rPr>
        <w:t>significant disabilities; </w:t>
      </w:r>
      <w:r>
        <w:rPr>
          <w:rFonts w:ascii="Calibri"/>
          <w:b/>
          <w:sz w:val="22"/>
        </w:rPr>
        <w:t>1</w:t>
      </w:r>
    </w:p>
    <w:p>
      <w:pPr>
        <w:pStyle w:val="ListParagraph"/>
        <w:numPr>
          <w:ilvl w:val="3"/>
          <w:numId w:val="180"/>
        </w:numPr>
        <w:tabs>
          <w:tab w:pos="1217" w:val="left" w:leader="none"/>
        </w:tabs>
        <w:spacing w:line="208" w:lineRule="auto" w:before="231" w:after="0"/>
        <w:ind w:left="791" w:right="789" w:firstLine="0"/>
        <w:jc w:val="left"/>
        <w:rPr>
          <w:sz w:val="24"/>
        </w:rPr>
      </w:pPr>
      <w:r>
        <w:rPr>
          <w:sz w:val="24"/>
        </w:rPr>
        <w:t>A</w:t>
      </w:r>
      <w:r>
        <w:rPr>
          <w:spacing w:val="-5"/>
          <w:sz w:val="24"/>
        </w:rPr>
        <w:t> </w:t>
      </w:r>
      <w:r>
        <w:rPr>
          <w:sz w:val="24"/>
        </w:rPr>
        <w:t>comprehensive</w:t>
      </w:r>
      <w:r>
        <w:rPr>
          <w:spacing w:val="-4"/>
          <w:sz w:val="24"/>
        </w:rPr>
        <w:t> </w:t>
      </w:r>
      <w:r>
        <w:rPr>
          <w:sz w:val="24"/>
        </w:rPr>
        <w:t>assessment</w:t>
      </w:r>
      <w:r>
        <w:rPr>
          <w:spacing w:val="-4"/>
          <w:sz w:val="24"/>
        </w:rPr>
        <w:t> </w:t>
      </w:r>
      <w:r>
        <w:rPr>
          <w:sz w:val="24"/>
        </w:rPr>
        <w:t>of</w:t>
      </w:r>
      <w:r>
        <w:rPr>
          <w:spacing w:val="-6"/>
          <w:sz w:val="24"/>
        </w:rPr>
        <w:t> </w:t>
      </w:r>
      <w:r>
        <w:rPr>
          <w:sz w:val="24"/>
        </w:rPr>
        <w:t>rehabilitation</w:t>
      </w:r>
      <w:r>
        <w:rPr>
          <w:spacing w:val="-5"/>
          <w:sz w:val="24"/>
        </w:rPr>
        <w:t> </w:t>
      </w:r>
      <w:r>
        <w:rPr>
          <w:sz w:val="24"/>
        </w:rPr>
        <w:t>needs</w:t>
      </w:r>
      <w:r>
        <w:rPr>
          <w:spacing w:val="-5"/>
          <w:sz w:val="24"/>
        </w:rPr>
        <w:t> </w:t>
      </w:r>
      <w:r>
        <w:rPr>
          <w:sz w:val="24"/>
        </w:rPr>
        <w:t>of</w:t>
      </w:r>
      <w:r>
        <w:rPr>
          <w:spacing w:val="-4"/>
          <w:sz w:val="24"/>
        </w:rPr>
        <w:t> </w:t>
      </w:r>
      <w:r>
        <w:rPr>
          <w:sz w:val="24"/>
        </w:rPr>
        <w:t>the</w:t>
      </w:r>
      <w:r>
        <w:rPr>
          <w:spacing w:val="-5"/>
          <w:sz w:val="24"/>
        </w:rPr>
        <w:t> </w:t>
      </w:r>
      <w:r>
        <w:rPr>
          <w:sz w:val="24"/>
        </w:rPr>
        <w:t>individual,</w:t>
      </w:r>
      <w:r>
        <w:rPr>
          <w:spacing w:val="-4"/>
          <w:sz w:val="24"/>
        </w:rPr>
        <w:t> </w:t>
      </w:r>
      <w:r>
        <w:rPr>
          <w:sz w:val="24"/>
        </w:rPr>
        <w:t>including an evaluation of rehabilitation, career, and job needs, identifies supported employment as the appropriate rehabilitation objective for the individual; </w:t>
      </w:r>
      <w:r>
        <w:rPr>
          <w:rFonts w:ascii="Calibri"/>
          <w:b/>
          <w:sz w:val="22"/>
        </w:rPr>
        <w:t>2, 3 </w:t>
      </w:r>
      <w:r>
        <w:rPr>
          <w:sz w:val="24"/>
        </w:rPr>
        <w:t>and</w:t>
      </w:r>
    </w:p>
    <w:p>
      <w:pPr>
        <w:pStyle w:val="ListParagraph"/>
        <w:numPr>
          <w:ilvl w:val="3"/>
          <w:numId w:val="180"/>
        </w:numPr>
        <w:tabs>
          <w:tab w:pos="1218" w:val="left" w:leader="none"/>
        </w:tabs>
        <w:spacing w:line="208" w:lineRule="auto" w:before="232" w:after="0"/>
        <w:ind w:left="792" w:right="721" w:firstLine="0"/>
        <w:jc w:val="left"/>
        <w:rPr>
          <w:sz w:val="24"/>
        </w:rPr>
      </w:pPr>
      <w:r>
        <w:rPr>
          <w:sz w:val="24"/>
        </w:rPr>
        <w:t>The counselor may not find an individual ineligible for supported employment services</w:t>
      </w:r>
      <w:r>
        <w:rPr>
          <w:spacing w:val="-4"/>
          <w:sz w:val="24"/>
        </w:rPr>
        <w:t> </w:t>
      </w:r>
      <w:r>
        <w:rPr>
          <w:sz w:val="24"/>
        </w:rPr>
        <w:t>because</w:t>
      </w:r>
      <w:r>
        <w:rPr>
          <w:spacing w:val="-4"/>
          <w:sz w:val="24"/>
        </w:rPr>
        <w:t> </w:t>
      </w:r>
      <w:r>
        <w:rPr>
          <w:sz w:val="24"/>
        </w:rPr>
        <w:t>a</w:t>
      </w:r>
      <w:r>
        <w:rPr>
          <w:spacing w:val="-4"/>
          <w:sz w:val="24"/>
        </w:rPr>
        <w:t> </w:t>
      </w:r>
      <w:r>
        <w:rPr>
          <w:sz w:val="24"/>
        </w:rPr>
        <w:t>resource</w:t>
      </w:r>
      <w:r>
        <w:rPr>
          <w:spacing w:val="-4"/>
          <w:sz w:val="24"/>
        </w:rPr>
        <w:t> </w:t>
      </w:r>
      <w:r>
        <w:rPr>
          <w:sz w:val="24"/>
        </w:rPr>
        <w:t>for</w:t>
      </w:r>
      <w:r>
        <w:rPr>
          <w:spacing w:val="-5"/>
          <w:sz w:val="24"/>
        </w:rPr>
        <w:t> </w:t>
      </w:r>
      <w:r>
        <w:rPr>
          <w:sz w:val="24"/>
        </w:rPr>
        <w:t>providing</w:t>
      </w:r>
      <w:r>
        <w:rPr>
          <w:spacing w:val="-4"/>
          <w:sz w:val="24"/>
        </w:rPr>
        <w:t> </w:t>
      </w:r>
      <w:r>
        <w:rPr>
          <w:sz w:val="24"/>
        </w:rPr>
        <w:t>extended</w:t>
      </w:r>
      <w:r>
        <w:rPr>
          <w:spacing w:val="-4"/>
          <w:sz w:val="24"/>
        </w:rPr>
        <w:t> </w:t>
      </w:r>
      <w:r>
        <w:rPr>
          <w:sz w:val="24"/>
        </w:rPr>
        <w:t>services</w:t>
      </w:r>
      <w:r>
        <w:rPr>
          <w:spacing w:val="-4"/>
          <w:sz w:val="24"/>
        </w:rPr>
        <w:t> </w:t>
      </w:r>
      <w:r>
        <w:rPr>
          <w:sz w:val="24"/>
        </w:rPr>
        <w:t>cannot</w:t>
      </w:r>
      <w:r>
        <w:rPr>
          <w:spacing w:val="-3"/>
          <w:sz w:val="24"/>
        </w:rPr>
        <w:t> </w:t>
      </w:r>
      <w:r>
        <w:rPr>
          <w:sz w:val="24"/>
        </w:rPr>
        <w:t>be</w:t>
      </w:r>
      <w:r>
        <w:rPr>
          <w:spacing w:val="-4"/>
          <w:sz w:val="24"/>
        </w:rPr>
        <w:t> </w:t>
      </w:r>
      <w:r>
        <w:rPr>
          <w:sz w:val="24"/>
        </w:rPr>
        <w:t>identified.</w:t>
      </w:r>
      <w:r>
        <w:rPr>
          <w:spacing w:val="-3"/>
          <w:sz w:val="24"/>
        </w:rPr>
        <w:t> </w:t>
      </w:r>
      <w:r>
        <w:rPr>
          <w:sz w:val="24"/>
        </w:rPr>
        <w:t>In this instance, the counselor will:</w:t>
      </w:r>
    </w:p>
    <w:p>
      <w:pPr>
        <w:pStyle w:val="ListParagraph"/>
        <w:numPr>
          <w:ilvl w:val="4"/>
          <w:numId w:val="180"/>
        </w:numPr>
        <w:tabs>
          <w:tab w:pos="1713" w:val="left" w:leader="none"/>
        </w:tabs>
        <w:spacing w:line="240" w:lineRule="auto" w:before="210" w:after="0"/>
        <w:ind w:left="1713" w:right="0" w:hanging="453"/>
        <w:jc w:val="left"/>
        <w:rPr>
          <w:sz w:val="24"/>
        </w:rPr>
      </w:pPr>
      <w:r>
        <w:rPr>
          <w:sz w:val="24"/>
        </w:rPr>
        <w:t>accept</w:t>
      </w:r>
      <w:r>
        <w:rPr>
          <w:spacing w:val="-4"/>
          <w:sz w:val="24"/>
        </w:rPr>
        <w:t> </w:t>
      </w:r>
      <w:r>
        <w:rPr>
          <w:sz w:val="24"/>
        </w:rPr>
        <w:t>the</w:t>
      </w:r>
      <w:r>
        <w:rPr>
          <w:spacing w:val="-3"/>
          <w:sz w:val="24"/>
        </w:rPr>
        <w:t> </w:t>
      </w:r>
      <w:r>
        <w:rPr>
          <w:sz w:val="24"/>
        </w:rPr>
        <w:t>individual</w:t>
      </w:r>
      <w:r>
        <w:rPr>
          <w:spacing w:val="-2"/>
          <w:sz w:val="24"/>
        </w:rPr>
        <w:t> </w:t>
      </w:r>
      <w:r>
        <w:rPr>
          <w:sz w:val="24"/>
        </w:rPr>
        <w:t>as</w:t>
      </w:r>
      <w:r>
        <w:rPr>
          <w:spacing w:val="-3"/>
          <w:sz w:val="24"/>
        </w:rPr>
        <w:t> </w:t>
      </w:r>
      <w:r>
        <w:rPr>
          <w:sz w:val="24"/>
        </w:rPr>
        <w:t>eligible</w:t>
      </w:r>
      <w:r>
        <w:rPr>
          <w:spacing w:val="-2"/>
          <w:sz w:val="24"/>
        </w:rPr>
        <w:t> </w:t>
      </w:r>
      <w:r>
        <w:rPr>
          <w:sz w:val="24"/>
        </w:rPr>
        <w:t>for</w:t>
      </w:r>
      <w:r>
        <w:rPr>
          <w:spacing w:val="-2"/>
          <w:sz w:val="24"/>
        </w:rPr>
        <w:t> </w:t>
      </w:r>
      <w:r>
        <w:rPr>
          <w:sz w:val="24"/>
        </w:rPr>
        <w:t>VR</w:t>
      </w:r>
      <w:r>
        <w:rPr>
          <w:spacing w:val="-2"/>
          <w:sz w:val="24"/>
        </w:rPr>
        <w:t> services;</w:t>
      </w:r>
    </w:p>
    <w:p>
      <w:pPr>
        <w:pStyle w:val="ListParagraph"/>
        <w:numPr>
          <w:ilvl w:val="4"/>
          <w:numId w:val="180"/>
        </w:numPr>
        <w:tabs>
          <w:tab w:pos="1713" w:val="left" w:leader="none"/>
        </w:tabs>
        <w:spacing w:line="208" w:lineRule="auto" w:before="233" w:after="0"/>
        <w:ind w:left="1260" w:right="1359" w:firstLine="0"/>
        <w:jc w:val="left"/>
        <w:rPr>
          <w:sz w:val="24"/>
        </w:rPr>
      </w:pPr>
      <w:r>
        <w:rPr>
          <w:sz w:val="24"/>
        </w:rPr>
        <w:t>plan</w:t>
      </w:r>
      <w:r>
        <w:rPr>
          <w:spacing w:val="-5"/>
          <w:sz w:val="24"/>
        </w:rPr>
        <w:t> </w:t>
      </w:r>
      <w:r>
        <w:rPr>
          <w:sz w:val="24"/>
        </w:rPr>
        <w:t>VR</w:t>
      </w:r>
      <w:r>
        <w:rPr>
          <w:spacing w:val="-5"/>
          <w:sz w:val="24"/>
        </w:rPr>
        <w:t> </w:t>
      </w:r>
      <w:r>
        <w:rPr>
          <w:sz w:val="24"/>
        </w:rPr>
        <w:t>services</w:t>
      </w:r>
      <w:r>
        <w:rPr>
          <w:spacing w:val="-5"/>
          <w:sz w:val="24"/>
        </w:rPr>
        <w:t> </w:t>
      </w:r>
      <w:r>
        <w:rPr>
          <w:sz w:val="24"/>
        </w:rPr>
        <w:t>as</w:t>
      </w:r>
      <w:r>
        <w:rPr>
          <w:spacing w:val="-5"/>
          <w:sz w:val="24"/>
        </w:rPr>
        <w:t> </w:t>
      </w:r>
      <w:r>
        <w:rPr>
          <w:sz w:val="24"/>
        </w:rPr>
        <w:t>appropriate,</w:t>
      </w:r>
      <w:r>
        <w:rPr>
          <w:spacing w:val="-4"/>
          <w:sz w:val="24"/>
        </w:rPr>
        <w:t> </w:t>
      </w:r>
      <w:r>
        <w:rPr>
          <w:sz w:val="24"/>
        </w:rPr>
        <w:t>including</w:t>
      </w:r>
      <w:r>
        <w:rPr>
          <w:spacing w:val="-5"/>
          <w:sz w:val="24"/>
        </w:rPr>
        <w:t> </w:t>
      </w:r>
      <w:r>
        <w:rPr>
          <w:sz w:val="24"/>
        </w:rPr>
        <w:t>the</w:t>
      </w:r>
      <w:r>
        <w:rPr>
          <w:spacing w:val="-5"/>
          <w:sz w:val="24"/>
        </w:rPr>
        <w:t> </w:t>
      </w:r>
      <w:r>
        <w:rPr>
          <w:sz w:val="24"/>
        </w:rPr>
        <w:t>expected</w:t>
      </w:r>
      <w:r>
        <w:rPr>
          <w:spacing w:val="-5"/>
          <w:sz w:val="24"/>
        </w:rPr>
        <w:t> </w:t>
      </w:r>
      <w:r>
        <w:rPr>
          <w:sz w:val="24"/>
        </w:rPr>
        <w:t>availability</w:t>
      </w:r>
      <w:r>
        <w:rPr>
          <w:spacing w:val="-5"/>
          <w:sz w:val="24"/>
        </w:rPr>
        <w:t> </w:t>
      </w:r>
      <w:r>
        <w:rPr>
          <w:sz w:val="24"/>
        </w:rPr>
        <w:t>of extended services; and</w:t>
      </w:r>
    </w:p>
    <w:p>
      <w:pPr>
        <w:pStyle w:val="ListParagraph"/>
        <w:numPr>
          <w:ilvl w:val="4"/>
          <w:numId w:val="180"/>
        </w:numPr>
        <w:tabs>
          <w:tab w:pos="1726" w:val="left" w:leader="none"/>
        </w:tabs>
        <w:spacing w:line="266" w:lineRule="exact" w:before="211" w:after="0"/>
        <w:ind w:left="1726" w:right="0" w:hanging="466"/>
        <w:jc w:val="left"/>
        <w:rPr>
          <w:sz w:val="24"/>
        </w:rPr>
      </w:pPr>
      <w:r>
        <w:rPr>
          <w:sz w:val="24"/>
        </w:rPr>
        <w:t>seek</w:t>
      </w:r>
      <w:r>
        <w:rPr>
          <w:spacing w:val="-6"/>
          <w:sz w:val="24"/>
        </w:rPr>
        <w:t> </w:t>
      </w:r>
      <w:r>
        <w:rPr>
          <w:sz w:val="24"/>
        </w:rPr>
        <w:t>out</w:t>
      </w:r>
      <w:r>
        <w:rPr>
          <w:spacing w:val="-2"/>
          <w:sz w:val="24"/>
        </w:rPr>
        <w:t> </w:t>
      </w:r>
      <w:r>
        <w:rPr>
          <w:sz w:val="24"/>
        </w:rPr>
        <w:t>and/or</w:t>
      </w:r>
      <w:r>
        <w:rPr>
          <w:spacing w:val="-2"/>
          <w:sz w:val="24"/>
        </w:rPr>
        <w:t> </w:t>
      </w:r>
      <w:r>
        <w:rPr>
          <w:sz w:val="24"/>
        </w:rPr>
        <w:t>help</w:t>
      </w:r>
      <w:r>
        <w:rPr>
          <w:spacing w:val="-3"/>
          <w:sz w:val="24"/>
        </w:rPr>
        <w:t> </w:t>
      </w:r>
      <w:r>
        <w:rPr>
          <w:sz w:val="24"/>
        </w:rPr>
        <w:t>in</w:t>
      </w:r>
      <w:r>
        <w:rPr>
          <w:spacing w:val="-3"/>
          <w:sz w:val="24"/>
        </w:rPr>
        <w:t> </w:t>
      </w:r>
      <w:r>
        <w:rPr>
          <w:sz w:val="24"/>
        </w:rPr>
        <w:t>developing</w:t>
      </w:r>
      <w:r>
        <w:rPr>
          <w:spacing w:val="-3"/>
          <w:sz w:val="24"/>
        </w:rPr>
        <w:t> </w:t>
      </w:r>
      <w:r>
        <w:rPr>
          <w:sz w:val="24"/>
        </w:rPr>
        <w:t>the</w:t>
      </w:r>
      <w:r>
        <w:rPr>
          <w:spacing w:val="-3"/>
          <w:sz w:val="24"/>
        </w:rPr>
        <w:t> </w:t>
      </w:r>
      <w:r>
        <w:rPr>
          <w:sz w:val="24"/>
        </w:rPr>
        <w:t>needed</w:t>
      </w:r>
      <w:r>
        <w:rPr>
          <w:spacing w:val="-3"/>
          <w:sz w:val="24"/>
        </w:rPr>
        <w:t> </w:t>
      </w:r>
      <w:r>
        <w:rPr>
          <w:sz w:val="24"/>
        </w:rPr>
        <w:t>extended</w:t>
      </w:r>
      <w:r>
        <w:rPr>
          <w:spacing w:val="-3"/>
          <w:sz w:val="24"/>
        </w:rPr>
        <w:t> </w:t>
      </w:r>
      <w:r>
        <w:rPr>
          <w:sz w:val="24"/>
        </w:rPr>
        <w:t>services</w:t>
      </w:r>
      <w:r>
        <w:rPr>
          <w:spacing w:val="-3"/>
          <w:sz w:val="24"/>
        </w:rPr>
        <w:t> </w:t>
      </w:r>
      <w:r>
        <w:rPr>
          <w:spacing w:val="-2"/>
          <w:sz w:val="24"/>
        </w:rPr>
        <w:t>resource.</w:t>
      </w:r>
    </w:p>
    <w:p>
      <w:pPr>
        <w:spacing w:line="258" w:lineRule="exact" w:before="0"/>
        <w:ind w:left="1260" w:right="0" w:firstLine="0"/>
        <w:jc w:val="left"/>
        <w:rPr>
          <w:rFonts w:ascii="Calibri"/>
          <w:b/>
          <w:sz w:val="22"/>
        </w:rPr>
      </w:pPr>
      <w:r>
        <w:rPr>
          <w:rFonts w:ascii="Calibri"/>
          <w:b/>
          <w:spacing w:val="-10"/>
          <w:sz w:val="22"/>
        </w:rPr>
        <w:t>4</w:t>
      </w:r>
    </w:p>
    <w:p>
      <w:pPr>
        <w:pStyle w:val="Heading2"/>
        <w:spacing w:before="196"/>
      </w:pPr>
      <w:r>
        <w:rPr/>
        <w:t>Instructions</w:t>
      </w:r>
      <w:r>
        <w:rPr>
          <w:spacing w:val="-4"/>
        </w:rPr>
        <w:t> </w:t>
      </w:r>
      <w:r>
        <w:rPr/>
        <w:t>to</w:t>
      </w:r>
      <w:r>
        <w:rPr>
          <w:spacing w:val="-3"/>
        </w:rPr>
        <w:t> </w:t>
      </w:r>
      <w:r>
        <w:rPr>
          <w:spacing w:val="-4"/>
        </w:rPr>
        <w:t>Staff</w:t>
      </w:r>
    </w:p>
    <w:p>
      <w:pPr>
        <w:pStyle w:val="ListParagraph"/>
        <w:numPr>
          <w:ilvl w:val="0"/>
          <w:numId w:val="210"/>
        </w:numPr>
        <w:tabs>
          <w:tab w:pos="627" w:val="left" w:leader="none"/>
          <w:tab w:pos="630" w:val="left" w:leader="none"/>
        </w:tabs>
        <w:spacing w:line="259" w:lineRule="auto" w:before="237" w:after="0"/>
        <w:ind w:left="630" w:right="1589" w:hanging="291"/>
        <w:jc w:val="left"/>
        <w:rPr>
          <w:sz w:val="24"/>
        </w:rPr>
      </w:pPr>
      <w:r>
        <w:rPr>
          <w:sz w:val="24"/>
        </w:rPr>
        <w:t>SE</w:t>
      </w:r>
      <w:r>
        <w:rPr>
          <w:spacing w:val="-4"/>
          <w:sz w:val="24"/>
        </w:rPr>
        <w:t> </w:t>
      </w:r>
      <w:r>
        <w:rPr>
          <w:sz w:val="24"/>
        </w:rPr>
        <w:t>services</w:t>
      </w:r>
      <w:r>
        <w:rPr>
          <w:spacing w:val="-4"/>
          <w:sz w:val="24"/>
        </w:rPr>
        <w:t> </w:t>
      </w:r>
      <w:r>
        <w:rPr>
          <w:sz w:val="24"/>
        </w:rPr>
        <w:t>are</w:t>
      </w:r>
      <w:r>
        <w:rPr>
          <w:spacing w:val="-4"/>
          <w:sz w:val="24"/>
        </w:rPr>
        <w:t> </w:t>
      </w:r>
      <w:r>
        <w:rPr>
          <w:sz w:val="24"/>
        </w:rPr>
        <w:t>for</w:t>
      </w:r>
      <w:r>
        <w:rPr>
          <w:spacing w:val="-5"/>
          <w:sz w:val="24"/>
        </w:rPr>
        <w:t> </w:t>
      </w:r>
      <w:r>
        <w:rPr>
          <w:sz w:val="24"/>
        </w:rPr>
        <w:t>individuals</w:t>
      </w:r>
      <w:r>
        <w:rPr>
          <w:spacing w:val="-4"/>
          <w:sz w:val="24"/>
        </w:rPr>
        <w:t> </w:t>
      </w:r>
      <w:r>
        <w:rPr>
          <w:sz w:val="24"/>
        </w:rPr>
        <w:t>determined</w:t>
      </w:r>
      <w:r>
        <w:rPr>
          <w:spacing w:val="-4"/>
          <w:sz w:val="24"/>
        </w:rPr>
        <w:t> </w:t>
      </w:r>
      <w:r>
        <w:rPr>
          <w:sz w:val="24"/>
        </w:rPr>
        <w:t>eligible</w:t>
      </w:r>
      <w:r>
        <w:rPr>
          <w:spacing w:val="-4"/>
          <w:sz w:val="24"/>
        </w:rPr>
        <w:t> </w:t>
      </w:r>
      <w:r>
        <w:rPr>
          <w:sz w:val="24"/>
        </w:rPr>
        <w:t>for</w:t>
      </w:r>
      <w:r>
        <w:rPr>
          <w:spacing w:val="-5"/>
          <w:sz w:val="24"/>
        </w:rPr>
        <w:t> </w:t>
      </w:r>
      <w:r>
        <w:rPr>
          <w:sz w:val="24"/>
        </w:rPr>
        <w:t>vocational</w:t>
      </w:r>
      <w:r>
        <w:rPr>
          <w:spacing w:val="-4"/>
          <w:sz w:val="24"/>
        </w:rPr>
        <w:t> </w:t>
      </w:r>
      <w:r>
        <w:rPr>
          <w:sz w:val="24"/>
        </w:rPr>
        <w:t>rehabilitation services in Priority Group 1, and:</w:t>
      </w:r>
    </w:p>
    <w:p>
      <w:pPr>
        <w:pStyle w:val="ListParagraph"/>
        <w:numPr>
          <w:ilvl w:val="1"/>
          <w:numId w:val="210"/>
        </w:numPr>
        <w:tabs>
          <w:tab w:pos="963" w:val="left" w:leader="none"/>
          <w:tab w:pos="990" w:val="left" w:leader="none"/>
        </w:tabs>
        <w:spacing w:line="259" w:lineRule="auto" w:before="240" w:after="0"/>
        <w:ind w:left="990" w:right="737" w:hanging="360"/>
        <w:jc w:val="left"/>
        <w:rPr>
          <w:sz w:val="24"/>
        </w:rPr>
      </w:pPr>
      <w:r>
        <w:rPr>
          <w:sz w:val="24"/>
        </w:rPr>
        <w:t>who</w:t>
      </w:r>
      <w:r>
        <w:rPr>
          <w:spacing w:val="-4"/>
          <w:sz w:val="24"/>
        </w:rPr>
        <w:t> </w:t>
      </w:r>
      <w:r>
        <w:rPr>
          <w:sz w:val="24"/>
        </w:rPr>
        <w:t>has</w:t>
      </w:r>
      <w:r>
        <w:rPr>
          <w:spacing w:val="-4"/>
          <w:sz w:val="24"/>
        </w:rPr>
        <w:t> </w:t>
      </w:r>
      <w:r>
        <w:rPr>
          <w:sz w:val="24"/>
        </w:rPr>
        <w:t>a</w:t>
      </w:r>
      <w:r>
        <w:rPr>
          <w:spacing w:val="-4"/>
          <w:sz w:val="24"/>
        </w:rPr>
        <w:t> </w:t>
      </w:r>
      <w:r>
        <w:rPr>
          <w:sz w:val="24"/>
        </w:rPr>
        <w:t>severe</w:t>
      </w:r>
      <w:r>
        <w:rPr>
          <w:spacing w:val="-4"/>
          <w:sz w:val="24"/>
        </w:rPr>
        <w:t> </w:t>
      </w:r>
      <w:r>
        <w:rPr>
          <w:sz w:val="24"/>
        </w:rPr>
        <w:t>physical</w:t>
      </w:r>
      <w:r>
        <w:rPr>
          <w:spacing w:val="-4"/>
          <w:sz w:val="24"/>
        </w:rPr>
        <w:t> </w:t>
      </w:r>
      <w:r>
        <w:rPr>
          <w:sz w:val="24"/>
        </w:rPr>
        <w:t>or</w:t>
      </w:r>
      <w:r>
        <w:rPr>
          <w:spacing w:val="-3"/>
          <w:sz w:val="24"/>
        </w:rPr>
        <w:t> </w:t>
      </w:r>
      <w:r>
        <w:rPr>
          <w:sz w:val="24"/>
        </w:rPr>
        <w:t>mental</w:t>
      </w:r>
      <w:r>
        <w:rPr>
          <w:spacing w:val="-4"/>
          <w:sz w:val="24"/>
        </w:rPr>
        <w:t> </w:t>
      </w:r>
      <w:r>
        <w:rPr>
          <w:sz w:val="24"/>
        </w:rPr>
        <w:t>impairment</w:t>
      </w:r>
      <w:r>
        <w:rPr>
          <w:spacing w:val="-3"/>
          <w:sz w:val="24"/>
        </w:rPr>
        <w:t> </w:t>
      </w:r>
      <w:r>
        <w:rPr>
          <w:sz w:val="24"/>
        </w:rPr>
        <w:t>that</w:t>
      </w:r>
      <w:r>
        <w:rPr>
          <w:spacing w:val="-3"/>
          <w:sz w:val="24"/>
        </w:rPr>
        <w:t> </w:t>
      </w:r>
      <w:r>
        <w:rPr>
          <w:sz w:val="24"/>
        </w:rPr>
        <w:t>seriously</w:t>
      </w:r>
      <w:r>
        <w:rPr>
          <w:spacing w:val="-4"/>
          <w:sz w:val="24"/>
        </w:rPr>
        <w:t> </w:t>
      </w:r>
      <w:r>
        <w:rPr>
          <w:sz w:val="24"/>
        </w:rPr>
        <w:t>limits</w:t>
      </w:r>
      <w:r>
        <w:rPr>
          <w:spacing w:val="-4"/>
          <w:sz w:val="24"/>
        </w:rPr>
        <w:t> </w:t>
      </w:r>
      <w:r>
        <w:rPr>
          <w:sz w:val="24"/>
        </w:rPr>
        <w:t>three</w:t>
      </w:r>
      <w:r>
        <w:rPr>
          <w:spacing w:val="-5"/>
          <w:sz w:val="24"/>
        </w:rPr>
        <w:t> </w:t>
      </w:r>
      <w:r>
        <w:rPr>
          <w:sz w:val="24"/>
        </w:rPr>
        <w:t>or</w:t>
      </w:r>
      <w:r>
        <w:rPr>
          <w:spacing w:val="-3"/>
          <w:sz w:val="24"/>
        </w:rPr>
        <w:t> </w:t>
      </w:r>
      <w:r>
        <w:rPr>
          <w:sz w:val="24"/>
        </w:rPr>
        <w:t>more functional capacities in terms of an employment outcome;</w:t>
      </w:r>
    </w:p>
    <w:p>
      <w:pPr>
        <w:pStyle w:val="ListParagraph"/>
        <w:numPr>
          <w:ilvl w:val="1"/>
          <w:numId w:val="210"/>
        </w:numPr>
        <w:tabs>
          <w:tab w:pos="963" w:val="left" w:leader="none"/>
          <w:tab w:pos="990" w:val="left" w:leader="none"/>
        </w:tabs>
        <w:spacing w:line="259" w:lineRule="auto" w:before="240" w:after="0"/>
        <w:ind w:left="990" w:right="1257" w:hanging="360"/>
        <w:jc w:val="left"/>
        <w:rPr>
          <w:sz w:val="24"/>
        </w:rPr>
      </w:pPr>
      <w:r>
        <w:rPr>
          <w:sz w:val="24"/>
        </w:rPr>
        <w:t>whose</w:t>
      </w:r>
      <w:r>
        <w:rPr>
          <w:spacing w:val="-5"/>
          <w:sz w:val="24"/>
        </w:rPr>
        <w:t> </w:t>
      </w:r>
      <w:r>
        <w:rPr>
          <w:sz w:val="24"/>
        </w:rPr>
        <w:t>vocational</w:t>
      </w:r>
      <w:r>
        <w:rPr>
          <w:spacing w:val="-5"/>
          <w:sz w:val="24"/>
        </w:rPr>
        <w:t> </w:t>
      </w:r>
      <w:r>
        <w:rPr>
          <w:sz w:val="24"/>
        </w:rPr>
        <w:t>rehabilitation</w:t>
      </w:r>
      <w:r>
        <w:rPr>
          <w:spacing w:val="-5"/>
          <w:sz w:val="24"/>
        </w:rPr>
        <w:t> </w:t>
      </w:r>
      <w:r>
        <w:rPr>
          <w:sz w:val="24"/>
        </w:rPr>
        <w:t>can</w:t>
      </w:r>
      <w:r>
        <w:rPr>
          <w:spacing w:val="-5"/>
          <w:sz w:val="24"/>
        </w:rPr>
        <w:t> </w:t>
      </w:r>
      <w:r>
        <w:rPr>
          <w:sz w:val="24"/>
        </w:rPr>
        <w:t>be</w:t>
      </w:r>
      <w:r>
        <w:rPr>
          <w:spacing w:val="-5"/>
          <w:sz w:val="24"/>
        </w:rPr>
        <w:t> </w:t>
      </w:r>
      <w:r>
        <w:rPr>
          <w:sz w:val="24"/>
        </w:rPr>
        <w:t>expected</w:t>
      </w:r>
      <w:r>
        <w:rPr>
          <w:spacing w:val="-5"/>
          <w:sz w:val="24"/>
        </w:rPr>
        <w:t> </w:t>
      </w:r>
      <w:r>
        <w:rPr>
          <w:sz w:val="24"/>
        </w:rPr>
        <w:t>to</w:t>
      </w:r>
      <w:r>
        <w:rPr>
          <w:spacing w:val="-6"/>
          <w:sz w:val="24"/>
        </w:rPr>
        <w:t> </w:t>
      </w:r>
      <w:r>
        <w:rPr>
          <w:sz w:val="24"/>
        </w:rPr>
        <w:t>require</w:t>
      </w:r>
      <w:r>
        <w:rPr>
          <w:spacing w:val="-5"/>
          <w:sz w:val="24"/>
        </w:rPr>
        <w:t> </w:t>
      </w:r>
      <w:r>
        <w:rPr>
          <w:sz w:val="24"/>
        </w:rPr>
        <w:t>multiple</w:t>
      </w:r>
      <w:r>
        <w:rPr>
          <w:spacing w:val="-5"/>
          <w:sz w:val="24"/>
        </w:rPr>
        <w:t> </w:t>
      </w:r>
      <w:r>
        <w:rPr>
          <w:sz w:val="24"/>
        </w:rPr>
        <w:t>vocational rehabilitation services over an extended period of time; and</w:t>
      </w:r>
    </w:p>
    <w:p>
      <w:pPr>
        <w:pStyle w:val="ListParagraph"/>
        <w:numPr>
          <w:ilvl w:val="1"/>
          <w:numId w:val="210"/>
        </w:numPr>
        <w:tabs>
          <w:tab w:pos="990" w:val="left" w:leader="none"/>
        </w:tabs>
        <w:spacing w:line="259" w:lineRule="auto" w:before="239" w:after="0"/>
        <w:ind w:left="990" w:right="817" w:hanging="360"/>
        <w:jc w:val="left"/>
        <w:rPr>
          <w:sz w:val="24"/>
        </w:rPr>
      </w:pPr>
      <w:r>
        <w:rPr>
          <w:sz w:val="24"/>
        </w:rPr>
        <w:t>who has one or more physical or mental disabilities resulting from amputation, arthritis, autism, blindness, burn injury, cancer, cerebral palsy, cystic fibrosis, deafness, head injury, heart disease, hemiplegia, hemophilia, respiratory or pulmonary dysfunction, mental illness, intellectual disability, multiple sclerosis, muscular dystrophy, musculoskeletal disorder, neurological disorders (including stroke</w:t>
      </w:r>
      <w:r>
        <w:rPr>
          <w:spacing w:val="-5"/>
          <w:sz w:val="24"/>
        </w:rPr>
        <w:t> </w:t>
      </w:r>
      <w:r>
        <w:rPr>
          <w:sz w:val="24"/>
        </w:rPr>
        <w:t>and</w:t>
      </w:r>
      <w:r>
        <w:rPr>
          <w:spacing w:val="-6"/>
          <w:sz w:val="24"/>
        </w:rPr>
        <w:t> </w:t>
      </w:r>
      <w:r>
        <w:rPr>
          <w:sz w:val="24"/>
        </w:rPr>
        <w:t>epilepsy),</w:t>
      </w:r>
      <w:r>
        <w:rPr>
          <w:spacing w:val="-4"/>
          <w:sz w:val="24"/>
        </w:rPr>
        <w:t> </w:t>
      </w:r>
      <w:r>
        <w:rPr>
          <w:sz w:val="24"/>
        </w:rPr>
        <w:t>paraplegia,</w:t>
      </w:r>
      <w:r>
        <w:rPr>
          <w:spacing w:val="-4"/>
          <w:sz w:val="24"/>
        </w:rPr>
        <w:t> </w:t>
      </w:r>
      <w:r>
        <w:rPr>
          <w:sz w:val="24"/>
        </w:rPr>
        <w:t>quadriplegia,</w:t>
      </w:r>
      <w:r>
        <w:rPr>
          <w:spacing w:val="-4"/>
          <w:sz w:val="24"/>
        </w:rPr>
        <w:t> </w:t>
      </w:r>
      <w:r>
        <w:rPr>
          <w:sz w:val="24"/>
        </w:rPr>
        <w:t>other</w:t>
      </w:r>
      <w:r>
        <w:rPr>
          <w:spacing w:val="-4"/>
          <w:sz w:val="24"/>
        </w:rPr>
        <w:t> </w:t>
      </w:r>
      <w:r>
        <w:rPr>
          <w:sz w:val="24"/>
        </w:rPr>
        <w:t>spinal</w:t>
      </w:r>
      <w:r>
        <w:rPr>
          <w:spacing w:val="-5"/>
          <w:sz w:val="24"/>
        </w:rPr>
        <w:t> </w:t>
      </w:r>
      <w:r>
        <w:rPr>
          <w:sz w:val="24"/>
        </w:rPr>
        <w:t>cord</w:t>
      </w:r>
      <w:r>
        <w:rPr>
          <w:spacing w:val="-5"/>
          <w:sz w:val="24"/>
        </w:rPr>
        <w:t> </w:t>
      </w:r>
      <w:r>
        <w:rPr>
          <w:sz w:val="24"/>
        </w:rPr>
        <w:t>conditions,</w:t>
      </w:r>
      <w:r>
        <w:rPr>
          <w:spacing w:val="-4"/>
          <w:sz w:val="24"/>
        </w:rPr>
        <w:t> </w:t>
      </w:r>
      <w:r>
        <w:rPr>
          <w:sz w:val="24"/>
        </w:rPr>
        <w:t>sickle cell</w:t>
      </w:r>
      <w:r>
        <w:rPr>
          <w:spacing w:val="-5"/>
          <w:sz w:val="24"/>
        </w:rPr>
        <w:t> </w:t>
      </w:r>
      <w:r>
        <w:rPr>
          <w:sz w:val="24"/>
        </w:rPr>
        <w:t>anemia,</w:t>
      </w:r>
      <w:r>
        <w:rPr>
          <w:spacing w:val="-4"/>
          <w:sz w:val="24"/>
        </w:rPr>
        <w:t> </w:t>
      </w:r>
      <w:r>
        <w:rPr>
          <w:sz w:val="24"/>
        </w:rPr>
        <w:t>specific</w:t>
      </w:r>
      <w:r>
        <w:rPr>
          <w:spacing w:val="-5"/>
          <w:sz w:val="24"/>
        </w:rPr>
        <w:t> </w:t>
      </w:r>
      <w:r>
        <w:rPr>
          <w:sz w:val="24"/>
        </w:rPr>
        <w:t>learning</w:t>
      </w:r>
      <w:r>
        <w:rPr>
          <w:spacing w:val="-5"/>
          <w:sz w:val="24"/>
        </w:rPr>
        <w:t> </w:t>
      </w:r>
      <w:r>
        <w:rPr>
          <w:sz w:val="24"/>
        </w:rPr>
        <w:t>disability,</w:t>
      </w:r>
      <w:r>
        <w:rPr>
          <w:spacing w:val="-4"/>
          <w:sz w:val="24"/>
        </w:rPr>
        <w:t> </w:t>
      </w:r>
      <w:r>
        <w:rPr>
          <w:sz w:val="24"/>
        </w:rPr>
        <w:t>end-stage</w:t>
      </w:r>
      <w:r>
        <w:rPr>
          <w:spacing w:val="-5"/>
          <w:sz w:val="24"/>
        </w:rPr>
        <w:t> </w:t>
      </w:r>
      <w:r>
        <w:rPr>
          <w:sz w:val="24"/>
        </w:rPr>
        <w:t>renal</w:t>
      </w:r>
      <w:r>
        <w:rPr>
          <w:spacing w:val="-5"/>
          <w:sz w:val="24"/>
        </w:rPr>
        <w:t> </w:t>
      </w:r>
      <w:r>
        <w:rPr>
          <w:sz w:val="24"/>
        </w:rPr>
        <w:t>disease</w:t>
      </w:r>
      <w:r>
        <w:rPr>
          <w:spacing w:val="-5"/>
          <w:sz w:val="24"/>
        </w:rPr>
        <w:t> </w:t>
      </w:r>
      <w:r>
        <w:rPr>
          <w:sz w:val="24"/>
        </w:rPr>
        <w:t>or</w:t>
      </w:r>
      <w:r>
        <w:rPr>
          <w:spacing w:val="-4"/>
          <w:sz w:val="24"/>
        </w:rPr>
        <w:t> </w:t>
      </w:r>
      <w:r>
        <w:rPr>
          <w:sz w:val="24"/>
        </w:rPr>
        <w:t>other</w:t>
      </w:r>
      <w:r>
        <w:rPr>
          <w:spacing w:val="-4"/>
          <w:sz w:val="24"/>
        </w:rPr>
        <w:t> </w:t>
      </w:r>
      <w:r>
        <w:rPr>
          <w:sz w:val="24"/>
        </w:rPr>
        <w:t>disability or combination of disabilities determined on the basis of an assessment for determining eligibility and vocational rehabilitation needs to cause comparable substantial functional limitation.</w:t>
      </w:r>
    </w:p>
    <w:p>
      <w:pPr>
        <w:pStyle w:val="ListParagraph"/>
        <w:spacing w:after="0" w:line="259" w:lineRule="auto"/>
        <w:jc w:val="left"/>
        <w:rPr>
          <w:sz w:val="24"/>
        </w:rPr>
        <w:sectPr>
          <w:pgSz w:w="12240" w:h="15840"/>
          <w:pgMar w:top="1340" w:bottom="280" w:left="1080" w:right="720"/>
        </w:sectPr>
      </w:pPr>
    </w:p>
    <w:p>
      <w:pPr>
        <w:pStyle w:val="ListParagraph"/>
        <w:numPr>
          <w:ilvl w:val="0"/>
          <w:numId w:val="210"/>
        </w:numPr>
        <w:tabs>
          <w:tab w:pos="627" w:val="left" w:leader="none"/>
          <w:tab w:pos="630" w:val="left" w:leader="none"/>
        </w:tabs>
        <w:spacing w:line="259" w:lineRule="auto" w:before="80" w:after="0"/>
        <w:ind w:left="630" w:right="907" w:hanging="291"/>
        <w:jc w:val="left"/>
        <w:rPr>
          <w:sz w:val="24"/>
        </w:rPr>
      </w:pPr>
      <w:r>
        <w:rPr>
          <w:sz w:val="24"/>
        </w:rPr>
        <w:t>The Career Exploration service in the Supplemental Employment Services (SES) contract</w:t>
      </w:r>
      <w:r>
        <w:rPr>
          <w:spacing w:val="-3"/>
          <w:sz w:val="24"/>
        </w:rPr>
        <w:t> </w:t>
      </w:r>
      <w:r>
        <w:rPr>
          <w:sz w:val="24"/>
        </w:rPr>
        <w:t>can</w:t>
      </w:r>
      <w:r>
        <w:rPr>
          <w:spacing w:val="-4"/>
          <w:sz w:val="24"/>
        </w:rPr>
        <w:t> </w:t>
      </w:r>
      <w:r>
        <w:rPr>
          <w:sz w:val="24"/>
        </w:rPr>
        <w:t>be</w:t>
      </w:r>
      <w:r>
        <w:rPr>
          <w:spacing w:val="-4"/>
          <w:sz w:val="24"/>
        </w:rPr>
        <w:t> </w:t>
      </w:r>
      <w:r>
        <w:rPr>
          <w:sz w:val="24"/>
        </w:rPr>
        <w:t>used</w:t>
      </w:r>
      <w:r>
        <w:rPr>
          <w:spacing w:val="-4"/>
          <w:sz w:val="24"/>
        </w:rPr>
        <w:t> </w:t>
      </w:r>
      <w:r>
        <w:rPr>
          <w:sz w:val="24"/>
        </w:rPr>
        <w:t>to</w:t>
      </w:r>
      <w:r>
        <w:rPr>
          <w:spacing w:val="-4"/>
          <w:sz w:val="24"/>
        </w:rPr>
        <w:t> </w:t>
      </w:r>
      <w:r>
        <w:rPr>
          <w:sz w:val="24"/>
        </w:rPr>
        <w:t>evaluate</w:t>
      </w:r>
      <w:r>
        <w:rPr>
          <w:spacing w:val="-4"/>
          <w:sz w:val="24"/>
        </w:rPr>
        <w:t> </w:t>
      </w:r>
      <w:r>
        <w:rPr>
          <w:sz w:val="24"/>
        </w:rPr>
        <w:t>the</w:t>
      </w:r>
      <w:r>
        <w:rPr>
          <w:spacing w:val="-4"/>
          <w:sz w:val="24"/>
        </w:rPr>
        <w:t> </w:t>
      </w:r>
      <w:r>
        <w:rPr>
          <w:sz w:val="24"/>
        </w:rPr>
        <w:t>rehabilitation,</w:t>
      </w:r>
      <w:r>
        <w:rPr>
          <w:spacing w:val="-3"/>
          <w:sz w:val="24"/>
        </w:rPr>
        <w:t> </w:t>
      </w:r>
      <w:r>
        <w:rPr>
          <w:sz w:val="24"/>
        </w:rPr>
        <w:t>career,</w:t>
      </w:r>
      <w:r>
        <w:rPr>
          <w:spacing w:val="-3"/>
          <w:sz w:val="24"/>
        </w:rPr>
        <w:t> </w:t>
      </w:r>
      <w:r>
        <w:rPr>
          <w:sz w:val="24"/>
        </w:rPr>
        <w:t>and</w:t>
      </w:r>
      <w:r>
        <w:rPr>
          <w:spacing w:val="-4"/>
          <w:sz w:val="24"/>
        </w:rPr>
        <w:t> </w:t>
      </w:r>
      <w:r>
        <w:rPr>
          <w:sz w:val="24"/>
        </w:rPr>
        <w:t>support</w:t>
      </w:r>
      <w:r>
        <w:rPr>
          <w:spacing w:val="-3"/>
          <w:sz w:val="24"/>
        </w:rPr>
        <w:t> </w:t>
      </w:r>
      <w:r>
        <w:rPr>
          <w:sz w:val="24"/>
        </w:rPr>
        <w:t>needs</w:t>
      </w:r>
      <w:r>
        <w:rPr>
          <w:spacing w:val="-4"/>
          <w:sz w:val="24"/>
        </w:rPr>
        <w:t> </w:t>
      </w:r>
      <w:r>
        <w:rPr>
          <w:sz w:val="24"/>
        </w:rPr>
        <w:t>of</w:t>
      </w:r>
      <w:r>
        <w:rPr>
          <w:spacing w:val="-3"/>
          <w:sz w:val="24"/>
        </w:rPr>
        <w:t> </w:t>
      </w:r>
      <w:r>
        <w:rPr>
          <w:sz w:val="24"/>
        </w:rPr>
        <w:t>the individual. The results of career exploration will help the counselor to determine if supported employment is appropriate for the individual and complete the comprehensive assessment.</w:t>
      </w:r>
    </w:p>
    <w:p>
      <w:pPr>
        <w:pStyle w:val="BodyText"/>
        <w:spacing w:before="40"/>
        <w:ind w:left="0"/>
      </w:pPr>
    </w:p>
    <w:p>
      <w:pPr>
        <w:pStyle w:val="ListParagraph"/>
        <w:numPr>
          <w:ilvl w:val="0"/>
          <w:numId w:val="210"/>
        </w:numPr>
        <w:tabs>
          <w:tab w:pos="627" w:val="left" w:leader="none"/>
          <w:tab w:pos="630" w:val="left" w:leader="none"/>
        </w:tabs>
        <w:spacing w:line="259" w:lineRule="auto" w:before="0" w:after="0"/>
        <w:ind w:left="630" w:right="1204" w:hanging="291"/>
        <w:jc w:val="left"/>
        <w:rPr>
          <w:sz w:val="24"/>
        </w:rPr>
      </w:pPr>
      <w:r>
        <w:rPr>
          <w:sz w:val="24"/>
        </w:rPr>
        <w:t>The</w:t>
      </w:r>
      <w:r>
        <w:rPr>
          <w:spacing w:val="-3"/>
          <w:sz w:val="24"/>
        </w:rPr>
        <w:t> </w:t>
      </w:r>
      <w:r>
        <w:rPr>
          <w:sz w:val="24"/>
        </w:rPr>
        <w:t>counselor</w:t>
      </w:r>
      <w:r>
        <w:rPr>
          <w:spacing w:val="-2"/>
          <w:sz w:val="24"/>
        </w:rPr>
        <w:t> </w:t>
      </w:r>
      <w:r>
        <w:rPr>
          <w:sz w:val="24"/>
        </w:rPr>
        <w:t>will</w:t>
      </w:r>
      <w:r>
        <w:rPr>
          <w:spacing w:val="-3"/>
          <w:sz w:val="24"/>
        </w:rPr>
        <w:t> </w:t>
      </w:r>
      <w:r>
        <w:rPr>
          <w:sz w:val="24"/>
        </w:rPr>
        <w:t>document</w:t>
      </w:r>
      <w:r>
        <w:rPr>
          <w:spacing w:val="-2"/>
          <w:sz w:val="24"/>
        </w:rPr>
        <w:t> </w:t>
      </w:r>
      <w:r>
        <w:rPr>
          <w:sz w:val="24"/>
        </w:rPr>
        <w:t>in</w:t>
      </w:r>
      <w:r>
        <w:rPr>
          <w:spacing w:val="-3"/>
          <w:sz w:val="24"/>
        </w:rPr>
        <w:t> </w:t>
      </w:r>
      <w:r>
        <w:rPr>
          <w:sz w:val="24"/>
        </w:rPr>
        <w:t>the</w:t>
      </w:r>
      <w:r>
        <w:rPr>
          <w:spacing w:val="-3"/>
          <w:sz w:val="24"/>
        </w:rPr>
        <w:t> </w:t>
      </w:r>
      <w:r>
        <w:rPr>
          <w:sz w:val="24"/>
        </w:rPr>
        <w:t>case</w:t>
      </w:r>
      <w:r>
        <w:rPr>
          <w:spacing w:val="-3"/>
          <w:sz w:val="24"/>
        </w:rPr>
        <w:t> </w:t>
      </w:r>
      <w:r>
        <w:rPr>
          <w:sz w:val="24"/>
        </w:rPr>
        <w:t>record</w:t>
      </w:r>
      <w:r>
        <w:rPr>
          <w:spacing w:val="-3"/>
          <w:sz w:val="24"/>
        </w:rPr>
        <w:t> </w:t>
      </w:r>
      <w:r>
        <w:rPr>
          <w:sz w:val="24"/>
        </w:rPr>
        <w:t>results</w:t>
      </w:r>
      <w:r>
        <w:rPr>
          <w:spacing w:val="-3"/>
          <w:sz w:val="24"/>
        </w:rPr>
        <w:t> </w:t>
      </w:r>
      <w:r>
        <w:rPr>
          <w:sz w:val="24"/>
        </w:rPr>
        <w:t>of</w:t>
      </w:r>
      <w:r>
        <w:rPr>
          <w:spacing w:val="-4"/>
          <w:sz w:val="24"/>
        </w:rPr>
        <w:t> </w:t>
      </w:r>
      <w:r>
        <w:rPr>
          <w:strike/>
          <w:sz w:val="24"/>
        </w:rPr>
        <w:t>the</w:t>
      </w:r>
      <w:r>
        <w:rPr>
          <w:strike w:val="0"/>
          <w:spacing w:val="-3"/>
          <w:sz w:val="24"/>
        </w:rPr>
        <w:t> </w:t>
      </w:r>
      <w:r>
        <w:rPr>
          <w:strike w:val="0"/>
          <w:sz w:val="24"/>
        </w:rPr>
        <w:t>assessments</w:t>
      </w:r>
      <w:r>
        <w:rPr>
          <w:strike w:val="0"/>
          <w:spacing w:val="-4"/>
          <w:sz w:val="24"/>
        </w:rPr>
        <w:t> </w:t>
      </w:r>
      <w:r>
        <w:rPr>
          <w:strike w:val="0"/>
          <w:sz w:val="24"/>
        </w:rPr>
        <w:t>which identify supported employment as the appropriate rehabilitation objective for the individual. </w:t>
      </w:r>
      <w:hyperlink w:history="true" w:anchor="_bookmark8">
        <w:r>
          <w:rPr>
            <w:strike w:val="0"/>
            <w:sz w:val="24"/>
          </w:rPr>
          <w:t>612:10-7-51(c)(1)</w:t>
        </w:r>
      </w:hyperlink>
      <w:r>
        <w:rPr>
          <w:strike w:val="0"/>
          <w:sz w:val="24"/>
        </w:rPr>
        <w:t> Individualized Plan for Employment.</w:t>
      </w:r>
    </w:p>
    <w:p>
      <w:pPr>
        <w:pStyle w:val="BodyText"/>
        <w:spacing w:before="40"/>
        <w:ind w:left="0"/>
      </w:pPr>
    </w:p>
    <w:p>
      <w:pPr>
        <w:pStyle w:val="ListParagraph"/>
        <w:numPr>
          <w:ilvl w:val="0"/>
          <w:numId w:val="210"/>
        </w:numPr>
        <w:tabs>
          <w:tab w:pos="627" w:val="left" w:leader="none"/>
          <w:tab w:pos="630" w:val="left" w:leader="none"/>
        </w:tabs>
        <w:spacing w:line="259" w:lineRule="auto" w:before="1" w:after="0"/>
        <w:ind w:left="630" w:right="1348" w:hanging="291"/>
        <w:jc w:val="left"/>
        <w:rPr>
          <w:sz w:val="24"/>
        </w:rPr>
      </w:pPr>
      <w:r>
        <w:rPr>
          <w:sz w:val="24"/>
        </w:rPr>
        <w:t>Extended</w:t>
      </w:r>
      <w:r>
        <w:rPr>
          <w:spacing w:val="-3"/>
          <w:sz w:val="24"/>
        </w:rPr>
        <w:t> </w:t>
      </w:r>
      <w:r>
        <w:rPr>
          <w:sz w:val="24"/>
        </w:rPr>
        <w:t>Services</w:t>
      </w:r>
      <w:r>
        <w:rPr>
          <w:spacing w:val="-4"/>
          <w:sz w:val="24"/>
        </w:rPr>
        <w:t> </w:t>
      </w:r>
      <w:r>
        <w:rPr>
          <w:sz w:val="24"/>
        </w:rPr>
        <w:t>will</w:t>
      </w:r>
      <w:r>
        <w:rPr>
          <w:spacing w:val="-4"/>
          <w:sz w:val="24"/>
        </w:rPr>
        <w:t> </w:t>
      </w:r>
      <w:r>
        <w:rPr>
          <w:sz w:val="24"/>
        </w:rPr>
        <w:t>be</w:t>
      </w:r>
      <w:r>
        <w:rPr>
          <w:spacing w:val="-4"/>
          <w:sz w:val="24"/>
        </w:rPr>
        <w:t> </w:t>
      </w:r>
      <w:r>
        <w:rPr>
          <w:sz w:val="24"/>
        </w:rPr>
        <w:t>established</w:t>
      </w:r>
      <w:r>
        <w:rPr>
          <w:spacing w:val="-4"/>
          <w:sz w:val="24"/>
        </w:rPr>
        <w:t> </w:t>
      </w:r>
      <w:r>
        <w:rPr>
          <w:sz w:val="24"/>
        </w:rPr>
        <w:t>during</w:t>
      </w:r>
      <w:r>
        <w:rPr>
          <w:spacing w:val="-4"/>
          <w:sz w:val="24"/>
        </w:rPr>
        <w:t> </w:t>
      </w:r>
      <w:r>
        <w:rPr>
          <w:sz w:val="24"/>
        </w:rPr>
        <w:t>the</w:t>
      </w:r>
      <w:r>
        <w:rPr>
          <w:spacing w:val="-4"/>
          <w:sz w:val="24"/>
        </w:rPr>
        <w:t> </w:t>
      </w:r>
      <w:r>
        <w:rPr>
          <w:sz w:val="24"/>
        </w:rPr>
        <w:t>SE</w:t>
      </w:r>
      <w:r>
        <w:rPr>
          <w:spacing w:val="-4"/>
          <w:sz w:val="24"/>
        </w:rPr>
        <w:t> </w:t>
      </w:r>
      <w:r>
        <w:rPr>
          <w:sz w:val="24"/>
        </w:rPr>
        <w:t>Stabilization</w:t>
      </w:r>
      <w:r>
        <w:rPr>
          <w:spacing w:val="-3"/>
          <w:sz w:val="24"/>
        </w:rPr>
        <w:t> </w:t>
      </w:r>
      <w:r>
        <w:rPr>
          <w:sz w:val="24"/>
        </w:rPr>
        <w:t>Milestone</w:t>
      </w:r>
      <w:r>
        <w:rPr>
          <w:spacing w:val="-4"/>
          <w:sz w:val="24"/>
        </w:rPr>
        <w:t> </w:t>
      </w:r>
      <w:r>
        <w:rPr>
          <w:sz w:val="24"/>
        </w:rPr>
        <w:t>and documented on the Extended Services Statement, and in the individual’s case </w:t>
      </w:r>
      <w:r>
        <w:rPr>
          <w:spacing w:val="-2"/>
          <w:sz w:val="24"/>
        </w:rPr>
        <w:t>record.</w:t>
      </w:r>
    </w:p>
    <w:p>
      <w:pPr>
        <w:pStyle w:val="BodyText"/>
        <w:spacing w:before="41"/>
        <w:ind w:left="0"/>
      </w:pPr>
    </w:p>
    <w:p>
      <w:pPr>
        <w:pStyle w:val="BodyText"/>
        <w:spacing w:line="276" w:lineRule="auto" w:before="0"/>
        <w:ind w:left="630" w:right="765"/>
      </w:pPr>
      <w:r>
        <w:rPr/>
        <w:t>Please</w:t>
      </w:r>
      <w:r>
        <w:rPr>
          <w:spacing w:val="-4"/>
        </w:rPr>
        <w:t> </w:t>
      </w:r>
      <w:r>
        <w:rPr/>
        <w:t>refer</w:t>
      </w:r>
      <w:r>
        <w:rPr>
          <w:spacing w:val="-3"/>
        </w:rPr>
        <w:t> </w:t>
      </w:r>
      <w:r>
        <w:rPr/>
        <w:t>to</w:t>
      </w:r>
      <w:r>
        <w:rPr>
          <w:spacing w:val="-5"/>
        </w:rPr>
        <w:t> </w:t>
      </w:r>
      <w:r>
        <w:rPr/>
        <w:t>the</w:t>
      </w:r>
      <w:r>
        <w:rPr>
          <w:spacing w:val="-4"/>
        </w:rPr>
        <w:t> </w:t>
      </w:r>
      <w:r>
        <w:rPr/>
        <w:t>Employment</w:t>
      </w:r>
      <w:r>
        <w:rPr>
          <w:spacing w:val="-3"/>
        </w:rPr>
        <w:t> </w:t>
      </w:r>
      <w:r>
        <w:rPr/>
        <w:t>Support</w:t>
      </w:r>
      <w:r>
        <w:rPr>
          <w:spacing w:val="-3"/>
        </w:rPr>
        <w:t> </w:t>
      </w:r>
      <w:r>
        <w:rPr/>
        <w:t>Services</w:t>
      </w:r>
      <w:r>
        <w:rPr>
          <w:spacing w:val="-4"/>
        </w:rPr>
        <w:t> </w:t>
      </w:r>
      <w:r>
        <w:rPr/>
        <w:t>webpage</w:t>
      </w:r>
      <w:r>
        <w:rPr>
          <w:spacing w:val="-4"/>
        </w:rPr>
        <w:t> </w:t>
      </w:r>
      <w:r>
        <w:rPr/>
        <w:t>from</w:t>
      </w:r>
      <w:r>
        <w:rPr>
          <w:spacing w:val="-5"/>
        </w:rPr>
        <w:t> </w:t>
      </w:r>
      <w:r>
        <w:rPr/>
        <w:t>the</w:t>
      </w:r>
      <w:r>
        <w:rPr>
          <w:spacing w:val="-4"/>
        </w:rPr>
        <w:t> </w:t>
      </w:r>
      <w:r>
        <w:rPr/>
        <w:t>OKDRS</w:t>
      </w:r>
      <w:r>
        <w:rPr>
          <w:spacing w:val="-3"/>
        </w:rPr>
        <w:t> </w:t>
      </w:r>
      <w:r>
        <w:rPr/>
        <w:t>website located at </w:t>
      </w:r>
      <w:hyperlink r:id="rId50">
        <w:r>
          <w:rPr>
            <w:color w:val="0562C1"/>
            <w:u w:val="single" w:color="0562C1"/>
          </w:rPr>
          <w:t>https://www.okdrs.gov/ESS/SEC</w:t>
        </w:r>
      </w:hyperlink>
      <w:r>
        <w:rPr>
          <w:color w:val="0562C1"/>
          <w:u w:val="none"/>
        </w:rPr>
        <w:t> </w:t>
      </w:r>
      <w:r>
        <w:rPr>
          <w:u w:val="none"/>
        </w:rPr>
        <w:t>to access the SE contract for Milestone categories, rates, required documentation for payment, and other contract </w:t>
      </w:r>
      <w:r>
        <w:rPr>
          <w:spacing w:val="-2"/>
          <w:u w:val="none"/>
        </w:rPr>
        <w:t>information.</w:t>
      </w:r>
    </w:p>
    <w:p>
      <w:pPr>
        <w:spacing w:before="239"/>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1"/>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7-1-03</w:t>
      </w:r>
      <w:r>
        <w:rPr>
          <w:sz w:val="22"/>
        </w:rPr>
        <w:tab/>
        <w:t>PT Memo #03-07</w:t>
      </w:r>
    </w:p>
    <w:p>
      <w:pPr>
        <w:spacing w:line="252" w:lineRule="exact" w:before="0"/>
        <w:ind w:left="1439" w:right="0" w:firstLine="0"/>
        <w:jc w:val="left"/>
        <w:rPr>
          <w:sz w:val="22"/>
        </w:rPr>
      </w:pPr>
      <w:r>
        <w:rPr>
          <w:sz w:val="22"/>
        </w:rPr>
        <w:t>Permanent,</w:t>
      </w:r>
      <w:r>
        <w:rPr>
          <w:spacing w:val="-8"/>
          <w:sz w:val="22"/>
        </w:rPr>
        <w:t> </w:t>
      </w:r>
      <w:r>
        <w:rPr>
          <w:sz w:val="22"/>
        </w:rPr>
        <w:t>added</w:t>
      </w:r>
      <w:r>
        <w:rPr>
          <w:spacing w:val="-8"/>
          <w:sz w:val="22"/>
        </w:rPr>
        <w:t> </w:t>
      </w:r>
      <w:r>
        <w:rPr>
          <w:sz w:val="22"/>
        </w:rPr>
        <w:t>priority</w:t>
      </w:r>
      <w:r>
        <w:rPr>
          <w:spacing w:val="-8"/>
          <w:sz w:val="22"/>
        </w:rPr>
        <w:t> </w:t>
      </w:r>
      <w:r>
        <w:rPr>
          <w:sz w:val="22"/>
        </w:rPr>
        <w:t>group</w:t>
      </w:r>
      <w:r>
        <w:rPr>
          <w:spacing w:val="-8"/>
          <w:sz w:val="22"/>
        </w:rPr>
        <w:t> </w:t>
      </w:r>
      <w:r>
        <w:rPr>
          <w:spacing w:val="-5"/>
          <w:sz w:val="22"/>
        </w:rPr>
        <w:t>1.</w:t>
      </w:r>
    </w:p>
    <w:p>
      <w:pPr>
        <w:pStyle w:val="ListParagraph"/>
        <w:numPr>
          <w:ilvl w:val="2"/>
          <w:numId w:val="148"/>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#07-</w:t>
      </w:r>
      <w:r>
        <w:rPr>
          <w:spacing w:val="-5"/>
          <w:sz w:val="22"/>
        </w:rPr>
        <w:t>01</w:t>
      </w:r>
    </w:p>
    <w:p>
      <w:pPr>
        <w:tabs>
          <w:tab w:pos="1439" w:val="left" w:leader="none"/>
        </w:tabs>
        <w:spacing w:before="0"/>
        <w:ind w:left="359" w:right="4242" w:firstLine="1080"/>
        <w:jc w:val="left"/>
        <w:rPr>
          <w:sz w:val="22"/>
        </w:rPr>
      </w:pPr>
      <w:r>
        <w:rPr>
          <w:sz w:val="22"/>
        </w:rPr>
        <w:t>Permanent,</w:t>
      </w:r>
      <w:r>
        <w:rPr>
          <w:spacing w:val="-6"/>
          <w:sz w:val="22"/>
        </w:rPr>
        <w:t> </w:t>
      </w:r>
      <w:r>
        <w:rPr>
          <w:sz w:val="22"/>
        </w:rPr>
        <w:t>deleted</w:t>
      </w:r>
      <w:r>
        <w:rPr>
          <w:spacing w:val="-7"/>
          <w:sz w:val="22"/>
        </w:rPr>
        <w:t> </w:t>
      </w:r>
      <w:r>
        <w:rPr>
          <w:sz w:val="22"/>
        </w:rPr>
        <w:t>reference</w:t>
      </w:r>
      <w:r>
        <w:rPr>
          <w:spacing w:val="-7"/>
          <w:sz w:val="22"/>
        </w:rPr>
        <w:t> </w:t>
      </w:r>
      <w:r>
        <w:rPr>
          <w:sz w:val="22"/>
        </w:rPr>
        <w:t>to</w:t>
      </w:r>
      <w:r>
        <w:rPr>
          <w:spacing w:val="-7"/>
          <w:sz w:val="22"/>
        </w:rPr>
        <w:t> </w:t>
      </w:r>
      <w:r>
        <w:rPr>
          <w:sz w:val="22"/>
        </w:rPr>
        <w:t>Priority</w:t>
      </w:r>
      <w:r>
        <w:rPr>
          <w:spacing w:val="-7"/>
          <w:sz w:val="22"/>
        </w:rPr>
        <w:t> </w:t>
      </w:r>
      <w:r>
        <w:rPr>
          <w:sz w:val="22"/>
        </w:rPr>
        <w:t>Group</w:t>
      </w:r>
      <w:r>
        <w:rPr>
          <w:spacing w:val="-7"/>
          <w:sz w:val="22"/>
        </w:rPr>
        <w:t> </w:t>
      </w:r>
      <w:r>
        <w:rPr>
          <w:sz w:val="22"/>
        </w:rPr>
        <w:t>1 </w:t>
      </w:r>
      <w:r>
        <w:rPr>
          <w:spacing w:val="-2"/>
          <w:sz w:val="22"/>
        </w:rPr>
        <w:t>7-1-11</w:t>
      </w:r>
      <w:r>
        <w:rPr>
          <w:sz w:val="22"/>
        </w:rPr>
        <w:tab/>
        <w:t>PT Memo #12-01</w:t>
      </w:r>
    </w:p>
    <w:p>
      <w:pPr>
        <w:spacing w:line="252" w:lineRule="exact" w:before="0"/>
        <w:ind w:left="1439" w:right="0" w:firstLine="0"/>
        <w:jc w:val="left"/>
        <w:rPr>
          <w:sz w:val="22"/>
        </w:rPr>
      </w:pPr>
      <w:r>
        <w:rPr>
          <w:sz w:val="22"/>
        </w:rPr>
        <w:t>Permanent,</w:t>
      </w:r>
      <w:r>
        <w:rPr>
          <w:spacing w:val="-9"/>
          <w:sz w:val="22"/>
        </w:rPr>
        <w:t> </w:t>
      </w:r>
      <w:r>
        <w:rPr>
          <w:sz w:val="22"/>
        </w:rPr>
        <w:t>added</w:t>
      </w:r>
      <w:r>
        <w:rPr>
          <w:spacing w:val="-10"/>
          <w:sz w:val="22"/>
        </w:rPr>
        <w:t> </w:t>
      </w:r>
      <w:r>
        <w:rPr>
          <w:spacing w:val="-5"/>
          <w:sz w:val="22"/>
        </w:rPr>
        <w:t>ITS</w:t>
      </w:r>
    </w:p>
    <w:p>
      <w:pPr>
        <w:tabs>
          <w:tab w:pos="1439" w:val="left" w:leader="none"/>
        </w:tabs>
        <w:spacing w:before="0"/>
        <w:ind w:left="359" w:right="0" w:firstLine="0"/>
        <w:jc w:val="left"/>
        <w:rPr>
          <w:sz w:val="22"/>
        </w:rPr>
      </w:pPr>
      <w:r>
        <w:rPr>
          <w:spacing w:val="-2"/>
          <w:sz w:val="22"/>
        </w:rPr>
        <w:t>5-4-</w:t>
      </w:r>
      <w:r>
        <w:rPr>
          <w:spacing w:val="-5"/>
          <w:sz w:val="22"/>
        </w:rPr>
        <w:t>23</w:t>
      </w:r>
      <w:r>
        <w:rPr>
          <w:sz w:val="22"/>
        </w:rPr>
        <w:tab/>
        <w:t>Permanent,</w:t>
      </w:r>
      <w:r>
        <w:rPr>
          <w:spacing w:val="-11"/>
          <w:sz w:val="22"/>
        </w:rPr>
        <w:t> </w:t>
      </w:r>
      <w:r>
        <w:rPr>
          <w:sz w:val="22"/>
        </w:rPr>
        <w:t>Updated</w:t>
      </w:r>
      <w:r>
        <w:rPr>
          <w:spacing w:val="-11"/>
          <w:sz w:val="22"/>
        </w:rPr>
        <w:t> </w:t>
      </w:r>
      <w:r>
        <w:rPr>
          <w:spacing w:val="-5"/>
          <w:sz w:val="22"/>
        </w:rPr>
        <w:t>ITS</w:t>
      </w:r>
    </w:p>
    <w:p>
      <w:pPr>
        <w:pStyle w:val="BodyText"/>
        <w:tabs>
          <w:tab w:pos="1439" w:val="left" w:leader="none"/>
        </w:tabs>
        <w:spacing w:before="1"/>
        <w:ind w:left="1440" w:right="1128" w:hanging="1081"/>
      </w:pPr>
      <w:r>
        <w:rPr>
          <w:spacing w:val="-2"/>
          <w:sz w:val="22"/>
        </w:rPr>
        <w:t>8-11-24</w:t>
      </w:r>
      <w:r>
        <w:rPr>
          <w:sz w:val="22"/>
        </w:rPr>
        <w:tab/>
      </w:r>
      <w:r>
        <w:rPr/>
        <w:t>Renamed rule changing “Program” to “Services”. Eliminating the word “severe” replacing with “significant”. Added new section (4) (A) (B) (C), instructs the counselor not to find an individual ineligible for supported employment when a resource for providing extended services cannot be identified.</w:t>
      </w:r>
      <w:r>
        <w:rPr>
          <w:spacing w:val="-4"/>
        </w:rPr>
        <w:t> </w:t>
      </w:r>
      <w:r>
        <w:rPr/>
        <w:t>The</w:t>
      </w:r>
      <w:r>
        <w:rPr>
          <w:spacing w:val="-4"/>
        </w:rPr>
        <w:t> </w:t>
      </w:r>
      <w:r>
        <w:rPr/>
        <w:t>counselor</w:t>
      </w:r>
      <w:r>
        <w:rPr>
          <w:spacing w:val="-4"/>
        </w:rPr>
        <w:t> </w:t>
      </w:r>
      <w:r>
        <w:rPr/>
        <w:t>accepts</w:t>
      </w:r>
      <w:r>
        <w:rPr>
          <w:spacing w:val="-4"/>
        </w:rPr>
        <w:t> </w:t>
      </w:r>
      <w:r>
        <w:rPr/>
        <w:t>the</w:t>
      </w:r>
      <w:r>
        <w:rPr>
          <w:spacing w:val="-4"/>
        </w:rPr>
        <w:t> </w:t>
      </w:r>
      <w:r>
        <w:rPr/>
        <w:t>individual</w:t>
      </w:r>
      <w:r>
        <w:rPr>
          <w:spacing w:val="-4"/>
        </w:rPr>
        <w:t> </w:t>
      </w:r>
      <w:r>
        <w:rPr/>
        <w:t>as</w:t>
      </w:r>
      <w:r>
        <w:rPr>
          <w:spacing w:val="-4"/>
        </w:rPr>
        <w:t> </w:t>
      </w:r>
      <w:r>
        <w:rPr/>
        <w:t>eligible</w:t>
      </w:r>
      <w:r>
        <w:rPr>
          <w:spacing w:val="-4"/>
        </w:rPr>
        <w:t> </w:t>
      </w:r>
      <w:r>
        <w:rPr/>
        <w:t>for</w:t>
      </w:r>
      <w:r>
        <w:rPr>
          <w:spacing w:val="-4"/>
        </w:rPr>
        <w:t> </w:t>
      </w:r>
      <w:r>
        <w:rPr/>
        <w:t>VR</w:t>
      </w:r>
      <w:r>
        <w:rPr>
          <w:spacing w:val="-4"/>
        </w:rPr>
        <w:t> </w:t>
      </w:r>
      <w:r>
        <w:rPr/>
        <w:t>services, plans services as appropriate and will seek out or help in developing the needed extended services resource.</w:t>
      </w:r>
    </w:p>
    <w:p>
      <w:pPr>
        <w:spacing w:line="253" w:lineRule="exact" w:before="0"/>
        <w:ind w:left="1439" w:right="0" w:firstLine="0"/>
        <w:jc w:val="left"/>
        <w:rPr>
          <w:sz w:val="22"/>
        </w:rPr>
      </w:pPr>
      <w:r>
        <w:rPr>
          <w:sz w:val="22"/>
        </w:rPr>
        <w:t>ITS</w:t>
      </w:r>
      <w:r>
        <w:rPr>
          <w:spacing w:val="-8"/>
          <w:sz w:val="22"/>
        </w:rPr>
        <w:t> </w:t>
      </w:r>
      <w:r>
        <w:rPr>
          <w:sz w:val="22"/>
        </w:rPr>
        <w:t>updated</w:t>
      </w:r>
      <w:r>
        <w:rPr>
          <w:spacing w:val="-7"/>
          <w:sz w:val="22"/>
        </w:rPr>
        <w:t> </w:t>
      </w:r>
      <w:r>
        <w:rPr>
          <w:sz w:val="22"/>
        </w:rPr>
        <w:t>adding</w:t>
      </w:r>
      <w:r>
        <w:rPr>
          <w:spacing w:val="-7"/>
          <w:sz w:val="22"/>
        </w:rPr>
        <w:t> </w:t>
      </w:r>
      <w:r>
        <w:rPr>
          <w:sz w:val="22"/>
        </w:rPr>
        <w:t>#3-</w:t>
      </w:r>
      <w:r>
        <w:rPr>
          <w:spacing w:val="-5"/>
          <w:sz w:val="22"/>
        </w:rPr>
        <w:t>4.</w:t>
      </w:r>
    </w:p>
    <w:p>
      <w:pPr>
        <w:spacing w:after="0" w:line="253" w:lineRule="exact"/>
        <w:jc w:val="left"/>
        <w:rPr>
          <w:sz w:val="22"/>
        </w:rPr>
        <w:sectPr>
          <w:pgSz w:w="12240" w:h="15840"/>
          <w:pgMar w:top="1360" w:bottom="280" w:left="1080" w:right="720"/>
        </w:sectPr>
      </w:pPr>
    </w:p>
    <w:p>
      <w:pPr>
        <w:pStyle w:val="Heading2"/>
      </w:pPr>
      <w:bookmarkStart w:name="612:10-7-181.  Integrated settings" w:id="194"/>
      <w:bookmarkEnd w:id="194"/>
      <w:r>
        <w:rPr>
          <w:b w:val="0"/>
        </w:rPr>
      </w:r>
      <w:r>
        <w:rPr/>
        <w:t>612:10-7-181.</w:t>
      </w:r>
      <w:r>
        <w:rPr>
          <w:spacing w:val="57"/>
        </w:rPr>
        <w:t> </w:t>
      </w:r>
      <w:r>
        <w:rPr/>
        <w:t>Integrated</w:t>
      </w:r>
      <w:r>
        <w:rPr>
          <w:spacing w:val="-5"/>
        </w:rPr>
        <w:t> </w:t>
      </w:r>
      <w:r>
        <w:rPr>
          <w:spacing w:val="-2"/>
        </w:rPr>
        <w:t>settings</w:t>
      </w:r>
    </w:p>
    <w:p>
      <w:pPr>
        <w:pStyle w:val="BodyText"/>
        <w:spacing w:line="208" w:lineRule="auto" w:before="233"/>
        <w:ind w:right="739" w:firstLine="432"/>
      </w:pPr>
      <w:r>
        <w:rPr/>
        <w:t>Jobs</w:t>
      </w:r>
      <w:r>
        <w:rPr>
          <w:spacing w:val="-3"/>
        </w:rPr>
        <w:t> </w:t>
      </w:r>
      <w:r>
        <w:rPr/>
        <w:t>will</w:t>
      </w:r>
      <w:r>
        <w:rPr>
          <w:spacing w:val="-3"/>
        </w:rPr>
        <w:t> </w:t>
      </w:r>
      <w:r>
        <w:rPr/>
        <w:t>be</w:t>
      </w:r>
      <w:r>
        <w:rPr>
          <w:spacing w:val="-3"/>
        </w:rPr>
        <w:t> </w:t>
      </w:r>
      <w:r>
        <w:rPr/>
        <w:t>viewed</w:t>
      </w:r>
      <w:r>
        <w:rPr>
          <w:spacing w:val="-3"/>
        </w:rPr>
        <w:t> </w:t>
      </w:r>
      <w:r>
        <w:rPr/>
        <w:t>on</w:t>
      </w:r>
      <w:r>
        <w:rPr>
          <w:spacing w:val="-3"/>
        </w:rPr>
        <w:t> </w:t>
      </w:r>
      <w:r>
        <w:rPr/>
        <w:t>a</w:t>
      </w:r>
      <w:r>
        <w:rPr>
          <w:spacing w:val="-3"/>
        </w:rPr>
        <w:t> </w:t>
      </w:r>
      <w:r>
        <w:rPr/>
        <w:t>case</w:t>
      </w:r>
      <w:r>
        <w:rPr>
          <w:spacing w:val="-3"/>
        </w:rPr>
        <w:t> </w:t>
      </w:r>
      <w:r>
        <w:rPr/>
        <w:t>by</w:t>
      </w:r>
      <w:r>
        <w:rPr>
          <w:spacing w:val="-3"/>
        </w:rPr>
        <w:t> </w:t>
      </w:r>
      <w:r>
        <w:rPr/>
        <w:t>case</w:t>
      </w:r>
      <w:r>
        <w:rPr>
          <w:spacing w:val="-3"/>
        </w:rPr>
        <w:t> </w:t>
      </w:r>
      <w:r>
        <w:rPr/>
        <w:t>basis</w:t>
      </w:r>
      <w:r>
        <w:rPr>
          <w:spacing w:val="-3"/>
        </w:rPr>
        <w:t> </w:t>
      </w:r>
      <w:r>
        <w:rPr/>
        <w:t>if</w:t>
      </w:r>
      <w:r>
        <w:rPr>
          <w:spacing w:val="-2"/>
        </w:rPr>
        <w:t> </w:t>
      </w:r>
      <w:r>
        <w:rPr/>
        <w:t>there</w:t>
      </w:r>
      <w:r>
        <w:rPr>
          <w:spacing w:val="-3"/>
        </w:rPr>
        <w:t> </w:t>
      </w:r>
      <w:r>
        <w:rPr/>
        <w:t>is</w:t>
      </w:r>
      <w:r>
        <w:rPr>
          <w:spacing w:val="-4"/>
        </w:rPr>
        <w:t> </w:t>
      </w:r>
      <w:r>
        <w:rPr/>
        <w:t>question</w:t>
      </w:r>
      <w:r>
        <w:rPr>
          <w:spacing w:val="-3"/>
        </w:rPr>
        <w:t> </w:t>
      </w:r>
      <w:r>
        <w:rPr/>
        <w:t>of</w:t>
      </w:r>
      <w:r>
        <w:rPr>
          <w:spacing w:val="-2"/>
        </w:rPr>
        <w:t> </w:t>
      </w:r>
      <w:r>
        <w:rPr/>
        <w:t>integration.</w:t>
      </w:r>
      <w:r>
        <w:rPr>
          <w:spacing w:val="-2"/>
        </w:rPr>
        <w:t> </w:t>
      </w:r>
      <w:r>
        <w:rPr>
          <w:b/>
        </w:rPr>
        <w:t>1,</w:t>
      </w:r>
      <w:r>
        <w:rPr>
          <w:b/>
          <w:spacing w:val="-4"/>
        </w:rPr>
        <w:t> </w:t>
      </w:r>
      <w:r>
        <w:rPr>
          <w:b/>
        </w:rPr>
        <w:t>2</w:t>
      </w:r>
      <w:r>
        <w:rPr>
          <w:b/>
          <w:spacing w:val="-4"/>
        </w:rPr>
        <w:t> </w:t>
      </w:r>
      <w:r>
        <w:rPr/>
        <w:t>A determination of whether an individual's employment within a Community Rehabilitation Program meets the "integrated setting" requirement for an "employment outcome" shall be based on an individual determination that:</w:t>
      </w:r>
    </w:p>
    <w:p>
      <w:pPr>
        <w:pStyle w:val="ListParagraph"/>
        <w:numPr>
          <w:ilvl w:val="0"/>
          <w:numId w:val="211"/>
        </w:numPr>
        <w:tabs>
          <w:tab w:pos="1218" w:val="left" w:leader="none"/>
        </w:tabs>
        <w:spacing w:line="208" w:lineRule="auto" w:before="239" w:after="0"/>
        <w:ind w:left="792" w:right="1147" w:firstLine="0"/>
        <w:jc w:val="left"/>
        <w:rPr>
          <w:sz w:val="24"/>
        </w:rPr>
      </w:pPr>
      <w:r>
        <w:rPr>
          <w:sz w:val="24"/>
        </w:rPr>
        <w:t>The</w:t>
      </w:r>
      <w:r>
        <w:rPr>
          <w:spacing w:val="-3"/>
          <w:sz w:val="24"/>
        </w:rPr>
        <w:t> </w:t>
      </w:r>
      <w:r>
        <w:rPr>
          <w:sz w:val="24"/>
        </w:rPr>
        <w:t>individual</w:t>
      </w:r>
      <w:r>
        <w:rPr>
          <w:spacing w:val="-3"/>
          <w:sz w:val="24"/>
        </w:rPr>
        <w:t> </w:t>
      </w:r>
      <w:r>
        <w:rPr>
          <w:sz w:val="24"/>
        </w:rPr>
        <w:t>is</w:t>
      </w:r>
      <w:r>
        <w:rPr>
          <w:spacing w:val="-3"/>
          <w:sz w:val="24"/>
        </w:rPr>
        <w:t> </w:t>
      </w:r>
      <w:r>
        <w:rPr>
          <w:sz w:val="24"/>
        </w:rPr>
        <w:t>employed</w:t>
      </w:r>
      <w:r>
        <w:rPr>
          <w:spacing w:val="-3"/>
          <w:sz w:val="24"/>
        </w:rPr>
        <w:t> </w:t>
      </w:r>
      <w:r>
        <w:rPr>
          <w:sz w:val="24"/>
        </w:rPr>
        <w:t>in</w:t>
      </w:r>
      <w:r>
        <w:rPr>
          <w:spacing w:val="-2"/>
          <w:sz w:val="24"/>
        </w:rPr>
        <w:t> </w:t>
      </w:r>
      <w:r>
        <w:rPr>
          <w:sz w:val="24"/>
        </w:rPr>
        <w:t>a</w:t>
      </w:r>
      <w:r>
        <w:rPr>
          <w:spacing w:val="-3"/>
          <w:sz w:val="24"/>
        </w:rPr>
        <w:t> </w:t>
      </w:r>
      <w:r>
        <w:rPr>
          <w:sz w:val="24"/>
        </w:rPr>
        <w:t>type</w:t>
      </w:r>
      <w:r>
        <w:rPr>
          <w:spacing w:val="-3"/>
          <w:sz w:val="24"/>
        </w:rPr>
        <w:t> </w:t>
      </w:r>
      <w:r>
        <w:rPr>
          <w:sz w:val="24"/>
        </w:rPr>
        <w:t>of</w:t>
      </w:r>
      <w:r>
        <w:rPr>
          <w:spacing w:val="-2"/>
          <w:sz w:val="24"/>
        </w:rPr>
        <w:t> </w:t>
      </w:r>
      <w:r>
        <w:rPr>
          <w:sz w:val="24"/>
        </w:rPr>
        <w:t>job</w:t>
      </w:r>
      <w:r>
        <w:rPr>
          <w:spacing w:val="-3"/>
          <w:sz w:val="24"/>
        </w:rPr>
        <w:t> </w:t>
      </w:r>
      <w:r>
        <w:rPr>
          <w:sz w:val="24"/>
        </w:rPr>
        <w:t>available</w:t>
      </w:r>
      <w:r>
        <w:rPr>
          <w:spacing w:val="-2"/>
          <w:sz w:val="24"/>
        </w:rPr>
        <w:t> </w:t>
      </w:r>
      <w:r>
        <w:rPr>
          <w:sz w:val="24"/>
        </w:rPr>
        <w:t>and</w:t>
      </w:r>
      <w:r>
        <w:rPr>
          <w:spacing w:val="-3"/>
          <w:sz w:val="24"/>
        </w:rPr>
        <w:t> </w:t>
      </w:r>
      <w:r>
        <w:rPr>
          <w:sz w:val="24"/>
        </w:rPr>
        <w:t>open</w:t>
      </w:r>
      <w:r>
        <w:rPr>
          <w:spacing w:val="-3"/>
          <w:sz w:val="24"/>
        </w:rPr>
        <w:t> </w:t>
      </w:r>
      <w:r>
        <w:rPr>
          <w:sz w:val="24"/>
        </w:rPr>
        <w:t>to</w:t>
      </w:r>
      <w:r>
        <w:rPr>
          <w:spacing w:val="-3"/>
          <w:sz w:val="24"/>
        </w:rPr>
        <w:t> </w:t>
      </w:r>
      <w:r>
        <w:rPr>
          <w:sz w:val="24"/>
        </w:rPr>
        <w:t>the</w:t>
      </w:r>
      <w:r>
        <w:rPr>
          <w:spacing w:val="-3"/>
          <w:sz w:val="24"/>
        </w:rPr>
        <w:t> </w:t>
      </w:r>
      <w:r>
        <w:rPr>
          <w:sz w:val="24"/>
        </w:rPr>
        <w:t>general </w:t>
      </w:r>
      <w:r>
        <w:rPr>
          <w:spacing w:val="-2"/>
          <w:sz w:val="24"/>
        </w:rPr>
        <w:t>public.</w:t>
      </w:r>
    </w:p>
    <w:p>
      <w:pPr>
        <w:pStyle w:val="ListParagraph"/>
        <w:numPr>
          <w:ilvl w:val="0"/>
          <w:numId w:val="211"/>
        </w:numPr>
        <w:tabs>
          <w:tab w:pos="1218" w:val="left" w:leader="none"/>
        </w:tabs>
        <w:spacing w:line="208" w:lineRule="auto" w:before="240" w:after="0"/>
        <w:ind w:left="792" w:right="732" w:firstLine="0"/>
        <w:jc w:val="left"/>
        <w:rPr>
          <w:sz w:val="24"/>
        </w:rPr>
      </w:pPr>
      <w:r>
        <w:rPr>
          <w:sz w:val="24"/>
        </w:rPr>
        <w:t>The</w:t>
      </w:r>
      <w:r>
        <w:rPr>
          <w:spacing w:val="-4"/>
          <w:sz w:val="24"/>
        </w:rPr>
        <w:t> </w:t>
      </w:r>
      <w:r>
        <w:rPr>
          <w:sz w:val="24"/>
        </w:rPr>
        <w:t>individual</w:t>
      </w:r>
      <w:r>
        <w:rPr>
          <w:spacing w:val="-4"/>
          <w:sz w:val="24"/>
        </w:rPr>
        <w:t> </w:t>
      </w:r>
      <w:r>
        <w:rPr>
          <w:sz w:val="24"/>
        </w:rPr>
        <w:t>is</w:t>
      </w:r>
      <w:r>
        <w:rPr>
          <w:spacing w:val="-4"/>
          <w:sz w:val="24"/>
        </w:rPr>
        <w:t> </w:t>
      </w:r>
      <w:r>
        <w:rPr>
          <w:sz w:val="24"/>
        </w:rPr>
        <w:t>employed</w:t>
      </w:r>
      <w:r>
        <w:rPr>
          <w:spacing w:val="-4"/>
          <w:sz w:val="24"/>
        </w:rPr>
        <w:t> </w:t>
      </w:r>
      <w:r>
        <w:rPr>
          <w:sz w:val="24"/>
        </w:rPr>
        <w:t>under</w:t>
      </w:r>
      <w:r>
        <w:rPr>
          <w:spacing w:val="-3"/>
          <w:sz w:val="24"/>
        </w:rPr>
        <w:t> </w:t>
      </w:r>
      <w:r>
        <w:rPr>
          <w:sz w:val="24"/>
        </w:rPr>
        <w:t>the</w:t>
      </w:r>
      <w:r>
        <w:rPr>
          <w:spacing w:val="-4"/>
          <w:sz w:val="24"/>
        </w:rPr>
        <w:t> </w:t>
      </w:r>
      <w:r>
        <w:rPr>
          <w:sz w:val="24"/>
        </w:rPr>
        <w:t>same</w:t>
      </w:r>
      <w:r>
        <w:rPr>
          <w:spacing w:val="-4"/>
          <w:sz w:val="24"/>
        </w:rPr>
        <w:t> </w:t>
      </w:r>
      <w:r>
        <w:rPr>
          <w:sz w:val="24"/>
        </w:rPr>
        <w:t>working</w:t>
      </w:r>
      <w:r>
        <w:rPr>
          <w:spacing w:val="-3"/>
          <w:sz w:val="24"/>
        </w:rPr>
        <w:t> </w:t>
      </w:r>
      <w:r>
        <w:rPr>
          <w:sz w:val="24"/>
        </w:rPr>
        <w:t>conditions</w:t>
      </w:r>
      <w:r>
        <w:rPr>
          <w:spacing w:val="-3"/>
          <w:sz w:val="24"/>
        </w:rPr>
        <w:t> </w:t>
      </w:r>
      <w:r>
        <w:rPr>
          <w:sz w:val="24"/>
        </w:rPr>
        <w:t>as</w:t>
      </w:r>
      <w:r>
        <w:rPr>
          <w:spacing w:val="-4"/>
          <w:sz w:val="24"/>
        </w:rPr>
        <w:t> </w:t>
      </w:r>
      <w:r>
        <w:rPr>
          <w:sz w:val="24"/>
        </w:rPr>
        <w:t>others</w:t>
      </w:r>
      <w:r>
        <w:rPr>
          <w:spacing w:val="-4"/>
          <w:sz w:val="24"/>
        </w:rPr>
        <w:t> </w:t>
      </w:r>
      <w:r>
        <w:rPr>
          <w:sz w:val="24"/>
        </w:rPr>
        <w:t>without a disability in similar positions.</w:t>
      </w:r>
    </w:p>
    <w:p>
      <w:pPr>
        <w:pStyle w:val="ListParagraph"/>
        <w:numPr>
          <w:ilvl w:val="0"/>
          <w:numId w:val="211"/>
        </w:numPr>
        <w:tabs>
          <w:tab w:pos="1218" w:val="left" w:leader="none"/>
        </w:tabs>
        <w:spacing w:line="208" w:lineRule="auto" w:before="240" w:after="0"/>
        <w:ind w:left="792" w:right="947" w:firstLine="0"/>
        <w:jc w:val="left"/>
        <w:rPr>
          <w:sz w:val="24"/>
        </w:rPr>
      </w:pPr>
      <w:r>
        <w:rPr>
          <w:sz w:val="24"/>
        </w:rPr>
        <w:t>The</w:t>
      </w:r>
      <w:r>
        <w:rPr>
          <w:spacing w:val="-4"/>
          <w:sz w:val="24"/>
        </w:rPr>
        <w:t> </w:t>
      </w:r>
      <w:r>
        <w:rPr>
          <w:sz w:val="24"/>
        </w:rPr>
        <w:t>individual</w:t>
      </w:r>
      <w:r>
        <w:rPr>
          <w:spacing w:val="-4"/>
          <w:sz w:val="24"/>
        </w:rPr>
        <w:t> </w:t>
      </w:r>
      <w:r>
        <w:rPr>
          <w:sz w:val="24"/>
        </w:rPr>
        <w:t>has</w:t>
      </w:r>
      <w:r>
        <w:rPr>
          <w:spacing w:val="-3"/>
          <w:sz w:val="24"/>
        </w:rPr>
        <w:t> </w:t>
      </w:r>
      <w:r>
        <w:rPr>
          <w:sz w:val="24"/>
        </w:rPr>
        <w:t>ongoing</w:t>
      </w:r>
      <w:r>
        <w:rPr>
          <w:spacing w:val="-4"/>
          <w:sz w:val="24"/>
        </w:rPr>
        <w:t> </w:t>
      </w:r>
      <w:r>
        <w:rPr>
          <w:sz w:val="24"/>
        </w:rPr>
        <w:t>interaction</w:t>
      </w:r>
      <w:r>
        <w:rPr>
          <w:spacing w:val="-4"/>
          <w:sz w:val="24"/>
        </w:rPr>
        <w:t> </w:t>
      </w:r>
      <w:r>
        <w:rPr>
          <w:sz w:val="24"/>
        </w:rPr>
        <w:t>with</w:t>
      </w:r>
      <w:r>
        <w:rPr>
          <w:spacing w:val="-4"/>
          <w:sz w:val="24"/>
        </w:rPr>
        <w:t> </w:t>
      </w:r>
      <w:r>
        <w:rPr>
          <w:sz w:val="24"/>
        </w:rPr>
        <w:t>other</w:t>
      </w:r>
      <w:r>
        <w:rPr>
          <w:spacing w:val="-3"/>
          <w:sz w:val="24"/>
        </w:rPr>
        <w:t> </w:t>
      </w:r>
      <w:r>
        <w:rPr>
          <w:sz w:val="24"/>
        </w:rPr>
        <w:t>workers,</w:t>
      </w:r>
      <w:r>
        <w:rPr>
          <w:spacing w:val="-3"/>
          <w:sz w:val="24"/>
        </w:rPr>
        <w:t> </w:t>
      </w:r>
      <w:r>
        <w:rPr>
          <w:sz w:val="24"/>
        </w:rPr>
        <w:t>supervisors</w:t>
      </w:r>
      <w:r>
        <w:rPr>
          <w:spacing w:val="-4"/>
          <w:sz w:val="24"/>
        </w:rPr>
        <w:t> </w:t>
      </w:r>
      <w:r>
        <w:rPr>
          <w:sz w:val="24"/>
        </w:rPr>
        <w:t>and</w:t>
      </w:r>
      <w:r>
        <w:rPr>
          <w:spacing w:val="-4"/>
          <w:sz w:val="24"/>
        </w:rPr>
        <w:t> </w:t>
      </w:r>
      <w:r>
        <w:rPr>
          <w:sz w:val="24"/>
        </w:rPr>
        <w:t>the general public to the same degree as workers without disabilities in the same or comparable occupations.</w:t>
      </w:r>
    </w:p>
    <w:p>
      <w:pPr>
        <w:pStyle w:val="ListParagraph"/>
        <w:numPr>
          <w:ilvl w:val="0"/>
          <w:numId w:val="211"/>
        </w:numPr>
        <w:tabs>
          <w:tab w:pos="1218" w:val="left" w:leader="none"/>
        </w:tabs>
        <w:spacing w:line="208" w:lineRule="auto" w:before="240" w:after="0"/>
        <w:ind w:left="792" w:right="748" w:firstLine="0"/>
        <w:jc w:val="left"/>
        <w:rPr>
          <w:sz w:val="24"/>
        </w:rPr>
      </w:pPr>
      <w:r>
        <w:rPr>
          <w:sz w:val="24"/>
        </w:rPr>
        <w:t>The</w:t>
      </w:r>
      <w:r>
        <w:rPr>
          <w:spacing w:val="-4"/>
          <w:sz w:val="24"/>
        </w:rPr>
        <w:t> </w:t>
      </w:r>
      <w:r>
        <w:rPr>
          <w:sz w:val="24"/>
        </w:rPr>
        <w:t>general</w:t>
      </w:r>
      <w:r>
        <w:rPr>
          <w:spacing w:val="-4"/>
          <w:sz w:val="24"/>
        </w:rPr>
        <w:t> </w:t>
      </w:r>
      <w:r>
        <w:rPr>
          <w:sz w:val="24"/>
        </w:rPr>
        <w:t>working</w:t>
      </w:r>
      <w:r>
        <w:rPr>
          <w:spacing w:val="-4"/>
          <w:sz w:val="24"/>
        </w:rPr>
        <w:t> </w:t>
      </w:r>
      <w:r>
        <w:rPr>
          <w:sz w:val="24"/>
        </w:rPr>
        <w:t>conditions</w:t>
      </w:r>
      <w:r>
        <w:rPr>
          <w:spacing w:val="-4"/>
          <w:sz w:val="24"/>
        </w:rPr>
        <w:t> </w:t>
      </w:r>
      <w:r>
        <w:rPr>
          <w:sz w:val="24"/>
        </w:rPr>
        <w:t>reflect</w:t>
      </w:r>
      <w:r>
        <w:rPr>
          <w:spacing w:val="-3"/>
          <w:sz w:val="24"/>
        </w:rPr>
        <w:t> </w:t>
      </w:r>
      <w:r>
        <w:rPr>
          <w:sz w:val="24"/>
        </w:rPr>
        <w:t>integration</w:t>
      </w:r>
      <w:r>
        <w:rPr>
          <w:spacing w:val="-4"/>
          <w:sz w:val="24"/>
        </w:rPr>
        <w:t> </w:t>
      </w:r>
      <w:r>
        <w:rPr>
          <w:sz w:val="24"/>
        </w:rPr>
        <w:t>with</w:t>
      </w:r>
      <w:r>
        <w:rPr>
          <w:spacing w:val="-4"/>
          <w:sz w:val="24"/>
        </w:rPr>
        <w:t> </w:t>
      </w:r>
      <w:r>
        <w:rPr>
          <w:sz w:val="24"/>
        </w:rPr>
        <w:t>other</w:t>
      </w:r>
      <w:r>
        <w:rPr>
          <w:spacing w:val="-3"/>
          <w:sz w:val="24"/>
        </w:rPr>
        <w:t> </w:t>
      </w:r>
      <w:r>
        <w:rPr>
          <w:sz w:val="24"/>
        </w:rPr>
        <w:t>workers</w:t>
      </w:r>
      <w:r>
        <w:rPr>
          <w:spacing w:val="-4"/>
          <w:sz w:val="24"/>
        </w:rPr>
        <w:t> </w:t>
      </w:r>
      <w:r>
        <w:rPr>
          <w:sz w:val="24"/>
        </w:rPr>
        <w:t>rather</w:t>
      </w:r>
      <w:r>
        <w:rPr>
          <w:spacing w:val="-5"/>
          <w:sz w:val="24"/>
        </w:rPr>
        <w:t> </w:t>
      </w:r>
      <w:r>
        <w:rPr>
          <w:sz w:val="24"/>
        </w:rPr>
        <w:t>than </w:t>
      </w:r>
      <w:r>
        <w:rPr>
          <w:spacing w:val="-2"/>
          <w:sz w:val="24"/>
        </w:rPr>
        <w:t>separation/segregation.</w:t>
      </w:r>
    </w:p>
    <w:p>
      <w:pPr>
        <w:pStyle w:val="BodyText"/>
        <w:spacing w:before="210"/>
      </w:pPr>
      <w:r>
        <w:rPr/>
        <w:t>INSTRUCTIONS</w:t>
      </w:r>
      <w:r>
        <w:rPr>
          <w:spacing w:val="-3"/>
        </w:rPr>
        <w:t> </w:t>
      </w:r>
      <w:r>
        <w:rPr/>
        <w:t>TO</w:t>
      </w:r>
      <w:r>
        <w:rPr>
          <w:spacing w:val="-2"/>
        </w:rPr>
        <w:t> </w:t>
      </w:r>
      <w:r>
        <w:rPr>
          <w:spacing w:val="-4"/>
        </w:rPr>
        <w:t>STAFF</w:t>
      </w:r>
    </w:p>
    <w:p>
      <w:pPr>
        <w:pStyle w:val="ListParagraph"/>
        <w:numPr>
          <w:ilvl w:val="0"/>
          <w:numId w:val="212"/>
        </w:numPr>
        <w:tabs>
          <w:tab w:pos="1077" w:val="left" w:leader="none"/>
        </w:tabs>
        <w:spacing w:line="208" w:lineRule="auto" w:before="234" w:after="0"/>
        <w:ind w:left="791" w:right="1806" w:firstLine="0"/>
        <w:jc w:val="left"/>
        <w:rPr>
          <w:sz w:val="24"/>
        </w:rPr>
      </w:pPr>
      <w:hyperlink r:id="rId38">
        <w:r>
          <w:rPr>
            <w:color w:val="0000FF"/>
            <w:sz w:val="24"/>
            <w:u w:val="single" w:color="0000FF"/>
          </w:rPr>
          <w:t>34</w:t>
        </w:r>
        <w:r>
          <w:rPr>
            <w:color w:val="0000FF"/>
            <w:spacing w:val="-5"/>
            <w:sz w:val="24"/>
            <w:u w:val="single" w:color="0000FF"/>
          </w:rPr>
          <w:t> </w:t>
        </w:r>
        <w:r>
          <w:rPr>
            <w:color w:val="0000FF"/>
            <w:sz w:val="24"/>
            <w:u w:val="single" w:color="0000FF"/>
          </w:rPr>
          <w:t>CFR</w:t>
        </w:r>
        <w:r>
          <w:rPr>
            <w:color w:val="0000FF"/>
            <w:spacing w:val="-5"/>
            <w:sz w:val="24"/>
            <w:u w:val="single" w:color="0000FF"/>
          </w:rPr>
          <w:t> </w:t>
        </w:r>
        <w:r>
          <w:rPr>
            <w:color w:val="0000FF"/>
            <w:sz w:val="24"/>
            <w:u w:val="single" w:color="0000FF"/>
          </w:rPr>
          <w:t>361.5(c)(15)</w:t>
        </w:r>
      </w:hyperlink>
      <w:r>
        <w:rPr>
          <w:color w:val="0000FF"/>
          <w:spacing w:val="-7"/>
          <w:sz w:val="24"/>
          <w:u w:val="none"/>
        </w:rPr>
        <w:t> </w:t>
      </w:r>
      <w:r>
        <w:rPr>
          <w:sz w:val="24"/>
          <w:u w:val="none"/>
        </w:rPr>
        <w:t>Employment</w:t>
      </w:r>
      <w:r>
        <w:rPr>
          <w:spacing w:val="-4"/>
          <w:sz w:val="24"/>
          <w:u w:val="none"/>
        </w:rPr>
        <w:t> </w:t>
      </w:r>
      <w:r>
        <w:rPr>
          <w:sz w:val="24"/>
          <w:u w:val="none"/>
        </w:rPr>
        <w:t>Outcome,</w:t>
      </w:r>
      <w:r>
        <w:rPr>
          <w:spacing w:val="-4"/>
          <w:sz w:val="24"/>
          <w:u w:val="none"/>
        </w:rPr>
        <w:t> </w:t>
      </w:r>
      <w:r>
        <w:rPr>
          <w:sz w:val="24"/>
          <w:u w:val="none"/>
        </w:rPr>
        <w:t>(9)</w:t>
      </w:r>
      <w:r>
        <w:rPr>
          <w:spacing w:val="-6"/>
          <w:sz w:val="24"/>
          <w:u w:val="none"/>
        </w:rPr>
        <w:t> </w:t>
      </w:r>
      <w:r>
        <w:rPr>
          <w:sz w:val="24"/>
          <w:u w:val="none"/>
        </w:rPr>
        <w:t>Competitive</w:t>
      </w:r>
      <w:r>
        <w:rPr>
          <w:spacing w:val="-5"/>
          <w:sz w:val="24"/>
          <w:u w:val="none"/>
        </w:rPr>
        <w:t> </w:t>
      </w:r>
      <w:r>
        <w:rPr>
          <w:sz w:val="24"/>
          <w:u w:val="none"/>
        </w:rPr>
        <w:t>Integrated Employment and (32) Integrated Setting.</w:t>
      </w:r>
    </w:p>
    <w:p>
      <w:pPr>
        <w:pStyle w:val="ListParagraph"/>
        <w:numPr>
          <w:ilvl w:val="0"/>
          <w:numId w:val="212"/>
        </w:numPr>
        <w:tabs>
          <w:tab w:pos="1077" w:val="left" w:leader="none"/>
        </w:tabs>
        <w:spacing w:line="208" w:lineRule="auto" w:before="239" w:after="0"/>
        <w:ind w:left="791" w:right="874" w:firstLine="0"/>
        <w:jc w:val="left"/>
        <w:rPr>
          <w:sz w:val="24"/>
        </w:rPr>
      </w:pPr>
      <w:r>
        <w:rPr>
          <w:sz w:val="24"/>
        </w:rPr>
        <w:t>Link</w:t>
      </w:r>
      <w:r>
        <w:rPr>
          <w:spacing w:val="-4"/>
          <w:sz w:val="24"/>
        </w:rPr>
        <w:t> </w:t>
      </w:r>
      <w:r>
        <w:rPr>
          <w:sz w:val="24"/>
        </w:rPr>
        <w:t>to</w:t>
      </w:r>
      <w:r>
        <w:rPr>
          <w:spacing w:val="-4"/>
          <w:sz w:val="24"/>
        </w:rPr>
        <w:t> </w:t>
      </w:r>
      <w:r>
        <w:rPr>
          <w:sz w:val="24"/>
        </w:rPr>
        <w:t>RSA</w:t>
      </w:r>
      <w:r>
        <w:rPr>
          <w:spacing w:val="-4"/>
          <w:sz w:val="24"/>
        </w:rPr>
        <w:t> </w:t>
      </w:r>
      <w:r>
        <w:rPr>
          <w:sz w:val="24"/>
        </w:rPr>
        <w:t>Technical</w:t>
      </w:r>
      <w:r>
        <w:rPr>
          <w:spacing w:val="-4"/>
          <w:sz w:val="24"/>
        </w:rPr>
        <w:t> </w:t>
      </w:r>
      <w:r>
        <w:rPr>
          <w:sz w:val="24"/>
        </w:rPr>
        <w:t>Assistance</w:t>
      </w:r>
      <w:r>
        <w:rPr>
          <w:spacing w:val="-4"/>
          <w:sz w:val="24"/>
        </w:rPr>
        <w:t> </w:t>
      </w:r>
      <w:r>
        <w:rPr>
          <w:sz w:val="24"/>
        </w:rPr>
        <w:t>Circular</w:t>
      </w:r>
      <w:r>
        <w:rPr>
          <w:spacing w:val="-3"/>
          <w:sz w:val="24"/>
        </w:rPr>
        <w:t> </w:t>
      </w:r>
      <w:r>
        <w:rPr>
          <w:sz w:val="24"/>
        </w:rPr>
        <w:t>06-01</w:t>
      </w:r>
      <w:r>
        <w:rPr>
          <w:spacing w:val="-4"/>
          <w:sz w:val="24"/>
        </w:rPr>
        <w:t> </w:t>
      </w:r>
      <w:r>
        <w:rPr>
          <w:sz w:val="24"/>
        </w:rPr>
        <w:t>on</w:t>
      </w:r>
      <w:r>
        <w:rPr>
          <w:spacing w:val="-4"/>
          <w:sz w:val="24"/>
        </w:rPr>
        <w:t> </w:t>
      </w:r>
      <w:r>
        <w:rPr>
          <w:sz w:val="24"/>
        </w:rPr>
        <w:t>Integrated</w:t>
      </w:r>
      <w:r>
        <w:rPr>
          <w:spacing w:val="-4"/>
          <w:sz w:val="24"/>
        </w:rPr>
        <w:t> </w:t>
      </w:r>
      <w:r>
        <w:rPr>
          <w:sz w:val="24"/>
        </w:rPr>
        <w:t>Setting.</w:t>
      </w:r>
      <w:r>
        <w:rPr>
          <w:spacing w:val="-4"/>
          <w:sz w:val="24"/>
        </w:rPr>
        <w:t> </w:t>
      </w:r>
      <w:hyperlink r:id="rId60">
        <w:r>
          <w:rPr>
            <w:color w:val="0000FF"/>
            <w:sz w:val="24"/>
            <w:u w:val="single" w:color="0000FF"/>
          </w:rPr>
          <w:t>TAC</w:t>
        </w:r>
        <w:r>
          <w:rPr>
            <w:color w:val="0000FF"/>
            <w:spacing w:val="-4"/>
            <w:sz w:val="24"/>
            <w:u w:val="single" w:color="0000FF"/>
          </w:rPr>
          <w:t> </w:t>
        </w:r>
        <w:r>
          <w:rPr>
            <w:color w:val="0000FF"/>
            <w:sz w:val="24"/>
            <w:u w:val="single" w:color="0000FF"/>
          </w:rPr>
          <w:t>06-</w:t>
        </w:r>
      </w:hyperlink>
      <w:r>
        <w:rPr>
          <w:color w:val="0000FF"/>
          <w:sz w:val="24"/>
          <w:u w:val="none"/>
        </w:rPr>
        <w:t> </w:t>
      </w:r>
      <w:hyperlink r:id="rId60">
        <w:r>
          <w:rPr>
            <w:color w:val="0000FF"/>
            <w:spacing w:val="-4"/>
            <w:sz w:val="24"/>
            <w:u w:val="single" w:color="0000FF"/>
          </w:rPr>
          <w:t>01</w:t>
        </w:r>
        <w:r>
          <w:rPr>
            <w:color w:val="0000FF"/>
            <w:spacing w:val="-4"/>
            <w:sz w:val="24"/>
            <w:u w:val="none"/>
          </w:rPr>
          <w:t>.</w:t>
        </w:r>
      </w:hyperlink>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10-1-97</w:t>
      </w:r>
      <w:r>
        <w:rPr>
          <w:sz w:val="22"/>
        </w:rPr>
        <w:tab/>
        <w:t>PT Memo #98-4</w:t>
      </w:r>
    </w:p>
    <w:p>
      <w:pPr>
        <w:spacing w:before="1"/>
        <w:ind w:left="1439" w:right="775" w:firstLine="0"/>
        <w:jc w:val="left"/>
        <w:rPr>
          <w:sz w:val="22"/>
        </w:rPr>
      </w:pPr>
      <w:r>
        <w:rPr>
          <w:sz w:val="22"/>
        </w:rPr>
        <w:t>Emergency,</w:t>
      </w:r>
      <w:r>
        <w:rPr>
          <w:spacing w:val="-5"/>
          <w:sz w:val="22"/>
        </w:rPr>
        <w:t> </w:t>
      </w:r>
      <w:r>
        <w:rPr>
          <w:sz w:val="22"/>
        </w:rPr>
        <w:t>removed</w:t>
      </w:r>
      <w:r>
        <w:rPr>
          <w:spacing w:val="-5"/>
          <w:sz w:val="22"/>
        </w:rPr>
        <w:t> </w:t>
      </w:r>
      <w:r>
        <w:rPr>
          <w:sz w:val="22"/>
        </w:rPr>
        <w:t>'enclave'</w:t>
      </w:r>
      <w:r>
        <w:rPr>
          <w:spacing w:val="-5"/>
          <w:sz w:val="22"/>
        </w:rPr>
        <w:t> </w:t>
      </w:r>
      <w:r>
        <w:rPr>
          <w:sz w:val="22"/>
        </w:rPr>
        <w:t>wording</w:t>
      </w:r>
      <w:r>
        <w:rPr>
          <w:spacing w:val="-5"/>
          <w:sz w:val="22"/>
        </w:rPr>
        <w:t> </w:t>
      </w:r>
      <w:r>
        <w:rPr>
          <w:sz w:val="22"/>
        </w:rPr>
        <w:t>from</w:t>
      </w:r>
      <w:r>
        <w:rPr>
          <w:spacing w:val="-5"/>
          <w:sz w:val="22"/>
        </w:rPr>
        <w:t> </w:t>
      </w:r>
      <w:r>
        <w:rPr>
          <w:sz w:val="22"/>
        </w:rPr>
        <w:t>description</w:t>
      </w:r>
      <w:r>
        <w:rPr>
          <w:spacing w:val="-5"/>
          <w:sz w:val="22"/>
        </w:rPr>
        <w:t> </w:t>
      </w:r>
      <w:r>
        <w:rPr>
          <w:sz w:val="22"/>
        </w:rPr>
        <w:t>of</w:t>
      </w:r>
      <w:r>
        <w:rPr>
          <w:spacing w:val="-5"/>
          <w:sz w:val="22"/>
        </w:rPr>
        <w:t> </w:t>
      </w:r>
      <w:r>
        <w:rPr>
          <w:sz w:val="22"/>
        </w:rPr>
        <w:t>integrated</w:t>
      </w:r>
      <w:r>
        <w:rPr>
          <w:spacing w:val="-5"/>
          <w:sz w:val="22"/>
        </w:rPr>
        <w:t> </w:t>
      </w:r>
      <w:r>
        <w:rPr>
          <w:sz w:val="22"/>
        </w:rPr>
        <w:t>settings</w:t>
      </w:r>
      <w:r>
        <w:rPr>
          <w:spacing w:val="-5"/>
          <w:sz w:val="22"/>
        </w:rPr>
        <w:t> </w:t>
      </w:r>
      <w:r>
        <w:rPr>
          <w:sz w:val="22"/>
        </w:rPr>
        <w:t>to conform with new RSA regulations</w:t>
      </w:r>
    </w:p>
    <w:p>
      <w:pPr>
        <w:pStyle w:val="ListParagraph"/>
        <w:numPr>
          <w:ilvl w:val="2"/>
          <w:numId w:val="206"/>
        </w:numPr>
        <w:tabs>
          <w:tab w:pos="1439" w:val="left" w:leader="none"/>
        </w:tabs>
        <w:spacing w:line="252"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#98-</w:t>
      </w:r>
      <w:r>
        <w:rPr>
          <w:spacing w:val="-5"/>
          <w:sz w:val="22"/>
        </w:rPr>
        <w:t>15</w:t>
      </w:r>
    </w:p>
    <w:p>
      <w:pPr>
        <w:spacing w:before="0"/>
        <w:ind w:left="1439" w:right="775" w:firstLine="0"/>
        <w:jc w:val="left"/>
        <w:rPr>
          <w:sz w:val="22"/>
        </w:rPr>
      </w:pPr>
      <w:r>
        <w:rPr>
          <w:sz w:val="22"/>
        </w:rPr>
        <w:t>Makes</w:t>
      </w:r>
      <w:r>
        <w:rPr>
          <w:spacing w:val="-4"/>
          <w:sz w:val="22"/>
        </w:rPr>
        <w:t> </w:t>
      </w:r>
      <w:r>
        <w:rPr>
          <w:sz w:val="22"/>
        </w:rPr>
        <w:t>emergency</w:t>
      </w:r>
      <w:r>
        <w:rPr>
          <w:spacing w:val="-4"/>
          <w:sz w:val="22"/>
        </w:rPr>
        <w:t> </w:t>
      </w:r>
      <w:r>
        <w:rPr>
          <w:sz w:val="22"/>
        </w:rPr>
        <w:t>rules</w:t>
      </w:r>
      <w:r>
        <w:rPr>
          <w:spacing w:val="-5"/>
          <w:sz w:val="22"/>
        </w:rPr>
        <w:t> </w:t>
      </w:r>
      <w:r>
        <w:rPr>
          <w:sz w:val="22"/>
        </w:rPr>
        <w:t>issued</w:t>
      </w:r>
      <w:r>
        <w:rPr>
          <w:spacing w:val="-4"/>
          <w:sz w:val="22"/>
        </w:rPr>
        <w:t> </w:t>
      </w:r>
      <w:r>
        <w:rPr>
          <w:sz w:val="22"/>
        </w:rPr>
        <w:t>10-1-97</w:t>
      </w:r>
      <w:r>
        <w:rPr>
          <w:spacing w:val="-4"/>
          <w:sz w:val="22"/>
        </w:rPr>
        <w:t> </w:t>
      </w:r>
      <w:r>
        <w:rPr>
          <w:sz w:val="22"/>
        </w:rPr>
        <w:t>permanent,</w:t>
      </w:r>
      <w:r>
        <w:rPr>
          <w:spacing w:val="-4"/>
          <w:sz w:val="22"/>
        </w:rPr>
        <w:t> </w:t>
      </w:r>
      <w:r>
        <w:rPr>
          <w:sz w:val="22"/>
        </w:rPr>
        <w:t>Enclave</w:t>
      </w:r>
      <w:r>
        <w:rPr>
          <w:spacing w:val="-5"/>
          <w:sz w:val="22"/>
        </w:rPr>
        <w:t> </w:t>
      </w:r>
      <w:r>
        <w:rPr>
          <w:sz w:val="22"/>
        </w:rPr>
        <w:t>no</w:t>
      </w:r>
      <w:r>
        <w:rPr>
          <w:spacing w:val="-4"/>
          <w:sz w:val="22"/>
        </w:rPr>
        <w:t> </w:t>
      </w:r>
      <w:r>
        <w:rPr>
          <w:sz w:val="22"/>
        </w:rPr>
        <w:t>longer</w:t>
      </w:r>
      <w:r>
        <w:rPr>
          <w:spacing w:val="-4"/>
          <w:sz w:val="22"/>
        </w:rPr>
        <w:t> </w:t>
      </w:r>
      <w:r>
        <w:rPr>
          <w:sz w:val="22"/>
        </w:rPr>
        <w:t>counts</w:t>
      </w:r>
      <w:r>
        <w:rPr>
          <w:spacing w:val="-4"/>
          <w:sz w:val="22"/>
        </w:rPr>
        <w:t> </w:t>
      </w:r>
      <w:r>
        <w:rPr>
          <w:sz w:val="22"/>
        </w:rPr>
        <w:t>as integrated setting</w:t>
      </w:r>
    </w:p>
    <w:p>
      <w:pPr>
        <w:tabs>
          <w:tab w:pos="1439" w:val="left" w:leader="none"/>
        </w:tabs>
        <w:spacing w:before="0"/>
        <w:ind w:left="359" w:right="0" w:firstLine="0"/>
        <w:jc w:val="left"/>
        <w:rPr>
          <w:sz w:val="22"/>
        </w:rPr>
      </w:pPr>
      <w:r>
        <w:rPr>
          <w:spacing w:val="-2"/>
          <w:sz w:val="22"/>
        </w:rPr>
        <w:t>7-1-</w:t>
      </w:r>
      <w:r>
        <w:rPr>
          <w:spacing w:val="-5"/>
          <w:sz w:val="22"/>
        </w:rPr>
        <w:t>08</w:t>
      </w:r>
      <w:r>
        <w:rPr>
          <w:sz w:val="22"/>
        </w:rPr>
        <w:tab/>
        <w:t>PT</w:t>
      </w:r>
      <w:r>
        <w:rPr>
          <w:spacing w:val="-8"/>
          <w:sz w:val="22"/>
        </w:rPr>
        <w:t> </w:t>
      </w:r>
      <w:r>
        <w:rPr>
          <w:sz w:val="22"/>
        </w:rPr>
        <w:t>Memo</w:t>
      </w:r>
      <w:r>
        <w:rPr>
          <w:spacing w:val="-8"/>
          <w:sz w:val="22"/>
        </w:rPr>
        <w:t> </w:t>
      </w:r>
      <w:r>
        <w:rPr>
          <w:sz w:val="22"/>
        </w:rPr>
        <w:t>#09-</w:t>
      </w:r>
      <w:r>
        <w:rPr>
          <w:spacing w:val="-5"/>
          <w:sz w:val="22"/>
        </w:rPr>
        <w:t>01</w:t>
      </w:r>
    </w:p>
    <w:p>
      <w:pPr>
        <w:tabs>
          <w:tab w:pos="1439" w:val="left" w:leader="none"/>
        </w:tabs>
        <w:spacing w:before="1"/>
        <w:ind w:left="359" w:right="5183" w:firstLine="1080"/>
        <w:jc w:val="left"/>
        <w:rPr>
          <w:sz w:val="22"/>
        </w:rPr>
      </w:pPr>
      <w:r>
        <w:rPr>
          <w:sz w:val="22"/>
        </w:rPr>
        <w:t>Permanent,</w:t>
      </w:r>
      <w:r>
        <w:rPr>
          <w:spacing w:val="-12"/>
          <w:sz w:val="22"/>
        </w:rPr>
        <w:t> </w:t>
      </w:r>
      <w:r>
        <w:rPr>
          <w:sz w:val="22"/>
        </w:rPr>
        <w:t>clarifying</w:t>
      </w:r>
      <w:r>
        <w:rPr>
          <w:spacing w:val="-13"/>
          <w:sz w:val="22"/>
        </w:rPr>
        <w:t> </w:t>
      </w:r>
      <w:r>
        <w:rPr>
          <w:sz w:val="22"/>
        </w:rPr>
        <w:t>integrated</w:t>
      </w:r>
      <w:r>
        <w:rPr>
          <w:spacing w:val="-13"/>
          <w:sz w:val="22"/>
        </w:rPr>
        <w:t> </w:t>
      </w:r>
      <w:r>
        <w:rPr>
          <w:sz w:val="22"/>
        </w:rPr>
        <w:t>setting </w:t>
      </w:r>
      <w:r>
        <w:rPr>
          <w:spacing w:val="-2"/>
          <w:sz w:val="22"/>
        </w:rPr>
        <w:t>7-1-11</w:t>
      </w:r>
      <w:r>
        <w:rPr>
          <w:sz w:val="22"/>
        </w:rPr>
        <w:tab/>
        <w:t>PT Memo #12-01</w:t>
      </w:r>
    </w:p>
    <w:p>
      <w:pPr>
        <w:spacing w:line="252" w:lineRule="exact" w:before="0"/>
        <w:ind w:left="1439" w:right="0" w:firstLine="0"/>
        <w:jc w:val="left"/>
        <w:rPr>
          <w:sz w:val="22"/>
        </w:rPr>
      </w:pPr>
      <w:r>
        <w:rPr>
          <w:sz w:val="22"/>
        </w:rPr>
        <w:t>Permanent,</w:t>
      </w:r>
      <w:r>
        <w:rPr>
          <w:spacing w:val="-11"/>
          <w:sz w:val="22"/>
        </w:rPr>
        <w:t> </w:t>
      </w:r>
      <w:r>
        <w:rPr>
          <w:sz w:val="22"/>
        </w:rPr>
        <w:t>removed</w:t>
      </w:r>
      <w:r>
        <w:rPr>
          <w:spacing w:val="-11"/>
          <w:sz w:val="22"/>
        </w:rPr>
        <w:t> </w:t>
      </w:r>
      <w:r>
        <w:rPr>
          <w:sz w:val="22"/>
        </w:rPr>
        <w:t>extraneous</w:t>
      </w:r>
      <w:r>
        <w:rPr>
          <w:spacing w:val="-11"/>
          <w:sz w:val="22"/>
        </w:rPr>
        <w:t> </w:t>
      </w:r>
      <w:r>
        <w:rPr>
          <w:spacing w:val="-2"/>
          <w:sz w:val="22"/>
        </w:rPr>
        <w:t>language</w:t>
      </w:r>
    </w:p>
    <w:p>
      <w:pPr>
        <w:spacing w:before="0"/>
        <w:ind w:left="1439" w:right="775" w:hanging="1080"/>
        <w:jc w:val="left"/>
        <w:rPr>
          <w:sz w:val="22"/>
        </w:rPr>
      </w:pPr>
      <w:r>
        <w:rPr>
          <w:sz w:val="22"/>
        </w:rPr>
        <w:t>11-30-17</w:t>
      </w:r>
      <w:r>
        <w:rPr>
          <w:spacing w:val="80"/>
          <w:w w:val="150"/>
          <w:sz w:val="22"/>
        </w:rPr>
        <w:t> </w:t>
      </w:r>
      <w:r>
        <w:rPr>
          <w:sz w:val="22"/>
        </w:rPr>
        <w:t>Updated</w:t>
      </w:r>
      <w:r>
        <w:rPr>
          <w:spacing w:val="-4"/>
          <w:sz w:val="22"/>
        </w:rPr>
        <w:t> </w:t>
      </w:r>
      <w:r>
        <w:rPr>
          <w:sz w:val="22"/>
        </w:rPr>
        <w:t>ITS</w:t>
      </w:r>
      <w:r>
        <w:rPr>
          <w:spacing w:val="-4"/>
          <w:sz w:val="22"/>
        </w:rPr>
        <w:t> </w:t>
      </w:r>
      <w:r>
        <w:rPr>
          <w:sz w:val="22"/>
        </w:rPr>
        <w:t>#1</w:t>
      </w:r>
      <w:r>
        <w:rPr>
          <w:spacing w:val="-4"/>
          <w:sz w:val="22"/>
        </w:rPr>
        <w:t> </w:t>
      </w:r>
      <w:r>
        <w:rPr>
          <w:sz w:val="22"/>
        </w:rPr>
        <w:t>hyperlink,</w:t>
      </w:r>
      <w:r>
        <w:rPr>
          <w:spacing w:val="-4"/>
          <w:sz w:val="22"/>
        </w:rPr>
        <w:t> </w:t>
      </w:r>
      <w:r>
        <w:rPr>
          <w:sz w:val="22"/>
        </w:rPr>
        <w:t>added</w:t>
      </w:r>
      <w:r>
        <w:rPr>
          <w:spacing w:val="-4"/>
          <w:sz w:val="22"/>
        </w:rPr>
        <w:t> </w:t>
      </w:r>
      <w:r>
        <w:rPr>
          <w:sz w:val="22"/>
        </w:rPr>
        <w:t>language</w:t>
      </w:r>
      <w:r>
        <w:rPr>
          <w:spacing w:val="-4"/>
          <w:sz w:val="22"/>
        </w:rPr>
        <w:t> </w:t>
      </w:r>
      <w:r>
        <w:rPr>
          <w:sz w:val="22"/>
        </w:rPr>
        <w:t>“(9)</w:t>
      </w:r>
      <w:r>
        <w:rPr>
          <w:spacing w:val="-4"/>
          <w:sz w:val="22"/>
        </w:rPr>
        <w:t> </w:t>
      </w:r>
      <w:r>
        <w:rPr>
          <w:sz w:val="22"/>
        </w:rPr>
        <w:t>Competitive</w:t>
      </w:r>
      <w:r>
        <w:rPr>
          <w:spacing w:val="-4"/>
          <w:sz w:val="22"/>
        </w:rPr>
        <w:t> </w:t>
      </w:r>
      <w:r>
        <w:rPr>
          <w:sz w:val="22"/>
        </w:rPr>
        <w:t>Integrated</w:t>
      </w:r>
      <w:r>
        <w:rPr>
          <w:spacing w:val="-4"/>
          <w:sz w:val="22"/>
        </w:rPr>
        <w:t> </w:t>
      </w:r>
      <w:r>
        <w:rPr>
          <w:sz w:val="22"/>
        </w:rPr>
        <w:t>Employment and (32)”.</w:t>
      </w:r>
    </w:p>
    <w:p>
      <w:pPr>
        <w:spacing w:after="0"/>
        <w:jc w:val="left"/>
        <w:rPr>
          <w:sz w:val="22"/>
        </w:rPr>
        <w:sectPr>
          <w:pgSz w:w="12240" w:h="15840"/>
          <w:pgMar w:top="1340" w:bottom="280" w:left="1080" w:right="720"/>
        </w:sectPr>
      </w:pPr>
    </w:p>
    <w:p>
      <w:pPr>
        <w:pStyle w:val="Heading2"/>
        <w:spacing w:line="208" w:lineRule="auto" w:before="96"/>
        <w:ind w:right="775"/>
      </w:pPr>
      <w:bookmarkStart w:name="612:10-7-182.  Competitive integrated em" w:id="195"/>
      <w:bookmarkEnd w:id="195"/>
      <w:r>
        <w:rPr>
          <w:b w:val="0"/>
        </w:rPr>
      </w:r>
      <w:r>
        <w:rPr/>
        <w:t>612:10-7-182.</w:t>
      </w:r>
      <w:r>
        <w:rPr>
          <w:spacing w:val="40"/>
        </w:rPr>
        <w:t> </w:t>
      </w:r>
      <w:r>
        <w:rPr/>
        <w:t>Competitive</w:t>
      </w:r>
      <w:r>
        <w:rPr>
          <w:spacing w:val="-7"/>
        </w:rPr>
        <w:t> </w:t>
      </w:r>
      <w:r>
        <w:rPr/>
        <w:t>integrated</w:t>
      </w:r>
      <w:r>
        <w:rPr>
          <w:spacing w:val="-6"/>
        </w:rPr>
        <w:t> </w:t>
      </w:r>
      <w:r>
        <w:rPr/>
        <w:t>employment</w:t>
      </w:r>
      <w:r>
        <w:rPr>
          <w:spacing w:val="-6"/>
        </w:rPr>
        <w:t> </w:t>
      </w:r>
      <w:r>
        <w:rPr/>
        <w:t>for</w:t>
      </w:r>
      <w:r>
        <w:rPr>
          <w:spacing w:val="-6"/>
        </w:rPr>
        <w:t> </w:t>
      </w:r>
      <w:r>
        <w:rPr/>
        <w:t>Supported</w:t>
      </w:r>
      <w:r>
        <w:rPr>
          <w:spacing w:val="-6"/>
        </w:rPr>
        <w:t> </w:t>
      </w:r>
      <w:r>
        <w:rPr/>
        <w:t>Employment </w:t>
      </w:r>
      <w:r>
        <w:rPr>
          <w:spacing w:val="-2"/>
        </w:rPr>
        <w:t>clients</w:t>
      </w:r>
    </w:p>
    <w:p>
      <w:pPr>
        <w:pStyle w:val="BodyText"/>
        <w:spacing w:line="208" w:lineRule="auto"/>
        <w:ind w:left="359" w:right="739"/>
        <w:rPr>
          <w:b/>
        </w:rPr>
      </w:pPr>
      <w:r>
        <w:rPr/>
        <w:t>Competitive integrated employment for individuals receiving Supported Employment services is defined as employment performed on a full-time or part-time basis in an integrated</w:t>
      </w:r>
      <w:r>
        <w:rPr>
          <w:spacing w:val="-5"/>
        </w:rPr>
        <w:t> </w:t>
      </w:r>
      <w:r>
        <w:rPr/>
        <w:t>setting,</w:t>
      </w:r>
      <w:r>
        <w:rPr>
          <w:spacing w:val="-4"/>
        </w:rPr>
        <w:t> </w:t>
      </w:r>
      <w:r>
        <w:rPr/>
        <w:t>consistent</w:t>
      </w:r>
      <w:r>
        <w:rPr>
          <w:spacing w:val="-4"/>
        </w:rPr>
        <w:t> </w:t>
      </w:r>
      <w:r>
        <w:rPr/>
        <w:t>with</w:t>
      </w:r>
      <w:r>
        <w:rPr>
          <w:spacing w:val="-5"/>
        </w:rPr>
        <w:t> </w:t>
      </w:r>
      <w:r>
        <w:rPr/>
        <w:t>the</w:t>
      </w:r>
      <w:r>
        <w:rPr>
          <w:spacing w:val="-5"/>
        </w:rPr>
        <w:t> </w:t>
      </w:r>
      <w:r>
        <w:rPr/>
        <w:t>strengths,</w:t>
      </w:r>
      <w:r>
        <w:rPr>
          <w:spacing w:val="-4"/>
        </w:rPr>
        <w:t> </w:t>
      </w:r>
      <w:r>
        <w:rPr/>
        <w:t>resources,</w:t>
      </w:r>
      <w:r>
        <w:rPr>
          <w:spacing w:val="-4"/>
        </w:rPr>
        <w:t> </w:t>
      </w:r>
      <w:r>
        <w:rPr/>
        <w:t>priorities,</w:t>
      </w:r>
      <w:r>
        <w:rPr>
          <w:spacing w:val="-4"/>
        </w:rPr>
        <w:t> </w:t>
      </w:r>
      <w:r>
        <w:rPr/>
        <w:t>concerns,</w:t>
      </w:r>
      <w:r>
        <w:rPr>
          <w:spacing w:val="-4"/>
        </w:rPr>
        <w:t> </w:t>
      </w:r>
      <w:r>
        <w:rPr/>
        <w:t>abilities, capabilities, interests, and informed choice of the individual. The individual is compensated at or above minimum wage, but not less than the customary or usual wage paid by the employer for the same or similar work performed by individuals who are not disabled. (See 34 CFR 361.5(c)(9)). Wages must be paid by the employer, not the contractor, unless the contractor is the employer of record, and the wage meets the ONET</w:t>
      </w:r>
      <w:r>
        <w:rPr>
          <w:spacing w:val="-3"/>
        </w:rPr>
        <w:t> </w:t>
      </w:r>
      <w:r>
        <w:rPr/>
        <w:t>median</w:t>
      </w:r>
      <w:r>
        <w:rPr>
          <w:spacing w:val="-3"/>
        </w:rPr>
        <w:t> </w:t>
      </w:r>
      <w:r>
        <w:rPr/>
        <w:t>hourly</w:t>
      </w:r>
      <w:r>
        <w:rPr>
          <w:spacing w:val="-2"/>
        </w:rPr>
        <w:t> </w:t>
      </w:r>
      <w:r>
        <w:rPr/>
        <w:t>wage,</w:t>
      </w:r>
      <w:r>
        <w:rPr>
          <w:spacing w:val="-3"/>
        </w:rPr>
        <w:t> </w:t>
      </w:r>
      <w:hyperlink r:id="rId56">
        <w:r>
          <w:rPr>
            <w:color w:val="0000FF"/>
            <w:sz w:val="22"/>
            <w:u w:val="single" w:color="0000FF"/>
          </w:rPr>
          <w:t>www.onetonline.org</w:t>
        </w:r>
      </w:hyperlink>
      <w:r>
        <w:rPr>
          <w:color w:val="0000FF"/>
          <w:sz w:val="22"/>
          <w:u w:val="none"/>
        </w:rPr>
        <w:t> </w:t>
      </w:r>
      <w:r>
        <w:rPr>
          <w:u w:val="none"/>
        </w:rPr>
        <w:t>for</w:t>
      </w:r>
      <w:r>
        <w:rPr>
          <w:spacing w:val="-4"/>
          <w:u w:val="none"/>
        </w:rPr>
        <w:t> </w:t>
      </w:r>
      <w:r>
        <w:rPr>
          <w:u w:val="none"/>
        </w:rPr>
        <w:t>the</w:t>
      </w:r>
      <w:r>
        <w:rPr>
          <w:spacing w:val="-3"/>
          <w:u w:val="none"/>
        </w:rPr>
        <w:t> </w:t>
      </w:r>
      <w:r>
        <w:rPr>
          <w:u w:val="none"/>
        </w:rPr>
        <w:t>type</w:t>
      </w:r>
      <w:r>
        <w:rPr>
          <w:spacing w:val="-3"/>
          <w:u w:val="none"/>
        </w:rPr>
        <w:t> </w:t>
      </w:r>
      <w:r>
        <w:rPr>
          <w:u w:val="none"/>
        </w:rPr>
        <w:t>of</w:t>
      </w:r>
      <w:r>
        <w:rPr>
          <w:spacing w:val="-2"/>
          <w:u w:val="none"/>
        </w:rPr>
        <w:t> </w:t>
      </w:r>
      <w:r>
        <w:rPr>
          <w:u w:val="none"/>
        </w:rPr>
        <w:t>job</w:t>
      </w:r>
      <w:r>
        <w:rPr>
          <w:spacing w:val="-3"/>
          <w:u w:val="none"/>
        </w:rPr>
        <w:t> </w:t>
      </w:r>
      <w:r>
        <w:rPr>
          <w:u w:val="none"/>
        </w:rPr>
        <w:t>and</w:t>
      </w:r>
      <w:r>
        <w:rPr>
          <w:spacing w:val="-3"/>
          <w:u w:val="none"/>
        </w:rPr>
        <w:t> </w:t>
      </w:r>
      <w:r>
        <w:rPr>
          <w:u w:val="none"/>
        </w:rPr>
        <w:t>location</w:t>
      </w:r>
      <w:r>
        <w:rPr>
          <w:spacing w:val="-3"/>
          <w:u w:val="none"/>
        </w:rPr>
        <w:t> </w:t>
      </w:r>
      <w:r>
        <w:rPr>
          <w:u w:val="none"/>
        </w:rPr>
        <w:t>of</w:t>
      </w:r>
      <w:r>
        <w:rPr>
          <w:spacing w:val="-2"/>
          <w:u w:val="none"/>
        </w:rPr>
        <w:t> </w:t>
      </w:r>
      <w:r>
        <w:rPr>
          <w:u w:val="none"/>
        </w:rPr>
        <w:t>the</w:t>
      </w:r>
      <w:r>
        <w:rPr>
          <w:spacing w:val="-3"/>
          <w:u w:val="none"/>
        </w:rPr>
        <w:t> </w:t>
      </w:r>
      <w:r>
        <w:rPr>
          <w:u w:val="none"/>
        </w:rPr>
        <w:t>job</w:t>
      </w:r>
      <w:r>
        <w:rPr>
          <w:rFonts w:ascii="Calibri"/>
          <w:sz w:val="22"/>
          <w:u w:val="none"/>
        </w:rPr>
        <w:t>. </w:t>
      </w:r>
      <w:r>
        <w:rPr>
          <w:b/>
          <w:spacing w:val="-10"/>
          <w:u w:val="none"/>
        </w:rPr>
        <w:t>1</w:t>
      </w:r>
    </w:p>
    <w:p>
      <w:pPr>
        <w:pStyle w:val="BodyText"/>
        <w:spacing w:before="201"/>
      </w:pPr>
      <w:r>
        <w:rPr/>
        <w:t>Instructions</w:t>
      </w:r>
      <w:r>
        <w:rPr>
          <w:spacing w:val="-5"/>
        </w:rPr>
        <w:t> </w:t>
      </w:r>
      <w:r>
        <w:rPr/>
        <w:t>to</w:t>
      </w:r>
      <w:r>
        <w:rPr>
          <w:spacing w:val="-2"/>
        </w:rPr>
        <w:t> </w:t>
      </w:r>
      <w:r>
        <w:rPr>
          <w:spacing w:val="-4"/>
        </w:rPr>
        <w:t>Staff</w:t>
      </w:r>
    </w:p>
    <w:p>
      <w:pPr>
        <w:pStyle w:val="BodyText"/>
        <w:spacing w:before="204"/>
      </w:pPr>
      <w:r>
        <w:rPr/>
        <w:t>See</w:t>
      </w:r>
      <w:r>
        <w:rPr>
          <w:spacing w:val="-4"/>
        </w:rPr>
        <w:t> </w:t>
      </w:r>
      <w:hyperlink w:history="true" w:anchor="_bookmark2">
        <w:r>
          <w:rPr>
            <w:color w:val="0000FF"/>
            <w:u w:val="single" w:color="0000FF"/>
          </w:rPr>
          <w:t>612:10-1-2</w:t>
        </w:r>
      </w:hyperlink>
      <w:r>
        <w:rPr>
          <w:color w:val="0000FF"/>
          <w:spacing w:val="-3"/>
          <w:u w:val="none"/>
        </w:rPr>
        <w:t> </w:t>
      </w:r>
      <w:r>
        <w:rPr>
          <w:spacing w:val="-2"/>
          <w:u w:val="none"/>
        </w:rPr>
        <w:t>Definitions</w:t>
      </w:r>
    </w:p>
    <w:p>
      <w:pPr>
        <w:pStyle w:val="BodyText"/>
        <w:spacing w:line="208" w:lineRule="auto" w:before="233"/>
        <w:ind w:right="775"/>
      </w:pPr>
      <w:r>
        <w:rPr/>
        <w:t>Counselors</w:t>
      </w:r>
      <w:r>
        <w:rPr>
          <w:spacing w:val="-2"/>
        </w:rPr>
        <w:t> </w:t>
      </w:r>
      <w:r>
        <w:rPr/>
        <w:t>will</w:t>
      </w:r>
      <w:r>
        <w:rPr>
          <w:spacing w:val="-3"/>
        </w:rPr>
        <w:t> </w:t>
      </w:r>
      <w:r>
        <w:rPr/>
        <w:t>review</w:t>
      </w:r>
      <w:r>
        <w:rPr>
          <w:spacing w:val="-3"/>
        </w:rPr>
        <w:t> </w:t>
      </w:r>
      <w:r>
        <w:rPr/>
        <w:t>the</w:t>
      </w:r>
      <w:r>
        <w:rPr>
          <w:spacing w:val="-3"/>
        </w:rPr>
        <w:t> </w:t>
      </w:r>
      <w:r>
        <w:rPr/>
        <w:t>cases</w:t>
      </w:r>
      <w:r>
        <w:rPr>
          <w:spacing w:val="-3"/>
        </w:rPr>
        <w:t> </w:t>
      </w:r>
      <w:r>
        <w:rPr/>
        <w:t>of</w:t>
      </w:r>
      <w:r>
        <w:rPr>
          <w:spacing w:val="-2"/>
        </w:rPr>
        <w:t> </w:t>
      </w:r>
      <w:r>
        <w:rPr/>
        <w:t>individuals</w:t>
      </w:r>
      <w:r>
        <w:rPr>
          <w:spacing w:val="-3"/>
        </w:rPr>
        <w:t> </w:t>
      </w:r>
      <w:r>
        <w:rPr/>
        <w:t>working</w:t>
      </w:r>
      <w:r>
        <w:rPr>
          <w:spacing w:val="-3"/>
        </w:rPr>
        <w:t> </w:t>
      </w:r>
      <w:r>
        <w:rPr/>
        <w:t>less</w:t>
      </w:r>
      <w:r>
        <w:rPr>
          <w:spacing w:val="-3"/>
        </w:rPr>
        <w:t> </w:t>
      </w:r>
      <w:r>
        <w:rPr/>
        <w:t>than</w:t>
      </w:r>
      <w:r>
        <w:rPr>
          <w:spacing w:val="-3"/>
        </w:rPr>
        <w:t> </w:t>
      </w:r>
      <w:r>
        <w:rPr/>
        <w:t>20</w:t>
      </w:r>
      <w:r>
        <w:rPr>
          <w:spacing w:val="-3"/>
        </w:rPr>
        <w:t> </w:t>
      </w:r>
      <w:r>
        <w:rPr/>
        <w:t>hours</w:t>
      </w:r>
      <w:r>
        <w:rPr>
          <w:spacing w:val="-3"/>
        </w:rPr>
        <w:t> </w:t>
      </w:r>
      <w:r>
        <w:rPr/>
        <w:t>per</w:t>
      </w:r>
      <w:r>
        <w:rPr>
          <w:spacing w:val="-2"/>
        </w:rPr>
        <w:t> </w:t>
      </w:r>
      <w:r>
        <w:rPr/>
        <w:t>week</w:t>
      </w:r>
      <w:r>
        <w:rPr>
          <w:spacing w:val="-3"/>
        </w:rPr>
        <w:t> </w:t>
      </w:r>
      <w:r>
        <w:rPr/>
        <w:t>no less</w:t>
      </w:r>
      <w:r>
        <w:rPr>
          <w:spacing w:val="-3"/>
        </w:rPr>
        <w:t> </w:t>
      </w:r>
      <w:r>
        <w:rPr/>
        <w:t>than</w:t>
      </w:r>
      <w:r>
        <w:rPr>
          <w:spacing w:val="-3"/>
        </w:rPr>
        <w:t> </w:t>
      </w:r>
      <w:r>
        <w:rPr/>
        <w:t>every</w:t>
      </w:r>
      <w:r>
        <w:rPr>
          <w:spacing w:val="-3"/>
        </w:rPr>
        <w:t> </w:t>
      </w:r>
      <w:r>
        <w:rPr/>
        <w:t>90</w:t>
      </w:r>
      <w:r>
        <w:rPr>
          <w:spacing w:val="-3"/>
        </w:rPr>
        <w:t> </w:t>
      </w:r>
      <w:r>
        <w:rPr/>
        <w:t>days</w:t>
      </w:r>
      <w:r>
        <w:rPr>
          <w:spacing w:val="-3"/>
        </w:rPr>
        <w:t> </w:t>
      </w:r>
      <w:r>
        <w:rPr/>
        <w:t>and</w:t>
      </w:r>
      <w:r>
        <w:rPr>
          <w:spacing w:val="-3"/>
        </w:rPr>
        <w:t> </w:t>
      </w:r>
      <w:r>
        <w:rPr/>
        <w:t>document</w:t>
      </w:r>
      <w:r>
        <w:rPr>
          <w:spacing w:val="-2"/>
        </w:rPr>
        <w:t> </w:t>
      </w:r>
      <w:r>
        <w:rPr/>
        <w:t>the</w:t>
      </w:r>
      <w:r>
        <w:rPr>
          <w:spacing w:val="-4"/>
        </w:rPr>
        <w:t> </w:t>
      </w:r>
      <w:r>
        <w:rPr/>
        <w:t>appropriateness</w:t>
      </w:r>
      <w:r>
        <w:rPr>
          <w:spacing w:val="-3"/>
        </w:rPr>
        <w:t> </w:t>
      </w:r>
      <w:r>
        <w:rPr/>
        <w:t>of</w:t>
      </w:r>
      <w:r>
        <w:rPr>
          <w:spacing w:val="-2"/>
        </w:rPr>
        <w:t> </w:t>
      </w:r>
      <w:r>
        <w:rPr/>
        <w:t>the</w:t>
      </w:r>
      <w:r>
        <w:rPr>
          <w:spacing w:val="-4"/>
        </w:rPr>
        <w:t> </w:t>
      </w:r>
      <w:r>
        <w:rPr/>
        <w:t>existing</w:t>
      </w:r>
      <w:r>
        <w:rPr>
          <w:spacing w:val="-3"/>
        </w:rPr>
        <w:t> </w:t>
      </w:r>
      <w:r>
        <w:rPr/>
        <w:t>weekly</w:t>
      </w:r>
      <w:r>
        <w:rPr>
          <w:spacing w:val="-3"/>
        </w:rPr>
        <w:t> </w:t>
      </w:r>
      <w:r>
        <w:rPr/>
        <w:t>work goal until transition to extended services. The counselor will document any significant differences in the ultimate work week goal achieved as compared with the predicted </w:t>
      </w:r>
      <w:r>
        <w:rPr>
          <w:spacing w:val="-2"/>
        </w:rPr>
        <w:t>goal.</w:t>
      </w:r>
    </w:p>
    <w:p>
      <w:pPr>
        <w:spacing w:line="208" w:lineRule="auto" w:before="240"/>
        <w:ind w:left="359" w:right="855" w:firstLine="0"/>
        <w:jc w:val="left"/>
        <w:rPr>
          <w:sz w:val="24"/>
        </w:rPr>
      </w:pPr>
      <w:r>
        <w:rPr>
          <w:sz w:val="24"/>
        </w:rPr>
        <w:t>An</w:t>
      </w:r>
      <w:r>
        <w:rPr>
          <w:spacing w:val="-2"/>
          <w:sz w:val="24"/>
        </w:rPr>
        <w:t> </w:t>
      </w:r>
      <w:r>
        <w:rPr>
          <w:sz w:val="24"/>
        </w:rPr>
        <w:t>individual</w:t>
      </w:r>
      <w:r>
        <w:rPr>
          <w:spacing w:val="-2"/>
          <w:sz w:val="24"/>
        </w:rPr>
        <w:t> </w:t>
      </w:r>
      <w:r>
        <w:rPr>
          <w:sz w:val="24"/>
        </w:rPr>
        <w:t>receiving</w:t>
      </w:r>
      <w:r>
        <w:rPr>
          <w:spacing w:val="-1"/>
          <w:sz w:val="24"/>
        </w:rPr>
        <w:t> </w:t>
      </w:r>
      <w:r>
        <w:rPr>
          <w:sz w:val="24"/>
        </w:rPr>
        <w:t>supported</w:t>
      </w:r>
      <w:r>
        <w:rPr>
          <w:spacing w:val="-2"/>
          <w:sz w:val="24"/>
        </w:rPr>
        <w:t> </w:t>
      </w:r>
      <w:r>
        <w:rPr>
          <w:sz w:val="24"/>
        </w:rPr>
        <w:t>employment</w:t>
      </w:r>
      <w:r>
        <w:rPr>
          <w:spacing w:val="-1"/>
          <w:sz w:val="24"/>
        </w:rPr>
        <w:t> </w:t>
      </w:r>
      <w:r>
        <w:rPr>
          <w:sz w:val="24"/>
        </w:rPr>
        <w:t>services</w:t>
      </w:r>
      <w:r>
        <w:rPr>
          <w:spacing w:val="-3"/>
          <w:sz w:val="24"/>
        </w:rPr>
        <w:t> </w:t>
      </w:r>
      <w:r>
        <w:rPr>
          <w:sz w:val="24"/>
        </w:rPr>
        <w:t>may</w:t>
      </w:r>
      <w:r>
        <w:rPr>
          <w:spacing w:val="-2"/>
          <w:sz w:val="24"/>
        </w:rPr>
        <w:t> </w:t>
      </w:r>
      <w:r>
        <w:rPr>
          <w:sz w:val="24"/>
        </w:rPr>
        <w:t>not</w:t>
      </w:r>
      <w:r>
        <w:rPr>
          <w:spacing w:val="-1"/>
          <w:sz w:val="24"/>
        </w:rPr>
        <w:t> </w:t>
      </w:r>
      <w:r>
        <w:rPr>
          <w:sz w:val="24"/>
        </w:rPr>
        <w:t>become</w:t>
      </w:r>
      <w:r>
        <w:rPr>
          <w:spacing w:val="-2"/>
          <w:sz w:val="24"/>
        </w:rPr>
        <w:t> </w:t>
      </w:r>
      <w:r>
        <w:rPr>
          <w:sz w:val="24"/>
        </w:rPr>
        <w:t>an</w:t>
      </w:r>
      <w:r>
        <w:rPr>
          <w:spacing w:val="-2"/>
          <w:sz w:val="24"/>
        </w:rPr>
        <w:t> </w:t>
      </w:r>
      <w:r>
        <w:rPr>
          <w:sz w:val="24"/>
        </w:rPr>
        <w:t>employee of</w:t>
      </w:r>
      <w:r>
        <w:rPr>
          <w:spacing w:val="-3"/>
          <w:sz w:val="24"/>
        </w:rPr>
        <w:t> </w:t>
      </w:r>
      <w:r>
        <w:rPr>
          <w:sz w:val="24"/>
        </w:rPr>
        <w:t>the</w:t>
      </w:r>
      <w:r>
        <w:rPr>
          <w:spacing w:val="-4"/>
          <w:sz w:val="24"/>
        </w:rPr>
        <w:t> </w:t>
      </w:r>
      <w:r>
        <w:rPr>
          <w:sz w:val="24"/>
        </w:rPr>
        <w:t>Contractor</w:t>
      </w:r>
      <w:r>
        <w:rPr>
          <w:spacing w:val="-3"/>
          <w:sz w:val="24"/>
        </w:rPr>
        <w:t> </w:t>
      </w:r>
      <w:r>
        <w:rPr>
          <w:sz w:val="24"/>
        </w:rPr>
        <w:t>or</w:t>
      </w:r>
      <w:r>
        <w:rPr>
          <w:spacing w:val="-5"/>
          <w:sz w:val="24"/>
        </w:rPr>
        <w:t> </w:t>
      </w:r>
      <w:r>
        <w:rPr>
          <w:sz w:val="24"/>
        </w:rPr>
        <w:t>any</w:t>
      </w:r>
      <w:r>
        <w:rPr>
          <w:spacing w:val="-4"/>
          <w:sz w:val="24"/>
        </w:rPr>
        <w:t> </w:t>
      </w:r>
      <w:r>
        <w:rPr>
          <w:sz w:val="24"/>
        </w:rPr>
        <w:t>business</w:t>
      </w:r>
      <w:r>
        <w:rPr>
          <w:spacing w:val="-4"/>
          <w:sz w:val="24"/>
        </w:rPr>
        <w:t> </w:t>
      </w:r>
      <w:r>
        <w:rPr>
          <w:sz w:val="24"/>
        </w:rPr>
        <w:t>owned</w:t>
      </w:r>
      <w:r>
        <w:rPr>
          <w:spacing w:val="-4"/>
          <w:sz w:val="24"/>
        </w:rPr>
        <w:t> </w:t>
      </w:r>
      <w:r>
        <w:rPr>
          <w:sz w:val="24"/>
        </w:rPr>
        <w:t>by</w:t>
      </w:r>
      <w:r>
        <w:rPr>
          <w:spacing w:val="-4"/>
          <w:sz w:val="24"/>
        </w:rPr>
        <w:t> </w:t>
      </w:r>
      <w:r>
        <w:rPr>
          <w:sz w:val="24"/>
        </w:rPr>
        <w:t>the</w:t>
      </w:r>
      <w:r>
        <w:rPr>
          <w:spacing w:val="-4"/>
          <w:sz w:val="24"/>
        </w:rPr>
        <w:t> </w:t>
      </w:r>
      <w:r>
        <w:rPr>
          <w:sz w:val="24"/>
        </w:rPr>
        <w:t>Contractor</w:t>
      </w:r>
      <w:r>
        <w:rPr>
          <w:spacing w:val="-3"/>
          <w:sz w:val="24"/>
        </w:rPr>
        <w:t> </w:t>
      </w:r>
      <w:r>
        <w:rPr>
          <w:sz w:val="24"/>
        </w:rPr>
        <w:t>or</w:t>
      </w:r>
      <w:r>
        <w:rPr>
          <w:spacing w:val="-5"/>
          <w:sz w:val="24"/>
        </w:rPr>
        <w:t> </w:t>
      </w:r>
      <w:r>
        <w:rPr>
          <w:sz w:val="24"/>
        </w:rPr>
        <w:t>their</w:t>
      </w:r>
      <w:r>
        <w:rPr>
          <w:spacing w:val="-5"/>
          <w:sz w:val="24"/>
        </w:rPr>
        <w:t> </w:t>
      </w:r>
      <w:r>
        <w:rPr>
          <w:sz w:val="24"/>
        </w:rPr>
        <w:t>employees,</w:t>
      </w:r>
      <w:r>
        <w:rPr>
          <w:spacing w:val="-2"/>
          <w:sz w:val="24"/>
        </w:rPr>
        <w:t> </w:t>
      </w:r>
      <w:r>
        <w:rPr>
          <w:b/>
          <w:sz w:val="24"/>
        </w:rPr>
        <w:t>unless </w:t>
      </w:r>
      <w:r>
        <w:rPr>
          <w:sz w:val="24"/>
        </w:rPr>
        <w:t>the individual receives compensation at no less than the median hourly wage for the </w:t>
      </w:r>
      <w:r>
        <w:rPr>
          <w:b/>
          <w:sz w:val="24"/>
        </w:rPr>
        <w:t>region or city </w:t>
      </w:r>
      <w:r>
        <w:rPr>
          <w:sz w:val="24"/>
        </w:rPr>
        <w:t>based on job type and location (</w:t>
      </w:r>
      <w:r>
        <w:rPr>
          <w:i/>
          <w:sz w:val="24"/>
        </w:rPr>
        <w:t>i.e. Enid, OK Metropolitan Statistical</w:t>
      </w:r>
      <w:r>
        <w:rPr>
          <w:i/>
          <w:sz w:val="24"/>
        </w:rPr>
        <w:t> Area (MSA); Fort Smith, AR – OK MSA; Lawton, OK MSA; Oklahoma City, OK MSA; Tulsa, OK MSA; NE OK Balance of State</w:t>
      </w:r>
      <w:r>
        <w:rPr>
          <w:i/>
          <w:spacing w:val="-1"/>
          <w:sz w:val="24"/>
        </w:rPr>
        <w:t> </w:t>
      </w:r>
      <w:r>
        <w:rPr>
          <w:i/>
          <w:sz w:val="24"/>
        </w:rPr>
        <w:t>Areas (BOS); NW</w:t>
      </w:r>
      <w:r>
        <w:rPr>
          <w:i/>
          <w:spacing w:val="-1"/>
          <w:sz w:val="24"/>
        </w:rPr>
        <w:t> </w:t>
      </w:r>
      <w:r>
        <w:rPr>
          <w:i/>
          <w:sz w:val="24"/>
        </w:rPr>
        <w:t>OK BOS; SE</w:t>
      </w:r>
      <w:r>
        <w:rPr>
          <w:i/>
          <w:spacing w:val="-2"/>
          <w:sz w:val="24"/>
        </w:rPr>
        <w:t> </w:t>
      </w:r>
      <w:r>
        <w:rPr>
          <w:i/>
          <w:sz w:val="24"/>
        </w:rPr>
        <w:t>OK BOS; or SW OK BOS</w:t>
      </w:r>
      <w:r>
        <w:rPr>
          <w:sz w:val="24"/>
        </w:rPr>
        <w:t>), or the combination of the individual’s hourly wage and hourly health and/or wellness benefit(s) are equal to or more than the</w:t>
      </w:r>
      <w:r>
        <w:rPr>
          <w:spacing w:val="40"/>
          <w:sz w:val="24"/>
        </w:rPr>
        <w:t> </w:t>
      </w:r>
      <w:r>
        <w:rPr>
          <w:sz w:val="24"/>
        </w:rPr>
        <w:t>median hourly wage for the </w:t>
      </w:r>
      <w:r>
        <w:rPr>
          <w:b/>
          <w:sz w:val="24"/>
        </w:rPr>
        <w:t>region or city </w:t>
      </w:r>
      <w:r>
        <w:rPr>
          <w:sz w:val="24"/>
        </w:rPr>
        <w:t>based on job type and location as identified in the applicable U.S. Department of Labor/Employment and Training Administration (USDOL/ETA) website at: </w:t>
      </w:r>
      <w:hyperlink r:id="rId56">
        <w:r>
          <w:rPr>
            <w:color w:val="0562C1"/>
            <w:sz w:val="24"/>
            <w:u w:val="single" w:color="0562C1"/>
          </w:rPr>
          <w:t>https://www.onetonline.org/</w:t>
        </w:r>
      </w:hyperlink>
      <w:r>
        <w:rPr>
          <w:sz w:val="24"/>
          <w:u w:val="none"/>
        </w:rPr>
        <w:t>.</w:t>
      </w:r>
    </w:p>
    <w:p>
      <w:pPr>
        <w:pStyle w:val="BodyText"/>
        <w:spacing w:line="208" w:lineRule="auto" w:before="239"/>
        <w:ind w:right="775"/>
      </w:pPr>
      <w:r>
        <w:rPr/>
        <w:t>Only when the individual is hired by the Contractor, before or on the first (1</w:t>
      </w:r>
      <w:r>
        <w:rPr>
          <w:vertAlign w:val="superscript"/>
        </w:rPr>
        <w:t>st</w:t>
      </w:r>
      <w:r>
        <w:rPr>
          <w:vertAlign w:val="baseline"/>
        </w:rPr>
        <w:t>) day of work,</w:t>
      </w:r>
      <w:r>
        <w:rPr>
          <w:spacing w:val="-4"/>
          <w:vertAlign w:val="baseline"/>
        </w:rPr>
        <w:t> </w:t>
      </w:r>
      <w:r>
        <w:rPr>
          <w:vertAlign w:val="baseline"/>
        </w:rPr>
        <w:t>the</w:t>
      </w:r>
      <w:r>
        <w:rPr>
          <w:spacing w:val="-5"/>
          <w:vertAlign w:val="baseline"/>
        </w:rPr>
        <w:t> </w:t>
      </w:r>
      <w:r>
        <w:rPr>
          <w:b/>
          <w:vertAlign w:val="baseline"/>
        </w:rPr>
        <w:t>ESS-C-213n</w:t>
      </w:r>
      <w:r>
        <w:rPr>
          <w:b/>
          <w:spacing w:val="-4"/>
          <w:vertAlign w:val="baseline"/>
        </w:rPr>
        <w:t> </w:t>
      </w:r>
      <w:r>
        <w:rPr>
          <w:vertAlign w:val="baseline"/>
        </w:rPr>
        <w:t>O*NET</w:t>
      </w:r>
      <w:r>
        <w:rPr>
          <w:spacing w:val="-5"/>
          <w:vertAlign w:val="baseline"/>
        </w:rPr>
        <w:t> </w:t>
      </w:r>
      <w:r>
        <w:rPr>
          <w:vertAlign w:val="baseline"/>
        </w:rPr>
        <w:t>median</w:t>
      </w:r>
      <w:r>
        <w:rPr>
          <w:spacing w:val="-5"/>
          <w:vertAlign w:val="baseline"/>
        </w:rPr>
        <w:t> </w:t>
      </w:r>
      <w:r>
        <w:rPr>
          <w:vertAlign w:val="baseline"/>
        </w:rPr>
        <w:t>hourly</w:t>
      </w:r>
      <w:r>
        <w:rPr>
          <w:spacing w:val="-4"/>
          <w:vertAlign w:val="baseline"/>
        </w:rPr>
        <w:t> </w:t>
      </w:r>
      <w:r>
        <w:rPr>
          <w:vertAlign w:val="baseline"/>
        </w:rPr>
        <w:t>wage</w:t>
      </w:r>
      <w:r>
        <w:rPr>
          <w:spacing w:val="-5"/>
          <w:vertAlign w:val="baseline"/>
        </w:rPr>
        <w:t> </w:t>
      </w:r>
      <w:r>
        <w:rPr>
          <w:vertAlign w:val="baseline"/>
        </w:rPr>
        <w:t>documentation</w:t>
      </w:r>
      <w:r>
        <w:rPr>
          <w:spacing w:val="-5"/>
          <w:vertAlign w:val="baseline"/>
        </w:rPr>
        <w:t> </w:t>
      </w:r>
      <w:r>
        <w:rPr>
          <w:vertAlign w:val="baseline"/>
        </w:rPr>
        <w:t>for</w:t>
      </w:r>
      <w:r>
        <w:rPr>
          <w:spacing w:val="-4"/>
          <w:vertAlign w:val="baseline"/>
        </w:rPr>
        <w:t> </w:t>
      </w:r>
      <w:r>
        <w:rPr>
          <w:vertAlign w:val="baseline"/>
        </w:rPr>
        <w:t>the</w:t>
      </w:r>
      <w:r>
        <w:rPr>
          <w:spacing w:val="-5"/>
          <w:vertAlign w:val="baseline"/>
        </w:rPr>
        <w:t> </w:t>
      </w:r>
      <w:r>
        <w:rPr>
          <w:vertAlign w:val="baseline"/>
        </w:rPr>
        <w:t>respective </w:t>
      </w:r>
      <w:r>
        <w:rPr>
          <w:b/>
          <w:vertAlign w:val="baseline"/>
        </w:rPr>
        <w:t>region or city </w:t>
      </w:r>
      <w:r>
        <w:rPr>
          <w:vertAlign w:val="baseline"/>
        </w:rPr>
        <w:t>must be emailed to the DRS Counselor and ESS TA.</w:t>
      </w:r>
    </w:p>
    <w:p>
      <w:pPr>
        <w:pStyle w:val="BodyText"/>
        <w:spacing w:line="208" w:lineRule="auto"/>
        <w:ind w:right="775"/>
      </w:pPr>
      <w:r>
        <w:rPr/>
        <w:t>Please refer to the Employment Support Services webpage from the OKDRS website located</w:t>
      </w:r>
      <w:r>
        <w:rPr>
          <w:spacing w:val="-4"/>
        </w:rPr>
        <w:t> </w:t>
      </w:r>
      <w:r>
        <w:rPr/>
        <w:t>at</w:t>
      </w:r>
      <w:r>
        <w:rPr>
          <w:spacing w:val="-4"/>
        </w:rPr>
        <w:t> </w:t>
      </w:r>
      <w:hyperlink r:id="rId50">
        <w:r>
          <w:rPr>
            <w:color w:val="0562C1"/>
            <w:u w:val="single" w:color="0562C1"/>
          </w:rPr>
          <w:t>https://www.okdrs.gov/ESS/SEC</w:t>
        </w:r>
      </w:hyperlink>
      <w:r>
        <w:rPr>
          <w:color w:val="0562C1"/>
          <w:spacing w:val="-3"/>
          <w:u w:val="none"/>
        </w:rPr>
        <w:t> </w:t>
      </w:r>
      <w:r>
        <w:rPr>
          <w:u w:val="none"/>
        </w:rPr>
        <w:t>to</w:t>
      </w:r>
      <w:r>
        <w:rPr>
          <w:spacing w:val="-4"/>
          <w:u w:val="none"/>
        </w:rPr>
        <w:t> </w:t>
      </w:r>
      <w:r>
        <w:rPr>
          <w:u w:val="none"/>
        </w:rPr>
        <w:t>access</w:t>
      </w:r>
      <w:r>
        <w:rPr>
          <w:spacing w:val="-5"/>
          <w:u w:val="none"/>
        </w:rPr>
        <w:t> </w:t>
      </w:r>
      <w:r>
        <w:rPr>
          <w:u w:val="none"/>
        </w:rPr>
        <w:t>the</w:t>
      </w:r>
      <w:r>
        <w:rPr>
          <w:spacing w:val="-4"/>
          <w:u w:val="none"/>
        </w:rPr>
        <w:t> </w:t>
      </w:r>
      <w:r>
        <w:rPr>
          <w:u w:val="none"/>
        </w:rPr>
        <w:t>SE</w:t>
      </w:r>
      <w:r>
        <w:rPr>
          <w:spacing w:val="-4"/>
          <w:u w:val="none"/>
        </w:rPr>
        <w:t> </w:t>
      </w:r>
      <w:r>
        <w:rPr>
          <w:u w:val="none"/>
        </w:rPr>
        <w:t>contract</w:t>
      </w:r>
      <w:r>
        <w:rPr>
          <w:spacing w:val="-3"/>
          <w:u w:val="none"/>
        </w:rPr>
        <w:t> </w:t>
      </w:r>
      <w:r>
        <w:rPr>
          <w:u w:val="none"/>
        </w:rPr>
        <w:t>and</w:t>
      </w:r>
      <w:r>
        <w:rPr>
          <w:spacing w:val="-4"/>
          <w:u w:val="none"/>
        </w:rPr>
        <w:t> </w:t>
      </w:r>
      <w:r>
        <w:rPr>
          <w:u w:val="none"/>
        </w:rPr>
        <w:t>for</w:t>
      </w:r>
      <w:r>
        <w:rPr>
          <w:spacing w:val="-5"/>
          <w:u w:val="none"/>
        </w:rPr>
        <w:t> </w:t>
      </w:r>
      <w:r>
        <w:rPr>
          <w:u w:val="none"/>
        </w:rPr>
        <w:t>Milestone categories, rates, required documentation for payment and other contract information.</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10-1-97</w:t>
      </w:r>
      <w:r>
        <w:rPr>
          <w:sz w:val="22"/>
        </w:rPr>
        <w:tab/>
        <w:t>PT Memo #98-4</w:t>
      </w:r>
    </w:p>
    <w:p>
      <w:pPr>
        <w:spacing w:before="1"/>
        <w:ind w:left="1439" w:right="775" w:firstLine="0"/>
        <w:jc w:val="left"/>
        <w:rPr>
          <w:sz w:val="22"/>
        </w:rPr>
      </w:pPr>
      <w:r>
        <w:rPr>
          <w:sz w:val="22"/>
        </w:rPr>
        <w:t>Emergency,</w:t>
      </w:r>
      <w:r>
        <w:rPr>
          <w:spacing w:val="-4"/>
          <w:sz w:val="22"/>
        </w:rPr>
        <w:t> </w:t>
      </w:r>
      <w:r>
        <w:rPr>
          <w:sz w:val="22"/>
        </w:rPr>
        <w:t>changed</w:t>
      </w:r>
      <w:r>
        <w:rPr>
          <w:spacing w:val="-4"/>
          <w:sz w:val="22"/>
        </w:rPr>
        <w:t> </w:t>
      </w:r>
      <w:r>
        <w:rPr>
          <w:sz w:val="22"/>
        </w:rPr>
        <w:t>definition</w:t>
      </w:r>
      <w:r>
        <w:rPr>
          <w:spacing w:val="-4"/>
          <w:sz w:val="22"/>
        </w:rPr>
        <w:t> </w:t>
      </w:r>
      <w:r>
        <w:rPr>
          <w:sz w:val="22"/>
        </w:rPr>
        <w:t>of</w:t>
      </w:r>
      <w:r>
        <w:rPr>
          <w:spacing w:val="-5"/>
          <w:sz w:val="22"/>
        </w:rPr>
        <w:t> </w:t>
      </w:r>
      <w:r>
        <w:rPr>
          <w:sz w:val="22"/>
        </w:rPr>
        <w:t>competitive</w:t>
      </w:r>
      <w:r>
        <w:rPr>
          <w:spacing w:val="-4"/>
          <w:sz w:val="22"/>
        </w:rPr>
        <w:t> </w:t>
      </w:r>
      <w:r>
        <w:rPr>
          <w:sz w:val="22"/>
        </w:rPr>
        <w:t>work</w:t>
      </w:r>
      <w:r>
        <w:rPr>
          <w:spacing w:val="-4"/>
          <w:sz w:val="22"/>
        </w:rPr>
        <w:t> </w:t>
      </w:r>
      <w:r>
        <w:rPr>
          <w:sz w:val="22"/>
        </w:rPr>
        <w:t>to</w:t>
      </w:r>
      <w:r>
        <w:rPr>
          <w:spacing w:val="-4"/>
          <w:sz w:val="22"/>
        </w:rPr>
        <w:t> </w:t>
      </w:r>
      <w:r>
        <w:rPr>
          <w:sz w:val="22"/>
        </w:rPr>
        <w:t>conform</w:t>
      </w:r>
      <w:r>
        <w:rPr>
          <w:spacing w:val="-5"/>
          <w:sz w:val="22"/>
        </w:rPr>
        <w:t> </w:t>
      </w:r>
      <w:r>
        <w:rPr>
          <w:sz w:val="22"/>
        </w:rPr>
        <w:t>to</w:t>
      </w:r>
      <w:r>
        <w:rPr>
          <w:spacing w:val="-4"/>
          <w:sz w:val="22"/>
        </w:rPr>
        <w:t> </w:t>
      </w:r>
      <w:r>
        <w:rPr>
          <w:sz w:val="22"/>
        </w:rPr>
        <w:t>new</w:t>
      </w:r>
      <w:r>
        <w:rPr>
          <w:spacing w:val="-5"/>
          <w:sz w:val="22"/>
        </w:rPr>
        <w:t> </w:t>
      </w:r>
      <w:r>
        <w:rPr>
          <w:sz w:val="22"/>
        </w:rPr>
        <w:t>RSA </w:t>
      </w:r>
      <w:r>
        <w:rPr>
          <w:spacing w:val="-2"/>
          <w:sz w:val="22"/>
        </w:rPr>
        <w:t>regulations</w:t>
      </w:r>
    </w:p>
    <w:p>
      <w:pPr>
        <w:pStyle w:val="ListParagraph"/>
        <w:numPr>
          <w:ilvl w:val="2"/>
          <w:numId w:val="200"/>
        </w:numPr>
        <w:tabs>
          <w:tab w:pos="1439" w:val="left" w:leader="none"/>
        </w:tabs>
        <w:spacing w:line="252"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#98-</w:t>
      </w:r>
      <w:r>
        <w:rPr>
          <w:spacing w:val="-5"/>
          <w:sz w:val="22"/>
        </w:rPr>
        <w:t>15</w:t>
      </w:r>
    </w:p>
    <w:p>
      <w:pPr>
        <w:pStyle w:val="ListParagraph"/>
        <w:spacing w:after="0" w:line="252" w:lineRule="exact"/>
        <w:jc w:val="left"/>
        <w:rPr>
          <w:sz w:val="22"/>
        </w:rPr>
        <w:sectPr>
          <w:pgSz w:w="12240" w:h="15840"/>
          <w:pgMar w:top="1340" w:bottom="280" w:left="1080" w:right="720"/>
        </w:sectPr>
      </w:pPr>
    </w:p>
    <w:p>
      <w:pPr>
        <w:spacing w:before="80"/>
        <w:ind w:left="1440" w:right="1539" w:firstLine="0"/>
        <w:jc w:val="both"/>
        <w:rPr>
          <w:sz w:val="22"/>
        </w:rPr>
      </w:pPr>
      <w:r>
        <w:rPr>
          <w:sz w:val="22"/>
        </w:rPr>
        <w:t>Makes</w:t>
      </w:r>
      <w:r>
        <w:rPr>
          <w:spacing w:val="-5"/>
          <w:sz w:val="22"/>
        </w:rPr>
        <w:t> </w:t>
      </w:r>
      <w:r>
        <w:rPr>
          <w:sz w:val="22"/>
        </w:rPr>
        <w:t>emergency</w:t>
      </w:r>
      <w:r>
        <w:rPr>
          <w:spacing w:val="-5"/>
          <w:sz w:val="22"/>
        </w:rPr>
        <w:t> </w:t>
      </w:r>
      <w:r>
        <w:rPr>
          <w:sz w:val="22"/>
        </w:rPr>
        <w:t>rules</w:t>
      </w:r>
      <w:r>
        <w:rPr>
          <w:spacing w:val="-6"/>
          <w:sz w:val="22"/>
        </w:rPr>
        <w:t> </w:t>
      </w:r>
      <w:r>
        <w:rPr>
          <w:sz w:val="22"/>
        </w:rPr>
        <w:t>issued</w:t>
      </w:r>
      <w:r>
        <w:rPr>
          <w:spacing w:val="-5"/>
          <w:sz w:val="22"/>
        </w:rPr>
        <w:t> </w:t>
      </w:r>
      <w:r>
        <w:rPr>
          <w:sz w:val="22"/>
        </w:rPr>
        <w:t>10-1-97</w:t>
      </w:r>
      <w:r>
        <w:rPr>
          <w:spacing w:val="-5"/>
          <w:sz w:val="22"/>
        </w:rPr>
        <w:t> </w:t>
      </w:r>
      <w:r>
        <w:rPr>
          <w:sz w:val="22"/>
        </w:rPr>
        <w:t>permanent,</w:t>
      </w:r>
      <w:r>
        <w:rPr>
          <w:spacing w:val="-5"/>
          <w:sz w:val="22"/>
        </w:rPr>
        <w:t> </w:t>
      </w:r>
      <w:r>
        <w:rPr>
          <w:sz w:val="22"/>
        </w:rPr>
        <w:t>placement</w:t>
      </w:r>
      <w:r>
        <w:rPr>
          <w:spacing w:val="-5"/>
          <w:sz w:val="22"/>
        </w:rPr>
        <w:t> </w:t>
      </w:r>
      <w:r>
        <w:rPr>
          <w:sz w:val="22"/>
        </w:rPr>
        <w:t>for</w:t>
      </w:r>
      <w:r>
        <w:rPr>
          <w:spacing w:val="-5"/>
          <w:sz w:val="22"/>
        </w:rPr>
        <w:t> </w:t>
      </w:r>
      <w:r>
        <w:rPr>
          <w:sz w:val="22"/>
        </w:rPr>
        <w:t>supported employment must meet minimum wage requirement</w:t>
      </w:r>
    </w:p>
    <w:p>
      <w:pPr>
        <w:spacing w:line="252" w:lineRule="exact" w:before="0"/>
        <w:ind w:left="360" w:right="0" w:firstLine="0"/>
        <w:jc w:val="both"/>
        <w:rPr>
          <w:sz w:val="22"/>
        </w:rPr>
      </w:pPr>
      <w:r>
        <w:rPr>
          <w:sz w:val="22"/>
        </w:rPr>
        <w:t>6-14-99</w:t>
      </w:r>
      <w:r>
        <w:rPr>
          <w:spacing w:val="59"/>
          <w:w w:val="150"/>
          <w:sz w:val="22"/>
        </w:rPr>
        <w:t>  </w:t>
      </w:r>
      <w:r>
        <w:rPr>
          <w:sz w:val="22"/>
        </w:rPr>
        <w:t>POL</w:t>
      </w:r>
      <w:r>
        <w:rPr>
          <w:spacing w:val="-3"/>
          <w:sz w:val="22"/>
        </w:rPr>
        <w:t> </w:t>
      </w:r>
      <w:r>
        <w:rPr>
          <w:sz w:val="22"/>
        </w:rPr>
        <w:t>Memo</w:t>
      </w:r>
      <w:r>
        <w:rPr>
          <w:spacing w:val="-2"/>
          <w:sz w:val="22"/>
        </w:rPr>
        <w:t> </w:t>
      </w:r>
      <w:r>
        <w:rPr>
          <w:sz w:val="22"/>
        </w:rPr>
        <w:t>#99-</w:t>
      </w:r>
      <w:r>
        <w:rPr>
          <w:spacing w:val="-10"/>
          <w:sz w:val="22"/>
        </w:rPr>
        <w:t>7</w:t>
      </w:r>
    </w:p>
    <w:p>
      <w:pPr>
        <w:spacing w:before="0"/>
        <w:ind w:left="1440" w:right="1001" w:firstLine="0"/>
        <w:jc w:val="both"/>
        <w:rPr>
          <w:sz w:val="22"/>
        </w:rPr>
      </w:pPr>
      <w:r>
        <w:rPr>
          <w:sz w:val="22"/>
        </w:rPr>
        <w:t>Emergency,</w:t>
      </w:r>
      <w:r>
        <w:rPr>
          <w:spacing w:val="-6"/>
          <w:sz w:val="22"/>
        </w:rPr>
        <w:t> </w:t>
      </w:r>
      <w:r>
        <w:rPr>
          <w:sz w:val="22"/>
        </w:rPr>
        <w:t>redefined</w:t>
      </w:r>
      <w:r>
        <w:rPr>
          <w:spacing w:val="-6"/>
          <w:sz w:val="22"/>
        </w:rPr>
        <w:t> </w:t>
      </w:r>
      <w:r>
        <w:rPr>
          <w:sz w:val="22"/>
        </w:rPr>
        <w:t>acceptable</w:t>
      </w:r>
      <w:r>
        <w:rPr>
          <w:spacing w:val="-7"/>
          <w:sz w:val="22"/>
        </w:rPr>
        <w:t> </w:t>
      </w:r>
      <w:r>
        <w:rPr>
          <w:sz w:val="22"/>
        </w:rPr>
        <w:t>supported</w:t>
      </w:r>
      <w:r>
        <w:rPr>
          <w:spacing w:val="-6"/>
          <w:sz w:val="22"/>
        </w:rPr>
        <w:t> </w:t>
      </w:r>
      <w:r>
        <w:rPr>
          <w:sz w:val="22"/>
        </w:rPr>
        <w:t>employment</w:t>
      </w:r>
      <w:r>
        <w:rPr>
          <w:spacing w:val="-5"/>
          <w:sz w:val="22"/>
        </w:rPr>
        <w:t> </w:t>
      </w:r>
      <w:r>
        <w:rPr>
          <w:sz w:val="22"/>
        </w:rPr>
        <w:t>outcomes</w:t>
      </w:r>
      <w:r>
        <w:rPr>
          <w:spacing w:val="-6"/>
          <w:sz w:val="22"/>
        </w:rPr>
        <w:t> </w:t>
      </w:r>
      <w:r>
        <w:rPr>
          <w:sz w:val="22"/>
        </w:rPr>
        <w:t>in</w:t>
      </w:r>
      <w:r>
        <w:rPr>
          <w:spacing w:val="-7"/>
          <w:sz w:val="22"/>
        </w:rPr>
        <w:t> </w:t>
      </w:r>
      <w:r>
        <w:rPr>
          <w:sz w:val="22"/>
        </w:rPr>
        <w:t>compliance with 1998 amendments to the Rehabilitation Act</w:t>
      </w:r>
    </w:p>
    <w:p>
      <w:pPr>
        <w:pStyle w:val="ListParagraph"/>
        <w:numPr>
          <w:ilvl w:val="2"/>
          <w:numId w:val="200"/>
        </w:numPr>
        <w:tabs>
          <w:tab w:pos="1438" w:val="left" w:leader="none"/>
        </w:tabs>
        <w:spacing w:line="240" w:lineRule="auto" w:before="0" w:after="0"/>
        <w:ind w:left="1438" w:right="0" w:hanging="1078"/>
        <w:jc w:val="both"/>
        <w:rPr>
          <w:sz w:val="22"/>
        </w:rPr>
      </w:pPr>
      <w:r>
        <w:rPr>
          <w:sz w:val="22"/>
        </w:rPr>
        <w:t>POL</w:t>
      </w:r>
      <w:r>
        <w:rPr>
          <w:spacing w:val="-9"/>
          <w:sz w:val="22"/>
        </w:rPr>
        <w:t> </w:t>
      </w:r>
      <w:r>
        <w:rPr>
          <w:sz w:val="22"/>
        </w:rPr>
        <w:t>Memo</w:t>
      </w:r>
      <w:r>
        <w:rPr>
          <w:spacing w:val="-8"/>
          <w:sz w:val="22"/>
        </w:rPr>
        <w:t> </w:t>
      </w:r>
      <w:r>
        <w:rPr>
          <w:sz w:val="22"/>
        </w:rPr>
        <w:t>#00-</w:t>
      </w:r>
      <w:r>
        <w:rPr>
          <w:spacing w:val="-10"/>
          <w:sz w:val="22"/>
        </w:rPr>
        <w:t>1</w:t>
      </w:r>
    </w:p>
    <w:p>
      <w:pPr>
        <w:spacing w:before="1"/>
        <w:ind w:left="360" w:right="3459" w:firstLine="1080"/>
        <w:jc w:val="both"/>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7-1-03</w:t>
      </w:r>
      <w:r>
        <w:rPr>
          <w:spacing w:val="80"/>
          <w:w w:val="150"/>
          <w:sz w:val="22"/>
        </w:rPr>
        <w:t>  </w:t>
      </w:r>
      <w:r>
        <w:rPr>
          <w:sz w:val="22"/>
        </w:rPr>
        <w:t>PT Memo #03-07</w:t>
      </w:r>
    </w:p>
    <w:p>
      <w:pPr>
        <w:spacing w:line="252" w:lineRule="exact" w:before="0"/>
        <w:ind w:left="1440" w:right="0" w:firstLine="0"/>
        <w:jc w:val="both"/>
        <w:rPr>
          <w:sz w:val="22"/>
        </w:rPr>
      </w:pPr>
      <w:r>
        <w:rPr>
          <w:sz w:val="22"/>
        </w:rPr>
        <w:t>Permanent,</w:t>
      </w:r>
      <w:r>
        <w:rPr>
          <w:spacing w:val="-10"/>
          <w:sz w:val="22"/>
        </w:rPr>
        <w:t> </w:t>
      </w:r>
      <w:r>
        <w:rPr>
          <w:sz w:val="22"/>
        </w:rPr>
        <w:t>updated</w:t>
      </w:r>
      <w:r>
        <w:rPr>
          <w:spacing w:val="-11"/>
          <w:sz w:val="22"/>
        </w:rPr>
        <w:t> </w:t>
      </w:r>
      <w:r>
        <w:rPr>
          <w:spacing w:val="-2"/>
          <w:sz w:val="22"/>
        </w:rPr>
        <w:t>language.</w:t>
      </w:r>
    </w:p>
    <w:p>
      <w:pPr>
        <w:pStyle w:val="ListParagraph"/>
        <w:numPr>
          <w:ilvl w:val="2"/>
          <w:numId w:val="148"/>
        </w:numPr>
        <w:tabs>
          <w:tab w:pos="1438" w:val="left" w:leader="none"/>
        </w:tabs>
        <w:spacing w:line="240" w:lineRule="auto" w:before="0" w:after="0"/>
        <w:ind w:left="1438" w:right="0" w:hanging="1078"/>
        <w:jc w:val="both"/>
        <w:rPr>
          <w:sz w:val="22"/>
        </w:rPr>
      </w:pPr>
      <w:r>
        <w:rPr>
          <w:sz w:val="22"/>
        </w:rPr>
        <w:t>PT</w:t>
      </w:r>
      <w:r>
        <w:rPr>
          <w:spacing w:val="-8"/>
          <w:sz w:val="22"/>
        </w:rPr>
        <w:t> </w:t>
      </w:r>
      <w:r>
        <w:rPr>
          <w:sz w:val="22"/>
        </w:rPr>
        <w:t>Memo</w:t>
      </w:r>
      <w:r>
        <w:rPr>
          <w:spacing w:val="-8"/>
          <w:sz w:val="22"/>
        </w:rPr>
        <w:t> </w:t>
      </w:r>
      <w:r>
        <w:rPr>
          <w:sz w:val="22"/>
        </w:rPr>
        <w:t>#08-</w:t>
      </w:r>
      <w:r>
        <w:rPr>
          <w:spacing w:val="-5"/>
          <w:sz w:val="22"/>
        </w:rPr>
        <w:t>01</w:t>
      </w:r>
    </w:p>
    <w:p>
      <w:pPr>
        <w:spacing w:before="0"/>
        <w:ind w:left="1440" w:right="0" w:firstLine="0"/>
        <w:jc w:val="both"/>
        <w:rPr>
          <w:sz w:val="22"/>
        </w:rPr>
      </w:pPr>
      <w:r>
        <w:rPr>
          <w:sz w:val="22"/>
        </w:rPr>
        <w:t>Permanent,</w:t>
      </w:r>
      <w:r>
        <w:rPr>
          <w:spacing w:val="-10"/>
          <w:sz w:val="22"/>
        </w:rPr>
        <w:t> </w:t>
      </w:r>
      <w:r>
        <w:rPr>
          <w:sz w:val="22"/>
        </w:rPr>
        <w:t>eliminated</w:t>
      </w:r>
      <w:r>
        <w:rPr>
          <w:spacing w:val="-11"/>
          <w:sz w:val="22"/>
        </w:rPr>
        <w:t> </w:t>
      </w:r>
      <w:r>
        <w:rPr>
          <w:sz w:val="22"/>
        </w:rPr>
        <w:t>closure</w:t>
      </w:r>
      <w:r>
        <w:rPr>
          <w:spacing w:val="-11"/>
          <w:sz w:val="22"/>
        </w:rPr>
        <w:t> </w:t>
      </w:r>
      <w:r>
        <w:rPr>
          <w:spacing w:val="-2"/>
          <w:sz w:val="22"/>
        </w:rPr>
        <w:t>amendment.</w:t>
      </w:r>
    </w:p>
    <w:p>
      <w:pPr>
        <w:pStyle w:val="ListParagraph"/>
        <w:numPr>
          <w:ilvl w:val="2"/>
          <w:numId w:val="213"/>
        </w:numPr>
        <w:tabs>
          <w:tab w:pos="1438" w:val="left" w:leader="none"/>
        </w:tabs>
        <w:spacing w:line="240" w:lineRule="auto" w:before="0" w:after="0"/>
        <w:ind w:left="1438" w:right="0" w:hanging="1078"/>
        <w:jc w:val="both"/>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line="253" w:lineRule="exact" w:before="1"/>
        <w:ind w:left="1440" w:right="0" w:firstLine="0"/>
        <w:jc w:val="both"/>
        <w:rPr>
          <w:sz w:val="22"/>
        </w:rPr>
      </w:pPr>
      <w:r>
        <w:rPr>
          <w:sz w:val="22"/>
        </w:rPr>
        <w:t>Permanent,</w:t>
      </w:r>
      <w:r>
        <w:rPr>
          <w:spacing w:val="-11"/>
          <w:sz w:val="22"/>
        </w:rPr>
        <w:t> </w:t>
      </w:r>
      <w:r>
        <w:rPr>
          <w:sz w:val="22"/>
        </w:rPr>
        <w:t>clarifying</w:t>
      </w:r>
      <w:r>
        <w:rPr>
          <w:spacing w:val="-12"/>
          <w:sz w:val="22"/>
        </w:rPr>
        <w:t> </w:t>
      </w:r>
      <w:r>
        <w:rPr>
          <w:spacing w:val="-2"/>
          <w:sz w:val="22"/>
        </w:rPr>
        <w:t>language</w:t>
      </w:r>
    </w:p>
    <w:p>
      <w:pPr>
        <w:spacing w:before="0"/>
        <w:ind w:left="1439" w:right="756" w:hanging="1080"/>
        <w:jc w:val="both"/>
        <w:rPr>
          <w:sz w:val="22"/>
        </w:rPr>
      </w:pPr>
      <w:r>
        <w:rPr>
          <w:sz w:val="22"/>
        </w:rPr>
        <w:t>8-11-24</w:t>
      </w:r>
      <w:r>
        <w:rPr>
          <w:spacing w:val="80"/>
          <w:w w:val="150"/>
          <w:sz w:val="22"/>
        </w:rPr>
        <w:t> </w:t>
      </w:r>
      <w:r>
        <w:rPr>
          <w:sz w:val="22"/>
        </w:rPr>
        <w:t>Revised</w:t>
      </w:r>
      <w:r>
        <w:rPr>
          <w:spacing w:val="-3"/>
          <w:sz w:val="22"/>
        </w:rPr>
        <w:t> </w:t>
      </w:r>
      <w:r>
        <w:rPr>
          <w:sz w:val="22"/>
        </w:rPr>
        <w:t>rule</w:t>
      </w:r>
      <w:r>
        <w:rPr>
          <w:spacing w:val="-4"/>
          <w:sz w:val="22"/>
        </w:rPr>
        <w:t> </w:t>
      </w:r>
      <w:r>
        <w:rPr>
          <w:sz w:val="22"/>
        </w:rPr>
        <w:t>title</w:t>
      </w:r>
      <w:r>
        <w:rPr>
          <w:spacing w:val="-3"/>
          <w:sz w:val="22"/>
        </w:rPr>
        <w:t> </w:t>
      </w:r>
      <w:r>
        <w:rPr>
          <w:sz w:val="22"/>
        </w:rPr>
        <w:t>adding</w:t>
      </w:r>
      <w:r>
        <w:rPr>
          <w:spacing w:val="-4"/>
          <w:sz w:val="22"/>
        </w:rPr>
        <w:t> </w:t>
      </w:r>
      <w:r>
        <w:rPr>
          <w:sz w:val="22"/>
        </w:rPr>
        <w:t>“integrated”,</w:t>
      </w:r>
      <w:r>
        <w:rPr>
          <w:spacing w:val="-4"/>
          <w:sz w:val="22"/>
        </w:rPr>
        <w:t> </w:t>
      </w:r>
      <w:r>
        <w:rPr>
          <w:sz w:val="22"/>
        </w:rPr>
        <w:t>eliminating</w:t>
      </w:r>
      <w:r>
        <w:rPr>
          <w:spacing w:val="-4"/>
          <w:sz w:val="22"/>
        </w:rPr>
        <w:t> </w:t>
      </w:r>
      <w:r>
        <w:rPr>
          <w:sz w:val="22"/>
        </w:rPr>
        <w:t>“vendor”</w:t>
      </w:r>
      <w:r>
        <w:rPr>
          <w:spacing w:val="-3"/>
          <w:sz w:val="22"/>
        </w:rPr>
        <w:t> </w:t>
      </w:r>
      <w:r>
        <w:rPr>
          <w:sz w:val="22"/>
        </w:rPr>
        <w:t>replacing</w:t>
      </w:r>
      <w:r>
        <w:rPr>
          <w:spacing w:val="-3"/>
          <w:sz w:val="22"/>
        </w:rPr>
        <w:t> </w:t>
      </w:r>
      <w:r>
        <w:rPr>
          <w:sz w:val="22"/>
        </w:rPr>
        <w:t>with</w:t>
      </w:r>
      <w:r>
        <w:rPr>
          <w:spacing w:val="-3"/>
          <w:sz w:val="22"/>
        </w:rPr>
        <w:t> </w:t>
      </w:r>
      <w:r>
        <w:rPr>
          <w:sz w:val="22"/>
        </w:rPr>
        <w:t>“contractor”. Language</w:t>
      </w:r>
      <w:r>
        <w:rPr>
          <w:spacing w:val="-1"/>
          <w:sz w:val="22"/>
        </w:rPr>
        <w:t> </w:t>
      </w:r>
      <w:r>
        <w:rPr>
          <w:sz w:val="22"/>
        </w:rPr>
        <w:t>clarifies</w:t>
      </w:r>
      <w:r>
        <w:rPr>
          <w:spacing w:val="-1"/>
          <w:sz w:val="22"/>
        </w:rPr>
        <w:t> </w:t>
      </w:r>
      <w:r>
        <w:rPr>
          <w:sz w:val="22"/>
        </w:rPr>
        <w:t>that</w:t>
      </w:r>
      <w:r>
        <w:rPr>
          <w:spacing w:val="-2"/>
          <w:sz w:val="22"/>
        </w:rPr>
        <w:t> </w:t>
      </w:r>
      <w:r>
        <w:rPr>
          <w:sz w:val="22"/>
        </w:rPr>
        <w:t>wages</w:t>
      </w:r>
      <w:r>
        <w:rPr>
          <w:spacing w:val="-1"/>
          <w:sz w:val="22"/>
        </w:rPr>
        <w:t> </w:t>
      </w:r>
      <w:r>
        <w:rPr>
          <w:sz w:val="22"/>
        </w:rPr>
        <w:t>are</w:t>
      </w:r>
      <w:r>
        <w:rPr>
          <w:spacing w:val="-1"/>
          <w:sz w:val="22"/>
        </w:rPr>
        <w:t> </w:t>
      </w:r>
      <w:r>
        <w:rPr>
          <w:sz w:val="22"/>
        </w:rPr>
        <w:t>not</w:t>
      </w:r>
      <w:r>
        <w:rPr>
          <w:spacing w:val="-1"/>
          <w:sz w:val="22"/>
        </w:rPr>
        <w:t> </w:t>
      </w:r>
      <w:r>
        <w:rPr>
          <w:sz w:val="22"/>
        </w:rPr>
        <w:t>paid</w:t>
      </w:r>
      <w:r>
        <w:rPr>
          <w:spacing w:val="-1"/>
          <w:sz w:val="22"/>
        </w:rPr>
        <w:t> </w:t>
      </w:r>
      <w:r>
        <w:rPr>
          <w:sz w:val="22"/>
        </w:rPr>
        <w:t>by</w:t>
      </w:r>
      <w:r>
        <w:rPr>
          <w:spacing w:val="-1"/>
          <w:sz w:val="22"/>
        </w:rPr>
        <w:t> </w:t>
      </w:r>
      <w:r>
        <w:rPr>
          <w:sz w:val="22"/>
        </w:rPr>
        <w:t>the</w:t>
      </w:r>
      <w:r>
        <w:rPr>
          <w:spacing w:val="-1"/>
          <w:sz w:val="22"/>
        </w:rPr>
        <w:t> </w:t>
      </w:r>
      <w:r>
        <w:rPr>
          <w:sz w:val="22"/>
        </w:rPr>
        <w:t>contractor,</w:t>
      </w:r>
      <w:r>
        <w:rPr>
          <w:spacing w:val="-2"/>
          <w:sz w:val="22"/>
        </w:rPr>
        <w:t> </w:t>
      </w:r>
      <w:r>
        <w:rPr>
          <w:sz w:val="22"/>
        </w:rPr>
        <w:t>unless</w:t>
      </w:r>
      <w:r>
        <w:rPr>
          <w:spacing w:val="-1"/>
          <w:sz w:val="22"/>
        </w:rPr>
        <w:t> </w:t>
      </w:r>
      <w:r>
        <w:rPr>
          <w:sz w:val="22"/>
        </w:rPr>
        <w:t>the</w:t>
      </w:r>
      <w:r>
        <w:rPr>
          <w:spacing w:val="-2"/>
          <w:sz w:val="22"/>
        </w:rPr>
        <w:t> </w:t>
      </w:r>
      <w:r>
        <w:rPr>
          <w:sz w:val="22"/>
        </w:rPr>
        <w:t>contractor</w:t>
      </w:r>
      <w:r>
        <w:rPr>
          <w:spacing w:val="-1"/>
          <w:sz w:val="22"/>
        </w:rPr>
        <w:t> </w:t>
      </w:r>
      <w:r>
        <w:rPr>
          <w:sz w:val="22"/>
        </w:rPr>
        <w:t>is the employer of record, and the wage meets the ONET median hourly wage.</w:t>
      </w:r>
    </w:p>
    <w:p>
      <w:pPr>
        <w:spacing w:after="0"/>
        <w:jc w:val="both"/>
        <w:rPr>
          <w:sz w:val="22"/>
        </w:rPr>
        <w:sectPr>
          <w:pgSz w:w="12240" w:h="15840"/>
          <w:pgMar w:top="1360" w:bottom="280" w:left="1080" w:right="720"/>
        </w:sectPr>
      </w:pPr>
    </w:p>
    <w:p>
      <w:pPr>
        <w:pStyle w:val="Heading2"/>
      </w:pPr>
      <w:bookmarkStart w:name="612:10-7-183.  Ongoing support services" w:id="196"/>
      <w:bookmarkEnd w:id="196"/>
      <w:r>
        <w:rPr>
          <w:b w:val="0"/>
        </w:rPr>
      </w:r>
      <w:bookmarkStart w:name="_bookmark26" w:id="197"/>
      <w:bookmarkEnd w:id="197"/>
      <w:r>
        <w:rPr>
          <w:b w:val="0"/>
        </w:rPr>
      </w:r>
      <w:r>
        <w:rPr/>
        <w:t>612:10-7-183.</w:t>
      </w:r>
      <w:r>
        <w:rPr>
          <w:spacing w:val="58"/>
        </w:rPr>
        <w:t> </w:t>
      </w:r>
      <w:r>
        <w:rPr/>
        <w:t>Ongoing</w:t>
      </w:r>
      <w:r>
        <w:rPr>
          <w:spacing w:val="-5"/>
        </w:rPr>
        <w:t> </w:t>
      </w:r>
      <w:r>
        <w:rPr/>
        <w:t>support</w:t>
      </w:r>
      <w:r>
        <w:rPr>
          <w:spacing w:val="-3"/>
        </w:rPr>
        <w:t> </w:t>
      </w:r>
      <w:r>
        <w:rPr>
          <w:spacing w:val="-2"/>
        </w:rPr>
        <w:t>services</w:t>
      </w:r>
    </w:p>
    <w:p>
      <w:pPr>
        <w:pStyle w:val="BodyText"/>
        <w:spacing w:line="206" w:lineRule="auto" w:before="235"/>
        <w:ind w:right="739" w:firstLine="432"/>
      </w:pPr>
      <w:r>
        <w:rPr/>
        <w:t>The individual will be provided needed and appropriate ongoing support services such as job site training, transportation, service to family members, or any service necessary</w:t>
      </w:r>
      <w:r>
        <w:rPr>
          <w:spacing w:val="-4"/>
        </w:rPr>
        <w:t> </w:t>
      </w:r>
      <w:r>
        <w:rPr/>
        <w:t>to</w:t>
      </w:r>
      <w:r>
        <w:rPr>
          <w:spacing w:val="-4"/>
        </w:rPr>
        <w:t> </w:t>
      </w:r>
      <w:r>
        <w:rPr/>
        <w:t>maintain</w:t>
      </w:r>
      <w:r>
        <w:rPr>
          <w:spacing w:val="-4"/>
        </w:rPr>
        <w:t> </w:t>
      </w:r>
      <w:r>
        <w:rPr/>
        <w:t>the</w:t>
      </w:r>
      <w:r>
        <w:rPr>
          <w:spacing w:val="-4"/>
        </w:rPr>
        <w:t> </w:t>
      </w:r>
      <w:r>
        <w:rPr/>
        <w:t>successful</w:t>
      </w:r>
      <w:r>
        <w:rPr>
          <w:spacing w:val="-4"/>
        </w:rPr>
        <w:t> </w:t>
      </w:r>
      <w:r>
        <w:rPr/>
        <w:t>employment</w:t>
      </w:r>
      <w:r>
        <w:rPr>
          <w:spacing w:val="-3"/>
        </w:rPr>
        <w:t> </w:t>
      </w:r>
      <w:r>
        <w:rPr/>
        <w:t>throughout</w:t>
      </w:r>
      <w:r>
        <w:rPr>
          <w:spacing w:val="-3"/>
        </w:rPr>
        <w:t> </w:t>
      </w:r>
      <w:r>
        <w:rPr/>
        <w:t>the</w:t>
      </w:r>
      <w:r>
        <w:rPr>
          <w:spacing w:val="-4"/>
        </w:rPr>
        <w:t> </w:t>
      </w:r>
      <w:r>
        <w:rPr/>
        <w:t>term</w:t>
      </w:r>
      <w:r>
        <w:rPr>
          <w:spacing w:val="-3"/>
        </w:rPr>
        <w:t> </w:t>
      </w:r>
      <w:r>
        <w:rPr/>
        <w:t>of</w:t>
      </w:r>
      <w:r>
        <w:rPr>
          <w:spacing w:val="-5"/>
        </w:rPr>
        <w:t> </w:t>
      </w:r>
      <w:r>
        <w:rPr/>
        <w:t>employment.</w:t>
      </w:r>
      <w:r>
        <w:rPr>
          <w:spacing w:val="-5"/>
        </w:rPr>
        <w:t> </w:t>
      </w:r>
      <w:r>
        <w:rPr>
          <w:rFonts w:ascii="Calibri"/>
          <w:b/>
          <w:sz w:val="22"/>
        </w:rPr>
        <w:t>1 </w:t>
      </w:r>
      <w:r>
        <w:rPr/>
        <w:t>DVR and DSBVI sponsored support services are provided from the first day of employment until the individual is stabilized on the job (completion of "Stabilization Milestone") by the contractor.</w:t>
      </w:r>
    </w:p>
    <w:p>
      <w:pPr>
        <w:pStyle w:val="BodyText"/>
        <w:spacing w:before="216"/>
      </w:pPr>
      <w:r>
        <w:rPr/>
        <w:t>Instructions</w:t>
      </w:r>
      <w:r>
        <w:rPr>
          <w:spacing w:val="-5"/>
        </w:rPr>
        <w:t> </w:t>
      </w:r>
      <w:r>
        <w:rPr/>
        <w:t>to</w:t>
      </w:r>
      <w:r>
        <w:rPr>
          <w:spacing w:val="-2"/>
        </w:rPr>
        <w:t> </w:t>
      </w:r>
      <w:r>
        <w:rPr>
          <w:spacing w:val="-4"/>
        </w:rPr>
        <w:t>Staff</w:t>
      </w:r>
    </w:p>
    <w:p>
      <w:pPr>
        <w:pStyle w:val="ListParagraph"/>
        <w:numPr>
          <w:ilvl w:val="0"/>
          <w:numId w:val="214"/>
        </w:numPr>
        <w:tabs>
          <w:tab w:pos="692" w:val="left" w:leader="none"/>
        </w:tabs>
        <w:spacing w:line="240" w:lineRule="auto" w:before="204" w:after="0"/>
        <w:ind w:left="692" w:right="0" w:hanging="332"/>
        <w:jc w:val="left"/>
        <w:rPr>
          <w:sz w:val="24"/>
        </w:rPr>
      </w:pPr>
      <w:r>
        <w:rPr>
          <w:sz w:val="24"/>
        </w:rPr>
        <w:t>Ongoing</w:t>
      </w:r>
      <w:r>
        <w:rPr>
          <w:spacing w:val="-4"/>
          <w:sz w:val="24"/>
        </w:rPr>
        <w:t> </w:t>
      </w:r>
      <w:r>
        <w:rPr>
          <w:sz w:val="24"/>
        </w:rPr>
        <w:t>support</w:t>
      </w:r>
      <w:r>
        <w:rPr>
          <w:spacing w:val="-3"/>
          <w:sz w:val="24"/>
        </w:rPr>
        <w:t> </w:t>
      </w:r>
      <w:r>
        <w:rPr>
          <w:sz w:val="24"/>
        </w:rPr>
        <w:t>services</w:t>
      </w:r>
      <w:r>
        <w:rPr>
          <w:spacing w:val="-3"/>
          <w:sz w:val="24"/>
        </w:rPr>
        <w:t> </w:t>
      </w:r>
      <w:r>
        <w:rPr>
          <w:sz w:val="24"/>
        </w:rPr>
        <w:t>may</w:t>
      </w:r>
      <w:r>
        <w:rPr>
          <w:spacing w:val="-3"/>
          <w:sz w:val="24"/>
        </w:rPr>
        <w:t> </w:t>
      </w:r>
      <w:r>
        <w:rPr>
          <w:spacing w:val="-2"/>
          <w:sz w:val="24"/>
        </w:rPr>
        <w:t>include:</w:t>
      </w:r>
    </w:p>
    <w:p>
      <w:pPr>
        <w:pStyle w:val="ListParagraph"/>
        <w:numPr>
          <w:ilvl w:val="1"/>
          <w:numId w:val="214"/>
        </w:numPr>
        <w:tabs>
          <w:tab w:pos="1443" w:val="left" w:leader="none"/>
        </w:tabs>
        <w:spacing w:line="208" w:lineRule="auto" w:before="234" w:after="0"/>
        <w:ind w:left="990" w:right="735" w:firstLine="0"/>
        <w:jc w:val="left"/>
        <w:rPr>
          <w:sz w:val="24"/>
        </w:rPr>
      </w:pPr>
      <w:r>
        <w:rPr>
          <w:sz w:val="24"/>
        </w:rPr>
        <w:t>Provision</w:t>
      </w:r>
      <w:r>
        <w:rPr>
          <w:spacing w:val="-4"/>
          <w:sz w:val="24"/>
        </w:rPr>
        <w:t> </w:t>
      </w:r>
      <w:r>
        <w:rPr>
          <w:sz w:val="24"/>
        </w:rPr>
        <w:t>of</w:t>
      </w:r>
      <w:r>
        <w:rPr>
          <w:spacing w:val="-3"/>
          <w:sz w:val="24"/>
        </w:rPr>
        <w:t> </w:t>
      </w:r>
      <w:r>
        <w:rPr>
          <w:sz w:val="24"/>
        </w:rPr>
        <w:t>skilled</w:t>
      </w:r>
      <w:r>
        <w:rPr>
          <w:spacing w:val="-4"/>
          <w:sz w:val="24"/>
        </w:rPr>
        <w:t> </w:t>
      </w:r>
      <w:r>
        <w:rPr>
          <w:sz w:val="24"/>
        </w:rPr>
        <w:t>job</w:t>
      </w:r>
      <w:r>
        <w:rPr>
          <w:spacing w:val="-4"/>
          <w:sz w:val="24"/>
        </w:rPr>
        <w:t> </w:t>
      </w:r>
      <w:r>
        <w:rPr>
          <w:sz w:val="24"/>
        </w:rPr>
        <w:t>trainers</w:t>
      </w:r>
      <w:r>
        <w:rPr>
          <w:spacing w:val="-4"/>
          <w:sz w:val="24"/>
        </w:rPr>
        <w:t> </w:t>
      </w:r>
      <w:r>
        <w:rPr>
          <w:sz w:val="24"/>
        </w:rPr>
        <w:t>who</w:t>
      </w:r>
      <w:r>
        <w:rPr>
          <w:spacing w:val="-4"/>
          <w:sz w:val="24"/>
        </w:rPr>
        <w:t> </w:t>
      </w:r>
      <w:r>
        <w:rPr>
          <w:sz w:val="24"/>
        </w:rPr>
        <w:t>accompany</w:t>
      </w:r>
      <w:r>
        <w:rPr>
          <w:spacing w:val="-4"/>
          <w:sz w:val="24"/>
        </w:rPr>
        <w:t> </w:t>
      </w:r>
      <w:r>
        <w:rPr>
          <w:sz w:val="24"/>
        </w:rPr>
        <w:t>the</w:t>
      </w:r>
      <w:r>
        <w:rPr>
          <w:spacing w:val="-4"/>
          <w:sz w:val="24"/>
        </w:rPr>
        <w:t> </w:t>
      </w:r>
      <w:r>
        <w:rPr>
          <w:sz w:val="24"/>
        </w:rPr>
        <w:t>individual</w:t>
      </w:r>
      <w:r>
        <w:rPr>
          <w:spacing w:val="-3"/>
          <w:sz w:val="24"/>
        </w:rPr>
        <w:t> </w:t>
      </w:r>
      <w:r>
        <w:rPr>
          <w:sz w:val="24"/>
        </w:rPr>
        <w:t>for</w:t>
      </w:r>
      <w:r>
        <w:rPr>
          <w:spacing w:val="-3"/>
          <w:sz w:val="24"/>
        </w:rPr>
        <w:t> </w:t>
      </w:r>
      <w:r>
        <w:rPr>
          <w:sz w:val="24"/>
        </w:rPr>
        <w:t>intensive</w:t>
      </w:r>
      <w:r>
        <w:rPr>
          <w:spacing w:val="-4"/>
          <w:sz w:val="24"/>
        </w:rPr>
        <w:t> </w:t>
      </w:r>
      <w:r>
        <w:rPr>
          <w:sz w:val="24"/>
        </w:rPr>
        <w:t>job skill training at the work site;</w:t>
      </w:r>
    </w:p>
    <w:p>
      <w:pPr>
        <w:pStyle w:val="ListParagraph"/>
        <w:numPr>
          <w:ilvl w:val="1"/>
          <w:numId w:val="214"/>
        </w:numPr>
        <w:tabs>
          <w:tab w:pos="1443" w:val="left" w:leader="none"/>
        </w:tabs>
        <w:spacing w:line="208" w:lineRule="auto" w:before="239" w:after="0"/>
        <w:ind w:left="990" w:right="1069" w:firstLine="0"/>
        <w:jc w:val="left"/>
        <w:rPr>
          <w:sz w:val="24"/>
        </w:rPr>
      </w:pPr>
      <w:r>
        <w:rPr>
          <w:sz w:val="24"/>
        </w:rPr>
        <w:t>Job</w:t>
      </w:r>
      <w:r>
        <w:rPr>
          <w:spacing w:val="-4"/>
          <w:sz w:val="24"/>
        </w:rPr>
        <w:t> </w:t>
      </w:r>
      <w:r>
        <w:rPr>
          <w:sz w:val="24"/>
        </w:rPr>
        <w:t>re-placement</w:t>
      </w:r>
      <w:r>
        <w:rPr>
          <w:spacing w:val="-3"/>
          <w:sz w:val="24"/>
        </w:rPr>
        <w:t> </w:t>
      </w:r>
      <w:r>
        <w:rPr>
          <w:sz w:val="24"/>
        </w:rPr>
        <w:t>if</w:t>
      </w:r>
      <w:r>
        <w:rPr>
          <w:spacing w:val="-3"/>
          <w:sz w:val="24"/>
        </w:rPr>
        <w:t> </w:t>
      </w:r>
      <w:r>
        <w:rPr>
          <w:sz w:val="24"/>
        </w:rPr>
        <w:t>a</w:t>
      </w:r>
      <w:r>
        <w:rPr>
          <w:spacing w:val="-3"/>
          <w:sz w:val="24"/>
        </w:rPr>
        <w:t> </w:t>
      </w:r>
      <w:r>
        <w:rPr>
          <w:sz w:val="24"/>
        </w:rPr>
        <w:t>job</w:t>
      </w:r>
      <w:r>
        <w:rPr>
          <w:spacing w:val="-3"/>
          <w:sz w:val="24"/>
        </w:rPr>
        <w:t> </w:t>
      </w:r>
      <w:r>
        <w:rPr>
          <w:sz w:val="24"/>
        </w:rPr>
        <w:t>has</w:t>
      </w:r>
      <w:r>
        <w:rPr>
          <w:spacing w:val="-4"/>
          <w:sz w:val="24"/>
        </w:rPr>
        <w:t> </w:t>
      </w:r>
      <w:r>
        <w:rPr>
          <w:sz w:val="24"/>
        </w:rPr>
        <w:t>been</w:t>
      </w:r>
      <w:r>
        <w:rPr>
          <w:spacing w:val="-3"/>
          <w:sz w:val="24"/>
        </w:rPr>
        <w:t> </w:t>
      </w:r>
      <w:r>
        <w:rPr>
          <w:sz w:val="24"/>
        </w:rPr>
        <w:t>lost,</w:t>
      </w:r>
      <w:r>
        <w:rPr>
          <w:spacing w:val="-3"/>
          <w:sz w:val="24"/>
        </w:rPr>
        <w:t> </w:t>
      </w:r>
      <w:r>
        <w:rPr>
          <w:sz w:val="24"/>
        </w:rPr>
        <w:t>or</w:t>
      </w:r>
      <w:r>
        <w:rPr>
          <w:spacing w:val="-3"/>
          <w:sz w:val="24"/>
        </w:rPr>
        <w:t> </w:t>
      </w:r>
      <w:r>
        <w:rPr>
          <w:sz w:val="24"/>
        </w:rPr>
        <w:t>additional</w:t>
      </w:r>
      <w:r>
        <w:rPr>
          <w:spacing w:val="-3"/>
          <w:sz w:val="24"/>
        </w:rPr>
        <w:t> </w:t>
      </w:r>
      <w:r>
        <w:rPr>
          <w:sz w:val="24"/>
        </w:rPr>
        <w:t>job</w:t>
      </w:r>
      <w:r>
        <w:rPr>
          <w:spacing w:val="-3"/>
          <w:sz w:val="24"/>
        </w:rPr>
        <w:t> </w:t>
      </w:r>
      <w:r>
        <w:rPr>
          <w:sz w:val="24"/>
        </w:rPr>
        <w:t>placement</w:t>
      </w:r>
      <w:r>
        <w:rPr>
          <w:spacing w:val="-3"/>
          <w:sz w:val="24"/>
        </w:rPr>
        <w:t> </w:t>
      </w:r>
      <w:r>
        <w:rPr>
          <w:sz w:val="24"/>
        </w:rPr>
        <w:t>if</w:t>
      </w:r>
      <w:r>
        <w:rPr>
          <w:spacing w:val="-4"/>
          <w:sz w:val="24"/>
        </w:rPr>
        <w:t> </w:t>
      </w:r>
      <w:r>
        <w:rPr>
          <w:sz w:val="24"/>
        </w:rPr>
        <w:t>more hours are needed;</w:t>
      </w:r>
    </w:p>
    <w:p>
      <w:pPr>
        <w:pStyle w:val="ListParagraph"/>
        <w:numPr>
          <w:ilvl w:val="1"/>
          <w:numId w:val="214"/>
        </w:numPr>
        <w:tabs>
          <w:tab w:pos="1456" w:val="left" w:leader="none"/>
        </w:tabs>
        <w:spacing w:line="240" w:lineRule="auto" w:before="211" w:after="0"/>
        <w:ind w:left="1456" w:right="0" w:hanging="466"/>
        <w:jc w:val="left"/>
        <w:rPr>
          <w:sz w:val="24"/>
        </w:rPr>
      </w:pPr>
      <w:r>
        <w:rPr>
          <w:sz w:val="24"/>
        </w:rPr>
        <w:t>Social</w:t>
      </w:r>
      <w:r>
        <w:rPr>
          <w:spacing w:val="-4"/>
          <w:sz w:val="24"/>
        </w:rPr>
        <w:t> </w:t>
      </w:r>
      <w:r>
        <w:rPr>
          <w:sz w:val="24"/>
        </w:rPr>
        <w:t>skills</w:t>
      </w:r>
      <w:r>
        <w:rPr>
          <w:spacing w:val="-3"/>
          <w:sz w:val="24"/>
        </w:rPr>
        <w:t> </w:t>
      </w:r>
      <w:r>
        <w:rPr>
          <w:spacing w:val="-2"/>
          <w:sz w:val="24"/>
        </w:rPr>
        <w:t>training;</w:t>
      </w:r>
    </w:p>
    <w:p>
      <w:pPr>
        <w:pStyle w:val="ListParagraph"/>
        <w:numPr>
          <w:ilvl w:val="1"/>
          <w:numId w:val="214"/>
        </w:numPr>
        <w:tabs>
          <w:tab w:pos="1456" w:val="left" w:leader="none"/>
        </w:tabs>
        <w:spacing w:line="240" w:lineRule="auto" w:before="204" w:after="0"/>
        <w:ind w:left="1456" w:right="0" w:hanging="466"/>
        <w:jc w:val="left"/>
        <w:rPr>
          <w:sz w:val="24"/>
        </w:rPr>
      </w:pPr>
      <w:r>
        <w:rPr>
          <w:sz w:val="24"/>
        </w:rPr>
        <w:t>Regular</w:t>
      </w:r>
      <w:r>
        <w:rPr>
          <w:spacing w:val="-3"/>
          <w:sz w:val="24"/>
        </w:rPr>
        <w:t> </w:t>
      </w:r>
      <w:r>
        <w:rPr>
          <w:sz w:val="24"/>
        </w:rPr>
        <w:t>observation</w:t>
      </w:r>
      <w:r>
        <w:rPr>
          <w:spacing w:val="-3"/>
          <w:sz w:val="24"/>
        </w:rPr>
        <w:t> </w:t>
      </w:r>
      <w:r>
        <w:rPr>
          <w:sz w:val="24"/>
        </w:rPr>
        <w:t>or</w:t>
      </w:r>
      <w:r>
        <w:rPr>
          <w:spacing w:val="-3"/>
          <w:sz w:val="24"/>
        </w:rPr>
        <w:t> </w:t>
      </w:r>
      <w:r>
        <w:rPr>
          <w:sz w:val="24"/>
        </w:rPr>
        <w:t>supervision</w:t>
      </w:r>
      <w:r>
        <w:rPr>
          <w:spacing w:val="-3"/>
          <w:sz w:val="24"/>
        </w:rPr>
        <w:t> </w:t>
      </w:r>
      <w:r>
        <w:rPr>
          <w:sz w:val="24"/>
        </w:rPr>
        <w:t>of</w:t>
      </w:r>
      <w:r>
        <w:rPr>
          <w:spacing w:val="-2"/>
          <w:sz w:val="24"/>
        </w:rPr>
        <w:t> </w:t>
      </w:r>
      <w:r>
        <w:rPr>
          <w:sz w:val="24"/>
        </w:rPr>
        <w:t>the</w:t>
      </w:r>
      <w:r>
        <w:rPr>
          <w:spacing w:val="-3"/>
          <w:sz w:val="24"/>
        </w:rPr>
        <w:t> </w:t>
      </w:r>
      <w:r>
        <w:rPr>
          <w:spacing w:val="-2"/>
          <w:sz w:val="24"/>
        </w:rPr>
        <w:t>individual;</w:t>
      </w:r>
    </w:p>
    <w:p>
      <w:pPr>
        <w:pStyle w:val="ListParagraph"/>
        <w:numPr>
          <w:ilvl w:val="1"/>
          <w:numId w:val="214"/>
        </w:numPr>
        <w:tabs>
          <w:tab w:pos="1443" w:val="left" w:leader="none"/>
        </w:tabs>
        <w:spacing w:line="240" w:lineRule="auto" w:before="204" w:after="0"/>
        <w:ind w:left="1443" w:right="0" w:hanging="453"/>
        <w:jc w:val="left"/>
        <w:rPr>
          <w:sz w:val="24"/>
        </w:rPr>
      </w:pPr>
      <w:r>
        <w:rPr>
          <w:sz w:val="24"/>
        </w:rPr>
        <w:t>Additional</w:t>
      </w:r>
      <w:r>
        <w:rPr>
          <w:spacing w:val="-6"/>
          <w:sz w:val="24"/>
        </w:rPr>
        <w:t> </w:t>
      </w:r>
      <w:r>
        <w:rPr>
          <w:sz w:val="24"/>
        </w:rPr>
        <w:t>skill</w:t>
      </w:r>
      <w:r>
        <w:rPr>
          <w:spacing w:val="-4"/>
          <w:sz w:val="24"/>
        </w:rPr>
        <w:t> </w:t>
      </w:r>
      <w:r>
        <w:rPr>
          <w:sz w:val="24"/>
        </w:rPr>
        <w:t>training,</w:t>
      </w:r>
      <w:r>
        <w:rPr>
          <w:spacing w:val="-3"/>
          <w:sz w:val="24"/>
        </w:rPr>
        <w:t> </w:t>
      </w:r>
      <w:r>
        <w:rPr>
          <w:sz w:val="24"/>
        </w:rPr>
        <w:t>if</w:t>
      </w:r>
      <w:r>
        <w:rPr>
          <w:spacing w:val="-4"/>
          <w:sz w:val="24"/>
        </w:rPr>
        <w:t> </w:t>
      </w:r>
      <w:r>
        <w:rPr>
          <w:sz w:val="24"/>
        </w:rPr>
        <w:t>needed</w:t>
      </w:r>
      <w:r>
        <w:rPr>
          <w:spacing w:val="-3"/>
          <w:sz w:val="24"/>
        </w:rPr>
        <w:t> </w:t>
      </w:r>
      <w:r>
        <w:rPr>
          <w:sz w:val="24"/>
        </w:rPr>
        <w:t>for</w:t>
      </w:r>
      <w:r>
        <w:rPr>
          <w:spacing w:val="-4"/>
          <w:sz w:val="24"/>
        </w:rPr>
        <w:t> </w:t>
      </w:r>
      <w:r>
        <w:rPr>
          <w:sz w:val="24"/>
        </w:rPr>
        <w:t>promotion</w:t>
      </w:r>
      <w:r>
        <w:rPr>
          <w:spacing w:val="-3"/>
          <w:sz w:val="24"/>
        </w:rPr>
        <w:t> </w:t>
      </w:r>
      <w:r>
        <w:rPr>
          <w:spacing w:val="-2"/>
          <w:sz w:val="24"/>
        </w:rPr>
        <w:t>opportunities;</w:t>
      </w:r>
    </w:p>
    <w:p>
      <w:pPr>
        <w:pStyle w:val="ListParagraph"/>
        <w:numPr>
          <w:ilvl w:val="1"/>
          <w:numId w:val="214"/>
        </w:numPr>
        <w:tabs>
          <w:tab w:pos="1428" w:val="left" w:leader="none"/>
        </w:tabs>
        <w:spacing w:line="240" w:lineRule="auto" w:before="204" w:after="0"/>
        <w:ind w:left="1428" w:right="0" w:hanging="438"/>
        <w:jc w:val="left"/>
        <w:rPr>
          <w:sz w:val="24"/>
        </w:rPr>
      </w:pPr>
      <w:r>
        <w:rPr>
          <w:sz w:val="24"/>
        </w:rPr>
        <w:t>Support</w:t>
      </w:r>
      <w:r>
        <w:rPr>
          <w:spacing w:val="-2"/>
          <w:sz w:val="24"/>
        </w:rPr>
        <w:t> </w:t>
      </w:r>
      <w:r>
        <w:rPr>
          <w:sz w:val="24"/>
        </w:rPr>
        <w:t>when</w:t>
      </w:r>
      <w:r>
        <w:rPr>
          <w:spacing w:val="-2"/>
          <w:sz w:val="24"/>
        </w:rPr>
        <w:t> </w:t>
      </w:r>
      <w:r>
        <w:rPr>
          <w:sz w:val="24"/>
        </w:rPr>
        <w:t>client</w:t>
      </w:r>
      <w:r>
        <w:rPr>
          <w:spacing w:val="-2"/>
          <w:sz w:val="24"/>
        </w:rPr>
        <w:t> </w:t>
      </w:r>
      <w:r>
        <w:rPr>
          <w:sz w:val="24"/>
        </w:rPr>
        <w:t>is</w:t>
      </w:r>
      <w:r>
        <w:rPr>
          <w:spacing w:val="-2"/>
          <w:sz w:val="24"/>
        </w:rPr>
        <w:t> </w:t>
      </w:r>
      <w:r>
        <w:rPr>
          <w:sz w:val="24"/>
        </w:rPr>
        <w:t>working</w:t>
      </w:r>
      <w:r>
        <w:rPr>
          <w:spacing w:val="-2"/>
          <w:sz w:val="24"/>
        </w:rPr>
        <w:t> </w:t>
      </w:r>
      <w:r>
        <w:rPr>
          <w:sz w:val="24"/>
        </w:rPr>
        <w:t>for</w:t>
      </w:r>
      <w:r>
        <w:rPr>
          <w:spacing w:val="-2"/>
          <w:sz w:val="24"/>
        </w:rPr>
        <w:t> </w:t>
      </w:r>
      <w:r>
        <w:rPr>
          <w:sz w:val="24"/>
        </w:rPr>
        <w:t>a</w:t>
      </w:r>
      <w:r>
        <w:rPr>
          <w:spacing w:val="-2"/>
          <w:sz w:val="24"/>
        </w:rPr>
        <w:t> </w:t>
      </w:r>
      <w:r>
        <w:rPr>
          <w:sz w:val="24"/>
        </w:rPr>
        <w:t>new</w:t>
      </w:r>
      <w:r>
        <w:rPr>
          <w:spacing w:val="-4"/>
          <w:sz w:val="24"/>
        </w:rPr>
        <w:t> </w:t>
      </w:r>
      <w:r>
        <w:rPr>
          <w:spacing w:val="-2"/>
          <w:sz w:val="24"/>
        </w:rPr>
        <w:t>supervisor;</w:t>
      </w:r>
    </w:p>
    <w:p>
      <w:pPr>
        <w:pStyle w:val="ListParagraph"/>
        <w:numPr>
          <w:ilvl w:val="1"/>
          <w:numId w:val="214"/>
        </w:numPr>
        <w:tabs>
          <w:tab w:pos="1469" w:val="left" w:leader="none"/>
        </w:tabs>
        <w:spacing w:line="208" w:lineRule="auto" w:before="233" w:after="0"/>
        <w:ind w:left="990" w:right="1079" w:firstLine="0"/>
        <w:jc w:val="left"/>
        <w:rPr>
          <w:sz w:val="24"/>
        </w:rPr>
      </w:pPr>
      <w:r>
        <w:rPr>
          <w:sz w:val="24"/>
        </w:rPr>
        <w:t>Follow-up services such as regular contact with the employers, the individuals, the parents, family members, guardians, advocates or authorized representatives</w:t>
      </w:r>
      <w:r>
        <w:rPr>
          <w:spacing w:val="-5"/>
          <w:sz w:val="24"/>
        </w:rPr>
        <w:t> </w:t>
      </w:r>
      <w:r>
        <w:rPr>
          <w:sz w:val="24"/>
        </w:rPr>
        <w:t>of</w:t>
      </w:r>
      <w:r>
        <w:rPr>
          <w:spacing w:val="-4"/>
          <w:sz w:val="24"/>
        </w:rPr>
        <w:t> </w:t>
      </w:r>
      <w:r>
        <w:rPr>
          <w:sz w:val="24"/>
        </w:rPr>
        <w:t>the</w:t>
      </w:r>
      <w:r>
        <w:rPr>
          <w:spacing w:val="-5"/>
          <w:sz w:val="24"/>
        </w:rPr>
        <w:t> </w:t>
      </w:r>
      <w:r>
        <w:rPr>
          <w:sz w:val="24"/>
        </w:rPr>
        <w:t>individuals,</w:t>
      </w:r>
      <w:r>
        <w:rPr>
          <w:spacing w:val="-3"/>
          <w:sz w:val="24"/>
        </w:rPr>
        <w:t> </w:t>
      </w:r>
      <w:r>
        <w:rPr>
          <w:sz w:val="24"/>
        </w:rPr>
        <w:t>and</w:t>
      </w:r>
      <w:r>
        <w:rPr>
          <w:spacing w:val="-5"/>
          <w:sz w:val="24"/>
        </w:rPr>
        <w:t> </w:t>
      </w:r>
      <w:r>
        <w:rPr>
          <w:sz w:val="24"/>
        </w:rPr>
        <w:t>other</w:t>
      </w:r>
      <w:r>
        <w:rPr>
          <w:spacing w:val="-4"/>
          <w:sz w:val="24"/>
        </w:rPr>
        <w:t> </w:t>
      </w:r>
      <w:r>
        <w:rPr>
          <w:sz w:val="24"/>
        </w:rPr>
        <w:t>suitable</w:t>
      </w:r>
      <w:r>
        <w:rPr>
          <w:spacing w:val="-5"/>
          <w:sz w:val="24"/>
        </w:rPr>
        <w:t> </w:t>
      </w:r>
      <w:r>
        <w:rPr>
          <w:sz w:val="24"/>
        </w:rPr>
        <w:t>professional</w:t>
      </w:r>
      <w:r>
        <w:rPr>
          <w:spacing w:val="-5"/>
          <w:sz w:val="24"/>
        </w:rPr>
        <w:t> </w:t>
      </w:r>
      <w:r>
        <w:rPr>
          <w:sz w:val="24"/>
        </w:rPr>
        <w:t>and</w:t>
      </w:r>
      <w:r>
        <w:rPr>
          <w:spacing w:val="-5"/>
          <w:sz w:val="24"/>
        </w:rPr>
        <w:t> </w:t>
      </w:r>
      <w:r>
        <w:rPr>
          <w:sz w:val="24"/>
        </w:rPr>
        <w:t>informed advisors, in order to reinforce and stabilize the job placement; and</w:t>
      </w:r>
    </w:p>
    <w:p>
      <w:pPr>
        <w:pStyle w:val="ListParagraph"/>
        <w:numPr>
          <w:ilvl w:val="1"/>
          <w:numId w:val="214"/>
        </w:numPr>
        <w:tabs>
          <w:tab w:pos="1456" w:val="left" w:leader="none"/>
        </w:tabs>
        <w:spacing w:line="240" w:lineRule="auto" w:before="244" w:after="0"/>
        <w:ind w:left="1456" w:right="0" w:hanging="466"/>
        <w:jc w:val="left"/>
        <w:rPr>
          <w:sz w:val="24"/>
        </w:rPr>
      </w:pPr>
      <w:r>
        <w:rPr>
          <w:sz w:val="24"/>
        </w:rPr>
        <w:t>Facilitation</w:t>
      </w:r>
      <w:r>
        <w:rPr>
          <w:spacing w:val="-4"/>
          <w:sz w:val="24"/>
        </w:rPr>
        <w:t> </w:t>
      </w:r>
      <w:r>
        <w:rPr>
          <w:sz w:val="24"/>
        </w:rPr>
        <w:t>of</w:t>
      </w:r>
      <w:r>
        <w:rPr>
          <w:spacing w:val="-2"/>
          <w:sz w:val="24"/>
        </w:rPr>
        <w:t> </w:t>
      </w:r>
      <w:r>
        <w:rPr>
          <w:sz w:val="24"/>
        </w:rPr>
        <w:t>natural</w:t>
      </w:r>
      <w:r>
        <w:rPr>
          <w:spacing w:val="-3"/>
          <w:sz w:val="24"/>
        </w:rPr>
        <w:t> </w:t>
      </w:r>
      <w:r>
        <w:rPr>
          <w:sz w:val="24"/>
        </w:rPr>
        <w:t>supports</w:t>
      </w:r>
      <w:r>
        <w:rPr>
          <w:spacing w:val="-3"/>
          <w:sz w:val="24"/>
        </w:rPr>
        <w:t> </w:t>
      </w:r>
      <w:r>
        <w:rPr>
          <w:sz w:val="24"/>
        </w:rPr>
        <w:t>at</w:t>
      </w:r>
      <w:r>
        <w:rPr>
          <w:spacing w:val="-4"/>
          <w:sz w:val="24"/>
        </w:rPr>
        <w:t> </w:t>
      </w:r>
      <w:r>
        <w:rPr>
          <w:sz w:val="24"/>
        </w:rPr>
        <w:t>the</w:t>
      </w:r>
      <w:r>
        <w:rPr>
          <w:spacing w:val="-3"/>
          <w:sz w:val="24"/>
        </w:rPr>
        <w:t> </w:t>
      </w:r>
      <w:r>
        <w:rPr>
          <w:spacing w:val="-2"/>
          <w:sz w:val="24"/>
        </w:rPr>
        <w:t>worksite.</w:t>
      </w:r>
    </w:p>
    <w:p>
      <w:pPr>
        <w:spacing w:before="240"/>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6-14-99</w:t>
      </w:r>
      <w:r>
        <w:rPr>
          <w:sz w:val="22"/>
        </w:rPr>
        <w:tab/>
        <w:t>POL Memo #99-7</w:t>
      </w:r>
    </w:p>
    <w:p>
      <w:pPr>
        <w:spacing w:before="1"/>
        <w:ind w:left="1439" w:right="0" w:firstLine="0"/>
        <w:jc w:val="left"/>
        <w:rPr>
          <w:sz w:val="22"/>
        </w:rPr>
      </w:pPr>
      <w:r>
        <w:rPr>
          <w:sz w:val="22"/>
        </w:rPr>
        <w:t>Emergency,</w:t>
      </w:r>
      <w:r>
        <w:rPr>
          <w:spacing w:val="-8"/>
          <w:sz w:val="22"/>
        </w:rPr>
        <w:t> </w:t>
      </w:r>
      <w:r>
        <w:rPr>
          <w:sz w:val="22"/>
        </w:rPr>
        <w:t>updated</w:t>
      </w:r>
      <w:r>
        <w:rPr>
          <w:spacing w:val="-8"/>
          <w:sz w:val="22"/>
        </w:rPr>
        <w:t> </w:t>
      </w:r>
      <w:r>
        <w:rPr>
          <w:sz w:val="22"/>
        </w:rPr>
        <w:t>DVR/DVS</w:t>
      </w:r>
      <w:r>
        <w:rPr>
          <w:spacing w:val="-7"/>
          <w:sz w:val="22"/>
        </w:rPr>
        <w:t> </w:t>
      </w:r>
      <w:r>
        <w:rPr>
          <w:sz w:val="22"/>
        </w:rPr>
        <w:t>and</w:t>
      </w:r>
      <w:r>
        <w:rPr>
          <w:spacing w:val="-8"/>
          <w:sz w:val="22"/>
        </w:rPr>
        <w:t> </w:t>
      </w:r>
      <w:r>
        <w:rPr>
          <w:sz w:val="22"/>
        </w:rPr>
        <w:t>IRP</w:t>
      </w:r>
      <w:r>
        <w:rPr>
          <w:spacing w:val="-8"/>
          <w:sz w:val="22"/>
        </w:rPr>
        <w:t> </w:t>
      </w:r>
      <w:r>
        <w:rPr>
          <w:sz w:val="22"/>
        </w:rPr>
        <w:t>to</w:t>
      </w:r>
      <w:r>
        <w:rPr>
          <w:spacing w:val="-7"/>
          <w:sz w:val="22"/>
        </w:rPr>
        <w:t> </w:t>
      </w:r>
      <w:r>
        <w:rPr>
          <w:spacing w:val="-5"/>
          <w:sz w:val="22"/>
        </w:rPr>
        <w:t>IPE</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tabs>
          <w:tab w:pos="1439" w:val="left" w:leader="none"/>
        </w:tabs>
        <w:spacing w:before="0"/>
        <w:ind w:left="1439" w:right="1538" w:hanging="1080"/>
        <w:jc w:val="left"/>
        <w:rPr>
          <w:sz w:val="22"/>
        </w:rPr>
      </w:pPr>
      <w:r>
        <w:rPr>
          <w:spacing w:val="-2"/>
          <w:sz w:val="22"/>
        </w:rPr>
        <w:t>8-11-24</w:t>
      </w:r>
      <w:r>
        <w:rPr>
          <w:sz w:val="22"/>
        </w:rPr>
        <w:tab/>
        <w:t>Revised</w:t>
      </w:r>
      <w:r>
        <w:rPr>
          <w:spacing w:val="-4"/>
          <w:sz w:val="22"/>
        </w:rPr>
        <w:t> </w:t>
      </w:r>
      <w:r>
        <w:rPr>
          <w:sz w:val="22"/>
        </w:rPr>
        <w:t>language</w:t>
      </w:r>
      <w:r>
        <w:rPr>
          <w:spacing w:val="-4"/>
          <w:sz w:val="22"/>
        </w:rPr>
        <w:t> </w:t>
      </w:r>
      <w:r>
        <w:rPr>
          <w:sz w:val="22"/>
        </w:rPr>
        <w:t>to</w:t>
      </w:r>
      <w:r>
        <w:rPr>
          <w:spacing w:val="-4"/>
          <w:sz w:val="22"/>
        </w:rPr>
        <w:t> </w:t>
      </w:r>
      <w:r>
        <w:rPr>
          <w:sz w:val="22"/>
        </w:rPr>
        <w:t>change</w:t>
      </w:r>
      <w:r>
        <w:rPr>
          <w:spacing w:val="-4"/>
          <w:sz w:val="22"/>
        </w:rPr>
        <w:t> </w:t>
      </w:r>
      <w:r>
        <w:rPr>
          <w:sz w:val="22"/>
        </w:rPr>
        <w:t>“time</w:t>
      </w:r>
      <w:r>
        <w:rPr>
          <w:spacing w:val="-4"/>
          <w:sz w:val="22"/>
        </w:rPr>
        <w:t> </w:t>
      </w:r>
      <w:r>
        <w:rPr>
          <w:sz w:val="22"/>
        </w:rPr>
        <w:t>of</w:t>
      </w:r>
      <w:r>
        <w:rPr>
          <w:spacing w:val="-4"/>
          <w:sz w:val="22"/>
        </w:rPr>
        <w:t> </w:t>
      </w:r>
      <w:r>
        <w:rPr>
          <w:sz w:val="22"/>
        </w:rPr>
        <w:t>placement”</w:t>
      </w:r>
      <w:r>
        <w:rPr>
          <w:spacing w:val="-4"/>
          <w:sz w:val="22"/>
        </w:rPr>
        <w:t> </w:t>
      </w:r>
      <w:r>
        <w:rPr>
          <w:sz w:val="22"/>
        </w:rPr>
        <w:t>to</w:t>
      </w:r>
      <w:r>
        <w:rPr>
          <w:spacing w:val="-4"/>
          <w:sz w:val="22"/>
        </w:rPr>
        <w:t> </w:t>
      </w:r>
      <w:r>
        <w:rPr>
          <w:sz w:val="22"/>
        </w:rPr>
        <w:t>“first</w:t>
      </w:r>
      <w:r>
        <w:rPr>
          <w:spacing w:val="-4"/>
          <w:sz w:val="22"/>
        </w:rPr>
        <w:t> </w:t>
      </w:r>
      <w:r>
        <w:rPr>
          <w:sz w:val="22"/>
        </w:rPr>
        <w:t>day</w:t>
      </w:r>
      <w:r>
        <w:rPr>
          <w:spacing w:val="-5"/>
          <w:sz w:val="22"/>
        </w:rPr>
        <w:t> </w:t>
      </w:r>
      <w:r>
        <w:rPr>
          <w:sz w:val="22"/>
        </w:rPr>
        <w:t>of</w:t>
      </w:r>
      <w:r>
        <w:rPr>
          <w:spacing w:val="-4"/>
          <w:sz w:val="22"/>
        </w:rPr>
        <w:t> </w:t>
      </w:r>
      <w:r>
        <w:rPr>
          <w:sz w:val="22"/>
        </w:rPr>
        <w:t>employment” regarding the sponsored support services that are provided.</w:t>
      </w:r>
    </w:p>
    <w:p>
      <w:pPr>
        <w:spacing w:after="0"/>
        <w:jc w:val="left"/>
        <w:rPr>
          <w:sz w:val="22"/>
        </w:rPr>
        <w:sectPr>
          <w:pgSz w:w="12240" w:h="15840"/>
          <w:pgMar w:top="1340" w:bottom="280" w:left="1080" w:right="720"/>
        </w:sectPr>
      </w:pPr>
    </w:p>
    <w:p>
      <w:pPr>
        <w:pStyle w:val="Heading2"/>
      </w:pPr>
      <w:bookmarkStart w:name="612:10-7-184.  Extended services" w:id="198"/>
      <w:bookmarkEnd w:id="198"/>
      <w:r>
        <w:rPr>
          <w:b w:val="0"/>
        </w:rPr>
      </w:r>
      <w:r>
        <w:rPr/>
        <w:t>612:10-7-184.</w:t>
      </w:r>
      <w:r>
        <w:rPr>
          <w:spacing w:val="57"/>
        </w:rPr>
        <w:t> </w:t>
      </w:r>
      <w:r>
        <w:rPr/>
        <w:t>Extended</w:t>
      </w:r>
      <w:r>
        <w:rPr>
          <w:spacing w:val="-5"/>
        </w:rPr>
        <w:t> </w:t>
      </w:r>
      <w:r>
        <w:rPr>
          <w:spacing w:val="-2"/>
        </w:rPr>
        <w:t>services</w:t>
      </w:r>
    </w:p>
    <w:p>
      <w:pPr>
        <w:pStyle w:val="BodyText"/>
        <w:spacing w:line="208" w:lineRule="auto" w:before="233"/>
        <w:ind w:right="822" w:firstLine="432"/>
        <w:rPr>
          <w:b/>
        </w:rPr>
      </w:pPr>
      <w:r>
        <w:rPr/>
        <w:t>Extended services are a continuation of ongoing support services provided to individuals in Supported Employment at completion of stabilization, during the "Successful Rehabilitation" Milestone and beyond case closure. Such services consist of the provision of specific services, including natural supports, needed to maintain the successful</w:t>
      </w:r>
      <w:r>
        <w:rPr>
          <w:spacing w:val="-4"/>
        </w:rPr>
        <w:t> </w:t>
      </w:r>
      <w:r>
        <w:rPr/>
        <w:t>employment.</w:t>
      </w:r>
      <w:r>
        <w:rPr>
          <w:spacing w:val="-3"/>
        </w:rPr>
        <w:t> </w:t>
      </w:r>
      <w:r>
        <w:rPr/>
        <w:t>Extended</w:t>
      </w:r>
      <w:r>
        <w:rPr>
          <w:spacing w:val="-4"/>
        </w:rPr>
        <w:t> </w:t>
      </w:r>
      <w:r>
        <w:rPr/>
        <w:t>services</w:t>
      </w:r>
      <w:r>
        <w:rPr>
          <w:spacing w:val="-4"/>
        </w:rPr>
        <w:t> </w:t>
      </w:r>
      <w:r>
        <w:rPr/>
        <w:t>are</w:t>
      </w:r>
      <w:r>
        <w:rPr>
          <w:spacing w:val="-4"/>
        </w:rPr>
        <w:t> </w:t>
      </w:r>
      <w:r>
        <w:rPr/>
        <w:t>specifically</w:t>
      </w:r>
      <w:r>
        <w:rPr>
          <w:spacing w:val="-4"/>
        </w:rPr>
        <w:t> </w:t>
      </w:r>
      <w:r>
        <w:rPr/>
        <w:t>identified</w:t>
      </w:r>
      <w:r>
        <w:rPr>
          <w:spacing w:val="-4"/>
        </w:rPr>
        <w:t> </w:t>
      </w:r>
      <w:r>
        <w:rPr/>
        <w:t>in</w:t>
      </w:r>
      <w:r>
        <w:rPr>
          <w:spacing w:val="-4"/>
        </w:rPr>
        <w:t> </w:t>
      </w:r>
      <w:r>
        <w:rPr/>
        <w:t>the</w:t>
      </w:r>
      <w:r>
        <w:rPr>
          <w:spacing w:val="-4"/>
        </w:rPr>
        <w:t> </w:t>
      </w:r>
      <w:r>
        <w:rPr/>
        <w:t>IPE.</w:t>
      </w:r>
      <w:r>
        <w:rPr>
          <w:spacing w:val="-3"/>
        </w:rPr>
        <w:t> </w:t>
      </w:r>
      <w:r>
        <w:rPr/>
        <w:t>Except as provided by federal law with regard to youth with the most significant disabilities, extended services are paid from funding sources other than DVR and DSBVI. An individual may not be found ineligible for supported employment services because the resource for providing extended services cannot be identified. </w:t>
      </w:r>
      <w:r>
        <w:rPr>
          <w:b/>
        </w:rPr>
        <w:t>1</w:t>
      </w:r>
    </w:p>
    <w:p>
      <w:pPr>
        <w:pStyle w:val="BodyText"/>
        <w:spacing w:before="210"/>
      </w:pPr>
      <w:r>
        <w:rPr/>
        <w:t>Instructions</w:t>
      </w:r>
      <w:r>
        <w:rPr>
          <w:spacing w:val="-5"/>
        </w:rPr>
        <w:t> </w:t>
      </w:r>
      <w:r>
        <w:rPr/>
        <w:t>to</w:t>
      </w:r>
      <w:r>
        <w:rPr>
          <w:spacing w:val="-2"/>
        </w:rPr>
        <w:t> </w:t>
      </w:r>
      <w:r>
        <w:rPr>
          <w:spacing w:val="-4"/>
        </w:rPr>
        <w:t>Staff</w:t>
      </w:r>
    </w:p>
    <w:p>
      <w:pPr>
        <w:pStyle w:val="ListParagraph"/>
        <w:numPr>
          <w:ilvl w:val="0"/>
          <w:numId w:val="215"/>
        </w:numPr>
        <w:tabs>
          <w:tab w:pos="692" w:val="left" w:leader="none"/>
        </w:tabs>
        <w:spacing w:line="208" w:lineRule="auto" w:before="233" w:after="0"/>
        <w:ind w:left="360" w:right="912" w:firstLine="0"/>
        <w:jc w:val="left"/>
        <w:rPr>
          <w:sz w:val="24"/>
        </w:rPr>
      </w:pPr>
      <w:r>
        <w:rPr>
          <w:sz w:val="24"/>
        </w:rPr>
        <w:t>If</w:t>
      </w:r>
      <w:r>
        <w:rPr>
          <w:spacing w:val="-4"/>
          <w:sz w:val="24"/>
        </w:rPr>
        <w:t> </w:t>
      </w:r>
      <w:r>
        <w:rPr>
          <w:sz w:val="24"/>
        </w:rPr>
        <w:t>resources</w:t>
      </w:r>
      <w:r>
        <w:rPr>
          <w:spacing w:val="-3"/>
          <w:sz w:val="24"/>
        </w:rPr>
        <w:t> </w:t>
      </w:r>
      <w:r>
        <w:rPr>
          <w:sz w:val="24"/>
        </w:rPr>
        <w:t>for</w:t>
      </w:r>
      <w:r>
        <w:rPr>
          <w:spacing w:val="-2"/>
          <w:sz w:val="24"/>
        </w:rPr>
        <w:t> </w:t>
      </w:r>
      <w:r>
        <w:rPr>
          <w:sz w:val="24"/>
        </w:rPr>
        <w:t>providing</w:t>
      </w:r>
      <w:r>
        <w:rPr>
          <w:spacing w:val="-3"/>
          <w:sz w:val="24"/>
        </w:rPr>
        <w:t> </w:t>
      </w:r>
      <w:r>
        <w:rPr>
          <w:sz w:val="24"/>
        </w:rPr>
        <w:t>extended</w:t>
      </w:r>
      <w:r>
        <w:rPr>
          <w:spacing w:val="-3"/>
          <w:sz w:val="24"/>
        </w:rPr>
        <w:t> </w:t>
      </w:r>
      <w:r>
        <w:rPr>
          <w:sz w:val="24"/>
        </w:rPr>
        <w:t>services</w:t>
      </w:r>
      <w:r>
        <w:rPr>
          <w:spacing w:val="-3"/>
          <w:sz w:val="24"/>
        </w:rPr>
        <w:t> </w:t>
      </w:r>
      <w:r>
        <w:rPr>
          <w:sz w:val="24"/>
        </w:rPr>
        <w:t>cannot</w:t>
      </w:r>
      <w:r>
        <w:rPr>
          <w:spacing w:val="-2"/>
          <w:sz w:val="24"/>
        </w:rPr>
        <w:t> </w:t>
      </w:r>
      <w:r>
        <w:rPr>
          <w:sz w:val="24"/>
        </w:rPr>
        <w:t>be</w:t>
      </w:r>
      <w:r>
        <w:rPr>
          <w:spacing w:val="-3"/>
          <w:sz w:val="24"/>
        </w:rPr>
        <w:t> </w:t>
      </w:r>
      <w:r>
        <w:rPr>
          <w:sz w:val="24"/>
        </w:rPr>
        <w:t>identified</w:t>
      </w:r>
      <w:r>
        <w:rPr>
          <w:spacing w:val="-3"/>
          <w:sz w:val="24"/>
        </w:rPr>
        <w:t> </w:t>
      </w:r>
      <w:r>
        <w:rPr>
          <w:sz w:val="24"/>
        </w:rPr>
        <w:t>at</w:t>
      </w:r>
      <w:r>
        <w:rPr>
          <w:spacing w:val="-2"/>
          <w:sz w:val="24"/>
        </w:rPr>
        <w:t> </w:t>
      </w:r>
      <w:r>
        <w:rPr>
          <w:sz w:val="24"/>
        </w:rPr>
        <w:t>the</w:t>
      </w:r>
      <w:r>
        <w:rPr>
          <w:spacing w:val="-4"/>
          <w:sz w:val="24"/>
        </w:rPr>
        <w:t> </w:t>
      </w:r>
      <w:r>
        <w:rPr>
          <w:sz w:val="24"/>
        </w:rPr>
        <w:t>time</w:t>
      </w:r>
      <w:r>
        <w:rPr>
          <w:spacing w:val="-3"/>
          <w:sz w:val="24"/>
        </w:rPr>
        <w:t> </w:t>
      </w:r>
      <w:r>
        <w:rPr>
          <w:sz w:val="24"/>
        </w:rPr>
        <w:t>the</w:t>
      </w:r>
      <w:r>
        <w:rPr>
          <w:spacing w:val="-3"/>
          <w:sz w:val="24"/>
        </w:rPr>
        <w:t> </w:t>
      </w:r>
      <w:r>
        <w:rPr>
          <w:sz w:val="24"/>
        </w:rPr>
        <w:t>IPE is written, the counselor would:</w:t>
      </w:r>
    </w:p>
    <w:p>
      <w:pPr>
        <w:pStyle w:val="ListParagraph"/>
        <w:numPr>
          <w:ilvl w:val="1"/>
          <w:numId w:val="215"/>
        </w:numPr>
        <w:tabs>
          <w:tab w:pos="1173" w:val="left" w:leader="none"/>
        </w:tabs>
        <w:spacing w:line="240" w:lineRule="auto" w:before="211" w:after="0"/>
        <w:ind w:left="1173" w:right="0" w:hanging="453"/>
        <w:jc w:val="left"/>
        <w:rPr>
          <w:sz w:val="24"/>
        </w:rPr>
      </w:pPr>
      <w:r>
        <w:rPr>
          <w:sz w:val="24"/>
        </w:rPr>
        <w:t>certify</w:t>
      </w:r>
      <w:r>
        <w:rPr>
          <w:spacing w:val="-4"/>
          <w:sz w:val="24"/>
        </w:rPr>
        <w:t> </w:t>
      </w:r>
      <w:r>
        <w:rPr>
          <w:sz w:val="24"/>
        </w:rPr>
        <w:t>the</w:t>
      </w:r>
      <w:r>
        <w:rPr>
          <w:spacing w:val="-3"/>
          <w:sz w:val="24"/>
        </w:rPr>
        <w:t> </w:t>
      </w:r>
      <w:r>
        <w:rPr>
          <w:sz w:val="24"/>
        </w:rPr>
        <w:t>individual</w:t>
      </w:r>
      <w:r>
        <w:rPr>
          <w:spacing w:val="-3"/>
          <w:sz w:val="24"/>
        </w:rPr>
        <w:t> </w:t>
      </w:r>
      <w:r>
        <w:rPr>
          <w:sz w:val="24"/>
        </w:rPr>
        <w:t>eligible</w:t>
      </w:r>
      <w:r>
        <w:rPr>
          <w:spacing w:val="-3"/>
          <w:sz w:val="24"/>
        </w:rPr>
        <w:t> </w:t>
      </w:r>
      <w:r>
        <w:rPr>
          <w:sz w:val="24"/>
        </w:rPr>
        <w:t>for</w:t>
      </w:r>
      <w:r>
        <w:rPr>
          <w:spacing w:val="-1"/>
          <w:sz w:val="24"/>
        </w:rPr>
        <w:t> </w:t>
      </w:r>
      <w:r>
        <w:rPr>
          <w:sz w:val="24"/>
        </w:rPr>
        <w:t>the</w:t>
      </w:r>
      <w:r>
        <w:rPr>
          <w:spacing w:val="-3"/>
          <w:sz w:val="24"/>
        </w:rPr>
        <w:t> </w:t>
      </w:r>
      <w:r>
        <w:rPr>
          <w:sz w:val="24"/>
        </w:rPr>
        <w:t>DVR</w:t>
      </w:r>
      <w:r>
        <w:rPr>
          <w:spacing w:val="-3"/>
          <w:sz w:val="24"/>
        </w:rPr>
        <w:t> </w:t>
      </w:r>
      <w:r>
        <w:rPr>
          <w:sz w:val="24"/>
        </w:rPr>
        <w:t>and</w:t>
      </w:r>
      <w:r>
        <w:rPr>
          <w:spacing w:val="-3"/>
          <w:sz w:val="24"/>
        </w:rPr>
        <w:t> </w:t>
      </w:r>
      <w:r>
        <w:rPr>
          <w:sz w:val="24"/>
        </w:rPr>
        <w:t>DSBVI</w:t>
      </w:r>
      <w:r>
        <w:rPr>
          <w:spacing w:val="-1"/>
          <w:sz w:val="24"/>
        </w:rPr>
        <w:t> </w:t>
      </w:r>
      <w:r>
        <w:rPr>
          <w:spacing w:val="-2"/>
          <w:sz w:val="24"/>
        </w:rPr>
        <w:t>program;</w:t>
      </w:r>
    </w:p>
    <w:p>
      <w:pPr>
        <w:pStyle w:val="ListParagraph"/>
        <w:numPr>
          <w:ilvl w:val="1"/>
          <w:numId w:val="215"/>
        </w:numPr>
        <w:tabs>
          <w:tab w:pos="1173" w:val="left" w:leader="none"/>
        </w:tabs>
        <w:spacing w:line="208" w:lineRule="auto" w:before="233" w:after="0"/>
        <w:ind w:left="720" w:right="846" w:firstLine="0"/>
        <w:jc w:val="left"/>
        <w:rPr>
          <w:sz w:val="24"/>
        </w:rPr>
      </w:pPr>
      <w:r>
        <w:rPr>
          <w:sz w:val="24"/>
        </w:rPr>
        <w:t>write and initiate the IPE with a statement explaining the basis for concluding that</w:t>
      </w:r>
      <w:r>
        <w:rPr>
          <w:spacing w:val="-3"/>
          <w:sz w:val="24"/>
        </w:rPr>
        <w:t> </w:t>
      </w:r>
      <w:r>
        <w:rPr>
          <w:sz w:val="24"/>
        </w:rPr>
        <w:t>there</w:t>
      </w:r>
      <w:r>
        <w:rPr>
          <w:spacing w:val="-4"/>
          <w:sz w:val="24"/>
        </w:rPr>
        <w:t> </w:t>
      </w:r>
      <w:r>
        <w:rPr>
          <w:sz w:val="24"/>
        </w:rPr>
        <w:t>is</w:t>
      </w:r>
      <w:r>
        <w:rPr>
          <w:spacing w:val="-4"/>
          <w:sz w:val="24"/>
        </w:rPr>
        <w:t> </w:t>
      </w:r>
      <w:r>
        <w:rPr>
          <w:sz w:val="24"/>
        </w:rPr>
        <w:t>a</w:t>
      </w:r>
      <w:r>
        <w:rPr>
          <w:spacing w:val="-4"/>
          <w:sz w:val="24"/>
        </w:rPr>
        <w:t> </w:t>
      </w:r>
      <w:r>
        <w:rPr>
          <w:sz w:val="24"/>
        </w:rPr>
        <w:t>reasonable</w:t>
      </w:r>
      <w:r>
        <w:rPr>
          <w:spacing w:val="-4"/>
          <w:sz w:val="24"/>
        </w:rPr>
        <w:t> </w:t>
      </w:r>
      <w:r>
        <w:rPr>
          <w:sz w:val="24"/>
        </w:rPr>
        <w:t>expectation</w:t>
      </w:r>
      <w:r>
        <w:rPr>
          <w:spacing w:val="-4"/>
          <w:sz w:val="24"/>
        </w:rPr>
        <w:t> </w:t>
      </w:r>
      <w:r>
        <w:rPr>
          <w:sz w:val="24"/>
        </w:rPr>
        <w:t>that</w:t>
      </w:r>
      <w:r>
        <w:rPr>
          <w:spacing w:val="-3"/>
          <w:sz w:val="24"/>
        </w:rPr>
        <w:t> </w:t>
      </w:r>
      <w:r>
        <w:rPr>
          <w:sz w:val="24"/>
        </w:rPr>
        <w:t>extended</w:t>
      </w:r>
      <w:r>
        <w:rPr>
          <w:spacing w:val="-4"/>
          <w:sz w:val="24"/>
        </w:rPr>
        <w:t> </w:t>
      </w:r>
      <w:r>
        <w:rPr>
          <w:sz w:val="24"/>
        </w:rPr>
        <w:t>services</w:t>
      </w:r>
      <w:r>
        <w:rPr>
          <w:spacing w:val="-4"/>
          <w:sz w:val="24"/>
        </w:rPr>
        <w:t> </w:t>
      </w:r>
      <w:r>
        <w:rPr>
          <w:sz w:val="24"/>
        </w:rPr>
        <w:t>will</w:t>
      </w:r>
      <w:r>
        <w:rPr>
          <w:spacing w:val="-4"/>
          <w:sz w:val="24"/>
        </w:rPr>
        <w:t> </w:t>
      </w:r>
      <w:r>
        <w:rPr>
          <w:sz w:val="24"/>
        </w:rPr>
        <w:t>become</w:t>
      </w:r>
      <w:r>
        <w:rPr>
          <w:spacing w:val="-4"/>
          <w:sz w:val="24"/>
        </w:rPr>
        <w:t> </w:t>
      </w:r>
      <w:r>
        <w:rPr>
          <w:sz w:val="24"/>
        </w:rPr>
        <w:t>available; </w:t>
      </w:r>
      <w:r>
        <w:rPr>
          <w:spacing w:val="-4"/>
          <w:sz w:val="24"/>
        </w:rPr>
        <w:t>and</w:t>
      </w:r>
    </w:p>
    <w:p>
      <w:pPr>
        <w:pStyle w:val="ListParagraph"/>
        <w:numPr>
          <w:ilvl w:val="1"/>
          <w:numId w:val="215"/>
        </w:numPr>
        <w:tabs>
          <w:tab w:pos="1186" w:val="left" w:leader="none"/>
        </w:tabs>
        <w:spacing w:line="208" w:lineRule="auto" w:before="240" w:after="0"/>
        <w:ind w:left="720" w:right="951" w:firstLine="0"/>
        <w:jc w:val="left"/>
        <w:rPr>
          <w:sz w:val="24"/>
        </w:rPr>
      </w:pPr>
      <w:r>
        <w:rPr>
          <w:sz w:val="24"/>
        </w:rPr>
        <w:t>seek out and/or help in developing the needed extended services resource, including</w:t>
      </w:r>
      <w:r>
        <w:rPr>
          <w:spacing w:val="-3"/>
          <w:sz w:val="24"/>
        </w:rPr>
        <w:t> </w:t>
      </w:r>
      <w:r>
        <w:rPr>
          <w:sz w:val="24"/>
        </w:rPr>
        <w:t>natural</w:t>
      </w:r>
      <w:r>
        <w:rPr>
          <w:spacing w:val="-3"/>
          <w:sz w:val="24"/>
        </w:rPr>
        <w:t> </w:t>
      </w:r>
      <w:r>
        <w:rPr>
          <w:sz w:val="24"/>
        </w:rPr>
        <w:t>supports,</w:t>
      </w:r>
      <w:r>
        <w:rPr>
          <w:spacing w:val="-4"/>
          <w:sz w:val="24"/>
        </w:rPr>
        <w:t> </w:t>
      </w:r>
      <w:r>
        <w:rPr>
          <w:sz w:val="24"/>
        </w:rPr>
        <w:t>then</w:t>
      </w:r>
      <w:r>
        <w:rPr>
          <w:spacing w:val="-3"/>
          <w:sz w:val="24"/>
        </w:rPr>
        <w:t> </w:t>
      </w:r>
      <w:r>
        <w:rPr>
          <w:sz w:val="24"/>
        </w:rPr>
        <w:t>amend</w:t>
      </w:r>
      <w:r>
        <w:rPr>
          <w:spacing w:val="-3"/>
          <w:sz w:val="24"/>
        </w:rPr>
        <w:t> </w:t>
      </w:r>
      <w:r>
        <w:rPr>
          <w:sz w:val="24"/>
        </w:rPr>
        <w:t>the</w:t>
      </w:r>
      <w:r>
        <w:rPr>
          <w:spacing w:val="-3"/>
          <w:sz w:val="24"/>
        </w:rPr>
        <w:t> </w:t>
      </w:r>
      <w:r>
        <w:rPr>
          <w:sz w:val="24"/>
        </w:rPr>
        <w:t>IPE</w:t>
      </w:r>
      <w:r>
        <w:rPr>
          <w:spacing w:val="-3"/>
          <w:sz w:val="24"/>
        </w:rPr>
        <w:t> </w:t>
      </w:r>
      <w:r>
        <w:rPr>
          <w:sz w:val="24"/>
        </w:rPr>
        <w:t>when</w:t>
      </w:r>
      <w:r>
        <w:rPr>
          <w:spacing w:val="-3"/>
          <w:sz w:val="24"/>
        </w:rPr>
        <w:t> </w:t>
      </w:r>
      <w:r>
        <w:rPr>
          <w:sz w:val="24"/>
        </w:rPr>
        <w:t>the</w:t>
      </w:r>
      <w:r>
        <w:rPr>
          <w:spacing w:val="-3"/>
          <w:sz w:val="24"/>
        </w:rPr>
        <w:t> </w:t>
      </w:r>
      <w:r>
        <w:rPr>
          <w:sz w:val="24"/>
        </w:rPr>
        <w:t>resource</w:t>
      </w:r>
      <w:r>
        <w:rPr>
          <w:spacing w:val="-4"/>
          <w:sz w:val="24"/>
        </w:rPr>
        <w:t> </w:t>
      </w:r>
      <w:r>
        <w:rPr>
          <w:sz w:val="24"/>
        </w:rPr>
        <w:t>is</w:t>
      </w:r>
      <w:r>
        <w:rPr>
          <w:spacing w:val="-3"/>
          <w:sz w:val="24"/>
        </w:rPr>
        <w:t> </w:t>
      </w:r>
      <w:r>
        <w:rPr>
          <w:sz w:val="24"/>
        </w:rPr>
        <w:t>identified</w:t>
      </w:r>
      <w:r>
        <w:rPr>
          <w:spacing w:val="-3"/>
          <w:sz w:val="24"/>
        </w:rPr>
        <w:t> </w:t>
      </w:r>
      <w:r>
        <w:rPr>
          <w:sz w:val="24"/>
        </w:rPr>
        <w:t>and in place.</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10-1-97</w:t>
      </w:r>
      <w:r>
        <w:rPr>
          <w:sz w:val="22"/>
        </w:rPr>
        <w:tab/>
        <w:t>PT Memo #98-4</w:t>
      </w:r>
    </w:p>
    <w:p>
      <w:pPr>
        <w:spacing w:before="1"/>
        <w:ind w:left="1439" w:right="775" w:firstLine="0"/>
        <w:jc w:val="left"/>
        <w:rPr>
          <w:sz w:val="22"/>
        </w:rPr>
      </w:pPr>
      <w:r>
        <w:rPr>
          <w:sz w:val="22"/>
        </w:rPr>
        <w:t>Emergency,</w:t>
      </w:r>
      <w:r>
        <w:rPr>
          <w:spacing w:val="-4"/>
          <w:sz w:val="22"/>
        </w:rPr>
        <w:t> </w:t>
      </w:r>
      <w:r>
        <w:rPr>
          <w:sz w:val="22"/>
        </w:rPr>
        <w:t>changed</w:t>
      </w:r>
      <w:r>
        <w:rPr>
          <w:spacing w:val="-4"/>
          <w:sz w:val="22"/>
        </w:rPr>
        <w:t> </w:t>
      </w:r>
      <w:r>
        <w:rPr>
          <w:sz w:val="22"/>
        </w:rPr>
        <w:t>so</w:t>
      </w:r>
      <w:r>
        <w:rPr>
          <w:spacing w:val="-5"/>
          <w:sz w:val="22"/>
        </w:rPr>
        <w:t> </w:t>
      </w:r>
      <w:r>
        <w:rPr>
          <w:sz w:val="22"/>
        </w:rPr>
        <w:t>that</w:t>
      </w:r>
      <w:r>
        <w:rPr>
          <w:spacing w:val="-4"/>
          <w:sz w:val="22"/>
        </w:rPr>
        <w:t> </w:t>
      </w:r>
      <w:r>
        <w:rPr>
          <w:sz w:val="22"/>
        </w:rPr>
        <w:t>IRP</w:t>
      </w:r>
      <w:r>
        <w:rPr>
          <w:spacing w:val="-4"/>
          <w:sz w:val="22"/>
        </w:rPr>
        <w:t> </w:t>
      </w:r>
      <w:r>
        <w:rPr>
          <w:sz w:val="22"/>
        </w:rPr>
        <w:t>can</w:t>
      </w:r>
      <w:r>
        <w:rPr>
          <w:spacing w:val="-4"/>
          <w:sz w:val="22"/>
        </w:rPr>
        <w:t> </w:t>
      </w:r>
      <w:r>
        <w:rPr>
          <w:sz w:val="22"/>
        </w:rPr>
        <w:t>be</w:t>
      </w:r>
      <w:r>
        <w:rPr>
          <w:spacing w:val="-4"/>
          <w:sz w:val="22"/>
        </w:rPr>
        <w:t> </w:t>
      </w:r>
      <w:r>
        <w:rPr>
          <w:sz w:val="22"/>
        </w:rPr>
        <w:t>written</w:t>
      </w:r>
      <w:r>
        <w:rPr>
          <w:spacing w:val="-4"/>
          <w:sz w:val="22"/>
        </w:rPr>
        <w:t> </w:t>
      </w:r>
      <w:r>
        <w:rPr>
          <w:sz w:val="22"/>
        </w:rPr>
        <w:t>when</w:t>
      </w:r>
      <w:r>
        <w:rPr>
          <w:spacing w:val="-4"/>
          <w:sz w:val="22"/>
        </w:rPr>
        <w:t> </w:t>
      </w:r>
      <w:r>
        <w:rPr>
          <w:sz w:val="22"/>
        </w:rPr>
        <w:t>extended</w:t>
      </w:r>
      <w:r>
        <w:rPr>
          <w:spacing w:val="-4"/>
          <w:sz w:val="22"/>
        </w:rPr>
        <w:t> </w:t>
      </w:r>
      <w:r>
        <w:rPr>
          <w:sz w:val="22"/>
        </w:rPr>
        <w:t>services</w:t>
      </w:r>
      <w:r>
        <w:rPr>
          <w:spacing w:val="-4"/>
          <w:sz w:val="22"/>
        </w:rPr>
        <w:t> </w:t>
      </w:r>
      <w:r>
        <w:rPr>
          <w:sz w:val="22"/>
        </w:rPr>
        <w:t>provider has not yet been found.</w:t>
      </w:r>
    </w:p>
    <w:p>
      <w:pPr>
        <w:pStyle w:val="ListParagraph"/>
        <w:numPr>
          <w:ilvl w:val="2"/>
          <w:numId w:val="194"/>
        </w:numPr>
        <w:tabs>
          <w:tab w:pos="1439" w:val="left" w:leader="none"/>
        </w:tabs>
        <w:spacing w:line="252"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#98-</w:t>
      </w:r>
      <w:r>
        <w:rPr>
          <w:spacing w:val="-5"/>
          <w:sz w:val="22"/>
        </w:rPr>
        <w:t>15</w:t>
      </w:r>
    </w:p>
    <w:p>
      <w:pPr>
        <w:spacing w:before="0"/>
        <w:ind w:left="1439" w:right="727" w:firstLine="0"/>
        <w:jc w:val="left"/>
        <w:rPr>
          <w:sz w:val="22"/>
        </w:rPr>
      </w:pPr>
      <w:r>
        <w:rPr>
          <w:sz w:val="22"/>
        </w:rPr>
        <w:t>Makes emergency rules issued 10-1-97 permanent, initiate IRP even if don't have commitment</w:t>
      </w:r>
      <w:r>
        <w:rPr>
          <w:spacing w:val="-3"/>
          <w:sz w:val="22"/>
        </w:rPr>
        <w:t> </w:t>
      </w:r>
      <w:r>
        <w:rPr>
          <w:sz w:val="22"/>
        </w:rPr>
        <w:t>for</w:t>
      </w:r>
      <w:r>
        <w:rPr>
          <w:spacing w:val="-4"/>
          <w:sz w:val="22"/>
        </w:rPr>
        <w:t> </w:t>
      </w:r>
      <w:r>
        <w:rPr>
          <w:sz w:val="22"/>
        </w:rPr>
        <w:t>extended</w:t>
      </w:r>
      <w:r>
        <w:rPr>
          <w:spacing w:val="-4"/>
          <w:sz w:val="22"/>
        </w:rPr>
        <w:t> </w:t>
      </w:r>
      <w:r>
        <w:rPr>
          <w:sz w:val="22"/>
        </w:rPr>
        <w:t>services</w:t>
      </w:r>
      <w:r>
        <w:rPr>
          <w:spacing w:val="-4"/>
          <w:sz w:val="22"/>
        </w:rPr>
        <w:t> </w:t>
      </w:r>
      <w:r>
        <w:rPr>
          <w:sz w:val="22"/>
        </w:rPr>
        <w:t>provider,</w:t>
      </w:r>
      <w:r>
        <w:rPr>
          <w:spacing w:val="-4"/>
          <w:sz w:val="22"/>
        </w:rPr>
        <w:t> </w:t>
      </w:r>
      <w:r>
        <w:rPr>
          <w:sz w:val="22"/>
        </w:rPr>
        <w:t>state</w:t>
      </w:r>
      <w:r>
        <w:rPr>
          <w:spacing w:val="-4"/>
          <w:sz w:val="22"/>
        </w:rPr>
        <w:t> </w:t>
      </w:r>
      <w:r>
        <w:rPr>
          <w:sz w:val="22"/>
        </w:rPr>
        <w:t>why</w:t>
      </w:r>
      <w:r>
        <w:rPr>
          <w:spacing w:val="-4"/>
          <w:sz w:val="22"/>
        </w:rPr>
        <w:t> </w:t>
      </w:r>
      <w:r>
        <w:rPr>
          <w:sz w:val="22"/>
        </w:rPr>
        <w:t>expect</w:t>
      </w:r>
      <w:r>
        <w:rPr>
          <w:spacing w:val="-4"/>
          <w:sz w:val="22"/>
        </w:rPr>
        <w:t> </w:t>
      </w:r>
      <w:r>
        <w:rPr>
          <w:sz w:val="22"/>
        </w:rPr>
        <w:t>to</w:t>
      </w:r>
      <w:r>
        <w:rPr>
          <w:spacing w:val="-4"/>
          <w:sz w:val="22"/>
        </w:rPr>
        <w:t> </w:t>
      </w:r>
      <w:r>
        <w:rPr>
          <w:sz w:val="22"/>
        </w:rPr>
        <w:t>get</w:t>
      </w:r>
      <w:r>
        <w:rPr>
          <w:spacing w:val="-4"/>
          <w:sz w:val="22"/>
        </w:rPr>
        <w:t> </w:t>
      </w:r>
      <w:r>
        <w:rPr>
          <w:sz w:val="22"/>
        </w:rPr>
        <w:t>one,</w:t>
      </w:r>
      <w:r>
        <w:rPr>
          <w:spacing w:val="-5"/>
          <w:sz w:val="22"/>
        </w:rPr>
        <w:t> </w:t>
      </w:r>
      <w:r>
        <w:rPr>
          <w:sz w:val="22"/>
        </w:rPr>
        <w:t>amend</w:t>
      </w:r>
      <w:r>
        <w:rPr>
          <w:spacing w:val="-4"/>
          <w:sz w:val="22"/>
        </w:rPr>
        <w:t> </w:t>
      </w:r>
      <w:r>
        <w:rPr>
          <w:sz w:val="22"/>
        </w:rPr>
        <w:t>plan when do.</w:t>
      </w:r>
    </w:p>
    <w:p>
      <w:pPr>
        <w:tabs>
          <w:tab w:pos="1439" w:val="left" w:leader="none"/>
        </w:tabs>
        <w:spacing w:line="253" w:lineRule="exact" w:before="1"/>
        <w:ind w:left="359" w:right="0" w:firstLine="0"/>
        <w:jc w:val="left"/>
        <w:rPr>
          <w:sz w:val="22"/>
        </w:rPr>
      </w:pPr>
      <w:r>
        <w:rPr>
          <w:spacing w:val="-2"/>
          <w:sz w:val="22"/>
        </w:rPr>
        <w:t>6-14-</w:t>
      </w:r>
      <w:r>
        <w:rPr>
          <w:spacing w:val="-5"/>
          <w:sz w:val="22"/>
        </w:rPr>
        <w:t>99</w:t>
      </w:r>
      <w:r>
        <w:rPr>
          <w:sz w:val="22"/>
        </w:rPr>
        <w:tab/>
        <w:t>POL</w:t>
      </w:r>
      <w:r>
        <w:rPr>
          <w:spacing w:val="-9"/>
          <w:sz w:val="22"/>
        </w:rPr>
        <w:t> </w:t>
      </w:r>
      <w:r>
        <w:rPr>
          <w:sz w:val="22"/>
        </w:rPr>
        <w:t>Memo</w:t>
      </w:r>
      <w:r>
        <w:rPr>
          <w:spacing w:val="-8"/>
          <w:sz w:val="22"/>
        </w:rPr>
        <w:t> </w:t>
      </w:r>
      <w:r>
        <w:rPr>
          <w:sz w:val="22"/>
        </w:rPr>
        <w:t>#99-</w:t>
      </w:r>
      <w:r>
        <w:rPr>
          <w:spacing w:val="-10"/>
          <w:sz w:val="22"/>
        </w:rPr>
        <w:t>7</w:t>
      </w:r>
    </w:p>
    <w:p>
      <w:pPr>
        <w:tabs>
          <w:tab w:pos="1439" w:val="left" w:leader="none"/>
        </w:tabs>
        <w:spacing w:before="0"/>
        <w:ind w:left="359" w:right="4414" w:firstLine="1080"/>
        <w:jc w:val="left"/>
        <w:rPr>
          <w:sz w:val="22"/>
        </w:rPr>
      </w:pPr>
      <w:r>
        <w:rPr>
          <w:sz w:val="22"/>
        </w:rPr>
        <w:t>Emergency,</w:t>
      </w:r>
      <w:r>
        <w:rPr>
          <w:spacing w:val="-7"/>
          <w:sz w:val="22"/>
        </w:rPr>
        <w:t> </w:t>
      </w:r>
      <w:r>
        <w:rPr>
          <w:sz w:val="22"/>
        </w:rPr>
        <w:t>updated</w:t>
      </w:r>
      <w:r>
        <w:rPr>
          <w:spacing w:val="-7"/>
          <w:sz w:val="22"/>
        </w:rPr>
        <w:t> </w:t>
      </w:r>
      <w:r>
        <w:rPr>
          <w:sz w:val="22"/>
        </w:rPr>
        <w:t>DVR/DVS</w:t>
      </w:r>
      <w:r>
        <w:rPr>
          <w:spacing w:val="-7"/>
          <w:sz w:val="22"/>
        </w:rPr>
        <w:t> </w:t>
      </w:r>
      <w:r>
        <w:rPr>
          <w:sz w:val="22"/>
        </w:rPr>
        <w:t>and</w:t>
      </w:r>
      <w:r>
        <w:rPr>
          <w:spacing w:val="-7"/>
          <w:sz w:val="22"/>
        </w:rPr>
        <w:t> </w:t>
      </w:r>
      <w:r>
        <w:rPr>
          <w:sz w:val="22"/>
        </w:rPr>
        <w:t>IRP</w:t>
      </w:r>
      <w:r>
        <w:rPr>
          <w:spacing w:val="-7"/>
          <w:sz w:val="22"/>
        </w:rPr>
        <w:t> </w:t>
      </w:r>
      <w:r>
        <w:rPr>
          <w:sz w:val="22"/>
        </w:rPr>
        <w:t>to</w:t>
      </w:r>
      <w:r>
        <w:rPr>
          <w:spacing w:val="-7"/>
          <w:sz w:val="22"/>
        </w:rPr>
        <w:t> </w:t>
      </w:r>
      <w:r>
        <w:rPr>
          <w:sz w:val="22"/>
        </w:rPr>
        <w:t>IPE </w:t>
      </w:r>
      <w:r>
        <w:rPr>
          <w:spacing w:val="-2"/>
          <w:sz w:val="22"/>
        </w:rPr>
        <w:t>7-1-99</w:t>
      </w:r>
      <w:r>
        <w:rPr>
          <w:sz w:val="22"/>
        </w:rPr>
        <w:tab/>
        <w:t>POL Memo #00-1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7-1-03</w:t>
      </w:r>
      <w:r>
        <w:rPr>
          <w:sz w:val="22"/>
        </w:rPr>
        <w:tab/>
        <w:t>PT Memo #03-07</w:t>
      </w:r>
    </w:p>
    <w:p>
      <w:pPr>
        <w:spacing w:line="253" w:lineRule="exact" w:before="0"/>
        <w:ind w:left="1439" w:right="0" w:firstLine="0"/>
        <w:jc w:val="left"/>
        <w:rPr>
          <w:sz w:val="22"/>
        </w:rPr>
      </w:pPr>
      <w:r>
        <w:rPr>
          <w:sz w:val="22"/>
        </w:rPr>
        <w:t>Permanent,</w:t>
      </w:r>
      <w:r>
        <w:rPr>
          <w:spacing w:val="-11"/>
          <w:sz w:val="22"/>
        </w:rPr>
        <w:t> </w:t>
      </w:r>
      <w:r>
        <w:rPr>
          <w:sz w:val="22"/>
        </w:rPr>
        <w:t>added</w:t>
      </w:r>
      <w:r>
        <w:rPr>
          <w:spacing w:val="-11"/>
          <w:sz w:val="22"/>
        </w:rPr>
        <w:t> </w:t>
      </w:r>
      <w:r>
        <w:rPr>
          <w:sz w:val="22"/>
        </w:rPr>
        <w:t>supported</w:t>
      </w:r>
      <w:r>
        <w:rPr>
          <w:spacing w:val="-11"/>
          <w:sz w:val="22"/>
        </w:rPr>
        <w:t> </w:t>
      </w:r>
      <w:r>
        <w:rPr>
          <w:sz w:val="22"/>
        </w:rPr>
        <w:t>employment</w:t>
      </w:r>
      <w:r>
        <w:rPr>
          <w:spacing w:val="-11"/>
          <w:sz w:val="22"/>
        </w:rPr>
        <w:t> </w:t>
      </w:r>
      <w:r>
        <w:rPr>
          <w:spacing w:val="-2"/>
          <w:sz w:val="22"/>
        </w:rPr>
        <w:t>language.</w:t>
      </w:r>
    </w:p>
    <w:p>
      <w:pPr>
        <w:pStyle w:val="ListParagraph"/>
        <w:numPr>
          <w:ilvl w:val="2"/>
          <w:numId w:val="148"/>
        </w:numPr>
        <w:tabs>
          <w:tab w:pos="1439" w:val="left" w:leader="none"/>
        </w:tabs>
        <w:spacing w:line="253"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#09-</w:t>
      </w:r>
      <w:r>
        <w:rPr>
          <w:spacing w:val="-5"/>
          <w:sz w:val="22"/>
        </w:rPr>
        <w:t>01</w:t>
      </w:r>
    </w:p>
    <w:p>
      <w:pPr>
        <w:tabs>
          <w:tab w:pos="1439" w:val="left" w:leader="none"/>
        </w:tabs>
        <w:spacing w:before="0"/>
        <w:ind w:left="359" w:right="4343" w:firstLine="1080"/>
        <w:jc w:val="left"/>
        <w:rPr>
          <w:sz w:val="22"/>
        </w:rPr>
      </w:pPr>
      <w:r>
        <w:rPr>
          <w:sz w:val="22"/>
        </w:rPr>
        <w:t>Permanent,</w:t>
      </w:r>
      <w:r>
        <w:rPr>
          <w:spacing w:val="-9"/>
          <w:sz w:val="22"/>
        </w:rPr>
        <w:t> </w:t>
      </w:r>
      <w:r>
        <w:rPr>
          <w:sz w:val="22"/>
        </w:rPr>
        <w:t>Replaced</w:t>
      </w:r>
      <w:r>
        <w:rPr>
          <w:spacing w:val="-10"/>
          <w:sz w:val="22"/>
        </w:rPr>
        <w:t> </w:t>
      </w:r>
      <w:r>
        <w:rPr>
          <w:sz w:val="22"/>
        </w:rPr>
        <w:t>"severe"</w:t>
      </w:r>
      <w:r>
        <w:rPr>
          <w:spacing w:val="-10"/>
          <w:sz w:val="22"/>
        </w:rPr>
        <w:t> </w:t>
      </w:r>
      <w:r>
        <w:rPr>
          <w:sz w:val="22"/>
        </w:rPr>
        <w:t>with</w:t>
      </w:r>
      <w:r>
        <w:rPr>
          <w:spacing w:val="-10"/>
          <w:sz w:val="22"/>
        </w:rPr>
        <w:t> </w:t>
      </w:r>
      <w:r>
        <w:rPr>
          <w:sz w:val="22"/>
        </w:rPr>
        <w:t>"significant" </w:t>
      </w:r>
      <w:r>
        <w:rPr>
          <w:spacing w:val="-2"/>
          <w:sz w:val="22"/>
        </w:rPr>
        <w:t>7-1-11</w:t>
      </w:r>
      <w:r>
        <w:rPr>
          <w:sz w:val="22"/>
        </w:rPr>
        <w:tab/>
        <w:t>PT Memo #12-01</w:t>
      </w:r>
    </w:p>
    <w:p>
      <w:pPr>
        <w:spacing w:before="1"/>
        <w:ind w:left="1439" w:right="0" w:firstLine="0"/>
        <w:jc w:val="left"/>
        <w:rPr>
          <w:sz w:val="22"/>
        </w:rPr>
      </w:pPr>
      <w:r>
        <w:rPr>
          <w:sz w:val="22"/>
        </w:rPr>
        <w:t>Permanent,</w:t>
      </w:r>
      <w:r>
        <w:rPr>
          <w:spacing w:val="-9"/>
          <w:sz w:val="22"/>
        </w:rPr>
        <w:t> </w:t>
      </w:r>
      <w:r>
        <w:rPr>
          <w:sz w:val="22"/>
        </w:rPr>
        <w:t>removed</w:t>
      </w:r>
      <w:r>
        <w:rPr>
          <w:spacing w:val="-9"/>
          <w:sz w:val="22"/>
        </w:rPr>
        <w:t> </w:t>
      </w:r>
      <w:r>
        <w:rPr>
          <w:sz w:val="22"/>
        </w:rPr>
        <w:t>procedures</w:t>
      </w:r>
      <w:r>
        <w:rPr>
          <w:spacing w:val="-8"/>
          <w:sz w:val="22"/>
        </w:rPr>
        <w:t> </w:t>
      </w:r>
      <w:r>
        <w:rPr>
          <w:sz w:val="22"/>
        </w:rPr>
        <w:t>to</w:t>
      </w:r>
      <w:r>
        <w:rPr>
          <w:spacing w:val="-10"/>
          <w:sz w:val="22"/>
        </w:rPr>
        <w:t> </w:t>
      </w:r>
      <w:r>
        <w:rPr>
          <w:spacing w:val="-5"/>
          <w:sz w:val="22"/>
        </w:rPr>
        <w:t>ITS</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spacing w:after="0"/>
        <w:jc w:val="left"/>
        <w:rPr>
          <w:sz w:val="22"/>
        </w:rPr>
        <w:sectPr>
          <w:pgSz w:w="12240" w:h="15840"/>
          <w:pgMar w:top="1340" w:bottom="280" w:left="1080" w:right="720"/>
        </w:sectPr>
      </w:pPr>
    </w:p>
    <w:p>
      <w:pPr>
        <w:tabs>
          <w:tab w:pos="1439" w:val="left" w:leader="none"/>
        </w:tabs>
        <w:spacing w:before="8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spacing w:before="0"/>
        <w:ind w:left="1439" w:right="739" w:firstLine="0"/>
        <w:jc w:val="left"/>
        <w:rPr>
          <w:sz w:val="22"/>
        </w:rPr>
      </w:pPr>
      <w:r>
        <w:rPr>
          <w:sz w:val="22"/>
        </w:rPr>
        <w:t>Updated language to permit DRS to provide extended services up to 4 years for youth</w:t>
      </w:r>
      <w:r>
        <w:rPr>
          <w:spacing w:val="-4"/>
          <w:sz w:val="22"/>
        </w:rPr>
        <w:t> </w:t>
      </w:r>
      <w:r>
        <w:rPr>
          <w:sz w:val="22"/>
        </w:rPr>
        <w:t>with</w:t>
      </w:r>
      <w:r>
        <w:rPr>
          <w:spacing w:val="-4"/>
          <w:sz w:val="22"/>
        </w:rPr>
        <w:t> </w:t>
      </w:r>
      <w:r>
        <w:rPr>
          <w:sz w:val="22"/>
        </w:rPr>
        <w:t>the</w:t>
      </w:r>
      <w:r>
        <w:rPr>
          <w:spacing w:val="-4"/>
          <w:sz w:val="22"/>
        </w:rPr>
        <w:t> </w:t>
      </w:r>
      <w:r>
        <w:rPr>
          <w:sz w:val="22"/>
        </w:rPr>
        <w:t>most</w:t>
      </w:r>
      <w:r>
        <w:rPr>
          <w:spacing w:val="-4"/>
          <w:sz w:val="22"/>
        </w:rPr>
        <w:t> </w:t>
      </w:r>
      <w:r>
        <w:rPr>
          <w:sz w:val="22"/>
        </w:rPr>
        <w:t>significant</w:t>
      </w:r>
      <w:r>
        <w:rPr>
          <w:spacing w:val="-4"/>
          <w:sz w:val="22"/>
        </w:rPr>
        <w:t> </w:t>
      </w:r>
      <w:r>
        <w:rPr>
          <w:sz w:val="22"/>
        </w:rPr>
        <w:t>disabilities</w:t>
      </w:r>
      <w:r>
        <w:rPr>
          <w:spacing w:val="-4"/>
          <w:sz w:val="22"/>
        </w:rPr>
        <w:t> </w:t>
      </w:r>
      <w:r>
        <w:rPr>
          <w:sz w:val="22"/>
        </w:rPr>
        <w:t>who</w:t>
      </w:r>
      <w:r>
        <w:rPr>
          <w:spacing w:val="-4"/>
          <w:sz w:val="22"/>
        </w:rPr>
        <w:t> </w:t>
      </w:r>
      <w:r>
        <w:rPr>
          <w:sz w:val="22"/>
        </w:rPr>
        <w:t>are</w:t>
      </w:r>
      <w:r>
        <w:rPr>
          <w:spacing w:val="-4"/>
          <w:sz w:val="22"/>
        </w:rPr>
        <w:t> </w:t>
      </w:r>
      <w:r>
        <w:rPr>
          <w:sz w:val="22"/>
        </w:rPr>
        <w:t>working</w:t>
      </w:r>
      <w:r>
        <w:rPr>
          <w:spacing w:val="-4"/>
          <w:sz w:val="22"/>
        </w:rPr>
        <w:t> </w:t>
      </w:r>
      <w:r>
        <w:rPr>
          <w:sz w:val="22"/>
        </w:rPr>
        <w:t>in</w:t>
      </w:r>
      <w:r>
        <w:rPr>
          <w:spacing w:val="-4"/>
          <w:sz w:val="22"/>
        </w:rPr>
        <w:t> </w:t>
      </w:r>
      <w:r>
        <w:rPr>
          <w:sz w:val="22"/>
        </w:rPr>
        <w:t>supported</w:t>
      </w:r>
      <w:r>
        <w:rPr>
          <w:spacing w:val="-5"/>
          <w:sz w:val="22"/>
        </w:rPr>
        <w:t> </w:t>
      </w:r>
      <w:r>
        <w:rPr>
          <w:sz w:val="22"/>
        </w:rPr>
        <w:t>employment, to allow them to maintain such employment.</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tabs>
          <w:tab w:pos="1439" w:val="left" w:leader="none"/>
        </w:tabs>
        <w:spacing w:line="253" w:lineRule="exact" w:before="0"/>
        <w:ind w:left="360" w:right="0" w:firstLine="0"/>
        <w:jc w:val="left"/>
        <w:rPr>
          <w:sz w:val="22"/>
        </w:rPr>
      </w:pPr>
      <w:r>
        <w:rPr>
          <w:spacing w:val="-2"/>
          <w:sz w:val="22"/>
        </w:rPr>
        <w:t>8-11-</w:t>
      </w:r>
      <w:r>
        <w:rPr>
          <w:spacing w:val="-5"/>
          <w:sz w:val="22"/>
        </w:rPr>
        <w:t>24</w:t>
      </w:r>
      <w:r>
        <w:rPr>
          <w:sz w:val="22"/>
        </w:rPr>
        <w:tab/>
        <w:t>Revised</w:t>
      </w:r>
      <w:r>
        <w:rPr>
          <w:spacing w:val="-9"/>
          <w:sz w:val="22"/>
        </w:rPr>
        <w:t> </w:t>
      </w:r>
      <w:r>
        <w:rPr>
          <w:sz w:val="22"/>
        </w:rPr>
        <w:t>language</w:t>
      </w:r>
      <w:r>
        <w:rPr>
          <w:spacing w:val="-9"/>
          <w:sz w:val="22"/>
        </w:rPr>
        <w:t> </w:t>
      </w:r>
      <w:r>
        <w:rPr>
          <w:sz w:val="22"/>
        </w:rPr>
        <w:t>eliminating</w:t>
      </w:r>
      <w:r>
        <w:rPr>
          <w:spacing w:val="-9"/>
          <w:sz w:val="22"/>
        </w:rPr>
        <w:t> </w:t>
      </w:r>
      <w:r>
        <w:rPr>
          <w:sz w:val="22"/>
        </w:rPr>
        <w:t>“supported”</w:t>
      </w:r>
      <w:r>
        <w:rPr>
          <w:spacing w:val="-9"/>
          <w:sz w:val="22"/>
        </w:rPr>
        <w:t> </w:t>
      </w:r>
      <w:r>
        <w:rPr>
          <w:sz w:val="22"/>
        </w:rPr>
        <w:t>and</w:t>
      </w:r>
      <w:r>
        <w:rPr>
          <w:spacing w:val="-9"/>
          <w:sz w:val="22"/>
        </w:rPr>
        <w:t> </w:t>
      </w:r>
      <w:r>
        <w:rPr>
          <w:sz w:val="22"/>
        </w:rPr>
        <w:t>replacing</w:t>
      </w:r>
      <w:r>
        <w:rPr>
          <w:spacing w:val="-9"/>
          <w:sz w:val="22"/>
        </w:rPr>
        <w:t> </w:t>
      </w:r>
      <w:r>
        <w:rPr>
          <w:sz w:val="22"/>
        </w:rPr>
        <w:t>with</w:t>
      </w:r>
      <w:r>
        <w:rPr>
          <w:spacing w:val="-9"/>
          <w:sz w:val="22"/>
        </w:rPr>
        <w:t> </w:t>
      </w:r>
      <w:r>
        <w:rPr>
          <w:spacing w:val="-2"/>
          <w:sz w:val="22"/>
        </w:rPr>
        <w:t>“successful”.</w:t>
      </w:r>
    </w:p>
    <w:p>
      <w:pPr>
        <w:spacing w:line="253" w:lineRule="exact" w:before="0"/>
        <w:ind w:left="1439" w:right="0" w:firstLine="0"/>
        <w:jc w:val="left"/>
        <w:rPr>
          <w:sz w:val="22"/>
        </w:rPr>
      </w:pPr>
      <w:r>
        <w:rPr>
          <w:sz w:val="22"/>
        </w:rPr>
        <w:t>Eliminating</w:t>
      </w:r>
      <w:r>
        <w:rPr>
          <w:spacing w:val="-10"/>
          <w:sz w:val="22"/>
        </w:rPr>
        <w:t> </w:t>
      </w:r>
      <w:r>
        <w:rPr>
          <w:sz w:val="22"/>
        </w:rPr>
        <w:t>“placement”</w:t>
      </w:r>
      <w:r>
        <w:rPr>
          <w:spacing w:val="-10"/>
          <w:sz w:val="22"/>
        </w:rPr>
        <w:t> </w:t>
      </w:r>
      <w:r>
        <w:rPr>
          <w:sz w:val="22"/>
        </w:rPr>
        <w:t>from</w:t>
      </w:r>
      <w:r>
        <w:rPr>
          <w:spacing w:val="-11"/>
          <w:sz w:val="22"/>
        </w:rPr>
        <w:t> </w:t>
      </w:r>
      <w:r>
        <w:rPr>
          <w:spacing w:val="-2"/>
          <w:sz w:val="22"/>
        </w:rPr>
        <w:t>language.</w:t>
      </w:r>
    </w:p>
    <w:p>
      <w:pPr>
        <w:spacing w:after="0" w:line="253" w:lineRule="exact"/>
        <w:jc w:val="left"/>
        <w:rPr>
          <w:sz w:val="22"/>
        </w:rPr>
        <w:sectPr>
          <w:pgSz w:w="12240" w:h="15840"/>
          <w:pgMar w:top="1360" w:bottom="280" w:left="1080" w:right="720"/>
        </w:sectPr>
      </w:pPr>
    </w:p>
    <w:p>
      <w:pPr>
        <w:pStyle w:val="Heading2"/>
      </w:pPr>
      <w:bookmarkStart w:name="612:10-7-185.  Provision of supported em" w:id="199"/>
      <w:bookmarkEnd w:id="199"/>
      <w:r>
        <w:rPr>
          <w:b w:val="0"/>
        </w:rPr>
      </w:r>
      <w:r>
        <w:rPr/>
        <w:t>612:10-7-185.</w:t>
      </w:r>
      <w:r>
        <w:rPr>
          <w:spacing w:val="55"/>
        </w:rPr>
        <w:t> </w:t>
      </w:r>
      <w:r>
        <w:rPr/>
        <w:t>Provision</w:t>
      </w:r>
      <w:r>
        <w:rPr>
          <w:spacing w:val="-5"/>
        </w:rPr>
        <w:t> </w:t>
      </w:r>
      <w:r>
        <w:rPr/>
        <w:t>of</w:t>
      </w:r>
      <w:r>
        <w:rPr>
          <w:spacing w:val="-3"/>
        </w:rPr>
        <w:t> </w:t>
      </w:r>
      <w:r>
        <w:rPr/>
        <w:t>supported</w:t>
      </w:r>
      <w:r>
        <w:rPr>
          <w:spacing w:val="-5"/>
        </w:rPr>
        <w:t> </w:t>
      </w:r>
      <w:r>
        <w:rPr/>
        <w:t>employment</w:t>
      </w:r>
      <w:r>
        <w:rPr>
          <w:spacing w:val="-5"/>
        </w:rPr>
        <w:t> </w:t>
      </w:r>
      <w:r>
        <w:rPr>
          <w:spacing w:val="-2"/>
        </w:rPr>
        <w:t>services</w:t>
      </w:r>
    </w:p>
    <w:p>
      <w:pPr>
        <w:pStyle w:val="ListParagraph"/>
        <w:numPr>
          <w:ilvl w:val="0"/>
          <w:numId w:val="216"/>
        </w:numPr>
        <w:tabs>
          <w:tab w:pos="786" w:val="left" w:leader="none"/>
        </w:tabs>
        <w:spacing w:line="208" w:lineRule="auto" w:before="233" w:after="0"/>
        <w:ind w:left="360" w:right="912" w:firstLine="0"/>
        <w:jc w:val="left"/>
        <w:rPr>
          <w:b/>
          <w:sz w:val="24"/>
        </w:rPr>
      </w:pPr>
      <w:r>
        <w:rPr>
          <w:sz w:val="24"/>
        </w:rPr>
        <w:t>Supported</w:t>
      </w:r>
      <w:r>
        <w:rPr>
          <w:spacing w:val="-3"/>
          <w:sz w:val="24"/>
        </w:rPr>
        <w:t> </w:t>
      </w:r>
      <w:r>
        <w:rPr>
          <w:sz w:val="24"/>
        </w:rPr>
        <w:t>employment</w:t>
      </w:r>
      <w:r>
        <w:rPr>
          <w:spacing w:val="-2"/>
          <w:sz w:val="24"/>
        </w:rPr>
        <w:t> </w:t>
      </w:r>
      <w:r>
        <w:rPr>
          <w:sz w:val="24"/>
        </w:rPr>
        <w:t>(SE)</w:t>
      </w:r>
      <w:r>
        <w:rPr>
          <w:spacing w:val="-4"/>
          <w:sz w:val="24"/>
        </w:rPr>
        <w:t> </w:t>
      </w:r>
      <w:r>
        <w:rPr>
          <w:sz w:val="24"/>
        </w:rPr>
        <w:t>services</w:t>
      </w:r>
      <w:r>
        <w:rPr>
          <w:spacing w:val="-3"/>
          <w:sz w:val="24"/>
        </w:rPr>
        <w:t> </w:t>
      </w:r>
      <w:r>
        <w:rPr>
          <w:sz w:val="24"/>
        </w:rPr>
        <w:t>are</w:t>
      </w:r>
      <w:r>
        <w:rPr>
          <w:spacing w:val="-3"/>
          <w:sz w:val="24"/>
        </w:rPr>
        <w:t> </w:t>
      </w:r>
      <w:r>
        <w:rPr>
          <w:sz w:val="24"/>
        </w:rPr>
        <w:t>provided</w:t>
      </w:r>
      <w:r>
        <w:rPr>
          <w:spacing w:val="-2"/>
          <w:sz w:val="24"/>
        </w:rPr>
        <w:t> </w:t>
      </w:r>
      <w:r>
        <w:rPr>
          <w:sz w:val="24"/>
        </w:rPr>
        <w:t>by</w:t>
      </w:r>
      <w:r>
        <w:rPr>
          <w:spacing w:val="-3"/>
          <w:sz w:val="24"/>
        </w:rPr>
        <w:t> </w:t>
      </w:r>
      <w:r>
        <w:rPr>
          <w:sz w:val="24"/>
        </w:rPr>
        <w:t>DRS</w:t>
      </w:r>
      <w:r>
        <w:rPr>
          <w:spacing w:val="-3"/>
          <w:sz w:val="24"/>
        </w:rPr>
        <w:t> </w:t>
      </w:r>
      <w:r>
        <w:rPr>
          <w:sz w:val="24"/>
        </w:rPr>
        <w:t>for</w:t>
      </w:r>
      <w:r>
        <w:rPr>
          <w:spacing w:val="-2"/>
          <w:sz w:val="24"/>
        </w:rPr>
        <w:t> </w:t>
      </w:r>
      <w:r>
        <w:rPr>
          <w:sz w:val="24"/>
        </w:rPr>
        <w:t>a</w:t>
      </w:r>
      <w:r>
        <w:rPr>
          <w:spacing w:val="-3"/>
          <w:sz w:val="24"/>
        </w:rPr>
        <w:t> </w:t>
      </w:r>
      <w:r>
        <w:rPr>
          <w:sz w:val="24"/>
        </w:rPr>
        <w:t>period</w:t>
      </w:r>
      <w:r>
        <w:rPr>
          <w:spacing w:val="-3"/>
          <w:sz w:val="24"/>
        </w:rPr>
        <w:t> </w:t>
      </w:r>
      <w:r>
        <w:rPr>
          <w:sz w:val="24"/>
        </w:rPr>
        <w:t>of</w:t>
      </w:r>
      <w:r>
        <w:rPr>
          <w:spacing w:val="-2"/>
          <w:sz w:val="24"/>
        </w:rPr>
        <w:t> </w:t>
      </w:r>
      <w:r>
        <w:rPr>
          <w:sz w:val="24"/>
        </w:rPr>
        <w:t>time</w:t>
      </w:r>
      <w:r>
        <w:rPr>
          <w:spacing w:val="-3"/>
          <w:sz w:val="24"/>
        </w:rPr>
        <w:t> </w:t>
      </w:r>
      <w:r>
        <w:rPr>
          <w:sz w:val="24"/>
        </w:rPr>
        <w:t>not to exceed the period specified in federal law, unless under special circumstances the eligible individual and the rehabilitation counselor jointly agree to extend the time in order to achieve the rehabilitation objective identified in the IPE. </w:t>
      </w:r>
      <w:r>
        <w:rPr>
          <w:b/>
          <w:sz w:val="24"/>
        </w:rPr>
        <w:t>1</w:t>
      </w:r>
    </w:p>
    <w:p>
      <w:pPr>
        <w:pStyle w:val="ListParagraph"/>
        <w:numPr>
          <w:ilvl w:val="0"/>
          <w:numId w:val="216"/>
        </w:numPr>
        <w:tabs>
          <w:tab w:pos="786" w:val="left" w:leader="none"/>
        </w:tabs>
        <w:spacing w:line="208" w:lineRule="auto" w:before="239" w:after="0"/>
        <w:ind w:left="360" w:right="848" w:firstLine="0"/>
        <w:jc w:val="left"/>
        <w:rPr>
          <w:b/>
          <w:sz w:val="24"/>
        </w:rPr>
      </w:pPr>
      <w:r>
        <w:rPr>
          <w:sz w:val="24"/>
        </w:rPr>
        <w:t>Supported employment services are not subject to financial status determination. Services are purchased from a qualified contractor with the Oklahoma Department of Rehabilitation Services and are provided by certified employment consultants or job coaches.</w:t>
      </w:r>
      <w:r>
        <w:rPr>
          <w:spacing w:val="-4"/>
          <w:sz w:val="24"/>
        </w:rPr>
        <w:t> </w:t>
      </w:r>
      <w:r>
        <w:rPr>
          <w:sz w:val="24"/>
        </w:rPr>
        <w:t>Payment</w:t>
      </w:r>
      <w:r>
        <w:rPr>
          <w:spacing w:val="-4"/>
          <w:sz w:val="24"/>
        </w:rPr>
        <w:t> </w:t>
      </w:r>
      <w:r>
        <w:rPr>
          <w:sz w:val="24"/>
        </w:rPr>
        <w:t>rates</w:t>
      </w:r>
      <w:r>
        <w:rPr>
          <w:spacing w:val="-5"/>
          <w:sz w:val="24"/>
        </w:rPr>
        <w:t> </w:t>
      </w:r>
      <w:r>
        <w:rPr>
          <w:sz w:val="24"/>
        </w:rPr>
        <w:t>are</w:t>
      </w:r>
      <w:r>
        <w:rPr>
          <w:spacing w:val="-5"/>
          <w:sz w:val="24"/>
        </w:rPr>
        <w:t> </w:t>
      </w:r>
      <w:r>
        <w:rPr>
          <w:sz w:val="24"/>
        </w:rPr>
        <w:t>established</w:t>
      </w:r>
      <w:r>
        <w:rPr>
          <w:spacing w:val="-5"/>
          <w:sz w:val="24"/>
        </w:rPr>
        <w:t> </w:t>
      </w:r>
      <w:r>
        <w:rPr>
          <w:sz w:val="24"/>
        </w:rPr>
        <w:t>by</w:t>
      </w:r>
      <w:r>
        <w:rPr>
          <w:spacing w:val="-5"/>
          <w:sz w:val="24"/>
        </w:rPr>
        <w:t> </w:t>
      </w:r>
      <w:r>
        <w:rPr>
          <w:sz w:val="24"/>
        </w:rPr>
        <w:t>the</w:t>
      </w:r>
      <w:r>
        <w:rPr>
          <w:spacing w:val="-5"/>
          <w:sz w:val="24"/>
        </w:rPr>
        <w:t> </w:t>
      </w:r>
      <w:r>
        <w:rPr>
          <w:sz w:val="24"/>
        </w:rPr>
        <w:t>Commission</w:t>
      </w:r>
      <w:r>
        <w:rPr>
          <w:spacing w:val="-5"/>
          <w:sz w:val="24"/>
        </w:rPr>
        <w:t> </w:t>
      </w:r>
      <w:r>
        <w:rPr>
          <w:sz w:val="24"/>
        </w:rPr>
        <w:t>for</w:t>
      </w:r>
      <w:r>
        <w:rPr>
          <w:spacing w:val="-4"/>
          <w:sz w:val="24"/>
        </w:rPr>
        <w:t> </w:t>
      </w:r>
      <w:r>
        <w:rPr>
          <w:sz w:val="24"/>
        </w:rPr>
        <w:t>Rehabilitation</w:t>
      </w:r>
      <w:r>
        <w:rPr>
          <w:spacing w:val="-4"/>
          <w:sz w:val="24"/>
        </w:rPr>
        <w:t> </w:t>
      </w:r>
      <w:r>
        <w:rPr>
          <w:sz w:val="24"/>
        </w:rPr>
        <w:t>Services and are based on a milestone delivery system. </w:t>
      </w:r>
      <w:r>
        <w:rPr>
          <w:b/>
          <w:sz w:val="24"/>
        </w:rPr>
        <w:t>2</w:t>
      </w:r>
    </w:p>
    <w:p>
      <w:pPr>
        <w:pStyle w:val="ListParagraph"/>
        <w:numPr>
          <w:ilvl w:val="0"/>
          <w:numId w:val="216"/>
        </w:numPr>
        <w:tabs>
          <w:tab w:pos="773" w:val="left" w:leader="none"/>
        </w:tabs>
        <w:spacing w:line="240" w:lineRule="auto" w:before="211" w:after="0"/>
        <w:ind w:left="773" w:right="0" w:hanging="413"/>
        <w:jc w:val="left"/>
        <w:rPr>
          <w:b/>
          <w:sz w:val="24"/>
        </w:rPr>
      </w:pPr>
      <w:r>
        <w:rPr>
          <w:sz w:val="24"/>
        </w:rPr>
        <w:t>Supported</w:t>
      </w:r>
      <w:r>
        <w:rPr>
          <w:spacing w:val="-7"/>
          <w:sz w:val="24"/>
        </w:rPr>
        <w:t> </w:t>
      </w:r>
      <w:r>
        <w:rPr>
          <w:sz w:val="24"/>
        </w:rPr>
        <w:t>employment</w:t>
      </w:r>
      <w:r>
        <w:rPr>
          <w:spacing w:val="-4"/>
          <w:sz w:val="24"/>
        </w:rPr>
        <w:t> </w:t>
      </w:r>
      <w:r>
        <w:rPr>
          <w:sz w:val="24"/>
        </w:rPr>
        <w:t>services</w:t>
      </w:r>
      <w:r>
        <w:rPr>
          <w:spacing w:val="-5"/>
          <w:sz w:val="24"/>
        </w:rPr>
        <w:t> </w:t>
      </w:r>
      <w:r>
        <w:rPr>
          <w:sz w:val="24"/>
        </w:rPr>
        <w:t>may</w:t>
      </w:r>
      <w:r>
        <w:rPr>
          <w:spacing w:val="-5"/>
          <w:sz w:val="24"/>
        </w:rPr>
        <w:t> </w:t>
      </w:r>
      <w:r>
        <w:rPr>
          <w:sz w:val="24"/>
        </w:rPr>
        <w:t>include:</w:t>
      </w:r>
      <w:r>
        <w:rPr>
          <w:spacing w:val="-3"/>
          <w:sz w:val="24"/>
        </w:rPr>
        <w:t> </w:t>
      </w:r>
      <w:r>
        <w:rPr>
          <w:b/>
          <w:spacing w:val="-10"/>
          <w:sz w:val="24"/>
        </w:rPr>
        <w:t>3</w:t>
      </w:r>
    </w:p>
    <w:p>
      <w:pPr>
        <w:pStyle w:val="ListParagraph"/>
        <w:numPr>
          <w:ilvl w:val="1"/>
          <w:numId w:val="216"/>
        </w:numPr>
        <w:tabs>
          <w:tab w:pos="1218" w:val="left" w:leader="none"/>
        </w:tabs>
        <w:spacing w:line="208" w:lineRule="auto" w:before="233" w:after="0"/>
        <w:ind w:left="792" w:right="974" w:firstLine="0"/>
        <w:jc w:val="left"/>
        <w:rPr>
          <w:sz w:val="24"/>
        </w:rPr>
      </w:pPr>
      <w:r>
        <w:rPr>
          <w:sz w:val="24"/>
        </w:rPr>
        <w:t>Time-limited job coach services to provide intensive on-the-job skills training and additional training and support services needed to achieve and maintain job stability,</w:t>
      </w:r>
      <w:r>
        <w:rPr>
          <w:spacing w:val="-4"/>
          <w:sz w:val="24"/>
        </w:rPr>
        <w:t> </w:t>
      </w:r>
      <w:r>
        <w:rPr>
          <w:sz w:val="24"/>
        </w:rPr>
        <w:t>including</w:t>
      </w:r>
      <w:r>
        <w:rPr>
          <w:spacing w:val="-4"/>
          <w:sz w:val="24"/>
        </w:rPr>
        <w:t> </w:t>
      </w:r>
      <w:r>
        <w:rPr>
          <w:sz w:val="24"/>
        </w:rPr>
        <w:t>follow-up</w:t>
      </w:r>
      <w:r>
        <w:rPr>
          <w:spacing w:val="-4"/>
          <w:sz w:val="24"/>
        </w:rPr>
        <w:t> </w:t>
      </w:r>
      <w:r>
        <w:rPr>
          <w:sz w:val="24"/>
        </w:rPr>
        <w:t>services</w:t>
      </w:r>
      <w:r>
        <w:rPr>
          <w:spacing w:val="-4"/>
          <w:sz w:val="24"/>
        </w:rPr>
        <w:t> </w:t>
      </w:r>
      <w:r>
        <w:rPr>
          <w:sz w:val="24"/>
        </w:rPr>
        <w:t>with</w:t>
      </w:r>
      <w:r>
        <w:rPr>
          <w:spacing w:val="-4"/>
          <w:sz w:val="24"/>
        </w:rPr>
        <w:t> </w:t>
      </w:r>
      <w:r>
        <w:rPr>
          <w:sz w:val="24"/>
        </w:rPr>
        <w:t>employers</w:t>
      </w:r>
      <w:r>
        <w:rPr>
          <w:spacing w:val="-4"/>
          <w:sz w:val="24"/>
        </w:rPr>
        <w:t> </w:t>
      </w:r>
      <w:r>
        <w:rPr>
          <w:sz w:val="24"/>
        </w:rPr>
        <w:t>and</w:t>
      </w:r>
      <w:r>
        <w:rPr>
          <w:spacing w:val="-4"/>
          <w:sz w:val="24"/>
        </w:rPr>
        <w:t> </w:t>
      </w:r>
      <w:r>
        <w:rPr>
          <w:sz w:val="24"/>
        </w:rPr>
        <w:t>others</w:t>
      </w:r>
      <w:r>
        <w:rPr>
          <w:spacing w:val="-4"/>
          <w:sz w:val="24"/>
        </w:rPr>
        <w:t> </w:t>
      </w:r>
      <w:r>
        <w:rPr>
          <w:sz w:val="24"/>
        </w:rPr>
        <w:t>for</w:t>
      </w:r>
      <w:r>
        <w:rPr>
          <w:spacing w:val="-4"/>
          <w:sz w:val="24"/>
        </w:rPr>
        <w:t> </w:t>
      </w:r>
      <w:r>
        <w:rPr>
          <w:sz w:val="24"/>
        </w:rPr>
        <w:t>the</w:t>
      </w:r>
      <w:r>
        <w:rPr>
          <w:spacing w:val="-4"/>
          <w:sz w:val="24"/>
        </w:rPr>
        <w:t> </w:t>
      </w:r>
      <w:r>
        <w:rPr>
          <w:sz w:val="24"/>
        </w:rPr>
        <w:t>purpose</w:t>
      </w:r>
      <w:r>
        <w:rPr>
          <w:spacing w:val="-4"/>
          <w:sz w:val="24"/>
        </w:rPr>
        <w:t> </w:t>
      </w:r>
      <w:r>
        <w:rPr>
          <w:sz w:val="24"/>
        </w:rPr>
        <w:t>of supporting and stabilizing the job placement; and</w:t>
      </w:r>
    </w:p>
    <w:p>
      <w:pPr>
        <w:pStyle w:val="ListParagraph"/>
        <w:numPr>
          <w:ilvl w:val="1"/>
          <w:numId w:val="216"/>
        </w:numPr>
        <w:tabs>
          <w:tab w:pos="1218" w:val="left" w:leader="none"/>
        </w:tabs>
        <w:spacing w:line="208" w:lineRule="auto" w:before="240" w:after="0"/>
        <w:ind w:left="792" w:right="1015" w:firstLine="0"/>
        <w:jc w:val="left"/>
        <w:rPr>
          <w:sz w:val="24"/>
        </w:rPr>
      </w:pPr>
      <w:r>
        <w:rPr>
          <w:sz w:val="24"/>
        </w:rPr>
        <w:t>Post-employment services following an individual's transition to extended services,</w:t>
      </w:r>
      <w:r>
        <w:rPr>
          <w:spacing w:val="-3"/>
          <w:sz w:val="24"/>
        </w:rPr>
        <w:t> </w:t>
      </w:r>
      <w:r>
        <w:rPr>
          <w:sz w:val="24"/>
        </w:rPr>
        <w:t>when</w:t>
      </w:r>
      <w:r>
        <w:rPr>
          <w:spacing w:val="-4"/>
          <w:sz w:val="24"/>
        </w:rPr>
        <w:t> </w:t>
      </w:r>
      <w:r>
        <w:rPr>
          <w:sz w:val="24"/>
        </w:rPr>
        <w:t>such</w:t>
      </w:r>
      <w:r>
        <w:rPr>
          <w:spacing w:val="-4"/>
          <w:sz w:val="24"/>
        </w:rPr>
        <w:t> </w:t>
      </w:r>
      <w:r>
        <w:rPr>
          <w:sz w:val="24"/>
        </w:rPr>
        <w:t>services</w:t>
      </w:r>
      <w:r>
        <w:rPr>
          <w:spacing w:val="-4"/>
          <w:sz w:val="24"/>
        </w:rPr>
        <w:t> </w:t>
      </w:r>
      <w:r>
        <w:rPr>
          <w:sz w:val="24"/>
        </w:rPr>
        <w:t>are</w:t>
      </w:r>
      <w:r>
        <w:rPr>
          <w:spacing w:val="-4"/>
          <w:sz w:val="24"/>
        </w:rPr>
        <w:t> </w:t>
      </w:r>
      <w:r>
        <w:rPr>
          <w:sz w:val="24"/>
        </w:rPr>
        <w:t>not</w:t>
      </w:r>
      <w:r>
        <w:rPr>
          <w:spacing w:val="-3"/>
          <w:sz w:val="24"/>
        </w:rPr>
        <w:t> </w:t>
      </w:r>
      <w:r>
        <w:rPr>
          <w:sz w:val="24"/>
        </w:rPr>
        <w:t>available</w:t>
      </w:r>
      <w:r>
        <w:rPr>
          <w:spacing w:val="-4"/>
          <w:sz w:val="24"/>
        </w:rPr>
        <w:t> </w:t>
      </w:r>
      <w:r>
        <w:rPr>
          <w:sz w:val="24"/>
        </w:rPr>
        <w:t>from</w:t>
      </w:r>
      <w:r>
        <w:rPr>
          <w:spacing w:val="-3"/>
          <w:sz w:val="24"/>
        </w:rPr>
        <w:t> </w:t>
      </w:r>
      <w:r>
        <w:rPr>
          <w:sz w:val="24"/>
        </w:rPr>
        <w:t>an</w:t>
      </w:r>
      <w:r>
        <w:rPr>
          <w:spacing w:val="-5"/>
          <w:sz w:val="24"/>
        </w:rPr>
        <w:t> </w:t>
      </w:r>
      <w:r>
        <w:rPr>
          <w:sz w:val="24"/>
        </w:rPr>
        <w:t>extended</w:t>
      </w:r>
      <w:r>
        <w:rPr>
          <w:spacing w:val="-4"/>
          <w:sz w:val="24"/>
        </w:rPr>
        <w:t> </w:t>
      </w:r>
      <w:r>
        <w:rPr>
          <w:sz w:val="24"/>
        </w:rPr>
        <w:t>service</w:t>
      </w:r>
      <w:r>
        <w:rPr>
          <w:spacing w:val="-4"/>
          <w:sz w:val="24"/>
        </w:rPr>
        <w:t> </w:t>
      </w:r>
      <w:r>
        <w:rPr>
          <w:sz w:val="24"/>
        </w:rPr>
        <w:t>provider and are necessary to maintain or regain the job placement or advance in employment. Services may include job coaching, job station redesign, repair and maintenance of assistive technology and repair and replacement of orthotic and prosthetic devices.</w:t>
      </w:r>
    </w:p>
    <w:p>
      <w:pPr>
        <w:pStyle w:val="ListParagraph"/>
        <w:numPr>
          <w:ilvl w:val="0"/>
          <w:numId w:val="216"/>
        </w:numPr>
        <w:tabs>
          <w:tab w:pos="720" w:val="left" w:leader="none"/>
        </w:tabs>
        <w:spacing w:line="208" w:lineRule="auto" w:before="239" w:after="0"/>
        <w:ind w:left="360" w:right="752" w:firstLine="0"/>
        <w:jc w:val="left"/>
        <w:rPr>
          <w:b/>
          <w:sz w:val="24"/>
        </w:rPr>
      </w:pPr>
      <w:r>
        <w:rPr>
          <w:sz w:val="24"/>
        </w:rPr>
        <w:t>DRS</w:t>
      </w:r>
      <w:r>
        <w:rPr>
          <w:spacing w:val="-4"/>
          <w:sz w:val="24"/>
        </w:rPr>
        <w:t> </w:t>
      </w:r>
      <w:r>
        <w:rPr>
          <w:sz w:val="24"/>
        </w:rPr>
        <w:t>must</w:t>
      </w:r>
      <w:r>
        <w:rPr>
          <w:spacing w:val="-3"/>
          <w:sz w:val="24"/>
        </w:rPr>
        <w:t> </w:t>
      </w:r>
      <w:r>
        <w:rPr>
          <w:sz w:val="24"/>
        </w:rPr>
        <w:t>utilize</w:t>
      </w:r>
      <w:r>
        <w:rPr>
          <w:spacing w:val="-4"/>
          <w:sz w:val="24"/>
        </w:rPr>
        <w:t> </w:t>
      </w:r>
      <w:r>
        <w:rPr>
          <w:sz w:val="24"/>
        </w:rPr>
        <w:t>Additional</w:t>
      </w:r>
      <w:r>
        <w:rPr>
          <w:spacing w:val="-4"/>
          <w:sz w:val="24"/>
        </w:rPr>
        <w:t> </w:t>
      </w:r>
      <w:r>
        <w:rPr>
          <w:sz w:val="24"/>
        </w:rPr>
        <w:t>Employment</w:t>
      </w:r>
      <w:r>
        <w:rPr>
          <w:spacing w:val="-3"/>
          <w:sz w:val="24"/>
        </w:rPr>
        <w:t> </w:t>
      </w:r>
      <w:r>
        <w:rPr>
          <w:sz w:val="24"/>
        </w:rPr>
        <w:t>Services</w:t>
      </w:r>
      <w:r>
        <w:rPr>
          <w:spacing w:val="-4"/>
          <w:sz w:val="24"/>
        </w:rPr>
        <w:t> </w:t>
      </w:r>
      <w:r>
        <w:rPr>
          <w:sz w:val="24"/>
        </w:rPr>
        <w:t>for</w:t>
      </w:r>
      <w:r>
        <w:rPr>
          <w:spacing w:val="-4"/>
          <w:sz w:val="24"/>
        </w:rPr>
        <w:t> </w:t>
      </w:r>
      <w:r>
        <w:rPr>
          <w:sz w:val="24"/>
        </w:rPr>
        <w:t>individuals</w:t>
      </w:r>
      <w:r>
        <w:rPr>
          <w:spacing w:val="-4"/>
          <w:sz w:val="24"/>
        </w:rPr>
        <w:t> </w:t>
      </w:r>
      <w:r>
        <w:rPr>
          <w:sz w:val="24"/>
        </w:rPr>
        <w:t>who</w:t>
      </w:r>
      <w:r>
        <w:rPr>
          <w:spacing w:val="-4"/>
          <w:sz w:val="24"/>
        </w:rPr>
        <w:t> </w:t>
      </w:r>
      <w:r>
        <w:rPr>
          <w:sz w:val="24"/>
        </w:rPr>
        <w:t>lose</w:t>
      </w:r>
      <w:r>
        <w:rPr>
          <w:spacing w:val="-3"/>
          <w:sz w:val="24"/>
        </w:rPr>
        <w:t> </w:t>
      </w:r>
      <w:r>
        <w:rPr>
          <w:sz w:val="24"/>
        </w:rPr>
        <w:t>a</w:t>
      </w:r>
      <w:r>
        <w:rPr>
          <w:spacing w:val="-4"/>
          <w:sz w:val="24"/>
        </w:rPr>
        <w:t> </w:t>
      </w:r>
      <w:r>
        <w:rPr>
          <w:sz w:val="24"/>
        </w:rPr>
        <w:t>job</w:t>
      </w:r>
      <w:r>
        <w:rPr>
          <w:spacing w:val="-4"/>
          <w:sz w:val="24"/>
        </w:rPr>
        <w:t> </w:t>
      </w:r>
      <w:r>
        <w:rPr>
          <w:sz w:val="24"/>
        </w:rPr>
        <w:t>after achieving a successful rehabilitation outcome, and prior to DRS case closure, if the counselor determines extended services are not adequate to cover re-placement and DRS assistance is necessary. </w:t>
      </w:r>
      <w:r>
        <w:rPr>
          <w:b/>
          <w:sz w:val="24"/>
        </w:rPr>
        <w:t>4 </w:t>
      </w:r>
      <w:r>
        <w:rPr>
          <w:sz w:val="24"/>
        </w:rPr>
        <w:t>Additional Placement Services include Four (4) Weeks Job Support, Job Stabilization and Successful Rehabilitation. </w:t>
      </w:r>
      <w:r>
        <w:rPr>
          <w:b/>
          <w:sz w:val="24"/>
        </w:rPr>
        <w:t>5</w:t>
      </w:r>
    </w:p>
    <w:p>
      <w:pPr>
        <w:pStyle w:val="ListParagraph"/>
        <w:numPr>
          <w:ilvl w:val="0"/>
          <w:numId w:val="216"/>
        </w:numPr>
        <w:tabs>
          <w:tab w:pos="719" w:val="left" w:leader="none"/>
        </w:tabs>
        <w:spacing w:line="208" w:lineRule="auto" w:before="240" w:after="0"/>
        <w:ind w:left="359" w:right="756" w:firstLine="0"/>
        <w:jc w:val="left"/>
        <w:rPr>
          <w:sz w:val="24"/>
        </w:rPr>
      </w:pPr>
      <w:r>
        <w:rPr>
          <w:sz w:val="24"/>
        </w:rPr>
        <w:t>Transitional employment services are available for individuals with serious mental illness. Transitional employment is designed to assist individuals who have not had significant,</w:t>
      </w:r>
      <w:r>
        <w:rPr>
          <w:spacing w:val="-5"/>
          <w:sz w:val="24"/>
        </w:rPr>
        <w:t> </w:t>
      </w:r>
      <w:r>
        <w:rPr>
          <w:sz w:val="24"/>
        </w:rPr>
        <w:t>successful</w:t>
      </w:r>
      <w:r>
        <w:rPr>
          <w:spacing w:val="-4"/>
          <w:sz w:val="24"/>
        </w:rPr>
        <w:t> </w:t>
      </w:r>
      <w:r>
        <w:rPr>
          <w:sz w:val="24"/>
        </w:rPr>
        <w:t>or</w:t>
      </w:r>
      <w:r>
        <w:rPr>
          <w:spacing w:val="-3"/>
          <w:sz w:val="24"/>
        </w:rPr>
        <w:t> </w:t>
      </w:r>
      <w:r>
        <w:rPr>
          <w:sz w:val="24"/>
        </w:rPr>
        <w:t>recent</w:t>
      </w:r>
      <w:r>
        <w:rPr>
          <w:spacing w:val="-3"/>
          <w:sz w:val="24"/>
        </w:rPr>
        <w:t> </w:t>
      </w:r>
      <w:r>
        <w:rPr>
          <w:sz w:val="24"/>
        </w:rPr>
        <w:t>work</w:t>
      </w:r>
      <w:r>
        <w:rPr>
          <w:spacing w:val="-4"/>
          <w:sz w:val="24"/>
        </w:rPr>
        <w:t> </w:t>
      </w:r>
      <w:r>
        <w:rPr>
          <w:sz w:val="24"/>
        </w:rPr>
        <w:t>experience</w:t>
      </w:r>
      <w:r>
        <w:rPr>
          <w:spacing w:val="-4"/>
          <w:sz w:val="24"/>
        </w:rPr>
        <w:t> </w:t>
      </w:r>
      <w:r>
        <w:rPr>
          <w:sz w:val="24"/>
        </w:rPr>
        <w:t>to</w:t>
      </w:r>
      <w:r>
        <w:rPr>
          <w:spacing w:val="-4"/>
          <w:sz w:val="24"/>
        </w:rPr>
        <w:t> </w:t>
      </w:r>
      <w:r>
        <w:rPr>
          <w:sz w:val="24"/>
        </w:rPr>
        <w:t>build</w:t>
      </w:r>
      <w:r>
        <w:rPr>
          <w:spacing w:val="-3"/>
          <w:sz w:val="24"/>
        </w:rPr>
        <w:t> </w:t>
      </w:r>
      <w:r>
        <w:rPr>
          <w:sz w:val="24"/>
        </w:rPr>
        <w:t>work</w:t>
      </w:r>
      <w:r>
        <w:rPr>
          <w:spacing w:val="-4"/>
          <w:sz w:val="24"/>
        </w:rPr>
        <w:t> </w:t>
      </w:r>
      <w:r>
        <w:rPr>
          <w:sz w:val="24"/>
        </w:rPr>
        <w:t>adjustment</w:t>
      </w:r>
      <w:r>
        <w:rPr>
          <w:spacing w:val="-3"/>
          <w:sz w:val="24"/>
        </w:rPr>
        <w:t> </w:t>
      </w:r>
      <w:r>
        <w:rPr>
          <w:sz w:val="24"/>
        </w:rPr>
        <w:t>skills</w:t>
      </w:r>
      <w:r>
        <w:rPr>
          <w:spacing w:val="-4"/>
          <w:sz w:val="24"/>
        </w:rPr>
        <w:t> </w:t>
      </w:r>
      <w:r>
        <w:rPr>
          <w:sz w:val="24"/>
        </w:rPr>
        <w:t>and</w:t>
      </w:r>
      <w:r>
        <w:rPr>
          <w:spacing w:val="-5"/>
          <w:sz w:val="24"/>
        </w:rPr>
        <w:t> </w:t>
      </w:r>
      <w:r>
        <w:rPr>
          <w:sz w:val="24"/>
        </w:rPr>
        <w:t>ego strength/self-esteem, develop a positive work history, learn adjustment skills in a real work environment or clarify their strengths and interests. Transitional employment prepares individuals to make future employment and career decisions.</w:t>
      </w:r>
    </w:p>
    <w:p>
      <w:pPr>
        <w:pStyle w:val="BodyText"/>
        <w:spacing w:before="210"/>
        <w:ind w:left="359"/>
      </w:pPr>
      <w:r>
        <w:rPr/>
        <w:t>Instructions</w:t>
      </w:r>
      <w:r>
        <w:rPr>
          <w:spacing w:val="-5"/>
        </w:rPr>
        <w:t> </w:t>
      </w:r>
      <w:r>
        <w:rPr/>
        <w:t>to</w:t>
      </w:r>
      <w:r>
        <w:rPr>
          <w:spacing w:val="-2"/>
        </w:rPr>
        <w:t> </w:t>
      </w:r>
      <w:r>
        <w:rPr>
          <w:spacing w:val="-4"/>
        </w:rPr>
        <w:t>Staff</w:t>
      </w:r>
    </w:p>
    <w:p>
      <w:pPr>
        <w:pStyle w:val="ListParagraph"/>
        <w:numPr>
          <w:ilvl w:val="0"/>
          <w:numId w:val="217"/>
        </w:numPr>
        <w:tabs>
          <w:tab w:pos="692" w:val="left" w:leader="none"/>
        </w:tabs>
        <w:spacing w:line="208" w:lineRule="auto" w:before="233" w:after="0"/>
        <w:ind w:left="359" w:right="861" w:firstLine="0"/>
        <w:jc w:val="left"/>
        <w:rPr>
          <w:sz w:val="24"/>
        </w:rPr>
      </w:pPr>
      <w:hyperlink r:id="rId38">
        <w:r>
          <w:rPr>
            <w:color w:val="0000FF"/>
            <w:sz w:val="24"/>
            <w:u w:val="single" w:color="0000FF"/>
          </w:rPr>
          <w:t>34</w:t>
        </w:r>
        <w:r>
          <w:rPr>
            <w:color w:val="0000FF"/>
            <w:spacing w:val="-4"/>
            <w:sz w:val="24"/>
            <w:u w:val="single" w:color="0000FF"/>
          </w:rPr>
          <w:t> </w:t>
        </w:r>
        <w:r>
          <w:rPr>
            <w:color w:val="0000FF"/>
            <w:sz w:val="24"/>
            <w:u w:val="single" w:color="0000FF"/>
          </w:rPr>
          <w:t>CFR</w:t>
        </w:r>
        <w:r>
          <w:rPr>
            <w:color w:val="0000FF"/>
            <w:spacing w:val="-4"/>
            <w:sz w:val="24"/>
            <w:u w:val="single" w:color="0000FF"/>
          </w:rPr>
          <w:t> </w:t>
        </w:r>
        <w:r>
          <w:rPr>
            <w:color w:val="0000FF"/>
            <w:sz w:val="24"/>
            <w:u w:val="single" w:color="0000FF"/>
          </w:rPr>
          <w:t>361.5(c)</w:t>
        </w:r>
      </w:hyperlink>
      <w:r>
        <w:rPr>
          <w:sz w:val="24"/>
          <w:u w:val="none"/>
        </w:rPr>
        <w:t>,</w:t>
      </w:r>
      <w:r>
        <w:rPr>
          <w:spacing w:val="-3"/>
          <w:sz w:val="24"/>
          <w:u w:val="none"/>
        </w:rPr>
        <w:t> </w:t>
      </w:r>
      <w:hyperlink r:id="rId61">
        <w:r>
          <w:rPr>
            <w:color w:val="0000FF"/>
            <w:sz w:val="24"/>
            <w:u w:val="single" w:color="0000FF"/>
          </w:rPr>
          <w:t>29</w:t>
        </w:r>
        <w:r>
          <w:rPr>
            <w:color w:val="0000FF"/>
            <w:spacing w:val="-4"/>
            <w:sz w:val="24"/>
            <w:u w:val="single" w:color="0000FF"/>
          </w:rPr>
          <w:t> </w:t>
        </w:r>
        <w:r>
          <w:rPr>
            <w:color w:val="0000FF"/>
            <w:sz w:val="24"/>
            <w:u w:val="single" w:color="0000FF"/>
          </w:rPr>
          <w:t>USC</w:t>
        </w:r>
        <w:r>
          <w:rPr>
            <w:color w:val="0000FF"/>
            <w:spacing w:val="-4"/>
            <w:sz w:val="24"/>
            <w:u w:val="single" w:color="0000FF"/>
          </w:rPr>
          <w:t> </w:t>
        </w:r>
        <w:r>
          <w:rPr>
            <w:color w:val="0000FF"/>
            <w:sz w:val="24"/>
            <w:u w:val="single" w:color="0000FF"/>
          </w:rPr>
          <w:t>Section</w:t>
        </w:r>
        <w:r>
          <w:rPr>
            <w:color w:val="0000FF"/>
            <w:spacing w:val="-4"/>
            <w:sz w:val="24"/>
            <w:u w:val="single" w:color="0000FF"/>
          </w:rPr>
          <w:t> </w:t>
        </w:r>
        <w:r>
          <w:rPr>
            <w:color w:val="0000FF"/>
            <w:sz w:val="24"/>
            <w:u w:val="single" w:color="0000FF"/>
          </w:rPr>
          <w:t>705(39)</w:t>
        </w:r>
      </w:hyperlink>
      <w:r>
        <w:rPr>
          <w:color w:val="0000FF"/>
          <w:spacing w:val="-4"/>
          <w:sz w:val="24"/>
          <w:u w:val="none"/>
        </w:rPr>
        <w:t> </w:t>
      </w:r>
      <w:r>
        <w:rPr>
          <w:sz w:val="24"/>
          <w:u w:val="none"/>
        </w:rPr>
        <w:t>and</w:t>
      </w:r>
      <w:r>
        <w:rPr>
          <w:spacing w:val="-4"/>
          <w:sz w:val="24"/>
          <w:u w:val="none"/>
        </w:rPr>
        <w:t> </w:t>
      </w:r>
      <w:hyperlink r:id="rId62">
        <w:r>
          <w:rPr>
            <w:color w:val="0000FF"/>
            <w:sz w:val="24"/>
            <w:u w:val="single" w:color="0000FF"/>
          </w:rPr>
          <w:t>29</w:t>
        </w:r>
        <w:r>
          <w:rPr>
            <w:color w:val="0000FF"/>
            <w:spacing w:val="-4"/>
            <w:sz w:val="24"/>
            <w:u w:val="single" w:color="0000FF"/>
          </w:rPr>
          <w:t> </w:t>
        </w:r>
        <w:r>
          <w:rPr>
            <w:color w:val="0000FF"/>
            <w:sz w:val="24"/>
            <w:u w:val="single" w:color="0000FF"/>
          </w:rPr>
          <w:t>USC</w:t>
        </w:r>
        <w:r>
          <w:rPr>
            <w:color w:val="0000FF"/>
            <w:spacing w:val="-4"/>
            <w:sz w:val="24"/>
            <w:u w:val="single" w:color="0000FF"/>
          </w:rPr>
          <w:t> </w:t>
        </w:r>
        <w:r>
          <w:rPr>
            <w:color w:val="0000FF"/>
            <w:sz w:val="24"/>
            <w:u w:val="single" w:color="0000FF"/>
          </w:rPr>
          <w:t>Section</w:t>
        </w:r>
        <w:r>
          <w:rPr>
            <w:color w:val="0000FF"/>
            <w:spacing w:val="-3"/>
            <w:sz w:val="24"/>
            <w:u w:val="single" w:color="0000FF"/>
          </w:rPr>
          <w:t> </w:t>
        </w:r>
        <w:r>
          <w:rPr>
            <w:color w:val="0000FF"/>
            <w:sz w:val="24"/>
            <w:u w:val="single" w:color="0000FF"/>
          </w:rPr>
          <w:t>723(a</w:t>
        </w:r>
      </w:hyperlink>
      <w:r>
        <w:rPr>
          <w:sz w:val="24"/>
          <w:u w:val="none"/>
        </w:rPr>
        <w:t>).</w:t>
      </w:r>
      <w:r>
        <w:rPr>
          <w:spacing w:val="-3"/>
          <w:sz w:val="24"/>
          <w:u w:val="none"/>
        </w:rPr>
        <w:t> </w:t>
      </w:r>
      <w:r>
        <w:rPr>
          <w:sz w:val="24"/>
          <w:u w:val="none"/>
        </w:rPr>
        <w:t>Federal</w:t>
      </w:r>
      <w:r>
        <w:rPr>
          <w:spacing w:val="-4"/>
          <w:sz w:val="24"/>
          <w:u w:val="none"/>
        </w:rPr>
        <w:t> </w:t>
      </w:r>
      <w:r>
        <w:rPr>
          <w:sz w:val="24"/>
          <w:u w:val="none"/>
        </w:rPr>
        <w:t>law currently specifies 24 months as the period for which supported employment services can be provided by a VR agency, with exceptions. The 24 months of time-limited services are based on the time actually spent by the client in employment, and do not include time during breaks in employment, the period between transition to extended services and closure of the DVR or DSBVI case, or time in post-employment services. When a new case is opened for a former client, a new 24-month period of time-limited service may begin.</w:t>
      </w:r>
    </w:p>
    <w:p>
      <w:pPr>
        <w:pStyle w:val="ListParagraph"/>
        <w:numPr>
          <w:ilvl w:val="0"/>
          <w:numId w:val="217"/>
        </w:numPr>
        <w:tabs>
          <w:tab w:pos="692" w:val="left" w:leader="none"/>
        </w:tabs>
        <w:spacing w:line="208" w:lineRule="auto" w:before="239" w:after="0"/>
        <w:ind w:left="359" w:right="726" w:firstLine="0"/>
        <w:jc w:val="left"/>
        <w:rPr>
          <w:sz w:val="24"/>
        </w:rPr>
      </w:pPr>
      <w:r>
        <w:rPr>
          <w:sz w:val="24"/>
        </w:rPr>
        <w:t>All</w:t>
      </w:r>
      <w:r>
        <w:rPr>
          <w:spacing w:val="-4"/>
          <w:sz w:val="24"/>
        </w:rPr>
        <w:t> </w:t>
      </w:r>
      <w:r>
        <w:rPr>
          <w:sz w:val="24"/>
        </w:rPr>
        <w:t>supported</w:t>
      </w:r>
      <w:r>
        <w:rPr>
          <w:spacing w:val="-4"/>
          <w:sz w:val="24"/>
        </w:rPr>
        <w:t> </w:t>
      </w:r>
      <w:r>
        <w:rPr>
          <w:sz w:val="24"/>
        </w:rPr>
        <w:t>employment</w:t>
      </w:r>
      <w:r>
        <w:rPr>
          <w:spacing w:val="-4"/>
          <w:sz w:val="24"/>
        </w:rPr>
        <w:t> </w:t>
      </w:r>
      <w:r>
        <w:rPr>
          <w:sz w:val="24"/>
        </w:rPr>
        <w:t>services</w:t>
      </w:r>
      <w:r>
        <w:rPr>
          <w:spacing w:val="-4"/>
          <w:sz w:val="24"/>
        </w:rPr>
        <w:t> </w:t>
      </w:r>
      <w:r>
        <w:rPr>
          <w:sz w:val="24"/>
        </w:rPr>
        <w:t>must</w:t>
      </w:r>
      <w:r>
        <w:rPr>
          <w:spacing w:val="-5"/>
          <w:sz w:val="24"/>
        </w:rPr>
        <w:t> </w:t>
      </w:r>
      <w:r>
        <w:rPr>
          <w:sz w:val="24"/>
        </w:rPr>
        <w:t>be</w:t>
      </w:r>
      <w:r>
        <w:rPr>
          <w:spacing w:val="-4"/>
          <w:sz w:val="24"/>
        </w:rPr>
        <w:t> </w:t>
      </w:r>
      <w:r>
        <w:rPr>
          <w:sz w:val="24"/>
        </w:rPr>
        <w:t>pre-authorized.</w:t>
      </w:r>
      <w:r>
        <w:rPr>
          <w:spacing w:val="-4"/>
          <w:sz w:val="24"/>
        </w:rPr>
        <w:t> </w:t>
      </w:r>
      <w:r>
        <w:rPr>
          <w:sz w:val="24"/>
        </w:rPr>
        <w:t>Milestones</w:t>
      </w:r>
      <w:r>
        <w:rPr>
          <w:spacing w:val="-4"/>
          <w:sz w:val="24"/>
        </w:rPr>
        <w:t> </w:t>
      </w:r>
      <w:r>
        <w:rPr>
          <w:sz w:val="24"/>
        </w:rPr>
        <w:t>for</w:t>
      </w:r>
      <w:r>
        <w:rPr>
          <w:spacing w:val="-5"/>
          <w:sz w:val="24"/>
        </w:rPr>
        <w:t> </w:t>
      </w:r>
      <w:r>
        <w:rPr>
          <w:sz w:val="24"/>
        </w:rPr>
        <w:t>supported employment services are:</w:t>
      </w:r>
    </w:p>
    <w:p>
      <w:pPr>
        <w:pStyle w:val="ListParagraph"/>
        <w:spacing w:after="0" w:line="208" w:lineRule="auto"/>
        <w:jc w:val="left"/>
        <w:rPr>
          <w:sz w:val="24"/>
        </w:rPr>
        <w:sectPr>
          <w:pgSz w:w="12240" w:h="15840"/>
          <w:pgMar w:top="1340" w:bottom="280" w:left="1080" w:right="720"/>
        </w:sectPr>
      </w:pPr>
    </w:p>
    <w:p>
      <w:pPr>
        <w:pStyle w:val="ListParagraph"/>
        <w:numPr>
          <w:ilvl w:val="1"/>
          <w:numId w:val="217"/>
        </w:numPr>
        <w:tabs>
          <w:tab w:pos="1173" w:val="left" w:leader="none"/>
        </w:tabs>
        <w:spacing w:line="208" w:lineRule="auto" w:before="96" w:after="0"/>
        <w:ind w:left="720" w:right="1112" w:firstLine="0"/>
        <w:jc w:val="left"/>
        <w:rPr>
          <w:sz w:val="24"/>
        </w:rPr>
      </w:pPr>
      <w:r>
        <w:rPr>
          <w:sz w:val="24"/>
        </w:rPr>
        <w:t>Four Week Job Support (R4) – The individual has worked successfully for 4 weeks</w:t>
      </w:r>
      <w:r>
        <w:rPr>
          <w:spacing w:val="-4"/>
          <w:sz w:val="24"/>
        </w:rPr>
        <w:t> </w:t>
      </w:r>
      <w:r>
        <w:rPr>
          <w:sz w:val="24"/>
        </w:rPr>
        <w:t>and</w:t>
      </w:r>
      <w:r>
        <w:rPr>
          <w:spacing w:val="-3"/>
          <w:sz w:val="24"/>
        </w:rPr>
        <w:t> </w:t>
      </w:r>
      <w:r>
        <w:rPr>
          <w:sz w:val="24"/>
        </w:rPr>
        <w:t>has</w:t>
      </w:r>
      <w:r>
        <w:rPr>
          <w:spacing w:val="-4"/>
          <w:sz w:val="24"/>
        </w:rPr>
        <w:t> </w:t>
      </w:r>
      <w:r>
        <w:rPr>
          <w:sz w:val="24"/>
        </w:rPr>
        <w:t>received</w:t>
      </w:r>
      <w:r>
        <w:rPr>
          <w:spacing w:val="-4"/>
          <w:sz w:val="24"/>
        </w:rPr>
        <w:t> </w:t>
      </w:r>
      <w:r>
        <w:rPr>
          <w:sz w:val="24"/>
        </w:rPr>
        <w:t>intensive</w:t>
      </w:r>
      <w:r>
        <w:rPr>
          <w:spacing w:val="-3"/>
          <w:sz w:val="24"/>
        </w:rPr>
        <w:t> </w:t>
      </w:r>
      <w:r>
        <w:rPr>
          <w:sz w:val="24"/>
        </w:rPr>
        <w:t>on</w:t>
      </w:r>
      <w:r>
        <w:rPr>
          <w:spacing w:val="-4"/>
          <w:sz w:val="24"/>
        </w:rPr>
        <w:t> </w:t>
      </w:r>
      <w:r>
        <w:rPr>
          <w:sz w:val="24"/>
        </w:rPr>
        <w:t>and</w:t>
      </w:r>
      <w:r>
        <w:rPr>
          <w:spacing w:val="-4"/>
          <w:sz w:val="24"/>
        </w:rPr>
        <w:t> </w:t>
      </w:r>
      <w:r>
        <w:rPr>
          <w:sz w:val="24"/>
        </w:rPr>
        <w:t>off</w:t>
      </w:r>
      <w:r>
        <w:rPr>
          <w:spacing w:val="-5"/>
          <w:sz w:val="24"/>
        </w:rPr>
        <w:t> </w:t>
      </w:r>
      <w:r>
        <w:rPr>
          <w:sz w:val="24"/>
        </w:rPr>
        <w:t>site</w:t>
      </w:r>
      <w:r>
        <w:rPr>
          <w:spacing w:val="-4"/>
          <w:sz w:val="24"/>
        </w:rPr>
        <w:t> </w:t>
      </w:r>
      <w:r>
        <w:rPr>
          <w:sz w:val="24"/>
        </w:rPr>
        <w:t>supports.</w:t>
      </w:r>
      <w:r>
        <w:rPr>
          <w:spacing w:val="-3"/>
          <w:sz w:val="24"/>
        </w:rPr>
        <w:t> </w:t>
      </w:r>
      <w:r>
        <w:rPr>
          <w:sz w:val="24"/>
        </w:rPr>
        <w:t>This</w:t>
      </w:r>
      <w:r>
        <w:rPr>
          <w:spacing w:val="-4"/>
          <w:sz w:val="24"/>
        </w:rPr>
        <w:t> </w:t>
      </w:r>
      <w:r>
        <w:rPr>
          <w:sz w:val="24"/>
        </w:rPr>
        <w:t>milestone</w:t>
      </w:r>
      <w:r>
        <w:rPr>
          <w:spacing w:val="-4"/>
          <w:sz w:val="24"/>
        </w:rPr>
        <w:t> </w:t>
      </w:r>
      <w:r>
        <w:rPr>
          <w:sz w:val="24"/>
        </w:rPr>
        <w:t>begins the first day of job placement and includes weeks in which hours worked exceed 50% of the weekly work goal.</w:t>
      </w:r>
    </w:p>
    <w:p>
      <w:pPr>
        <w:pStyle w:val="ListParagraph"/>
        <w:numPr>
          <w:ilvl w:val="1"/>
          <w:numId w:val="217"/>
        </w:numPr>
        <w:tabs>
          <w:tab w:pos="1173" w:val="left" w:leader="none"/>
        </w:tabs>
        <w:spacing w:line="208" w:lineRule="auto" w:before="239" w:after="0"/>
        <w:ind w:left="720" w:right="911" w:firstLine="0"/>
        <w:jc w:val="left"/>
        <w:rPr>
          <w:sz w:val="24"/>
        </w:rPr>
      </w:pPr>
      <w:r>
        <w:rPr>
          <w:sz w:val="24"/>
        </w:rPr>
        <w:t>Eight Week Job Support (R8) – The individual has worked a total of 8 weeks and</w:t>
      </w:r>
      <w:r>
        <w:rPr>
          <w:spacing w:val="-3"/>
          <w:sz w:val="24"/>
        </w:rPr>
        <w:t> </w:t>
      </w:r>
      <w:r>
        <w:rPr>
          <w:sz w:val="24"/>
        </w:rPr>
        <w:t>has</w:t>
      </w:r>
      <w:r>
        <w:rPr>
          <w:spacing w:val="-3"/>
          <w:sz w:val="24"/>
        </w:rPr>
        <w:t> </w:t>
      </w:r>
      <w:r>
        <w:rPr>
          <w:sz w:val="24"/>
        </w:rPr>
        <w:t>received</w:t>
      </w:r>
      <w:r>
        <w:rPr>
          <w:spacing w:val="-3"/>
          <w:sz w:val="24"/>
        </w:rPr>
        <w:t> </w:t>
      </w:r>
      <w:r>
        <w:rPr>
          <w:sz w:val="24"/>
        </w:rPr>
        <w:t>on</w:t>
      </w:r>
      <w:r>
        <w:rPr>
          <w:spacing w:val="-3"/>
          <w:sz w:val="24"/>
        </w:rPr>
        <w:t> </w:t>
      </w:r>
      <w:r>
        <w:rPr>
          <w:sz w:val="24"/>
        </w:rPr>
        <w:t>and</w:t>
      </w:r>
      <w:r>
        <w:rPr>
          <w:spacing w:val="-3"/>
          <w:sz w:val="24"/>
        </w:rPr>
        <w:t> </w:t>
      </w:r>
      <w:r>
        <w:rPr>
          <w:sz w:val="24"/>
        </w:rPr>
        <w:t>off</w:t>
      </w:r>
      <w:r>
        <w:rPr>
          <w:spacing w:val="-2"/>
          <w:sz w:val="24"/>
        </w:rPr>
        <w:t> </w:t>
      </w:r>
      <w:r>
        <w:rPr>
          <w:sz w:val="24"/>
        </w:rPr>
        <w:t>site</w:t>
      </w:r>
      <w:r>
        <w:rPr>
          <w:spacing w:val="-3"/>
          <w:sz w:val="24"/>
        </w:rPr>
        <w:t> </w:t>
      </w:r>
      <w:r>
        <w:rPr>
          <w:sz w:val="24"/>
        </w:rPr>
        <w:t>supports.</w:t>
      </w:r>
      <w:r>
        <w:rPr>
          <w:spacing w:val="-2"/>
          <w:sz w:val="24"/>
        </w:rPr>
        <w:t> </w:t>
      </w:r>
      <w:r>
        <w:rPr>
          <w:sz w:val="24"/>
        </w:rPr>
        <w:t>This</w:t>
      </w:r>
      <w:r>
        <w:rPr>
          <w:spacing w:val="-3"/>
          <w:sz w:val="24"/>
        </w:rPr>
        <w:t> </w:t>
      </w:r>
      <w:r>
        <w:rPr>
          <w:sz w:val="24"/>
        </w:rPr>
        <w:t>milestone</w:t>
      </w:r>
      <w:r>
        <w:rPr>
          <w:spacing w:val="-3"/>
          <w:sz w:val="24"/>
        </w:rPr>
        <w:t> </w:t>
      </w:r>
      <w:r>
        <w:rPr>
          <w:sz w:val="24"/>
        </w:rPr>
        <w:t>begins</w:t>
      </w:r>
      <w:r>
        <w:rPr>
          <w:spacing w:val="-3"/>
          <w:sz w:val="24"/>
        </w:rPr>
        <w:t> </w:t>
      </w:r>
      <w:r>
        <w:rPr>
          <w:sz w:val="24"/>
        </w:rPr>
        <w:t>the</w:t>
      </w:r>
      <w:r>
        <w:rPr>
          <w:spacing w:val="-3"/>
          <w:sz w:val="24"/>
        </w:rPr>
        <w:t> </w:t>
      </w:r>
      <w:r>
        <w:rPr>
          <w:sz w:val="24"/>
        </w:rPr>
        <w:t>first</w:t>
      </w:r>
      <w:r>
        <w:rPr>
          <w:spacing w:val="-2"/>
          <w:sz w:val="24"/>
        </w:rPr>
        <w:t> </w:t>
      </w:r>
      <w:r>
        <w:rPr>
          <w:sz w:val="24"/>
        </w:rPr>
        <w:t>day</w:t>
      </w:r>
      <w:r>
        <w:rPr>
          <w:spacing w:val="-4"/>
          <w:sz w:val="24"/>
        </w:rPr>
        <w:t> </w:t>
      </w:r>
      <w:r>
        <w:rPr>
          <w:sz w:val="24"/>
        </w:rPr>
        <w:t>of</w:t>
      </w:r>
      <w:r>
        <w:rPr>
          <w:spacing w:val="-2"/>
          <w:sz w:val="24"/>
        </w:rPr>
        <w:t> </w:t>
      </w:r>
      <w:r>
        <w:rPr>
          <w:sz w:val="24"/>
        </w:rPr>
        <w:t>job placement and includes weeks in which hours worked exceed 75% of the weekly work goal.</w:t>
      </w:r>
    </w:p>
    <w:p>
      <w:pPr>
        <w:pStyle w:val="ListParagraph"/>
        <w:numPr>
          <w:ilvl w:val="1"/>
          <w:numId w:val="217"/>
        </w:numPr>
        <w:tabs>
          <w:tab w:pos="1186" w:val="left" w:leader="none"/>
        </w:tabs>
        <w:spacing w:line="208" w:lineRule="auto" w:before="240" w:after="0"/>
        <w:ind w:left="720" w:right="741" w:firstLine="0"/>
        <w:jc w:val="left"/>
        <w:rPr>
          <w:sz w:val="24"/>
        </w:rPr>
      </w:pPr>
      <w:r>
        <w:rPr>
          <w:sz w:val="24"/>
        </w:rPr>
        <w:t>Job Stabilization Milestone (ST) – Stabilization means the supports to keep the individual stabilized in employment on a long-term basis have been put in place and result</w:t>
      </w:r>
      <w:r>
        <w:rPr>
          <w:spacing w:val="-2"/>
          <w:sz w:val="24"/>
        </w:rPr>
        <w:t> </w:t>
      </w:r>
      <w:r>
        <w:rPr>
          <w:sz w:val="24"/>
        </w:rPr>
        <w:t>in</w:t>
      </w:r>
      <w:r>
        <w:rPr>
          <w:spacing w:val="-3"/>
          <w:sz w:val="24"/>
        </w:rPr>
        <w:t> </w:t>
      </w:r>
      <w:r>
        <w:rPr>
          <w:sz w:val="24"/>
        </w:rPr>
        <w:t>the</w:t>
      </w:r>
      <w:r>
        <w:rPr>
          <w:spacing w:val="-3"/>
          <w:sz w:val="24"/>
        </w:rPr>
        <w:t> </w:t>
      </w:r>
      <w:r>
        <w:rPr>
          <w:sz w:val="24"/>
        </w:rPr>
        <w:t>person</w:t>
      </w:r>
      <w:r>
        <w:rPr>
          <w:spacing w:val="-3"/>
          <w:sz w:val="24"/>
        </w:rPr>
        <w:t> </w:t>
      </w:r>
      <w:r>
        <w:rPr>
          <w:sz w:val="24"/>
        </w:rPr>
        <w:t>working</w:t>
      </w:r>
      <w:r>
        <w:rPr>
          <w:spacing w:val="-3"/>
          <w:sz w:val="24"/>
        </w:rPr>
        <w:t> </w:t>
      </w:r>
      <w:r>
        <w:rPr>
          <w:sz w:val="24"/>
        </w:rPr>
        <w:t>successfully</w:t>
      </w:r>
      <w:r>
        <w:rPr>
          <w:spacing w:val="-3"/>
          <w:sz w:val="24"/>
        </w:rPr>
        <w:t> </w:t>
      </w:r>
      <w:r>
        <w:rPr>
          <w:sz w:val="24"/>
        </w:rPr>
        <w:t>a</w:t>
      </w:r>
      <w:r>
        <w:rPr>
          <w:spacing w:val="-3"/>
          <w:sz w:val="24"/>
        </w:rPr>
        <w:t> </w:t>
      </w:r>
      <w:r>
        <w:rPr>
          <w:sz w:val="24"/>
        </w:rPr>
        <w:t>minimum</w:t>
      </w:r>
      <w:r>
        <w:rPr>
          <w:spacing w:val="-2"/>
          <w:sz w:val="24"/>
        </w:rPr>
        <w:t> </w:t>
      </w:r>
      <w:r>
        <w:rPr>
          <w:sz w:val="24"/>
        </w:rPr>
        <w:t>of</w:t>
      </w:r>
      <w:r>
        <w:rPr>
          <w:spacing w:val="-2"/>
          <w:sz w:val="24"/>
        </w:rPr>
        <w:t> </w:t>
      </w:r>
      <w:r>
        <w:rPr>
          <w:sz w:val="24"/>
        </w:rPr>
        <w:t>12</w:t>
      </w:r>
      <w:r>
        <w:rPr>
          <w:spacing w:val="-3"/>
          <w:sz w:val="24"/>
        </w:rPr>
        <w:t> </w:t>
      </w:r>
      <w:r>
        <w:rPr>
          <w:sz w:val="24"/>
        </w:rPr>
        <w:t>weeks</w:t>
      </w:r>
      <w:r>
        <w:rPr>
          <w:spacing w:val="-3"/>
          <w:sz w:val="24"/>
        </w:rPr>
        <w:t> </w:t>
      </w:r>
      <w:r>
        <w:rPr>
          <w:sz w:val="24"/>
        </w:rPr>
        <w:t>or</w:t>
      </w:r>
      <w:r>
        <w:rPr>
          <w:spacing w:val="-2"/>
          <w:sz w:val="24"/>
        </w:rPr>
        <w:t> </w:t>
      </w:r>
      <w:r>
        <w:rPr>
          <w:sz w:val="24"/>
        </w:rPr>
        <w:t>16</w:t>
      </w:r>
      <w:r>
        <w:rPr>
          <w:spacing w:val="-4"/>
          <w:sz w:val="24"/>
        </w:rPr>
        <w:t> </w:t>
      </w:r>
      <w:r>
        <w:rPr>
          <w:sz w:val="24"/>
        </w:rPr>
        <w:t>weeks</w:t>
      </w:r>
      <w:r>
        <w:rPr>
          <w:spacing w:val="-3"/>
          <w:sz w:val="24"/>
        </w:rPr>
        <w:t> </w:t>
      </w:r>
      <w:r>
        <w:rPr>
          <w:sz w:val="24"/>
        </w:rPr>
        <w:t>as</w:t>
      </w:r>
      <w:r>
        <w:rPr>
          <w:spacing w:val="-3"/>
          <w:sz w:val="24"/>
        </w:rPr>
        <w:t> </w:t>
      </w:r>
      <w:r>
        <w:rPr>
          <w:sz w:val="24"/>
        </w:rPr>
        <w:t>per the contract. The individual must complete one work week without job coach</w:t>
      </w:r>
      <w:r>
        <w:rPr>
          <w:spacing w:val="40"/>
          <w:sz w:val="24"/>
        </w:rPr>
        <w:t> </w:t>
      </w:r>
      <w:r>
        <w:rPr>
          <w:sz w:val="24"/>
        </w:rPr>
        <w:t>support. Before the completion of the Stabilization Milestone, the employment consultant will review the </w:t>
      </w:r>
      <w:r>
        <w:rPr>
          <w:i/>
          <w:sz w:val="24"/>
        </w:rPr>
        <w:t>Extended Services Statement</w:t>
      </w:r>
      <w:r>
        <w:rPr>
          <w:i/>
          <w:spacing w:val="-1"/>
          <w:sz w:val="24"/>
        </w:rPr>
        <w:t> </w:t>
      </w:r>
      <w:r>
        <w:rPr>
          <w:sz w:val="24"/>
        </w:rPr>
        <w:t>with the individual to identify and establish the extended services (ex. DDS, Natural Supports, or other sources identified by Team) available</w:t>
      </w:r>
      <w:r>
        <w:rPr>
          <w:spacing w:val="40"/>
          <w:sz w:val="24"/>
        </w:rPr>
        <w:t> </w:t>
      </w:r>
      <w:r>
        <w:rPr>
          <w:sz w:val="24"/>
        </w:rPr>
        <w:t>to the individual and document the responsible person’s contact information on the </w:t>
      </w:r>
      <w:r>
        <w:rPr>
          <w:i/>
          <w:sz w:val="24"/>
        </w:rPr>
        <w:t>Extended Services Statement</w:t>
      </w:r>
      <w:r>
        <w:rPr>
          <w:sz w:val="24"/>
        </w:rPr>
        <w:t>. The extended services identified will be used to assist the individual with maintaining long-term employment.</w:t>
      </w:r>
      <w:r>
        <w:rPr>
          <w:spacing w:val="-1"/>
          <w:sz w:val="24"/>
        </w:rPr>
        <w:t> </w:t>
      </w:r>
      <w:r>
        <w:rPr>
          <w:sz w:val="24"/>
        </w:rPr>
        <w:t>At</w:t>
      </w:r>
      <w:r>
        <w:rPr>
          <w:spacing w:val="-2"/>
          <w:sz w:val="24"/>
        </w:rPr>
        <w:t> </w:t>
      </w:r>
      <w:r>
        <w:rPr>
          <w:sz w:val="24"/>
        </w:rPr>
        <w:t>the</w:t>
      </w:r>
      <w:r>
        <w:rPr>
          <w:spacing w:val="-1"/>
          <w:sz w:val="24"/>
        </w:rPr>
        <w:t> </w:t>
      </w:r>
      <w:r>
        <w:rPr>
          <w:sz w:val="24"/>
        </w:rPr>
        <w:t>end</w:t>
      </w:r>
      <w:r>
        <w:rPr>
          <w:spacing w:val="-1"/>
          <w:sz w:val="24"/>
        </w:rPr>
        <w:t> </w:t>
      </w:r>
      <w:r>
        <w:rPr>
          <w:sz w:val="24"/>
        </w:rPr>
        <w:t>of this</w:t>
      </w:r>
      <w:r>
        <w:rPr>
          <w:spacing w:val="-2"/>
          <w:sz w:val="24"/>
        </w:rPr>
        <w:t> </w:t>
      </w:r>
      <w:r>
        <w:rPr>
          <w:sz w:val="24"/>
        </w:rPr>
        <w:t>milestone, the</w:t>
      </w:r>
      <w:r>
        <w:rPr>
          <w:spacing w:val="-1"/>
          <w:sz w:val="24"/>
        </w:rPr>
        <w:t> </w:t>
      </w:r>
      <w:r>
        <w:rPr>
          <w:sz w:val="24"/>
        </w:rPr>
        <w:t>case</w:t>
      </w:r>
      <w:r>
        <w:rPr>
          <w:spacing w:val="-1"/>
          <w:sz w:val="24"/>
        </w:rPr>
        <w:t> </w:t>
      </w:r>
      <w:r>
        <w:rPr>
          <w:sz w:val="24"/>
        </w:rPr>
        <w:t>is</w:t>
      </w:r>
      <w:r>
        <w:rPr>
          <w:spacing w:val="-1"/>
          <w:sz w:val="24"/>
        </w:rPr>
        <w:t> </w:t>
      </w:r>
      <w:r>
        <w:rPr>
          <w:sz w:val="24"/>
        </w:rPr>
        <w:t>moved</w:t>
      </w:r>
      <w:r>
        <w:rPr>
          <w:spacing w:val="-1"/>
          <w:sz w:val="24"/>
        </w:rPr>
        <w:t> </w:t>
      </w:r>
      <w:r>
        <w:rPr>
          <w:sz w:val="24"/>
        </w:rPr>
        <w:t>to</w:t>
      </w:r>
      <w:r>
        <w:rPr>
          <w:spacing w:val="-1"/>
          <w:sz w:val="24"/>
        </w:rPr>
        <w:t> </w:t>
      </w:r>
      <w:r>
        <w:rPr>
          <w:sz w:val="24"/>
        </w:rPr>
        <w:t>employed</w:t>
      </w:r>
      <w:r>
        <w:rPr>
          <w:spacing w:val="-1"/>
          <w:sz w:val="24"/>
        </w:rPr>
        <w:t> </w:t>
      </w:r>
      <w:r>
        <w:rPr>
          <w:sz w:val="24"/>
        </w:rPr>
        <w:t>status</w:t>
      </w:r>
      <w:r>
        <w:rPr>
          <w:spacing w:val="-1"/>
          <w:sz w:val="24"/>
        </w:rPr>
        <w:t> </w:t>
      </w:r>
      <w:r>
        <w:rPr>
          <w:sz w:val="24"/>
        </w:rPr>
        <w:t>and the counselor begins counting the 90 days of employment.</w:t>
      </w:r>
    </w:p>
    <w:p>
      <w:pPr>
        <w:pStyle w:val="ListParagraph"/>
        <w:numPr>
          <w:ilvl w:val="1"/>
          <w:numId w:val="217"/>
        </w:numPr>
        <w:tabs>
          <w:tab w:pos="1186" w:val="left" w:leader="none"/>
        </w:tabs>
        <w:spacing w:line="208" w:lineRule="auto" w:before="239" w:after="0"/>
        <w:ind w:left="720" w:right="768" w:firstLine="0"/>
        <w:jc w:val="both"/>
        <w:rPr>
          <w:sz w:val="24"/>
        </w:rPr>
      </w:pPr>
      <w:r>
        <w:rPr>
          <w:sz w:val="24"/>
        </w:rPr>
        <w:t>Successful</w:t>
      </w:r>
      <w:r>
        <w:rPr>
          <w:spacing w:val="-4"/>
          <w:sz w:val="24"/>
        </w:rPr>
        <w:t> </w:t>
      </w:r>
      <w:r>
        <w:rPr>
          <w:sz w:val="24"/>
        </w:rPr>
        <w:t>Employment</w:t>
      </w:r>
      <w:r>
        <w:rPr>
          <w:spacing w:val="-3"/>
          <w:sz w:val="24"/>
        </w:rPr>
        <w:t> </w:t>
      </w:r>
      <w:r>
        <w:rPr>
          <w:sz w:val="24"/>
        </w:rPr>
        <w:t>Milestone</w:t>
      </w:r>
      <w:r>
        <w:rPr>
          <w:spacing w:val="-4"/>
          <w:sz w:val="24"/>
        </w:rPr>
        <w:t> </w:t>
      </w:r>
      <w:r>
        <w:rPr>
          <w:sz w:val="24"/>
        </w:rPr>
        <w:t>(EM)</w:t>
      </w:r>
      <w:r>
        <w:rPr>
          <w:spacing w:val="-3"/>
          <w:sz w:val="24"/>
        </w:rPr>
        <w:t> </w:t>
      </w:r>
      <w:r>
        <w:rPr>
          <w:sz w:val="24"/>
        </w:rPr>
        <w:t>–</w:t>
      </w:r>
      <w:r>
        <w:rPr>
          <w:spacing w:val="-5"/>
          <w:sz w:val="24"/>
        </w:rPr>
        <w:t> </w:t>
      </w:r>
      <w:r>
        <w:rPr>
          <w:sz w:val="24"/>
        </w:rPr>
        <w:t>The</w:t>
      </w:r>
      <w:r>
        <w:rPr>
          <w:spacing w:val="-4"/>
          <w:sz w:val="24"/>
        </w:rPr>
        <w:t> </w:t>
      </w:r>
      <w:r>
        <w:rPr>
          <w:sz w:val="24"/>
        </w:rPr>
        <w:t>individual</w:t>
      </w:r>
      <w:r>
        <w:rPr>
          <w:spacing w:val="-4"/>
          <w:sz w:val="24"/>
        </w:rPr>
        <w:t> </w:t>
      </w:r>
      <w:r>
        <w:rPr>
          <w:sz w:val="24"/>
        </w:rPr>
        <w:t>has</w:t>
      </w:r>
      <w:r>
        <w:rPr>
          <w:spacing w:val="-4"/>
          <w:sz w:val="24"/>
        </w:rPr>
        <w:t> </w:t>
      </w:r>
      <w:r>
        <w:rPr>
          <w:sz w:val="24"/>
        </w:rPr>
        <w:t>been</w:t>
      </w:r>
      <w:r>
        <w:rPr>
          <w:spacing w:val="-4"/>
          <w:sz w:val="24"/>
        </w:rPr>
        <w:t> </w:t>
      </w:r>
      <w:r>
        <w:rPr>
          <w:sz w:val="24"/>
        </w:rPr>
        <w:t>employed</w:t>
      </w:r>
      <w:r>
        <w:rPr>
          <w:spacing w:val="-4"/>
          <w:sz w:val="24"/>
        </w:rPr>
        <w:t> </w:t>
      </w:r>
      <w:r>
        <w:rPr>
          <w:sz w:val="24"/>
        </w:rPr>
        <w:t>90 days</w:t>
      </w:r>
      <w:r>
        <w:rPr>
          <w:spacing w:val="-2"/>
          <w:sz w:val="24"/>
        </w:rPr>
        <w:t> </w:t>
      </w:r>
      <w:r>
        <w:rPr>
          <w:sz w:val="24"/>
        </w:rPr>
        <w:t>beyond</w:t>
      </w:r>
      <w:r>
        <w:rPr>
          <w:spacing w:val="-2"/>
          <w:sz w:val="24"/>
        </w:rPr>
        <w:t> </w:t>
      </w:r>
      <w:r>
        <w:rPr>
          <w:sz w:val="24"/>
        </w:rPr>
        <w:t>stabilization</w:t>
      </w:r>
      <w:r>
        <w:rPr>
          <w:spacing w:val="-2"/>
          <w:sz w:val="24"/>
        </w:rPr>
        <w:t> </w:t>
      </w:r>
      <w:r>
        <w:rPr>
          <w:sz w:val="24"/>
        </w:rPr>
        <w:t>and</w:t>
      </w:r>
      <w:r>
        <w:rPr>
          <w:spacing w:val="-2"/>
          <w:sz w:val="24"/>
        </w:rPr>
        <w:t> </w:t>
      </w:r>
      <w:r>
        <w:rPr>
          <w:sz w:val="24"/>
        </w:rPr>
        <w:t>both</w:t>
      </w:r>
      <w:r>
        <w:rPr>
          <w:spacing w:val="-2"/>
          <w:sz w:val="24"/>
        </w:rPr>
        <w:t> </w:t>
      </w:r>
      <w:r>
        <w:rPr>
          <w:sz w:val="24"/>
        </w:rPr>
        <w:t>the</w:t>
      </w:r>
      <w:r>
        <w:rPr>
          <w:spacing w:val="-2"/>
          <w:sz w:val="24"/>
        </w:rPr>
        <w:t> </w:t>
      </w:r>
      <w:r>
        <w:rPr>
          <w:sz w:val="24"/>
        </w:rPr>
        <w:t>individual</w:t>
      </w:r>
      <w:r>
        <w:rPr>
          <w:spacing w:val="-2"/>
          <w:sz w:val="24"/>
        </w:rPr>
        <w:t> </w:t>
      </w:r>
      <w:r>
        <w:rPr>
          <w:sz w:val="24"/>
        </w:rPr>
        <w:t>and</w:t>
      </w:r>
      <w:r>
        <w:rPr>
          <w:spacing w:val="-2"/>
          <w:sz w:val="24"/>
        </w:rPr>
        <w:t> </w:t>
      </w:r>
      <w:r>
        <w:rPr>
          <w:sz w:val="24"/>
        </w:rPr>
        <w:t>employer</w:t>
      </w:r>
      <w:r>
        <w:rPr>
          <w:spacing w:val="-1"/>
          <w:sz w:val="24"/>
        </w:rPr>
        <w:t> </w:t>
      </w:r>
      <w:r>
        <w:rPr>
          <w:sz w:val="24"/>
        </w:rPr>
        <w:t>are</w:t>
      </w:r>
      <w:r>
        <w:rPr>
          <w:spacing w:val="-2"/>
          <w:sz w:val="24"/>
        </w:rPr>
        <w:t> </w:t>
      </w:r>
      <w:r>
        <w:rPr>
          <w:sz w:val="24"/>
        </w:rPr>
        <w:t>satisfied</w:t>
      </w:r>
      <w:r>
        <w:rPr>
          <w:spacing w:val="-2"/>
          <w:sz w:val="24"/>
        </w:rPr>
        <w:t> </w:t>
      </w:r>
      <w:r>
        <w:rPr>
          <w:sz w:val="24"/>
        </w:rPr>
        <w:t>with</w:t>
      </w:r>
      <w:r>
        <w:rPr>
          <w:spacing w:val="-2"/>
          <w:sz w:val="24"/>
        </w:rPr>
        <w:t> </w:t>
      </w:r>
      <w:r>
        <w:rPr>
          <w:sz w:val="24"/>
        </w:rPr>
        <w:t>the job performance.</w:t>
      </w:r>
    </w:p>
    <w:p>
      <w:pPr>
        <w:pStyle w:val="ListParagraph"/>
        <w:numPr>
          <w:ilvl w:val="0"/>
          <w:numId w:val="217"/>
        </w:numPr>
        <w:tabs>
          <w:tab w:pos="693" w:val="left" w:leader="none"/>
        </w:tabs>
        <w:spacing w:line="208" w:lineRule="auto" w:before="240" w:after="0"/>
        <w:ind w:left="360" w:right="927" w:firstLine="0"/>
        <w:jc w:val="left"/>
        <w:rPr>
          <w:sz w:val="24"/>
        </w:rPr>
      </w:pPr>
      <w:r>
        <w:rPr>
          <w:sz w:val="24"/>
        </w:rPr>
        <w:t>There</w:t>
      </w:r>
      <w:r>
        <w:rPr>
          <w:spacing w:val="-4"/>
          <w:sz w:val="24"/>
        </w:rPr>
        <w:t> </w:t>
      </w:r>
      <w:r>
        <w:rPr>
          <w:sz w:val="24"/>
        </w:rPr>
        <w:t>are</w:t>
      </w:r>
      <w:r>
        <w:rPr>
          <w:spacing w:val="-4"/>
          <w:sz w:val="24"/>
        </w:rPr>
        <w:t> </w:t>
      </w:r>
      <w:r>
        <w:rPr>
          <w:sz w:val="24"/>
        </w:rPr>
        <w:t>two</w:t>
      </w:r>
      <w:r>
        <w:rPr>
          <w:spacing w:val="-4"/>
          <w:sz w:val="24"/>
        </w:rPr>
        <w:t> </w:t>
      </w:r>
      <w:r>
        <w:rPr>
          <w:sz w:val="24"/>
        </w:rPr>
        <w:t>levels</w:t>
      </w:r>
      <w:r>
        <w:rPr>
          <w:spacing w:val="-4"/>
          <w:sz w:val="24"/>
        </w:rPr>
        <w:t> </w:t>
      </w:r>
      <w:r>
        <w:rPr>
          <w:sz w:val="24"/>
        </w:rPr>
        <w:t>of</w:t>
      </w:r>
      <w:r>
        <w:rPr>
          <w:spacing w:val="-3"/>
          <w:sz w:val="24"/>
        </w:rPr>
        <w:t> </w:t>
      </w:r>
      <w:r>
        <w:rPr>
          <w:sz w:val="24"/>
        </w:rPr>
        <w:t>service:</w:t>
      </w:r>
      <w:r>
        <w:rPr>
          <w:spacing w:val="-3"/>
          <w:sz w:val="24"/>
        </w:rPr>
        <w:t> </w:t>
      </w:r>
      <w:r>
        <w:rPr>
          <w:sz w:val="24"/>
        </w:rPr>
        <w:t>regular</w:t>
      </w:r>
      <w:r>
        <w:rPr>
          <w:spacing w:val="-3"/>
          <w:sz w:val="24"/>
        </w:rPr>
        <w:t> </w:t>
      </w:r>
      <w:r>
        <w:rPr>
          <w:sz w:val="24"/>
        </w:rPr>
        <w:t>and</w:t>
      </w:r>
      <w:r>
        <w:rPr>
          <w:spacing w:val="-4"/>
          <w:sz w:val="24"/>
        </w:rPr>
        <w:t> </w:t>
      </w:r>
      <w:r>
        <w:rPr>
          <w:sz w:val="24"/>
        </w:rPr>
        <w:t>highly</w:t>
      </w:r>
      <w:r>
        <w:rPr>
          <w:spacing w:val="-4"/>
          <w:sz w:val="24"/>
        </w:rPr>
        <w:t> </w:t>
      </w:r>
      <w:r>
        <w:rPr>
          <w:sz w:val="24"/>
        </w:rPr>
        <w:t>challenged.</w:t>
      </w:r>
      <w:r>
        <w:rPr>
          <w:spacing w:val="-3"/>
          <w:sz w:val="24"/>
        </w:rPr>
        <w:t> </w:t>
      </w:r>
      <w:r>
        <w:rPr>
          <w:sz w:val="24"/>
        </w:rPr>
        <w:t>The</w:t>
      </w:r>
      <w:r>
        <w:rPr>
          <w:spacing w:val="-4"/>
          <w:sz w:val="24"/>
        </w:rPr>
        <w:t> </w:t>
      </w:r>
      <w:r>
        <w:rPr>
          <w:sz w:val="24"/>
        </w:rPr>
        <w:t>DRS</w:t>
      </w:r>
      <w:r>
        <w:rPr>
          <w:spacing w:val="-4"/>
          <w:sz w:val="24"/>
        </w:rPr>
        <w:t> </w:t>
      </w:r>
      <w:r>
        <w:rPr>
          <w:sz w:val="24"/>
        </w:rPr>
        <w:t>counselor, working with the client and the provider, will designate the services to be used and whether the individual meets the regular or highly challenged criteria. The highly challenged criterion is defined in the provider contract (see II. Contract Services, C. Highly Challenged Criteria in the SE contract.)</w:t>
      </w:r>
    </w:p>
    <w:p>
      <w:pPr>
        <w:pStyle w:val="ListParagraph"/>
        <w:numPr>
          <w:ilvl w:val="0"/>
          <w:numId w:val="217"/>
        </w:numPr>
        <w:tabs>
          <w:tab w:pos="693" w:val="left" w:leader="none"/>
        </w:tabs>
        <w:spacing w:line="208" w:lineRule="auto" w:before="239" w:after="0"/>
        <w:ind w:left="360" w:right="843" w:firstLine="0"/>
        <w:jc w:val="left"/>
        <w:rPr>
          <w:sz w:val="24"/>
        </w:rPr>
      </w:pPr>
      <w:r>
        <w:rPr>
          <w:sz w:val="24"/>
        </w:rPr>
        <w:t>Additional Employment Services are for individuals who have completed the Successful Employment milestone. The counselor reviews documentation from the provider</w:t>
      </w:r>
      <w:r>
        <w:rPr>
          <w:spacing w:val="-3"/>
          <w:sz w:val="24"/>
        </w:rPr>
        <w:t> </w:t>
      </w:r>
      <w:r>
        <w:rPr>
          <w:sz w:val="24"/>
        </w:rPr>
        <w:t>regarding</w:t>
      </w:r>
      <w:r>
        <w:rPr>
          <w:spacing w:val="-4"/>
          <w:sz w:val="24"/>
        </w:rPr>
        <w:t> </w:t>
      </w:r>
      <w:r>
        <w:rPr>
          <w:sz w:val="24"/>
        </w:rPr>
        <w:t>the</w:t>
      </w:r>
      <w:r>
        <w:rPr>
          <w:spacing w:val="-3"/>
          <w:sz w:val="24"/>
        </w:rPr>
        <w:t> </w:t>
      </w:r>
      <w:r>
        <w:rPr>
          <w:sz w:val="24"/>
        </w:rPr>
        <w:t>job</w:t>
      </w:r>
      <w:r>
        <w:rPr>
          <w:spacing w:val="-4"/>
          <w:sz w:val="24"/>
        </w:rPr>
        <w:t> </w:t>
      </w:r>
      <w:r>
        <w:rPr>
          <w:sz w:val="24"/>
        </w:rPr>
        <w:t>loss</w:t>
      </w:r>
      <w:r>
        <w:rPr>
          <w:spacing w:val="-4"/>
          <w:sz w:val="24"/>
        </w:rPr>
        <w:t> </w:t>
      </w:r>
      <w:r>
        <w:rPr>
          <w:sz w:val="24"/>
        </w:rPr>
        <w:t>and</w:t>
      </w:r>
      <w:r>
        <w:rPr>
          <w:spacing w:val="-4"/>
          <w:sz w:val="24"/>
        </w:rPr>
        <w:t> </w:t>
      </w:r>
      <w:r>
        <w:rPr>
          <w:sz w:val="24"/>
        </w:rPr>
        <w:t>determines</w:t>
      </w:r>
      <w:r>
        <w:rPr>
          <w:spacing w:val="-4"/>
          <w:sz w:val="24"/>
        </w:rPr>
        <w:t> </w:t>
      </w:r>
      <w:r>
        <w:rPr>
          <w:sz w:val="24"/>
        </w:rPr>
        <w:t>if</w:t>
      </w:r>
      <w:r>
        <w:rPr>
          <w:spacing w:val="-3"/>
          <w:sz w:val="24"/>
        </w:rPr>
        <w:t> </w:t>
      </w:r>
      <w:r>
        <w:rPr>
          <w:sz w:val="24"/>
        </w:rPr>
        <w:t>extended</w:t>
      </w:r>
      <w:r>
        <w:rPr>
          <w:spacing w:val="-4"/>
          <w:sz w:val="24"/>
        </w:rPr>
        <w:t> </w:t>
      </w:r>
      <w:r>
        <w:rPr>
          <w:sz w:val="24"/>
        </w:rPr>
        <w:t>services</w:t>
      </w:r>
      <w:r>
        <w:rPr>
          <w:spacing w:val="-4"/>
          <w:sz w:val="24"/>
        </w:rPr>
        <w:t> </w:t>
      </w:r>
      <w:r>
        <w:rPr>
          <w:sz w:val="24"/>
        </w:rPr>
        <w:t>are</w:t>
      </w:r>
      <w:r>
        <w:rPr>
          <w:spacing w:val="-4"/>
          <w:sz w:val="24"/>
        </w:rPr>
        <w:t> </w:t>
      </w:r>
      <w:r>
        <w:rPr>
          <w:sz w:val="24"/>
        </w:rPr>
        <w:t>not</w:t>
      </w:r>
      <w:r>
        <w:rPr>
          <w:spacing w:val="-3"/>
          <w:sz w:val="24"/>
        </w:rPr>
        <w:t> </w:t>
      </w:r>
      <w:r>
        <w:rPr>
          <w:sz w:val="24"/>
        </w:rPr>
        <w:t>sufficient</w:t>
      </w:r>
      <w:r>
        <w:rPr>
          <w:spacing w:val="-3"/>
          <w:sz w:val="24"/>
        </w:rPr>
        <w:t> </w:t>
      </w:r>
      <w:r>
        <w:rPr>
          <w:sz w:val="24"/>
        </w:rPr>
        <w:t>to meet the individual's needs for services to achieve re-placement.</w:t>
      </w:r>
    </w:p>
    <w:p>
      <w:pPr>
        <w:pStyle w:val="ListParagraph"/>
        <w:numPr>
          <w:ilvl w:val="0"/>
          <w:numId w:val="217"/>
        </w:numPr>
        <w:tabs>
          <w:tab w:pos="693" w:val="left" w:leader="none"/>
        </w:tabs>
        <w:spacing w:line="208" w:lineRule="auto" w:before="240" w:after="0"/>
        <w:ind w:left="360" w:right="853" w:firstLine="0"/>
        <w:jc w:val="left"/>
        <w:rPr>
          <w:sz w:val="24"/>
        </w:rPr>
      </w:pPr>
      <w:r>
        <w:rPr>
          <w:sz w:val="24"/>
        </w:rPr>
        <w:t>Refer</w:t>
      </w:r>
      <w:r>
        <w:rPr>
          <w:spacing w:val="-5"/>
          <w:sz w:val="24"/>
        </w:rPr>
        <w:t> </w:t>
      </w:r>
      <w:r>
        <w:rPr>
          <w:sz w:val="24"/>
        </w:rPr>
        <w:t>to</w:t>
      </w:r>
      <w:r>
        <w:rPr>
          <w:spacing w:val="-5"/>
          <w:sz w:val="24"/>
        </w:rPr>
        <w:t> </w:t>
      </w:r>
      <w:r>
        <w:rPr>
          <w:sz w:val="24"/>
        </w:rPr>
        <w:t>contract</w:t>
      </w:r>
      <w:r>
        <w:rPr>
          <w:spacing w:val="-5"/>
          <w:sz w:val="24"/>
        </w:rPr>
        <w:t> </w:t>
      </w:r>
      <w:r>
        <w:rPr>
          <w:sz w:val="24"/>
        </w:rPr>
        <w:t>for</w:t>
      </w:r>
      <w:r>
        <w:rPr>
          <w:spacing w:val="-3"/>
          <w:sz w:val="24"/>
        </w:rPr>
        <w:t> </w:t>
      </w:r>
      <w:r>
        <w:rPr>
          <w:sz w:val="24"/>
        </w:rPr>
        <w:t>specific</w:t>
      </w:r>
      <w:r>
        <w:rPr>
          <w:spacing w:val="-4"/>
          <w:sz w:val="24"/>
        </w:rPr>
        <w:t> </w:t>
      </w:r>
      <w:r>
        <w:rPr>
          <w:sz w:val="24"/>
        </w:rPr>
        <w:t>rates</w:t>
      </w:r>
      <w:r>
        <w:rPr>
          <w:spacing w:val="-4"/>
          <w:sz w:val="24"/>
        </w:rPr>
        <w:t> </w:t>
      </w:r>
      <w:r>
        <w:rPr>
          <w:sz w:val="24"/>
        </w:rPr>
        <w:t>for</w:t>
      </w:r>
      <w:r>
        <w:rPr>
          <w:spacing w:val="-5"/>
          <w:sz w:val="24"/>
        </w:rPr>
        <w:t> </w:t>
      </w:r>
      <w:r>
        <w:rPr>
          <w:sz w:val="24"/>
        </w:rPr>
        <w:t>"Additional</w:t>
      </w:r>
      <w:r>
        <w:rPr>
          <w:spacing w:val="-4"/>
          <w:sz w:val="24"/>
        </w:rPr>
        <w:t> </w:t>
      </w:r>
      <w:r>
        <w:rPr>
          <w:sz w:val="24"/>
        </w:rPr>
        <w:t>Employment</w:t>
      </w:r>
      <w:r>
        <w:rPr>
          <w:spacing w:val="-3"/>
          <w:sz w:val="24"/>
        </w:rPr>
        <w:t> </w:t>
      </w:r>
      <w:r>
        <w:rPr>
          <w:sz w:val="24"/>
        </w:rPr>
        <w:t>Services".</w:t>
      </w:r>
      <w:r>
        <w:rPr>
          <w:spacing w:val="-3"/>
          <w:sz w:val="24"/>
        </w:rPr>
        <w:t> </w:t>
      </w:r>
      <w:r>
        <w:rPr>
          <w:sz w:val="24"/>
        </w:rPr>
        <w:t>The</w:t>
      </w:r>
      <w:r>
        <w:rPr>
          <w:spacing w:val="-4"/>
          <w:sz w:val="24"/>
        </w:rPr>
        <w:t> </w:t>
      </w:r>
      <w:r>
        <w:rPr>
          <w:sz w:val="24"/>
        </w:rPr>
        <w:t>Highly Challenged rate can only be authorized if the previous case was designated as Highly </w:t>
      </w:r>
      <w:r>
        <w:rPr>
          <w:spacing w:val="-2"/>
          <w:sz w:val="24"/>
        </w:rPr>
        <w:t>Challenged.</w:t>
      </w:r>
    </w:p>
    <w:p>
      <w:pPr>
        <w:pStyle w:val="BodyText"/>
        <w:spacing w:before="244"/>
        <w:ind w:right="775" w:firstLine="18"/>
      </w:pPr>
      <w:r>
        <w:rPr/>
        <w:t>Please refer to the Employment Support Services webpage from the OKDRS website located at </w:t>
      </w:r>
      <w:hyperlink r:id="rId50">
        <w:r>
          <w:rPr>
            <w:color w:val="0562C1"/>
            <w:u w:val="single" w:color="0562C1"/>
          </w:rPr>
          <w:t>https://www.okdrs.gov/ESS/SEC</w:t>
        </w:r>
      </w:hyperlink>
      <w:r>
        <w:rPr>
          <w:color w:val="0562C1"/>
          <w:u w:val="none"/>
        </w:rPr>
        <w:t> </w:t>
      </w:r>
      <w:r>
        <w:rPr>
          <w:u w:val="none"/>
        </w:rPr>
        <w:t>to access the SE contract for Milestone categories,</w:t>
      </w:r>
      <w:r>
        <w:rPr>
          <w:spacing w:val="-4"/>
          <w:u w:val="none"/>
        </w:rPr>
        <w:t> </w:t>
      </w:r>
      <w:r>
        <w:rPr>
          <w:u w:val="none"/>
        </w:rPr>
        <w:t>rates,</w:t>
      </w:r>
      <w:r>
        <w:rPr>
          <w:spacing w:val="-6"/>
          <w:u w:val="none"/>
        </w:rPr>
        <w:t> </w:t>
      </w:r>
      <w:r>
        <w:rPr>
          <w:u w:val="none"/>
        </w:rPr>
        <w:t>required</w:t>
      </w:r>
      <w:r>
        <w:rPr>
          <w:spacing w:val="-5"/>
          <w:u w:val="none"/>
        </w:rPr>
        <w:t> </w:t>
      </w:r>
      <w:r>
        <w:rPr>
          <w:u w:val="none"/>
        </w:rPr>
        <w:t>documentation</w:t>
      </w:r>
      <w:r>
        <w:rPr>
          <w:spacing w:val="-5"/>
          <w:u w:val="none"/>
        </w:rPr>
        <w:t> </w:t>
      </w:r>
      <w:r>
        <w:rPr>
          <w:u w:val="none"/>
        </w:rPr>
        <w:t>for</w:t>
      </w:r>
      <w:r>
        <w:rPr>
          <w:spacing w:val="-4"/>
          <w:u w:val="none"/>
        </w:rPr>
        <w:t> </w:t>
      </w:r>
      <w:r>
        <w:rPr>
          <w:u w:val="none"/>
        </w:rPr>
        <w:t>payment,</w:t>
      </w:r>
      <w:r>
        <w:rPr>
          <w:spacing w:val="-6"/>
          <w:u w:val="none"/>
        </w:rPr>
        <w:t> </w:t>
      </w:r>
      <w:r>
        <w:rPr>
          <w:u w:val="none"/>
        </w:rPr>
        <w:t>and</w:t>
      </w:r>
      <w:r>
        <w:rPr>
          <w:spacing w:val="-5"/>
          <w:u w:val="none"/>
        </w:rPr>
        <w:t> </w:t>
      </w:r>
      <w:r>
        <w:rPr>
          <w:u w:val="none"/>
        </w:rPr>
        <w:t>other</w:t>
      </w:r>
      <w:r>
        <w:rPr>
          <w:spacing w:val="-4"/>
          <w:u w:val="none"/>
        </w:rPr>
        <w:t> </w:t>
      </w:r>
      <w:r>
        <w:rPr>
          <w:u w:val="none"/>
        </w:rPr>
        <w:t>contract</w:t>
      </w:r>
      <w:r>
        <w:rPr>
          <w:spacing w:val="-4"/>
          <w:u w:val="none"/>
        </w:rPr>
        <w:t> </w:t>
      </w:r>
      <w:r>
        <w:rPr>
          <w:u w:val="none"/>
        </w:rPr>
        <w:t>information.</w:t>
      </w:r>
    </w:p>
    <w:p>
      <w:pPr>
        <w:spacing w:before="119"/>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6-14-99</w:t>
      </w:r>
      <w:r>
        <w:rPr>
          <w:sz w:val="22"/>
        </w:rPr>
        <w:tab/>
        <w:t>POL Memo #99-7</w:t>
      </w:r>
    </w:p>
    <w:p>
      <w:pPr>
        <w:spacing w:before="0"/>
        <w:ind w:left="1439" w:right="0" w:firstLine="0"/>
        <w:jc w:val="left"/>
        <w:rPr>
          <w:sz w:val="22"/>
        </w:rPr>
      </w:pPr>
      <w:r>
        <w:rPr>
          <w:sz w:val="22"/>
        </w:rPr>
        <w:t>Emergency,</w:t>
      </w:r>
      <w:r>
        <w:rPr>
          <w:spacing w:val="-8"/>
          <w:sz w:val="22"/>
        </w:rPr>
        <w:t> </w:t>
      </w:r>
      <w:r>
        <w:rPr>
          <w:sz w:val="22"/>
        </w:rPr>
        <w:t>updated</w:t>
      </w:r>
      <w:r>
        <w:rPr>
          <w:spacing w:val="-8"/>
          <w:sz w:val="22"/>
        </w:rPr>
        <w:t> </w:t>
      </w:r>
      <w:r>
        <w:rPr>
          <w:sz w:val="22"/>
        </w:rPr>
        <w:t>DVR/DVS</w:t>
      </w:r>
      <w:r>
        <w:rPr>
          <w:spacing w:val="-7"/>
          <w:sz w:val="22"/>
        </w:rPr>
        <w:t> </w:t>
      </w:r>
      <w:r>
        <w:rPr>
          <w:sz w:val="22"/>
        </w:rPr>
        <w:t>and</w:t>
      </w:r>
      <w:r>
        <w:rPr>
          <w:spacing w:val="-8"/>
          <w:sz w:val="22"/>
        </w:rPr>
        <w:t> </w:t>
      </w:r>
      <w:r>
        <w:rPr>
          <w:sz w:val="22"/>
        </w:rPr>
        <w:t>IRP</w:t>
      </w:r>
      <w:r>
        <w:rPr>
          <w:spacing w:val="-8"/>
          <w:sz w:val="22"/>
        </w:rPr>
        <w:t> </w:t>
      </w:r>
      <w:r>
        <w:rPr>
          <w:sz w:val="22"/>
        </w:rPr>
        <w:t>to</w:t>
      </w:r>
      <w:r>
        <w:rPr>
          <w:spacing w:val="-7"/>
          <w:sz w:val="22"/>
        </w:rPr>
        <w:t> </w:t>
      </w:r>
      <w:r>
        <w:rPr>
          <w:spacing w:val="-5"/>
          <w:sz w:val="22"/>
        </w:rPr>
        <w:t>IPE</w:t>
      </w:r>
    </w:p>
    <w:p>
      <w:pPr>
        <w:spacing w:after="0"/>
        <w:jc w:val="left"/>
        <w:rPr>
          <w:sz w:val="22"/>
        </w:rPr>
        <w:sectPr>
          <w:pgSz w:w="12240" w:h="15840"/>
          <w:pgMar w:top="1340" w:bottom="280" w:left="1080" w:right="720"/>
        </w:sectPr>
      </w:pPr>
    </w:p>
    <w:p>
      <w:pPr>
        <w:pStyle w:val="ListParagraph"/>
        <w:numPr>
          <w:ilvl w:val="2"/>
          <w:numId w:val="194"/>
        </w:numPr>
        <w:tabs>
          <w:tab w:pos="1439" w:val="left" w:leader="none"/>
        </w:tabs>
        <w:spacing w:line="240" w:lineRule="auto" w:before="80" w:after="0"/>
        <w:ind w:left="1439" w:right="0" w:hanging="1079"/>
        <w:jc w:val="left"/>
        <w:rPr>
          <w:sz w:val="22"/>
        </w:rPr>
      </w:pPr>
      <w:r>
        <w:rPr>
          <w:sz w:val="22"/>
        </w:rPr>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360"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7-1-03</w:t>
      </w:r>
      <w:r>
        <w:rPr>
          <w:sz w:val="22"/>
        </w:rPr>
        <w:tab/>
        <w:t>PT Memo #03-07</w:t>
      </w:r>
    </w:p>
    <w:p>
      <w:pPr>
        <w:spacing w:line="252" w:lineRule="exact" w:before="0"/>
        <w:ind w:left="1439" w:right="0" w:firstLine="0"/>
        <w:jc w:val="left"/>
        <w:rPr>
          <w:sz w:val="22"/>
        </w:rPr>
      </w:pPr>
      <w:r>
        <w:rPr>
          <w:sz w:val="22"/>
        </w:rPr>
        <w:t>Permanent,</w:t>
      </w:r>
      <w:r>
        <w:rPr>
          <w:spacing w:val="-10"/>
          <w:sz w:val="22"/>
        </w:rPr>
        <w:t> </w:t>
      </w:r>
      <w:r>
        <w:rPr>
          <w:sz w:val="22"/>
        </w:rPr>
        <w:t>updated</w:t>
      </w:r>
      <w:r>
        <w:rPr>
          <w:spacing w:val="-11"/>
          <w:sz w:val="22"/>
        </w:rPr>
        <w:t> </w:t>
      </w:r>
      <w:r>
        <w:rPr>
          <w:spacing w:val="-2"/>
          <w:sz w:val="22"/>
        </w:rPr>
        <w:t>language.</w:t>
      </w:r>
    </w:p>
    <w:p>
      <w:pPr>
        <w:pStyle w:val="ListParagraph"/>
        <w:numPr>
          <w:ilvl w:val="2"/>
          <w:numId w:val="19"/>
        </w:numPr>
        <w:tabs>
          <w:tab w:pos="1439" w:val="left" w:leader="none"/>
        </w:tabs>
        <w:spacing w:line="240" w:lineRule="auto"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#06-</w:t>
      </w:r>
      <w:r>
        <w:rPr>
          <w:spacing w:val="-5"/>
          <w:sz w:val="22"/>
        </w:rPr>
        <w:t>01</w:t>
      </w:r>
    </w:p>
    <w:p>
      <w:pPr>
        <w:tabs>
          <w:tab w:pos="1439" w:val="left" w:leader="none"/>
        </w:tabs>
        <w:spacing w:before="0"/>
        <w:ind w:left="360" w:right="5023" w:firstLine="1080"/>
        <w:jc w:val="left"/>
        <w:rPr>
          <w:sz w:val="22"/>
        </w:rPr>
      </w:pPr>
      <w:r>
        <w:rPr>
          <w:sz w:val="22"/>
        </w:rPr>
        <w:t>Permanent,</w:t>
      </w:r>
      <w:r>
        <w:rPr>
          <w:spacing w:val="-9"/>
          <w:sz w:val="22"/>
        </w:rPr>
        <w:t> </w:t>
      </w:r>
      <w:r>
        <w:rPr>
          <w:sz w:val="22"/>
        </w:rPr>
        <w:t>general</w:t>
      </w:r>
      <w:r>
        <w:rPr>
          <w:spacing w:val="-10"/>
          <w:sz w:val="22"/>
        </w:rPr>
        <w:t> </w:t>
      </w:r>
      <w:r>
        <w:rPr>
          <w:sz w:val="22"/>
        </w:rPr>
        <w:t>cleanup</w:t>
      </w:r>
      <w:r>
        <w:rPr>
          <w:spacing w:val="-10"/>
          <w:sz w:val="22"/>
        </w:rPr>
        <w:t> </w:t>
      </w:r>
      <w:r>
        <w:rPr>
          <w:sz w:val="22"/>
        </w:rPr>
        <w:t>of</w:t>
      </w:r>
      <w:r>
        <w:rPr>
          <w:spacing w:val="-10"/>
          <w:sz w:val="22"/>
        </w:rPr>
        <w:t> </w:t>
      </w:r>
      <w:r>
        <w:rPr>
          <w:sz w:val="22"/>
        </w:rPr>
        <w:t>language </w:t>
      </w:r>
      <w:r>
        <w:rPr>
          <w:spacing w:val="-2"/>
          <w:sz w:val="22"/>
        </w:rPr>
        <w:t>7-1-06</w:t>
      </w:r>
      <w:r>
        <w:rPr>
          <w:sz w:val="22"/>
        </w:rPr>
        <w:tab/>
        <w:t>PT Memo #07-01</w:t>
      </w:r>
    </w:p>
    <w:p>
      <w:pPr>
        <w:spacing w:line="253" w:lineRule="exact" w:before="1"/>
        <w:ind w:left="1439" w:right="0" w:firstLine="0"/>
        <w:jc w:val="left"/>
        <w:rPr>
          <w:sz w:val="22"/>
        </w:rPr>
      </w:pPr>
      <w:r>
        <w:rPr>
          <w:sz w:val="22"/>
        </w:rPr>
        <w:t>Permanent,</w:t>
      </w:r>
      <w:r>
        <w:rPr>
          <w:spacing w:val="-8"/>
          <w:sz w:val="22"/>
        </w:rPr>
        <w:t> </w:t>
      </w:r>
      <w:r>
        <w:rPr>
          <w:sz w:val="22"/>
        </w:rPr>
        <w:t>deleted</w:t>
      </w:r>
      <w:r>
        <w:rPr>
          <w:spacing w:val="-8"/>
          <w:sz w:val="22"/>
        </w:rPr>
        <w:t> </w:t>
      </w:r>
      <w:r>
        <w:rPr>
          <w:sz w:val="22"/>
        </w:rPr>
        <w:t>reference</w:t>
      </w:r>
      <w:r>
        <w:rPr>
          <w:spacing w:val="-8"/>
          <w:sz w:val="22"/>
        </w:rPr>
        <w:t> </w:t>
      </w:r>
      <w:r>
        <w:rPr>
          <w:sz w:val="22"/>
        </w:rPr>
        <w:t>to</w:t>
      </w:r>
      <w:r>
        <w:rPr>
          <w:spacing w:val="-8"/>
          <w:sz w:val="22"/>
        </w:rPr>
        <w:t> </w:t>
      </w:r>
      <w:r>
        <w:rPr>
          <w:sz w:val="22"/>
        </w:rPr>
        <w:t>Priority</w:t>
      </w:r>
      <w:r>
        <w:rPr>
          <w:spacing w:val="-8"/>
          <w:sz w:val="22"/>
        </w:rPr>
        <w:t> </w:t>
      </w:r>
      <w:r>
        <w:rPr>
          <w:sz w:val="22"/>
        </w:rPr>
        <w:t>Group</w:t>
      </w:r>
      <w:r>
        <w:rPr>
          <w:spacing w:val="-8"/>
          <w:sz w:val="22"/>
        </w:rPr>
        <w:t> </w:t>
      </w:r>
      <w:r>
        <w:rPr>
          <w:spacing w:val="-5"/>
          <w:sz w:val="22"/>
        </w:rPr>
        <w:t>1.</w:t>
      </w:r>
    </w:p>
    <w:p>
      <w:pPr>
        <w:pStyle w:val="ListParagraph"/>
        <w:numPr>
          <w:ilvl w:val="2"/>
          <w:numId w:val="218"/>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#09-</w:t>
      </w:r>
      <w:r>
        <w:rPr>
          <w:spacing w:val="-5"/>
          <w:sz w:val="22"/>
        </w:rPr>
        <w:t>01</w:t>
      </w:r>
    </w:p>
    <w:p>
      <w:pPr>
        <w:tabs>
          <w:tab w:pos="1439" w:val="left" w:leader="none"/>
        </w:tabs>
        <w:spacing w:before="0"/>
        <w:ind w:left="360" w:right="4343" w:firstLine="1080"/>
        <w:jc w:val="left"/>
        <w:rPr>
          <w:sz w:val="22"/>
        </w:rPr>
      </w:pPr>
      <w:r>
        <w:rPr>
          <w:sz w:val="22"/>
        </w:rPr>
        <w:t>Permanent,</w:t>
      </w:r>
      <w:r>
        <w:rPr>
          <w:spacing w:val="-9"/>
          <w:sz w:val="22"/>
        </w:rPr>
        <w:t> </w:t>
      </w:r>
      <w:r>
        <w:rPr>
          <w:sz w:val="22"/>
        </w:rPr>
        <w:t>Replaced</w:t>
      </w:r>
      <w:r>
        <w:rPr>
          <w:spacing w:val="-10"/>
          <w:sz w:val="22"/>
        </w:rPr>
        <w:t> </w:t>
      </w:r>
      <w:r>
        <w:rPr>
          <w:sz w:val="22"/>
        </w:rPr>
        <w:t>"severe"</w:t>
      </w:r>
      <w:r>
        <w:rPr>
          <w:spacing w:val="-10"/>
          <w:sz w:val="22"/>
        </w:rPr>
        <w:t> </w:t>
      </w:r>
      <w:r>
        <w:rPr>
          <w:sz w:val="22"/>
        </w:rPr>
        <w:t>with</w:t>
      </w:r>
      <w:r>
        <w:rPr>
          <w:spacing w:val="-10"/>
          <w:sz w:val="22"/>
        </w:rPr>
        <w:t> </w:t>
      </w:r>
      <w:r>
        <w:rPr>
          <w:sz w:val="22"/>
        </w:rPr>
        <w:t>"significant" </w:t>
      </w:r>
      <w:r>
        <w:rPr>
          <w:spacing w:val="-2"/>
          <w:sz w:val="22"/>
        </w:rPr>
        <w:t>7-1-11</w:t>
      </w:r>
      <w:r>
        <w:rPr>
          <w:sz w:val="22"/>
        </w:rPr>
        <w:tab/>
        <w:t>PT Memo #12-01</w:t>
      </w:r>
    </w:p>
    <w:p>
      <w:pPr>
        <w:spacing w:before="1"/>
        <w:ind w:left="1439" w:right="0" w:firstLine="0"/>
        <w:jc w:val="left"/>
        <w:rPr>
          <w:sz w:val="22"/>
        </w:rPr>
      </w:pPr>
      <w:r>
        <w:rPr>
          <w:sz w:val="22"/>
        </w:rPr>
        <w:t>Permanent,</w:t>
      </w:r>
      <w:r>
        <w:rPr>
          <w:spacing w:val="-14"/>
          <w:sz w:val="22"/>
        </w:rPr>
        <w:t> </w:t>
      </w:r>
      <w:r>
        <w:rPr>
          <w:sz w:val="22"/>
        </w:rPr>
        <w:t>consolidating</w:t>
      </w:r>
      <w:r>
        <w:rPr>
          <w:spacing w:val="-15"/>
          <w:sz w:val="22"/>
        </w:rPr>
        <w:t> </w:t>
      </w:r>
      <w:r>
        <w:rPr>
          <w:spacing w:val="-2"/>
          <w:sz w:val="22"/>
        </w:rPr>
        <w:t>rules</w:t>
      </w:r>
    </w:p>
    <w:p>
      <w:pPr>
        <w:spacing w:line="276" w:lineRule="exact" w:before="0"/>
        <w:ind w:left="359" w:right="0" w:firstLine="0"/>
        <w:jc w:val="left"/>
        <w:rPr>
          <w:sz w:val="22"/>
        </w:rPr>
      </w:pPr>
      <w:r>
        <w:rPr>
          <w:sz w:val="22"/>
        </w:rPr>
        <w:t>11-30-17</w:t>
      </w:r>
      <w:r>
        <w:rPr>
          <w:spacing w:val="29"/>
          <w:sz w:val="22"/>
        </w:rPr>
        <w:t>  </w:t>
      </w:r>
      <w:r>
        <w:rPr>
          <w:sz w:val="22"/>
        </w:rPr>
        <w:t>Updated</w:t>
      </w:r>
      <w:r>
        <w:rPr>
          <w:spacing w:val="-5"/>
          <w:sz w:val="22"/>
        </w:rPr>
        <w:t> </w:t>
      </w:r>
      <w:r>
        <w:rPr>
          <w:sz w:val="22"/>
        </w:rPr>
        <w:t>ITS</w:t>
      </w:r>
      <w:r>
        <w:rPr>
          <w:spacing w:val="-5"/>
          <w:sz w:val="22"/>
        </w:rPr>
        <w:t> </w:t>
      </w:r>
      <w:r>
        <w:rPr>
          <w:sz w:val="22"/>
        </w:rPr>
        <w:t>#1</w:t>
      </w:r>
      <w:r>
        <w:rPr>
          <w:spacing w:val="-6"/>
          <w:sz w:val="22"/>
        </w:rPr>
        <w:t> </w:t>
      </w:r>
      <w:r>
        <w:rPr>
          <w:sz w:val="22"/>
        </w:rPr>
        <w:t>from</w:t>
      </w:r>
      <w:r>
        <w:rPr>
          <w:spacing w:val="-6"/>
          <w:sz w:val="22"/>
        </w:rPr>
        <w:t> </w:t>
      </w:r>
      <w:r>
        <w:rPr>
          <w:sz w:val="24"/>
        </w:rPr>
        <w:t>'</w:t>
      </w:r>
      <w:r>
        <w:rPr>
          <w:sz w:val="22"/>
        </w:rPr>
        <w:t>18</w:t>
      </w:r>
      <w:r>
        <w:rPr>
          <w:sz w:val="24"/>
        </w:rPr>
        <w:t>'</w:t>
      </w:r>
      <w:r>
        <w:rPr>
          <w:spacing w:val="-11"/>
          <w:sz w:val="24"/>
        </w:rPr>
        <w:t> </w:t>
      </w:r>
      <w:r>
        <w:rPr>
          <w:sz w:val="22"/>
        </w:rPr>
        <w:t>to</w:t>
      </w:r>
      <w:r>
        <w:rPr>
          <w:spacing w:val="-6"/>
          <w:sz w:val="22"/>
        </w:rPr>
        <w:t> </w:t>
      </w:r>
      <w:r>
        <w:rPr>
          <w:sz w:val="24"/>
        </w:rPr>
        <w:t>'</w:t>
      </w:r>
      <w:r>
        <w:rPr>
          <w:sz w:val="22"/>
        </w:rPr>
        <w:t>24</w:t>
      </w:r>
      <w:r>
        <w:rPr>
          <w:sz w:val="24"/>
        </w:rPr>
        <w:t>'</w:t>
      </w:r>
      <w:r>
        <w:rPr>
          <w:spacing w:val="-11"/>
          <w:sz w:val="24"/>
        </w:rPr>
        <w:t> </w:t>
      </w:r>
      <w:r>
        <w:rPr>
          <w:sz w:val="22"/>
        </w:rPr>
        <w:t>months</w:t>
      </w:r>
      <w:r>
        <w:rPr>
          <w:spacing w:val="-6"/>
          <w:sz w:val="22"/>
        </w:rPr>
        <w:t> </w:t>
      </w:r>
      <w:r>
        <w:rPr>
          <w:sz w:val="22"/>
        </w:rPr>
        <w:t>regarding</w:t>
      </w:r>
      <w:r>
        <w:rPr>
          <w:spacing w:val="-5"/>
          <w:sz w:val="22"/>
        </w:rPr>
        <w:t> </w:t>
      </w:r>
      <w:r>
        <w:rPr>
          <w:sz w:val="22"/>
        </w:rPr>
        <w:t>supported</w:t>
      </w:r>
      <w:r>
        <w:rPr>
          <w:spacing w:val="-6"/>
          <w:sz w:val="22"/>
        </w:rPr>
        <w:t> </w:t>
      </w:r>
      <w:r>
        <w:rPr>
          <w:sz w:val="22"/>
        </w:rPr>
        <w:t>employment</w:t>
      </w:r>
      <w:r>
        <w:rPr>
          <w:spacing w:val="-5"/>
          <w:sz w:val="22"/>
        </w:rPr>
        <w:t> </w:t>
      </w:r>
      <w:r>
        <w:rPr>
          <w:spacing w:val="-2"/>
          <w:sz w:val="22"/>
        </w:rPr>
        <w:t>services.</w:t>
      </w:r>
    </w:p>
    <w:p>
      <w:pPr>
        <w:tabs>
          <w:tab w:pos="1439" w:val="left" w:leader="none"/>
        </w:tabs>
        <w:spacing w:line="253" w:lineRule="exact" w:before="0"/>
        <w:ind w:left="359" w:right="0" w:firstLine="0"/>
        <w:jc w:val="left"/>
        <w:rPr>
          <w:sz w:val="22"/>
        </w:rPr>
      </w:pPr>
      <w:r>
        <w:rPr>
          <w:spacing w:val="-2"/>
          <w:sz w:val="22"/>
        </w:rPr>
        <w:t>5-4-</w:t>
      </w:r>
      <w:r>
        <w:rPr>
          <w:spacing w:val="-5"/>
          <w:sz w:val="22"/>
        </w:rPr>
        <w:t>23</w:t>
      </w:r>
      <w:r>
        <w:rPr>
          <w:sz w:val="22"/>
        </w:rPr>
        <w:tab/>
        <w:t>Updated</w:t>
      </w:r>
      <w:r>
        <w:rPr>
          <w:spacing w:val="-10"/>
          <w:sz w:val="22"/>
        </w:rPr>
        <w:t> </w:t>
      </w:r>
      <w:r>
        <w:rPr>
          <w:spacing w:val="-4"/>
          <w:sz w:val="22"/>
        </w:rPr>
        <w:t>ITS.</w:t>
      </w:r>
    </w:p>
    <w:p>
      <w:pPr>
        <w:pStyle w:val="ListParagraph"/>
        <w:numPr>
          <w:ilvl w:val="2"/>
          <w:numId w:val="219"/>
        </w:numPr>
        <w:tabs>
          <w:tab w:pos="1439" w:val="left" w:leader="none"/>
        </w:tabs>
        <w:spacing w:line="240" w:lineRule="auto" w:before="1" w:after="0"/>
        <w:ind w:left="1439" w:right="1355" w:hanging="1081"/>
        <w:jc w:val="left"/>
        <w:rPr>
          <w:sz w:val="24"/>
        </w:rPr>
      </w:pPr>
      <w:r>
        <w:rPr>
          <w:sz w:val="24"/>
        </w:rPr>
        <w:t>Removed</w:t>
      </w:r>
      <w:r>
        <w:rPr>
          <w:spacing w:val="-5"/>
          <w:sz w:val="24"/>
        </w:rPr>
        <w:t> </w:t>
      </w:r>
      <w:r>
        <w:rPr>
          <w:sz w:val="24"/>
        </w:rPr>
        <w:t>section</w:t>
      </w:r>
      <w:r>
        <w:rPr>
          <w:spacing w:val="-5"/>
          <w:sz w:val="24"/>
        </w:rPr>
        <w:t> </w:t>
      </w:r>
      <w:r>
        <w:rPr>
          <w:sz w:val="24"/>
        </w:rPr>
        <w:t>(c)</w:t>
      </w:r>
      <w:r>
        <w:rPr>
          <w:spacing w:val="-5"/>
          <w:sz w:val="24"/>
        </w:rPr>
        <w:t> </w:t>
      </w:r>
      <w:r>
        <w:rPr>
          <w:sz w:val="24"/>
        </w:rPr>
        <w:t>(4)</w:t>
      </w:r>
      <w:r>
        <w:rPr>
          <w:spacing w:val="-5"/>
          <w:sz w:val="24"/>
        </w:rPr>
        <w:t> </w:t>
      </w:r>
      <w:r>
        <w:rPr>
          <w:sz w:val="24"/>
        </w:rPr>
        <w:t>Post-employment</w:t>
      </w:r>
      <w:r>
        <w:rPr>
          <w:spacing w:val="-5"/>
          <w:sz w:val="24"/>
        </w:rPr>
        <w:t> </w:t>
      </w:r>
      <w:r>
        <w:rPr>
          <w:sz w:val="24"/>
        </w:rPr>
        <w:t>services</w:t>
      </w:r>
      <w:r>
        <w:rPr>
          <w:spacing w:val="-5"/>
          <w:sz w:val="24"/>
        </w:rPr>
        <w:t> </w:t>
      </w:r>
      <w:r>
        <w:rPr>
          <w:sz w:val="24"/>
        </w:rPr>
        <w:t>following</w:t>
      </w:r>
      <w:r>
        <w:rPr>
          <w:spacing w:val="-5"/>
          <w:sz w:val="24"/>
        </w:rPr>
        <w:t> </w:t>
      </w:r>
      <w:r>
        <w:rPr>
          <w:sz w:val="24"/>
        </w:rPr>
        <w:t>the</w:t>
      </w:r>
      <w:r>
        <w:rPr>
          <w:spacing w:val="-5"/>
          <w:sz w:val="24"/>
        </w:rPr>
        <w:t> </w:t>
      </w:r>
      <w:r>
        <w:rPr>
          <w:sz w:val="24"/>
        </w:rPr>
        <w:t>client’s transition to extended services.</w:t>
      </w:r>
    </w:p>
    <w:p>
      <w:pPr>
        <w:pStyle w:val="ListParagraph"/>
        <w:numPr>
          <w:ilvl w:val="2"/>
          <w:numId w:val="219"/>
        </w:numPr>
        <w:tabs>
          <w:tab w:pos="1439" w:val="left" w:leader="none"/>
        </w:tabs>
        <w:spacing w:line="240" w:lineRule="auto" w:before="0" w:after="0"/>
        <w:ind w:left="1439" w:right="890" w:hanging="1080"/>
        <w:jc w:val="left"/>
        <w:rPr>
          <w:sz w:val="22"/>
        </w:rPr>
      </w:pPr>
      <w:r>
        <w:rPr>
          <w:sz w:val="22"/>
        </w:rPr>
        <w:t>Revised</w:t>
      </w:r>
      <w:r>
        <w:rPr>
          <w:spacing w:val="-3"/>
          <w:sz w:val="22"/>
        </w:rPr>
        <w:t> </w:t>
      </w:r>
      <w:r>
        <w:rPr>
          <w:sz w:val="22"/>
        </w:rPr>
        <w:t>section</w:t>
      </w:r>
      <w:r>
        <w:rPr>
          <w:spacing w:val="-3"/>
          <w:sz w:val="22"/>
        </w:rPr>
        <w:t> </w:t>
      </w:r>
      <w:r>
        <w:rPr>
          <w:sz w:val="22"/>
        </w:rPr>
        <w:t>(b)</w:t>
      </w:r>
      <w:r>
        <w:rPr>
          <w:spacing w:val="-3"/>
          <w:sz w:val="22"/>
        </w:rPr>
        <w:t> </w:t>
      </w:r>
      <w:r>
        <w:rPr>
          <w:sz w:val="22"/>
        </w:rPr>
        <w:t>language</w:t>
      </w:r>
      <w:r>
        <w:rPr>
          <w:spacing w:val="-3"/>
          <w:sz w:val="22"/>
        </w:rPr>
        <w:t> </w:t>
      </w:r>
      <w:r>
        <w:rPr>
          <w:sz w:val="22"/>
        </w:rPr>
        <w:t>for</w:t>
      </w:r>
      <w:r>
        <w:rPr>
          <w:spacing w:val="-3"/>
          <w:sz w:val="22"/>
        </w:rPr>
        <w:t> </w:t>
      </w:r>
      <w:r>
        <w:rPr>
          <w:sz w:val="22"/>
        </w:rPr>
        <w:t>clarification.</w:t>
      </w:r>
      <w:r>
        <w:rPr>
          <w:spacing w:val="-4"/>
          <w:sz w:val="22"/>
        </w:rPr>
        <w:t> </w:t>
      </w:r>
      <w:r>
        <w:rPr>
          <w:sz w:val="22"/>
        </w:rPr>
        <w:t>Under</w:t>
      </w:r>
      <w:r>
        <w:rPr>
          <w:spacing w:val="-3"/>
          <w:sz w:val="22"/>
        </w:rPr>
        <w:t> </w:t>
      </w:r>
      <w:r>
        <w:rPr>
          <w:sz w:val="22"/>
        </w:rPr>
        <w:t>section</w:t>
      </w:r>
      <w:r>
        <w:rPr>
          <w:spacing w:val="-3"/>
          <w:sz w:val="22"/>
        </w:rPr>
        <w:t> </w:t>
      </w:r>
      <w:r>
        <w:rPr>
          <w:sz w:val="22"/>
        </w:rPr>
        <w:t>(c)</w:t>
      </w:r>
      <w:r>
        <w:rPr>
          <w:spacing w:val="-3"/>
          <w:sz w:val="22"/>
        </w:rPr>
        <w:t> </w:t>
      </w:r>
      <w:r>
        <w:rPr>
          <w:sz w:val="22"/>
        </w:rPr>
        <w:t>revoking</w:t>
      </w:r>
      <w:r>
        <w:rPr>
          <w:spacing w:val="-3"/>
          <w:sz w:val="22"/>
        </w:rPr>
        <w:t> </w:t>
      </w:r>
      <w:r>
        <w:rPr>
          <w:sz w:val="22"/>
        </w:rPr>
        <w:t>(1)</w:t>
      </w:r>
      <w:r>
        <w:rPr>
          <w:spacing w:val="-3"/>
          <w:sz w:val="22"/>
        </w:rPr>
        <w:t> </w:t>
      </w:r>
      <w:r>
        <w:rPr>
          <w:sz w:val="22"/>
        </w:rPr>
        <w:t>and</w:t>
      </w:r>
      <w:r>
        <w:rPr>
          <w:spacing w:val="-3"/>
          <w:sz w:val="22"/>
        </w:rPr>
        <w:t> </w:t>
      </w:r>
      <w:r>
        <w:rPr>
          <w:sz w:val="22"/>
        </w:rPr>
        <w:t>(2) and renumbering. Section (2) becomes new section for Post-employment services following an individual’s transition to extend services.</w:t>
      </w:r>
    </w:p>
    <w:p>
      <w:pPr>
        <w:pStyle w:val="ListParagraph"/>
        <w:spacing w:after="0" w:line="240" w:lineRule="auto"/>
        <w:jc w:val="left"/>
        <w:rPr>
          <w:sz w:val="22"/>
        </w:rPr>
        <w:sectPr>
          <w:pgSz w:w="12240" w:h="15840"/>
          <w:pgMar w:top="1360" w:bottom="280" w:left="1080" w:right="720"/>
        </w:sectPr>
      </w:pPr>
    </w:p>
    <w:p>
      <w:pPr>
        <w:pStyle w:val="Heading2"/>
      </w:pPr>
      <w:bookmarkStart w:name="612:10-7-185.1.  Customized employment" w:id="200"/>
      <w:bookmarkEnd w:id="200"/>
      <w:r>
        <w:rPr>
          <w:b w:val="0"/>
        </w:rPr>
      </w:r>
      <w:r>
        <w:rPr/>
        <w:t>612:10-7-185.1.</w:t>
      </w:r>
      <w:r>
        <w:rPr>
          <w:spacing w:val="56"/>
        </w:rPr>
        <w:t> </w:t>
      </w:r>
      <w:r>
        <w:rPr/>
        <w:t>Customized</w:t>
      </w:r>
      <w:r>
        <w:rPr>
          <w:spacing w:val="-5"/>
        </w:rPr>
        <w:t> </w:t>
      </w:r>
      <w:r>
        <w:rPr>
          <w:spacing w:val="-2"/>
        </w:rPr>
        <w:t>employment</w:t>
      </w:r>
    </w:p>
    <w:p>
      <w:pPr>
        <w:pStyle w:val="ListParagraph"/>
        <w:numPr>
          <w:ilvl w:val="0"/>
          <w:numId w:val="220"/>
        </w:numPr>
        <w:tabs>
          <w:tab w:pos="786" w:val="left" w:leader="none"/>
        </w:tabs>
        <w:spacing w:line="208" w:lineRule="auto" w:before="233" w:after="0"/>
        <w:ind w:left="360" w:right="806" w:firstLine="0"/>
        <w:jc w:val="left"/>
        <w:rPr>
          <w:sz w:val="24"/>
        </w:rPr>
      </w:pPr>
      <w:r>
        <w:rPr>
          <w:b/>
          <w:sz w:val="24"/>
        </w:rPr>
        <w:t>Customized employment </w:t>
      </w:r>
      <w:r>
        <w:rPr>
          <w:sz w:val="24"/>
        </w:rPr>
        <w:t>means competitive integrated employment, for an individual</w:t>
      </w:r>
      <w:r>
        <w:rPr>
          <w:spacing w:val="-4"/>
          <w:sz w:val="24"/>
        </w:rPr>
        <w:t> </w:t>
      </w:r>
      <w:r>
        <w:rPr>
          <w:sz w:val="24"/>
        </w:rPr>
        <w:t>with</w:t>
      </w:r>
      <w:r>
        <w:rPr>
          <w:spacing w:val="-4"/>
          <w:sz w:val="24"/>
        </w:rPr>
        <w:t> </w:t>
      </w:r>
      <w:r>
        <w:rPr>
          <w:sz w:val="24"/>
        </w:rPr>
        <w:t>a</w:t>
      </w:r>
      <w:r>
        <w:rPr>
          <w:spacing w:val="-4"/>
          <w:sz w:val="24"/>
        </w:rPr>
        <w:t> </w:t>
      </w:r>
      <w:r>
        <w:rPr>
          <w:sz w:val="24"/>
        </w:rPr>
        <w:t>significant</w:t>
      </w:r>
      <w:r>
        <w:rPr>
          <w:spacing w:val="-3"/>
          <w:sz w:val="24"/>
        </w:rPr>
        <w:t> </w:t>
      </w:r>
      <w:r>
        <w:rPr>
          <w:sz w:val="24"/>
        </w:rPr>
        <w:t>disability,</w:t>
      </w:r>
      <w:r>
        <w:rPr>
          <w:spacing w:val="-3"/>
          <w:sz w:val="24"/>
        </w:rPr>
        <w:t> </w:t>
      </w:r>
      <w:r>
        <w:rPr>
          <w:sz w:val="24"/>
        </w:rPr>
        <w:t>that</w:t>
      </w:r>
      <w:r>
        <w:rPr>
          <w:spacing w:val="-3"/>
          <w:sz w:val="24"/>
        </w:rPr>
        <w:t> </w:t>
      </w:r>
      <w:r>
        <w:rPr>
          <w:sz w:val="24"/>
        </w:rPr>
        <w:t>is</w:t>
      </w:r>
      <w:r>
        <w:rPr>
          <w:spacing w:val="-5"/>
          <w:sz w:val="24"/>
        </w:rPr>
        <w:t> </w:t>
      </w:r>
      <w:r>
        <w:rPr>
          <w:sz w:val="24"/>
        </w:rPr>
        <w:t>based</w:t>
      </w:r>
      <w:r>
        <w:rPr>
          <w:spacing w:val="-4"/>
          <w:sz w:val="24"/>
        </w:rPr>
        <w:t> </w:t>
      </w:r>
      <w:r>
        <w:rPr>
          <w:sz w:val="24"/>
        </w:rPr>
        <w:t>on</w:t>
      </w:r>
      <w:r>
        <w:rPr>
          <w:spacing w:val="-4"/>
          <w:sz w:val="24"/>
        </w:rPr>
        <w:t> </w:t>
      </w:r>
      <w:r>
        <w:rPr>
          <w:sz w:val="24"/>
        </w:rPr>
        <w:t>an</w:t>
      </w:r>
      <w:r>
        <w:rPr>
          <w:spacing w:val="-4"/>
          <w:sz w:val="24"/>
        </w:rPr>
        <w:t> </w:t>
      </w:r>
      <w:r>
        <w:rPr>
          <w:sz w:val="24"/>
        </w:rPr>
        <w:t>individualized</w:t>
      </w:r>
      <w:r>
        <w:rPr>
          <w:spacing w:val="-4"/>
          <w:sz w:val="24"/>
        </w:rPr>
        <w:t> </w:t>
      </w:r>
      <w:r>
        <w:rPr>
          <w:sz w:val="24"/>
        </w:rPr>
        <w:t>determination</w:t>
      </w:r>
      <w:r>
        <w:rPr>
          <w:spacing w:val="-4"/>
          <w:sz w:val="24"/>
        </w:rPr>
        <w:t> </w:t>
      </w:r>
      <w:r>
        <w:rPr>
          <w:sz w:val="24"/>
        </w:rPr>
        <w:t>of the unique strengths, needs and interests of the individual; designed to meet the specific abilities of the individual and the business needs of the employer, and carried out using flexible strategies such as those detailed in 34 CFR 361.5(c)(11).</w:t>
      </w:r>
    </w:p>
    <w:p>
      <w:pPr>
        <w:pStyle w:val="Heading2"/>
        <w:numPr>
          <w:ilvl w:val="0"/>
          <w:numId w:val="220"/>
        </w:numPr>
        <w:tabs>
          <w:tab w:pos="785" w:val="left" w:leader="none"/>
        </w:tabs>
        <w:spacing w:line="240" w:lineRule="auto" w:before="210" w:after="0"/>
        <w:ind w:left="785" w:right="0" w:hanging="426"/>
        <w:jc w:val="left"/>
      </w:pPr>
      <w:r>
        <w:rPr/>
        <w:t>Provision</w:t>
      </w:r>
      <w:r>
        <w:rPr>
          <w:spacing w:val="-5"/>
        </w:rPr>
        <w:t> </w:t>
      </w:r>
      <w:r>
        <w:rPr/>
        <w:t>of</w:t>
      </w:r>
      <w:r>
        <w:rPr>
          <w:spacing w:val="-4"/>
        </w:rPr>
        <w:t> </w:t>
      </w:r>
      <w:r>
        <w:rPr/>
        <w:t>customized</w:t>
      </w:r>
      <w:r>
        <w:rPr>
          <w:spacing w:val="-5"/>
        </w:rPr>
        <w:t> </w:t>
      </w:r>
      <w:r>
        <w:rPr/>
        <w:t>employment</w:t>
      </w:r>
      <w:r>
        <w:rPr>
          <w:spacing w:val="-3"/>
        </w:rPr>
        <w:t> </w:t>
      </w:r>
      <w:r>
        <w:rPr>
          <w:spacing w:val="-2"/>
        </w:rPr>
        <w:t>services.</w:t>
      </w:r>
    </w:p>
    <w:p>
      <w:pPr>
        <w:pStyle w:val="ListParagraph"/>
        <w:numPr>
          <w:ilvl w:val="1"/>
          <w:numId w:val="220"/>
        </w:numPr>
        <w:tabs>
          <w:tab w:pos="1235" w:val="left" w:leader="none"/>
        </w:tabs>
        <w:spacing w:line="208" w:lineRule="auto" w:before="233" w:after="0"/>
        <w:ind w:left="809" w:right="807" w:firstLine="0"/>
        <w:jc w:val="left"/>
        <w:rPr>
          <w:sz w:val="24"/>
        </w:rPr>
      </w:pPr>
      <w:r>
        <w:rPr>
          <w:sz w:val="24"/>
        </w:rPr>
        <w:t>Customized Employment (CE) services are provided by DRS for a time not to exceed the period specified in federal law unless under special circumstances the eligible</w:t>
      </w:r>
      <w:r>
        <w:rPr>
          <w:spacing w:val="-4"/>
          <w:sz w:val="24"/>
        </w:rPr>
        <w:t> </w:t>
      </w:r>
      <w:r>
        <w:rPr>
          <w:sz w:val="24"/>
        </w:rPr>
        <w:t>individual</w:t>
      </w:r>
      <w:r>
        <w:rPr>
          <w:spacing w:val="-4"/>
          <w:sz w:val="24"/>
        </w:rPr>
        <w:t> </w:t>
      </w:r>
      <w:r>
        <w:rPr>
          <w:sz w:val="24"/>
        </w:rPr>
        <w:t>and</w:t>
      </w:r>
      <w:r>
        <w:rPr>
          <w:spacing w:val="-4"/>
          <w:sz w:val="24"/>
        </w:rPr>
        <w:t> </w:t>
      </w:r>
      <w:r>
        <w:rPr>
          <w:sz w:val="24"/>
        </w:rPr>
        <w:t>the</w:t>
      </w:r>
      <w:r>
        <w:rPr>
          <w:spacing w:val="-4"/>
          <w:sz w:val="24"/>
        </w:rPr>
        <w:t> </w:t>
      </w:r>
      <w:r>
        <w:rPr>
          <w:sz w:val="24"/>
        </w:rPr>
        <w:t>rehabilitation</w:t>
      </w:r>
      <w:r>
        <w:rPr>
          <w:spacing w:val="-4"/>
          <w:sz w:val="24"/>
        </w:rPr>
        <w:t> </w:t>
      </w:r>
      <w:r>
        <w:rPr>
          <w:sz w:val="24"/>
        </w:rPr>
        <w:t>counselor</w:t>
      </w:r>
      <w:r>
        <w:rPr>
          <w:spacing w:val="-3"/>
          <w:sz w:val="24"/>
        </w:rPr>
        <w:t> </w:t>
      </w:r>
      <w:r>
        <w:rPr>
          <w:sz w:val="24"/>
        </w:rPr>
        <w:t>jointly</w:t>
      </w:r>
      <w:r>
        <w:rPr>
          <w:spacing w:val="-3"/>
          <w:sz w:val="24"/>
        </w:rPr>
        <w:t> </w:t>
      </w:r>
      <w:r>
        <w:rPr>
          <w:sz w:val="24"/>
        </w:rPr>
        <w:t>agree</w:t>
      </w:r>
      <w:r>
        <w:rPr>
          <w:spacing w:val="-4"/>
          <w:sz w:val="24"/>
        </w:rPr>
        <w:t> </w:t>
      </w:r>
      <w:r>
        <w:rPr>
          <w:sz w:val="24"/>
        </w:rPr>
        <w:t>to</w:t>
      </w:r>
      <w:r>
        <w:rPr>
          <w:spacing w:val="-4"/>
          <w:sz w:val="24"/>
        </w:rPr>
        <w:t> </w:t>
      </w:r>
      <w:r>
        <w:rPr>
          <w:sz w:val="24"/>
        </w:rPr>
        <w:t>extend</w:t>
      </w:r>
      <w:r>
        <w:rPr>
          <w:spacing w:val="-4"/>
          <w:sz w:val="24"/>
        </w:rPr>
        <w:t> </w:t>
      </w:r>
      <w:r>
        <w:rPr>
          <w:sz w:val="24"/>
        </w:rPr>
        <w:t>the</w:t>
      </w:r>
      <w:r>
        <w:rPr>
          <w:spacing w:val="-4"/>
          <w:sz w:val="24"/>
        </w:rPr>
        <w:t> </w:t>
      </w:r>
      <w:r>
        <w:rPr>
          <w:sz w:val="24"/>
        </w:rPr>
        <w:t>time</w:t>
      </w:r>
      <w:r>
        <w:rPr>
          <w:spacing w:val="-4"/>
          <w:sz w:val="24"/>
        </w:rPr>
        <w:t> </w:t>
      </w:r>
      <w:r>
        <w:rPr>
          <w:sz w:val="24"/>
        </w:rPr>
        <w:t>to achieve the rehabilitation objective identified in the IPE.</w:t>
      </w:r>
    </w:p>
    <w:p>
      <w:pPr>
        <w:pStyle w:val="ListParagraph"/>
        <w:numPr>
          <w:ilvl w:val="1"/>
          <w:numId w:val="220"/>
        </w:numPr>
        <w:tabs>
          <w:tab w:pos="1235" w:val="left" w:leader="none"/>
        </w:tabs>
        <w:spacing w:line="208" w:lineRule="auto" w:before="240" w:after="0"/>
        <w:ind w:left="809" w:right="918" w:firstLine="0"/>
        <w:jc w:val="left"/>
        <w:rPr>
          <w:sz w:val="24"/>
        </w:rPr>
      </w:pPr>
      <w:r>
        <w:rPr>
          <w:sz w:val="24"/>
        </w:rPr>
        <w:t>Customized employment services are not subject to financial status determination.</w:t>
      </w:r>
      <w:r>
        <w:rPr>
          <w:spacing w:val="-3"/>
          <w:sz w:val="24"/>
        </w:rPr>
        <w:t> </w:t>
      </w:r>
      <w:r>
        <w:rPr>
          <w:sz w:val="24"/>
        </w:rPr>
        <w:t>Services</w:t>
      </w:r>
      <w:r>
        <w:rPr>
          <w:spacing w:val="-4"/>
          <w:sz w:val="24"/>
        </w:rPr>
        <w:t> </w:t>
      </w:r>
      <w:r>
        <w:rPr>
          <w:sz w:val="24"/>
        </w:rPr>
        <w:t>are</w:t>
      </w:r>
      <w:r>
        <w:rPr>
          <w:spacing w:val="-4"/>
          <w:sz w:val="24"/>
        </w:rPr>
        <w:t> </w:t>
      </w:r>
      <w:r>
        <w:rPr>
          <w:sz w:val="24"/>
        </w:rPr>
        <w:t>purchased</w:t>
      </w:r>
      <w:r>
        <w:rPr>
          <w:spacing w:val="-4"/>
          <w:sz w:val="24"/>
        </w:rPr>
        <w:t> </w:t>
      </w:r>
      <w:r>
        <w:rPr>
          <w:sz w:val="24"/>
        </w:rPr>
        <w:t>from</w:t>
      </w:r>
      <w:r>
        <w:rPr>
          <w:spacing w:val="-5"/>
          <w:sz w:val="24"/>
        </w:rPr>
        <w:t> </w:t>
      </w:r>
      <w:r>
        <w:rPr>
          <w:sz w:val="24"/>
        </w:rPr>
        <w:t>a</w:t>
      </w:r>
      <w:r>
        <w:rPr>
          <w:spacing w:val="-4"/>
          <w:sz w:val="24"/>
        </w:rPr>
        <w:t> </w:t>
      </w:r>
      <w:r>
        <w:rPr>
          <w:sz w:val="24"/>
        </w:rPr>
        <w:t>qualified</w:t>
      </w:r>
      <w:r>
        <w:rPr>
          <w:spacing w:val="-4"/>
          <w:sz w:val="24"/>
        </w:rPr>
        <w:t> </w:t>
      </w:r>
      <w:r>
        <w:rPr>
          <w:sz w:val="24"/>
        </w:rPr>
        <w:t>vendor</w:t>
      </w:r>
      <w:r>
        <w:rPr>
          <w:spacing w:val="-3"/>
          <w:sz w:val="24"/>
        </w:rPr>
        <w:t> </w:t>
      </w:r>
      <w:r>
        <w:rPr>
          <w:sz w:val="24"/>
        </w:rPr>
        <w:t>under</w:t>
      </w:r>
      <w:r>
        <w:rPr>
          <w:spacing w:val="-3"/>
          <w:sz w:val="24"/>
        </w:rPr>
        <w:t> </w:t>
      </w:r>
      <w:r>
        <w:rPr>
          <w:sz w:val="24"/>
        </w:rPr>
        <w:t>contract</w:t>
      </w:r>
      <w:r>
        <w:rPr>
          <w:spacing w:val="-6"/>
          <w:sz w:val="24"/>
        </w:rPr>
        <w:t> </w:t>
      </w:r>
      <w:r>
        <w:rPr>
          <w:sz w:val="24"/>
        </w:rPr>
        <w:t>with the Department.</w:t>
      </w:r>
    </w:p>
    <w:p>
      <w:pPr>
        <w:pStyle w:val="ListParagraph"/>
        <w:numPr>
          <w:ilvl w:val="1"/>
          <w:numId w:val="220"/>
        </w:numPr>
        <w:tabs>
          <w:tab w:pos="1235" w:val="left" w:leader="none"/>
        </w:tabs>
        <w:spacing w:line="208" w:lineRule="auto" w:before="240" w:after="0"/>
        <w:ind w:left="809" w:right="718" w:firstLine="0"/>
        <w:jc w:val="left"/>
        <w:rPr>
          <w:sz w:val="24"/>
        </w:rPr>
      </w:pPr>
      <w:r>
        <w:rPr>
          <w:sz w:val="24"/>
        </w:rPr>
        <w:t>Customized</w:t>
      </w:r>
      <w:r>
        <w:rPr>
          <w:spacing w:val="-4"/>
          <w:sz w:val="24"/>
        </w:rPr>
        <w:t> </w:t>
      </w:r>
      <w:r>
        <w:rPr>
          <w:sz w:val="24"/>
        </w:rPr>
        <w:t>Employment</w:t>
      </w:r>
      <w:r>
        <w:rPr>
          <w:spacing w:val="-3"/>
          <w:sz w:val="24"/>
        </w:rPr>
        <w:t> </w:t>
      </w:r>
      <w:r>
        <w:rPr>
          <w:sz w:val="24"/>
        </w:rPr>
        <w:t>(CE)</w:t>
      </w:r>
      <w:r>
        <w:rPr>
          <w:spacing w:val="-3"/>
          <w:sz w:val="24"/>
        </w:rPr>
        <w:t> </w:t>
      </w:r>
      <w:r>
        <w:rPr>
          <w:sz w:val="24"/>
        </w:rPr>
        <w:t>is</w:t>
      </w:r>
      <w:r>
        <w:rPr>
          <w:spacing w:val="-4"/>
          <w:sz w:val="24"/>
        </w:rPr>
        <w:t> </w:t>
      </w:r>
      <w:r>
        <w:rPr>
          <w:sz w:val="24"/>
        </w:rPr>
        <w:t>for</w:t>
      </w:r>
      <w:r>
        <w:rPr>
          <w:spacing w:val="-3"/>
          <w:sz w:val="24"/>
        </w:rPr>
        <w:t> </w:t>
      </w:r>
      <w:r>
        <w:rPr>
          <w:sz w:val="24"/>
        </w:rPr>
        <w:t>individuals</w:t>
      </w:r>
      <w:r>
        <w:rPr>
          <w:spacing w:val="-4"/>
          <w:sz w:val="24"/>
        </w:rPr>
        <w:t> </w:t>
      </w:r>
      <w:r>
        <w:rPr>
          <w:sz w:val="24"/>
        </w:rPr>
        <w:t>in</w:t>
      </w:r>
      <w:r>
        <w:rPr>
          <w:spacing w:val="-3"/>
          <w:sz w:val="24"/>
        </w:rPr>
        <w:t> </w:t>
      </w:r>
      <w:r>
        <w:rPr>
          <w:sz w:val="24"/>
        </w:rPr>
        <w:t>Priority</w:t>
      </w:r>
      <w:r>
        <w:rPr>
          <w:spacing w:val="-4"/>
          <w:sz w:val="24"/>
        </w:rPr>
        <w:t> </w:t>
      </w:r>
      <w:r>
        <w:rPr>
          <w:sz w:val="24"/>
        </w:rPr>
        <w:t>Group</w:t>
      </w:r>
      <w:r>
        <w:rPr>
          <w:spacing w:val="-4"/>
          <w:sz w:val="24"/>
        </w:rPr>
        <w:t> </w:t>
      </w:r>
      <w:r>
        <w:rPr>
          <w:sz w:val="24"/>
        </w:rPr>
        <w:t>1</w:t>
      </w:r>
      <w:r>
        <w:rPr>
          <w:spacing w:val="-4"/>
          <w:sz w:val="24"/>
        </w:rPr>
        <w:t> </w:t>
      </w:r>
      <w:r>
        <w:rPr>
          <w:sz w:val="24"/>
        </w:rPr>
        <w:t>with</w:t>
      </w:r>
      <w:r>
        <w:rPr>
          <w:spacing w:val="-4"/>
          <w:sz w:val="24"/>
        </w:rPr>
        <w:t> </w:t>
      </w:r>
      <w:r>
        <w:rPr>
          <w:sz w:val="24"/>
        </w:rPr>
        <w:t>the</w:t>
      </w:r>
      <w:r>
        <w:rPr>
          <w:spacing w:val="-4"/>
          <w:sz w:val="24"/>
        </w:rPr>
        <w:t> </w:t>
      </w:r>
      <w:r>
        <w:rPr>
          <w:sz w:val="24"/>
        </w:rPr>
        <w:t>most significant disabilities who need intensive support to prepare for, obtain and</w:t>
      </w:r>
      <w:r>
        <w:rPr>
          <w:sz w:val="24"/>
        </w:rPr>
        <w:t> maintain successful, competitive integrated employment. Those who may benefit from CE services include but are not limited to:</w:t>
      </w:r>
    </w:p>
    <w:p>
      <w:pPr>
        <w:pStyle w:val="ListParagraph"/>
        <w:numPr>
          <w:ilvl w:val="2"/>
          <w:numId w:val="220"/>
        </w:numPr>
        <w:tabs>
          <w:tab w:pos="1711" w:val="left" w:leader="none"/>
        </w:tabs>
        <w:spacing w:line="208" w:lineRule="auto" w:before="239" w:after="0"/>
        <w:ind w:left="1259" w:right="1307" w:firstLine="0"/>
        <w:jc w:val="left"/>
        <w:rPr>
          <w:sz w:val="24"/>
        </w:rPr>
      </w:pPr>
      <w:r>
        <w:rPr>
          <w:sz w:val="24"/>
        </w:rPr>
        <w:t>Individuals</w:t>
      </w:r>
      <w:r>
        <w:rPr>
          <w:spacing w:val="-4"/>
          <w:sz w:val="24"/>
        </w:rPr>
        <w:t> </w:t>
      </w:r>
      <w:r>
        <w:rPr>
          <w:sz w:val="24"/>
        </w:rPr>
        <w:t>with</w:t>
      </w:r>
      <w:r>
        <w:rPr>
          <w:spacing w:val="-4"/>
          <w:sz w:val="24"/>
        </w:rPr>
        <w:t> </w:t>
      </w:r>
      <w:r>
        <w:rPr>
          <w:sz w:val="24"/>
        </w:rPr>
        <w:t>little</w:t>
      </w:r>
      <w:r>
        <w:rPr>
          <w:spacing w:val="-4"/>
          <w:sz w:val="24"/>
        </w:rPr>
        <w:t> </w:t>
      </w:r>
      <w:r>
        <w:rPr>
          <w:sz w:val="24"/>
        </w:rPr>
        <w:t>or</w:t>
      </w:r>
      <w:r>
        <w:rPr>
          <w:spacing w:val="-3"/>
          <w:sz w:val="24"/>
        </w:rPr>
        <w:t> </w:t>
      </w:r>
      <w:r>
        <w:rPr>
          <w:sz w:val="24"/>
        </w:rPr>
        <w:t>no</w:t>
      </w:r>
      <w:r>
        <w:rPr>
          <w:spacing w:val="-4"/>
          <w:sz w:val="24"/>
        </w:rPr>
        <w:t> </w:t>
      </w:r>
      <w:r>
        <w:rPr>
          <w:sz w:val="24"/>
        </w:rPr>
        <w:t>work</w:t>
      </w:r>
      <w:r>
        <w:rPr>
          <w:spacing w:val="-4"/>
          <w:sz w:val="24"/>
        </w:rPr>
        <w:t> </w:t>
      </w:r>
      <w:r>
        <w:rPr>
          <w:sz w:val="24"/>
        </w:rPr>
        <w:t>experience</w:t>
      </w:r>
      <w:r>
        <w:rPr>
          <w:spacing w:val="-4"/>
          <w:sz w:val="24"/>
        </w:rPr>
        <w:t> </w:t>
      </w:r>
      <w:r>
        <w:rPr>
          <w:sz w:val="24"/>
        </w:rPr>
        <w:t>in</w:t>
      </w:r>
      <w:r>
        <w:rPr>
          <w:spacing w:val="-4"/>
          <w:sz w:val="24"/>
        </w:rPr>
        <w:t> </w:t>
      </w:r>
      <w:r>
        <w:rPr>
          <w:sz w:val="24"/>
        </w:rPr>
        <w:t>a</w:t>
      </w:r>
      <w:r>
        <w:rPr>
          <w:spacing w:val="-4"/>
          <w:sz w:val="24"/>
        </w:rPr>
        <w:t> </w:t>
      </w:r>
      <w:r>
        <w:rPr>
          <w:sz w:val="24"/>
        </w:rPr>
        <w:t>competitive</w:t>
      </w:r>
      <w:r>
        <w:rPr>
          <w:spacing w:val="-4"/>
          <w:sz w:val="24"/>
        </w:rPr>
        <w:t> </w:t>
      </w:r>
      <w:r>
        <w:rPr>
          <w:sz w:val="24"/>
        </w:rPr>
        <w:t>integrated </w:t>
      </w:r>
      <w:r>
        <w:rPr>
          <w:spacing w:val="-2"/>
          <w:sz w:val="24"/>
        </w:rPr>
        <w:t>setting;</w:t>
      </w:r>
    </w:p>
    <w:p>
      <w:pPr>
        <w:pStyle w:val="ListParagraph"/>
        <w:numPr>
          <w:ilvl w:val="2"/>
          <w:numId w:val="220"/>
        </w:numPr>
        <w:tabs>
          <w:tab w:pos="1711" w:val="left" w:leader="none"/>
        </w:tabs>
        <w:spacing w:line="240" w:lineRule="auto" w:before="211" w:after="0"/>
        <w:ind w:left="1711" w:right="0" w:hanging="452"/>
        <w:jc w:val="left"/>
        <w:rPr>
          <w:sz w:val="24"/>
        </w:rPr>
      </w:pPr>
      <w:r>
        <w:rPr>
          <w:sz w:val="24"/>
        </w:rPr>
        <w:t>Individuals</w:t>
      </w:r>
      <w:r>
        <w:rPr>
          <w:spacing w:val="-6"/>
          <w:sz w:val="24"/>
        </w:rPr>
        <w:t> </w:t>
      </w:r>
      <w:r>
        <w:rPr>
          <w:sz w:val="24"/>
        </w:rPr>
        <w:t>who</w:t>
      </w:r>
      <w:r>
        <w:rPr>
          <w:spacing w:val="-3"/>
          <w:sz w:val="24"/>
        </w:rPr>
        <w:t> </w:t>
      </w:r>
      <w:r>
        <w:rPr>
          <w:sz w:val="24"/>
        </w:rPr>
        <w:t>require</w:t>
      </w:r>
      <w:r>
        <w:rPr>
          <w:spacing w:val="-3"/>
          <w:sz w:val="24"/>
        </w:rPr>
        <w:t> </w:t>
      </w:r>
      <w:r>
        <w:rPr>
          <w:sz w:val="24"/>
        </w:rPr>
        <w:t>multiple</w:t>
      </w:r>
      <w:r>
        <w:rPr>
          <w:spacing w:val="-3"/>
          <w:sz w:val="24"/>
        </w:rPr>
        <w:t> </w:t>
      </w:r>
      <w:r>
        <w:rPr>
          <w:sz w:val="24"/>
        </w:rPr>
        <w:t>services</w:t>
      </w:r>
      <w:r>
        <w:rPr>
          <w:spacing w:val="-3"/>
          <w:sz w:val="24"/>
        </w:rPr>
        <w:t> </w:t>
      </w:r>
      <w:r>
        <w:rPr>
          <w:sz w:val="24"/>
        </w:rPr>
        <w:t>over</w:t>
      </w:r>
      <w:r>
        <w:rPr>
          <w:spacing w:val="-2"/>
          <w:sz w:val="24"/>
        </w:rPr>
        <w:t> </w:t>
      </w:r>
      <w:r>
        <w:rPr>
          <w:sz w:val="24"/>
        </w:rPr>
        <w:t>an</w:t>
      </w:r>
      <w:r>
        <w:rPr>
          <w:spacing w:val="-3"/>
          <w:sz w:val="24"/>
        </w:rPr>
        <w:t> </w:t>
      </w:r>
      <w:r>
        <w:rPr>
          <w:sz w:val="24"/>
        </w:rPr>
        <w:t>extended</w:t>
      </w:r>
      <w:r>
        <w:rPr>
          <w:spacing w:val="-3"/>
          <w:sz w:val="24"/>
        </w:rPr>
        <w:t> </w:t>
      </w:r>
      <w:r>
        <w:rPr>
          <w:sz w:val="24"/>
        </w:rPr>
        <w:t>period</w:t>
      </w:r>
      <w:r>
        <w:rPr>
          <w:spacing w:val="-3"/>
          <w:sz w:val="24"/>
        </w:rPr>
        <w:t> </w:t>
      </w:r>
      <w:r>
        <w:rPr>
          <w:sz w:val="24"/>
        </w:rPr>
        <w:t>of</w:t>
      </w:r>
      <w:r>
        <w:rPr>
          <w:spacing w:val="-2"/>
          <w:sz w:val="24"/>
        </w:rPr>
        <w:t> time;</w:t>
      </w:r>
    </w:p>
    <w:p>
      <w:pPr>
        <w:pStyle w:val="ListParagraph"/>
        <w:numPr>
          <w:ilvl w:val="2"/>
          <w:numId w:val="220"/>
        </w:numPr>
        <w:tabs>
          <w:tab w:pos="1724" w:val="left" w:leader="none"/>
        </w:tabs>
        <w:spacing w:line="208" w:lineRule="auto" w:before="233" w:after="0"/>
        <w:ind w:left="1259" w:right="1682" w:firstLine="0"/>
        <w:jc w:val="left"/>
        <w:rPr>
          <w:sz w:val="24"/>
        </w:rPr>
      </w:pPr>
      <w:r>
        <w:rPr>
          <w:sz w:val="24"/>
        </w:rPr>
        <w:t>Individuals</w:t>
      </w:r>
      <w:r>
        <w:rPr>
          <w:spacing w:val="-5"/>
          <w:sz w:val="24"/>
        </w:rPr>
        <w:t> </w:t>
      </w:r>
      <w:r>
        <w:rPr>
          <w:sz w:val="24"/>
        </w:rPr>
        <w:t>who</w:t>
      </w:r>
      <w:r>
        <w:rPr>
          <w:spacing w:val="-5"/>
          <w:sz w:val="24"/>
        </w:rPr>
        <w:t> </w:t>
      </w:r>
      <w:r>
        <w:rPr>
          <w:sz w:val="24"/>
        </w:rPr>
        <w:t>may</w:t>
      </w:r>
      <w:r>
        <w:rPr>
          <w:spacing w:val="-5"/>
          <w:sz w:val="24"/>
        </w:rPr>
        <w:t> </w:t>
      </w:r>
      <w:r>
        <w:rPr>
          <w:sz w:val="24"/>
        </w:rPr>
        <w:t>benefit</w:t>
      </w:r>
      <w:r>
        <w:rPr>
          <w:spacing w:val="-5"/>
          <w:sz w:val="24"/>
        </w:rPr>
        <w:t> </w:t>
      </w:r>
      <w:r>
        <w:rPr>
          <w:sz w:val="24"/>
        </w:rPr>
        <w:t>from</w:t>
      </w:r>
      <w:r>
        <w:rPr>
          <w:spacing w:val="-5"/>
          <w:sz w:val="24"/>
        </w:rPr>
        <w:t> </w:t>
      </w:r>
      <w:r>
        <w:rPr>
          <w:sz w:val="24"/>
        </w:rPr>
        <w:t>specialized</w:t>
      </w:r>
      <w:r>
        <w:rPr>
          <w:spacing w:val="-5"/>
          <w:sz w:val="24"/>
        </w:rPr>
        <w:t> </w:t>
      </w:r>
      <w:r>
        <w:rPr>
          <w:sz w:val="24"/>
        </w:rPr>
        <w:t>job</w:t>
      </w:r>
      <w:r>
        <w:rPr>
          <w:spacing w:val="-5"/>
          <w:sz w:val="24"/>
        </w:rPr>
        <w:t> </w:t>
      </w:r>
      <w:r>
        <w:rPr>
          <w:sz w:val="24"/>
        </w:rPr>
        <w:t>development,</w:t>
      </w:r>
      <w:r>
        <w:rPr>
          <w:spacing w:val="-5"/>
          <w:sz w:val="24"/>
        </w:rPr>
        <w:t> </w:t>
      </w:r>
      <w:r>
        <w:rPr>
          <w:sz w:val="24"/>
        </w:rPr>
        <w:t>job negotiations, and nontraditional jobs that meet an employer’s needs;</w:t>
      </w:r>
    </w:p>
    <w:p>
      <w:pPr>
        <w:pStyle w:val="ListParagraph"/>
        <w:numPr>
          <w:ilvl w:val="2"/>
          <w:numId w:val="220"/>
        </w:numPr>
        <w:tabs>
          <w:tab w:pos="1724" w:val="left" w:leader="none"/>
        </w:tabs>
        <w:spacing w:line="208" w:lineRule="auto" w:before="240" w:after="0"/>
        <w:ind w:left="1259" w:right="1558" w:firstLine="0"/>
        <w:jc w:val="left"/>
        <w:rPr>
          <w:sz w:val="24"/>
        </w:rPr>
      </w:pPr>
      <w:r>
        <w:rPr>
          <w:sz w:val="24"/>
        </w:rPr>
        <w:t>Individuals</w:t>
      </w:r>
      <w:r>
        <w:rPr>
          <w:spacing w:val="-3"/>
          <w:sz w:val="24"/>
        </w:rPr>
        <w:t> </w:t>
      </w:r>
      <w:r>
        <w:rPr>
          <w:sz w:val="24"/>
        </w:rPr>
        <w:t>who</w:t>
      </w:r>
      <w:r>
        <w:rPr>
          <w:spacing w:val="-3"/>
          <w:sz w:val="24"/>
        </w:rPr>
        <w:t> </w:t>
      </w:r>
      <w:r>
        <w:rPr>
          <w:sz w:val="24"/>
        </w:rPr>
        <w:t>are</w:t>
      </w:r>
      <w:r>
        <w:rPr>
          <w:spacing w:val="-3"/>
          <w:sz w:val="24"/>
        </w:rPr>
        <w:t> </w:t>
      </w:r>
      <w:r>
        <w:rPr>
          <w:sz w:val="24"/>
        </w:rPr>
        <w:t>not</w:t>
      </w:r>
      <w:r>
        <w:rPr>
          <w:spacing w:val="-3"/>
          <w:sz w:val="24"/>
        </w:rPr>
        <w:t> </w:t>
      </w:r>
      <w:r>
        <w:rPr>
          <w:sz w:val="24"/>
        </w:rPr>
        <w:t>able</w:t>
      </w:r>
      <w:r>
        <w:rPr>
          <w:spacing w:val="-3"/>
          <w:sz w:val="24"/>
        </w:rPr>
        <w:t> </w:t>
      </w:r>
      <w:r>
        <w:rPr>
          <w:sz w:val="24"/>
        </w:rPr>
        <w:t>to</w:t>
      </w:r>
      <w:r>
        <w:rPr>
          <w:spacing w:val="-3"/>
          <w:sz w:val="24"/>
        </w:rPr>
        <w:t> </w:t>
      </w:r>
      <w:r>
        <w:rPr>
          <w:sz w:val="24"/>
        </w:rPr>
        <w:t>perform</w:t>
      </w:r>
      <w:r>
        <w:rPr>
          <w:spacing w:val="-4"/>
          <w:sz w:val="24"/>
        </w:rPr>
        <w:t> </w:t>
      </w:r>
      <w:r>
        <w:rPr>
          <w:sz w:val="24"/>
        </w:rPr>
        <w:t>all</w:t>
      </w:r>
      <w:r>
        <w:rPr>
          <w:spacing w:val="-3"/>
          <w:sz w:val="24"/>
        </w:rPr>
        <w:t> </w:t>
      </w:r>
      <w:r>
        <w:rPr>
          <w:sz w:val="24"/>
        </w:rPr>
        <w:t>the</w:t>
      </w:r>
      <w:r>
        <w:rPr>
          <w:spacing w:val="-3"/>
          <w:sz w:val="24"/>
        </w:rPr>
        <w:t> </w:t>
      </w:r>
      <w:r>
        <w:rPr>
          <w:sz w:val="24"/>
        </w:rPr>
        <w:t>essential</w:t>
      </w:r>
      <w:r>
        <w:rPr>
          <w:spacing w:val="-3"/>
          <w:sz w:val="24"/>
        </w:rPr>
        <w:t> </w:t>
      </w:r>
      <w:r>
        <w:rPr>
          <w:sz w:val="24"/>
        </w:rPr>
        <w:t>functions</w:t>
      </w:r>
      <w:r>
        <w:rPr>
          <w:spacing w:val="-3"/>
          <w:sz w:val="24"/>
        </w:rPr>
        <w:t> </w:t>
      </w:r>
      <w:r>
        <w:rPr>
          <w:sz w:val="24"/>
        </w:rPr>
        <w:t>of existing job descriptions;</w:t>
      </w:r>
    </w:p>
    <w:p>
      <w:pPr>
        <w:pStyle w:val="ListParagraph"/>
        <w:numPr>
          <w:ilvl w:val="2"/>
          <w:numId w:val="220"/>
        </w:numPr>
        <w:tabs>
          <w:tab w:pos="1711" w:val="left" w:leader="none"/>
        </w:tabs>
        <w:spacing w:line="208" w:lineRule="auto" w:before="240" w:after="0"/>
        <w:ind w:left="1259" w:right="1934" w:firstLine="0"/>
        <w:jc w:val="left"/>
        <w:rPr>
          <w:sz w:val="24"/>
        </w:rPr>
      </w:pPr>
      <w:r>
        <w:rPr>
          <w:sz w:val="24"/>
        </w:rPr>
        <w:t>Individuals</w:t>
      </w:r>
      <w:r>
        <w:rPr>
          <w:spacing w:val="-6"/>
          <w:sz w:val="24"/>
        </w:rPr>
        <w:t> </w:t>
      </w:r>
      <w:r>
        <w:rPr>
          <w:sz w:val="24"/>
        </w:rPr>
        <w:t>who</w:t>
      </w:r>
      <w:r>
        <w:rPr>
          <w:spacing w:val="-6"/>
          <w:sz w:val="24"/>
        </w:rPr>
        <w:t> </w:t>
      </w:r>
      <w:r>
        <w:rPr>
          <w:sz w:val="24"/>
        </w:rPr>
        <w:t>require</w:t>
      </w:r>
      <w:r>
        <w:rPr>
          <w:spacing w:val="-6"/>
          <w:sz w:val="24"/>
        </w:rPr>
        <w:t> </w:t>
      </w:r>
      <w:r>
        <w:rPr>
          <w:sz w:val="24"/>
        </w:rPr>
        <w:t>substantial</w:t>
      </w:r>
      <w:r>
        <w:rPr>
          <w:spacing w:val="-6"/>
          <w:sz w:val="24"/>
        </w:rPr>
        <w:t> </w:t>
      </w:r>
      <w:r>
        <w:rPr>
          <w:sz w:val="24"/>
        </w:rPr>
        <w:t>assistance</w:t>
      </w:r>
      <w:r>
        <w:rPr>
          <w:spacing w:val="-6"/>
          <w:sz w:val="24"/>
        </w:rPr>
        <w:t> </w:t>
      </w:r>
      <w:r>
        <w:rPr>
          <w:sz w:val="24"/>
        </w:rPr>
        <w:t>with</w:t>
      </w:r>
      <w:r>
        <w:rPr>
          <w:spacing w:val="-6"/>
          <w:sz w:val="24"/>
        </w:rPr>
        <w:t> </w:t>
      </w:r>
      <w:r>
        <w:rPr>
          <w:sz w:val="24"/>
        </w:rPr>
        <w:t>preparing</w:t>
      </w:r>
      <w:r>
        <w:rPr>
          <w:spacing w:val="-6"/>
          <w:sz w:val="24"/>
        </w:rPr>
        <w:t> </w:t>
      </w:r>
      <w:r>
        <w:rPr>
          <w:sz w:val="24"/>
        </w:rPr>
        <w:t>for employment and completing the job search process;</w:t>
      </w:r>
    </w:p>
    <w:p>
      <w:pPr>
        <w:pStyle w:val="ListParagraph"/>
        <w:numPr>
          <w:ilvl w:val="2"/>
          <w:numId w:val="220"/>
        </w:numPr>
        <w:tabs>
          <w:tab w:pos="1697" w:val="left" w:leader="none"/>
        </w:tabs>
        <w:spacing w:line="208" w:lineRule="auto" w:before="240" w:after="0"/>
        <w:ind w:left="1259" w:right="984" w:firstLine="0"/>
        <w:jc w:val="left"/>
        <w:rPr>
          <w:sz w:val="24"/>
        </w:rPr>
      </w:pPr>
      <w:r>
        <w:rPr>
          <w:sz w:val="24"/>
        </w:rPr>
        <w:t>Individuals</w:t>
      </w:r>
      <w:r>
        <w:rPr>
          <w:spacing w:val="-4"/>
          <w:sz w:val="24"/>
        </w:rPr>
        <w:t> </w:t>
      </w:r>
      <w:r>
        <w:rPr>
          <w:sz w:val="24"/>
        </w:rPr>
        <w:t>who</w:t>
      </w:r>
      <w:r>
        <w:rPr>
          <w:spacing w:val="-4"/>
          <w:sz w:val="24"/>
        </w:rPr>
        <w:t> </w:t>
      </w:r>
      <w:r>
        <w:rPr>
          <w:sz w:val="24"/>
        </w:rPr>
        <w:t>require</w:t>
      </w:r>
      <w:r>
        <w:rPr>
          <w:spacing w:val="-4"/>
          <w:sz w:val="24"/>
        </w:rPr>
        <w:t> </w:t>
      </w:r>
      <w:r>
        <w:rPr>
          <w:sz w:val="24"/>
        </w:rPr>
        <w:t>significant</w:t>
      </w:r>
      <w:r>
        <w:rPr>
          <w:spacing w:val="-3"/>
          <w:sz w:val="24"/>
        </w:rPr>
        <w:t> </w:t>
      </w:r>
      <w:r>
        <w:rPr>
          <w:sz w:val="24"/>
        </w:rPr>
        <w:t>job</w:t>
      </w:r>
      <w:r>
        <w:rPr>
          <w:spacing w:val="-4"/>
          <w:sz w:val="24"/>
        </w:rPr>
        <w:t> </w:t>
      </w:r>
      <w:r>
        <w:rPr>
          <w:sz w:val="24"/>
        </w:rPr>
        <w:t>site</w:t>
      </w:r>
      <w:r>
        <w:rPr>
          <w:spacing w:val="-4"/>
          <w:sz w:val="24"/>
        </w:rPr>
        <w:t> </w:t>
      </w:r>
      <w:r>
        <w:rPr>
          <w:sz w:val="24"/>
        </w:rPr>
        <w:t>support</w:t>
      </w:r>
      <w:r>
        <w:rPr>
          <w:spacing w:val="-3"/>
          <w:sz w:val="24"/>
        </w:rPr>
        <w:t> </w:t>
      </w:r>
      <w:r>
        <w:rPr>
          <w:sz w:val="24"/>
        </w:rPr>
        <w:t>to</w:t>
      </w:r>
      <w:r>
        <w:rPr>
          <w:spacing w:val="-4"/>
          <w:sz w:val="24"/>
        </w:rPr>
        <w:t> </w:t>
      </w:r>
      <w:r>
        <w:rPr>
          <w:sz w:val="24"/>
        </w:rPr>
        <w:t>learn</w:t>
      </w:r>
      <w:r>
        <w:rPr>
          <w:spacing w:val="-4"/>
          <w:sz w:val="24"/>
        </w:rPr>
        <w:t> </w:t>
      </w:r>
      <w:r>
        <w:rPr>
          <w:sz w:val="24"/>
        </w:rPr>
        <w:t>job</w:t>
      </w:r>
      <w:r>
        <w:rPr>
          <w:spacing w:val="-3"/>
          <w:sz w:val="24"/>
        </w:rPr>
        <w:t> </w:t>
      </w:r>
      <w:r>
        <w:rPr>
          <w:sz w:val="24"/>
        </w:rPr>
        <w:t>tasks,</w:t>
      </w:r>
      <w:r>
        <w:rPr>
          <w:spacing w:val="-3"/>
          <w:sz w:val="24"/>
        </w:rPr>
        <w:t> </w:t>
      </w:r>
      <w:r>
        <w:rPr>
          <w:sz w:val="24"/>
        </w:rPr>
        <w:t>gain work adjustment skills and stabilize in employment; and</w:t>
      </w:r>
    </w:p>
    <w:p>
      <w:pPr>
        <w:pStyle w:val="ListParagraph"/>
        <w:numPr>
          <w:ilvl w:val="2"/>
          <w:numId w:val="220"/>
        </w:numPr>
        <w:tabs>
          <w:tab w:pos="1737" w:val="left" w:leader="none"/>
        </w:tabs>
        <w:spacing w:line="240" w:lineRule="auto" w:before="210" w:after="0"/>
        <w:ind w:left="1737" w:right="0" w:hanging="478"/>
        <w:jc w:val="left"/>
        <w:rPr>
          <w:sz w:val="24"/>
        </w:rPr>
      </w:pPr>
      <w:r>
        <w:rPr>
          <w:sz w:val="24"/>
        </w:rPr>
        <w:t>Individuals</w:t>
      </w:r>
      <w:r>
        <w:rPr>
          <w:spacing w:val="-4"/>
          <w:sz w:val="24"/>
        </w:rPr>
        <w:t> </w:t>
      </w:r>
      <w:r>
        <w:rPr>
          <w:sz w:val="24"/>
        </w:rPr>
        <w:t>who</w:t>
      </w:r>
      <w:r>
        <w:rPr>
          <w:spacing w:val="-3"/>
          <w:sz w:val="24"/>
        </w:rPr>
        <w:t> </w:t>
      </w:r>
      <w:r>
        <w:rPr>
          <w:sz w:val="24"/>
        </w:rPr>
        <w:t>require</w:t>
      </w:r>
      <w:r>
        <w:rPr>
          <w:spacing w:val="-4"/>
          <w:sz w:val="24"/>
        </w:rPr>
        <w:t> </w:t>
      </w:r>
      <w:r>
        <w:rPr>
          <w:sz w:val="24"/>
        </w:rPr>
        <w:t>long-term</w:t>
      </w:r>
      <w:r>
        <w:rPr>
          <w:spacing w:val="-2"/>
          <w:sz w:val="24"/>
        </w:rPr>
        <w:t> </w:t>
      </w:r>
      <w:r>
        <w:rPr>
          <w:sz w:val="24"/>
        </w:rPr>
        <w:t>support</w:t>
      </w:r>
      <w:r>
        <w:rPr>
          <w:spacing w:val="-3"/>
          <w:sz w:val="24"/>
        </w:rPr>
        <w:t> </w:t>
      </w:r>
      <w:r>
        <w:rPr>
          <w:sz w:val="24"/>
        </w:rPr>
        <w:t>to</w:t>
      </w:r>
      <w:r>
        <w:rPr>
          <w:spacing w:val="-4"/>
          <w:sz w:val="24"/>
        </w:rPr>
        <w:t> </w:t>
      </w:r>
      <w:r>
        <w:rPr>
          <w:sz w:val="24"/>
        </w:rPr>
        <w:t>retain</w:t>
      </w:r>
      <w:r>
        <w:rPr>
          <w:spacing w:val="-3"/>
          <w:sz w:val="24"/>
        </w:rPr>
        <w:t> </w:t>
      </w:r>
      <w:r>
        <w:rPr>
          <w:spacing w:val="-2"/>
          <w:sz w:val="24"/>
        </w:rPr>
        <w:t>employment.</w:t>
      </w:r>
    </w:p>
    <w:p>
      <w:pPr>
        <w:pStyle w:val="ListParagraph"/>
        <w:numPr>
          <w:ilvl w:val="1"/>
          <w:numId w:val="220"/>
        </w:numPr>
        <w:tabs>
          <w:tab w:pos="1235" w:val="left" w:leader="none"/>
        </w:tabs>
        <w:spacing w:line="208" w:lineRule="auto" w:before="233" w:after="0"/>
        <w:ind w:left="809" w:right="1224" w:firstLine="0"/>
        <w:jc w:val="left"/>
        <w:rPr>
          <w:sz w:val="24"/>
        </w:rPr>
      </w:pPr>
      <w:r>
        <w:rPr>
          <w:sz w:val="24"/>
        </w:rPr>
        <w:t>Customized</w:t>
      </w:r>
      <w:r>
        <w:rPr>
          <w:spacing w:val="-5"/>
          <w:sz w:val="24"/>
        </w:rPr>
        <w:t> </w:t>
      </w:r>
      <w:r>
        <w:rPr>
          <w:sz w:val="24"/>
        </w:rPr>
        <w:t>Employment</w:t>
      </w:r>
      <w:r>
        <w:rPr>
          <w:spacing w:val="-4"/>
          <w:sz w:val="24"/>
        </w:rPr>
        <w:t> </w:t>
      </w:r>
      <w:r>
        <w:rPr>
          <w:sz w:val="24"/>
        </w:rPr>
        <w:t>referrals</w:t>
      </w:r>
      <w:r>
        <w:rPr>
          <w:spacing w:val="-5"/>
          <w:sz w:val="24"/>
        </w:rPr>
        <w:t> </w:t>
      </w:r>
      <w:r>
        <w:rPr>
          <w:sz w:val="24"/>
        </w:rPr>
        <w:t>to</w:t>
      </w:r>
      <w:r>
        <w:rPr>
          <w:spacing w:val="-5"/>
          <w:sz w:val="24"/>
        </w:rPr>
        <w:t> </w:t>
      </w:r>
      <w:r>
        <w:rPr>
          <w:sz w:val="24"/>
        </w:rPr>
        <w:t>contractors</w:t>
      </w:r>
      <w:r>
        <w:rPr>
          <w:spacing w:val="-6"/>
          <w:sz w:val="24"/>
        </w:rPr>
        <w:t> </w:t>
      </w:r>
      <w:r>
        <w:rPr>
          <w:sz w:val="24"/>
        </w:rPr>
        <w:t>must</w:t>
      </w:r>
      <w:r>
        <w:rPr>
          <w:spacing w:val="-4"/>
          <w:sz w:val="24"/>
        </w:rPr>
        <w:t> </w:t>
      </w:r>
      <w:r>
        <w:rPr>
          <w:sz w:val="24"/>
        </w:rPr>
        <w:t>include</w:t>
      </w:r>
      <w:r>
        <w:rPr>
          <w:spacing w:val="-4"/>
          <w:sz w:val="24"/>
        </w:rPr>
        <w:t> </w:t>
      </w:r>
      <w:r>
        <w:rPr>
          <w:sz w:val="24"/>
        </w:rPr>
        <w:t>copies</w:t>
      </w:r>
      <w:r>
        <w:rPr>
          <w:spacing w:val="-5"/>
          <w:sz w:val="24"/>
        </w:rPr>
        <w:t> </w:t>
      </w:r>
      <w:r>
        <w:rPr>
          <w:sz w:val="24"/>
        </w:rPr>
        <w:t>of</w:t>
      </w:r>
      <w:r>
        <w:rPr>
          <w:spacing w:val="-4"/>
          <w:sz w:val="24"/>
        </w:rPr>
        <w:t> </w:t>
      </w:r>
      <w:r>
        <w:rPr>
          <w:sz w:val="24"/>
        </w:rPr>
        <w:t>the following documents:</w:t>
      </w:r>
    </w:p>
    <w:p>
      <w:pPr>
        <w:pStyle w:val="ListParagraph"/>
        <w:numPr>
          <w:ilvl w:val="2"/>
          <w:numId w:val="220"/>
        </w:numPr>
        <w:tabs>
          <w:tab w:pos="1802" w:val="left" w:leader="none"/>
        </w:tabs>
        <w:spacing w:line="240" w:lineRule="auto" w:before="211" w:after="0"/>
        <w:ind w:left="1802" w:right="0" w:hanging="453"/>
        <w:jc w:val="left"/>
        <w:rPr>
          <w:sz w:val="24"/>
        </w:rPr>
      </w:pPr>
      <w:r>
        <w:rPr>
          <w:sz w:val="24"/>
        </w:rPr>
        <w:t>DRS-C-301</w:t>
      </w:r>
      <w:r>
        <w:rPr>
          <w:spacing w:val="-6"/>
          <w:sz w:val="24"/>
        </w:rPr>
        <w:t> </w:t>
      </w:r>
      <w:r>
        <w:rPr>
          <w:sz w:val="24"/>
        </w:rPr>
        <w:t>Employment</w:t>
      </w:r>
      <w:r>
        <w:rPr>
          <w:spacing w:val="-5"/>
          <w:sz w:val="24"/>
        </w:rPr>
        <w:t> </w:t>
      </w:r>
      <w:r>
        <w:rPr>
          <w:sz w:val="24"/>
        </w:rPr>
        <w:t>Services</w:t>
      </w:r>
      <w:r>
        <w:rPr>
          <w:spacing w:val="-5"/>
          <w:sz w:val="24"/>
        </w:rPr>
        <w:t> </w:t>
      </w:r>
      <w:r>
        <w:rPr>
          <w:spacing w:val="-2"/>
          <w:sz w:val="24"/>
        </w:rPr>
        <w:t>Referral,</w:t>
      </w:r>
    </w:p>
    <w:p>
      <w:pPr>
        <w:pStyle w:val="ListParagraph"/>
        <w:numPr>
          <w:ilvl w:val="2"/>
          <w:numId w:val="220"/>
        </w:numPr>
        <w:tabs>
          <w:tab w:pos="1802" w:val="left" w:leader="none"/>
        </w:tabs>
        <w:spacing w:line="240" w:lineRule="auto" w:before="204" w:after="0"/>
        <w:ind w:left="1802" w:right="0" w:hanging="453"/>
        <w:jc w:val="left"/>
        <w:rPr>
          <w:sz w:val="24"/>
        </w:rPr>
      </w:pPr>
      <w:r>
        <w:rPr>
          <w:sz w:val="24"/>
        </w:rPr>
        <w:t>DRS-C-21</w:t>
      </w:r>
      <w:r>
        <w:rPr>
          <w:spacing w:val="-9"/>
          <w:sz w:val="24"/>
        </w:rPr>
        <w:t> </w:t>
      </w:r>
      <w:r>
        <w:rPr>
          <w:sz w:val="24"/>
        </w:rPr>
        <w:t>Eligibility</w:t>
      </w:r>
      <w:r>
        <w:rPr>
          <w:spacing w:val="-6"/>
          <w:sz w:val="24"/>
        </w:rPr>
        <w:t> </w:t>
      </w:r>
      <w:r>
        <w:rPr>
          <w:sz w:val="24"/>
        </w:rPr>
        <w:t>Determination</w:t>
      </w:r>
      <w:r>
        <w:rPr>
          <w:spacing w:val="-6"/>
          <w:sz w:val="24"/>
        </w:rPr>
        <w:t> </w:t>
      </w:r>
      <w:r>
        <w:rPr>
          <w:spacing w:val="-2"/>
          <w:sz w:val="24"/>
        </w:rPr>
        <w:t>Form,</w:t>
      </w:r>
    </w:p>
    <w:p>
      <w:pPr>
        <w:pStyle w:val="ListParagraph"/>
        <w:numPr>
          <w:ilvl w:val="2"/>
          <w:numId w:val="220"/>
        </w:numPr>
        <w:tabs>
          <w:tab w:pos="1815" w:val="left" w:leader="none"/>
        </w:tabs>
        <w:spacing w:line="240" w:lineRule="auto" w:before="204" w:after="0"/>
        <w:ind w:left="1815" w:right="0" w:hanging="466"/>
        <w:jc w:val="left"/>
        <w:rPr>
          <w:sz w:val="24"/>
        </w:rPr>
      </w:pPr>
      <w:r>
        <w:rPr>
          <w:sz w:val="24"/>
        </w:rPr>
        <w:t>DRS-C-29</w:t>
      </w:r>
      <w:r>
        <w:rPr>
          <w:spacing w:val="-5"/>
          <w:sz w:val="24"/>
        </w:rPr>
        <w:t> </w:t>
      </w:r>
      <w:r>
        <w:rPr>
          <w:sz w:val="24"/>
        </w:rPr>
        <w:t>Individualized</w:t>
      </w:r>
      <w:r>
        <w:rPr>
          <w:spacing w:val="-4"/>
          <w:sz w:val="24"/>
        </w:rPr>
        <w:t> </w:t>
      </w:r>
      <w:r>
        <w:rPr>
          <w:sz w:val="24"/>
        </w:rPr>
        <w:t>Plan</w:t>
      </w:r>
      <w:r>
        <w:rPr>
          <w:spacing w:val="-5"/>
          <w:sz w:val="24"/>
        </w:rPr>
        <w:t> </w:t>
      </w:r>
      <w:r>
        <w:rPr>
          <w:sz w:val="24"/>
        </w:rPr>
        <w:t>for</w:t>
      </w:r>
      <w:r>
        <w:rPr>
          <w:spacing w:val="-3"/>
          <w:sz w:val="24"/>
        </w:rPr>
        <w:t> </w:t>
      </w:r>
      <w:r>
        <w:rPr>
          <w:sz w:val="24"/>
        </w:rPr>
        <w:t>Employment</w:t>
      </w:r>
      <w:r>
        <w:rPr>
          <w:spacing w:val="-3"/>
          <w:sz w:val="24"/>
        </w:rPr>
        <w:t> </w:t>
      </w:r>
      <w:r>
        <w:rPr>
          <w:spacing w:val="-2"/>
          <w:sz w:val="24"/>
        </w:rPr>
        <w:t>(IPE),</w:t>
      </w:r>
    </w:p>
    <w:p>
      <w:pPr>
        <w:pStyle w:val="ListParagraph"/>
        <w:numPr>
          <w:ilvl w:val="2"/>
          <w:numId w:val="220"/>
        </w:numPr>
        <w:tabs>
          <w:tab w:pos="1815" w:val="left" w:leader="none"/>
        </w:tabs>
        <w:spacing w:line="240" w:lineRule="auto" w:before="204" w:after="0"/>
        <w:ind w:left="1815" w:right="0" w:hanging="466"/>
        <w:jc w:val="left"/>
        <w:rPr>
          <w:sz w:val="24"/>
        </w:rPr>
      </w:pPr>
      <w:r>
        <w:rPr>
          <w:sz w:val="24"/>
        </w:rPr>
        <w:t>DRS</w:t>
      </w:r>
      <w:r>
        <w:rPr>
          <w:spacing w:val="-4"/>
          <w:sz w:val="24"/>
        </w:rPr>
        <w:t> </w:t>
      </w:r>
      <w:r>
        <w:rPr>
          <w:sz w:val="24"/>
        </w:rPr>
        <w:t>Personal</w:t>
      </w:r>
      <w:r>
        <w:rPr>
          <w:spacing w:val="-4"/>
          <w:sz w:val="24"/>
        </w:rPr>
        <w:t> </w:t>
      </w:r>
      <w:r>
        <w:rPr>
          <w:sz w:val="24"/>
        </w:rPr>
        <w:t>Information</w:t>
      </w:r>
      <w:r>
        <w:rPr>
          <w:spacing w:val="-3"/>
          <w:sz w:val="24"/>
        </w:rPr>
        <w:t> </w:t>
      </w:r>
      <w:r>
        <w:rPr>
          <w:sz w:val="24"/>
        </w:rPr>
        <w:t>report</w:t>
      </w:r>
      <w:r>
        <w:rPr>
          <w:spacing w:val="-3"/>
          <w:sz w:val="24"/>
        </w:rPr>
        <w:t> </w:t>
      </w:r>
      <w:r>
        <w:rPr>
          <w:sz w:val="24"/>
        </w:rPr>
        <w:t>(printed</w:t>
      </w:r>
      <w:r>
        <w:rPr>
          <w:spacing w:val="-4"/>
          <w:sz w:val="24"/>
        </w:rPr>
        <w:t> </w:t>
      </w:r>
      <w:r>
        <w:rPr>
          <w:sz w:val="24"/>
        </w:rPr>
        <w:t>from</w:t>
      </w:r>
      <w:r>
        <w:rPr>
          <w:spacing w:val="-4"/>
          <w:sz w:val="24"/>
        </w:rPr>
        <w:t> </w:t>
      </w:r>
      <w:r>
        <w:rPr>
          <w:spacing w:val="-2"/>
          <w:sz w:val="24"/>
        </w:rPr>
        <w:t>AWARE).</w:t>
      </w:r>
    </w:p>
    <w:p>
      <w:pPr>
        <w:pStyle w:val="ListParagraph"/>
        <w:spacing w:after="0" w:line="240" w:lineRule="auto"/>
        <w:jc w:val="left"/>
        <w:rPr>
          <w:sz w:val="24"/>
        </w:rPr>
        <w:sectPr>
          <w:pgSz w:w="12240" w:h="15840"/>
          <w:pgMar w:top="1340" w:bottom="280" w:left="1080" w:right="720"/>
        </w:sectPr>
      </w:pPr>
    </w:p>
    <w:p>
      <w:pPr>
        <w:pStyle w:val="ListParagraph"/>
        <w:numPr>
          <w:ilvl w:val="1"/>
          <w:numId w:val="220"/>
        </w:numPr>
        <w:tabs>
          <w:tab w:pos="1326" w:val="left" w:leader="none"/>
        </w:tabs>
        <w:spacing w:line="240" w:lineRule="auto" w:before="67" w:after="0"/>
        <w:ind w:left="1326" w:right="0" w:hanging="426"/>
        <w:jc w:val="left"/>
        <w:rPr>
          <w:sz w:val="24"/>
        </w:rPr>
      </w:pPr>
      <w:r>
        <w:rPr>
          <w:sz w:val="24"/>
        </w:rPr>
        <w:t>Customized</w:t>
      </w:r>
      <w:r>
        <w:rPr>
          <w:spacing w:val="-6"/>
          <w:sz w:val="24"/>
        </w:rPr>
        <w:t> </w:t>
      </w:r>
      <w:r>
        <w:rPr>
          <w:sz w:val="24"/>
        </w:rPr>
        <w:t>employment</w:t>
      </w:r>
      <w:r>
        <w:rPr>
          <w:spacing w:val="-4"/>
          <w:sz w:val="24"/>
        </w:rPr>
        <w:t> </w:t>
      </w:r>
      <w:r>
        <w:rPr>
          <w:sz w:val="24"/>
        </w:rPr>
        <w:t>services</w:t>
      </w:r>
      <w:r>
        <w:rPr>
          <w:spacing w:val="-4"/>
          <w:sz w:val="24"/>
        </w:rPr>
        <w:t> </w:t>
      </w:r>
      <w:r>
        <w:rPr>
          <w:sz w:val="24"/>
        </w:rPr>
        <w:t>may</w:t>
      </w:r>
      <w:r>
        <w:rPr>
          <w:spacing w:val="-3"/>
          <w:sz w:val="24"/>
        </w:rPr>
        <w:t> </w:t>
      </w:r>
      <w:r>
        <w:rPr>
          <w:spacing w:val="-2"/>
          <w:sz w:val="24"/>
        </w:rPr>
        <w:t>include:</w:t>
      </w:r>
    </w:p>
    <w:p>
      <w:pPr>
        <w:pStyle w:val="ListParagraph"/>
        <w:numPr>
          <w:ilvl w:val="2"/>
          <w:numId w:val="220"/>
        </w:numPr>
        <w:tabs>
          <w:tab w:pos="1803" w:val="left" w:leader="none"/>
        </w:tabs>
        <w:spacing w:line="208" w:lineRule="auto" w:before="233" w:after="0"/>
        <w:ind w:left="1350" w:right="750" w:firstLine="0"/>
        <w:jc w:val="left"/>
        <w:rPr>
          <w:sz w:val="24"/>
        </w:rPr>
      </w:pPr>
      <w:r>
        <w:rPr>
          <w:sz w:val="24"/>
        </w:rPr>
        <w:t>CE</w:t>
      </w:r>
      <w:r>
        <w:rPr>
          <w:spacing w:val="-5"/>
          <w:sz w:val="24"/>
        </w:rPr>
        <w:t> </w:t>
      </w:r>
      <w:r>
        <w:rPr>
          <w:sz w:val="24"/>
        </w:rPr>
        <w:t>Discovery</w:t>
      </w:r>
      <w:r>
        <w:rPr>
          <w:spacing w:val="-5"/>
          <w:sz w:val="24"/>
        </w:rPr>
        <w:t> </w:t>
      </w:r>
      <w:r>
        <w:rPr>
          <w:sz w:val="24"/>
        </w:rPr>
        <w:t>includes</w:t>
      </w:r>
      <w:r>
        <w:rPr>
          <w:spacing w:val="-5"/>
          <w:sz w:val="24"/>
        </w:rPr>
        <w:t> </w:t>
      </w:r>
      <w:r>
        <w:rPr>
          <w:sz w:val="24"/>
        </w:rPr>
        <w:t>activities</w:t>
      </w:r>
      <w:r>
        <w:rPr>
          <w:spacing w:val="-5"/>
          <w:sz w:val="24"/>
        </w:rPr>
        <w:t> </w:t>
      </w:r>
      <w:r>
        <w:rPr>
          <w:sz w:val="24"/>
        </w:rPr>
        <w:t>that</w:t>
      </w:r>
      <w:r>
        <w:rPr>
          <w:spacing w:val="-4"/>
          <w:sz w:val="24"/>
        </w:rPr>
        <w:t> </w:t>
      </w:r>
      <w:r>
        <w:rPr>
          <w:sz w:val="24"/>
        </w:rPr>
        <w:t>utilize</w:t>
      </w:r>
      <w:r>
        <w:rPr>
          <w:spacing w:val="-5"/>
          <w:sz w:val="24"/>
        </w:rPr>
        <w:t> </w:t>
      </w:r>
      <w:r>
        <w:rPr>
          <w:sz w:val="24"/>
        </w:rPr>
        <w:t>a</w:t>
      </w:r>
      <w:r>
        <w:rPr>
          <w:spacing w:val="-5"/>
          <w:sz w:val="24"/>
        </w:rPr>
        <w:t> </w:t>
      </w:r>
      <w:r>
        <w:rPr>
          <w:sz w:val="24"/>
        </w:rPr>
        <w:t>person-centered</w:t>
      </w:r>
      <w:r>
        <w:rPr>
          <w:spacing w:val="-5"/>
          <w:sz w:val="24"/>
        </w:rPr>
        <w:t> </w:t>
      </w:r>
      <w:r>
        <w:rPr>
          <w:sz w:val="24"/>
        </w:rPr>
        <w:t>approach</w:t>
      </w:r>
      <w:r>
        <w:rPr>
          <w:spacing w:val="-5"/>
          <w:sz w:val="24"/>
        </w:rPr>
        <w:t> </w:t>
      </w:r>
      <w:r>
        <w:rPr>
          <w:sz w:val="24"/>
        </w:rPr>
        <w:t>to describe who the individual is, and their vocational themes, and guides the planning process to develop a customized job.</w:t>
      </w:r>
    </w:p>
    <w:p>
      <w:pPr>
        <w:pStyle w:val="ListParagraph"/>
        <w:numPr>
          <w:ilvl w:val="2"/>
          <w:numId w:val="220"/>
        </w:numPr>
        <w:tabs>
          <w:tab w:pos="1803" w:val="left" w:leader="none"/>
        </w:tabs>
        <w:spacing w:line="208" w:lineRule="auto" w:before="240" w:after="0"/>
        <w:ind w:left="1350" w:right="938" w:firstLine="0"/>
        <w:jc w:val="left"/>
        <w:rPr>
          <w:sz w:val="24"/>
        </w:rPr>
      </w:pPr>
      <w:r>
        <w:rPr>
          <w:sz w:val="24"/>
        </w:rPr>
        <w:t>Team Meeting will be conducted with the individual, DRS Counselor, Contractor, and all other team members identified by the individual and DRS Counselor. The individual, or with the support of a designee identified by the individual,</w:t>
      </w:r>
      <w:r>
        <w:rPr>
          <w:spacing w:val="-3"/>
          <w:sz w:val="24"/>
        </w:rPr>
        <w:t> </w:t>
      </w:r>
      <w:r>
        <w:rPr>
          <w:sz w:val="24"/>
        </w:rPr>
        <w:t>will</w:t>
      </w:r>
      <w:r>
        <w:rPr>
          <w:spacing w:val="-4"/>
          <w:sz w:val="24"/>
        </w:rPr>
        <w:t> </w:t>
      </w:r>
      <w:r>
        <w:rPr>
          <w:sz w:val="24"/>
        </w:rPr>
        <w:t>lead</w:t>
      </w:r>
      <w:r>
        <w:rPr>
          <w:spacing w:val="-4"/>
          <w:sz w:val="24"/>
        </w:rPr>
        <w:t> </w:t>
      </w:r>
      <w:r>
        <w:rPr>
          <w:sz w:val="24"/>
        </w:rPr>
        <w:t>the</w:t>
      </w:r>
      <w:r>
        <w:rPr>
          <w:spacing w:val="-4"/>
          <w:sz w:val="24"/>
        </w:rPr>
        <w:t> </w:t>
      </w:r>
      <w:r>
        <w:rPr>
          <w:sz w:val="24"/>
        </w:rPr>
        <w:t>meeting</w:t>
      </w:r>
      <w:r>
        <w:rPr>
          <w:spacing w:val="-4"/>
          <w:sz w:val="24"/>
        </w:rPr>
        <w:t> </w:t>
      </w:r>
      <w:r>
        <w:rPr>
          <w:sz w:val="24"/>
        </w:rPr>
        <w:t>to</w:t>
      </w:r>
      <w:r>
        <w:rPr>
          <w:spacing w:val="-4"/>
          <w:sz w:val="24"/>
        </w:rPr>
        <w:t> </w:t>
      </w:r>
      <w:r>
        <w:rPr>
          <w:sz w:val="24"/>
        </w:rPr>
        <w:t>review</w:t>
      </w:r>
      <w:r>
        <w:rPr>
          <w:spacing w:val="-4"/>
          <w:sz w:val="24"/>
        </w:rPr>
        <w:t> </w:t>
      </w:r>
      <w:r>
        <w:rPr>
          <w:sz w:val="24"/>
        </w:rPr>
        <w:t>the</w:t>
      </w:r>
      <w:r>
        <w:rPr>
          <w:spacing w:val="-4"/>
          <w:sz w:val="24"/>
        </w:rPr>
        <w:t> </w:t>
      </w:r>
      <w:r>
        <w:rPr>
          <w:sz w:val="24"/>
        </w:rPr>
        <w:t>results</w:t>
      </w:r>
      <w:r>
        <w:rPr>
          <w:spacing w:val="-4"/>
          <w:sz w:val="24"/>
        </w:rPr>
        <w:t> </w:t>
      </w:r>
      <w:r>
        <w:rPr>
          <w:sz w:val="24"/>
        </w:rPr>
        <w:t>of</w:t>
      </w:r>
      <w:r>
        <w:rPr>
          <w:spacing w:val="-5"/>
          <w:sz w:val="24"/>
        </w:rPr>
        <w:t> </w:t>
      </w:r>
      <w:r>
        <w:rPr>
          <w:sz w:val="24"/>
        </w:rPr>
        <w:t>the</w:t>
      </w:r>
      <w:r>
        <w:rPr>
          <w:spacing w:val="-4"/>
          <w:sz w:val="24"/>
        </w:rPr>
        <w:t> </w:t>
      </w:r>
      <w:r>
        <w:rPr>
          <w:sz w:val="24"/>
        </w:rPr>
        <w:t>discovery</w:t>
      </w:r>
      <w:r>
        <w:rPr>
          <w:spacing w:val="-4"/>
          <w:sz w:val="24"/>
        </w:rPr>
        <w:t> </w:t>
      </w:r>
      <w:r>
        <w:rPr>
          <w:sz w:val="24"/>
        </w:rPr>
        <w:t>findings and develop a plan for job development.</w:t>
      </w:r>
    </w:p>
    <w:p>
      <w:pPr>
        <w:pStyle w:val="ListParagraph"/>
        <w:numPr>
          <w:ilvl w:val="2"/>
          <w:numId w:val="220"/>
        </w:numPr>
        <w:tabs>
          <w:tab w:pos="1816" w:val="left" w:leader="none"/>
        </w:tabs>
        <w:spacing w:line="208" w:lineRule="auto" w:before="239" w:after="0"/>
        <w:ind w:left="1350" w:right="883" w:firstLine="0"/>
        <w:jc w:val="left"/>
        <w:rPr>
          <w:sz w:val="24"/>
        </w:rPr>
      </w:pPr>
      <w:r>
        <w:rPr>
          <w:sz w:val="24"/>
        </w:rPr>
        <w:t>Visual Resume is a print and/or digital tool to aid in highlighting the individual’s</w:t>
      </w:r>
      <w:r>
        <w:rPr>
          <w:spacing w:val="-3"/>
          <w:sz w:val="24"/>
        </w:rPr>
        <w:t> </w:t>
      </w:r>
      <w:r>
        <w:rPr>
          <w:sz w:val="24"/>
        </w:rPr>
        <w:t>skills</w:t>
      </w:r>
      <w:r>
        <w:rPr>
          <w:spacing w:val="-4"/>
          <w:sz w:val="24"/>
        </w:rPr>
        <w:t> </w:t>
      </w:r>
      <w:r>
        <w:rPr>
          <w:sz w:val="24"/>
        </w:rPr>
        <w:t>and</w:t>
      </w:r>
      <w:r>
        <w:rPr>
          <w:spacing w:val="-4"/>
          <w:sz w:val="24"/>
        </w:rPr>
        <w:t> </w:t>
      </w:r>
      <w:r>
        <w:rPr>
          <w:sz w:val="24"/>
        </w:rPr>
        <w:t>interests</w:t>
      </w:r>
      <w:r>
        <w:rPr>
          <w:spacing w:val="-4"/>
          <w:sz w:val="24"/>
        </w:rPr>
        <w:t> </w:t>
      </w:r>
      <w:r>
        <w:rPr>
          <w:sz w:val="24"/>
        </w:rPr>
        <w:t>to</w:t>
      </w:r>
      <w:r>
        <w:rPr>
          <w:spacing w:val="-7"/>
          <w:sz w:val="24"/>
        </w:rPr>
        <w:t> </w:t>
      </w:r>
      <w:r>
        <w:rPr>
          <w:sz w:val="24"/>
        </w:rPr>
        <w:t>be</w:t>
      </w:r>
      <w:r>
        <w:rPr>
          <w:spacing w:val="-4"/>
          <w:sz w:val="24"/>
        </w:rPr>
        <w:t> </w:t>
      </w:r>
      <w:r>
        <w:rPr>
          <w:sz w:val="24"/>
        </w:rPr>
        <w:t>used</w:t>
      </w:r>
      <w:r>
        <w:rPr>
          <w:spacing w:val="-4"/>
          <w:sz w:val="24"/>
        </w:rPr>
        <w:t> </w:t>
      </w:r>
      <w:r>
        <w:rPr>
          <w:sz w:val="24"/>
        </w:rPr>
        <w:t>in</w:t>
      </w:r>
      <w:r>
        <w:rPr>
          <w:spacing w:val="-4"/>
          <w:sz w:val="24"/>
        </w:rPr>
        <w:t> </w:t>
      </w:r>
      <w:r>
        <w:rPr>
          <w:sz w:val="24"/>
        </w:rPr>
        <w:t>job</w:t>
      </w:r>
      <w:r>
        <w:rPr>
          <w:spacing w:val="-4"/>
          <w:sz w:val="24"/>
        </w:rPr>
        <w:t> </w:t>
      </w:r>
      <w:r>
        <w:rPr>
          <w:sz w:val="24"/>
        </w:rPr>
        <w:t>development</w:t>
      </w:r>
      <w:r>
        <w:rPr>
          <w:spacing w:val="-3"/>
          <w:sz w:val="24"/>
        </w:rPr>
        <w:t> </w:t>
      </w:r>
      <w:r>
        <w:rPr>
          <w:sz w:val="24"/>
        </w:rPr>
        <w:t>with</w:t>
      </w:r>
      <w:r>
        <w:rPr>
          <w:spacing w:val="-4"/>
          <w:sz w:val="24"/>
        </w:rPr>
        <w:t> </w:t>
      </w:r>
      <w:r>
        <w:rPr>
          <w:sz w:val="24"/>
        </w:rPr>
        <w:t>employers.</w:t>
      </w:r>
    </w:p>
    <w:p>
      <w:pPr>
        <w:pStyle w:val="ListParagraph"/>
        <w:numPr>
          <w:ilvl w:val="2"/>
          <w:numId w:val="220"/>
        </w:numPr>
        <w:tabs>
          <w:tab w:pos="1816" w:val="left" w:leader="none"/>
        </w:tabs>
        <w:spacing w:line="208" w:lineRule="auto" w:before="240" w:after="0"/>
        <w:ind w:left="1350" w:right="896" w:firstLine="0"/>
        <w:jc w:val="left"/>
        <w:rPr>
          <w:sz w:val="24"/>
        </w:rPr>
      </w:pPr>
      <w:r>
        <w:rPr>
          <w:sz w:val="24"/>
        </w:rPr>
        <w:t>Job</w:t>
      </w:r>
      <w:r>
        <w:rPr>
          <w:spacing w:val="-5"/>
          <w:sz w:val="24"/>
        </w:rPr>
        <w:t> </w:t>
      </w:r>
      <w:r>
        <w:rPr>
          <w:sz w:val="24"/>
        </w:rPr>
        <w:t>Development</w:t>
      </w:r>
      <w:r>
        <w:rPr>
          <w:spacing w:val="-4"/>
          <w:sz w:val="24"/>
        </w:rPr>
        <w:t> </w:t>
      </w:r>
      <w:r>
        <w:rPr>
          <w:sz w:val="24"/>
        </w:rPr>
        <w:t>involves</w:t>
      </w:r>
      <w:r>
        <w:rPr>
          <w:spacing w:val="-5"/>
          <w:sz w:val="24"/>
        </w:rPr>
        <w:t> </w:t>
      </w:r>
      <w:r>
        <w:rPr>
          <w:sz w:val="24"/>
        </w:rPr>
        <w:t>negotiating</w:t>
      </w:r>
      <w:r>
        <w:rPr>
          <w:spacing w:val="-5"/>
          <w:sz w:val="24"/>
        </w:rPr>
        <w:t> </w:t>
      </w:r>
      <w:r>
        <w:rPr>
          <w:sz w:val="24"/>
        </w:rPr>
        <w:t>a</w:t>
      </w:r>
      <w:r>
        <w:rPr>
          <w:spacing w:val="-5"/>
          <w:sz w:val="24"/>
        </w:rPr>
        <w:t> </w:t>
      </w:r>
      <w:r>
        <w:rPr>
          <w:sz w:val="24"/>
        </w:rPr>
        <w:t>successful</w:t>
      </w:r>
      <w:r>
        <w:rPr>
          <w:spacing w:val="-5"/>
          <w:sz w:val="24"/>
        </w:rPr>
        <w:t> </w:t>
      </w:r>
      <w:r>
        <w:rPr>
          <w:sz w:val="24"/>
        </w:rPr>
        <w:t>job</w:t>
      </w:r>
      <w:r>
        <w:rPr>
          <w:spacing w:val="-5"/>
          <w:sz w:val="24"/>
        </w:rPr>
        <w:t> </w:t>
      </w:r>
      <w:r>
        <w:rPr>
          <w:sz w:val="24"/>
        </w:rPr>
        <w:t>match</w:t>
      </w:r>
      <w:r>
        <w:rPr>
          <w:spacing w:val="-5"/>
          <w:sz w:val="24"/>
        </w:rPr>
        <w:t> </w:t>
      </w:r>
      <w:r>
        <w:rPr>
          <w:sz w:val="24"/>
        </w:rPr>
        <w:t>that</w:t>
      </w:r>
      <w:r>
        <w:rPr>
          <w:spacing w:val="-4"/>
          <w:sz w:val="24"/>
        </w:rPr>
        <w:t> </w:t>
      </w:r>
      <w:r>
        <w:rPr>
          <w:sz w:val="24"/>
        </w:rPr>
        <w:t>meets the individual’s interests, abilities, resources, priorities, and the employer’s unmet needs. The job must meet the definition of competitive integrated </w:t>
      </w:r>
      <w:r>
        <w:rPr>
          <w:spacing w:val="-2"/>
          <w:sz w:val="24"/>
        </w:rPr>
        <w:t>employment.</w:t>
      </w:r>
    </w:p>
    <w:p>
      <w:pPr>
        <w:pStyle w:val="ListParagraph"/>
        <w:numPr>
          <w:ilvl w:val="2"/>
          <w:numId w:val="220"/>
        </w:numPr>
        <w:tabs>
          <w:tab w:pos="1803" w:val="left" w:leader="none"/>
        </w:tabs>
        <w:spacing w:line="208" w:lineRule="auto" w:before="239" w:after="0"/>
        <w:ind w:left="1350" w:right="1003" w:firstLine="0"/>
        <w:jc w:val="left"/>
        <w:rPr>
          <w:sz w:val="24"/>
        </w:rPr>
      </w:pPr>
      <w:r>
        <w:rPr>
          <w:sz w:val="24"/>
        </w:rPr>
        <w:t>Job Coaching is provided by an Employment Consultant who uses structured intervention techniques to help the individual learn job tasks, interpersonal</w:t>
      </w:r>
      <w:r>
        <w:rPr>
          <w:spacing w:val="-5"/>
          <w:sz w:val="24"/>
        </w:rPr>
        <w:t> </w:t>
      </w:r>
      <w:r>
        <w:rPr>
          <w:sz w:val="24"/>
        </w:rPr>
        <w:t>and</w:t>
      </w:r>
      <w:r>
        <w:rPr>
          <w:spacing w:val="-5"/>
          <w:sz w:val="24"/>
        </w:rPr>
        <w:t> </w:t>
      </w:r>
      <w:r>
        <w:rPr>
          <w:sz w:val="24"/>
        </w:rPr>
        <w:t>other</w:t>
      </w:r>
      <w:r>
        <w:rPr>
          <w:spacing w:val="-4"/>
          <w:sz w:val="24"/>
        </w:rPr>
        <w:t> </w:t>
      </w:r>
      <w:r>
        <w:rPr>
          <w:sz w:val="24"/>
        </w:rPr>
        <w:t>skills</w:t>
      </w:r>
      <w:r>
        <w:rPr>
          <w:spacing w:val="-5"/>
          <w:sz w:val="24"/>
        </w:rPr>
        <w:t> </w:t>
      </w:r>
      <w:r>
        <w:rPr>
          <w:sz w:val="24"/>
        </w:rPr>
        <w:t>necessary</w:t>
      </w:r>
      <w:r>
        <w:rPr>
          <w:spacing w:val="-5"/>
          <w:sz w:val="24"/>
        </w:rPr>
        <w:t> </w:t>
      </w:r>
      <w:r>
        <w:rPr>
          <w:sz w:val="24"/>
        </w:rPr>
        <w:t>to</w:t>
      </w:r>
      <w:r>
        <w:rPr>
          <w:spacing w:val="-6"/>
          <w:sz w:val="24"/>
        </w:rPr>
        <w:t> </w:t>
      </w:r>
      <w:r>
        <w:rPr>
          <w:sz w:val="24"/>
        </w:rPr>
        <w:t>maintain</w:t>
      </w:r>
      <w:r>
        <w:rPr>
          <w:spacing w:val="-5"/>
          <w:sz w:val="24"/>
        </w:rPr>
        <w:t> </w:t>
      </w:r>
      <w:r>
        <w:rPr>
          <w:sz w:val="24"/>
        </w:rPr>
        <w:t>successful</w:t>
      </w:r>
      <w:r>
        <w:rPr>
          <w:spacing w:val="-5"/>
          <w:sz w:val="24"/>
        </w:rPr>
        <w:t> </w:t>
      </w:r>
      <w:r>
        <w:rPr>
          <w:sz w:val="24"/>
        </w:rPr>
        <w:t>employment.</w:t>
      </w:r>
    </w:p>
    <w:p>
      <w:pPr>
        <w:pStyle w:val="ListParagraph"/>
        <w:numPr>
          <w:ilvl w:val="2"/>
          <w:numId w:val="220"/>
        </w:numPr>
        <w:tabs>
          <w:tab w:pos="1788" w:val="left" w:leader="none"/>
        </w:tabs>
        <w:spacing w:line="208" w:lineRule="auto" w:before="240" w:after="0"/>
        <w:ind w:left="1350" w:right="964" w:firstLine="0"/>
        <w:jc w:val="left"/>
        <w:rPr>
          <w:sz w:val="24"/>
        </w:rPr>
      </w:pPr>
      <w:r>
        <w:rPr>
          <w:sz w:val="24"/>
        </w:rPr>
        <w:t>CE Maintenance is achieved when the individual is satisfied with the job and</w:t>
      </w:r>
      <w:r>
        <w:rPr>
          <w:spacing w:val="-5"/>
          <w:sz w:val="24"/>
        </w:rPr>
        <w:t> </w:t>
      </w:r>
      <w:r>
        <w:rPr>
          <w:sz w:val="24"/>
        </w:rPr>
        <w:t>the</w:t>
      </w:r>
      <w:r>
        <w:rPr>
          <w:spacing w:val="-5"/>
          <w:sz w:val="24"/>
        </w:rPr>
        <w:t> </w:t>
      </w:r>
      <w:r>
        <w:rPr>
          <w:sz w:val="24"/>
        </w:rPr>
        <w:t>supervisor/employer</w:t>
      </w:r>
      <w:r>
        <w:rPr>
          <w:spacing w:val="-4"/>
          <w:sz w:val="24"/>
        </w:rPr>
        <w:t> </w:t>
      </w:r>
      <w:r>
        <w:rPr>
          <w:sz w:val="24"/>
        </w:rPr>
        <w:t>is</w:t>
      </w:r>
      <w:r>
        <w:rPr>
          <w:spacing w:val="-5"/>
          <w:sz w:val="24"/>
        </w:rPr>
        <w:t> </w:t>
      </w:r>
      <w:r>
        <w:rPr>
          <w:sz w:val="24"/>
        </w:rPr>
        <w:t>satisfied</w:t>
      </w:r>
      <w:r>
        <w:rPr>
          <w:spacing w:val="-5"/>
          <w:sz w:val="24"/>
        </w:rPr>
        <w:t> </w:t>
      </w:r>
      <w:r>
        <w:rPr>
          <w:sz w:val="24"/>
        </w:rPr>
        <w:t>with</w:t>
      </w:r>
      <w:r>
        <w:rPr>
          <w:spacing w:val="-5"/>
          <w:sz w:val="24"/>
        </w:rPr>
        <w:t> </w:t>
      </w:r>
      <w:r>
        <w:rPr>
          <w:sz w:val="24"/>
        </w:rPr>
        <w:t>the</w:t>
      </w:r>
      <w:r>
        <w:rPr>
          <w:spacing w:val="-5"/>
          <w:sz w:val="24"/>
        </w:rPr>
        <w:t> </w:t>
      </w:r>
      <w:r>
        <w:rPr>
          <w:sz w:val="24"/>
        </w:rPr>
        <w:t>worker’s</w:t>
      </w:r>
      <w:r>
        <w:rPr>
          <w:spacing w:val="-5"/>
          <w:sz w:val="24"/>
        </w:rPr>
        <w:t> </w:t>
      </w:r>
      <w:r>
        <w:rPr>
          <w:sz w:val="24"/>
        </w:rPr>
        <w:t>performance,</w:t>
      </w:r>
      <w:r>
        <w:rPr>
          <w:spacing w:val="-4"/>
          <w:sz w:val="24"/>
        </w:rPr>
        <w:t> </w:t>
      </w:r>
      <w:r>
        <w:rPr>
          <w:sz w:val="24"/>
        </w:rPr>
        <w:t>work behaviors, and socialization. Extended Services, if needed, have been identified and initiated.</w:t>
      </w:r>
    </w:p>
    <w:p>
      <w:pPr>
        <w:pStyle w:val="ListParagraph"/>
        <w:numPr>
          <w:ilvl w:val="2"/>
          <w:numId w:val="220"/>
        </w:numPr>
        <w:tabs>
          <w:tab w:pos="1828" w:val="left" w:leader="none"/>
        </w:tabs>
        <w:spacing w:line="208" w:lineRule="auto" w:before="240" w:after="0"/>
        <w:ind w:left="1349" w:right="979" w:firstLine="0"/>
        <w:jc w:val="left"/>
        <w:rPr>
          <w:sz w:val="24"/>
        </w:rPr>
      </w:pPr>
      <w:r>
        <w:rPr>
          <w:sz w:val="24"/>
        </w:rPr>
        <w:t>CE Employment Outcome results in the individual being employed in a permanent competitive integrated job, all appropriate training and support services</w:t>
      </w:r>
      <w:r>
        <w:rPr>
          <w:spacing w:val="-4"/>
          <w:sz w:val="24"/>
        </w:rPr>
        <w:t> </w:t>
      </w:r>
      <w:r>
        <w:rPr>
          <w:sz w:val="24"/>
        </w:rPr>
        <w:t>were</w:t>
      </w:r>
      <w:r>
        <w:rPr>
          <w:spacing w:val="-4"/>
          <w:sz w:val="24"/>
        </w:rPr>
        <w:t> </w:t>
      </w:r>
      <w:r>
        <w:rPr>
          <w:sz w:val="24"/>
        </w:rPr>
        <w:t>provided,</w:t>
      </w:r>
      <w:r>
        <w:rPr>
          <w:spacing w:val="-3"/>
          <w:sz w:val="24"/>
        </w:rPr>
        <w:t> </w:t>
      </w:r>
      <w:r>
        <w:rPr>
          <w:sz w:val="24"/>
        </w:rPr>
        <w:t>the</w:t>
      </w:r>
      <w:r>
        <w:rPr>
          <w:spacing w:val="-4"/>
          <w:sz w:val="24"/>
        </w:rPr>
        <w:t> </w:t>
      </w:r>
      <w:r>
        <w:rPr>
          <w:sz w:val="24"/>
        </w:rPr>
        <w:t>weekly</w:t>
      </w:r>
      <w:r>
        <w:rPr>
          <w:spacing w:val="-4"/>
          <w:sz w:val="24"/>
        </w:rPr>
        <w:t> </w:t>
      </w:r>
      <w:r>
        <w:rPr>
          <w:sz w:val="24"/>
        </w:rPr>
        <w:t>work</w:t>
      </w:r>
      <w:r>
        <w:rPr>
          <w:spacing w:val="-4"/>
          <w:sz w:val="24"/>
        </w:rPr>
        <w:t> </w:t>
      </w:r>
      <w:r>
        <w:rPr>
          <w:sz w:val="24"/>
        </w:rPr>
        <w:t>goal</w:t>
      </w:r>
      <w:r>
        <w:rPr>
          <w:spacing w:val="-4"/>
          <w:sz w:val="24"/>
        </w:rPr>
        <w:t> </w:t>
      </w:r>
      <w:r>
        <w:rPr>
          <w:sz w:val="24"/>
        </w:rPr>
        <w:t>has</w:t>
      </w:r>
      <w:r>
        <w:rPr>
          <w:spacing w:val="-4"/>
          <w:sz w:val="24"/>
        </w:rPr>
        <w:t> </w:t>
      </w:r>
      <w:r>
        <w:rPr>
          <w:sz w:val="24"/>
        </w:rPr>
        <w:t>been</w:t>
      </w:r>
      <w:r>
        <w:rPr>
          <w:spacing w:val="-4"/>
          <w:sz w:val="24"/>
        </w:rPr>
        <w:t> </w:t>
      </w:r>
      <w:r>
        <w:rPr>
          <w:sz w:val="24"/>
        </w:rPr>
        <w:t>met,</w:t>
      </w:r>
      <w:r>
        <w:rPr>
          <w:spacing w:val="-5"/>
          <w:sz w:val="24"/>
        </w:rPr>
        <w:t> </w:t>
      </w:r>
      <w:r>
        <w:rPr>
          <w:sz w:val="24"/>
        </w:rPr>
        <w:t>the</w:t>
      </w:r>
      <w:r>
        <w:rPr>
          <w:spacing w:val="-4"/>
          <w:sz w:val="24"/>
        </w:rPr>
        <w:t> </w:t>
      </w:r>
      <w:r>
        <w:rPr>
          <w:sz w:val="24"/>
        </w:rPr>
        <w:t>individual</w:t>
      </w:r>
      <w:r>
        <w:rPr>
          <w:spacing w:val="-4"/>
          <w:sz w:val="24"/>
        </w:rPr>
        <w:t> </w:t>
      </w:r>
      <w:r>
        <w:rPr>
          <w:sz w:val="24"/>
        </w:rPr>
        <w:t>is satisfied with the job and the employer is satisfied with the individual’s job performance for the required ninety (90) calendar days.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360" w:right="0" w:firstLine="0"/>
        <w:jc w:val="left"/>
        <w:rPr>
          <w:sz w:val="22"/>
        </w:rPr>
      </w:pPr>
      <w:r>
        <w:rPr>
          <w:spacing w:val="-2"/>
          <w:sz w:val="22"/>
        </w:rPr>
        <w:t>8-1-</w:t>
      </w:r>
      <w:r>
        <w:rPr>
          <w:spacing w:val="-5"/>
          <w:sz w:val="22"/>
        </w:rPr>
        <w:t>23</w:t>
      </w:r>
      <w:r>
        <w:rPr>
          <w:sz w:val="22"/>
        </w:rPr>
        <w:tab/>
        <w:t>Permanent,</w:t>
      </w:r>
      <w:r>
        <w:rPr>
          <w:spacing w:val="-7"/>
          <w:sz w:val="22"/>
        </w:rPr>
        <w:t> </w:t>
      </w:r>
      <w:r>
        <w:rPr>
          <w:sz w:val="22"/>
        </w:rPr>
        <w:t>new</w:t>
      </w:r>
      <w:r>
        <w:rPr>
          <w:spacing w:val="-7"/>
          <w:sz w:val="22"/>
        </w:rPr>
        <w:t> </w:t>
      </w:r>
      <w:r>
        <w:rPr>
          <w:sz w:val="22"/>
        </w:rPr>
        <w:t>rule</w:t>
      </w:r>
      <w:r>
        <w:rPr>
          <w:spacing w:val="-7"/>
          <w:sz w:val="22"/>
        </w:rPr>
        <w:t> </w:t>
      </w:r>
      <w:r>
        <w:rPr>
          <w:sz w:val="22"/>
        </w:rPr>
        <w:t>for</w:t>
      </w:r>
      <w:r>
        <w:rPr>
          <w:spacing w:val="-7"/>
          <w:sz w:val="22"/>
        </w:rPr>
        <w:t> </w:t>
      </w:r>
      <w:r>
        <w:rPr>
          <w:sz w:val="22"/>
        </w:rPr>
        <w:t>customized</w:t>
      </w:r>
      <w:r>
        <w:rPr>
          <w:spacing w:val="-8"/>
          <w:sz w:val="22"/>
        </w:rPr>
        <w:t> </w:t>
      </w:r>
      <w:r>
        <w:rPr>
          <w:spacing w:val="-2"/>
          <w:sz w:val="22"/>
        </w:rPr>
        <w:t>employment.</w:t>
      </w:r>
    </w:p>
    <w:p>
      <w:pPr>
        <w:spacing w:after="0"/>
        <w:jc w:val="left"/>
        <w:rPr>
          <w:sz w:val="22"/>
        </w:rPr>
        <w:sectPr>
          <w:pgSz w:w="12240" w:h="15840"/>
          <w:pgMar w:top="1340" w:bottom="280" w:left="1080" w:right="720"/>
        </w:sectPr>
      </w:pPr>
    </w:p>
    <w:p>
      <w:pPr>
        <w:pStyle w:val="Heading1"/>
        <w:ind w:right="780"/>
      </w:pPr>
      <w:bookmarkStart w:name="PART 18.  EMPLOYMENT AND RETENTION SERVI" w:id="201"/>
      <w:bookmarkEnd w:id="201"/>
      <w:r>
        <w:rPr>
          <w:b w:val="0"/>
        </w:rPr>
      </w:r>
      <w:r>
        <w:rPr/>
        <w:t>PART</w:t>
      </w:r>
      <w:r>
        <w:rPr>
          <w:spacing w:val="-2"/>
        </w:rPr>
        <w:t> </w:t>
      </w:r>
      <w:r>
        <w:rPr/>
        <w:t>18.</w:t>
      </w:r>
      <w:r>
        <w:rPr>
          <w:spacing w:val="61"/>
        </w:rPr>
        <w:t> </w:t>
      </w:r>
      <w:r>
        <w:rPr/>
        <w:t>EMPLOYMENT</w:t>
      </w:r>
      <w:r>
        <w:rPr>
          <w:spacing w:val="-2"/>
        </w:rPr>
        <w:t> </w:t>
      </w:r>
      <w:r>
        <w:rPr/>
        <w:t>AND</w:t>
      </w:r>
      <w:r>
        <w:rPr>
          <w:spacing w:val="-4"/>
        </w:rPr>
        <w:t> </w:t>
      </w:r>
      <w:r>
        <w:rPr/>
        <w:t>RETENTION</w:t>
      </w:r>
      <w:r>
        <w:rPr>
          <w:spacing w:val="-2"/>
        </w:rPr>
        <w:t> SERVICES</w:t>
      </w:r>
    </w:p>
    <w:p>
      <w:pPr>
        <w:pStyle w:val="BodyText"/>
        <w:spacing w:before="204"/>
      </w:pPr>
      <w:r>
        <w:rPr>
          <w:spacing w:val="-2"/>
        </w:rPr>
        <w:t>Section</w:t>
      </w:r>
    </w:p>
    <w:p>
      <w:pPr>
        <w:pStyle w:val="BodyText"/>
        <w:tabs>
          <w:tab w:pos="2519" w:val="left" w:leader="none"/>
        </w:tabs>
        <w:spacing w:line="417" w:lineRule="auto" w:before="204"/>
        <w:ind w:right="1967"/>
      </w:pPr>
      <w:r>
        <w:rPr>
          <w:spacing w:val="-2"/>
        </w:rPr>
        <w:t>612:10-7-186.</w:t>
      </w:r>
      <w:r>
        <w:rPr/>
        <w:tab/>
        <w:t>Overview of Employment and Retention Services </w:t>
      </w:r>
      <w:r>
        <w:rPr>
          <w:spacing w:val="-2"/>
        </w:rPr>
        <w:t>612:10-7-187.</w:t>
      </w:r>
      <w:r>
        <w:rPr/>
        <w:tab/>
        <w:t>Eligibility for Employment and Retention Services </w:t>
      </w:r>
      <w:r>
        <w:rPr>
          <w:spacing w:val="-2"/>
        </w:rPr>
        <w:t>612:10-7-188.</w:t>
      </w:r>
      <w:r>
        <w:rPr/>
        <w:tab/>
        <w:t>Provision of Employment and Retention Services </w:t>
      </w:r>
      <w:r>
        <w:rPr>
          <w:spacing w:val="-2"/>
        </w:rPr>
        <w:t>612:10-7-189.</w:t>
      </w:r>
      <w:r>
        <w:rPr/>
        <w:tab/>
        <w:t>Competitive</w:t>
      </w:r>
      <w:r>
        <w:rPr>
          <w:spacing w:val="-8"/>
        </w:rPr>
        <w:t> </w:t>
      </w:r>
      <w:r>
        <w:rPr/>
        <w:t>employment</w:t>
      </w:r>
      <w:r>
        <w:rPr>
          <w:spacing w:val="-7"/>
        </w:rPr>
        <w:t> </w:t>
      </w:r>
      <w:r>
        <w:rPr/>
        <w:t>for</w:t>
      </w:r>
      <w:r>
        <w:rPr>
          <w:spacing w:val="-7"/>
        </w:rPr>
        <w:t> </w:t>
      </w:r>
      <w:r>
        <w:rPr/>
        <w:t>Employment</w:t>
      </w:r>
      <w:r>
        <w:rPr>
          <w:spacing w:val="-7"/>
        </w:rPr>
        <w:t> </w:t>
      </w:r>
      <w:r>
        <w:rPr/>
        <w:t>and</w:t>
      </w:r>
      <w:r>
        <w:rPr>
          <w:spacing w:val="-8"/>
        </w:rPr>
        <w:t> </w:t>
      </w:r>
      <w:r>
        <w:rPr/>
        <w:t>Retention</w:t>
      </w:r>
    </w:p>
    <w:p>
      <w:pPr>
        <w:pStyle w:val="BodyText"/>
        <w:spacing w:after="0" w:line="417" w:lineRule="auto"/>
        <w:sectPr>
          <w:pgSz w:w="12240" w:h="15840"/>
          <w:pgMar w:top="1340" w:bottom="280" w:left="1080" w:right="720"/>
        </w:sectPr>
      </w:pPr>
    </w:p>
    <w:p>
      <w:pPr>
        <w:pStyle w:val="Heading2"/>
      </w:pPr>
      <w:bookmarkStart w:name="612:10-7-186.  Overview of Employment an" w:id="202"/>
      <w:bookmarkEnd w:id="202"/>
      <w:r>
        <w:rPr>
          <w:b w:val="0"/>
        </w:rPr>
      </w:r>
      <w:r>
        <w:rPr/>
        <w:t>612:10-7-186.</w:t>
      </w:r>
      <w:r>
        <w:rPr>
          <w:spacing w:val="56"/>
        </w:rPr>
        <w:t> </w:t>
      </w:r>
      <w:r>
        <w:rPr/>
        <w:t>Overview</w:t>
      </w:r>
      <w:r>
        <w:rPr>
          <w:spacing w:val="-3"/>
        </w:rPr>
        <w:t> </w:t>
      </w:r>
      <w:r>
        <w:rPr/>
        <w:t>of</w:t>
      </w:r>
      <w:r>
        <w:rPr>
          <w:spacing w:val="-3"/>
        </w:rPr>
        <w:t> </w:t>
      </w:r>
      <w:r>
        <w:rPr/>
        <w:t>Employment</w:t>
      </w:r>
      <w:r>
        <w:rPr>
          <w:spacing w:val="-3"/>
        </w:rPr>
        <w:t> </w:t>
      </w:r>
      <w:r>
        <w:rPr/>
        <w:t>and</w:t>
      </w:r>
      <w:r>
        <w:rPr>
          <w:spacing w:val="-4"/>
        </w:rPr>
        <w:t> </w:t>
      </w:r>
      <w:r>
        <w:rPr/>
        <w:t>Retention</w:t>
      </w:r>
      <w:r>
        <w:rPr>
          <w:spacing w:val="-4"/>
        </w:rPr>
        <w:t> </w:t>
      </w:r>
      <w:r>
        <w:rPr>
          <w:spacing w:val="-2"/>
        </w:rPr>
        <w:t>Services</w:t>
      </w:r>
    </w:p>
    <w:p>
      <w:pPr>
        <w:pStyle w:val="BodyText"/>
        <w:spacing w:line="208" w:lineRule="auto" w:before="233"/>
        <w:ind w:left="359" w:right="775" w:firstLine="450"/>
        <w:rPr>
          <w:rFonts w:ascii="Calibri"/>
          <w:b/>
          <w:sz w:val="22"/>
        </w:rPr>
      </w:pPr>
      <w:r>
        <w:rPr/>
        <w:t>Employment and Retention (E&amp;R) Services are provided to individuals with significant</w:t>
      </w:r>
      <w:r>
        <w:rPr>
          <w:spacing w:val="-3"/>
        </w:rPr>
        <w:t> </w:t>
      </w:r>
      <w:r>
        <w:rPr/>
        <w:t>disabilities</w:t>
      </w:r>
      <w:r>
        <w:rPr>
          <w:spacing w:val="-4"/>
        </w:rPr>
        <w:t> </w:t>
      </w:r>
      <w:r>
        <w:rPr/>
        <w:t>who</w:t>
      </w:r>
      <w:r>
        <w:rPr>
          <w:spacing w:val="-4"/>
        </w:rPr>
        <w:t> </w:t>
      </w:r>
      <w:r>
        <w:rPr/>
        <w:t>need</w:t>
      </w:r>
      <w:r>
        <w:rPr>
          <w:spacing w:val="-4"/>
        </w:rPr>
        <w:t> </w:t>
      </w:r>
      <w:r>
        <w:rPr/>
        <w:t>short-term</w:t>
      </w:r>
      <w:r>
        <w:rPr>
          <w:spacing w:val="-3"/>
        </w:rPr>
        <w:t> </w:t>
      </w:r>
      <w:r>
        <w:rPr/>
        <w:t>job</w:t>
      </w:r>
      <w:r>
        <w:rPr>
          <w:spacing w:val="-4"/>
        </w:rPr>
        <w:t> </w:t>
      </w:r>
      <w:r>
        <w:rPr/>
        <w:t>coach</w:t>
      </w:r>
      <w:r>
        <w:rPr>
          <w:spacing w:val="-4"/>
        </w:rPr>
        <w:t> </w:t>
      </w:r>
      <w:r>
        <w:rPr/>
        <w:t>supports</w:t>
      </w:r>
      <w:r>
        <w:rPr>
          <w:spacing w:val="-4"/>
        </w:rPr>
        <w:t> </w:t>
      </w:r>
      <w:r>
        <w:rPr/>
        <w:t>to</w:t>
      </w:r>
      <w:r>
        <w:rPr>
          <w:spacing w:val="-5"/>
        </w:rPr>
        <w:t> </w:t>
      </w:r>
      <w:r>
        <w:rPr/>
        <w:t>maintain</w:t>
      </w:r>
      <w:r>
        <w:rPr>
          <w:spacing w:val="-4"/>
        </w:rPr>
        <w:t> </w:t>
      </w:r>
      <w:r>
        <w:rPr/>
        <w:t>successful employment. Employment and Retention Services consists of the Four Weeks Job Support - Retention, and the Successful Employment Milestones. </w:t>
      </w:r>
      <w:r>
        <w:rPr>
          <w:rFonts w:ascii="Calibri"/>
          <w:b/>
          <w:sz w:val="22"/>
        </w:rPr>
        <w:t>1</w:t>
      </w:r>
    </w:p>
    <w:p>
      <w:pPr>
        <w:pStyle w:val="BodyText"/>
        <w:spacing w:before="202"/>
      </w:pPr>
      <w:r>
        <w:rPr/>
        <w:t>Instructions</w:t>
      </w:r>
      <w:r>
        <w:rPr>
          <w:spacing w:val="-5"/>
        </w:rPr>
        <w:t> </w:t>
      </w:r>
      <w:r>
        <w:rPr/>
        <w:t>to</w:t>
      </w:r>
      <w:r>
        <w:rPr>
          <w:spacing w:val="-2"/>
        </w:rPr>
        <w:t> </w:t>
      </w:r>
      <w:r>
        <w:rPr>
          <w:spacing w:val="-4"/>
        </w:rPr>
        <w:t>Staff</w:t>
      </w:r>
    </w:p>
    <w:p>
      <w:pPr>
        <w:pStyle w:val="ListParagraph"/>
        <w:numPr>
          <w:ilvl w:val="0"/>
          <w:numId w:val="221"/>
        </w:numPr>
        <w:tabs>
          <w:tab w:pos="693" w:val="left" w:leader="none"/>
        </w:tabs>
        <w:spacing w:line="208" w:lineRule="auto" w:before="233" w:after="0"/>
        <w:ind w:left="360" w:right="939" w:firstLine="0"/>
        <w:jc w:val="left"/>
        <w:rPr>
          <w:sz w:val="24"/>
        </w:rPr>
      </w:pPr>
      <w:r>
        <w:rPr>
          <w:sz w:val="24"/>
        </w:rPr>
        <w:t>The Career Exploration service in the Supplemental Employment Services (SES) contract can be used to evaluate the rehabilitation, career, and support needs of the individual. The results of career exploration will help the counselor to determine if employment</w:t>
      </w:r>
      <w:r>
        <w:rPr>
          <w:spacing w:val="-3"/>
          <w:sz w:val="24"/>
        </w:rPr>
        <w:t> </w:t>
      </w:r>
      <w:r>
        <w:rPr>
          <w:sz w:val="24"/>
        </w:rPr>
        <w:t>and</w:t>
      </w:r>
      <w:r>
        <w:rPr>
          <w:spacing w:val="-4"/>
          <w:sz w:val="24"/>
        </w:rPr>
        <w:t> </w:t>
      </w:r>
      <w:r>
        <w:rPr>
          <w:sz w:val="24"/>
        </w:rPr>
        <w:t>retention</w:t>
      </w:r>
      <w:r>
        <w:rPr>
          <w:spacing w:val="-4"/>
          <w:sz w:val="24"/>
        </w:rPr>
        <w:t> </w:t>
      </w:r>
      <w:r>
        <w:rPr>
          <w:sz w:val="24"/>
        </w:rPr>
        <w:t>services</w:t>
      </w:r>
      <w:r>
        <w:rPr>
          <w:spacing w:val="-4"/>
          <w:sz w:val="24"/>
        </w:rPr>
        <w:t> </w:t>
      </w:r>
      <w:r>
        <w:rPr>
          <w:sz w:val="24"/>
        </w:rPr>
        <w:t>are</w:t>
      </w:r>
      <w:r>
        <w:rPr>
          <w:spacing w:val="-4"/>
          <w:sz w:val="24"/>
        </w:rPr>
        <w:t> </w:t>
      </w:r>
      <w:r>
        <w:rPr>
          <w:sz w:val="24"/>
        </w:rPr>
        <w:t>appropriate</w:t>
      </w:r>
      <w:r>
        <w:rPr>
          <w:spacing w:val="-4"/>
          <w:sz w:val="24"/>
        </w:rPr>
        <w:t> </w:t>
      </w:r>
      <w:r>
        <w:rPr>
          <w:sz w:val="24"/>
        </w:rPr>
        <w:t>for</w:t>
      </w:r>
      <w:r>
        <w:rPr>
          <w:spacing w:val="-3"/>
          <w:sz w:val="24"/>
        </w:rPr>
        <w:t> </w:t>
      </w:r>
      <w:r>
        <w:rPr>
          <w:sz w:val="24"/>
        </w:rPr>
        <w:t>the</w:t>
      </w:r>
      <w:r>
        <w:rPr>
          <w:spacing w:val="-4"/>
          <w:sz w:val="24"/>
        </w:rPr>
        <w:t> </w:t>
      </w:r>
      <w:r>
        <w:rPr>
          <w:sz w:val="24"/>
        </w:rPr>
        <w:t>individual</w:t>
      </w:r>
      <w:r>
        <w:rPr>
          <w:spacing w:val="-4"/>
          <w:sz w:val="24"/>
        </w:rPr>
        <w:t> </w:t>
      </w:r>
      <w:r>
        <w:rPr>
          <w:sz w:val="24"/>
        </w:rPr>
        <w:t>and</w:t>
      </w:r>
      <w:r>
        <w:rPr>
          <w:spacing w:val="-4"/>
          <w:sz w:val="24"/>
        </w:rPr>
        <w:t> </w:t>
      </w:r>
      <w:r>
        <w:rPr>
          <w:sz w:val="24"/>
        </w:rPr>
        <w:t>complete</w:t>
      </w:r>
      <w:r>
        <w:rPr>
          <w:spacing w:val="-4"/>
          <w:sz w:val="24"/>
        </w:rPr>
        <w:t> </w:t>
      </w:r>
      <w:r>
        <w:rPr>
          <w:sz w:val="24"/>
        </w:rPr>
        <w:t>the comprehensive assessment.</w:t>
      </w:r>
    </w:p>
    <w:p>
      <w:pPr>
        <w:pStyle w:val="BodyText"/>
        <w:spacing w:line="208" w:lineRule="auto"/>
        <w:ind w:right="1036"/>
      </w:pPr>
      <w:r>
        <w:rPr/>
        <w:t>Employment</w:t>
      </w:r>
      <w:r>
        <w:rPr>
          <w:spacing w:val="-3"/>
        </w:rPr>
        <w:t> </w:t>
      </w:r>
      <w:r>
        <w:rPr/>
        <w:t>and</w:t>
      </w:r>
      <w:r>
        <w:rPr>
          <w:spacing w:val="-4"/>
        </w:rPr>
        <w:t> </w:t>
      </w:r>
      <w:r>
        <w:rPr/>
        <w:t>Retention</w:t>
      </w:r>
      <w:r>
        <w:rPr>
          <w:spacing w:val="-4"/>
        </w:rPr>
        <w:t> </w:t>
      </w:r>
      <w:r>
        <w:rPr/>
        <w:t>Services</w:t>
      </w:r>
      <w:r>
        <w:rPr>
          <w:spacing w:val="-4"/>
        </w:rPr>
        <w:t> </w:t>
      </w:r>
      <w:r>
        <w:rPr/>
        <w:t>consists</w:t>
      </w:r>
      <w:r>
        <w:rPr>
          <w:spacing w:val="-4"/>
        </w:rPr>
        <w:t> </w:t>
      </w:r>
      <w:r>
        <w:rPr/>
        <w:t>of</w:t>
      </w:r>
      <w:r>
        <w:rPr>
          <w:spacing w:val="-5"/>
        </w:rPr>
        <w:t> </w:t>
      </w:r>
      <w:r>
        <w:rPr/>
        <w:t>2</w:t>
      </w:r>
      <w:r>
        <w:rPr>
          <w:spacing w:val="-4"/>
        </w:rPr>
        <w:t> </w:t>
      </w:r>
      <w:r>
        <w:rPr/>
        <w:t>Milestones:</w:t>
      </w:r>
      <w:r>
        <w:rPr>
          <w:spacing w:val="-3"/>
        </w:rPr>
        <w:t> </w:t>
      </w:r>
      <w:r>
        <w:rPr/>
        <w:t>"Four</w:t>
      </w:r>
      <w:r>
        <w:rPr>
          <w:spacing w:val="-3"/>
        </w:rPr>
        <w:t> </w:t>
      </w:r>
      <w:r>
        <w:rPr/>
        <w:t>Weeks</w:t>
      </w:r>
      <w:r>
        <w:rPr>
          <w:spacing w:val="-4"/>
        </w:rPr>
        <w:t> </w:t>
      </w:r>
      <w:r>
        <w:rPr/>
        <w:t>Job Support – Retention" and "Successful Employment.</w:t>
      </w:r>
    </w:p>
    <w:p>
      <w:pPr>
        <w:pStyle w:val="BodyText"/>
        <w:spacing w:line="208" w:lineRule="auto"/>
        <w:ind w:right="739"/>
        <w:jc w:val="both"/>
      </w:pPr>
      <w:r>
        <w:rPr/>
        <w:t>These</w:t>
      </w:r>
      <w:r>
        <w:rPr>
          <w:spacing w:val="-4"/>
        </w:rPr>
        <w:t> </w:t>
      </w:r>
      <w:r>
        <w:rPr/>
        <w:t>milestones</w:t>
      </w:r>
      <w:r>
        <w:rPr>
          <w:spacing w:val="-4"/>
        </w:rPr>
        <w:t> </w:t>
      </w:r>
      <w:r>
        <w:rPr/>
        <w:t>can</w:t>
      </w:r>
      <w:r>
        <w:rPr>
          <w:spacing w:val="-4"/>
        </w:rPr>
        <w:t> </w:t>
      </w:r>
      <w:r>
        <w:rPr/>
        <w:t>only</w:t>
      </w:r>
      <w:r>
        <w:rPr>
          <w:spacing w:val="-4"/>
        </w:rPr>
        <w:t> </w:t>
      </w:r>
      <w:r>
        <w:rPr/>
        <w:t>be</w:t>
      </w:r>
      <w:r>
        <w:rPr>
          <w:spacing w:val="-4"/>
        </w:rPr>
        <w:t> </w:t>
      </w:r>
      <w:r>
        <w:rPr/>
        <w:t>authorized</w:t>
      </w:r>
      <w:r>
        <w:rPr>
          <w:spacing w:val="-4"/>
        </w:rPr>
        <w:t> </w:t>
      </w:r>
      <w:r>
        <w:rPr/>
        <w:t>once</w:t>
      </w:r>
      <w:r>
        <w:rPr>
          <w:spacing w:val="-4"/>
        </w:rPr>
        <w:t> </w:t>
      </w:r>
      <w:r>
        <w:rPr/>
        <w:t>per</w:t>
      </w:r>
      <w:r>
        <w:rPr>
          <w:spacing w:val="-3"/>
        </w:rPr>
        <w:t> </w:t>
      </w:r>
      <w:r>
        <w:rPr/>
        <w:t>case,</w:t>
      </w:r>
      <w:r>
        <w:rPr>
          <w:spacing w:val="-3"/>
        </w:rPr>
        <w:t> </w:t>
      </w:r>
      <w:r>
        <w:rPr/>
        <w:t>per</w:t>
      </w:r>
      <w:r>
        <w:rPr>
          <w:spacing w:val="-3"/>
        </w:rPr>
        <w:t> </w:t>
      </w:r>
      <w:r>
        <w:rPr/>
        <w:t>Contractor.</w:t>
      </w:r>
      <w:r>
        <w:rPr>
          <w:spacing w:val="-5"/>
        </w:rPr>
        <w:t> </w:t>
      </w:r>
      <w:r>
        <w:rPr/>
        <w:t>The</w:t>
      </w:r>
      <w:r>
        <w:rPr>
          <w:spacing w:val="-4"/>
        </w:rPr>
        <w:t> </w:t>
      </w:r>
      <w:r>
        <w:rPr/>
        <w:t>Contractor will</w:t>
      </w:r>
      <w:r>
        <w:rPr>
          <w:spacing w:val="-1"/>
        </w:rPr>
        <w:t> </w:t>
      </w:r>
      <w:r>
        <w:rPr/>
        <w:t>only</w:t>
      </w:r>
      <w:r>
        <w:rPr>
          <w:spacing w:val="-1"/>
        </w:rPr>
        <w:t> </w:t>
      </w:r>
      <w:r>
        <w:rPr/>
        <w:t>provide</w:t>
      </w:r>
      <w:r>
        <w:rPr>
          <w:spacing w:val="-1"/>
        </w:rPr>
        <w:t> </w:t>
      </w:r>
      <w:r>
        <w:rPr/>
        <w:t>service(s) if</w:t>
      </w:r>
      <w:r>
        <w:rPr>
          <w:spacing w:val="-2"/>
        </w:rPr>
        <w:t> </w:t>
      </w:r>
      <w:r>
        <w:rPr/>
        <w:t>the</w:t>
      </w:r>
      <w:r>
        <w:rPr>
          <w:spacing w:val="-2"/>
        </w:rPr>
        <w:t> </w:t>
      </w:r>
      <w:r>
        <w:rPr/>
        <w:t>milestone(s) has/have</w:t>
      </w:r>
      <w:r>
        <w:rPr>
          <w:spacing w:val="-2"/>
        </w:rPr>
        <w:t> </w:t>
      </w:r>
      <w:r>
        <w:rPr/>
        <w:t>been</w:t>
      </w:r>
      <w:r>
        <w:rPr>
          <w:spacing w:val="-1"/>
        </w:rPr>
        <w:t> </w:t>
      </w:r>
      <w:r>
        <w:rPr/>
        <w:t>pre-authorized</w:t>
      </w:r>
      <w:r>
        <w:rPr>
          <w:spacing w:val="-1"/>
        </w:rPr>
        <w:t> </w:t>
      </w:r>
      <w:r>
        <w:rPr/>
        <w:t>by</w:t>
      </w:r>
      <w:r>
        <w:rPr>
          <w:spacing w:val="-1"/>
        </w:rPr>
        <w:t> </w:t>
      </w:r>
      <w:r>
        <w:rPr/>
        <w:t>the</w:t>
      </w:r>
      <w:r>
        <w:rPr>
          <w:spacing w:val="-1"/>
        </w:rPr>
        <w:t> </w:t>
      </w:r>
      <w:r>
        <w:rPr/>
        <w:t>DRS Counselor and the Authorization for Purchase has been received by the Contractor.</w:t>
      </w:r>
    </w:p>
    <w:p>
      <w:pPr>
        <w:pStyle w:val="BodyText"/>
        <w:spacing w:line="259" w:lineRule="auto" w:before="244"/>
        <w:ind w:right="775"/>
      </w:pPr>
      <w:r>
        <w:rPr/>
        <w:t>Please</w:t>
      </w:r>
      <w:r>
        <w:rPr>
          <w:spacing w:val="-4"/>
        </w:rPr>
        <w:t> </w:t>
      </w:r>
      <w:r>
        <w:rPr/>
        <w:t>refer</w:t>
      </w:r>
      <w:r>
        <w:rPr>
          <w:spacing w:val="-3"/>
        </w:rPr>
        <w:t> </w:t>
      </w:r>
      <w:r>
        <w:rPr/>
        <w:t>to</w:t>
      </w:r>
      <w:r>
        <w:rPr>
          <w:spacing w:val="-5"/>
        </w:rPr>
        <w:t> </w:t>
      </w:r>
      <w:r>
        <w:rPr/>
        <w:t>the</w:t>
      </w:r>
      <w:r>
        <w:rPr>
          <w:spacing w:val="-4"/>
        </w:rPr>
        <w:t> </w:t>
      </w:r>
      <w:r>
        <w:rPr/>
        <w:t>Employment</w:t>
      </w:r>
      <w:r>
        <w:rPr>
          <w:spacing w:val="-3"/>
        </w:rPr>
        <w:t> </w:t>
      </w:r>
      <w:r>
        <w:rPr/>
        <w:t>Support</w:t>
      </w:r>
      <w:r>
        <w:rPr>
          <w:spacing w:val="-3"/>
        </w:rPr>
        <w:t> </w:t>
      </w:r>
      <w:r>
        <w:rPr/>
        <w:t>Services</w:t>
      </w:r>
      <w:r>
        <w:rPr>
          <w:spacing w:val="-4"/>
        </w:rPr>
        <w:t> </w:t>
      </w:r>
      <w:r>
        <w:rPr/>
        <w:t>webpage</w:t>
      </w:r>
      <w:r>
        <w:rPr>
          <w:spacing w:val="-4"/>
        </w:rPr>
        <w:t> </w:t>
      </w:r>
      <w:r>
        <w:rPr/>
        <w:t>from</w:t>
      </w:r>
      <w:r>
        <w:rPr>
          <w:spacing w:val="-5"/>
        </w:rPr>
        <w:t> </w:t>
      </w:r>
      <w:r>
        <w:rPr/>
        <w:t>the</w:t>
      </w:r>
      <w:r>
        <w:rPr>
          <w:spacing w:val="-4"/>
        </w:rPr>
        <w:t> </w:t>
      </w:r>
      <w:r>
        <w:rPr/>
        <w:t>OKDRS</w:t>
      </w:r>
      <w:r>
        <w:rPr>
          <w:spacing w:val="-3"/>
        </w:rPr>
        <w:t> </w:t>
      </w:r>
      <w:r>
        <w:rPr/>
        <w:t>website located at </w:t>
      </w:r>
      <w:hyperlink r:id="rId51">
        <w:r>
          <w:rPr>
            <w:color w:val="0562C1"/>
            <w:u w:val="single" w:color="0562C1"/>
          </w:rPr>
          <w:t>https://www.okdrs.gov/ESS/ERC</w:t>
        </w:r>
      </w:hyperlink>
      <w:r>
        <w:rPr>
          <w:color w:val="0562C1"/>
          <w:u w:val="none"/>
        </w:rPr>
        <w:t> </w:t>
      </w:r>
      <w:r>
        <w:rPr>
          <w:u w:val="none"/>
        </w:rPr>
        <w:t>to access the ER contract and for Milestone/Service categories, rates, required documentation for payment, and other contract information.</w:t>
      </w:r>
    </w:p>
    <w:p>
      <w:pPr>
        <w:spacing w:before="158"/>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360" w:right="0" w:firstLine="0"/>
        <w:jc w:val="left"/>
        <w:rPr>
          <w:sz w:val="22"/>
        </w:rPr>
      </w:pPr>
      <w:r>
        <w:rPr>
          <w:spacing w:val="-2"/>
          <w:sz w:val="22"/>
        </w:rPr>
        <w:t>7-1-</w:t>
      </w:r>
      <w:r>
        <w:rPr>
          <w:spacing w:val="-5"/>
          <w:sz w:val="22"/>
        </w:rPr>
        <w:t>03</w:t>
      </w:r>
      <w:r>
        <w:rPr>
          <w:sz w:val="22"/>
        </w:rPr>
        <w:tab/>
        <w:t>PT</w:t>
      </w:r>
      <w:r>
        <w:rPr>
          <w:spacing w:val="-8"/>
          <w:sz w:val="22"/>
        </w:rPr>
        <w:t> </w:t>
      </w:r>
      <w:r>
        <w:rPr>
          <w:sz w:val="22"/>
        </w:rPr>
        <w:t>Memo</w:t>
      </w:r>
      <w:r>
        <w:rPr>
          <w:spacing w:val="-8"/>
          <w:sz w:val="22"/>
        </w:rPr>
        <w:t> </w:t>
      </w:r>
      <w:r>
        <w:rPr>
          <w:sz w:val="22"/>
        </w:rPr>
        <w:t>#03-</w:t>
      </w:r>
      <w:r>
        <w:rPr>
          <w:spacing w:val="-5"/>
          <w:sz w:val="22"/>
        </w:rPr>
        <w:t>07</w:t>
      </w:r>
    </w:p>
    <w:p>
      <w:pPr>
        <w:tabs>
          <w:tab w:pos="1439" w:val="left" w:leader="none"/>
        </w:tabs>
        <w:spacing w:before="1"/>
        <w:ind w:left="360" w:right="6636"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7-1-05</w:t>
      </w:r>
      <w:r>
        <w:rPr>
          <w:sz w:val="22"/>
        </w:rPr>
        <w:tab/>
        <w:t>PT Memo #06-01</w:t>
      </w:r>
    </w:p>
    <w:p>
      <w:pPr>
        <w:tabs>
          <w:tab w:pos="1439" w:val="left" w:leader="none"/>
        </w:tabs>
        <w:spacing w:before="0"/>
        <w:ind w:left="360" w:right="5023" w:firstLine="1080"/>
        <w:jc w:val="left"/>
        <w:rPr>
          <w:sz w:val="22"/>
        </w:rPr>
      </w:pPr>
      <w:r>
        <w:rPr>
          <w:sz w:val="22"/>
        </w:rPr>
        <w:t>Permanent,</w:t>
      </w:r>
      <w:r>
        <w:rPr>
          <w:spacing w:val="-9"/>
          <w:sz w:val="22"/>
        </w:rPr>
        <w:t> </w:t>
      </w:r>
      <w:r>
        <w:rPr>
          <w:sz w:val="22"/>
        </w:rPr>
        <w:t>general</w:t>
      </w:r>
      <w:r>
        <w:rPr>
          <w:spacing w:val="-10"/>
          <w:sz w:val="22"/>
        </w:rPr>
        <w:t> </w:t>
      </w:r>
      <w:r>
        <w:rPr>
          <w:sz w:val="22"/>
        </w:rPr>
        <w:t>cleanup</w:t>
      </w:r>
      <w:r>
        <w:rPr>
          <w:spacing w:val="-10"/>
          <w:sz w:val="22"/>
        </w:rPr>
        <w:t> </w:t>
      </w:r>
      <w:r>
        <w:rPr>
          <w:sz w:val="22"/>
        </w:rPr>
        <w:t>of</w:t>
      </w:r>
      <w:r>
        <w:rPr>
          <w:spacing w:val="-10"/>
          <w:sz w:val="22"/>
        </w:rPr>
        <w:t> </w:t>
      </w:r>
      <w:r>
        <w:rPr>
          <w:sz w:val="22"/>
        </w:rPr>
        <w:t>language </w:t>
      </w:r>
      <w:r>
        <w:rPr>
          <w:spacing w:val="-2"/>
          <w:sz w:val="22"/>
        </w:rPr>
        <w:t>7-1-08</w:t>
      </w:r>
      <w:r>
        <w:rPr>
          <w:sz w:val="22"/>
        </w:rPr>
        <w:tab/>
        <w:t>PT Memo #09-01</w:t>
      </w:r>
    </w:p>
    <w:p>
      <w:pPr>
        <w:tabs>
          <w:tab w:pos="1439" w:val="left" w:leader="none"/>
        </w:tabs>
        <w:spacing w:before="0"/>
        <w:ind w:left="360" w:right="4343" w:firstLine="1080"/>
        <w:jc w:val="left"/>
        <w:rPr>
          <w:sz w:val="22"/>
        </w:rPr>
      </w:pPr>
      <w:r>
        <w:rPr>
          <w:sz w:val="22"/>
        </w:rPr>
        <w:t>Permanent,</w:t>
      </w:r>
      <w:r>
        <w:rPr>
          <w:spacing w:val="-9"/>
          <w:sz w:val="22"/>
        </w:rPr>
        <w:t> </w:t>
      </w:r>
      <w:r>
        <w:rPr>
          <w:sz w:val="22"/>
        </w:rPr>
        <w:t>Replaced</w:t>
      </w:r>
      <w:r>
        <w:rPr>
          <w:spacing w:val="-10"/>
          <w:sz w:val="22"/>
        </w:rPr>
        <w:t> </w:t>
      </w:r>
      <w:r>
        <w:rPr>
          <w:sz w:val="22"/>
        </w:rPr>
        <w:t>"severe"</w:t>
      </w:r>
      <w:r>
        <w:rPr>
          <w:spacing w:val="-10"/>
          <w:sz w:val="22"/>
        </w:rPr>
        <w:t> </w:t>
      </w:r>
      <w:r>
        <w:rPr>
          <w:sz w:val="22"/>
        </w:rPr>
        <w:t>with</w:t>
      </w:r>
      <w:r>
        <w:rPr>
          <w:spacing w:val="-10"/>
          <w:sz w:val="22"/>
        </w:rPr>
        <w:t> </w:t>
      </w:r>
      <w:r>
        <w:rPr>
          <w:sz w:val="22"/>
        </w:rPr>
        <w:t>"significant" </w:t>
      </w:r>
      <w:r>
        <w:rPr>
          <w:spacing w:val="-2"/>
          <w:sz w:val="22"/>
        </w:rPr>
        <w:t>7-1-11</w:t>
      </w:r>
      <w:r>
        <w:rPr>
          <w:sz w:val="22"/>
        </w:rPr>
        <w:tab/>
        <w:t>PT Memo #12-01</w:t>
      </w:r>
    </w:p>
    <w:p>
      <w:pPr>
        <w:tabs>
          <w:tab w:pos="1439" w:val="left" w:leader="none"/>
        </w:tabs>
        <w:spacing w:before="0"/>
        <w:ind w:left="360" w:right="4362" w:firstLine="1080"/>
        <w:jc w:val="left"/>
        <w:rPr>
          <w:sz w:val="22"/>
        </w:rPr>
      </w:pPr>
      <w:r>
        <w:rPr>
          <w:sz w:val="22"/>
        </w:rPr>
        <w:t>Permanent,</w:t>
      </w:r>
      <w:r>
        <w:rPr>
          <w:spacing w:val="-7"/>
          <w:sz w:val="22"/>
        </w:rPr>
        <w:t> </w:t>
      </w:r>
      <w:r>
        <w:rPr>
          <w:sz w:val="22"/>
        </w:rPr>
        <w:t>milestone</w:t>
      </w:r>
      <w:r>
        <w:rPr>
          <w:spacing w:val="-8"/>
          <w:sz w:val="22"/>
        </w:rPr>
        <w:t> </w:t>
      </w:r>
      <w:r>
        <w:rPr>
          <w:sz w:val="22"/>
        </w:rPr>
        <w:t>information</w:t>
      </w:r>
      <w:r>
        <w:rPr>
          <w:spacing w:val="-8"/>
          <w:sz w:val="22"/>
        </w:rPr>
        <w:t> </w:t>
      </w:r>
      <w:r>
        <w:rPr>
          <w:sz w:val="22"/>
        </w:rPr>
        <w:t>placed</w:t>
      </w:r>
      <w:r>
        <w:rPr>
          <w:spacing w:val="-8"/>
          <w:sz w:val="22"/>
        </w:rPr>
        <w:t> </w:t>
      </w:r>
      <w:r>
        <w:rPr>
          <w:sz w:val="22"/>
        </w:rPr>
        <w:t>in</w:t>
      </w:r>
      <w:r>
        <w:rPr>
          <w:spacing w:val="-8"/>
          <w:sz w:val="22"/>
        </w:rPr>
        <w:t> </w:t>
      </w:r>
      <w:r>
        <w:rPr>
          <w:sz w:val="22"/>
        </w:rPr>
        <w:t>ITS </w:t>
      </w:r>
      <w:r>
        <w:rPr>
          <w:spacing w:val="-2"/>
          <w:sz w:val="22"/>
        </w:rPr>
        <w:t>8-11-24</w:t>
      </w:r>
      <w:r>
        <w:rPr>
          <w:sz w:val="22"/>
        </w:rPr>
        <w:tab/>
        <w:t>Updated language to current terminology.</w:t>
      </w:r>
    </w:p>
    <w:p>
      <w:pPr>
        <w:spacing w:after="0"/>
        <w:jc w:val="left"/>
        <w:rPr>
          <w:sz w:val="22"/>
        </w:rPr>
        <w:sectPr>
          <w:pgSz w:w="12240" w:h="15840"/>
          <w:pgMar w:top="1340" w:bottom="280" w:left="1080" w:right="720"/>
        </w:sectPr>
      </w:pPr>
    </w:p>
    <w:p>
      <w:pPr>
        <w:pStyle w:val="Heading2"/>
      </w:pPr>
      <w:bookmarkStart w:name="612:10-7-187.  Eligibility for Employmen" w:id="203"/>
      <w:bookmarkEnd w:id="203"/>
      <w:r>
        <w:rPr>
          <w:b w:val="0"/>
        </w:rPr>
      </w:r>
      <w:r>
        <w:rPr/>
        <w:t>612:10-7-187.</w:t>
      </w:r>
      <w:r>
        <w:rPr>
          <w:spacing w:val="57"/>
        </w:rPr>
        <w:t> </w:t>
      </w:r>
      <w:r>
        <w:rPr/>
        <w:t>Eligibility</w:t>
      </w:r>
      <w:r>
        <w:rPr>
          <w:spacing w:val="-5"/>
        </w:rPr>
        <w:t> </w:t>
      </w:r>
      <w:r>
        <w:rPr/>
        <w:t>for</w:t>
      </w:r>
      <w:r>
        <w:rPr>
          <w:spacing w:val="-4"/>
        </w:rPr>
        <w:t> </w:t>
      </w:r>
      <w:r>
        <w:rPr/>
        <w:t>Employment</w:t>
      </w:r>
      <w:r>
        <w:rPr>
          <w:spacing w:val="-5"/>
        </w:rPr>
        <w:t> </w:t>
      </w:r>
      <w:r>
        <w:rPr/>
        <w:t>and</w:t>
      </w:r>
      <w:r>
        <w:rPr>
          <w:spacing w:val="-4"/>
        </w:rPr>
        <w:t> </w:t>
      </w:r>
      <w:r>
        <w:rPr/>
        <w:t>Retention</w:t>
      </w:r>
      <w:r>
        <w:rPr>
          <w:spacing w:val="-3"/>
        </w:rPr>
        <w:t> </w:t>
      </w:r>
      <w:r>
        <w:rPr>
          <w:spacing w:val="-2"/>
        </w:rPr>
        <w:t>Services</w:t>
      </w:r>
    </w:p>
    <w:p>
      <w:pPr>
        <w:pStyle w:val="BodyText"/>
        <w:spacing w:before="204"/>
        <w:ind w:left="791"/>
      </w:pPr>
      <w:r>
        <w:rPr/>
        <w:t>An</w:t>
      </w:r>
      <w:r>
        <w:rPr>
          <w:spacing w:val="-6"/>
        </w:rPr>
        <w:t> </w:t>
      </w:r>
      <w:r>
        <w:rPr/>
        <w:t>individual</w:t>
      </w:r>
      <w:r>
        <w:rPr>
          <w:spacing w:val="-3"/>
        </w:rPr>
        <w:t> </w:t>
      </w:r>
      <w:r>
        <w:rPr/>
        <w:t>shall</w:t>
      </w:r>
      <w:r>
        <w:rPr>
          <w:spacing w:val="-3"/>
        </w:rPr>
        <w:t> </w:t>
      </w:r>
      <w:r>
        <w:rPr/>
        <w:t>be</w:t>
      </w:r>
      <w:r>
        <w:rPr>
          <w:spacing w:val="-3"/>
        </w:rPr>
        <w:t> </w:t>
      </w:r>
      <w:r>
        <w:rPr/>
        <w:t>eligible</w:t>
      </w:r>
      <w:r>
        <w:rPr>
          <w:spacing w:val="-3"/>
        </w:rPr>
        <w:t> </w:t>
      </w:r>
      <w:r>
        <w:rPr/>
        <w:t>for</w:t>
      </w:r>
      <w:r>
        <w:rPr>
          <w:spacing w:val="-4"/>
        </w:rPr>
        <w:t> </w:t>
      </w:r>
      <w:r>
        <w:rPr/>
        <w:t>employment</w:t>
      </w:r>
      <w:r>
        <w:rPr>
          <w:spacing w:val="-2"/>
        </w:rPr>
        <w:t> </w:t>
      </w:r>
      <w:r>
        <w:rPr/>
        <w:t>and</w:t>
      </w:r>
      <w:r>
        <w:rPr>
          <w:spacing w:val="-3"/>
        </w:rPr>
        <w:t> </w:t>
      </w:r>
      <w:r>
        <w:rPr/>
        <w:t>retention</w:t>
      </w:r>
      <w:r>
        <w:rPr>
          <w:spacing w:val="-3"/>
        </w:rPr>
        <w:t> </w:t>
      </w:r>
      <w:r>
        <w:rPr/>
        <w:t>(ER)</w:t>
      </w:r>
      <w:r>
        <w:rPr>
          <w:spacing w:val="-2"/>
        </w:rPr>
        <w:t> </w:t>
      </w:r>
      <w:r>
        <w:rPr/>
        <w:t>services</w:t>
      </w:r>
      <w:r>
        <w:rPr>
          <w:spacing w:val="-3"/>
        </w:rPr>
        <w:t> </w:t>
      </w:r>
      <w:r>
        <w:rPr>
          <w:spacing w:val="-5"/>
        </w:rPr>
        <w:t>if:</w:t>
      </w:r>
    </w:p>
    <w:p>
      <w:pPr>
        <w:pStyle w:val="ListParagraph"/>
        <w:numPr>
          <w:ilvl w:val="1"/>
          <w:numId w:val="221"/>
        </w:numPr>
        <w:tabs>
          <w:tab w:pos="1506" w:val="left" w:leader="none"/>
        </w:tabs>
        <w:spacing w:line="208" w:lineRule="auto" w:before="233" w:after="0"/>
        <w:ind w:left="1080" w:right="1608" w:firstLine="0"/>
        <w:jc w:val="left"/>
        <w:rPr>
          <w:sz w:val="24"/>
        </w:rPr>
      </w:pPr>
      <w:r>
        <w:rPr>
          <w:sz w:val="24"/>
        </w:rPr>
        <w:t>The</w:t>
      </w:r>
      <w:r>
        <w:rPr>
          <w:spacing w:val="-5"/>
          <w:sz w:val="24"/>
        </w:rPr>
        <w:t> </w:t>
      </w:r>
      <w:r>
        <w:rPr>
          <w:sz w:val="24"/>
        </w:rPr>
        <w:t>individual</w:t>
      </w:r>
      <w:r>
        <w:rPr>
          <w:spacing w:val="-5"/>
          <w:sz w:val="24"/>
        </w:rPr>
        <w:t> </w:t>
      </w:r>
      <w:r>
        <w:rPr>
          <w:sz w:val="24"/>
        </w:rPr>
        <w:t>is</w:t>
      </w:r>
      <w:r>
        <w:rPr>
          <w:spacing w:val="-5"/>
          <w:sz w:val="24"/>
        </w:rPr>
        <w:t> </w:t>
      </w:r>
      <w:r>
        <w:rPr>
          <w:sz w:val="24"/>
        </w:rPr>
        <w:t>determined</w:t>
      </w:r>
      <w:r>
        <w:rPr>
          <w:spacing w:val="-5"/>
          <w:sz w:val="24"/>
        </w:rPr>
        <w:t> </w:t>
      </w:r>
      <w:r>
        <w:rPr>
          <w:sz w:val="24"/>
        </w:rPr>
        <w:t>to</w:t>
      </w:r>
      <w:r>
        <w:rPr>
          <w:spacing w:val="-5"/>
          <w:sz w:val="24"/>
        </w:rPr>
        <w:t> </w:t>
      </w:r>
      <w:r>
        <w:rPr>
          <w:sz w:val="24"/>
        </w:rPr>
        <w:t>be</w:t>
      </w:r>
      <w:r>
        <w:rPr>
          <w:spacing w:val="-5"/>
          <w:sz w:val="24"/>
        </w:rPr>
        <w:t> </w:t>
      </w:r>
      <w:r>
        <w:rPr>
          <w:sz w:val="24"/>
        </w:rPr>
        <w:t>eligible</w:t>
      </w:r>
      <w:r>
        <w:rPr>
          <w:spacing w:val="-5"/>
          <w:sz w:val="24"/>
        </w:rPr>
        <w:t> </w:t>
      </w:r>
      <w:r>
        <w:rPr>
          <w:sz w:val="24"/>
        </w:rPr>
        <w:t>for</w:t>
      </w:r>
      <w:r>
        <w:rPr>
          <w:spacing w:val="-4"/>
          <w:sz w:val="24"/>
        </w:rPr>
        <w:t> </w:t>
      </w:r>
      <w:r>
        <w:rPr>
          <w:sz w:val="24"/>
        </w:rPr>
        <w:t>vocational</w:t>
      </w:r>
      <w:r>
        <w:rPr>
          <w:spacing w:val="-5"/>
          <w:sz w:val="24"/>
        </w:rPr>
        <w:t> </w:t>
      </w:r>
      <w:r>
        <w:rPr>
          <w:sz w:val="24"/>
        </w:rPr>
        <w:t>rehabilitation </w:t>
      </w:r>
      <w:r>
        <w:rPr>
          <w:spacing w:val="-2"/>
          <w:sz w:val="24"/>
        </w:rPr>
        <w:t>services;</w:t>
      </w:r>
    </w:p>
    <w:p>
      <w:pPr>
        <w:pStyle w:val="ListParagraph"/>
        <w:numPr>
          <w:ilvl w:val="1"/>
          <w:numId w:val="221"/>
        </w:numPr>
        <w:tabs>
          <w:tab w:pos="1506" w:val="left" w:leader="none"/>
        </w:tabs>
        <w:spacing w:line="258" w:lineRule="exact" w:before="210" w:after="0"/>
        <w:ind w:left="1506" w:right="0" w:hanging="426"/>
        <w:jc w:val="left"/>
        <w:rPr>
          <w:b/>
          <w:sz w:val="24"/>
        </w:rPr>
      </w:pPr>
      <w:r>
        <w:rPr>
          <w:sz w:val="24"/>
        </w:rPr>
        <w:t>The</w:t>
      </w:r>
      <w:r>
        <w:rPr>
          <w:spacing w:val="-6"/>
          <w:sz w:val="24"/>
        </w:rPr>
        <w:t> </w:t>
      </w:r>
      <w:r>
        <w:rPr>
          <w:sz w:val="24"/>
        </w:rPr>
        <w:t>individual</w:t>
      </w:r>
      <w:r>
        <w:rPr>
          <w:spacing w:val="-4"/>
          <w:sz w:val="24"/>
        </w:rPr>
        <w:t> </w:t>
      </w:r>
      <w:r>
        <w:rPr>
          <w:sz w:val="24"/>
        </w:rPr>
        <w:t>is</w:t>
      </w:r>
      <w:r>
        <w:rPr>
          <w:spacing w:val="-3"/>
          <w:sz w:val="24"/>
        </w:rPr>
        <w:t> </w:t>
      </w:r>
      <w:r>
        <w:rPr>
          <w:sz w:val="24"/>
        </w:rPr>
        <w:t>determined</w:t>
      </w:r>
      <w:r>
        <w:rPr>
          <w:spacing w:val="-4"/>
          <w:sz w:val="24"/>
        </w:rPr>
        <w:t> </w:t>
      </w:r>
      <w:r>
        <w:rPr>
          <w:sz w:val="24"/>
        </w:rPr>
        <w:t>to</w:t>
      </w:r>
      <w:r>
        <w:rPr>
          <w:spacing w:val="-4"/>
          <w:sz w:val="24"/>
        </w:rPr>
        <w:t> </w:t>
      </w:r>
      <w:r>
        <w:rPr>
          <w:sz w:val="24"/>
        </w:rPr>
        <w:t>be</w:t>
      </w:r>
      <w:r>
        <w:rPr>
          <w:spacing w:val="-3"/>
          <w:sz w:val="24"/>
        </w:rPr>
        <w:t> </w:t>
      </w:r>
      <w:r>
        <w:rPr>
          <w:sz w:val="24"/>
        </w:rPr>
        <w:t>an</w:t>
      </w:r>
      <w:r>
        <w:rPr>
          <w:spacing w:val="-4"/>
          <w:sz w:val="24"/>
        </w:rPr>
        <w:t> </w:t>
      </w:r>
      <w:r>
        <w:rPr>
          <w:sz w:val="24"/>
        </w:rPr>
        <w:t>individual</w:t>
      </w:r>
      <w:r>
        <w:rPr>
          <w:spacing w:val="-3"/>
          <w:sz w:val="24"/>
        </w:rPr>
        <w:t> </w:t>
      </w:r>
      <w:r>
        <w:rPr>
          <w:sz w:val="24"/>
        </w:rPr>
        <w:t>with</w:t>
      </w:r>
      <w:r>
        <w:rPr>
          <w:spacing w:val="-3"/>
          <w:sz w:val="24"/>
        </w:rPr>
        <w:t> </w:t>
      </w:r>
      <w:r>
        <w:rPr>
          <w:sz w:val="24"/>
        </w:rPr>
        <w:t>significant</w:t>
      </w:r>
      <w:r>
        <w:rPr>
          <w:spacing w:val="-3"/>
          <w:sz w:val="24"/>
        </w:rPr>
        <w:t> </w:t>
      </w:r>
      <w:r>
        <w:rPr>
          <w:sz w:val="24"/>
        </w:rPr>
        <w:t>disabilities;</w:t>
      </w:r>
      <w:r>
        <w:rPr>
          <w:spacing w:val="-2"/>
          <w:sz w:val="24"/>
        </w:rPr>
        <w:t> </w:t>
      </w:r>
      <w:r>
        <w:rPr>
          <w:b/>
          <w:spacing w:val="-10"/>
          <w:sz w:val="24"/>
        </w:rPr>
        <w:t>1</w:t>
      </w:r>
    </w:p>
    <w:p>
      <w:pPr>
        <w:pStyle w:val="BodyText"/>
        <w:spacing w:line="258" w:lineRule="exact" w:before="0"/>
        <w:ind w:left="1080"/>
      </w:pPr>
      <w:r>
        <w:rPr>
          <w:spacing w:val="-5"/>
        </w:rPr>
        <w:t>and</w:t>
      </w:r>
    </w:p>
    <w:p>
      <w:pPr>
        <w:pStyle w:val="ListParagraph"/>
        <w:numPr>
          <w:ilvl w:val="1"/>
          <w:numId w:val="221"/>
        </w:numPr>
        <w:tabs>
          <w:tab w:pos="1506" w:val="left" w:leader="none"/>
        </w:tabs>
        <w:spacing w:line="208" w:lineRule="auto" w:before="234" w:after="0"/>
        <w:ind w:left="1080" w:right="1181" w:firstLine="0"/>
        <w:jc w:val="left"/>
        <w:rPr>
          <w:sz w:val="24"/>
        </w:rPr>
      </w:pPr>
      <w:r>
        <w:rPr>
          <w:sz w:val="24"/>
        </w:rPr>
        <w:t>The</w:t>
      </w:r>
      <w:r>
        <w:rPr>
          <w:spacing w:val="-5"/>
          <w:sz w:val="24"/>
        </w:rPr>
        <w:t> </w:t>
      </w:r>
      <w:r>
        <w:rPr>
          <w:sz w:val="24"/>
        </w:rPr>
        <w:t>individual</w:t>
      </w:r>
      <w:r>
        <w:rPr>
          <w:spacing w:val="-5"/>
          <w:sz w:val="24"/>
        </w:rPr>
        <w:t> </w:t>
      </w:r>
      <w:r>
        <w:rPr>
          <w:sz w:val="24"/>
        </w:rPr>
        <w:t>needs</w:t>
      </w:r>
      <w:r>
        <w:rPr>
          <w:spacing w:val="-5"/>
          <w:sz w:val="24"/>
        </w:rPr>
        <w:t> </w:t>
      </w:r>
      <w:r>
        <w:rPr>
          <w:sz w:val="24"/>
        </w:rPr>
        <w:t>short-term</w:t>
      </w:r>
      <w:r>
        <w:rPr>
          <w:spacing w:val="-4"/>
          <w:sz w:val="24"/>
        </w:rPr>
        <w:t> </w:t>
      </w:r>
      <w:r>
        <w:rPr>
          <w:sz w:val="24"/>
        </w:rPr>
        <w:t>job</w:t>
      </w:r>
      <w:r>
        <w:rPr>
          <w:spacing w:val="-5"/>
          <w:sz w:val="24"/>
        </w:rPr>
        <w:t> </w:t>
      </w:r>
      <w:r>
        <w:rPr>
          <w:sz w:val="24"/>
        </w:rPr>
        <w:t>coach</w:t>
      </w:r>
      <w:r>
        <w:rPr>
          <w:spacing w:val="-5"/>
          <w:sz w:val="24"/>
        </w:rPr>
        <w:t> </w:t>
      </w:r>
      <w:r>
        <w:rPr>
          <w:sz w:val="24"/>
        </w:rPr>
        <w:t>support</w:t>
      </w:r>
      <w:r>
        <w:rPr>
          <w:spacing w:val="-4"/>
          <w:sz w:val="24"/>
        </w:rPr>
        <w:t> </w:t>
      </w:r>
      <w:r>
        <w:rPr>
          <w:sz w:val="24"/>
        </w:rPr>
        <w:t>to</w:t>
      </w:r>
      <w:r>
        <w:rPr>
          <w:spacing w:val="-5"/>
          <w:sz w:val="24"/>
        </w:rPr>
        <w:t> </w:t>
      </w:r>
      <w:r>
        <w:rPr>
          <w:sz w:val="24"/>
        </w:rPr>
        <w:t>maintain</w:t>
      </w:r>
      <w:r>
        <w:rPr>
          <w:spacing w:val="-5"/>
          <w:sz w:val="24"/>
        </w:rPr>
        <w:t> </w:t>
      </w:r>
      <w:r>
        <w:rPr>
          <w:sz w:val="24"/>
        </w:rPr>
        <w:t>successful </w:t>
      </w:r>
      <w:r>
        <w:rPr>
          <w:spacing w:val="-2"/>
          <w:sz w:val="24"/>
        </w:rPr>
        <w:t>employment.</w:t>
      </w:r>
    </w:p>
    <w:p>
      <w:pPr>
        <w:pStyle w:val="BodyText"/>
        <w:spacing w:before="210"/>
      </w:pPr>
      <w:r>
        <w:rPr/>
        <w:t>Instructions</w:t>
      </w:r>
      <w:r>
        <w:rPr>
          <w:spacing w:val="-5"/>
        </w:rPr>
        <w:t> </w:t>
      </w:r>
      <w:r>
        <w:rPr/>
        <w:t>to</w:t>
      </w:r>
      <w:r>
        <w:rPr>
          <w:spacing w:val="-2"/>
        </w:rPr>
        <w:t> </w:t>
      </w:r>
      <w:r>
        <w:rPr>
          <w:spacing w:val="-4"/>
        </w:rPr>
        <w:t>Staff</w:t>
      </w:r>
    </w:p>
    <w:p>
      <w:pPr>
        <w:pStyle w:val="BodyText"/>
        <w:spacing w:line="208" w:lineRule="auto" w:before="234"/>
        <w:ind w:right="775"/>
      </w:pPr>
      <w:r>
        <w:rPr/>
        <w:t>1. If employment and retention services are used with a client prioritized as most significant,</w:t>
      </w:r>
      <w:r>
        <w:rPr>
          <w:spacing w:val="-5"/>
        </w:rPr>
        <w:t> </w:t>
      </w:r>
      <w:r>
        <w:rPr/>
        <w:t>the</w:t>
      </w:r>
      <w:r>
        <w:rPr>
          <w:spacing w:val="-4"/>
        </w:rPr>
        <w:t> </w:t>
      </w:r>
      <w:r>
        <w:rPr/>
        <w:t>counselor</w:t>
      </w:r>
      <w:r>
        <w:rPr>
          <w:spacing w:val="-3"/>
        </w:rPr>
        <w:t> </w:t>
      </w:r>
      <w:r>
        <w:rPr/>
        <w:t>must</w:t>
      </w:r>
      <w:r>
        <w:rPr>
          <w:spacing w:val="-5"/>
        </w:rPr>
        <w:t> </w:t>
      </w:r>
      <w:r>
        <w:rPr/>
        <w:t>justify</w:t>
      </w:r>
      <w:r>
        <w:rPr>
          <w:spacing w:val="-4"/>
        </w:rPr>
        <w:t> </w:t>
      </w:r>
      <w:r>
        <w:rPr/>
        <w:t>in</w:t>
      </w:r>
      <w:r>
        <w:rPr>
          <w:spacing w:val="-4"/>
        </w:rPr>
        <w:t> </w:t>
      </w:r>
      <w:r>
        <w:rPr/>
        <w:t>a</w:t>
      </w:r>
      <w:r>
        <w:rPr>
          <w:spacing w:val="-4"/>
        </w:rPr>
        <w:t> </w:t>
      </w:r>
      <w:r>
        <w:rPr/>
        <w:t>case</w:t>
      </w:r>
      <w:r>
        <w:rPr>
          <w:spacing w:val="-4"/>
        </w:rPr>
        <w:t> </w:t>
      </w:r>
      <w:r>
        <w:rPr/>
        <w:t>narrative</w:t>
      </w:r>
      <w:r>
        <w:rPr>
          <w:spacing w:val="-5"/>
        </w:rPr>
        <w:t> </w:t>
      </w:r>
      <w:r>
        <w:rPr/>
        <w:t>why</w:t>
      </w:r>
      <w:r>
        <w:rPr>
          <w:spacing w:val="-4"/>
        </w:rPr>
        <w:t> </w:t>
      </w:r>
      <w:r>
        <w:rPr/>
        <w:t>employment</w:t>
      </w:r>
      <w:r>
        <w:rPr>
          <w:spacing w:val="-3"/>
        </w:rPr>
        <w:t> </w:t>
      </w:r>
      <w:r>
        <w:rPr/>
        <w:t>and</w:t>
      </w:r>
      <w:r>
        <w:rPr>
          <w:spacing w:val="-5"/>
        </w:rPr>
        <w:t> </w:t>
      </w:r>
      <w:r>
        <w:rPr/>
        <w:t>retention is a more appropriate service than supported employment.</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03</w:t>
      </w:r>
      <w:r>
        <w:rPr>
          <w:sz w:val="22"/>
        </w:rPr>
        <w:tab/>
        <w:t>PT</w:t>
      </w:r>
      <w:r>
        <w:rPr>
          <w:spacing w:val="-8"/>
          <w:sz w:val="22"/>
        </w:rPr>
        <w:t> </w:t>
      </w:r>
      <w:r>
        <w:rPr>
          <w:sz w:val="22"/>
        </w:rPr>
        <w:t>Memo</w:t>
      </w:r>
      <w:r>
        <w:rPr>
          <w:spacing w:val="-8"/>
          <w:sz w:val="22"/>
        </w:rPr>
        <w:t> </w:t>
      </w:r>
      <w:r>
        <w:rPr>
          <w:sz w:val="22"/>
        </w:rPr>
        <w:t>#03-</w:t>
      </w:r>
      <w:r>
        <w:rPr>
          <w:spacing w:val="-5"/>
          <w:sz w:val="22"/>
        </w:rPr>
        <w:t>07</w:t>
      </w:r>
    </w:p>
    <w:p>
      <w:pPr>
        <w:tabs>
          <w:tab w:pos="1439" w:val="left" w:leader="none"/>
        </w:tabs>
        <w:spacing w:before="0"/>
        <w:ind w:left="360" w:right="6636"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7-1-08</w:t>
      </w:r>
      <w:r>
        <w:rPr>
          <w:sz w:val="22"/>
        </w:rPr>
        <w:tab/>
        <w:t>PT Memo #09-01</w:t>
      </w:r>
    </w:p>
    <w:p>
      <w:pPr>
        <w:spacing w:before="0"/>
        <w:ind w:left="1439" w:right="0" w:firstLine="0"/>
        <w:jc w:val="left"/>
        <w:rPr>
          <w:sz w:val="22"/>
        </w:rPr>
      </w:pPr>
      <w:r>
        <w:rPr>
          <w:sz w:val="22"/>
        </w:rPr>
        <w:t>Permanent,</w:t>
      </w:r>
      <w:r>
        <w:rPr>
          <w:spacing w:val="-9"/>
          <w:sz w:val="22"/>
        </w:rPr>
        <w:t> </w:t>
      </w:r>
      <w:r>
        <w:rPr>
          <w:sz w:val="22"/>
        </w:rPr>
        <w:t>Replaced</w:t>
      </w:r>
      <w:r>
        <w:rPr>
          <w:spacing w:val="-9"/>
          <w:sz w:val="22"/>
        </w:rPr>
        <w:t> </w:t>
      </w:r>
      <w:r>
        <w:rPr>
          <w:sz w:val="22"/>
        </w:rPr>
        <w:t>"severe"</w:t>
      </w:r>
      <w:r>
        <w:rPr>
          <w:spacing w:val="-10"/>
          <w:sz w:val="22"/>
        </w:rPr>
        <w:t> </w:t>
      </w:r>
      <w:r>
        <w:rPr>
          <w:sz w:val="22"/>
        </w:rPr>
        <w:t>with</w:t>
      </w:r>
      <w:r>
        <w:rPr>
          <w:spacing w:val="-9"/>
          <w:sz w:val="22"/>
        </w:rPr>
        <w:t> </w:t>
      </w:r>
      <w:r>
        <w:rPr>
          <w:spacing w:val="-2"/>
          <w:sz w:val="22"/>
        </w:rPr>
        <w:t>"significant".</w:t>
      </w:r>
    </w:p>
    <w:p>
      <w:pPr>
        <w:tabs>
          <w:tab w:pos="1439" w:val="left" w:leader="none"/>
        </w:tabs>
        <w:spacing w:before="1"/>
        <w:ind w:left="360" w:right="0" w:firstLine="0"/>
        <w:jc w:val="left"/>
        <w:rPr>
          <w:sz w:val="22"/>
        </w:rPr>
      </w:pPr>
      <w:r>
        <w:rPr>
          <w:spacing w:val="-2"/>
          <w:sz w:val="22"/>
        </w:rPr>
        <w:t>5-4-</w:t>
      </w:r>
      <w:r>
        <w:rPr>
          <w:spacing w:val="-5"/>
          <w:sz w:val="22"/>
        </w:rPr>
        <w:t>23</w:t>
      </w:r>
      <w:r>
        <w:rPr>
          <w:sz w:val="22"/>
        </w:rPr>
        <w:tab/>
        <w:t>Updated</w:t>
      </w:r>
      <w:r>
        <w:rPr>
          <w:spacing w:val="-10"/>
          <w:sz w:val="22"/>
        </w:rPr>
        <w:t> </w:t>
      </w:r>
      <w:r>
        <w:rPr>
          <w:spacing w:val="-4"/>
          <w:sz w:val="22"/>
        </w:rPr>
        <w:t>ITS.</w:t>
      </w:r>
    </w:p>
    <w:p>
      <w:pPr>
        <w:tabs>
          <w:tab w:pos="1439" w:val="left" w:leader="none"/>
        </w:tabs>
        <w:spacing w:before="0"/>
        <w:ind w:left="360" w:right="0" w:firstLine="0"/>
        <w:jc w:val="left"/>
        <w:rPr>
          <w:sz w:val="22"/>
        </w:rPr>
      </w:pPr>
      <w:r>
        <w:rPr>
          <w:spacing w:val="-2"/>
          <w:sz w:val="22"/>
        </w:rPr>
        <w:t>8-11-</w:t>
      </w:r>
      <w:r>
        <w:rPr>
          <w:spacing w:val="-5"/>
          <w:sz w:val="22"/>
        </w:rPr>
        <w:t>24</w:t>
      </w:r>
      <w:r>
        <w:rPr>
          <w:sz w:val="22"/>
        </w:rPr>
        <w:tab/>
        <w:t>Revised</w:t>
      </w:r>
      <w:r>
        <w:rPr>
          <w:spacing w:val="-9"/>
          <w:sz w:val="22"/>
        </w:rPr>
        <w:t> </w:t>
      </w:r>
      <w:r>
        <w:rPr>
          <w:sz w:val="22"/>
        </w:rPr>
        <w:t>language</w:t>
      </w:r>
      <w:r>
        <w:rPr>
          <w:spacing w:val="-9"/>
          <w:sz w:val="22"/>
        </w:rPr>
        <w:t> </w:t>
      </w:r>
      <w:r>
        <w:rPr>
          <w:sz w:val="22"/>
        </w:rPr>
        <w:t>revoking</w:t>
      </w:r>
      <w:r>
        <w:rPr>
          <w:spacing w:val="-9"/>
          <w:sz w:val="22"/>
        </w:rPr>
        <w:t> </w:t>
      </w:r>
      <w:r>
        <w:rPr>
          <w:sz w:val="22"/>
        </w:rPr>
        <w:t>“client”</w:t>
      </w:r>
      <w:r>
        <w:rPr>
          <w:spacing w:val="-9"/>
          <w:sz w:val="22"/>
        </w:rPr>
        <w:t> </w:t>
      </w:r>
      <w:r>
        <w:rPr>
          <w:sz w:val="22"/>
        </w:rPr>
        <w:t>replacing</w:t>
      </w:r>
      <w:r>
        <w:rPr>
          <w:spacing w:val="-8"/>
          <w:sz w:val="22"/>
        </w:rPr>
        <w:t> </w:t>
      </w:r>
      <w:r>
        <w:rPr>
          <w:sz w:val="22"/>
        </w:rPr>
        <w:t>with</w:t>
      </w:r>
      <w:r>
        <w:rPr>
          <w:spacing w:val="-9"/>
          <w:sz w:val="22"/>
        </w:rPr>
        <w:t> </w:t>
      </w:r>
      <w:r>
        <w:rPr>
          <w:spacing w:val="-2"/>
          <w:sz w:val="22"/>
        </w:rPr>
        <w:t>“individual”.</w:t>
      </w:r>
    </w:p>
    <w:p>
      <w:pPr>
        <w:spacing w:after="0"/>
        <w:jc w:val="left"/>
        <w:rPr>
          <w:sz w:val="22"/>
        </w:rPr>
        <w:sectPr>
          <w:pgSz w:w="12240" w:h="15840"/>
          <w:pgMar w:top="1340" w:bottom="280" w:left="1080" w:right="720"/>
        </w:sectPr>
      </w:pPr>
    </w:p>
    <w:p>
      <w:pPr>
        <w:pStyle w:val="Heading2"/>
      </w:pPr>
      <w:bookmarkStart w:name="612:10-7-188.  Provision of Employment a" w:id="204"/>
      <w:bookmarkEnd w:id="204"/>
      <w:r>
        <w:rPr>
          <w:b w:val="0"/>
        </w:rPr>
      </w:r>
      <w:r>
        <w:rPr/>
        <w:t>612:10-7-188.</w:t>
      </w:r>
      <w:r>
        <w:rPr>
          <w:spacing w:val="57"/>
        </w:rPr>
        <w:t> </w:t>
      </w:r>
      <w:r>
        <w:rPr/>
        <w:t>Provision</w:t>
      </w:r>
      <w:r>
        <w:rPr>
          <w:spacing w:val="-4"/>
        </w:rPr>
        <w:t> </w:t>
      </w:r>
      <w:r>
        <w:rPr/>
        <w:t>of</w:t>
      </w:r>
      <w:r>
        <w:rPr>
          <w:spacing w:val="-3"/>
        </w:rPr>
        <w:t> </w:t>
      </w:r>
      <w:r>
        <w:rPr/>
        <w:t>Employment</w:t>
      </w:r>
      <w:r>
        <w:rPr>
          <w:spacing w:val="-5"/>
        </w:rPr>
        <w:t> </w:t>
      </w:r>
      <w:r>
        <w:rPr/>
        <w:t>and</w:t>
      </w:r>
      <w:r>
        <w:rPr>
          <w:spacing w:val="-4"/>
        </w:rPr>
        <w:t> </w:t>
      </w:r>
      <w:r>
        <w:rPr/>
        <w:t>Retention</w:t>
      </w:r>
      <w:r>
        <w:rPr>
          <w:spacing w:val="-3"/>
        </w:rPr>
        <w:t> </w:t>
      </w:r>
      <w:r>
        <w:rPr>
          <w:spacing w:val="-2"/>
        </w:rPr>
        <w:t>Services</w:t>
      </w:r>
    </w:p>
    <w:p>
      <w:pPr>
        <w:pStyle w:val="BodyText"/>
        <w:spacing w:line="211" w:lineRule="auto" w:before="231"/>
        <w:ind w:right="855" w:firstLine="450"/>
        <w:rPr>
          <w:rFonts w:ascii="Calibri"/>
          <w:b/>
          <w:sz w:val="22"/>
        </w:rPr>
      </w:pPr>
      <w:r>
        <w:rPr/>
        <w:t>Employment and retention (E</w:t>
      </w:r>
      <w:r>
        <w:rPr>
          <w:strike/>
        </w:rPr>
        <w:t>&amp;</w:t>
      </w:r>
      <w:r>
        <w:rPr>
          <w:strike w:val="0"/>
        </w:rPr>
        <w:t>R) services are not subject to financial status determination. E</w:t>
      </w:r>
      <w:r>
        <w:rPr>
          <w:strike/>
        </w:rPr>
        <w:t>&amp;</w:t>
      </w:r>
      <w:r>
        <w:rPr>
          <w:strike w:val="0"/>
        </w:rPr>
        <w:t>R services are purchased from a qualified contractor with the Oklahoma Department of Rehabilitation Services and are provided by certified employment consultants or job coaches. Payment rates are established by the Commission</w:t>
      </w:r>
      <w:r>
        <w:rPr>
          <w:strike w:val="0"/>
          <w:spacing w:val="-4"/>
        </w:rPr>
        <w:t> </w:t>
      </w:r>
      <w:r>
        <w:rPr>
          <w:strike w:val="0"/>
        </w:rPr>
        <w:t>for</w:t>
      </w:r>
      <w:r>
        <w:rPr>
          <w:strike w:val="0"/>
          <w:spacing w:val="-3"/>
        </w:rPr>
        <w:t> </w:t>
      </w:r>
      <w:r>
        <w:rPr>
          <w:strike w:val="0"/>
        </w:rPr>
        <w:t>Rehabilitation</w:t>
      </w:r>
      <w:r>
        <w:rPr>
          <w:strike w:val="0"/>
          <w:spacing w:val="-4"/>
        </w:rPr>
        <w:t> </w:t>
      </w:r>
      <w:r>
        <w:rPr>
          <w:strike w:val="0"/>
        </w:rPr>
        <w:t>Services</w:t>
      </w:r>
      <w:r>
        <w:rPr>
          <w:strike w:val="0"/>
          <w:spacing w:val="-4"/>
        </w:rPr>
        <w:t> </w:t>
      </w:r>
      <w:r>
        <w:rPr>
          <w:strike w:val="0"/>
        </w:rPr>
        <w:t>and</w:t>
      </w:r>
      <w:r>
        <w:rPr>
          <w:strike w:val="0"/>
          <w:spacing w:val="-3"/>
        </w:rPr>
        <w:t> </w:t>
      </w:r>
      <w:r>
        <w:rPr>
          <w:strike w:val="0"/>
        </w:rPr>
        <w:t>are</w:t>
      </w:r>
      <w:r>
        <w:rPr>
          <w:strike w:val="0"/>
          <w:spacing w:val="-4"/>
        </w:rPr>
        <w:t> </w:t>
      </w:r>
      <w:r>
        <w:rPr>
          <w:strike w:val="0"/>
        </w:rPr>
        <w:t>based</w:t>
      </w:r>
      <w:r>
        <w:rPr>
          <w:strike w:val="0"/>
          <w:spacing w:val="-4"/>
        </w:rPr>
        <w:t> </w:t>
      </w:r>
      <w:r>
        <w:rPr>
          <w:strike w:val="0"/>
        </w:rPr>
        <w:t>on</w:t>
      </w:r>
      <w:r>
        <w:rPr>
          <w:strike w:val="0"/>
          <w:spacing w:val="-4"/>
        </w:rPr>
        <w:t> </w:t>
      </w:r>
      <w:r>
        <w:rPr>
          <w:strike w:val="0"/>
        </w:rPr>
        <w:t>a</w:t>
      </w:r>
      <w:r>
        <w:rPr>
          <w:strike w:val="0"/>
          <w:spacing w:val="-5"/>
        </w:rPr>
        <w:t> </w:t>
      </w:r>
      <w:r>
        <w:rPr>
          <w:strike w:val="0"/>
        </w:rPr>
        <w:t>milestone</w:t>
      </w:r>
      <w:r>
        <w:rPr>
          <w:strike w:val="0"/>
          <w:spacing w:val="-4"/>
        </w:rPr>
        <w:t> </w:t>
      </w:r>
      <w:r>
        <w:rPr>
          <w:strike w:val="0"/>
        </w:rPr>
        <w:t>delivery</w:t>
      </w:r>
      <w:r>
        <w:rPr>
          <w:strike w:val="0"/>
          <w:spacing w:val="-4"/>
        </w:rPr>
        <w:t> </w:t>
      </w:r>
      <w:r>
        <w:rPr>
          <w:strike w:val="0"/>
        </w:rPr>
        <w:t>system. </w:t>
      </w:r>
      <w:r>
        <w:rPr>
          <w:rFonts w:ascii="Calibri"/>
          <w:b/>
          <w:strike w:val="0"/>
          <w:sz w:val="22"/>
        </w:rPr>
        <w:t>1, 2</w:t>
      </w:r>
    </w:p>
    <w:p>
      <w:pPr>
        <w:pStyle w:val="BodyText"/>
        <w:spacing w:before="202"/>
      </w:pPr>
      <w:r>
        <w:rPr/>
        <w:t>Instructions</w:t>
      </w:r>
      <w:r>
        <w:rPr>
          <w:spacing w:val="-5"/>
        </w:rPr>
        <w:t> </w:t>
      </w:r>
      <w:r>
        <w:rPr/>
        <w:t>to</w:t>
      </w:r>
      <w:r>
        <w:rPr>
          <w:spacing w:val="-2"/>
        </w:rPr>
        <w:t> </w:t>
      </w:r>
      <w:r>
        <w:rPr>
          <w:spacing w:val="-4"/>
        </w:rPr>
        <w:t>Staff</w:t>
      </w:r>
    </w:p>
    <w:p>
      <w:pPr>
        <w:pStyle w:val="ListParagraph"/>
        <w:numPr>
          <w:ilvl w:val="0"/>
          <w:numId w:val="222"/>
        </w:numPr>
        <w:tabs>
          <w:tab w:pos="1259" w:val="left" w:leader="none"/>
        </w:tabs>
        <w:spacing w:line="240" w:lineRule="auto" w:before="204" w:after="0"/>
        <w:ind w:left="1259" w:right="0" w:hanging="539"/>
        <w:jc w:val="left"/>
        <w:rPr>
          <w:sz w:val="24"/>
        </w:rPr>
      </w:pPr>
      <w:r>
        <w:rPr>
          <w:sz w:val="24"/>
        </w:rPr>
        <w:t>Employment</w:t>
      </w:r>
      <w:r>
        <w:rPr>
          <w:spacing w:val="-3"/>
          <w:sz w:val="24"/>
        </w:rPr>
        <w:t> </w:t>
      </w:r>
      <w:r>
        <w:rPr>
          <w:sz w:val="24"/>
        </w:rPr>
        <w:t>and</w:t>
      </w:r>
      <w:r>
        <w:rPr>
          <w:spacing w:val="-4"/>
          <w:sz w:val="24"/>
        </w:rPr>
        <w:t> </w:t>
      </w:r>
      <w:r>
        <w:rPr>
          <w:sz w:val="24"/>
        </w:rPr>
        <w:t>Retention</w:t>
      </w:r>
      <w:r>
        <w:rPr>
          <w:spacing w:val="-4"/>
          <w:sz w:val="24"/>
        </w:rPr>
        <w:t> </w:t>
      </w:r>
      <w:r>
        <w:rPr>
          <w:sz w:val="24"/>
        </w:rPr>
        <w:t>services</w:t>
      </w:r>
      <w:r>
        <w:rPr>
          <w:spacing w:val="-3"/>
          <w:sz w:val="24"/>
        </w:rPr>
        <w:t> </w:t>
      </w:r>
      <w:r>
        <w:rPr>
          <w:spacing w:val="-2"/>
          <w:sz w:val="24"/>
        </w:rPr>
        <w:t>include:</w:t>
      </w:r>
    </w:p>
    <w:p>
      <w:pPr>
        <w:pStyle w:val="ListParagraph"/>
        <w:numPr>
          <w:ilvl w:val="1"/>
          <w:numId w:val="222"/>
        </w:numPr>
        <w:tabs>
          <w:tab w:pos="1676" w:val="left" w:leader="none"/>
        </w:tabs>
        <w:spacing w:line="208" w:lineRule="auto" w:before="233" w:after="0"/>
        <w:ind w:left="1223" w:right="1418" w:firstLine="0"/>
        <w:jc w:val="left"/>
        <w:rPr>
          <w:sz w:val="24"/>
        </w:rPr>
      </w:pPr>
      <w:r>
        <w:rPr>
          <w:sz w:val="24"/>
        </w:rPr>
        <w:t>Four Weeks Job Support -Retention - The individual has worked successfully</w:t>
      </w:r>
      <w:r>
        <w:rPr>
          <w:spacing w:val="-3"/>
          <w:sz w:val="24"/>
        </w:rPr>
        <w:t> </w:t>
      </w:r>
      <w:r>
        <w:rPr>
          <w:sz w:val="24"/>
        </w:rPr>
        <w:t>for</w:t>
      </w:r>
      <w:r>
        <w:rPr>
          <w:spacing w:val="-2"/>
          <w:sz w:val="24"/>
        </w:rPr>
        <w:t> </w:t>
      </w:r>
      <w:r>
        <w:rPr>
          <w:sz w:val="24"/>
        </w:rPr>
        <w:t>at</w:t>
      </w:r>
      <w:r>
        <w:rPr>
          <w:spacing w:val="-2"/>
          <w:sz w:val="24"/>
        </w:rPr>
        <w:t> </w:t>
      </w:r>
      <w:r>
        <w:rPr>
          <w:sz w:val="24"/>
        </w:rPr>
        <w:t>least</w:t>
      </w:r>
      <w:r>
        <w:rPr>
          <w:spacing w:val="-2"/>
          <w:sz w:val="24"/>
        </w:rPr>
        <w:t> </w:t>
      </w:r>
      <w:r>
        <w:rPr>
          <w:sz w:val="24"/>
        </w:rPr>
        <w:t>four</w:t>
      </w:r>
      <w:r>
        <w:rPr>
          <w:spacing w:val="-4"/>
          <w:sz w:val="24"/>
        </w:rPr>
        <w:t> </w:t>
      </w:r>
      <w:r>
        <w:rPr>
          <w:sz w:val="24"/>
        </w:rPr>
        <w:t>(4)</w:t>
      </w:r>
      <w:r>
        <w:rPr>
          <w:spacing w:val="-5"/>
          <w:sz w:val="24"/>
        </w:rPr>
        <w:t> </w:t>
      </w:r>
      <w:r>
        <w:rPr>
          <w:sz w:val="24"/>
        </w:rPr>
        <w:t>weeks,</w:t>
      </w:r>
      <w:r>
        <w:rPr>
          <w:spacing w:val="-2"/>
          <w:sz w:val="24"/>
        </w:rPr>
        <w:t> </w:t>
      </w:r>
      <w:r>
        <w:rPr>
          <w:sz w:val="24"/>
        </w:rPr>
        <w:t>beginning</w:t>
      </w:r>
      <w:r>
        <w:rPr>
          <w:spacing w:val="-3"/>
          <w:sz w:val="24"/>
        </w:rPr>
        <w:t> </w:t>
      </w:r>
      <w:r>
        <w:rPr>
          <w:sz w:val="24"/>
        </w:rPr>
        <w:t>with</w:t>
      </w:r>
      <w:r>
        <w:rPr>
          <w:spacing w:val="-2"/>
          <w:sz w:val="24"/>
        </w:rPr>
        <w:t> </w:t>
      </w:r>
      <w:r>
        <w:rPr>
          <w:sz w:val="24"/>
        </w:rPr>
        <w:t>the</w:t>
      </w:r>
      <w:r>
        <w:rPr>
          <w:spacing w:val="-3"/>
          <w:sz w:val="24"/>
        </w:rPr>
        <w:t> </w:t>
      </w:r>
      <w:r>
        <w:rPr>
          <w:sz w:val="24"/>
        </w:rPr>
        <w:t>first</w:t>
      </w:r>
      <w:r>
        <w:rPr>
          <w:spacing w:val="-4"/>
          <w:sz w:val="24"/>
        </w:rPr>
        <w:t> </w:t>
      </w:r>
      <w:r>
        <w:rPr>
          <w:sz w:val="24"/>
        </w:rPr>
        <w:t>(1</w:t>
      </w:r>
      <w:r>
        <w:rPr>
          <w:sz w:val="24"/>
          <w:vertAlign w:val="superscript"/>
        </w:rPr>
        <w:t>st</w:t>
      </w:r>
      <w:r>
        <w:rPr>
          <w:sz w:val="24"/>
          <w:vertAlign w:val="baseline"/>
        </w:rPr>
        <w:t>)</w:t>
      </w:r>
      <w:r>
        <w:rPr>
          <w:spacing w:val="-2"/>
          <w:sz w:val="24"/>
          <w:vertAlign w:val="baseline"/>
        </w:rPr>
        <w:t> </w:t>
      </w:r>
      <w:r>
        <w:rPr>
          <w:sz w:val="24"/>
          <w:vertAlign w:val="baseline"/>
        </w:rPr>
        <w:t>day</w:t>
      </w:r>
      <w:r>
        <w:rPr>
          <w:spacing w:val="-3"/>
          <w:sz w:val="24"/>
          <w:vertAlign w:val="baseline"/>
        </w:rPr>
        <w:t> </w:t>
      </w:r>
      <w:r>
        <w:rPr>
          <w:sz w:val="24"/>
          <w:vertAlign w:val="baseline"/>
        </w:rPr>
        <w:t>of employment, and has received all appropriate services.</w:t>
      </w:r>
    </w:p>
    <w:p>
      <w:pPr>
        <w:pStyle w:val="ListParagraph"/>
        <w:numPr>
          <w:ilvl w:val="1"/>
          <w:numId w:val="222"/>
        </w:numPr>
        <w:tabs>
          <w:tab w:pos="1676" w:val="left" w:leader="none"/>
        </w:tabs>
        <w:spacing w:line="208" w:lineRule="auto" w:before="240" w:after="0"/>
        <w:ind w:left="1223" w:right="875" w:firstLine="0"/>
        <w:jc w:val="left"/>
        <w:rPr>
          <w:sz w:val="24"/>
        </w:rPr>
      </w:pPr>
      <w:r>
        <w:rPr>
          <w:sz w:val="24"/>
        </w:rPr>
        <w:t>Successful Employment Milestone (EM) (90 additional calendar days beyond</w:t>
      </w:r>
      <w:r>
        <w:rPr>
          <w:spacing w:val="-4"/>
          <w:sz w:val="24"/>
        </w:rPr>
        <w:t> </w:t>
      </w:r>
      <w:r>
        <w:rPr>
          <w:sz w:val="24"/>
        </w:rPr>
        <w:t>completion</w:t>
      </w:r>
      <w:r>
        <w:rPr>
          <w:spacing w:val="-4"/>
          <w:sz w:val="24"/>
        </w:rPr>
        <w:t> </w:t>
      </w:r>
      <w:r>
        <w:rPr>
          <w:sz w:val="24"/>
        </w:rPr>
        <w:t>of</w:t>
      </w:r>
      <w:r>
        <w:rPr>
          <w:spacing w:val="-3"/>
          <w:sz w:val="24"/>
        </w:rPr>
        <w:t> </w:t>
      </w:r>
      <w:r>
        <w:rPr>
          <w:sz w:val="24"/>
        </w:rPr>
        <w:t>ER</w:t>
      </w:r>
      <w:r>
        <w:rPr>
          <w:spacing w:val="-4"/>
          <w:sz w:val="24"/>
        </w:rPr>
        <w:t> </w:t>
      </w:r>
      <w:r>
        <w:rPr>
          <w:sz w:val="24"/>
        </w:rPr>
        <w:t>R4</w:t>
      </w:r>
      <w:r>
        <w:rPr>
          <w:spacing w:val="-4"/>
          <w:sz w:val="24"/>
        </w:rPr>
        <w:t> </w:t>
      </w:r>
      <w:r>
        <w:rPr>
          <w:sz w:val="24"/>
        </w:rPr>
        <w:t>Milestone)</w:t>
      </w:r>
      <w:r>
        <w:rPr>
          <w:spacing w:val="-3"/>
          <w:sz w:val="24"/>
        </w:rPr>
        <w:t> </w:t>
      </w:r>
      <w:r>
        <w:rPr>
          <w:sz w:val="24"/>
        </w:rPr>
        <w:t>-</w:t>
      </w:r>
      <w:r>
        <w:rPr>
          <w:spacing w:val="-4"/>
          <w:sz w:val="24"/>
        </w:rPr>
        <w:t> </w:t>
      </w:r>
      <w:r>
        <w:rPr>
          <w:sz w:val="24"/>
        </w:rPr>
        <w:t>The</w:t>
      </w:r>
      <w:r>
        <w:rPr>
          <w:spacing w:val="-4"/>
          <w:sz w:val="24"/>
        </w:rPr>
        <w:t> </w:t>
      </w:r>
      <w:r>
        <w:rPr>
          <w:sz w:val="24"/>
        </w:rPr>
        <w:t>individual</w:t>
      </w:r>
      <w:r>
        <w:rPr>
          <w:spacing w:val="-4"/>
          <w:sz w:val="24"/>
        </w:rPr>
        <w:t> </w:t>
      </w:r>
      <w:r>
        <w:rPr>
          <w:sz w:val="24"/>
        </w:rPr>
        <w:t>has</w:t>
      </w:r>
      <w:r>
        <w:rPr>
          <w:spacing w:val="-4"/>
          <w:sz w:val="24"/>
        </w:rPr>
        <w:t> </w:t>
      </w:r>
      <w:r>
        <w:rPr>
          <w:sz w:val="24"/>
        </w:rPr>
        <w:t>been</w:t>
      </w:r>
      <w:r>
        <w:rPr>
          <w:spacing w:val="-4"/>
          <w:sz w:val="24"/>
        </w:rPr>
        <w:t> </w:t>
      </w:r>
      <w:r>
        <w:rPr>
          <w:sz w:val="24"/>
        </w:rPr>
        <w:t>employed</w:t>
      </w:r>
      <w:r>
        <w:rPr>
          <w:spacing w:val="-4"/>
          <w:sz w:val="24"/>
        </w:rPr>
        <w:t> </w:t>
      </w:r>
      <w:r>
        <w:rPr>
          <w:sz w:val="24"/>
        </w:rPr>
        <w:t>in a permanent job and has worked a minimum of ninety (90) calendar days beyond completion of the R4 Milestone. The Contractor has provided all appropriate training and support services. The individual is satisfied with the </w:t>
      </w:r>
      <w:r>
        <w:rPr>
          <w:spacing w:val="-4"/>
          <w:sz w:val="24"/>
        </w:rPr>
        <w:t>job.</w:t>
      </w:r>
    </w:p>
    <w:p>
      <w:pPr>
        <w:pStyle w:val="ListParagraph"/>
        <w:numPr>
          <w:ilvl w:val="0"/>
          <w:numId w:val="222"/>
        </w:numPr>
        <w:tabs>
          <w:tab w:pos="1259" w:val="left" w:leader="none"/>
        </w:tabs>
        <w:spacing w:line="240" w:lineRule="auto" w:before="244" w:after="0"/>
        <w:ind w:left="1259" w:right="0" w:hanging="449"/>
        <w:jc w:val="left"/>
        <w:rPr>
          <w:sz w:val="24"/>
        </w:rPr>
      </w:pPr>
      <w:r>
        <w:rPr>
          <w:sz w:val="24"/>
        </w:rPr>
        <w:t>All</w:t>
      </w:r>
      <w:r>
        <w:rPr>
          <w:spacing w:val="-6"/>
          <w:sz w:val="24"/>
        </w:rPr>
        <w:t> </w:t>
      </w:r>
      <w:r>
        <w:rPr>
          <w:sz w:val="24"/>
        </w:rPr>
        <w:t>employment</w:t>
      </w:r>
      <w:r>
        <w:rPr>
          <w:spacing w:val="-2"/>
          <w:sz w:val="24"/>
        </w:rPr>
        <w:t> </w:t>
      </w:r>
      <w:r>
        <w:rPr>
          <w:sz w:val="24"/>
        </w:rPr>
        <w:t>and</w:t>
      </w:r>
      <w:r>
        <w:rPr>
          <w:spacing w:val="-3"/>
          <w:sz w:val="24"/>
        </w:rPr>
        <w:t> </w:t>
      </w:r>
      <w:r>
        <w:rPr>
          <w:sz w:val="24"/>
        </w:rPr>
        <w:t>retention</w:t>
      </w:r>
      <w:r>
        <w:rPr>
          <w:spacing w:val="-3"/>
          <w:sz w:val="24"/>
        </w:rPr>
        <w:t> </w:t>
      </w:r>
      <w:r>
        <w:rPr>
          <w:sz w:val="24"/>
        </w:rPr>
        <w:t>services</w:t>
      </w:r>
      <w:r>
        <w:rPr>
          <w:spacing w:val="-3"/>
          <w:sz w:val="24"/>
        </w:rPr>
        <w:t> </w:t>
      </w:r>
      <w:r>
        <w:rPr>
          <w:sz w:val="24"/>
        </w:rPr>
        <w:t>must</w:t>
      </w:r>
      <w:r>
        <w:rPr>
          <w:spacing w:val="-4"/>
          <w:sz w:val="24"/>
        </w:rPr>
        <w:t> </w:t>
      </w:r>
      <w:r>
        <w:rPr>
          <w:sz w:val="24"/>
        </w:rPr>
        <w:t>be</w:t>
      </w:r>
      <w:r>
        <w:rPr>
          <w:spacing w:val="-3"/>
          <w:sz w:val="24"/>
        </w:rPr>
        <w:t> </w:t>
      </w:r>
      <w:r>
        <w:rPr>
          <w:sz w:val="24"/>
        </w:rPr>
        <w:t>pre-</w:t>
      </w:r>
      <w:r>
        <w:rPr>
          <w:spacing w:val="-2"/>
          <w:sz w:val="24"/>
        </w:rPr>
        <w:t>authorized.</w:t>
      </w:r>
    </w:p>
    <w:p>
      <w:pPr>
        <w:pStyle w:val="BodyText"/>
        <w:spacing w:line="259" w:lineRule="auto" w:before="182"/>
        <w:ind w:left="1260" w:right="775"/>
      </w:pPr>
      <w:r>
        <w:rPr/>
        <w:t>Please refer to the Employment Support Services webpage from the OKDRS website</w:t>
      </w:r>
      <w:r>
        <w:rPr>
          <w:spacing w:val="-5"/>
        </w:rPr>
        <w:t> </w:t>
      </w:r>
      <w:r>
        <w:rPr/>
        <w:t>located</w:t>
      </w:r>
      <w:r>
        <w:rPr>
          <w:spacing w:val="-5"/>
        </w:rPr>
        <w:t> </w:t>
      </w:r>
      <w:r>
        <w:rPr/>
        <w:t>at</w:t>
      </w:r>
      <w:r>
        <w:rPr>
          <w:spacing w:val="-4"/>
        </w:rPr>
        <w:t> </w:t>
      </w:r>
      <w:hyperlink r:id="rId51">
        <w:r>
          <w:rPr>
            <w:color w:val="0562C1"/>
            <w:u w:val="single" w:color="0562C1"/>
          </w:rPr>
          <w:t>https://www.okdrs.gov/ESS/ERC</w:t>
        </w:r>
      </w:hyperlink>
      <w:r>
        <w:rPr>
          <w:color w:val="0562C1"/>
          <w:spacing w:val="-5"/>
          <w:u w:val="none"/>
        </w:rPr>
        <w:t> </w:t>
      </w:r>
      <w:r>
        <w:rPr>
          <w:u w:val="none"/>
        </w:rPr>
        <w:t>to</w:t>
      </w:r>
      <w:r>
        <w:rPr>
          <w:spacing w:val="-5"/>
          <w:u w:val="none"/>
        </w:rPr>
        <w:t> </w:t>
      </w:r>
      <w:r>
        <w:rPr>
          <w:u w:val="none"/>
        </w:rPr>
        <w:t>access</w:t>
      </w:r>
      <w:r>
        <w:rPr>
          <w:spacing w:val="-5"/>
          <w:u w:val="none"/>
        </w:rPr>
        <w:t> </w:t>
      </w:r>
      <w:r>
        <w:rPr>
          <w:u w:val="none"/>
        </w:rPr>
        <w:t>the</w:t>
      </w:r>
      <w:r>
        <w:rPr>
          <w:spacing w:val="-6"/>
          <w:u w:val="none"/>
        </w:rPr>
        <w:t> </w:t>
      </w:r>
      <w:r>
        <w:rPr>
          <w:u w:val="none"/>
        </w:rPr>
        <w:t>ER</w:t>
      </w:r>
      <w:r>
        <w:rPr>
          <w:spacing w:val="-5"/>
          <w:u w:val="none"/>
        </w:rPr>
        <w:t> </w:t>
      </w:r>
      <w:r>
        <w:rPr>
          <w:u w:val="none"/>
        </w:rPr>
        <w:t>contract and for Milestone/Service categories, rates, required documentation for payment, and other contract information.</w:t>
      </w:r>
    </w:p>
    <w:p>
      <w:pPr>
        <w:spacing w:before="15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1"/>
        <w:ind w:left="360" w:right="0" w:firstLine="0"/>
        <w:jc w:val="left"/>
        <w:rPr>
          <w:sz w:val="22"/>
        </w:rPr>
      </w:pPr>
      <w:r>
        <w:rPr>
          <w:spacing w:val="-2"/>
          <w:sz w:val="22"/>
        </w:rPr>
        <w:t>7-1-</w:t>
      </w:r>
      <w:r>
        <w:rPr>
          <w:spacing w:val="-5"/>
          <w:sz w:val="22"/>
        </w:rPr>
        <w:t>03</w:t>
      </w:r>
      <w:r>
        <w:rPr>
          <w:sz w:val="22"/>
        </w:rPr>
        <w:tab/>
        <w:t>PT</w:t>
      </w:r>
      <w:r>
        <w:rPr>
          <w:spacing w:val="-8"/>
          <w:sz w:val="22"/>
        </w:rPr>
        <w:t> </w:t>
      </w:r>
      <w:r>
        <w:rPr>
          <w:sz w:val="22"/>
        </w:rPr>
        <w:t>Memo</w:t>
      </w:r>
      <w:r>
        <w:rPr>
          <w:spacing w:val="-8"/>
          <w:sz w:val="22"/>
        </w:rPr>
        <w:t> </w:t>
      </w:r>
      <w:r>
        <w:rPr>
          <w:sz w:val="22"/>
        </w:rPr>
        <w:t>#03-</w:t>
      </w:r>
      <w:r>
        <w:rPr>
          <w:spacing w:val="-5"/>
          <w:sz w:val="22"/>
        </w:rPr>
        <w:t>07</w:t>
      </w:r>
    </w:p>
    <w:p>
      <w:pPr>
        <w:tabs>
          <w:tab w:pos="1439" w:val="left" w:leader="none"/>
        </w:tabs>
        <w:spacing w:before="0"/>
        <w:ind w:left="360" w:right="6636"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7-1-05</w:t>
      </w:r>
      <w:r>
        <w:rPr>
          <w:sz w:val="22"/>
        </w:rPr>
        <w:tab/>
        <w:t>PT Memo #06-01</w:t>
      </w:r>
    </w:p>
    <w:p>
      <w:pPr>
        <w:tabs>
          <w:tab w:pos="1439" w:val="left" w:leader="none"/>
        </w:tabs>
        <w:spacing w:before="0"/>
        <w:ind w:left="360" w:right="5023" w:firstLine="1080"/>
        <w:jc w:val="left"/>
        <w:rPr>
          <w:sz w:val="22"/>
        </w:rPr>
      </w:pPr>
      <w:r>
        <w:rPr>
          <w:sz w:val="22"/>
        </w:rPr>
        <w:t>Permanent,</w:t>
      </w:r>
      <w:r>
        <w:rPr>
          <w:spacing w:val="-9"/>
          <w:sz w:val="22"/>
        </w:rPr>
        <w:t> </w:t>
      </w:r>
      <w:r>
        <w:rPr>
          <w:sz w:val="22"/>
        </w:rPr>
        <w:t>general</w:t>
      </w:r>
      <w:r>
        <w:rPr>
          <w:spacing w:val="-10"/>
          <w:sz w:val="22"/>
        </w:rPr>
        <w:t> </w:t>
      </w:r>
      <w:r>
        <w:rPr>
          <w:sz w:val="22"/>
        </w:rPr>
        <w:t>cleanup</w:t>
      </w:r>
      <w:r>
        <w:rPr>
          <w:spacing w:val="-10"/>
          <w:sz w:val="22"/>
        </w:rPr>
        <w:t> </w:t>
      </w:r>
      <w:r>
        <w:rPr>
          <w:sz w:val="22"/>
        </w:rPr>
        <w:t>of</w:t>
      </w:r>
      <w:r>
        <w:rPr>
          <w:spacing w:val="-10"/>
          <w:sz w:val="22"/>
        </w:rPr>
        <w:t> </w:t>
      </w:r>
      <w:r>
        <w:rPr>
          <w:sz w:val="22"/>
        </w:rPr>
        <w:t>language </w:t>
      </w:r>
      <w:r>
        <w:rPr>
          <w:spacing w:val="-2"/>
          <w:sz w:val="22"/>
        </w:rPr>
        <w:t>7-1-11</w:t>
      </w:r>
      <w:r>
        <w:rPr>
          <w:sz w:val="22"/>
        </w:rPr>
        <w:tab/>
        <w:t>PT Memo #12-01</w:t>
      </w:r>
    </w:p>
    <w:p>
      <w:pPr>
        <w:spacing w:line="252" w:lineRule="exact" w:before="0"/>
        <w:ind w:left="1439" w:right="0" w:firstLine="0"/>
        <w:jc w:val="left"/>
        <w:rPr>
          <w:sz w:val="22"/>
        </w:rPr>
      </w:pPr>
      <w:r>
        <w:rPr>
          <w:sz w:val="22"/>
        </w:rPr>
        <w:t>Permanent,</w:t>
      </w:r>
      <w:r>
        <w:rPr>
          <w:spacing w:val="-8"/>
          <w:sz w:val="22"/>
        </w:rPr>
        <w:t> </w:t>
      </w:r>
      <w:r>
        <w:rPr>
          <w:sz w:val="22"/>
        </w:rPr>
        <w:t>moved</w:t>
      </w:r>
      <w:r>
        <w:rPr>
          <w:spacing w:val="-8"/>
          <w:sz w:val="22"/>
        </w:rPr>
        <w:t> </w:t>
      </w:r>
      <w:r>
        <w:rPr>
          <w:sz w:val="22"/>
        </w:rPr>
        <w:t>procedures</w:t>
      </w:r>
      <w:r>
        <w:rPr>
          <w:spacing w:val="-9"/>
          <w:sz w:val="22"/>
        </w:rPr>
        <w:t> </w:t>
      </w:r>
      <w:r>
        <w:rPr>
          <w:sz w:val="22"/>
        </w:rPr>
        <w:t>to</w:t>
      </w:r>
      <w:r>
        <w:rPr>
          <w:spacing w:val="-8"/>
          <w:sz w:val="22"/>
        </w:rPr>
        <w:t> </w:t>
      </w:r>
      <w:r>
        <w:rPr>
          <w:spacing w:val="-4"/>
          <w:sz w:val="22"/>
        </w:rPr>
        <w:t>ITS.</w:t>
      </w:r>
    </w:p>
    <w:p>
      <w:pPr>
        <w:tabs>
          <w:tab w:pos="1439" w:val="left" w:leader="none"/>
        </w:tabs>
        <w:spacing w:before="1"/>
        <w:ind w:left="359" w:right="0" w:firstLine="0"/>
        <w:jc w:val="left"/>
        <w:rPr>
          <w:sz w:val="22"/>
        </w:rPr>
      </w:pPr>
      <w:r>
        <w:rPr>
          <w:spacing w:val="-2"/>
          <w:sz w:val="22"/>
        </w:rPr>
        <w:t>8-11-</w:t>
      </w:r>
      <w:r>
        <w:rPr>
          <w:spacing w:val="-5"/>
          <w:sz w:val="22"/>
        </w:rPr>
        <w:t>24</w:t>
      </w:r>
      <w:r>
        <w:rPr>
          <w:sz w:val="22"/>
        </w:rPr>
        <w:tab/>
        <w:t>Revised</w:t>
      </w:r>
      <w:r>
        <w:rPr>
          <w:spacing w:val="-10"/>
          <w:sz w:val="22"/>
        </w:rPr>
        <w:t> </w:t>
      </w:r>
      <w:r>
        <w:rPr>
          <w:sz w:val="22"/>
        </w:rPr>
        <w:t>language</w:t>
      </w:r>
      <w:r>
        <w:rPr>
          <w:spacing w:val="-9"/>
          <w:sz w:val="22"/>
        </w:rPr>
        <w:t> </w:t>
      </w:r>
      <w:r>
        <w:rPr>
          <w:sz w:val="22"/>
        </w:rPr>
        <w:t>revoking</w:t>
      </w:r>
      <w:r>
        <w:rPr>
          <w:spacing w:val="-9"/>
          <w:sz w:val="22"/>
        </w:rPr>
        <w:t> </w:t>
      </w:r>
      <w:r>
        <w:rPr>
          <w:sz w:val="22"/>
        </w:rPr>
        <w:t>“vendor”</w:t>
      </w:r>
      <w:r>
        <w:rPr>
          <w:spacing w:val="-11"/>
          <w:sz w:val="22"/>
        </w:rPr>
        <w:t> </w:t>
      </w:r>
      <w:r>
        <w:rPr>
          <w:sz w:val="22"/>
        </w:rPr>
        <w:t>replacing</w:t>
      </w:r>
      <w:r>
        <w:rPr>
          <w:spacing w:val="-9"/>
          <w:sz w:val="22"/>
        </w:rPr>
        <w:t> </w:t>
      </w:r>
      <w:r>
        <w:rPr>
          <w:sz w:val="22"/>
        </w:rPr>
        <w:t>with</w:t>
      </w:r>
      <w:r>
        <w:rPr>
          <w:spacing w:val="-9"/>
          <w:sz w:val="22"/>
        </w:rPr>
        <w:t> </w:t>
      </w:r>
      <w:r>
        <w:rPr>
          <w:sz w:val="22"/>
        </w:rPr>
        <w:t>“contractor”.</w:t>
      </w:r>
      <w:r>
        <w:rPr>
          <w:spacing w:val="-10"/>
          <w:sz w:val="22"/>
        </w:rPr>
        <w:t> </w:t>
      </w:r>
      <w:r>
        <w:rPr>
          <w:sz w:val="22"/>
        </w:rPr>
        <w:t>Clarifying</w:t>
      </w:r>
      <w:r>
        <w:rPr>
          <w:spacing w:val="-10"/>
          <w:sz w:val="22"/>
        </w:rPr>
        <w:t> </w:t>
      </w:r>
      <w:r>
        <w:rPr>
          <w:spacing w:val="-2"/>
          <w:sz w:val="22"/>
        </w:rPr>
        <w:t>language.</w:t>
      </w:r>
    </w:p>
    <w:p>
      <w:pPr>
        <w:spacing w:after="0"/>
        <w:jc w:val="left"/>
        <w:rPr>
          <w:sz w:val="22"/>
        </w:rPr>
        <w:sectPr>
          <w:pgSz w:w="12240" w:h="15840"/>
          <w:pgMar w:top="1340" w:bottom="280" w:left="1080" w:right="720"/>
        </w:sectPr>
      </w:pPr>
    </w:p>
    <w:p>
      <w:pPr>
        <w:pStyle w:val="Heading2"/>
      </w:pPr>
      <w:bookmarkStart w:name="612:10-7-189.  Competitive integrated em" w:id="205"/>
      <w:bookmarkEnd w:id="205"/>
      <w:r>
        <w:rPr>
          <w:b w:val="0"/>
        </w:rPr>
      </w:r>
      <w:r>
        <w:rPr/>
        <w:t>612:10-7-189.</w:t>
      </w:r>
      <w:r>
        <w:rPr>
          <w:spacing w:val="55"/>
        </w:rPr>
        <w:t> </w:t>
      </w:r>
      <w:r>
        <w:rPr/>
        <w:t>Competitive</w:t>
      </w:r>
      <w:r>
        <w:rPr>
          <w:spacing w:val="-5"/>
        </w:rPr>
        <w:t> </w:t>
      </w:r>
      <w:r>
        <w:rPr/>
        <w:t>integrated</w:t>
      </w:r>
      <w:r>
        <w:rPr>
          <w:spacing w:val="-4"/>
        </w:rPr>
        <w:t> </w:t>
      </w:r>
      <w:r>
        <w:rPr/>
        <w:t>employment</w:t>
      </w:r>
      <w:r>
        <w:rPr>
          <w:spacing w:val="-5"/>
        </w:rPr>
        <w:t> </w:t>
      </w:r>
      <w:r>
        <w:rPr/>
        <w:t>for</w:t>
      </w:r>
      <w:r>
        <w:rPr>
          <w:spacing w:val="-4"/>
        </w:rPr>
        <w:t> </w:t>
      </w:r>
      <w:r>
        <w:rPr/>
        <w:t>Employment</w:t>
      </w:r>
      <w:r>
        <w:rPr>
          <w:spacing w:val="-4"/>
        </w:rPr>
        <w:t> </w:t>
      </w:r>
      <w:r>
        <w:rPr/>
        <w:t>and</w:t>
      </w:r>
      <w:r>
        <w:rPr>
          <w:spacing w:val="-5"/>
        </w:rPr>
        <w:t> </w:t>
      </w:r>
      <w:r>
        <w:rPr>
          <w:spacing w:val="-2"/>
        </w:rPr>
        <w:t>Retention</w:t>
      </w:r>
    </w:p>
    <w:p>
      <w:pPr>
        <w:pStyle w:val="BodyText"/>
        <w:spacing w:line="208" w:lineRule="auto" w:before="233"/>
        <w:ind w:left="359" w:right="775" w:firstLine="720"/>
        <w:rPr>
          <w:rFonts w:ascii="Calibri"/>
          <w:b/>
          <w:sz w:val="22"/>
        </w:rPr>
      </w:pPr>
      <w:r>
        <w:rPr/>
        <w:t>Competitive integrated employment for individuals receiving Employment and Retention</w:t>
      </w:r>
      <w:r>
        <w:rPr>
          <w:spacing w:val="-4"/>
        </w:rPr>
        <w:t> </w:t>
      </w:r>
      <w:r>
        <w:rPr/>
        <w:t>services</w:t>
      </w:r>
      <w:r>
        <w:rPr>
          <w:spacing w:val="-4"/>
        </w:rPr>
        <w:t> </w:t>
      </w:r>
      <w:r>
        <w:rPr/>
        <w:t>is</w:t>
      </w:r>
      <w:r>
        <w:rPr>
          <w:spacing w:val="-4"/>
        </w:rPr>
        <w:t> </w:t>
      </w:r>
      <w:r>
        <w:rPr/>
        <w:t>defined</w:t>
      </w:r>
      <w:r>
        <w:rPr>
          <w:spacing w:val="-4"/>
        </w:rPr>
        <w:t> </w:t>
      </w:r>
      <w:r>
        <w:rPr/>
        <w:t>as</w:t>
      </w:r>
      <w:r>
        <w:rPr>
          <w:spacing w:val="-4"/>
        </w:rPr>
        <w:t> </w:t>
      </w:r>
      <w:r>
        <w:rPr/>
        <w:t>employment</w:t>
      </w:r>
      <w:r>
        <w:rPr>
          <w:spacing w:val="-3"/>
        </w:rPr>
        <w:t> </w:t>
      </w:r>
      <w:r>
        <w:rPr/>
        <w:t>performed</w:t>
      </w:r>
      <w:r>
        <w:rPr>
          <w:spacing w:val="-5"/>
        </w:rPr>
        <w:t> </w:t>
      </w:r>
      <w:r>
        <w:rPr/>
        <w:t>on</w:t>
      </w:r>
      <w:r>
        <w:rPr>
          <w:spacing w:val="-4"/>
        </w:rPr>
        <w:t> </w:t>
      </w:r>
      <w:r>
        <w:rPr/>
        <w:t>a</w:t>
      </w:r>
      <w:r>
        <w:rPr>
          <w:spacing w:val="-4"/>
        </w:rPr>
        <w:t> </w:t>
      </w:r>
      <w:r>
        <w:rPr/>
        <w:t>full-time</w:t>
      </w:r>
      <w:r>
        <w:rPr>
          <w:spacing w:val="-4"/>
        </w:rPr>
        <w:t> </w:t>
      </w:r>
      <w:r>
        <w:rPr/>
        <w:t>or</w:t>
      </w:r>
      <w:r>
        <w:rPr>
          <w:spacing w:val="-3"/>
        </w:rPr>
        <w:t> </w:t>
      </w:r>
      <w:r>
        <w:rPr/>
        <w:t>part-time</w:t>
      </w:r>
      <w:r>
        <w:rPr>
          <w:spacing w:val="-4"/>
        </w:rPr>
        <w:t> </w:t>
      </w:r>
      <w:r>
        <w:rPr/>
        <w:t>basis in an integrated setting, consistent with the strengths, resources, priorities, concerns, abilities, capabilities, interests, and informed choice of the individual. The individual is compensated at or above minimum wage, but not less than the customary or usual wage paid by the employer for the same or similar work performed by individuals who are not disabled. (See </w:t>
      </w:r>
      <w:r>
        <w:rPr>
          <w:sz w:val="23"/>
        </w:rPr>
        <w:t>34 CFR 361.5(c)(9)). </w:t>
      </w:r>
      <w:r>
        <w:rPr/>
        <w:t>Wages must be paid by the employer instead of the contractor, unless the contractor is the employer of record, and the wage meets the ONET median hourly wage, </w:t>
      </w:r>
      <w:hyperlink r:id="rId56">
        <w:r>
          <w:rPr>
            <w:color w:val="0000FF"/>
            <w:u w:val="single" w:color="0000FF"/>
          </w:rPr>
          <w:t>www.onetonline.org</w:t>
        </w:r>
      </w:hyperlink>
      <w:r>
        <w:rPr>
          <w:color w:val="0000FF"/>
          <w:u w:val="none"/>
        </w:rPr>
        <w:t> </w:t>
      </w:r>
      <w:r>
        <w:rPr>
          <w:u w:val="none"/>
        </w:rPr>
        <w:t>for the type of job and location of the job. </w:t>
      </w:r>
      <w:r>
        <w:rPr>
          <w:rFonts w:ascii="Calibri"/>
          <w:b/>
          <w:sz w:val="22"/>
          <w:u w:val="none"/>
        </w:rPr>
        <w:t>1</w:t>
      </w:r>
    </w:p>
    <w:p>
      <w:pPr>
        <w:spacing w:before="220"/>
        <w:ind w:left="360" w:right="0" w:firstLine="0"/>
        <w:jc w:val="left"/>
        <w:rPr>
          <w:sz w:val="22"/>
        </w:rPr>
      </w:pPr>
      <w:r>
        <w:rPr>
          <w:sz w:val="22"/>
        </w:rPr>
        <w:t>Instructions</w:t>
      </w:r>
      <w:r>
        <w:rPr>
          <w:spacing w:val="-8"/>
          <w:sz w:val="22"/>
        </w:rPr>
        <w:t> </w:t>
      </w:r>
      <w:r>
        <w:rPr>
          <w:sz w:val="22"/>
        </w:rPr>
        <w:t>to</w:t>
      </w:r>
      <w:r>
        <w:rPr>
          <w:spacing w:val="-8"/>
          <w:sz w:val="22"/>
        </w:rPr>
        <w:t> </w:t>
      </w:r>
      <w:r>
        <w:rPr>
          <w:spacing w:val="-2"/>
          <w:sz w:val="22"/>
        </w:rPr>
        <w:t>Staff</w:t>
      </w:r>
    </w:p>
    <w:p>
      <w:pPr>
        <w:pStyle w:val="BodyText"/>
        <w:spacing w:before="208"/>
        <w:ind w:left="791"/>
      </w:pPr>
      <w:r>
        <w:rPr/>
        <w:t>1.</w:t>
      </w:r>
      <w:r>
        <w:rPr>
          <w:spacing w:val="17"/>
        </w:rPr>
        <w:t> </w:t>
      </w:r>
      <w:r>
        <w:rPr/>
        <w:t>See</w:t>
      </w:r>
      <w:r>
        <w:rPr>
          <w:spacing w:val="-2"/>
        </w:rPr>
        <w:t> </w:t>
      </w:r>
      <w:hyperlink w:history="true" w:anchor="_bookmark2">
        <w:r>
          <w:rPr>
            <w:color w:val="0000FF"/>
            <w:u w:val="single" w:color="0000FF"/>
          </w:rPr>
          <w:t>612:10-1-2</w:t>
        </w:r>
      </w:hyperlink>
      <w:r>
        <w:rPr>
          <w:color w:val="0000FF"/>
          <w:spacing w:val="-2"/>
          <w:u w:val="none"/>
        </w:rPr>
        <w:t> </w:t>
      </w:r>
      <w:r>
        <w:rPr>
          <w:color w:val="1F4E79"/>
          <w:spacing w:val="-2"/>
          <w:u w:val="none"/>
        </w:rPr>
        <w:t>Definitions</w:t>
      </w:r>
    </w:p>
    <w:p>
      <w:pPr>
        <w:spacing w:line="276" w:lineRule="auto" w:before="238"/>
        <w:ind w:left="1079" w:right="855" w:firstLine="0"/>
        <w:jc w:val="left"/>
        <w:rPr>
          <w:sz w:val="24"/>
        </w:rPr>
      </w:pPr>
      <w:r>
        <w:rPr>
          <w:sz w:val="24"/>
        </w:rPr>
        <w:t>An individual receiving supported employment services may not become an employee of the Contractor or any business owned by the Contractor or their employees, </w:t>
      </w:r>
      <w:r>
        <w:rPr>
          <w:b/>
          <w:sz w:val="24"/>
        </w:rPr>
        <w:t>unless </w:t>
      </w:r>
      <w:r>
        <w:rPr>
          <w:sz w:val="24"/>
        </w:rPr>
        <w:t>the individual receives compensation at no less than the median hourly wage for the </w:t>
      </w:r>
      <w:r>
        <w:rPr>
          <w:b/>
          <w:sz w:val="24"/>
        </w:rPr>
        <w:t>region or city </w:t>
      </w:r>
      <w:r>
        <w:rPr>
          <w:sz w:val="24"/>
        </w:rPr>
        <w:t>based on job type and location (</w:t>
      </w:r>
      <w:r>
        <w:rPr>
          <w:i/>
          <w:sz w:val="24"/>
        </w:rPr>
        <w:t>i.e.</w:t>
      </w:r>
      <w:r>
        <w:rPr>
          <w:i/>
          <w:sz w:val="24"/>
        </w:rPr>
        <w:t> Enid, OK Metropolitan Statistical Area (MSA); Fort Smith, AR – OK MSA; Lawton,</w:t>
      </w:r>
      <w:r>
        <w:rPr>
          <w:i/>
          <w:spacing w:val="-2"/>
          <w:sz w:val="24"/>
        </w:rPr>
        <w:t> </w:t>
      </w:r>
      <w:r>
        <w:rPr>
          <w:i/>
          <w:sz w:val="24"/>
        </w:rPr>
        <w:t>OK</w:t>
      </w:r>
      <w:r>
        <w:rPr>
          <w:i/>
          <w:spacing w:val="-3"/>
          <w:sz w:val="24"/>
        </w:rPr>
        <w:t> </w:t>
      </w:r>
      <w:r>
        <w:rPr>
          <w:i/>
          <w:sz w:val="24"/>
        </w:rPr>
        <w:t>MSA;</w:t>
      </w:r>
      <w:r>
        <w:rPr>
          <w:i/>
          <w:spacing w:val="-2"/>
          <w:sz w:val="24"/>
        </w:rPr>
        <w:t> </w:t>
      </w:r>
      <w:r>
        <w:rPr>
          <w:i/>
          <w:sz w:val="24"/>
        </w:rPr>
        <w:t>Oklahoma</w:t>
      </w:r>
      <w:r>
        <w:rPr>
          <w:i/>
          <w:spacing w:val="-3"/>
          <w:sz w:val="24"/>
        </w:rPr>
        <w:t> </w:t>
      </w:r>
      <w:r>
        <w:rPr>
          <w:i/>
          <w:sz w:val="24"/>
        </w:rPr>
        <w:t>City,</w:t>
      </w:r>
      <w:r>
        <w:rPr>
          <w:i/>
          <w:spacing w:val="-2"/>
          <w:sz w:val="24"/>
        </w:rPr>
        <w:t> </w:t>
      </w:r>
      <w:r>
        <w:rPr>
          <w:i/>
          <w:sz w:val="24"/>
        </w:rPr>
        <w:t>OK</w:t>
      </w:r>
      <w:r>
        <w:rPr>
          <w:i/>
          <w:spacing w:val="-5"/>
          <w:sz w:val="24"/>
        </w:rPr>
        <w:t> </w:t>
      </w:r>
      <w:r>
        <w:rPr>
          <w:i/>
          <w:sz w:val="24"/>
        </w:rPr>
        <w:t>MSA;</w:t>
      </w:r>
      <w:r>
        <w:rPr>
          <w:i/>
          <w:spacing w:val="-2"/>
          <w:sz w:val="24"/>
        </w:rPr>
        <w:t> </w:t>
      </w:r>
      <w:r>
        <w:rPr>
          <w:i/>
          <w:sz w:val="24"/>
        </w:rPr>
        <w:t>Tulsa,</w:t>
      </w:r>
      <w:r>
        <w:rPr>
          <w:i/>
          <w:spacing w:val="-2"/>
          <w:sz w:val="24"/>
        </w:rPr>
        <w:t> </w:t>
      </w:r>
      <w:r>
        <w:rPr>
          <w:i/>
          <w:sz w:val="24"/>
        </w:rPr>
        <w:t>OK</w:t>
      </w:r>
      <w:r>
        <w:rPr>
          <w:i/>
          <w:spacing w:val="-5"/>
          <w:sz w:val="24"/>
        </w:rPr>
        <w:t> </w:t>
      </w:r>
      <w:r>
        <w:rPr>
          <w:i/>
          <w:sz w:val="24"/>
        </w:rPr>
        <w:t>MSA;</w:t>
      </w:r>
      <w:r>
        <w:rPr>
          <w:i/>
          <w:spacing w:val="-2"/>
          <w:sz w:val="24"/>
        </w:rPr>
        <w:t> </w:t>
      </w:r>
      <w:r>
        <w:rPr>
          <w:i/>
          <w:sz w:val="24"/>
        </w:rPr>
        <w:t>NE</w:t>
      </w:r>
      <w:r>
        <w:rPr>
          <w:i/>
          <w:spacing w:val="-5"/>
          <w:sz w:val="24"/>
        </w:rPr>
        <w:t> </w:t>
      </w:r>
      <w:r>
        <w:rPr>
          <w:i/>
          <w:sz w:val="24"/>
        </w:rPr>
        <w:t>OK</w:t>
      </w:r>
      <w:r>
        <w:rPr>
          <w:i/>
          <w:spacing w:val="-3"/>
          <w:sz w:val="24"/>
        </w:rPr>
        <w:t> </w:t>
      </w:r>
      <w:r>
        <w:rPr>
          <w:i/>
          <w:sz w:val="24"/>
        </w:rPr>
        <w:t>Balance</w:t>
      </w:r>
      <w:r>
        <w:rPr>
          <w:i/>
          <w:spacing w:val="-3"/>
          <w:sz w:val="24"/>
        </w:rPr>
        <w:t> </w:t>
      </w:r>
      <w:r>
        <w:rPr>
          <w:i/>
          <w:sz w:val="24"/>
        </w:rPr>
        <w:t>of State Areas (BOS); NW OK BOS; SE OK BOS; or SW OK BOS</w:t>
      </w:r>
      <w:r>
        <w:rPr>
          <w:sz w:val="24"/>
        </w:rPr>
        <w:t>), or the combination of the individual’s hourly wage and hourly health and/or wellness benefit(s) are equal to or more than the</w:t>
      </w:r>
      <w:r>
        <w:rPr>
          <w:spacing w:val="40"/>
          <w:sz w:val="24"/>
        </w:rPr>
        <w:t> </w:t>
      </w:r>
      <w:r>
        <w:rPr>
          <w:sz w:val="24"/>
        </w:rPr>
        <w:t>median hourly wage for the </w:t>
      </w:r>
      <w:r>
        <w:rPr>
          <w:b/>
          <w:sz w:val="24"/>
        </w:rPr>
        <w:t>region or city </w:t>
      </w:r>
      <w:r>
        <w:rPr>
          <w:sz w:val="24"/>
        </w:rPr>
        <w:t>based on job type and location as identified in the applicable U.S. Department of Labor/Employment and Training Administration (USDOL/ETA) website at: </w:t>
      </w:r>
      <w:hyperlink r:id="rId56">
        <w:r>
          <w:rPr>
            <w:color w:val="0000FF"/>
            <w:spacing w:val="20"/>
            <w:sz w:val="24"/>
            <w:u w:val="single" w:color="0000FF"/>
          </w:rPr>
          <w:t>ht</w:t>
        </w:r>
        <w:r>
          <w:rPr>
            <w:color w:val="0000FF"/>
            <w:spacing w:val="-18"/>
            <w:sz w:val="24"/>
            <w:u w:val="single" w:color="0000FF"/>
          </w:rPr>
          <w:t> </w:t>
        </w:r>
        <w:r>
          <w:rPr>
            <w:color w:val="0000FF"/>
            <w:sz w:val="24"/>
            <w:u w:val="single" w:color="0000FF"/>
          </w:rPr>
          <w:t>t</w:t>
        </w:r>
        <w:r>
          <w:rPr>
            <w:color w:val="0000FF"/>
            <w:spacing w:val="-18"/>
            <w:sz w:val="24"/>
            <w:u w:val="single" w:color="0000FF"/>
          </w:rPr>
          <w:t> </w:t>
        </w:r>
        <w:r>
          <w:rPr>
            <w:color w:val="0000FF"/>
            <w:spacing w:val="20"/>
            <w:sz w:val="24"/>
            <w:u w:val="single" w:color="0000FF"/>
          </w:rPr>
          <w:t>ps</w:t>
        </w:r>
        <w:r>
          <w:rPr>
            <w:color w:val="0000FF"/>
            <w:spacing w:val="-18"/>
            <w:sz w:val="24"/>
            <w:u w:val="single" w:color="0000FF"/>
          </w:rPr>
          <w:t> </w:t>
        </w:r>
        <w:r>
          <w:rPr>
            <w:color w:val="0000FF"/>
            <w:sz w:val="24"/>
            <w:u w:val="single" w:color="0000FF"/>
          </w:rPr>
          <w:t>:</w:t>
        </w:r>
        <w:r>
          <w:rPr>
            <w:color w:val="0000FF"/>
            <w:spacing w:val="-18"/>
            <w:sz w:val="24"/>
            <w:u w:val="single" w:color="0000FF"/>
          </w:rPr>
          <w:t> </w:t>
        </w:r>
        <w:r>
          <w:rPr>
            <w:color w:val="0000FF"/>
            <w:sz w:val="24"/>
            <w:u w:val="single" w:color="0000FF"/>
          </w:rPr>
          <w:t>/</w:t>
        </w:r>
        <w:r>
          <w:rPr>
            <w:color w:val="0000FF"/>
            <w:spacing w:val="-19"/>
            <w:sz w:val="24"/>
            <w:u w:val="single" w:color="0000FF"/>
          </w:rPr>
          <w:t> </w:t>
        </w:r>
        <w:r>
          <w:rPr>
            <w:color w:val="0000FF"/>
            <w:sz w:val="24"/>
            <w:u w:val="single" w:color="0000FF"/>
          </w:rPr>
          <w:t>/</w:t>
        </w:r>
        <w:r>
          <w:rPr>
            <w:color w:val="0000FF"/>
            <w:spacing w:val="-19"/>
            <w:sz w:val="24"/>
            <w:u w:val="single" w:color="0000FF"/>
          </w:rPr>
          <w:t> </w:t>
        </w:r>
        <w:r>
          <w:rPr>
            <w:color w:val="0000FF"/>
            <w:sz w:val="24"/>
            <w:u w:val="single" w:color="0000FF"/>
          </w:rPr>
          <w:t>w</w:t>
        </w:r>
        <w:r>
          <w:rPr>
            <w:color w:val="0000FF"/>
            <w:spacing w:val="-19"/>
            <w:sz w:val="24"/>
            <w:u w:val="single" w:color="0000FF"/>
          </w:rPr>
          <w:t> </w:t>
        </w:r>
        <w:r>
          <w:rPr>
            <w:color w:val="0000FF"/>
            <w:sz w:val="24"/>
            <w:u w:val="single" w:color="0000FF"/>
          </w:rPr>
          <w:t>w</w:t>
        </w:r>
        <w:r>
          <w:rPr>
            <w:color w:val="0000FF"/>
            <w:spacing w:val="-19"/>
            <w:sz w:val="24"/>
            <w:u w:val="single" w:color="0000FF"/>
          </w:rPr>
          <w:t> </w:t>
        </w:r>
        <w:r>
          <w:rPr>
            <w:color w:val="0000FF"/>
            <w:sz w:val="24"/>
            <w:u w:val="single" w:color="0000FF"/>
          </w:rPr>
          <w:t>w</w:t>
        </w:r>
        <w:r>
          <w:rPr>
            <w:color w:val="0000FF"/>
            <w:spacing w:val="-19"/>
            <w:sz w:val="24"/>
            <w:u w:val="single" w:color="0000FF"/>
          </w:rPr>
          <w:t> </w:t>
        </w:r>
        <w:r>
          <w:rPr>
            <w:color w:val="0000FF"/>
            <w:sz w:val="24"/>
            <w:u w:val="single" w:color="0000FF"/>
          </w:rPr>
          <w:t>.</w:t>
        </w:r>
        <w:r>
          <w:rPr>
            <w:color w:val="0000FF"/>
            <w:spacing w:val="-18"/>
            <w:sz w:val="24"/>
            <w:u w:val="single" w:color="0000FF"/>
          </w:rPr>
          <w:t> </w:t>
        </w:r>
        <w:r>
          <w:rPr>
            <w:color w:val="0000FF"/>
            <w:spacing w:val="20"/>
            <w:sz w:val="24"/>
            <w:u w:val="single" w:color="0000FF"/>
          </w:rPr>
          <w:t>on</w:t>
        </w:r>
        <w:r>
          <w:rPr>
            <w:color w:val="0000FF"/>
            <w:spacing w:val="-18"/>
            <w:sz w:val="24"/>
            <w:u w:val="single" w:color="0000FF"/>
          </w:rPr>
          <w:t> </w:t>
        </w:r>
        <w:r>
          <w:rPr>
            <w:color w:val="0000FF"/>
            <w:spacing w:val="20"/>
            <w:sz w:val="24"/>
            <w:u w:val="single" w:color="0000FF"/>
          </w:rPr>
          <w:t>et</w:t>
        </w:r>
        <w:r>
          <w:rPr>
            <w:color w:val="0000FF"/>
            <w:spacing w:val="-18"/>
            <w:sz w:val="24"/>
            <w:u w:val="single" w:color="0000FF"/>
          </w:rPr>
          <w:t> </w:t>
        </w:r>
        <w:r>
          <w:rPr>
            <w:color w:val="0000FF"/>
            <w:spacing w:val="27"/>
            <w:sz w:val="24"/>
            <w:u w:val="single" w:color="0000FF"/>
          </w:rPr>
          <w:t>onl</w:t>
        </w:r>
        <w:r>
          <w:rPr>
            <w:color w:val="0000FF"/>
            <w:spacing w:val="-18"/>
            <w:sz w:val="24"/>
            <w:u w:val="single" w:color="0000FF"/>
          </w:rPr>
          <w:t> </w:t>
        </w:r>
        <w:r>
          <w:rPr>
            <w:color w:val="0000FF"/>
            <w:sz w:val="24"/>
            <w:u w:val="single" w:color="0000FF"/>
          </w:rPr>
          <w:t>i</w:t>
        </w:r>
        <w:r>
          <w:rPr>
            <w:color w:val="0000FF"/>
            <w:spacing w:val="-19"/>
            <w:sz w:val="24"/>
            <w:u w:val="single" w:color="0000FF"/>
          </w:rPr>
          <w:t> </w:t>
        </w:r>
        <w:r>
          <w:rPr>
            <w:color w:val="0000FF"/>
            <w:sz w:val="24"/>
            <w:u w:val="single" w:color="0000FF"/>
          </w:rPr>
          <w:t>n</w:t>
        </w:r>
        <w:r>
          <w:rPr>
            <w:color w:val="0000FF"/>
            <w:spacing w:val="-17"/>
            <w:sz w:val="24"/>
            <w:u w:val="single" w:color="0000FF"/>
          </w:rPr>
          <w:t> </w:t>
        </w:r>
        <w:r>
          <w:rPr>
            <w:color w:val="0000FF"/>
            <w:sz w:val="24"/>
            <w:u w:val="single" w:color="0000FF"/>
          </w:rPr>
          <w:t>e</w:t>
        </w:r>
        <w:r>
          <w:rPr>
            <w:color w:val="0000FF"/>
            <w:spacing w:val="-17"/>
            <w:sz w:val="24"/>
            <w:u w:val="single" w:color="0000FF"/>
          </w:rPr>
          <w:t> </w:t>
        </w:r>
        <w:r>
          <w:rPr>
            <w:color w:val="0000FF"/>
            <w:sz w:val="24"/>
            <w:u w:val="single" w:color="0000FF"/>
          </w:rPr>
          <w:t>.</w:t>
        </w:r>
        <w:r>
          <w:rPr>
            <w:color w:val="0000FF"/>
            <w:spacing w:val="-18"/>
            <w:sz w:val="24"/>
            <w:u w:val="single" w:color="0000FF"/>
          </w:rPr>
          <w:t> </w:t>
        </w:r>
        <w:r>
          <w:rPr>
            <w:color w:val="0000FF"/>
            <w:spacing w:val="20"/>
            <w:sz w:val="24"/>
            <w:u w:val="single" w:color="0000FF"/>
          </w:rPr>
          <w:t>or</w:t>
        </w:r>
        <w:r>
          <w:rPr>
            <w:color w:val="0000FF"/>
            <w:spacing w:val="-18"/>
            <w:sz w:val="24"/>
            <w:u w:val="single" w:color="0000FF"/>
          </w:rPr>
          <w:t> </w:t>
        </w:r>
        <w:r>
          <w:rPr>
            <w:color w:val="0000FF"/>
            <w:spacing w:val="20"/>
            <w:sz w:val="24"/>
            <w:u w:val="single" w:color="0000FF"/>
          </w:rPr>
          <w:t>g/ </w:t>
        </w:r>
      </w:hyperlink>
    </w:p>
    <w:p>
      <w:pPr>
        <w:pStyle w:val="BodyText"/>
        <w:spacing w:before="41"/>
        <w:ind w:left="0"/>
      </w:pPr>
    </w:p>
    <w:p>
      <w:pPr>
        <w:pStyle w:val="BodyText"/>
        <w:spacing w:line="276" w:lineRule="auto" w:before="0"/>
        <w:ind w:left="1080" w:right="739"/>
      </w:pPr>
      <w:r>
        <w:rPr>
          <w:b/>
        </w:rPr>
        <w:t>Only</w:t>
      </w:r>
      <w:r>
        <w:rPr>
          <w:b/>
          <w:spacing w:val="-3"/>
        </w:rPr>
        <w:t> </w:t>
      </w:r>
      <w:r>
        <w:rPr/>
        <w:t>when</w:t>
      </w:r>
      <w:r>
        <w:rPr>
          <w:spacing w:val="-3"/>
        </w:rPr>
        <w:t> </w:t>
      </w:r>
      <w:r>
        <w:rPr/>
        <w:t>the</w:t>
      </w:r>
      <w:r>
        <w:rPr>
          <w:spacing w:val="-3"/>
        </w:rPr>
        <w:t> </w:t>
      </w:r>
      <w:r>
        <w:rPr/>
        <w:t>individual</w:t>
      </w:r>
      <w:r>
        <w:rPr>
          <w:spacing w:val="-3"/>
        </w:rPr>
        <w:t> </w:t>
      </w:r>
      <w:r>
        <w:rPr/>
        <w:t>is</w:t>
      </w:r>
      <w:r>
        <w:rPr>
          <w:spacing w:val="-3"/>
        </w:rPr>
        <w:t> </w:t>
      </w:r>
      <w:r>
        <w:rPr/>
        <w:t>hired</w:t>
      </w:r>
      <w:r>
        <w:rPr>
          <w:spacing w:val="-2"/>
        </w:rPr>
        <w:t> </w:t>
      </w:r>
      <w:r>
        <w:rPr/>
        <w:t>by</w:t>
      </w:r>
      <w:r>
        <w:rPr>
          <w:spacing w:val="-3"/>
        </w:rPr>
        <w:t> </w:t>
      </w:r>
      <w:r>
        <w:rPr/>
        <w:t>the</w:t>
      </w:r>
      <w:r>
        <w:rPr>
          <w:spacing w:val="-3"/>
        </w:rPr>
        <w:t> </w:t>
      </w:r>
      <w:r>
        <w:rPr/>
        <w:t>Contractor,</w:t>
      </w:r>
      <w:r>
        <w:rPr>
          <w:spacing w:val="-4"/>
        </w:rPr>
        <w:t> </w:t>
      </w:r>
      <w:r>
        <w:rPr/>
        <w:t>before</w:t>
      </w:r>
      <w:r>
        <w:rPr>
          <w:spacing w:val="-3"/>
        </w:rPr>
        <w:t> </w:t>
      </w:r>
      <w:r>
        <w:rPr/>
        <w:t>or</w:t>
      </w:r>
      <w:r>
        <w:rPr>
          <w:spacing w:val="-2"/>
        </w:rPr>
        <w:t> </w:t>
      </w:r>
      <w:r>
        <w:rPr/>
        <w:t>on</w:t>
      </w:r>
      <w:r>
        <w:rPr>
          <w:spacing w:val="-4"/>
        </w:rPr>
        <w:t> </w:t>
      </w:r>
      <w:r>
        <w:rPr/>
        <w:t>the</w:t>
      </w:r>
      <w:r>
        <w:rPr>
          <w:spacing w:val="-3"/>
        </w:rPr>
        <w:t> </w:t>
      </w:r>
      <w:r>
        <w:rPr/>
        <w:t>first</w:t>
      </w:r>
      <w:r>
        <w:rPr>
          <w:spacing w:val="-4"/>
        </w:rPr>
        <w:t> </w:t>
      </w:r>
      <w:r>
        <w:rPr/>
        <w:t>(1</w:t>
      </w:r>
      <w:r>
        <w:rPr>
          <w:vertAlign w:val="superscript"/>
        </w:rPr>
        <w:t>st</w:t>
      </w:r>
      <w:r>
        <w:rPr>
          <w:vertAlign w:val="baseline"/>
        </w:rPr>
        <w:t>)</w:t>
      </w:r>
      <w:r>
        <w:rPr>
          <w:spacing w:val="-2"/>
          <w:vertAlign w:val="baseline"/>
        </w:rPr>
        <w:t> </w:t>
      </w:r>
      <w:r>
        <w:rPr>
          <w:vertAlign w:val="baseline"/>
        </w:rPr>
        <w:t>day of work, the </w:t>
      </w:r>
      <w:r>
        <w:rPr>
          <w:b/>
          <w:vertAlign w:val="baseline"/>
        </w:rPr>
        <w:t>ESS-C-213n </w:t>
      </w:r>
      <w:r>
        <w:rPr>
          <w:vertAlign w:val="baseline"/>
        </w:rPr>
        <w:t>O*NET median hourly wage documentation for the respective </w:t>
      </w:r>
      <w:r>
        <w:rPr>
          <w:b/>
          <w:vertAlign w:val="baseline"/>
        </w:rPr>
        <w:t>region or city </w:t>
      </w:r>
      <w:r>
        <w:rPr>
          <w:vertAlign w:val="baseline"/>
        </w:rPr>
        <w:t>must be emailed to the DRS Counselor and ESS TA.</w:t>
      </w:r>
    </w:p>
    <w:p>
      <w:pPr>
        <w:pStyle w:val="BodyText"/>
        <w:spacing w:before="41"/>
        <w:ind w:left="0"/>
      </w:pPr>
    </w:p>
    <w:p>
      <w:pPr>
        <w:pStyle w:val="BodyText"/>
        <w:spacing w:line="276" w:lineRule="auto" w:before="1"/>
        <w:ind w:left="1080" w:right="775"/>
      </w:pPr>
      <w:r>
        <w:rPr/>
        <w:t>Please refer to the Employment Support Services webpage from the OKDRS website</w:t>
      </w:r>
      <w:r>
        <w:rPr>
          <w:spacing w:val="-5"/>
        </w:rPr>
        <w:t> </w:t>
      </w:r>
      <w:r>
        <w:rPr/>
        <w:t>located</w:t>
      </w:r>
      <w:r>
        <w:rPr>
          <w:spacing w:val="-5"/>
        </w:rPr>
        <w:t> </w:t>
      </w:r>
      <w:r>
        <w:rPr/>
        <w:t>at</w:t>
      </w:r>
      <w:r>
        <w:rPr>
          <w:spacing w:val="-4"/>
        </w:rPr>
        <w:t> </w:t>
      </w:r>
      <w:hyperlink r:id="rId51">
        <w:r>
          <w:rPr>
            <w:color w:val="0562C1"/>
            <w:u w:val="single" w:color="0562C1"/>
          </w:rPr>
          <w:t>https://www.okdrs.gov/ESS/ERC</w:t>
        </w:r>
      </w:hyperlink>
      <w:r>
        <w:rPr>
          <w:color w:val="0562C1"/>
          <w:spacing w:val="-5"/>
          <w:u w:val="none"/>
        </w:rPr>
        <w:t> </w:t>
      </w:r>
      <w:r>
        <w:rPr>
          <w:u w:val="none"/>
        </w:rPr>
        <w:t>to</w:t>
      </w:r>
      <w:r>
        <w:rPr>
          <w:spacing w:val="-5"/>
          <w:u w:val="none"/>
        </w:rPr>
        <w:t> </w:t>
      </w:r>
      <w:r>
        <w:rPr>
          <w:u w:val="none"/>
        </w:rPr>
        <w:t>access</w:t>
      </w:r>
      <w:r>
        <w:rPr>
          <w:spacing w:val="-5"/>
          <w:u w:val="none"/>
        </w:rPr>
        <w:t> </w:t>
      </w:r>
      <w:r>
        <w:rPr>
          <w:u w:val="none"/>
        </w:rPr>
        <w:t>the</w:t>
      </w:r>
      <w:r>
        <w:rPr>
          <w:spacing w:val="-6"/>
          <w:u w:val="none"/>
        </w:rPr>
        <w:t> </w:t>
      </w:r>
      <w:r>
        <w:rPr>
          <w:u w:val="none"/>
        </w:rPr>
        <w:t>ER</w:t>
      </w:r>
      <w:r>
        <w:rPr>
          <w:spacing w:val="-5"/>
          <w:u w:val="none"/>
        </w:rPr>
        <w:t> </w:t>
      </w:r>
      <w:r>
        <w:rPr>
          <w:u w:val="none"/>
        </w:rPr>
        <w:t>contract and for Milestone categories, rates, required documentation for payment, and other contract information.</w:t>
      </w:r>
    </w:p>
    <w:p>
      <w:pPr>
        <w:spacing w:line="253" w:lineRule="exact" w:before="200"/>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223"/>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before="0"/>
        <w:ind w:left="1439" w:right="0" w:firstLine="0"/>
        <w:jc w:val="left"/>
        <w:rPr>
          <w:sz w:val="22"/>
        </w:rPr>
      </w:pPr>
      <w:r>
        <w:rPr>
          <w:sz w:val="22"/>
        </w:rPr>
        <w:t>Permanent,</w:t>
      </w:r>
      <w:r>
        <w:rPr>
          <w:spacing w:val="-10"/>
          <w:sz w:val="22"/>
        </w:rPr>
        <w:t> </w:t>
      </w:r>
      <w:r>
        <w:rPr>
          <w:sz w:val="22"/>
        </w:rPr>
        <w:t>new,</w:t>
      </w:r>
      <w:r>
        <w:rPr>
          <w:spacing w:val="-10"/>
          <w:sz w:val="22"/>
        </w:rPr>
        <w:t> </w:t>
      </w:r>
      <w:r>
        <w:rPr>
          <w:sz w:val="22"/>
        </w:rPr>
        <w:t>defining</w:t>
      </w:r>
      <w:r>
        <w:rPr>
          <w:spacing w:val="-10"/>
          <w:sz w:val="22"/>
        </w:rPr>
        <w:t> </w:t>
      </w:r>
      <w:r>
        <w:rPr>
          <w:sz w:val="22"/>
        </w:rPr>
        <w:t>competitive</w:t>
      </w:r>
      <w:r>
        <w:rPr>
          <w:spacing w:val="-10"/>
          <w:sz w:val="22"/>
        </w:rPr>
        <w:t> </w:t>
      </w:r>
      <w:r>
        <w:rPr>
          <w:spacing w:val="-2"/>
          <w:sz w:val="22"/>
        </w:rPr>
        <w:t>employment.</w:t>
      </w:r>
    </w:p>
    <w:p>
      <w:pPr>
        <w:tabs>
          <w:tab w:pos="1439" w:val="left" w:leader="none"/>
        </w:tabs>
        <w:spacing w:before="0"/>
        <w:ind w:left="1439" w:right="775" w:hanging="1080"/>
        <w:jc w:val="left"/>
        <w:rPr>
          <w:sz w:val="22"/>
        </w:rPr>
      </w:pPr>
      <w:r>
        <w:rPr>
          <w:spacing w:val="-2"/>
          <w:sz w:val="22"/>
        </w:rPr>
        <w:t>8-11-24</w:t>
      </w:r>
      <w:r>
        <w:rPr>
          <w:sz w:val="22"/>
        </w:rPr>
        <w:tab/>
        <w:t>Revised language revoking “persons” replacing with “individuals”. Defined Employment</w:t>
      </w:r>
      <w:r>
        <w:rPr>
          <w:spacing w:val="-3"/>
          <w:sz w:val="22"/>
        </w:rPr>
        <w:t> </w:t>
      </w:r>
      <w:r>
        <w:rPr>
          <w:sz w:val="22"/>
        </w:rPr>
        <w:t>and</w:t>
      </w:r>
      <w:r>
        <w:rPr>
          <w:spacing w:val="-4"/>
          <w:sz w:val="22"/>
        </w:rPr>
        <w:t> </w:t>
      </w:r>
      <w:r>
        <w:rPr>
          <w:sz w:val="22"/>
        </w:rPr>
        <w:t>Retention</w:t>
      </w:r>
      <w:r>
        <w:rPr>
          <w:spacing w:val="-4"/>
          <w:sz w:val="22"/>
        </w:rPr>
        <w:t> </w:t>
      </w:r>
      <w:r>
        <w:rPr>
          <w:sz w:val="22"/>
        </w:rPr>
        <w:t>services</w:t>
      </w:r>
      <w:r>
        <w:rPr>
          <w:spacing w:val="-5"/>
          <w:sz w:val="22"/>
        </w:rPr>
        <w:t> </w:t>
      </w:r>
      <w:r>
        <w:rPr>
          <w:sz w:val="22"/>
        </w:rPr>
        <w:t>as</w:t>
      </w:r>
      <w:r>
        <w:rPr>
          <w:spacing w:val="-4"/>
          <w:sz w:val="22"/>
        </w:rPr>
        <w:t> </w:t>
      </w:r>
      <w:r>
        <w:rPr>
          <w:sz w:val="22"/>
        </w:rPr>
        <w:t>employment</w:t>
      </w:r>
      <w:r>
        <w:rPr>
          <w:spacing w:val="-4"/>
          <w:sz w:val="22"/>
        </w:rPr>
        <w:t> </w:t>
      </w:r>
      <w:r>
        <w:rPr>
          <w:sz w:val="22"/>
        </w:rPr>
        <w:t>performed</w:t>
      </w:r>
      <w:r>
        <w:rPr>
          <w:spacing w:val="-4"/>
          <w:sz w:val="22"/>
        </w:rPr>
        <w:t> </w:t>
      </w:r>
      <w:r>
        <w:rPr>
          <w:sz w:val="22"/>
        </w:rPr>
        <w:t>on</w:t>
      </w:r>
      <w:r>
        <w:rPr>
          <w:spacing w:val="-4"/>
          <w:sz w:val="22"/>
        </w:rPr>
        <w:t> </w:t>
      </w:r>
      <w:r>
        <w:rPr>
          <w:sz w:val="22"/>
        </w:rPr>
        <w:t>a</w:t>
      </w:r>
      <w:r>
        <w:rPr>
          <w:spacing w:val="-4"/>
          <w:sz w:val="22"/>
        </w:rPr>
        <w:t> </w:t>
      </w:r>
      <w:r>
        <w:rPr>
          <w:sz w:val="22"/>
        </w:rPr>
        <w:t>full-time</w:t>
      </w:r>
      <w:r>
        <w:rPr>
          <w:spacing w:val="-4"/>
          <w:sz w:val="22"/>
        </w:rPr>
        <w:t> </w:t>
      </w:r>
      <w:r>
        <w:rPr>
          <w:sz w:val="22"/>
        </w:rPr>
        <w:t>or</w:t>
      </w:r>
      <w:r>
        <w:rPr>
          <w:spacing w:val="-4"/>
          <w:sz w:val="22"/>
        </w:rPr>
        <w:t> </w:t>
      </w:r>
      <w:r>
        <w:rPr>
          <w:sz w:val="22"/>
        </w:rPr>
        <w:t>part- time basis in an integrated setting.</w:t>
      </w:r>
    </w:p>
    <w:p>
      <w:pPr>
        <w:spacing w:after="0"/>
        <w:jc w:val="left"/>
        <w:rPr>
          <w:sz w:val="22"/>
        </w:rPr>
        <w:sectPr>
          <w:pgSz w:w="12240" w:h="15840"/>
          <w:pgMar w:top="1340" w:bottom="280" w:left="1080" w:right="720"/>
        </w:sectPr>
      </w:pPr>
    </w:p>
    <w:p>
      <w:pPr>
        <w:pStyle w:val="Heading1"/>
        <w:spacing w:line="208" w:lineRule="auto" w:before="96"/>
        <w:ind w:left="2640" w:right="775" w:hanging="2093"/>
        <w:jc w:val="left"/>
      </w:pPr>
      <w:bookmarkStart w:name="PART 19.  SPECIAL SERVICES FOR INDIVIDUA" w:id="206"/>
      <w:bookmarkEnd w:id="206"/>
      <w:r>
        <w:rPr>
          <w:b w:val="0"/>
        </w:rPr>
      </w:r>
      <w:r>
        <w:rPr/>
        <w:t>PART</w:t>
      </w:r>
      <w:r>
        <w:rPr>
          <w:spacing w:val="-3"/>
        </w:rPr>
        <w:t> </w:t>
      </w:r>
      <w:r>
        <w:rPr/>
        <w:t>19.</w:t>
      </w:r>
      <w:r>
        <w:rPr>
          <w:spacing w:val="40"/>
        </w:rPr>
        <w:t> </w:t>
      </w:r>
      <w:r>
        <w:rPr/>
        <w:t>SPECIAL</w:t>
      </w:r>
      <w:r>
        <w:rPr>
          <w:spacing w:val="-5"/>
        </w:rPr>
        <w:t> </w:t>
      </w:r>
      <w:r>
        <w:rPr/>
        <w:t>SERVICES</w:t>
      </w:r>
      <w:r>
        <w:rPr>
          <w:spacing w:val="-3"/>
        </w:rPr>
        <w:t> </w:t>
      </w:r>
      <w:r>
        <w:rPr/>
        <w:t>FOR</w:t>
      </w:r>
      <w:r>
        <w:rPr>
          <w:spacing w:val="-4"/>
        </w:rPr>
        <w:t> </w:t>
      </w:r>
      <w:r>
        <w:rPr/>
        <w:t>INDIVIDUALS</w:t>
      </w:r>
      <w:r>
        <w:rPr>
          <w:spacing w:val="-4"/>
        </w:rPr>
        <w:t> </w:t>
      </w:r>
      <w:r>
        <w:rPr/>
        <w:t>WHO</w:t>
      </w:r>
      <w:r>
        <w:rPr>
          <w:spacing w:val="-3"/>
        </w:rPr>
        <w:t> </w:t>
      </w:r>
      <w:r>
        <w:rPr/>
        <w:t>ARE</w:t>
      </w:r>
      <w:r>
        <w:rPr>
          <w:spacing w:val="-6"/>
        </w:rPr>
        <w:t> </w:t>
      </w:r>
      <w:r>
        <w:rPr/>
        <w:t>BLIND,</w:t>
      </w:r>
      <w:r>
        <w:rPr>
          <w:spacing w:val="-3"/>
        </w:rPr>
        <w:t> </w:t>
      </w:r>
      <w:r>
        <w:rPr/>
        <w:t>DEAF,</w:t>
      </w:r>
      <w:r>
        <w:rPr>
          <w:spacing w:val="-5"/>
        </w:rPr>
        <w:t> </w:t>
      </w:r>
      <w:r>
        <w:rPr/>
        <w:t>OR HAVE OTHER SIGNIFICANT DISABILITIES</w:t>
      </w:r>
    </w:p>
    <w:p>
      <w:pPr>
        <w:pStyle w:val="BodyText"/>
        <w:spacing w:before="210"/>
      </w:pPr>
      <w:r>
        <w:rPr>
          <w:spacing w:val="-2"/>
        </w:rPr>
        <w:t>Section</w:t>
      </w:r>
    </w:p>
    <w:p>
      <w:pPr>
        <w:pStyle w:val="BodyText"/>
        <w:tabs>
          <w:tab w:pos="2519" w:val="left" w:leader="none"/>
        </w:tabs>
        <w:spacing w:line="417" w:lineRule="auto" w:before="204"/>
        <w:ind w:right="4824"/>
      </w:pPr>
      <w:r>
        <w:rPr>
          <w:spacing w:val="-2"/>
        </w:rPr>
        <w:t>612:10-7-195.</w:t>
      </w:r>
      <w:r>
        <w:rPr/>
        <w:tab/>
        <w:t>Personal</w:t>
      </w:r>
      <w:r>
        <w:rPr>
          <w:spacing w:val="-17"/>
        </w:rPr>
        <w:t> </w:t>
      </w:r>
      <w:r>
        <w:rPr/>
        <w:t>assistance</w:t>
      </w:r>
      <w:r>
        <w:rPr>
          <w:spacing w:val="-17"/>
        </w:rPr>
        <w:t> </w:t>
      </w:r>
      <w:r>
        <w:rPr/>
        <w:t>services </w:t>
      </w:r>
      <w:r>
        <w:rPr>
          <w:spacing w:val="-2"/>
        </w:rPr>
        <w:t>612:10-7-196.</w:t>
      </w:r>
      <w:r>
        <w:rPr/>
        <w:tab/>
        <w:t>Interpreter services</w:t>
      </w:r>
    </w:p>
    <w:p>
      <w:pPr>
        <w:pStyle w:val="BodyText"/>
        <w:tabs>
          <w:tab w:pos="2519" w:val="left" w:leader="none"/>
        </w:tabs>
        <w:spacing w:line="417" w:lineRule="auto" w:before="0"/>
        <w:ind w:left="359" w:right="4543"/>
      </w:pPr>
      <w:r>
        <w:rPr>
          <w:spacing w:val="-2"/>
        </w:rPr>
        <w:t>612:10-7-199.</w:t>
      </w:r>
      <w:r>
        <w:rPr/>
        <w:tab/>
        <w:t>Reader/recording services </w:t>
      </w:r>
      <w:r>
        <w:rPr>
          <w:spacing w:val="-2"/>
        </w:rPr>
        <w:t>612:10-7-201.</w:t>
      </w:r>
      <w:r>
        <w:rPr/>
        <w:tab/>
        <w:t>Rehabilitation</w:t>
      </w:r>
      <w:r>
        <w:rPr>
          <w:spacing w:val="-17"/>
        </w:rPr>
        <w:t> </w:t>
      </w:r>
      <w:r>
        <w:rPr/>
        <w:t>teaching</w:t>
      </w:r>
      <w:r>
        <w:rPr>
          <w:spacing w:val="-17"/>
        </w:rPr>
        <w:t> </w:t>
      </w:r>
      <w:r>
        <w:rPr/>
        <w:t>services </w:t>
      </w:r>
      <w:r>
        <w:rPr>
          <w:spacing w:val="-2"/>
        </w:rPr>
        <w:t>612:10-7-203.</w:t>
      </w:r>
      <w:r>
        <w:rPr/>
        <w:tab/>
        <w:t>Orientation and Mobility (O&amp;M)</w:t>
      </w:r>
    </w:p>
    <w:p>
      <w:pPr>
        <w:pStyle w:val="BodyText"/>
        <w:tabs>
          <w:tab w:pos="2519" w:val="left" w:leader="none"/>
        </w:tabs>
        <w:spacing w:line="275" w:lineRule="exact" w:before="0"/>
        <w:ind w:left="359"/>
      </w:pPr>
      <w:r>
        <w:rPr>
          <w:spacing w:val="-2"/>
        </w:rPr>
        <w:t>612:10-7-</w:t>
      </w:r>
      <w:r>
        <w:rPr>
          <w:spacing w:val="-4"/>
        </w:rPr>
        <w:t>205.</w:t>
      </w:r>
      <w:r>
        <w:rPr/>
        <w:tab/>
        <w:t>Services</w:t>
      </w:r>
      <w:r>
        <w:rPr>
          <w:spacing w:val="-3"/>
        </w:rPr>
        <w:t> </w:t>
      </w:r>
      <w:r>
        <w:rPr/>
        <w:t>to</w:t>
      </w:r>
      <w:r>
        <w:rPr>
          <w:spacing w:val="-3"/>
        </w:rPr>
        <w:t> </w:t>
      </w:r>
      <w:r>
        <w:rPr/>
        <w:t>persons</w:t>
      </w:r>
      <w:r>
        <w:rPr>
          <w:spacing w:val="-3"/>
        </w:rPr>
        <w:t> </w:t>
      </w:r>
      <w:r>
        <w:rPr/>
        <w:t>who</w:t>
      </w:r>
      <w:r>
        <w:rPr>
          <w:spacing w:val="-3"/>
        </w:rPr>
        <w:t> </w:t>
      </w:r>
      <w:r>
        <w:rPr/>
        <w:t>are</w:t>
      </w:r>
      <w:r>
        <w:rPr>
          <w:spacing w:val="-2"/>
        </w:rPr>
        <w:t> </w:t>
      </w:r>
      <w:r>
        <w:rPr/>
        <w:t>deaf-</w:t>
      </w:r>
      <w:r>
        <w:rPr>
          <w:spacing w:val="-2"/>
        </w:rPr>
        <w:t>blind</w:t>
      </w:r>
    </w:p>
    <w:p>
      <w:pPr>
        <w:pStyle w:val="BodyText"/>
        <w:tabs>
          <w:tab w:pos="2519" w:val="left" w:leader="none"/>
        </w:tabs>
        <w:spacing w:line="208" w:lineRule="auto" w:before="233"/>
        <w:ind w:left="359" w:right="2090"/>
      </w:pPr>
      <w:r>
        <w:rPr>
          <w:spacing w:val="-2"/>
        </w:rPr>
        <w:t>612:10-7-206.</w:t>
      </w:r>
      <w:r>
        <w:rPr/>
        <w:tab/>
        <w:t>Assistive</w:t>
      </w:r>
      <w:r>
        <w:rPr>
          <w:spacing w:val="-7"/>
        </w:rPr>
        <w:t> </w:t>
      </w:r>
      <w:r>
        <w:rPr/>
        <w:t>technology</w:t>
      </w:r>
      <w:r>
        <w:rPr>
          <w:spacing w:val="-7"/>
        </w:rPr>
        <w:t> </w:t>
      </w:r>
      <w:r>
        <w:rPr/>
        <w:t>services</w:t>
      </w:r>
      <w:r>
        <w:rPr>
          <w:spacing w:val="-7"/>
        </w:rPr>
        <w:t> </w:t>
      </w:r>
      <w:r>
        <w:rPr/>
        <w:t>for</w:t>
      </w:r>
      <w:r>
        <w:rPr>
          <w:spacing w:val="-6"/>
        </w:rPr>
        <w:t> </w:t>
      </w:r>
      <w:r>
        <w:rPr/>
        <w:t>individuals</w:t>
      </w:r>
      <w:r>
        <w:rPr>
          <w:spacing w:val="-6"/>
        </w:rPr>
        <w:t> </w:t>
      </w:r>
      <w:r>
        <w:rPr/>
        <w:t>with</w:t>
      </w:r>
      <w:r>
        <w:rPr>
          <w:spacing w:val="-7"/>
        </w:rPr>
        <w:t> </w:t>
      </w:r>
      <w:r>
        <w:rPr/>
        <w:t>visual </w:t>
      </w:r>
      <w:r>
        <w:rPr>
          <w:spacing w:val="-2"/>
        </w:rPr>
        <w:t>impairments</w:t>
      </w:r>
    </w:p>
    <w:p>
      <w:pPr>
        <w:pStyle w:val="BodyText"/>
        <w:spacing w:after="0" w:line="208" w:lineRule="auto"/>
        <w:sectPr>
          <w:pgSz w:w="12240" w:h="15840"/>
          <w:pgMar w:top="1340" w:bottom="280" w:left="1080" w:right="720"/>
        </w:sectPr>
      </w:pPr>
    </w:p>
    <w:p>
      <w:pPr>
        <w:pStyle w:val="Heading2"/>
      </w:pPr>
      <w:bookmarkStart w:name="612:10-7-195.  Personal assistance servi" w:id="207"/>
      <w:bookmarkEnd w:id="207"/>
      <w:r>
        <w:rPr>
          <w:b w:val="0"/>
        </w:rPr>
      </w:r>
      <w:r>
        <w:rPr/>
        <w:t>612:10-7-195.</w:t>
      </w:r>
      <w:r>
        <w:rPr>
          <w:spacing w:val="56"/>
        </w:rPr>
        <w:t> </w:t>
      </w:r>
      <w:r>
        <w:rPr/>
        <w:t>Personal</w:t>
      </w:r>
      <w:r>
        <w:rPr>
          <w:spacing w:val="-5"/>
        </w:rPr>
        <w:t> </w:t>
      </w:r>
      <w:r>
        <w:rPr/>
        <w:t>assistance</w:t>
      </w:r>
      <w:r>
        <w:rPr>
          <w:spacing w:val="-5"/>
        </w:rPr>
        <w:t> </w:t>
      </w:r>
      <w:r>
        <w:rPr>
          <w:spacing w:val="-2"/>
        </w:rPr>
        <w:t>services</w:t>
      </w:r>
    </w:p>
    <w:p>
      <w:pPr>
        <w:pStyle w:val="ListParagraph"/>
        <w:numPr>
          <w:ilvl w:val="0"/>
          <w:numId w:val="224"/>
        </w:numPr>
        <w:tabs>
          <w:tab w:pos="786" w:val="left" w:leader="none"/>
        </w:tabs>
        <w:spacing w:line="208" w:lineRule="auto" w:before="233" w:after="0"/>
        <w:ind w:left="360" w:right="872" w:firstLine="0"/>
        <w:jc w:val="left"/>
        <w:rPr>
          <w:b/>
          <w:sz w:val="24"/>
        </w:rPr>
      </w:pPr>
      <w:r>
        <w:rPr>
          <w:sz w:val="24"/>
        </w:rPr>
        <w:t>Personal assistance services is a range of services including, among other things, training</w:t>
      </w:r>
      <w:r>
        <w:rPr>
          <w:spacing w:val="-5"/>
          <w:sz w:val="24"/>
        </w:rPr>
        <w:t> </w:t>
      </w:r>
      <w:r>
        <w:rPr>
          <w:sz w:val="24"/>
        </w:rPr>
        <w:t>in</w:t>
      </w:r>
      <w:r>
        <w:rPr>
          <w:spacing w:val="-4"/>
          <w:sz w:val="24"/>
        </w:rPr>
        <w:t> </w:t>
      </w:r>
      <w:r>
        <w:rPr>
          <w:sz w:val="24"/>
        </w:rPr>
        <w:t>managing,</w:t>
      </w:r>
      <w:r>
        <w:rPr>
          <w:spacing w:val="-3"/>
          <w:sz w:val="24"/>
        </w:rPr>
        <w:t> </w:t>
      </w:r>
      <w:r>
        <w:rPr>
          <w:sz w:val="24"/>
        </w:rPr>
        <w:t>supervising,</w:t>
      </w:r>
      <w:r>
        <w:rPr>
          <w:spacing w:val="-4"/>
          <w:sz w:val="24"/>
        </w:rPr>
        <w:t> </w:t>
      </w:r>
      <w:r>
        <w:rPr>
          <w:sz w:val="24"/>
        </w:rPr>
        <w:t>and</w:t>
      </w:r>
      <w:r>
        <w:rPr>
          <w:spacing w:val="-5"/>
          <w:sz w:val="24"/>
        </w:rPr>
        <w:t> </w:t>
      </w:r>
      <w:r>
        <w:rPr>
          <w:sz w:val="24"/>
        </w:rPr>
        <w:t>directing</w:t>
      </w:r>
      <w:r>
        <w:rPr>
          <w:spacing w:val="-5"/>
          <w:sz w:val="24"/>
        </w:rPr>
        <w:t> </w:t>
      </w:r>
      <w:r>
        <w:rPr>
          <w:sz w:val="24"/>
        </w:rPr>
        <w:t>personal</w:t>
      </w:r>
      <w:r>
        <w:rPr>
          <w:spacing w:val="-5"/>
          <w:sz w:val="24"/>
        </w:rPr>
        <w:t> </w:t>
      </w:r>
      <w:r>
        <w:rPr>
          <w:sz w:val="24"/>
        </w:rPr>
        <w:t>assistance</w:t>
      </w:r>
      <w:r>
        <w:rPr>
          <w:spacing w:val="-5"/>
          <w:sz w:val="24"/>
        </w:rPr>
        <w:t> </w:t>
      </w:r>
      <w:r>
        <w:rPr>
          <w:sz w:val="24"/>
        </w:rPr>
        <w:t>services,</w:t>
      </w:r>
      <w:r>
        <w:rPr>
          <w:spacing w:val="-4"/>
          <w:sz w:val="24"/>
        </w:rPr>
        <w:t> </w:t>
      </w:r>
      <w:r>
        <w:rPr>
          <w:sz w:val="24"/>
        </w:rPr>
        <w:t>provided by one or more persons, that are designed to assist an individual with a disability to perform daily living activities on or off</w:t>
      </w:r>
      <w:r>
        <w:rPr>
          <w:spacing w:val="-1"/>
          <w:sz w:val="24"/>
        </w:rPr>
        <w:t> </w:t>
      </w:r>
      <w:r>
        <w:rPr>
          <w:sz w:val="24"/>
        </w:rPr>
        <w:t>the job that the individual would typically perform without assistance if the individual did not have a disability. </w:t>
      </w:r>
      <w:r>
        <w:rPr>
          <w:b/>
          <w:sz w:val="24"/>
        </w:rPr>
        <w:t>1</w:t>
      </w:r>
    </w:p>
    <w:p>
      <w:pPr>
        <w:pStyle w:val="ListParagraph"/>
        <w:numPr>
          <w:ilvl w:val="1"/>
          <w:numId w:val="224"/>
        </w:numPr>
        <w:tabs>
          <w:tab w:pos="1236" w:val="left" w:leader="none"/>
        </w:tabs>
        <w:spacing w:line="208" w:lineRule="auto" w:before="239" w:after="0"/>
        <w:ind w:left="810" w:right="837" w:firstLine="0"/>
        <w:jc w:val="both"/>
        <w:rPr>
          <w:sz w:val="24"/>
        </w:rPr>
      </w:pPr>
      <w:r>
        <w:rPr>
          <w:sz w:val="24"/>
        </w:rPr>
        <w:t>Designed</w:t>
      </w:r>
      <w:r>
        <w:rPr>
          <w:spacing w:val="-4"/>
          <w:sz w:val="24"/>
        </w:rPr>
        <w:t> </w:t>
      </w:r>
      <w:r>
        <w:rPr>
          <w:sz w:val="24"/>
        </w:rPr>
        <w:t>to</w:t>
      </w:r>
      <w:r>
        <w:rPr>
          <w:spacing w:val="-4"/>
          <w:sz w:val="24"/>
        </w:rPr>
        <w:t> </w:t>
      </w:r>
      <w:r>
        <w:rPr>
          <w:sz w:val="24"/>
        </w:rPr>
        <w:t>assist</w:t>
      </w:r>
      <w:r>
        <w:rPr>
          <w:spacing w:val="-3"/>
          <w:sz w:val="24"/>
        </w:rPr>
        <w:t> </w:t>
      </w:r>
      <w:r>
        <w:rPr>
          <w:sz w:val="24"/>
        </w:rPr>
        <w:t>an</w:t>
      </w:r>
      <w:r>
        <w:rPr>
          <w:spacing w:val="-4"/>
          <w:sz w:val="24"/>
        </w:rPr>
        <w:t> </w:t>
      </w:r>
      <w:r>
        <w:rPr>
          <w:sz w:val="24"/>
        </w:rPr>
        <w:t>individual</w:t>
      </w:r>
      <w:r>
        <w:rPr>
          <w:spacing w:val="-4"/>
          <w:sz w:val="24"/>
        </w:rPr>
        <w:t> </w:t>
      </w:r>
      <w:r>
        <w:rPr>
          <w:sz w:val="24"/>
        </w:rPr>
        <w:t>with</w:t>
      </w:r>
      <w:r>
        <w:rPr>
          <w:spacing w:val="-4"/>
          <w:sz w:val="24"/>
        </w:rPr>
        <w:t> </w:t>
      </w:r>
      <w:r>
        <w:rPr>
          <w:sz w:val="24"/>
        </w:rPr>
        <w:t>a</w:t>
      </w:r>
      <w:r>
        <w:rPr>
          <w:spacing w:val="-4"/>
          <w:sz w:val="24"/>
        </w:rPr>
        <w:t> </w:t>
      </w:r>
      <w:r>
        <w:rPr>
          <w:sz w:val="24"/>
        </w:rPr>
        <w:t>disability</w:t>
      </w:r>
      <w:r>
        <w:rPr>
          <w:spacing w:val="-4"/>
          <w:sz w:val="24"/>
        </w:rPr>
        <w:t> </w:t>
      </w:r>
      <w:r>
        <w:rPr>
          <w:sz w:val="24"/>
        </w:rPr>
        <w:t>to</w:t>
      </w:r>
      <w:r>
        <w:rPr>
          <w:spacing w:val="-4"/>
          <w:sz w:val="24"/>
        </w:rPr>
        <w:t> </w:t>
      </w:r>
      <w:r>
        <w:rPr>
          <w:sz w:val="24"/>
        </w:rPr>
        <w:t>perform</w:t>
      </w:r>
      <w:r>
        <w:rPr>
          <w:spacing w:val="-5"/>
          <w:sz w:val="24"/>
        </w:rPr>
        <w:t> </w:t>
      </w:r>
      <w:r>
        <w:rPr>
          <w:sz w:val="24"/>
        </w:rPr>
        <w:t>daily</w:t>
      </w:r>
      <w:r>
        <w:rPr>
          <w:spacing w:val="-4"/>
          <w:sz w:val="24"/>
        </w:rPr>
        <w:t> </w:t>
      </w:r>
      <w:r>
        <w:rPr>
          <w:sz w:val="24"/>
        </w:rPr>
        <w:t>living</w:t>
      </w:r>
      <w:r>
        <w:rPr>
          <w:spacing w:val="-4"/>
          <w:sz w:val="24"/>
        </w:rPr>
        <w:t> </w:t>
      </w:r>
      <w:r>
        <w:rPr>
          <w:sz w:val="24"/>
        </w:rPr>
        <w:t>activities on or off the job that the individual would typically perform without assistance if the individual did not have a disability;</w:t>
      </w:r>
    </w:p>
    <w:p>
      <w:pPr>
        <w:pStyle w:val="ListParagraph"/>
        <w:numPr>
          <w:ilvl w:val="1"/>
          <w:numId w:val="224"/>
        </w:numPr>
        <w:tabs>
          <w:tab w:pos="1236" w:val="left" w:leader="none"/>
        </w:tabs>
        <w:spacing w:line="208" w:lineRule="auto" w:before="240" w:after="0"/>
        <w:ind w:left="810" w:right="1589" w:firstLine="0"/>
        <w:jc w:val="both"/>
        <w:rPr>
          <w:sz w:val="24"/>
        </w:rPr>
      </w:pPr>
      <w:r>
        <w:rPr>
          <w:sz w:val="24"/>
        </w:rPr>
        <w:t>Designed</w:t>
      </w:r>
      <w:r>
        <w:rPr>
          <w:spacing w:val="-4"/>
          <w:sz w:val="24"/>
        </w:rPr>
        <w:t> </w:t>
      </w:r>
      <w:r>
        <w:rPr>
          <w:sz w:val="24"/>
        </w:rPr>
        <w:t>to</w:t>
      </w:r>
      <w:r>
        <w:rPr>
          <w:spacing w:val="-4"/>
          <w:sz w:val="24"/>
        </w:rPr>
        <w:t> </w:t>
      </w:r>
      <w:r>
        <w:rPr>
          <w:sz w:val="24"/>
        </w:rPr>
        <w:t>increase</w:t>
      </w:r>
      <w:r>
        <w:rPr>
          <w:spacing w:val="-4"/>
          <w:sz w:val="24"/>
        </w:rPr>
        <w:t> </w:t>
      </w:r>
      <w:r>
        <w:rPr>
          <w:sz w:val="24"/>
        </w:rPr>
        <w:t>the</w:t>
      </w:r>
      <w:r>
        <w:rPr>
          <w:spacing w:val="-4"/>
          <w:sz w:val="24"/>
        </w:rPr>
        <w:t> </w:t>
      </w:r>
      <w:r>
        <w:rPr>
          <w:sz w:val="24"/>
        </w:rPr>
        <w:t>individual's</w:t>
      </w:r>
      <w:r>
        <w:rPr>
          <w:spacing w:val="-4"/>
          <w:sz w:val="24"/>
        </w:rPr>
        <w:t> </w:t>
      </w:r>
      <w:r>
        <w:rPr>
          <w:sz w:val="24"/>
        </w:rPr>
        <w:t>control</w:t>
      </w:r>
      <w:r>
        <w:rPr>
          <w:spacing w:val="-4"/>
          <w:sz w:val="24"/>
        </w:rPr>
        <w:t> </w:t>
      </w:r>
      <w:r>
        <w:rPr>
          <w:sz w:val="24"/>
        </w:rPr>
        <w:t>in</w:t>
      </w:r>
      <w:r>
        <w:rPr>
          <w:spacing w:val="-4"/>
          <w:sz w:val="24"/>
        </w:rPr>
        <w:t> </w:t>
      </w:r>
      <w:r>
        <w:rPr>
          <w:sz w:val="24"/>
        </w:rPr>
        <w:t>life</w:t>
      </w:r>
      <w:r>
        <w:rPr>
          <w:spacing w:val="-4"/>
          <w:sz w:val="24"/>
        </w:rPr>
        <w:t> </w:t>
      </w:r>
      <w:r>
        <w:rPr>
          <w:sz w:val="24"/>
        </w:rPr>
        <w:t>and</w:t>
      </w:r>
      <w:r>
        <w:rPr>
          <w:spacing w:val="-4"/>
          <w:sz w:val="24"/>
        </w:rPr>
        <w:t> </w:t>
      </w:r>
      <w:r>
        <w:rPr>
          <w:sz w:val="24"/>
        </w:rPr>
        <w:t>ability</w:t>
      </w:r>
      <w:r>
        <w:rPr>
          <w:spacing w:val="-4"/>
          <w:sz w:val="24"/>
        </w:rPr>
        <w:t> </w:t>
      </w:r>
      <w:r>
        <w:rPr>
          <w:sz w:val="24"/>
        </w:rPr>
        <w:t>to</w:t>
      </w:r>
      <w:r>
        <w:rPr>
          <w:spacing w:val="-4"/>
          <w:sz w:val="24"/>
        </w:rPr>
        <w:t> </w:t>
      </w:r>
      <w:r>
        <w:rPr>
          <w:sz w:val="24"/>
        </w:rPr>
        <w:t>perform everyday activities on or off the job.</w:t>
      </w:r>
    </w:p>
    <w:p>
      <w:pPr>
        <w:pStyle w:val="ListParagraph"/>
        <w:numPr>
          <w:ilvl w:val="1"/>
          <w:numId w:val="224"/>
        </w:numPr>
        <w:tabs>
          <w:tab w:pos="1236" w:val="left" w:leader="none"/>
        </w:tabs>
        <w:spacing w:line="208" w:lineRule="auto" w:before="240" w:after="0"/>
        <w:ind w:left="810" w:right="1664" w:firstLine="0"/>
        <w:jc w:val="both"/>
        <w:rPr>
          <w:sz w:val="24"/>
        </w:rPr>
      </w:pPr>
      <w:r>
        <w:rPr>
          <w:sz w:val="24"/>
        </w:rPr>
        <w:t>Necessary</w:t>
      </w:r>
      <w:r>
        <w:rPr>
          <w:spacing w:val="-2"/>
          <w:sz w:val="24"/>
        </w:rPr>
        <w:t> </w:t>
      </w:r>
      <w:r>
        <w:rPr>
          <w:sz w:val="24"/>
        </w:rPr>
        <w:t>to</w:t>
      </w:r>
      <w:r>
        <w:rPr>
          <w:spacing w:val="-3"/>
          <w:sz w:val="24"/>
        </w:rPr>
        <w:t> </w:t>
      </w:r>
      <w:r>
        <w:rPr>
          <w:sz w:val="24"/>
        </w:rPr>
        <w:t>the</w:t>
      </w:r>
      <w:r>
        <w:rPr>
          <w:spacing w:val="-2"/>
          <w:sz w:val="24"/>
        </w:rPr>
        <w:t> </w:t>
      </w:r>
      <w:r>
        <w:rPr>
          <w:sz w:val="24"/>
        </w:rPr>
        <w:t>achievement of</w:t>
      </w:r>
      <w:r>
        <w:rPr>
          <w:spacing w:val="-1"/>
          <w:sz w:val="24"/>
        </w:rPr>
        <w:t> </w:t>
      </w:r>
      <w:r>
        <w:rPr>
          <w:sz w:val="24"/>
        </w:rPr>
        <w:t>an</w:t>
      </w:r>
      <w:r>
        <w:rPr>
          <w:spacing w:val="-2"/>
          <w:sz w:val="24"/>
        </w:rPr>
        <w:t> </w:t>
      </w:r>
      <w:r>
        <w:rPr>
          <w:sz w:val="24"/>
        </w:rPr>
        <w:t>employment</w:t>
      </w:r>
      <w:r>
        <w:rPr>
          <w:spacing w:val="-1"/>
          <w:sz w:val="24"/>
        </w:rPr>
        <w:t> </w:t>
      </w:r>
      <w:r>
        <w:rPr>
          <w:sz w:val="24"/>
        </w:rPr>
        <w:t>outcome</w:t>
      </w:r>
      <w:r>
        <w:rPr>
          <w:spacing w:val="-2"/>
          <w:sz w:val="24"/>
        </w:rPr>
        <w:t> </w:t>
      </w:r>
      <w:r>
        <w:rPr>
          <w:sz w:val="24"/>
        </w:rPr>
        <w:t>and</w:t>
      </w:r>
      <w:r>
        <w:rPr>
          <w:spacing w:val="-2"/>
          <w:sz w:val="24"/>
        </w:rPr>
        <w:t> </w:t>
      </w:r>
      <w:r>
        <w:rPr>
          <w:sz w:val="24"/>
        </w:rPr>
        <w:t>may</w:t>
      </w:r>
      <w:r>
        <w:rPr>
          <w:spacing w:val="-2"/>
          <w:sz w:val="24"/>
        </w:rPr>
        <w:t> </w:t>
      </w:r>
      <w:r>
        <w:rPr>
          <w:sz w:val="24"/>
        </w:rPr>
        <w:t>be provided</w:t>
      </w:r>
      <w:r>
        <w:rPr>
          <w:spacing w:val="-5"/>
          <w:sz w:val="24"/>
        </w:rPr>
        <w:t> </w:t>
      </w:r>
      <w:r>
        <w:rPr>
          <w:sz w:val="24"/>
        </w:rPr>
        <w:t>only</w:t>
      </w:r>
      <w:r>
        <w:rPr>
          <w:spacing w:val="-5"/>
          <w:sz w:val="24"/>
        </w:rPr>
        <w:t> </w:t>
      </w:r>
      <w:r>
        <w:rPr>
          <w:sz w:val="24"/>
        </w:rPr>
        <w:t>while</w:t>
      </w:r>
      <w:r>
        <w:rPr>
          <w:spacing w:val="-5"/>
          <w:sz w:val="24"/>
        </w:rPr>
        <w:t> </w:t>
      </w:r>
      <w:r>
        <w:rPr>
          <w:sz w:val="24"/>
        </w:rPr>
        <w:t>the</w:t>
      </w:r>
      <w:r>
        <w:rPr>
          <w:spacing w:val="-5"/>
          <w:sz w:val="24"/>
        </w:rPr>
        <w:t> </w:t>
      </w:r>
      <w:r>
        <w:rPr>
          <w:sz w:val="24"/>
        </w:rPr>
        <w:t>individual</w:t>
      </w:r>
      <w:r>
        <w:rPr>
          <w:spacing w:val="-4"/>
          <w:sz w:val="24"/>
        </w:rPr>
        <w:t> </w:t>
      </w:r>
      <w:r>
        <w:rPr>
          <w:sz w:val="24"/>
        </w:rPr>
        <w:t>is</w:t>
      </w:r>
      <w:r>
        <w:rPr>
          <w:spacing w:val="-5"/>
          <w:sz w:val="24"/>
        </w:rPr>
        <w:t> </w:t>
      </w:r>
      <w:r>
        <w:rPr>
          <w:sz w:val="24"/>
        </w:rPr>
        <w:t>receiving</w:t>
      </w:r>
      <w:r>
        <w:rPr>
          <w:spacing w:val="-5"/>
          <w:sz w:val="24"/>
        </w:rPr>
        <w:t> </w:t>
      </w:r>
      <w:r>
        <w:rPr>
          <w:sz w:val="24"/>
        </w:rPr>
        <w:t>other</w:t>
      </w:r>
      <w:r>
        <w:rPr>
          <w:spacing w:val="-4"/>
          <w:sz w:val="24"/>
        </w:rPr>
        <w:t> </w:t>
      </w:r>
      <w:r>
        <w:rPr>
          <w:sz w:val="24"/>
        </w:rPr>
        <w:t>vocational</w:t>
      </w:r>
      <w:r>
        <w:rPr>
          <w:spacing w:val="-5"/>
          <w:sz w:val="24"/>
        </w:rPr>
        <w:t> </w:t>
      </w:r>
      <w:r>
        <w:rPr>
          <w:sz w:val="24"/>
        </w:rPr>
        <w:t>rehabilitation </w:t>
      </w:r>
      <w:r>
        <w:rPr>
          <w:spacing w:val="-2"/>
          <w:sz w:val="24"/>
        </w:rPr>
        <w:t>services.</w:t>
      </w:r>
    </w:p>
    <w:p>
      <w:pPr>
        <w:pStyle w:val="ListParagraph"/>
        <w:numPr>
          <w:ilvl w:val="1"/>
          <w:numId w:val="224"/>
        </w:numPr>
        <w:tabs>
          <w:tab w:pos="1236" w:val="left" w:leader="none"/>
        </w:tabs>
        <w:spacing w:line="208" w:lineRule="auto" w:before="240" w:after="0"/>
        <w:ind w:left="810" w:right="865" w:firstLine="0"/>
        <w:jc w:val="both"/>
        <w:rPr>
          <w:sz w:val="24"/>
        </w:rPr>
      </w:pPr>
      <w:r>
        <w:rPr>
          <w:sz w:val="24"/>
        </w:rPr>
        <w:t>Services</w:t>
      </w:r>
      <w:r>
        <w:rPr>
          <w:spacing w:val="-5"/>
          <w:sz w:val="24"/>
        </w:rPr>
        <w:t> </w:t>
      </w:r>
      <w:r>
        <w:rPr>
          <w:sz w:val="24"/>
        </w:rPr>
        <w:t>may</w:t>
      </w:r>
      <w:r>
        <w:rPr>
          <w:spacing w:val="-5"/>
          <w:sz w:val="24"/>
        </w:rPr>
        <w:t> </w:t>
      </w:r>
      <w:r>
        <w:rPr>
          <w:sz w:val="24"/>
        </w:rPr>
        <w:t>include</w:t>
      </w:r>
      <w:r>
        <w:rPr>
          <w:spacing w:val="-5"/>
          <w:sz w:val="24"/>
        </w:rPr>
        <w:t> </w:t>
      </w:r>
      <w:r>
        <w:rPr>
          <w:sz w:val="24"/>
        </w:rPr>
        <w:t>training</w:t>
      </w:r>
      <w:r>
        <w:rPr>
          <w:spacing w:val="-4"/>
          <w:sz w:val="24"/>
        </w:rPr>
        <w:t> </w:t>
      </w:r>
      <w:r>
        <w:rPr>
          <w:sz w:val="24"/>
        </w:rPr>
        <w:t>in</w:t>
      </w:r>
      <w:r>
        <w:rPr>
          <w:spacing w:val="-5"/>
          <w:sz w:val="24"/>
        </w:rPr>
        <w:t> </w:t>
      </w:r>
      <w:r>
        <w:rPr>
          <w:sz w:val="24"/>
        </w:rPr>
        <w:t>managing,</w:t>
      </w:r>
      <w:r>
        <w:rPr>
          <w:spacing w:val="-4"/>
          <w:sz w:val="24"/>
        </w:rPr>
        <w:t> </w:t>
      </w:r>
      <w:r>
        <w:rPr>
          <w:sz w:val="24"/>
        </w:rPr>
        <w:t>supervising,</w:t>
      </w:r>
      <w:r>
        <w:rPr>
          <w:spacing w:val="-4"/>
          <w:sz w:val="24"/>
        </w:rPr>
        <w:t> </w:t>
      </w:r>
      <w:r>
        <w:rPr>
          <w:sz w:val="24"/>
        </w:rPr>
        <w:t>and</w:t>
      </w:r>
      <w:r>
        <w:rPr>
          <w:spacing w:val="-5"/>
          <w:sz w:val="24"/>
        </w:rPr>
        <w:t> </w:t>
      </w:r>
      <w:r>
        <w:rPr>
          <w:sz w:val="24"/>
        </w:rPr>
        <w:t>directing</w:t>
      </w:r>
      <w:r>
        <w:rPr>
          <w:spacing w:val="-5"/>
          <w:sz w:val="24"/>
        </w:rPr>
        <w:t> </w:t>
      </w:r>
      <w:r>
        <w:rPr>
          <w:sz w:val="24"/>
        </w:rPr>
        <w:t>personal assistance services, as found in 361.5 (c) (38).</w:t>
      </w:r>
    </w:p>
    <w:p>
      <w:pPr>
        <w:pStyle w:val="ListParagraph"/>
        <w:numPr>
          <w:ilvl w:val="0"/>
          <w:numId w:val="224"/>
        </w:numPr>
        <w:tabs>
          <w:tab w:pos="786" w:val="left" w:leader="none"/>
        </w:tabs>
        <w:spacing w:line="258" w:lineRule="exact" w:before="210" w:after="0"/>
        <w:ind w:left="786" w:right="0" w:hanging="426"/>
        <w:jc w:val="left"/>
        <w:rPr>
          <w:sz w:val="24"/>
        </w:rPr>
      </w:pPr>
      <w:r>
        <w:rPr>
          <w:sz w:val="24"/>
        </w:rPr>
        <w:t>Fees</w:t>
      </w:r>
      <w:r>
        <w:rPr>
          <w:spacing w:val="-6"/>
          <w:sz w:val="24"/>
        </w:rPr>
        <w:t> </w:t>
      </w:r>
      <w:r>
        <w:rPr>
          <w:sz w:val="24"/>
        </w:rPr>
        <w:t>for</w:t>
      </w:r>
      <w:r>
        <w:rPr>
          <w:spacing w:val="-1"/>
          <w:sz w:val="24"/>
        </w:rPr>
        <w:t> </w:t>
      </w:r>
      <w:r>
        <w:rPr>
          <w:sz w:val="24"/>
        </w:rPr>
        <w:t>these</w:t>
      </w:r>
      <w:r>
        <w:rPr>
          <w:spacing w:val="-3"/>
          <w:sz w:val="24"/>
        </w:rPr>
        <w:t> </w:t>
      </w:r>
      <w:r>
        <w:rPr>
          <w:sz w:val="24"/>
        </w:rPr>
        <w:t>services</w:t>
      </w:r>
      <w:r>
        <w:rPr>
          <w:spacing w:val="-2"/>
          <w:sz w:val="24"/>
        </w:rPr>
        <w:t> </w:t>
      </w:r>
      <w:r>
        <w:rPr>
          <w:sz w:val="24"/>
        </w:rPr>
        <w:t>are</w:t>
      </w:r>
      <w:r>
        <w:rPr>
          <w:spacing w:val="-2"/>
          <w:sz w:val="24"/>
        </w:rPr>
        <w:t> </w:t>
      </w:r>
      <w:r>
        <w:rPr>
          <w:sz w:val="24"/>
        </w:rPr>
        <w:t>negotiable</w:t>
      </w:r>
      <w:r>
        <w:rPr>
          <w:spacing w:val="-3"/>
          <w:sz w:val="24"/>
        </w:rPr>
        <w:t> </w:t>
      </w:r>
      <w:r>
        <w:rPr>
          <w:sz w:val="24"/>
        </w:rPr>
        <w:t>at</w:t>
      </w:r>
      <w:r>
        <w:rPr>
          <w:spacing w:val="-1"/>
          <w:sz w:val="24"/>
        </w:rPr>
        <w:t> </w:t>
      </w:r>
      <w:r>
        <w:rPr>
          <w:sz w:val="24"/>
        </w:rPr>
        <w:t>or</w:t>
      </w:r>
      <w:r>
        <w:rPr>
          <w:spacing w:val="-2"/>
          <w:sz w:val="24"/>
        </w:rPr>
        <w:t> </w:t>
      </w:r>
      <w:r>
        <w:rPr>
          <w:sz w:val="24"/>
        </w:rPr>
        <w:t>above</w:t>
      </w:r>
      <w:r>
        <w:rPr>
          <w:spacing w:val="-3"/>
          <w:sz w:val="24"/>
        </w:rPr>
        <w:t> </w:t>
      </w:r>
      <w:r>
        <w:rPr>
          <w:sz w:val="24"/>
        </w:rPr>
        <w:t>minimum</w:t>
      </w:r>
      <w:r>
        <w:rPr>
          <w:spacing w:val="-1"/>
          <w:sz w:val="24"/>
        </w:rPr>
        <w:t> </w:t>
      </w:r>
      <w:r>
        <w:rPr>
          <w:sz w:val="24"/>
        </w:rPr>
        <w:t>wage</w:t>
      </w:r>
      <w:r>
        <w:rPr>
          <w:spacing w:val="-3"/>
          <w:sz w:val="24"/>
        </w:rPr>
        <w:t> </w:t>
      </w:r>
      <w:r>
        <w:rPr>
          <w:sz w:val="24"/>
        </w:rPr>
        <w:t>by</w:t>
      </w:r>
      <w:r>
        <w:rPr>
          <w:spacing w:val="-2"/>
          <w:sz w:val="24"/>
        </w:rPr>
        <w:t> </w:t>
      </w:r>
      <w:r>
        <w:rPr>
          <w:sz w:val="24"/>
        </w:rPr>
        <w:t>the</w:t>
      </w:r>
      <w:r>
        <w:rPr>
          <w:spacing w:val="-2"/>
          <w:sz w:val="24"/>
        </w:rPr>
        <w:t> counselor.</w:t>
      </w:r>
    </w:p>
    <w:p>
      <w:pPr>
        <w:pStyle w:val="BodyText"/>
        <w:spacing w:line="258" w:lineRule="exact" w:before="0"/>
      </w:pPr>
      <w:r>
        <w:rPr>
          <w:b/>
        </w:rPr>
        <w:t>2</w:t>
      </w:r>
      <w:r>
        <w:rPr>
          <w:b/>
          <w:spacing w:val="-4"/>
        </w:rPr>
        <w:t> </w:t>
      </w:r>
      <w:r>
        <w:rPr/>
        <w:t>This</w:t>
      </w:r>
      <w:r>
        <w:rPr>
          <w:spacing w:val="-3"/>
        </w:rPr>
        <w:t> </w:t>
      </w:r>
      <w:r>
        <w:rPr/>
        <w:t>service</w:t>
      </w:r>
      <w:r>
        <w:rPr>
          <w:spacing w:val="-3"/>
        </w:rPr>
        <w:t> </w:t>
      </w:r>
      <w:r>
        <w:rPr/>
        <w:t>does</w:t>
      </w:r>
      <w:r>
        <w:rPr>
          <w:spacing w:val="-4"/>
        </w:rPr>
        <w:t> </w:t>
      </w:r>
      <w:r>
        <w:rPr/>
        <w:t>not</w:t>
      </w:r>
      <w:r>
        <w:rPr>
          <w:spacing w:val="-2"/>
        </w:rPr>
        <w:t> </w:t>
      </w:r>
      <w:r>
        <w:rPr/>
        <w:t>require</w:t>
      </w:r>
      <w:r>
        <w:rPr>
          <w:spacing w:val="-3"/>
        </w:rPr>
        <w:t> </w:t>
      </w:r>
      <w:r>
        <w:rPr/>
        <w:t>consideration</w:t>
      </w:r>
      <w:r>
        <w:rPr>
          <w:spacing w:val="-2"/>
        </w:rPr>
        <w:t> </w:t>
      </w:r>
      <w:r>
        <w:rPr/>
        <w:t>of</w:t>
      </w:r>
      <w:r>
        <w:rPr>
          <w:spacing w:val="-3"/>
        </w:rPr>
        <w:t> </w:t>
      </w:r>
      <w:r>
        <w:rPr/>
        <w:t>client</w:t>
      </w:r>
      <w:r>
        <w:rPr>
          <w:spacing w:val="-2"/>
        </w:rPr>
        <w:t> </w:t>
      </w:r>
      <w:r>
        <w:rPr/>
        <w:t>participation</w:t>
      </w:r>
      <w:r>
        <w:rPr>
          <w:spacing w:val="-3"/>
        </w:rPr>
        <w:t> </w:t>
      </w:r>
      <w:r>
        <w:rPr/>
        <w:t>in</w:t>
      </w:r>
      <w:r>
        <w:rPr>
          <w:spacing w:val="-3"/>
        </w:rPr>
        <w:t> </w:t>
      </w:r>
      <w:r>
        <w:rPr>
          <w:spacing w:val="-2"/>
        </w:rPr>
        <w:t>cost.</w:t>
      </w:r>
    </w:p>
    <w:p>
      <w:pPr>
        <w:pStyle w:val="ListParagraph"/>
        <w:numPr>
          <w:ilvl w:val="0"/>
          <w:numId w:val="224"/>
        </w:numPr>
        <w:tabs>
          <w:tab w:pos="773" w:val="left" w:leader="none"/>
        </w:tabs>
        <w:spacing w:line="240" w:lineRule="auto" w:before="204" w:after="0"/>
        <w:ind w:left="773" w:right="0" w:hanging="413"/>
        <w:jc w:val="left"/>
        <w:rPr>
          <w:sz w:val="24"/>
        </w:rPr>
      </w:pPr>
      <w:r>
        <w:rPr>
          <w:sz w:val="24"/>
        </w:rPr>
        <w:t>Case</w:t>
      </w:r>
      <w:r>
        <w:rPr>
          <w:spacing w:val="-2"/>
          <w:sz w:val="24"/>
        </w:rPr>
        <w:t> Recording.</w:t>
      </w:r>
    </w:p>
    <w:p>
      <w:pPr>
        <w:pStyle w:val="ListParagraph"/>
        <w:numPr>
          <w:ilvl w:val="1"/>
          <w:numId w:val="224"/>
        </w:numPr>
        <w:tabs>
          <w:tab w:pos="1170" w:val="left" w:leader="none"/>
        </w:tabs>
        <w:spacing w:line="208" w:lineRule="auto" w:before="233" w:after="0"/>
        <w:ind w:left="810" w:right="889" w:firstLine="0"/>
        <w:jc w:val="both"/>
        <w:rPr>
          <w:sz w:val="24"/>
        </w:rPr>
      </w:pPr>
      <w:r>
        <w:rPr>
          <w:sz w:val="24"/>
        </w:rPr>
        <w:t>The</w:t>
      </w:r>
      <w:r>
        <w:rPr>
          <w:spacing w:val="-4"/>
          <w:sz w:val="24"/>
        </w:rPr>
        <w:t> </w:t>
      </w:r>
      <w:r>
        <w:rPr>
          <w:sz w:val="24"/>
        </w:rPr>
        <w:t>justification</w:t>
      </w:r>
      <w:r>
        <w:rPr>
          <w:spacing w:val="-4"/>
          <w:sz w:val="24"/>
        </w:rPr>
        <w:t> </w:t>
      </w:r>
      <w:r>
        <w:rPr>
          <w:sz w:val="24"/>
        </w:rPr>
        <w:t>for</w:t>
      </w:r>
      <w:r>
        <w:rPr>
          <w:spacing w:val="-3"/>
          <w:sz w:val="24"/>
        </w:rPr>
        <w:t> </w:t>
      </w:r>
      <w:r>
        <w:rPr>
          <w:sz w:val="24"/>
        </w:rPr>
        <w:t>providing</w:t>
      </w:r>
      <w:r>
        <w:rPr>
          <w:spacing w:val="-4"/>
          <w:sz w:val="24"/>
        </w:rPr>
        <w:t> </w:t>
      </w:r>
      <w:r>
        <w:rPr>
          <w:sz w:val="24"/>
        </w:rPr>
        <w:t>the</w:t>
      </w:r>
      <w:r>
        <w:rPr>
          <w:spacing w:val="-4"/>
          <w:sz w:val="24"/>
        </w:rPr>
        <w:t> </w:t>
      </w:r>
      <w:r>
        <w:rPr>
          <w:sz w:val="24"/>
        </w:rPr>
        <w:t>services</w:t>
      </w:r>
      <w:r>
        <w:rPr>
          <w:spacing w:val="-4"/>
          <w:sz w:val="24"/>
        </w:rPr>
        <w:t> </w:t>
      </w:r>
      <w:r>
        <w:rPr>
          <w:sz w:val="24"/>
        </w:rPr>
        <w:t>must</w:t>
      </w:r>
      <w:r>
        <w:rPr>
          <w:spacing w:val="-3"/>
          <w:sz w:val="24"/>
        </w:rPr>
        <w:t> </w:t>
      </w:r>
      <w:r>
        <w:rPr>
          <w:sz w:val="24"/>
        </w:rPr>
        <w:t>be</w:t>
      </w:r>
      <w:r>
        <w:rPr>
          <w:spacing w:val="-4"/>
          <w:sz w:val="24"/>
        </w:rPr>
        <w:t> </w:t>
      </w:r>
      <w:r>
        <w:rPr>
          <w:sz w:val="24"/>
        </w:rPr>
        <w:t>documented</w:t>
      </w:r>
      <w:r>
        <w:rPr>
          <w:spacing w:val="-3"/>
          <w:sz w:val="24"/>
        </w:rPr>
        <w:t> </w:t>
      </w:r>
      <w:r>
        <w:rPr>
          <w:sz w:val="24"/>
        </w:rPr>
        <w:t>in</w:t>
      </w:r>
      <w:r>
        <w:rPr>
          <w:spacing w:val="-4"/>
          <w:sz w:val="24"/>
        </w:rPr>
        <w:t> </w:t>
      </w:r>
      <w:r>
        <w:rPr>
          <w:sz w:val="24"/>
        </w:rPr>
        <w:t>the</w:t>
      </w:r>
      <w:r>
        <w:rPr>
          <w:spacing w:val="-4"/>
          <w:sz w:val="24"/>
        </w:rPr>
        <w:t> </w:t>
      </w:r>
      <w:r>
        <w:rPr>
          <w:sz w:val="24"/>
        </w:rPr>
        <w:t>record</w:t>
      </w:r>
      <w:r>
        <w:rPr>
          <w:spacing w:val="-4"/>
          <w:sz w:val="24"/>
        </w:rPr>
        <w:t> </w:t>
      </w:r>
      <w:r>
        <w:rPr>
          <w:sz w:val="24"/>
        </w:rPr>
        <w:t>of </w:t>
      </w:r>
      <w:r>
        <w:rPr>
          <w:spacing w:val="-2"/>
          <w:sz w:val="24"/>
        </w:rPr>
        <w:t>service.</w:t>
      </w:r>
    </w:p>
    <w:p>
      <w:pPr>
        <w:pStyle w:val="ListParagraph"/>
        <w:numPr>
          <w:ilvl w:val="1"/>
          <w:numId w:val="224"/>
        </w:numPr>
        <w:tabs>
          <w:tab w:pos="1236" w:val="left" w:leader="none"/>
        </w:tabs>
        <w:spacing w:line="208" w:lineRule="auto" w:before="240" w:after="0"/>
        <w:ind w:left="810" w:right="912" w:firstLine="0"/>
        <w:jc w:val="both"/>
        <w:rPr>
          <w:sz w:val="24"/>
        </w:rPr>
      </w:pPr>
      <w:r>
        <w:rPr>
          <w:sz w:val="24"/>
        </w:rPr>
        <w:t>Documentation</w:t>
      </w:r>
      <w:r>
        <w:rPr>
          <w:spacing w:val="-4"/>
          <w:sz w:val="24"/>
        </w:rPr>
        <w:t> </w:t>
      </w:r>
      <w:r>
        <w:rPr>
          <w:sz w:val="24"/>
        </w:rPr>
        <w:t>of</w:t>
      </w:r>
      <w:r>
        <w:rPr>
          <w:spacing w:val="-3"/>
          <w:sz w:val="24"/>
        </w:rPr>
        <w:t> </w:t>
      </w:r>
      <w:r>
        <w:rPr>
          <w:sz w:val="24"/>
        </w:rPr>
        <w:t>the</w:t>
      </w:r>
      <w:r>
        <w:rPr>
          <w:spacing w:val="-4"/>
          <w:sz w:val="24"/>
        </w:rPr>
        <w:t> </w:t>
      </w:r>
      <w:r>
        <w:rPr>
          <w:sz w:val="24"/>
        </w:rPr>
        <w:t>negotiated</w:t>
      </w:r>
      <w:r>
        <w:rPr>
          <w:spacing w:val="-4"/>
          <w:sz w:val="24"/>
        </w:rPr>
        <w:t> </w:t>
      </w:r>
      <w:r>
        <w:rPr>
          <w:sz w:val="24"/>
        </w:rPr>
        <w:t>amount</w:t>
      </w:r>
      <w:r>
        <w:rPr>
          <w:spacing w:val="-3"/>
          <w:sz w:val="24"/>
        </w:rPr>
        <w:t> </w:t>
      </w:r>
      <w:r>
        <w:rPr>
          <w:sz w:val="24"/>
        </w:rPr>
        <w:t>of</w:t>
      </w:r>
      <w:r>
        <w:rPr>
          <w:spacing w:val="-3"/>
          <w:sz w:val="24"/>
        </w:rPr>
        <w:t> </w:t>
      </w:r>
      <w:r>
        <w:rPr>
          <w:sz w:val="24"/>
        </w:rPr>
        <w:t>monthly</w:t>
      </w:r>
      <w:r>
        <w:rPr>
          <w:spacing w:val="-5"/>
          <w:sz w:val="24"/>
        </w:rPr>
        <w:t> </w:t>
      </w:r>
      <w:r>
        <w:rPr>
          <w:sz w:val="24"/>
        </w:rPr>
        <w:t>payment</w:t>
      </w:r>
      <w:r>
        <w:rPr>
          <w:spacing w:val="-3"/>
          <w:sz w:val="24"/>
        </w:rPr>
        <w:t> </w:t>
      </w:r>
      <w:r>
        <w:rPr>
          <w:sz w:val="24"/>
        </w:rPr>
        <w:t>that</w:t>
      </w:r>
      <w:r>
        <w:rPr>
          <w:spacing w:val="-3"/>
          <w:sz w:val="24"/>
        </w:rPr>
        <w:t> </w:t>
      </w:r>
      <w:r>
        <w:rPr>
          <w:sz w:val="24"/>
        </w:rPr>
        <w:t>is</w:t>
      </w:r>
      <w:r>
        <w:rPr>
          <w:spacing w:val="-4"/>
          <w:sz w:val="24"/>
        </w:rPr>
        <w:t> </w:t>
      </w:r>
      <w:r>
        <w:rPr>
          <w:sz w:val="24"/>
        </w:rPr>
        <w:t>agreed</w:t>
      </w:r>
      <w:r>
        <w:rPr>
          <w:spacing w:val="-4"/>
          <w:sz w:val="24"/>
        </w:rPr>
        <w:t> </w:t>
      </w:r>
      <w:r>
        <w:rPr>
          <w:sz w:val="24"/>
        </w:rPr>
        <w:t>to by both counselor and client.</w:t>
      </w:r>
    </w:p>
    <w:p>
      <w:pPr>
        <w:pStyle w:val="BodyText"/>
        <w:spacing w:before="211"/>
      </w:pPr>
      <w:r>
        <w:rPr/>
        <w:t>INSTRUCTIONS</w:t>
      </w:r>
      <w:r>
        <w:rPr>
          <w:spacing w:val="-3"/>
        </w:rPr>
        <w:t> </w:t>
      </w:r>
      <w:r>
        <w:rPr/>
        <w:t>TO</w:t>
      </w:r>
      <w:r>
        <w:rPr>
          <w:spacing w:val="-2"/>
        </w:rPr>
        <w:t> </w:t>
      </w:r>
      <w:r>
        <w:rPr>
          <w:spacing w:val="-4"/>
        </w:rPr>
        <w:t>STAFF</w:t>
      </w:r>
    </w:p>
    <w:p>
      <w:pPr>
        <w:pStyle w:val="ListParagraph"/>
        <w:numPr>
          <w:ilvl w:val="0"/>
          <w:numId w:val="225"/>
        </w:numPr>
        <w:tabs>
          <w:tab w:pos="1077" w:val="left" w:leader="none"/>
        </w:tabs>
        <w:spacing w:line="208" w:lineRule="auto" w:before="233" w:after="0"/>
        <w:ind w:left="791" w:right="1417" w:firstLine="0"/>
        <w:jc w:val="left"/>
        <w:rPr>
          <w:sz w:val="24"/>
        </w:rPr>
      </w:pPr>
      <w:r>
        <w:rPr>
          <w:sz w:val="24"/>
        </w:rPr>
        <w:t>The</w:t>
      </w:r>
      <w:r>
        <w:rPr>
          <w:spacing w:val="-4"/>
          <w:sz w:val="24"/>
        </w:rPr>
        <w:t> </w:t>
      </w:r>
      <w:r>
        <w:rPr>
          <w:sz w:val="24"/>
        </w:rPr>
        <w:t>justification</w:t>
      </w:r>
      <w:r>
        <w:rPr>
          <w:spacing w:val="-4"/>
          <w:sz w:val="24"/>
        </w:rPr>
        <w:t> </w:t>
      </w:r>
      <w:r>
        <w:rPr>
          <w:sz w:val="24"/>
        </w:rPr>
        <w:t>for</w:t>
      </w:r>
      <w:r>
        <w:rPr>
          <w:spacing w:val="-3"/>
          <w:sz w:val="24"/>
        </w:rPr>
        <w:t> </w:t>
      </w:r>
      <w:r>
        <w:rPr>
          <w:sz w:val="24"/>
        </w:rPr>
        <w:t>providing</w:t>
      </w:r>
      <w:r>
        <w:rPr>
          <w:spacing w:val="-4"/>
          <w:sz w:val="24"/>
        </w:rPr>
        <w:t> </w:t>
      </w:r>
      <w:r>
        <w:rPr>
          <w:sz w:val="24"/>
        </w:rPr>
        <w:t>the</w:t>
      </w:r>
      <w:r>
        <w:rPr>
          <w:spacing w:val="-4"/>
          <w:sz w:val="24"/>
        </w:rPr>
        <w:t> </w:t>
      </w:r>
      <w:r>
        <w:rPr>
          <w:sz w:val="24"/>
        </w:rPr>
        <w:t>services</w:t>
      </w:r>
      <w:r>
        <w:rPr>
          <w:spacing w:val="-4"/>
          <w:sz w:val="24"/>
        </w:rPr>
        <w:t> </w:t>
      </w:r>
      <w:r>
        <w:rPr>
          <w:sz w:val="24"/>
        </w:rPr>
        <w:t>must</w:t>
      </w:r>
      <w:r>
        <w:rPr>
          <w:spacing w:val="-3"/>
          <w:sz w:val="24"/>
        </w:rPr>
        <w:t> </w:t>
      </w:r>
      <w:r>
        <w:rPr>
          <w:sz w:val="24"/>
        </w:rPr>
        <w:t>be</w:t>
      </w:r>
      <w:r>
        <w:rPr>
          <w:spacing w:val="-4"/>
          <w:sz w:val="24"/>
        </w:rPr>
        <w:t> </w:t>
      </w:r>
      <w:r>
        <w:rPr>
          <w:sz w:val="24"/>
        </w:rPr>
        <w:t>documented</w:t>
      </w:r>
      <w:r>
        <w:rPr>
          <w:spacing w:val="-4"/>
          <w:sz w:val="24"/>
        </w:rPr>
        <w:t> </w:t>
      </w:r>
      <w:r>
        <w:rPr>
          <w:sz w:val="24"/>
        </w:rPr>
        <w:t>in</w:t>
      </w:r>
      <w:r>
        <w:rPr>
          <w:spacing w:val="-3"/>
          <w:sz w:val="24"/>
        </w:rPr>
        <w:t> </w:t>
      </w:r>
      <w:r>
        <w:rPr>
          <w:sz w:val="24"/>
        </w:rPr>
        <w:t>the</w:t>
      </w:r>
      <w:r>
        <w:rPr>
          <w:spacing w:val="-4"/>
          <w:sz w:val="24"/>
        </w:rPr>
        <w:t> </w:t>
      </w:r>
      <w:r>
        <w:rPr>
          <w:sz w:val="24"/>
        </w:rPr>
        <w:t>case </w:t>
      </w:r>
      <w:r>
        <w:rPr>
          <w:spacing w:val="-2"/>
          <w:sz w:val="24"/>
        </w:rPr>
        <w:t>record.</w:t>
      </w:r>
    </w:p>
    <w:p>
      <w:pPr>
        <w:pStyle w:val="ListParagraph"/>
        <w:numPr>
          <w:ilvl w:val="0"/>
          <w:numId w:val="225"/>
        </w:numPr>
        <w:tabs>
          <w:tab w:pos="1077" w:val="left" w:leader="none"/>
        </w:tabs>
        <w:spacing w:line="208" w:lineRule="auto" w:before="240" w:after="0"/>
        <w:ind w:left="791" w:right="800" w:firstLine="0"/>
        <w:jc w:val="left"/>
        <w:rPr>
          <w:sz w:val="24"/>
        </w:rPr>
      </w:pPr>
      <w:r>
        <w:rPr>
          <w:sz w:val="24"/>
        </w:rPr>
        <w:t>It is recommended counselors negotiate a monthly payment which will be authorized</w:t>
      </w:r>
      <w:r>
        <w:rPr>
          <w:spacing w:val="-2"/>
          <w:sz w:val="24"/>
        </w:rPr>
        <w:t> </w:t>
      </w:r>
      <w:r>
        <w:rPr>
          <w:sz w:val="24"/>
        </w:rPr>
        <w:t>to</w:t>
      </w:r>
      <w:r>
        <w:rPr>
          <w:spacing w:val="-3"/>
          <w:sz w:val="24"/>
        </w:rPr>
        <w:t> </w:t>
      </w:r>
      <w:r>
        <w:rPr>
          <w:sz w:val="24"/>
        </w:rPr>
        <w:t>the</w:t>
      </w:r>
      <w:r>
        <w:rPr>
          <w:spacing w:val="-3"/>
          <w:sz w:val="24"/>
        </w:rPr>
        <w:t> </w:t>
      </w:r>
      <w:r>
        <w:rPr>
          <w:sz w:val="24"/>
        </w:rPr>
        <w:t>client</w:t>
      </w:r>
      <w:r>
        <w:rPr>
          <w:spacing w:val="-2"/>
          <w:sz w:val="24"/>
        </w:rPr>
        <w:t> </w:t>
      </w:r>
      <w:r>
        <w:rPr>
          <w:sz w:val="24"/>
        </w:rPr>
        <w:t>to</w:t>
      </w:r>
      <w:r>
        <w:rPr>
          <w:spacing w:val="-3"/>
          <w:sz w:val="24"/>
        </w:rPr>
        <w:t> </w:t>
      </w:r>
      <w:r>
        <w:rPr>
          <w:sz w:val="24"/>
        </w:rPr>
        <w:t>pay</w:t>
      </w:r>
      <w:r>
        <w:rPr>
          <w:spacing w:val="-4"/>
          <w:sz w:val="24"/>
        </w:rPr>
        <w:t> </w:t>
      </w:r>
      <w:r>
        <w:rPr>
          <w:sz w:val="24"/>
        </w:rPr>
        <w:t>the</w:t>
      </w:r>
      <w:r>
        <w:rPr>
          <w:spacing w:val="-3"/>
          <w:sz w:val="24"/>
        </w:rPr>
        <w:t> </w:t>
      </w:r>
      <w:r>
        <w:rPr>
          <w:sz w:val="24"/>
        </w:rPr>
        <w:t>attendant</w:t>
      </w:r>
      <w:r>
        <w:rPr>
          <w:spacing w:val="-2"/>
          <w:sz w:val="24"/>
        </w:rPr>
        <w:t> </w:t>
      </w:r>
      <w:r>
        <w:rPr>
          <w:sz w:val="24"/>
        </w:rPr>
        <w:t>of</w:t>
      </w:r>
      <w:r>
        <w:rPr>
          <w:spacing w:val="-2"/>
          <w:sz w:val="24"/>
        </w:rPr>
        <w:t> </w:t>
      </w:r>
      <w:r>
        <w:rPr>
          <w:sz w:val="24"/>
        </w:rPr>
        <w:t>his</w:t>
      </w:r>
      <w:r>
        <w:rPr>
          <w:spacing w:val="-3"/>
          <w:sz w:val="24"/>
        </w:rPr>
        <w:t> </w:t>
      </w:r>
      <w:r>
        <w:rPr>
          <w:sz w:val="24"/>
        </w:rPr>
        <w:t>or</w:t>
      </w:r>
      <w:r>
        <w:rPr>
          <w:spacing w:val="-2"/>
          <w:sz w:val="24"/>
        </w:rPr>
        <w:t> </w:t>
      </w:r>
      <w:r>
        <w:rPr>
          <w:sz w:val="24"/>
        </w:rPr>
        <w:t>her</w:t>
      </w:r>
      <w:r>
        <w:rPr>
          <w:spacing w:val="-5"/>
          <w:sz w:val="24"/>
        </w:rPr>
        <w:t> </w:t>
      </w:r>
      <w:r>
        <w:rPr>
          <w:sz w:val="24"/>
        </w:rPr>
        <w:t>choice.</w:t>
      </w:r>
      <w:r>
        <w:rPr>
          <w:spacing w:val="-2"/>
          <w:sz w:val="24"/>
        </w:rPr>
        <w:t> </w:t>
      </w:r>
      <w:r>
        <w:rPr>
          <w:sz w:val="24"/>
        </w:rPr>
        <w:t>These</w:t>
      </w:r>
      <w:r>
        <w:rPr>
          <w:spacing w:val="-3"/>
          <w:sz w:val="24"/>
        </w:rPr>
        <w:t> </w:t>
      </w:r>
      <w:r>
        <w:rPr>
          <w:sz w:val="24"/>
        </w:rPr>
        <w:t>services</w:t>
      </w:r>
      <w:r>
        <w:rPr>
          <w:spacing w:val="-3"/>
          <w:sz w:val="24"/>
        </w:rPr>
        <w:t> </w:t>
      </w:r>
      <w:r>
        <w:rPr>
          <w:sz w:val="24"/>
        </w:rPr>
        <w:t>will be authorized to the client by the home counselor if the client is in an approved training program.</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10-1-97</w:t>
      </w:r>
      <w:r>
        <w:rPr>
          <w:sz w:val="22"/>
        </w:rPr>
        <w:tab/>
        <w:t>PT Memo #98-4</w:t>
      </w:r>
    </w:p>
    <w:p>
      <w:pPr>
        <w:spacing w:before="0"/>
        <w:ind w:left="1439" w:right="1036" w:firstLine="0"/>
        <w:jc w:val="left"/>
        <w:rPr>
          <w:sz w:val="22"/>
        </w:rPr>
      </w:pPr>
      <w:r>
        <w:rPr>
          <w:sz w:val="22"/>
        </w:rPr>
        <w:t>Emergency,</w:t>
      </w:r>
      <w:r>
        <w:rPr>
          <w:spacing w:val="-5"/>
          <w:sz w:val="22"/>
        </w:rPr>
        <w:t> </w:t>
      </w:r>
      <w:r>
        <w:rPr>
          <w:sz w:val="22"/>
        </w:rPr>
        <w:t>'attendant</w:t>
      </w:r>
      <w:r>
        <w:rPr>
          <w:spacing w:val="-5"/>
          <w:sz w:val="22"/>
        </w:rPr>
        <w:t> </w:t>
      </w:r>
      <w:r>
        <w:rPr>
          <w:sz w:val="22"/>
        </w:rPr>
        <w:t>services'</w:t>
      </w:r>
      <w:r>
        <w:rPr>
          <w:spacing w:val="-7"/>
          <w:sz w:val="22"/>
        </w:rPr>
        <w:t> </w:t>
      </w:r>
      <w:r>
        <w:rPr>
          <w:sz w:val="22"/>
        </w:rPr>
        <w:t>changed</w:t>
      </w:r>
      <w:r>
        <w:rPr>
          <w:spacing w:val="-5"/>
          <w:sz w:val="22"/>
        </w:rPr>
        <w:t> </w:t>
      </w:r>
      <w:r>
        <w:rPr>
          <w:sz w:val="22"/>
        </w:rPr>
        <w:t>to</w:t>
      </w:r>
      <w:r>
        <w:rPr>
          <w:spacing w:val="-5"/>
          <w:sz w:val="22"/>
        </w:rPr>
        <w:t> </w:t>
      </w:r>
      <w:r>
        <w:rPr>
          <w:sz w:val="22"/>
        </w:rPr>
        <w:t>'personal</w:t>
      </w:r>
      <w:r>
        <w:rPr>
          <w:spacing w:val="-5"/>
          <w:sz w:val="22"/>
        </w:rPr>
        <w:t> </w:t>
      </w:r>
      <w:r>
        <w:rPr>
          <w:sz w:val="22"/>
        </w:rPr>
        <w:t>assistance</w:t>
      </w:r>
      <w:r>
        <w:rPr>
          <w:spacing w:val="-5"/>
          <w:sz w:val="22"/>
        </w:rPr>
        <w:t> </w:t>
      </w:r>
      <w:r>
        <w:rPr>
          <w:sz w:val="22"/>
        </w:rPr>
        <w:t>services'</w:t>
      </w:r>
      <w:r>
        <w:rPr>
          <w:spacing w:val="-5"/>
          <w:sz w:val="22"/>
        </w:rPr>
        <w:t> </w:t>
      </w:r>
      <w:r>
        <w:rPr>
          <w:sz w:val="22"/>
        </w:rPr>
        <w:t>to conform with new RSA regulations</w:t>
      </w:r>
    </w:p>
    <w:p>
      <w:pPr>
        <w:pStyle w:val="ListParagraph"/>
        <w:numPr>
          <w:ilvl w:val="2"/>
          <w:numId w:val="187"/>
        </w:numPr>
        <w:tabs>
          <w:tab w:pos="1439" w:val="left" w:leader="none"/>
        </w:tabs>
        <w:spacing w:line="252"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#98-</w:t>
      </w:r>
      <w:r>
        <w:rPr>
          <w:spacing w:val="-5"/>
          <w:sz w:val="22"/>
        </w:rPr>
        <w:t>15</w:t>
      </w:r>
    </w:p>
    <w:p>
      <w:pPr>
        <w:pStyle w:val="ListParagraph"/>
        <w:spacing w:after="0" w:line="252" w:lineRule="exact"/>
        <w:jc w:val="left"/>
        <w:rPr>
          <w:sz w:val="22"/>
        </w:rPr>
        <w:sectPr>
          <w:pgSz w:w="12240" w:h="15840"/>
          <w:pgMar w:top="1340" w:bottom="280" w:left="1080" w:right="720"/>
        </w:sectPr>
      </w:pPr>
    </w:p>
    <w:p>
      <w:pPr>
        <w:spacing w:before="80"/>
        <w:ind w:left="1440" w:right="775" w:firstLine="0"/>
        <w:jc w:val="left"/>
        <w:rPr>
          <w:sz w:val="22"/>
        </w:rPr>
      </w:pPr>
      <w:r>
        <w:rPr>
          <w:sz w:val="22"/>
        </w:rPr>
        <w:t>Makes</w:t>
      </w:r>
      <w:r>
        <w:rPr>
          <w:spacing w:val="-5"/>
          <w:sz w:val="22"/>
        </w:rPr>
        <w:t> </w:t>
      </w:r>
      <w:r>
        <w:rPr>
          <w:sz w:val="22"/>
        </w:rPr>
        <w:t>emergency</w:t>
      </w:r>
      <w:r>
        <w:rPr>
          <w:spacing w:val="-5"/>
          <w:sz w:val="22"/>
        </w:rPr>
        <w:t> </w:t>
      </w:r>
      <w:r>
        <w:rPr>
          <w:sz w:val="22"/>
        </w:rPr>
        <w:t>rules</w:t>
      </w:r>
      <w:r>
        <w:rPr>
          <w:spacing w:val="-6"/>
          <w:sz w:val="22"/>
        </w:rPr>
        <w:t> </w:t>
      </w:r>
      <w:r>
        <w:rPr>
          <w:sz w:val="22"/>
        </w:rPr>
        <w:t>issued</w:t>
      </w:r>
      <w:r>
        <w:rPr>
          <w:spacing w:val="-5"/>
          <w:sz w:val="22"/>
        </w:rPr>
        <w:t> </w:t>
      </w:r>
      <w:r>
        <w:rPr>
          <w:sz w:val="22"/>
        </w:rPr>
        <w:t>10-1-97</w:t>
      </w:r>
      <w:r>
        <w:rPr>
          <w:spacing w:val="-5"/>
          <w:sz w:val="22"/>
        </w:rPr>
        <w:t> </w:t>
      </w:r>
      <w:r>
        <w:rPr>
          <w:sz w:val="22"/>
        </w:rPr>
        <w:t>permanent,</w:t>
      </w:r>
      <w:r>
        <w:rPr>
          <w:spacing w:val="-5"/>
          <w:sz w:val="22"/>
        </w:rPr>
        <w:t> </w:t>
      </w:r>
      <w:r>
        <w:rPr>
          <w:sz w:val="22"/>
        </w:rPr>
        <w:t>changes</w:t>
      </w:r>
      <w:r>
        <w:rPr>
          <w:spacing w:val="-6"/>
          <w:sz w:val="22"/>
        </w:rPr>
        <w:t> </w:t>
      </w:r>
      <w:r>
        <w:rPr>
          <w:sz w:val="22"/>
        </w:rPr>
        <w:t>'personal</w:t>
      </w:r>
      <w:r>
        <w:rPr>
          <w:spacing w:val="-5"/>
          <w:sz w:val="22"/>
        </w:rPr>
        <w:t> </w:t>
      </w:r>
      <w:r>
        <w:rPr>
          <w:sz w:val="22"/>
        </w:rPr>
        <w:t>attendant services' to 'personal assistance services'</w:t>
      </w:r>
    </w:p>
    <w:p>
      <w:pPr>
        <w:pStyle w:val="ListParagraph"/>
        <w:numPr>
          <w:ilvl w:val="2"/>
          <w:numId w:val="226"/>
        </w:numPr>
        <w:tabs>
          <w:tab w:pos="1439" w:val="left" w:leader="none"/>
        </w:tabs>
        <w:spacing w:line="252"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before="0"/>
        <w:ind w:left="1440" w:right="0" w:firstLine="0"/>
        <w:jc w:val="left"/>
        <w:rPr>
          <w:sz w:val="22"/>
        </w:rPr>
      </w:pPr>
      <w:r>
        <w:rPr>
          <w:sz w:val="22"/>
        </w:rPr>
        <w:t>Permanent,</w:t>
      </w:r>
      <w:r>
        <w:rPr>
          <w:spacing w:val="-7"/>
          <w:sz w:val="22"/>
        </w:rPr>
        <w:t> </w:t>
      </w:r>
      <w:r>
        <w:rPr>
          <w:sz w:val="22"/>
        </w:rPr>
        <w:t>revised</w:t>
      </w:r>
      <w:r>
        <w:rPr>
          <w:spacing w:val="-8"/>
          <w:sz w:val="22"/>
        </w:rPr>
        <w:t> </w:t>
      </w:r>
      <w:r>
        <w:rPr>
          <w:sz w:val="22"/>
        </w:rPr>
        <w:t>for</w:t>
      </w:r>
      <w:r>
        <w:rPr>
          <w:spacing w:val="-10"/>
          <w:sz w:val="22"/>
        </w:rPr>
        <w:t> </w:t>
      </w:r>
      <w:r>
        <w:rPr>
          <w:spacing w:val="-2"/>
          <w:sz w:val="22"/>
        </w:rPr>
        <w:t>clarity</w:t>
      </w:r>
    </w:p>
    <w:p>
      <w:pPr>
        <w:tabs>
          <w:tab w:pos="1439" w:val="left" w:leader="none"/>
        </w:tabs>
        <w:spacing w:before="0"/>
        <w:ind w:left="360" w:right="0" w:firstLine="0"/>
        <w:jc w:val="left"/>
        <w:rPr>
          <w:sz w:val="22"/>
        </w:rPr>
      </w:pPr>
      <w:r>
        <w:rPr>
          <w:spacing w:val="-2"/>
          <w:sz w:val="22"/>
        </w:rPr>
        <w:t>8-26-</w:t>
      </w:r>
      <w:r>
        <w:rPr>
          <w:spacing w:val="-5"/>
          <w:sz w:val="22"/>
        </w:rPr>
        <w:t>21</w:t>
      </w:r>
      <w:r>
        <w:rPr>
          <w:sz w:val="22"/>
        </w:rPr>
        <w:tab/>
        <w:t>Revised</w:t>
      </w:r>
      <w:r>
        <w:rPr>
          <w:spacing w:val="-7"/>
          <w:sz w:val="22"/>
        </w:rPr>
        <w:t> </w:t>
      </w:r>
      <w:r>
        <w:rPr>
          <w:sz w:val="22"/>
        </w:rPr>
        <w:t>to</w:t>
      </w:r>
      <w:r>
        <w:rPr>
          <w:spacing w:val="-6"/>
          <w:sz w:val="22"/>
        </w:rPr>
        <w:t> </w:t>
      </w:r>
      <w:r>
        <w:rPr>
          <w:sz w:val="22"/>
        </w:rPr>
        <w:t>reflect</w:t>
      </w:r>
      <w:r>
        <w:rPr>
          <w:spacing w:val="-7"/>
          <w:sz w:val="22"/>
        </w:rPr>
        <w:t> </w:t>
      </w:r>
      <w:r>
        <w:rPr>
          <w:sz w:val="22"/>
        </w:rPr>
        <w:t>WIOA</w:t>
      </w:r>
      <w:r>
        <w:rPr>
          <w:spacing w:val="-6"/>
          <w:sz w:val="22"/>
        </w:rPr>
        <w:t> </w:t>
      </w:r>
      <w:r>
        <w:rPr>
          <w:spacing w:val="-2"/>
          <w:sz w:val="22"/>
        </w:rPr>
        <w:t>language.</w:t>
      </w:r>
    </w:p>
    <w:p>
      <w:pPr>
        <w:spacing w:after="0"/>
        <w:jc w:val="left"/>
        <w:rPr>
          <w:sz w:val="22"/>
        </w:rPr>
        <w:sectPr>
          <w:pgSz w:w="12240" w:h="15840"/>
          <w:pgMar w:top="1360" w:bottom="280" w:left="1080" w:right="720"/>
        </w:sectPr>
      </w:pPr>
    </w:p>
    <w:p>
      <w:pPr>
        <w:pStyle w:val="Heading2"/>
      </w:pPr>
      <w:bookmarkStart w:name="612:10-7-196.  Interpreter services" w:id="208"/>
      <w:bookmarkEnd w:id="208"/>
      <w:r>
        <w:rPr>
          <w:b w:val="0"/>
        </w:rPr>
      </w:r>
      <w:bookmarkStart w:name="_bookmark27" w:id="209"/>
      <w:bookmarkEnd w:id="209"/>
      <w:r>
        <w:rPr>
          <w:b w:val="0"/>
        </w:rPr>
      </w:r>
      <w:r>
        <w:rPr/>
        <w:t>612:10-7-196.</w:t>
      </w:r>
      <w:r>
        <w:rPr>
          <w:spacing w:val="57"/>
        </w:rPr>
        <w:t> </w:t>
      </w:r>
      <w:r>
        <w:rPr/>
        <w:t>Interpreter</w:t>
      </w:r>
      <w:r>
        <w:rPr>
          <w:spacing w:val="-5"/>
        </w:rPr>
        <w:t> </w:t>
      </w:r>
      <w:r>
        <w:rPr>
          <w:spacing w:val="-2"/>
        </w:rPr>
        <w:t>services</w:t>
      </w:r>
    </w:p>
    <w:p>
      <w:pPr>
        <w:pStyle w:val="BodyText"/>
        <w:spacing w:line="208" w:lineRule="auto" w:before="233"/>
        <w:ind w:left="359" w:right="775" w:firstLine="450"/>
        <w:rPr>
          <w:b/>
        </w:rPr>
      </w:pPr>
      <w:r>
        <w:rPr>
          <w:b/>
        </w:rPr>
        <w:t>Interpreter services. </w:t>
      </w:r>
      <w:r>
        <w:rPr/>
        <w:t>Interpreter services are sign language or oral interpretation services for individuals who are deaf or hard of hearing and tactile interpretation services for individuals who are deaf-blind. Specially trained individuals perform sign language or oral interpretation. Interpreter services also include real-time captioning services</w:t>
      </w:r>
      <w:r>
        <w:rPr>
          <w:spacing w:val="-3"/>
        </w:rPr>
        <w:t> </w:t>
      </w:r>
      <w:r>
        <w:rPr/>
        <w:t>for</w:t>
      </w:r>
      <w:r>
        <w:rPr>
          <w:spacing w:val="-4"/>
        </w:rPr>
        <w:t> </w:t>
      </w:r>
      <w:r>
        <w:rPr/>
        <w:t>persons</w:t>
      </w:r>
      <w:r>
        <w:rPr>
          <w:spacing w:val="-3"/>
        </w:rPr>
        <w:t> </w:t>
      </w:r>
      <w:r>
        <w:rPr/>
        <w:t>who</w:t>
      </w:r>
      <w:r>
        <w:rPr>
          <w:spacing w:val="-3"/>
        </w:rPr>
        <w:t> </w:t>
      </w:r>
      <w:r>
        <w:rPr/>
        <w:t>are</w:t>
      </w:r>
      <w:r>
        <w:rPr>
          <w:spacing w:val="-3"/>
        </w:rPr>
        <w:t> </w:t>
      </w:r>
      <w:r>
        <w:rPr/>
        <w:t>deaf</w:t>
      </w:r>
      <w:r>
        <w:rPr>
          <w:spacing w:val="-2"/>
        </w:rPr>
        <w:t> </w:t>
      </w:r>
      <w:r>
        <w:rPr/>
        <w:t>or</w:t>
      </w:r>
      <w:r>
        <w:rPr>
          <w:spacing w:val="-2"/>
        </w:rPr>
        <w:t> </w:t>
      </w:r>
      <w:r>
        <w:rPr/>
        <w:t>hard</w:t>
      </w:r>
      <w:r>
        <w:rPr>
          <w:spacing w:val="-3"/>
        </w:rPr>
        <w:t> </w:t>
      </w:r>
      <w:r>
        <w:rPr/>
        <w:t>of</w:t>
      </w:r>
      <w:r>
        <w:rPr>
          <w:spacing w:val="-5"/>
        </w:rPr>
        <w:t> </w:t>
      </w:r>
      <w:r>
        <w:rPr/>
        <w:t>hearing</w:t>
      </w:r>
      <w:r>
        <w:rPr>
          <w:spacing w:val="-3"/>
        </w:rPr>
        <w:t> </w:t>
      </w:r>
      <w:r>
        <w:rPr/>
        <w:t>as</w:t>
      </w:r>
      <w:r>
        <w:rPr>
          <w:spacing w:val="-2"/>
        </w:rPr>
        <w:t> </w:t>
      </w:r>
      <w:r>
        <w:rPr/>
        <w:t>found</w:t>
      </w:r>
      <w:r>
        <w:rPr>
          <w:spacing w:val="-3"/>
        </w:rPr>
        <w:t> </w:t>
      </w:r>
      <w:r>
        <w:rPr/>
        <w:t>in</w:t>
      </w:r>
      <w:r>
        <w:rPr>
          <w:spacing w:val="-3"/>
        </w:rPr>
        <w:t> </w:t>
      </w:r>
      <w:r>
        <w:rPr/>
        <w:t>34</w:t>
      </w:r>
      <w:r>
        <w:rPr>
          <w:spacing w:val="-2"/>
        </w:rPr>
        <w:t> </w:t>
      </w:r>
      <w:r>
        <w:rPr/>
        <w:t>CFR</w:t>
      </w:r>
      <w:r>
        <w:rPr>
          <w:spacing w:val="-4"/>
        </w:rPr>
        <w:t> </w:t>
      </w:r>
      <w:r>
        <w:rPr/>
        <w:t>361.5</w:t>
      </w:r>
      <w:r>
        <w:rPr>
          <w:spacing w:val="-2"/>
        </w:rPr>
        <w:t> </w:t>
      </w:r>
      <w:r>
        <w:rPr/>
        <w:t>(c)(10) and 361.48 (b)(10). </w:t>
      </w:r>
      <w:r>
        <w:rPr>
          <w:b/>
        </w:rPr>
        <w:t>1, 2</w:t>
      </w:r>
    </w:p>
    <w:p>
      <w:pPr>
        <w:pStyle w:val="ListParagraph"/>
        <w:numPr>
          <w:ilvl w:val="0"/>
          <w:numId w:val="227"/>
        </w:numPr>
        <w:tabs>
          <w:tab w:pos="1235" w:val="left" w:leader="none"/>
        </w:tabs>
        <w:spacing w:line="240" w:lineRule="auto" w:before="210" w:after="0"/>
        <w:ind w:left="1235" w:right="0" w:hanging="426"/>
        <w:jc w:val="left"/>
        <w:rPr>
          <w:sz w:val="24"/>
        </w:rPr>
      </w:pPr>
      <w:r>
        <w:rPr>
          <w:sz w:val="24"/>
        </w:rPr>
        <w:t>Does</w:t>
      </w:r>
      <w:r>
        <w:rPr>
          <w:spacing w:val="-4"/>
          <w:sz w:val="24"/>
        </w:rPr>
        <w:t> </w:t>
      </w:r>
      <w:r>
        <w:rPr>
          <w:sz w:val="24"/>
        </w:rPr>
        <w:t>not</w:t>
      </w:r>
      <w:r>
        <w:rPr>
          <w:spacing w:val="-3"/>
          <w:sz w:val="24"/>
        </w:rPr>
        <w:t> </w:t>
      </w:r>
      <w:r>
        <w:rPr>
          <w:sz w:val="24"/>
        </w:rPr>
        <w:t>include</w:t>
      </w:r>
      <w:r>
        <w:rPr>
          <w:spacing w:val="-3"/>
          <w:sz w:val="24"/>
        </w:rPr>
        <w:t> </w:t>
      </w:r>
      <w:r>
        <w:rPr>
          <w:sz w:val="24"/>
        </w:rPr>
        <w:t>spoken</w:t>
      </w:r>
      <w:r>
        <w:rPr>
          <w:spacing w:val="-4"/>
          <w:sz w:val="24"/>
        </w:rPr>
        <w:t> </w:t>
      </w:r>
      <w:r>
        <w:rPr>
          <w:sz w:val="24"/>
        </w:rPr>
        <w:t>language</w:t>
      </w:r>
      <w:r>
        <w:rPr>
          <w:spacing w:val="-3"/>
          <w:sz w:val="24"/>
        </w:rPr>
        <w:t> </w:t>
      </w:r>
      <w:r>
        <w:rPr>
          <w:spacing w:val="-2"/>
          <w:sz w:val="24"/>
        </w:rPr>
        <w:t>interpretation.</w:t>
      </w:r>
    </w:p>
    <w:p>
      <w:pPr>
        <w:pStyle w:val="ListParagraph"/>
        <w:numPr>
          <w:ilvl w:val="0"/>
          <w:numId w:val="227"/>
        </w:numPr>
        <w:tabs>
          <w:tab w:pos="1234" w:val="left" w:leader="none"/>
        </w:tabs>
        <w:spacing w:line="240" w:lineRule="auto" w:before="204" w:after="0"/>
        <w:ind w:left="1234" w:right="0" w:hanging="425"/>
        <w:jc w:val="left"/>
        <w:rPr>
          <w:sz w:val="24"/>
        </w:rPr>
      </w:pPr>
      <w:r>
        <w:rPr>
          <w:sz w:val="24"/>
        </w:rPr>
        <w:t>Interpreter</w:t>
      </w:r>
      <w:r>
        <w:rPr>
          <w:spacing w:val="-5"/>
          <w:sz w:val="24"/>
        </w:rPr>
        <w:t> </w:t>
      </w:r>
      <w:r>
        <w:rPr>
          <w:sz w:val="24"/>
        </w:rPr>
        <w:t>services</w:t>
      </w:r>
      <w:r>
        <w:rPr>
          <w:spacing w:val="-3"/>
          <w:sz w:val="24"/>
        </w:rPr>
        <w:t> </w:t>
      </w:r>
      <w:r>
        <w:rPr>
          <w:sz w:val="24"/>
        </w:rPr>
        <w:t>do</w:t>
      </w:r>
      <w:r>
        <w:rPr>
          <w:spacing w:val="-3"/>
          <w:sz w:val="24"/>
        </w:rPr>
        <w:t> </w:t>
      </w:r>
      <w:r>
        <w:rPr>
          <w:sz w:val="24"/>
        </w:rPr>
        <w:t>not</w:t>
      </w:r>
      <w:r>
        <w:rPr>
          <w:spacing w:val="-2"/>
          <w:sz w:val="24"/>
        </w:rPr>
        <w:t> </w:t>
      </w:r>
      <w:r>
        <w:rPr>
          <w:sz w:val="24"/>
        </w:rPr>
        <w:t>require</w:t>
      </w:r>
      <w:r>
        <w:rPr>
          <w:spacing w:val="-3"/>
          <w:sz w:val="24"/>
        </w:rPr>
        <w:t> </w:t>
      </w:r>
      <w:r>
        <w:rPr>
          <w:sz w:val="24"/>
        </w:rPr>
        <w:t>client</w:t>
      </w:r>
      <w:r>
        <w:rPr>
          <w:spacing w:val="-3"/>
          <w:sz w:val="24"/>
        </w:rPr>
        <w:t> </w:t>
      </w:r>
      <w:r>
        <w:rPr>
          <w:sz w:val="24"/>
        </w:rPr>
        <w:t>participation</w:t>
      </w:r>
      <w:r>
        <w:rPr>
          <w:spacing w:val="-3"/>
          <w:sz w:val="24"/>
        </w:rPr>
        <w:t> </w:t>
      </w:r>
      <w:r>
        <w:rPr>
          <w:sz w:val="24"/>
        </w:rPr>
        <w:t>in</w:t>
      </w:r>
      <w:r>
        <w:rPr>
          <w:spacing w:val="-3"/>
          <w:sz w:val="24"/>
        </w:rPr>
        <w:t> </w:t>
      </w:r>
      <w:r>
        <w:rPr>
          <w:sz w:val="24"/>
        </w:rPr>
        <w:t>cost</w:t>
      </w:r>
      <w:r>
        <w:rPr>
          <w:spacing w:val="-2"/>
          <w:sz w:val="24"/>
        </w:rPr>
        <w:t> </w:t>
      </w:r>
      <w:r>
        <w:rPr>
          <w:sz w:val="24"/>
        </w:rPr>
        <w:t>of</w:t>
      </w:r>
      <w:r>
        <w:rPr>
          <w:spacing w:val="-2"/>
          <w:sz w:val="24"/>
        </w:rPr>
        <w:t> services.</w:t>
      </w:r>
    </w:p>
    <w:p>
      <w:pPr>
        <w:pStyle w:val="ListParagraph"/>
        <w:numPr>
          <w:ilvl w:val="0"/>
          <w:numId w:val="227"/>
        </w:numPr>
        <w:tabs>
          <w:tab w:pos="1235" w:val="left" w:leader="none"/>
        </w:tabs>
        <w:spacing w:line="417" w:lineRule="auto" w:before="204" w:after="0"/>
        <w:ind w:left="359" w:right="1304" w:firstLine="450"/>
        <w:jc w:val="left"/>
        <w:rPr>
          <w:sz w:val="24"/>
        </w:rPr>
      </w:pPr>
      <w:r>
        <w:rPr>
          <w:sz w:val="24"/>
        </w:rPr>
        <w:t>The</w:t>
      </w:r>
      <w:r>
        <w:rPr>
          <w:spacing w:val="-4"/>
          <w:sz w:val="24"/>
        </w:rPr>
        <w:t> </w:t>
      </w:r>
      <w:r>
        <w:rPr>
          <w:sz w:val="24"/>
        </w:rPr>
        <w:t>interpreter</w:t>
      </w:r>
      <w:r>
        <w:rPr>
          <w:spacing w:val="-3"/>
          <w:sz w:val="24"/>
        </w:rPr>
        <w:t> </w:t>
      </w:r>
      <w:r>
        <w:rPr>
          <w:sz w:val="24"/>
        </w:rPr>
        <w:t>will</w:t>
      </w:r>
      <w:r>
        <w:rPr>
          <w:spacing w:val="-4"/>
          <w:sz w:val="24"/>
        </w:rPr>
        <w:t> </w:t>
      </w:r>
      <w:r>
        <w:rPr>
          <w:sz w:val="24"/>
        </w:rPr>
        <w:t>submit</w:t>
      </w:r>
      <w:r>
        <w:rPr>
          <w:spacing w:val="-3"/>
          <w:sz w:val="24"/>
        </w:rPr>
        <w:t> </w:t>
      </w:r>
      <w:r>
        <w:rPr>
          <w:sz w:val="24"/>
        </w:rPr>
        <w:t>a</w:t>
      </w:r>
      <w:r>
        <w:rPr>
          <w:spacing w:val="-4"/>
          <w:sz w:val="24"/>
        </w:rPr>
        <w:t> </w:t>
      </w:r>
      <w:r>
        <w:rPr>
          <w:sz w:val="24"/>
        </w:rPr>
        <w:t>claim</w:t>
      </w:r>
      <w:r>
        <w:rPr>
          <w:spacing w:val="-3"/>
          <w:sz w:val="24"/>
        </w:rPr>
        <w:t> </w:t>
      </w:r>
      <w:r>
        <w:rPr>
          <w:sz w:val="24"/>
        </w:rPr>
        <w:t>at</w:t>
      </w:r>
      <w:r>
        <w:rPr>
          <w:spacing w:val="-3"/>
          <w:sz w:val="24"/>
        </w:rPr>
        <w:t> </w:t>
      </w:r>
      <w:r>
        <w:rPr>
          <w:sz w:val="24"/>
        </w:rPr>
        <w:t>the</w:t>
      </w:r>
      <w:r>
        <w:rPr>
          <w:spacing w:val="-5"/>
          <w:sz w:val="24"/>
        </w:rPr>
        <w:t> </w:t>
      </w:r>
      <w:r>
        <w:rPr>
          <w:sz w:val="24"/>
        </w:rPr>
        <w:t>end</w:t>
      </w:r>
      <w:r>
        <w:rPr>
          <w:spacing w:val="-4"/>
          <w:sz w:val="24"/>
        </w:rPr>
        <w:t> </w:t>
      </w:r>
      <w:r>
        <w:rPr>
          <w:sz w:val="24"/>
        </w:rPr>
        <w:t>of</w:t>
      </w:r>
      <w:r>
        <w:rPr>
          <w:spacing w:val="-3"/>
          <w:sz w:val="24"/>
        </w:rPr>
        <w:t> </w:t>
      </w:r>
      <w:r>
        <w:rPr>
          <w:sz w:val="24"/>
        </w:rPr>
        <w:t>each</w:t>
      </w:r>
      <w:r>
        <w:rPr>
          <w:spacing w:val="-4"/>
          <w:sz w:val="24"/>
        </w:rPr>
        <w:t> </w:t>
      </w:r>
      <w:r>
        <w:rPr>
          <w:sz w:val="24"/>
        </w:rPr>
        <w:t>specified</w:t>
      </w:r>
      <w:r>
        <w:rPr>
          <w:spacing w:val="-3"/>
          <w:sz w:val="24"/>
        </w:rPr>
        <w:t> </w:t>
      </w:r>
      <w:r>
        <w:rPr>
          <w:sz w:val="24"/>
        </w:rPr>
        <w:t>time</w:t>
      </w:r>
      <w:r>
        <w:rPr>
          <w:spacing w:val="-4"/>
          <w:sz w:val="24"/>
        </w:rPr>
        <w:t> </w:t>
      </w:r>
      <w:r>
        <w:rPr>
          <w:sz w:val="24"/>
        </w:rPr>
        <w:t>period. INSTRUCTIONS TO STAFF</w:t>
      </w:r>
    </w:p>
    <w:p>
      <w:pPr>
        <w:pStyle w:val="ListParagraph"/>
        <w:numPr>
          <w:ilvl w:val="0"/>
          <w:numId w:val="228"/>
        </w:numPr>
        <w:tabs>
          <w:tab w:pos="691" w:val="left" w:leader="none"/>
        </w:tabs>
        <w:spacing w:line="276" w:lineRule="exact" w:before="0" w:after="0"/>
        <w:ind w:left="691" w:right="0" w:hanging="332"/>
        <w:jc w:val="left"/>
        <w:rPr>
          <w:sz w:val="24"/>
        </w:rPr>
      </w:pPr>
      <w:r>
        <w:rPr>
          <w:sz w:val="24"/>
        </w:rPr>
        <w:t>Guide</w:t>
      </w:r>
      <w:r>
        <w:rPr>
          <w:spacing w:val="-4"/>
          <w:sz w:val="24"/>
        </w:rPr>
        <w:t> </w:t>
      </w:r>
      <w:r>
        <w:rPr>
          <w:sz w:val="24"/>
        </w:rPr>
        <w:t>for</w:t>
      </w:r>
      <w:r>
        <w:rPr>
          <w:spacing w:val="-3"/>
          <w:sz w:val="24"/>
        </w:rPr>
        <w:t> </w:t>
      </w:r>
      <w:r>
        <w:rPr>
          <w:sz w:val="24"/>
        </w:rPr>
        <w:t>determining</w:t>
      </w:r>
      <w:r>
        <w:rPr>
          <w:spacing w:val="-4"/>
          <w:sz w:val="24"/>
        </w:rPr>
        <w:t> </w:t>
      </w:r>
      <w:r>
        <w:rPr>
          <w:sz w:val="24"/>
        </w:rPr>
        <w:t>rates</w:t>
      </w:r>
      <w:r>
        <w:rPr>
          <w:spacing w:val="-4"/>
          <w:sz w:val="24"/>
        </w:rPr>
        <w:t> </w:t>
      </w:r>
      <w:r>
        <w:rPr>
          <w:sz w:val="24"/>
        </w:rPr>
        <w:t>for</w:t>
      </w:r>
      <w:r>
        <w:rPr>
          <w:spacing w:val="-3"/>
          <w:sz w:val="24"/>
        </w:rPr>
        <w:t> </w:t>
      </w:r>
      <w:r>
        <w:rPr>
          <w:sz w:val="24"/>
        </w:rPr>
        <w:t>interpreter</w:t>
      </w:r>
      <w:r>
        <w:rPr>
          <w:spacing w:val="-2"/>
          <w:sz w:val="24"/>
        </w:rPr>
        <w:t> services:</w:t>
      </w:r>
    </w:p>
    <w:p>
      <w:pPr>
        <w:pStyle w:val="BodyText"/>
        <w:spacing w:before="5"/>
        <w:ind w:left="0"/>
        <w:rPr>
          <w:sz w:val="18"/>
        </w:rPr>
      </w:pPr>
    </w:p>
    <w:tbl>
      <w:tblPr>
        <w:tblW w:w="0" w:type="auto"/>
        <w:jc w:val="lef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67"/>
        <w:gridCol w:w="3401"/>
        <w:gridCol w:w="2022"/>
      </w:tblGrid>
      <w:tr>
        <w:trPr>
          <w:trHeight w:val="374" w:hRule="atLeast"/>
        </w:trPr>
        <w:tc>
          <w:tcPr>
            <w:tcW w:w="4167" w:type="dxa"/>
          </w:tcPr>
          <w:p>
            <w:pPr>
              <w:pStyle w:val="TableParagraph"/>
              <w:spacing w:before="0"/>
              <w:ind w:left="0"/>
              <w:rPr>
                <w:rFonts w:ascii="Times New Roman"/>
                <w:sz w:val="24"/>
              </w:rPr>
            </w:pPr>
          </w:p>
        </w:tc>
        <w:tc>
          <w:tcPr>
            <w:tcW w:w="3401" w:type="dxa"/>
            <w:tcBorders>
              <w:right w:val="single" w:sz="4" w:space="0" w:color="0000FF"/>
            </w:tcBorders>
          </w:tcPr>
          <w:p>
            <w:pPr>
              <w:pStyle w:val="TableParagraph"/>
              <w:spacing w:line="268" w:lineRule="exact" w:before="0"/>
              <w:ind w:left="742"/>
              <w:rPr>
                <w:sz w:val="24"/>
              </w:rPr>
            </w:pPr>
            <w:r>
              <w:rPr>
                <w:sz w:val="24"/>
              </w:rPr>
              <w:t>DAYTIME</w:t>
            </w:r>
            <w:r>
              <w:rPr>
                <w:spacing w:val="-4"/>
                <w:sz w:val="24"/>
              </w:rPr>
              <w:t> HOURS</w:t>
            </w:r>
          </w:p>
        </w:tc>
        <w:tc>
          <w:tcPr>
            <w:tcW w:w="2022" w:type="dxa"/>
            <w:tcBorders>
              <w:left w:val="single" w:sz="4" w:space="0" w:color="0000FF"/>
            </w:tcBorders>
          </w:tcPr>
          <w:p>
            <w:pPr>
              <w:pStyle w:val="TableParagraph"/>
              <w:spacing w:line="268" w:lineRule="exact" w:before="0"/>
              <w:ind w:left="36"/>
              <w:rPr>
                <w:sz w:val="24"/>
              </w:rPr>
            </w:pPr>
            <w:r>
              <w:rPr>
                <w:sz w:val="24"/>
              </w:rPr>
              <w:t>AFTER</w:t>
            </w:r>
            <w:r>
              <w:rPr>
                <w:spacing w:val="-3"/>
                <w:sz w:val="24"/>
              </w:rPr>
              <w:t> </w:t>
            </w:r>
            <w:r>
              <w:rPr>
                <w:spacing w:val="-2"/>
                <w:sz w:val="24"/>
              </w:rPr>
              <w:t>HOURS</w:t>
            </w:r>
          </w:p>
        </w:tc>
      </w:tr>
      <w:tr>
        <w:trPr>
          <w:trHeight w:val="960" w:hRule="atLeast"/>
        </w:trPr>
        <w:tc>
          <w:tcPr>
            <w:tcW w:w="4167" w:type="dxa"/>
          </w:tcPr>
          <w:p>
            <w:pPr>
              <w:pStyle w:val="TableParagraph"/>
              <w:spacing w:before="0"/>
              <w:ind w:left="0"/>
              <w:rPr>
                <w:rFonts w:ascii="Times New Roman"/>
                <w:sz w:val="24"/>
              </w:rPr>
            </w:pPr>
          </w:p>
        </w:tc>
        <w:tc>
          <w:tcPr>
            <w:tcW w:w="3401" w:type="dxa"/>
            <w:tcBorders>
              <w:right w:val="single" w:sz="4" w:space="0" w:color="0000FF"/>
            </w:tcBorders>
          </w:tcPr>
          <w:p>
            <w:pPr>
              <w:pStyle w:val="TableParagraph"/>
              <w:ind w:left="742"/>
              <w:rPr>
                <w:sz w:val="24"/>
              </w:rPr>
            </w:pPr>
            <w:r>
              <w:rPr>
                <w:sz w:val="24"/>
              </w:rPr>
              <w:t>(8</w:t>
            </w:r>
            <w:r>
              <w:rPr>
                <w:spacing w:val="-1"/>
                <w:sz w:val="24"/>
              </w:rPr>
              <w:t> </w:t>
            </w:r>
            <w:r>
              <w:rPr>
                <w:sz w:val="24"/>
              </w:rPr>
              <w:t>AM TO</w:t>
            </w:r>
            <w:r>
              <w:rPr>
                <w:spacing w:val="-2"/>
                <w:sz w:val="24"/>
              </w:rPr>
              <w:t> </w:t>
            </w:r>
            <w:r>
              <w:rPr>
                <w:sz w:val="24"/>
              </w:rPr>
              <w:t>5</w:t>
            </w:r>
            <w:r>
              <w:rPr>
                <w:spacing w:val="-1"/>
                <w:sz w:val="24"/>
              </w:rPr>
              <w:t> </w:t>
            </w:r>
            <w:r>
              <w:rPr>
                <w:sz w:val="24"/>
              </w:rPr>
              <w:t>PM</w:t>
            </w:r>
            <w:r>
              <w:rPr>
                <w:spacing w:val="1"/>
                <w:sz w:val="24"/>
              </w:rPr>
              <w:t> </w:t>
            </w:r>
            <w:r>
              <w:rPr>
                <w:sz w:val="24"/>
              </w:rPr>
              <w:t>M-</w:t>
            </w:r>
            <w:r>
              <w:rPr>
                <w:spacing w:val="-5"/>
                <w:sz w:val="24"/>
              </w:rPr>
              <w:t>F)</w:t>
            </w:r>
          </w:p>
        </w:tc>
        <w:tc>
          <w:tcPr>
            <w:tcW w:w="2022" w:type="dxa"/>
            <w:tcBorders>
              <w:left w:val="single" w:sz="4" w:space="0" w:color="0000FF"/>
            </w:tcBorders>
          </w:tcPr>
          <w:p>
            <w:pPr>
              <w:pStyle w:val="TableParagraph"/>
              <w:spacing w:line="208" w:lineRule="auto" w:before="127"/>
              <w:ind w:left="36" w:right="46"/>
              <w:rPr>
                <w:sz w:val="24"/>
              </w:rPr>
            </w:pPr>
            <w:r>
              <w:rPr>
                <w:sz w:val="24"/>
              </w:rPr>
              <w:t>(5 PM TO 8 AM M-F,</w:t>
            </w:r>
            <w:r>
              <w:rPr>
                <w:spacing w:val="-17"/>
                <w:sz w:val="24"/>
              </w:rPr>
              <w:t> </w:t>
            </w:r>
            <w:r>
              <w:rPr>
                <w:sz w:val="24"/>
              </w:rPr>
              <w:t>WEEKENDS AND HOLIDAYS)</w:t>
            </w:r>
          </w:p>
        </w:tc>
      </w:tr>
      <w:tr>
        <w:trPr>
          <w:trHeight w:val="480" w:hRule="atLeast"/>
        </w:trPr>
        <w:tc>
          <w:tcPr>
            <w:tcW w:w="4167" w:type="dxa"/>
          </w:tcPr>
          <w:p>
            <w:pPr>
              <w:pStyle w:val="TableParagraph"/>
              <w:rPr>
                <w:sz w:val="24"/>
              </w:rPr>
            </w:pPr>
            <w:r>
              <w:rPr>
                <w:spacing w:val="-2"/>
                <w:sz w:val="24"/>
              </w:rPr>
              <w:t>Uncertified</w:t>
            </w:r>
          </w:p>
        </w:tc>
        <w:tc>
          <w:tcPr>
            <w:tcW w:w="3401" w:type="dxa"/>
            <w:tcBorders>
              <w:right w:val="single" w:sz="4" w:space="0" w:color="0000FF"/>
            </w:tcBorders>
          </w:tcPr>
          <w:p>
            <w:pPr>
              <w:pStyle w:val="TableParagraph"/>
              <w:ind w:left="742"/>
              <w:rPr>
                <w:sz w:val="24"/>
              </w:rPr>
            </w:pPr>
            <w:r>
              <w:rPr>
                <w:spacing w:val="-2"/>
                <w:sz w:val="24"/>
              </w:rPr>
              <w:t>$7.50/hr</w:t>
            </w:r>
          </w:p>
        </w:tc>
        <w:tc>
          <w:tcPr>
            <w:tcW w:w="2022" w:type="dxa"/>
            <w:tcBorders>
              <w:left w:val="single" w:sz="4" w:space="0" w:color="0000FF"/>
            </w:tcBorders>
          </w:tcPr>
          <w:p>
            <w:pPr>
              <w:pStyle w:val="TableParagraph"/>
              <w:ind w:left="36"/>
              <w:rPr>
                <w:sz w:val="24"/>
              </w:rPr>
            </w:pPr>
            <w:r>
              <w:rPr>
                <w:spacing w:val="-2"/>
                <w:sz w:val="24"/>
              </w:rPr>
              <w:t>$11.25/hr</w:t>
            </w:r>
          </w:p>
        </w:tc>
      </w:tr>
      <w:tr>
        <w:trPr>
          <w:trHeight w:val="480" w:hRule="atLeast"/>
        </w:trPr>
        <w:tc>
          <w:tcPr>
            <w:tcW w:w="4167" w:type="dxa"/>
          </w:tcPr>
          <w:p>
            <w:pPr>
              <w:pStyle w:val="TableParagraph"/>
              <w:rPr>
                <w:sz w:val="24"/>
              </w:rPr>
            </w:pPr>
            <w:r>
              <w:rPr>
                <w:sz w:val="24"/>
              </w:rPr>
              <w:t>QAST</w:t>
            </w:r>
            <w:r>
              <w:rPr>
                <w:spacing w:val="-4"/>
                <w:sz w:val="24"/>
              </w:rPr>
              <w:t> </w:t>
            </w:r>
            <w:r>
              <w:rPr>
                <w:sz w:val="24"/>
              </w:rPr>
              <w:t>Level</w:t>
            </w:r>
            <w:r>
              <w:rPr>
                <w:spacing w:val="-2"/>
                <w:sz w:val="24"/>
              </w:rPr>
              <w:t> </w:t>
            </w:r>
            <w:r>
              <w:rPr>
                <w:spacing w:val="-10"/>
                <w:sz w:val="24"/>
              </w:rPr>
              <w:t>1</w:t>
            </w:r>
          </w:p>
        </w:tc>
        <w:tc>
          <w:tcPr>
            <w:tcW w:w="3401" w:type="dxa"/>
            <w:tcBorders>
              <w:right w:val="single" w:sz="4" w:space="0" w:color="0000FF"/>
            </w:tcBorders>
          </w:tcPr>
          <w:p>
            <w:pPr>
              <w:pStyle w:val="TableParagraph"/>
              <w:ind w:left="742"/>
              <w:rPr>
                <w:sz w:val="24"/>
              </w:rPr>
            </w:pPr>
            <w:r>
              <w:rPr>
                <w:spacing w:val="-2"/>
                <w:sz w:val="24"/>
              </w:rPr>
              <w:t>$16.00/hr</w:t>
            </w:r>
          </w:p>
        </w:tc>
        <w:tc>
          <w:tcPr>
            <w:tcW w:w="2022" w:type="dxa"/>
            <w:tcBorders>
              <w:left w:val="single" w:sz="4" w:space="0" w:color="0000FF"/>
            </w:tcBorders>
          </w:tcPr>
          <w:p>
            <w:pPr>
              <w:pStyle w:val="TableParagraph"/>
              <w:ind w:left="36"/>
              <w:rPr>
                <w:sz w:val="24"/>
              </w:rPr>
            </w:pPr>
            <w:r>
              <w:rPr>
                <w:spacing w:val="-2"/>
                <w:sz w:val="24"/>
              </w:rPr>
              <w:t>$24.00/hr</w:t>
            </w:r>
          </w:p>
        </w:tc>
      </w:tr>
      <w:tr>
        <w:trPr>
          <w:trHeight w:val="480" w:hRule="atLeast"/>
        </w:trPr>
        <w:tc>
          <w:tcPr>
            <w:tcW w:w="4167" w:type="dxa"/>
          </w:tcPr>
          <w:p>
            <w:pPr>
              <w:pStyle w:val="TableParagraph"/>
              <w:rPr>
                <w:sz w:val="24"/>
              </w:rPr>
            </w:pPr>
            <w:r>
              <w:rPr>
                <w:sz w:val="24"/>
              </w:rPr>
              <w:t>QAST</w:t>
            </w:r>
            <w:r>
              <w:rPr>
                <w:spacing w:val="-4"/>
                <w:sz w:val="24"/>
              </w:rPr>
              <w:t> </w:t>
            </w:r>
            <w:r>
              <w:rPr>
                <w:sz w:val="24"/>
              </w:rPr>
              <w:t>Level</w:t>
            </w:r>
            <w:r>
              <w:rPr>
                <w:spacing w:val="-2"/>
                <w:sz w:val="24"/>
              </w:rPr>
              <w:t> </w:t>
            </w:r>
            <w:r>
              <w:rPr>
                <w:spacing w:val="-10"/>
                <w:sz w:val="24"/>
              </w:rPr>
              <w:t>2</w:t>
            </w:r>
          </w:p>
        </w:tc>
        <w:tc>
          <w:tcPr>
            <w:tcW w:w="3401" w:type="dxa"/>
            <w:tcBorders>
              <w:right w:val="single" w:sz="4" w:space="0" w:color="0000FF"/>
            </w:tcBorders>
          </w:tcPr>
          <w:p>
            <w:pPr>
              <w:pStyle w:val="TableParagraph"/>
              <w:ind w:left="742"/>
              <w:rPr>
                <w:sz w:val="24"/>
              </w:rPr>
            </w:pPr>
            <w:r>
              <w:rPr>
                <w:spacing w:val="-2"/>
                <w:sz w:val="24"/>
              </w:rPr>
              <w:t>$18.00/hr</w:t>
            </w:r>
          </w:p>
        </w:tc>
        <w:tc>
          <w:tcPr>
            <w:tcW w:w="2022" w:type="dxa"/>
            <w:tcBorders>
              <w:left w:val="single" w:sz="4" w:space="0" w:color="0000FF"/>
            </w:tcBorders>
          </w:tcPr>
          <w:p>
            <w:pPr>
              <w:pStyle w:val="TableParagraph"/>
              <w:ind w:left="36"/>
              <w:rPr>
                <w:sz w:val="24"/>
              </w:rPr>
            </w:pPr>
            <w:r>
              <w:rPr>
                <w:spacing w:val="-2"/>
                <w:sz w:val="24"/>
              </w:rPr>
              <w:t>$27.00/hr</w:t>
            </w:r>
          </w:p>
        </w:tc>
      </w:tr>
      <w:tr>
        <w:trPr>
          <w:trHeight w:val="480" w:hRule="atLeast"/>
        </w:trPr>
        <w:tc>
          <w:tcPr>
            <w:tcW w:w="4167" w:type="dxa"/>
          </w:tcPr>
          <w:p>
            <w:pPr>
              <w:pStyle w:val="TableParagraph"/>
              <w:rPr>
                <w:sz w:val="24"/>
              </w:rPr>
            </w:pPr>
            <w:r>
              <w:rPr>
                <w:sz w:val="24"/>
              </w:rPr>
              <w:t>QAST</w:t>
            </w:r>
            <w:r>
              <w:rPr>
                <w:spacing w:val="-4"/>
                <w:sz w:val="24"/>
              </w:rPr>
              <w:t> </w:t>
            </w:r>
            <w:r>
              <w:rPr>
                <w:sz w:val="24"/>
              </w:rPr>
              <w:t>Level</w:t>
            </w:r>
            <w:r>
              <w:rPr>
                <w:spacing w:val="-2"/>
                <w:sz w:val="24"/>
              </w:rPr>
              <w:t> </w:t>
            </w:r>
            <w:r>
              <w:rPr>
                <w:spacing w:val="-10"/>
                <w:sz w:val="24"/>
              </w:rPr>
              <w:t>3</w:t>
            </w:r>
          </w:p>
        </w:tc>
        <w:tc>
          <w:tcPr>
            <w:tcW w:w="3401" w:type="dxa"/>
            <w:tcBorders>
              <w:right w:val="single" w:sz="4" w:space="0" w:color="0000FF"/>
            </w:tcBorders>
          </w:tcPr>
          <w:p>
            <w:pPr>
              <w:pStyle w:val="TableParagraph"/>
              <w:ind w:left="742"/>
              <w:rPr>
                <w:sz w:val="24"/>
              </w:rPr>
            </w:pPr>
            <w:r>
              <w:rPr>
                <w:spacing w:val="-2"/>
                <w:sz w:val="24"/>
              </w:rPr>
              <w:t>$37.00/hr</w:t>
            </w:r>
          </w:p>
        </w:tc>
        <w:tc>
          <w:tcPr>
            <w:tcW w:w="2022" w:type="dxa"/>
            <w:tcBorders>
              <w:left w:val="single" w:sz="4" w:space="0" w:color="0000FF"/>
            </w:tcBorders>
          </w:tcPr>
          <w:p>
            <w:pPr>
              <w:pStyle w:val="TableParagraph"/>
              <w:ind w:left="36"/>
              <w:rPr>
                <w:sz w:val="24"/>
              </w:rPr>
            </w:pPr>
            <w:r>
              <w:rPr>
                <w:spacing w:val="-2"/>
                <w:sz w:val="24"/>
              </w:rPr>
              <w:t>$55.50/hr</w:t>
            </w:r>
          </w:p>
        </w:tc>
      </w:tr>
      <w:tr>
        <w:trPr>
          <w:trHeight w:val="480" w:hRule="atLeast"/>
        </w:trPr>
        <w:tc>
          <w:tcPr>
            <w:tcW w:w="4167" w:type="dxa"/>
          </w:tcPr>
          <w:p>
            <w:pPr>
              <w:pStyle w:val="TableParagraph"/>
              <w:rPr>
                <w:sz w:val="24"/>
              </w:rPr>
            </w:pPr>
            <w:r>
              <w:rPr>
                <w:sz w:val="24"/>
              </w:rPr>
              <w:t>QAST</w:t>
            </w:r>
            <w:r>
              <w:rPr>
                <w:spacing w:val="-4"/>
                <w:sz w:val="24"/>
              </w:rPr>
              <w:t> </w:t>
            </w:r>
            <w:r>
              <w:rPr>
                <w:sz w:val="24"/>
              </w:rPr>
              <w:t>Level</w:t>
            </w:r>
            <w:r>
              <w:rPr>
                <w:spacing w:val="-2"/>
                <w:sz w:val="24"/>
              </w:rPr>
              <w:t> </w:t>
            </w:r>
            <w:r>
              <w:rPr>
                <w:sz w:val="24"/>
              </w:rPr>
              <w:t>4</w:t>
            </w:r>
            <w:r>
              <w:rPr>
                <w:spacing w:val="-2"/>
                <w:sz w:val="24"/>
              </w:rPr>
              <w:t> </w:t>
            </w:r>
            <w:r>
              <w:rPr>
                <w:sz w:val="24"/>
              </w:rPr>
              <w:t>and</w:t>
            </w:r>
            <w:r>
              <w:rPr>
                <w:spacing w:val="-1"/>
                <w:sz w:val="24"/>
              </w:rPr>
              <w:t> </w:t>
            </w:r>
            <w:r>
              <w:rPr>
                <w:sz w:val="24"/>
              </w:rPr>
              <w:t>NAD</w:t>
            </w:r>
            <w:r>
              <w:rPr>
                <w:spacing w:val="-2"/>
                <w:sz w:val="24"/>
              </w:rPr>
              <w:t> </w:t>
            </w:r>
            <w:r>
              <w:rPr>
                <w:sz w:val="24"/>
              </w:rPr>
              <w:t>Level</w:t>
            </w:r>
            <w:r>
              <w:rPr>
                <w:spacing w:val="-2"/>
                <w:sz w:val="24"/>
              </w:rPr>
              <w:t> </w:t>
            </w:r>
            <w:r>
              <w:rPr>
                <w:spacing w:val="-10"/>
                <w:sz w:val="24"/>
              </w:rPr>
              <w:t>3</w:t>
            </w:r>
          </w:p>
        </w:tc>
        <w:tc>
          <w:tcPr>
            <w:tcW w:w="3401" w:type="dxa"/>
            <w:tcBorders>
              <w:right w:val="single" w:sz="4" w:space="0" w:color="0000FF"/>
            </w:tcBorders>
          </w:tcPr>
          <w:p>
            <w:pPr>
              <w:pStyle w:val="TableParagraph"/>
              <w:ind w:left="742"/>
              <w:rPr>
                <w:sz w:val="24"/>
              </w:rPr>
            </w:pPr>
            <w:r>
              <w:rPr>
                <w:spacing w:val="-2"/>
                <w:sz w:val="24"/>
              </w:rPr>
              <w:t>$40.00/hr</w:t>
            </w:r>
          </w:p>
        </w:tc>
        <w:tc>
          <w:tcPr>
            <w:tcW w:w="2022" w:type="dxa"/>
            <w:tcBorders>
              <w:left w:val="single" w:sz="4" w:space="0" w:color="0000FF"/>
            </w:tcBorders>
          </w:tcPr>
          <w:p>
            <w:pPr>
              <w:pStyle w:val="TableParagraph"/>
              <w:ind w:left="36"/>
              <w:rPr>
                <w:sz w:val="24"/>
              </w:rPr>
            </w:pPr>
            <w:r>
              <w:rPr>
                <w:spacing w:val="-2"/>
                <w:sz w:val="24"/>
              </w:rPr>
              <w:t>$60.00/hr</w:t>
            </w:r>
          </w:p>
        </w:tc>
      </w:tr>
      <w:tr>
        <w:trPr>
          <w:trHeight w:val="480" w:hRule="atLeast"/>
        </w:trPr>
        <w:tc>
          <w:tcPr>
            <w:tcW w:w="4167" w:type="dxa"/>
          </w:tcPr>
          <w:p>
            <w:pPr>
              <w:pStyle w:val="TableParagraph"/>
              <w:rPr>
                <w:sz w:val="24"/>
              </w:rPr>
            </w:pPr>
            <w:r>
              <w:rPr>
                <w:sz w:val="24"/>
              </w:rPr>
              <w:t>QAST</w:t>
            </w:r>
            <w:r>
              <w:rPr>
                <w:spacing w:val="-2"/>
                <w:sz w:val="24"/>
              </w:rPr>
              <w:t> </w:t>
            </w:r>
            <w:r>
              <w:rPr>
                <w:sz w:val="24"/>
              </w:rPr>
              <w:t>Level</w:t>
            </w:r>
            <w:r>
              <w:rPr>
                <w:spacing w:val="-2"/>
                <w:sz w:val="24"/>
              </w:rPr>
              <w:t> </w:t>
            </w:r>
            <w:r>
              <w:rPr>
                <w:sz w:val="24"/>
              </w:rPr>
              <w:t>5</w:t>
            </w:r>
            <w:r>
              <w:rPr>
                <w:spacing w:val="-1"/>
                <w:sz w:val="24"/>
              </w:rPr>
              <w:t> </w:t>
            </w:r>
            <w:r>
              <w:rPr>
                <w:sz w:val="24"/>
              </w:rPr>
              <w:t>and</w:t>
            </w:r>
            <w:r>
              <w:rPr>
                <w:spacing w:val="-2"/>
                <w:sz w:val="24"/>
              </w:rPr>
              <w:t> </w:t>
            </w:r>
            <w:r>
              <w:rPr>
                <w:sz w:val="24"/>
              </w:rPr>
              <w:t>NAD</w:t>
            </w:r>
            <w:r>
              <w:rPr>
                <w:spacing w:val="-2"/>
                <w:sz w:val="24"/>
              </w:rPr>
              <w:t> </w:t>
            </w:r>
            <w:r>
              <w:rPr>
                <w:sz w:val="24"/>
              </w:rPr>
              <w:t>Level</w:t>
            </w:r>
            <w:r>
              <w:rPr>
                <w:spacing w:val="-1"/>
                <w:sz w:val="24"/>
              </w:rPr>
              <w:t> </w:t>
            </w:r>
            <w:r>
              <w:rPr>
                <w:spacing w:val="-10"/>
                <w:sz w:val="24"/>
              </w:rPr>
              <w:t>4</w:t>
            </w:r>
          </w:p>
        </w:tc>
        <w:tc>
          <w:tcPr>
            <w:tcW w:w="3401" w:type="dxa"/>
            <w:tcBorders>
              <w:right w:val="single" w:sz="4" w:space="0" w:color="0000FF"/>
            </w:tcBorders>
          </w:tcPr>
          <w:p>
            <w:pPr>
              <w:pStyle w:val="TableParagraph"/>
              <w:ind w:left="742"/>
              <w:rPr>
                <w:sz w:val="24"/>
              </w:rPr>
            </w:pPr>
            <w:r>
              <w:rPr>
                <w:spacing w:val="-2"/>
                <w:sz w:val="24"/>
              </w:rPr>
              <w:t>$44.00/hr</w:t>
            </w:r>
          </w:p>
        </w:tc>
        <w:tc>
          <w:tcPr>
            <w:tcW w:w="2022" w:type="dxa"/>
            <w:tcBorders>
              <w:left w:val="single" w:sz="4" w:space="0" w:color="0000FF"/>
            </w:tcBorders>
          </w:tcPr>
          <w:p>
            <w:pPr>
              <w:pStyle w:val="TableParagraph"/>
              <w:ind w:left="36"/>
              <w:rPr>
                <w:sz w:val="24"/>
              </w:rPr>
            </w:pPr>
            <w:r>
              <w:rPr>
                <w:spacing w:val="-2"/>
                <w:sz w:val="24"/>
              </w:rPr>
              <w:t>$66.00/hr</w:t>
            </w:r>
          </w:p>
        </w:tc>
      </w:tr>
      <w:tr>
        <w:trPr>
          <w:trHeight w:val="480" w:hRule="atLeast"/>
        </w:trPr>
        <w:tc>
          <w:tcPr>
            <w:tcW w:w="4167" w:type="dxa"/>
          </w:tcPr>
          <w:p>
            <w:pPr>
              <w:pStyle w:val="TableParagraph"/>
              <w:rPr>
                <w:sz w:val="24"/>
              </w:rPr>
            </w:pPr>
            <w:r>
              <w:rPr>
                <w:sz w:val="24"/>
              </w:rPr>
              <w:t>RIDCI</w:t>
            </w:r>
            <w:r>
              <w:rPr>
                <w:spacing w:val="-3"/>
                <w:sz w:val="24"/>
              </w:rPr>
              <w:t> </w:t>
            </w:r>
            <w:r>
              <w:rPr>
                <w:sz w:val="24"/>
              </w:rPr>
              <w:t>or</w:t>
            </w:r>
            <w:r>
              <w:rPr>
                <w:spacing w:val="-1"/>
                <w:sz w:val="24"/>
              </w:rPr>
              <w:t> </w:t>
            </w:r>
            <w:r>
              <w:rPr>
                <w:spacing w:val="-2"/>
                <w:sz w:val="24"/>
              </w:rPr>
              <w:t>RIDCT</w:t>
            </w:r>
          </w:p>
        </w:tc>
        <w:tc>
          <w:tcPr>
            <w:tcW w:w="3401" w:type="dxa"/>
            <w:tcBorders>
              <w:right w:val="single" w:sz="4" w:space="0" w:color="0000FF"/>
            </w:tcBorders>
          </w:tcPr>
          <w:p>
            <w:pPr>
              <w:pStyle w:val="TableParagraph"/>
              <w:ind w:left="742"/>
              <w:rPr>
                <w:sz w:val="24"/>
              </w:rPr>
            </w:pPr>
            <w:r>
              <w:rPr>
                <w:spacing w:val="-2"/>
                <w:sz w:val="24"/>
              </w:rPr>
              <w:t>$47.00/hr</w:t>
            </w:r>
          </w:p>
        </w:tc>
        <w:tc>
          <w:tcPr>
            <w:tcW w:w="2022" w:type="dxa"/>
            <w:tcBorders>
              <w:left w:val="single" w:sz="4" w:space="0" w:color="0000FF"/>
            </w:tcBorders>
          </w:tcPr>
          <w:p>
            <w:pPr>
              <w:pStyle w:val="TableParagraph"/>
              <w:ind w:left="36"/>
              <w:rPr>
                <w:sz w:val="24"/>
              </w:rPr>
            </w:pPr>
            <w:r>
              <w:rPr>
                <w:spacing w:val="-2"/>
                <w:sz w:val="24"/>
              </w:rPr>
              <w:t>$70.50/hr</w:t>
            </w:r>
          </w:p>
        </w:tc>
      </w:tr>
      <w:tr>
        <w:trPr>
          <w:trHeight w:val="611" w:hRule="atLeast"/>
        </w:trPr>
        <w:tc>
          <w:tcPr>
            <w:tcW w:w="4167" w:type="dxa"/>
          </w:tcPr>
          <w:p>
            <w:pPr>
              <w:pStyle w:val="TableParagraph"/>
              <w:rPr>
                <w:sz w:val="24"/>
              </w:rPr>
            </w:pPr>
            <w:r>
              <w:rPr>
                <w:sz w:val="24"/>
              </w:rPr>
              <w:t>RIDCSC</w:t>
            </w:r>
            <w:r>
              <w:rPr>
                <w:spacing w:val="-3"/>
                <w:sz w:val="24"/>
              </w:rPr>
              <w:t> </w:t>
            </w:r>
            <w:r>
              <w:rPr>
                <w:sz w:val="24"/>
              </w:rPr>
              <w:t>or</w:t>
            </w:r>
            <w:r>
              <w:rPr>
                <w:spacing w:val="-1"/>
                <w:sz w:val="24"/>
              </w:rPr>
              <w:t> </w:t>
            </w:r>
            <w:r>
              <w:rPr>
                <w:sz w:val="24"/>
              </w:rPr>
              <w:t>RIDCI/CT</w:t>
            </w:r>
            <w:r>
              <w:rPr>
                <w:spacing w:val="-3"/>
                <w:sz w:val="24"/>
              </w:rPr>
              <w:t> </w:t>
            </w:r>
            <w:r>
              <w:rPr>
                <w:sz w:val="24"/>
              </w:rPr>
              <w:t>or</w:t>
            </w:r>
            <w:r>
              <w:rPr>
                <w:spacing w:val="-1"/>
                <w:sz w:val="24"/>
              </w:rPr>
              <w:t> </w:t>
            </w:r>
            <w:r>
              <w:rPr>
                <w:spacing w:val="-5"/>
                <w:sz w:val="24"/>
              </w:rPr>
              <w:t>NIC</w:t>
            </w:r>
          </w:p>
        </w:tc>
        <w:tc>
          <w:tcPr>
            <w:tcW w:w="3401" w:type="dxa"/>
            <w:tcBorders>
              <w:right w:val="single" w:sz="4" w:space="0" w:color="0000FF"/>
            </w:tcBorders>
          </w:tcPr>
          <w:p>
            <w:pPr>
              <w:pStyle w:val="TableParagraph"/>
              <w:ind w:left="742"/>
              <w:rPr>
                <w:sz w:val="24"/>
              </w:rPr>
            </w:pPr>
            <w:r>
              <w:rPr>
                <w:spacing w:val="-2"/>
                <w:sz w:val="24"/>
              </w:rPr>
              <w:t>$50.00/hr</w:t>
            </w:r>
          </w:p>
        </w:tc>
        <w:tc>
          <w:tcPr>
            <w:tcW w:w="2022" w:type="dxa"/>
            <w:tcBorders>
              <w:left w:val="single" w:sz="4" w:space="0" w:color="0000FF"/>
            </w:tcBorders>
          </w:tcPr>
          <w:p>
            <w:pPr>
              <w:pStyle w:val="TableParagraph"/>
              <w:ind w:left="36"/>
              <w:rPr>
                <w:sz w:val="24"/>
              </w:rPr>
            </w:pPr>
            <w:r>
              <w:rPr>
                <w:spacing w:val="-2"/>
                <w:sz w:val="24"/>
              </w:rPr>
              <w:t>$75.00/hr</w:t>
            </w:r>
          </w:p>
        </w:tc>
      </w:tr>
    </w:tbl>
    <w:p>
      <w:pPr>
        <w:pStyle w:val="BodyText"/>
        <w:spacing w:line="208" w:lineRule="auto" w:before="0"/>
        <w:ind w:left="630" w:right="775"/>
      </w:pPr>
      <w:r>
        <w:rPr/>
        <w:t>Deaf/Blind Differential: For tactile (hand over hand) interpreting a $5.00 per hour differential</w:t>
      </w:r>
      <w:r>
        <w:rPr>
          <w:spacing w:val="-4"/>
        </w:rPr>
        <w:t> </w:t>
      </w:r>
      <w:r>
        <w:rPr/>
        <w:t>is</w:t>
      </w:r>
      <w:r>
        <w:rPr>
          <w:spacing w:val="-4"/>
        </w:rPr>
        <w:t> </w:t>
      </w:r>
      <w:r>
        <w:rPr/>
        <w:t>to</w:t>
      </w:r>
      <w:r>
        <w:rPr>
          <w:spacing w:val="-4"/>
        </w:rPr>
        <w:t> </w:t>
      </w:r>
      <w:r>
        <w:rPr/>
        <w:t>be</w:t>
      </w:r>
      <w:r>
        <w:rPr>
          <w:spacing w:val="-4"/>
        </w:rPr>
        <w:t> </w:t>
      </w:r>
      <w:r>
        <w:rPr/>
        <w:t>added</w:t>
      </w:r>
      <w:r>
        <w:rPr>
          <w:spacing w:val="-4"/>
        </w:rPr>
        <w:t> </w:t>
      </w:r>
      <w:r>
        <w:rPr/>
        <w:t>to</w:t>
      </w:r>
      <w:r>
        <w:rPr>
          <w:spacing w:val="-4"/>
        </w:rPr>
        <w:t> </w:t>
      </w:r>
      <w:r>
        <w:rPr/>
        <w:t>the</w:t>
      </w:r>
      <w:r>
        <w:rPr>
          <w:spacing w:val="-4"/>
        </w:rPr>
        <w:t> </w:t>
      </w:r>
      <w:r>
        <w:rPr/>
        <w:t>rate.</w:t>
      </w:r>
      <w:r>
        <w:rPr>
          <w:spacing w:val="-3"/>
        </w:rPr>
        <w:t> </w:t>
      </w:r>
      <w:r>
        <w:rPr/>
        <w:t>Training</w:t>
      </w:r>
      <w:r>
        <w:rPr>
          <w:spacing w:val="-4"/>
        </w:rPr>
        <w:t> </w:t>
      </w:r>
      <w:r>
        <w:rPr/>
        <w:t>in</w:t>
      </w:r>
      <w:r>
        <w:rPr>
          <w:spacing w:val="-4"/>
        </w:rPr>
        <w:t> </w:t>
      </w:r>
      <w:r>
        <w:rPr/>
        <w:t>Deaf/Blind</w:t>
      </w:r>
      <w:r>
        <w:rPr>
          <w:spacing w:val="-4"/>
        </w:rPr>
        <w:t> </w:t>
      </w:r>
      <w:r>
        <w:rPr/>
        <w:t>interpreting,</w:t>
      </w:r>
      <w:r>
        <w:rPr>
          <w:spacing w:val="-3"/>
        </w:rPr>
        <w:t> </w:t>
      </w:r>
      <w:r>
        <w:rPr/>
        <w:t>available</w:t>
      </w:r>
      <w:r>
        <w:rPr>
          <w:spacing w:val="-4"/>
        </w:rPr>
        <w:t> </w:t>
      </w:r>
      <w:r>
        <w:rPr/>
        <w:t>at no cost from DRS, must be completed in advance.</w:t>
      </w:r>
    </w:p>
    <w:p>
      <w:pPr>
        <w:pStyle w:val="ListParagraph"/>
        <w:numPr>
          <w:ilvl w:val="0"/>
          <w:numId w:val="228"/>
        </w:numPr>
        <w:tabs>
          <w:tab w:pos="603" w:val="left" w:leader="none"/>
          <w:tab w:pos="630" w:val="left" w:leader="none"/>
        </w:tabs>
        <w:spacing w:line="208" w:lineRule="auto" w:before="236" w:after="0"/>
        <w:ind w:left="630" w:right="1015" w:hanging="360"/>
        <w:jc w:val="left"/>
        <w:rPr>
          <w:sz w:val="24"/>
        </w:rPr>
      </w:pPr>
      <w:r>
        <w:rPr>
          <w:sz w:val="24"/>
        </w:rPr>
        <w:t>An interpreter will be paid for a minimum of 2 hours per each assignment. If the assignment is cancelled less than 24 hours from the start of the assignment, the interpreter</w:t>
      </w:r>
      <w:r>
        <w:rPr>
          <w:spacing w:val="-5"/>
          <w:sz w:val="24"/>
        </w:rPr>
        <w:t> </w:t>
      </w:r>
      <w:r>
        <w:rPr>
          <w:sz w:val="24"/>
        </w:rPr>
        <w:t>will</w:t>
      </w:r>
      <w:r>
        <w:rPr>
          <w:spacing w:val="-4"/>
          <w:sz w:val="24"/>
        </w:rPr>
        <w:t> </w:t>
      </w:r>
      <w:r>
        <w:rPr>
          <w:sz w:val="24"/>
        </w:rPr>
        <w:t>be</w:t>
      </w:r>
      <w:r>
        <w:rPr>
          <w:spacing w:val="-4"/>
          <w:sz w:val="24"/>
        </w:rPr>
        <w:t> </w:t>
      </w:r>
      <w:r>
        <w:rPr>
          <w:sz w:val="24"/>
        </w:rPr>
        <w:t>compensated</w:t>
      </w:r>
      <w:r>
        <w:rPr>
          <w:spacing w:val="-4"/>
          <w:sz w:val="24"/>
        </w:rPr>
        <w:t> </w:t>
      </w:r>
      <w:r>
        <w:rPr>
          <w:sz w:val="24"/>
        </w:rPr>
        <w:t>for</w:t>
      </w:r>
      <w:r>
        <w:rPr>
          <w:spacing w:val="-3"/>
          <w:sz w:val="24"/>
        </w:rPr>
        <w:t> </w:t>
      </w:r>
      <w:r>
        <w:rPr>
          <w:sz w:val="24"/>
        </w:rPr>
        <w:t>the</w:t>
      </w:r>
      <w:r>
        <w:rPr>
          <w:spacing w:val="-4"/>
          <w:sz w:val="24"/>
        </w:rPr>
        <w:t> </w:t>
      </w:r>
      <w:r>
        <w:rPr>
          <w:sz w:val="24"/>
        </w:rPr>
        <w:t>full</w:t>
      </w:r>
      <w:r>
        <w:rPr>
          <w:spacing w:val="-4"/>
          <w:sz w:val="24"/>
        </w:rPr>
        <w:t> </w:t>
      </w:r>
      <w:r>
        <w:rPr>
          <w:sz w:val="24"/>
        </w:rPr>
        <w:t>scheduled</w:t>
      </w:r>
      <w:r>
        <w:rPr>
          <w:spacing w:val="-4"/>
          <w:sz w:val="24"/>
        </w:rPr>
        <w:t> </w:t>
      </w:r>
      <w:r>
        <w:rPr>
          <w:sz w:val="24"/>
        </w:rPr>
        <w:t>length</w:t>
      </w:r>
      <w:r>
        <w:rPr>
          <w:spacing w:val="-4"/>
          <w:sz w:val="24"/>
        </w:rPr>
        <w:t> </w:t>
      </w:r>
      <w:r>
        <w:rPr>
          <w:sz w:val="24"/>
        </w:rPr>
        <w:t>of</w:t>
      </w:r>
      <w:r>
        <w:rPr>
          <w:spacing w:val="-3"/>
          <w:sz w:val="24"/>
        </w:rPr>
        <w:t> </w:t>
      </w:r>
      <w:r>
        <w:rPr>
          <w:sz w:val="24"/>
        </w:rPr>
        <w:t>the</w:t>
      </w:r>
      <w:r>
        <w:rPr>
          <w:spacing w:val="-5"/>
          <w:sz w:val="24"/>
        </w:rPr>
        <w:t> </w:t>
      </w:r>
      <w:r>
        <w:rPr>
          <w:sz w:val="24"/>
        </w:rPr>
        <w:t>assignment</w:t>
      </w:r>
      <w:r>
        <w:rPr>
          <w:spacing w:val="-2"/>
          <w:sz w:val="24"/>
        </w:rPr>
        <w:t> </w:t>
      </w:r>
      <w:r>
        <w:rPr>
          <w:sz w:val="24"/>
        </w:rPr>
        <w:t>with no travel expenses paid.</w:t>
      </w:r>
    </w:p>
    <w:p>
      <w:pPr>
        <w:pStyle w:val="BodyText"/>
        <w:spacing w:line="208" w:lineRule="auto" w:before="239"/>
        <w:ind w:left="630" w:right="775"/>
      </w:pPr>
      <w:r>
        <w:rPr/>
        <w:t>If</w:t>
      </w:r>
      <w:r>
        <w:rPr>
          <w:spacing w:val="-5"/>
        </w:rPr>
        <w:t> </w:t>
      </w:r>
      <w:r>
        <w:rPr/>
        <w:t>the</w:t>
      </w:r>
      <w:r>
        <w:rPr>
          <w:spacing w:val="-4"/>
        </w:rPr>
        <w:t> </w:t>
      </w:r>
      <w:r>
        <w:rPr/>
        <w:t>assignment</w:t>
      </w:r>
      <w:r>
        <w:rPr>
          <w:spacing w:val="-3"/>
        </w:rPr>
        <w:t> </w:t>
      </w:r>
      <w:r>
        <w:rPr/>
        <w:t>is</w:t>
      </w:r>
      <w:r>
        <w:rPr>
          <w:spacing w:val="-4"/>
        </w:rPr>
        <w:t> </w:t>
      </w:r>
      <w:r>
        <w:rPr/>
        <w:t>cancelled</w:t>
      </w:r>
      <w:r>
        <w:rPr>
          <w:spacing w:val="-4"/>
        </w:rPr>
        <w:t> </w:t>
      </w:r>
      <w:r>
        <w:rPr/>
        <w:t>upon</w:t>
      </w:r>
      <w:r>
        <w:rPr>
          <w:spacing w:val="-4"/>
        </w:rPr>
        <w:t> </w:t>
      </w:r>
      <w:r>
        <w:rPr/>
        <w:t>interpreter</w:t>
      </w:r>
      <w:r>
        <w:rPr>
          <w:spacing w:val="-3"/>
        </w:rPr>
        <w:t> </w:t>
      </w:r>
      <w:r>
        <w:rPr/>
        <w:t>arrival</w:t>
      </w:r>
      <w:r>
        <w:rPr>
          <w:spacing w:val="-4"/>
        </w:rPr>
        <w:t> </w:t>
      </w:r>
      <w:r>
        <w:rPr/>
        <w:t>to</w:t>
      </w:r>
      <w:r>
        <w:rPr>
          <w:spacing w:val="-5"/>
        </w:rPr>
        <w:t> </w:t>
      </w:r>
      <w:r>
        <w:rPr/>
        <w:t>the</w:t>
      </w:r>
      <w:r>
        <w:rPr>
          <w:spacing w:val="-4"/>
        </w:rPr>
        <w:t> </w:t>
      </w:r>
      <w:r>
        <w:rPr/>
        <w:t>scheduled</w:t>
      </w:r>
      <w:r>
        <w:rPr>
          <w:spacing w:val="-4"/>
        </w:rPr>
        <w:t> </w:t>
      </w:r>
      <w:r>
        <w:rPr/>
        <w:t>assignment, the interpreter will be compensated for the full scheduled length of the assignment with travel expenses paid.</w:t>
      </w:r>
    </w:p>
    <w:p>
      <w:pPr>
        <w:pStyle w:val="BodyText"/>
        <w:spacing w:after="0" w:line="208" w:lineRule="auto"/>
        <w:sectPr>
          <w:pgSz w:w="12240" w:h="15840"/>
          <w:pgMar w:top="1340" w:bottom="280" w:left="1080" w:right="720"/>
        </w:sectPr>
      </w:pPr>
    </w:p>
    <w:p>
      <w:pPr>
        <w:pStyle w:val="BodyText"/>
        <w:spacing w:line="208" w:lineRule="auto" w:before="96"/>
        <w:ind w:left="630" w:right="775"/>
      </w:pPr>
      <w:r>
        <w:rPr/>
        <w:t>If the interpreter arrives to the assignment and the consumer is a no show for the assignment,</w:t>
      </w:r>
      <w:r>
        <w:rPr>
          <w:spacing w:val="-3"/>
        </w:rPr>
        <w:t> </w:t>
      </w:r>
      <w:r>
        <w:rPr/>
        <w:t>the</w:t>
      </w:r>
      <w:r>
        <w:rPr>
          <w:spacing w:val="-4"/>
        </w:rPr>
        <w:t> </w:t>
      </w:r>
      <w:r>
        <w:rPr/>
        <w:t>interpreter</w:t>
      </w:r>
      <w:r>
        <w:rPr>
          <w:spacing w:val="-3"/>
        </w:rPr>
        <w:t> </w:t>
      </w:r>
      <w:r>
        <w:rPr/>
        <w:t>will</w:t>
      </w:r>
      <w:r>
        <w:rPr>
          <w:spacing w:val="-4"/>
        </w:rPr>
        <w:t> </w:t>
      </w:r>
      <w:r>
        <w:rPr/>
        <w:t>be</w:t>
      </w:r>
      <w:r>
        <w:rPr>
          <w:spacing w:val="-4"/>
        </w:rPr>
        <w:t> </w:t>
      </w:r>
      <w:r>
        <w:rPr/>
        <w:t>compensated</w:t>
      </w:r>
      <w:r>
        <w:rPr>
          <w:spacing w:val="-4"/>
        </w:rPr>
        <w:t> </w:t>
      </w:r>
      <w:r>
        <w:rPr/>
        <w:t>for</w:t>
      </w:r>
      <w:r>
        <w:rPr>
          <w:spacing w:val="-3"/>
        </w:rPr>
        <w:t> </w:t>
      </w:r>
      <w:r>
        <w:rPr/>
        <w:t>the</w:t>
      </w:r>
      <w:r>
        <w:rPr>
          <w:spacing w:val="-5"/>
        </w:rPr>
        <w:t> </w:t>
      </w:r>
      <w:r>
        <w:rPr/>
        <w:t>full</w:t>
      </w:r>
      <w:r>
        <w:rPr>
          <w:spacing w:val="-4"/>
        </w:rPr>
        <w:t> </w:t>
      </w:r>
      <w:r>
        <w:rPr/>
        <w:t>scheduled</w:t>
      </w:r>
      <w:r>
        <w:rPr>
          <w:spacing w:val="-4"/>
        </w:rPr>
        <w:t> </w:t>
      </w:r>
      <w:r>
        <w:rPr/>
        <w:t>length</w:t>
      </w:r>
      <w:r>
        <w:rPr>
          <w:spacing w:val="-4"/>
        </w:rPr>
        <w:t> </w:t>
      </w:r>
      <w:r>
        <w:rPr/>
        <w:t>of</w:t>
      </w:r>
      <w:r>
        <w:rPr>
          <w:spacing w:val="-3"/>
        </w:rPr>
        <w:t> </w:t>
      </w:r>
      <w:r>
        <w:rPr/>
        <w:t>the assignment with travel expenses paid.</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7-1-05</w:t>
      </w:r>
      <w:r>
        <w:rPr>
          <w:sz w:val="22"/>
        </w:rPr>
        <w:tab/>
        <w:t>PT Memo #06-05</w:t>
      </w:r>
    </w:p>
    <w:p>
      <w:pPr>
        <w:tabs>
          <w:tab w:pos="1439" w:val="left" w:leader="none"/>
        </w:tabs>
        <w:spacing w:before="0"/>
        <w:ind w:left="359" w:right="4242" w:firstLine="1080"/>
        <w:jc w:val="left"/>
        <w:rPr>
          <w:sz w:val="22"/>
        </w:rPr>
      </w:pPr>
      <w:r>
        <w:rPr>
          <w:sz w:val="22"/>
        </w:rPr>
        <w:t>Permanent,</w:t>
      </w:r>
      <w:r>
        <w:rPr>
          <w:spacing w:val="-7"/>
          <w:sz w:val="22"/>
        </w:rPr>
        <w:t> </w:t>
      </w:r>
      <w:r>
        <w:rPr>
          <w:sz w:val="22"/>
        </w:rPr>
        <w:t>deleted</w:t>
      </w:r>
      <w:r>
        <w:rPr>
          <w:spacing w:val="-8"/>
          <w:sz w:val="22"/>
        </w:rPr>
        <w:t> </w:t>
      </w:r>
      <w:r>
        <w:rPr>
          <w:sz w:val="22"/>
        </w:rPr>
        <w:t>reference</w:t>
      </w:r>
      <w:r>
        <w:rPr>
          <w:spacing w:val="-8"/>
          <w:sz w:val="22"/>
        </w:rPr>
        <w:t> </w:t>
      </w:r>
      <w:r>
        <w:rPr>
          <w:sz w:val="22"/>
        </w:rPr>
        <w:t>to</w:t>
      </w:r>
      <w:r>
        <w:rPr>
          <w:spacing w:val="-8"/>
          <w:sz w:val="22"/>
        </w:rPr>
        <w:t> </w:t>
      </w:r>
      <w:r>
        <w:rPr>
          <w:sz w:val="22"/>
        </w:rPr>
        <w:t>revoked</w:t>
      </w:r>
      <w:r>
        <w:rPr>
          <w:spacing w:val="-8"/>
          <w:sz w:val="22"/>
        </w:rPr>
        <w:t> </w:t>
      </w:r>
      <w:r>
        <w:rPr>
          <w:sz w:val="22"/>
        </w:rPr>
        <w:t>section </w:t>
      </w:r>
      <w:r>
        <w:rPr>
          <w:spacing w:val="-2"/>
          <w:sz w:val="22"/>
        </w:rPr>
        <w:t>7-1-07</w:t>
      </w:r>
      <w:r>
        <w:rPr>
          <w:sz w:val="22"/>
        </w:rPr>
        <w:tab/>
        <w:t>PT Memo #08-01</w:t>
      </w:r>
    </w:p>
    <w:p>
      <w:pPr>
        <w:tabs>
          <w:tab w:pos="1439" w:val="left" w:leader="none"/>
        </w:tabs>
        <w:spacing w:before="0"/>
        <w:ind w:left="359" w:right="6944" w:firstLine="1080"/>
        <w:jc w:val="left"/>
        <w:rPr>
          <w:sz w:val="22"/>
        </w:rPr>
      </w:pPr>
      <w:r>
        <w:rPr>
          <w:sz w:val="22"/>
        </w:rPr>
        <w:t>Permanent,</w:t>
      </w:r>
      <w:r>
        <w:rPr>
          <w:spacing w:val="-16"/>
          <w:sz w:val="22"/>
        </w:rPr>
        <w:t> </w:t>
      </w:r>
      <w:r>
        <w:rPr>
          <w:sz w:val="22"/>
        </w:rPr>
        <w:t>ITS</w:t>
      </w:r>
      <w:r>
        <w:rPr>
          <w:spacing w:val="-15"/>
          <w:sz w:val="22"/>
        </w:rPr>
        <w:t> </w:t>
      </w:r>
      <w:r>
        <w:rPr>
          <w:sz w:val="22"/>
        </w:rPr>
        <w:t>Only </w:t>
      </w:r>
      <w:r>
        <w:rPr>
          <w:spacing w:val="-2"/>
          <w:sz w:val="22"/>
        </w:rPr>
        <w:t>7-14-08</w:t>
      </w:r>
      <w:r>
        <w:rPr>
          <w:sz w:val="22"/>
        </w:rPr>
        <w:tab/>
        <w:t>PT Memo #09-08</w:t>
      </w:r>
    </w:p>
    <w:p>
      <w:pPr>
        <w:tabs>
          <w:tab w:pos="1439" w:val="left" w:leader="none"/>
        </w:tabs>
        <w:spacing w:before="0"/>
        <w:ind w:left="359" w:right="4633" w:firstLine="1080"/>
        <w:jc w:val="left"/>
        <w:rPr>
          <w:sz w:val="22"/>
        </w:rPr>
      </w:pPr>
      <w:r>
        <w:rPr>
          <w:sz w:val="22"/>
        </w:rPr>
        <w:t>Permanent,</w:t>
      </w:r>
      <w:r>
        <w:rPr>
          <w:spacing w:val="-6"/>
          <w:sz w:val="22"/>
        </w:rPr>
        <w:t> </w:t>
      </w:r>
      <w:r>
        <w:rPr>
          <w:sz w:val="22"/>
        </w:rPr>
        <w:t>ITS</w:t>
      </w:r>
      <w:r>
        <w:rPr>
          <w:spacing w:val="-7"/>
          <w:sz w:val="22"/>
        </w:rPr>
        <w:t> </w:t>
      </w:r>
      <w:r>
        <w:rPr>
          <w:sz w:val="22"/>
        </w:rPr>
        <w:t>Only.</w:t>
      </w:r>
      <w:r>
        <w:rPr>
          <w:spacing w:val="-7"/>
          <w:sz w:val="22"/>
        </w:rPr>
        <w:t> </w:t>
      </w:r>
      <w:r>
        <w:rPr>
          <w:sz w:val="22"/>
        </w:rPr>
        <w:t>Added</w:t>
      </w:r>
      <w:r>
        <w:rPr>
          <w:spacing w:val="-7"/>
          <w:sz w:val="22"/>
        </w:rPr>
        <w:t> </w:t>
      </w:r>
      <w:r>
        <w:rPr>
          <w:sz w:val="22"/>
        </w:rPr>
        <w:t>after</w:t>
      </w:r>
      <w:r>
        <w:rPr>
          <w:spacing w:val="-7"/>
          <w:sz w:val="22"/>
        </w:rPr>
        <w:t> </w:t>
      </w:r>
      <w:r>
        <w:rPr>
          <w:sz w:val="22"/>
        </w:rPr>
        <w:t>hour</w:t>
      </w:r>
      <w:r>
        <w:rPr>
          <w:spacing w:val="-7"/>
          <w:sz w:val="22"/>
        </w:rPr>
        <w:t> </w:t>
      </w:r>
      <w:r>
        <w:rPr>
          <w:sz w:val="22"/>
        </w:rPr>
        <w:t>rates </w:t>
      </w:r>
      <w:r>
        <w:rPr>
          <w:spacing w:val="-2"/>
          <w:sz w:val="22"/>
        </w:rPr>
        <w:t>8-26-21</w:t>
      </w:r>
      <w:r>
        <w:rPr>
          <w:sz w:val="22"/>
        </w:rPr>
        <w:tab/>
        <w:t>Revised to reflect WIOA language.</w:t>
      </w:r>
    </w:p>
    <w:p>
      <w:pPr>
        <w:tabs>
          <w:tab w:pos="1439" w:val="left" w:leader="none"/>
        </w:tabs>
        <w:spacing w:line="253" w:lineRule="exact" w:before="0"/>
        <w:ind w:left="359" w:right="0" w:firstLine="0"/>
        <w:jc w:val="left"/>
        <w:rPr>
          <w:sz w:val="22"/>
        </w:rPr>
      </w:pPr>
      <w:r>
        <w:rPr>
          <w:spacing w:val="-2"/>
          <w:sz w:val="22"/>
        </w:rPr>
        <w:t>9-11-</w:t>
      </w:r>
      <w:r>
        <w:rPr>
          <w:spacing w:val="-5"/>
          <w:sz w:val="22"/>
        </w:rPr>
        <w:t>22</w:t>
      </w:r>
      <w:r>
        <w:rPr>
          <w:sz w:val="22"/>
        </w:rPr>
        <w:tab/>
        <w:t>Removed</w:t>
      </w:r>
      <w:r>
        <w:rPr>
          <w:spacing w:val="-8"/>
          <w:sz w:val="22"/>
        </w:rPr>
        <w:t> </w:t>
      </w:r>
      <w:r>
        <w:rPr>
          <w:sz w:val="22"/>
        </w:rPr>
        <w:t>section</w:t>
      </w:r>
      <w:r>
        <w:rPr>
          <w:spacing w:val="-8"/>
          <w:sz w:val="22"/>
        </w:rPr>
        <w:t> </w:t>
      </w:r>
      <w:r>
        <w:rPr>
          <w:sz w:val="22"/>
        </w:rPr>
        <w:t>(b)</w:t>
      </w:r>
      <w:r>
        <w:rPr>
          <w:spacing w:val="-8"/>
          <w:sz w:val="22"/>
        </w:rPr>
        <w:t> </w:t>
      </w:r>
      <w:r>
        <w:rPr>
          <w:sz w:val="22"/>
        </w:rPr>
        <w:t>Deaf-Blindness</w:t>
      </w:r>
      <w:r>
        <w:rPr>
          <w:spacing w:val="-8"/>
          <w:sz w:val="22"/>
        </w:rPr>
        <w:t> </w:t>
      </w:r>
      <w:r>
        <w:rPr>
          <w:sz w:val="22"/>
        </w:rPr>
        <w:t>Specialist</w:t>
      </w:r>
      <w:r>
        <w:rPr>
          <w:spacing w:val="-9"/>
          <w:sz w:val="22"/>
        </w:rPr>
        <w:t> </w:t>
      </w:r>
      <w:r>
        <w:rPr>
          <w:sz w:val="22"/>
        </w:rPr>
        <w:t>and</w:t>
      </w:r>
      <w:r>
        <w:rPr>
          <w:spacing w:val="-8"/>
          <w:sz w:val="22"/>
        </w:rPr>
        <w:t> </w:t>
      </w:r>
      <w:r>
        <w:rPr>
          <w:sz w:val="22"/>
        </w:rPr>
        <w:t>(c)</w:t>
      </w:r>
      <w:r>
        <w:rPr>
          <w:spacing w:val="-7"/>
          <w:sz w:val="22"/>
        </w:rPr>
        <w:t> </w:t>
      </w:r>
      <w:r>
        <w:rPr>
          <w:sz w:val="22"/>
        </w:rPr>
        <w:t>Case</w:t>
      </w:r>
      <w:r>
        <w:rPr>
          <w:spacing w:val="-8"/>
          <w:sz w:val="22"/>
        </w:rPr>
        <w:t> </w:t>
      </w:r>
      <w:r>
        <w:rPr>
          <w:spacing w:val="-2"/>
          <w:sz w:val="22"/>
        </w:rPr>
        <w:t>Recording.</w:t>
      </w:r>
    </w:p>
    <w:p>
      <w:pPr>
        <w:tabs>
          <w:tab w:pos="1439" w:val="left" w:leader="none"/>
        </w:tabs>
        <w:spacing w:before="0"/>
        <w:ind w:left="1439" w:right="793" w:hanging="1080"/>
        <w:jc w:val="left"/>
        <w:rPr>
          <w:sz w:val="22"/>
        </w:rPr>
      </w:pPr>
      <w:r>
        <w:rPr>
          <w:spacing w:val="-2"/>
          <w:sz w:val="22"/>
        </w:rPr>
        <w:t>8-11-24</w:t>
      </w:r>
      <w:r>
        <w:rPr>
          <w:sz w:val="22"/>
        </w:rPr>
        <w:tab/>
        <w:t>Updated</w:t>
      </w:r>
      <w:r>
        <w:rPr>
          <w:spacing w:val="-4"/>
          <w:sz w:val="22"/>
        </w:rPr>
        <w:t> </w:t>
      </w:r>
      <w:r>
        <w:rPr>
          <w:sz w:val="22"/>
        </w:rPr>
        <w:t>ITS</w:t>
      </w:r>
      <w:r>
        <w:rPr>
          <w:spacing w:val="-4"/>
          <w:sz w:val="22"/>
        </w:rPr>
        <w:t> </w:t>
      </w:r>
      <w:r>
        <w:rPr>
          <w:sz w:val="22"/>
        </w:rPr>
        <w:t>#1,</w:t>
      </w:r>
      <w:r>
        <w:rPr>
          <w:spacing w:val="-4"/>
          <w:sz w:val="22"/>
        </w:rPr>
        <w:t> </w:t>
      </w:r>
      <w:r>
        <w:rPr>
          <w:sz w:val="22"/>
        </w:rPr>
        <w:t>interpreter</w:t>
      </w:r>
      <w:r>
        <w:rPr>
          <w:spacing w:val="-4"/>
          <w:sz w:val="22"/>
        </w:rPr>
        <w:t> </w:t>
      </w:r>
      <w:r>
        <w:rPr>
          <w:sz w:val="22"/>
        </w:rPr>
        <w:t>pay</w:t>
      </w:r>
      <w:r>
        <w:rPr>
          <w:spacing w:val="-4"/>
          <w:sz w:val="22"/>
        </w:rPr>
        <w:t> </w:t>
      </w:r>
      <w:r>
        <w:rPr>
          <w:sz w:val="22"/>
        </w:rPr>
        <w:t>scale.</w:t>
      </w:r>
      <w:r>
        <w:rPr>
          <w:spacing w:val="-4"/>
          <w:sz w:val="22"/>
        </w:rPr>
        <w:t> </w:t>
      </w:r>
      <w:r>
        <w:rPr>
          <w:sz w:val="22"/>
        </w:rPr>
        <w:t>Daytime</w:t>
      </w:r>
      <w:r>
        <w:rPr>
          <w:spacing w:val="-4"/>
          <w:sz w:val="22"/>
        </w:rPr>
        <w:t> </w:t>
      </w:r>
      <w:r>
        <w:rPr>
          <w:sz w:val="22"/>
        </w:rPr>
        <w:t>hours</w:t>
      </w:r>
      <w:r>
        <w:rPr>
          <w:spacing w:val="-4"/>
          <w:sz w:val="22"/>
        </w:rPr>
        <w:t> </w:t>
      </w:r>
      <w:r>
        <w:rPr>
          <w:sz w:val="22"/>
        </w:rPr>
        <w:t>revised</w:t>
      </w:r>
      <w:r>
        <w:rPr>
          <w:spacing w:val="-4"/>
          <w:sz w:val="22"/>
        </w:rPr>
        <w:t> </w:t>
      </w:r>
      <w:r>
        <w:rPr>
          <w:sz w:val="22"/>
        </w:rPr>
        <w:t>to</w:t>
      </w:r>
      <w:r>
        <w:rPr>
          <w:spacing w:val="-4"/>
          <w:sz w:val="22"/>
        </w:rPr>
        <w:t> </w:t>
      </w:r>
      <w:r>
        <w:rPr>
          <w:sz w:val="22"/>
        </w:rPr>
        <w:t>8am-5pm,</w:t>
      </w:r>
      <w:r>
        <w:rPr>
          <w:spacing w:val="-4"/>
          <w:sz w:val="22"/>
        </w:rPr>
        <w:t> </w:t>
      </w:r>
      <w:r>
        <w:rPr>
          <w:sz w:val="22"/>
        </w:rPr>
        <w:t>weekend and holidays revised to 5pm-8am.</w:t>
      </w:r>
    </w:p>
    <w:p>
      <w:pPr>
        <w:spacing w:after="0"/>
        <w:jc w:val="left"/>
        <w:rPr>
          <w:sz w:val="22"/>
        </w:rPr>
        <w:sectPr>
          <w:pgSz w:w="12240" w:h="15840"/>
          <w:pgMar w:top="1340" w:bottom="280" w:left="1080" w:right="720"/>
        </w:sectPr>
      </w:pPr>
    </w:p>
    <w:p>
      <w:pPr>
        <w:pStyle w:val="Heading2"/>
      </w:pPr>
      <w:bookmarkStart w:name="612:10-7-199.  Reader/recording services" w:id="210"/>
      <w:bookmarkEnd w:id="210"/>
      <w:r>
        <w:rPr>
          <w:b w:val="0"/>
        </w:rPr>
      </w:r>
      <w:r>
        <w:rPr/>
        <w:t>612:10-7-199.</w:t>
      </w:r>
      <w:r>
        <w:rPr>
          <w:spacing w:val="54"/>
        </w:rPr>
        <w:t> </w:t>
      </w:r>
      <w:r>
        <w:rPr/>
        <w:t>Reader/recording</w:t>
      </w:r>
      <w:r>
        <w:rPr>
          <w:spacing w:val="-6"/>
        </w:rPr>
        <w:t> </w:t>
      </w:r>
      <w:r>
        <w:rPr>
          <w:spacing w:val="-2"/>
        </w:rPr>
        <w:t>services</w:t>
      </w:r>
    </w:p>
    <w:p>
      <w:pPr>
        <w:pStyle w:val="ListParagraph"/>
        <w:numPr>
          <w:ilvl w:val="0"/>
          <w:numId w:val="229"/>
        </w:numPr>
        <w:tabs>
          <w:tab w:pos="786" w:val="left" w:leader="none"/>
        </w:tabs>
        <w:spacing w:line="208" w:lineRule="auto" w:before="233" w:after="0"/>
        <w:ind w:left="360" w:right="847" w:firstLine="0"/>
        <w:jc w:val="left"/>
        <w:rPr>
          <w:sz w:val="24"/>
        </w:rPr>
      </w:pPr>
      <w:r>
        <w:rPr>
          <w:sz w:val="24"/>
        </w:rPr>
        <w:t>Reader services may be purchased for individuals who are blind, visually impaired or have difficulty reading standard print books/materials due to any other disability. Reader</w:t>
      </w:r>
      <w:r>
        <w:rPr>
          <w:spacing w:val="-3"/>
          <w:sz w:val="24"/>
        </w:rPr>
        <w:t> </w:t>
      </w:r>
      <w:r>
        <w:rPr>
          <w:sz w:val="24"/>
        </w:rPr>
        <w:t>services</w:t>
      </w:r>
      <w:r>
        <w:rPr>
          <w:spacing w:val="-4"/>
          <w:sz w:val="24"/>
        </w:rPr>
        <w:t> </w:t>
      </w:r>
      <w:r>
        <w:rPr>
          <w:sz w:val="24"/>
        </w:rPr>
        <w:t>may</w:t>
      </w:r>
      <w:r>
        <w:rPr>
          <w:spacing w:val="-4"/>
          <w:sz w:val="24"/>
        </w:rPr>
        <w:t> </w:t>
      </w:r>
      <w:r>
        <w:rPr>
          <w:sz w:val="24"/>
        </w:rPr>
        <w:t>be</w:t>
      </w:r>
      <w:r>
        <w:rPr>
          <w:spacing w:val="-4"/>
          <w:sz w:val="24"/>
        </w:rPr>
        <w:t> </w:t>
      </w:r>
      <w:r>
        <w:rPr>
          <w:sz w:val="24"/>
        </w:rPr>
        <w:t>provided</w:t>
      </w:r>
      <w:r>
        <w:rPr>
          <w:spacing w:val="-4"/>
          <w:sz w:val="24"/>
        </w:rPr>
        <w:t> </w:t>
      </w:r>
      <w:r>
        <w:rPr>
          <w:sz w:val="24"/>
        </w:rPr>
        <w:t>for</w:t>
      </w:r>
      <w:r>
        <w:rPr>
          <w:spacing w:val="-5"/>
          <w:sz w:val="24"/>
        </w:rPr>
        <w:t> </w:t>
      </w:r>
      <w:r>
        <w:rPr>
          <w:sz w:val="24"/>
        </w:rPr>
        <w:t>those</w:t>
      </w:r>
      <w:r>
        <w:rPr>
          <w:spacing w:val="-4"/>
          <w:sz w:val="24"/>
        </w:rPr>
        <w:t> </w:t>
      </w:r>
      <w:r>
        <w:rPr>
          <w:sz w:val="24"/>
        </w:rPr>
        <w:t>consumers</w:t>
      </w:r>
      <w:r>
        <w:rPr>
          <w:spacing w:val="-4"/>
          <w:sz w:val="24"/>
        </w:rPr>
        <w:t> </w:t>
      </w:r>
      <w:r>
        <w:rPr>
          <w:sz w:val="24"/>
        </w:rPr>
        <w:t>who</w:t>
      </w:r>
      <w:r>
        <w:rPr>
          <w:spacing w:val="-4"/>
          <w:sz w:val="24"/>
        </w:rPr>
        <w:t> </w:t>
      </w:r>
      <w:r>
        <w:rPr>
          <w:sz w:val="24"/>
        </w:rPr>
        <w:t>are</w:t>
      </w:r>
      <w:r>
        <w:rPr>
          <w:spacing w:val="-4"/>
          <w:sz w:val="24"/>
        </w:rPr>
        <w:t> </w:t>
      </w:r>
      <w:r>
        <w:rPr>
          <w:sz w:val="24"/>
        </w:rPr>
        <w:t>involved</w:t>
      </w:r>
      <w:r>
        <w:rPr>
          <w:spacing w:val="-4"/>
          <w:sz w:val="24"/>
        </w:rPr>
        <w:t> </w:t>
      </w:r>
      <w:r>
        <w:rPr>
          <w:sz w:val="24"/>
        </w:rPr>
        <w:t>in</w:t>
      </w:r>
      <w:r>
        <w:rPr>
          <w:spacing w:val="-4"/>
          <w:sz w:val="24"/>
        </w:rPr>
        <w:t> </w:t>
      </w:r>
      <w:r>
        <w:rPr>
          <w:sz w:val="24"/>
        </w:rPr>
        <w:t>educational or vocational training, employment search or entry into employment. Clients will be expected to utilize any comparable services, including available assistive technology devices and services prior to authorization of reader services.</w:t>
      </w:r>
    </w:p>
    <w:p>
      <w:pPr>
        <w:pStyle w:val="ListParagraph"/>
        <w:numPr>
          <w:ilvl w:val="0"/>
          <w:numId w:val="229"/>
        </w:numPr>
        <w:tabs>
          <w:tab w:pos="786" w:val="left" w:leader="none"/>
        </w:tabs>
        <w:spacing w:line="208" w:lineRule="auto" w:before="239" w:after="0"/>
        <w:ind w:left="360" w:right="769" w:firstLine="0"/>
        <w:jc w:val="left"/>
        <w:rPr>
          <w:sz w:val="24"/>
        </w:rPr>
      </w:pPr>
      <w:r>
        <w:rPr>
          <w:sz w:val="24"/>
        </w:rPr>
        <w:t>Reader</w:t>
      </w:r>
      <w:r>
        <w:rPr>
          <w:spacing w:val="-5"/>
          <w:sz w:val="24"/>
        </w:rPr>
        <w:t> </w:t>
      </w:r>
      <w:r>
        <w:rPr>
          <w:sz w:val="24"/>
        </w:rPr>
        <w:t>services</w:t>
      </w:r>
      <w:r>
        <w:rPr>
          <w:spacing w:val="-4"/>
          <w:sz w:val="24"/>
        </w:rPr>
        <w:t> </w:t>
      </w:r>
      <w:r>
        <w:rPr>
          <w:sz w:val="24"/>
        </w:rPr>
        <w:t>are</w:t>
      </w:r>
      <w:r>
        <w:rPr>
          <w:spacing w:val="-4"/>
          <w:sz w:val="24"/>
        </w:rPr>
        <w:t> </w:t>
      </w:r>
      <w:r>
        <w:rPr>
          <w:sz w:val="24"/>
        </w:rPr>
        <w:t>exempt</w:t>
      </w:r>
      <w:r>
        <w:rPr>
          <w:spacing w:val="-3"/>
          <w:sz w:val="24"/>
        </w:rPr>
        <w:t> </w:t>
      </w:r>
      <w:r>
        <w:rPr>
          <w:sz w:val="24"/>
        </w:rPr>
        <w:t>from</w:t>
      </w:r>
      <w:r>
        <w:rPr>
          <w:spacing w:val="-3"/>
          <w:sz w:val="24"/>
        </w:rPr>
        <w:t> </w:t>
      </w:r>
      <w:r>
        <w:rPr>
          <w:sz w:val="24"/>
        </w:rPr>
        <w:t>client</w:t>
      </w:r>
      <w:r>
        <w:rPr>
          <w:spacing w:val="-3"/>
          <w:sz w:val="24"/>
        </w:rPr>
        <w:t> </w:t>
      </w:r>
      <w:r>
        <w:rPr>
          <w:sz w:val="24"/>
        </w:rPr>
        <w:t>participation</w:t>
      </w:r>
      <w:r>
        <w:rPr>
          <w:spacing w:val="-3"/>
          <w:sz w:val="24"/>
        </w:rPr>
        <w:t> </w:t>
      </w:r>
      <w:r>
        <w:rPr>
          <w:sz w:val="24"/>
        </w:rPr>
        <w:t>in</w:t>
      </w:r>
      <w:r>
        <w:rPr>
          <w:spacing w:val="-4"/>
          <w:sz w:val="24"/>
        </w:rPr>
        <w:t> </w:t>
      </w:r>
      <w:r>
        <w:rPr>
          <w:sz w:val="24"/>
        </w:rPr>
        <w:t>cost</w:t>
      </w:r>
      <w:r>
        <w:rPr>
          <w:spacing w:val="-3"/>
          <w:sz w:val="24"/>
        </w:rPr>
        <w:t> </w:t>
      </w:r>
      <w:r>
        <w:rPr>
          <w:sz w:val="24"/>
        </w:rPr>
        <w:t>of</w:t>
      </w:r>
      <w:r>
        <w:rPr>
          <w:spacing w:val="-3"/>
          <w:sz w:val="24"/>
        </w:rPr>
        <w:t> </w:t>
      </w:r>
      <w:r>
        <w:rPr>
          <w:sz w:val="24"/>
        </w:rPr>
        <w:t>service.</w:t>
      </w:r>
      <w:r>
        <w:rPr>
          <w:spacing w:val="-3"/>
          <w:sz w:val="24"/>
        </w:rPr>
        <w:t> </w:t>
      </w:r>
      <w:r>
        <w:rPr>
          <w:sz w:val="24"/>
        </w:rPr>
        <w:t>DRS</w:t>
      </w:r>
      <w:r>
        <w:rPr>
          <w:spacing w:val="-4"/>
          <w:sz w:val="24"/>
        </w:rPr>
        <w:t> </w:t>
      </w:r>
      <w:r>
        <w:rPr>
          <w:sz w:val="24"/>
        </w:rPr>
        <w:t>will</w:t>
      </w:r>
      <w:r>
        <w:rPr>
          <w:spacing w:val="-4"/>
          <w:sz w:val="24"/>
        </w:rPr>
        <w:t> </w:t>
      </w:r>
      <w:r>
        <w:rPr>
          <w:sz w:val="24"/>
        </w:rPr>
        <w:t>pay up to five (5) hours of reader service per month. Additional hours of reader service may be approved by the Programs Manager with justification.</w:t>
      </w:r>
    </w:p>
    <w:p>
      <w:pPr>
        <w:pStyle w:val="ListParagraph"/>
        <w:numPr>
          <w:ilvl w:val="0"/>
          <w:numId w:val="229"/>
        </w:numPr>
        <w:tabs>
          <w:tab w:pos="773" w:val="left" w:leader="none"/>
        </w:tabs>
        <w:spacing w:line="208" w:lineRule="auto" w:before="240" w:after="0"/>
        <w:ind w:left="360" w:right="804" w:firstLine="0"/>
        <w:jc w:val="left"/>
        <w:rPr>
          <w:sz w:val="24"/>
        </w:rPr>
      </w:pPr>
      <w:r>
        <w:rPr>
          <w:sz w:val="24"/>
        </w:rPr>
        <w:t>Payment for reader services will be based on the Federal Minimum Wage. However, the counselor may authorize up to $2.00/hour above minimum wage with consideration being given to factors such as the significance of the event and the likelihood</w:t>
      </w:r>
      <w:r>
        <w:rPr>
          <w:spacing w:val="-4"/>
          <w:sz w:val="24"/>
        </w:rPr>
        <w:t> </w:t>
      </w:r>
      <w:r>
        <w:rPr>
          <w:sz w:val="24"/>
        </w:rPr>
        <w:t>of</w:t>
      </w:r>
      <w:r>
        <w:rPr>
          <w:spacing w:val="-3"/>
          <w:sz w:val="24"/>
        </w:rPr>
        <w:t> </w:t>
      </w:r>
      <w:r>
        <w:rPr>
          <w:sz w:val="24"/>
        </w:rPr>
        <w:t>technical/foreign</w:t>
      </w:r>
      <w:r>
        <w:rPr>
          <w:spacing w:val="-4"/>
          <w:sz w:val="24"/>
        </w:rPr>
        <w:t> </w:t>
      </w:r>
      <w:r>
        <w:rPr>
          <w:sz w:val="24"/>
        </w:rPr>
        <w:t>language</w:t>
      </w:r>
      <w:r>
        <w:rPr>
          <w:spacing w:val="-4"/>
          <w:sz w:val="24"/>
        </w:rPr>
        <w:t> </w:t>
      </w:r>
      <w:r>
        <w:rPr>
          <w:sz w:val="24"/>
        </w:rPr>
        <w:t>being</w:t>
      </w:r>
      <w:r>
        <w:rPr>
          <w:spacing w:val="-3"/>
          <w:sz w:val="24"/>
        </w:rPr>
        <w:t> </w:t>
      </w:r>
      <w:r>
        <w:rPr>
          <w:sz w:val="24"/>
        </w:rPr>
        <w:t>used.</w:t>
      </w:r>
      <w:r>
        <w:rPr>
          <w:spacing w:val="-3"/>
          <w:sz w:val="24"/>
        </w:rPr>
        <w:t> </w:t>
      </w:r>
      <w:r>
        <w:rPr>
          <w:sz w:val="24"/>
        </w:rPr>
        <w:t>Reader</w:t>
      </w:r>
      <w:r>
        <w:rPr>
          <w:spacing w:val="-3"/>
          <w:sz w:val="24"/>
        </w:rPr>
        <w:t> </w:t>
      </w:r>
      <w:r>
        <w:rPr>
          <w:sz w:val="24"/>
        </w:rPr>
        <w:t>services</w:t>
      </w:r>
      <w:r>
        <w:rPr>
          <w:spacing w:val="-4"/>
          <w:sz w:val="24"/>
        </w:rPr>
        <w:t> </w:t>
      </w:r>
      <w:r>
        <w:rPr>
          <w:sz w:val="24"/>
        </w:rPr>
        <w:t>may</w:t>
      </w:r>
      <w:r>
        <w:rPr>
          <w:spacing w:val="-4"/>
          <w:sz w:val="24"/>
        </w:rPr>
        <w:t> </w:t>
      </w:r>
      <w:r>
        <w:rPr>
          <w:sz w:val="24"/>
        </w:rPr>
        <w:t>not</w:t>
      </w:r>
      <w:r>
        <w:rPr>
          <w:spacing w:val="-5"/>
          <w:sz w:val="24"/>
        </w:rPr>
        <w:t> </w:t>
      </w:r>
      <w:r>
        <w:rPr>
          <w:sz w:val="24"/>
        </w:rPr>
        <w:t>be</w:t>
      </w:r>
      <w:r>
        <w:rPr>
          <w:spacing w:val="-4"/>
          <w:sz w:val="24"/>
        </w:rPr>
        <w:t> </w:t>
      </w:r>
      <w:r>
        <w:rPr>
          <w:sz w:val="24"/>
        </w:rPr>
        <w:t>paid</w:t>
      </w:r>
      <w:r>
        <w:rPr>
          <w:spacing w:val="-4"/>
          <w:sz w:val="24"/>
        </w:rPr>
        <w:t> </w:t>
      </w:r>
      <w:r>
        <w:rPr>
          <w:sz w:val="24"/>
        </w:rPr>
        <w:t>in advance. Payment is authorized directly to the client in the same manner as maintenance or transportation and may be included on the same authorization with either or both of these other services.</w:t>
      </w:r>
    </w:p>
    <w:p>
      <w:pPr>
        <w:pStyle w:val="ListParagraph"/>
        <w:numPr>
          <w:ilvl w:val="0"/>
          <w:numId w:val="229"/>
        </w:numPr>
        <w:tabs>
          <w:tab w:pos="786" w:val="left" w:leader="none"/>
        </w:tabs>
        <w:spacing w:line="208" w:lineRule="auto" w:before="239" w:after="0"/>
        <w:ind w:left="360" w:right="843" w:firstLine="0"/>
        <w:jc w:val="left"/>
        <w:rPr>
          <w:sz w:val="24"/>
        </w:rPr>
      </w:pPr>
      <w:r>
        <w:rPr>
          <w:sz w:val="24"/>
        </w:rPr>
        <w:t>The individual receiving the service shall maintain a record of the reading time he/she</w:t>
      </w:r>
      <w:r>
        <w:rPr>
          <w:spacing w:val="-3"/>
          <w:sz w:val="24"/>
        </w:rPr>
        <w:t> </w:t>
      </w:r>
      <w:r>
        <w:rPr>
          <w:sz w:val="24"/>
        </w:rPr>
        <w:t>has</w:t>
      </w:r>
      <w:r>
        <w:rPr>
          <w:spacing w:val="-3"/>
          <w:sz w:val="24"/>
        </w:rPr>
        <w:t> </w:t>
      </w:r>
      <w:r>
        <w:rPr>
          <w:sz w:val="24"/>
        </w:rPr>
        <w:t>been</w:t>
      </w:r>
      <w:r>
        <w:rPr>
          <w:spacing w:val="-3"/>
          <w:sz w:val="24"/>
        </w:rPr>
        <w:t> </w:t>
      </w:r>
      <w:r>
        <w:rPr>
          <w:sz w:val="24"/>
        </w:rPr>
        <w:t>provided.</w:t>
      </w:r>
      <w:r>
        <w:rPr>
          <w:spacing w:val="-2"/>
          <w:sz w:val="24"/>
        </w:rPr>
        <w:t> </w:t>
      </w:r>
      <w:r>
        <w:rPr>
          <w:sz w:val="24"/>
        </w:rPr>
        <w:t>The</w:t>
      </w:r>
      <w:r>
        <w:rPr>
          <w:spacing w:val="-3"/>
          <w:sz w:val="24"/>
        </w:rPr>
        <w:t> </w:t>
      </w:r>
      <w:r>
        <w:rPr>
          <w:sz w:val="24"/>
        </w:rPr>
        <w:t>record</w:t>
      </w:r>
      <w:r>
        <w:rPr>
          <w:spacing w:val="-3"/>
          <w:sz w:val="24"/>
        </w:rPr>
        <w:t> </w:t>
      </w:r>
      <w:r>
        <w:rPr>
          <w:sz w:val="24"/>
        </w:rPr>
        <w:t>must</w:t>
      </w:r>
      <w:r>
        <w:rPr>
          <w:spacing w:val="-4"/>
          <w:sz w:val="24"/>
        </w:rPr>
        <w:t> </w:t>
      </w:r>
      <w:r>
        <w:rPr>
          <w:sz w:val="24"/>
        </w:rPr>
        <w:t>be</w:t>
      </w:r>
      <w:r>
        <w:rPr>
          <w:spacing w:val="-3"/>
          <w:sz w:val="24"/>
        </w:rPr>
        <w:t> </w:t>
      </w:r>
      <w:r>
        <w:rPr>
          <w:sz w:val="24"/>
        </w:rPr>
        <w:t>signed</w:t>
      </w:r>
      <w:r>
        <w:rPr>
          <w:spacing w:val="-2"/>
          <w:sz w:val="24"/>
        </w:rPr>
        <w:t> </w:t>
      </w:r>
      <w:r>
        <w:rPr>
          <w:sz w:val="24"/>
        </w:rPr>
        <w:t>and</w:t>
      </w:r>
      <w:r>
        <w:rPr>
          <w:spacing w:val="-3"/>
          <w:sz w:val="24"/>
        </w:rPr>
        <w:t> </w:t>
      </w:r>
      <w:r>
        <w:rPr>
          <w:sz w:val="24"/>
        </w:rPr>
        <w:t>dated</w:t>
      </w:r>
      <w:r>
        <w:rPr>
          <w:spacing w:val="-3"/>
          <w:sz w:val="24"/>
        </w:rPr>
        <w:t> </w:t>
      </w:r>
      <w:r>
        <w:rPr>
          <w:sz w:val="24"/>
        </w:rPr>
        <w:t>by</w:t>
      </w:r>
      <w:r>
        <w:rPr>
          <w:spacing w:val="-3"/>
          <w:sz w:val="24"/>
        </w:rPr>
        <w:t> </w:t>
      </w:r>
      <w:r>
        <w:rPr>
          <w:sz w:val="24"/>
        </w:rPr>
        <w:t>the</w:t>
      </w:r>
      <w:r>
        <w:rPr>
          <w:spacing w:val="-3"/>
          <w:sz w:val="24"/>
        </w:rPr>
        <w:t> </w:t>
      </w:r>
      <w:r>
        <w:rPr>
          <w:sz w:val="24"/>
        </w:rPr>
        <w:t>reader</w:t>
      </w:r>
      <w:r>
        <w:rPr>
          <w:spacing w:val="-3"/>
          <w:sz w:val="24"/>
        </w:rPr>
        <w:t> </w:t>
      </w:r>
      <w:r>
        <w:rPr>
          <w:sz w:val="24"/>
        </w:rPr>
        <w:t>and</w:t>
      </w:r>
      <w:r>
        <w:rPr>
          <w:spacing w:val="-3"/>
          <w:sz w:val="24"/>
        </w:rPr>
        <w:t> </w:t>
      </w:r>
      <w:r>
        <w:rPr>
          <w:sz w:val="24"/>
        </w:rPr>
        <w:t>the individual, and returned to the counselor at the end of each month. The record shall </w:t>
      </w:r>
      <w:r>
        <w:rPr>
          <w:spacing w:val="-2"/>
          <w:sz w:val="24"/>
        </w:rPr>
        <w:t>include:</w:t>
      </w:r>
    </w:p>
    <w:p>
      <w:pPr>
        <w:pStyle w:val="ListParagraph"/>
        <w:numPr>
          <w:ilvl w:val="1"/>
          <w:numId w:val="229"/>
        </w:numPr>
        <w:tabs>
          <w:tab w:pos="1235" w:val="left" w:leader="none"/>
        </w:tabs>
        <w:spacing w:line="240" w:lineRule="auto" w:before="211" w:after="0"/>
        <w:ind w:left="1235" w:right="0" w:hanging="425"/>
        <w:jc w:val="left"/>
        <w:rPr>
          <w:sz w:val="24"/>
        </w:rPr>
      </w:pPr>
      <w:r>
        <w:rPr>
          <w:sz w:val="24"/>
        </w:rPr>
        <w:t>Individual's</w:t>
      </w:r>
      <w:r>
        <w:rPr>
          <w:spacing w:val="-8"/>
          <w:sz w:val="24"/>
        </w:rPr>
        <w:t> </w:t>
      </w:r>
      <w:r>
        <w:rPr>
          <w:spacing w:val="-2"/>
          <w:sz w:val="24"/>
        </w:rPr>
        <w:t>name;</w:t>
      </w:r>
    </w:p>
    <w:p>
      <w:pPr>
        <w:pStyle w:val="ListParagraph"/>
        <w:numPr>
          <w:ilvl w:val="1"/>
          <w:numId w:val="229"/>
        </w:numPr>
        <w:tabs>
          <w:tab w:pos="1236" w:val="left" w:leader="none"/>
        </w:tabs>
        <w:spacing w:line="240" w:lineRule="auto" w:before="204" w:after="0"/>
        <w:ind w:left="1236" w:right="0" w:hanging="426"/>
        <w:jc w:val="left"/>
        <w:rPr>
          <w:sz w:val="24"/>
        </w:rPr>
      </w:pPr>
      <w:r>
        <w:rPr>
          <w:sz w:val="24"/>
        </w:rPr>
        <w:t>Reader's</w:t>
      </w:r>
      <w:r>
        <w:rPr>
          <w:spacing w:val="-4"/>
          <w:sz w:val="24"/>
        </w:rPr>
        <w:t> </w:t>
      </w:r>
      <w:r>
        <w:rPr>
          <w:sz w:val="24"/>
        </w:rPr>
        <w:t>name</w:t>
      </w:r>
      <w:r>
        <w:rPr>
          <w:spacing w:val="-4"/>
          <w:sz w:val="24"/>
        </w:rPr>
        <w:t> </w:t>
      </w:r>
      <w:r>
        <w:rPr>
          <w:sz w:val="24"/>
        </w:rPr>
        <w:t>and</w:t>
      </w:r>
      <w:r>
        <w:rPr>
          <w:spacing w:val="-3"/>
          <w:sz w:val="24"/>
        </w:rPr>
        <w:t> </w:t>
      </w:r>
      <w:r>
        <w:rPr>
          <w:spacing w:val="-2"/>
          <w:sz w:val="24"/>
        </w:rPr>
        <w:t>address;</w:t>
      </w:r>
    </w:p>
    <w:p>
      <w:pPr>
        <w:pStyle w:val="ListParagraph"/>
        <w:numPr>
          <w:ilvl w:val="1"/>
          <w:numId w:val="229"/>
        </w:numPr>
        <w:tabs>
          <w:tab w:pos="1236" w:val="left" w:leader="none"/>
        </w:tabs>
        <w:spacing w:line="240" w:lineRule="auto" w:before="204" w:after="0"/>
        <w:ind w:left="1236" w:right="0" w:hanging="426"/>
        <w:jc w:val="left"/>
        <w:rPr>
          <w:sz w:val="24"/>
        </w:rPr>
      </w:pPr>
      <w:r>
        <w:rPr>
          <w:sz w:val="24"/>
        </w:rPr>
        <w:t>Date</w:t>
      </w:r>
      <w:r>
        <w:rPr>
          <w:spacing w:val="-3"/>
          <w:sz w:val="24"/>
        </w:rPr>
        <w:t> </w:t>
      </w:r>
      <w:r>
        <w:rPr>
          <w:sz w:val="24"/>
        </w:rPr>
        <w:t>service</w:t>
      </w:r>
      <w:r>
        <w:rPr>
          <w:spacing w:val="-3"/>
          <w:sz w:val="24"/>
        </w:rPr>
        <w:t> </w:t>
      </w:r>
      <w:r>
        <w:rPr>
          <w:sz w:val="24"/>
        </w:rPr>
        <w:t>started</w:t>
      </w:r>
      <w:r>
        <w:rPr>
          <w:spacing w:val="-3"/>
          <w:sz w:val="24"/>
        </w:rPr>
        <w:t> </w:t>
      </w:r>
      <w:r>
        <w:rPr>
          <w:sz w:val="24"/>
        </w:rPr>
        <w:t>and</w:t>
      </w:r>
      <w:r>
        <w:rPr>
          <w:spacing w:val="-2"/>
          <w:sz w:val="24"/>
        </w:rPr>
        <w:t> </w:t>
      </w:r>
      <w:r>
        <w:rPr>
          <w:spacing w:val="-4"/>
          <w:sz w:val="24"/>
        </w:rPr>
        <w:t>ended</w:t>
      </w:r>
    </w:p>
    <w:p>
      <w:pPr>
        <w:pStyle w:val="ListParagraph"/>
        <w:numPr>
          <w:ilvl w:val="1"/>
          <w:numId w:val="229"/>
        </w:numPr>
        <w:tabs>
          <w:tab w:pos="1236" w:val="left" w:leader="none"/>
        </w:tabs>
        <w:spacing w:line="240" w:lineRule="auto" w:before="204" w:after="0"/>
        <w:ind w:left="1236" w:right="0" w:hanging="426"/>
        <w:jc w:val="left"/>
        <w:rPr>
          <w:sz w:val="24"/>
        </w:rPr>
      </w:pPr>
      <w:r>
        <w:rPr>
          <w:sz w:val="24"/>
        </w:rPr>
        <w:t>Subjects</w:t>
      </w:r>
      <w:r>
        <w:rPr>
          <w:spacing w:val="-5"/>
          <w:sz w:val="24"/>
        </w:rPr>
        <w:t> </w:t>
      </w:r>
      <w:r>
        <w:rPr>
          <w:sz w:val="24"/>
        </w:rPr>
        <w:t>read</w:t>
      </w:r>
      <w:r>
        <w:rPr>
          <w:spacing w:val="-2"/>
          <w:sz w:val="24"/>
        </w:rPr>
        <w:t> </w:t>
      </w:r>
      <w:r>
        <w:rPr>
          <w:sz w:val="24"/>
        </w:rPr>
        <w:t>and</w:t>
      </w:r>
      <w:r>
        <w:rPr>
          <w:spacing w:val="-2"/>
          <w:sz w:val="24"/>
        </w:rPr>
        <w:t> </w:t>
      </w:r>
      <w:r>
        <w:rPr>
          <w:sz w:val="24"/>
        </w:rPr>
        <w:t>time</w:t>
      </w:r>
      <w:r>
        <w:rPr>
          <w:spacing w:val="-3"/>
          <w:sz w:val="24"/>
        </w:rPr>
        <w:t> </w:t>
      </w:r>
      <w:r>
        <w:rPr>
          <w:sz w:val="24"/>
        </w:rPr>
        <w:t>devoted</w:t>
      </w:r>
      <w:r>
        <w:rPr>
          <w:spacing w:val="-2"/>
          <w:sz w:val="24"/>
        </w:rPr>
        <w:t> </w:t>
      </w:r>
      <w:r>
        <w:rPr>
          <w:sz w:val="24"/>
        </w:rPr>
        <w:t>to</w:t>
      </w:r>
      <w:r>
        <w:rPr>
          <w:spacing w:val="-2"/>
          <w:sz w:val="24"/>
        </w:rPr>
        <w:t> </w:t>
      </w:r>
      <w:r>
        <w:rPr>
          <w:spacing w:val="-4"/>
          <w:sz w:val="24"/>
        </w:rPr>
        <w:t>each</w:t>
      </w:r>
    </w:p>
    <w:p>
      <w:pPr>
        <w:pStyle w:val="ListParagraph"/>
        <w:numPr>
          <w:ilvl w:val="0"/>
          <w:numId w:val="229"/>
        </w:numPr>
        <w:tabs>
          <w:tab w:pos="785" w:val="left" w:leader="none"/>
        </w:tabs>
        <w:spacing w:line="208" w:lineRule="auto" w:before="233" w:after="0"/>
        <w:ind w:left="360" w:right="1045" w:firstLine="0"/>
        <w:jc w:val="left"/>
        <w:rPr>
          <w:sz w:val="24"/>
        </w:rPr>
      </w:pPr>
      <w:r>
        <w:rPr>
          <w:sz w:val="24"/>
        </w:rPr>
        <w:t>Individuals who have difficulty reading or using standard print materials will be referred to existing resources for recorded, large print, Braille and digital books and materials.</w:t>
      </w:r>
      <w:r>
        <w:rPr>
          <w:spacing w:val="-2"/>
          <w:sz w:val="24"/>
        </w:rPr>
        <w:t> </w:t>
      </w:r>
      <w:r>
        <w:rPr>
          <w:b/>
          <w:sz w:val="24"/>
        </w:rPr>
        <w:t>1</w:t>
      </w:r>
      <w:r>
        <w:rPr>
          <w:b/>
          <w:spacing w:val="-2"/>
          <w:sz w:val="24"/>
        </w:rPr>
        <w:t> </w:t>
      </w:r>
      <w:r>
        <w:rPr>
          <w:sz w:val="24"/>
        </w:rPr>
        <w:t>Any</w:t>
      </w:r>
      <w:r>
        <w:rPr>
          <w:spacing w:val="-2"/>
          <w:sz w:val="24"/>
        </w:rPr>
        <w:t> </w:t>
      </w:r>
      <w:r>
        <w:rPr>
          <w:sz w:val="24"/>
        </w:rPr>
        <w:t>required</w:t>
      </w:r>
      <w:r>
        <w:rPr>
          <w:spacing w:val="-2"/>
          <w:sz w:val="24"/>
        </w:rPr>
        <w:t> </w:t>
      </w:r>
      <w:r>
        <w:rPr>
          <w:sz w:val="24"/>
        </w:rPr>
        <w:t>fee</w:t>
      </w:r>
      <w:r>
        <w:rPr>
          <w:spacing w:val="-2"/>
          <w:sz w:val="24"/>
        </w:rPr>
        <w:t> </w:t>
      </w:r>
      <w:r>
        <w:rPr>
          <w:sz w:val="24"/>
        </w:rPr>
        <w:t>or</w:t>
      </w:r>
      <w:r>
        <w:rPr>
          <w:spacing w:val="-3"/>
          <w:sz w:val="24"/>
        </w:rPr>
        <w:t> </w:t>
      </w:r>
      <w:r>
        <w:rPr>
          <w:sz w:val="24"/>
        </w:rPr>
        <w:t>materials</w:t>
      </w:r>
      <w:r>
        <w:rPr>
          <w:spacing w:val="-2"/>
          <w:sz w:val="24"/>
        </w:rPr>
        <w:t> </w:t>
      </w:r>
      <w:r>
        <w:rPr>
          <w:sz w:val="24"/>
        </w:rPr>
        <w:t>cost</w:t>
      </w:r>
      <w:r>
        <w:rPr>
          <w:spacing w:val="-1"/>
          <w:sz w:val="24"/>
        </w:rPr>
        <w:t> </w:t>
      </w:r>
      <w:r>
        <w:rPr>
          <w:sz w:val="24"/>
        </w:rPr>
        <w:t>for</w:t>
      </w:r>
      <w:r>
        <w:rPr>
          <w:spacing w:val="-3"/>
          <w:sz w:val="24"/>
        </w:rPr>
        <w:t> </w:t>
      </w:r>
      <w:r>
        <w:rPr>
          <w:sz w:val="24"/>
        </w:rPr>
        <w:t>a</w:t>
      </w:r>
      <w:r>
        <w:rPr>
          <w:spacing w:val="-2"/>
          <w:sz w:val="24"/>
        </w:rPr>
        <w:t> </w:t>
      </w:r>
      <w:r>
        <w:rPr>
          <w:sz w:val="24"/>
        </w:rPr>
        <w:t>recorded/digital</w:t>
      </w:r>
      <w:r>
        <w:rPr>
          <w:spacing w:val="-2"/>
          <w:sz w:val="24"/>
        </w:rPr>
        <w:t> </w:t>
      </w:r>
      <w:r>
        <w:rPr>
          <w:sz w:val="24"/>
        </w:rPr>
        <w:t>textbook</w:t>
      </w:r>
      <w:r>
        <w:rPr>
          <w:spacing w:val="-2"/>
          <w:sz w:val="24"/>
        </w:rPr>
        <w:t> </w:t>
      </w:r>
      <w:r>
        <w:rPr>
          <w:sz w:val="24"/>
        </w:rPr>
        <w:t>service, reading</w:t>
      </w:r>
      <w:r>
        <w:rPr>
          <w:spacing w:val="-3"/>
          <w:sz w:val="24"/>
        </w:rPr>
        <w:t> </w:t>
      </w:r>
      <w:r>
        <w:rPr>
          <w:sz w:val="24"/>
        </w:rPr>
        <w:t>or</w:t>
      </w:r>
      <w:r>
        <w:rPr>
          <w:spacing w:val="-2"/>
          <w:sz w:val="24"/>
        </w:rPr>
        <w:t> </w:t>
      </w:r>
      <w:r>
        <w:rPr>
          <w:sz w:val="24"/>
        </w:rPr>
        <w:t>scanner</w:t>
      </w:r>
      <w:r>
        <w:rPr>
          <w:spacing w:val="-2"/>
          <w:sz w:val="24"/>
        </w:rPr>
        <w:t> </w:t>
      </w:r>
      <w:r>
        <w:rPr>
          <w:sz w:val="24"/>
        </w:rPr>
        <w:t>app</w:t>
      </w:r>
      <w:r>
        <w:rPr>
          <w:spacing w:val="-3"/>
          <w:sz w:val="24"/>
        </w:rPr>
        <w:t> </w:t>
      </w:r>
      <w:r>
        <w:rPr>
          <w:sz w:val="24"/>
        </w:rPr>
        <w:t>may</w:t>
      </w:r>
      <w:r>
        <w:rPr>
          <w:spacing w:val="-3"/>
          <w:sz w:val="24"/>
        </w:rPr>
        <w:t> </w:t>
      </w:r>
      <w:r>
        <w:rPr>
          <w:sz w:val="24"/>
        </w:rPr>
        <w:t>be</w:t>
      </w:r>
      <w:r>
        <w:rPr>
          <w:spacing w:val="-3"/>
          <w:sz w:val="24"/>
        </w:rPr>
        <w:t> </w:t>
      </w:r>
      <w:r>
        <w:rPr>
          <w:sz w:val="24"/>
        </w:rPr>
        <w:t>paid</w:t>
      </w:r>
      <w:r>
        <w:rPr>
          <w:spacing w:val="-3"/>
          <w:sz w:val="24"/>
        </w:rPr>
        <w:t> </w:t>
      </w:r>
      <w:r>
        <w:rPr>
          <w:sz w:val="24"/>
        </w:rPr>
        <w:t>through</w:t>
      </w:r>
      <w:r>
        <w:rPr>
          <w:spacing w:val="-2"/>
          <w:sz w:val="24"/>
        </w:rPr>
        <w:t> </w:t>
      </w:r>
      <w:r>
        <w:rPr>
          <w:sz w:val="24"/>
        </w:rPr>
        <w:t>DVR</w:t>
      </w:r>
      <w:r>
        <w:rPr>
          <w:spacing w:val="-3"/>
          <w:sz w:val="24"/>
        </w:rPr>
        <w:t> </w:t>
      </w:r>
      <w:r>
        <w:rPr>
          <w:sz w:val="24"/>
        </w:rPr>
        <w:t>and</w:t>
      </w:r>
      <w:r>
        <w:rPr>
          <w:spacing w:val="-2"/>
          <w:sz w:val="24"/>
        </w:rPr>
        <w:t> </w:t>
      </w:r>
      <w:r>
        <w:rPr>
          <w:sz w:val="24"/>
        </w:rPr>
        <w:t>DSBVI</w:t>
      </w:r>
      <w:r>
        <w:rPr>
          <w:spacing w:val="-2"/>
          <w:sz w:val="24"/>
        </w:rPr>
        <w:t> </w:t>
      </w:r>
      <w:r>
        <w:rPr>
          <w:sz w:val="24"/>
        </w:rPr>
        <w:t>funds</w:t>
      </w:r>
      <w:r>
        <w:rPr>
          <w:spacing w:val="-3"/>
          <w:sz w:val="24"/>
        </w:rPr>
        <w:t> </w:t>
      </w:r>
      <w:r>
        <w:rPr>
          <w:sz w:val="24"/>
        </w:rPr>
        <w:t>and</w:t>
      </w:r>
      <w:r>
        <w:rPr>
          <w:spacing w:val="-3"/>
          <w:sz w:val="24"/>
        </w:rPr>
        <w:t> </w:t>
      </w:r>
      <w:r>
        <w:rPr>
          <w:sz w:val="24"/>
        </w:rPr>
        <w:t>is</w:t>
      </w:r>
      <w:r>
        <w:rPr>
          <w:spacing w:val="-3"/>
          <w:sz w:val="24"/>
        </w:rPr>
        <w:t> </w:t>
      </w:r>
      <w:r>
        <w:rPr>
          <w:sz w:val="24"/>
        </w:rPr>
        <w:t>not</w:t>
      </w:r>
      <w:r>
        <w:rPr>
          <w:spacing w:val="-2"/>
          <w:sz w:val="24"/>
        </w:rPr>
        <w:t> </w:t>
      </w:r>
      <w:r>
        <w:rPr>
          <w:sz w:val="24"/>
        </w:rPr>
        <w:t>based on financial need determination.</w:t>
      </w:r>
    </w:p>
    <w:p>
      <w:pPr>
        <w:pStyle w:val="ListParagraph"/>
        <w:numPr>
          <w:ilvl w:val="0"/>
          <w:numId w:val="229"/>
        </w:numPr>
        <w:tabs>
          <w:tab w:pos="719" w:val="left" w:leader="none"/>
        </w:tabs>
        <w:spacing w:line="208" w:lineRule="auto" w:before="239" w:after="0"/>
        <w:ind w:left="360" w:right="1191" w:firstLine="0"/>
        <w:jc w:val="left"/>
        <w:rPr>
          <w:sz w:val="24"/>
        </w:rPr>
      </w:pPr>
      <w:r>
        <w:rPr>
          <w:sz w:val="24"/>
        </w:rPr>
        <w:t>Case</w:t>
      </w:r>
      <w:r>
        <w:rPr>
          <w:spacing w:val="-4"/>
          <w:sz w:val="24"/>
        </w:rPr>
        <w:t> </w:t>
      </w:r>
      <w:r>
        <w:rPr>
          <w:sz w:val="24"/>
        </w:rPr>
        <w:t>Recording</w:t>
      </w:r>
      <w:r>
        <w:rPr>
          <w:spacing w:val="-4"/>
          <w:sz w:val="24"/>
        </w:rPr>
        <w:t> </w:t>
      </w:r>
      <w:r>
        <w:rPr>
          <w:sz w:val="24"/>
        </w:rPr>
        <w:t>is</w:t>
      </w:r>
      <w:r>
        <w:rPr>
          <w:spacing w:val="-3"/>
          <w:sz w:val="24"/>
        </w:rPr>
        <w:t> </w:t>
      </w:r>
      <w:r>
        <w:rPr>
          <w:sz w:val="24"/>
        </w:rPr>
        <w:t>documentation</w:t>
      </w:r>
      <w:r>
        <w:rPr>
          <w:spacing w:val="-4"/>
          <w:sz w:val="24"/>
        </w:rPr>
        <w:t> </w:t>
      </w:r>
      <w:r>
        <w:rPr>
          <w:sz w:val="24"/>
        </w:rPr>
        <w:t>in</w:t>
      </w:r>
      <w:r>
        <w:rPr>
          <w:spacing w:val="-4"/>
          <w:sz w:val="24"/>
        </w:rPr>
        <w:t> </w:t>
      </w:r>
      <w:r>
        <w:rPr>
          <w:sz w:val="24"/>
        </w:rPr>
        <w:t>record</w:t>
      </w:r>
      <w:r>
        <w:rPr>
          <w:spacing w:val="-4"/>
          <w:sz w:val="24"/>
        </w:rPr>
        <w:t> </w:t>
      </w:r>
      <w:r>
        <w:rPr>
          <w:sz w:val="24"/>
        </w:rPr>
        <w:t>of</w:t>
      </w:r>
      <w:r>
        <w:rPr>
          <w:spacing w:val="-3"/>
          <w:sz w:val="24"/>
        </w:rPr>
        <w:t> </w:t>
      </w:r>
      <w:r>
        <w:rPr>
          <w:sz w:val="24"/>
        </w:rPr>
        <w:t>service</w:t>
      </w:r>
      <w:r>
        <w:rPr>
          <w:spacing w:val="-4"/>
          <w:sz w:val="24"/>
        </w:rPr>
        <w:t> </w:t>
      </w:r>
      <w:r>
        <w:rPr>
          <w:sz w:val="24"/>
        </w:rPr>
        <w:t>of</w:t>
      </w:r>
      <w:r>
        <w:rPr>
          <w:spacing w:val="-3"/>
          <w:sz w:val="24"/>
        </w:rPr>
        <w:t> </w:t>
      </w:r>
      <w:r>
        <w:rPr>
          <w:sz w:val="24"/>
        </w:rPr>
        <w:t>the</w:t>
      </w:r>
      <w:r>
        <w:rPr>
          <w:spacing w:val="-4"/>
          <w:sz w:val="24"/>
        </w:rPr>
        <w:t> </w:t>
      </w:r>
      <w:r>
        <w:rPr>
          <w:sz w:val="24"/>
        </w:rPr>
        <w:t>approved</w:t>
      </w:r>
      <w:r>
        <w:rPr>
          <w:spacing w:val="-4"/>
          <w:sz w:val="24"/>
        </w:rPr>
        <w:t> </w:t>
      </w:r>
      <w:r>
        <w:rPr>
          <w:sz w:val="24"/>
        </w:rPr>
        <w:t>additional hours by the Programs Manager.</w:t>
      </w:r>
    </w:p>
    <w:p>
      <w:pPr>
        <w:pStyle w:val="BodyText"/>
        <w:spacing w:before="211"/>
      </w:pPr>
      <w:r>
        <w:rPr/>
        <w:t>INSTRUCTIONS</w:t>
      </w:r>
      <w:r>
        <w:rPr>
          <w:spacing w:val="-3"/>
        </w:rPr>
        <w:t> </w:t>
      </w:r>
      <w:r>
        <w:rPr/>
        <w:t>TO</w:t>
      </w:r>
      <w:r>
        <w:rPr>
          <w:spacing w:val="-2"/>
        </w:rPr>
        <w:t> </w:t>
      </w:r>
      <w:r>
        <w:rPr>
          <w:spacing w:val="-4"/>
        </w:rPr>
        <w:t>STAFF</w:t>
      </w:r>
    </w:p>
    <w:p>
      <w:pPr>
        <w:pStyle w:val="BodyText"/>
        <w:spacing w:line="208" w:lineRule="auto" w:before="233"/>
        <w:ind w:right="775"/>
      </w:pPr>
      <w:r>
        <w:rPr/>
        <w:t>1.</w:t>
      </w:r>
      <w:r>
        <w:rPr>
          <w:spacing w:val="40"/>
        </w:rPr>
        <w:t> </w:t>
      </w:r>
      <w:r>
        <w:rPr/>
        <w:t>Sources</w:t>
      </w:r>
      <w:r>
        <w:rPr>
          <w:spacing w:val="-4"/>
        </w:rPr>
        <w:t> </w:t>
      </w:r>
      <w:r>
        <w:rPr/>
        <w:t>for</w:t>
      </w:r>
      <w:r>
        <w:rPr>
          <w:spacing w:val="-5"/>
        </w:rPr>
        <w:t> </w:t>
      </w:r>
      <w:r>
        <w:rPr/>
        <w:t>recorded,</w:t>
      </w:r>
      <w:r>
        <w:rPr>
          <w:spacing w:val="-3"/>
        </w:rPr>
        <w:t> </w:t>
      </w:r>
      <w:r>
        <w:rPr/>
        <w:t>electronic/digital,</w:t>
      </w:r>
      <w:r>
        <w:rPr>
          <w:spacing w:val="-3"/>
        </w:rPr>
        <w:t> </w:t>
      </w:r>
      <w:r>
        <w:rPr/>
        <w:t>Braille</w:t>
      </w:r>
      <w:r>
        <w:rPr>
          <w:spacing w:val="-4"/>
        </w:rPr>
        <w:t> </w:t>
      </w:r>
      <w:r>
        <w:rPr/>
        <w:t>and</w:t>
      </w:r>
      <w:r>
        <w:rPr>
          <w:spacing w:val="-4"/>
        </w:rPr>
        <w:t> </w:t>
      </w:r>
      <w:r>
        <w:rPr/>
        <w:t>large</w:t>
      </w:r>
      <w:r>
        <w:rPr>
          <w:spacing w:val="-4"/>
        </w:rPr>
        <w:t> </w:t>
      </w:r>
      <w:r>
        <w:rPr/>
        <w:t>print</w:t>
      </w:r>
      <w:r>
        <w:rPr>
          <w:spacing w:val="-3"/>
        </w:rPr>
        <w:t> </w:t>
      </w:r>
      <w:r>
        <w:rPr/>
        <w:t>books</w:t>
      </w:r>
      <w:r>
        <w:rPr>
          <w:spacing w:val="-4"/>
        </w:rPr>
        <w:t> </w:t>
      </w:r>
      <w:r>
        <w:rPr/>
        <w:t>and</w:t>
      </w:r>
      <w:r>
        <w:rPr>
          <w:spacing w:val="-4"/>
        </w:rPr>
        <w:t> </w:t>
      </w:r>
      <w:r>
        <w:rPr/>
        <w:t>materials </w:t>
      </w:r>
      <w:r>
        <w:rPr>
          <w:spacing w:val="-2"/>
        </w:rPr>
        <w:t>include:</w:t>
      </w:r>
    </w:p>
    <w:p>
      <w:pPr>
        <w:pStyle w:val="BodyText"/>
        <w:spacing w:line="417" w:lineRule="auto" w:before="211"/>
        <w:ind w:left="792" w:right="1912"/>
      </w:pPr>
      <w:r>
        <w:rPr/>
        <w:t>Oklahoma</w:t>
      </w:r>
      <w:r>
        <w:rPr>
          <w:spacing w:val="-6"/>
        </w:rPr>
        <w:t> </w:t>
      </w:r>
      <w:r>
        <w:rPr/>
        <w:t>Library</w:t>
      </w:r>
      <w:r>
        <w:rPr>
          <w:spacing w:val="-6"/>
        </w:rPr>
        <w:t> </w:t>
      </w:r>
      <w:r>
        <w:rPr/>
        <w:t>for</w:t>
      </w:r>
      <w:r>
        <w:rPr>
          <w:spacing w:val="-7"/>
        </w:rPr>
        <w:t> </w:t>
      </w:r>
      <w:r>
        <w:rPr/>
        <w:t>the</w:t>
      </w:r>
      <w:r>
        <w:rPr>
          <w:spacing w:val="-6"/>
        </w:rPr>
        <w:t> </w:t>
      </w:r>
      <w:r>
        <w:rPr/>
        <w:t>Blind</w:t>
      </w:r>
      <w:r>
        <w:rPr>
          <w:spacing w:val="-6"/>
        </w:rPr>
        <w:t> </w:t>
      </w:r>
      <w:r>
        <w:rPr/>
        <w:t>and</w:t>
      </w:r>
      <w:r>
        <w:rPr>
          <w:spacing w:val="-6"/>
        </w:rPr>
        <w:t> </w:t>
      </w:r>
      <w:r>
        <w:rPr/>
        <w:t>Physically</w:t>
      </w:r>
      <w:r>
        <w:rPr>
          <w:spacing w:val="-6"/>
        </w:rPr>
        <w:t> </w:t>
      </w:r>
      <w:r>
        <w:rPr/>
        <w:t>Handicapped </w:t>
      </w:r>
      <w:hyperlink r:id="rId63">
        <w:r>
          <w:rPr>
            <w:color w:val="0000FF"/>
            <w:spacing w:val="-2"/>
            <w:u w:val="single" w:color="0000FF"/>
          </w:rPr>
          <w:t>www.olbph.org</w:t>
        </w:r>
      </w:hyperlink>
    </w:p>
    <w:p>
      <w:pPr>
        <w:pStyle w:val="BodyText"/>
        <w:spacing w:line="208" w:lineRule="auto" w:before="29"/>
        <w:ind w:left="791" w:right="1036"/>
      </w:pPr>
      <w:r>
        <w:rPr/>
        <w:t>When</w:t>
      </w:r>
      <w:r>
        <w:rPr>
          <w:spacing w:val="-3"/>
        </w:rPr>
        <w:t> </w:t>
      </w:r>
      <w:r>
        <w:rPr/>
        <w:t>the</w:t>
      </w:r>
      <w:r>
        <w:rPr>
          <w:spacing w:val="-3"/>
        </w:rPr>
        <w:t> </w:t>
      </w:r>
      <w:r>
        <w:rPr/>
        <w:t>Library</w:t>
      </w:r>
      <w:r>
        <w:rPr>
          <w:spacing w:val="-3"/>
        </w:rPr>
        <w:t> </w:t>
      </w:r>
      <w:r>
        <w:rPr/>
        <w:t>is</w:t>
      </w:r>
      <w:r>
        <w:rPr>
          <w:spacing w:val="-3"/>
        </w:rPr>
        <w:t> </w:t>
      </w:r>
      <w:r>
        <w:rPr/>
        <w:t>being</w:t>
      </w:r>
      <w:r>
        <w:rPr>
          <w:spacing w:val="-3"/>
        </w:rPr>
        <w:t> </w:t>
      </w:r>
      <w:r>
        <w:rPr/>
        <w:t>asked</w:t>
      </w:r>
      <w:r>
        <w:rPr>
          <w:spacing w:val="-3"/>
        </w:rPr>
        <w:t> </w:t>
      </w:r>
      <w:r>
        <w:rPr/>
        <w:t>to</w:t>
      </w:r>
      <w:r>
        <w:rPr>
          <w:spacing w:val="-3"/>
        </w:rPr>
        <w:t> </w:t>
      </w:r>
      <w:r>
        <w:rPr/>
        <w:t>record</w:t>
      </w:r>
      <w:r>
        <w:rPr>
          <w:spacing w:val="-3"/>
        </w:rPr>
        <w:t> </w:t>
      </w:r>
      <w:r>
        <w:rPr/>
        <w:t>a</w:t>
      </w:r>
      <w:r>
        <w:rPr>
          <w:spacing w:val="-3"/>
        </w:rPr>
        <w:t> </w:t>
      </w:r>
      <w:r>
        <w:rPr/>
        <w:t>textbook,</w:t>
      </w:r>
      <w:r>
        <w:rPr>
          <w:spacing w:val="-2"/>
        </w:rPr>
        <w:t> </w:t>
      </w:r>
      <w:r>
        <w:rPr/>
        <w:t>the</w:t>
      </w:r>
      <w:r>
        <w:rPr>
          <w:spacing w:val="-3"/>
        </w:rPr>
        <w:t> </w:t>
      </w:r>
      <w:r>
        <w:rPr/>
        <w:t>book</w:t>
      </w:r>
      <w:r>
        <w:rPr>
          <w:spacing w:val="-3"/>
        </w:rPr>
        <w:t> </w:t>
      </w:r>
      <w:r>
        <w:rPr/>
        <w:t>should</w:t>
      </w:r>
      <w:r>
        <w:rPr>
          <w:spacing w:val="-3"/>
        </w:rPr>
        <w:t> </w:t>
      </w:r>
      <w:r>
        <w:rPr/>
        <w:t>be</w:t>
      </w:r>
      <w:r>
        <w:rPr>
          <w:spacing w:val="-3"/>
        </w:rPr>
        <w:t> </w:t>
      </w:r>
      <w:r>
        <w:rPr/>
        <w:t>sent</w:t>
      </w:r>
      <w:r>
        <w:rPr>
          <w:spacing w:val="-2"/>
        </w:rPr>
        <w:t> </w:t>
      </w:r>
      <w:r>
        <w:rPr/>
        <w:t>to the Library as far in advance as possible, preferably three months.</w:t>
      </w:r>
    </w:p>
    <w:p>
      <w:pPr>
        <w:pStyle w:val="BodyText"/>
        <w:spacing w:after="0" w:line="208" w:lineRule="auto"/>
        <w:sectPr>
          <w:pgSz w:w="12240" w:h="15840"/>
          <w:pgMar w:top="1340" w:bottom="280" w:left="1080" w:right="720"/>
        </w:sectPr>
      </w:pPr>
    </w:p>
    <w:p>
      <w:pPr>
        <w:pStyle w:val="BodyText"/>
        <w:spacing w:line="417" w:lineRule="auto" w:before="67"/>
        <w:ind w:left="791" w:right="5269"/>
      </w:pPr>
      <w:r>
        <w:rPr/>
        <w:t>Learning Ally </w:t>
      </w:r>
      <w:hyperlink r:id="rId64">
        <w:r>
          <w:rPr>
            <w:color w:val="0000FF"/>
            <w:spacing w:val="-2"/>
            <w:u w:val="single" w:color="0000FF"/>
          </w:rPr>
          <w:t>https://ssd.umich.edu/resource/109</w:t>
        </w:r>
      </w:hyperlink>
      <w:r>
        <w:rPr>
          <w:color w:val="0000FF"/>
          <w:spacing w:val="-2"/>
          <w:u w:val="none"/>
        </w:rPr>
        <w:t> </w:t>
      </w:r>
      <w:r>
        <w:rPr>
          <w:spacing w:val="-2"/>
          <w:u w:val="none"/>
        </w:rPr>
        <w:t>Bookshare</w:t>
      </w:r>
    </w:p>
    <w:p>
      <w:pPr>
        <w:pStyle w:val="BodyText"/>
        <w:spacing w:line="275" w:lineRule="exact" w:before="0"/>
        <w:ind w:left="791"/>
      </w:pPr>
      <w:hyperlink r:id="rId65">
        <w:r>
          <w:rPr>
            <w:color w:val="0000FF"/>
            <w:spacing w:val="-2"/>
            <w:u w:val="single" w:color="0000FF"/>
          </w:rPr>
          <w:t>www.bookshare.org</w:t>
        </w:r>
      </w:hyperlink>
    </w:p>
    <w:p>
      <w:pPr>
        <w:pStyle w:val="BodyText"/>
        <w:spacing w:line="208" w:lineRule="auto" w:before="233"/>
        <w:ind w:left="791" w:right="775"/>
      </w:pPr>
      <w:r>
        <w:rPr/>
        <w:t>National</w:t>
      </w:r>
      <w:r>
        <w:rPr>
          <w:spacing w:val="-5"/>
        </w:rPr>
        <w:t> </w:t>
      </w:r>
      <w:r>
        <w:rPr/>
        <w:t>Library</w:t>
      </w:r>
      <w:r>
        <w:rPr>
          <w:spacing w:val="-5"/>
        </w:rPr>
        <w:t> </w:t>
      </w:r>
      <w:r>
        <w:rPr/>
        <w:t>Service</w:t>
      </w:r>
      <w:r>
        <w:rPr>
          <w:spacing w:val="-5"/>
        </w:rPr>
        <w:t> </w:t>
      </w:r>
      <w:r>
        <w:rPr/>
        <w:t>for</w:t>
      </w:r>
      <w:r>
        <w:rPr>
          <w:spacing w:val="-6"/>
        </w:rPr>
        <w:t> </w:t>
      </w:r>
      <w:r>
        <w:rPr/>
        <w:t>the</w:t>
      </w:r>
      <w:r>
        <w:rPr>
          <w:spacing w:val="-5"/>
        </w:rPr>
        <w:t> </w:t>
      </w:r>
      <w:r>
        <w:rPr/>
        <w:t>Blind</w:t>
      </w:r>
      <w:r>
        <w:rPr>
          <w:spacing w:val="-5"/>
        </w:rPr>
        <w:t> </w:t>
      </w:r>
      <w:r>
        <w:rPr/>
        <w:t>and</w:t>
      </w:r>
      <w:r>
        <w:rPr>
          <w:spacing w:val="-5"/>
        </w:rPr>
        <w:t> </w:t>
      </w:r>
      <w:r>
        <w:rPr/>
        <w:t>Physically</w:t>
      </w:r>
      <w:r>
        <w:rPr>
          <w:spacing w:val="-5"/>
        </w:rPr>
        <w:t> </w:t>
      </w:r>
      <w:r>
        <w:rPr/>
        <w:t>Handicapped, </w:t>
      </w:r>
      <w:hyperlink r:id="rId66">
        <w:r>
          <w:rPr>
            <w:color w:val="0000FF"/>
            <w:spacing w:val="-2"/>
            <w:u w:val="single" w:color="0000FF"/>
          </w:rPr>
          <w:t>http://www.loc.gov/nls/</w:t>
        </w:r>
      </w:hyperlink>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7-1-98</w:t>
      </w:r>
      <w:r>
        <w:rPr>
          <w:sz w:val="22"/>
        </w:rPr>
        <w:tab/>
        <w:t>PT Memo #98-15</w:t>
      </w:r>
    </w:p>
    <w:p>
      <w:pPr>
        <w:tabs>
          <w:tab w:pos="1439" w:val="left" w:leader="none"/>
        </w:tabs>
        <w:spacing w:before="0"/>
        <w:ind w:left="359" w:right="4337" w:firstLine="1080"/>
        <w:jc w:val="left"/>
        <w:rPr>
          <w:sz w:val="22"/>
        </w:rPr>
      </w:pPr>
      <w:r>
        <w:rPr>
          <w:sz w:val="22"/>
        </w:rPr>
        <w:t>Permanent,</w:t>
      </w:r>
      <w:r>
        <w:rPr>
          <w:spacing w:val="-6"/>
          <w:sz w:val="22"/>
        </w:rPr>
        <w:t> </w:t>
      </w:r>
      <w:r>
        <w:rPr>
          <w:sz w:val="22"/>
        </w:rPr>
        <w:t>clean-up</w:t>
      </w:r>
      <w:r>
        <w:rPr>
          <w:spacing w:val="-7"/>
          <w:sz w:val="22"/>
        </w:rPr>
        <w:t> </w:t>
      </w:r>
      <w:r>
        <w:rPr>
          <w:sz w:val="22"/>
        </w:rPr>
        <w:t>editing,</w:t>
      </w:r>
      <w:r>
        <w:rPr>
          <w:spacing w:val="-7"/>
          <w:sz w:val="22"/>
        </w:rPr>
        <w:t> </w:t>
      </w:r>
      <w:r>
        <w:rPr>
          <w:sz w:val="22"/>
        </w:rPr>
        <w:t>fees</w:t>
      </w:r>
      <w:r>
        <w:rPr>
          <w:spacing w:val="-7"/>
          <w:sz w:val="22"/>
        </w:rPr>
        <w:t> </w:t>
      </w:r>
      <w:r>
        <w:rPr>
          <w:sz w:val="22"/>
        </w:rPr>
        <w:t>moved</w:t>
      </w:r>
      <w:r>
        <w:rPr>
          <w:spacing w:val="-7"/>
          <w:sz w:val="22"/>
        </w:rPr>
        <w:t> </w:t>
      </w:r>
      <w:r>
        <w:rPr>
          <w:sz w:val="22"/>
        </w:rPr>
        <w:t>to</w:t>
      </w:r>
      <w:r>
        <w:rPr>
          <w:spacing w:val="-7"/>
          <w:sz w:val="22"/>
        </w:rPr>
        <w:t> </w:t>
      </w:r>
      <w:r>
        <w:rPr>
          <w:sz w:val="22"/>
        </w:rPr>
        <w:t>ITS </w:t>
      </w:r>
      <w:r>
        <w:rPr>
          <w:spacing w:val="-2"/>
          <w:sz w:val="22"/>
        </w:rPr>
        <w:t>7-1-99</w:t>
      </w:r>
      <w:r>
        <w:rPr>
          <w:sz w:val="22"/>
        </w:rPr>
        <w:tab/>
        <w:t>POL Memo #00-1</w:t>
      </w:r>
    </w:p>
    <w:p>
      <w:pPr>
        <w:spacing w:before="0"/>
        <w:ind w:left="1439" w:right="775" w:firstLine="0"/>
        <w:jc w:val="left"/>
        <w:rPr>
          <w:sz w:val="22"/>
        </w:rPr>
      </w:pPr>
      <w:r>
        <w:rPr>
          <w:sz w:val="22"/>
        </w:rPr>
        <w:t>Permanent,</w:t>
      </w:r>
      <w:r>
        <w:rPr>
          <w:spacing w:val="-4"/>
          <w:sz w:val="22"/>
        </w:rPr>
        <w:t> </w:t>
      </w:r>
      <w:r>
        <w:rPr>
          <w:sz w:val="22"/>
        </w:rPr>
        <w:t>updated</w:t>
      </w:r>
      <w:r>
        <w:rPr>
          <w:spacing w:val="-5"/>
          <w:sz w:val="22"/>
        </w:rPr>
        <w:t> </w:t>
      </w:r>
      <w:r>
        <w:rPr>
          <w:sz w:val="22"/>
        </w:rPr>
        <w:t>DVR/DVS;</w:t>
      </w:r>
      <w:r>
        <w:rPr>
          <w:spacing w:val="-5"/>
          <w:sz w:val="22"/>
        </w:rPr>
        <w:t> </w:t>
      </w:r>
      <w:r>
        <w:rPr>
          <w:sz w:val="22"/>
        </w:rPr>
        <w:t>addressed</w:t>
      </w:r>
      <w:r>
        <w:rPr>
          <w:spacing w:val="-5"/>
          <w:sz w:val="22"/>
        </w:rPr>
        <w:t> </w:t>
      </w:r>
      <w:r>
        <w:rPr>
          <w:sz w:val="22"/>
        </w:rPr>
        <w:t>for</w:t>
      </w:r>
      <w:r>
        <w:rPr>
          <w:spacing w:val="-5"/>
          <w:sz w:val="22"/>
        </w:rPr>
        <w:t> </w:t>
      </w:r>
      <w:r>
        <w:rPr>
          <w:sz w:val="22"/>
        </w:rPr>
        <w:t>Educational</w:t>
      </w:r>
      <w:r>
        <w:rPr>
          <w:spacing w:val="-5"/>
          <w:sz w:val="22"/>
        </w:rPr>
        <w:t> </w:t>
      </w:r>
      <w:r>
        <w:rPr>
          <w:sz w:val="22"/>
        </w:rPr>
        <w:t>Tape</w:t>
      </w:r>
      <w:r>
        <w:rPr>
          <w:spacing w:val="-5"/>
          <w:sz w:val="22"/>
        </w:rPr>
        <w:t> </w:t>
      </w:r>
      <w:r>
        <w:rPr>
          <w:sz w:val="22"/>
        </w:rPr>
        <w:t>Recording</w:t>
      </w:r>
      <w:r>
        <w:rPr>
          <w:spacing w:val="-5"/>
          <w:sz w:val="22"/>
        </w:rPr>
        <w:t> </w:t>
      </w:r>
      <w:r>
        <w:rPr>
          <w:sz w:val="22"/>
        </w:rPr>
        <w:t>for</w:t>
      </w:r>
      <w:r>
        <w:rPr>
          <w:spacing w:val="-5"/>
          <w:sz w:val="22"/>
        </w:rPr>
        <w:t> </w:t>
      </w:r>
      <w:r>
        <w:rPr>
          <w:sz w:val="22"/>
        </w:rPr>
        <w:t>the Blind and Recordings for the Blind moved to Instructions to Staff</w:t>
      </w:r>
    </w:p>
    <w:p>
      <w:pPr>
        <w:pStyle w:val="ListParagraph"/>
        <w:numPr>
          <w:ilvl w:val="2"/>
          <w:numId w:val="19"/>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#07-</w:t>
      </w:r>
      <w:r>
        <w:rPr>
          <w:spacing w:val="-5"/>
          <w:sz w:val="22"/>
        </w:rPr>
        <w:t>01</w:t>
      </w:r>
    </w:p>
    <w:p>
      <w:pPr>
        <w:spacing w:before="0"/>
        <w:ind w:left="1439" w:right="775" w:firstLine="0"/>
        <w:jc w:val="left"/>
        <w:rPr>
          <w:sz w:val="22"/>
        </w:rPr>
      </w:pPr>
      <w:r>
        <w:rPr>
          <w:sz w:val="22"/>
        </w:rPr>
        <w:t>Permanent,</w:t>
      </w:r>
      <w:r>
        <w:rPr>
          <w:spacing w:val="-4"/>
          <w:sz w:val="22"/>
        </w:rPr>
        <w:t> </w:t>
      </w:r>
      <w:r>
        <w:rPr>
          <w:sz w:val="22"/>
        </w:rPr>
        <w:t>deleted</w:t>
      </w:r>
      <w:r>
        <w:rPr>
          <w:spacing w:val="-5"/>
          <w:sz w:val="22"/>
        </w:rPr>
        <w:t> </w:t>
      </w:r>
      <w:r>
        <w:rPr>
          <w:sz w:val="22"/>
        </w:rPr>
        <w:t>supervisory</w:t>
      </w:r>
      <w:r>
        <w:rPr>
          <w:spacing w:val="-5"/>
          <w:sz w:val="22"/>
        </w:rPr>
        <w:t> </w:t>
      </w:r>
      <w:r>
        <w:rPr>
          <w:sz w:val="22"/>
        </w:rPr>
        <w:t>approval</w:t>
      </w:r>
      <w:r>
        <w:rPr>
          <w:spacing w:val="-5"/>
          <w:sz w:val="22"/>
        </w:rPr>
        <w:t> </w:t>
      </w:r>
      <w:r>
        <w:rPr>
          <w:sz w:val="22"/>
        </w:rPr>
        <w:t>for</w:t>
      </w:r>
      <w:r>
        <w:rPr>
          <w:spacing w:val="-5"/>
          <w:sz w:val="22"/>
        </w:rPr>
        <w:t> </w:t>
      </w:r>
      <w:r>
        <w:rPr>
          <w:sz w:val="22"/>
        </w:rPr>
        <w:t>payment</w:t>
      </w:r>
      <w:r>
        <w:rPr>
          <w:spacing w:val="-5"/>
          <w:sz w:val="22"/>
        </w:rPr>
        <w:t> </w:t>
      </w:r>
      <w:r>
        <w:rPr>
          <w:sz w:val="22"/>
        </w:rPr>
        <w:t>of</w:t>
      </w:r>
      <w:r>
        <w:rPr>
          <w:spacing w:val="-5"/>
          <w:sz w:val="22"/>
        </w:rPr>
        <w:t> </w:t>
      </w:r>
      <w:r>
        <w:rPr>
          <w:sz w:val="22"/>
        </w:rPr>
        <w:t>reader</w:t>
      </w:r>
      <w:r>
        <w:rPr>
          <w:spacing w:val="-5"/>
          <w:sz w:val="22"/>
        </w:rPr>
        <w:t> </w:t>
      </w:r>
      <w:r>
        <w:rPr>
          <w:sz w:val="22"/>
        </w:rPr>
        <w:t>services</w:t>
      </w:r>
      <w:r>
        <w:rPr>
          <w:spacing w:val="-5"/>
          <w:sz w:val="22"/>
        </w:rPr>
        <w:t> </w:t>
      </w:r>
      <w:r>
        <w:rPr>
          <w:sz w:val="22"/>
        </w:rPr>
        <w:t>for disabilities other than blind.</w:t>
      </w:r>
    </w:p>
    <w:p>
      <w:pPr>
        <w:pStyle w:val="ListParagraph"/>
        <w:numPr>
          <w:ilvl w:val="2"/>
          <w:numId w:val="230"/>
        </w:numPr>
        <w:tabs>
          <w:tab w:pos="1439" w:val="left" w:leader="none"/>
        </w:tabs>
        <w:spacing w:line="252"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before="0"/>
        <w:ind w:left="1439" w:right="0" w:firstLine="0"/>
        <w:jc w:val="left"/>
        <w:rPr>
          <w:sz w:val="22"/>
        </w:rPr>
      </w:pPr>
      <w:r>
        <w:rPr>
          <w:sz w:val="22"/>
        </w:rPr>
        <w:t>Permanent,</w:t>
      </w:r>
      <w:r>
        <w:rPr>
          <w:spacing w:val="-10"/>
          <w:sz w:val="22"/>
        </w:rPr>
        <w:t> </w:t>
      </w:r>
      <w:r>
        <w:rPr>
          <w:sz w:val="22"/>
        </w:rPr>
        <w:t>updating</w:t>
      </w:r>
      <w:r>
        <w:rPr>
          <w:spacing w:val="-11"/>
          <w:sz w:val="22"/>
        </w:rPr>
        <w:t> </w:t>
      </w:r>
      <w:r>
        <w:rPr>
          <w:spacing w:val="-2"/>
          <w:sz w:val="22"/>
        </w:rPr>
        <w:t>language</w:t>
      </w:r>
    </w:p>
    <w:p>
      <w:pPr>
        <w:tabs>
          <w:tab w:pos="1439" w:val="left" w:leader="none"/>
        </w:tabs>
        <w:spacing w:before="1"/>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spacing w:before="0"/>
        <w:ind w:left="1439" w:right="0" w:firstLine="0"/>
        <w:jc w:val="left"/>
        <w:rPr>
          <w:sz w:val="22"/>
        </w:rPr>
      </w:pPr>
      <w:r>
        <w:rPr>
          <w:sz w:val="22"/>
        </w:rPr>
        <w:t>Revisions</w:t>
      </w:r>
      <w:r>
        <w:rPr>
          <w:spacing w:val="-7"/>
          <w:sz w:val="22"/>
        </w:rPr>
        <w:t> </w:t>
      </w:r>
      <w:r>
        <w:rPr>
          <w:sz w:val="22"/>
        </w:rPr>
        <w:t>provide</w:t>
      </w:r>
      <w:r>
        <w:rPr>
          <w:spacing w:val="-7"/>
          <w:sz w:val="22"/>
        </w:rPr>
        <w:t> </w:t>
      </w:r>
      <w:r>
        <w:rPr>
          <w:sz w:val="22"/>
        </w:rPr>
        <w:t>further</w:t>
      </w:r>
      <w:r>
        <w:rPr>
          <w:spacing w:val="-7"/>
          <w:sz w:val="22"/>
        </w:rPr>
        <w:t> </w:t>
      </w:r>
      <w:r>
        <w:rPr>
          <w:sz w:val="22"/>
        </w:rPr>
        <w:t>clarification</w:t>
      </w:r>
      <w:r>
        <w:rPr>
          <w:spacing w:val="-7"/>
          <w:sz w:val="22"/>
        </w:rPr>
        <w:t> </w:t>
      </w:r>
      <w:r>
        <w:rPr>
          <w:sz w:val="22"/>
        </w:rPr>
        <w:t>on</w:t>
      </w:r>
      <w:r>
        <w:rPr>
          <w:spacing w:val="-7"/>
          <w:sz w:val="22"/>
        </w:rPr>
        <w:t> </w:t>
      </w:r>
      <w:r>
        <w:rPr>
          <w:sz w:val="22"/>
        </w:rPr>
        <w:t>when</w:t>
      </w:r>
      <w:r>
        <w:rPr>
          <w:spacing w:val="-7"/>
          <w:sz w:val="22"/>
        </w:rPr>
        <w:t> </w:t>
      </w:r>
      <w:r>
        <w:rPr>
          <w:sz w:val="22"/>
        </w:rPr>
        <w:t>and</w:t>
      </w:r>
      <w:r>
        <w:rPr>
          <w:spacing w:val="-6"/>
          <w:sz w:val="22"/>
        </w:rPr>
        <w:t> </w:t>
      </w:r>
      <w:r>
        <w:rPr>
          <w:sz w:val="22"/>
        </w:rPr>
        <w:t>how</w:t>
      </w:r>
      <w:r>
        <w:rPr>
          <w:spacing w:val="-8"/>
          <w:sz w:val="22"/>
        </w:rPr>
        <w:t> </w:t>
      </w:r>
      <w:r>
        <w:rPr>
          <w:sz w:val="22"/>
        </w:rPr>
        <w:t>to</w:t>
      </w:r>
      <w:r>
        <w:rPr>
          <w:spacing w:val="-6"/>
          <w:sz w:val="22"/>
        </w:rPr>
        <w:t> </w:t>
      </w:r>
      <w:r>
        <w:rPr>
          <w:sz w:val="22"/>
        </w:rPr>
        <w:t>provide</w:t>
      </w:r>
      <w:r>
        <w:rPr>
          <w:spacing w:val="-7"/>
          <w:sz w:val="22"/>
        </w:rPr>
        <w:t> </w:t>
      </w:r>
      <w:r>
        <w:rPr>
          <w:sz w:val="22"/>
        </w:rPr>
        <w:t>Reader</w:t>
      </w:r>
      <w:r>
        <w:rPr>
          <w:spacing w:val="-6"/>
          <w:sz w:val="22"/>
        </w:rPr>
        <w:t> </w:t>
      </w:r>
      <w:r>
        <w:rPr>
          <w:spacing w:val="-2"/>
          <w:sz w:val="22"/>
        </w:rPr>
        <w:t>Services.</w:t>
      </w:r>
    </w:p>
    <w:p>
      <w:pPr>
        <w:tabs>
          <w:tab w:pos="1439" w:val="left" w:leader="none"/>
        </w:tabs>
        <w:spacing w:before="0"/>
        <w:ind w:left="359" w:right="0" w:firstLine="0"/>
        <w:jc w:val="left"/>
        <w:rPr>
          <w:sz w:val="22"/>
        </w:rPr>
      </w:pPr>
      <w:r>
        <w:rPr>
          <w:spacing w:val="-2"/>
          <w:sz w:val="22"/>
        </w:rPr>
        <w:t>8-26-</w:t>
      </w:r>
      <w:r>
        <w:rPr>
          <w:spacing w:val="-5"/>
          <w:sz w:val="22"/>
        </w:rPr>
        <w:t>21</w:t>
      </w:r>
      <w:r>
        <w:rPr>
          <w:sz w:val="22"/>
        </w:rPr>
        <w:tab/>
        <w:t>Revised</w:t>
      </w:r>
      <w:r>
        <w:rPr>
          <w:spacing w:val="-7"/>
          <w:sz w:val="22"/>
        </w:rPr>
        <w:t> </w:t>
      </w:r>
      <w:r>
        <w:rPr>
          <w:sz w:val="22"/>
        </w:rPr>
        <w:t>to</w:t>
      </w:r>
      <w:r>
        <w:rPr>
          <w:spacing w:val="-6"/>
          <w:sz w:val="22"/>
        </w:rPr>
        <w:t> </w:t>
      </w:r>
      <w:r>
        <w:rPr>
          <w:sz w:val="22"/>
        </w:rPr>
        <w:t>reflect</w:t>
      </w:r>
      <w:r>
        <w:rPr>
          <w:spacing w:val="-7"/>
          <w:sz w:val="22"/>
        </w:rPr>
        <w:t> </w:t>
      </w:r>
      <w:r>
        <w:rPr>
          <w:sz w:val="22"/>
        </w:rPr>
        <w:t>WIOA</w:t>
      </w:r>
      <w:r>
        <w:rPr>
          <w:spacing w:val="-6"/>
          <w:sz w:val="22"/>
        </w:rPr>
        <w:t> </w:t>
      </w:r>
      <w:r>
        <w:rPr>
          <w:spacing w:val="-2"/>
          <w:sz w:val="22"/>
        </w:rPr>
        <w:t>language.</w:t>
      </w:r>
    </w:p>
    <w:p>
      <w:pPr>
        <w:spacing w:after="0"/>
        <w:jc w:val="left"/>
        <w:rPr>
          <w:sz w:val="22"/>
        </w:rPr>
        <w:sectPr>
          <w:pgSz w:w="12240" w:h="15840"/>
          <w:pgMar w:top="1340" w:bottom="280" w:left="1080" w:right="720"/>
        </w:sectPr>
      </w:pPr>
    </w:p>
    <w:p>
      <w:pPr>
        <w:pStyle w:val="Heading2"/>
      </w:pPr>
      <w:bookmarkStart w:name="612:10-7-201.  Rehabilitation teaching s" w:id="211"/>
      <w:bookmarkEnd w:id="211"/>
      <w:r>
        <w:rPr>
          <w:b w:val="0"/>
        </w:rPr>
      </w:r>
      <w:r>
        <w:rPr/>
        <w:t>612:10-7-201.</w:t>
      </w:r>
      <w:r>
        <w:rPr>
          <w:spacing w:val="55"/>
        </w:rPr>
        <w:t> </w:t>
      </w:r>
      <w:r>
        <w:rPr/>
        <w:t>Rehabilitation</w:t>
      </w:r>
      <w:r>
        <w:rPr>
          <w:spacing w:val="-7"/>
        </w:rPr>
        <w:t> </w:t>
      </w:r>
      <w:r>
        <w:rPr/>
        <w:t>teaching</w:t>
      </w:r>
      <w:r>
        <w:rPr>
          <w:spacing w:val="-5"/>
        </w:rPr>
        <w:t> </w:t>
      </w:r>
      <w:r>
        <w:rPr>
          <w:spacing w:val="-2"/>
        </w:rPr>
        <w:t>services</w:t>
      </w:r>
    </w:p>
    <w:p>
      <w:pPr>
        <w:pStyle w:val="BodyText"/>
        <w:spacing w:line="208" w:lineRule="auto" w:before="233"/>
        <w:ind w:left="359" w:right="756" w:firstLine="432"/>
      </w:pPr>
      <w:r>
        <w:rPr/>
        <w:t>Rehabilitation teachers provide counseling and instruction to aid clients in adjusting to blindness and severe visual impairment. All clients who are legally blind, severely visually impaired or have a rapidly progressive eye condition are to be referred to a rehabilitation teacher. </w:t>
      </w:r>
      <w:r>
        <w:rPr>
          <w:b/>
        </w:rPr>
        <w:t>1 </w:t>
      </w:r>
      <w:r>
        <w:rPr/>
        <w:t>Exceptions are allowed in instances where rehabilitation teaching services have been provided and the client appears to be functioning independently, or when physical restoration services are planned which will likely</w:t>
      </w:r>
      <w:r>
        <w:rPr>
          <w:spacing w:val="40"/>
        </w:rPr>
        <w:t> </w:t>
      </w:r>
      <w:r>
        <w:rPr/>
        <w:t>restore the client's functioning to a level which would remove the need for rehabilitation teaching.</w:t>
      </w:r>
      <w:r>
        <w:rPr>
          <w:spacing w:val="40"/>
        </w:rPr>
        <w:t> </w:t>
      </w:r>
      <w:r>
        <w:rPr/>
        <w:t>Rehabilitation</w:t>
      </w:r>
      <w:r>
        <w:rPr>
          <w:spacing w:val="-4"/>
        </w:rPr>
        <w:t> </w:t>
      </w:r>
      <w:r>
        <w:rPr/>
        <w:t>teachers</w:t>
      </w:r>
      <w:r>
        <w:rPr>
          <w:spacing w:val="-4"/>
        </w:rPr>
        <w:t> </w:t>
      </w:r>
      <w:r>
        <w:rPr/>
        <w:t>employed</w:t>
      </w:r>
      <w:r>
        <w:rPr>
          <w:spacing w:val="-3"/>
        </w:rPr>
        <w:t> </w:t>
      </w:r>
      <w:r>
        <w:rPr/>
        <w:t>by</w:t>
      </w:r>
      <w:r>
        <w:rPr>
          <w:spacing w:val="-4"/>
        </w:rPr>
        <w:t> </w:t>
      </w:r>
      <w:r>
        <w:rPr/>
        <w:t>the</w:t>
      </w:r>
      <w:r>
        <w:rPr>
          <w:spacing w:val="-4"/>
        </w:rPr>
        <w:t> </w:t>
      </w:r>
      <w:r>
        <w:rPr/>
        <w:t>Division</w:t>
      </w:r>
      <w:r>
        <w:rPr>
          <w:spacing w:val="-4"/>
        </w:rPr>
        <w:t> </w:t>
      </w:r>
      <w:r>
        <w:rPr/>
        <w:t>of</w:t>
      </w:r>
      <w:r>
        <w:rPr>
          <w:spacing w:val="-3"/>
        </w:rPr>
        <w:t> </w:t>
      </w:r>
      <w:r>
        <w:rPr/>
        <w:t>Services</w:t>
      </w:r>
      <w:r>
        <w:rPr>
          <w:spacing w:val="-4"/>
        </w:rPr>
        <w:t> </w:t>
      </w:r>
      <w:r>
        <w:rPr/>
        <w:t>for</w:t>
      </w:r>
      <w:r>
        <w:rPr>
          <w:spacing w:val="-3"/>
        </w:rPr>
        <w:t> </w:t>
      </w:r>
      <w:r>
        <w:rPr/>
        <w:t>the</w:t>
      </w:r>
      <w:r>
        <w:rPr>
          <w:spacing w:val="-4"/>
        </w:rPr>
        <w:t> </w:t>
      </w:r>
      <w:r>
        <w:rPr/>
        <w:t>Blind</w:t>
      </w:r>
      <w:r>
        <w:rPr>
          <w:spacing w:val="-4"/>
        </w:rPr>
        <w:t> </w:t>
      </w:r>
      <w:r>
        <w:rPr/>
        <w:t>and Visually</w:t>
      </w:r>
      <w:r>
        <w:rPr>
          <w:spacing w:val="-5"/>
        </w:rPr>
        <w:t> </w:t>
      </w:r>
      <w:r>
        <w:rPr/>
        <w:t>Impaired</w:t>
      </w:r>
      <w:r>
        <w:rPr>
          <w:spacing w:val="-3"/>
        </w:rPr>
        <w:t> </w:t>
      </w:r>
      <w:r>
        <w:rPr/>
        <w:t>may</w:t>
      </w:r>
      <w:r>
        <w:rPr>
          <w:spacing w:val="-3"/>
        </w:rPr>
        <w:t> </w:t>
      </w:r>
      <w:r>
        <w:rPr/>
        <w:t>serve</w:t>
      </w:r>
      <w:r>
        <w:rPr>
          <w:spacing w:val="-3"/>
        </w:rPr>
        <w:t> </w:t>
      </w:r>
      <w:r>
        <w:rPr/>
        <w:t>clients</w:t>
      </w:r>
      <w:r>
        <w:rPr>
          <w:spacing w:val="-2"/>
        </w:rPr>
        <w:t> </w:t>
      </w:r>
      <w:r>
        <w:rPr/>
        <w:t>who</w:t>
      </w:r>
      <w:r>
        <w:rPr>
          <w:spacing w:val="-3"/>
        </w:rPr>
        <w:t> </w:t>
      </w:r>
      <w:r>
        <w:rPr/>
        <w:t>are</w:t>
      </w:r>
      <w:r>
        <w:rPr>
          <w:spacing w:val="-3"/>
        </w:rPr>
        <w:t> </w:t>
      </w:r>
      <w:r>
        <w:rPr/>
        <w:t>legally</w:t>
      </w:r>
      <w:r>
        <w:rPr>
          <w:spacing w:val="-3"/>
        </w:rPr>
        <w:t> </w:t>
      </w:r>
      <w:r>
        <w:rPr/>
        <w:t>blind</w:t>
      </w:r>
      <w:r>
        <w:rPr>
          <w:spacing w:val="-1"/>
        </w:rPr>
        <w:t> </w:t>
      </w:r>
      <w:r>
        <w:rPr/>
        <w:t>jointly</w:t>
      </w:r>
      <w:r>
        <w:rPr>
          <w:spacing w:val="-3"/>
        </w:rPr>
        <w:t> </w:t>
      </w:r>
      <w:r>
        <w:rPr/>
        <w:t>with</w:t>
      </w:r>
      <w:r>
        <w:rPr>
          <w:spacing w:val="-2"/>
        </w:rPr>
        <w:t> </w:t>
      </w:r>
      <w:r>
        <w:rPr/>
        <w:t>the</w:t>
      </w:r>
      <w:r>
        <w:rPr>
          <w:spacing w:val="-3"/>
        </w:rPr>
        <w:t> </w:t>
      </w:r>
      <w:r>
        <w:rPr/>
        <w:t>DRS</w:t>
      </w:r>
      <w:r>
        <w:rPr>
          <w:spacing w:val="-2"/>
        </w:rPr>
        <w:t> counselor.</w:t>
      </w:r>
    </w:p>
    <w:p>
      <w:pPr>
        <w:pStyle w:val="BodyText"/>
        <w:spacing w:before="210"/>
        <w:ind w:left="359"/>
      </w:pPr>
      <w:r>
        <w:rPr/>
        <w:t>Instructions</w:t>
      </w:r>
      <w:r>
        <w:rPr>
          <w:spacing w:val="-5"/>
        </w:rPr>
        <w:t> </w:t>
      </w:r>
      <w:r>
        <w:rPr/>
        <w:t>to</w:t>
      </w:r>
      <w:r>
        <w:rPr>
          <w:spacing w:val="-2"/>
        </w:rPr>
        <w:t> </w:t>
      </w:r>
      <w:r>
        <w:rPr>
          <w:spacing w:val="-4"/>
        </w:rPr>
        <w:t>Staff</w:t>
      </w:r>
    </w:p>
    <w:p>
      <w:pPr>
        <w:pStyle w:val="BodyText"/>
        <w:spacing w:line="208" w:lineRule="auto" w:before="233"/>
        <w:ind w:left="359" w:right="775"/>
      </w:pPr>
      <w:r>
        <w:rPr/>
        <w:t>1.</w:t>
      </w:r>
      <w:r>
        <w:rPr>
          <w:spacing w:val="40"/>
        </w:rPr>
        <w:t> </w:t>
      </w:r>
      <w:r>
        <w:rPr/>
        <w:t>Referrals</w:t>
      </w:r>
      <w:r>
        <w:rPr>
          <w:spacing w:val="-4"/>
        </w:rPr>
        <w:t> </w:t>
      </w:r>
      <w:r>
        <w:rPr/>
        <w:t>are</w:t>
      </w:r>
      <w:r>
        <w:rPr>
          <w:spacing w:val="-4"/>
        </w:rPr>
        <w:t> </w:t>
      </w:r>
      <w:r>
        <w:rPr/>
        <w:t>made</w:t>
      </w:r>
      <w:r>
        <w:rPr>
          <w:spacing w:val="-5"/>
        </w:rPr>
        <w:t> </w:t>
      </w:r>
      <w:r>
        <w:rPr/>
        <w:t>directly</w:t>
      </w:r>
      <w:r>
        <w:rPr>
          <w:spacing w:val="-4"/>
        </w:rPr>
        <w:t> </w:t>
      </w:r>
      <w:r>
        <w:rPr/>
        <w:t>to</w:t>
      </w:r>
      <w:r>
        <w:rPr>
          <w:spacing w:val="-4"/>
        </w:rPr>
        <w:t> </w:t>
      </w:r>
      <w:r>
        <w:rPr/>
        <w:t>the</w:t>
      </w:r>
      <w:r>
        <w:rPr>
          <w:spacing w:val="-4"/>
        </w:rPr>
        <w:t> </w:t>
      </w:r>
      <w:r>
        <w:rPr/>
        <w:t>rehabilitation</w:t>
      </w:r>
      <w:r>
        <w:rPr>
          <w:spacing w:val="-4"/>
        </w:rPr>
        <w:t> </w:t>
      </w:r>
      <w:r>
        <w:rPr/>
        <w:t>teacher</w:t>
      </w:r>
      <w:r>
        <w:rPr>
          <w:spacing w:val="-3"/>
        </w:rPr>
        <w:t> </w:t>
      </w:r>
      <w:r>
        <w:rPr/>
        <w:t>using</w:t>
      </w:r>
      <w:r>
        <w:rPr>
          <w:spacing w:val="-4"/>
        </w:rPr>
        <w:t> </w:t>
      </w:r>
      <w:r>
        <w:rPr/>
        <w:t>form</w:t>
      </w:r>
      <w:r>
        <w:rPr>
          <w:spacing w:val="-3"/>
        </w:rPr>
        <w:t> </w:t>
      </w:r>
      <w:r>
        <w:rPr/>
        <w:t>Special</w:t>
      </w:r>
      <w:r>
        <w:rPr>
          <w:spacing w:val="-3"/>
        </w:rPr>
        <w:t> </w:t>
      </w:r>
      <w:r>
        <w:rPr/>
        <w:t>Services Referral, accompanied by pertinent information.</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8-1-96</w:t>
      </w:r>
      <w:r>
        <w:rPr>
          <w:sz w:val="22"/>
        </w:rPr>
        <w:tab/>
        <w:t>PT Memo #97-2</w:t>
      </w:r>
    </w:p>
    <w:p>
      <w:pPr>
        <w:tabs>
          <w:tab w:pos="1439" w:val="left" w:leader="none"/>
        </w:tabs>
        <w:spacing w:before="0"/>
        <w:ind w:left="359" w:right="2128" w:firstLine="1080"/>
        <w:jc w:val="left"/>
        <w:rPr>
          <w:sz w:val="22"/>
        </w:rPr>
      </w:pPr>
      <w:r>
        <w:rPr>
          <w:sz w:val="22"/>
        </w:rPr>
        <w:t>Permanent,</w:t>
      </w:r>
      <w:r>
        <w:rPr>
          <w:spacing w:val="-4"/>
          <w:sz w:val="22"/>
        </w:rPr>
        <w:t> </w:t>
      </w:r>
      <w:r>
        <w:rPr>
          <w:sz w:val="22"/>
        </w:rPr>
        <w:t>changed</w:t>
      </w:r>
      <w:r>
        <w:rPr>
          <w:spacing w:val="-5"/>
          <w:sz w:val="22"/>
        </w:rPr>
        <w:t> </w:t>
      </w:r>
      <w:r>
        <w:rPr>
          <w:sz w:val="22"/>
        </w:rPr>
        <w:t>'Visual</w:t>
      </w:r>
      <w:r>
        <w:rPr>
          <w:spacing w:val="-5"/>
          <w:sz w:val="22"/>
        </w:rPr>
        <w:t> </w:t>
      </w:r>
      <w:r>
        <w:rPr>
          <w:sz w:val="22"/>
        </w:rPr>
        <w:t>Services</w:t>
      </w:r>
      <w:r>
        <w:rPr>
          <w:spacing w:val="-5"/>
          <w:sz w:val="22"/>
        </w:rPr>
        <w:t> </w:t>
      </w:r>
      <w:r>
        <w:rPr>
          <w:sz w:val="22"/>
        </w:rPr>
        <w:t>Unit'</w:t>
      </w:r>
      <w:r>
        <w:rPr>
          <w:spacing w:val="-5"/>
          <w:sz w:val="22"/>
        </w:rPr>
        <w:t> </w:t>
      </w:r>
      <w:r>
        <w:rPr>
          <w:sz w:val="22"/>
        </w:rPr>
        <w:t>to</w:t>
      </w:r>
      <w:r>
        <w:rPr>
          <w:spacing w:val="-5"/>
          <w:sz w:val="22"/>
        </w:rPr>
        <w:t> </w:t>
      </w:r>
      <w:r>
        <w:rPr>
          <w:sz w:val="22"/>
        </w:rPr>
        <w:t>'Visual</w:t>
      </w:r>
      <w:r>
        <w:rPr>
          <w:spacing w:val="-5"/>
          <w:sz w:val="22"/>
        </w:rPr>
        <w:t> </w:t>
      </w:r>
      <w:r>
        <w:rPr>
          <w:sz w:val="22"/>
        </w:rPr>
        <w:t>Services</w:t>
      </w:r>
      <w:r>
        <w:rPr>
          <w:spacing w:val="-5"/>
          <w:sz w:val="22"/>
        </w:rPr>
        <w:t> </w:t>
      </w:r>
      <w:r>
        <w:rPr>
          <w:sz w:val="22"/>
        </w:rPr>
        <w:t>Division' </w:t>
      </w:r>
      <w:r>
        <w:rPr>
          <w:spacing w:val="-2"/>
          <w:sz w:val="22"/>
        </w:rPr>
        <w:t>7-1-99</w:t>
      </w:r>
      <w:r>
        <w:rPr>
          <w:sz w:val="22"/>
        </w:rPr>
        <w:tab/>
        <w:t>POL Memo #00-1</w:t>
      </w:r>
    </w:p>
    <w:p>
      <w:pPr>
        <w:spacing w:line="252" w:lineRule="exact" w:before="0"/>
        <w:ind w:left="1439" w:right="0" w:firstLine="0"/>
        <w:jc w:val="left"/>
        <w:rPr>
          <w:sz w:val="22"/>
        </w:rPr>
      </w:pPr>
      <w:r>
        <w:rPr>
          <w:sz w:val="22"/>
        </w:rPr>
        <w:t>Permanent,</w:t>
      </w:r>
      <w:r>
        <w:rPr>
          <w:spacing w:val="-10"/>
          <w:sz w:val="22"/>
        </w:rPr>
        <w:t> </w:t>
      </w:r>
      <w:r>
        <w:rPr>
          <w:sz w:val="22"/>
        </w:rPr>
        <w:t>updated</w:t>
      </w:r>
      <w:r>
        <w:rPr>
          <w:spacing w:val="-11"/>
          <w:sz w:val="22"/>
        </w:rPr>
        <w:t> </w:t>
      </w:r>
      <w:r>
        <w:rPr>
          <w:spacing w:val="-5"/>
          <w:sz w:val="22"/>
        </w:rPr>
        <w:t>DVS</w:t>
      </w:r>
    </w:p>
    <w:p>
      <w:pPr>
        <w:tabs>
          <w:tab w:pos="1439" w:val="left" w:leader="none"/>
        </w:tabs>
        <w:spacing w:before="1"/>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1439" w:right="1454" w:hanging="1080"/>
        <w:jc w:val="left"/>
        <w:rPr>
          <w:sz w:val="22"/>
        </w:rPr>
      </w:pPr>
      <w:r>
        <w:rPr>
          <w:spacing w:val="-2"/>
          <w:sz w:val="22"/>
        </w:rPr>
        <w:t>9-14-18</w:t>
      </w:r>
      <w:r>
        <w:rPr>
          <w:sz w:val="22"/>
        </w:rPr>
        <w:tab/>
        <w:t>Updated</w:t>
      </w:r>
      <w:r>
        <w:rPr>
          <w:spacing w:val="-4"/>
          <w:sz w:val="22"/>
        </w:rPr>
        <w:t> </w:t>
      </w:r>
      <w:r>
        <w:rPr>
          <w:sz w:val="22"/>
        </w:rPr>
        <w:t>language</w:t>
      </w:r>
      <w:r>
        <w:rPr>
          <w:spacing w:val="-4"/>
          <w:sz w:val="22"/>
        </w:rPr>
        <w:t> </w:t>
      </w:r>
      <w:r>
        <w:rPr>
          <w:sz w:val="22"/>
        </w:rPr>
        <w:t>to</w:t>
      </w:r>
      <w:r>
        <w:rPr>
          <w:spacing w:val="-4"/>
          <w:sz w:val="22"/>
        </w:rPr>
        <w:t> </w:t>
      </w:r>
      <w:r>
        <w:rPr>
          <w:sz w:val="22"/>
        </w:rPr>
        <w:t>clarify</w:t>
      </w:r>
      <w:r>
        <w:rPr>
          <w:spacing w:val="-4"/>
          <w:sz w:val="22"/>
        </w:rPr>
        <w:t> </w:t>
      </w:r>
      <w:r>
        <w:rPr>
          <w:sz w:val="22"/>
        </w:rPr>
        <w:t>teachers</w:t>
      </w:r>
      <w:r>
        <w:rPr>
          <w:spacing w:val="-5"/>
          <w:sz w:val="22"/>
        </w:rPr>
        <w:t> </w:t>
      </w:r>
      <w:r>
        <w:rPr>
          <w:sz w:val="22"/>
        </w:rPr>
        <w:t>may</w:t>
      </w:r>
      <w:r>
        <w:rPr>
          <w:spacing w:val="-4"/>
          <w:sz w:val="22"/>
        </w:rPr>
        <w:t> </w:t>
      </w:r>
      <w:r>
        <w:rPr>
          <w:sz w:val="22"/>
        </w:rPr>
        <w:t>serve</w:t>
      </w:r>
      <w:r>
        <w:rPr>
          <w:spacing w:val="-4"/>
          <w:sz w:val="22"/>
        </w:rPr>
        <w:t> </w:t>
      </w:r>
      <w:r>
        <w:rPr>
          <w:sz w:val="22"/>
        </w:rPr>
        <w:t>individuals</w:t>
      </w:r>
      <w:r>
        <w:rPr>
          <w:spacing w:val="-4"/>
          <w:sz w:val="22"/>
        </w:rPr>
        <w:t> </w:t>
      </w:r>
      <w:r>
        <w:rPr>
          <w:sz w:val="22"/>
        </w:rPr>
        <w:t>with</w:t>
      </w:r>
      <w:r>
        <w:rPr>
          <w:spacing w:val="-4"/>
          <w:sz w:val="22"/>
        </w:rPr>
        <w:t> </w:t>
      </w:r>
      <w:r>
        <w:rPr>
          <w:sz w:val="22"/>
        </w:rPr>
        <w:t>severe</w:t>
      </w:r>
      <w:r>
        <w:rPr>
          <w:spacing w:val="-5"/>
          <w:sz w:val="22"/>
        </w:rPr>
        <w:t> </w:t>
      </w:r>
      <w:r>
        <w:rPr>
          <w:sz w:val="22"/>
        </w:rPr>
        <w:t>visual impairments in addition to individuals who are legally blind. Removed ITS #2</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spacing w:after="0"/>
        <w:jc w:val="left"/>
        <w:rPr>
          <w:sz w:val="22"/>
        </w:rPr>
        <w:sectPr>
          <w:pgSz w:w="12240" w:h="15840"/>
          <w:pgMar w:top="1340" w:bottom="280" w:left="1080" w:right="720"/>
        </w:sectPr>
      </w:pPr>
    </w:p>
    <w:p>
      <w:pPr>
        <w:pStyle w:val="Heading2"/>
      </w:pPr>
      <w:bookmarkStart w:name="612:10-7-203.  Orientation and Mobility " w:id="212"/>
      <w:bookmarkEnd w:id="212"/>
      <w:r>
        <w:rPr>
          <w:b w:val="0"/>
        </w:rPr>
      </w:r>
      <w:r>
        <w:rPr/>
        <w:t>612:10-7-203.</w:t>
      </w:r>
      <w:r>
        <w:rPr>
          <w:spacing w:val="58"/>
        </w:rPr>
        <w:t> </w:t>
      </w:r>
      <w:r>
        <w:rPr/>
        <w:t>Orientation</w:t>
      </w:r>
      <w:r>
        <w:rPr>
          <w:spacing w:val="-2"/>
        </w:rPr>
        <w:t> </w:t>
      </w:r>
      <w:r>
        <w:rPr/>
        <w:t>and</w:t>
      </w:r>
      <w:r>
        <w:rPr>
          <w:spacing w:val="-4"/>
        </w:rPr>
        <w:t> </w:t>
      </w:r>
      <w:r>
        <w:rPr/>
        <w:t>Mobility</w:t>
      </w:r>
      <w:r>
        <w:rPr>
          <w:spacing w:val="-3"/>
        </w:rPr>
        <w:t> </w:t>
      </w:r>
      <w:r>
        <w:rPr/>
        <w:t>(O</w:t>
      </w:r>
      <w:r>
        <w:rPr>
          <w:spacing w:val="-2"/>
        </w:rPr>
        <w:t> </w:t>
      </w:r>
      <w:r>
        <w:rPr/>
        <w:t>&amp;</w:t>
      </w:r>
      <w:r>
        <w:rPr>
          <w:spacing w:val="-3"/>
        </w:rPr>
        <w:t> </w:t>
      </w:r>
      <w:r>
        <w:rPr>
          <w:spacing w:val="-5"/>
        </w:rPr>
        <w:t>M)</w:t>
      </w:r>
    </w:p>
    <w:p>
      <w:pPr>
        <w:pStyle w:val="BodyText"/>
        <w:spacing w:before="237"/>
        <w:ind w:left="359" w:right="1061" w:firstLine="450"/>
        <w:jc w:val="both"/>
        <w:rPr>
          <w:b/>
        </w:rPr>
      </w:pPr>
      <w:r>
        <w:rPr/>
        <w:t>DVR and DSBVI clients who are blind, visually impaired, or function as such can receive</w:t>
      </w:r>
      <w:r>
        <w:rPr>
          <w:spacing w:val="-3"/>
        </w:rPr>
        <w:t> </w:t>
      </w:r>
      <w:r>
        <w:rPr/>
        <w:t>direct</w:t>
      </w:r>
      <w:r>
        <w:rPr>
          <w:spacing w:val="-2"/>
        </w:rPr>
        <w:t> </w:t>
      </w:r>
      <w:r>
        <w:rPr/>
        <w:t>instruction</w:t>
      </w:r>
      <w:r>
        <w:rPr>
          <w:spacing w:val="-3"/>
        </w:rPr>
        <w:t> </w:t>
      </w:r>
      <w:r>
        <w:rPr/>
        <w:t>from</w:t>
      </w:r>
      <w:r>
        <w:rPr>
          <w:spacing w:val="-4"/>
        </w:rPr>
        <w:t> </w:t>
      </w:r>
      <w:r>
        <w:rPr/>
        <w:t>O</w:t>
      </w:r>
      <w:r>
        <w:rPr>
          <w:spacing w:val="-4"/>
        </w:rPr>
        <w:t> </w:t>
      </w:r>
      <w:r>
        <w:rPr/>
        <w:t>&amp;</w:t>
      </w:r>
      <w:r>
        <w:rPr>
          <w:spacing w:val="-3"/>
        </w:rPr>
        <w:t> </w:t>
      </w:r>
      <w:r>
        <w:rPr/>
        <w:t>M</w:t>
      </w:r>
      <w:r>
        <w:rPr>
          <w:spacing w:val="-2"/>
        </w:rPr>
        <w:t> </w:t>
      </w:r>
      <w:r>
        <w:rPr/>
        <w:t>specialists</w:t>
      </w:r>
      <w:r>
        <w:rPr>
          <w:spacing w:val="-3"/>
        </w:rPr>
        <w:t> </w:t>
      </w:r>
      <w:r>
        <w:rPr/>
        <w:t>employed</w:t>
      </w:r>
      <w:r>
        <w:rPr>
          <w:spacing w:val="-3"/>
        </w:rPr>
        <w:t> </w:t>
      </w:r>
      <w:r>
        <w:rPr/>
        <w:t>by</w:t>
      </w:r>
      <w:r>
        <w:rPr>
          <w:spacing w:val="-3"/>
        </w:rPr>
        <w:t> </w:t>
      </w:r>
      <w:r>
        <w:rPr/>
        <w:t>the</w:t>
      </w:r>
      <w:r>
        <w:rPr>
          <w:spacing w:val="-4"/>
        </w:rPr>
        <w:t> </w:t>
      </w:r>
      <w:r>
        <w:rPr/>
        <w:t>Department.</w:t>
      </w:r>
      <w:r>
        <w:rPr>
          <w:spacing w:val="-4"/>
        </w:rPr>
        <w:t> </w:t>
      </w:r>
      <w:r>
        <w:rPr/>
        <w:t>O</w:t>
      </w:r>
      <w:r>
        <w:rPr>
          <w:spacing w:val="-2"/>
        </w:rPr>
        <w:t> </w:t>
      </w:r>
      <w:r>
        <w:rPr/>
        <w:t>&amp;</w:t>
      </w:r>
      <w:r>
        <w:rPr>
          <w:spacing w:val="-5"/>
        </w:rPr>
        <w:t> </w:t>
      </w:r>
      <w:r>
        <w:rPr/>
        <w:t>M specialists assist these clients to adjust to their surroundings. </w:t>
      </w:r>
      <w:r>
        <w:rPr>
          <w:b/>
        </w:rPr>
        <w:t>1</w:t>
      </w:r>
    </w:p>
    <w:p>
      <w:pPr>
        <w:pStyle w:val="BodyText"/>
        <w:spacing w:before="207"/>
        <w:ind w:left="359"/>
      </w:pPr>
      <w:r>
        <w:rPr/>
        <w:t>INSTRUCTIONS</w:t>
      </w:r>
      <w:r>
        <w:rPr>
          <w:spacing w:val="-3"/>
        </w:rPr>
        <w:t> </w:t>
      </w:r>
      <w:r>
        <w:rPr/>
        <w:t>TO</w:t>
      </w:r>
      <w:r>
        <w:rPr>
          <w:spacing w:val="-2"/>
        </w:rPr>
        <w:t> </w:t>
      </w:r>
      <w:r>
        <w:rPr>
          <w:spacing w:val="-4"/>
        </w:rPr>
        <w:t>STAFF</w:t>
      </w:r>
    </w:p>
    <w:p>
      <w:pPr>
        <w:pStyle w:val="BodyText"/>
        <w:tabs>
          <w:tab w:pos="899" w:val="left" w:leader="none"/>
        </w:tabs>
        <w:spacing w:before="237"/>
        <w:ind w:left="899" w:right="718" w:hanging="540"/>
      </w:pPr>
      <w:r>
        <w:rPr>
          <w:spacing w:val="-6"/>
        </w:rPr>
        <w:t>1.</w:t>
      </w:r>
      <w:r>
        <w:rPr/>
        <w:tab/>
        <w:t>Referrals</w:t>
      </w:r>
      <w:r>
        <w:rPr>
          <w:spacing w:val="-14"/>
        </w:rPr>
        <w:t> </w:t>
      </w:r>
      <w:r>
        <w:rPr/>
        <w:t>are</w:t>
      </w:r>
      <w:r>
        <w:rPr>
          <w:spacing w:val="-14"/>
        </w:rPr>
        <w:t> </w:t>
      </w:r>
      <w:r>
        <w:rPr/>
        <w:t>made</w:t>
      </w:r>
      <w:r>
        <w:rPr>
          <w:spacing w:val="-14"/>
        </w:rPr>
        <w:t> </w:t>
      </w:r>
      <w:r>
        <w:rPr/>
        <w:t>directly</w:t>
      </w:r>
      <w:r>
        <w:rPr>
          <w:spacing w:val="-14"/>
        </w:rPr>
        <w:t> </w:t>
      </w:r>
      <w:r>
        <w:rPr/>
        <w:t>to</w:t>
      </w:r>
      <w:r>
        <w:rPr>
          <w:spacing w:val="-15"/>
        </w:rPr>
        <w:t> </w:t>
      </w:r>
      <w:r>
        <w:rPr/>
        <w:t>O</w:t>
      </w:r>
      <w:r>
        <w:rPr>
          <w:spacing w:val="-13"/>
        </w:rPr>
        <w:t> </w:t>
      </w:r>
      <w:r>
        <w:rPr/>
        <w:t>&amp;</w:t>
      </w:r>
      <w:r>
        <w:rPr>
          <w:spacing w:val="-15"/>
        </w:rPr>
        <w:t> </w:t>
      </w:r>
      <w:r>
        <w:rPr/>
        <w:t>M</w:t>
      </w:r>
      <w:r>
        <w:rPr>
          <w:spacing w:val="-14"/>
        </w:rPr>
        <w:t> </w:t>
      </w:r>
      <w:r>
        <w:rPr/>
        <w:t>specialist</w:t>
      </w:r>
      <w:r>
        <w:rPr>
          <w:spacing w:val="-13"/>
        </w:rPr>
        <w:t> </w:t>
      </w:r>
      <w:r>
        <w:rPr/>
        <w:t>using</w:t>
      </w:r>
      <w:r>
        <w:rPr>
          <w:spacing w:val="-14"/>
        </w:rPr>
        <w:t> </w:t>
      </w:r>
      <w:r>
        <w:rPr/>
        <w:t>form</w:t>
      </w:r>
      <w:r>
        <w:rPr>
          <w:spacing w:val="-13"/>
        </w:rPr>
        <w:t> </w:t>
      </w:r>
      <w:r>
        <w:rPr/>
        <w:t>Special</w:t>
      </w:r>
      <w:r>
        <w:rPr>
          <w:spacing w:val="-14"/>
        </w:rPr>
        <w:t> </w:t>
      </w:r>
      <w:r>
        <w:rPr/>
        <w:t>Services</w:t>
      </w:r>
      <w:r>
        <w:rPr>
          <w:spacing w:val="-14"/>
        </w:rPr>
        <w:t> </w:t>
      </w:r>
      <w:r>
        <w:rPr/>
        <w:t>Referral, accompanied by pertinent information.</w:t>
      </w:r>
    </w:p>
    <w:p>
      <w:pPr>
        <w:spacing w:before="240"/>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8-1-96</w:t>
      </w:r>
      <w:r>
        <w:rPr>
          <w:sz w:val="22"/>
        </w:rPr>
        <w:tab/>
        <w:t>PT Memo #97-2</w:t>
      </w:r>
    </w:p>
    <w:p>
      <w:pPr>
        <w:tabs>
          <w:tab w:pos="1439" w:val="left" w:leader="none"/>
        </w:tabs>
        <w:spacing w:before="1"/>
        <w:ind w:left="359" w:right="758" w:firstLine="1080"/>
        <w:jc w:val="left"/>
        <w:rPr>
          <w:sz w:val="22"/>
        </w:rPr>
      </w:pPr>
      <w:r>
        <w:rPr>
          <w:sz w:val="22"/>
        </w:rPr>
        <w:t>Permanent,</w:t>
      </w:r>
      <w:r>
        <w:rPr>
          <w:spacing w:val="-3"/>
          <w:sz w:val="22"/>
        </w:rPr>
        <w:t> </w:t>
      </w:r>
      <w:r>
        <w:rPr>
          <w:sz w:val="22"/>
        </w:rPr>
        <w:t>amended</w:t>
      </w:r>
      <w:r>
        <w:rPr>
          <w:spacing w:val="-4"/>
          <w:sz w:val="22"/>
        </w:rPr>
        <w:t> </w:t>
      </w:r>
      <w:r>
        <w:rPr>
          <w:sz w:val="22"/>
        </w:rPr>
        <w:t>to</w:t>
      </w:r>
      <w:r>
        <w:rPr>
          <w:spacing w:val="-4"/>
          <w:sz w:val="22"/>
        </w:rPr>
        <w:t> </w:t>
      </w:r>
      <w:r>
        <w:rPr>
          <w:sz w:val="22"/>
        </w:rPr>
        <w:t>reflect</w:t>
      </w:r>
      <w:r>
        <w:rPr>
          <w:spacing w:val="-4"/>
          <w:sz w:val="22"/>
        </w:rPr>
        <w:t> </w:t>
      </w:r>
      <w:r>
        <w:rPr>
          <w:sz w:val="22"/>
        </w:rPr>
        <w:t>that</w:t>
      </w:r>
      <w:r>
        <w:rPr>
          <w:spacing w:val="-5"/>
          <w:sz w:val="22"/>
        </w:rPr>
        <w:t> </w:t>
      </w:r>
      <w:r>
        <w:rPr>
          <w:sz w:val="22"/>
        </w:rPr>
        <w:t>O&amp;M</w:t>
      </w:r>
      <w:r>
        <w:rPr>
          <w:spacing w:val="-5"/>
          <w:sz w:val="22"/>
        </w:rPr>
        <w:t> </w:t>
      </w:r>
      <w:r>
        <w:rPr>
          <w:sz w:val="22"/>
        </w:rPr>
        <w:t>specialists</w:t>
      </w:r>
      <w:r>
        <w:rPr>
          <w:spacing w:val="-4"/>
          <w:sz w:val="22"/>
        </w:rPr>
        <w:t> </w:t>
      </w:r>
      <w:r>
        <w:rPr>
          <w:sz w:val="22"/>
        </w:rPr>
        <w:t>are</w:t>
      </w:r>
      <w:r>
        <w:rPr>
          <w:spacing w:val="-4"/>
          <w:sz w:val="22"/>
        </w:rPr>
        <w:t> </w:t>
      </w:r>
      <w:r>
        <w:rPr>
          <w:sz w:val="22"/>
        </w:rPr>
        <w:t>employed</w:t>
      </w:r>
      <w:r>
        <w:rPr>
          <w:spacing w:val="-4"/>
          <w:sz w:val="22"/>
        </w:rPr>
        <w:t> </w:t>
      </w:r>
      <w:r>
        <w:rPr>
          <w:sz w:val="22"/>
        </w:rPr>
        <w:t>by</w:t>
      </w:r>
      <w:r>
        <w:rPr>
          <w:spacing w:val="-4"/>
          <w:sz w:val="22"/>
        </w:rPr>
        <w:t> </w:t>
      </w:r>
      <w:r>
        <w:rPr>
          <w:sz w:val="22"/>
        </w:rPr>
        <w:t>DRS,</w:t>
      </w:r>
      <w:r>
        <w:rPr>
          <w:spacing w:val="-4"/>
          <w:sz w:val="22"/>
        </w:rPr>
        <w:t> </w:t>
      </w:r>
      <w:r>
        <w:rPr>
          <w:sz w:val="22"/>
        </w:rPr>
        <w:t>not</w:t>
      </w:r>
      <w:r>
        <w:rPr>
          <w:spacing w:val="-4"/>
          <w:sz w:val="22"/>
        </w:rPr>
        <w:t> </w:t>
      </w:r>
      <w:r>
        <w:rPr>
          <w:sz w:val="22"/>
        </w:rPr>
        <w:t>RVS </w:t>
      </w:r>
      <w:r>
        <w:rPr>
          <w:spacing w:val="-2"/>
          <w:sz w:val="22"/>
        </w:rPr>
        <w:t>7-1-99</w:t>
      </w:r>
      <w:r>
        <w:rPr>
          <w:sz w:val="22"/>
        </w:rPr>
        <w:tab/>
        <w:t>POL Memo #00-1</w:t>
      </w:r>
    </w:p>
    <w:p>
      <w:pPr>
        <w:spacing w:line="252" w:lineRule="exact" w:before="0"/>
        <w:ind w:left="1439" w:right="0" w:firstLine="0"/>
        <w:jc w:val="left"/>
        <w:rPr>
          <w:sz w:val="22"/>
        </w:rPr>
      </w:pPr>
      <w:r>
        <w:rPr>
          <w:sz w:val="22"/>
        </w:rPr>
        <w:t>Permanent,</w:t>
      </w:r>
      <w:r>
        <w:rPr>
          <w:spacing w:val="-10"/>
          <w:sz w:val="22"/>
        </w:rPr>
        <w:t> </w:t>
      </w:r>
      <w:r>
        <w:rPr>
          <w:sz w:val="22"/>
        </w:rPr>
        <w:t>updated</w:t>
      </w:r>
      <w:r>
        <w:rPr>
          <w:spacing w:val="-11"/>
          <w:sz w:val="22"/>
        </w:rPr>
        <w:t> </w:t>
      </w:r>
      <w:r>
        <w:rPr>
          <w:spacing w:val="-2"/>
          <w:sz w:val="22"/>
        </w:rPr>
        <w:t>DVR/DVS</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line="252" w:lineRule="exact" w:before="0"/>
        <w:ind w:left="359" w:right="0" w:firstLine="0"/>
        <w:jc w:val="left"/>
        <w:rPr>
          <w:sz w:val="22"/>
        </w:rPr>
      </w:pPr>
      <w:r>
        <w:rPr>
          <w:spacing w:val="-2"/>
          <w:sz w:val="22"/>
        </w:rPr>
        <w:t>8-26-</w:t>
      </w:r>
      <w:r>
        <w:rPr>
          <w:spacing w:val="-5"/>
          <w:sz w:val="22"/>
        </w:rPr>
        <w:t>21</w:t>
      </w:r>
      <w:r>
        <w:rPr>
          <w:sz w:val="22"/>
        </w:rPr>
        <w:tab/>
        <w:t>Revised</w:t>
      </w:r>
      <w:r>
        <w:rPr>
          <w:spacing w:val="-7"/>
          <w:sz w:val="22"/>
        </w:rPr>
        <w:t> </w:t>
      </w:r>
      <w:r>
        <w:rPr>
          <w:sz w:val="22"/>
        </w:rPr>
        <w:t>to</w:t>
      </w:r>
      <w:r>
        <w:rPr>
          <w:spacing w:val="-6"/>
          <w:sz w:val="22"/>
        </w:rPr>
        <w:t> </w:t>
      </w:r>
      <w:r>
        <w:rPr>
          <w:sz w:val="22"/>
        </w:rPr>
        <w:t>reflect</w:t>
      </w:r>
      <w:r>
        <w:rPr>
          <w:spacing w:val="-7"/>
          <w:sz w:val="22"/>
        </w:rPr>
        <w:t> </w:t>
      </w:r>
      <w:r>
        <w:rPr>
          <w:sz w:val="22"/>
        </w:rPr>
        <w:t>WIOA</w:t>
      </w:r>
      <w:r>
        <w:rPr>
          <w:spacing w:val="-6"/>
          <w:sz w:val="22"/>
        </w:rPr>
        <w:t> </w:t>
      </w:r>
      <w:r>
        <w:rPr>
          <w:spacing w:val="-2"/>
          <w:sz w:val="22"/>
        </w:rPr>
        <w:t>language.</w:t>
      </w:r>
    </w:p>
    <w:p>
      <w:pPr>
        <w:spacing w:after="0" w:line="252" w:lineRule="exact"/>
        <w:jc w:val="left"/>
        <w:rPr>
          <w:sz w:val="22"/>
        </w:rPr>
        <w:sectPr>
          <w:pgSz w:w="12240" w:h="15840"/>
          <w:pgMar w:top="1340" w:bottom="280" w:left="1080" w:right="720"/>
        </w:sectPr>
      </w:pPr>
    </w:p>
    <w:p>
      <w:pPr>
        <w:pStyle w:val="Heading2"/>
      </w:pPr>
      <w:bookmarkStart w:name="612:10-7-205.  Services to persons who a" w:id="213"/>
      <w:bookmarkEnd w:id="213"/>
      <w:r>
        <w:rPr>
          <w:b w:val="0"/>
        </w:rPr>
      </w:r>
      <w:r>
        <w:rPr/>
        <w:t>612:10-7-205.</w:t>
      </w:r>
      <w:r>
        <w:rPr>
          <w:spacing w:val="60"/>
        </w:rPr>
        <w:t> </w:t>
      </w:r>
      <w:r>
        <w:rPr/>
        <w:t>Services</w:t>
      </w:r>
      <w:r>
        <w:rPr>
          <w:spacing w:val="-4"/>
        </w:rPr>
        <w:t> </w:t>
      </w:r>
      <w:r>
        <w:rPr/>
        <w:t>to</w:t>
      </w:r>
      <w:r>
        <w:rPr>
          <w:spacing w:val="-3"/>
        </w:rPr>
        <w:t> </w:t>
      </w:r>
      <w:r>
        <w:rPr/>
        <w:t>persons</w:t>
      </w:r>
      <w:r>
        <w:rPr>
          <w:spacing w:val="-4"/>
        </w:rPr>
        <w:t> </w:t>
      </w:r>
      <w:r>
        <w:rPr/>
        <w:t>who</w:t>
      </w:r>
      <w:r>
        <w:rPr>
          <w:spacing w:val="-3"/>
        </w:rPr>
        <w:t> </w:t>
      </w:r>
      <w:r>
        <w:rPr/>
        <w:t>are</w:t>
      </w:r>
      <w:r>
        <w:rPr>
          <w:spacing w:val="-3"/>
        </w:rPr>
        <w:t> </w:t>
      </w:r>
      <w:r>
        <w:rPr/>
        <w:t>deaf-</w:t>
      </w:r>
      <w:r>
        <w:rPr>
          <w:spacing w:val="-2"/>
        </w:rPr>
        <w:t>blind</w:t>
      </w:r>
    </w:p>
    <w:p>
      <w:pPr>
        <w:pStyle w:val="ListParagraph"/>
        <w:numPr>
          <w:ilvl w:val="0"/>
          <w:numId w:val="231"/>
        </w:numPr>
        <w:tabs>
          <w:tab w:pos="784" w:val="left" w:leader="none"/>
        </w:tabs>
        <w:spacing w:line="208" w:lineRule="auto" w:before="233" w:after="0"/>
        <w:ind w:left="359" w:right="764" w:firstLine="0"/>
        <w:jc w:val="left"/>
        <w:rPr>
          <w:sz w:val="24"/>
        </w:rPr>
      </w:pPr>
      <w:r>
        <w:rPr>
          <w:b/>
          <w:sz w:val="24"/>
        </w:rPr>
        <w:t>Overview of services. </w:t>
      </w:r>
      <w:r>
        <w:rPr>
          <w:sz w:val="24"/>
        </w:rPr>
        <w:t>Because of the overwhelming impact upon the individual with</w:t>
      </w:r>
      <w:r>
        <w:rPr>
          <w:spacing w:val="-4"/>
          <w:sz w:val="24"/>
        </w:rPr>
        <w:t> </w:t>
      </w:r>
      <w:r>
        <w:rPr>
          <w:sz w:val="24"/>
        </w:rPr>
        <w:t>a</w:t>
      </w:r>
      <w:r>
        <w:rPr>
          <w:spacing w:val="-4"/>
          <w:sz w:val="24"/>
        </w:rPr>
        <w:t> </w:t>
      </w:r>
      <w:r>
        <w:rPr>
          <w:sz w:val="24"/>
        </w:rPr>
        <w:t>combination</w:t>
      </w:r>
      <w:r>
        <w:rPr>
          <w:spacing w:val="-4"/>
          <w:sz w:val="24"/>
        </w:rPr>
        <w:t> </w:t>
      </w:r>
      <w:r>
        <w:rPr>
          <w:sz w:val="24"/>
        </w:rPr>
        <w:t>disability</w:t>
      </w:r>
      <w:r>
        <w:rPr>
          <w:spacing w:val="-4"/>
          <w:sz w:val="24"/>
        </w:rPr>
        <w:t> </w:t>
      </w:r>
      <w:r>
        <w:rPr>
          <w:sz w:val="24"/>
        </w:rPr>
        <w:t>of</w:t>
      </w:r>
      <w:r>
        <w:rPr>
          <w:spacing w:val="-3"/>
          <w:sz w:val="24"/>
        </w:rPr>
        <w:t> </w:t>
      </w:r>
      <w:r>
        <w:rPr>
          <w:sz w:val="24"/>
        </w:rPr>
        <w:t>deafness</w:t>
      </w:r>
      <w:r>
        <w:rPr>
          <w:spacing w:val="-4"/>
          <w:sz w:val="24"/>
        </w:rPr>
        <w:t> </w:t>
      </w:r>
      <w:r>
        <w:rPr>
          <w:sz w:val="24"/>
        </w:rPr>
        <w:t>and</w:t>
      </w:r>
      <w:r>
        <w:rPr>
          <w:spacing w:val="-4"/>
          <w:sz w:val="24"/>
        </w:rPr>
        <w:t> </w:t>
      </w:r>
      <w:r>
        <w:rPr>
          <w:sz w:val="24"/>
        </w:rPr>
        <w:t>blindness,</w:t>
      </w:r>
      <w:r>
        <w:rPr>
          <w:spacing w:val="-3"/>
          <w:sz w:val="24"/>
        </w:rPr>
        <w:t> </w:t>
      </w:r>
      <w:r>
        <w:rPr>
          <w:sz w:val="24"/>
        </w:rPr>
        <w:t>a</w:t>
      </w:r>
      <w:r>
        <w:rPr>
          <w:spacing w:val="-4"/>
          <w:sz w:val="24"/>
        </w:rPr>
        <w:t> </w:t>
      </w:r>
      <w:r>
        <w:rPr>
          <w:sz w:val="24"/>
        </w:rPr>
        <w:t>multiple</w:t>
      </w:r>
      <w:r>
        <w:rPr>
          <w:spacing w:val="-4"/>
          <w:sz w:val="24"/>
        </w:rPr>
        <w:t> </w:t>
      </w:r>
      <w:r>
        <w:rPr>
          <w:sz w:val="24"/>
        </w:rPr>
        <w:t>disciplinary</w:t>
      </w:r>
      <w:r>
        <w:rPr>
          <w:spacing w:val="-3"/>
          <w:sz w:val="24"/>
        </w:rPr>
        <w:t> </w:t>
      </w:r>
      <w:r>
        <w:rPr>
          <w:sz w:val="24"/>
        </w:rPr>
        <w:t>approach is needed to adequately serve these individuals. Unique problems in mobility and communication can cause severe social, recreational, academic deprivation and long term prevocational training may be necessary. Persons who are deaf-blind are capable of competitive employment and the counselor will carefully evaluate expected employment outcomes.</w:t>
      </w:r>
    </w:p>
    <w:p>
      <w:pPr>
        <w:pStyle w:val="ListParagraph"/>
        <w:numPr>
          <w:ilvl w:val="0"/>
          <w:numId w:val="231"/>
        </w:numPr>
        <w:tabs>
          <w:tab w:pos="785" w:val="left" w:leader="none"/>
        </w:tabs>
        <w:spacing w:line="208" w:lineRule="auto" w:before="239" w:after="0"/>
        <w:ind w:left="359" w:right="742" w:firstLine="0"/>
        <w:jc w:val="left"/>
        <w:rPr>
          <w:sz w:val="24"/>
        </w:rPr>
      </w:pPr>
      <w:r>
        <w:rPr>
          <w:b/>
          <w:sz w:val="24"/>
        </w:rPr>
        <w:t>Deaf-Blindness Specialist. </w:t>
      </w:r>
      <w:r>
        <w:rPr>
          <w:sz w:val="24"/>
        </w:rPr>
        <w:t>To promote and coordinate appropriate services for persons</w:t>
      </w:r>
      <w:r>
        <w:rPr>
          <w:spacing w:val="-3"/>
          <w:sz w:val="24"/>
        </w:rPr>
        <w:t> </w:t>
      </w:r>
      <w:r>
        <w:rPr>
          <w:sz w:val="24"/>
        </w:rPr>
        <w:t>with</w:t>
      </w:r>
      <w:r>
        <w:rPr>
          <w:spacing w:val="-3"/>
          <w:sz w:val="24"/>
        </w:rPr>
        <w:t> </w:t>
      </w:r>
      <w:r>
        <w:rPr>
          <w:sz w:val="24"/>
        </w:rPr>
        <w:t>dual</w:t>
      </w:r>
      <w:r>
        <w:rPr>
          <w:spacing w:val="-3"/>
          <w:sz w:val="24"/>
        </w:rPr>
        <w:t> </w:t>
      </w:r>
      <w:r>
        <w:rPr>
          <w:sz w:val="24"/>
        </w:rPr>
        <w:t>losses</w:t>
      </w:r>
      <w:r>
        <w:rPr>
          <w:spacing w:val="-3"/>
          <w:sz w:val="24"/>
        </w:rPr>
        <w:t> </w:t>
      </w:r>
      <w:r>
        <w:rPr>
          <w:sz w:val="24"/>
        </w:rPr>
        <w:t>of</w:t>
      </w:r>
      <w:r>
        <w:rPr>
          <w:spacing w:val="-2"/>
          <w:sz w:val="24"/>
        </w:rPr>
        <w:t> </w:t>
      </w:r>
      <w:r>
        <w:rPr>
          <w:sz w:val="24"/>
        </w:rPr>
        <w:t>vision</w:t>
      </w:r>
      <w:r>
        <w:rPr>
          <w:spacing w:val="-3"/>
          <w:sz w:val="24"/>
        </w:rPr>
        <w:t> </w:t>
      </w:r>
      <w:r>
        <w:rPr>
          <w:sz w:val="24"/>
        </w:rPr>
        <w:t>and</w:t>
      </w:r>
      <w:r>
        <w:rPr>
          <w:spacing w:val="-3"/>
          <w:sz w:val="24"/>
        </w:rPr>
        <w:t> </w:t>
      </w:r>
      <w:r>
        <w:rPr>
          <w:sz w:val="24"/>
        </w:rPr>
        <w:t>hearing,</w:t>
      </w:r>
      <w:r>
        <w:rPr>
          <w:spacing w:val="-2"/>
          <w:sz w:val="24"/>
        </w:rPr>
        <w:t> </w:t>
      </w:r>
      <w:r>
        <w:rPr>
          <w:sz w:val="24"/>
        </w:rPr>
        <w:t>the</w:t>
      </w:r>
      <w:r>
        <w:rPr>
          <w:spacing w:val="-3"/>
          <w:sz w:val="24"/>
        </w:rPr>
        <w:t> </w:t>
      </w:r>
      <w:r>
        <w:rPr>
          <w:sz w:val="24"/>
        </w:rPr>
        <w:t>Division</w:t>
      </w:r>
      <w:r>
        <w:rPr>
          <w:spacing w:val="-3"/>
          <w:sz w:val="24"/>
        </w:rPr>
        <w:t> </w:t>
      </w:r>
      <w:r>
        <w:rPr>
          <w:sz w:val="24"/>
        </w:rPr>
        <w:t>of</w:t>
      </w:r>
      <w:r>
        <w:rPr>
          <w:spacing w:val="-2"/>
          <w:sz w:val="24"/>
        </w:rPr>
        <w:t> </w:t>
      </w:r>
      <w:r>
        <w:rPr>
          <w:sz w:val="24"/>
        </w:rPr>
        <w:t>Services</w:t>
      </w:r>
      <w:r>
        <w:rPr>
          <w:spacing w:val="-3"/>
          <w:sz w:val="24"/>
        </w:rPr>
        <w:t> </w:t>
      </w:r>
      <w:r>
        <w:rPr>
          <w:sz w:val="24"/>
        </w:rPr>
        <w:t>for</w:t>
      </w:r>
      <w:r>
        <w:rPr>
          <w:spacing w:val="-4"/>
          <w:sz w:val="24"/>
        </w:rPr>
        <w:t> </w:t>
      </w:r>
      <w:r>
        <w:rPr>
          <w:sz w:val="24"/>
        </w:rPr>
        <w:t>the</w:t>
      </w:r>
      <w:r>
        <w:rPr>
          <w:spacing w:val="-4"/>
          <w:sz w:val="24"/>
        </w:rPr>
        <w:t> </w:t>
      </w:r>
      <w:r>
        <w:rPr>
          <w:sz w:val="24"/>
        </w:rPr>
        <w:t>Blind</w:t>
      </w:r>
      <w:r>
        <w:rPr>
          <w:spacing w:val="-3"/>
          <w:sz w:val="24"/>
        </w:rPr>
        <w:t> </w:t>
      </w:r>
      <w:r>
        <w:rPr>
          <w:sz w:val="24"/>
        </w:rPr>
        <w:t>and Visually Impaired employs a Deaf-Blindness Specialist. This specialist works with counselors, rehabilitation teachers and others who provide services directly to clients who are deaf-blind. A major role served by this specialist is coordinating services and ensuring dialogue among schools, programs, agencies and organizations serving the deaf and blind.</w:t>
      </w:r>
    </w:p>
    <w:p>
      <w:pPr>
        <w:pStyle w:val="ListParagraph"/>
        <w:numPr>
          <w:ilvl w:val="0"/>
          <w:numId w:val="231"/>
        </w:numPr>
        <w:tabs>
          <w:tab w:pos="838" w:val="left" w:leader="none"/>
        </w:tabs>
        <w:spacing w:line="208" w:lineRule="auto" w:before="239" w:after="0"/>
        <w:ind w:left="359" w:right="842" w:firstLine="0"/>
        <w:jc w:val="left"/>
        <w:rPr>
          <w:sz w:val="24"/>
        </w:rPr>
      </w:pPr>
      <w:r>
        <w:rPr>
          <w:b/>
          <w:sz w:val="24"/>
        </w:rPr>
        <w:t>Support Service Providers. </w:t>
      </w:r>
      <w:r>
        <w:rPr>
          <w:sz w:val="24"/>
        </w:rPr>
        <w:t>Support Service Providers (SSPs) promote independence</w:t>
      </w:r>
      <w:r>
        <w:rPr>
          <w:spacing w:val="-2"/>
          <w:sz w:val="24"/>
        </w:rPr>
        <w:t> </w:t>
      </w:r>
      <w:r>
        <w:rPr>
          <w:sz w:val="24"/>
        </w:rPr>
        <w:t>by</w:t>
      </w:r>
      <w:r>
        <w:rPr>
          <w:spacing w:val="-2"/>
          <w:sz w:val="24"/>
        </w:rPr>
        <w:t> </w:t>
      </w:r>
      <w:r>
        <w:rPr>
          <w:sz w:val="24"/>
        </w:rPr>
        <w:t>providing</w:t>
      </w:r>
      <w:r>
        <w:rPr>
          <w:spacing w:val="-2"/>
          <w:sz w:val="24"/>
        </w:rPr>
        <w:t> </w:t>
      </w:r>
      <w:r>
        <w:rPr>
          <w:sz w:val="24"/>
        </w:rPr>
        <w:t>deaf-blind</w:t>
      </w:r>
      <w:r>
        <w:rPr>
          <w:spacing w:val="-2"/>
          <w:sz w:val="24"/>
        </w:rPr>
        <w:t> </w:t>
      </w:r>
      <w:r>
        <w:rPr>
          <w:sz w:val="24"/>
        </w:rPr>
        <w:t>individuals</w:t>
      </w:r>
      <w:r>
        <w:rPr>
          <w:spacing w:val="-2"/>
          <w:sz w:val="24"/>
        </w:rPr>
        <w:t> </w:t>
      </w:r>
      <w:r>
        <w:rPr>
          <w:sz w:val="24"/>
        </w:rPr>
        <w:t>with</w:t>
      </w:r>
      <w:r>
        <w:rPr>
          <w:spacing w:val="-2"/>
          <w:sz w:val="24"/>
        </w:rPr>
        <w:t> </w:t>
      </w:r>
      <w:r>
        <w:rPr>
          <w:sz w:val="24"/>
        </w:rPr>
        <w:t>visual</w:t>
      </w:r>
      <w:r>
        <w:rPr>
          <w:spacing w:val="-2"/>
          <w:sz w:val="24"/>
        </w:rPr>
        <w:t> </w:t>
      </w:r>
      <w:r>
        <w:rPr>
          <w:sz w:val="24"/>
        </w:rPr>
        <w:t>and</w:t>
      </w:r>
      <w:r>
        <w:rPr>
          <w:spacing w:val="-2"/>
          <w:sz w:val="24"/>
        </w:rPr>
        <w:t> </w:t>
      </w:r>
      <w:r>
        <w:rPr>
          <w:sz w:val="24"/>
        </w:rPr>
        <w:t>auditory</w:t>
      </w:r>
      <w:r>
        <w:rPr>
          <w:spacing w:val="-2"/>
          <w:sz w:val="24"/>
        </w:rPr>
        <w:t> </w:t>
      </w:r>
      <w:r>
        <w:rPr>
          <w:sz w:val="24"/>
        </w:rPr>
        <w:t>access</w:t>
      </w:r>
      <w:r>
        <w:rPr>
          <w:spacing w:val="-2"/>
          <w:sz w:val="24"/>
        </w:rPr>
        <w:t> </w:t>
      </w:r>
      <w:r>
        <w:rPr>
          <w:sz w:val="24"/>
        </w:rPr>
        <w:t>to</w:t>
      </w:r>
      <w:r>
        <w:rPr>
          <w:spacing w:val="-2"/>
          <w:sz w:val="24"/>
        </w:rPr>
        <w:t> </w:t>
      </w:r>
      <w:r>
        <w:rPr>
          <w:sz w:val="24"/>
        </w:rPr>
        <w:t>the environment. SSPs facilitate interpersonal communication and provide environmental information and sighted guide services to deaf-blind individuals during assessment for eligibility determination and IPE-related activities as requested by DRS. IPE related activities may include, but not be limited to, all contacts with the DRS, IPE related activities may include, contacts with DRS staff including meetings; job interviews, job site orientation, non-emergency medical appointments (scheduled or authorized by DRS)</w:t>
      </w:r>
      <w:r>
        <w:rPr>
          <w:spacing w:val="-3"/>
          <w:sz w:val="24"/>
        </w:rPr>
        <w:t> </w:t>
      </w:r>
      <w:r>
        <w:rPr>
          <w:sz w:val="24"/>
        </w:rPr>
        <w:t>and</w:t>
      </w:r>
      <w:r>
        <w:rPr>
          <w:spacing w:val="-3"/>
          <w:sz w:val="24"/>
        </w:rPr>
        <w:t> </w:t>
      </w:r>
      <w:r>
        <w:rPr>
          <w:sz w:val="24"/>
        </w:rPr>
        <w:t>community</w:t>
      </w:r>
      <w:r>
        <w:rPr>
          <w:spacing w:val="-5"/>
          <w:sz w:val="24"/>
        </w:rPr>
        <w:t> </w:t>
      </w:r>
      <w:r>
        <w:rPr>
          <w:sz w:val="24"/>
        </w:rPr>
        <w:t>events</w:t>
      </w:r>
      <w:r>
        <w:rPr>
          <w:spacing w:val="-4"/>
          <w:sz w:val="24"/>
        </w:rPr>
        <w:t> </w:t>
      </w:r>
      <w:r>
        <w:rPr>
          <w:sz w:val="24"/>
        </w:rPr>
        <w:t>pertaining</w:t>
      </w:r>
      <w:r>
        <w:rPr>
          <w:spacing w:val="-4"/>
          <w:sz w:val="24"/>
        </w:rPr>
        <w:t> </w:t>
      </w:r>
      <w:r>
        <w:rPr>
          <w:sz w:val="24"/>
        </w:rPr>
        <w:t>to</w:t>
      </w:r>
      <w:r>
        <w:rPr>
          <w:spacing w:val="-4"/>
          <w:sz w:val="24"/>
        </w:rPr>
        <w:t> </w:t>
      </w:r>
      <w:r>
        <w:rPr>
          <w:sz w:val="24"/>
        </w:rPr>
        <w:t>the</w:t>
      </w:r>
      <w:r>
        <w:rPr>
          <w:spacing w:val="-4"/>
          <w:sz w:val="24"/>
        </w:rPr>
        <w:t> </w:t>
      </w:r>
      <w:r>
        <w:rPr>
          <w:sz w:val="24"/>
        </w:rPr>
        <w:t>client's</w:t>
      </w:r>
      <w:r>
        <w:rPr>
          <w:spacing w:val="-4"/>
          <w:sz w:val="24"/>
        </w:rPr>
        <w:t> </w:t>
      </w:r>
      <w:r>
        <w:rPr>
          <w:sz w:val="24"/>
        </w:rPr>
        <w:t>vocational</w:t>
      </w:r>
      <w:r>
        <w:rPr>
          <w:spacing w:val="-4"/>
          <w:sz w:val="24"/>
        </w:rPr>
        <w:t> </w:t>
      </w:r>
      <w:r>
        <w:rPr>
          <w:sz w:val="24"/>
        </w:rPr>
        <w:t>goal,</w:t>
      </w:r>
      <w:r>
        <w:rPr>
          <w:spacing w:val="-3"/>
          <w:sz w:val="24"/>
        </w:rPr>
        <w:t> </w:t>
      </w:r>
      <w:r>
        <w:rPr>
          <w:sz w:val="24"/>
        </w:rPr>
        <w:t>such</w:t>
      </w:r>
      <w:r>
        <w:rPr>
          <w:spacing w:val="-4"/>
          <w:sz w:val="24"/>
        </w:rPr>
        <w:t> </w:t>
      </w:r>
      <w:r>
        <w:rPr>
          <w:sz w:val="24"/>
        </w:rPr>
        <w:t>as</w:t>
      </w:r>
      <w:r>
        <w:rPr>
          <w:spacing w:val="-4"/>
          <w:sz w:val="24"/>
        </w:rPr>
        <w:t> </w:t>
      </w:r>
      <w:r>
        <w:rPr>
          <w:sz w:val="24"/>
        </w:rPr>
        <w:t>job</w:t>
      </w:r>
      <w:r>
        <w:rPr>
          <w:spacing w:val="-4"/>
          <w:sz w:val="24"/>
        </w:rPr>
        <w:t> </w:t>
      </w:r>
      <w:r>
        <w:rPr>
          <w:sz w:val="24"/>
        </w:rPr>
        <w:t>fairs, networking events, community-based training, filling out job applications or other paperwork. Services may include driving client to the IPE related activity and home again, reading client's mail and transmitting it in a mode that is accessible to the client. DRS should not be involved in payment for SSP services that are arranged without agency knowledge, or are used for purposes not directly connected with the client's DRS</w:t>
      </w:r>
      <w:r>
        <w:rPr>
          <w:spacing w:val="-3"/>
          <w:sz w:val="24"/>
        </w:rPr>
        <w:t> </w:t>
      </w:r>
      <w:r>
        <w:rPr>
          <w:sz w:val="24"/>
        </w:rPr>
        <w:t>case</w:t>
      </w:r>
      <w:r>
        <w:rPr>
          <w:spacing w:val="-3"/>
          <w:sz w:val="24"/>
        </w:rPr>
        <w:t> </w:t>
      </w:r>
      <w:r>
        <w:rPr>
          <w:sz w:val="24"/>
        </w:rPr>
        <w:t>including</w:t>
      </w:r>
      <w:r>
        <w:rPr>
          <w:spacing w:val="-3"/>
          <w:sz w:val="24"/>
        </w:rPr>
        <w:t> </w:t>
      </w:r>
      <w:r>
        <w:rPr>
          <w:sz w:val="24"/>
        </w:rPr>
        <w:t>assessment</w:t>
      </w:r>
      <w:r>
        <w:rPr>
          <w:spacing w:val="-2"/>
          <w:sz w:val="24"/>
        </w:rPr>
        <w:t> </w:t>
      </w:r>
      <w:r>
        <w:rPr>
          <w:sz w:val="24"/>
        </w:rPr>
        <w:t>for</w:t>
      </w:r>
      <w:r>
        <w:rPr>
          <w:spacing w:val="-2"/>
          <w:sz w:val="24"/>
        </w:rPr>
        <w:t> </w:t>
      </w:r>
      <w:r>
        <w:rPr>
          <w:sz w:val="24"/>
        </w:rPr>
        <w:t>eligibility</w:t>
      </w:r>
      <w:r>
        <w:rPr>
          <w:spacing w:val="-3"/>
          <w:sz w:val="24"/>
        </w:rPr>
        <w:t> </w:t>
      </w:r>
      <w:r>
        <w:rPr>
          <w:sz w:val="24"/>
        </w:rPr>
        <w:t>determination,</w:t>
      </w:r>
      <w:r>
        <w:rPr>
          <w:spacing w:val="-2"/>
          <w:sz w:val="24"/>
        </w:rPr>
        <w:t> </w:t>
      </w:r>
      <w:r>
        <w:rPr>
          <w:sz w:val="24"/>
        </w:rPr>
        <w:t>IPE-connected</w:t>
      </w:r>
      <w:r>
        <w:rPr>
          <w:spacing w:val="-3"/>
          <w:sz w:val="24"/>
        </w:rPr>
        <w:t> </w:t>
      </w:r>
      <w:r>
        <w:rPr>
          <w:sz w:val="24"/>
        </w:rPr>
        <w:t>services</w:t>
      </w:r>
      <w:r>
        <w:rPr>
          <w:spacing w:val="-3"/>
          <w:sz w:val="24"/>
        </w:rPr>
        <w:t> </w:t>
      </w:r>
      <w:r>
        <w:rPr>
          <w:sz w:val="24"/>
        </w:rPr>
        <w:t>or job readiness or placement activities.</w:t>
      </w:r>
    </w:p>
    <w:p>
      <w:pPr>
        <w:pStyle w:val="BodyText"/>
        <w:spacing w:before="210"/>
        <w:ind w:left="359"/>
      </w:pPr>
      <w:r>
        <w:rPr/>
        <w:t>Instructions</w:t>
      </w:r>
      <w:r>
        <w:rPr>
          <w:spacing w:val="-5"/>
        </w:rPr>
        <w:t> </w:t>
      </w:r>
      <w:r>
        <w:rPr/>
        <w:t>to</w:t>
      </w:r>
      <w:r>
        <w:rPr>
          <w:spacing w:val="-2"/>
        </w:rPr>
        <w:t> </w:t>
      </w:r>
      <w:r>
        <w:rPr>
          <w:spacing w:val="-4"/>
        </w:rPr>
        <w:t>Staff</w:t>
      </w:r>
    </w:p>
    <w:p>
      <w:pPr>
        <w:pStyle w:val="BodyText"/>
        <w:spacing w:line="208" w:lineRule="auto" w:before="233"/>
        <w:ind w:left="359" w:right="775"/>
      </w:pPr>
      <w:r>
        <w:rPr/>
        <w:t>1.</w:t>
      </w:r>
      <w:r>
        <w:rPr>
          <w:spacing w:val="40"/>
        </w:rPr>
        <w:t> </w:t>
      </w:r>
      <w:r>
        <w:rPr/>
        <w:t>Listed</w:t>
      </w:r>
      <w:r>
        <w:rPr>
          <w:spacing w:val="-3"/>
        </w:rPr>
        <w:t> </w:t>
      </w:r>
      <w:r>
        <w:rPr/>
        <w:t>below</w:t>
      </w:r>
      <w:r>
        <w:rPr>
          <w:spacing w:val="-3"/>
        </w:rPr>
        <w:t> </w:t>
      </w:r>
      <w:r>
        <w:rPr/>
        <w:t>are</w:t>
      </w:r>
      <w:r>
        <w:rPr>
          <w:spacing w:val="-3"/>
        </w:rPr>
        <w:t> </w:t>
      </w:r>
      <w:r>
        <w:rPr/>
        <w:t>some</w:t>
      </w:r>
      <w:r>
        <w:rPr>
          <w:spacing w:val="-3"/>
        </w:rPr>
        <w:t> </w:t>
      </w:r>
      <w:r>
        <w:rPr/>
        <w:t>services</w:t>
      </w:r>
      <w:r>
        <w:rPr>
          <w:spacing w:val="-3"/>
        </w:rPr>
        <w:t> </w:t>
      </w:r>
      <w:r>
        <w:rPr/>
        <w:t>beneficial</w:t>
      </w:r>
      <w:r>
        <w:rPr>
          <w:spacing w:val="-2"/>
        </w:rPr>
        <w:t> </w:t>
      </w:r>
      <w:r>
        <w:rPr/>
        <w:t>to</w:t>
      </w:r>
      <w:r>
        <w:rPr>
          <w:spacing w:val="-4"/>
        </w:rPr>
        <w:t> </w:t>
      </w:r>
      <w:r>
        <w:rPr/>
        <w:t>the</w:t>
      </w:r>
      <w:r>
        <w:rPr>
          <w:spacing w:val="-3"/>
        </w:rPr>
        <w:t> </w:t>
      </w:r>
      <w:r>
        <w:rPr/>
        <w:t>individual</w:t>
      </w:r>
      <w:r>
        <w:rPr>
          <w:spacing w:val="-3"/>
        </w:rPr>
        <w:t> </w:t>
      </w:r>
      <w:r>
        <w:rPr/>
        <w:t>who</w:t>
      </w:r>
      <w:r>
        <w:rPr>
          <w:spacing w:val="-3"/>
        </w:rPr>
        <w:t> </w:t>
      </w:r>
      <w:r>
        <w:rPr/>
        <w:t>is</w:t>
      </w:r>
      <w:r>
        <w:rPr>
          <w:spacing w:val="-3"/>
        </w:rPr>
        <w:t> </w:t>
      </w:r>
      <w:r>
        <w:rPr/>
        <w:t>deaf-blind</w:t>
      </w:r>
      <w:r>
        <w:rPr>
          <w:spacing w:val="-3"/>
        </w:rPr>
        <w:t> </w:t>
      </w:r>
      <w:r>
        <w:rPr/>
        <w:t>in developing an IPE:</w:t>
      </w:r>
    </w:p>
    <w:p>
      <w:pPr>
        <w:pStyle w:val="BodyText"/>
        <w:spacing w:line="208" w:lineRule="auto"/>
        <w:ind w:left="719" w:right="775"/>
      </w:pPr>
      <w:r>
        <w:rPr/>
        <w:t>Communicating</w:t>
      </w:r>
      <w:r>
        <w:rPr>
          <w:spacing w:val="-4"/>
        </w:rPr>
        <w:t> </w:t>
      </w:r>
      <w:r>
        <w:rPr/>
        <w:t>with</w:t>
      </w:r>
      <w:r>
        <w:rPr>
          <w:spacing w:val="-4"/>
        </w:rPr>
        <w:t> </w:t>
      </w:r>
      <w:r>
        <w:rPr/>
        <w:t>the</w:t>
      </w:r>
      <w:r>
        <w:rPr>
          <w:spacing w:val="-4"/>
        </w:rPr>
        <w:t> </w:t>
      </w:r>
      <w:r>
        <w:rPr/>
        <w:t>individuals</w:t>
      </w:r>
      <w:r>
        <w:rPr>
          <w:spacing w:val="-4"/>
        </w:rPr>
        <w:t> </w:t>
      </w:r>
      <w:r>
        <w:rPr/>
        <w:t>who</w:t>
      </w:r>
      <w:r>
        <w:rPr>
          <w:spacing w:val="-4"/>
        </w:rPr>
        <w:t> </w:t>
      </w:r>
      <w:r>
        <w:rPr/>
        <w:t>are</w:t>
      </w:r>
      <w:r>
        <w:rPr>
          <w:spacing w:val="-3"/>
        </w:rPr>
        <w:t> </w:t>
      </w:r>
      <w:r>
        <w:rPr/>
        <w:t>deaf-blind</w:t>
      </w:r>
      <w:r>
        <w:rPr>
          <w:spacing w:val="-3"/>
        </w:rPr>
        <w:t> </w:t>
      </w:r>
      <w:r>
        <w:rPr/>
        <w:t>may</w:t>
      </w:r>
      <w:r>
        <w:rPr>
          <w:spacing w:val="-4"/>
        </w:rPr>
        <w:t> </w:t>
      </w:r>
      <w:r>
        <w:rPr/>
        <w:t>be</w:t>
      </w:r>
      <w:r>
        <w:rPr>
          <w:spacing w:val="-4"/>
        </w:rPr>
        <w:t> </w:t>
      </w:r>
      <w:r>
        <w:rPr/>
        <w:t>the</w:t>
      </w:r>
      <w:r>
        <w:rPr>
          <w:spacing w:val="-5"/>
        </w:rPr>
        <w:t> </w:t>
      </w:r>
      <w:r>
        <w:rPr/>
        <w:t>biggest</w:t>
      </w:r>
      <w:r>
        <w:rPr>
          <w:spacing w:val="-3"/>
        </w:rPr>
        <w:t> </w:t>
      </w:r>
      <w:r>
        <w:rPr/>
        <w:t>obstacle in developing a working relationship. Most counselors are not proficient at sign language, and therefore, may wish to utilize interpreters for the deaf, braille, or teletouch.</w:t>
      </w:r>
      <w:r>
        <w:rPr>
          <w:spacing w:val="40"/>
        </w:rPr>
        <w:t> </w:t>
      </w:r>
      <w:r>
        <w:rPr/>
        <w:t>Some individuals who are deaf-blind read braille or large print.</w:t>
      </w:r>
      <w:r>
        <w:rPr>
          <w:spacing w:val="40"/>
        </w:rPr>
        <w:t> </w:t>
      </w:r>
      <w:r>
        <w:rPr/>
        <w:t>Braille transcribing volunteers of the Oklahoma Library for the Blind and Physically Handicapped may also be a resource.</w:t>
      </w:r>
    </w:p>
    <w:p>
      <w:pPr>
        <w:pStyle w:val="BodyText"/>
        <w:spacing w:line="208" w:lineRule="auto" w:before="239"/>
        <w:ind w:left="719" w:right="775"/>
      </w:pPr>
      <w:r>
        <w:rPr/>
        <w:t>Rehabilitation</w:t>
      </w:r>
      <w:r>
        <w:rPr>
          <w:spacing w:val="-4"/>
        </w:rPr>
        <w:t> </w:t>
      </w:r>
      <w:r>
        <w:rPr/>
        <w:t>teachers</w:t>
      </w:r>
      <w:r>
        <w:rPr>
          <w:spacing w:val="-4"/>
        </w:rPr>
        <w:t> </w:t>
      </w:r>
      <w:r>
        <w:rPr/>
        <w:t>are</w:t>
      </w:r>
      <w:r>
        <w:rPr>
          <w:spacing w:val="-4"/>
        </w:rPr>
        <w:t> </w:t>
      </w:r>
      <w:r>
        <w:rPr/>
        <w:t>a</w:t>
      </w:r>
      <w:r>
        <w:rPr>
          <w:spacing w:val="-4"/>
        </w:rPr>
        <w:t> </w:t>
      </w:r>
      <w:r>
        <w:rPr/>
        <w:t>resource</w:t>
      </w:r>
      <w:r>
        <w:rPr>
          <w:spacing w:val="-4"/>
        </w:rPr>
        <w:t> </w:t>
      </w:r>
      <w:r>
        <w:rPr/>
        <w:t>in</w:t>
      </w:r>
      <w:r>
        <w:rPr>
          <w:spacing w:val="-4"/>
        </w:rPr>
        <w:t> </w:t>
      </w:r>
      <w:r>
        <w:rPr/>
        <w:t>working</w:t>
      </w:r>
      <w:r>
        <w:rPr>
          <w:spacing w:val="-4"/>
        </w:rPr>
        <w:t> </w:t>
      </w:r>
      <w:r>
        <w:rPr/>
        <w:t>with</w:t>
      </w:r>
      <w:r>
        <w:rPr>
          <w:spacing w:val="-4"/>
        </w:rPr>
        <w:t> </w:t>
      </w:r>
      <w:r>
        <w:rPr/>
        <w:t>persons</w:t>
      </w:r>
      <w:r>
        <w:rPr>
          <w:spacing w:val="-4"/>
        </w:rPr>
        <w:t> </w:t>
      </w:r>
      <w:r>
        <w:rPr/>
        <w:t>who</w:t>
      </w:r>
      <w:r>
        <w:rPr>
          <w:spacing w:val="-3"/>
        </w:rPr>
        <w:t> </w:t>
      </w:r>
      <w:r>
        <w:rPr/>
        <w:t>are</w:t>
      </w:r>
      <w:r>
        <w:rPr>
          <w:spacing w:val="-4"/>
        </w:rPr>
        <w:t> </w:t>
      </w:r>
      <w:r>
        <w:rPr/>
        <w:t>deaf-blind</w:t>
      </w:r>
      <w:r>
        <w:rPr>
          <w:spacing w:val="-4"/>
        </w:rPr>
        <w:t> </w:t>
      </w:r>
      <w:r>
        <w:rPr/>
        <w:t>in developing a program for more independent living.</w:t>
      </w:r>
    </w:p>
    <w:p>
      <w:pPr>
        <w:pStyle w:val="BodyText"/>
        <w:spacing w:line="208" w:lineRule="auto"/>
        <w:ind w:left="719" w:right="775"/>
      </w:pPr>
      <w:r>
        <w:rPr/>
        <w:t>The Helen Keller National Center for Deaf-Blind Youth and Adults is a national organization</w:t>
      </w:r>
      <w:r>
        <w:rPr>
          <w:spacing w:val="-3"/>
        </w:rPr>
        <w:t> </w:t>
      </w:r>
      <w:r>
        <w:rPr/>
        <w:t>in</w:t>
      </w:r>
      <w:r>
        <w:rPr>
          <w:spacing w:val="-3"/>
        </w:rPr>
        <w:t> </w:t>
      </w:r>
      <w:r>
        <w:rPr/>
        <w:t>Sands</w:t>
      </w:r>
      <w:r>
        <w:rPr>
          <w:spacing w:val="-3"/>
        </w:rPr>
        <w:t> </w:t>
      </w:r>
      <w:r>
        <w:rPr/>
        <w:t>Point,</w:t>
      </w:r>
      <w:r>
        <w:rPr>
          <w:spacing w:val="-3"/>
        </w:rPr>
        <w:t> </w:t>
      </w:r>
      <w:r>
        <w:rPr/>
        <w:t>New</w:t>
      </w:r>
      <w:r>
        <w:rPr>
          <w:spacing w:val="-3"/>
        </w:rPr>
        <w:t> </w:t>
      </w:r>
      <w:r>
        <w:rPr/>
        <w:t>York,</w:t>
      </w:r>
      <w:r>
        <w:rPr>
          <w:spacing w:val="-3"/>
        </w:rPr>
        <w:t> </w:t>
      </w:r>
      <w:r>
        <w:rPr/>
        <w:t>that</w:t>
      </w:r>
      <w:r>
        <w:rPr>
          <w:spacing w:val="-4"/>
        </w:rPr>
        <w:t> </w:t>
      </w:r>
      <w:r>
        <w:rPr/>
        <w:t>has</w:t>
      </w:r>
      <w:r>
        <w:rPr>
          <w:spacing w:val="-3"/>
        </w:rPr>
        <w:t> </w:t>
      </w:r>
      <w:r>
        <w:rPr/>
        <w:t>regional</w:t>
      </w:r>
      <w:r>
        <w:rPr>
          <w:spacing w:val="-3"/>
        </w:rPr>
        <w:t> </w:t>
      </w:r>
      <w:r>
        <w:rPr/>
        <w:t>offices</w:t>
      </w:r>
      <w:r>
        <w:rPr>
          <w:spacing w:val="-3"/>
        </w:rPr>
        <w:t> </w:t>
      </w:r>
      <w:r>
        <w:rPr/>
        <w:t>with</w:t>
      </w:r>
      <w:r>
        <w:rPr>
          <w:spacing w:val="-3"/>
        </w:rPr>
        <w:t> </w:t>
      </w:r>
      <w:r>
        <w:rPr/>
        <w:t>an</w:t>
      </w:r>
      <w:r>
        <w:rPr>
          <w:spacing w:val="-3"/>
        </w:rPr>
        <w:t> </w:t>
      </w:r>
      <w:r>
        <w:rPr/>
        <w:t>office</w:t>
      </w:r>
      <w:r>
        <w:rPr>
          <w:spacing w:val="-3"/>
        </w:rPr>
        <w:t> </w:t>
      </w:r>
      <w:r>
        <w:rPr/>
        <w:t>in Dallas to serve this region. The National Center provides prevocational and</w:t>
      </w:r>
    </w:p>
    <w:p>
      <w:pPr>
        <w:pStyle w:val="BodyText"/>
        <w:spacing w:after="0" w:line="208" w:lineRule="auto"/>
        <w:sectPr>
          <w:pgSz w:w="12240" w:h="15840"/>
          <w:pgMar w:top="1340" w:bottom="280" w:left="1080" w:right="720"/>
        </w:sectPr>
      </w:pPr>
    </w:p>
    <w:p>
      <w:pPr>
        <w:pStyle w:val="BodyText"/>
        <w:spacing w:line="208" w:lineRule="auto" w:before="96"/>
        <w:ind w:left="720" w:right="775"/>
      </w:pPr>
      <w:r>
        <w:rPr/>
        <w:t>vocational</w:t>
      </w:r>
      <w:r>
        <w:rPr>
          <w:spacing w:val="-4"/>
        </w:rPr>
        <w:t> </w:t>
      </w:r>
      <w:r>
        <w:rPr/>
        <w:t>training.</w:t>
      </w:r>
      <w:r>
        <w:rPr>
          <w:spacing w:val="40"/>
        </w:rPr>
        <w:t> </w:t>
      </w:r>
      <w:r>
        <w:rPr/>
        <w:t>Field</w:t>
      </w:r>
      <w:r>
        <w:rPr>
          <w:spacing w:val="-4"/>
        </w:rPr>
        <w:t> </w:t>
      </w:r>
      <w:r>
        <w:rPr/>
        <w:t>representatives</w:t>
      </w:r>
      <w:r>
        <w:rPr>
          <w:spacing w:val="-4"/>
        </w:rPr>
        <w:t> </w:t>
      </w:r>
      <w:r>
        <w:rPr/>
        <w:t>provide</w:t>
      </w:r>
      <w:r>
        <w:rPr>
          <w:spacing w:val="-4"/>
        </w:rPr>
        <w:t> </w:t>
      </w:r>
      <w:r>
        <w:rPr/>
        <w:t>on</w:t>
      </w:r>
      <w:r>
        <w:rPr>
          <w:spacing w:val="-4"/>
        </w:rPr>
        <w:t> </w:t>
      </w:r>
      <w:r>
        <w:rPr/>
        <w:t>site</w:t>
      </w:r>
      <w:r>
        <w:rPr>
          <w:spacing w:val="-4"/>
        </w:rPr>
        <w:t> </w:t>
      </w:r>
      <w:r>
        <w:rPr/>
        <w:t>visitations</w:t>
      </w:r>
      <w:r>
        <w:rPr>
          <w:spacing w:val="-4"/>
        </w:rPr>
        <w:t> </w:t>
      </w:r>
      <w:r>
        <w:rPr/>
        <w:t>to</w:t>
      </w:r>
      <w:r>
        <w:rPr>
          <w:spacing w:val="-4"/>
        </w:rPr>
        <w:t> </w:t>
      </w:r>
      <w:r>
        <w:rPr/>
        <w:t>help</w:t>
      </w:r>
      <w:r>
        <w:rPr>
          <w:spacing w:val="-4"/>
        </w:rPr>
        <w:t> </w:t>
      </w:r>
      <w:r>
        <w:rPr/>
        <w:t>the counselor in working with the individuals who are deaf-blind.</w:t>
      </w:r>
    </w:p>
    <w:p>
      <w:pPr>
        <w:pStyle w:val="BodyText"/>
        <w:spacing w:line="208" w:lineRule="auto"/>
        <w:ind w:left="720" w:right="775"/>
      </w:pPr>
      <w:r>
        <w:rPr/>
        <w:t>Lion's World Services for the Blind is a center in Little Rock, Arkansas, which is designed</w:t>
      </w:r>
      <w:r>
        <w:rPr>
          <w:spacing w:val="-4"/>
        </w:rPr>
        <w:t> </w:t>
      </w:r>
      <w:r>
        <w:rPr/>
        <w:t>to</w:t>
      </w:r>
      <w:r>
        <w:rPr>
          <w:spacing w:val="-4"/>
        </w:rPr>
        <w:t> </w:t>
      </w:r>
      <w:r>
        <w:rPr/>
        <w:t>assist</w:t>
      </w:r>
      <w:r>
        <w:rPr>
          <w:spacing w:val="-3"/>
        </w:rPr>
        <w:t> </w:t>
      </w:r>
      <w:r>
        <w:rPr/>
        <w:t>individuals</w:t>
      </w:r>
      <w:r>
        <w:rPr>
          <w:spacing w:val="-4"/>
        </w:rPr>
        <w:t> </w:t>
      </w:r>
      <w:r>
        <w:rPr/>
        <w:t>who</w:t>
      </w:r>
      <w:r>
        <w:rPr>
          <w:spacing w:val="-4"/>
        </w:rPr>
        <w:t> </w:t>
      </w:r>
      <w:r>
        <w:rPr/>
        <w:t>are</w:t>
      </w:r>
      <w:r>
        <w:rPr>
          <w:spacing w:val="-4"/>
        </w:rPr>
        <w:t> </w:t>
      </w:r>
      <w:r>
        <w:rPr/>
        <w:t>blind</w:t>
      </w:r>
      <w:r>
        <w:rPr>
          <w:spacing w:val="-3"/>
        </w:rPr>
        <w:t> </w:t>
      </w:r>
      <w:r>
        <w:rPr/>
        <w:t>or</w:t>
      </w:r>
      <w:r>
        <w:rPr>
          <w:spacing w:val="-3"/>
        </w:rPr>
        <w:t> </w:t>
      </w:r>
      <w:r>
        <w:rPr/>
        <w:t>deaf-blind</w:t>
      </w:r>
      <w:r>
        <w:rPr>
          <w:spacing w:val="-4"/>
        </w:rPr>
        <w:t> </w:t>
      </w:r>
      <w:r>
        <w:rPr/>
        <w:t>in</w:t>
      </w:r>
      <w:r>
        <w:rPr>
          <w:spacing w:val="-4"/>
        </w:rPr>
        <w:t> </w:t>
      </w:r>
      <w:r>
        <w:rPr/>
        <w:t>overcoming</w:t>
      </w:r>
      <w:r>
        <w:rPr>
          <w:spacing w:val="-4"/>
        </w:rPr>
        <w:t> </w:t>
      </w:r>
      <w:r>
        <w:rPr/>
        <w:t>some</w:t>
      </w:r>
      <w:r>
        <w:rPr>
          <w:spacing w:val="-4"/>
        </w:rPr>
        <w:t> </w:t>
      </w:r>
      <w:r>
        <w:rPr/>
        <w:t>of</w:t>
      </w:r>
      <w:r>
        <w:rPr>
          <w:spacing w:val="-4"/>
        </w:rPr>
        <w:t> </w:t>
      </w:r>
      <w:r>
        <w:rPr/>
        <w:t>the limitations imposed by multiple disabilities.</w:t>
      </w:r>
    </w:p>
    <w:p>
      <w:pPr>
        <w:pStyle w:val="BodyText"/>
        <w:spacing w:line="208" w:lineRule="auto" w:before="239"/>
        <w:ind w:left="720" w:right="775"/>
      </w:pPr>
      <w:r>
        <w:rPr/>
        <w:t>The mission of the E. H. Gentry Technical Facility of the Alabama Institute of the Deaf and Blind is to provide vocational evaluation, rehabilitation and adjustment services and vocational training to persons with deaf/blindness. The goal of these comprehensive rehabilitation services is to maximize the individual's potential in reaching</w:t>
      </w:r>
      <w:r>
        <w:rPr>
          <w:spacing w:val="-4"/>
        </w:rPr>
        <w:t> </w:t>
      </w:r>
      <w:r>
        <w:rPr/>
        <w:t>his/her</w:t>
      </w:r>
      <w:r>
        <w:rPr>
          <w:spacing w:val="-4"/>
        </w:rPr>
        <w:t> </w:t>
      </w:r>
      <w:r>
        <w:rPr/>
        <w:t>highest</w:t>
      </w:r>
      <w:r>
        <w:rPr>
          <w:spacing w:val="-4"/>
        </w:rPr>
        <w:t> </w:t>
      </w:r>
      <w:r>
        <w:rPr/>
        <w:t>possible</w:t>
      </w:r>
      <w:r>
        <w:rPr>
          <w:spacing w:val="-4"/>
        </w:rPr>
        <w:t> </w:t>
      </w:r>
      <w:r>
        <w:rPr/>
        <w:t>level</w:t>
      </w:r>
      <w:r>
        <w:rPr>
          <w:spacing w:val="-4"/>
        </w:rPr>
        <w:t> </w:t>
      </w:r>
      <w:r>
        <w:rPr/>
        <w:t>of</w:t>
      </w:r>
      <w:r>
        <w:rPr>
          <w:spacing w:val="-4"/>
        </w:rPr>
        <w:t> </w:t>
      </w:r>
      <w:r>
        <w:rPr/>
        <w:t>independence</w:t>
      </w:r>
      <w:r>
        <w:rPr>
          <w:spacing w:val="-4"/>
        </w:rPr>
        <w:t> </w:t>
      </w:r>
      <w:r>
        <w:rPr/>
        <w:t>in</w:t>
      </w:r>
      <w:r>
        <w:rPr>
          <w:spacing w:val="-4"/>
        </w:rPr>
        <w:t> </w:t>
      </w:r>
      <w:r>
        <w:rPr/>
        <w:t>living,</w:t>
      </w:r>
      <w:r>
        <w:rPr>
          <w:spacing w:val="-4"/>
        </w:rPr>
        <w:t> </w:t>
      </w:r>
      <w:r>
        <w:rPr/>
        <w:t>work,</w:t>
      </w:r>
      <w:r>
        <w:rPr>
          <w:spacing w:val="-4"/>
        </w:rPr>
        <w:t> </w:t>
      </w:r>
      <w:r>
        <w:rPr/>
        <w:t>and</w:t>
      </w:r>
      <w:r>
        <w:rPr>
          <w:spacing w:val="-4"/>
        </w:rPr>
        <w:t> </w:t>
      </w:r>
      <w:r>
        <w:rPr/>
        <w:t>leisure </w:t>
      </w:r>
      <w:r>
        <w:rPr>
          <w:spacing w:val="-2"/>
        </w:rPr>
        <w:t>pursuits.</w:t>
      </w:r>
    </w:p>
    <w:p>
      <w:pPr>
        <w:pStyle w:val="BodyText"/>
        <w:spacing w:line="208" w:lineRule="auto"/>
        <w:ind w:left="720" w:right="775"/>
      </w:pPr>
      <w:r>
        <w:rPr/>
        <w:t>The</w:t>
      </w:r>
      <w:r>
        <w:rPr>
          <w:spacing w:val="-4"/>
        </w:rPr>
        <w:t> </w:t>
      </w:r>
      <w:r>
        <w:rPr/>
        <w:t>Gallaudet</w:t>
      </w:r>
      <w:r>
        <w:rPr>
          <w:spacing w:val="-3"/>
        </w:rPr>
        <w:t> </w:t>
      </w:r>
      <w:r>
        <w:rPr/>
        <w:t>University</w:t>
      </w:r>
      <w:r>
        <w:rPr>
          <w:spacing w:val="-4"/>
        </w:rPr>
        <w:t> </w:t>
      </w:r>
      <w:r>
        <w:rPr/>
        <w:t>is</w:t>
      </w:r>
      <w:r>
        <w:rPr>
          <w:spacing w:val="-4"/>
        </w:rPr>
        <w:t> </w:t>
      </w:r>
      <w:r>
        <w:rPr/>
        <w:t>an</w:t>
      </w:r>
      <w:r>
        <w:rPr>
          <w:spacing w:val="-4"/>
        </w:rPr>
        <w:t> </w:t>
      </w:r>
      <w:r>
        <w:rPr/>
        <w:t>institution</w:t>
      </w:r>
      <w:r>
        <w:rPr>
          <w:spacing w:val="-4"/>
        </w:rPr>
        <w:t> </w:t>
      </w:r>
      <w:r>
        <w:rPr/>
        <w:t>in</w:t>
      </w:r>
      <w:r>
        <w:rPr>
          <w:spacing w:val="-4"/>
        </w:rPr>
        <w:t> </w:t>
      </w:r>
      <w:r>
        <w:rPr/>
        <w:t>Washington,</w:t>
      </w:r>
      <w:r>
        <w:rPr>
          <w:spacing w:val="-3"/>
        </w:rPr>
        <w:t> </w:t>
      </w:r>
      <w:r>
        <w:rPr/>
        <w:t>D.C.</w:t>
      </w:r>
      <w:r>
        <w:rPr>
          <w:spacing w:val="-3"/>
        </w:rPr>
        <w:t> </w:t>
      </w:r>
      <w:r>
        <w:rPr/>
        <w:t>primarily</w:t>
      </w:r>
      <w:r>
        <w:rPr>
          <w:spacing w:val="-4"/>
        </w:rPr>
        <w:t> </w:t>
      </w:r>
      <w:r>
        <w:rPr/>
        <w:t>for</w:t>
      </w:r>
      <w:r>
        <w:rPr>
          <w:spacing w:val="-3"/>
        </w:rPr>
        <w:t> </w:t>
      </w:r>
      <w:r>
        <w:rPr/>
        <w:t>students who are deaf, but may accept college level deaf-blind.</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60" w:right="4436" w:firstLine="1080"/>
        <w:jc w:val="left"/>
        <w:rPr>
          <w:sz w:val="22"/>
        </w:rPr>
      </w:pPr>
      <w:r>
        <w:rPr>
          <w:sz w:val="22"/>
        </w:rPr>
        <w:t>Emergency,</w:t>
      </w:r>
      <w:r>
        <w:rPr>
          <w:spacing w:val="-7"/>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7"/>
          <w:sz w:val="22"/>
        </w:rPr>
        <w:t> </w:t>
      </w:r>
      <w:r>
        <w:rPr>
          <w:sz w:val="22"/>
        </w:rPr>
        <w:t>Title</w:t>
      </w:r>
      <w:r>
        <w:rPr>
          <w:spacing w:val="-7"/>
          <w:sz w:val="22"/>
        </w:rPr>
        <w:t> </w:t>
      </w:r>
      <w:r>
        <w:rPr>
          <w:sz w:val="22"/>
        </w:rPr>
        <w:t>612 </w:t>
      </w:r>
      <w:r>
        <w:rPr>
          <w:spacing w:val="-2"/>
          <w:sz w:val="22"/>
        </w:rPr>
        <w:t>7-1-94</w:t>
      </w:r>
      <w:r>
        <w:rPr>
          <w:sz w:val="22"/>
        </w:rPr>
        <w:tab/>
        <w:t>PT Memo #94-1</w:t>
      </w:r>
    </w:p>
    <w:p>
      <w:pPr>
        <w:tabs>
          <w:tab w:pos="1439" w:val="left" w:leader="none"/>
        </w:tabs>
        <w:spacing w:before="0"/>
        <w:ind w:left="360" w:right="4472" w:firstLine="108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7"/>
          <w:sz w:val="22"/>
        </w:rPr>
        <w:t> </w:t>
      </w:r>
      <w:r>
        <w:rPr>
          <w:sz w:val="22"/>
        </w:rPr>
        <w:t>612 </w:t>
      </w:r>
      <w:r>
        <w:rPr>
          <w:spacing w:val="-2"/>
          <w:sz w:val="22"/>
        </w:rPr>
        <w:t>10-1-97</w:t>
      </w:r>
      <w:r>
        <w:rPr>
          <w:sz w:val="22"/>
        </w:rPr>
        <w:tab/>
        <w:t>PT Memo #98-4</w:t>
      </w:r>
    </w:p>
    <w:p>
      <w:pPr>
        <w:spacing w:before="0"/>
        <w:ind w:left="1439" w:right="1036" w:firstLine="0"/>
        <w:jc w:val="left"/>
        <w:rPr>
          <w:sz w:val="22"/>
        </w:rPr>
      </w:pPr>
      <w:r>
        <w:rPr>
          <w:sz w:val="22"/>
        </w:rPr>
        <w:t>Emergency, 'competitive or sheltered workshop employment' changed to 'competitive</w:t>
      </w:r>
      <w:r>
        <w:rPr>
          <w:spacing w:val="-5"/>
          <w:sz w:val="22"/>
        </w:rPr>
        <w:t> </w:t>
      </w:r>
      <w:r>
        <w:rPr>
          <w:sz w:val="22"/>
        </w:rPr>
        <w:t>or</w:t>
      </w:r>
      <w:r>
        <w:rPr>
          <w:spacing w:val="-4"/>
          <w:sz w:val="22"/>
        </w:rPr>
        <w:t> </w:t>
      </w:r>
      <w:r>
        <w:rPr>
          <w:sz w:val="22"/>
        </w:rPr>
        <w:t>extended</w:t>
      </w:r>
      <w:r>
        <w:rPr>
          <w:spacing w:val="-5"/>
          <w:sz w:val="22"/>
        </w:rPr>
        <w:t> </w:t>
      </w:r>
      <w:r>
        <w:rPr>
          <w:sz w:val="22"/>
        </w:rPr>
        <w:t>employment'</w:t>
      </w:r>
      <w:r>
        <w:rPr>
          <w:spacing w:val="-4"/>
          <w:sz w:val="22"/>
        </w:rPr>
        <w:t> </w:t>
      </w:r>
      <w:r>
        <w:rPr>
          <w:sz w:val="22"/>
        </w:rPr>
        <w:t>to</w:t>
      </w:r>
      <w:r>
        <w:rPr>
          <w:spacing w:val="-4"/>
          <w:sz w:val="22"/>
        </w:rPr>
        <w:t> </w:t>
      </w:r>
      <w:r>
        <w:rPr>
          <w:sz w:val="22"/>
        </w:rPr>
        <w:t>conform</w:t>
      </w:r>
      <w:r>
        <w:rPr>
          <w:spacing w:val="-5"/>
          <w:sz w:val="22"/>
        </w:rPr>
        <w:t> </w:t>
      </w:r>
      <w:r>
        <w:rPr>
          <w:sz w:val="22"/>
        </w:rPr>
        <w:t>with</w:t>
      </w:r>
      <w:r>
        <w:rPr>
          <w:spacing w:val="-4"/>
          <w:sz w:val="22"/>
        </w:rPr>
        <w:t> </w:t>
      </w:r>
      <w:r>
        <w:rPr>
          <w:sz w:val="22"/>
        </w:rPr>
        <w:t>new</w:t>
      </w:r>
      <w:r>
        <w:rPr>
          <w:spacing w:val="-5"/>
          <w:sz w:val="22"/>
        </w:rPr>
        <w:t> </w:t>
      </w:r>
      <w:r>
        <w:rPr>
          <w:sz w:val="22"/>
        </w:rPr>
        <w:t>RSA</w:t>
      </w:r>
      <w:r>
        <w:rPr>
          <w:spacing w:val="-4"/>
          <w:sz w:val="22"/>
        </w:rPr>
        <w:t> </w:t>
      </w:r>
      <w:r>
        <w:rPr>
          <w:sz w:val="22"/>
        </w:rPr>
        <w:t>regulations</w:t>
      </w:r>
    </w:p>
    <w:p>
      <w:pPr>
        <w:pStyle w:val="ListParagraph"/>
        <w:numPr>
          <w:ilvl w:val="2"/>
          <w:numId w:val="183"/>
        </w:numPr>
        <w:tabs>
          <w:tab w:pos="1439" w:val="left" w:leader="none"/>
        </w:tabs>
        <w:spacing w:line="252"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#98-</w:t>
      </w:r>
      <w:r>
        <w:rPr>
          <w:spacing w:val="-5"/>
          <w:sz w:val="22"/>
        </w:rPr>
        <w:t>15</w:t>
      </w:r>
    </w:p>
    <w:p>
      <w:pPr>
        <w:tabs>
          <w:tab w:pos="1439" w:val="left" w:leader="none"/>
        </w:tabs>
        <w:spacing w:before="0"/>
        <w:ind w:left="360" w:right="6245" w:firstLine="1080"/>
        <w:jc w:val="left"/>
        <w:rPr>
          <w:sz w:val="22"/>
        </w:rPr>
      </w:pPr>
      <w:r>
        <w:rPr>
          <w:sz w:val="22"/>
        </w:rPr>
        <w:t>Permanent,</w:t>
      </w:r>
      <w:r>
        <w:rPr>
          <w:spacing w:val="-16"/>
          <w:sz w:val="22"/>
        </w:rPr>
        <w:t> </w:t>
      </w:r>
      <w:r>
        <w:rPr>
          <w:sz w:val="22"/>
        </w:rPr>
        <w:t>clean-up</w:t>
      </w:r>
      <w:r>
        <w:rPr>
          <w:spacing w:val="-15"/>
          <w:sz w:val="22"/>
        </w:rPr>
        <w:t> </w:t>
      </w:r>
      <w:r>
        <w:rPr>
          <w:sz w:val="22"/>
        </w:rPr>
        <w:t>editing </w:t>
      </w:r>
      <w:r>
        <w:rPr>
          <w:spacing w:val="-2"/>
          <w:sz w:val="22"/>
        </w:rPr>
        <w:t>6-14-99</w:t>
      </w:r>
      <w:r>
        <w:rPr>
          <w:sz w:val="22"/>
        </w:rPr>
        <w:tab/>
        <w:t>POL Memo #99-7</w:t>
      </w:r>
    </w:p>
    <w:p>
      <w:pPr>
        <w:tabs>
          <w:tab w:pos="1439" w:val="left" w:leader="none"/>
        </w:tabs>
        <w:spacing w:before="1"/>
        <w:ind w:left="360" w:right="3519" w:firstLine="1080"/>
        <w:jc w:val="left"/>
        <w:rPr>
          <w:sz w:val="22"/>
        </w:rPr>
      </w:pPr>
      <w:r>
        <w:rPr>
          <w:sz w:val="22"/>
        </w:rPr>
        <w:t>Emergency,</w:t>
      </w:r>
      <w:r>
        <w:rPr>
          <w:spacing w:val="-6"/>
          <w:sz w:val="22"/>
        </w:rPr>
        <w:t> </w:t>
      </w:r>
      <w:r>
        <w:rPr>
          <w:sz w:val="22"/>
        </w:rPr>
        <w:t>VSD</w:t>
      </w:r>
      <w:r>
        <w:rPr>
          <w:spacing w:val="-6"/>
          <w:sz w:val="22"/>
        </w:rPr>
        <w:t> </w:t>
      </w:r>
      <w:r>
        <w:rPr>
          <w:sz w:val="22"/>
        </w:rPr>
        <w:t>changed</w:t>
      </w:r>
      <w:r>
        <w:rPr>
          <w:spacing w:val="-6"/>
          <w:sz w:val="22"/>
        </w:rPr>
        <w:t> </w:t>
      </w:r>
      <w:r>
        <w:rPr>
          <w:sz w:val="22"/>
        </w:rPr>
        <w:t>to</w:t>
      </w:r>
      <w:r>
        <w:rPr>
          <w:spacing w:val="-6"/>
          <w:sz w:val="22"/>
        </w:rPr>
        <w:t> </w:t>
      </w:r>
      <w:r>
        <w:rPr>
          <w:sz w:val="22"/>
        </w:rPr>
        <w:t>Division</w:t>
      </w:r>
      <w:r>
        <w:rPr>
          <w:spacing w:val="-6"/>
          <w:sz w:val="22"/>
        </w:rPr>
        <w:t> </w:t>
      </w:r>
      <w:r>
        <w:rPr>
          <w:sz w:val="22"/>
        </w:rPr>
        <w:t>of</w:t>
      </w:r>
      <w:r>
        <w:rPr>
          <w:spacing w:val="-6"/>
          <w:sz w:val="22"/>
        </w:rPr>
        <w:t> </w:t>
      </w:r>
      <w:r>
        <w:rPr>
          <w:sz w:val="22"/>
        </w:rPr>
        <w:t>Visual</w:t>
      </w:r>
      <w:r>
        <w:rPr>
          <w:spacing w:val="-6"/>
          <w:sz w:val="22"/>
        </w:rPr>
        <w:t> </w:t>
      </w:r>
      <w:r>
        <w:rPr>
          <w:sz w:val="22"/>
        </w:rPr>
        <w:t>Services </w:t>
      </w:r>
      <w:r>
        <w:rPr>
          <w:spacing w:val="-2"/>
          <w:sz w:val="22"/>
        </w:rPr>
        <w:t>7-1-99</w:t>
      </w:r>
      <w:r>
        <w:rPr>
          <w:sz w:val="22"/>
        </w:rPr>
        <w:tab/>
        <w:t>POL Memo #00-1</w:t>
      </w:r>
    </w:p>
    <w:p>
      <w:pPr>
        <w:tabs>
          <w:tab w:pos="1439" w:val="left" w:leader="none"/>
        </w:tabs>
        <w:spacing w:before="0"/>
        <w:ind w:left="360"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7-1-03</w:t>
      </w:r>
      <w:r>
        <w:rPr>
          <w:sz w:val="22"/>
        </w:rPr>
        <w:tab/>
        <w:t>PT Memo #03-07</w:t>
      </w:r>
    </w:p>
    <w:p>
      <w:pPr>
        <w:spacing w:before="0"/>
        <w:ind w:left="1439" w:right="0" w:firstLine="0"/>
        <w:jc w:val="left"/>
        <w:rPr>
          <w:sz w:val="22"/>
        </w:rPr>
      </w:pPr>
      <w:r>
        <w:rPr>
          <w:sz w:val="22"/>
        </w:rPr>
        <w:t>Permanent,</w:t>
      </w:r>
      <w:r>
        <w:rPr>
          <w:spacing w:val="-10"/>
          <w:sz w:val="22"/>
        </w:rPr>
        <w:t> </w:t>
      </w:r>
      <w:r>
        <w:rPr>
          <w:sz w:val="22"/>
        </w:rPr>
        <w:t>updated</w:t>
      </w:r>
      <w:r>
        <w:rPr>
          <w:spacing w:val="-11"/>
          <w:sz w:val="22"/>
        </w:rPr>
        <w:t> </w:t>
      </w:r>
      <w:r>
        <w:rPr>
          <w:spacing w:val="-2"/>
          <w:sz w:val="22"/>
        </w:rPr>
        <w:t>language.</w:t>
      </w:r>
    </w:p>
    <w:p>
      <w:pPr>
        <w:tabs>
          <w:tab w:pos="1439" w:val="left" w:leader="none"/>
        </w:tabs>
        <w:spacing w:before="0"/>
        <w:ind w:left="1439" w:right="854" w:hanging="1080"/>
        <w:jc w:val="left"/>
        <w:rPr>
          <w:sz w:val="22"/>
        </w:rPr>
      </w:pPr>
      <w:r>
        <w:rPr>
          <w:spacing w:val="-2"/>
          <w:sz w:val="22"/>
        </w:rPr>
        <w:t>8-27-15</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to</w:t>
      </w:r>
      <w:r>
        <w:rPr>
          <w:spacing w:val="-4"/>
          <w:sz w:val="22"/>
        </w:rPr>
        <w:t> </w:t>
      </w:r>
      <w:r>
        <w:rPr>
          <w:sz w:val="22"/>
        </w:rPr>
        <w:t>Vocational</w:t>
      </w:r>
      <w:r>
        <w:rPr>
          <w:spacing w:val="-3"/>
          <w:sz w:val="22"/>
        </w:rPr>
        <w:t> </w:t>
      </w:r>
      <w:r>
        <w:rPr>
          <w:sz w:val="22"/>
        </w:rPr>
        <w:t>Rehabilitation</w:t>
      </w:r>
      <w:r>
        <w:rPr>
          <w:spacing w:val="-4"/>
          <w:sz w:val="22"/>
        </w:rPr>
        <w:t> </w:t>
      </w:r>
      <w:r>
        <w:rPr>
          <w:sz w:val="22"/>
        </w:rPr>
        <w:t>for</w:t>
      </w:r>
      <w:r>
        <w:rPr>
          <w:spacing w:val="-3"/>
          <w:sz w:val="22"/>
        </w:rPr>
        <w:t> </w:t>
      </w:r>
      <w:r>
        <w:rPr>
          <w:sz w:val="22"/>
        </w:rPr>
        <w:t>the</w:t>
      </w:r>
      <w:r>
        <w:rPr>
          <w:spacing w:val="-3"/>
          <w:sz w:val="22"/>
        </w:rPr>
        <w:t> </w:t>
      </w:r>
      <w:r>
        <w:rPr>
          <w:sz w:val="22"/>
        </w:rPr>
        <w:t>Blind</w:t>
      </w:r>
      <w:r>
        <w:rPr>
          <w:spacing w:val="-3"/>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tabs>
          <w:tab w:pos="1439" w:val="left" w:leader="none"/>
        </w:tabs>
        <w:spacing w:before="0"/>
        <w:ind w:left="360" w:right="0" w:firstLine="0"/>
        <w:jc w:val="left"/>
        <w:rPr>
          <w:sz w:val="22"/>
        </w:rPr>
      </w:pPr>
      <w:r>
        <w:rPr>
          <w:spacing w:val="-2"/>
          <w:sz w:val="22"/>
        </w:rPr>
        <w:t>9-11-</w:t>
      </w:r>
      <w:r>
        <w:rPr>
          <w:spacing w:val="-5"/>
          <w:sz w:val="22"/>
        </w:rPr>
        <w:t>22</w:t>
      </w:r>
      <w:r>
        <w:rPr>
          <w:sz w:val="22"/>
        </w:rPr>
        <w:tab/>
        <w:t>Added</w:t>
      </w:r>
      <w:r>
        <w:rPr>
          <w:spacing w:val="-8"/>
          <w:sz w:val="22"/>
        </w:rPr>
        <w:t> </w:t>
      </w:r>
      <w:r>
        <w:rPr>
          <w:sz w:val="22"/>
        </w:rPr>
        <w:t>section</w:t>
      </w:r>
      <w:r>
        <w:rPr>
          <w:spacing w:val="-7"/>
          <w:sz w:val="22"/>
        </w:rPr>
        <w:t> </w:t>
      </w:r>
      <w:r>
        <w:rPr>
          <w:sz w:val="22"/>
        </w:rPr>
        <w:t>(c)</w:t>
      </w:r>
      <w:r>
        <w:rPr>
          <w:spacing w:val="-7"/>
          <w:sz w:val="22"/>
        </w:rPr>
        <w:t> </w:t>
      </w:r>
      <w:r>
        <w:rPr>
          <w:sz w:val="22"/>
        </w:rPr>
        <w:t>Support</w:t>
      </w:r>
      <w:r>
        <w:rPr>
          <w:spacing w:val="-7"/>
          <w:sz w:val="22"/>
        </w:rPr>
        <w:t> </w:t>
      </w:r>
      <w:r>
        <w:rPr>
          <w:sz w:val="22"/>
        </w:rPr>
        <w:t>Service</w:t>
      </w:r>
      <w:r>
        <w:rPr>
          <w:spacing w:val="-7"/>
          <w:sz w:val="22"/>
        </w:rPr>
        <w:t> </w:t>
      </w:r>
      <w:r>
        <w:rPr>
          <w:spacing w:val="-2"/>
          <w:sz w:val="22"/>
        </w:rPr>
        <w:t>Providers.</w:t>
      </w:r>
    </w:p>
    <w:p>
      <w:pPr>
        <w:spacing w:after="0"/>
        <w:jc w:val="left"/>
        <w:rPr>
          <w:sz w:val="22"/>
        </w:rPr>
        <w:sectPr>
          <w:pgSz w:w="12240" w:h="15840"/>
          <w:pgMar w:top="1340" w:bottom="280" w:left="1080" w:right="720"/>
        </w:sectPr>
      </w:pPr>
    </w:p>
    <w:p>
      <w:pPr>
        <w:pStyle w:val="Heading2"/>
        <w:spacing w:line="208" w:lineRule="auto" w:before="96"/>
        <w:ind w:right="775"/>
      </w:pPr>
      <w:bookmarkStart w:name="612:10-7-206.  Assistive technology serv" w:id="214"/>
      <w:bookmarkEnd w:id="214"/>
      <w:r>
        <w:rPr>
          <w:b w:val="0"/>
        </w:rPr>
      </w:r>
      <w:r>
        <w:rPr/>
        <w:t>612:10-7-206.</w:t>
      </w:r>
      <w:r>
        <w:rPr>
          <w:spacing w:val="40"/>
        </w:rPr>
        <w:t> </w:t>
      </w:r>
      <w:r>
        <w:rPr/>
        <w:t>Assistive</w:t>
      </w:r>
      <w:r>
        <w:rPr>
          <w:spacing w:val="-5"/>
        </w:rPr>
        <w:t> </w:t>
      </w:r>
      <w:r>
        <w:rPr/>
        <w:t>technology</w:t>
      </w:r>
      <w:r>
        <w:rPr>
          <w:spacing w:val="-5"/>
        </w:rPr>
        <w:t> </w:t>
      </w:r>
      <w:r>
        <w:rPr/>
        <w:t>services</w:t>
      </w:r>
      <w:r>
        <w:rPr>
          <w:spacing w:val="-5"/>
        </w:rPr>
        <w:t> </w:t>
      </w:r>
      <w:r>
        <w:rPr/>
        <w:t>for</w:t>
      </w:r>
      <w:r>
        <w:rPr>
          <w:spacing w:val="-5"/>
        </w:rPr>
        <w:t> </w:t>
      </w:r>
      <w:r>
        <w:rPr/>
        <w:t>individuals</w:t>
      </w:r>
      <w:r>
        <w:rPr>
          <w:spacing w:val="-5"/>
        </w:rPr>
        <w:t> </w:t>
      </w:r>
      <w:r>
        <w:rPr/>
        <w:t>with</w:t>
      </w:r>
      <w:r>
        <w:rPr>
          <w:spacing w:val="-5"/>
        </w:rPr>
        <w:t> </w:t>
      </w:r>
      <w:r>
        <w:rPr/>
        <w:t>visual </w:t>
      </w:r>
      <w:r>
        <w:rPr>
          <w:spacing w:val="-2"/>
        </w:rPr>
        <w:t>impairments</w:t>
      </w:r>
    </w:p>
    <w:p>
      <w:pPr>
        <w:pStyle w:val="BodyText"/>
        <w:spacing w:line="208" w:lineRule="auto"/>
        <w:ind w:right="1036" w:firstLine="432"/>
      </w:pPr>
      <w:r>
        <w:rPr/>
        <w:t>The</w:t>
      </w:r>
      <w:r>
        <w:rPr>
          <w:spacing w:val="-4"/>
        </w:rPr>
        <w:t> </w:t>
      </w:r>
      <w:r>
        <w:rPr/>
        <w:t>need</w:t>
      </w:r>
      <w:r>
        <w:rPr>
          <w:spacing w:val="-4"/>
        </w:rPr>
        <w:t> </w:t>
      </w:r>
      <w:r>
        <w:rPr/>
        <w:t>for</w:t>
      </w:r>
      <w:r>
        <w:rPr>
          <w:spacing w:val="-3"/>
        </w:rPr>
        <w:t> </w:t>
      </w:r>
      <w:r>
        <w:rPr/>
        <w:t>assistive</w:t>
      </w:r>
      <w:r>
        <w:rPr>
          <w:spacing w:val="-4"/>
        </w:rPr>
        <w:t> </w:t>
      </w:r>
      <w:r>
        <w:rPr/>
        <w:t>technology</w:t>
      </w:r>
      <w:r>
        <w:rPr>
          <w:spacing w:val="-3"/>
        </w:rPr>
        <w:t> </w:t>
      </w:r>
      <w:r>
        <w:rPr/>
        <w:t>devices</w:t>
      </w:r>
      <w:r>
        <w:rPr>
          <w:spacing w:val="-4"/>
        </w:rPr>
        <w:t> </w:t>
      </w:r>
      <w:r>
        <w:rPr/>
        <w:t>and</w:t>
      </w:r>
      <w:r>
        <w:rPr>
          <w:spacing w:val="-4"/>
        </w:rPr>
        <w:t> </w:t>
      </w:r>
      <w:r>
        <w:rPr/>
        <w:t>services</w:t>
      </w:r>
      <w:r>
        <w:rPr>
          <w:spacing w:val="-4"/>
        </w:rPr>
        <w:t> </w:t>
      </w:r>
      <w:r>
        <w:rPr/>
        <w:t>is</w:t>
      </w:r>
      <w:r>
        <w:rPr>
          <w:spacing w:val="-4"/>
        </w:rPr>
        <w:t> </w:t>
      </w:r>
      <w:r>
        <w:rPr/>
        <w:t>to</w:t>
      </w:r>
      <w:r>
        <w:rPr>
          <w:spacing w:val="-4"/>
        </w:rPr>
        <w:t> </w:t>
      </w:r>
      <w:r>
        <w:rPr/>
        <w:t>be</w:t>
      </w:r>
      <w:r>
        <w:rPr>
          <w:spacing w:val="-4"/>
        </w:rPr>
        <w:t> </w:t>
      </w:r>
      <w:r>
        <w:rPr/>
        <w:t>addressed</w:t>
      </w:r>
      <w:r>
        <w:rPr>
          <w:spacing w:val="-4"/>
        </w:rPr>
        <w:t> </w:t>
      </w:r>
      <w:r>
        <w:rPr/>
        <w:t>in</w:t>
      </w:r>
      <w:r>
        <w:rPr>
          <w:spacing w:val="-4"/>
        </w:rPr>
        <w:t> </w:t>
      </w:r>
      <w:r>
        <w:rPr/>
        <w:t>the client's</w:t>
      </w:r>
      <w:r>
        <w:rPr>
          <w:spacing w:val="-4"/>
        </w:rPr>
        <w:t> </w:t>
      </w:r>
      <w:r>
        <w:rPr/>
        <w:t>Individualized</w:t>
      </w:r>
      <w:r>
        <w:rPr>
          <w:spacing w:val="-3"/>
        </w:rPr>
        <w:t> </w:t>
      </w:r>
      <w:r>
        <w:rPr/>
        <w:t>Plan</w:t>
      </w:r>
      <w:r>
        <w:rPr>
          <w:spacing w:val="-4"/>
        </w:rPr>
        <w:t> </w:t>
      </w:r>
      <w:r>
        <w:rPr/>
        <w:t>for</w:t>
      </w:r>
      <w:r>
        <w:rPr>
          <w:spacing w:val="-3"/>
        </w:rPr>
        <w:t> </w:t>
      </w:r>
      <w:r>
        <w:rPr/>
        <w:t>Employment.</w:t>
      </w:r>
      <w:r>
        <w:rPr>
          <w:spacing w:val="-3"/>
        </w:rPr>
        <w:t> </w:t>
      </w:r>
      <w:r>
        <w:rPr>
          <w:b/>
        </w:rPr>
        <w:t>1</w:t>
      </w:r>
      <w:r>
        <w:rPr>
          <w:b/>
          <w:spacing w:val="-4"/>
        </w:rPr>
        <w:t> </w:t>
      </w:r>
      <w:r>
        <w:rPr/>
        <w:t>Counselors</w:t>
      </w:r>
      <w:r>
        <w:rPr>
          <w:spacing w:val="-4"/>
        </w:rPr>
        <w:t> </w:t>
      </w:r>
      <w:r>
        <w:rPr/>
        <w:t>and</w:t>
      </w:r>
      <w:r>
        <w:rPr>
          <w:spacing w:val="-4"/>
        </w:rPr>
        <w:t> </w:t>
      </w:r>
      <w:r>
        <w:rPr/>
        <w:t>rehabilitation</w:t>
      </w:r>
      <w:r>
        <w:rPr>
          <w:spacing w:val="-4"/>
        </w:rPr>
        <w:t> </w:t>
      </w:r>
      <w:r>
        <w:rPr/>
        <w:t>teachers may refer clients with visual disabilities to the Division of Services for the Blind and Visually Impaired assistive technology laboratory for blindness and low vision which may provide or procure:</w:t>
      </w:r>
    </w:p>
    <w:p>
      <w:pPr>
        <w:pStyle w:val="ListParagraph"/>
        <w:numPr>
          <w:ilvl w:val="0"/>
          <w:numId w:val="232"/>
        </w:numPr>
        <w:tabs>
          <w:tab w:pos="1217" w:val="left" w:leader="none"/>
        </w:tabs>
        <w:spacing w:line="240" w:lineRule="auto" w:before="210" w:after="0"/>
        <w:ind w:left="1217" w:right="0" w:hanging="426"/>
        <w:jc w:val="left"/>
        <w:rPr>
          <w:sz w:val="24"/>
        </w:rPr>
      </w:pPr>
      <w:r>
        <w:rPr>
          <w:sz w:val="24"/>
        </w:rPr>
        <w:t>assistive</w:t>
      </w:r>
      <w:r>
        <w:rPr>
          <w:spacing w:val="-6"/>
          <w:sz w:val="24"/>
        </w:rPr>
        <w:t> </w:t>
      </w:r>
      <w:r>
        <w:rPr>
          <w:sz w:val="24"/>
        </w:rPr>
        <w:t>technology</w:t>
      </w:r>
      <w:r>
        <w:rPr>
          <w:spacing w:val="-5"/>
          <w:sz w:val="24"/>
        </w:rPr>
        <w:t> </w:t>
      </w:r>
      <w:r>
        <w:rPr>
          <w:spacing w:val="-2"/>
          <w:sz w:val="24"/>
        </w:rPr>
        <w:t>evaluations;</w:t>
      </w:r>
    </w:p>
    <w:p>
      <w:pPr>
        <w:pStyle w:val="ListParagraph"/>
        <w:numPr>
          <w:ilvl w:val="0"/>
          <w:numId w:val="232"/>
        </w:numPr>
        <w:tabs>
          <w:tab w:pos="1216" w:val="left" w:leader="none"/>
        </w:tabs>
        <w:spacing w:line="208" w:lineRule="auto" w:before="233" w:after="0"/>
        <w:ind w:left="791" w:right="721" w:firstLine="0"/>
        <w:jc w:val="left"/>
        <w:rPr>
          <w:sz w:val="24"/>
        </w:rPr>
      </w:pPr>
      <w:r>
        <w:rPr>
          <w:sz w:val="24"/>
        </w:rPr>
        <w:t>recommendation</w:t>
      </w:r>
      <w:r>
        <w:rPr>
          <w:spacing w:val="-4"/>
          <w:sz w:val="24"/>
        </w:rPr>
        <w:t> </w:t>
      </w:r>
      <w:r>
        <w:rPr>
          <w:sz w:val="24"/>
        </w:rPr>
        <w:t>of</w:t>
      </w:r>
      <w:r>
        <w:rPr>
          <w:spacing w:val="-4"/>
          <w:sz w:val="24"/>
        </w:rPr>
        <w:t> </w:t>
      </w:r>
      <w:r>
        <w:rPr>
          <w:sz w:val="24"/>
        </w:rPr>
        <w:t>assistive</w:t>
      </w:r>
      <w:r>
        <w:rPr>
          <w:spacing w:val="-5"/>
          <w:sz w:val="24"/>
        </w:rPr>
        <w:t> </w:t>
      </w:r>
      <w:r>
        <w:rPr>
          <w:sz w:val="24"/>
        </w:rPr>
        <w:t>technology</w:t>
      </w:r>
      <w:r>
        <w:rPr>
          <w:spacing w:val="-4"/>
          <w:sz w:val="24"/>
        </w:rPr>
        <w:t> </w:t>
      </w:r>
      <w:r>
        <w:rPr>
          <w:sz w:val="24"/>
        </w:rPr>
        <w:t>devices</w:t>
      </w:r>
      <w:r>
        <w:rPr>
          <w:spacing w:val="-5"/>
          <w:sz w:val="24"/>
        </w:rPr>
        <w:t> </w:t>
      </w:r>
      <w:r>
        <w:rPr>
          <w:sz w:val="24"/>
        </w:rPr>
        <w:t>and</w:t>
      </w:r>
      <w:r>
        <w:rPr>
          <w:spacing w:val="-5"/>
          <w:sz w:val="24"/>
        </w:rPr>
        <w:t> </w:t>
      </w:r>
      <w:r>
        <w:rPr>
          <w:sz w:val="24"/>
        </w:rPr>
        <w:t>services</w:t>
      </w:r>
      <w:r>
        <w:rPr>
          <w:spacing w:val="-5"/>
          <w:sz w:val="24"/>
        </w:rPr>
        <w:t> </w:t>
      </w:r>
      <w:r>
        <w:rPr>
          <w:sz w:val="24"/>
        </w:rPr>
        <w:t>to</w:t>
      </w:r>
      <w:r>
        <w:rPr>
          <w:spacing w:val="-5"/>
          <w:sz w:val="24"/>
        </w:rPr>
        <w:t> </w:t>
      </w:r>
      <w:r>
        <w:rPr>
          <w:sz w:val="24"/>
        </w:rPr>
        <w:t>meet</w:t>
      </w:r>
      <w:r>
        <w:rPr>
          <w:spacing w:val="-4"/>
          <w:sz w:val="24"/>
        </w:rPr>
        <w:t> </w:t>
      </w:r>
      <w:r>
        <w:rPr>
          <w:sz w:val="24"/>
        </w:rPr>
        <w:t>individual </w:t>
      </w:r>
      <w:r>
        <w:rPr>
          <w:spacing w:val="-2"/>
          <w:sz w:val="24"/>
        </w:rPr>
        <w:t>needs;</w:t>
      </w:r>
    </w:p>
    <w:p>
      <w:pPr>
        <w:pStyle w:val="ListParagraph"/>
        <w:numPr>
          <w:ilvl w:val="0"/>
          <w:numId w:val="232"/>
        </w:numPr>
        <w:tabs>
          <w:tab w:pos="1216" w:val="left" w:leader="none"/>
        </w:tabs>
        <w:spacing w:line="208" w:lineRule="auto" w:before="240" w:after="0"/>
        <w:ind w:left="791" w:right="1496" w:firstLine="0"/>
        <w:jc w:val="left"/>
        <w:rPr>
          <w:sz w:val="24"/>
        </w:rPr>
      </w:pPr>
      <w:r>
        <w:rPr>
          <w:sz w:val="24"/>
        </w:rPr>
        <w:t>training</w:t>
      </w:r>
      <w:r>
        <w:rPr>
          <w:spacing w:val="-4"/>
          <w:sz w:val="24"/>
        </w:rPr>
        <w:t> </w:t>
      </w:r>
      <w:r>
        <w:rPr>
          <w:sz w:val="24"/>
        </w:rPr>
        <w:t>in</w:t>
      </w:r>
      <w:r>
        <w:rPr>
          <w:spacing w:val="-4"/>
          <w:sz w:val="24"/>
        </w:rPr>
        <w:t> </w:t>
      </w:r>
      <w:r>
        <w:rPr>
          <w:sz w:val="24"/>
        </w:rPr>
        <w:t>use</w:t>
      </w:r>
      <w:r>
        <w:rPr>
          <w:spacing w:val="-4"/>
          <w:sz w:val="24"/>
        </w:rPr>
        <w:t> </w:t>
      </w:r>
      <w:r>
        <w:rPr>
          <w:sz w:val="24"/>
        </w:rPr>
        <w:t>of</w:t>
      </w:r>
      <w:r>
        <w:rPr>
          <w:spacing w:val="-3"/>
          <w:sz w:val="24"/>
        </w:rPr>
        <w:t> </w:t>
      </w:r>
      <w:r>
        <w:rPr>
          <w:sz w:val="24"/>
        </w:rPr>
        <w:t>technology</w:t>
      </w:r>
      <w:r>
        <w:rPr>
          <w:spacing w:val="-4"/>
          <w:sz w:val="24"/>
        </w:rPr>
        <w:t> </w:t>
      </w:r>
      <w:r>
        <w:rPr>
          <w:sz w:val="24"/>
        </w:rPr>
        <w:t>and</w:t>
      </w:r>
      <w:r>
        <w:rPr>
          <w:spacing w:val="-4"/>
          <w:sz w:val="24"/>
        </w:rPr>
        <w:t> </w:t>
      </w:r>
      <w:r>
        <w:rPr>
          <w:sz w:val="24"/>
        </w:rPr>
        <w:t>devices,</w:t>
      </w:r>
      <w:r>
        <w:rPr>
          <w:spacing w:val="-3"/>
          <w:sz w:val="24"/>
        </w:rPr>
        <w:t> </w:t>
      </w:r>
      <w:r>
        <w:rPr>
          <w:sz w:val="24"/>
        </w:rPr>
        <w:t>referral</w:t>
      </w:r>
      <w:r>
        <w:rPr>
          <w:spacing w:val="-4"/>
          <w:sz w:val="24"/>
        </w:rPr>
        <w:t> </w:t>
      </w:r>
      <w:r>
        <w:rPr>
          <w:sz w:val="24"/>
        </w:rPr>
        <w:t>to</w:t>
      </w:r>
      <w:r>
        <w:rPr>
          <w:spacing w:val="-4"/>
          <w:sz w:val="24"/>
        </w:rPr>
        <w:t> </w:t>
      </w:r>
      <w:r>
        <w:rPr>
          <w:sz w:val="24"/>
        </w:rPr>
        <w:t>training</w:t>
      </w:r>
      <w:r>
        <w:rPr>
          <w:spacing w:val="-4"/>
          <w:sz w:val="24"/>
        </w:rPr>
        <w:t> </w:t>
      </w:r>
      <w:r>
        <w:rPr>
          <w:sz w:val="24"/>
        </w:rPr>
        <w:t>sources</w:t>
      </w:r>
      <w:r>
        <w:rPr>
          <w:spacing w:val="-4"/>
          <w:sz w:val="24"/>
        </w:rPr>
        <w:t> </w:t>
      </w:r>
      <w:r>
        <w:rPr>
          <w:sz w:val="24"/>
        </w:rPr>
        <w:t>and information on training options;</w:t>
      </w:r>
    </w:p>
    <w:p>
      <w:pPr>
        <w:pStyle w:val="ListParagraph"/>
        <w:numPr>
          <w:ilvl w:val="0"/>
          <w:numId w:val="232"/>
        </w:numPr>
        <w:tabs>
          <w:tab w:pos="1217" w:val="left" w:leader="none"/>
        </w:tabs>
        <w:spacing w:line="240" w:lineRule="auto" w:before="211" w:after="0"/>
        <w:ind w:left="1217" w:right="0" w:hanging="426"/>
        <w:jc w:val="left"/>
        <w:rPr>
          <w:sz w:val="24"/>
        </w:rPr>
      </w:pPr>
      <w:r>
        <w:rPr>
          <w:sz w:val="24"/>
        </w:rPr>
        <w:t>information</w:t>
      </w:r>
      <w:r>
        <w:rPr>
          <w:spacing w:val="-6"/>
          <w:sz w:val="24"/>
        </w:rPr>
        <w:t> </w:t>
      </w:r>
      <w:r>
        <w:rPr>
          <w:sz w:val="24"/>
        </w:rPr>
        <w:t>on</w:t>
      </w:r>
      <w:r>
        <w:rPr>
          <w:spacing w:val="-4"/>
          <w:sz w:val="24"/>
        </w:rPr>
        <w:t> </w:t>
      </w:r>
      <w:r>
        <w:rPr>
          <w:sz w:val="24"/>
        </w:rPr>
        <w:t>technologies</w:t>
      </w:r>
      <w:r>
        <w:rPr>
          <w:spacing w:val="-4"/>
          <w:sz w:val="24"/>
        </w:rPr>
        <w:t> </w:t>
      </w:r>
      <w:r>
        <w:rPr>
          <w:sz w:val="24"/>
        </w:rPr>
        <w:t>and</w:t>
      </w:r>
      <w:r>
        <w:rPr>
          <w:spacing w:val="-4"/>
          <w:sz w:val="24"/>
        </w:rPr>
        <w:t> </w:t>
      </w:r>
      <w:r>
        <w:rPr>
          <w:sz w:val="24"/>
        </w:rPr>
        <w:t>devices</w:t>
      </w:r>
      <w:r>
        <w:rPr>
          <w:spacing w:val="-3"/>
          <w:sz w:val="24"/>
        </w:rPr>
        <w:t> </w:t>
      </w:r>
      <w:r>
        <w:rPr>
          <w:sz w:val="24"/>
        </w:rPr>
        <w:t>to</w:t>
      </w:r>
      <w:r>
        <w:rPr>
          <w:spacing w:val="-4"/>
          <w:sz w:val="24"/>
        </w:rPr>
        <w:t> </w:t>
      </w:r>
      <w:r>
        <w:rPr>
          <w:sz w:val="24"/>
        </w:rPr>
        <w:t>meet</w:t>
      </w:r>
      <w:r>
        <w:rPr>
          <w:spacing w:val="-3"/>
          <w:sz w:val="24"/>
        </w:rPr>
        <w:t> </w:t>
      </w:r>
      <w:r>
        <w:rPr>
          <w:sz w:val="24"/>
        </w:rPr>
        <w:t>specific</w:t>
      </w:r>
      <w:r>
        <w:rPr>
          <w:spacing w:val="-4"/>
          <w:sz w:val="24"/>
        </w:rPr>
        <w:t> </w:t>
      </w:r>
      <w:r>
        <w:rPr>
          <w:sz w:val="24"/>
        </w:rPr>
        <w:t>individual</w:t>
      </w:r>
      <w:r>
        <w:rPr>
          <w:spacing w:val="-3"/>
          <w:sz w:val="24"/>
        </w:rPr>
        <w:t> </w:t>
      </w:r>
      <w:r>
        <w:rPr>
          <w:spacing w:val="-2"/>
          <w:sz w:val="24"/>
        </w:rPr>
        <w:t>needs;</w:t>
      </w:r>
    </w:p>
    <w:p>
      <w:pPr>
        <w:pStyle w:val="ListParagraph"/>
        <w:numPr>
          <w:ilvl w:val="0"/>
          <w:numId w:val="232"/>
        </w:numPr>
        <w:tabs>
          <w:tab w:pos="1216" w:val="left" w:leader="none"/>
        </w:tabs>
        <w:spacing w:line="208" w:lineRule="auto" w:before="233" w:after="0"/>
        <w:ind w:left="791" w:right="1225" w:firstLine="0"/>
        <w:jc w:val="left"/>
        <w:rPr>
          <w:sz w:val="24"/>
        </w:rPr>
      </w:pPr>
      <w:r>
        <w:rPr>
          <w:sz w:val="24"/>
        </w:rPr>
        <w:t>technical</w:t>
      </w:r>
      <w:r>
        <w:rPr>
          <w:spacing w:val="-5"/>
          <w:sz w:val="24"/>
        </w:rPr>
        <w:t> </w:t>
      </w:r>
      <w:r>
        <w:rPr>
          <w:sz w:val="24"/>
        </w:rPr>
        <w:t>assistance</w:t>
      </w:r>
      <w:r>
        <w:rPr>
          <w:spacing w:val="-5"/>
          <w:sz w:val="24"/>
        </w:rPr>
        <w:t> </w:t>
      </w:r>
      <w:r>
        <w:rPr>
          <w:sz w:val="24"/>
        </w:rPr>
        <w:t>for</w:t>
      </w:r>
      <w:r>
        <w:rPr>
          <w:spacing w:val="-4"/>
          <w:sz w:val="24"/>
        </w:rPr>
        <w:t> </w:t>
      </w:r>
      <w:r>
        <w:rPr>
          <w:sz w:val="24"/>
        </w:rPr>
        <w:t>installation</w:t>
      </w:r>
      <w:r>
        <w:rPr>
          <w:spacing w:val="-5"/>
          <w:sz w:val="24"/>
        </w:rPr>
        <w:t> </w:t>
      </w:r>
      <w:r>
        <w:rPr>
          <w:sz w:val="24"/>
        </w:rPr>
        <w:t>and</w:t>
      </w:r>
      <w:r>
        <w:rPr>
          <w:spacing w:val="-4"/>
          <w:sz w:val="24"/>
        </w:rPr>
        <w:t> </w:t>
      </w:r>
      <w:r>
        <w:rPr>
          <w:sz w:val="24"/>
        </w:rPr>
        <w:t>operation</w:t>
      </w:r>
      <w:r>
        <w:rPr>
          <w:spacing w:val="-5"/>
          <w:sz w:val="24"/>
        </w:rPr>
        <w:t> </w:t>
      </w:r>
      <w:r>
        <w:rPr>
          <w:sz w:val="24"/>
        </w:rPr>
        <w:t>of</w:t>
      </w:r>
      <w:r>
        <w:rPr>
          <w:spacing w:val="-4"/>
          <w:sz w:val="24"/>
        </w:rPr>
        <w:t> </w:t>
      </w:r>
      <w:r>
        <w:rPr>
          <w:sz w:val="24"/>
        </w:rPr>
        <w:t>select</w:t>
      </w:r>
      <w:r>
        <w:rPr>
          <w:spacing w:val="-4"/>
          <w:sz w:val="24"/>
        </w:rPr>
        <w:t> </w:t>
      </w:r>
      <w:r>
        <w:rPr>
          <w:sz w:val="24"/>
        </w:rPr>
        <w:t>applications</w:t>
      </w:r>
      <w:r>
        <w:rPr>
          <w:spacing w:val="-5"/>
          <w:sz w:val="24"/>
        </w:rPr>
        <w:t> </w:t>
      </w:r>
      <w:r>
        <w:rPr>
          <w:sz w:val="24"/>
        </w:rPr>
        <w:t>and devices; and</w:t>
      </w:r>
    </w:p>
    <w:p>
      <w:pPr>
        <w:pStyle w:val="ListParagraph"/>
        <w:numPr>
          <w:ilvl w:val="0"/>
          <w:numId w:val="232"/>
        </w:numPr>
        <w:tabs>
          <w:tab w:pos="1217" w:val="left" w:leader="none"/>
        </w:tabs>
        <w:spacing w:line="208" w:lineRule="auto" w:before="240" w:after="0"/>
        <w:ind w:left="791" w:right="1321" w:firstLine="0"/>
        <w:jc w:val="left"/>
        <w:rPr>
          <w:sz w:val="24"/>
        </w:rPr>
      </w:pPr>
      <w:r>
        <w:rPr>
          <w:sz w:val="24"/>
        </w:rPr>
        <w:t>demonstration</w:t>
      </w:r>
      <w:r>
        <w:rPr>
          <w:spacing w:val="-5"/>
          <w:sz w:val="24"/>
        </w:rPr>
        <w:t> </w:t>
      </w:r>
      <w:r>
        <w:rPr>
          <w:sz w:val="24"/>
        </w:rPr>
        <w:t>and</w:t>
      </w:r>
      <w:r>
        <w:rPr>
          <w:spacing w:val="-5"/>
          <w:sz w:val="24"/>
        </w:rPr>
        <w:t> </w:t>
      </w:r>
      <w:r>
        <w:rPr>
          <w:sz w:val="24"/>
        </w:rPr>
        <w:t>loan</w:t>
      </w:r>
      <w:r>
        <w:rPr>
          <w:spacing w:val="-5"/>
          <w:sz w:val="24"/>
        </w:rPr>
        <w:t> </w:t>
      </w:r>
      <w:r>
        <w:rPr>
          <w:sz w:val="24"/>
        </w:rPr>
        <w:t>of</w:t>
      </w:r>
      <w:r>
        <w:rPr>
          <w:spacing w:val="-4"/>
          <w:sz w:val="24"/>
        </w:rPr>
        <w:t> </w:t>
      </w:r>
      <w:r>
        <w:rPr>
          <w:sz w:val="24"/>
        </w:rPr>
        <w:t>adaptive</w:t>
      </w:r>
      <w:r>
        <w:rPr>
          <w:spacing w:val="-5"/>
          <w:sz w:val="24"/>
        </w:rPr>
        <w:t> </w:t>
      </w:r>
      <w:r>
        <w:rPr>
          <w:sz w:val="24"/>
        </w:rPr>
        <w:t>aids,</w:t>
      </w:r>
      <w:r>
        <w:rPr>
          <w:spacing w:val="-4"/>
          <w:sz w:val="24"/>
        </w:rPr>
        <w:t> </w:t>
      </w:r>
      <w:r>
        <w:rPr>
          <w:sz w:val="24"/>
        </w:rPr>
        <w:t>devices,</w:t>
      </w:r>
      <w:r>
        <w:rPr>
          <w:spacing w:val="-6"/>
          <w:sz w:val="24"/>
        </w:rPr>
        <w:t> </w:t>
      </w:r>
      <w:r>
        <w:rPr>
          <w:sz w:val="24"/>
        </w:rPr>
        <w:t>electronic</w:t>
      </w:r>
      <w:r>
        <w:rPr>
          <w:spacing w:val="-5"/>
          <w:sz w:val="24"/>
        </w:rPr>
        <w:t> </w:t>
      </w:r>
      <w:r>
        <w:rPr>
          <w:sz w:val="24"/>
        </w:rPr>
        <w:t>and</w:t>
      </w:r>
      <w:r>
        <w:rPr>
          <w:spacing w:val="-5"/>
          <w:sz w:val="24"/>
        </w:rPr>
        <w:t> </w:t>
      </w:r>
      <w:r>
        <w:rPr>
          <w:sz w:val="24"/>
        </w:rPr>
        <w:t>computer technologies and other assistive technology products.</w:t>
      </w:r>
    </w:p>
    <w:p>
      <w:pPr>
        <w:pStyle w:val="BodyText"/>
        <w:spacing w:before="210"/>
        <w:ind w:left="359"/>
      </w:pPr>
      <w:r>
        <w:rPr/>
        <w:t>Instructions</w:t>
      </w:r>
      <w:r>
        <w:rPr>
          <w:spacing w:val="-5"/>
        </w:rPr>
        <w:t> </w:t>
      </w:r>
      <w:r>
        <w:rPr/>
        <w:t>to</w:t>
      </w:r>
      <w:r>
        <w:rPr>
          <w:spacing w:val="-2"/>
        </w:rPr>
        <w:t> </w:t>
      </w:r>
      <w:r>
        <w:rPr>
          <w:spacing w:val="-4"/>
        </w:rPr>
        <w:t>Staff</w:t>
      </w:r>
    </w:p>
    <w:p>
      <w:pPr>
        <w:pStyle w:val="BodyText"/>
        <w:spacing w:before="204"/>
        <w:ind w:left="359"/>
      </w:pPr>
      <w:r>
        <w:rPr/>
        <w:t>1.</w:t>
      </w:r>
      <w:r>
        <w:rPr>
          <w:spacing w:val="64"/>
        </w:rPr>
        <w:t> </w:t>
      </w:r>
      <w:r>
        <w:rPr/>
        <w:t>Link</w:t>
      </w:r>
      <w:r>
        <w:rPr>
          <w:spacing w:val="-1"/>
        </w:rPr>
        <w:t> </w:t>
      </w:r>
      <w:r>
        <w:rPr/>
        <w:t>to</w:t>
      </w:r>
      <w:r>
        <w:rPr>
          <w:spacing w:val="-3"/>
        </w:rPr>
        <w:t> </w:t>
      </w:r>
      <w:hyperlink r:id="rId67">
        <w:r>
          <w:rPr>
            <w:color w:val="0000FF"/>
            <w:u w:val="single" w:color="0000FF"/>
          </w:rPr>
          <w:t>34</w:t>
        </w:r>
        <w:r>
          <w:rPr>
            <w:color w:val="0000FF"/>
            <w:spacing w:val="-1"/>
            <w:u w:val="single" w:color="0000FF"/>
          </w:rPr>
          <w:t> </w:t>
        </w:r>
        <w:r>
          <w:rPr>
            <w:color w:val="0000FF"/>
            <w:u w:val="single" w:color="0000FF"/>
          </w:rPr>
          <w:t>CFR</w:t>
        </w:r>
        <w:r>
          <w:rPr>
            <w:color w:val="0000FF"/>
            <w:spacing w:val="-1"/>
            <w:u w:val="single" w:color="0000FF"/>
          </w:rPr>
          <w:t> </w:t>
        </w:r>
        <w:r>
          <w:rPr>
            <w:color w:val="0000FF"/>
            <w:spacing w:val="-2"/>
            <w:u w:val="single" w:color="0000FF"/>
          </w:rPr>
          <w:t>361.46(a)(2)(i)</w:t>
        </w:r>
      </w:hyperlink>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775" w:firstLine="0"/>
        <w:jc w:val="left"/>
        <w:rPr>
          <w:sz w:val="22"/>
        </w:rPr>
      </w:pPr>
      <w:r>
        <w:rPr>
          <w:sz w:val="22"/>
        </w:rPr>
        <w:t>Permanent,</w:t>
      </w:r>
      <w:r>
        <w:rPr>
          <w:spacing w:val="-3"/>
          <w:sz w:val="22"/>
        </w:rPr>
        <w:t> </w:t>
      </w:r>
      <w:r>
        <w:rPr>
          <w:sz w:val="22"/>
        </w:rPr>
        <w:t>first</w:t>
      </w:r>
      <w:r>
        <w:rPr>
          <w:spacing w:val="-4"/>
          <w:sz w:val="22"/>
        </w:rPr>
        <w:t> </w:t>
      </w:r>
      <w:r>
        <w:rPr>
          <w:sz w:val="22"/>
        </w:rPr>
        <w:t>adoption</w:t>
      </w:r>
      <w:r>
        <w:rPr>
          <w:spacing w:val="-4"/>
          <w:sz w:val="22"/>
        </w:rPr>
        <w:t> </w:t>
      </w:r>
      <w:r>
        <w:rPr>
          <w:sz w:val="22"/>
        </w:rPr>
        <w:t>under</w:t>
      </w:r>
      <w:r>
        <w:rPr>
          <w:spacing w:val="-4"/>
          <w:sz w:val="22"/>
        </w:rPr>
        <w:t> </w:t>
      </w:r>
      <w:r>
        <w:rPr>
          <w:sz w:val="22"/>
        </w:rPr>
        <w:t>OAC</w:t>
      </w:r>
      <w:r>
        <w:rPr>
          <w:spacing w:val="-5"/>
          <w:sz w:val="22"/>
        </w:rPr>
        <w:t> </w:t>
      </w:r>
      <w:r>
        <w:rPr>
          <w:sz w:val="22"/>
        </w:rPr>
        <w:t>Title</w:t>
      </w:r>
      <w:r>
        <w:rPr>
          <w:spacing w:val="-4"/>
          <w:sz w:val="22"/>
        </w:rPr>
        <w:t> </w:t>
      </w:r>
      <w:r>
        <w:rPr>
          <w:sz w:val="22"/>
        </w:rPr>
        <w:t>612,</w:t>
      </w:r>
      <w:r>
        <w:rPr>
          <w:spacing w:val="-5"/>
          <w:sz w:val="22"/>
        </w:rPr>
        <w:t> </w:t>
      </w:r>
      <w:r>
        <w:rPr>
          <w:sz w:val="22"/>
        </w:rPr>
        <w:t>agency</w:t>
      </w:r>
      <w:r>
        <w:rPr>
          <w:spacing w:val="-4"/>
          <w:sz w:val="22"/>
        </w:rPr>
        <w:t> </w:t>
      </w:r>
      <w:r>
        <w:rPr>
          <w:sz w:val="22"/>
        </w:rPr>
        <w:t>specialist</w:t>
      </w:r>
      <w:r>
        <w:rPr>
          <w:spacing w:val="-4"/>
          <w:sz w:val="22"/>
        </w:rPr>
        <w:t> </w:t>
      </w:r>
      <w:r>
        <w:rPr>
          <w:sz w:val="22"/>
        </w:rPr>
        <w:t>will</w:t>
      </w:r>
      <w:r>
        <w:rPr>
          <w:spacing w:val="-4"/>
          <w:sz w:val="22"/>
        </w:rPr>
        <w:t> </w:t>
      </w:r>
      <w:r>
        <w:rPr>
          <w:sz w:val="22"/>
        </w:rPr>
        <w:t>contact</w:t>
      </w:r>
      <w:r>
        <w:rPr>
          <w:spacing w:val="-4"/>
          <w:sz w:val="22"/>
        </w:rPr>
        <w:t> </w:t>
      </w:r>
      <w:r>
        <w:rPr>
          <w:sz w:val="22"/>
        </w:rPr>
        <w:t>referral within 30 days, added phone bidding procedures, ITS, who can prescribe these </w:t>
      </w:r>
      <w:r>
        <w:rPr>
          <w:spacing w:val="-2"/>
          <w:sz w:val="22"/>
        </w:rPr>
        <w:t>services</w:t>
      </w:r>
    </w:p>
    <w:p>
      <w:pPr>
        <w:tabs>
          <w:tab w:pos="1439" w:val="left" w:leader="none"/>
        </w:tabs>
        <w:spacing w:line="253" w:lineRule="exact" w:before="0"/>
        <w:ind w:left="359" w:right="0" w:firstLine="0"/>
        <w:jc w:val="left"/>
        <w:rPr>
          <w:sz w:val="22"/>
        </w:rPr>
      </w:pPr>
      <w:r>
        <w:rPr>
          <w:spacing w:val="-2"/>
          <w:sz w:val="22"/>
        </w:rPr>
        <w:t>7-1-</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tabs>
          <w:tab w:pos="1439" w:val="left" w:leader="none"/>
        </w:tabs>
        <w:spacing w:before="0"/>
        <w:ind w:left="359" w:right="3383" w:firstLine="1080"/>
        <w:jc w:val="left"/>
        <w:rPr>
          <w:sz w:val="22"/>
        </w:rPr>
      </w:pPr>
      <w:r>
        <w:rPr>
          <w:sz w:val="22"/>
        </w:rPr>
        <w:t>Permanent,</w:t>
      </w:r>
      <w:r>
        <w:rPr>
          <w:spacing w:val="-5"/>
          <w:sz w:val="22"/>
        </w:rPr>
        <w:t> </w:t>
      </w:r>
      <w:r>
        <w:rPr>
          <w:sz w:val="22"/>
        </w:rPr>
        <w:t>rewrite</w:t>
      </w:r>
      <w:r>
        <w:rPr>
          <w:spacing w:val="-6"/>
          <w:sz w:val="22"/>
        </w:rPr>
        <w:t> </w:t>
      </w:r>
      <w:r>
        <w:rPr>
          <w:sz w:val="22"/>
        </w:rPr>
        <w:t>to</w:t>
      </w:r>
      <w:r>
        <w:rPr>
          <w:spacing w:val="-6"/>
          <w:sz w:val="22"/>
        </w:rPr>
        <w:t> </w:t>
      </w:r>
      <w:r>
        <w:rPr>
          <w:sz w:val="22"/>
        </w:rPr>
        <w:t>make</w:t>
      </w:r>
      <w:r>
        <w:rPr>
          <w:spacing w:val="-6"/>
          <w:sz w:val="22"/>
        </w:rPr>
        <w:t> </w:t>
      </w:r>
      <w:r>
        <w:rPr>
          <w:sz w:val="22"/>
        </w:rPr>
        <w:t>use</w:t>
      </w:r>
      <w:r>
        <w:rPr>
          <w:spacing w:val="-6"/>
          <w:sz w:val="22"/>
        </w:rPr>
        <w:t> </w:t>
      </w:r>
      <w:r>
        <w:rPr>
          <w:sz w:val="22"/>
        </w:rPr>
        <w:t>of</w:t>
      </w:r>
      <w:r>
        <w:rPr>
          <w:spacing w:val="-6"/>
          <w:sz w:val="22"/>
        </w:rPr>
        <w:t> </w:t>
      </w:r>
      <w:r>
        <w:rPr>
          <w:sz w:val="22"/>
        </w:rPr>
        <w:t>terminology</w:t>
      </w:r>
      <w:r>
        <w:rPr>
          <w:spacing w:val="-6"/>
          <w:sz w:val="22"/>
        </w:rPr>
        <w:t> </w:t>
      </w:r>
      <w:r>
        <w:rPr>
          <w:sz w:val="22"/>
        </w:rPr>
        <w:t>consistent </w:t>
      </w:r>
      <w:r>
        <w:rPr>
          <w:spacing w:val="-2"/>
          <w:sz w:val="22"/>
        </w:rPr>
        <w:t>3-1-97</w:t>
      </w:r>
      <w:r>
        <w:rPr>
          <w:sz w:val="22"/>
        </w:rPr>
        <w:tab/>
        <w:t>PT Memo #97-5</w:t>
      </w:r>
    </w:p>
    <w:p>
      <w:pPr>
        <w:tabs>
          <w:tab w:pos="1439" w:val="left" w:leader="none"/>
        </w:tabs>
        <w:spacing w:before="0"/>
        <w:ind w:left="359" w:right="1819" w:firstLine="1080"/>
        <w:jc w:val="left"/>
        <w:rPr>
          <w:sz w:val="22"/>
        </w:rPr>
      </w:pPr>
      <w:r>
        <w:rPr>
          <w:sz w:val="22"/>
        </w:rPr>
        <w:t>Emergency,</w:t>
      </w:r>
      <w:r>
        <w:rPr>
          <w:spacing w:val="-4"/>
          <w:sz w:val="22"/>
        </w:rPr>
        <w:t> </w:t>
      </w:r>
      <w:r>
        <w:rPr>
          <w:sz w:val="22"/>
        </w:rPr>
        <w:t>define</w:t>
      </w:r>
      <w:r>
        <w:rPr>
          <w:spacing w:val="-4"/>
          <w:sz w:val="22"/>
        </w:rPr>
        <w:t> </w:t>
      </w:r>
      <w:r>
        <w:rPr>
          <w:sz w:val="22"/>
        </w:rPr>
        <w:t>who</w:t>
      </w:r>
      <w:r>
        <w:rPr>
          <w:spacing w:val="-4"/>
          <w:sz w:val="22"/>
        </w:rPr>
        <w:t> </w:t>
      </w:r>
      <w:r>
        <w:rPr>
          <w:sz w:val="22"/>
        </w:rPr>
        <w:t>can</w:t>
      </w:r>
      <w:r>
        <w:rPr>
          <w:spacing w:val="-4"/>
          <w:sz w:val="22"/>
        </w:rPr>
        <w:t> </w:t>
      </w:r>
      <w:r>
        <w:rPr>
          <w:sz w:val="22"/>
        </w:rPr>
        <w:t>prescribe</w:t>
      </w:r>
      <w:r>
        <w:rPr>
          <w:spacing w:val="-4"/>
          <w:sz w:val="22"/>
        </w:rPr>
        <w:t> </w:t>
      </w:r>
      <w:r>
        <w:rPr>
          <w:sz w:val="22"/>
        </w:rPr>
        <w:t>and</w:t>
      </w:r>
      <w:r>
        <w:rPr>
          <w:spacing w:val="-4"/>
          <w:sz w:val="22"/>
        </w:rPr>
        <w:t> </w:t>
      </w:r>
      <w:r>
        <w:rPr>
          <w:sz w:val="22"/>
        </w:rPr>
        <w:t>to</w:t>
      </w:r>
      <w:r>
        <w:rPr>
          <w:spacing w:val="-4"/>
          <w:sz w:val="22"/>
        </w:rPr>
        <w:t> </w:t>
      </w:r>
      <w:r>
        <w:rPr>
          <w:sz w:val="22"/>
        </w:rPr>
        <w:t>make</w:t>
      </w:r>
      <w:r>
        <w:rPr>
          <w:spacing w:val="-4"/>
          <w:sz w:val="22"/>
        </w:rPr>
        <w:t> </w:t>
      </w:r>
      <w:r>
        <w:rPr>
          <w:sz w:val="22"/>
        </w:rPr>
        <w:t>conform</w:t>
      </w:r>
      <w:r>
        <w:rPr>
          <w:spacing w:val="-5"/>
          <w:sz w:val="22"/>
        </w:rPr>
        <w:t> </w:t>
      </w:r>
      <w:r>
        <w:rPr>
          <w:sz w:val="22"/>
        </w:rPr>
        <w:t>to</w:t>
      </w:r>
      <w:r>
        <w:rPr>
          <w:spacing w:val="-4"/>
          <w:sz w:val="22"/>
        </w:rPr>
        <w:t> </w:t>
      </w:r>
      <w:r>
        <w:rPr>
          <w:sz w:val="22"/>
        </w:rPr>
        <w:t>612:10-1-7 </w:t>
      </w:r>
      <w:r>
        <w:rPr>
          <w:spacing w:val="-2"/>
          <w:sz w:val="22"/>
        </w:rPr>
        <w:t>7-1-97</w:t>
      </w:r>
      <w:r>
        <w:rPr>
          <w:sz w:val="22"/>
        </w:rPr>
        <w:tab/>
        <w:t>PT Memo #97-9</w:t>
      </w:r>
    </w:p>
    <w:p>
      <w:pPr>
        <w:tabs>
          <w:tab w:pos="1439" w:val="left" w:leader="none"/>
        </w:tabs>
        <w:spacing w:before="1"/>
        <w:ind w:left="359" w:right="3580" w:firstLine="1080"/>
        <w:jc w:val="left"/>
        <w:rPr>
          <w:sz w:val="22"/>
        </w:rPr>
      </w:pPr>
      <w:r>
        <w:rPr>
          <w:sz w:val="22"/>
        </w:rPr>
        <w:t>Permanent,</w:t>
      </w:r>
      <w:r>
        <w:rPr>
          <w:spacing w:val="-7"/>
          <w:sz w:val="22"/>
        </w:rPr>
        <w:t> </w:t>
      </w:r>
      <w:r>
        <w:rPr>
          <w:sz w:val="22"/>
        </w:rPr>
        <w:t>supersedes</w:t>
      </w:r>
      <w:r>
        <w:rPr>
          <w:spacing w:val="-8"/>
          <w:sz w:val="22"/>
        </w:rPr>
        <w:t> </w:t>
      </w:r>
      <w:r>
        <w:rPr>
          <w:sz w:val="22"/>
        </w:rPr>
        <w:t>emergency</w:t>
      </w:r>
      <w:r>
        <w:rPr>
          <w:spacing w:val="-8"/>
          <w:sz w:val="22"/>
        </w:rPr>
        <w:t> </w:t>
      </w:r>
      <w:r>
        <w:rPr>
          <w:sz w:val="22"/>
        </w:rPr>
        <w:t>rules</w:t>
      </w:r>
      <w:r>
        <w:rPr>
          <w:spacing w:val="-8"/>
          <w:sz w:val="22"/>
        </w:rPr>
        <w:t> </w:t>
      </w:r>
      <w:r>
        <w:rPr>
          <w:sz w:val="22"/>
        </w:rPr>
        <w:t>issued</w:t>
      </w:r>
      <w:r>
        <w:rPr>
          <w:spacing w:val="-8"/>
          <w:sz w:val="22"/>
        </w:rPr>
        <w:t> </w:t>
      </w:r>
      <w:r>
        <w:rPr>
          <w:sz w:val="22"/>
        </w:rPr>
        <w:t>3-1-97 </w:t>
      </w:r>
      <w:r>
        <w:rPr>
          <w:spacing w:val="-2"/>
          <w:sz w:val="22"/>
        </w:rPr>
        <w:t>6-14-99</w:t>
      </w:r>
      <w:r>
        <w:rPr>
          <w:sz w:val="22"/>
        </w:rPr>
        <w:tab/>
        <w:t>POL Memo #99-7</w:t>
      </w:r>
    </w:p>
    <w:p>
      <w:pPr>
        <w:spacing w:before="0"/>
        <w:ind w:left="1439" w:right="775" w:firstLine="0"/>
        <w:jc w:val="left"/>
        <w:rPr>
          <w:sz w:val="22"/>
        </w:rPr>
      </w:pPr>
      <w:r>
        <w:rPr>
          <w:sz w:val="22"/>
        </w:rPr>
        <w:t>Emergency,</w:t>
      </w:r>
      <w:r>
        <w:rPr>
          <w:spacing w:val="-4"/>
          <w:sz w:val="22"/>
        </w:rPr>
        <w:t> </w:t>
      </w:r>
      <w:r>
        <w:rPr>
          <w:sz w:val="22"/>
        </w:rPr>
        <w:t>changed</w:t>
      </w:r>
      <w:r>
        <w:rPr>
          <w:spacing w:val="-4"/>
          <w:sz w:val="22"/>
        </w:rPr>
        <w:t> </w:t>
      </w:r>
      <w:r>
        <w:rPr>
          <w:sz w:val="22"/>
        </w:rPr>
        <w:t>IRP</w:t>
      </w:r>
      <w:r>
        <w:rPr>
          <w:spacing w:val="-4"/>
          <w:sz w:val="22"/>
        </w:rPr>
        <w:t> </w:t>
      </w:r>
      <w:r>
        <w:rPr>
          <w:sz w:val="22"/>
        </w:rPr>
        <w:t>to</w:t>
      </w:r>
      <w:r>
        <w:rPr>
          <w:spacing w:val="-4"/>
          <w:sz w:val="22"/>
        </w:rPr>
        <w:t> </w:t>
      </w:r>
      <w:r>
        <w:rPr>
          <w:sz w:val="22"/>
        </w:rPr>
        <w:t>IPE;</w:t>
      </w:r>
      <w:r>
        <w:rPr>
          <w:spacing w:val="-4"/>
          <w:sz w:val="22"/>
        </w:rPr>
        <w:t> </w:t>
      </w:r>
      <w:r>
        <w:rPr>
          <w:sz w:val="22"/>
        </w:rPr>
        <w:t>added</w:t>
      </w:r>
      <w:r>
        <w:rPr>
          <w:spacing w:val="-4"/>
          <w:sz w:val="22"/>
        </w:rPr>
        <w:t> </w:t>
      </w:r>
      <w:r>
        <w:rPr>
          <w:sz w:val="22"/>
        </w:rPr>
        <w:t>that</w:t>
      </w:r>
      <w:r>
        <w:rPr>
          <w:spacing w:val="-4"/>
          <w:sz w:val="22"/>
        </w:rPr>
        <w:t> </w:t>
      </w:r>
      <w:r>
        <w:rPr>
          <w:sz w:val="22"/>
        </w:rPr>
        <w:t>the</w:t>
      </w:r>
      <w:r>
        <w:rPr>
          <w:spacing w:val="-5"/>
          <w:sz w:val="22"/>
        </w:rPr>
        <w:t> </w:t>
      </w:r>
      <w:r>
        <w:rPr>
          <w:sz w:val="22"/>
        </w:rPr>
        <w:t>term</w:t>
      </w:r>
      <w:r>
        <w:rPr>
          <w:spacing w:val="-5"/>
          <w:sz w:val="22"/>
        </w:rPr>
        <w:t> </w:t>
      </w:r>
      <w:r>
        <w:rPr>
          <w:sz w:val="22"/>
        </w:rPr>
        <w:t>rehabilitation</w:t>
      </w:r>
      <w:r>
        <w:rPr>
          <w:spacing w:val="-4"/>
          <w:sz w:val="22"/>
        </w:rPr>
        <w:t> </w:t>
      </w:r>
      <w:r>
        <w:rPr>
          <w:sz w:val="22"/>
        </w:rPr>
        <w:t>technology includes rehabilitation engineering, assistive technology devices and assistive technology services</w:t>
      </w:r>
    </w:p>
    <w:p>
      <w:pPr>
        <w:pStyle w:val="ListParagraph"/>
        <w:numPr>
          <w:ilvl w:val="2"/>
          <w:numId w:val="183"/>
        </w:numPr>
        <w:tabs>
          <w:tab w:pos="1439" w:val="left" w:leader="none"/>
        </w:tabs>
        <w:spacing w:line="253" w:lineRule="exact" w:before="0" w:after="0"/>
        <w:ind w:left="1439" w:right="0" w:hanging="1080"/>
        <w:jc w:val="left"/>
        <w:rPr>
          <w:sz w:val="22"/>
        </w:rPr>
      </w:pPr>
      <w:r>
        <w:rPr>
          <w:sz w:val="22"/>
        </w:rPr>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7-1-03</w:t>
      </w:r>
      <w:r>
        <w:rPr>
          <w:sz w:val="22"/>
        </w:rPr>
        <w:tab/>
        <w:t>PT Memo #03-07</w:t>
      </w:r>
    </w:p>
    <w:p>
      <w:pPr>
        <w:tabs>
          <w:tab w:pos="1439" w:val="left" w:leader="none"/>
        </w:tabs>
        <w:spacing w:before="0"/>
        <w:ind w:left="359" w:right="6038" w:firstLine="1080"/>
        <w:jc w:val="left"/>
        <w:rPr>
          <w:sz w:val="22"/>
        </w:rPr>
      </w:pPr>
      <w:r>
        <w:rPr>
          <w:sz w:val="22"/>
        </w:rPr>
        <w:t>Permanent,</w:t>
      </w:r>
      <w:r>
        <w:rPr>
          <w:spacing w:val="-16"/>
          <w:sz w:val="22"/>
        </w:rPr>
        <w:t> </w:t>
      </w:r>
      <w:r>
        <w:rPr>
          <w:sz w:val="22"/>
        </w:rPr>
        <w:t>updated</w:t>
      </w:r>
      <w:r>
        <w:rPr>
          <w:spacing w:val="-15"/>
          <w:sz w:val="22"/>
        </w:rPr>
        <w:t> </w:t>
      </w:r>
      <w:r>
        <w:rPr>
          <w:sz w:val="22"/>
        </w:rPr>
        <w:t>language </w:t>
      </w:r>
      <w:r>
        <w:rPr>
          <w:spacing w:val="-2"/>
          <w:sz w:val="22"/>
        </w:rPr>
        <w:t>7-1-11</w:t>
      </w:r>
      <w:r>
        <w:rPr>
          <w:sz w:val="22"/>
        </w:rPr>
        <w:tab/>
        <w:t>PT Memo #12-01</w:t>
      </w:r>
    </w:p>
    <w:p>
      <w:pPr>
        <w:spacing w:before="0"/>
        <w:ind w:left="1439" w:right="0" w:firstLine="0"/>
        <w:jc w:val="left"/>
        <w:rPr>
          <w:sz w:val="22"/>
        </w:rPr>
      </w:pPr>
      <w:r>
        <w:rPr>
          <w:sz w:val="22"/>
        </w:rPr>
        <w:t>Permanent,</w:t>
      </w:r>
      <w:r>
        <w:rPr>
          <w:spacing w:val="-10"/>
          <w:sz w:val="22"/>
        </w:rPr>
        <w:t> </w:t>
      </w:r>
      <w:r>
        <w:rPr>
          <w:sz w:val="22"/>
        </w:rPr>
        <w:t>updated</w:t>
      </w:r>
      <w:r>
        <w:rPr>
          <w:spacing w:val="-11"/>
          <w:sz w:val="22"/>
        </w:rPr>
        <w:t> </w:t>
      </w:r>
      <w:r>
        <w:rPr>
          <w:spacing w:val="-2"/>
          <w:sz w:val="22"/>
        </w:rPr>
        <w:t>language</w:t>
      </w:r>
    </w:p>
    <w:p>
      <w:pPr>
        <w:spacing w:after="0"/>
        <w:jc w:val="left"/>
        <w:rPr>
          <w:sz w:val="22"/>
        </w:rPr>
        <w:sectPr>
          <w:pgSz w:w="12240" w:h="15840"/>
          <w:pgMar w:top="1340" w:bottom="280" w:left="1080" w:right="720"/>
        </w:sectPr>
      </w:pPr>
    </w:p>
    <w:p>
      <w:pPr>
        <w:tabs>
          <w:tab w:pos="1439" w:val="left" w:leader="none"/>
        </w:tabs>
        <w:spacing w:before="80"/>
        <w:ind w:left="1439" w:right="86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spacing w:after="0"/>
        <w:jc w:val="left"/>
        <w:rPr>
          <w:sz w:val="22"/>
        </w:rPr>
        <w:sectPr>
          <w:pgSz w:w="12240" w:h="15840"/>
          <w:pgMar w:top="1360" w:bottom="280" w:left="1080" w:right="720"/>
        </w:sectPr>
      </w:pPr>
    </w:p>
    <w:p>
      <w:pPr>
        <w:pStyle w:val="Heading1"/>
        <w:spacing w:line="208" w:lineRule="auto" w:before="96"/>
        <w:ind w:left="4033" w:right="775" w:hanging="3167"/>
        <w:jc w:val="left"/>
      </w:pPr>
      <w:bookmarkStart w:name="PART 21.  PURCHASE OF EQUIPMENT, OCCUPAT" w:id="215"/>
      <w:bookmarkEnd w:id="215"/>
      <w:r>
        <w:rPr>
          <w:b w:val="0"/>
        </w:rPr>
      </w:r>
      <w:r>
        <w:rPr/>
        <w:t>PART</w:t>
      </w:r>
      <w:r>
        <w:rPr>
          <w:spacing w:val="-4"/>
        </w:rPr>
        <w:t> </w:t>
      </w:r>
      <w:r>
        <w:rPr/>
        <w:t>21.</w:t>
      </w:r>
      <w:r>
        <w:rPr>
          <w:spacing w:val="40"/>
        </w:rPr>
        <w:t> </w:t>
      </w:r>
      <w:r>
        <w:rPr/>
        <w:t>PURCHASE</w:t>
      </w:r>
      <w:r>
        <w:rPr>
          <w:spacing w:val="-5"/>
        </w:rPr>
        <w:t> </w:t>
      </w:r>
      <w:r>
        <w:rPr/>
        <w:t>OF</w:t>
      </w:r>
      <w:r>
        <w:rPr>
          <w:spacing w:val="-5"/>
        </w:rPr>
        <w:t> </w:t>
      </w:r>
      <w:r>
        <w:rPr/>
        <w:t>EQUIPMENT,</w:t>
      </w:r>
      <w:r>
        <w:rPr>
          <w:spacing w:val="-4"/>
        </w:rPr>
        <w:t> </w:t>
      </w:r>
      <w:r>
        <w:rPr/>
        <w:t>OCCUPATIONAL</w:t>
      </w:r>
      <w:r>
        <w:rPr>
          <w:spacing w:val="-5"/>
        </w:rPr>
        <w:t> </w:t>
      </w:r>
      <w:r>
        <w:rPr/>
        <w:t>LICENSES</w:t>
      </w:r>
      <w:r>
        <w:rPr>
          <w:spacing w:val="-5"/>
        </w:rPr>
        <w:t> </w:t>
      </w:r>
      <w:r>
        <w:rPr/>
        <w:t>AND </w:t>
      </w:r>
      <w:r>
        <w:rPr>
          <w:spacing w:val="-2"/>
        </w:rPr>
        <w:t>CERTIFICATIONS</w:t>
      </w:r>
    </w:p>
    <w:p>
      <w:pPr>
        <w:pStyle w:val="BodyText"/>
        <w:spacing w:before="210"/>
        <w:ind w:left="359"/>
      </w:pPr>
      <w:r>
        <w:rPr>
          <w:spacing w:val="-2"/>
        </w:rPr>
        <w:t>Section</w:t>
      </w:r>
    </w:p>
    <w:p>
      <w:pPr>
        <w:pStyle w:val="BodyText"/>
        <w:tabs>
          <w:tab w:pos="2519" w:val="left" w:leader="none"/>
        </w:tabs>
        <w:spacing w:line="417" w:lineRule="auto" w:before="204"/>
        <w:ind w:right="1819"/>
      </w:pPr>
      <w:r>
        <w:rPr>
          <w:spacing w:val="-2"/>
        </w:rPr>
        <w:t>612:10-7-216.</w:t>
      </w:r>
      <w:r>
        <w:rPr/>
        <w:tab/>
        <w:t>Tools,</w:t>
      </w:r>
      <w:r>
        <w:rPr>
          <w:spacing w:val="-6"/>
        </w:rPr>
        <w:t> </w:t>
      </w:r>
      <w:r>
        <w:rPr/>
        <w:t>occupational</w:t>
      </w:r>
      <w:r>
        <w:rPr>
          <w:spacing w:val="-7"/>
        </w:rPr>
        <w:t> </w:t>
      </w:r>
      <w:r>
        <w:rPr/>
        <w:t>equipment,</w:t>
      </w:r>
      <w:r>
        <w:rPr>
          <w:spacing w:val="-6"/>
        </w:rPr>
        <w:t> </w:t>
      </w:r>
      <w:r>
        <w:rPr/>
        <w:t>initial</w:t>
      </w:r>
      <w:r>
        <w:rPr>
          <w:spacing w:val="-7"/>
        </w:rPr>
        <w:t> </w:t>
      </w:r>
      <w:r>
        <w:rPr/>
        <w:t>stocks</w:t>
      </w:r>
      <w:r>
        <w:rPr>
          <w:spacing w:val="-7"/>
        </w:rPr>
        <w:t> </w:t>
      </w:r>
      <w:r>
        <w:rPr/>
        <w:t>and</w:t>
      </w:r>
      <w:r>
        <w:rPr>
          <w:spacing w:val="-7"/>
        </w:rPr>
        <w:t> </w:t>
      </w:r>
      <w:r>
        <w:rPr/>
        <w:t>supplies </w:t>
      </w:r>
      <w:r>
        <w:rPr>
          <w:spacing w:val="-2"/>
        </w:rPr>
        <w:t>612:10-7-218.</w:t>
      </w:r>
      <w:r>
        <w:rPr/>
        <w:tab/>
        <w:t>Occupational licenses and certification</w:t>
      </w:r>
    </w:p>
    <w:p>
      <w:pPr>
        <w:pStyle w:val="BodyText"/>
        <w:tabs>
          <w:tab w:pos="2519" w:val="left" w:leader="none"/>
        </w:tabs>
        <w:spacing w:line="417" w:lineRule="auto" w:before="0"/>
        <w:ind w:right="4837"/>
      </w:pPr>
      <w:r>
        <w:rPr>
          <w:spacing w:val="-2"/>
        </w:rPr>
        <w:t>612:10-7-219.</w:t>
      </w:r>
      <w:r>
        <w:rPr/>
        <w:tab/>
        <w:t>Purchase of motor vehicles </w:t>
      </w:r>
      <w:r>
        <w:rPr>
          <w:spacing w:val="-2"/>
        </w:rPr>
        <w:t>612:10-7-220.</w:t>
      </w:r>
      <w:r>
        <w:rPr/>
        <w:tab/>
        <w:t>Vehicle</w:t>
      </w:r>
      <w:r>
        <w:rPr>
          <w:spacing w:val="-17"/>
        </w:rPr>
        <w:t> </w:t>
      </w:r>
      <w:r>
        <w:rPr/>
        <w:t>modification</w:t>
      </w:r>
      <w:r>
        <w:rPr>
          <w:spacing w:val="-17"/>
        </w:rPr>
        <w:t> </w:t>
      </w:r>
      <w:r>
        <w:rPr/>
        <w:t>services </w:t>
      </w:r>
      <w:r>
        <w:rPr>
          <w:spacing w:val="-2"/>
        </w:rPr>
        <w:t>612:10-7-221.</w:t>
      </w:r>
      <w:r>
        <w:rPr/>
        <w:tab/>
        <w:t>Housing Modification</w:t>
      </w:r>
    </w:p>
    <w:p>
      <w:pPr>
        <w:pStyle w:val="BodyText"/>
        <w:tabs>
          <w:tab w:pos="2519" w:val="left" w:leader="none"/>
        </w:tabs>
        <w:spacing w:line="208" w:lineRule="auto" w:before="29"/>
        <w:ind w:left="2520" w:right="1609" w:hanging="2160"/>
      </w:pPr>
      <w:r>
        <w:rPr>
          <w:spacing w:val="-2"/>
        </w:rPr>
        <w:t>612:10-7-222.</w:t>
      </w:r>
      <w:r>
        <w:rPr/>
        <w:tab/>
        <w:t>Rehabilitation</w:t>
      </w:r>
      <w:r>
        <w:rPr>
          <w:spacing w:val="-8"/>
        </w:rPr>
        <w:t> </w:t>
      </w:r>
      <w:r>
        <w:rPr/>
        <w:t>technology,</w:t>
      </w:r>
      <w:r>
        <w:rPr>
          <w:spacing w:val="-8"/>
        </w:rPr>
        <w:t> </w:t>
      </w:r>
      <w:r>
        <w:rPr/>
        <w:t>assistive</w:t>
      </w:r>
      <w:r>
        <w:rPr>
          <w:spacing w:val="-8"/>
        </w:rPr>
        <w:t> </w:t>
      </w:r>
      <w:r>
        <w:rPr/>
        <w:t>technology</w:t>
      </w:r>
      <w:r>
        <w:rPr>
          <w:spacing w:val="-8"/>
        </w:rPr>
        <w:t> </w:t>
      </w:r>
      <w:r>
        <w:rPr/>
        <w:t>devices</w:t>
      </w:r>
      <w:r>
        <w:rPr>
          <w:spacing w:val="-8"/>
        </w:rPr>
        <w:t> </w:t>
      </w:r>
      <w:r>
        <w:rPr/>
        <w:t>and assistive technology services</w:t>
      </w:r>
    </w:p>
    <w:p>
      <w:pPr>
        <w:pStyle w:val="BodyText"/>
        <w:spacing w:after="0" w:line="208" w:lineRule="auto"/>
        <w:sectPr>
          <w:pgSz w:w="12240" w:h="15840"/>
          <w:pgMar w:top="1340" w:bottom="280" w:left="1080" w:right="720"/>
        </w:sectPr>
      </w:pPr>
    </w:p>
    <w:p>
      <w:pPr>
        <w:pStyle w:val="Heading2"/>
      </w:pPr>
      <w:bookmarkStart w:name="612:10-7-216.  Tools, occupational equip" w:id="216"/>
      <w:bookmarkEnd w:id="216"/>
      <w:r>
        <w:rPr>
          <w:b w:val="0"/>
        </w:rPr>
      </w:r>
      <w:bookmarkStart w:name="_bookmark28" w:id="217"/>
      <w:bookmarkEnd w:id="217"/>
      <w:r>
        <w:rPr>
          <w:b w:val="0"/>
        </w:rPr>
      </w:r>
      <w:r>
        <w:rPr/>
        <w:t>612:10-7-216.</w:t>
      </w:r>
      <w:r>
        <w:rPr>
          <w:spacing w:val="57"/>
        </w:rPr>
        <w:t> </w:t>
      </w:r>
      <w:r>
        <w:rPr/>
        <w:t>Tools,</w:t>
      </w:r>
      <w:r>
        <w:rPr>
          <w:spacing w:val="-6"/>
        </w:rPr>
        <w:t> </w:t>
      </w:r>
      <w:r>
        <w:rPr/>
        <w:t>occupational</w:t>
      </w:r>
      <w:r>
        <w:rPr>
          <w:spacing w:val="-3"/>
        </w:rPr>
        <w:t> </w:t>
      </w:r>
      <w:r>
        <w:rPr/>
        <w:t>equipment,</w:t>
      </w:r>
      <w:r>
        <w:rPr>
          <w:spacing w:val="-4"/>
        </w:rPr>
        <w:t> </w:t>
      </w:r>
      <w:r>
        <w:rPr/>
        <w:t>initial</w:t>
      </w:r>
      <w:r>
        <w:rPr>
          <w:spacing w:val="-4"/>
        </w:rPr>
        <w:t> </w:t>
      </w:r>
      <w:r>
        <w:rPr/>
        <w:t>stocks</w:t>
      </w:r>
      <w:r>
        <w:rPr>
          <w:spacing w:val="-4"/>
        </w:rPr>
        <w:t> </w:t>
      </w:r>
      <w:r>
        <w:rPr/>
        <w:t>and</w:t>
      </w:r>
      <w:r>
        <w:rPr>
          <w:spacing w:val="-5"/>
        </w:rPr>
        <w:t> </w:t>
      </w:r>
      <w:r>
        <w:rPr>
          <w:spacing w:val="-2"/>
        </w:rPr>
        <w:t>supplies</w:t>
      </w:r>
    </w:p>
    <w:p>
      <w:pPr>
        <w:pStyle w:val="ListParagraph"/>
        <w:numPr>
          <w:ilvl w:val="0"/>
          <w:numId w:val="233"/>
        </w:numPr>
        <w:tabs>
          <w:tab w:pos="786" w:val="left" w:leader="none"/>
        </w:tabs>
        <w:spacing w:line="208" w:lineRule="auto" w:before="233" w:after="0"/>
        <w:ind w:left="360" w:right="765" w:firstLine="0"/>
        <w:jc w:val="left"/>
        <w:rPr>
          <w:sz w:val="24"/>
        </w:rPr>
      </w:pPr>
      <w:r>
        <w:rPr>
          <w:sz w:val="24"/>
        </w:rPr>
        <w:t>Tools,</w:t>
      </w:r>
      <w:r>
        <w:rPr>
          <w:spacing w:val="-5"/>
          <w:sz w:val="24"/>
        </w:rPr>
        <w:t> </w:t>
      </w:r>
      <w:r>
        <w:rPr>
          <w:sz w:val="24"/>
        </w:rPr>
        <w:t>occupational</w:t>
      </w:r>
      <w:r>
        <w:rPr>
          <w:spacing w:val="-4"/>
          <w:sz w:val="24"/>
        </w:rPr>
        <w:t> </w:t>
      </w:r>
      <w:r>
        <w:rPr>
          <w:sz w:val="24"/>
        </w:rPr>
        <w:t>equipment</w:t>
      </w:r>
      <w:r>
        <w:rPr>
          <w:spacing w:val="-3"/>
          <w:sz w:val="24"/>
        </w:rPr>
        <w:t> </w:t>
      </w:r>
      <w:r>
        <w:rPr>
          <w:sz w:val="24"/>
        </w:rPr>
        <w:t>and</w:t>
      </w:r>
      <w:r>
        <w:rPr>
          <w:spacing w:val="-4"/>
          <w:sz w:val="24"/>
        </w:rPr>
        <w:t> </w:t>
      </w:r>
      <w:r>
        <w:rPr>
          <w:sz w:val="24"/>
        </w:rPr>
        <w:t>supplies</w:t>
      </w:r>
      <w:r>
        <w:rPr>
          <w:spacing w:val="-4"/>
          <w:sz w:val="24"/>
        </w:rPr>
        <w:t> </w:t>
      </w:r>
      <w:r>
        <w:rPr>
          <w:sz w:val="24"/>
        </w:rPr>
        <w:t>will</w:t>
      </w:r>
      <w:r>
        <w:rPr>
          <w:spacing w:val="-4"/>
          <w:sz w:val="24"/>
        </w:rPr>
        <w:t> </w:t>
      </w:r>
      <w:r>
        <w:rPr>
          <w:sz w:val="24"/>
        </w:rPr>
        <w:t>be</w:t>
      </w:r>
      <w:r>
        <w:rPr>
          <w:spacing w:val="-3"/>
          <w:sz w:val="24"/>
        </w:rPr>
        <w:t> </w:t>
      </w:r>
      <w:r>
        <w:rPr>
          <w:sz w:val="24"/>
        </w:rPr>
        <w:t>provided</w:t>
      </w:r>
      <w:r>
        <w:rPr>
          <w:spacing w:val="-4"/>
          <w:sz w:val="24"/>
        </w:rPr>
        <w:t> </w:t>
      </w:r>
      <w:r>
        <w:rPr>
          <w:sz w:val="24"/>
        </w:rPr>
        <w:t>to</w:t>
      </w:r>
      <w:r>
        <w:rPr>
          <w:spacing w:val="-4"/>
          <w:sz w:val="24"/>
        </w:rPr>
        <w:t> </w:t>
      </w:r>
      <w:r>
        <w:rPr>
          <w:sz w:val="24"/>
        </w:rPr>
        <w:t>eligible</w:t>
      </w:r>
      <w:r>
        <w:rPr>
          <w:spacing w:val="-4"/>
          <w:sz w:val="24"/>
        </w:rPr>
        <w:t> </w:t>
      </w:r>
      <w:r>
        <w:rPr>
          <w:sz w:val="24"/>
        </w:rPr>
        <w:t>clients</w:t>
      </w:r>
      <w:r>
        <w:rPr>
          <w:spacing w:val="-4"/>
          <w:sz w:val="24"/>
        </w:rPr>
        <w:t> </w:t>
      </w:r>
      <w:r>
        <w:rPr>
          <w:sz w:val="24"/>
        </w:rPr>
        <w:t>to</w:t>
      </w:r>
      <w:r>
        <w:rPr>
          <w:spacing w:val="-4"/>
          <w:sz w:val="24"/>
        </w:rPr>
        <w:t> </w:t>
      </w:r>
      <w:r>
        <w:rPr>
          <w:sz w:val="24"/>
        </w:rPr>
        <w:t>the extent necessary to achieve their vocational goal providing the client has adequate resources available for the proper maintenance and upkeep of such tools and equipment. The client, or client's family or authorized representative as appropriate, is responsible for</w:t>
      </w:r>
      <w:r>
        <w:rPr>
          <w:spacing w:val="-2"/>
          <w:sz w:val="24"/>
        </w:rPr>
        <w:t> </w:t>
      </w:r>
      <w:r>
        <w:rPr>
          <w:sz w:val="24"/>
        </w:rPr>
        <w:t>maintaining</w:t>
      </w:r>
      <w:r>
        <w:rPr>
          <w:spacing w:val="-1"/>
          <w:sz w:val="24"/>
        </w:rPr>
        <w:t> </w:t>
      </w:r>
      <w:r>
        <w:rPr>
          <w:sz w:val="24"/>
        </w:rPr>
        <w:t>tools, occupational</w:t>
      </w:r>
      <w:r>
        <w:rPr>
          <w:spacing w:val="-1"/>
          <w:sz w:val="24"/>
        </w:rPr>
        <w:t> </w:t>
      </w:r>
      <w:r>
        <w:rPr>
          <w:sz w:val="24"/>
        </w:rPr>
        <w:t>equipment, initial</w:t>
      </w:r>
      <w:r>
        <w:rPr>
          <w:spacing w:val="-1"/>
          <w:sz w:val="24"/>
        </w:rPr>
        <w:t> </w:t>
      </w:r>
      <w:r>
        <w:rPr>
          <w:sz w:val="24"/>
        </w:rPr>
        <w:t>stocks, and</w:t>
      </w:r>
      <w:r>
        <w:rPr>
          <w:spacing w:val="-1"/>
          <w:sz w:val="24"/>
        </w:rPr>
        <w:t> </w:t>
      </w:r>
      <w:r>
        <w:rPr>
          <w:sz w:val="24"/>
        </w:rPr>
        <w:t>supplies</w:t>
      </w:r>
      <w:r>
        <w:rPr>
          <w:spacing w:val="-1"/>
          <w:sz w:val="24"/>
        </w:rPr>
        <w:t> </w:t>
      </w:r>
      <w:r>
        <w:rPr>
          <w:sz w:val="24"/>
        </w:rPr>
        <w:t>in good working order. DVR and DSBVI will not pay for repairs to tools, occupational equipment, initial stocks and supplies purchased with DVR and DSBVI funds once title has been released to the client. DVR and DSBVI will not pay for repairs before title is released when there is clear evidence that the damage resulted from abuse or neglect.</w:t>
      </w:r>
    </w:p>
    <w:p>
      <w:pPr>
        <w:pStyle w:val="ListParagraph"/>
        <w:numPr>
          <w:ilvl w:val="0"/>
          <w:numId w:val="233"/>
        </w:numPr>
        <w:tabs>
          <w:tab w:pos="786" w:val="left" w:leader="none"/>
        </w:tabs>
        <w:spacing w:line="208" w:lineRule="auto" w:before="239" w:after="0"/>
        <w:ind w:left="360" w:right="858" w:firstLine="0"/>
        <w:jc w:val="left"/>
        <w:rPr>
          <w:sz w:val="24"/>
        </w:rPr>
      </w:pPr>
      <w:r>
        <w:rPr>
          <w:sz w:val="24"/>
        </w:rPr>
        <w:t>The client will retain possession and control of articles while engaging in the job or occupation for which articles were provided, or when title is released to client. Occupational</w:t>
      </w:r>
      <w:r>
        <w:rPr>
          <w:spacing w:val="-5"/>
          <w:sz w:val="24"/>
        </w:rPr>
        <w:t> </w:t>
      </w:r>
      <w:r>
        <w:rPr>
          <w:sz w:val="24"/>
        </w:rPr>
        <w:t>tools,</w:t>
      </w:r>
      <w:r>
        <w:rPr>
          <w:spacing w:val="-4"/>
          <w:sz w:val="24"/>
        </w:rPr>
        <w:t> </w:t>
      </w:r>
      <w:r>
        <w:rPr>
          <w:sz w:val="24"/>
        </w:rPr>
        <w:t>occupational</w:t>
      </w:r>
      <w:r>
        <w:rPr>
          <w:spacing w:val="-5"/>
          <w:sz w:val="24"/>
        </w:rPr>
        <w:t> </w:t>
      </w:r>
      <w:r>
        <w:rPr>
          <w:sz w:val="24"/>
        </w:rPr>
        <w:t>equipment,</w:t>
      </w:r>
      <w:r>
        <w:rPr>
          <w:spacing w:val="-3"/>
          <w:sz w:val="24"/>
        </w:rPr>
        <w:t> </w:t>
      </w:r>
      <w:r>
        <w:rPr>
          <w:sz w:val="24"/>
        </w:rPr>
        <w:t>and</w:t>
      </w:r>
      <w:r>
        <w:rPr>
          <w:spacing w:val="-5"/>
          <w:sz w:val="24"/>
        </w:rPr>
        <w:t> </w:t>
      </w:r>
      <w:r>
        <w:rPr>
          <w:sz w:val="24"/>
        </w:rPr>
        <w:t>initial</w:t>
      </w:r>
      <w:r>
        <w:rPr>
          <w:spacing w:val="-5"/>
          <w:sz w:val="24"/>
        </w:rPr>
        <w:t> </w:t>
      </w:r>
      <w:r>
        <w:rPr>
          <w:sz w:val="24"/>
        </w:rPr>
        <w:t>stocks</w:t>
      </w:r>
      <w:r>
        <w:rPr>
          <w:spacing w:val="-5"/>
          <w:sz w:val="24"/>
        </w:rPr>
        <w:t> </w:t>
      </w:r>
      <w:r>
        <w:rPr>
          <w:sz w:val="24"/>
        </w:rPr>
        <w:t>and</w:t>
      </w:r>
      <w:r>
        <w:rPr>
          <w:spacing w:val="-5"/>
          <w:sz w:val="24"/>
        </w:rPr>
        <w:t> </w:t>
      </w:r>
      <w:r>
        <w:rPr>
          <w:sz w:val="24"/>
        </w:rPr>
        <w:t>supplies</w:t>
      </w:r>
      <w:r>
        <w:rPr>
          <w:spacing w:val="-5"/>
          <w:sz w:val="24"/>
        </w:rPr>
        <w:t> </w:t>
      </w:r>
      <w:r>
        <w:rPr>
          <w:sz w:val="24"/>
        </w:rPr>
        <w:t>are</w:t>
      </w:r>
      <w:r>
        <w:rPr>
          <w:spacing w:val="-5"/>
          <w:sz w:val="24"/>
        </w:rPr>
        <w:t> </w:t>
      </w:r>
      <w:r>
        <w:rPr>
          <w:sz w:val="24"/>
        </w:rPr>
        <w:t>defined as follows:</w:t>
      </w:r>
    </w:p>
    <w:p>
      <w:pPr>
        <w:pStyle w:val="ListParagraph"/>
        <w:numPr>
          <w:ilvl w:val="1"/>
          <w:numId w:val="233"/>
        </w:numPr>
        <w:tabs>
          <w:tab w:pos="1216" w:val="left" w:leader="none"/>
        </w:tabs>
        <w:spacing w:line="208" w:lineRule="auto" w:before="240" w:after="0"/>
        <w:ind w:left="791" w:right="865" w:firstLine="0"/>
        <w:jc w:val="left"/>
        <w:rPr>
          <w:sz w:val="24"/>
        </w:rPr>
      </w:pPr>
      <w:r>
        <w:rPr>
          <w:sz w:val="24"/>
        </w:rPr>
        <w:t>Occupational tools are considered to be those minimum tools required for a designated</w:t>
      </w:r>
      <w:r>
        <w:rPr>
          <w:spacing w:val="-3"/>
          <w:sz w:val="24"/>
        </w:rPr>
        <w:t> </w:t>
      </w:r>
      <w:r>
        <w:rPr>
          <w:sz w:val="24"/>
        </w:rPr>
        <w:t>trade,</w:t>
      </w:r>
      <w:r>
        <w:rPr>
          <w:spacing w:val="-3"/>
          <w:sz w:val="24"/>
        </w:rPr>
        <w:t> </w:t>
      </w:r>
      <w:r>
        <w:rPr>
          <w:sz w:val="24"/>
        </w:rPr>
        <w:t>necessary</w:t>
      </w:r>
      <w:r>
        <w:rPr>
          <w:spacing w:val="-4"/>
          <w:sz w:val="24"/>
        </w:rPr>
        <w:t> </w:t>
      </w:r>
      <w:r>
        <w:rPr>
          <w:sz w:val="24"/>
        </w:rPr>
        <w:t>to</w:t>
      </w:r>
      <w:r>
        <w:rPr>
          <w:spacing w:val="-4"/>
          <w:sz w:val="24"/>
        </w:rPr>
        <w:t> </w:t>
      </w:r>
      <w:r>
        <w:rPr>
          <w:sz w:val="24"/>
        </w:rPr>
        <w:t>the</w:t>
      </w:r>
      <w:r>
        <w:rPr>
          <w:spacing w:val="-4"/>
          <w:sz w:val="24"/>
        </w:rPr>
        <w:t> </w:t>
      </w:r>
      <w:r>
        <w:rPr>
          <w:sz w:val="24"/>
        </w:rPr>
        <w:t>employment</w:t>
      </w:r>
      <w:r>
        <w:rPr>
          <w:spacing w:val="-3"/>
          <w:sz w:val="24"/>
        </w:rPr>
        <w:t> </w:t>
      </w:r>
      <w:r>
        <w:rPr>
          <w:sz w:val="24"/>
        </w:rPr>
        <w:t>of</w:t>
      </w:r>
      <w:r>
        <w:rPr>
          <w:spacing w:val="-5"/>
          <w:sz w:val="24"/>
        </w:rPr>
        <w:t> </w:t>
      </w:r>
      <w:r>
        <w:rPr>
          <w:sz w:val="24"/>
        </w:rPr>
        <w:t>the</w:t>
      </w:r>
      <w:r>
        <w:rPr>
          <w:spacing w:val="-4"/>
          <w:sz w:val="24"/>
        </w:rPr>
        <w:t> </w:t>
      </w:r>
      <w:r>
        <w:rPr>
          <w:sz w:val="24"/>
        </w:rPr>
        <w:t>individual,</w:t>
      </w:r>
      <w:r>
        <w:rPr>
          <w:spacing w:val="-2"/>
          <w:sz w:val="24"/>
        </w:rPr>
        <w:t> </w:t>
      </w:r>
      <w:r>
        <w:rPr>
          <w:sz w:val="24"/>
        </w:rPr>
        <w:t>and</w:t>
      </w:r>
      <w:r>
        <w:rPr>
          <w:spacing w:val="-4"/>
          <w:sz w:val="24"/>
        </w:rPr>
        <w:t> </w:t>
      </w:r>
      <w:r>
        <w:rPr>
          <w:sz w:val="24"/>
        </w:rPr>
        <w:t>not</w:t>
      </w:r>
      <w:r>
        <w:rPr>
          <w:spacing w:val="-3"/>
          <w:sz w:val="24"/>
        </w:rPr>
        <w:t> </w:t>
      </w:r>
      <w:r>
        <w:rPr>
          <w:sz w:val="24"/>
        </w:rPr>
        <w:t>furnished by the employer. DRS will NOT purchase operable firearms even if required for employment. Counselor will assist the individual in finding resources to help in this purchase if necessary.</w:t>
      </w:r>
    </w:p>
    <w:p>
      <w:pPr>
        <w:pStyle w:val="ListParagraph"/>
        <w:numPr>
          <w:ilvl w:val="1"/>
          <w:numId w:val="233"/>
        </w:numPr>
        <w:tabs>
          <w:tab w:pos="1216" w:val="left" w:leader="none"/>
        </w:tabs>
        <w:spacing w:line="208" w:lineRule="auto" w:before="239" w:after="0"/>
        <w:ind w:left="791" w:right="960" w:firstLine="0"/>
        <w:jc w:val="left"/>
        <w:rPr>
          <w:sz w:val="24"/>
        </w:rPr>
      </w:pPr>
      <w:r>
        <w:rPr>
          <w:sz w:val="24"/>
        </w:rPr>
        <w:t>Occupational</w:t>
      </w:r>
      <w:r>
        <w:rPr>
          <w:spacing w:val="-4"/>
          <w:sz w:val="24"/>
        </w:rPr>
        <w:t> </w:t>
      </w:r>
      <w:r>
        <w:rPr>
          <w:sz w:val="24"/>
        </w:rPr>
        <w:t>equipment</w:t>
      </w:r>
      <w:r>
        <w:rPr>
          <w:spacing w:val="-3"/>
          <w:sz w:val="24"/>
        </w:rPr>
        <w:t> </w:t>
      </w:r>
      <w:r>
        <w:rPr>
          <w:sz w:val="24"/>
        </w:rPr>
        <w:t>is</w:t>
      </w:r>
      <w:r>
        <w:rPr>
          <w:spacing w:val="-4"/>
          <w:sz w:val="24"/>
        </w:rPr>
        <w:t> </w:t>
      </w:r>
      <w:r>
        <w:rPr>
          <w:sz w:val="24"/>
        </w:rPr>
        <w:t>equipment</w:t>
      </w:r>
      <w:r>
        <w:rPr>
          <w:spacing w:val="-3"/>
          <w:sz w:val="24"/>
        </w:rPr>
        <w:t> </w:t>
      </w:r>
      <w:r>
        <w:rPr>
          <w:sz w:val="24"/>
        </w:rPr>
        <w:t>required</w:t>
      </w:r>
      <w:r>
        <w:rPr>
          <w:spacing w:val="-4"/>
          <w:sz w:val="24"/>
        </w:rPr>
        <w:t> </w:t>
      </w:r>
      <w:r>
        <w:rPr>
          <w:sz w:val="24"/>
        </w:rPr>
        <w:t>to</w:t>
      </w:r>
      <w:r>
        <w:rPr>
          <w:spacing w:val="-4"/>
          <w:sz w:val="24"/>
        </w:rPr>
        <w:t> </w:t>
      </w:r>
      <w:r>
        <w:rPr>
          <w:sz w:val="24"/>
        </w:rPr>
        <w:t>meet</w:t>
      </w:r>
      <w:r>
        <w:rPr>
          <w:spacing w:val="-3"/>
          <w:sz w:val="24"/>
        </w:rPr>
        <w:t> </w:t>
      </w:r>
      <w:r>
        <w:rPr>
          <w:sz w:val="24"/>
        </w:rPr>
        <w:t>the</w:t>
      </w:r>
      <w:r>
        <w:rPr>
          <w:spacing w:val="-5"/>
          <w:sz w:val="24"/>
        </w:rPr>
        <w:t> </w:t>
      </w:r>
      <w:r>
        <w:rPr>
          <w:sz w:val="24"/>
        </w:rPr>
        <w:t>minimum</w:t>
      </w:r>
      <w:r>
        <w:rPr>
          <w:spacing w:val="-3"/>
          <w:sz w:val="24"/>
        </w:rPr>
        <w:t> </w:t>
      </w:r>
      <w:r>
        <w:rPr>
          <w:sz w:val="24"/>
        </w:rPr>
        <w:t>needs</w:t>
      </w:r>
      <w:r>
        <w:rPr>
          <w:spacing w:val="-4"/>
          <w:sz w:val="24"/>
        </w:rPr>
        <w:t> </w:t>
      </w:r>
      <w:r>
        <w:rPr>
          <w:sz w:val="24"/>
        </w:rPr>
        <w:t>of an individual in starting and conducting a business of his or her own.</w:t>
      </w:r>
    </w:p>
    <w:p>
      <w:pPr>
        <w:pStyle w:val="ListParagraph"/>
        <w:numPr>
          <w:ilvl w:val="1"/>
          <w:numId w:val="233"/>
        </w:numPr>
        <w:tabs>
          <w:tab w:pos="1216" w:val="left" w:leader="none"/>
        </w:tabs>
        <w:spacing w:line="208" w:lineRule="auto" w:before="240" w:after="0"/>
        <w:ind w:left="791" w:right="972" w:firstLine="0"/>
        <w:jc w:val="left"/>
        <w:rPr>
          <w:b/>
          <w:sz w:val="24"/>
        </w:rPr>
      </w:pPr>
      <w:r>
        <w:rPr>
          <w:sz w:val="24"/>
        </w:rPr>
        <w:t>Initial</w:t>
      </w:r>
      <w:r>
        <w:rPr>
          <w:spacing w:val="-4"/>
          <w:sz w:val="24"/>
        </w:rPr>
        <w:t> </w:t>
      </w:r>
      <w:r>
        <w:rPr>
          <w:sz w:val="24"/>
        </w:rPr>
        <w:t>stocks</w:t>
      </w:r>
      <w:r>
        <w:rPr>
          <w:spacing w:val="-4"/>
          <w:sz w:val="24"/>
        </w:rPr>
        <w:t> </w:t>
      </w:r>
      <w:r>
        <w:rPr>
          <w:sz w:val="24"/>
        </w:rPr>
        <w:t>and</w:t>
      </w:r>
      <w:r>
        <w:rPr>
          <w:spacing w:val="-4"/>
          <w:sz w:val="24"/>
        </w:rPr>
        <w:t> </w:t>
      </w:r>
      <w:r>
        <w:rPr>
          <w:sz w:val="24"/>
        </w:rPr>
        <w:t>supplies</w:t>
      </w:r>
      <w:r>
        <w:rPr>
          <w:spacing w:val="-4"/>
          <w:sz w:val="24"/>
        </w:rPr>
        <w:t> </w:t>
      </w:r>
      <w:r>
        <w:rPr>
          <w:sz w:val="24"/>
        </w:rPr>
        <w:t>are</w:t>
      </w:r>
      <w:r>
        <w:rPr>
          <w:spacing w:val="-4"/>
          <w:sz w:val="24"/>
        </w:rPr>
        <w:t> </w:t>
      </w:r>
      <w:r>
        <w:rPr>
          <w:sz w:val="24"/>
        </w:rPr>
        <w:t>those</w:t>
      </w:r>
      <w:r>
        <w:rPr>
          <w:spacing w:val="-4"/>
          <w:sz w:val="24"/>
        </w:rPr>
        <w:t> </w:t>
      </w:r>
      <w:r>
        <w:rPr>
          <w:sz w:val="24"/>
        </w:rPr>
        <w:t>materials</w:t>
      </w:r>
      <w:r>
        <w:rPr>
          <w:spacing w:val="-4"/>
          <w:sz w:val="24"/>
        </w:rPr>
        <w:t> </w:t>
      </w:r>
      <w:r>
        <w:rPr>
          <w:sz w:val="24"/>
        </w:rPr>
        <w:t>and</w:t>
      </w:r>
      <w:r>
        <w:rPr>
          <w:spacing w:val="-3"/>
          <w:sz w:val="24"/>
        </w:rPr>
        <w:t> </w:t>
      </w:r>
      <w:r>
        <w:rPr>
          <w:sz w:val="24"/>
        </w:rPr>
        <w:t>merchandise</w:t>
      </w:r>
      <w:r>
        <w:rPr>
          <w:spacing w:val="-4"/>
          <w:sz w:val="24"/>
        </w:rPr>
        <w:t> </w:t>
      </w:r>
      <w:r>
        <w:rPr>
          <w:sz w:val="24"/>
        </w:rPr>
        <w:t>necessary</w:t>
      </w:r>
      <w:r>
        <w:rPr>
          <w:spacing w:val="-4"/>
          <w:sz w:val="24"/>
        </w:rPr>
        <w:t> </w:t>
      </w:r>
      <w:r>
        <w:rPr>
          <w:sz w:val="24"/>
        </w:rPr>
        <w:t>for the client to become operational in a business. </w:t>
      </w:r>
      <w:r>
        <w:rPr>
          <w:b/>
          <w:sz w:val="24"/>
        </w:rPr>
        <w:t>1</w:t>
      </w:r>
    </w:p>
    <w:p>
      <w:pPr>
        <w:pStyle w:val="ListParagraph"/>
        <w:numPr>
          <w:ilvl w:val="0"/>
          <w:numId w:val="233"/>
        </w:numPr>
        <w:tabs>
          <w:tab w:pos="773" w:val="left" w:leader="none"/>
        </w:tabs>
        <w:spacing w:line="208" w:lineRule="auto" w:before="240" w:after="0"/>
        <w:ind w:left="360" w:right="831" w:firstLine="0"/>
        <w:jc w:val="left"/>
        <w:rPr>
          <w:b/>
          <w:sz w:val="24"/>
        </w:rPr>
      </w:pPr>
      <w:r>
        <w:rPr>
          <w:sz w:val="24"/>
        </w:rPr>
        <w:t>Purchase of occupational tools, equipment and initial stocks and supplies will be made in accordance with current DRS purchasing rules. If the client is required to participate in cost of services, the payment will be made to the nonmedical vendor. When the equipment is received and/or installed, the appropriate rehabilitation professional</w:t>
      </w:r>
      <w:r>
        <w:rPr>
          <w:spacing w:val="-4"/>
          <w:sz w:val="24"/>
        </w:rPr>
        <w:t> </w:t>
      </w:r>
      <w:r>
        <w:rPr>
          <w:sz w:val="24"/>
        </w:rPr>
        <w:t>completes</w:t>
      </w:r>
      <w:r>
        <w:rPr>
          <w:spacing w:val="-4"/>
          <w:sz w:val="24"/>
        </w:rPr>
        <w:t> </w:t>
      </w:r>
      <w:r>
        <w:rPr>
          <w:sz w:val="24"/>
        </w:rPr>
        <w:t>the</w:t>
      </w:r>
      <w:r>
        <w:rPr>
          <w:spacing w:val="-4"/>
          <w:sz w:val="24"/>
        </w:rPr>
        <w:t> </w:t>
      </w:r>
      <w:r>
        <w:rPr>
          <w:sz w:val="24"/>
        </w:rPr>
        <w:t>Receipt</w:t>
      </w:r>
      <w:r>
        <w:rPr>
          <w:spacing w:val="-3"/>
          <w:sz w:val="24"/>
        </w:rPr>
        <w:t> </w:t>
      </w:r>
      <w:r>
        <w:rPr>
          <w:sz w:val="24"/>
        </w:rPr>
        <w:t>for</w:t>
      </w:r>
      <w:r>
        <w:rPr>
          <w:spacing w:val="-5"/>
          <w:sz w:val="24"/>
        </w:rPr>
        <w:t> </w:t>
      </w:r>
      <w:r>
        <w:rPr>
          <w:sz w:val="24"/>
        </w:rPr>
        <w:t>Equipment</w:t>
      </w:r>
      <w:r>
        <w:rPr>
          <w:spacing w:val="-3"/>
          <w:sz w:val="24"/>
        </w:rPr>
        <w:t> </w:t>
      </w:r>
      <w:r>
        <w:rPr>
          <w:sz w:val="24"/>
        </w:rPr>
        <w:t>and</w:t>
      </w:r>
      <w:r>
        <w:rPr>
          <w:spacing w:val="-4"/>
          <w:sz w:val="24"/>
        </w:rPr>
        <w:t> </w:t>
      </w:r>
      <w:r>
        <w:rPr>
          <w:sz w:val="24"/>
        </w:rPr>
        <w:t>Title</w:t>
      </w:r>
      <w:r>
        <w:rPr>
          <w:spacing w:val="-4"/>
          <w:sz w:val="24"/>
        </w:rPr>
        <w:t> </w:t>
      </w:r>
      <w:r>
        <w:rPr>
          <w:sz w:val="24"/>
        </w:rPr>
        <w:t>Agreement.</w:t>
      </w:r>
      <w:r>
        <w:rPr>
          <w:spacing w:val="-3"/>
          <w:sz w:val="24"/>
        </w:rPr>
        <w:t> </w:t>
      </w:r>
      <w:r>
        <w:rPr>
          <w:sz w:val="24"/>
        </w:rPr>
        <w:t>If</w:t>
      </w:r>
      <w:r>
        <w:rPr>
          <w:spacing w:val="-5"/>
          <w:sz w:val="24"/>
        </w:rPr>
        <w:t> </w:t>
      </w:r>
      <w:r>
        <w:rPr>
          <w:sz w:val="24"/>
        </w:rPr>
        <w:t>the</w:t>
      </w:r>
      <w:r>
        <w:rPr>
          <w:spacing w:val="-4"/>
          <w:sz w:val="24"/>
        </w:rPr>
        <w:t> </w:t>
      </w:r>
      <w:r>
        <w:rPr>
          <w:sz w:val="24"/>
        </w:rPr>
        <w:t>purchase total is $5,000 or more, the rehabilitation professional then signs the vendor's invoice and routes it to DRS state office. </w:t>
      </w:r>
      <w:r>
        <w:rPr>
          <w:b/>
          <w:sz w:val="24"/>
        </w:rPr>
        <w:t>2</w:t>
      </w:r>
    </w:p>
    <w:p>
      <w:pPr>
        <w:pStyle w:val="ListParagraph"/>
        <w:numPr>
          <w:ilvl w:val="0"/>
          <w:numId w:val="233"/>
        </w:numPr>
        <w:tabs>
          <w:tab w:pos="786" w:val="left" w:leader="none"/>
        </w:tabs>
        <w:spacing w:line="208" w:lineRule="auto" w:before="239" w:after="0"/>
        <w:ind w:left="360" w:right="791" w:firstLine="0"/>
        <w:jc w:val="left"/>
        <w:rPr>
          <w:b/>
          <w:sz w:val="24"/>
        </w:rPr>
      </w:pPr>
      <w:r>
        <w:rPr>
          <w:sz w:val="24"/>
        </w:rPr>
        <w:t>Used</w:t>
      </w:r>
      <w:r>
        <w:rPr>
          <w:spacing w:val="-4"/>
          <w:sz w:val="24"/>
        </w:rPr>
        <w:t> </w:t>
      </w:r>
      <w:r>
        <w:rPr>
          <w:sz w:val="24"/>
        </w:rPr>
        <w:t>tools</w:t>
      </w:r>
      <w:r>
        <w:rPr>
          <w:spacing w:val="-4"/>
          <w:sz w:val="24"/>
        </w:rPr>
        <w:t> </w:t>
      </w:r>
      <w:r>
        <w:rPr>
          <w:sz w:val="24"/>
        </w:rPr>
        <w:t>or</w:t>
      </w:r>
      <w:r>
        <w:rPr>
          <w:spacing w:val="-3"/>
          <w:sz w:val="24"/>
        </w:rPr>
        <w:t> </w:t>
      </w:r>
      <w:r>
        <w:rPr>
          <w:sz w:val="24"/>
        </w:rPr>
        <w:t>equipment</w:t>
      </w:r>
      <w:r>
        <w:rPr>
          <w:spacing w:val="-3"/>
          <w:sz w:val="24"/>
        </w:rPr>
        <w:t> </w:t>
      </w:r>
      <w:r>
        <w:rPr>
          <w:sz w:val="24"/>
        </w:rPr>
        <w:t>may</w:t>
      </w:r>
      <w:r>
        <w:rPr>
          <w:spacing w:val="-4"/>
          <w:sz w:val="24"/>
        </w:rPr>
        <w:t> </w:t>
      </w:r>
      <w:r>
        <w:rPr>
          <w:sz w:val="24"/>
        </w:rPr>
        <w:t>be</w:t>
      </w:r>
      <w:r>
        <w:rPr>
          <w:spacing w:val="-4"/>
          <w:sz w:val="24"/>
        </w:rPr>
        <w:t> </w:t>
      </w:r>
      <w:r>
        <w:rPr>
          <w:sz w:val="24"/>
        </w:rPr>
        <w:t>purchased</w:t>
      </w:r>
      <w:r>
        <w:rPr>
          <w:spacing w:val="-4"/>
          <w:sz w:val="24"/>
        </w:rPr>
        <w:t> </w:t>
      </w:r>
      <w:r>
        <w:rPr>
          <w:sz w:val="24"/>
        </w:rPr>
        <w:t>when</w:t>
      </w:r>
      <w:r>
        <w:rPr>
          <w:spacing w:val="-3"/>
          <w:sz w:val="24"/>
        </w:rPr>
        <w:t> </w:t>
      </w:r>
      <w:r>
        <w:rPr>
          <w:sz w:val="24"/>
        </w:rPr>
        <w:t>it</w:t>
      </w:r>
      <w:r>
        <w:rPr>
          <w:spacing w:val="-3"/>
          <w:sz w:val="24"/>
        </w:rPr>
        <w:t> </w:t>
      </w:r>
      <w:r>
        <w:rPr>
          <w:sz w:val="24"/>
        </w:rPr>
        <w:t>is</w:t>
      </w:r>
      <w:r>
        <w:rPr>
          <w:spacing w:val="-4"/>
          <w:sz w:val="24"/>
        </w:rPr>
        <w:t> </w:t>
      </w:r>
      <w:r>
        <w:rPr>
          <w:sz w:val="24"/>
        </w:rPr>
        <w:t>evident</w:t>
      </w:r>
      <w:r>
        <w:rPr>
          <w:spacing w:val="-3"/>
          <w:sz w:val="24"/>
        </w:rPr>
        <w:t> </w:t>
      </w:r>
      <w:r>
        <w:rPr>
          <w:sz w:val="24"/>
        </w:rPr>
        <w:t>considerable</w:t>
      </w:r>
      <w:r>
        <w:rPr>
          <w:spacing w:val="-4"/>
          <w:sz w:val="24"/>
        </w:rPr>
        <w:t> </w:t>
      </w:r>
      <w:r>
        <w:rPr>
          <w:sz w:val="24"/>
        </w:rPr>
        <w:t>savings may be affected. Used equipment or tools are to be appraised piece-by-piece by at least three shop owners or managers in the same type of work, and who are not acquainted with the vendor. </w:t>
      </w:r>
      <w:r>
        <w:rPr>
          <w:b/>
          <w:sz w:val="24"/>
        </w:rPr>
        <w:t>3</w:t>
      </w:r>
    </w:p>
    <w:p>
      <w:pPr>
        <w:pStyle w:val="ListParagraph"/>
        <w:numPr>
          <w:ilvl w:val="0"/>
          <w:numId w:val="233"/>
        </w:numPr>
        <w:tabs>
          <w:tab w:pos="785" w:val="left" w:leader="none"/>
        </w:tabs>
        <w:spacing w:line="208" w:lineRule="auto" w:before="240" w:after="0"/>
        <w:ind w:left="360" w:right="805" w:firstLine="0"/>
        <w:jc w:val="left"/>
        <w:rPr>
          <w:b/>
          <w:sz w:val="24"/>
        </w:rPr>
      </w:pPr>
      <w:r>
        <w:rPr>
          <w:sz w:val="24"/>
        </w:rPr>
        <w:t>If</w:t>
      </w:r>
      <w:r>
        <w:rPr>
          <w:spacing w:val="-4"/>
          <w:sz w:val="24"/>
        </w:rPr>
        <w:t> </w:t>
      </w:r>
      <w:r>
        <w:rPr>
          <w:sz w:val="24"/>
        </w:rPr>
        <w:t>the</w:t>
      </w:r>
      <w:r>
        <w:rPr>
          <w:spacing w:val="-3"/>
          <w:sz w:val="24"/>
        </w:rPr>
        <w:t> </w:t>
      </w:r>
      <w:r>
        <w:rPr>
          <w:sz w:val="24"/>
        </w:rPr>
        <w:t>counselor,</w:t>
      </w:r>
      <w:r>
        <w:rPr>
          <w:spacing w:val="-2"/>
          <w:sz w:val="24"/>
        </w:rPr>
        <w:t> </w:t>
      </w:r>
      <w:r>
        <w:rPr>
          <w:sz w:val="24"/>
        </w:rPr>
        <w:t>after</w:t>
      </w:r>
      <w:r>
        <w:rPr>
          <w:spacing w:val="-2"/>
          <w:sz w:val="24"/>
        </w:rPr>
        <w:t> </w:t>
      </w:r>
      <w:r>
        <w:rPr>
          <w:sz w:val="24"/>
        </w:rPr>
        <w:t>a</w:t>
      </w:r>
      <w:r>
        <w:rPr>
          <w:spacing w:val="-4"/>
          <w:sz w:val="24"/>
        </w:rPr>
        <w:t> </w:t>
      </w:r>
      <w:r>
        <w:rPr>
          <w:sz w:val="24"/>
        </w:rPr>
        <w:t>thorough</w:t>
      </w:r>
      <w:r>
        <w:rPr>
          <w:spacing w:val="-3"/>
          <w:sz w:val="24"/>
        </w:rPr>
        <w:t> </w:t>
      </w:r>
      <w:r>
        <w:rPr>
          <w:sz w:val="24"/>
        </w:rPr>
        <w:t>check</w:t>
      </w:r>
      <w:r>
        <w:rPr>
          <w:spacing w:val="-3"/>
          <w:sz w:val="24"/>
        </w:rPr>
        <w:t> </w:t>
      </w:r>
      <w:r>
        <w:rPr>
          <w:sz w:val="24"/>
        </w:rPr>
        <w:t>of</w:t>
      </w:r>
      <w:r>
        <w:rPr>
          <w:spacing w:val="-2"/>
          <w:sz w:val="24"/>
        </w:rPr>
        <w:t> </w:t>
      </w:r>
      <w:r>
        <w:rPr>
          <w:sz w:val="24"/>
        </w:rPr>
        <w:t>the</w:t>
      </w:r>
      <w:r>
        <w:rPr>
          <w:spacing w:val="-4"/>
          <w:sz w:val="24"/>
        </w:rPr>
        <w:t> </w:t>
      </w:r>
      <w:r>
        <w:rPr>
          <w:sz w:val="24"/>
        </w:rPr>
        <w:t>tools</w:t>
      </w:r>
      <w:r>
        <w:rPr>
          <w:spacing w:val="-3"/>
          <w:sz w:val="24"/>
        </w:rPr>
        <w:t> </w:t>
      </w:r>
      <w:r>
        <w:rPr>
          <w:sz w:val="24"/>
        </w:rPr>
        <w:t>or</w:t>
      </w:r>
      <w:r>
        <w:rPr>
          <w:spacing w:val="-2"/>
          <w:sz w:val="24"/>
        </w:rPr>
        <w:t> </w:t>
      </w:r>
      <w:r>
        <w:rPr>
          <w:sz w:val="24"/>
        </w:rPr>
        <w:t>equipment,</w:t>
      </w:r>
      <w:r>
        <w:rPr>
          <w:spacing w:val="-2"/>
          <w:sz w:val="24"/>
        </w:rPr>
        <w:t> </w:t>
      </w:r>
      <w:r>
        <w:rPr>
          <w:sz w:val="24"/>
        </w:rPr>
        <w:t>finds</w:t>
      </w:r>
      <w:r>
        <w:rPr>
          <w:spacing w:val="-3"/>
          <w:sz w:val="24"/>
        </w:rPr>
        <w:t> </w:t>
      </w:r>
      <w:r>
        <w:rPr>
          <w:sz w:val="24"/>
        </w:rPr>
        <w:t>they</w:t>
      </w:r>
      <w:r>
        <w:rPr>
          <w:spacing w:val="-3"/>
          <w:sz w:val="24"/>
        </w:rPr>
        <w:t> </w:t>
      </w:r>
      <w:r>
        <w:rPr>
          <w:sz w:val="24"/>
        </w:rPr>
        <w:t>are</w:t>
      </w:r>
      <w:r>
        <w:rPr>
          <w:spacing w:val="-3"/>
          <w:sz w:val="24"/>
        </w:rPr>
        <w:t> </w:t>
      </w:r>
      <w:r>
        <w:rPr>
          <w:sz w:val="24"/>
        </w:rPr>
        <w:t>not being used for the purpose for which they were purchased, the counselor is to repossess the tools or equipment by executing the Release or Receipt of Equipment form. </w:t>
      </w:r>
      <w:r>
        <w:rPr>
          <w:b/>
          <w:sz w:val="24"/>
        </w:rPr>
        <w:t>4</w:t>
      </w:r>
    </w:p>
    <w:p>
      <w:pPr>
        <w:pStyle w:val="BodyText"/>
        <w:spacing w:before="210"/>
      </w:pPr>
      <w:r>
        <w:rPr/>
        <w:t>INSTRUCTIONS</w:t>
      </w:r>
      <w:r>
        <w:rPr>
          <w:spacing w:val="-3"/>
        </w:rPr>
        <w:t> </w:t>
      </w:r>
      <w:r>
        <w:rPr/>
        <w:t>TO</w:t>
      </w:r>
      <w:r>
        <w:rPr>
          <w:spacing w:val="-2"/>
        </w:rPr>
        <w:t> </w:t>
      </w:r>
      <w:r>
        <w:rPr>
          <w:spacing w:val="-4"/>
        </w:rPr>
        <w:t>STAFF</w:t>
      </w:r>
    </w:p>
    <w:p>
      <w:pPr>
        <w:pStyle w:val="ListParagraph"/>
        <w:numPr>
          <w:ilvl w:val="0"/>
          <w:numId w:val="234"/>
        </w:numPr>
        <w:tabs>
          <w:tab w:pos="1078" w:val="left" w:leader="none"/>
        </w:tabs>
        <w:spacing w:line="240" w:lineRule="auto" w:before="204" w:after="0"/>
        <w:ind w:left="1078" w:right="0" w:hanging="286"/>
        <w:jc w:val="left"/>
        <w:rPr>
          <w:sz w:val="24"/>
        </w:rPr>
      </w:pPr>
      <w:hyperlink w:history="true" w:anchor="_bookmark30">
        <w:r>
          <w:rPr>
            <w:color w:val="0000FF"/>
            <w:sz w:val="24"/>
            <w:u w:val="single" w:color="0000FF"/>
          </w:rPr>
          <w:t>612:10-7-230</w:t>
        </w:r>
      </w:hyperlink>
      <w:r>
        <w:rPr>
          <w:color w:val="0000FF"/>
          <w:spacing w:val="-9"/>
          <w:sz w:val="24"/>
          <w:u w:val="single" w:color="0000FF"/>
        </w:rPr>
        <w:t> </w:t>
      </w:r>
      <w:r>
        <w:rPr>
          <w:sz w:val="24"/>
          <w:u w:val="none"/>
        </w:rPr>
        <w:t>Self-employment</w:t>
      </w:r>
      <w:r>
        <w:rPr>
          <w:spacing w:val="-7"/>
          <w:sz w:val="24"/>
          <w:u w:val="none"/>
        </w:rPr>
        <w:t> </w:t>
      </w:r>
      <w:r>
        <w:rPr>
          <w:spacing w:val="-2"/>
          <w:sz w:val="24"/>
          <w:u w:val="none"/>
        </w:rPr>
        <w:t>programs</w:t>
      </w:r>
    </w:p>
    <w:p>
      <w:pPr>
        <w:pStyle w:val="ListParagraph"/>
        <w:numPr>
          <w:ilvl w:val="0"/>
          <w:numId w:val="234"/>
        </w:numPr>
        <w:tabs>
          <w:tab w:pos="1077" w:val="left" w:leader="none"/>
        </w:tabs>
        <w:spacing w:line="208" w:lineRule="auto" w:before="233" w:after="0"/>
        <w:ind w:left="791" w:right="947" w:firstLine="0"/>
        <w:jc w:val="left"/>
        <w:rPr>
          <w:sz w:val="24"/>
        </w:rPr>
      </w:pPr>
      <w:hyperlink w:history="true" w:anchor="_bookmark4">
        <w:r>
          <w:rPr>
            <w:color w:val="0000FF"/>
            <w:sz w:val="24"/>
            <w:u w:val="single" w:color="0000FF"/>
          </w:rPr>
          <w:t>612:10-1-7</w:t>
        </w:r>
      </w:hyperlink>
      <w:r>
        <w:rPr>
          <w:color w:val="0000FF"/>
          <w:sz w:val="24"/>
          <w:u w:val="none"/>
        </w:rPr>
        <w:t> </w:t>
      </w:r>
      <w:r>
        <w:rPr>
          <w:sz w:val="24"/>
          <w:u w:val="none"/>
        </w:rPr>
        <w:t>Purchase of services and goods for individuals with disabilities, </w:t>
      </w:r>
      <w:hyperlink w:history="true" w:anchor="_bookmark19">
        <w:r>
          <w:rPr>
            <w:color w:val="0000FF"/>
            <w:sz w:val="24"/>
            <w:u w:val="single" w:color="0000FF"/>
          </w:rPr>
          <w:t>612:10-7-87</w:t>
        </w:r>
      </w:hyperlink>
      <w:r>
        <w:rPr>
          <w:color w:val="0000FF"/>
          <w:spacing w:val="-6"/>
          <w:sz w:val="24"/>
          <w:u w:val="none"/>
        </w:rPr>
        <w:t> </w:t>
      </w:r>
      <w:r>
        <w:rPr>
          <w:sz w:val="24"/>
          <w:u w:val="none"/>
        </w:rPr>
        <w:t>Actions</w:t>
      </w:r>
      <w:r>
        <w:rPr>
          <w:spacing w:val="-6"/>
          <w:sz w:val="24"/>
          <w:u w:val="none"/>
        </w:rPr>
        <w:t> </w:t>
      </w:r>
      <w:r>
        <w:rPr>
          <w:sz w:val="24"/>
          <w:u w:val="none"/>
        </w:rPr>
        <w:t>requiring</w:t>
      </w:r>
      <w:r>
        <w:rPr>
          <w:spacing w:val="-6"/>
          <w:sz w:val="24"/>
          <w:u w:val="none"/>
        </w:rPr>
        <w:t> </w:t>
      </w:r>
      <w:r>
        <w:rPr>
          <w:sz w:val="24"/>
          <w:u w:val="none"/>
        </w:rPr>
        <w:t>supervisor’s</w:t>
      </w:r>
      <w:r>
        <w:rPr>
          <w:spacing w:val="-6"/>
          <w:sz w:val="24"/>
          <w:u w:val="none"/>
        </w:rPr>
        <w:t> </w:t>
      </w:r>
      <w:r>
        <w:rPr>
          <w:sz w:val="24"/>
          <w:u w:val="none"/>
        </w:rPr>
        <w:t>approval,</w:t>
      </w:r>
      <w:r>
        <w:rPr>
          <w:spacing w:val="-5"/>
          <w:sz w:val="24"/>
          <w:u w:val="none"/>
        </w:rPr>
        <w:t> </w:t>
      </w:r>
      <w:r>
        <w:rPr>
          <w:sz w:val="24"/>
          <w:u w:val="none"/>
        </w:rPr>
        <w:t>and</w:t>
      </w:r>
      <w:r>
        <w:rPr>
          <w:spacing w:val="-7"/>
          <w:sz w:val="24"/>
          <w:u w:val="none"/>
        </w:rPr>
        <w:t> </w:t>
      </w:r>
      <w:hyperlink w:history="true" w:anchor="_bookmark23">
        <w:r>
          <w:rPr>
            <w:color w:val="0000FF"/>
            <w:sz w:val="24"/>
            <w:u w:val="single" w:color="0000FF"/>
          </w:rPr>
          <w:t>612:10-7-162</w:t>
        </w:r>
      </w:hyperlink>
      <w:r>
        <w:rPr>
          <w:sz w:val="24"/>
          <w:u w:val="none"/>
        </w:rPr>
        <w:t>,</w:t>
      </w:r>
      <w:r>
        <w:rPr>
          <w:spacing w:val="-5"/>
          <w:sz w:val="24"/>
          <w:u w:val="none"/>
        </w:rPr>
        <w:t> </w:t>
      </w:r>
      <w:r>
        <w:rPr>
          <w:sz w:val="24"/>
          <w:u w:val="none"/>
        </w:rPr>
        <w:t>Textbook, supplies, training tools and equipment</w:t>
      </w:r>
    </w:p>
    <w:p>
      <w:pPr>
        <w:pStyle w:val="ListParagraph"/>
        <w:spacing w:after="0" w:line="208" w:lineRule="auto"/>
        <w:jc w:val="left"/>
        <w:rPr>
          <w:sz w:val="24"/>
        </w:rPr>
        <w:sectPr>
          <w:pgSz w:w="12240" w:h="15840"/>
          <w:pgMar w:top="1340" w:bottom="280" w:left="1080" w:right="720"/>
        </w:sectPr>
      </w:pPr>
    </w:p>
    <w:p>
      <w:pPr>
        <w:pStyle w:val="ListParagraph"/>
        <w:numPr>
          <w:ilvl w:val="0"/>
          <w:numId w:val="234"/>
        </w:numPr>
        <w:tabs>
          <w:tab w:pos="1077" w:val="left" w:leader="none"/>
        </w:tabs>
        <w:spacing w:line="208" w:lineRule="auto" w:before="96" w:after="0"/>
        <w:ind w:left="791" w:right="2195" w:firstLine="0"/>
        <w:jc w:val="left"/>
        <w:rPr>
          <w:sz w:val="24"/>
        </w:rPr>
      </w:pPr>
      <w:r>
        <w:rPr>
          <w:sz w:val="24"/>
        </w:rPr>
        <w:t>The</w:t>
      </w:r>
      <w:r>
        <w:rPr>
          <w:spacing w:val="-4"/>
          <w:sz w:val="24"/>
        </w:rPr>
        <w:t> </w:t>
      </w:r>
      <w:r>
        <w:rPr>
          <w:sz w:val="24"/>
        </w:rPr>
        <w:t>appraisals</w:t>
      </w:r>
      <w:r>
        <w:rPr>
          <w:spacing w:val="-4"/>
          <w:sz w:val="24"/>
        </w:rPr>
        <w:t> </w:t>
      </w:r>
      <w:r>
        <w:rPr>
          <w:sz w:val="24"/>
        </w:rPr>
        <w:t>and</w:t>
      </w:r>
      <w:r>
        <w:rPr>
          <w:spacing w:val="-4"/>
          <w:sz w:val="24"/>
        </w:rPr>
        <w:t> </w:t>
      </w:r>
      <w:r>
        <w:rPr>
          <w:sz w:val="24"/>
        </w:rPr>
        <w:t>program</w:t>
      </w:r>
      <w:r>
        <w:rPr>
          <w:spacing w:val="-3"/>
          <w:sz w:val="24"/>
        </w:rPr>
        <w:t> </w:t>
      </w:r>
      <w:r>
        <w:rPr>
          <w:sz w:val="24"/>
        </w:rPr>
        <w:t>are</w:t>
      </w:r>
      <w:r>
        <w:rPr>
          <w:spacing w:val="-5"/>
          <w:sz w:val="24"/>
        </w:rPr>
        <w:t> </w:t>
      </w:r>
      <w:r>
        <w:rPr>
          <w:sz w:val="24"/>
        </w:rPr>
        <w:t>submitted</w:t>
      </w:r>
      <w:r>
        <w:rPr>
          <w:spacing w:val="-4"/>
          <w:sz w:val="24"/>
        </w:rPr>
        <w:t> </w:t>
      </w:r>
      <w:r>
        <w:rPr>
          <w:sz w:val="24"/>
        </w:rPr>
        <w:t>to</w:t>
      </w:r>
      <w:r>
        <w:rPr>
          <w:spacing w:val="-4"/>
          <w:sz w:val="24"/>
        </w:rPr>
        <w:t> </w:t>
      </w:r>
      <w:r>
        <w:rPr>
          <w:sz w:val="24"/>
        </w:rPr>
        <w:t>the</w:t>
      </w:r>
      <w:r>
        <w:rPr>
          <w:spacing w:val="-4"/>
          <w:sz w:val="24"/>
        </w:rPr>
        <w:t> </w:t>
      </w:r>
      <w:r>
        <w:rPr>
          <w:sz w:val="24"/>
        </w:rPr>
        <w:t>unit</w:t>
      </w:r>
      <w:r>
        <w:rPr>
          <w:spacing w:val="-3"/>
          <w:sz w:val="24"/>
        </w:rPr>
        <w:t> </w:t>
      </w:r>
      <w:r>
        <w:rPr>
          <w:sz w:val="24"/>
        </w:rPr>
        <w:t>supervisor</w:t>
      </w:r>
      <w:r>
        <w:rPr>
          <w:spacing w:val="-3"/>
          <w:sz w:val="24"/>
        </w:rPr>
        <w:t> </w:t>
      </w:r>
      <w:r>
        <w:rPr>
          <w:sz w:val="24"/>
        </w:rPr>
        <w:t>for consideration and prior approval.</w:t>
      </w:r>
    </w:p>
    <w:p>
      <w:pPr>
        <w:pStyle w:val="ListParagraph"/>
        <w:numPr>
          <w:ilvl w:val="0"/>
          <w:numId w:val="234"/>
        </w:numPr>
        <w:tabs>
          <w:tab w:pos="1077" w:val="left" w:leader="none"/>
        </w:tabs>
        <w:spacing w:line="208" w:lineRule="auto" w:before="240" w:after="0"/>
        <w:ind w:left="791" w:right="1073" w:firstLine="0"/>
        <w:jc w:val="left"/>
        <w:rPr>
          <w:sz w:val="24"/>
        </w:rPr>
      </w:pPr>
      <w:r>
        <w:rPr>
          <w:sz w:val="24"/>
        </w:rPr>
        <w:t>When</w:t>
      </w:r>
      <w:r>
        <w:rPr>
          <w:spacing w:val="-4"/>
          <w:sz w:val="24"/>
        </w:rPr>
        <w:t> </w:t>
      </w:r>
      <w:r>
        <w:rPr>
          <w:sz w:val="24"/>
        </w:rPr>
        <w:t>the</w:t>
      </w:r>
      <w:r>
        <w:rPr>
          <w:spacing w:val="-4"/>
          <w:sz w:val="24"/>
        </w:rPr>
        <w:t> </w:t>
      </w:r>
      <w:r>
        <w:rPr>
          <w:sz w:val="24"/>
        </w:rPr>
        <w:t>receipt</w:t>
      </w:r>
      <w:r>
        <w:rPr>
          <w:spacing w:val="-3"/>
          <w:sz w:val="24"/>
        </w:rPr>
        <w:t> </w:t>
      </w:r>
      <w:r>
        <w:rPr>
          <w:sz w:val="24"/>
        </w:rPr>
        <w:t>for</w:t>
      </w:r>
      <w:r>
        <w:rPr>
          <w:spacing w:val="-3"/>
          <w:sz w:val="24"/>
        </w:rPr>
        <w:t> </w:t>
      </w:r>
      <w:r>
        <w:rPr>
          <w:sz w:val="24"/>
        </w:rPr>
        <w:t>repossession</w:t>
      </w:r>
      <w:r>
        <w:rPr>
          <w:spacing w:val="-4"/>
          <w:sz w:val="24"/>
        </w:rPr>
        <w:t> </w:t>
      </w:r>
      <w:r>
        <w:rPr>
          <w:sz w:val="24"/>
        </w:rPr>
        <w:t>is</w:t>
      </w:r>
      <w:r>
        <w:rPr>
          <w:spacing w:val="-4"/>
          <w:sz w:val="24"/>
        </w:rPr>
        <w:t> </w:t>
      </w:r>
      <w:r>
        <w:rPr>
          <w:sz w:val="24"/>
        </w:rPr>
        <w:t>executed,</w:t>
      </w:r>
      <w:r>
        <w:rPr>
          <w:spacing w:val="-3"/>
          <w:sz w:val="24"/>
        </w:rPr>
        <w:t> </w:t>
      </w:r>
      <w:r>
        <w:rPr>
          <w:sz w:val="24"/>
        </w:rPr>
        <w:t>DRS</w:t>
      </w:r>
      <w:r>
        <w:rPr>
          <w:spacing w:val="-4"/>
          <w:sz w:val="24"/>
        </w:rPr>
        <w:t> </w:t>
      </w:r>
      <w:r>
        <w:rPr>
          <w:sz w:val="24"/>
        </w:rPr>
        <w:t>State</w:t>
      </w:r>
      <w:r>
        <w:rPr>
          <w:spacing w:val="-4"/>
          <w:sz w:val="24"/>
        </w:rPr>
        <w:t> </w:t>
      </w:r>
      <w:r>
        <w:rPr>
          <w:sz w:val="24"/>
        </w:rPr>
        <w:t>Office</w:t>
      </w:r>
      <w:r>
        <w:rPr>
          <w:spacing w:val="-4"/>
          <w:sz w:val="24"/>
        </w:rPr>
        <w:t> </w:t>
      </w:r>
      <w:r>
        <w:rPr>
          <w:sz w:val="24"/>
        </w:rPr>
        <w:t>is</w:t>
      </w:r>
      <w:r>
        <w:rPr>
          <w:spacing w:val="-4"/>
          <w:sz w:val="24"/>
        </w:rPr>
        <w:t> </w:t>
      </w:r>
      <w:r>
        <w:rPr>
          <w:sz w:val="24"/>
        </w:rPr>
        <w:t>notified</w:t>
      </w:r>
      <w:r>
        <w:rPr>
          <w:spacing w:val="-4"/>
          <w:sz w:val="24"/>
        </w:rPr>
        <w:t> </w:t>
      </w:r>
      <w:r>
        <w:rPr>
          <w:sz w:val="24"/>
        </w:rPr>
        <w:t>by memo the repossessed tools or equipment are available for transfer to another </w:t>
      </w:r>
      <w:r>
        <w:rPr>
          <w:spacing w:val="-2"/>
          <w:sz w:val="24"/>
        </w:rPr>
        <w:t>client.</w:t>
      </w:r>
    </w:p>
    <w:p>
      <w:pPr>
        <w:pStyle w:val="ListParagraph"/>
        <w:numPr>
          <w:ilvl w:val="0"/>
          <w:numId w:val="234"/>
        </w:numPr>
        <w:tabs>
          <w:tab w:pos="1077" w:val="left" w:leader="none"/>
        </w:tabs>
        <w:spacing w:line="208" w:lineRule="auto" w:before="239" w:after="0"/>
        <w:ind w:left="791" w:right="1458" w:firstLine="0"/>
        <w:jc w:val="left"/>
        <w:rPr>
          <w:sz w:val="24"/>
        </w:rPr>
      </w:pPr>
      <w:r>
        <w:rPr>
          <w:sz w:val="24"/>
        </w:rPr>
        <w:t>Occupational</w:t>
      </w:r>
      <w:r>
        <w:rPr>
          <w:spacing w:val="-4"/>
          <w:sz w:val="24"/>
        </w:rPr>
        <w:t> </w:t>
      </w:r>
      <w:r>
        <w:rPr>
          <w:sz w:val="24"/>
        </w:rPr>
        <w:t>Equipment</w:t>
      </w:r>
      <w:r>
        <w:rPr>
          <w:spacing w:val="-3"/>
          <w:sz w:val="24"/>
        </w:rPr>
        <w:t> </w:t>
      </w:r>
      <w:r>
        <w:rPr>
          <w:sz w:val="24"/>
        </w:rPr>
        <w:t>purchase</w:t>
      </w:r>
      <w:r>
        <w:rPr>
          <w:spacing w:val="-4"/>
          <w:sz w:val="24"/>
        </w:rPr>
        <w:t> </w:t>
      </w:r>
      <w:r>
        <w:rPr>
          <w:sz w:val="24"/>
        </w:rPr>
        <w:t>on</w:t>
      </w:r>
      <w:r>
        <w:rPr>
          <w:spacing w:val="-4"/>
          <w:sz w:val="24"/>
        </w:rPr>
        <w:t> </w:t>
      </w:r>
      <w:r>
        <w:rPr>
          <w:sz w:val="24"/>
        </w:rPr>
        <w:t>behalf</w:t>
      </w:r>
      <w:r>
        <w:rPr>
          <w:spacing w:val="-2"/>
          <w:sz w:val="24"/>
        </w:rPr>
        <w:t> </w:t>
      </w:r>
      <w:r>
        <w:rPr>
          <w:sz w:val="24"/>
        </w:rPr>
        <w:t>of</w:t>
      </w:r>
      <w:r>
        <w:rPr>
          <w:spacing w:val="-5"/>
          <w:sz w:val="24"/>
        </w:rPr>
        <w:t> </w:t>
      </w:r>
      <w:r>
        <w:rPr>
          <w:sz w:val="24"/>
        </w:rPr>
        <w:t>the</w:t>
      </w:r>
      <w:r>
        <w:rPr>
          <w:spacing w:val="-4"/>
          <w:sz w:val="24"/>
        </w:rPr>
        <w:t> </w:t>
      </w:r>
      <w:r>
        <w:rPr>
          <w:sz w:val="24"/>
        </w:rPr>
        <w:t>client</w:t>
      </w:r>
      <w:r>
        <w:rPr>
          <w:spacing w:val="-3"/>
          <w:sz w:val="24"/>
        </w:rPr>
        <w:t> </w:t>
      </w:r>
      <w:r>
        <w:rPr>
          <w:sz w:val="24"/>
        </w:rPr>
        <w:t>is</w:t>
      </w:r>
      <w:r>
        <w:rPr>
          <w:spacing w:val="-4"/>
          <w:sz w:val="24"/>
        </w:rPr>
        <w:t> </w:t>
      </w:r>
      <w:r>
        <w:rPr>
          <w:sz w:val="24"/>
        </w:rPr>
        <w:t>subject</w:t>
      </w:r>
      <w:r>
        <w:rPr>
          <w:spacing w:val="-5"/>
          <w:sz w:val="24"/>
        </w:rPr>
        <w:t> </w:t>
      </w:r>
      <w:r>
        <w:rPr>
          <w:sz w:val="24"/>
        </w:rPr>
        <w:t>to</w:t>
      </w:r>
      <w:r>
        <w:rPr>
          <w:spacing w:val="-4"/>
          <w:sz w:val="24"/>
        </w:rPr>
        <w:t> </w:t>
      </w:r>
      <w:r>
        <w:rPr>
          <w:sz w:val="24"/>
        </w:rPr>
        <w:t>prior approval from RSA. Prior approval for this section is received as part of the aggregated approval process as defined in </w:t>
      </w:r>
      <w:hyperlink r:id="rId55">
        <w:r>
          <w:rPr>
            <w:color w:val="0000FF"/>
            <w:sz w:val="24"/>
            <w:u w:val="single" w:color="0000FF"/>
          </w:rPr>
          <w:t>RSA-TAC-18-02</w:t>
        </w:r>
      </w:hyperlink>
      <w:r>
        <w:rPr>
          <w:sz w:val="24"/>
          <w:u w:val="none"/>
        </w:rPr>
        <w:t>.</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4-3-96</w:t>
      </w:r>
      <w:r>
        <w:rPr>
          <w:sz w:val="22"/>
        </w:rPr>
        <w:tab/>
        <w:t>PT Memo #96-2</w:t>
      </w:r>
    </w:p>
    <w:p>
      <w:pPr>
        <w:spacing w:before="1"/>
        <w:ind w:left="1439" w:right="775" w:firstLine="0"/>
        <w:jc w:val="left"/>
        <w:rPr>
          <w:sz w:val="22"/>
        </w:rPr>
      </w:pPr>
      <w:r>
        <w:rPr>
          <w:sz w:val="22"/>
        </w:rPr>
        <w:t>Emergency,</w:t>
      </w:r>
      <w:r>
        <w:rPr>
          <w:spacing w:val="-3"/>
          <w:sz w:val="22"/>
        </w:rPr>
        <w:t> </w:t>
      </w:r>
      <w:r>
        <w:rPr>
          <w:sz w:val="22"/>
        </w:rPr>
        <w:t>client</w:t>
      </w:r>
      <w:r>
        <w:rPr>
          <w:spacing w:val="-3"/>
          <w:sz w:val="22"/>
        </w:rPr>
        <w:t> </w:t>
      </w:r>
      <w:r>
        <w:rPr>
          <w:sz w:val="22"/>
        </w:rPr>
        <w:t>responsible</w:t>
      </w:r>
      <w:r>
        <w:rPr>
          <w:spacing w:val="-3"/>
          <w:sz w:val="22"/>
        </w:rPr>
        <w:t> </w:t>
      </w:r>
      <w:r>
        <w:rPr>
          <w:sz w:val="22"/>
        </w:rPr>
        <w:t>for</w:t>
      </w:r>
      <w:r>
        <w:rPr>
          <w:spacing w:val="-3"/>
          <w:sz w:val="22"/>
        </w:rPr>
        <w:t> </w:t>
      </w:r>
      <w:r>
        <w:rPr>
          <w:sz w:val="22"/>
        </w:rPr>
        <w:t>upkeep</w:t>
      </w:r>
      <w:r>
        <w:rPr>
          <w:spacing w:val="-3"/>
          <w:sz w:val="22"/>
        </w:rPr>
        <w:t> </w:t>
      </w:r>
      <w:r>
        <w:rPr>
          <w:sz w:val="22"/>
        </w:rPr>
        <w:t>of</w:t>
      </w:r>
      <w:r>
        <w:rPr>
          <w:spacing w:val="-3"/>
          <w:sz w:val="22"/>
        </w:rPr>
        <w:t> </w:t>
      </w:r>
      <w:r>
        <w:rPr>
          <w:sz w:val="22"/>
        </w:rPr>
        <w:t>tools,</w:t>
      </w:r>
      <w:r>
        <w:rPr>
          <w:spacing w:val="-3"/>
          <w:sz w:val="22"/>
        </w:rPr>
        <w:t> </w:t>
      </w:r>
      <w:r>
        <w:rPr>
          <w:sz w:val="22"/>
        </w:rPr>
        <w:t>etc,</w:t>
      </w:r>
      <w:r>
        <w:rPr>
          <w:spacing w:val="-3"/>
          <w:sz w:val="22"/>
        </w:rPr>
        <w:t> </w:t>
      </w:r>
      <w:r>
        <w:rPr>
          <w:sz w:val="22"/>
        </w:rPr>
        <w:t>RVS</w:t>
      </w:r>
      <w:r>
        <w:rPr>
          <w:spacing w:val="-3"/>
          <w:sz w:val="22"/>
        </w:rPr>
        <w:t> </w:t>
      </w:r>
      <w:r>
        <w:rPr>
          <w:sz w:val="22"/>
        </w:rPr>
        <w:t>will</w:t>
      </w:r>
      <w:r>
        <w:rPr>
          <w:spacing w:val="-3"/>
          <w:sz w:val="22"/>
        </w:rPr>
        <w:t> </w:t>
      </w:r>
      <w:r>
        <w:rPr>
          <w:sz w:val="22"/>
        </w:rPr>
        <w:t>pay</w:t>
      </w:r>
      <w:r>
        <w:rPr>
          <w:spacing w:val="-3"/>
          <w:sz w:val="22"/>
        </w:rPr>
        <w:t> </w:t>
      </w:r>
      <w:r>
        <w:rPr>
          <w:sz w:val="22"/>
        </w:rPr>
        <w:t>for</w:t>
      </w:r>
      <w:r>
        <w:rPr>
          <w:spacing w:val="-3"/>
          <w:sz w:val="22"/>
        </w:rPr>
        <w:t> </w:t>
      </w:r>
      <w:r>
        <w:rPr>
          <w:sz w:val="22"/>
        </w:rPr>
        <w:t>repair</w:t>
      </w:r>
      <w:r>
        <w:rPr>
          <w:spacing w:val="-3"/>
          <w:sz w:val="22"/>
        </w:rPr>
        <w:t> </w:t>
      </w:r>
      <w:r>
        <w:rPr>
          <w:sz w:val="22"/>
        </w:rPr>
        <w:t>only when no evidence of neglect or abuse</w:t>
      </w:r>
    </w:p>
    <w:p>
      <w:pPr>
        <w:tabs>
          <w:tab w:pos="1439" w:val="left" w:leader="none"/>
        </w:tabs>
        <w:spacing w:line="252" w:lineRule="exact" w:before="0"/>
        <w:ind w:left="359" w:right="0" w:firstLine="0"/>
        <w:jc w:val="left"/>
        <w:rPr>
          <w:sz w:val="22"/>
        </w:rPr>
      </w:pPr>
      <w:r>
        <w:rPr>
          <w:spacing w:val="-2"/>
          <w:sz w:val="22"/>
        </w:rPr>
        <w:t>3-1-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5</w:t>
      </w:r>
    </w:p>
    <w:p>
      <w:pPr>
        <w:tabs>
          <w:tab w:pos="1439" w:val="left" w:leader="none"/>
        </w:tabs>
        <w:spacing w:before="0"/>
        <w:ind w:left="359" w:right="4278" w:firstLine="1080"/>
        <w:jc w:val="left"/>
        <w:rPr>
          <w:sz w:val="22"/>
        </w:rPr>
      </w:pPr>
      <w:r>
        <w:rPr>
          <w:sz w:val="22"/>
        </w:rPr>
        <w:t>Emergency,</w:t>
      </w:r>
      <w:r>
        <w:rPr>
          <w:spacing w:val="-10"/>
          <w:sz w:val="22"/>
        </w:rPr>
        <w:t> </w:t>
      </w:r>
      <w:r>
        <w:rPr>
          <w:sz w:val="22"/>
        </w:rPr>
        <w:t>strengthened</w:t>
      </w:r>
      <w:r>
        <w:rPr>
          <w:spacing w:val="-10"/>
          <w:sz w:val="22"/>
        </w:rPr>
        <w:t> </w:t>
      </w:r>
      <w:r>
        <w:rPr>
          <w:sz w:val="22"/>
        </w:rPr>
        <w:t>changes</w:t>
      </w:r>
      <w:r>
        <w:rPr>
          <w:spacing w:val="-11"/>
          <w:sz w:val="22"/>
        </w:rPr>
        <w:t> </w:t>
      </w:r>
      <w:r>
        <w:rPr>
          <w:sz w:val="22"/>
        </w:rPr>
        <w:t>made</w:t>
      </w:r>
      <w:r>
        <w:rPr>
          <w:spacing w:val="-10"/>
          <w:sz w:val="22"/>
        </w:rPr>
        <w:t> </w:t>
      </w:r>
      <w:r>
        <w:rPr>
          <w:sz w:val="22"/>
        </w:rPr>
        <w:t>4-3-96 </w:t>
      </w:r>
      <w:r>
        <w:rPr>
          <w:spacing w:val="-2"/>
          <w:sz w:val="22"/>
        </w:rPr>
        <w:t>7-1-97</w:t>
      </w:r>
      <w:r>
        <w:rPr>
          <w:sz w:val="22"/>
        </w:rPr>
        <w:tab/>
        <w:t>PT Memo #97-9</w:t>
      </w:r>
    </w:p>
    <w:p>
      <w:pPr>
        <w:tabs>
          <w:tab w:pos="1439" w:val="left" w:leader="none"/>
        </w:tabs>
        <w:spacing w:before="0"/>
        <w:ind w:left="359" w:right="2454" w:firstLine="1080"/>
        <w:jc w:val="left"/>
        <w:rPr>
          <w:sz w:val="22"/>
        </w:rPr>
      </w:pPr>
      <w:r>
        <w:rPr>
          <w:sz w:val="22"/>
        </w:rPr>
        <w:t>Permanent,</w:t>
      </w:r>
      <w:r>
        <w:rPr>
          <w:spacing w:val="-5"/>
          <w:sz w:val="22"/>
        </w:rPr>
        <w:t> </w:t>
      </w:r>
      <w:r>
        <w:rPr>
          <w:sz w:val="22"/>
        </w:rPr>
        <w:t>supersedes</w:t>
      </w:r>
      <w:r>
        <w:rPr>
          <w:spacing w:val="-6"/>
          <w:sz w:val="22"/>
        </w:rPr>
        <w:t> </w:t>
      </w:r>
      <w:r>
        <w:rPr>
          <w:sz w:val="22"/>
        </w:rPr>
        <w:t>emergency</w:t>
      </w:r>
      <w:r>
        <w:rPr>
          <w:spacing w:val="-5"/>
          <w:sz w:val="22"/>
        </w:rPr>
        <w:t> </w:t>
      </w:r>
      <w:r>
        <w:rPr>
          <w:sz w:val="22"/>
        </w:rPr>
        <w:t>rules</w:t>
      </w:r>
      <w:r>
        <w:rPr>
          <w:spacing w:val="-5"/>
          <w:sz w:val="22"/>
        </w:rPr>
        <w:t> </w:t>
      </w:r>
      <w:r>
        <w:rPr>
          <w:sz w:val="22"/>
        </w:rPr>
        <w:t>issued</w:t>
      </w:r>
      <w:r>
        <w:rPr>
          <w:spacing w:val="-6"/>
          <w:sz w:val="22"/>
        </w:rPr>
        <w:t> </w:t>
      </w:r>
      <w:r>
        <w:rPr>
          <w:sz w:val="22"/>
        </w:rPr>
        <w:t>4-3-96</w:t>
      </w:r>
      <w:r>
        <w:rPr>
          <w:spacing w:val="-5"/>
          <w:sz w:val="22"/>
        </w:rPr>
        <w:t> </w:t>
      </w:r>
      <w:r>
        <w:rPr>
          <w:sz w:val="22"/>
        </w:rPr>
        <w:t>and</w:t>
      </w:r>
      <w:r>
        <w:rPr>
          <w:spacing w:val="-5"/>
          <w:sz w:val="22"/>
        </w:rPr>
        <w:t> </w:t>
      </w:r>
      <w:r>
        <w:rPr>
          <w:sz w:val="22"/>
        </w:rPr>
        <w:t>3-1-97 </w:t>
      </w:r>
      <w:r>
        <w:rPr>
          <w:spacing w:val="-2"/>
          <w:sz w:val="22"/>
        </w:rPr>
        <w:t>6-14-99</w:t>
      </w:r>
      <w:r>
        <w:rPr>
          <w:sz w:val="22"/>
        </w:rPr>
        <w:tab/>
        <w:t>POL Memo #99-7</w:t>
      </w:r>
    </w:p>
    <w:p>
      <w:pPr>
        <w:tabs>
          <w:tab w:pos="1439" w:val="left" w:leader="none"/>
        </w:tabs>
        <w:spacing w:before="0"/>
        <w:ind w:left="359" w:right="4414" w:firstLine="1080"/>
        <w:jc w:val="left"/>
        <w:rPr>
          <w:sz w:val="22"/>
        </w:rPr>
      </w:pPr>
      <w:r>
        <w:rPr>
          <w:sz w:val="22"/>
        </w:rPr>
        <w:t>Emergency,</w:t>
      </w:r>
      <w:r>
        <w:rPr>
          <w:spacing w:val="-7"/>
          <w:sz w:val="22"/>
        </w:rPr>
        <w:t> </w:t>
      </w:r>
      <w:r>
        <w:rPr>
          <w:sz w:val="22"/>
        </w:rPr>
        <w:t>updated</w:t>
      </w:r>
      <w:r>
        <w:rPr>
          <w:spacing w:val="-7"/>
          <w:sz w:val="22"/>
        </w:rPr>
        <w:t> </w:t>
      </w:r>
      <w:r>
        <w:rPr>
          <w:sz w:val="22"/>
        </w:rPr>
        <w:t>DVR/DVS</w:t>
      </w:r>
      <w:r>
        <w:rPr>
          <w:spacing w:val="-7"/>
          <w:sz w:val="22"/>
        </w:rPr>
        <w:t> </w:t>
      </w:r>
      <w:r>
        <w:rPr>
          <w:sz w:val="22"/>
        </w:rPr>
        <w:t>and</w:t>
      </w:r>
      <w:r>
        <w:rPr>
          <w:spacing w:val="-7"/>
          <w:sz w:val="22"/>
        </w:rPr>
        <w:t> </w:t>
      </w:r>
      <w:r>
        <w:rPr>
          <w:sz w:val="22"/>
        </w:rPr>
        <w:t>IRP</w:t>
      </w:r>
      <w:r>
        <w:rPr>
          <w:spacing w:val="-7"/>
          <w:sz w:val="22"/>
        </w:rPr>
        <w:t> </w:t>
      </w:r>
      <w:r>
        <w:rPr>
          <w:sz w:val="22"/>
        </w:rPr>
        <w:t>to</w:t>
      </w:r>
      <w:r>
        <w:rPr>
          <w:spacing w:val="-7"/>
          <w:sz w:val="22"/>
        </w:rPr>
        <w:t> </w:t>
      </w:r>
      <w:r>
        <w:rPr>
          <w:sz w:val="22"/>
        </w:rPr>
        <w:t>IPE </w:t>
      </w:r>
      <w:r>
        <w:rPr>
          <w:spacing w:val="-2"/>
          <w:sz w:val="22"/>
        </w:rPr>
        <w:t>7-1-99</w:t>
      </w:r>
      <w:r>
        <w:rPr>
          <w:sz w:val="22"/>
        </w:rPr>
        <w:tab/>
        <w:t>POL Memo #00-1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7-1-06</w:t>
      </w:r>
      <w:r>
        <w:rPr>
          <w:sz w:val="22"/>
        </w:rPr>
        <w:tab/>
        <w:t>PT Memo #07-01</w:t>
      </w:r>
    </w:p>
    <w:p>
      <w:pPr>
        <w:tabs>
          <w:tab w:pos="1439" w:val="left" w:leader="none"/>
        </w:tabs>
        <w:spacing w:before="0"/>
        <w:ind w:left="359" w:right="2212" w:firstLine="1080"/>
        <w:jc w:val="left"/>
        <w:rPr>
          <w:sz w:val="22"/>
        </w:rPr>
      </w:pPr>
      <w:r>
        <w:rPr>
          <w:sz w:val="22"/>
        </w:rPr>
        <w:t>Permanent,</w:t>
      </w:r>
      <w:r>
        <w:rPr>
          <w:spacing w:val="-3"/>
          <w:sz w:val="22"/>
        </w:rPr>
        <w:t> </w:t>
      </w:r>
      <w:r>
        <w:rPr>
          <w:sz w:val="22"/>
        </w:rPr>
        <w:t>added</w:t>
      </w:r>
      <w:r>
        <w:rPr>
          <w:spacing w:val="-4"/>
          <w:sz w:val="22"/>
        </w:rPr>
        <w:t> </w:t>
      </w:r>
      <w:r>
        <w:rPr>
          <w:sz w:val="22"/>
        </w:rPr>
        <w:t>language</w:t>
      </w:r>
      <w:r>
        <w:rPr>
          <w:spacing w:val="-4"/>
          <w:sz w:val="22"/>
        </w:rPr>
        <w:t> </w:t>
      </w:r>
      <w:r>
        <w:rPr>
          <w:sz w:val="22"/>
        </w:rPr>
        <w:t>that</w:t>
      </w:r>
      <w:r>
        <w:rPr>
          <w:spacing w:val="-4"/>
          <w:sz w:val="22"/>
        </w:rPr>
        <w:t> </w:t>
      </w:r>
      <w:r>
        <w:rPr>
          <w:sz w:val="22"/>
        </w:rPr>
        <w:t>we</w:t>
      </w:r>
      <w:r>
        <w:rPr>
          <w:spacing w:val="-4"/>
          <w:sz w:val="22"/>
        </w:rPr>
        <w:t> </w:t>
      </w:r>
      <w:r>
        <w:rPr>
          <w:sz w:val="22"/>
        </w:rPr>
        <w:t>will</w:t>
      </w:r>
      <w:r>
        <w:rPr>
          <w:spacing w:val="-4"/>
          <w:sz w:val="22"/>
        </w:rPr>
        <w:t> </w:t>
      </w:r>
      <w:r>
        <w:rPr>
          <w:sz w:val="22"/>
        </w:rPr>
        <w:t>not</w:t>
      </w:r>
      <w:r>
        <w:rPr>
          <w:spacing w:val="-4"/>
          <w:sz w:val="22"/>
        </w:rPr>
        <w:t> </w:t>
      </w:r>
      <w:r>
        <w:rPr>
          <w:sz w:val="22"/>
        </w:rPr>
        <w:t>pay</w:t>
      </w:r>
      <w:r>
        <w:rPr>
          <w:spacing w:val="-4"/>
          <w:sz w:val="22"/>
        </w:rPr>
        <w:t> </w:t>
      </w:r>
      <w:r>
        <w:rPr>
          <w:sz w:val="22"/>
        </w:rPr>
        <w:t>for</w:t>
      </w:r>
      <w:r>
        <w:rPr>
          <w:spacing w:val="-4"/>
          <w:sz w:val="22"/>
        </w:rPr>
        <w:t> </w:t>
      </w:r>
      <w:r>
        <w:rPr>
          <w:sz w:val="22"/>
        </w:rPr>
        <w:t>operable</w:t>
      </w:r>
      <w:r>
        <w:rPr>
          <w:spacing w:val="-5"/>
          <w:sz w:val="22"/>
        </w:rPr>
        <w:t> </w:t>
      </w:r>
      <w:r>
        <w:rPr>
          <w:sz w:val="22"/>
        </w:rPr>
        <w:t>firearms </w:t>
      </w:r>
      <w:r>
        <w:rPr>
          <w:spacing w:val="-2"/>
          <w:sz w:val="22"/>
        </w:rPr>
        <w:t>9-12-14</w:t>
      </w:r>
      <w:r>
        <w:rPr>
          <w:sz w:val="22"/>
        </w:rPr>
        <w:tab/>
        <w:t>Updated language</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line="253" w:lineRule="exact" w:before="1"/>
        <w:ind w:left="359" w:right="0" w:firstLine="0"/>
        <w:jc w:val="left"/>
        <w:rPr>
          <w:sz w:val="22"/>
        </w:rPr>
      </w:pPr>
      <w:r>
        <w:rPr>
          <w:spacing w:val="-2"/>
          <w:sz w:val="22"/>
        </w:rPr>
        <w:t>9-30-</w:t>
      </w:r>
      <w:r>
        <w:rPr>
          <w:spacing w:val="-5"/>
          <w:sz w:val="22"/>
        </w:rPr>
        <w:t>19</w:t>
      </w:r>
      <w:r>
        <w:rPr>
          <w:sz w:val="22"/>
        </w:rPr>
        <w:tab/>
        <w:t>Added</w:t>
      </w:r>
      <w:r>
        <w:rPr>
          <w:spacing w:val="-5"/>
          <w:sz w:val="22"/>
        </w:rPr>
        <w:t> </w:t>
      </w:r>
      <w:r>
        <w:rPr>
          <w:sz w:val="22"/>
        </w:rPr>
        <w:t>ITS</w:t>
      </w:r>
      <w:r>
        <w:rPr>
          <w:spacing w:val="-4"/>
          <w:sz w:val="22"/>
        </w:rPr>
        <w:t> </w:t>
      </w:r>
      <w:r>
        <w:rPr>
          <w:sz w:val="22"/>
        </w:rPr>
        <w:t>#5</w:t>
      </w:r>
      <w:r>
        <w:rPr>
          <w:spacing w:val="-4"/>
          <w:sz w:val="22"/>
        </w:rPr>
        <w:t> </w:t>
      </w:r>
      <w:r>
        <w:rPr>
          <w:sz w:val="22"/>
        </w:rPr>
        <w:t>and</w:t>
      </w:r>
      <w:r>
        <w:rPr>
          <w:spacing w:val="-4"/>
          <w:sz w:val="22"/>
        </w:rPr>
        <w:t> </w:t>
      </w:r>
      <w:r>
        <w:rPr>
          <w:spacing w:val="-2"/>
          <w:sz w:val="22"/>
        </w:rPr>
        <w:t>hyperlink.</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tabs>
          <w:tab w:pos="1439" w:val="left" w:leader="none"/>
        </w:tabs>
        <w:spacing w:before="0"/>
        <w:ind w:left="359" w:right="0" w:firstLine="0"/>
        <w:jc w:val="left"/>
        <w:rPr>
          <w:sz w:val="22"/>
        </w:rPr>
      </w:pPr>
      <w:r>
        <w:rPr>
          <w:spacing w:val="-2"/>
          <w:sz w:val="22"/>
        </w:rPr>
        <w:t>8-26-</w:t>
      </w:r>
      <w:r>
        <w:rPr>
          <w:spacing w:val="-5"/>
          <w:sz w:val="22"/>
        </w:rPr>
        <w:t>21</w:t>
      </w:r>
      <w:r>
        <w:rPr>
          <w:sz w:val="22"/>
        </w:rPr>
        <w:tab/>
        <w:t>Revised</w:t>
      </w:r>
      <w:r>
        <w:rPr>
          <w:spacing w:val="-7"/>
          <w:sz w:val="22"/>
        </w:rPr>
        <w:t> </w:t>
      </w:r>
      <w:r>
        <w:rPr>
          <w:sz w:val="22"/>
        </w:rPr>
        <w:t>to</w:t>
      </w:r>
      <w:r>
        <w:rPr>
          <w:spacing w:val="-6"/>
          <w:sz w:val="22"/>
        </w:rPr>
        <w:t> </w:t>
      </w:r>
      <w:r>
        <w:rPr>
          <w:sz w:val="22"/>
        </w:rPr>
        <w:t>reflect</w:t>
      </w:r>
      <w:r>
        <w:rPr>
          <w:spacing w:val="-7"/>
          <w:sz w:val="22"/>
        </w:rPr>
        <w:t> </w:t>
      </w:r>
      <w:r>
        <w:rPr>
          <w:sz w:val="22"/>
        </w:rPr>
        <w:t>WIOA</w:t>
      </w:r>
      <w:r>
        <w:rPr>
          <w:spacing w:val="-6"/>
          <w:sz w:val="22"/>
        </w:rPr>
        <w:t> </w:t>
      </w:r>
      <w:r>
        <w:rPr>
          <w:spacing w:val="-2"/>
          <w:sz w:val="22"/>
        </w:rPr>
        <w:t>language.</w:t>
      </w:r>
    </w:p>
    <w:p>
      <w:pPr>
        <w:tabs>
          <w:tab w:pos="1439" w:val="left" w:leader="none"/>
        </w:tabs>
        <w:spacing w:before="0"/>
        <w:ind w:left="359" w:right="0" w:firstLine="0"/>
        <w:jc w:val="left"/>
        <w:rPr>
          <w:sz w:val="22"/>
        </w:rPr>
      </w:pPr>
      <w:r>
        <w:rPr>
          <w:spacing w:val="-2"/>
          <w:sz w:val="22"/>
        </w:rPr>
        <w:t>9-11-</w:t>
      </w:r>
      <w:r>
        <w:rPr>
          <w:spacing w:val="-5"/>
          <w:sz w:val="22"/>
        </w:rPr>
        <w:t>22</w:t>
      </w:r>
      <w:r>
        <w:rPr>
          <w:sz w:val="22"/>
        </w:rPr>
        <w:tab/>
        <w:t>Removal</w:t>
      </w:r>
      <w:r>
        <w:rPr>
          <w:spacing w:val="-8"/>
          <w:sz w:val="22"/>
        </w:rPr>
        <w:t> </w:t>
      </w:r>
      <w:r>
        <w:rPr>
          <w:sz w:val="22"/>
        </w:rPr>
        <w:t>of</w:t>
      </w:r>
      <w:r>
        <w:rPr>
          <w:spacing w:val="-8"/>
          <w:sz w:val="22"/>
        </w:rPr>
        <w:t> </w:t>
      </w:r>
      <w:r>
        <w:rPr>
          <w:sz w:val="22"/>
        </w:rPr>
        <w:t>section</w:t>
      </w:r>
      <w:r>
        <w:rPr>
          <w:spacing w:val="-7"/>
          <w:sz w:val="22"/>
        </w:rPr>
        <w:t> </w:t>
      </w:r>
      <w:r>
        <w:rPr>
          <w:sz w:val="22"/>
        </w:rPr>
        <w:t>(f)</w:t>
      </w:r>
      <w:r>
        <w:rPr>
          <w:spacing w:val="-8"/>
          <w:sz w:val="22"/>
        </w:rPr>
        <w:t> </w:t>
      </w:r>
      <w:r>
        <w:rPr>
          <w:sz w:val="22"/>
        </w:rPr>
        <w:t>regarding</w:t>
      </w:r>
      <w:r>
        <w:rPr>
          <w:spacing w:val="-7"/>
          <w:sz w:val="22"/>
        </w:rPr>
        <w:t> </w:t>
      </w:r>
      <w:r>
        <w:rPr>
          <w:sz w:val="22"/>
        </w:rPr>
        <w:t>occupational</w:t>
      </w:r>
      <w:r>
        <w:rPr>
          <w:spacing w:val="-8"/>
          <w:sz w:val="22"/>
        </w:rPr>
        <w:t> </w:t>
      </w:r>
      <w:r>
        <w:rPr>
          <w:spacing w:val="-2"/>
          <w:sz w:val="22"/>
        </w:rPr>
        <w:t>licenses.</w:t>
      </w:r>
    </w:p>
    <w:p>
      <w:pPr>
        <w:spacing w:after="0"/>
        <w:jc w:val="left"/>
        <w:rPr>
          <w:sz w:val="22"/>
        </w:rPr>
        <w:sectPr>
          <w:pgSz w:w="12240" w:h="15840"/>
          <w:pgMar w:top="1340" w:bottom="280" w:left="1080" w:right="720"/>
        </w:sectPr>
      </w:pPr>
    </w:p>
    <w:p>
      <w:pPr>
        <w:pStyle w:val="Heading2"/>
      </w:pPr>
      <w:bookmarkStart w:name="612:10-7-218.  Occupational licenses and" w:id="218"/>
      <w:bookmarkEnd w:id="218"/>
      <w:r>
        <w:rPr>
          <w:b w:val="0"/>
        </w:rPr>
      </w:r>
      <w:r>
        <w:rPr/>
        <w:t>612:10-7-218.</w:t>
      </w:r>
      <w:r>
        <w:rPr>
          <w:spacing w:val="54"/>
        </w:rPr>
        <w:t> </w:t>
      </w:r>
      <w:r>
        <w:rPr/>
        <w:t>Occupational</w:t>
      </w:r>
      <w:r>
        <w:rPr>
          <w:spacing w:val="-5"/>
        </w:rPr>
        <w:t> </w:t>
      </w:r>
      <w:r>
        <w:rPr/>
        <w:t>licenses</w:t>
      </w:r>
      <w:r>
        <w:rPr>
          <w:spacing w:val="-5"/>
        </w:rPr>
        <w:t> </w:t>
      </w:r>
      <w:r>
        <w:rPr/>
        <w:t>and</w:t>
      </w:r>
      <w:r>
        <w:rPr>
          <w:spacing w:val="-4"/>
        </w:rPr>
        <w:t> </w:t>
      </w:r>
      <w:r>
        <w:rPr>
          <w:spacing w:val="-2"/>
        </w:rPr>
        <w:t>certification</w:t>
      </w:r>
    </w:p>
    <w:p>
      <w:pPr>
        <w:pStyle w:val="ListParagraph"/>
        <w:numPr>
          <w:ilvl w:val="0"/>
          <w:numId w:val="235"/>
        </w:numPr>
        <w:tabs>
          <w:tab w:pos="785" w:val="left" w:leader="none"/>
        </w:tabs>
        <w:spacing w:line="208" w:lineRule="auto" w:before="233" w:after="0"/>
        <w:ind w:left="360" w:right="792" w:firstLine="0"/>
        <w:jc w:val="left"/>
        <w:rPr>
          <w:sz w:val="24"/>
        </w:rPr>
      </w:pPr>
      <w:r>
        <w:rPr>
          <w:sz w:val="24"/>
        </w:rPr>
        <w:t>Occupational licenses are those licenses required by law to obtain and practice a particular</w:t>
      </w:r>
      <w:r>
        <w:rPr>
          <w:spacing w:val="-3"/>
          <w:sz w:val="24"/>
        </w:rPr>
        <w:t> </w:t>
      </w:r>
      <w:r>
        <w:rPr>
          <w:sz w:val="24"/>
        </w:rPr>
        <w:t>profession</w:t>
      </w:r>
      <w:r>
        <w:rPr>
          <w:spacing w:val="-4"/>
          <w:sz w:val="24"/>
        </w:rPr>
        <w:t> </w:t>
      </w:r>
      <w:r>
        <w:rPr>
          <w:sz w:val="24"/>
        </w:rPr>
        <w:t>or</w:t>
      </w:r>
      <w:r>
        <w:rPr>
          <w:spacing w:val="-3"/>
          <w:sz w:val="24"/>
        </w:rPr>
        <w:t> </w:t>
      </w:r>
      <w:r>
        <w:rPr>
          <w:sz w:val="24"/>
        </w:rPr>
        <w:t>trade.</w:t>
      </w:r>
      <w:r>
        <w:rPr>
          <w:spacing w:val="-3"/>
          <w:sz w:val="24"/>
        </w:rPr>
        <w:t> </w:t>
      </w:r>
      <w:r>
        <w:rPr>
          <w:sz w:val="24"/>
        </w:rPr>
        <w:t>Fees</w:t>
      </w:r>
      <w:r>
        <w:rPr>
          <w:spacing w:val="-4"/>
          <w:sz w:val="24"/>
        </w:rPr>
        <w:t> </w:t>
      </w:r>
      <w:r>
        <w:rPr>
          <w:sz w:val="24"/>
        </w:rPr>
        <w:t>for</w:t>
      </w:r>
      <w:r>
        <w:rPr>
          <w:spacing w:val="-4"/>
          <w:sz w:val="24"/>
        </w:rPr>
        <w:t> </w:t>
      </w:r>
      <w:r>
        <w:rPr>
          <w:sz w:val="24"/>
        </w:rPr>
        <w:t>such</w:t>
      </w:r>
      <w:r>
        <w:rPr>
          <w:spacing w:val="-5"/>
          <w:sz w:val="24"/>
        </w:rPr>
        <w:t> </w:t>
      </w:r>
      <w:r>
        <w:rPr>
          <w:sz w:val="24"/>
        </w:rPr>
        <w:t>licenses</w:t>
      </w:r>
      <w:r>
        <w:rPr>
          <w:spacing w:val="-4"/>
          <w:sz w:val="24"/>
        </w:rPr>
        <w:t> </w:t>
      </w:r>
      <w:r>
        <w:rPr>
          <w:sz w:val="24"/>
        </w:rPr>
        <w:t>and</w:t>
      </w:r>
      <w:r>
        <w:rPr>
          <w:spacing w:val="-4"/>
          <w:sz w:val="24"/>
        </w:rPr>
        <w:t> </w:t>
      </w:r>
      <w:r>
        <w:rPr>
          <w:sz w:val="24"/>
        </w:rPr>
        <w:t>teacher</w:t>
      </w:r>
      <w:r>
        <w:rPr>
          <w:spacing w:val="-3"/>
          <w:sz w:val="24"/>
        </w:rPr>
        <w:t> </w:t>
      </w:r>
      <w:r>
        <w:rPr>
          <w:sz w:val="24"/>
        </w:rPr>
        <w:t>certification</w:t>
      </w:r>
      <w:r>
        <w:rPr>
          <w:spacing w:val="-4"/>
          <w:sz w:val="24"/>
        </w:rPr>
        <w:t> </w:t>
      </w:r>
      <w:r>
        <w:rPr>
          <w:sz w:val="24"/>
        </w:rPr>
        <w:t>tests</w:t>
      </w:r>
      <w:r>
        <w:rPr>
          <w:spacing w:val="-5"/>
          <w:sz w:val="24"/>
        </w:rPr>
        <w:t> </w:t>
      </w:r>
      <w:r>
        <w:rPr>
          <w:sz w:val="24"/>
        </w:rPr>
        <w:t>may be</w:t>
      </w:r>
      <w:r>
        <w:rPr>
          <w:spacing w:val="-1"/>
          <w:sz w:val="24"/>
        </w:rPr>
        <w:t> </w:t>
      </w:r>
      <w:r>
        <w:rPr>
          <w:sz w:val="24"/>
        </w:rPr>
        <w:t>provided</w:t>
      </w:r>
      <w:r>
        <w:rPr>
          <w:spacing w:val="-1"/>
          <w:sz w:val="24"/>
        </w:rPr>
        <w:t> </w:t>
      </w:r>
      <w:r>
        <w:rPr>
          <w:sz w:val="24"/>
        </w:rPr>
        <w:t>for DRS</w:t>
      </w:r>
      <w:r>
        <w:rPr>
          <w:spacing w:val="-1"/>
          <w:sz w:val="24"/>
        </w:rPr>
        <w:t> </w:t>
      </w:r>
      <w:r>
        <w:rPr>
          <w:sz w:val="24"/>
        </w:rPr>
        <w:t>clients. The training</w:t>
      </w:r>
      <w:r>
        <w:rPr>
          <w:spacing w:val="-1"/>
          <w:sz w:val="24"/>
        </w:rPr>
        <w:t> </w:t>
      </w:r>
      <w:r>
        <w:rPr>
          <w:sz w:val="24"/>
        </w:rPr>
        <w:t>facility</w:t>
      </w:r>
      <w:r>
        <w:rPr>
          <w:spacing w:val="-1"/>
          <w:sz w:val="24"/>
        </w:rPr>
        <w:t> </w:t>
      </w:r>
      <w:r>
        <w:rPr>
          <w:sz w:val="24"/>
        </w:rPr>
        <w:t>may</w:t>
      </w:r>
      <w:r>
        <w:rPr>
          <w:spacing w:val="-1"/>
          <w:sz w:val="24"/>
        </w:rPr>
        <w:t> </w:t>
      </w:r>
      <w:r>
        <w:rPr>
          <w:sz w:val="24"/>
        </w:rPr>
        <w:t>arrange</w:t>
      </w:r>
      <w:r>
        <w:rPr>
          <w:spacing w:val="-1"/>
          <w:sz w:val="24"/>
        </w:rPr>
        <w:t> </w:t>
      </w:r>
      <w:r>
        <w:rPr>
          <w:sz w:val="24"/>
        </w:rPr>
        <w:t>for</w:t>
      </w:r>
      <w:r>
        <w:rPr>
          <w:spacing w:val="-2"/>
          <w:sz w:val="24"/>
        </w:rPr>
        <w:t> </w:t>
      </w:r>
      <w:r>
        <w:rPr>
          <w:sz w:val="24"/>
        </w:rPr>
        <w:t>necessary</w:t>
      </w:r>
      <w:r>
        <w:rPr>
          <w:spacing w:val="-1"/>
          <w:sz w:val="24"/>
        </w:rPr>
        <w:t> </w:t>
      </w:r>
      <w:r>
        <w:rPr>
          <w:sz w:val="24"/>
        </w:rPr>
        <w:t>certification and it may</w:t>
      </w:r>
      <w:r>
        <w:rPr>
          <w:spacing w:val="-1"/>
          <w:sz w:val="24"/>
        </w:rPr>
        <w:t> </w:t>
      </w:r>
      <w:r>
        <w:rPr>
          <w:sz w:val="24"/>
        </w:rPr>
        <w:t>be included as a separate item on</w:t>
      </w:r>
      <w:r>
        <w:rPr>
          <w:spacing w:val="-1"/>
          <w:sz w:val="24"/>
        </w:rPr>
        <w:t> </w:t>
      </w:r>
      <w:r>
        <w:rPr>
          <w:sz w:val="24"/>
        </w:rPr>
        <w:t>the training authorization. If</w:t>
      </w:r>
      <w:r>
        <w:rPr>
          <w:spacing w:val="-1"/>
          <w:sz w:val="24"/>
        </w:rPr>
        <w:t> </w:t>
      </w:r>
      <w:r>
        <w:rPr>
          <w:sz w:val="24"/>
        </w:rPr>
        <w:t>training is not involved, the license fee is authorized upon evidence of a skill.</w:t>
      </w:r>
    </w:p>
    <w:p>
      <w:pPr>
        <w:pStyle w:val="ListParagraph"/>
        <w:numPr>
          <w:ilvl w:val="0"/>
          <w:numId w:val="235"/>
        </w:numPr>
        <w:tabs>
          <w:tab w:pos="786" w:val="left" w:leader="none"/>
        </w:tabs>
        <w:spacing w:line="240" w:lineRule="auto" w:before="210" w:after="0"/>
        <w:ind w:left="786" w:right="0" w:hanging="426"/>
        <w:jc w:val="left"/>
        <w:rPr>
          <w:sz w:val="24"/>
        </w:rPr>
      </w:pPr>
      <w:r>
        <w:rPr>
          <w:sz w:val="24"/>
        </w:rPr>
        <w:t>Clients</w:t>
      </w:r>
      <w:r>
        <w:rPr>
          <w:spacing w:val="-6"/>
          <w:sz w:val="24"/>
        </w:rPr>
        <w:t> </w:t>
      </w:r>
      <w:r>
        <w:rPr>
          <w:sz w:val="24"/>
        </w:rPr>
        <w:t>will</w:t>
      </w:r>
      <w:r>
        <w:rPr>
          <w:spacing w:val="-3"/>
          <w:sz w:val="24"/>
        </w:rPr>
        <w:t> </w:t>
      </w:r>
      <w:r>
        <w:rPr>
          <w:sz w:val="24"/>
        </w:rPr>
        <w:t>be</w:t>
      </w:r>
      <w:r>
        <w:rPr>
          <w:spacing w:val="-3"/>
          <w:sz w:val="24"/>
        </w:rPr>
        <w:t> </w:t>
      </w:r>
      <w:r>
        <w:rPr>
          <w:sz w:val="24"/>
        </w:rPr>
        <w:t>responsible</w:t>
      </w:r>
      <w:r>
        <w:rPr>
          <w:spacing w:val="-3"/>
          <w:sz w:val="24"/>
        </w:rPr>
        <w:t> </w:t>
      </w:r>
      <w:r>
        <w:rPr>
          <w:sz w:val="24"/>
        </w:rPr>
        <w:t>for</w:t>
      </w:r>
      <w:r>
        <w:rPr>
          <w:spacing w:val="-4"/>
          <w:sz w:val="24"/>
        </w:rPr>
        <w:t> </w:t>
      </w:r>
      <w:r>
        <w:rPr>
          <w:sz w:val="24"/>
        </w:rPr>
        <w:t>renewal</w:t>
      </w:r>
      <w:r>
        <w:rPr>
          <w:spacing w:val="-3"/>
          <w:sz w:val="24"/>
        </w:rPr>
        <w:t> </w:t>
      </w:r>
      <w:r>
        <w:rPr>
          <w:sz w:val="24"/>
        </w:rPr>
        <w:t>of</w:t>
      </w:r>
      <w:r>
        <w:rPr>
          <w:spacing w:val="-2"/>
          <w:sz w:val="24"/>
        </w:rPr>
        <w:t> </w:t>
      </w:r>
      <w:r>
        <w:rPr>
          <w:sz w:val="24"/>
        </w:rPr>
        <w:t>licenses</w:t>
      </w:r>
      <w:r>
        <w:rPr>
          <w:spacing w:val="-3"/>
          <w:sz w:val="24"/>
        </w:rPr>
        <w:t> </w:t>
      </w:r>
      <w:r>
        <w:rPr>
          <w:sz w:val="24"/>
        </w:rPr>
        <w:t>purchased</w:t>
      </w:r>
      <w:r>
        <w:rPr>
          <w:spacing w:val="-3"/>
          <w:sz w:val="24"/>
        </w:rPr>
        <w:t> </w:t>
      </w:r>
      <w:r>
        <w:rPr>
          <w:sz w:val="24"/>
        </w:rPr>
        <w:t>by</w:t>
      </w:r>
      <w:r>
        <w:rPr>
          <w:spacing w:val="-3"/>
          <w:sz w:val="24"/>
        </w:rPr>
        <w:t> </w:t>
      </w:r>
      <w:r>
        <w:rPr>
          <w:spacing w:val="-4"/>
          <w:sz w:val="24"/>
        </w:rPr>
        <w:t>DRS.</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pPr>
      <w:bookmarkStart w:name="612:10-7-219.  Purchase of motor vehicle" w:id="219"/>
      <w:bookmarkEnd w:id="219"/>
      <w:r>
        <w:rPr>
          <w:b w:val="0"/>
        </w:rPr>
      </w:r>
      <w:r>
        <w:rPr/>
        <w:t>612:10-7-219.</w:t>
      </w:r>
      <w:r>
        <w:rPr>
          <w:spacing w:val="59"/>
        </w:rPr>
        <w:t> </w:t>
      </w:r>
      <w:r>
        <w:rPr/>
        <w:t>Purchase</w:t>
      </w:r>
      <w:r>
        <w:rPr>
          <w:spacing w:val="-4"/>
        </w:rPr>
        <w:t> </w:t>
      </w:r>
      <w:r>
        <w:rPr/>
        <w:t>of</w:t>
      </w:r>
      <w:r>
        <w:rPr>
          <w:spacing w:val="-3"/>
        </w:rPr>
        <w:t> </w:t>
      </w:r>
      <w:r>
        <w:rPr/>
        <w:t>motor</w:t>
      </w:r>
      <w:r>
        <w:rPr>
          <w:spacing w:val="-3"/>
        </w:rPr>
        <w:t> </w:t>
      </w:r>
      <w:r>
        <w:rPr>
          <w:spacing w:val="-2"/>
        </w:rPr>
        <w:t>vehicles</w:t>
      </w:r>
    </w:p>
    <w:p>
      <w:pPr>
        <w:pStyle w:val="BodyText"/>
        <w:spacing w:line="208" w:lineRule="auto" w:before="233"/>
        <w:ind w:right="775" w:firstLine="432"/>
      </w:pPr>
      <w:r>
        <w:rPr/>
        <w:t>It</w:t>
      </w:r>
      <w:r>
        <w:rPr>
          <w:spacing w:val="-2"/>
        </w:rPr>
        <w:t> </w:t>
      </w:r>
      <w:r>
        <w:rPr/>
        <w:t>is</w:t>
      </w:r>
      <w:r>
        <w:rPr>
          <w:spacing w:val="-3"/>
        </w:rPr>
        <w:t> </w:t>
      </w:r>
      <w:r>
        <w:rPr/>
        <w:t>DRS</w:t>
      </w:r>
      <w:r>
        <w:rPr>
          <w:spacing w:val="-3"/>
        </w:rPr>
        <w:t> </w:t>
      </w:r>
      <w:r>
        <w:rPr/>
        <w:t>policy</w:t>
      </w:r>
      <w:r>
        <w:rPr>
          <w:spacing w:val="-3"/>
        </w:rPr>
        <w:t> </w:t>
      </w:r>
      <w:r>
        <w:rPr/>
        <w:t>not</w:t>
      </w:r>
      <w:r>
        <w:rPr>
          <w:spacing w:val="-2"/>
        </w:rPr>
        <w:t> </w:t>
      </w:r>
      <w:r>
        <w:rPr/>
        <w:t>to</w:t>
      </w:r>
      <w:r>
        <w:rPr>
          <w:spacing w:val="-3"/>
        </w:rPr>
        <w:t> </w:t>
      </w:r>
      <w:r>
        <w:rPr/>
        <w:t>purchase</w:t>
      </w:r>
      <w:r>
        <w:rPr>
          <w:spacing w:val="-3"/>
        </w:rPr>
        <w:t> </w:t>
      </w:r>
      <w:r>
        <w:rPr/>
        <w:t>motor</w:t>
      </w:r>
      <w:r>
        <w:rPr>
          <w:spacing w:val="-2"/>
        </w:rPr>
        <w:t> </w:t>
      </w:r>
      <w:r>
        <w:rPr/>
        <w:t>vehicles</w:t>
      </w:r>
      <w:r>
        <w:rPr>
          <w:spacing w:val="-3"/>
        </w:rPr>
        <w:t> </w:t>
      </w:r>
      <w:r>
        <w:rPr/>
        <w:t>either</w:t>
      </w:r>
      <w:r>
        <w:rPr>
          <w:spacing w:val="-2"/>
        </w:rPr>
        <w:t> </w:t>
      </w:r>
      <w:r>
        <w:rPr/>
        <w:t>for</w:t>
      </w:r>
      <w:r>
        <w:rPr>
          <w:spacing w:val="-2"/>
        </w:rPr>
        <w:t> </w:t>
      </w:r>
      <w:r>
        <w:rPr/>
        <w:t>an</w:t>
      </w:r>
      <w:r>
        <w:rPr>
          <w:spacing w:val="-3"/>
        </w:rPr>
        <w:t> </w:t>
      </w:r>
      <w:r>
        <w:rPr/>
        <w:t>individual</w:t>
      </w:r>
      <w:r>
        <w:rPr>
          <w:spacing w:val="-3"/>
        </w:rPr>
        <w:t> </w:t>
      </w:r>
      <w:r>
        <w:rPr/>
        <w:t>or</w:t>
      </w:r>
      <w:r>
        <w:rPr>
          <w:spacing w:val="-2"/>
        </w:rPr>
        <w:t> </w:t>
      </w:r>
      <w:r>
        <w:rPr/>
        <w:t>group</w:t>
      </w:r>
      <w:r>
        <w:rPr>
          <w:spacing w:val="-3"/>
        </w:rPr>
        <w:t> </w:t>
      </w:r>
      <w:r>
        <w:rPr/>
        <w:t>of individuals. DRS may assist with the cost attributable to the existing accessibility modifications on a new or used vehicle.</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7-1-98</w:t>
      </w:r>
      <w:r>
        <w:rPr>
          <w:sz w:val="22"/>
        </w:rPr>
        <w:tab/>
        <w:t>PT Memo #98-15</w:t>
      </w:r>
    </w:p>
    <w:p>
      <w:pPr>
        <w:spacing w:before="0"/>
        <w:ind w:left="1439" w:right="775" w:firstLine="0"/>
        <w:jc w:val="left"/>
        <w:rPr>
          <w:sz w:val="22"/>
        </w:rPr>
      </w:pPr>
      <w:r>
        <w:rPr>
          <w:sz w:val="22"/>
        </w:rPr>
        <w:t>Permanent,</w:t>
      </w:r>
      <w:r>
        <w:rPr>
          <w:spacing w:val="-3"/>
          <w:sz w:val="22"/>
        </w:rPr>
        <w:t> </w:t>
      </w:r>
      <w:r>
        <w:rPr>
          <w:sz w:val="22"/>
        </w:rPr>
        <w:t>Social</w:t>
      </w:r>
      <w:r>
        <w:rPr>
          <w:spacing w:val="-4"/>
          <w:sz w:val="22"/>
        </w:rPr>
        <w:t> </w:t>
      </w:r>
      <w:r>
        <w:rPr>
          <w:sz w:val="22"/>
        </w:rPr>
        <w:t>Security</w:t>
      </w:r>
      <w:r>
        <w:rPr>
          <w:spacing w:val="-4"/>
          <w:sz w:val="22"/>
        </w:rPr>
        <w:t> </w:t>
      </w:r>
      <w:r>
        <w:rPr>
          <w:sz w:val="22"/>
        </w:rPr>
        <w:t>regulations</w:t>
      </w:r>
      <w:r>
        <w:rPr>
          <w:spacing w:val="-4"/>
          <w:sz w:val="22"/>
        </w:rPr>
        <w:t> </w:t>
      </w:r>
      <w:r>
        <w:rPr>
          <w:sz w:val="22"/>
        </w:rPr>
        <w:t>no</w:t>
      </w:r>
      <w:r>
        <w:rPr>
          <w:spacing w:val="-4"/>
          <w:sz w:val="22"/>
        </w:rPr>
        <w:t> </w:t>
      </w:r>
      <w:r>
        <w:rPr>
          <w:sz w:val="22"/>
        </w:rPr>
        <w:t>longer</w:t>
      </w:r>
      <w:r>
        <w:rPr>
          <w:spacing w:val="-4"/>
          <w:sz w:val="22"/>
        </w:rPr>
        <w:t> </w:t>
      </w:r>
      <w:r>
        <w:rPr>
          <w:sz w:val="22"/>
        </w:rPr>
        <w:t>allow</w:t>
      </w:r>
      <w:r>
        <w:rPr>
          <w:spacing w:val="-4"/>
          <w:sz w:val="22"/>
        </w:rPr>
        <w:t> </w:t>
      </w:r>
      <w:r>
        <w:rPr>
          <w:sz w:val="22"/>
        </w:rPr>
        <w:t>use</w:t>
      </w:r>
      <w:r>
        <w:rPr>
          <w:spacing w:val="-4"/>
          <w:sz w:val="22"/>
        </w:rPr>
        <w:t> </w:t>
      </w:r>
      <w:r>
        <w:rPr>
          <w:sz w:val="22"/>
        </w:rPr>
        <w:t>of</w:t>
      </w:r>
      <w:r>
        <w:rPr>
          <w:spacing w:val="-4"/>
          <w:sz w:val="22"/>
        </w:rPr>
        <w:t> </w:t>
      </w:r>
      <w:r>
        <w:rPr>
          <w:sz w:val="22"/>
        </w:rPr>
        <w:t>PASS</w:t>
      </w:r>
      <w:r>
        <w:rPr>
          <w:spacing w:val="-4"/>
          <w:sz w:val="22"/>
        </w:rPr>
        <w:t> </w:t>
      </w:r>
      <w:r>
        <w:rPr>
          <w:sz w:val="22"/>
        </w:rPr>
        <w:t>for</w:t>
      </w:r>
      <w:r>
        <w:rPr>
          <w:spacing w:val="-4"/>
          <w:sz w:val="22"/>
        </w:rPr>
        <w:t> </w:t>
      </w:r>
      <w:r>
        <w:rPr>
          <w:sz w:val="22"/>
        </w:rPr>
        <w:t>vehicle </w:t>
      </w:r>
      <w:r>
        <w:rPr>
          <w:spacing w:val="-2"/>
          <w:sz w:val="22"/>
        </w:rPr>
        <w:t>purchase</w:t>
      </w:r>
    </w:p>
    <w:p>
      <w:pPr>
        <w:pStyle w:val="ListParagraph"/>
        <w:numPr>
          <w:ilvl w:val="2"/>
          <w:numId w:val="218"/>
        </w:numPr>
        <w:tabs>
          <w:tab w:pos="1439" w:val="left" w:leader="none"/>
        </w:tabs>
        <w:spacing w:line="252"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#10-</w:t>
      </w:r>
      <w:r>
        <w:rPr>
          <w:spacing w:val="-5"/>
          <w:sz w:val="22"/>
        </w:rPr>
        <w:t>01</w:t>
      </w:r>
    </w:p>
    <w:p>
      <w:pPr>
        <w:spacing w:before="0"/>
        <w:ind w:left="1439" w:right="775" w:firstLine="0"/>
        <w:jc w:val="left"/>
        <w:rPr>
          <w:sz w:val="22"/>
        </w:rPr>
      </w:pPr>
      <w:r>
        <w:rPr>
          <w:sz w:val="22"/>
        </w:rPr>
        <w:t>Permanent,</w:t>
      </w:r>
      <w:r>
        <w:rPr>
          <w:spacing w:val="-3"/>
          <w:sz w:val="22"/>
        </w:rPr>
        <w:t> </w:t>
      </w:r>
      <w:r>
        <w:rPr>
          <w:sz w:val="22"/>
        </w:rPr>
        <w:t>allowing</w:t>
      </w:r>
      <w:r>
        <w:rPr>
          <w:spacing w:val="-4"/>
          <w:sz w:val="22"/>
        </w:rPr>
        <w:t> </w:t>
      </w:r>
      <w:r>
        <w:rPr>
          <w:sz w:val="22"/>
        </w:rPr>
        <w:t>assistance</w:t>
      </w:r>
      <w:r>
        <w:rPr>
          <w:spacing w:val="-4"/>
          <w:sz w:val="22"/>
        </w:rPr>
        <w:t> </w:t>
      </w:r>
      <w:r>
        <w:rPr>
          <w:sz w:val="22"/>
        </w:rPr>
        <w:t>with</w:t>
      </w:r>
      <w:r>
        <w:rPr>
          <w:spacing w:val="-5"/>
          <w:sz w:val="22"/>
        </w:rPr>
        <w:t> </w:t>
      </w:r>
      <w:r>
        <w:rPr>
          <w:sz w:val="22"/>
        </w:rPr>
        <w:t>accessible</w:t>
      </w:r>
      <w:r>
        <w:rPr>
          <w:spacing w:val="-5"/>
          <w:sz w:val="22"/>
        </w:rPr>
        <w:t> </w:t>
      </w:r>
      <w:r>
        <w:rPr>
          <w:sz w:val="22"/>
        </w:rPr>
        <w:t>modifications</w:t>
      </w:r>
      <w:r>
        <w:rPr>
          <w:spacing w:val="-4"/>
          <w:sz w:val="22"/>
        </w:rPr>
        <w:t> </w:t>
      </w:r>
      <w:r>
        <w:rPr>
          <w:sz w:val="22"/>
        </w:rPr>
        <w:t>on</w:t>
      </w:r>
      <w:r>
        <w:rPr>
          <w:spacing w:val="-4"/>
          <w:sz w:val="22"/>
        </w:rPr>
        <w:t> </w:t>
      </w:r>
      <w:r>
        <w:rPr>
          <w:sz w:val="22"/>
        </w:rPr>
        <w:t>new</w:t>
      </w:r>
      <w:r>
        <w:rPr>
          <w:spacing w:val="-5"/>
          <w:sz w:val="22"/>
        </w:rPr>
        <w:t> </w:t>
      </w:r>
      <w:r>
        <w:rPr>
          <w:sz w:val="22"/>
        </w:rPr>
        <w:t>or</w:t>
      </w:r>
      <w:r>
        <w:rPr>
          <w:spacing w:val="-4"/>
          <w:sz w:val="22"/>
        </w:rPr>
        <w:t> </w:t>
      </w:r>
      <w:r>
        <w:rPr>
          <w:sz w:val="22"/>
        </w:rPr>
        <w:t>used </w:t>
      </w:r>
      <w:r>
        <w:rPr>
          <w:spacing w:val="-2"/>
          <w:sz w:val="22"/>
        </w:rPr>
        <w:t>vehicles.</w:t>
      </w:r>
    </w:p>
    <w:p>
      <w:pPr>
        <w:spacing w:after="0"/>
        <w:jc w:val="left"/>
        <w:rPr>
          <w:sz w:val="22"/>
        </w:rPr>
        <w:sectPr>
          <w:pgSz w:w="12240" w:h="15840"/>
          <w:pgMar w:top="1340" w:bottom="280" w:left="1080" w:right="720"/>
        </w:sectPr>
      </w:pPr>
    </w:p>
    <w:p>
      <w:pPr>
        <w:pStyle w:val="Heading2"/>
      </w:pPr>
      <w:bookmarkStart w:name="612:10-7-220.  Vehicle modification serv" w:id="220"/>
      <w:bookmarkEnd w:id="220"/>
      <w:r>
        <w:rPr>
          <w:b w:val="0"/>
        </w:rPr>
      </w:r>
      <w:bookmarkStart w:name="_bookmark29" w:id="221"/>
      <w:bookmarkEnd w:id="221"/>
      <w:r>
        <w:rPr>
          <w:b w:val="0"/>
        </w:rPr>
      </w:r>
      <w:r>
        <w:rPr/>
        <w:t>612:10-7-220.</w:t>
      </w:r>
      <w:r>
        <w:rPr>
          <w:spacing w:val="56"/>
        </w:rPr>
        <w:t> </w:t>
      </w:r>
      <w:r>
        <w:rPr/>
        <w:t>Vehicle</w:t>
      </w:r>
      <w:r>
        <w:rPr>
          <w:spacing w:val="-4"/>
        </w:rPr>
        <w:t> </w:t>
      </w:r>
      <w:r>
        <w:rPr/>
        <w:t>modification</w:t>
      </w:r>
      <w:r>
        <w:rPr>
          <w:spacing w:val="-5"/>
        </w:rPr>
        <w:t> </w:t>
      </w:r>
      <w:r>
        <w:rPr>
          <w:spacing w:val="-2"/>
        </w:rPr>
        <w:t>services</w:t>
      </w:r>
    </w:p>
    <w:p>
      <w:pPr>
        <w:pStyle w:val="ListParagraph"/>
        <w:numPr>
          <w:ilvl w:val="0"/>
          <w:numId w:val="236"/>
        </w:numPr>
        <w:tabs>
          <w:tab w:pos="786" w:val="left" w:leader="none"/>
        </w:tabs>
        <w:spacing w:line="208" w:lineRule="auto" w:before="233" w:after="0"/>
        <w:ind w:left="360" w:right="873" w:firstLine="0"/>
        <w:jc w:val="left"/>
        <w:rPr>
          <w:sz w:val="24"/>
        </w:rPr>
      </w:pPr>
      <w:r>
        <w:rPr>
          <w:sz w:val="24"/>
        </w:rPr>
        <w:t>Vehicle modification services may be provided as needed to enable a Vocational Rehabilitation client to prepare for, enter or retain employment. Vehicle modifications include the range of modifications and special equipment needed by a person with an impairment to drive or be a passenger in a vehicle. Vehicle modifications above the State</w:t>
      </w:r>
      <w:r>
        <w:rPr>
          <w:spacing w:val="-3"/>
          <w:sz w:val="24"/>
        </w:rPr>
        <w:t> </w:t>
      </w:r>
      <w:r>
        <w:rPr>
          <w:sz w:val="24"/>
        </w:rPr>
        <w:t>Capitalization</w:t>
      </w:r>
      <w:r>
        <w:rPr>
          <w:spacing w:val="-3"/>
          <w:sz w:val="24"/>
        </w:rPr>
        <w:t> </w:t>
      </w:r>
      <w:r>
        <w:rPr>
          <w:sz w:val="24"/>
        </w:rPr>
        <w:t>rate</w:t>
      </w:r>
      <w:r>
        <w:rPr>
          <w:spacing w:val="-3"/>
          <w:sz w:val="24"/>
        </w:rPr>
        <w:t> </w:t>
      </w:r>
      <w:r>
        <w:rPr>
          <w:sz w:val="24"/>
        </w:rPr>
        <w:t>are</w:t>
      </w:r>
      <w:r>
        <w:rPr>
          <w:spacing w:val="-3"/>
          <w:sz w:val="24"/>
        </w:rPr>
        <w:t> </w:t>
      </w:r>
      <w:r>
        <w:rPr>
          <w:sz w:val="24"/>
        </w:rPr>
        <w:t>subject</w:t>
      </w:r>
      <w:r>
        <w:rPr>
          <w:spacing w:val="-3"/>
          <w:sz w:val="24"/>
        </w:rPr>
        <w:t> </w:t>
      </w:r>
      <w:r>
        <w:rPr>
          <w:sz w:val="24"/>
        </w:rPr>
        <w:t>to</w:t>
      </w:r>
      <w:r>
        <w:rPr>
          <w:spacing w:val="-4"/>
          <w:sz w:val="24"/>
        </w:rPr>
        <w:t> </w:t>
      </w:r>
      <w:r>
        <w:rPr>
          <w:sz w:val="24"/>
        </w:rPr>
        <w:t>the</w:t>
      </w:r>
      <w:r>
        <w:rPr>
          <w:spacing w:val="-3"/>
          <w:sz w:val="24"/>
        </w:rPr>
        <w:t> </w:t>
      </w:r>
      <w:r>
        <w:rPr>
          <w:sz w:val="24"/>
        </w:rPr>
        <w:t>Prior</w:t>
      </w:r>
      <w:r>
        <w:rPr>
          <w:spacing w:val="-3"/>
          <w:sz w:val="24"/>
        </w:rPr>
        <w:t> </w:t>
      </w:r>
      <w:r>
        <w:rPr>
          <w:sz w:val="24"/>
        </w:rPr>
        <w:t>Approval</w:t>
      </w:r>
      <w:r>
        <w:rPr>
          <w:spacing w:val="-3"/>
          <w:sz w:val="24"/>
        </w:rPr>
        <w:t> </w:t>
      </w:r>
      <w:r>
        <w:rPr>
          <w:sz w:val="24"/>
        </w:rPr>
        <w:t>from</w:t>
      </w:r>
      <w:r>
        <w:rPr>
          <w:spacing w:val="-4"/>
          <w:sz w:val="24"/>
        </w:rPr>
        <w:t> </w:t>
      </w:r>
      <w:r>
        <w:rPr>
          <w:sz w:val="24"/>
        </w:rPr>
        <w:t>RSA</w:t>
      </w:r>
      <w:r>
        <w:rPr>
          <w:spacing w:val="-3"/>
          <w:sz w:val="24"/>
        </w:rPr>
        <w:t> </w:t>
      </w:r>
      <w:r>
        <w:rPr>
          <w:sz w:val="24"/>
        </w:rPr>
        <w:t>in</w:t>
      </w:r>
      <w:r>
        <w:rPr>
          <w:spacing w:val="-3"/>
          <w:sz w:val="24"/>
        </w:rPr>
        <w:t> </w:t>
      </w:r>
      <w:r>
        <w:rPr>
          <w:sz w:val="24"/>
        </w:rPr>
        <w:t>accordance</w:t>
      </w:r>
      <w:r>
        <w:rPr>
          <w:spacing w:val="-3"/>
          <w:sz w:val="24"/>
        </w:rPr>
        <w:t> </w:t>
      </w:r>
      <w:r>
        <w:rPr>
          <w:sz w:val="24"/>
        </w:rPr>
        <w:t>with 2 CFR 200.439.</w:t>
      </w:r>
    </w:p>
    <w:p>
      <w:pPr>
        <w:pStyle w:val="ListParagraph"/>
        <w:numPr>
          <w:ilvl w:val="0"/>
          <w:numId w:val="236"/>
        </w:numPr>
        <w:tabs>
          <w:tab w:pos="786" w:val="left" w:leader="none"/>
        </w:tabs>
        <w:spacing w:line="208" w:lineRule="auto" w:before="239" w:after="0"/>
        <w:ind w:left="360" w:right="2074" w:firstLine="0"/>
        <w:jc w:val="left"/>
        <w:rPr>
          <w:sz w:val="24"/>
        </w:rPr>
      </w:pPr>
      <w:r>
        <w:rPr>
          <w:sz w:val="24"/>
        </w:rPr>
        <w:t>Vehicle</w:t>
      </w:r>
      <w:r>
        <w:rPr>
          <w:spacing w:val="-5"/>
          <w:sz w:val="24"/>
        </w:rPr>
        <w:t> </w:t>
      </w:r>
      <w:r>
        <w:rPr>
          <w:sz w:val="24"/>
        </w:rPr>
        <w:t>modification</w:t>
      </w:r>
      <w:r>
        <w:rPr>
          <w:spacing w:val="-5"/>
          <w:sz w:val="24"/>
        </w:rPr>
        <w:t> </w:t>
      </w:r>
      <w:r>
        <w:rPr>
          <w:sz w:val="24"/>
        </w:rPr>
        <w:t>services</w:t>
      </w:r>
      <w:r>
        <w:rPr>
          <w:spacing w:val="-5"/>
          <w:sz w:val="24"/>
        </w:rPr>
        <w:t> </w:t>
      </w:r>
      <w:r>
        <w:rPr>
          <w:sz w:val="24"/>
        </w:rPr>
        <w:t>provided</w:t>
      </w:r>
      <w:r>
        <w:rPr>
          <w:spacing w:val="-5"/>
          <w:sz w:val="24"/>
        </w:rPr>
        <w:t> </w:t>
      </w:r>
      <w:r>
        <w:rPr>
          <w:sz w:val="24"/>
        </w:rPr>
        <w:t>to</w:t>
      </w:r>
      <w:r>
        <w:rPr>
          <w:spacing w:val="-4"/>
          <w:sz w:val="24"/>
        </w:rPr>
        <w:t> </w:t>
      </w:r>
      <w:r>
        <w:rPr>
          <w:sz w:val="24"/>
        </w:rPr>
        <w:t>an</w:t>
      </w:r>
      <w:r>
        <w:rPr>
          <w:spacing w:val="-5"/>
          <w:sz w:val="24"/>
        </w:rPr>
        <w:t> </w:t>
      </w:r>
      <w:r>
        <w:rPr>
          <w:sz w:val="24"/>
        </w:rPr>
        <w:t>individual</w:t>
      </w:r>
      <w:r>
        <w:rPr>
          <w:spacing w:val="-5"/>
          <w:sz w:val="24"/>
        </w:rPr>
        <w:t> </w:t>
      </w:r>
      <w:r>
        <w:rPr>
          <w:sz w:val="24"/>
        </w:rPr>
        <w:t>in</w:t>
      </w:r>
      <w:r>
        <w:rPr>
          <w:spacing w:val="-5"/>
          <w:sz w:val="24"/>
        </w:rPr>
        <w:t> </w:t>
      </w:r>
      <w:r>
        <w:rPr>
          <w:sz w:val="24"/>
        </w:rPr>
        <w:t>the</w:t>
      </w:r>
      <w:r>
        <w:rPr>
          <w:spacing w:val="-5"/>
          <w:sz w:val="24"/>
        </w:rPr>
        <w:t> </w:t>
      </w:r>
      <w:r>
        <w:rPr>
          <w:sz w:val="24"/>
        </w:rPr>
        <w:t>Vocational Rehabilitation program may include:</w:t>
      </w:r>
    </w:p>
    <w:p>
      <w:pPr>
        <w:pStyle w:val="ListParagraph"/>
        <w:numPr>
          <w:ilvl w:val="1"/>
          <w:numId w:val="236"/>
        </w:numPr>
        <w:tabs>
          <w:tab w:pos="1217" w:val="left" w:leader="none"/>
        </w:tabs>
        <w:spacing w:line="240" w:lineRule="auto" w:before="211" w:after="0"/>
        <w:ind w:left="1217" w:right="0" w:hanging="426"/>
        <w:jc w:val="left"/>
        <w:rPr>
          <w:sz w:val="24"/>
        </w:rPr>
      </w:pPr>
      <w:r>
        <w:rPr>
          <w:sz w:val="24"/>
        </w:rPr>
        <w:t>purchase</w:t>
      </w:r>
      <w:r>
        <w:rPr>
          <w:spacing w:val="-6"/>
          <w:sz w:val="24"/>
        </w:rPr>
        <w:t> </w:t>
      </w:r>
      <w:r>
        <w:rPr>
          <w:sz w:val="24"/>
        </w:rPr>
        <w:t>and</w:t>
      </w:r>
      <w:r>
        <w:rPr>
          <w:spacing w:val="-3"/>
          <w:sz w:val="24"/>
        </w:rPr>
        <w:t> </w:t>
      </w:r>
      <w:r>
        <w:rPr>
          <w:sz w:val="24"/>
        </w:rPr>
        <w:t>installation</w:t>
      </w:r>
      <w:r>
        <w:rPr>
          <w:spacing w:val="-3"/>
          <w:sz w:val="24"/>
        </w:rPr>
        <w:t> </w:t>
      </w:r>
      <w:r>
        <w:rPr>
          <w:sz w:val="24"/>
        </w:rPr>
        <w:t>of</w:t>
      </w:r>
      <w:r>
        <w:rPr>
          <w:spacing w:val="-2"/>
          <w:sz w:val="24"/>
        </w:rPr>
        <w:t> </w:t>
      </w:r>
      <w:r>
        <w:rPr>
          <w:sz w:val="24"/>
        </w:rPr>
        <w:t>adaptations</w:t>
      </w:r>
      <w:r>
        <w:rPr>
          <w:spacing w:val="-4"/>
          <w:sz w:val="24"/>
        </w:rPr>
        <w:t> </w:t>
      </w:r>
      <w:r>
        <w:rPr>
          <w:sz w:val="24"/>
        </w:rPr>
        <w:t>or</w:t>
      </w:r>
      <w:r>
        <w:rPr>
          <w:spacing w:val="-2"/>
          <w:sz w:val="24"/>
        </w:rPr>
        <w:t> </w:t>
      </w:r>
      <w:r>
        <w:rPr>
          <w:sz w:val="24"/>
        </w:rPr>
        <w:t>devices</w:t>
      </w:r>
      <w:r>
        <w:rPr>
          <w:spacing w:val="-3"/>
          <w:sz w:val="24"/>
        </w:rPr>
        <w:t> </w:t>
      </w:r>
      <w:r>
        <w:rPr>
          <w:sz w:val="24"/>
        </w:rPr>
        <w:t>in</w:t>
      </w:r>
      <w:r>
        <w:rPr>
          <w:spacing w:val="-3"/>
          <w:sz w:val="24"/>
        </w:rPr>
        <w:t> </w:t>
      </w:r>
      <w:r>
        <w:rPr>
          <w:sz w:val="24"/>
        </w:rPr>
        <w:t>a</w:t>
      </w:r>
      <w:r>
        <w:rPr>
          <w:spacing w:val="-3"/>
          <w:sz w:val="24"/>
        </w:rPr>
        <w:t> </w:t>
      </w:r>
      <w:r>
        <w:rPr>
          <w:spacing w:val="-2"/>
          <w:sz w:val="24"/>
        </w:rPr>
        <w:t>vehicle;</w:t>
      </w:r>
    </w:p>
    <w:p>
      <w:pPr>
        <w:pStyle w:val="ListParagraph"/>
        <w:numPr>
          <w:ilvl w:val="1"/>
          <w:numId w:val="236"/>
        </w:numPr>
        <w:tabs>
          <w:tab w:pos="1217" w:val="left" w:leader="none"/>
        </w:tabs>
        <w:spacing w:line="208" w:lineRule="auto" w:before="233" w:after="0"/>
        <w:ind w:left="791" w:right="975" w:firstLine="0"/>
        <w:jc w:val="left"/>
        <w:rPr>
          <w:sz w:val="24"/>
        </w:rPr>
      </w:pPr>
      <w:r>
        <w:rPr>
          <w:sz w:val="24"/>
        </w:rPr>
        <w:t>assistance</w:t>
      </w:r>
      <w:r>
        <w:rPr>
          <w:spacing w:val="-4"/>
          <w:sz w:val="24"/>
        </w:rPr>
        <w:t> </w:t>
      </w:r>
      <w:r>
        <w:rPr>
          <w:sz w:val="24"/>
        </w:rPr>
        <w:t>with</w:t>
      </w:r>
      <w:r>
        <w:rPr>
          <w:spacing w:val="-4"/>
          <w:sz w:val="24"/>
        </w:rPr>
        <w:t> </w:t>
      </w:r>
      <w:r>
        <w:rPr>
          <w:sz w:val="24"/>
        </w:rPr>
        <w:t>payment</w:t>
      </w:r>
      <w:r>
        <w:rPr>
          <w:spacing w:val="-3"/>
          <w:sz w:val="24"/>
        </w:rPr>
        <w:t> </w:t>
      </w:r>
      <w:r>
        <w:rPr>
          <w:sz w:val="24"/>
        </w:rPr>
        <w:t>of</w:t>
      </w:r>
      <w:r>
        <w:rPr>
          <w:spacing w:val="-5"/>
          <w:sz w:val="24"/>
        </w:rPr>
        <w:t> </w:t>
      </w:r>
      <w:r>
        <w:rPr>
          <w:sz w:val="24"/>
        </w:rPr>
        <w:t>the</w:t>
      </w:r>
      <w:r>
        <w:rPr>
          <w:spacing w:val="-4"/>
          <w:sz w:val="24"/>
        </w:rPr>
        <w:t> </w:t>
      </w:r>
      <w:r>
        <w:rPr>
          <w:sz w:val="24"/>
        </w:rPr>
        <w:t>portion</w:t>
      </w:r>
      <w:r>
        <w:rPr>
          <w:spacing w:val="-4"/>
          <w:sz w:val="24"/>
        </w:rPr>
        <w:t> </w:t>
      </w:r>
      <w:r>
        <w:rPr>
          <w:sz w:val="24"/>
        </w:rPr>
        <w:t>of</w:t>
      </w:r>
      <w:r>
        <w:rPr>
          <w:spacing w:val="-3"/>
          <w:sz w:val="24"/>
        </w:rPr>
        <w:t> </w:t>
      </w:r>
      <w:r>
        <w:rPr>
          <w:sz w:val="24"/>
        </w:rPr>
        <w:t>the</w:t>
      </w:r>
      <w:r>
        <w:rPr>
          <w:spacing w:val="-4"/>
          <w:sz w:val="24"/>
        </w:rPr>
        <w:t> </w:t>
      </w:r>
      <w:r>
        <w:rPr>
          <w:sz w:val="24"/>
        </w:rPr>
        <w:t>cost</w:t>
      </w:r>
      <w:r>
        <w:rPr>
          <w:spacing w:val="-5"/>
          <w:sz w:val="24"/>
        </w:rPr>
        <w:t> </w:t>
      </w:r>
      <w:r>
        <w:rPr>
          <w:sz w:val="24"/>
        </w:rPr>
        <w:t>attributable</w:t>
      </w:r>
      <w:r>
        <w:rPr>
          <w:spacing w:val="-4"/>
          <w:sz w:val="24"/>
        </w:rPr>
        <w:t> </w:t>
      </w:r>
      <w:r>
        <w:rPr>
          <w:sz w:val="24"/>
        </w:rPr>
        <w:t>to</w:t>
      </w:r>
      <w:r>
        <w:rPr>
          <w:spacing w:val="-4"/>
          <w:sz w:val="24"/>
        </w:rPr>
        <w:t> </w:t>
      </w:r>
      <w:r>
        <w:rPr>
          <w:sz w:val="24"/>
        </w:rPr>
        <w:t>modifications pre-installed in a new or used vehicle purchased from a dealer;</w:t>
      </w:r>
    </w:p>
    <w:p>
      <w:pPr>
        <w:pStyle w:val="ListParagraph"/>
        <w:numPr>
          <w:ilvl w:val="1"/>
          <w:numId w:val="236"/>
        </w:numPr>
        <w:tabs>
          <w:tab w:pos="1217" w:val="left" w:leader="none"/>
        </w:tabs>
        <w:spacing w:line="240" w:lineRule="auto" w:before="211" w:after="0"/>
        <w:ind w:left="1217" w:right="0" w:hanging="426"/>
        <w:jc w:val="left"/>
        <w:rPr>
          <w:sz w:val="24"/>
        </w:rPr>
      </w:pPr>
      <w:r>
        <w:rPr>
          <w:sz w:val="24"/>
        </w:rPr>
        <w:t>evaluation</w:t>
      </w:r>
      <w:r>
        <w:rPr>
          <w:spacing w:val="-6"/>
          <w:sz w:val="24"/>
        </w:rPr>
        <w:t> </w:t>
      </w:r>
      <w:r>
        <w:rPr>
          <w:sz w:val="24"/>
        </w:rPr>
        <w:t>of</w:t>
      </w:r>
      <w:r>
        <w:rPr>
          <w:spacing w:val="-2"/>
          <w:sz w:val="24"/>
        </w:rPr>
        <w:t> </w:t>
      </w:r>
      <w:r>
        <w:rPr>
          <w:sz w:val="24"/>
        </w:rPr>
        <w:t>an</w:t>
      </w:r>
      <w:r>
        <w:rPr>
          <w:spacing w:val="-3"/>
          <w:sz w:val="24"/>
        </w:rPr>
        <w:t> </w:t>
      </w:r>
      <w:r>
        <w:rPr>
          <w:sz w:val="24"/>
        </w:rPr>
        <w:t>individual's</w:t>
      </w:r>
      <w:r>
        <w:rPr>
          <w:spacing w:val="-3"/>
          <w:sz w:val="24"/>
        </w:rPr>
        <w:t> </w:t>
      </w:r>
      <w:r>
        <w:rPr>
          <w:sz w:val="24"/>
        </w:rPr>
        <w:t>ability</w:t>
      </w:r>
      <w:r>
        <w:rPr>
          <w:spacing w:val="-4"/>
          <w:sz w:val="24"/>
        </w:rPr>
        <w:t> </w:t>
      </w:r>
      <w:r>
        <w:rPr>
          <w:sz w:val="24"/>
        </w:rPr>
        <w:t>to</w:t>
      </w:r>
      <w:r>
        <w:rPr>
          <w:spacing w:val="-3"/>
          <w:sz w:val="24"/>
        </w:rPr>
        <w:t> </w:t>
      </w:r>
      <w:r>
        <w:rPr>
          <w:sz w:val="24"/>
        </w:rPr>
        <w:t>operate</w:t>
      </w:r>
      <w:r>
        <w:rPr>
          <w:spacing w:val="-3"/>
          <w:sz w:val="24"/>
        </w:rPr>
        <w:t> </w:t>
      </w:r>
      <w:r>
        <w:rPr>
          <w:sz w:val="24"/>
        </w:rPr>
        <w:t>a</w:t>
      </w:r>
      <w:r>
        <w:rPr>
          <w:spacing w:val="-3"/>
          <w:sz w:val="24"/>
        </w:rPr>
        <w:t> </w:t>
      </w:r>
      <w:r>
        <w:rPr>
          <w:sz w:val="24"/>
        </w:rPr>
        <w:t>motor</w:t>
      </w:r>
      <w:r>
        <w:rPr>
          <w:spacing w:val="-2"/>
          <w:sz w:val="24"/>
        </w:rPr>
        <w:t> vehicle;</w:t>
      </w:r>
    </w:p>
    <w:p>
      <w:pPr>
        <w:pStyle w:val="ListParagraph"/>
        <w:numPr>
          <w:ilvl w:val="1"/>
          <w:numId w:val="236"/>
        </w:numPr>
        <w:tabs>
          <w:tab w:pos="1216" w:val="left" w:leader="none"/>
        </w:tabs>
        <w:spacing w:line="208" w:lineRule="auto" w:before="233" w:after="0"/>
        <w:ind w:left="791" w:right="771" w:firstLine="0"/>
        <w:jc w:val="left"/>
        <w:rPr>
          <w:sz w:val="24"/>
        </w:rPr>
      </w:pPr>
      <w:r>
        <w:rPr>
          <w:sz w:val="24"/>
        </w:rPr>
        <w:t>required devices recommended by AT Specialist specific to both the individual needs</w:t>
      </w:r>
      <w:r>
        <w:rPr>
          <w:spacing w:val="-3"/>
          <w:sz w:val="24"/>
        </w:rPr>
        <w:t> </w:t>
      </w:r>
      <w:r>
        <w:rPr>
          <w:sz w:val="24"/>
        </w:rPr>
        <w:t>and</w:t>
      </w:r>
      <w:r>
        <w:rPr>
          <w:spacing w:val="-2"/>
          <w:sz w:val="24"/>
        </w:rPr>
        <w:t> </w:t>
      </w:r>
      <w:r>
        <w:rPr>
          <w:sz w:val="24"/>
        </w:rPr>
        <w:t>the</w:t>
      </w:r>
      <w:r>
        <w:rPr>
          <w:spacing w:val="-3"/>
          <w:sz w:val="24"/>
        </w:rPr>
        <w:t> </w:t>
      </w:r>
      <w:r>
        <w:rPr>
          <w:sz w:val="24"/>
        </w:rPr>
        <w:t>vehicle.</w:t>
      </w:r>
      <w:r>
        <w:rPr>
          <w:spacing w:val="-1"/>
          <w:sz w:val="24"/>
        </w:rPr>
        <w:t> </w:t>
      </w:r>
      <w:r>
        <w:rPr>
          <w:sz w:val="24"/>
        </w:rPr>
        <w:t>The</w:t>
      </w:r>
      <w:r>
        <w:rPr>
          <w:spacing w:val="-3"/>
          <w:sz w:val="24"/>
        </w:rPr>
        <w:t> </w:t>
      </w:r>
      <w:r>
        <w:rPr>
          <w:sz w:val="24"/>
        </w:rPr>
        <w:t>AT</w:t>
      </w:r>
      <w:r>
        <w:rPr>
          <w:spacing w:val="-3"/>
          <w:sz w:val="24"/>
        </w:rPr>
        <w:t> </w:t>
      </w:r>
      <w:r>
        <w:rPr>
          <w:sz w:val="24"/>
        </w:rPr>
        <w:t>report</w:t>
      </w:r>
      <w:r>
        <w:rPr>
          <w:spacing w:val="-2"/>
          <w:sz w:val="24"/>
        </w:rPr>
        <w:t> </w:t>
      </w:r>
      <w:r>
        <w:rPr>
          <w:sz w:val="24"/>
        </w:rPr>
        <w:t>must</w:t>
      </w:r>
      <w:r>
        <w:rPr>
          <w:spacing w:val="-4"/>
          <w:sz w:val="24"/>
        </w:rPr>
        <w:t> </w:t>
      </w:r>
      <w:r>
        <w:rPr>
          <w:sz w:val="24"/>
        </w:rPr>
        <w:t>not</w:t>
      </w:r>
      <w:r>
        <w:rPr>
          <w:spacing w:val="-2"/>
          <w:sz w:val="24"/>
        </w:rPr>
        <w:t> </w:t>
      </w:r>
      <w:r>
        <w:rPr>
          <w:sz w:val="24"/>
        </w:rPr>
        <w:t>be</w:t>
      </w:r>
      <w:r>
        <w:rPr>
          <w:spacing w:val="-3"/>
          <w:sz w:val="24"/>
        </w:rPr>
        <w:t> </w:t>
      </w:r>
      <w:r>
        <w:rPr>
          <w:sz w:val="24"/>
        </w:rPr>
        <w:t>older</w:t>
      </w:r>
      <w:r>
        <w:rPr>
          <w:spacing w:val="-2"/>
          <w:sz w:val="24"/>
        </w:rPr>
        <w:t> </w:t>
      </w:r>
      <w:r>
        <w:rPr>
          <w:sz w:val="24"/>
        </w:rPr>
        <w:t>than</w:t>
      </w:r>
      <w:r>
        <w:rPr>
          <w:spacing w:val="-3"/>
          <w:sz w:val="24"/>
        </w:rPr>
        <w:t> </w:t>
      </w:r>
      <w:r>
        <w:rPr>
          <w:sz w:val="24"/>
        </w:rPr>
        <w:t>six</w:t>
      </w:r>
      <w:r>
        <w:rPr>
          <w:spacing w:val="-3"/>
          <w:sz w:val="24"/>
        </w:rPr>
        <w:t> </w:t>
      </w:r>
      <w:r>
        <w:rPr>
          <w:sz w:val="24"/>
        </w:rPr>
        <w:t>months</w:t>
      </w:r>
      <w:r>
        <w:rPr>
          <w:spacing w:val="-3"/>
          <w:sz w:val="24"/>
        </w:rPr>
        <w:t> </w:t>
      </w:r>
      <w:r>
        <w:rPr>
          <w:sz w:val="24"/>
        </w:rPr>
        <w:t>at</w:t>
      </w:r>
      <w:r>
        <w:rPr>
          <w:spacing w:val="-2"/>
          <w:sz w:val="24"/>
        </w:rPr>
        <w:t> </w:t>
      </w:r>
      <w:r>
        <w:rPr>
          <w:sz w:val="24"/>
        </w:rPr>
        <w:t>a</w:t>
      </w:r>
      <w:r>
        <w:rPr>
          <w:spacing w:val="-4"/>
          <w:sz w:val="24"/>
        </w:rPr>
        <w:t> </w:t>
      </w:r>
      <w:r>
        <w:rPr>
          <w:sz w:val="24"/>
        </w:rPr>
        <w:t>time</w:t>
      </w:r>
      <w:r>
        <w:rPr>
          <w:spacing w:val="-3"/>
          <w:sz w:val="24"/>
        </w:rPr>
        <w:t> </w:t>
      </w:r>
      <w:r>
        <w:rPr>
          <w:sz w:val="24"/>
        </w:rPr>
        <w:t>of purchase of recommended devices.</w:t>
      </w:r>
    </w:p>
    <w:p>
      <w:pPr>
        <w:pStyle w:val="ListParagraph"/>
        <w:numPr>
          <w:ilvl w:val="1"/>
          <w:numId w:val="236"/>
        </w:numPr>
        <w:tabs>
          <w:tab w:pos="1216" w:val="left" w:leader="none"/>
        </w:tabs>
        <w:spacing w:line="240" w:lineRule="auto" w:before="210" w:after="0"/>
        <w:ind w:left="1216" w:right="0" w:hanging="425"/>
        <w:jc w:val="left"/>
        <w:rPr>
          <w:b/>
          <w:sz w:val="24"/>
        </w:rPr>
      </w:pPr>
      <w:r>
        <w:rPr>
          <w:sz w:val="24"/>
        </w:rPr>
        <w:t>training</w:t>
      </w:r>
      <w:r>
        <w:rPr>
          <w:spacing w:val="-3"/>
          <w:sz w:val="24"/>
        </w:rPr>
        <w:t> </w:t>
      </w:r>
      <w:r>
        <w:rPr>
          <w:sz w:val="24"/>
        </w:rPr>
        <w:t>in</w:t>
      </w:r>
      <w:r>
        <w:rPr>
          <w:spacing w:val="-3"/>
          <w:sz w:val="24"/>
        </w:rPr>
        <w:t> </w:t>
      </w:r>
      <w:r>
        <w:rPr>
          <w:sz w:val="24"/>
        </w:rPr>
        <w:t>the</w:t>
      </w:r>
      <w:r>
        <w:rPr>
          <w:spacing w:val="-3"/>
          <w:sz w:val="24"/>
        </w:rPr>
        <w:t> </w:t>
      </w:r>
      <w:r>
        <w:rPr>
          <w:sz w:val="24"/>
        </w:rPr>
        <w:t>operation</w:t>
      </w:r>
      <w:r>
        <w:rPr>
          <w:spacing w:val="-3"/>
          <w:sz w:val="24"/>
        </w:rPr>
        <w:t> </w:t>
      </w:r>
      <w:r>
        <w:rPr>
          <w:sz w:val="24"/>
        </w:rPr>
        <w:t>of</w:t>
      </w:r>
      <w:r>
        <w:rPr>
          <w:spacing w:val="-2"/>
          <w:sz w:val="24"/>
        </w:rPr>
        <w:t> </w:t>
      </w:r>
      <w:r>
        <w:rPr>
          <w:sz w:val="24"/>
        </w:rPr>
        <w:t>the</w:t>
      </w:r>
      <w:r>
        <w:rPr>
          <w:spacing w:val="-3"/>
          <w:sz w:val="24"/>
        </w:rPr>
        <w:t> </w:t>
      </w:r>
      <w:r>
        <w:rPr>
          <w:sz w:val="24"/>
        </w:rPr>
        <w:t>vehicle.</w:t>
      </w:r>
      <w:r>
        <w:rPr>
          <w:spacing w:val="-1"/>
          <w:sz w:val="24"/>
        </w:rPr>
        <w:t> </w:t>
      </w:r>
      <w:r>
        <w:rPr>
          <w:b/>
          <w:spacing w:val="-10"/>
          <w:sz w:val="24"/>
        </w:rPr>
        <w:t>1</w:t>
      </w:r>
    </w:p>
    <w:p>
      <w:pPr>
        <w:pStyle w:val="ListParagraph"/>
        <w:numPr>
          <w:ilvl w:val="0"/>
          <w:numId w:val="236"/>
        </w:numPr>
        <w:tabs>
          <w:tab w:pos="773" w:val="left" w:leader="none"/>
        </w:tabs>
        <w:spacing w:line="208" w:lineRule="auto" w:before="234" w:after="0"/>
        <w:ind w:left="360" w:right="767" w:firstLine="0"/>
        <w:jc w:val="left"/>
        <w:rPr>
          <w:sz w:val="24"/>
        </w:rPr>
      </w:pPr>
      <w:r>
        <w:rPr>
          <w:sz w:val="24"/>
        </w:rPr>
        <w:t>Vehicle modifications which are projected to cost the amount of the OMES-DCAM authority</w:t>
      </w:r>
      <w:r>
        <w:rPr>
          <w:spacing w:val="-4"/>
          <w:sz w:val="24"/>
        </w:rPr>
        <w:t> </w:t>
      </w:r>
      <w:r>
        <w:rPr>
          <w:sz w:val="24"/>
        </w:rPr>
        <w:t>order</w:t>
      </w:r>
      <w:r>
        <w:rPr>
          <w:spacing w:val="-3"/>
          <w:sz w:val="24"/>
        </w:rPr>
        <w:t> </w:t>
      </w:r>
      <w:r>
        <w:rPr>
          <w:sz w:val="24"/>
        </w:rPr>
        <w:t>limit</w:t>
      </w:r>
      <w:r>
        <w:rPr>
          <w:spacing w:val="-3"/>
          <w:sz w:val="24"/>
        </w:rPr>
        <w:t> </w:t>
      </w:r>
      <w:r>
        <w:rPr>
          <w:sz w:val="24"/>
        </w:rPr>
        <w:t>or</w:t>
      </w:r>
      <w:r>
        <w:rPr>
          <w:spacing w:val="-5"/>
          <w:sz w:val="24"/>
        </w:rPr>
        <w:t> </w:t>
      </w:r>
      <w:r>
        <w:rPr>
          <w:sz w:val="24"/>
        </w:rPr>
        <w:t>less</w:t>
      </w:r>
      <w:r>
        <w:rPr>
          <w:spacing w:val="-4"/>
          <w:sz w:val="24"/>
        </w:rPr>
        <w:t> </w:t>
      </w:r>
      <w:r>
        <w:rPr>
          <w:sz w:val="24"/>
        </w:rPr>
        <w:t>will</w:t>
      </w:r>
      <w:r>
        <w:rPr>
          <w:spacing w:val="-4"/>
          <w:sz w:val="24"/>
        </w:rPr>
        <w:t> </w:t>
      </w:r>
      <w:r>
        <w:rPr>
          <w:sz w:val="24"/>
        </w:rPr>
        <w:t>be</w:t>
      </w:r>
      <w:r>
        <w:rPr>
          <w:spacing w:val="-3"/>
          <w:sz w:val="24"/>
        </w:rPr>
        <w:t> </w:t>
      </w:r>
      <w:r>
        <w:rPr>
          <w:sz w:val="24"/>
        </w:rPr>
        <w:t>made</w:t>
      </w:r>
      <w:r>
        <w:rPr>
          <w:spacing w:val="-4"/>
          <w:sz w:val="24"/>
        </w:rPr>
        <w:t> </w:t>
      </w:r>
      <w:r>
        <w:rPr>
          <w:sz w:val="24"/>
        </w:rPr>
        <w:t>in</w:t>
      </w:r>
      <w:r>
        <w:rPr>
          <w:spacing w:val="-4"/>
          <w:sz w:val="24"/>
        </w:rPr>
        <w:t> </w:t>
      </w:r>
      <w:r>
        <w:rPr>
          <w:sz w:val="24"/>
        </w:rPr>
        <w:t>accordance</w:t>
      </w:r>
      <w:r>
        <w:rPr>
          <w:spacing w:val="-4"/>
          <w:sz w:val="24"/>
        </w:rPr>
        <w:t> </w:t>
      </w:r>
      <w:r>
        <w:rPr>
          <w:sz w:val="24"/>
        </w:rPr>
        <w:t>with</w:t>
      </w:r>
      <w:r>
        <w:rPr>
          <w:spacing w:val="-4"/>
          <w:sz w:val="24"/>
        </w:rPr>
        <w:t> </w:t>
      </w:r>
      <w:r>
        <w:rPr>
          <w:sz w:val="24"/>
        </w:rPr>
        <w:t>agency</w:t>
      </w:r>
      <w:r>
        <w:rPr>
          <w:spacing w:val="-4"/>
          <w:sz w:val="24"/>
        </w:rPr>
        <w:t> </w:t>
      </w:r>
      <w:r>
        <w:rPr>
          <w:sz w:val="24"/>
        </w:rPr>
        <w:t>administrative</w:t>
      </w:r>
      <w:r>
        <w:rPr>
          <w:spacing w:val="-4"/>
          <w:sz w:val="24"/>
        </w:rPr>
        <w:t> </w:t>
      </w:r>
      <w:r>
        <w:rPr>
          <w:sz w:val="24"/>
        </w:rPr>
        <w:t>rules. Vehicle</w:t>
      </w:r>
      <w:r>
        <w:rPr>
          <w:spacing w:val="-3"/>
          <w:sz w:val="24"/>
        </w:rPr>
        <w:t> </w:t>
      </w:r>
      <w:r>
        <w:rPr>
          <w:sz w:val="24"/>
        </w:rPr>
        <w:t>modifications</w:t>
      </w:r>
      <w:r>
        <w:rPr>
          <w:spacing w:val="-2"/>
          <w:sz w:val="24"/>
        </w:rPr>
        <w:t> </w:t>
      </w:r>
      <w:r>
        <w:rPr>
          <w:sz w:val="24"/>
        </w:rPr>
        <w:t>projected</w:t>
      </w:r>
      <w:r>
        <w:rPr>
          <w:spacing w:val="-3"/>
          <w:sz w:val="24"/>
        </w:rPr>
        <w:t> </w:t>
      </w:r>
      <w:r>
        <w:rPr>
          <w:sz w:val="24"/>
        </w:rPr>
        <w:t>to</w:t>
      </w:r>
      <w:r>
        <w:rPr>
          <w:spacing w:val="-3"/>
          <w:sz w:val="24"/>
        </w:rPr>
        <w:t> </w:t>
      </w:r>
      <w:r>
        <w:rPr>
          <w:sz w:val="24"/>
        </w:rPr>
        <w:t>cost</w:t>
      </w:r>
      <w:r>
        <w:rPr>
          <w:spacing w:val="-2"/>
          <w:sz w:val="24"/>
        </w:rPr>
        <w:t> </w:t>
      </w:r>
      <w:r>
        <w:rPr>
          <w:sz w:val="24"/>
        </w:rPr>
        <w:t>more</w:t>
      </w:r>
      <w:r>
        <w:rPr>
          <w:spacing w:val="-3"/>
          <w:sz w:val="24"/>
        </w:rPr>
        <w:t> </w:t>
      </w:r>
      <w:r>
        <w:rPr>
          <w:sz w:val="24"/>
        </w:rPr>
        <w:t>than</w:t>
      </w:r>
      <w:r>
        <w:rPr>
          <w:spacing w:val="-3"/>
          <w:sz w:val="24"/>
        </w:rPr>
        <w:t> </w:t>
      </w:r>
      <w:r>
        <w:rPr>
          <w:sz w:val="24"/>
        </w:rPr>
        <w:t>the</w:t>
      </w:r>
      <w:r>
        <w:rPr>
          <w:spacing w:val="-5"/>
          <w:sz w:val="24"/>
        </w:rPr>
        <w:t> </w:t>
      </w:r>
      <w:r>
        <w:rPr>
          <w:sz w:val="24"/>
        </w:rPr>
        <w:t>OMES-DCAM</w:t>
      </w:r>
      <w:r>
        <w:rPr>
          <w:spacing w:val="-3"/>
          <w:sz w:val="24"/>
        </w:rPr>
        <w:t> </w:t>
      </w:r>
      <w:r>
        <w:rPr>
          <w:sz w:val="24"/>
        </w:rPr>
        <w:t>authority</w:t>
      </w:r>
      <w:r>
        <w:rPr>
          <w:spacing w:val="-3"/>
          <w:sz w:val="24"/>
        </w:rPr>
        <w:t> </w:t>
      </w:r>
      <w:r>
        <w:rPr>
          <w:sz w:val="24"/>
        </w:rPr>
        <w:t>order</w:t>
      </w:r>
      <w:r>
        <w:rPr>
          <w:spacing w:val="-2"/>
          <w:sz w:val="24"/>
        </w:rPr>
        <w:t> </w:t>
      </w:r>
      <w:r>
        <w:rPr>
          <w:sz w:val="24"/>
        </w:rPr>
        <w:t>limit will require additional processing by DRS Central/Departmental Services after</w:t>
      </w:r>
    </w:p>
    <w:p>
      <w:pPr>
        <w:pStyle w:val="BodyText"/>
        <w:spacing w:line="208" w:lineRule="auto" w:before="0"/>
        <w:ind w:right="775"/>
      </w:pPr>
      <w:r>
        <w:rPr/>
        <w:t>the</w:t>
      </w:r>
      <w:r>
        <w:rPr>
          <w:spacing w:val="-3"/>
        </w:rPr>
        <w:t> </w:t>
      </w:r>
      <w:r>
        <w:rPr/>
        <w:t>process</w:t>
      </w:r>
      <w:r>
        <w:rPr>
          <w:spacing w:val="-3"/>
        </w:rPr>
        <w:t> </w:t>
      </w:r>
      <w:r>
        <w:rPr/>
        <w:t>is</w:t>
      </w:r>
      <w:r>
        <w:rPr>
          <w:spacing w:val="-3"/>
        </w:rPr>
        <w:t> </w:t>
      </w:r>
      <w:r>
        <w:rPr/>
        <w:t>completed</w:t>
      </w:r>
      <w:r>
        <w:rPr>
          <w:spacing w:val="-3"/>
        </w:rPr>
        <w:t> </w:t>
      </w:r>
      <w:r>
        <w:rPr/>
        <w:t>by</w:t>
      </w:r>
      <w:r>
        <w:rPr>
          <w:spacing w:val="-3"/>
        </w:rPr>
        <w:t> </w:t>
      </w:r>
      <w:r>
        <w:rPr/>
        <w:t>the</w:t>
      </w:r>
      <w:r>
        <w:rPr>
          <w:spacing w:val="-4"/>
        </w:rPr>
        <w:t> </w:t>
      </w:r>
      <w:r>
        <w:rPr/>
        <w:t>counselor</w:t>
      </w:r>
      <w:r>
        <w:rPr>
          <w:spacing w:val="-2"/>
        </w:rPr>
        <w:t> </w:t>
      </w:r>
      <w:r>
        <w:rPr/>
        <w:t>as</w:t>
      </w:r>
      <w:r>
        <w:rPr>
          <w:spacing w:val="-3"/>
        </w:rPr>
        <w:t> </w:t>
      </w:r>
      <w:r>
        <w:rPr/>
        <w:t>outlined</w:t>
      </w:r>
      <w:r>
        <w:rPr>
          <w:spacing w:val="-2"/>
        </w:rPr>
        <w:t> </w:t>
      </w:r>
      <w:r>
        <w:rPr/>
        <w:t>in</w:t>
      </w:r>
      <w:r>
        <w:rPr>
          <w:spacing w:val="-3"/>
        </w:rPr>
        <w:t> </w:t>
      </w:r>
      <w:r>
        <w:rPr/>
        <w:t>Categories</w:t>
      </w:r>
      <w:r>
        <w:rPr>
          <w:spacing w:val="-3"/>
        </w:rPr>
        <w:t> </w:t>
      </w:r>
      <w:r>
        <w:rPr/>
        <w:t>A</w:t>
      </w:r>
      <w:r>
        <w:rPr>
          <w:spacing w:val="-3"/>
        </w:rPr>
        <w:t> </w:t>
      </w:r>
      <w:r>
        <w:rPr/>
        <w:t>through</w:t>
      </w:r>
      <w:r>
        <w:rPr>
          <w:spacing w:val="-3"/>
        </w:rPr>
        <w:t> </w:t>
      </w:r>
      <w:r>
        <w:rPr/>
        <w:t>C</w:t>
      </w:r>
      <w:r>
        <w:rPr>
          <w:spacing w:val="-3"/>
        </w:rPr>
        <w:t> </w:t>
      </w:r>
      <w:r>
        <w:rPr/>
        <w:t>below. </w:t>
      </w:r>
      <w:r>
        <w:rPr>
          <w:b/>
        </w:rPr>
        <w:t>2 </w:t>
      </w:r>
      <w:r>
        <w:rPr/>
        <w:t>Clients purchasing new vehicles shall apply for any mobility equipment rebate available from the vehicle manufacturer and the amount of any such rebate shall be assigned to DRS.</w:t>
      </w:r>
    </w:p>
    <w:p>
      <w:pPr>
        <w:pStyle w:val="ListParagraph"/>
        <w:numPr>
          <w:ilvl w:val="1"/>
          <w:numId w:val="236"/>
        </w:numPr>
        <w:tabs>
          <w:tab w:pos="1218" w:val="left" w:leader="none"/>
        </w:tabs>
        <w:spacing w:line="208" w:lineRule="auto" w:before="239" w:after="0"/>
        <w:ind w:left="792" w:right="880" w:firstLine="0"/>
        <w:jc w:val="left"/>
        <w:rPr>
          <w:sz w:val="24"/>
        </w:rPr>
      </w:pPr>
      <w:r>
        <w:rPr>
          <w:sz w:val="24"/>
        </w:rPr>
        <w:t>Category A: New or used vehicle with structural modifications: In this process, the vehicle will be purchased by client choice and not obtained through a bid process.</w:t>
      </w:r>
      <w:r>
        <w:rPr>
          <w:spacing w:val="-2"/>
          <w:sz w:val="24"/>
        </w:rPr>
        <w:t> </w:t>
      </w:r>
      <w:r>
        <w:rPr>
          <w:sz w:val="24"/>
        </w:rPr>
        <w:t>The</w:t>
      </w:r>
      <w:r>
        <w:rPr>
          <w:spacing w:val="-3"/>
          <w:sz w:val="24"/>
        </w:rPr>
        <w:t> </w:t>
      </w:r>
      <w:r>
        <w:rPr>
          <w:sz w:val="24"/>
        </w:rPr>
        <w:t>client</w:t>
      </w:r>
      <w:r>
        <w:rPr>
          <w:spacing w:val="-2"/>
          <w:sz w:val="24"/>
        </w:rPr>
        <w:t> </w:t>
      </w:r>
      <w:r>
        <w:rPr>
          <w:sz w:val="24"/>
        </w:rPr>
        <w:t>will</w:t>
      </w:r>
      <w:r>
        <w:rPr>
          <w:spacing w:val="-3"/>
          <w:sz w:val="24"/>
        </w:rPr>
        <w:t> </w:t>
      </w:r>
      <w:r>
        <w:rPr>
          <w:sz w:val="24"/>
        </w:rPr>
        <w:t>be</w:t>
      </w:r>
      <w:r>
        <w:rPr>
          <w:spacing w:val="-3"/>
          <w:sz w:val="24"/>
        </w:rPr>
        <w:t> </w:t>
      </w:r>
      <w:r>
        <w:rPr>
          <w:sz w:val="24"/>
        </w:rPr>
        <w:t>responsible</w:t>
      </w:r>
      <w:r>
        <w:rPr>
          <w:spacing w:val="-3"/>
          <w:sz w:val="24"/>
        </w:rPr>
        <w:t> </w:t>
      </w:r>
      <w:r>
        <w:rPr>
          <w:sz w:val="24"/>
        </w:rPr>
        <w:t>for</w:t>
      </w:r>
      <w:r>
        <w:rPr>
          <w:spacing w:val="-2"/>
          <w:sz w:val="24"/>
        </w:rPr>
        <w:t> </w:t>
      </w:r>
      <w:r>
        <w:rPr>
          <w:sz w:val="24"/>
        </w:rPr>
        <w:t>the</w:t>
      </w:r>
      <w:r>
        <w:rPr>
          <w:spacing w:val="-3"/>
          <w:sz w:val="24"/>
        </w:rPr>
        <w:t> </w:t>
      </w:r>
      <w:r>
        <w:rPr>
          <w:sz w:val="24"/>
        </w:rPr>
        <w:t>purchase</w:t>
      </w:r>
      <w:r>
        <w:rPr>
          <w:spacing w:val="-3"/>
          <w:sz w:val="24"/>
        </w:rPr>
        <w:t> </w:t>
      </w:r>
      <w:r>
        <w:rPr>
          <w:sz w:val="24"/>
        </w:rPr>
        <w:t>of</w:t>
      </w:r>
      <w:r>
        <w:rPr>
          <w:spacing w:val="-2"/>
          <w:sz w:val="24"/>
        </w:rPr>
        <w:t> </w:t>
      </w:r>
      <w:r>
        <w:rPr>
          <w:sz w:val="24"/>
        </w:rPr>
        <w:t>the</w:t>
      </w:r>
      <w:r>
        <w:rPr>
          <w:spacing w:val="-3"/>
          <w:sz w:val="24"/>
        </w:rPr>
        <w:t> </w:t>
      </w:r>
      <w:r>
        <w:rPr>
          <w:sz w:val="24"/>
        </w:rPr>
        <w:t>vehicle</w:t>
      </w:r>
      <w:r>
        <w:rPr>
          <w:spacing w:val="-3"/>
          <w:sz w:val="24"/>
        </w:rPr>
        <w:t> </w:t>
      </w:r>
      <w:r>
        <w:rPr>
          <w:sz w:val="24"/>
        </w:rPr>
        <w:t>and</w:t>
      </w:r>
      <w:r>
        <w:rPr>
          <w:spacing w:val="-3"/>
          <w:sz w:val="24"/>
        </w:rPr>
        <w:t> </w:t>
      </w:r>
      <w:r>
        <w:rPr>
          <w:sz w:val="24"/>
        </w:rPr>
        <w:t>DRS</w:t>
      </w:r>
      <w:r>
        <w:rPr>
          <w:spacing w:val="-3"/>
          <w:sz w:val="24"/>
        </w:rPr>
        <w:t> </w:t>
      </w:r>
      <w:r>
        <w:rPr>
          <w:sz w:val="24"/>
        </w:rPr>
        <w:t>will be responsible for the costs attributable to the structural modifications.</w:t>
      </w:r>
    </w:p>
    <w:p>
      <w:pPr>
        <w:pStyle w:val="ListParagraph"/>
        <w:numPr>
          <w:ilvl w:val="1"/>
          <w:numId w:val="236"/>
        </w:numPr>
        <w:tabs>
          <w:tab w:pos="1218" w:val="left" w:leader="none"/>
        </w:tabs>
        <w:spacing w:line="208" w:lineRule="auto" w:before="239" w:after="0"/>
        <w:ind w:left="792" w:right="772" w:firstLine="0"/>
        <w:jc w:val="left"/>
        <w:rPr>
          <w:sz w:val="24"/>
        </w:rPr>
      </w:pPr>
      <w:r>
        <w:rPr>
          <w:sz w:val="24"/>
        </w:rPr>
        <w:t>Category B: New or used vehicle with structural modifications and accessibility modifications additions: In this process, the vehicle will be purchased by client choice</w:t>
      </w:r>
      <w:r>
        <w:rPr>
          <w:spacing w:val="-3"/>
          <w:sz w:val="24"/>
        </w:rPr>
        <w:t> </w:t>
      </w:r>
      <w:r>
        <w:rPr>
          <w:sz w:val="24"/>
        </w:rPr>
        <w:t>and</w:t>
      </w:r>
      <w:r>
        <w:rPr>
          <w:spacing w:val="-2"/>
          <w:sz w:val="24"/>
        </w:rPr>
        <w:t> </w:t>
      </w:r>
      <w:r>
        <w:rPr>
          <w:sz w:val="24"/>
        </w:rPr>
        <w:t>not</w:t>
      </w:r>
      <w:r>
        <w:rPr>
          <w:spacing w:val="-2"/>
          <w:sz w:val="24"/>
        </w:rPr>
        <w:t> </w:t>
      </w:r>
      <w:r>
        <w:rPr>
          <w:sz w:val="24"/>
        </w:rPr>
        <w:t>obtained</w:t>
      </w:r>
      <w:r>
        <w:rPr>
          <w:spacing w:val="-3"/>
          <w:sz w:val="24"/>
        </w:rPr>
        <w:t> </w:t>
      </w:r>
      <w:r>
        <w:rPr>
          <w:sz w:val="24"/>
        </w:rPr>
        <w:t>through</w:t>
      </w:r>
      <w:r>
        <w:rPr>
          <w:spacing w:val="-3"/>
          <w:sz w:val="24"/>
        </w:rPr>
        <w:t> </w:t>
      </w:r>
      <w:r>
        <w:rPr>
          <w:sz w:val="24"/>
        </w:rPr>
        <w:t>a</w:t>
      </w:r>
      <w:r>
        <w:rPr>
          <w:spacing w:val="-3"/>
          <w:sz w:val="24"/>
        </w:rPr>
        <w:t> </w:t>
      </w:r>
      <w:r>
        <w:rPr>
          <w:sz w:val="24"/>
        </w:rPr>
        <w:t>bid</w:t>
      </w:r>
      <w:r>
        <w:rPr>
          <w:spacing w:val="-3"/>
          <w:sz w:val="24"/>
        </w:rPr>
        <w:t> </w:t>
      </w:r>
      <w:r>
        <w:rPr>
          <w:sz w:val="24"/>
        </w:rPr>
        <w:t>process.</w:t>
      </w:r>
      <w:r>
        <w:rPr>
          <w:spacing w:val="-2"/>
          <w:sz w:val="24"/>
        </w:rPr>
        <w:t> </w:t>
      </w:r>
      <w:r>
        <w:rPr>
          <w:sz w:val="24"/>
        </w:rPr>
        <w:t>The</w:t>
      </w:r>
      <w:r>
        <w:rPr>
          <w:spacing w:val="-3"/>
          <w:sz w:val="24"/>
        </w:rPr>
        <w:t> </w:t>
      </w:r>
      <w:r>
        <w:rPr>
          <w:sz w:val="24"/>
        </w:rPr>
        <w:t>client</w:t>
      </w:r>
      <w:r>
        <w:rPr>
          <w:spacing w:val="-2"/>
          <w:sz w:val="24"/>
        </w:rPr>
        <w:t> </w:t>
      </w:r>
      <w:r>
        <w:rPr>
          <w:sz w:val="24"/>
        </w:rPr>
        <w:t>will</w:t>
      </w:r>
      <w:r>
        <w:rPr>
          <w:spacing w:val="-3"/>
          <w:sz w:val="24"/>
        </w:rPr>
        <w:t> </w:t>
      </w:r>
      <w:r>
        <w:rPr>
          <w:sz w:val="24"/>
        </w:rPr>
        <w:t>be</w:t>
      </w:r>
      <w:r>
        <w:rPr>
          <w:spacing w:val="-3"/>
          <w:sz w:val="24"/>
        </w:rPr>
        <w:t> </w:t>
      </w:r>
      <w:r>
        <w:rPr>
          <w:sz w:val="24"/>
        </w:rPr>
        <w:t>responsible</w:t>
      </w:r>
      <w:r>
        <w:rPr>
          <w:spacing w:val="-3"/>
          <w:sz w:val="24"/>
        </w:rPr>
        <w:t> </w:t>
      </w:r>
      <w:r>
        <w:rPr>
          <w:sz w:val="24"/>
        </w:rPr>
        <w:t>for</w:t>
      </w:r>
      <w:r>
        <w:rPr>
          <w:spacing w:val="-2"/>
          <w:sz w:val="24"/>
        </w:rPr>
        <w:t> </w:t>
      </w:r>
      <w:r>
        <w:rPr>
          <w:sz w:val="24"/>
        </w:rPr>
        <w:t>the purchase of the vehicle and DRS will be responsible for the costs</w:t>
      </w:r>
      <w:r>
        <w:rPr>
          <w:spacing w:val="-2"/>
          <w:sz w:val="24"/>
        </w:rPr>
        <w:t> </w:t>
      </w:r>
      <w:r>
        <w:rPr>
          <w:sz w:val="24"/>
        </w:rPr>
        <w:t>attributable to</w:t>
      </w:r>
      <w:r>
        <w:rPr>
          <w:spacing w:val="-1"/>
          <w:sz w:val="24"/>
        </w:rPr>
        <w:t> </w:t>
      </w:r>
      <w:r>
        <w:rPr>
          <w:sz w:val="24"/>
        </w:rPr>
        <w:t>the structural modifications and the accessibility modification additions. </w:t>
      </w:r>
      <w:r>
        <w:rPr>
          <w:b/>
          <w:sz w:val="24"/>
        </w:rPr>
        <w:t>3 </w:t>
      </w:r>
      <w:r>
        <w:rPr>
          <w:sz w:val="24"/>
        </w:rPr>
        <w:t>DRS will participate in this method only if the client obtains warranty from the mobility aids vendor. A copy of the warranty agreement will be obtained by the counselor and maintained in the case file.</w:t>
      </w:r>
    </w:p>
    <w:p>
      <w:pPr>
        <w:pStyle w:val="ListParagraph"/>
        <w:numPr>
          <w:ilvl w:val="1"/>
          <w:numId w:val="236"/>
        </w:numPr>
        <w:tabs>
          <w:tab w:pos="1218" w:val="left" w:leader="none"/>
        </w:tabs>
        <w:spacing w:line="208" w:lineRule="auto" w:before="240" w:after="0"/>
        <w:ind w:left="792" w:right="748" w:firstLine="0"/>
        <w:jc w:val="left"/>
        <w:rPr>
          <w:sz w:val="24"/>
        </w:rPr>
      </w:pPr>
      <w:r>
        <w:rPr>
          <w:sz w:val="24"/>
        </w:rPr>
        <w:t>Category C: Any modifications to a new or used vehicle not purchased as part of the vehicle package with a cost greater than the OMES-DCAM authority order limit</w:t>
      </w:r>
      <w:r>
        <w:rPr>
          <w:spacing w:val="-3"/>
          <w:sz w:val="24"/>
        </w:rPr>
        <w:t> </w:t>
      </w:r>
      <w:r>
        <w:rPr>
          <w:sz w:val="24"/>
        </w:rPr>
        <w:t>will</w:t>
      </w:r>
      <w:r>
        <w:rPr>
          <w:spacing w:val="-4"/>
          <w:sz w:val="24"/>
        </w:rPr>
        <w:t> </w:t>
      </w:r>
      <w:r>
        <w:rPr>
          <w:sz w:val="24"/>
        </w:rPr>
        <w:t>require</w:t>
      </w:r>
      <w:r>
        <w:rPr>
          <w:spacing w:val="-4"/>
          <w:sz w:val="24"/>
        </w:rPr>
        <w:t> </w:t>
      </w:r>
      <w:r>
        <w:rPr>
          <w:sz w:val="24"/>
        </w:rPr>
        <w:t>additional</w:t>
      </w:r>
      <w:r>
        <w:rPr>
          <w:spacing w:val="-4"/>
          <w:sz w:val="24"/>
        </w:rPr>
        <w:t> </w:t>
      </w:r>
      <w:r>
        <w:rPr>
          <w:sz w:val="24"/>
        </w:rPr>
        <w:t>processing</w:t>
      </w:r>
      <w:r>
        <w:rPr>
          <w:spacing w:val="-4"/>
          <w:sz w:val="24"/>
        </w:rPr>
        <w:t> </w:t>
      </w:r>
      <w:r>
        <w:rPr>
          <w:sz w:val="24"/>
        </w:rPr>
        <w:t>by</w:t>
      </w:r>
      <w:r>
        <w:rPr>
          <w:spacing w:val="-4"/>
          <w:sz w:val="24"/>
        </w:rPr>
        <w:t> </w:t>
      </w:r>
      <w:r>
        <w:rPr>
          <w:sz w:val="24"/>
        </w:rPr>
        <w:t>C/DS</w:t>
      </w:r>
      <w:r>
        <w:rPr>
          <w:spacing w:val="-4"/>
          <w:sz w:val="24"/>
        </w:rPr>
        <w:t> </w:t>
      </w:r>
      <w:r>
        <w:rPr>
          <w:sz w:val="24"/>
        </w:rPr>
        <w:t>after</w:t>
      </w:r>
      <w:r>
        <w:rPr>
          <w:spacing w:val="-3"/>
          <w:sz w:val="24"/>
        </w:rPr>
        <w:t> </w:t>
      </w:r>
      <w:r>
        <w:rPr>
          <w:sz w:val="24"/>
        </w:rPr>
        <w:t>the</w:t>
      </w:r>
      <w:r>
        <w:rPr>
          <w:spacing w:val="-4"/>
          <w:sz w:val="24"/>
        </w:rPr>
        <w:t> </w:t>
      </w:r>
      <w:r>
        <w:rPr>
          <w:sz w:val="24"/>
        </w:rPr>
        <w:t>bid</w:t>
      </w:r>
      <w:r>
        <w:rPr>
          <w:spacing w:val="-4"/>
          <w:sz w:val="24"/>
        </w:rPr>
        <w:t> </w:t>
      </w:r>
      <w:r>
        <w:rPr>
          <w:sz w:val="24"/>
        </w:rPr>
        <w:t>process</w:t>
      </w:r>
      <w:r>
        <w:rPr>
          <w:spacing w:val="-4"/>
          <w:sz w:val="24"/>
        </w:rPr>
        <w:t> </w:t>
      </w:r>
      <w:r>
        <w:rPr>
          <w:sz w:val="24"/>
        </w:rPr>
        <w:t>is</w:t>
      </w:r>
      <w:r>
        <w:rPr>
          <w:spacing w:val="-4"/>
          <w:sz w:val="24"/>
        </w:rPr>
        <w:t> </w:t>
      </w:r>
      <w:r>
        <w:rPr>
          <w:sz w:val="24"/>
        </w:rPr>
        <w:t>completed</w:t>
      </w:r>
      <w:r>
        <w:rPr>
          <w:spacing w:val="-4"/>
          <w:sz w:val="24"/>
        </w:rPr>
        <w:t> </w:t>
      </w:r>
      <w:r>
        <w:rPr>
          <w:sz w:val="24"/>
        </w:rPr>
        <w:t>by the counselor in accordance with agency administrative rules.</w:t>
      </w:r>
    </w:p>
    <w:p>
      <w:pPr>
        <w:pStyle w:val="ListParagraph"/>
        <w:numPr>
          <w:ilvl w:val="0"/>
          <w:numId w:val="236"/>
        </w:numPr>
        <w:tabs>
          <w:tab w:pos="786" w:val="left" w:leader="none"/>
        </w:tabs>
        <w:spacing w:line="240" w:lineRule="auto" w:before="210" w:after="0"/>
        <w:ind w:left="786" w:right="0" w:hanging="426"/>
        <w:jc w:val="left"/>
        <w:rPr>
          <w:sz w:val="24"/>
        </w:rPr>
      </w:pPr>
      <w:r>
        <w:rPr>
          <w:sz w:val="24"/>
        </w:rPr>
        <w:t>The</w:t>
      </w:r>
      <w:r>
        <w:rPr>
          <w:spacing w:val="-5"/>
          <w:sz w:val="24"/>
        </w:rPr>
        <w:t> </w:t>
      </w:r>
      <w:r>
        <w:rPr>
          <w:sz w:val="24"/>
        </w:rPr>
        <w:t>qualifications</w:t>
      </w:r>
      <w:r>
        <w:rPr>
          <w:spacing w:val="-3"/>
          <w:sz w:val="24"/>
        </w:rPr>
        <w:t> </w:t>
      </w:r>
      <w:r>
        <w:rPr>
          <w:sz w:val="24"/>
        </w:rPr>
        <w:t>in</w:t>
      </w:r>
      <w:r>
        <w:rPr>
          <w:spacing w:val="-2"/>
          <w:sz w:val="24"/>
        </w:rPr>
        <w:t> </w:t>
      </w:r>
      <w:r>
        <w:rPr>
          <w:sz w:val="24"/>
        </w:rPr>
        <w:t>(1)</w:t>
      </w:r>
      <w:r>
        <w:rPr>
          <w:spacing w:val="-2"/>
          <w:sz w:val="24"/>
        </w:rPr>
        <w:t> </w:t>
      </w:r>
      <w:r>
        <w:rPr>
          <w:sz w:val="24"/>
        </w:rPr>
        <w:t>–</w:t>
      </w:r>
      <w:r>
        <w:rPr>
          <w:spacing w:val="-3"/>
          <w:sz w:val="24"/>
        </w:rPr>
        <w:t> </w:t>
      </w:r>
      <w:r>
        <w:rPr>
          <w:sz w:val="24"/>
        </w:rPr>
        <w:t>(9)</w:t>
      </w:r>
      <w:r>
        <w:rPr>
          <w:spacing w:val="-3"/>
          <w:sz w:val="24"/>
        </w:rPr>
        <w:t> </w:t>
      </w:r>
      <w:r>
        <w:rPr>
          <w:sz w:val="24"/>
        </w:rPr>
        <w:t>of</w:t>
      </w:r>
      <w:r>
        <w:rPr>
          <w:spacing w:val="-2"/>
          <w:sz w:val="24"/>
        </w:rPr>
        <w:t> </w:t>
      </w:r>
      <w:r>
        <w:rPr>
          <w:sz w:val="24"/>
        </w:rPr>
        <w:t>this</w:t>
      </w:r>
      <w:r>
        <w:rPr>
          <w:spacing w:val="-2"/>
          <w:sz w:val="24"/>
        </w:rPr>
        <w:t> </w:t>
      </w:r>
      <w:r>
        <w:rPr>
          <w:sz w:val="24"/>
        </w:rPr>
        <w:t>Subsection</w:t>
      </w:r>
      <w:r>
        <w:rPr>
          <w:spacing w:val="-3"/>
          <w:sz w:val="24"/>
        </w:rPr>
        <w:t> </w:t>
      </w:r>
      <w:r>
        <w:rPr>
          <w:sz w:val="24"/>
        </w:rPr>
        <w:t>apply</w:t>
      </w:r>
      <w:r>
        <w:rPr>
          <w:spacing w:val="-3"/>
          <w:sz w:val="24"/>
        </w:rPr>
        <w:t> </w:t>
      </w:r>
      <w:r>
        <w:rPr>
          <w:sz w:val="24"/>
        </w:rPr>
        <w:t>to</w:t>
      </w:r>
      <w:r>
        <w:rPr>
          <w:spacing w:val="-2"/>
          <w:sz w:val="24"/>
        </w:rPr>
        <w:t> </w:t>
      </w:r>
      <w:r>
        <w:rPr>
          <w:sz w:val="24"/>
        </w:rPr>
        <w:t>all</w:t>
      </w:r>
      <w:r>
        <w:rPr>
          <w:spacing w:val="-3"/>
          <w:sz w:val="24"/>
        </w:rPr>
        <w:t> </w:t>
      </w:r>
      <w:r>
        <w:rPr>
          <w:sz w:val="24"/>
        </w:rPr>
        <w:t>vehicle</w:t>
      </w:r>
      <w:r>
        <w:rPr>
          <w:spacing w:val="-2"/>
          <w:sz w:val="24"/>
        </w:rPr>
        <w:t> modifications.</w:t>
      </w:r>
    </w:p>
    <w:p>
      <w:pPr>
        <w:pStyle w:val="ListParagraph"/>
        <w:spacing w:after="0" w:line="240" w:lineRule="auto"/>
        <w:jc w:val="left"/>
        <w:rPr>
          <w:sz w:val="24"/>
        </w:rPr>
        <w:sectPr>
          <w:pgSz w:w="12240" w:h="15840"/>
          <w:pgMar w:top="1340" w:bottom="280" w:left="1080" w:right="720"/>
        </w:sectPr>
      </w:pPr>
    </w:p>
    <w:p>
      <w:pPr>
        <w:pStyle w:val="ListParagraph"/>
        <w:numPr>
          <w:ilvl w:val="1"/>
          <w:numId w:val="236"/>
        </w:numPr>
        <w:tabs>
          <w:tab w:pos="1217" w:val="left" w:leader="none"/>
        </w:tabs>
        <w:spacing w:line="208" w:lineRule="auto" w:before="96" w:after="0"/>
        <w:ind w:left="791" w:right="876" w:firstLine="0"/>
        <w:jc w:val="left"/>
        <w:rPr>
          <w:b/>
          <w:sz w:val="24"/>
        </w:rPr>
      </w:pPr>
      <w:r>
        <w:rPr>
          <w:sz w:val="24"/>
        </w:rPr>
        <w:t>The client or individual providing the transportation must have a current, valid driver's license. If the client will be driving the vehicle and does not yet have a driver's</w:t>
      </w:r>
      <w:r>
        <w:rPr>
          <w:spacing w:val="-4"/>
          <w:sz w:val="24"/>
        </w:rPr>
        <w:t> </w:t>
      </w:r>
      <w:r>
        <w:rPr>
          <w:sz w:val="24"/>
        </w:rPr>
        <w:t>license,</w:t>
      </w:r>
      <w:r>
        <w:rPr>
          <w:spacing w:val="-3"/>
          <w:sz w:val="24"/>
        </w:rPr>
        <w:t> </w:t>
      </w:r>
      <w:r>
        <w:rPr>
          <w:sz w:val="24"/>
        </w:rPr>
        <w:t>he/she</w:t>
      </w:r>
      <w:r>
        <w:rPr>
          <w:spacing w:val="-4"/>
          <w:sz w:val="24"/>
        </w:rPr>
        <w:t> </w:t>
      </w:r>
      <w:r>
        <w:rPr>
          <w:sz w:val="24"/>
        </w:rPr>
        <w:t>must</w:t>
      </w:r>
      <w:r>
        <w:rPr>
          <w:spacing w:val="-3"/>
          <w:sz w:val="24"/>
        </w:rPr>
        <w:t> </w:t>
      </w:r>
      <w:r>
        <w:rPr>
          <w:sz w:val="24"/>
        </w:rPr>
        <w:t>be</w:t>
      </w:r>
      <w:r>
        <w:rPr>
          <w:spacing w:val="-4"/>
          <w:sz w:val="24"/>
        </w:rPr>
        <w:t> </w:t>
      </w:r>
      <w:r>
        <w:rPr>
          <w:sz w:val="24"/>
        </w:rPr>
        <w:t>legally</w:t>
      </w:r>
      <w:r>
        <w:rPr>
          <w:spacing w:val="-4"/>
          <w:sz w:val="24"/>
        </w:rPr>
        <w:t> </w:t>
      </w:r>
      <w:r>
        <w:rPr>
          <w:sz w:val="24"/>
        </w:rPr>
        <w:t>permitted</w:t>
      </w:r>
      <w:r>
        <w:rPr>
          <w:spacing w:val="-4"/>
          <w:sz w:val="24"/>
        </w:rPr>
        <w:t> </w:t>
      </w:r>
      <w:r>
        <w:rPr>
          <w:sz w:val="24"/>
        </w:rPr>
        <w:t>to</w:t>
      </w:r>
      <w:r>
        <w:rPr>
          <w:spacing w:val="-4"/>
          <w:sz w:val="24"/>
        </w:rPr>
        <w:t> </w:t>
      </w:r>
      <w:r>
        <w:rPr>
          <w:sz w:val="24"/>
        </w:rPr>
        <w:t>drive</w:t>
      </w:r>
      <w:r>
        <w:rPr>
          <w:spacing w:val="-4"/>
          <w:sz w:val="24"/>
        </w:rPr>
        <w:t> </w:t>
      </w:r>
      <w:r>
        <w:rPr>
          <w:sz w:val="24"/>
        </w:rPr>
        <w:t>or</w:t>
      </w:r>
      <w:r>
        <w:rPr>
          <w:spacing w:val="-3"/>
          <w:sz w:val="24"/>
        </w:rPr>
        <w:t> </w:t>
      </w:r>
      <w:r>
        <w:rPr>
          <w:sz w:val="24"/>
        </w:rPr>
        <w:t>participate</w:t>
      </w:r>
      <w:r>
        <w:rPr>
          <w:spacing w:val="-4"/>
          <w:sz w:val="24"/>
        </w:rPr>
        <w:t> </w:t>
      </w:r>
      <w:r>
        <w:rPr>
          <w:sz w:val="24"/>
        </w:rPr>
        <w:t>as</w:t>
      </w:r>
      <w:r>
        <w:rPr>
          <w:spacing w:val="-4"/>
          <w:sz w:val="24"/>
        </w:rPr>
        <w:t> </w:t>
      </w:r>
      <w:r>
        <w:rPr>
          <w:sz w:val="24"/>
        </w:rPr>
        <w:t>a</w:t>
      </w:r>
      <w:r>
        <w:rPr>
          <w:spacing w:val="-4"/>
          <w:sz w:val="24"/>
        </w:rPr>
        <w:t> </w:t>
      </w:r>
      <w:r>
        <w:rPr>
          <w:sz w:val="24"/>
        </w:rPr>
        <w:t>driving student.</w:t>
      </w:r>
      <w:r>
        <w:rPr>
          <w:spacing w:val="40"/>
          <w:sz w:val="24"/>
        </w:rPr>
        <w:t> </w:t>
      </w:r>
      <w:r>
        <w:rPr>
          <w:b/>
          <w:sz w:val="24"/>
        </w:rPr>
        <w:t>4</w:t>
      </w:r>
    </w:p>
    <w:p>
      <w:pPr>
        <w:pStyle w:val="ListParagraph"/>
        <w:numPr>
          <w:ilvl w:val="1"/>
          <w:numId w:val="236"/>
        </w:numPr>
        <w:tabs>
          <w:tab w:pos="1217" w:val="left" w:leader="none"/>
        </w:tabs>
        <w:spacing w:line="208" w:lineRule="auto" w:before="239" w:after="0"/>
        <w:ind w:left="791" w:right="1120" w:firstLine="0"/>
        <w:jc w:val="left"/>
        <w:rPr>
          <w:sz w:val="24"/>
        </w:rPr>
      </w:pPr>
      <w:r>
        <w:rPr>
          <w:sz w:val="24"/>
        </w:rPr>
        <w:t>The name of the client must appear on the title to the vehicle and current vehicle</w:t>
      </w:r>
      <w:r>
        <w:rPr>
          <w:spacing w:val="-5"/>
          <w:sz w:val="24"/>
        </w:rPr>
        <w:t> </w:t>
      </w:r>
      <w:r>
        <w:rPr>
          <w:sz w:val="24"/>
        </w:rPr>
        <w:t>registration.</w:t>
      </w:r>
      <w:r>
        <w:rPr>
          <w:spacing w:val="-2"/>
          <w:sz w:val="24"/>
        </w:rPr>
        <w:t> </w:t>
      </w:r>
      <w:r>
        <w:rPr>
          <w:sz w:val="24"/>
        </w:rPr>
        <w:t>The</w:t>
      </w:r>
      <w:r>
        <w:rPr>
          <w:spacing w:val="-2"/>
          <w:sz w:val="24"/>
        </w:rPr>
        <w:t> </w:t>
      </w:r>
      <w:r>
        <w:rPr>
          <w:sz w:val="24"/>
        </w:rPr>
        <w:t>client</w:t>
      </w:r>
      <w:r>
        <w:rPr>
          <w:spacing w:val="-2"/>
          <w:sz w:val="24"/>
        </w:rPr>
        <w:t> </w:t>
      </w:r>
      <w:r>
        <w:rPr>
          <w:sz w:val="24"/>
        </w:rPr>
        <w:t>may</w:t>
      </w:r>
      <w:r>
        <w:rPr>
          <w:spacing w:val="-2"/>
          <w:sz w:val="24"/>
        </w:rPr>
        <w:t> </w:t>
      </w:r>
      <w:r>
        <w:rPr>
          <w:sz w:val="24"/>
        </w:rPr>
        <w:t>be</w:t>
      </w:r>
      <w:r>
        <w:rPr>
          <w:spacing w:val="-3"/>
          <w:sz w:val="24"/>
        </w:rPr>
        <w:t> </w:t>
      </w:r>
      <w:r>
        <w:rPr>
          <w:sz w:val="24"/>
        </w:rPr>
        <w:t>listed</w:t>
      </w:r>
      <w:r>
        <w:rPr>
          <w:spacing w:val="-2"/>
          <w:sz w:val="24"/>
        </w:rPr>
        <w:t> </w:t>
      </w:r>
      <w:r>
        <w:rPr>
          <w:sz w:val="24"/>
        </w:rPr>
        <w:t>as</w:t>
      </w:r>
      <w:r>
        <w:rPr>
          <w:spacing w:val="-2"/>
          <w:sz w:val="24"/>
        </w:rPr>
        <w:t> </w:t>
      </w:r>
      <w:r>
        <w:rPr>
          <w:sz w:val="24"/>
        </w:rPr>
        <w:t>a</w:t>
      </w:r>
      <w:r>
        <w:rPr>
          <w:spacing w:val="-3"/>
          <w:sz w:val="24"/>
        </w:rPr>
        <w:t> </w:t>
      </w:r>
      <w:r>
        <w:rPr>
          <w:sz w:val="24"/>
        </w:rPr>
        <w:t>co-owner</w:t>
      </w:r>
      <w:r>
        <w:rPr>
          <w:spacing w:val="-2"/>
          <w:sz w:val="24"/>
        </w:rPr>
        <w:t> </w:t>
      </w:r>
      <w:r>
        <w:rPr>
          <w:sz w:val="24"/>
        </w:rPr>
        <w:t>on</w:t>
      </w:r>
      <w:r>
        <w:rPr>
          <w:spacing w:val="-2"/>
          <w:sz w:val="24"/>
        </w:rPr>
        <w:t> </w:t>
      </w:r>
      <w:r>
        <w:rPr>
          <w:sz w:val="24"/>
        </w:rPr>
        <w:t>these</w:t>
      </w:r>
      <w:r>
        <w:rPr>
          <w:spacing w:val="-2"/>
          <w:sz w:val="24"/>
        </w:rPr>
        <w:t> documents.</w:t>
      </w:r>
    </w:p>
    <w:p>
      <w:pPr>
        <w:pStyle w:val="ListParagraph"/>
        <w:numPr>
          <w:ilvl w:val="1"/>
          <w:numId w:val="236"/>
        </w:numPr>
        <w:tabs>
          <w:tab w:pos="1217" w:val="left" w:leader="none"/>
        </w:tabs>
        <w:spacing w:line="208" w:lineRule="auto" w:before="240" w:after="0"/>
        <w:ind w:left="791" w:right="788" w:firstLine="0"/>
        <w:jc w:val="left"/>
        <w:rPr>
          <w:sz w:val="24"/>
        </w:rPr>
      </w:pPr>
      <w:r>
        <w:rPr>
          <w:sz w:val="24"/>
        </w:rPr>
        <w:t>The client must agree to maintain the vehicle for the predictable life of the equipment and is responsible for maintaining special equipment in good working order.</w:t>
      </w:r>
      <w:r>
        <w:rPr>
          <w:spacing w:val="-2"/>
          <w:sz w:val="24"/>
        </w:rPr>
        <w:t> </w:t>
      </w:r>
      <w:r>
        <w:rPr>
          <w:sz w:val="24"/>
        </w:rPr>
        <w:t>DRS</w:t>
      </w:r>
      <w:r>
        <w:rPr>
          <w:spacing w:val="-3"/>
          <w:sz w:val="24"/>
        </w:rPr>
        <w:t> </w:t>
      </w:r>
      <w:r>
        <w:rPr>
          <w:sz w:val="24"/>
        </w:rPr>
        <w:t>may</w:t>
      </w:r>
      <w:r>
        <w:rPr>
          <w:spacing w:val="-3"/>
          <w:sz w:val="24"/>
        </w:rPr>
        <w:t> </w:t>
      </w:r>
      <w:r>
        <w:rPr>
          <w:sz w:val="24"/>
        </w:rPr>
        <w:t>pay</w:t>
      </w:r>
      <w:r>
        <w:rPr>
          <w:spacing w:val="-3"/>
          <w:sz w:val="24"/>
        </w:rPr>
        <w:t> </w:t>
      </w:r>
      <w:r>
        <w:rPr>
          <w:sz w:val="24"/>
        </w:rPr>
        <w:t>for</w:t>
      </w:r>
      <w:r>
        <w:rPr>
          <w:spacing w:val="-2"/>
          <w:sz w:val="24"/>
        </w:rPr>
        <w:t> </w:t>
      </w:r>
      <w:r>
        <w:rPr>
          <w:sz w:val="24"/>
        </w:rPr>
        <w:t>repairs</w:t>
      </w:r>
      <w:r>
        <w:rPr>
          <w:spacing w:val="-3"/>
          <w:sz w:val="24"/>
        </w:rPr>
        <w:t> </w:t>
      </w:r>
      <w:r>
        <w:rPr>
          <w:sz w:val="24"/>
        </w:rPr>
        <w:t>to</w:t>
      </w:r>
      <w:r>
        <w:rPr>
          <w:spacing w:val="-3"/>
          <w:sz w:val="24"/>
        </w:rPr>
        <w:t> </w:t>
      </w:r>
      <w:r>
        <w:rPr>
          <w:sz w:val="24"/>
        </w:rPr>
        <w:t>such</w:t>
      </w:r>
      <w:r>
        <w:rPr>
          <w:spacing w:val="-3"/>
          <w:sz w:val="24"/>
        </w:rPr>
        <w:t> </w:t>
      </w:r>
      <w:r>
        <w:rPr>
          <w:sz w:val="24"/>
        </w:rPr>
        <w:t>equipment</w:t>
      </w:r>
      <w:r>
        <w:rPr>
          <w:spacing w:val="-2"/>
          <w:sz w:val="24"/>
        </w:rPr>
        <w:t> </w:t>
      </w:r>
      <w:r>
        <w:rPr>
          <w:sz w:val="24"/>
        </w:rPr>
        <w:t>during</w:t>
      </w:r>
      <w:r>
        <w:rPr>
          <w:spacing w:val="-3"/>
          <w:sz w:val="24"/>
        </w:rPr>
        <w:t> </w:t>
      </w:r>
      <w:r>
        <w:rPr>
          <w:sz w:val="24"/>
        </w:rPr>
        <w:t>the</w:t>
      </w:r>
      <w:r>
        <w:rPr>
          <w:spacing w:val="-3"/>
          <w:sz w:val="24"/>
        </w:rPr>
        <w:t> </w:t>
      </w:r>
      <w:r>
        <w:rPr>
          <w:sz w:val="24"/>
        </w:rPr>
        <w:t>life</w:t>
      </w:r>
      <w:r>
        <w:rPr>
          <w:spacing w:val="-3"/>
          <w:sz w:val="24"/>
        </w:rPr>
        <w:t> </w:t>
      </w:r>
      <w:r>
        <w:rPr>
          <w:sz w:val="24"/>
        </w:rPr>
        <w:t>of</w:t>
      </w:r>
      <w:r>
        <w:rPr>
          <w:spacing w:val="-2"/>
          <w:sz w:val="24"/>
        </w:rPr>
        <w:t> </w:t>
      </w:r>
      <w:r>
        <w:rPr>
          <w:sz w:val="24"/>
        </w:rPr>
        <w:t>the</w:t>
      </w:r>
      <w:r>
        <w:rPr>
          <w:spacing w:val="-3"/>
          <w:sz w:val="24"/>
        </w:rPr>
        <w:t> </w:t>
      </w:r>
      <w:r>
        <w:rPr>
          <w:sz w:val="24"/>
        </w:rPr>
        <w:t>case</w:t>
      </w:r>
      <w:r>
        <w:rPr>
          <w:spacing w:val="-4"/>
          <w:sz w:val="24"/>
        </w:rPr>
        <w:t> </w:t>
      </w:r>
      <w:r>
        <w:rPr>
          <w:sz w:val="24"/>
        </w:rPr>
        <w:t>unless there is clear evidence that the special equipment has been damaged due to client abuse or neglect as determined by the dealer, vendor or Assistive Technology </w:t>
      </w:r>
      <w:r>
        <w:rPr>
          <w:spacing w:val="-2"/>
          <w:sz w:val="24"/>
        </w:rPr>
        <w:t>Specialist.</w:t>
      </w:r>
    </w:p>
    <w:p>
      <w:pPr>
        <w:pStyle w:val="ListParagraph"/>
        <w:numPr>
          <w:ilvl w:val="1"/>
          <w:numId w:val="236"/>
        </w:numPr>
        <w:tabs>
          <w:tab w:pos="1217" w:val="left" w:leader="none"/>
        </w:tabs>
        <w:spacing w:line="208" w:lineRule="auto" w:before="240" w:after="0"/>
        <w:ind w:left="791" w:right="865" w:firstLine="0"/>
        <w:jc w:val="left"/>
        <w:rPr>
          <w:sz w:val="24"/>
        </w:rPr>
      </w:pPr>
      <w:r>
        <w:rPr>
          <w:sz w:val="24"/>
        </w:rPr>
        <w:t>The client must maintain full vehicle coverage (both collision and comprehensive) to include special equipment and any other vehicle modifications. All</w:t>
      </w:r>
      <w:r>
        <w:rPr>
          <w:spacing w:val="-4"/>
          <w:sz w:val="24"/>
        </w:rPr>
        <w:t> </w:t>
      </w:r>
      <w:r>
        <w:rPr>
          <w:sz w:val="24"/>
        </w:rPr>
        <w:t>potential</w:t>
      </w:r>
      <w:r>
        <w:rPr>
          <w:spacing w:val="-4"/>
          <w:sz w:val="24"/>
        </w:rPr>
        <w:t> </w:t>
      </w:r>
      <w:r>
        <w:rPr>
          <w:sz w:val="24"/>
        </w:rPr>
        <w:t>and/or</w:t>
      </w:r>
      <w:r>
        <w:rPr>
          <w:spacing w:val="-3"/>
          <w:sz w:val="24"/>
        </w:rPr>
        <w:t> </w:t>
      </w:r>
      <w:r>
        <w:rPr>
          <w:sz w:val="24"/>
        </w:rPr>
        <w:t>additional</w:t>
      </w:r>
      <w:r>
        <w:rPr>
          <w:spacing w:val="-4"/>
          <w:sz w:val="24"/>
        </w:rPr>
        <w:t> </w:t>
      </w:r>
      <w:r>
        <w:rPr>
          <w:sz w:val="24"/>
        </w:rPr>
        <w:t>drivers</w:t>
      </w:r>
      <w:r>
        <w:rPr>
          <w:spacing w:val="-4"/>
          <w:sz w:val="24"/>
        </w:rPr>
        <w:t> </w:t>
      </w:r>
      <w:r>
        <w:rPr>
          <w:sz w:val="24"/>
        </w:rPr>
        <w:t>permitted</w:t>
      </w:r>
      <w:r>
        <w:rPr>
          <w:spacing w:val="-4"/>
          <w:sz w:val="24"/>
        </w:rPr>
        <w:t> </w:t>
      </w:r>
      <w:r>
        <w:rPr>
          <w:sz w:val="24"/>
        </w:rPr>
        <w:t>to</w:t>
      </w:r>
      <w:r>
        <w:rPr>
          <w:spacing w:val="-4"/>
          <w:sz w:val="24"/>
        </w:rPr>
        <w:t> </w:t>
      </w:r>
      <w:r>
        <w:rPr>
          <w:sz w:val="24"/>
        </w:rPr>
        <w:t>drive</w:t>
      </w:r>
      <w:r>
        <w:rPr>
          <w:spacing w:val="-4"/>
          <w:sz w:val="24"/>
        </w:rPr>
        <w:t> </w:t>
      </w:r>
      <w:r>
        <w:rPr>
          <w:sz w:val="24"/>
        </w:rPr>
        <w:t>the</w:t>
      </w:r>
      <w:r>
        <w:rPr>
          <w:spacing w:val="-4"/>
          <w:sz w:val="24"/>
        </w:rPr>
        <w:t> </w:t>
      </w:r>
      <w:r>
        <w:rPr>
          <w:sz w:val="24"/>
        </w:rPr>
        <w:t>vehicle</w:t>
      </w:r>
      <w:r>
        <w:rPr>
          <w:spacing w:val="-3"/>
          <w:sz w:val="24"/>
        </w:rPr>
        <w:t> </w:t>
      </w:r>
      <w:r>
        <w:rPr>
          <w:sz w:val="24"/>
        </w:rPr>
        <w:t>must</w:t>
      </w:r>
      <w:r>
        <w:rPr>
          <w:spacing w:val="-3"/>
          <w:sz w:val="24"/>
        </w:rPr>
        <w:t> </w:t>
      </w:r>
      <w:r>
        <w:rPr>
          <w:sz w:val="24"/>
        </w:rPr>
        <w:t>be</w:t>
      </w:r>
      <w:r>
        <w:rPr>
          <w:spacing w:val="-4"/>
          <w:sz w:val="24"/>
        </w:rPr>
        <w:t> </w:t>
      </w:r>
      <w:r>
        <w:rPr>
          <w:sz w:val="24"/>
        </w:rPr>
        <w:t>insured and the appropriate insurance documentation provided to OKRS.</w:t>
      </w:r>
    </w:p>
    <w:p>
      <w:pPr>
        <w:pStyle w:val="ListParagraph"/>
        <w:numPr>
          <w:ilvl w:val="1"/>
          <w:numId w:val="236"/>
        </w:numPr>
        <w:tabs>
          <w:tab w:pos="1217" w:val="left" w:leader="none"/>
        </w:tabs>
        <w:spacing w:line="208" w:lineRule="auto" w:before="239" w:after="0"/>
        <w:ind w:left="791" w:right="814" w:firstLine="0"/>
        <w:jc w:val="left"/>
        <w:rPr>
          <w:sz w:val="24"/>
        </w:rPr>
      </w:pPr>
      <w:r>
        <w:rPr>
          <w:sz w:val="24"/>
        </w:rPr>
        <w:t>The</w:t>
      </w:r>
      <w:r>
        <w:rPr>
          <w:spacing w:val="-4"/>
          <w:sz w:val="24"/>
        </w:rPr>
        <w:t> </w:t>
      </w:r>
      <w:r>
        <w:rPr>
          <w:sz w:val="24"/>
        </w:rPr>
        <w:t>vehicle</w:t>
      </w:r>
      <w:r>
        <w:rPr>
          <w:spacing w:val="-4"/>
          <w:sz w:val="24"/>
        </w:rPr>
        <w:t> </w:t>
      </w:r>
      <w:r>
        <w:rPr>
          <w:sz w:val="24"/>
        </w:rPr>
        <w:t>must</w:t>
      </w:r>
      <w:r>
        <w:rPr>
          <w:spacing w:val="-3"/>
          <w:sz w:val="24"/>
        </w:rPr>
        <w:t> </w:t>
      </w:r>
      <w:r>
        <w:rPr>
          <w:sz w:val="24"/>
        </w:rPr>
        <w:t>be</w:t>
      </w:r>
      <w:r>
        <w:rPr>
          <w:spacing w:val="-4"/>
          <w:sz w:val="24"/>
        </w:rPr>
        <w:t> </w:t>
      </w:r>
      <w:r>
        <w:rPr>
          <w:sz w:val="24"/>
        </w:rPr>
        <w:t>evaluated</w:t>
      </w:r>
      <w:r>
        <w:rPr>
          <w:spacing w:val="-4"/>
          <w:sz w:val="24"/>
        </w:rPr>
        <w:t> </w:t>
      </w:r>
      <w:r>
        <w:rPr>
          <w:sz w:val="24"/>
        </w:rPr>
        <w:t>by</w:t>
      </w:r>
      <w:r>
        <w:rPr>
          <w:spacing w:val="-4"/>
          <w:sz w:val="24"/>
        </w:rPr>
        <w:t> </w:t>
      </w:r>
      <w:r>
        <w:rPr>
          <w:sz w:val="24"/>
        </w:rPr>
        <w:t>an</w:t>
      </w:r>
      <w:r>
        <w:rPr>
          <w:spacing w:val="-4"/>
          <w:sz w:val="24"/>
        </w:rPr>
        <w:t> </w:t>
      </w:r>
      <w:r>
        <w:rPr>
          <w:sz w:val="24"/>
        </w:rPr>
        <w:t>Assistive</w:t>
      </w:r>
      <w:r>
        <w:rPr>
          <w:spacing w:val="-4"/>
          <w:sz w:val="24"/>
        </w:rPr>
        <w:t> </w:t>
      </w:r>
      <w:r>
        <w:rPr>
          <w:sz w:val="24"/>
        </w:rPr>
        <w:t>Technology</w:t>
      </w:r>
      <w:r>
        <w:rPr>
          <w:spacing w:val="-4"/>
          <w:sz w:val="24"/>
        </w:rPr>
        <w:t> </w:t>
      </w:r>
      <w:r>
        <w:rPr>
          <w:sz w:val="24"/>
        </w:rPr>
        <w:t>Specialist</w:t>
      </w:r>
      <w:r>
        <w:rPr>
          <w:spacing w:val="-3"/>
          <w:sz w:val="24"/>
        </w:rPr>
        <w:t> </w:t>
      </w:r>
      <w:r>
        <w:rPr>
          <w:sz w:val="24"/>
        </w:rPr>
        <w:t>or</w:t>
      </w:r>
      <w:r>
        <w:rPr>
          <w:spacing w:val="-5"/>
          <w:sz w:val="24"/>
        </w:rPr>
        <w:t> </w:t>
      </w:r>
      <w:r>
        <w:rPr>
          <w:sz w:val="24"/>
        </w:rPr>
        <w:t>person with equivalent qualifications (Driver Rehabilitation Instructor, Occupational Therapist, Rehab Engineer, etc.) for identification of the appropriate adaptive equipment and assessment of the compatibility of the vehicle with recommended adaptive equipment.</w:t>
      </w:r>
    </w:p>
    <w:p>
      <w:pPr>
        <w:pStyle w:val="ListParagraph"/>
        <w:numPr>
          <w:ilvl w:val="1"/>
          <w:numId w:val="236"/>
        </w:numPr>
        <w:tabs>
          <w:tab w:pos="1217" w:val="left" w:leader="none"/>
        </w:tabs>
        <w:spacing w:line="208" w:lineRule="auto" w:before="240" w:after="0"/>
        <w:ind w:left="791" w:right="812" w:firstLine="0"/>
        <w:jc w:val="left"/>
        <w:rPr>
          <w:sz w:val="24"/>
        </w:rPr>
      </w:pPr>
      <w:r>
        <w:rPr>
          <w:sz w:val="24"/>
        </w:rPr>
        <w:t>A used vehicle must be inspected by an ASE or manufacturer certified mechanic to assure it is mechanically and structurally sound before equipment can be</w:t>
      </w:r>
      <w:r>
        <w:rPr>
          <w:spacing w:val="-3"/>
          <w:sz w:val="24"/>
        </w:rPr>
        <w:t> </w:t>
      </w:r>
      <w:r>
        <w:rPr>
          <w:sz w:val="24"/>
        </w:rPr>
        <w:t>installed.</w:t>
      </w:r>
      <w:r>
        <w:rPr>
          <w:spacing w:val="-2"/>
          <w:sz w:val="24"/>
        </w:rPr>
        <w:t> </w:t>
      </w:r>
      <w:r>
        <w:rPr>
          <w:sz w:val="24"/>
        </w:rPr>
        <w:t>This</w:t>
      </w:r>
      <w:r>
        <w:rPr>
          <w:spacing w:val="-3"/>
          <w:sz w:val="24"/>
        </w:rPr>
        <w:t> </w:t>
      </w:r>
      <w:r>
        <w:rPr>
          <w:sz w:val="24"/>
        </w:rPr>
        <w:t>inspection</w:t>
      </w:r>
      <w:r>
        <w:rPr>
          <w:spacing w:val="-3"/>
          <w:sz w:val="24"/>
        </w:rPr>
        <w:t> </w:t>
      </w:r>
      <w:r>
        <w:rPr>
          <w:sz w:val="24"/>
        </w:rPr>
        <w:t>may</w:t>
      </w:r>
      <w:r>
        <w:rPr>
          <w:spacing w:val="-3"/>
          <w:sz w:val="24"/>
        </w:rPr>
        <w:t> </w:t>
      </w:r>
      <w:r>
        <w:rPr>
          <w:sz w:val="24"/>
        </w:rPr>
        <w:t>be</w:t>
      </w:r>
      <w:r>
        <w:rPr>
          <w:spacing w:val="-3"/>
          <w:sz w:val="24"/>
        </w:rPr>
        <w:t> </w:t>
      </w:r>
      <w:r>
        <w:rPr>
          <w:sz w:val="24"/>
        </w:rPr>
        <w:t>authorized</w:t>
      </w:r>
      <w:r>
        <w:rPr>
          <w:spacing w:val="-3"/>
          <w:sz w:val="24"/>
        </w:rPr>
        <w:t> </w:t>
      </w:r>
      <w:r>
        <w:rPr>
          <w:sz w:val="24"/>
        </w:rPr>
        <w:t>by</w:t>
      </w:r>
      <w:r>
        <w:rPr>
          <w:spacing w:val="-3"/>
          <w:sz w:val="24"/>
        </w:rPr>
        <w:t> </w:t>
      </w:r>
      <w:r>
        <w:rPr>
          <w:sz w:val="24"/>
        </w:rPr>
        <w:t>the</w:t>
      </w:r>
      <w:r>
        <w:rPr>
          <w:spacing w:val="-3"/>
          <w:sz w:val="24"/>
        </w:rPr>
        <w:t> </w:t>
      </w:r>
      <w:r>
        <w:rPr>
          <w:sz w:val="24"/>
        </w:rPr>
        <w:t>counselor</w:t>
      </w:r>
      <w:r>
        <w:rPr>
          <w:spacing w:val="-2"/>
          <w:sz w:val="24"/>
        </w:rPr>
        <w:t> </w:t>
      </w:r>
      <w:r>
        <w:rPr>
          <w:sz w:val="24"/>
        </w:rPr>
        <w:t>if</w:t>
      </w:r>
      <w:r>
        <w:rPr>
          <w:spacing w:val="-2"/>
          <w:sz w:val="24"/>
        </w:rPr>
        <w:t> </w:t>
      </w:r>
      <w:r>
        <w:rPr>
          <w:sz w:val="24"/>
        </w:rPr>
        <w:t>necessary.</w:t>
      </w:r>
      <w:r>
        <w:rPr>
          <w:spacing w:val="-2"/>
          <w:sz w:val="24"/>
        </w:rPr>
        <w:t> </w:t>
      </w:r>
      <w:r>
        <w:rPr>
          <w:sz w:val="24"/>
        </w:rPr>
        <w:t>If</w:t>
      </w:r>
      <w:r>
        <w:rPr>
          <w:spacing w:val="-4"/>
          <w:sz w:val="24"/>
        </w:rPr>
        <w:t> </w:t>
      </w:r>
      <w:r>
        <w:rPr>
          <w:sz w:val="24"/>
        </w:rPr>
        <w:t>the ASE or manufacturer certified mechanic recommends it, a separate inspection related to structural soundness will be completed. This inspection may be authorized by the counselor.</w:t>
      </w:r>
    </w:p>
    <w:p>
      <w:pPr>
        <w:pStyle w:val="ListParagraph"/>
        <w:numPr>
          <w:ilvl w:val="1"/>
          <w:numId w:val="236"/>
        </w:numPr>
        <w:tabs>
          <w:tab w:pos="1217" w:val="left" w:leader="none"/>
        </w:tabs>
        <w:spacing w:line="208" w:lineRule="auto" w:before="239" w:after="0"/>
        <w:ind w:left="791" w:right="721" w:firstLine="0"/>
        <w:jc w:val="left"/>
        <w:rPr>
          <w:sz w:val="24"/>
        </w:rPr>
      </w:pPr>
      <w:r>
        <w:rPr>
          <w:sz w:val="24"/>
        </w:rPr>
        <w:t>Existing modifications on a new or used vehicle shall be inspected for the appropriateness of the adaptive equipment for the client's needs by the Assistive Technology Specialist or other qualified person. DRS also requires documentation that existing modifications on a used vehicle have been inspected by the mobility equipment</w:t>
      </w:r>
      <w:r>
        <w:rPr>
          <w:spacing w:val="-2"/>
          <w:sz w:val="24"/>
        </w:rPr>
        <w:t> </w:t>
      </w:r>
      <w:r>
        <w:rPr>
          <w:sz w:val="24"/>
        </w:rPr>
        <w:t>dealer/vendor</w:t>
      </w:r>
      <w:r>
        <w:rPr>
          <w:spacing w:val="-3"/>
          <w:sz w:val="24"/>
        </w:rPr>
        <w:t> </w:t>
      </w:r>
      <w:r>
        <w:rPr>
          <w:sz w:val="24"/>
        </w:rPr>
        <w:t>to</w:t>
      </w:r>
      <w:r>
        <w:rPr>
          <w:spacing w:val="-4"/>
          <w:sz w:val="24"/>
        </w:rPr>
        <w:t> </w:t>
      </w:r>
      <w:r>
        <w:rPr>
          <w:sz w:val="24"/>
        </w:rPr>
        <w:t>determine</w:t>
      </w:r>
      <w:r>
        <w:rPr>
          <w:spacing w:val="-4"/>
          <w:sz w:val="24"/>
        </w:rPr>
        <w:t> </w:t>
      </w:r>
      <w:r>
        <w:rPr>
          <w:sz w:val="24"/>
        </w:rPr>
        <w:t>efficiency,</w:t>
      </w:r>
      <w:r>
        <w:rPr>
          <w:spacing w:val="-3"/>
          <w:sz w:val="24"/>
        </w:rPr>
        <w:t> </w:t>
      </w:r>
      <w:r>
        <w:rPr>
          <w:sz w:val="24"/>
        </w:rPr>
        <w:t>quality</w:t>
      </w:r>
      <w:r>
        <w:rPr>
          <w:spacing w:val="-4"/>
          <w:sz w:val="24"/>
        </w:rPr>
        <w:t> </w:t>
      </w:r>
      <w:r>
        <w:rPr>
          <w:sz w:val="24"/>
        </w:rPr>
        <w:t>and</w:t>
      </w:r>
      <w:r>
        <w:rPr>
          <w:spacing w:val="-4"/>
          <w:sz w:val="24"/>
        </w:rPr>
        <w:t> </w:t>
      </w:r>
      <w:r>
        <w:rPr>
          <w:sz w:val="24"/>
        </w:rPr>
        <w:t>fair</w:t>
      </w:r>
      <w:r>
        <w:rPr>
          <w:spacing w:val="-3"/>
          <w:sz w:val="24"/>
        </w:rPr>
        <w:t> </w:t>
      </w:r>
      <w:r>
        <w:rPr>
          <w:sz w:val="24"/>
        </w:rPr>
        <w:t>market</w:t>
      </w:r>
      <w:r>
        <w:rPr>
          <w:spacing w:val="-3"/>
          <w:sz w:val="24"/>
        </w:rPr>
        <w:t> </w:t>
      </w:r>
      <w:r>
        <w:rPr>
          <w:sz w:val="24"/>
        </w:rPr>
        <w:t>value</w:t>
      </w:r>
      <w:r>
        <w:rPr>
          <w:spacing w:val="-4"/>
          <w:sz w:val="24"/>
        </w:rPr>
        <w:t> </w:t>
      </w:r>
      <w:r>
        <w:rPr>
          <w:sz w:val="24"/>
        </w:rPr>
        <w:t>of</w:t>
      </w:r>
      <w:r>
        <w:rPr>
          <w:spacing w:val="-5"/>
          <w:sz w:val="24"/>
        </w:rPr>
        <w:t> </w:t>
      </w:r>
      <w:r>
        <w:rPr>
          <w:sz w:val="24"/>
        </w:rPr>
        <w:t>the modification or adaptive equipment. This documentation may be obtained directly from the mobility equipment dealer/vendor or from the lender when such documentation has been required for loan approval.</w:t>
      </w:r>
    </w:p>
    <w:p>
      <w:pPr>
        <w:pStyle w:val="ListParagraph"/>
        <w:numPr>
          <w:ilvl w:val="1"/>
          <w:numId w:val="236"/>
        </w:numPr>
        <w:tabs>
          <w:tab w:pos="1217" w:val="left" w:leader="none"/>
        </w:tabs>
        <w:spacing w:line="208" w:lineRule="auto" w:before="239" w:after="0"/>
        <w:ind w:left="791" w:right="841" w:firstLine="0"/>
        <w:jc w:val="left"/>
        <w:rPr>
          <w:sz w:val="24"/>
        </w:rPr>
      </w:pPr>
      <w:r>
        <w:rPr>
          <w:sz w:val="24"/>
        </w:rPr>
        <w:t>DRS</w:t>
      </w:r>
      <w:r>
        <w:rPr>
          <w:spacing w:val="-4"/>
          <w:sz w:val="24"/>
        </w:rPr>
        <w:t> </w:t>
      </w:r>
      <w:r>
        <w:rPr>
          <w:sz w:val="24"/>
        </w:rPr>
        <w:t>will</w:t>
      </w:r>
      <w:r>
        <w:rPr>
          <w:spacing w:val="-4"/>
          <w:sz w:val="24"/>
        </w:rPr>
        <w:t> </w:t>
      </w:r>
      <w:r>
        <w:rPr>
          <w:sz w:val="24"/>
        </w:rPr>
        <w:t>not</w:t>
      </w:r>
      <w:r>
        <w:rPr>
          <w:spacing w:val="-3"/>
          <w:sz w:val="24"/>
        </w:rPr>
        <w:t> </w:t>
      </w:r>
      <w:r>
        <w:rPr>
          <w:sz w:val="24"/>
        </w:rPr>
        <w:t>pay</w:t>
      </w:r>
      <w:r>
        <w:rPr>
          <w:spacing w:val="-4"/>
          <w:sz w:val="24"/>
        </w:rPr>
        <w:t> </w:t>
      </w:r>
      <w:r>
        <w:rPr>
          <w:sz w:val="24"/>
        </w:rPr>
        <w:t>the</w:t>
      </w:r>
      <w:r>
        <w:rPr>
          <w:spacing w:val="-4"/>
          <w:sz w:val="24"/>
        </w:rPr>
        <w:t> </w:t>
      </w:r>
      <w:r>
        <w:rPr>
          <w:sz w:val="24"/>
        </w:rPr>
        <w:t>expense</w:t>
      </w:r>
      <w:r>
        <w:rPr>
          <w:spacing w:val="-4"/>
          <w:sz w:val="24"/>
        </w:rPr>
        <w:t> </w:t>
      </w:r>
      <w:r>
        <w:rPr>
          <w:sz w:val="24"/>
        </w:rPr>
        <w:t>of</w:t>
      </w:r>
      <w:r>
        <w:rPr>
          <w:spacing w:val="-3"/>
          <w:sz w:val="24"/>
        </w:rPr>
        <w:t> </w:t>
      </w:r>
      <w:r>
        <w:rPr>
          <w:sz w:val="24"/>
        </w:rPr>
        <w:t>replacing</w:t>
      </w:r>
      <w:r>
        <w:rPr>
          <w:spacing w:val="-4"/>
          <w:sz w:val="24"/>
        </w:rPr>
        <w:t> </w:t>
      </w:r>
      <w:r>
        <w:rPr>
          <w:sz w:val="24"/>
        </w:rPr>
        <w:t>the</w:t>
      </w:r>
      <w:r>
        <w:rPr>
          <w:spacing w:val="-4"/>
          <w:sz w:val="24"/>
        </w:rPr>
        <w:t> </w:t>
      </w:r>
      <w:r>
        <w:rPr>
          <w:sz w:val="24"/>
        </w:rPr>
        <w:t>equipment</w:t>
      </w:r>
      <w:r>
        <w:rPr>
          <w:spacing w:val="-3"/>
          <w:sz w:val="24"/>
        </w:rPr>
        <w:t> </w:t>
      </w:r>
      <w:r>
        <w:rPr>
          <w:sz w:val="24"/>
        </w:rPr>
        <w:t>unless</w:t>
      </w:r>
      <w:r>
        <w:rPr>
          <w:spacing w:val="-4"/>
          <w:sz w:val="24"/>
        </w:rPr>
        <w:t> </w:t>
      </w:r>
      <w:r>
        <w:rPr>
          <w:sz w:val="24"/>
        </w:rPr>
        <w:t>the</w:t>
      </w:r>
      <w:r>
        <w:rPr>
          <w:spacing w:val="-4"/>
          <w:sz w:val="24"/>
        </w:rPr>
        <w:t> </w:t>
      </w:r>
      <w:r>
        <w:rPr>
          <w:sz w:val="24"/>
        </w:rPr>
        <w:t>equipment no longer meets the needs of the client as determined through review of current medical reports and assistive technology evaluation indicating replacement is required to meet the IPE goals.</w:t>
      </w:r>
    </w:p>
    <w:p>
      <w:pPr>
        <w:pStyle w:val="ListParagraph"/>
        <w:numPr>
          <w:ilvl w:val="1"/>
          <w:numId w:val="236"/>
        </w:numPr>
        <w:tabs>
          <w:tab w:pos="1217" w:val="left" w:leader="none"/>
        </w:tabs>
        <w:spacing w:line="208" w:lineRule="auto" w:before="240" w:after="0"/>
        <w:ind w:left="791" w:right="855" w:firstLine="0"/>
        <w:jc w:val="left"/>
        <w:rPr>
          <w:sz w:val="24"/>
        </w:rPr>
      </w:pPr>
      <w:r>
        <w:rPr>
          <w:sz w:val="24"/>
        </w:rPr>
        <w:t>DRS</w:t>
      </w:r>
      <w:r>
        <w:rPr>
          <w:spacing w:val="-4"/>
          <w:sz w:val="24"/>
        </w:rPr>
        <w:t> </w:t>
      </w:r>
      <w:r>
        <w:rPr>
          <w:sz w:val="24"/>
        </w:rPr>
        <w:t>will</w:t>
      </w:r>
      <w:r>
        <w:rPr>
          <w:spacing w:val="-5"/>
          <w:sz w:val="24"/>
        </w:rPr>
        <w:t> </w:t>
      </w:r>
      <w:r>
        <w:rPr>
          <w:sz w:val="24"/>
        </w:rPr>
        <w:t>not</w:t>
      </w:r>
      <w:r>
        <w:rPr>
          <w:spacing w:val="-4"/>
          <w:sz w:val="24"/>
        </w:rPr>
        <w:t> </w:t>
      </w:r>
      <w:r>
        <w:rPr>
          <w:sz w:val="24"/>
        </w:rPr>
        <w:t>provide</w:t>
      </w:r>
      <w:r>
        <w:rPr>
          <w:spacing w:val="-4"/>
          <w:sz w:val="24"/>
        </w:rPr>
        <w:t> </w:t>
      </w:r>
      <w:r>
        <w:rPr>
          <w:sz w:val="24"/>
        </w:rPr>
        <w:t>comprehensive</w:t>
      </w:r>
      <w:r>
        <w:rPr>
          <w:spacing w:val="-4"/>
          <w:sz w:val="24"/>
        </w:rPr>
        <w:t> </w:t>
      </w:r>
      <w:r>
        <w:rPr>
          <w:sz w:val="24"/>
        </w:rPr>
        <w:t>structural</w:t>
      </w:r>
      <w:r>
        <w:rPr>
          <w:spacing w:val="-4"/>
          <w:sz w:val="24"/>
        </w:rPr>
        <w:t> </w:t>
      </w:r>
      <w:r>
        <w:rPr>
          <w:sz w:val="24"/>
        </w:rPr>
        <w:t>modifications</w:t>
      </w:r>
      <w:r>
        <w:rPr>
          <w:spacing w:val="-4"/>
          <w:sz w:val="24"/>
        </w:rPr>
        <w:t> </w:t>
      </w:r>
      <w:r>
        <w:rPr>
          <w:sz w:val="24"/>
        </w:rPr>
        <w:t>to</w:t>
      </w:r>
      <w:r>
        <w:rPr>
          <w:spacing w:val="-4"/>
          <w:sz w:val="24"/>
        </w:rPr>
        <w:t> </w:t>
      </w:r>
      <w:r>
        <w:rPr>
          <w:sz w:val="24"/>
        </w:rPr>
        <w:t>include</w:t>
      </w:r>
      <w:r>
        <w:rPr>
          <w:spacing w:val="-4"/>
          <w:sz w:val="24"/>
        </w:rPr>
        <w:t> </w:t>
      </w:r>
      <w:r>
        <w:rPr>
          <w:sz w:val="24"/>
        </w:rPr>
        <w:t>vertical, butterfly, or gull-wing doors for any vehicle types.</w:t>
      </w:r>
    </w:p>
    <w:p>
      <w:pPr>
        <w:pStyle w:val="ListParagraph"/>
        <w:numPr>
          <w:ilvl w:val="1"/>
          <w:numId w:val="236"/>
        </w:numPr>
        <w:tabs>
          <w:tab w:pos="1350" w:val="left" w:leader="none"/>
        </w:tabs>
        <w:spacing w:line="208" w:lineRule="auto" w:before="240" w:after="0"/>
        <w:ind w:left="791" w:right="898" w:firstLine="0"/>
        <w:jc w:val="left"/>
        <w:rPr>
          <w:sz w:val="24"/>
        </w:rPr>
      </w:pPr>
      <w:r>
        <w:rPr>
          <w:sz w:val="24"/>
        </w:rPr>
        <w:t>Certain</w:t>
      </w:r>
      <w:r>
        <w:rPr>
          <w:spacing w:val="-5"/>
          <w:sz w:val="24"/>
        </w:rPr>
        <w:t> </w:t>
      </w:r>
      <w:r>
        <w:rPr>
          <w:sz w:val="24"/>
        </w:rPr>
        <w:t>types</w:t>
      </w:r>
      <w:r>
        <w:rPr>
          <w:spacing w:val="-5"/>
          <w:sz w:val="24"/>
        </w:rPr>
        <w:t> </w:t>
      </w:r>
      <w:r>
        <w:rPr>
          <w:sz w:val="24"/>
        </w:rPr>
        <w:t>of</w:t>
      </w:r>
      <w:r>
        <w:rPr>
          <w:spacing w:val="-4"/>
          <w:sz w:val="24"/>
        </w:rPr>
        <w:t> </w:t>
      </w:r>
      <w:r>
        <w:rPr>
          <w:sz w:val="24"/>
        </w:rPr>
        <w:t>vehicle</w:t>
      </w:r>
      <w:r>
        <w:rPr>
          <w:spacing w:val="-5"/>
          <w:sz w:val="24"/>
        </w:rPr>
        <w:t> </w:t>
      </w:r>
      <w:r>
        <w:rPr>
          <w:sz w:val="24"/>
        </w:rPr>
        <w:t>modification</w:t>
      </w:r>
      <w:r>
        <w:rPr>
          <w:spacing w:val="-5"/>
          <w:sz w:val="24"/>
        </w:rPr>
        <w:t> </w:t>
      </w:r>
      <w:r>
        <w:rPr>
          <w:sz w:val="24"/>
        </w:rPr>
        <w:t>equipment</w:t>
      </w:r>
      <w:r>
        <w:rPr>
          <w:spacing w:val="-4"/>
          <w:sz w:val="24"/>
        </w:rPr>
        <w:t> </w:t>
      </w:r>
      <w:r>
        <w:rPr>
          <w:sz w:val="24"/>
        </w:rPr>
        <w:t>are</w:t>
      </w:r>
      <w:r>
        <w:rPr>
          <w:spacing w:val="-6"/>
          <w:sz w:val="24"/>
        </w:rPr>
        <w:t> </w:t>
      </w:r>
      <w:r>
        <w:rPr>
          <w:sz w:val="24"/>
        </w:rPr>
        <w:t>considered</w:t>
      </w:r>
      <w:r>
        <w:rPr>
          <w:spacing w:val="-4"/>
          <w:sz w:val="24"/>
        </w:rPr>
        <w:t> </w:t>
      </w:r>
      <w:r>
        <w:rPr>
          <w:sz w:val="24"/>
        </w:rPr>
        <w:t>"transferable" by design: i.e., hand controls, left foot accelerator, and hitch lift systems for wheelchairs/scooters. DRS may assist with the cost of transferring this type of</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792" w:right="775"/>
      </w:pPr>
      <w:r>
        <w:rPr/>
        <w:t>equipment</w:t>
      </w:r>
      <w:r>
        <w:rPr>
          <w:spacing w:val="-2"/>
        </w:rPr>
        <w:t> </w:t>
      </w:r>
      <w:r>
        <w:rPr/>
        <w:t>to</w:t>
      </w:r>
      <w:r>
        <w:rPr>
          <w:spacing w:val="-4"/>
        </w:rPr>
        <w:t> </w:t>
      </w:r>
      <w:r>
        <w:rPr/>
        <w:t>meet</w:t>
      </w:r>
      <w:r>
        <w:rPr>
          <w:spacing w:val="-5"/>
        </w:rPr>
        <w:t> </w:t>
      </w:r>
      <w:r>
        <w:rPr/>
        <w:t>the</w:t>
      </w:r>
      <w:r>
        <w:rPr>
          <w:spacing w:val="-4"/>
        </w:rPr>
        <w:t> </w:t>
      </w:r>
      <w:r>
        <w:rPr/>
        <w:t>IPE</w:t>
      </w:r>
      <w:r>
        <w:rPr>
          <w:spacing w:val="-4"/>
        </w:rPr>
        <w:t> </w:t>
      </w:r>
      <w:r>
        <w:rPr/>
        <w:t>goals.</w:t>
      </w:r>
      <w:r>
        <w:rPr>
          <w:spacing w:val="-3"/>
        </w:rPr>
        <w:t> </w:t>
      </w:r>
      <w:r>
        <w:rPr>
          <w:b/>
        </w:rPr>
        <w:t>5</w:t>
      </w:r>
      <w:r>
        <w:rPr>
          <w:b/>
          <w:spacing w:val="-5"/>
        </w:rPr>
        <w:t> </w:t>
      </w:r>
      <w:r>
        <w:rPr/>
        <w:t>These</w:t>
      </w:r>
      <w:r>
        <w:rPr>
          <w:spacing w:val="-4"/>
        </w:rPr>
        <w:t> </w:t>
      </w:r>
      <w:r>
        <w:rPr/>
        <w:t>modifications</w:t>
      </w:r>
      <w:r>
        <w:rPr>
          <w:spacing w:val="-3"/>
        </w:rPr>
        <w:t> </w:t>
      </w:r>
      <w:r>
        <w:rPr/>
        <w:t>are</w:t>
      </w:r>
      <w:r>
        <w:rPr>
          <w:spacing w:val="-4"/>
        </w:rPr>
        <w:t> </w:t>
      </w:r>
      <w:r>
        <w:rPr/>
        <w:t>categorized</w:t>
      </w:r>
      <w:r>
        <w:rPr>
          <w:spacing w:val="-4"/>
        </w:rPr>
        <w:t> </w:t>
      </w:r>
      <w:r>
        <w:rPr/>
        <w:t>as</w:t>
      </w:r>
      <w:r>
        <w:rPr>
          <w:spacing w:val="-4"/>
        </w:rPr>
        <w:t> </w:t>
      </w:r>
      <w:r>
        <w:rPr/>
        <w:t>non- structural modifications.</w:t>
      </w:r>
    </w:p>
    <w:p>
      <w:pPr>
        <w:pStyle w:val="ListParagraph"/>
        <w:numPr>
          <w:ilvl w:val="1"/>
          <w:numId w:val="236"/>
        </w:numPr>
        <w:tabs>
          <w:tab w:pos="1351" w:val="left" w:leader="none"/>
        </w:tabs>
        <w:spacing w:line="208" w:lineRule="auto" w:before="240" w:after="0"/>
        <w:ind w:left="792" w:right="735" w:firstLine="0"/>
        <w:jc w:val="left"/>
        <w:rPr>
          <w:sz w:val="24"/>
        </w:rPr>
      </w:pPr>
      <w:r>
        <w:rPr>
          <w:sz w:val="24"/>
        </w:rPr>
        <w:t>When</w:t>
      </w:r>
      <w:r>
        <w:rPr>
          <w:spacing w:val="-5"/>
          <w:sz w:val="24"/>
        </w:rPr>
        <w:t> </w:t>
      </w:r>
      <w:r>
        <w:rPr>
          <w:sz w:val="24"/>
        </w:rPr>
        <w:t>vehicle</w:t>
      </w:r>
      <w:r>
        <w:rPr>
          <w:spacing w:val="-4"/>
          <w:sz w:val="24"/>
        </w:rPr>
        <w:t> </w:t>
      </w:r>
      <w:r>
        <w:rPr>
          <w:sz w:val="24"/>
        </w:rPr>
        <w:t>modifications</w:t>
      </w:r>
      <w:r>
        <w:rPr>
          <w:spacing w:val="-3"/>
          <w:sz w:val="24"/>
        </w:rPr>
        <w:t> </w:t>
      </w:r>
      <w:r>
        <w:rPr>
          <w:sz w:val="24"/>
        </w:rPr>
        <w:t>are</w:t>
      </w:r>
      <w:r>
        <w:rPr>
          <w:spacing w:val="-4"/>
          <w:sz w:val="24"/>
        </w:rPr>
        <w:t> </w:t>
      </w:r>
      <w:r>
        <w:rPr>
          <w:sz w:val="24"/>
        </w:rPr>
        <w:t>completed,</w:t>
      </w:r>
      <w:r>
        <w:rPr>
          <w:spacing w:val="-3"/>
          <w:sz w:val="24"/>
        </w:rPr>
        <w:t> </w:t>
      </w:r>
      <w:r>
        <w:rPr>
          <w:sz w:val="24"/>
        </w:rPr>
        <w:t>installation</w:t>
      </w:r>
      <w:r>
        <w:rPr>
          <w:spacing w:val="-4"/>
          <w:sz w:val="24"/>
        </w:rPr>
        <w:t> </w:t>
      </w:r>
      <w:r>
        <w:rPr>
          <w:sz w:val="24"/>
        </w:rPr>
        <w:t>is</w:t>
      </w:r>
      <w:r>
        <w:rPr>
          <w:spacing w:val="-4"/>
          <w:sz w:val="24"/>
        </w:rPr>
        <w:t> </w:t>
      </w:r>
      <w:r>
        <w:rPr>
          <w:sz w:val="24"/>
        </w:rPr>
        <w:t>to</w:t>
      </w:r>
      <w:r>
        <w:rPr>
          <w:spacing w:val="-4"/>
          <w:sz w:val="24"/>
        </w:rPr>
        <w:t> </w:t>
      </w:r>
      <w:r>
        <w:rPr>
          <w:sz w:val="24"/>
        </w:rPr>
        <w:t>be</w:t>
      </w:r>
      <w:r>
        <w:rPr>
          <w:spacing w:val="-4"/>
          <w:sz w:val="24"/>
        </w:rPr>
        <w:t> </w:t>
      </w:r>
      <w:r>
        <w:rPr>
          <w:sz w:val="24"/>
        </w:rPr>
        <w:t>inspected</w:t>
      </w:r>
      <w:r>
        <w:rPr>
          <w:spacing w:val="-4"/>
          <w:sz w:val="24"/>
        </w:rPr>
        <w:t> </w:t>
      </w:r>
      <w:r>
        <w:rPr>
          <w:sz w:val="24"/>
        </w:rPr>
        <w:t>by</w:t>
      </w:r>
      <w:r>
        <w:rPr>
          <w:spacing w:val="-4"/>
          <w:sz w:val="24"/>
        </w:rPr>
        <w:t> </w:t>
      </w:r>
      <w:r>
        <w:rPr>
          <w:sz w:val="24"/>
        </w:rPr>
        <w:t>an Assistive Technology Specialist or person with equivalent qualifications, to determine</w:t>
      </w:r>
      <w:r>
        <w:rPr>
          <w:spacing w:val="-3"/>
          <w:sz w:val="24"/>
        </w:rPr>
        <w:t> </w:t>
      </w:r>
      <w:r>
        <w:rPr>
          <w:sz w:val="24"/>
        </w:rPr>
        <w:t>if</w:t>
      </w:r>
      <w:r>
        <w:rPr>
          <w:spacing w:val="-2"/>
          <w:sz w:val="24"/>
        </w:rPr>
        <w:t> </w:t>
      </w:r>
      <w:r>
        <w:rPr>
          <w:sz w:val="24"/>
        </w:rPr>
        <w:t>the</w:t>
      </w:r>
      <w:r>
        <w:rPr>
          <w:spacing w:val="-3"/>
          <w:sz w:val="24"/>
        </w:rPr>
        <w:t> </w:t>
      </w:r>
      <w:r>
        <w:rPr>
          <w:sz w:val="24"/>
        </w:rPr>
        <w:t>authorized</w:t>
      </w:r>
      <w:r>
        <w:rPr>
          <w:spacing w:val="-3"/>
          <w:sz w:val="24"/>
        </w:rPr>
        <w:t> </w:t>
      </w:r>
      <w:r>
        <w:rPr>
          <w:sz w:val="24"/>
        </w:rPr>
        <w:t>equipment</w:t>
      </w:r>
      <w:r>
        <w:rPr>
          <w:spacing w:val="-2"/>
          <w:sz w:val="24"/>
        </w:rPr>
        <w:t> </w:t>
      </w:r>
      <w:r>
        <w:rPr>
          <w:sz w:val="24"/>
        </w:rPr>
        <w:t>conforms</w:t>
      </w:r>
      <w:r>
        <w:rPr>
          <w:spacing w:val="-4"/>
          <w:sz w:val="24"/>
        </w:rPr>
        <w:t> </w:t>
      </w:r>
      <w:r>
        <w:rPr>
          <w:sz w:val="24"/>
        </w:rPr>
        <w:t>to</w:t>
      </w:r>
      <w:r>
        <w:rPr>
          <w:spacing w:val="-3"/>
          <w:sz w:val="24"/>
        </w:rPr>
        <w:t> </w:t>
      </w:r>
      <w:r>
        <w:rPr>
          <w:sz w:val="24"/>
        </w:rPr>
        <w:t>prescribed</w:t>
      </w:r>
      <w:r>
        <w:rPr>
          <w:spacing w:val="-3"/>
          <w:sz w:val="24"/>
        </w:rPr>
        <w:t> </w:t>
      </w:r>
      <w:r>
        <w:rPr>
          <w:sz w:val="24"/>
        </w:rPr>
        <w:t>standards,</w:t>
      </w:r>
      <w:r>
        <w:rPr>
          <w:spacing w:val="-2"/>
          <w:sz w:val="24"/>
        </w:rPr>
        <w:t> </w:t>
      </w:r>
      <w:r>
        <w:rPr>
          <w:sz w:val="24"/>
        </w:rPr>
        <w:t>is</w:t>
      </w:r>
      <w:r>
        <w:rPr>
          <w:spacing w:val="-3"/>
          <w:sz w:val="24"/>
        </w:rPr>
        <w:t> </w:t>
      </w:r>
      <w:r>
        <w:rPr>
          <w:sz w:val="24"/>
        </w:rPr>
        <w:t>properly installed and meets the functional needs of the client. The counselor must obtain a statement of satisfaction from the client.</w:t>
      </w:r>
    </w:p>
    <w:p>
      <w:pPr>
        <w:pStyle w:val="ListParagraph"/>
        <w:numPr>
          <w:ilvl w:val="1"/>
          <w:numId w:val="236"/>
        </w:numPr>
        <w:tabs>
          <w:tab w:pos="1349" w:val="left" w:leader="none"/>
        </w:tabs>
        <w:spacing w:line="208" w:lineRule="auto" w:before="239" w:after="0"/>
        <w:ind w:left="791" w:right="733" w:firstLine="0"/>
        <w:jc w:val="left"/>
        <w:rPr>
          <w:sz w:val="24"/>
        </w:rPr>
      </w:pPr>
      <w:r>
        <w:rPr>
          <w:sz w:val="24"/>
        </w:rPr>
        <w:t>Once a vehicle modification is complete, an Assistive Technology Specialist will conduct the inspection, and if required, a Driving Rehabilitation Instructor (DRI) to determine if the authorized equipment conforms to prescribed standards, is properly</w:t>
      </w:r>
      <w:r>
        <w:rPr>
          <w:spacing w:val="-4"/>
          <w:sz w:val="24"/>
        </w:rPr>
        <w:t> </w:t>
      </w:r>
      <w:r>
        <w:rPr>
          <w:sz w:val="24"/>
        </w:rPr>
        <w:t>installed,</w:t>
      </w:r>
      <w:r>
        <w:rPr>
          <w:spacing w:val="-3"/>
          <w:sz w:val="24"/>
        </w:rPr>
        <w:t> </w:t>
      </w:r>
      <w:r>
        <w:rPr>
          <w:sz w:val="24"/>
        </w:rPr>
        <w:t>and</w:t>
      </w:r>
      <w:r>
        <w:rPr>
          <w:spacing w:val="-3"/>
          <w:sz w:val="24"/>
        </w:rPr>
        <w:t> </w:t>
      </w:r>
      <w:r>
        <w:rPr>
          <w:sz w:val="24"/>
        </w:rPr>
        <w:t>meets</w:t>
      </w:r>
      <w:r>
        <w:rPr>
          <w:spacing w:val="-5"/>
          <w:sz w:val="24"/>
        </w:rPr>
        <w:t> </w:t>
      </w:r>
      <w:r>
        <w:rPr>
          <w:sz w:val="24"/>
        </w:rPr>
        <w:t>the</w:t>
      </w:r>
      <w:r>
        <w:rPr>
          <w:spacing w:val="-5"/>
          <w:sz w:val="24"/>
        </w:rPr>
        <w:t> </w:t>
      </w:r>
      <w:r>
        <w:rPr>
          <w:sz w:val="24"/>
        </w:rPr>
        <w:t>functional</w:t>
      </w:r>
      <w:r>
        <w:rPr>
          <w:spacing w:val="-4"/>
          <w:sz w:val="24"/>
        </w:rPr>
        <w:t> </w:t>
      </w:r>
      <w:r>
        <w:rPr>
          <w:sz w:val="24"/>
        </w:rPr>
        <w:t>needs</w:t>
      </w:r>
      <w:r>
        <w:rPr>
          <w:spacing w:val="-4"/>
          <w:sz w:val="24"/>
        </w:rPr>
        <w:t> </w:t>
      </w:r>
      <w:r>
        <w:rPr>
          <w:sz w:val="24"/>
        </w:rPr>
        <w:t>of</w:t>
      </w:r>
      <w:r>
        <w:rPr>
          <w:spacing w:val="-3"/>
          <w:sz w:val="24"/>
        </w:rPr>
        <w:t> </w:t>
      </w:r>
      <w:r>
        <w:rPr>
          <w:sz w:val="24"/>
        </w:rPr>
        <w:t>the</w:t>
      </w:r>
      <w:r>
        <w:rPr>
          <w:spacing w:val="-4"/>
          <w:sz w:val="24"/>
        </w:rPr>
        <w:t> </w:t>
      </w:r>
      <w:r>
        <w:rPr>
          <w:sz w:val="24"/>
        </w:rPr>
        <w:t>client.</w:t>
      </w:r>
      <w:r>
        <w:rPr>
          <w:spacing w:val="-3"/>
          <w:sz w:val="24"/>
        </w:rPr>
        <w:t> </w:t>
      </w:r>
      <w:r>
        <w:rPr>
          <w:sz w:val="24"/>
        </w:rPr>
        <w:t>The</w:t>
      </w:r>
      <w:r>
        <w:rPr>
          <w:spacing w:val="-4"/>
          <w:sz w:val="24"/>
        </w:rPr>
        <w:t> </w:t>
      </w:r>
      <w:r>
        <w:rPr>
          <w:sz w:val="24"/>
        </w:rPr>
        <w:t>modified</w:t>
      </w:r>
      <w:r>
        <w:rPr>
          <w:spacing w:val="-4"/>
          <w:sz w:val="24"/>
        </w:rPr>
        <w:t> </w:t>
      </w:r>
      <w:r>
        <w:rPr>
          <w:sz w:val="24"/>
        </w:rPr>
        <w:t>vehicle is not to be released to the client until after the inspection process is complete. This includes the Assistive Technology Specialist obtaining the following: valid driver's license, vehicle title, insurance verification, client's signed statement of satisfaction, and vehicle modification pictures. Counselor will not release final payment until are all items are received and reviewed.</w:t>
      </w:r>
    </w:p>
    <w:p>
      <w:pPr>
        <w:pStyle w:val="BodyText"/>
        <w:spacing w:before="210"/>
        <w:ind w:left="359"/>
      </w:pPr>
      <w:r>
        <w:rPr/>
        <w:t>Instructions</w:t>
      </w:r>
      <w:r>
        <w:rPr>
          <w:spacing w:val="-5"/>
        </w:rPr>
        <w:t> </w:t>
      </w:r>
      <w:r>
        <w:rPr/>
        <w:t>to</w:t>
      </w:r>
      <w:r>
        <w:rPr>
          <w:spacing w:val="-2"/>
        </w:rPr>
        <w:t> </w:t>
      </w:r>
      <w:r>
        <w:rPr>
          <w:spacing w:val="-4"/>
        </w:rPr>
        <w:t>Staff</w:t>
      </w:r>
    </w:p>
    <w:p>
      <w:pPr>
        <w:pStyle w:val="ListParagraph"/>
        <w:numPr>
          <w:ilvl w:val="0"/>
          <w:numId w:val="237"/>
        </w:numPr>
        <w:tabs>
          <w:tab w:pos="692" w:val="left" w:leader="none"/>
        </w:tabs>
        <w:spacing w:line="208" w:lineRule="auto" w:before="233" w:after="0"/>
        <w:ind w:left="359" w:right="886" w:firstLine="0"/>
        <w:jc w:val="left"/>
        <w:rPr>
          <w:sz w:val="24"/>
        </w:rPr>
      </w:pPr>
      <w:r>
        <w:rPr>
          <w:sz w:val="24"/>
        </w:rPr>
        <w:t>Driver</w:t>
      </w:r>
      <w:r>
        <w:rPr>
          <w:spacing w:val="-5"/>
          <w:sz w:val="24"/>
        </w:rPr>
        <w:t> </w:t>
      </w:r>
      <w:r>
        <w:rPr>
          <w:sz w:val="24"/>
        </w:rPr>
        <w:t>training</w:t>
      </w:r>
      <w:r>
        <w:rPr>
          <w:spacing w:val="-4"/>
          <w:sz w:val="24"/>
        </w:rPr>
        <w:t> </w:t>
      </w:r>
      <w:r>
        <w:rPr>
          <w:sz w:val="24"/>
        </w:rPr>
        <w:t>including</w:t>
      </w:r>
      <w:r>
        <w:rPr>
          <w:spacing w:val="-4"/>
          <w:sz w:val="24"/>
        </w:rPr>
        <w:t> </w:t>
      </w:r>
      <w:r>
        <w:rPr>
          <w:sz w:val="24"/>
        </w:rPr>
        <w:t>training</w:t>
      </w:r>
      <w:r>
        <w:rPr>
          <w:spacing w:val="-4"/>
          <w:sz w:val="24"/>
        </w:rPr>
        <w:t> </w:t>
      </w:r>
      <w:r>
        <w:rPr>
          <w:sz w:val="24"/>
        </w:rPr>
        <w:t>in</w:t>
      </w:r>
      <w:r>
        <w:rPr>
          <w:spacing w:val="-4"/>
          <w:sz w:val="24"/>
        </w:rPr>
        <w:t> </w:t>
      </w:r>
      <w:r>
        <w:rPr>
          <w:sz w:val="24"/>
        </w:rPr>
        <w:t>use</w:t>
      </w:r>
      <w:r>
        <w:rPr>
          <w:spacing w:val="-4"/>
          <w:sz w:val="24"/>
        </w:rPr>
        <w:t> </w:t>
      </w:r>
      <w:r>
        <w:rPr>
          <w:sz w:val="24"/>
        </w:rPr>
        <w:t>of</w:t>
      </w:r>
      <w:r>
        <w:rPr>
          <w:spacing w:val="-5"/>
          <w:sz w:val="24"/>
        </w:rPr>
        <w:t> </w:t>
      </w:r>
      <w:r>
        <w:rPr>
          <w:sz w:val="24"/>
        </w:rPr>
        <w:t>specialized</w:t>
      </w:r>
      <w:r>
        <w:rPr>
          <w:spacing w:val="-3"/>
          <w:sz w:val="24"/>
        </w:rPr>
        <w:t> </w:t>
      </w:r>
      <w:r>
        <w:rPr>
          <w:sz w:val="24"/>
        </w:rPr>
        <w:t>equipment</w:t>
      </w:r>
      <w:r>
        <w:rPr>
          <w:spacing w:val="-2"/>
          <w:sz w:val="24"/>
        </w:rPr>
        <w:t> </w:t>
      </w:r>
      <w:r>
        <w:rPr>
          <w:sz w:val="24"/>
        </w:rPr>
        <w:t>is</w:t>
      </w:r>
      <w:r>
        <w:rPr>
          <w:spacing w:val="-4"/>
          <w:sz w:val="24"/>
        </w:rPr>
        <w:t> </w:t>
      </w:r>
      <w:r>
        <w:rPr>
          <w:sz w:val="24"/>
        </w:rPr>
        <w:t>considered</w:t>
      </w:r>
      <w:r>
        <w:rPr>
          <w:spacing w:val="-4"/>
          <w:sz w:val="24"/>
        </w:rPr>
        <w:t> </w:t>
      </w:r>
      <w:r>
        <w:rPr>
          <w:sz w:val="24"/>
        </w:rPr>
        <w:t>to</w:t>
      </w:r>
      <w:r>
        <w:rPr>
          <w:spacing w:val="-4"/>
          <w:sz w:val="24"/>
        </w:rPr>
        <w:t> </w:t>
      </w:r>
      <w:r>
        <w:rPr>
          <w:sz w:val="24"/>
        </w:rPr>
        <w:t>be Personal or Work Adjustment Training.</w:t>
      </w:r>
    </w:p>
    <w:p>
      <w:pPr>
        <w:pStyle w:val="BodyText"/>
        <w:spacing w:line="208" w:lineRule="auto"/>
        <w:ind w:left="359" w:right="775"/>
      </w:pPr>
      <w:r>
        <w:rPr/>
        <w:t>With regard to high school students who are Transition clients, counselors may authorize</w:t>
      </w:r>
      <w:r>
        <w:rPr>
          <w:spacing w:val="-4"/>
        </w:rPr>
        <w:t> </w:t>
      </w:r>
      <w:r>
        <w:rPr/>
        <w:t>payment</w:t>
      </w:r>
      <w:r>
        <w:rPr>
          <w:spacing w:val="-3"/>
        </w:rPr>
        <w:t> </w:t>
      </w:r>
      <w:r>
        <w:rPr/>
        <w:t>for</w:t>
      </w:r>
      <w:r>
        <w:rPr>
          <w:spacing w:val="-6"/>
        </w:rPr>
        <w:t> </w:t>
      </w:r>
      <w:r>
        <w:rPr/>
        <w:t>driver's</w:t>
      </w:r>
      <w:r>
        <w:rPr>
          <w:spacing w:val="-4"/>
        </w:rPr>
        <w:t> </w:t>
      </w:r>
      <w:r>
        <w:rPr/>
        <w:t>education</w:t>
      </w:r>
      <w:r>
        <w:rPr>
          <w:spacing w:val="-4"/>
        </w:rPr>
        <w:t> </w:t>
      </w:r>
      <w:r>
        <w:rPr/>
        <w:t>after</w:t>
      </w:r>
      <w:r>
        <w:rPr>
          <w:spacing w:val="-3"/>
        </w:rPr>
        <w:t> </w:t>
      </w:r>
      <w:r>
        <w:rPr/>
        <w:t>use</w:t>
      </w:r>
      <w:r>
        <w:rPr>
          <w:spacing w:val="-4"/>
        </w:rPr>
        <w:t> </w:t>
      </w:r>
      <w:r>
        <w:rPr/>
        <w:t>of</w:t>
      </w:r>
      <w:r>
        <w:rPr>
          <w:spacing w:val="-3"/>
        </w:rPr>
        <w:t> </w:t>
      </w:r>
      <w:r>
        <w:rPr/>
        <w:t>all</w:t>
      </w:r>
      <w:r>
        <w:rPr>
          <w:spacing w:val="-4"/>
        </w:rPr>
        <w:t> </w:t>
      </w:r>
      <w:r>
        <w:rPr/>
        <w:t>comparable</w:t>
      </w:r>
      <w:r>
        <w:rPr>
          <w:spacing w:val="-4"/>
        </w:rPr>
        <w:t> </w:t>
      </w:r>
      <w:r>
        <w:rPr/>
        <w:t>benefits</w:t>
      </w:r>
      <w:r>
        <w:rPr>
          <w:spacing w:val="-4"/>
        </w:rPr>
        <w:t> </w:t>
      </w:r>
      <w:r>
        <w:rPr/>
        <w:t>and services and under the following conditions:</w:t>
      </w:r>
    </w:p>
    <w:p>
      <w:pPr>
        <w:pStyle w:val="ListParagraph"/>
        <w:numPr>
          <w:ilvl w:val="1"/>
          <w:numId w:val="237"/>
        </w:numPr>
        <w:tabs>
          <w:tab w:pos="1145" w:val="left" w:leader="none"/>
        </w:tabs>
        <w:spacing w:line="208" w:lineRule="auto" w:before="240" w:after="0"/>
        <w:ind w:left="719" w:right="834" w:firstLine="0"/>
        <w:jc w:val="left"/>
        <w:rPr>
          <w:sz w:val="24"/>
        </w:rPr>
      </w:pPr>
      <w:r>
        <w:rPr>
          <w:sz w:val="24"/>
        </w:rPr>
        <w:t>when</w:t>
      </w:r>
      <w:r>
        <w:rPr>
          <w:spacing w:val="-4"/>
          <w:sz w:val="24"/>
        </w:rPr>
        <w:t> </w:t>
      </w:r>
      <w:r>
        <w:rPr>
          <w:sz w:val="24"/>
        </w:rPr>
        <w:t>specialized</w:t>
      </w:r>
      <w:r>
        <w:rPr>
          <w:spacing w:val="-3"/>
          <w:sz w:val="24"/>
        </w:rPr>
        <w:t> </w:t>
      </w:r>
      <w:r>
        <w:rPr>
          <w:sz w:val="24"/>
        </w:rPr>
        <w:t>driver</w:t>
      </w:r>
      <w:r>
        <w:rPr>
          <w:spacing w:val="-3"/>
          <w:sz w:val="24"/>
        </w:rPr>
        <w:t> </w:t>
      </w:r>
      <w:r>
        <w:rPr>
          <w:sz w:val="24"/>
        </w:rPr>
        <w:t>training</w:t>
      </w:r>
      <w:r>
        <w:rPr>
          <w:spacing w:val="-4"/>
          <w:sz w:val="24"/>
        </w:rPr>
        <w:t> </w:t>
      </w:r>
      <w:r>
        <w:rPr>
          <w:sz w:val="24"/>
        </w:rPr>
        <w:t>is</w:t>
      </w:r>
      <w:r>
        <w:rPr>
          <w:spacing w:val="-4"/>
          <w:sz w:val="24"/>
        </w:rPr>
        <w:t> </w:t>
      </w:r>
      <w:r>
        <w:rPr>
          <w:sz w:val="24"/>
        </w:rPr>
        <w:t>required</w:t>
      </w:r>
      <w:r>
        <w:rPr>
          <w:spacing w:val="-4"/>
          <w:sz w:val="24"/>
        </w:rPr>
        <w:t> </w:t>
      </w:r>
      <w:r>
        <w:rPr>
          <w:sz w:val="24"/>
        </w:rPr>
        <w:t>to</w:t>
      </w:r>
      <w:r>
        <w:rPr>
          <w:spacing w:val="-4"/>
          <w:sz w:val="24"/>
        </w:rPr>
        <w:t> </w:t>
      </w:r>
      <w:r>
        <w:rPr>
          <w:sz w:val="24"/>
        </w:rPr>
        <w:t>enable</w:t>
      </w:r>
      <w:r>
        <w:rPr>
          <w:spacing w:val="-4"/>
          <w:sz w:val="24"/>
        </w:rPr>
        <w:t> </w:t>
      </w:r>
      <w:r>
        <w:rPr>
          <w:sz w:val="24"/>
        </w:rPr>
        <w:t>the</w:t>
      </w:r>
      <w:r>
        <w:rPr>
          <w:spacing w:val="-4"/>
          <w:sz w:val="24"/>
        </w:rPr>
        <w:t> </w:t>
      </w:r>
      <w:r>
        <w:rPr>
          <w:sz w:val="24"/>
        </w:rPr>
        <w:t>individual</w:t>
      </w:r>
      <w:r>
        <w:rPr>
          <w:spacing w:val="-4"/>
          <w:sz w:val="24"/>
        </w:rPr>
        <w:t> </w:t>
      </w:r>
      <w:r>
        <w:rPr>
          <w:sz w:val="24"/>
        </w:rPr>
        <w:t>to</w:t>
      </w:r>
      <w:r>
        <w:rPr>
          <w:spacing w:val="-4"/>
          <w:sz w:val="24"/>
        </w:rPr>
        <w:t> </w:t>
      </w:r>
      <w:r>
        <w:rPr>
          <w:sz w:val="24"/>
        </w:rPr>
        <w:t>effectively use vehicle modifications and assistive devices needed for driving, or to otherwise accommodate a disability that results in a barrier to driving, and</w:t>
      </w:r>
    </w:p>
    <w:p>
      <w:pPr>
        <w:pStyle w:val="ListParagraph"/>
        <w:numPr>
          <w:ilvl w:val="1"/>
          <w:numId w:val="237"/>
        </w:numPr>
        <w:tabs>
          <w:tab w:pos="1145" w:val="left" w:leader="none"/>
        </w:tabs>
        <w:spacing w:line="208" w:lineRule="auto" w:before="239" w:after="0"/>
        <w:ind w:left="719" w:right="1726" w:firstLine="0"/>
        <w:jc w:val="left"/>
        <w:rPr>
          <w:sz w:val="24"/>
        </w:rPr>
      </w:pPr>
      <w:r>
        <w:rPr>
          <w:sz w:val="24"/>
        </w:rPr>
        <w:t>when</w:t>
      </w:r>
      <w:r>
        <w:rPr>
          <w:spacing w:val="-5"/>
          <w:sz w:val="24"/>
        </w:rPr>
        <w:t> </w:t>
      </w:r>
      <w:r>
        <w:rPr>
          <w:sz w:val="24"/>
        </w:rPr>
        <w:t>specialized</w:t>
      </w:r>
      <w:r>
        <w:rPr>
          <w:spacing w:val="-4"/>
          <w:sz w:val="24"/>
        </w:rPr>
        <w:t> </w:t>
      </w:r>
      <w:r>
        <w:rPr>
          <w:sz w:val="24"/>
        </w:rPr>
        <w:t>driver</w:t>
      </w:r>
      <w:r>
        <w:rPr>
          <w:spacing w:val="-4"/>
          <w:sz w:val="24"/>
        </w:rPr>
        <w:t> </w:t>
      </w:r>
      <w:r>
        <w:rPr>
          <w:sz w:val="24"/>
        </w:rPr>
        <w:t>training</w:t>
      </w:r>
      <w:r>
        <w:rPr>
          <w:spacing w:val="-5"/>
          <w:sz w:val="24"/>
        </w:rPr>
        <w:t> </w:t>
      </w:r>
      <w:r>
        <w:rPr>
          <w:sz w:val="24"/>
        </w:rPr>
        <w:t>is</w:t>
      </w:r>
      <w:r>
        <w:rPr>
          <w:spacing w:val="-5"/>
          <w:sz w:val="24"/>
        </w:rPr>
        <w:t> </w:t>
      </w:r>
      <w:r>
        <w:rPr>
          <w:sz w:val="24"/>
        </w:rPr>
        <w:t>necessary</w:t>
      </w:r>
      <w:r>
        <w:rPr>
          <w:spacing w:val="-5"/>
          <w:sz w:val="24"/>
        </w:rPr>
        <w:t> </w:t>
      </w:r>
      <w:r>
        <w:rPr>
          <w:sz w:val="24"/>
        </w:rPr>
        <w:t>to</w:t>
      </w:r>
      <w:r>
        <w:rPr>
          <w:spacing w:val="-5"/>
          <w:sz w:val="24"/>
        </w:rPr>
        <w:t> </w:t>
      </w:r>
      <w:r>
        <w:rPr>
          <w:sz w:val="24"/>
        </w:rPr>
        <w:t>achieve</w:t>
      </w:r>
      <w:r>
        <w:rPr>
          <w:spacing w:val="-5"/>
          <w:sz w:val="24"/>
        </w:rPr>
        <w:t> </w:t>
      </w:r>
      <w:r>
        <w:rPr>
          <w:sz w:val="24"/>
        </w:rPr>
        <w:t>employment</w:t>
      </w:r>
      <w:r>
        <w:rPr>
          <w:spacing w:val="-4"/>
          <w:sz w:val="24"/>
        </w:rPr>
        <w:t> </w:t>
      </w:r>
      <w:r>
        <w:rPr>
          <w:sz w:val="24"/>
        </w:rPr>
        <w:t>or participate in vocational rehabilitation services.</w:t>
      </w:r>
    </w:p>
    <w:p>
      <w:pPr>
        <w:pStyle w:val="ListParagraph"/>
        <w:numPr>
          <w:ilvl w:val="0"/>
          <w:numId w:val="237"/>
        </w:numPr>
        <w:tabs>
          <w:tab w:pos="692" w:val="left" w:leader="none"/>
        </w:tabs>
        <w:spacing w:line="208" w:lineRule="auto" w:before="240" w:after="0"/>
        <w:ind w:left="359" w:right="924" w:firstLine="0"/>
        <w:jc w:val="left"/>
        <w:rPr>
          <w:sz w:val="24"/>
        </w:rPr>
      </w:pPr>
      <w:r>
        <w:rPr>
          <w:sz w:val="24"/>
        </w:rPr>
        <w:t>The counselor is required to submit the requisition, the authorization, the bid documents if applicable and all supporting bid documentation if applicable for Purchasing</w:t>
      </w:r>
      <w:r>
        <w:rPr>
          <w:spacing w:val="-2"/>
          <w:sz w:val="24"/>
        </w:rPr>
        <w:t> </w:t>
      </w:r>
      <w:r>
        <w:rPr>
          <w:sz w:val="24"/>
        </w:rPr>
        <w:t>to</w:t>
      </w:r>
      <w:r>
        <w:rPr>
          <w:spacing w:val="-3"/>
          <w:sz w:val="24"/>
        </w:rPr>
        <w:t> </w:t>
      </w:r>
      <w:r>
        <w:rPr>
          <w:sz w:val="24"/>
        </w:rPr>
        <w:t>award</w:t>
      </w:r>
      <w:r>
        <w:rPr>
          <w:spacing w:val="-3"/>
          <w:sz w:val="24"/>
        </w:rPr>
        <w:t> </w:t>
      </w:r>
      <w:r>
        <w:rPr>
          <w:sz w:val="24"/>
        </w:rPr>
        <w:t>the</w:t>
      </w:r>
      <w:r>
        <w:rPr>
          <w:spacing w:val="-3"/>
          <w:sz w:val="24"/>
        </w:rPr>
        <w:t> </w:t>
      </w:r>
      <w:r>
        <w:rPr>
          <w:sz w:val="24"/>
        </w:rPr>
        <w:t>Purchase</w:t>
      </w:r>
      <w:r>
        <w:rPr>
          <w:spacing w:val="-3"/>
          <w:sz w:val="24"/>
        </w:rPr>
        <w:t> </w:t>
      </w:r>
      <w:r>
        <w:rPr>
          <w:sz w:val="24"/>
        </w:rPr>
        <w:t>Order.</w:t>
      </w:r>
      <w:r>
        <w:rPr>
          <w:spacing w:val="-4"/>
          <w:sz w:val="24"/>
        </w:rPr>
        <w:t> </w:t>
      </w:r>
      <w:r>
        <w:rPr>
          <w:sz w:val="24"/>
        </w:rPr>
        <w:t>Once</w:t>
      </w:r>
      <w:r>
        <w:rPr>
          <w:spacing w:val="-3"/>
          <w:sz w:val="24"/>
        </w:rPr>
        <w:t> </w:t>
      </w:r>
      <w:r>
        <w:rPr>
          <w:sz w:val="24"/>
        </w:rPr>
        <w:t>the</w:t>
      </w:r>
      <w:r>
        <w:rPr>
          <w:spacing w:val="-3"/>
          <w:sz w:val="24"/>
        </w:rPr>
        <w:t> </w:t>
      </w:r>
      <w:r>
        <w:rPr>
          <w:sz w:val="24"/>
        </w:rPr>
        <w:t>Purchase</w:t>
      </w:r>
      <w:r>
        <w:rPr>
          <w:spacing w:val="-3"/>
          <w:sz w:val="24"/>
        </w:rPr>
        <w:t> </w:t>
      </w:r>
      <w:r>
        <w:rPr>
          <w:sz w:val="24"/>
        </w:rPr>
        <w:t>Order</w:t>
      </w:r>
      <w:r>
        <w:rPr>
          <w:spacing w:val="-2"/>
          <w:sz w:val="24"/>
        </w:rPr>
        <w:t> </w:t>
      </w:r>
      <w:r>
        <w:rPr>
          <w:sz w:val="24"/>
        </w:rPr>
        <w:t>is</w:t>
      </w:r>
      <w:r>
        <w:rPr>
          <w:spacing w:val="-3"/>
          <w:sz w:val="24"/>
        </w:rPr>
        <w:t> </w:t>
      </w:r>
      <w:r>
        <w:rPr>
          <w:sz w:val="24"/>
        </w:rPr>
        <w:t>received</w:t>
      </w:r>
      <w:r>
        <w:rPr>
          <w:spacing w:val="-3"/>
          <w:sz w:val="24"/>
        </w:rPr>
        <w:t> </w:t>
      </w:r>
      <w:r>
        <w:rPr>
          <w:sz w:val="24"/>
        </w:rPr>
        <w:t>by</w:t>
      </w:r>
      <w:r>
        <w:rPr>
          <w:spacing w:val="-3"/>
          <w:sz w:val="24"/>
        </w:rPr>
        <w:t> </w:t>
      </w:r>
      <w:r>
        <w:rPr>
          <w:sz w:val="24"/>
        </w:rPr>
        <w:t>the counselor, the vendor can be notified of the award.</w:t>
      </w:r>
    </w:p>
    <w:p>
      <w:pPr>
        <w:pStyle w:val="ListParagraph"/>
        <w:numPr>
          <w:ilvl w:val="0"/>
          <w:numId w:val="237"/>
        </w:numPr>
        <w:tabs>
          <w:tab w:pos="692" w:val="left" w:leader="none"/>
        </w:tabs>
        <w:spacing w:line="208" w:lineRule="auto" w:before="240" w:after="0"/>
        <w:ind w:left="359" w:right="777" w:firstLine="0"/>
        <w:jc w:val="left"/>
        <w:rPr>
          <w:sz w:val="24"/>
        </w:rPr>
      </w:pPr>
      <w:r>
        <w:rPr>
          <w:sz w:val="24"/>
        </w:rPr>
        <w:t>"Accessibility Modification Additions" as that term is used in Category B under 612:10-7-220(c) means additions identified at the time of vehicle selection which are needed to customize the vehicle for the individual's use and that are installed by the dealer</w:t>
      </w:r>
      <w:r>
        <w:rPr>
          <w:spacing w:val="-2"/>
          <w:sz w:val="24"/>
        </w:rPr>
        <w:t> </w:t>
      </w:r>
      <w:r>
        <w:rPr>
          <w:sz w:val="24"/>
        </w:rPr>
        <w:t>prior</w:t>
      </w:r>
      <w:r>
        <w:rPr>
          <w:spacing w:val="-1"/>
          <w:sz w:val="24"/>
        </w:rPr>
        <w:t> </w:t>
      </w:r>
      <w:r>
        <w:rPr>
          <w:sz w:val="24"/>
        </w:rPr>
        <w:t>to</w:t>
      </w:r>
      <w:r>
        <w:rPr>
          <w:spacing w:val="-4"/>
          <w:sz w:val="24"/>
        </w:rPr>
        <w:t> </w:t>
      </w:r>
      <w:r>
        <w:rPr>
          <w:sz w:val="24"/>
        </w:rPr>
        <w:t>final</w:t>
      </w:r>
      <w:r>
        <w:rPr>
          <w:spacing w:val="-3"/>
          <w:sz w:val="24"/>
        </w:rPr>
        <w:t> </w:t>
      </w:r>
      <w:r>
        <w:rPr>
          <w:sz w:val="24"/>
        </w:rPr>
        <w:t>delivery</w:t>
      </w:r>
      <w:r>
        <w:rPr>
          <w:spacing w:val="-3"/>
          <w:sz w:val="24"/>
        </w:rPr>
        <w:t> </w:t>
      </w:r>
      <w:r>
        <w:rPr>
          <w:sz w:val="24"/>
        </w:rPr>
        <w:t>of</w:t>
      </w:r>
      <w:r>
        <w:rPr>
          <w:spacing w:val="-2"/>
          <w:sz w:val="24"/>
        </w:rPr>
        <w:t> </w:t>
      </w:r>
      <w:r>
        <w:rPr>
          <w:sz w:val="24"/>
        </w:rPr>
        <w:t>vehicle</w:t>
      </w:r>
      <w:r>
        <w:rPr>
          <w:spacing w:val="-3"/>
          <w:sz w:val="24"/>
        </w:rPr>
        <w:t> </w:t>
      </w:r>
      <w:r>
        <w:rPr>
          <w:sz w:val="24"/>
        </w:rPr>
        <w:t>to</w:t>
      </w:r>
      <w:r>
        <w:rPr>
          <w:spacing w:val="-3"/>
          <w:sz w:val="24"/>
        </w:rPr>
        <w:t> </w:t>
      </w:r>
      <w:r>
        <w:rPr>
          <w:sz w:val="24"/>
        </w:rPr>
        <w:t>the</w:t>
      </w:r>
      <w:r>
        <w:rPr>
          <w:spacing w:val="-3"/>
          <w:sz w:val="24"/>
        </w:rPr>
        <w:t> </w:t>
      </w:r>
      <w:r>
        <w:rPr>
          <w:sz w:val="24"/>
        </w:rPr>
        <w:t>individual.</w:t>
      </w:r>
      <w:r>
        <w:rPr>
          <w:spacing w:val="40"/>
          <w:sz w:val="24"/>
        </w:rPr>
        <w:t> </w:t>
      </w:r>
      <w:r>
        <w:rPr>
          <w:sz w:val="24"/>
        </w:rPr>
        <w:t>Examples</w:t>
      </w:r>
      <w:r>
        <w:rPr>
          <w:spacing w:val="-3"/>
          <w:sz w:val="24"/>
        </w:rPr>
        <w:t> </w:t>
      </w:r>
      <w:r>
        <w:rPr>
          <w:sz w:val="24"/>
        </w:rPr>
        <w:t>could</w:t>
      </w:r>
      <w:r>
        <w:rPr>
          <w:spacing w:val="-3"/>
          <w:sz w:val="24"/>
        </w:rPr>
        <w:t> </w:t>
      </w:r>
      <w:r>
        <w:rPr>
          <w:sz w:val="24"/>
        </w:rPr>
        <w:t>include,</w:t>
      </w:r>
      <w:r>
        <w:rPr>
          <w:spacing w:val="-1"/>
          <w:sz w:val="24"/>
        </w:rPr>
        <w:t> </w:t>
      </w:r>
      <w:r>
        <w:rPr>
          <w:sz w:val="24"/>
        </w:rPr>
        <w:t>but</w:t>
      </w:r>
      <w:r>
        <w:rPr>
          <w:spacing w:val="-2"/>
          <w:sz w:val="24"/>
        </w:rPr>
        <w:t> </w:t>
      </w:r>
      <w:r>
        <w:rPr>
          <w:sz w:val="24"/>
        </w:rPr>
        <w:t>are not limited to, hand controls, power tie-downs or other wheelchair securing systems, and high-end driving controls with electronic secondary controls providing access to such vehicle systems as lights, heat and AC and the horn. (Since new and used vehicles with existing structural modifications are not typically equipped with accessibility modification additions due to their individualized nature, it is anticipated that these modifications will not be existing on the vehicle at the time of selection). Accessibility modification additions under Category B are considered part of a modified vehicle package and are not subject to bid.</w:t>
      </w:r>
    </w:p>
    <w:p>
      <w:pPr>
        <w:pStyle w:val="ListParagraph"/>
        <w:spacing w:after="0" w:line="208" w:lineRule="auto"/>
        <w:jc w:val="left"/>
        <w:rPr>
          <w:sz w:val="24"/>
        </w:rPr>
        <w:sectPr>
          <w:pgSz w:w="12240" w:h="15840"/>
          <w:pgMar w:top="1340" w:bottom="280" w:left="1080" w:right="720"/>
        </w:sectPr>
      </w:pPr>
    </w:p>
    <w:p>
      <w:pPr>
        <w:pStyle w:val="ListParagraph"/>
        <w:numPr>
          <w:ilvl w:val="0"/>
          <w:numId w:val="237"/>
        </w:numPr>
        <w:tabs>
          <w:tab w:pos="692" w:val="left" w:leader="none"/>
        </w:tabs>
        <w:spacing w:line="208" w:lineRule="auto" w:before="96" w:after="0"/>
        <w:ind w:left="359" w:right="781" w:firstLine="0"/>
        <w:jc w:val="left"/>
        <w:rPr>
          <w:sz w:val="24"/>
        </w:rPr>
      </w:pPr>
      <w:r>
        <w:rPr>
          <w:sz w:val="24"/>
        </w:rPr>
        <w:t>Some clients with significant disabilities will not have a valid driver's license. These clients are to be referred to the Department of Public Safety for determination of whether the client is able to obtain a license. Arrangements will be made by the counselor for the individual to take special driver's training following acquisition of the appropriate learner's permit. If the client has a current driver's license obtained before the onset of a significant disability, has not previously driven with vehicle modifications, and DRS funding is requested for vehicle modifications, the counselor may refer the client to the Oklahoma Department of Public Safety for review of the individual's driver license status.</w:t>
      </w:r>
      <w:r>
        <w:rPr>
          <w:spacing w:val="40"/>
          <w:sz w:val="24"/>
        </w:rPr>
        <w:t> </w:t>
      </w:r>
      <w:r>
        <w:rPr>
          <w:sz w:val="24"/>
        </w:rPr>
        <w:t>DPS may require the individual participate in its medical review process before a current license or learner's permit can be issued. DPS rules related to driver licensing</w:t>
      </w:r>
      <w:r>
        <w:rPr>
          <w:spacing w:val="-4"/>
          <w:sz w:val="24"/>
        </w:rPr>
        <w:t> </w:t>
      </w:r>
      <w:r>
        <w:rPr>
          <w:sz w:val="24"/>
        </w:rPr>
        <w:t>and</w:t>
      </w:r>
      <w:r>
        <w:rPr>
          <w:spacing w:val="-4"/>
          <w:sz w:val="24"/>
        </w:rPr>
        <w:t> </w:t>
      </w:r>
      <w:r>
        <w:rPr>
          <w:sz w:val="24"/>
        </w:rPr>
        <w:t>medical</w:t>
      </w:r>
      <w:r>
        <w:rPr>
          <w:spacing w:val="-3"/>
          <w:sz w:val="24"/>
        </w:rPr>
        <w:t> </w:t>
      </w:r>
      <w:r>
        <w:rPr>
          <w:sz w:val="24"/>
        </w:rPr>
        <w:t>aspects</w:t>
      </w:r>
      <w:r>
        <w:rPr>
          <w:spacing w:val="-4"/>
          <w:sz w:val="24"/>
        </w:rPr>
        <w:t> </w:t>
      </w:r>
      <w:r>
        <w:rPr>
          <w:sz w:val="24"/>
        </w:rPr>
        <w:t>are</w:t>
      </w:r>
      <w:r>
        <w:rPr>
          <w:spacing w:val="-4"/>
          <w:sz w:val="24"/>
        </w:rPr>
        <w:t> </w:t>
      </w:r>
      <w:r>
        <w:rPr>
          <w:sz w:val="24"/>
        </w:rPr>
        <w:t>found</w:t>
      </w:r>
      <w:r>
        <w:rPr>
          <w:spacing w:val="-4"/>
          <w:sz w:val="24"/>
        </w:rPr>
        <w:t> </w:t>
      </w:r>
      <w:r>
        <w:rPr>
          <w:sz w:val="24"/>
        </w:rPr>
        <w:t>at</w:t>
      </w:r>
      <w:r>
        <w:rPr>
          <w:spacing w:val="-5"/>
          <w:sz w:val="24"/>
        </w:rPr>
        <w:t> </w:t>
      </w:r>
      <w:hyperlink r:id="rId68">
        <w:r>
          <w:rPr>
            <w:color w:val="0000FF"/>
            <w:sz w:val="24"/>
            <w:u w:val="single" w:color="0000FF"/>
          </w:rPr>
          <w:t>http://www.dps.state.ok.us/rules/</w:t>
        </w:r>
      </w:hyperlink>
      <w:r>
        <w:rPr>
          <w:color w:val="0000FF"/>
          <w:spacing w:val="-4"/>
          <w:sz w:val="24"/>
          <w:u w:val="none"/>
        </w:rPr>
        <w:t> </w:t>
      </w:r>
      <w:r>
        <w:rPr>
          <w:sz w:val="24"/>
          <w:u w:val="none"/>
        </w:rPr>
        <w:t>and</w:t>
      </w:r>
      <w:r>
        <w:rPr>
          <w:spacing w:val="-4"/>
          <w:sz w:val="24"/>
          <w:u w:val="none"/>
        </w:rPr>
        <w:t> </w:t>
      </w:r>
      <w:r>
        <w:rPr>
          <w:sz w:val="24"/>
          <w:u w:val="none"/>
        </w:rPr>
        <w:t>in</w:t>
      </w:r>
      <w:r>
        <w:rPr>
          <w:spacing w:val="-4"/>
          <w:sz w:val="24"/>
          <w:u w:val="none"/>
        </w:rPr>
        <w:t> </w:t>
      </w:r>
      <w:r>
        <w:rPr>
          <w:sz w:val="24"/>
          <w:u w:val="none"/>
        </w:rPr>
        <w:t>Title 595, Chapter 10, Subchapter 5 of administrative rules found at </w:t>
      </w:r>
      <w:hyperlink r:id="rId69">
        <w:r>
          <w:rPr>
            <w:color w:val="0000FF"/>
            <w:spacing w:val="-2"/>
            <w:sz w:val="24"/>
            <w:u w:val="single" w:color="0000FF"/>
          </w:rPr>
          <w:t>https://rules.ok.gov/home</w:t>
        </w:r>
      </w:hyperlink>
      <w:r>
        <w:rPr>
          <w:spacing w:val="-2"/>
          <w:sz w:val="24"/>
          <w:u w:val="none"/>
        </w:rPr>
        <w:t>.</w:t>
      </w:r>
    </w:p>
    <w:p>
      <w:pPr>
        <w:pStyle w:val="ListParagraph"/>
        <w:numPr>
          <w:ilvl w:val="0"/>
          <w:numId w:val="237"/>
        </w:numPr>
        <w:tabs>
          <w:tab w:pos="693" w:val="left" w:leader="none"/>
        </w:tabs>
        <w:spacing w:line="208" w:lineRule="auto" w:before="239" w:after="0"/>
        <w:ind w:left="360" w:right="993" w:firstLine="0"/>
        <w:jc w:val="left"/>
        <w:rPr>
          <w:sz w:val="24"/>
        </w:rPr>
      </w:pPr>
      <w:r>
        <w:rPr>
          <w:sz w:val="24"/>
        </w:rPr>
        <w:t>The</w:t>
      </w:r>
      <w:r>
        <w:rPr>
          <w:spacing w:val="-4"/>
          <w:sz w:val="24"/>
        </w:rPr>
        <w:t> </w:t>
      </w:r>
      <w:r>
        <w:rPr>
          <w:sz w:val="24"/>
        </w:rPr>
        <w:t>counselor</w:t>
      </w:r>
      <w:r>
        <w:rPr>
          <w:spacing w:val="-3"/>
          <w:sz w:val="24"/>
        </w:rPr>
        <w:t> </w:t>
      </w:r>
      <w:r>
        <w:rPr>
          <w:sz w:val="24"/>
        </w:rPr>
        <w:t>should</w:t>
      </w:r>
      <w:r>
        <w:rPr>
          <w:spacing w:val="-4"/>
          <w:sz w:val="24"/>
        </w:rPr>
        <w:t> </w:t>
      </w:r>
      <w:r>
        <w:rPr>
          <w:sz w:val="24"/>
        </w:rPr>
        <w:t>contact</w:t>
      </w:r>
      <w:r>
        <w:rPr>
          <w:spacing w:val="-3"/>
          <w:sz w:val="24"/>
        </w:rPr>
        <w:t> </w:t>
      </w:r>
      <w:r>
        <w:rPr>
          <w:sz w:val="24"/>
        </w:rPr>
        <w:t>the</w:t>
      </w:r>
      <w:r>
        <w:rPr>
          <w:spacing w:val="-4"/>
          <w:sz w:val="24"/>
        </w:rPr>
        <w:t> </w:t>
      </w:r>
      <w:r>
        <w:rPr>
          <w:sz w:val="24"/>
        </w:rPr>
        <w:t>Assistive</w:t>
      </w:r>
      <w:r>
        <w:rPr>
          <w:spacing w:val="-4"/>
          <w:sz w:val="24"/>
        </w:rPr>
        <w:t> </w:t>
      </w:r>
      <w:r>
        <w:rPr>
          <w:sz w:val="24"/>
        </w:rPr>
        <w:t>Technology</w:t>
      </w:r>
      <w:r>
        <w:rPr>
          <w:spacing w:val="-4"/>
          <w:sz w:val="24"/>
        </w:rPr>
        <w:t> </w:t>
      </w:r>
      <w:r>
        <w:rPr>
          <w:sz w:val="24"/>
        </w:rPr>
        <w:t>Specialist</w:t>
      </w:r>
      <w:r>
        <w:rPr>
          <w:spacing w:val="-3"/>
          <w:sz w:val="24"/>
        </w:rPr>
        <w:t> </w:t>
      </w:r>
      <w:r>
        <w:rPr>
          <w:sz w:val="24"/>
        </w:rPr>
        <w:t>for</w:t>
      </w:r>
      <w:r>
        <w:rPr>
          <w:spacing w:val="-5"/>
          <w:sz w:val="24"/>
        </w:rPr>
        <w:t> </w:t>
      </w:r>
      <w:r>
        <w:rPr>
          <w:sz w:val="24"/>
        </w:rPr>
        <w:t>assistance</w:t>
      </w:r>
      <w:r>
        <w:rPr>
          <w:spacing w:val="-4"/>
          <w:sz w:val="24"/>
        </w:rPr>
        <w:t> </w:t>
      </w:r>
      <w:r>
        <w:rPr>
          <w:sz w:val="24"/>
        </w:rPr>
        <w:t>in determining if the equipment to be transferred is considered a "transferrable" item.</w:t>
      </w:r>
    </w:p>
    <w:p>
      <w:pPr>
        <w:pStyle w:val="ListParagraph"/>
        <w:numPr>
          <w:ilvl w:val="0"/>
          <w:numId w:val="237"/>
        </w:numPr>
        <w:tabs>
          <w:tab w:pos="693" w:val="left" w:leader="none"/>
        </w:tabs>
        <w:spacing w:line="208" w:lineRule="auto" w:before="239" w:after="0"/>
        <w:ind w:left="360" w:right="1315" w:firstLine="0"/>
        <w:jc w:val="both"/>
        <w:rPr>
          <w:sz w:val="24"/>
        </w:rPr>
      </w:pPr>
      <w:r>
        <w:rPr>
          <w:sz w:val="24"/>
        </w:rPr>
        <w:t>The</w:t>
      </w:r>
      <w:r>
        <w:rPr>
          <w:spacing w:val="-4"/>
          <w:sz w:val="24"/>
        </w:rPr>
        <w:t> </w:t>
      </w:r>
      <w:r>
        <w:rPr>
          <w:sz w:val="24"/>
        </w:rPr>
        <w:t>A.T.</w:t>
      </w:r>
      <w:r>
        <w:rPr>
          <w:spacing w:val="-3"/>
          <w:sz w:val="24"/>
        </w:rPr>
        <w:t> </w:t>
      </w:r>
      <w:r>
        <w:rPr>
          <w:sz w:val="24"/>
        </w:rPr>
        <w:t>Specialist</w:t>
      </w:r>
      <w:r>
        <w:rPr>
          <w:spacing w:val="-2"/>
          <w:sz w:val="24"/>
        </w:rPr>
        <w:t> </w:t>
      </w:r>
      <w:r>
        <w:rPr>
          <w:sz w:val="24"/>
        </w:rPr>
        <w:t>will</w:t>
      </w:r>
      <w:r>
        <w:rPr>
          <w:spacing w:val="-5"/>
          <w:sz w:val="24"/>
        </w:rPr>
        <w:t> </w:t>
      </w:r>
      <w:r>
        <w:rPr>
          <w:sz w:val="24"/>
        </w:rPr>
        <w:t>inform</w:t>
      </w:r>
      <w:r>
        <w:rPr>
          <w:spacing w:val="-3"/>
          <w:sz w:val="24"/>
        </w:rPr>
        <w:t> </w:t>
      </w:r>
      <w:r>
        <w:rPr>
          <w:sz w:val="24"/>
        </w:rPr>
        <w:t>the</w:t>
      </w:r>
      <w:r>
        <w:rPr>
          <w:spacing w:val="-4"/>
          <w:sz w:val="24"/>
        </w:rPr>
        <w:t> </w:t>
      </w:r>
      <w:r>
        <w:rPr>
          <w:sz w:val="24"/>
        </w:rPr>
        <w:t>counselor</w:t>
      </w:r>
      <w:r>
        <w:rPr>
          <w:spacing w:val="-3"/>
          <w:sz w:val="24"/>
        </w:rPr>
        <w:t> </w:t>
      </w:r>
      <w:r>
        <w:rPr>
          <w:sz w:val="24"/>
        </w:rPr>
        <w:t>if</w:t>
      </w:r>
      <w:r>
        <w:rPr>
          <w:spacing w:val="-3"/>
          <w:sz w:val="24"/>
        </w:rPr>
        <w:t> </w:t>
      </w:r>
      <w:r>
        <w:rPr>
          <w:sz w:val="24"/>
        </w:rPr>
        <w:t>the</w:t>
      </w:r>
      <w:r>
        <w:rPr>
          <w:spacing w:val="-4"/>
          <w:sz w:val="24"/>
        </w:rPr>
        <w:t> </w:t>
      </w:r>
      <w:r>
        <w:rPr>
          <w:sz w:val="24"/>
        </w:rPr>
        <w:t>installation</w:t>
      </w:r>
      <w:r>
        <w:rPr>
          <w:spacing w:val="-4"/>
          <w:sz w:val="24"/>
        </w:rPr>
        <w:t> </w:t>
      </w:r>
      <w:r>
        <w:rPr>
          <w:sz w:val="24"/>
        </w:rPr>
        <w:t>is</w:t>
      </w:r>
      <w:r>
        <w:rPr>
          <w:spacing w:val="-3"/>
          <w:sz w:val="24"/>
        </w:rPr>
        <w:t> </w:t>
      </w:r>
      <w:r>
        <w:rPr>
          <w:sz w:val="24"/>
        </w:rPr>
        <w:t>satisfactory</w:t>
      </w:r>
      <w:r>
        <w:rPr>
          <w:spacing w:val="-5"/>
          <w:sz w:val="24"/>
        </w:rPr>
        <w:t> </w:t>
      </w:r>
      <w:r>
        <w:rPr>
          <w:sz w:val="24"/>
        </w:rPr>
        <w:t>and ready</w:t>
      </w:r>
      <w:r>
        <w:rPr>
          <w:spacing w:val="-3"/>
          <w:sz w:val="24"/>
        </w:rPr>
        <w:t> </w:t>
      </w:r>
      <w:r>
        <w:rPr>
          <w:sz w:val="24"/>
        </w:rPr>
        <w:t>for</w:t>
      </w:r>
      <w:r>
        <w:rPr>
          <w:spacing w:val="-2"/>
          <w:sz w:val="24"/>
        </w:rPr>
        <w:t> </w:t>
      </w:r>
      <w:r>
        <w:rPr>
          <w:sz w:val="24"/>
        </w:rPr>
        <w:t>delivery</w:t>
      </w:r>
      <w:r>
        <w:rPr>
          <w:spacing w:val="-3"/>
          <w:sz w:val="24"/>
        </w:rPr>
        <w:t> </w:t>
      </w:r>
      <w:r>
        <w:rPr>
          <w:sz w:val="24"/>
        </w:rPr>
        <w:t>to</w:t>
      </w:r>
      <w:r>
        <w:rPr>
          <w:spacing w:val="-3"/>
          <w:sz w:val="24"/>
        </w:rPr>
        <w:t> </w:t>
      </w:r>
      <w:r>
        <w:rPr>
          <w:sz w:val="24"/>
        </w:rPr>
        <w:t>the</w:t>
      </w:r>
      <w:r>
        <w:rPr>
          <w:spacing w:val="-3"/>
          <w:sz w:val="24"/>
        </w:rPr>
        <w:t> </w:t>
      </w:r>
      <w:r>
        <w:rPr>
          <w:sz w:val="24"/>
        </w:rPr>
        <w:t>client.</w:t>
      </w:r>
      <w:r>
        <w:rPr>
          <w:spacing w:val="-2"/>
          <w:sz w:val="24"/>
        </w:rPr>
        <w:t> </w:t>
      </w:r>
      <w:r>
        <w:rPr>
          <w:sz w:val="24"/>
        </w:rPr>
        <w:t>The</w:t>
      </w:r>
      <w:r>
        <w:rPr>
          <w:spacing w:val="-3"/>
          <w:sz w:val="24"/>
        </w:rPr>
        <w:t> </w:t>
      </w:r>
      <w:r>
        <w:rPr>
          <w:sz w:val="24"/>
        </w:rPr>
        <w:t>A.T.</w:t>
      </w:r>
      <w:r>
        <w:rPr>
          <w:spacing w:val="-2"/>
          <w:sz w:val="24"/>
        </w:rPr>
        <w:t> </w:t>
      </w:r>
      <w:r>
        <w:rPr>
          <w:sz w:val="24"/>
        </w:rPr>
        <w:t>Specialist</w:t>
      </w:r>
      <w:r>
        <w:rPr>
          <w:spacing w:val="-2"/>
          <w:sz w:val="24"/>
        </w:rPr>
        <w:t> </w:t>
      </w:r>
      <w:r>
        <w:rPr>
          <w:sz w:val="24"/>
        </w:rPr>
        <w:t>reports</w:t>
      </w:r>
      <w:r>
        <w:rPr>
          <w:spacing w:val="-3"/>
          <w:sz w:val="24"/>
        </w:rPr>
        <w:t> </w:t>
      </w:r>
      <w:r>
        <w:rPr>
          <w:sz w:val="24"/>
        </w:rPr>
        <w:t>inspection</w:t>
      </w:r>
      <w:r>
        <w:rPr>
          <w:spacing w:val="-3"/>
          <w:sz w:val="24"/>
        </w:rPr>
        <w:t> </w:t>
      </w:r>
      <w:r>
        <w:rPr>
          <w:sz w:val="24"/>
        </w:rPr>
        <w:t>results</w:t>
      </w:r>
      <w:r>
        <w:rPr>
          <w:spacing w:val="-3"/>
          <w:sz w:val="24"/>
        </w:rPr>
        <w:t> </w:t>
      </w:r>
      <w:r>
        <w:rPr>
          <w:sz w:val="24"/>
        </w:rPr>
        <w:t>on</w:t>
      </w:r>
      <w:r>
        <w:rPr>
          <w:spacing w:val="-3"/>
          <w:sz w:val="24"/>
        </w:rPr>
        <w:t> </w:t>
      </w:r>
      <w:r>
        <w:rPr>
          <w:sz w:val="24"/>
        </w:rPr>
        <w:t>the Assistive Technology Inspection Report (DRS-C-72).</w:t>
      </w:r>
    </w:p>
    <w:p>
      <w:pPr>
        <w:pStyle w:val="ListParagraph"/>
        <w:numPr>
          <w:ilvl w:val="0"/>
          <w:numId w:val="237"/>
        </w:numPr>
        <w:tabs>
          <w:tab w:pos="1077" w:val="left" w:leader="none"/>
        </w:tabs>
        <w:spacing w:line="240" w:lineRule="auto" w:before="211" w:after="0"/>
        <w:ind w:left="1077" w:right="0" w:hanging="718"/>
        <w:jc w:val="both"/>
        <w:rPr>
          <w:sz w:val="24"/>
        </w:rPr>
      </w:pPr>
      <w:r>
        <w:rPr>
          <w:sz w:val="24"/>
        </w:rPr>
        <w:t>See</w:t>
      </w:r>
      <w:r>
        <w:rPr>
          <w:spacing w:val="-7"/>
          <w:sz w:val="24"/>
        </w:rPr>
        <w:t> </w:t>
      </w:r>
      <w:hyperlink w:history="true" w:anchor="_bookmark4">
        <w:r>
          <w:rPr>
            <w:color w:val="0000FF"/>
            <w:sz w:val="24"/>
            <w:u w:val="single" w:color="0000FF"/>
          </w:rPr>
          <w:t>612:10-1-</w:t>
        </w:r>
        <w:r>
          <w:rPr>
            <w:color w:val="0000FF"/>
            <w:spacing w:val="-5"/>
            <w:sz w:val="24"/>
            <w:u w:val="single" w:color="0000FF"/>
          </w:rPr>
          <w:t>7</w:t>
        </w:r>
      </w:hyperlink>
      <w:r>
        <w:rPr>
          <w:spacing w:val="-5"/>
          <w:sz w:val="24"/>
          <w:u w:val="none"/>
        </w:rPr>
        <w:t>.</w:t>
      </w:r>
    </w:p>
    <w:p>
      <w:pPr>
        <w:spacing w:before="22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24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775" w:firstLine="0"/>
        <w:jc w:val="left"/>
        <w:rPr>
          <w:sz w:val="22"/>
        </w:rPr>
      </w:pPr>
      <w:r>
        <w:rPr>
          <w:sz w:val="22"/>
        </w:rPr>
        <w:t>Permanent,</w:t>
      </w:r>
      <w:r>
        <w:rPr>
          <w:spacing w:val="-2"/>
          <w:sz w:val="22"/>
        </w:rPr>
        <w:t> </w:t>
      </w:r>
      <w:r>
        <w:rPr>
          <w:sz w:val="22"/>
        </w:rPr>
        <w:t>first</w:t>
      </w:r>
      <w:r>
        <w:rPr>
          <w:spacing w:val="-3"/>
          <w:sz w:val="22"/>
        </w:rPr>
        <w:t> </w:t>
      </w:r>
      <w:r>
        <w:rPr>
          <w:sz w:val="22"/>
        </w:rPr>
        <w:t>adoption</w:t>
      </w:r>
      <w:r>
        <w:rPr>
          <w:spacing w:val="-3"/>
          <w:sz w:val="22"/>
        </w:rPr>
        <w:t> </w:t>
      </w:r>
      <w:r>
        <w:rPr>
          <w:sz w:val="22"/>
        </w:rPr>
        <w:t>under</w:t>
      </w:r>
      <w:r>
        <w:rPr>
          <w:spacing w:val="-3"/>
          <w:sz w:val="22"/>
        </w:rPr>
        <w:t> </w:t>
      </w:r>
      <w:r>
        <w:rPr>
          <w:sz w:val="22"/>
        </w:rPr>
        <w:t>OAC</w:t>
      </w:r>
      <w:r>
        <w:rPr>
          <w:spacing w:val="-4"/>
          <w:sz w:val="22"/>
        </w:rPr>
        <w:t> </w:t>
      </w:r>
      <w:r>
        <w:rPr>
          <w:sz w:val="22"/>
        </w:rPr>
        <w:t>Title</w:t>
      </w:r>
      <w:r>
        <w:rPr>
          <w:spacing w:val="-3"/>
          <w:sz w:val="22"/>
        </w:rPr>
        <w:t> </w:t>
      </w:r>
      <w:r>
        <w:rPr>
          <w:sz w:val="22"/>
        </w:rPr>
        <w:t>612,</w:t>
      </w:r>
      <w:r>
        <w:rPr>
          <w:spacing w:val="-4"/>
          <w:sz w:val="22"/>
        </w:rPr>
        <w:t> </w:t>
      </w:r>
      <w:r>
        <w:rPr>
          <w:sz w:val="22"/>
        </w:rPr>
        <w:t>revised</w:t>
      </w:r>
      <w:r>
        <w:rPr>
          <w:spacing w:val="-3"/>
          <w:sz w:val="22"/>
        </w:rPr>
        <w:t> </w:t>
      </w:r>
      <w:r>
        <w:rPr>
          <w:sz w:val="22"/>
        </w:rPr>
        <w:t>money</w:t>
      </w:r>
      <w:r>
        <w:rPr>
          <w:spacing w:val="-3"/>
          <w:sz w:val="22"/>
        </w:rPr>
        <w:t> </w:t>
      </w:r>
      <w:r>
        <w:rPr>
          <w:sz w:val="22"/>
        </w:rPr>
        <w:t>limits,</w:t>
      </w:r>
      <w:r>
        <w:rPr>
          <w:spacing w:val="-3"/>
          <w:sz w:val="22"/>
        </w:rPr>
        <w:t> </w:t>
      </w:r>
      <w:r>
        <w:rPr>
          <w:sz w:val="22"/>
        </w:rPr>
        <w:t>added</w:t>
      </w:r>
      <w:r>
        <w:rPr>
          <w:spacing w:val="-3"/>
          <w:sz w:val="22"/>
        </w:rPr>
        <w:t> </w:t>
      </w:r>
      <w:r>
        <w:rPr>
          <w:sz w:val="22"/>
        </w:rPr>
        <w:t>that</w:t>
      </w:r>
      <w:r>
        <w:rPr>
          <w:spacing w:val="-3"/>
          <w:sz w:val="22"/>
        </w:rPr>
        <w:t> </w:t>
      </w:r>
      <w:r>
        <w:rPr>
          <w:sz w:val="22"/>
        </w:rPr>
        <w:t>will not use RVS funds to pay for replacement or transfer of equipment for 5 years after initial purchase, raised mileage limit from 85,000 to 100,000</w:t>
      </w:r>
    </w:p>
    <w:p>
      <w:pPr>
        <w:tabs>
          <w:tab w:pos="1439" w:val="left" w:leader="none"/>
        </w:tabs>
        <w:spacing w:before="0"/>
        <w:ind w:left="359" w:right="0" w:firstLine="0"/>
        <w:jc w:val="left"/>
        <w:rPr>
          <w:sz w:val="22"/>
        </w:rPr>
      </w:pPr>
      <w:r>
        <w:rPr>
          <w:spacing w:val="-2"/>
          <w:sz w:val="22"/>
        </w:rPr>
        <w:t>4-3-</w:t>
      </w:r>
      <w:r>
        <w:rPr>
          <w:spacing w:val="-5"/>
          <w:sz w:val="22"/>
        </w:rPr>
        <w:t>96</w:t>
      </w:r>
      <w:r>
        <w:rPr>
          <w:sz w:val="22"/>
        </w:rPr>
        <w:tab/>
        <w:t>PT</w:t>
      </w:r>
      <w:r>
        <w:rPr>
          <w:spacing w:val="-8"/>
          <w:sz w:val="22"/>
        </w:rPr>
        <w:t> </w:t>
      </w:r>
      <w:r>
        <w:rPr>
          <w:sz w:val="22"/>
        </w:rPr>
        <w:t>Memo</w:t>
      </w:r>
      <w:r>
        <w:rPr>
          <w:spacing w:val="-8"/>
          <w:sz w:val="22"/>
        </w:rPr>
        <w:t> </w:t>
      </w:r>
      <w:r>
        <w:rPr>
          <w:sz w:val="22"/>
        </w:rPr>
        <w:t>#96-</w:t>
      </w:r>
      <w:r>
        <w:rPr>
          <w:spacing w:val="-10"/>
          <w:sz w:val="22"/>
        </w:rPr>
        <w:t>2</w:t>
      </w:r>
    </w:p>
    <w:p>
      <w:pPr>
        <w:spacing w:before="0"/>
        <w:ind w:left="1439" w:right="775" w:firstLine="0"/>
        <w:jc w:val="left"/>
        <w:rPr>
          <w:sz w:val="22"/>
        </w:rPr>
      </w:pPr>
      <w:r>
        <w:rPr>
          <w:sz w:val="22"/>
        </w:rPr>
        <w:t>Emergency,</w:t>
      </w:r>
      <w:r>
        <w:rPr>
          <w:spacing w:val="-4"/>
          <w:sz w:val="22"/>
        </w:rPr>
        <w:t> </w:t>
      </w:r>
      <w:r>
        <w:rPr>
          <w:sz w:val="22"/>
        </w:rPr>
        <w:t>client</w:t>
      </w:r>
      <w:r>
        <w:rPr>
          <w:spacing w:val="-4"/>
          <w:sz w:val="22"/>
        </w:rPr>
        <w:t> </w:t>
      </w:r>
      <w:r>
        <w:rPr>
          <w:sz w:val="22"/>
        </w:rPr>
        <w:t>responsible</w:t>
      </w:r>
      <w:r>
        <w:rPr>
          <w:spacing w:val="-4"/>
          <w:sz w:val="22"/>
        </w:rPr>
        <w:t> </w:t>
      </w:r>
      <w:r>
        <w:rPr>
          <w:sz w:val="22"/>
        </w:rPr>
        <w:t>for</w:t>
      </w:r>
      <w:r>
        <w:rPr>
          <w:spacing w:val="-4"/>
          <w:sz w:val="22"/>
        </w:rPr>
        <w:t> </w:t>
      </w:r>
      <w:r>
        <w:rPr>
          <w:sz w:val="22"/>
        </w:rPr>
        <w:t>upkeep</w:t>
      </w:r>
      <w:r>
        <w:rPr>
          <w:spacing w:val="-4"/>
          <w:sz w:val="22"/>
        </w:rPr>
        <w:t> </w:t>
      </w:r>
      <w:r>
        <w:rPr>
          <w:sz w:val="22"/>
        </w:rPr>
        <w:t>of</w:t>
      </w:r>
      <w:r>
        <w:rPr>
          <w:spacing w:val="-4"/>
          <w:sz w:val="22"/>
        </w:rPr>
        <w:t> </w:t>
      </w:r>
      <w:r>
        <w:rPr>
          <w:sz w:val="22"/>
        </w:rPr>
        <w:t>equipment,</w:t>
      </w:r>
      <w:r>
        <w:rPr>
          <w:spacing w:val="-4"/>
          <w:sz w:val="22"/>
        </w:rPr>
        <w:t> </w:t>
      </w:r>
      <w:r>
        <w:rPr>
          <w:sz w:val="22"/>
        </w:rPr>
        <w:t>RVS</w:t>
      </w:r>
      <w:r>
        <w:rPr>
          <w:spacing w:val="-3"/>
          <w:sz w:val="22"/>
        </w:rPr>
        <w:t> </w:t>
      </w:r>
      <w:r>
        <w:rPr>
          <w:sz w:val="22"/>
        </w:rPr>
        <w:t>will</w:t>
      </w:r>
      <w:r>
        <w:rPr>
          <w:spacing w:val="-4"/>
          <w:sz w:val="22"/>
        </w:rPr>
        <w:t> </w:t>
      </w:r>
      <w:r>
        <w:rPr>
          <w:sz w:val="22"/>
        </w:rPr>
        <w:t>pay</w:t>
      </w:r>
      <w:r>
        <w:rPr>
          <w:spacing w:val="-4"/>
          <w:sz w:val="22"/>
        </w:rPr>
        <w:t> </w:t>
      </w:r>
      <w:r>
        <w:rPr>
          <w:sz w:val="22"/>
        </w:rPr>
        <w:t>for</w:t>
      </w:r>
      <w:r>
        <w:rPr>
          <w:spacing w:val="-5"/>
          <w:sz w:val="22"/>
        </w:rPr>
        <w:t> </w:t>
      </w:r>
      <w:r>
        <w:rPr>
          <w:sz w:val="22"/>
        </w:rPr>
        <w:t>repair</w:t>
      </w:r>
      <w:r>
        <w:rPr>
          <w:spacing w:val="-4"/>
          <w:sz w:val="22"/>
        </w:rPr>
        <w:t> </w:t>
      </w:r>
      <w:r>
        <w:rPr>
          <w:sz w:val="22"/>
        </w:rPr>
        <w:t>only when no evidence of neglect or abuse</w:t>
      </w:r>
    </w:p>
    <w:p>
      <w:pPr>
        <w:tabs>
          <w:tab w:pos="1439" w:val="left" w:leader="none"/>
        </w:tabs>
        <w:spacing w:line="252" w:lineRule="exact" w:before="0"/>
        <w:ind w:left="359" w:right="0" w:firstLine="0"/>
        <w:jc w:val="left"/>
        <w:rPr>
          <w:sz w:val="22"/>
        </w:rPr>
      </w:pPr>
      <w:r>
        <w:rPr>
          <w:spacing w:val="-2"/>
          <w:sz w:val="22"/>
        </w:rPr>
        <w:t>3-1-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5</w:t>
      </w:r>
    </w:p>
    <w:p>
      <w:pPr>
        <w:tabs>
          <w:tab w:pos="1439" w:val="left" w:leader="none"/>
        </w:tabs>
        <w:spacing w:before="1"/>
        <w:ind w:left="359" w:right="2835" w:firstLine="1080"/>
        <w:jc w:val="left"/>
        <w:rPr>
          <w:sz w:val="22"/>
        </w:rPr>
      </w:pPr>
      <w:r>
        <w:rPr>
          <w:sz w:val="22"/>
        </w:rPr>
        <w:t>Emergency,</w:t>
      </w:r>
      <w:r>
        <w:rPr>
          <w:spacing w:val="-5"/>
          <w:sz w:val="22"/>
        </w:rPr>
        <w:t> </w:t>
      </w:r>
      <w:r>
        <w:rPr>
          <w:sz w:val="22"/>
        </w:rPr>
        <w:t>change</w:t>
      </w:r>
      <w:r>
        <w:rPr>
          <w:spacing w:val="-5"/>
          <w:sz w:val="22"/>
        </w:rPr>
        <w:t> </w:t>
      </w:r>
      <w:r>
        <w:rPr>
          <w:sz w:val="22"/>
        </w:rPr>
        <w:t>to</w:t>
      </w:r>
      <w:r>
        <w:rPr>
          <w:spacing w:val="-6"/>
          <w:sz w:val="22"/>
        </w:rPr>
        <w:t> </w:t>
      </w:r>
      <w:r>
        <w:rPr>
          <w:sz w:val="22"/>
        </w:rPr>
        <w:t>money</w:t>
      </w:r>
      <w:r>
        <w:rPr>
          <w:spacing w:val="-5"/>
          <w:sz w:val="22"/>
        </w:rPr>
        <w:t> </w:t>
      </w:r>
      <w:r>
        <w:rPr>
          <w:sz w:val="22"/>
        </w:rPr>
        <w:t>limits</w:t>
      </w:r>
      <w:r>
        <w:rPr>
          <w:spacing w:val="-5"/>
          <w:sz w:val="22"/>
        </w:rPr>
        <w:t> </w:t>
      </w:r>
      <w:r>
        <w:rPr>
          <w:sz w:val="22"/>
        </w:rPr>
        <w:t>to</w:t>
      </w:r>
      <w:r>
        <w:rPr>
          <w:spacing w:val="-5"/>
          <w:sz w:val="22"/>
        </w:rPr>
        <w:t> </w:t>
      </w:r>
      <w:r>
        <w:rPr>
          <w:sz w:val="22"/>
        </w:rPr>
        <w:t>conform</w:t>
      </w:r>
      <w:r>
        <w:rPr>
          <w:spacing w:val="-6"/>
          <w:sz w:val="22"/>
        </w:rPr>
        <w:t> </w:t>
      </w:r>
      <w:r>
        <w:rPr>
          <w:sz w:val="22"/>
        </w:rPr>
        <w:t>with</w:t>
      </w:r>
      <w:r>
        <w:rPr>
          <w:spacing w:val="-5"/>
          <w:sz w:val="22"/>
        </w:rPr>
        <w:t> </w:t>
      </w:r>
      <w:r>
        <w:rPr>
          <w:sz w:val="22"/>
        </w:rPr>
        <w:t>612:10-1-7 </w:t>
      </w:r>
      <w:r>
        <w:rPr>
          <w:spacing w:val="-2"/>
          <w:sz w:val="22"/>
        </w:rPr>
        <w:t>7-1-97</w:t>
      </w:r>
      <w:r>
        <w:rPr>
          <w:sz w:val="22"/>
        </w:rPr>
        <w:tab/>
        <w:t>PT Memo #97-9</w:t>
      </w:r>
    </w:p>
    <w:p>
      <w:pPr>
        <w:tabs>
          <w:tab w:pos="1439" w:val="left" w:leader="none"/>
        </w:tabs>
        <w:spacing w:before="0"/>
        <w:ind w:left="359" w:right="2454" w:firstLine="1080"/>
        <w:jc w:val="left"/>
        <w:rPr>
          <w:sz w:val="22"/>
        </w:rPr>
      </w:pPr>
      <w:r>
        <w:rPr>
          <w:sz w:val="22"/>
        </w:rPr>
        <w:t>Permanent,</w:t>
      </w:r>
      <w:r>
        <w:rPr>
          <w:spacing w:val="-5"/>
          <w:sz w:val="22"/>
        </w:rPr>
        <w:t> </w:t>
      </w:r>
      <w:r>
        <w:rPr>
          <w:sz w:val="22"/>
        </w:rPr>
        <w:t>supersedes</w:t>
      </w:r>
      <w:r>
        <w:rPr>
          <w:spacing w:val="-6"/>
          <w:sz w:val="22"/>
        </w:rPr>
        <w:t> </w:t>
      </w:r>
      <w:r>
        <w:rPr>
          <w:sz w:val="22"/>
        </w:rPr>
        <w:t>emergency</w:t>
      </w:r>
      <w:r>
        <w:rPr>
          <w:spacing w:val="-5"/>
          <w:sz w:val="22"/>
        </w:rPr>
        <w:t> </w:t>
      </w:r>
      <w:r>
        <w:rPr>
          <w:sz w:val="22"/>
        </w:rPr>
        <w:t>rules</w:t>
      </w:r>
      <w:r>
        <w:rPr>
          <w:spacing w:val="-5"/>
          <w:sz w:val="22"/>
        </w:rPr>
        <w:t> </w:t>
      </w:r>
      <w:r>
        <w:rPr>
          <w:sz w:val="22"/>
        </w:rPr>
        <w:t>issued</w:t>
      </w:r>
      <w:r>
        <w:rPr>
          <w:spacing w:val="-6"/>
          <w:sz w:val="22"/>
        </w:rPr>
        <w:t> </w:t>
      </w:r>
      <w:r>
        <w:rPr>
          <w:sz w:val="22"/>
        </w:rPr>
        <w:t>4-3-96</w:t>
      </w:r>
      <w:r>
        <w:rPr>
          <w:spacing w:val="-5"/>
          <w:sz w:val="22"/>
        </w:rPr>
        <w:t> </w:t>
      </w:r>
      <w:r>
        <w:rPr>
          <w:sz w:val="22"/>
        </w:rPr>
        <w:t>and</w:t>
      </w:r>
      <w:r>
        <w:rPr>
          <w:spacing w:val="-5"/>
          <w:sz w:val="22"/>
        </w:rPr>
        <w:t> </w:t>
      </w:r>
      <w:r>
        <w:rPr>
          <w:sz w:val="22"/>
        </w:rPr>
        <w:t>3-1-97 </w:t>
      </w:r>
      <w:r>
        <w:rPr>
          <w:spacing w:val="-2"/>
          <w:sz w:val="22"/>
        </w:rPr>
        <w:t>7-1-98</w:t>
      </w:r>
      <w:r>
        <w:rPr>
          <w:sz w:val="22"/>
        </w:rPr>
        <w:tab/>
        <w:t>PT Memo #98-15</w:t>
      </w:r>
    </w:p>
    <w:p>
      <w:pPr>
        <w:tabs>
          <w:tab w:pos="1439" w:val="left" w:leader="none"/>
        </w:tabs>
        <w:spacing w:before="0"/>
        <w:ind w:left="359" w:right="3092" w:firstLine="1080"/>
        <w:jc w:val="left"/>
        <w:rPr>
          <w:sz w:val="22"/>
        </w:rPr>
      </w:pPr>
      <w:r>
        <w:rPr>
          <w:sz w:val="22"/>
        </w:rPr>
        <w:t>Permanent,</w:t>
      </w:r>
      <w:r>
        <w:rPr>
          <w:spacing w:val="-5"/>
          <w:sz w:val="22"/>
        </w:rPr>
        <w:t> </w:t>
      </w:r>
      <w:r>
        <w:rPr>
          <w:sz w:val="22"/>
        </w:rPr>
        <w:t>removed</w:t>
      </w:r>
      <w:r>
        <w:rPr>
          <w:spacing w:val="-6"/>
          <w:sz w:val="22"/>
        </w:rPr>
        <w:t> </w:t>
      </w:r>
      <w:r>
        <w:rPr>
          <w:sz w:val="22"/>
        </w:rPr>
        <w:t>absolute</w:t>
      </w:r>
      <w:r>
        <w:rPr>
          <w:spacing w:val="-6"/>
          <w:sz w:val="22"/>
        </w:rPr>
        <w:t> </w:t>
      </w:r>
      <w:r>
        <w:rPr>
          <w:sz w:val="22"/>
        </w:rPr>
        <w:t>mileage</w:t>
      </w:r>
      <w:r>
        <w:rPr>
          <w:spacing w:val="-6"/>
          <w:sz w:val="22"/>
        </w:rPr>
        <w:t> </w:t>
      </w:r>
      <w:r>
        <w:rPr>
          <w:sz w:val="22"/>
        </w:rPr>
        <w:t>limit</w:t>
      </w:r>
      <w:r>
        <w:rPr>
          <w:spacing w:val="-6"/>
          <w:sz w:val="22"/>
        </w:rPr>
        <w:t> </w:t>
      </w:r>
      <w:r>
        <w:rPr>
          <w:sz w:val="22"/>
        </w:rPr>
        <w:t>of</w:t>
      </w:r>
      <w:r>
        <w:rPr>
          <w:spacing w:val="-6"/>
          <w:sz w:val="22"/>
        </w:rPr>
        <w:t> </w:t>
      </w:r>
      <w:r>
        <w:rPr>
          <w:sz w:val="22"/>
        </w:rPr>
        <w:t>100,000</w:t>
      </w:r>
      <w:r>
        <w:rPr>
          <w:spacing w:val="-6"/>
          <w:sz w:val="22"/>
        </w:rPr>
        <w:t> </w:t>
      </w:r>
      <w:r>
        <w:rPr>
          <w:sz w:val="22"/>
        </w:rPr>
        <w:t>miles </w:t>
      </w:r>
      <w:r>
        <w:rPr>
          <w:spacing w:val="-2"/>
          <w:sz w:val="22"/>
        </w:rPr>
        <w:t>7-1-99</w:t>
      </w:r>
      <w:r>
        <w:rPr>
          <w:sz w:val="22"/>
        </w:rPr>
        <w:tab/>
        <w:t>POL Memo #00-1</w:t>
      </w:r>
    </w:p>
    <w:p>
      <w:pPr>
        <w:tabs>
          <w:tab w:pos="1439" w:val="left" w:leader="none"/>
        </w:tabs>
        <w:spacing w:before="0"/>
        <w:ind w:left="359" w:right="1515" w:firstLine="1080"/>
        <w:jc w:val="left"/>
        <w:rPr>
          <w:sz w:val="22"/>
        </w:rPr>
      </w:pPr>
      <w:r>
        <w:rPr>
          <w:sz w:val="22"/>
        </w:rPr>
        <w:t>Permanent,</w:t>
      </w:r>
      <w:r>
        <w:rPr>
          <w:spacing w:val="-3"/>
          <w:sz w:val="22"/>
        </w:rPr>
        <w:t> </w:t>
      </w:r>
      <w:r>
        <w:rPr>
          <w:sz w:val="22"/>
        </w:rPr>
        <w:t>updated</w:t>
      </w:r>
      <w:r>
        <w:rPr>
          <w:spacing w:val="-4"/>
          <w:sz w:val="22"/>
        </w:rPr>
        <w:t> </w:t>
      </w:r>
      <w:r>
        <w:rPr>
          <w:sz w:val="22"/>
        </w:rPr>
        <w:t>DVR/DVS;</w:t>
      </w:r>
      <w:r>
        <w:rPr>
          <w:spacing w:val="-4"/>
          <w:sz w:val="22"/>
        </w:rPr>
        <w:t> </w:t>
      </w:r>
      <w:r>
        <w:rPr>
          <w:sz w:val="22"/>
        </w:rPr>
        <w:t>Subsection</w:t>
      </w:r>
      <w:r>
        <w:rPr>
          <w:spacing w:val="-4"/>
          <w:sz w:val="22"/>
        </w:rPr>
        <w:t> </w:t>
      </w:r>
      <w:r>
        <w:rPr>
          <w:sz w:val="22"/>
        </w:rPr>
        <w:t>(e)</w:t>
      </w:r>
      <w:r>
        <w:rPr>
          <w:spacing w:val="-6"/>
          <w:sz w:val="22"/>
        </w:rPr>
        <w:t> </w:t>
      </w:r>
      <w:r>
        <w:rPr>
          <w:sz w:val="22"/>
        </w:rPr>
        <w:t>moved</w:t>
      </w:r>
      <w:r>
        <w:rPr>
          <w:spacing w:val="-4"/>
          <w:sz w:val="22"/>
        </w:rPr>
        <w:t> </w:t>
      </w:r>
      <w:r>
        <w:rPr>
          <w:sz w:val="22"/>
        </w:rPr>
        <w:t>to</w:t>
      </w:r>
      <w:r>
        <w:rPr>
          <w:spacing w:val="-4"/>
          <w:sz w:val="22"/>
        </w:rPr>
        <w:t> </w:t>
      </w:r>
      <w:r>
        <w:rPr>
          <w:sz w:val="22"/>
        </w:rPr>
        <w:t>Instructions</w:t>
      </w:r>
      <w:r>
        <w:rPr>
          <w:spacing w:val="-5"/>
          <w:sz w:val="22"/>
        </w:rPr>
        <w:t> </w:t>
      </w:r>
      <w:r>
        <w:rPr>
          <w:sz w:val="22"/>
        </w:rPr>
        <w:t>to</w:t>
      </w:r>
      <w:r>
        <w:rPr>
          <w:spacing w:val="-5"/>
          <w:sz w:val="22"/>
        </w:rPr>
        <w:t> </w:t>
      </w:r>
      <w:r>
        <w:rPr>
          <w:sz w:val="22"/>
        </w:rPr>
        <w:t>Staff </w:t>
      </w:r>
      <w:r>
        <w:rPr>
          <w:spacing w:val="-2"/>
          <w:sz w:val="22"/>
        </w:rPr>
        <w:t>7-1-01</w:t>
      </w:r>
      <w:r>
        <w:rPr>
          <w:sz w:val="22"/>
        </w:rPr>
        <w:tab/>
        <w:t>PT Memo #01-08</w:t>
      </w:r>
    </w:p>
    <w:p>
      <w:pPr>
        <w:spacing w:line="252" w:lineRule="exact" w:before="0"/>
        <w:ind w:left="1439" w:right="0" w:firstLine="0"/>
        <w:jc w:val="left"/>
        <w:rPr>
          <w:sz w:val="22"/>
        </w:rPr>
      </w:pPr>
      <w:r>
        <w:rPr>
          <w:sz w:val="22"/>
        </w:rPr>
        <w:t>Permanent,</w:t>
      </w:r>
      <w:r>
        <w:rPr>
          <w:spacing w:val="-8"/>
          <w:sz w:val="22"/>
        </w:rPr>
        <w:t> </w:t>
      </w:r>
      <w:r>
        <w:rPr>
          <w:sz w:val="22"/>
        </w:rPr>
        <w:t>removed</w:t>
      </w:r>
      <w:r>
        <w:rPr>
          <w:spacing w:val="-9"/>
          <w:sz w:val="22"/>
        </w:rPr>
        <w:t> </w:t>
      </w:r>
      <w:r>
        <w:rPr>
          <w:sz w:val="22"/>
        </w:rPr>
        <w:t>evaluation</w:t>
      </w:r>
      <w:r>
        <w:rPr>
          <w:spacing w:val="-9"/>
          <w:sz w:val="22"/>
        </w:rPr>
        <w:t> </w:t>
      </w:r>
      <w:r>
        <w:rPr>
          <w:sz w:val="22"/>
        </w:rPr>
        <w:t>by</w:t>
      </w:r>
      <w:r>
        <w:rPr>
          <w:spacing w:val="-9"/>
          <w:sz w:val="22"/>
        </w:rPr>
        <w:t> </w:t>
      </w:r>
      <w:r>
        <w:rPr>
          <w:sz w:val="22"/>
        </w:rPr>
        <w:t>Rehab.</w:t>
      </w:r>
      <w:r>
        <w:rPr>
          <w:spacing w:val="-9"/>
          <w:sz w:val="22"/>
        </w:rPr>
        <w:t> </w:t>
      </w:r>
      <w:r>
        <w:rPr>
          <w:spacing w:val="-2"/>
          <w:sz w:val="22"/>
        </w:rPr>
        <w:t>Techs.</w:t>
      </w:r>
    </w:p>
    <w:p>
      <w:pPr>
        <w:tabs>
          <w:tab w:pos="1439" w:val="left" w:leader="none"/>
        </w:tabs>
        <w:spacing w:before="0"/>
        <w:ind w:left="359" w:right="0" w:firstLine="0"/>
        <w:jc w:val="left"/>
        <w:rPr>
          <w:sz w:val="22"/>
        </w:rPr>
      </w:pPr>
      <w:r>
        <w:rPr>
          <w:spacing w:val="-2"/>
          <w:sz w:val="22"/>
        </w:rPr>
        <w:t>7-1-</w:t>
      </w:r>
      <w:r>
        <w:rPr>
          <w:spacing w:val="-5"/>
          <w:sz w:val="22"/>
        </w:rPr>
        <w:t>02</w:t>
      </w:r>
      <w:r>
        <w:rPr>
          <w:sz w:val="22"/>
        </w:rPr>
        <w:tab/>
        <w:t>POL</w:t>
      </w:r>
      <w:r>
        <w:rPr>
          <w:spacing w:val="-9"/>
          <w:sz w:val="22"/>
        </w:rPr>
        <w:t> </w:t>
      </w:r>
      <w:r>
        <w:rPr>
          <w:sz w:val="22"/>
        </w:rPr>
        <w:t>Memo</w:t>
      </w:r>
      <w:r>
        <w:rPr>
          <w:spacing w:val="-8"/>
          <w:sz w:val="22"/>
        </w:rPr>
        <w:t> </w:t>
      </w:r>
      <w:r>
        <w:rPr>
          <w:sz w:val="22"/>
        </w:rPr>
        <w:t>#02-</w:t>
      </w:r>
      <w:r>
        <w:rPr>
          <w:spacing w:val="-5"/>
          <w:sz w:val="22"/>
        </w:rPr>
        <w:t>02</w:t>
      </w:r>
    </w:p>
    <w:p>
      <w:pPr>
        <w:tabs>
          <w:tab w:pos="1439" w:val="left" w:leader="none"/>
        </w:tabs>
        <w:spacing w:before="0"/>
        <w:ind w:left="359" w:right="1967" w:firstLine="1080"/>
        <w:jc w:val="left"/>
        <w:rPr>
          <w:sz w:val="22"/>
        </w:rPr>
      </w:pPr>
      <w:r>
        <w:rPr>
          <w:sz w:val="22"/>
        </w:rPr>
        <w:t>Permanent,</w:t>
      </w:r>
      <w:r>
        <w:rPr>
          <w:spacing w:val="-5"/>
          <w:sz w:val="22"/>
        </w:rPr>
        <w:t> </w:t>
      </w:r>
      <w:r>
        <w:rPr>
          <w:sz w:val="22"/>
        </w:rPr>
        <w:t>removes</w:t>
      </w:r>
      <w:r>
        <w:rPr>
          <w:spacing w:val="-6"/>
          <w:sz w:val="22"/>
        </w:rPr>
        <w:t> </w:t>
      </w:r>
      <w:r>
        <w:rPr>
          <w:sz w:val="22"/>
        </w:rPr>
        <w:t>current</w:t>
      </w:r>
      <w:r>
        <w:rPr>
          <w:spacing w:val="-6"/>
          <w:sz w:val="22"/>
        </w:rPr>
        <w:t> </w:t>
      </w:r>
      <w:r>
        <w:rPr>
          <w:sz w:val="22"/>
        </w:rPr>
        <w:t>safety</w:t>
      </w:r>
      <w:r>
        <w:rPr>
          <w:spacing w:val="-6"/>
          <w:sz w:val="22"/>
        </w:rPr>
        <w:t> </w:t>
      </w:r>
      <w:r>
        <w:rPr>
          <w:sz w:val="22"/>
        </w:rPr>
        <w:t>inspection</w:t>
      </w:r>
      <w:r>
        <w:rPr>
          <w:spacing w:val="-7"/>
          <w:sz w:val="22"/>
        </w:rPr>
        <w:t> </w:t>
      </w:r>
      <w:r>
        <w:rPr>
          <w:sz w:val="22"/>
        </w:rPr>
        <w:t>sticker</w:t>
      </w:r>
      <w:r>
        <w:rPr>
          <w:spacing w:val="-6"/>
          <w:sz w:val="22"/>
        </w:rPr>
        <w:t> </w:t>
      </w:r>
      <w:r>
        <w:rPr>
          <w:sz w:val="22"/>
        </w:rPr>
        <w:t>from</w:t>
      </w:r>
      <w:r>
        <w:rPr>
          <w:spacing w:val="-7"/>
          <w:sz w:val="22"/>
        </w:rPr>
        <w:t> </w:t>
      </w:r>
      <w:r>
        <w:rPr>
          <w:sz w:val="22"/>
        </w:rPr>
        <w:t>requirements </w:t>
      </w:r>
      <w:r>
        <w:rPr>
          <w:spacing w:val="-2"/>
          <w:sz w:val="22"/>
        </w:rPr>
        <w:t>7-1-03</w:t>
      </w:r>
      <w:r>
        <w:rPr>
          <w:sz w:val="22"/>
        </w:rPr>
        <w:tab/>
        <w:t>PT Memo #03-07</w:t>
      </w:r>
    </w:p>
    <w:p>
      <w:pPr>
        <w:spacing w:before="1"/>
        <w:ind w:left="1439" w:right="0" w:firstLine="0"/>
        <w:jc w:val="left"/>
        <w:rPr>
          <w:sz w:val="22"/>
        </w:rPr>
      </w:pPr>
      <w:r>
        <w:rPr>
          <w:sz w:val="22"/>
        </w:rPr>
        <w:t>Permanent,</w:t>
      </w:r>
      <w:r>
        <w:rPr>
          <w:spacing w:val="-11"/>
          <w:sz w:val="22"/>
        </w:rPr>
        <w:t> </w:t>
      </w:r>
      <w:r>
        <w:rPr>
          <w:sz w:val="22"/>
        </w:rPr>
        <w:t>removed</w:t>
      </w:r>
      <w:r>
        <w:rPr>
          <w:spacing w:val="-11"/>
          <w:sz w:val="22"/>
        </w:rPr>
        <w:t> </w:t>
      </w:r>
      <w:r>
        <w:rPr>
          <w:sz w:val="22"/>
        </w:rPr>
        <w:t>ambiguous</w:t>
      </w:r>
      <w:r>
        <w:rPr>
          <w:spacing w:val="-11"/>
          <w:sz w:val="22"/>
        </w:rPr>
        <w:t> </w:t>
      </w:r>
      <w:r>
        <w:rPr>
          <w:spacing w:val="-2"/>
          <w:sz w:val="22"/>
        </w:rPr>
        <w:t>language.</w:t>
      </w:r>
    </w:p>
    <w:p>
      <w:pPr>
        <w:tabs>
          <w:tab w:pos="1439" w:val="left" w:leader="none"/>
        </w:tabs>
        <w:spacing w:line="253" w:lineRule="exact" w:before="0"/>
        <w:ind w:left="359" w:right="0" w:firstLine="0"/>
        <w:jc w:val="left"/>
        <w:rPr>
          <w:sz w:val="22"/>
        </w:rPr>
      </w:pPr>
      <w:r>
        <w:rPr>
          <w:spacing w:val="-2"/>
          <w:sz w:val="22"/>
        </w:rPr>
        <w:t>7-1-</w:t>
      </w:r>
      <w:r>
        <w:rPr>
          <w:spacing w:val="-5"/>
          <w:sz w:val="22"/>
        </w:rPr>
        <w:t>08</w:t>
      </w:r>
      <w:r>
        <w:rPr>
          <w:sz w:val="22"/>
        </w:rPr>
        <w:tab/>
        <w:t>PT</w:t>
      </w:r>
      <w:r>
        <w:rPr>
          <w:spacing w:val="-8"/>
          <w:sz w:val="22"/>
        </w:rPr>
        <w:t> </w:t>
      </w:r>
      <w:r>
        <w:rPr>
          <w:sz w:val="22"/>
        </w:rPr>
        <w:t>Memo</w:t>
      </w:r>
      <w:r>
        <w:rPr>
          <w:spacing w:val="-8"/>
          <w:sz w:val="22"/>
        </w:rPr>
        <w:t> </w:t>
      </w:r>
      <w:r>
        <w:rPr>
          <w:sz w:val="22"/>
        </w:rPr>
        <w:t>#09-</w:t>
      </w:r>
      <w:r>
        <w:rPr>
          <w:spacing w:val="-5"/>
          <w:sz w:val="22"/>
        </w:rPr>
        <w:t>01</w:t>
      </w:r>
    </w:p>
    <w:p>
      <w:pPr>
        <w:tabs>
          <w:tab w:pos="1439" w:val="left" w:leader="none"/>
        </w:tabs>
        <w:spacing w:before="0"/>
        <w:ind w:left="359" w:right="4344" w:firstLine="1080"/>
        <w:jc w:val="left"/>
        <w:rPr>
          <w:sz w:val="22"/>
        </w:rPr>
      </w:pPr>
      <w:r>
        <w:rPr>
          <w:sz w:val="22"/>
        </w:rPr>
        <w:t>Permanent,</w:t>
      </w:r>
      <w:r>
        <w:rPr>
          <w:spacing w:val="-9"/>
          <w:sz w:val="22"/>
        </w:rPr>
        <w:t> </w:t>
      </w:r>
      <w:r>
        <w:rPr>
          <w:sz w:val="22"/>
        </w:rPr>
        <w:t>Replaced</w:t>
      </w:r>
      <w:r>
        <w:rPr>
          <w:spacing w:val="-10"/>
          <w:sz w:val="22"/>
        </w:rPr>
        <w:t> </w:t>
      </w:r>
      <w:r>
        <w:rPr>
          <w:sz w:val="22"/>
        </w:rPr>
        <w:t>"severe"</w:t>
      </w:r>
      <w:r>
        <w:rPr>
          <w:spacing w:val="-10"/>
          <w:sz w:val="22"/>
        </w:rPr>
        <w:t> </w:t>
      </w:r>
      <w:r>
        <w:rPr>
          <w:sz w:val="22"/>
        </w:rPr>
        <w:t>with</w:t>
      </w:r>
      <w:r>
        <w:rPr>
          <w:spacing w:val="-10"/>
          <w:sz w:val="22"/>
        </w:rPr>
        <w:t> </w:t>
      </w:r>
      <w:r>
        <w:rPr>
          <w:sz w:val="22"/>
        </w:rPr>
        <w:t>"significant" </w:t>
      </w:r>
      <w:r>
        <w:rPr>
          <w:spacing w:val="-2"/>
          <w:sz w:val="22"/>
        </w:rPr>
        <w:t>7-1-09</w:t>
      </w:r>
      <w:r>
        <w:rPr>
          <w:sz w:val="22"/>
        </w:rPr>
        <w:tab/>
        <w:t>PT Memo #10-01</w:t>
      </w:r>
    </w:p>
    <w:p>
      <w:pPr>
        <w:spacing w:before="0"/>
        <w:ind w:left="1439" w:right="0" w:firstLine="0"/>
        <w:jc w:val="left"/>
        <w:rPr>
          <w:sz w:val="22"/>
        </w:rPr>
      </w:pPr>
      <w:r>
        <w:rPr>
          <w:sz w:val="22"/>
        </w:rPr>
        <w:t>Permanent,</w:t>
      </w:r>
      <w:r>
        <w:rPr>
          <w:spacing w:val="-9"/>
          <w:sz w:val="22"/>
        </w:rPr>
        <w:t> </w:t>
      </w:r>
      <w:r>
        <w:rPr>
          <w:sz w:val="22"/>
        </w:rPr>
        <w:t>clarification</w:t>
      </w:r>
      <w:r>
        <w:rPr>
          <w:spacing w:val="-11"/>
          <w:sz w:val="22"/>
        </w:rPr>
        <w:t> </w:t>
      </w:r>
      <w:r>
        <w:rPr>
          <w:sz w:val="22"/>
        </w:rPr>
        <w:t>of</w:t>
      </w:r>
      <w:r>
        <w:rPr>
          <w:spacing w:val="-9"/>
          <w:sz w:val="22"/>
        </w:rPr>
        <w:t> </w:t>
      </w:r>
      <w:r>
        <w:rPr>
          <w:sz w:val="22"/>
        </w:rPr>
        <w:t>vehicle</w:t>
      </w:r>
      <w:r>
        <w:rPr>
          <w:spacing w:val="-10"/>
          <w:sz w:val="22"/>
        </w:rPr>
        <w:t> </w:t>
      </w:r>
      <w:r>
        <w:rPr>
          <w:sz w:val="22"/>
        </w:rPr>
        <w:t>modification</w:t>
      </w:r>
      <w:r>
        <w:rPr>
          <w:spacing w:val="-10"/>
          <w:sz w:val="22"/>
        </w:rPr>
        <w:t> </w:t>
      </w:r>
      <w:r>
        <w:rPr>
          <w:spacing w:val="-2"/>
          <w:sz w:val="22"/>
        </w:rPr>
        <w:t>services.</w:t>
      </w:r>
    </w:p>
    <w:p>
      <w:pPr>
        <w:spacing w:after="0"/>
        <w:jc w:val="left"/>
        <w:rPr>
          <w:sz w:val="22"/>
        </w:rPr>
        <w:sectPr>
          <w:pgSz w:w="12240" w:h="15840"/>
          <w:pgMar w:top="1340" w:bottom="280" w:left="1080" w:right="720"/>
        </w:sectPr>
      </w:pPr>
    </w:p>
    <w:p>
      <w:pPr>
        <w:pStyle w:val="ListParagraph"/>
        <w:numPr>
          <w:ilvl w:val="2"/>
          <w:numId w:val="238"/>
        </w:numPr>
        <w:tabs>
          <w:tab w:pos="1439" w:val="left" w:leader="none"/>
        </w:tabs>
        <w:spacing w:line="240" w:lineRule="auto" w:before="80" w:after="0"/>
        <w:ind w:left="1439" w:right="0" w:hanging="1079"/>
        <w:jc w:val="left"/>
        <w:rPr>
          <w:sz w:val="22"/>
        </w:rPr>
      </w:pPr>
      <w:r>
        <w:rPr>
          <w:sz w:val="22"/>
        </w:rPr>
        <w:t>PT</w:t>
      </w:r>
      <w:r>
        <w:rPr>
          <w:spacing w:val="-8"/>
          <w:sz w:val="22"/>
        </w:rPr>
        <w:t> </w:t>
      </w:r>
      <w:r>
        <w:rPr>
          <w:sz w:val="22"/>
        </w:rPr>
        <w:t>Memo</w:t>
      </w:r>
      <w:r>
        <w:rPr>
          <w:spacing w:val="-8"/>
          <w:sz w:val="22"/>
        </w:rPr>
        <w:t> </w:t>
      </w:r>
      <w:r>
        <w:rPr>
          <w:sz w:val="22"/>
        </w:rPr>
        <w:t>#10-</w:t>
      </w:r>
      <w:r>
        <w:rPr>
          <w:spacing w:val="-5"/>
          <w:sz w:val="22"/>
        </w:rPr>
        <w:t>02</w:t>
      </w:r>
    </w:p>
    <w:p>
      <w:pPr>
        <w:spacing w:line="253" w:lineRule="exact" w:before="0"/>
        <w:ind w:left="1439" w:right="0" w:firstLine="0"/>
        <w:jc w:val="left"/>
        <w:rPr>
          <w:sz w:val="22"/>
        </w:rPr>
      </w:pPr>
      <w:r>
        <w:rPr>
          <w:sz w:val="22"/>
        </w:rPr>
        <w:t>Permanent,</w:t>
      </w:r>
      <w:r>
        <w:rPr>
          <w:spacing w:val="-6"/>
          <w:sz w:val="22"/>
        </w:rPr>
        <w:t> </w:t>
      </w:r>
      <w:r>
        <w:rPr>
          <w:sz w:val="22"/>
        </w:rPr>
        <w:t>to</w:t>
      </w:r>
      <w:r>
        <w:rPr>
          <w:spacing w:val="-6"/>
          <w:sz w:val="22"/>
        </w:rPr>
        <w:t> </w:t>
      </w:r>
      <w:r>
        <w:rPr>
          <w:sz w:val="22"/>
        </w:rPr>
        <w:t>reflect</w:t>
      </w:r>
      <w:r>
        <w:rPr>
          <w:spacing w:val="-6"/>
          <w:sz w:val="22"/>
        </w:rPr>
        <w:t> </w:t>
      </w:r>
      <w:r>
        <w:rPr>
          <w:sz w:val="22"/>
        </w:rPr>
        <w:t>change</w:t>
      </w:r>
      <w:r>
        <w:rPr>
          <w:spacing w:val="-7"/>
          <w:sz w:val="22"/>
        </w:rPr>
        <w:t> </w:t>
      </w:r>
      <w:r>
        <w:rPr>
          <w:sz w:val="22"/>
        </w:rPr>
        <w:t>in</w:t>
      </w:r>
      <w:r>
        <w:rPr>
          <w:spacing w:val="-6"/>
          <w:sz w:val="22"/>
        </w:rPr>
        <w:t> </w:t>
      </w:r>
      <w:r>
        <w:rPr>
          <w:sz w:val="22"/>
        </w:rPr>
        <w:t>state</w:t>
      </w:r>
      <w:r>
        <w:rPr>
          <w:spacing w:val="-6"/>
          <w:sz w:val="22"/>
        </w:rPr>
        <w:t> </w:t>
      </w:r>
      <w:r>
        <w:rPr>
          <w:sz w:val="22"/>
        </w:rPr>
        <w:t>purchasing</w:t>
      </w:r>
      <w:r>
        <w:rPr>
          <w:spacing w:val="-6"/>
          <w:sz w:val="22"/>
        </w:rPr>
        <w:t> </w:t>
      </w:r>
      <w:r>
        <w:rPr>
          <w:sz w:val="22"/>
        </w:rPr>
        <w:t>law</w:t>
      </w:r>
      <w:r>
        <w:rPr>
          <w:spacing w:val="-8"/>
          <w:sz w:val="22"/>
        </w:rPr>
        <w:t> </w:t>
      </w:r>
      <w:r>
        <w:rPr>
          <w:sz w:val="22"/>
        </w:rPr>
        <w:t>2009</w:t>
      </w:r>
      <w:r>
        <w:rPr>
          <w:spacing w:val="-6"/>
          <w:sz w:val="22"/>
        </w:rPr>
        <w:t> </w:t>
      </w:r>
      <w:r>
        <w:rPr>
          <w:sz w:val="22"/>
        </w:rPr>
        <w:t>(HB</w:t>
      </w:r>
      <w:r>
        <w:rPr>
          <w:spacing w:val="-6"/>
          <w:sz w:val="22"/>
        </w:rPr>
        <w:t> </w:t>
      </w:r>
      <w:r>
        <w:rPr>
          <w:spacing w:val="-2"/>
          <w:sz w:val="22"/>
        </w:rPr>
        <w:t>1032).</w:t>
      </w:r>
    </w:p>
    <w:p>
      <w:pPr>
        <w:pStyle w:val="ListParagraph"/>
        <w:numPr>
          <w:ilvl w:val="2"/>
          <w:numId w:val="238"/>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before="0"/>
        <w:ind w:left="1439" w:right="0" w:firstLine="0"/>
        <w:jc w:val="left"/>
        <w:rPr>
          <w:sz w:val="22"/>
        </w:rPr>
      </w:pPr>
      <w:r>
        <w:rPr>
          <w:sz w:val="22"/>
        </w:rPr>
        <w:t>Permanent,</w:t>
      </w:r>
      <w:r>
        <w:rPr>
          <w:spacing w:val="-10"/>
          <w:sz w:val="22"/>
        </w:rPr>
        <w:t> </w:t>
      </w:r>
      <w:r>
        <w:rPr>
          <w:sz w:val="22"/>
        </w:rPr>
        <w:t>combined</w:t>
      </w:r>
      <w:r>
        <w:rPr>
          <w:spacing w:val="-10"/>
          <w:sz w:val="22"/>
        </w:rPr>
        <w:t> </w:t>
      </w:r>
      <w:r>
        <w:rPr>
          <w:sz w:val="22"/>
        </w:rPr>
        <w:t>vehicle</w:t>
      </w:r>
      <w:r>
        <w:rPr>
          <w:spacing w:val="-10"/>
          <w:sz w:val="22"/>
        </w:rPr>
        <w:t> </w:t>
      </w:r>
      <w:r>
        <w:rPr>
          <w:sz w:val="22"/>
        </w:rPr>
        <w:t>modifications</w:t>
      </w:r>
      <w:r>
        <w:rPr>
          <w:spacing w:val="-10"/>
          <w:sz w:val="22"/>
        </w:rPr>
        <w:t> </w:t>
      </w:r>
      <w:r>
        <w:rPr>
          <w:sz w:val="22"/>
        </w:rPr>
        <w:t>and</w:t>
      </w:r>
      <w:r>
        <w:rPr>
          <w:spacing w:val="-11"/>
          <w:sz w:val="22"/>
        </w:rPr>
        <w:t> </w:t>
      </w:r>
      <w:r>
        <w:rPr>
          <w:sz w:val="22"/>
        </w:rPr>
        <w:t>some</w:t>
      </w:r>
      <w:r>
        <w:rPr>
          <w:spacing w:val="-10"/>
          <w:sz w:val="22"/>
        </w:rPr>
        <w:t> </w:t>
      </w:r>
      <w:r>
        <w:rPr>
          <w:sz w:val="22"/>
        </w:rPr>
        <w:t>accessibility</w:t>
      </w:r>
      <w:r>
        <w:rPr>
          <w:spacing w:val="-10"/>
          <w:sz w:val="22"/>
        </w:rPr>
        <w:t> </w:t>
      </w:r>
      <w:r>
        <w:rPr>
          <w:spacing w:val="-2"/>
          <w:sz w:val="22"/>
        </w:rPr>
        <w:t>modifications.</w:t>
      </w:r>
    </w:p>
    <w:p>
      <w:pPr>
        <w:tabs>
          <w:tab w:pos="1439" w:val="left" w:leader="none"/>
        </w:tabs>
        <w:spacing w:line="276" w:lineRule="exact" w:before="1"/>
        <w:ind w:left="360" w:right="0" w:firstLine="0"/>
        <w:jc w:val="left"/>
        <w:rPr>
          <w:sz w:val="22"/>
        </w:rPr>
      </w:pPr>
      <w:r>
        <w:rPr>
          <w:spacing w:val="-2"/>
          <w:sz w:val="22"/>
        </w:rPr>
        <w:t>2-1-</w:t>
      </w:r>
      <w:r>
        <w:rPr>
          <w:spacing w:val="-5"/>
          <w:sz w:val="22"/>
        </w:rPr>
        <w:t>12</w:t>
      </w:r>
      <w:r>
        <w:rPr>
          <w:sz w:val="22"/>
        </w:rPr>
        <w:tab/>
        <w:t>Permanent,</w:t>
      </w:r>
      <w:r>
        <w:rPr>
          <w:spacing w:val="-6"/>
          <w:sz w:val="22"/>
        </w:rPr>
        <w:t> </w:t>
      </w:r>
      <w:r>
        <w:rPr>
          <w:sz w:val="22"/>
        </w:rPr>
        <w:t>added</w:t>
      </w:r>
      <w:r>
        <w:rPr>
          <w:spacing w:val="-6"/>
          <w:sz w:val="22"/>
        </w:rPr>
        <w:t> </w:t>
      </w:r>
      <w:r>
        <w:rPr>
          <w:sz w:val="22"/>
        </w:rPr>
        <w:t>driver</w:t>
      </w:r>
      <w:r>
        <w:rPr>
          <w:sz w:val="24"/>
        </w:rPr>
        <w:t>'</w:t>
      </w:r>
      <w:r>
        <w:rPr>
          <w:sz w:val="22"/>
        </w:rPr>
        <w:t>s</w:t>
      </w:r>
      <w:r>
        <w:rPr>
          <w:spacing w:val="-6"/>
          <w:sz w:val="22"/>
        </w:rPr>
        <w:t> </w:t>
      </w:r>
      <w:r>
        <w:rPr>
          <w:sz w:val="22"/>
        </w:rPr>
        <w:t>ed</w:t>
      </w:r>
      <w:r>
        <w:rPr>
          <w:spacing w:val="-6"/>
          <w:sz w:val="22"/>
        </w:rPr>
        <w:t> </w:t>
      </w:r>
      <w:r>
        <w:rPr>
          <w:sz w:val="22"/>
        </w:rPr>
        <w:t>for</w:t>
      </w:r>
      <w:r>
        <w:rPr>
          <w:spacing w:val="-6"/>
          <w:sz w:val="22"/>
        </w:rPr>
        <w:t> </w:t>
      </w:r>
      <w:r>
        <w:rPr>
          <w:sz w:val="22"/>
        </w:rPr>
        <w:t>transition</w:t>
      </w:r>
      <w:r>
        <w:rPr>
          <w:spacing w:val="-7"/>
          <w:sz w:val="22"/>
        </w:rPr>
        <w:t> </w:t>
      </w:r>
      <w:r>
        <w:rPr>
          <w:sz w:val="22"/>
        </w:rPr>
        <w:t>clients</w:t>
      </w:r>
      <w:r>
        <w:rPr>
          <w:spacing w:val="-7"/>
          <w:sz w:val="22"/>
        </w:rPr>
        <w:t> </w:t>
      </w:r>
      <w:r>
        <w:rPr>
          <w:sz w:val="22"/>
        </w:rPr>
        <w:t>in</w:t>
      </w:r>
      <w:r>
        <w:rPr>
          <w:spacing w:val="-6"/>
          <w:sz w:val="22"/>
        </w:rPr>
        <w:t> </w:t>
      </w:r>
      <w:r>
        <w:rPr>
          <w:sz w:val="22"/>
        </w:rPr>
        <w:t>ITS</w:t>
      </w:r>
      <w:r>
        <w:rPr>
          <w:spacing w:val="-6"/>
          <w:sz w:val="22"/>
        </w:rPr>
        <w:t> </w:t>
      </w:r>
      <w:r>
        <w:rPr>
          <w:spacing w:val="-5"/>
          <w:sz w:val="22"/>
        </w:rPr>
        <w:t>#1</w:t>
      </w:r>
    </w:p>
    <w:p>
      <w:pPr>
        <w:tabs>
          <w:tab w:pos="1439" w:val="left" w:leader="none"/>
        </w:tabs>
        <w:spacing w:before="0"/>
        <w:ind w:left="1439" w:right="1171" w:hanging="1080"/>
        <w:jc w:val="left"/>
        <w:rPr>
          <w:sz w:val="22"/>
        </w:rPr>
      </w:pPr>
      <w:r>
        <w:rPr>
          <w:spacing w:val="-2"/>
          <w:sz w:val="22"/>
        </w:rPr>
        <w:t>9-12-14</w:t>
      </w:r>
      <w:r>
        <w:rPr>
          <w:sz w:val="22"/>
        </w:rPr>
        <w:tab/>
        <w:t>Updated</w:t>
      </w:r>
      <w:r>
        <w:rPr>
          <w:spacing w:val="-3"/>
          <w:sz w:val="22"/>
        </w:rPr>
        <w:t> </w:t>
      </w:r>
      <w:r>
        <w:rPr>
          <w:sz w:val="22"/>
        </w:rPr>
        <w:t>to</w:t>
      </w:r>
      <w:r>
        <w:rPr>
          <w:spacing w:val="-3"/>
          <w:sz w:val="22"/>
        </w:rPr>
        <w:t> </w:t>
      </w:r>
      <w:r>
        <w:rPr>
          <w:sz w:val="22"/>
        </w:rPr>
        <w:t>reflect</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Department</w:t>
      </w:r>
      <w:r>
        <w:rPr>
          <w:spacing w:val="-3"/>
          <w:sz w:val="22"/>
        </w:rPr>
        <w:t> </w:t>
      </w:r>
      <w:r>
        <w:rPr>
          <w:sz w:val="22"/>
        </w:rPr>
        <w:t>of</w:t>
      </w:r>
      <w:r>
        <w:rPr>
          <w:spacing w:val="-3"/>
          <w:sz w:val="22"/>
        </w:rPr>
        <w:t> </w:t>
      </w:r>
      <w:r>
        <w:rPr>
          <w:sz w:val="22"/>
        </w:rPr>
        <w:t>Central</w:t>
      </w:r>
      <w:r>
        <w:rPr>
          <w:spacing w:val="-3"/>
          <w:sz w:val="22"/>
        </w:rPr>
        <w:t> </w:t>
      </w:r>
      <w:r>
        <w:rPr>
          <w:sz w:val="22"/>
        </w:rPr>
        <w:t>Services</w:t>
      </w:r>
      <w:r>
        <w:rPr>
          <w:spacing w:val="-3"/>
          <w:sz w:val="22"/>
        </w:rPr>
        <w:t> </w:t>
      </w:r>
      <w:r>
        <w:rPr>
          <w:sz w:val="22"/>
        </w:rPr>
        <w:t>to</w:t>
      </w:r>
      <w:r>
        <w:rPr>
          <w:spacing w:val="-4"/>
          <w:sz w:val="22"/>
        </w:rPr>
        <w:t> </w:t>
      </w:r>
      <w:r>
        <w:rPr>
          <w:sz w:val="22"/>
        </w:rPr>
        <w:t>Division</w:t>
      </w:r>
      <w:r>
        <w:rPr>
          <w:spacing w:val="-3"/>
          <w:sz w:val="22"/>
        </w:rPr>
        <w:t> </w:t>
      </w:r>
      <w:r>
        <w:rPr>
          <w:sz w:val="22"/>
        </w:rPr>
        <w:t>of Capital Assets Management (DCAM).</w:t>
      </w:r>
    </w:p>
    <w:p>
      <w:pPr>
        <w:tabs>
          <w:tab w:pos="1439" w:val="left" w:leader="none"/>
        </w:tabs>
        <w:spacing w:before="0"/>
        <w:ind w:left="360" w:right="0" w:firstLine="0"/>
        <w:jc w:val="left"/>
        <w:rPr>
          <w:sz w:val="22"/>
        </w:rPr>
      </w:pPr>
      <w:r>
        <w:rPr>
          <w:spacing w:val="-2"/>
          <w:sz w:val="22"/>
        </w:rPr>
        <w:t>9-11-</w:t>
      </w:r>
      <w:r>
        <w:rPr>
          <w:spacing w:val="-5"/>
          <w:sz w:val="22"/>
        </w:rPr>
        <w:t>20</w:t>
      </w:r>
      <w:r>
        <w:rPr>
          <w:sz w:val="22"/>
        </w:rPr>
        <w:tab/>
        <w:t>Update</w:t>
      </w:r>
      <w:r>
        <w:rPr>
          <w:spacing w:val="-8"/>
          <w:sz w:val="22"/>
        </w:rPr>
        <w:t> </w:t>
      </w:r>
      <w:r>
        <w:rPr>
          <w:sz w:val="22"/>
        </w:rPr>
        <w:t>provides</w:t>
      </w:r>
      <w:r>
        <w:rPr>
          <w:spacing w:val="-7"/>
          <w:sz w:val="22"/>
        </w:rPr>
        <w:t> </w:t>
      </w:r>
      <w:r>
        <w:rPr>
          <w:sz w:val="22"/>
        </w:rPr>
        <w:t>clarification</w:t>
      </w:r>
      <w:r>
        <w:rPr>
          <w:spacing w:val="-7"/>
          <w:sz w:val="22"/>
        </w:rPr>
        <w:t> </w:t>
      </w:r>
      <w:r>
        <w:rPr>
          <w:sz w:val="22"/>
        </w:rPr>
        <w:t>when</w:t>
      </w:r>
      <w:r>
        <w:rPr>
          <w:spacing w:val="-8"/>
          <w:sz w:val="22"/>
        </w:rPr>
        <w:t> </w:t>
      </w:r>
      <w:r>
        <w:rPr>
          <w:sz w:val="22"/>
        </w:rPr>
        <w:t>prior</w:t>
      </w:r>
      <w:r>
        <w:rPr>
          <w:spacing w:val="-7"/>
          <w:sz w:val="22"/>
        </w:rPr>
        <w:t> </w:t>
      </w:r>
      <w:r>
        <w:rPr>
          <w:sz w:val="22"/>
        </w:rPr>
        <w:t>approval</w:t>
      </w:r>
      <w:r>
        <w:rPr>
          <w:spacing w:val="-8"/>
          <w:sz w:val="22"/>
        </w:rPr>
        <w:t> </w:t>
      </w:r>
      <w:r>
        <w:rPr>
          <w:sz w:val="22"/>
        </w:rPr>
        <w:t>is</w:t>
      </w:r>
      <w:r>
        <w:rPr>
          <w:spacing w:val="-8"/>
          <w:sz w:val="22"/>
        </w:rPr>
        <w:t> </w:t>
      </w:r>
      <w:r>
        <w:rPr>
          <w:sz w:val="22"/>
        </w:rPr>
        <w:t>required</w:t>
      </w:r>
      <w:r>
        <w:rPr>
          <w:spacing w:val="-7"/>
          <w:sz w:val="22"/>
        </w:rPr>
        <w:t> </w:t>
      </w:r>
      <w:r>
        <w:rPr>
          <w:sz w:val="22"/>
        </w:rPr>
        <w:t>from</w:t>
      </w:r>
      <w:r>
        <w:rPr>
          <w:spacing w:val="-8"/>
          <w:sz w:val="22"/>
        </w:rPr>
        <w:t> </w:t>
      </w:r>
      <w:r>
        <w:rPr>
          <w:spacing w:val="-4"/>
          <w:sz w:val="22"/>
        </w:rPr>
        <w:t>RSA.</w:t>
      </w:r>
    </w:p>
    <w:p>
      <w:pPr>
        <w:tabs>
          <w:tab w:pos="1439" w:val="left" w:leader="none"/>
        </w:tabs>
        <w:spacing w:before="0"/>
        <w:ind w:left="1439" w:right="952" w:hanging="1080"/>
        <w:jc w:val="left"/>
        <w:rPr>
          <w:sz w:val="22"/>
        </w:rPr>
      </w:pPr>
      <w:r>
        <w:rPr>
          <w:spacing w:val="-2"/>
          <w:sz w:val="22"/>
        </w:rPr>
        <w:t>9-11-22</w:t>
      </w:r>
      <w:r>
        <w:rPr>
          <w:sz w:val="22"/>
        </w:rPr>
        <w:tab/>
        <w:t>Revised</w:t>
      </w:r>
      <w:r>
        <w:rPr>
          <w:spacing w:val="-3"/>
          <w:sz w:val="22"/>
        </w:rPr>
        <w:t> </w:t>
      </w:r>
      <w:r>
        <w:rPr>
          <w:sz w:val="22"/>
        </w:rPr>
        <w:t>(b)</w:t>
      </w:r>
      <w:r>
        <w:rPr>
          <w:spacing w:val="-5"/>
          <w:sz w:val="22"/>
        </w:rPr>
        <w:t> </w:t>
      </w:r>
      <w:r>
        <w:rPr>
          <w:sz w:val="22"/>
        </w:rPr>
        <w:t>(4)</w:t>
      </w:r>
      <w:r>
        <w:rPr>
          <w:spacing w:val="-3"/>
          <w:sz w:val="22"/>
        </w:rPr>
        <w:t> </w:t>
      </w:r>
      <w:r>
        <w:rPr>
          <w:sz w:val="22"/>
        </w:rPr>
        <w:t>to</w:t>
      </w:r>
      <w:r>
        <w:rPr>
          <w:spacing w:val="-3"/>
          <w:sz w:val="22"/>
        </w:rPr>
        <w:t> </w:t>
      </w:r>
      <w:r>
        <w:rPr>
          <w:sz w:val="22"/>
        </w:rPr>
        <w:t>include</w:t>
      </w:r>
      <w:r>
        <w:rPr>
          <w:spacing w:val="-3"/>
          <w:sz w:val="22"/>
        </w:rPr>
        <w:t> </w:t>
      </w:r>
      <w:r>
        <w:rPr>
          <w:sz w:val="22"/>
        </w:rPr>
        <w:t>required</w:t>
      </w:r>
      <w:r>
        <w:rPr>
          <w:spacing w:val="-3"/>
          <w:sz w:val="22"/>
        </w:rPr>
        <w:t> </w:t>
      </w:r>
      <w:r>
        <w:rPr>
          <w:sz w:val="22"/>
        </w:rPr>
        <w:t>devices</w:t>
      </w:r>
      <w:r>
        <w:rPr>
          <w:spacing w:val="-3"/>
          <w:sz w:val="22"/>
        </w:rPr>
        <w:t> </w:t>
      </w:r>
      <w:r>
        <w:rPr>
          <w:sz w:val="22"/>
        </w:rPr>
        <w:t>that</w:t>
      </w:r>
      <w:r>
        <w:rPr>
          <w:spacing w:val="-4"/>
          <w:sz w:val="22"/>
        </w:rPr>
        <w:t> </w:t>
      </w:r>
      <w:r>
        <w:rPr>
          <w:sz w:val="22"/>
        </w:rPr>
        <w:t>are</w:t>
      </w:r>
      <w:r>
        <w:rPr>
          <w:spacing w:val="-3"/>
          <w:sz w:val="22"/>
        </w:rPr>
        <w:t> </w:t>
      </w:r>
      <w:r>
        <w:rPr>
          <w:sz w:val="22"/>
        </w:rPr>
        <w:t>recommended</w:t>
      </w:r>
      <w:r>
        <w:rPr>
          <w:spacing w:val="-3"/>
          <w:sz w:val="22"/>
        </w:rPr>
        <w:t> </w:t>
      </w:r>
      <w:r>
        <w:rPr>
          <w:sz w:val="22"/>
        </w:rPr>
        <w:t>by</w:t>
      </w:r>
      <w:r>
        <w:rPr>
          <w:spacing w:val="-3"/>
          <w:sz w:val="22"/>
        </w:rPr>
        <w:t> </w:t>
      </w:r>
      <w:r>
        <w:rPr>
          <w:sz w:val="22"/>
        </w:rPr>
        <w:t>AT</w:t>
      </w:r>
      <w:r>
        <w:rPr>
          <w:spacing w:val="-3"/>
          <w:sz w:val="22"/>
        </w:rPr>
        <w:t> </w:t>
      </w:r>
      <w:r>
        <w:rPr>
          <w:sz w:val="22"/>
        </w:rPr>
        <w:t>Specialist and AT report must not be older than six months at time of purchase of recommended devices.</w:t>
      </w:r>
    </w:p>
    <w:p>
      <w:pPr>
        <w:pStyle w:val="ListParagraph"/>
        <w:numPr>
          <w:ilvl w:val="2"/>
          <w:numId w:val="239"/>
        </w:numPr>
        <w:tabs>
          <w:tab w:pos="1440" w:val="left" w:leader="none"/>
        </w:tabs>
        <w:spacing w:line="240" w:lineRule="auto" w:before="0" w:after="0"/>
        <w:ind w:left="1440" w:right="729" w:hanging="1080"/>
        <w:jc w:val="left"/>
        <w:rPr>
          <w:sz w:val="24"/>
        </w:rPr>
      </w:pPr>
      <w:r>
        <w:rPr>
          <w:sz w:val="24"/>
        </w:rPr>
        <w:t>Revised</w:t>
      </w:r>
      <w:r>
        <w:rPr>
          <w:spacing w:val="-6"/>
          <w:sz w:val="24"/>
        </w:rPr>
        <w:t> </w:t>
      </w:r>
      <w:r>
        <w:rPr>
          <w:sz w:val="24"/>
        </w:rPr>
        <w:t>OMES</w:t>
      </w:r>
      <w:r>
        <w:rPr>
          <w:spacing w:val="-6"/>
          <w:sz w:val="24"/>
        </w:rPr>
        <w:t> </w:t>
      </w:r>
      <w:r>
        <w:rPr>
          <w:sz w:val="24"/>
        </w:rPr>
        <w:t>language</w:t>
      </w:r>
      <w:r>
        <w:rPr>
          <w:spacing w:val="-6"/>
          <w:sz w:val="24"/>
        </w:rPr>
        <w:t> </w:t>
      </w:r>
      <w:r>
        <w:rPr>
          <w:sz w:val="24"/>
        </w:rPr>
        <w:t>to</w:t>
      </w:r>
      <w:r>
        <w:rPr>
          <w:spacing w:val="-6"/>
          <w:sz w:val="24"/>
        </w:rPr>
        <w:t> </w:t>
      </w:r>
      <w:r>
        <w:rPr>
          <w:sz w:val="24"/>
        </w:rPr>
        <w:t>read</w:t>
      </w:r>
      <w:r>
        <w:rPr>
          <w:spacing w:val="-6"/>
          <w:sz w:val="24"/>
        </w:rPr>
        <w:t> </w:t>
      </w:r>
      <w:r>
        <w:rPr>
          <w:sz w:val="24"/>
        </w:rPr>
        <w:t>OMES-DCAM.</w:t>
      </w:r>
      <w:r>
        <w:rPr>
          <w:spacing w:val="-5"/>
          <w:sz w:val="24"/>
        </w:rPr>
        <w:t> </w:t>
      </w:r>
      <w:r>
        <w:rPr>
          <w:sz w:val="24"/>
        </w:rPr>
        <w:t>Administrative</w:t>
      </w:r>
      <w:r>
        <w:rPr>
          <w:spacing w:val="-6"/>
          <w:sz w:val="24"/>
        </w:rPr>
        <w:t> </w:t>
      </w:r>
      <w:r>
        <w:rPr>
          <w:sz w:val="24"/>
        </w:rPr>
        <w:t>rule</w:t>
      </w:r>
      <w:r>
        <w:rPr>
          <w:spacing w:val="-6"/>
          <w:sz w:val="24"/>
        </w:rPr>
        <w:t> </w:t>
      </w:r>
      <w:r>
        <w:rPr>
          <w:sz w:val="24"/>
        </w:rPr>
        <w:t>612:10-1- 7 within the rule body is being relocated to its #7.</w:t>
      </w:r>
    </w:p>
    <w:p>
      <w:pPr>
        <w:pStyle w:val="ListParagraph"/>
        <w:spacing w:after="0" w:line="240" w:lineRule="auto"/>
        <w:jc w:val="left"/>
        <w:rPr>
          <w:sz w:val="24"/>
        </w:rPr>
        <w:sectPr>
          <w:pgSz w:w="12240" w:h="15840"/>
          <w:pgMar w:top="1360" w:bottom="280" w:left="1080" w:right="720"/>
        </w:sectPr>
      </w:pPr>
    </w:p>
    <w:p>
      <w:pPr>
        <w:pStyle w:val="Heading2"/>
      </w:pPr>
      <w:bookmarkStart w:name="612:10-7-221.  Housing Modification" w:id="222"/>
      <w:bookmarkEnd w:id="222"/>
      <w:r>
        <w:rPr>
          <w:b w:val="0"/>
        </w:rPr>
      </w:r>
      <w:r>
        <w:rPr/>
        <w:t>612:10-7-221.</w:t>
      </w:r>
      <w:r>
        <w:rPr>
          <w:spacing w:val="57"/>
        </w:rPr>
        <w:t> </w:t>
      </w:r>
      <w:r>
        <w:rPr/>
        <w:t>Housing</w:t>
      </w:r>
      <w:r>
        <w:rPr>
          <w:spacing w:val="-4"/>
        </w:rPr>
        <w:t> </w:t>
      </w:r>
      <w:r>
        <w:rPr>
          <w:spacing w:val="-2"/>
        </w:rPr>
        <w:t>Modification</w:t>
      </w:r>
    </w:p>
    <w:p>
      <w:pPr>
        <w:pStyle w:val="ListParagraph"/>
        <w:numPr>
          <w:ilvl w:val="0"/>
          <w:numId w:val="240"/>
        </w:numPr>
        <w:tabs>
          <w:tab w:pos="785" w:val="left" w:leader="none"/>
        </w:tabs>
        <w:spacing w:line="208" w:lineRule="auto" w:before="233" w:after="0"/>
        <w:ind w:left="360" w:right="727" w:firstLine="0"/>
        <w:jc w:val="left"/>
        <w:rPr>
          <w:sz w:val="24"/>
        </w:rPr>
      </w:pPr>
      <w:r>
        <w:rPr>
          <w:sz w:val="24"/>
        </w:rPr>
        <w:t>Modification of a residence may include installation of ramps, widening of doors, installation of grab bars and other accessibility modifications when such modifications are</w:t>
      </w:r>
      <w:r>
        <w:rPr>
          <w:spacing w:val="-4"/>
          <w:sz w:val="24"/>
        </w:rPr>
        <w:t> </w:t>
      </w:r>
      <w:r>
        <w:rPr>
          <w:sz w:val="24"/>
        </w:rPr>
        <w:t>necessary</w:t>
      </w:r>
      <w:r>
        <w:rPr>
          <w:spacing w:val="-4"/>
          <w:sz w:val="24"/>
        </w:rPr>
        <w:t> </w:t>
      </w:r>
      <w:r>
        <w:rPr>
          <w:sz w:val="24"/>
        </w:rPr>
        <w:t>to</w:t>
      </w:r>
      <w:r>
        <w:rPr>
          <w:spacing w:val="-4"/>
          <w:sz w:val="24"/>
        </w:rPr>
        <w:t> </w:t>
      </w:r>
      <w:r>
        <w:rPr>
          <w:sz w:val="24"/>
        </w:rPr>
        <w:t>support</w:t>
      </w:r>
      <w:r>
        <w:rPr>
          <w:spacing w:val="-3"/>
          <w:sz w:val="24"/>
        </w:rPr>
        <w:t> </w:t>
      </w:r>
      <w:r>
        <w:rPr>
          <w:sz w:val="24"/>
        </w:rPr>
        <w:t>the</w:t>
      </w:r>
      <w:r>
        <w:rPr>
          <w:spacing w:val="-4"/>
          <w:sz w:val="24"/>
        </w:rPr>
        <w:t> </w:t>
      </w:r>
      <w:r>
        <w:rPr>
          <w:sz w:val="24"/>
        </w:rPr>
        <w:t>client</w:t>
      </w:r>
      <w:r>
        <w:rPr>
          <w:spacing w:val="-3"/>
          <w:sz w:val="24"/>
        </w:rPr>
        <w:t> </w:t>
      </w:r>
      <w:r>
        <w:rPr>
          <w:sz w:val="24"/>
        </w:rPr>
        <w:t>in</w:t>
      </w:r>
      <w:r>
        <w:rPr>
          <w:spacing w:val="-4"/>
          <w:sz w:val="24"/>
        </w:rPr>
        <w:t> </w:t>
      </w:r>
      <w:r>
        <w:rPr>
          <w:sz w:val="24"/>
        </w:rPr>
        <w:t>achievement</w:t>
      </w:r>
      <w:r>
        <w:rPr>
          <w:spacing w:val="-3"/>
          <w:sz w:val="24"/>
        </w:rPr>
        <w:t> </w:t>
      </w:r>
      <w:r>
        <w:rPr>
          <w:sz w:val="24"/>
        </w:rPr>
        <w:t>of</w:t>
      </w:r>
      <w:r>
        <w:rPr>
          <w:spacing w:val="-3"/>
          <w:sz w:val="24"/>
        </w:rPr>
        <w:t> </w:t>
      </w:r>
      <w:r>
        <w:rPr>
          <w:sz w:val="24"/>
        </w:rPr>
        <w:t>an</w:t>
      </w:r>
      <w:r>
        <w:rPr>
          <w:spacing w:val="-4"/>
          <w:sz w:val="24"/>
        </w:rPr>
        <w:t> </w:t>
      </w:r>
      <w:r>
        <w:rPr>
          <w:sz w:val="24"/>
        </w:rPr>
        <w:t>employment</w:t>
      </w:r>
      <w:r>
        <w:rPr>
          <w:spacing w:val="-3"/>
          <w:sz w:val="24"/>
        </w:rPr>
        <w:t> </w:t>
      </w:r>
      <w:r>
        <w:rPr>
          <w:sz w:val="24"/>
        </w:rPr>
        <w:t>outcome.</w:t>
      </w:r>
      <w:r>
        <w:rPr>
          <w:spacing w:val="-3"/>
          <w:sz w:val="24"/>
        </w:rPr>
        <w:t> </w:t>
      </w:r>
      <w:r>
        <w:rPr>
          <w:sz w:val="24"/>
        </w:rPr>
        <w:t>DRS</w:t>
      </w:r>
      <w:r>
        <w:rPr>
          <w:spacing w:val="-4"/>
          <w:sz w:val="24"/>
        </w:rPr>
        <w:t> </w:t>
      </w:r>
      <w:r>
        <w:rPr>
          <w:sz w:val="24"/>
        </w:rPr>
        <w:t>will not provide major structural modifications such as elevators, room additions or major wall removal. Housing modifications that will cost more than the OMES-DCAM authority order limit require supervisor approval. </w:t>
      </w:r>
      <w:r>
        <w:rPr>
          <w:b/>
          <w:sz w:val="24"/>
        </w:rPr>
        <w:t>1, 2 </w:t>
      </w:r>
      <w:r>
        <w:rPr>
          <w:sz w:val="24"/>
        </w:rPr>
        <w:t>All housing modifications are subject to the Prior Approval from RSA in accordance with 2 CFR 200.439.</w:t>
      </w:r>
    </w:p>
    <w:p>
      <w:pPr>
        <w:pStyle w:val="ListParagraph"/>
        <w:numPr>
          <w:ilvl w:val="0"/>
          <w:numId w:val="240"/>
        </w:numPr>
        <w:tabs>
          <w:tab w:pos="785" w:val="left" w:leader="none"/>
        </w:tabs>
        <w:spacing w:line="208" w:lineRule="auto" w:before="239" w:after="0"/>
        <w:ind w:left="360" w:right="775" w:firstLine="0"/>
        <w:jc w:val="left"/>
        <w:rPr>
          <w:sz w:val="24"/>
        </w:rPr>
      </w:pPr>
      <w:r>
        <w:rPr>
          <w:sz w:val="24"/>
        </w:rPr>
        <w:t>In all situations where housing modification is to be done, the owner of the house must provide proof of ownership, sign a written release form, and be current on mortgage payments. DRS will not provide permanent modification to rental properties but may assist with portable/removable modifications. The renter/client is responsible for obtaining prior written permission from the owner for any portable/removable modifications. The counselor must make a referral to the Assistive Technology (AT) Specialist who will then evaluate the residence recommending modifications needed to make the residence accessible for the client. After modifications have been completed the counselor will contact the AT Specialist for inspection of the home, to ensure the modifications</w:t>
      </w:r>
      <w:r>
        <w:rPr>
          <w:spacing w:val="-4"/>
          <w:sz w:val="24"/>
        </w:rPr>
        <w:t> </w:t>
      </w:r>
      <w:r>
        <w:rPr>
          <w:sz w:val="24"/>
        </w:rPr>
        <w:t>conform</w:t>
      </w:r>
      <w:r>
        <w:rPr>
          <w:spacing w:val="-5"/>
          <w:sz w:val="24"/>
        </w:rPr>
        <w:t> </w:t>
      </w:r>
      <w:r>
        <w:rPr>
          <w:sz w:val="24"/>
        </w:rPr>
        <w:t>to</w:t>
      </w:r>
      <w:r>
        <w:rPr>
          <w:spacing w:val="-4"/>
          <w:sz w:val="24"/>
        </w:rPr>
        <w:t> </w:t>
      </w:r>
      <w:r>
        <w:rPr>
          <w:sz w:val="24"/>
        </w:rPr>
        <w:t>prescribed</w:t>
      </w:r>
      <w:r>
        <w:rPr>
          <w:spacing w:val="-4"/>
          <w:sz w:val="24"/>
        </w:rPr>
        <w:t> </w:t>
      </w:r>
      <w:r>
        <w:rPr>
          <w:sz w:val="24"/>
        </w:rPr>
        <w:t>standards</w:t>
      </w:r>
      <w:r>
        <w:rPr>
          <w:spacing w:val="-4"/>
          <w:sz w:val="24"/>
        </w:rPr>
        <w:t> </w:t>
      </w:r>
      <w:r>
        <w:rPr>
          <w:sz w:val="24"/>
        </w:rPr>
        <w:t>and</w:t>
      </w:r>
      <w:r>
        <w:rPr>
          <w:spacing w:val="-4"/>
          <w:sz w:val="24"/>
        </w:rPr>
        <w:t> </w:t>
      </w:r>
      <w:r>
        <w:rPr>
          <w:sz w:val="24"/>
        </w:rPr>
        <w:t>meet</w:t>
      </w:r>
      <w:r>
        <w:rPr>
          <w:spacing w:val="-3"/>
          <w:sz w:val="24"/>
        </w:rPr>
        <w:t> </w:t>
      </w:r>
      <w:r>
        <w:rPr>
          <w:sz w:val="24"/>
        </w:rPr>
        <w:t>the</w:t>
      </w:r>
      <w:r>
        <w:rPr>
          <w:spacing w:val="-4"/>
          <w:sz w:val="24"/>
        </w:rPr>
        <w:t> </w:t>
      </w:r>
      <w:r>
        <w:rPr>
          <w:sz w:val="24"/>
        </w:rPr>
        <w:t>client's</w:t>
      </w:r>
      <w:r>
        <w:rPr>
          <w:spacing w:val="-4"/>
          <w:sz w:val="24"/>
        </w:rPr>
        <w:t> </w:t>
      </w:r>
      <w:r>
        <w:rPr>
          <w:sz w:val="24"/>
        </w:rPr>
        <w:t>accessibility</w:t>
      </w:r>
      <w:r>
        <w:rPr>
          <w:spacing w:val="-4"/>
          <w:sz w:val="24"/>
        </w:rPr>
        <w:t> </w:t>
      </w:r>
      <w:r>
        <w:rPr>
          <w:sz w:val="24"/>
        </w:rPr>
        <w:t>needs. The AT Specialist will provide a report to the counselor that will contain pictures of the completed work and a signed statement of satisfaction from the client.</w:t>
      </w:r>
    </w:p>
    <w:p>
      <w:pPr>
        <w:pStyle w:val="ListParagraph"/>
        <w:numPr>
          <w:ilvl w:val="0"/>
          <w:numId w:val="240"/>
        </w:numPr>
        <w:tabs>
          <w:tab w:pos="773" w:val="left" w:leader="none"/>
        </w:tabs>
        <w:spacing w:line="208" w:lineRule="auto" w:before="239" w:after="0"/>
        <w:ind w:left="360" w:right="940" w:firstLine="0"/>
        <w:jc w:val="left"/>
        <w:rPr>
          <w:sz w:val="24"/>
        </w:rPr>
      </w:pPr>
      <w:r>
        <w:rPr>
          <w:sz w:val="24"/>
        </w:rPr>
        <w:t>Once</w:t>
      </w:r>
      <w:r>
        <w:rPr>
          <w:spacing w:val="-5"/>
          <w:sz w:val="24"/>
        </w:rPr>
        <w:t> </w:t>
      </w:r>
      <w:r>
        <w:rPr>
          <w:sz w:val="24"/>
        </w:rPr>
        <w:t>the</w:t>
      </w:r>
      <w:r>
        <w:rPr>
          <w:spacing w:val="-4"/>
          <w:sz w:val="24"/>
        </w:rPr>
        <w:t> </w:t>
      </w:r>
      <w:r>
        <w:rPr>
          <w:sz w:val="24"/>
        </w:rPr>
        <w:t>Assistive</w:t>
      </w:r>
      <w:r>
        <w:rPr>
          <w:spacing w:val="-4"/>
          <w:sz w:val="24"/>
        </w:rPr>
        <w:t> </w:t>
      </w:r>
      <w:r>
        <w:rPr>
          <w:sz w:val="24"/>
        </w:rPr>
        <w:t>Technology</w:t>
      </w:r>
      <w:r>
        <w:rPr>
          <w:spacing w:val="-4"/>
          <w:sz w:val="24"/>
        </w:rPr>
        <w:t> </w:t>
      </w:r>
      <w:r>
        <w:rPr>
          <w:sz w:val="24"/>
        </w:rPr>
        <w:t>(AT)</w:t>
      </w:r>
      <w:r>
        <w:rPr>
          <w:spacing w:val="-3"/>
          <w:sz w:val="24"/>
        </w:rPr>
        <w:t> </w:t>
      </w:r>
      <w:r>
        <w:rPr>
          <w:sz w:val="24"/>
        </w:rPr>
        <w:t>Specialist</w:t>
      </w:r>
      <w:r>
        <w:rPr>
          <w:spacing w:val="-3"/>
          <w:sz w:val="24"/>
        </w:rPr>
        <w:t> </w:t>
      </w:r>
      <w:r>
        <w:rPr>
          <w:sz w:val="24"/>
        </w:rPr>
        <w:t>has</w:t>
      </w:r>
      <w:r>
        <w:rPr>
          <w:spacing w:val="-4"/>
          <w:sz w:val="24"/>
        </w:rPr>
        <w:t> </w:t>
      </w:r>
      <w:r>
        <w:rPr>
          <w:sz w:val="24"/>
        </w:rPr>
        <w:t>completed</w:t>
      </w:r>
      <w:r>
        <w:rPr>
          <w:spacing w:val="-4"/>
          <w:sz w:val="24"/>
        </w:rPr>
        <w:t> </w:t>
      </w:r>
      <w:r>
        <w:rPr>
          <w:sz w:val="24"/>
        </w:rPr>
        <w:t>the</w:t>
      </w:r>
      <w:r>
        <w:rPr>
          <w:spacing w:val="-4"/>
          <w:sz w:val="24"/>
        </w:rPr>
        <w:t> </w:t>
      </w:r>
      <w:r>
        <w:rPr>
          <w:sz w:val="24"/>
        </w:rPr>
        <w:t>initial</w:t>
      </w:r>
      <w:r>
        <w:rPr>
          <w:spacing w:val="-4"/>
          <w:sz w:val="24"/>
        </w:rPr>
        <w:t> </w:t>
      </w:r>
      <w:r>
        <w:rPr>
          <w:sz w:val="24"/>
        </w:rPr>
        <w:t>evaluation of a home for a home modification and the report is received back to the counselor:</w:t>
      </w:r>
    </w:p>
    <w:p>
      <w:pPr>
        <w:pStyle w:val="ListParagraph"/>
        <w:numPr>
          <w:ilvl w:val="1"/>
          <w:numId w:val="240"/>
        </w:numPr>
        <w:tabs>
          <w:tab w:pos="1236" w:val="left" w:leader="none"/>
        </w:tabs>
        <w:spacing w:line="208" w:lineRule="auto" w:before="240" w:after="0"/>
        <w:ind w:left="810" w:right="742" w:firstLine="0"/>
        <w:jc w:val="left"/>
        <w:rPr>
          <w:sz w:val="24"/>
        </w:rPr>
      </w:pPr>
      <w:r>
        <w:rPr>
          <w:sz w:val="24"/>
        </w:rPr>
        <w:t>The</w:t>
      </w:r>
      <w:r>
        <w:rPr>
          <w:spacing w:val="-3"/>
          <w:sz w:val="24"/>
        </w:rPr>
        <w:t> </w:t>
      </w:r>
      <w:r>
        <w:rPr>
          <w:sz w:val="24"/>
        </w:rPr>
        <w:t>counselor</w:t>
      </w:r>
      <w:r>
        <w:rPr>
          <w:spacing w:val="-2"/>
          <w:sz w:val="24"/>
        </w:rPr>
        <w:t> </w:t>
      </w:r>
      <w:r>
        <w:rPr>
          <w:sz w:val="24"/>
        </w:rPr>
        <w:t>has</w:t>
      </w:r>
      <w:r>
        <w:rPr>
          <w:spacing w:val="-3"/>
          <w:sz w:val="24"/>
        </w:rPr>
        <w:t> </w:t>
      </w:r>
      <w:r>
        <w:rPr>
          <w:sz w:val="24"/>
        </w:rPr>
        <w:t>six</w:t>
      </w:r>
      <w:r>
        <w:rPr>
          <w:spacing w:val="-3"/>
          <w:sz w:val="24"/>
        </w:rPr>
        <w:t> </w:t>
      </w:r>
      <w:r>
        <w:rPr>
          <w:sz w:val="24"/>
        </w:rPr>
        <w:t>(6)</w:t>
      </w:r>
      <w:r>
        <w:rPr>
          <w:spacing w:val="-4"/>
          <w:sz w:val="24"/>
        </w:rPr>
        <w:t> </w:t>
      </w:r>
      <w:r>
        <w:rPr>
          <w:sz w:val="24"/>
        </w:rPr>
        <w:t>months</w:t>
      </w:r>
      <w:r>
        <w:rPr>
          <w:spacing w:val="-3"/>
          <w:sz w:val="24"/>
        </w:rPr>
        <w:t> </w:t>
      </w:r>
      <w:r>
        <w:rPr>
          <w:sz w:val="24"/>
        </w:rPr>
        <w:t>to</w:t>
      </w:r>
      <w:r>
        <w:rPr>
          <w:spacing w:val="-3"/>
          <w:sz w:val="24"/>
        </w:rPr>
        <w:t> </w:t>
      </w:r>
      <w:r>
        <w:rPr>
          <w:sz w:val="24"/>
        </w:rPr>
        <w:t>act</w:t>
      </w:r>
      <w:r>
        <w:rPr>
          <w:spacing w:val="-2"/>
          <w:sz w:val="24"/>
        </w:rPr>
        <w:t> </w:t>
      </w:r>
      <w:r>
        <w:rPr>
          <w:sz w:val="24"/>
        </w:rPr>
        <w:t>on</w:t>
      </w:r>
      <w:r>
        <w:rPr>
          <w:spacing w:val="-3"/>
          <w:sz w:val="24"/>
        </w:rPr>
        <w:t> </w:t>
      </w:r>
      <w:r>
        <w:rPr>
          <w:sz w:val="24"/>
        </w:rPr>
        <w:t>the</w:t>
      </w:r>
      <w:r>
        <w:rPr>
          <w:spacing w:val="-3"/>
          <w:sz w:val="24"/>
        </w:rPr>
        <w:t> </w:t>
      </w:r>
      <w:r>
        <w:rPr>
          <w:sz w:val="24"/>
        </w:rPr>
        <w:t>AT</w:t>
      </w:r>
      <w:r>
        <w:rPr>
          <w:spacing w:val="-4"/>
          <w:sz w:val="24"/>
        </w:rPr>
        <w:t> </w:t>
      </w:r>
      <w:r>
        <w:rPr>
          <w:sz w:val="24"/>
        </w:rPr>
        <w:t>Evaluation,</w:t>
      </w:r>
      <w:r>
        <w:rPr>
          <w:spacing w:val="-2"/>
          <w:sz w:val="24"/>
        </w:rPr>
        <w:t> </w:t>
      </w:r>
      <w:r>
        <w:rPr>
          <w:sz w:val="24"/>
        </w:rPr>
        <w:t>in</w:t>
      </w:r>
      <w:r>
        <w:rPr>
          <w:spacing w:val="-3"/>
          <w:sz w:val="24"/>
        </w:rPr>
        <w:t> </w:t>
      </w:r>
      <w:r>
        <w:rPr>
          <w:sz w:val="24"/>
        </w:rPr>
        <w:t>that,</w:t>
      </w:r>
      <w:r>
        <w:rPr>
          <w:spacing w:val="-2"/>
          <w:sz w:val="24"/>
        </w:rPr>
        <w:t> </w:t>
      </w:r>
      <w:r>
        <w:rPr>
          <w:sz w:val="24"/>
        </w:rPr>
        <w:t>it</w:t>
      </w:r>
      <w:r>
        <w:rPr>
          <w:spacing w:val="-4"/>
          <w:sz w:val="24"/>
        </w:rPr>
        <w:t> </w:t>
      </w:r>
      <w:r>
        <w:rPr>
          <w:sz w:val="24"/>
        </w:rPr>
        <w:t>must</w:t>
      </w:r>
      <w:r>
        <w:rPr>
          <w:spacing w:val="-2"/>
          <w:sz w:val="24"/>
        </w:rPr>
        <w:t> </w:t>
      </w:r>
      <w:r>
        <w:rPr>
          <w:sz w:val="24"/>
        </w:rPr>
        <w:t>be sent to Purchasing for bidding/out to</w:t>
      </w:r>
      <w:r>
        <w:rPr>
          <w:spacing w:val="-1"/>
          <w:sz w:val="24"/>
        </w:rPr>
        <w:t> </w:t>
      </w:r>
      <w:r>
        <w:rPr>
          <w:sz w:val="24"/>
        </w:rPr>
        <w:t>bid, prior to six</w:t>
      </w:r>
      <w:r>
        <w:rPr>
          <w:spacing w:val="-1"/>
          <w:sz w:val="24"/>
        </w:rPr>
        <w:t> </w:t>
      </w:r>
      <w:r>
        <w:rPr>
          <w:sz w:val="24"/>
        </w:rPr>
        <w:t>months from</w:t>
      </w:r>
      <w:r>
        <w:rPr>
          <w:spacing w:val="-2"/>
          <w:sz w:val="24"/>
        </w:rPr>
        <w:t> </w:t>
      </w:r>
      <w:r>
        <w:rPr>
          <w:sz w:val="24"/>
        </w:rPr>
        <w:t>the date of</w:t>
      </w:r>
      <w:r>
        <w:rPr>
          <w:spacing w:val="-1"/>
          <w:sz w:val="24"/>
        </w:rPr>
        <w:t> </w:t>
      </w:r>
      <w:r>
        <w:rPr>
          <w:sz w:val="24"/>
        </w:rPr>
        <w:t>the AT Evaluation, or a new evaluation must be done. An AT Report should not be more than six months old. Many things can happen in six months, especially in older homes, such as, settling, damage from storms, etc. A new report will be required after this period of time.</w:t>
      </w:r>
    </w:p>
    <w:p>
      <w:pPr>
        <w:pStyle w:val="ListParagraph"/>
        <w:numPr>
          <w:ilvl w:val="1"/>
          <w:numId w:val="240"/>
        </w:numPr>
        <w:tabs>
          <w:tab w:pos="1170" w:val="left" w:leader="none"/>
        </w:tabs>
        <w:spacing w:line="259" w:lineRule="auto" w:before="244" w:after="0"/>
        <w:ind w:left="810" w:right="729" w:firstLine="0"/>
        <w:jc w:val="left"/>
        <w:rPr>
          <w:sz w:val="24"/>
        </w:rPr>
      </w:pPr>
      <w:r>
        <w:rPr>
          <w:sz w:val="24"/>
        </w:rPr>
        <w:t>No</w:t>
      </w:r>
      <w:r>
        <w:rPr>
          <w:spacing w:val="-3"/>
          <w:sz w:val="24"/>
        </w:rPr>
        <w:t> </w:t>
      </w:r>
      <w:r>
        <w:rPr>
          <w:sz w:val="24"/>
        </w:rPr>
        <w:t>second</w:t>
      </w:r>
      <w:r>
        <w:rPr>
          <w:spacing w:val="-3"/>
          <w:sz w:val="24"/>
        </w:rPr>
        <w:t> </w:t>
      </w:r>
      <w:r>
        <w:rPr>
          <w:sz w:val="24"/>
        </w:rPr>
        <w:t>egress</w:t>
      </w:r>
      <w:r>
        <w:rPr>
          <w:spacing w:val="-2"/>
          <w:sz w:val="24"/>
        </w:rPr>
        <w:t> </w:t>
      </w:r>
      <w:r>
        <w:rPr>
          <w:sz w:val="24"/>
        </w:rPr>
        <w:t>on</w:t>
      </w:r>
      <w:r>
        <w:rPr>
          <w:spacing w:val="-3"/>
          <w:sz w:val="24"/>
        </w:rPr>
        <w:t> </w:t>
      </w:r>
      <w:r>
        <w:rPr>
          <w:sz w:val="24"/>
        </w:rPr>
        <w:t>any</w:t>
      </w:r>
      <w:r>
        <w:rPr>
          <w:spacing w:val="-3"/>
          <w:sz w:val="24"/>
        </w:rPr>
        <w:t> </w:t>
      </w:r>
      <w:r>
        <w:rPr>
          <w:sz w:val="24"/>
        </w:rPr>
        <w:t>home</w:t>
      </w:r>
      <w:r>
        <w:rPr>
          <w:spacing w:val="-3"/>
          <w:sz w:val="24"/>
        </w:rPr>
        <w:t> </w:t>
      </w:r>
      <w:r>
        <w:rPr>
          <w:sz w:val="24"/>
        </w:rPr>
        <w:t>modification.</w:t>
      </w:r>
      <w:r>
        <w:rPr>
          <w:spacing w:val="-2"/>
          <w:sz w:val="24"/>
        </w:rPr>
        <w:t> </w:t>
      </w:r>
      <w:r>
        <w:rPr>
          <w:sz w:val="24"/>
        </w:rPr>
        <w:t>Our</w:t>
      </w:r>
      <w:r>
        <w:rPr>
          <w:spacing w:val="-4"/>
          <w:sz w:val="24"/>
        </w:rPr>
        <w:t> </w:t>
      </w:r>
      <w:r>
        <w:rPr>
          <w:sz w:val="24"/>
        </w:rPr>
        <w:t>purpose</w:t>
      </w:r>
      <w:r>
        <w:rPr>
          <w:spacing w:val="-3"/>
          <w:sz w:val="24"/>
        </w:rPr>
        <w:t> </w:t>
      </w:r>
      <w:r>
        <w:rPr>
          <w:sz w:val="24"/>
        </w:rPr>
        <w:t>is</w:t>
      </w:r>
      <w:r>
        <w:rPr>
          <w:spacing w:val="-3"/>
          <w:sz w:val="24"/>
        </w:rPr>
        <w:t> </w:t>
      </w:r>
      <w:r>
        <w:rPr>
          <w:sz w:val="24"/>
        </w:rPr>
        <w:t>to</w:t>
      </w:r>
      <w:r>
        <w:rPr>
          <w:spacing w:val="-3"/>
          <w:sz w:val="24"/>
        </w:rPr>
        <w:t> </w:t>
      </w:r>
      <w:r>
        <w:rPr>
          <w:sz w:val="24"/>
        </w:rPr>
        <w:t>get</w:t>
      </w:r>
      <w:r>
        <w:rPr>
          <w:spacing w:val="-4"/>
          <w:sz w:val="24"/>
        </w:rPr>
        <w:t> </w:t>
      </w:r>
      <w:r>
        <w:rPr>
          <w:sz w:val="24"/>
        </w:rPr>
        <w:t>the</w:t>
      </w:r>
      <w:r>
        <w:rPr>
          <w:spacing w:val="-3"/>
          <w:sz w:val="24"/>
        </w:rPr>
        <w:t> </w:t>
      </w:r>
      <w:r>
        <w:rPr>
          <w:sz w:val="24"/>
        </w:rPr>
        <w:t>client</w:t>
      </w:r>
      <w:r>
        <w:rPr>
          <w:spacing w:val="-2"/>
          <w:sz w:val="24"/>
        </w:rPr>
        <w:t> </w:t>
      </w:r>
      <w:r>
        <w:rPr>
          <w:sz w:val="24"/>
        </w:rPr>
        <w:t>out the front door to go to work. If the client feels the necessity to have a second egress, then</w:t>
      </w:r>
      <w:r>
        <w:rPr>
          <w:spacing w:val="-1"/>
          <w:sz w:val="24"/>
        </w:rPr>
        <w:t> </w:t>
      </w:r>
      <w:r>
        <w:rPr>
          <w:sz w:val="24"/>
        </w:rPr>
        <w:t>that should</w:t>
      </w:r>
      <w:r>
        <w:rPr>
          <w:spacing w:val="-1"/>
          <w:sz w:val="24"/>
        </w:rPr>
        <w:t> </w:t>
      </w:r>
      <w:r>
        <w:rPr>
          <w:sz w:val="24"/>
        </w:rPr>
        <w:t>be</w:t>
      </w:r>
      <w:r>
        <w:rPr>
          <w:spacing w:val="-1"/>
          <w:sz w:val="24"/>
        </w:rPr>
        <w:t> </w:t>
      </w:r>
      <w:r>
        <w:rPr>
          <w:sz w:val="24"/>
        </w:rPr>
        <w:t>up</w:t>
      </w:r>
      <w:r>
        <w:rPr>
          <w:spacing w:val="-1"/>
          <w:sz w:val="24"/>
        </w:rPr>
        <w:t> </w:t>
      </w:r>
      <w:r>
        <w:rPr>
          <w:sz w:val="24"/>
        </w:rPr>
        <w:t>to</w:t>
      </w:r>
      <w:r>
        <w:rPr>
          <w:spacing w:val="-1"/>
          <w:sz w:val="24"/>
        </w:rPr>
        <w:t> </w:t>
      </w:r>
      <w:r>
        <w:rPr>
          <w:sz w:val="24"/>
        </w:rPr>
        <w:t>them or</w:t>
      </w:r>
      <w:r>
        <w:rPr>
          <w:spacing w:val="-2"/>
          <w:sz w:val="24"/>
        </w:rPr>
        <w:t> </w:t>
      </w:r>
      <w:r>
        <w:rPr>
          <w:sz w:val="24"/>
        </w:rPr>
        <w:t>the</w:t>
      </w:r>
      <w:r>
        <w:rPr>
          <w:spacing w:val="-1"/>
          <w:sz w:val="24"/>
        </w:rPr>
        <w:t> </w:t>
      </w:r>
      <w:r>
        <w:rPr>
          <w:sz w:val="24"/>
        </w:rPr>
        <w:t>homeowner, that</w:t>
      </w:r>
      <w:r>
        <w:rPr>
          <w:spacing w:val="-2"/>
          <w:sz w:val="24"/>
        </w:rPr>
        <w:t> </w:t>
      </w:r>
      <w:r>
        <w:rPr>
          <w:sz w:val="24"/>
        </w:rPr>
        <w:t>is</w:t>
      </w:r>
      <w:r>
        <w:rPr>
          <w:spacing w:val="-1"/>
          <w:sz w:val="24"/>
        </w:rPr>
        <w:t> </w:t>
      </w:r>
      <w:r>
        <w:rPr>
          <w:sz w:val="24"/>
        </w:rPr>
        <w:t>not the</w:t>
      </w:r>
      <w:r>
        <w:rPr>
          <w:spacing w:val="-1"/>
          <w:sz w:val="24"/>
        </w:rPr>
        <w:t> </w:t>
      </w:r>
      <w:r>
        <w:rPr>
          <w:sz w:val="24"/>
        </w:rPr>
        <w:t>purpose</w:t>
      </w:r>
      <w:r>
        <w:rPr>
          <w:spacing w:val="-1"/>
          <w:sz w:val="24"/>
        </w:rPr>
        <w:t> </w:t>
      </w:r>
      <w:r>
        <w:rPr>
          <w:sz w:val="24"/>
        </w:rPr>
        <w:t>of </w:t>
      </w:r>
      <w:r>
        <w:rPr>
          <w:spacing w:val="-4"/>
          <w:sz w:val="24"/>
        </w:rPr>
        <w:t>DRS.</w:t>
      </w:r>
    </w:p>
    <w:p>
      <w:pPr>
        <w:pStyle w:val="BodyText"/>
        <w:spacing w:before="125"/>
      </w:pPr>
      <w:r>
        <w:rPr/>
        <w:t>Instructions</w:t>
      </w:r>
      <w:r>
        <w:rPr>
          <w:spacing w:val="-5"/>
        </w:rPr>
        <w:t> </w:t>
      </w:r>
      <w:r>
        <w:rPr/>
        <w:t>to</w:t>
      </w:r>
      <w:r>
        <w:rPr>
          <w:spacing w:val="-2"/>
        </w:rPr>
        <w:t> </w:t>
      </w:r>
      <w:r>
        <w:rPr>
          <w:spacing w:val="-4"/>
        </w:rPr>
        <w:t>Staff</w:t>
      </w:r>
    </w:p>
    <w:p>
      <w:pPr>
        <w:pStyle w:val="ListParagraph"/>
        <w:numPr>
          <w:ilvl w:val="0"/>
          <w:numId w:val="241"/>
        </w:numPr>
        <w:tabs>
          <w:tab w:pos="711" w:val="left" w:leader="none"/>
        </w:tabs>
        <w:spacing w:line="208" w:lineRule="auto" w:before="233" w:after="0"/>
        <w:ind w:left="378" w:right="1188" w:firstLine="0"/>
        <w:jc w:val="left"/>
        <w:rPr>
          <w:sz w:val="24"/>
        </w:rPr>
      </w:pPr>
      <w:r>
        <w:rPr>
          <w:sz w:val="24"/>
        </w:rPr>
        <w:t>As</w:t>
      </w:r>
      <w:r>
        <w:rPr>
          <w:spacing w:val="-4"/>
          <w:sz w:val="24"/>
        </w:rPr>
        <w:t> </w:t>
      </w:r>
      <w:r>
        <w:rPr>
          <w:sz w:val="24"/>
        </w:rPr>
        <w:t>determined</w:t>
      </w:r>
      <w:r>
        <w:rPr>
          <w:spacing w:val="-4"/>
          <w:sz w:val="24"/>
        </w:rPr>
        <w:t> </w:t>
      </w:r>
      <w:r>
        <w:rPr>
          <w:sz w:val="24"/>
        </w:rPr>
        <w:t>appropriate</w:t>
      </w:r>
      <w:r>
        <w:rPr>
          <w:spacing w:val="-4"/>
          <w:sz w:val="24"/>
        </w:rPr>
        <w:t> </w:t>
      </w:r>
      <w:r>
        <w:rPr>
          <w:sz w:val="24"/>
        </w:rPr>
        <w:t>by</w:t>
      </w:r>
      <w:r>
        <w:rPr>
          <w:spacing w:val="-4"/>
          <w:sz w:val="24"/>
        </w:rPr>
        <w:t> </w:t>
      </w:r>
      <w:r>
        <w:rPr>
          <w:sz w:val="24"/>
        </w:rPr>
        <w:t>the</w:t>
      </w:r>
      <w:r>
        <w:rPr>
          <w:spacing w:val="-4"/>
          <w:sz w:val="24"/>
        </w:rPr>
        <w:t> </w:t>
      </w:r>
      <w:r>
        <w:rPr>
          <w:sz w:val="24"/>
        </w:rPr>
        <w:t>AT</w:t>
      </w:r>
      <w:r>
        <w:rPr>
          <w:spacing w:val="-4"/>
          <w:sz w:val="24"/>
        </w:rPr>
        <w:t> </w:t>
      </w:r>
      <w:r>
        <w:rPr>
          <w:sz w:val="24"/>
        </w:rPr>
        <w:t>specialist,</w:t>
      </w:r>
      <w:r>
        <w:rPr>
          <w:spacing w:val="-3"/>
          <w:sz w:val="24"/>
        </w:rPr>
        <w:t> </w:t>
      </w:r>
      <w:r>
        <w:rPr>
          <w:sz w:val="24"/>
        </w:rPr>
        <w:t>a</w:t>
      </w:r>
      <w:r>
        <w:rPr>
          <w:spacing w:val="-4"/>
          <w:sz w:val="24"/>
        </w:rPr>
        <w:t> </w:t>
      </w:r>
      <w:r>
        <w:rPr>
          <w:sz w:val="24"/>
        </w:rPr>
        <w:t>structural</w:t>
      </w:r>
      <w:r>
        <w:rPr>
          <w:spacing w:val="-4"/>
          <w:sz w:val="24"/>
        </w:rPr>
        <w:t> </w:t>
      </w:r>
      <w:r>
        <w:rPr>
          <w:sz w:val="24"/>
        </w:rPr>
        <w:t>engineer</w:t>
      </w:r>
      <w:r>
        <w:rPr>
          <w:spacing w:val="-3"/>
          <w:sz w:val="24"/>
        </w:rPr>
        <w:t> </w:t>
      </w:r>
      <w:r>
        <w:rPr>
          <w:sz w:val="24"/>
        </w:rPr>
        <w:t>or</w:t>
      </w:r>
      <w:r>
        <w:rPr>
          <w:spacing w:val="-3"/>
          <w:sz w:val="24"/>
        </w:rPr>
        <w:t> </w:t>
      </w:r>
      <w:r>
        <w:rPr>
          <w:sz w:val="24"/>
        </w:rPr>
        <w:t>qualified home inspector evaluation and recommendations may be required before a home modification plan is approved.</w:t>
      </w:r>
    </w:p>
    <w:p>
      <w:pPr>
        <w:pStyle w:val="ListParagraph"/>
        <w:numPr>
          <w:ilvl w:val="0"/>
          <w:numId w:val="241"/>
        </w:numPr>
        <w:tabs>
          <w:tab w:pos="711" w:val="left" w:leader="none"/>
        </w:tabs>
        <w:spacing w:line="208" w:lineRule="auto" w:before="240" w:after="0"/>
        <w:ind w:left="378" w:right="733" w:firstLine="0"/>
        <w:jc w:val="left"/>
        <w:rPr>
          <w:sz w:val="24"/>
        </w:rPr>
      </w:pPr>
      <w:r>
        <w:rPr>
          <w:sz w:val="24"/>
        </w:rPr>
        <w:t>Bid information for the proposed home modification is obtained by field staff and provided to DRS Central/Departmental Services for review of the bid process and acquisition of the purchase order. The requisition submitted to C/DS must include the total</w:t>
      </w:r>
      <w:r>
        <w:rPr>
          <w:spacing w:val="-3"/>
          <w:sz w:val="24"/>
        </w:rPr>
        <w:t> </w:t>
      </w:r>
      <w:r>
        <w:rPr>
          <w:sz w:val="24"/>
        </w:rPr>
        <w:t>cost</w:t>
      </w:r>
      <w:r>
        <w:rPr>
          <w:spacing w:val="-2"/>
          <w:sz w:val="24"/>
        </w:rPr>
        <w:t> </w:t>
      </w:r>
      <w:r>
        <w:rPr>
          <w:sz w:val="24"/>
        </w:rPr>
        <w:t>of</w:t>
      </w:r>
      <w:r>
        <w:rPr>
          <w:spacing w:val="-4"/>
          <w:sz w:val="24"/>
        </w:rPr>
        <w:t> </w:t>
      </w:r>
      <w:r>
        <w:rPr>
          <w:sz w:val="24"/>
        </w:rPr>
        <w:t>both</w:t>
      </w:r>
      <w:r>
        <w:rPr>
          <w:spacing w:val="-3"/>
          <w:sz w:val="24"/>
        </w:rPr>
        <w:t> </w:t>
      </w:r>
      <w:r>
        <w:rPr>
          <w:sz w:val="24"/>
        </w:rPr>
        <w:t>labor</w:t>
      </w:r>
      <w:r>
        <w:rPr>
          <w:spacing w:val="-2"/>
          <w:sz w:val="24"/>
        </w:rPr>
        <w:t> </w:t>
      </w:r>
      <w:r>
        <w:rPr>
          <w:sz w:val="24"/>
        </w:rPr>
        <w:t>and</w:t>
      </w:r>
      <w:r>
        <w:rPr>
          <w:spacing w:val="-3"/>
          <w:sz w:val="24"/>
        </w:rPr>
        <w:t> </w:t>
      </w:r>
      <w:r>
        <w:rPr>
          <w:sz w:val="24"/>
        </w:rPr>
        <w:t>materials</w:t>
      </w:r>
      <w:r>
        <w:rPr>
          <w:spacing w:val="-3"/>
          <w:sz w:val="24"/>
        </w:rPr>
        <w:t> </w:t>
      </w:r>
      <w:r>
        <w:rPr>
          <w:sz w:val="24"/>
        </w:rPr>
        <w:t>for</w:t>
      </w:r>
      <w:r>
        <w:rPr>
          <w:spacing w:val="-2"/>
          <w:sz w:val="24"/>
        </w:rPr>
        <w:t> </w:t>
      </w:r>
      <w:r>
        <w:rPr>
          <w:sz w:val="24"/>
        </w:rPr>
        <w:t>the</w:t>
      </w:r>
      <w:r>
        <w:rPr>
          <w:spacing w:val="-4"/>
          <w:sz w:val="24"/>
        </w:rPr>
        <w:t> </w:t>
      </w:r>
      <w:r>
        <w:rPr>
          <w:sz w:val="24"/>
        </w:rPr>
        <w:t>entire</w:t>
      </w:r>
      <w:r>
        <w:rPr>
          <w:spacing w:val="-3"/>
          <w:sz w:val="24"/>
        </w:rPr>
        <w:t> </w:t>
      </w:r>
      <w:r>
        <w:rPr>
          <w:sz w:val="24"/>
        </w:rPr>
        <w:t>home</w:t>
      </w:r>
      <w:r>
        <w:rPr>
          <w:spacing w:val="-3"/>
          <w:sz w:val="24"/>
        </w:rPr>
        <w:t> </w:t>
      </w:r>
      <w:r>
        <w:rPr>
          <w:sz w:val="24"/>
        </w:rPr>
        <w:t>modification.</w:t>
      </w:r>
      <w:r>
        <w:rPr>
          <w:spacing w:val="-2"/>
          <w:sz w:val="24"/>
        </w:rPr>
        <w:t> </w:t>
      </w:r>
      <w:r>
        <w:rPr>
          <w:sz w:val="24"/>
        </w:rPr>
        <w:t>If</w:t>
      </w:r>
      <w:r>
        <w:rPr>
          <w:spacing w:val="-4"/>
          <w:sz w:val="24"/>
        </w:rPr>
        <w:t> </w:t>
      </w:r>
      <w:r>
        <w:rPr>
          <w:sz w:val="24"/>
        </w:rPr>
        <w:t>the</w:t>
      </w:r>
      <w:r>
        <w:rPr>
          <w:spacing w:val="-3"/>
          <w:sz w:val="24"/>
        </w:rPr>
        <w:t> </w:t>
      </w:r>
      <w:r>
        <w:rPr>
          <w:sz w:val="24"/>
        </w:rPr>
        <w:t>consumer</w:t>
      </w:r>
      <w:r>
        <w:rPr>
          <w:spacing w:val="-2"/>
          <w:sz w:val="24"/>
        </w:rPr>
        <w:t> </w:t>
      </w:r>
      <w:r>
        <w:rPr>
          <w:sz w:val="24"/>
        </w:rPr>
        <w:t>is required</w:t>
      </w:r>
      <w:r>
        <w:rPr>
          <w:spacing w:val="-2"/>
          <w:sz w:val="24"/>
        </w:rPr>
        <w:t> </w:t>
      </w:r>
      <w:r>
        <w:rPr>
          <w:sz w:val="24"/>
        </w:rPr>
        <w:t>to</w:t>
      </w:r>
      <w:r>
        <w:rPr>
          <w:spacing w:val="-2"/>
          <w:sz w:val="24"/>
        </w:rPr>
        <w:t> </w:t>
      </w:r>
      <w:r>
        <w:rPr>
          <w:sz w:val="24"/>
        </w:rPr>
        <w:t>participate</w:t>
      </w:r>
      <w:r>
        <w:rPr>
          <w:spacing w:val="-2"/>
          <w:sz w:val="24"/>
        </w:rPr>
        <w:t> </w:t>
      </w:r>
      <w:r>
        <w:rPr>
          <w:sz w:val="24"/>
        </w:rPr>
        <w:t>in</w:t>
      </w:r>
      <w:r>
        <w:rPr>
          <w:spacing w:val="-2"/>
          <w:sz w:val="24"/>
        </w:rPr>
        <w:t> </w:t>
      </w:r>
      <w:r>
        <w:rPr>
          <w:sz w:val="24"/>
        </w:rPr>
        <w:t>the</w:t>
      </w:r>
      <w:r>
        <w:rPr>
          <w:spacing w:val="-2"/>
          <w:sz w:val="24"/>
        </w:rPr>
        <w:t> </w:t>
      </w:r>
      <w:r>
        <w:rPr>
          <w:sz w:val="24"/>
        </w:rPr>
        <w:t>cost</w:t>
      </w:r>
      <w:r>
        <w:rPr>
          <w:spacing w:val="-3"/>
          <w:sz w:val="24"/>
        </w:rPr>
        <w:t> </w:t>
      </w:r>
      <w:r>
        <w:rPr>
          <w:sz w:val="24"/>
        </w:rPr>
        <w:t>of</w:t>
      </w:r>
      <w:r>
        <w:rPr>
          <w:spacing w:val="-1"/>
          <w:sz w:val="24"/>
        </w:rPr>
        <w:t> </w:t>
      </w:r>
      <w:r>
        <w:rPr>
          <w:sz w:val="24"/>
        </w:rPr>
        <w:t>the</w:t>
      </w:r>
      <w:r>
        <w:rPr>
          <w:spacing w:val="-2"/>
          <w:sz w:val="24"/>
        </w:rPr>
        <w:t> </w:t>
      </w:r>
      <w:r>
        <w:rPr>
          <w:sz w:val="24"/>
        </w:rPr>
        <w:t>modifications,</w:t>
      </w:r>
      <w:r>
        <w:rPr>
          <w:spacing w:val="-1"/>
          <w:sz w:val="24"/>
        </w:rPr>
        <w:t> </w:t>
      </w:r>
      <w:r>
        <w:rPr>
          <w:sz w:val="24"/>
        </w:rPr>
        <w:t>the</w:t>
      </w:r>
      <w:r>
        <w:rPr>
          <w:spacing w:val="-2"/>
          <w:sz w:val="24"/>
        </w:rPr>
        <w:t> </w:t>
      </w:r>
      <w:r>
        <w:rPr>
          <w:sz w:val="24"/>
        </w:rPr>
        <w:t>payment</w:t>
      </w:r>
      <w:r>
        <w:rPr>
          <w:spacing w:val="-3"/>
          <w:sz w:val="24"/>
        </w:rPr>
        <w:t> </w:t>
      </w:r>
      <w:r>
        <w:rPr>
          <w:sz w:val="24"/>
        </w:rPr>
        <w:t>by</w:t>
      </w:r>
      <w:r>
        <w:rPr>
          <w:spacing w:val="-2"/>
          <w:sz w:val="24"/>
        </w:rPr>
        <w:t> </w:t>
      </w:r>
      <w:r>
        <w:rPr>
          <w:sz w:val="24"/>
        </w:rPr>
        <w:t>the</w:t>
      </w:r>
      <w:r>
        <w:rPr>
          <w:spacing w:val="-2"/>
          <w:sz w:val="24"/>
        </w:rPr>
        <w:t> </w:t>
      </w:r>
      <w:r>
        <w:rPr>
          <w:sz w:val="24"/>
        </w:rPr>
        <w:t>consumer</w:t>
      </w:r>
      <w:r>
        <w:rPr>
          <w:spacing w:val="-1"/>
          <w:sz w:val="24"/>
        </w:rPr>
        <w:t> </w:t>
      </w:r>
      <w:r>
        <w:rPr>
          <w:sz w:val="24"/>
        </w:rPr>
        <w:t>will be made to the vendor.</w:t>
      </w:r>
    </w:p>
    <w:p>
      <w:pPr>
        <w:spacing w:before="243"/>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13"/>
        </w:numPr>
        <w:tabs>
          <w:tab w:pos="1439" w:val="left" w:leader="none"/>
        </w:tabs>
        <w:spacing w:line="240" w:lineRule="auto"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#07-</w:t>
      </w:r>
      <w:r>
        <w:rPr>
          <w:spacing w:val="-5"/>
          <w:sz w:val="22"/>
        </w:rPr>
        <w:t>01</w:t>
      </w:r>
    </w:p>
    <w:p>
      <w:pPr>
        <w:pStyle w:val="ListParagraph"/>
        <w:spacing w:after="0" w:line="240" w:lineRule="auto"/>
        <w:jc w:val="left"/>
        <w:rPr>
          <w:sz w:val="22"/>
        </w:rPr>
        <w:sectPr>
          <w:pgSz w:w="12240" w:h="15840"/>
          <w:pgMar w:top="1340" w:bottom="280" w:left="1080" w:right="720"/>
        </w:sectPr>
      </w:pPr>
    </w:p>
    <w:p>
      <w:pPr>
        <w:spacing w:before="80"/>
        <w:ind w:left="1440" w:right="775" w:firstLine="0"/>
        <w:jc w:val="left"/>
        <w:rPr>
          <w:sz w:val="22"/>
        </w:rPr>
      </w:pPr>
      <w:r>
        <w:rPr>
          <w:sz w:val="22"/>
        </w:rPr>
        <w:t>Permanent,</w:t>
      </w:r>
      <w:r>
        <w:rPr>
          <w:spacing w:val="-3"/>
          <w:sz w:val="22"/>
        </w:rPr>
        <w:t> </w:t>
      </w:r>
      <w:r>
        <w:rPr>
          <w:sz w:val="22"/>
        </w:rPr>
        <w:t>Since</w:t>
      </w:r>
      <w:r>
        <w:rPr>
          <w:spacing w:val="-4"/>
          <w:sz w:val="22"/>
        </w:rPr>
        <w:t> </w:t>
      </w:r>
      <w:r>
        <w:rPr>
          <w:sz w:val="22"/>
        </w:rPr>
        <w:t>IL</w:t>
      </w:r>
      <w:r>
        <w:rPr>
          <w:spacing w:val="-4"/>
          <w:sz w:val="22"/>
        </w:rPr>
        <w:t> </w:t>
      </w:r>
      <w:r>
        <w:rPr>
          <w:sz w:val="22"/>
        </w:rPr>
        <w:t>policy</w:t>
      </w:r>
      <w:r>
        <w:rPr>
          <w:spacing w:val="-4"/>
          <w:sz w:val="22"/>
        </w:rPr>
        <w:t> </w:t>
      </w:r>
      <w:r>
        <w:rPr>
          <w:sz w:val="22"/>
        </w:rPr>
        <w:t>was</w:t>
      </w:r>
      <w:r>
        <w:rPr>
          <w:spacing w:val="-4"/>
          <w:sz w:val="22"/>
        </w:rPr>
        <w:t> </w:t>
      </w:r>
      <w:r>
        <w:rPr>
          <w:sz w:val="22"/>
        </w:rPr>
        <w:t>revoked,</w:t>
      </w:r>
      <w:r>
        <w:rPr>
          <w:spacing w:val="-4"/>
          <w:sz w:val="22"/>
        </w:rPr>
        <w:t> </w:t>
      </w:r>
      <w:r>
        <w:rPr>
          <w:sz w:val="22"/>
        </w:rPr>
        <w:t>inserted</w:t>
      </w:r>
      <w:r>
        <w:rPr>
          <w:spacing w:val="-4"/>
          <w:sz w:val="22"/>
        </w:rPr>
        <w:t> </w:t>
      </w:r>
      <w:r>
        <w:rPr>
          <w:sz w:val="22"/>
        </w:rPr>
        <w:t>a</w:t>
      </w:r>
      <w:r>
        <w:rPr>
          <w:spacing w:val="-4"/>
          <w:sz w:val="22"/>
        </w:rPr>
        <w:t> </w:t>
      </w:r>
      <w:r>
        <w:rPr>
          <w:sz w:val="22"/>
        </w:rPr>
        <w:t>section</w:t>
      </w:r>
      <w:r>
        <w:rPr>
          <w:spacing w:val="-5"/>
          <w:sz w:val="22"/>
        </w:rPr>
        <w:t> </w:t>
      </w:r>
      <w:r>
        <w:rPr>
          <w:sz w:val="22"/>
        </w:rPr>
        <w:t>dealing</w:t>
      </w:r>
      <w:r>
        <w:rPr>
          <w:spacing w:val="-4"/>
          <w:sz w:val="22"/>
        </w:rPr>
        <w:t> </w:t>
      </w:r>
      <w:r>
        <w:rPr>
          <w:sz w:val="22"/>
        </w:rPr>
        <w:t>with</w:t>
      </w:r>
      <w:r>
        <w:rPr>
          <w:spacing w:val="-5"/>
          <w:sz w:val="22"/>
        </w:rPr>
        <w:t> </w:t>
      </w:r>
      <w:r>
        <w:rPr>
          <w:sz w:val="22"/>
        </w:rPr>
        <w:t>housing modifications and procedures.</w:t>
      </w:r>
    </w:p>
    <w:p>
      <w:pPr>
        <w:pStyle w:val="ListParagraph"/>
        <w:numPr>
          <w:ilvl w:val="2"/>
          <w:numId w:val="242"/>
        </w:numPr>
        <w:tabs>
          <w:tab w:pos="1439" w:val="left" w:leader="none"/>
        </w:tabs>
        <w:spacing w:line="252"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before="0"/>
        <w:ind w:left="1440" w:right="0" w:firstLine="0"/>
        <w:jc w:val="left"/>
        <w:rPr>
          <w:sz w:val="22"/>
        </w:rPr>
      </w:pPr>
      <w:r>
        <w:rPr>
          <w:sz w:val="22"/>
        </w:rPr>
        <w:t>Permanent,</w:t>
      </w:r>
      <w:r>
        <w:rPr>
          <w:spacing w:val="-9"/>
          <w:sz w:val="22"/>
        </w:rPr>
        <w:t> </w:t>
      </w:r>
      <w:r>
        <w:rPr>
          <w:sz w:val="22"/>
        </w:rPr>
        <w:t>removed</w:t>
      </w:r>
      <w:r>
        <w:rPr>
          <w:spacing w:val="-9"/>
          <w:sz w:val="22"/>
        </w:rPr>
        <w:t> </w:t>
      </w:r>
      <w:r>
        <w:rPr>
          <w:sz w:val="22"/>
        </w:rPr>
        <w:t>outdated</w:t>
      </w:r>
      <w:r>
        <w:rPr>
          <w:spacing w:val="-9"/>
          <w:sz w:val="22"/>
        </w:rPr>
        <w:t> </w:t>
      </w:r>
      <w:r>
        <w:rPr>
          <w:sz w:val="22"/>
        </w:rPr>
        <w:t>provisions</w:t>
      </w:r>
      <w:r>
        <w:rPr>
          <w:spacing w:val="-10"/>
          <w:sz w:val="22"/>
        </w:rPr>
        <w:t> </w:t>
      </w:r>
      <w:r>
        <w:rPr>
          <w:sz w:val="22"/>
        </w:rPr>
        <w:t>and</w:t>
      </w:r>
      <w:r>
        <w:rPr>
          <w:spacing w:val="-9"/>
          <w:sz w:val="22"/>
        </w:rPr>
        <w:t> </w:t>
      </w:r>
      <w:r>
        <w:rPr>
          <w:sz w:val="22"/>
        </w:rPr>
        <w:t>clarified</w:t>
      </w:r>
      <w:r>
        <w:rPr>
          <w:spacing w:val="-9"/>
          <w:sz w:val="22"/>
        </w:rPr>
        <w:t> </w:t>
      </w:r>
      <w:r>
        <w:rPr>
          <w:spacing w:val="-2"/>
          <w:sz w:val="22"/>
        </w:rPr>
        <w:t>intent</w:t>
      </w:r>
    </w:p>
    <w:p>
      <w:pPr>
        <w:tabs>
          <w:tab w:pos="1439" w:val="left" w:leader="none"/>
        </w:tabs>
        <w:spacing w:before="0"/>
        <w:ind w:left="1440" w:right="1171" w:hanging="1080"/>
        <w:jc w:val="left"/>
        <w:rPr>
          <w:sz w:val="22"/>
        </w:rPr>
      </w:pPr>
      <w:r>
        <w:rPr>
          <w:spacing w:val="-2"/>
          <w:sz w:val="22"/>
        </w:rPr>
        <w:t>9-12-14</w:t>
      </w:r>
      <w:r>
        <w:rPr>
          <w:sz w:val="22"/>
        </w:rPr>
        <w:tab/>
        <w:t>Updated</w:t>
      </w:r>
      <w:r>
        <w:rPr>
          <w:spacing w:val="-3"/>
          <w:sz w:val="22"/>
        </w:rPr>
        <w:t> </w:t>
      </w:r>
      <w:r>
        <w:rPr>
          <w:sz w:val="22"/>
        </w:rPr>
        <w:t>to</w:t>
      </w:r>
      <w:r>
        <w:rPr>
          <w:spacing w:val="-3"/>
          <w:sz w:val="22"/>
        </w:rPr>
        <w:t> </w:t>
      </w:r>
      <w:r>
        <w:rPr>
          <w:sz w:val="22"/>
        </w:rPr>
        <w:t>reflect</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Department</w:t>
      </w:r>
      <w:r>
        <w:rPr>
          <w:spacing w:val="-3"/>
          <w:sz w:val="22"/>
        </w:rPr>
        <w:t> </w:t>
      </w:r>
      <w:r>
        <w:rPr>
          <w:sz w:val="22"/>
        </w:rPr>
        <w:t>of</w:t>
      </w:r>
      <w:r>
        <w:rPr>
          <w:spacing w:val="-3"/>
          <w:sz w:val="22"/>
        </w:rPr>
        <w:t> </w:t>
      </w:r>
      <w:r>
        <w:rPr>
          <w:sz w:val="22"/>
        </w:rPr>
        <w:t>Central</w:t>
      </w:r>
      <w:r>
        <w:rPr>
          <w:spacing w:val="-3"/>
          <w:sz w:val="22"/>
        </w:rPr>
        <w:t> </w:t>
      </w:r>
      <w:r>
        <w:rPr>
          <w:sz w:val="22"/>
        </w:rPr>
        <w:t>Services</w:t>
      </w:r>
      <w:r>
        <w:rPr>
          <w:spacing w:val="-3"/>
          <w:sz w:val="22"/>
        </w:rPr>
        <w:t> </w:t>
      </w:r>
      <w:r>
        <w:rPr>
          <w:sz w:val="22"/>
        </w:rPr>
        <w:t>to</w:t>
      </w:r>
      <w:r>
        <w:rPr>
          <w:spacing w:val="-4"/>
          <w:sz w:val="22"/>
        </w:rPr>
        <w:t> </w:t>
      </w:r>
      <w:r>
        <w:rPr>
          <w:sz w:val="22"/>
        </w:rPr>
        <w:t>Division</w:t>
      </w:r>
      <w:r>
        <w:rPr>
          <w:spacing w:val="-3"/>
          <w:sz w:val="22"/>
        </w:rPr>
        <w:t> </w:t>
      </w:r>
      <w:r>
        <w:rPr>
          <w:sz w:val="22"/>
        </w:rPr>
        <w:t>of Capital Assets Management (DCAM)</w:t>
      </w:r>
    </w:p>
    <w:p>
      <w:pPr>
        <w:tabs>
          <w:tab w:pos="1439" w:val="left" w:leader="none"/>
        </w:tabs>
        <w:spacing w:before="1"/>
        <w:ind w:left="360" w:right="0" w:firstLine="0"/>
        <w:jc w:val="left"/>
        <w:rPr>
          <w:sz w:val="22"/>
        </w:rPr>
      </w:pPr>
      <w:r>
        <w:rPr>
          <w:spacing w:val="-2"/>
          <w:sz w:val="22"/>
        </w:rPr>
        <w:t>8-27-</w:t>
      </w:r>
      <w:r>
        <w:rPr>
          <w:spacing w:val="-5"/>
          <w:sz w:val="22"/>
        </w:rPr>
        <w:t>15</w:t>
      </w:r>
      <w:r>
        <w:rPr>
          <w:sz w:val="22"/>
        </w:rPr>
        <w:tab/>
        <w:t>Updated</w:t>
      </w:r>
      <w:r>
        <w:rPr>
          <w:spacing w:val="-8"/>
          <w:sz w:val="22"/>
        </w:rPr>
        <w:t> </w:t>
      </w:r>
      <w:r>
        <w:rPr>
          <w:sz w:val="22"/>
        </w:rPr>
        <w:t>Instructions</w:t>
      </w:r>
      <w:r>
        <w:rPr>
          <w:spacing w:val="-8"/>
          <w:sz w:val="22"/>
        </w:rPr>
        <w:t> </w:t>
      </w:r>
      <w:r>
        <w:rPr>
          <w:sz w:val="22"/>
        </w:rPr>
        <w:t>to</w:t>
      </w:r>
      <w:r>
        <w:rPr>
          <w:spacing w:val="-8"/>
          <w:sz w:val="22"/>
        </w:rPr>
        <w:t> </w:t>
      </w:r>
      <w:r>
        <w:rPr>
          <w:spacing w:val="-2"/>
          <w:sz w:val="22"/>
        </w:rPr>
        <w:t>Staff.</w:t>
      </w:r>
    </w:p>
    <w:p>
      <w:pPr>
        <w:tabs>
          <w:tab w:pos="1439" w:val="left" w:leader="none"/>
        </w:tabs>
        <w:spacing w:line="253" w:lineRule="exact" w:before="0"/>
        <w:ind w:left="360" w:right="0" w:firstLine="0"/>
        <w:jc w:val="left"/>
        <w:rPr>
          <w:sz w:val="22"/>
        </w:rPr>
      </w:pPr>
      <w:r>
        <w:rPr>
          <w:spacing w:val="-2"/>
          <w:sz w:val="22"/>
        </w:rPr>
        <w:t>9-11-</w:t>
      </w:r>
      <w:r>
        <w:rPr>
          <w:spacing w:val="-5"/>
          <w:sz w:val="22"/>
        </w:rPr>
        <w:t>20</w:t>
      </w:r>
      <w:r>
        <w:rPr>
          <w:sz w:val="22"/>
        </w:rPr>
        <w:tab/>
        <w:t>Update</w:t>
      </w:r>
      <w:r>
        <w:rPr>
          <w:spacing w:val="-8"/>
          <w:sz w:val="22"/>
        </w:rPr>
        <w:t> </w:t>
      </w:r>
      <w:r>
        <w:rPr>
          <w:sz w:val="22"/>
        </w:rPr>
        <w:t>provides</w:t>
      </w:r>
      <w:r>
        <w:rPr>
          <w:spacing w:val="-7"/>
          <w:sz w:val="22"/>
        </w:rPr>
        <w:t> </w:t>
      </w:r>
      <w:r>
        <w:rPr>
          <w:sz w:val="22"/>
        </w:rPr>
        <w:t>clarification</w:t>
      </w:r>
      <w:r>
        <w:rPr>
          <w:spacing w:val="-7"/>
          <w:sz w:val="22"/>
        </w:rPr>
        <w:t> </w:t>
      </w:r>
      <w:r>
        <w:rPr>
          <w:sz w:val="22"/>
        </w:rPr>
        <w:t>when</w:t>
      </w:r>
      <w:r>
        <w:rPr>
          <w:spacing w:val="-8"/>
          <w:sz w:val="22"/>
        </w:rPr>
        <w:t> </w:t>
      </w:r>
      <w:r>
        <w:rPr>
          <w:sz w:val="22"/>
        </w:rPr>
        <w:t>prior</w:t>
      </w:r>
      <w:r>
        <w:rPr>
          <w:spacing w:val="-7"/>
          <w:sz w:val="22"/>
        </w:rPr>
        <w:t> </w:t>
      </w:r>
      <w:r>
        <w:rPr>
          <w:sz w:val="22"/>
        </w:rPr>
        <w:t>approval</w:t>
      </w:r>
      <w:r>
        <w:rPr>
          <w:spacing w:val="-8"/>
          <w:sz w:val="22"/>
        </w:rPr>
        <w:t> </w:t>
      </w:r>
      <w:r>
        <w:rPr>
          <w:sz w:val="22"/>
        </w:rPr>
        <w:t>is</w:t>
      </w:r>
      <w:r>
        <w:rPr>
          <w:spacing w:val="-8"/>
          <w:sz w:val="22"/>
        </w:rPr>
        <w:t> </w:t>
      </w:r>
      <w:r>
        <w:rPr>
          <w:sz w:val="22"/>
        </w:rPr>
        <w:t>required</w:t>
      </w:r>
      <w:r>
        <w:rPr>
          <w:spacing w:val="-7"/>
          <w:sz w:val="22"/>
        </w:rPr>
        <w:t> </w:t>
      </w:r>
      <w:r>
        <w:rPr>
          <w:sz w:val="22"/>
        </w:rPr>
        <w:t>from</w:t>
      </w:r>
      <w:r>
        <w:rPr>
          <w:spacing w:val="-8"/>
          <w:sz w:val="22"/>
        </w:rPr>
        <w:t> </w:t>
      </w:r>
      <w:r>
        <w:rPr>
          <w:spacing w:val="-4"/>
          <w:sz w:val="22"/>
        </w:rPr>
        <w:t>RSA.</w:t>
      </w:r>
    </w:p>
    <w:p>
      <w:pPr>
        <w:tabs>
          <w:tab w:pos="1439" w:val="left" w:leader="none"/>
        </w:tabs>
        <w:spacing w:line="253" w:lineRule="exact" w:before="0"/>
        <w:ind w:left="360" w:right="0" w:firstLine="0"/>
        <w:jc w:val="left"/>
        <w:rPr>
          <w:sz w:val="22"/>
        </w:rPr>
      </w:pPr>
      <w:r>
        <w:rPr>
          <w:spacing w:val="-2"/>
          <w:sz w:val="22"/>
        </w:rPr>
        <w:t>9-11-</w:t>
      </w:r>
      <w:r>
        <w:rPr>
          <w:spacing w:val="-5"/>
          <w:sz w:val="22"/>
        </w:rPr>
        <w:t>22</w:t>
      </w:r>
      <w:r>
        <w:rPr>
          <w:sz w:val="22"/>
        </w:rPr>
        <w:tab/>
        <w:t>Revisions</w:t>
      </w:r>
      <w:r>
        <w:rPr>
          <w:spacing w:val="-7"/>
          <w:sz w:val="22"/>
        </w:rPr>
        <w:t> </w:t>
      </w:r>
      <w:r>
        <w:rPr>
          <w:sz w:val="22"/>
        </w:rPr>
        <w:t>to</w:t>
      </w:r>
      <w:r>
        <w:rPr>
          <w:spacing w:val="-8"/>
          <w:sz w:val="22"/>
        </w:rPr>
        <w:t> </w:t>
      </w:r>
      <w:r>
        <w:rPr>
          <w:sz w:val="22"/>
        </w:rPr>
        <w:t>section</w:t>
      </w:r>
      <w:r>
        <w:rPr>
          <w:spacing w:val="-7"/>
          <w:sz w:val="22"/>
        </w:rPr>
        <w:t> </w:t>
      </w:r>
      <w:r>
        <w:rPr>
          <w:sz w:val="22"/>
        </w:rPr>
        <w:t>(a)</w:t>
      </w:r>
      <w:r>
        <w:rPr>
          <w:spacing w:val="-9"/>
          <w:sz w:val="22"/>
        </w:rPr>
        <w:t> </w:t>
      </w:r>
      <w:r>
        <w:rPr>
          <w:sz w:val="22"/>
        </w:rPr>
        <w:t>clarifies</w:t>
      </w:r>
      <w:r>
        <w:rPr>
          <w:spacing w:val="-7"/>
          <w:sz w:val="22"/>
        </w:rPr>
        <w:t> </w:t>
      </w:r>
      <w:r>
        <w:rPr>
          <w:sz w:val="22"/>
        </w:rPr>
        <w:t>DRS</w:t>
      </w:r>
      <w:r>
        <w:rPr>
          <w:spacing w:val="-7"/>
          <w:sz w:val="22"/>
        </w:rPr>
        <w:t> </w:t>
      </w:r>
      <w:r>
        <w:rPr>
          <w:sz w:val="22"/>
        </w:rPr>
        <w:t>will</w:t>
      </w:r>
      <w:r>
        <w:rPr>
          <w:spacing w:val="-7"/>
          <w:sz w:val="22"/>
        </w:rPr>
        <w:t> </w:t>
      </w:r>
      <w:r>
        <w:rPr>
          <w:sz w:val="22"/>
        </w:rPr>
        <w:t>not</w:t>
      </w:r>
      <w:r>
        <w:rPr>
          <w:spacing w:val="-7"/>
          <w:sz w:val="22"/>
        </w:rPr>
        <w:t> </w:t>
      </w:r>
      <w:r>
        <w:rPr>
          <w:sz w:val="22"/>
        </w:rPr>
        <w:t>provide</w:t>
      </w:r>
      <w:r>
        <w:rPr>
          <w:spacing w:val="-7"/>
          <w:sz w:val="22"/>
        </w:rPr>
        <w:t> </w:t>
      </w:r>
      <w:r>
        <w:rPr>
          <w:sz w:val="22"/>
        </w:rPr>
        <w:t>elevator</w:t>
      </w:r>
      <w:r>
        <w:rPr>
          <w:spacing w:val="-7"/>
          <w:sz w:val="22"/>
        </w:rPr>
        <w:t> </w:t>
      </w:r>
      <w:r>
        <w:rPr>
          <w:sz w:val="22"/>
        </w:rPr>
        <w:t>modifications.</w:t>
      </w:r>
      <w:r>
        <w:rPr>
          <w:spacing w:val="-7"/>
          <w:sz w:val="22"/>
        </w:rPr>
        <w:t> </w:t>
      </w:r>
      <w:r>
        <w:rPr>
          <w:spacing w:val="-2"/>
          <w:sz w:val="22"/>
        </w:rPr>
        <w:t>Section</w:t>
      </w:r>
    </w:p>
    <w:p>
      <w:pPr>
        <w:spacing w:before="0"/>
        <w:ind w:left="1440" w:right="768" w:firstLine="0"/>
        <w:jc w:val="left"/>
        <w:rPr>
          <w:sz w:val="22"/>
        </w:rPr>
      </w:pPr>
      <w:r>
        <w:rPr>
          <w:sz w:val="22"/>
        </w:rPr>
        <w:t>(b) revisions clarify DRS will not provide permanent modifications to rental properties. DRS may assist with portable/removable modifications. Additional revision</w:t>
      </w:r>
      <w:r>
        <w:rPr>
          <w:spacing w:val="-4"/>
          <w:sz w:val="22"/>
        </w:rPr>
        <w:t> </w:t>
      </w:r>
      <w:r>
        <w:rPr>
          <w:sz w:val="22"/>
        </w:rPr>
        <w:t>requires</w:t>
      </w:r>
      <w:r>
        <w:rPr>
          <w:spacing w:val="-4"/>
          <w:sz w:val="22"/>
        </w:rPr>
        <w:t> </w:t>
      </w:r>
      <w:r>
        <w:rPr>
          <w:sz w:val="22"/>
        </w:rPr>
        <w:t>the</w:t>
      </w:r>
      <w:r>
        <w:rPr>
          <w:spacing w:val="-4"/>
          <w:sz w:val="22"/>
        </w:rPr>
        <w:t> </w:t>
      </w:r>
      <w:r>
        <w:rPr>
          <w:sz w:val="22"/>
        </w:rPr>
        <w:t>AT</w:t>
      </w:r>
      <w:r>
        <w:rPr>
          <w:spacing w:val="-5"/>
          <w:sz w:val="22"/>
        </w:rPr>
        <w:t> </w:t>
      </w:r>
      <w:r>
        <w:rPr>
          <w:sz w:val="22"/>
        </w:rPr>
        <w:t>Specialist’s</w:t>
      </w:r>
      <w:r>
        <w:rPr>
          <w:spacing w:val="-5"/>
          <w:sz w:val="22"/>
        </w:rPr>
        <w:t> </w:t>
      </w:r>
      <w:r>
        <w:rPr>
          <w:sz w:val="22"/>
        </w:rPr>
        <w:t>report</w:t>
      </w:r>
      <w:r>
        <w:rPr>
          <w:spacing w:val="-4"/>
          <w:sz w:val="22"/>
        </w:rPr>
        <w:t> </w:t>
      </w:r>
      <w:r>
        <w:rPr>
          <w:sz w:val="22"/>
        </w:rPr>
        <w:t>to</w:t>
      </w:r>
      <w:r>
        <w:rPr>
          <w:spacing w:val="-4"/>
          <w:sz w:val="22"/>
        </w:rPr>
        <w:t> </w:t>
      </w:r>
      <w:r>
        <w:rPr>
          <w:sz w:val="22"/>
        </w:rPr>
        <w:t>contain</w:t>
      </w:r>
      <w:r>
        <w:rPr>
          <w:spacing w:val="-4"/>
          <w:sz w:val="22"/>
        </w:rPr>
        <w:t> </w:t>
      </w:r>
      <w:r>
        <w:rPr>
          <w:sz w:val="22"/>
        </w:rPr>
        <w:t>pictures</w:t>
      </w:r>
      <w:r>
        <w:rPr>
          <w:spacing w:val="-4"/>
          <w:sz w:val="22"/>
        </w:rPr>
        <w:t> </w:t>
      </w:r>
      <w:r>
        <w:rPr>
          <w:sz w:val="22"/>
        </w:rPr>
        <w:t>of</w:t>
      </w:r>
      <w:r>
        <w:rPr>
          <w:spacing w:val="-4"/>
          <w:sz w:val="22"/>
        </w:rPr>
        <w:t> </w:t>
      </w:r>
      <w:r>
        <w:rPr>
          <w:sz w:val="22"/>
        </w:rPr>
        <w:t>completed</w:t>
      </w:r>
      <w:r>
        <w:rPr>
          <w:spacing w:val="-4"/>
          <w:sz w:val="22"/>
        </w:rPr>
        <w:t> </w:t>
      </w:r>
      <w:r>
        <w:rPr>
          <w:sz w:val="22"/>
        </w:rPr>
        <w:t>work</w:t>
      </w:r>
      <w:r>
        <w:rPr>
          <w:spacing w:val="-4"/>
          <w:sz w:val="22"/>
        </w:rPr>
        <w:t> </w:t>
      </w:r>
      <w:r>
        <w:rPr>
          <w:sz w:val="22"/>
        </w:rPr>
        <w:t>and signed statement of satisfaction from client.</w:t>
      </w:r>
    </w:p>
    <w:p>
      <w:pPr>
        <w:pStyle w:val="ListParagraph"/>
        <w:numPr>
          <w:ilvl w:val="2"/>
          <w:numId w:val="243"/>
        </w:numPr>
        <w:tabs>
          <w:tab w:pos="1439" w:val="left" w:leader="none"/>
        </w:tabs>
        <w:spacing w:line="253" w:lineRule="exact" w:before="0" w:after="0"/>
        <w:ind w:left="1439" w:right="0" w:hanging="1080"/>
        <w:jc w:val="left"/>
        <w:rPr>
          <w:sz w:val="22"/>
        </w:rPr>
      </w:pPr>
      <w:r>
        <w:rPr>
          <w:sz w:val="22"/>
        </w:rPr>
        <w:t>Revised</w:t>
      </w:r>
      <w:r>
        <w:rPr>
          <w:spacing w:val="-9"/>
          <w:sz w:val="22"/>
        </w:rPr>
        <w:t> </w:t>
      </w:r>
      <w:r>
        <w:rPr>
          <w:sz w:val="22"/>
        </w:rPr>
        <w:t>OMES</w:t>
      </w:r>
      <w:r>
        <w:rPr>
          <w:spacing w:val="-8"/>
          <w:sz w:val="22"/>
        </w:rPr>
        <w:t> </w:t>
      </w:r>
      <w:r>
        <w:rPr>
          <w:sz w:val="22"/>
        </w:rPr>
        <w:t>language</w:t>
      </w:r>
      <w:r>
        <w:rPr>
          <w:spacing w:val="-9"/>
          <w:sz w:val="22"/>
        </w:rPr>
        <w:t> </w:t>
      </w:r>
      <w:r>
        <w:rPr>
          <w:sz w:val="22"/>
        </w:rPr>
        <w:t>to</w:t>
      </w:r>
      <w:r>
        <w:rPr>
          <w:spacing w:val="-8"/>
          <w:sz w:val="22"/>
        </w:rPr>
        <w:t> </w:t>
      </w:r>
      <w:r>
        <w:rPr>
          <w:sz w:val="22"/>
        </w:rPr>
        <w:t>read</w:t>
      </w:r>
      <w:r>
        <w:rPr>
          <w:spacing w:val="-8"/>
          <w:sz w:val="22"/>
        </w:rPr>
        <w:t> </w:t>
      </w:r>
      <w:r>
        <w:rPr>
          <w:sz w:val="22"/>
        </w:rPr>
        <w:t>OMES-</w:t>
      </w:r>
      <w:r>
        <w:rPr>
          <w:spacing w:val="-4"/>
          <w:sz w:val="22"/>
        </w:rPr>
        <w:t>DCAM.</w:t>
      </w:r>
    </w:p>
    <w:p>
      <w:pPr>
        <w:pStyle w:val="ListParagraph"/>
        <w:numPr>
          <w:ilvl w:val="2"/>
          <w:numId w:val="243"/>
        </w:numPr>
        <w:tabs>
          <w:tab w:pos="1440" w:val="left" w:leader="none"/>
        </w:tabs>
        <w:spacing w:line="240" w:lineRule="auto" w:before="0" w:after="0"/>
        <w:ind w:left="1440" w:right="1406" w:hanging="1080"/>
        <w:jc w:val="left"/>
        <w:rPr>
          <w:sz w:val="22"/>
        </w:rPr>
      </w:pPr>
      <w:r>
        <w:rPr>
          <w:sz w:val="22"/>
        </w:rPr>
        <w:t>Added</w:t>
      </w:r>
      <w:r>
        <w:rPr>
          <w:spacing w:val="-3"/>
          <w:sz w:val="22"/>
        </w:rPr>
        <w:t> </w:t>
      </w:r>
      <w:r>
        <w:rPr>
          <w:sz w:val="22"/>
        </w:rPr>
        <w:t>new</w:t>
      </w:r>
      <w:r>
        <w:rPr>
          <w:spacing w:val="-4"/>
          <w:sz w:val="22"/>
        </w:rPr>
        <w:t> </w:t>
      </w:r>
      <w:r>
        <w:rPr>
          <w:sz w:val="22"/>
        </w:rPr>
        <w:t>section</w:t>
      </w:r>
      <w:r>
        <w:rPr>
          <w:spacing w:val="-3"/>
          <w:sz w:val="22"/>
        </w:rPr>
        <w:t> </w:t>
      </w:r>
      <w:r>
        <w:rPr>
          <w:sz w:val="22"/>
        </w:rPr>
        <w:t>(c)</w:t>
      </w:r>
      <w:r>
        <w:rPr>
          <w:spacing w:val="-4"/>
          <w:sz w:val="22"/>
        </w:rPr>
        <w:t> </w:t>
      </w:r>
      <w:r>
        <w:rPr>
          <w:sz w:val="22"/>
        </w:rPr>
        <w:t>(1)</w:t>
      </w:r>
      <w:r>
        <w:rPr>
          <w:spacing w:val="-3"/>
          <w:sz w:val="22"/>
        </w:rPr>
        <w:t> </w:t>
      </w:r>
      <w:r>
        <w:rPr>
          <w:sz w:val="22"/>
        </w:rPr>
        <w:t>and</w:t>
      </w:r>
      <w:r>
        <w:rPr>
          <w:spacing w:val="-3"/>
          <w:sz w:val="22"/>
        </w:rPr>
        <w:t> </w:t>
      </w:r>
      <w:r>
        <w:rPr>
          <w:sz w:val="22"/>
        </w:rPr>
        <w:t>(2)</w:t>
      </w:r>
      <w:r>
        <w:rPr>
          <w:spacing w:val="-3"/>
          <w:sz w:val="22"/>
        </w:rPr>
        <w:t> </w:t>
      </w:r>
      <w:r>
        <w:rPr>
          <w:sz w:val="22"/>
        </w:rPr>
        <w:t>for</w:t>
      </w:r>
      <w:r>
        <w:rPr>
          <w:spacing w:val="-3"/>
          <w:sz w:val="22"/>
        </w:rPr>
        <w:t> </w:t>
      </w:r>
      <w:r>
        <w:rPr>
          <w:sz w:val="22"/>
        </w:rPr>
        <w:t>AT</w:t>
      </w:r>
      <w:r>
        <w:rPr>
          <w:spacing w:val="-3"/>
          <w:sz w:val="22"/>
        </w:rPr>
        <w:t> </w:t>
      </w:r>
      <w:r>
        <w:rPr>
          <w:sz w:val="22"/>
        </w:rPr>
        <w:t>Specialist</w:t>
      </w:r>
      <w:r>
        <w:rPr>
          <w:spacing w:val="-3"/>
          <w:sz w:val="22"/>
        </w:rPr>
        <w:t> </w:t>
      </w:r>
      <w:r>
        <w:rPr>
          <w:sz w:val="22"/>
        </w:rPr>
        <w:t>completing</w:t>
      </w:r>
      <w:r>
        <w:rPr>
          <w:spacing w:val="-3"/>
          <w:sz w:val="22"/>
        </w:rPr>
        <w:t> </w:t>
      </w:r>
      <w:r>
        <w:rPr>
          <w:sz w:val="22"/>
        </w:rPr>
        <w:t>the</w:t>
      </w:r>
      <w:r>
        <w:rPr>
          <w:spacing w:val="-3"/>
          <w:sz w:val="22"/>
        </w:rPr>
        <w:t> </w:t>
      </w:r>
      <w:r>
        <w:rPr>
          <w:sz w:val="22"/>
        </w:rPr>
        <w:t>initial</w:t>
      </w:r>
      <w:r>
        <w:rPr>
          <w:spacing w:val="-4"/>
          <w:sz w:val="22"/>
        </w:rPr>
        <w:t> </w:t>
      </w:r>
      <w:r>
        <w:rPr>
          <w:sz w:val="22"/>
        </w:rPr>
        <w:t>home evaluation and the timeframe for report completion.</w:t>
      </w:r>
    </w:p>
    <w:p>
      <w:pPr>
        <w:pStyle w:val="ListParagraph"/>
        <w:spacing w:after="0" w:line="240" w:lineRule="auto"/>
        <w:jc w:val="left"/>
        <w:rPr>
          <w:sz w:val="22"/>
        </w:rPr>
        <w:sectPr>
          <w:pgSz w:w="12240" w:h="15840"/>
          <w:pgMar w:top="1360" w:bottom="280" w:left="1080" w:right="720"/>
        </w:sectPr>
      </w:pPr>
    </w:p>
    <w:p>
      <w:pPr>
        <w:pStyle w:val="Heading2"/>
        <w:spacing w:line="208" w:lineRule="auto" w:before="96"/>
        <w:ind w:right="775"/>
      </w:pPr>
      <w:bookmarkStart w:name="612:10-7-222.  Rehabilitation technology" w:id="223"/>
      <w:bookmarkEnd w:id="223"/>
      <w:r>
        <w:rPr>
          <w:b w:val="0"/>
        </w:rPr>
      </w:r>
      <w:r>
        <w:rPr/>
        <w:t>612:10-7-222.</w:t>
      </w:r>
      <w:r>
        <w:rPr>
          <w:spacing w:val="40"/>
        </w:rPr>
        <w:t> </w:t>
      </w:r>
      <w:r>
        <w:rPr/>
        <w:t>Rehabilitation</w:t>
      </w:r>
      <w:r>
        <w:rPr>
          <w:spacing w:val="-7"/>
        </w:rPr>
        <w:t> </w:t>
      </w:r>
      <w:r>
        <w:rPr/>
        <w:t>technology,</w:t>
      </w:r>
      <w:r>
        <w:rPr>
          <w:spacing w:val="-5"/>
        </w:rPr>
        <w:t> </w:t>
      </w:r>
      <w:r>
        <w:rPr/>
        <w:t>assistive</w:t>
      </w:r>
      <w:r>
        <w:rPr>
          <w:spacing w:val="-6"/>
        </w:rPr>
        <w:t> </w:t>
      </w:r>
      <w:r>
        <w:rPr/>
        <w:t>technology</w:t>
      </w:r>
      <w:r>
        <w:rPr>
          <w:spacing w:val="-5"/>
        </w:rPr>
        <w:t> </w:t>
      </w:r>
      <w:r>
        <w:rPr/>
        <w:t>devices</w:t>
      </w:r>
      <w:r>
        <w:rPr>
          <w:spacing w:val="-6"/>
        </w:rPr>
        <w:t> </w:t>
      </w:r>
      <w:r>
        <w:rPr/>
        <w:t>and assistive technology services</w:t>
      </w:r>
    </w:p>
    <w:p>
      <w:pPr>
        <w:pStyle w:val="ListParagraph"/>
        <w:numPr>
          <w:ilvl w:val="0"/>
          <w:numId w:val="244"/>
        </w:numPr>
        <w:tabs>
          <w:tab w:pos="786" w:val="left" w:leader="none"/>
        </w:tabs>
        <w:spacing w:line="208" w:lineRule="auto" w:before="240" w:after="0"/>
        <w:ind w:left="360" w:right="778" w:firstLine="0"/>
        <w:jc w:val="left"/>
        <w:rPr>
          <w:b/>
          <w:sz w:val="24"/>
        </w:rPr>
      </w:pPr>
      <w:r>
        <w:rPr>
          <w:sz w:val="24"/>
        </w:rPr>
        <w:t>Rehabilitation engineering means the systematic application of engineering sciences to design, develop, adapt, test, evaluate, apply, and distribute technological solutions</w:t>
      </w:r>
      <w:r>
        <w:rPr>
          <w:spacing w:val="-4"/>
          <w:sz w:val="24"/>
        </w:rPr>
        <w:t> </w:t>
      </w:r>
      <w:r>
        <w:rPr>
          <w:sz w:val="24"/>
        </w:rPr>
        <w:t>to</w:t>
      </w:r>
      <w:r>
        <w:rPr>
          <w:spacing w:val="-3"/>
          <w:sz w:val="24"/>
        </w:rPr>
        <w:t> </w:t>
      </w:r>
      <w:r>
        <w:rPr>
          <w:sz w:val="24"/>
        </w:rPr>
        <w:t>problems</w:t>
      </w:r>
      <w:r>
        <w:rPr>
          <w:spacing w:val="-4"/>
          <w:sz w:val="24"/>
        </w:rPr>
        <w:t> </w:t>
      </w:r>
      <w:r>
        <w:rPr>
          <w:sz w:val="24"/>
        </w:rPr>
        <w:t>confronted</w:t>
      </w:r>
      <w:r>
        <w:rPr>
          <w:spacing w:val="-4"/>
          <w:sz w:val="24"/>
        </w:rPr>
        <w:t> </w:t>
      </w:r>
      <w:r>
        <w:rPr>
          <w:sz w:val="24"/>
        </w:rPr>
        <w:t>by</w:t>
      </w:r>
      <w:r>
        <w:rPr>
          <w:spacing w:val="-4"/>
          <w:sz w:val="24"/>
        </w:rPr>
        <w:t> </w:t>
      </w:r>
      <w:r>
        <w:rPr>
          <w:sz w:val="24"/>
        </w:rPr>
        <w:t>individuals</w:t>
      </w:r>
      <w:r>
        <w:rPr>
          <w:spacing w:val="-4"/>
          <w:sz w:val="24"/>
        </w:rPr>
        <w:t> </w:t>
      </w:r>
      <w:r>
        <w:rPr>
          <w:sz w:val="24"/>
        </w:rPr>
        <w:t>with</w:t>
      </w:r>
      <w:r>
        <w:rPr>
          <w:spacing w:val="-4"/>
          <w:sz w:val="24"/>
        </w:rPr>
        <w:t> </w:t>
      </w:r>
      <w:r>
        <w:rPr>
          <w:sz w:val="24"/>
        </w:rPr>
        <w:t>disabilities</w:t>
      </w:r>
      <w:r>
        <w:rPr>
          <w:spacing w:val="-4"/>
          <w:sz w:val="24"/>
        </w:rPr>
        <w:t> </w:t>
      </w:r>
      <w:r>
        <w:rPr>
          <w:sz w:val="24"/>
        </w:rPr>
        <w:t>in</w:t>
      </w:r>
      <w:r>
        <w:rPr>
          <w:spacing w:val="-4"/>
          <w:sz w:val="24"/>
        </w:rPr>
        <w:t> </w:t>
      </w:r>
      <w:r>
        <w:rPr>
          <w:sz w:val="24"/>
        </w:rPr>
        <w:t>functional</w:t>
      </w:r>
      <w:r>
        <w:rPr>
          <w:spacing w:val="-4"/>
          <w:sz w:val="24"/>
        </w:rPr>
        <w:t> </w:t>
      </w:r>
      <w:r>
        <w:rPr>
          <w:sz w:val="24"/>
        </w:rPr>
        <w:t>areas,</w:t>
      </w:r>
      <w:r>
        <w:rPr>
          <w:spacing w:val="-3"/>
          <w:sz w:val="24"/>
        </w:rPr>
        <w:t> </w:t>
      </w:r>
      <w:r>
        <w:rPr>
          <w:sz w:val="24"/>
        </w:rPr>
        <w:t>such as mobility, communications, hearing, vision, and cognition, and in activities associated with employment, independent living, education, and integration into the community. </w:t>
      </w:r>
      <w:r>
        <w:rPr>
          <w:b/>
          <w:sz w:val="24"/>
        </w:rPr>
        <w:t>1</w:t>
      </w:r>
    </w:p>
    <w:p>
      <w:pPr>
        <w:pStyle w:val="ListParagraph"/>
        <w:numPr>
          <w:ilvl w:val="0"/>
          <w:numId w:val="244"/>
        </w:numPr>
        <w:tabs>
          <w:tab w:pos="786" w:val="left" w:leader="none"/>
        </w:tabs>
        <w:spacing w:line="208" w:lineRule="auto" w:before="239" w:after="0"/>
        <w:ind w:left="360" w:right="845" w:firstLine="0"/>
        <w:jc w:val="left"/>
        <w:rPr>
          <w:b/>
          <w:sz w:val="24"/>
        </w:rPr>
      </w:pPr>
      <w:r>
        <w:rPr>
          <w:sz w:val="24"/>
        </w:rPr>
        <w:t>Rehabilitation</w:t>
      </w:r>
      <w:r>
        <w:rPr>
          <w:spacing w:val="-5"/>
          <w:sz w:val="24"/>
        </w:rPr>
        <w:t> </w:t>
      </w:r>
      <w:r>
        <w:rPr>
          <w:sz w:val="24"/>
        </w:rPr>
        <w:t>technology</w:t>
      </w:r>
      <w:r>
        <w:rPr>
          <w:spacing w:val="-5"/>
          <w:sz w:val="24"/>
        </w:rPr>
        <w:t> </w:t>
      </w:r>
      <w:r>
        <w:rPr>
          <w:sz w:val="24"/>
        </w:rPr>
        <w:t>is</w:t>
      </w:r>
      <w:r>
        <w:rPr>
          <w:spacing w:val="-5"/>
          <w:sz w:val="24"/>
        </w:rPr>
        <w:t> </w:t>
      </w:r>
      <w:r>
        <w:rPr>
          <w:sz w:val="24"/>
        </w:rPr>
        <w:t>the</w:t>
      </w:r>
      <w:r>
        <w:rPr>
          <w:spacing w:val="-5"/>
          <w:sz w:val="24"/>
        </w:rPr>
        <w:t> </w:t>
      </w:r>
      <w:r>
        <w:rPr>
          <w:sz w:val="24"/>
        </w:rPr>
        <w:t>systematic</w:t>
      </w:r>
      <w:r>
        <w:rPr>
          <w:spacing w:val="-5"/>
          <w:sz w:val="24"/>
        </w:rPr>
        <w:t> </w:t>
      </w:r>
      <w:r>
        <w:rPr>
          <w:sz w:val="24"/>
        </w:rPr>
        <w:t>application</w:t>
      </w:r>
      <w:r>
        <w:rPr>
          <w:spacing w:val="-5"/>
          <w:sz w:val="24"/>
        </w:rPr>
        <w:t> </w:t>
      </w:r>
      <w:r>
        <w:rPr>
          <w:sz w:val="24"/>
        </w:rPr>
        <w:t>of</w:t>
      </w:r>
      <w:r>
        <w:rPr>
          <w:spacing w:val="-4"/>
          <w:sz w:val="24"/>
        </w:rPr>
        <w:t> </w:t>
      </w:r>
      <w:r>
        <w:rPr>
          <w:sz w:val="24"/>
        </w:rPr>
        <w:t>technologies,</w:t>
      </w:r>
      <w:r>
        <w:rPr>
          <w:spacing w:val="-4"/>
          <w:sz w:val="24"/>
        </w:rPr>
        <w:t> </w:t>
      </w:r>
      <w:r>
        <w:rPr>
          <w:sz w:val="24"/>
        </w:rPr>
        <w:t>engineering methodologies, or scientific principles to meet the needs of, and address the barriers confronted by, individuals with disabilities in areas which include education, rehabilitation, employment, transportation, independent living and recreation. The term includes rehabilitation engineering, assistive technology devices, and assistive technology services. </w:t>
      </w:r>
      <w:r>
        <w:rPr>
          <w:b/>
          <w:sz w:val="24"/>
        </w:rPr>
        <w:t>2, 3</w:t>
      </w:r>
    </w:p>
    <w:p>
      <w:pPr>
        <w:pStyle w:val="ListParagraph"/>
        <w:numPr>
          <w:ilvl w:val="1"/>
          <w:numId w:val="244"/>
        </w:numPr>
        <w:tabs>
          <w:tab w:pos="1326" w:val="left" w:leader="none"/>
        </w:tabs>
        <w:spacing w:line="208" w:lineRule="auto" w:before="240" w:after="0"/>
        <w:ind w:left="900" w:right="824" w:firstLine="0"/>
        <w:jc w:val="left"/>
        <w:rPr>
          <w:sz w:val="24"/>
        </w:rPr>
      </w:pPr>
      <w:r>
        <w:rPr>
          <w:sz w:val="24"/>
        </w:rPr>
        <w:t>Home and vehicular modification, telecommunications, sensory, and other technological</w:t>
      </w:r>
      <w:r>
        <w:rPr>
          <w:spacing w:val="-4"/>
          <w:sz w:val="24"/>
        </w:rPr>
        <w:t> </w:t>
      </w:r>
      <w:r>
        <w:rPr>
          <w:sz w:val="24"/>
        </w:rPr>
        <w:t>aids</w:t>
      </w:r>
      <w:r>
        <w:rPr>
          <w:spacing w:val="-4"/>
          <w:sz w:val="24"/>
        </w:rPr>
        <w:t> </w:t>
      </w:r>
      <w:r>
        <w:rPr>
          <w:sz w:val="24"/>
        </w:rPr>
        <w:t>and</w:t>
      </w:r>
      <w:r>
        <w:rPr>
          <w:spacing w:val="-3"/>
          <w:sz w:val="24"/>
        </w:rPr>
        <w:t> </w:t>
      </w:r>
      <w:r>
        <w:rPr>
          <w:sz w:val="24"/>
        </w:rPr>
        <w:t>devices,</w:t>
      </w:r>
      <w:r>
        <w:rPr>
          <w:spacing w:val="-3"/>
          <w:sz w:val="24"/>
        </w:rPr>
        <w:t> </w:t>
      </w:r>
      <w:r>
        <w:rPr>
          <w:sz w:val="24"/>
        </w:rPr>
        <w:t>other</w:t>
      </w:r>
      <w:r>
        <w:rPr>
          <w:spacing w:val="-3"/>
          <w:sz w:val="24"/>
        </w:rPr>
        <w:t> </w:t>
      </w:r>
      <w:r>
        <w:rPr>
          <w:sz w:val="24"/>
        </w:rPr>
        <w:t>assistive</w:t>
      </w:r>
      <w:r>
        <w:rPr>
          <w:spacing w:val="-4"/>
          <w:sz w:val="24"/>
        </w:rPr>
        <w:t> </w:t>
      </w:r>
      <w:r>
        <w:rPr>
          <w:sz w:val="24"/>
        </w:rPr>
        <w:t>devices</w:t>
      </w:r>
      <w:r>
        <w:rPr>
          <w:spacing w:val="-4"/>
          <w:sz w:val="24"/>
        </w:rPr>
        <w:t> </w:t>
      </w:r>
      <w:r>
        <w:rPr>
          <w:sz w:val="24"/>
        </w:rPr>
        <w:t>including,</w:t>
      </w:r>
      <w:r>
        <w:rPr>
          <w:spacing w:val="-3"/>
          <w:sz w:val="24"/>
        </w:rPr>
        <w:t> </w:t>
      </w:r>
      <w:r>
        <w:rPr>
          <w:sz w:val="24"/>
        </w:rPr>
        <w:t>but</w:t>
      </w:r>
      <w:r>
        <w:rPr>
          <w:spacing w:val="-3"/>
          <w:sz w:val="24"/>
        </w:rPr>
        <w:t> </w:t>
      </w:r>
      <w:r>
        <w:rPr>
          <w:sz w:val="24"/>
        </w:rPr>
        <w:t>not</w:t>
      </w:r>
      <w:r>
        <w:rPr>
          <w:spacing w:val="-3"/>
          <w:sz w:val="24"/>
        </w:rPr>
        <w:t> </w:t>
      </w:r>
      <w:r>
        <w:rPr>
          <w:sz w:val="24"/>
        </w:rPr>
        <w:t>limited</w:t>
      </w:r>
      <w:r>
        <w:rPr>
          <w:spacing w:val="-4"/>
          <w:sz w:val="24"/>
        </w:rPr>
        <w:t> </w:t>
      </w:r>
      <w:r>
        <w:rPr>
          <w:sz w:val="24"/>
        </w:rPr>
        <w:t>to hearing aids, low vision aids and wheelchairs. This includes the hardware portion of neuroprosthetic devices, such as cochlear implants, visual prosthetics, and motor prosthetic devices.</w:t>
      </w:r>
    </w:p>
    <w:p>
      <w:pPr>
        <w:pStyle w:val="ListParagraph"/>
        <w:numPr>
          <w:ilvl w:val="1"/>
          <w:numId w:val="244"/>
        </w:numPr>
        <w:tabs>
          <w:tab w:pos="1326" w:val="left" w:leader="none"/>
        </w:tabs>
        <w:spacing w:line="208" w:lineRule="auto" w:before="239" w:after="0"/>
        <w:ind w:left="900" w:right="879" w:firstLine="0"/>
        <w:jc w:val="left"/>
        <w:rPr>
          <w:sz w:val="24"/>
        </w:rPr>
      </w:pPr>
      <w:r>
        <w:rPr>
          <w:sz w:val="24"/>
        </w:rPr>
        <w:t>Does</w:t>
      </w:r>
      <w:r>
        <w:rPr>
          <w:spacing w:val="-4"/>
          <w:sz w:val="24"/>
        </w:rPr>
        <w:t> </w:t>
      </w:r>
      <w:r>
        <w:rPr>
          <w:sz w:val="24"/>
        </w:rPr>
        <w:t>not</w:t>
      </w:r>
      <w:r>
        <w:rPr>
          <w:spacing w:val="-3"/>
          <w:sz w:val="24"/>
        </w:rPr>
        <w:t> </w:t>
      </w:r>
      <w:r>
        <w:rPr>
          <w:sz w:val="24"/>
        </w:rPr>
        <w:t>include</w:t>
      </w:r>
      <w:r>
        <w:rPr>
          <w:spacing w:val="-3"/>
          <w:sz w:val="24"/>
        </w:rPr>
        <w:t> </w:t>
      </w:r>
      <w:r>
        <w:rPr>
          <w:sz w:val="24"/>
        </w:rPr>
        <w:t>medical</w:t>
      </w:r>
      <w:r>
        <w:rPr>
          <w:spacing w:val="-4"/>
          <w:sz w:val="24"/>
        </w:rPr>
        <w:t> </w:t>
      </w:r>
      <w:r>
        <w:rPr>
          <w:sz w:val="24"/>
        </w:rPr>
        <w:t>and</w:t>
      </w:r>
      <w:r>
        <w:rPr>
          <w:spacing w:val="-4"/>
          <w:sz w:val="24"/>
        </w:rPr>
        <w:t> </w:t>
      </w:r>
      <w:r>
        <w:rPr>
          <w:sz w:val="24"/>
        </w:rPr>
        <w:t>surgical</w:t>
      </w:r>
      <w:r>
        <w:rPr>
          <w:spacing w:val="-4"/>
          <w:sz w:val="24"/>
        </w:rPr>
        <w:t> </w:t>
      </w:r>
      <w:r>
        <w:rPr>
          <w:sz w:val="24"/>
        </w:rPr>
        <w:t>procedures</w:t>
      </w:r>
      <w:r>
        <w:rPr>
          <w:spacing w:val="-4"/>
          <w:sz w:val="24"/>
        </w:rPr>
        <w:t> </w:t>
      </w:r>
      <w:r>
        <w:rPr>
          <w:sz w:val="24"/>
        </w:rPr>
        <w:t>required</w:t>
      </w:r>
      <w:r>
        <w:rPr>
          <w:spacing w:val="-4"/>
          <w:sz w:val="24"/>
        </w:rPr>
        <w:t> </w:t>
      </w:r>
      <w:r>
        <w:rPr>
          <w:sz w:val="24"/>
        </w:rPr>
        <w:t>for</w:t>
      </w:r>
      <w:r>
        <w:rPr>
          <w:spacing w:val="-3"/>
          <w:sz w:val="24"/>
        </w:rPr>
        <w:t> </w:t>
      </w:r>
      <w:r>
        <w:rPr>
          <w:sz w:val="24"/>
        </w:rPr>
        <w:t>implantation</w:t>
      </w:r>
      <w:r>
        <w:rPr>
          <w:spacing w:val="-4"/>
          <w:sz w:val="24"/>
        </w:rPr>
        <w:t> </w:t>
      </w:r>
      <w:r>
        <w:rPr>
          <w:sz w:val="24"/>
        </w:rPr>
        <w:t>of neuroprosthetic devices.</w:t>
      </w:r>
    </w:p>
    <w:p>
      <w:pPr>
        <w:pStyle w:val="ListParagraph"/>
        <w:numPr>
          <w:ilvl w:val="0"/>
          <w:numId w:val="244"/>
        </w:numPr>
        <w:tabs>
          <w:tab w:pos="773" w:val="left" w:leader="none"/>
        </w:tabs>
        <w:spacing w:line="208" w:lineRule="auto" w:before="240" w:after="0"/>
        <w:ind w:left="360" w:right="872" w:firstLine="0"/>
        <w:jc w:val="left"/>
        <w:rPr>
          <w:sz w:val="24"/>
        </w:rPr>
      </w:pPr>
      <w:r>
        <w:rPr>
          <w:sz w:val="24"/>
        </w:rPr>
        <w:t>Rehabilitation</w:t>
      </w:r>
      <w:r>
        <w:rPr>
          <w:spacing w:val="-5"/>
          <w:sz w:val="24"/>
        </w:rPr>
        <w:t> </w:t>
      </w:r>
      <w:r>
        <w:rPr>
          <w:sz w:val="24"/>
        </w:rPr>
        <w:t>technology</w:t>
      </w:r>
      <w:r>
        <w:rPr>
          <w:spacing w:val="-5"/>
          <w:sz w:val="24"/>
        </w:rPr>
        <w:t> </w:t>
      </w:r>
      <w:r>
        <w:rPr>
          <w:sz w:val="24"/>
        </w:rPr>
        <w:t>services,</w:t>
      </w:r>
      <w:r>
        <w:rPr>
          <w:spacing w:val="-4"/>
          <w:sz w:val="24"/>
        </w:rPr>
        <w:t> </w:t>
      </w:r>
      <w:r>
        <w:rPr>
          <w:sz w:val="24"/>
        </w:rPr>
        <w:t>including</w:t>
      </w:r>
      <w:r>
        <w:rPr>
          <w:spacing w:val="-5"/>
          <w:sz w:val="24"/>
        </w:rPr>
        <w:t> </w:t>
      </w:r>
      <w:r>
        <w:rPr>
          <w:sz w:val="24"/>
        </w:rPr>
        <w:t>prescribed</w:t>
      </w:r>
      <w:r>
        <w:rPr>
          <w:spacing w:val="-5"/>
          <w:sz w:val="24"/>
        </w:rPr>
        <w:t> </w:t>
      </w:r>
      <w:r>
        <w:rPr>
          <w:sz w:val="24"/>
        </w:rPr>
        <w:t>adaptive</w:t>
      </w:r>
      <w:r>
        <w:rPr>
          <w:spacing w:val="-5"/>
          <w:sz w:val="24"/>
        </w:rPr>
        <w:t> </w:t>
      </w:r>
      <w:r>
        <w:rPr>
          <w:sz w:val="24"/>
        </w:rPr>
        <w:t>aids</w:t>
      </w:r>
      <w:r>
        <w:rPr>
          <w:spacing w:val="-5"/>
          <w:sz w:val="24"/>
        </w:rPr>
        <w:t> </w:t>
      </w:r>
      <w:r>
        <w:rPr>
          <w:sz w:val="24"/>
        </w:rPr>
        <w:t>and</w:t>
      </w:r>
      <w:r>
        <w:rPr>
          <w:spacing w:val="-4"/>
          <w:sz w:val="24"/>
        </w:rPr>
        <w:t> </w:t>
      </w:r>
      <w:r>
        <w:rPr>
          <w:sz w:val="24"/>
        </w:rPr>
        <w:t>devices, must be provided by qualified persons. </w:t>
      </w:r>
      <w:r>
        <w:rPr>
          <w:b/>
          <w:sz w:val="24"/>
        </w:rPr>
        <w:t>4 </w:t>
      </w:r>
      <w:r>
        <w:rPr>
          <w:sz w:val="24"/>
        </w:rPr>
        <w:t>Prescriptions/recommendations for nonmedical adaptive technology may be accepted from individuals listed in 74 O.S. 85.7(12) including physicians, rehabilitation engineers, qualified rehabilitation technicians or sensory aids specialists </w:t>
      </w:r>
      <w:r>
        <w:rPr>
          <w:b/>
          <w:sz w:val="24"/>
        </w:rPr>
        <w:t>5 </w:t>
      </w:r>
      <w:r>
        <w:rPr>
          <w:sz w:val="24"/>
        </w:rPr>
        <w:t>and from qualified assistive technology specialists and assistive technology professionals.</w:t>
      </w:r>
    </w:p>
    <w:p>
      <w:pPr>
        <w:pStyle w:val="ListParagraph"/>
        <w:numPr>
          <w:ilvl w:val="0"/>
          <w:numId w:val="244"/>
        </w:numPr>
        <w:tabs>
          <w:tab w:pos="786" w:val="left" w:leader="none"/>
        </w:tabs>
        <w:spacing w:line="208" w:lineRule="auto" w:before="239" w:after="0"/>
        <w:ind w:left="360" w:right="792" w:firstLine="0"/>
        <w:jc w:val="left"/>
        <w:rPr>
          <w:sz w:val="24"/>
        </w:rPr>
      </w:pPr>
      <w:r>
        <w:rPr>
          <w:sz w:val="24"/>
        </w:rPr>
        <w:t>Under ADA title II, 35 CFR 104 Definitions, "auxiliary aids and services" includes; Qualified interpreters on-site or through video remote interpreting (VRI) services; note takers; real-time computer-aided transcription services; written materials; exchange of written notes; telephone handset amplifiers; assistive listening devices; assistive listening systems; telephones compatible with hearing aids; closed caption decoders; open</w:t>
      </w:r>
      <w:r>
        <w:rPr>
          <w:spacing w:val="-5"/>
          <w:sz w:val="24"/>
        </w:rPr>
        <w:t> </w:t>
      </w:r>
      <w:r>
        <w:rPr>
          <w:sz w:val="24"/>
        </w:rPr>
        <w:t>and</w:t>
      </w:r>
      <w:r>
        <w:rPr>
          <w:spacing w:val="-5"/>
          <w:sz w:val="24"/>
        </w:rPr>
        <w:t> </w:t>
      </w:r>
      <w:r>
        <w:rPr>
          <w:sz w:val="24"/>
        </w:rPr>
        <w:t>closed</w:t>
      </w:r>
      <w:r>
        <w:rPr>
          <w:spacing w:val="-5"/>
          <w:sz w:val="24"/>
        </w:rPr>
        <w:t> </w:t>
      </w:r>
      <w:r>
        <w:rPr>
          <w:sz w:val="24"/>
        </w:rPr>
        <w:t>captioning,</w:t>
      </w:r>
      <w:r>
        <w:rPr>
          <w:spacing w:val="-4"/>
          <w:sz w:val="24"/>
        </w:rPr>
        <w:t> </w:t>
      </w:r>
      <w:r>
        <w:rPr>
          <w:sz w:val="24"/>
        </w:rPr>
        <w:t>including</w:t>
      </w:r>
      <w:r>
        <w:rPr>
          <w:spacing w:val="-5"/>
          <w:sz w:val="24"/>
        </w:rPr>
        <w:t> </w:t>
      </w:r>
      <w:r>
        <w:rPr>
          <w:sz w:val="24"/>
        </w:rPr>
        <w:t>real-time</w:t>
      </w:r>
      <w:r>
        <w:rPr>
          <w:spacing w:val="-5"/>
          <w:sz w:val="24"/>
        </w:rPr>
        <w:t> </w:t>
      </w:r>
      <w:r>
        <w:rPr>
          <w:sz w:val="24"/>
        </w:rPr>
        <w:t>captioning;</w:t>
      </w:r>
      <w:r>
        <w:rPr>
          <w:spacing w:val="-4"/>
          <w:sz w:val="24"/>
        </w:rPr>
        <w:t> </w:t>
      </w:r>
      <w:r>
        <w:rPr>
          <w:sz w:val="24"/>
        </w:rPr>
        <w:t>voice,</w:t>
      </w:r>
      <w:r>
        <w:rPr>
          <w:spacing w:val="-4"/>
          <w:sz w:val="24"/>
        </w:rPr>
        <w:t> </w:t>
      </w:r>
      <w:r>
        <w:rPr>
          <w:sz w:val="24"/>
        </w:rPr>
        <w:t>text,</w:t>
      </w:r>
      <w:r>
        <w:rPr>
          <w:spacing w:val="-4"/>
          <w:sz w:val="24"/>
        </w:rPr>
        <w:t> </w:t>
      </w:r>
      <w:r>
        <w:rPr>
          <w:sz w:val="24"/>
        </w:rPr>
        <w:t>and</w:t>
      </w:r>
      <w:r>
        <w:rPr>
          <w:spacing w:val="-5"/>
          <w:sz w:val="24"/>
        </w:rPr>
        <w:t> </w:t>
      </w:r>
      <w:r>
        <w:rPr>
          <w:sz w:val="24"/>
        </w:rPr>
        <w:t>video-based telecommunications products and systems, including text telephones (TTYs), videophones, and captioned telephones, or equally effective telecommunications devices; videotext displays; accessible electronic and information technology; or other effective methods of making aurally delivered information available to individuals who are deaf or hard of hearing.</w:t>
      </w:r>
    </w:p>
    <w:p>
      <w:pPr>
        <w:pStyle w:val="ListParagraph"/>
        <w:numPr>
          <w:ilvl w:val="0"/>
          <w:numId w:val="244"/>
        </w:numPr>
        <w:tabs>
          <w:tab w:pos="786" w:val="left" w:leader="none"/>
        </w:tabs>
        <w:spacing w:line="208" w:lineRule="auto" w:before="239" w:after="0"/>
        <w:ind w:left="360" w:right="1194" w:firstLine="0"/>
        <w:jc w:val="left"/>
        <w:rPr>
          <w:sz w:val="24"/>
        </w:rPr>
      </w:pPr>
      <w:r>
        <w:rPr>
          <w:sz w:val="24"/>
        </w:rPr>
        <w:t>Assistive Technology Devices are any items, piece of equipment, or product system,</w:t>
      </w:r>
      <w:r>
        <w:rPr>
          <w:spacing w:val="-4"/>
          <w:sz w:val="24"/>
        </w:rPr>
        <w:t> </w:t>
      </w:r>
      <w:r>
        <w:rPr>
          <w:sz w:val="24"/>
        </w:rPr>
        <w:t>whether</w:t>
      </w:r>
      <w:r>
        <w:rPr>
          <w:spacing w:val="-4"/>
          <w:sz w:val="24"/>
        </w:rPr>
        <w:t> </w:t>
      </w:r>
      <w:r>
        <w:rPr>
          <w:sz w:val="24"/>
        </w:rPr>
        <w:t>acquired</w:t>
      </w:r>
      <w:r>
        <w:rPr>
          <w:spacing w:val="-5"/>
          <w:sz w:val="24"/>
        </w:rPr>
        <w:t> </w:t>
      </w:r>
      <w:r>
        <w:rPr>
          <w:sz w:val="24"/>
        </w:rPr>
        <w:t>commercially</w:t>
      </w:r>
      <w:r>
        <w:rPr>
          <w:spacing w:val="-5"/>
          <w:sz w:val="24"/>
        </w:rPr>
        <w:t> </w:t>
      </w:r>
      <w:r>
        <w:rPr>
          <w:sz w:val="24"/>
        </w:rPr>
        <w:t>off</w:t>
      </w:r>
      <w:r>
        <w:rPr>
          <w:spacing w:val="-4"/>
          <w:sz w:val="24"/>
        </w:rPr>
        <w:t> </w:t>
      </w:r>
      <w:r>
        <w:rPr>
          <w:sz w:val="24"/>
        </w:rPr>
        <w:t>the</w:t>
      </w:r>
      <w:r>
        <w:rPr>
          <w:spacing w:val="-5"/>
          <w:sz w:val="24"/>
        </w:rPr>
        <w:t> </w:t>
      </w:r>
      <w:r>
        <w:rPr>
          <w:sz w:val="24"/>
        </w:rPr>
        <w:t>shelf,</w:t>
      </w:r>
      <w:r>
        <w:rPr>
          <w:spacing w:val="-4"/>
          <w:sz w:val="24"/>
        </w:rPr>
        <w:t> </w:t>
      </w:r>
      <w:r>
        <w:rPr>
          <w:sz w:val="24"/>
        </w:rPr>
        <w:t>modified</w:t>
      </w:r>
      <w:r>
        <w:rPr>
          <w:spacing w:val="-5"/>
          <w:sz w:val="24"/>
        </w:rPr>
        <w:t> </w:t>
      </w:r>
      <w:r>
        <w:rPr>
          <w:sz w:val="24"/>
        </w:rPr>
        <w:t>or</w:t>
      </w:r>
      <w:r>
        <w:rPr>
          <w:spacing w:val="-4"/>
          <w:sz w:val="24"/>
        </w:rPr>
        <w:t> </w:t>
      </w:r>
      <w:r>
        <w:rPr>
          <w:sz w:val="24"/>
        </w:rPr>
        <w:t>customized,</w:t>
      </w:r>
      <w:r>
        <w:rPr>
          <w:spacing w:val="-4"/>
          <w:sz w:val="24"/>
        </w:rPr>
        <w:t> </w:t>
      </w:r>
      <w:r>
        <w:rPr>
          <w:sz w:val="24"/>
        </w:rPr>
        <w:t>that</w:t>
      </w:r>
      <w:r>
        <w:rPr>
          <w:spacing w:val="-4"/>
          <w:sz w:val="24"/>
        </w:rPr>
        <w:t> </w:t>
      </w:r>
      <w:r>
        <w:rPr>
          <w:sz w:val="24"/>
        </w:rPr>
        <w:t>is used to increase, maintain, or improve the functional capabilities of a VR customer.</w:t>
      </w:r>
    </w:p>
    <w:p>
      <w:pPr>
        <w:pStyle w:val="ListParagraph"/>
        <w:numPr>
          <w:ilvl w:val="0"/>
          <w:numId w:val="244"/>
        </w:numPr>
        <w:tabs>
          <w:tab w:pos="719" w:val="left" w:leader="none"/>
        </w:tabs>
        <w:spacing w:line="208" w:lineRule="auto" w:before="240" w:after="0"/>
        <w:ind w:left="360" w:right="792" w:firstLine="0"/>
        <w:jc w:val="left"/>
        <w:rPr>
          <w:sz w:val="24"/>
        </w:rPr>
      </w:pPr>
      <w:r>
        <w:rPr>
          <w:sz w:val="24"/>
        </w:rPr>
        <w:t>Assistive</w:t>
      </w:r>
      <w:r>
        <w:rPr>
          <w:spacing w:val="-4"/>
          <w:sz w:val="24"/>
        </w:rPr>
        <w:t> </w:t>
      </w:r>
      <w:r>
        <w:rPr>
          <w:sz w:val="24"/>
        </w:rPr>
        <w:t>Technology</w:t>
      </w:r>
      <w:r>
        <w:rPr>
          <w:spacing w:val="-4"/>
          <w:sz w:val="24"/>
        </w:rPr>
        <w:t> </w:t>
      </w:r>
      <w:r>
        <w:rPr>
          <w:sz w:val="24"/>
        </w:rPr>
        <w:t>Services</w:t>
      </w:r>
      <w:r>
        <w:rPr>
          <w:spacing w:val="-4"/>
          <w:sz w:val="24"/>
        </w:rPr>
        <w:t> </w:t>
      </w:r>
      <w:r>
        <w:rPr>
          <w:sz w:val="24"/>
        </w:rPr>
        <w:t>are</w:t>
      </w:r>
      <w:r>
        <w:rPr>
          <w:spacing w:val="-4"/>
          <w:sz w:val="24"/>
        </w:rPr>
        <w:t> </w:t>
      </w:r>
      <w:r>
        <w:rPr>
          <w:sz w:val="24"/>
        </w:rPr>
        <w:t>any</w:t>
      </w:r>
      <w:r>
        <w:rPr>
          <w:spacing w:val="-4"/>
          <w:sz w:val="24"/>
        </w:rPr>
        <w:t> </w:t>
      </w:r>
      <w:r>
        <w:rPr>
          <w:sz w:val="24"/>
        </w:rPr>
        <w:t>services</w:t>
      </w:r>
      <w:r>
        <w:rPr>
          <w:spacing w:val="-4"/>
          <w:sz w:val="24"/>
        </w:rPr>
        <w:t> </w:t>
      </w:r>
      <w:r>
        <w:rPr>
          <w:sz w:val="24"/>
        </w:rPr>
        <w:t>that</w:t>
      </w:r>
      <w:r>
        <w:rPr>
          <w:spacing w:val="-3"/>
          <w:sz w:val="24"/>
        </w:rPr>
        <w:t> </w:t>
      </w:r>
      <w:r>
        <w:rPr>
          <w:sz w:val="24"/>
        </w:rPr>
        <w:t>directly</w:t>
      </w:r>
      <w:r>
        <w:rPr>
          <w:spacing w:val="-4"/>
          <w:sz w:val="24"/>
        </w:rPr>
        <w:t> </w:t>
      </w:r>
      <w:r>
        <w:rPr>
          <w:sz w:val="24"/>
        </w:rPr>
        <w:t>assist</w:t>
      </w:r>
      <w:r>
        <w:rPr>
          <w:spacing w:val="-3"/>
          <w:sz w:val="24"/>
        </w:rPr>
        <w:t> </w:t>
      </w:r>
      <w:r>
        <w:rPr>
          <w:sz w:val="24"/>
        </w:rPr>
        <w:t>an</w:t>
      </w:r>
      <w:r>
        <w:rPr>
          <w:spacing w:val="-4"/>
          <w:sz w:val="24"/>
        </w:rPr>
        <w:t> </w:t>
      </w:r>
      <w:r>
        <w:rPr>
          <w:sz w:val="24"/>
        </w:rPr>
        <w:t>individual</w:t>
      </w:r>
      <w:r>
        <w:rPr>
          <w:spacing w:val="-4"/>
          <w:sz w:val="24"/>
        </w:rPr>
        <w:t> </w:t>
      </w:r>
      <w:r>
        <w:rPr>
          <w:sz w:val="24"/>
        </w:rPr>
        <w:t>with a disability in the selection, acquisition, or use of an assistive technology device. Services may include:</w:t>
      </w:r>
    </w:p>
    <w:p>
      <w:pPr>
        <w:pStyle w:val="ListParagraph"/>
        <w:numPr>
          <w:ilvl w:val="1"/>
          <w:numId w:val="244"/>
        </w:numPr>
        <w:tabs>
          <w:tab w:pos="1145" w:val="left" w:leader="none"/>
        </w:tabs>
        <w:spacing w:line="208" w:lineRule="auto" w:before="240" w:after="0"/>
        <w:ind w:left="720" w:right="937" w:firstLine="0"/>
        <w:jc w:val="left"/>
        <w:rPr>
          <w:sz w:val="24"/>
        </w:rPr>
      </w:pPr>
      <w:r>
        <w:rPr>
          <w:sz w:val="24"/>
        </w:rPr>
        <w:t>the</w:t>
      </w:r>
      <w:r>
        <w:rPr>
          <w:spacing w:val="-4"/>
          <w:sz w:val="24"/>
        </w:rPr>
        <w:t> </w:t>
      </w:r>
      <w:r>
        <w:rPr>
          <w:sz w:val="24"/>
        </w:rPr>
        <w:t>evaluation</w:t>
      </w:r>
      <w:r>
        <w:rPr>
          <w:spacing w:val="-4"/>
          <w:sz w:val="24"/>
        </w:rPr>
        <w:t> </w:t>
      </w:r>
      <w:r>
        <w:rPr>
          <w:sz w:val="24"/>
        </w:rPr>
        <w:t>of</w:t>
      </w:r>
      <w:r>
        <w:rPr>
          <w:spacing w:val="-3"/>
          <w:sz w:val="24"/>
        </w:rPr>
        <w:t> </w:t>
      </w:r>
      <w:r>
        <w:rPr>
          <w:sz w:val="24"/>
        </w:rPr>
        <w:t>the</w:t>
      </w:r>
      <w:r>
        <w:rPr>
          <w:spacing w:val="-4"/>
          <w:sz w:val="24"/>
        </w:rPr>
        <w:t> </w:t>
      </w:r>
      <w:r>
        <w:rPr>
          <w:sz w:val="24"/>
        </w:rPr>
        <w:t>needs</w:t>
      </w:r>
      <w:r>
        <w:rPr>
          <w:spacing w:val="-4"/>
          <w:sz w:val="24"/>
        </w:rPr>
        <w:t> </w:t>
      </w:r>
      <w:r>
        <w:rPr>
          <w:sz w:val="24"/>
        </w:rPr>
        <w:t>of</w:t>
      </w:r>
      <w:r>
        <w:rPr>
          <w:spacing w:val="-3"/>
          <w:sz w:val="24"/>
        </w:rPr>
        <w:t> </w:t>
      </w:r>
      <w:r>
        <w:rPr>
          <w:sz w:val="24"/>
        </w:rPr>
        <w:t>an</w:t>
      </w:r>
      <w:r>
        <w:rPr>
          <w:spacing w:val="-4"/>
          <w:sz w:val="24"/>
        </w:rPr>
        <w:t> </w:t>
      </w:r>
      <w:r>
        <w:rPr>
          <w:sz w:val="24"/>
        </w:rPr>
        <w:t>individual,</w:t>
      </w:r>
      <w:r>
        <w:rPr>
          <w:spacing w:val="-3"/>
          <w:sz w:val="24"/>
        </w:rPr>
        <w:t> </w:t>
      </w:r>
      <w:r>
        <w:rPr>
          <w:sz w:val="24"/>
        </w:rPr>
        <w:t>including</w:t>
      </w:r>
      <w:r>
        <w:rPr>
          <w:spacing w:val="-4"/>
          <w:sz w:val="24"/>
        </w:rPr>
        <w:t> </w:t>
      </w:r>
      <w:r>
        <w:rPr>
          <w:sz w:val="24"/>
        </w:rPr>
        <w:t>a</w:t>
      </w:r>
      <w:r>
        <w:rPr>
          <w:spacing w:val="-4"/>
          <w:sz w:val="24"/>
        </w:rPr>
        <w:t> </w:t>
      </w:r>
      <w:r>
        <w:rPr>
          <w:sz w:val="24"/>
        </w:rPr>
        <w:t>functional</w:t>
      </w:r>
      <w:r>
        <w:rPr>
          <w:spacing w:val="-4"/>
          <w:sz w:val="24"/>
        </w:rPr>
        <w:t> </w:t>
      </w:r>
      <w:r>
        <w:rPr>
          <w:sz w:val="24"/>
        </w:rPr>
        <w:t>evaluation</w:t>
      </w:r>
      <w:r>
        <w:rPr>
          <w:spacing w:val="-4"/>
          <w:sz w:val="24"/>
        </w:rPr>
        <w:t> </w:t>
      </w:r>
      <w:r>
        <w:rPr>
          <w:sz w:val="24"/>
        </w:rPr>
        <w:t>of the individual in his/her customary environment;</w:t>
      </w:r>
    </w:p>
    <w:p>
      <w:pPr>
        <w:pStyle w:val="ListParagraph"/>
        <w:spacing w:after="0" w:line="208" w:lineRule="auto"/>
        <w:jc w:val="left"/>
        <w:rPr>
          <w:sz w:val="24"/>
        </w:rPr>
        <w:sectPr>
          <w:pgSz w:w="12240" w:h="15840"/>
          <w:pgMar w:top="1340" w:bottom="280" w:left="1080" w:right="720"/>
        </w:sectPr>
      </w:pPr>
    </w:p>
    <w:p>
      <w:pPr>
        <w:pStyle w:val="ListParagraph"/>
        <w:numPr>
          <w:ilvl w:val="1"/>
          <w:numId w:val="244"/>
        </w:numPr>
        <w:tabs>
          <w:tab w:pos="1146" w:val="left" w:leader="none"/>
        </w:tabs>
        <w:spacing w:line="208" w:lineRule="auto" w:before="96" w:after="0"/>
        <w:ind w:left="720" w:right="805" w:firstLine="0"/>
        <w:jc w:val="left"/>
        <w:rPr>
          <w:sz w:val="24"/>
        </w:rPr>
      </w:pPr>
      <w:r>
        <w:rPr>
          <w:sz w:val="24"/>
        </w:rPr>
        <w:t>purchasing,</w:t>
      </w:r>
      <w:r>
        <w:rPr>
          <w:spacing w:val="-3"/>
          <w:sz w:val="24"/>
        </w:rPr>
        <w:t> </w:t>
      </w:r>
      <w:r>
        <w:rPr>
          <w:sz w:val="24"/>
        </w:rPr>
        <w:t>leasing,</w:t>
      </w:r>
      <w:r>
        <w:rPr>
          <w:spacing w:val="-3"/>
          <w:sz w:val="24"/>
        </w:rPr>
        <w:t> </w:t>
      </w:r>
      <w:r>
        <w:rPr>
          <w:sz w:val="24"/>
        </w:rPr>
        <w:t>or</w:t>
      </w:r>
      <w:r>
        <w:rPr>
          <w:spacing w:val="-3"/>
          <w:sz w:val="24"/>
        </w:rPr>
        <w:t> </w:t>
      </w:r>
      <w:r>
        <w:rPr>
          <w:sz w:val="24"/>
        </w:rPr>
        <w:t>otherwise</w:t>
      </w:r>
      <w:r>
        <w:rPr>
          <w:spacing w:val="-4"/>
          <w:sz w:val="24"/>
        </w:rPr>
        <w:t> </w:t>
      </w:r>
      <w:r>
        <w:rPr>
          <w:sz w:val="24"/>
        </w:rPr>
        <w:t>providing</w:t>
      </w:r>
      <w:r>
        <w:rPr>
          <w:spacing w:val="-4"/>
          <w:sz w:val="24"/>
        </w:rPr>
        <w:t> </w:t>
      </w:r>
      <w:r>
        <w:rPr>
          <w:sz w:val="24"/>
        </w:rPr>
        <w:t>for</w:t>
      </w:r>
      <w:r>
        <w:rPr>
          <w:spacing w:val="-3"/>
          <w:sz w:val="24"/>
        </w:rPr>
        <w:t> </w:t>
      </w:r>
      <w:r>
        <w:rPr>
          <w:sz w:val="24"/>
        </w:rPr>
        <w:t>the</w:t>
      </w:r>
      <w:r>
        <w:rPr>
          <w:spacing w:val="-5"/>
          <w:sz w:val="24"/>
        </w:rPr>
        <w:t> </w:t>
      </w:r>
      <w:r>
        <w:rPr>
          <w:sz w:val="24"/>
        </w:rPr>
        <w:t>acquisition</w:t>
      </w:r>
      <w:r>
        <w:rPr>
          <w:spacing w:val="-3"/>
          <w:sz w:val="24"/>
        </w:rPr>
        <w:t> </w:t>
      </w:r>
      <w:r>
        <w:rPr>
          <w:sz w:val="24"/>
        </w:rPr>
        <w:t>by</w:t>
      </w:r>
      <w:r>
        <w:rPr>
          <w:spacing w:val="-4"/>
          <w:sz w:val="24"/>
        </w:rPr>
        <w:t> </w:t>
      </w:r>
      <w:r>
        <w:rPr>
          <w:sz w:val="24"/>
        </w:rPr>
        <w:t>an</w:t>
      </w:r>
      <w:r>
        <w:rPr>
          <w:spacing w:val="-4"/>
          <w:sz w:val="24"/>
        </w:rPr>
        <w:t> </w:t>
      </w:r>
      <w:r>
        <w:rPr>
          <w:sz w:val="24"/>
        </w:rPr>
        <w:t>individual</w:t>
      </w:r>
      <w:r>
        <w:rPr>
          <w:spacing w:val="-4"/>
          <w:sz w:val="24"/>
        </w:rPr>
        <w:t> </w:t>
      </w:r>
      <w:r>
        <w:rPr>
          <w:sz w:val="24"/>
        </w:rPr>
        <w:t>of an assistive technology device;</w:t>
      </w:r>
    </w:p>
    <w:p>
      <w:pPr>
        <w:pStyle w:val="ListParagraph"/>
        <w:numPr>
          <w:ilvl w:val="1"/>
          <w:numId w:val="244"/>
        </w:numPr>
        <w:tabs>
          <w:tab w:pos="1146" w:val="left" w:leader="none"/>
        </w:tabs>
        <w:spacing w:line="208" w:lineRule="auto" w:before="240" w:after="0"/>
        <w:ind w:left="720" w:right="1567" w:firstLine="0"/>
        <w:jc w:val="left"/>
        <w:rPr>
          <w:sz w:val="24"/>
        </w:rPr>
      </w:pPr>
      <w:r>
        <w:rPr>
          <w:sz w:val="24"/>
        </w:rPr>
        <w:t>selecting,</w:t>
      </w:r>
      <w:r>
        <w:rPr>
          <w:spacing w:val="-7"/>
          <w:sz w:val="24"/>
        </w:rPr>
        <w:t> </w:t>
      </w:r>
      <w:r>
        <w:rPr>
          <w:sz w:val="24"/>
        </w:rPr>
        <w:t>designing,</w:t>
      </w:r>
      <w:r>
        <w:rPr>
          <w:spacing w:val="-7"/>
          <w:sz w:val="24"/>
        </w:rPr>
        <w:t> </w:t>
      </w:r>
      <w:r>
        <w:rPr>
          <w:sz w:val="24"/>
        </w:rPr>
        <w:t>fitting,</w:t>
      </w:r>
      <w:r>
        <w:rPr>
          <w:spacing w:val="-7"/>
          <w:sz w:val="24"/>
        </w:rPr>
        <w:t> </w:t>
      </w:r>
      <w:r>
        <w:rPr>
          <w:sz w:val="24"/>
        </w:rPr>
        <w:t>customizing,</w:t>
      </w:r>
      <w:r>
        <w:rPr>
          <w:spacing w:val="-7"/>
          <w:sz w:val="24"/>
        </w:rPr>
        <w:t> </w:t>
      </w:r>
      <w:r>
        <w:rPr>
          <w:sz w:val="24"/>
        </w:rPr>
        <w:t>adapting,</w:t>
      </w:r>
      <w:r>
        <w:rPr>
          <w:spacing w:val="-7"/>
          <w:sz w:val="24"/>
        </w:rPr>
        <w:t> </w:t>
      </w:r>
      <w:r>
        <w:rPr>
          <w:sz w:val="24"/>
        </w:rPr>
        <w:t>applying,</w:t>
      </w:r>
      <w:r>
        <w:rPr>
          <w:spacing w:val="-7"/>
          <w:sz w:val="24"/>
        </w:rPr>
        <w:t> </w:t>
      </w:r>
      <w:r>
        <w:rPr>
          <w:sz w:val="24"/>
        </w:rPr>
        <w:t>maintaining, repairing, or replacing assistive technology devices;</w:t>
      </w:r>
    </w:p>
    <w:p>
      <w:pPr>
        <w:pStyle w:val="ListParagraph"/>
        <w:numPr>
          <w:ilvl w:val="1"/>
          <w:numId w:val="244"/>
        </w:numPr>
        <w:tabs>
          <w:tab w:pos="1146" w:val="left" w:leader="none"/>
        </w:tabs>
        <w:spacing w:line="208" w:lineRule="auto" w:before="239" w:after="0"/>
        <w:ind w:left="720" w:right="940" w:firstLine="0"/>
        <w:jc w:val="left"/>
        <w:rPr>
          <w:sz w:val="24"/>
        </w:rPr>
      </w:pPr>
      <w:r>
        <w:rPr>
          <w:sz w:val="24"/>
        </w:rPr>
        <w:t>coordinating</w:t>
      </w:r>
      <w:r>
        <w:rPr>
          <w:spacing w:val="-5"/>
          <w:sz w:val="24"/>
        </w:rPr>
        <w:t> </w:t>
      </w:r>
      <w:r>
        <w:rPr>
          <w:sz w:val="24"/>
        </w:rPr>
        <w:t>and</w:t>
      </w:r>
      <w:r>
        <w:rPr>
          <w:spacing w:val="-5"/>
          <w:sz w:val="24"/>
        </w:rPr>
        <w:t> </w:t>
      </w:r>
      <w:r>
        <w:rPr>
          <w:sz w:val="24"/>
        </w:rPr>
        <w:t>using</w:t>
      </w:r>
      <w:r>
        <w:rPr>
          <w:spacing w:val="-5"/>
          <w:sz w:val="24"/>
        </w:rPr>
        <w:t> </w:t>
      </w:r>
      <w:r>
        <w:rPr>
          <w:sz w:val="24"/>
        </w:rPr>
        <w:t>other</w:t>
      </w:r>
      <w:r>
        <w:rPr>
          <w:spacing w:val="-4"/>
          <w:sz w:val="24"/>
        </w:rPr>
        <w:t> </w:t>
      </w:r>
      <w:r>
        <w:rPr>
          <w:sz w:val="24"/>
        </w:rPr>
        <w:t>therapies,</w:t>
      </w:r>
      <w:r>
        <w:rPr>
          <w:spacing w:val="-4"/>
          <w:sz w:val="24"/>
        </w:rPr>
        <w:t> </w:t>
      </w:r>
      <w:r>
        <w:rPr>
          <w:sz w:val="24"/>
        </w:rPr>
        <w:t>interventions,</w:t>
      </w:r>
      <w:r>
        <w:rPr>
          <w:spacing w:val="-4"/>
          <w:sz w:val="24"/>
        </w:rPr>
        <w:t> </w:t>
      </w:r>
      <w:r>
        <w:rPr>
          <w:sz w:val="24"/>
        </w:rPr>
        <w:t>or</w:t>
      </w:r>
      <w:r>
        <w:rPr>
          <w:spacing w:val="-4"/>
          <w:sz w:val="24"/>
        </w:rPr>
        <w:t> </w:t>
      </w:r>
      <w:r>
        <w:rPr>
          <w:sz w:val="24"/>
        </w:rPr>
        <w:t>services</w:t>
      </w:r>
      <w:r>
        <w:rPr>
          <w:spacing w:val="-5"/>
          <w:sz w:val="24"/>
        </w:rPr>
        <w:t> </w:t>
      </w:r>
      <w:r>
        <w:rPr>
          <w:sz w:val="24"/>
        </w:rPr>
        <w:t>with</w:t>
      </w:r>
      <w:r>
        <w:rPr>
          <w:spacing w:val="-5"/>
          <w:sz w:val="24"/>
        </w:rPr>
        <w:t> </w:t>
      </w:r>
      <w:r>
        <w:rPr>
          <w:sz w:val="24"/>
        </w:rPr>
        <w:t>assistive technology devices, such as those associated with existing education and rehabilitation plans and programs;</w:t>
      </w:r>
    </w:p>
    <w:p>
      <w:pPr>
        <w:pStyle w:val="ListParagraph"/>
        <w:numPr>
          <w:ilvl w:val="1"/>
          <w:numId w:val="244"/>
        </w:numPr>
        <w:tabs>
          <w:tab w:pos="1144" w:val="left" w:leader="none"/>
        </w:tabs>
        <w:spacing w:line="208" w:lineRule="auto" w:before="240" w:after="0"/>
        <w:ind w:left="719" w:right="940" w:firstLine="0"/>
        <w:jc w:val="left"/>
        <w:rPr>
          <w:sz w:val="24"/>
        </w:rPr>
      </w:pPr>
      <w:r>
        <w:rPr>
          <w:sz w:val="24"/>
        </w:rPr>
        <w:t>training</w:t>
      </w:r>
      <w:r>
        <w:rPr>
          <w:spacing w:val="-4"/>
          <w:sz w:val="24"/>
        </w:rPr>
        <w:t> </w:t>
      </w:r>
      <w:r>
        <w:rPr>
          <w:sz w:val="24"/>
        </w:rPr>
        <w:t>or</w:t>
      </w:r>
      <w:r>
        <w:rPr>
          <w:spacing w:val="-3"/>
          <w:sz w:val="24"/>
        </w:rPr>
        <w:t> </w:t>
      </w:r>
      <w:r>
        <w:rPr>
          <w:sz w:val="24"/>
        </w:rPr>
        <w:t>providing</w:t>
      </w:r>
      <w:r>
        <w:rPr>
          <w:spacing w:val="-4"/>
          <w:sz w:val="24"/>
        </w:rPr>
        <w:t> </w:t>
      </w:r>
      <w:r>
        <w:rPr>
          <w:sz w:val="24"/>
        </w:rPr>
        <w:t>technical</w:t>
      </w:r>
      <w:r>
        <w:rPr>
          <w:spacing w:val="-3"/>
          <w:sz w:val="24"/>
        </w:rPr>
        <w:t> </w:t>
      </w:r>
      <w:r>
        <w:rPr>
          <w:sz w:val="24"/>
        </w:rPr>
        <w:t>assistance</w:t>
      </w:r>
      <w:r>
        <w:rPr>
          <w:spacing w:val="-4"/>
          <w:sz w:val="24"/>
        </w:rPr>
        <w:t> </w:t>
      </w:r>
      <w:r>
        <w:rPr>
          <w:sz w:val="24"/>
        </w:rPr>
        <w:t>for</w:t>
      </w:r>
      <w:r>
        <w:rPr>
          <w:spacing w:val="-3"/>
          <w:sz w:val="24"/>
        </w:rPr>
        <w:t> </w:t>
      </w:r>
      <w:r>
        <w:rPr>
          <w:sz w:val="24"/>
        </w:rPr>
        <w:t>an</w:t>
      </w:r>
      <w:r>
        <w:rPr>
          <w:spacing w:val="-4"/>
          <w:sz w:val="24"/>
        </w:rPr>
        <w:t> </w:t>
      </w:r>
      <w:r>
        <w:rPr>
          <w:sz w:val="24"/>
        </w:rPr>
        <w:t>individual</w:t>
      </w:r>
      <w:r>
        <w:rPr>
          <w:spacing w:val="-4"/>
          <w:sz w:val="24"/>
        </w:rPr>
        <w:t> </w:t>
      </w:r>
      <w:r>
        <w:rPr>
          <w:sz w:val="24"/>
        </w:rPr>
        <w:t>or,</w:t>
      </w:r>
      <w:r>
        <w:rPr>
          <w:spacing w:val="-3"/>
          <w:sz w:val="24"/>
        </w:rPr>
        <w:t> </w:t>
      </w:r>
      <w:r>
        <w:rPr>
          <w:sz w:val="24"/>
        </w:rPr>
        <w:t>if</w:t>
      </w:r>
      <w:r>
        <w:rPr>
          <w:spacing w:val="-3"/>
          <w:sz w:val="24"/>
        </w:rPr>
        <w:t> </w:t>
      </w:r>
      <w:r>
        <w:rPr>
          <w:sz w:val="24"/>
        </w:rPr>
        <w:t>appropriate,</w:t>
      </w:r>
      <w:r>
        <w:rPr>
          <w:spacing w:val="-3"/>
          <w:sz w:val="24"/>
        </w:rPr>
        <w:t> </w:t>
      </w:r>
      <w:r>
        <w:rPr>
          <w:sz w:val="24"/>
        </w:rPr>
        <w:t>the family members, guardians, advocates, or authorized representatives of the individual; and</w:t>
      </w:r>
    </w:p>
    <w:p>
      <w:pPr>
        <w:pStyle w:val="ListParagraph"/>
        <w:numPr>
          <w:ilvl w:val="1"/>
          <w:numId w:val="244"/>
        </w:numPr>
        <w:tabs>
          <w:tab w:pos="1144" w:val="left" w:leader="none"/>
        </w:tabs>
        <w:spacing w:line="208" w:lineRule="auto" w:before="240" w:after="0"/>
        <w:ind w:left="719" w:right="756" w:firstLine="0"/>
        <w:jc w:val="left"/>
        <w:rPr>
          <w:sz w:val="24"/>
        </w:rPr>
      </w:pPr>
      <w:r>
        <w:rPr>
          <w:sz w:val="24"/>
        </w:rPr>
        <w:t>training or providing technical assistance for professionals (including individuals providing education and rehabilitation services), employers, or others who provide services</w:t>
      </w:r>
      <w:r>
        <w:rPr>
          <w:spacing w:val="-4"/>
          <w:sz w:val="24"/>
        </w:rPr>
        <w:t> </w:t>
      </w:r>
      <w:r>
        <w:rPr>
          <w:sz w:val="24"/>
        </w:rPr>
        <w:t>to,</w:t>
      </w:r>
      <w:r>
        <w:rPr>
          <w:spacing w:val="-5"/>
          <w:sz w:val="24"/>
        </w:rPr>
        <w:t> </w:t>
      </w:r>
      <w:r>
        <w:rPr>
          <w:sz w:val="24"/>
        </w:rPr>
        <w:t>employ,</w:t>
      </w:r>
      <w:r>
        <w:rPr>
          <w:spacing w:val="-3"/>
          <w:sz w:val="24"/>
        </w:rPr>
        <w:t> </w:t>
      </w:r>
      <w:r>
        <w:rPr>
          <w:sz w:val="24"/>
        </w:rPr>
        <w:t>or</w:t>
      </w:r>
      <w:r>
        <w:rPr>
          <w:spacing w:val="-5"/>
          <w:sz w:val="24"/>
        </w:rPr>
        <w:t> </w:t>
      </w:r>
      <w:r>
        <w:rPr>
          <w:sz w:val="24"/>
        </w:rPr>
        <w:t>are</w:t>
      </w:r>
      <w:r>
        <w:rPr>
          <w:spacing w:val="-4"/>
          <w:sz w:val="24"/>
        </w:rPr>
        <w:t> </w:t>
      </w:r>
      <w:r>
        <w:rPr>
          <w:sz w:val="24"/>
        </w:rPr>
        <w:t>otherwise</w:t>
      </w:r>
      <w:r>
        <w:rPr>
          <w:spacing w:val="-4"/>
          <w:sz w:val="24"/>
        </w:rPr>
        <w:t> </w:t>
      </w:r>
      <w:r>
        <w:rPr>
          <w:sz w:val="24"/>
        </w:rPr>
        <w:t>substantially</w:t>
      </w:r>
      <w:r>
        <w:rPr>
          <w:spacing w:val="-4"/>
          <w:sz w:val="24"/>
        </w:rPr>
        <w:t> </w:t>
      </w:r>
      <w:r>
        <w:rPr>
          <w:sz w:val="24"/>
        </w:rPr>
        <w:t>involved</w:t>
      </w:r>
      <w:r>
        <w:rPr>
          <w:spacing w:val="-4"/>
          <w:sz w:val="24"/>
        </w:rPr>
        <w:t> </w:t>
      </w:r>
      <w:r>
        <w:rPr>
          <w:sz w:val="24"/>
        </w:rPr>
        <w:t>in</w:t>
      </w:r>
      <w:r>
        <w:rPr>
          <w:spacing w:val="-4"/>
          <w:sz w:val="24"/>
        </w:rPr>
        <w:t> </w:t>
      </w:r>
      <w:r>
        <w:rPr>
          <w:sz w:val="24"/>
        </w:rPr>
        <w:t>the</w:t>
      </w:r>
      <w:r>
        <w:rPr>
          <w:spacing w:val="-4"/>
          <w:sz w:val="24"/>
        </w:rPr>
        <w:t> </w:t>
      </w:r>
      <w:r>
        <w:rPr>
          <w:sz w:val="24"/>
        </w:rPr>
        <w:t>major</w:t>
      </w:r>
      <w:r>
        <w:rPr>
          <w:spacing w:val="-3"/>
          <w:sz w:val="24"/>
        </w:rPr>
        <w:t> </w:t>
      </w:r>
      <w:r>
        <w:rPr>
          <w:sz w:val="24"/>
        </w:rPr>
        <w:t>life</w:t>
      </w:r>
      <w:r>
        <w:rPr>
          <w:spacing w:val="-4"/>
          <w:sz w:val="24"/>
        </w:rPr>
        <w:t> </w:t>
      </w:r>
      <w:r>
        <w:rPr>
          <w:sz w:val="24"/>
        </w:rPr>
        <w:t>functions of individuals with disabilities, to the extent that training or technical assistance is necessary to the achievement of an employment outcome.</w:t>
      </w:r>
    </w:p>
    <w:p>
      <w:pPr>
        <w:pStyle w:val="ListParagraph"/>
        <w:numPr>
          <w:ilvl w:val="0"/>
          <w:numId w:val="244"/>
        </w:numPr>
        <w:tabs>
          <w:tab w:pos="786" w:val="left" w:leader="none"/>
        </w:tabs>
        <w:spacing w:line="208" w:lineRule="auto" w:before="239" w:after="0"/>
        <w:ind w:left="360" w:right="1205" w:firstLine="0"/>
        <w:jc w:val="left"/>
        <w:rPr>
          <w:sz w:val="24"/>
        </w:rPr>
      </w:pPr>
      <w:r>
        <w:rPr>
          <w:sz w:val="24"/>
        </w:rPr>
        <w:t>Rehabilitation technology services such as assessment or consultation are not based</w:t>
      </w:r>
      <w:r>
        <w:rPr>
          <w:spacing w:val="-4"/>
          <w:sz w:val="24"/>
        </w:rPr>
        <w:t> </w:t>
      </w:r>
      <w:r>
        <w:rPr>
          <w:sz w:val="24"/>
        </w:rPr>
        <w:t>on</w:t>
      </w:r>
      <w:r>
        <w:rPr>
          <w:spacing w:val="-4"/>
          <w:sz w:val="24"/>
        </w:rPr>
        <w:t> </w:t>
      </w:r>
      <w:r>
        <w:rPr>
          <w:sz w:val="24"/>
        </w:rPr>
        <w:t>financial</w:t>
      </w:r>
      <w:r>
        <w:rPr>
          <w:spacing w:val="-4"/>
          <w:sz w:val="24"/>
        </w:rPr>
        <w:t> </w:t>
      </w:r>
      <w:r>
        <w:rPr>
          <w:sz w:val="24"/>
        </w:rPr>
        <w:t>need;</w:t>
      </w:r>
      <w:r>
        <w:rPr>
          <w:spacing w:val="-3"/>
          <w:sz w:val="24"/>
        </w:rPr>
        <w:t> </w:t>
      </w:r>
      <w:r>
        <w:rPr>
          <w:sz w:val="24"/>
        </w:rPr>
        <w:t>however</w:t>
      </w:r>
      <w:r>
        <w:rPr>
          <w:spacing w:val="-3"/>
          <w:sz w:val="24"/>
        </w:rPr>
        <w:t> </w:t>
      </w:r>
      <w:r>
        <w:rPr>
          <w:sz w:val="24"/>
        </w:rPr>
        <w:t>equipment,</w:t>
      </w:r>
      <w:r>
        <w:rPr>
          <w:spacing w:val="-3"/>
          <w:sz w:val="24"/>
        </w:rPr>
        <w:t> </w:t>
      </w:r>
      <w:r>
        <w:rPr>
          <w:sz w:val="24"/>
        </w:rPr>
        <w:t>appliances,</w:t>
      </w:r>
      <w:r>
        <w:rPr>
          <w:spacing w:val="-3"/>
          <w:sz w:val="24"/>
        </w:rPr>
        <w:t> </w:t>
      </w:r>
      <w:r>
        <w:rPr>
          <w:sz w:val="24"/>
        </w:rPr>
        <w:t>and</w:t>
      </w:r>
      <w:r>
        <w:rPr>
          <w:spacing w:val="-4"/>
          <w:sz w:val="24"/>
        </w:rPr>
        <w:t> </w:t>
      </w:r>
      <w:r>
        <w:rPr>
          <w:sz w:val="24"/>
        </w:rPr>
        <w:t>aids</w:t>
      </w:r>
      <w:r>
        <w:rPr>
          <w:spacing w:val="-4"/>
          <w:sz w:val="24"/>
        </w:rPr>
        <w:t> </w:t>
      </w:r>
      <w:r>
        <w:rPr>
          <w:sz w:val="24"/>
        </w:rPr>
        <w:t>will</w:t>
      </w:r>
      <w:r>
        <w:rPr>
          <w:spacing w:val="-4"/>
          <w:sz w:val="24"/>
        </w:rPr>
        <w:t> </w:t>
      </w:r>
      <w:r>
        <w:rPr>
          <w:sz w:val="24"/>
        </w:rPr>
        <w:t>be</w:t>
      </w:r>
      <w:r>
        <w:rPr>
          <w:spacing w:val="-4"/>
          <w:sz w:val="24"/>
        </w:rPr>
        <w:t> </w:t>
      </w:r>
      <w:r>
        <w:rPr>
          <w:sz w:val="24"/>
        </w:rPr>
        <w:t>based</w:t>
      </w:r>
      <w:r>
        <w:rPr>
          <w:spacing w:val="-4"/>
          <w:sz w:val="24"/>
        </w:rPr>
        <w:t> </w:t>
      </w:r>
      <w:r>
        <w:rPr>
          <w:sz w:val="24"/>
        </w:rPr>
        <w:t>on available financial resources of the client.</w:t>
      </w:r>
    </w:p>
    <w:p>
      <w:pPr>
        <w:pStyle w:val="ListParagraph"/>
        <w:numPr>
          <w:ilvl w:val="0"/>
          <w:numId w:val="244"/>
        </w:numPr>
        <w:tabs>
          <w:tab w:pos="786" w:val="left" w:leader="none"/>
        </w:tabs>
        <w:spacing w:line="208" w:lineRule="auto" w:before="240" w:after="0"/>
        <w:ind w:left="360" w:right="741" w:firstLine="0"/>
        <w:jc w:val="left"/>
        <w:rPr>
          <w:sz w:val="24"/>
        </w:rPr>
      </w:pPr>
      <w:r>
        <w:rPr>
          <w:sz w:val="24"/>
        </w:rPr>
        <w:t>Rehabilitation technology services, including prescribed adaptive aids and devices, must be provided by qualified persons. Prescriptions/recommendations for nonmedical adaptive technology may be accepted from individuals listed in 74 O.S. 85.7(12) including physicians, rehabilitation engineers, qualified rehabilitation technicians or sensory</w:t>
      </w:r>
      <w:r>
        <w:rPr>
          <w:spacing w:val="-4"/>
          <w:sz w:val="24"/>
        </w:rPr>
        <w:t> </w:t>
      </w:r>
      <w:r>
        <w:rPr>
          <w:sz w:val="24"/>
        </w:rPr>
        <w:t>aids</w:t>
      </w:r>
      <w:r>
        <w:rPr>
          <w:spacing w:val="-4"/>
          <w:sz w:val="24"/>
        </w:rPr>
        <w:t> </w:t>
      </w:r>
      <w:r>
        <w:rPr>
          <w:sz w:val="24"/>
        </w:rPr>
        <w:t>specialists</w:t>
      </w:r>
      <w:r>
        <w:rPr>
          <w:spacing w:val="-4"/>
          <w:sz w:val="24"/>
        </w:rPr>
        <w:t> </w:t>
      </w:r>
      <w:r>
        <w:rPr>
          <w:sz w:val="24"/>
        </w:rPr>
        <w:t>and</w:t>
      </w:r>
      <w:r>
        <w:rPr>
          <w:spacing w:val="-4"/>
          <w:sz w:val="24"/>
        </w:rPr>
        <w:t> </w:t>
      </w:r>
      <w:r>
        <w:rPr>
          <w:sz w:val="24"/>
        </w:rPr>
        <w:t>from</w:t>
      </w:r>
      <w:r>
        <w:rPr>
          <w:spacing w:val="-6"/>
          <w:sz w:val="24"/>
        </w:rPr>
        <w:t> </w:t>
      </w:r>
      <w:r>
        <w:rPr>
          <w:sz w:val="24"/>
        </w:rPr>
        <w:t>qualified</w:t>
      </w:r>
      <w:r>
        <w:rPr>
          <w:spacing w:val="-4"/>
          <w:sz w:val="24"/>
        </w:rPr>
        <w:t> </w:t>
      </w:r>
      <w:r>
        <w:rPr>
          <w:sz w:val="24"/>
        </w:rPr>
        <w:t>assistive</w:t>
      </w:r>
      <w:r>
        <w:rPr>
          <w:spacing w:val="-4"/>
          <w:sz w:val="24"/>
        </w:rPr>
        <w:t> </w:t>
      </w:r>
      <w:r>
        <w:rPr>
          <w:sz w:val="24"/>
        </w:rPr>
        <w:t>technology</w:t>
      </w:r>
      <w:r>
        <w:rPr>
          <w:spacing w:val="-4"/>
          <w:sz w:val="24"/>
        </w:rPr>
        <w:t> </w:t>
      </w:r>
      <w:r>
        <w:rPr>
          <w:sz w:val="24"/>
        </w:rPr>
        <w:t>specialists</w:t>
      </w:r>
      <w:r>
        <w:rPr>
          <w:spacing w:val="-4"/>
          <w:sz w:val="24"/>
        </w:rPr>
        <w:t> </w:t>
      </w:r>
      <w:r>
        <w:rPr>
          <w:sz w:val="24"/>
        </w:rPr>
        <w:t>and</w:t>
      </w:r>
      <w:r>
        <w:rPr>
          <w:spacing w:val="-4"/>
          <w:sz w:val="24"/>
        </w:rPr>
        <w:t> </w:t>
      </w:r>
      <w:r>
        <w:rPr>
          <w:sz w:val="24"/>
        </w:rPr>
        <w:t>assistive technology professionals.</w:t>
      </w:r>
    </w:p>
    <w:p>
      <w:pPr>
        <w:pStyle w:val="ListParagraph"/>
        <w:numPr>
          <w:ilvl w:val="0"/>
          <w:numId w:val="244"/>
        </w:numPr>
        <w:tabs>
          <w:tab w:pos="706" w:val="left" w:leader="none"/>
        </w:tabs>
        <w:spacing w:line="208" w:lineRule="auto" w:before="239" w:after="0"/>
        <w:ind w:left="360" w:right="818" w:firstLine="0"/>
        <w:jc w:val="left"/>
        <w:rPr>
          <w:sz w:val="24"/>
        </w:rPr>
      </w:pPr>
      <w:r>
        <w:rPr>
          <w:sz w:val="24"/>
        </w:rPr>
        <w:t>Assistive technology devices, including prescribed adaptive aids and devices, may be</w:t>
      </w:r>
      <w:r>
        <w:rPr>
          <w:spacing w:val="-4"/>
          <w:sz w:val="24"/>
        </w:rPr>
        <w:t> </w:t>
      </w:r>
      <w:r>
        <w:rPr>
          <w:sz w:val="24"/>
        </w:rPr>
        <w:t>purchased</w:t>
      </w:r>
      <w:r>
        <w:rPr>
          <w:spacing w:val="-4"/>
          <w:sz w:val="24"/>
        </w:rPr>
        <w:t> </w:t>
      </w:r>
      <w:r>
        <w:rPr>
          <w:sz w:val="24"/>
        </w:rPr>
        <w:t>commercially</w:t>
      </w:r>
      <w:r>
        <w:rPr>
          <w:spacing w:val="-4"/>
          <w:sz w:val="24"/>
        </w:rPr>
        <w:t> </w:t>
      </w:r>
      <w:r>
        <w:rPr>
          <w:sz w:val="24"/>
        </w:rPr>
        <w:t>or</w:t>
      </w:r>
      <w:r>
        <w:rPr>
          <w:spacing w:val="-4"/>
          <w:sz w:val="24"/>
        </w:rPr>
        <w:t> </w:t>
      </w:r>
      <w:r>
        <w:rPr>
          <w:sz w:val="24"/>
        </w:rPr>
        <w:t>designed</w:t>
      </w:r>
      <w:r>
        <w:rPr>
          <w:spacing w:val="-4"/>
          <w:sz w:val="24"/>
        </w:rPr>
        <w:t> </w:t>
      </w:r>
      <w:r>
        <w:rPr>
          <w:sz w:val="24"/>
        </w:rPr>
        <w:t>and</w:t>
      </w:r>
      <w:r>
        <w:rPr>
          <w:spacing w:val="-4"/>
          <w:sz w:val="24"/>
        </w:rPr>
        <w:t> </w:t>
      </w:r>
      <w:r>
        <w:rPr>
          <w:sz w:val="24"/>
        </w:rPr>
        <w:t>manufactured</w:t>
      </w:r>
      <w:r>
        <w:rPr>
          <w:spacing w:val="-4"/>
          <w:sz w:val="24"/>
        </w:rPr>
        <w:t> </w:t>
      </w:r>
      <w:r>
        <w:rPr>
          <w:sz w:val="24"/>
        </w:rPr>
        <w:t>by</w:t>
      </w:r>
      <w:r>
        <w:rPr>
          <w:spacing w:val="-4"/>
          <w:sz w:val="24"/>
        </w:rPr>
        <w:t> </w:t>
      </w:r>
      <w:r>
        <w:rPr>
          <w:sz w:val="24"/>
        </w:rPr>
        <w:t>a</w:t>
      </w:r>
      <w:r>
        <w:rPr>
          <w:spacing w:val="-4"/>
          <w:sz w:val="24"/>
        </w:rPr>
        <w:t> </w:t>
      </w:r>
      <w:r>
        <w:rPr>
          <w:sz w:val="24"/>
        </w:rPr>
        <w:t>rehabilitation</w:t>
      </w:r>
      <w:r>
        <w:rPr>
          <w:spacing w:val="-4"/>
          <w:sz w:val="24"/>
        </w:rPr>
        <w:t> </w:t>
      </w:r>
      <w:r>
        <w:rPr>
          <w:sz w:val="24"/>
        </w:rPr>
        <w:t>engineer, assistive technology or sensory aids specialist depending on individual need.</w:t>
      </w:r>
    </w:p>
    <w:p>
      <w:pPr>
        <w:pStyle w:val="ListParagraph"/>
        <w:numPr>
          <w:ilvl w:val="0"/>
          <w:numId w:val="244"/>
        </w:numPr>
        <w:tabs>
          <w:tab w:pos="706" w:val="left" w:leader="none"/>
        </w:tabs>
        <w:spacing w:line="208" w:lineRule="auto" w:before="240" w:after="0"/>
        <w:ind w:left="360" w:right="792" w:firstLine="0"/>
        <w:jc w:val="left"/>
        <w:rPr>
          <w:sz w:val="24"/>
        </w:rPr>
      </w:pPr>
      <w:r>
        <w:rPr>
          <w:sz w:val="24"/>
        </w:rPr>
        <w:t>Counselors</w:t>
      </w:r>
      <w:r>
        <w:rPr>
          <w:spacing w:val="-4"/>
          <w:sz w:val="24"/>
        </w:rPr>
        <w:t> </w:t>
      </w:r>
      <w:r>
        <w:rPr>
          <w:sz w:val="24"/>
        </w:rPr>
        <w:t>and</w:t>
      </w:r>
      <w:r>
        <w:rPr>
          <w:spacing w:val="-4"/>
          <w:sz w:val="24"/>
        </w:rPr>
        <w:t> </w:t>
      </w:r>
      <w:r>
        <w:rPr>
          <w:sz w:val="24"/>
        </w:rPr>
        <w:t>rehabilitation</w:t>
      </w:r>
      <w:r>
        <w:rPr>
          <w:spacing w:val="-4"/>
          <w:sz w:val="24"/>
        </w:rPr>
        <w:t> </w:t>
      </w:r>
      <w:r>
        <w:rPr>
          <w:sz w:val="24"/>
        </w:rPr>
        <w:t>teachers</w:t>
      </w:r>
      <w:r>
        <w:rPr>
          <w:spacing w:val="-4"/>
          <w:sz w:val="24"/>
        </w:rPr>
        <w:t> </w:t>
      </w:r>
      <w:r>
        <w:rPr>
          <w:sz w:val="24"/>
        </w:rPr>
        <w:t>may</w:t>
      </w:r>
      <w:r>
        <w:rPr>
          <w:spacing w:val="-4"/>
          <w:sz w:val="24"/>
        </w:rPr>
        <w:t> </w:t>
      </w:r>
      <w:r>
        <w:rPr>
          <w:sz w:val="24"/>
        </w:rPr>
        <w:t>refer</w:t>
      </w:r>
      <w:r>
        <w:rPr>
          <w:spacing w:val="-3"/>
          <w:sz w:val="24"/>
        </w:rPr>
        <w:t> </w:t>
      </w:r>
      <w:r>
        <w:rPr>
          <w:sz w:val="24"/>
        </w:rPr>
        <w:t>clients</w:t>
      </w:r>
      <w:r>
        <w:rPr>
          <w:spacing w:val="-4"/>
          <w:sz w:val="24"/>
        </w:rPr>
        <w:t> </w:t>
      </w:r>
      <w:r>
        <w:rPr>
          <w:sz w:val="24"/>
        </w:rPr>
        <w:t>with</w:t>
      </w:r>
      <w:r>
        <w:rPr>
          <w:spacing w:val="-4"/>
          <w:sz w:val="24"/>
        </w:rPr>
        <w:t> </w:t>
      </w:r>
      <w:r>
        <w:rPr>
          <w:sz w:val="24"/>
        </w:rPr>
        <w:t>visual</w:t>
      </w:r>
      <w:r>
        <w:rPr>
          <w:spacing w:val="-4"/>
          <w:sz w:val="24"/>
        </w:rPr>
        <w:t> </w:t>
      </w:r>
      <w:r>
        <w:rPr>
          <w:sz w:val="24"/>
        </w:rPr>
        <w:t>disabilities</w:t>
      </w:r>
      <w:r>
        <w:rPr>
          <w:spacing w:val="-4"/>
          <w:sz w:val="24"/>
        </w:rPr>
        <w:t> </w:t>
      </w:r>
      <w:r>
        <w:rPr>
          <w:sz w:val="24"/>
        </w:rPr>
        <w:t>to</w:t>
      </w:r>
      <w:r>
        <w:rPr>
          <w:spacing w:val="-4"/>
          <w:sz w:val="24"/>
        </w:rPr>
        <w:t> </w:t>
      </w:r>
      <w:r>
        <w:rPr>
          <w:sz w:val="24"/>
        </w:rPr>
        <w:t>the Division of Services for the Blind and Visually Impaired assistive technology laboratory for blindness and low vision which may provide or procure:</w:t>
      </w:r>
    </w:p>
    <w:p>
      <w:pPr>
        <w:pStyle w:val="ListParagraph"/>
        <w:numPr>
          <w:ilvl w:val="1"/>
          <w:numId w:val="244"/>
        </w:numPr>
        <w:tabs>
          <w:tab w:pos="1146" w:val="left" w:leader="none"/>
        </w:tabs>
        <w:spacing w:line="240" w:lineRule="auto" w:before="211" w:after="0"/>
        <w:ind w:left="1146" w:right="0" w:hanging="426"/>
        <w:jc w:val="left"/>
        <w:rPr>
          <w:sz w:val="24"/>
        </w:rPr>
      </w:pPr>
      <w:r>
        <w:rPr>
          <w:sz w:val="24"/>
        </w:rPr>
        <w:t>assistive</w:t>
      </w:r>
      <w:r>
        <w:rPr>
          <w:spacing w:val="-6"/>
          <w:sz w:val="24"/>
        </w:rPr>
        <w:t> </w:t>
      </w:r>
      <w:r>
        <w:rPr>
          <w:sz w:val="24"/>
        </w:rPr>
        <w:t>technology</w:t>
      </w:r>
      <w:r>
        <w:rPr>
          <w:spacing w:val="-5"/>
          <w:sz w:val="24"/>
        </w:rPr>
        <w:t> </w:t>
      </w:r>
      <w:r>
        <w:rPr>
          <w:spacing w:val="-2"/>
          <w:sz w:val="24"/>
        </w:rPr>
        <w:t>evaluations;</w:t>
      </w:r>
    </w:p>
    <w:p>
      <w:pPr>
        <w:pStyle w:val="ListParagraph"/>
        <w:numPr>
          <w:ilvl w:val="1"/>
          <w:numId w:val="244"/>
        </w:numPr>
        <w:tabs>
          <w:tab w:pos="1145" w:val="left" w:leader="none"/>
        </w:tabs>
        <w:spacing w:line="208" w:lineRule="auto" w:before="233" w:after="0"/>
        <w:ind w:left="720" w:right="793" w:firstLine="0"/>
        <w:jc w:val="left"/>
        <w:rPr>
          <w:sz w:val="24"/>
        </w:rPr>
      </w:pPr>
      <w:r>
        <w:rPr>
          <w:sz w:val="24"/>
        </w:rPr>
        <w:t>recommendation</w:t>
      </w:r>
      <w:r>
        <w:rPr>
          <w:spacing w:val="-4"/>
          <w:sz w:val="24"/>
        </w:rPr>
        <w:t> </w:t>
      </w:r>
      <w:r>
        <w:rPr>
          <w:sz w:val="24"/>
        </w:rPr>
        <w:t>of</w:t>
      </w:r>
      <w:r>
        <w:rPr>
          <w:spacing w:val="-4"/>
          <w:sz w:val="24"/>
        </w:rPr>
        <w:t> </w:t>
      </w:r>
      <w:r>
        <w:rPr>
          <w:sz w:val="24"/>
        </w:rPr>
        <w:t>assistive</w:t>
      </w:r>
      <w:r>
        <w:rPr>
          <w:spacing w:val="-5"/>
          <w:sz w:val="24"/>
        </w:rPr>
        <w:t> </w:t>
      </w:r>
      <w:r>
        <w:rPr>
          <w:sz w:val="24"/>
        </w:rPr>
        <w:t>technology</w:t>
      </w:r>
      <w:r>
        <w:rPr>
          <w:spacing w:val="-4"/>
          <w:sz w:val="24"/>
        </w:rPr>
        <w:t> </w:t>
      </w:r>
      <w:r>
        <w:rPr>
          <w:sz w:val="24"/>
        </w:rPr>
        <w:t>devices</w:t>
      </w:r>
      <w:r>
        <w:rPr>
          <w:spacing w:val="-5"/>
          <w:sz w:val="24"/>
        </w:rPr>
        <w:t> </w:t>
      </w:r>
      <w:r>
        <w:rPr>
          <w:sz w:val="24"/>
        </w:rPr>
        <w:t>and</w:t>
      </w:r>
      <w:r>
        <w:rPr>
          <w:spacing w:val="-5"/>
          <w:sz w:val="24"/>
        </w:rPr>
        <w:t> </w:t>
      </w:r>
      <w:r>
        <w:rPr>
          <w:sz w:val="24"/>
        </w:rPr>
        <w:t>services</w:t>
      </w:r>
      <w:r>
        <w:rPr>
          <w:spacing w:val="-5"/>
          <w:sz w:val="24"/>
        </w:rPr>
        <w:t> </w:t>
      </w:r>
      <w:r>
        <w:rPr>
          <w:sz w:val="24"/>
        </w:rPr>
        <w:t>to</w:t>
      </w:r>
      <w:r>
        <w:rPr>
          <w:spacing w:val="-5"/>
          <w:sz w:val="24"/>
        </w:rPr>
        <w:t> </w:t>
      </w:r>
      <w:r>
        <w:rPr>
          <w:sz w:val="24"/>
        </w:rPr>
        <w:t>meet</w:t>
      </w:r>
      <w:r>
        <w:rPr>
          <w:spacing w:val="-4"/>
          <w:sz w:val="24"/>
        </w:rPr>
        <w:t> </w:t>
      </w:r>
      <w:r>
        <w:rPr>
          <w:sz w:val="24"/>
        </w:rPr>
        <w:t>individual </w:t>
      </w:r>
      <w:r>
        <w:rPr>
          <w:spacing w:val="-2"/>
          <w:sz w:val="24"/>
        </w:rPr>
        <w:t>needs;</w:t>
      </w:r>
    </w:p>
    <w:p>
      <w:pPr>
        <w:pStyle w:val="ListParagraph"/>
        <w:numPr>
          <w:ilvl w:val="1"/>
          <w:numId w:val="244"/>
        </w:numPr>
        <w:tabs>
          <w:tab w:pos="1145" w:val="left" w:leader="none"/>
        </w:tabs>
        <w:spacing w:line="208" w:lineRule="auto" w:before="240" w:after="0"/>
        <w:ind w:left="720" w:right="1568" w:firstLine="0"/>
        <w:jc w:val="left"/>
        <w:rPr>
          <w:sz w:val="24"/>
        </w:rPr>
      </w:pPr>
      <w:r>
        <w:rPr>
          <w:sz w:val="24"/>
        </w:rPr>
        <w:t>training</w:t>
      </w:r>
      <w:r>
        <w:rPr>
          <w:spacing w:val="-4"/>
          <w:sz w:val="24"/>
        </w:rPr>
        <w:t> </w:t>
      </w:r>
      <w:r>
        <w:rPr>
          <w:sz w:val="24"/>
        </w:rPr>
        <w:t>in</w:t>
      </w:r>
      <w:r>
        <w:rPr>
          <w:spacing w:val="-4"/>
          <w:sz w:val="24"/>
        </w:rPr>
        <w:t> </w:t>
      </w:r>
      <w:r>
        <w:rPr>
          <w:sz w:val="24"/>
        </w:rPr>
        <w:t>use</w:t>
      </w:r>
      <w:r>
        <w:rPr>
          <w:spacing w:val="-4"/>
          <w:sz w:val="24"/>
        </w:rPr>
        <w:t> </w:t>
      </w:r>
      <w:r>
        <w:rPr>
          <w:sz w:val="24"/>
        </w:rPr>
        <w:t>of</w:t>
      </w:r>
      <w:r>
        <w:rPr>
          <w:spacing w:val="-3"/>
          <w:sz w:val="24"/>
        </w:rPr>
        <w:t> </w:t>
      </w:r>
      <w:r>
        <w:rPr>
          <w:sz w:val="24"/>
        </w:rPr>
        <w:t>technology</w:t>
      </w:r>
      <w:r>
        <w:rPr>
          <w:spacing w:val="-4"/>
          <w:sz w:val="24"/>
        </w:rPr>
        <w:t> </w:t>
      </w:r>
      <w:r>
        <w:rPr>
          <w:sz w:val="24"/>
        </w:rPr>
        <w:t>and</w:t>
      </w:r>
      <w:r>
        <w:rPr>
          <w:spacing w:val="-4"/>
          <w:sz w:val="24"/>
        </w:rPr>
        <w:t> </w:t>
      </w:r>
      <w:r>
        <w:rPr>
          <w:sz w:val="24"/>
        </w:rPr>
        <w:t>devices,</w:t>
      </w:r>
      <w:r>
        <w:rPr>
          <w:spacing w:val="-3"/>
          <w:sz w:val="24"/>
        </w:rPr>
        <w:t> </w:t>
      </w:r>
      <w:r>
        <w:rPr>
          <w:sz w:val="24"/>
        </w:rPr>
        <w:t>referral</w:t>
      </w:r>
      <w:r>
        <w:rPr>
          <w:spacing w:val="-4"/>
          <w:sz w:val="24"/>
        </w:rPr>
        <w:t> </w:t>
      </w:r>
      <w:r>
        <w:rPr>
          <w:sz w:val="24"/>
        </w:rPr>
        <w:t>to</w:t>
      </w:r>
      <w:r>
        <w:rPr>
          <w:spacing w:val="-4"/>
          <w:sz w:val="24"/>
        </w:rPr>
        <w:t> </w:t>
      </w:r>
      <w:r>
        <w:rPr>
          <w:sz w:val="24"/>
        </w:rPr>
        <w:t>training</w:t>
      </w:r>
      <w:r>
        <w:rPr>
          <w:spacing w:val="-4"/>
          <w:sz w:val="24"/>
        </w:rPr>
        <w:t> </w:t>
      </w:r>
      <w:r>
        <w:rPr>
          <w:sz w:val="24"/>
        </w:rPr>
        <w:t>sources</w:t>
      </w:r>
      <w:r>
        <w:rPr>
          <w:spacing w:val="-4"/>
          <w:sz w:val="24"/>
        </w:rPr>
        <w:t> </w:t>
      </w:r>
      <w:r>
        <w:rPr>
          <w:sz w:val="24"/>
        </w:rPr>
        <w:t>and information on training options;</w:t>
      </w:r>
    </w:p>
    <w:p>
      <w:pPr>
        <w:pStyle w:val="ListParagraph"/>
        <w:numPr>
          <w:ilvl w:val="1"/>
          <w:numId w:val="244"/>
        </w:numPr>
        <w:tabs>
          <w:tab w:pos="1146" w:val="left" w:leader="none"/>
        </w:tabs>
        <w:spacing w:line="240" w:lineRule="auto" w:before="210" w:after="0"/>
        <w:ind w:left="1146" w:right="0" w:hanging="426"/>
        <w:jc w:val="left"/>
        <w:rPr>
          <w:sz w:val="24"/>
        </w:rPr>
      </w:pPr>
      <w:r>
        <w:rPr>
          <w:sz w:val="24"/>
        </w:rPr>
        <w:t>information</w:t>
      </w:r>
      <w:r>
        <w:rPr>
          <w:spacing w:val="-6"/>
          <w:sz w:val="24"/>
        </w:rPr>
        <w:t> </w:t>
      </w:r>
      <w:r>
        <w:rPr>
          <w:sz w:val="24"/>
        </w:rPr>
        <w:t>on</w:t>
      </w:r>
      <w:r>
        <w:rPr>
          <w:spacing w:val="-4"/>
          <w:sz w:val="24"/>
        </w:rPr>
        <w:t> </w:t>
      </w:r>
      <w:r>
        <w:rPr>
          <w:sz w:val="24"/>
        </w:rPr>
        <w:t>technologies</w:t>
      </w:r>
      <w:r>
        <w:rPr>
          <w:spacing w:val="-4"/>
          <w:sz w:val="24"/>
        </w:rPr>
        <w:t> </w:t>
      </w:r>
      <w:r>
        <w:rPr>
          <w:sz w:val="24"/>
        </w:rPr>
        <w:t>and</w:t>
      </w:r>
      <w:r>
        <w:rPr>
          <w:spacing w:val="-4"/>
          <w:sz w:val="24"/>
        </w:rPr>
        <w:t> </w:t>
      </w:r>
      <w:r>
        <w:rPr>
          <w:sz w:val="24"/>
        </w:rPr>
        <w:t>devices</w:t>
      </w:r>
      <w:r>
        <w:rPr>
          <w:spacing w:val="-3"/>
          <w:sz w:val="24"/>
        </w:rPr>
        <w:t> </w:t>
      </w:r>
      <w:r>
        <w:rPr>
          <w:sz w:val="24"/>
        </w:rPr>
        <w:t>to</w:t>
      </w:r>
      <w:r>
        <w:rPr>
          <w:spacing w:val="-4"/>
          <w:sz w:val="24"/>
        </w:rPr>
        <w:t> </w:t>
      </w:r>
      <w:r>
        <w:rPr>
          <w:sz w:val="24"/>
        </w:rPr>
        <w:t>meet</w:t>
      </w:r>
      <w:r>
        <w:rPr>
          <w:spacing w:val="-3"/>
          <w:sz w:val="24"/>
        </w:rPr>
        <w:t> </w:t>
      </w:r>
      <w:r>
        <w:rPr>
          <w:sz w:val="24"/>
        </w:rPr>
        <w:t>specific</w:t>
      </w:r>
      <w:r>
        <w:rPr>
          <w:spacing w:val="-4"/>
          <w:sz w:val="24"/>
        </w:rPr>
        <w:t> </w:t>
      </w:r>
      <w:r>
        <w:rPr>
          <w:sz w:val="24"/>
        </w:rPr>
        <w:t>individual</w:t>
      </w:r>
      <w:r>
        <w:rPr>
          <w:spacing w:val="-3"/>
          <w:sz w:val="24"/>
        </w:rPr>
        <w:t> </w:t>
      </w:r>
      <w:r>
        <w:rPr>
          <w:spacing w:val="-2"/>
          <w:sz w:val="24"/>
        </w:rPr>
        <w:t>needs;</w:t>
      </w:r>
    </w:p>
    <w:p>
      <w:pPr>
        <w:pStyle w:val="ListParagraph"/>
        <w:numPr>
          <w:ilvl w:val="1"/>
          <w:numId w:val="244"/>
        </w:numPr>
        <w:tabs>
          <w:tab w:pos="1145" w:val="left" w:leader="none"/>
        </w:tabs>
        <w:spacing w:line="208" w:lineRule="auto" w:before="234" w:after="0"/>
        <w:ind w:left="720" w:right="1297" w:firstLine="0"/>
        <w:jc w:val="left"/>
        <w:rPr>
          <w:sz w:val="24"/>
        </w:rPr>
      </w:pPr>
      <w:r>
        <w:rPr>
          <w:sz w:val="24"/>
        </w:rPr>
        <w:t>technical</w:t>
      </w:r>
      <w:r>
        <w:rPr>
          <w:spacing w:val="-5"/>
          <w:sz w:val="24"/>
        </w:rPr>
        <w:t> </w:t>
      </w:r>
      <w:r>
        <w:rPr>
          <w:sz w:val="24"/>
        </w:rPr>
        <w:t>assistance</w:t>
      </w:r>
      <w:r>
        <w:rPr>
          <w:spacing w:val="-5"/>
          <w:sz w:val="24"/>
        </w:rPr>
        <w:t> </w:t>
      </w:r>
      <w:r>
        <w:rPr>
          <w:sz w:val="24"/>
        </w:rPr>
        <w:t>for</w:t>
      </w:r>
      <w:r>
        <w:rPr>
          <w:spacing w:val="-4"/>
          <w:sz w:val="24"/>
        </w:rPr>
        <w:t> </w:t>
      </w:r>
      <w:r>
        <w:rPr>
          <w:sz w:val="24"/>
        </w:rPr>
        <w:t>installation</w:t>
      </w:r>
      <w:r>
        <w:rPr>
          <w:spacing w:val="-5"/>
          <w:sz w:val="24"/>
        </w:rPr>
        <w:t> </w:t>
      </w:r>
      <w:r>
        <w:rPr>
          <w:sz w:val="24"/>
        </w:rPr>
        <w:t>and</w:t>
      </w:r>
      <w:r>
        <w:rPr>
          <w:spacing w:val="-4"/>
          <w:sz w:val="24"/>
        </w:rPr>
        <w:t> </w:t>
      </w:r>
      <w:r>
        <w:rPr>
          <w:sz w:val="24"/>
        </w:rPr>
        <w:t>operation</w:t>
      </w:r>
      <w:r>
        <w:rPr>
          <w:spacing w:val="-5"/>
          <w:sz w:val="24"/>
        </w:rPr>
        <w:t> </w:t>
      </w:r>
      <w:r>
        <w:rPr>
          <w:sz w:val="24"/>
        </w:rPr>
        <w:t>of</w:t>
      </w:r>
      <w:r>
        <w:rPr>
          <w:spacing w:val="-4"/>
          <w:sz w:val="24"/>
        </w:rPr>
        <w:t> </w:t>
      </w:r>
      <w:r>
        <w:rPr>
          <w:sz w:val="24"/>
        </w:rPr>
        <w:t>select</w:t>
      </w:r>
      <w:r>
        <w:rPr>
          <w:spacing w:val="-4"/>
          <w:sz w:val="24"/>
        </w:rPr>
        <w:t> </w:t>
      </w:r>
      <w:r>
        <w:rPr>
          <w:sz w:val="24"/>
        </w:rPr>
        <w:t>applications</w:t>
      </w:r>
      <w:r>
        <w:rPr>
          <w:spacing w:val="-5"/>
          <w:sz w:val="24"/>
        </w:rPr>
        <w:t> </w:t>
      </w:r>
      <w:r>
        <w:rPr>
          <w:sz w:val="24"/>
        </w:rPr>
        <w:t>and devices; and</w:t>
      </w:r>
    </w:p>
    <w:p>
      <w:pPr>
        <w:pStyle w:val="ListParagraph"/>
        <w:numPr>
          <w:ilvl w:val="1"/>
          <w:numId w:val="244"/>
        </w:numPr>
        <w:tabs>
          <w:tab w:pos="1146" w:val="left" w:leader="none"/>
        </w:tabs>
        <w:spacing w:line="208" w:lineRule="auto" w:before="239" w:after="0"/>
        <w:ind w:left="720" w:right="1393" w:firstLine="0"/>
        <w:jc w:val="left"/>
        <w:rPr>
          <w:sz w:val="24"/>
        </w:rPr>
      </w:pPr>
      <w:r>
        <w:rPr>
          <w:sz w:val="24"/>
        </w:rPr>
        <w:t>demonstration</w:t>
      </w:r>
      <w:r>
        <w:rPr>
          <w:spacing w:val="-5"/>
          <w:sz w:val="24"/>
        </w:rPr>
        <w:t> </w:t>
      </w:r>
      <w:r>
        <w:rPr>
          <w:sz w:val="24"/>
        </w:rPr>
        <w:t>and</w:t>
      </w:r>
      <w:r>
        <w:rPr>
          <w:spacing w:val="-5"/>
          <w:sz w:val="24"/>
        </w:rPr>
        <w:t> </w:t>
      </w:r>
      <w:r>
        <w:rPr>
          <w:sz w:val="24"/>
        </w:rPr>
        <w:t>loan</w:t>
      </w:r>
      <w:r>
        <w:rPr>
          <w:spacing w:val="-5"/>
          <w:sz w:val="24"/>
        </w:rPr>
        <w:t> </w:t>
      </w:r>
      <w:r>
        <w:rPr>
          <w:sz w:val="24"/>
        </w:rPr>
        <w:t>of</w:t>
      </w:r>
      <w:r>
        <w:rPr>
          <w:spacing w:val="-4"/>
          <w:sz w:val="24"/>
        </w:rPr>
        <w:t> </w:t>
      </w:r>
      <w:r>
        <w:rPr>
          <w:sz w:val="24"/>
        </w:rPr>
        <w:t>adaptive</w:t>
      </w:r>
      <w:r>
        <w:rPr>
          <w:spacing w:val="-5"/>
          <w:sz w:val="24"/>
        </w:rPr>
        <w:t> </w:t>
      </w:r>
      <w:r>
        <w:rPr>
          <w:sz w:val="24"/>
        </w:rPr>
        <w:t>aids,</w:t>
      </w:r>
      <w:r>
        <w:rPr>
          <w:spacing w:val="-4"/>
          <w:sz w:val="24"/>
        </w:rPr>
        <w:t> </w:t>
      </w:r>
      <w:r>
        <w:rPr>
          <w:sz w:val="24"/>
        </w:rPr>
        <w:t>devices,</w:t>
      </w:r>
      <w:r>
        <w:rPr>
          <w:spacing w:val="-6"/>
          <w:sz w:val="24"/>
        </w:rPr>
        <w:t> </w:t>
      </w:r>
      <w:r>
        <w:rPr>
          <w:sz w:val="24"/>
        </w:rPr>
        <w:t>electronic</w:t>
      </w:r>
      <w:r>
        <w:rPr>
          <w:spacing w:val="-5"/>
          <w:sz w:val="24"/>
        </w:rPr>
        <w:t> </w:t>
      </w:r>
      <w:r>
        <w:rPr>
          <w:sz w:val="24"/>
        </w:rPr>
        <w:t>and</w:t>
      </w:r>
      <w:r>
        <w:rPr>
          <w:spacing w:val="-5"/>
          <w:sz w:val="24"/>
        </w:rPr>
        <w:t> </w:t>
      </w:r>
      <w:r>
        <w:rPr>
          <w:sz w:val="24"/>
        </w:rPr>
        <w:t>computer technologies and other assistive technology products.</w:t>
      </w:r>
    </w:p>
    <w:p>
      <w:pPr>
        <w:pStyle w:val="ListParagraph"/>
        <w:spacing w:after="0" w:line="208" w:lineRule="auto"/>
        <w:jc w:val="left"/>
        <w:rPr>
          <w:sz w:val="24"/>
        </w:rPr>
        <w:sectPr>
          <w:pgSz w:w="12240" w:h="15840"/>
          <w:pgMar w:top="1340" w:bottom="280" w:left="1080" w:right="720"/>
        </w:sectPr>
      </w:pPr>
    </w:p>
    <w:p>
      <w:pPr>
        <w:pStyle w:val="BodyText"/>
        <w:spacing w:before="67"/>
      </w:pPr>
      <w:r>
        <w:rPr/>
        <w:t>INSTRUCTIONS</w:t>
      </w:r>
      <w:r>
        <w:rPr>
          <w:spacing w:val="-3"/>
        </w:rPr>
        <w:t> </w:t>
      </w:r>
      <w:r>
        <w:rPr/>
        <w:t>TO</w:t>
      </w:r>
      <w:r>
        <w:rPr>
          <w:spacing w:val="-2"/>
        </w:rPr>
        <w:t> </w:t>
      </w:r>
      <w:r>
        <w:rPr>
          <w:spacing w:val="-4"/>
        </w:rPr>
        <w:t>STAFF</w:t>
      </w:r>
    </w:p>
    <w:p>
      <w:pPr>
        <w:pStyle w:val="ListParagraph"/>
        <w:numPr>
          <w:ilvl w:val="0"/>
          <w:numId w:val="245"/>
        </w:numPr>
        <w:tabs>
          <w:tab w:pos="1077" w:val="left" w:leader="none"/>
        </w:tabs>
        <w:spacing w:line="240" w:lineRule="auto" w:before="204" w:after="0"/>
        <w:ind w:left="1077" w:right="0" w:hanging="286"/>
        <w:jc w:val="left"/>
        <w:rPr>
          <w:sz w:val="24"/>
        </w:rPr>
      </w:pPr>
      <w:hyperlink r:id="rId38">
        <w:r>
          <w:rPr>
            <w:color w:val="0000FF"/>
            <w:sz w:val="24"/>
            <w:u w:val="single" w:color="0000FF"/>
          </w:rPr>
          <w:t>34</w:t>
        </w:r>
        <w:r>
          <w:rPr>
            <w:color w:val="0000FF"/>
            <w:spacing w:val="-2"/>
            <w:sz w:val="24"/>
            <w:u w:val="single" w:color="0000FF"/>
          </w:rPr>
          <w:t> </w:t>
        </w:r>
        <w:r>
          <w:rPr>
            <w:color w:val="0000FF"/>
            <w:sz w:val="24"/>
            <w:u w:val="single" w:color="0000FF"/>
          </w:rPr>
          <w:t>CFR</w:t>
        </w:r>
        <w:r>
          <w:rPr>
            <w:color w:val="0000FF"/>
            <w:spacing w:val="-1"/>
            <w:sz w:val="24"/>
            <w:u w:val="single" w:color="0000FF"/>
          </w:rPr>
          <w:t> </w:t>
        </w:r>
        <w:r>
          <w:rPr>
            <w:color w:val="0000FF"/>
            <w:spacing w:val="-2"/>
            <w:sz w:val="24"/>
            <w:u w:val="single" w:color="0000FF"/>
          </w:rPr>
          <w:t>361.5(45),(44)&amp;(6)</w:t>
        </w:r>
      </w:hyperlink>
    </w:p>
    <w:p>
      <w:pPr>
        <w:pStyle w:val="ListParagraph"/>
        <w:numPr>
          <w:ilvl w:val="0"/>
          <w:numId w:val="245"/>
        </w:numPr>
        <w:tabs>
          <w:tab w:pos="1077" w:val="left" w:leader="none"/>
        </w:tabs>
        <w:spacing w:line="208" w:lineRule="auto" w:before="233" w:after="0"/>
        <w:ind w:left="791" w:right="1073" w:firstLine="0"/>
        <w:jc w:val="left"/>
        <w:rPr>
          <w:sz w:val="24"/>
        </w:rPr>
      </w:pPr>
      <w:r>
        <w:rPr>
          <w:sz w:val="24"/>
        </w:rPr>
        <w:t>When</w:t>
      </w:r>
      <w:r>
        <w:rPr>
          <w:spacing w:val="-5"/>
          <w:sz w:val="24"/>
        </w:rPr>
        <w:t> </w:t>
      </w:r>
      <w:r>
        <w:rPr>
          <w:sz w:val="24"/>
        </w:rPr>
        <w:t>selecting</w:t>
      </w:r>
      <w:r>
        <w:rPr>
          <w:spacing w:val="-5"/>
          <w:sz w:val="24"/>
        </w:rPr>
        <w:t> </w:t>
      </w:r>
      <w:r>
        <w:rPr>
          <w:sz w:val="24"/>
        </w:rPr>
        <w:t>and</w:t>
      </w:r>
      <w:r>
        <w:rPr>
          <w:spacing w:val="-5"/>
          <w:sz w:val="24"/>
        </w:rPr>
        <w:t> </w:t>
      </w:r>
      <w:r>
        <w:rPr>
          <w:sz w:val="24"/>
        </w:rPr>
        <w:t>procuring</w:t>
      </w:r>
      <w:r>
        <w:rPr>
          <w:spacing w:val="-5"/>
          <w:sz w:val="24"/>
        </w:rPr>
        <w:t> </w:t>
      </w:r>
      <w:r>
        <w:rPr>
          <w:sz w:val="24"/>
        </w:rPr>
        <w:t>rehabilitation</w:t>
      </w:r>
      <w:r>
        <w:rPr>
          <w:spacing w:val="-4"/>
          <w:sz w:val="24"/>
        </w:rPr>
        <w:t> </w:t>
      </w:r>
      <w:r>
        <w:rPr>
          <w:sz w:val="24"/>
        </w:rPr>
        <w:t>technology</w:t>
      </w:r>
      <w:r>
        <w:rPr>
          <w:spacing w:val="-4"/>
          <w:sz w:val="24"/>
        </w:rPr>
        <w:t> </w:t>
      </w:r>
      <w:r>
        <w:rPr>
          <w:sz w:val="24"/>
        </w:rPr>
        <w:t>services</w:t>
      </w:r>
      <w:r>
        <w:rPr>
          <w:spacing w:val="-5"/>
          <w:sz w:val="24"/>
        </w:rPr>
        <w:t> </w:t>
      </w:r>
      <w:r>
        <w:rPr>
          <w:sz w:val="24"/>
        </w:rPr>
        <w:t>the</w:t>
      </w:r>
      <w:r>
        <w:rPr>
          <w:spacing w:val="-5"/>
          <w:sz w:val="24"/>
        </w:rPr>
        <w:t> </w:t>
      </w:r>
      <w:r>
        <w:rPr>
          <w:sz w:val="24"/>
        </w:rPr>
        <w:t>counselor and client should consider:</w:t>
      </w:r>
    </w:p>
    <w:p>
      <w:pPr>
        <w:pStyle w:val="ListParagraph"/>
        <w:numPr>
          <w:ilvl w:val="1"/>
          <w:numId w:val="245"/>
        </w:numPr>
        <w:tabs>
          <w:tab w:pos="1799" w:val="left" w:leader="none"/>
        </w:tabs>
        <w:spacing w:line="208" w:lineRule="auto" w:before="240" w:after="0"/>
        <w:ind w:left="1224" w:right="900" w:firstLine="0"/>
        <w:jc w:val="left"/>
        <w:rPr>
          <w:sz w:val="24"/>
        </w:rPr>
      </w:pPr>
      <w:r>
        <w:rPr>
          <w:sz w:val="24"/>
        </w:rPr>
        <w:t>whether</w:t>
      </w:r>
      <w:r>
        <w:rPr>
          <w:spacing w:val="-4"/>
          <w:sz w:val="24"/>
        </w:rPr>
        <w:t> </w:t>
      </w:r>
      <w:r>
        <w:rPr>
          <w:sz w:val="24"/>
        </w:rPr>
        <w:t>the</w:t>
      </w:r>
      <w:r>
        <w:rPr>
          <w:spacing w:val="-5"/>
          <w:sz w:val="24"/>
        </w:rPr>
        <w:t> </w:t>
      </w:r>
      <w:r>
        <w:rPr>
          <w:sz w:val="24"/>
        </w:rPr>
        <w:t>equipment</w:t>
      </w:r>
      <w:r>
        <w:rPr>
          <w:spacing w:val="-4"/>
          <w:sz w:val="24"/>
        </w:rPr>
        <w:t> </w:t>
      </w:r>
      <w:r>
        <w:rPr>
          <w:sz w:val="24"/>
        </w:rPr>
        <w:t>and/or</w:t>
      </w:r>
      <w:r>
        <w:rPr>
          <w:spacing w:val="-4"/>
          <w:sz w:val="24"/>
        </w:rPr>
        <w:t> </w:t>
      </w:r>
      <w:r>
        <w:rPr>
          <w:sz w:val="24"/>
        </w:rPr>
        <w:t>services</w:t>
      </w:r>
      <w:r>
        <w:rPr>
          <w:spacing w:val="-5"/>
          <w:sz w:val="24"/>
        </w:rPr>
        <w:t> </w:t>
      </w:r>
      <w:r>
        <w:rPr>
          <w:sz w:val="24"/>
        </w:rPr>
        <w:t>can</w:t>
      </w:r>
      <w:r>
        <w:rPr>
          <w:spacing w:val="-5"/>
          <w:sz w:val="24"/>
        </w:rPr>
        <w:t> </w:t>
      </w:r>
      <w:r>
        <w:rPr>
          <w:sz w:val="24"/>
        </w:rPr>
        <w:t>assist</w:t>
      </w:r>
      <w:r>
        <w:rPr>
          <w:spacing w:val="-4"/>
          <w:sz w:val="24"/>
        </w:rPr>
        <w:t> </w:t>
      </w:r>
      <w:r>
        <w:rPr>
          <w:sz w:val="24"/>
        </w:rPr>
        <w:t>the</w:t>
      </w:r>
      <w:r>
        <w:rPr>
          <w:spacing w:val="-5"/>
          <w:sz w:val="24"/>
        </w:rPr>
        <w:t> </w:t>
      </w:r>
      <w:r>
        <w:rPr>
          <w:sz w:val="24"/>
        </w:rPr>
        <w:t>client</w:t>
      </w:r>
      <w:r>
        <w:rPr>
          <w:spacing w:val="-4"/>
          <w:sz w:val="24"/>
        </w:rPr>
        <w:t> </w:t>
      </w:r>
      <w:r>
        <w:rPr>
          <w:sz w:val="24"/>
        </w:rPr>
        <w:t>to</w:t>
      </w:r>
      <w:r>
        <w:rPr>
          <w:spacing w:val="-5"/>
          <w:sz w:val="24"/>
        </w:rPr>
        <w:t> </w:t>
      </w:r>
      <w:r>
        <w:rPr>
          <w:sz w:val="24"/>
        </w:rPr>
        <w:t>participate in the rehabilitation program, achieve an employment outcome or maximize independent living as documented through a job analysis survey, specialist's recommendation, home analysis or other assessment;</w:t>
      </w:r>
    </w:p>
    <w:p>
      <w:pPr>
        <w:pStyle w:val="ListParagraph"/>
        <w:numPr>
          <w:ilvl w:val="1"/>
          <w:numId w:val="245"/>
        </w:numPr>
        <w:tabs>
          <w:tab w:pos="1799" w:val="left" w:leader="none"/>
        </w:tabs>
        <w:spacing w:line="208" w:lineRule="auto" w:before="239" w:after="0"/>
        <w:ind w:left="1224" w:right="756" w:firstLine="0"/>
        <w:jc w:val="left"/>
        <w:rPr>
          <w:sz w:val="24"/>
        </w:rPr>
      </w:pPr>
      <w:r>
        <w:rPr>
          <w:sz w:val="24"/>
        </w:rPr>
        <w:t>whether the client has, as evidenced by an appropriate evaluation, the necessary</w:t>
      </w:r>
      <w:r>
        <w:rPr>
          <w:spacing w:val="-4"/>
          <w:sz w:val="24"/>
        </w:rPr>
        <w:t> </w:t>
      </w:r>
      <w:r>
        <w:rPr>
          <w:sz w:val="24"/>
        </w:rPr>
        <w:t>capabilities,</w:t>
      </w:r>
      <w:r>
        <w:rPr>
          <w:spacing w:val="-4"/>
          <w:sz w:val="24"/>
        </w:rPr>
        <w:t> </w:t>
      </w:r>
      <w:r>
        <w:rPr>
          <w:sz w:val="24"/>
        </w:rPr>
        <w:t>abilities,</w:t>
      </w:r>
      <w:r>
        <w:rPr>
          <w:spacing w:val="-4"/>
          <w:sz w:val="24"/>
        </w:rPr>
        <w:t> </w:t>
      </w:r>
      <w:r>
        <w:rPr>
          <w:sz w:val="24"/>
        </w:rPr>
        <w:t>and</w:t>
      </w:r>
      <w:r>
        <w:rPr>
          <w:spacing w:val="-4"/>
          <w:sz w:val="24"/>
        </w:rPr>
        <w:t> </w:t>
      </w:r>
      <w:r>
        <w:rPr>
          <w:sz w:val="24"/>
        </w:rPr>
        <w:t>interest</w:t>
      </w:r>
      <w:r>
        <w:rPr>
          <w:spacing w:val="-5"/>
          <w:sz w:val="24"/>
        </w:rPr>
        <w:t> </w:t>
      </w:r>
      <w:r>
        <w:rPr>
          <w:sz w:val="24"/>
        </w:rPr>
        <w:t>to</w:t>
      </w:r>
      <w:r>
        <w:rPr>
          <w:spacing w:val="-4"/>
          <w:sz w:val="24"/>
        </w:rPr>
        <w:t> </w:t>
      </w:r>
      <w:r>
        <w:rPr>
          <w:sz w:val="24"/>
        </w:rPr>
        <w:t>operate</w:t>
      </w:r>
      <w:r>
        <w:rPr>
          <w:spacing w:val="-5"/>
          <w:sz w:val="24"/>
        </w:rPr>
        <w:t> </w:t>
      </w:r>
      <w:r>
        <w:rPr>
          <w:sz w:val="24"/>
        </w:rPr>
        <w:t>the</w:t>
      </w:r>
      <w:r>
        <w:rPr>
          <w:spacing w:val="-4"/>
          <w:sz w:val="24"/>
        </w:rPr>
        <w:t> </w:t>
      </w:r>
      <w:r>
        <w:rPr>
          <w:sz w:val="24"/>
        </w:rPr>
        <w:t>devices</w:t>
      </w:r>
      <w:r>
        <w:rPr>
          <w:spacing w:val="-4"/>
          <w:sz w:val="24"/>
        </w:rPr>
        <w:t> </w:t>
      </w:r>
      <w:r>
        <w:rPr>
          <w:sz w:val="24"/>
        </w:rPr>
        <w:t>and</w:t>
      </w:r>
      <w:r>
        <w:rPr>
          <w:spacing w:val="-4"/>
          <w:sz w:val="24"/>
        </w:rPr>
        <w:t> </w:t>
      </w:r>
      <w:r>
        <w:rPr>
          <w:sz w:val="24"/>
        </w:rPr>
        <w:t>perform the job tasks;</w:t>
      </w:r>
    </w:p>
    <w:p>
      <w:pPr>
        <w:pStyle w:val="ListParagraph"/>
        <w:numPr>
          <w:ilvl w:val="1"/>
          <w:numId w:val="245"/>
        </w:numPr>
        <w:tabs>
          <w:tab w:pos="1799" w:val="left" w:leader="none"/>
        </w:tabs>
        <w:spacing w:line="208" w:lineRule="auto" w:before="240" w:after="0"/>
        <w:ind w:left="1224" w:right="1139" w:firstLine="0"/>
        <w:jc w:val="left"/>
        <w:rPr>
          <w:sz w:val="24"/>
        </w:rPr>
      </w:pPr>
      <w:r>
        <w:rPr>
          <w:sz w:val="24"/>
        </w:rPr>
        <w:t>the</w:t>
      </w:r>
      <w:r>
        <w:rPr>
          <w:spacing w:val="-3"/>
          <w:sz w:val="24"/>
        </w:rPr>
        <w:t> </w:t>
      </w:r>
      <w:r>
        <w:rPr>
          <w:sz w:val="24"/>
        </w:rPr>
        <w:t>client</w:t>
      </w:r>
      <w:r>
        <w:rPr>
          <w:spacing w:val="-2"/>
          <w:sz w:val="24"/>
        </w:rPr>
        <w:t> </w:t>
      </w:r>
      <w:r>
        <w:rPr>
          <w:sz w:val="24"/>
        </w:rPr>
        <w:t>is</w:t>
      </w:r>
      <w:r>
        <w:rPr>
          <w:spacing w:val="-3"/>
          <w:sz w:val="24"/>
        </w:rPr>
        <w:t> </w:t>
      </w:r>
      <w:r>
        <w:rPr>
          <w:sz w:val="24"/>
        </w:rPr>
        <w:t>able</w:t>
      </w:r>
      <w:r>
        <w:rPr>
          <w:spacing w:val="-3"/>
          <w:sz w:val="24"/>
        </w:rPr>
        <w:t> </w:t>
      </w:r>
      <w:r>
        <w:rPr>
          <w:sz w:val="24"/>
        </w:rPr>
        <w:t>and</w:t>
      </w:r>
      <w:r>
        <w:rPr>
          <w:spacing w:val="-3"/>
          <w:sz w:val="24"/>
        </w:rPr>
        <w:t> </w:t>
      </w:r>
      <w:r>
        <w:rPr>
          <w:sz w:val="24"/>
        </w:rPr>
        <w:t>willing</w:t>
      </w:r>
      <w:r>
        <w:rPr>
          <w:spacing w:val="-3"/>
          <w:sz w:val="24"/>
        </w:rPr>
        <w:t> </w:t>
      </w:r>
      <w:r>
        <w:rPr>
          <w:sz w:val="24"/>
        </w:rPr>
        <w:t>to</w:t>
      </w:r>
      <w:r>
        <w:rPr>
          <w:spacing w:val="-3"/>
          <w:sz w:val="24"/>
        </w:rPr>
        <w:t> </w:t>
      </w:r>
      <w:r>
        <w:rPr>
          <w:sz w:val="24"/>
        </w:rPr>
        <w:t>undertake</w:t>
      </w:r>
      <w:r>
        <w:rPr>
          <w:spacing w:val="-3"/>
          <w:sz w:val="24"/>
        </w:rPr>
        <w:t> </w:t>
      </w:r>
      <w:r>
        <w:rPr>
          <w:sz w:val="24"/>
        </w:rPr>
        <w:t>a</w:t>
      </w:r>
      <w:r>
        <w:rPr>
          <w:spacing w:val="-3"/>
          <w:sz w:val="24"/>
        </w:rPr>
        <w:t> </w:t>
      </w:r>
      <w:r>
        <w:rPr>
          <w:sz w:val="24"/>
        </w:rPr>
        <w:t>training</w:t>
      </w:r>
      <w:r>
        <w:rPr>
          <w:spacing w:val="-3"/>
          <w:sz w:val="24"/>
        </w:rPr>
        <w:t> </w:t>
      </w:r>
      <w:r>
        <w:rPr>
          <w:sz w:val="24"/>
        </w:rPr>
        <w:t>program</w:t>
      </w:r>
      <w:r>
        <w:rPr>
          <w:spacing w:val="-2"/>
          <w:sz w:val="24"/>
        </w:rPr>
        <w:t> </w:t>
      </w:r>
      <w:r>
        <w:rPr>
          <w:sz w:val="24"/>
        </w:rPr>
        <w:t>as</w:t>
      </w:r>
      <w:r>
        <w:rPr>
          <w:spacing w:val="-3"/>
          <w:sz w:val="24"/>
        </w:rPr>
        <w:t> </w:t>
      </w:r>
      <w:r>
        <w:rPr>
          <w:sz w:val="24"/>
        </w:rPr>
        <w:t>may</w:t>
      </w:r>
      <w:r>
        <w:rPr>
          <w:spacing w:val="-4"/>
          <w:sz w:val="24"/>
        </w:rPr>
        <w:t> </w:t>
      </w:r>
      <w:r>
        <w:rPr>
          <w:sz w:val="24"/>
        </w:rPr>
        <w:t>be required to adequately master the equipment; and</w:t>
      </w:r>
    </w:p>
    <w:p>
      <w:pPr>
        <w:pStyle w:val="ListParagraph"/>
        <w:numPr>
          <w:ilvl w:val="1"/>
          <w:numId w:val="245"/>
        </w:numPr>
        <w:tabs>
          <w:tab w:pos="1799" w:val="left" w:leader="none"/>
        </w:tabs>
        <w:spacing w:line="208" w:lineRule="auto" w:before="240" w:after="0"/>
        <w:ind w:left="1224" w:right="1110" w:firstLine="0"/>
        <w:jc w:val="left"/>
        <w:rPr>
          <w:sz w:val="24"/>
        </w:rPr>
      </w:pPr>
      <w:r>
        <w:rPr>
          <w:sz w:val="24"/>
        </w:rPr>
        <w:t>whether</w:t>
      </w:r>
      <w:r>
        <w:rPr>
          <w:spacing w:val="-3"/>
          <w:sz w:val="24"/>
        </w:rPr>
        <w:t> </w:t>
      </w:r>
      <w:r>
        <w:rPr>
          <w:sz w:val="24"/>
        </w:rPr>
        <w:t>the</w:t>
      </w:r>
      <w:r>
        <w:rPr>
          <w:spacing w:val="-3"/>
          <w:sz w:val="24"/>
        </w:rPr>
        <w:t> </w:t>
      </w:r>
      <w:r>
        <w:rPr>
          <w:sz w:val="24"/>
        </w:rPr>
        <w:t>client</w:t>
      </w:r>
      <w:r>
        <w:rPr>
          <w:spacing w:val="-3"/>
          <w:sz w:val="24"/>
        </w:rPr>
        <w:t> </w:t>
      </w:r>
      <w:r>
        <w:rPr>
          <w:sz w:val="24"/>
        </w:rPr>
        <w:t>agrees</w:t>
      </w:r>
      <w:r>
        <w:rPr>
          <w:spacing w:val="-3"/>
          <w:sz w:val="24"/>
        </w:rPr>
        <w:t> </w:t>
      </w:r>
      <w:r>
        <w:rPr>
          <w:sz w:val="24"/>
        </w:rPr>
        <w:t>to</w:t>
      </w:r>
      <w:r>
        <w:rPr>
          <w:spacing w:val="-3"/>
          <w:sz w:val="24"/>
        </w:rPr>
        <w:t> </w:t>
      </w:r>
      <w:r>
        <w:rPr>
          <w:sz w:val="24"/>
        </w:rPr>
        <w:t>maintain</w:t>
      </w:r>
      <w:r>
        <w:rPr>
          <w:spacing w:val="-3"/>
          <w:sz w:val="24"/>
        </w:rPr>
        <w:t> </w:t>
      </w:r>
      <w:r>
        <w:rPr>
          <w:sz w:val="24"/>
        </w:rPr>
        <w:t>the</w:t>
      </w:r>
      <w:r>
        <w:rPr>
          <w:spacing w:val="-3"/>
          <w:sz w:val="24"/>
        </w:rPr>
        <w:t> </w:t>
      </w:r>
      <w:r>
        <w:rPr>
          <w:sz w:val="24"/>
        </w:rPr>
        <w:t>equipment</w:t>
      </w:r>
      <w:r>
        <w:rPr>
          <w:spacing w:val="-3"/>
          <w:sz w:val="24"/>
        </w:rPr>
        <w:t> </w:t>
      </w:r>
      <w:r>
        <w:rPr>
          <w:sz w:val="24"/>
        </w:rPr>
        <w:t>and</w:t>
      </w:r>
      <w:r>
        <w:rPr>
          <w:spacing w:val="-3"/>
          <w:sz w:val="24"/>
        </w:rPr>
        <w:t> </w:t>
      </w:r>
      <w:r>
        <w:rPr>
          <w:sz w:val="24"/>
        </w:rPr>
        <w:t>return</w:t>
      </w:r>
      <w:r>
        <w:rPr>
          <w:spacing w:val="-3"/>
          <w:sz w:val="24"/>
        </w:rPr>
        <w:t> </w:t>
      </w:r>
      <w:r>
        <w:rPr>
          <w:sz w:val="24"/>
        </w:rPr>
        <w:t>it</w:t>
      </w:r>
      <w:r>
        <w:rPr>
          <w:spacing w:val="-4"/>
          <w:sz w:val="24"/>
        </w:rPr>
        <w:t> </w:t>
      </w:r>
      <w:r>
        <w:rPr>
          <w:sz w:val="24"/>
        </w:rPr>
        <w:t>to</w:t>
      </w:r>
      <w:r>
        <w:rPr>
          <w:spacing w:val="-3"/>
          <w:sz w:val="24"/>
        </w:rPr>
        <w:t> </w:t>
      </w:r>
      <w:r>
        <w:rPr>
          <w:sz w:val="24"/>
        </w:rPr>
        <w:t>the agency if not used in accordance with the provisions of the IPE.</w:t>
      </w:r>
    </w:p>
    <w:p>
      <w:pPr>
        <w:pStyle w:val="ListParagraph"/>
        <w:numPr>
          <w:ilvl w:val="0"/>
          <w:numId w:val="245"/>
        </w:numPr>
        <w:tabs>
          <w:tab w:pos="1078" w:val="left" w:leader="none"/>
        </w:tabs>
        <w:spacing w:line="240" w:lineRule="auto" w:before="210" w:after="0"/>
        <w:ind w:left="1078" w:right="0" w:hanging="286"/>
        <w:jc w:val="left"/>
        <w:rPr>
          <w:sz w:val="24"/>
        </w:rPr>
      </w:pPr>
      <w:r>
        <w:rPr>
          <w:sz w:val="24"/>
        </w:rPr>
        <w:t>Procedures</w:t>
      </w:r>
      <w:r>
        <w:rPr>
          <w:spacing w:val="-5"/>
          <w:sz w:val="24"/>
        </w:rPr>
        <w:t> </w:t>
      </w:r>
      <w:r>
        <w:rPr>
          <w:sz w:val="24"/>
        </w:rPr>
        <w:t>to</w:t>
      </w:r>
      <w:r>
        <w:rPr>
          <w:spacing w:val="-4"/>
          <w:sz w:val="24"/>
        </w:rPr>
        <w:t> </w:t>
      </w:r>
      <w:r>
        <w:rPr>
          <w:sz w:val="24"/>
        </w:rPr>
        <w:t>follow</w:t>
      </w:r>
      <w:r>
        <w:rPr>
          <w:spacing w:val="-3"/>
          <w:sz w:val="24"/>
        </w:rPr>
        <w:t> </w:t>
      </w:r>
      <w:r>
        <w:rPr>
          <w:sz w:val="24"/>
        </w:rPr>
        <w:t>in</w:t>
      </w:r>
      <w:r>
        <w:rPr>
          <w:spacing w:val="-2"/>
          <w:sz w:val="24"/>
        </w:rPr>
        <w:t> </w:t>
      </w:r>
      <w:r>
        <w:rPr>
          <w:sz w:val="24"/>
        </w:rPr>
        <w:t>securing</w:t>
      </w:r>
      <w:r>
        <w:rPr>
          <w:spacing w:val="-4"/>
          <w:sz w:val="24"/>
        </w:rPr>
        <w:t> </w:t>
      </w:r>
      <w:r>
        <w:rPr>
          <w:sz w:val="24"/>
        </w:rPr>
        <w:t>prescribed</w:t>
      </w:r>
      <w:r>
        <w:rPr>
          <w:spacing w:val="-3"/>
          <w:sz w:val="24"/>
        </w:rPr>
        <w:t> </w:t>
      </w:r>
      <w:r>
        <w:rPr>
          <w:sz w:val="24"/>
        </w:rPr>
        <w:t>adaptive</w:t>
      </w:r>
      <w:r>
        <w:rPr>
          <w:spacing w:val="-3"/>
          <w:sz w:val="24"/>
        </w:rPr>
        <w:t> </w:t>
      </w:r>
      <w:r>
        <w:rPr>
          <w:sz w:val="24"/>
        </w:rPr>
        <w:t>aids</w:t>
      </w:r>
      <w:r>
        <w:rPr>
          <w:spacing w:val="-3"/>
          <w:sz w:val="24"/>
        </w:rPr>
        <w:t> </w:t>
      </w:r>
      <w:r>
        <w:rPr>
          <w:sz w:val="24"/>
        </w:rPr>
        <w:t>and</w:t>
      </w:r>
      <w:r>
        <w:rPr>
          <w:spacing w:val="-3"/>
          <w:sz w:val="24"/>
        </w:rPr>
        <w:t> </w:t>
      </w:r>
      <w:r>
        <w:rPr>
          <w:sz w:val="24"/>
        </w:rPr>
        <w:t>devices</w:t>
      </w:r>
      <w:r>
        <w:rPr>
          <w:spacing w:val="-3"/>
          <w:sz w:val="24"/>
        </w:rPr>
        <w:t> </w:t>
      </w:r>
      <w:r>
        <w:rPr>
          <w:spacing w:val="-4"/>
          <w:sz w:val="24"/>
        </w:rPr>
        <w:t>are:</w:t>
      </w:r>
    </w:p>
    <w:p>
      <w:pPr>
        <w:pStyle w:val="ListParagraph"/>
        <w:numPr>
          <w:ilvl w:val="1"/>
          <w:numId w:val="245"/>
        </w:numPr>
        <w:tabs>
          <w:tab w:pos="1799" w:val="left" w:leader="none"/>
        </w:tabs>
        <w:spacing w:line="208" w:lineRule="auto" w:before="234" w:after="0"/>
        <w:ind w:left="1224" w:right="874" w:firstLine="0"/>
        <w:jc w:val="left"/>
        <w:rPr>
          <w:sz w:val="24"/>
        </w:rPr>
      </w:pPr>
      <w:r>
        <w:rPr>
          <w:sz w:val="24"/>
        </w:rPr>
        <w:t>The</w:t>
      </w:r>
      <w:r>
        <w:rPr>
          <w:spacing w:val="-4"/>
          <w:sz w:val="24"/>
        </w:rPr>
        <w:t> </w:t>
      </w:r>
      <w:r>
        <w:rPr>
          <w:sz w:val="24"/>
        </w:rPr>
        <w:t>counselor</w:t>
      </w:r>
      <w:r>
        <w:rPr>
          <w:spacing w:val="-3"/>
          <w:sz w:val="24"/>
        </w:rPr>
        <w:t> </w:t>
      </w:r>
      <w:r>
        <w:rPr>
          <w:sz w:val="24"/>
        </w:rPr>
        <w:t>will</w:t>
      </w:r>
      <w:r>
        <w:rPr>
          <w:spacing w:val="-4"/>
          <w:sz w:val="24"/>
        </w:rPr>
        <w:t> </w:t>
      </w:r>
      <w:r>
        <w:rPr>
          <w:sz w:val="24"/>
        </w:rPr>
        <w:t>use</w:t>
      </w:r>
      <w:r>
        <w:rPr>
          <w:spacing w:val="-4"/>
          <w:sz w:val="24"/>
        </w:rPr>
        <w:t> </w:t>
      </w:r>
      <w:r>
        <w:rPr>
          <w:sz w:val="24"/>
        </w:rPr>
        <w:t>the</w:t>
      </w:r>
      <w:r>
        <w:rPr>
          <w:spacing w:val="-4"/>
          <w:sz w:val="24"/>
        </w:rPr>
        <w:t> </w:t>
      </w:r>
      <w:r>
        <w:rPr>
          <w:sz w:val="24"/>
        </w:rPr>
        <w:t>Special</w:t>
      </w:r>
      <w:r>
        <w:rPr>
          <w:spacing w:val="-4"/>
          <w:sz w:val="24"/>
        </w:rPr>
        <w:t> </w:t>
      </w:r>
      <w:r>
        <w:rPr>
          <w:sz w:val="24"/>
        </w:rPr>
        <w:t>Services</w:t>
      </w:r>
      <w:r>
        <w:rPr>
          <w:spacing w:val="-3"/>
          <w:sz w:val="24"/>
        </w:rPr>
        <w:t> </w:t>
      </w:r>
      <w:r>
        <w:rPr>
          <w:sz w:val="24"/>
        </w:rPr>
        <w:t>Referral</w:t>
      </w:r>
      <w:r>
        <w:rPr>
          <w:spacing w:val="-4"/>
          <w:sz w:val="24"/>
        </w:rPr>
        <w:t> </w:t>
      </w:r>
      <w:r>
        <w:rPr>
          <w:sz w:val="24"/>
        </w:rPr>
        <w:t>form</w:t>
      </w:r>
      <w:r>
        <w:rPr>
          <w:spacing w:val="-3"/>
          <w:sz w:val="24"/>
        </w:rPr>
        <w:t> </w:t>
      </w:r>
      <w:r>
        <w:rPr>
          <w:sz w:val="24"/>
        </w:rPr>
        <w:t>when</w:t>
      </w:r>
      <w:r>
        <w:rPr>
          <w:spacing w:val="-4"/>
          <w:sz w:val="24"/>
        </w:rPr>
        <w:t> </w:t>
      </w:r>
      <w:r>
        <w:rPr>
          <w:sz w:val="24"/>
        </w:rPr>
        <w:t>making</w:t>
      </w:r>
      <w:r>
        <w:rPr>
          <w:spacing w:val="-4"/>
          <w:sz w:val="24"/>
        </w:rPr>
        <w:t> </w:t>
      </w:r>
      <w:r>
        <w:rPr>
          <w:sz w:val="24"/>
        </w:rPr>
        <w:t>a referral to an agency specialist. The counselor will include sufficient detail so that the specialist can plan for an appropriate evaluation.</w:t>
      </w:r>
    </w:p>
    <w:p>
      <w:pPr>
        <w:pStyle w:val="ListParagraph"/>
        <w:numPr>
          <w:ilvl w:val="1"/>
          <w:numId w:val="245"/>
        </w:numPr>
        <w:tabs>
          <w:tab w:pos="1799" w:val="left" w:leader="none"/>
        </w:tabs>
        <w:spacing w:line="208" w:lineRule="auto" w:before="239" w:after="0"/>
        <w:ind w:left="1224" w:right="887" w:firstLine="0"/>
        <w:jc w:val="left"/>
        <w:rPr>
          <w:sz w:val="24"/>
        </w:rPr>
      </w:pPr>
      <w:r>
        <w:rPr>
          <w:sz w:val="24"/>
        </w:rPr>
        <w:t>The</w:t>
      </w:r>
      <w:r>
        <w:rPr>
          <w:spacing w:val="-4"/>
          <w:sz w:val="24"/>
        </w:rPr>
        <w:t> </w:t>
      </w:r>
      <w:r>
        <w:rPr>
          <w:sz w:val="24"/>
        </w:rPr>
        <w:t>agency</w:t>
      </w:r>
      <w:r>
        <w:rPr>
          <w:spacing w:val="-4"/>
          <w:sz w:val="24"/>
        </w:rPr>
        <w:t> </w:t>
      </w:r>
      <w:r>
        <w:rPr>
          <w:sz w:val="24"/>
        </w:rPr>
        <w:t>specialist</w:t>
      </w:r>
      <w:r>
        <w:rPr>
          <w:spacing w:val="-3"/>
          <w:sz w:val="24"/>
        </w:rPr>
        <w:t> </w:t>
      </w:r>
      <w:r>
        <w:rPr>
          <w:sz w:val="24"/>
        </w:rPr>
        <w:t>will</w:t>
      </w:r>
      <w:r>
        <w:rPr>
          <w:spacing w:val="-4"/>
          <w:sz w:val="24"/>
        </w:rPr>
        <w:t> </w:t>
      </w:r>
      <w:r>
        <w:rPr>
          <w:sz w:val="24"/>
        </w:rPr>
        <w:t>contact</w:t>
      </w:r>
      <w:r>
        <w:rPr>
          <w:spacing w:val="-3"/>
          <w:sz w:val="24"/>
        </w:rPr>
        <w:t> </w:t>
      </w:r>
      <w:r>
        <w:rPr>
          <w:sz w:val="24"/>
        </w:rPr>
        <w:t>the</w:t>
      </w:r>
      <w:r>
        <w:rPr>
          <w:spacing w:val="-5"/>
          <w:sz w:val="24"/>
        </w:rPr>
        <w:t> </w:t>
      </w:r>
      <w:r>
        <w:rPr>
          <w:sz w:val="24"/>
        </w:rPr>
        <w:t>referral</w:t>
      </w:r>
      <w:r>
        <w:rPr>
          <w:spacing w:val="-4"/>
          <w:sz w:val="24"/>
        </w:rPr>
        <w:t> </w:t>
      </w:r>
      <w:r>
        <w:rPr>
          <w:sz w:val="24"/>
        </w:rPr>
        <w:t>and</w:t>
      </w:r>
      <w:r>
        <w:rPr>
          <w:spacing w:val="-4"/>
          <w:sz w:val="24"/>
        </w:rPr>
        <w:t> </w:t>
      </w:r>
      <w:r>
        <w:rPr>
          <w:sz w:val="24"/>
        </w:rPr>
        <w:t>take</w:t>
      </w:r>
      <w:r>
        <w:rPr>
          <w:spacing w:val="-4"/>
          <w:sz w:val="24"/>
        </w:rPr>
        <w:t> </w:t>
      </w:r>
      <w:r>
        <w:rPr>
          <w:sz w:val="24"/>
        </w:rPr>
        <w:t>appropriate</w:t>
      </w:r>
      <w:r>
        <w:rPr>
          <w:spacing w:val="-4"/>
          <w:sz w:val="24"/>
        </w:rPr>
        <w:t> </w:t>
      </w:r>
      <w:r>
        <w:rPr>
          <w:sz w:val="24"/>
        </w:rPr>
        <w:t>action within 30 days of receipt of referral information. The specialist's evaluation report will include</w:t>
      </w:r>
      <w:r>
        <w:rPr>
          <w:spacing w:val="40"/>
          <w:sz w:val="24"/>
        </w:rPr>
        <w:t> </w:t>
      </w:r>
      <w:r>
        <w:rPr>
          <w:sz w:val="24"/>
        </w:rPr>
        <w:t>an evaluation of the client's limitations and abilities, and an evaluation of any equipment and adaptations already available to the client.</w:t>
      </w:r>
    </w:p>
    <w:p>
      <w:pPr>
        <w:pStyle w:val="ListParagraph"/>
        <w:numPr>
          <w:ilvl w:val="1"/>
          <w:numId w:val="245"/>
        </w:numPr>
        <w:tabs>
          <w:tab w:pos="1799" w:val="left" w:leader="none"/>
        </w:tabs>
        <w:spacing w:line="208" w:lineRule="auto" w:before="240" w:after="0"/>
        <w:ind w:left="1224" w:right="1242" w:firstLine="0"/>
        <w:jc w:val="left"/>
        <w:rPr>
          <w:sz w:val="24"/>
        </w:rPr>
      </w:pPr>
      <w:r>
        <w:rPr>
          <w:sz w:val="24"/>
        </w:rPr>
        <w:t>The</w:t>
      </w:r>
      <w:r>
        <w:rPr>
          <w:spacing w:val="-6"/>
          <w:sz w:val="24"/>
        </w:rPr>
        <w:t> </w:t>
      </w:r>
      <w:r>
        <w:rPr>
          <w:sz w:val="24"/>
        </w:rPr>
        <w:t>specialist's</w:t>
      </w:r>
      <w:r>
        <w:rPr>
          <w:spacing w:val="-6"/>
          <w:sz w:val="24"/>
        </w:rPr>
        <w:t> </w:t>
      </w:r>
      <w:r>
        <w:rPr>
          <w:sz w:val="24"/>
        </w:rPr>
        <w:t>recommendations</w:t>
      </w:r>
      <w:r>
        <w:rPr>
          <w:spacing w:val="-6"/>
          <w:sz w:val="24"/>
        </w:rPr>
        <w:t> </w:t>
      </w:r>
      <w:r>
        <w:rPr>
          <w:sz w:val="24"/>
        </w:rPr>
        <w:t>will</w:t>
      </w:r>
      <w:r>
        <w:rPr>
          <w:spacing w:val="-6"/>
          <w:sz w:val="24"/>
        </w:rPr>
        <w:t> </w:t>
      </w:r>
      <w:r>
        <w:rPr>
          <w:sz w:val="24"/>
        </w:rPr>
        <w:t>specify</w:t>
      </w:r>
      <w:r>
        <w:rPr>
          <w:spacing w:val="-6"/>
          <w:sz w:val="24"/>
        </w:rPr>
        <w:t> </w:t>
      </w:r>
      <w:r>
        <w:rPr>
          <w:sz w:val="24"/>
        </w:rPr>
        <w:t>any</w:t>
      </w:r>
      <w:r>
        <w:rPr>
          <w:spacing w:val="-6"/>
          <w:sz w:val="24"/>
        </w:rPr>
        <w:t> </w:t>
      </w:r>
      <w:r>
        <w:rPr>
          <w:sz w:val="24"/>
        </w:rPr>
        <w:t>needed</w:t>
      </w:r>
      <w:r>
        <w:rPr>
          <w:spacing w:val="-6"/>
          <w:sz w:val="24"/>
        </w:rPr>
        <w:t> </w:t>
      </w:r>
      <w:r>
        <w:rPr>
          <w:sz w:val="24"/>
        </w:rPr>
        <w:t>equipment, including any special features or modifications, and recommendations for training the client in the use of each device.</w:t>
      </w:r>
    </w:p>
    <w:p>
      <w:pPr>
        <w:pStyle w:val="ListParagraph"/>
        <w:numPr>
          <w:ilvl w:val="1"/>
          <w:numId w:val="245"/>
        </w:numPr>
        <w:tabs>
          <w:tab w:pos="1799" w:val="left" w:leader="none"/>
        </w:tabs>
        <w:spacing w:line="208" w:lineRule="auto" w:before="240" w:after="0"/>
        <w:ind w:left="1224" w:right="726" w:firstLine="0"/>
        <w:jc w:val="left"/>
        <w:rPr>
          <w:sz w:val="24"/>
        </w:rPr>
      </w:pPr>
      <w:r>
        <w:rPr>
          <w:sz w:val="24"/>
        </w:rPr>
        <w:t>When</w:t>
      </w:r>
      <w:r>
        <w:rPr>
          <w:spacing w:val="-4"/>
          <w:sz w:val="24"/>
        </w:rPr>
        <w:t> </w:t>
      </w:r>
      <w:r>
        <w:rPr>
          <w:sz w:val="24"/>
        </w:rPr>
        <w:t>the</w:t>
      </w:r>
      <w:r>
        <w:rPr>
          <w:spacing w:val="-4"/>
          <w:sz w:val="24"/>
        </w:rPr>
        <w:t> </w:t>
      </w:r>
      <w:r>
        <w:rPr>
          <w:sz w:val="24"/>
        </w:rPr>
        <w:t>prescribed</w:t>
      </w:r>
      <w:r>
        <w:rPr>
          <w:spacing w:val="-4"/>
          <w:sz w:val="24"/>
        </w:rPr>
        <w:t> </w:t>
      </w:r>
      <w:r>
        <w:rPr>
          <w:sz w:val="24"/>
        </w:rPr>
        <w:t>adaptive</w:t>
      </w:r>
      <w:r>
        <w:rPr>
          <w:spacing w:val="-4"/>
          <w:sz w:val="24"/>
        </w:rPr>
        <w:t> </w:t>
      </w:r>
      <w:r>
        <w:rPr>
          <w:sz w:val="24"/>
        </w:rPr>
        <w:t>technology</w:t>
      </w:r>
      <w:r>
        <w:rPr>
          <w:spacing w:val="-4"/>
          <w:sz w:val="24"/>
        </w:rPr>
        <w:t> </w:t>
      </w:r>
      <w:r>
        <w:rPr>
          <w:sz w:val="24"/>
        </w:rPr>
        <w:t>is</w:t>
      </w:r>
      <w:r>
        <w:rPr>
          <w:spacing w:val="-4"/>
          <w:sz w:val="24"/>
        </w:rPr>
        <w:t> </w:t>
      </w:r>
      <w:r>
        <w:rPr>
          <w:sz w:val="24"/>
        </w:rPr>
        <w:t>meant</w:t>
      </w:r>
      <w:r>
        <w:rPr>
          <w:spacing w:val="-3"/>
          <w:sz w:val="24"/>
        </w:rPr>
        <w:t> </w:t>
      </w:r>
      <w:r>
        <w:rPr>
          <w:sz w:val="24"/>
        </w:rPr>
        <w:t>for</w:t>
      </w:r>
      <w:r>
        <w:rPr>
          <w:spacing w:val="-5"/>
          <w:sz w:val="24"/>
        </w:rPr>
        <w:t> </w:t>
      </w:r>
      <w:r>
        <w:rPr>
          <w:sz w:val="24"/>
        </w:rPr>
        <w:t>an</w:t>
      </w:r>
      <w:r>
        <w:rPr>
          <w:spacing w:val="-4"/>
          <w:sz w:val="24"/>
        </w:rPr>
        <w:t> </w:t>
      </w:r>
      <w:r>
        <w:rPr>
          <w:sz w:val="24"/>
        </w:rPr>
        <w:t>individual</w:t>
      </w:r>
      <w:r>
        <w:rPr>
          <w:spacing w:val="-3"/>
          <w:sz w:val="24"/>
        </w:rPr>
        <w:t> </w:t>
      </w:r>
      <w:r>
        <w:rPr>
          <w:sz w:val="24"/>
        </w:rPr>
        <w:t>having a visual disability, the need for a low vision evaluation must be carefully evaluated. An existing evaluation will be used if, in the counselor's judgment, it is adequate and complete, considering the nature and stability of the disability.</w:t>
      </w:r>
    </w:p>
    <w:p>
      <w:pPr>
        <w:pStyle w:val="ListParagraph"/>
        <w:numPr>
          <w:ilvl w:val="1"/>
          <w:numId w:val="245"/>
        </w:numPr>
        <w:tabs>
          <w:tab w:pos="1799" w:val="left" w:leader="none"/>
        </w:tabs>
        <w:spacing w:line="240" w:lineRule="auto" w:before="210" w:after="0"/>
        <w:ind w:left="1799" w:right="0" w:hanging="575"/>
        <w:jc w:val="left"/>
        <w:rPr>
          <w:sz w:val="24"/>
        </w:rPr>
      </w:pPr>
      <w:r>
        <w:rPr>
          <w:sz w:val="24"/>
        </w:rPr>
        <w:t>The</w:t>
      </w:r>
      <w:r>
        <w:rPr>
          <w:spacing w:val="-7"/>
          <w:sz w:val="24"/>
        </w:rPr>
        <w:t> </w:t>
      </w:r>
      <w:r>
        <w:rPr>
          <w:sz w:val="24"/>
        </w:rPr>
        <w:t>counselor</w:t>
      </w:r>
      <w:r>
        <w:rPr>
          <w:spacing w:val="-3"/>
          <w:sz w:val="24"/>
        </w:rPr>
        <w:t> </w:t>
      </w:r>
      <w:r>
        <w:rPr>
          <w:sz w:val="24"/>
        </w:rPr>
        <w:t>will</w:t>
      </w:r>
      <w:r>
        <w:rPr>
          <w:spacing w:val="-4"/>
          <w:sz w:val="24"/>
        </w:rPr>
        <w:t> </w:t>
      </w:r>
      <w:r>
        <w:rPr>
          <w:sz w:val="24"/>
        </w:rPr>
        <w:t>follow</w:t>
      </w:r>
      <w:r>
        <w:rPr>
          <w:spacing w:val="-4"/>
          <w:sz w:val="24"/>
        </w:rPr>
        <w:t> </w:t>
      </w:r>
      <w:r>
        <w:rPr>
          <w:sz w:val="24"/>
        </w:rPr>
        <w:t>purchasing</w:t>
      </w:r>
      <w:r>
        <w:rPr>
          <w:spacing w:val="-4"/>
          <w:sz w:val="24"/>
        </w:rPr>
        <w:t> </w:t>
      </w:r>
      <w:r>
        <w:rPr>
          <w:sz w:val="24"/>
        </w:rPr>
        <w:t>instructions</w:t>
      </w:r>
      <w:r>
        <w:rPr>
          <w:spacing w:val="-4"/>
          <w:sz w:val="24"/>
        </w:rPr>
        <w:t> </w:t>
      </w:r>
      <w:r>
        <w:rPr>
          <w:sz w:val="24"/>
        </w:rPr>
        <w:t>given</w:t>
      </w:r>
      <w:r>
        <w:rPr>
          <w:spacing w:val="-4"/>
          <w:sz w:val="24"/>
        </w:rPr>
        <w:t> </w:t>
      </w:r>
      <w:r>
        <w:rPr>
          <w:sz w:val="24"/>
        </w:rPr>
        <w:t>in</w:t>
      </w:r>
      <w:r>
        <w:rPr>
          <w:spacing w:val="-4"/>
          <w:sz w:val="24"/>
        </w:rPr>
        <w:t> </w:t>
      </w:r>
      <w:hyperlink w:history="true" w:anchor="_bookmark4">
        <w:r>
          <w:rPr>
            <w:color w:val="0000FF"/>
            <w:sz w:val="24"/>
            <w:u w:val="single" w:color="0000FF"/>
          </w:rPr>
          <w:t>612:10-1-</w:t>
        </w:r>
        <w:r>
          <w:rPr>
            <w:color w:val="0000FF"/>
            <w:spacing w:val="-5"/>
            <w:sz w:val="24"/>
            <w:u w:val="single" w:color="0000FF"/>
          </w:rPr>
          <w:t>7</w:t>
        </w:r>
      </w:hyperlink>
      <w:r>
        <w:rPr>
          <w:spacing w:val="-5"/>
          <w:sz w:val="24"/>
          <w:u w:val="none"/>
        </w:rPr>
        <w:t>.</w:t>
      </w:r>
    </w:p>
    <w:p>
      <w:pPr>
        <w:pStyle w:val="ListParagraph"/>
        <w:numPr>
          <w:ilvl w:val="1"/>
          <w:numId w:val="245"/>
        </w:numPr>
        <w:tabs>
          <w:tab w:pos="1799" w:val="left" w:leader="none"/>
        </w:tabs>
        <w:spacing w:line="208" w:lineRule="auto" w:before="233" w:after="0"/>
        <w:ind w:left="1224" w:right="796" w:firstLine="0"/>
        <w:jc w:val="left"/>
        <w:rPr>
          <w:sz w:val="24"/>
        </w:rPr>
      </w:pPr>
      <w:r>
        <w:rPr>
          <w:sz w:val="24"/>
        </w:rPr>
        <w:t>Upon receipt of the equipment, the counselor contacts the appropriate agency specialist to consult about delivery and installation. The appropriate agency</w:t>
      </w:r>
      <w:r>
        <w:rPr>
          <w:spacing w:val="-3"/>
          <w:sz w:val="24"/>
        </w:rPr>
        <w:t> </w:t>
      </w:r>
      <w:r>
        <w:rPr>
          <w:sz w:val="24"/>
        </w:rPr>
        <w:t>specialist</w:t>
      </w:r>
      <w:r>
        <w:rPr>
          <w:spacing w:val="-2"/>
          <w:sz w:val="24"/>
        </w:rPr>
        <w:t> </w:t>
      </w:r>
      <w:r>
        <w:rPr>
          <w:sz w:val="24"/>
        </w:rPr>
        <w:t>will</w:t>
      </w:r>
      <w:r>
        <w:rPr>
          <w:spacing w:val="-3"/>
          <w:sz w:val="24"/>
        </w:rPr>
        <w:t> </w:t>
      </w:r>
      <w:r>
        <w:rPr>
          <w:sz w:val="24"/>
        </w:rPr>
        <w:t>determine</w:t>
      </w:r>
      <w:r>
        <w:rPr>
          <w:spacing w:val="-3"/>
          <w:sz w:val="24"/>
        </w:rPr>
        <w:t> </w:t>
      </w:r>
      <w:r>
        <w:rPr>
          <w:sz w:val="24"/>
        </w:rPr>
        <w:t>if</w:t>
      </w:r>
      <w:r>
        <w:rPr>
          <w:spacing w:val="-4"/>
          <w:sz w:val="24"/>
        </w:rPr>
        <w:t> </w:t>
      </w:r>
      <w:r>
        <w:rPr>
          <w:sz w:val="24"/>
        </w:rPr>
        <w:t>the</w:t>
      </w:r>
      <w:r>
        <w:rPr>
          <w:spacing w:val="-3"/>
          <w:sz w:val="24"/>
        </w:rPr>
        <w:t> </w:t>
      </w:r>
      <w:r>
        <w:rPr>
          <w:sz w:val="24"/>
        </w:rPr>
        <w:t>devices</w:t>
      </w:r>
      <w:r>
        <w:rPr>
          <w:spacing w:val="-2"/>
          <w:sz w:val="24"/>
        </w:rPr>
        <w:t> </w:t>
      </w:r>
      <w:r>
        <w:rPr>
          <w:sz w:val="24"/>
        </w:rPr>
        <w:t>purchased</w:t>
      </w:r>
      <w:r>
        <w:rPr>
          <w:spacing w:val="-2"/>
          <w:sz w:val="24"/>
        </w:rPr>
        <w:t> </w:t>
      </w:r>
      <w:r>
        <w:rPr>
          <w:sz w:val="24"/>
        </w:rPr>
        <w:t>conform</w:t>
      </w:r>
      <w:r>
        <w:rPr>
          <w:spacing w:val="-4"/>
          <w:sz w:val="24"/>
        </w:rPr>
        <w:t> </w:t>
      </w:r>
      <w:r>
        <w:rPr>
          <w:sz w:val="24"/>
        </w:rPr>
        <w:t>to</w:t>
      </w:r>
      <w:r>
        <w:rPr>
          <w:spacing w:val="-4"/>
          <w:sz w:val="24"/>
        </w:rPr>
        <w:t> </w:t>
      </w:r>
      <w:r>
        <w:rPr>
          <w:sz w:val="24"/>
        </w:rPr>
        <w:t>prescribed standards,</w:t>
      </w:r>
      <w:r>
        <w:rPr>
          <w:spacing w:val="-5"/>
          <w:sz w:val="24"/>
        </w:rPr>
        <w:t> </w:t>
      </w:r>
      <w:r>
        <w:rPr>
          <w:sz w:val="24"/>
        </w:rPr>
        <w:t>are</w:t>
      </w:r>
      <w:r>
        <w:rPr>
          <w:spacing w:val="-4"/>
          <w:sz w:val="24"/>
        </w:rPr>
        <w:t> </w:t>
      </w:r>
      <w:r>
        <w:rPr>
          <w:sz w:val="24"/>
        </w:rPr>
        <w:t>properly</w:t>
      </w:r>
      <w:r>
        <w:rPr>
          <w:spacing w:val="-4"/>
          <w:sz w:val="24"/>
        </w:rPr>
        <w:t> </w:t>
      </w:r>
      <w:r>
        <w:rPr>
          <w:sz w:val="24"/>
        </w:rPr>
        <w:t>installed,</w:t>
      </w:r>
      <w:r>
        <w:rPr>
          <w:spacing w:val="-3"/>
          <w:sz w:val="24"/>
        </w:rPr>
        <w:t> </w:t>
      </w:r>
      <w:r>
        <w:rPr>
          <w:sz w:val="24"/>
        </w:rPr>
        <w:t>and</w:t>
      </w:r>
      <w:r>
        <w:rPr>
          <w:spacing w:val="-4"/>
          <w:sz w:val="24"/>
        </w:rPr>
        <w:t> </w:t>
      </w:r>
      <w:r>
        <w:rPr>
          <w:sz w:val="24"/>
        </w:rPr>
        <w:t>are</w:t>
      </w:r>
      <w:r>
        <w:rPr>
          <w:spacing w:val="-4"/>
          <w:sz w:val="24"/>
        </w:rPr>
        <w:t> </w:t>
      </w:r>
      <w:r>
        <w:rPr>
          <w:sz w:val="24"/>
        </w:rPr>
        <w:t>useful</w:t>
      </w:r>
      <w:r>
        <w:rPr>
          <w:spacing w:val="-4"/>
          <w:sz w:val="24"/>
        </w:rPr>
        <w:t> </w:t>
      </w:r>
      <w:r>
        <w:rPr>
          <w:sz w:val="24"/>
        </w:rPr>
        <w:t>to</w:t>
      </w:r>
      <w:r>
        <w:rPr>
          <w:spacing w:val="-4"/>
          <w:sz w:val="24"/>
        </w:rPr>
        <w:t> </w:t>
      </w:r>
      <w:r>
        <w:rPr>
          <w:sz w:val="24"/>
        </w:rPr>
        <w:t>the</w:t>
      </w:r>
      <w:r>
        <w:rPr>
          <w:spacing w:val="-5"/>
          <w:sz w:val="24"/>
        </w:rPr>
        <w:t> </w:t>
      </w:r>
      <w:r>
        <w:rPr>
          <w:sz w:val="24"/>
        </w:rPr>
        <w:t>client</w:t>
      </w:r>
      <w:r>
        <w:rPr>
          <w:spacing w:val="-3"/>
          <w:sz w:val="24"/>
        </w:rPr>
        <w:t> </w:t>
      </w:r>
      <w:r>
        <w:rPr>
          <w:sz w:val="24"/>
        </w:rPr>
        <w:t>in</w:t>
      </w:r>
      <w:r>
        <w:rPr>
          <w:spacing w:val="-4"/>
          <w:sz w:val="24"/>
        </w:rPr>
        <w:t> </w:t>
      </w:r>
      <w:r>
        <w:rPr>
          <w:sz w:val="24"/>
        </w:rPr>
        <w:t>accordance</w:t>
      </w:r>
      <w:r>
        <w:rPr>
          <w:spacing w:val="-4"/>
          <w:sz w:val="24"/>
        </w:rPr>
        <w:t> </w:t>
      </w:r>
      <w:r>
        <w:rPr>
          <w:sz w:val="24"/>
        </w:rPr>
        <w:t>with IPE objectives. The Assistive Technology Specialist will provide an "Assistive Technology Inspection Report" to help the counselor determine when the invoice and claim are ready for processing. Upon proper delivery and installation, including</w:t>
      </w:r>
      <w:r>
        <w:rPr>
          <w:spacing w:val="-1"/>
          <w:sz w:val="24"/>
        </w:rPr>
        <w:t> </w:t>
      </w:r>
      <w:r>
        <w:rPr>
          <w:sz w:val="24"/>
        </w:rPr>
        <w:t>any</w:t>
      </w:r>
      <w:r>
        <w:rPr>
          <w:spacing w:val="-1"/>
          <w:sz w:val="24"/>
        </w:rPr>
        <w:t> </w:t>
      </w:r>
      <w:r>
        <w:rPr>
          <w:sz w:val="24"/>
        </w:rPr>
        <w:t>needed instruction, of any</w:t>
      </w:r>
      <w:r>
        <w:rPr>
          <w:spacing w:val="-1"/>
          <w:sz w:val="24"/>
        </w:rPr>
        <w:t> </w:t>
      </w:r>
      <w:r>
        <w:rPr>
          <w:sz w:val="24"/>
        </w:rPr>
        <w:t>equipment costing</w:t>
      </w:r>
      <w:r>
        <w:rPr>
          <w:spacing w:val="-1"/>
          <w:sz w:val="24"/>
        </w:rPr>
        <w:t> </w:t>
      </w:r>
      <w:r>
        <w:rPr>
          <w:sz w:val="24"/>
        </w:rPr>
        <w:t>$500</w:t>
      </w:r>
      <w:r>
        <w:rPr>
          <w:spacing w:val="-1"/>
          <w:sz w:val="24"/>
        </w:rPr>
        <w:t> </w:t>
      </w:r>
      <w:r>
        <w:rPr>
          <w:sz w:val="24"/>
        </w:rPr>
        <w:t>or more the counselor obtains a signed Receipt for Equipment and Title Agreement form.</w:t>
      </w:r>
    </w:p>
    <w:p>
      <w:pPr>
        <w:pStyle w:val="ListParagraph"/>
        <w:spacing w:after="0" w:line="208" w:lineRule="auto"/>
        <w:jc w:val="left"/>
        <w:rPr>
          <w:sz w:val="24"/>
        </w:rPr>
        <w:sectPr>
          <w:pgSz w:w="12240" w:h="15840"/>
          <w:pgMar w:top="1340" w:bottom="280" w:left="1080" w:right="720"/>
        </w:sectPr>
      </w:pPr>
    </w:p>
    <w:p>
      <w:pPr>
        <w:pStyle w:val="ListParagraph"/>
        <w:numPr>
          <w:ilvl w:val="0"/>
          <w:numId w:val="245"/>
        </w:numPr>
        <w:tabs>
          <w:tab w:pos="1077" w:val="left" w:leader="none"/>
        </w:tabs>
        <w:spacing w:line="208" w:lineRule="auto" w:before="96" w:after="0"/>
        <w:ind w:left="791" w:right="1359" w:firstLine="0"/>
        <w:jc w:val="left"/>
        <w:rPr>
          <w:sz w:val="24"/>
        </w:rPr>
      </w:pPr>
      <w:r>
        <w:rPr>
          <w:sz w:val="24"/>
        </w:rPr>
        <w:t>Qualified persons may include licensed engineers, assistive technology specialists</w:t>
      </w:r>
      <w:r>
        <w:rPr>
          <w:spacing w:val="-4"/>
          <w:sz w:val="24"/>
        </w:rPr>
        <w:t> </w:t>
      </w:r>
      <w:r>
        <w:rPr>
          <w:sz w:val="24"/>
        </w:rPr>
        <w:t>employed</w:t>
      </w:r>
      <w:r>
        <w:rPr>
          <w:spacing w:val="-3"/>
          <w:sz w:val="24"/>
        </w:rPr>
        <w:t> </w:t>
      </w:r>
      <w:r>
        <w:rPr>
          <w:sz w:val="24"/>
        </w:rPr>
        <w:t>by</w:t>
      </w:r>
      <w:r>
        <w:rPr>
          <w:spacing w:val="-4"/>
          <w:sz w:val="24"/>
        </w:rPr>
        <w:t> </w:t>
      </w:r>
      <w:r>
        <w:rPr>
          <w:sz w:val="24"/>
        </w:rPr>
        <w:t>DRS,</w:t>
      </w:r>
      <w:r>
        <w:rPr>
          <w:spacing w:val="-3"/>
          <w:sz w:val="24"/>
        </w:rPr>
        <w:t> </w:t>
      </w:r>
      <w:r>
        <w:rPr>
          <w:sz w:val="24"/>
        </w:rPr>
        <w:t>and</w:t>
      </w:r>
      <w:r>
        <w:rPr>
          <w:spacing w:val="-4"/>
          <w:sz w:val="24"/>
        </w:rPr>
        <w:t> </w:t>
      </w:r>
      <w:r>
        <w:rPr>
          <w:sz w:val="24"/>
        </w:rPr>
        <w:t>other</w:t>
      </w:r>
      <w:r>
        <w:rPr>
          <w:spacing w:val="-3"/>
          <w:sz w:val="24"/>
        </w:rPr>
        <w:t> </w:t>
      </w:r>
      <w:r>
        <w:rPr>
          <w:sz w:val="24"/>
        </w:rPr>
        <w:t>trained</w:t>
      </w:r>
      <w:r>
        <w:rPr>
          <w:spacing w:val="-4"/>
          <w:sz w:val="24"/>
        </w:rPr>
        <w:t> </w:t>
      </w:r>
      <w:r>
        <w:rPr>
          <w:sz w:val="24"/>
        </w:rPr>
        <w:t>and/or</w:t>
      </w:r>
      <w:r>
        <w:rPr>
          <w:spacing w:val="-3"/>
          <w:sz w:val="24"/>
        </w:rPr>
        <w:t> </w:t>
      </w:r>
      <w:r>
        <w:rPr>
          <w:sz w:val="24"/>
        </w:rPr>
        <w:t>credentialed</w:t>
      </w:r>
      <w:r>
        <w:rPr>
          <w:spacing w:val="-4"/>
          <w:sz w:val="24"/>
        </w:rPr>
        <w:t> </w:t>
      </w:r>
      <w:r>
        <w:rPr>
          <w:sz w:val="24"/>
        </w:rPr>
        <w:t>experts</w:t>
      </w:r>
      <w:r>
        <w:rPr>
          <w:spacing w:val="-4"/>
          <w:sz w:val="24"/>
        </w:rPr>
        <w:t> </w:t>
      </w:r>
      <w:r>
        <w:rPr>
          <w:sz w:val="24"/>
        </w:rPr>
        <w:t>in specialized assistive technology fields.</w:t>
      </w:r>
    </w:p>
    <w:p>
      <w:pPr>
        <w:pStyle w:val="ListParagraph"/>
        <w:numPr>
          <w:ilvl w:val="0"/>
          <w:numId w:val="245"/>
        </w:numPr>
        <w:tabs>
          <w:tab w:pos="1077" w:val="left" w:leader="none"/>
        </w:tabs>
        <w:spacing w:line="208" w:lineRule="auto" w:before="240" w:after="0"/>
        <w:ind w:left="791" w:right="746" w:firstLine="0"/>
        <w:jc w:val="left"/>
        <w:rPr>
          <w:sz w:val="24"/>
        </w:rPr>
      </w:pPr>
      <w:r>
        <w:rPr>
          <w:sz w:val="24"/>
        </w:rPr>
        <w:t>74 O.S. 85.7 (12) provides an exemption from certain Office of Management and Enterprise Services Division of Capital Assets Management (OMES-DCAM) state purchasing</w:t>
      </w:r>
      <w:r>
        <w:rPr>
          <w:spacing w:val="-4"/>
          <w:sz w:val="24"/>
        </w:rPr>
        <w:t> </w:t>
      </w:r>
      <w:r>
        <w:rPr>
          <w:sz w:val="24"/>
        </w:rPr>
        <w:t>provisions</w:t>
      </w:r>
      <w:r>
        <w:rPr>
          <w:spacing w:val="-5"/>
          <w:sz w:val="24"/>
        </w:rPr>
        <w:t> </w:t>
      </w:r>
      <w:r>
        <w:rPr>
          <w:sz w:val="24"/>
        </w:rPr>
        <w:t>for</w:t>
      </w:r>
      <w:r>
        <w:rPr>
          <w:spacing w:val="-4"/>
          <w:sz w:val="24"/>
        </w:rPr>
        <w:t> </w:t>
      </w:r>
      <w:r>
        <w:rPr>
          <w:sz w:val="24"/>
        </w:rPr>
        <w:t>individually</w:t>
      </w:r>
      <w:r>
        <w:rPr>
          <w:spacing w:val="-5"/>
          <w:sz w:val="24"/>
        </w:rPr>
        <w:t> </w:t>
      </w:r>
      <w:r>
        <w:rPr>
          <w:sz w:val="24"/>
        </w:rPr>
        <w:t>prescribed</w:t>
      </w:r>
      <w:r>
        <w:rPr>
          <w:spacing w:val="-5"/>
          <w:sz w:val="24"/>
        </w:rPr>
        <w:t> </w:t>
      </w:r>
      <w:r>
        <w:rPr>
          <w:sz w:val="24"/>
        </w:rPr>
        <w:t>nonmedical</w:t>
      </w:r>
      <w:r>
        <w:rPr>
          <w:spacing w:val="-5"/>
          <w:sz w:val="24"/>
        </w:rPr>
        <w:t> </w:t>
      </w:r>
      <w:r>
        <w:rPr>
          <w:sz w:val="24"/>
        </w:rPr>
        <w:t>adaptive</w:t>
      </w:r>
      <w:r>
        <w:rPr>
          <w:spacing w:val="-5"/>
          <w:sz w:val="24"/>
        </w:rPr>
        <w:t> </w:t>
      </w:r>
      <w:r>
        <w:rPr>
          <w:sz w:val="24"/>
        </w:rPr>
        <w:t>equipment</w:t>
      </w:r>
      <w:r>
        <w:rPr>
          <w:spacing w:val="-4"/>
          <w:sz w:val="24"/>
        </w:rPr>
        <w:t> </w:t>
      </w:r>
      <w:r>
        <w:rPr>
          <w:sz w:val="24"/>
        </w:rPr>
        <w:t>for clients of DRS, when the equipment is prescribed by a physician, rehabilitation engineer, qualified rehabilitation technician, speech therapist, speech pathologist, occupational therapist, physical therapist, or qualified sensory aids specialist.</w:t>
      </w:r>
      <w:r>
        <w:rPr>
          <w:spacing w:val="40"/>
          <w:sz w:val="24"/>
        </w:rPr>
        <w:t> </w:t>
      </w:r>
      <w:r>
        <w:rPr>
          <w:sz w:val="24"/>
        </w:rPr>
        <w:t>DRS purchasing procedures continue to apply for purchase of these items.</w:t>
      </w:r>
    </w:p>
    <w:p>
      <w:pPr>
        <w:spacing w:before="243"/>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246"/>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line="253" w:lineRule="exact" w:before="0"/>
        <w:ind w:left="1439" w:right="0" w:firstLine="0"/>
        <w:jc w:val="left"/>
        <w:rPr>
          <w:sz w:val="22"/>
        </w:rPr>
      </w:pPr>
      <w:r>
        <w:rPr>
          <w:sz w:val="22"/>
        </w:rPr>
        <w:t>Permanent,</w:t>
      </w:r>
      <w:r>
        <w:rPr>
          <w:spacing w:val="-6"/>
          <w:sz w:val="22"/>
        </w:rPr>
        <w:t> </w:t>
      </w:r>
      <w:r>
        <w:rPr>
          <w:sz w:val="22"/>
        </w:rPr>
        <w:t>new,</w:t>
      </w:r>
      <w:r>
        <w:rPr>
          <w:spacing w:val="-6"/>
          <w:sz w:val="22"/>
        </w:rPr>
        <w:t> </w:t>
      </w:r>
      <w:r>
        <w:rPr>
          <w:sz w:val="22"/>
        </w:rPr>
        <w:t>put</w:t>
      </w:r>
      <w:r>
        <w:rPr>
          <w:spacing w:val="-6"/>
          <w:sz w:val="22"/>
        </w:rPr>
        <w:t> </w:t>
      </w:r>
      <w:r>
        <w:rPr>
          <w:sz w:val="22"/>
        </w:rPr>
        <w:t>in</w:t>
      </w:r>
      <w:r>
        <w:rPr>
          <w:spacing w:val="-6"/>
          <w:sz w:val="22"/>
        </w:rPr>
        <w:t> </w:t>
      </w:r>
      <w:r>
        <w:rPr>
          <w:sz w:val="22"/>
        </w:rPr>
        <w:t>proper</w:t>
      </w:r>
      <w:r>
        <w:rPr>
          <w:spacing w:val="-6"/>
          <w:sz w:val="22"/>
        </w:rPr>
        <w:t> </w:t>
      </w:r>
      <w:r>
        <w:rPr>
          <w:spacing w:val="-2"/>
          <w:sz w:val="22"/>
        </w:rPr>
        <w:t>sequence</w:t>
      </w:r>
    </w:p>
    <w:p>
      <w:pPr>
        <w:spacing w:before="1"/>
        <w:ind w:left="1439" w:right="1036" w:hanging="1080"/>
        <w:jc w:val="left"/>
        <w:rPr>
          <w:sz w:val="22"/>
        </w:rPr>
      </w:pPr>
      <w:r>
        <w:rPr>
          <w:sz w:val="22"/>
        </w:rPr>
        <w:t>11-30-17</w:t>
      </w:r>
      <w:r>
        <w:rPr>
          <w:spacing w:val="80"/>
          <w:w w:val="150"/>
          <w:sz w:val="22"/>
        </w:rPr>
        <w:t> </w:t>
      </w:r>
      <w:r>
        <w:rPr>
          <w:sz w:val="22"/>
        </w:rPr>
        <w:t>Updated</w:t>
      </w:r>
      <w:r>
        <w:rPr>
          <w:spacing w:val="-3"/>
          <w:sz w:val="22"/>
        </w:rPr>
        <w:t> </w:t>
      </w:r>
      <w:r>
        <w:rPr>
          <w:sz w:val="22"/>
        </w:rPr>
        <w:t>ITS</w:t>
      </w:r>
      <w:r>
        <w:rPr>
          <w:spacing w:val="-3"/>
          <w:sz w:val="22"/>
        </w:rPr>
        <w:t> </w:t>
      </w:r>
      <w:r>
        <w:rPr>
          <w:sz w:val="22"/>
        </w:rPr>
        <w:t>#1</w:t>
      </w:r>
      <w:r>
        <w:rPr>
          <w:spacing w:val="-3"/>
          <w:sz w:val="22"/>
        </w:rPr>
        <w:t> </w:t>
      </w:r>
      <w:r>
        <w:rPr>
          <w:sz w:val="22"/>
        </w:rPr>
        <w:t>hyperlink</w:t>
      </w:r>
      <w:r>
        <w:rPr>
          <w:spacing w:val="-3"/>
          <w:sz w:val="22"/>
        </w:rPr>
        <w:t> </w:t>
      </w:r>
      <w:r>
        <w:rPr>
          <w:sz w:val="22"/>
        </w:rPr>
        <w:t>and</w:t>
      </w:r>
      <w:r>
        <w:rPr>
          <w:spacing w:val="-3"/>
          <w:sz w:val="22"/>
        </w:rPr>
        <w:t> </w:t>
      </w:r>
      <w:r>
        <w:rPr>
          <w:sz w:val="22"/>
        </w:rPr>
        <w:t>#5</w:t>
      </w:r>
      <w:r>
        <w:rPr>
          <w:spacing w:val="-3"/>
          <w:sz w:val="22"/>
        </w:rPr>
        <w:t> </w:t>
      </w:r>
      <w:r>
        <w:rPr>
          <w:sz w:val="22"/>
        </w:rPr>
        <w:t>replacing</w:t>
      </w:r>
      <w:r>
        <w:rPr>
          <w:spacing w:val="-2"/>
          <w:sz w:val="22"/>
        </w:rPr>
        <w:t> </w:t>
      </w:r>
      <w:r>
        <w:rPr>
          <w:sz w:val="24"/>
        </w:rPr>
        <w:t>'</w:t>
      </w:r>
      <w:r>
        <w:rPr>
          <w:sz w:val="22"/>
        </w:rPr>
        <w:t>Department</w:t>
      </w:r>
      <w:r>
        <w:rPr>
          <w:spacing w:val="-3"/>
          <w:sz w:val="22"/>
        </w:rPr>
        <w:t> </w:t>
      </w:r>
      <w:r>
        <w:rPr>
          <w:sz w:val="22"/>
        </w:rPr>
        <w:t>of</w:t>
      </w:r>
      <w:r>
        <w:rPr>
          <w:spacing w:val="-3"/>
          <w:sz w:val="22"/>
        </w:rPr>
        <w:t> </w:t>
      </w:r>
      <w:r>
        <w:rPr>
          <w:sz w:val="22"/>
        </w:rPr>
        <w:t>Central</w:t>
      </w:r>
      <w:r>
        <w:rPr>
          <w:spacing w:val="-3"/>
          <w:sz w:val="22"/>
        </w:rPr>
        <w:t> </w:t>
      </w:r>
      <w:r>
        <w:rPr>
          <w:sz w:val="22"/>
        </w:rPr>
        <w:t>Services</w:t>
      </w:r>
      <w:r>
        <w:rPr>
          <w:sz w:val="24"/>
        </w:rPr>
        <w:t>'</w:t>
      </w:r>
      <w:r>
        <w:rPr>
          <w:spacing w:val="-9"/>
          <w:sz w:val="24"/>
        </w:rPr>
        <w:t> </w:t>
      </w:r>
      <w:r>
        <w:rPr>
          <w:sz w:val="22"/>
        </w:rPr>
        <w:t>to </w:t>
      </w:r>
      <w:r>
        <w:rPr>
          <w:sz w:val="24"/>
        </w:rPr>
        <w:t>'</w:t>
      </w:r>
      <w:r>
        <w:rPr>
          <w:sz w:val="22"/>
        </w:rPr>
        <w:t>Office of Management and Enterprise Services Division of Capital Assets Management (OMES-DCAM).</w:t>
      </w:r>
    </w:p>
    <w:p>
      <w:pPr>
        <w:tabs>
          <w:tab w:pos="1439" w:val="left" w:leader="none"/>
        </w:tabs>
        <w:spacing w:line="253" w:lineRule="exact" w:before="0"/>
        <w:ind w:left="359" w:right="0" w:firstLine="0"/>
        <w:jc w:val="left"/>
        <w:rPr>
          <w:sz w:val="22"/>
        </w:rPr>
      </w:pPr>
      <w:r>
        <w:rPr>
          <w:spacing w:val="-2"/>
          <w:sz w:val="22"/>
        </w:rPr>
        <w:t>8-26-</w:t>
      </w:r>
      <w:r>
        <w:rPr>
          <w:spacing w:val="-5"/>
          <w:sz w:val="22"/>
        </w:rPr>
        <w:t>21</w:t>
      </w:r>
      <w:r>
        <w:rPr>
          <w:sz w:val="22"/>
        </w:rPr>
        <w:tab/>
        <w:t>Revised</w:t>
      </w:r>
      <w:r>
        <w:rPr>
          <w:spacing w:val="-7"/>
          <w:sz w:val="22"/>
        </w:rPr>
        <w:t> </w:t>
      </w:r>
      <w:r>
        <w:rPr>
          <w:sz w:val="22"/>
        </w:rPr>
        <w:t>to</w:t>
      </w:r>
      <w:r>
        <w:rPr>
          <w:spacing w:val="-6"/>
          <w:sz w:val="22"/>
        </w:rPr>
        <w:t> </w:t>
      </w:r>
      <w:r>
        <w:rPr>
          <w:sz w:val="22"/>
        </w:rPr>
        <w:t>reflect</w:t>
      </w:r>
      <w:r>
        <w:rPr>
          <w:spacing w:val="-7"/>
          <w:sz w:val="22"/>
        </w:rPr>
        <w:t> </w:t>
      </w:r>
      <w:r>
        <w:rPr>
          <w:sz w:val="22"/>
        </w:rPr>
        <w:t>WIOA</w:t>
      </w:r>
      <w:r>
        <w:rPr>
          <w:spacing w:val="-6"/>
          <w:sz w:val="22"/>
        </w:rPr>
        <w:t> </w:t>
      </w:r>
      <w:r>
        <w:rPr>
          <w:spacing w:val="-2"/>
          <w:sz w:val="22"/>
        </w:rPr>
        <w:t>language.</w:t>
      </w:r>
    </w:p>
    <w:p>
      <w:pPr>
        <w:spacing w:after="0" w:line="253" w:lineRule="exact"/>
        <w:jc w:val="left"/>
        <w:rPr>
          <w:sz w:val="22"/>
        </w:rPr>
        <w:sectPr>
          <w:pgSz w:w="12240" w:h="15840"/>
          <w:pgMar w:top="1340" w:bottom="280" w:left="1080" w:right="720"/>
        </w:sectPr>
      </w:pPr>
    </w:p>
    <w:p>
      <w:pPr>
        <w:pStyle w:val="Heading1"/>
        <w:ind w:left="1126" w:right="0"/>
        <w:jc w:val="left"/>
      </w:pPr>
      <w:bookmarkStart w:name="PART 23.  SELF-EMPLOYMENT PROGRAMS AND O" w:id="224"/>
      <w:bookmarkEnd w:id="224"/>
      <w:r>
        <w:rPr>
          <w:b w:val="0"/>
        </w:rPr>
      </w:r>
      <w:r>
        <w:rPr/>
        <w:t>PART</w:t>
      </w:r>
      <w:r>
        <w:rPr>
          <w:spacing w:val="-4"/>
        </w:rPr>
        <w:t> </w:t>
      </w:r>
      <w:r>
        <w:rPr/>
        <w:t>23.</w:t>
      </w:r>
      <w:r>
        <w:rPr>
          <w:spacing w:val="59"/>
        </w:rPr>
        <w:t> </w:t>
      </w:r>
      <w:r>
        <w:rPr/>
        <w:t>SELF-EMPLOYMENT</w:t>
      </w:r>
      <w:r>
        <w:rPr>
          <w:spacing w:val="-2"/>
        </w:rPr>
        <w:t> </w:t>
      </w:r>
      <w:r>
        <w:rPr/>
        <w:t>PROGRAMS</w:t>
      </w:r>
      <w:r>
        <w:rPr>
          <w:spacing w:val="-3"/>
        </w:rPr>
        <w:t> </w:t>
      </w:r>
      <w:r>
        <w:rPr/>
        <w:t>AND</w:t>
      </w:r>
      <w:r>
        <w:rPr>
          <w:spacing w:val="-3"/>
        </w:rPr>
        <w:t> </w:t>
      </w:r>
      <w:r>
        <w:rPr/>
        <w:t>OTHER</w:t>
      </w:r>
      <w:r>
        <w:rPr>
          <w:spacing w:val="-2"/>
        </w:rPr>
        <w:t> SERVICES</w:t>
      </w:r>
    </w:p>
    <w:p>
      <w:pPr>
        <w:pStyle w:val="BodyText"/>
        <w:spacing w:before="204"/>
      </w:pPr>
      <w:r>
        <w:rPr>
          <w:spacing w:val="-2"/>
        </w:rPr>
        <w:t>Section</w:t>
      </w:r>
    </w:p>
    <w:p>
      <w:pPr>
        <w:pStyle w:val="BodyText"/>
        <w:tabs>
          <w:tab w:pos="2519" w:val="left" w:leader="none"/>
        </w:tabs>
        <w:spacing w:before="204"/>
      </w:pPr>
      <w:r>
        <w:rPr>
          <w:spacing w:val="-2"/>
        </w:rPr>
        <w:t>612:10-7-</w:t>
      </w:r>
      <w:r>
        <w:rPr>
          <w:spacing w:val="-4"/>
        </w:rPr>
        <w:t>230.</w:t>
      </w:r>
      <w:r>
        <w:rPr/>
        <w:tab/>
        <w:t>Self-employment</w:t>
      </w:r>
      <w:r>
        <w:rPr>
          <w:spacing w:val="-7"/>
        </w:rPr>
        <w:t> </w:t>
      </w:r>
      <w:r>
        <w:rPr>
          <w:spacing w:val="-2"/>
        </w:rPr>
        <w:t>programs</w:t>
      </w:r>
    </w:p>
    <w:p>
      <w:pPr>
        <w:pStyle w:val="BodyText"/>
        <w:tabs>
          <w:tab w:pos="2519" w:val="left" w:leader="none"/>
        </w:tabs>
        <w:spacing w:before="204"/>
      </w:pPr>
      <w:r>
        <w:rPr>
          <w:spacing w:val="-2"/>
        </w:rPr>
        <w:t>612:10-7-</w:t>
      </w:r>
      <w:r>
        <w:rPr>
          <w:spacing w:val="-4"/>
        </w:rPr>
        <w:t>232.</w:t>
      </w:r>
      <w:r>
        <w:rPr/>
        <w:tab/>
      </w:r>
      <w:r>
        <w:rPr>
          <w:spacing w:val="-2"/>
        </w:rPr>
        <w:t>Placement</w:t>
      </w:r>
    </w:p>
    <w:p>
      <w:pPr>
        <w:pStyle w:val="BodyText"/>
        <w:tabs>
          <w:tab w:pos="2519" w:val="left" w:leader="none"/>
        </w:tabs>
        <w:spacing w:line="208" w:lineRule="auto" w:before="233"/>
        <w:ind w:left="2520" w:right="821" w:hanging="2160"/>
      </w:pPr>
      <w:r>
        <w:rPr>
          <w:spacing w:val="-2"/>
        </w:rPr>
        <w:t>612:10-7-233.</w:t>
      </w:r>
      <w:r>
        <w:rPr/>
        <w:tab/>
        <w:t>Special</w:t>
      </w:r>
      <w:r>
        <w:rPr>
          <w:spacing w:val="-6"/>
        </w:rPr>
        <w:t> </w:t>
      </w:r>
      <w:r>
        <w:rPr/>
        <w:t>consideration</w:t>
      </w:r>
      <w:r>
        <w:rPr>
          <w:spacing w:val="-5"/>
        </w:rPr>
        <w:t> </w:t>
      </w:r>
      <w:r>
        <w:rPr/>
        <w:t>in</w:t>
      </w:r>
      <w:r>
        <w:rPr>
          <w:spacing w:val="-6"/>
        </w:rPr>
        <w:t> </w:t>
      </w:r>
      <w:r>
        <w:rPr/>
        <w:t>state</w:t>
      </w:r>
      <w:r>
        <w:rPr>
          <w:spacing w:val="-6"/>
        </w:rPr>
        <w:t> </w:t>
      </w:r>
      <w:r>
        <w:rPr/>
        <w:t>government</w:t>
      </w:r>
      <w:r>
        <w:rPr>
          <w:spacing w:val="-5"/>
        </w:rPr>
        <w:t> </w:t>
      </w:r>
      <w:r>
        <w:rPr/>
        <w:t>employment</w:t>
      </w:r>
      <w:r>
        <w:rPr>
          <w:spacing w:val="-5"/>
        </w:rPr>
        <w:t> </w:t>
      </w:r>
      <w:r>
        <w:rPr/>
        <w:t>for</w:t>
      </w:r>
      <w:r>
        <w:rPr>
          <w:spacing w:val="-5"/>
        </w:rPr>
        <w:t> </w:t>
      </w:r>
      <w:r>
        <w:rPr/>
        <w:t>persons with severe disabilities</w:t>
      </w:r>
    </w:p>
    <w:p>
      <w:pPr>
        <w:pStyle w:val="BodyText"/>
        <w:tabs>
          <w:tab w:pos="2519" w:val="left" w:leader="none"/>
        </w:tabs>
        <w:spacing w:line="417" w:lineRule="auto" w:before="210"/>
        <w:ind w:right="2956"/>
      </w:pPr>
      <w:r>
        <w:rPr>
          <w:spacing w:val="-2"/>
        </w:rPr>
        <w:t>612:10-7-234.</w:t>
      </w:r>
      <w:r>
        <w:rPr/>
        <w:tab/>
        <w:t>Computers</w:t>
      </w:r>
      <w:r>
        <w:rPr>
          <w:spacing w:val="-8"/>
        </w:rPr>
        <w:t> </w:t>
      </w:r>
      <w:r>
        <w:rPr/>
        <w:t>and</w:t>
      </w:r>
      <w:r>
        <w:rPr>
          <w:spacing w:val="-8"/>
        </w:rPr>
        <w:t> </w:t>
      </w:r>
      <w:r>
        <w:rPr/>
        <w:t>high</w:t>
      </w:r>
      <w:r>
        <w:rPr>
          <w:spacing w:val="-8"/>
        </w:rPr>
        <w:t> </w:t>
      </w:r>
      <w:r>
        <w:rPr/>
        <w:t>tech</w:t>
      </w:r>
      <w:r>
        <w:rPr>
          <w:spacing w:val="-8"/>
        </w:rPr>
        <w:t> </w:t>
      </w:r>
      <w:r>
        <w:rPr/>
        <w:t>electronic</w:t>
      </w:r>
      <w:r>
        <w:rPr>
          <w:spacing w:val="-8"/>
        </w:rPr>
        <w:t> </w:t>
      </w:r>
      <w:r>
        <w:rPr/>
        <w:t>equipment </w:t>
      </w:r>
      <w:r>
        <w:rPr>
          <w:spacing w:val="-2"/>
        </w:rPr>
        <w:t>612:10-7-235.</w:t>
      </w:r>
      <w:r>
        <w:rPr/>
        <w:tab/>
        <w:t>Support Services for Employment</w:t>
      </w:r>
    </w:p>
    <w:p>
      <w:pPr>
        <w:pStyle w:val="BodyText"/>
        <w:spacing w:after="0" w:line="417" w:lineRule="auto"/>
        <w:sectPr>
          <w:pgSz w:w="12240" w:h="15840"/>
          <w:pgMar w:top="1340" w:bottom="280" w:left="1080" w:right="720"/>
        </w:sectPr>
      </w:pPr>
    </w:p>
    <w:p>
      <w:pPr>
        <w:pStyle w:val="Heading2"/>
      </w:pPr>
      <w:bookmarkStart w:name="612:10-7-230.  Self-employment programs" w:id="225"/>
      <w:bookmarkEnd w:id="225"/>
      <w:r>
        <w:rPr>
          <w:b w:val="0"/>
        </w:rPr>
      </w:r>
      <w:bookmarkStart w:name="_bookmark30" w:id="226"/>
      <w:bookmarkEnd w:id="226"/>
      <w:r>
        <w:rPr>
          <w:b w:val="0"/>
        </w:rPr>
      </w:r>
      <w:r>
        <w:rPr/>
        <w:t>612:10-7-230.</w:t>
      </w:r>
      <w:r>
        <w:rPr>
          <w:spacing w:val="55"/>
        </w:rPr>
        <w:t> </w:t>
      </w:r>
      <w:r>
        <w:rPr/>
        <w:t>Self-employment</w:t>
      </w:r>
      <w:r>
        <w:rPr>
          <w:spacing w:val="-5"/>
        </w:rPr>
        <w:t> </w:t>
      </w:r>
      <w:r>
        <w:rPr>
          <w:spacing w:val="-2"/>
        </w:rPr>
        <w:t>programs</w:t>
      </w:r>
    </w:p>
    <w:p>
      <w:pPr>
        <w:pStyle w:val="ListParagraph"/>
        <w:numPr>
          <w:ilvl w:val="0"/>
          <w:numId w:val="247"/>
        </w:numPr>
        <w:tabs>
          <w:tab w:pos="786" w:val="left" w:leader="none"/>
        </w:tabs>
        <w:spacing w:line="208" w:lineRule="auto" w:before="233" w:after="0"/>
        <w:ind w:left="360" w:right="940" w:firstLine="0"/>
        <w:jc w:val="left"/>
        <w:rPr>
          <w:sz w:val="24"/>
        </w:rPr>
      </w:pPr>
      <w:r>
        <w:rPr>
          <w:sz w:val="24"/>
        </w:rPr>
        <w:t>Self-employment is not a vocational goal itself but a method of achieving employment.</w:t>
      </w:r>
      <w:r>
        <w:rPr>
          <w:spacing w:val="-4"/>
          <w:sz w:val="24"/>
        </w:rPr>
        <w:t> </w:t>
      </w:r>
      <w:r>
        <w:rPr>
          <w:sz w:val="24"/>
        </w:rPr>
        <w:t>Self-employment</w:t>
      </w:r>
      <w:r>
        <w:rPr>
          <w:spacing w:val="-4"/>
          <w:sz w:val="24"/>
        </w:rPr>
        <w:t> </w:t>
      </w:r>
      <w:r>
        <w:rPr>
          <w:sz w:val="24"/>
        </w:rPr>
        <w:t>programs</w:t>
      </w:r>
      <w:r>
        <w:rPr>
          <w:spacing w:val="-4"/>
          <w:sz w:val="24"/>
        </w:rPr>
        <w:t> </w:t>
      </w:r>
      <w:r>
        <w:rPr>
          <w:sz w:val="24"/>
        </w:rPr>
        <w:t>may</w:t>
      </w:r>
      <w:r>
        <w:rPr>
          <w:spacing w:val="-4"/>
          <w:sz w:val="24"/>
        </w:rPr>
        <w:t> </w:t>
      </w:r>
      <w:r>
        <w:rPr>
          <w:sz w:val="24"/>
        </w:rPr>
        <w:t>be</w:t>
      </w:r>
      <w:r>
        <w:rPr>
          <w:spacing w:val="-4"/>
          <w:sz w:val="24"/>
        </w:rPr>
        <w:t> </w:t>
      </w:r>
      <w:r>
        <w:rPr>
          <w:sz w:val="24"/>
        </w:rPr>
        <w:t>divided</w:t>
      </w:r>
      <w:r>
        <w:rPr>
          <w:spacing w:val="-4"/>
          <w:sz w:val="24"/>
        </w:rPr>
        <w:t> </w:t>
      </w:r>
      <w:r>
        <w:rPr>
          <w:sz w:val="24"/>
        </w:rPr>
        <w:t>into</w:t>
      </w:r>
      <w:r>
        <w:rPr>
          <w:spacing w:val="-4"/>
          <w:sz w:val="24"/>
        </w:rPr>
        <w:t> </w:t>
      </w:r>
      <w:r>
        <w:rPr>
          <w:sz w:val="24"/>
        </w:rPr>
        <w:t>Contract</w:t>
      </w:r>
      <w:r>
        <w:rPr>
          <w:spacing w:val="-4"/>
          <w:sz w:val="24"/>
        </w:rPr>
        <w:t> </w:t>
      </w:r>
      <w:r>
        <w:rPr>
          <w:sz w:val="24"/>
        </w:rPr>
        <w:t>Labor</w:t>
      </w:r>
      <w:r>
        <w:rPr>
          <w:spacing w:val="-5"/>
          <w:sz w:val="24"/>
        </w:rPr>
        <w:t> </w:t>
      </w:r>
      <w:r>
        <w:rPr>
          <w:sz w:val="24"/>
        </w:rPr>
        <w:t>and</w:t>
      </w:r>
      <w:r>
        <w:rPr>
          <w:spacing w:val="-4"/>
          <w:sz w:val="24"/>
        </w:rPr>
        <w:t> </w:t>
      </w:r>
      <w:r>
        <w:rPr>
          <w:sz w:val="24"/>
        </w:rPr>
        <w:t>Self- </w:t>
      </w:r>
      <w:r>
        <w:rPr>
          <w:spacing w:val="-2"/>
          <w:sz w:val="24"/>
        </w:rPr>
        <w:t>Employment.</w:t>
      </w:r>
    </w:p>
    <w:p>
      <w:pPr>
        <w:pStyle w:val="ListParagraph"/>
        <w:numPr>
          <w:ilvl w:val="1"/>
          <w:numId w:val="247"/>
        </w:numPr>
        <w:tabs>
          <w:tab w:pos="1217" w:val="left" w:leader="none"/>
        </w:tabs>
        <w:spacing w:line="208" w:lineRule="auto" w:before="240" w:after="0"/>
        <w:ind w:left="791" w:right="721" w:firstLine="0"/>
        <w:jc w:val="left"/>
        <w:rPr>
          <w:sz w:val="24"/>
        </w:rPr>
      </w:pPr>
      <w:r>
        <w:rPr>
          <w:sz w:val="24"/>
        </w:rPr>
        <w:t>Contract Labor. Employment is contract labor when the client has a contract or on-going</w:t>
      </w:r>
      <w:r>
        <w:rPr>
          <w:spacing w:val="-3"/>
          <w:sz w:val="24"/>
        </w:rPr>
        <w:t> </w:t>
      </w:r>
      <w:r>
        <w:rPr>
          <w:sz w:val="24"/>
        </w:rPr>
        <w:t>business</w:t>
      </w:r>
      <w:r>
        <w:rPr>
          <w:spacing w:val="-3"/>
          <w:sz w:val="24"/>
        </w:rPr>
        <w:t> </w:t>
      </w:r>
      <w:r>
        <w:rPr>
          <w:sz w:val="24"/>
        </w:rPr>
        <w:t>with</w:t>
      </w:r>
      <w:r>
        <w:rPr>
          <w:spacing w:val="-3"/>
          <w:sz w:val="24"/>
        </w:rPr>
        <w:t> </w:t>
      </w:r>
      <w:r>
        <w:rPr>
          <w:sz w:val="24"/>
        </w:rPr>
        <w:t>a</w:t>
      </w:r>
      <w:r>
        <w:rPr>
          <w:spacing w:val="-3"/>
          <w:sz w:val="24"/>
        </w:rPr>
        <w:t> </w:t>
      </w:r>
      <w:r>
        <w:rPr>
          <w:sz w:val="24"/>
        </w:rPr>
        <w:t>company</w:t>
      </w:r>
      <w:r>
        <w:rPr>
          <w:spacing w:val="-3"/>
          <w:sz w:val="24"/>
        </w:rPr>
        <w:t> </w:t>
      </w:r>
      <w:r>
        <w:rPr>
          <w:sz w:val="24"/>
        </w:rPr>
        <w:t>or</w:t>
      </w:r>
      <w:r>
        <w:rPr>
          <w:spacing w:val="-2"/>
          <w:sz w:val="24"/>
        </w:rPr>
        <w:t> </w:t>
      </w:r>
      <w:r>
        <w:rPr>
          <w:sz w:val="24"/>
        </w:rPr>
        <w:t>person</w:t>
      </w:r>
      <w:r>
        <w:rPr>
          <w:spacing w:val="-3"/>
          <w:sz w:val="24"/>
        </w:rPr>
        <w:t> </w:t>
      </w:r>
      <w:r>
        <w:rPr>
          <w:sz w:val="24"/>
        </w:rPr>
        <w:t>to</w:t>
      </w:r>
      <w:r>
        <w:rPr>
          <w:spacing w:val="-3"/>
          <w:sz w:val="24"/>
        </w:rPr>
        <w:t> </w:t>
      </w:r>
      <w:r>
        <w:rPr>
          <w:sz w:val="24"/>
        </w:rPr>
        <w:t>provide</w:t>
      </w:r>
      <w:r>
        <w:rPr>
          <w:spacing w:val="-3"/>
          <w:sz w:val="24"/>
        </w:rPr>
        <w:t> </w:t>
      </w:r>
      <w:r>
        <w:rPr>
          <w:sz w:val="24"/>
        </w:rPr>
        <w:t>a</w:t>
      </w:r>
      <w:r>
        <w:rPr>
          <w:spacing w:val="-3"/>
          <w:sz w:val="24"/>
        </w:rPr>
        <w:t> </w:t>
      </w:r>
      <w:r>
        <w:rPr>
          <w:sz w:val="24"/>
        </w:rPr>
        <w:t>specific</w:t>
      </w:r>
      <w:r>
        <w:rPr>
          <w:spacing w:val="-3"/>
          <w:sz w:val="24"/>
        </w:rPr>
        <w:t> </w:t>
      </w:r>
      <w:r>
        <w:rPr>
          <w:sz w:val="24"/>
        </w:rPr>
        <w:t>product</w:t>
      </w:r>
      <w:r>
        <w:rPr>
          <w:spacing w:val="-2"/>
          <w:sz w:val="24"/>
        </w:rPr>
        <w:t> </w:t>
      </w:r>
      <w:r>
        <w:rPr>
          <w:sz w:val="24"/>
        </w:rPr>
        <w:t>or</w:t>
      </w:r>
      <w:r>
        <w:rPr>
          <w:spacing w:val="-4"/>
          <w:sz w:val="24"/>
        </w:rPr>
        <w:t> </w:t>
      </w:r>
      <w:r>
        <w:rPr>
          <w:sz w:val="24"/>
        </w:rPr>
        <w:t>service for</w:t>
      </w:r>
      <w:r>
        <w:rPr>
          <w:spacing w:val="-2"/>
          <w:sz w:val="24"/>
        </w:rPr>
        <w:t> </w:t>
      </w:r>
      <w:r>
        <w:rPr>
          <w:sz w:val="24"/>
        </w:rPr>
        <w:t>a</w:t>
      </w:r>
      <w:r>
        <w:rPr>
          <w:spacing w:val="-4"/>
          <w:sz w:val="24"/>
        </w:rPr>
        <w:t> </w:t>
      </w:r>
      <w:r>
        <w:rPr>
          <w:sz w:val="24"/>
        </w:rPr>
        <w:t>fee.</w:t>
      </w:r>
      <w:r>
        <w:rPr>
          <w:spacing w:val="-2"/>
          <w:sz w:val="24"/>
        </w:rPr>
        <w:t> </w:t>
      </w:r>
      <w:r>
        <w:rPr>
          <w:sz w:val="24"/>
        </w:rPr>
        <w:t>The</w:t>
      </w:r>
      <w:r>
        <w:rPr>
          <w:spacing w:val="-3"/>
          <w:sz w:val="24"/>
        </w:rPr>
        <w:t> </w:t>
      </w:r>
      <w:r>
        <w:rPr>
          <w:sz w:val="24"/>
        </w:rPr>
        <w:t>service</w:t>
      </w:r>
      <w:r>
        <w:rPr>
          <w:spacing w:val="-3"/>
          <w:sz w:val="24"/>
        </w:rPr>
        <w:t> </w:t>
      </w:r>
      <w:r>
        <w:rPr>
          <w:sz w:val="24"/>
        </w:rPr>
        <w:t>or</w:t>
      </w:r>
      <w:r>
        <w:rPr>
          <w:spacing w:val="-2"/>
          <w:sz w:val="24"/>
        </w:rPr>
        <w:t> </w:t>
      </w:r>
      <w:r>
        <w:rPr>
          <w:sz w:val="24"/>
        </w:rPr>
        <w:t>product</w:t>
      </w:r>
      <w:r>
        <w:rPr>
          <w:spacing w:val="-2"/>
          <w:sz w:val="24"/>
        </w:rPr>
        <w:t> </w:t>
      </w:r>
      <w:r>
        <w:rPr>
          <w:sz w:val="24"/>
        </w:rPr>
        <w:t>is</w:t>
      </w:r>
      <w:r>
        <w:rPr>
          <w:spacing w:val="-3"/>
          <w:sz w:val="24"/>
        </w:rPr>
        <w:t> </w:t>
      </w:r>
      <w:r>
        <w:rPr>
          <w:sz w:val="24"/>
        </w:rPr>
        <w:t>produced</w:t>
      </w:r>
      <w:r>
        <w:rPr>
          <w:spacing w:val="-2"/>
          <w:sz w:val="24"/>
        </w:rPr>
        <w:t> </w:t>
      </w:r>
      <w:r>
        <w:rPr>
          <w:sz w:val="24"/>
        </w:rPr>
        <w:t>to</w:t>
      </w:r>
      <w:r>
        <w:rPr>
          <w:spacing w:val="-3"/>
          <w:sz w:val="24"/>
        </w:rPr>
        <w:t> </w:t>
      </w:r>
      <w:r>
        <w:rPr>
          <w:sz w:val="24"/>
        </w:rPr>
        <w:t>meet</w:t>
      </w:r>
      <w:r>
        <w:rPr>
          <w:spacing w:val="-4"/>
          <w:sz w:val="24"/>
        </w:rPr>
        <w:t> </w:t>
      </w:r>
      <w:r>
        <w:rPr>
          <w:sz w:val="24"/>
        </w:rPr>
        <w:t>the</w:t>
      </w:r>
      <w:r>
        <w:rPr>
          <w:spacing w:val="-3"/>
          <w:sz w:val="24"/>
        </w:rPr>
        <w:t> </w:t>
      </w:r>
      <w:r>
        <w:rPr>
          <w:sz w:val="24"/>
        </w:rPr>
        <w:t>vendor's</w:t>
      </w:r>
      <w:r>
        <w:rPr>
          <w:spacing w:val="-3"/>
          <w:sz w:val="24"/>
        </w:rPr>
        <w:t> </w:t>
      </w:r>
      <w:r>
        <w:rPr>
          <w:sz w:val="24"/>
        </w:rPr>
        <w:t>specifications</w:t>
      </w:r>
      <w:r>
        <w:rPr>
          <w:spacing w:val="-3"/>
          <w:sz w:val="24"/>
        </w:rPr>
        <w:t> </w:t>
      </w:r>
      <w:r>
        <w:rPr>
          <w:sz w:val="24"/>
        </w:rPr>
        <w:t>and needs. The purchasing company often supervises the work.</w:t>
      </w:r>
    </w:p>
    <w:p>
      <w:pPr>
        <w:pStyle w:val="ListParagraph"/>
        <w:numPr>
          <w:ilvl w:val="1"/>
          <w:numId w:val="247"/>
        </w:numPr>
        <w:tabs>
          <w:tab w:pos="1218" w:val="left" w:leader="none"/>
        </w:tabs>
        <w:spacing w:line="208" w:lineRule="auto" w:before="239" w:after="0"/>
        <w:ind w:left="792" w:right="773" w:firstLine="0"/>
        <w:jc w:val="left"/>
        <w:rPr>
          <w:sz w:val="24"/>
        </w:rPr>
      </w:pPr>
      <w:r>
        <w:rPr>
          <w:sz w:val="24"/>
        </w:rPr>
        <w:t>Self-Employment. In Self-Employment, the client owns, manages and operates a business selling goods or services for the purpose of making a profit. Self- Employment</w:t>
      </w:r>
      <w:r>
        <w:rPr>
          <w:spacing w:val="-4"/>
          <w:sz w:val="24"/>
        </w:rPr>
        <w:t> </w:t>
      </w:r>
      <w:r>
        <w:rPr>
          <w:sz w:val="24"/>
        </w:rPr>
        <w:t>ranges</w:t>
      </w:r>
      <w:r>
        <w:rPr>
          <w:spacing w:val="-5"/>
          <w:sz w:val="24"/>
        </w:rPr>
        <w:t> </w:t>
      </w:r>
      <w:r>
        <w:rPr>
          <w:sz w:val="24"/>
        </w:rPr>
        <w:t>from</w:t>
      </w:r>
      <w:r>
        <w:rPr>
          <w:spacing w:val="-4"/>
          <w:sz w:val="24"/>
        </w:rPr>
        <w:t> </w:t>
      </w:r>
      <w:r>
        <w:rPr>
          <w:sz w:val="24"/>
        </w:rPr>
        <w:t>sole</w:t>
      </w:r>
      <w:r>
        <w:rPr>
          <w:spacing w:val="-5"/>
          <w:sz w:val="24"/>
        </w:rPr>
        <w:t> </w:t>
      </w:r>
      <w:r>
        <w:rPr>
          <w:sz w:val="24"/>
        </w:rPr>
        <w:t>proprietorships</w:t>
      </w:r>
      <w:r>
        <w:rPr>
          <w:spacing w:val="-5"/>
          <w:sz w:val="24"/>
        </w:rPr>
        <w:t> </w:t>
      </w:r>
      <w:r>
        <w:rPr>
          <w:sz w:val="24"/>
        </w:rPr>
        <w:t>and</w:t>
      </w:r>
      <w:r>
        <w:rPr>
          <w:spacing w:val="-5"/>
          <w:sz w:val="24"/>
        </w:rPr>
        <w:t> </w:t>
      </w:r>
      <w:r>
        <w:rPr>
          <w:sz w:val="24"/>
        </w:rPr>
        <w:t>independent</w:t>
      </w:r>
      <w:r>
        <w:rPr>
          <w:spacing w:val="-4"/>
          <w:sz w:val="24"/>
        </w:rPr>
        <w:t> </w:t>
      </w:r>
      <w:r>
        <w:rPr>
          <w:sz w:val="24"/>
        </w:rPr>
        <w:t>contractors</w:t>
      </w:r>
      <w:r>
        <w:rPr>
          <w:spacing w:val="-6"/>
          <w:sz w:val="24"/>
        </w:rPr>
        <w:t> </w:t>
      </w:r>
      <w:r>
        <w:rPr>
          <w:sz w:val="24"/>
        </w:rPr>
        <w:t>to</w:t>
      </w:r>
      <w:r>
        <w:rPr>
          <w:spacing w:val="-5"/>
          <w:sz w:val="24"/>
        </w:rPr>
        <w:t> </w:t>
      </w:r>
      <w:r>
        <w:rPr>
          <w:sz w:val="24"/>
        </w:rPr>
        <w:t>multi- employee companies and independent franchise operations.</w:t>
      </w:r>
    </w:p>
    <w:p>
      <w:pPr>
        <w:pStyle w:val="ListParagraph"/>
        <w:numPr>
          <w:ilvl w:val="2"/>
          <w:numId w:val="247"/>
        </w:numPr>
        <w:tabs>
          <w:tab w:pos="1676" w:val="left" w:leader="none"/>
        </w:tabs>
        <w:spacing w:line="208" w:lineRule="auto" w:before="240" w:after="0"/>
        <w:ind w:left="1223" w:right="914" w:firstLine="0"/>
        <w:jc w:val="left"/>
        <w:rPr>
          <w:sz w:val="24"/>
        </w:rPr>
      </w:pPr>
      <w:r>
        <w:rPr>
          <w:sz w:val="24"/>
        </w:rPr>
        <w:t>The</w:t>
      </w:r>
      <w:r>
        <w:rPr>
          <w:spacing w:val="-4"/>
          <w:sz w:val="24"/>
        </w:rPr>
        <w:t> </w:t>
      </w:r>
      <w:r>
        <w:rPr>
          <w:sz w:val="24"/>
        </w:rPr>
        <w:t>client</w:t>
      </w:r>
      <w:r>
        <w:rPr>
          <w:spacing w:val="-3"/>
          <w:sz w:val="24"/>
        </w:rPr>
        <w:t> </w:t>
      </w:r>
      <w:r>
        <w:rPr>
          <w:sz w:val="24"/>
        </w:rPr>
        <w:t>must</w:t>
      </w:r>
      <w:r>
        <w:rPr>
          <w:spacing w:val="-3"/>
          <w:sz w:val="24"/>
        </w:rPr>
        <w:t> </w:t>
      </w:r>
      <w:r>
        <w:rPr>
          <w:sz w:val="24"/>
        </w:rPr>
        <w:t>have</w:t>
      </w:r>
      <w:r>
        <w:rPr>
          <w:spacing w:val="-4"/>
          <w:sz w:val="24"/>
        </w:rPr>
        <w:t> </w:t>
      </w:r>
      <w:r>
        <w:rPr>
          <w:sz w:val="24"/>
        </w:rPr>
        <w:t>the</w:t>
      </w:r>
      <w:r>
        <w:rPr>
          <w:spacing w:val="-4"/>
          <w:sz w:val="24"/>
        </w:rPr>
        <w:t> </w:t>
      </w:r>
      <w:r>
        <w:rPr>
          <w:sz w:val="24"/>
        </w:rPr>
        <w:t>proper</w:t>
      </w:r>
      <w:r>
        <w:rPr>
          <w:spacing w:val="-3"/>
          <w:sz w:val="24"/>
        </w:rPr>
        <w:t> </w:t>
      </w:r>
      <w:r>
        <w:rPr>
          <w:sz w:val="24"/>
        </w:rPr>
        <w:t>skills</w:t>
      </w:r>
      <w:r>
        <w:rPr>
          <w:spacing w:val="-4"/>
          <w:sz w:val="24"/>
        </w:rPr>
        <w:t> </w:t>
      </w:r>
      <w:r>
        <w:rPr>
          <w:sz w:val="24"/>
        </w:rPr>
        <w:t>and</w:t>
      </w:r>
      <w:r>
        <w:rPr>
          <w:spacing w:val="-4"/>
          <w:sz w:val="24"/>
        </w:rPr>
        <w:t> </w:t>
      </w:r>
      <w:r>
        <w:rPr>
          <w:sz w:val="24"/>
        </w:rPr>
        <w:t>managerial</w:t>
      </w:r>
      <w:r>
        <w:rPr>
          <w:spacing w:val="-4"/>
          <w:sz w:val="24"/>
        </w:rPr>
        <w:t> </w:t>
      </w:r>
      <w:r>
        <w:rPr>
          <w:sz w:val="24"/>
        </w:rPr>
        <w:t>ability</w:t>
      </w:r>
      <w:r>
        <w:rPr>
          <w:spacing w:val="-4"/>
          <w:sz w:val="24"/>
        </w:rPr>
        <w:t> </w:t>
      </w:r>
      <w:r>
        <w:rPr>
          <w:sz w:val="24"/>
        </w:rPr>
        <w:t>to</w:t>
      </w:r>
      <w:r>
        <w:rPr>
          <w:spacing w:val="-4"/>
          <w:sz w:val="24"/>
        </w:rPr>
        <w:t> </w:t>
      </w:r>
      <w:r>
        <w:rPr>
          <w:sz w:val="24"/>
        </w:rPr>
        <w:t>succeed</w:t>
      </w:r>
      <w:r>
        <w:rPr>
          <w:spacing w:val="-4"/>
          <w:sz w:val="24"/>
        </w:rPr>
        <w:t> </w:t>
      </w:r>
      <w:r>
        <w:rPr>
          <w:sz w:val="24"/>
        </w:rPr>
        <w:t>in the trade or occupation for which the services are provided; and</w:t>
      </w:r>
    </w:p>
    <w:p>
      <w:pPr>
        <w:pStyle w:val="ListParagraph"/>
        <w:numPr>
          <w:ilvl w:val="2"/>
          <w:numId w:val="247"/>
        </w:numPr>
        <w:tabs>
          <w:tab w:pos="1676" w:val="left" w:leader="none"/>
        </w:tabs>
        <w:spacing w:line="208" w:lineRule="auto" w:before="240" w:after="0"/>
        <w:ind w:left="1223" w:right="1170" w:firstLine="0"/>
        <w:jc w:val="left"/>
        <w:rPr>
          <w:b/>
          <w:sz w:val="24"/>
        </w:rPr>
      </w:pPr>
      <w:r>
        <w:rPr>
          <w:sz w:val="24"/>
        </w:rPr>
        <w:t>The client must have adequate resources available for the proper maintenance and upkeep of the required tools, equipment, and stocks. The client</w:t>
      </w:r>
      <w:r>
        <w:rPr>
          <w:spacing w:val="-3"/>
          <w:sz w:val="24"/>
        </w:rPr>
        <w:t> </w:t>
      </w:r>
      <w:r>
        <w:rPr>
          <w:sz w:val="24"/>
        </w:rPr>
        <w:t>is</w:t>
      </w:r>
      <w:r>
        <w:rPr>
          <w:spacing w:val="-4"/>
          <w:sz w:val="24"/>
        </w:rPr>
        <w:t> </w:t>
      </w:r>
      <w:r>
        <w:rPr>
          <w:sz w:val="24"/>
        </w:rPr>
        <w:t>responsible</w:t>
      </w:r>
      <w:r>
        <w:rPr>
          <w:spacing w:val="-4"/>
          <w:sz w:val="24"/>
        </w:rPr>
        <w:t> </w:t>
      </w:r>
      <w:r>
        <w:rPr>
          <w:sz w:val="24"/>
        </w:rPr>
        <w:t>for</w:t>
      </w:r>
      <w:r>
        <w:rPr>
          <w:spacing w:val="-3"/>
          <w:sz w:val="24"/>
        </w:rPr>
        <w:t> </w:t>
      </w:r>
      <w:r>
        <w:rPr>
          <w:sz w:val="24"/>
        </w:rPr>
        <w:t>the</w:t>
      </w:r>
      <w:r>
        <w:rPr>
          <w:spacing w:val="-5"/>
          <w:sz w:val="24"/>
        </w:rPr>
        <w:t> </w:t>
      </w:r>
      <w:r>
        <w:rPr>
          <w:sz w:val="24"/>
        </w:rPr>
        <w:t>maintenance</w:t>
      </w:r>
      <w:r>
        <w:rPr>
          <w:spacing w:val="-4"/>
          <w:sz w:val="24"/>
        </w:rPr>
        <w:t> </w:t>
      </w:r>
      <w:r>
        <w:rPr>
          <w:sz w:val="24"/>
        </w:rPr>
        <w:t>and</w:t>
      </w:r>
      <w:r>
        <w:rPr>
          <w:spacing w:val="-4"/>
          <w:sz w:val="24"/>
        </w:rPr>
        <w:t> </w:t>
      </w:r>
      <w:r>
        <w:rPr>
          <w:sz w:val="24"/>
        </w:rPr>
        <w:t>repair</w:t>
      </w:r>
      <w:r>
        <w:rPr>
          <w:spacing w:val="-3"/>
          <w:sz w:val="24"/>
        </w:rPr>
        <w:t> </w:t>
      </w:r>
      <w:r>
        <w:rPr>
          <w:sz w:val="24"/>
        </w:rPr>
        <w:t>of</w:t>
      </w:r>
      <w:r>
        <w:rPr>
          <w:spacing w:val="-5"/>
          <w:sz w:val="24"/>
        </w:rPr>
        <w:t> </w:t>
      </w:r>
      <w:r>
        <w:rPr>
          <w:sz w:val="24"/>
        </w:rPr>
        <w:t>any</w:t>
      </w:r>
      <w:r>
        <w:rPr>
          <w:spacing w:val="-4"/>
          <w:sz w:val="24"/>
        </w:rPr>
        <w:t> </w:t>
      </w:r>
      <w:r>
        <w:rPr>
          <w:sz w:val="24"/>
        </w:rPr>
        <w:t>tools,</w:t>
      </w:r>
      <w:r>
        <w:rPr>
          <w:spacing w:val="-3"/>
          <w:sz w:val="24"/>
        </w:rPr>
        <w:t> </w:t>
      </w:r>
      <w:r>
        <w:rPr>
          <w:sz w:val="24"/>
        </w:rPr>
        <w:t>equipment, and stocks. </w:t>
      </w:r>
      <w:r>
        <w:rPr>
          <w:b/>
          <w:sz w:val="24"/>
        </w:rPr>
        <w:t>1</w:t>
      </w:r>
    </w:p>
    <w:p>
      <w:pPr>
        <w:pStyle w:val="ListParagraph"/>
        <w:numPr>
          <w:ilvl w:val="0"/>
          <w:numId w:val="247"/>
        </w:numPr>
        <w:tabs>
          <w:tab w:pos="786" w:val="left" w:leader="none"/>
        </w:tabs>
        <w:spacing w:line="208" w:lineRule="auto" w:before="239" w:after="0"/>
        <w:ind w:left="360" w:right="821" w:firstLine="0"/>
        <w:jc w:val="left"/>
        <w:rPr>
          <w:sz w:val="24"/>
        </w:rPr>
      </w:pPr>
      <w:r>
        <w:rPr>
          <w:sz w:val="24"/>
        </w:rPr>
        <w:t>Agency Role. The role of the VR Agency is not to serve as the sole funding source for self-employment endeavors. Other funding resources must be researched and utilized</w:t>
      </w:r>
      <w:r>
        <w:rPr>
          <w:spacing w:val="-4"/>
          <w:sz w:val="24"/>
        </w:rPr>
        <w:t> </w:t>
      </w:r>
      <w:r>
        <w:rPr>
          <w:sz w:val="24"/>
        </w:rPr>
        <w:t>when</w:t>
      </w:r>
      <w:r>
        <w:rPr>
          <w:spacing w:val="-4"/>
          <w:sz w:val="24"/>
        </w:rPr>
        <w:t> </w:t>
      </w:r>
      <w:r>
        <w:rPr>
          <w:sz w:val="24"/>
        </w:rPr>
        <w:t>available.</w:t>
      </w:r>
      <w:r>
        <w:rPr>
          <w:spacing w:val="-3"/>
          <w:sz w:val="24"/>
        </w:rPr>
        <w:t> </w:t>
      </w:r>
      <w:r>
        <w:rPr>
          <w:sz w:val="24"/>
        </w:rPr>
        <w:t>DRS</w:t>
      </w:r>
      <w:r>
        <w:rPr>
          <w:spacing w:val="-4"/>
          <w:sz w:val="24"/>
        </w:rPr>
        <w:t> </w:t>
      </w:r>
      <w:r>
        <w:rPr>
          <w:sz w:val="24"/>
        </w:rPr>
        <w:t>may</w:t>
      </w:r>
      <w:r>
        <w:rPr>
          <w:spacing w:val="-4"/>
          <w:sz w:val="24"/>
        </w:rPr>
        <w:t> </w:t>
      </w:r>
      <w:r>
        <w:rPr>
          <w:sz w:val="24"/>
        </w:rPr>
        <w:t>participate</w:t>
      </w:r>
      <w:r>
        <w:rPr>
          <w:spacing w:val="-4"/>
          <w:sz w:val="24"/>
        </w:rPr>
        <w:t> </w:t>
      </w:r>
      <w:r>
        <w:rPr>
          <w:sz w:val="24"/>
        </w:rPr>
        <w:t>in</w:t>
      </w:r>
      <w:r>
        <w:rPr>
          <w:spacing w:val="-4"/>
          <w:sz w:val="24"/>
        </w:rPr>
        <w:t> </w:t>
      </w:r>
      <w:r>
        <w:rPr>
          <w:sz w:val="24"/>
        </w:rPr>
        <w:t>partially</w:t>
      </w:r>
      <w:r>
        <w:rPr>
          <w:spacing w:val="-4"/>
          <w:sz w:val="24"/>
        </w:rPr>
        <w:t> </w:t>
      </w:r>
      <w:r>
        <w:rPr>
          <w:sz w:val="24"/>
        </w:rPr>
        <w:t>funding</w:t>
      </w:r>
      <w:r>
        <w:rPr>
          <w:spacing w:val="-4"/>
          <w:sz w:val="24"/>
        </w:rPr>
        <w:t> </w:t>
      </w:r>
      <w:r>
        <w:rPr>
          <w:sz w:val="24"/>
        </w:rPr>
        <w:t>small</w:t>
      </w:r>
      <w:r>
        <w:rPr>
          <w:spacing w:val="-4"/>
          <w:sz w:val="24"/>
        </w:rPr>
        <w:t> </w:t>
      </w:r>
      <w:r>
        <w:rPr>
          <w:sz w:val="24"/>
        </w:rPr>
        <w:t>business</w:t>
      </w:r>
      <w:r>
        <w:rPr>
          <w:spacing w:val="-4"/>
          <w:sz w:val="24"/>
        </w:rPr>
        <w:t> </w:t>
      </w:r>
      <w:r>
        <w:rPr>
          <w:sz w:val="24"/>
        </w:rPr>
        <w:t>start-up or the retention of an existing client owned and operated business but does not have a capital or loan program for the establishment businesses. These investment resources must come</w:t>
      </w:r>
      <w:r>
        <w:rPr>
          <w:spacing w:val="-1"/>
          <w:sz w:val="24"/>
        </w:rPr>
        <w:t> </w:t>
      </w:r>
      <w:r>
        <w:rPr>
          <w:sz w:val="24"/>
        </w:rPr>
        <w:t>from</w:t>
      </w:r>
      <w:r>
        <w:rPr>
          <w:spacing w:val="-1"/>
          <w:sz w:val="24"/>
        </w:rPr>
        <w:t> </w:t>
      </w:r>
      <w:r>
        <w:rPr>
          <w:sz w:val="24"/>
        </w:rPr>
        <w:t>other</w:t>
      </w:r>
      <w:r>
        <w:rPr>
          <w:spacing w:val="-1"/>
          <w:sz w:val="24"/>
        </w:rPr>
        <w:t> </w:t>
      </w:r>
      <w:r>
        <w:rPr>
          <w:sz w:val="24"/>
        </w:rPr>
        <w:t>sources. DRS will assist the client in making informed decisions, reduce or eliminate the barriers created by the disability(ies), training regarding small business development/self-employment, and assisting the individual in identifying possible funding resources.</w:t>
      </w:r>
    </w:p>
    <w:p>
      <w:pPr>
        <w:pStyle w:val="ListParagraph"/>
        <w:numPr>
          <w:ilvl w:val="0"/>
          <w:numId w:val="247"/>
        </w:numPr>
        <w:tabs>
          <w:tab w:pos="773" w:val="left" w:leader="none"/>
        </w:tabs>
        <w:spacing w:line="208" w:lineRule="auto" w:before="239" w:after="0"/>
        <w:ind w:left="360" w:right="766" w:firstLine="0"/>
        <w:jc w:val="left"/>
        <w:rPr>
          <w:sz w:val="24"/>
        </w:rPr>
      </w:pPr>
      <w:r>
        <w:rPr>
          <w:sz w:val="24"/>
        </w:rPr>
        <w:t>DRS will not assist with services to maintain or expand an existing self-employment business. However, services can be offered which might address changes brought on by a disabling condition that limits or interferes with a person's ability to continue to operate their business independently. These services might include but are not limited to such things as AT assessment for changes in worksite or job tasks; recommendations</w:t>
      </w:r>
      <w:r>
        <w:rPr>
          <w:spacing w:val="-5"/>
          <w:sz w:val="24"/>
        </w:rPr>
        <w:t> </w:t>
      </w:r>
      <w:r>
        <w:rPr>
          <w:sz w:val="24"/>
        </w:rPr>
        <w:t>for</w:t>
      </w:r>
      <w:r>
        <w:rPr>
          <w:spacing w:val="-6"/>
          <w:sz w:val="24"/>
        </w:rPr>
        <w:t> </w:t>
      </w:r>
      <w:r>
        <w:rPr>
          <w:sz w:val="24"/>
        </w:rPr>
        <w:t>purchase</w:t>
      </w:r>
      <w:r>
        <w:rPr>
          <w:spacing w:val="-5"/>
          <w:sz w:val="24"/>
        </w:rPr>
        <w:t> </w:t>
      </w:r>
      <w:r>
        <w:rPr>
          <w:sz w:val="24"/>
        </w:rPr>
        <w:t>of</w:t>
      </w:r>
      <w:r>
        <w:rPr>
          <w:spacing w:val="-4"/>
          <w:sz w:val="24"/>
        </w:rPr>
        <w:t> </w:t>
      </w:r>
      <w:r>
        <w:rPr>
          <w:sz w:val="24"/>
        </w:rPr>
        <w:t>adaptive</w:t>
      </w:r>
      <w:r>
        <w:rPr>
          <w:spacing w:val="-5"/>
          <w:sz w:val="24"/>
        </w:rPr>
        <w:t> </w:t>
      </w:r>
      <w:r>
        <w:rPr>
          <w:sz w:val="24"/>
        </w:rPr>
        <w:t>equipment;</w:t>
      </w:r>
      <w:r>
        <w:rPr>
          <w:spacing w:val="-3"/>
          <w:sz w:val="24"/>
        </w:rPr>
        <w:t> </w:t>
      </w:r>
      <w:r>
        <w:rPr>
          <w:sz w:val="24"/>
        </w:rPr>
        <w:t>worksite</w:t>
      </w:r>
      <w:r>
        <w:rPr>
          <w:spacing w:val="-5"/>
          <w:sz w:val="24"/>
        </w:rPr>
        <w:t> </w:t>
      </w:r>
      <w:r>
        <w:rPr>
          <w:sz w:val="24"/>
        </w:rPr>
        <w:t>or</w:t>
      </w:r>
      <w:r>
        <w:rPr>
          <w:spacing w:val="-6"/>
          <w:sz w:val="24"/>
        </w:rPr>
        <w:t> </w:t>
      </w:r>
      <w:r>
        <w:rPr>
          <w:sz w:val="24"/>
        </w:rPr>
        <w:t>vehicle</w:t>
      </w:r>
      <w:r>
        <w:rPr>
          <w:spacing w:val="-5"/>
          <w:sz w:val="24"/>
        </w:rPr>
        <w:t> </w:t>
      </w:r>
      <w:r>
        <w:rPr>
          <w:sz w:val="24"/>
        </w:rPr>
        <w:t>modifications that are needed for a person to continue operating their business; or training in the use of required adaptive equipment or techniques. Before consideration will be given to assisting</w:t>
      </w:r>
      <w:r>
        <w:rPr>
          <w:spacing w:val="-3"/>
          <w:sz w:val="24"/>
        </w:rPr>
        <w:t> </w:t>
      </w:r>
      <w:r>
        <w:rPr>
          <w:sz w:val="24"/>
        </w:rPr>
        <w:t>with</w:t>
      </w:r>
      <w:r>
        <w:rPr>
          <w:spacing w:val="-3"/>
          <w:sz w:val="24"/>
        </w:rPr>
        <w:t> </w:t>
      </w:r>
      <w:r>
        <w:rPr>
          <w:sz w:val="24"/>
        </w:rPr>
        <w:t>an</w:t>
      </w:r>
      <w:r>
        <w:rPr>
          <w:spacing w:val="-3"/>
          <w:sz w:val="24"/>
        </w:rPr>
        <w:t> </w:t>
      </w:r>
      <w:r>
        <w:rPr>
          <w:sz w:val="24"/>
        </w:rPr>
        <w:t>existing</w:t>
      </w:r>
      <w:r>
        <w:rPr>
          <w:spacing w:val="-3"/>
          <w:sz w:val="24"/>
        </w:rPr>
        <w:t> </w:t>
      </w:r>
      <w:r>
        <w:rPr>
          <w:sz w:val="24"/>
        </w:rPr>
        <w:t>business</w:t>
      </w:r>
      <w:r>
        <w:rPr>
          <w:spacing w:val="-3"/>
          <w:sz w:val="24"/>
        </w:rPr>
        <w:t> </w:t>
      </w:r>
      <w:r>
        <w:rPr>
          <w:sz w:val="24"/>
        </w:rPr>
        <w:t>the</w:t>
      </w:r>
      <w:r>
        <w:rPr>
          <w:spacing w:val="-3"/>
          <w:sz w:val="24"/>
        </w:rPr>
        <w:t> </w:t>
      </w:r>
      <w:r>
        <w:rPr>
          <w:sz w:val="24"/>
        </w:rPr>
        <w:t>client</w:t>
      </w:r>
      <w:r>
        <w:rPr>
          <w:spacing w:val="-2"/>
          <w:sz w:val="24"/>
        </w:rPr>
        <w:t> </w:t>
      </w:r>
      <w:r>
        <w:rPr>
          <w:sz w:val="24"/>
        </w:rPr>
        <w:t>must</w:t>
      </w:r>
      <w:r>
        <w:rPr>
          <w:spacing w:val="-2"/>
          <w:sz w:val="24"/>
        </w:rPr>
        <w:t> </w:t>
      </w:r>
      <w:r>
        <w:rPr>
          <w:sz w:val="24"/>
        </w:rPr>
        <w:t>provide</w:t>
      </w:r>
      <w:r>
        <w:rPr>
          <w:spacing w:val="-3"/>
          <w:sz w:val="24"/>
        </w:rPr>
        <w:t> </w:t>
      </w:r>
      <w:r>
        <w:rPr>
          <w:sz w:val="24"/>
        </w:rPr>
        <w:t>copies</w:t>
      </w:r>
      <w:r>
        <w:rPr>
          <w:spacing w:val="-3"/>
          <w:sz w:val="24"/>
        </w:rPr>
        <w:t> </w:t>
      </w:r>
      <w:r>
        <w:rPr>
          <w:sz w:val="24"/>
        </w:rPr>
        <w:t>of</w:t>
      </w:r>
      <w:r>
        <w:rPr>
          <w:spacing w:val="-2"/>
          <w:sz w:val="24"/>
        </w:rPr>
        <w:t> </w:t>
      </w:r>
      <w:r>
        <w:rPr>
          <w:sz w:val="24"/>
        </w:rPr>
        <w:t>the</w:t>
      </w:r>
      <w:r>
        <w:rPr>
          <w:spacing w:val="-4"/>
          <w:sz w:val="24"/>
        </w:rPr>
        <w:t> </w:t>
      </w:r>
      <w:r>
        <w:rPr>
          <w:sz w:val="24"/>
        </w:rPr>
        <w:t>most</w:t>
      </w:r>
      <w:r>
        <w:rPr>
          <w:spacing w:val="-4"/>
          <w:sz w:val="24"/>
        </w:rPr>
        <w:t> </w:t>
      </w:r>
      <w:r>
        <w:rPr>
          <w:sz w:val="24"/>
        </w:rPr>
        <w:t>recent</w:t>
      </w:r>
      <w:r>
        <w:rPr>
          <w:spacing w:val="-2"/>
          <w:sz w:val="24"/>
        </w:rPr>
        <w:t> </w:t>
      </w:r>
      <w:r>
        <w:rPr>
          <w:sz w:val="24"/>
        </w:rPr>
        <w:t>two years of profit and loss statements and/or tax returns showing business profitability. DRS will not support businesses that have failed to demonstrate profit sufficient to support the individual financially.</w:t>
      </w:r>
    </w:p>
    <w:p>
      <w:pPr>
        <w:pStyle w:val="ListParagraph"/>
        <w:numPr>
          <w:ilvl w:val="0"/>
          <w:numId w:val="247"/>
        </w:numPr>
        <w:tabs>
          <w:tab w:pos="785" w:val="left" w:leader="none"/>
        </w:tabs>
        <w:spacing w:line="208" w:lineRule="auto" w:before="239" w:after="0"/>
        <w:ind w:left="360" w:right="890" w:firstLine="0"/>
        <w:jc w:val="left"/>
        <w:rPr>
          <w:sz w:val="24"/>
        </w:rPr>
      </w:pPr>
      <w:r>
        <w:rPr>
          <w:sz w:val="24"/>
        </w:rPr>
        <w:t>When</w:t>
      </w:r>
      <w:r>
        <w:rPr>
          <w:spacing w:val="-6"/>
          <w:sz w:val="24"/>
        </w:rPr>
        <w:t> </w:t>
      </w:r>
      <w:r>
        <w:rPr>
          <w:sz w:val="24"/>
        </w:rPr>
        <w:t>to</w:t>
      </w:r>
      <w:r>
        <w:rPr>
          <w:spacing w:val="-6"/>
          <w:sz w:val="24"/>
        </w:rPr>
        <w:t> </w:t>
      </w:r>
      <w:r>
        <w:rPr>
          <w:sz w:val="24"/>
        </w:rPr>
        <w:t>Consider</w:t>
      </w:r>
      <w:r>
        <w:rPr>
          <w:spacing w:val="-5"/>
          <w:sz w:val="24"/>
        </w:rPr>
        <w:t> </w:t>
      </w:r>
      <w:r>
        <w:rPr>
          <w:sz w:val="24"/>
        </w:rPr>
        <w:t>Self-employment.</w:t>
      </w:r>
      <w:r>
        <w:rPr>
          <w:spacing w:val="-5"/>
          <w:sz w:val="24"/>
        </w:rPr>
        <w:t> </w:t>
      </w:r>
      <w:r>
        <w:rPr>
          <w:sz w:val="24"/>
        </w:rPr>
        <w:t>The</w:t>
      </w:r>
      <w:r>
        <w:rPr>
          <w:spacing w:val="-7"/>
          <w:sz w:val="24"/>
        </w:rPr>
        <w:t> </w:t>
      </w:r>
      <w:r>
        <w:rPr>
          <w:sz w:val="24"/>
        </w:rPr>
        <w:t>counselor</w:t>
      </w:r>
      <w:r>
        <w:rPr>
          <w:spacing w:val="-5"/>
          <w:sz w:val="24"/>
        </w:rPr>
        <w:t> </w:t>
      </w:r>
      <w:r>
        <w:rPr>
          <w:sz w:val="24"/>
        </w:rPr>
        <w:t>may</w:t>
      </w:r>
      <w:r>
        <w:rPr>
          <w:spacing w:val="-6"/>
          <w:sz w:val="24"/>
        </w:rPr>
        <w:t> </w:t>
      </w:r>
      <w:r>
        <w:rPr>
          <w:sz w:val="24"/>
        </w:rPr>
        <w:t>consider</w:t>
      </w:r>
      <w:r>
        <w:rPr>
          <w:spacing w:val="-5"/>
          <w:sz w:val="24"/>
        </w:rPr>
        <w:t> </w:t>
      </w:r>
      <w:r>
        <w:rPr>
          <w:sz w:val="24"/>
        </w:rPr>
        <w:t>self-employment when all of the following guidelines have been met.</w:t>
      </w:r>
    </w:p>
    <w:p>
      <w:pPr>
        <w:pStyle w:val="ListParagraph"/>
        <w:numPr>
          <w:ilvl w:val="1"/>
          <w:numId w:val="247"/>
        </w:numPr>
        <w:tabs>
          <w:tab w:pos="1217" w:val="left" w:leader="none"/>
        </w:tabs>
        <w:spacing w:line="208" w:lineRule="auto" w:before="240" w:after="0"/>
        <w:ind w:left="791" w:right="856" w:firstLine="0"/>
        <w:jc w:val="left"/>
        <w:rPr>
          <w:sz w:val="24"/>
        </w:rPr>
      </w:pPr>
      <w:r>
        <w:rPr>
          <w:sz w:val="24"/>
        </w:rPr>
        <w:t>The</w:t>
      </w:r>
      <w:r>
        <w:rPr>
          <w:spacing w:val="-3"/>
          <w:sz w:val="24"/>
        </w:rPr>
        <w:t> </w:t>
      </w:r>
      <w:r>
        <w:rPr>
          <w:sz w:val="24"/>
        </w:rPr>
        <w:t>income</w:t>
      </w:r>
      <w:r>
        <w:rPr>
          <w:spacing w:val="-3"/>
          <w:sz w:val="24"/>
        </w:rPr>
        <w:t> </w:t>
      </w:r>
      <w:r>
        <w:rPr>
          <w:sz w:val="24"/>
        </w:rPr>
        <w:t>derived</w:t>
      </w:r>
      <w:r>
        <w:rPr>
          <w:spacing w:val="-3"/>
          <w:sz w:val="24"/>
        </w:rPr>
        <w:t> </w:t>
      </w:r>
      <w:r>
        <w:rPr>
          <w:sz w:val="24"/>
        </w:rPr>
        <w:t>from</w:t>
      </w:r>
      <w:r>
        <w:rPr>
          <w:spacing w:val="-4"/>
          <w:sz w:val="24"/>
        </w:rPr>
        <w:t> </w:t>
      </w:r>
      <w:r>
        <w:rPr>
          <w:sz w:val="24"/>
        </w:rPr>
        <w:t>a</w:t>
      </w:r>
      <w:r>
        <w:rPr>
          <w:spacing w:val="-3"/>
          <w:sz w:val="24"/>
        </w:rPr>
        <w:t> </w:t>
      </w:r>
      <w:r>
        <w:rPr>
          <w:sz w:val="24"/>
        </w:rPr>
        <w:t>self-employment</w:t>
      </w:r>
      <w:r>
        <w:rPr>
          <w:spacing w:val="-2"/>
          <w:sz w:val="24"/>
        </w:rPr>
        <w:t> </w:t>
      </w:r>
      <w:r>
        <w:rPr>
          <w:sz w:val="24"/>
        </w:rPr>
        <w:t>plan</w:t>
      </w:r>
      <w:r>
        <w:rPr>
          <w:spacing w:val="-3"/>
          <w:sz w:val="24"/>
        </w:rPr>
        <w:t> </w:t>
      </w:r>
      <w:r>
        <w:rPr>
          <w:sz w:val="24"/>
        </w:rPr>
        <w:t>is</w:t>
      </w:r>
      <w:r>
        <w:rPr>
          <w:spacing w:val="-3"/>
          <w:sz w:val="24"/>
        </w:rPr>
        <w:t> </w:t>
      </w:r>
      <w:r>
        <w:rPr>
          <w:sz w:val="24"/>
        </w:rPr>
        <w:t>to</w:t>
      </w:r>
      <w:r>
        <w:rPr>
          <w:spacing w:val="-3"/>
          <w:sz w:val="24"/>
        </w:rPr>
        <w:t> </w:t>
      </w:r>
      <w:r>
        <w:rPr>
          <w:sz w:val="24"/>
        </w:rPr>
        <w:t>be</w:t>
      </w:r>
      <w:r>
        <w:rPr>
          <w:spacing w:val="-3"/>
          <w:sz w:val="24"/>
        </w:rPr>
        <w:t> </w:t>
      </w:r>
      <w:r>
        <w:rPr>
          <w:sz w:val="24"/>
        </w:rPr>
        <w:t>the</w:t>
      </w:r>
      <w:r>
        <w:rPr>
          <w:spacing w:val="-3"/>
          <w:sz w:val="24"/>
        </w:rPr>
        <w:t> </w:t>
      </w:r>
      <w:r>
        <w:rPr>
          <w:sz w:val="24"/>
        </w:rPr>
        <w:t>primary</w:t>
      </w:r>
      <w:r>
        <w:rPr>
          <w:spacing w:val="-3"/>
          <w:sz w:val="24"/>
        </w:rPr>
        <w:t> </w:t>
      </w:r>
      <w:r>
        <w:rPr>
          <w:sz w:val="24"/>
        </w:rPr>
        <w:t>source</w:t>
      </w:r>
      <w:r>
        <w:rPr>
          <w:spacing w:val="-3"/>
          <w:sz w:val="24"/>
        </w:rPr>
        <w:t> </w:t>
      </w:r>
      <w:r>
        <w:rPr>
          <w:sz w:val="24"/>
        </w:rPr>
        <w:t>of </w:t>
      </w:r>
      <w:r>
        <w:rPr>
          <w:spacing w:val="-2"/>
          <w:sz w:val="24"/>
        </w:rPr>
        <w:t>support.</w:t>
      </w:r>
    </w:p>
    <w:p>
      <w:pPr>
        <w:pStyle w:val="ListParagraph"/>
        <w:spacing w:after="0" w:line="208" w:lineRule="auto"/>
        <w:jc w:val="left"/>
        <w:rPr>
          <w:sz w:val="24"/>
        </w:rPr>
        <w:sectPr>
          <w:pgSz w:w="12240" w:h="15840"/>
          <w:pgMar w:top="1340" w:bottom="280" w:left="1080" w:right="720"/>
        </w:sectPr>
      </w:pPr>
    </w:p>
    <w:p>
      <w:pPr>
        <w:pStyle w:val="ListParagraph"/>
        <w:numPr>
          <w:ilvl w:val="1"/>
          <w:numId w:val="247"/>
        </w:numPr>
        <w:tabs>
          <w:tab w:pos="1217" w:val="left" w:leader="none"/>
        </w:tabs>
        <w:spacing w:line="208" w:lineRule="auto" w:before="96" w:after="0"/>
        <w:ind w:left="792" w:right="807" w:firstLine="0"/>
        <w:jc w:val="left"/>
        <w:rPr>
          <w:sz w:val="24"/>
        </w:rPr>
      </w:pPr>
      <w:r>
        <w:rPr>
          <w:sz w:val="24"/>
        </w:rPr>
        <w:t>Is</w:t>
      </w:r>
      <w:r>
        <w:rPr>
          <w:spacing w:val="-5"/>
          <w:sz w:val="24"/>
        </w:rPr>
        <w:t> </w:t>
      </w:r>
      <w:r>
        <w:rPr>
          <w:sz w:val="24"/>
        </w:rPr>
        <w:t>the</w:t>
      </w:r>
      <w:r>
        <w:rPr>
          <w:spacing w:val="-4"/>
          <w:sz w:val="24"/>
        </w:rPr>
        <w:t> </w:t>
      </w:r>
      <w:r>
        <w:rPr>
          <w:sz w:val="24"/>
        </w:rPr>
        <w:t>client's</w:t>
      </w:r>
      <w:r>
        <w:rPr>
          <w:spacing w:val="-4"/>
          <w:sz w:val="24"/>
        </w:rPr>
        <w:t> </w:t>
      </w:r>
      <w:r>
        <w:rPr>
          <w:sz w:val="24"/>
        </w:rPr>
        <w:t>informed</w:t>
      </w:r>
      <w:r>
        <w:rPr>
          <w:spacing w:val="-4"/>
          <w:sz w:val="24"/>
        </w:rPr>
        <w:t> </w:t>
      </w:r>
      <w:r>
        <w:rPr>
          <w:sz w:val="24"/>
        </w:rPr>
        <w:t>choice</w:t>
      </w:r>
      <w:r>
        <w:rPr>
          <w:spacing w:val="-3"/>
          <w:sz w:val="24"/>
        </w:rPr>
        <w:t> </w:t>
      </w:r>
      <w:r>
        <w:rPr>
          <w:sz w:val="24"/>
        </w:rPr>
        <w:t>consistent</w:t>
      </w:r>
      <w:r>
        <w:rPr>
          <w:spacing w:val="-3"/>
          <w:sz w:val="24"/>
        </w:rPr>
        <w:t> </w:t>
      </w:r>
      <w:r>
        <w:rPr>
          <w:sz w:val="24"/>
        </w:rPr>
        <w:t>with</w:t>
      </w:r>
      <w:r>
        <w:rPr>
          <w:spacing w:val="-4"/>
          <w:sz w:val="24"/>
        </w:rPr>
        <w:t> </w:t>
      </w:r>
      <w:r>
        <w:rPr>
          <w:sz w:val="24"/>
        </w:rPr>
        <w:t>their</w:t>
      </w:r>
      <w:r>
        <w:rPr>
          <w:spacing w:val="-3"/>
          <w:sz w:val="24"/>
        </w:rPr>
        <w:t> </w:t>
      </w:r>
      <w:r>
        <w:rPr>
          <w:sz w:val="24"/>
        </w:rPr>
        <w:t>unique</w:t>
      </w:r>
      <w:r>
        <w:rPr>
          <w:spacing w:val="-4"/>
          <w:sz w:val="24"/>
        </w:rPr>
        <w:t> </w:t>
      </w:r>
      <w:r>
        <w:rPr>
          <w:sz w:val="24"/>
        </w:rPr>
        <w:t>strengths,</w:t>
      </w:r>
      <w:r>
        <w:rPr>
          <w:spacing w:val="-3"/>
          <w:sz w:val="24"/>
        </w:rPr>
        <w:t> </w:t>
      </w:r>
      <w:r>
        <w:rPr>
          <w:sz w:val="24"/>
        </w:rPr>
        <w:t>resources, priorities, concerns, abilities, capabilities and interests.</w:t>
      </w:r>
    </w:p>
    <w:p>
      <w:pPr>
        <w:pStyle w:val="ListParagraph"/>
        <w:numPr>
          <w:ilvl w:val="1"/>
          <w:numId w:val="247"/>
        </w:numPr>
        <w:tabs>
          <w:tab w:pos="1217" w:val="left" w:leader="none"/>
        </w:tabs>
        <w:spacing w:line="208" w:lineRule="auto" w:before="240" w:after="0"/>
        <w:ind w:left="792" w:right="1082" w:firstLine="0"/>
        <w:jc w:val="left"/>
        <w:rPr>
          <w:sz w:val="24"/>
        </w:rPr>
      </w:pPr>
      <w:r>
        <w:rPr>
          <w:sz w:val="24"/>
        </w:rPr>
        <w:t>When a client expresses interest in self-employment, the individual will be required</w:t>
      </w:r>
      <w:r>
        <w:rPr>
          <w:spacing w:val="-4"/>
          <w:sz w:val="24"/>
        </w:rPr>
        <w:t> </w:t>
      </w:r>
      <w:r>
        <w:rPr>
          <w:sz w:val="24"/>
        </w:rPr>
        <w:t>to</w:t>
      </w:r>
      <w:r>
        <w:rPr>
          <w:spacing w:val="-4"/>
          <w:sz w:val="24"/>
        </w:rPr>
        <w:t> </w:t>
      </w:r>
      <w:r>
        <w:rPr>
          <w:sz w:val="24"/>
        </w:rPr>
        <w:t>participate</w:t>
      </w:r>
      <w:r>
        <w:rPr>
          <w:spacing w:val="-4"/>
          <w:sz w:val="24"/>
        </w:rPr>
        <w:t> </w:t>
      </w:r>
      <w:r>
        <w:rPr>
          <w:sz w:val="24"/>
        </w:rPr>
        <w:t>in</w:t>
      </w:r>
      <w:r>
        <w:rPr>
          <w:spacing w:val="-4"/>
          <w:sz w:val="24"/>
        </w:rPr>
        <w:t> </w:t>
      </w:r>
      <w:r>
        <w:rPr>
          <w:sz w:val="24"/>
        </w:rPr>
        <w:t>a</w:t>
      </w:r>
      <w:r>
        <w:rPr>
          <w:spacing w:val="-4"/>
          <w:sz w:val="24"/>
        </w:rPr>
        <w:t> </w:t>
      </w:r>
      <w:r>
        <w:rPr>
          <w:sz w:val="24"/>
        </w:rPr>
        <w:t>vocational</w:t>
      </w:r>
      <w:r>
        <w:rPr>
          <w:spacing w:val="-4"/>
          <w:sz w:val="24"/>
        </w:rPr>
        <w:t> </w:t>
      </w:r>
      <w:r>
        <w:rPr>
          <w:sz w:val="24"/>
        </w:rPr>
        <w:t>assessment</w:t>
      </w:r>
      <w:r>
        <w:rPr>
          <w:spacing w:val="-3"/>
          <w:sz w:val="24"/>
        </w:rPr>
        <w:t> </w:t>
      </w:r>
      <w:r>
        <w:rPr>
          <w:sz w:val="24"/>
        </w:rPr>
        <w:t>with</w:t>
      </w:r>
      <w:r>
        <w:rPr>
          <w:spacing w:val="-4"/>
          <w:sz w:val="24"/>
        </w:rPr>
        <w:t> </w:t>
      </w:r>
      <w:r>
        <w:rPr>
          <w:sz w:val="24"/>
        </w:rPr>
        <w:t>focus</w:t>
      </w:r>
      <w:r>
        <w:rPr>
          <w:spacing w:val="-4"/>
          <w:sz w:val="24"/>
        </w:rPr>
        <w:t> </w:t>
      </w:r>
      <w:r>
        <w:rPr>
          <w:sz w:val="24"/>
        </w:rPr>
        <w:t>on</w:t>
      </w:r>
      <w:r>
        <w:rPr>
          <w:spacing w:val="-4"/>
          <w:sz w:val="24"/>
        </w:rPr>
        <w:t> </w:t>
      </w:r>
      <w:r>
        <w:rPr>
          <w:sz w:val="24"/>
        </w:rPr>
        <w:t>self-employment potential. The assessment will include a self-evaluation completed by the client.</w:t>
      </w:r>
    </w:p>
    <w:p>
      <w:pPr>
        <w:pStyle w:val="ListParagraph"/>
        <w:numPr>
          <w:ilvl w:val="1"/>
          <w:numId w:val="247"/>
        </w:numPr>
        <w:tabs>
          <w:tab w:pos="1218" w:val="left" w:leader="none"/>
        </w:tabs>
        <w:spacing w:line="208" w:lineRule="auto" w:before="239" w:after="0"/>
        <w:ind w:left="792" w:right="747" w:firstLine="0"/>
        <w:jc w:val="left"/>
        <w:rPr>
          <w:sz w:val="24"/>
        </w:rPr>
      </w:pPr>
      <w:r>
        <w:rPr>
          <w:sz w:val="24"/>
        </w:rPr>
        <w:t>The</w:t>
      </w:r>
      <w:r>
        <w:rPr>
          <w:spacing w:val="-5"/>
          <w:sz w:val="24"/>
        </w:rPr>
        <w:t> </w:t>
      </w:r>
      <w:r>
        <w:rPr>
          <w:sz w:val="24"/>
        </w:rPr>
        <w:t>counselor</w:t>
      </w:r>
      <w:r>
        <w:rPr>
          <w:spacing w:val="-4"/>
          <w:sz w:val="24"/>
        </w:rPr>
        <w:t> </w:t>
      </w:r>
      <w:r>
        <w:rPr>
          <w:sz w:val="24"/>
        </w:rPr>
        <w:t>will</w:t>
      </w:r>
      <w:r>
        <w:rPr>
          <w:spacing w:val="-4"/>
          <w:sz w:val="24"/>
        </w:rPr>
        <w:t> </w:t>
      </w:r>
      <w:r>
        <w:rPr>
          <w:sz w:val="24"/>
        </w:rPr>
        <w:t>document,</w:t>
      </w:r>
      <w:r>
        <w:rPr>
          <w:spacing w:val="-6"/>
          <w:sz w:val="24"/>
        </w:rPr>
        <w:t> </w:t>
      </w:r>
      <w:r>
        <w:rPr>
          <w:sz w:val="24"/>
        </w:rPr>
        <w:t>as</w:t>
      </w:r>
      <w:r>
        <w:rPr>
          <w:spacing w:val="-5"/>
          <w:sz w:val="24"/>
        </w:rPr>
        <w:t> </w:t>
      </w:r>
      <w:r>
        <w:rPr>
          <w:sz w:val="24"/>
        </w:rPr>
        <w:t>appropriate,</w:t>
      </w:r>
      <w:r>
        <w:rPr>
          <w:spacing w:val="-4"/>
          <w:sz w:val="24"/>
        </w:rPr>
        <w:t> </w:t>
      </w:r>
      <w:r>
        <w:rPr>
          <w:sz w:val="24"/>
        </w:rPr>
        <w:t>in</w:t>
      </w:r>
      <w:r>
        <w:rPr>
          <w:spacing w:val="-5"/>
          <w:sz w:val="24"/>
        </w:rPr>
        <w:t> </w:t>
      </w:r>
      <w:r>
        <w:rPr>
          <w:sz w:val="24"/>
        </w:rPr>
        <w:t>the</w:t>
      </w:r>
      <w:r>
        <w:rPr>
          <w:spacing w:val="-6"/>
          <w:sz w:val="24"/>
        </w:rPr>
        <w:t> </w:t>
      </w:r>
      <w:r>
        <w:rPr>
          <w:sz w:val="24"/>
        </w:rPr>
        <w:t>comprehensive</w:t>
      </w:r>
      <w:r>
        <w:rPr>
          <w:spacing w:val="-5"/>
          <w:sz w:val="24"/>
        </w:rPr>
        <w:t> </w:t>
      </w:r>
      <w:r>
        <w:rPr>
          <w:sz w:val="24"/>
        </w:rPr>
        <w:t>assessment that the client has the academic, communication and managerial skills to manage their own business and the resources to demonstrate a likelihood of success.</w:t>
      </w:r>
    </w:p>
    <w:p>
      <w:pPr>
        <w:pStyle w:val="ListParagraph"/>
        <w:numPr>
          <w:ilvl w:val="0"/>
          <w:numId w:val="247"/>
        </w:numPr>
        <w:tabs>
          <w:tab w:pos="785" w:val="left" w:leader="none"/>
        </w:tabs>
        <w:spacing w:line="208" w:lineRule="auto" w:before="240" w:after="0"/>
        <w:ind w:left="360" w:right="817" w:firstLine="0"/>
        <w:jc w:val="left"/>
        <w:rPr>
          <w:sz w:val="24"/>
        </w:rPr>
      </w:pPr>
      <w:r>
        <w:rPr>
          <w:sz w:val="24"/>
        </w:rPr>
        <w:t>Once it has been determined by DRS that self-employment is a feasible goal, an IPE</w:t>
      </w:r>
      <w:r>
        <w:rPr>
          <w:spacing w:val="-3"/>
          <w:sz w:val="24"/>
        </w:rPr>
        <w:t> </w:t>
      </w:r>
      <w:r>
        <w:rPr>
          <w:sz w:val="24"/>
        </w:rPr>
        <w:t>will</w:t>
      </w:r>
      <w:r>
        <w:rPr>
          <w:spacing w:val="-3"/>
          <w:sz w:val="24"/>
        </w:rPr>
        <w:t> </w:t>
      </w:r>
      <w:r>
        <w:rPr>
          <w:sz w:val="24"/>
        </w:rPr>
        <w:t>be</w:t>
      </w:r>
      <w:r>
        <w:rPr>
          <w:spacing w:val="-3"/>
          <w:sz w:val="24"/>
        </w:rPr>
        <w:t> </w:t>
      </w:r>
      <w:r>
        <w:rPr>
          <w:sz w:val="24"/>
        </w:rPr>
        <w:t>written</w:t>
      </w:r>
      <w:r>
        <w:rPr>
          <w:spacing w:val="-3"/>
          <w:sz w:val="24"/>
        </w:rPr>
        <w:t> </w:t>
      </w:r>
      <w:r>
        <w:rPr>
          <w:sz w:val="24"/>
        </w:rPr>
        <w:t>to</w:t>
      </w:r>
      <w:r>
        <w:rPr>
          <w:spacing w:val="-3"/>
          <w:sz w:val="24"/>
        </w:rPr>
        <w:t> </w:t>
      </w:r>
      <w:r>
        <w:rPr>
          <w:sz w:val="24"/>
        </w:rPr>
        <w:t>further</w:t>
      </w:r>
      <w:r>
        <w:rPr>
          <w:spacing w:val="-2"/>
          <w:sz w:val="24"/>
        </w:rPr>
        <w:t> </w:t>
      </w:r>
      <w:r>
        <w:rPr>
          <w:sz w:val="24"/>
        </w:rPr>
        <w:t>assist</w:t>
      </w:r>
      <w:r>
        <w:rPr>
          <w:spacing w:val="-2"/>
          <w:sz w:val="24"/>
        </w:rPr>
        <w:t> </w:t>
      </w:r>
      <w:r>
        <w:rPr>
          <w:sz w:val="24"/>
        </w:rPr>
        <w:t>the</w:t>
      </w:r>
      <w:r>
        <w:rPr>
          <w:spacing w:val="-3"/>
          <w:sz w:val="24"/>
        </w:rPr>
        <w:t> </w:t>
      </w:r>
      <w:r>
        <w:rPr>
          <w:sz w:val="24"/>
        </w:rPr>
        <w:t>self-employment</w:t>
      </w:r>
      <w:r>
        <w:rPr>
          <w:spacing w:val="-2"/>
          <w:sz w:val="24"/>
        </w:rPr>
        <w:t> </w:t>
      </w:r>
      <w:r>
        <w:rPr>
          <w:sz w:val="24"/>
        </w:rPr>
        <w:t>concept</w:t>
      </w:r>
      <w:r>
        <w:rPr>
          <w:spacing w:val="-4"/>
          <w:sz w:val="24"/>
        </w:rPr>
        <w:t> </w:t>
      </w:r>
      <w:r>
        <w:rPr>
          <w:sz w:val="24"/>
        </w:rPr>
        <w:t>and</w:t>
      </w:r>
      <w:r>
        <w:rPr>
          <w:spacing w:val="-3"/>
          <w:sz w:val="24"/>
        </w:rPr>
        <w:t> </w:t>
      </w:r>
      <w:r>
        <w:rPr>
          <w:sz w:val="24"/>
        </w:rPr>
        <w:t>the</w:t>
      </w:r>
      <w:r>
        <w:rPr>
          <w:spacing w:val="-3"/>
          <w:sz w:val="24"/>
        </w:rPr>
        <w:t> </w:t>
      </w:r>
      <w:r>
        <w:rPr>
          <w:sz w:val="24"/>
        </w:rPr>
        <w:t>client</w:t>
      </w:r>
      <w:r>
        <w:rPr>
          <w:spacing w:val="-2"/>
          <w:sz w:val="24"/>
        </w:rPr>
        <w:t> </w:t>
      </w:r>
      <w:r>
        <w:rPr>
          <w:sz w:val="24"/>
        </w:rPr>
        <w:t>is</w:t>
      </w:r>
      <w:r>
        <w:rPr>
          <w:spacing w:val="-3"/>
          <w:sz w:val="24"/>
        </w:rPr>
        <w:t> </w:t>
      </w:r>
      <w:r>
        <w:rPr>
          <w:sz w:val="24"/>
        </w:rPr>
        <w:t>sent</w:t>
      </w:r>
      <w:r>
        <w:rPr>
          <w:spacing w:val="-4"/>
          <w:sz w:val="24"/>
        </w:rPr>
        <w:t> </w:t>
      </w:r>
      <w:r>
        <w:rPr>
          <w:sz w:val="24"/>
        </w:rPr>
        <w:t>to training for developing a business plan.</w:t>
      </w:r>
    </w:p>
    <w:p>
      <w:pPr>
        <w:pStyle w:val="ListParagraph"/>
        <w:numPr>
          <w:ilvl w:val="0"/>
          <w:numId w:val="247"/>
        </w:numPr>
        <w:tabs>
          <w:tab w:pos="719" w:val="left" w:leader="none"/>
        </w:tabs>
        <w:spacing w:line="259" w:lineRule="auto" w:before="244" w:after="0"/>
        <w:ind w:left="360" w:right="861" w:firstLine="0"/>
        <w:jc w:val="left"/>
        <w:rPr>
          <w:sz w:val="24"/>
        </w:rPr>
      </w:pPr>
      <w:r>
        <w:rPr>
          <w:sz w:val="24"/>
        </w:rPr>
        <w:t>Certain</w:t>
      </w:r>
      <w:r>
        <w:rPr>
          <w:spacing w:val="-5"/>
          <w:sz w:val="24"/>
        </w:rPr>
        <w:t> </w:t>
      </w:r>
      <w:r>
        <w:rPr>
          <w:sz w:val="24"/>
        </w:rPr>
        <w:t>individuals</w:t>
      </w:r>
      <w:r>
        <w:rPr>
          <w:spacing w:val="-4"/>
          <w:sz w:val="24"/>
        </w:rPr>
        <w:t> </w:t>
      </w:r>
      <w:r>
        <w:rPr>
          <w:sz w:val="24"/>
        </w:rPr>
        <w:t>may</w:t>
      </w:r>
      <w:r>
        <w:rPr>
          <w:spacing w:val="-4"/>
          <w:sz w:val="24"/>
        </w:rPr>
        <w:t> </w:t>
      </w:r>
      <w:r>
        <w:rPr>
          <w:sz w:val="24"/>
        </w:rPr>
        <w:t>require</w:t>
      </w:r>
      <w:r>
        <w:rPr>
          <w:spacing w:val="-4"/>
          <w:sz w:val="24"/>
        </w:rPr>
        <w:t> </w:t>
      </w:r>
      <w:r>
        <w:rPr>
          <w:sz w:val="24"/>
        </w:rPr>
        <w:t>on-going</w:t>
      </w:r>
      <w:r>
        <w:rPr>
          <w:spacing w:val="-3"/>
          <w:sz w:val="24"/>
        </w:rPr>
        <w:t> </w:t>
      </w:r>
      <w:r>
        <w:rPr>
          <w:sz w:val="24"/>
        </w:rPr>
        <w:t>supports</w:t>
      </w:r>
      <w:r>
        <w:rPr>
          <w:spacing w:val="-4"/>
          <w:sz w:val="24"/>
        </w:rPr>
        <w:t> </w:t>
      </w:r>
      <w:r>
        <w:rPr>
          <w:sz w:val="24"/>
        </w:rPr>
        <w:t>or</w:t>
      </w:r>
      <w:r>
        <w:rPr>
          <w:spacing w:val="-5"/>
          <w:sz w:val="24"/>
        </w:rPr>
        <w:t> </w:t>
      </w:r>
      <w:r>
        <w:rPr>
          <w:sz w:val="24"/>
        </w:rPr>
        <w:t>services</w:t>
      </w:r>
      <w:r>
        <w:rPr>
          <w:spacing w:val="-4"/>
          <w:sz w:val="24"/>
        </w:rPr>
        <w:t> </w:t>
      </w:r>
      <w:r>
        <w:rPr>
          <w:sz w:val="24"/>
        </w:rPr>
        <w:t>for</w:t>
      </w:r>
      <w:r>
        <w:rPr>
          <w:spacing w:val="-3"/>
          <w:sz w:val="24"/>
        </w:rPr>
        <w:t> </w:t>
      </w:r>
      <w:r>
        <w:rPr>
          <w:sz w:val="24"/>
        </w:rPr>
        <w:t>a</w:t>
      </w:r>
      <w:r>
        <w:rPr>
          <w:spacing w:val="-4"/>
          <w:sz w:val="24"/>
        </w:rPr>
        <w:t> </w:t>
      </w:r>
      <w:r>
        <w:rPr>
          <w:sz w:val="24"/>
        </w:rPr>
        <w:t>business</w:t>
      </w:r>
      <w:r>
        <w:rPr>
          <w:spacing w:val="-4"/>
          <w:sz w:val="24"/>
        </w:rPr>
        <w:t> </w:t>
      </w:r>
      <w:r>
        <w:rPr>
          <w:sz w:val="24"/>
        </w:rPr>
        <w:t>plan</w:t>
      </w:r>
      <w:r>
        <w:rPr>
          <w:spacing w:val="-4"/>
          <w:sz w:val="24"/>
        </w:rPr>
        <w:t> </w:t>
      </w:r>
      <w:r>
        <w:rPr>
          <w:sz w:val="24"/>
        </w:rPr>
        <w:t>to be successful. The counselor will assist the individual in identifying and securing these support services. DRS cannot be responsible for funding these supports following successful employment outcomes.</w:t>
      </w:r>
    </w:p>
    <w:p>
      <w:pPr>
        <w:pStyle w:val="ListParagraph"/>
        <w:numPr>
          <w:ilvl w:val="0"/>
          <w:numId w:val="247"/>
        </w:numPr>
        <w:tabs>
          <w:tab w:pos="786" w:val="left" w:leader="none"/>
        </w:tabs>
        <w:spacing w:line="259" w:lineRule="auto" w:before="159" w:after="0"/>
        <w:ind w:left="360" w:right="850" w:firstLine="0"/>
        <w:jc w:val="left"/>
        <w:rPr>
          <w:sz w:val="24"/>
        </w:rPr>
      </w:pPr>
      <w:r>
        <w:rPr>
          <w:sz w:val="24"/>
        </w:rPr>
        <w:t>Clients who are receiving SSI/SSDI will be referred to a DRS Benefits Planner to review</w:t>
      </w:r>
      <w:r>
        <w:rPr>
          <w:spacing w:val="-4"/>
          <w:sz w:val="24"/>
        </w:rPr>
        <w:t> </w:t>
      </w:r>
      <w:r>
        <w:rPr>
          <w:sz w:val="24"/>
        </w:rPr>
        <w:t>how</w:t>
      </w:r>
      <w:r>
        <w:rPr>
          <w:spacing w:val="-3"/>
          <w:sz w:val="24"/>
        </w:rPr>
        <w:t> </w:t>
      </w:r>
      <w:r>
        <w:rPr>
          <w:sz w:val="24"/>
        </w:rPr>
        <w:t>profits</w:t>
      </w:r>
      <w:r>
        <w:rPr>
          <w:spacing w:val="-5"/>
          <w:sz w:val="24"/>
        </w:rPr>
        <w:t> </w:t>
      </w:r>
      <w:r>
        <w:rPr>
          <w:sz w:val="24"/>
        </w:rPr>
        <w:t>from</w:t>
      </w:r>
      <w:r>
        <w:rPr>
          <w:spacing w:val="-3"/>
          <w:sz w:val="24"/>
        </w:rPr>
        <w:t> </w:t>
      </w:r>
      <w:r>
        <w:rPr>
          <w:sz w:val="24"/>
        </w:rPr>
        <w:t>self-employment</w:t>
      </w:r>
      <w:r>
        <w:rPr>
          <w:spacing w:val="-3"/>
          <w:sz w:val="24"/>
        </w:rPr>
        <w:t> </w:t>
      </w:r>
      <w:r>
        <w:rPr>
          <w:sz w:val="24"/>
        </w:rPr>
        <w:t>will</w:t>
      </w:r>
      <w:r>
        <w:rPr>
          <w:spacing w:val="-4"/>
          <w:sz w:val="24"/>
        </w:rPr>
        <w:t> </w:t>
      </w:r>
      <w:r>
        <w:rPr>
          <w:sz w:val="24"/>
        </w:rPr>
        <w:t>affect</w:t>
      </w:r>
      <w:r>
        <w:rPr>
          <w:spacing w:val="-5"/>
          <w:sz w:val="24"/>
        </w:rPr>
        <w:t> </w:t>
      </w:r>
      <w:r>
        <w:rPr>
          <w:sz w:val="24"/>
        </w:rPr>
        <w:t>their</w:t>
      </w:r>
      <w:r>
        <w:rPr>
          <w:spacing w:val="-3"/>
          <w:sz w:val="24"/>
        </w:rPr>
        <w:t> </w:t>
      </w:r>
      <w:r>
        <w:rPr>
          <w:sz w:val="24"/>
        </w:rPr>
        <w:t>benefits</w:t>
      </w:r>
      <w:r>
        <w:rPr>
          <w:spacing w:val="-4"/>
          <w:sz w:val="24"/>
        </w:rPr>
        <w:t> </w:t>
      </w:r>
      <w:r>
        <w:rPr>
          <w:sz w:val="24"/>
        </w:rPr>
        <w:t>prior</w:t>
      </w:r>
      <w:r>
        <w:rPr>
          <w:spacing w:val="-3"/>
          <w:sz w:val="24"/>
        </w:rPr>
        <w:t> </w:t>
      </w:r>
      <w:r>
        <w:rPr>
          <w:sz w:val="24"/>
        </w:rPr>
        <w:t>to</w:t>
      </w:r>
      <w:r>
        <w:rPr>
          <w:spacing w:val="-5"/>
          <w:sz w:val="24"/>
        </w:rPr>
        <w:t> </w:t>
      </w:r>
      <w:r>
        <w:rPr>
          <w:sz w:val="24"/>
        </w:rPr>
        <w:t>the</w:t>
      </w:r>
      <w:r>
        <w:rPr>
          <w:spacing w:val="-4"/>
          <w:sz w:val="24"/>
        </w:rPr>
        <w:t> </w:t>
      </w:r>
      <w:r>
        <w:rPr>
          <w:sz w:val="24"/>
        </w:rPr>
        <w:t>completion of an Individualized Plan for Employment.</w:t>
      </w:r>
    </w:p>
    <w:p>
      <w:pPr>
        <w:pStyle w:val="ListParagraph"/>
        <w:numPr>
          <w:ilvl w:val="0"/>
          <w:numId w:val="247"/>
        </w:numPr>
        <w:tabs>
          <w:tab w:pos="786" w:val="left" w:leader="none"/>
        </w:tabs>
        <w:spacing w:line="208" w:lineRule="auto" w:before="155" w:after="0"/>
        <w:ind w:left="360" w:right="755" w:firstLine="0"/>
        <w:jc w:val="left"/>
        <w:rPr>
          <w:sz w:val="24"/>
        </w:rPr>
      </w:pPr>
      <w:r>
        <w:rPr>
          <w:sz w:val="24"/>
        </w:rPr>
        <w:t>The agency may provide some financial assistance toward self-employment plans that have met the requirements as specified in policy. The counselor will determine the client's financial status and any required financial participation by the client. The client's contribution may come from personal resources, property, loans, PASS plan funds or small</w:t>
      </w:r>
      <w:r>
        <w:rPr>
          <w:spacing w:val="-4"/>
          <w:sz w:val="24"/>
        </w:rPr>
        <w:t> </w:t>
      </w:r>
      <w:r>
        <w:rPr>
          <w:sz w:val="24"/>
        </w:rPr>
        <w:t>business</w:t>
      </w:r>
      <w:r>
        <w:rPr>
          <w:spacing w:val="-4"/>
          <w:sz w:val="24"/>
        </w:rPr>
        <w:t> </w:t>
      </w:r>
      <w:r>
        <w:rPr>
          <w:sz w:val="24"/>
        </w:rPr>
        <w:t>start-up</w:t>
      </w:r>
      <w:r>
        <w:rPr>
          <w:spacing w:val="-4"/>
          <w:sz w:val="24"/>
        </w:rPr>
        <w:t> </w:t>
      </w:r>
      <w:r>
        <w:rPr>
          <w:sz w:val="24"/>
        </w:rPr>
        <w:t>grants</w:t>
      </w:r>
      <w:r>
        <w:rPr>
          <w:spacing w:val="-4"/>
          <w:sz w:val="24"/>
        </w:rPr>
        <w:t> </w:t>
      </w:r>
      <w:r>
        <w:rPr>
          <w:sz w:val="24"/>
        </w:rPr>
        <w:t>from</w:t>
      </w:r>
      <w:r>
        <w:rPr>
          <w:spacing w:val="-3"/>
          <w:sz w:val="24"/>
        </w:rPr>
        <w:t> </w:t>
      </w:r>
      <w:r>
        <w:rPr>
          <w:sz w:val="24"/>
        </w:rPr>
        <w:t>other</w:t>
      </w:r>
      <w:r>
        <w:rPr>
          <w:spacing w:val="-3"/>
          <w:sz w:val="24"/>
        </w:rPr>
        <w:t> </w:t>
      </w:r>
      <w:r>
        <w:rPr>
          <w:sz w:val="24"/>
        </w:rPr>
        <w:t>assistance</w:t>
      </w:r>
      <w:r>
        <w:rPr>
          <w:spacing w:val="-4"/>
          <w:sz w:val="24"/>
        </w:rPr>
        <w:t> </w:t>
      </w:r>
      <w:r>
        <w:rPr>
          <w:sz w:val="24"/>
        </w:rPr>
        <w:t>programs.</w:t>
      </w:r>
      <w:r>
        <w:rPr>
          <w:spacing w:val="-3"/>
          <w:sz w:val="24"/>
        </w:rPr>
        <w:t> </w:t>
      </w:r>
      <w:r>
        <w:rPr>
          <w:sz w:val="24"/>
        </w:rPr>
        <w:t>A</w:t>
      </w:r>
      <w:r>
        <w:rPr>
          <w:spacing w:val="-6"/>
          <w:sz w:val="24"/>
        </w:rPr>
        <w:t> </w:t>
      </w:r>
      <w:r>
        <w:rPr>
          <w:sz w:val="24"/>
        </w:rPr>
        <w:t>client</w:t>
      </w:r>
      <w:r>
        <w:rPr>
          <w:spacing w:val="-3"/>
          <w:sz w:val="24"/>
        </w:rPr>
        <w:t> </w:t>
      </w:r>
      <w:r>
        <w:rPr>
          <w:sz w:val="24"/>
        </w:rPr>
        <w:t>who</w:t>
      </w:r>
      <w:r>
        <w:rPr>
          <w:spacing w:val="-4"/>
          <w:sz w:val="24"/>
        </w:rPr>
        <w:t> </w:t>
      </w:r>
      <w:r>
        <w:rPr>
          <w:sz w:val="24"/>
        </w:rPr>
        <w:t>is</w:t>
      </w:r>
      <w:r>
        <w:rPr>
          <w:spacing w:val="-4"/>
          <w:sz w:val="24"/>
        </w:rPr>
        <w:t> </w:t>
      </w:r>
      <w:r>
        <w:rPr>
          <w:sz w:val="24"/>
        </w:rPr>
        <w:t>receiving SSI/SSDI must submit a Plan to Achieve Self-sufficiency to SSA for review and consideration before any DRS funds can be expended toward a self-employment start up business.</w:t>
      </w:r>
    </w:p>
    <w:p>
      <w:pPr>
        <w:pStyle w:val="ListParagraph"/>
        <w:numPr>
          <w:ilvl w:val="0"/>
          <w:numId w:val="247"/>
        </w:numPr>
        <w:tabs>
          <w:tab w:pos="706" w:val="left" w:leader="none"/>
        </w:tabs>
        <w:spacing w:line="240" w:lineRule="auto" w:before="210" w:after="0"/>
        <w:ind w:left="706" w:right="0" w:hanging="346"/>
        <w:jc w:val="left"/>
        <w:rPr>
          <w:sz w:val="24"/>
        </w:rPr>
      </w:pPr>
      <w:r>
        <w:rPr>
          <w:sz w:val="24"/>
        </w:rPr>
        <w:t>Any</w:t>
      </w:r>
      <w:r>
        <w:rPr>
          <w:spacing w:val="-6"/>
          <w:sz w:val="24"/>
        </w:rPr>
        <w:t> </w:t>
      </w:r>
      <w:r>
        <w:rPr>
          <w:sz w:val="24"/>
        </w:rPr>
        <w:t>required</w:t>
      </w:r>
      <w:r>
        <w:rPr>
          <w:spacing w:val="-3"/>
          <w:sz w:val="24"/>
        </w:rPr>
        <w:t> </w:t>
      </w:r>
      <w:r>
        <w:rPr>
          <w:sz w:val="24"/>
        </w:rPr>
        <w:t>client</w:t>
      </w:r>
      <w:r>
        <w:rPr>
          <w:spacing w:val="-2"/>
          <w:sz w:val="24"/>
        </w:rPr>
        <w:t> </w:t>
      </w:r>
      <w:r>
        <w:rPr>
          <w:sz w:val="24"/>
        </w:rPr>
        <w:t>financial</w:t>
      </w:r>
      <w:r>
        <w:rPr>
          <w:spacing w:val="-3"/>
          <w:sz w:val="24"/>
        </w:rPr>
        <w:t> </w:t>
      </w:r>
      <w:r>
        <w:rPr>
          <w:sz w:val="24"/>
        </w:rPr>
        <w:t>participation</w:t>
      </w:r>
      <w:r>
        <w:rPr>
          <w:spacing w:val="-3"/>
          <w:sz w:val="24"/>
        </w:rPr>
        <w:t> </w:t>
      </w:r>
      <w:r>
        <w:rPr>
          <w:sz w:val="24"/>
        </w:rPr>
        <w:t>is</w:t>
      </w:r>
      <w:r>
        <w:rPr>
          <w:spacing w:val="-4"/>
          <w:sz w:val="24"/>
        </w:rPr>
        <w:t> </w:t>
      </w:r>
      <w:r>
        <w:rPr>
          <w:sz w:val="24"/>
        </w:rPr>
        <w:t>applied</w:t>
      </w:r>
      <w:r>
        <w:rPr>
          <w:spacing w:val="-3"/>
          <w:sz w:val="24"/>
        </w:rPr>
        <w:t> </w:t>
      </w:r>
      <w:r>
        <w:rPr>
          <w:sz w:val="24"/>
        </w:rPr>
        <w:t>to</w:t>
      </w:r>
      <w:r>
        <w:rPr>
          <w:spacing w:val="-3"/>
          <w:sz w:val="24"/>
        </w:rPr>
        <w:t> </w:t>
      </w:r>
      <w:r>
        <w:rPr>
          <w:sz w:val="24"/>
        </w:rPr>
        <w:t>the</w:t>
      </w:r>
      <w:r>
        <w:rPr>
          <w:spacing w:val="-3"/>
          <w:sz w:val="24"/>
        </w:rPr>
        <w:t> </w:t>
      </w:r>
      <w:r>
        <w:rPr>
          <w:sz w:val="24"/>
        </w:rPr>
        <w:t>cost</w:t>
      </w:r>
      <w:r>
        <w:rPr>
          <w:spacing w:val="-4"/>
          <w:sz w:val="24"/>
        </w:rPr>
        <w:t> </w:t>
      </w:r>
      <w:r>
        <w:rPr>
          <w:sz w:val="24"/>
        </w:rPr>
        <w:t>of</w:t>
      </w:r>
      <w:r>
        <w:rPr>
          <w:spacing w:val="-4"/>
          <w:sz w:val="24"/>
        </w:rPr>
        <w:t> </w:t>
      </w:r>
      <w:r>
        <w:rPr>
          <w:sz w:val="24"/>
        </w:rPr>
        <w:t>planned</w:t>
      </w:r>
      <w:r>
        <w:rPr>
          <w:spacing w:val="-3"/>
          <w:sz w:val="24"/>
        </w:rPr>
        <w:t> </w:t>
      </w:r>
      <w:r>
        <w:rPr>
          <w:spacing w:val="-2"/>
          <w:sz w:val="24"/>
        </w:rPr>
        <w:t>services.</w:t>
      </w:r>
    </w:p>
    <w:p>
      <w:pPr>
        <w:pStyle w:val="ListParagraph"/>
        <w:numPr>
          <w:ilvl w:val="0"/>
          <w:numId w:val="247"/>
        </w:numPr>
        <w:tabs>
          <w:tab w:pos="705" w:val="left" w:leader="none"/>
        </w:tabs>
        <w:spacing w:line="208" w:lineRule="auto" w:before="233" w:after="0"/>
        <w:ind w:left="359" w:right="919" w:firstLine="0"/>
        <w:jc w:val="left"/>
        <w:rPr>
          <w:sz w:val="24"/>
        </w:rPr>
      </w:pPr>
      <w:r>
        <w:rPr>
          <w:sz w:val="24"/>
        </w:rPr>
        <w:t>The</w:t>
      </w:r>
      <w:r>
        <w:rPr>
          <w:spacing w:val="-4"/>
          <w:sz w:val="24"/>
        </w:rPr>
        <w:t> </w:t>
      </w:r>
      <w:r>
        <w:rPr>
          <w:sz w:val="24"/>
        </w:rPr>
        <w:t>agency's</w:t>
      </w:r>
      <w:r>
        <w:rPr>
          <w:spacing w:val="-4"/>
          <w:sz w:val="24"/>
        </w:rPr>
        <w:t> </w:t>
      </w:r>
      <w:r>
        <w:rPr>
          <w:sz w:val="24"/>
        </w:rPr>
        <w:t>contribution</w:t>
      </w:r>
      <w:r>
        <w:rPr>
          <w:spacing w:val="-4"/>
          <w:sz w:val="24"/>
        </w:rPr>
        <w:t> </w:t>
      </w:r>
      <w:r>
        <w:rPr>
          <w:sz w:val="24"/>
        </w:rPr>
        <w:t>to</w:t>
      </w:r>
      <w:r>
        <w:rPr>
          <w:spacing w:val="-4"/>
          <w:sz w:val="24"/>
        </w:rPr>
        <w:t> </w:t>
      </w:r>
      <w:r>
        <w:rPr>
          <w:sz w:val="24"/>
        </w:rPr>
        <w:t>a</w:t>
      </w:r>
      <w:r>
        <w:rPr>
          <w:spacing w:val="-4"/>
          <w:sz w:val="24"/>
        </w:rPr>
        <w:t> </w:t>
      </w:r>
      <w:r>
        <w:rPr>
          <w:sz w:val="24"/>
        </w:rPr>
        <w:t>self-employment</w:t>
      </w:r>
      <w:r>
        <w:rPr>
          <w:spacing w:val="-3"/>
          <w:sz w:val="24"/>
        </w:rPr>
        <w:t> </w:t>
      </w:r>
      <w:r>
        <w:rPr>
          <w:sz w:val="24"/>
        </w:rPr>
        <w:t>plan</w:t>
      </w:r>
      <w:r>
        <w:rPr>
          <w:spacing w:val="-4"/>
          <w:sz w:val="24"/>
        </w:rPr>
        <w:t> </w:t>
      </w:r>
      <w:r>
        <w:rPr>
          <w:sz w:val="24"/>
        </w:rPr>
        <w:t>will</w:t>
      </w:r>
      <w:r>
        <w:rPr>
          <w:spacing w:val="-4"/>
          <w:sz w:val="24"/>
        </w:rPr>
        <w:t> </w:t>
      </w:r>
      <w:r>
        <w:rPr>
          <w:sz w:val="24"/>
        </w:rPr>
        <w:t>not</w:t>
      </w:r>
      <w:r>
        <w:rPr>
          <w:spacing w:val="-3"/>
          <w:sz w:val="24"/>
        </w:rPr>
        <w:t> </w:t>
      </w:r>
      <w:r>
        <w:rPr>
          <w:sz w:val="24"/>
        </w:rPr>
        <w:t>exceed</w:t>
      </w:r>
      <w:r>
        <w:rPr>
          <w:spacing w:val="-4"/>
          <w:sz w:val="24"/>
        </w:rPr>
        <w:t> </w:t>
      </w:r>
      <w:r>
        <w:rPr>
          <w:sz w:val="24"/>
        </w:rPr>
        <w:t>$5,000</w:t>
      </w:r>
      <w:r>
        <w:rPr>
          <w:spacing w:val="-3"/>
          <w:sz w:val="24"/>
        </w:rPr>
        <w:t> </w:t>
      </w:r>
      <w:r>
        <w:rPr>
          <w:sz w:val="24"/>
        </w:rPr>
        <w:t>without supervisory approval.</w:t>
      </w:r>
    </w:p>
    <w:p>
      <w:pPr>
        <w:pStyle w:val="ListParagraph"/>
        <w:numPr>
          <w:ilvl w:val="0"/>
          <w:numId w:val="247"/>
        </w:numPr>
        <w:tabs>
          <w:tab w:pos="772" w:val="left" w:leader="none"/>
        </w:tabs>
        <w:spacing w:line="240" w:lineRule="auto" w:before="211" w:after="0"/>
        <w:ind w:left="772" w:right="0" w:hanging="413"/>
        <w:jc w:val="left"/>
        <w:rPr>
          <w:sz w:val="24"/>
        </w:rPr>
      </w:pPr>
      <w:r>
        <w:rPr>
          <w:sz w:val="24"/>
        </w:rPr>
        <w:t>The</w:t>
      </w:r>
      <w:r>
        <w:rPr>
          <w:spacing w:val="-6"/>
          <w:sz w:val="24"/>
        </w:rPr>
        <w:t> </w:t>
      </w:r>
      <w:r>
        <w:rPr>
          <w:sz w:val="24"/>
        </w:rPr>
        <w:t>Agency</w:t>
      </w:r>
      <w:r>
        <w:rPr>
          <w:spacing w:val="-4"/>
          <w:sz w:val="24"/>
        </w:rPr>
        <w:t> </w:t>
      </w:r>
      <w:r>
        <w:rPr>
          <w:sz w:val="24"/>
        </w:rPr>
        <w:t>will</w:t>
      </w:r>
      <w:r>
        <w:rPr>
          <w:spacing w:val="-3"/>
          <w:sz w:val="24"/>
        </w:rPr>
        <w:t> </w:t>
      </w:r>
      <w:r>
        <w:rPr>
          <w:sz w:val="24"/>
        </w:rPr>
        <w:t>consider</w:t>
      </w:r>
      <w:r>
        <w:rPr>
          <w:spacing w:val="-3"/>
          <w:sz w:val="24"/>
        </w:rPr>
        <w:t> </w:t>
      </w:r>
      <w:r>
        <w:rPr>
          <w:sz w:val="24"/>
        </w:rPr>
        <w:t>three-tiers</w:t>
      </w:r>
      <w:r>
        <w:rPr>
          <w:spacing w:val="-4"/>
          <w:sz w:val="24"/>
        </w:rPr>
        <w:t> </w:t>
      </w:r>
      <w:r>
        <w:rPr>
          <w:sz w:val="24"/>
        </w:rPr>
        <w:t>of</w:t>
      </w:r>
      <w:r>
        <w:rPr>
          <w:spacing w:val="-2"/>
          <w:sz w:val="24"/>
        </w:rPr>
        <w:t> </w:t>
      </w:r>
      <w:r>
        <w:rPr>
          <w:sz w:val="24"/>
        </w:rPr>
        <w:t>support</w:t>
      </w:r>
      <w:r>
        <w:rPr>
          <w:spacing w:val="-3"/>
          <w:sz w:val="24"/>
        </w:rPr>
        <w:t> </w:t>
      </w:r>
      <w:r>
        <w:rPr>
          <w:sz w:val="24"/>
        </w:rPr>
        <w:t>for</w:t>
      </w:r>
      <w:r>
        <w:rPr>
          <w:spacing w:val="-2"/>
          <w:sz w:val="24"/>
        </w:rPr>
        <w:t> </w:t>
      </w:r>
      <w:r>
        <w:rPr>
          <w:sz w:val="24"/>
        </w:rPr>
        <w:t>self-</w:t>
      </w:r>
      <w:r>
        <w:rPr>
          <w:spacing w:val="-2"/>
          <w:sz w:val="24"/>
        </w:rPr>
        <w:t>employment.</w:t>
      </w:r>
    </w:p>
    <w:p>
      <w:pPr>
        <w:pStyle w:val="ListParagraph"/>
        <w:numPr>
          <w:ilvl w:val="1"/>
          <w:numId w:val="247"/>
        </w:numPr>
        <w:tabs>
          <w:tab w:pos="1145" w:val="left" w:leader="none"/>
        </w:tabs>
        <w:spacing w:line="208" w:lineRule="auto" w:before="233" w:after="0"/>
        <w:ind w:left="719" w:right="991" w:firstLine="0"/>
        <w:jc w:val="left"/>
        <w:rPr>
          <w:sz w:val="24"/>
        </w:rPr>
      </w:pPr>
      <w:r>
        <w:rPr>
          <w:sz w:val="24"/>
        </w:rPr>
        <w:t>Tier 1 is for self-employment plans that are considered low cost, simple and considered</w:t>
      </w:r>
      <w:r>
        <w:rPr>
          <w:spacing w:val="-2"/>
          <w:sz w:val="24"/>
        </w:rPr>
        <w:t> </w:t>
      </w:r>
      <w:r>
        <w:rPr>
          <w:sz w:val="24"/>
        </w:rPr>
        <w:t>low</w:t>
      </w:r>
      <w:r>
        <w:rPr>
          <w:spacing w:val="-3"/>
          <w:sz w:val="24"/>
        </w:rPr>
        <w:t> </w:t>
      </w:r>
      <w:r>
        <w:rPr>
          <w:sz w:val="24"/>
        </w:rPr>
        <w:t>risk.</w:t>
      </w:r>
      <w:r>
        <w:rPr>
          <w:spacing w:val="-2"/>
          <w:sz w:val="24"/>
        </w:rPr>
        <w:t> </w:t>
      </w:r>
      <w:r>
        <w:rPr>
          <w:sz w:val="24"/>
        </w:rPr>
        <w:t>These</w:t>
      </w:r>
      <w:r>
        <w:rPr>
          <w:spacing w:val="-3"/>
          <w:sz w:val="24"/>
        </w:rPr>
        <w:t> </w:t>
      </w:r>
      <w:r>
        <w:rPr>
          <w:sz w:val="24"/>
        </w:rPr>
        <w:t>cases</w:t>
      </w:r>
      <w:r>
        <w:rPr>
          <w:spacing w:val="-2"/>
          <w:sz w:val="24"/>
        </w:rPr>
        <w:t> </w:t>
      </w:r>
      <w:r>
        <w:rPr>
          <w:sz w:val="24"/>
        </w:rPr>
        <w:t>will</w:t>
      </w:r>
      <w:r>
        <w:rPr>
          <w:spacing w:val="-3"/>
          <w:sz w:val="24"/>
        </w:rPr>
        <w:t> </w:t>
      </w:r>
      <w:r>
        <w:rPr>
          <w:sz w:val="24"/>
        </w:rPr>
        <w:t>be</w:t>
      </w:r>
      <w:r>
        <w:rPr>
          <w:spacing w:val="-3"/>
          <w:sz w:val="24"/>
        </w:rPr>
        <w:t> </w:t>
      </w:r>
      <w:r>
        <w:rPr>
          <w:sz w:val="24"/>
        </w:rPr>
        <w:t>limited</w:t>
      </w:r>
      <w:r>
        <w:rPr>
          <w:spacing w:val="-3"/>
          <w:sz w:val="24"/>
        </w:rPr>
        <w:t> </w:t>
      </w:r>
      <w:r>
        <w:rPr>
          <w:sz w:val="24"/>
        </w:rPr>
        <w:t>to</w:t>
      </w:r>
      <w:r>
        <w:rPr>
          <w:spacing w:val="-3"/>
          <w:sz w:val="24"/>
        </w:rPr>
        <w:t> </w:t>
      </w:r>
      <w:r>
        <w:rPr>
          <w:sz w:val="24"/>
        </w:rPr>
        <w:t>DRS</w:t>
      </w:r>
      <w:r>
        <w:rPr>
          <w:spacing w:val="-3"/>
          <w:sz w:val="24"/>
        </w:rPr>
        <w:t> </w:t>
      </w:r>
      <w:r>
        <w:rPr>
          <w:sz w:val="24"/>
        </w:rPr>
        <w:t>financial</w:t>
      </w:r>
      <w:r>
        <w:rPr>
          <w:spacing w:val="-3"/>
          <w:sz w:val="24"/>
        </w:rPr>
        <w:t> </w:t>
      </w:r>
      <w:r>
        <w:rPr>
          <w:sz w:val="24"/>
        </w:rPr>
        <w:t>contribution</w:t>
      </w:r>
      <w:r>
        <w:rPr>
          <w:spacing w:val="-3"/>
          <w:sz w:val="24"/>
        </w:rPr>
        <w:t> </w:t>
      </w:r>
      <w:r>
        <w:rPr>
          <w:sz w:val="24"/>
        </w:rPr>
        <w:t>up</w:t>
      </w:r>
      <w:r>
        <w:rPr>
          <w:spacing w:val="-3"/>
          <w:sz w:val="24"/>
        </w:rPr>
        <w:t> </w:t>
      </w:r>
      <w:r>
        <w:rPr>
          <w:sz w:val="24"/>
        </w:rPr>
        <w:t>to</w:t>
      </w:r>
    </w:p>
    <w:p>
      <w:pPr>
        <w:pStyle w:val="BodyText"/>
        <w:spacing w:line="208" w:lineRule="auto" w:before="0"/>
        <w:ind w:left="719" w:right="1036"/>
      </w:pPr>
      <w:r>
        <w:rPr/>
        <w:t>$5,000. DRS will cover 100% of costs minus any required client financial contributions.</w:t>
      </w:r>
      <w:r>
        <w:rPr>
          <w:spacing w:val="-2"/>
        </w:rPr>
        <w:t> </w:t>
      </w:r>
      <w:r>
        <w:rPr/>
        <w:t>In</w:t>
      </w:r>
      <w:r>
        <w:rPr>
          <w:spacing w:val="-3"/>
        </w:rPr>
        <w:t> </w:t>
      </w:r>
      <w:r>
        <w:rPr/>
        <w:t>Tier</w:t>
      </w:r>
      <w:r>
        <w:rPr>
          <w:spacing w:val="-4"/>
        </w:rPr>
        <w:t> </w:t>
      </w:r>
      <w:r>
        <w:rPr/>
        <w:t>1</w:t>
      </w:r>
      <w:r>
        <w:rPr>
          <w:spacing w:val="-3"/>
        </w:rPr>
        <w:t> </w:t>
      </w:r>
      <w:r>
        <w:rPr/>
        <w:t>cases</w:t>
      </w:r>
      <w:r>
        <w:rPr>
          <w:spacing w:val="-3"/>
        </w:rPr>
        <w:t> </w:t>
      </w:r>
      <w:r>
        <w:rPr/>
        <w:t>the</w:t>
      </w:r>
      <w:r>
        <w:rPr>
          <w:spacing w:val="-3"/>
        </w:rPr>
        <w:t> </w:t>
      </w:r>
      <w:r>
        <w:rPr/>
        <w:t>client</w:t>
      </w:r>
      <w:r>
        <w:rPr>
          <w:spacing w:val="-2"/>
        </w:rPr>
        <w:t> </w:t>
      </w:r>
      <w:r>
        <w:rPr/>
        <w:t>is</w:t>
      </w:r>
      <w:r>
        <w:rPr>
          <w:spacing w:val="-3"/>
        </w:rPr>
        <w:t> </w:t>
      </w:r>
      <w:r>
        <w:rPr/>
        <w:t>required</w:t>
      </w:r>
      <w:r>
        <w:rPr>
          <w:spacing w:val="-3"/>
        </w:rPr>
        <w:t> </w:t>
      </w:r>
      <w:r>
        <w:rPr/>
        <w:t>to</w:t>
      </w:r>
      <w:r>
        <w:rPr>
          <w:spacing w:val="-3"/>
        </w:rPr>
        <w:t> </w:t>
      </w:r>
      <w:r>
        <w:rPr/>
        <w:t>provide</w:t>
      </w:r>
      <w:r>
        <w:rPr>
          <w:spacing w:val="-3"/>
        </w:rPr>
        <w:t> </w:t>
      </w:r>
      <w:r>
        <w:rPr/>
        <w:t>the</w:t>
      </w:r>
      <w:r>
        <w:rPr>
          <w:spacing w:val="-3"/>
        </w:rPr>
        <w:t> </w:t>
      </w:r>
      <w:r>
        <w:rPr/>
        <w:t>Basic</w:t>
      </w:r>
      <w:r>
        <w:rPr>
          <w:spacing w:val="-3"/>
        </w:rPr>
        <w:t> </w:t>
      </w:r>
      <w:r>
        <w:rPr/>
        <w:t>Business Plan which includes the following items:</w:t>
      </w:r>
    </w:p>
    <w:p>
      <w:pPr>
        <w:pStyle w:val="ListParagraph"/>
        <w:numPr>
          <w:ilvl w:val="2"/>
          <w:numId w:val="247"/>
        </w:numPr>
        <w:tabs>
          <w:tab w:pos="2072" w:val="left" w:leader="none"/>
        </w:tabs>
        <w:spacing w:line="240" w:lineRule="auto" w:before="210" w:after="0"/>
        <w:ind w:left="2072" w:right="0" w:hanging="453"/>
        <w:jc w:val="left"/>
        <w:rPr>
          <w:sz w:val="24"/>
        </w:rPr>
      </w:pPr>
      <w:r>
        <w:rPr>
          <w:sz w:val="24"/>
        </w:rPr>
        <w:t>Business</w:t>
      </w:r>
      <w:r>
        <w:rPr>
          <w:spacing w:val="-6"/>
          <w:sz w:val="24"/>
        </w:rPr>
        <w:t> </w:t>
      </w:r>
      <w:r>
        <w:rPr>
          <w:sz w:val="24"/>
        </w:rPr>
        <w:t>feasibility</w:t>
      </w:r>
      <w:r>
        <w:rPr>
          <w:spacing w:val="-5"/>
          <w:sz w:val="24"/>
        </w:rPr>
        <w:t> </w:t>
      </w:r>
      <w:r>
        <w:rPr>
          <w:spacing w:val="-2"/>
          <w:sz w:val="24"/>
        </w:rPr>
        <w:t>study.</w:t>
      </w:r>
    </w:p>
    <w:p>
      <w:pPr>
        <w:pStyle w:val="ListParagraph"/>
        <w:numPr>
          <w:ilvl w:val="2"/>
          <w:numId w:val="247"/>
        </w:numPr>
        <w:tabs>
          <w:tab w:pos="2071" w:val="left" w:leader="none"/>
        </w:tabs>
        <w:spacing w:line="240" w:lineRule="auto" w:before="204" w:after="0"/>
        <w:ind w:left="2071" w:right="0" w:hanging="452"/>
        <w:jc w:val="left"/>
        <w:rPr>
          <w:sz w:val="24"/>
        </w:rPr>
      </w:pPr>
      <w:r>
        <w:rPr>
          <w:sz w:val="24"/>
        </w:rPr>
        <w:t>Monthly</w:t>
      </w:r>
      <w:r>
        <w:rPr>
          <w:spacing w:val="-4"/>
          <w:sz w:val="24"/>
        </w:rPr>
        <w:t> </w:t>
      </w:r>
      <w:r>
        <w:rPr>
          <w:sz w:val="24"/>
        </w:rPr>
        <w:t>personal</w:t>
      </w:r>
      <w:r>
        <w:rPr>
          <w:spacing w:val="-4"/>
          <w:sz w:val="24"/>
        </w:rPr>
        <w:t> </w:t>
      </w:r>
      <w:r>
        <w:rPr>
          <w:sz w:val="24"/>
        </w:rPr>
        <w:t>and</w:t>
      </w:r>
      <w:r>
        <w:rPr>
          <w:spacing w:val="-3"/>
          <w:sz w:val="24"/>
        </w:rPr>
        <w:t> </w:t>
      </w:r>
      <w:r>
        <w:rPr>
          <w:sz w:val="24"/>
        </w:rPr>
        <w:t>living</w:t>
      </w:r>
      <w:r>
        <w:rPr>
          <w:spacing w:val="-4"/>
          <w:sz w:val="24"/>
        </w:rPr>
        <w:t> </w:t>
      </w:r>
      <w:r>
        <w:rPr>
          <w:sz w:val="24"/>
        </w:rPr>
        <w:t>expenses</w:t>
      </w:r>
      <w:r>
        <w:rPr>
          <w:spacing w:val="-3"/>
          <w:sz w:val="24"/>
        </w:rPr>
        <w:t> </w:t>
      </w:r>
      <w:r>
        <w:rPr>
          <w:spacing w:val="-2"/>
          <w:sz w:val="24"/>
        </w:rPr>
        <w:t>worksheet.</w:t>
      </w:r>
    </w:p>
    <w:p>
      <w:pPr>
        <w:pStyle w:val="ListParagraph"/>
        <w:numPr>
          <w:ilvl w:val="2"/>
          <w:numId w:val="247"/>
        </w:numPr>
        <w:tabs>
          <w:tab w:pos="2086" w:val="left" w:leader="none"/>
        </w:tabs>
        <w:spacing w:line="240" w:lineRule="auto" w:before="205" w:after="0"/>
        <w:ind w:left="2086" w:right="0" w:hanging="466"/>
        <w:jc w:val="left"/>
        <w:rPr>
          <w:sz w:val="24"/>
        </w:rPr>
      </w:pPr>
      <w:r>
        <w:rPr>
          <w:sz w:val="24"/>
        </w:rPr>
        <w:t>Business</w:t>
      </w:r>
      <w:r>
        <w:rPr>
          <w:spacing w:val="-5"/>
          <w:sz w:val="24"/>
        </w:rPr>
        <w:t> </w:t>
      </w:r>
      <w:r>
        <w:rPr>
          <w:sz w:val="24"/>
        </w:rPr>
        <w:t>start-up</w:t>
      </w:r>
      <w:r>
        <w:rPr>
          <w:spacing w:val="-5"/>
          <w:sz w:val="24"/>
        </w:rPr>
        <w:t> </w:t>
      </w:r>
      <w:r>
        <w:rPr>
          <w:sz w:val="24"/>
        </w:rPr>
        <w:t>expenses</w:t>
      </w:r>
      <w:r>
        <w:rPr>
          <w:spacing w:val="-3"/>
          <w:sz w:val="24"/>
        </w:rPr>
        <w:t> </w:t>
      </w:r>
      <w:r>
        <w:rPr>
          <w:spacing w:val="-2"/>
          <w:sz w:val="24"/>
        </w:rPr>
        <w:t>worksheet.</w:t>
      </w:r>
    </w:p>
    <w:p>
      <w:pPr>
        <w:pStyle w:val="ListParagraph"/>
        <w:spacing w:after="0" w:line="240" w:lineRule="auto"/>
        <w:jc w:val="left"/>
        <w:rPr>
          <w:sz w:val="24"/>
        </w:rPr>
        <w:sectPr>
          <w:pgSz w:w="12240" w:h="15840"/>
          <w:pgMar w:top="1340" w:bottom="280" w:left="1080" w:right="720"/>
        </w:sectPr>
      </w:pPr>
    </w:p>
    <w:p>
      <w:pPr>
        <w:pStyle w:val="ListParagraph"/>
        <w:numPr>
          <w:ilvl w:val="2"/>
          <w:numId w:val="247"/>
        </w:numPr>
        <w:tabs>
          <w:tab w:pos="2019" w:val="left" w:leader="none"/>
        </w:tabs>
        <w:spacing w:line="208" w:lineRule="auto" w:before="96" w:after="0"/>
        <w:ind w:left="1620" w:right="813" w:firstLine="0"/>
        <w:jc w:val="left"/>
        <w:rPr>
          <w:sz w:val="24"/>
        </w:rPr>
      </w:pPr>
      <w:r>
        <w:rPr>
          <w:sz w:val="24"/>
        </w:rPr>
        <w:t>Projected</w:t>
      </w:r>
      <w:r>
        <w:rPr>
          <w:spacing w:val="-5"/>
          <w:sz w:val="24"/>
        </w:rPr>
        <w:t> </w:t>
      </w:r>
      <w:r>
        <w:rPr>
          <w:sz w:val="24"/>
        </w:rPr>
        <w:t>monthly</w:t>
      </w:r>
      <w:r>
        <w:rPr>
          <w:spacing w:val="-5"/>
          <w:sz w:val="24"/>
        </w:rPr>
        <w:t> </w:t>
      </w:r>
      <w:r>
        <w:rPr>
          <w:sz w:val="24"/>
        </w:rPr>
        <w:t>case</w:t>
      </w:r>
      <w:r>
        <w:rPr>
          <w:spacing w:val="-5"/>
          <w:sz w:val="24"/>
        </w:rPr>
        <w:t> </w:t>
      </w:r>
      <w:r>
        <w:rPr>
          <w:sz w:val="24"/>
        </w:rPr>
        <w:t>flow</w:t>
      </w:r>
      <w:r>
        <w:rPr>
          <w:spacing w:val="-5"/>
          <w:sz w:val="24"/>
        </w:rPr>
        <w:t> </w:t>
      </w:r>
      <w:r>
        <w:rPr>
          <w:sz w:val="24"/>
        </w:rPr>
        <w:t>worksheet</w:t>
      </w:r>
      <w:r>
        <w:rPr>
          <w:spacing w:val="-4"/>
          <w:sz w:val="24"/>
        </w:rPr>
        <w:t> </w:t>
      </w:r>
      <w:r>
        <w:rPr>
          <w:sz w:val="24"/>
        </w:rPr>
        <w:t>showing</w:t>
      </w:r>
      <w:r>
        <w:rPr>
          <w:spacing w:val="-5"/>
          <w:sz w:val="24"/>
        </w:rPr>
        <w:t> </w:t>
      </w:r>
      <w:r>
        <w:rPr>
          <w:sz w:val="24"/>
        </w:rPr>
        <w:t>business</w:t>
      </w:r>
      <w:r>
        <w:rPr>
          <w:spacing w:val="-5"/>
          <w:sz w:val="24"/>
        </w:rPr>
        <w:t> </w:t>
      </w:r>
      <w:r>
        <w:rPr>
          <w:sz w:val="24"/>
        </w:rPr>
        <w:t>profits</w:t>
      </w:r>
      <w:r>
        <w:rPr>
          <w:spacing w:val="-5"/>
          <w:sz w:val="24"/>
        </w:rPr>
        <w:t> </w:t>
      </w:r>
      <w:r>
        <w:rPr>
          <w:sz w:val="24"/>
        </w:rPr>
        <w:t>versus cost of operations.</w:t>
      </w:r>
    </w:p>
    <w:p>
      <w:pPr>
        <w:pStyle w:val="ListParagraph"/>
        <w:numPr>
          <w:ilvl w:val="1"/>
          <w:numId w:val="247"/>
        </w:numPr>
        <w:tabs>
          <w:tab w:pos="1146" w:val="left" w:leader="none"/>
        </w:tabs>
        <w:spacing w:line="208" w:lineRule="auto" w:before="240" w:after="0"/>
        <w:ind w:left="720" w:right="796" w:firstLine="0"/>
        <w:jc w:val="left"/>
        <w:rPr>
          <w:sz w:val="24"/>
        </w:rPr>
      </w:pPr>
      <w:r>
        <w:rPr>
          <w:sz w:val="24"/>
        </w:rPr>
        <w:t>Tier 2 is for self-employment businesses with anticipated costs from $5,000 up to $10,000. In these cases the client is responsible for providing 25% of the anticipated costs. Client contribution can come in many forms including the use of existing equipment or home/office space which the client owns: bank loans; PASS Plans,</w:t>
      </w:r>
      <w:r>
        <w:rPr>
          <w:spacing w:val="-3"/>
          <w:sz w:val="24"/>
        </w:rPr>
        <w:t> </w:t>
      </w:r>
      <w:r>
        <w:rPr>
          <w:sz w:val="24"/>
        </w:rPr>
        <w:t>or</w:t>
      </w:r>
      <w:r>
        <w:rPr>
          <w:spacing w:val="-3"/>
          <w:sz w:val="24"/>
        </w:rPr>
        <w:t> </w:t>
      </w:r>
      <w:r>
        <w:rPr>
          <w:sz w:val="24"/>
        </w:rPr>
        <w:t>any</w:t>
      </w:r>
      <w:r>
        <w:rPr>
          <w:spacing w:val="-4"/>
          <w:sz w:val="24"/>
        </w:rPr>
        <w:t> </w:t>
      </w:r>
      <w:r>
        <w:rPr>
          <w:sz w:val="24"/>
        </w:rPr>
        <w:t>other</w:t>
      </w:r>
      <w:r>
        <w:rPr>
          <w:spacing w:val="-3"/>
          <w:sz w:val="24"/>
        </w:rPr>
        <w:t> </w:t>
      </w:r>
      <w:r>
        <w:rPr>
          <w:sz w:val="24"/>
        </w:rPr>
        <w:t>Agency</w:t>
      </w:r>
      <w:r>
        <w:rPr>
          <w:spacing w:val="-4"/>
          <w:sz w:val="24"/>
        </w:rPr>
        <w:t> </w:t>
      </w:r>
      <w:r>
        <w:rPr>
          <w:sz w:val="24"/>
        </w:rPr>
        <w:t>approved</w:t>
      </w:r>
      <w:r>
        <w:rPr>
          <w:spacing w:val="-4"/>
          <w:sz w:val="24"/>
        </w:rPr>
        <w:t> </w:t>
      </w:r>
      <w:r>
        <w:rPr>
          <w:sz w:val="24"/>
        </w:rPr>
        <w:t>financial</w:t>
      </w:r>
      <w:r>
        <w:rPr>
          <w:spacing w:val="-4"/>
          <w:sz w:val="24"/>
        </w:rPr>
        <w:t> </w:t>
      </w:r>
      <w:r>
        <w:rPr>
          <w:sz w:val="24"/>
        </w:rPr>
        <w:t>contribution.</w:t>
      </w:r>
      <w:r>
        <w:rPr>
          <w:spacing w:val="-3"/>
          <w:sz w:val="24"/>
        </w:rPr>
        <w:t> </w:t>
      </w:r>
      <w:r>
        <w:rPr>
          <w:sz w:val="24"/>
        </w:rPr>
        <w:t>All</w:t>
      </w:r>
      <w:r>
        <w:rPr>
          <w:spacing w:val="-4"/>
          <w:sz w:val="24"/>
        </w:rPr>
        <w:t> </w:t>
      </w:r>
      <w:r>
        <w:rPr>
          <w:sz w:val="24"/>
        </w:rPr>
        <w:t>IPE's</w:t>
      </w:r>
      <w:r>
        <w:rPr>
          <w:spacing w:val="-4"/>
          <w:sz w:val="24"/>
        </w:rPr>
        <w:t> </w:t>
      </w:r>
      <w:r>
        <w:rPr>
          <w:sz w:val="24"/>
        </w:rPr>
        <w:t>included</w:t>
      </w:r>
      <w:r>
        <w:rPr>
          <w:spacing w:val="-4"/>
          <w:sz w:val="24"/>
        </w:rPr>
        <w:t> </w:t>
      </w:r>
      <w:r>
        <w:rPr>
          <w:sz w:val="24"/>
        </w:rPr>
        <w:t>in</w:t>
      </w:r>
      <w:r>
        <w:rPr>
          <w:spacing w:val="-4"/>
          <w:sz w:val="24"/>
        </w:rPr>
        <w:t> </w:t>
      </w:r>
      <w:r>
        <w:rPr>
          <w:sz w:val="24"/>
        </w:rPr>
        <w:t>Tier 2 with planned expenses over $5,000 must be reviewed and approved by the Programs</w:t>
      </w:r>
      <w:r>
        <w:rPr>
          <w:spacing w:val="-5"/>
          <w:sz w:val="24"/>
        </w:rPr>
        <w:t> </w:t>
      </w:r>
      <w:r>
        <w:rPr>
          <w:sz w:val="24"/>
        </w:rPr>
        <w:t>Manager.</w:t>
      </w:r>
      <w:r>
        <w:rPr>
          <w:spacing w:val="-3"/>
          <w:sz w:val="24"/>
        </w:rPr>
        <w:t> </w:t>
      </w:r>
      <w:r>
        <w:rPr>
          <w:sz w:val="24"/>
        </w:rPr>
        <w:t>In</w:t>
      </w:r>
      <w:r>
        <w:rPr>
          <w:spacing w:val="-4"/>
          <w:sz w:val="24"/>
        </w:rPr>
        <w:t> </w:t>
      </w:r>
      <w:r>
        <w:rPr>
          <w:sz w:val="24"/>
        </w:rPr>
        <w:t>Tier</w:t>
      </w:r>
      <w:r>
        <w:rPr>
          <w:spacing w:val="-3"/>
          <w:sz w:val="24"/>
        </w:rPr>
        <w:t> </w:t>
      </w:r>
      <w:r>
        <w:rPr>
          <w:sz w:val="24"/>
        </w:rPr>
        <w:t>2</w:t>
      </w:r>
      <w:r>
        <w:rPr>
          <w:spacing w:val="-4"/>
          <w:sz w:val="24"/>
        </w:rPr>
        <w:t> </w:t>
      </w:r>
      <w:r>
        <w:rPr>
          <w:sz w:val="24"/>
        </w:rPr>
        <w:t>self-employment</w:t>
      </w:r>
      <w:r>
        <w:rPr>
          <w:spacing w:val="-3"/>
          <w:sz w:val="24"/>
        </w:rPr>
        <w:t> </w:t>
      </w:r>
      <w:r>
        <w:rPr>
          <w:sz w:val="24"/>
        </w:rPr>
        <w:t>cases</w:t>
      </w:r>
      <w:r>
        <w:rPr>
          <w:spacing w:val="-4"/>
          <w:sz w:val="24"/>
        </w:rPr>
        <w:t> </w:t>
      </w:r>
      <w:r>
        <w:rPr>
          <w:sz w:val="24"/>
        </w:rPr>
        <w:t>the</w:t>
      </w:r>
      <w:r>
        <w:rPr>
          <w:spacing w:val="-4"/>
          <w:sz w:val="24"/>
        </w:rPr>
        <w:t> </w:t>
      </w:r>
      <w:r>
        <w:rPr>
          <w:sz w:val="24"/>
        </w:rPr>
        <w:t>client</w:t>
      </w:r>
      <w:r>
        <w:rPr>
          <w:spacing w:val="-3"/>
          <w:sz w:val="24"/>
        </w:rPr>
        <w:t> </w:t>
      </w:r>
      <w:r>
        <w:rPr>
          <w:sz w:val="24"/>
        </w:rPr>
        <w:t>is</w:t>
      </w:r>
      <w:r>
        <w:rPr>
          <w:spacing w:val="-4"/>
          <w:sz w:val="24"/>
        </w:rPr>
        <w:t> </w:t>
      </w:r>
      <w:r>
        <w:rPr>
          <w:sz w:val="24"/>
        </w:rPr>
        <w:t>required</w:t>
      </w:r>
      <w:r>
        <w:rPr>
          <w:spacing w:val="-4"/>
          <w:sz w:val="24"/>
        </w:rPr>
        <w:t> </w:t>
      </w:r>
      <w:r>
        <w:rPr>
          <w:sz w:val="24"/>
        </w:rPr>
        <w:t>to</w:t>
      </w:r>
      <w:r>
        <w:rPr>
          <w:spacing w:val="-4"/>
          <w:sz w:val="24"/>
        </w:rPr>
        <w:t> </w:t>
      </w:r>
      <w:r>
        <w:rPr>
          <w:sz w:val="24"/>
        </w:rPr>
        <w:t>provide the Comprehensive Business Plan that includes:</w:t>
      </w:r>
    </w:p>
    <w:p>
      <w:pPr>
        <w:pStyle w:val="ListParagraph"/>
        <w:numPr>
          <w:ilvl w:val="2"/>
          <w:numId w:val="247"/>
        </w:numPr>
        <w:tabs>
          <w:tab w:pos="2072" w:val="left" w:leader="none"/>
        </w:tabs>
        <w:spacing w:line="240" w:lineRule="auto" w:before="210" w:after="0"/>
        <w:ind w:left="2072" w:right="0" w:hanging="453"/>
        <w:jc w:val="left"/>
        <w:rPr>
          <w:sz w:val="24"/>
        </w:rPr>
      </w:pPr>
      <w:r>
        <w:rPr>
          <w:sz w:val="24"/>
        </w:rPr>
        <w:t>Detailed</w:t>
      </w:r>
      <w:r>
        <w:rPr>
          <w:spacing w:val="-4"/>
          <w:sz w:val="24"/>
        </w:rPr>
        <w:t> </w:t>
      </w:r>
      <w:r>
        <w:rPr>
          <w:sz w:val="24"/>
        </w:rPr>
        <w:t>description</w:t>
      </w:r>
      <w:r>
        <w:rPr>
          <w:spacing w:val="-4"/>
          <w:sz w:val="24"/>
        </w:rPr>
        <w:t> </w:t>
      </w:r>
      <w:r>
        <w:rPr>
          <w:sz w:val="24"/>
        </w:rPr>
        <w:t>of</w:t>
      </w:r>
      <w:r>
        <w:rPr>
          <w:spacing w:val="-3"/>
          <w:sz w:val="24"/>
        </w:rPr>
        <w:t> </w:t>
      </w:r>
      <w:r>
        <w:rPr>
          <w:sz w:val="24"/>
        </w:rPr>
        <w:t>the</w:t>
      </w:r>
      <w:r>
        <w:rPr>
          <w:spacing w:val="-4"/>
          <w:sz w:val="24"/>
        </w:rPr>
        <w:t> </w:t>
      </w:r>
      <w:r>
        <w:rPr>
          <w:sz w:val="24"/>
        </w:rPr>
        <w:t>proposed</w:t>
      </w:r>
      <w:r>
        <w:rPr>
          <w:spacing w:val="-3"/>
          <w:sz w:val="24"/>
        </w:rPr>
        <w:t> </w:t>
      </w:r>
      <w:r>
        <w:rPr>
          <w:spacing w:val="-2"/>
          <w:sz w:val="24"/>
        </w:rPr>
        <w:t>business.</w:t>
      </w:r>
    </w:p>
    <w:p>
      <w:pPr>
        <w:pStyle w:val="ListParagraph"/>
        <w:numPr>
          <w:ilvl w:val="2"/>
          <w:numId w:val="247"/>
        </w:numPr>
        <w:tabs>
          <w:tab w:pos="2072" w:val="left" w:leader="none"/>
        </w:tabs>
        <w:spacing w:line="240" w:lineRule="auto" w:before="204" w:after="0"/>
        <w:ind w:left="2072" w:right="0" w:hanging="452"/>
        <w:jc w:val="left"/>
        <w:rPr>
          <w:sz w:val="24"/>
        </w:rPr>
      </w:pPr>
      <w:r>
        <w:rPr>
          <w:sz w:val="24"/>
        </w:rPr>
        <w:t>Market</w:t>
      </w:r>
      <w:r>
        <w:rPr>
          <w:spacing w:val="-5"/>
          <w:sz w:val="24"/>
        </w:rPr>
        <w:t> </w:t>
      </w:r>
      <w:r>
        <w:rPr>
          <w:spacing w:val="-2"/>
          <w:sz w:val="24"/>
        </w:rPr>
        <w:t>research.</w:t>
      </w:r>
    </w:p>
    <w:p>
      <w:pPr>
        <w:pStyle w:val="ListParagraph"/>
        <w:numPr>
          <w:ilvl w:val="2"/>
          <w:numId w:val="247"/>
        </w:numPr>
        <w:tabs>
          <w:tab w:pos="2086" w:val="left" w:leader="none"/>
        </w:tabs>
        <w:spacing w:line="240" w:lineRule="auto" w:before="204" w:after="0"/>
        <w:ind w:left="2086" w:right="0" w:hanging="466"/>
        <w:jc w:val="left"/>
        <w:rPr>
          <w:sz w:val="24"/>
        </w:rPr>
      </w:pPr>
      <w:r>
        <w:rPr>
          <w:sz w:val="24"/>
        </w:rPr>
        <w:t>Sales</w:t>
      </w:r>
      <w:r>
        <w:rPr>
          <w:spacing w:val="-4"/>
          <w:sz w:val="24"/>
        </w:rPr>
        <w:t> </w:t>
      </w:r>
      <w:r>
        <w:rPr>
          <w:spacing w:val="-2"/>
          <w:sz w:val="24"/>
        </w:rPr>
        <w:t>Plan.</w:t>
      </w:r>
    </w:p>
    <w:p>
      <w:pPr>
        <w:pStyle w:val="ListParagraph"/>
        <w:numPr>
          <w:ilvl w:val="2"/>
          <w:numId w:val="247"/>
        </w:numPr>
        <w:tabs>
          <w:tab w:pos="2085" w:val="left" w:leader="none"/>
        </w:tabs>
        <w:spacing w:line="240" w:lineRule="auto" w:before="204" w:after="0"/>
        <w:ind w:left="2085" w:right="0" w:hanging="465"/>
        <w:jc w:val="left"/>
        <w:rPr>
          <w:sz w:val="24"/>
        </w:rPr>
      </w:pPr>
      <w:r>
        <w:rPr>
          <w:sz w:val="24"/>
        </w:rPr>
        <w:t>Management</w:t>
      </w:r>
      <w:r>
        <w:rPr>
          <w:spacing w:val="-6"/>
          <w:sz w:val="24"/>
        </w:rPr>
        <w:t> </w:t>
      </w:r>
      <w:r>
        <w:rPr>
          <w:spacing w:val="-2"/>
          <w:sz w:val="24"/>
        </w:rPr>
        <w:t>Plan.</w:t>
      </w:r>
    </w:p>
    <w:p>
      <w:pPr>
        <w:pStyle w:val="ListParagraph"/>
        <w:numPr>
          <w:ilvl w:val="2"/>
          <w:numId w:val="247"/>
        </w:numPr>
        <w:tabs>
          <w:tab w:pos="2073" w:val="left" w:leader="none"/>
        </w:tabs>
        <w:spacing w:line="240" w:lineRule="auto" w:before="204" w:after="0"/>
        <w:ind w:left="2073" w:right="0" w:hanging="453"/>
        <w:jc w:val="left"/>
        <w:rPr>
          <w:sz w:val="24"/>
        </w:rPr>
      </w:pPr>
      <w:r>
        <w:rPr>
          <w:sz w:val="24"/>
        </w:rPr>
        <w:t>Business</w:t>
      </w:r>
      <w:r>
        <w:rPr>
          <w:spacing w:val="-4"/>
          <w:sz w:val="24"/>
        </w:rPr>
        <w:t> </w:t>
      </w:r>
      <w:r>
        <w:rPr>
          <w:sz w:val="24"/>
        </w:rPr>
        <w:t>License</w:t>
      </w:r>
      <w:r>
        <w:rPr>
          <w:spacing w:val="-3"/>
          <w:sz w:val="24"/>
        </w:rPr>
        <w:t> </w:t>
      </w:r>
      <w:r>
        <w:rPr>
          <w:sz w:val="24"/>
        </w:rPr>
        <w:t>and</w:t>
      </w:r>
      <w:r>
        <w:rPr>
          <w:spacing w:val="-4"/>
          <w:sz w:val="24"/>
        </w:rPr>
        <w:t> </w:t>
      </w:r>
      <w:r>
        <w:rPr>
          <w:sz w:val="24"/>
        </w:rPr>
        <w:t>City</w:t>
      </w:r>
      <w:r>
        <w:rPr>
          <w:spacing w:val="-3"/>
          <w:sz w:val="24"/>
        </w:rPr>
        <w:t> </w:t>
      </w:r>
      <w:r>
        <w:rPr>
          <w:sz w:val="24"/>
        </w:rPr>
        <w:t>Zoning</w:t>
      </w:r>
      <w:r>
        <w:rPr>
          <w:spacing w:val="-3"/>
          <w:sz w:val="24"/>
        </w:rPr>
        <w:t> </w:t>
      </w:r>
      <w:r>
        <w:rPr>
          <w:spacing w:val="-2"/>
          <w:sz w:val="24"/>
        </w:rPr>
        <w:t>regulations.</w:t>
      </w:r>
    </w:p>
    <w:p>
      <w:pPr>
        <w:pStyle w:val="ListParagraph"/>
        <w:numPr>
          <w:ilvl w:val="2"/>
          <w:numId w:val="247"/>
        </w:numPr>
        <w:tabs>
          <w:tab w:pos="2058" w:val="left" w:leader="none"/>
        </w:tabs>
        <w:spacing w:line="240" w:lineRule="auto" w:before="204" w:after="0"/>
        <w:ind w:left="2058" w:right="0" w:hanging="438"/>
        <w:jc w:val="left"/>
        <w:rPr>
          <w:sz w:val="24"/>
        </w:rPr>
      </w:pPr>
      <w:r>
        <w:rPr>
          <w:sz w:val="24"/>
        </w:rPr>
        <w:t>Supporting</w:t>
      </w:r>
      <w:r>
        <w:rPr>
          <w:spacing w:val="-5"/>
          <w:sz w:val="24"/>
        </w:rPr>
        <w:t> </w:t>
      </w:r>
      <w:r>
        <w:rPr>
          <w:sz w:val="24"/>
        </w:rPr>
        <w:t>documents</w:t>
      </w:r>
      <w:r>
        <w:rPr>
          <w:spacing w:val="-5"/>
          <w:sz w:val="24"/>
        </w:rPr>
        <w:t> </w:t>
      </w:r>
      <w:r>
        <w:rPr>
          <w:sz w:val="24"/>
        </w:rPr>
        <w:t>will</w:t>
      </w:r>
      <w:r>
        <w:rPr>
          <w:spacing w:val="-5"/>
          <w:sz w:val="24"/>
        </w:rPr>
        <w:t> </w:t>
      </w:r>
      <w:r>
        <w:rPr>
          <w:spacing w:val="-2"/>
          <w:sz w:val="24"/>
        </w:rPr>
        <w:t>include:</w:t>
      </w:r>
    </w:p>
    <w:p>
      <w:pPr>
        <w:pStyle w:val="ListParagraph"/>
        <w:numPr>
          <w:ilvl w:val="3"/>
          <w:numId w:val="247"/>
        </w:numPr>
        <w:tabs>
          <w:tab w:pos="2416" w:val="left" w:leader="none"/>
        </w:tabs>
        <w:spacing w:line="240" w:lineRule="auto" w:before="204" w:after="0"/>
        <w:ind w:left="2416" w:right="0" w:hanging="346"/>
        <w:jc w:val="left"/>
        <w:rPr>
          <w:sz w:val="24"/>
        </w:rPr>
      </w:pPr>
      <w:r>
        <w:rPr>
          <w:sz w:val="24"/>
        </w:rPr>
        <w:t>List</w:t>
      </w:r>
      <w:r>
        <w:rPr>
          <w:spacing w:val="-4"/>
          <w:sz w:val="24"/>
        </w:rPr>
        <w:t> </w:t>
      </w:r>
      <w:r>
        <w:rPr>
          <w:sz w:val="24"/>
        </w:rPr>
        <w:t>of</w:t>
      </w:r>
      <w:r>
        <w:rPr>
          <w:spacing w:val="-3"/>
          <w:sz w:val="24"/>
        </w:rPr>
        <w:t> </w:t>
      </w:r>
      <w:r>
        <w:rPr>
          <w:sz w:val="24"/>
        </w:rPr>
        <w:t>identified</w:t>
      </w:r>
      <w:r>
        <w:rPr>
          <w:spacing w:val="-3"/>
          <w:sz w:val="24"/>
        </w:rPr>
        <w:t> </w:t>
      </w:r>
      <w:r>
        <w:rPr>
          <w:spacing w:val="-2"/>
          <w:sz w:val="24"/>
        </w:rPr>
        <w:t>vendors.</w:t>
      </w:r>
    </w:p>
    <w:p>
      <w:pPr>
        <w:pStyle w:val="ListParagraph"/>
        <w:numPr>
          <w:ilvl w:val="3"/>
          <w:numId w:val="247"/>
        </w:numPr>
        <w:tabs>
          <w:tab w:pos="2468" w:val="left" w:leader="none"/>
        </w:tabs>
        <w:spacing w:line="240" w:lineRule="auto" w:before="204" w:after="0"/>
        <w:ind w:left="2468" w:right="0" w:hanging="398"/>
        <w:jc w:val="left"/>
        <w:rPr>
          <w:sz w:val="24"/>
        </w:rPr>
      </w:pPr>
      <w:r>
        <w:rPr>
          <w:sz w:val="24"/>
        </w:rPr>
        <w:t>Items</w:t>
      </w:r>
      <w:r>
        <w:rPr>
          <w:spacing w:val="-3"/>
          <w:sz w:val="24"/>
        </w:rPr>
        <w:t> </w:t>
      </w:r>
      <w:r>
        <w:rPr>
          <w:sz w:val="24"/>
        </w:rPr>
        <w:t>requested</w:t>
      </w:r>
      <w:r>
        <w:rPr>
          <w:spacing w:val="-2"/>
          <w:sz w:val="24"/>
        </w:rPr>
        <w:t> </w:t>
      </w:r>
      <w:r>
        <w:rPr>
          <w:sz w:val="24"/>
        </w:rPr>
        <w:t>to</w:t>
      </w:r>
      <w:r>
        <w:rPr>
          <w:spacing w:val="-2"/>
          <w:sz w:val="24"/>
        </w:rPr>
        <w:t> </w:t>
      </w:r>
      <w:r>
        <w:rPr>
          <w:sz w:val="24"/>
        </w:rPr>
        <w:t>be</w:t>
      </w:r>
      <w:r>
        <w:rPr>
          <w:spacing w:val="-2"/>
          <w:sz w:val="24"/>
        </w:rPr>
        <w:t> </w:t>
      </w:r>
      <w:r>
        <w:rPr>
          <w:sz w:val="24"/>
        </w:rPr>
        <w:t>paid</w:t>
      </w:r>
      <w:r>
        <w:rPr>
          <w:spacing w:val="-2"/>
          <w:sz w:val="24"/>
        </w:rPr>
        <w:t> </w:t>
      </w:r>
      <w:r>
        <w:rPr>
          <w:sz w:val="24"/>
        </w:rPr>
        <w:t>by</w:t>
      </w:r>
      <w:r>
        <w:rPr>
          <w:spacing w:val="-2"/>
          <w:sz w:val="24"/>
        </w:rPr>
        <w:t> </w:t>
      </w:r>
      <w:r>
        <w:rPr>
          <w:spacing w:val="-4"/>
          <w:sz w:val="24"/>
        </w:rPr>
        <w:t>DRS.</w:t>
      </w:r>
    </w:p>
    <w:p>
      <w:pPr>
        <w:pStyle w:val="ListParagraph"/>
        <w:numPr>
          <w:ilvl w:val="3"/>
          <w:numId w:val="247"/>
        </w:numPr>
        <w:tabs>
          <w:tab w:pos="2521" w:val="left" w:leader="none"/>
        </w:tabs>
        <w:spacing w:line="240" w:lineRule="auto" w:before="204" w:after="0"/>
        <w:ind w:left="2521" w:right="0" w:hanging="451"/>
        <w:jc w:val="left"/>
        <w:rPr>
          <w:sz w:val="24"/>
        </w:rPr>
      </w:pPr>
      <w:r>
        <w:rPr>
          <w:sz w:val="24"/>
        </w:rPr>
        <w:t>Items</w:t>
      </w:r>
      <w:r>
        <w:rPr>
          <w:spacing w:val="-5"/>
          <w:sz w:val="24"/>
        </w:rPr>
        <w:t> </w:t>
      </w:r>
      <w:r>
        <w:rPr>
          <w:sz w:val="24"/>
        </w:rPr>
        <w:t>and</w:t>
      </w:r>
      <w:r>
        <w:rPr>
          <w:spacing w:val="-2"/>
          <w:sz w:val="24"/>
        </w:rPr>
        <w:t> </w:t>
      </w:r>
      <w:r>
        <w:rPr>
          <w:sz w:val="24"/>
        </w:rPr>
        <w:t>resources</w:t>
      </w:r>
      <w:r>
        <w:rPr>
          <w:spacing w:val="-3"/>
          <w:sz w:val="24"/>
        </w:rPr>
        <w:t> </w:t>
      </w:r>
      <w:r>
        <w:rPr>
          <w:sz w:val="24"/>
        </w:rPr>
        <w:t>provided</w:t>
      </w:r>
      <w:r>
        <w:rPr>
          <w:spacing w:val="-2"/>
          <w:sz w:val="24"/>
        </w:rPr>
        <w:t> </w:t>
      </w:r>
      <w:r>
        <w:rPr>
          <w:sz w:val="24"/>
        </w:rPr>
        <w:t>by</w:t>
      </w:r>
      <w:r>
        <w:rPr>
          <w:spacing w:val="-2"/>
          <w:sz w:val="24"/>
        </w:rPr>
        <w:t> client.</w:t>
      </w:r>
    </w:p>
    <w:p>
      <w:pPr>
        <w:pStyle w:val="ListParagraph"/>
        <w:numPr>
          <w:ilvl w:val="3"/>
          <w:numId w:val="247"/>
        </w:numPr>
        <w:tabs>
          <w:tab w:pos="2536" w:val="left" w:leader="none"/>
        </w:tabs>
        <w:spacing w:line="240" w:lineRule="auto" w:before="204" w:after="0"/>
        <w:ind w:left="2536" w:right="0" w:hanging="466"/>
        <w:jc w:val="left"/>
        <w:rPr>
          <w:sz w:val="24"/>
        </w:rPr>
      </w:pPr>
      <w:r>
        <w:rPr>
          <w:sz w:val="24"/>
        </w:rPr>
        <w:t>Credit</w:t>
      </w:r>
      <w:r>
        <w:rPr>
          <w:spacing w:val="-5"/>
          <w:sz w:val="24"/>
        </w:rPr>
        <w:t> </w:t>
      </w:r>
      <w:r>
        <w:rPr>
          <w:spacing w:val="-2"/>
          <w:sz w:val="24"/>
        </w:rPr>
        <w:t>Report.</w:t>
      </w:r>
    </w:p>
    <w:p>
      <w:pPr>
        <w:pStyle w:val="ListParagraph"/>
        <w:numPr>
          <w:ilvl w:val="3"/>
          <w:numId w:val="247"/>
        </w:numPr>
        <w:tabs>
          <w:tab w:pos="2483" w:val="left" w:leader="none"/>
        </w:tabs>
        <w:spacing w:line="208" w:lineRule="auto" w:before="233" w:after="0"/>
        <w:ind w:left="2070" w:right="1639" w:firstLine="0"/>
        <w:jc w:val="left"/>
        <w:rPr>
          <w:sz w:val="24"/>
        </w:rPr>
      </w:pPr>
      <w:r>
        <w:rPr>
          <w:sz w:val="24"/>
        </w:rPr>
        <w:t>Copy</w:t>
      </w:r>
      <w:r>
        <w:rPr>
          <w:spacing w:val="-4"/>
          <w:sz w:val="24"/>
        </w:rPr>
        <w:t> </w:t>
      </w:r>
      <w:r>
        <w:rPr>
          <w:sz w:val="24"/>
        </w:rPr>
        <w:t>of</w:t>
      </w:r>
      <w:r>
        <w:rPr>
          <w:spacing w:val="-3"/>
          <w:sz w:val="24"/>
        </w:rPr>
        <w:t> </w:t>
      </w:r>
      <w:r>
        <w:rPr>
          <w:sz w:val="24"/>
        </w:rPr>
        <w:t>the</w:t>
      </w:r>
      <w:r>
        <w:rPr>
          <w:spacing w:val="-4"/>
          <w:sz w:val="24"/>
        </w:rPr>
        <w:t> </w:t>
      </w:r>
      <w:r>
        <w:rPr>
          <w:sz w:val="24"/>
        </w:rPr>
        <w:t>client's</w:t>
      </w:r>
      <w:r>
        <w:rPr>
          <w:spacing w:val="-4"/>
          <w:sz w:val="24"/>
        </w:rPr>
        <w:t> </w:t>
      </w:r>
      <w:r>
        <w:rPr>
          <w:sz w:val="24"/>
        </w:rPr>
        <w:t>last</w:t>
      </w:r>
      <w:r>
        <w:rPr>
          <w:spacing w:val="-3"/>
          <w:sz w:val="24"/>
        </w:rPr>
        <w:t> </w:t>
      </w:r>
      <w:r>
        <w:rPr>
          <w:sz w:val="24"/>
        </w:rPr>
        <w:t>two</w:t>
      </w:r>
      <w:r>
        <w:rPr>
          <w:spacing w:val="-4"/>
          <w:sz w:val="24"/>
        </w:rPr>
        <w:t> </w:t>
      </w:r>
      <w:r>
        <w:rPr>
          <w:sz w:val="24"/>
        </w:rPr>
        <w:t>years</w:t>
      </w:r>
      <w:r>
        <w:rPr>
          <w:spacing w:val="-4"/>
          <w:sz w:val="24"/>
        </w:rPr>
        <w:t> </w:t>
      </w:r>
      <w:r>
        <w:rPr>
          <w:sz w:val="24"/>
        </w:rPr>
        <w:t>of</w:t>
      </w:r>
      <w:r>
        <w:rPr>
          <w:spacing w:val="-3"/>
          <w:sz w:val="24"/>
        </w:rPr>
        <w:t> </w:t>
      </w:r>
      <w:r>
        <w:rPr>
          <w:sz w:val="24"/>
        </w:rPr>
        <w:t>tax</w:t>
      </w:r>
      <w:r>
        <w:rPr>
          <w:spacing w:val="-6"/>
          <w:sz w:val="24"/>
        </w:rPr>
        <w:t> </w:t>
      </w:r>
      <w:r>
        <w:rPr>
          <w:sz w:val="24"/>
        </w:rPr>
        <w:t>returns</w:t>
      </w:r>
      <w:r>
        <w:rPr>
          <w:spacing w:val="-4"/>
          <w:sz w:val="24"/>
        </w:rPr>
        <w:t> </w:t>
      </w:r>
      <w:r>
        <w:rPr>
          <w:sz w:val="24"/>
        </w:rPr>
        <w:t>if</w:t>
      </w:r>
      <w:r>
        <w:rPr>
          <w:spacing w:val="-5"/>
          <w:sz w:val="24"/>
        </w:rPr>
        <w:t> </w:t>
      </w:r>
      <w:r>
        <w:rPr>
          <w:sz w:val="24"/>
        </w:rPr>
        <w:t>they</w:t>
      </w:r>
      <w:r>
        <w:rPr>
          <w:spacing w:val="-4"/>
          <w:sz w:val="24"/>
        </w:rPr>
        <w:t> </w:t>
      </w:r>
      <w:r>
        <w:rPr>
          <w:sz w:val="24"/>
        </w:rPr>
        <w:t>were required to file.</w:t>
      </w:r>
    </w:p>
    <w:p>
      <w:pPr>
        <w:pStyle w:val="ListParagraph"/>
        <w:numPr>
          <w:ilvl w:val="3"/>
          <w:numId w:val="247"/>
        </w:numPr>
        <w:tabs>
          <w:tab w:pos="2536" w:val="left" w:leader="none"/>
        </w:tabs>
        <w:spacing w:line="208" w:lineRule="auto" w:before="240" w:after="0"/>
        <w:ind w:left="2070" w:right="989" w:firstLine="0"/>
        <w:jc w:val="left"/>
        <w:rPr>
          <w:sz w:val="24"/>
        </w:rPr>
      </w:pPr>
      <w:r>
        <w:rPr>
          <w:sz w:val="24"/>
        </w:rPr>
        <w:t>A</w:t>
      </w:r>
      <w:r>
        <w:rPr>
          <w:spacing w:val="-4"/>
          <w:sz w:val="24"/>
        </w:rPr>
        <w:t> </w:t>
      </w:r>
      <w:r>
        <w:rPr>
          <w:sz w:val="24"/>
        </w:rPr>
        <w:t>100</w:t>
      </w:r>
      <w:r>
        <w:rPr>
          <w:spacing w:val="-4"/>
          <w:sz w:val="24"/>
        </w:rPr>
        <w:t> </w:t>
      </w:r>
      <w:r>
        <w:rPr>
          <w:sz w:val="24"/>
        </w:rPr>
        <w:t>form</w:t>
      </w:r>
      <w:r>
        <w:rPr>
          <w:spacing w:val="-3"/>
          <w:sz w:val="24"/>
        </w:rPr>
        <w:t> </w:t>
      </w:r>
      <w:r>
        <w:rPr>
          <w:sz w:val="24"/>
        </w:rPr>
        <w:t>completed</w:t>
      </w:r>
      <w:r>
        <w:rPr>
          <w:spacing w:val="-4"/>
          <w:sz w:val="24"/>
        </w:rPr>
        <w:t> </w:t>
      </w:r>
      <w:r>
        <w:rPr>
          <w:sz w:val="24"/>
        </w:rPr>
        <w:t>and</w:t>
      </w:r>
      <w:r>
        <w:rPr>
          <w:spacing w:val="-4"/>
          <w:sz w:val="24"/>
        </w:rPr>
        <w:t> </w:t>
      </w:r>
      <w:r>
        <w:rPr>
          <w:sz w:val="24"/>
        </w:rPr>
        <w:t>signed</w:t>
      </w:r>
      <w:r>
        <w:rPr>
          <w:spacing w:val="-4"/>
          <w:sz w:val="24"/>
        </w:rPr>
        <w:t> </w:t>
      </w:r>
      <w:r>
        <w:rPr>
          <w:sz w:val="24"/>
        </w:rPr>
        <w:t>by</w:t>
      </w:r>
      <w:r>
        <w:rPr>
          <w:spacing w:val="-4"/>
          <w:sz w:val="24"/>
        </w:rPr>
        <w:t> </w:t>
      </w:r>
      <w:r>
        <w:rPr>
          <w:sz w:val="24"/>
        </w:rPr>
        <w:t>the</w:t>
      </w:r>
      <w:r>
        <w:rPr>
          <w:spacing w:val="-4"/>
          <w:sz w:val="24"/>
        </w:rPr>
        <w:t> </w:t>
      </w:r>
      <w:r>
        <w:rPr>
          <w:sz w:val="24"/>
        </w:rPr>
        <w:t>client</w:t>
      </w:r>
      <w:r>
        <w:rPr>
          <w:spacing w:val="-3"/>
          <w:sz w:val="24"/>
        </w:rPr>
        <w:t> </w:t>
      </w:r>
      <w:r>
        <w:rPr>
          <w:sz w:val="24"/>
        </w:rPr>
        <w:t>to</w:t>
      </w:r>
      <w:r>
        <w:rPr>
          <w:spacing w:val="-4"/>
          <w:sz w:val="24"/>
        </w:rPr>
        <w:t> </w:t>
      </w:r>
      <w:r>
        <w:rPr>
          <w:sz w:val="24"/>
        </w:rPr>
        <w:t>be</w:t>
      </w:r>
      <w:r>
        <w:rPr>
          <w:spacing w:val="-4"/>
          <w:sz w:val="24"/>
        </w:rPr>
        <w:t> </w:t>
      </w:r>
      <w:r>
        <w:rPr>
          <w:sz w:val="24"/>
        </w:rPr>
        <w:t>submitted</w:t>
      </w:r>
      <w:r>
        <w:rPr>
          <w:spacing w:val="-4"/>
          <w:sz w:val="24"/>
        </w:rPr>
        <w:t> </w:t>
      </w:r>
      <w:r>
        <w:rPr>
          <w:sz w:val="24"/>
        </w:rPr>
        <w:t>to the Oklahoma Tax Commission for disclosure of tax information.</w:t>
      </w:r>
    </w:p>
    <w:p>
      <w:pPr>
        <w:pStyle w:val="ListParagraph"/>
        <w:numPr>
          <w:ilvl w:val="1"/>
          <w:numId w:val="247"/>
        </w:numPr>
        <w:tabs>
          <w:tab w:pos="1146" w:val="left" w:leader="none"/>
        </w:tabs>
        <w:spacing w:line="258" w:lineRule="exact" w:before="210" w:after="0"/>
        <w:ind w:left="1146" w:right="0" w:hanging="426"/>
        <w:jc w:val="left"/>
        <w:rPr>
          <w:sz w:val="24"/>
        </w:rPr>
      </w:pPr>
      <w:r>
        <w:rPr>
          <w:sz w:val="24"/>
        </w:rPr>
        <w:t>Tier</w:t>
      </w:r>
      <w:r>
        <w:rPr>
          <w:spacing w:val="-2"/>
          <w:sz w:val="24"/>
        </w:rPr>
        <w:t> </w:t>
      </w:r>
      <w:r>
        <w:rPr>
          <w:sz w:val="24"/>
        </w:rPr>
        <w:t>3</w:t>
      </w:r>
      <w:r>
        <w:rPr>
          <w:spacing w:val="-4"/>
          <w:sz w:val="24"/>
        </w:rPr>
        <w:t> </w:t>
      </w:r>
      <w:r>
        <w:rPr>
          <w:sz w:val="24"/>
        </w:rPr>
        <w:t>self-employment</w:t>
      </w:r>
      <w:r>
        <w:rPr>
          <w:spacing w:val="-1"/>
          <w:sz w:val="24"/>
        </w:rPr>
        <w:t> </w:t>
      </w:r>
      <w:r>
        <w:rPr>
          <w:sz w:val="24"/>
        </w:rPr>
        <w:t>cases</w:t>
      </w:r>
      <w:r>
        <w:rPr>
          <w:spacing w:val="-3"/>
          <w:sz w:val="24"/>
        </w:rPr>
        <w:t> </w:t>
      </w:r>
      <w:r>
        <w:rPr>
          <w:sz w:val="24"/>
        </w:rPr>
        <w:t>are</w:t>
      </w:r>
      <w:r>
        <w:rPr>
          <w:spacing w:val="-3"/>
          <w:sz w:val="24"/>
        </w:rPr>
        <w:t> </w:t>
      </w:r>
      <w:r>
        <w:rPr>
          <w:sz w:val="24"/>
        </w:rPr>
        <w:t>those</w:t>
      </w:r>
      <w:r>
        <w:rPr>
          <w:spacing w:val="-3"/>
          <w:sz w:val="24"/>
        </w:rPr>
        <w:t> </w:t>
      </w:r>
      <w:r>
        <w:rPr>
          <w:sz w:val="24"/>
        </w:rPr>
        <w:t>with</w:t>
      </w:r>
      <w:r>
        <w:rPr>
          <w:spacing w:val="-3"/>
          <w:sz w:val="24"/>
        </w:rPr>
        <w:t> </w:t>
      </w:r>
      <w:r>
        <w:rPr>
          <w:sz w:val="24"/>
        </w:rPr>
        <w:t>an</w:t>
      </w:r>
      <w:r>
        <w:rPr>
          <w:spacing w:val="-3"/>
          <w:sz w:val="24"/>
        </w:rPr>
        <w:t> </w:t>
      </w:r>
      <w:r>
        <w:rPr>
          <w:sz w:val="24"/>
        </w:rPr>
        <w:t>anticipated</w:t>
      </w:r>
      <w:r>
        <w:rPr>
          <w:spacing w:val="-2"/>
          <w:sz w:val="24"/>
        </w:rPr>
        <w:t> </w:t>
      </w:r>
      <w:r>
        <w:rPr>
          <w:sz w:val="24"/>
        </w:rPr>
        <w:t>cost</w:t>
      </w:r>
      <w:r>
        <w:rPr>
          <w:spacing w:val="-2"/>
          <w:sz w:val="24"/>
        </w:rPr>
        <w:t> </w:t>
      </w:r>
      <w:r>
        <w:rPr>
          <w:sz w:val="24"/>
        </w:rPr>
        <w:t>which</w:t>
      </w:r>
      <w:r>
        <w:rPr>
          <w:spacing w:val="-2"/>
          <w:sz w:val="24"/>
        </w:rPr>
        <w:t> exceeds</w:t>
      </w:r>
    </w:p>
    <w:p>
      <w:pPr>
        <w:pStyle w:val="BodyText"/>
        <w:spacing w:line="208" w:lineRule="auto" w:before="12"/>
        <w:ind w:left="720" w:right="775"/>
      </w:pPr>
      <w:r>
        <w:rPr/>
        <w:t>$10,000.</w:t>
      </w:r>
      <w:r>
        <w:rPr>
          <w:spacing w:val="-3"/>
        </w:rPr>
        <w:t> </w:t>
      </w:r>
      <w:r>
        <w:rPr/>
        <w:t>Tier</w:t>
      </w:r>
      <w:r>
        <w:rPr>
          <w:spacing w:val="-3"/>
        </w:rPr>
        <w:t> </w:t>
      </w:r>
      <w:r>
        <w:rPr/>
        <w:t>3</w:t>
      </w:r>
      <w:r>
        <w:rPr>
          <w:spacing w:val="-3"/>
        </w:rPr>
        <w:t> </w:t>
      </w:r>
      <w:r>
        <w:rPr/>
        <w:t>cases</w:t>
      </w:r>
      <w:r>
        <w:rPr>
          <w:spacing w:val="-4"/>
        </w:rPr>
        <w:t> </w:t>
      </w:r>
      <w:r>
        <w:rPr/>
        <w:t>will</w:t>
      </w:r>
      <w:r>
        <w:rPr>
          <w:spacing w:val="-3"/>
        </w:rPr>
        <w:t> </w:t>
      </w:r>
      <w:r>
        <w:rPr/>
        <w:t>require</w:t>
      </w:r>
      <w:r>
        <w:rPr>
          <w:spacing w:val="-3"/>
        </w:rPr>
        <w:t> </w:t>
      </w:r>
      <w:r>
        <w:rPr/>
        <w:t>the</w:t>
      </w:r>
      <w:r>
        <w:rPr>
          <w:spacing w:val="-3"/>
        </w:rPr>
        <w:t> </w:t>
      </w:r>
      <w:r>
        <w:rPr/>
        <w:t>same</w:t>
      </w:r>
      <w:r>
        <w:rPr>
          <w:spacing w:val="-4"/>
        </w:rPr>
        <w:t> </w:t>
      </w:r>
      <w:r>
        <w:rPr/>
        <w:t>supporting</w:t>
      </w:r>
      <w:r>
        <w:rPr>
          <w:spacing w:val="-3"/>
        </w:rPr>
        <w:t> </w:t>
      </w:r>
      <w:r>
        <w:rPr/>
        <w:t>documentation</w:t>
      </w:r>
      <w:r>
        <w:rPr>
          <w:spacing w:val="-3"/>
        </w:rPr>
        <w:t> </w:t>
      </w:r>
      <w:r>
        <w:rPr/>
        <w:t>as</w:t>
      </w:r>
      <w:r>
        <w:rPr>
          <w:spacing w:val="-3"/>
        </w:rPr>
        <w:t> </w:t>
      </w:r>
      <w:r>
        <w:rPr/>
        <w:t>Tier</w:t>
      </w:r>
      <w:r>
        <w:rPr>
          <w:spacing w:val="-3"/>
        </w:rPr>
        <w:t> </w:t>
      </w:r>
      <w:r>
        <w:rPr/>
        <w:t>2.</w:t>
      </w:r>
      <w:r>
        <w:rPr>
          <w:spacing w:val="-3"/>
        </w:rPr>
        <w:t> </w:t>
      </w:r>
      <w:r>
        <w:rPr/>
        <w:t>In Tier 3 the client will be required to contribute a minimum of 50% of the anticipated costs exceeding $10,000. All Tier 3 self-employment cases require review and approval by the Field Coordinator.</w:t>
      </w:r>
    </w:p>
    <w:p>
      <w:pPr>
        <w:pStyle w:val="ListParagraph"/>
        <w:numPr>
          <w:ilvl w:val="1"/>
          <w:numId w:val="247"/>
        </w:numPr>
        <w:tabs>
          <w:tab w:pos="1080" w:val="left" w:leader="none"/>
        </w:tabs>
        <w:spacing w:line="208" w:lineRule="auto" w:before="239" w:after="0"/>
        <w:ind w:left="720" w:right="1085" w:firstLine="0"/>
        <w:jc w:val="left"/>
        <w:rPr>
          <w:sz w:val="24"/>
        </w:rPr>
      </w:pPr>
      <w:r>
        <w:rPr>
          <w:sz w:val="24"/>
        </w:rPr>
        <w:t>Tier 2 and Tier 3 self-employment proposals will be required to have their Business</w:t>
      </w:r>
      <w:r>
        <w:rPr>
          <w:spacing w:val="-4"/>
          <w:sz w:val="24"/>
        </w:rPr>
        <w:t> </w:t>
      </w:r>
      <w:r>
        <w:rPr>
          <w:sz w:val="24"/>
        </w:rPr>
        <w:t>Plan</w:t>
      </w:r>
      <w:r>
        <w:rPr>
          <w:spacing w:val="-4"/>
          <w:sz w:val="24"/>
        </w:rPr>
        <w:t> </w:t>
      </w:r>
      <w:r>
        <w:rPr>
          <w:sz w:val="24"/>
        </w:rPr>
        <w:t>reviewed</w:t>
      </w:r>
      <w:r>
        <w:rPr>
          <w:spacing w:val="-4"/>
          <w:sz w:val="24"/>
        </w:rPr>
        <w:t> </w:t>
      </w:r>
      <w:r>
        <w:rPr>
          <w:sz w:val="24"/>
        </w:rPr>
        <w:t>and</w:t>
      </w:r>
      <w:r>
        <w:rPr>
          <w:spacing w:val="-4"/>
          <w:sz w:val="24"/>
        </w:rPr>
        <w:t> </w:t>
      </w:r>
      <w:r>
        <w:rPr>
          <w:sz w:val="24"/>
        </w:rPr>
        <w:t>approved</w:t>
      </w:r>
      <w:r>
        <w:rPr>
          <w:spacing w:val="-4"/>
          <w:sz w:val="24"/>
        </w:rPr>
        <w:t> </w:t>
      </w:r>
      <w:r>
        <w:rPr>
          <w:sz w:val="24"/>
        </w:rPr>
        <w:t>by</w:t>
      </w:r>
      <w:r>
        <w:rPr>
          <w:spacing w:val="-4"/>
          <w:sz w:val="24"/>
        </w:rPr>
        <w:t> </w:t>
      </w:r>
      <w:r>
        <w:rPr>
          <w:sz w:val="24"/>
        </w:rPr>
        <w:t>Agency</w:t>
      </w:r>
      <w:r>
        <w:rPr>
          <w:spacing w:val="-4"/>
          <w:sz w:val="24"/>
        </w:rPr>
        <w:t> </w:t>
      </w:r>
      <w:r>
        <w:rPr>
          <w:sz w:val="24"/>
        </w:rPr>
        <w:t>designated</w:t>
      </w:r>
      <w:r>
        <w:rPr>
          <w:spacing w:val="-4"/>
          <w:sz w:val="24"/>
        </w:rPr>
        <w:t> </w:t>
      </w:r>
      <w:r>
        <w:rPr>
          <w:sz w:val="24"/>
        </w:rPr>
        <w:t>staff</w:t>
      </w:r>
      <w:r>
        <w:rPr>
          <w:spacing w:val="-5"/>
          <w:sz w:val="24"/>
        </w:rPr>
        <w:t> </w:t>
      </w:r>
      <w:r>
        <w:rPr>
          <w:sz w:val="24"/>
        </w:rPr>
        <w:t>and/or</w:t>
      </w:r>
      <w:r>
        <w:rPr>
          <w:spacing w:val="-3"/>
          <w:sz w:val="24"/>
        </w:rPr>
        <w:t> </w:t>
      </w:r>
      <w:r>
        <w:rPr>
          <w:sz w:val="24"/>
        </w:rPr>
        <w:t>Review </w:t>
      </w:r>
      <w:r>
        <w:rPr>
          <w:spacing w:val="-2"/>
          <w:sz w:val="24"/>
        </w:rPr>
        <w:t>Panels.</w:t>
      </w:r>
    </w:p>
    <w:p>
      <w:pPr>
        <w:pStyle w:val="ListParagraph"/>
        <w:numPr>
          <w:ilvl w:val="0"/>
          <w:numId w:val="247"/>
        </w:numPr>
        <w:tabs>
          <w:tab w:pos="705" w:val="left" w:leader="none"/>
        </w:tabs>
        <w:spacing w:line="240" w:lineRule="auto" w:before="211" w:after="0"/>
        <w:ind w:left="705" w:right="0" w:hanging="345"/>
        <w:jc w:val="left"/>
        <w:rPr>
          <w:sz w:val="24"/>
        </w:rPr>
      </w:pPr>
      <w:r>
        <w:rPr>
          <w:sz w:val="24"/>
        </w:rPr>
        <w:t>Items</w:t>
      </w:r>
      <w:r>
        <w:rPr>
          <w:spacing w:val="-4"/>
          <w:sz w:val="24"/>
        </w:rPr>
        <w:t> </w:t>
      </w:r>
      <w:r>
        <w:rPr>
          <w:sz w:val="24"/>
        </w:rPr>
        <w:t>that</w:t>
      </w:r>
      <w:r>
        <w:rPr>
          <w:spacing w:val="-2"/>
          <w:sz w:val="24"/>
        </w:rPr>
        <w:t> </w:t>
      </w:r>
      <w:r>
        <w:rPr>
          <w:sz w:val="24"/>
        </w:rPr>
        <w:t>the</w:t>
      </w:r>
      <w:r>
        <w:rPr>
          <w:spacing w:val="-2"/>
          <w:sz w:val="24"/>
        </w:rPr>
        <w:t> </w:t>
      </w:r>
      <w:r>
        <w:rPr>
          <w:sz w:val="24"/>
        </w:rPr>
        <w:t>agency</w:t>
      </w:r>
      <w:r>
        <w:rPr>
          <w:spacing w:val="-3"/>
          <w:sz w:val="24"/>
        </w:rPr>
        <w:t> </w:t>
      </w:r>
      <w:r>
        <w:rPr>
          <w:sz w:val="24"/>
        </w:rPr>
        <w:t>will</w:t>
      </w:r>
      <w:r>
        <w:rPr>
          <w:spacing w:val="-3"/>
          <w:sz w:val="24"/>
        </w:rPr>
        <w:t> </w:t>
      </w:r>
      <w:r>
        <w:rPr>
          <w:sz w:val="24"/>
        </w:rPr>
        <w:t>not</w:t>
      </w:r>
      <w:r>
        <w:rPr>
          <w:spacing w:val="-1"/>
          <w:sz w:val="24"/>
        </w:rPr>
        <w:t> </w:t>
      </w:r>
      <w:r>
        <w:rPr>
          <w:sz w:val="24"/>
        </w:rPr>
        <w:t>approve</w:t>
      </w:r>
      <w:r>
        <w:rPr>
          <w:spacing w:val="-3"/>
          <w:sz w:val="24"/>
        </w:rPr>
        <w:t> </w:t>
      </w:r>
      <w:r>
        <w:rPr>
          <w:sz w:val="24"/>
        </w:rPr>
        <w:t>for</w:t>
      </w:r>
      <w:r>
        <w:rPr>
          <w:spacing w:val="-2"/>
          <w:sz w:val="24"/>
        </w:rPr>
        <w:t> </w:t>
      </w:r>
      <w:r>
        <w:rPr>
          <w:sz w:val="24"/>
        </w:rPr>
        <w:t>funding</w:t>
      </w:r>
      <w:r>
        <w:rPr>
          <w:spacing w:val="-2"/>
          <w:sz w:val="24"/>
        </w:rPr>
        <w:t> include:</w:t>
      </w:r>
    </w:p>
    <w:p>
      <w:pPr>
        <w:pStyle w:val="ListParagraph"/>
        <w:numPr>
          <w:ilvl w:val="1"/>
          <w:numId w:val="247"/>
        </w:numPr>
        <w:tabs>
          <w:tab w:pos="1146" w:val="left" w:leader="none"/>
        </w:tabs>
        <w:spacing w:line="240" w:lineRule="auto" w:before="204" w:after="0"/>
        <w:ind w:left="1146" w:right="0" w:hanging="426"/>
        <w:jc w:val="left"/>
        <w:rPr>
          <w:sz w:val="24"/>
        </w:rPr>
      </w:pPr>
      <w:r>
        <w:rPr>
          <w:sz w:val="24"/>
        </w:rPr>
        <w:t>Construction</w:t>
      </w:r>
      <w:r>
        <w:rPr>
          <w:spacing w:val="-3"/>
          <w:sz w:val="24"/>
        </w:rPr>
        <w:t> </w:t>
      </w:r>
      <w:r>
        <w:rPr>
          <w:sz w:val="24"/>
        </w:rPr>
        <w:t>or</w:t>
      </w:r>
      <w:r>
        <w:rPr>
          <w:spacing w:val="-3"/>
          <w:sz w:val="24"/>
        </w:rPr>
        <w:t> </w:t>
      </w:r>
      <w:r>
        <w:rPr>
          <w:sz w:val="24"/>
        </w:rPr>
        <w:t>purchase</w:t>
      </w:r>
      <w:r>
        <w:rPr>
          <w:spacing w:val="-3"/>
          <w:sz w:val="24"/>
        </w:rPr>
        <w:t> </w:t>
      </w:r>
      <w:r>
        <w:rPr>
          <w:sz w:val="24"/>
        </w:rPr>
        <w:t>of</w:t>
      </w:r>
      <w:r>
        <w:rPr>
          <w:spacing w:val="-3"/>
          <w:sz w:val="24"/>
        </w:rPr>
        <w:t> </w:t>
      </w:r>
      <w:r>
        <w:rPr>
          <w:sz w:val="24"/>
        </w:rPr>
        <w:t>real</w:t>
      </w:r>
      <w:r>
        <w:rPr>
          <w:spacing w:val="-3"/>
          <w:sz w:val="24"/>
        </w:rPr>
        <w:t> </w:t>
      </w:r>
      <w:r>
        <w:rPr>
          <w:spacing w:val="-2"/>
          <w:sz w:val="24"/>
        </w:rPr>
        <w:t>estate.</w:t>
      </w:r>
    </w:p>
    <w:p>
      <w:pPr>
        <w:pStyle w:val="ListParagraph"/>
        <w:numPr>
          <w:ilvl w:val="1"/>
          <w:numId w:val="247"/>
        </w:numPr>
        <w:tabs>
          <w:tab w:pos="1146" w:val="left" w:leader="none"/>
        </w:tabs>
        <w:spacing w:line="208" w:lineRule="auto" w:before="233" w:after="0"/>
        <w:ind w:left="720" w:right="1591" w:firstLine="0"/>
        <w:jc w:val="left"/>
        <w:rPr>
          <w:sz w:val="24"/>
        </w:rPr>
      </w:pPr>
      <w:r>
        <w:rPr>
          <w:sz w:val="24"/>
        </w:rPr>
        <w:t>Businesses</w:t>
      </w:r>
      <w:r>
        <w:rPr>
          <w:spacing w:val="-4"/>
          <w:sz w:val="24"/>
        </w:rPr>
        <w:t> </w:t>
      </w:r>
      <w:r>
        <w:rPr>
          <w:sz w:val="24"/>
        </w:rPr>
        <w:t>that</w:t>
      </w:r>
      <w:r>
        <w:rPr>
          <w:spacing w:val="-3"/>
          <w:sz w:val="24"/>
        </w:rPr>
        <w:t> </w:t>
      </w:r>
      <w:r>
        <w:rPr>
          <w:sz w:val="24"/>
        </w:rPr>
        <w:t>are</w:t>
      </w:r>
      <w:r>
        <w:rPr>
          <w:spacing w:val="-4"/>
          <w:sz w:val="24"/>
        </w:rPr>
        <w:t> </w:t>
      </w:r>
      <w:r>
        <w:rPr>
          <w:sz w:val="24"/>
        </w:rPr>
        <w:t>speculative</w:t>
      </w:r>
      <w:r>
        <w:rPr>
          <w:spacing w:val="-4"/>
          <w:sz w:val="24"/>
        </w:rPr>
        <w:t> </w:t>
      </w:r>
      <w:r>
        <w:rPr>
          <w:sz w:val="24"/>
        </w:rPr>
        <w:t>in</w:t>
      </w:r>
      <w:r>
        <w:rPr>
          <w:spacing w:val="-4"/>
          <w:sz w:val="24"/>
        </w:rPr>
        <w:t> </w:t>
      </w:r>
      <w:r>
        <w:rPr>
          <w:sz w:val="24"/>
        </w:rPr>
        <w:t>nature</w:t>
      </w:r>
      <w:r>
        <w:rPr>
          <w:spacing w:val="-4"/>
          <w:sz w:val="24"/>
        </w:rPr>
        <w:t> </w:t>
      </w:r>
      <w:r>
        <w:rPr>
          <w:sz w:val="24"/>
        </w:rPr>
        <w:t>such</w:t>
      </w:r>
      <w:r>
        <w:rPr>
          <w:spacing w:val="-4"/>
          <w:sz w:val="24"/>
        </w:rPr>
        <w:t> </w:t>
      </w:r>
      <w:r>
        <w:rPr>
          <w:sz w:val="24"/>
        </w:rPr>
        <w:t>as</w:t>
      </w:r>
      <w:r>
        <w:rPr>
          <w:spacing w:val="-4"/>
          <w:sz w:val="24"/>
        </w:rPr>
        <w:t> </w:t>
      </w:r>
      <w:r>
        <w:rPr>
          <w:sz w:val="24"/>
        </w:rPr>
        <w:t>stocks,</w:t>
      </w:r>
      <w:r>
        <w:rPr>
          <w:spacing w:val="-3"/>
          <w:sz w:val="24"/>
        </w:rPr>
        <w:t> </w:t>
      </w:r>
      <w:r>
        <w:rPr>
          <w:sz w:val="24"/>
        </w:rPr>
        <w:t>bonds</w:t>
      </w:r>
      <w:r>
        <w:rPr>
          <w:spacing w:val="-4"/>
          <w:sz w:val="24"/>
        </w:rPr>
        <w:t> </w:t>
      </w:r>
      <w:r>
        <w:rPr>
          <w:sz w:val="24"/>
        </w:rPr>
        <w:t>or</w:t>
      </w:r>
      <w:r>
        <w:rPr>
          <w:spacing w:val="-3"/>
          <w:sz w:val="24"/>
        </w:rPr>
        <w:t> </w:t>
      </w:r>
      <w:r>
        <w:rPr>
          <w:sz w:val="24"/>
        </w:rPr>
        <w:t>other investments or considered speculative by the Better Business Bureau.</w:t>
      </w:r>
    </w:p>
    <w:p>
      <w:pPr>
        <w:pStyle w:val="ListParagraph"/>
        <w:spacing w:after="0" w:line="208" w:lineRule="auto"/>
        <w:jc w:val="left"/>
        <w:rPr>
          <w:sz w:val="24"/>
        </w:rPr>
        <w:sectPr>
          <w:pgSz w:w="12240" w:h="15840"/>
          <w:pgMar w:top="1340" w:bottom="280" w:left="1080" w:right="720"/>
        </w:sectPr>
      </w:pPr>
    </w:p>
    <w:p>
      <w:pPr>
        <w:pStyle w:val="ListParagraph"/>
        <w:numPr>
          <w:ilvl w:val="1"/>
          <w:numId w:val="247"/>
        </w:numPr>
        <w:tabs>
          <w:tab w:pos="1146" w:val="left" w:leader="none"/>
        </w:tabs>
        <w:spacing w:line="240" w:lineRule="auto" w:before="67" w:after="0"/>
        <w:ind w:left="1146" w:right="0" w:hanging="426"/>
        <w:jc w:val="left"/>
        <w:rPr>
          <w:sz w:val="24"/>
        </w:rPr>
      </w:pPr>
      <w:r>
        <w:rPr>
          <w:sz w:val="24"/>
        </w:rPr>
        <w:t>Businesses</w:t>
      </w:r>
      <w:r>
        <w:rPr>
          <w:spacing w:val="-3"/>
          <w:sz w:val="24"/>
        </w:rPr>
        <w:t> </w:t>
      </w:r>
      <w:r>
        <w:rPr>
          <w:sz w:val="24"/>
        </w:rPr>
        <w:t>that</w:t>
      </w:r>
      <w:r>
        <w:rPr>
          <w:spacing w:val="-2"/>
          <w:sz w:val="24"/>
        </w:rPr>
        <w:t> </w:t>
      </w:r>
      <w:r>
        <w:rPr>
          <w:sz w:val="24"/>
        </w:rPr>
        <w:t>are</w:t>
      </w:r>
      <w:r>
        <w:rPr>
          <w:spacing w:val="-3"/>
          <w:sz w:val="24"/>
        </w:rPr>
        <w:t> </w:t>
      </w:r>
      <w:r>
        <w:rPr>
          <w:sz w:val="24"/>
        </w:rPr>
        <w:t>organized</w:t>
      </w:r>
      <w:r>
        <w:rPr>
          <w:spacing w:val="-2"/>
          <w:sz w:val="24"/>
        </w:rPr>
        <w:t> </w:t>
      </w:r>
      <w:r>
        <w:rPr>
          <w:sz w:val="24"/>
        </w:rPr>
        <w:t>as</w:t>
      </w:r>
      <w:r>
        <w:rPr>
          <w:spacing w:val="-3"/>
          <w:sz w:val="24"/>
        </w:rPr>
        <w:t> </w:t>
      </w:r>
      <w:r>
        <w:rPr>
          <w:sz w:val="24"/>
        </w:rPr>
        <w:t>not</w:t>
      </w:r>
      <w:r>
        <w:rPr>
          <w:spacing w:val="-2"/>
          <w:sz w:val="24"/>
        </w:rPr>
        <w:t> </w:t>
      </w:r>
      <w:r>
        <w:rPr>
          <w:sz w:val="24"/>
        </w:rPr>
        <w:t>for</w:t>
      </w:r>
      <w:r>
        <w:rPr>
          <w:spacing w:val="-3"/>
          <w:sz w:val="24"/>
        </w:rPr>
        <w:t> </w:t>
      </w:r>
      <w:r>
        <w:rPr>
          <w:spacing w:val="-2"/>
          <w:sz w:val="24"/>
        </w:rPr>
        <w:t>profit.</w:t>
      </w:r>
    </w:p>
    <w:p>
      <w:pPr>
        <w:pStyle w:val="ListParagraph"/>
        <w:numPr>
          <w:ilvl w:val="1"/>
          <w:numId w:val="247"/>
        </w:numPr>
        <w:tabs>
          <w:tab w:pos="1146" w:val="left" w:leader="none"/>
        </w:tabs>
        <w:spacing w:line="240" w:lineRule="auto" w:before="204" w:after="0"/>
        <w:ind w:left="1146" w:right="0" w:hanging="426"/>
        <w:jc w:val="left"/>
        <w:rPr>
          <w:sz w:val="24"/>
        </w:rPr>
      </w:pPr>
      <w:r>
        <w:rPr>
          <w:sz w:val="24"/>
        </w:rPr>
        <w:t>Businesses</w:t>
      </w:r>
      <w:r>
        <w:rPr>
          <w:spacing w:val="-4"/>
          <w:sz w:val="24"/>
        </w:rPr>
        <w:t> </w:t>
      </w:r>
      <w:r>
        <w:rPr>
          <w:sz w:val="24"/>
        </w:rPr>
        <w:t>organized</w:t>
      </w:r>
      <w:r>
        <w:rPr>
          <w:spacing w:val="-4"/>
          <w:sz w:val="24"/>
        </w:rPr>
        <w:t> </w:t>
      </w:r>
      <w:r>
        <w:rPr>
          <w:sz w:val="24"/>
        </w:rPr>
        <w:t>as</w:t>
      </w:r>
      <w:r>
        <w:rPr>
          <w:spacing w:val="-4"/>
          <w:sz w:val="24"/>
        </w:rPr>
        <w:t> </w:t>
      </w:r>
      <w:r>
        <w:rPr>
          <w:spacing w:val="-2"/>
          <w:sz w:val="24"/>
        </w:rPr>
        <w:t>hobbies.</w:t>
      </w:r>
    </w:p>
    <w:p>
      <w:pPr>
        <w:pStyle w:val="ListParagraph"/>
        <w:numPr>
          <w:ilvl w:val="1"/>
          <w:numId w:val="247"/>
        </w:numPr>
        <w:tabs>
          <w:tab w:pos="1146" w:val="left" w:leader="none"/>
        </w:tabs>
        <w:spacing w:line="240" w:lineRule="auto" w:before="204" w:after="0"/>
        <w:ind w:left="1146" w:right="0" w:hanging="426"/>
        <w:jc w:val="left"/>
        <w:rPr>
          <w:sz w:val="24"/>
        </w:rPr>
      </w:pPr>
      <w:r>
        <w:rPr>
          <w:sz w:val="24"/>
        </w:rPr>
        <w:t>Purchase</w:t>
      </w:r>
      <w:r>
        <w:rPr>
          <w:spacing w:val="-6"/>
          <w:sz w:val="24"/>
        </w:rPr>
        <w:t> </w:t>
      </w:r>
      <w:r>
        <w:rPr>
          <w:sz w:val="24"/>
        </w:rPr>
        <w:t>of</w:t>
      </w:r>
      <w:r>
        <w:rPr>
          <w:spacing w:val="-3"/>
          <w:sz w:val="24"/>
        </w:rPr>
        <w:t> </w:t>
      </w:r>
      <w:r>
        <w:rPr>
          <w:sz w:val="24"/>
        </w:rPr>
        <w:t>vehicles</w:t>
      </w:r>
      <w:r>
        <w:rPr>
          <w:spacing w:val="-4"/>
          <w:sz w:val="24"/>
        </w:rPr>
        <w:t> </w:t>
      </w:r>
      <w:r>
        <w:rPr>
          <w:sz w:val="24"/>
        </w:rPr>
        <w:t>including</w:t>
      </w:r>
      <w:r>
        <w:rPr>
          <w:spacing w:val="-4"/>
          <w:sz w:val="24"/>
        </w:rPr>
        <w:t> </w:t>
      </w:r>
      <w:r>
        <w:rPr>
          <w:sz w:val="24"/>
        </w:rPr>
        <w:t>farming,</w:t>
      </w:r>
      <w:r>
        <w:rPr>
          <w:spacing w:val="-5"/>
          <w:sz w:val="24"/>
        </w:rPr>
        <w:t> </w:t>
      </w:r>
      <w:r>
        <w:rPr>
          <w:sz w:val="24"/>
        </w:rPr>
        <w:t>ranching</w:t>
      </w:r>
      <w:r>
        <w:rPr>
          <w:spacing w:val="-4"/>
          <w:sz w:val="24"/>
        </w:rPr>
        <w:t> </w:t>
      </w:r>
      <w:r>
        <w:rPr>
          <w:sz w:val="24"/>
        </w:rPr>
        <w:t>and</w:t>
      </w:r>
      <w:r>
        <w:rPr>
          <w:spacing w:val="-4"/>
          <w:sz w:val="24"/>
        </w:rPr>
        <w:t> </w:t>
      </w:r>
      <w:r>
        <w:rPr>
          <w:sz w:val="24"/>
        </w:rPr>
        <w:t>construction</w:t>
      </w:r>
      <w:r>
        <w:rPr>
          <w:spacing w:val="-3"/>
          <w:sz w:val="24"/>
        </w:rPr>
        <w:t> </w:t>
      </w:r>
      <w:r>
        <w:rPr>
          <w:spacing w:val="-2"/>
          <w:sz w:val="24"/>
        </w:rPr>
        <w:t>vehicles.</w:t>
      </w:r>
    </w:p>
    <w:p>
      <w:pPr>
        <w:pStyle w:val="ListParagraph"/>
        <w:numPr>
          <w:ilvl w:val="1"/>
          <w:numId w:val="247"/>
        </w:numPr>
        <w:tabs>
          <w:tab w:pos="1145" w:val="left" w:leader="none"/>
        </w:tabs>
        <w:spacing w:line="240" w:lineRule="auto" w:before="204" w:after="0"/>
        <w:ind w:left="1145" w:right="0" w:hanging="426"/>
        <w:jc w:val="left"/>
        <w:rPr>
          <w:sz w:val="24"/>
        </w:rPr>
      </w:pPr>
      <w:r>
        <w:rPr>
          <w:sz w:val="24"/>
        </w:rPr>
        <w:t>Refinancing</w:t>
      </w:r>
      <w:r>
        <w:rPr>
          <w:spacing w:val="-4"/>
          <w:sz w:val="24"/>
        </w:rPr>
        <w:t> </w:t>
      </w:r>
      <w:r>
        <w:rPr>
          <w:sz w:val="24"/>
        </w:rPr>
        <w:t>of</w:t>
      </w:r>
      <w:r>
        <w:rPr>
          <w:spacing w:val="-4"/>
          <w:sz w:val="24"/>
        </w:rPr>
        <w:t> </w:t>
      </w:r>
      <w:r>
        <w:rPr>
          <w:sz w:val="24"/>
        </w:rPr>
        <w:t>existing</w:t>
      </w:r>
      <w:r>
        <w:rPr>
          <w:spacing w:val="-3"/>
          <w:sz w:val="24"/>
        </w:rPr>
        <w:t> </w:t>
      </w:r>
      <w:r>
        <w:rPr>
          <w:spacing w:val="-2"/>
          <w:sz w:val="24"/>
        </w:rPr>
        <w:t>debt.</w:t>
      </w:r>
    </w:p>
    <w:p>
      <w:pPr>
        <w:pStyle w:val="ListParagraph"/>
        <w:numPr>
          <w:ilvl w:val="1"/>
          <w:numId w:val="247"/>
        </w:numPr>
        <w:tabs>
          <w:tab w:pos="1145" w:val="left" w:leader="none"/>
        </w:tabs>
        <w:spacing w:line="240" w:lineRule="auto" w:before="204" w:after="0"/>
        <w:ind w:left="1145" w:right="0" w:hanging="426"/>
        <w:jc w:val="left"/>
        <w:rPr>
          <w:sz w:val="24"/>
        </w:rPr>
      </w:pPr>
      <w:r>
        <w:rPr>
          <w:sz w:val="24"/>
        </w:rPr>
        <w:t>Business</w:t>
      </w:r>
      <w:r>
        <w:rPr>
          <w:spacing w:val="-5"/>
          <w:sz w:val="24"/>
        </w:rPr>
        <w:t> </w:t>
      </w:r>
      <w:r>
        <w:rPr>
          <w:sz w:val="24"/>
        </w:rPr>
        <w:t>plans</w:t>
      </w:r>
      <w:r>
        <w:rPr>
          <w:spacing w:val="-3"/>
          <w:sz w:val="24"/>
        </w:rPr>
        <w:t> </w:t>
      </w:r>
      <w:r>
        <w:rPr>
          <w:sz w:val="24"/>
        </w:rPr>
        <w:t>that</w:t>
      </w:r>
      <w:r>
        <w:rPr>
          <w:spacing w:val="-2"/>
          <w:sz w:val="24"/>
        </w:rPr>
        <w:t> </w:t>
      </w:r>
      <w:r>
        <w:rPr>
          <w:sz w:val="24"/>
        </w:rPr>
        <w:t>are</w:t>
      </w:r>
      <w:r>
        <w:rPr>
          <w:spacing w:val="-2"/>
          <w:sz w:val="24"/>
        </w:rPr>
        <w:t> </w:t>
      </w:r>
      <w:r>
        <w:rPr>
          <w:sz w:val="24"/>
        </w:rPr>
        <w:t>not</w:t>
      </w:r>
      <w:r>
        <w:rPr>
          <w:spacing w:val="-2"/>
          <w:sz w:val="24"/>
        </w:rPr>
        <w:t> </w:t>
      </w:r>
      <w:r>
        <w:rPr>
          <w:sz w:val="24"/>
        </w:rPr>
        <w:t>developed</w:t>
      </w:r>
      <w:r>
        <w:rPr>
          <w:spacing w:val="-3"/>
          <w:sz w:val="24"/>
        </w:rPr>
        <w:t> </w:t>
      </w:r>
      <w:r>
        <w:rPr>
          <w:sz w:val="24"/>
        </w:rPr>
        <w:t>as</w:t>
      </w:r>
      <w:r>
        <w:rPr>
          <w:spacing w:val="-3"/>
          <w:sz w:val="24"/>
        </w:rPr>
        <w:t> </w:t>
      </w:r>
      <w:r>
        <w:rPr>
          <w:sz w:val="24"/>
        </w:rPr>
        <w:t>the</w:t>
      </w:r>
      <w:r>
        <w:rPr>
          <w:spacing w:val="-2"/>
          <w:sz w:val="24"/>
        </w:rPr>
        <w:t> </w:t>
      </w:r>
      <w:r>
        <w:rPr>
          <w:sz w:val="24"/>
        </w:rPr>
        <w:t>primary</w:t>
      </w:r>
      <w:r>
        <w:rPr>
          <w:spacing w:val="-3"/>
          <w:sz w:val="24"/>
        </w:rPr>
        <w:t> </w:t>
      </w:r>
      <w:r>
        <w:rPr>
          <w:sz w:val="24"/>
        </w:rPr>
        <w:t>source</w:t>
      </w:r>
      <w:r>
        <w:rPr>
          <w:spacing w:val="-3"/>
          <w:sz w:val="24"/>
        </w:rPr>
        <w:t> </w:t>
      </w:r>
      <w:r>
        <w:rPr>
          <w:sz w:val="24"/>
        </w:rPr>
        <w:t>of</w:t>
      </w:r>
      <w:r>
        <w:rPr>
          <w:spacing w:val="-1"/>
          <w:sz w:val="24"/>
        </w:rPr>
        <w:t> </w:t>
      </w:r>
      <w:r>
        <w:rPr>
          <w:spacing w:val="-2"/>
          <w:sz w:val="24"/>
        </w:rPr>
        <w:t>support.</w:t>
      </w:r>
    </w:p>
    <w:p>
      <w:pPr>
        <w:pStyle w:val="ListParagraph"/>
        <w:numPr>
          <w:ilvl w:val="1"/>
          <w:numId w:val="247"/>
        </w:numPr>
        <w:tabs>
          <w:tab w:pos="1146" w:val="left" w:leader="none"/>
        </w:tabs>
        <w:spacing w:line="240" w:lineRule="auto" w:before="204" w:after="0"/>
        <w:ind w:left="1146" w:right="0" w:hanging="426"/>
        <w:jc w:val="left"/>
        <w:rPr>
          <w:sz w:val="24"/>
        </w:rPr>
      </w:pPr>
      <w:r>
        <w:rPr>
          <w:sz w:val="24"/>
        </w:rPr>
        <w:t>A</w:t>
      </w:r>
      <w:r>
        <w:rPr>
          <w:spacing w:val="-6"/>
          <w:sz w:val="24"/>
        </w:rPr>
        <w:t> </w:t>
      </w:r>
      <w:r>
        <w:rPr>
          <w:sz w:val="24"/>
        </w:rPr>
        <w:t>business</w:t>
      </w:r>
      <w:r>
        <w:rPr>
          <w:spacing w:val="-3"/>
          <w:sz w:val="24"/>
        </w:rPr>
        <w:t> </w:t>
      </w:r>
      <w:r>
        <w:rPr>
          <w:sz w:val="24"/>
        </w:rPr>
        <w:t>endeavor</w:t>
      </w:r>
      <w:r>
        <w:rPr>
          <w:spacing w:val="-2"/>
          <w:sz w:val="24"/>
        </w:rPr>
        <w:t> </w:t>
      </w:r>
      <w:r>
        <w:rPr>
          <w:sz w:val="24"/>
        </w:rPr>
        <w:t>that</w:t>
      </w:r>
      <w:r>
        <w:rPr>
          <w:spacing w:val="-2"/>
          <w:sz w:val="24"/>
        </w:rPr>
        <w:t> </w:t>
      </w:r>
      <w:r>
        <w:rPr>
          <w:sz w:val="24"/>
        </w:rPr>
        <w:t>does</w:t>
      </w:r>
      <w:r>
        <w:rPr>
          <w:spacing w:val="-3"/>
          <w:sz w:val="24"/>
        </w:rPr>
        <w:t> </w:t>
      </w:r>
      <w:r>
        <w:rPr>
          <w:sz w:val="24"/>
        </w:rPr>
        <w:t>not</w:t>
      </w:r>
      <w:r>
        <w:rPr>
          <w:spacing w:val="-2"/>
          <w:sz w:val="24"/>
        </w:rPr>
        <w:t> </w:t>
      </w:r>
      <w:r>
        <w:rPr>
          <w:sz w:val="24"/>
        </w:rPr>
        <w:t>have</w:t>
      </w:r>
      <w:r>
        <w:rPr>
          <w:spacing w:val="-4"/>
          <w:sz w:val="24"/>
        </w:rPr>
        <w:t> </w:t>
      </w:r>
      <w:r>
        <w:rPr>
          <w:sz w:val="24"/>
        </w:rPr>
        <w:t>an</w:t>
      </w:r>
      <w:r>
        <w:rPr>
          <w:spacing w:val="-3"/>
          <w:sz w:val="24"/>
        </w:rPr>
        <w:t> </w:t>
      </w:r>
      <w:r>
        <w:rPr>
          <w:sz w:val="24"/>
        </w:rPr>
        <w:t>agency</w:t>
      </w:r>
      <w:r>
        <w:rPr>
          <w:spacing w:val="-3"/>
          <w:sz w:val="24"/>
        </w:rPr>
        <w:t> </w:t>
      </w:r>
      <w:r>
        <w:rPr>
          <w:sz w:val="24"/>
        </w:rPr>
        <w:t>approved</w:t>
      </w:r>
      <w:r>
        <w:rPr>
          <w:spacing w:val="-3"/>
          <w:sz w:val="24"/>
        </w:rPr>
        <w:t> </w:t>
      </w:r>
      <w:r>
        <w:rPr>
          <w:sz w:val="24"/>
        </w:rPr>
        <w:t>business</w:t>
      </w:r>
      <w:r>
        <w:rPr>
          <w:spacing w:val="-3"/>
          <w:sz w:val="24"/>
        </w:rPr>
        <w:t> </w:t>
      </w:r>
      <w:r>
        <w:rPr>
          <w:spacing w:val="-2"/>
          <w:sz w:val="24"/>
        </w:rPr>
        <w:t>plan.</w:t>
      </w:r>
    </w:p>
    <w:p>
      <w:pPr>
        <w:pStyle w:val="ListParagraph"/>
        <w:numPr>
          <w:ilvl w:val="1"/>
          <w:numId w:val="247"/>
        </w:numPr>
        <w:tabs>
          <w:tab w:pos="1146" w:val="left" w:leader="none"/>
        </w:tabs>
        <w:spacing w:line="208" w:lineRule="auto" w:before="233" w:after="0"/>
        <w:ind w:left="720" w:right="792" w:firstLine="0"/>
        <w:jc w:val="left"/>
        <w:rPr>
          <w:sz w:val="24"/>
        </w:rPr>
      </w:pPr>
      <w:r>
        <w:rPr>
          <w:sz w:val="24"/>
        </w:rPr>
        <w:t>Any</w:t>
      </w:r>
      <w:r>
        <w:rPr>
          <w:spacing w:val="-4"/>
          <w:sz w:val="24"/>
        </w:rPr>
        <w:t> </w:t>
      </w:r>
      <w:r>
        <w:rPr>
          <w:sz w:val="24"/>
        </w:rPr>
        <w:t>business</w:t>
      </w:r>
      <w:r>
        <w:rPr>
          <w:spacing w:val="-4"/>
          <w:sz w:val="24"/>
        </w:rPr>
        <w:t> </w:t>
      </w:r>
      <w:r>
        <w:rPr>
          <w:sz w:val="24"/>
        </w:rPr>
        <w:t>activity</w:t>
      </w:r>
      <w:r>
        <w:rPr>
          <w:spacing w:val="-4"/>
          <w:sz w:val="24"/>
        </w:rPr>
        <w:t> </w:t>
      </w:r>
      <w:r>
        <w:rPr>
          <w:sz w:val="24"/>
        </w:rPr>
        <w:t>related</w:t>
      </w:r>
      <w:r>
        <w:rPr>
          <w:spacing w:val="-4"/>
          <w:sz w:val="24"/>
        </w:rPr>
        <w:t> </w:t>
      </w:r>
      <w:r>
        <w:rPr>
          <w:sz w:val="24"/>
        </w:rPr>
        <w:t>to</w:t>
      </w:r>
      <w:r>
        <w:rPr>
          <w:spacing w:val="-4"/>
          <w:sz w:val="24"/>
        </w:rPr>
        <w:t> </w:t>
      </w:r>
      <w:r>
        <w:rPr>
          <w:sz w:val="24"/>
        </w:rPr>
        <w:t>the</w:t>
      </w:r>
      <w:r>
        <w:rPr>
          <w:spacing w:val="-4"/>
          <w:sz w:val="24"/>
        </w:rPr>
        <w:t> </w:t>
      </w:r>
      <w:r>
        <w:rPr>
          <w:sz w:val="24"/>
        </w:rPr>
        <w:t>Marijuana</w:t>
      </w:r>
      <w:r>
        <w:rPr>
          <w:spacing w:val="-4"/>
          <w:sz w:val="24"/>
        </w:rPr>
        <w:t> </w:t>
      </w:r>
      <w:r>
        <w:rPr>
          <w:sz w:val="24"/>
        </w:rPr>
        <w:t>business</w:t>
      </w:r>
      <w:r>
        <w:rPr>
          <w:spacing w:val="-4"/>
          <w:sz w:val="24"/>
        </w:rPr>
        <w:t> </w:t>
      </w:r>
      <w:r>
        <w:rPr>
          <w:sz w:val="24"/>
        </w:rPr>
        <w:t>including</w:t>
      </w:r>
      <w:r>
        <w:rPr>
          <w:spacing w:val="-4"/>
          <w:sz w:val="24"/>
        </w:rPr>
        <w:t> </w:t>
      </w:r>
      <w:r>
        <w:rPr>
          <w:sz w:val="24"/>
        </w:rPr>
        <w:t>the</w:t>
      </w:r>
      <w:r>
        <w:rPr>
          <w:spacing w:val="-4"/>
          <w:sz w:val="24"/>
        </w:rPr>
        <w:t> </w:t>
      </w:r>
      <w:r>
        <w:rPr>
          <w:sz w:val="24"/>
        </w:rPr>
        <w:t>production, distribution and/or sale of marijuana products.</w:t>
      </w:r>
    </w:p>
    <w:p>
      <w:pPr>
        <w:pStyle w:val="ListParagraph"/>
        <w:numPr>
          <w:ilvl w:val="1"/>
          <w:numId w:val="247"/>
        </w:numPr>
        <w:tabs>
          <w:tab w:pos="1279" w:val="left" w:leader="none"/>
        </w:tabs>
        <w:spacing w:line="208" w:lineRule="auto" w:before="240" w:after="0"/>
        <w:ind w:left="720" w:right="1178" w:firstLine="0"/>
        <w:jc w:val="left"/>
        <w:rPr>
          <w:sz w:val="24"/>
        </w:rPr>
      </w:pPr>
      <w:r>
        <w:rPr>
          <w:sz w:val="24"/>
        </w:rPr>
        <w:t>DRS</w:t>
      </w:r>
      <w:r>
        <w:rPr>
          <w:spacing w:val="-3"/>
          <w:sz w:val="24"/>
        </w:rPr>
        <w:t> </w:t>
      </w:r>
      <w:r>
        <w:rPr>
          <w:sz w:val="24"/>
        </w:rPr>
        <w:t>will</w:t>
      </w:r>
      <w:r>
        <w:rPr>
          <w:spacing w:val="-3"/>
          <w:sz w:val="24"/>
        </w:rPr>
        <w:t> </w:t>
      </w:r>
      <w:r>
        <w:rPr>
          <w:sz w:val="24"/>
        </w:rPr>
        <w:t>not</w:t>
      </w:r>
      <w:r>
        <w:rPr>
          <w:spacing w:val="-2"/>
          <w:sz w:val="24"/>
        </w:rPr>
        <w:t> </w:t>
      </w:r>
      <w:r>
        <w:rPr>
          <w:sz w:val="24"/>
        </w:rPr>
        <w:t>assist</w:t>
      </w:r>
      <w:r>
        <w:rPr>
          <w:spacing w:val="-2"/>
          <w:sz w:val="24"/>
        </w:rPr>
        <w:t> </w:t>
      </w:r>
      <w:r>
        <w:rPr>
          <w:sz w:val="24"/>
        </w:rPr>
        <w:t>with</w:t>
      </w:r>
      <w:r>
        <w:rPr>
          <w:spacing w:val="-3"/>
          <w:sz w:val="24"/>
        </w:rPr>
        <w:t> </w:t>
      </w:r>
      <w:r>
        <w:rPr>
          <w:sz w:val="24"/>
        </w:rPr>
        <w:t>the</w:t>
      </w:r>
      <w:r>
        <w:rPr>
          <w:spacing w:val="-4"/>
          <w:sz w:val="24"/>
        </w:rPr>
        <w:t> </w:t>
      </w:r>
      <w:r>
        <w:rPr>
          <w:sz w:val="24"/>
        </w:rPr>
        <w:t>purchase</w:t>
      </w:r>
      <w:r>
        <w:rPr>
          <w:spacing w:val="-3"/>
          <w:sz w:val="24"/>
        </w:rPr>
        <w:t> </w:t>
      </w:r>
      <w:r>
        <w:rPr>
          <w:sz w:val="24"/>
        </w:rPr>
        <w:t>of</w:t>
      </w:r>
      <w:r>
        <w:rPr>
          <w:spacing w:val="-2"/>
          <w:sz w:val="24"/>
        </w:rPr>
        <w:t> </w:t>
      </w:r>
      <w:r>
        <w:rPr>
          <w:sz w:val="24"/>
        </w:rPr>
        <w:t>a</w:t>
      </w:r>
      <w:r>
        <w:rPr>
          <w:spacing w:val="-4"/>
          <w:sz w:val="24"/>
        </w:rPr>
        <w:t> </w:t>
      </w:r>
      <w:r>
        <w:rPr>
          <w:sz w:val="24"/>
        </w:rPr>
        <w:t>franchise</w:t>
      </w:r>
      <w:r>
        <w:rPr>
          <w:spacing w:val="-3"/>
          <w:sz w:val="24"/>
        </w:rPr>
        <w:t> </w:t>
      </w:r>
      <w:r>
        <w:rPr>
          <w:sz w:val="24"/>
        </w:rPr>
        <w:t>business</w:t>
      </w:r>
      <w:r>
        <w:rPr>
          <w:spacing w:val="-2"/>
          <w:sz w:val="24"/>
        </w:rPr>
        <w:t> </w:t>
      </w:r>
      <w:r>
        <w:rPr>
          <w:sz w:val="24"/>
        </w:rPr>
        <w:t>or</w:t>
      </w:r>
      <w:r>
        <w:rPr>
          <w:spacing w:val="-2"/>
          <w:sz w:val="24"/>
        </w:rPr>
        <w:t> </w:t>
      </w:r>
      <w:r>
        <w:rPr>
          <w:sz w:val="24"/>
        </w:rPr>
        <w:t>any</w:t>
      </w:r>
      <w:r>
        <w:rPr>
          <w:spacing w:val="-3"/>
          <w:sz w:val="24"/>
        </w:rPr>
        <w:t> </w:t>
      </w:r>
      <w:r>
        <w:rPr>
          <w:sz w:val="24"/>
        </w:rPr>
        <w:t>type</w:t>
      </w:r>
      <w:r>
        <w:rPr>
          <w:spacing w:val="-4"/>
          <w:sz w:val="24"/>
        </w:rPr>
        <w:t> </w:t>
      </w:r>
      <w:r>
        <w:rPr>
          <w:sz w:val="24"/>
        </w:rPr>
        <w:t>of pyramid business arrangement.</w:t>
      </w:r>
    </w:p>
    <w:p>
      <w:pPr>
        <w:pStyle w:val="ListParagraph"/>
        <w:numPr>
          <w:ilvl w:val="1"/>
          <w:numId w:val="247"/>
        </w:numPr>
        <w:tabs>
          <w:tab w:pos="1279" w:val="left" w:leader="none"/>
        </w:tabs>
        <w:spacing w:line="240" w:lineRule="auto" w:before="210" w:after="0"/>
        <w:ind w:left="1279" w:right="0" w:hanging="559"/>
        <w:jc w:val="left"/>
        <w:rPr>
          <w:sz w:val="24"/>
        </w:rPr>
      </w:pPr>
      <w:r>
        <w:rPr>
          <w:sz w:val="24"/>
        </w:rPr>
        <w:t>The</w:t>
      </w:r>
      <w:r>
        <w:rPr>
          <w:spacing w:val="-3"/>
          <w:sz w:val="24"/>
        </w:rPr>
        <w:t> </w:t>
      </w:r>
      <w:r>
        <w:rPr>
          <w:sz w:val="24"/>
        </w:rPr>
        <w:t>purchase</w:t>
      </w:r>
      <w:r>
        <w:rPr>
          <w:spacing w:val="-3"/>
          <w:sz w:val="24"/>
        </w:rPr>
        <w:t> </w:t>
      </w:r>
      <w:r>
        <w:rPr>
          <w:sz w:val="24"/>
        </w:rPr>
        <w:t>of</w:t>
      </w:r>
      <w:r>
        <w:rPr>
          <w:spacing w:val="-4"/>
          <w:sz w:val="24"/>
        </w:rPr>
        <w:t> </w:t>
      </w:r>
      <w:r>
        <w:rPr>
          <w:sz w:val="24"/>
        </w:rPr>
        <w:t>domestic</w:t>
      </w:r>
      <w:r>
        <w:rPr>
          <w:spacing w:val="-3"/>
          <w:sz w:val="24"/>
        </w:rPr>
        <w:t> </w:t>
      </w:r>
      <w:r>
        <w:rPr>
          <w:sz w:val="24"/>
        </w:rPr>
        <w:t>animals</w:t>
      </w:r>
      <w:r>
        <w:rPr>
          <w:spacing w:val="-3"/>
          <w:sz w:val="24"/>
        </w:rPr>
        <w:t> </w:t>
      </w:r>
      <w:r>
        <w:rPr>
          <w:sz w:val="24"/>
        </w:rPr>
        <w:t>or</w:t>
      </w:r>
      <w:r>
        <w:rPr>
          <w:spacing w:val="-2"/>
          <w:sz w:val="24"/>
        </w:rPr>
        <w:t> livestock.</w:t>
      </w:r>
    </w:p>
    <w:p>
      <w:pPr>
        <w:pStyle w:val="ListParagraph"/>
        <w:numPr>
          <w:ilvl w:val="0"/>
          <w:numId w:val="247"/>
        </w:numPr>
        <w:tabs>
          <w:tab w:pos="853" w:val="left" w:leader="none"/>
        </w:tabs>
        <w:spacing w:line="208" w:lineRule="auto" w:before="234" w:after="0"/>
        <w:ind w:left="360" w:right="845" w:firstLine="0"/>
        <w:jc w:val="left"/>
        <w:rPr>
          <w:sz w:val="24"/>
        </w:rPr>
      </w:pPr>
      <w:r>
        <w:rPr>
          <w:sz w:val="24"/>
        </w:rPr>
        <w:t>Purchases and support services. All Agency purchases for a plan with a goal of self-employment</w:t>
      </w:r>
      <w:r>
        <w:rPr>
          <w:spacing w:val="-3"/>
          <w:sz w:val="24"/>
        </w:rPr>
        <w:t> </w:t>
      </w:r>
      <w:r>
        <w:rPr>
          <w:sz w:val="24"/>
        </w:rPr>
        <w:t>will</w:t>
      </w:r>
      <w:r>
        <w:rPr>
          <w:spacing w:val="-4"/>
          <w:sz w:val="24"/>
        </w:rPr>
        <w:t> </w:t>
      </w:r>
      <w:r>
        <w:rPr>
          <w:sz w:val="24"/>
        </w:rPr>
        <w:t>be</w:t>
      </w:r>
      <w:r>
        <w:rPr>
          <w:spacing w:val="-4"/>
          <w:sz w:val="24"/>
        </w:rPr>
        <w:t> </w:t>
      </w:r>
      <w:r>
        <w:rPr>
          <w:sz w:val="24"/>
        </w:rPr>
        <w:t>in</w:t>
      </w:r>
      <w:r>
        <w:rPr>
          <w:spacing w:val="-4"/>
          <w:sz w:val="24"/>
        </w:rPr>
        <w:t> </w:t>
      </w:r>
      <w:r>
        <w:rPr>
          <w:sz w:val="24"/>
        </w:rPr>
        <w:t>accordance</w:t>
      </w:r>
      <w:r>
        <w:rPr>
          <w:spacing w:val="-4"/>
          <w:sz w:val="24"/>
        </w:rPr>
        <w:t> </w:t>
      </w:r>
      <w:r>
        <w:rPr>
          <w:sz w:val="24"/>
        </w:rPr>
        <w:t>with</w:t>
      </w:r>
      <w:r>
        <w:rPr>
          <w:spacing w:val="-4"/>
          <w:sz w:val="24"/>
        </w:rPr>
        <w:t> </w:t>
      </w:r>
      <w:r>
        <w:rPr>
          <w:sz w:val="24"/>
        </w:rPr>
        <w:t>established</w:t>
      </w:r>
      <w:r>
        <w:rPr>
          <w:spacing w:val="-4"/>
          <w:sz w:val="24"/>
        </w:rPr>
        <w:t> </w:t>
      </w:r>
      <w:r>
        <w:rPr>
          <w:sz w:val="24"/>
        </w:rPr>
        <w:t>purchasing</w:t>
      </w:r>
      <w:r>
        <w:rPr>
          <w:spacing w:val="-3"/>
          <w:sz w:val="24"/>
        </w:rPr>
        <w:t> </w:t>
      </w:r>
      <w:r>
        <w:rPr>
          <w:sz w:val="24"/>
        </w:rPr>
        <w:t>policy</w:t>
      </w:r>
      <w:r>
        <w:rPr>
          <w:spacing w:val="-4"/>
          <w:sz w:val="24"/>
        </w:rPr>
        <w:t> </w:t>
      </w:r>
      <w:r>
        <w:rPr>
          <w:sz w:val="24"/>
        </w:rPr>
        <w:t>regarding</w:t>
      </w:r>
      <w:r>
        <w:rPr>
          <w:spacing w:val="-4"/>
          <w:sz w:val="24"/>
        </w:rPr>
        <w:t> </w:t>
      </w:r>
      <w:r>
        <w:rPr>
          <w:sz w:val="24"/>
        </w:rPr>
        <w:t>the competitive</w:t>
      </w:r>
      <w:r>
        <w:rPr>
          <w:spacing w:val="-1"/>
          <w:sz w:val="24"/>
        </w:rPr>
        <w:t> </w:t>
      </w:r>
      <w:r>
        <w:rPr>
          <w:sz w:val="24"/>
        </w:rPr>
        <w:t>bid</w:t>
      </w:r>
      <w:r>
        <w:rPr>
          <w:spacing w:val="-1"/>
          <w:sz w:val="24"/>
        </w:rPr>
        <w:t> </w:t>
      </w:r>
      <w:r>
        <w:rPr>
          <w:sz w:val="24"/>
        </w:rPr>
        <w:t>process</w:t>
      </w:r>
      <w:r>
        <w:rPr>
          <w:spacing w:val="-1"/>
          <w:sz w:val="24"/>
        </w:rPr>
        <w:t> </w:t>
      </w:r>
      <w:r>
        <w:rPr>
          <w:sz w:val="24"/>
        </w:rPr>
        <w:t>and</w:t>
      </w:r>
      <w:r>
        <w:rPr>
          <w:spacing w:val="-1"/>
          <w:sz w:val="24"/>
        </w:rPr>
        <w:t> </w:t>
      </w:r>
      <w:r>
        <w:rPr>
          <w:sz w:val="24"/>
        </w:rPr>
        <w:t>referrals</w:t>
      </w:r>
      <w:r>
        <w:rPr>
          <w:spacing w:val="-1"/>
          <w:sz w:val="24"/>
        </w:rPr>
        <w:t> </w:t>
      </w:r>
      <w:r>
        <w:rPr>
          <w:sz w:val="24"/>
        </w:rPr>
        <w:t>to</w:t>
      </w:r>
      <w:r>
        <w:rPr>
          <w:spacing w:val="-1"/>
          <w:sz w:val="24"/>
        </w:rPr>
        <w:t> </w:t>
      </w:r>
      <w:r>
        <w:rPr>
          <w:sz w:val="24"/>
        </w:rPr>
        <w:t>the</w:t>
      </w:r>
      <w:r>
        <w:rPr>
          <w:spacing w:val="-1"/>
          <w:sz w:val="24"/>
        </w:rPr>
        <w:t> </w:t>
      </w:r>
      <w:r>
        <w:rPr>
          <w:sz w:val="24"/>
        </w:rPr>
        <w:t>State</w:t>
      </w:r>
      <w:r>
        <w:rPr>
          <w:spacing w:val="-1"/>
          <w:sz w:val="24"/>
        </w:rPr>
        <w:t> </w:t>
      </w:r>
      <w:r>
        <w:rPr>
          <w:sz w:val="24"/>
        </w:rPr>
        <w:t>Office</w:t>
      </w:r>
      <w:r>
        <w:rPr>
          <w:spacing w:val="-2"/>
          <w:sz w:val="24"/>
        </w:rPr>
        <w:t> </w:t>
      </w:r>
      <w:r>
        <w:rPr>
          <w:sz w:val="24"/>
        </w:rPr>
        <w:t>Purchasing Unit. Any</w:t>
      </w:r>
      <w:r>
        <w:rPr>
          <w:spacing w:val="-1"/>
          <w:sz w:val="24"/>
        </w:rPr>
        <w:t> </w:t>
      </w:r>
      <w:r>
        <w:rPr>
          <w:sz w:val="24"/>
        </w:rPr>
        <w:t>requests for assistance with maintenance or transportation will be required to meet established policy guidelines for these support services.</w:t>
      </w:r>
    </w:p>
    <w:p>
      <w:pPr>
        <w:pStyle w:val="ListParagraph"/>
        <w:numPr>
          <w:ilvl w:val="0"/>
          <w:numId w:val="247"/>
        </w:numPr>
        <w:tabs>
          <w:tab w:pos="786" w:val="left" w:leader="none"/>
        </w:tabs>
        <w:spacing w:line="208" w:lineRule="auto" w:before="239" w:after="0"/>
        <w:ind w:left="360" w:right="751" w:firstLine="0"/>
        <w:jc w:val="left"/>
        <w:rPr>
          <w:sz w:val="24"/>
        </w:rPr>
      </w:pPr>
      <w:r>
        <w:rPr>
          <w:sz w:val="24"/>
        </w:rPr>
        <w:t>The</w:t>
      </w:r>
      <w:r>
        <w:rPr>
          <w:spacing w:val="-4"/>
          <w:sz w:val="24"/>
        </w:rPr>
        <w:t> </w:t>
      </w:r>
      <w:r>
        <w:rPr>
          <w:sz w:val="24"/>
        </w:rPr>
        <w:t>counselor</w:t>
      </w:r>
      <w:r>
        <w:rPr>
          <w:spacing w:val="-3"/>
          <w:sz w:val="24"/>
        </w:rPr>
        <w:t> </w:t>
      </w:r>
      <w:r>
        <w:rPr>
          <w:sz w:val="24"/>
        </w:rPr>
        <w:t>will</w:t>
      </w:r>
      <w:r>
        <w:rPr>
          <w:spacing w:val="-3"/>
          <w:sz w:val="24"/>
        </w:rPr>
        <w:t> </w:t>
      </w:r>
      <w:r>
        <w:rPr>
          <w:sz w:val="24"/>
        </w:rPr>
        <w:t>continue</w:t>
      </w:r>
      <w:r>
        <w:rPr>
          <w:spacing w:val="-4"/>
          <w:sz w:val="24"/>
        </w:rPr>
        <w:t> </w:t>
      </w:r>
      <w:r>
        <w:rPr>
          <w:sz w:val="24"/>
        </w:rPr>
        <w:t>to</w:t>
      </w:r>
      <w:r>
        <w:rPr>
          <w:spacing w:val="-4"/>
          <w:sz w:val="24"/>
        </w:rPr>
        <w:t> </w:t>
      </w:r>
      <w:r>
        <w:rPr>
          <w:sz w:val="24"/>
        </w:rPr>
        <w:t>be</w:t>
      </w:r>
      <w:r>
        <w:rPr>
          <w:spacing w:val="-4"/>
          <w:sz w:val="24"/>
        </w:rPr>
        <w:t> </w:t>
      </w:r>
      <w:r>
        <w:rPr>
          <w:sz w:val="24"/>
        </w:rPr>
        <w:t>available</w:t>
      </w:r>
      <w:r>
        <w:rPr>
          <w:spacing w:val="-4"/>
          <w:sz w:val="24"/>
        </w:rPr>
        <w:t> </w:t>
      </w:r>
      <w:r>
        <w:rPr>
          <w:sz w:val="24"/>
        </w:rPr>
        <w:t>for</w:t>
      </w:r>
      <w:r>
        <w:rPr>
          <w:spacing w:val="-3"/>
          <w:sz w:val="24"/>
        </w:rPr>
        <w:t> </w:t>
      </w:r>
      <w:r>
        <w:rPr>
          <w:sz w:val="24"/>
        </w:rPr>
        <w:t>technical</w:t>
      </w:r>
      <w:r>
        <w:rPr>
          <w:spacing w:val="-4"/>
          <w:sz w:val="24"/>
        </w:rPr>
        <w:t> </w:t>
      </w:r>
      <w:r>
        <w:rPr>
          <w:sz w:val="24"/>
        </w:rPr>
        <w:t>assistance</w:t>
      </w:r>
      <w:r>
        <w:rPr>
          <w:spacing w:val="-4"/>
          <w:sz w:val="24"/>
        </w:rPr>
        <w:t> </w:t>
      </w:r>
      <w:r>
        <w:rPr>
          <w:sz w:val="24"/>
        </w:rPr>
        <w:t>upon</w:t>
      </w:r>
      <w:r>
        <w:rPr>
          <w:spacing w:val="-3"/>
          <w:sz w:val="24"/>
        </w:rPr>
        <w:t> </w:t>
      </w:r>
      <w:r>
        <w:rPr>
          <w:sz w:val="24"/>
        </w:rPr>
        <w:t>completion of</w:t>
      </w:r>
      <w:r>
        <w:rPr>
          <w:spacing w:val="-3"/>
          <w:sz w:val="24"/>
        </w:rPr>
        <w:t> </w:t>
      </w:r>
      <w:r>
        <w:rPr>
          <w:sz w:val="24"/>
        </w:rPr>
        <w:t>approved</w:t>
      </w:r>
      <w:r>
        <w:rPr>
          <w:spacing w:val="-3"/>
          <w:sz w:val="24"/>
        </w:rPr>
        <w:t> </w:t>
      </w:r>
      <w:r>
        <w:rPr>
          <w:sz w:val="24"/>
        </w:rPr>
        <w:t>purchases.</w:t>
      </w:r>
      <w:r>
        <w:rPr>
          <w:spacing w:val="-3"/>
          <w:sz w:val="24"/>
        </w:rPr>
        <w:t> </w:t>
      </w:r>
      <w:r>
        <w:rPr>
          <w:sz w:val="24"/>
        </w:rPr>
        <w:t>Counselor</w:t>
      </w:r>
      <w:r>
        <w:rPr>
          <w:spacing w:val="-3"/>
          <w:sz w:val="24"/>
        </w:rPr>
        <w:t> </w:t>
      </w:r>
      <w:r>
        <w:rPr>
          <w:sz w:val="24"/>
        </w:rPr>
        <w:t>will</w:t>
      </w:r>
      <w:r>
        <w:rPr>
          <w:spacing w:val="-3"/>
          <w:sz w:val="24"/>
        </w:rPr>
        <w:t> </w:t>
      </w:r>
      <w:r>
        <w:rPr>
          <w:sz w:val="24"/>
        </w:rPr>
        <w:t>review</w:t>
      </w:r>
      <w:r>
        <w:rPr>
          <w:spacing w:val="-3"/>
          <w:sz w:val="24"/>
        </w:rPr>
        <w:t> </w:t>
      </w:r>
      <w:r>
        <w:rPr>
          <w:sz w:val="24"/>
        </w:rPr>
        <w:t>with</w:t>
      </w:r>
      <w:r>
        <w:rPr>
          <w:spacing w:val="-3"/>
          <w:sz w:val="24"/>
        </w:rPr>
        <w:t> </w:t>
      </w:r>
      <w:r>
        <w:rPr>
          <w:sz w:val="24"/>
        </w:rPr>
        <w:t>client</w:t>
      </w:r>
      <w:r>
        <w:rPr>
          <w:spacing w:val="-3"/>
          <w:sz w:val="24"/>
        </w:rPr>
        <w:t> </w:t>
      </w:r>
      <w:r>
        <w:rPr>
          <w:sz w:val="24"/>
        </w:rPr>
        <w:t>every</w:t>
      </w:r>
      <w:r>
        <w:rPr>
          <w:spacing w:val="-3"/>
          <w:sz w:val="24"/>
        </w:rPr>
        <w:t> </w:t>
      </w:r>
      <w:r>
        <w:rPr>
          <w:sz w:val="24"/>
        </w:rPr>
        <w:t>3</w:t>
      </w:r>
      <w:r>
        <w:rPr>
          <w:spacing w:val="-4"/>
          <w:sz w:val="24"/>
        </w:rPr>
        <w:t> </w:t>
      </w:r>
      <w:r>
        <w:rPr>
          <w:sz w:val="24"/>
        </w:rPr>
        <w:t>months</w:t>
      </w:r>
      <w:r>
        <w:rPr>
          <w:spacing w:val="-3"/>
          <w:sz w:val="24"/>
        </w:rPr>
        <w:t> </w:t>
      </w:r>
      <w:r>
        <w:rPr>
          <w:sz w:val="24"/>
        </w:rPr>
        <w:t>the</w:t>
      </w:r>
      <w:r>
        <w:rPr>
          <w:spacing w:val="-3"/>
          <w:sz w:val="24"/>
        </w:rPr>
        <w:t> </w:t>
      </w:r>
      <w:r>
        <w:rPr>
          <w:sz w:val="24"/>
        </w:rPr>
        <w:t>progress</w:t>
      </w:r>
      <w:r>
        <w:rPr>
          <w:spacing w:val="-3"/>
          <w:sz w:val="24"/>
        </w:rPr>
        <w:t> </w:t>
      </w:r>
      <w:r>
        <w:rPr>
          <w:sz w:val="24"/>
        </w:rPr>
        <w:t>of the business. This will include copies of the businesses profit and loss statements and record of business performed. The purpose of these reviews is to determine if the involvement in self-employment is allowing the client to substantially increase his/her earnings to achieve self-employment success and be able to meet on-going financial obligations of the business. Should the business not be showing an increase in the income</w:t>
      </w:r>
      <w:r>
        <w:rPr>
          <w:spacing w:val="-2"/>
          <w:sz w:val="24"/>
        </w:rPr>
        <w:t> </w:t>
      </w:r>
      <w:r>
        <w:rPr>
          <w:sz w:val="24"/>
        </w:rPr>
        <w:t>of</w:t>
      </w:r>
      <w:r>
        <w:rPr>
          <w:spacing w:val="-1"/>
          <w:sz w:val="24"/>
        </w:rPr>
        <w:t> </w:t>
      </w:r>
      <w:r>
        <w:rPr>
          <w:sz w:val="24"/>
        </w:rPr>
        <w:t>the</w:t>
      </w:r>
      <w:r>
        <w:rPr>
          <w:spacing w:val="-2"/>
          <w:sz w:val="24"/>
        </w:rPr>
        <w:t> </w:t>
      </w:r>
      <w:r>
        <w:rPr>
          <w:sz w:val="24"/>
        </w:rPr>
        <w:t>client,</w:t>
      </w:r>
      <w:r>
        <w:rPr>
          <w:spacing w:val="-1"/>
          <w:sz w:val="24"/>
        </w:rPr>
        <w:t> </w:t>
      </w:r>
      <w:r>
        <w:rPr>
          <w:sz w:val="24"/>
        </w:rPr>
        <w:t>the</w:t>
      </w:r>
      <w:r>
        <w:rPr>
          <w:spacing w:val="-2"/>
          <w:sz w:val="24"/>
        </w:rPr>
        <w:t> </w:t>
      </w:r>
      <w:r>
        <w:rPr>
          <w:sz w:val="24"/>
        </w:rPr>
        <w:t>counselor</w:t>
      </w:r>
      <w:r>
        <w:rPr>
          <w:spacing w:val="-1"/>
          <w:sz w:val="24"/>
        </w:rPr>
        <w:t> </w:t>
      </w:r>
      <w:r>
        <w:rPr>
          <w:sz w:val="24"/>
        </w:rPr>
        <w:t>will</w:t>
      </w:r>
      <w:r>
        <w:rPr>
          <w:spacing w:val="-2"/>
          <w:sz w:val="24"/>
        </w:rPr>
        <w:t> </w:t>
      </w:r>
      <w:r>
        <w:rPr>
          <w:sz w:val="24"/>
        </w:rPr>
        <w:t>review,</w:t>
      </w:r>
      <w:r>
        <w:rPr>
          <w:spacing w:val="-1"/>
          <w:sz w:val="24"/>
        </w:rPr>
        <w:t> </w:t>
      </w:r>
      <w:r>
        <w:rPr>
          <w:sz w:val="24"/>
        </w:rPr>
        <w:t>with</w:t>
      </w:r>
      <w:r>
        <w:rPr>
          <w:spacing w:val="-2"/>
          <w:sz w:val="24"/>
        </w:rPr>
        <w:t> </w:t>
      </w:r>
      <w:r>
        <w:rPr>
          <w:sz w:val="24"/>
        </w:rPr>
        <w:t>the</w:t>
      </w:r>
      <w:r>
        <w:rPr>
          <w:spacing w:val="-3"/>
          <w:sz w:val="24"/>
        </w:rPr>
        <w:t> </w:t>
      </w:r>
      <w:r>
        <w:rPr>
          <w:sz w:val="24"/>
        </w:rPr>
        <w:t>client,</w:t>
      </w:r>
      <w:r>
        <w:rPr>
          <w:spacing w:val="-1"/>
          <w:sz w:val="24"/>
        </w:rPr>
        <w:t> </w:t>
      </w:r>
      <w:r>
        <w:rPr>
          <w:sz w:val="24"/>
        </w:rPr>
        <w:t>the</w:t>
      </w:r>
      <w:r>
        <w:rPr>
          <w:spacing w:val="-2"/>
          <w:sz w:val="24"/>
        </w:rPr>
        <w:t> </w:t>
      </w:r>
      <w:r>
        <w:rPr>
          <w:sz w:val="24"/>
        </w:rPr>
        <w:t>client's</w:t>
      </w:r>
      <w:r>
        <w:rPr>
          <w:spacing w:val="-2"/>
          <w:sz w:val="24"/>
        </w:rPr>
        <w:t> </w:t>
      </w:r>
      <w:r>
        <w:rPr>
          <w:sz w:val="24"/>
        </w:rPr>
        <w:t>business</w:t>
      </w:r>
      <w:r>
        <w:rPr>
          <w:spacing w:val="-2"/>
          <w:sz w:val="24"/>
        </w:rPr>
        <w:t> </w:t>
      </w:r>
      <w:r>
        <w:rPr>
          <w:sz w:val="24"/>
        </w:rPr>
        <w:t>plans to try to increase the business income. If necessary, the client may be referred to the small business development center or similar program for technical assistance in making changes in business operation to achieve a business profit.</w:t>
      </w:r>
    </w:p>
    <w:p>
      <w:pPr>
        <w:pStyle w:val="ListParagraph"/>
        <w:numPr>
          <w:ilvl w:val="0"/>
          <w:numId w:val="247"/>
        </w:numPr>
        <w:tabs>
          <w:tab w:pos="786" w:val="left" w:leader="none"/>
        </w:tabs>
        <w:spacing w:line="208" w:lineRule="auto" w:before="239" w:after="0"/>
        <w:ind w:left="360" w:right="883" w:firstLine="0"/>
        <w:jc w:val="both"/>
        <w:rPr>
          <w:sz w:val="24"/>
        </w:rPr>
      </w:pPr>
      <w:r>
        <w:rPr>
          <w:sz w:val="24"/>
        </w:rPr>
        <w:t>As</w:t>
      </w:r>
      <w:r>
        <w:rPr>
          <w:spacing w:val="-3"/>
          <w:sz w:val="24"/>
        </w:rPr>
        <w:t> </w:t>
      </w:r>
      <w:r>
        <w:rPr>
          <w:sz w:val="24"/>
        </w:rPr>
        <w:t>stated</w:t>
      </w:r>
      <w:r>
        <w:rPr>
          <w:spacing w:val="-3"/>
          <w:sz w:val="24"/>
        </w:rPr>
        <w:t> </w:t>
      </w:r>
      <w:r>
        <w:rPr>
          <w:sz w:val="24"/>
        </w:rPr>
        <w:t>in</w:t>
      </w:r>
      <w:r>
        <w:rPr>
          <w:spacing w:val="-3"/>
          <w:sz w:val="24"/>
        </w:rPr>
        <w:t> </w:t>
      </w:r>
      <w:r>
        <w:rPr>
          <w:sz w:val="24"/>
        </w:rPr>
        <w:t>the</w:t>
      </w:r>
      <w:r>
        <w:rPr>
          <w:spacing w:val="-3"/>
          <w:sz w:val="24"/>
        </w:rPr>
        <w:t> </w:t>
      </w:r>
      <w:r>
        <w:rPr>
          <w:sz w:val="24"/>
        </w:rPr>
        <w:t>IPE,</w:t>
      </w:r>
      <w:r>
        <w:rPr>
          <w:spacing w:val="-2"/>
          <w:sz w:val="24"/>
        </w:rPr>
        <w:t> </w:t>
      </w:r>
      <w:r>
        <w:rPr>
          <w:sz w:val="24"/>
        </w:rPr>
        <w:t>this</w:t>
      </w:r>
      <w:r>
        <w:rPr>
          <w:spacing w:val="-3"/>
          <w:sz w:val="24"/>
        </w:rPr>
        <w:t> </w:t>
      </w:r>
      <w:r>
        <w:rPr>
          <w:sz w:val="24"/>
        </w:rPr>
        <w:t>case</w:t>
      </w:r>
      <w:r>
        <w:rPr>
          <w:spacing w:val="-3"/>
          <w:sz w:val="24"/>
        </w:rPr>
        <w:t> </w:t>
      </w:r>
      <w:r>
        <w:rPr>
          <w:sz w:val="24"/>
        </w:rPr>
        <w:t>would</w:t>
      </w:r>
      <w:r>
        <w:rPr>
          <w:spacing w:val="-3"/>
          <w:sz w:val="24"/>
        </w:rPr>
        <w:t> </w:t>
      </w:r>
      <w:r>
        <w:rPr>
          <w:sz w:val="24"/>
        </w:rPr>
        <w:t>be</w:t>
      </w:r>
      <w:r>
        <w:rPr>
          <w:spacing w:val="-2"/>
          <w:sz w:val="24"/>
        </w:rPr>
        <w:t> </w:t>
      </w:r>
      <w:r>
        <w:rPr>
          <w:sz w:val="24"/>
        </w:rPr>
        <w:t>agreed</w:t>
      </w:r>
      <w:r>
        <w:rPr>
          <w:spacing w:val="-3"/>
          <w:sz w:val="24"/>
        </w:rPr>
        <w:t> </w:t>
      </w:r>
      <w:r>
        <w:rPr>
          <w:sz w:val="24"/>
        </w:rPr>
        <w:t>upon</w:t>
      </w:r>
      <w:r>
        <w:rPr>
          <w:spacing w:val="-3"/>
          <w:sz w:val="24"/>
        </w:rPr>
        <w:t> </w:t>
      </w:r>
      <w:r>
        <w:rPr>
          <w:sz w:val="24"/>
        </w:rPr>
        <w:t>as</w:t>
      </w:r>
      <w:r>
        <w:rPr>
          <w:spacing w:val="-3"/>
          <w:sz w:val="24"/>
        </w:rPr>
        <w:t> </w:t>
      </w:r>
      <w:r>
        <w:rPr>
          <w:sz w:val="24"/>
        </w:rPr>
        <w:t>a</w:t>
      </w:r>
      <w:r>
        <w:rPr>
          <w:spacing w:val="-3"/>
          <w:sz w:val="24"/>
        </w:rPr>
        <w:t> </w:t>
      </w:r>
      <w:r>
        <w:rPr>
          <w:sz w:val="24"/>
        </w:rPr>
        <w:t>successful</w:t>
      </w:r>
      <w:r>
        <w:rPr>
          <w:spacing w:val="-3"/>
          <w:sz w:val="24"/>
        </w:rPr>
        <w:t> </w:t>
      </w:r>
      <w:r>
        <w:rPr>
          <w:sz w:val="24"/>
        </w:rPr>
        <w:t>closure</w:t>
      </w:r>
      <w:r>
        <w:rPr>
          <w:spacing w:val="-3"/>
          <w:sz w:val="24"/>
        </w:rPr>
        <w:t> </w:t>
      </w:r>
      <w:r>
        <w:rPr>
          <w:sz w:val="24"/>
        </w:rPr>
        <w:t>if</w:t>
      </w:r>
      <w:r>
        <w:rPr>
          <w:spacing w:val="-2"/>
          <w:sz w:val="24"/>
        </w:rPr>
        <w:t> </w:t>
      </w:r>
      <w:r>
        <w:rPr>
          <w:sz w:val="24"/>
        </w:rPr>
        <w:t>the business is stable after 90 days and has met</w:t>
      </w:r>
      <w:r>
        <w:rPr>
          <w:spacing w:val="-1"/>
          <w:sz w:val="24"/>
        </w:rPr>
        <w:t> </w:t>
      </w:r>
      <w:r>
        <w:rPr>
          <w:sz w:val="24"/>
        </w:rPr>
        <w:t>the specified level of performance. At</w:t>
      </w:r>
      <w:r>
        <w:rPr>
          <w:spacing w:val="-1"/>
          <w:sz w:val="24"/>
        </w:rPr>
        <w:t> </w:t>
      </w:r>
      <w:r>
        <w:rPr>
          <w:sz w:val="24"/>
        </w:rPr>
        <w:t>the time of case closure, title for all goods purchased by the agency will be released to the </w:t>
      </w:r>
      <w:r>
        <w:rPr>
          <w:spacing w:val="-2"/>
          <w:sz w:val="24"/>
        </w:rPr>
        <w:t>client.</w:t>
      </w:r>
    </w:p>
    <w:p>
      <w:pPr>
        <w:pStyle w:val="ListParagraph"/>
        <w:numPr>
          <w:ilvl w:val="0"/>
          <w:numId w:val="247"/>
        </w:numPr>
        <w:tabs>
          <w:tab w:pos="785" w:val="left" w:leader="none"/>
        </w:tabs>
        <w:spacing w:line="208" w:lineRule="auto" w:before="240" w:after="0"/>
        <w:ind w:left="359" w:right="767" w:firstLine="0"/>
        <w:jc w:val="left"/>
        <w:rPr>
          <w:sz w:val="24"/>
        </w:rPr>
      </w:pPr>
      <w:r>
        <w:rPr>
          <w:sz w:val="24"/>
        </w:rPr>
        <w:t>As stated on the IPE the Counselor will discuss with the client at time of successful case closure that the client will be expected to furnish the Agency with income verification for the first year after successful case closure for reporting purposes as required</w:t>
      </w:r>
      <w:r>
        <w:rPr>
          <w:spacing w:val="-4"/>
          <w:sz w:val="24"/>
        </w:rPr>
        <w:t> </w:t>
      </w:r>
      <w:r>
        <w:rPr>
          <w:sz w:val="24"/>
        </w:rPr>
        <w:t>under</w:t>
      </w:r>
      <w:r>
        <w:rPr>
          <w:spacing w:val="-3"/>
          <w:sz w:val="24"/>
        </w:rPr>
        <w:t> </w:t>
      </w:r>
      <w:r>
        <w:rPr>
          <w:sz w:val="24"/>
        </w:rPr>
        <w:t>WIOA.</w:t>
      </w:r>
      <w:r>
        <w:rPr>
          <w:spacing w:val="-5"/>
          <w:sz w:val="24"/>
        </w:rPr>
        <w:t> </w:t>
      </w:r>
      <w:r>
        <w:rPr>
          <w:sz w:val="24"/>
        </w:rPr>
        <w:t>This</w:t>
      </w:r>
      <w:r>
        <w:rPr>
          <w:spacing w:val="-4"/>
          <w:sz w:val="24"/>
        </w:rPr>
        <w:t> </w:t>
      </w:r>
      <w:r>
        <w:rPr>
          <w:sz w:val="24"/>
        </w:rPr>
        <w:t>income</w:t>
      </w:r>
      <w:r>
        <w:rPr>
          <w:spacing w:val="-4"/>
          <w:sz w:val="24"/>
        </w:rPr>
        <w:t> </w:t>
      </w:r>
      <w:r>
        <w:rPr>
          <w:sz w:val="24"/>
        </w:rPr>
        <w:t>verification</w:t>
      </w:r>
      <w:r>
        <w:rPr>
          <w:spacing w:val="-4"/>
          <w:sz w:val="24"/>
        </w:rPr>
        <w:t> </w:t>
      </w:r>
      <w:r>
        <w:rPr>
          <w:sz w:val="24"/>
        </w:rPr>
        <w:t>can</w:t>
      </w:r>
      <w:r>
        <w:rPr>
          <w:spacing w:val="-4"/>
          <w:sz w:val="24"/>
        </w:rPr>
        <w:t> </w:t>
      </w:r>
      <w:r>
        <w:rPr>
          <w:sz w:val="24"/>
        </w:rPr>
        <w:t>come</w:t>
      </w:r>
      <w:r>
        <w:rPr>
          <w:spacing w:val="-4"/>
          <w:sz w:val="24"/>
        </w:rPr>
        <w:t> </w:t>
      </w:r>
      <w:r>
        <w:rPr>
          <w:sz w:val="24"/>
        </w:rPr>
        <w:t>in</w:t>
      </w:r>
      <w:r>
        <w:rPr>
          <w:spacing w:val="-4"/>
          <w:sz w:val="24"/>
        </w:rPr>
        <w:t> </w:t>
      </w:r>
      <w:r>
        <w:rPr>
          <w:sz w:val="24"/>
        </w:rPr>
        <w:t>the</w:t>
      </w:r>
      <w:r>
        <w:rPr>
          <w:spacing w:val="-4"/>
          <w:sz w:val="24"/>
        </w:rPr>
        <w:t> </w:t>
      </w:r>
      <w:r>
        <w:rPr>
          <w:sz w:val="24"/>
        </w:rPr>
        <w:t>form</w:t>
      </w:r>
      <w:r>
        <w:rPr>
          <w:spacing w:val="-3"/>
          <w:sz w:val="24"/>
        </w:rPr>
        <w:t> </w:t>
      </w:r>
      <w:r>
        <w:rPr>
          <w:sz w:val="24"/>
        </w:rPr>
        <w:t>of</w:t>
      </w:r>
      <w:r>
        <w:rPr>
          <w:spacing w:val="-3"/>
          <w:sz w:val="24"/>
        </w:rPr>
        <w:t> </w:t>
      </w:r>
      <w:r>
        <w:rPr>
          <w:sz w:val="24"/>
        </w:rPr>
        <w:t>self-employment worksheets signed and attested to by program participants or other approved Agency forms of verification.</w:t>
      </w:r>
    </w:p>
    <w:p>
      <w:pPr>
        <w:pStyle w:val="BodyText"/>
        <w:spacing w:before="210"/>
        <w:ind w:left="359"/>
      </w:pPr>
      <w:r>
        <w:rPr/>
        <w:t>Instructions</w:t>
      </w:r>
      <w:r>
        <w:rPr>
          <w:spacing w:val="-5"/>
        </w:rPr>
        <w:t> </w:t>
      </w:r>
      <w:r>
        <w:rPr/>
        <w:t>to</w:t>
      </w:r>
      <w:r>
        <w:rPr>
          <w:spacing w:val="-2"/>
        </w:rPr>
        <w:t> </w:t>
      </w:r>
      <w:r>
        <w:rPr>
          <w:spacing w:val="-4"/>
        </w:rPr>
        <w:t>Staff</w:t>
      </w:r>
    </w:p>
    <w:p>
      <w:pPr>
        <w:pStyle w:val="BodyText"/>
        <w:spacing w:line="208" w:lineRule="auto" w:before="233"/>
        <w:ind w:left="1151" w:right="775" w:hanging="360"/>
      </w:pPr>
      <w:r>
        <w:rPr/>
        <w:t>1.</w:t>
      </w:r>
      <w:r>
        <w:rPr>
          <w:spacing w:val="80"/>
        </w:rPr>
        <w:t> </w:t>
      </w:r>
      <w:r>
        <w:rPr/>
        <w:t>When tools and/or equipment are purchased as part of a self-employment program,</w:t>
      </w:r>
      <w:r>
        <w:rPr>
          <w:spacing w:val="-3"/>
        </w:rPr>
        <w:t> </w:t>
      </w:r>
      <w:r>
        <w:rPr/>
        <w:t>counselor</w:t>
      </w:r>
      <w:r>
        <w:rPr>
          <w:spacing w:val="-3"/>
        </w:rPr>
        <w:t> </w:t>
      </w:r>
      <w:r>
        <w:rPr/>
        <w:t>will</w:t>
      </w:r>
      <w:r>
        <w:rPr>
          <w:spacing w:val="-4"/>
        </w:rPr>
        <w:t> </w:t>
      </w:r>
      <w:r>
        <w:rPr/>
        <w:t>follow</w:t>
      </w:r>
      <w:r>
        <w:rPr>
          <w:spacing w:val="-4"/>
        </w:rPr>
        <w:t> </w:t>
      </w:r>
      <w:r>
        <w:rPr/>
        <w:t>policy</w:t>
      </w:r>
      <w:r>
        <w:rPr>
          <w:spacing w:val="-4"/>
        </w:rPr>
        <w:t> </w:t>
      </w:r>
      <w:r>
        <w:rPr/>
        <w:t>and</w:t>
      </w:r>
      <w:r>
        <w:rPr>
          <w:spacing w:val="-4"/>
        </w:rPr>
        <w:t> </w:t>
      </w:r>
      <w:r>
        <w:rPr/>
        <w:t>procedures</w:t>
      </w:r>
      <w:r>
        <w:rPr>
          <w:spacing w:val="-4"/>
        </w:rPr>
        <w:t> </w:t>
      </w:r>
      <w:r>
        <w:rPr/>
        <w:t>set</w:t>
      </w:r>
      <w:r>
        <w:rPr>
          <w:spacing w:val="-3"/>
        </w:rPr>
        <w:t> </w:t>
      </w:r>
      <w:r>
        <w:rPr/>
        <w:t>forth</w:t>
      </w:r>
      <w:r>
        <w:rPr>
          <w:spacing w:val="-4"/>
        </w:rPr>
        <w:t> </w:t>
      </w:r>
      <w:r>
        <w:rPr/>
        <w:t>in</w:t>
      </w:r>
      <w:r>
        <w:rPr>
          <w:spacing w:val="-4"/>
        </w:rPr>
        <w:t> </w:t>
      </w:r>
      <w:hyperlink w:history="true" w:anchor="_bookmark28">
        <w:r>
          <w:rPr>
            <w:color w:val="0000FF"/>
            <w:u w:val="single" w:color="0000FF"/>
          </w:rPr>
          <w:t>612:10-7-216</w:t>
        </w:r>
      </w:hyperlink>
      <w:r>
        <w:rPr>
          <w:u w:val="none"/>
        </w:rPr>
        <w:t>.</w:t>
      </w:r>
    </w:p>
    <w:p>
      <w:pPr>
        <w:pStyle w:val="BodyText"/>
        <w:spacing w:after="0" w:line="208" w:lineRule="auto"/>
        <w:sectPr>
          <w:pgSz w:w="12240" w:h="15840"/>
          <w:pgMar w:top="1340" w:bottom="280" w:left="1080" w:right="720"/>
        </w:sectPr>
      </w:pPr>
    </w:p>
    <w:p>
      <w:pPr>
        <w:spacing w:before="80"/>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4-3-96</w:t>
      </w:r>
      <w:r>
        <w:rPr>
          <w:sz w:val="22"/>
        </w:rPr>
        <w:tab/>
        <w:t>PT Memo #96-2</w:t>
      </w:r>
    </w:p>
    <w:p>
      <w:pPr>
        <w:tabs>
          <w:tab w:pos="1439" w:val="left" w:leader="none"/>
        </w:tabs>
        <w:spacing w:before="0"/>
        <w:ind w:left="359" w:right="3631" w:firstLine="1080"/>
        <w:jc w:val="left"/>
        <w:rPr>
          <w:sz w:val="22"/>
        </w:rPr>
      </w:pPr>
      <w:r>
        <w:rPr>
          <w:sz w:val="22"/>
        </w:rPr>
        <w:t>Emergency,</w:t>
      </w:r>
      <w:r>
        <w:rPr>
          <w:spacing w:val="-7"/>
          <w:sz w:val="22"/>
        </w:rPr>
        <w:t> </w:t>
      </w:r>
      <w:r>
        <w:rPr>
          <w:sz w:val="22"/>
        </w:rPr>
        <w:t>client</w:t>
      </w:r>
      <w:r>
        <w:rPr>
          <w:spacing w:val="-7"/>
          <w:sz w:val="22"/>
        </w:rPr>
        <w:t> </w:t>
      </w:r>
      <w:r>
        <w:rPr>
          <w:sz w:val="22"/>
        </w:rPr>
        <w:t>responsible</w:t>
      </w:r>
      <w:r>
        <w:rPr>
          <w:spacing w:val="-7"/>
          <w:sz w:val="22"/>
        </w:rPr>
        <w:t> </w:t>
      </w:r>
      <w:r>
        <w:rPr>
          <w:sz w:val="22"/>
        </w:rPr>
        <w:t>for</w:t>
      </w:r>
      <w:r>
        <w:rPr>
          <w:spacing w:val="-7"/>
          <w:sz w:val="22"/>
        </w:rPr>
        <w:t> </w:t>
      </w:r>
      <w:r>
        <w:rPr>
          <w:sz w:val="22"/>
        </w:rPr>
        <w:t>upkeep</w:t>
      </w:r>
      <w:r>
        <w:rPr>
          <w:spacing w:val="-7"/>
          <w:sz w:val="22"/>
        </w:rPr>
        <w:t> </w:t>
      </w:r>
      <w:r>
        <w:rPr>
          <w:sz w:val="22"/>
        </w:rPr>
        <w:t>of</w:t>
      </w:r>
      <w:r>
        <w:rPr>
          <w:spacing w:val="-7"/>
          <w:sz w:val="22"/>
        </w:rPr>
        <w:t> </w:t>
      </w:r>
      <w:r>
        <w:rPr>
          <w:sz w:val="22"/>
        </w:rPr>
        <w:t>equipment </w:t>
      </w:r>
      <w:r>
        <w:rPr>
          <w:spacing w:val="-2"/>
          <w:sz w:val="22"/>
        </w:rPr>
        <w:t>7-1-97</w:t>
      </w:r>
      <w:r>
        <w:rPr>
          <w:sz w:val="22"/>
        </w:rPr>
        <w:tab/>
        <w:t>PT Memo #97-9</w:t>
      </w:r>
    </w:p>
    <w:p>
      <w:pPr>
        <w:tabs>
          <w:tab w:pos="1439" w:val="left" w:leader="none"/>
        </w:tabs>
        <w:spacing w:before="0"/>
        <w:ind w:left="359" w:right="3580" w:firstLine="1080"/>
        <w:jc w:val="left"/>
        <w:rPr>
          <w:sz w:val="22"/>
        </w:rPr>
      </w:pPr>
      <w:r>
        <w:rPr>
          <w:sz w:val="22"/>
        </w:rPr>
        <w:t>Permanent,</w:t>
      </w:r>
      <w:r>
        <w:rPr>
          <w:spacing w:val="-7"/>
          <w:sz w:val="22"/>
        </w:rPr>
        <w:t> </w:t>
      </w:r>
      <w:r>
        <w:rPr>
          <w:sz w:val="22"/>
        </w:rPr>
        <w:t>supersedes</w:t>
      </w:r>
      <w:r>
        <w:rPr>
          <w:spacing w:val="-8"/>
          <w:sz w:val="22"/>
        </w:rPr>
        <w:t> </w:t>
      </w:r>
      <w:r>
        <w:rPr>
          <w:sz w:val="22"/>
        </w:rPr>
        <w:t>emergency</w:t>
      </w:r>
      <w:r>
        <w:rPr>
          <w:spacing w:val="-8"/>
          <w:sz w:val="22"/>
        </w:rPr>
        <w:t> </w:t>
      </w:r>
      <w:r>
        <w:rPr>
          <w:sz w:val="22"/>
        </w:rPr>
        <w:t>rules</w:t>
      </w:r>
      <w:r>
        <w:rPr>
          <w:spacing w:val="-8"/>
          <w:sz w:val="22"/>
        </w:rPr>
        <w:t> </w:t>
      </w:r>
      <w:r>
        <w:rPr>
          <w:sz w:val="22"/>
        </w:rPr>
        <w:t>issued</w:t>
      </w:r>
      <w:r>
        <w:rPr>
          <w:spacing w:val="-8"/>
          <w:sz w:val="22"/>
        </w:rPr>
        <w:t> </w:t>
      </w:r>
      <w:r>
        <w:rPr>
          <w:sz w:val="22"/>
        </w:rPr>
        <w:t>4-3-96 </w:t>
      </w:r>
      <w:r>
        <w:rPr>
          <w:spacing w:val="-2"/>
          <w:sz w:val="22"/>
        </w:rPr>
        <w:t>7-1-07</w:t>
      </w:r>
      <w:r>
        <w:rPr>
          <w:sz w:val="22"/>
        </w:rPr>
        <w:tab/>
        <w:t>PT Memo #08-01</w:t>
      </w:r>
    </w:p>
    <w:p>
      <w:pPr>
        <w:spacing w:line="276" w:lineRule="exact" w:before="1"/>
        <w:ind w:left="1439" w:right="0" w:firstLine="0"/>
        <w:jc w:val="left"/>
        <w:rPr>
          <w:sz w:val="22"/>
        </w:rPr>
      </w:pPr>
      <w:r>
        <w:rPr>
          <w:sz w:val="22"/>
        </w:rPr>
        <w:t>Permanent,</w:t>
      </w:r>
      <w:r>
        <w:rPr>
          <w:spacing w:val="-9"/>
          <w:sz w:val="22"/>
        </w:rPr>
        <w:t> </w:t>
      </w:r>
      <w:r>
        <w:rPr>
          <w:sz w:val="22"/>
        </w:rPr>
        <w:t>eliminated</w:t>
      </w:r>
      <w:r>
        <w:rPr>
          <w:spacing w:val="-9"/>
          <w:sz w:val="22"/>
        </w:rPr>
        <w:t> </w:t>
      </w:r>
      <w:r>
        <w:rPr>
          <w:sz w:val="22"/>
        </w:rPr>
        <w:t>client</w:t>
      </w:r>
      <w:r>
        <w:rPr>
          <w:sz w:val="24"/>
        </w:rPr>
        <w:t>'</w:t>
      </w:r>
      <w:r>
        <w:rPr>
          <w:sz w:val="22"/>
        </w:rPr>
        <w:t>s</w:t>
      </w:r>
      <w:r>
        <w:rPr>
          <w:spacing w:val="-9"/>
          <w:sz w:val="22"/>
        </w:rPr>
        <w:t> </w:t>
      </w:r>
      <w:r>
        <w:rPr>
          <w:sz w:val="22"/>
        </w:rPr>
        <w:t>family</w:t>
      </w:r>
      <w:r>
        <w:rPr>
          <w:spacing w:val="-10"/>
          <w:sz w:val="22"/>
        </w:rPr>
        <w:t> </w:t>
      </w:r>
      <w:r>
        <w:rPr>
          <w:sz w:val="22"/>
        </w:rPr>
        <w:t>as</w:t>
      </w:r>
      <w:r>
        <w:rPr>
          <w:spacing w:val="-9"/>
          <w:sz w:val="22"/>
        </w:rPr>
        <w:t> </w:t>
      </w:r>
      <w:r>
        <w:rPr>
          <w:sz w:val="22"/>
        </w:rPr>
        <w:t>responsible</w:t>
      </w:r>
      <w:r>
        <w:rPr>
          <w:spacing w:val="-9"/>
          <w:sz w:val="22"/>
        </w:rPr>
        <w:t> </w:t>
      </w:r>
      <w:r>
        <w:rPr>
          <w:spacing w:val="-2"/>
          <w:sz w:val="22"/>
        </w:rPr>
        <w:t>party.</w:t>
      </w:r>
    </w:p>
    <w:p>
      <w:pPr>
        <w:pStyle w:val="ListParagraph"/>
        <w:numPr>
          <w:ilvl w:val="2"/>
          <w:numId w:val="248"/>
        </w:numPr>
        <w:tabs>
          <w:tab w:pos="1440" w:val="left" w:leader="none"/>
        </w:tabs>
        <w:spacing w:line="253" w:lineRule="exact" w:before="0" w:after="0"/>
        <w:ind w:left="1440" w:right="0" w:hanging="1080"/>
        <w:jc w:val="left"/>
        <w:rPr>
          <w:sz w:val="22"/>
        </w:rPr>
      </w:pPr>
      <w:r>
        <w:rPr>
          <w:sz w:val="22"/>
        </w:rPr>
        <w:t>PT</w:t>
      </w:r>
      <w:r>
        <w:rPr>
          <w:spacing w:val="-8"/>
          <w:sz w:val="22"/>
        </w:rPr>
        <w:t> </w:t>
      </w:r>
      <w:r>
        <w:rPr>
          <w:sz w:val="22"/>
        </w:rPr>
        <w:t>Memo</w:t>
      </w:r>
      <w:r>
        <w:rPr>
          <w:spacing w:val="-8"/>
          <w:sz w:val="22"/>
        </w:rPr>
        <w:t> </w:t>
      </w:r>
      <w:r>
        <w:rPr>
          <w:sz w:val="22"/>
        </w:rPr>
        <w:t>#10-</w:t>
      </w:r>
      <w:r>
        <w:rPr>
          <w:spacing w:val="-5"/>
          <w:sz w:val="22"/>
        </w:rPr>
        <w:t>02</w:t>
      </w:r>
    </w:p>
    <w:p>
      <w:pPr>
        <w:spacing w:before="0"/>
        <w:ind w:left="1440" w:right="0" w:firstLine="0"/>
        <w:jc w:val="left"/>
        <w:rPr>
          <w:sz w:val="22"/>
        </w:rPr>
      </w:pPr>
      <w:r>
        <w:rPr>
          <w:sz w:val="22"/>
        </w:rPr>
        <w:t>Permanent,</w:t>
      </w:r>
      <w:r>
        <w:rPr>
          <w:spacing w:val="-11"/>
          <w:sz w:val="22"/>
        </w:rPr>
        <w:t> </w:t>
      </w:r>
      <w:r>
        <w:rPr>
          <w:sz w:val="22"/>
        </w:rPr>
        <w:t>clarifying</w:t>
      </w:r>
      <w:r>
        <w:rPr>
          <w:spacing w:val="-12"/>
          <w:sz w:val="22"/>
        </w:rPr>
        <w:t> </w:t>
      </w:r>
      <w:r>
        <w:rPr>
          <w:spacing w:val="-2"/>
          <w:sz w:val="22"/>
        </w:rPr>
        <w:t>language.</w:t>
      </w:r>
    </w:p>
    <w:p>
      <w:pPr>
        <w:tabs>
          <w:tab w:pos="1440" w:val="left" w:leader="none"/>
        </w:tabs>
        <w:spacing w:line="253" w:lineRule="exact" w:before="0"/>
        <w:ind w:left="360" w:right="0" w:firstLine="0"/>
        <w:jc w:val="left"/>
        <w:rPr>
          <w:sz w:val="22"/>
        </w:rPr>
      </w:pPr>
      <w:r>
        <w:rPr>
          <w:spacing w:val="-2"/>
          <w:sz w:val="22"/>
        </w:rPr>
        <w:t>9-30-</w:t>
      </w:r>
      <w:r>
        <w:rPr>
          <w:spacing w:val="-5"/>
          <w:sz w:val="22"/>
        </w:rPr>
        <w:t>19</w:t>
      </w:r>
      <w:r>
        <w:rPr>
          <w:sz w:val="22"/>
        </w:rPr>
        <w:tab/>
        <w:t>Added</w:t>
      </w:r>
      <w:r>
        <w:rPr>
          <w:spacing w:val="-6"/>
          <w:sz w:val="22"/>
        </w:rPr>
        <w:t> </w:t>
      </w:r>
      <w:r>
        <w:rPr>
          <w:sz w:val="22"/>
        </w:rPr>
        <w:t>ITS</w:t>
      </w:r>
      <w:r>
        <w:rPr>
          <w:spacing w:val="-5"/>
          <w:sz w:val="22"/>
        </w:rPr>
        <w:t> #2.</w:t>
      </w:r>
    </w:p>
    <w:p>
      <w:pPr>
        <w:tabs>
          <w:tab w:pos="1440" w:val="left" w:leader="none"/>
        </w:tabs>
        <w:spacing w:line="253" w:lineRule="exact" w:before="0"/>
        <w:ind w:left="360" w:right="0" w:firstLine="0"/>
        <w:jc w:val="left"/>
        <w:rPr>
          <w:sz w:val="22"/>
        </w:rPr>
      </w:pPr>
      <w:r>
        <w:rPr>
          <w:spacing w:val="-2"/>
          <w:sz w:val="22"/>
        </w:rPr>
        <w:t>9-11-</w:t>
      </w:r>
      <w:r>
        <w:rPr>
          <w:spacing w:val="-5"/>
          <w:sz w:val="22"/>
        </w:rPr>
        <w:t>22</w:t>
      </w:r>
      <w:r>
        <w:rPr>
          <w:sz w:val="22"/>
        </w:rPr>
        <w:tab/>
        <w:t>Added</w:t>
      </w:r>
      <w:r>
        <w:rPr>
          <w:spacing w:val="-8"/>
          <w:sz w:val="22"/>
        </w:rPr>
        <w:t> </w:t>
      </w:r>
      <w:r>
        <w:rPr>
          <w:sz w:val="22"/>
        </w:rPr>
        <w:t>new</w:t>
      </w:r>
      <w:r>
        <w:rPr>
          <w:spacing w:val="-9"/>
          <w:sz w:val="22"/>
        </w:rPr>
        <w:t> </w:t>
      </w:r>
      <w:r>
        <w:rPr>
          <w:sz w:val="22"/>
        </w:rPr>
        <w:t>sections</w:t>
      </w:r>
      <w:r>
        <w:rPr>
          <w:spacing w:val="-8"/>
          <w:sz w:val="22"/>
        </w:rPr>
        <w:t> </w:t>
      </w:r>
      <w:r>
        <w:rPr>
          <w:sz w:val="22"/>
        </w:rPr>
        <w:t>(b)-</w:t>
      </w:r>
      <w:r>
        <w:rPr>
          <w:spacing w:val="-4"/>
          <w:sz w:val="22"/>
        </w:rPr>
        <w:t>(p).</w:t>
      </w:r>
    </w:p>
    <w:p>
      <w:pPr>
        <w:pStyle w:val="ListParagraph"/>
        <w:numPr>
          <w:ilvl w:val="2"/>
          <w:numId w:val="239"/>
        </w:numPr>
        <w:tabs>
          <w:tab w:pos="1439" w:val="left" w:leader="none"/>
        </w:tabs>
        <w:spacing w:line="240" w:lineRule="auto" w:before="1" w:after="0"/>
        <w:ind w:left="1439" w:right="0" w:hanging="1079"/>
        <w:jc w:val="left"/>
        <w:rPr>
          <w:sz w:val="24"/>
        </w:rPr>
      </w:pPr>
      <w:r>
        <w:rPr>
          <w:sz w:val="24"/>
        </w:rPr>
        <w:t>Revised</w:t>
      </w:r>
      <w:r>
        <w:rPr>
          <w:spacing w:val="-4"/>
          <w:sz w:val="24"/>
        </w:rPr>
        <w:t> </w:t>
      </w:r>
      <w:r>
        <w:rPr>
          <w:sz w:val="24"/>
        </w:rPr>
        <w:t>removing</w:t>
      </w:r>
      <w:r>
        <w:rPr>
          <w:spacing w:val="-3"/>
          <w:sz w:val="24"/>
        </w:rPr>
        <w:t> </w:t>
      </w:r>
      <w:r>
        <w:rPr>
          <w:sz w:val="24"/>
        </w:rPr>
        <w:t>“BEP”</w:t>
      </w:r>
      <w:r>
        <w:rPr>
          <w:spacing w:val="-2"/>
          <w:sz w:val="24"/>
        </w:rPr>
        <w:t> language.</w:t>
      </w:r>
    </w:p>
    <w:p>
      <w:pPr>
        <w:pStyle w:val="ListParagraph"/>
        <w:spacing w:after="0" w:line="240" w:lineRule="auto"/>
        <w:jc w:val="left"/>
        <w:rPr>
          <w:sz w:val="24"/>
        </w:rPr>
        <w:sectPr>
          <w:pgSz w:w="12240" w:h="15840"/>
          <w:pgMar w:top="1360" w:bottom="280" w:left="1080" w:right="720"/>
        </w:sectPr>
      </w:pPr>
    </w:p>
    <w:p>
      <w:pPr>
        <w:pStyle w:val="Heading2"/>
      </w:pPr>
      <w:bookmarkStart w:name="612:10-7-232.  Placement" w:id="227"/>
      <w:bookmarkEnd w:id="227"/>
      <w:r>
        <w:rPr>
          <w:b w:val="0"/>
        </w:rPr>
      </w:r>
      <w:r>
        <w:rPr/>
        <w:t>612:10-7-232.</w:t>
      </w:r>
      <w:r>
        <w:rPr>
          <w:spacing w:val="58"/>
        </w:rPr>
        <w:t> </w:t>
      </w:r>
      <w:r>
        <w:rPr>
          <w:spacing w:val="-2"/>
        </w:rPr>
        <w:t>Placement</w:t>
      </w:r>
    </w:p>
    <w:p>
      <w:pPr>
        <w:pStyle w:val="ListParagraph"/>
        <w:numPr>
          <w:ilvl w:val="0"/>
          <w:numId w:val="249"/>
        </w:numPr>
        <w:tabs>
          <w:tab w:pos="786" w:val="left" w:leader="none"/>
        </w:tabs>
        <w:spacing w:line="208" w:lineRule="auto" w:before="233" w:after="0"/>
        <w:ind w:left="360" w:right="805" w:firstLine="0"/>
        <w:jc w:val="left"/>
        <w:rPr>
          <w:rFonts w:ascii="Calibri"/>
          <w:b/>
          <w:sz w:val="22"/>
        </w:rPr>
      </w:pPr>
      <w:r>
        <w:rPr>
          <w:sz w:val="24"/>
        </w:rPr>
        <w:t>Placement</w:t>
      </w:r>
      <w:r>
        <w:rPr>
          <w:spacing w:val="-3"/>
          <w:sz w:val="24"/>
        </w:rPr>
        <w:t> </w:t>
      </w:r>
      <w:r>
        <w:rPr>
          <w:sz w:val="24"/>
        </w:rPr>
        <w:t>is</w:t>
      </w:r>
      <w:r>
        <w:rPr>
          <w:spacing w:val="-4"/>
          <w:sz w:val="24"/>
        </w:rPr>
        <w:t> </w:t>
      </w:r>
      <w:r>
        <w:rPr>
          <w:sz w:val="24"/>
        </w:rPr>
        <w:t>the</w:t>
      </w:r>
      <w:r>
        <w:rPr>
          <w:spacing w:val="-4"/>
          <w:sz w:val="24"/>
        </w:rPr>
        <w:t> </w:t>
      </w:r>
      <w:r>
        <w:rPr>
          <w:sz w:val="24"/>
        </w:rPr>
        <w:t>joint</w:t>
      </w:r>
      <w:r>
        <w:rPr>
          <w:spacing w:val="-3"/>
          <w:sz w:val="24"/>
        </w:rPr>
        <w:t> </w:t>
      </w:r>
      <w:r>
        <w:rPr>
          <w:sz w:val="24"/>
        </w:rPr>
        <w:t>responsibility</w:t>
      </w:r>
      <w:r>
        <w:rPr>
          <w:spacing w:val="-4"/>
          <w:sz w:val="24"/>
        </w:rPr>
        <w:t> </w:t>
      </w:r>
      <w:r>
        <w:rPr>
          <w:sz w:val="24"/>
        </w:rPr>
        <w:t>of</w:t>
      </w:r>
      <w:r>
        <w:rPr>
          <w:spacing w:val="-3"/>
          <w:sz w:val="24"/>
        </w:rPr>
        <w:t> </w:t>
      </w:r>
      <w:r>
        <w:rPr>
          <w:sz w:val="24"/>
        </w:rPr>
        <w:t>the</w:t>
      </w:r>
      <w:r>
        <w:rPr>
          <w:spacing w:val="-5"/>
          <w:sz w:val="24"/>
        </w:rPr>
        <w:t> </w:t>
      </w:r>
      <w:r>
        <w:rPr>
          <w:sz w:val="24"/>
        </w:rPr>
        <w:t>counselor</w:t>
      </w:r>
      <w:r>
        <w:rPr>
          <w:spacing w:val="-3"/>
          <w:sz w:val="24"/>
        </w:rPr>
        <w:t> </w:t>
      </w:r>
      <w:r>
        <w:rPr>
          <w:sz w:val="24"/>
        </w:rPr>
        <w:t>and</w:t>
      </w:r>
      <w:r>
        <w:rPr>
          <w:spacing w:val="-4"/>
          <w:sz w:val="24"/>
        </w:rPr>
        <w:t> </w:t>
      </w:r>
      <w:r>
        <w:rPr>
          <w:sz w:val="24"/>
        </w:rPr>
        <w:t>client.</w:t>
      </w:r>
      <w:r>
        <w:rPr>
          <w:spacing w:val="-5"/>
          <w:sz w:val="24"/>
        </w:rPr>
        <w:t> </w:t>
      </w:r>
      <w:r>
        <w:rPr>
          <w:sz w:val="24"/>
        </w:rPr>
        <w:t>The</w:t>
      </w:r>
      <w:r>
        <w:rPr>
          <w:spacing w:val="-4"/>
          <w:sz w:val="24"/>
        </w:rPr>
        <w:t> </w:t>
      </w:r>
      <w:r>
        <w:rPr>
          <w:sz w:val="24"/>
        </w:rPr>
        <w:t>counselor</w:t>
      </w:r>
      <w:r>
        <w:rPr>
          <w:spacing w:val="-3"/>
          <w:sz w:val="24"/>
        </w:rPr>
        <w:t> </w:t>
      </w:r>
      <w:r>
        <w:rPr>
          <w:sz w:val="24"/>
        </w:rPr>
        <w:t>must start preparing the client for placement prior to completion of training or other employment related services. </w:t>
      </w:r>
      <w:r>
        <w:rPr>
          <w:rFonts w:ascii="Calibri"/>
          <w:b/>
          <w:sz w:val="22"/>
        </w:rPr>
        <w:t>1</w:t>
      </w:r>
    </w:p>
    <w:p>
      <w:pPr>
        <w:pStyle w:val="ListParagraph"/>
        <w:numPr>
          <w:ilvl w:val="0"/>
          <w:numId w:val="249"/>
        </w:numPr>
        <w:tabs>
          <w:tab w:pos="786" w:val="left" w:leader="none"/>
        </w:tabs>
        <w:spacing w:line="208" w:lineRule="auto" w:before="231" w:after="0"/>
        <w:ind w:left="360" w:right="1019" w:firstLine="0"/>
        <w:jc w:val="left"/>
        <w:rPr>
          <w:rFonts w:ascii="Calibri"/>
          <w:b/>
          <w:sz w:val="22"/>
        </w:rPr>
      </w:pPr>
      <w:r>
        <w:rPr>
          <w:sz w:val="24"/>
        </w:rPr>
        <w:t>Job placement services may be provided by DRS counselors, job placement specialists employed by the agency, or through procurement of services from other qualified contractors that offer job placement assistance. Job development and placement</w:t>
      </w:r>
      <w:r>
        <w:rPr>
          <w:spacing w:val="-4"/>
          <w:sz w:val="24"/>
        </w:rPr>
        <w:t> </w:t>
      </w:r>
      <w:r>
        <w:rPr>
          <w:sz w:val="24"/>
        </w:rPr>
        <w:t>services</w:t>
      </w:r>
      <w:r>
        <w:rPr>
          <w:spacing w:val="-5"/>
          <w:sz w:val="24"/>
        </w:rPr>
        <w:t> </w:t>
      </w:r>
      <w:r>
        <w:rPr>
          <w:sz w:val="24"/>
        </w:rPr>
        <w:t>are</w:t>
      </w:r>
      <w:r>
        <w:rPr>
          <w:spacing w:val="-5"/>
          <w:sz w:val="24"/>
        </w:rPr>
        <w:t> </w:t>
      </w:r>
      <w:r>
        <w:rPr>
          <w:sz w:val="24"/>
        </w:rPr>
        <w:t>available</w:t>
      </w:r>
      <w:r>
        <w:rPr>
          <w:spacing w:val="-4"/>
          <w:sz w:val="24"/>
        </w:rPr>
        <w:t> </w:t>
      </w:r>
      <w:r>
        <w:rPr>
          <w:sz w:val="24"/>
        </w:rPr>
        <w:t>from</w:t>
      </w:r>
      <w:r>
        <w:rPr>
          <w:spacing w:val="-4"/>
          <w:sz w:val="24"/>
        </w:rPr>
        <w:t> </w:t>
      </w:r>
      <w:r>
        <w:rPr>
          <w:sz w:val="24"/>
        </w:rPr>
        <w:t>qualified</w:t>
      </w:r>
      <w:r>
        <w:rPr>
          <w:spacing w:val="-5"/>
          <w:sz w:val="24"/>
        </w:rPr>
        <w:t> </w:t>
      </w:r>
      <w:r>
        <w:rPr>
          <w:sz w:val="24"/>
        </w:rPr>
        <w:t>contractors</w:t>
      </w:r>
      <w:r>
        <w:rPr>
          <w:spacing w:val="-5"/>
          <w:sz w:val="24"/>
        </w:rPr>
        <w:t> </w:t>
      </w:r>
      <w:r>
        <w:rPr>
          <w:sz w:val="24"/>
        </w:rPr>
        <w:t>through</w:t>
      </w:r>
      <w:r>
        <w:rPr>
          <w:spacing w:val="-5"/>
          <w:sz w:val="24"/>
        </w:rPr>
        <w:t> </w:t>
      </w:r>
      <w:r>
        <w:rPr>
          <w:sz w:val="24"/>
        </w:rPr>
        <w:t>the</w:t>
      </w:r>
      <w:r>
        <w:rPr>
          <w:spacing w:val="-5"/>
          <w:sz w:val="24"/>
        </w:rPr>
        <w:t> </w:t>
      </w:r>
      <w:r>
        <w:rPr>
          <w:sz w:val="24"/>
        </w:rPr>
        <w:t>Supplemental Employment Services (SES) contract. </w:t>
      </w:r>
      <w:r>
        <w:rPr>
          <w:rFonts w:ascii="Calibri"/>
          <w:b/>
          <w:sz w:val="22"/>
        </w:rPr>
        <w:t>2</w:t>
      </w:r>
    </w:p>
    <w:p>
      <w:pPr>
        <w:pStyle w:val="BodyText"/>
        <w:spacing w:before="202"/>
      </w:pPr>
      <w:r>
        <w:rPr/>
        <w:t>Instructions</w:t>
      </w:r>
      <w:r>
        <w:rPr>
          <w:spacing w:val="-5"/>
        </w:rPr>
        <w:t> </w:t>
      </w:r>
      <w:r>
        <w:rPr/>
        <w:t>to</w:t>
      </w:r>
      <w:r>
        <w:rPr>
          <w:spacing w:val="-2"/>
        </w:rPr>
        <w:t> </w:t>
      </w:r>
      <w:r>
        <w:rPr>
          <w:spacing w:val="-4"/>
        </w:rPr>
        <w:t>Staff</w:t>
      </w:r>
    </w:p>
    <w:p>
      <w:pPr>
        <w:pStyle w:val="ListParagraph"/>
        <w:numPr>
          <w:ilvl w:val="1"/>
          <w:numId w:val="249"/>
        </w:numPr>
        <w:tabs>
          <w:tab w:pos="1077" w:val="left" w:leader="none"/>
        </w:tabs>
        <w:spacing w:line="208" w:lineRule="auto" w:before="234" w:after="0"/>
        <w:ind w:left="791" w:right="875" w:firstLine="0"/>
        <w:jc w:val="left"/>
        <w:rPr>
          <w:sz w:val="24"/>
        </w:rPr>
      </w:pPr>
      <w:r>
        <w:rPr>
          <w:sz w:val="24"/>
        </w:rPr>
        <w:t>Placement</w:t>
      </w:r>
      <w:r>
        <w:rPr>
          <w:spacing w:val="-4"/>
          <w:sz w:val="24"/>
        </w:rPr>
        <w:t> </w:t>
      </w:r>
      <w:r>
        <w:rPr>
          <w:sz w:val="24"/>
        </w:rPr>
        <w:t>activities</w:t>
      </w:r>
      <w:r>
        <w:rPr>
          <w:spacing w:val="-5"/>
          <w:sz w:val="24"/>
        </w:rPr>
        <w:t> </w:t>
      </w:r>
      <w:r>
        <w:rPr>
          <w:sz w:val="24"/>
        </w:rPr>
        <w:t>the</w:t>
      </w:r>
      <w:r>
        <w:rPr>
          <w:spacing w:val="-5"/>
          <w:sz w:val="24"/>
        </w:rPr>
        <w:t> </w:t>
      </w:r>
      <w:r>
        <w:rPr>
          <w:sz w:val="24"/>
        </w:rPr>
        <w:t>counselor</w:t>
      </w:r>
      <w:r>
        <w:rPr>
          <w:spacing w:val="-4"/>
          <w:sz w:val="24"/>
        </w:rPr>
        <w:t> </w:t>
      </w:r>
      <w:r>
        <w:rPr>
          <w:sz w:val="24"/>
        </w:rPr>
        <w:t>is</w:t>
      </w:r>
      <w:r>
        <w:rPr>
          <w:spacing w:val="-5"/>
          <w:sz w:val="24"/>
        </w:rPr>
        <w:t> </w:t>
      </w:r>
      <w:r>
        <w:rPr>
          <w:sz w:val="24"/>
        </w:rPr>
        <w:t>responsible</w:t>
      </w:r>
      <w:r>
        <w:rPr>
          <w:spacing w:val="-5"/>
          <w:sz w:val="24"/>
        </w:rPr>
        <w:t> </w:t>
      </w:r>
      <w:r>
        <w:rPr>
          <w:sz w:val="24"/>
        </w:rPr>
        <w:t>for</w:t>
      </w:r>
      <w:r>
        <w:rPr>
          <w:spacing w:val="-4"/>
          <w:sz w:val="24"/>
        </w:rPr>
        <w:t> </w:t>
      </w:r>
      <w:r>
        <w:rPr>
          <w:sz w:val="24"/>
        </w:rPr>
        <w:t>include:</w:t>
      </w:r>
      <w:r>
        <w:rPr>
          <w:spacing w:val="-4"/>
          <w:sz w:val="24"/>
        </w:rPr>
        <w:t> </w:t>
      </w:r>
      <w:r>
        <w:rPr>
          <w:sz w:val="24"/>
        </w:rPr>
        <w:t>informing</w:t>
      </w:r>
      <w:r>
        <w:rPr>
          <w:spacing w:val="-5"/>
          <w:sz w:val="24"/>
        </w:rPr>
        <w:t> </w:t>
      </w:r>
      <w:r>
        <w:rPr>
          <w:sz w:val="24"/>
        </w:rPr>
        <w:t>the</w:t>
      </w:r>
      <w:r>
        <w:rPr>
          <w:spacing w:val="-5"/>
          <w:sz w:val="24"/>
        </w:rPr>
        <w:t> </w:t>
      </w:r>
      <w:r>
        <w:rPr>
          <w:sz w:val="24"/>
        </w:rPr>
        <w:t>client of specific job openings; contacting prospective employers; assisting the client in registering with Workforce Oklahoma; assisting the client in development of a resume; arranging for job modifications, if necessary; assisting the client in obtaining job interviews; counseling toward job readiness, including referrals to appropriate resources;</w:t>
      </w:r>
      <w:r>
        <w:rPr>
          <w:spacing w:val="-2"/>
          <w:sz w:val="24"/>
        </w:rPr>
        <w:t> </w:t>
      </w:r>
      <w:r>
        <w:rPr>
          <w:sz w:val="24"/>
        </w:rPr>
        <w:t>and/or utilization</w:t>
      </w:r>
      <w:r>
        <w:rPr>
          <w:spacing w:val="-1"/>
          <w:sz w:val="24"/>
        </w:rPr>
        <w:t> </w:t>
      </w:r>
      <w:r>
        <w:rPr>
          <w:sz w:val="24"/>
        </w:rPr>
        <w:t>of Work</w:t>
      </w:r>
      <w:r>
        <w:rPr>
          <w:spacing w:val="-1"/>
          <w:sz w:val="24"/>
        </w:rPr>
        <w:t> </w:t>
      </w:r>
      <w:r>
        <w:rPr>
          <w:sz w:val="24"/>
        </w:rPr>
        <w:t>Opportunity</w:t>
      </w:r>
      <w:r>
        <w:rPr>
          <w:spacing w:val="-1"/>
          <w:sz w:val="24"/>
        </w:rPr>
        <w:t> </w:t>
      </w:r>
      <w:r>
        <w:rPr>
          <w:sz w:val="24"/>
        </w:rPr>
        <w:t>Tax</w:t>
      </w:r>
      <w:r>
        <w:rPr>
          <w:spacing w:val="-1"/>
          <w:sz w:val="24"/>
        </w:rPr>
        <w:t> </w:t>
      </w:r>
      <w:r>
        <w:rPr>
          <w:sz w:val="24"/>
        </w:rPr>
        <w:t>Credits</w:t>
      </w:r>
      <w:r>
        <w:rPr>
          <w:spacing w:val="-1"/>
          <w:sz w:val="24"/>
        </w:rPr>
        <w:t> </w:t>
      </w:r>
      <w:r>
        <w:rPr>
          <w:sz w:val="24"/>
        </w:rPr>
        <w:t>(WOTC).</w:t>
      </w:r>
    </w:p>
    <w:p>
      <w:pPr>
        <w:pStyle w:val="ListParagraph"/>
        <w:numPr>
          <w:ilvl w:val="1"/>
          <w:numId w:val="249"/>
        </w:numPr>
        <w:tabs>
          <w:tab w:pos="1078" w:val="left" w:leader="none"/>
        </w:tabs>
        <w:spacing w:line="259" w:lineRule="auto" w:before="243" w:after="0"/>
        <w:ind w:left="810" w:right="1112" w:firstLine="0"/>
        <w:jc w:val="left"/>
        <w:rPr>
          <w:sz w:val="24"/>
        </w:rPr>
      </w:pPr>
      <w:r>
        <w:rPr>
          <w:sz w:val="24"/>
        </w:rPr>
        <w:t>See</w:t>
      </w:r>
      <w:r>
        <w:rPr>
          <w:spacing w:val="-5"/>
          <w:sz w:val="24"/>
        </w:rPr>
        <w:t> </w:t>
      </w:r>
      <w:r>
        <w:rPr>
          <w:sz w:val="24"/>
        </w:rPr>
        <w:t>612:10-7-135</w:t>
      </w:r>
      <w:r>
        <w:rPr>
          <w:spacing w:val="-5"/>
          <w:sz w:val="24"/>
        </w:rPr>
        <w:t> </w:t>
      </w:r>
      <w:r>
        <w:rPr>
          <w:sz w:val="24"/>
        </w:rPr>
        <w:t>Supplemental</w:t>
      </w:r>
      <w:r>
        <w:rPr>
          <w:spacing w:val="-4"/>
          <w:sz w:val="24"/>
        </w:rPr>
        <w:t> </w:t>
      </w:r>
      <w:r>
        <w:rPr>
          <w:sz w:val="24"/>
        </w:rPr>
        <w:t>Employment</w:t>
      </w:r>
      <w:r>
        <w:rPr>
          <w:spacing w:val="-4"/>
          <w:sz w:val="24"/>
        </w:rPr>
        <w:t> </w:t>
      </w:r>
      <w:r>
        <w:rPr>
          <w:sz w:val="24"/>
        </w:rPr>
        <w:t>Services</w:t>
      </w:r>
      <w:r>
        <w:rPr>
          <w:spacing w:val="-5"/>
          <w:sz w:val="24"/>
        </w:rPr>
        <w:t> </w:t>
      </w:r>
      <w:r>
        <w:rPr>
          <w:sz w:val="24"/>
        </w:rPr>
        <w:t>(SES).</w:t>
      </w:r>
      <w:r>
        <w:rPr>
          <w:spacing w:val="-4"/>
          <w:sz w:val="24"/>
        </w:rPr>
        <w:t> </w:t>
      </w:r>
      <w:r>
        <w:rPr>
          <w:sz w:val="24"/>
        </w:rPr>
        <w:t>Please</w:t>
      </w:r>
      <w:r>
        <w:rPr>
          <w:spacing w:val="-5"/>
          <w:sz w:val="24"/>
        </w:rPr>
        <w:t> </w:t>
      </w:r>
      <w:r>
        <w:rPr>
          <w:sz w:val="24"/>
        </w:rPr>
        <w:t>refer</w:t>
      </w:r>
      <w:r>
        <w:rPr>
          <w:spacing w:val="-6"/>
          <w:sz w:val="24"/>
        </w:rPr>
        <w:t> </w:t>
      </w:r>
      <w:r>
        <w:rPr>
          <w:sz w:val="24"/>
        </w:rPr>
        <w:t>to the Employment Support Services webpage on the OKDRS website located at </w:t>
      </w:r>
      <w:hyperlink r:id="rId46">
        <w:r>
          <w:rPr>
            <w:color w:val="0000FF"/>
            <w:sz w:val="24"/>
            <w:u w:val="single" w:color="0000FF"/>
          </w:rPr>
          <w:t>https://www.okdrs.gov/ESS/SESC</w:t>
        </w:r>
      </w:hyperlink>
      <w:r>
        <w:rPr>
          <w:color w:val="0000FF"/>
          <w:sz w:val="24"/>
          <w:u w:val="none"/>
        </w:rPr>
        <w:t> </w:t>
      </w:r>
      <w:r>
        <w:rPr>
          <w:sz w:val="24"/>
          <w:u w:val="none"/>
        </w:rPr>
        <w:t>to access the SES contract for Service categories, rates, required documentation for payment, and other contract </w:t>
      </w:r>
      <w:r>
        <w:rPr>
          <w:spacing w:val="-2"/>
          <w:sz w:val="24"/>
          <w:u w:val="none"/>
        </w:rPr>
        <w:t>information.</w:t>
      </w:r>
    </w:p>
    <w:p>
      <w:pPr>
        <w:spacing w:before="158"/>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6-14-99</w:t>
      </w:r>
      <w:r>
        <w:rPr>
          <w:sz w:val="22"/>
        </w:rPr>
        <w:tab/>
        <w:t>POL Memo #99-7</w:t>
      </w:r>
    </w:p>
    <w:p>
      <w:pPr>
        <w:spacing w:before="0"/>
        <w:ind w:left="359" w:right="1673" w:firstLine="1080"/>
        <w:jc w:val="left"/>
        <w:rPr>
          <w:sz w:val="22"/>
        </w:rPr>
      </w:pPr>
      <w:r>
        <w:rPr>
          <w:sz w:val="22"/>
        </w:rPr>
        <w:t>Emergency,</w:t>
      </w:r>
      <w:r>
        <w:rPr>
          <w:spacing w:val="-6"/>
          <w:sz w:val="22"/>
        </w:rPr>
        <w:t> </w:t>
      </w:r>
      <w:r>
        <w:rPr>
          <w:sz w:val="22"/>
        </w:rPr>
        <w:t>client's</w:t>
      </w:r>
      <w:r>
        <w:rPr>
          <w:spacing w:val="-6"/>
          <w:sz w:val="22"/>
        </w:rPr>
        <w:t> </w:t>
      </w:r>
      <w:r>
        <w:rPr>
          <w:sz w:val="22"/>
        </w:rPr>
        <w:t>rehabilitation</w:t>
      </w:r>
      <w:r>
        <w:rPr>
          <w:spacing w:val="-6"/>
          <w:sz w:val="22"/>
        </w:rPr>
        <w:t> </w:t>
      </w:r>
      <w:r>
        <w:rPr>
          <w:sz w:val="22"/>
        </w:rPr>
        <w:t>program</w:t>
      </w:r>
      <w:r>
        <w:rPr>
          <w:spacing w:val="-7"/>
          <w:sz w:val="22"/>
        </w:rPr>
        <w:t> </w:t>
      </w:r>
      <w:r>
        <w:rPr>
          <w:sz w:val="22"/>
        </w:rPr>
        <w:t>changed</w:t>
      </w:r>
      <w:r>
        <w:rPr>
          <w:spacing w:val="-6"/>
          <w:sz w:val="22"/>
        </w:rPr>
        <w:t> </w:t>
      </w:r>
      <w:r>
        <w:rPr>
          <w:sz w:val="22"/>
        </w:rPr>
        <w:t>to</w:t>
      </w:r>
      <w:r>
        <w:rPr>
          <w:spacing w:val="-6"/>
          <w:sz w:val="22"/>
        </w:rPr>
        <w:t> </w:t>
      </w:r>
      <w:r>
        <w:rPr>
          <w:sz w:val="22"/>
        </w:rPr>
        <w:t>client's</w:t>
      </w:r>
      <w:r>
        <w:rPr>
          <w:spacing w:val="-7"/>
          <w:sz w:val="22"/>
        </w:rPr>
        <w:t> </w:t>
      </w:r>
      <w:r>
        <w:rPr>
          <w:sz w:val="22"/>
        </w:rPr>
        <w:t>vocational </w:t>
      </w:r>
      <w:r>
        <w:rPr>
          <w:spacing w:val="-2"/>
          <w:sz w:val="22"/>
        </w:rPr>
        <w:t>rehabilitation</w:t>
      </w:r>
    </w:p>
    <w:p>
      <w:pPr>
        <w:pStyle w:val="ListParagraph"/>
        <w:numPr>
          <w:ilvl w:val="2"/>
          <w:numId w:val="187"/>
        </w:numPr>
        <w:tabs>
          <w:tab w:pos="1439" w:val="left" w:leader="none"/>
        </w:tabs>
        <w:spacing w:line="253" w:lineRule="exact" w:before="0" w:after="0"/>
        <w:ind w:left="1439" w:right="0" w:hanging="1080"/>
        <w:jc w:val="left"/>
        <w:rPr>
          <w:sz w:val="22"/>
        </w:rPr>
      </w:pPr>
      <w:r>
        <w:rPr>
          <w:sz w:val="22"/>
        </w:rPr>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7-1-03</w:t>
      </w:r>
      <w:r>
        <w:rPr>
          <w:sz w:val="22"/>
        </w:rPr>
        <w:tab/>
        <w:t>PT Memo #03-07</w:t>
      </w:r>
    </w:p>
    <w:p>
      <w:pPr>
        <w:spacing w:before="0"/>
        <w:ind w:left="1439" w:right="0" w:firstLine="0"/>
        <w:jc w:val="left"/>
        <w:rPr>
          <w:sz w:val="22"/>
        </w:rPr>
      </w:pPr>
      <w:r>
        <w:rPr>
          <w:sz w:val="22"/>
        </w:rPr>
        <w:t>Permanent,</w:t>
      </w:r>
      <w:r>
        <w:rPr>
          <w:spacing w:val="-6"/>
          <w:sz w:val="22"/>
        </w:rPr>
        <w:t> </w:t>
      </w:r>
      <w:r>
        <w:rPr>
          <w:sz w:val="22"/>
        </w:rPr>
        <w:t>added</w:t>
      </w:r>
      <w:r>
        <w:rPr>
          <w:spacing w:val="-7"/>
          <w:sz w:val="22"/>
        </w:rPr>
        <w:t> </w:t>
      </w:r>
      <w:r>
        <w:rPr>
          <w:sz w:val="22"/>
        </w:rPr>
        <w:t>sections</w:t>
      </w:r>
      <w:r>
        <w:rPr>
          <w:spacing w:val="-7"/>
          <w:sz w:val="22"/>
        </w:rPr>
        <w:t> </w:t>
      </w:r>
      <w:r>
        <w:rPr>
          <w:sz w:val="22"/>
        </w:rPr>
        <w:t>b</w:t>
      </w:r>
      <w:r>
        <w:rPr>
          <w:spacing w:val="-6"/>
          <w:sz w:val="22"/>
        </w:rPr>
        <w:t> </w:t>
      </w:r>
      <w:r>
        <w:rPr>
          <w:sz w:val="22"/>
        </w:rPr>
        <w:t>and</w:t>
      </w:r>
      <w:r>
        <w:rPr>
          <w:spacing w:val="-7"/>
          <w:sz w:val="22"/>
        </w:rPr>
        <w:t> </w:t>
      </w:r>
      <w:r>
        <w:rPr>
          <w:spacing w:val="-5"/>
          <w:sz w:val="22"/>
        </w:rPr>
        <w:t>c.</w:t>
      </w:r>
    </w:p>
    <w:p>
      <w:pPr>
        <w:tabs>
          <w:tab w:pos="1439" w:val="left" w:leader="none"/>
        </w:tabs>
        <w:spacing w:before="0"/>
        <w:ind w:left="359" w:right="0" w:firstLine="0"/>
        <w:jc w:val="left"/>
        <w:rPr>
          <w:sz w:val="22"/>
        </w:rPr>
      </w:pPr>
      <w:r>
        <w:rPr>
          <w:spacing w:val="-2"/>
          <w:sz w:val="22"/>
        </w:rPr>
        <w:t>7-1-</w:t>
      </w:r>
      <w:r>
        <w:rPr>
          <w:spacing w:val="-5"/>
          <w:sz w:val="22"/>
        </w:rPr>
        <w:t>05</w:t>
      </w:r>
      <w:r>
        <w:rPr>
          <w:sz w:val="22"/>
        </w:rPr>
        <w:tab/>
        <w:t>PT</w:t>
      </w:r>
      <w:r>
        <w:rPr>
          <w:spacing w:val="-8"/>
          <w:sz w:val="22"/>
        </w:rPr>
        <w:t> </w:t>
      </w:r>
      <w:r>
        <w:rPr>
          <w:sz w:val="22"/>
        </w:rPr>
        <w:t>Memo</w:t>
      </w:r>
      <w:r>
        <w:rPr>
          <w:spacing w:val="-8"/>
          <w:sz w:val="22"/>
        </w:rPr>
        <w:t> </w:t>
      </w:r>
      <w:r>
        <w:rPr>
          <w:sz w:val="22"/>
        </w:rPr>
        <w:t>#06-</w:t>
      </w:r>
      <w:r>
        <w:rPr>
          <w:spacing w:val="-5"/>
          <w:sz w:val="22"/>
        </w:rPr>
        <w:t>01</w:t>
      </w:r>
    </w:p>
    <w:p>
      <w:pPr>
        <w:tabs>
          <w:tab w:pos="1439" w:val="left" w:leader="none"/>
        </w:tabs>
        <w:spacing w:before="1"/>
        <w:ind w:left="359" w:right="5023" w:firstLine="1080"/>
        <w:jc w:val="left"/>
        <w:rPr>
          <w:sz w:val="22"/>
        </w:rPr>
      </w:pPr>
      <w:r>
        <w:rPr>
          <w:sz w:val="22"/>
        </w:rPr>
        <w:t>Permanent,</w:t>
      </w:r>
      <w:r>
        <w:rPr>
          <w:spacing w:val="-9"/>
          <w:sz w:val="22"/>
        </w:rPr>
        <w:t> </w:t>
      </w:r>
      <w:r>
        <w:rPr>
          <w:sz w:val="22"/>
        </w:rPr>
        <w:t>general</w:t>
      </w:r>
      <w:r>
        <w:rPr>
          <w:spacing w:val="-10"/>
          <w:sz w:val="22"/>
        </w:rPr>
        <w:t> </w:t>
      </w:r>
      <w:r>
        <w:rPr>
          <w:sz w:val="22"/>
        </w:rPr>
        <w:t>cleanup</w:t>
      </w:r>
      <w:r>
        <w:rPr>
          <w:spacing w:val="-10"/>
          <w:sz w:val="22"/>
        </w:rPr>
        <w:t> </w:t>
      </w:r>
      <w:r>
        <w:rPr>
          <w:sz w:val="22"/>
        </w:rPr>
        <w:t>of</w:t>
      </w:r>
      <w:r>
        <w:rPr>
          <w:spacing w:val="-10"/>
          <w:sz w:val="22"/>
        </w:rPr>
        <w:t> </w:t>
      </w:r>
      <w:r>
        <w:rPr>
          <w:sz w:val="22"/>
        </w:rPr>
        <w:t>language </w:t>
      </w:r>
      <w:r>
        <w:rPr>
          <w:spacing w:val="-2"/>
          <w:sz w:val="22"/>
        </w:rPr>
        <w:t>7-1-11</w:t>
      </w:r>
      <w:r>
        <w:rPr>
          <w:sz w:val="22"/>
        </w:rPr>
        <w:tab/>
        <w:t>PT Memo #12-01</w:t>
      </w:r>
    </w:p>
    <w:p>
      <w:pPr>
        <w:spacing w:line="252" w:lineRule="exact" w:before="0"/>
        <w:ind w:left="1439" w:right="0" w:firstLine="0"/>
        <w:jc w:val="left"/>
        <w:rPr>
          <w:sz w:val="22"/>
        </w:rPr>
      </w:pPr>
      <w:r>
        <w:rPr>
          <w:sz w:val="22"/>
        </w:rPr>
        <w:t>Permanent,</w:t>
      </w:r>
      <w:r>
        <w:rPr>
          <w:spacing w:val="-10"/>
          <w:sz w:val="22"/>
        </w:rPr>
        <w:t> </w:t>
      </w:r>
      <w:r>
        <w:rPr>
          <w:sz w:val="22"/>
        </w:rPr>
        <w:t>updating</w:t>
      </w:r>
      <w:r>
        <w:rPr>
          <w:spacing w:val="-11"/>
          <w:sz w:val="22"/>
        </w:rPr>
        <w:t> </w:t>
      </w:r>
      <w:r>
        <w:rPr>
          <w:spacing w:val="-2"/>
          <w:sz w:val="22"/>
        </w:rPr>
        <w:t>language</w:t>
      </w:r>
    </w:p>
    <w:p>
      <w:pPr>
        <w:tabs>
          <w:tab w:pos="1439" w:val="left" w:leader="none"/>
        </w:tabs>
        <w:spacing w:before="0"/>
        <w:ind w:left="359" w:right="0" w:firstLine="0"/>
        <w:jc w:val="left"/>
        <w:rPr>
          <w:sz w:val="22"/>
        </w:rPr>
      </w:pPr>
      <w:r>
        <w:rPr>
          <w:spacing w:val="-2"/>
          <w:sz w:val="22"/>
        </w:rPr>
        <w:t>8-11-</w:t>
      </w:r>
      <w:r>
        <w:rPr>
          <w:spacing w:val="-5"/>
          <w:sz w:val="22"/>
        </w:rPr>
        <w:t>24</w:t>
      </w:r>
      <w:r>
        <w:rPr>
          <w:sz w:val="22"/>
        </w:rPr>
        <w:tab/>
        <w:t>Revised</w:t>
      </w:r>
      <w:r>
        <w:rPr>
          <w:spacing w:val="-8"/>
          <w:sz w:val="22"/>
        </w:rPr>
        <w:t> </w:t>
      </w:r>
      <w:r>
        <w:rPr>
          <w:sz w:val="22"/>
        </w:rPr>
        <w:t>section</w:t>
      </w:r>
      <w:r>
        <w:rPr>
          <w:spacing w:val="-7"/>
          <w:sz w:val="22"/>
        </w:rPr>
        <w:t> </w:t>
      </w:r>
      <w:r>
        <w:rPr>
          <w:sz w:val="22"/>
        </w:rPr>
        <w:t>(b)</w:t>
      </w:r>
      <w:r>
        <w:rPr>
          <w:spacing w:val="-7"/>
          <w:sz w:val="22"/>
        </w:rPr>
        <w:t> </w:t>
      </w:r>
      <w:r>
        <w:rPr>
          <w:sz w:val="22"/>
        </w:rPr>
        <w:t>updating</w:t>
      </w:r>
      <w:r>
        <w:rPr>
          <w:spacing w:val="-8"/>
          <w:sz w:val="22"/>
        </w:rPr>
        <w:t> </w:t>
      </w:r>
      <w:r>
        <w:rPr>
          <w:sz w:val="22"/>
        </w:rPr>
        <w:t>language</w:t>
      </w:r>
      <w:r>
        <w:rPr>
          <w:spacing w:val="-7"/>
          <w:sz w:val="22"/>
        </w:rPr>
        <w:t> </w:t>
      </w:r>
      <w:r>
        <w:rPr>
          <w:sz w:val="22"/>
        </w:rPr>
        <w:t>for</w:t>
      </w:r>
      <w:r>
        <w:rPr>
          <w:spacing w:val="-7"/>
          <w:sz w:val="22"/>
        </w:rPr>
        <w:t> </w:t>
      </w:r>
      <w:r>
        <w:rPr>
          <w:sz w:val="22"/>
        </w:rPr>
        <w:t>qualified</w:t>
      </w:r>
      <w:r>
        <w:rPr>
          <w:spacing w:val="-7"/>
          <w:sz w:val="22"/>
        </w:rPr>
        <w:t> </w:t>
      </w:r>
      <w:r>
        <w:rPr>
          <w:spacing w:val="-2"/>
          <w:sz w:val="22"/>
        </w:rPr>
        <w:t>contractors.</w:t>
      </w:r>
    </w:p>
    <w:p>
      <w:pPr>
        <w:spacing w:after="0"/>
        <w:jc w:val="left"/>
        <w:rPr>
          <w:sz w:val="22"/>
        </w:rPr>
        <w:sectPr>
          <w:pgSz w:w="12240" w:h="15840"/>
          <w:pgMar w:top="1340" w:bottom="280" w:left="1080" w:right="720"/>
        </w:sectPr>
      </w:pPr>
    </w:p>
    <w:p>
      <w:pPr>
        <w:pStyle w:val="Heading2"/>
        <w:spacing w:line="208" w:lineRule="auto" w:before="96"/>
        <w:ind w:right="739"/>
      </w:pPr>
      <w:bookmarkStart w:name="612:10-7-233.  Special consideration in " w:id="228"/>
      <w:bookmarkEnd w:id="228"/>
      <w:r>
        <w:rPr>
          <w:b w:val="0"/>
        </w:rPr>
      </w:r>
      <w:r>
        <w:rPr/>
        <w:t>612:10-7-233.</w:t>
      </w:r>
      <w:r>
        <w:rPr>
          <w:spacing w:val="40"/>
        </w:rPr>
        <w:t> </w:t>
      </w:r>
      <w:r>
        <w:rPr/>
        <w:t>Special</w:t>
      </w:r>
      <w:r>
        <w:rPr>
          <w:spacing w:val="-4"/>
        </w:rPr>
        <w:t> </w:t>
      </w:r>
      <w:r>
        <w:rPr/>
        <w:t>consideration</w:t>
      </w:r>
      <w:r>
        <w:rPr>
          <w:spacing w:val="-5"/>
        </w:rPr>
        <w:t> </w:t>
      </w:r>
      <w:r>
        <w:rPr/>
        <w:t>in</w:t>
      </w:r>
      <w:r>
        <w:rPr>
          <w:spacing w:val="-6"/>
        </w:rPr>
        <w:t> </w:t>
      </w:r>
      <w:r>
        <w:rPr/>
        <w:t>state</w:t>
      </w:r>
      <w:r>
        <w:rPr>
          <w:spacing w:val="-5"/>
        </w:rPr>
        <w:t> </w:t>
      </w:r>
      <w:r>
        <w:rPr/>
        <w:t>government</w:t>
      </w:r>
      <w:r>
        <w:rPr>
          <w:spacing w:val="-4"/>
        </w:rPr>
        <w:t> </w:t>
      </w:r>
      <w:r>
        <w:rPr/>
        <w:t>employment</w:t>
      </w:r>
      <w:r>
        <w:rPr>
          <w:spacing w:val="-4"/>
        </w:rPr>
        <w:t> </w:t>
      </w:r>
      <w:r>
        <w:rPr/>
        <w:t>for</w:t>
      </w:r>
      <w:r>
        <w:rPr>
          <w:spacing w:val="-5"/>
        </w:rPr>
        <w:t> </w:t>
      </w:r>
      <w:r>
        <w:rPr/>
        <w:t>persons with severe disabilities</w:t>
      </w:r>
    </w:p>
    <w:p>
      <w:pPr>
        <w:pStyle w:val="ListParagraph"/>
        <w:numPr>
          <w:ilvl w:val="0"/>
          <w:numId w:val="250"/>
        </w:numPr>
        <w:tabs>
          <w:tab w:pos="785" w:val="left" w:leader="none"/>
        </w:tabs>
        <w:spacing w:line="208" w:lineRule="auto" w:before="240" w:after="0"/>
        <w:ind w:left="360" w:right="1072" w:firstLine="0"/>
        <w:jc w:val="left"/>
        <w:rPr>
          <w:b/>
          <w:sz w:val="24"/>
        </w:rPr>
      </w:pPr>
      <w:r>
        <w:rPr>
          <w:sz w:val="24"/>
        </w:rPr>
        <w:t>Oklahoma statute [74 O.S. 840-4.12] establishes provisions to promote the employment of persons with severe disabilities in state government. The law waives written entrance examinations and certain other hiring procedures administered by Human</w:t>
      </w:r>
      <w:r>
        <w:rPr>
          <w:spacing w:val="-4"/>
          <w:sz w:val="24"/>
        </w:rPr>
        <w:t> </w:t>
      </w:r>
      <w:r>
        <w:rPr>
          <w:sz w:val="24"/>
        </w:rPr>
        <w:t>Capital</w:t>
      </w:r>
      <w:r>
        <w:rPr>
          <w:spacing w:val="-4"/>
          <w:sz w:val="24"/>
        </w:rPr>
        <w:t> </w:t>
      </w:r>
      <w:r>
        <w:rPr>
          <w:sz w:val="24"/>
        </w:rPr>
        <w:t>Management</w:t>
      </w:r>
      <w:r>
        <w:rPr>
          <w:spacing w:val="-3"/>
          <w:sz w:val="24"/>
        </w:rPr>
        <w:t> </w:t>
      </w:r>
      <w:r>
        <w:rPr>
          <w:sz w:val="24"/>
        </w:rPr>
        <w:t>(HCM)</w:t>
      </w:r>
      <w:r>
        <w:rPr>
          <w:spacing w:val="-3"/>
          <w:sz w:val="24"/>
        </w:rPr>
        <w:t> </w:t>
      </w:r>
      <w:r>
        <w:rPr>
          <w:sz w:val="24"/>
        </w:rPr>
        <w:t>for</w:t>
      </w:r>
      <w:r>
        <w:rPr>
          <w:spacing w:val="-5"/>
          <w:sz w:val="24"/>
        </w:rPr>
        <w:t> </w:t>
      </w:r>
      <w:r>
        <w:rPr>
          <w:sz w:val="24"/>
        </w:rPr>
        <w:t>persons</w:t>
      </w:r>
      <w:r>
        <w:rPr>
          <w:spacing w:val="-4"/>
          <w:sz w:val="24"/>
        </w:rPr>
        <w:t> </w:t>
      </w:r>
      <w:r>
        <w:rPr>
          <w:sz w:val="24"/>
        </w:rPr>
        <w:t>who</w:t>
      </w:r>
      <w:r>
        <w:rPr>
          <w:spacing w:val="-4"/>
          <w:sz w:val="24"/>
        </w:rPr>
        <w:t> </w:t>
      </w:r>
      <w:r>
        <w:rPr>
          <w:sz w:val="24"/>
        </w:rPr>
        <w:t>are</w:t>
      </w:r>
      <w:r>
        <w:rPr>
          <w:spacing w:val="-4"/>
          <w:sz w:val="24"/>
        </w:rPr>
        <w:t> </w:t>
      </w:r>
      <w:r>
        <w:rPr>
          <w:sz w:val="24"/>
        </w:rPr>
        <w:t>certified</w:t>
      </w:r>
      <w:r>
        <w:rPr>
          <w:spacing w:val="-5"/>
          <w:sz w:val="24"/>
        </w:rPr>
        <w:t> </w:t>
      </w:r>
      <w:r>
        <w:rPr>
          <w:sz w:val="24"/>
        </w:rPr>
        <w:t>as</w:t>
      </w:r>
      <w:r>
        <w:rPr>
          <w:spacing w:val="-4"/>
          <w:sz w:val="24"/>
        </w:rPr>
        <w:t> </w:t>
      </w:r>
      <w:r>
        <w:rPr>
          <w:sz w:val="24"/>
        </w:rPr>
        <w:t>having</w:t>
      </w:r>
      <w:r>
        <w:rPr>
          <w:spacing w:val="-4"/>
          <w:sz w:val="24"/>
        </w:rPr>
        <w:t> </w:t>
      </w:r>
      <w:r>
        <w:rPr>
          <w:sz w:val="24"/>
        </w:rPr>
        <w:t>a</w:t>
      </w:r>
      <w:r>
        <w:rPr>
          <w:spacing w:val="-3"/>
          <w:sz w:val="24"/>
        </w:rPr>
        <w:t> </w:t>
      </w:r>
      <w:r>
        <w:rPr>
          <w:sz w:val="24"/>
        </w:rPr>
        <w:t>severe disability based on standards and criteria established by the Administrator of HCM. Such applicants must be legal residents of Oklahoma and must meet minimum qualifications specified in applicable job specifications. Rules implementing the provisions of 74 O.S. 840-4.12 are found at OAC 260:25-9-100. HCM rules refer to these provisions as the Optional Program for Hiring Applicants with Disabilities. </w:t>
      </w:r>
      <w:r>
        <w:rPr>
          <w:b/>
          <w:sz w:val="24"/>
        </w:rPr>
        <w:t>5</w:t>
      </w:r>
    </w:p>
    <w:p>
      <w:pPr>
        <w:pStyle w:val="ListParagraph"/>
        <w:numPr>
          <w:ilvl w:val="0"/>
          <w:numId w:val="250"/>
        </w:numPr>
        <w:tabs>
          <w:tab w:pos="786" w:val="left" w:leader="none"/>
        </w:tabs>
        <w:spacing w:line="208" w:lineRule="auto" w:before="239" w:after="0"/>
        <w:ind w:left="360" w:right="780" w:firstLine="0"/>
        <w:jc w:val="left"/>
        <w:rPr>
          <w:b/>
          <w:sz w:val="24"/>
        </w:rPr>
      </w:pPr>
      <w:r>
        <w:rPr>
          <w:sz w:val="24"/>
        </w:rPr>
        <w:t>For purposes of the Optional Program for Hiring Applicants with Disabilities, the Department</w:t>
      </w:r>
      <w:r>
        <w:rPr>
          <w:spacing w:val="-3"/>
          <w:sz w:val="24"/>
        </w:rPr>
        <w:t> </w:t>
      </w:r>
      <w:r>
        <w:rPr>
          <w:sz w:val="24"/>
        </w:rPr>
        <w:t>of</w:t>
      </w:r>
      <w:r>
        <w:rPr>
          <w:spacing w:val="-5"/>
          <w:sz w:val="24"/>
        </w:rPr>
        <w:t> </w:t>
      </w:r>
      <w:r>
        <w:rPr>
          <w:sz w:val="24"/>
        </w:rPr>
        <w:t>Rehabilitation</w:t>
      </w:r>
      <w:r>
        <w:rPr>
          <w:spacing w:val="-4"/>
          <w:sz w:val="24"/>
        </w:rPr>
        <w:t> </w:t>
      </w:r>
      <w:r>
        <w:rPr>
          <w:sz w:val="24"/>
        </w:rPr>
        <w:t>Services</w:t>
      </w:r>
      <w:r>
        <w:rPr>
          <w:spacing w:val="-4"/>
          <w:sz w:val="24"/>
        </w:rPr>
        <w:t> </w:t>
      </w:r>
      <w:r>
        <w:rPr>
          <w:sz w:val="24"/>
        </w:rPr>
        <w:t>(DRS)</w:t>
      </w:r>
      <w:r>
        <w:rPr>
          <w:spacing w:val="-3"/>
          <w:sz w:val="24"/>
        </w:rPr>
        <w:t> </w:t>
      </w:r>
      <w:r>
        <w:rPr>
          <w:sz w:val="24"/>
        </w:rPr>
        <w:t>shall</w:t>
      </w:r>
      <w:r>
        <w:rPr>
          <w:spacing w:val="-4"/>
          <w:sz w:val="24"/>
        </w:rPr>
        <w:t> </w:t>
      </w:r>
      <w:r>
        <w:rPr>
          <w:sz w:val="24"/>
        </w:rPr>
        <w:t>certify</w:t>
      </w:r>
      <w:r>
        <w:rPr>
          <w:spacing w:val="-4"/>
          <w:sz w:val="24"/>
        </w:rPr>
        <w:t> </w:t>
      </w:r>
      <w:r>
        <w:rPr>
          <w:sz w:val="24"/>
        </w:rPr>
        <w:t>that</w:t>
      </w:r>
      <w:r>
        <w:rPr>
          <w:spacing w:val="-3"/>
          <w:sz w:val="24"/>
        </w:rPr>
        <w:t> </w:t>
      </w:r>
      <w:r>
        <w:rPr>
          <w:sz w:val="24"/>
        </w:rPr>
        <w:t>an</w:t>
      </w:r>
      <w:r>
        <w:rPr>
          <w:spacing w:val="-4"/>
          <w:sz w:val="24"/>
        </w:rPr>
        <w:t> </w:t>
      </w:r>
      <w:r>
        <w:rPr>
          <w:sz w:val="24"/>
        </w:rPr>
        <w:t>applicant</w:t>
      </w:r>
      <w:r>
        <w:rPr>
          <w:spacing w:val="-3"/>
          <w:sz w:val="24"/>
        </w:rPr>
        <w:t> </w:t>
      </w:r>
      <w:r>
        <w:rPr>
          <w:sz w:val="24"/>
        </w:rPr>
        <w:t>has</w:t>
      </w:r>
      <w:r>
        <w:rPr>
          <w:spacing w:val="-4"/>
          <w:sz w:val="24"/>
        </w:rPr>
        <w:t> </w:t>
      </w:r>
      <w:r>
        <w:rPr>
          <w:sz w:val="24"/>
        </w:rPr>
        <w:t>a</w:t>
      </w:r>
      <w:r>
        <w:rPr>
          <w:spacing w:val="-4"/>
          <w:sz w:val="24"/>
        </w:rPr>
        <w:t> </w:t>
      </w:r>
      <w:r>
        <w:rPr>
          <w:sz w:val="24"/>
        </w:rPr>
        <w:t>severe disability according to the definition of "individual with a severe disability" in OAC 612:10-1-2, which the HCM Administrator has established as the standard for disability certification. DRS shall provide electronic or written verification of an applicant's severe disability to the applicant and to Human Capital Management. </w:t>
      </w:r>
      <w:r>
        <w:rPr>
          <w:b/>
          <w:sz w:val="24"/>
        </w:rPr>
        <w:t>2,3,4</w:t>
      </w:r>
    </w:p>
    <w:p>
      <w:pPr>
        <w:pStyle w:val="ListParagraph"/>
        <w:numPr>
          <w:ilvl w:val="0"/>
          <w:numId w:val="250"/>
        </w:numPr>
        <w:tabs>
          <w:tab w:pos="773" w:val="left" w:leader="none"/>
        </w:tabs>
        <w:spacing w:line="208" w:lineRule="auto" w:before="239" w:after="0"/>
        <w:ind w:left="360" w:right="861" w:firstLine="0"/>
        <w:jc w:val="left"/>
        <w:rPr>
          <w:sz w:val="24"/>
        </w:rPr>
      </w:pPr>
      <w:r>
        <w:rPr>
          <w:sz w:val="24"/>
        </w:rPr>
        <w:t>Counselors will document the severity of the disability using existing DRS case information</w:t>
      </w:r>
      <w:r>
        <w:rPr>
          <w:spacing w:val="-4"/>
          <w:sz w:val="24"/>
        </w:rPr>
        <w:t> </w:t>
      </w:r>
      <w:r>
        <w:rPr>
          <w:sz w:val="24"/>
        </w:rPr>
        <w:t>for</w:t>
      </w:r>
      <w:r>
        <w:rPr>
          <w:spacing w:val="-3"/>
          <w:sz w:val="24"/>
        </w:rPr>
        <w:t> </w:t>
      </w:r>
      <w:r>
        <w:rPr>
          <w:sz w:val="24"/>
        </w:rPr>
        <w:t>current</w:t>
      </w:r>
      <w:r>
        <w:rPr>
          <w:spacing w:val="-5"/>
          <w:sz w:val="24"/>
        </w:rPr>
        <w:t> </w:t>
      </w:r>
      <w:r>
        <w:rPr>
          <w:sz w:val="24"/>
        </w:rPr>
        <w:t>or</w:t>
      </w:r>
      <w:r>
        <w:rPr>
          <w:spacing w:val="-3"/>
          <w:sz w:val="24"/>
        </w:rPr>
        <w:t> </w:t>
      </w:r>
      <w:r>
        <w:rPr>
          <w:sz w:val="24"/>
        </w:rPr>
        <w:t>former</w:t>
      </w:r>
      <w:r>
        <w:rPr>
          <w:spacing w:val="-3"/>
          <w:sz w:val="24"/>
        </w:rPr>
        <w:t> </w:t>
      </w:r>
      <w:r>
        <w:rPr>
          <w:sz w:val="24"/>
        </w:rPr>
        <w:t>clients.</w:t>
      </w:r>
      <w:r>
        <w:rPr>
          <w:spacing w:val="-3"/>
          <w:sz w:val="24"/>
        </w:rPr>
        <w:t> </w:t>
      </w:r>
      <w:r>
        <w:rPr>
          <w:sz w:val="24"/>
        </w:rPr>
        <w:t>Individuals</w:t>
      </w:r>
      <w:r>
        <w:rPr>
          <w:spacing w:val="-4"/>
          <w:sz w:val="24"/>
        </w:rPr>
        <w:t> </w:t>
      </w:r>
      <w:r>
        <w:rPr>
          <w:sz w:val="24"/>
        </w:rPr>
        <w:t>who</w:t>
      </w:r>
      <w:r>
        <w:rPr>
          <w:spacing w:val="-4"/>
          <w:sz w:val="24"/>
        </w:rPr>
        <w:t> </w:t>
      </w:r>
      <w:r>
        <w:rPr>
          <w:sz w:val="24"/>
        </w:rPr>
        <w:t>have</w:t>
      </w:r>
      <w:r>
        <w:rPr>
          <w:spacing w:val="-4"/>
          <w:sz w:val="24"/>
        </w:rPr>
        <w:t> </w:t>
      </w:r>
      <w:r>
        <w:rPr>
          <w:sz w:val="24"/>
        </w:rPr>
        <w:t>not</w:t>
      </w:r>
      <w:r>
        <w:rPr>
          <w:spacing w:val="-3"/>
          <w:sz w:val="24"/>
        </w:rPr>
        <w:t> </w:t>
      </w:r>
      <w:r>
        <w:rPr>
          <w:sz w:val="24"/>
        </w:rPr>
        <w:t>been</w:t>
      </w:r>
      <w:r>
        <w:rPr>
          <w:spacing w:val="-4"/>
          <w:sz w:val="24"/>
        </w:rPr>
        <w:t> </w:t>
      </w:r>
      <w:r>
        <w:rPr>
          <w:sz w:val="24"/>
        </w:rPr>
        <w:t>DRS</w:t>
      </w:r>
      <w:r>
        <w:rPr>
          <w:spacing w:val="-4"/>
          <w:sz w:val="24"/>
        </w:rPr>
        <w:t> </w:t>
      </w:r>
      <w:r>
        <w:rPr>
          <w:sz w:val="24"/>
        </w:rPr>
        <w:t>clients</w:t>
      </w:r>
      <w:r>
        <w:rPr>
          <w:spacing w:val="-4"/>
          <w:sz w:val="24"/>
        </w:rPr>
        <w:t> </w:t>
      </w:r>
      <w:r>
        <w:rPr>
          <w:sz w:val="24"/>
        </w:rPr>
        <w:t>will provide</w:t>
      </w:r>
      <w:r>
        <w:rPr>
          <w:spacing w:val="-2"/>
          <w:sz w:val="24"/>
        </w:rPr>
        <w:t> </w:t>
      </w:r>
      <w:r>
        <w:rPr>
          <w:sz w:val="24"/>
        </w:rPr>
        <w:t>the</w:t>
      </w:r>
      <w:r>
        <w:rPr>
          <w:spacing w:val="-1"/>
          <w:sz w:val="24"/>
        </w:rPr>
        <w:t> </w:t>
      </w:r>
      <w:r>
        <w:rPr>
          <w:sz w:val="24"/>
        </w:rPr>
        <w:t>counselor</w:t>
      </w:r>
      <w:r>
        <w:rPr>
          <w:spacing w:val="-1"/>
          <w:sz w:val="24"/>
        </w:rPr>
        <w:t> </w:t>
      </w:r>
      <w:r>
        <w:rPr>
          <w:sz w:val="24"/>
        </w:rPr>
        <w:t>with</w:t>
      </w:r>
      <w:r>
        <w:rPr>
          <w:spacing w:val="-2"/>
          <w:sz w:val="24"/>
        </w:rPr>
        <w:t> </w:t>
      </w:r>
      <w:r>
        <w:rPr>
          <w:sz w:val="24"/>
        </w:rPr>
        <w:t>documentation</w:t>
      </w:r>
      <w:r>
        <w:rPr>
          <w:spacing w:val="-2"/>
          <w:sz w:val="24"/>
        </w:rPr>
        <w:t> </w:t>
      </w:r>
      <w:r>
        <w:rPr>
          <w:sz w:val="24"/>
        </w:rPr>
        <w:t>necessary</w:t>
      </w:r>
      <w:r>
        <w:rPr>
          <w:spacing w:val="-2"/>
          <w:sz w:val="24"/>
        </w:rPr>
        <w:t> </w:t>
      </w:r>
      <w:r>
        <w:rPr>
          <w:sz w:val="24"/>
        </w:rPr>
        <w:t>for</w:t>
      </w:r>
      <w:r>
        <w:rPr>
          <w:spacing w:val="-3"/>
          <w:sz w:val="24"/>
        </w:rPr>
        <w:t> </w:t>
      </w:r>
      <w:r>
        <w:rPr>
          <w:sz w:val="24"/>
        </w:rPr>
        <w:t>determining</w:t>
      </w:r>
      <w:r>
        <w:rPr>
          <w:spacing w:val="-2"/>
          <w:sz w:val="24"/>
        </w:rPr>
        <w:t> </w:t>
      </w:r>
      <w:r>
        <w:rPr>
          <w:sz w:val="24"/>
        </w:rPr>
        <w:t>that</w:t>
      </w:r>
      <w:r>
        <w:rPr>
          <w:spacing w:val="-3"/>
          <w:sz w:val="24"/>
        </w:rPr>
        <w:t> </w:t>
      </w:r>
      <w:r>
        <w:rPr>
          <w:sz w:val="24"/>
        </w:rPr>
        <w:t>the</w:t>
      </w:r>
      <w:r>
        <w:rPr>
          <w:spacing w:val="-2"/>
          <w:sz w:val="24"/>
        </w:rPr>
        <w:t> </w:t>
      </w:r>
      <w:r>
        <w:rPr>
          <w:sz w:val="24"/>
        </w:rPr>
        <w:t>individual has a severe physical or mental impairment which seriously limits one or more functional capacities. </w:t>
      </w:r>
      <w:r>
        <w:rPr>
          <w:b/>
          <w:sz w:val="24"/>
        </w:rPr>
        <w:t>1 </w:t>
      </w:r>
      <w:r>
        <w:rPr>
          <w:sz w:val="24"/>
        </w:rPr>
        <w:t>Medical examinations may not be purchased solely to certify eligibility under 74 O.S. 840-4.12.</w:t>
      </w:r>
    </w:p>
    <w:p>
      <w:pPr>
        <w:pStyle w:val="BodyText"/>
        <w:spacing w:before="210"/>
      </w:pPr>
      <w:r>
        <w:rPr/>
        <w:t>Instructions</w:t>
      </w:r>
      <w:r>
        <w:rPr>
          <w:spacing w:val="-5"/>
        </w:rPr>
        <w:t> </w:t>
      </w:r>
      <w:r>
        <w:rPr/>
        <w:t>to</w:t>
      </w:r>
      <w:r>
        <w:rPr>
          <w:spacing w:val="-2"/>
        </w:rPr>
        <w:t> </w:t>
      </w:r>
      <w:r>
        <w:rPr>
          <w:spacing w:val="-4"/>
        </w:rPr>
        <w:t>Staff</w:t>
      </w:r>
    </w:p>
    <w:p>
      <w:pPr>
        <w:pStyle w:val="ListParagraph"/>
        <w:numPr>
          <w:ilvl w:val="1"/>
          <w:numId w:val="250"/>
        </w:numPr>
        <w:tabs>
          <w:tab w:pos="1078" w:val="left" w:leader="none"/>
        </w:tabs>
        <w:spacing w:line="208" w:lineRule="auto" w:before="234" w:after="0"/>
        <w:ind w:left="792" w:right="723" w:firstLine="0"/>
        <w:jc w:val="left"/>
        <w:rPr>
          <w:sz w:val="24"/>
        </w:rPr>
      </w:pPr>
      <w:r>
        <w:rPr>
          <w:sz w:val="24"/>
        </w:rPr>
        <w:t>Documentation provided to the counselor by the applicant must be sufficient to permit</w:t>
      </w:r>
      <w:r>
        <w:rPr>
          <w:spacing w:val="-1"/>
          <w:sz w:val="24"/>
        </w:rPr>
        <w:t> </w:t>
      </w:r>
      <w:r>
        <w:rPr>
          <w:sz w:val="24"/>
        </w:rPr>
        <w:t>the</w:t>
      </w:r>
      <w:r>
        <w:rPr>
          <w:spacing w:val="-3"/>
          <w:sz w:val="24"/>
        </w:rPr>
        <w:t> </w:t>
      </w:r>
      <w:r>
        <w:rPr>
          <w:sz w:val="24"/>
        </w:rPr>
        <w:t>counselor</w:t>
      </w:r>
      <w:r>
        <w:rPr>
          <w:spacing w:val="-1"/>
          <w:sz w:val="24"/>
        </w:rPr>
        <w:t> </w:t>
      </w:r>
      <w:r>
        <w:rPr>
          <w:sz w:val="24"/>
        </w:rPr>
        <w:t>to</w:t>
      </w:r>
      <w:r>
        <w:rPr>
          <w:spacing w:val="-2"/>
          <w:sz w:val="24"/>
        </w:rPr>
        <w:t> </w:t>
      </w:r>
      <w:r>
        <w:rPr>
          <w:sz w:val="24"/>
        </w:rPr>
        <w:t>determine</w:t>
      </w:r>
      <w:r>
        <w:rPr>
          <w:spacing w:val="-2"/>
          <w:sz w:val="24"/>
        </w:rPr>
        <w:t> </w:t>
      </w:r>
      <w:r>
        <w:rPr>
          <w:sz w:val="24"/>
        </w:rPr>
        <w:t>that</w:t>
      </w:r>
      <w:r>
        <w:rPr>
          <w:spacing w:val="-3"/>
          <w:sz w:val="24"/>
        </w:rPr>
        <w:t> </w:t>
      </w:r>
      <w:r>
        <w:rPr>
          <w:sz w:val="24"/>
        </w:rPr>
        <w:t>the</w:t>
      </w:r>
      <w:r>
        <w:rPr>
          <w:spacing w:val="-2"/>
          <w:sz w:val="24"/>
        </w:rPr>
        <w:t> </w:t>
      </w:r>
      <w:r>
        <w:rPr>
          <w:sz w:val="24"/>
        </w:rPr>
        <w:t>applicant</w:t>
      </w:r>
      <w:r>
        <w:rPr>
          <w:spacing w:val="-1"/>
          <w:sz w:val="24"/>
        </w:rPr>
        <w:t> </w:t>
      </w:r>
      <w:r>
        <w:rPr>
          <w:sz w:val="24"/>
        </w:rPr>
        <w:t>has</w:t>
      </w:r>
      <w:r>
        <w:rPr>
          <w:spacing w:val="-2"/>
          <w:sz w:val="24"/>
        </w:rPr>
        <w:t> </w:t>
      </w:r>
      <w:r>
        <w:rPr>
          <w:sz w:val="24"/>
        </w:rPr>
        <w:t>a</w:t>
      </w:r>
      <w:r>
        <w:rPr>
          <w:spacing w:val="-2"/>
          <w:sz w:val="24"/>
        </w:rPr>
        <w:t> </w:t>
      </w:r>
      <w:r>
        <w:rPr>
          <w:sz w:val="24"/>
        </w:rPr>
        <w:t>severe</w:t>
      </w:r>
      <w:r>
        <w:rPr>
          <w:spacing w:val="-3"/>
          <w:sz w:val="24"/>
        </w:rPr>
        <w:t> </w:t>
      </w:r>
      <w:r>
        <w:rPr>
          <w:sz w:val="24"/>
        </w:rPr>
        <w:t>physical</w:t>
      </w:r>
      <w:r>
        <w:rPr>
          <w:spacing w:val="-3"/>
          <w:sz w:val="24"/>
        </w:rPr>
        <w:t> </w:t>
      </w:r>
      <w:r>
        <w:rPr>
          <w:sz w:val="24"/>
        </w:rPr>
        <w:t>or</w:t>
      </w:r>
      <w:r>
        <w:rPr>
          <w:spacing w:val="-3"/>
          <w:sz w:val="24"/>
        </w:rPr>
        <w:t> </w:t>
      </w:r>
      <w:r>
        <w:rPr>
          <w:sz w:val="24"/>
        </w:rPr>
        <w:t>mental impairment that seriously limits one or more functional capacities. Information supplied by the applicant should disclose the nature of the impairment(s) and resulting</w:t>
      </w:r>
      <w:r>
        <w:rPr>
          <w:spacing w:val="-5"/>
          <w:sz w:val="24"/>
        </w:rPr>
        <w:t> </w:t>
      </w:r>
      <w:r>
        <w:rPr>
          <w:sz w:val="24"/>
        </w:rPr>
        <w:t>functional</w:t>
      </w:r>
      <w:r>
        <w:rPr>
          <w:spacing w:val="-5"/>
          <w:sz w:val="24"/>
        </w:rPr>
        <w:t> </w:t>
      </w:r>
      <w:r>
        <w:rPr>
          <w:sz w:val="24"/>
        </w:rPr>
        <w:t>limitations.</w:t>
      </w:r>
      <w:r>
        <w:rPr>
          <w:spacing w:val="-4"/>
          <w:sz w:val="24"/>
        </w:rPr>
        <w:t> </w:t>
      </w:r>
      <w:r>
        <w:rPr>
          <w:sz w:val="24"/>
        </w:rPr>
        <w:t>Information</w:t>
      </w:r>
      <w:r>
        <w:rPr>
          <w:spacing w:val="-5"/>
          <w:sz w:val="24"/>
        </w:rPr>
        <w:t> </w:t>
      </w:r>
      <w:r>
        <w:rPr>
          <w:sz w:val="24"/>
        </w:rPr>
        <w:t>provided</w:t>
      </w:r>
      <w:r>
        <w:rPr>
          <w:spacing w:val="-5"/>
          <w:sz w:val="24"/>
        </w:rPr>
        <w:t> </w:t>
      </w:r>
      <w:r>
        <w:rPr>
          <w:sz w:val="24"/>
        </w:rPr>
        <w:t>by</w:t>
      </w:r>
      <w:r>
        <w:rPr>
          <w:spacing w:val="-5"/>
          <w:sz w:val="24"/>
        </w:rPr>
        <w:t> </w:t>
      </w:r>
      <w:r>
        <w:rPr>
          <w:sz w:val="24"/>
        </w:rPr>
        <w:t>the</w:t>
      </w:r>
      <w:r>
        <w:rPr>
          <w:spacing w:val="-5"/>
          <w:sz w:val="24"/>
        </w:rPr>
        <w:t> </w:t>
      </w:r>
      <w:r>
        <w:rPr>
          <w:sz w:val="24"/>
        </w:rPr>
        <w:t>applicant</w:t>
      </w:r>
      <w:r>
        <w:rPr>
          <w:spacing w:val="-4"/>
          <w:sz w:val="24"/>
        </w:rPr>
        <w:t> </w:t>
      </w:r>
      <w:r>
        <w:rPr>
          <w:sz w:val="24"/>
        </w:rPr>
        <w:t>for</w:t>
      </w:r>
      <w:r>
        <w:rPr>
          <w:spacing w:val="-6"/>
          <w:sz w:val="24"/>
        </w:rPr>
        <w:t> </w:t>
      </w:r>
      <w:r>
        <w:rPr>
          <w:sz w:val="24"/>
        </w:rPr>
        <w:t>this</w:t>
      </w:r>
      <w:r>
        <w:rPr>
          <w:spacing w:val="-5"/>
          <w:sz w:val="24"/>
        </w:rPr>
        <w:t> </w:t>
      </w:r>
      <w:r>
        <w:rPr>
          <w:sz w:val="24"/>
        </w:rPr>
        <w:t>purpose may include, but shall not be limited to, medical records, physician statements, educational records, Social Security Administration records, Veterans</w:t>
      </w:r>
      <w:r>
        <w:rPr>
          <w:spacing w:val="40"/>
          <w:sz w:val="24"/>
        </w:rPr>
        <w:t> </w:t>
      </w:r>
      <w:r>
        <w:rPr>
          <w:sz w:val="24"/>
        </w:rPr>
        <w:t>Administration records, and determinations made by officials of other agencies.</w:t>
      </w:r>
    </w:p>
    <w:p>
      <w:pPr>
        <w:pStyle w:val="ListParagraph"/>
        <w:numPr>
          <w:ilvl w:val="1"/>
          <w:numId w:val="250"/>
        </w:numPr>
        <w:tabs>
          <w:tab w:pos="1077" w:val="left" w:leader="none"/>
        </w:tabs>
        <w:spacing w:line="208" w:lineRule="auto" w:before="239" w:after="0"/>
        <w:ind w:left="791" w:right="860" w:firstLine="0"/>
        <w:jc w:val="left"/>
        <w:rPr>
          <w:sz w:val="24"/>
        </w:rPr>
      </w:pPr>
      <w:r>
        <w:rPr>
          <w:sz w:val="24"/>
        </w:rPr>
        <w:t>When</w:t>
      </w:r>
      <w:r>
        <w:rPr>
          <w:spacing w:val="-4"/>
          <w:sz w:val="24"/>
        </w:rPr>
        <w:t> </w:t>
      </w:r>
      <w:r>
        <w:rPr>
          <w:sz w:val="24"/>
        </w:rPr>
        <w:t>certifying</w:t>
      </w:r>
      <w:r>
        <w:rPr>
          <w:spacing w:val="-4"/>
          <w:sz w:val="24"/>
        </w:rPr>
        <w:t> </w:t>
      </w:r>
      <w:r>
        <w:rPr>
          <w:sz w:val="24"/>
        </w:rPr>
        <w:t>severe</w:t>
      </w:r>
      <w:r>
        <w:rPr>
          <w:spacing w:val="-3"/>
          <w:sz w:val="24"/>
        </w:rPr>
        <w:t> </w:t>
      </w:r>
      <w:r>
        <w:rPr>
          <w:sz w:val="24"/>
        </w:rPr>
        <w:t>disability</w:t>
      </w:r>
      <w:r>
        <w:rPr>
          <w:spacing w:val="-4"/>
          <w:sz w:val="24"/>
        </w:rPr>
        <w:t> </w:t>
      </w:r>
      <w:r>
        <w:rPr>
          <w:sz w:val="24"/>
        </w:rPr>
        <w:t>for</w:t>
      </w:r>
      <w:r>
        <w:rPr>
          <w:spacing w:val="-3"/>
          <w:sz w:val="24"/>
        </w:rPr>
        <w:t> </w:t>
      </w:r>
      <w:r>
        <w:rPr>
          <w:sz w:val="24"/>
        </w:rPr>
        <w:t>purposed</w:t>
      </w:r>
      <w:r>
        <w:rPr>
          <w:spacing w:val="-4"/>
          <w:sz w:val="24"/>
        </w:rPr>
        <w:t> </w:t>
      </w:r>
      <w:r>
        <w:rPr>
          <w:sz w:val="24"/>
        </w:rPr>
        <w:t>of</w:t>
      </w:r>
      <w:r>
        <w:rPr>
          <w:spacing w:val="-3"/>
          <w:sz w:val="24"/>
        </w:rPr>
        <w:t> </w:t>
      </w:r>
      <w:r>
        <w:rPr>
          <w:sz w:val="24"/>
        </w:rPr>
        <w:t>the</w:t>
      </w:r>
      <w:r>
        <w:rPr>
          <w:spacing w:val="-5"/>
          <w:sz w:val="24"/>
        </w:rPr>
        <w:t> </w:t>
      </w:r>
      <w:r>
        <w:rPr>
          <w:sz w:val="24"/>
        </w:rPr>
        <w:t>Optional</w:t>
      </w:r>
      <w:r>
        <w:rPr>
          <w:spacing w:val="-4"/>
          <w:sz w:val="24"/>
        </w:rPr>
        <w:t> </w:t>
      </w:r>
      <w:r>
        <w:rPr>
          <w:sz w:val="24"/>
        </w:rPr>
        <w:t>Program</w:t>
      </w:r>
      <w:r>
        <w:rPr>
          <w:spacing w:val="-3"/>
          <w:sz w:val="24"/>
        </w:rPr>
        <w:t> </w:t>
      </w:r>
      <w:r>
        <w:rPr>
          <w:sz w:val="24"/>
        </w:rPr>
        <w:t>for</w:t>
      </w:r>
      <w:r>
        <w:rPr>
          <w:spacing w:val="-5"/>
          <w:sz w:val="24"/>
        </w:rPr>
        <w:t> </w:t>
      </w:r>
      <w:r>
        <w:rPr>
          <w:sz w:val="24"/>
        </w:rPr>
        <w:t>Hiring Applicants with Disabilities (HB-1340), DRS counselor and supervisors will complete the </w:t>
      </w:r>
      <w:hyperlink r:id="rId70">
        <w:r>
          <w:rPr>
            <w:color w:val="0000FF"/>
            <w:sz w:val="24"/>
            <w:u w:val="single" w:color="0000FF"/>
          </w:rPr>
          <w:t>DRS-C-63</w:t>
        </w:r>
      </w:hyperlink>
      <w:r>
        <w:rPr>
          <w:color w:val="0000FF"/>
          <w:sz w:val="24"/>
          <w:u w:val="none"/>
        </w:rPr>
        <w:t> </w:t>
      </w:r>
      <w:r>
        <w:rPr>
          <w:sz w:val="24"/>
          <w:u w:val="none"/>
        </w:rPr>
        <w:t>form (Certification as a Person with a Severe Disability) and email it directly to the following Human Capital Management (HCM) Applicant Services Division Personnel:</w:t>
      </w:r>
    </w:p>
    <w:p>
      <w:pPr>
        <w:pStyle w:val="BodyText"/>
        <w:spacing w:line="417" w:lineRule="auto" w:before="210"/>
        <w:ind w:left="791" w:right="4780"/>
      </w:pPr>
      <w:r>
        <w:rPr/>
        <w:t>HCM</w:t>
      </w:r>
      <w:r>
        <w:rPr>
          <w:spacing w:val="-13"/>
        </w:rPr>
        <w:t> </w:t>
      </w:r>
      <w:r>
        <w:rPr/>
        <w:t>Applicant</w:t>
      </w:r>
      <w:r>
        <w:rPr>
          <w:spacing w:val="-13"/>
        </w:rPr>
        <w:t> </w:t>
      </w:r>
      <w:r>
        <w:rPr/>
        <w:t>Services</w:t>
      </w:r>
      <w:r>
        <w:rPr>
          <w:spacing w:val="-14"/>
        </w:rPr>
        <w:t> </w:t>
      </w:r>
      <w:r>
        <w:rPr/>
        <w:t>Division Administrative Assistant</w:t>
      </w:r>
    </w:p>
    <w:p>
      <w:pPr>
        <w:pStyle w:val="BodyText"/>
        <w:spacing w:line="417" w:lineRule="auto" w:before="0"/>
        <w:ind w:left="791" w:right="4387"/>
      </w:pPr>
      <w:r>
        <w:rPr/>
        <w:t>Rebecca Coyote, </w:t>
      </w:r>
      <w:hyperlink r:id="rId71">
        <w:r>
          <w:rPr>
            <w:color w:val="0000FF"/>
            <w:u w:val="single" w:color="0000FF"/>
          </w:rPr>
          <w:t>rebecca.coyote@omes.ok.gov</w:t>
        </w:r>
      </w:hyperlink>
      <w:r>
        <w:rPr>
          <w:color w:val="0000FF"/>
          <w:u w:val="none"/>
        </w:rPr>
        <w:t> </w:t>
      </w:r>
      <w:r>
        <w:rPr>
          <w:u w:val="none"/>
        </w:rPr>
        <w:t>CC</w:t>
      </w:r>
      <w:r>
        <w:rPr>
          <w:spacing w:val="-8"/>
          <w:u w:val="none"/>
        </w:rPr>
        <w:t> </w:t>
      </w:r>
      <w:r>
        <w:rPr>
          <w:u w:val="none"/>
        </w:rPr>
        <w:t>to</w:t>
      </w:r>
      <w:r>
        <w:rPr>
          <w:spacing w:val="-8"/>
          <w:u w:val="none"/>
        </w:rPr>
        <w:t> </w:t>
      </w:r>
      <w:r>
        <w:rPr>
          <w:u w:val="none"/>
        </w:rPr>
        <w:t>Human</w:t>
      </w:r>
      <w:r>
        <w:rPr>
          <w:spacing w:val="-8"/>
          <w:u w:val="none"/>
        </w:rPr>
        <w:t> </w:t>
      </w:r>
      <w:r>
        <w:rPr>
          <w:u w:val="none"/>
        </w:rPr>
        <w:t>Resources</w:t>
      </w:r>
      <w:r>
        <w:rPr>
          <w:spacing w:val="-8"/>
          <w:u w:val="none"/>
        </w:rPr>
        <w:t> </w:t>
      </w:r>
      <w:r>
        <w:rPr>
          <w:u w:val="none"/>
        </w:rPr>
        <w:t>Management</w:t>
      </w:r>
      <w:r>
        <w:rPr>
          <w:spacing w:val="-7"/>
          <w:u w:val="none"/>
        </w:rPr>
        <w:t> </w:t>
      </w:r>
      <w:r>
        <w:rPr>
          <w:u w:val="none"/>
        </w:rPr>
        <w:t>Specialist Melissa Jolly, </w:t>
      </w:r>
      <w:hyperlink r:id="rId72">
        <w:r>
          <w:rPr>
            <w:color w:val="0000FF"/>
            <w:u w:val="single" w:color="0000FF"/>
          </w:rPr>
          <w:t>melissa.jolly@omes.ok.gov</w:t>
        </w:r>
      </w:hyperlink>
    </w:p>
    <w:p>
      <w:pPr>
        <w:pStyle w:val="BodyText"/>
        <w:spacing w:after="0" w:line="417" w:lineRule="auto"/>
        <w:sectPr>
          <w:pgSz w:w="12240" w:h="15840"/>
          <w:pgMar w:top="1340" w:bottom="280" w:left="1080" w:right="720"/>
        </w:sectPr>
      </w:pPr>
    </w:p>
    <w:p>
      <w:pPr>
        <w:pStyle w:val="BodyText"/>
        <w:spacing w:line="208" w:lineRule="auto" w:before="96"/>
        <w:ind w:left="791" w:right="739"/>
      </w:pPr>
      <w:r>
        <w:rPr/>
        <w:t>Additional</w:t>
      </w:r>
      <w:r>
        <w:rPr>
          <w:spacing w:val="-4"/>
        </w:rPr>
        <w:t> </w:t>
      </w:r>
      <w:r>
        <w:rPr/>
        <w:t>information</w:t>
      </w:r>
      <w:r>
        <w:rPr>
          <w:spacing w:val="-5"/>
        </w:rPr>
        <w:t> </w:t>
      </w:r>
      <w:r>
        <w:rPr/>
        <w:t>on</w:t>
      </w:r>
      <w:r>
        <w:rPr>
          <w:spacing w:val="-4"/>
        </w:rPr>
        <w:t> </w:t>
      </w:r>
      <w:r>
        <w:rPr/>
        <w:t>the</w:t>
      </w:r>
      <w:r>
        <w:rPr>
          <w:spacing w:val="-4"/>
        </w:rPr>
        <w:t> </w:t>
      </w:r>
      <w:r>
        <w:rPr/>
        <w:t>Optional</w:t>
      </w:r>
      <w:r>
        <w:rPr>
          <w:spacing w:val="-4"/>
        </w:rPr>
        <w:t> </w:t>
      </w:r>
      <w:r>
        <w:rPr/>
        <w:t>Program</w:t>
      </w:r>
      <w:r>
        <w:rPr>
          <w:spacing w:val="-3"/>
        </w:rPr>
        <w:t> </w:t>
      </w:r>
      <w:r>
        <w:rPr/>
        <w:t>for</w:t>
      </w:r>
      <w:r>
        <w:rPr>
          <w:spacing w:val="-5"/>
        </w:rPr>
        <w:t> </w:t>
      </w:r>
      <w:r>
        <w:rPr/>
        <w:t>Hiring</w:t>
      </w:r>
      <w:r>
        <w:rPr>
          <w:spacing w:val="-4"/>
        </w:rPr>
        <w:t> </w:t>
      </w:r>
      <w:r>
        <w:rPr/>
        <w:t>Applicants</w:t>
      </w:r>
      <w:r>
        <w:rPr>
          <w:spacing w:val="-4"/>
        </w:rPr>
        <w:t> </w:t>
      </w:r>
      <w:r>
        <w:rPr/>
        <w:t>with</w:t>
      </w:r>
      <w:r>
        <w:rPr>
          <w:spacing w:val="-4"/>
        </w:rPr>
        <w:t> </w:t>
      </w:r>
      <w:r>
        <w:rPr/>
        <w:t>Disabilities may be found on the HCM website at:</w:t>
      </w:r>
    </w:p>
    <w:p>
      <w:pPr>
        <w:pStyle w:val="BodyText"/>
        <w:spacing w:line="208" w:lineRule="auto"/>
        <w:ind w:left="791" w:right="775"/>
      </w:pPr>
      <w:hyperlink r:id="rId73">
        <w:r>
          <w:rPr>
            <w:color w:val="0000FF"/>
            <w:spacing w:val="-2"/>
            <w:u w:val="single" w:color="0000FF"/>
          </w:rPr>
          <w:t>http://www.ok.gov/opm/State_Jobs/Optional_Program_for_Hiring_Applicants_with_</w:t>
        </w:r>
      </w:hyperlink>
      <w:r>
        <w:rPr>
          <w:color w:val="0000FF"/>
          <w:spacing w:val="-2"/>
          <w:u w:val="none"/>
        </w:rPr>
        <w:t> </w:t>
      </w:r>
      <w:hyperlink r:id="rId73">
        <w:r>
          <w:rPr>
            <w:color w:val="0000FF"/>
            <w:spacing w:val="-2"/>
            <w:u w:val="single" w:color="0000FF"/>
          </w:rPr>
          <w:t>Disabilities.html</w:t>
        </w:r>
      </w:hyperlink>
    </w:p>
    <w:p>
      <w:pPr>
        <w:pStyle w:val="ListParagraph"/>
        <w:numPr>
          <w:ilvl w:val="1"/>
          <w:numId w:val="250"/>
        </w:numPr>
        <w:tabs>
          <w:tab w:pos="1077" w:val="left" w:leader="none"/>
        </w:tabs>
        <w:spacing w:line="208" w:lineRule="auto" w:before="239" w:after="0"/>
        <w:ind w:left="791" w:right="829" w:firstLine="0"/>
        <w:jc w:val="left"/>
        <w:rPr>
          <w:sz w:val="24"/>
        </w:rPr>
      </w:pPr>
      <w:r>
        <w:rPr>
          <w:sz w:val="24"/>
        </w:rPr>
        <w:t>The individual will be provided the original and a copy of the completed DRS Form</w:t>
      </w:r>
      <w:r>
        <w:rPr>
          <w:spacing w:val="-3"/>
          <w:sz w:val="24"/>
        </w:rPr>
        <w:t> </w:t>
      </w:r>
      <w:r>
        <w:rPr>
          <w:sz w:val="24"/>
        </w:rPr>
        <w:t>DRS-C-063</w:t>
      </w:r>
      <w:r>
        <w:rPr>
          <w:spacing w:val="-4"/>
          <w:sz w:val="24"/>
        </w:rPr>
        <w:t> </w:t>
      </w:r>
      <w:r>
        <w:rPr>
          <w:sz w:val="24"/>
        </w:rPr>
        <w:t>(Certification</w:t>
      </w:r>
      <w:r>
        <w:rPr>
          <w:spacing w:val="-4"/>
          <w:sz w:val="24"/>
        </w:rPr>
        <w:t> </w:t>
      </w:r>
      <w:r>
        <w:rPr>
          <w:sz w:val="24"/>
        </w:rPr>
        <w:t>as</w:t>
      </w:r>
      <w:r>
        <w:rPr>
          <w:spacing w:val="-4"/>
          <w:sz w:val="24"/>
        </w:rPr>
        <w:t> </w:t>
      </w:r>
      <w:r>
        <w:rPr>
          <w:sz w:val="24"/>
        </w:rPr>
        <w:t>a</w:t>
      </w:r>
      <w:r>
        <w:rPr>
          <w:spacing w:val="-4"/>
          <w:sz w:val="24"/>
        </w:rPr>
        <w:t> </w:t>
      </w:r>
      <w:r>
        <w:rPr>
          <w:sz w:val="24"/>
        </w:rPr>
        <w:t>Person</w:t>
      </w:r>
      <w:r>
        <w:rPr>
          <w:spacing w:val="-4"/>
          <w:sz w:val="24"/>
        </w:rPr>
        <w:t> </w:t>
      </w:r>
      <w:r>
        <w:rPr>
          <w:sz w:val="24"/>
        </w:rPr>
        <w:t>with</w:t>
      </w:r>
      <w:r>
        <w:rPr>
          <w:spacing w:val="-4"/>
          <w:sz w:val="24"/>
        </w:rPr>
        <w:t> </w:t>
      </w:r>
      <w:r>
        <w:rPr>
          <w:sz w:val="24"/>
        </w:rPr>
        <w:t>a</w:t>
      </w:r>
      <w:r>
        <w:rPr>
          <w:spacing w:val="-4"/>
          <w:sz w:val="24"/>
        </w:rPr>
        <w:t> </w:t>
      </w:r>
      <w:r>
        <w:rPr>
          <w:sz w:val="24"/>
        </w:rPr>
        <w:t>Severe</w:t>
      </w:r>
      <w:r>
        <w:rPr>
          <w:spacing w:val="-4"/>
          <w:sz w:val="24"/>
        </w:rPr>
        <w:t> </w:t>
      </w:r>
      <w:r>
        <w:rPr>
          <w:sz w:val="24"/>
        </w:rPr>
        <w:t>Disability).</w:t>
      </w:r>
      <w:r>
        <w:rPr>
          <w:spacing w:val="-4"/>
          <w:sz w:val="24"/>
        </w:rPr>
        <w:t> </w:t>
      </w:r>
      <w:r>
        <w:rPr>
          <w:sz w:val="24"/>
        </w:rPr>
        <w:t>One</w:t>
      </w:r>
      <w:r>
        <w:rPr>
          <w:spacing w:val="-4"/>
          <w:sz w:val="24"/>
        </w:rPr>
        <w:t> </w:t>
      </w:r>
      <w:r>
        <w:rPr>
          <w:sz w:val="24"/>
        </w:rPr>
        <w:t>copy</w:t>
      </w:r>
      <w:r>
        <w:rPr>
          <w:spacing w:val="-4"/>
          <w:sz w:val="24"/>
        </w:rPr>
        <w:t> </w:t>
      </w:r>
      <w:r>
        <w:rPr>
          <w:sz w:val="24"/>
        </w:rPr>
        <w:t>will be retained in the DRS local office with the verifying information either in the individual's case file or in a central file for this purpose.</w:t>
      </w:r>
    </w:p>
    <w:p>
      <w:pPr>
        <w:pStyle w:val="ListParagraph"/>
        <w:numPr>
          <w:ilvl w:val="1"/>
          <w:numId w:val="250"/>
        </w:numPr>
        <w:tabs>
          <w:tab w:pos="1077" w:val="left" w:leader="none"/>
        </w:tabs>
        <w:spacing w:line="208" w:lineRule="auto" w:before="240" w:after="0"/>
        <w:ind w:left="791" w:right="788" w:firstLine="0"/>
        <w:jc w:val="left"/>
        <w:rPr>
          <w:sz w:val="24"/>
        </w:rPr>
      </w:pPr>
      <w:r>
        <w:rPr>
          <w:sz w:val="24"/>
        </w:rPr>
        <w:t>The applicant should be advised to complete an online application for the position(s) desired by using HCM's web-based application system at </w:t>
      </w:r>
      <w:hyperlink r:id="rId74">
        <w:r>
          <w:rPr>
            <w:color w:val="0000FF"/>
            <w:sz w:val="24"/>
            <w:u w:val="single" w:color="0000FF"/>
          </w:rPr>
          <w:t>http://ok.gov/opm/State_Jobs/How_to_Apply/index.html</w:t>
        </w:r>
      </w:hyperlink>
      <w:r>
        <w:rPr>
          <w:sz w:val="24"/>
          <w:u w:val="none"/>
        </w:rPr>
        <w:t>. When HCM has both the DRS letter certifying severe disability and the applicant's completed job application(s), it will review the applicant's qualifications. If the applicant meets the minimum qualifications for the job(s) desired, HCM will send the person a notice confirming</w:t>
      </w:r>
      <w:r>
        <w:rPr>
          <w:spacing w:val="-3"/>
          <w:sz w:val="24"/>
          <w:u w:val="none"/>
        </w:rPr>
        <w:t> </w:t>
      </w:r>
      <w:r>
        <w:rPr>
          <w:sz w:val="24"/>
          <w:u w:val="none"/>
        </w:rPr>
        <w:t>that</w:t>
      </w:r>
      <w:r>
        <w:rPr>
          <w:spacing w:val="-2"/>
          <w:sz w:val="24"/>
          <w:u w:val="none"/>
        </w:rPr>
        <w:t> </w:t>
      </w:r>
      <w:r>
        <w:rPr>
          <w:sz w:val="24"/>
          <w:u w:val="none"/>
        </w:rPr>
        <w:t>his/her</w:t>
      </w:r>
      <w:r>
        <w:rPr>
          <w:spacing w:val="-4"/>
          <w:sz w:val="24"/>
          <w:u w:val="none"/>
        </w:rPr>
        <w:t> </w:t>
      </w:r>
      <w:r>
        <w:rPr>
          <w:sz w:val="24"/>
          <w:u w:val="none"/>
        </w:rPr>
        <w:t>name</w:t>
      </w:r>
      <w:r>
        <w:rPr>
          <w:spacing w:val="-3"/>
          <w:sz w:val="24"/>
          <w:u w:val="none"/>
        </w:rPr>
        <w:t> </w:t>
      </w:r>
      <w:r>
        <w:rPr>
          <w:sz w:val="24"/>
          <w:u w:val="none"/>
        </w:rPr>
        <w:t>has</w:t>
      </w:r>
      <w:r>
        <w:rPr>
          <w:spacing w:val="-4"/>
          <w:sz w:val="24"/>
          <w:u w:val="none"/>
        </w:rPr>
        <w:t> </w:t>
      </w:r>
      <w:r>
        <w:rPr>
          <w:sz w:val="24"/>
          <w:u w:val="none"/>
        </w:rPr>
        <w:t>been</w:t>
      </w:r>
      <w:r>
        <w:rPr>
          <w:spacing w:val="-3"/>
          <w:sz w:val="24"/>
          <w:u w:val="none"/>
        </w:rPr>
        <w:t> </w:t>
      </w:r>
      <w:r>
        <w:rPr>
          <w:sz w:val="24"/>
          <w:u w:val="none"/>
        </w:rPr>
        <w:t>placed</w:t>
      </w:r>
      <w:r>
        <w:rPr>
          <w:spacing w:val="-3"/>
          <w:sz w:val="24"/>
          <w:u w:val="none"/>
        </w:rPr>
        <w:t> </w:t>
      </w:r>
      <w:r>
        <w:rPr>
          <w:sz w:val="24"/>
          <w:u w:val="none"/>
        </w:rPr>
        <w:t>on</w:t>
      </w:r>
      <w:r>
        <w:rPr>
          <w:spacing w:val="-3"/>
          <w:sz w:val="24"/>
          <w:u w:val="none"/>
        </w:rPr>
        <w:t> </w:t>
      </w:r>
      <w:r>
        <w:rPr>
          <w:sz w:val="24"/>
          <w:u w:val="none"/>
        </w:rPr>
        <w:t>the</w:t>
      </w:r>
      <w:r>
        <w:rPr>
          <w:spacing w:val="-3"/>
          <w:sz w:val="24"/>
          <w:u w:val="none"/>
        </w:rPr>
        <w:t> </w:t>
      </w:r>
      <w:r>
        <w:rPr>
          <w:sz w:val="24"/>
          <w:u w:val="none"/>
        </w:rPr>
        <w:t>eligible</w:t>
      </w:r>
      <w:r>
        <w:rPr>
          <w:spacing w:val="-3"/>
          <w:sz w:val="24"/>
          <w:u w:val="none"/>
        </w:rPr>
        <w:t> </w:t>
      </w:r>
      <w:r>
        <w:rPr>
          <w:sz w:val="24"/>
          <w:u w:val="none"/>
        </w:rPr>
        <w:t>list</w:t>
      </w:r>
      <w:r>
        <w:rPr>
          <w:spacing w:val="-2"/>
          <w:sz w:val="24"/>
          <w:u w:val="none"/>
        </w:rPr>
        <w:t> </w:t>
      </w:r>
      <w:r>
        <w:rPr>
          <w:sz w:val="24"/>
          <w:u w:val="none"/>
        </w:rPr>
        <w:t>for</w:t>
      </w:r>
      <w:r>
        <w:rPr>
          <w:spacing w:val="-4"/>
          <w:sz w:val="24"/>
          <w:u w:val="none"/>
        </w:rPr>
        <w:t> </w:t>
      </w:r>
      <w:r>
        <w:rPr>
          <w:sz w:val="24"/>
          <w:u w:val="none"/>
        </w:rPr>
        <w:t>that</w:t>
      </w:r>
      <w:r>
        <w:rPr>
          <w:spacing w:val="-2"/>
          <w:sz w:val="24"/>
          <w:u w:val="none"/>
        </w:rPr>
        <w:t> </w:t>
      </w:r>
      <w:r>
        <w:rPr>
          <w:sz w:val="24"/>
          <w:u w:val="none"/>
        </w:rPr>
        <w:t>job</w:t>
      </w:r>
      <w:r>
        <w:rPr>
          <w:spacing w:val="-3"/>
          <w:sz w:val="24"/>
          <w:u w:val="none"/>
        </w:rPr>
        <w:t> </w:t>
      </w:r>
      <w:r>
        <w:rPr>
          <w:sz w:val="24"/>
          <w:u w:val="none"/>
        </w:rPr>
        <w:t>class</w:t>
      </w:r>
      <w:r>
        <w:rPr>
          <w:spacing w:val="-3"/>
          <w:sz w:val="24"/>
          <w:u w:val="none"/>
        </w:rPr>
        <w:t> </w:t>
      </w:r>
      <w:r>
        <w:rPr>
          <w:sz w:val="24"/>
          <w:u w:val="none"/>
        </w:rPr>
        <w:t>or classes.</w:t>
      </w:r>
      <w:r>
        <w:rPr>
          <w:spacing w:val="-3"/>
          <w:sz w:val="24"/>
          <w:u w:val="none"/>
        </w:rPr>
        <w:t> </w:t>
      </w:r>
      <w:r>
        <w:rPr>
          <w:sz w:val="24"/>
          <w:u w:val="none"/>
        </w:rPr>
        <w:t>The</w:t>
      </w:r>
      <w:r>
        <w:rPr>
          <w:spacing w:val="-4"/>
          <w:sz w:val="24"/>
          <w:u w:val="none"/>
        </w:rPr>
        <w:t> </w:t>
      </w:r>
      <w:r>
        <w:rPr>
          <w:sz w:val="24"/>
          <w:u w:val="none"/>
        </w:rPr>
        <w:t>HCM</w:t>
      </w:r>
      <w:r>
        <w:rPr>
          <w:spacing w:val="-3"/>
          <w:sz w:val="24"/>
          <w:u w:val="none"/>
        </w:rPr>
        <w:t> </w:t>
      </w:r>
      <w:r>
        <w:rPr>
          <w:sz w:val="24"/>
          <w:u w:val="none"/>
        </w:rPr>
        <w:t>application</w:t>
      </w:r>
      <w:r>
        <w:rPr>
          <w:spacing w:val="-4"/>
          <w:sz w:val="24"/>
          <w:u w:val="none"/>
        </w:rPr>
        <w:t> </w:t>
      </w:r>
      <w:r>
        <w:rPr>
          <w:sz w:val="24"/>
          <w:u w:val="none"/>
        </w:rPr>
        <w:t>and</w:t>
      </w:r>
      <w:r>
        <w:rPr>
          <w:spacing w:val="-3"/>
          <w:sz w:val="24"/>
          <w:u w:val="none"/>
        </w:rPr>
        <w:t> </w:t>
      </w:r>
      <w:r>
        <w:rPr>
          <w:sz w:val="24"/>
          <w:u w:val="none"/>
        </w:rPr>
        <w:t>DRS</w:t>
      </w:r>
      <w:r>
        <w:rPr>
          <w:spacing w:val="-4"/>
          <w:sz w:val="24"/>
          <w:u w:val="none"/>
        </w:rPr>
        <w:t> </w:t>
      </w:r>
      <w:r>
        <w:rPr>
          <w:sz w:val="24"/>
          <w:u w:val="none"/>
        </w:rPr>
        <w:t>certification</w:t>
      </w:r>
      <w:r>
        <w:rPr>
          <w:spacing w:val="-4"/>
          <w:sz w:val="24"/>
          <w:u w:val="none"/>
        </w:rPr>
        <w:t> </w:t>
      </w:r>
      <w:r>
        <w:rPr>
          <w:sz w:val="24"/>
          <w:u w:val="none"/>
        </w:rPr>
        <w:t>of</w:t>
      </w:r>
      <w:r>
        <w:rPr>
          <w:spacing w:val="-3"/>
          <w:sz w:val="24"/>
          <w:u w:val="none"/>
        </w:rPr>
        <w:t> </w:t>
      </w:r>
      <w:r>
        <w:rPr>
          <w:sz w:val="24"/>
          <w:u w:val="none"/>
        </w:rPr>
        <w:t>severe</w:t>
      </w:r>
      <w:r>
        <w:rPr>
          <w:spacing w:val="-4"/>
          <w:sz w:val="24"/>
          <w:u w:val="none"/>
        </w:rPr>
        <w:t> </w:t>
      </w:r>
      <w:r>
        <w:rPr>
          <w:sz w:val="24"/>
          <w:u w:val="none"/>
        </w:rPr>
        <w:t>disability</w:t>
      </w:r>
      <w:r>
        <w:rPr>
          <w:spacing w:val="-4"/>
          <w:sz w:val="24"/>
          <w:u w:val="none"/>
        </w:rPr>
        <w:t> </w:t>
      </w:r>
      <w:r>
        <w:rPr>
          <w:sz w:val="24"/>
          <w:u w:val="none"/>
        </w:rPr>
        <w:t>are</w:t>
      </w:r>
      <w:r>
        <w:rPr>
          <w:spacing w:val="-4"/>
          <w:sz w:val="24"/>
          <w:u w:val="none"/>
        </w:rPr>
        <w:t> </w:t>
      </w:r>
      <w:r>
        <w:rPr>
          <w:sz w:val="24"/>
          <w:u w:val="none"/>
        </w:rPr>
        <w:t>valid</w:t>
      </w:r>
      <w:r>
        <w:rPr>
          <w:spacing w:val="-4"/>
          <w:sz w:val="24"/>
          <w:u w:val="none"/>
        </w:rPr>
        <w:t> </w:t>
      </w:r>
      <w:r>
        <w:rPr>
          <w:sz w:val="24"/>
          <w:u w:val="none"/>
        </w:rPr>
        <w:t>for one year. To remain eligible for a position as an "Optional Program" applicant after one year has elapsed, a new HCM application and certification of severe disability must be submitted to HCM.</w:t>
      </w:r>
    </w:p>
    <w:p>
      <w:pPr>
        <w:pStyle w:val="ListParagraph"/>
        <w:numPr>
          <w:ilvl w:val="1"/>
          <w:numId w:val="250"/>
        </w:numPr>
        <w:tabs>
          <w:tab w:pos="1077" w:val="left" w:leader="none"/>
        </w:tabs>
        <w:spacing w:line="208" w:lineRule="auto" w:before="239" w:after="0"/>
        <w:ind w:left="791" w:right="917" w:firstLine="0"/>
        <w:jc w:val="left"/>
        <w:rPr>
          <w:sz w:val="24"/>
        </w:rPr>
      </w:pPr>
      <w:r>
        <w:rPr>
          <w:sz w:val="24"/>
        </w:rPr>
        <w:t>The</w:t>
      </w:r>
      <w:r>
        <w:rPr>
          <w:spacing w:val="-4"/>
          <w:sz w:val="24"/>
        </w:rPr>
        <w:t> </w:t>
      </w:r>
      <w:r>
        <w:rPr>
          <w:sz w:val="24"/>
        </w:rPr>
        <w:t>Optional</w:t>
      </w:r>
      <w:r>
        <w:rPr>
          <w:spacing w:val="-4"/>
          <w:sz w:val="24"/>
        </w:rPr>
        <w:t> </w:t>
      </w:r>
      <w:r>
        <w:rPr>
          <w:sz w:val="24"/>
        </w:rPr>
        <w:t>Program</w:t>
      </w:r>
      <w:r>
        <w:rPr>
          <w:spacing w:val="-3"/>
          <w:sz w:val="24"/>
        </w:rPr>
        <w:t> </w:t>
      </w:r>
      <w:r>
        <w:rPr>
          <w:sz w:val="24"/>
        </w:rPr>
        <w:t>for</w:t>
      </w:r>
      <w:r>
        <w:rPr>
          <w:spacing w:val="-3"/>
          <w:sz w:val="24"/>
        </w:rPr>
        <w:t> </w:t>
      </w:r>
      <w:r>
        <w:rPr>
          <w:sz w:val="24"/>
        </w:rPr>
        <w:t>Hiring</w:t>
      </w:r>
      <w:r>
        <w:rPr>
          <w:spacing w:val="-5"/>
          <w:sz w:val="24"/>
        </w:rPr>
        <w:t> </w:t>
      </w:r>
      <w:r>
        <w:rPr>
          <w:sz w:val="24"/>
        </w:rPr>
        <w:t>Applicants</w:t>
      </w:r>
      <w:r>
        <w:rPr>
          <w:spacing w:val="-4"/>
          <w:sz w:val="24"/>
        </w:rPr>
        <w:t> </w:t>
      </w:r>
      <w:r>
        <w:rPr>
          <w:sz w:val="24"/>
        </w:rPr>
        <w:t>with</w:t>
      </w:r>
      <w:r>
        <w:rPr>
          <w:spacing w:val="-4"/>
          <w:sz w:val="24"/>
        </w:rPr>
        <w:t> </w:t>
      </w:r>
      <w:r>
        <w:rPr>
          <w:sz w:val="24"/>
        </w:rPr>
        <w:t>Disabilities</w:t>
      </w:r>
      <w:r>
        <w:rPr>
          <w:spacing w:val="-4"/>
          <w:sz w:val="24"/>
        </w:rPr>
        <w:t> </w:t>
      </w:r>
      <w:r>
        <w:rPr>
          <w:sz w:val="24"/>
        </w:rPr>
        <w:t>is</w:t>
      </w:r>
      <w:r>
        <w:rPr>
          <w:spacing w:val="-4"/>
          <w:sz w:val="24"/>
        </w:rPr>
        <w:t> </w:t>
      </w:r>
      <w:r>
        <w:rPr>
          <w:sz w:val="24"/>
        </w:rPr>
        <w:t>an</w:t>
      </w:r>
      <w:r>
        <w:rPr>
          <w:spacing w:val="-4"/>
          <w:sz w:val="24"/>
        </w:rPr>
        <w:t> </w:t>
      </w:r>
      <w:r>
        <w:rPr>
          <w:sz w:val="24"/>
        </w:rPr>
        <w:t>additional</w:t>
      </w:r>
      <w:r>
        <w:rPr>
          <w:spacing w:val="-4"/>
          <w:sz w:val="24"/>
        </w:rPr>
        <w:t> </w:t>
      </w:r>
      <w:r>
        <w:rPr>
          <w:sz w:val="24"/>
        </w:rPr>
        <w:t>way individuals with severe disabilities may apply for state jobs. Such individuals may also utilize the standard Merit System application process, or use both application protocols concurrently.</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7-1-96</w:t>
      </w:r>
      <w:r>
        <w:rPr>
          <w:sz w:val="22"/>
        </w:rPr>
        <w:tab/>
        <w:t>PT Memo #96-5</w:t>
      </w:r>
    </w:p>
    <w:p>
      <w:pPr>
        <w:spacing w:before="0"/>
        <w:ind w:left="1439" w:right="0" w:firstLine="0"/>
        <w:jc w:val="left"/>
        <w:rPr>
          <w:sz w:val="22"/>
        </w:rPr>
      </w:pPr>
      <w:r>
        <w:rPr>
          <w:sz w:val="22"/>
        </w:rPr>
        <w:t>Permanent,</w:t>
      </w:r>
      <w:r>
        <w:rPr>
          <w:spacing w:val="-7"/>
          <w:sz w:val="22"/>
        </w:rPr>
        <w:t> </w:t>
      </w:r>
      <w:r>
        <w:rPr>
          <w:sz w:val="22"/>
        </w:rPr>
        <w:t>changed</w:t>
      </w:r>
      <w:r>
        <w:rPr>
          <w:spacing w:val="-7"/>
          <w:sz w:val="22"/>
        </w:rPr>
        <w:t> </w:t>
      </w:r>
      <w:r>
        <w:rPr>
          <w:sz w:val="22"/>
        </w:rPr>
        <w:t>wording</w:t>
      </w:r>
      <w:r>
        <w:rPr>
          <w:spacing w:val="-8"/>
          <w:sz w:val="22"/>
        </w:rPr>
        <w:t> </w:t>
      </w:r>
      <w:r>
        <w:rPr>
          <w:sz w:val="22"/>
        </w:rPr>
        <w:t>to</w:t>
      </w:r>
      <w:r>
        <w:rPr>
          <w:spacing w:val="-7"/>
          <w:sz w:val="22"/>
        </w:rPr>
        <w:t> </w:t>
      </w:r>
      <w:r>
        <w:rPr>
          <w:sz w:val="22"/>
        </w:rPr>
        <w:t>conform</w:t>
      </w:r>
      <w:r>
        <w:rPr>
          <w:spacing w:val="-9"/>
          <w:sz w:val="22"/>
        </w:rPr>
        <w:t> </w:t>
      </w:r>
      <w:r>
        <w:rPr>
          <w:sz w:val="22"/>
        </w:rPr>
        <w:t>to</w:t>
      </w:r>
      <w:r>
        <w:rPr>
          <w:spacing w:val="-7"/>
          <w:sz w:val="22"/>
        </w:rPr>
        <w:t> </w:t>
      </w:r>
      <w:r>
        <w:rPr>
          <w:sz w:val="22"/>
        </w:rPr>
        <w:t>amended</w:t>
      </w:r>
      <w:r>
        <w:rPr>
          <w:spacing w:val="-8"/>
          <w:sz w:val="22"/>
        </w:rPr>
        <w:t> </w:t>
      </w:r>
      <w:r>
        <w:rPr>
          <w:sz w:val="22"/>
        </w:rPr>
        <w:t>Oklahoma</w:t>
      </w:r>
      <w:r>
        <w:rPr>
          <w:spacing w:val="-7"/>
          <w:sz w:val="22"/>
        </w:rPr>
        <w:t> </w:t>
      </w:r>
      <w:r>
        <w:rPr>
          <w:sz w:val="22"/>
        </w:rPr>
        <w:t>statute</w:t>
      </w:r>
      <w:r>
        <w:rPr>
          <w:spacing w:val="-7"/>
          <w:sz w:val="22"/>
        </w:rPr>
        <w:t> </w:t>
      </w:r>
      <w:r>
        <w:rPr>
          <w:sz w:val="22"/>
        </w:rPr>
        <w:t>74</w:t>
      </w:r>
      <w:r>
        <w:rPr>
          <w:spacing w:val="-8"/>
          <w:sz w:val="22"/>
        </w:rPr>
        <w:t> </w:t>
      </w:r>
      <w:r>
        <w:rPr>
          <w:spacing w:val="-5"/>
          <w:sz w:val="22"/>
        </w:rPr>
        <w:t>OS</w:t>
      </w:r>
    </w:p>
    <w:p>
      <w:pPr>
        <w:spacing w:line="253" w:lineRule="exact" w:before="0"/>
        <w:ind w:left="359" w:right="0" w:firstLine="0"/>
        <w:jc w:val="left"/>
        <w:rPr>
          <w:sz w:val="22"/>
        </w:rPr>
      </w:pPr>
      <w:r>
        <w:rPr>
          <w:spacing w:val="-2"/>
          <w:sz w:val="22"/>
        </w:rPr>
        <w:t>840.19</w:t>
      </w:r>
    </w:p>
    <w:p>
      <w:pPr>
        <w:tabs>
          <w:tab w:pos="1439" w:val="left" w:leader="none"/>
        </w:tabs>
        <w:spacing w:line="253" w:lineRule="exact" w:before="0"/>
        <w:ind w:left="359" w:right="0" w:firstLine="0"/>
        <w:jc w:val="left"/>
        <w:rPr>
          <w:sz w:val="22"/>
        </w:rPr>
      </w:pPr>
      <w:r>
        <w:rPr>
          <w:spacing w:val="-2"/>
          <w:sz w:val="22"/>
        </w:rPr>
        <w:t>3-1-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5</w:t>
      </w:r>
    </w:p>
    <w:p>
      <w:pPr>
        <w:tabs>
          <w:tab w:pos="1439" w:val="left" w:leader="none"/>
        </w:tabs>
        <w:spacing w:before="1"/>
        <w:ind w:left="359" w:right="6723" w:firstLine="1080"/>
        <w:jc w:val="left"/>
        <w:rPr>
          <w:sz w:val="22"/>
        </w:rPr>
      </w:pPr>
      <w:r>
        <w:rPr>
          <w:sz w:val="22"/>
        </w:rPr>
        <w:t>ITS,</w:t>
      </w:r>
      <w:r>
        <w:rPr>
          <w:spacing w:val="-16"/>
          <w:sz w:val="22"/>
        </w:rPr>
        <w:t> </w:t>
      </w:r>
      <w:r>
        <w:rPr>
          <w:sz w:val="22"/>
        </w:rPr>
        <w:t>legislative</w:t>
      </w:r>
      <w:r>
        <w:rPr>
          <w:spacing w:val="-15"/>
          <w:sz w:val="22"/>
        </w:rPr>
        <w:t> </w:t>
      </w:r>
      <w:r>
        <w:rPr>
          <w:sz w:val="22"/>
        </w:rPr>
        <w:t>updates </w:t>
      </w:r>
      <w:r>
        <w:rPr>
          <w:spacing w:val="-2"/>
          <w:sz w:val="22"/>
        </w:rPr>
        <w:t>7-1-97</w:t>
      </w:r>
      <w:r>
        <w:rPr>
          <w:sz w:val="22"/>
        </w:rPr>
        <w:tab/>
        <w:t>PT Memo #97-9</w:t>
      </w:r>
    </w:p>
    <w:p>
      <w:pPr>
        <w:tabs>
          <w:tab w:pos="1439" w:val="left" w:leader="none"/>
        </w:tabs>
        <w:spacing w:before="0"/>
        <w:ind w:left="359" w:right="4326" w:firstLine="1080"/>
        <w:jc w:val="left"/>
        <w:rPr>
          <w:sz w:val="22"/>
        </w:rPr>
      </w:pPr>
      <w:r>
        <w:rPr>
          <w:sz w:val="22"/>
        </w:rPr>
        <w:t>ITS,</w:t>
      </w:r>
      <w:r>
        <w:rPr>
          <w:spacing w:val="-6"/>
          <w:sz w:val="22"/>
        </w:rPr>
        <w:t> </w:t>
      </w:r>
      <w:r>
        <w:rPr>
          <w:sz w:val="22"/>
        </w:rPr>
        <w:t>revised</w:t>
      </w:r>
      <w:r>
        <w:rPr>
          <w:spacing w:val="-7"/>
          <w:sz w:val="22"/>
        </w:rPr>
        <w:t> </w:t>
      </w:r>
      <w:r>
        <w:rPr>
          <w:sz w:val="22"/>
        </w:rPr>
        <w:t>procedures</w:t>
      </w:r>
      <w:r>
        <w:rPr>
          <w:spacing w:val="-7"/>
          <w:sz w:val="22"/>
        </w:rPr>
        <w:t> </w:t>
      </w:r>
      <w:r>
        <w:rPr>
          <w:sz w:val="22"/>
        </w:rPr>
        <w:t>for</w:t>
      </w:r>
      <w:r>
        <w:rPr>
          <w:spacing w:val="-6"/>
          <w:sz w:val="22"/>
        </w:rPr>
        <w:t> </w:t>
      </w:r>
      <w:r>
        <w:rPr>
          <w:sz w:val="22"/>
        </w:rPr>
        <w:t>OPM</w:t>
      </w:r>
      <w:r>
        <w:rPr>
          <w:spacing w:val="-7"/>
          <w:sz w:val="22"/>
        </w:rPr>
        <w:t> </w:t>
      </w:r>
      <w:r>
        <w:rPr>
          <w:sz w:val="22"/>
        </w:rPr>
        <w:t>approval</w:t>
      </w:r>
      <w:r>
        <w:rPr>
          <w:spacing w:val="-6"/>
          <w:sz w:val="22"/>
        </w:rPr>
        <w:t> </w:t>
      </w:r>
      <w:r>
        <w:rPr>
          <w:sz w:val="22"/>
        </w:rPr>
        <w:t>letter </w:t>
      </w:r>
      <w:r>
        <w:rPr>
          <w:spacing w:val="-2"/>
          <w:sz w:val="22"/>
        </w:rPr>
        <w:t>7-1-98</w:t>
      </w:r>
      <w:r>
        <w:rPr>
          <w:sz w:val="22"/>
        </w:rPr>
        <w:tab/>
        <w:t>PT Memo #98-15</w:t>
      </w:r>
    </w:p>
    <w:p>
      <w:pPr>
        <w:tabs>
          <w:tab w:pos="1439" w:val="left" w:leader="none"/>
        </w:tabs>
        <w:spacing w:before="0"/>
        <w:ind w:left="359" w:right="5342" w:firstLine="1080"/>
        <w:jc w:val="left"/>
        <w:rPr>
          <w:sz w:val="22"/>
        </w:rPr>
      </w:pPr>
      <w:r>
        <w:rPr>
          <w:sz w:val="22"/>
        </w:rPr>
        <w:t>Permanent,</w:t>
      </w:r>
      <w:r>
        <w:rPr>
          <w:spacing w:val="-13"/>
          <w:sz w:val="22"/>
        </w:rPr>
        <w:t> </w:t>
      </w:r>
      <w:r>
        <w:rPr>
          <w:sz w:val="22"/>
        </w:rPr>
        <w:t>updated</w:t>
      </w:r>
      <w:r>
        <w:rPr>
          <w:spacing w:val="-13"/>
          <w:sz w:val="22"/>
        </w:rPr>
        <w:t> </w:t>
      </w:r>
      <w:r>
        <w:rPr>
          <w:sz w:val="22"/>
        </w:rPr>
        <w:t>statutory</w:t>
      </w:r>
      <w:r>
        <w:rPr>
          <w:spacing w:val="-13"/>
          <w:sz w:val="22"/>
        </w:rPr>
        <w:t> </w:t>
      </w:r>
      <w:r>
        <w:rPr>
          <w:sz w:val="22"/>
        </w:rPr>
        <w:t>citation </w:t>
      </w:r>
      <w:r>
        <w:rPr>
          <w:spacing w:val="-2"/>
          <w:sz w:val="22"/>
        </w:rPr>
        <w:t>7-1-09</w:t>
      </w:r>
      <w:r>
        <w:rPr>
          <w:sz w:val="22"/>
        </w:rPr>
        <w:tab/>
        <w:t>PT Memo #10-01</w:t>
      </w:r>
    </w:p>
    <w:p>
      <w:pPr>
        <w:spacing w:before="0"/>
        <w:ind w:left="1439" w:right="0" w:firstLine="0"/>
        <w:jc w:val="left"/>
        <w:rPr>
          <w:sz w:val="22"/>
        </w:rPr>
      </w:pPr>
      <w:r>
        <w:rPr>
          <w:sz w:val="22"/>
        </w:rPr>
        <w:t>Permanent,</w:t>
      </w:r>
      <w:r>
        <w:rPr>
          <w:spacing w:val="-9"/>
          <w:sz w:val="22"/>
        </w:rPr>
        <w:t> </w:t>
      </w:r>
      <w:r>
        <w:rPr>
          <w:sz w:val="22"/>
        </w:rPr>
        <w:t>clarification</w:t>
      </w:r>
      <w:r>
        <w:rPr>
          <w:spacing w:val="-10"/>
          <w:sz w:val="22"/>
        </w:rPr>
        <w:t> </w:t>
      </w:r>
      <w:r>
        <w:rPr>
          <w:sz w:val="22"/>
        </w:rPr>
        <w:t>of</w:t>
      </w:r>
      <w:r>
        <w:rPr>
          <w:spacing w:val="-9"/>
          <w:sz w:val="22"/>
        </w:rPr>
        <w:t> </w:t>
      </w:r>
      <w:r>
        <w:rPr>
          <w:spacing w:val="-2"/>
          <w:sz w:val="22"/>
        </w:rPr>
        <w:t>policy</w:t>
      </w:r>
    </w:p>
    <w:p>
      <w:pPr>
        <w:tabs>
          <w:tab w:pos="1439" w:val="left" w:leader="none"/>
        </w:tabs>
        <w:spacing w:before="0"/>
        <w:ind w:left="1439" w:right="1219" w:hanging="1080"/>
        <w:jc w:val="left"/>
        <w:rPr>
          <w:sz w:val="22"/>
        </w:rPr>
      </w:pPr>
      <w:r>
        <w:rPr>
          <w:spacing w:val="-2"/>
          <w:sz w:val="22"/>
        </w:rPr>
        <w:t>9-12-14</w:t>
      </w:r>
      <w:r>
        <w:rPr>
          <w:sz w:val="22"/>
        </w:rPr>
        <w:tab/>
        <w:t>Updated</w:t>
      </w:r>
      <w:r>
        <w:rPr>
          <w:spacing w:val="-3"/>
          <w:sz w:val="22"/>
        </w:rPr>
        <w:t> </w:t>
      </w:r>
      <w:r>
        <w:rPr>
          <w:sz w:val="22"/>
        </w:rPr>
        <w:t>to</w:t>
      </w:r>
      <w:r>
        <w:rPr>
          <w:spacing w:val="-3"/>
          <w:sz w:val="22"/>
        </w:rPr>
        <w:t> </w:t>
      </w:r>
      <w:r>
        <w:rPr>
          <w:sz w:val="22"/>
        </w:rPr>
        <w:t>reflect</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Office</w:t>
      </w:r>
      <w:r>
        <w:rPr>
          <w:spacing w:val="-3"/>
          <w:sz w:val="22"/>
        </w:rPr>
        <w:t> </w:t>
      </w:r>
      <w:r>
        <w:rPr>
          <w:sz w:val="22"/>
        </w:rPr>
        <w:t>of</w:t>
      </w:r>
      <w:r>
        <w:rPr>
          <w:spacing w:val="-3"/>
          <w:sz w:val="22"/>
        </w:rPr>
        <w:t> </w:t>
      </w:r>
      <w:r>
        <w:rPr>
          <w:sz w:val="22"/>
        </w:rPr>
        <w:t>Personnel</w:t>
      </w:r>
      <w:r>
        <w:rPr>
          <w:spacing w:val="-3"/>
          <w:sz w:val="22"/>
        </w:rPr>
        <w:t> </w:t>
      </w:r>
      <w:r>
        <w:rPr>
          <w:sz w:val="22"/>
        </w:rPr>
        <w:t>Management</w:t>
      </w:r>
      <w:r>
        <w:rPr>
          <w:spacing w:val="-3"/>
          <w:sz w:val="22"/>
        </w:rPr>
        <w:t> </w:t>
      </w:r>
      <w:r>
        <w:rPr>
          <w:sz w:val="22"/>
        </w:rPr>
        <w:t>to</w:t>
      </w:r>
      <w:r>
        <w:rPr>
          <w:spacing w:val="-3"/>
          <w:sz w:val="22"/>
        </w:rPr>
        <w:t> </w:t>
      </w:r>
      <w:r>
        <w:rPr>
          <w:sz w:val="22"/>
        </w:rPr>
        <w:t>Office</w:t>
      </w:r>
      <w:r>
        <w:rPr>
          <w:spacing w:val="-3"/>
          <w:sz w:val="22"/>
        </w:rPr>
        <w:t> </w:t>
      </w:r>
      <w:r>
        <w:rPr>
          <w:sz w:val="22"/>
        </w:rPr>
        <w:t>of Human Capital Management (HCM).</w:t>
      </w:r>
    </w:p>
    <w:p>
      <w:pPr>
        <w:pStyle w:val="BodyText"/>
        <w:tabs>
          <w:tab w:pos="1439" w:val="left" w:leader="none"/>
        </w:tabs>
        <w:spacing w:line="243" w:lineRule="exact" w:before="0"/>
      </w:pPr>
      <w:r>
        <w:rPr>
          <w:spacing w:val="-2"/>
        </w:rPr>
        <w:t>9-11-</w:t>
      </w:r>
      <w:r>
        <w:rPr>
          <w:spacing w:val="-5"/>
        </w:rPr>
        <w:t>20</w:t>
      </w:r>
      <w:r>
        <w:rPr/>
        <w:tab/>
        <w:t>Updates</w:t>
      </w:r>
      <w:r>
        <w:rPr>
          <w:spacing w:val="-6"/>
        </w:rPr>
        <w:t> </w:t>
      </w:r>
      <w:r>
        <w:rPr/>
        <w:t>the</w:t>
      </w:r>
      <w:r>
        <w:rPr>
          <w:spacing w:val="-3"/>
        </w:rPr>
        <w:t> </w:t>
      </w:r>
      <w:r>
        <w:rPr/>
        <w:t>citation</w:t>
      </w:r>
      <w:r>
        <w:rPr>
          <w:spacing w:val="-4"/>
        </w:rPr>
        <w:t> </w:t>
      </w:r>
      <w:r>
        <w:rPr/>
        <w:t>of</w:t>
      </w:r>
      <w:r>
        <w:rPr>
          <w:spacing w:val="-3"/>
        </w:rPr>
        <w:t> </w:t>
      </w:r>
      <w:r>
        <w:rPr/>
        <w:t>OAC</w:t>
      </w:r>
      <w:r>
        <w:rPr>
          <w:spacing w:val="-3"/>
        </w:rPr>
        <w:t> </w:t>
      </w:r>
      <w:r>
        <w:rPr/>
        <w:t>530:10-9-100</w:t>
      </w:r>
      <w:r>
        <w:rPr>
          <w:spacing w:val="-4"/>
        </w:rPr>
        <w:t> </w:t>
      </w:r>
      <w:r>
        <w:rPr/>
        <w:t>to</w:t>
      </w:r>
      <w:r>
        <w:rPr>
          <w:spacing w:val="-3"/>
        </w:rPr>
        <w:t> </w:t>
      </w:r>
      <w:r>
        <w:rPr/>
        <w:t>OAC</w:t>
      </w:r>
      <w:r>
        <w:rPr>
          <w:spacing w:val="-3"/>
        </w:rPr>
        <w:t> </w:t>
      </w:r>
      <w:r>
        <w:rPr/>
        <w:t>260:25-9-</w:t>
      </w:r>
      <w:r>
        <w:rPr>
          <w:spacing w:val="-4"/>
        </w:rPr>
        <w:t>100.</w:t>
      </w:r>
    </w:p>
    <w:p>
      <w:pPr>
        <w:pStyle w:val="BodyText"/>
        <w:spacing w:after="0" w:line="243" w:lineRule="exact"/>
        <w:sectPr>
          <w:pgSz w:w="12240" w:h="15840"/>
          <w:pgMar w:top="1340" w:bottom="280" w:left="1080" w:right="720"/>
        </w:sectPr>
      </w:pPr>
    </w:p>
    <w:p>
      <w:pPr>
        <w:pStyle w:val="Heading2"/>
      </w:pPr>
      <w:bookmarkStart w:name="612:10-7-234.  Computers and high tech e" w:id="229"/>
      <w:bookmarkEnd w:id="229"/>
      <w:r>
        <w:rPr>
          <w:b w:val="0"/>
        </w:rPr>
      </w:r>
      <w:r>
        <w:rPr/>
        <w:t>612:10-7-234.</w:t>
      </w:r>
      <w:r>
        <w:rPr>
          <w:spacing w:val="57"/>
        </w:rPr>
        <w:t> </w:t>
      </w:r>
      <w:r>
        <w:rPr/>
        <w:t>Computers</w:t>
      </w:r>
      <w:r>
        <w:rPr>
          <w:spacing w:val="-3"/>
        </w:rPr>
        <w:t> </w:t>
      </w:r>
      <w:r>
        <w:rPr/>
        <w:t>and</w:t>
      </w:r>
      <w:r>
        <w:rPr>
          <w:spacing w:val="-4"/>
        </w:rPr>
        <w:t> </w:t>
      </w:r>
      <w:r>
        <w:rPr/>
        <w:t>high</w:t>
      </w:r>
      <w:r>
        <w:rPr>
          <w:spacing w:val="-3"/>
        </w:rPr>
        <w:t> </w:t>
      </w:r>
      <w:r>
        <w:rPr/>
        <w:t>tech</w:t>
      </w:r>
      <w:r>
        <w:rPr>
          <w:spacing w:val="-5"/>
        </w:rPr>
        <w:t> </w:t>
      </w:r>
      <w:r>
        <w:rPr/>
        <w:t>electronic</w:t>
      </w:r>
      <w:r>
        <w:rPr>
          <w:spacing w:val="-4"/>
        </w:rPr>
        <w:t> </w:t>
      </w:r>
      <w:r>
        <w:rPr>
          <w:spacing w:val="-2"/>
        </w:rPr>
        <w:t>equipment</w:t>
      </w:r>
    </w:p>
    <w:p>
      <w:pPr>
        <w:pStyle w:val="BodyText"/>
        <w:spacing w:line="208" w:lineRule="auto" w:before="233"/>
        <w:ind w:left="359" w:right="1433" w:firstLine="432"/>
        <w:jc w:val="both"/>
      </w:pPr>
      <w:r>
        <w:rPr/>
        <w:t>Computers</w:t>
      </w:r>
      <w:r>
        <w:rPr>
          <w:spacing w:val="-3"/>
        </w:rPr>
        <w:t> </w:t>
      </w:r>
      <w:r>
        <w:rPr/>
        <w:t>and</w:t>
      </w:r>
      <w:r>
        <w:rPr>
          <w:spacing w:val="-3"/>
        </w:rPr>
        <w:t> </w:t>
      </w:r>
      <w:r>
        <w:rPr/>
        <w:t>other</w:t>
      </w:r>
      <w:r>
        <w:rPr>
          <w:spacing w:val="-4"/>
        </w:rPr>
        <w:t> </w:t>
      </w:r>
      <w:r>
        <w:rPr/>
        <w:t>high</w:t>
      </w:r>
      <w:r>
        <w:rPr>
          <w:spacing w:val="-3"/>
        </w:rPr>
        <w:t> </w:t>
      </w:r>
      <w:r>
        <w:rPr/>
        <w:t>tech</w:t>
      </w:r>
      <w:r>
        <w:rPr>
          <w:spacing w:val="-3"/>
        </w:rPr>
        <w:t> </w:t>
      </w:r>
      <w:r>
        <w:rPr/>
        <w:t>electronic</w:t>
      </w:r>
      <w:r>
        <w:rPr>
          <w:spacing w:val="-3"/>
        </w:rPr>
        <w:t> </w:t>
      </w:r>
      <w:r>
        <w:rPr/>
        <w:t>equipment</w:t>
      </w:r>
      <w:r>
        <w:rPr>
          <w:spacing w:val="-2"/>
        </w:rPr>
        <w:t> </w:t>
      </w:r>
      <w:r>
        <w:rPr/>
        <w:t>may</w:t>
      </w:r>
      <w:r>
        <w:rPr>
          <w:spacing w:val="-3"/>
        </w:rPr>
        <w:t> </w:t>
      </w:r>
      <w:r>
        <w:rPr/>
        <w:t>be</w:t>
      </w:r>
      <w:r>
        <w:rPr>
          <w:spacing w:val="-3"/>
        </w:rPr>
        <w:t> </w:t>
      </w:r>
      <w:r>
        <w:rPr/>
        <w:t>purchased</w:t>
      </w:r>
      <w:r>
        <w:rPr>
          <w:spacing w:val="-3"/>
        </w:rPr>
        <w:t> </w:t>
      </w:r>
      <w:r>
        <w:rPr/>
        <w:t>if</w:t>
      </w:r>
      <w:r>
        <w:rPr>
          <w:spacing w:val="-2"/>
        </w:rPr>
        <w:t> </w:t>
      </w:r>
      <w:r>
        <w:rPr/>
        <w:t>the equipment</w:t>
      </w:r>
      <w:r>
        <w:rPr>
          <w:spacing w:val="-2"/>
        </w:rPr>
        <w:t> </w:t>
      </w:r>
      <w:r>
        <w:rPr/>
        <w:t>is</w:t>
      </w:r>
      <w:r>
        <w:rPr>
          <w:spacing w:val="-4"/>
        </w:rPr>
        <w:t> </w:t>
      </w:r>
      <w:r>
        <w:rPr/>
        <w:t>needed</w:t>
      </w:r>
      <w:r>
        <w:rPr>
          <w:spacing w:val="-4"/>
        </w:rPr>
        <w:t> </w:t>
      </w:r>
      <w:r>
        <w:rPr/>
        <w:t>for</w:t>
      </w:r>
      <w:r>
        <w:rPr>
          <w:spacing w:val="-3"/>
        </w:rPr>
        <w:t> </w:t>
      </w:r>
      <w:r>
        <w:rPr/>
        <w:t>training</w:t>
      </w:r>
      <w:r>
        <w:rPr>
          <w:spacing w:val="-4"/>
        </w:rPr>
        <w:t> </w:t>
      </w:r>
      <w:r>
        <w:rPr/>
        <w:t>or</w:t>
      </w:r>
      <w:r>
        <w:rPr>
          <w:spacing w:val="-3"/>
        </w:rPr>
        <w:t> </w:t>
      </w:r>
      <w:r>
        <w:rPr/>
        <w:t>participation</w:t>
      </w:r>
      <w:r>
        <w:rPr>
          <w:spacing w:val="-4"/>
        </w:rPr>
        <w:t> </w:t>
      </w:r>
      <w:r>
        <w:rPr/>
        <w:t>in</w:t>
      </w:r>
      <w:r>
        <w:rPr>
          <w:spacing w:val="-4"/>
        </w:rPr>
        <w:t> </w:t>
      </w:r>
      <w:r>
        <w:rPr/>
        <w:t>the</w:t>
      </w:r>
      <w:r>
        <w:rPr>
          <w:spacing w:val="-4"/>
        </w:rPr>
        <w:t> </w:t>
      </w:r>
      <w:r>
        <w:rPr/>
        <w:t>rehabilitation</w:t>
      </w:r>
      <w:r>
        <w:rPr>
          <w:spacing w:val="-4"/>
        </w:rPr>
        <w:t> </w:t>
      </w:r>
      <w:r>
        <w:rPr/>
        <w:t>process,</w:t>
      </w:r>
      <w:r>
        <w:rPr>
          <w:spacing w:val="-5"/>
        </w:rPr>
        <w:t> </w:t>
      </w:r>
      <w:r>
        <w:rPr/>
        <w:t>or</w:t>
      </w:r>
      <w:r>
        <w:rPr>
          <w:spacing w:val="-3"/>
        </w:rPr>
        <w:t> </w:t>
      </w:r>
      <w:r>
        <w:rPr/>
        <w:t>is essential to the client's achievement of his or her employment outcome.</w:t>
      </w:r>
    </w:p>
    <w:p>
      <w:pPr>
        <w:pStyle w:val="BodyText"/>
        <w:spacing w:before="210"/>
      </w:pPr>
      <w:r>
        <w:rPr/>
        <w:t>Instructions</w:t>
      </w:r>
      <w:r>
        <w:rPr>
          <w:spacing w:val="-5"/>
        </w:rPr>
        <w:t> </w:t>
      </w:r>
      <w:r>
        <w:rPr/>
        <w:t>to</w:t>
      </w:r>
      <w:r>
        <w:rPr>
          <w:spacing w:val="-2"/>
        </w:rPr>
        <w:t> </w:t>
      </w:r>
      <w:r>
        <w:rPr>
          <w:spacing w:val="-4"/>
        </w:rPr>
        <w:t>Staff</w:t>
      </w:r>
    </w:p>
    <w:p>
      <w:pPr>
        <w:pStyle w:val="BodyText"/>
        <w:spacing w:line="208" w:lineRule="auto" w:before="234"/>
        <w:ind w:right="775"/>
      </w:pPr>
      <w:r>
        <w:rPr/>
        <w:t>Electronic</w:t>
      </w:r>
      <w:r>
        <w:rPr>
          <w:spacing w:val="-3"/>
        </w:rPr>
        <w:t> </w:t>
      </w:r>
      <w:r>
        <w:rPr/>
        <w:t>equipment</w:t>
      </w:r>
      <w:r>
        <w:rPr>
          <w:spacing w:val="-2"/>
        </w:rPr>
        <w:t> </w:t>
      </w:r>
      <w:r>
        <w:rPr/>
        <w:t>purchased</w:t>
      </w:r>
      <w:r>
        <w:rPr>
          <w:spacing w:val="-3"/>
        </w:rPr>
        <w:t> </w:t>
      </w:r>
      <w:r>
        <w:rPr/>
        <w:t>on</w:t>
      </w:r>
      <w:r>
        <w:rPr>
          <w:spacing w:val="-4"/>
        </w:rPr>
        <w:t> </w:t>
      </w:r>
      <w:r>
        <w:rPr/>
        <w:t>behalf</w:t>
      </w:r>
      <w:r>
        <w:rPr>
          <w:spacing w:val="-3"/>
        </w:rPr>
        <w:t> </w:t>
      </w:r>
      <w:r>
        <w:rPr/>
        <w:t>of</w:t>
      </w:r>
      <w:r>
        <w:rPr>
          <w:spacing w:val="-3"/>
        </w:rPr>
        <w:t> </w:t>
      </w:r>
      <w:r>
        <w:rPr/>
        <w:t>the</w:t>
      </w:r>
      <w:r>
        <w:rPr>
          <w:spacing w:val="-4"/>
        </w:rPr>
        <w:t> </w:t>
      </w:r>
      <w:r>
        <w:rPr/>
        <w:t>client</w:t>
      </w:r>
      <w:r>
        <w:rPr>
          <w:spacing w:val="-3"/>
        </w:rPr>
        <w:t> </w:t>
      </w:r>
      <w:r>
        <w:rPr/>
        <w:t>is</w:t>
      </w:r>
      <w:r>
        <w:rPr>
          <w:spacing w:val="-4"/>
        </w:rPr>
        <w:t> </w:t>
      </w:r>
      <w:r>
        <w:rPr/>
        <w:t>subject</w:t>
      </w:r>
      <w:r>
        <w:rPr>
          <w:spacing w:val="-3"/>
        </w:rPr>
        <w:t> </w:t>
      </w:r>
      <w:r>
        <w:rPr/>
        <w:t>to</w:t>
      </w:r>
      <w:r>
        <w:rPr>
          <w:spacing w:val="-4"/>
        </w:rPr>
        <w:t> </w:t>
      </w:r>
      <w:r>
        <w:rPr/>
        <w:t>prior</w:t>
      </w:r>
      <w:r>
        <w:rPr>
          <w:spacing w:val="-3"/>
        </w:rPr>
        <w:t> </w:t>
      </w:r>
      <w:r>
        <w:rPr/>
        <w:t>approval</w:t>
      </w:r>
      <w:r>
        <w:rPr>
          <w:spacing w:val="-4"/>
        </w:rPr>
        <w:t> </w:t>
      </w:r>
      <w:r>
        <w:rPr/>
        <w:t>from RSA. Prior approval for this section is received as part of the aggregated approval process as defined in </w:t>
      </w:r>
      <w:hyperlink r:id="rId55">
        <w:r>
          <w:rPr>
            <w:color w:val="0000FF"/>
            <w:u w:val="single" w:color="0000FF"/>
          </w:rPr>
          <w:t>RSA-TAC-18-02</w:t>
        </w:r>
      </w:hyperlink>
      <w:r>
        <w:rPr>
          <w:u w:val="none"/>
        </w:rPr>
        <w:t>.</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7-1-95</w:t>
      </w:r>
      <w:r>
        <w:rPr>
          <w:sz w:val="22"/>
        </w:rPr>
        <w:tab/>
        <w:t>PT Memo #95-2</w:t>
      </w:r>
    </w:p>
    <w:p>
      <w:pPr>
        <w:tabs>
          <w:tab w:pos="1439" w:val="left" w:leader="none"/>
        </w:tabs>
        <w:spacing w:before="1"/>
        <w:ind w:left="359" w:right="1292" w:firstLine="1080"/>
        <w:jc w:val="left"/>
        <w:rPr>
          <w:sz w:val="22"/>
        </w:rPr>
      </w:pPr>
      <w:r>
        <w:rPr>
          <w:sz w:val="22"/>
        </w:rPr>
        <w:t>Permanent,</w:t>
      </w:r>
      <w:r>
        <w:rPr>
          <w:spacing w:val="-3"/>
          <w:sz w:val="22"/>
        </w:rPr>
        <w:t> </w:t>
      </w:r>
      <w:r>
        <w:rPr>
          <w:sz w:val="22"/>
        </w:rPr>
        <w:t>edited</w:t>
      </w:r>
      <w:r>
        <w:rPr>
          <w:spacing w:val="-4"/>
          <w:sz w:val="22"/>
        </w:rPr>
        <w:t> </w:t>
      </w:r>
      <w:r>
        <w:rPr>
          <w:sz w:val="22"/>
        </w:rPr>
        <w:t>to</w:t>
      </w:r>
      <w:r>
        <w:rPr>
          <w:spacing w:val="-4"/>
          <w:sz w:val="22"/>
        </w:rPr>
        <w:t> </w:t>
      </w:r>
      <w:r>
        <w:rPr>
          <w:sz w:val="22"/>
        </w:rPr>
        <w:t>distinguish</w:t>
      </w:r>
      <w:r>
        <w:rPr>
          <w:spacing w:val="-4"/>
          <w:sz w:val="22"/>
        </w:rPr>
        <w:t> </w:t>
      </w:r>
      <w:r>
        <w:rPr>
          <w:sz w:val="22"/>
        </w:rPr>
        <w:t>these</w:t>
      </w:r>
      <w:r>
        <w:rPr>
          <w:spacing w:val="-4"/>
          <w:sz w:val="22"/>
        </w:rPr>
        <w:t> </w:t>
      </w:r>
      <w:r>
        <w:rPr>
          <w:sz w:val="22"/>
        </w:rPr>
        <w:t>services</w:t>
      </w:r>
      <w:r>
        <w:rPr>
          <w:spacing w:val="-4"/>
          <w:sz w:val="22"/>
        </w:rPr>
        <w:t> </w:t>
      </w:r>
      <w:r>
        <w:rPr>
          <w:sz w:val="22"/>
        </w:rPr>
        <w:t>from</w:t>
      </w:r>
      <w:r>
        <w:rPr>
          <w:spacing w:val="-5"/>
          <w:sz w:val="22"/>
        </w:rPr>
        <w:t> </w:t>
      </w:r>
      <w:r>
        <w:rPr>
          <w:sz w:val="22"/>
        </w:rPr>
        <w:t>adaptive</w:t>
      </w:r>
      <w:r>
        <w:rPr>
          <w:spacing w:val="-4"/>
          <w:sz w:val="22"/>
        </w:rPr>
        <w:t> </w:t>
      </w:r>
      <w:r>
        <w:rPr>
          <w:sz w:val="22"/>
        </w:rPr>
        <w:t>aids</w:t>
      </w:r>
      <w:r>
        <w:rPr>
          <w:spacing w:val="-4"/>
          <w:sz w:val="22"/>
        </w:rPr>
        <w:t> </w:t>
      </w:r>
      <w:r>
        <w:rPr>
          <w:sz w:val="22"/>
        </w:rPr>
        <w:t>and</w:t>
      </w:r>
      <w:r>
        <w:rPr>
          <w:spacing w:val="-4"/>
          <w:sz w:val="22"/>
        </w:rPr>
        <w:t> </w:t>
      </w:r>
      <w:r>
        <w:rPr>
          <w:sz w:val="22"/>
        </w:rPr>
        <w:t>devices </w:t>
      </w:r>
      <w:r>
        <w:rPr>
          <w:spacing w:val="-2"/>
          <w:sz w:val="22"/>
        </w:rPr>
        <w:t>3-1-97</w:t>
      </w:r>
      <w:r>
        <w:rPr>
          <w:sz w:val="22"/>
        </w:rPr>
        <w:tab/>
        <w:t>PT Memo #97-5</w:t>
      </w:r>
    </w:p>
    <w:p>
      <w:pPr>
        <w:tabs>
          <w:tab w:pos="1439" w:val="left" w:leader="none"/>
        </w:tabs>
        <w:spacing w:before="0"/>
        <w:ind w:left="359" w:right="4253" w:firstLine="1080"/>
        <w:jc w:val="left"/>
        <w:rPr>
          <w:sz w:val="22"/>
        </w:rPr>
      </w:pPr>
      <w:r>
        <w:rPr>
          <w:sz w:val="22"/>
        </w:rPr>
        <w:t>Emergency,</w:t>
      </w:r>
      <w:r>
        <w:rPr>
          <w:spacing w:val="-8"/>
          <w:sz w:val="22"/>
        </w:rPr>
        <w:t> </w:t>
      </w:r>
      <w:r>
        <w:rPr>
          <w:sz w:val="22"/>
        </w:rPr>
        <w:t>changes</w:t>
      </w:r>
      <w:r>
        <w:rPr>
          <w:spacing w:val="-8"/>
          <w:sz w:val="22"/>
        </w:rPr>
        <w:t> </w:t>
      </w:r>
      <w:r>
        <w:rPr>
          <w:sz w:val="22"/>
        </w:rPr>
        <w:t>to</w:t>
      </w:r>
      <w:r>
        <w:rPr>
          <w:spacing w:val="-8"/>
          <w:sz w:val="22"/>
        </w:rPr>
        <w:t> </w:t>
      </w:r>
      <w:r>
        <w:rPr>
          <w:sz w:val="22"/>
        </w:rPr>
        <w:t>conform</w:t>
      </w:r>
      <w:r>
        <w:rPr>
          <w:spacing w:val="-8"/>
          <w:sz w:val="22"/>
        </w:rPr>
        <w:t> </w:t>
      </w:r>
      <w:r>
        <w:rPr>
          <w:sz w:val="22"/>
        </w:rPr>
        <w:t>with</w:t>
      </w:r>
      <w:r>
        <w:rPr>
          <w:spacing w:val="-8"/>
          <w:sz w:val="22"/>
        </w:rPr>
        <w:t> </w:t>
      </w:r>
      <w:r>
        <w:rPr>
          <w:sz w:val="22"/>
        </w:rPr>
        <w:t>612:10-1-7 </w:t>
      </w:r>
      <w:r>
        <w:rPr>
          <w:spacing w:val="-2"/>
          <w:sz w:val="22"/>
        </w:rPr>
        <w:t>7-1-97</w:t>
      </w:r>
      <w:r>
        <w:rPr>
          <w:sz w:val="22"/>
        </w:rPr>
        <w:tab/>
        <w:t>PT Memo #97-9</w:t>
      </w:r>
    </w:p>
    <w:p>
      <w:pPr>
        <w:tabs>
          <w:tab w:pos="1439" w:val="left" w:leader="none"/>
        </w:tabs>
        <w:spacing w:before="0"/>
        <w:ind w:left="359" w:right="3580" w:firstLine="1080"/>
        <w:jc w:val="left"/>
        <w:rPr>
          <w:sz w:val="22"/>
        </w:rPr>
      </w:pPr>
      <w:r>
        <w:rPr>
          <w:sz w:val="22"/>
        </w:rPr>
        <w:t>Permanent,</w:t>
      </w:r>
      <w:r>
        <w:rPr>
          <w:spacing w:val="-7"/>
          <w:sz w:val="22"/>
        </w:rPr>
        <w:t> </w:t>
      </w:r>
      <w:r>
        <w:rPr>
          <w:sz w:val="22"/>
        </w:rPr>
        <w:t>supersedes</w:t>
      </w:r>
      <w:r>
        <w:rPr>
          <w:spacing w:val="-8"/>
          <w:sz w:val="22"/>
        </w:rPr>
        <w:t> </w:t>
      </w:r>
      <w:r>
        <w:rPr>
          <w:sz w:val="22"/>
        </w:rPr>
        <w:t>emergency</w:t>
      </w:r>
      <w:r>
        <w:rPr>
          <w:spacing w:val="-8"/>
          <w:sz w:val="22"/>
        </w:rPr>
        <w:t> </w:t>
      </w:r>
      <w:r>
        <w:rPr>
          <w:sz w:val="22"/>
        </w:rPr>
        <w:t>rules</w:t>
      </w:r>
      <w:r>
        <w:rPr>
          <w:spacing w:val="-8"/>
          <w:sz w:val="22"/>
        </w:rPr>
        <w:t> </w:t>
      </w:r>
      <w:r>
        <w:rPr>
          <w:sz w:val="22"/>
        </w:rPr>
        <w:t>issued</w:t>
      </w:r>
      <w:r>
        <w:rPr>
          <w:spacing w:val="-8"/>
          <w:sz w:val="22"/>
        </w:rPr>
        <w:t> </w:t>
      </w:r>
      <w:r>
        <w:rPr>
          <w:sz w:val="22"/>
        </w:rPr>
        <w:t>3-1-97 </w:t>
      </w:r>
      <w:r>
        <w:rPr>
          <w:spacing w:val="-2"/>
          <w:sz w:val="22"/>
        </w:rPr>
        <w:t>6-14-99</w:t>
      </w:r>
      <w:r>
        <w:rPr>
          <w:sz w:val="22"/>
        </w:rPr>
        <w:tab/>
        <w:t>POL Memo #99-7</w:t>
      </w:r>
    </w:p>
    <w:p>
      <w:pPr>
        <w:tabs>
          <w:tab w:pos="1439" w:val="left" w:leader="none"/>
        </w:tabs>
        <w:spacing w:before="0"/>
        <w:ind w:left="359" w:right="3642" w:firstLine="1080"/>
        <w:jc w:val="left"/>
        <w:rPr>
          <w:sz w:val="22"/>
        </w:rPr>
      </w:pPr>
      <w:r>
        <w:rPr>
          <w:sz w:val="22"/>
        </w:rPr>
        <w:t>Emergency,</w:t>
      </w:r>
      <w:r>
        <w:rPr>
          <w:spacing w:val="-8"/>
          <w:sz w:val="22"/>
        </w:rPr>
        <w:t> </w:t>
      </w:r>
      <w:r>
        <w:rPr>
          <w:sz w:val="22"/>
        </w:rPr>
        <w:t>removed</w:t>
      </w:r>
      <w:r>
        <w:rPr>
          <w:spacing w:val="-8"/>
          <w:sz w:val="22"/>
        </w:rPr>
        <w:t> </w:t>
      </w:r>
      <w:r>
        <w:rPr>
          <w:sz w:val="22"/>
        </w:rPr>
        <w:t>reference</w:t>
      </w:r>
      <w:r>
        <w:rPr>
          <w:spacing w:val="-8"/>
          <w:sz w:val="22"/>
        </w:rPr>
        <w:t> </w:t>
      </w:r>
      <w:r>
        <w:rPr>
          <w:sz w:val="22"/>
        </w:rPr>
        <w:t>to</w:t>
      </w:r>
      <w:r>
        <w:rPr>
          <w:spacing w:val="-8"/>
          <w:sz w:val="22"/>
        </w:rPr>
        <w:t> </w:t>
      </w:r>
      <w:r>
        <w:rPr>
          <w:sz w:val="22"/>
        </w:rPr>
        <w:t>extended</w:t>
      </w:r>
      <w:r>
        <w:rPr>
          <w:spacing w:val="-8"/>
          <w:sz w:val="22"/>
        </w:rPr>
        <w:t> </w:t>
      </w:r>
      <w:r>
        <w:rPr>
          <w:sz w:val="22"/>
        </w:rPr>
        <w:t>evaluation </w:t>
      </w:r>
      <w:r>
        <w:rPr>
          <w:spacing w:val="-2"/>
          <w:sz w:val="22"/>
        </w:rPr>
        <w:t>7-1-99</w:t>
      </w:r>
      <w:r>
        <w:rPr>
          <w:sz w:val="22"/>
        </w:rPr>
        <w:tab/>
        <w:t>POL Memo #00-1</w:t>
      </w:r>
    </w:p>
    <w:p>
      <w:pPr>
        <w:tabs>
          <w:tab w:pos="1439" w:val="left" w:leader="none"/>
        </w:tabs>
        <w:spacing w:before="0"/>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7-1-03</w:t>
      </w:r>
      <w:r>
        <w:rPr>
          <w:sz w:val="22"/>
        </w:rPr>
        <w:tab/>
        <w:t>PT Memo #03-07</w:t>
      </w:r>
    </w:p>
    <w:p>
      <w:pPr>
        <w:tabs>
          <w:tab w:pos="1439" w:val="left" w:leader="none"/>
        </w:tabs>
        <w:spacing w:before="0"/>
        <w:ind w:left="359" w:right="6038" w:firstLine="1080"/>
        <w:jc w:val="left"/>
        <w:rPr>
          <w:sz w:val="22"/>
        </w:rPr>
      </w:pPr>
      <w:r>
        <w:rPr>
          <w:sz w:val="22"/>
        </w:rPr>
        <w:t>Permanent,</w:t>
      </w:r>
      <w:r>
        <w:rPr>
          <w:spacing w:val="-16"/>
          <w:sz w:val="22"/>
        </w:rPr>
        <w:t> </w:t>
      </w:r>
      <w:r>
        <w:rPr>
          <w:sz w:val="22"/>
        </w:rPr>
        <w:t>updated</w:t>
      </w:r>
      <w:r>
        <w:rPr>
          <w:spacing w:val="-15"/>
          <w:sz w:val="22"/>
        </w:rPr>
        <w:t> </w:t>
      </w:r>
      <w:r>
        <w:rPr>
          <w:sz w:val="22"/>
        </w:rPr>
        <w:t>language </w:t>
      </w:r>
      <w:r>
        <w:rPr>
          <w:spacing w:val="-2"/>
          <w:sz w:val="22"/>
        </w:rPr>
        <w:t>7-1-11</w:t>
      </w:r>
      <w:r>
        <w:rPr>
          <w:sz w:val="22"/>
        </w:rPr>
        <w:tab/>
        <w:t>PT Memo #12-01</w:t>
      </w:r>
    </w:p>
    <w:p>
      <w:pPr>
        <w:spacing w:line="252" w:lineRule="exact" w:before="0"/>
        <w:ind w:left="1439" w:right="0" w:firstLine="0"/>
        <w:jc w:val="left"/>
        <w:rPr>
          <w:sz w:val="22"/>
        </w:rPr>
      </w:pPr>
      <w:r>
        <w:rPr>
          <w:sz w:val="22"/>
        </w:rPr>
        <w:t>Permanent,</w:t>
      </w:r>
      <w:r>
        <w:rPr>
          <w:spacing w:val="-7"/>
          <w:sz w:val="22"/>
        </w:rPr>
        <w:t> </w:t>
      </w:r>
      <w:r>
        <w:rPr>
          <w:sz w:val="22"/>
        </w:rPr>
        <w:t>inappropriate</w:t>
      </w:r>
      <w:r>
        <w:rPr>
          <w:spacing w:val="-8"/>
          <w:sz w:val="22"/>
        </w:rPr>
        <w:t> </w:t>
      </w:r>
      <w:r>
        <w:rPr>
          <w:sz w:val="22"/>
        </w:rPr>
        <w:t>portions</w:t>
      </w:r>
      <w:r>
        <w:rPr>
          <w:spacing w:val="-7"/>
          <w:sz w:val="22"/>
        </w:rPr>
        <w:t> </w:t>
      </w:r>
      <w:r>
        <w:rPr>
          <w:sz w:val="22"/>
        </w:rPr>
        <w:t>of</w:t>
      </w:r>
      <w:r>
        <w:rPr>
          <w:spacing w:val="-9"/>
          <w:sz w:val="22"/>
        </w:rPr>
        <w:t> </w:t>
      </w:r>
      <w:r>
        <w:rPr>
          <w:sz w:val="22"/>
        </w:rPr>
        <w:t>the</w:t>
      </w:r>
      <w:r>
        <w:rPr>
          <w:spacing w:val="-8"/>
          <w:sz w:val="22"/>
        </w:rPr>
        <w:t> </w:t>
      </w:r>
      <w:r>
        <w:rPr>
          <w:sz w:val="22"/>
        </w:rPr>
        <w:t>policy</w:t>
      </w:r>
      <w:r>
        <w:rPr>
          <w:spacing w:val="-7"/>
          <w:sz w:val="22"/>
        </w:rPr>
        <w:t> </w:t>
      </w:r>
      <w:r>
        <w:rPr>
          <w:sz w:val="22"/>
        </w:rPr>
        <w:t>were</w:t>
      </w:r>
      <w:r>
        <w:rPr>
          <w:spacing w:val="-8"/>
          <w:sz w:val="22"/>
        </w:rPr>
        <w:t> </w:t>
      </w:r>
      <w:r>
        <w:rPr>
          <w:spacing w:val="-2"/>
          <w:sz w:val="22"/>
        </w:rPr>
        <w:t>deleted.</w:t>
      </w:r>
    </w:p>
    <w:p>
      <w:pPr>
        <w:tabs>
          <w:tab w:pos="1439" w:val="left" w:leader="none"/>
        </w:tabs>
        <w:spacing w:before="0"/>
        <w:ind w:left="359" w:right="0" w:firstLine="0"/>
        <w:jc w:val="left"/>
        <w:rPr>
          <w:sz w:val="22"/>
        </w:rPr>
      </w:pPr>
      <w:r>
        <w:rPr>
          <w:spacing w:val="-2"/>
          <w:sz w:val="22"/>
        </w:rPr>
        <w:t>9-30-</w:t>
      </w:r>
      <w:r>
        <w:rPr>
          <w:spacing w:val="-5"/>
          <w:sz w:val="22"/>
        </w:rPr>
        <w:t>19</w:t>
      </w:r>
      <w:r>
        <w:rPr>
          <w:sz w:val="22"/>
        </w:rPr>
        <w:tab/>
        <w:t>Added</w:t>
      </w:r>
      <w:r>
        <w:rPr>
          <w:spacing w:val="-5"/>
          <w:sz w:val="22"/>
        </w:rPr>
        <w:t> </w:t>
      </w:r>
      <w:r>
        <w:rPr>
          <w:sz w:val="22"/>
        </w:rPr>
        <w:t>ITS</w:t>
      </w:r>
      <w:r>
        <w:rPr>
          <w:spacing w:val="-5"/>
          <w:sz w:val="22"/>
        </w:rPr>
        <w:t> </w:t>
      </w:r>
      <w:r>
        <w:rPr>
          <w:sz w:val="22"/>
        </w:rPr>
        <w:t>and</w:t>
      </w:r>
      <w:r>
        <w:rPr>
          <w:spacing w:val="-5"/>
          <w:sz w:val="22"/>
        </w:rPr>
        <w:t> </w:t>
      </w:r>
      <w:r>
        <w:rPr>
          <w:spacing w:val="-2"/>
          <w:sz w:val="22"/>
        </w:rPr>
        <w:t>hyperlink.</w:t>
      </w:r>
    </w:p>
    <w:p>
      <w:pPr>
        <w:spacing w:after="0"/>
        <w:jc w:val="left"/>
        <w:rPr>
          <w:sz w:val="22"/>
        </w:rPr>
        <w:sectPr>
          <w:pgSz w:w="12240" w:h="15840"/>
          <w:pgMar w:top="1340" w:bottom="280" w:left="1080" w:right="720"/>
        </w:sectPr>
      </w:pPr>
    </w:p>
    <w:p>
      <w:pPr>
        <w:pStyle w:val="Heading2"/>
      </w:pPr>
      <w:bookmarkStart w:name="612:10-7-235  Support Services for Emplo" w:id="230"/>
      <w:bookmarkEnd w:id="230"/>
      <w:r>
        <w:rPr>
          <w:b w:val="0"/>
        </w:rPr>
      </w:r>
      <w:r>
        <w:rPr/>
        <w:t>612:10-7-235</w:t>
      </w:r>
      <w:r>
        <w:rPr>
          <w:spacing w:val="59"/>
        </w:rPr>
        <w:t> </w:t>
      </w:r>
      <w:r>
        <w:rPr/>
        <w:t>Support</w:t>
      </w:r>
      <w:r>
        <w:rPr>
          <w:spacing w:val="-2"/>
        </w:rPr>
        <w:t> </w:t>
      </w:r>
      <w:r>
        <w:rPr/>
        <w:t>Services</w:t>
      </w:r>
      <w:r>
        <w:rPr>
          <w:spacing w:val="-3"/>
        </w:rPr>
        <w:t> </w:t>
      </w:r>
      <w:r>
        <w:rPr/>
        <w:t>for</w:t>
      </w:r>
      <w:r>
        <w:rPr>
          <w:spacing w:val="-4"/>
        </w:rPr>
        <w:t> </w:t>
      </w:r>
      <w:r>
        <w:rPr>
          <w:spacing w:val="-2"/>
        </w:rPr>
        <w:t>Employment</w:t>
      </w:r>
    </w:p>
    <w:p>
      <w:pPr>
        <w:pStyle w:val="ListParagraph"/>
        <w:numPr>
          <w:ilvl w:val="0"/>
          <w:numId w:val="251"/>
        </w:numPr>
        <w:tabs>
          <w:tab w:pos="785" w:val="left" w:leader="none"/>
        </w:tabs>
        <w:spacing w:line="208" w:lineRule="auto" w:before="233" w:after="0"/>
        <w:ind w:left="359" w:right="875" w:firstLine="0"/>
        <w:jc w:val="left"/>
        <w:rPr>
          <w:sz w:val="24"/>
        </w:rPr>
      </w:pPr>
      <w:r>
        <w:rPr>
          <w:sz w:val="24"/>
        </w:rPr>
        <w:t>Support Services for Employment (SSE) are provided to any eligible DRS client. The service model consists of four independent stand-alone services that can be used to</w:t>
      </w:r>
      <w:r>
        <w:rPr>
          <w:spacing w:val="-4"/>
          <w:sz w:val="24"/>
        </w:rPr>
        <w:t> </w:t>
      </w:r>
      <w:r>
        <w:rPr>
          <w:sz w:val="24"/>
        </w:rPr>
        <w:t>assist</w:t>
      </w:r>
      <w:r>
        <w:rPr>
          <w:spacing w:val="-3"/>
          <w:sz w:val="24"/>
        </w:rPr>
        <w:t> </w:t>
      </w:r>
      <w:r>
        <w:rPr>
          <w:sz w:val="24"/>
        </w:rPr>
        <w:t>the</w:t>
      </w:r>
      <w:r>
        <w:rPr>
          <w:spacing w:val="-4"/>
          <w:sz w:val="24"/>
        </w:rPr>
        <w:t> </w:t>
      </w:r>
      <w:r>
        <w:rPr>
          <w:sz w:val="24"/>
        </w:rPr>
        <w:t>client</w:t>
      </w:r>
      <w:r>
        <w:rPr>
          <w:spacing w:val="-3"/>
          <w:sz w:val="24"/>
        </w:rPr>
        <w:t> </w:t>
      </w:r>
      <w:r>
        <w:rPr>
          <w:sz w:val="24"/>
        </w:rPr>
        <w:t>in</w:t>
      </w:r>
      <w:r>
        <w:rPr>
          <w:spacing w:val="-4"/>
          <w:sz w:val="24"/>
        </w:rPr>
        <w:t> </w:t>
      </w:r>
      <w:r>
        <w:rPr>
          <w:sz w:val="24"/>
        </w:rPr>
        <w:t>reaching</w:t>
      </w:r>
      <w:r>
        <w:rPr>
          <w:spacing w:val="-4"/>
          <w:sz w:val="24"/>
        </w:rPr>
        <w:t> </w:t>
      </w:r>
      <w:r>
        <w:rPr>
          <w:sz w:val="24"/>
        </w:rPr>
        <w:t>a</w:t>
      </w:r>
      <w:r>
        <w:rPr>
          <w:spacing w:val="-4"/>
          <w:sz w:val="24"/>
        </w:rPr>
        <w:t> </w:t>
      </w:r>
      <w:r>
        <w:rPr>
          <w:sz w:val="24"/>
        </w:rPr>
        <w:t>competitive</w:t>
      </w:r>
      <w:r>
        <w:rPr>
          <w:spacing w:val="-4"/>
          <w:sz w:val="24"/>
        </w:rPr>
        <w:t> </w:t>
      </w:r>
      <w:r>
        <w:rPr>
          <w:sz w:val="24"/>
        </w:rPr>
        <w:t>employment</w:t>
      </w:r>
      <w:r>
        <w:rPr>
          <w:spacing w:val="-3"/>
          <w:sz w:val="24"/>
        </w:rPr>
        <w:t> </w:t>
      </w:r>
      <w:r>
        <w:rPr>
          <w:sz w:val="24"/>
        </w:rPr>
        <w:t>outcome.</w:t>
      </w:r>
      <w:r>
        <w:rPr>
          <w:spacing w:val="-3"/>
          <w:sz w:val="24"/>
        </w:rPr>
        <w:t> </w:t>
      </w:r>
      <w:r>
        <w:rPr>
          <w:b/>
          <w:sz w:val="24"/>
        </w:rPr>
        <w:t>1</w:t>
      </w:r>
      <w:r>
        <w:rPr>
          <w:b/>
          <w:spacing w:val="-5"/>
          <w:sz w:val="24"/>
        </w:rPr>
        <w:t> </w:t>
      </w:r>
      <w:r>
        <w:rPr>
          <w:sz w:val="24"/>
        </w:rPr>
        <w:t>SSE</w:t>
      </w:r>
      <w:r>
        <w:rPr>
          <w:spacing w:val="-4"/>
          <w:sz w:val="24"/>
        </w:rPr>
        <w:t> </w:t>
      </w:r>
      <w:r>
        <w:rPr>
          <w:sz w:val="24"/>
        </w:rPr>
        <w:t>services</w:t>
      </w:r>
      <w:r>
        <w:rPr>
          <w:spacing w:val="-4"/>
          <w:sz w:val="24"/>
        </w:rPr>
        <w:t> </w:t>
      </w:r>
      <w:r>
        <w:rPr>
          <w:sz w:val="24"/>
        </w:rPr>
        <w:t>can be used simultaneously with any other DRS service.</w:t>
      </w:r>
      <w:r>
        <w:rPr>
          <w:spacing w:val="40"/>
          <w:sz w:val="24"/>
        </w:rPr>
        <w:t> </w:t>
      </w:r>
      <w:r>
        <w:rPr>
          <w:sz w:val="24"/>
        </w:rPr>
        <w:t>SSE services include:</w:t>
      </w:r>
    </w:p>
    <w:p>
      <w:pPr>
        <w:pStyle w:val="ListParagraph"/>
        <w:numPr>
          <w:ilvl w:val="1"/>
          <w:numId w:val="251"/>
        </w:numPr>
        <w:tabs>
          <w:tab w:pos="1217" w:val="left" w:leader="none"/>
        </w:tabs>
        <w:spacing w:line="240" w:lineRule="auto" w:before="210" w:after="0"/>
        <w:ind w:left="1217" w:right="0" w:hanging="426"/>
        <w:jc w:val="left"/>
        <w:rPr>
          <w:sz w:val="24"/>
        </w:rPr>
      </w:pPr>
      <w:r>
        <w:rPr>
          <w:sz w:val="24"/>
        </w:rPr>
        <w:t>Employment</w:t>
      </w:r>
      <w:r>
        <w:rPr>
          <w:spacing w:val="-6"/>
          <w:sz w:val="24"/>
        </w:rPr>
        <w:t> </w:t>
      </w:r>
      <w:r>
        <w:rPr>
          <w:sz w:val="24"/>
        </w:rPr>
        <w:t>Support</w:t>
      </w:r>
      <w:r>
        <w:rPr>
          <w:spacing w:val="-5"/>
          <w:sz w:val="24"/>
        </w:rPr>
        <w:t> </w:t>
      </w:r>
      <w:r>
        <w:rPr>
          <w:spacing w:val="-2"/>
          <w:sz w:val="24"/>
        </w:rPr>
        <w:t>Assessment;</w:t>
      </w:r>
    </w:p>
    <w:p>
      <w:pPr>
        <w:pStyle w:val="ListParagraph"/>
        <w:numPr>
          <w:ilvl w:val="1"/>
          <w:numId w:val="251"/>
        </w:numPr>
        <w:tabs>
          <w:tab w:pos="1217" w:val="left" w:leader="none"/>
        </w:tabs>
        <w:spacing w:line="240" w:lineRule="auto" w:before="204" w:after="0"/>
        <w:ind w:left="1217" w:right="0" w:hanging="426"/>
        <w:jc w:val="left"/>
        <w:rPr>
          <w:sz w:val="24"/>
        </w:rPr>
      </w:pPr>
      <w:r>
        <w:rPr>
          <w:sz w:val="24"/>
        </w:rPr>
        <w:t>Life</w:t>
      </w:r>
      <w:r>
        <w:rPr>
          <w:spacing w:val="-4"/>
          <w:sz w:val="24"/>
        </w:rPr>
        <w:t> </w:t>
      </w:r>
      <w:r>
        <w:rPr>
          <w:sz w:val="24"/>
        </w:rPr>
        <w:t>Skills</w:t>
      </w:r>
      <w:r>
        <w:rPr>
          <w:spacing w:val="-3"/>
          <w:sz w:val="24"/>
        </w:rPr>
        <w:t> </w:t>
      </w:r>
      <w:r>
        <w:rPr>
          <w:spacing w:val="-2"/>
          <w:sz w:val="24"/>
        </w:rPr>
        <w:t>Management;</w:t>
      </w:r>
    </w:p>
    <w:p>
      <w:pPr>
        <w:pStyle w:val="ListParagraph"/>
        <w:numPr>
          <w:ilvl w:val="1"/>
          <w:numId w:val="251"/>
        </w:numPr>
        <w:tabs>
          <w:tab w:pos="1217" w:val="left" w:leader="none"/>
        </w:tabs>
        <w:spacing w:line="240" w:lineRule="auto" w:before="204" w:after="0"/>
        <w:ind w:left="1217" w:right="0" w:hanging="426"/>
        <w:jc w:val="left"/>
        <w:rPr>
          <w:sz w:val="24"/>
        </w:rPr>
      </w:pPr>
      <w:r>
        <w:rPr>
          <w:sz w:val="24"/>
        </w:rPr>
        <w:t>Community</w:t>
      </w:r>
      <w:r>
        <w:rPr>
          <w:spacing w:val="-8"/>
          <w:sz w:val="24"/>
        </w:rPr>
        <w:t> </w:t>
      </w:r>
      <w:r>
        <w:rPr>
          <w:sz w:val="24"/>
        </w:rPr>
        <w:t>Integration;</w:t>
      </w:r>
      <w:r>
        <w:rPr>
          <w:spacing w:val="-6"/>
          <w:sz w:val="24"/>
        </w:rPr>
        <w:t> </w:t>
      </w:r>
      <w:r>
        <w:rPr>
          <w:spacing w:val="-5"/>
          <w:sz w:val="24"/>
        </w:rPr>
        <w:t>and</w:t>
      </w:r>
    </w:p>
    <w:p>
      <w:pPr>
        <w:pStyle w:val="ListParagraph"/>
        <w:numPr>
          <w:ilvl w:val="1"/>
          <w:numId w:val="251"/>
        </w:numPr>
        <w:tabs>
          <w:tab w:pos="1217" w:val="left" w:leader="none"/>
        </w:tabs>
        <w:spacing w:line="240" w:lineRule="auto" w:before="204" w:after="0"/>
        <w:ind w:left="1217" w:right="0" w:hanging="426"/>
        <w:jc w:val="left"/>
        <w:rPr>
          <w:sz w:val="24"/>
        </w:rPr>
      </w:pPr>
      <w:r>
        <w:rPr>
          <w:sz w:val="24"/>
        </w:rPr>
        <w:t>Housing</w:t>
      </w:r>
      <w:r>
        <w:rPr>
          <w:spacing w:val="-5"/>
          <w:sz w:val="24"/>
        </w:rPr>
        <w:t> </w:t>
      </w:r>
      <w:r>
        <w:rPr>
          <w:spacing w:val="-2"/>
          <w:sz w:val="24"/>
        </w:rPr>
        <w:t>Modification.</w:t>
      </w:r>
    </w:p>
    <w:p>
      <w:pPr>
        <w:pStyle w:val="ListParagraph"/>
        <w:numPr>
          <w:ilvl w:val="0"/>
          <w:numId w:val="251"/>
        </w:numPr>
        <w:tabs>
          <w:tab w:pos="785" w:val="left" w:leader="none"/>
        </w:tabs>
        <w:spacing w:line="208" w:lineRule="auto" w:before="234" w:after="0"/>
        <w:ind w:left="359" w:right="807" w:firstLine="0"/>
        <w:jc w:val="both"/>
        <w:rPr>
          <w:sz w:val="24"/>
        </w:rPr>
      </w:pPr>
      <w:r>
        <w:rPr>
          <w:sz w:val="24"/>
        </w:rPr>
        <w:t>Housing</w:t>
      </w:r>
      <w:r>
        <w:rPr>
          <w:spacing w:val="-4"/>
          <w:sz w:val="24"/>
        </w:rPr>
        <w:t> </w:t>
      </w:r>
      <w:r>
        <w:rPr>
          <w:sz w:val="24"/>
        </w:rPr>
        <w:t>Modification</w:t>
      </w:r>
      <w:r>
        <w:rPr>
          <w:spacing w:val="-4"/>
          <w:sz w:val="24"/>
        </w:rPr>
        <w:t> </w:t>
      </w:r>
      <w:r>
        <w:rPr>
          <w:sz w:val="24"/>
        </w:rPr>
        <w:t>is</w:t>
      </w:r>
      <w:r>
        <w:rPr>
          <w:spacing w:val="-4"/>
          <w:sz w:val="24"/>
        </w:rPr>
        <w:t> </w:t>
      </w:r>
      <w:r>
        <w:rPr>
          <w:sz w:val="24"/>
        </w:rPr>
        <w:t>the</w:t>
      </w:r>
      <w:r>
        <w:rPr>
          <w:spacing w:val="-4"/>
          <w:sz w:val="24"/>
        </w:rPr>
        <w:t> </w:t>
      </w:r>
      <w:r>
        <w:rPr>
          <w:sz w:val="24"/>
        </w:rPr>
        <w:t>only</w:t>
      </w:r>
      <w:r>
        <w:rPr>
          <w:spacing w:val="-4"/>
          <w:sz w:val="24"/>
        </w:rPr>
        <w:t> </w:t>
      </w:r>
      <w:r>
        <w:rPr>
          <w:sz w:val="24"/>
        </w:rPr>
        <w:t>service</w:t>
      </w:r>
      <w:r>
        <w:rPr>
          <w:spacing w:val="-4"/>
          <w:sz w:val="24"/>
        </w:rPr>
        <w:t> </w:t>
      </w:r>
      <w:r>
        <w:rPr>
          <w:sz w:val="24"/>
        </w:rPr>
        <w:t>that</w:t>
      </w:r>
      <w:r>
        <w:rPr>
          <w:spacing w:val="-3"/>
          <w:sz w:val="24"/>
        </w:rPr>
        <w:t> </w:t>
      </w:r>
      <w:r>
        <w:rPr>
          <w:sz w:val="24"/>
        </w:rPr>
        <w:t>requires</w:t>
      </w:r>
      <w:r>
        <w:rPr>
          <w:spacing w:val="-4"/>
          <w:sz w:val="24"/>
        </w:rPr>
        <w:t> </w:t>
      </w:r>
      <w:r>
        <w:rPr>
          <w:sz w:val="24"/>
        </w:rPr>
        <w:t>financial</w:t>
      </w:r>
      <w:r>
        <w:rPr>
          <w:spacing w:val="-3"/>
          <w:sz w:val="24"/>
        </w:rPr>
        <w:t> </w:t>
      </w:r>
      <w:r>
        <w:rPr>
          <w:sz w:val="24"/>
        </w:rPr>
        <w:t>status</w:t>
      </w:r>
      <w:r>
        <w:rPr>
          <w:spacing w:val="-4"/>
          <w:sz w:val="24"/>
        </w:rPr>
        <w:t> </w:t>
      </w:r>
      <w:r>
        <w:rPr>
          <w:sz w:val="24"/>
        </w:rPr>
        <w:t>determination. Services</w:t>
      </w:r>
      <w:r>
        <w:rPr>
          <w:spacing w:val="-3"/>
          <w:sz w:val="24"/>
        </w:rPr>
        <w:t> </w:t>
      </w:r>
      <w:r>
        <w:rPr>
          <w:sz w:val="24"/>
        </w:rPr>
        <w:t>are</w:t>
      </w:r>
      <w:r>
        <w:rPr>
          <w:spacing w:val="-3"/>
          <w:sz w:val="24"/>
        </w:rPr>
        <w:t> </w:t>
      </w:r>
      <w:r>
        <w:rPr>
          <w:sz w:val="24"/>
        </w:rPr>
        <w:t>purchased</w:t>
      </w:r>
      <w:r>
        <w:rPr>
          <w:spacing w:val="-3"/>
          <w:sz w:val="24"/>
        </w:rPr>
        <w:t> </w:t>
      </w:r>
      <w:r>
        <w:rPr>
          <w:sz w:val="24"/>
        </w:rPr>
        <w:t>from</w:t>
      </w:r>
      <w:r>
        <w:rPr>
          <w:spacing w:val="-4"/>
          <w:sz w:val="24"/>
        </w:rPr>
        <w:t> </w:t>
      </w:r>
      <w:r>
        <w:rPr>
          <w:sz w:val="24"/>
        </w:rPr>
        <w:t>a</w:t>
      </w:r>
      <w:r>
        <w:rPr>
          <w:spacing w:val="-3"/>
          <w:sz w:val="24"/>
        </w:rPr>
        <w:t> </w:t>
      </w:r>
      <w:r>
        <w:rPr>
          <w:sz w:val="24"/>
        </w:rPr>
        <w:t>qualified</w:t>
      </w:r>
      <w:r>
        <w:rPr>
          <w:spacing w:val="-3"/>
          <w:sz w:val="24"/>
        </w:rPr>
        <w:t> </w:t>
      </w:r>
      <w:r>
        <w:rPr>
          <w:sz w:val="24"/>
        </w:rPr>
        <w:t>vendor</w:t>
      </w:r>
      <w:r>
        <w:rPr>
          <w:spacing w:val="-2"/>
          <w:sz w:val="24"/>
        </w:rPr>
        <w:t> </w:t>
      </w:r>
      <w:r>
        <w:rPr>
          <w:sz w:val="24"/>
        </w:rPr>
        <w:t>under</w:t>
      </w:r>
      <w:r>
        <w:rPr>
          <w:spacing w:val="-2"/>
          <w:sz w:val="24"/>
        </w:rPr>
        <w:t> </w:t>
      </w:r>
      <w:r>
        <w:rPr>
          <w:sz w:val="24"/>
        </w:rPr>
        <w:t>contract</w:t>
      </w:r>
      <w:r>
        <w:rPr>
          <w:spacing w:val="-2"/>
          <w:sz w:val="24"/>
        </w:rPr>
        <w:t> </w:t>
      </w:r>
      <w:r>
        <w:rPr>
          <w:sz w:val="24"/>
        </w:rPr>
        <w:t>with</w:t>
      </w:r>
      <w:r>
        <w:rPr>
          <w:spacing w:val="-4"/>
          <w:sz w:val="24"/>
        </w:rPr>
        <w:t> </w:t>
      </w:r>
      <w:r>
        <w:rPr>
          <w:sz w:val="24"/>
        </w:rPr>
        <w:t>DRS</w:t>
      </w:r>
      <w:r>
        <w:rPr>
          <w:spacing w:val="-3"/>
          <w:sz w:val="24"/>
        </w:rPr>
        <w:t> </w:t>
      </w:r>
      <w:r>
        <w:rPr>
          <w:sz w:val="24"/>
        </w:rPr>
        <w:t>in</w:t>
      </w:r>
      <w:r>
        <w:rPr>
          <w:spacing w:val="-3"/>
          <w:sz w:val="24"/>
        </w:rPr>
        <w:t> </w:t>
      </w:r>
      <w:r>
        <w:rPr>
          <w:sz w:val="24"/>
        </w:rPr>
        <w:t>accordance with DRS policy on housing modifications.</w:t>
      </w:r>
    </w:p>
    <w:p>
      <w:pPr>
        <w:pStyle w:val="ListParagraph"/>
        <w:numPr>
          <w:ilvl w:val="0"/>
          <w:numId w:val="251"/>
        </w:numPr>
        <w:tabs>
          <w:tab w:pos="773" w:val="left" w:leader="none"/>
        </w:tabs>
        <w:spacing w:line="417" w:lineRule="auto" w:before="210" w:after="0"/>
        <w:ind w:left="360" w:right="5304" w:firstLine="0"/>
        <w:jc w:val="left"/>
        <w:rPr>
          <w:sz w:val="24"/>
        </w:rPr>
      </w:pPr>
      <w:r>
        <w:rPr>
          <w:sz w:val="24"/>
        </w:rPr>
        <w:t>All</w:t>
      </w:r>
      <w:r>
        <w:rPr>
          <w:spacing w:val="-9"/>
          <w:sz w:val="24"/>
        </w:rPr>
        <w:t> </w:t>
      </w:r>
      <w:r>
        <w:rPr>
          <w:sz w:val="24"/>
        </w:rPr>
        <w:t>SSE</w:t>
      </w:r>
      <w:r>
        <w:rPr>
          <w:spacing w:val="-8"/>
          <w:sz w:val="24"/>
        </w:rPr>
        <w:t> </w:t>
      </w:r>
      <w:r>
        <w:rPr>
          <w:sz w:val="24"/>
        </w:rPr>
        <w:t>services</w:t>
      </w:r>
      <w:r>
        <w:rPr>
          <w:spacing w:val="-9"/>
          <w:sz w:val="24"/>
        </w:rPr>
        <w:t> </w:t>
      </w:r>
      <w:r>
        <w:rPr>
          <w:sz w:val="24"/>
        </w:rPr>
        <w:t>must</w:t>
      </w:r>
      <w:r>
        <w:rPr>
          <w:spacing w:val="-8"/>
          <w:sz w:val="24"/>
        </w:rPr>
        <w:t> </w:t>
      </w:r>
      <w:r>
        <w:rPr>
          <w:sz w:val="24"/>
        </w:rPr>
        <w:t>be</w:t>
      </w:r>
      <w:r>
        <w:rPr>
          <w:spacing w:val="-9"/>
          <w:sz w:val="24"/>
        </w:rPr>
        <w:t> </w:t>
      </w:r>
      <w:r>
        <w:rPr>
          <w:sz w:val="24"/>
        </w:rPr>
        <w:t>pre-authorized. INSTRUCTIONS TO STAFF</w:t>
      </w:r>
    </w:p>
    <w:p>
      <w:pPr>
        <w:pStyle w:val="ListParagraph"/>
        <w:numPr>
          <w:ilvl w:val="0"/>
          <w:numId w:val="252"/>
        </w:numPr>
        <w:tabs>
          <w:tab w:pos="1077" w:val="left" w:leader="none"/>
        </w:tabs>
        <w:spacing w:line="276" w:lineRule="exact" w:before="0" w:after="0"/>
        <w:ind w:left="1077" w:right="0" w:hanging="286"/>
        <w:jc w:val="left"/>
        <w:rPr>
          <w:sz w:val="24"/>
        </w:rPr>
      </w:pPr>
      <w:r>
        <w:rPr>
          <w:sz w:val="24"/>
        </w:rPr>
        <w:t>Support</w:t>
      </w:r>
      <w:r>
        <w:rPr>
          <w:spacing w:val="-3"/>
          <w:sz w:val="24"/>
        </w:rPr>
        <w:t> </w:t>
      </w:r>
      <w:r>
        <w:rPr>
          <w:sz w:val="24"/>
        </w:rPr>
        <w:t>Services</w:t>
      </w:r>
      <w:r>
        <w:rPr>
          <w:spacing w:val="-2"/>
          <w:sz w:val="24"/>
        </w:rPr>
        <w:t> </w:t>
      </w:r>
      <w:r>
        <w:rPr>
          <w:sz w:val="24"/>
        </w:rPr>
        <w:t>for</w:t>
      </w:r>
      <w:r>
        <w:rPr>
          <w:spacing w:val="-2"/>
          <w:sz w:val="24"/>
        </w:rPr>
        <w:t> Employment:</w:t>
      </w:r>
    </w:p>
    <w:p>
      <w:pPr>
        <w:pStyle w:val="ListParagraph"/>
        <w:numPr>
          <w:ilvl w:val="1"/>
          <w:numId w:val="252"/>
        </w:numPr>
        <w:tabs>
          <w:tab w:pos="1797" w:val="left" w:leader="none"/>
        </w:tabs>
        <w:spacing w:line="208" w:lineRule="auto" w:before="233" w:after="0"/>
        <w:ind w:left="1223" w:right="857" w:firstLine="0"/>
        <w:jc w:val="both"/>
        <w:rPr>
          <w:sz w:val="24"/>
        </w:rPr>
      </w:pPr>
      <w:r>
        <w:rPr>
          <w:sz w:val="24"/>
        </w:rPr>
        <w:t>Employment</w:t>
      </w:r>
      <w:r>
        <w:rPr>
          <w:spacing w:val="-4"/>
          <w:sz w:val="24"/>
        </w:rPr>
        <w:t> </w:t>
      </w:r>
      <w:r>
        <w:rPr>
          <w:sz w:val="24"/>
        </w:rPr>
        <w:t>Support</w:t>
      </w:r>
      <w:r>
        <w:rPr>
          <w:spacing w:val="-6"/>
          <w:sz w:val="24"/>
        </w:rPr>
        <w:t> </w:t>
      </w:r>
      <w:r>
        <w:rPr>
          <w:sz w:val="24"/>
        </w:rPr>
        <w:t>Assessment</w:t>
      </w:r>
      <w:r>
        <w:rPr>
          <w:spacing w:val="-4"/>
          <w:sz w:val="24"/>
        </w:rPr>
        <w:t> </w:t>
      </w:r>
      <w:r>
        <w:rPr>
          <w:sz w:val="24"/>
        </w:rPr>
        <w:t>helps</w:t>
      </w:r>
      <w:r>
        <w:rPr>
          <w:spacing w:val="-5"/>
          <w:sz w:val="24"/>
        </w:rPr>
        <w:t> </w:t>
      </w:r>
      <w:r>
        <w:rPr>
          <w:sz w:val="24"/>
        </w:rPr>
        <w:t>the</w:t>
      </w:r>
      <w:r>
        <w:rPr>
          <w:spacing w:val="-5"/>
          <w:sz w:val="24"/>
        </w:rPr>
        <w:t> </w:t>
      </w:r>
      <w:r>
        <w:rPr>
          <w:sz w:val="24"/>
        </w:rPr>
        <w:t>counselor</w:t>
      </w:r>
      <w:r>
        <w:rPr>
          <w:spacing w:val="-4"/>
          <w:sz w:val="24"/>
        </w:rPr>
        <w:t> </w:t>
      </w:r>
      <w:r>
        <w:rPr>
          <w:sz w:val="24"/>
        </w:rPr>
        <w:t>identify</w:t>
      </w:r>
      <w:r>
        <w:rPr>
          <w:spacing w:val="-5"/>
          <w:sz w:val="24"/>
        </w:rPr>
        <w:t> </w:t>
      </w:r>
      <w:r>
        <w:rPr>
          <w:sz w:val="24"/>
        </w:rPr>
        <w:t>the</w:t>
      </w:r>
      <w:r>
        <w:rPr>
          <w:spacing w:val="-5"/>
          <w:sz w:val="24"/>
        </w:rPr>
        <w:t> </w:t>
      </w:r>
      <w:r>
        <w:rPr>
          <w:sz w:val="24"/>
        </w:rPr>
        <w:t>client's level</w:t>
      </w:r>
      <w:r>
        <w:rPr>
          <w:spacing w:val="-1"/>
          <w:sz w:val="24"/>
        </w:rPr>
        <w:t> </w:t>
      </w:r>
      <w:r>
        <w:rPr>
          <w:sz w:val="24"/>
        </w:rPr>
        <w:t>of independence and</w:t>
      </w:r>
      <w:r>
        <w:rPr>
          <w:spacing w:val="-1"/>
          <w:sz w:val="24"/>
        </w:rPr>
        <w:t> </w:t>
      </w:r>
      <w:r>
        <w:rPr>
          <w:sz w:val="24"/>
        </w:rPr>
        <w:t>support needs</w:t>
      </w:r>
      <w:r>
        <w:rPr>
          <w:spacing w:val="-1"/>
          <w:sz w:val="24"/>
        </w:rPr>
        <w:t> </w:t>
      </w:r>
      <w:r>
        <w:rPr>
          <w:sz w:val="24"/>
        </w:rPr>
        <w:t>in</w:t>
      </w:r>
      <w:r>
        <w:rPr>
          <w:spacing w:val="-2"/>
          <w:sz w:val="24"/>
        </w:rPr>
        <w:t> </w:t>
      </w:r>
      <w:r>
        <w:rPr>
          <w:sz w:val="24"/>
        </w:rPr>
        <w:t>order to</w:t>
      </w:r>
      <w:r>
        <w:rPr>
          <w:spacing w:val="-1"/>
          <w:sz w:val="24"/>
        </w:rPr>
        <w:t> </w:t>
      </w:r>
      <w:r>
        <w:rPr>
          <w:sz w:val="24"/>
        </w:rPr>
        <w:t>plan</w:t>
      </w:r>
      <w:r>
        <w:rPr>
          <w:spacing w:val="-1"/>
          <w:sz w:val="24"/>
        </w:rPr>
        <w:t> </w:t>
      </w:r>
      <w:r>
        <w:rPr>
          <w:sz w:val="24"/>
        </w:rPr>
        <w:t>appropriate</w:t>
      </w:r>
      <w:r>
        <w:rPr>
          <w:spacing w:val="-1"/>
          <w:sz w:val="24"/>
        </w:rPr>
        <w:t> </w:t>
      </w:r>
      <w:r>
        <w:rPr>
          <w:sz w:val="24"/>
        </w:rPr>
        <w:t>supports and services.</w:t>
      </w:r>
    </w:p>
    <w:p>
      <w:pPr>
        <w:pStyle w:val="ListParagraph"/>
        <w:numPr>
          <w:ilvl w:val="1"/>
          <w:numId w:val="252"/>
        </w:numPr>
        <w:tabs>
          <w:tab w:pos="1799" w:val="left" w:leader="none"/>
        </w:tabs>
        <w:spacing w:line="208" w:lineRule="auto" w:before="240" w:after="0"/>
        <w:ind w:left="1223" w:right="783" w:firstLine="0"/>
        <w:jc w:val="left"/>
        <w:rPr>
          <w:sz w:val="24"/>
        </w:rPr>
      </w:pPr>
      <w:r>
        <w:rPr>
          <w:sz w:val="24"/>
        </w:rPr>
        <w:t>Life Skills Management is a self management program that teaches an individual "behavior modification techniques" to improve his/her ability to effectively handle problems that could hinder achievement of the vocational goal and maintaining successful employment. The program facilitates stabilization of a disabling condition by equipping the individual with the tools necessary</w:t>
      </w:r>
      <w:r>
        <w:rPr>
          <w:spacing w:val="-4"/>
          <w:sz w:val="24"/>
        </w:rPr>
        <w:t> </w:t>
      </w:r>
      <w:r>
        <w:rPr>
          <w:sz w:val="24"/>
        </w:rPr>
        <w:t>to</w:t>
      </w:r>
      <w:r>
        <w:rPr>
          <w:spacing w:val="-4"/>
          <w:sz w:val="24"/>
        </w:rPr>
        <w:t> </w:t>
      </w:r>
      <w:r>
        <w:rPr>
          <w:sz w:val="24"/>
        </w:rPr>
        <w:t>understand</w:t>
      </w:r>
      <w:r>
        <w:rPr>
          <w:spacing w:val="-4"/>
          <w:sz w:val="24"/>
        </w:rPr>
        <w:t> </w:t>
      </w:r>
      <w:r>
        <w:rPr>
          <w:sz w:val="24"/>
        </w:rPr>
        <w:t>and</w:t>
      </w:r>
      <w:r>
        <w:rPr>
          <w:spacing w:val="-4"/>
          <w:sz w:val="24"/>
        </w:rPr>
        <w:t> </w:t>
      </w:r>
      <w:r>
        <w:rPr>
          <w:sz w:val="24"/>
        </w:rPr>
        <w:t>utilize</w:t>
      </w:r>
      <w:r>
        <w:rPr>
          <w:spacing w:val="-4"/>
          <w:sz w:val="24"/>
        </w:rPr>
        <w:t> </w:t>
      </w:r>
      <w:r>
        <w:rPr>
          <w:sz w:val="24"/>
        </w:rPr>
        <w:t>the</w:t>
      </w:r>
      <w:r>
        <w:rPr>
          <w:spacing w:val="-4"/>
          <w:sz w:val="24"/>
        </w:rPr>
        <w:t> </w:t>
      </w:r>
      <w:r>
        <w:rPr>
          <w:sz w:val="24"/>
        </w:rPr>
        <w:t>key</w:t>
      </w:r>
      <w:r>
        <w:rPr>
          <w:spacing w:val="-5"/>
          <w:sz w:val="24"/>
        </w:rPr>
        <w:t> </w:t>
      </w:r>
      <w:r>
        <w:rPr>
          <w:sz w:val="24"/>
        </w:rPr>
        <w:t>concepts</w:t>
      </w:r>
      <w:r>
        <w:rPr>
          <w:spacing w:val="-4"/>
          <w:sz w:val="24"/>
        </w:rPr>
        <w:t> </w:t>
      </w:r>
      <w:r>
        <w:rPr>
          <w:sz w:val="24"/>
        </w:rPr>
        <w:t>of</w:t>
      </w:r>
      <w:r>
        <w:rPr>
          <w:spacing w:val="-3"/>
          <w:sz w:val="24"/>
        </w:rPr>
        <w:t> </w:t>
      </w:r>
      <w:r>
        <w:rPr>
          <w:sz w:val="24"/>
        </w:rPr>
        <w:t>the</w:t>
      </w:r>
      <w:r>
        <w:rPr>
          <w:spacing w:val="-4"/>
          <w:sz w:val="24"/>
        </w:rPr>
        <w:t> </w:t>
      </w:r>
      <w:r>
        <w:rPr>
          <w:sz w:val="24"/>
        </w:rPr>
        <w:t>Wellness</w:t>
      </w:r>
      <w:r>
        <w:rPr>
          <w:spacing w:val="-4"/>
          <w:sz w:val="24"/>
        </w:rPr>
        <w:t> </w:t>
      </w:r>
      <w:r>
        <w:rPr>
          <w:sz w:val="24"/>
        </w:rPr>
        <w:t>Recovery Action Plan (WRAP).</w:t>
      </w:r>
      <w:r>
        <w:rPr>
          <w:spacing w:val="-1"/>
          <w:sz w:val="24"/>
        </w:rPr>
        <w:t> </w:t>
      </w:r>
      <w:r>
        <w:rPr>
          <w:sz w:val="24"/>
        </w:rPr>
        <w:t>It</w:t>
      </w:r>
      <w:r>
        <w:rPr>
          <w:spacing w:val="-1"/>
          <w:sz w:val="24"/>
        </w:rPr>
        <w:t> </w:t>
      </w:r>
      <w:r>
        <w:rPr>
          <w:sz w:val="24"/>
        </w:rPr>
        <w:t>is a comprehensive program composed of</w:t>
      </w:r>
      <w:r>
        <w:rPr>
          <w:spacing w:val="-1"/>
          <w:sz w:val="24"/>
        </w:rPr>
        <w:t> </w:t>
      </w:r>
      <w:r>
        <w:rPr>
          <w:sz w:val="24"/>
        </w:rPr>
        <w:t>three distinct service components which build on each other. All three services are required to ensure the individual learns the concepts of WRAP and successfully integrates them into their daily living situations.</w:t>
      </w:r>
    </w:p>
    <w:p>
      <w:pPr>
        <w:pStyle w:val="ListParagraph"/>
        <w:numPr>
          <w:ilvl w:val="1"/>
          <w:numId w:val="252"/>
        </w:numPr>
        <w:tabs>
          <w:tab w:pos="1799" w:val="left" w:leader="none"/>
        </w:tabs>
        <w:spacing w:line="208" w:lineRule="auto" w:before="239" w:after="0"/>
        <w:ind w:left="1223" w:right="755" w:firstLine="0"/>
        <w:jc w:val="left"/>
        <w:rPr>
          <w:sz w:val="24"/>
        </w:rPr>
      </w:pPr>
      <w:r>
        <w:rPr>
          <w:sz w:val="24"/>
        </w:rPr>
        <w:t>Community</w:t>
      </w:r>
      <w:r>
        <w:rPr>
          <w:spacing w:val="-7"/>
          <w:sz w:val="24"/>
        </w:rPr>
        <w:t> </w:t>
      </w:r>
      <w:r>
        <w:rPr>
          <w:sz w:val="24"/>
        </w:rPr>
        <w:t>Integration</w:t>
      </w:r>
      <w:r>
        <w:rPr>
          <w:spacing w:val="-7"/>
          <w:sz w:val="24"/>
        </w:rPr>
        <w:t> </w:t>
      </w:r>
      <w:r>
        <w:rPr>
          <w:sz w:val="24"/>
        </w:rPr>
        <w:t>services</w:t>
      </w:r>
      <w:r>
        <w:rPr>
          <w:spacing w:val="-7"/>
          <w:sz w:val="24"/>
        </w:rPr>
        <w:t> </w:t>
      </w:r>
      <w:r>
        <w:rPr>
          <w:sz w:val="24"/>
        </w:rPr>
        <w:t>may</w:t>
      </w:r>
      <w:r>
        <w:rPr>
          <w:spacing w:val="-7"/>
          <w:sz w:val="24"/>
        </w:rPr>
        <w:t> </w:t>
      </w:r>
      <w:r>
        <w:rPr>
          <w:sz w:val="24"/>
        </w:rPr>
        <w:t>include</w:t>
      </w:r>
      <w:r>
        <w:rPr>
          <w:spacing w:val="-7"/>
          <w:sz w:val="24"/>
        </w:rPr>
        <w:t> </w:t>
      </w:r>
      <w:r>
        <w:rPr>
          <w:sz w:val="24"/>
        </w:rPr>
        <w:t>employment-related</w:t>
      </w:r>
      <w:r>
        <w:rPr>
          <w:spacing w:val="-7"/>
          <w:sz w:val="24"/>
        </w:rPr>
        <w:t> </w:t>
      </w:r>
      <w:r>
        <w:rPr>
          <w:sz w:val="24"/>
        </w:rPr>
        <w:t>activities of daily living skills, transportation, navigation in new environments, teaching advocacy skills or any other skills to reduce barriers to integration. It may also include training in the use of assistive technology and negotiating worksite and/or training facility modifications or accommodations. This service can also be authorized for job retention when needed to retain employment.</w:t>
      </w:r>
    </w:p>
    <w:p>
      <w:pPr>
        <w:pStyle w:val="ListParagraph"/>
        <w:numPr>
          <w:ilvl w:val="1"/>
          <w:numId w:val="252"/>
        </w:numPr>
        <w:tabs>
          <w:tab w:pos="1799" w:val="left" w:leader="none"/>
        </w:tabs>
        <w:spacing w:line="208" w:lineRule="auto" w:before="239" w:after="0"/>
        <w:ind w:left="1223" w:right="1103" w:firstLine="0"/>
        <w:jc w:val="left"/>
        <w:rPr>
          <w:sz w:val="24"/>
        </w:rPr>
      </w:pPr>
      <w:r>
        <w:rPr>
          <w:sz w:val="24"/>
        </w:rPr>
        <w:t>Housing Modification is completed by the vendor as specified by the assistive</w:t>
      </w:r>
      <w:r>
        <w:rPr>
          <w:spacing w:val="-5"/>
          <w:sz w:val="24"/>
        </w:rPr>
        <w:t> </w:t>
      </w:r>
      <w:r>
        <w:rPr>
          <w:sz w:val="24"/>
        </w:rPr>
        <w:t>technology</w:t>
      </w:r>
      <w:r>
        <w:rPr>
          <w:spacing w:val="-5"/>
          <w:sz w:val="24"/>
        </w:rPr>
        <w:t> </w:t>
      </w:r>
      <w:r>
        <w:rPr>
          <w:sz w:val="24"/>
        </w:rPr>
        <w:t>specialist</w:t>
      </w:r>
      <w:r>
        <w:rPr>
          <w:spacing w:val="-4"/>
          <w:sz w:val="24"/>
        </w:rPr>
        <w:t> </w:t>
      </w:r>
      <w:r>
        <w:rPr>
          <w:sz w:val="24"/>
        </w:rPr>
        <w:t>or</w:t>
      </w:r>
      <w:r>
        <w:rPr>
          <w:spacing w:val="-6"/>
          <w:sz w:val="24"/>
        </w:rPr>
        <w:t> </w:t>
      </w:r>
      <w:r>
        <w:rPr>
          <w:sz w:val="24"/>
        </w:rPr>
        <w:t>person</w:t>
      </w:r>
      <w:r>
        <w:rPr>
          <w:spacing w:val="-5"/>
          <w:sz w:val="24"/>
        </w:rPr>
        <w:t> </w:t>
      </w:r>
      <w:r>
        <w:rPr>
          <w:sz w:val="24"/>
        </w:rPr>
        <w:t>with</w:t>
      </w:r>
      <w:r>
        <w:rPr>
          <w:spacing w:val="-4"/>
          <w:sz w:val="24"/>
        </w:rPr>
        <w:t> </w:t>
      </w:r>
      <w:r>
        <w:rPr>
          <w:sz w:val="24"/>
        </w:rPr>
        <w:t>equivalent</w:t>
      </w:r>
      <w:r>
        <w:rPr>
          <w:spacing w:val="-4"/>
          <w:sz w:val="24"/>
        </w:rPr>
        <w:t> </w:t>
      </w:r>
      <w:r>
        <w:rPr>
          <w:sz w:val="24"/>
        </w:rPr>
        <w:t>qualifications</w:t>
      </w:r>
      <w:r>
        <w:rPr>
          <w:spacing w:val="-5"/>
          <w:sz w:val="24"/>
        </w:rPr>
        <w:t> </w:t>
      </w:r>
      <w:r>
        <w:rPr>
          <w:sz w:val="24"/>
        </w:rPr>
        <w:t>and</w:t>
      </w:r>
      <w:r>
        <w:rPr>
          <w:spacing w:val="-5"/>
          <w:sz w:val="24"/>
        </w:rPr>
        <w:t> </w:t>
      </w:r>
      <w:r>
        <w:rPr>
          <w:sz w:val="24"/>
        </w:rPr>
        <w:t>in accordance with DRS policy on housing modifications.</w:t>
      </w:r>
    </w:p>
    <w:p>
      <w:pPr>
        <w:spacing w:before="244"/>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248"/>
        </w:numPr>
        <w:tabs>
          <w:tab w:pos="1439" w:val="left" w:leader="none"/>
        </w:tabs>
        <w:spacing w:line="240" w:lineRule="auto"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pStyle w:val="ListParagraph"/>
        <w:spacing w:after="0" w:line="240" w:lineRule="auto"/>
        <w:jc w:val="left"/>
        <w:rPr>
          <w:sz w:val="22"/>
        </w:rPr>
        <w:sectPr>
          <w:pgSz w:w="12240" w:h="15840"/>
          <w:pgMar w:top="1340" w:bottom="280" w:left="1080" w:right="720"/>
        </w:sectPr>
      </w:pPr>
    </w:p>
    <w:p>
      <w:pPr>
        <w:spacing w:before="80"/>
        <w:ind w:left="1439" w:right="0" w:firstLine="0"/>
        <w:jc w:val="left"/>
        <w:rPr>
          <w:sz w:val="22"/>
        </w:rPr>
      </w:pPr>
      <w:r>
        <w:rPr>
          <w:sz w:val="22"/>
        </w:rPr>
        <w:t>Permanent,</w:t>
      </w:r>
      <w:r>
        <w:rPr>
          <w:spacing w:val="-8"/>
          <w:sz w:val="22"/>
        </w:rPr>
        <w:t> </w:t>
      </w:r>
      <w:r>
        <w:rPr>
          <w:sz w:val="22"/>
        </w:rPr>
        <w:t>new,</w:t>
      </w:r>
      <w:r>
        <w:rPr>
          <w:spacing w:val="-9"/>
          <w:sz w:val="22"/>
        </w:rPr>
        <w:t> </w:t>
      </w:r>
      <w:r>
        <w:rPr>
          <w:sz w:val="22"/>
        </w:rPr>
        <w:t>indicating</w:t>
      </w:r>
      <w:r>
        <w:rPr>
          <w:spacing w:val="-9"/>
          <w:sz w:val="22"/>
        </w:rPr>
        <w:t> </w:t>
      </w:r>
      <w:r>
        <w:rPr>
          <w:sz w:val="22"/>
        </w:rPr>
        <w:t>availability</w:t>
      </w:r>
      <w:r>
        <w:rPr>
          <w:spacing w:val="-9"/>
          <w:sz w:val="22"/>
        </w:rPr>
        <w:t> </w:t>
      </w:r>
      <w:r>
        <w:rPr>
          <w:sz w:val="22"/>
        </w:rPr>
        <w:t>of</w:t>
      </w:r>
      <w:r>
        <w:rPr>
          <w:spacing w:val="-9"/>
          <w:sz w:val="22"/>
        </w:rPr>
        <w:t> </w:t>
      </w:r>
      <w:r>
        <w:rPr>
          <w:spacing w:val="-2"/>
          <w:sz w:val="22"/>
        </w:rPr>
        <w:t>services</w:t>
      </w:r>
    </w:p>
    <w:p>
      <w:pPr>
        <w:spacing w:after="0"/>
        <w:jc w:val="left"/>
        <w:rPr>
          <w:sz w:val="22"/>
        </w:rPr>
        <w:sectPr>
          <w:pgSz w:w="12240" w:h="15840"/>
          <w:pgMar w:top="1360" w:bottom="280" w:left="1080" w:right="720"/>
        </w:sectPr>
      </w:pPr>
    </w:p>
    <w:p>
      <w:pPr>
        <w:pStyle w:val="Heading1"/>
      </w:pPr>
      <w:bookmarkStart w:name="PART 25.  TRANSITION FROM SCHOOL TO WORK" w:id="231"/>
      <w:bookmarkEnd w:id="231"/>
      <w:r>
        <w:rPr>
          <w:b w:val="0"/>
        </w:rPr>
      </w:r>
      <w:r>
        <w:rPr/>
        <w:t>PART</w:t>
      </w:r>
      <w:r>
        <w:rPr>
          <w:spacing w:val="-3"/>
        </w:rPr>
        <w:t> </w:t>
      </w:r>
      <w:r>
        <w:rPr/>
        <w:t>25.</w:t>
      </w:r>
      <w:r>
        <w:rPr>
          <w:spacing w:val="62"/>
        </w:rPr>
        <w:t> </w:t>
      </w:r>
      <w:r>
        <w:rPr/>
        <w:t>TRANSITION</w:t>
      </w:r>
      <w:r>
        <w:rPr>
          <w:spacing w:val="-2"/>
        </w:rPr>
        <w:t> </w:t>
      </w:r>
      <w:r>
        <w:rPr/>
        <w:t>FROM</w:t>
      </w:r>
      <w:r>
        <w:rPr>
          <w:spacing w:val="-3"/>
        </w:rPr>
        <w:t> </w:t>
      </w:r>
      <w:r>
        <w:rPr/>
        <w:t>SCHOOL</w:t>
      </w:r>
      <w:r>
        <w:rPr>
          <w:spacing w:val="-1"/>
        </w:rPr>
        <w:t> </w:t>
      </w:r>
      <w:r>
        <w:rPr/>
        <w:t>TO</w:t>
      </w:r>
      <w:r>
        <w:rPr>
          <w:spacing w:val="-3"/>
        </w:rPr>
        <w:t> </w:t>
      </w:r>
      <w:r>
        <w:rPr/>
        <w:t>WORK</w:t>
      </w:r>
      <w:r>
        <w:rPr>
          <w:spacing w:val="-3"/>
        </w:rPr>
        <w:t> </w:t>
      </w:r>
      <w:r>
        <w:rPr>
          <w:spacing w:val="-2"/>
        </w:rPr>
        <w:t>PROGRAM</w:t>
      </w:r>
    </w:p>
    <w:p>
      <w:pPr>
        <w:pStyle w:val="BodyText"/>
        <w:spacing w:before="204"/>
      </w:pPr>
      <w:r>
        <w:rPr>
          <w:spacing w:val="-2"/>
        </w:rPr>
        <w:t>Section</w:t>
      </w:r>
    </w:p>
    <w:p>
      <w:pPr>
        <w:pStyle w:val="BodyText"/>
        <w:tabs>
          <w:tab w:pos="2069" w:val="left" w:leader="none"/>
        </w:tabs>
        <w:spacing w:line="417" w:lineRule="auto" w:before="204"/>
        <w:ind w:right="2967"/>
      </w:pPr>
      <w:r>
        <w:rPr>
          <w:spacing w:val="-2"/>
        </w:rPr>
        <w:t>612:10-7-240.</w:t>
      </w:r>
      <w:r>
        <w:rPr/>
        <w:tab/>
        <w:t>Overview</w:t>
      </w:r>
      <w:r>
        <w:rPr>
          <w:spacing w:val="-6"/>
        </w:rPr>
        <w:t> </w:t>
      </w:r>
      <w:r>
        <w:rPr/>
        <w:t>of</w:t>
      </w:r>
      <w:r>
        <w:rPr>
          <w:spacing w:val="-5"/>
        </w:rPr>
        <w:t> </w:t>
      </w:r>
      <w:r>
        <w:rPr/>
        <w:t>transition</w:t>
      </w:r>
      <w:r>
        <w:rPr>
          <w:spacing w:val="-6"/>
        </w:rPr>
        <w:t> </w:t>
      </w:r>
      <w:r>
        <w:rPr/>
        <w:t>from</w:t>
      </w:r>
      <w:r>
        <w:rPr>
          <w:spacing w:val="-5"/>
        </w:rPr>
        <w:t> </w:t>
      </w:r>
      <w:r>
        <w:rPr/>
        <w:t>school</w:t>
      </w:r>
      <w:r>
        <w:rPr>
          <w:spacing w:val="-6"/>
        </w:rPr>
        <w:t> </w:t>
      </w:r>
      <w:r>
        <w:rPr/>
        <w:t>to</w:t>
      </w:r>
      <w:r>
        <w:rPr>
          <w:spacing w:val="-6"/>
        </w:rPr>
        <w:t> </w:t>
      </w:r>
      <w:r>
        <w:rPr/>
        <w:t>work</w:t>
      </w:r>
      <w:r>
        <w:rPr>
          <w:spacing w:val="-6"/>
        </w:rPr>
        <w:t> </w:t>
      </w:r>
      <w:r>
        <w:rPr/>
        <w:t>services </w:t>
      </w:r>
      <w:r>
        <w:rPr>
          <w:spacing w:val="-2"/>
        </w:rPr>
        <w:t>612:10-7-241.</w:t>
      </w:r>
      <w:r>
        <w:rPr/>
        <w:tab/>
        <w:t>Subminimum Wage for Youth with disabilities </w:t>
      </w:r>
      <w:r>
        <w:rPr>
          <w:spacing w:val="-2"/>
        </w:rPr>
        <w:t>612:10-7-242.</w:t>
      </w:r>
      <w:r>
        <w:rPr/>
        <w:tab/>
        <w:t>Pre-Employment Transition Services</w:t>
      </w:r>
    </w:p>
    <w:p>
      <w:pPr>
        <w:pStyle w:val="BodyText"/>
        <w:tabs>
          <w:tab w:pos="2069" w:val="left" w:leader="none"/>
        </w:tabs>
        <w:spacing w:line="275" w:lineRule="exact" w:before="0"/>
      </w:pPr>
      <w:r>
        <w:rPr>
          <w:spacing w:val="-2"/>
        </w:rPr>
        <w:t>612:10-7-</w:t>
      </w:r>
      <w:r>
        <w:rPr>
          <w:spacing w:val="-4"/>
        </w:rPr>
        <w:t>245.</w:t>
      </w:r>
      <w:r>
        <w:rPr/>
        <w:tab/>
      </w:r>
      <w:r>
        <w:rPr>
          <w:spacing w:val="-2"/>
        </w:rPr>
        <w:t>Definitions</w:t>
      </w:r>
    </w:p>
    <w:p>
      <w:pPr>
        <w:pStyle w:val="BodyText"/>
        <w:tabs>
          <w:tab w:pos="2069" w:val="left" w:leader="none"/>
        </w:tabs>
        <w:spacing w:line="417" w:lineRule="auto" w:before="204"/>
        <w:ind w:right="3405"/>
      </w:pPr>
      <w:r>
        <w:rPr>
          <w:spacing w:val="-2"/>
        </w:rPr>
        <w:t>612:10-7-246.</w:t>
      </w:r>
      <w:r>
        <w:rPr/>
        <w:tab/>
        <w:t>Cooperative</w:t>
      </w:r>
      <w:r>
        <w:rPr>
          <w:spacing w:val="-9"/>
        </w:rPr>
        <w:t> </w:t>
      </w:r>
      <w:r>
        <w:rPr/>
        <w:t>agreements</w:t>
      </w:r>
      <w:r>
        <w:rPr>
          <w:spacing w:val="-9"/>
        </w:rPr>
        <w:t> </w:t>
      </w:r>
      <w:r>
        <w:rPr/>
        <w:t>for</w:t>
      </w:r>
      <w:r>
        <w:rPr>
          <w:spacing w:val="-10"/>
        </w:rPr>
        <w:t> </w:t>
      </w:r>
      <w:r>
        <w:rPr/>
        <w:t>transition</w:t>
      </w:r>
      <w:r>
        <w:rPr>
          <w:spacing w:val="-9"/>
        </w:rPr>
        <w:t> </w:t>
      </w:r>
      <w:r>
        <w:rPr/>
        <w:t>services </w:t>
      </w:r>
      <w:r>
        <w:rPr>
          <w:spacing w:val="-2"/>
        </w:rPr>
        <w:t>612:10-7-247.</w:t>
      </w:r>
      <w:r>
        <w:rPr/>
        <w:tab/>
        <w:t>Confidentiality of records</w:t>
      </w:r>
    </w:p>
    <w:p>
      <w:pPr>
        <w:pStyle w:val="BodyText"/>
        <w:tabs>
          <w:tab w:pos="2069" w:val="left" w:leader="none"/>
        </w:tabs>
        <w:spacing w:line="208" w:lineRule="auto" w:before="29"/>
        <w:ind w:left="2070" w:right="1111" w:hanging="1710"/>
      </w:pPr>
      <w:r>
        <w:rPr>
          <w:spacing w:val="-2"/>
        </w:rPr>
        <w:t>612:10-7-248.</w:t>
      </w:r>
      <w:r>
        <w:rPr/>
        <w:tab/>
        <w:t>Coordination</w:t>
      </w:r>
      <w:r>
        <w:rPr>
          <w:spacing w:val="-7"/>
        </w:rPr>
        <w:t> </w:t>
      </w:r>
      <w:r>
        <w:rPr/>
        <w:t>of</w:t>
      </w:r>
      <w:r>
        <w:rPr>
          <w:spacing w:val="-6"/>
        </w:rPr>
        <w:t> </w:t>
      </w:r>
      <w:r>
        <w:rPr/>
        <w:t>Individualized</w:t>
      </w:r>
      <w:r>
        <w:rPr>
          <w:spacing w:val="-7"/>
        </w:rPr>
        <w:t> </w:t>
      </w:r>
      <w:r>
        <w:rPr/>
        <w:t>Education</w:t>
      </w:r>
      <w:r>
        <w:rPr>
          <w:spacing w:val="-7"/>
        </w:rPr>
        <w:t> </w:t>
      </w:r>
      <w:r>
        <w:rPr/>
        <w:t>Program</w:t>
      </w:r>
      <w:r>
        <w:rPr>
          <w:spacing w:val="-6"/>
        </w:rPr>
        <w:t> </w:t>
      </w:r>
      <w:r>
        <w:rPr/>
        <w:t>and</w:t>
      </w:r>
      <w:r>
        <w:rPr>
          <w:spacing w:val="-7"/>
        </w:rPr>
        <w:t> </w:t>
      </w:r>
      <w:r>
        <w:rPr/>
        <w:t>Individualized Plan for Employment</w:t>
      </w:r>
    </w:p>
    <w:p>
      <w:pPr>
        <w:pStyle w:val="BodyText"/>
        <w:spacing w:line="208" w:lineRule="auto" w:before="239"/>
        <w:ind w:left="2070" w:right="775" w:hanging="1710"/>
      </w:pPr>
      <w:r>
        <w:rPr/>
        <w:t>612:10-7-250.</w:t>
      </w:r>
      <w:r>
        <w:rPr>
          <w:spacing w:val="40"/>
        </w:rPr>
        <w:t> </w:t>
      </w:r>
      <w:r>
        <w:rPr/>
        <w:t>Reporting</w:t>
      </w:r>
      <w:r>
        <w:rPr>
          <w:spacing w:val="-4"/>
        </w:rPr>
        <w:t> </w:t>
      </w:r>
      <w:r>
        <w:rPr/>
        <w:t>Credential</w:t>
      </w:r>
      <w:r>
        <w:rPr>
          <w:spacing w:val="-4"/>
        </w:rPr>
        <w:t> </w:t>
      </w:r>
      <w:r>
        <w:rPr/>
        <w:t>Attainment</w:t>
      </w:r>
      <w:r>
        <w:rPr>
          <w:spacing w:val="-4"/>
        </w:rPr>
        <w:t> </w:t>
      </w:r>
      <w:r>
        <w:rPr/>
        <w:t>and</w:t>
      </w:r>
      <w:r>
        <w:rPr>
          <w:spacing w:val="-4"/>
        </w:rPr>
        <w:t> </w:t>
      </w:r>
      <w:r>
        <w:rPr/>
        <w:t>Skill</w:t>
      </w:r>
      <w:r>
        <w:rPr>
          <w:spacing w:val="-4"/>
        </w:rPr>
        <w:t> </w:t>
      </w:r>
      <w:r>
        <w:rPr/>
        <w:t>Gains</w:t>
      </w:r>
      <w:r>
        <w:rPr>
          <w:spacing w:val="-4"/>
        </w:rPr>
        <w:t> </w:t>
      </w:r>
      <w:r>
        <w:rPr/>
        <w:t>for</w:t>
      </w:r>
      <w:r>
        <w:rPr>
          <w:spacing w:val="-5"/>
        </w:rPr>
        <w:t> </w:t>
      </w:r>
      <w:r>
        <w:rPr/>
        <w:t>High</w:t>
      </w:r>
      <w:r>
        <w:rPr>
          <w:spacing w:val="-4"/>
        </w:rPr>
        <w:t> </w:t>
      </w:r>
      <w:r>
        <w:rPr/>
        <w:t>School Transition Students</w:t>
      </w:r>
    </w:p>
    <w:p>
      <w:pPr>
        <w:pStyle w:val="BodyText"/>
        <w:spacing w:after="0" w:line="208" w:lineRule="auto"/>
        <w:sectPr>
          <w:pgSz w:w="12240" w:h="15840"/>
          <w:pgMar w:top="1340" w:bottom="280" w:left="1080" w:right="720"/>
        </w:sectPr>
      </w:pPr>
    </w:p>
    <w:p>
      <w:pPr>
        <w:pStyle w:val="Heading2"/>
      </w:pPr>
      <w:bookmarkStart w:name="612:10-7-240.  Overview of transition fr" w:id="232"/>
      <w:bookmarkEnd w:id="232"/>
      <w:r>
        <w:rPr>
          <w:b w:val="0"/>
        </w:rPr>
      </w:r>
      <w:r>
        <w:rPr/>
        <w:t>612:10-7-240.</w:t>
      </w:r>
      <w:r>
        <w:rPr>
          <w:spacing w:val="58"/>
        </w:rPr>
        <w:t> </w:t>
      </w:r>
      <w:r>
        <w:rPr/>
        <w:t>Overview</w:t>
      </w:r>
      <w:r>
        <w:rPr>
          <w:spacing w:val="-2"/>
        </w:rPr>
        <w:t> </w:t>
      </w:r>
      <w:r>
        <w:rPr/>
        <w:t>of</w:t>
      </w:r>
      <w:r>
        <w:rPr>
          <w:spacing w:val="-4"/>
        </w:rPr>
        <w:t> </w:t>
      </w:r>
      <w:r>
        <w:rPr/>
        <w:t>transition</w:t>
      </w:r>
      <w:r>
        <w:rPr>
          <w:spacing w:val="-5"/>
        </w:rPr>
        <w:t> </w:t>
      </w:r>
      <w:r>
        <w:rPr/>
        <w:t>from</w:t>
      </w:r>
      <w:r>
        <w:rPr>
          <w:spacing w:val="-3"/>
        </w:rPr>
        <w:t> </w:t>
      </w:r>
      <w:r>
        <w:rPr/>
        <w:t>school</w:t>
      </w:r>
      <w:r>
        <w:rPr>
          <w:spacing w:val="-2"/>
        </w:rPr>
        <w:t> </w:t>
      </w:r>
      <w:r>
        <w:rPr/>
        <w:t>to</w:t>
      </w:r>
      <w:r>
        <w:rPr>
          <w:spacing w:val="-3"/>
        </w:rPr>
        <w:t> </w:t>
      </w:r>
      <w:r>
        <w:rPr/>
        <w:t>work</w:t>
      </w:r>
      <w:r>
        <w:rPr>
          <w:spacing w:val="-3"/>
        </w:rPr>
        <w:t> </w:t>
      </w:r>
      <w:r>
        <w:rPr>
          <w:spacing w:val="-2"/>
        </w:rPr>
        <w:t>services</w:t>
      </w:r>
    </w:p>
    <w:p>
      <w:pPr>
        <w:pStyle w:val="ListParagraph"/>
        <w:numPr>
          <w:ilvl w:val="0"/>
          <w:numId w:val="253"/>
        </w:numPr>
        <w:tabs>
          <w:tab w:pos="786" w:val="left" w:leader="none"/>
        </w:tabs>
        <w:spacing w:line="208" w:lineRule="auto" w:before="233" w:after="0"/>
        <w:ind w:left="360" w:right="726" w:firstLine="0"/>
        <w:jc w:val="left"/>
        <w:rPr>
          <w:rFonts w:ascii="Calibri"/>
          <w:b/>
          <w:sz w:val="22"/>
        </w:rPr>
      </w:pPr>
      <w:r>
        <w:rPr>
          <w:sz w:val="24"/>
        </w:rPr>
        <w:t>Transition services is a coordinated set of activities for a student with a disability</w:t>
      </w:r>
      <w:r>
        <w:rPr>
          <w:spacing w:val="40"/>
          <w:sz w:val="24"/>
        </w:rPr>
        <w:t> </w:t>
      </w:r>
      <w:r>
        <w:rPr>
          <w:sz w:val="24"/>
        </w:rPr>
        <w:t>that promotes movement from the public schools to post-school activities. Transition services represent the next set of services on the continuum of VR services available to eligible individuals. Transition services, for eligible students with disabilities, provide for further development and pursuit of career interests with postsecondary education, vocational</w:t>
      </w:r>
      <w:r>
        <w:rPr>
          <w:spacing w:val="-3"/>
          <w:sz w:val="24"/>
        </w:rPr>
        <w:t> </w:t>
      </w:r>
      <w:r>
        <w:rPr>
          <w:sz w:val="24"/>
        </w:rPr>
        <w:t>training,</w:t>
      </w:r>
      <w:r>
        <w:rPr>
          <w:spacing w:val="-2"/>
          <w:sz w:val="24"/>
        </w:rPr>
        <w:t> </w:t>
      </w:r>
      <w:r>
        <w:rPr>
          <w:sz w:val="24"/>
        </w:rPr>
        <w:t>job</w:t>
      </w:r>
      <w:r>
        <w:rPr>
          <w:spacing w:val="-2"/>
          <w:sz w:val="24"/>
        </w:rPr>
        <w:t> </w:t>
      </w:r>
      <w:r>
        <w:rPr>
          <w:sz w:val="24"/>
        </w:rPr>
        <w:t>search,</w:t>
      </w:r>
      <w:r>
        <w:rPr>
          <w:spacing w:val="-2"/>
          <w:sz w:val="24"/>
        </w:rPr>
        <w:t> </w:t>
      </w:r>
      <w:r>
        <w:rPr>
          <w:sz w:val="24"/>
        </w:rPr>
        <w:t>job</w:t>
      </w:r>
      <w:r>
        <w:rPr>
          <w:spacing w:val="-3"/>
          <w:sz w:val="24"/>
        </w:rPr>
        <w:t> </w:t>
      </w:r>
      <w:r>
        <w:rPr>
          <w:sz w:val="24"/>
        </w:rPr>
        <w:t>placement,</w:t>
      </w:r>
      <w:r>
        <w:rPr>
          <w:spacing w:val="-2"/>
          <w:sz w:val="24"/>
        </w:rPr>
        <w:t> </w:t>
      </w:r>
      <w:r>
        <w:rPr>
          <w:sz w:val="24"/>
        </w:rPr>
        <w:t>job</w:t>
      </w:r>
      <w:r>
        <w:rPr>
          <w:spacing w:val="-3"/>
          <w:sz w:val="24"/>
        </w:rPr>
        <w:t> </w:t>
      </w:r>
      <w:r>
        <w:rPr>
          <w:sz w:val="24"/>
        </w:rPr>
        <w:t>retention,</w:t>
      </w:r>
      <w:r>
        <w:rPr>
          <w:spacing w:val="-2"/>
          <w:sz w:val="24"/>
        </w:rPr>
        <w:t> </w:t>
      </w:r>
      <w:r>
        <w:rPr>
          <w:sz w:val="24"/>
        </w:rPr>
        <w:t>job</w:t>
      </w:r>
      <w:r>
        <w:rPr>
          <w:spacing w:val="-3"/>
          <w:sz w:val="24"/>
        </w:rPr>
        <w:t> </w:t>
      </w:r>
      <w:r>
        <w:rPr>
          <w:sz w:val="24"/>
        </w:rPr>
        <w:t>follow-up,</w:t>
      </w:r>
      <w:r>
        <w:rPr>
          <w:spacing w:val="-2"/>
          <w:sz w:val="24"/>
        </w:rPr>
        <w:t> </w:t>
      </w:r>
      <w:r>
        <w:rPr>
          <w:sz w:val="24"/>
        </w:rPr>
        <w:t>and</w:t>
      </w:r>
      <w:r>
        <w:rPr>
          <w:spacing w:val="-3"/>
          <w:sz w:val="24"/>
        </w:rPr>
        <w:t> </w:t>
      </w:r>
      <w:r>
        <w:rPr>
          <w:sz w:val="24"/>
        </w:rPr>
        <w:t>job</w:t>
      </w:r>
      <w:r>
        <w:rPr>
          <w:spacing w:val="-3"/>
          <w:sz w:val="24"/>
        </w:rPr>
        <w:t> </w:t>
      </w:r>
      <w:r>
        <w:rPr>
          <w:sz w:val="24"/>
        </w:rPr>
        <w:t>follow along. The transition process is outcome based, leading to post-secondary education, vocational training, competitive integrated employment (including supplemental employment</w:t>
      </w:r>
      <w:r>
        <w:rPr>
          <w:spacing w:val="-4"/>
          <w:sz w:val="24"/>
        </w:rPr>
        <w:t> </w:t>
      </w:r>
      <w:r>
        <w:rPr>
          <w:sz w:val="24"/>
        </w:rPr>
        <w:t>services</w:t>
      </w:r>
      <w:r>
        <w:rPr>
          <w:spacing w:val="-6"/>
          <w:sz w:val="24"/>
        </w:rPr>
        <w:t> </w:t>
      </w:r>
      <w:r>
        <w:rPr>
          <w:sz w:val="24"/>
        </w:rPr>
        <w:t>and</w:t>
      </w:r>
      <w:r>
        <w:rPr>
          <w:spacing w:val="-5"/>
          <w:sz w:val="24"/>
        </w:rPr>
        <w:t> </w:t>
      </w:r>
      <w:r>
        <w:rPr>
          <w:sz w:val="24"/>
        </w:rPr>
        <w:t>supported</w:t>
      </w:r>
      <w:r>
        <w:rPr>
          <w:spacing w:val="-5"/>
          <w:sz w:val="24"/>
        </w:rPr>
        <w:t> </w:t>
      </w:r>
      <w:r>
        <w:rPr>
          <w:sz w:val="24"/>
        </w:rPr>
        <w:t>employment),</w:t>
      </w:r>
      <w:r>
        <w:rPr>
          <w:spacing w:val="-6"/>
          <w:sz w:val="24"/>
        </w:rPr>
        <w:t> </w:t>
      </w:r>
      <w:r>
        <w:rPr>
          <w:sz w:val="24"/>
        </w:rPr>
        <w:t>continuing</w:t>
      </w:r>
      <w:r>
        <w:rPr>
          <w:spacing w:val="-5"/>
          <w:sz w:val="24"/>
        </w:rPr>
        <w:t> </w:t>
      </w:r>
      <w:r>
        <w:rPr>
          <w:sz w:val="24"/>
        </w:rPr>
        <w:t>and</w:t>
      </w:r>
      <w:r>
        <w:rPr>
          <w:spacing w:val="-4"/>
          <w:sz w:val="24"/>
        </w:rPr>
        <w:t> </w:t>
      </w:r>
      <w:r>
        <w:rPr>
          <w:sz w:val="24"/>
        </w:rPr>
        <w:t>adult</w:t>
      </w:r>
      <w:r>
        <w:rPr>
          <w:spacing w:val="-5"/>
          <w:sz w:val="24"/>
        </w:rPr>
        <w:t> </w:t>
      </w:r>
      <w:r>
        <w:rPr>
          <w:sz w:val="24"/>
        </w:rPr>
        <w:t>education,</w:t>
      </w:r>
      <w:r>
        <w:rPr>
          <w:spacing w:val="-4"/>
          <w:sz w:val="24"/>
        </w:rPr>
        <w:t> </w:t>
      </w:r>
      <w:r>
        <w:rPr>
          <w:sz w:val="24"/>
        </w:rPr>
        <w:t>adult services, independent living, and/or community participation consistent with the</w:t>
      </w:r>
      <w:r>
        <w:rPr>
          <w:spacing w:val="40"/>
          <w:sz w:val="24"/>
        </w:rPr>
        <w:t> </w:t>
      </w:r>
      <w:r>
        <w:rPr>
          <w:sz w:val="24"/>
        </w:rPr>
        <w:t>informed choice of the individual. </w:t>
      </w:r>
      <w:r>
        <w:rPr>
          <w:rFonts w:ascii="Calibri"/>
          <w:b/>
          <w:sz w:val="22"/>
        </w:rPr>
        <w:t>4</w:t>
      </w:r>
    </w:p>
    <w:p>
      <w:pPr>
        <w:pStyle w:val="ListParagraph"/>
        <w:numPr>
          <w:ilvl w:val="0"/>
          <w:numId w:val="253"/>
        </w:numPr>
        <w:tabs>
          <w:tab w:pos="786" w:val="left" w:leader="none"/>
        </w:tabs>
        <w:spacing w:line="208" w:lineRule="auto" w:before="231" w:after="0"/>
        <w:ind w:left="360" w:right="740" w:firstLine="0"/>
        <w:jc w:val="left"/>
        <w:rPr>
          <w:rFonts w:ascii="Calibri"/>
          <w:b/>
          <w:sz w:val="22"/>
        </w:rPr>
      </w:pPr>
      <w:r>
        <w:rPr>
          <w:sz w:val="24"/>
        </w:rPr>
        <w:t>The Transition from School to Work Program is implemented through a cooperative agreement between DRS and each participating local secondary school district, private school, charter school, home school organization and Career and Technology</w:t>
      </w:r>
      <w:r>
        <w:rPr>
          <w:spacing w:val="40"/>
          <w:sz w:val="24"/>
        </w:rPr>
        <w:t> </w:t>
      </w:r>
      <w:r>
        <w:rPr>
          <w:sz w:val="24"/>
        </w:rPr>
        <w:t>Education Center, through an MOU with the State Department of Education. The Transition</w:t>
      </w:r>
      <w:r>
        <w:rPr>
          <w:spacing w:val="-3"/>
          <w:sz w:val="24"/>
        </w:rPr>
        <w:t> </w:t>
      </w:r>
      <w:r>
        <w:rPr>
          <w:sz w:val="24"/>
        </w:rPr>
        <w:t>Coordinator</w:t>
      </w:r>
      <w:r>
        <w:rPr>
          <w:spacing w:val="-3"/>
          <w:sz w:val="24"/>
        </w:rPr>
        <w:t> </w:t>
      </w:r>
      <w:r>
        <w:rPr>
          <w:sz w:val="24"/>
        </w:rPr>
        <w:t>in</w:t>
      </w:r>
      <w:r>
        <w:rPr>
          <w:spacing w:val="-3"/>
          <w:sz w:val="24"/>
        </w:rPr>
        <w:t> </w:t>
      </w:r>
      <w:r>
        <w:rPr>
          <w:sz w:val="24"/>
        </w:rPr>
        <w:t>DRS</w:t>
      </w:r>
      <w:r>
        <w:rPr>
          <w:spacing w:val="-3"/>
          <w:sz w:val="24"/>
        </w:rPr>
        <w:t> </w:t>
      </w:r>
      <w:r>
        <w:rPr>
          <w:sz w:val="24"/>
        </w:rPr>
        <w:t>State</w:t>
      </w:r>
      <w:r>
        <w:rPr>
          <w:spacing w:val="-3"/>
          <w:sz w:val="24"/>
        </w:rPr>
        <w:t> </w:t>
      </w:r>
      <w:r>
        <w:rPr>
          <w:sz w:val="24"/>
        </w:rPr>
        <w:t>Office</w:t>
      </w:r>
      <w:r>
        <w:rPr>
          <w:spacing w:val="-3"/>
          <w:sz w:val="24"/>
        </w:rPr>
        <w:t> </w:t>
      </w:r>
      <w:r>
        <w:rPr>
          <w:sz w:val="24"/>
        </w:rPr>
        <w:t>acts</w:t>
      </w:r>
      <w:r>
        <w:rPr>
          <w:spacing w:val="-3"/>
          <w:sz w:val="24"/>
        </w:rPr>
        <w:t> </w:t>
      </w:r>
      <w:r>
        <w:rPr>
          <w:sz w:val="24"/>
        </w:rPr>
        <w:t>as</w:t>
      </w:r>
      <w:r>
        <w:rPr>
          <w:spacing w:val="-4"/>
          <w:sz w:val="24"/>
        </w:rPr>
        <w:t> </w:t>
      </w:r>
      <w:r>
        <w:rPr>
          <w:sz w:val="24"/>
        </w:rPr>
        <w:t>the</w:t>
      </w:r>
      <w:r>
        <w:rPr>
          <w:spacing w:val="-3"/>
          <w:sz w:val="24"/>
        </w:rPr>
        <w:t> </w:t>
      </w:r>
      <w:r>
        <w:rPr>
          <w:sz w:val="24"/>
        </w:rPr>
        <w:t>liaison</w:t>
      </w:r>
      <w:r>
        <w:rPr>
          <w:spacing w:val="-3"/>
          <w:sz w:val="24"/>
        </w:rPr>
        <w:t> </w:t>
      </w:r>
      <w:r>
        <w:rPr>
          <w:sz w:val="24"/>
        </w:rPr>
        <w:t>with</w:t>
      </w:r>
      <w:r>
        <w:rPr>
          <w:spacing w:val="-3"/>
          <w:sz w:val="24"/>
        </w:rPr>
        <w:t> </w:t>
      </w:r>
      <w:r>
        <w:rPr>
          <w:sz w:val="24"/>
        </w:rPr>
        <w:t>the</w:t>
      </w:r>
      <w:r>
        <w:rPr>
          <w:spacing w:val="-3"/>
          <w:sz w:val="24"/>
        </w:rPr>
        <w:t> </w:t>
      </w:r>
      <w:r>
        <w:rPr>
          <w:sz w:val="24"/>
        </w:rPr>
        <w:t>State</w:t>
      </w:r>
      <w:r>
        <w:rPr>
          <w:spacing w:val="-3"/>
          <w:sz w:val="24"/>
        </w:rPr>
        <w:t> </w:t>
      </w:r>
      <w:r>
        <w:rPr>
          <w:sz w:val="24"/>
        </w:rPr>
        <w:t>Department of Education, and provides statewide coordination and technical assistance for the Transition from School to Work Program. </w:t>
      </w:r>
      <w:r>
        <w:rPr>
          <w:rFonts w:ascii="Calibri"/>
          <w:b/>
          <w:sz w:val="22"/>
        </w:rPr>
        <w:t>1</w:t>
      </w:r>
    </w:p>
    <w:p>
      <w:pPr>
        <w:pStyle w:val="ListParagraph"/>
        <w:numPr>
          <w:ilvl w:val="0"/>
          <w:numId w:val="253"/>
        </w:numPr>
        <w:tabs>
          <w:tab w:pos="773" w:val="left" w:leader="none"/>
        </w:tabs>
        <w:spacing w:line="208" w:lineRule="auto" w:before="231" w:after="0"/>
        <w:ind w:left="360" w:right="918" w:firstLine="0"/>
        <w:jc w:val="left"/>
        <w:rPr>
          <w:sz w:val="24"/>
        </w:rPr>
      </w:pPr>
      <w:r>
        <w:rPr>
          <w:sz w:val="24"/>
        </w:rPr>
        <w:t>Transition services must be based on the individual student's needs, taking into account</w:t>
      </w:r>
      <w:r>
        <w:rPr>
          <w:spacing w:val="-3"/>
          <w:sz w:val="24"/>
        </w:rPr>
        <w:t> </w:t>
      </w:r>
      <w:r>
        <w:rPr>
          <w:sz w:val="24"/>
        </w:rPr>
        <w:t>the</w:t>
      </w:r>
      <w:r>
        <w:rPr>
          <w:spacing w:val="-4"/>
          <w:sz w:val="24"/>
        </w:rPr>
        <w:t> </w:t>
      </w:r>
      <w:r>
        <w:rPr>
          <w:sz w:val="24"/>
        </w:rPr>
        <w:t>student's</w:t>
      </w:r>
      <w:r>
        <w:rPr>
          <w:spacing w:val="-4"/>
          <w:sz w:val="24"/>
        </w:rPr>
        <w:t> </w:t>
      </w:r>
      <w:r>
        <w:rPr>
          <w:sz w:val="24"/>
        </w:rPr>
        <w:t>preferences</w:t>
      </w:r>
      <w:r>
        <w:rPr>
          <w:spacing w:val="-4"/>
          <w:sz w:val="24"/>
        </w:rPr>
        <w:t> </w:t>
      </w:r>
      <w:r>
        <w:rPr>
          <w:sz w:val="24"/>
        </w:rPr>
        <w:t>and</w:t>
      </w:r>
      <w:r>
        <w:rPr>
          <w:spacing w:val="-4"/>
          <w:sz w:val="24"/>
        </w:rPr>
        <w:t> </w:t>
      </w:r>
      <w:r>
        <w:rPr>
          <w:sz w:val="24"/>
        </w:rPr>
        <w:t>interests.</w:t>
      </w:r>
      <w:r>
        <w:rPr>
          <w:spacing w:val="-3"/>
          <w:sz w:val="24"/>
        </w:rPr>
        <w:t> </w:t>
      </w:r>
      <w:r>
        <w:rPr>
          <w:sz w:val="24"/>
        </w:rPr>
        <w:t>Transition</w:t>
      </w:r>
      <w:r>
        <w:rPr>
          <w:spacing w:val="-4"/>
          <w:sz w:val="24"/>
        </w:rPr>
        <w:t> </w:t>
      </w:r>
      <w:r>
        <w:rPr>
          <w:sz w:val="24"/>
        </w:rPr>
        <w:t>planning</w:t>
      </w:r>
      <w:r>
        <w:rPr>
          <w:spacing w:val="-4"/>
          <w:sz w:val="24"/>
        </w:rPr>
        <w:t> </w:t>
      </w:r>
      <w:r>
        <w:rPr>
          <w:sz w:val="24"/>
        </w:rPr>
        <w:t>will</w:t>
      </w:r>
      <w:r>
        <w:rPr>
          <w:spacing w:val="-4"/>
          <w:sz w:val="24"/>
        </w:rPr>
        <w:t> </w:t>
      </w:r>
      <w:r>
        <w:rPr>
          <w:sz w:val="24"/>
        </w:rPr>
        <w:t>include,</w:t>
      </w:r>
      <w:r>
        <w:rPr>
          <w:spacing w:val="-3"/>
          <w:sz w:val="24"/>
        </w:rPr>
        <w:t> </w:t>
      </w:r>
      <w:r>
        <w:rPr>
          <w:sz w:val="24"/>
        </w:rPr>
        <w:t>to</w:t>
      </w:r>
      <w:r>
        <w:rPr>
          <w:spacing w:val="-5"/>
          <w:sz w:val="24"/>
        </w:rPr>
        <w:t> </w:t>
      </w:r>
      <w:r>
        <w:rPr>
          <w:sz w:val="24"/>
        </w:rPr>
        <w:t>the extent needed, services in the areas of:</w:t>
      </w:r>
    </w:p>
    <w:p>
      <w:pPr>
        <w:pStyle w:val="ListParagraph"/>
        <w:numPr>
          <w:ilvl w:val="1"/>
          <w:numId w:val="253"/>
        </w:numPr>
        <w:tabs>
          <w:tab w:pos="1217" w:val="left" w:leader="none"/>
        </w:tabs>
        <w:spacing w:line="240" w:lineRule="auto" w:before="210" w:after="0"/>
        <w:ind w:left="1217" w:right="0" w:hanging="426"/>
        <w:jc w:val="left"/>
        <w:rPr>
          <w:sz w:val="24"/>
        </w:rPr>
      </w:pPr>
      <w:r>
        <w:rPr>
          <w:spacing w:val="-2"/>
          <w:sz w:val="24"/>
        </w:rPr>
        <w:t>instruction;</w:t>
      </w:r>
    </w:p>
    <w:p>
      <w:pPr>
        <w:pStyle w:val="ListParagraph"/>
        <w:numPr>
          <w:ilvl w:val="1"/>
          <w:numId w:val="253"/>
        </w:numPr>
        <w:tabs>
          <w:tab w:pos="1217" w:val="left" w:leader="none"/>
        </w:tabs>
        <w:spacing w:line="240" w:lineRule="auto" w:before="204" w:after="0"/>
        <w:ind w:left="1217" w:right="0" w:hanging="426"/>
        <w:jc w:val="left"/>
        <w:rPr>
          <w:sz w:val="24"/>
        </w:rPr>
      </w:pPr>
      <w:r>
        <w:rPr>
          <w:sz w:val="24"/>
        </w:rPr>
        <w:t>community</w:t>
      </w:r>
      <w:r>
        <w:rPr>
          <w:spacing w:val="-6"/>
          <w:sz w:val="24"/>
        </w:rPr>
        <w:t> </w:t>
      </w:r>
      <w:r>
        <w:rPr>
          <w:spacing w:val="-2"/>
          <w:sz w:val="24"/>
        </w:rPr>
        <w:t>experiences;</w:t>
      </w:r>
    </w:p>
    <w:p>
      <w:pPr>
        <w:pStyle w:val="ListParagraph"/>
        <w:numPr>
          <w:ilvl w:val="1"/>
          <w:numId w:val="253"/>
        </w:numPr>
        <w:tabs>
          <w:tab w:pos="1217" w:val="left" w:leader="none"/>
        </w:tabs>
        <w:spacing w:line="208" w:lineRule="auto" w:before="233" w:after="0"/>
        <w:ind w:left="791" w:right="1428" w:firstLine="0"/>
        <w:jc w:val="left"/>
        <w:rPr>
          <w:sz w:val="24"/>
        </w:rPr>
      </w:pPr>
      <w:r>
        <w:rPr>
          <w:sz w:val="24"/>
        </w:rPr>
        <w:t>development</w:t>
      </w:r>
      <w:r>
        <w:rPr>
          <w:spacing w:val="-5"/>
          <w:sz w:val="24"/>
        </w:rPr>
        <w:t> </w:t>
      </w:r>
      <w:r>
        <w:rPr>
          <w:sz w:val="24"/>
        </w:rPr>
        <w:t>of</w:t>
      </w:r>
      <w:r>
        <w:rPr>
          <w:spacing w:val="-5"/>
          <w:sz w:val="24"/>
        </w:rPr>
        <w:t> </w:t>
      </w:r>
      <w:r>
        <w:rPr>
          <w:sz w:val="24"/>
        </w:rPr>
        <w:t>employment</w:t>
      </w:r>
      <w:r>
        <w:rPr>
          <w:spacing w:val="-5"/>
          <w:sz w:val="24"/>
        </w:rPr>
        <w:t> </w:t>
      </w:r>
      <w:r>
        <w:rPr>
          <w:sz w:val="24"/>
        </w:rPr>
        <w:t>and</w:t>
      </w:r>
      <w:r>
        <w:rPr>
          <w:spacing w:val="-6"/>
          <w:sz w:val="24"/>
        </w:rPr>
        <w:t> </w:t>
      </w:r>
      <w:r>
        <w:rPr>
          <w:sz w:val="24"/>
        </w:rPr>
        <w:t>other</w:t>
      </w:r>
      <w:r>
        <w:rPr>
          <w:spacing w:val="-7"/>
          <w:sz w:val="24"/>
        </w:rPr>
        <w:t> </w:t>
      </w:r>
      <w:r>
        <w:rPr>
          <w:sz w:val="24"/>
        </w:rPr>
        <w:t>post-school</w:t>
      </w:r>
      <w:r>
        <w:rPr>
          <w:spacing w:val="-5"/>
          <w:sz w:val="24"/>
        </w:rPr>
        <w:t> </w:t>
      </w:r>
      <w:r>
        <w:rPr>
          <w:sz w:val="24"/>
        </w:rPr>
        <w:t>adult</w:t>
      </w:r>
      <w:r>
        <w:rPr>
          <w:spacing w:val="-5"/>
          <w:sz w:val="24"/>
        </w:rPr>
        <w:t> </w:t>
      </w:r>
      <w:r>
        <w:rPr>
          <w:sz w:val="24"/>
        </w:rPr>
        <w:t>living</w:t>
      </w:r>
      <w:r>
        <w:rPr>
          <w:spacing w:val="-5"/>
          <w:sz w:val="24"/>
        </w:rPr>
        <w:t> </w:t>
      </w:r>
      <w:r>
        <w:rPr>
          <w:sz w:val="24"/>
        </w:rPr>
        <w:t>objectives, including job skill training available through vocational-technical schools;</w:t>
      </w:r>
    </w:p>
    <w:p>
      <w:pPr>
        <w:pStyle w:val="ListParagraph"/>
        <w:numPr>
          <w:ilvl w:val="1"/>
          <w:numId w:val="253"/>
        </w:numPr>
        <w:tabs>
          <w:tab w:pos="1217" w:val="left" w:leader="none"/>
        </w:tabs>
        <w:spacing w:line="208" w:lineRule="auto" w:before="240" w:after="0"/>
        <w:ind w:left="791" w:right="1614" w:firstLine="0"/>
        <w:jc w:val="left"/>
        <w:rPr>
          <w:sz w:val="24"/>
        </w:rPr>
      </w:pPr>
      <w:r>
        <w:rPr>
          <w:sz w:val="24"/>
        </w:rPr>
        <w:t>if</w:t>
      </w:r>
      <w:r>
        <w:rPr>
          <w:spacing w:val="-5"/>
          <w:sz w:val="24"/>
        </w:rPr>
        <w:t> </w:t>
      </w:r>
      <w:r>
        <w:rPr>
          <w:sz w:val="24"/>
        </w:rPr>
        <w:t>appropriate,</w:t>
      </w:r>
      <w:r>
        <w:rPr>
          <w:spacing w:val="-3"/>
          <w:sz w:val="24"/>
        </w:rPr>
        <w:t> </w:t>
      </w:r>
      <w:r>
        <w:rPr>
          <w:sz w:val="24"/>
        </w:rPr>
        <w:t>acquisition</w:t>
      </w:r>
      <w:r>
        <w:rPr>
          <w:spacing w:val="-4"/>
          <w:sz w:val="24"/>
        </w:rPr>
        <w:t> </w:t>
      </w:r>
      <w:r>
        <w:rPr>
          <w:sz w:val="24"/>
        </w:rPr>
        <w:t>of</w:t>
      </w:r>
      <w:r>
        <w:rPr>
          <w:spacing w:val="-3"/>
          <w:sz w:val="24"/>
        </w:rPr>
        <w:t> </w:t>
      </w:r>
      <w:r>
        <w:rPr>
          <w:sz w:val="24"/>
        </w:rPr>
        <w:t>daily</w:t>
      </w:r>
      <w:r>
        <w:rPr>
          <w:spacing w:val="-4"/>
          <w:sz w:val="24"/>
        </w:rPr>
        <w:t> </w:t>
      </w:r>
      <w:r>
        <w:rPr>
          <w:sz w:val="24"/>
        </w:rPr>
        <w:t>living</w:t>
      </w:r>
      <w:r>
        <w:rPr>
          <w:spacing w:val="-4"/>
          <w:sz w:val="24"/>
        </w:rPr>
        <w:t> </w:t>
      </w:r>
      <w:r>
        <w:rPr>
          <w:sz w:val="24"/>
        </w:rPr>
        <w:t>skills</w:t>
      </w:r>
      <w:r>
        <w:rPr>
          <w:spacing w:val="-4"/>
          <w:sz w:val="24"/>
        </w:rPr>
        <w:t> </w:t>
      </w:r>
      <w:r>
        <w:rPr>
          <w:sz w:val="24"/>
        </w:rPr>
        <w:t>and</w:t>
      </w:r>
      <w:r>
        <w:rPr>
          <w:spacing w:val="-4"/>
          <w:sz w:val="24"/>
        </w:rPr>
        <w:t> </w:t>
      </w:r>
      <w:r>
        <w:rPr>
          <w:sz w:val="24"/>
        </w:rPr>
        <w:t>a</w:t>
      </w:r>
      <w:r>
        <w:rPr>
          <w:spacing w:val="-4"/>
          <w:sz w:val="24"/>
        </w:rPr>
        <w:t> </w:t>
      </w:r>
      <w:r>
        <w:rPr>
          <w:sz w:val="24"/>
        </w:rPr>
        <w:t>functional</w:t>
      </w:r>
      <w:r>
        <w:rPr>
          <w:spacing w:val="-4"/>
          <w:sz w:val="24"/>
        </w:rPr>
        <w:t> </w:t>
      </w:r>
      <w:r>
        <w:rPr>
          <w:sz w:val="24"/>
        </w:rPr>
        <w:t>vocational </w:t>
      </w:r>
      <w:r>
        <w:rPr>
          <w:spacing w:val="-2"/>
          <w:sz w:val="24"/>
        </w:rPr>
        <w:t>evaluation;</w:t>
      </w:r>
    </w:p>
    <w:p>
      <w:pPr>
        <w:pStyle w:val="ListParagraph"/>
        <w:numPr>
          <w:ilvl w:val="1"/>
          <w:numId w:val="253"/>
        </w:numPr>
        <w:tabs>
          <w:tab w:pos="1216" w:val="left" w:leader="none"/>
        </w:tabs>
        <w:spacing w:line="208" w:lineRule="auto" w:before="240" w:after="0"/>
        <w:ind w:left="791" w:right="1546" w:firstLine="0"/>
        <w:jc w:val="left"/>
        <w:rPr>
          <w:sz w:val="24"/>
        </w:rPr>
      </w:pPr>
      <w:r>
        <w:rPr>
          <w:sz w:val="24"/>
        </w:rPr>
        <w:t>that</w:t>
      </w:r>
      <w:r>
        <w:rPr>
          <w:spacing w:val="-3"/>
          <w:sz w:val="24"/>
        </w:rPr>
        <w:t> </w:t>
      </w:r>
      <w:r>
        <w:rPr>
          <w:sz w:val="24"/>
        </w:rPr>
        <w:t>promotes</w:t>
      </w:r>
      <w:r>
        <w:rPr>
          <w:spacing w:val="-4"/>
          <w:sz w:val="24"/>
        </w:rPr>
        <w:t> </w:t>
      </w:r>
      <w:r>
        <w:rPr>
          <w:sz w:val="24"/>
        </w:rPr>
        <w:t>or</w:t>
      </w:r>
      <w:r>
        <w:rPr>
          <w:spacing w:val="-5"/>
          <w:sz w:val="24"/>
        </w:rPr>
        <w:t> </w:t>
      </w:r>
      <w:r>
        <w:rPr>
          <w:sz w:val="24"/>
        </w:rPr>
        <w:t>facilitates</w:t>
      </w:r>
      <w:r>
        <w:rPr>
          <w:spacing w:val="-4"/>
          <w:sz w:val="24"/>
        </w:rPr>
        <w:t> </w:t>
      </w:r>
      <w:r>
        <w:rPr>
          <w:sz w:val="24"/>
        </w:rPr>
        <w:t>the</w:t>
      </w:r>
      <w:r>
        <w:rPr>
          <w:spacing w:val="-4"/>
          <w:sz w:val="24"/>
        </w:rPr>
        <w:t> </w:t>
      </w:r>
      <w:r>
        <w:rPr>
          <w:sz w:val="24"/>
        </w:rPr>
        <w:t>achievement</w:t>
      </w:r>
      <w:r>
        <w:rPr>
          <w:spacing w:val="-3"/>
          <w:sz w:val="24"/>
        </w:rPr>
        <w:t> </w:t>
      </w:r>
      <w:r>
        <w:rPr>
          <w:sz w:val="24"/>
        </w:rPr>
        <w:t>of</w:t>
      </w:r>
      <w:r>
        <w:rPr>
          <w:spacing w:val="-5"/>
          <w:sz w:val="24"/>
        </w:rPr>
        <w:t> </w:t>
      </w:r>
      <w:r>
        <w:rPr>
          <w:sz w:val="24"/>
        </w:rPr>
        <w:t>the</w:t>
      </w:r>
      <w:r>
        <w:rPr>
          <w:spacing w:val="-4"/>
          <w:sz w:val="24"/>
        </w:rPr>
        <w:t> </w:t>
      </w:r>
      <w:r>
        <w:rPr>
          <w:sz w:val="24"/>
        </w:rPr>
        <w:t>employment</w:t>
      </w:r>
      <w:r>
        <w:rPr>
          <w:spacing w:val="-3"/>
          <w:sz w:val="24"/>
        </w:rPr>
        <w:t> </w:t>
      </w:r>
      <w:r>
        <w:rPr>
          <w:sz w:val="24"/>
        </w:rPr>
        <w:t>outcome identified in the student's or youth's individualized plan for employment; and</w:t>
      </w:r>
    </w:p>
    <w:p>
      <w:pPr>
        <w:pStyle w:val="ListParagraph"/>
        <w:numPr>
          <w:ilvl w:val="1"/>
          <w:numId w:val="253"/>
        </w:numPr>
        <w:tabs>
          <w:tab w:pos="1216" w:val="left" w:leader="none"/>
        </w:tabs>
        <w:spacing w:line="208" w:lineRule="auto" w:before="240" w:after="0"/>
        <w:ind w:left="791" w:right="717" w:firstLine="0"/>
        <w:jc w:val="left"/>
        <w:rPr>
          <w:sz w:val="24"/>
        </w:rPr>
      </w:pPr>
      <w:r>
        <w:rPr>
          <w:sz w:val="24"/>
        </w:rPr>
        <w:t>that</w:t>
      </w:r>
      <w:r>
        <w:rPr>
          <w:spacing w:val="-2"/>
          <w:sz w:val="24"/>
        </w:rPr>
        <w:t> </w:t>
      </w:r>
      <w:r>
        <w:rPr>
          <w:sz w:val="24"/>
        </w:rPr>
        <w:t>includes</w:t>
      </w:r>
      <w:r>
        <w:rPr>
          <w:spacing w:val="-3"/>
          <w:sz w:val="24"/>
        </w:rPr>
        <w:t> </w:t>
      </w:r>
      <w:r>
        <w:rPr>
          <w:sz w:val="24"/>
        </w:rPr>
        <w:t>outreach</w:t>
      </w:r>
      <w:r>
        <w:rPr>
          <w:spacing w:val="-3"/>
          <w:sz w:val="24"/>
        </w:rPr>
        <w:t> </w:t>
      </w:r>
      <w:r>
        <w:rPr>
          <w:sz w:val="24"/>
        </w:rPr>
        <w:t>to</w:t>
      </w:r>
      <w:r>
        <w:rPr>
          <w:spacing w:val="-3"/>
          <w:sz w:val="24"/>
        </w:rPr>
        <w:t> </w:t>
      </w:r>
      <w:r>
        <w:rPr>
          <w:sz w:val="24"/>
        </w:rPr>
        <w:t>and</w:t>
      </w:r>
      <w:r>
        <w:rPr>
          <w:spacing w:val="-3"/>
          <w:sz w:val="24"/>
        </w:rPr>
        <w:t> </w:t>
      </w:r>
      <w:r>
        <w:rPr>
          <w:sz w:val="24"/>
        </w:rPr>
        <w:t>engagement</w:t>
      </w:r>
      <w:r>
        <w:rPr>
          <w:spacing w:val="-2"/>
          <w:sz w:val="24"/>
        </w:rPr>
        <w:t> </w:t>
      </w:r>
      <w:r>
        <w:rPr>
          <w:sz w:val="24"/>
        </w:rPr>
        <w:t>of</w:t>
      </w:r>
      <w:r>
        <w:rPr>
          <w:spacing w:val="-4"/>
          <w:sz w:val="24"/>
        </w:rPr>
        <w:t> </w:t>
      </w:r>
      <w:r>
        <w:rPr>
          <w:sz w:val="24"/>
        </w:rPr>
        <w:t>the</w:t>
      </w:r>
      <w:r>
        <w:rPr>
          <w:spacing w:val="-3"/>
          <w:sz w:val="24"/>
        </w:rPr>
        <w:t> </w:t>
      </w:r>
      <w:r>
        <w:rPr>
          <w:sz w:val="24"/>
        </w:rPr>
        <w:t>parents,</w:t>
      </w:r>
      <w:r>
        <w:rPr>
          <w:spacing w:val="-2"/>
          <w:sz w:val="24"/>
        </w:rPr>
        <w:t> </w:t>
      </w:r>
      <w:r>
        <w:rPr>
          <w:sz w:val="24"/>
        </w:rPr>
        <w:t>or,</w:t>
      </w:r>
      <w:r>
        <w:rPr>
          <w:spacing w:val="-2"/>
          <w:sz w:val="24"/>
        </w:rPr>
        <w:t> </w:t>
      </w:r>
      <w:r>
        <w:rPr>
          <w:sz w:val="24"/>
        </w:rPr>
        <w:t>as</w:t>
      </w:r>
      <w:r>
        <w:rPr>
          <w:spacing w:val="-3"/>
          <w:sz w:val="24"/>
        </w:rPr>
        <w:t> </w:t>
      </w:r>
      <w:r>
        <w:rPr>
          <w:sz w:val="24"/>
        </w:rPr>
        <w:t>appropriate,</w:t>
      </w:r>
      <w:r>
        <w:rPr>
          <w:spacing w:val="-4"/>
          <w:sz w:val="24"/>
        </w:rPr>
        <w:t> </w:t>
      </w:r>
      <w:r>
        <w:rPr>
          <w:sz w:val="24"/>
        </w:rPr>
        <w:t>the representative of such a student or youth with a disability or other needs specific to the individual.</w:t>
      </w:r>
    </w:p>
    <w:p>
      <w:pPr>
        <w:pStyle w:val="ListParagraph"/>
        <w:numPr>
          <w:ilvl w:val="1"/>
          <w:numId w:val="253"/>
        </w:numPr>
        <w:tabs>
          <w:tab w:pos="1217" w:val="left" w:leader="none"/>
        </w:tabs>
        <w:spacing w:line="208" w:lineRule="auto" w:before="239" w:after="0"/>
        <w:ind w:left="791" w:right="817" w:firstLine="0"/>
        <w:jc w:val="left"/>
        <w:rPr>
          <w:sz w:val="24"/>
        </w:rPr>
      </w:pPr>
      <w:r>
        <w:rPr>
          <w:sz w:val="24"/>
        </w:rPr>
        <w:t>supported</w:t>
      </w:r>
      <w:r>
        <w:rPr>
          <w:spacing w:val="-5"/>
          <w:sz w:val="24"/>
        </w:rPr>
        <w:t> </w:t>
      </w:r>
      <w:r>
        <w:rPr>
          <w:sz w:val="24"/>
        </w:rPr>
        <w:t>employment</w:t>
      </w:r>
      <w:r>
        <w:rPr>
          <w:spacing w:val="-4"/>
          <w:sz w:val="24"/>
        </w:rPr>
        <w:t> </w:t>
      </w:r>
      <w:r>
        <w:rPr>
          <w:sz w:val="24"/>
        </w:rPr>
        <w:t>services,</w:t>
      </w:r>
      <w:r>
        <w:rPr>
          <w:spacing w:val="-4"/>
          <w:sz w:val="24"/>
        </w:rPr>
        <w:t> </w:t>
      </w:r>
      <w:r>
        <w:rPr>
          <w:sz w:val="24"/>
        </w:rPr>
        <w:t>34</w:t>
      </w:r>
      <w:r>
        <w:rPr>
          <w:spacing w:val="-5"/>
          <w:sz w:val="24"/>
        </w:rPr>
        <w:t> </w:t>
      </w:r>
      <w:r>
        <w:rPr>
          <w:sz w:val="24"/>
        </w:rPr>
        <w:t>CFR</w:t>
      </w:r>
      <w:r>
        <w:rPr>
          <w:spacing w:val="-5"/>
          <w:sz w:val="24"/>
        </w:rPr>
        <w:t> </w:t>
      </w:r>
      <w:r>
        <w:rPr>
          <w:sz w:val="24"/>
        </w:rPr>
        <w:t>361.5</w:t>
      </w:r>
      <w:r>
        <w:rPr>
          <w:spacing w:val="-5"/>
          <w:sz w:val="24"/>
        </w:rPr>
        <w:t> </w:t>
      </w:r>
      <w:r>
        <w:rPr>
          <w:sz w:val="24"/>
        </w:rPr>
        <w:t>(c)</w:t>
      </w:r>
      <w:r>
        <w:rPr>
          <w:spacing w:val="-5"/>
          <w:sz w:val="24"/>
        </w:rPr>
        <w:t> </w:t>
      </w:r>
      <w:r>
        <w:rPr>
          <w:sz w:val="24"/>
        </w:rPr>
        <w:t>(54)</w:t>
      </w:r>
      <w:r>
        <w:rPr>
          <w:spacing w:val="-4"/>
          <w:sz w:val="24"/>
        </w:rPr>
        <w:t> </w:t>
      </w:r>
      <w:r>
        <w:rPr>
          <w:sz w:val="24"/>
        </w:rPr>
        <w:t>(iii-v)</w:t>
      </w:r>
      <w:r>
        <w:rPr>
          <w:spacing w:val="-4"/>
          <w:sz w:val="24"/>
        </w:rPr>
        <w:t> </w:t>
      </w:r>
      <w:r>
        <w:rPr>
          <w:sz w:val="24"/>
        </w:rPr>
        <w:t>and</w:t>
      </w:r>
      <w:r>
        <w:rPr>
          <w:spacing w:val="-5"/>
          <w:sz w:val="24"/>
        </w:rPr>
        <w:t> </w:t>
      </w:r>
      <w:r>
        <w:rPr>
          <w:sz w:val="24"/>
        </w:rPr>
        <w:t>supplemental employment services.</w:t>
      </w:r>
    </w:p>
    <w:p>
      <w:pPr>
        <w:pStyle w:val="ListParagraph"/>
        <w:numPr>
          <w:ilvl w:val="0"/>
          <w:numId w:val="253"/>
        </w:numPr>
        <w:tabs>
          <w:tab w:pos="785" w:val="left" w:leader="none"/>
        </w:tabs>
        <w:spacing w:line="208" w:lineRule="auto" w:before="240" w:after="0"/>
        <w:ind w:left="359" w:right="832" w:firstLine="0"/>
        <w:jc w:val="left"/>
        <w:rPr>
          <w:rFonts w:ascii="Calibri"/>
          <w:b/>
          <w:sz w:val="22"/>
        </w:rPr>
      </w:pPr>
      <w:r>
        <w:rPr>
          <w:sz w:val="24"/>
        </w:rPr>
        <w:t>The Transition from School to Work Program is based upon effective and cooperative working relationships between the Special Education Section of the State Department of Education, the Department of Rehabilitation Services, and the Local Educational</w:t>
      </w:r>
      <w:r>
        <w:rPr>
          <w:spacing w:val="-5"/>
          <w:sz w:val="24"/>
        </w:rPr>
        <w:t> </w:t>
      </w:r>
      <w:r>
        <w:rPr>
          <w:sz w:val="24"/>
        </w:rPr>
        <w:t>Agency.</w:t>
      </w:r>
      <w:r>
        <w:rPr>
          <w:spacing w:val="-4"/>
          <w:sz w:val="24"/>
        </w:rPr>
        <w:t> </w:t>
      </w:r>
      <w:r>
        <w:rPr>
          <w:sz w:val="24"/>
        </w:rPr>
        <w:t>Each</w:t>
      </w:r>
      <w:r>
        <w:rPr>
          <w:spacing w:val="-5"/>
          <w:sz w:val="24"/>
        </w:rPr>
        <w:t> </w:t>
      </w:r>
      <w:r>
        <w:rPr>
          <w:sz w:val="24"/>
        </w:rPr>
        <w:t>agency</w:t>
      </w:r>
      <w:r>
        <w:rPr>
          <w:spacing w:val="-4"/>
          <w:sz w:val="24"/>
        </w:rPr>
        <w:t> </w:t>
      </w:r>
      <w:r>
        <w:rPr>
          <w:sz w:val="24"/>
        </w:rPr>
        <w:t>retains</w:t>
      </w:r>
      <w:r>
        <w:rPr>
          <w:spacing w:val="-5"/>
          <w:sz w:val="24"/>
        </w:rPr>
        <w:t> </w:t>
      </w:r>
      <w:r>
        <w:rPr>
          <w:sz w:val="24"/>
        </w:rPr>
        <w:t>responsibility</w:t>
      </w:r>
      <w:r>
        <w:rPr>
          <w:spacing w:val="-5"/>
          <w:sz w:val="24"/>
        </w:rPr>
        <w:t> </w:t>
      </w:r>
      <w:r>
        <w:rPr>
          <w:sz w:val="24"/>
        </w:rPr>
        <w:t>for</w:t>
      </w:r>
      <w:r>
        <w:rPr>
          <w:spacing w:val="-4"/>
          <w:sz w:val="24"/>
        </w:rPr>
        <w:t> </w:t>
      </w:r>
      <w:r>
        <w:rPr>
          <w:sz w:val="24"/>
        </w:rPr>
        <w:t>providing</w:t>
      </w:r>
      <w:r>
        <w:rPr>
          <w:spacing w:val="-5"/>
          <w:sz w:val="24"/>
        </w:rPr>
        <w:t> </w:t>
      </w:r>
      <w:r>
        <w:rPr>
          <w:sz w:val="24"/>
        </w:rPr>
        <w:t>or</w:t>
      </w:r>
      <w:r>
        <w:rPr>
          <w:spacing w:val="-4"/>
          <w:sz w:val="24"/>
        </w:rPr>
        <w:t> </w:t>
      </w:r>
      <w:r>
        <w:rPr>
          <w:sz w:val="24"/>
        </w:rPr>
        <w:t>purchasing</w:t>
      </w:r>
      <w:r>
        <w:rPr>
          <w:spacing w:val="-5"/>
          <w:sz w:val="24"/>
        </w:rPr>
        <w:t> </w:t>
      </w:r>
      <w:r>
        <w:rPr>
          <w:sz w:val="24"/>
        </w:rPr>
        <w:t>any transition service that the agency would otherwise provide to students with disabilities who meet the eligibility criteria of that agency.</w:t>
      </w:r>
      <w:r>
        <w:rPr>
          <w:spacing w:val="40"/>
          <w:sz w:val="24"/>
        </w:rPr>
        <w:t> </w:t>
      </w:r>
      <w:r>
        <w:rPr>
          <w:rFonts w:ascii="Calibri"/>
          <w:b/>
          <w:sz w:val="22"/>
        </w:rPr>
        <w:t>2</w:t>
      </w:r>
    </w:p>
    <w:p>
      <w:pPr>
        <w:pStyle w:val="ListParagraph"/>
        <w:spacing w:after="0" w:line="208" w:lineRule="auto"/>
        <w:jc w:val="left"/>
        <w:rPr>
          <w:rFonts w:ascii="Calibri"/>
          <w:b/>
          <w:sz w:val="22"/>
        </w:rPr>
        <w:sectPr>
          <w:pgSz w:w="12240" w:h="15840"/>
          <w:pgMar w:top="1340" w:bottom="280" w:left="1080" w:right="720"/>
        </w:sectPr>
      </w:pPr>
    </w:p>
    <w:p>
      <w:pPr>
        <w:pStyle w:val="BodyText"/>
        <w:spacing w:before="67"/>
      </w:pPr>
      <w:r>
        <w:rPr/>
        <w:t>Instructions</w:t>
      </w:r>
      <w:r>
        <w:rPr>
          <w:spacing w:val="-5"/>
        </w:rPr>
        <w:t> </w:t>
      </w:r>
      <w:r>
        <w:rPr/>
        <w:t>to</w:t>
      </w:r>
      <w:r>
        <w:rPr>
          <w:spacing w:val="-2"/>
        </w:rPr>
        <w:t> </w:t>
      </w:r>
      <w:r>
        <w:rPr>
          <w:spacing w:val="-4"/>
        </w:rPr>
        <w:t>Staff</w:t>
      </w:r>
    </w:p>
    <w:p>
      <w:pPr>
        <w:pStyle w:val="ListParagraph"/>
        <w:numPr>
          <w:ilvl w:val="0"/>
          <w:numId w:val="254"/>
        </w:numPr>
        <w:tabs>
          <w:tab w:pos="1077" w:val="left" w:leader="none"/>
        </w:tabs>
        <w:spacing w:line="240" w:lineRule="auto" w:before="204" w:after="0"/>
        <w:ind w:left="1077" w:right="0" w:hanging="286"/>
        <w:jc w:val="left"/>
        <w:rPr>
          <w:sz w:val="24"/>
        </w:rPr>
      </w:pPr>
      <w:r>
        <w:rPr>
          <w:sz w:val="24"/>
        </w:rPr>
        <w:t>Link</w:t>
      </w:r>
      <w:r>
        <w:rPr>
          <w:spacing w:val="-4"/>
          <w:sz w:val="24"/>
        </w:rPr>
        <w:t> </w:t>
      </w:r>
      <w:r>
        <w:rPr>
          <w:sz w:val="24"/>
        </w:rPr>
        <w:t>to</w:t>
      </w:r>
      <w:r>
        <w:rPr>
          <w:spacing w:val="-3"/>
          <w:sz w:val="24"/>
        </w:rPr>
        <w:t> </w:t>
      </w:r>
      <w:hyperlink r:id="rId75">
        <w:r>
          <w:rPr>
            <w:sz w:val="24"/>
            <w:u w:val="single"/>
          </w:rPr>
          <w:t>Transition</w:t>
        </w:r>
        <w:r>
          <w:rPr>
            <w:spacing w:val="-3"/>
            <w:sz w:val="24"/>
            <w:u w:val="single"/>
          </w:rPr>
          <w:t> </w:t>
        </w:r>
        <w:r>
          <w:rPr>
            <w:sz w:val="24"/>
            <w:u w:val="single"/>
          </w:rPr>
          <w:t>Guidance</w:t>
        </w:r>
        <w:r>
          <w:rPr>
            <w:spacing w:val="-3"/>
            <w:sz w:val="24"/>
            <w:u w:val="single"/>
          </w:rPr>
          <w:t> </w:t>
        </w:r>
        <w:r>
          <w:rPr>
            <w:spacing w:val="-2"/>
            <w:sz w:val="24"/>
            <w:u w:val="single"/>
          </w:rPr>
          <w:t>Document</w:t>
        </w:r>
      </w:hyperlink>
    </w:p>
    <w:p>
      <w:pPr>
        <w:pStyle w:val="ListParagraph"/>
        <w:numPr>
          <w:ilvl w:val="0"/>
          <w:numId w:val="254"/>
        </w:numPr>
        <w:tabs>
          <w:tab w:pos="1077" w:val="left" w:leader="none"/>
        </w:tabs>
        <w:spacing w:line="240" w:lineRule="auto" w:before="204" w:after="0"/>
        <w:ind w:left="1077" w:right="0" w:hanging="286"/>
        <w:jc w:val="left"/>
        <w:rPr>
          <w:sz w:val="24"/>
        </w:rPr>
      </w:pPr>
      <w:r>
        <w:rPr>
          <w:sz w:val="24"/>
        </w:rPr>
        <w:t>Link</w:t>
      </w:r>
      <w:r>
        <w:rPr>
          <w:spacing w:val="-7"/>
          <w:sz w:val="24"/>
        </w:rPr>
        <w:t> </w:t>
      </w:r>
      <w:r>
        <w:rPr>
          <w:sz w:val="24"/>
        </w:rPr>
        <w:t>to</w:t>
      </w:r>
      <w:r>
        <w:rPr>
          <w:spacing w:val="-4"/>
          <w:sz w:val="24"/>
        </w:rPr>
        <w:t> </w:t>
      </w:r>
      <w:r>
        <w:rPr>
          <w:sz w:val="24"/>
        </w:rPr>
        <w:t>guidance</w:t>
      </w:r>
      <w:r>
        <w:rPr>
          <w:spacing w:val="-4"/>
          <w:sz w:val="24"/>
        </w:rPr>
        <w:t> </w:t>
      </w:r>
      <w:r>
        <w:rPr>
          <w:sz w:val="24"/>
        </w:rPr>
        <w:t>document:</w:t>
      </w:r>
      <w:r>
        <w:rPr>
          <w:spacing w:val="-3"/>
          <w:sz w:val="24"/>
        </w:rPr>
        <w:t> </w:t>
      </w:r>
      <w:hyperlink r:id="rId76">
        <w:r>
          <w:rPr>
            <w:sz w:val="24"/>
            <w:u w:val="single"/>
          </w:rPr>
          <w:t>Counselor</w:t>
        </w:r>
        <w:r>
          <w:rPr>
            <w:spacing w:val="-3"/>
            <w:sz w:val="24"/>
            <w:u w:val="single"/>
          </w:rPr>
          <w:t> </w:t>
        </w:r>
        <w:r>
          <w:rPr>
            <w:sz w:val="24"/>
            <w:u w:val="single"/>
          </w:rPr>
          <w:t>responsibilities</w:t>
        </w:r>
        <w:r>
          <w:rPr>
            <w:spacing w:val="-4"/>
            <w:sz w:val="24"/>
            <w:u w:val="single"/>
          </w:rPr>
          <w:t> </w:t>
        </w:r>
        <w:r>
          <w:rPr>
            <w:sz w:val="24"/>
            <w:u w:val="single"/>
          </w:rPr>
          <w:t>in</w:t>
        </w:r>
        <w:r>
          <w:rPr>
            <w:spacing w:val="-4"/>
            <w:sz w:val="24"/>
            <w:u w:val="single"/>
          </w:rPr>
          <w:t> </w:t>
        </w:r>
        <w:r>
          <w:rPr>
            <w:sz w:val="24"/>
            <w:u w:val="single"/>
          </w:rPr>
          <w:t>Transition</w:t>
        </w:r>
        <w:r>
          <w:rPr>
            <w:spacing w:val="-4"/>
            <w:sz w:val="24"/>
            <w:u w:val="single"/>
          </w:rPr>
          <w:t> </w:t>
        </w:r>
        <w:r>
          <w:rPr>
            <w:spacing w:val="-2"/>
            <w:sz w:val="24"/>
            <w:u w:val="single"/>
          </w:rPr>
          <w:t>Program</w:t>
        </w:r>
      </w:hyperlink>
    </w:p>
    <w:p>
      <w:pPr>
        <w:pStyle w:val="ListParagraph"/>
        <w:numPr>
          <w:ilvl w:val="0"/>
          <w:numId w:val="254"/>
        </w:numPr>
        <w:tabs>
          <w:tab w:pos="1143" w:val="left" w:leader="none"/>
        </w:tabs>
        <w:spacing w:line="208" w:lineRule="auto" w:before="233" w:after="0"/>
        <w:ind w:left="810" w:right="1049" w:firstLine="0"/>
        <w:jc w:val="left"/>
        <w:rPr>
          <w:sz w:val="24"/>
        </w:rPr>
      </w:pPr>
      <w:r>
        <w:rPr>
          <w:sz w:val="24"/>
        </w:rPr>
        <w:t>High</w:t>
      </w:r>
      <w:r>
        <w:rPr>
          <w:spacing w:val="-3"/>
          <w:sz w:val="24"/>
        </w:rPr>
        <w:t> </w:t>
      </w:r>
      <w:r>
        <w:rPr>
          <w:sz w:val="24"/>
        </w:rPr>
        <w:t>school</w:t>
      </w:r>
      <w:r>
        <w:rPr>
          <w:spacing w:val="-3"/>
          <w:sz w:val="24"/>
        </w:rPr>
        <w:t> </w:t>
      </w:r>
      <w:r>
        <w:rPr>
          <w:sz w:val="24"/>
        </w:rPr>
        <w:t>students</w:t>
      </w:r>
      <w:r>
        <w:rPr>
          <w:spacing w:val="-3"/>
          <w:sz w:val="24"/>
        </w:rPr>
        <w:t> </w:t>
      </w:r>
      <w:r>
        <w:rPr>
          <w:sz w:val="24"/>
        </w:rPr>
        <w:t>who</w:t>
      </w:r>
      <w:r>
        <w:rPr>
          <w:spacing w:val="-3"/>
          <w:sz w:val="24"/>
        </w:rPr>
        <w:t> </w:t>
      </w:r>
      <w:r>
        <w:rPr>
          <w:sz w:val="24"/>
        </w:rPr>
        <w:t>have</w:t>
      </w:r>
      <w:r>
        <w:rPr>
          <w:spacing w:val="-3"/>
          <w:sz w:val="24"/>
        </w:rPr>
        <w:t> </w:t>
      </w:r>
      <w:r>
        <w:rPr>
          <w:sz w:val="24"/>
        </w:rPr>
        <w:t>a</w:t>
      </w:r>
      <w:r>
        <w:rPr>
          <w:spacing w:val="-3"/>
          <w:sz w:val="24"/>
        </w:rPr>
        <w:t> </w:t>
      </w:r>
      <w:r>
        <w:rPr>
          <w:sz w:val="24"/>
        </w:rPr>
        <w:t>disability</w:t>
      </w:r>
      <w:r>
        <w:rPr>
          <w:spacing w:val="-3"/>
          <w:sz w:val="24"/>
        </w:rPr>
        <w:t> </w:t>
      </w:r>
      <w:r>
        <w:rPr>
          <w:sz w:val="24"/>
        </w:rPr>
        <w:t>and</w:t>
      </w:r>
      <w:r>
        <w:rPr>
          <w:spacing w:val="-3"/>
          <w:sz w:val="24"/>
        </w:rPr>
        <w:t> </w:t>
      </w:r>
      <w:r>
        <w:rPr>
          <w:sz w:val="24"/>
        </w:rPr>
        <w:t>are</w:t>
      </w:r>
      <w:r>
        <w:rPr>
          <w:spacing w:val="-4"/>
          <w:sz w:val="24"/>
        </w:rPr>
        <w:t> </w:t>
      </w:r>
      <w:r>
        <w:rPr>
          <w:sz w:val="24"/>
        </w:rPr>
        <w:t>not</w:t>
      </w:r>
      <w:r>
        <w:rPr>
          <w:spacing w:val="-2"/>
          <w:sz w:val="24"/>
        </w:rPr>
        <w:t> </w:t>
      </w:r>
      <w:r>
        <w:rPr>
          <w:sz w:val="24"/>
        </w:rPr>
        <w:t>clients</w:t>
      </w:r>
      <w:r>
        <w:rPr>
          <w:spacing w:val="-3"/>
          <w:sz w:val="24"/>
        </w:rPr>
        <w:t> </w:t>
      </w:r>
      <w:r>
        <w:rPr>
          <w:sz w:val="24"/>
        </w:rPr>
        <w:t>of</w:t>
      </w:r>
      <w:r>
        <w:rPr>
          <w:spacing w:val="-2"/>
          <w:sz w:val="24"/>
        </w:rPr>
        <w:t> </w:t>
      </w:r>
      <w:r>
        <w:rPr>
          <w:sz w:val="24"/>
        </w:rPr>
        <w:t>the</w:t>
      </w:r>
      <w:r>
        <w:rPr>
          <w:spacing w:val="-3"/>
          <w:sz w:val="24"/>
        </w:rPr>
        <w:t> </w:t>
      </w:r>
      <w:r>
        <w:rPr>
          <w:sz w:val="24"/>
        </w:rPr>
        <w:t>DRS,</w:t>
      </w:r>
      <w:r>
        <w:rPr>
          <w:spacing w:val="-2"/>
          <w:sz w:val="24"/>
        </w:rPr>
        <w:t> </w:t>
      </w:r>
      <w:r>
        <w:rPr>
          <w:sz w:val="24"/>
        </w:rPr>
        <w:t>but are going to a conference or camp to provide them with the necessary tools and education for employment requires prior approval from the RSA.</w:t>
      </w:r>
    </w:p>
    <w:p>
      <w:pPr>
        <w:pStyle w:val="ListParagraph"/>
        <w:numPr>
          <w:ilvl w:val="0"/>
          <w:numId w:val="254"/>
        </w:numPr>
        <w:tabs>
          <w:tab w:pos="1075" w:val="left" w:leader="none"/>
        </w:tabs>
        <w:spacing w:line="259" w:lineRule="auto" w:before="244" w:after="0"/>
        <w:ind w:left="810" w:right="823" w:firstLine="0"/>
        <w:jc w:val="left"/>
        <w:rPr>
          <w:sz w:val="24"/>
        </w:rPr>
      </w:pPr>
      <w:r>
        <w:rPr>
          <w:sz w:val="24"/>
        </w:rPr>
        <w:t>Please refer to the Employment Support Services webpage from the OKDRS website located at </w:t>
      </w:r>
      <w:hyperlink r:id="rId50">
        <w:r>
          <w:rPr>
            <w:color w:val="3366FF"/>
            <w:sz w:val="24"/>
            <w:u w:val="single" w:color="3366FF"/>
          </w:rPr>
          <w:t>https://www.okdrs.gov/ESS/SEC</w:t>
        </w:r>
      </w:hyperlink>
      <w:r>
        <w:rPr>
          <w:color w:val="3366FF"/>
          <w:sz w:val="24"/>
          <w:u w:val="none"/>
        </w:rPr>
        <w:t> </w:t>
      </w:r>
      <w:r>
        <w:rPr>
          <w:sz w:val="24"/>
          <w:u w:val="none"/>
        </w:rPr>
        <w:t>to access the SE contract and </w:t>
      </w:r>
      <w:hyperlink r:id="rId46">
        <w:r>
          <w:rPr>
            <w:color w:val="0000FF"/>
            <w:sz w:val="24"/>
            <w:u w:val="single" w:color="0000FF"/>
          </w:rPr>
          <w:t>https://www.okdrs.gov/ESS/SESC</w:t>
        </w:r>
      </w:hyperlink>
      <w:r>
        <w:rPr>
          <w:color w:val="0000FF"/>
          <w:sz w:val="24"/>
          <w:u w:val="none"/>
        </w:rPr>
        <w:t> </w:t>
      </w:r>
      <w:r>
        <w:rPr>
          <w:sz w:val="24"/>
          <w:u w:val="none"/>
        </w:rPr>
        <w:t>to access the SES contract and for Milestone/Service</w:t>
      </w:r>
      <w:r>
        <w:rPr>
          <w:spacing w:val="-6"/>
          <w:sz w:val="24"/>
          <w:u w:val="none"/>
        </w:rPr>
        <w:t> </w:t>
      </w:r>
      <w:r>
        <w:rPr>
          <w:sz w:val="24"/>
          <w:u w:val="none"/>
        </w:rPr>
        <w:t>categories,</w:t>
      </w:r>
      <w:r>
        <w:rPr>
          <w:spacing w:val="-5"/>
          <w:sz w:val="24"/>
          <w:u w:val="none"/>
        </w:rPr>
        <w:t> </w:t>
      </w:r>
      <w:r>
        <w:rPr>
          <w:sz w:val="24"/>
          <w:u w:val="none"/>
        </w:rPr>
        <w:t>rates,</w:t>
      </w:r>
      <w:r>
        <w:rPr>
          <w:spacing w:val="-5"/>
          <w:sz w:val="24"/>
          <w:u w:val="none"/>
        </w:rPr>
        <w:t> </w:t>
      </w:r>
      <w:r>
        <w:rPr>
          <w:sz w:val="24"/>
          <w:u w:val="none"/>
        </w:rPr>
        <w:t>required</w:t>
      </w:r>
      <w:r>
        <w:rPr>
          <w:spacing w:val="-6"/>
          <w:sz w:val="24"/>
          <w:u w:val="none"/>
        </w:rPr>
        <w:t> </w:t>
      </w:r>
      <w:r>
        <w:rPr>
          <w:sz w:val="24"/>
          <w:u w:val="none"/>
        </w:rPr>
        <w:t>documentation</w:t>
      </w:r>
      <w:r>
        <w:rPr>
          <w:spacing w:val="-6"/>
          <w:sz w:val="24"/>
          <w:u w:val="none"/>
        </w:rPr>
        <w:t> </w:t>
      </w:r>
      <w:r>
        <w:rPr>
          <w:sz w:val="24"/>
          <w:u w:val="none"/>
        </w:rPr>
        <w:t>for</w:t>
      </w:r>
      <w:r>
        <w:rPr>
          <w:spacing w:val="-5"/>
          <w:sz w:val="24"/>
          <w:u w:val="none"/>
        </w:rPr>
        <w:t> </w:t>
      </w:r>
      <w:r>
        <w:rPr>
          <w:sz w:val="24"/>
          <w:u w:val="none"/>
        </w:rPr>
        <w:t>payment</w:t>
      </w:r>
      <w:r>
        <w:rPr>
          <w:spacing w:val="-5"/>
          <w:sz w:val="24"/>
          <w:u w:val="none"/>
        </w:rPr>
        <w:t> </w:t>
      </w:r>
      <w:r>
        <w:rPr>
          <w:sz w:val="24"/>
          <w:u w:val="none"/>
        </w:rPr>
        <w:t>and</w:t>
      </w:r>
      <w:r>
        <w:rPr>
          <w:spacing w:val="-6"/>
          <w:sz w:val="24"/>
          <w:u w:val="none"/>
        </w:rPr>
        <w:t> </w:t>
      </w:r>
      <w:r>
        <w:rPr>
          <w:sz w:val="24"/>
          <w:u w:val="none"/>
        </w:rPr>
        <w:t>other contract information.</w:t>
      </w:r>
    </w:p>
    <w:p>
      <w:pPr>
        <w:spacing w:before="158"/>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360" w:right="1438" w:firstLine="0"/>
        <w:jc w:val="left"/>
        <w:rPr>
          <w:sz w:val="22"/>
        </w:rPr>
      </w:pPr>
      <w:r>
        <w:rPr>
          <w:spacing w:val="-2"/>
          <w:sz w:val="22"/>
        </w:rPr>
        <w:t>8-11-19</w:t>
      </w:r>
      <w:r>
        <w:rPr>
          <w:sz w:val="22"/>
        </w:rPr>
        <w:tab/>
        <w:t>New</w:t>
      </w:r>
      <w:r>
        <w:rPr>
          <w:spacing w:val="-5"/>
          <w:sz w:val="22"/>
        </w:rPr>
        <w:t> </w:t>
      </w:r>
      <w:r>
        <w:rPr>
          <w:sz w:val="22"/>
        </w:rPr>
        <w:t>rule</w:t>
      </w:r>
      <w:r>
        <w:rPr>
          <w:spacing w:val="-4"/>
          <w:sz w:val="22"/>
        </w:rPr>
        <w:t> </w:t>
      </w:r>
      <w:r>
        <w:rPr>
          <w:sz w:val="22"/>
        </w:rPr>
        <w:t>implemented.</w:t>
      </w:r>
      <w:r>
        <w:rPr>
          <w:spacing w:val="-4"/>
          <w:sz w:val="22"/>
        </w:rPr>
        <w:t> </w:t>
      </w:r>
      <w:r>
        <w:rPr>
          <w:sz w:val="22"/>
        </w:rPr>
        <w:t>Rule</w:t>
      </w:r>
      <w:r>
        <w:rPr>
          <w:spacing w:val="-4"/>
          <w:sz w:val="22"/>
        </w:rPr>
        <w:t> </w:t>
      </w:r>
      <w:r>
        <w:rPr>
          <w:sz w:val="22"/>
        </w:rPr>
        <w:t>was</w:t>
      </w:r>
      <w:r>
        <w:rPr>
          <w:spacing w:val="-4"/>
          <w:sz w:val="22"/>
        </w:rPr>
        <w:t> </w:t>
      </w:r>
      <w:r>
        <w:rPr>
          <w:sz w:val="22"/>
        </w:rPr>
        <w:t>previously</w:t>
      </w:r>
      <w:r>
        <w:rPr>
          <w:spacing w:val="-4"/>
          <w:sz w:val="22"/>
        </w:rPr>
        <w:t> </w:t>
      </w:r>
      <w:r>
        <w:rPr>
          <w:sz w:val="22"/>
        </w:rPr>
        <w:t>located</w:t>
      </w:r>
      <w:r>
        <w:rPr>
          <w:spacing w:val="-4"/>
          <w:sz w:val="22"/>
        </w:rPr>
        <w:t> </w:t>
      </w:r>
      <w:r>
        <w:rPr>
          <w:sz w:val="22"/>
        </w:rPr>
        <w:t>under</w:t>
      </w:r>
      <w:r>
        <w:rPr>
          <w:spacing w:val="-4"/>
          <w:sz w:val="22"/>
        </w:rPr>
        <w:t> </w:t>
      </w:r>
      <w:r>
        <w:rPr>
          <w:sz w:val="22"/>
        </w:rPr>
        <w:t>612:10-7-244,</w:t>
      </w:r>
      <w:r>
        <w:rPr>
          <w:spacing w:val="-4"/>
          <w:sz w:val="22"/>
        </w:rPr>
        <w:t> </w:t>
      </w:r>
      <w:r>
        <w:rPr>
          <w:sz w:val="22"/>
        </w:rPr>
        <w:t>now </w:t>
      </w:r>
      <w:r>
        <w:rPr>
          <w:spacing w:val="-2"/>
          <w:sz w:val="22"/>
        </w:rPr>
        <w:t>revoked.</w:t>
      </w:r>
    </w:p>
    <w:p>
      <w:pPr>
        <w:tabs>
          <w:tab w:pos="1439" w:val="left" w:leader="none"/>
        </w:tabs>
        <w:spacing w:line="253" w:lineRule="exact" w:before="1"/>
        <w:ind w:left="360" w:right="0" w:firstLine="0"/>
        <w:jc w:val="left"/>
        <w:rPr>
          <w:sz w:val="22"/>
        </w:rPr>
      </w:pPr>
      <w:r>
        <w:rPr>
          <w:spacing w:val="-2"/>
          <w:sz w:val="22"/>
        </w:rPr>
        <w:t>9-30-</w:t>
      </w:r>
      <w:r>
        <w:rPr>
          <w:spacing w:val="-5"/>
          <w:sz w:val="22"/>
        </w:rPr>
        <w:t>19</w:t>
      </w:r>
      <w:r>
        <w:rPr>
          <w:sz w:val="22"/>
        </w:rPr>
        <w:tab/>
        <w:t>Added</w:t>
      </w:r>
      <w:r>
        <w:rPr>
          <w:spacing w:val="-6"/>
          <w:sz w:val="22"/>
        </w:rPr>
        <w:t> </w:t>
      </w:r>
      <w:r>
        <w:rPr>
          <w:sz w:val="22"/>
        </w:rPr>
        <w:t>ITS</w:t>
      </w:r>
      <w:r>
        <w:rPr>
          <w:spacing w:val="-5"/>
          <w:sz w:val="22"/>
        </w:rPr>
        <w:t> #3.</w:t>
      </w:r>
    </w:p>
    <w:p>
      <w:pPr>
        <w:tabs>
          <w:tab w:pos="1439" w:val="left" w:leader="none"/>
        </w:tabs>
        <w:spacing w:line="253" w:lineRule="exact" w:before="0"/>
        <w:ind w:left="360" w:right="0" w:firstLine="0"/>
        <w:jc w:val="left"/>
        <w:rPr>
          <w:sz w:val="22"/>
        </w:rPr>
      </w:pPr>
      <w:r>
        <w:rPr>
          <w:spacing w:val="-2"/>
          <w:sz w:val="22"/>
        </w:rPr>
        <w:t>8-26-</w:t>
      </w:r>
      <w:r>
        <w:rPr>
          <w:spacing w:val="-5"/>
          <w:sz w:val="22"/>
        </w:rPr>
        <w:t>21</w:t>
      </w:r>
      <w:r>
        <w:rPr>
          <w:sz w:val="22"/>
        </w:rPr>
        <w:tab/>
        <w:t>Revised</w:t>
      </w:r>
      <w:r>
        <w:rPr>
          <w:spacing w:val="-7"/>
          <w:sz w:val="22"/>
        </w:rPr>
        <w:t> </w:t>
      </w:r>
      <w:r>
        <w:rPr>
          <w:sz w:val="22"/>
        </w:rPr>
        <w:t>to</w:t>
      </w:r>
      <w:r>
        <w:rPr>
          <w:spacing w:val="-6"/>
          <w:sz w:val="22"/>
        </w:rPr>
        <w:t> </w:t>
      </w:r>
      <w:r>
        <w:rPr>
          <w:sz w:val="22"/>
        </w:rPr>
        <w:t>reflect</w:t>
      </w:r>
      <w:r>
        <w:rPr>
          <w:spacing w:val="-7"/>
          <w:sz w:val="22"/>
        </w:rPr>
        <w:t> </w:t>
      </w:r>
      <w:r>
        <w:rPr>
          <w:sz w:val="22"/>
        </w:rPr>
        <w:t>WIOA</w:t>
      </w:r>
      <w:r>
        <w:rPr>
          <w:spacing w:val="-6"/>
          <w:sz w:val="22"/>
        </w:rPr>
        <w:t> </w:t>
      </w:r>
      <w:r>
        <w:rPr>
          <w:spacing w:val="-2"/>
          <w:sz w:val="22"/>
        </w:rPr>
        <w:t>language.</w:t>
      </w:r>
    </w:p>
    <w:p>
      <w:pPr>
        <w:pStyle w:val="BodyText"/>
        <w:tabs>
          <w:tab w:pos="1439" w:val="left" w:leader="none"/>
        </w:tabs>
        <w:spacing w:before="0"/>
        <w:ind w:left="1440" w:right="1408" w:hanging="1080"/>
      </w:pPr>
      <w:r>
        <w:rPr>
          <w:spacing w:val="-2"/>
          <w:sz w:val="22"/>
        </w:rPr>
        <w:t>8-11-24</w:t>
      </w:r>
      <w:r>
        <w:rPr>
          <w:sz w:val="22"/>
        </w:rPr>
        <w:tab/>
      </w:r>
      <w:r>
        <w:rPr/>
        <w:t>Revised</w:t>
      </w:r>
      <w:r>
        <w:rPr>
          <w:spacing w:val="-6"/>
        </w:rPr>
        <w:t> </w:t>
      </w:r>
      <w:r>
        <w:rPr/>
        <w:t>language</w:t>
      </w:r>
      <w:r>
        <w:rPr>
          <w:spacing w:val="-6"/>
        </w:rPr>
        <w:t> </w:t>
      </w:r>
      <w:r>
        <w:rPr/>
        <w:t>to</w:t>
      </w:r>
      <w:r>
        <w:rPr>
          <w:spacing w:val="-6"/>
        </w:rPr>
        <w:t> </w:t>
      </w:r>
      <w:r>
        <w:rPr/>
        <w:t>include</w:t>
      </w:r>
      <w:r>
        <w:rPr>
          <w:spacing w:val="-6"/>
        </w:rPr>
        <w:t> </w:t>
      </w:r>
      <w:r>
        <w:rPr/>
        <w:t>“supplemental</w:t>
      </w:r>
      <w:r>
        <w:rPr>
          <w:spacing w:val="-5"/>
        </w:rPr>
        <w:t> </w:t>
      </w:r>
      <w:r>
        <w:rPr/>
        <w:t>employment</w:t>
      </w:r>
      <w:r>
        <w:rPr>
          <w:spacing w:val="-5"/>
        </w:rPr>
        <w:t> </w:t>
      </w:r>
      <w:r>
        <w:rPr/>
        <w:t>services</w:t>
      </w:r>
      <w:r>
        <w:rPr>
          <w:spacing w:val="-7"/>
        </w:rPr>
        <w:t> </w:t>
      </w:r>
      <w:r>
        <w:rPr/>
        <w:t>under section (a) relating to eligible transition services.</w:t>
      </w:r>
    </w:p>
    <w:p>
      <w:pPr>
        <w:pStyle w:val="BodyText"/>
        <w:spacing w:before="0"/>
        <w:ind w:left="1440"/>
      </w:pPr>
      <w:r>
        <w:rPr/>
        <w:t>Added</w:t>
      </w:r>
      <w:r>
        <w:rPr>
          <w:spacing w:val="-2"/>
        </w:rPr>
        <w:t> </w:t>
      </w:r>
      <w:r>
        <w:rPr/>
        <w:t>ITS</w:t>
      </w:r>
      <w:r>
        <w:rPr>
          <w:spacing w:val="-1"/>
        </w:rPr>
        <w:t> </w:t>
      </w:r>
      <w:r>
        <w:rPr/>
        <w:t>#</w:t>
      </w:r>
      <w:r>
        <w:rPr>
          <w:spacing w:val="-1"/>
        </w:rPr>
        <w:t> </w:t>
      </w:r>
      <w:r>
        <w:rPr>
          <w:spacing w:val="-5"/>
        </w:rPr>
        <w:t>4.</w:t>
      </w:r>
    </w:p>
    <w:p>
      <w:pPr>
        <w:pStyle w:val="BodyText"/>
        <w:spacing w:after="0"/>
        <w:sectPr>
          <w:pgSz w:w="12240" w:h="15840"/>
          <w:pgMar w:top="1340" w:bottom="280" w:left="1080" w:right="720"/>
        </w:sectPr>
      </w:pPr>
    </w:p>
    <w:p>
      <w:pPr>
        <w:pStyle w:val="Heading2"/>
      </w:pPr>
      <w:bookmarkStart w:name="612:10-7-241.  Subminimum wage for youth" w:id="233"/>
      <w:bookmarkEnd w:id="233"/>
      <w:r>
        <w:rPr>
          <w:b w:val="0"/>
        </w:rPr>
      </w:r>
      <w:r>
        <w:rPr/>
        <w:t>612:10-7-241.</w:t>
      </w:r>
      <w:r>
        <w:rPr>
          <w:spacing w:val="58"/>
        </w:rPr>
        <w:t> </w:t>
      </w:r>
      <w:r>
        <w:rPr/>
        <w:t>Subminimum</w:t>
      </w:r>
      <w:r>
        <w:rPr>
          <w:spacing w:val="-3"/>
        </w:rPr>
        <w:t> </w:t>
      </w:r>
      <w:r>
        <w:rPr/>
        <w:t>wage</w:t>
      </w:r>
      <w:r>
        <w:rPr>
          <w:spacing w:val="-4"/>
        </w:rPr>
        <w:t> </w:t>
      </w:r>
      <w:r>
        <w:rPr/>
        <w:t>for</w:t>
      </w:r>
      <w:r>
        <w:rPr>
          <w:spacing w:val="-3"/>
        </w:rPr>
        <w:t> </w:t>
      </w:r>
      <w:r>
        <w:rPr/>
        <w:t>youth</w:t>
      </w:r>
      <w:r>
        <w:rPr>
          <w:spacing w:val="-3"/>
        </w:rPr>
        <w:t> </w:t>
      </w:r>
      <w:r>
        <w:rPr/>
        <w:t>with</w:t>
      </w:r>
      <w:r>
        <w:rPr>
          <w:spacing w:val="-3"/>
        </w:rPr>
        <w:t> </w:t>
      </w:r>
      <w:r>
        <w:rPr>
          <w:spacing w:val="-2"/>
        </w:rPr>
        <w:t>disabilities</w:t>
      </w:r>
    </w:p>
    <w:p>
      <w:pPr>
        <w:pStyle w:val="BodyText"/>
        <w:spacing w:line="208" w:lineRule="auto" w:before="233"/>
        <w:ind w:left="359" w:right="775" w:firstLine="432"/>
      </w:pPr>
      <w:r>
        <w:rPr/>
        <w:t>DRS must provide documentation in collaboration with the local school district of specific services to youth ages 14-24 if those individuals are known by DRS to be seeking subminimum wage work. This documentation must be provided as soon as possible</w:t>
      </w:r>
      <w:r>
        <w:rPr>
          <w:spacing w:val="-3"/>
        </w:rPr>
        <w:t> </w:t>
      </w:r>
      <w:r>
        <w:rPr/>
        <w:t>but</w:t>
      </w:r>
      <w:r>
        <w:rPr>
          <w:spacing w:val="-2"/>
        </w:rPr>
        <w:t> </w:t>
      </w:r>
      <w:r>
        <w:rPr/>
        <w:t>no</w:t>
      </w:r>
      <w:r>
        <w:rPr>
          <w:spacing w:val="-3"/>
        </w:rPr>
        <w:t> </w:t>
      </w:r>
      <w:r>
        <w:rPr/>
        <w:t>later</w:t>
      </w:r>
      <w:r>
        <w:rPr>
          <w:spacing w:val="-4"/>
        </w:rPr>
        <w:t> </w:t>
      </w:r>
      <w:r>
        <w:rPr/>
        <w:t>than</w:t>
      </w:r>
      <w:r>
        <w:rPr>
          <w:spacing w:val="-3"/>
        </w:rPr>
        <w:t> </w:t>
      </w:r>
      <w:r>
        <w:rPr/>
        <w:t>45</w:t>
      </w:r>
      <w:r>
        <w:rPr>
          <w:spacing w:val="-3"/>
        </w:rPr>
        <w:t> </w:t>
      </w:r>
      <w:r>
        <w:rPr/>
        <w:t>days</w:t>
      </w:r>
      <w:r>
        <w:rPr>
          <w:spacing w:val="-3"/>
        </w:rPr>
        <w:t> </w:t>
      </w:r>
      <w:r>
        <w:rPr/>
        <w:t>after</w:t>
      </w:r>
      <w:r>
        <w:rPr>
          <w:spacing w:val="-4"/>
        </w:rPr>
        <w:t> </w:t>
      </w:r>
      <w:r>
        <w:rPr/>
        <w:t>services</w:t>
      </w:r>
      <w:r>
        <w:rPr>
          <w:spacing w:val="-3"/>
        </w:rPr>
        <w:t> </w:t>
      </w:r>
      <w:r>
        <w:rPr/>
        <w:t>are</w:t>
      </w:r>
      <w:r>
        <w:rPr>
          <w:spacing w:val="-3"/>
        </w:rPr>
        <w:t> </w:t>
      </w:r>
      <w:r>
        <w:rPr/>
        <w:t>completed,</w:t>
      </w:r>
      <w:r>
        <w:rPr>
          <w:spacing w:val="-2"/>
        </w:rPr>
        <w:t> </w:t>
      </w:r>
      <w:r>
        <w:rPr/>
        <w:t>or</w:t>
      </w:r>
      <w:r>
        <w:rPr>
          <w:spacing w:val="-4"/>
        </w:rPr>
        <w:t> </w:t>
      </w:r>
      <w:r>
        <w:rPr/>
        <w:t>90</w:t>
      </w:r>
      <w:r>
        <w:rPr>
          <w:spacing w:val="-3"/>
        </w:rPr>
        <w:t> </w:t>
      </w:r>
      <w:r>
        <w:rPr/>
        <w:t>calendar</w:t>
      </w:r>
      <w:r>
        <w:rPr>
          <w:spacing w:val="-2"/>
        </w:rPr>
        <w:t> </w:t>
      </w:r>
      <w:r>
        <w:rPr/>
        <w:t>days,</w:t>
      </w:r>
      <w:r>
        <w:rPr>
          <w:spacing w:val="-2"/>
        </w:rPr>
        <w:t> </w:t>
      </w:r>
      <w:r>
        <w:rPr/>
        <w:t>if additional time is necessary due to extenuating circumstances which should be interpreted narrowly. The documentation must include the following:</w:t>
      </w:r>
    </w:p>
    <w:p>
      <w:pPr>
        <w:pStyle w:val="ListParagraph"/>
        <w:numPr>
          <w:ilvl w:val="0"/>
          <w:numId w:val="255"/>
        </w:numPr>
        <w:tabs>
          <w:tab w:pos="1217" w:val="left" w:leader="none"/>
        </w:tabs>
        <w:spacing w:line="208" w:lineRule="auto" w:before="239" w:after="0"/>
        <w:ind w:left="791" w:right="1216" w:firstLine="0"/>
        <w:jc w:val="left"/>
        <w:rPr>
          <w:sz w:val="24"/>
        </w:rPr>
      </w:pPr>
      <w:r>
        <w:rPr>
          <w:sz w:val="24"/>
        </w:rPr>
        <w:t>Pre-Employment</w:t>
      </w:r>
      <w:r>
        <w:rPr>
          <w:spacing w:val="-4"/>
          <w:sz w:val="24"/>
        </w:rPr>
        <w:t> </w:t>
      </w:r>
      <w:r>
        <w:rPr>
          <w:sz w:val="24"/>
        </w:rPr>
        <w:t>Transition</w:t>
      </w:r>
      <w:r>
        <w:rPr>
          <w:spacing w:val="-5"/>
          <w:sz w:val="24"/>
        </w:rPr>
        <w:t> </w:t>
      </w:r>
      <w:r>
        <w:rPr>
          <w:sz w:val="24"/>
        </w:rPr>
        <w:t>Services</w:t>
      </w:r>
      <w:r>
        <w:rPr>
          <w:spacing w:val="-5"/>
          <w:sz w:val="24"/>
        </w:rPr>
        <w:t> </w:t>
      </w:r>
      <w:r>
        <w:rPr>
          <w:sz w:val="24"/>
        </w:rPr>
        <w:t>provided</w:t>
      </w:r>
      <w:r>
        <w:rPr>
          <w:spacing w:val="-5"/>
          <w:sz w:val="24"/>
        </w:rPr>
        <w:t> </w:t>
      </w:r>
      <w:r>
        <w:rPr>
          <w:sz w:val="24"/>
        </w:rPr>
        <w:t>by</w:t>
      </w:r>
      <w:r>
        <w:rPr>
          <w:spacing w:val="-5"/>
          <w:sz w:val="24"/>
        </w:rPr>
        <w:t> </w:t>
      </w:r>
      <w:r>
        <w:rPr>
          <w:sz w:val="24"/>
        </w:rPr>
        <w:t>the</w:t>
      </w:r>
      <w:r>
        <w:rPr>
          <w:spacing w:val="-5"/>
          <w:sz w:val="24"/>
        </w:rPr>
        <w:t> </w:t>
      </w:r>
      <w:r>
        <w:rPr>
          <w:sz w:val="24"/>
        </w:rPr>
        <w:t>school</w:t>
      </w:r>
      <w:r>
        <w:rPr>
          <w:spacing w:val="-5"/>
          <w:sz w:val="24"/>
        </w:rPr>
        <w:t> </w:t>
      </w:r>
      <w:r>
        <w:rPr>
          <w:sz w:val="24"/>
        </w:rPr>
        <w:t>and/or</w:t>
      </w:r>
      <w:r>
        <w:rPr>
          <w:spacing w:val="-4"/>
          <w:sz w:val="24"/>
        </w:rPr>
        <w:t> </w:t>
      </w:r>
      <w:r>
        <w:rPr>
          <w:sz w:val="24"/>
        </w:rPr>
        <w:t>DRS</w:t>
      </w:r>
      <w:r>
        <w:rPr>
          <w:spacing w:val="-5"/>
          <w:sz w:val="24"/>
        </w:rPr>
        <w:t> </w:t>
      </w:r>
      <w:r>
        <w:rPr>
          <w:sz w:val="24"/>
        </w:rPr>
        <w:t>as </w:t>
      </w:r>
      <w:r>
        <w:rPr>
          <w:spacing w:val="-2"/>
          <w:sz w:val="24"/>
        </w:rPr>
        <w:t>applicable;</w:t>
      </w:r>
    </w:p>
    <w:p>
      <w:pPr>
        <w:pStyle w:val="ListParagraph"/>
        <w:numPr>
          <w:ilvl w:val="0"/>
          <w:numId w:val="255"/>
        </w:numPr>
        <w:tabs>
          <w:tab w:pos="1217" w:val="left" w:leader="none"/>
        </w:tabs>
        <w:spacing w:line="240" w:lineRule="auto" w:before="211" w:after="0"/>
        <w:ind w:left="1217" w:right="0" w:hanging="426"/>
        <w:jc w:val="left"/>
        <w:rPr>
          <w:sz w:val="24"/>
        </w:rPr>
      </w:pPr>
      <w:r>
        <w:rPr>
          <w:sz w:val="24"/>
        </w:rPr>
        <w:t>Application</w:t>
      </w:r>
      <w:r>
        <w:rPr>
          <w:spacing w:val="-5"/>
          <w:sz w:val="24"/>
        </w:rPr>
        <w:t> </w:t>
      </w:r>
      <w:r>
        <w:rPr>
          <w:sz w:val="24"/>
        </w:rPr>
        <w:t>for</w:t>
      </w:r>
      <w:r>
        <w:rPr>
          <w:spacing w:val="-3"/>
          <w:sz w:val="24"/>
        </w:rPr>
        <w:t> </w:t>
      </w:r>
      <w:r>
        <w:rPr>
          <w:sz w:val="24"/>
        </w:rPr>
        <w:t>DRS</w:t>
      </w:r>
      <w:r>
        <w:rPr>
          <w:spacing w:val="-2"/>
          <w:sz w:val="24"/>
        </w:rPr>
        <w:t> </w:t>
      </w:r>
      <w:r>
        <w:rPr>
          <w:sz w:val="24"/>
        </w:rPr>
        <w:t>where</w:t>
      </w:r>
      <w:r>
        <w:rPr>
          <w:spacing w:val="-3"/>
          <w:sz w:val="24"/>
        </w:rPr>
        <w:t> </w:t>
      </w:r>
      <w:r>
        <w:rPr>
          <w:sz w:val="24"/>
        </w:rPr>
        <w:t>they</w:t>
      </w:r>
      <w:r>
        <w:rPr>
          <w:spacing w:val="-3"/>
          <w:sz w:val="24"/>
        </w:rPr>
        <w:t> </w:t>
      </w:r>
      <w:r>
        <w:rPr>
          <w:sz w:val="24"/>
        </w:rPr>
        <w:t>are</w:t>
      </w:r>
      <w:r>
        <w:rPr>
          <w:spacing w:val="-3"/>
          <w:sz w:val="24"/>
        </w:rPr>
        <w:t> </w:t>
      </w:r>
      <w:r>
        <w:rPr>
          <w:sz w:val="24"/>
        </w:rPr>
        <w:t>found</w:t>
      </w:r>
      <w:r>
        <w:rPr>
          <w:spacing w:val="-3"/>
          <w:sz w:val="24"/>
        </w:rPr>
        <w:t> </w:t>
      </w:r>
      <w:r>
        <w:rPr>
          <w:sz w:val="24"/>
        </w:rPr>
        <w:t>eligible</w:t>
      </w:r>
      <w:r>
        <w:rPr>
          <w:spacing w:val="-3"/>
          <w:sz w:val="24"/>
        </w:rPr>
        <w:t> </w:t>
      </w:r>
      <w:r>
        <w:rPr>
          <w:sz w:val="24"/>
        </w:rPr>
        <w:t>or</w:t>
      </w:r>
      <w:r>
        <w:rPr>
          <w:spacing w:val="-1"/>
          <w:sz w:val="24"/>
        </w:rPr>
        <w:t> </w:t>
      </w:r>
      <w:r>
        <w:rPr>
          <w:spacing w:val="-2"/>
          <w:sz w:val="24"/>
        </w:rPr>
        <w:t>ineligible;</w:t>
      </w:r>
    </w:p>
    <w:p>
      <w:pPr>
        <w:pStyle w:val="ListParagraph"/>
        <w:numPr>
          <w:ilvl w:val="0"/>
          <w:numId w:val="255"/>
        </w:numPr>
        <w:tabs>
          <w:tab w:pos="1217" w:val="left" w:leader="none"/>
        </w:tabs>
        <w:spacing w:line="240" w:lineRule="auto" w:before="204" w:after="0"/>
        <w:ind w:left="1217" w:right="0" w:hanging="426"/>
        <w:jc w:val="left"/>
        <w:rPr>
          <w:sz w:val="24"/>
        </w:rPr>
      </w:pPr>
      <w:r>
        <w:rPr>
          <w:sz w:val="24"/>
        </w:rPr>
        <w:t>Youth</w:t>
      </w:r>
      <w:r>
        <w:rPr>
          <w:spacing w:val="-6"/>
          <w:sz w:val="24"/>
        </w:rPr>
        <w:t> </w:t>
      </w:r>
      <w:r>
        <w:rPr>
          <w:sz w:val="24"/>
        </w:rPr>
        <w:t>had</w:t>
      </w:r>
      <w:r>
        <w:rPr>
          <w:spacing w:val="-3"/>
          <w:sz w:val="24"/>
        </w:rPr>
        <w:t> </w:t>
      </w:r>
      <w:r>
        <w:rPr>
          <w:sz w:val="24"/>
        </w:rPr>
        <w:t>an</w:t>
      </w:r>
      <w:r>
        <w:rPr>
          <w:spacing w:val="-3"/>
          <w:sz w:val="24"/>
        </w:rPr>
        <w:t> </w:t>
      </w:r>
      <w:r>
        <w:rPr>
          <w:sz w:val="24"/>
        </w:rPr>
        <w:t>approved</w:t>
      </w:r>
      <w:r>
        <w:rPr>
          <w:spacing w:val="-3"/>
          <w:sz w:val="24"/>
        </w:rPr>
        <w:t> </w:t>
      </w:r>
      <w:r>
        <w:rPr>
          <w:sz w:val="24"/>
        </w:rPr>
        <w:t>IPE</w:t>
      </w:r>
      <w:r>
        <w:rPr>
          <w:spacing w:val="-3"/>
          <w:sz w:val="24"/>
        </w:rPr>
        <w:t> </w:t>
      </w:r>
      <w:r>
        <w:rPr>
          <w:sz w:val="24"/>
        </w:rPr>
        <w:t>with</w:t>
      </w:r>
      <w:r>
        <w:rPr>
          <w:spacing w:val="-3"/>
          <w:sz w:val="24"/>
        </w:rPr>
        <w:t> </w:t>
      </w:r>
      <w:r>
        <w:rPr>
          <w:sz w:val="24"/>
        </w:rPr>
        <w:t>a</w:t>
      </w:r>
      <w:r>
        <w:rPr>
          <w:spacing w:val="-3"/>
          <w:sz w:val="24"/>
        </w:rPr>
        <w:t> </w:t>
      </w:r>
      <w:r>
        <w:rPr>
          <w:sz w:val="24"/>
        </w:rPr>
        <w:t>competitive</w:t>
      </w:r>
      <w:r>
        <w:rPr>
          <w:spacing w:val="-3"/>
          <w:sz w:val="24"/>
        </w:rPr>
        <w:t> </w:t>
      </w:r>
      <w:r>
        <w:rPr>
          <w:sz w:val="24"/>
        </w:rPr>
        <w:t>integrated</w:t>
      </w:r>
      <w:r>
        <w:rPr>
          <w:spacing w:val="-3"/>
          <w:sz w:val="24"/>
        </w:rPr>
        <w:t> </w:t>
      </w:r>
      <w:r>
        <w:rPr>
          <w:sz w:val="24"/>
        </w:rPr>
        <w:t>employment</w:t>
      </w:r>
      <w:r>
        <w:rPr>
          <w:spacing w:val="-1"/>
          <w:sz w:val="24"/>
        </w:rPr>
        <w:t> </w:t>
      </w:r>
      <w:r>
        <w:rPr>
          <w:spacing w:val="-2"/>
          <w:sz w:val="24"/>
        </w:rPr>
        <w:t>goal;</w:t>
      </w:r>
    </w:p>
    <w:p>
      <w:pPr>
        <w:pStyle w:val="ListParagraph"/>
        <w:numPr>
          <w:ilvl w:val="0"/>
          <w:numId w:val="255"/>
        </w:numPr>
        <w:tabs>
          <w:tab w:pos="1217" w:val="left" w:leader="none"/>
        </w:tabs>
        <w:spacing w:line="208" w:lineRule="auto" w:before="233" w:after="0"/>
        <w:ind w:left="791" w:right="1708" w:firstLine="0"/>
        <w:jc w:val="left"/>
        <w:rPr>
          <w:sz w:val="24"/>
        </w:rPr>
      </w:pPr>
      <w:r>
        <w:rPr>
          <w:sz w:val="24"/>
        </w:rPr>
        <w:t>Youth</w:t>
      </w:r>
      <w:r>
        <w:rPr>
          <w:spacing w:val="-5"/>
          <w:sz w:val="24"/>
        </w:rPr>
        <w:t> </w:t>
      </w:r>
      <w:r>
        <w:rPr>
          <w:sz w:val="24"/>
        </w:rPr>
        <w:t>with</w:t>
      </w:r>
      <w:r>
        <w:rPr>
          <w:spacing w:val="-4"/>
          <w:sz w:val="24"/>
        </w:rPr>
        <w:t> </w:t>
      </w:r>
      <w:r>
        <w:rPr>
          <w:sz w:val="24"/>
        </w:rPr>
        <w:t>a</w:t>
      </w:r>
      <w:r>
        <w:rPr>
          <w:spacing w:val="-4"/>
          <w:sz w:val="24"/>
        </w:rPr>
        <w:t> </w:t>
      </w:r>
      <w:r>
        <w:rPr>
          <w:sz w:val="24"/>
        </w:rPr>
        <w:t>disability</w:t>
      </w:r>
      <w:r>
        <w:rPr>
          <w:spacing w:val="-4"/>
          <w:sz w:val="24"/>
        </w:rPr>
        <w:t> </w:t>
      </w:r>
      <w:r>
        <w:rPr>
          <w:sz w:val="24"/>
        </w:rPr>
        <w:t>was</w:t>
      </w:r>
      <w:r>
        <w:rPr>
          <w:spacing w:val="-4"/>
          <w:sz w:val="24"/>
        </w:rPr>
        <w:t> </w:t>
      </w:r>
      <w:r>
        <w:rPr>
          <w:sz w:val="24"/>
        </w:rPr>
        <w:t>unable</w:t>
      </w:r>
      <w:r>
        <w:rPr>
          <w:spacing w:val="-4"/>
          <w:sz w:val="24"/>
        </w:rPr>
        <w:t> </w:t>
      </w:r>
      <w:r>
        <w:rPr>
          <w:sz w:val="24"/>
        </w:rPr>
        <w:t>to</w:t>
      </w:r>
      <w:r>
        <w:rPr>
          <w:spacing w:val="-4"/>
          <w:sz w:val="24"/>
        </w:rPr>
        <w:t> </w:t>
      </w:r>
      <w:r>
        <w:rPr>
          <w:sz w:val="24"/>
        </w:rPr>
        <w:t>achieve</w:t>
      </w:r>
      <w:r>
        <w:rPr>
          <w:spacing w:val="-4"/>
          <w:sz w:val="24"/>
        </w:rPr>
        <w:t> </w:t>
      </w:r>
      <w:r>
        <w:rPr>
          <w:sz w:val="24"/>
        </w:rPr>
        <w:t>the</w:t>
      </w:r>
      <w:r>
        <w:rPr>
          <w:spacing w:val="-4"/>
          <w:sz w:val="24"/>
        </w:rPr>
        <w:t> </w:t>
      </w:r>
      <w:r>
        <w:rPr>
          <w:sz w:val="24"/>
        </w:rPr>
        <w:t>employment</w:t>
      </w:r>
      <w:r>
        <w:rPr>
          <w:spacing w:val="-3"/>
          <w:sz w:val="24"/>
        </w:rPr>
        <w:t> </w:t>
      </w:r>
      <w:r>
        <w:rPr>
          <w:sz w:val="24"/>
        </w:rPr>
        <w:t>outcome specified in their IPE and has a closed case with DRS;</w:t>
      </w:r>
    </w:p>
    <w:p>
      <w:pPr>
        <w:pStyle w:val="ListParagraph"/>
        <w:numPr>
          <w:ilvl w:val="0"/>
          <w:numId w:val="255"/>
        </w:numPr>
        <w:tabs>
          <w:tab w:pos="1217" w:val="left" w:leader="none"/>
        </w:tabs>
        <w:spacing w:line="208" w:lineRule="auto" w:before="240" w:after="0"/>
        <w:ind w:left="791" w:right="853" w:firstLine="0"/>
        <w:jc w:val="left"/>
        <w:rPr>
          <w:sz w:val="24"/>
        </w:rPr>
      </w:pPr>
      <w:r>
        <w:rPr>
          <w:sz w:val="24"/>
        </w:rPr>
        <w:t>Youth received career counseling, and information and referrals from DRS to other Federal and State programs and other resources in the individual's geographic</w:t>
      </w:r>
      <w:r>
        <w:rPr>
          <w:spacing w:val="-3"/>
          <w:sz w:val="24"/>
        </w:rPr>
        <w:t> </w:t>
      </w:r>
      <w:r>
        <w:rPr>
          <w:sz w:val="24"/>
        </w:rPr>
        <w:t>area</w:t>
      </w:r>
      <w:r>
        <w:rPr>
          <w:spacing w:val="-4"/>
          <w:sz w:val="24"/>
        </w:rPr>
        <w:t> </w:t>
      </w:r>
      <w:r>
        <w:rPr>
          <w:sz w:val="24"/>
        </w:rPr>
        <w:t>that</w:t>
      </w:r>
      <w:r>
        <w:rPr>
          <w:spacing w:val="-3"/>
          <w:sz w:val="24"/>
        </w:rPr>
        <w:t> </w:t>
      </w:r>
      <w:r>
        <w:rPr>
          <w:sz w:val="24"/>
        </w:rPr>
        <w:t>offer</w:t>
      </w:r>
      <w:r>
        <w:rPr>
          <w:spacing w:val="-3"/>
          <w:sz w:val="24"/>
        </w:rPr>
        <w:t> </w:t>
      </w:r>
      <w:r>
        <w:rPr>
          <w:sz w:val="24"/>
        </w:rPr>
        <w:t>employment-related</w:t>
      </w:r>
      <w:r>
        <w:rPr>
          <w:spacing w:val="-4"/>
          <w:sz w:val="24"/>
        </w:rPr>
        <w:t> </w:t>
      </w:r>
      <w:r>
        <w:rPr>
          <w:sz w:val="24"/>
        </w:rPr>
        <w:t>services</w:t>
      </w:r>
      <w:r>
        <w:rPr>
          <w:spacing w:val="-4"/>
          <w:sz w:val="24"/>
        </w:rPr>
        <w:t> </w:t>
      </w:r>
      <w:r>
        <w:rPr>
          <w:sz w:val="24"/>
        </w:rPr>
        <w:t>and</w:t>
      </w:r>
      <w:r>
        <w:rPr>
          <w:spacing w:val="-4"/>
          <w:sz w:val="24"/>
        </w:rPr>
        <w:t> </w:t>
      </w:r>
      <w:r>
        <w:rPr>
          <w:sz w:val="24"/>
        </w:rPr>
        <w:t>supports</w:t>
      </w:r>
      <w:r>
        <w:rPr>
          <w:spacing w:val="-4"/>
          <w:sz w:val="24"/>
        </w:rPr>
        <w:t> </w:t>
      </w:r>
      <w:r>
        <w:rPr>
          <w:sz w:val="24"/>
        </w:rPr>
        <w:t>to</w:t>
      </w:r>
      <w:r>
        <w:rPr>
          <w:spacing w:val="-5"/>
          <w:sz w:val="24"/>
        </w:rPr>
        <w:t> </w:t>
      </w:r>
      <w:r>
        <w:rPr>
          <w:sz w:val="24"/>
        </w:rPr>
        <w:t>enable</w:t>
      </w:r>
      <w:r>
        <w:rPr>
          <w:spacing w:val="-4"/>
          <w:sz w:val="24"/>
        </w:rPr>
        <w:t> </w:t>
      </w:r>
      <w:r>
        <w:rPr>
          <w:sz w:val="24"/>
        </w:rPr>
        <w:t>the individual to explore, discover, experience, and attain competitive integrated </w:t>
      </w:r>
      <w:r>
        <w:rPr>
          <w:spacing w:val="-2"/>
          <w:sz w:val="24"/>
        </w:rPr>
        <w:t>employment.</w:t>
      </w:r>
    </w:p>
    <w:p>
      <w:pPr>
        <w:spacing w:line="237" w:lineRule="exact" w:before="243"/>
        <w:ind w:left="360" w:right="0" w:firstLine="0"/>
        <w:jc w:val="left"/>
        <w:rPr>
          <w:sz w:val="22"/>
        </w:rPr>
      </w:pPr>
      <w:r>
        <w:rPr>
          <w:sz w:val="22"/>
        </w:rPr>
        <w:t>Section</w:t>
      </w:r>
      <w:r>
        <w:rPr>
          <w:spacing w:val="-9"/>
          <w:sz w:val="22"/>
        </w:rPr>
        <w:t> </w:t>
      </w:r>
      <w:r>
        <w:rPr>
          <w:spacing w:val="-2"/>
          <w:sz w:val="22"/>
        </w:rPr>
        <w:t>History</w:t>
      </w:r>
    </w:p>
    <w:p>
      <w:pPr>
        <w:pStyle w:val="BodyText"/>
        <w:tabs>
          <w:tab w:pos="1529" w:val="left" w:leader="none"/>
        </w:tabs>
        <w:spacing w:line="260" w:lineRule="exact" w:before="0"/>
      </w:pPr>
      <w:r>
        <w:rPr>
          <w:spacing w:val="-2"/>
        </w:rPr>
        <w:t>8-11-</w:t>
      </w:r>
      <w:r>
        <w:rPr>
          <w:spacing w:val="-5"/>
        </w:rPr>
        <w:t>19</w:t>
      </w:r>
      <w:r>
        <w:rPr/>
        <w:tab/>
        <w:t>Rule</w:t>
      </w:r>
      <w:r>
        <w:rPr>
          <w:spacing w:val="-5"/>
        </w:rPr>
        <w:t> </w:t>
      </w:r>
      <w:r>
        <w:rPr>
          <w:spacing w:val="-2"/>
        </w:rPr>
        <w:t>implemented.</w:t>
      </w:r>
    </w:p>
    <w:p>
      <w:pPr>
        <w:pStyle w:val="BodyText"/>
        <w:spacing w:after="0" w:line="260" w:lineRule="exact"/>
        <w:sectPr>
          <w:pgSz w:w="12240" w:h="15840"/>
          <w:pgMar w:top="1340" w:bottom="280" w:left="1080" w:right="720"/>
        </w:sectPr>
      </w:pPr>
    </w:p>
    <w:p>
      <w:pPr>
        <w:pStyle w:val="Heading2"/>
      </w:pPr>
      <w:bookmarkStart w:name="612:10-7-242.  Pre-Employment Transition" w:id="234"/>
      <w:bookmarkEnd w:id="234"/>
      <w:r>
        <w:rPr>
          <w:b w:val="0"/>
        </w:rPr>
      </w:r>
      <w:r>
        <w:rPr/>
        <w:t>612:10-7-242.</w:t>
      </w:r>
      <w:r>
        <w:rPr>
          <w:spacing w:val="54"/>
        </w:rPr>
        <w:t> </w:t>
      </w:r>
      <w:r>
        <w:rPr/>
        <w:t>Pre-Employment</w:t>
      </w:r>
      <w:r>
        <w:rPr>
          <w:spacing w:val="-6"/>
        </w:rPr>
        <w:t> </w:t>
      </w:r>
      <w:r>
        <w:rPr/>
        <w:t>Transition</w:t>
      </w:r>
      <w:r>
        <w:rPr>
          <w:spacing w:val="-5"/>
        </w:rPr>
        <w:t> </w:t>
      </w:r>
      <w:r>
        <w:rPr>
          <w:spacing w:val="-2"/>
        </w:rPr>
        <w:t>Services</w:t>
      </w:r>
    </w:p>
    <w:p>
      <w:pPr>
        <w:pStyle w:val="ListParagraph"/>
        <w:numPr>
          <w:ilvl w:val="0"/>
          <w:numId w:val="256"/>
        </w:numPr>
        <w:tabs>
          <w:tab w:pos="786" w:val="left" w:leader="none"/>
        </w:tabs>
        <w:spacing w:line="208" w:lineRule="auto" w:before="233" w:after="0"/>
        <w:ind w:left="360" w:right="1019" w:firstLine="0"/>
        <w:jc w:val="left"/>
        <w:rPr>
          <w:sz w:val="24"/>
        </w:rPr>
      </w:pPr>
      <w:r>
        <w:rPr>
          <w:b/>
          <w:sz w:val="24"/>
        </w:rPr>
        <w:t>Students</w:t>
      </w:r>
      <w:r>
        <w:rPr>
          <w:b/>
          <w:spacing w:val="-4"/>
          <w:sz w:val="24"/>
        </w:rPr>
        <w:t> </w:t>
      </w:r>
      <w:r>
        <w:rPr>
          <w:b/>
          <w:sz w:val="24"/>
        </w:rPr>
        <w:t>with</w:t>
      </w:r>
      <w:r>
        <w:rPr>
          <w:b/>
          <w:spacing w:val="-4"/>
          <w:sz w:val="24"/>
        </w:rPr>
        <w:t> </w:t>
      </w:r>
      <w:r>
        <w:rPr>
          <w:b/>
          <w:sz w:val="24"/>
        </w:rPr>
        <w:t>a</w:t>
      </w:r>
      <w:r>
        <w:rPr>
          <w:b/>
          <w:spacing w:val="-5"/>
          <w:sz w:val="24"/>
        </w:rPr>
        <w:t> </w:t>
      </w:r>
      <w:r>
        <w:rPr>
          <w:b/>
          <w:sz w:val="24"/>
        </w:rPr>
        <w:t>Disability.</w:t>
      </w:r>
      <w:r>
        <w:rPr>
          <w:b/>
          <w:spacing w:val="40"/>
          <w:sz w:val="24"/>
        </w:rPr>
        <w:t> </w:t>
      </w:r>
      <w:r>
        <w:rPr>
          <w:sz w:val="24"/>
        </w:rPr>
        <w:t>Vocational</w:t>
      </w:r>
      <w:r>
        <w:rPr>
          <w:spacing w:val="-3"/>
          <w:sz w:val="24"/>
        </w:rPr>
        <w:t> </w:t>
      </w:r>
      <w:r>
        <w:rPr>
          <w:sz w:val="24"/>
        </w:rPr>
        <w:t>Rehabilitation</w:t>
      </w:r>
      <w:r>
        <w:rPr>
          <w:spacing w:val="-4"/>
          <w:sz w:val="24"/>
        </w:rPr>
        <w:t> </w:t>
      </w:r>
      <w:r>
        <w:rPr>
          <w:sz w:val="24"/>
        </w:rPr>
        <w:t>(VR)</w:t>
      </w:r>
      <w:r>
        <w:rPr>
          <w:spacing w:val="-3"/>
          <w:sz w:val="24"/>
        </w:rPr>
        <w:t> </w:t>
      </w:r>
      <w:r>
        <w:rPr>
          <w:sz w:val="24"/>
        </w:rPr>
        <w:t>must</w:t>
      </w:r>
      <w:r>
        <w:rPr>
          <w:spacing w:val="-3"/>
          <w:sz w:val="24"/>
        </w:rPr>
        <w:t> </w:t>
      </w:r>
      <w:r>
        <w:rPr>
          <w:sz w:val="24"/>
        </w:rPr>
        <w:t>collaborate</w:t>
      </w:r>
      <w:r>
        <w:rPr>
          <w:spacing w:val="-4"/>
          <w:sz w:val="24"/>
        </w:rPr>
        <w:t> </w:t>
      </w:r>
      <w:r>
        <w:rPr>
          <w:sz w:val="24"/>
        </w:rPr>
        <w:t>with local educational agencies (LEAs) to provide, or arrange for the provision of, Pre- employment Transition Services (Pre-ETS) for all students with a disability in need of such services.</w:t>
      </w:r>
    </w:p>
    <w:p>
      <w:pPr>
        <w:pStyle w:val="ListParagraph"/>
        <w:numPr>
          <w:ilvl w:val="1"/>
          <w:numId w:val="256"/>
        </w:numPr>
        <w:tabs>
          <w:tab w:pos="1217" w:val="left" w:leader="none"/>
        </w:tabs>
        <w:spacing w:line="208" w:lineRule="auto" w:before="239" w:after="0"/>
        <w:ind w:left="791" w:right="843" w:firstLine="0"/>
        <w:jc w:val="left"/>
        <w:rPr>
          <w:sz w:val="24"/>
        </w:rPr>
      </w:pPr>
      <w:r>
        <w:rPr>
          <w:sz w:val="24"/>
        </w:rPr>
        <w:t>A</w:t>
      </w:r>
      <w:r>
        <w:rPr>
          <w:spacing w:val="-3"/>
          <w:sz w:val="24"/>
        </w:rPr>
        <w:t> </w:t>
      </w:r>
      <w:r>
        <w:rPr>
          <w:sz w:val="24"/>
        </w:rPr>
        <w:t>"Student</w:t>
      </w:r>
      <w:r>
        <w:rPr>
          <w:spacing w:val="-2"/>
          <w:sz w:val="24"/>
        </w:rPr>
        <w:t> </w:t>
      </w:r>
      <w:r>
        <w:rPr>
          <w:sz w:val="24"/>
        </w:rPr>
        <w:t>with</w:t>
      </w:r>
      <w:r>
        <w:rPr>
          <w:spacing w:val="-3"/>
          <w:sz w:val="24"/>
        </w:rPr>
        <w:t> </w:t>
      </w:r>
      <w:r>
        <w:rPr>
          <w:sz w:val="24"/>
        </w:rPr>
        <w:t>a</w:t>
      </w:r>
      <w:r>
        <w:rPr>
          <w:spacing w:val="-3"/>
          <w:sz w:val="24"/>
        </w:rPr>
        <w:t> </w:t>
      </w:r>
      <w:r>
        <w:rPr>
          <w:sz w:val="24"/>
        </w:rPr>
        <w:t>Disability"</w:t>
      </w:r>
      <w:r>
        <w:rPr>
          <w:spacing w:val="-3"/>
          <w:sz w:val="24"/>
        </w:rPr>
        <w:t> </w:t>
      </w:r>
      <w:r>
        <w:rPr>
          <w:sz w:val="24"/>
        </w:rPr>
        <w:t>as</w:t>
      </w:r>
      <w:r>
        <w:rPr>
          <w:spacing w:val="-3"/>
          <w:sz w:val="24"/>
        </w:rPr>
        <w:t> </w:t>
      </w:r>
      <w:r>
        <w:rPr>
          <w:sz w:val="24"/>
        </w:rPr>
        <w:t>defined</w:t>
      </w:r>
      <w:r>
        <w:rPr>
          <w:spacing w:val="-3"/>
          <w:sz w:val="24"/>
        </w:rPr>
        <w:t> </w:t>
      </w:r>
      <w:r>
        <w:rPr>
          <w:sz w:val="24"/>
        </w:rPr>
        <w:t>in</w:t>
      </w:r>
      <w:r>
        <w:rPr>
          <w:spacing w:val="-3"/>
          <w:sz w:val="24"/>
        </w:rPr>
        <w:t> </w:t>
      </w:r>
      <w:r>
        <w:rPr>
          <w:sz w:val="24"/>
        </w:rPr>
        <w:t>Oklahoma</w:t>
      </w:r>
      <w:r>
        <w:rPr>
          <w:spacing w:val="-3"/>
          <w:sz w:val="24"/>
        </w:rPr>
        <w:t> </w:t>
      </w:r>
      <w:r>
        <w:rPr>
          <w:sz w:val="24"/>
        </w:rPr>
        <w:t>is</w:t>
      </w:r>
      <w:r>
        <w:rPr>
          <w:spacing w:val="-3"/>
          <w:sz w:val="24"/>
        </w:rPr>
        <w:t> </w:t>
      </w:r>
      <w:r>
        <w:rPr>
          <w:sz w:val="24"/>
        </w:rPr>
        <w:t>ages</w:t>
      </w:r>
      <w:r>
        <w:rPr>
          <w:spacing w:val="-3"/>
          <w:sz w:val="24"/>
        </w:rPr>
        <w:t> </w:t>
      </w:r>
      <w:r>
        <w:rPr>
          <w:sz w:val="24"/>
        </w:rPr>
        <w:t>16</w:t>
      </w:r>
      <w:r>
        <w:rPr>
          <w:spacing w:val="-3"/>
          <w:sz w:val="24"/>
        </w:rPr>
        <w:t> </w:t>
      </w:r>
      <w:r>
        <w:rPr>
          <w:sz w:val="24"/>
        </w:rPr>
        <w:t>through</w:t>
      </w:r>
      <w:r>
        <w:rPr>
          <w:spacing w:val="-3"/>
          <w:sz w:val="24"/>
        </w:rPr>
        <w:t> </w:t>
      </w:r>
      <w:r>
        <w:rPr>
          <w:sz w:val="24"/>
        </w:rPr>
        <w:t>21</w:t>
      </w:r>
      <w:r>
        <w:rPr>
          <w:spacing w:val="-3"/>
          <w:sz w:val="24"/>
        </w:rPr>
        <w:t> </w:t>
      </w:r>
      <w:r>
        <w:rPr>
          <w:sz w:val="24"/>
        </w:rPr>
        <w:t>and eligible for and receiving special education or related services under an Individualized Education Program (IEP); or an individual with a disability for purposes of Section 504 (individual does not need to have a 504 plan to meet the definition requirements).</w:t>
      </w:r>
    </w:p>
    <w:p>
      <w:pPr>
        <w:pStyle w:val="ListParagraph"/>
        <w:numPr>
          <w:ilvl w:val="1"/>
          <w:numId w:val="256"/>
        </w:numPr>
        <w:tabs>
          <w:tab w:pos="1217" w:val="left" w:leader="none"/>
        </w:tabs>
        <w:spacing w:line="208" w:lineRule="auto" w:before="240" w:after="0"/>
        <w:ind w:left="791" w:right="1152" w:firstLine="0"/>
        <w:jc w:val="left"/>
        <w:rPr>
          <w:sz w:val="24"/>
        </w:rPr>
      </w:pPr>
      <w:r>
        <w:rPr>
          <w:sz w:val="24"/>
        </w:rPr>
        <w:t>An</w:t>
      </w:r>
      <w:r>
        <w:rPr>
          <w:spacing w:val="-3"/>
          <w:sz w:val="24"/>
        </w:rPr>
        <w:t> </w:t>
      </w:r>
      <w:r>
        <w:rPr>
          <w:sz w:val="24"/>
        </w:rPr>
        <w:t>individual</w:t>
      </w:r>
      <w:r>
        <w:rPr>
          <w:spacing w:val="-3"/>
          <w:sz w:val="24"/>
        </w:rPr>
        <w:t> </w:t>
      </w:r>
      <w:r>
        <w:rPr>
          <w:sz w:val="24"/>
        </w:rPr>
        <w:t>as</w:t>
      </w:r>
      <w:r>
        <w:rPr>
          <w:spacing w:val="-3"/>
          <w:sz w:val="24"/>
        </w:rPr>
        <w:t> </w:t>
      </w:r>
      <w:r>
        <w:rPr>
          <w:sz w:val="24"/>
        </w:rPr>
        <w:t>young</w:t>
      </w:r>
      <w:r>
        <w:rPr>
          <w:spacing w:val="-3"/>
          <w:sz w:val="24"/>
        </w:rPr>
        <w:t> </w:t>
      </w:r>
      <w:r>
        <w:rPr>
          <w:sz w:val="24"/>
        </w:rPr>
        <w:t>as</w:t>
      </w:r>
      <w:r>
        <w:rPr>
          <w:spacing w:val="-3"/>
          <w:sz w:val="24"/>
        </w:rPr>
        <w:t> </w:t>
      </w:r>
      <w:r>
        <w:rPr>
          <w:sz w:val="24"/>
        </w:rPr>
        <w:t>14</w:t>
      </w:r>
      <w:r>
        <w:rPr>
          <w:spacing w:val="-2"/>
          <w:sz w:val="24"/>
        </w:rPr>
        <w:t> </w:t>
      </w:r>
      <w:r>
        <w:rPr>
          <w:sz w:val="24"/>
        </w:rPr>
        <w:t>years</w:t>
      </w:r>
      <w:r>
        <w:rPr>
          <w:spacing w:val="-3"/>
          <w:sz w:val="24"/>
        </w:rPr>
        <w:t> </w:t>
      </w:r>
      <w:r>
        <w:rPr>
          <w:sz w:val="24"/>
        </w:rPr>
        <w:t>old</w:t>
      </w:r>
      <w:r>
        <w:rPr>
          <w:spacing w:val="-3"/>
          <w:sz w:val="24"/>
        </w:rPr>
        <w:t> </w:t>
      </w:r>
      <w:r>
        <w:rPr>
          <w:sz w:val="24"/>
        </w:rPr>
        <w:t>may</w:t>
      </w:r>
      <w:r>
        <w:rPr>
          <w:spacing w:val="-3"/>
          <w:sz w:val="24"/>
        </w:rPr>
        <w:t> </w:t>
      </w:r>
      <w:r>
        <w:rPr>
          <w:sz w:val="24"/>
        </w:rPr>
        <w:t>be</w:t>
      </w:r>
      <w:r>
        <w:rPr>
          <w:spacing w:val="-3"/>
          <w:sz w:val="24"/>
        </w:rPr>
        <w:t> </w:t>
      </w:r>
      <w:r>
        <w:rPr>
          <w:sz w:val="24"/>
        </w:rPr>
        <w:t>considered</w:t>
      </w:r>
      <w:r>
        <w:rPr>
          <w:spacing w:val="-3"/>
          <w:sz w:val="24"/>
        </w:rPr>
        <w:t> </w:t>
      </w:r>
      <w:r>
        <w:rPr>
          <w:sz w:val="24"/>
        </w:rPr>
        <w:t>a</w:t>
      </w:r>
      <w:r>
        <w:rPr>
          <w:spacing w:val="-2"/>
          <w:sz w:val="24"/>
        </w:rPr>
        <w:t> </w:t>
      </w:r>
      <w:r>
        <w:rPr>
          <w:sz w:val="24"/>
        </w:rPr>
        <w:t>"Student</w:t>
      </w:r>
      <w:r>
        <w:rPr>
          <w:spacing w:val="-2"/>
          <w:sz w:val="24"/>
        </w:rPr>
        <w:t> </w:t>
      </w:r>
      <w:r>
        <w:rPr>
          <w:sz w:val="24"/>
        </w:rPr>
        <w:t>with</w:t>
      </w:r>
      <w:r>
        <w:rPr>
          <w:spacing w:val="-3"/>
          <w:sz w:val="24"/>
        </w:rPr>
        <w:t> </w:t>
      </w:r>
      <w:r>
        <w:rPr>
          <w:sz w:val="24"/>
        </w:rPr>
        <w:t>a Disability" if Pre-ETS is determined necessary by the IEP team.</w:t>
      </w:r>
    </w:p>
    <w:p>
      <w:pPr>
        <w:pStyle w:val="ListParagraph"/>
        <w:numPr>
          <w:ilvl w:val="1"/>
          <w:numId w:val="256"/>
        </w:numPr>
        <w:tabs>
          <w:tab w:pos="1217" w:val="left" w:leader="none"/>
        </w:tabs>
        <w:spacing w:line="208" w:lineRule="auto" w:before="240" w:after="0"/>
        <w:ind w:left="791" w:right="909" w:firstLine="0"/>
        <w:jc w:val="left"/>
        <w:rPr>
          <w:sz w:val="24"/>
        </w:rPr>
      </w:pPr>
      <w:r>
        <w:rPr>
          <w:sz w:val="24"/>
        </w:rPr>
        <w:t>The definition of "Student with a Disability" applies to all students enrolled in educational programs, including postsecondary education programs or other recognized</w:t>
      </w:r>
      <w:r>
        <w:rPr>
          <w:spacing w:val="-3"/>
          <w:sz w:val="24"/>
        </w:rPr>
        <w:t> </w:t>
      </w:r>
      <w:r>
        <w:rPr>
          <w:sz w:val="24"/>
        </w:rPr>
        <w:t>education</w:t>
      </w:r>
      <w:r>
        <w:rPr>
          <w:spacing w:val="-4"/>
          <w:sz w:val="24"/>
        </w:rPr>
        <w:t> </w:t>
      </w:r>
      <w:r>
        <w:rPr>
          <w:sz w:val="24"/>
        </w:rPr>
        <w:t>programs,</w:t>
      </w:r>
      <w:r>
        <w:rPr>
          <w:spacing w:val="-5"/>
          <w:sz w:val="24"/>
        </w:rPr>
        <w:t> </w:t>
      </w:r>
      <w:r>
        <w:rPr>
          <w:sz w:val="24"/>
        </w:rPr>
        <w:t>so</w:t>
      </w:r>
      <w:r>
        <w:rPr>
          <w:spacing w:val="-4"/>
          <w:sz w:val="24"/>
        </w:rPr>
        <w:t> </w:t>
      </w:r>
      <w:r>
        <w:rPr>
          <w:sz w:val="24"/>
        </w:rPr>
        <w:t>long</w:t>
      </w:r>
      <w:r>
        <w:rPr>
          <w:spacing w:val="-4"/>
          <w:sz w:val="24"/>
        </w:rPr>
        <w:t> </w:t>
      </w:r>
      <w:r>
        <w:rPr>
          <w:sz w:val="24"/>
        </w:rPr>
        <w:t>as</w:t>
      </w:r>
      <w:r>
        <w:rPr>
          <w:spacing w:val="-4"/>
          <w:sz w:val="24"/>
        </w:rPr>
        <w:t> </w:t>
      </w:r>
      <w:r>
        <w:rPr>
          <w:sz w:val="24"/>
        </w:rPr>
        <w:t>they</w:t>
      </w:r>
      <w:r>
        <w:rPr>
          <w:spacing w:val="-4"/>
          <w:sz w:val="24"/>
        </w:rPr>
        <w:t> </w:t>
      </w:r>
      <w:r>
        <w:rPr>
          <w:sz w:val="24"/>
        </w:rPr>
        <w:t>satisfy</w:t>
      </w:r>
      <w:r>
        <w:rPr>
          <w:spacing w:val="-5"/>
          <w:sz w:val="24"/>
        </w:rPr>
        <w:t> </w:t>
      </w:r>
      <w:r>
        <w:rPr>
          <w:sz w:val="24"/>
        </w:rPr>
        <w:t>the</w:t>
      </w:r>
      <w:r>
        <w:rPr>
          <w:spacing w:val="-4"/>
          <w:sz w:val="24"/>
        </w:rPr>
        <w:t> </w:t>
      </w:r>
      <w:r>
        <w:rPr>
          <w:sz w:val="24"/>
        </w:rPr>
        <w:t>age</w:t>
      </w:r>
      <w:r>
        <w:rPr>
          <w:spacing w:val="-4"/>
          <w:sz w:val="24"/>
        </w:rPr>
        <w:t> </w:t>
      </w:r>
      <w:r>
        <w:rPr>
          <w:sz w:val="24"/>
        </w:rPr>
        <w:t>requirements.</w:t>
      </w:r>
      <w:r>
        <w:rPr>
          <w:spacing w:val="-5"/>
          <w:sz w:val="24"/>
        </w:rPr>
        <w:t> </w:t>
      </w:r>
      <w:r>
        <w:rPr>
          <w:sz w:val="24"/>
        </w:rPr>
        <w:t>The definition is inclusive of secondary students who are homeschooled, as well as students in other non-traditional secondary educational programs.</w:t>
      </w:r>
    </w:p>
    <w:p>
      <w:pPr>
        <w:pStyle w:val="ListParagraph"/>
        <w:numPr>
          <w:ilvl w:val="1"/>
          <w:numId w:val="256"/>
        </w:numPr>
        <w:tabs>
          <w:tab w:pos="1217" w:val="left" w:leader="none"/>
        </w:tabs>
        <w:spacing w:line="208" w:lineRule="auto" w:before="239" w:after="0"/>
        <w:ind w:left="791" w:right="1173" w:firstLine="0"/>
        <w:jc w:val="left"/>
        <w:rPr>
          <w:sz w:val="24"/>
        </w:rPr>
      </w:pPr>
      <w:r>
        <w:rPr>
          <w:sz w:val="24"/>
        </w:rPr>
        <w:t>A student with a disability receiving pre-employment transition services is a client</w:t>
      </w:r>
      <w:r>
        <w:rPr>
          <w:spacing w:val="-2"/>
          <w:sz w:val="24"/>
        </w:rPr>
        <w:t> </w:t>
      </w:r>
      <w:r>
        <w:rPr>
          <w:sz w:val="24"/>
        </w:rPr>
        <w:t>for</w:t>
      </w:r>
      <w:r>
        <w:rPr>
          <w:spacing w:val="-2"/>
          <w:sz w:val="24"/>
        </w:rPr>
        <w:t> </w:t>
      </w:r>
      <w:r>
        <w:rPr>
          <w:sz w:val="24"/>
        </w:rPr>
        <w:t>whom</w:t>
      </w:r>
      <w:r>
        <w:rPr>
          <w:spacing w:val="-2"/>
          <w:sz w:val="24"/>
        </w:rPr>
        <w:t> </w:t>
      </w:r>
      <w:r>
        <w:rPr>
          <w:sz w:val="24"/>
        </w:rPr>
        <w:t>goods</w:t>
      </w:r>
      <w:r>
        <w:rPr>
          <w:spacing w:val="-2"/>
          <w:sz w:val="24"/>
        </w:rPr>
        <w:t> </w:t>
      </w:r>
      <w:r>
        <w:rPr>
          <w:sz w:val="24"/>
        </w:rPr>
        <w:t>and</w:t>
      </w:r>
      <w:r>
        <w:rPr>
          <w:spacing w:val="-3"/>
          <w:sz w:val="24"/>
        </w:rPr>
        <w:t> </w:t>
      </w:r>
      <w:r>
        <w:rPr>
          <w:sz w:val="24"/>
        </w:rPr>
        <w:t>services</w:t>
      </w:r>
      <w:r>
        <w:rPr>
          <w:spacing w:val="-3"/>
          <w:sz w:val="24"/>
        </w:rPr>
        <w:t> </w:t>
      </w:r>
      <w:r>
        <w:rPr>
          <w:sz w:val="24"/>
        </w:rPr>
        <w:t>may</w:t>
      </w:r>
      <w:r>
        <w:rPr>
          <w:spacing w:val="-3"/>
          <w:sz w:val="24"/>
        </w:rPr>
        <w:t> </w:t>
      </w:r>
      <w:r>
        <w:rPr>
          <w:sz w:val="24"/>
        </w:rPr>
        <w:t>be</w:t>
      </w:r>
      <w:r>
        <w:rPr>
          <w:spacing w:val="-4"/>
          <w:sz w:val="24"/>
        </w:rPr>
        <w:t> </w:t>
      </w:r>
      <w:r>
        <w:rPr>
          <w:sz w:val="24"/>
        </w:rPr>
        <w:t>procured</w:t>
      </w:r>
      <w:r>
        <w:rPr>
          <w:spacing w:val="-3"/>
          <w:sz w:val="24"/>
        </w:rPr>
        <w:t> </w:t>
      </w:r>
      <w:r>
        <w:rPr>
          <w:sz w:val="24"/>
        </w:rPr>
        <w:t>in</w:t>
      </w:r>
      <w:r>
        <w:rPr>
          <w:spacing w:val="-2"/>
          <w:sz w:val="24"/>
        </w:rPr>
        <w:t> </w:t>
      </w:r>
      <w:r>
        <w:rPr>
          <w:sz w:val="24"/>
        </w:rPr>
        <w:t>the</w:t>
      </w:r>
      <w:r>
        <w:rPr>
          <w:spacing w:val="-3"/>
          <w:sz w:val="24"/>
        </w:rPr>
        <w:t> </w:t>
      </w:r>
      <w:r>
        <w:rPr>
          <w:sz w:val="24"/>
        </w:rPr>
        <w:t>same</w:t>
      </w:r>
      <w:r>
        <w:rPr>
          <w:spacing w:val="-4"/>
          <w:sz w:val="24"/>
        </w:rPr>
        <w:t> </w:t>
      </w:r>
      <w:r>
        <w:rPr>
          <w:sz w:val="24"/>
        </w:rPr>
        <w:t>manner</w:t>
      </w:r>
      <w:r>
        <w:rPr>
          <w:spacing w:val="-2"/>
          <w:sz w:val="24"/>
        </w:rPr>
        <w:t> </w:t>
      </w:r>
      <w:r>
        <w:rPr>
          <w:sz w:val="24"/>
        </w:rPr>
        <w:t>as</w:t>
      </w:r>
      <w:r>
        <w:rPr>
          <w:spacing w:val="-4"/>
          <w:sz w:val="24"/>
        </w:rPr>
        <w:t> </w:t>
      </w:r>
      <w:r>
        <w:rPr>
          <w:sz w:val="24"/>
        </w:rPr>
        <w:t>for clients with an approved Individualized Plan for Employment.</w:t>
      </w:r>
    </w:p>
    <w:p>
      <w:pPr>
        <w:pStyle w:val="ListParagraph"/>
        <w:numPr>
          <w:ilvl w:val="1"/>
          <w:numId w:val="256"/>
        </w:numPr>
        <w:tabs>
          <w:tab w:pos="1217" w:val="left" w:leader="none"/>
        </w:tabs>
        <w:spacing w:line="208" w:lineRule="auto" w:before="240" w:after="0"/>
        <w:ind w:left="791" w:right="733" w:firstLine="0"/>
        <w:jc w:val="left"/>
        <w:rPr>
          <w:sz w:val="24"/>
        </w:rPr>
      </w:pPr>
      <w:r>
        <w:rPr>
          <w:sz w:val="24"/>
        </w:rPr>
        <w:t>Students</w:t>
      </w:r>
      <w:r>
        <w:rPr>
          <w:spacing w:val="-3"/>
          <w:sz w:val="24"/>
        </w:rPr>
        <w:t> </w:t>
      </w:r>
      <w:r>
        <w:rPr>
          <w:sz w:val="24"/>
        </w:rPr>
        <w:t>with</w:t>
      </w:r>
      <w:r>
        <w:rPr>
          <w:spacing w:val="-3"/>
          <w:sz w:val="24"/>
        </w:rPr>
        <w:t> </w:t>
      </w:r>
      <w:r>
        <w:rPr>
          <w:sz w:val="24"/>
        </w:rPr>
        <w:t>disabilities</w:t>
      </w:r>
      <w:r>
        <w:rPr>
          <w:spacing w:val="-3"/>
          <w:sz w:val="24"/>
        </w:rPr>
        <w:t> </w:t>
      </w:r>
      <w:r>
        <w:rPr>
          <w:sz w:val="24"/>
        </w:rPr>
        <w:t>do</w:t>
      </w:r>
      <w:r>
        <w:rPr>
          <w:spacing w:val="-3"/>
          <w:sz w:val="24"/>
        </w:rPr>
        <w:t> </w:t>
      </w:r>
      <w:r>
        <w:rPr>
          <w:sz w:val="24"/>
        </w:rPr>
        <w:t>not</w:t>
      </w:r>
      <w:r>
        <w:rPr>
          <w:spacing w:val="-2"/>
          <w:sz w:val="24"/>
        </w:rPr>
        <w:t> </w:t>
      </w:r>
      <w:r>
        <w:rPr>
          <w:sz w:val="24"/>
        </w:rPr>
        <w:t>need</w:t>
      </w:r>
      <w:r>
        <w:rPr>
          <w:spacing w:val="-3"/>
          <w:sz w:val="24"/>
        </w:rPr>
        <w:t> </w:t>
      </w:r>
      <w:r>
        <w:rPr>
          <w:sz w:val="24"/>
        </w:rPr>
        <w:t>to</w:t>
      </w:r>
      <w:r>
        <w:rPr>
          <w:spacing w:val="-4"/>
          <w:sz w:val="24"/>
        </w:rPr>
        <w:t> </w:t>
      </w:r>
      <w:r>
        <w:rPr>
          <w:sz w:val="24"/>
        </w:rPr>
        <w:t>apply</w:t>
      </w:r>
      <w:r>
        <w:rPr>
          <w:spacing w:val="-3"/>
          <w:sz w:val="24"/>
        </w:rPr>
        <w:t> </w:t>
      </w:r>
      <w:r>
        <w:rPr>
          <w:sz w:val="24"/>
        </w:rPr>
        <w:t>and</w:t>
      </w:r>
      <w:r>
        <w:rPr>
          <w:spacing w:val="-2"/>
          <w:sz w:val="24"/>
        </w:rPr>
        <w:t> </w:t>
      </w:r>
      <w:r>
        <w:rPr>
          <w:sz w:val="24"/>
        </w:rPr>
        <w:t>be</w:t>
      </w:r>
      <w:r>
        <w:rPr>
          <w:spacing w:val="-3"/>
          <w:sz w:val="24"/>
        </w:rPr>
        <w:t> </w:t>
      </w:r>
      <w:r>
        <w:rPr>
          <w:sz w:val="24"/>
        </w:rPr>
        <w:t>determined</w:t>
      </w:r>
      <w:r>
        <w:rPr>
          <w:spacing w:val="-3"/>
          <w:sz w:val="24"/>
        </w:rPr>
        <w:t> </w:t>
      </w:r>
      <w:r>
        <w:rPr>
          <w:sz w:val="24"/>
        </w:rPr>
        <w:t>eligible</w:t>
      </w:r>
      <w:r>
        <w:rPr>
          <w:spacing w:val="-2"/>
          <w:sz w:val="24"/>
        </w:rPr>
        <w:t> </w:t>
      </w:r>
      <w:r>
        <w:rPr>
          <w:sz w:val="24"/>
        </w:rPr>
        <w:t>for</w:t>
      </w:r>
      <w:r>
        <w:rPr>
          <w:spacing w:val="-4"/>
          <w:sz w:val="24"/>
        </w:rPr>
        <w:t> </w:t>
      </w:r>
      <w:r>
        <w:rPr>
          <w:sz w:val="24"/>
        </w:rPr>
        <w:t>the VR program to receive pre-employment transition services. However, these students may not receive any VR services other than pre-employment transition services until they apply, and are determined eligible, for VR services, and have an approved IPE.</w:t>
      </w:r>
    </w:p>
    <w:p>
      <w:pPr>
        <w:pStyle w:val="ListParagraph"/>
        <w:numPr>
          <w:ilvl w:val="1"/>
          <w:numId w:val="256"/>
        </w:numPr>
        <w:tabs>
          <w:tab w:pos="1217" w:val="left" w:leader="none"/>
        </w:tabs>
        <w:spacing w:line="208" w:lineRule="auto" w:before="239" w:after="0"/>
        <w:ind w:left="791" w:right="802" w:firstLine="0"/>
        <w:jc w:val="left"/>
        <w:rPr>
          <w:sz w:val="24"/>
        </w:rPr>
      </w:pPr>
      <w:r>
        <w:rPr>
          <w:sz w:val="24"/>
        </w:rPr>
        <w:t>Eligible students with disabilities, that is, those students who have applied and been determined eligible for the VR program, are able to receive any VR services, including</w:t>
      </w:r>
      <w:r>
        <w:rPr>
          <w:spacing w:val="-5"/>
          <w:sz w:val="24"/>
        </w:rPr>
        <w:t> </w:t>
      </w:r>
      <w:r>
        <w:rPr>
          <w:sz w:val="24"/>
        </w:rPr>
        <w:t>pre-employment</w:t>
      </w:r>
      <w:r>
        <w:rPr>
          <w:spacing w:val="-4"/>
          <w:sz w:val="24"/>
        </w:rPr>
        <w:t> </w:t>
      </w:r>
      <w:r>
        <w:rPr>
          <w:sz w:val="24"/>
        </w:rPr>
        <w:t>transition</w:t>
      </w:r>
      <w:r>
        <w:rPr>
          <w:spacing w:val="-5"/>
          <w:sz w:val="24"/>
        </w:rPr>
        <w:t> </w:t>
      </w:r>
      <w:r>
        <w:rPr>
          <w:sz w:val="24"/>
        </w:rPr>
        <w:t>services,</w:t>
      </w:r>
      <w:r>
        <w:rPr>
          <w:spacing w:val="-4"/>
          <w:sz w:val="24"/>
        </w:rPr>
        <w:t> </w:t>
      </w:r>
      <w:r>
        <w:rPr>
          <w:sz w:val="24"/>
        </w:rPr>
        <w:t>necessary</w:t>
      </w:r>
      <w:r>
        <w:rPr>
          <w:spacing w:val="-5"/>
          <w:sz w:val="24"/>
        </w:rPr>
        <w:t> </w:t>
      </w:r>
      <w:r>
        <w:rPr>
          <w:sz w:val="24"/>
        </w:rPr>
        <w:t>to</w:t>
      </w:r>
      <w:r>
        <w:rPr>
          <w:spacing w:val="-5"/>
          <w:sz w:val="24"/>
        </w:rPr>
        <w:t> </w:t>
      </w:r>
      <w:r>
        <w:rPr>
          <w:sz w:val="24"/>
        </w:rPr>
        <w:t>assist</w:t>
      </w:r>
      <w:r>
        <w:rPr>
          <w:spacing w:val="-6"/>
          <w:sz w:val="24"/>
        </w:rPr>
        <w:t> </w:t>
      </w:r>
      <w:r>
        <w:rPr>
          <w:sz w:val="24"/>
        </w:rPr>
        <w:t>them</w:t>
      </w:r>
      <w:r>
        <w:rPr>
          <w:spacing w:val="-4"/>
          <w:sz w:val="24"/>
        </w:rPr>
        <w:t> </w:t>
      </w:r>
      <w:r>
        <w:rPr>
          <w:sz w:val="24"/>
        </w:rPr>
        <w:t>in</w:t>
      </w:r>
      <w:r>
        <w:rPr>
          <w:spacing w:val="-5"/>
          <w:sz w:val="24"/>
        </w:rPr>
        <w:t> </w:t>
      </w:r>
      <w:r>
        <w:rPr>
          <w:sz w:val="24"/>
        </w:rPr>
        <w:t>achieving their employment outcome, so long as those services are identified on their IPEs.</w:t>
      </w:r>
    </w:p>
    <w:p>
      <w:pPr>
        <w:pStyle w:val="ListParagraph"/>
        <w:numPr>
          <w:ilvl w:val="0"/>
          <w:numId w:val="256"/>
        </w:numPr>
        <w:tabs>
          <w:tab w:pos="785" w:val="left" w:leader="none"/>
        </w:tabs>
        <w:spacing w:line="208" w:lineRule="auto" w:before="240" w:after="0"/>
        <w:ind w:left="359" w:right="816" w:firstLine="0"/>
        <w:jc w:val="left"/>
        <w:rPr>
          <w:sz w:val="24"/>
        </w:rPr>
      </w:pPr>
      <w:r>
        <w:rPr>
          <w:b/>
          <w:sz w:val="24"/>
        </w:rPr>
        <w:t>Required</w:t>
      </w:r>
      <w:r>
        <w:rPr>
          <w:b/>
          <w:spacing w:val="-3"/>
          <w:sz w:val="24"/>
        </w:rPr>
        <w:t> </w:t>
      </w:r>
      <w:r>
        <w:rPr>
          <w:b/>
          <w:sz w:val="24"/>
        </w:rPr>
        <w:t>Activities.</w:t>
      </w:r>
      <w:r>
        <w:rPr>
          <w:b/>
          <w:spacing w:val="40"/>
          <w:sz w:val="24"/>
        </w:rPr>
        <w:t> </w:t>
      </w:r>
      <w:r>
        <w:rPr>
          <w:sz w:val="24"/>
        </w:rPr>
        <w:t>Services</w:t>
      </w:r>
      <w:r>
        <w:rPr>
          <w:spacing w:val="-3"/>
          <w:sz w:val="24"/>
        </w:rPr>
        <w:t> </w:t>
      </w:r>
      <w:r>
        <w:rPr>
          <w:sz w:val="24"/>
        </w:rPr>
        <w:t>may</w:t>
      </w:r>
      <w:r>
        <w:rPr>
          <w:spacing w:val="-3"/>
          <w:sz w:val="24"/>
        </w:rPr>
        <w:t> </w:t>
      </w:r>
      <w:r>
        <w:rPr>
          <w:sz w:val="24"/>
        </w:rPr>
        <w:t>be</w:t>
      </w:r>
      <w:r>
        <w:rPr>
          <w:spacing w:val="-4"/>
          <w:sz w:val="24"/>
        </w:rPr>
        <w:t> </w:t>
      </w:r>
      <w:r>
        <w:rPr>
          <w:sz w:val="24"/>
        </w:rPr>
        <w:t>provided</w:t>
      </w:r>
      <w:r>
        <w:rPr>
          <w:spacing w:val="-3"/>
          <w:sz w:val="24"/>
        </w:rPr>
        <w:t> </w:t>
      </w:r>
      <w:r>
        <w:rPr>
          <w:sz w:val="24"/>
        </w:rPr>
        <w:t>to</w:t>
      </w:r>
      <w:r>
        <w:rPr>
          <w:spacing w:val="-2"/>
          <w:sz w:val="24"/>
        </w:rPr>
        <w:t> </w:t>
      </w:r>
      <w:r>
        <w:rPr>
          <w:sz w:val="24"/>
        </w:rPr>
        <w:t>students,</w:t>
      </w:r>
      <w:r>
        <w:rPr>
          <w:spacing w:val="-4"/>
          <w:sz w:val="24"/>
        </w:rPr>
        <w:t> </w:t>
      </w:r>
      <w:r>
        <w:rPr>
          <w:sz w:val="24"/>
        </w:rPr>
        <w:t>or</w:t>
      </w:r>
      <w:r>
        <w:rPr>
          <w:spacing w:val="-2"/>
          <w:sz w:val="24"/>
        </w:rPr>
        <w:t> </w:t>
      </w:r>
      <w:r>
        <w:rPr>
          <w:sz w:val="24"/>
        </w:rPr>
        <w:t>groups</w:t>
      </w:r>
      <w:r>
        <w:rPr>
          <w:spacing w:val="-3"/>
          <w:sz w:val="24"/>
        </w:rPr>
        <w:t> </w:t>
      </w:r>
      <w:r>
        <w:rPr>
          <w:sz w:val="24"/>
        </w:rPr>
        <w:t>of</w:t>
      </w:r>
      <w:r>
        <w:rPr>
          <w:spacing w:val="-2"/>
          <w:sz w:val="24"/>
        </w:rPr>
        <w:t> </w:t>
      </w:r>
      <w:r>
        <w:rPr>
          <w:sz w:val="24"/>
        </w:rPr>
        <w:t>students, with disabilities who are eligible or potentially eligible for VR services in the following areas. The following pre-employment transition services represent the earliest set of services available for students with disabilities under the VR program. These are short- term services designed to help students identify career interests:</w:t>
      </w:r>
    </w:p>
    <w:p>
      <w:pPr>
        <w:pStyle w:val="ListParagraph"/>
        <w:numPr>
          <w:ilvl w:val="1"/>
          <w:numId w:val="256"/>
        </w:numPr>
        <w:tabs>
          <w:tab w:pos="1217" w:val="left" w:leader="none"/>
        </w:tabs>
        <w:spacing w:line="240" w:lineRule="auto" w:before="210" w:after="0"/>
        <w:ind w:left="1217" w:right="0" w:hanging="426"/>
        <w:jc w:val="left"/>
        <w:rPr>
          <w:sz w:val="24"/>
        </w:rPr>
      </w:pPr>
      <w:r>
        <w:rPr>
          <w:sz w:val="24"/>
        </w:rPr>
        <w:t>Job</w:t>
      </w:r>
      <w:r>
        <w:rPr>
          <w:spacing w:val="-5"/>
          <w:sz w:val="24"/>
        </w:rPr>
        <w:t> </w:t>
      </w:r>
      <w:r>
        <w:rPr>
          <w:sz w:val="24"/>
        </w:rPr>
        <w:t>exploration</w:t>
      </w:r>
      <w:r>
        <w:rPr>
          <w:spacing w:val="-5"/>
          <w:sz w:val="24"/>
        </w:rPr>
        <w:t> </w:t>
      </w:r>
      <w:r>
        <w:rPr>
          <w:spacing w:val="-2"/>
          <w:sz w:val="24"/>
        </w:rPr>
        <w:t>counseling.</w:t>
      </w:r>
    </w:p>
    <w:p>
      <w:pPr>
        <w:pStyle w:val="ListParagraph"/>
        <w:numPr>
          <w:ilvl w:val="1"/>
          <w:numId w:val="256"/>
        </w:numPr>
        <w:tabs>
          <w:tab w:pos="1216" w:val="left" w:leader="none"/>
        </w:tabs>
        <w:spacing w:line="208" w:lineRule="auto" w:before="234" w:after="0"/>
        <w:ind w:left="791" w:right="937" w:firstLine="0"/>
        <w:jc w:val="left"/>
        <w:rPr>
          <w:sz w:val="24"/>
        </w:rPr>
      </w:pPr>
      <w:r>
        <w:rPr>
          <w:sz w:val="24"/>
        </w:rPr>
        <w:t>Work-based</w:t>
      </w:r>
      <w:r>
        <w:rPr>
          <w:spacing w:val="-5"/>
          <w:sz w:val="24"/>
        </w:rPr>
        <w:t> </w:t>
      </w:r>
      <w:r>
        <w:rPr>
          <w:sz w:val="24"/>
        </w:rPr>
        <w:t>learning</w:t>
      </w:r>
      <w:r>
        <w:rPr>
          <w:spacing w:val="-5"/>
          <w:sz w:val="24"/>
        </w:rPr>
        <w:t> </w:t>
      </w:r>
      <w:r>
        <w:rPr>
          <w:sz w:val="24"/>
        </w:rPr>
        <w:t>experiences,</w:t>
      </w:r>
      <w:r>
        <w:rPr>
          <w:spacing w:val="-4"/>
          <w:sz w:val="24"/>
        </w:rPr>
        <w:t> </w:t>
      </w:r>
      <w:r>
        <w:rPr>
          <w:sz w:val="24"/>
        </w:rPr>
        <w:t>which</w:t>
      </w:r>
      <w:r>
        <w:rPr>
          <w:spacing w:val="-5"/>
          <w:sz w:val="24"/>
        </w:rPr>
        <w:t> </w:t>
      </w:r>
      <w:r>
        <w:rPr>
          <w:sz w:val="24"/>
        </w:rPr>
        <w:t>may</w:t>
      </w:r>
      <w:r>
        <w:rPr>
          <w:spacing w:val="-5"/>
          <w:sz w:val="24"/>
        </w:rPr>
        <w:t> </w:t>
      </w:r>
      <w:r>
        <w:rPr>
          <w:sz w:val="24"/>
        </w:rPr>
        <w:t>include</w:t>
      </w:r>
      <w:r>
        <w:rPr>
          <w:spacing w:val="-5"/>
          <w:sz w:val="24"/>
        </w:rPr>
        <w:t> </w:t>
      </w:r>
      <w:r>
        <w:rPr>
          <w:sz w:val="24"/>
        </w:rPr>
        <w:t>in-school</w:t>
      </w:r>
      <w:r>
        <w:rPr>
          <w:spacing w:val="-5"/>
          <w:sz w:val="24"/>
        </w:rPr>
        <w:t> </w:t>
      </w:r>
      <w:r>
        <w:rPr>
          <w:sz w:val="24"/>
        </w:rPr>
        <w:t>or</w:t>
      </w:r>
      <w:r>
        <w:rPr>
          <w:spacing w:val="-4"/>
          <w:sz w:val="24"/>
        </w:rPr>
        <w:t> </w:t>
      </w:r>
      <w:r>
        <w:rPr>
          <w:sz w:val="24"/>
        </w:rPr>
        <w:t>after</w:t>
      </w:r>
      <w:r>
        <w:rPr>
          <w:spacing w:val="-6"/>
          <w:sz w:val="24"/>
        </w:rPr>
        <w:t> </w:t>
      </w:r>
      <w:r>
        <w:rPr>
          <w:sz w:val="24"/>
        </w:rPr>
        <w:t>school opportunities or experience outside the traditional school setting, including internships, that is provided in an integrated environment to the maximum extent </w:t>
      </w:r>
      <w:r>
        <w:rPr>
          <w:spacing w:val="-2"/>
          <w:sz w:val="24"/>
        </w:rPr>
        <w:t>possible.</w:t>
      </w:r>
    </w:p>
    <w:p>
      <w:pPr>
        <w:pStyle w:val="ListParagraph"/>
        <w:numPr>
          <w:ilvl w:val="1"/>
          <w:numId w:val="256"/>
        </w:numPr>
        <w:tabs>
          <w:tab w:pos="1217" w:val="left" w:leader="none"/>
        </w:tabs>
        <w:spacing w:line="208" w:lineRule="auto" w:before="239" w:after="0"/>
        <w:ind w:left="791" w:right="1440" w:firstLine="0"/>
        <w:jc w:val="left"/>
        <w:rPr>
          <w:sz w:val="24"/>
        </w:rPr>
      </w:pPr>
      <w:r>
        <w:rPr>
          <w:sz w:val="24"/>
        </w:rPr>
        <w:t>Counseling</w:t>
      </w:r>
      <w:r>
        <w:rPr>
          <w:spacing w:val="-5"/>
          <w:sz w:val="24"/>
        </w:rPr>
        <w:t> </w:t>
      </w:r>
      <w:r>
        <w:rPr>
          <w:sz w:val="24"/>
        </w:rPr>
        <w:t>on</w:t>
      </w:r>
      <w:r>
        <w:rPr>
          <w:spacing w:val="-5"/>
          <w:sz w:val="24"/>
        </w:rPr>
        <w:t> </w:t>
      </w:r>
      <w:r>
        <w:rPr>
          <w:sz w:val="24"/>
        </w:rPr>
        <w:t>opportunities</w:t>
      </w:r>
      <w:r>
        <w:rPr>
          <w:spacing w:val="-5"/>
          <w:sz w:val="24"/>
        </w:rPr>
        <w:t> </w:t>
      </w:r>
      <w:r>
        <w:rPr>
          <w:sz w:val="24"/>
        </w:rPr>
        <w:t>for</w:t>
      </w:r>
      <w:r>
        <w:rPr>
          <w:spacing w:val="-4"/>
          <w:sz w:val="24"/>
        </w:rPr>
        <w:t> </w:t>
      </w:r>
      <w:r>
        <w:rPr>
          <w:sz w:val="24"/>
        </w:rPr>
        <w:t>enrollment</w:t>
      </w:r>
      <w:r>
        <w:rPr>
          <w:spacing w:val="-4"/>
          <w:sz w:val="24"/>
        </w:rPr>
        <w:t> </w:t>
      </w:r>
      <w:r>
        <w:rPr>
          <w:sz w:val="24"/>
        </w:rPr>
        <w:t>in</w:t>
      </w:r>
      <w:r>
        <w:rPr>
          <w:spacing w:val="-5"/>
          <w:sz w:val="24"/>
        </w:rPr>
        <w:t> </w:t>
      </w:r>
      <w:r>
        <w:rPr>
          <w:sz w:val="24"/>
        </w:rPr>
        <w:t>comprehensive</w:t>
      </w:r>
      <w:r>
        <w:rPr>
          <w:spacing w:val="-4"/>
          <w:sz w:val="24"/>
        </w:rPr>
        <w:t> </w:t>
      </w:r>
      <w:r>
        <w:rPr>
          <w:sz w:val="24"/>
        </w:rPr>
        <w:t>transition</w:t>
      </w:r>
      <w:r>
        <w:rPr>
          <w:spacing w:val="-5"/>
          <w:sz w:val="24"/>
        </w:rPr>
        <w:t> </w:t>
      </w:r>
      <w:r>
        <w:rPr>
          <w:sz w:val="24"/>
        </w:rPr>
        <w:t>or postsecondary educational programs at institutions of higher education.</w:t>
      </w:r>
    </w:p>
    <w:p>
      <w:pPr>
        <w:pStyle w:val="ListParagraph"/>
        <w:numPr>
          <w:ilvl w:val="1"/>
          <w:numId w:val="256"/>
        </w:numPr>
        <w:tabs>
          <w:tab w:pos="1216" w:val="left" w:leader="none"/>
        </w:tabs>
        <w:spacing w:line="240" w:lineRule="auto" w:before="211" w:after="0"/>
        <w:ind w:left="1216" w:right="0" w:hanging="425"/>
        <w:jc w:val="left"/>
        <w:rPr>
          <w:sz w:val="24"/>
        </w:rPr>
      </w:pPr>
      <w:r>
        <w:rPr>
          <w:sz w:val="24"/>
        </w:rPr>
        <w:t>Workplace</w:t>
      </w:r>
      <w:r>
        <w:rPr>
          <w:spacing w:val="-4"/>
          <w:sz w:val="24"/>
        </w:rPr>
        <w:t> </w:t>
      </w:r>
      <w:r>
        <w:rPr>
          <w:sz w:val="24"/>
        </w:rPr>
        <w:t>readiness</w:t>
      </w:r>
      <w:r>
        <w:rPr>
          <w:spacing w:val="-4"/>
          <w:sz w:val="24"/>
        </w:rPr>
        <w:t> </w:t>
      </w:r>
      <w:r>
        <w:rPr>
          <w:sz w:val="24"/>
        </w:rPr>
        <w:t>training</w:t>
      </w:r>
      <w:r>
        <w:rPr>
          <w:spacing w:val="-3"/>
          <w:sz w:val="24"/>
        </w:rPr>
        <w:t> </w:t>
      </w:r>
      <w:r>
        <w:rPr>
          <w:sz w:val="24"/>
        </w:rPr>
        <w:t>to</w:t>
      </w:r>
      <w:r>
        <w:rPr>
          <w:spacing w:val="-4"/>
          <w:sz w:val="24"/>
        </w:rPr>
        <w:t> </w:t>
      </w:r>
      <w:r>
        <w:rPr>
          <w:sz w:val="24"/>
        </w:rPr>
        <w:t>develop</w:t>
      </w:r>
      <w:r>
        <w:rPr>
          <w:spacing w:val="-3"/>
          <w:sz w:val="24"/>
        </w:rPr>
        <w:t> </w:t>
      </w:r>
      <w:r>
        <w:rPr>
          <w:sz w:val="24"/>
        </w:rPr>
        <w:t>social</w:t>
      </w:r>
      <w:r>
        <w:rPr>
          <w:spacing w:val="-4"/>
          <w:sz w:val="24"/>
        </w:rPr>
        <w:t> </w:t>
      </w:r>
      <w:r>
        <w:rPr>
          <w:sz w:val="24"/>
        </w:rPr>
        <w:t>skills</w:t>
      </w:r>
      <w:r>
        <w:rPr>
          <w:spacing w:val="-4"/>
          <w:sz w:val="24"/>
        </w:rPr>
        <w:t> </w:t>
      </w:r>
      <w:r>
        <w:rPr>
          <w:sz w:val="24"/>
        </w:rPr>
        <w:t>and</w:t>
      </w:r>
      <w:r>
        <w:rPr>
          <w:spacing w:val="-4"/>
          <w:sz w:val="24"/>
        </w:rPr>
        <w:t> </w:t>
      </w:r>
      <w:r>
        <w:rPr>
          <w:sz w:val="24"/>
        </w:rPr>
        <w:t>independent</w:t>
      </w:r>
      <w:r>
        <w:rPr>
          <w:spacing w:val="-2"/>
          <w:sz w:val="24"/>
        </w:rPr>
        <w:t> living.</w:t>
      </w:r>
    </w:p>
    <w:p>
      <w:pPr>
        <w:pStyle w:val="ListParagraph"/>
        <w:spacing w:after="0" w:line="240" w:lineRule="auto"/>
        <w:jc w:val="left"/>
        <w:rPr>
          <w:sz w:val="24"/>
        </w:rPr>
        <w:sectPr>
          <w:pgSz w:w="12240" w:h="15840"/>
          <w:pgMar w:top="1340" w:bottom="280" w:left="1080" w:right="720"/>
        </w:sectPr>
      </w:pPr>
    </w:p>
    <w:p>
      <w:pPr>
        <w:pStyle w:val="ListParagraph"/>
        <w:numPr>
          <w:ilvl w:val="1"/>
          <w:numId w:val="256"/>
        </w:numPr>
        <w:tabs>
          <w:tab w:pos="1217" w:val="left" w:leader="none"/>
        </w:tabs>
        <w:spacing w:line="208" w:lineRule="auto" w:before="96" w:after="0"/>
        <w:ind w:left="792" w:right="975" w:firstLine="0"/>
        <w:jc w:val="both"/>
        <w:rPr>
          <w:sz w:val="24"/>
        </w:rPr>
      </w:pPr>
      <w:r>
        <w:rPr>
          <w:sz w:val="24"/>
        </w:rPr>
        <w:t>Instruction</w:t>
      </w:r>
      <w:r>
        <w:rPr>
          <w:spacing w:val="-6"/>
          <w:sz w:val="24"/>
        </w:rPr>
        <w:t> </w:t>
      </w:r>
      <w:r>
        <w:rPr>
          <w:sz w:val="24"/>
        </w:rPr>
        <w:t>in</w:t>
      </w:r>
      <w:r>
        <w:rPr>
          <w:spacing w:val="-6"/>
          <w:sz w:val="24"/>
        </w:rPr>
        <w:t> </w:t>
      </w:r>
      <w:r>
        <w:rPr>
          <w:sz w:val="24"/>
        </w:rPr>
        <w:t>self-advocacy,</w:t>
      </w:r>
      <w:r>
        <w:rPr>
          <w:spacing w:val="-5"/>
          <w:sz w:val="24"/>
        </w:rPr>
        <w:t> </w:t>
      </w:r>
      <w:r>
        <w:rPr>
          <w:sz w:val="24"/>
        </w:rPr>
        <w:t>including</w:t>
      </w:r>
      <w:r>
        <w:rPr>
          <w:spacing w:val="-6"/>
          <w:sz w:val="24"/>
        </w:rPr>
        <w:t> </w:t>
      </w:r>
      <w:r>
        <w:rPr>
          <w:sz w:val="24"/>
        </w:rPr>
        <w:t>instruction</w:t>
      </w:r>
      <w:r>
        <w:rPr>
          <w:spacing w:val="-6"/>
          <w:sz w:val="24"/>
        </w:rPr>
        <w:t> </w:t>
      </w:r>
      <w:r>
        <w:rPr>
          <w:sz w:val="24"/>
        </w:rPr>
        <w:t>in</w:t>
      </w:r>
      <w:r>
        <w:rPr>
          <w:spacing w:val="-6"/>
          <w:sz w:val="24"/>
        </w:rPr>
        <w:t> </w:t>
      </w:r>
      <w:r>
        <w:rPr>
          <w:sz w:val="24"/>
        </w:rPr>
        <w:t>person-centered</w:t>
      </w:r>
      <w:r>
        <w:rPr>
          <w:spacing w:val="-6"/>
          <w:sz w:val="24"/>
        </w:rPr>
        <w:t> </w:t>
      </w:r>
      <w:r>
        <w:rPr>
          <w:sz w:val="24"/>
        </w:rPr>
        <w:t>planning, which</w:t>
      </w:r>
      <w:r>
        <w:rPr>
          <w:spacing w:val="-1"/>
          <w:sz w:val="24"/>
        </w:rPr>
        <w:t> </w:t>
      </w:r>
      <w:r>
        <w:rPr>
          <w:sz w:val="24"/>
        </w:rPr>
        <w:t>may</w:t>
      </w:r>
      <w:r>
        <w:rPr>
          <w:spacing w:val="-1"/>
          <w:sz w:val="24"/>
        </w:rPr>
        <w:t> </w:t>
      </w:r>
      <w:r>
        <w:rPr>
          <w:sz w:val="24"/>
        </w:rPr>
        <w:t>include</w:t>
      </w:r>
      <w:r>
        <w:rPr>
          <w:spacing w:val="-1"/>
          <w:sz w:val="24"/>
        </w:rPr>
        <w:t> </w:t>
      </w:r>
      <w:r>
        <w:rPr>
          <w:sz w:val="24"/>
        </w:rPr>
        <w:t>peer mentoring, including</w:t>
      </w:r>
      <w:r>
        <w:rPr>
          <w:spacing w:val="-1"/>
          <w:sz w:val="24"/>
        </w:rPr>
        <w:t> </w:t>
      </w:r>
      <w:r>
        <w:rPr>
          <w:sz w:val="24"/>
        </w:rPr>
        <w:t>peer mentoring</w:t>
      </w:r>
      <w:r>
        <w:rPr>
          <w:spacing w:val="-1"/>
          <w:sz w:val="24"/>
        </w:rPr>
        <w:t> </w:t>
      </w:r>
      <w:r>
        <w:rPr>
          <w:sz w:val="24"/>
        </w:rPr>
        <w:t>from individuals</w:t>
      </w:r>
      <w:r>
        <w:rPr>
          <w:spacing w:val="-1"/>
          <w:sz w:val="24"/>
        </w:rPr>
        <w:t> </w:t>
      </w:r>
      <w:r>
        <w:rPr>
          <w:sz w:val="24"/>
        </w:rPr>
        <w:t>with disabilities working in competitive integrated employment.</w:t>
      </w:r>
    </w:p>
    <w:p>
      <w:pPr>
        <w:pStyle w:val="ListParagraph"/>
        <w:numPr>
          <w:ilvl w:val="1"/>
          <w:numId w:val="256"/>
        </w:numPr>
        <w:tabs>
          <w:tab w:pos="1236" w:val="left" w:leader="none"/>
        </w:tabs>
        <w:spacing w:line="208" w:lineRule="auto" w:before="240" w:after="0"/>
        <w:ind w:left="810" w:right="1063" w:firstLine="0"/>
        <w:jc w:val="left"/>
        <w:rPr>
          <w:sz w:val="24"/>
        </w:rPr>
      </w:pPr>
      <w:r>
        <w:rPr>
          <w:sz w:val="24"/>
        </w:rPr>
        <w:t>Auxiliary aids or services. Any "student with a disability" with a sensory or communicative disorder who needs auxiliary aids or services to access pre- employment</w:t>
      </w:r>
      <w:r>
        <w:rPr>
          <w:spacing w:val="-3"/>
          <w:sz w:val="24"/>
        </w:rPr>
        <w:t> </w:t>
      </w:r>
      <w:r>
        <w:rPr>
          <w:sz w:val="24"/>
        </w:rPr>
        <w:t>transition</w:t>
      </w:r>
      <w:r>
        <w:rPr>
          <w:spacing w:val="-4"/>
          <w:sz w:val="24"/>
        </w:rPr>
        <w:t> </w:t>
      </w:r>
      <w:r>
        <w:rPr>
          <w:sz w:val="24"/>
        </w:rPr>
        <w:t>services,</w:t>
      </w:r>
      <w:r>
        <w:rPr>
          <w:spacing w:val="-5"/>
          <w:sz w:val="24"/>
        </w:rPr>
        <w:t> </w:t>
      </w:r>
      <w:r>
        <w:rPr>
          <w:sz w:val="24"/>
        </w:rPr>
        <w:t>regardless</w:t>
      </w:r>
      <w:r>
        <w:rPr>
          <w:spacing w:val="-4"/>
          <w:sz w:val="24"/>
        </w:rPr>
        <w:t> </w:t>
      </w:r>
      <w:r>
        <w:rPr>
          <w:sz w:val="24"/>
        </w:rPr>
        <w:t>of</w:t>
      </w:r>
      <w:r>
        <w:rPr>
          <w:spacing w:val="-3"/>
          <w:sz w:val="24"/>
        </w:rPr>
        <w:t> </w:t>
      </w:r>
      <w:r>
        <w:rPr>
          <w:sz w:val="24"/>
        </w:rPr>
        <w:t>whether</w:t>
      </w:r>
      <w:r>
        <w:rPr>
          <w:spacing w:val="-5"/>
          <w:sz w:val="24"/>
        </w:rPr>
        <w:t> </w:t>
      </w:r>
      <w:r>
        <w:rPr>
          <w:sz w:val="24"/>
        </w:rPr>
        <w:t>the</w:t>
      </w:r>
      <w:r>
        <w:rPr>
          <w:spacing w:val="-4"/>
          <w:sz w:val="24"/>
        </w:rPr>
        <w:t> </w:t>
      </w:r>
      <w:r>
        <w:rPr>
          <w:sz w:val="24"/>
        </w:rPr>
        <w:t>student</w:t>
      </w:r>
      <w:r>
        <w:rPr>
          <w:spacing w:val="-3"/>
          <w:sz w:val="24"/>
        </w:rPr>
        <w:t> </w:t>
      </w:r>
      <w:r>
        <w:rPr>
          <w:sz w:val="24"/>
        </w:rPr>
        <w:t>has</w:t>
      </w:r>
      <w:r>
        <w:rPr>
          <w:spacing w:val="-4"/>
          <w:sz w:val="24"/>
        </w:rPr>
        <w:t> </w:t>
      </w:r>
      <w:r>
        <w:rPr>
          <w:sz w:val="24"/>
        </w:rPr>
        <w:t>applied</w:t>
      </w:r>
      <w:r>
        <w:rPr>
          <w:spacing w:val="-4"/>
          <w:sz w:val="24"/>
        </w:rPr>
        <w:t> </w:t>
      </w:r>
      <w:r>
        <w:rPr>
          <w:sz w:val="24"/>
        </w:rPr>
        <w:t>or been determined eligible for the VR program.</w:t>
      </w:r>
    </w:p>
    <w:p>
      <w:pPr>
        <w:pStyle w:val="ListParagraph"/>
        <w:numPr>
          <w:ilvl w:val="2"/>
          <w:numId w:val="256"/>
        </w:numPr>
        <w:tabs>
          <w:tab w:pos="1533" w:val="left" w:leader="none"/>
        </w:tabs>
        <w:spacing w:line="208" w:lineRule="auto" w:before="239" w:after="0"/>
        <w:ind w:left="1080" w:right="889" w:firstLine="0"/>
        <w:jc w:val="left"/>
        <w:rPr>
          <w:sz w:val="24"/>
        </w:rPr>
      </w:pPr>
      <w:r>
        <w:rPr>
          <w:sz w:val="24"/>
        </w:rPr>
        <w:t>The</w:t>
      </w:r>
      <w:r>
        <w:rPr>
          <w:spacing w:val="-4"/>
          <w:sz w:val="24"/>
        </w:rPr>
        <w:t> </w:t>
      </w:r>
      <w:r>
        <w:rPr>
          <w:sz w:val="24"/>
        </w:rPr>
        <w:t>provision</w:t>
      </w:r>
      <w:r>
        <w:rPr>
          <w:spacing w:val="-4"/>
          <w:sz w:val="24"/>
        </w:rPr>
        <w:t> </w:t>
      </w:r>
      <w:r>
        <w:rPr>
          <w:sz w:val="24"/>
        </w:rPr>
        <w:t>of</w:t>
      </w:r>
      <w:r>
        <w:rPr>
          <w:spacing w:val="-3"/>
          <w:sz w:val="24"/>
        </w:rPr>
        <w:t> </w:t>
      </w:r>
      <w:r>
        <w:rPr>
          <w:sz w:val="24"/>
        </w:rPr>
        <w:t>pre-employment</w:t>
      </w:r>
      <w:r>
        <w:rPr>
          <w:spacing w:val="-3"/>
          <w:sz w:val="24"/>
        </w:rPr>
        <w:t> </w:t>
      </w:r>
      <w:r>
        <w:rPr>
          <w:sz w:val="24"/>
        </w:rPr>
        <w:t>transition</w:t>
      </w:r>
      <w:r>
        <w:rPr>
          <w:spacing w:val="-4"/>
          <w:sz w:val="24"/>
        </w:rPr>
        <w:t> </w:t>
      </w:r>
      <w:r>
        <w:rPr>
          <w:sz w:val="24"/>
        </w:rPr>
        <w:t>services</w:t>
      </w:r>
      <w:r>
        <w:rPr>
          <w:spacing w:val="-4"/>
          <w:sz w:val="24"/>
        </w:rPr>
        <w:t> </w:t>
      </w:r>
      <w:r>
        <w:rPr>
          <w:sz w:val="24"/>
        </w:rPr>
        <w:t>to</w:t>
      </w:r>
      <w:r>
        <w:rPr>
          <w:spacing w:val="-4"/>
          <w:sz w:val="24"/>
        </w:rPr>
        <w:t> </w:t>
      </w:r>
      <w:r>
        <w:rPr>
          <w:sz w:val="24"/>
        </w:rPr>
        <w:t>pay</w:t>
      </w:r>
      <w:r>
        <w:rPr>
          <w:spacing w:val="-5"/>
          <w:sz w:val="24"/>
        </w:rPr>
        <w:t> </w:t>
      </w:r>
      <w:r>
        <w:rPr>
          <w:sz w:val="24"/>
        </w:rPr>
        <w:t>for</w:t>
      </w:r>
      <w:r>
        <w:rPr>
          <w:spacing w:val="-5"/>
          <w:sz w:val="24"/>
        </w:rPr>
        <w:t> </w:t>
      </w:r>
      <w:r>
        <w:rPr>
          <w:sz w:val="24"/>
        </w:rPr>
        <w:t>auxiliary</w:t>
      </w:r>
      <w:r>
        <w:rPr>
          <w:spacing w:val="-4"/>
          <w:sz w:val="24"/>
        </w:rPr>
        <w:t> </w:t>
      </w:r>
      <w:r>
        <w:rPr>
          <w:sz w:val="24"/>
        </w:rPr>
        <w:t>aids and services for students with disabilities with sensory and communicative disorders who need such aids and services in order to access or participate in pre-employment transition services.</w:t>
      </w:r>
    </w:p>
    <w:p>
      <w:pPr>
        <w:pStyle w:val="ListParagraph"/>
        <w:numPr>
          <w:ilvl w:val="2"/>
          <w:numId w:val="256"/>
        </w:numPr>
        <w:tabs>
          <w:tab w:pos="1533" w:val="left" w:leader="none"/>
        </w:tabs>
        <w:spacing w:line="208" w:lineRule="auto" w:before="240" w:after="0"/>
        <w:ind w:left="1080" w:right="872" w:firstLine="0"/>
        <w:jc w:val="left"/>
        <w:rPr>
          <w:sz w:val="24"/>
        </w:rPr>
      </w:pPr>
      <w:r>
        <w:rPr>
          <w:sz w:val="24"/>
        </w:rPr>
        <w:t>DRS is required to work in collaboration with education agencies to identify how</w:t>
      </w:r>
      <w:r>
        <w:rPr>
          <w:spacing w:val="-3"/>
          <w:sz w:val="24"/>
        </w:rPr>
        <w:t> </w:t>
      </w:r>
      <w:r>
        <w:rPr>
          <w:sz w:val="24"/>
        </w:rPr>
        <w:t>these</w:t>
      </w:r>
      <w:r>
        <w:rPr>
          <w:spacing w:val="-3"/>
          <w:sz w:val="24"/>
        </w:rPr>
        <w:t> </w:t>
      </w:r>
      <w:r>
        <w:rPr>
          <w:sz w:val="24"/>
        </w:rPr>
        <w:t>funds</w:t>
      </w:r>
      <w:r>
        <w:rPr>
          <w:spacing w:val="-3"/>
          <w:sz w:val="24"/>
        </w:rPr>
        <w:t> </w:t>
      </w:r>
      <w:r>
        <w:rPr>
          <w:sz w:val="24"/>
        </w:rPr>
        <w:t>can</w:t>
      </w:r>
      <w:r>
        <w:rPr>
          <w:spacing w:val="-3"/>
          <w:sz w:val="24"/>
        </w:rPr>
        <w:t> </w:t>
      </w:r>
      <w:r>
        <w:rPr>
          <w:sz w:val="24"/>
        </w:rPr>
        <w:t>be</w:t>
      </w:r>
      <w:r>
        <w:rPr>
          <w:spacing w:val="-3"/>
          <w:sz w:val="24"/>
        </w:rPr>
        <w:t> </w:t>
      </w:r>
      <w:r>
        <w:rPr>
          <w:sz w:val="24"/>
        </w:rPr>
        <w:t>used</w:t>
      </w:r>
      <w:r>
        <w:rPr>
          <w:spacing w:val="-3"/>
          <w:sz w:val="24"/>
        </w:rPr>
        <w:t> </w:t>
      </w:r>
      <w:r>
        <w:rPr>
          <w:sz w:val="24"/>
        </w:rPr>
        <w:t>for</w:t>
      </w:r>
      <w:r>
        <w:rPr>
          <w:spacing w:val="-4"/>
          <w:sz w:val="24"/>
        </w:rPr>
        <w:t> </w:t>
      </w:r>
      <w:r>
        <w:rPr>
          <w:sz w:val="24"/>
        </w:rPr>
        <w:t>such</w:t>
      </w:r>
      <w:r>
        <w:rPr>
          <w:spacing w:val="-3"/>
          <w:sz w:val="24"/>
        </w:rPr>
        <w:t> </w:t>
      </w:r>
      <w:r>
        <w:rPr>
          <w:sz w:val="24"/>
        </w:rPr>
        <w:t>costs.</w:t>
      </w:r>
      <w:r>
        <w:rPr>
          <w:spacing w:val="-4"/>
          <w:sz w:val="24"/>
        </w:rPr>
        <w:t> </w:t>
      </w:r>
      <w:r>
        <w:rPr>
          <w:sz w:val="24"/>
        </w:rPr>
        <w:t>The</w:t>
      </w:r>
      <w:r>
        <w:rPr>
          <w:spacing w:val="-3"/>
          <w:sz w:val="24"/>
        </w:rPr>
        <w:t> </w:t>
      </w:r>
      <w:r>
        <w:rPr>
          <w:sz w:val="24"/>
        </w:rPr>
        <w:t>VR</w:t>
      </w:r>
      <w:r>
        <w:rPr>
          <w:spacing w:val="-3"/>
          <w:sz w:val="24"/>
        </w:rPr>
        <w:t> </w:t>
      </w:r>
      <w:r>
        <w:rPr>
          <w:sz w:val="24"/>
        </w:rPr>
        <w:t>agency</w:t>
      </w:r>
      <w:r>
        <w:rPr>
          <w:spacing w:val="-3"/>
          <w:sz w:val="24"/>
        </w:rPr>
        <w:t> </w:t>
      </w:r>
      <w:r>
        <w:rPr>
          <w:sz w:val="24"/>
        </w:rPr>
        <w:t>may</w:t>
      </w:r>
      <w:r>
        <w:rPr>
          <w:spacing w:val="-3"/>
          <w:sz w:val="24"/>
        </w:rPr>
        <w:t> </w:t>
      </w:r>
      <w:r>
        <w:rPr>
          <w:sz w:val="24"/>
        </w:rPr>
        <w:t>use</w:t>
      </w:r>
      <w:r>
        <w:rPr>
          <w:spacing w:val="-3"/>
          <w:sz w:val="24"/>
        </w:rPr>
        <w:t> </w:t>
      </w:r>
      <w:r>
        <w:rPr>
          <w:sz w:val="24"/>
        </w:rPr>
        <w:t>the</w:t>
      </w:r>
      <w:r>
        <w:rPr>
          <w:spacing w:val="-3"/>
          <w:sz w:val="24"/>
        </w:rPr>
        <w:t> </w:t>
      </w:r>
      <w:r>
        <w:rPr>
          <w:sz w:val="24"/>
        </w:rPr>
        <w:t>funds to pay for auxiliary aids and services needed to access or participate in pre- employment transition, no other public entity is required to provide such aids or </w:t>
      </w:r>
      <w:r>
        <w:rPr>
          <w:spacing w:val="-2"/>
          <w:sz w:val="24"/>
        </w:rPr>
        <w:t>services.</w:t>
      </w:r>
    </w:p>
    <w:p>
      <w:pPr>
        <w:pStyle w:val="ListParagraph"/>
        <w:numPr>
          <w:ilvl w:val="2"/>
          <w:numId w:val="256"/>
        </w:numPr>
        <w:tabs>
          <w:tab w:pos="1546" w:val="left" w:leader="none"/>
        </w:tabs>
        <w:spacing w:line="208" w:lineRule="auto" w:before="239" w:after="0"/>
        <w:ind w:left="1080" w:right="859" w:firstLine="0"/>
        <w:jc w:val="left"/>
        <w:rPr>
          <w:sz w:val="24"/>
        </w:rPr>
      </w:pPr>
      <w:r>
        <w:rPr>
          <w:sz w:val="24"/>
        </w:rPr>
        <w:t>DRS</w:t>
      </w:r>
      <w:r>
        <w:rPr>
          <w:spacing w:val="-4"/>
          <w:sz w:val="24"/>
        </w:rPr>
        <w:t> </w:t>
      </w:r>
      <w:r>
        <w:rPr>
          <w:sz w:val="24"/>
        </w:rPr>
        <w:t>need</w:t>
      </w:r>
      <w:r>
        <w:rPr>
          <w:spacing w:val="-4"/>
          <w:sz w:val="24"/>
        </w:rPr>
        <w:t> </w:t>
      </w:r>
      <w:r>
        <w:rPr>
          <w:sz w:val="24"/>
        </w:rPr>
        <w:t>not</w:t>
      </w:r>
      <w:r>
        <w:rPr>
          <w:spacing w:val="-3"/>
          <w:sz w:val="24"/>
        </w:rPr>
        <w:t> </w:t>
      </w:r>
      <w:r>
        <w:rPr>
          <w:sz w:val="24"/>
        </w:rPr>
        <w:t>conduct</w:t>
      </w:r>
      <w:r>
        <w:rPr>
          <w:spacing w:val="-3"/>
          <w:sz w:val="24"/>
        </w:rPr>
        <w:t> </w:t>
      </w:r>
      <w:r>
        <w:rPr>
          <w:sz w:val="24"/>
        </w:rPr>
        <w:t>a</w:t>
      </w:r>
      <w:r>
        <w:rPr>
          <w:spacing w:val="-4"/>
          <w:sz w:val="24"/>
        </w:rPr>
        <w:t> </w:t>
      </w:r>
      <w:r>
        <w:rPr>
          <w:sz w:val="24"/>
        </w:rPr>
        <w:t>search</w:t>
      </w:r>
      <w:r>
        <w:rPr>
          <w:spacing w:val="-4"/>
          <w:sz w:val="24"/>
        </w:rPr>
        <w:t> </w:t>
      </w:r>
      <w:r>
        <w:rPr>
          <w:sz w:val="24"/>
        </w:rPr>
        <w:t>for</w:t>
      </w:r>
      <w:r>
        <w:rPr>
          <w:spacing w:val="-3"/>
          <w:sz w:val="24"/>
        </w:rPr>
        <w:t> </w:t>
      </w:r>
      <w:r>
        <w:rPr>
          <w:sz w:val="24"/>
        </w:rPr>
        <w:t>comparable</w:t>
      </w:r>
      <w:r>
        <w:rPr>
          <w:spacing w:val="-4"/>
          <w:sz w:val="24"/>
        </w:rPr>
        <w:t> </w:t>
      </w:r>
      <w:r>
        <w:rPr>
          <w:sz w:val="24"/>
        </w:rPr>
        <w:t>services</w:t>
      </w:r>
      <w:r>
        <w:rPr>
          <w:spacing w:val="-4"/>
          <w:sz w:val="24"/>
        </w:rPr>
        <w:t> </w:t>
      </w:r>
      <w:r>
        <w:rPr>
          <w:sz w:val="24"/>
        </w:rPr>
        <w:t>and</w:t>
      </w:r>
      <w:r>
        <w:rPr>
          <w:spacing w:val="-3"/>
          <w:sz w:val="24"/>
        </w:rPr>
        <w:t> </w:t>
      </w:r>
      <w:r>
        <w:rPr>
          <w:sz w:val="24"/>
        </w:rPr>
        <w:t>benefits</w:t>
      </w:r>
      <w:r>
        <w:rPr>
          <w:spacing w:val="-4"/>
          <w:sz w:val="24"/>
        </w:rPr>
        <w:t> </w:t>
      </w:r>
      <w:r>
        <w:rPr>
          <w:sz w:val="24"/>
        </w:rPr>
        <w:t>when providing auxiliary aids and services to either eligible or potentially eligible students with disabilities to the extent that these aids and services constitute "rehabilitation technology" and are necessary for the student with a disability to participate in pre-employment transition services.</w:t>
      </w:r>
    </w:p>
    <w:p>
      <w:pPr>
        <w:pStyle w:val="ListParagraph"/>
        <w:numPr>
          <w:ilvl w:val="0"/>
          <w:numId w:val="256"/>
        </w:numPr>
        <w:tabs>
          <w:tab w:pos="773" w:val="left" w:leader="none"/>
        </w:tabs>
        <w:spacing w:line="208" w:lineRule="auto" w:before="240" w:after="0"/>
        <w:ind w:left="360" w:right="1501" w:firstLine="0"/>
        <w:jc w:val="left"/>
        <w:rPr>
          <w:sz w:val="24"/>
        </w:rPr>
      </w:pPr>
      <w:r>
        <w:rPr>
          <w:b/>
          <w:sz w:val="24"/>
        </w:rPr>
        <w:t>Delivery</w:t>
      </w:r>
      <w:r>
        <w:rPr>
          <w:b/>
          <w:spacing w:val="-5"/>
          <w:sz w:val="24"/>
        </w:rPr>
        <w:t> </w:t>
      </w:r>
      <w:r>
        <w:rPr>
          <w:b/>
          <w:sz w:val="24"/>
        </w:rPr>
        <w:t>of</w:t>
      </w:r>
      <w:r>
        <w:rPr>
          <w:b/>
          <w:spacing w:val="-4"/>
          <w:sz w:val="24"/>
        </w:rPr>
        <w:t> </w:t>
      </w:r>
      <w:r>
        <w:rPr>
          <w:b/>
          <w:sz w:val="24"/>
        </w:rPr>
        <w:t>Services.</w:t>
      </w:r>
      <w:r>
        <w:rPr>
          <w:b/>
          <w:spacing w:val="-4"/>
          <w:sz w:val="24"/>
        </w:rPr>
        <w:t> </w:t>
      </w:r>
      <w:r>
        <w:rPr>
          <w:sz w:val="24"/>
        </w:rPr>
        <w:t>Pre-ETS</w:t>
      </w:r>
      <w:r>
        <w:rPr>
          <w:spacing w:val="-5"/>
          <w:sz w:val="24"/>
        </w:rPr>
        <w:t> </w:t>
      </w:r>
      <w:r>
        <w:rPr>
          <w:sz w:val="24"/>
        </w:rPr>
        <w:t>may</w:t>
      </w:r>
      <w:r>
        <w:rPr>
          <w:spacing w:val="-5"/>
          <w:sz w:val="24"/>
        </w:rPr>
        <w:t> </w:t>
      </w:r>
      <w:r>
        <w:rPr>
          <w:sz w:val="24"/>
        </w:rPr>
        <w:t>be</w:t>
      </w:r>
      <w:r>
        <w:rPr>
          <w:spacing w:val="-5"/>
          <w:sz w:val="24"/>
        </w:rPr>
        <w:t> </w:t>
      </w:r>
      <w:r>
        <w:rPr>
          <w:sz w:val="24"/>
        </w:rPr>
        <w:t>delivered</w:t>
      </w:r>
      <w:r>
        <w:rPr>
          <w:spacing w:val="-5"/>
          <w:sz w:val="24"/>
        </w:rPr>
        <w:t> </w:t>
      </w:r>
      <w:r>
        <w:rPr>
          <w:sz w:val="24"/>
        </w:rPr>
        <w:t>in</w:t>
      </w:r>
      <w:r>
        <w:rPr>
          <w:spacing w:val="-5"/>
          <w:sz w:val="24"/>
        </w:rPr>
        <w:t> </w:t>
      </w:r>
      <w:r>
        <w:rPr>
          <w:sz w:val="24"/>
        </w:rPr>
        <w:t>collaboration</w:t>
      </w:r>
      <w:r>
        <w:rPr>
          <w:spacing w:val="-5"/>
          <w:sz w:val="24"/>
        </w:rPr>
        <w:t> </w:t>
      </w:r>
      <w:r>
        <w:rPr>
          <w:sz w:val="24"/>
        </w:rPr>
        <w:t>with</w:t>
      </w:r>
      <w:r>
        <w:rPr>
          <w:spacing w:val="-5"/>
          <w:sz w:val="24"/>
        </w:rPr>
        <w:t> </w:t>
      </w:r>
      <w:r>
        <w:rPr>
          <w:sz w:val="24"/>
        </w:rPr>
        <w:t>school districts/LEAs via any combination of:</w:t>
      </w:r>
    </w:p>
    <w:p>
      <w:pPr>
        <w:pStyle w:val="ListParagraph"/>
        <w:numPr>
          <w:ilvl w:val="1"/>
          <w:numId w:val="256"/>
        </w:numPr>
        <w:tabs>
          <w:tab w:pos="1218" w:val="left" w:leader="none"/>
        </w:tabs>
        <w:spacing w:line="240" w:lineRule="auto" w:before="210" w:after="0"/>
        <w:ind w:left="1218" w:right="0" w:hanging="426"/>
        <w:jc w:val="left"/>
        <w:rPr>
          <w:sz w:val="24"/>
        </w:rPr>
      </w:pPr>
      <w:r>
        <w:rPr>
          <w:sz w:val="24"/>
        </w:rPr>
        <w:t>Vocational</w:t>
      </w:r>
      <w:r>
        <w:rPr>
          <w:spacing w:val="-8"/>
          <w:sz w:val="24"/>
        </w:rPr>
        <w:t> </w:t>
      </w:r>
      <w:r>
        <w:rPr>
          <w:sz w:val="24"/>
        </w:rPr>
        <w:t>rehabilitation</w:t>
      </w:r>
      <w:r>
        <w:rPr>
          <w:spacing w:val="-7"/>
          <w:sz w:val="24"/>
        </w:rPr>
        <w:t> </w:t>
      </w:r>
      <w:r>
        <w:rPr>
          <w:spacing w:val="-2"/>
          <w:sz w:val="24"/>
        </w:rPr>
        <w:t>counselors</w:t>
      </w:r>
    </w:p>
    <w:p>
      <w:pPr>
        <w:pStyle w:val="ListParagraph"/>
        <w:numPr>
          <w:ilvl w:val="1"/>
          <w:numId w:val="256"/>
        </w:numPr>
        <w:tabs>
          <w:tab w:pos="1218" w:val="left" w:leader="none"/>
        </w:tabs>
        <w:spacing w:line="208" w:lineRule="auto" w:before="234" w:after="0"/>
        <w:ind w:left="792" w:right="1442" w:firstLine="0"/>
        <w:jc w:val="left"/>
        <w:rPr>
          <w:sz w:val="24"/>
        </w:rPr>
      </w:pPr>
      <w:r>
        <w:rPr>
          <w:sz w:val="24"/>
        </w:rPr>
        <w:t>The</w:t>
      </w:r>
      <w:r>
        <w:rPr>
          <w:spacing w:val="-5"/>
          <w:sz w:val="24"/>
        </w:rPr>
        <w:t> </w:t>
      </w:r>
      <w:r>
        <w:rPr>
          <w:sz w:val="24"/>
        </w:rPr>
        <w:t>vocational</w:t>
      </w:r>
      <w:r>
        <w:rPr>
          <w:spacing w:val="-5"/>
          <w:sz w:val="24"/>
        </w:rPr>
        <w:t> </w:t>
      </w:r>
      <w:r>
        <w:rPr>
          <w:sz w:val="24"/>
        </w:rPr>
        <w:t>rehabilitation</w:t>
      </w:r>
      <w:r>
        <w:rPr>
          <w:spacing w:val="-4"/>
          <w:sz w:val="24"/>
        </w:rPr>
        <w:t> </w:t>
      </w:r>
      <w:r>
        <w:rPr>
          <w:sz w:val="24"/>
        </w:rPr>
        <w:t>counselor</w:t>
      </w:r>
      <w:r>
        <w:rPr>
          <w:spacing w:val="-4"/>
          <w:sz w:val="24"/>
        </w:rPr>
        <w:t> </w:t>
      </w:r>
      <w:r>
        <w:rPr>
          <w:sz w:val="24"/>
        </w:rPr>
        <w:t>will</w:t>
      </w:r>
      <w:r>
        <w:rPr>
          <w:spacing w:val="-5"/>
          <w:sz w:val="24"/>
        </w:rPr>
        <w:t> </w:t>
      </w:r>
      <w:r>
        <w:rPr>
          <w:sz w:val="24"/>
        </w:rPr>
        <w:t>coordinate</w:t>
      </w:r>
      <w:r>
        <w:rPr>
          <w:spacing w:val="-5"/>
          <w:sz w:val="24"/>
        </w:rPr>
        <w:t> </w:t>
      </w:r>
      <w:r>
        <w:rPr>
          <w:sz w:val="24"/>
        </w:rPr>
        <w:t>Pre-ETS</w:t>
      </w:r>
      <w:r>
        <w:rPr>
          <w:spacing w:val="-5"/>
          <w:sz w:val="24"/>
        </w:rPr>
        <w:t> </w:t>
      </w:r>
      <w:r>
        <w:rPr>
          <w:sz w:val="24"/>
        </w:rPr>
        <w:t>with</w:t>
      </w:r>
      <w:r>
        <w:rPr>
          <w:spacing w:val="-5"/>
          <w:sz w:val="24"/>
        </w:rPr>
        <w:t> </w:t>
      </w:r>
      <w:r>
        <w:rPr>
          <w:sz w:val="24"/>
        </w:rPr>
        <w:t>other entities who maybe delivering these services.</w:t>
      </w:r>
    </w:p>
    <w:p>
      <w:pPr>
        <w:pStyle w:val="ListParagraph"/>
        <w:numPr>
          <w:ilvl w:val="1"/>
          <w:numId w:val="256"/>
        </w:numPr>
        <w:tabs>
          <w:tab w:pos="1217" w:val="left" w:leader="none"/>
        </w:tabs>
        <w:spacing w:line="240" w:lineRule="auto" w:before="210" w:after="0"/>
        <w:ind w:left="1217" w:right="0" w:hanging="425"/>
        <w:jc w:val="left"/>
        <w:rPr>
          <w:sz w:val="24"/>
        </w:rPr>
      </w:pPr>
      <w:r>
        <w:rPr>
          <w:sz w:val="24"/>
        </w:rPr>
        <w:t>Other</w:t>
      </w:r>
      <w:r>
        <w:rPr>
          <w:spacing w:val="-4"/>
          <w:sz w:val="24"/>
        </w:rPr>
        <w:t> </w:t>
      </w:r>
      <w:r>
        <w:rPr>
          <w:sz w:val="24"/>
        </w:rPr>
        <w:t>entities</w:t>
      </w:r>
      <w:r>
        <w:rPr>
          <w:spacing w:val="-2"/>
          <w:sz w:val="24"/>
        </w:rPr>
        <w:t> </w:t>
      </w:r>
      <w:r>
        <w:rPr>
          <w:sz w:val="24"/>
        </w:rPr>
        <w:t>contracted</w:t>
      </w:r>
      <w:r>
        <w:rPr>
          <w:spacing w:val="-3"/>
          <w:sz w:val="24"/>
        </w:rPr>
        <w:t> </w:t>
      </w:r>
      <w:r>
        <w:rPr>
          <w:sz w:val="24"/>
        </w:rPr>
        <w:t>with</w:t>
      </w:r>
      <w:r>
        <w:rPr>
          <w:spacing w:val="-2"/>
          <w:sz w:val="24"/>
        </w:rPr>
        <w:t> </w:t>
      </w:r>
      <w:r>
        <w:rPr>
          <w:sz w:val="24"/>
        </w:rPr>
        <w:t>VR</w:t>
      </w:r>
      <w:r>
        <w:rPr>
          <w:spacing w:val="-3"/>
          <w:sz w:val="24"/>
        </w:rPr>
        <w:t> </w:t>
      </w:r>
      <w:r>
        <w:rPr>
          <w:sz w:val="24"/>
        </w:rPr>
        <w:t>such</w:t>
      </w:r>
      <w:r>
        <w:rPr>
          <w:spacing w:val="-2"/>
          <w:sz w:val="24"/>
        </w:rPr>
        <w:t> </w:t>
      </w:r>
      <w:r>
        <w:rPr>
          <w:spacing w:val="-5"/>
          <w:sz w:val="24"/>
        </w:rPr>
        <w:t>as:</w:t>
      </w:r>
    </w:p>
    <w:p>
      <w:pPr>
        <w:pStyle w:val="ListParagraph"/>
        <w:numPr>
          <w:ilvl w:val="2"/>
          <w:numId w:val="256"/>
        </w:numPr>
        <w:tabs>
          <w:tab w:pos="1677" w:val="left" w:leader="none"/>
        </w:tabs>
        <w:spacing w:line="240" w:lineRule="auto" w:before="204" w:after="0"/>
        <w:ind w:left="1677" w:right="0" w:hanging="453"/>
        <w:jc w:val="left"/>
        <w:rPr>
          <w:sz w:val="24"/>
        </w:rPr>
      </w:pPr>
      <w:r>
        <w:rPr>
          <w:sz w:val="24"/>
        </w:rPr>
        <w:t>Community</w:t>
      </w:r>
      <w:r>
        <w:rPr>
          <w:spacing w:val="-8"/>
          <w:sz w:val="24"/>
        </w:rPr>
        <w:t> </w:t>
      </w:r>
      <w:r>
        <w:rPr>
          <w:sz w:val="24"/>
        </w:rPr>
        <w:t>Rehabilitation</w:t>
      </w:r>
      <w:r>
        <w:rPr>
          <w:spacing w:val="-7"/>
          <w:sz w:val="24"/>
        </w:rPr>
        <w:t> </w:t>
      </w:r>
      <w:r>
        <w:rPr>
          <w:spacing w:val="-2"/>
          <w:sz w:val="24"/>
        </w:rPr>
        <w:t>Programs</w:t>
      </w:r>
    </w:p>
    <w:p>
      <w:pPr>
        <w:pStyle w:val="ListParagraph"/>
        <w:numPr>
          <w:ilvl w:val="2"/>
          <w:numId w:val="256"/>
        </w:numPr>
        <w:tabs>
          <w:tab w:pos="1676" w:val="left" w:leader="none"/>
        </w:tabs>
        <w:spacing w:line="240" w:lineRule="auto" w:before="204" w:after="0"/>
        <w:ind w:left="1676" w:right="0" w:hanging="452"/>
        <w:jc w:val="left"/>
        <w:rPr>
          <w:sz w:val="24"/>
        </w:rPr>
      </w:pPr>
      <w:r>
        <w:rPr>
          <w:sz w:val="24"/>
        </w:rPr>
        <w:t>Independent</w:t>
      </w:r>
      <w:r>
        <w:rPr>
          <w:spacing w:val="-6"/>
          <w:sz w:val="24"/>
        </w:rPr>
        <w:t> </w:t>
      </w:r>
      <w:r>
        <w:rPr>
          <w:sz w:val="24"/>
        </w:rPr>
        <w:t>Living</w:t>
      </w:r>
      <w:r>
        <w:rPr>
          <w:spacing w:val="-5"/>
          <w:sz w:val="24"/>
        </w:rPr>
        <w:t> </w:t>
      </w:r>
      <w:r>
        <w:rPr>
          <w:spacing w:val="-2"/>
          <w:sz w:val="24"/>
        </w:rPr>
        <w:t>Centers</w:t>
      </w:r>
    </w:p>
    <w:p>
      <w:pPr>
        <w:pStyle w:val="ListParagraph"/>
        <w:numPr>
          <w:ilvl w:val="0"/>
          <w:numId w:val="256"/>
        </w:numPr>
        <w:tabs>
          <w:tab w:pos="786" w:val="left" w:leader="none"/>
        </w:tabs>
        <w:spacing w:line="208" w:lineRule="auto" w:before="233" w:after="0"/>
        <w:ind w:left="360" w:right="807" w:firstLine="0"/>
        <w:jc w:val="both"/>
        <w:rPr>
          <w:sz w:val="24"/>
        </w:rPr>
      </w:pPr>
      <w:r>
        <w:rPr>
          <w:b/>
          <w:sz w:val="24"/>
        </w:rPr>
        <w:t>Considerations</w:t>
      </w:r>
      <w:r>
        <w:rPr>
          <w:b/>
          <w:spacing w:val="-4"/>
          <w:sz w:val="24"/>
        </w:rPr>
        <w:t> </w:t>
      </w:r>
      <w:r>
        <w:rPr>
          <w:b/>
          <w:sz w:val="24"/>
        </w:rPr>
        <w:t>under</w:t>
      </w:r>
      <w:r>
        <w:rPr>
          <w:b/>
          <w:spacing w:val="-4"/>
          <w:sz w:val="24"/>
        </w:rPr>
        <w:t> </w:t>
      </w:r>
      <w:r>
        <w:rPr>
          <w:b/>
          <w:sz w:val="24"/>
        </w:rPr>
        <w:t>00S.</w:t>
      </w:r>
      <w:r>
        <w:rPr>
          <w:b/>
          <w:spacing w:val="-2"/>
          <w:sz w:val="24"/>
        </w:rPr>
        <w:t> </w:t>
      </w:r>
      <w:r>
        <w:rPr>
          <w:sz w:val="24"/>
        </w:rPr>
        <w:t>VR</w:t>
      </w:r>
      <w:r>
        <w:rPr>
          <w:spacing w:val="-4"/>
          <w:sz w:val="24"/>
        </w:rPr>
        <w:t> </w:t>
      </w:r>
      <w:r>
        <w:rPr>
          <w:sz w:val="24"/>
        </w:rPr>
        <w:t>must</w:t>
      </w:r>
      <w:r>
        <w:rPr>
          <w:spacing w:val="-3"/>
          <w:sz w:val="24"/>
        </w:rPr>
        <w:t> </w:t>
      </w:r>
      <w:r>
        <w:rPr>
          <w:sz w:val="24"/>
        </w:rPr>
        <w:t>continue</w:t>
      </w:r>
      <w:r>
        <w:rPr>
          <w:spacing w:val="-4"/>
          <w:sz w:val="24"/>
        </w:rPr>
        <w:t> </w:t>
      </w:r>
      <w:r>
        <w:rPr>
          <w:sz w:val="24"/>
        </w:rPr>
        <w:t>to</w:t>
      </w:r>
      <w:r>
        <w:rPr>
          <w:spacing w:val="-4"/>
          <w:sz w:val="24"/>
        </w:rPr>
        <w:t> </w:t>
      </w:r>
      <w:r>
        <w:rPr>
          <w:sz w:val="24"/>
        </w:rPr>
        <w:t>provide</w:t>
      </w:r>
      <w:r>
        <w:rPr>
          <w:spacing w:val="-4"/>
          <w:sz w:val="24"/>
        </w:rPr>
        <w:t> </w:t>
      </w:r>
      <w:r>
        <w:rPr>
          <w:sz w:val="24"/>
        </w:rPr>
        <w:t>Pre-ETS</w:t>
      </w:r>
      <w:r>
        <w:rPr>
          <w:spacing w:val="-4"/>
          <w:sz w:val="24"/>
        </w:rPr>
        <w:t> </w:t>
      </w:r>
      <w:r>
        <w:rPr>
          <w:sz w:val="24"/>
        </w:rPr>
        <w:t>to</w:t>
      </w:r>
      <w:r>
        <w:rPr>
          <w:spacing w:val="-4"/>
          <w:sz w:val="24"/>
        </w:rPr>
        <w:t> </w:t>
      </w:r>
      <w:r>
        <w:rPr>
          <w:sz w:val="24"/>
        </w:rPr>
        <w:t>students</w:t>
      </w:r>
      <w:r>
        <w:rPr>
          <w:spacing w:val="-4"/>
          <w:sz w:val="24"/>
        </w:rPr>
        <w:t> </w:t>
      </w:r>
      <w:r>
        <w:rPr>
          <w:sz w:val="24"/>
        </w:rPr>
        <w:t>with disabilities</w:t>
      </w:r>
      <w:r>
        <w:rPr>
          <w:spacing w:val="-3"/>
          <w:sz w:val="24"/>
        </w:rPr>
        <w:t> </w:t>
      </w:r>
      <w:r>
        <w:rPr>
          <w:sz w:val="24"/>
        </w:rPr>
        <w:t>who</w:t>
      </w:r>
      <w:r>
        <w:rPr>
          <w:spacing w:val="-3"/>
          <w:sz w:val="24"/>
        </w:rPr>
        <w:t> </w:t>
      </w:r>
      <w:r>
        <w:rPr>
          <w:sz w:val="24"/>
        </w:rPr>
        <w:t>were</w:t>
      </w:r>
      <w:r>
        <w:rPr>
          <w:spacing w:val="-3"/>
          <w:sz w:val="24"/>
        </w:rPr>
        <w:t> </w:t>
      </w:r>
      <w:r>
        <w:rPr>
          <w:sz w:val="24"/>
        </w:rPr>
        <w:t>receiving</w:t>
      </w:r>
      <w:r>
        <w:rPr>
          <w:spacing w:val="-3"/>
          <w:sz w:val="24"/>
        </w:rPr>
        <w:t> </w:t>
      </w:r>
      <w:r>
        <w:rPr>
          <w:sz w:val="24"/>
        </w:rPr>
        <w:t>such</w:t>
      </w:r>
      <w:r>
        <w:rPr>
          <w:spacing w:val="-3"/>
          <w:sz w:val="24"/>
        </w:rPr>
        <w:t> </w:t>
      </w:r>
      <w:r>
        <w:rPr>
          <w:sz w:val="24"/>
        </w:rPr>
        <w:t>services</w:t>
      </w:r>
      <w:r>
        <w:rPr>
          <w:spacing w:val="-3"/>
          <w:sz w:val="24"/>
        </w:rPr>
        <w:t> </w:t>
      </w:r>
      <w:r>
        <w:rPr>
          <w:sz w:val="24"/>
        </w:rPr>
        <w:t>prior</w:t>
      </w:r>
      <w:r>
        <w:rPr>
          <w:spacing w:val="-2"/>
          <w:sz w:val="24"/>
        </w:rPr>
        <w:t> </w:t>
      </w:r>
      <w:r>
        <w:rPr>
          <w:sz w:val="24"/>
        </w:rPr>
        <w:t>to</w:t>
      </w:r>
      <w:r>
        <w:rPr>
          <w:spacing w:val="-3"/>
          <w:sz w:val="24"/>
        </w:rPr>
        <w:t> </w:t>
      </w:r>
      <w:r>
        <w:rPr>
          <w:sz w:val="24"/>
        </w:rPr>
        <w:t>being</w:t>
      </w:r>
      <w:r>
        <w:rPr>
          <w:spacing w:val="-3"/>
          <w:sz w:val="24"/>
        </w:rPr>
        <w:t> </w:t>
      </w:r>
      <w:r>
        <w:rPr>
          <w:sz w:val="24"/>
        </w:rPr>
        <w:t>determined</w:t>
      </w:r>
      <w:r>
        <w:rPr>
          <w:spacing w:val="-3"/>
          <w:sz w:val="24"/>
        </w:rPr>
        <w:t> </w:t>
      </w:r>
      <w:r>
        <w:rPr>
          <w:sz w:val="24"/>
        </w:rPr>
        <w:t>eligible</w:t>
      </w:r>
      <w:r>
        <w:rPr>
          <w:spacing w:val="-2"/>
          <w:sz w:val="24"/>
        </w:rPr>
        <w:t> </w:t>
      </w:r>
      <w:r>
        <w:rPr>
          <w:sz w:val="24"/>
        </w:rPr>
        <w:t>for</w:t>
      </w:r>
      <w:r>
        <w:rPr>
          <w:spacing w:val="-2"/>
          <w:sz w:val="24"/>
        </w:rPr>
        <w:t> </w:t>
      </w:r>
      <w:r>
        <w:rPr>
          <w:sz w:val="24"/>
        </w:rPr>
        <w:t>SBVI and are placed in a closed category.</w:t>
      </w:r>
    </w:p>
    <w:p>
      <w:pPr>
        <w:pStyle w:val="Heading2"/>
        <w:numPr>
          <w:ilvl w:val="0"/>
          <w:numId w:val="256"/>
        </w:numPr>
        <w:tabs>
          <w:tab w:pos="786" w:val="left" w:leader="none"/>
        </w:tabs>
        <w:spacing w:line="240" w:lineRule="auto" w:before="211" w:after="0"/>
        <w:ind w:left="786" w:right="0" w:hanging="426"/>
        <w:jc w:val="both"/>
      </w:pPr>
      <w:r>
        <w:rPr/>
        <w:t>Pre-Employment</w:t>
      </w:r>
      <w:r>
        <w:rPr>
          <w:spacing w:val="-8"/>
        </w:rPr>
        <w:t> </w:t>
      </w:r>
      <w:r>
        <w:rPr/>
        <w:t>Transition</w:t>
      </w:r>
      <w:r>
        <w:rPr>
          <w:spacing w:val="-6"/>
        </w:rPr>
        <w:t> </w:t>
      </w:r>
      <w:r>
        <w:rPr>
          <w:spacing w:val="-2"/>
        </w:rPr>
        <w:t>Coordination.</w:t>
      </w:r>
    </w:p>
    <w:p>
      <w:pPr>
        <w:pStyle w:val="ListParagraph"/>
        <w:numPr>
          <w:ilvl w:val="1"/>
          <w:numId w:val="256"/>
        </w:numPr>
        <w:tabs>
          <w:tab w:pos="1218" w:val="left" w:leader="none"/>
        </w:tabs>
        <w:spacing w:line="208" w:lineRule="auto" w:before="233" w:after="0"/>
        <w:ind w:left="792" w:right="946" w:firstLine="0"/>
        <w:jc w:val="left"/>
        <w:rPr>
          <w:sz w:val="24"/>
        </w:rPr>
      </w:pPr>
      <w:r>
        <w:rPr>
          <w:sz w:val="24"/>
        </w:rPr>
        <w:t>District office staff will be responsible for attending IEP meetings for students with</w:t>
      </w:r>
      <w:r>
        <w:rPr>
          <w:spacing w:val="-4"/>
          <w:sz w:val="24"/>
        </w:rPr>
        <w:t> </w:t>
      </w:r>
      <w:r>
        <w:rPr>
          <w:sz w:val="24"/>
        </w:rPr>
        <w:t>disabilities</w:t>
      </w:r>
      <w:r>
        <w:rPr>
          <w:spacing w:val="-4"/>
          <w:sz w:val="24"/>
        </w:rPr>
        <w:t> </w:t>
      </w:r>
      <w:r>
        <w:rPr>
          <w:sz w:val="24"/>
        </w:rPr>
        <w:t>when</w:t>
      </w:r>
      <w:r>
        <w:rPr>
          <w:spacing w:val="-4"/>
          <w:sz w:val="24"/>
        </w:rPr>
        <w:t> </w:t>
      </w:r>
      <w:r>
        <w:rPr>
          <w:sz w:val="24"/>
        </w:rPr>
        <w:t>invited;</w:t>
      </w:r>
      <w:r>
        <w:rPr>
          <w:spacing w:val="-3"/>
          <w:sz w:val="24"/>
        </w:rPr>
        <w:t> </w:t>
      </w:r>
      <w:r>
        <w:rPr>
          <w:sz w:val="24"/>
        </w:rPr>
        <w:t>using</w:t>
      </w:r>
      <w:r>
        <w:rPr>
          <w:spacing w:val="-4"/>
          <w:sz w:val="24"/>
        </w:rPr>
        <w:t> </w:t>
      </w:r>
      <w:r>
        <w:rPr>
          <w:sz w:val="24"/>
        </w:rPr>
        <w:t>conference</w:t>
      </w:r>
      <w:r>
        <w:rPr>
          <w:spacing w:val="-4"/>
          <w:sz w:val="24"/>
        </w:rPr>
        <w:t> </w:t>
      </w:r>
      <w:r>
        <w:rPr>
          <w:sz w:val="24"/>
        </w:rPr>
        <w:t>calls</w:t>
      </w:r>
      <w:r>
        <w:rPr>
          <w:spacing w:val="-4"/>
          <w:sz w:val="24"/>
        </w:rPr>
        <w:t> </w:t>
      </w:r>
      <w:r>
        <w:rPr>
          <w:sz w:val="24"/>
        </w:rPr>
        <w:t>and</w:t>
      </w:r>
      <w:r>
        <w:rPr>
          <w:spacing w:val="-4"/>
          <w:sz w:val="24"/>
        </w:rPr>
        <w:t> </w:t>
      </w:r>
      <w:r>
        <w:rPr>
          <w:sz w:val="24"/>
        </w:rPr>
        <w:t>video</w:t>
      </w:r>
      <w:r>
        <w:rPr>
          <w:spacing w:val="-4"/>
          <w:sz w:val="24"/>
        </w:rPr>
        <w:t> </w:t>
      </w:r>
      <w:r>
        <w:rPr>
          <w:sz w:val="24"/>
        </w:rPr>
        <w:t>conferences,</w:t>
      </w:r>
      <w:r>
        <w:rPr>
          <w:spacing w:val="-3"/>
          <w:sz w:val="24"/>
        </w:rPr>
        <w:t> </w:t>
      </w:r>
      <w:r>
        <w:rPr>
          <w:sz w:val="24"/>
        </w:rPr>
        <w:t>when </w:t>
      </w:r>
      <w:r>
        <w:rPr>
          <w:spacing w:val="-2"/>
          <w:sz w:val="24"/>
        </w:rPr>
        <w:t>necessary;</w:t>
      </w:r>
    </w:p>
    <w:p>
      <w:pPr>
        <w:pStyle w:val="ListParagraph"/>
        <w:numPr>
          <w:ilvl w:val="1"/>
          <w:numId w:val="256"/>
        </w:numPr>
        <w:tabs>
          <w:tab w:pos="1218" w:val="left" w:leader="none"/>
        </w:tabs>
        <w:spacing w:line="208" w:lineRule="auto" w:before="240" w:after="0"/>
        <w:ind w:left="792" w:right="775" w:firstLine="0"/>
        <w:jc w:val="left"/>
        <w:rPr>
          <w:sz w:val="24"/>
        </w:rPr>
      </w:pPr>
      <w:r>
        <w:rPr>
          <w:sz w:val="24"/>
        </w:rPr>
        <w:t>working</w:t>
      </w:r>
      <w:r>
        <w:rPr>
          <w:spacing w:val="-4"/>
          <w:sz w:val="24"/>
        </w:rPr>
        <w:t> </w:t>
      </w:r>
      <w:r>
        <w:rPr>
          <w:sz w:val="24"/>
        </w:rPr>
        <w:t>with</w:t>
      </w:r>
      <w:r>
        <w:rPr>
          <w:spacing w:val="-4"/>
          <w:sz w:val="24"/>
        </w:rPr>
        <w:t> </w:t>
      </w:r>
      <w:r>
        <w:rPr>
          <w:sz w:val="24"/>
        </w:rPr>
        <w:t>local</w:t>
      </w:r>
      <w:r>
        <w:rPr>
          <w:spacing w:val="-3"/>
          <w:sz w:val="24"/>
        </w:rPr>
        <w:t> </w:t>
      </w:r>
      <w:r>
        <w:rPr>
          <w:sz w:val="24"/>
        </w:rPr>
        <w:t>workforce</w:t>
      </w:r>
      <w:r>
        <w:rPr>
          <w:spacing w:val="-5"/>
          <w:sz w:val="24"/>
        </w:rPr>
        <w:t> </w:t>
      </w:r>
      <w:r>
        <w:rPr>
          <w:sz w:val="24"/>
        </w:rPr>
        <w:t>development</w:t>
      </w:r>
      <w:r>
        <w:rPr>
          <w:spacing w:val="-3"/>
          <w:sz w:val="24"/>
        </w:rPr>
        <w:t> </w:t>
      </w:r>
      <w:r>
        <w:rPr>
          <w:sz w:val="24"/>
        </w:rPr>
        <w:t>boards,</w:t>
      </w:r>
      <w:r>
        <w:rPr>
          <w:spacing w:val="-3"/>
          <w:sz w:val="24"/>
        </w:rPr>
        <w:t> </w:t>
      </w:r>
      <w:r>
        <w:rPr>
          <w:sz w:val="24"/>
        </w:rPr>
        <w:t>job</w:t>
      </w:r>
      <w:r>
        <w:rPr>
          <w:spacing w:val="-4"/>
          <w:sz w:val="24"/>
        </w:rPr>
        <w:t> </w:t>
      </w:r>
      <w:r>
        <w:rPr>
          <w:sz w:val="24"/>
        </w:rPr>
        <w:t>centers</w:t>
      </w:r>
      <w:r>
        <w:rPr>
          <w:spacing w:val="-5"/>
          <w:sz w:val="24"/>
        </w:rPr>
        <w:t> </w:t>
      </w:r>
      <w:r>
        <w:rPr>
          <w:sz w:val="24"/>
        </w:rPr>
        <w:t>and</w:t>
      </w:r>
      <w:r>
        <w:rPr>
          <w:spacing w:val="-4"/>
          <w:sz w:val="24"/>
        </w:rPr>
        <w:t> </w:t>
      </w:r>
      <w:r>
        <w:rPr>
          <w:sz w:val="24"/>
        </w:rPr>
        <w:t>employers</w:t>
      </w:r>
      <w:r>
        <w:rPr>
          <w:spacing w:val="-4"/>
          <w:sz w:val="24"/>
        </w:rPr>
        <w:t> </w:t>
      </w:r>
      <w:r>
        <w:rPr>
          <w:sz w:val="24"/>
        </w:rPr>
        <w:t>to develop work opportunities for students with disabilities, including apprenticeships, internships, summer employment and other employment opportunities available throughout the school year;</w:t>
      </w:r>
    </w:p>
    <w:p>
      <w:pPr>
        <w:pStyle w:val="ListParagraph"/>
        <w:spacing w:after="0" w:line="208" w:lineRule="auto"/>
        <w:jc w:val="left"/>
        <w:rPr>
          <w:sz w:val="24"/>
        </w:rPr>
        <w:sectPr>
          <w:pgSz w:w="12240" w:h="15840"/>
          <w:pgMar w:top="1340" w:bottom="280" w:left="1080" w:right="720"/>
        </w:sectPr>
      </w:pPr>
    </w:p>
    <w:p>
      <w:pPr>
        <w:pStyle w:val="ListParagraph"/>
        <w:numPr>
          <w:ilvl w:val="1"/>
          <w:numId w:val="256"/>
        </w:numPr>
        <w:tabs>
          <w:tab w:pos="1217" w:val="left" w:leader="none"/>
        </w:tabs>
        <w:spacing w:line="240" w:lineRule="auto" w:before="67" w:after="0"/>
        <w:ind w:left="1217" w:right="0" w:hanging="426"/>
        <w:jc w:val="left"/>
        <w:rPr>
          <w:sz w:val="24"/>
        </w:rPr>
      </w:pPr>
      <w:r>
        <w:rPr>
          <w:sz w:val="24"/>
        </w:rPr>
        <w:t>working</w:t>
      </w:r>
      <w:r>
        <w:rPr>
          <w:spacing w:val="-6"/>
          <w:sz w:val="24"/>
        </w:rPr>
        <w:t> </w:t>
      </w:r>
      <w:r>
        <w:rPr>
          <w:sz w:val="24"/>
        </w:rPr>
        <w:t>with</w:t>
      </w:r>
      <w:r>
        <w:rPr>
          <w:spacing w:val="-3"/>
          <w:sz w:val="24"/>
        </w:rPr>
        <w:t> </w:t>
      </w:r>
      <w:r>
        <w:rPr>
          <w:sz w:val="24"/>
        </w:rPr>
        <w:t>schools</w:t>
      </w:r>
      <w:r>
        <w:rPr>
          <w:spacing w:val="-3"/>
          <w:sz w:val="24"/>
        </w:rPr>
        <w:t> </w:t>
      </w:r>
      <w:r>
        <w:rPr>
          <w:sz w:val="24"/>
        </w:rPr>
        <w:t>to</w:t>
      </w:r>
      <w:r>
        <w:rPr>
          <w:spacing w:val="-3"/>
          <w:sz w:val="24"/>
        </w:rPr>
        <w:t> </w:t>
      </w:r>
      <w:r>
        <w:rPr>
          <w:sz w:val="24"/>
        </w:rPr>
        <w:t>coordinate</w:t>
      </w:r>
      <w:r>
        <w:rPr>
          <w:spacing w:val="-3"/>
          <w:sz w:val="24"/>
        </w:rPr>
        <w:t> </w:t>
      </w:r>
      <w:r>
        <w:rPr>
          <w:sz w:val="24"/>
        </w:rPr>
        <w:t>and</w:t>
      </w:r>
      <w:r>
        <w:rPr>
          <w:spacing w:val="-3"/>
          <w:sz w:val="24"/>
        </w:rPr>
        <w:t> </w:t>
      </w:r>
      <w:r>
        <w:rPr>
          <w:sz w:val="24"/>
        </w:rPr>
        <w:t>ensure</w:t>
      </w:r>
      <w:r>
        <w:rPr>
          <w:spacing w:val="-3"/>
          <w:sz w:val="24"/>
        </w:rPr>
        <w:t> </w:t>
      </w:r>
      <w:r>
        <w:rPr>
          <w:sz w:val="24"/>
        </w:rPr>
        <w:t>the</w:t>
      </w:r>
      <w:r>
        <w:rPr>
          <w:spacing w:val="-3"/>
          <w:sz w:val="24"/>
        </w:rPr>
        <w:t> </w:t>
      </w:r>
      <w:r>
        <w:rPr>
          <w:sz w:val="24"/>
        </w:rPr>
        <w:t>provision</w:t>
      </w:r>
      <w:r>
        <w:rPr>
          <w:spacing w:val="-3"/>
          <w:sz w:val="24"/>
        </w:rPr>
        <w:t> </w:t>
      </w:r>
      <w:r>
        <w:rPr>
          <w:sz w:val="24"/>
        </w:rPr>
        <w:t>of</w:t>
      </w:r>
      <w:r>
        <w:rPr>
          <w:spacing w:val="-1"/>
          <w:sz w:val="24"/>
        </w:rPr>
        <w:t> </w:t>
      </w:r>
      <w:r>
        <w:rPr>
          <w:sz w:val="24"/>
        </w:rPr>
        <w:t>Pre-ETS;</w:t>
      </w:r>
      <w:r>
        <w:rPr>
          <w:spacing w:val="-4"/>
          <w:sz w:val="24"/>
        </w:rPr>
        <w:t> </w:t>
      </w:r>
      <w:r>
        <w:rPr>
          <w:spacing w:val="-5"/>
          <w:sz w:val="24"/>
        </w:rPr>
        <w:t>and</w:t>
      </w:r>
    </w:p>
    <w:p>
      <w:pPr>
        <w:pStyle w:val="ListParagraph"/>
        <w:numPr>
          <w:ilvl w:val="1"/>
          <w:numId w:val="256"/>
        </w:numPr>
        <w:tabs>
          <w:tab w:pos="1218" w:val="left" w:leader="none"/>
        </w:tabs>
        <w:spacing w:line="208" w:lineRule="auto" w:before="233" w:after="0"/>
        <w:ind w:left="792" w:right="745" w:firstLine="0"/>
        <w:jc w:val="left"/>
        <w:rPr>
          <w:sz w:val="24"/>
        </w:rPr>
      </w:pPr>
      <w:r>
        <w:rPr>
          <w:sz w:val="24"/>
        </w:rPr>
        <w:t>attending</w:t>
      </w:r>
      <w:r>
        <w:rPr>
          <w:spacing w:val="-6"/>
          <w:sz w:val="24"/>
        </w:rPr>
        <w:t> </w:t>
      </w:r>
      <w:r>
        <w:rPr>
          <w:sz w:val="24"/>
        </w:rPr>
        <w:t>person-centered</w:t>
      </w:r>
      <w:r>
        <w:rPr>
          <w:spacing w:val="-6"/>
          <w:sz w:val="24"/>
        </w:rPr>
        <w:t> </w:t>
      </w:r>
      <w:r>
        <w:rPr>
          <w:sz w:val="24"/>
        </w:rPr>
        <w:t>planning</w:t>
      </w:r>
      <w:r>
        <w:rPr>
          <w:spacing w:val="-6"/>
          <w:sz w:val="24"/>
        </w:rPr>
        <w:t> </w:t>
      </w:r>
      <w:r>
        <w:rPr>
          <w:sz w:val="24"/>
        </w:rPr>
        <w:t>meetings</w:t>
      </w:r>
      <w:r>
        <w:rPr>
          <w:spacing w:val="-6"/>
          <w:sz w:val="24"/>
        </w:rPr>
        <w:t> </w:t>
      </w:r>
      <w:r>
        <w:rPr>
          <w:sz w:val="24"/>
        </w:rPr>
        <w:t>for</w:t>
      </w:r>
      <w:r>
        <w:rPr>
          <w:spacing w:val="-5"/>
          <w:sz w:val="24"/>
        </w:rPr>
        <w:t> </w:t>
      </w:r>
      <w:r>
        <w:rPr>
          <w:sz w:val="24"/>
        </w:rPr>
        <w:t>individuals</w:t>
      </w:r>
      <w:r>
        <w:rPr>
          <w:spacing w:val="-5"/>
          <w:sz w:val="24"/>
        </w:rPr>
        <w:t> </w:t>
      </w:r>
      <w:r>
        <w:rPr>
          <w:sz w:val="24"/>
        </w:rPr>
        <w:t>with</w:t>
      </w:r>
      <w:r>
        <w:rPr>
          <w:spacing w:val="-6"/>
          <w:sz w:val="24"/>
        </w:rPr>
        <w:t> </w:t>
      </w:r>
      <w:r>
        <w:rPr>
          <w:sz w:val="24"/>
        </w:rPr>
        <w:t>developmental disabilities receiving SSI-D/Medicaid when invited.</w:t>
      </w:r>
    </w:p>
    <w:p>
      <w:pPr>
        <w:pStyle w:val="ListParagraph"/>
        <w:numPr>
          <w:ilvl w:val="0"/>
          <w:numId w:val="256"/>
        </w:numPr>
        <w:tabs>
          <w:tab w:pos="652" w:val="left" w:leader="none"/>
        </w:tabs>
        <w:spacing w:line="208" w:lineRule="auto" w:before="240" w:after="0"/>
        <w:ind w:left="360" w:right="725" w:firstLine="0"/>
        <w:jc w:val="left"/>
        <w:rPr>
          <w:sz w:val="24"/>
        </w:rPr>
      </w:pPr>
      <w:r>
        <w:rPr>
          <w:b/>
          <w:sz w:val="24"/>
        </w:rPr>
        <w:t>Eligible students with disabilities are able to access </w:t>
      </w:r>
      <w:r>
        <w:rPr>
          <w:sz w:val="24"/>
        </w:rPr>
        <w:t>any other VR services needed to participate in pre-employment transition services or other VR services that are unrelated to pre-employment transition services, none of which would be available</w:t>
      </w:r>
      <w:r>
        <w:rPr>
          <w:spacing w:val="40"/>
          <w:sz w:val="24"/>
        </w:rPr>
        <w:t> </w:t>
      </w:r>
      <w:r>
        <w:rPr>
          <w:sz w:val="24"/>
        </w:rPr>
        <w:t>to</w:t>
      </w:r>
      <w:r>
        <w:rPr>
          <w:spacing w:val="-4"/>
          <w:sz w:val="24"/>
        </w:rPr>
        <w:t> </w:t>
      </w:r>
      <w:r>
        <w:rPr>
          <w:sz w:val="24"/>
        </w:rPr>
        <w:t>them</w:t>
      </w:r>
      <w:r>
        <w:rPr>
          <w:spacing w:val="-3"/>
          <w:sz w:val="24"/>
        </w:rPr>
        <w:t> </w:t>
      </w:r>
      <w:r>
        <w:rPr>
          <w:sz w:val="24"/>
        </w:rPr>
        <w:t>without</w:t>
      </w:r>
      <w:r>
        <w:rPr>
          <w:spacing w:val="-3"/>
          <w:sz w:val="24"/>
        </w:rPr>
        <w:t> </w:t>
      </w:r>
      <w:r>
        <w:rPr>
          <w:sz w:val="24"/>
        </w:rPr>
        <w:t>approved</w:t>
      </w:r>
      <w:r>
        <w:rPr>
          <w:spacing w:val="-4"/>
          <w:sz w:val="24"/>
        </w:rPr>
        <w:t> </w:t>
      </w:r>
      <w:r>
        <w:rPr>
          <w:sz w:val="24"/>
        </w:rPr>
        <w:t>IPEs,</w:t>
      </w:r>
      <w:r>
        <w:rPr>
          <w:spacing w:val="-3"/>
          <w:sz w:val="24"/>
        </w:rPr>
        <w:t> </w:t>
      </w:r>
      <w:r>
        <w:rPr>
          <w:sz w:val="24"/>
        </w:rPr>
        <w:t>these</w:t>
      </w:r>
      <w:r>
        <w:rPr>
          <w:spacing w:val="-4"/>
          <w:sz w:val="24"/>
        </w:rPr>
        <w:t> </w:t>
      </w:r>
      <w:r>
        <w:rPr>
          <w:sz w:val="24"/>
        </w:rPr>
        <w:t>eligible</w:t>
      </w:r>
      <w:r>
        <w:rPr>
          <w:spacing w:val="-4"/>
          <w:sz w:val="24"/>
        </w:rPr>
        <w:t> </w:t>
      </w:r>
      <w:r>
        <w:rPr>
          <w:sz w:val="24"/>
        </w:rPr>
        <w:t>students</w:t>
      </w:r>
      <w:r>
        <w:rPr>
          <w:spacing w:val="-5"/>
          <w:sz w:val="24"/>
        </w:rPr>
        <w:t> </w:t>
      </w:r>
      <w:r>
        <w:rPr>
          <w:sz w:val="24"/>
        </w:rPr>
        <w:t>with</w:t>
      </w:r>
      <w:r>
        <w:rPr>
          <w:spacing w:val="-4"/>
          <w:sz w:val="24"/>
        </w:rPr>
        <w:t> </w:t>
      </w:r>
      <w:r>
        <w:rPr>
          <w:sz w:val="24"/>
        </w:rPr>
        <w:t>disabilities</w:t>
      </w:r>
      <w:r>
        <w:rPr>
          <w:spacing w:val="-4"/>
          <w:sz w:val="24"/>
        </w:rPr>
        <w:t> </w:t>
      </w:r>
      <w:r>
        <w:rPr>
          <w:sz w:val="24"/>
        </w:rPr>
        <w:t>may</w:t>
      </w:r>
      <w:r>
        <w:rPr>
          <w:spacing w:val="-4"/>
          <w:sz w:val="24"/>
        </w:rPr>
        <w:t> </w:t>
      </w:r>
      <w:r>
        <w:rPr>
          <w:sz w:val="24"/>
        </w:rPr>
        <w:t>need</w:t>
      </w:r>
      <w:r>
        <w:rPr>
          <w:spacing w:val="-4"/>
          <w:sz w:val="24"/>
        </w:rPr>
        <w:t> </w:t>
      </w:r>
      <w:r>
        <w:rPr>
          <w:sz w:val="24"/>
        </w:rPr>
        <w:t>certain VR services to fully benefit from pre-employment transition services. By receiving other VR services and supports, along with the pre-employment transition services, enables eligible students with a disability to develop the skills to experience competitive, integrated employment as they leave school and enter the workforce.</w:t>
      </w:r>
    </w:p>
    <w:p>
      <w:pPr>
        <w:spacing w:line="246" w:lineRule="exact"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39" w:lineRule="exact" w:before="0"/>
        <w:ind w:left="360" w:right="0" w:firstLine="0"/>
        <w:jc w:val="left"/>
        <w:rPr>
          <w:sz w:val="22"/>
        </w:rPr>
      </w:pPr>
      <w:r>
        <w:rPr>
          <w:spacing w:val="-2"/>
          <w:sz w:val="22"/>
        </w:rPr>
        <w:t>8-11-</w:t>
      </w:r>
      <w:r>
        <w:rPr>
          <w:spacing w:val="-5"/>
          <w:sz w:val="22"/>
        </w:rPr>
        <w:t>19</w:t>
      </w:r>
      <w:r>
        <w:rPr>
          <w:sz w:val="22"/>
        </w:rPr>
        <w:tab/>
        <w:t>Permanent,</w:t>
      </w:r>
      <w:r>
        <w:rPr>
          <w:spacing w:val="-7"/>
          <w:sz w:val="22"/>
        </w:rPr>
        <w:t> </w:t>
      </w:r>
      <w:r>
        <w:rPr>
          <w:sz w:val="22"/>
        </w:rPr>
        <w:t>new</w:t>
      </w:r>
      <w:r>
        <w:rPr>
          <w:spacing w:val="-8"/>
          <w:sz w:val="22"/>
        </w:rPr>
        <w:t> </w:t>
      </w:r>
      <w:r>
        <w:rPr>
          <w:sz w:val="22"/>
        </w:rPr>
        <w:t>rule</w:t>
      </w:r>
      <w:r>
        <w:rPr>
          <w:spacing w:val="-7"/>
          <w:sz w:val="22"/>
        </w:rPr>
        <w:t> </w:t>
      </w:r>
      <w:r>
        <w:rPr>
          <w:spacing w:val="-2"/>
          <w:sz w:val="22"/>
        </w:rPr>
        <w:t>implemented.</w:t>
      </w:r>
    </w:p>
    <w:p>
      <w:pPr>
        <w:tabs>
          <w:tab w:pos="1439" w:val="left" w:leader="none"/>
        </w:tabs>
        <w:spacing w:line="242" w:lineRule="auto" w:before="0"/>
        <w:ind w:left="360" w:right="927" w:firstLine="0"/>
        <w:jc w:val="left"/>
        <w:rPr>
          <w:sz w:val="22"/>
        </w:rPr>
      </w:pPr>
      <w:r>
        <w:rPr>
          <w:spacing w:val="-2"/>
          <w:sz w:val="22"/>
        </w:rPr>
        <w:t>9-11-20</w:t>
      </w:r>
      <w:r>
        <w:rPr>
          <w:sz w:val="22"/>
        </w:rPr>
        <w:tab/>
        <w:t>Revisions</w:t>
      </w:r>
      <w:r>
        <w:rPr>
          <w:spacing w:val="-3"/>
          <w:sz w:val="22"/>
        </w:rPr>
        <w:t> </w:t>
      </w:r>
      <w:r>
        <w:rPr>
          <w:sz w:val="22"/>
        </w:rPr>
        <w:t>provides</w:t>
      </w:r>
      <w:r>
        <w:rPr>
          <w:spacing w:val="-3"/>
          <w:sz w:val="22"/>
        </w:rPr>
        <w:t> </w:t>
      </w:r>
      <w:r>
        <w:rPr>
          <w:sz w:val="22"/>
        </w:rPr>
        <w:t>clarification</w:t>
      </w:r>
      <w:r>
        <w:rPr>
          <w:spacing w:val="-3"/>
          <w:sz w:val="22"/>
        </w:rPr>
        <w:t> </w:t>
      </w:r>
      <w:r>
        <w:rPr>
          <w:sz w:val="22"/>
        </w:rPr>
        <w:t>as</w:t>
      </w:r>
      <w:r>
        <w:rPr>
          <w:spacing w:val="-3"/>
          <w:sz w:val="22"/>
        </w:rPr>
        <w:t> </w:t>
      </w:r>
      <w:r>
        <w:rPr>
          <w:sz w:val="22"/>
        </w:rPr>
        <w:t>to</w:t>
      </w:r>
      <w:r>
        <w:rPr>
          <w:spacing w:val="-4"/>
          <w:sz w:val="22"/>
        </w:rPr>
        <w:t> </w:t>
      </w:r>
      <w:r>
        <w:rPr>
          <w:sz w:val="22"/>
        </w:rPr>
        <w:t>who</w:t>
      </w:r>
      <w:r>
        <w:rPr>
          <w:spacing w:val="-3"/>
          <w:sz w:val="22"/>
        </w:rPr>
        <w:t> </w:t>
      </w:r>
      <w:r>
        <w:rPr>
          <w:sz w:val="22"/>
        </w:rPr>
        <w:t>is</w:t>
      </w:r>
      <w:r>
        <w:rPr>
          <w:spacing w:val="-3"/>
          <w:sz w:val="22"/>
        </w:rPr>
        <w:t> </w:t>
      </w:r>
      <w:r>
        <w:rPr>
          <w:sz w:val="22"/>
        </w:rPr>
        <w:t>a</w:t>
      </w:r>
      <w:r>
        <w:rPr>
          <w:spacing w:val="-3"/>
          <w:sz w:val="22"/>
        </w:rPr>
        <w:t> </w:t>
      </w:r>
      <w:r>
        <w:rPr>
          <w:sz w:val="22"/>
        </w:rPr>
        <w:t>student</w:t>
      </w:r>
      <w:r>
        <w:rPr>
          <w:spacing w:val="-3"/>
          <w:sz w:val="22"/>
        </w:rPr>
        <w:t> </w:t>
      </w:r>
      <w:r>
        <w:rPr>
          <w:sz w:val="22"/>
        </w:rPr>
        <w:t>with</w:t>
      </w:r>
      <w:r>
        <w:rPr>
          <w:spacing w:val="-3"/>
          <w:sz w:val="22"/>
        </w:rPr>
        <w:t> </w:t>
      </w:r>
      <w:r>
        <w:rPr>
          <w:sz w:val="22"/>
        </w:rPr>
        <w:t>a</w:t>
      </w:r>
      <w:r>
        <w:rPr>
          <w:spacing w:val="-3"/>
          <w:sz w:val="22"/>
        </w:rPr>
        <w:t> </w:t>
      </w:r>
      <w:r>
        <w:rPr>
          <w:sz w:val="22"/>
        </w:rPr>
        <w:t>disability</w:t>
      </w:r>
      <w:r>
        <w:rPr>
          <w:spacing w:val="-3"/>
          <w:sz w:val="22"/>
        </w:rPr>
        <w:t> </w:t>
      </w:r>
      <w:r>
        <w:rPr>
          <w:sz w:val="22"/>
        </w:rPr>
        <w:t>under</w:t>
      </w:r>
      <w:r>
        <w:rPr>
          <w:spacing w:val="-3"/>
          <w:sz w:val="22"/>
        </w:rPr>
        <w:t> </w:t>
      </w:r>
      <w:r>
        <w:rPr>
          <w:sz w:val="22"/>
        </w:rPr>
        <w:t>WIOA. </w:t>
      </w:r>
      <w:r>
        <w:rPr>
          <w:spacing w:val="-2"/>
          <w:sz w:val="22"/>
        </w:rPr>
        <w:t>8-26-21</w:t>
      </w:r>
      <w:r>
        <w:rPr>
          <w:sz w:val="22"/>
        </w:rPr>
        <w:tab/>
        <w:t>Revised to reflect WIOA language.</w:t>
      </w:r>
    </w:p>
    <w:p>
      <w:pPr>
        <w:spacing w:after="0" w:line="242" w:lineRule="auto"/>
        <w:jc w:val="left"/>
        <w:rPr>
          <w:sz w:val="22"/>
        </w:rPr>
        <w:sectPr>
          <w:pgSz w:w="12240" w:h="15840"/>
          <w:pgMar w:top="1340" w:bottom="280" w:left="1080" w:right="720"/>
        </w:sectPr>
      </w:pPr>
    </w:p>
    <w:p>
      <w:pPr>
        <w:pStyle w:val="Heading2"/>
      </w:pPr>
      <w:bookmarkStart w:name="612:10-7-245.  Definitions" w:id="235"/>
      <w:bookmarkEnd w:id="235"/>
      <w:r>
        <w:rPr>
          <w:b w:val="0"/>
        </w:rPr>
      </w:r>
      <w:r>
        <w:rPr/>
        <w:t>612:10-7-245.</w:t>
      </w:r>
      <w:r>
        <w:rPr>
          <w:spacing w:val="58"/>
        </w:rPr>
        <w:t> </w:t>
      </w:r>
      <w:r>
        <w:rPr>
          <w:spacing w:val="-2"/>
        </w:rPr>
        <w:t>Definitions</w:t>
      </w:r>
    </w:p>
    <w:p>
      <w:pPr>
        <w:pStyle w:val="BodyText"/>
        <w:spacing w:line="208" w:lineRule="auto" w:before="233"/>
        <w:ind w:right="775" w:firstLine="432"/>
      </w:pPr>
      <w:r>
        <w:rPr/>
        <w:t>The</w:t>
      </w:r>
      <w:r>
        <w:rPr>
          <w:spacing w:val="-3"/>
        </w:rPr>
        <w:t> </w:t>
      </w:r>
      <w:r>
        <w:rPr/>
        <w:t>following</w:t>
      </w:r>
      <w:r>
        <w:rPr>
          <w:spacing w:val="-3"/>
        </w:rPr>
        <w:t> </w:t>
      </w:r>
      <w:r>
        <w:rPr/>
        <w:t>words</w:t>
      </w:r>
      <w:r>
        <w:rPr>
          <w:spacing w:val="-3"/>
        </w:rPr>
        <w:t> </w:t>
      </w:r>
      <w:r>
        <w:rPr/>
        <w:t>and</w:t>
      </w:r>
      <w:r>
        <w:rPr>
          <w:spacing w:val="-3"/>
        </w:rPr>
        <w:t> </w:t>
      </w:r>
      <w:r>
        <w:rPr/>
        <w:t>terms,</w:t>
      </w:r>
      <w:r>
        <w:rPr>
          <w:spacing w:val="-5"/>
        </w:rPr>
        <w:t> </w:t>
      </w:r>
      <w:r>
        <w:rPr/>
        <w:t>when</w:t>
      </w:r>
      <w:r>
        <w:rPr>
          <w:spacing w:val="-3"/>
        </w:rPr>
        <w:t> </w:t>
      </w:r>
      <w:r>
        <w:rPr/>
        <w:t>used</w:t>
      </w:r>
      <w:r>
        <w:rPr>
          <w:spacing w:val="-2"/>
        </w:rPr>
        <w:t> </w:t>
      </w:r>
      <w:r>
        <w:rPr/>
        <w:t>in</w:t>
      </w:r>
      <w:r>
        <w:rPr>
          <w:spacing w:val="-3"/>
        </w:rPr>
        <w:t> </w:t>
      </w:r>
      <w:r>
        <w:rPr/>
        <w:t>this</w:t>
      </w:r>
      <w:r>
        <w:rPr>
          <w:spacing w:val="-3"/>
        </w:rPr>
        <w:t> </w:t>
      </w:r>
      <w:r>
        <w:rPr/>
        <w:t>Part,</w:t>
      </w:r>
      <w:r>
        <w:rPr>
          <w:spacing w:val="-4"/>
        </w:rPr>
        <w:t> </w:t>
      </w:r>
      <w:r>
        <w:rPr/>
        <w:t>shall</w:t>
      </w:r>
      <w:r>
        <w:rPr>
          <w:spacing w:val="-3"/>
        </w:rPr>
        <w:t> </w:t>
      </w:r>
      <w:r>
        <w:rPr/>
        <w:t>have</w:t>
      </w:r>
      <w:r>
        <w:rPr>
          <w:spacing w:val="-2"/>
        </w:rPr>
        <w:t> </w:t>
      </w:r>
      <w:r>
        <w:rPr/>
        <w:t>the</w:t>
      </w:r>
      <w:r>
        <w:rPr>
          <w:spacing w:val="-3"/>
        </w:rPr>
        <w:t> </w:t>
      </w:r>
      <w:r>
        <w:rPr/>
        <w:t>following meaning, unless the context clearly indicates otherwise:</w:t>
      </w:r>
    </w:p>
    <w:p>
      <w:pPr>
        <w:pStyle w:val="BodyText"/>
        <w:spacing w:line="208" w:lineRule="auto"/>
        <w:ind w:left="359" w:right="775" w:firstLine="432"/>
      </w:pPr>
      <w:r>
        <w:rPr>
          <w:b/>
        </w:rPr>
        <w:t>"Employer</w:t>
      </w:r>
      <w:r>
        <w:rPr>
          <w:b/>
          <w:spacing w:val="-5"/>
        </w:rPr>
        <w:t> </w:t>
      </w:r>
      <w:r>
        <w:rPr>
          <w:b/>
        </w:rPr>
        <w:t>Work</w:t>
      </w:r>
      <w:r>
        <w:rPr>
          <w:b/>
          <w:spacing w:val="-5"/>
        </w:rPr>
        <w:t> </w:t>
      </w:r>
      <w:r>
        <w:rPr>
          <w:b/>
        </w:rPr>
        <w:t>Study</w:t>
      </w:r>
      <w:r>
        <w:rPr>
          <w:b/>
          <w:spacing w:val="-5"/>
        </w:rPr>
        <w:t> </w:t>
      </w:r>
      <w:r>
        <w:rPr>
          <w:b/>
        </w:rPr>
        <w:t>(EWS)"</w:t>
      </w:r>
      <w:r>
        <w:rPr>
          <w:b/>
          <w:spacing w:val="-5"/>
        </w:rPr>
        <w:t> </w:t>
      </w:r>
      <w:r>
        <w:rPr/>
        <w:t>allows</w:t>
      </w:r>
      <w:r>
        <w:rPr>
          <w:spacing w:val="-5"/>
        </w:rPr>
        <w:t> </w:t>
      </w:r>
      <w:r>
        <w:rPr/>
        <w:t>students</w:t>
      </w:r>
      <w:r>
        <w:rPr>
          <w:spacing w:val="-5"/>
        </w:rPr>
        <w:t> </w:t>
      </w:r>
      <w:r>
        <w:rPr/>
        <w:t>with</w:t>
      </w:r>
      <w:r>
        <w:rPr>
          <w:spacing w:val="-5"/>
        </w:rPr>
        <w:t> </w:t>
      </w:r>
      <w:r>
        <w:rPr/>
        <w:t>disabilities</w:t>
      </w:r>
      <w:r>
        <w:rPr>
          <w:spacing w:val="-5"/>
        </w:rPr>
        <w:t> </w:t>
      </w:r>
      <w:r>
        <w:rPr/>
        <w:t>employment experience in part-time jobs in the community with the employers paying the wages/salary(ies). In this instance, the students are employees of the community employers,</w:t>
      </w:r>
      <w:r>
        <w:rPr>
          <w:spacing w:val="-2"/>
        </w:rPr>
        <w:t> </w:t>
      </w:r>
      <w:r>
        <w:rPr/>
        <w:t>and</w:t>
      </w:r>
      <w:r>
        <w:rPr>
          <w:spacing w:val="-3"/>
        </w:rPr>
        <w:t> </w:t>
      </w:r>
      <w:r>
        <w:rPr/>
        <w:t>DRS</w:t>
      </w:r>
      <w:r>
        <w:rPr>
          <w:spacing w:val="-2"/>
        </w:rPr>
        <w:t> </w:t>
      </w:r>
      <w:r>
        <w:rPr/>
        <w:t>does</w:t>
      </w:r>
      <w:r>
        <w:rPr>
          <w:spacing w:val="-3"/>
        </w:rPr>
        <w:t> </w:t>
      </w:r>
      <w:r>
        <w:rPr/>
        <w:t>not</w:t>
      </w:r>
      <w:r>
        <w:rPr>
          <w:spacing w:val="-2"/>
        </w:rPr>
        <w:t> </w:t>
      </w:r>
      <w:r>
        <w:rPr/>
        <w:t>reimburse</w:t>
      </w:r>
      <w:r>
        <w:rPr>
          <w:spacing w:val="-3"/>
        </w:rPr>
        <w:t> </w:t>
      </w:r>
      <w:r>
        <w:rPr/>
        <w:t>the</w:t>
      </w:r>
      <w:r>
        <w:rPr>
          <w:spacing w:val="-3"/>
        </w:rPr>
        <w:t> </w:t>
      </w:r>
      <w:r>
        <w:rPr/>
        <w:t>employers</w:t>
      </w:r>
      <w:r>
        <w:rPr>
          <w:spacing w:val="-3"/>
        </w:rPr>
        <w:t> </w:t>
      </w:r>
      <w:r>
        <w:rPr/>
        <w:t>for</w:t>
      </w:r>
      <w:r>
        <w:rPr>
          <w:spacing w:val="-3"/>
        </w:rPr>
        <w:t> </w:t>
      </w:r>
      <w:r>
        <w:rPr/>
        <w:t>the</w:t>
      </w:r>
      <w:r>
        <w:rPr>
          <w:spacing w:val="-3"/>
        </w:rPr>
        <w:t> </w:t>
      </w:r>
      <w:r>
        <w:rPr/>
        <w:t>wages/salary(ies).</w:t>
      </w:r>
    </w:p>
    <w:p>
      <w:pPr>
        <w:pStyle w:val="BodyText"/>
        <w:spacing w:line="208" w:lineRule="auto" w:before="239"/>
        <w:ind w:left="359" w:right="775" w:firstLine="432"/>
        <w:rPr>
          <w:b/>
        </w:rPr>
      </w:pPr>
      <w:r>
        <w:rPr>
          <w:b/>
        </w:rPr>
        <w:t>"FLSA"</w:t>
      </w:r>
      <w:r>
        <w:rPr>
          <w:b/>
          <w:spacing w:val="-4"/>
        </w:rPr>
        <w:t> </w:t>
      </w:r>
      <w:r>
        <w:rPr/>
        <w:t>means</w:t>
      </w:r>
      <w:r>
        <w:rPr>
          <w:spacing w:val="-4"/>
        </w:rPr>
        <w:t> </w:t>
      </w:r>
      <w:r>
        <w:rPr/>
        <w:t>the</w:t>
      </w:r>
      <w:r>
        <w:rPr>
          <w:spacing w:val="-4"/>
        </w:rPr>
        <w:t> </w:t>
      </w:r>
      <w:r>
        <w:rPr/>
        <w:t>Fair</w:t>
      </w:r>
      <w:r>
        <w:rPr>
          <w:spacing w:val="-3"/>
        </w:rPr>
        <w:t> </w:t>
      </w:r>
      <w:r>
        <w:rPr/>
        <w:t>Labor</w:t>
      </w:r>
      <w:r>
        <w:rPr>
          <w:spacing w:val="-3"/>
        </w:rPr>
        <w:t> </w:t>
      </w:r>
      <w:r>
        <w:rPr/>
        <w:t>Standards</w:t>
      </w:r>
      <w:r>
        <w:rPr>
          <w:spacing w:val="-4"/>
        </w:rPr>
        <w:t> </w:t>
      </w:r>
      <w:r>
        <w:rPr/>
        <w:t>Act</w:t>
      </w:r>
      <w:r>
        <w:rPr>
          <w:spacing w:val="-3"/>
        </w:rPr>
        <w:t> </w:t>
      </w:r>
      <w:r>
        <w:rPr/>
        <w:t>which</w:t>
      </w:r>
      <w:r>
        <w:rPr>
          <w:spacing w:val="-4"/>
        </w:rPr>
        <w:t> </w:t>
      </w:r>
      <w:r>
        <w:rPr/>
        <w:t>sets</w:t>
      </w:r>
      <w:r>
        <w:rPr>
          <w:spacing w:val="-4"/>
        </w:rPr>
        <w:t> </w:t>
      </w:r>
      <w:r>
        <w:rPr/>
        <w:t>forth</w:t>
      </w:r>
      <w:r>
        <w:rPr>
          <w:spacing w:val="-4"/>
        </w:rPr>
        <w:t> </w:t>
      </w:r>
      <w:r>
        <w:rPr/>
        <w:t>labor</w:t>
      </w:r>
      <w:r>
        <w:rPr>
          <w:spacing w:val="-3"/>
        </w:rPr>
        <w:t> </w:t>
      </w:r>
      <w:r>
        <w:rPr/>
        <w:t>standards</w:t>
      </w:r>
      <w:r>
        <w:rPr>
          <w:spacing w:val="-4"/>
        </w:rPr>
        <w:t> </w:t>
      </w:r>
      <w:r>
        <w:rPr/>
        <w:t>and protections as enforced by the U.S. Department of Labor. </w:t>
      </w:r>
      <w:r>
        <w:rPr>
          <w:b/>
        </w:rPr>
        <w:t>1</w:t>
      </w:r>
    </w:p>
    <w:p>
      <w:pPr>
        <w:pStyle w:val="BodyText"/>
        <w:spacing w:line="208" w:lineRule="auto"/>
        <w:ind w:right="775" w:firstLine="432"/>
        <w:rPr>
          <w:b/>
        </w:rPr>
      </w:pPr>
      <w:r>
        <w:rPr>
          <w:b/>
        </w:rPr>
        <w:t>"IDEA"</w:t>
      </w:r>
      <w:r>
        <w:rPr>
          <w:b/>
          <w:spacing w:val="-4"/>
        </w:rPr>
        <w:t> </w:t>
      </w:r>
      <w:r>
        <w:rPr/>
        <w:t>means</w:t>
      </w:r>
      <w:r>
        <w:rPr>
          <w:spacing w:val="-4"/>
        </w:rPr>
        <w:t> </w:t>
      </w:r>
      <w:r>
        <w:rPr/>
        <w:t>the</w:t>
      </w:r>
      <w:r>
        <w:rPr>
          <w:spacing w:val="-4"/>
        </w:rPr>
        <w:t> </w:t>
      </w:r>
      <w:r>
        <w:rPr/>
        <w:t>Individuals</w:t>
      </w:r>
      <w:r>
        <w:rPr>
          <w:spacing w:val="-4"/>
        </w:rPr>
        <w:t> </w:t>
      </w:r>
      <w:r>
        <w:rPr/>
        <w:t>with</w:t>
      </w:r>
      <w:r>
        <w:rPr>
          <w:spacing w:val="-4"/>
        </w:rPr>
        <w:t> </w:t>
      </w:r>
      <w:r>
        <w:rPr/>
        <w:t>Disabilities</w:t>
      </w:r>
      <w:r>
        <w:rPr>
          <w:spacing w:val="-4"/>
        </w:rPr>
        <w:t> </w:t>
      </w:r>
      <w:r>
        <w:rPr/>
        <w:t>Education</w:t>
      </w:r>
      <w:r>
        <w:rPr>
          <w:spacing w:val="-4"/>
        </w:rPr>
        <w:t> </w:t>
      </w:r>
      <w:r>
        <w:rPr/>
        <w:t>Act,</w:t>
      </w:r>
      <w:r>
        <w:rPr>
          <w:spacing w:val="-3"/>
        </w:rPr>
        <w:t> </w:t>
      </w:r>
      <w:r>
        <w:rPr/>
        <w:t>P.L.</w:t>
      </w:r>
      <w:r>
        <w:rPr>
          <w:spacing w:val="-6"/>
        </w:rPr>
        <w:t> </w:t>
      </w:r>
      <w:r>
        <w:rPr/>
        <w:t>101-476</w:t>
      </w:r>
      <w:r>
        <w:rPr>
          <w:spacing w:val="-4"/>
        </w:rPr>
        <w:t> </w:t>
      </w:r>
      <w:r>
        <w:rPr/>
        <w:t>which ensures the rights and protections of children with disabilities and their parents being served by public education agencies through special education services and on an individualized education program (IEP). </w:t>
      </w:r>
      <w:r>
        <w:rPr>
          <w:b/>
        </w:rPr>
        <w:t>2</w:t>
      </w:r>
    </w:p>
    <w:p>
      <w:pPr>
        <w:pStyle w:val="BodyText"/>
        <w:spacing w:line="208" w:lineRule="auto"/>
        <w:ind w:right="775" w:firstLine="432"/>
      </w:pPr>
      <w:r>
        <w:rPr>
          <w:b/>
        </w:rPr>
        <w:t>"IEP"</w:t>
      </w:r>
      <w:r>
        <w:rPr>
          <w:b/>
          <w:spacing w:val="-5"/>
        </w:rPr>
        <w:t> </w:t>
      </w:r>
      <w:r>
        <w:rPr/>
        <w:t>means</w:t>
      </w:r>
      <w:r>
        <w:rPr>
          <w:spacing w:val="-5"/>
        </w:rPr>
        <w:t> </w:t>
      </w:r>
      <w:r>
        <w:rPr/>
        <w:t>Individualized</w:t>
      </w:r>
      <w:r>
        <w:rPr>
          <w:spacing w:val="-5"/>
        </w:rPr>
        <w:t> </w:t>
      </w:r>
      <w:r>
        <w:rPr/>
        <w:t>Education</w:t>
      </w:r>
      <w:r>
        <w:rPr>
          <w:spacing w:val="-5"/>
        </w:rPr>
        <w:t> </w:t>
      </w:r>
      <w:r>
        <w:rPr/>
        <w:t>Program.</w:t>
      </w:r>
      <w:r>
        <w:rPr>
          <w:spacing w:val="-4"/>
        </w:rPr>
        <w:t> </w:t>
      </w:r>
      <w:r>
        <w:rPr/>
        <w:t>This</w:t>
      </w:r>
      <w:r>
        <w:rPr>
          <w:spacing w:val="-5"/>
        </w:rPr>
        <w:t> </w:t>
      </w:r>
      <w:r>
        <w:rPr/>
        <w:t>is</w:t>
      </w:r>
      <w:r>
        <w:rPr>
          <w:spacing w:val="-5"/>
        </w:rPr>
        <w:t> </w:t>
      </w:r>
      <w:r>
        <w:rPr/>
        <w:t>an</w:t>
      </w:r>
      <w:r>
        <w:rPr>
          <w:spacing w:val="-5"/>
        </w:rPr>
        <w:t> </w:t>
      </w:r>
      <w:r>
        <w:rPr/>
        <w:t>educational</w:t>
      </w:r>
      <w:r>
        <w:rPr>
          <w:spacing w:val="-5"/>
        </w:rPr>
        <w:t> </w:t>
      </w:r>
      <w:r>
        <w:rPr/>
        <w:t>document developed on an annual basis that documents the educational and transition goals students are working toward each year in grades PK-12.</w:t>
      </w:r>
    </w:p>
    <w:p>
      <w:pPr>
        <w:pStyle w:val="BodyText"/>
        <w:spacing w:before="210"/>
        <w:ind w:left="792"/>
      </w:pPr>
      <w:r>
        <w:rPr>
          <w:b/>
        </w:rPr>
        <w:t>"LEA"</w:t>
      </w:r>
      <w:r>
        <w:rPr>
          <w:b/>
          <w:spacing w:val="-6"/>
        </w:rPr>
        <w:t> </w:t>
      </w:r>
      <w:r>
        <w:rPr/>
        <w:t>means</w:t>
      </w:r>
      <w:r>
        <w:rPr>
          <w:spacing w:val="-3"/>
        </w:rPr>
        <w:t> </w:t>
      </w:r>
      <w:r>
        <w:rPr/>
        <w:t>Local</w:t>
      </w:r>
      <w:r>
        <w:rPr>
          <w:spacing w:val="-2"/>
        </w:rPr>
        <w:t> </w:t>
      </w:r>
      <w:r>
        <w:rPr/>
        <w:t>Educational</w:t>
      </w:r>
      <w:r>
        <w:rPr>
          <w:spacing w:val="-3"/>
        </w:rPr>
        <w:t> </w:t>
      </w:r>
      <w:r>
        <w:rPr/>
        <w:t>Agency,</w:t>
      </w:r>
      <w:r>
        <w:rPr>
          <w:spacing w:val="-3"/>
        </w:rPr>
        <w:t> </w:t>
      </w:r>
      <w:r>
        <w:rPr/>
        <w:t>or</w:t>
      </w:r>
      <w:r>
        <w:rPr>
          <w:spacing w:val="-2"/>
        </w:rPr>
        <w:t> </w:t>
      </w:r>
      <w:r>
        <w:rPr/>
        <w:t>local</w:t>
      </w:r>
      <w:r>
        <w:rPr>
          <w:spacing w:val="-3"/>
        </w:rPr>
        <w:t> </w:t>
      </w:r>
      <w:r>
        <w:rPr/>
        <w:t>school</w:t>
      </w:r>
      <w:r>
        <w:rPr>
          <w:spacing w:val="-3"/>
        </w:rPr>
        <w:t> </w:t>
      </w:r>
      <w:r>
        <w:rPr>
          <w:spacing w:val="-2"/>
        </w:rPr>
        <w:t>district.</w:t>
      </w:r>
    </w:p>
    <w:p>
      <w:pPr>
        <w:pStyle w:val="BodyText"/>
        <w:spacing w:line="208" w:lineRule="auto" w:before="233"/>
        <w:ind w:right="727" w:firstLine="432"/>
      </w:pPr>
      <w:r>
        <w:rPr>
          <w:b/>
        </w:rPr>
        <w:t>"School</w:t>
      </w:r>
      <w:r>
        <w:rPr>
          <w:b/>
          <w:spacing w:val="-2"/>
        </w:rPr>
        <w:t> </w:t>
      </w:r>
      <w:r>
        <w:rPr>
          <w:b/>
        </w:rPr>
        <w:t>Work</w:t>
      </w:r>
      <w:r>
        <w:rPr>
          <w:b/>
          <w:spacing w:val="-3"/>
        </w:rPr>
        <w:t> </w:t>
      </w:r>
      <w:r>
        <w:rPr>
          <w:b/>
        </w:rPr>
        <w:t>Study</w:t>
      </w:r>
      <w:r>
        <w:rPr>
          <w:b/>
          <w:spacing w:val="-3"/>
        </w:rPr>
        <w:t> </w:t>
      </w:r>
      <w:r>
        <w:rPr>
          <w:b/>
        </w:rPr>
        <w:t>(SWS)"</w:t>
      </w:r>
      <w:r>
        <w:rPr>
          <w:b/>
          <w:spacing w:val="-3"/>
        </w:rPr>
        <w:t> </w:t>
      </w:r>
      <w:r>
        <w:rPr/>
        <w:t>allows</w:t>
      </w:r>
      <w:r>
        <w:rPr>
          <w:spacing w:val="-3"/>
        </w:rPr>
        <w:t> </w:t>
      </w:r>
      <w:r>
        <w:rPr/>
        <w:t>students</w:t>
      </w:r>
      <w:r>
        <w:rPr>
          <w:spacing w:val="-3"/>
        </w:rPr>
        <w:t> </w:t>
      </w:r>
      <w:r>
        <w:rPr/>
        <w:t>with</w:t>
      </w:r>
      <w:r>
        <w:rPr>
          <w:spacing w:val="-3"/>
        </w:rPr>
        <w:t> </w:t>
      </w:r>
      <w:r>
        <w:rPr/>
        <w:t>disabilities</w:t>
      </w:r>
      <w:r>
        <w:rPr>
          <w:spacing w:val="-3"/>
        </w:rPr>
        <w:t> </w:t>
      </w:r>
      <w:r>
        <w:rPr/>
        <w:t>to</w:t>
      </w:r>
      <w:r>
        <w:rPr>
          <w:spacing w:val="-3"/>
        </w:rPr>
        <w:t> </w:t>
      </w:r>
      <w:r>
        <w:rPr/>
        <w:t>work</w:t>
      </w:r>
      <w:r>
        <w:rPr>
          <w:spacing w:val="-3"/>
        </w:rPr>
        <w:t> </w:t>
      </w:r>
      <w:r>
        <w:rPr/>
        <w:t>on</w:t>
      </w:r>
      <w:r>
        <w:rPr>
          <w:spacing w:val="-3"/>
        </w:rPr>
        <w:t> </w:t>
      </w:r>
      <w:r>
        <w:rPr/>
        <w:t>the</w:t>
      </w:r>
      <w:r>
        <w:rPr>
          <w:spacing w:val="-4"/>
        </w:rPr>
        <w:t> </w:t>
      </w:r>
      <w:r>
        <w:rPr/>
        <w:t>school campus.</w:t>
      </w:r>
      <w:r>
        <w:rPr>
          <w:spacing w:val="-3"/>
        </w:rPr>
        <w:t> </w:t>
      </w:r>
      <w:r>
        <w:rPr/>
        <w:t>The</w:t>
      </w:r>
      <w:r>
        <w:rPr>
          <w:spacing w:val="-4"/>
        </w:rPr>
        <w:t> </w:t>
      </w:r>
      <w:r>
        <w:rPr/>
        <w:t>students</w:t>
      </w:r>
      <w:r>
        <w:rPr>
          <w:spacing w:val="-4"/>
        </w:rPr>
        <w:t> </w:t>
      </w:r>
      <w:r>
        <w:rPr/>
        <w:t>are</w:t>
      </w:r>
      <w:r>
        <w:rPr>
          <w:spacing w:val="-4"/>
        </w:rPr>
        <w:t> </w:t>
      </w:r>
      <w:r>
        <w:rPr/>
        <w:t>supervised</w:t>
      </w:r>
      <w:r>
        <w:rPr>
          <w:spacing w:val="-4"/>
        </w:rPr>
        <w:t> </w:t>
      </w:r>
      <w:r>
        <w:rPr/>
        <w:t>or</w:t>
      </w:r>
      <w:r>
        <w:rPr>
          <w:spacing w:val="-3"/>
        </w:rPr>
        <w:t> </w:t>
      </w:r>
      <w:r>
        <w:rPr/>
        <w:t>closely</w:t>
      </w:r>
      <w:r>
        <w:rPr>
          <w:spacing w:val="-4"/>
        </w:rPr>
        <w:t> </w:t>
      </w:r>
      <w:r>
        <w:rPr/>
        <w:t>monitored</w:t>
      </w:r>
      <w:r>
        <w:rPr>
          <w:spacing w:val="-4"/>
        </w:rPr>
        <w:t> </w:t>
      </w:r>
      <w:r>
        <w:rPr/>
        <w:t>by</w:t>
      </w:r>
      <w:r>
        <w:rPr>
          <w:spacing w:val="-4"/>
        </w:rPr>
        <w:t> </w:t>
      </w:r>
      <w:r>
        <w:rPr/>
        <w:t>school</w:t>
      </w:r>
      <w:r>
        <w:rPr>
          <w:spacing w:val="-4"/>
        </w:rPr>
        <w:t> </w:t>
      </w:r>
      <w:r>
        <w:rPr/>
        <w:t>personnel,</w:t>
      </w:r>
      <w:r>
        <w:rPr>
          <w:spacing w:val="-3"/>
        </w:rPr>
        <w:t> </w:t>
      </w:r>
      <w:r>
        <w:rPr/>
        <w:t>and</w:t>
      </w:r>
      <w:r>
        <w:rPr>
          <w:spacing w:val="-4"/>
        </w:rPr>
        <w:t> </w:t>
      </w:r>
      <w:r>
        <w:rPr/>
        <w:t>the school pays the students a stipend with DRS making reimbursement to the school for that payment. The stipend is not a wage/salary. The school maintains liability for the students while working on campus.</w:t>
      </w:r>
    </w:p>
    <w:p>
      <w:pPr>
        <w:pStyle w:val="BodyText"/>
        <w:spacing w:before="211"/>
        <w:ind w:left="791"/>
      </w:pPr>
      <w:r>
        <w:rPr>
          <w:b/>
        </w:rPr>
        <w:t>"SDE"</w:t>
      </w:r>
      <w:r>
        <w:rPr>
          <w:b/>
          <w:spacing w:val="-3"/>
        </w:rPr>
        <w:t> </w:t>
      </w:r>
      <w:r>
        <w:rPr/>
        <w:t>means</w:t>
      </w:r>
      <w:r>
        <w:rPr>
          <w:spacing w:val="-3"/>
        </w:rPr>
        <w:t> </w:t>
      </w:r>
      <w:r>
        <w:rPr/>
        <w:t>State</w:t>
      </w:r>
      <w:r>
        <w:rPr>
          <w:spacing w:val="-3"/>
        </w:rPr>
        <w:t> </w:t>
      </w:r>
      <w:r>
        <w:rPr/>
        <w:t>Department</w:t>
      </w:r>
      <w:r>
        <w:rPr>
          <w:spacing w:val="-3"/>
        </w:rPr>
        <w:t> </w:t>
      </w:r>
      <w:r>
        <w:rPr/>
        <w:t>of</w:t>
      </w:r>
      <w:r>
        <w:rPr>
          <w:spacing w:val="-3"/>
        </w:rPr>
        <w:t> </w:t>
      </w:r>
      <w:r>
        <w:rPr>
          <w:spacing w:val="-2"/>
        </w:rPr>
        <w:t>Education.</w:t>
      </w:r>
    </w:p>
    <w:p>
      <w:pPr>
        <w:pStyle w:val="BodyText"/>
        <w:spacing w:line="208" w:lineRule="auto" w:before="233"/>
        <w:ind w:left="359" w:right="775" w:firstLine="432"/>
        <w:rPr>
          <w:b/>
        </w:rPr>
      </w:pPr>
      <w:r>
        <w:rPr>
          <w:b/>
        </w:rPr>
        <w:t>"SECTION 504 Plan" </w:t>
      </w:r>
      <w:r>
        <w:rPr/>
        <w:t>is a plan designed as a protection for students with disabilities</w:t>
      </w:r>
      <w:r>
        <w:rPr>
          <w:spacing w:val="-3"/>
        </w:rPr>
        <w:t> </w:t>
      </w:r>
      <w:r>
        <w:rPr/>
        <w:t>who</w:t>
      </w:r>
      <w:r>
        <w:rPr>
          <w:spacing w:val="-3"/>
        </w:rPr>
        <w:t> </w:t>
      </w:r>
      <w:r>
        <w:rPr/>
        <w:t>may</w:t>
      </w:r>
      <w:r>
        <w:rPr>
          <w:spacing w:val="-4"/>
        </w:rPr>
        <w:t> </w:t>
      </w:r>
      <w:r>
        <w:rPr/>
        <w:t>not</w:t>
      </w:r>
      <w:r>
        <w:rPr>
          <w:spacing w:val="-3"/>
        </w:rPr>
        <w:t> </w:t>
      </w:r>
      <w:r>
        <w:rPr/>
        <w:t>be</w:t>
      </w:r>
      <w:r>
        <w:rPr>
          <w:spacing w:val="-3"/>
        </w:rPr>
        <w:t> </w:t>
      </w:r>
      <w:r>
        <w:rPr/>
        <w:t>considered</w:t>
      </w:r>
      <w:r>
        <w:rPr>
          <w:spacing w:val="-3"/>
        </w:rPr>
        <w:t> </w:t>
      </w:r>
      <w:r>
        <w:rPr/>
        <w:t>eligible</w:t>
      </w:r>
      <w:r>
        <w:rPr>
          <w:spacing w:val="-4"/>
        </w:rPr>
        <w:t> </w:t>
      </w:r>
      <w:r>
        <w:rPr/>
        <w:t>for</w:t>
      </w:r>
      <w:r>
        <w:rPr>
          <w:spacing w:val="-3"/>
        </w:rPr>
        <w:t> </w:t>
      </w:r>
      <w:r>
        <w:rPr/>
        <w:t>special</w:t>
      </w:r>
      <w:r>
        <w:rPr>
          <w:spacing w:val="-3"/>
        </w:rPr>
        <w:t> </w:t>
      </w:r>
      <w:r>
        <w:rPr/>
        <w:t>education</w:t>
      </w:r>
      <w:r>
        <w:rPr>
          <w:spacing w:val="-3"/>
        </w:rPr>
        <w:t> </w:t>
      </w:r>
      <w:r>
        <w:rPr/>
        <w:t>under</w:t>
      </w:r>
      <w:r>
        <w:rPr>
          <w:spacing w:val="-3"/>
        </w:rPr>
        <w:t> </w:t>
      </w:r>
      <w:r>
        <w:rPr/>
        <w:t>the</w:t>
      </w:r>
      <w:r>
        <w:rPr>
          <w:spacing w:val="-3"/>
        </w:rPr>
        <w:t> </w:t>
      </w:r>
      <w:r>
        <w:rPr/>
        <w:t>IDEA</w:t>
      </w:r>
      <w:r>
        <w:rPr>
          <w:spacing w:val="-3"/>
        </w:rPr>
        <w:t> </w:t>
      </w:r>
      <w:r>
        <w:rPr/>
        <w:t>in compliance with Section 504 of the Rehabilitation Act of 1973 as amended. </w:t>
      </w:r>
      <w:r>
        <w:rPr>
          <w:b/>
        </w:rPr>
        <w:t>3</w:t>
      </w:r>
    </w:p>
    <w:p>
      <w:pPr>
        <w:pStyle w:val="BodyText"/>
        <w:spacing w:line="208" w:lineRule="auto"/>
        <w:ind w:left="359" w:right="775" w:firstLine="432"/>
      </w:pPr>
      <w:r>
        <w:rPr>
          <w:b/>
        </w:rPr>
        <w:t>"Teacher</w:t>
      </w:r>
      <w:r>
        <w:rPr>
          <w:b/>
          <w:spacing w:val="-5"/>
        </w:rPr>
        <w:t> </w:t>
      </w:r>
      <w:r>
        <w:rPr>
          <w:b/>
        </w:rPr>
        <w:t>coordinator"</w:t>
      </w:r>
      <w:r>
        <w:rPr>
          <w:b/>
          <w:spacing w:val="-3"/>
        </w:rPr>
        <w:t> </w:t>
      </w:r>
      <w:r>
        <w:rPr/>
        <w:t>means</w:t>
      </w:r>
      <w:r>
        <w:rPr>
          <w:spacing w:val="-5"/>
        </w:rPr>
        <w:t> </w:t>
      </w:r>
      <w:r>
        <w:rPr/>
        <w:t>a</w:t>
      </w:r>
      <w:r>
        <w:rPr>
          <w:spacing w:val="-4"/>
        </w:rPr>
        <w:t> </w:t>
      </w:r>
      <w:r>
        <w:rPr/>
        <w:t>teacher</w:t>
      </w:r>
      <w:r>
        <w:rPr>
          <w:spacing w:val="-3"/>
        </w:rPr>
        <w:t> </w:t>
      </w:r>
      <w:r>
        <w:rPr/>
        <w:t>employed</w:t>
      </w:r>
      <w:r>
        <w:rPr>
          <w:spacing w:val="-4"/>
        </w:rPr>
        <w:t> </w:t>
      </w:r>
      <w:r>
        <w:rPr/>
        <w:t>by</w:t>
      </w:r>
      <w:r>
        <w:rPr>
          <w:spacing w:val="-3"/>
        </w:rPr>
        <w:t> </w:t>
      </w:r>
      <w:r>
        <w:rPr/>
        <w:t>a</w:t>
      </w:r>
      <w:r>
        <w:rPr>
          <w:spacing w:val="-4"/>
        </w:rPr>
        <w:t> </w:t>
      </w:r>
      <w:r>
        <w:rPr/>
        <w:t>school</w:t>
      </w:r>
      <w:r>
        <w:rPr>
          <w:spacing w:val="-4"/>
        </w:rPr>
        <w:t> </w:t>
      </w:r>
      <w:r>
        <w:rPr/>
        <w:t>who</w:t>
      </w:r>
      <w:r>
        <w:rPr>
          <w:spacing w:val="-4"/>
        </w:rPr>
        <w:t> </w:t>
      </w:r>
      <w:r>
        <w:rPr/>
        <w:t>is</w:t>
      </w:r>
      <w:r>
        <w:rPr>
          <w:spacing w:val="-4"/>
        </w:rPr>
        <w:t> </w:t>
      </w:r>
      <w:r>
        <w:rPr/>
        <w:t>released</w:t>
      </w:r>
      <w:r>
        <w:rPr>
          <w:spacing w:val="-4"/>
        </w:rPr>
        <w:t> </w:t>
      </w:r>
      <w:r>
        <w:rPr/>
        <w:t>as part of her work day and responsible for working with DVR/SBVI counselors and students eligible for the Transition from School to Work Program.</w:t>
      </w:r>
    </w:p>
    <w:p>
      <w:pPr>
        <w:pStyle w:val="BodyText"/>
        <w:spacing w:line="208" w:lineRule="auto" w:before="239"/>
        <w:ind w:left="359" w:right="775" w:firstLine="432"/>
        <w:rPr>
          <w:b/>
        </w:rPr>
      </w:pPr>
      <w:r>
        <w:rPr>
          <w:b/>
        </w:rPr>
        <w:t>"Trial</w:t>
      </w:r>
      <w:r>
        <w:rPr>
          <w:b/>
          <w:spacing w:val="-5"/>
        </w:rPr>
        <w:t> </w:t>
      </w:r>
      <w:r>
        <w:rPr>
          <w:b/>
        </w:rPr>
        <w:t>Work"</w:t>
      </w:r>
      <w:r>
        <w:rPr>
          <w:b/>
          <w:spacing w:val="-4"/>
        </w:rPr>
        <w:t> </w:t>
      </w:r>
      <w:r>
        <w:rPr/>
        <w:t>has</w:t>
      </w:r>
      <w:r>
        <w:rPr>
          <w:spacing w:val="-4"/>
        </w:rPr>
        <w:t> </w:t>
      </w:r>
      <w:r>
        <w:rPr/>
        <w:t>the</w:t>
      </w:r>
      <w:r>
        <w:rPr>
          <w:spacing w:val="-5"/>
        </w:rPr>
        <w:t> </w:t>
      </w:r>
      <w:r>
        <w:rPr/>
        <w:t>meaning</w:t>
      </w:r>
      <w:r>
        <w:rPr>
          <w:spacing w:val="-4"/>
        </w:rPr>
        <w:t> </w:t>
      </w:r>
      <w:r>
        <w:rPr/>
        <w:t>given</w:t>
      </w:r>
      <w:r>
        <w:rPr>
          <w:spacing w:val="-4"/>
        </w:rPr>
        <w:t> </w:t>
      </w:r>
      <w:r>
        <w:rPr/>
        <w:t>these</w:t>
      </w:r>
      <w:r>
        <w:rPr>
          <w:spacing w:val="-4"/>
        </w:rPr>
        <w:t> </w:t>
      </w:r>
      <w:r>
        <w:rPr/>
        <w:t>terms</w:t>
      </w:r>
      <w:r>
        <w:rPr>
          <w:spacing w:val="-4"/>
        </w:rPr>
        <w:t> </w:t>
      </w:r>
      <w:r>
        <w:rPr/>
        <w:t>in</w:t>
      </w:r>
      <w:r>
        <w:rPr>
          <w:spacing w:val="-4"/>
        </w:rPr>
        <w:t> </w:t>
      </w:r>
      <w:r>
        <w:rPr/>
        <w:t>DRS</w:t>
      </w:r>
      <w:r>
        <w:rPr>
          <w:spacing w:val="-4"/>
        </w:rPr>
        <w:t> </w:t>
      </w:r>
      <w:r>
        <w:rPr/>
        <w:t>policy</w:t>
      </w:r>
      <w:r>
        <w:rPr>
          <w:spacing w:val="-4"/>
        </w:rPr>
        <w:t> </w:t>
      </w:r>
      <w:r>
        <w:rPr/>
        <w:t>and</w:t>
      </w:r>
      <w:r>
        <w:rPr>
          <w:spacing w:val="-4"/>
        </w:rPr>
        <w:t> </w:t>
      </w:r>
      <w:r>
        <w:rPr/>
        <w:t>federal law/rules. </w:t>
      </w:r>
      <w:r>
        <w:rPr>
          <w:b/>
        </w:rPr>
        <w:t>4</w:t>
      </w:r>
    </w:p>
    <w:p>
      <w:pPr>
        <w:pStyle w:val="BodyText"/>
        <w:spacing w:line="208" w:lineRule="auto"/>
        <w:ind w:left="359" w:right="775" w:firstLine="432"/>
      </w:pPr>
      <w:r>
        <w:rPr>
          <w:b/>
        </w:rPr>
        <w:t>"Work Adjustment Training (WAT)" </w:t>
      </w:r>
      <w:r>
        <w:rPr/>
        <w:t>is provided on a work site, in a school, or in an</w:t>
      </w:r>
      <w:r>
        <w:rPr>
          <w:spacing w:val="-4"/>
        </w:rPr>
        <w:t> </w:t>
      </w:r>
      <w:r>
        <w:rPr/>
        <w:t>approved</w:t>
      </w:r>
      <w:r>
        <w:rPr>
          <w:spacing w:val="-4"/>
        </w:rPr>
        <w:t> </w:t>
      </w:r>
      <w:r>
        <w:rPr/>
        <w:t>Community</w:t>
      </w:r>
      <w:r>
        <w:rPr>
          <w:spacing w:val="-4"/>
        </w:rPr>
        <w:t> </w:t>
      </w:r>
      <w:r>
        <w:rPr/>
        <w:t>Rehabilitation</w:t>
      </w:r>
      <w:r>
        <w:rPr>
          <w:spacing w:val="-4"/>
        </w:rPr>
        <w:t> </w:t>
      </w:r>
      <w:r>
        <w:rPr/>
        <w:t>Program</w:t>
      </w:r>
      <w:r>
        <w:rPr>
          <w:spacing w:val="-3"/>
        </w:rPr>
        <w:t> </w:t>
      </w:r>
      <w:r>
        <w:rPr/>
        <w:t>having</w:t>
      </w:r>
      <w:r>
        <w:rPr>
          <w:spacing w:val="-4"/>
        </w:rPr>
        <w:t> </w:t>
      </w:r>
      <w:r>
        <w:rPr/>
        <w:t>valid</w:t>
      </w:r>
      <w:r>
        <w:rPr>
          <w:spacing w:val="-4"/>
        </w:rPr>
        <w:t> </w:t>
      </w:r>
      <w:r>
        <w:rPr/>
        <w:t>contracts</w:t>
      </w:r>
      <w:r>
        <w:rPr>
          <w:spacing w:val="-4"/>
        </w:rPr>
        <w:t> </w:t>
      </w:r>
      <w:r>
        <w:rPr/>
        <w:t>with</w:t>
      </w:r>
      <w:r>
        <w:rPr>
          <w:spacing w:val="-4"/>
        </w:rPr>
        <w:t> </w:t>
      </w:r>
      <w:r>
        <w:rPr/>
        <w:t>DRS.</w:t>
      </w:r>
      <w:r>
        <w:rPr>
          <w:spacing w:val="-3"/>
        </w:rPr>
        <w:t> </w:t>
      </w:r>
      <w:r>
        <w:rPr/>
        <w:t>WAT may also include (but is not limited to) activities aimed toward work tolerance, development of personal habits, attitudes, and work habits necessary to orient the individual to the world of work. High school students eligible for this service must be at least 16 years of age and may not participate for more than 18 months unless determined necessary by the counselor and client.</w:t>
      </w:r>
    </w:p>
    <w:p>
      <w:pPr>
        <w:pStyle w:val="BodyText"/>
        <w:spacing w:line="208" w:lineRule="auto" w:before="239"/>
        <w:ind w:left="359" w:right="775" w:firstLine="432"/>
      </w:pPr>
      <w:r>
        <w:rPr>
          <w:b/>
        </w:rPr>
        <w:t>"Work Site Learning (WSL)" </w:t>
      </w:r>
      <w:r>
        <w:rPr/>
        <w:t>allows students with disabilities to work in the community.</w:t>
      </w:r>
      <w:r>
        <w:rPr>
          <w:spacing w:val="-5"/>
        </w:rPr>
        <w:t> </w:t>
      </w:r>
      <w:r>
        <w:rPr/>
        <w:t>The</w:t>
      </w:r>
      <w:r>
        <w:rPr>
          <w:spacing w:val="-4"/>
        </w:rPr>
        <w:t> </w:t>
      </w:r>
      <w:r>
        <w:rPr/>
        <w:t>students</w:t>
      </w:r>
      <w:r>
        <w:rPr>
          <w:spacing w:val="-4"/>
        </w:rPr>
        <w:t> </w:t>
      </w:r>
      <w:r>
        <w:rPr/>
        <w:t>are</w:t>
      </w:r>
      <w:r>
        <w:rPr>
          <w:spacing w:val="-4"/>
        </w:rPr>
        <w:t> </w:t>
      </w:r>
      <w:r>
        <w:rPr/>
        <w:t>supervised</w:t>
      </w:r>
      <w:r>
        <w:rPr>
          <w:spacing w:val="-4"/>
        </w:rPr>
        <w:t> </w:t>
      </w:r>
      <w:r>
        <w:rPr/>
        <w:t>or</w:t>
      </w:r>
      <w:r>
        <w:rPr>
          <w:spacing w:val="-3"/>
        </w:rPr>
        <w:t> </w:t>
      </w:r>
      <w:r>
        <w:rPr/>
        <w:t>closely</w:t>
      </w:r>
      <w:r>
        <w:rPr>
          <w:spacing w:val="-4"/>
        </w:rPr>
        <w:t> </w:t>
      </w:r>
      <w:r>
        <w:rPr/>
        <w:t>monitored</w:t>
      </w:r>
      <w:r>
        <w:rPr>
          <w:spacing w:val="-4"/>
        </w:rPr>
        <w:t> </w:t>
      </w:r>
      <w:r>
        <w:rPr/>
        <w:t>by</w:t>
      </w:r>
      <w:r>
        <w:rPr>
          <w:spacing w:val="-4"/>
        </w:rPr>
        <w:t> </w:t>
      </w:r>
      <w:r>
        <w:rPr/>
        <w:t>school</w:t>
      </w:r>
      <w:r>
        <w:rPr>
          <w:spacing w:val="-4"/>
        </w:rPr>
        <w:t> </w:t>
      </w:r>
      <w:r>
        <w:rPr/>
        <w:t>personnel,</w:t>
      </w:r>
      <w:r>
        <w:rPr>
          <w:spacing w:val="-3"/>
        </w:rPr>
        <w:t> </w:t>
      </w:r>
      <w:r>
        <w:rPr/>
        <w:t>and the school pays the students a stipend with DRS making reimbursement to the school</w:t>
      </w:r>
    </w:p>
    <w:p>
      <w:pPr>
        <w:pStyle w:val="BodyText"/>
        <w:spacing w:after="0" w:line="208" w:lineRule="auto"/>
        <w:sectPr>
          <w:pgSz w:w="12240" w:h="15840"/>
          <w:pgMar w:top="1340" w:bottom="280" w:left="1080" w:right="720"/>
        </w:sectPr>
      </w:pPr>
    </w:p>
    <w:p>
      <w:pPr>
        <w:pStyle w:val="BodyText"/>
        <w:spacing w:line="208" w:lineRule="auto" w:before="96"/>
        <w:ind w:right="775"/>
      </w:pPr>
      <w:r>
        <w:rPr/>
        <w:t>for</w:t>
      </w:r>
      <w:r>
        <w:rPr>
          <w:spacing w:val="-2"/>
        </w:rPr>
        <w:t> </w:t>
      </w:r>
      <w:r>
        <w:rPr/>
        <w:t>that</w:t>
      </w:r>
      <w:r>
        <w:rPr>
          <w:spacing w:val="-4"/>
        </w:rPr>
        <w:t> </w:t>
      </w:r>
      <w:r>
        <w:rPr/>
        <w:t>payment.</w:t>
      </w:r>
      <w:r>
        <w:rPr>
          <w:spacing w:val="-2"/>
        </w:rPr>
        <w:t> </w:t>
      </w:r>
      <w:r>
        <w:rPr/>
        <w:t>The</w:t>
      </w:r>
      <w:r>
        <w:rPr>
          <w:spacing w:val="-4"/>
        </w:rPr>
        <w:t> </w:t>
      </w:r>
      <w:r>
        <w:rPr/>
        <w:t>stipend</w:t>
      </w:r>
      <w:r>
        <w:rPr>
          <w:spacing w:val="-3"/>
        </w:rPr>
        <w:t> </w:t>
      </w:r>
      <w:r>
        <w:rPr/>
        <w:t>is</w:t>
      </w:r>
      <w:r>
        <w:rPr>
          <w:spacing w:val="-3"/>
        </w:rPr>
        <w:t> </w:t>
      </w:r>
      <w:r>
        <w:rPr/>
        <w:t>not</w:t>
      </w:r>
      <w:r>
        <w:rPr>
          <w:spacing w:val="-2"/>
        </w:rPr>
        <w:t> </w:t>
      </w:r>
      <w:r>
        <w:rPr/>
        <w:t>a</w:t>
      </w:r>
      <w:r>
        <w:rPr>
          <w:spacing w:val="-3"/>
        </w:rPr>
        <w:t> </w:t>
      </w:r>
      <w:r>
        <w:rPr/>
        <w:t>wage/salary.</w:t>
      </w:r>
      <w:r>
        <w:rPr>
          <w:spacing w:val="-2"/>
        </w:rPr>
        <w:t> </w:t>
      </w:r>
      <w:r>
        <w:rPr/>
        <w:t>The</w:t>
      </w:r>
      <w:r>
        <w:rPr>
          <w:spacing w:val="-3"/>
        </w:rPr>
        <w:t> </w:t>
      </w:r>
      <w:r>
        <w:rPr/>
        <w:t>school</w:t>
      </w:r>
      <w:r>
        <w:rPr>
          <w:spacing w:val="-3"/>
        </w:rPr>
        <w:t> </w:t>
      </w:r>
      <w:r>
        <w:rPr/>
        <w:t>maintains</w:t>
      </w:r>
      <w:r>
        <w:rPr>
          <w:spacing w:val="-3"/>
        </w:rPr>
        <w:t> </w:t>
      </w:r>
      <w:r>
        <w:rPr/>
        <w:t>liability</w:t>
      </w:r>
      <w:r>
        <w:rPr>
          <w:spacing w:val="-3"/>
        </w:rPr>
        <w:t> </w:t>
      </w:r>
      <w:r>
        <w:rPr/>
        <w:t>for</w:t>
      </w:r>
      <w:r>
        <w:rPr>
          <w:spacing w:val="-4"/>
        </w:rPr>
        <w:t> </w:t>
      </w:r>
      <w:r>
        <w:rPr/>
        <w:t>the students while working off campus.</w:t>
      </w:r>
    </w:p>
    <w:p>
      <w:pPr>
        <w:pStyle w:val="BodyText"/>
        <w:spacing w:before="210"/>
      </w:pPr>
      <w:r>
        <w:rPr/>
        <w:t>Instructions</w:t>
      </w:r>
      <w:r>
        <w:rPr>
          <w:spacing w:val="-5"/>
        </w:rPr>
        <w:t> </w:t>
      </w:r>
      <w:r>
        <w:rPr/>
        <w:t>to</w:t>
      </w:r>
      <w:r>
        <w:rPr>
          <w:spacing w:val="-2"/>
        </w:rPr>
        <w:t> </w:t>
      </w:r>
      <w:r>
        <w:rPr>
          <w:spacing w:val="-4"/>
        </w:rPr>
        <w:t>Staff</w:t>
      </w:r>
    </w:p>
    <w:p>
      <w:pPr>
        <w:pStyle w:val="ListParagraph"/>
        <w:numPr>
          <w:ilvl w:val="0"/>
          <w:numId w:val="257"/>
        </w:numPr>
        <w:tabs>
          <w:tab w:pos="1077" w:val="left" w:leader="none"/>
        </w:tabs>
        <w:spacing w:line="240" w:lineRule="auto" w:before="204" w:after="0"/>
        <w:ind w:left="1077" w:right="0" w:hanging="286"/>
        <w:jc w:val="left"/>
        <w:rPr>
          <w:sz w:val="24"/>
        </w:rPr>
      </w:pPr>
      <w:r>
        <w:rPr>
          <w:sz w:val="24"/>
        </w:rPr>
        <w:t>Information</w:t>
      </w:r>
      <w:r>
        <w:rPr>
          <w:spacing w:val="-4"/>
          <w:sz w:val="24"/>
        </w:rPr>
        <w:t> </w:t>
      </w:r>
      <w:r>
        <w:rPr>
          <w:sz w:val="24"/>
        </w:rPr>
        <w:t>may</w:t>
      </w:r>
      <w:r>
        <w:rPr>
          <w:spacing w:val="-2"/>
          <w:sz w:val="24"/>
        </w:rPr>
        <w:t> </w:t>
      </w:r>
      <w:r>
        <w:rPr>
          <w:sz w:val="24"/>
        </w:rPr>
        <w:t>be</w:t>
      </w:r>
      <w:r>
        <w:rPr>
          <w:spacing w:val="-3"/>
          <w:sz w:val="24"/>
        </w:rPr>
        <w:t> </w:t>
      </w:r>
      <w:r>
        <w:rPr>
          <w:sz w:val="24"/>
        </w:rPr>
        <w:t>found</w:t>
      </w:r>
      <w:r>
        <w:rPr>
          <w:spacing w:val="-2"/>
          <w:sz w:val="24"/>
        </w:rPr>
        <w:t> </w:t>
      </w:r>
      <w:r>
        <w:rPr>
          <w:sz w:val="24"/>
        </w:rPr>
        <w:t>at</w:t>
      </w:r>
      <w:r>
        <w:rPr>
          <w:spacing w:val="-1"/>
          <w:sz w:val="24"/>
        </w:rPr>
        <w:t> </w:t>
      </w:r>
      <w:hyperlink r:id="rId77">
        <w:r>
          <w:rPr>
            <w:color w:val="0000FF"/>
            <w:spacing w:val="-2"/>
            <w:sz w:val="24"/>
            <w:u w:val="single" w:color="0000FF"/>
          </w:rPr>
          <w:t>http://www.dol.gov/whd/flsa/index.htm</w:t>
        </w:r>
      </w:hyperlink>
    </w:p>
    <w:p>
      <w:pPr>
        <w:pStyle w:val="ListParagraph"/>
        <w:numPr>
          <w:ilvl w:val="0"/>
          <w:numId w:val="257"/>
        </w:numPr>
        <w:tabs>
          <w:tab w:pos="1077" w:val="left" w:leader="none"/>
        </w:tabs>
        <w:spacing w:line="240" w:lineRule="auto" w:before="204" w:after="0"/>
        <w:ind w:left="1077" w:right="0" w:hanging="286"/>
        <w:jc w:val="left"/>
        <w:rPr>
          <w:sz w:val="24"/>
        </w:rPr>
      </w:pPr>
      <w:hyperlink r:id="rId78">
        <w:r>
          <w:rPr>
            <w:color w:val="0000FF"/>
            <w:spacing w:val="-2"/>
            <w:sz w:val="24"/>
            <w:u w:val="single" w:color="0000FF"/>
          </w:rPr>
          <w:t>http://idea.ed.gov</w:t>
        </w:r>
      </w:hyperlink>
    </w:p>
    <w:p>
      <w:pPr>
        <w:pStyle w:val="ListParagraph"/>
        <w:numPr>
          <w:ilvl w:val="0"/>
          <w:numId w:val="257"/>
        </w:numPr>
        <w:tabs>
          <w:tab w:pos="1077" w:val="left" w:leader="none"/>
        </w:tabs>
        <w:spacing w:line="240" w:lineRule="auto" w:before="204" w:after="0"/>
        <w:ind w:left="1077" w:right="0" w:hanging="286"/>
        <w:jc w:val="left"/>
        <w:rPr>
          <w:sz w:val="24"/>
        </w:rPr>
      </w:pPr>
      <w:hyperlink r:id="rId79">
        <w:r>
          <w:rPr>
            <w:color w:val="0000FF"/>
            <w:spacing w:val="-2"/>
            <w:sz w:val="24"/>
            <w:u w:val="single" w:color="0000FF"/>
          </w:rPr>
          <w:t>http://ed.gov/about/offices/list/ocr/504faq.html</w:t>
        </w:r>
      </w:hyperlink>
    </w:p>
    <w:p>
      <w:pPr>
        <w:pStyle w:val="ListParagraph"/>
        <w:numPr>
          <w:ilvl w:val="0"/>
          <w:numId w:val="257"/>
        </w:numPr>
        <w:tabs>
          <w:tab w:pos="1077" w:val="left" w:leader="none"/>
        </w:tabs>
        <w:spacing w:line="208" w:lineRule="auto" w:before="234" w:after="0"/>
        <w:ind w:left="791" w:right="2117" w:firstLine="0"/>
        <w:jc w:val="left"/>
        <w:rPr>
          <w:sz w:val="24"/>
        </w:rPr>
      </w:pPr>
      <w:r>
        <w:rPr>
          <w:sz w:val="24"/>
        </w:rPr>
        <w:t>Link</w:t>
      </w:r>
      <w:r>
        <w:rPr>
          <w:spacing w:val="-5"/>
          <w:sz w:val="24"/>
        </w:rPr>
        <w:t> </w:t>
      </w:r>
      <w:r>
        <w:rPr>
          <w:sz w:val="24"/>
        </w:rPr>
        <w:t>to</w:t>
      </w:r>
      <w:r>
        <w:rPr>
          <w:spacing w:val="-5"/>
          <w:sz w:val="24"/>
        </w:rPr>
        <w:t> </w:t>
      </w:r>
      <w:hyperlink w:history="true" w:anchor="_bookmark10">
        <w:r>
          <w:rPr>
            <w:color w:val="0000FF"/>
            <w:sz w:val="24"/>
            <w:u w:val="single" w:color="0000FF"/>
          </w:rPr>
          <w:t>612:10-7-24.2</w:t>
        </w:r>
      </w:hyperlink>
      <w:r>
        <w:rPr>
          <w:color w:val="0000FF"/>
          <w:spacing w:val="-7"/>
          <w:sz w:val="24"/>
          <w:u w:val="none"/>
        </w:rPr>
        <w:t> </w:t>
      </w:r>
      <w:r>
        <w:rPr>
          <w:sz w:val="24"/>
          <w:u w:val="none"/>
        </w:rPr>
        <w:t>Assessment</w:t>
      </w:r>
      <w:r>
        <w:rPr>
          <w:spacing w:val="-4"/>
          <w:sz w:val="24"/>
          <w:u w:val="none"/>
        </w:rPr>
        <w:t> </w:t>
      </w:r>
      <w:r>
        <w:rPr>
          <w:sz w:val="24"/>
          <w:u w:val="none"/>
        </w:rPr>
        <w:t>for</w:t>
      </w:r>
      <w:r>
        <w:rPr>
          <w:spacing w:val="-6"/>
          <w:sz w:val="24"/>
          <w:u w:val="none"/>
        </w:rPr>
        <w:t> </w:t>
      </w:r>
      <w:r>
        <w:rPr>
          <w:sz w:val="24"/>
          <w:u w:val="none"/>
        </w:rPr>
        <w:t>determining</w:t>
      </w:r>
      <w:r>
        <w:rPr>
          <w:spacing w:val="-5"/>
          <w:sz w:val="24"/>
          <w:u w:val="none"/>
        </w:rPr>
        <w:t> </w:t>
      </w:r>
      <w:r>
        <w:rPr>
          <w:sz w:val="24"/>
          <w:u w:val="none"/>
        </w:rPr>
        <w:t>eligibility;</w:t>
      </w:r>
      <w:r>
        <w:rPr>
          <w:spacing w:val="-4"/>
          <w:sz w:val="24"/>
          <w:u w:val="none"/>
        </w:rPr>
        <w:t> </w:t>
      </w:r>
      <w:hyperlink r:id="rId41">
        <w:r>
          <w:rPr>
            <w:color w:val="0000FF"/>
            <w:sz w:val="24"/>
            <w:u w:val="single" w:color="0000FF"/>
          </w:rPr>
          <w:t>34</w:t>
        </w:r>
        <w:r>
          <w:rPr>
            <w:color w:val="0000FF"/>
            <w:spacing w:val="-5"/>
            <w:sz w:val="24"/>
            <w:u w:val="single" w:color="0000FF"/>
          </w:rPr>
          <w:t> </w:t>
        </w:r>
        <w:r>
          <w:rPr>
            <w:color w:val="0000FF"/>
            <w:sz w:val="24"/>
            <w:u w:val="single" w:color="0000FF"/>
          </w:rPr>
          <w:t>CFR</w:t>
        </w:r>
      </w:hyperlink>
      <w:r>
        <w:rPr>
          <w:color w:val="0000FF"/>
          <w:sz w:val="24"/>
          <w:u w:val="none"/>
        </w:rPr>
        <w:t> </w:t>
      </w:r>
      <w:hyperlink r:id="rId41">
        <w:r>
          <w:rPr>
            <w:color w:val="0000FF"/>
            <w:spacing w:val="-2"/>
            <w:sz w:val="24"/>
            <w:u w:val="single" w:color="0000FF"/>
          </w:rPr>
          <w:t>361.42(e)&amp;(f)</w:t>
        </w:r>
      </w:hyperlink>
      <w:r>
        <w:rPr>
          <w:spacing w:val="-2"/>
          <w:sz w:val="24"/>
          <w:u w:val="none"/>
        </w:rPr>
        <w:t>.</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7-1-</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tabs>
          <w:tab w:pos="1439" w:val="left" w:leader="none"/>
        </w:tabs>
        <w:spacing w:before="0"/>
        <w:ind w:left="359" w:right="6636"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7-1-05</w:t>
      </w:r>
      <w:r>
        <w:rPr>
          <w:sz w:val="22"/>
        </w:rPr>
        <w:tab/>
        <w:t>PT Memo #06-01</w:t>
      </w:r>
    </w:p>
    <w:p>
      <w:pPr>
        <w:tabs>
          <w:tab w:pos="1439" w:val="left" w:leader="none"/>
        </w:tabs>
        <w:spacing w:before="0"/>
        <w:ind w:left="360" w:right="4559" w:firstLine="1080"/>
        <w:jc w:val="left"/>
        <w:rPr>
          <w:sz w:val="22"/>
        </w:rPr>
      </w:pPr>
      <w:r>
        <w:rPr>
          <w:sz w:val="22"/>
        </w:rPr>
        <w:t>Permanent,</w:t>
      </w:r>
      <w:r>
        <w:rPr>
          <w:spacing w:val="-6"/>
          <w:sz w:val="22"/>
        </w:rPr>
        <w:t> </w:t>
      </w:r>
      <w:r>
        <w:rPr>
          <w:sz w:val="22"/>
        </w:rPr>
        <w:t>Section</w:t>
      </w:r>
      <w:r>
        <w:rPr>
          <w:spacing w:val="-7"/>
          <w:sz w:val="22"/>
        </w:rPr>
        <w:t> </w:t>
      </w:r>
      <w:r>
        <w:rPr>
          <w:sz w:val="22"/>
        </w:rPr>
        <w:t>504</w:t>
      </w:r>
      <w:r>
        <w:rPr>
          <w:spacing w:val="-8"/>
          <w:sz w:val="22"/>
        </w:rPr>
        <w:t> </w:t>
      </w:r>
      <w:r>
        <w:rPr>
          <w:sz w:val="22"/>
        </w:rPr>
        <w:t>plan</w:t>
      </w:r>
      <w:r>
        <w:rPr>
          <w:spacing w:val="-7"/>
          <w:sz w:val="22"/>
        </w:rPr>
        <w:t> </w:t>
      </w:r>
      <w:r>
        <w:rPr>
          <w:sz w:val="22"/>
        </w:rPr>
        <w:t>is</w:t>
      </w:r>
      <w:r>
        <w:rPr>
          <w:spacing w:val="-7"/>
          <w:sz w:val="22"/>
        </w:rPr>
        <w:t> </w:t>
      </w:r>
      <w:r>
        <w:rPr>
          <w:sz w:val="22"/>
        </w:rPr>
        <w:t>being</w:t>
      </w:r>
      <w:r>
        <w:rPr>
          <w:spacing w:val="-7"/>
          <w:sz w:val="22"/>
        </w:rPr>
        <w:t> </w:t>
      </w:r>
      <w:r>
        <w:rPr>
          <w:sz w:val="22"/>
        </w:rPr>
        <w:t>defined </w:t>
      </w:r>
      <w:r>
        <w:rPr>
          <w:spacing w:val="-2"/>
          <w:sz w:val="22"/>
        </w:rPr>
        <w:t>7-1-11</w:t>
      </w:r>
      <w:r>
        <w:rPr>
          <w:sz w:val="22"/>
        </w:rPr>
        <w:tab/>
        <w:t>PT Memo #12-01</w:t>
      </w:r>
    </w:p>
    <w:p>
      <w:pPr>
        <w:spacing w:before="0"/>
        <w:ind w:left="1439" w:right="0" w:firstLine="0"/>
        <w:jc w:val="left"/>
        <w:rPr>
          <w:sz w:val="22"/>
        </w:rPr>
      </w:pPr>
      <w:r>
        <w:rPr>
          <w:sz w:val="22"/>
        </w:rPr>
        <w:t>Permanent,</w:t>
      </w:r>
      <w:r>
        <w:rPr>
          <w:spacing w:val="-10"/>
          <w:sz w:val="22"/>
        </w:rPr>
        <w:t> </w:t>
      </w:r>
      <w:r>
        <w:rPr>
          <w:sz w:val="22"/>
        </w:rPr>
        <w:t>updated</w:t>
      </w:r>
      <w:r>
        <w:rPr>
          <w:spacing w:val="-11"/>
          <w:sz w:val="22"/>
        </w:rPr>
        <w:t> </w:t>
      </w:r>
      <w:r>
        <w:rPr>
          <w:spacing w:val="-2"/>
          <w:sz w:val="22"/>
        </w:rPr>
        <w:t>language</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tabs>
          <w:tab w:pos="1439" w:val="left" w:leader="none"/>
        </w:tabs>
        <w:spacing w:line="252" w:lineRule="exact" w:before="0"/>
        <w:ind w:left="360" w:right="0" w:firstLine="0"/>
        <w:jc w:val="left"/>
        <w:rPr>
          <w:sz w:val="22"/>
        </w:rPr>
      </w:pPr>
      <w:r>
        <w:rPr>
          <w:spacing w:val="-2"/>
          <w:sz w:val="22"/>
        </w:rPr>
        <w:t>9-11-</w:t>
      </w:r>
      <w:r>
        <w:rPr>
          <w:spacing w:val="-5"/>
          <w:sz w:val="22"/>
        </w:rPr>
        <w:t>22</w:t>
      </w:r>
      <w:r>
        <w:rPr>
          <w:sz w:val="22"/>
        </w:rPr>
        <w:tab/>
        <w:t>Removed</w:t>
      </w:r>
      <w:r>
        <w:rPr>
          <w:spacing w:val="-9"/>
          <w:sz w:val="22"/>
        </w:rPr>
        <w:t> </w:t>
      </w:r>
      <w:r>
        <w:rPr>
          <w:sz w:val="22"/>
        </w:rPr>
        <w:t>“Extended</w:t>
      </w:r>
      <w:r>
        <w:rPr>
          <w:spacing w:val="-9"/>
          <w:sz w:val="22"/>
        </w:rPr>
        <w:t> </w:t>
      </w:r>
      <w:r>
        <w:rPr>
          <w:sz w:val="22"/>
        </w:rPr>
        <w:t>Evaluation”</w:t>
      </w:r>
      <w:r>
        <w:rPr>
          <w:spacing w:val="-8"/>
          <w:sz w:val="22"/>
        </w:rPr>
        <w:t> </w:t>
      </w:r>
      <w:r>
        <w:rPr>
          <w:sz w:val="22"/>
        </w:rPr>
        <w:t>from</w:t>
      </w:r>
      <w:r>
        <w:rPr>
          <w:spacing w:val="-9"/>
          <w:sz w:val="22"/>
        </w:rPr>
        <w:t> </w:t>
      </w:r>
      <w:r>
        <w:rPr>
          <w:sz w:val="22"/>
        </w:rPr>
        <w:t>Trial</w:t>
      </w:r>
      <w:r>
        <w:rPr>
          <w:spacing w:val="-9"/>
          <w:sz w:val="22"/>
        </w:rPr>
        <w:t> </w:t>
      </w:r>
      <w:r>
        <w:rPr>
          <w:sz w:val="22"/>
        </w:rPr>
        <w:t>Work</w:t>
      </w:r>
      <w:r>
        <w:rPr>
          <w:spacing w:val="-8"/>
          <w:sz w:val="22"/>
        </w:rPr>
        <w:t> </w:t>
      </w:r>
      <w:r>
        <w:rPr>
          <w:sz w:val="22"/>
        </w:rPr>
        <w:t>title.</w:t>
      </w:r>
      <w:r>
        <w:rPr>
          <w:spacing w:val="-9"/>
          <w:sz w:val="22"/>
        </w:rPr>
        <w:t> </w:t>
      </w:r>
      <w:r>
        <w:rPr>
          <w:sz w:val="22"/>
        </w:rPr>
        <w:t>Alphabetized</w:t>
      </w:r>
      <w:r>
        <w:rPr>
          <w:spacing w:val="-9"/>
          <w:sz w:val="22"/>
        </w:rPr>
        <w:t> </w:t>
      </w:r>
      <w:r>
        <w:rPr>
          <w:spacing w:val="-2"/>
          <w:sz w:val="22"/>
        </w:rPr>
        <w:t>definitions.</w:t>
      </w:r>
    </w:p>
    <w:p>
      <w:pPr>
        <w:spacing w:after="0" w:line="252" w:lineRule="exact"/>
        <w:jc w:val="left"/>
        <w:rPr>
          <w:sz w:val="22"/>
        </w:rPr>
        <w:sectPr>
          <w:pgSz w:w="12240" w:h="15840"/>
          <w:pgMar w:top="1340" w:bottom="280" w:left="1080" w:right="720"/>
        </w:sectPr>
      </w:pPr>
    </w:p>
    <w:p>
      <w:pPr>
        <w:pStyle w:val="Heading2"/>
      </w:pPr>
      <w:bookmarkStart w:name="612:10-7-246.  Cooperative agreements fo" w:id="236"/>
      <w:bookmarkEnd w:id="236"/>
      <w:r>
        <w:rPr>
          <w:b w:val="0"/>
        </w:rPr>
      </w:r>
      <w:r>
        <w:rPr/>
        <w:t>612:10-7-246.</w:t>
      </w:r>
      <w:r>
        <w:rPr>
          <w:spacing w:val="55"/>
        </w:rPr>
        <w:t> </w:t>
      </w:r>
      <w:r>
        <w:rPr/>
        <w:t>Cooperative</w:t>
      </w:r>
      <w:r>
        <w:rPr>
          <w:spacing w:val="-5"/>
        </w:rPr>
        <w:t> </w:t>
      </w:r>
      <w:r>
        <w:rPr/>
        <w:t>agreements</w:t>
      </w:r>
      <w:r>
        <w:rPr>
          <w:spacing w:val="-4"/>
        </w:rPr>
        <w:t> </w:t>
      </w:r>
      <w:r>
        <w:rPr/>
        <w:t>for</w:t>
      </w:r>
      <w:r>
        <w:rPr>
          <w:spacing w:val="-6"/>
        </w:rPr>
        <w:t> </w:t>
      </w:r>
      <w:r>
        <w:rPr/>
        <w:t>transition</w:t>
      </w:r>
      <w:r>
        <w:rPr>
          <w:spacing w:val="-5"/>
        </w:rPr>
        <w:t> </w:t>
      </w:r>
      <w:r>
        <w:rPr>
          <w:spacing w:val="-2"/>
        </w:rPr>
        <w:t>services</w:t>
      </w:r>
    </w:p>
    <w:p>
      <w:pPr>
        <w:pStyle w:val="BodyText"/>
        <w:spacing w:line="208" w:lineRule="auto" w:before="233"/>
        <w:ind w:right="724" w:firstLine="432"/>
        <w:rPr>
          <w:b/>
        </w:rPr>
      </w:pPr>
      <w:r>
        <w:rPr/>
        <w:t>Cooperative agreements are entered into by the Department of Rehabilitation Services and the Local Educational Agency (LEA), private school, charter school, home school organization and Career and Technology Education Center to facilitate cooperative working relationships leading to positive employment outcomes for eligible students with disabilities, including those served through an individualized education program (IEP), Section 504 Plan, or those with other documented disabilities. Each agreement sets the framework for a comprehensive and coordinated effort to identify and serve all students with physical and/or mental disabilities enrolled in secondary school or attending CareerTech during secondary school or being home schooled who are</w:t>
      </w:r>
      <w:r>
        <w:rPr>
          <w:spacing w:val="-4"/>
        </w:rPr>
        <w:t> </w:t>
      </w:r>
      <w:r>
        <w:rPr/>
        <w:t>jointly</w:t>
      </w:r>
      <w:r>
        <w:rPr>
          <w:spacing w:val="-4"/>
        </w:rPr>
        <w:t> </w:t>
      </w:r>
      <w:r>
        <w:rPr/>
        <w:t>eligible.</w:t>
      </w:r>
      <w:r>
        <w:rPr>
          <w:spacing w:val="-3"/>
        </w:rPr>
        <w:t> </w:t>
      </w:r>
      <w:r>
        <w:rPr/>
        <w:t>Continuous</w:t>
      </w:r>
      <w:r>
        <w:rPr>
          <w:spacing w:val="-4"/>
        </w:rPr>
        <w:t> </w:t>
      </w:r>
      <w:r>
        <w:rPr/>
        <w:t>and</w:t>
      </w:r>
      <w:r>
        <w:rPr>
          <w:spacing w:val="-4"/>
        </w:rPr>
        <w:t> </w:t>
      </w:r>
      <w:r>
        <w:rPr/>
        <w:t>uninterrupted</w:t>
      </w:r>
      <w:r>
        <w:rPr>
          <w:spacing w:val="-4"/>
        </w:rPr>
        <w:t> </w:t>
      </w:r>
      <w:r>
        <w:rPr/>
        <w:t>services</w:t>
      </w:r>
      <w:r>
        <w:rPr>
          <w:spacing w:val="-4"/>
        </w:rPr>
        <w:t> </w:t>
      </w:r>
      <w:r>
        <w:rPr/>
        <w:t>are</w:t>
      </w:r>
      <w:r>
        <w:rPr>
          <w:spacing w:val="-4"/>
        </w:rPr>
        <w:t> </w:t>
      </w:r>
      <w:r>
        <w:rPr/>
        <w:t>provided</w:t>
      </w:r>
      <w:r>
        <w:rPr>
          <w:spacing w:val="-4"/>
        </w:rPr>
        <w:t> </w:t>
      </w:r>
      <w:r>
        <w:rPr/>
        <w:t>through</w:t>
      </w:r>
      <w:r>
        <w:rPr>
          <w:spacing w:val="-4"/>
        </w:rPr>
        <w:t> </w:t>
      </w:r>
      <w:r>
        <w:rPr/>
        <w:t>common areas without duplication or encroachment of the separate programs. Staff should refer to the cooperative agreement in addition to the policy contained in this Part. </w:t>
      </w:r>
      <w:r>
        <w:rPr>
          <w:b/>
        </w:rPr>
        <w:t>1</w:t>
      </w:r>
    </w:p>
    <w:p>
      <w:pPr>
        <w:pStyle w:val="BodyText"/>
        <w:spacing w:before="209"/>
      </w:pPr>
      <w:r>
        <w:rPr/>
        <w:t>INSTRUCTIONS</w:t>
      </w:r>
      <w:r>
        <w:rPr>
          <w:spacing w:val="-3"/>
        </w:rPr>
        <w:t> </w:t>
      </w:r>
      <w:r>
        <w:rPr/>
        <w:t>TO</w:t>
      </w:r>
      <w:r>
        <w:rPr>
          <w:spacing w:val="-2"/>
        </w:rPr>
        <w:t> </w:t>
      </w:r>
      <w:r>
        <w:rPr>
          <w:spacing w:val="-4"/>
        </w:rPr>
        <w:t>STAFF</w:t>
      </w:r>
    </w:p>
    <w:p>
      <w:pPr>
        <w:pStyle w:val="BodyText"/>
        <w:spacing w:before="204"/>
        <w:ind w:left="791"/>
      </w:pPr>
      <w:r>
        <w:rPr/>
        <w:t>1.</w:t>
      </w:r>
      <w:r>
        <w:rPr>
          <w:spacing w:val="17"/>
        </w:rPr>
        <w:t> </w:t>
      </w:r>
      <w:r>
        <w:rPr/>
        <w:t>Link</w:t>
      </w:r>
      <w:r>
        <w:rPr>
          <w:spacing w:val="-3"/>
        </w:rPr>
        <w:t> </w:t>
      </w:r>
      <w:r>
        <w:rPr/>
        <w:t>to</w:t>
      </w:r>
      <w:r>
        <w:rPr>
          <w:spacing w:val="-3"/>
        </w:rPr>
        <w:t> </w:t>
      </w:r>
      <w:hyperlink r:id="rId80">
        <w:r>
          <w:rPr>
            <w:color w:val="0000FF"/>
            <w:u w:val="single" w:color="0000FF"/>
          </w:rPr>
          <w:t>Transition</w:t>
        </w:r>
        <w:r>
          <w:rPr>
            <w:color w:val="0000FF"/>
            <w:spacing w:val="-3"/>
            <w:u w:val="single" w:color="0000FF"/>
          </w:rPr>
          <w:t> </w:t>
        </w:r>
        <w:r>
          <w:rPr>
            <w:color w:val="0000FF"/>
            <w:u w:val="single" w:color="0000FF"/>
          </w:rPr>
          <w:t>Cooperative</w:t>
        </w:r>
        <w:r>
          <w:rPr>
            <w:color w:val="0000FF"/>
            <w:spacing w:val="-2"/>
            <w:u w:val="single" w:color="0000FF"/>
          </w:rPr>
          <w:t> Agreements</w:t>
        </w:r>
      </w:hyperlink>
    </w:p>
    <w:p>
      <w:pPr>
        <w:spacing w:before="238"/>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tabs>
          <w:tab w:pos="1439" w:val="left" w:leader="none"/>
        </w:tabs>
        <w:spacing w:before="0"/>
        <w:ind w:left="359" w:right="6636"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7-1-11</w:t>
      </w:r>
      <w:r>
        <w:rPr>
          <w:sz w:val="22"/>
        </w:rPr>
        <w:tab/>
        <w:t>PT Memo #12-01</w:t>
      </w:r>
    </w:p>
    <w:p>
      <w:pPr>
        <w:spacing w:before="0"/>
        <w:ind w:left="1439" w:right="0" w:firstLine="0"/>
        <w:jc w:val="left"/>
        <w:rPr>
          <w:sz w:val="22"/>
        </w:rPr>
      </w:pPr>
      <w:r>
        <w:rPr>
          <w:sz w:val="22"/>
        </w:rPr>
        <w:t>Permanent,</w:t>
      </w:r>
      <w:r>
        <w:rPr>
          <w:spacing w:val="-9"/>
          <w:sz w:val="22"/>
        </w:rPr>
        <w:t> </w:t>
      </w:r>
      <w:r>
        <w:rPr>
          <w:sz w:val="22"/>
        </w:rPr>
        <w:t>updating</w:t>
      </w:r>
      <w:r>
        <w:rPr>
          <w:spacing w:val="-9"/>
          <w:sz w:val="22"/>
        </w:rPr>
        <w:t> </w:t>
      </w:r>
      <w:r>
        <w:rPr>
          <w:sz w:val="22"/>
        </w:rPr>
        <w:t>and</w:t>
      </w:r>
      <w:r>
        <w:rPr>
          <w:spacing w:val="-9"/>
          <w:sz w:val="22"/>
        </w:rPr>
        <w:t> </w:t>
      </w:r>
      <w:r>
        <w:rPr>
          <w:sz w:val="22"/>
        </w:rPr>
        <w:t>correcting</w:t>
      </w:r>
      <w:r>
        <w:rPr>
          <w:spacing w:val="-10"/>
          <w:sz w:val="22"/>
        </w:rPr>
        <w:t> </w:t>
      </w:r>
      <w:r>
        <w:rPr>
          <w:spacing w:val="-2"/>
          <w:sz w:val="22"/>
        </w:rPr>
        <w:t>terminology</w:t>
      </w:r>
    </w:p>
    <w:p>
      <w:pPr>
        <w:spacing w:after="0"/>
        <w:jc w:val="left"/>
        <w:rPr>
          <w:sz w:val="22"/>
        </w:rPr>
        <w:sectPr>
          <w:pgSz w:w="12240" w:h="15840"/>
          <w:pgMar w:top="1340" w:bottom="280" w:left="1080" w:right="720"/>
        </w:sectPr>
      </w:pPr>
    </w:p>
    <w:p>
      <w:pPr>
        <w:pStyle w:val="Heading2"/>
      </w:pPr>
      <w:bookmarkStart w:name="612:10-7-247.  Confidentiality of record" w:id="237"/>
      <w:bookmarkEnd w:id="237"/>
      <w:r>
        <w:rPr>
          <w:b w:val="0"/>
        </w:rPr>
      </w:r>
      <w:r>
        <w:rPr/>
        <w:t>612:10-7-247.</w:t>
      </w:r>
      <w:r>
        <w:rPr>
          <w:spacing w:val="57"/>
        </w:rPr>
        <w:t> </w:t>
      </w:r>
      <w:r>
        <w:rPr/>
        <w:t>Confidentiality</w:t>
      </w:r>
      <w:r>
        <w:rPr>
          <w:spacing w:val="-5"/>
        </w:rPr>
        <w:t> </w:t>
      </w:r>
      <w:r>
        <w:rPr/>
        <w:t>of</w:t>
      </w:r>
      <w:r>
        <w:rPr>
          <w:spacing w:val="-5"/>
        </w:rPr>
        <w:t> </w:t>
      </w:r>
      <w:r>
        <w:rPr>
          <w:spacing w:val="-2"/>
        </w:rPr>
        <w:t>records</w:t>
      </w:r>
    </w:p>
    <w:p>
      <w:pPr>
        <w:pStyle w:val="BodyText"/>
        <w:spacing w:line="208" w:lineRule="auto" w:before="233"/>
        <w:ind w:left="359" w:right="1036" w:firstLine="432"/>
      </w:pPr>
      <w:r>
        <w:rPr/>
        <w:t>Only the information directly related to the administration of the individual's transition</w:t>
      </w:r>
      <w:r>
        <w:rPr>
          <w:spacing w:val="-3"/>
        </w:rPr>
        <w:t> </w:t>
      </w:r>
      <w:r>
        <w:rPr/>
        <w:t>program</w:t>
      </w:r>
      <w:r>
        <w:rPr>
          <w:spacing w:val="-2"/>
        </w:rPr>
        <w:t> </w:t>
      </w:r>
      <w:r>
        <w:rPr/>
        <w:t>are</w:t>
      </w:r>
      <w:r>
        <w:rPr>
          <w:spacing w:val="-4"/>
        </w:rPr>
        <w:t> </w:t>
      </w:r>
      <w:r>
        <w:rPr/>
        <w:t>to</w:t>
      </w:r>
      <w:r>
        <w:rPr>
          <w:spacing w:val="-3"/>
        </w:rPr>
        <w:t> </w:t>
      </w:r>
      <w:r>
        <w:rPr/>
        <w:t>be</w:t>
      </w:r>
      <w:r>
        <w:rPr>
          <w:spacing w:val="-3"/>
        </w:rPr>
        <w:t> </w:t>
      </w:r>
      <w:r>
        <w:rPr/>
        <w:t>released</w:t>
      </w:r>
      <w:r>
        <w:rPr>
          <w:spacing w:val="-3"/>
        </w:rPr>
        <w:t> </w:t>
      </w:r>
      <w:r>
        <w:rPr/>
        <w:t>to</w:t>
      </w:r>
      <w:r>
        <w:rPr>
          <w:spacing w:val="-3"/>
        </w:rPr>
        <w:t> </w:t>
      </w:r>
      <w:r>
        <w:rPr/>
        <w:t>the</w:t>
      </w:r>
      <w:r>
        <w:rPr>
          <w:spacing w:val="-4"/>
        </w:rPr>
        <w:t> </w:t>
      </w:r>
      <w:r>
        <w:rPr/>
        <w:t>LEA</w:t>
      </w:r>
      <w:r>
        <w:rPr>
          <w:spacing w:val="-3"/>
        </w:rPr>
        <w:t> </w:t>
      </w:r>
      <w:r>
        <w:rPr/>
        <w:t>in</w:t>
      </w:r>
      <w:r>
        <w:rPr>
          <w:spacing w:val="-3"/>
        </w:rPr>
        <w:t> </w:t>
      </w:r>
      <w:r>
        <w:rPr/>
        <w:t>accordance</w:t>
      </w:r>
      <w:r>
        <w:rPr>
          <w:spacing w:val="-3"/>
        </w:rPr>
        <w:t> </w:t>
      </w:r>
      <w:r>
        <w:rPr/>
        <w:t>with</w:t>
      </w:r>
      <w:r>
        <w:rPr>
          <w:spacing w:val="-3"/>
        </w:rPr>
        <w:t> </w:t>
      </w:r>
      <w:r>
        <w:rPr/>
        <w:t>612:10-1-5.</w:t>
      </w:r>
      <w:r>
        <w:rPr>
          <w:spacing w:val="-2"/>
        </w:rPr>
        <w:t> </w:t>
      </w:r>
      <w:r>
        <w:rPr/>
        <w:t>The cooperating agencies will allow each other to copy information under guidelines established for participating and/or cooperating agencies under SDE and DRS </w:t>
      </w:r>
      <w:r>
        <w:rPr>
          <w:spacing w:val="-2"/>
        </w:rPr>
        <w:t>regulations.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spacing w:after="0" w:line="253" w:lineRule="exact"/>
        <w:jc w:val="left"/>
        <w:rPr>
          <w:sz w:val="22"/>
        </w:rPr>
        <w:sectPr>
          <w:pgSz w:w="12240" w:h="15840"/>
          <w:pgMar w:top="1340" w:bottom="280" w:left="1080" w:right="720"/>
        </w:sectPr>
      </w:pPr>
    </w:p>
    <w:p>
      <w:pPr>
        <w:pStyle w:val="Heading2"/>
        <w:spacing w:line="208" w:lineRule="auto" w:before="96"/>
        <w:ind w:right="775"/>
      </w:pPr>
      <w:bookmarkStart w:name="612:10-7-248.  Coordination of Individua" w:id="238"/>
      <w:bookmarkEnd w:id="238"/>
      <w:r>
        <w:rPr>
          <w:b w:val="0"/>
        </w:rPr>
      </w:r>
      <w:r>
        <w:rPr/>
        <w:t>612:10-7-248.</w:t>
      </w:r>
      <w:r>
        <w:rPr>
          <w:spacing w:val="40"/>
        </w:rPr>
        <w:t> </w:t>
      </w:r>
      <w:r>
        <w:rPr/>
        <w:t>Coordination</w:t>
      </w:r>
      <w:r>
        <w:rPr>
          <w:spacing w:val="-6"/>
        </w:rPr>
        <w:t> </w:t>
      </w:r>
      <w:r>
        <w:rPr/>
        <w:t>of</w:t>
      </w:r>
      <w:r>
        <w:rPr>
          <w:spacing w:val="-7"/>
        </w:rPr>
        <w:t> </w:t>
      </w:r>
      <w:r>
        <w:rPr/>
        <w:t>Individualized</w:t>
      </w:r>
      <w:r>
        <w:rPr>
          <w:spacing w:val="-6"/>
        </w:rPr>
        <w:t> </w:t>
      </w:r>
      <w:r>
        <w:rPr/>
        <w:t>Education</w:t>
      </w:r>
      <w:r>
        <w:rPr>
          <w:spacing w:val="-6"/>
        </w:rPr>
        <w:t> </w:t>
      </w:r>
      <w:r>
        <w:rPr/>
        <w:t>Program</w:t>
      </w:r>
      <w:r>
        <w:rPr>
          <w:spacing w:val="-6"/>
        </w:rPr>
        <w:t> </w:t>
      </w:r>
      <w:r>
        <w:rPr/>
        <w:t>and Individualized Plan for Employment</w:t>
      </w:r>
    </w:p>
    <w:p>
      <w:pPr>
        <w:pStyle w:val="ListParagraph"/>
        <w:numPr>
          <w:ilvl w:val="0"/>
          <w:numId w:val="258"/>
        </w:numPr>
        <w:tabs>
          <w:tab w:pos="786" w:val="left" w:leader="none"/>
        </w:tabs>
        <w:spacing w:line="208" w:lineRule="auto" w:before="240" w:after="0"/>
        <w:ind w:left="360" w:right="1059" w:firstLine="0"/>
        <w:jc w:val="left"/>
        <w:rPr>
          <w:b/>
          <w:sz w:val="24"/>
        </w:rPr>
      </w:pPr>
      <w:r>
        <w:rPr>
          <w:sz w:val="24"/>
        </w:rPr>
        <w:t>The individualized plan for employment for a student with a disability must be coordinated</w:t>
      </w:r>
      <w:r>
        <w:rPr>
          <w:spacing w:val="-5"/>
          <w:sz w:val="24"/>
        </w:rPr>
        <w:t> </w:t>
      </w:r>
      <w:r>
        <w:rPr>
          <w:sz w:val="24"/>
        </w:rPr>
        <w:t>with</w:t>
      </w:r>
      <w:r>
        <w:rPr>
          <w:spacing w:val="-5"/>
          <w:sz w:val="24"/>
        </w:rPr>
        <w:t> </w:t>
      </w:r>
      <w:r>
        <w:rPr>
          <w:sz w:val="24"/>
        </w:rPr>
        <w:t>the</w:t>
      </w:r>
      <w:r>
        <w:rPr>
          <w:spacing w:val="-5"/>
          <w:sz w:val="24"/>
        </w:rPr>
        <w:t> </w:t>
      </w:r>
      <w:r>
        <w:rPr>
          <w:sz w:val="24"/>
        </w:rPr>
        <w:t>individualized</w:t>
      </w:r>
      <w:r>
        <w:rPr>
          <w:spacing w:val="-5"/>
          <w:sz w:val="24"/>
        </w:rPr>
        <w:t> </w:t>
      </w:r>
      <w:r>
        <w:rPr>
          <w:sz w:val="24"/>
        </w:rPr>
        <w:t>education</w:t>
      </w:r>
      <w:r>
        <w:rPr>
          <w:spacing w:val="-5"/>
          <w:sz w:val="24"/>
        </w:rPr>
        <w:t> </w:t>
      </w:r>
      <w:r>
        <w:rPr>
          <w:sz w:val="24"/>
        </w:rPr>
        <w:t>program</w:t>
      </w:r>
      <w:r>
        <w:rPr>
          <w:spacing w:val="-4"/>
          <w:sz w:val="24"/>
        </w:rPr>
        <w:t> </w:t>
      </w:r>
      <w:r>
        <w:rPr>
          <w:sz w:val="24"/>
        </w:rPr>
        <w:t>or</w:t>
      </w:r>
      <w:r>
        <w:rPr>
          <w:spacing w:val="-4"/>
          <w:sz w:val="24"/>
        </w:rPr>
        <w:t> </w:t>
      </w:r>
      <w:r>
        <w:rPr>
          <w:sz w:val="24"/>
        </w:rPr>
        <w:t>504</w:t>
      </w:r>
      <w:r>
        <w:rPr>
          <w:spacing w:val="-5"/>
          <w:sz w:val="24"/>
        </w:rPr>
        <w:t> </w:t>
      </w:r>
      <w:r>
        <w:rPr>
          <w:sz w:val="24"/>
        </w:rPr>
        <w:t>services,</w:t>
      </w:r>
      <w:r>
        <w:rPr>
          <w:spacing w:val="-4"/>
          <w:sz w:val="24"/>
        </w:rPr>
        <w:t> </w:t>
      </w:r>
      <w:r>
        <w:rPr>
          <w:sz w:val="24"/>
        </w:rPr>
        <w:t>as</w:t>
      </w:r>
      <w:r>
        <w:rPr>
          <w:spacing w:val="-5"/>
          <w:sz w:val="24"/>
        </w:rPr>
        <w:t> </w:t>
      </w:r>
      <w:r>
        <w:rPr>
          <w:sz w:val="24"/>
        </w:rPr>
        <w:t>applicable, for that individual in terms of the goals, objectives, and services identified in the education program. 34 CFR 361.46 (d). </w:t>
      </w:r>
      <w:r>
        <w:rPr>
          <w:b/>
          <w:sz w:val="24"/>
        </w:rPr>
        <w:t>1</w:t>
      </w:r>
    </w:p>
    <w:p>
      <w:pPr>
        <w:pStyle w:val="ListParagraph"/>
        <w:numPr>
          <w:ilvl w:val="0"/>
          <w:numId w:val="258"/>
        </w:numPr>
        <w:tabs>
          <w:tab w:pos="786" w:val="left" w:leader="none"/>
        </w:tabs>
        <w:spacing w:line="208" w:lineRule="auto" w:before="239" w:after="0"/>
        <w:ind w:left="360" w:right="737" w:firstLine="0"/>
        <w:jc w:val="left"/>
        <w:rPr>
          <w:sz w:val="24"/>
        </w:rPr>
      </w:pPr>
      <w:r>
        <w:rPr>
          <w:sz w:val="24"/>
        </w:rPr>
        <w:t>The</w:t>
      </w:r>
      <w:r>
        <w:rPr>
          <w:spacing w:val="-2"/>
          <w:sz w:val="24"/>
        </w:rPr>
        <w:t> </w:t>
      </w:r>
      <w:r>
        <w:rPr>
          <w:sz w:val="24"/>
        </w:rPr>
        <w:t>development</w:t>
      </w:r>
      <w:r>
        <w:rPr>
          <w:spacing w:val="-1"/>
          <w:sz w:val="24"/>
        </w:rPr>
        <w:t> </w:t>
      </w:r>
      <w:r>
        <w:rPr>
          <w:sz w:val="24"/>
        </w:rPr>
        <w:t>and</w:t>
      </w:r>
      <w:r>
        <w:rPr>
          <w:spacing w:val="-2"/>
          <w:sz w:val="24"/>
        </w:rPr>
        <w:t> </w:t>
      </w:r>
      <w:r>
        <w:rPr>
          <w:sz w:val="24"/>
        </w:rPr>
        <w:t>approval</w:t>
      </w:r>
      <w:r>
        <w:rPr>
          <w:spacing w:val="-2"/>
          <w:sz w:val="24"/>
        </w:rPr>
        <w:t> </w:t>
      </w:r>
      <w:r>
        <w:rPr>
          <w:sz w:val="24"/>
        </w:rPr>
        <w:t>of</w:t>
      </w:r>
      <w:r>
        <w:rPr>
          <w:spacing w:val="-1"/>
          <w:sz w:val="24"/>
        </w:rPr>
        <w:t> </w:t>
      </w:r>
      <w:r>
        <w:rPr>
          <w:sz w:val="24"/>
        </w:rPr>
        <w:t>an</w:t>
      </w:r>
      <w:r>
        <w:rPr>
          <w:spacing w:val="-2"/>
          <w:sz w:val="24"/>
        </w:rPr>
        <w:t> </w:t>
      </w:r>
      <w:r>
        <w:rPr>
          <w:sz w:val="24"/>
        </w:rPr>
        <w:t>individualized</w:t>
      </w:r>
      <w:r>
        <w:rPr>
          <w:spacing w:val="-1"/>
          <w:sz w:val="24"/>
        </w:rPr>
        <w:t> </w:t>
      </w:r>
      <w:r>
        <w:rPr>
          <w:sz w:val="24"/>
        </w:rPr>
        <w:t>plan</w:t>
      </w:r>
      <w:r>
        <w:rPr>
          <w:spacing w:val="-2"/>
          <w:sz w:val="24"/>
        </w:rPr>
        <w:t> </w:t>
      </w:r>
      <w:r>
        <w:rPr>
          <w:sz w:val="24"/>
        </w:rPr>
        <w:t>for</w:t>
      </w:r>
      <w:r>
        <w:rPr>
          <w:spacing w:val="-1"/>
          <w:sz w:val="24"/>
        </w:rPr>
        <w:t> </w:t>
      </w:r>
      <w:r>
        <w:rPr>
          <w:sz w:val="24"/>
        </w:rPr>
        <w:t>employment</w:t>
      </w:r>
      <w:r>
        <w:rPr>
          <w:spacing w:val="-1"/>
          <w:sz w:val="24"/>
        </w:rPr>
        <w:t> </w:t>
      </w:r>
      <w:r>
        <w:rPr>
          <w:sz w:val="24"/>
        </w:rPr>
        <w:t>as</w:t>
      </w:r>
      <w:r>
        <w:rPr>
          <w:spacing w:val="-2"/>
          <w:sz w:val="24"/>
        </w:rPr>
        <w:t> </w:t>
      </w:r>
      <w:r>
        <w:rPr>
          <w:sz w:val="24"/>
        </w:rPr>
        <w:t>early</w:t>
      </w:r>
      <w:r>
        <w:rPr>
          <w:spacing w:val="-2"/>
          <w:sz w:val="24"/>
        </w:rPr>
        <w:t> </w:t>
      </w:r>
      <w:r>
        <w:rPr>
          <w:sz w:val="24"/>
        </w:rPr>
        <w:t>as possible</w:t>
      </w:r>
      <w:r>
        <w:rPr>
          <w:spacing w:val="-3"/>
          <w:sz w:val="24"/>
        </w:rPr>
        <w:t> </w:t>
      </w:r>
      <w:r>
        <w:rPr>
          <w:sz w:val="24"/>
        </w:rPr>
        <w:t>during</w:t>
      </w:r>
      <w:r>
        <w:rPr>
          <w:spacing w:val="-3"/>
          <w:sz w:val="24"/>
        </w:rPr>
        <w:t> </w:t>
      </w:r>
      <w:r>
        <w:rPr>
          <w:sz w:val="24"/>
        </w:rPr>
        <w:t>the</w:t>
      </w:r>
      <w:r>
        <w:rPr>
          <w:spacing w:val="-3"/>
          <w:sz w:val="24"/>
        </w:rPr>
        <w:t> </w:t>
      </w:r>
      <w:r>
        <w:rPr>
          <w:sz w:val="24"/>
        </w:rPr>
        <w:t>transition</w:t>
      </w:r>
      <w:r>
        <w:rPr>
          <w:spacing w:val="-3"/>
          <w:sz w:val="24"/>
        </w:rPr>
        <w:t> </w:t>
      </w:r>
      <w:r>
        <w:rPr>
          <w:sz w:val="24"/>
        </w:rPr>
        <w:t>planning</w:t>
      </w:r>
      <w:r>
        <w:rPr>
          <w:spacing w:val="-3"/>
          <w:sz w:val="24"/>
        </w:rPr>
        <w:t> </w:t>
      </w:r>
      <w:r>
        <w:rPr>
          <w:sz w:val="24"/>
        </w:rPr>
        <w:t>process</w:t>
      </w:r>
      <w:r>
        <w:rPr>
          <w:spacing w:val="-3"/>
          <w:sz w:val="24"/>
        </w:rPr>
        <w:t> </w:t>
      </w:r>
      <w:r>
        <w:rPr>
          <w:sz w:val="24"/>
        </w:rPr>
        <w:t>and</w:t>
      </w:r>
      <w:r>
        <w:rPr>
          <w:spacing w:val="-3"/>
          <w:sz w:val="24"/>
        </w:rPr>
        <w:t> </w:t>
      </w:r>
      <w:r>
        <w:rPr>
          <w:sz w:val="24"/>
        </w:rPr>
        <w:t>not</w:t>
      </w:r>
      <w:r>
        <w:rPr>
          <w:spacing w:val="-2"/>
          <w:sz w:val="24"/>
        </w:rPr>
        <w:t> </w:t>
      </w:r>
      <w:r>
        <w:rPr>
          <w:sz w:val="24"/>
        </w:rPr>
        <w:t>later</w:t>
      </w:r>
      <w:r>
        <w:rPr>
          <w:spacing w:val="-2"/>
          <w:sz w:val="24"/>
        </w:rPr>
        <w:t> </w:t>
      </w:r>
      <w:r>
        <w:rPr>
          <w:sz w:val="24"/>
        </w:rPr>
        <w:t>than</w:t>
      </w:r>
      <w:r>
        <w:rPr>
          <w:spacing w:val="-3"/>
          <w:sz w:val="24"/>
        </w:rPr>
        <w:t> </w:t>
      </w:r>
      <w:r>
        <w:rPr>
          <w:sz w:val="24"/>
        </w:rPr>
        <w:t>the</w:t>
      </w:r>
      <w:r>
        <w:rPr>
          <w:spacing w:val="-3"/>
          <w:sz w:val="24"/>
        </w:rPr>
        <w:t> </w:t>
      </w:r>
      <w:r>
        <w:rPr>
          <w:sz w:val="24"/>
        </w:rPr>
        <w:t>time</w:t>
      </w:r>
      <w:r>
        <w:rPr>
          <w:spacing w:val="-3"/>
          <w:sz w:val="24"/>
        </w:rPr>
        <w:t> </w:t>
      </w:r>
      <w:r>
        <w:rPr>
          <w:sz w:val="24"/>
        </w:rPr>
        <w:t>a</w:t>
      </w:r>
      <w:r>
        <w:rPr>
          <w:spacing w:val="-3"/>
          <w:sz w:val="24"/>
        </w:rPr>
        <w:t> </w:t>
      </w:r>
      <w:r>
        <w:rPr>
          <w:sz w:val="24"/>
        </w:rPr>
        <w:t>student</w:t>
      </w:r>
      <w:r>
        <w:rPr>
          <w:spacing w:val="-2"/>
          <w:sz w:val="24"/>
        </w:rPr>
        <w:t> </w:t>
      </w:r>
      <w:r>
        <w:rPr>
          <w:sz w:val="24"/>
        </w:rPr>
        <w:t>with a disability determined to be eligible for vocational rehabilitation services leaves the school setting or, if the State agency is operating under an order of selection, before each eligible student with a disability able to be served under the order leaves the school setting. 34 CFR 361.22 (a) (2). No break in required rehabilitation services will occur for eligible students exiting the secondary school when a case has been opened while in high school.</w:t>
      </w:r>
    </w:p>
    <w:p>
      <w:pPr>
        <w:pStyle w:val="ListParagraph"/>
        <w:numPr>
          <w:ilvl w:val="0"/>
          <w:numId w:val="258"/>
        </w:numPr>
        <w:tabs>
          <w:tab w:pos="773" w:val="left" w:leader="none"/>
        </w:tabs>
        <w:spacing w:line="240" w:lineRule="auto" w:before="210" w:after="0"/>
        <w:ind w:left="773" w:right="0" w:hanging="413"/>
        <w:jc w:val="left"/>
        <w:rPr>
          <w:sz w:val="24"/>
        </w:rPr>
      </w:pPr>
      <w:r>
        <w:rPr>
          <w:sz w:val="24"/>
        </w:rPr>
        <w:t>Case</w:t>
      </w:r>
      <w:r>
        <w:rPr>
          <w:spacing w:val="-2"/>
          <w:sz w:val="24"/>
        </w:rPr>
        <w:t> recording.</w:t>
      </w:r>
    </w:p>
    <w:p>
      <w:pPr>
        <w:pStyle w:val="ListParagraph"/>
        <w:numPr>
          <w:ilvl w:val="1"/>
          <w:numId w:val="258"/>
        </w:numPr>
        <w:tabs>
          <w:tab w:pos="1236" w:val="left" w:leader="none"/>
        </w:tabs>
        <w:spacing w:line="208" w:lineRule="auto" w:before="233" w:after="0"/>
        <w:ind w:left="810" w:right="1084" w:firstLine="0"/>
        <w:jc w:val="left"/>
        <w:rPr>
          <w:sz w:val="24"/>
        </w:rPr>
      </w:pPr>
      <w:r>
        <w:rPr>
          <w:sz w:val="24"/>
        </w:rPr>
        <w:t>The Local Educational Agency and DRS must document coordination of objectives</w:t>
      </w:r>
      <w:r>
        <w:rPr>
          <w:spacing w:val="-3"/>
          <w:sz w:val="24"/>
        </w:rPr>
        <w:t> </w:t>
      </w:r>
      <w:r>
        <w:rPr>
          <w:sz w:val="24"/>
        </w:rPr>
        <w:t>and</w:t>
      </w:r>
      <w:r>
        <w:rPr>
          <w:spacing w:val="-4"/>
          <w:sz w:val="24"/>
        </w:rPr>
        <w:t> </w:t>
      </w:r>
      <w:r>
        <w:rPr>
          <w:sz w:val="24"/>
        </w:rPr>
        <w:t>services</w:t>
      </w:r>
      <w:r>
        <w:rPr>
          <w:spacing w:val="-4"/>
          <w:sz w:val="24"/>
        </w:rPr>
        <w:t> </w:t>
      </w:r>
      <w:r>
        <w:rPr>
          <w:sz w:val="24"/>
        </w:rPr>
        <w:t>planned</w:t>
      </w:r>
      <w:r>
        <w:rPr>
          <w:spacing w:val="-4"/>
          <w:sz w:val="24"/>
        </w:rPr>
        <w:t> </w:t>
      </w:r>
      <w:r>
        <w:rPr>
          <w:sz w:val="24"/>
        </w:rPr>
        <w:t>in</w:t>
      </w:r>
      <w:r>
        <w:rPr>
          <w:spacing w:val="-4"/>
          <w:sz w:val="24"/>
        </w:rPr>
        <w:t> </w:t>
      </w:r>
      <w:r>
        <w:rPr>
          <w:sz w:val="24"/>
        </w:rPr>
        <w:t>an</w:t>
      </w:r>
      <w:r>
        <w:rPr>
          <w:spacing w:val="-4"/>
          <w:sz w:val="24"/>
        </w:rPr>
        <w:t> </w:t>
      </w:r>
      <w:r>
        <w:rPr>
          <w:sz w:val="24"/>
        </w:rPr>
        <w:t>individual's</w:t>
      </w:r>
      <w:r>
        <w:rPr>
          <w:spacing w:val="-4"/>
          <w:sz w:val="24"/>
        </w:rPr>
        <w:t> </w:t>
      </w:r>
      <w:r>
        <w:rPr>
          <w:sz w:val="24"/>
        </w:rPr>
        <w:t>IEP/Section</w:t>
      </w:r>
      <w:r>
        <w:rPr>
          <w:spacing w:val="-4"/>
          <w:sz w:val="24"/>
        </w:rPr>
        <w:t> </w:t>
      </w:r>
      <w:r>
        <w:rPr>
          <w:sz w:val="24"/>
        </w:rPr>
        <w:t>504</w:t>
      </w:r>
      <w:r>
        <w:rPr>
          <w:spacing w:val="-4"/>
          <w:sz w:val="24"/>
        </w:rPr>
        <w:t> </w:t>
      </w:r>
      <w:r>
        <w:rPr>
          <w:sz w:val="24"/>
        </w:rPr>
        <w:t>Plan</w:t>
      </w:r>
      <w:r>
        <w:rPr>
          <w:spacing w:val="-4"/>
          <w:sz w:val="24"/>
        </w:rPr>
        <w:t> </w:t>
      </w:r>
      <w:r>
        <w:rPr>
          <w:sz w:val="24"/>
        </w:rPr>
        <w:t>and</w:t>
      </w:r>
      <w:r>
        <w:rPr>
          <w:spacing w:val="-4"/>
          <w:sz w:val="24"/>
        </w:rPr>
        <w:t> </w:t>
      </w:r>
      <w:r>
        <w:rPr>
          <w:sz w:val="24"/>
        </w:rPr>
        <w:t>IPE. Both documents, as well as other case documentation, must reflect the effective interaction of the two agencies in providing the services necessary for a smooth transition from school to work.</w:t>
      </w:r>
    </w:p>
    <w:p>
      <w:pPr>
        <w:pStyle w:val="ListParagraph"/>
        <w:numPr>
          <w:ilvl w:val="1"/>
          <w:numId w:val="258"/>
        </w:numPr>
        <w:tabs>
          <w:tab w:pos="1236" w:val="left" w:leader="none"/>
        </w:tabs>
        <w:spacing w:line="417" w:lineRule="auto" w:before="211" w:after="0"/>
        <w:ind w:left="360" w:right="1556" w:firstLine="450"/>
        <w:jc w:val="left"/>
        <w:rPr>
          <w:sz w:val="24"/>
        </w:rPr>
      </w:pPr>
      <w:r>
        <w:rPr>
          <w:sz w:val="24"/>
        </w:rPr>
        <w:t>Documentation</w:t>
      </w:r>
      <w:r>
        <w:rPr>
          <w:spacing w:val="-5"/>
          <w:sz w:val="24"/>
        </w:rPr>
        <w:t> </w:t>
      </w:r>
      <w:r>
        <w:rPr>
          <w:sz w:val="24"/>
        </w:rPr>
        <w:t>of</w:t>
      </w:r>
      <w:r>
        <w:rPr>
          <w:spacing w:val="-4"/>
          <w:sz w:val="24"/>
        </w:rPr>
        <w:t> </w:t>
      </w:r>
      <w:r>
        <w:rPr>
          <w:sz w:val="24"/>
        </w:rPr>
        <w:t>attended</w:t>
      </w:r>
      <w:r>
        <w:rPr>
          <w:spacing w:val="-5"/>
          <w:sz w:val="24"/>
        </w:rPr>
        <w:t> </w:t>
      </w:r>
      <w:r>
        <w:rPr>
          <w:sz w:val="24"/>
        </w:rPr>
        <w:t>IEP</w:t>
      </w:r>
      <w:r>
        <w:rPr>
          <w:spacing w:val="-5"/>
          <w:sz w:val="24"/>
        </w:rPr>
        <w:t> </w:t>
      </w:r>
      <w:r>
        <w:rPr>
          <w:sz w:val="24"/>
        </w:rPr>
        <w:t>meetings</w:t>
      </w:r>
      <w:r>
        <w:rPr>
          <w:spacing w:val="-5"/>
          <w:sz w:val="24"/>
        </w:rPr>
        <w:t> </w:t>
      </w:r>
      <w:r>
        <w:rPr>
          <w:sz w:val="24"/>
        </w:rPr>
        <w:t>and</w:t>
      </w:r>
      <w:r>
        <w:rPr>
          <w:spacing w:val="-5"/>
          <w:sz w:val="24"/>
        </w:rPr>
        <w:t> </w:t>
      </w:r>
      <w:r>
        <w:rPr>
          <w:sz w:val="24"/>
        </w:rPr>
        <w:t>results</w:t>
      </w:r>
      <w:r>
        <w:rPr>
          <w:spacing w:val="-5"/>
          <w:sz w:val="24"/>
        </w:rPr>
        <w:t> </w:t>
      </w:r>
      <w:r>
        <w:rPr>
          <w:sz w:val="24"/>
        </w:rPr>
        <w:t>of</w:t>
      </w:r>
      <w:r>
        <w:rPr>
          <w:spacing w:val="-6"/>
          <w:sz w:val="24"/>
        </w:rPr>
        <w:t> </w:t>
      </w:r>
      <w:r>
        <w:rPr>
          <w:sz w:val="24"/>
        </w:rPr>
        <w:t>those</w:t>
      </w:r>
      <w:r>
        <w:rPr>
          <w:spacing w:val="-5"/>
          <w:sz w:val="24"/>
        </w:rPr>
        <w:t> </w:t>
      </w:r>
      <w:r>
        <w:rPr>
          <w:sz w:val="24"/>
        </w:rPr>
        <w:t>meetings. INSTRUCTIONS TO STAFF</w:t>
      </w:r>
    </w:p>
    <w:p>
      <w:pPr>
        <w:pStyle w:val="BodyText"/>
        <w:spacing w:line="276" w:lineRule="exact" w:before="0"/>
        <w:ind w:left="791"/>
      </w:pPr>
      <w:r>
        <w:rPr/>
        <w:t>Link</w:t>
      </w:r>
      <w:r>
        <w:rPr>
          <w:spacing w:val="-3"/>
        </w:rPr>
        <w:t> </w:t>
      </w:r>
      <w:r>
        <w:rPr/>
        <w:t>to</w:t>
      </w:r>
      <w:r>
        <w:rPr>
          <w:spacing w:val="-2"/>
        </w:rPr>
        <w:t> </w:t>
      </w:r>
      <w:hyperlink r:id="rId81">
        <w:r>
          <w:rPr>
            <w:color w:val="0000FF"/>
            <w:u w:val="single" w:color="0000FF"/>
          </w:rPr>
          <w:t>Training</w:t>
        </w:r>
        <w:r>
          <w:rPr>
            <w:color w:val="0000FF"/>
            <w:spacing w:val="-3"/>
            <w:u w:val="single" w:color="0000FF"/>
          </w:rPr>
          <w:t> </w:t>
        </w:r>
        <w:r>
          <w:rPr>
            <w:color w:val="0000FF"/>
            <w:u w:val="single" w:color="0000FF"/>
          </w:rPr>
          <w:t>and</w:t>
        </w:r>
        <w:r>
          <w:rPr>
            <w:color w:val="0000FF"/>
            <w:spacing w:val="-2"/>
            <w:u w:val="single" w:color="0000FF"/>
          </w:rPr>
          <w:t> </w:t>
        </w:r>
        <w:r>
          <w:rPr>
            <w:color w:val="0000FF"/>
            <w:u w:val="single" w:color="0000FF"/>
          </w:rPr>
          <w:t>Practice</w:t>
        </w:r>
        <w:r>
          <w:rPr>
            <w:color w:val="0000FF"/>
            <w:spacing w:val="-3"/>
            <w:u w:val="single" w:color="0000FF"/>
          </w:rPr>
          <w:t> </w:t>
        </w:r>
        <w:r>
          <w:rPr>
            <w:color w:val="0000FF"/>
            <w:u w:val="single" w:color="0000FF"/>
          </w:rPr>
          <w:t>Document</w:t>
        </w:r>
        <w:r>
          <w:rPr>
            <w:color w:val="0000FF"/>
            <w:spacing w:val="-2"/>
            <w:u w:val="single" w:color="0000FF"/>
          </w:rPr>
          <w:t> </w:t>
        </w:r>
        <w:r>
          <w:rPr>
            <w:color w:val="0000FF"/>
            <w:u w:val="single" w:color="0000FF"/>
          </w:rPr>
          <w:t>on</w:t>
        </w:r>
        <w:r>
          <w:rPr>
            <w:color w:val="0000FF"/>
            <w:spacing w:val="-3"/>
            <w:u w:val="single" w:color="0000FF"/>
          </w:rPr>
          <w:t> </w:t>
        </w:r>
        <w:r>
          <w:rPr>
            <w:color w:val="0000FF"/>
            <w:u w:val="single" w:color="0000FF"/>
          </w:rPr>
          <w:t>Coordination</w:t>
        </w:r>
        <w:r>
          <w:rPr>
            <w:color w:val="0000FF"/>
            <w:spacing w:val="-2"/>
            <w:u w:val="single" w:color="0000FF"/>
          </w:rPr>
          <w:t> </w:t>
        </w:r>
        <w:r>
          <w:rPr>
            <w:color w:val="0000FF"/>
            <w:u w:val="single" w:color="0000FF"/>
          </w:rPr>
          <w:t>of</w:t>
        </w:r>
        <w:r>
          <w:rPr>
            <w:color w:val="0000FF"/>
            <w:spacing w:val="-2"/>
            <w:u w:val="single" w:color="0000FF"/>
          </w:rPr>
          <w:t> </w:t>
        </w:r>
        <w:r>
          <w:rPr>
            <w:color w:val="0000FF"/>
            <w:u w:val="single" w:color="0000FF"/>
          </w:rPr>
          <w:t>the</w:t>
        </w:r>
        <w:r>
          <w:rPr>
            <w:color w:val="0000FF"/>
            <w:spacing w:val="-3"/>
            <w:u w:val="single" w:color="0000FF"/>
          </w:rPr>
          <w:t> </w:t>
        </w:r>
        <w:r>
          <w:rPr>
            <w:color w:val="0000FF"/>
            <w:u w:val="single" w:color="0000FF"/>
          </w:rPr>
          <w:t>IEP</w:t>
        </w:r>
        <w:r>
          <w:rPr>
            <w:color w:val="0000FF"/>
            <w:spacing w:val="-3"/>
            <w:u w:val="single" w:color="0000FF"/>
          </w:rPr>
          <w:t> </w:t>
        </w:r>
        <w:r>
          <w:rPr>
            <w:color w:val="0000FF"/>
            <w:u w:val="single" w:color="0000FF"/>
          </w:rPr>
          <w:t>and</w:t>
        </w:r>
        <w:r>
          <w:rPr>
            <w:color w:val="0000FF"/>
            <w:spacing w:val="-2"/>
            <w:u w:val="single" w:color="0000FF"/>
          </w:rPr>
          <w:t> </w:t>
        </w:r>
        <w:r>
          <w:rPr>
            <w:color w:val="0000FF"/>
            <w:spacing w:val="-4"/>
            <w:u w:val="single" w:color="0000FF"/>
          </w:rPr>
          <w:t>IPE</w:t>
        </w:r>
      </w:hyperlink>
      <w:r>
        <w:rPr>
          <w:color w:val="0000FF"/>
          <w:spacing w:val="-4"/>
          <w:u w:val="single" w:color="0000FF"/>
        </w:rPr>
        <w:t>.</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tabs>
          <w:tab w:pos="1439" w:val="left" w:leader="none"/>
        </w:tabs>
        <w:spacing w:before="0"/>
        <w:ind w:left="359" w:right="6636"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6-14-99</w:t>
      </w:r>
      <w:r>
        <w:rPr>
          <w:sz w:val="22"/>
        </w:rPr>
        <w:tab/>
        <w:t>POL Memo #99-7</w:t>
      </w:r>
    </w:p>
    <w:p>
      <w:pPr>
        <w:tabs>
          <w:tab w:pos="1439" w:val="left" w:leader="none"/>
        </w:tabs>
        <w:spacing w:before="0"/>
        <w:ind w:left="359" w:right="5831" w:firstLine="1080"/>
        <w:jc w:val="left"/>
        <w:rPr>
          <w:sz w:val="22"/>
        </w:rPr>
      </w:pPr>
      <w:r>
        <w:rPr>
          <w:sz w:val="22"/>
        </w:rPr>
        <w:t>Emergency,</w:t>
      </w:r>
      <w:r>
        <w:rPr>
          <w:spacing w:val="-10"/>
          <w:sz w:val="22"/>
        </w:rPr>
        <w:t> </w:t>
      </w:r>
      <w:r>
        <w:rPr>
          <w:sz w:val="22"/>
        </w:rPr>
        <w:t>changed</w:t>
      </w:r>
      <w:r>
        <w:rPr>
          <w:spacing w:val="-10"/>
          <w:sz w:val="22"/>
        </w:rPr>
        <w:t> </w:t>
      </w:r>
      <w:r>
        <w:rPr>
          <w:sz w:val="22"/>
        </w:rPr>
        <w:t>IRP</w:t>
      </w:r>
      <w:r>
        <w:rPr>
          <w:spacing w:val="-10"/>
          <w:sz w:val="22"/>
        </w:rPr>
        <w:t> </w:t>
      </w:r>
      <w:r>
        <w:rPr>
          <w:sz w:val="22"/>
        </w:rPr>
        <w:t>to</w:t>
      </w:r>
      <w:r>
        <w:rPr>
          <w:spacing w:val="-10"/>
          <w:sz w:val="22"/>
        </w:rPr>
        <w:t> </w:t>
      </w:r>
      <w:r>
        <w:rPr>
          <w:sz w:val="22"/>
        </w:rPr>
        <w:t>IPE </w:t>
      </w:r>
      <w:r>
        <w:rPr>
          <w:spacing w:val="-2"/>
          <w:sz w:val="22"/>
        </w:rPr>
        <w:t>7-1-99</w:t>
      </w:r>
      <w:r>
        <w:rPr>
          <w:sz w:val="22"/>
        </w:rPr>
        <w:tab/>
        <w:t>POL Memo #00-1</w:t>
      </w:r>
    </w:p>
    <w:p>
      <w:pPr>
        <w:tabs>
          <w:tab w:pos="1439" w:val="left" w:leader="none"/>
        </w:tabs>
        <w:spacing w:before="1"/>
        <w:ind w:left="359" w:right="3459"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6-14-99 </w:t>
      </w:r>
      <w:r>
        <w:rPr>
          <w:spacing w:val="-2"/>
          <w:sz w:val="22"/>
        </w:rPr>
        <w:t>7-1-05</w:t>
      </w:r>
      <w:r>
        <w:rPr>
          <w:sz w:val="22"/>
        </w:rPr>
        <w:tab/>
        <w:t>PT Memo #06-01</w:t>
      </w:r>
    </w:p>
    <w:p>
      <w:pPr>
        <w:tabs>
          <w:tab w:pos="1439" w:val="left" w:leader="none"/>
        </w:tabs>
        <w:spacing w:before="0"/>
        <w:ind w:left="359" w:right="5487" w:firstLine="1080"/>
        <w:jc w:val="left"/>
        <w:rPr>
          <w:sz w:val="22"/>
        </w:rPr>
      </w:pPr>
      <w:r>
        <w:rPr>
          <w:sz w:val="22"/>
        </w:rPr>
        <w:t>Permanent,</w:t>
      </w:r>
      <w:r>
        <w:rPr>
          <w:spacing w:val="-9"/>
          <w:sz w:val="22"/>
        </w:rPr>
        <w:t> </w:t>
      </w:r>
      <w:r>
        <w:rPr>
          <w:sz w:val="22"/>
        </w:rPr>
        <w:t>added</w:t>
      </w:r>
      <w:r>
        <w:rPr>
          <w:spacing w:val="-10"/>
          <w:sz w:val="22"/>
        </w:rPr>
        <w:t> </w:t>
      </w:r>
      <w:r>
        <w:rPr>
          <w:sz w:val="22"/>
        </w:rPr>
        <w:t>Section</w:t>
      </w:r>
      <w:r>
        <w:rPr>
          <w:spacing w:val="-10"/>
          <w:sz w:val="22"/>
        </w:rPr>
        <w:t> </w:t>
      </w:r>
      <w:r>
        <w:rPr>
          <w:sz w:val="22"/>
        </w:rPr>
        <w:t>504</w:t>
      </w:r>
      <w:r>
        <w:rPr>
          <w:spacing w:val="-10"/>
          <w:sz w:val="22"/>
        </w:rPr>
        <w:t> </w:t>
      </w:r>
      <w:r>
        <w:rPr>
          <w:sz w:val="22"/>
        </w:rPr>
        <w:t>plan </w:t>
      </w:r>
      <w:r>
        <w:rPr>
          <w:spacing w:val="-2"/>
          <w:sz w:val="22"/>
        </w:rPr>
        <w:t>7-1-11</w:t>
      </w:r>
      <w:r>
        <w:rPr>
          <w:sz w:val="22"/>
        </w:rPr>
        <w:tab/>
        <w:t>PT Memo #12-01</w:t>
      </w:r>
    </w:p>
    <w:p>
      <w:pPr>
        <w:spacing w:before="0"/>
        <w:ind w:left="1439" w:right="0" w:firstLine="0"/>
        <w:jc w:val="left"/>
        <w:rPr>
          <w:sz w:val="22"/>
        </w:rPr>
      </w:pPr>
      <w:r>
        <w:rPr>
          <w:sz w:val="22"/>
        </w:rPr>
        <w:t>Permanent,</w:t>
      </w:r>
      <w:r>
        <w:rPr>
          <w:spacing w:val="-10"/>
          <w:sz w:val="22"/>
        </w:rPr>
        <w:t> </w:t>
      </w:r>
      <w:r>
        <w:rPr>
          <w:sz w:val="22"/>
        </w:rPr>
        <w:t>updating</w:t>
      </w:r>
      <w:r>
        <w:rPr>
          <w:spacing w:val="-11"/>
          <w:sz w:val="22"/>
        </w:rPr>
        <w:t> </w:t>
      </w:r>
      <w:r>
        <w:rPr>
          <w:spacing w:val="-2"/>
          <w:sz w:val="22"/>
        </w:rPr>
        <w:t>terms.</w:t>
      </w:r>
    </w:p>
    <w:p>
      <w:pPr>
        <w:tabs>
          <w:tab w:pos="1439" w:val="left" w:leader="none"/>
        </w:tabs>
        <w:spacing w:before="0"/>
        <w:ind w:left="359" w:right="0" w:firstLine="0"/>
        <w:jc w:val="left"/>
        <w:rPr>
          <w:sz w:val="22"/>
        </w:rPr>
      </w:pPr>
      <w:r>
        <w:rPr>
          <w:spacing w:val="-2"/>
          <w:sz w:val="22"/>
        </w:rPr>
        <w:t>8-26-</w:t>
      </w:r>
      <w:r>
        <w:rPr>
          <w:spacing w:val="-5"/>
          <w:sz w:val="22"/>
        </w:rPr>
        <w:t>21</w:t>
      </w:r>
      <w:r>
        <w:rPr>
          <w:sz w:val="22"/>
        </w:rPr>
        <w:tab/>
        <w:t>Revised</w:t>
      </w:r>
      <w:r>
        <w:rPr>
          <w:spacing w:val="-7"/>
          <w:sz w:val="22"/>
        </w:rPr>
        <w:t> </w:t>
      </w:r>
      <w:r>
        <w:rPr>
          <w:sz w:val="22"/>
        </w:rPr>
        <w:t>to</w:t>
      </w:r>
      <w:r>
        <w:rPr>
          <w:spacing w:val="-6"/>
          <w:sz w:val="22"/>
        </w:rPr>
        <w:t> </w:t>
      </w:r>
      <w:r>
        <w:rPr>
          <w:sz w:val="22"/>
        </w:rPr>
        <w:t>reflect</w:t>
      </w:r>
      <w:r>
        <w:rPr>
          <w:spacing w:val="-7"/>
          <w:sz w:val="22"/>
        </w:rPr>
        <w:t> </w:t>
      </w:r>
      <w:r>
        <w:rPr>
          <w:sz w:val="22"/>
        </w:rPr>
        <w:t>WIOA</w:t>
      </w:r>
      <w:r>
        <w:rPr>
          <w:spacing w:val="-6"/>
          <w:sz w:val="22"/>
        </w:rPr>
        <w:t> </w:t>
      </w:r>
      <w:r>
        <w:rPr>
          <w:spacing w:val="-2"/>
          <w:sz w:val="22"/>
        </w:rPr>
        <w:t>language.</w:t>
      </w:r>
    </w:p>
    <w:p>
      <w:pPr>
        <w:spacing w:after="0"/>
        <w:jc w:val="left"/>
        <w:rPr>
          <w:sz w:val="22"/>
        </w:rPr>
        <w:sectPr>
          <w:pgSz w:w="12240" w:h="15840"/>
          <w:pgMar w:top="1340" w:bottom="280" w:left="1080" w:right="720"/>
        </w:sectPr>
      </w:pPr>
    </w:p>
    <w:p>
      <w:pPr>
        <w:pStyle w:val="Heading2"/>
        <w:spacing w:line="208" w:lineRule="auto" w:before="96"/>
        <w:ind w:right="775"/>
      </w:pPr>
      <w:bookmarkStart w:name="612:10-7-250.  Reporting Credential Atta" w:id="239"/>
      <w:bookmarkEnd w:id="239"/>
      <w:r>
        <w:rPr>
          <w:b w:val="0"/>
        </w:rPr>
      </w:r>
      <w:r>
        <w:rPr/>
        <w:t>612:10-7-250.</w:t>
      </w:r>
      <w:r>
        <w:rPr>
          <w:spacing w:val="40"/>
        </w:rPr>
        <w:t> </w:t>
      </w:r>
      <w:r>
        <w:rPr/>
        <w:t>Reporting</w:t>
      </w:r>
      <w:r>
        <w:rPr>
          <w:spacing w:val="-4"/>
        </w:rPr>
        <w:t> </w:t>
      </w:r>
      <w:r>
        <w:rPr/>
        <w:t>Credential</w:t>
      </w:r>
      <w:r>
        <w:rPr>
          <w:spacing w:val="-5"/>
        </w:rPr>
        <w:t> </w:t>
      </w:r>
      <w:r>
        <w:rPr/>
        <w:t>Attainment</w:t>
      </w:r>
      <w:r>
        <w:rPr>
          <w:spacing w:val="-3"/>
        </w:rPr>
        <w:t> </w:t>
      </w:r>
      <w:r>
        <w:rPr/>
        <w:t>and</w:t>
      </w:r>
      <w:r>
        <w:rPr>
          <w:spacing w:val="-4"/>
        </w:rPr>
        <w:t> </w:t>
      </w:r>
      <w:r>
        <w:rPr/>
        <w:t>Skill</w:t>
      </w:r>
      <w:r>
        <w:rPr>
          <w:spacing w:val="-5"/>
        </w:rPr>
        <w:t> </w:t>
      </w:r>
      <w:r>
        <w:rPr/>
        <w:t>Gains</w:t>
      </w:r>
      <w:r>
        <w:rPr>
          <w:spacing w:val="-4"/>
        </w:rPr>
        <w:t> </w:t>
      </w:r>
      <w:r>
        <w:rPr/>
        <w:t>for</w:t>
      </w:r>
      <w:r>
        <w:rPr>
          <w:spacing w:val="-4"/>
        </w:rPr>
        <w:t> </w:t>
      </w:r>
      <w:r>
        <w:rPr/>
        <w:t>High</w:t>
      </w:r>
      <w:r>
        <w:rPr>
          <w:spacing w:val="-5"/>
        </w:rPr>
        <w:t> </w:t>
      </w:r>
      <w:r>
        <w:rPr/>
        <w:t>School Transition Students</w:t>
      </w:r>
    </w:p>
    <w:p>
      <w:pPr>
        <w:pStyle w:val="ListParagraph"/>
        <w:numPr>
          <w:ilvl w:val="0"/>
          <w:numId w:val="259"/>
        </w:numPr>
        <w:tabs>
          <w:tab w:pos="786" w:val="left" w:leader="none"/>
        </w:tabs>
        <w:spacing w:line="240" w:lineRule="auto" w:before="244" w:after="0"/>
        <w:ind w:left="360" w:right="724" w:firstLine="0"/>
        <w:jc w:val="left"/>
        <w:rPr>
          <w:sz w:val="24"/>
        </w:rPr>
      </w:pPr>
      <w:r>
        <w:rPr>
          <w:sz w:val="24"/>
        </w:rPr>
        <w:t>Under the WIOA,</w:t>
      </w:r>
      <w:r>
        <w:rPr>
          <w:spacing w:val="-1"/>
          <w:sz w:val="24"/>
        </w:rPr>
        <w:t> </w:t>
      </w:r>
      <w:r>
        <w:rPr>
          <w:sz w:val="24"/>
        </w:rPr>
        <w:t>workforce agencies are required to report the percentage of those participants enrolled in secondary education who attained a recognized credential</w:t>
      </w:r>
      <w:r>
        <w:rPr>
          <w:spacing w:val="40"/>
          <w:sz w:val="24"/>
        </w:rPr>
        <w:t> </w:t>
      </w:r>
      <w:r>
        <w:rPr>
          <w:sz w:val="24"/>
        </w:rPr>
        <w:t>during participation in or within one year after closure of the case. This is based on the sub-regulatory</w:t>
      </w:r>
      <w:r>
        <w:rPr>
          <w:spacing w:val="-4"/>
          <w:sz w:val="24"/>
        </w:rPr>
        <w:t> </w:t>
      </w:r>
      <w:r>
        <w:rPr>
          <w:sz w:val="24"/>
        </w:rPr>
        <w:t>guidance</w:t>
      </w:r>
      <w:r>
        <w:rPr>
          <w:spacing w:val="-4"/>
          <w:sz w:val="24"/>
        </w:rPr>
        <w:t> </w:t>
      </w:r>
      <w:r>
        <w:rPr>
          <w:sz w:val="24"/>
        </w:rPr>
        <w:t>related</w:t>
      </w:r>
      <w:r>
        <w:rPr>
          <w:spacing w:val="-4"/>
          <w:sz w:val="24"/>
        </w:rPr>
        <w:t> </w:t>
      </w:r>
      <w:r>
        <w:rPr>
          <w:sz w:val="24"/>
        </w:rPr>
        <w:t>to</w:t>
      </w:r>
      <w:r>
        <w:rPr>
          <w:spacing w:val="-4"/>
          <w:sz w:val="24"/>
        </w:rPr>
        <w:t> </w:t>
      </w:r>
      <w:r>
        <w:rPr>
          <w:sz w:val="24"/>
        </w:rPr>
        <w:t>the</w:t>
      </w:r>
      <w:r>
        <w:rPr>
          <w:spacing w:val="-4"/>
          <w:sz w:val="24"/>
        </w:rPr>
        <w:t> </w:t>
      </w:r>
      <w:r>
        <w:rPr>
          <w:sz w:val="24"/>
        </w:rPr>
        <w:t>implementation</w:t>
      </w:r>
      <w:r>
        <w:rPr>
          <w:spacing w:val="-4"/>
          <w:sz w:val="24"/>
        </w:rPr>
        <w:t> </w:t>
      </w:r>
      <w:r>
        <w:rPr>
          <w:sz w:val="24"/>
        </w:rPr>
        <w:t>and</w:t>
      </w:r>
      <w:r>
        <w:rPr>
          <w:spacing w:val="-4"/>
          <w:sz w:val="24"/>
        </w:rPr>
        <w:t> </w:t>
      </w:r>
      <w:r>
        <w:rPr>
          <w:sz w:val="24"/>
        </w:rPr>
        <w:t>operation</w:t>
      </w:r>
      <w:r>
        <w:rPr>
          <w:spacing w:val="-4"/>
          <w:sz w:val="24"/>
        </w:rPr>
        <w:t> </w:t>
      </w:r>
      <w:r>
        <w:rPr>
          <w:sz w:val="24"/>
        </w:rPr>
        <w:t>of</w:t>
      </w:r>
      <w:r>
        <w:rPr>
          <w:spacing w:val="-3"/>
          <w:sz w:val="24"/>
        </w:rPr>
        <w:t> </w:t>
      </w:r>
      <w:r>
        <w:rPr>
          <w:sz w:val="24"/>
        </w:rPr>
        <w:t>the</w:t>
      </w:r>
      <w:r>
        <w:rPr>
          <w:spacing w:val="-4"/>
          <w:sz w:val="24"/>
        </w:rPr>
        <w:t> </w:t>
      </w:r>
      <w:r>
        <w:rPr>
          <w:sz w:val="24"/>
        </w:rPr>
        <w:t>performance accountability system under section 116 of WIOA and the implementing regulations in 34 CFR parts 361 subpart E.</w:t>
      </w:r>
    </w:p>
    <w:p>
      <w:pPr>
        <w:pStyle w:val="BodyText"/>
        <w:spacing w:before="0"/>
        <w:ind w:left="0"/>
      </w:pPr>
    </w:p>
    <w:p>
      <w:pPr>
        <w:pStyle w:val="ListParagraph"/>
        <w:numPr>
          <w:ilvl w:val="0"/>
          <w:numId w:val="259"/>
        </w:numPr>
        <w:tabs>
          <w:tab w:pos="786" w:val="left" w:leader="none"/>
        </w:tabs>
        <w:spacing w:line="240" w:lineRule="auto" w:before="0" w:after="0"/>
        <w:ind w:left="360" w:right="765" w:firstLine="0"/>
        <w:jc w:val="left"/>
        <w:rPr>
          <w:sz w:val="24"/>
        </w:rPr>
      </w:pPr>
      <w:r>
        <w:rPr>
          <w:sz w:val="24"/>
        </w:rPr>
        <w:t>For reportable high school students, the recognized Secondary Credential is the achievement</w:t>
      </w:r>
      <w:r>
        <w:rPr>
          <w:spacing w:val="-3"/>
          <w:sz w:val="24"/>
        </w:rPr>
        <w:t> </w:t>
      </w:r>
      <w:r>
        <w:rPr>
          <w:sz w:val="24"/>
        </w:rPr>
        <w:t>of</w:t>
      </w:r>
      <w:r>
        <w:rPr>
          <w:spacing w:val="-3"/>
          <w:sz w:val="24"/>
        </w:rPr>
        <w:t> </w:t>
      </w:r>
      <w:r>
        <w:rPr>
          <w:sz w:val="24"/>
        </w:rPr>
        <w:t>a</w:t>
      </w:r>
      <w:r>
        <w:rPr>
          <w:spacing w:val="-5"/>
          <w:sz w:val="24"/>
        </w:rPr>
        <w:t> </w:t>
      </w:r>
      <w:r>
        <w:rPr>
          <w:sz w:val="24"/>
        </w:rPr>
        <w:t>High</w:t>
      </w:r>
      <w:r>
        <w:rPr>
          <w:spacing w:val="-3"/>
          <w:sz w:val="24"/>
        </w:rPr>
        <w:t> </w:t>
      </w:r>
      <w:r>
        <w:rPr>
          <w:sz w:val="24"/>
        </w:rPr>
        <w:t>School</w:t>
      </w:r>
      <w:r>
        <w:rPr>
          <w:spacing w:val="-4"/>
          <w:sz w:val="24"/>
        </w:rPr>
        <w:t> </w:t>
      </w:r>
      <w:r>
        <w:rPr>
          <w:sz w:val="24"/>
        </w:rPr>
        <w:t>Diploma,</w:t>
      </w:r>
      <w:r>
        <w:rPr>
          <w:spacing w:val="-3"/>
          <w:sz w:val="24"/>
        </w:rPr>
        <w:t> </w:t>
      </w:r>
      <w:r>
        <w:rPr>
          <w:sz w:val="24"/>
        </w:rPr>
        <w:t>recognized</w:t>
      </w:r>
      <w:r>
        <w:rPr>
          <w:spacing w:val="-4"/>
          <w:sz w:val="24"/>
        </w:rPr>
        <w:t> </w:t>
      </w:r>
      <w:r>
        <w:rPr>
          <w:sz w:val="24"/>
        </w:rPr>
        <w:t>by</w:t>
      </w:r>
      <w:r>
        <w:rPr>
          <w:spacing w:val="-4"/>
          <w:sz w:val="24"/>
        </w:rPr>
        <w:t> </w:t>
      </w:r>
      <w:r>
        <w:rPr>
          <w:sz w:val="24"/>
        </w:rPr>
        <w:t>the</w:t>
      </w:r>
      <w:r>
        <w:rPr>
          <w:spacing w:val="-4"/>
          <w:sz w:val="24"/>
        </w:rPr>
        <w:t> </w:t>
      </w:r>
      <w:r>
        <w:rPr>
          <w:sz w:val="24"/>
        </w:rPr>
        <w:t>State</w:t>
      </w:r>
      <w:r>
        <w:rPr>
          <w:spacing w:val="-4"/>
          <w:sz w:val="24"/>
        </w:rPr>
        <w:t> </w:t>
      </w:r>
      <w:r>
        <w:rPr>
          <w:sz w:val="24"/>
        </w:rPr>
        <w:t>of</w:t>
      </w:r>
      <w:r>
        <w:rPr>
          <w:spacing w:val="-5"/>
          <w:sz w:val="24"/>
        </w:rPr>
        <w:t> </w:t>
      </w:r>
      <w:r>
        <w:rPr>
          <w:sz w:val="24"/>
        </w:rPr>
        <w:t>Oklahoma.</w:t>
      </w:r>
      <w:r>
        <w:rPr>
          <w:spacing w:val="-3"/>
          <w:sz w:val="24"/>
        </w:rPr>
        <w:t> </w:t>
      </w:r>
      <w:r>
        <w:rPr>
          <w:sz w:val="24"/>
        </w:rPr>
        <w:t>Progress toward completing requirements for a diploma is reported as a Measurable Skill Gain </w:t>
      </w:r>
      <w:r>
        <w:rPr>
          <w:spacing w:val="-2"/>
          <w:sz w:val="24"/>
        </w:rPr>
        <w:t>(MSG).</w:t>
      </w:r>
    </w:p>
    <w:p>
      <w:pPr>
        <w:pStyle w:val="BodyText"/>
        <w:spacing w:before="0"/>
        <w:ind w:left="0"/>
      </w:pPr>
    </w:p>
    <w:p>
      <w:pPr>
        <w:pStyle w:val="ListParagraph"/>
        <w:numPr>
          <w:ilvl w:val="0"/>
          <w:numId w:val="259"/>
        </w:numPr>
        <w:tabs>
          <w:tab w:pos="773" w:val="left" w:leader="none"/>
        </w:tabs>
        <w:spacing w:line="240" w:lineRule="auto" w:before="0" w:after="0"/>
        <w:ind w:left="360" w:right="768" w:firstLine="0"/>
        <w:jc w:val="left"/>
        <w:rPr>
          <w:sz w:val="24"/>
        </w:rPr>
      </w:pPr>
      <w:r>
        <w:rPr>
          <w:sz w:val="24"/>
        </w:rPr>
        <w:t>In</w:t>
      </w:r>
      <w:r>
        <w:rPr>
          <w:spacing w:val="-4"/>
          <w:sz w:val="24"/>
        </w:rPr>
        <w:t> </w:t>
      </w:r>
      <w:r>
        <w:rPr>
          <w:sz w:val="24"/>
        </w:rPr>
        <w:t>order</w:t>
      </w:r>
      <w:r>
        <w:rPr>
          <w:spacing w:val="-3"/>
          <w:sz w:val="24"/>
        </w:rPr>
        <w:t> </w:t>
      </w:r>
      <w:r>
        <w:rPr>
          <w:sz w:val="24"/>
        </w:rPr>
        <w:t>to</w:t>
      </w:r>
      <w:r>
        <w:rPr>
          <w:spacing w:val="-4"/>
          <w:sz w:val="24"/>
        </w:rPr>
        <w:t> </w:t>
      </w:r>
      <w:r>
        <w:rPr>
          <w:sz w:val="24"/>
        </w:rPr>
        <w:t>properly</w:t>
      </w:r>
      <w:r>
        <w:rPr>
          <w:spacing w:val="-4"/>
          <w:sz w:val="24"/>
        </w:rPr>
        <w:t> </w:t>
      </w:r>
      <w:r>
        <w:rPr>
          <w:sz w:val="24"/>
        </w:rPr>
        <w:t>report</w:t>
      </w:r>
      <w:r>
        <w:rPr>
          <w:spacing w:val="-3"/>
          <w:sz w:val="24"/>
        </w:rPr>
        <w:t> </w:t>
      </w:r>
      <w:r>
        <w:rPr>
          <w:sz w:val="24"/>
        </w:rPr>
        <w:t>credentials</w:t>
      </w:r>
      <w:r>
        <w:rPr>
          <w:spacing w:val="-4"/>
          <w:sz w:val="24"/>
        </w:rPr>
        <w:t> </w:t>
      </w:r>
      <w:r>
        <w:rPr>
          <w:sz w:val="24"/>
        </w:rPr>
        <w:t>and</w:t>
      </w:r>
      <w:r>
        <w:rPr>
          <w:spacing w:val="-4"/>
          <w:sz w:val="24"/>
        </w:rPr>
        <w:t> </w:t>
      </w:r>
      <w:r>
        <w:rPr>
          <w:sz w:val="24"/>
        </w:rPr>
        <w:t>skill</w:t>
      </w:r>
      <w:r>
        <w:rPr>
          <w:spacing w:val="-4"/>
          <w:sz w:val="24"/>
        </w:rPr>
        <w:t> </w:t>
      </w:r>
      <w:r>
        <w:rPr>
          <w:sz w:val="24"/>
        </w:rPr>
        <w:t>gains,</w:t>
      </w:r>
      <w:r>
        <w:rPr>
          <w:spacing w:val="-3"/>
          <w:sz w:val="24"/>
        </w:rPr>
        <w:t> </w:t>
      </w:r>
      <w:r>
        <w:rPr>
          <w:sz w:val="24"/>
        </w:rPr>
        <w:t>the</w:t>
      </w:r>
      <w:r>
        <w:rPr>
          <w:spacing w:val="-4"/>
          <w:sz w:val="24"/>
        </w:rPr>
        <w:t> </w:t>
      </w:r>
      <w:r>
        <w:rPr>
          <w:sz w:val="24"/>
        </w:rPr>
        <w:t>high</w:t>
      </w:r>
      <w:r>
        <w:rPr>
          <w:spacing w:val="-5"/>
          <w:sz w:val="24"/>
        </w:rPr>
        <w:t> </w:t>
      </w:r>
      <w:r>
        <w:rPr>
          <w:sz w:val="24"/>
        </w:rPr>
        <w:t>school</w:t>
      </w:r>
      <w:r>
        <w:rPr>
          <w:spacing w:val="-4"/>
          <w:sz w:val="24"/>
        </w:rPr>
        <w:t> </w:t>
      </w:r>
      <w:r>
        <w:rPr>
          <w:sz w:val="24"/>
        </w:rPr>
        <w:t>education</w:t>
      </w:r>
      <w:r>
        <w:rPr>
          <w:spacing w:val="-4"/>
          <w:sz w:val="24"/>
        </w:rPr>
        <w:t> </w:t>
      </w:r>
      <w:r>
        <w:rPr>
          <w:sz w:val="24"/>
        </w:rPr>
        <w:t>goal must be included on the IPE for any Student With Disability (SWD) for whom a plan is developed while still enrolled in high school. It is expected that staff will use the DRS electronic case management system to record enrollments (educational goals), and document credential attainments and skill gains. Supporting documents proving the credential or skill gain must be entered into the system as well. Timely reporting of these attainments and skill gains is critical. The Participant is expected to assist with obtaining the required documentation. Credential attainment can be reported up to one year after case closure. MSG's are only reported prior to case closure.</w:t>
      </w:r>
    </w:p>
    <w:p>
      <w:pPr>
        <w:pStyle w:val="BodyText"/>
        <w:spacing w:before="246"/>
      </w:pPr>
      <w:r>
        <w:rPr/>
        <w:t>Instructions</w:t>
      </w:r>
      <w:r>
        <w:rPr>
          <w:spacing w:val="-5"/>
        </w:rPr>
        <w:t> </w:t>
      </w:r>
      <w:r>
        <w:rPr/>
        <w:t>to</w:t>
      </w:r>
      <w:r>
        <w:rPr>
          <w:spacing w:val="-2"/>
        </w:rPr>
        <w:t> </w:t>
      </w:r>
      <w:r>
        <w:rPr>
          <w:spacing w:val="-4"/>
        </w:rPr>
        <w:t>Staff</w:t>
      </w:r>
    </w:p>
    <w:p>
      <w:pPr>
        <w:pStyle w:val="BodyText"/>
        <w:spacing w:line="208" w:lineRule="auto" w:before="273"/>
        <w:ind w:right="775"/>
      </w:pPr>
      <w:r>
        <w:rPr/>
        <w:t>1.</w:t>
      </w:r>
      <w:r>
        <w:rPr>
          <w:spacing w:val="40"/>
        </w:rPr>
        <w:t> </w:t>
      </w:r>
      <w:r>
        <w:rPr/>
        <w:t>See</w:t>
      </w:r>
      <w:r>
        <w:rPr>
          <w:spacing w:val="-6"/>
        </w:rPr>
        <w:t> </w:t>
      </w:r>
      <w:r>
        <w:rPr/>
        <w:t>iDRS</w:t>
      </w:r>
      <w:r>
        <w:rPr>
          <w:spacing w:val="-6"/>
        </w:rPr>
        <w:t> </w:t>
      </w:r>
      <w:r>
        <w:rPr/>
        <w:t>link</w:t>
      </w:r>
      <w:r>
        <w:rPr>
          <w:spacing w:val="-6"/>
        </w:rPr>
        <w:t> </w:t>
      </w:r>
      <w:r>
        <w:rPr/>
        <w:t>for</w:t>
      </w:r>
      <w:r>
        <w:rPr>
          <w:spacing w:val="-5"/>
        </w:rPr>
        <w:t> </w:t>
      </w:r>
      <w:r>
        <w:rPr/>
        <w:t>instructions</w:t>
      </w:r>
      <w:r>
        <w:rPr>
          <w:spacing w:val="-6"/>
        </w:rPr>
        <w:t> </w:t>
      </w:r>
      <w:hyperlink r:id="rId82">
        <w:r>
          <w:rPr>
            <w:color w:val="0000FF"/>
            <w:u w:val="single" w:color="0000FF"/>
          </w:rPr>
          <w:t>https://officemgmtentserv.sharepoint.com/sites/805-</w:t>
        </w:r>
      </w:hyperlink>
      <w:r>
        <w:rPr>
          <w:color w:val="0000FF"/>
          <w:u w:val="none"/>
        </w:rPr>
        <w:t> </w:t>
      </w:r>
      <w:hyperlink r:id="rId82">
        <w:r>
          <w:rPr>
            <w:color w:val="0000FF"/>
            <w:spacing w:val="-2"/>
            <w:u w:val="single" w:color="0000FF"/>
          </w:rPr>
          <w:t>AWARE/SitePages/Education.aspx</w:t>
        </w:r>
      </w:hyperlink>
      <w:r>
        <w:rPr>
          <w:spacing w:val="-2"/>
          <w:u w:val="none"/>
        </w:rPr>
        <w:t>.</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360" w:right="0" w:firstLine="0"/>
        <w:jc w:val="left"/>
        <w:rPr>
          <w:sz w:val="22"/>
        </w:rPr>
      </w:pPr>
      <w:r>
        <w:rPr>
          <w:spacing w:val="-2"/>
          <w:sz w:val="22"/>
        </w:rPr>
        <w:t>9-11-</w:t>
      </w:r>
      <w:r>
        <w:rPr>
          <w:spacing w:val="-5"/>
          <w:sz w:val="22"/>
        </w:rPr>
        <w:t>22</w:t>
      </w:r>
      <w:r>
        <w:rPr>
          <w:sz w:val="22"/>
        </w:rPr>
        <w:tab/>
        <w:t>Permanent,</w:t>
      </w:r>
      <w:r>
        <w:rPr>
          <w:spacing w:val="-8"/>
          <w:sz w:val="22"/>
        </w:rPr>
        <w:t> </w:t>
      </w:r>
      <w:r>
        <w:rPr>
          <w:sz w:val="22"/>
        </w:rPr>
        <w:t>new</w:t>
      </w:r>
      <w:r>
        <w:rPr>
          <w:spacing w:val="-9"/>
          <w:sz w:val="22"/>
        </w:rPr>
        <w:t> </w:t>
      </w:r>
      <w:r>
        <w:rPr>
          <w:spacing w:val="-4"/>
          <w:sz w:val="22"/>
        </w:rPr>
        <w:t>rule</w:t>
      </w:r>
    </w:p>
    <w:p>
      <w:pPr>
        <w:tabs>
          <w:tab w:pos="1439" w:val="left" w:leader="none"/>
        </w:tabs>
        <w:spacing w:before="1"/>
        <w:ind w:left="360" w:right="0" w:firstLine="0"/>
        <w:jc w:val="left"/>
        <w:rPr>
          <w:sz w:val="22"/>
        </w:rPr>
      </w:pPr>
      <w:r>
        <w:rPr>
          <w:spacing w:val="-2"/>
          <w:sz w:val="22"/>
        </w:rPr>
        <w:t>8-21-</w:t>
      </w:r>
      <w:r>
        <w:rPr>
          <w:spacing w:val="-5"/>
          <w:sz w:val="22"/>
        </w:rPr>
        <w:t>24</w:t>
      </w:r>
      <w:r>
        <w:rPr>
          <w:sz w:val="22"/>
        </w:rPr>
        <w:tab/>
        <w:t>Updated,</w:t>
      </w:r>
      <w:r>
        <w:rPr>
          <w:spacing w:val="-7"/>
          <w:sz w:val="22"/>
        </w:rPr>
        <w:t> </w:t>
      </w:r>
      <w:r>
        <w:rPr>
          <w:sz w:val="22"/>
        </w:rPr>
        <w:t>fixed</w:t>
      </w:r>
      <w:r>
        <w:rPr>
          <w:spacing w:val="-7"/>
          <w:sz w:val="22"/>
        </w:rPr>
        <w:t> </w:t>
      </w:r>
      <w:r>
        <w:rPr>
          <w:sz w:val="22"/>
        </w:rPr>
        <w:t>broken</w:t>
      </w:r>
      <w:r>
        <w:rPr>
          <w:spacing w:val="-6"/>
          <w:sz w:val="22"/>
        </w:rPr>
        <w:t> </w:t>
      </w:r>
      <w:r>
        <w:rPr>
          <w:sz w:val="22"/>
        </w:rPr>
        <w:t>hyperlink</w:t>
      </w:r>
      <w:r>
        <w:rPr>
          <w:spacing w:val="-7"/>
          <w:sz w:val="22"/>
        </w:rPr>
        <w:t> </w:t>
      </w:r>
      <w:r>
        <w:rPr>
          <w:sz w:val="22"/>
        </w:rPr>
        <w:t>for</w:t>
      </w:r>
      <w:r>
        <w:rPr>
          <w:spacing w:val="-8"/>
          <w:sz w:val="22"/>
        </w:rPr>
        <w:t> </w:t>
      </w:r>
      <w:r>
        <w:rPr>
          <w:sz w:val="22"/>
        </w:rPr>
        <w:t>ITS</w:t>
      </w:r>
      <w:r>
        <w:rPr>
          <w:spacing w:val="-7"/>
          <w:sz w:val="22"/>
        </w:rPr>
        <w:t> </w:t>
      </w:r>
      <w:r>
        <w:rPr>
          <w:spacing w:val="-5"/>
          <w:sz w:val="22"/>
        </w:rPr>
        <w:t>#1.</w:t>
      </w:r>
    </w:p>
    <w:p>
      <w:pPr>
        <w:spacing w:after="0"/>
        <w:jc w:val="left"/>
        <w:rPr>
          <w:sz w:val="22"/>
        </w:rPr>
        <w:sectPr>
          <w:pgSz w:w="12240" w:h="15840"/>
          <w:pgMar w:top="1340" w:bottom="280" w:left="1080" w:right="720"/>
        </w:sectPr>
      </w:pPr>
    </w:p>
    <w:p>
      <w:pPr>
        <w:pStyle w:val="BodyText"/>
        <w:spacing w:before="0"/>
        <w:ind w:left="0"/>
      </w:pPr>
    </w:p>
    <w:p>
      <w:pPr>
        <w:pStyle w:val="BodyText"/>
        <w:spacing w:before="0"/>
        <w:ind w:left="0"/>
      </w:pPr>
    </w:p>
    <w:p>
      <w:pPr>
        <w:pStyle w:val="BodyText"/>
        <w:spacing w:before="198"/>
        <w:ind w:left="0"/>
      </w:pPr>
    </w:p>
    <w:p>
      <w:pPr>
        <w:pStyle w:val="BodyText"/>
        <w:spacing w:before="1"/>
        <w:ind w:left="359"/>
      </w:pPr>
      <w:bookmarkStart w:name="SUBCHAPTER 9. REHABILITATION TEACHING SE" w:id="240"/>
      <w:bookmarkEnd w:id="240"/>
      <w:r>
        <w:rPr/>
      </w:r>
      <w:r>
        <w:rPr>
          <w:spacing w:val="-2"/>
        </w:rPr>
        <w:t>Section</w:t>
      </w:r>
    </w:p>
    <w:p>
      <w:pPr>
        <w:pStyle w:val="Heading1"/>
        <w:spacing w:line="417" w:lineRule="auto"/>
        <w:ind w:left="1780" w:right="2084" w:hanging="1421"/>
        <w:jc w:val="left"/>
      </w:pPr>
      <w:r>
        <w:rPr>
          <w:b w:val="0"/>
        </w:rPr>
        <w:br w:type="column"/>
      </w:r>
      <w:r>
        <w:rPr/>
        <w:t>SUBCHAPTER</w:t>
      </w:r>
      <w:r>
        <w:rPr>
          <w:spacing w:val="-10"/>
        </w:rPr>
        <w:t> </w:t>
      </w:r>
      <w:r>
        <w:rPr/>
        <w:t>9.</w:t>
      </w:r>
      <w:r>
        <w:rPr>
          <w:spacing w:val="-9"/>
        </w:rPr>
        <w:t> </w:t>
      </w:r>
      <w:r>
        <w:rPr/>
        <w:t>REHABILITATION</w:t>
      </w:r>
      <w:r>
        <w:rPr>
          <w:spacing w:val="-11"/>
        </w:rPr>
        <w:t> </w:t>
      </w:r>
      <w:r>
        <w:rPr/>
        <w:t>TEACHING</w:t>
      </w:r>
      <w:r>
        <w:rPr>
          <w:spacing w:val="-9"/>
        </w:rPr>
        <w:t> </w:t>
      </w:r>
      <w:r>
        <w:rPr/>
        <w:t>SERVICES PART 1.</w:t>
      </w:r>
      <w:r>
        <w:rPr>
          <w:spacing w:val="40"/>
        </w:rPr>
        <w:t> </w:t>
      </w:r>
      <w:r>
        <w:rPr/>
        <w:t>GENERAL PROVISIONS</w:t>
      </w:r>
    </w:p>
    <w:p>
      <w:pPr>
        <w:pStyle w:val="Heading1"/>
        <w:spacing w:after="0" w:line="417" w:lineRule="auto"/>
        <w:jc w:val="left"/>
        <w:sectPr>
          <w:pgSz w:w="12240" w:h="15840"/>
          <w:pgMar w:top="1340" w:bottom="280" w:left="1080" w:right="720"/>
          <w:cols w:num="2" w:equalWidth="0">
            <w:col w:w="1200" w:space="166"/>
            <w:col w:w="9074"/>
          </w:cols>
        </w:sectPr>
      </w:pPr>
    </w:p>
    <w:p>
      <w:pPr>
        <w:pStyle w:val="BodyText"/>
        <w:tabs>
          <w:tab w:pos="2069" w:val="left" w:leader="none"/>
        </w:tabs>
        <w:spacing w:line="417" w:lineRule="auto" w:before="204"/>
        <w:ind w:left="359" w:right="4792"/>
      </w:pPr>
      <w:r>
        <w:rPr>
          <w:spacing w:val="-2"/>
        </w:rPr>
        <w:t>612:10-9-1.</w:t>
      </w:r>
      <w:r>
        <w:rPr/>
        <w:tab/>
        <w:t>Philosophy</w:t>
      </w:r>
      <w:r>
        <w:rPr>
          <w:spacing w:val="-9"/>
        </w:rPr>
        <w:t> </w:t>
      </w:r>
      <w:r>
        <w:rPr/>
        <w:t>and</w:t>
      </w:r>
      <w:r>
        <w:rPr>
          <w:spacing w:val="-10"/>
        </w:rPr>
        <w:t> </w:t>
      </w:r>
      <w:r>
        <w:rPr/>
        <w:t>scope</w:t>
      </w:r>
      <w:r>
        <w:rPr>
          <w:spacing w:val="-10"/>
        </w:rPr>
        <w:t> </w:t>
      </w:r>
      <w:r>
        <w:rPr/>
        <w:t>of</w:t>
      </w:r>
      <w:r>
        <w:rPr>
          <w:spacing w:val="-9"/>
        </w:rPr>
        <w:t> </w:t>
      </w:r>
      <w:r>
        <w:rPr/>
        <w:t>program </w:t>
      </w:r>
      <w:r>
        <w:rPr>
          <w:spacing w:val="-2"/>
        </w:rPr>
        <w:t>612:10-9-2.</w:t>
      </w:r>
      <w:r>
        <w:rPr/>
        <w:tab/>
        <w:t>Consumer rights</w:t>
      </w:r>
    </w:p>
    <w:p>
      <w:pPr>
        <w:pStyle w:val="BodyText"/>
        <w:tabs>
          <w:tab w:pos="2069" w:val="left" w:leader="none"/>
        </w:tabs>
        <w:spacing w:line="276" w:lineRule="exact" w:before="0"/>
        <w:ind w:left="359"/>
      </w:pPr>
      <w:r>
        <w:rPr>
          <w:spacing w:val="-2"/>
        </w:rPr>
        <w:t>612:10-9-</w:t>
      </w:r>
      <w:r>
        <w:rPr>
          <w:spacing w:val="-5"/>
        </w:rPr>
        <w:t>3.</w:t>
      </w:r>
      <w:r>
        <w:rPr/>
        <w:tab/>
        <w:t>Rehabilitation</w:t>
      </w:r>
      <w:r>
        <w:rPr>
          <w:spacing w:val="-7"/>
        </w:rPr>
        <w:t> </w:t>
      </w:r>
      <w:r>
        <w:rPr/>
        <w:t>teacher's</w:t>
      </w:r>
      <w:r>
        <w:rPr>
          <w:spacing w:val="-7"/>
        </w:rPr>
        <w:t> </w:t>
      </w:r>
      <w:r>
        <w:rPr>
          <w:spacing w:val="-4"/>
        </w:rPr>
        <w:t>role</w:t>
      </w:r>
    </w:p>
    <w:p>
      <w:pPr>
        <w:pStyle w:val="Heading1"/>
        <w:spacing w:before="204"/>
      </w:pPr>
      <w:r>
        <w:rPr/>
        <w:t>PART</w:t>
      </w:r>
      <w:r>
        <w:rPr>
          <w:spacing w:val="-2"/>
        </w:rPr>
        <w:t> </w:t>
      </w:r>
      <w:r>
        <w:rPr/>
        <w:t>3.</w:t>
      </w:r>
      <w:r>
        <w:rPr>
          <w:spacing w:val="63"/>
        </w:rPr>
        <w:t> </w:t>
      </w:r>
      <w:r>
        <w:rPr/>
        <w:t>CASE</w:t>
      </w:r>
      <w:r>
        <w:rPr>
          <w:spacing w:val="-2"/>
        </w:rPr>
        <w:t> </w:t>
      </w:r>
      <w:r>
        <w:rPr/>
        <w:t>PROCESSING</w:t>
      </w:r>
      <w:r>
        <w:rPr>
          <w:spacing w:val="-2"/>
        </w:rPr>
        <w:t> </w:t>
      </w:r>
      <w:r>
        <w:rPr/>
        <w:t>AND</w:t>
      </w:r>
      <w:r>
        <w:rPr>
          <w:spacing w:val="-2"/>
        </w:rPr>
        <w:t> RECORDING</w:t>
      </w:r>
    </w:p>
    <w:p>
      <w:pPr>
        <w:pStyle w:val="BodyText"/>
        <w:spacing w:before="8"/>
        <w:ind w:left="0"/>
        <w:rPr>
          <w:b/>
          <w:sz w:val="9"/>
        </w:rPr>
      </w:pPr>
    </w:p>
    <w:p>
      <w:pPr>
        <w:pStyle w:val="BodyText"/>
        <w:spacing w:after="0"/>
        <w:rPr>
          <w:b/>
          <w:sz w:val="9"/>
        </w:rPr>
        <w:sectPr>
          <w:type w:val="continuous"/>
          <w:pgSz w:w="12240" w:h="15840"/>
          <w:pgMar w:top="1820" w:bottom="280" w:left="1080" w:right="720"/>
        </w:sectPr>
      </w:pPr>
    </w:p>
    <w:p>
      <w:pPr>
        <w:pStyle w:val="BodyText"/>
        <w:spacing w:before="92"/>
        <w:ind w:left="359"/>
      </w:pPr>
      <w:r>
        <w:rPr>
          <w:spacing w:val="-2"/>
        </w:rPr>
        <w:t>Section</w:t>
      </w:r>
    </w:p>
    <w:p>
      <w:pPr>
        <w:pStyle w:val="BodyText"/>
        <w:tabs>
          <w:tab w:pos="2069" w:val="left" w:leader="none"/>
        </w:tabs>
        <w:spacing w:before="204"/>
        <w:ind w:left="359"/>
      </w:pPr>
      <w:r>
        <w:rPr>
          <w:spacing w:val="-2"/>
        </w:rPr>
        <w:t>612:10-9-</w:t>
      </w:r>
      <w:r>
        <w:rPr>
          <w:spacing w:val="-5"/>
        </w:rPr>
        <w:t>13.</w:t>
      </w:r>
      <w:r>
        <w:rPr/>
        <w:tab/>
        <w:t>Case</w:t>
      </w:r>
      <w:r>
        <w:rPr>
          <w:spacing w:val="-2"/>
        </w:rPr>
        <w:t> recording</w:t>
      </w:r>
    </w:p>
    <w:p>
      <w:pPr>
        <w:pStyle w:val="BodyText"/>
        <w:spacing w:before="0"/>
        <w:ind w:left="0"/>
      </w:pPr>
    </w:p>
    <w:p>
      <w:pPr>
        <w:pStyle w:val="BodyText"/>
        <w:spacing w:before="132"/>
        <w:ind w:left="0"/>
      </w:pPr>
    </w:p>
    <w:p>
      <w:pPr>
        <w:pStyle w:val="BodyText"/>
        <w:spacing w:before="0"/>
        <w:ind w:left="359"/>
      </w:pPr>
      <w:r>
        <w:rPr>
          <w:spacing w:val="-2"/>
        </w:rPr>
        <w:t>Section</w:t>
      </w:r>
    </w:p>
    <w:p>
      <w:pPr>
        <w:pStyle w:val="BodyText"/>
        <w:tabs>
          <w:tab w:pos="2069" w:val="left" w:leader="none"/>
        </w:tabs>
        <w:spacing w:before="204"/>
        <w:ind w:left="359"/>
      </w:pPr>
      <w:r>
        <w:rPr>
          <w:spacing w:val="-2"/>
        </w:rPr>
        <w:t>612:10-9-</w:t>
      </w:r>
      <w:r>
        <w:rPr>
          <w:spacing w:val="-5"/>
        </w:rPr>
        <w:t>33.</w:t>
      </w:r>
      <w:r>
        <w:rPr/>
        <w:tab/>
      </w:r>
      <w:r>
        <w:rPr>
          <w:spacing w:val="-2"/>
        </w:rPr>
        <w:t>Communication</w:t>
      </w:r>
    </w:p>
    <w:p>
      <w:pPr>
        <w:spacing w:line="240" w:lineRule="auto" w:before="0"/>
        <w:rPr>
          <w:sz w:val="24"/>
        </w:rPr>
      </w:pPr>
      <w:r>
        <w:rPr/>
        <w:br w:type="column"/>
      </w:r>
      <w:r>
        <w:rPr>
          <w:sz w:val="24"/>
        </w:rPr>
      </w:r>
    </w:p>
    <w:p>
      <w:pPr>
        <w:pStyle w:val="BodyText"/>
        <w:spacing w:before="0"/>
        <w:ind w:left="0"/>
      </w:pPr>
    </w:p>
    <w:p>
      <w:pPr>
        <w:pStyle w:val="BodyText"/>
        <w:spacing w:before="224"/>
        <w:ind w:left="0"/>
      </w:pPr>
    </w:p>
    <w:p>
      <w:pPr>
        <w:pStyle w:val="Heading1"/>
        <w:spacing w:before="0"/>
        <w:ind w:left="130" w:right="0"/>
        <w:jc w:val="left"/>
      </w:pPr>
      <w:r>
        <w:rPr/>
        <w:t>PART 5.</w:t>
      </w:r>
      <w:r>
        <w:rPr>
          <w:spacing w:val="64"/>
        </w:rPr>
        <w:t> </w:t>
      </w:r>
      <w:r>
        <w:rPr>
          <w:spacing w:val="-2"/>
        </w:rPr>
        <w:t>SERVICES</w:t>
      </w:r>
    </w:p>
    <w:p>
      <w:pPr>
        <w:pStyle w:val="Heading1"/>
        <w:spacing w:after="0"/>
        <w:jc w:val="left"/>
        <w:sectPr>
          <w:type w:val="continuous"/>
          <w:pgSz w:w="12240" w:h="15840"/>
          <w:pgMar w:top="1820" w:bottom="280" w:left="1080" w:right="720"/>
          <w:cols w:num="2" w:equalWidth="0">
            <w:col w:w="3737" w:space="40"/>
            <w:col w:w="6663"/>
          </w:cols>
        </w:sectPr>
      </w:pPr>
    </w:p>
    <w:p>
      <w:pPr>
        <w:pStyle w:val="BodyText"/>
        <w:tabs>
          <w:tab w:pos="2069" w:val="left" w:leader="none"/>
        </w:tabs>
        <w:spacing w:before="204"/>
        <w:ind w:left="359"/>
      </w:pPr>
      <w:r>
        <w:rPr>
          <w:spacing w:val="-2"/>
        </w:rPr>
        <w:t>612:10-9-</w:t>
      </w:r>
      <w:r>
        <w:rPr>
          <w:spacing w:val="-5"/>
        </w:rPr>
        <w:t>34.</w:t>
      </w:r>
      <w:r>
        <w:rPr/>
        <w:tab/>
        <w:t>Personal</w:t>
      </w:r>
      <w:r>
        <w:rPr>
          <w:spacing w:val="-5"/>
        </w:rPr>
        <w:t> </w:t>
      </w:r>
      <w:r>
        <w:rPr>
          <w:spacing w:val="-2"/>
        </w:rPr>
        <w:t>management</w:t>
      </w:r>
    </w:p>
    <w:p>
      <w:pPr>
        <w:pStyle w:val="BodyText"/>
        <w:spacing w:before="204"/>
        <w:ind w:left="359"/>
      </w:pPr>
      <w:r>
        <w:rPr/>
        <w:t>612:10-9-34.1.</w:t>
      </w:r>
      <w:r>
        <w:rPr>
          <w:spacing w:val="72"/>
        </w:rPr>
        <w:t> </w:t>
      </w:r>
      <w:r>
        <w:rPr/>
        <w:t>Visual</w:t>
      </w:r>
      <w:r>
        <w:rPr>
          <w:spacing w:val="-3"/>
        </w:rPr>
        <w:t> </w:t>
      </w:r>
      <w:r>
        <w:rPr>
          <w:spacing w:val="-2"/>
        </w:rPr>
        <w:t>efficiency</w:t>
      </w:r>
    </w:p>
    <w:p>
      <w:pPr>
        <w:pStyle w:val="BodyText"/>
        <w:spacing w:before="204"/>
        <w:ind w:left="359"/>
      </w:pPr>
      <w:r>
        <w:rPr/>
        <w:t>612:10-9-34.2.</w:t>
      </w:r>
      <w:r>
        <w:rPr>
          <w:spacing w:val="72"/>
        </w:rPr>
        <w:t> </w:t>
      </w:r>
      <w:r>
        <w:rPr/>
        <w:t>Indoor</w:t>
      </w:r>
      <w:r>
        <w:rPr>
          <w:spacing w:val="-3"/>
        </w:rPr>
        <w:t> </w:t>
      </w:r>
      <w:r>
        <w:rPr>
          <w:spacing w:val="-2"/>
        </w:rPr>
        <w:t>mobility</w:t>
      </w:r>
    </w:p>
    <w:p>
      <w:pPr>
        <w:pStyle w:val="BodyText"/>
        <w:tabs>
          <w:tab w:pos="2069" w:val="left" w:leader="none"/>
        </w:tabs>
        <w:spacing w:line="417" w:lineRule="auto" w:before="204"/>
        <w:ind w:left="359" w:right="5659"/>
      </w:pPr>
      <w:r>
        <w:rPr>
          <w:spacing w:val="-2"/>
        </w:rPr>
        <w:t>612:10-9-35.</w:t>
      </w:r>
      <w:r>
        <w:rPr/>
        <w:tab/>
        <w:t>Home management </w:t>
      </w:r>
      <w:r>
        <w:rPr>
          <w:spacing w:val="-2"/>
        </w:rPr>
        <w:t>612:10-9-36.</w:t>
      </w:r>
      <w:r>
        <w:rPr/>
        <w:tab/>
        <w:t>Counseling</w:t>
      </w:r>
      <w:r>
        <w:rPr>
          <w:spacing w:val="-17"/>
        </w:rPr>
        <w:t> </w:t>
      </w:r>
      <w:r>
        <w:rPr/>
        <w:t>and</w:t>
      </w:r>
      <w:r>
        <w:rPr>
          <w:spacing w:val="-17"/>
        </w:rPr>
        <w:t> </w:t>
      </w:r>
      <w:r>
        <w:rPr/>
        <w:t>guidance</w:t>
      </w:r>
    </w:p>
    <w:p>
      <w:pPr>
        <w:pStyle w:val="BodyText"/>
        <w:tabs>
          <w:tab w:pos="2069" w:val="left" w:leader="none"/>
        </w:tabs>
        <w:spacing w:line="276" w:lineRule="exact" w:before="0"/>
        <w:ind w:left="359"/>
      </w:pPr>
      <w:r>
        <w:rPr>
          <w:spacing w:val="-2"/>
        </w:rPr>
        <w:t>612:10-9-</w:t>
      </w:r>
      <w:r>
        <w:rPr>
          <w:spacing w:val="-5"/>
        </w:rPr>
        <w:t>37.</w:t>
      </w:r>
      <w:r>
        <w:rPr/>
        <w:tab/>
        <w:t>Referral</w:t>
      </w:r>
      <w:r>
        <w:rPr>
          <w:spacing w:val="-4"/>
        </w:rPr>
        <w:t> </w:t>
      </w:r>
      <w:r>
        <w:rPr/>
        <w:t>for</w:t>
      </w:r>
      <w:r>
        <w:rPr>
          <w:spacing w:val="-4"/>
        </w:rPr>
        <w:t> </w:t>
      </w:r>
      <w:r>
        <w:rPr/>
        <w:t>Support</w:t>
      </w:r>
      <w:r>
        <w:rPr>
          <w:spacing w:val="-2"/>
        </w:rPr>
        <w:t> Services</w:t>
      </w:r>
    </w:p>
    <w:p>
      <w:pPr>
        <w:spacing w:before="238"/>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7-1-98</w:t>
      </w:r>
      <w:r>
        <w:rPr>
          <w:sz w:val="22"/>
        </w:rPr>
        <w:tab/>
        <w:t>PT Memo #98-15</w:t>
      </w:r>
    </w:p>
    <w:p>
      <w:pPr>
        <w:spacing w:before="0"/>
        <w:ind w:left="1439" w:right="775" w:firstLine="0"/>
        <w:jc w:val="left"/>
        <w:rPr>
          <w:sz w:val="22"/>
        </w:rPr>
      </w:pPr>
      <w:r>
        <w:rPr>
          <w:sz w:val="22"/>
        </w:rPr>
        <w:t>Permanent,</w:t>
      </w:r>
      <w:r>
        <w:rPr>
          <w:spacing w:val="-4"/>
          <w:sz w:val="22"/>
        </w:rPr>
        <w:t> </w:t>
      </w:r>
      <w:r>
        <w:rPr>
          <w:sz w:val="22"/>
        </w:rPr>
        <w:t>removed</w:t>
      </w:r>
      <w:r>
        <w:rPr>
          <w:spacing w:val="-5"/>
          <w:sz w:val="22"/>
        </w:rPr>
        <w:t> </w:t>
      </w:r>
      <w:r>
        <w:rPr>
          <w:sz w:val="22"/>
        </w:rPr>
        <w:t>revoked</w:t>
      </w:r>
      <w:r>
        <w:rPr>
          <w:spacing w:val="-5"/>
          <w:sz w:val="22"/>
        </w:rPr>
        <w:t> </w:t>
      </w:r>
      <w:r>
        <w:rPr>
          <w:sz w:val="22"/>
        </w:rPr>
        <w:t>section</w:t>
      </w:r>
      <w:r>
        <w:rPr>
          <w:spacing w:val="-5"/>
          <w:sz w:val="22"/>
        </w:rPr>
        <w:t> </w:t>
      </w:r>
      <w:r>
        <w:rPr>
          <w:sz w:val="22"/>
        </w:rPr>
        <w:t>612:10-9-16,</w:t>
      </w:r>
      <w:r>
        <w:rPr>
          <w:spacing w:val="-5"/>
          <w:sz w:val="22"/>
        </w:rPr>
        <w:t> </w:t>
      </w:r>
      <w:r>
        <w:rPr>
          <w:sz w:val="22"/>
        </w:rPr>
        <w:t>added</w:t>
      </w:r>
      <w:r>
        <w:rPr>
          <w:spacing w:val="-5"/>
          <w:sz w:val="22"/>
        </w:rPr>
        <w:t> </w:t>
      </w:r>
      <w:r>
        <w:rPr>
          <w:sz w:val="22"/>
        </w:rPr>
        <w:t>new</w:t>
      </w:r>
      <w:r>
        <w:rPr>
          <w:spacing w:val="-6"/>
          <w:sz w:val="22"/>
        </w:rPr>
        <w:t> </w:t>
      </w:r>
      <w:r>
        <w:rPr>
          <w:sz w:val="22"/>
        </w:rPr>
        <w:t>section</w:t>
      </w:r>
      <w:r>
        <w:rPr>
          <w:spacing w:val="-5"/>
          <w:sz w:val="22"/>
        </w:rPr>
        <w:t> </w:t>
      </w:r>
      <w:r>
        <w:rPr>
          <w:sz w:val="22"/>
        </w:rPr>
        <w:t>612:10-9-23, amended several section taglines.</w:t>
      </w:r>
    </w:p>
    <w:p>
      <w:pPr>
        <w:pStyle w:val="ListParagraph"/>
        <w:numPr>
          <w:ilvl w:val="2"/>
          <w:numId w:val="260"/>
        </w:numPr>
        <w:tabs>
          <w:tab w:pos="1439" w:val="left" w:leader="none"/>
        </w:tabs>
        <w:spacing w:line="252"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#05-</w:t>
      </w:r>
      <w:r>
        <w:rPr>
          <w:spacing w:val="-5"/>
          <w:sz w:val="22"/>
        </w:rPr>
        <w:t>01</w:t>
      </w:r>
    </w:p>
    <w:p>
      <w:pPr>
        <w:spacing w:before="1"/>
        <w:ind w:left="1439" w:right="0" w:firstLine="0"/>
        <w:jc w:val="left"/>
        <w:rPr>
          <w:sz w:val="22"/>
        </w:rPr>
      </w:pPr>
      <w:r>
        <w:rPr>
          <w:sz w:val="22"/>
        </w:rPr>
        <w:t>Permanent,</w:t>
      </w:r>
      <w:r>
        <w:rPr>
          <w:spacing w:val="-7"/>
          <w:sz w:val="22"/>
        </w:rPr>
        <w:t> </w:t>
      </w:r>
      <w:r>
        <w:rPr>
          <w:sz w:val="22"/>
        </w:rPr>
        <w:t>section</w:t>
      </w:r>
      <w:r>
        <w:rPr>
          <w:spacing w:val="-8"/>
          <w:sz w:val="22"/>
        </w:rPr>
        <w:t> </w:t>
      </w:r>
      <w:r>
        <w:rPr>
          <w:sz w:val="22"/>
        </w:rPr>
        <w:t>14</w:t>
      </w:r>
      <w:r>
        <w:rPr>
          <w:spacing w:val="-7"/>
          <w:sz w:val="22"/>
        </w:rPr>
        <w:t> </w:t>
      </w:r>
      <w:r>
        <w:rPr>
          <w:spacing w:val="-2"/>
          <w:sz w:val="22"/>
        </w:rPr>
        <w:t>revoked</w:t>
      </w:r>
    </w:p>
    <w:p>
      <w:pPr>
        <w:tabs>
          <w:tab w:pos="1439" w:val="left" w:leader="none"/>
        </w:tabs>
        <w:spacing w:line="259" w:lineRule="auto" w:before="0"/>
        <w:ind w:left="1439" w:right="839" w:hanging="1081"/>
        <w:jc w:val="left"/>
        <w:rPr>
          <w:sz w:val="22"/>
        </w:rPr>
      </w:pPr>
      <w:r>
        <w:rPr>
          <w:spacing w:val="-2"/>
          <w:sz w:val="22"/>
        </w:rPr>
        <w:t>9-14-18</w:t>
      </w:r>
      <w:r>
        <w:rPr>
          <w:sz w:val="22"/>
        </w:rPr>
        <w:tab/>
        <w:t>Revoked 612:10-9-15 Case status, 612:10-9-17 Application Status, 612:10-9-18 Closure</w:t>
      </w:r>
      <w:r>
        <w:rPr>
          <w:spacing w:val="-5"/>
          <w:sz w:val="22"/>
        </w:rPr>
        <w:t> </w:t>
      </w:r>
      <w:r>
        <w:rPr>
          <w:sz w:val="22"/>
        </w:rPr>
        <w:t>from</w:t>
      </w:r>
      <w:r>
        <w:rPr>
          <w:spacing w:val="-6"/>
          <w:sz w:val="22"/>
        </w:rPr>
        <w:t> </w:t>
      </w:r>
      <w:r>
        <w:rPr>
          <w:sz w:val="22"/>
        </w:rPr>
        <w:t>Application,</w:t>
      </w:r>
      <w:r>
        <w:rPr>
          <w:spacing w:val="-5"/>
          <w:sz w:val="22"/>
        </w:rPr>
        <w:t> </w:t>
      </w:r>
      <w:r>
        <w:rPr>
          <w:sz w:val="22"/>
        </w:rPr>
        <w:t>612:10-9-19</w:t>
      </w:r>
      <w:r>
        <w:rPr>
          <w:spacing w:val="-5"/>
          <w:sz w:val="22"/>
        </w:rPr>
        <w:t> </w:t>
      </w:r>
      <w:r>
        <w:rPr>
          <w:sz w:val="22"/>
        </w:rPr>
        <w:t>Eligibility</w:t>
      </w:r>
      <w:r>
        <w:rPr>
          <w:spacing w:val="-6"/>
          <w:sz w:val="22"/>
        </w:rPr>
        <w:t> </w:t>
      </w:r>
      <w:r>
        <w:rPr>
          <w:sz w:val="22"/>
        </w:rPr>
        <w:t>Status,</w:t>
      </w:r>
      <w:r>
        <w:rPr>
          <w:spacing w:val="-5"/>
          <w:sz w:val="22"/>
        </w:rPr>
        <w:t> </w:t>
      </w:r>
      <w:r>
        <w:rPr>
          <w:sz w:val="22"/>
        </w:rPr>
        <w:t>612:10-9-20</w:t>
      </w:r>
      <w:r>
        <w:rPr>
          <w:spacing w:val="-5"/>
          <w:sz w:val="22"/>
        </w:rPr>
        <w:t> </w:t>
      </w:r>
      <w:r>
        <w:rPr>
          <w:sz w:val="22"/>
        </w:rPr>
        <w:t>Service</w:t>
      </w:r>
      <w:r>
        <w:rPr>
          <w:spacing w:val="-5"/>
          <w:sz w:val="22"/>
        </w:rPr>
        <w:t> </w:t>
      </w:r>
      <w:r>
        <w:rPr>
          <w:sz w:val="22"/>
        </w:rPr>
        <w:t>Status, 612:10-9-21 Successful Closure, 612:10-9-22 Unsuccessful Closure after IPE Initiation,</w:t>
      </w:r>
      <w:r>
        <w:rPr>
          <w:spacing w:val="-4"/>
          <w:sz w:val="22"/>
        </w:rPr>
        <w:t> </w:t>
      </w:r>
      <w:r>
        <w:rPr>
          <w:sz w:val="22"/>
        </w:rPr>
        <w:t>612:10-9-24</w:t>
      </w:r>
      <w:r>
        <w:rPr>
          <w:spacing w:val="-4"/>
          <w:sz w:val="22"/>
        </w:rPr>
        <w:t> </w:t>
      </w:r>
      <w:r>
        <w:rPr>
          <w:sz w:val="22"/>
        </w:rPr>
        <w:t>Closed</w:t>
      </w:r>
      <w:r>
        <w:rPr>
          <w:spacing w:val="-4"/>
          <w:sz w:val="22"/>
        </w:rPr>
        <w:t> </w:t>
      </w:r>
      <w:r>
        <w:rPr>
          <w:sz w:val="22"/>
        </w:rPr>
        <w:t>from</w:t>
      </w:r>
      <w:r>
        <w:rPr>
          <w:spacing w:val="-4"/>
          <w:sz w:val="22"/>
        </w:rPr>
        <w:t> </w:t>
      </w:r>
      <w:r>
        <w:rPr>
          <w:sz w:val="22"/>
        </w:rPr>
        <w:t>Eligibility</w:t>
      </w:r>
      <w:r>
        <w:rPr>
          <w:spacing w:val="-4"/>
          <w:sz w:val="22"/>
        </w:rPr>
        <w:t> </w:t>
      </w:r>
      <w:r>
        <w:rPr>
          <w:sz w:val="22"/>
        </w:rPr>
        <w:t>Status,</w:t>
      </w:r>
      <w:r>
        <w:rPr>
          <w:spacing w:val="-4"/>
          <w:sz w:val="22"/>
        </w:rPr>
        <w:t> </w:t>
      </w:r>
      <w:r>
        <w:rPr>
          <w:sz w:val="22"/>
        </w:rPr>
        <w:t>612:10-9-25,</w:t>
      </w:r>
      <w:r>
        <w:rPr>
          <w:spacing w:val="-4"/>
          <w:sz w:val="22"/>
        </w:rPr>
        <w:t> </w:t>
      </w:r>
      <w:r>
        <w:rPr>
          <w:sz w:val="22"/>
        </w:rPr>
        <w:t>Post-Employment Service Status, 612:10-9-26 Post-Employment Closure Status.</w:t>
      </w:r>
    </w:p>
    <w:p>
      <w:pPr>
        <w:spacing w:after="0" w:line="259" w:lineRule="auto"/>
        <w:jc w:val="left"/>
        <w:rPr>
          <w:sz w:val="22"/>
        </w:rPr>
        <w:sectPr>
          <w:type w:val="continuous"/>
          <w:pgSz w:w="12240" w:h="15840"/>
          <w:pgMar w:top="1820" w:bottom="280" w:left="1080" w:right="720"/>
        </w:sectPr>
      </w:pPr>
    </w:p>
    <w:p>
      <w:pPr>
        <w:tabs>
          <w:tab w:pos="1439" w:val="left" w:leader="none"/>
        </w:tabs>
        <w:spacing w:before="80"/>
        <w:ind w:left="1439" w:right="1598" w:hanging="1080"/>
        <w:jc w:val="left"/>
        <w:rPr>
          <w:sz w:val="22"/>
        </w:rPr>
      </w:pPr>
      <w:r>
        <w:rPr>
          <w:spacing w:val="-2"/>
          <w:sz w:val="22"/>
        </w:rPr>
        <w:t>9-11-20</w:t>
      </w:r>
      <w:r>
        <w:rPr>
          <w:sz w:val="22"/>
        </w:rPr>
        <w:tab/>
        <w:t>Revoked</w:t>
      </w:r>
      <w:r>
        <w:rPr>
          <w:spacing w:val="-5"/>
          <w:sz w:val="22"/>
        </w:rPr>
        <w:t> </w:t>
      </w:r>
      <w:r>
        <w:rPr>
          <w:sz w:val="22"/>
        </w:rPr>
        <w:t>612:10-9-32</w:t>
      </w:r>
      <w:r>
        <w:rPr>
          <w:spacing w:val="-5"/>
          <w:sz w:val="22"/>
        </w:rPr>
        <w:t> </w:t>
      </w:r>
      <w:r>
        <w:rPr>
          <w:sz w:val="22"/>
        </w:rPr>
        <w:t>Diagnosis</w:t>
      </w:r>
      <w:r>
        <w:rPr>
          <w:spacing w:val="-5"/>
          <w:sz w:val="22"/>
        </w:rPr>
        <w:t> </w:t>
      </w:r>
      <w:r>
        <w:rPr>
          <w:sz w:val="22"/>
        </w:rPr>
        <w:t>and</w:t>
      </w:r>
      <w:r>
        <w:rPr>
          <w:spacing w:val="-6"/>
          <w:sz w:val="22"/>
        </w:rPr>
        <w:t> </w:t>
      </w:r>
      <w:r>
        <w:rPr>
          <w:sz w:val="22"/>
        </w:rPr>
        <w:t>evaluation</w:t>
      </w:r>
      <w:r>
        <w:rPr>
          <w:spacing w:val="-6"/>
          <w:sz w:val="22"/>
        </w:rPr>
        <w:t> </w:t>
      </w:r>
      <w:r>
        <w:rPr>
          <w:sz w:val="22"/>
        </w:rPr>
        <w:t>and</w:t>
      </w:r>
      <w:r>
        <w:rPr>
          <w:spacing w:val="-5"/>
          <w:sz w:val="22"/>
        </w:rPr>
        <w:t> </w:t>
      </w:r>
      <w:r>
        <w:rPr>
          <w:sz w:val="22"/>
        </w:rPr>
        <w:t>612:10-9-38</w:t>
      </w:r>
      <w:r>
        <w:rPr>
          <w:spacing w:val="-5"/>
          <w:sz w:val="22"/>
        </w:rPr>
        <w:t> </w:t>
      </w:r>
      <w:r>
        <w:rPr>
          <w:sz w:val="22"/>
        </w:rPr>
        <w:t>Vocational </w:t>
      </w:r>
      <w:r>
        <w:rPr>
          <w:spacing w:val="-2"/>
          <w:sz w:val="22"/>
        </w:rPr>
        <w:t>rehabilitation.</w:t>
      </w:r>
    </w:p>
    <w:p>
      <w:pPr>
        <w:tabs>
          <w:tab w:pos="1439" w:val="left" w:leader="none"/>
        </w:tabs>
        <w:spacing w:line="252" w:lineRule="exact" w:before="0"/>
        <w:ind w:left="360" w:right="0" w:firstLine="0"/>
        <w:jc w:val="left"/>
        <w:rPr>
          <w:sz w:val="22"/>
        </w:rPr>
      </w:pPr>
      <w:r>
        <w:rPr>
          <w:spacing w:val="-2"/>
          <w:sz w:val="22"/>
        </w:rPr>
        <w:t>9-11-</w:t>
      </w:r>
      <w:r>
        <w:rPr>
          <w:spacing w:val="-5"/>
          <w:sz w:val="22"/>
        </w:rPr>
        <w:t>22</w:t>
      </w:r>
      <w:r>
        <w:rPr>
          <w:sz w:val="22"/>
        </w:rPr>
        <w:tab/>
        <w:t>Revoked</w:t>
      </w:r>
      <w:r>
        <w:rPr>
          <w:spacing w:val="-9"/>
          <w:sz w:val="22"/>
        </w:rPr>
        <w:t> </w:t>
      </w:r>
      <w:r>
        <w:rPr>
          <w:sz w:val="22"/>
        </w:rPr>
        <w:t>10-9-34.3</w:t>
      </w:r>
      <w:r>
        <w:rPr>
          <w:spacing w:val="-9"/>
          <w:sz w:val="22"/>
        </w:rPr>
        <w:t> </w:t>
      </w:r>
      <w:r>
        <w:rPr>
          <w:sz w:val="22"/>
        </w:rPr>
        <w:t>Other</w:t>
      </w:r>
      <w:r>
        <w:rPr>
          <w:spacing w:val="-9"/>
          <w:sz w:val="22"/>
        </w:rPr>
        <w:t> </w:t>
      </w:r>
      <w:r>
        <w:rPr>
          <w:sz w:val="22"/>
        </w:rPr>
        <w:t>adaptive</w:t>
      </w:r>
      <w:r>
        <w:rPr>
          <w:spacing w:val="-9"/>
          <w:sz w:val="22"/>
        </w:rPr>
        <w:t> </w:t>
      </w:r>
      <w:r>
        <w:rPr>
          <w:spacing w:val="-2"/>
          <w:sz w:val="22"/>
        </w:rPr>
        <w:t>skills.</w:t>
      </w:r>
    </w:p>
    <w:p>
      <w:pPr>
        <w:spacing w:after="0" w:line="252" w:lineRule="exact"/>
        <w:jc w:val="left"/>
        <w:rPr>
          <w:sz w:val="22"/>
        </w:rPr>
        <w:sectPr>
          <w:pgSz w:w="12240" w:h="15840"/>
          <w:pgMar w:top="1360" w:bottom="280" w:left="1080" w:right="720"/>
        </w:sectPr>
      </w:pPr>
    </w:p>
    <w:p>
      <w:pPr>
        <w:pStyle w:val="Heading1"/>
      </w:pPr>
      <w:bookmarkStart w:name="PART 1.  GENERAL PROVISIONS" w:id="241"/>
      <w:bookmarkEnd w:id="241"/>
      <w:r>
        <w:rPr>
          <w:b w:val="0"/>
        </w:rPr>
      </w:r>
      <w:r>
        <w:rPr/>
        <w:t>PART</w:t>
      </w:r>
      <w:r>
        <w:rPr>
          <w:spacing w:val="-1"/>
        </w:rPr>
        <w:t> </w:t>
      </w:r>
      <w:r>
        <w:rPr/>
        <w:t>1.</w:t>
      </w:r>
      <w:r>
        <w:rPr>
          <w:spacing w:val="61"/>
        </w:rPr>
        <w:t> </w:t>
      </w:r>
      <w:r>
        <w:rPr/>
        <w:t>GENERAL </w:t>
      </w:r>
      <w:r>
        <w:rPr>
          <w:spacing w:val="-2"/>
        </w:rPr>
        <w:t>PROVISIONS</w:t>
      </w:r>
    </w:p>
    <w:p>
      <w:pPr>
        <w:pStyle w:val="BodyText"/>
        <w:spacing w:before="204"/>
        <w:ind w:left="359"/>
      </w:pPr>
      <w:r>
        <w:rPr>
          <w:spacing w:val="-2"/>
        </w:rPr>
        <w:t>Section</w:t>
      </w:r>
    </w:p>
    <w:p>
      <w:pPr>
        <w:pStyle w:val="BodyText"/>
        <w:tabs>
          <w:tab w:pos="2069" w:val="left" w:leader="none"/>
        </w:tabs>
        <w:spacing w:line="417" w:lineRule="auto" w:before="204"/>
        <w:ind w:left="359" w:right="4792"/>
      </w:pPr>
      <w:r>
        <w:rPr>
          <w:spacing w:val="-2"/>
        </w:rPr>
        <w:t>612:10-9-1.</w:t>
      </w:r>
      <w:r>
        <w:rPr/>
        <w:tab/>
        <w:t>Philosophy</w:t>
      </w:r>
      <w:r>
        <w:rPr>
          <w:spacing w:val="-9"/>
        </w:rPr>
        <w:t> </w:t>
      </w:r>
      <w:r>
        <w:rPr/>
        <w:t>and</w:t>
      </w:r>
      <w:r>
        <w:rPr>
          <w:spacing w:val="-10"/>
        </w:rPr>
        <w:t> </w:t>
      </w:r>
      <w:r>
        <w:rPr/>
        <w:t>scope</w:t>
      </w:r>
      <w:r>
        <w:rPr>
          <w:spacing w:val="-10"/>
        </w:rPr>
        <w:t> </w:t>
      </w:r>
      <w:r>
        <w:rPr/>
        <w:t>of</w:t>
      </w:r>
      <w:r>
        <w:rPr>
          <w:spacing w:val="-9"/>
        </w:rPr>
        <w:t> </w:t>
      </w:r>
      <w:r>
        <w:rPr/>
        <w:t>program </w:t>
      </w:r>
      <w:r>
        <w:rPr>
          <w:spacing w:val="-2"/>
        </w:rPr>
        <w:t>612:10-9-2.</w:t>
      </w:r>
      <w:r>
        <w:rPr/>
        <w:tab/>
        <w:t>Consumer rights</w:t>
      </w:r>
    </w:p>
    <w:p>
      <w:pPr>
        <w:pStyle w:val="BodyText"/>
        <w:tabs>
          <w:tab w:pos="2069" w:val="left" w:leader="none"/>
        </w:tabs>
        <w:spacing w:line="417" w:lineRule="auto" w:before="0"/>
        <w:ind w:left="359" w:right="5415"/>
      </w:pPr>
      <w:r>
        <w:rPr>
          <w:spacing w:val="-2"/>
        </w:rPr>
        <w:t>612:10-9-3.</w:t>
      </w:r>
      <w:r>
        <w:rPr/>
        <w:tab/>
        <w:t>Rehabilitation</w:t>
      </w:r>
      <w:r>
        <w:rPr>
          <w:spacing w:val="-17"/>
        </w:rPr>
        <w:t> </w:t>
      </w:r>
      <w:r>
        <w:rPr/>
        <w:t>teacher's</w:t>
      </w:r>
      <w:r>
        <w:rPr>
          <w:spacing w:val="-17"/>
        </w:rPr>
        <w:t> </w:t>
      </w:r>
      <w:r>
        <w:rPr/>
        <w:t>role </w:t>
      </w:r>
      <w:r>
        <w:rPr>
          <w:spacing w:val="-2"/>
        </w:rPr>
        <w:t>612:10-9-5.</w:t>
      </w:r>
      <w:r>
        <w:rPr/>
        <w:tab/>
        <w:t>Vocational rehabilitation</w:t>
      </w:r>
    </w:p>
    <w:p>
      <w:pPr>
        <w:spacing w:before="32"/>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360" w:right="0" w:firstLine="0"/>
        <w:jc w:val="left"/>
        <w:rPr>
          <w:sz w:val="22"/>
        </w:rPr>
      </w:pPr>
      <w:r>
        <w:rPr>
          <w:spacing w:val="-2"/>
          <w:sz w:val="22"/>
        </w:rPr>
        <w:t>9-11-</w:t>
      </w:r>
      <w:r>
        <w:rPr>
          <w:spacing w:val="-5"/>
          <w:sz w:val="22"/>
        </w:rPr>
        <w:t>20</w:t>
      </w:r>
      <w:r>
        <w:rPr>
          <w:sz w:val="22"/>
        </w:rPr>
        <w:tab/>
        <w:t>Permanent,</w:t>
      </w:r>
      <w:r>
        <w:rPr>
          <w:spacing w:val="-11"/>
          <w:sz w:val="22"/>
        </w:rPr>
        <w:t> </w:t>
      </w:r>
      <w:r>
        <w:rPr>
          <w:sz w:val="22"/>
        </w:rPr>
        <w:t>new</w:t>
      </w:r>
      <w:r>
        <w:rPr>
          <w:spacing w:val="-12"/>
          <w:sz w:val="22"/>
        </w:rPr>
        <w:t> </w:t>
      </w:r>
      <w:r>
        <w:rPr>
          <w:sz w:val="22"/>
        </w:rPr>
        <w:t>rule</w:t>
      </w:r>
      <w:r>
        <w:rPr>
          <w:spacing w:val="-12"/>
          <w:sz w:val="22"/>
        </w:rPr>
        <w:t> </w:t>
      </w:r>
      <w:r>
        <w:rPr>
          <w:sz w:val="22"/>
        </w:rPr>
        <w:t>implemented,</w:t>
      </w:r>
      <w:r>
        <w:rPr>
          <w:spacing w:val="-11"/>
          <w:sz w:val="22"/>
        </w:rPr>
        <w:t> </w:t>
      </w:r>
      <w:r>
        <w:rPr>
          <w:sz w:val="22"/>
        </w:rPr>
        <w:t>612:10-9-</w:t>
      </w:r>
      <w:r>
        <w:rPr>
          <w:spacing w:val="-5"/>
          <w:sz w:val="22"/>
        </w:rPr>
        <w:t>5.</w:t>
      </w:r>
    </w:p>
    <w:p>
      <w:pPr>
        <w:spacing w:after="0"/>
        <w:jc w:val="left"/>
        <w:rPr>
          <w:sz w:val="22"/>
        </w:rPr>
        <w:sectPr>
          <w:pgSz w:w="12240" w:h="15840"/>
          <w:pgMar w:top="1340" w:bottom="280" w:left="1080" w:right="720"/>
        </w:sectPr>
      </w:pPr>
    </w:p>
    <w:p>
      <w:pPr>
        <w:pStyle w:val="Heading2"/>
      </w:pPr>
      <w:bookmarkStart w:name="612:10-9-1.  Philosophy and scope of pro" w:id="242"/>
      <w:bookmarkEnd w:id="242"/>
      <w:r>
        <w:rPr>
          <w:b w:val="0"/>
        </w:rPr>
      </w:r>
      <w:r>
        <w:rPr/>
        <w:t>612:10-9-1.</w:t>
      </w:r>
      <w:r>
        <w:rPr>
          <w:spacing w:val="58"/>
        </w:rPr>
        <w:t> </w:t>
      </w:r>
      <w:r>
        <w:rPr/>
        <w:t>Philosophy</w:t>
      </w:r>
      <w:r>
        <w:rPr>
          <w:spacing w:val="-4"/>
        </w:rPr>
        <w:t> </w:t>
      </w:r>
      <w:r>
        <w:rPr/>
        <w:t>and</w:t>
      </w:r>
      <w:r>
        <w:rPr>
          <w:spacing w:val="-3"/>
        </w:rPr>
        <w:t> </w:t>
      </w:r>
      <w:r>
        <w:rPr/>
        <w:t>scope</w:t>
      </w:r>
      <w:r>
        <w:rPr>
          <w:spacing w:val="-4"/>
        </w:rPr>
        <w:t> </w:t>
      </w:r>
      <w:r>
        <w:rPr/>
        <w:t>of</w:t>
      </w:r>
      <w:r>
        <w:rPr>
          <w:spacing w:val="-2"/>
        </w:rPr>
        <w:t> program</w:t>
      </w:r>
    </w:p>
    <w:p>
      <w:pPr>
        <w:pStyle w:val="ListParagraph"/>
        <w:numPr>
          <w:ilvl w:val="0"/>
          <w:numId w:val="261"/>
        </w:numPr>
        <w:tabs>
          <w:tab w:pos="786" w:val="left" w:leader="none"/>
        </w:tabs>
        <w:spacing w:line="208" w:lineRule="auto" w:before="233" w:after="0"/>
        <w:ind w:left="360" w:right="808" w:firstLine="0"/>
        <w:jc w:val="left"/>
        <w:rPr>
          <w:sz w:val="24"/>
        </w:rPr>
      </w:pPr>
      <w:r>
        <w:rPr>
          <w:sz w:val="24"/>
        </w:rPr>
        <w:t>Blindness is a serious, disabling condition requiring adjustments in an individual's lifestyle</w:t>
      </w:r>
      <w:r>
        <w:rPr>
          <w:spacing w:val="-1"/>
          <w:sz w:val="24"/>
        </w:rPr>
        <w:t> </w:t>
      </w:r>
      <w:r>
        <w:rPr>
          <w:sz w:val="24"/>
        </w:rPr>
        <w:t>to</w:t>
      </w:r>
      <w:r>
        <w:rPr>
          <w:spacing w:val="-1"/>
          <w:sz w:val="24"/>
        </w:rPr>
        <w:t> </w:t>
      </w:r>
      <w:r>
        <w:rPr>
          <w:sz w:val="24"/>
        </w:rPr>
        <w:t>be</w:t>
      </w:r>
      <w:r>
        <w:rPr>
          <w:spacing w:val="-1"/>
          <w:sz w:val="24"/>
        </w:rPr>
        <w:t> </w:t>
      </w:r>
      <w:r>
        <w:rPr>
          <w:sz w:val="24"/>
        </w:rPr>
        <w:t>a</w:t>
      </w:r>
      <w:r>
        <w:rPr>
          <w:spacing w:val="-1"/>
          <w:sz w:val="24"/>
        </w:rPr>
        <w:t> </w:t>
      </w:r>
      <w:r>
        <w:rPr>
          <w:sz w:val="24"/>
        </w:rPr>
        <w:t>fully</w:t>
      </w:r>
      <w:r>
        <w:rPr>
          <w:spacing w:val="-1"/>
          <w:sz w:val="24"/>
        </w:rPr>
        <w:t> </w:t>
      </w:r>
      <w:r>
        <w:rPr>
          <w:sz w:val="24"/>
        </w:rPr>
        <w:t>functional</w:t>
      </w:r>
      <w:r>
        <w:rPr>
          <w:spacing w:val="-1"/>
          <w:sz w:val="24"/>
        </w:rPr>
        <w:t> </w:t>
      </w:r>
      <w:r>
        <w:rPr>
          <w:sz w:val="24"/>
        </w:rPr>
        <w:t>member of society. The</w:t>
      </w:r>
      <w:r>
        <w:rPr>
          <w:spacing w:val="-1"/>
          <w:sz w:val="24"/>
        </w:rPr>
        <w:t> </w:t>
      </w:r>
      <w:r>
        <w:rPr>
          <w:sz w:val="24"/>
        </w:rPr>
        <w:t>primary</w:t>
      </w:r>
      <w:r>
        <w:rPr>
          <w:spacing w:val="-1"/>
          <w:sz w:val="24"/>
        </w:rPr>
        <w:t> </w:t>
      </w:r>
      <w:r>
        <w:rPr>
          <w:sz w:val="24"/>
        </w:rPr>
        <w:t>task</w:t>
      </w:r>
      <w:r>
        <w:rPr>
          <w:spacing w:val="-1"/>
          <w:sz w:val="24"/>
        </w:rPr>
        <w:t> </w:t>
      </w:r>
      <w:r>
        <w:rPr>
          <w:sz w:val="24"/>
        </w:rPr>
        <w:t>of</w:t>
      </w:r>
      <w:r>
        <w:rPr>
          <w:spacing w:val="-2"/>
          <w:sz w:val="24"/>
        </w:rPr>
        <w:t> </w:t>
      </w:r>
      <w:r>
        <w:rPr>
          <w:sz w:val="24"/>
        </w:rPr>
        <w:t>the</w:t>
      </w:r>
      <w:r>
        <w:rPr>
          <w:spacing w:val="-1"/>
          <w:sz w:val="24"/>
        </w:rPr>
        <w:t> </w:t>
      </w:r>
      <w:r>
        <w:rPr>
          <w:sz w:val="24"/>
        </w:rPr>
        <w:t>rehabilitation teacher is to provide services that enable a legally blind or severely visually impaired individual</w:t>
      </w:r>
      <w:r>
        <w:rPr>
          <w:spacing w:val="-3"/>
          <w:sz w:val="24"/>
        </w:rPr>
        <w:t> </w:t>
      </w:r>
      <w:r>
        <w:rPr>
          <w:sz w:val="24"/>
        </w:rPr>
        <w:t>to</w:t>
      </w:r>
      <w:r>
        <w:rPr>
          <w:spacing w:val="-3"/>
          <w:sz w:val="24"/>
        </w:rPr>
        <w:t> </w:t>
      </w:r>
      <w:r>
        <w:rPr>
          <w:sz w:val="24"/>
        </w:rPr>
        <w:t>make</w:t>
      </w:r>
      <w:r>
        <w:rPr>
          <w:spacing w:val="-3"/>
          <w:sz w:val="24"/>
        </w:rPr>
        <w:t> </w:t>
      </w:r>
      <w:r>
        <w:rPr>
          <w:sz w:val="24"/>
        </w:rPr>
        <w:t>these</w:t>
      </w:r>
      <w:r>
        <w:rPr>
          <w:spacing w:val="-3"/>
          <w:sz w:val="24"/>
        </w:rPr>
        <w:t> </w:t>
      </w:r>
      <w:r>
        <w:rPr>
          <w:sz w:val="24"/>
        </w:rPr>
        <w:t>necessary</w:t>
      </w:r>
      <w:r>
        <w:rPr>
          <w:spacing w:val="-3"/>
          <w:sz w:val="24"/>
        </w:rPr>
        <w:t> </w:t>
      </w:r>
      <w:r>
        <w:rPr>
          <w:sz w:val="24"/>
        </w:rPr>
        <w:t>adjustments</w:t>
      </w:r>
      <w:r>
        <w:rPr>
          <w:spacing w:val="-3"/>
          <w:sz w:val="24"/>
        </w:rPr>
        <w:t> </w:t>
      </w:r>
      <w:r>
        <w:rPr>
          <w:sz w:val="24"/>
        </w:rPr>
        <w:t>to</w:t>
      </w:r>
      <w:r>
        <w:rPr>
          <w:spacing w:val="-3"/>
          <w:sz w:val="24"/>
        </w:rPr>
        <w:t> </w:t>
      </w:r>
      <w:r>
        <w:rPr>
          <w:sz w:val="24"/>
        </w:rPr>
        <w:t>cope</w:t>
      </w:r>
      <w:r>
        <w:rPr>
          <w:spacing w:val="-3"/>
          <w:sz w:val="24"/>
        </w:rPr>
        <w:t> </w:t>
      </w:r>
      <w:r>
        <w:rPr>
          <w:sz w:val="24"/>
        </w:rPr>
        <w:t>with</w:t>
      </w:r>
      <w:r>
        <w:rPr>
          <w:spacing w:val="-3"/>
          <w:sz w:val="24"/>
        </w:rPr>
        <w:t> </w:t>
      </w:r>
      <w:r>
        <w:rPr>
          <w:sz w:val="24"/>
        </w:rPr>
        <w:t>the</w:t>
      </w:r>
      <w:r>
        <w:rPr>
          <w:spacing w:val="-3"/>
          <w:sz w:val="24"/>
        </w:rPr>
        <w:t> </w:t>
      </w:r>
      <w:r>
        <w:rPr>
          <w:sz w:val="24"/>
        </w:rPr>
        <w:t>demands</w:t>
      </w:r>
      <w:r>
        <w:rPr>
          <w:spacing w:val="-3"/>
          <w:sz w:val="24"/>
        </w:rPr>
        <w:t> </w:t>
      </w:r>
      <w:r>
        <w:rPr>
          <w:sz w:val="24"/>
        </w:rPr>
        <w:t>of</w:t>
      </w:r>
      <w:r>
        <w:rPr>
          <w:spacing w:val="-4"/>
          <w:sz w:val="24"/>
        </w:rPr>
        <w:t> </w:t>
      </w:r>
      <w:r>
        <w:rPr>
          <w:sz w:val="24"/>
        </w:rPr>
        <w:t>living</w:t>
      </w:r>
      <w:r>
        <w:rPr>
          <w:spacing w:val="-3"/>
          <w:sz w:val="24"/>
        </w:rPr>
        <w:t> </w:t>
      </w:r>
      <w:r>
        <w:rPr>
          <w:sz w:val="24"/>
        </w:rPr>
        <w:t>with a severe visual impairment.</w:t>
      </w:r>
    </w:p>
    <w:p>
      <w:pPr>
        <w:pStyle w:val="ListParagraph"/>
        <w:numPr>
          <w:ilvl w:val="0"/>
          <w:numId w:val="261"/>
        </w:numPr>
        <w:tabs>
          <w:tab w:pos="786" w:val="left" w:leader="none"/>
        </w:tabs>
        <w:spacing w:line="208" w:lineRule="auto" w:before="239" w:after="0"/>
        <w:ind w:left="360" w:right="924" w:firstLine="0"/>
        <w:jc w:val="left"/>
        <w:rPr>
          <w:sz w:val="24"/>
        </w:rPr>
      </w:pPr>
      <w:r>
        <w:rPr>
          <w:sz w:val="24"/>
        </w:rPr>
        <w:t>The</w:t>
      </w:r>
      <w:r>
        <w:rPr>
          <w:spacing w:val="-5"/>
          <w:sz w:val="24"/>
        </w:rPr>
        <w:t> </w:t>
      </w:r>
      <w:r>
        <w:rPr>
          <w:sz w:val="24"/>
        </w:rPr>
        <w:t>services</w:t>
      </w:r>
      <w:r>
        <w:rPr>
          <w:spacing w:val="-5"/>
          <w:sz w:val="24"/>
        </w:rPr>
        <w:t> </w:t>
      </w:r>
      <w:r>
        <w:rPr>
          <w:sz w:val="24"/>
        </w:rPr>
        <w:t>available</w:t>
      </w:r>
      <w:r>
        <w:rPr>
          <w:spacing w:val="-5"/>
          <w:sz w:val="24"/>
        </w:rPr>
        <w:t> </w:t>
      </w:r>
      <w:r>
        <w:rPr>
          <w:sz w:val="24"/>
        </w:rPr>
        <w:t>through</w:t>
      </w:r>
      <w:r>
        <w:rPr>
          <w:spacing w:val="-5"/>
          <w:sz w:val="24"/>
        </w:rPr>
        <w:t> </w:t>
      </w:r>
      <w:r>
        <w:rPr>
          <w:sz w:val="24"/>
        </w:rPr>
        <w:t>the</w:t>
      </w:r>
      <w:r>
        <w:rPr>
          <w:spacing w:val="-5"/>
          <w:sz w:val="24"/>
        </w:rPr>
        <w:t> </w:t>
      </w:r>
      <w:r>
        <w:rPr>
          <w:sz w:val="24"/>
        </w:rPr>
        <w:t>rehabilitation</w:t>
      </w:r>
      <w:r>
        <w:rPr>
          <w:spacing w:val="-5"/>
          <w:sz w:val="24"/>
        </w:rPr>
        <w:t> </w:t>
      </w:r>
      <w:r>
        <w:rPr>
          <w:sz w:val="24"/>
        </w:rPr>
        <w:t>teaching</w:t>
      </w:r>
      <w:r>
        <w:rPr>
          <w:spacing w:val="-5"/>
          <w:sz w:val="24"/>
        </w:rPr>
        <w:t> </w:t>
      </w:r>
      <w:r>
        <w:rPr>
          <w:sz w:val="24"/>
        </w:rPr>
        <w:t>program</w:t>
      </w:r>
      <w:r>
        <w:rPr>
          <w:spacing w:val="-4"/>
          <w:sz w:val="24"/>
        </w:rPr>
        <w:t> </w:t>
      </w:r>
      <w:r>
        <w:rPr>
          <w:sz w:val="24"/>
        </w:rPr>
        <w:t>directed</w:t>
      </w:r>
      <w:r>
        <w:rPr>
          <w:spacing w:val="-5"/>
          <w:sz w:val="24"/>
        </w:rPr>
        <w:t> </w:t>
      </w:r>
      <w:r>
        <w:rPr>
          <w:sz w:val="24"/>
        </w:rPr>
        <w:t>toward assisting people with severe visual impairment or who are blind to live more independently are:</w:t>
      </w:r>
    </w:p>
    <w:p>
      <w:pPr>
        <w:pStyle w:val="ListParagraph"/>
        <w:numPr>
          <w:ilvl w:val="1"/>
          <w:numId w:val="261"/>
        </w:numPr>
        <w:tabs>
          <w:tab w:pos="1217" w:val="left" w:leader="none"/>
        </w:tabs>
        <w:spacing w:line="208" w:lineRule="auto" w:before="240" w:after="0"/>
        <w:ind w:left="791" w:right="865" w:firstLine="0"/>
        <w:jc w:val="left"/>
        <w:rPr>
          <w:sz w:val="24"/>
        </w:rPr>
      </w:pPr>
      <w:r>
        <w:rPr>
          <w:sz w:val="24"/>
        </w:rPr>
        <w:t>Counseling and guidance directed toward helping the consumer and/or the consumer's</w:t>
      </w:r>
      <w:r>
        <w:rPr>
          <w:spacing w:val="-4"/>
          <w:sz w:val="24"/>
        </w:rPr>
        <w:t> </w:t>
      </w:r>
      <w:r>
        <w:rPr>
          <w:sz w:val="24"/>
        </w:rPr>
        <w:t>family</w:t>
      </w:r>
      <w:r>
        <w:rPr>
          <w:spacing w:val="-4"/>
          <w:sz w:val="24"/>
        </w:rPr>
        <w:t> </w:t>
      </w:r>
      <w:r>
        <w:rPr>
          <w:sz w:val="24"/>
        </w:rPr>
        <w:t>adjust</w:t>
      </w:r>
      <w:r>
        <w:rPr>
          <w:spacing w:val="-3"/>
          <w:sz w:val="24"/>
        </w:rPr>
        <w:t> </w:t>
      </w:r>
      <w:r>
        <w:rPr>
          <w:sz w:val="24"/>
        </w:rPr>
        <w:t>to</w:t>
      </w:r>
      <w:r>
        <w:rPr>
          <w:spacing w:val="-5"/>
          <w:sz w:val="24"/>
        </w:rPr>
        <w:t> </w:t>
      </w:r>
      <w:r>
        <w:rPr>
          <w:sz w:val="24"/>
        </w:rPr>
        <w:t>blindness,</w:t>
      </w:r>
      <w:r>
        <w:rPr>
          <w:spacing w:val="-3"/>
          <w:sz w:val="24"/>
        </w:rPr>
        <w:t> </w:t>
      </w:r>
      <w:r>
        <w:rPr>
          <w:sz w:val="24"/>
        </w:rPr>
        <w:t>to</w:t>
      </w:r>
      <w:r>
        <w:rPr>
          <w:spacing w:val="-4"/>
          <w:sz w:val="24"/>
        </w:rPr>
        <w:t> </w:t>
      </w:r>
      <w:r>
        <w:rPr>
          <w:sz w:val="24"/>
        </w:rPr>
        <w:t>understand</w:t>
      </w:r>
      <w:r>
        <w:rPr>
          <w:spacing w:val="-4"/>
          <w:sz w:val="24"/>
        </w:rPr>
        <w:t> </w:t>
      </w:r>
      <w:r>
        <w:rPr>
          <w:sz w:val="24"/>
        </w:rPr>
        <w:t>the</w:t>
      </w:r>
      <w:r>
        <w:rPr>
          <w:spacing w:val="-4"/>
          <w:sz w:val="24"/>
        </w:rPr>
        <w:t> </w:t>
      </w:r>
      <w:r>
        <w:rPr>
          <w:sz w:val="24"/>
        </w:rPr>
        <w:t>limitations</w:t>
      </w:r>
      <w:r>
        <w:rPr>
          <w:spacing w:val="-4"/>
          <w:sz w:val="24"/>
        </w:rPr>
        <w:t> </w:t>
      </w:r>
      <w:r>
        <w:rPr>
          <w:sz w:val="24"/>
        </w:rPr>
        <w:t>it</w:t>
      </w:r>
      <w:r>
        <w:rPr>
          <w:spacing w:val="-3"/>
          <w:sz w:val="24"/>
        </w:rPr>
        <w:t> </w:t>
      </w:r>
      <w:r>
        <w:rPr>
          <w:sz w:val="24"/>
        </w:rPr>
        <w:t>imposes,</w:t>
      </w:r>
      <w:r>
        <w:rPr>
          <w:spacing w:val="-5"/>
          <w:sz w:val="24"/>
        </w:rPr>
        <w:t> </w:t>
      </w:r>
      <w:r>
        <w:rPr>
          <w:sz w:val="24"/>
        </w:rPr>
        <w:t>and to make a realistic assessment of his/her capabilities.</w:t>
      </w:r>
    </w:p>
    <w:p>
      <w:pPr>
        <w:pStyle w:val="ListParagraph"/>
        <w:numPr>
          <w:ilvl w:val="1"/>
          <w:numId w:val="261"/>
        </w:numPr>
        <w:tabs>
          <w:tab w:pos="1217" w:val="left" w:leader="none"/>
        </w:tabs>
        <w:spacing w:line="208" w:lineRule="auto" w:before="240" w:after="0"/>
        <w:ind w:left="791" w:right="1655" w:firstLine="0"/>
        <w:jc w:val="left"/>
        <w:rPr>
          <w:sz w:val="24"/>
        </w:rPr>
      </w:pPr>
      <w:r>
        <w:rPr>
          <w:sz w:val="24"/>
        </w:rPr>
        <w:t>Provide</w:t>
      </w:r>
      <w:r>
        <w:rPr>
          <w:spacing w:val="-5"/>
          <w:sz w:val="24"/>
        </w:rPr>
        <w:t> </w:t>
      </w:r>
      <w:r>
        <w:rPr>
          <w:sz w:val="24"/>
        </w:rPr>
        <w:t>evaluation</w:t>
      </w:r>
      <w:r>
        <w:rPr>
          <w:spacing w:val="-5"/>
          <w:sz w:val="24"/>
        </w:rPr>
        <w:t> </w:t>
      </w:r>
      <w:r>
        <w:rPr>
          <w:sz w:val="24"/>
        </w:rPr>
        <w:t>and</w:t>
      </w:r>
      <w:r>
        <w:rPr>
          <w:spacing w:val="-5"/>
          <w:sz w:val="24"/>
        </w:rPr>
        <w:t> </w:t>
      </w:r>
      <w:r>
        <w:rPr>
          <w:sz w:val="24"/>
        </w:rPr>
        <w:t>instruction</w:t>
      </w:r>
      <w:r>
        <w:rPr>
          <w:spacing w:val="-5"/>
          <w:sz w:val="24"/>
        </w:rPr>
        <w:t> </w:t>
      </w:r>
      <w:r>
        <w:rPr>
          <w:sz w:val="24"/>
        </w:rPr>
        <w:t>in</w:t>
      </w:r>
      <w:r>
        <w:rPr>
          <w:spacing w:val="-5"/>
          <w:sz w:val="24"/>
        </w:rPr>
        <w:t> </w:t>
      </w:r>
      <w:r>
        <w:rPr>
          <w:sz w:val="24"/>
        </w:rPr>
        <w:t>the</w:t>
      </w:r>
      <w:r>
        <w:rPr>
          <w:spacing w:val="-5"/>
          <w:sz w:val="24"/>
        </w:rPr>
        <w:t> </w:t>
      </w:r>
      <w:r>
        <w:rPr>
          <w:sz w:val="24"/>
        </w:rPr>
        <w:t>techniques</w:t>
      </w:r>
      <w:r>
        <w:rPr>
          <w:spacing w:val="-5"/>
          <w:sz w:val="24"/>
        </w:rPr>
        <w:t> </w:t>
      </w:r>
      <w:r>
        <w:rPr>
          <w:sz w:val="24"/>
        </w:rPr>
        <w:t>and</w:t>
      </w:r>
      <w:r>
        <w:rPr>
          <w:spacing w:val="-5"/>
          <w:sz w:val="24"/>
        </w:rPr>
        <w:t> </w:t>
      </w:r>
      <w:r>
        <w:rPr>
          <w:sz w:val="24"/>
        </w:rPr>
        <w:t>procedures</w:t>
      </w:r>
      <w:r>
        <w:rPr>
          <w:spacing w:val="-5"/>
          <w:sz w:val="24"/>
        </w:rPr>
        <w:t> </w:t>
      </w:r>
      <w:r>
        <w:rPr>
          <w:sz w:val="24"/>
        </w:rPr>
        <w:t>for performing those tasks and activities necessary to daily living.</w:t>
      </w:r>
    </w:p>
    <w:p>
      <w:pPr>
        <w:pStyle w:val="ListParagraph"/>
        <w:numPr>
          <w:ilvl w:val="1"/>
          <w:numId w:val="261"/>
        </w:numPr>
        <w:tabs>
          <w:tab w:pos="1217" w:val="left" w:leader="none"/>
        </w:tabs>
        <w:spacing w:line="208" w:lineRule="auto" w:before="240" w:after="0"/>
        <w:ind w:left="791" w:right="1457" w:firstLine="0"/>
        <w:jc w:val="left"/>
        <w:rPr>
          <w:sz w:val="24"/>
        </w:rPr>
      </w:pPr>
      <w:r>
        <w:rPr>
          <w:sz w:val="24"/>
        </w:rPr>
        <w:t>Provide</w:t>
      </w:r>
      <w:r>
        <w:rPr>
          <w:spacing w:val="-5"/>
          <w:sz w:val="24"/>
        </w:rPr>
        <w:t> </w:t>
      </w:r>
      <w:r>
        <w:rPr>
          <w:sz w:val="24"/>
        </w:rPr>
        <w:t>resource</w:t>
      </w:r>
      <w:r>
        <w:rPr>
          <w:spacing w:val="-5"/>
          <w:sz w:val="24"/>
        </w:rPr>
        <w:t> </w:t>
      </w:r>
      <w:r>
        <w:rPr>
          <w:sz w:val="24"/>
        </w:rPr>
        <w:t>information</w:t>
      </w:r>
      <w:r>
        <w:rPr>
          <w:spacing w:val="-5"/>
          <w:sz w:val="24"/>
        </w:rPr>
        <w:t> </w:t>
      </w:r>
      <w:r>
        <w:rPr>
          <w:sz w:val="24"/>
        </w:rPr>
        <w:t>and</w:t>
      </w:r>
      <w:r>
        <w:rPr>
          <w:spacing w:val="-5"/>
          <w:sz w:val="24"/>
        </w:rPr>
        <w:t> </w:t>
      </w:r>
      <w:r>
        <w:rPr>
          <w:sz w:val="24"/>
        </w:rPr>
        <w:t>make</w:t>
      </w:r>
      <w:r>
        <w:rPr>
          <w:spacing w:val="-5"/>
          <w:sz w:val="24"/>
        </w:rPr>
        <w:t> </w:t>
      </w:r>
      <w:r>
        <w:rPr>
          <w:sz w:val="24"/>
        </w:rPr>
        <w:t>referrals</w:t>
      </w:r>
      <w:r>
        <w:rPr>
          <w:spacing w:val="-5"/>
          <w:sz w:val="24"/>
        </w:rPr>
        <w:t> </w:t>
      </w:r>
      <w:r>
        <w:rPr>
          <w:sz w:val="24"/>
        </w:rPr>
        <w:t>as</w:t>
      </w:r>
      <w:r>
        <w:rPr>
          <w:spacing w:val="-5"/>
          <w:sz w:val="24"/>
        </w:rPr>
        <w:t> </w:t>
      </w:r>
      <w:r>
        <w:rPr>
          <w:sz w:val="24"/>
        </w:rPr>
        <w:t>needed</w:t>
      </w:r>
      <w:r>
        <w:rPr>
          <w:spacing w:val="-5"/>
          <w:sz w:val="24"/>
        </w:rPr>
        <w:t> </w:t>
      </w:r>
      <w:r>
        <w:rPr>
          <w:sz w:val="24"/>
        </w:rPr>
        <w:t>for</w:t>
      </w:r>
      <w:r>
        <w:rPr>
          <w:spacing w:val="-4"/>
          <w:sz w:val="24"/>
        </w:rPr>
        <w:t> </w:t>
      </w:r>
      <w:r>
        <w:rPr>
          <w:sz w:val="24"/>
        </w:rPr>
        <w:t>additional </w:t>
      </w:r>
      <w:r>
        <w:rPr>
          <w:spacing w:val="-2"/>
          <w:sz w:val="24"/>
        </w:rPr>
        <w:t>services.</w:t>
      </w:r>
    </w:p>
    <w:p>
      <w:pPr>
        <w:pStyle w:val="ListParagraph"/>
        <w:numPr>
          <w:ilvl w:val="1"/>
          <w:numId w:val="261"/>
        </w:numPr>
        <w:tabs>
          <w:tab w:pos="1217" w:val="left" w:leader="none"/>
        </w:tabs>
        <w:spacing w:line="208" w:lineRule="auto" w:before="239" w:after="0"/>
        <w:ind w:left="791" w:right="1028" w:firstLine="0"/>
        <w:jc w:val="left"/>
        <w:rPr>
          <w:sz w:val="24"/>
        </w:rPr>
      </w:pPr>
      <w:r>
        <w:rPr>
          <w:sz w:val="24"/>
        </w:rPr>
        <w:t>Assist</w:t>
      </w:r>
      <w:r>
        <w:rPr>
          <w:spacing w:val="-5"/>
          <w:sz w:val="24"/>
        </w:rPr>
        <w:t> </w:t>
      </w:r>
      <w:r>
        <w:rPr>
          <w:sz w:val="24"/>
        </w:rPr>
        <w:t>the</w:t>
      </w:r>
      <w:r>
        <w:rPr>
          <w:spacing w:val="-4"/>
          <w:sz w:val="24"/>
        </w:rPr>
        <w:t> </w:t>
      </w:r>
      <w:r>
        <w:rPr>
          <w:sz w:val="24"/>
        </w:rPr>
        <w:t>consumer</w:t>
      </w:r>
      <w:r>
        <w:rPr>
          <w:spacing w:val="-3"/>
          <w:sz w:val="24"/>
        </w:rPr>
        <w:t> </w:t>
      </w:r>
      <w:r>
        <w:rPr>
          <w:sz w:val="24"/>
        </w:rPr>
        <w:t>in</w:t>
      </w:r>
      <w:r>
        <w:rPr>
          <w:spacing w:val="-4"/>
          <w:sz w:val="24"/>
        </w:rPr>
        <w:t> </w:t>
      </w:r>
      <w:r>
        <w:rPr>
          <w:sz w:val="24"/>
        </w:rPr>
        <w:t>becoming</w:t>
      </w:r>
      <w:r>
        <w:rPr>
          <w:spacing w:val="-4"/>
          <w:sz w:val="24"/>
        </w:rPr>
        <w:t> </w:t>
      </w:r>
      <w:r>
        <w:rPr>
          <w:sz w:val="24"/>
        </w:rPr>
        <w:t>oriented</w:t>
      </w:r>
      <w:r>
        <w:rPr>
          <w:spacing w:val="-4"/>
          <w:sz w:val="24"/>
        </w:rPr>
        <w:t> </w:t>
      </w:r>
      <w:r>
        <w:rPr>
          <w:sz w:val="24"/>
        </w:rPr>
        <w:t>to</w:t>
      </w:r>
      <w:r>
        <w:rPr>
          <w:spacing w:val="-4"/>
          <w:sz w:val="24"/>
        </w:rPr>
        <w:t> </w:t>
      </w:r>
      <w:r>
        <w:rPr>
          <w:sz w:val="24"/>
        </w:rPr>
        <w:t>his/her</w:t>
      </w:r>
      <w:r>
        <w:rPr>
          <w:spacing w:val="-3"/>
          <w:sz w:val="24"/>
        </w:rPr>
        <w:t> </w:t>
      </w:r>
      <w:r>
        <w:rPr>
          <w:sz w:val="24"/>
        </w:rPr>
        <w:t>residence</w:t>
      </w:r>
      <w:r>
        <w:rPr>
          <w:spacing w:val="-4"/>
          <w:sz w:val="24"/>
        </w:rPr>
        <w:t> </w:t>
      </w:r>
      <w:r>
        <w:rPr>
          <w:sz w:val="24"/>
        </w:rPr>
        <w:t>and</w:t>
      </w:r>
      <w:r>
        <w:rPr>
          <w:spacing w:val="-4"/>
          <w:sz w:val="24"/>
        </w:rPr>
        <w:t> </w:t>
      </w:r>
      <w:r>
        <w:rPr>
          <w:sz w:val="24"/>
        </w:rPr>
        <w:t>develop</w:t>
      </w:r>
      <w:r>
        <w:rPr>
          <w:spacing w:val="-4"/>
          <w:sz w:val="24"/>
        </w:rPr>
        <w:t> </w:t>
      </w:r>
      <w:r>
        <w:rPr>
          <w:sz w:val="24"/>
        </w:rPr>
        <w:t>a basic level of safety and independence in indoor mobility.</w:t>
      </w:r>
    </w:p>
    <w:p>
      <w:pPr>
        <w:pStyle w:val="ListParagraph"/>
        <w:numPr>
          <w:ilvl w:val="1"/>
          <w:numId w:val="261"/>
        </w:numPr>
        <w:tabs>
          <w:tab w:pos="1217" w:val="left" w:leader="none"/>
        </w:tabs>
        <w:spacing w:line="208" w:lineRule="auto" w:before="240" w:after="0"/>
        <w:ind w:left="791" w:right="901" w:firstLine="0"/>
        <w:jc w:val="left"/>
        <w:rPr>
          <w:sz w:val="24"/>
        </w:rPr>
      </w:pPr>
      <w:r>
        <w:rPr>
          <w:sz w:val="24"/>
        </w:rPr>
        <w:t>Provide instruction in the various communication media designed to enhance the</w:t>
      </w:r>
      <w:r>
        <w:rPr>
          <w:spacing w:val="-4"/>
          <w:sz w:val="24"/>
        </w:rPr>
        <w:t> </w:t>
      </w:r>
      <w:r>
        <w:rPr>
          <w:sz w:val="24"/>
        </w:rPr>
        <w:t>individual's</w:t>
      </w:r>
      <w:r>
        <w:rPr>
          <w:spacing w:val="-4"/>
          <w:sz w:val="24"/>
        </w:rPr>
        <w:t> </w:t>
      </w:r>
      <w:r>
        <w:rPr>
          <w:sz w:val="24"/>
        </w:rPr>
        <w:t>ability</w:t>
      </w:r>
      <w:r>
        <w:rPr>
          <w:spacing w:val="-4"/>
          <w:sz w:val="24"/>
        </w:rPr>
        <w:t> </w:t>
      </w:r>
      <w:r>
        <w:rPr>
          <w:sz w:val="24"/>
        </w:rPr>
        <w:t>to</w:t>
      </w:r>
      <w:r>
        <w:rPr>
          <w:spacing w:val="-4"/>
          <w:sz w:val="24"/>
        </w:rPr>
        <w:t> </w:t>
      </w:r>
      <w:r>
        <w:rPr>
          <w:sz w:val="24"/>
        </w:rPr>
        <w:t>communicate</w:t>
      </w:r>
      <w:r>
        <w:rPr>
          <w:spacing w:val="-4"/>
          <w:sz w:val="24"/>
        </w:rPr>
        <w:t> </w:t>
      </w:r>
      <w:r>
        <w:rPr>
          <w:sz w:val="24"/>
        </w:rPr>
        <w:t>with</w:t>
      </w:r>
      <w:r>
        <w:rPr>
          <w:spacing w:val="-4"/>
          <w:sz w:val="24"/>
        </w:rPr>
        <w:t> </w:t>
      </w:r>
      <w:r>
        <w:rPr>
          <w:sz w:val="24"/>
        </w:rPr>
        <w:t>others</w:t>
      </w:r>
      <w:r>
        <w:rPr>
          <w:spacing w:val="-4"/>
          <w:sz w:val="24"/>
        </w:rPr>
        <w:t> </w:t>
      </w:r>
      <w:r>
        <w:rPr>
          <w:sz w:val="24"/>
        </w:rPr>
        <w:t>and</w:t>
      </w:r>
      <w:r>
        <w:rPr>
          <w:spacing w:val="-4"/>
          <w:sz w:val="24"/>
        </w:rPr>
        <w:t> </w:t>
      </w:r>
      <w:r>
        <w:rPr>
          <w:sz w:val="24"/>
        </w:rPr>
        <w:t>maintain</w:t>
      </w:r>
      <w:r>
        <w:rPr>
          <w:spacing w:val="-4"/>
          <w:sz w:val="24"/>
        </w:rPr>
        <w:t> </w:t>
      </w:r>
      <w:r>
        <w:rPr>
          <w:sz w:val="24"/>
        </w:rPr>
        <w:t>personal</w:t>
      </w:r>
      <w:r>
        <w:rPr>
          <w:spacing w:val="-4"/>
          <w:sz w:val="24"/>
        </w:rPr>
        <w:t> </w:t>
      </w:r>
      <w:r>
        <w:rPr>
          <w:sz w:val="24"/>
        </w:rPr>
        <w:t>and</w:t>
      </w:r>
      <w:r>
        <w:rPr>
          <w:spacing w:val="-3"/>
          <w:sz w:val="24"/>
        </w:rPr>
        <w:t> </w:t>
      </w:r>
      <w:r>
        <w:rPr>
          <w:sz w:val="24"/>
        </w:rPr>
        <w:t>other </w:t>
      </w:r>
      <w:r>
        <w:rPr>
          <w:spacing w:val="-2"/>
          <w:sz w:val="24"/>
        </w:rPr>
        <w:t>records.</w:t>
      </w:r>
    </w:p>
    <w:p>
      <w:pPr>
        <w:pStyle w:val="ListParagraph"/>
        <w:numPr>
          <w:ilvl w:val="1"/>
          <w:numId w:val="261"/>
        </w:numPr>
        <w:tabs>
          <w:tab w:pos="1217" w:val="left" w:leader="none"/>
        </w:tabs>
        <w:spacing w:line="208" w:lineRule="auto" w:before="240" w:after="0"/>
        <w:ind w:left="791" w:right="1256" w:firstLine="0"/>
        <w:jc w:val="left"/>
        <w:rPr>
          <w:sz w:val="24"/>
        </w:rPr>
      </w:pPr>
      <w:r>
        <w:rPr>
          <w:sz w:val="24"/>
        </w:rPr>
        <w:t>Assist the individual in over-coming mannerisms and behavior patterns associated</w:t>
      </w:r>
      <w:r>
        <w:rPr>
          <w:spacing w:val="-3"/>
          <w:sz w:val="24"/>
        </w:rPr>
        <w:t> </w:t>
      </w:r>
      <w:r>
        <w:rPr>
          <w:sz w:val="24"/>
        </w:rPr>
        <w:t>with</w:t>
      </w:r>
      <w:r>
        <w:rPr>
          <w:spacing w:val="-4"/>
          <w:sz w:val="24"/>
        </w:rPr>
        <w:t> </w:t>
      </w:r>
      <w:r>
        <w:rPr>
          <w:sz w:val="24"/>
        </w:rPr>
        <w:t>low</w:t>
      </w:r>
      <w:r>
        <w:rPr>
          <w:spacing w:val="-4"/>
          <w:sz w:val="24"/>
        </w:rPr>
        <w:t> </w:t>
      </w:r>
      <w:r>
        <w:rPr>
          <w:sz w:val="24"/>
        </w:rPr>
        <w:t>vision</w:t>
      </w:r>
      <w:r>
        <w:rPr>
          <w:spacing w:val="-4"/>
          <w:sz w:val="24"/>
        </w:rPr>
        <w:t> </w:t>
      </w:r>
      <w:r>
        <w:rPr>
          <w:sz w:val="24"/>
        </w:rPr>
        <w:t>or</w:t>
      </w:r>
      <w:r>
        <w:rPr>
          <w:spacing w:val="-3"/>
          <w:sz w:val="24"/>
        </w:rPr>
        <w:t> </w:t>
      </w:r>
      <w:r>
        <w:rPr>
          <w:sz w:val="24"/>
        </w:rPr>
        <w:t>blindness</w:t>
      </w:r>
      <w:r>
        <w:rPr>
          <w:spacing w:val="-4"/>
          <w:sz w:val="24"/>
        </w:rPr>
        <w:t> </w:t>
      </w:r>
      <w:r>
        <w:rPr>
          <w:sz w:val="24"/>
        </w:rPr>
        <w:t>that</w:t>
      </w:r>
      <w:r>
        <w:rPr>
          <w:spacing w:val="-3"/>
          <w:sz w:val="24"/>
        </w:rPr>
        <w:t> </w:t>
      </w:r>
      <w:r>
        <w:rPr>
          <w:sz w:val="24"/>
        </w:rPr>
        <w:t>are</w:t>
      </w:r>
      <w:r>
        <w:rPr>
          <w:spacing w:val="-4"/>
          <w:sz w:val="24"/>
        </w:rPr>
        <w:t> </w:t>
      </w:r>
      <w:r>
        <w:rPr>
          <w:sz w:val="24"/>
        </w:rPr>
        <w:t>deterrents</w:t>
      </w:r>
      <w:r>
        <w:rPr>
          <w:spacing w:val="-4"/>
          <w:sz w:val="24"/>
        </w:rPr>
        <w:t> </w:t>
      </w:r>
      <w:r>
        <w:rPr>
          <w:sz w:val="24"/>
        </w:rPr>
        <w:t>to</w:t>
      </w:r>
      <w:r>
        <w:rPr>
          <w:spacing w:val="-5"/>
          <w:sz w:val="24"/>
        </w:rPr>
        <w:t> </w:t>
      </w:r>
      <w:r>
        <w:rPr>
          <w:sz w:val="24"/>
        </w:rPr>
        <w:t>social</w:t>
      </w:r>
      <w:r>
        <w:rPr>
          <w:spacing w:val="-4"/>
          <w:sz w:val="24"/>
        </w:rPr>
        <w:t> </w:t>
      </w:r>
      <w:r>
        <w:rPr>
          <w:sz w:val="24"/>
        </w:rPr>
        <w:t>adjustment.</w:t>
      </w:r>
    </w:p>
    <w:p>
      <w:pPr>
        <w:pStyle w:val="ListParagraph"/>
        <w:numPr>
          <w:ilvl w:val="1"/>
          <w:numId w:val="261"/>
        </w:numPr>
        <w:tabs>
          <w:tab w:pos="1217" w:val="left" w:leader="none"/>
        </w:tabs>
        <w:spacing w:line="208" w:lineRule="auto" w:before="240" w:after="0"/>
        <w:ind w:left="791" w:right="961" w:firstLine="0"/>
        <w:jc w:val="left"/>
        <w:rPr>
          <w:sz w:val="24"/>
        </w:rPr>
      </w:pPr>
      <w:r>
        <w:rPr>
          <w:sz w:val="24"/>
        </w:rPr>
        <w:t>Provide</w:t>
      </w:r>
      <w:r>
        <w:rPr>
          <w:spacing w:val="-4"/>
          <w:sz w:val="24"/>
        </w:rPr>
        <w:t> </w:t>
      </w:r>
      <w:r>
        <w:rPr>
          <w:sz w:val="24"/>
        </w:rPr>
        <w:t>and/or</w:t>
      </w:r>
      <w:r>
        <w:rPr>
          <w:spacing w:val="-3"/>
          <w:sz w:val="24"/>
        </w:rPr>
        <w:t> </w:t>
      </w:r>
      <w:r>
        <w:rPr>
          <w:sz w:val="24"/>
        </w:rPr>
        <w:t>arrange</w:t>
      </w:r>
      <w:r>
        <w:rPr>
          <w:spacing w:val="-4"/>
          <w:sz w:val="24"/>
        </w:rPr>
        <w:t> </w:t>
      </w:r>
      <w:r>
        <w:rPr>
          <w:sz w:val="24"/>
        </w:rPr>
        <w:t>specialized</w:t>
      </w:r>
      <w:r>
        <w:rPr>
          <w:spacing w:val="-4"/>
          <w:sz w:val="24"/>
        </w:rPr>
        <w:t> </w:t>
      </w:r>
      <w:r>
        <w:rPr>
          <w:sz w:val="24"/>
        </w:rPr>
        <w:t>instructional</w:t>
      </w:r>
      <w:r>
        <w:rPr>
          <w:spacing w:val="-4"/>
          <w:sz w:val="24"/>
        </w:rPr>
        <w:t> </w:t>
      </w:r>
      <w:r>
        <w:rPr>
          <w:sz w:val="24"/>
        </w:rPr>
        <w:t>services</w:t>
      </w:r>
      <w:r>
        <w:rPr>
          <w:spacing w:val="-4"/>
          <w:sz w:val="24"/>
        </w:rPr>
        <w:t> </w:t>
      </w:r>
      <w:r>
        <w:rPr>
          <w:sz w:val="24"/>
        </w:rPr>
        <w:t>in</w:t>
      </w:r>
      <w:r>
        <w:rPr>
          <w:spacing w:val="-4"/>
          <w:sz w:val="24"/>
        </w:rPr>
        <w:t> </w:t>
      </w:r>
      <w:r>
        <w:rPr>
          <w:sz w:val="24"/>
        </w:rPr>
        <w:t>the</w:t>
      </w:r>
      <w:r>
        <w:rPr>
          <w:spacing w:val="-4"/>
          <w:sz w:val="24"/>
        </w:rPr>
        <w:t> </w:t>
      </w:r>
      <w:r>
        <w:rPr>
          <w:sz w:val="24"/>
        </w:rPr>
        <w:t>areas</w:t>
      </w:r>
      <w:r>
        <w:rPr>
          <w:spacing w:val="-4"/>
          <w:sz w:val="24"/>
        </w:rPr>
        <w:t> </w:t>
      </w:r>
      <w:r>
        <w:rPr>
          <w:sz w:val="24"/>
        </w:rPr>
        <w:t>of</w:t>
      </w:r>
      <w:r>
        <w:rPr>
          <w:spacing w:val="-3"/>
          <w:sz w:val="24"/>
        </w:rPr>
        <w:t> </w:t>
      </w:r>
      <w:r>
        <w:rPr>
          <w:sz w:val="24"/>
        </w:rPr>
        <w:t>home and personal management.</w:t>
      </w:r>
    </w:p>
    <w:p>
      <w:pPr>
        <w:pStyle w:val="ListParagraph"/>
        <w:numPr>
          <w:ilvl w:val="1"/>
          <w:numId w:val="261"/>
        </w:numPr>
        <w:tabs>
          <w:tab w:pos="1217" w:val="left" w:leader="none"/>
        </w:tabs>
        <w:spacing w:line="208" w:lineRule="auto" w:before="239" w:after="0"/>
        <w:ind w:left="791" w:right="814" w:firstLine="0"/>
        <w:jc w:val="left"/>
        <w:rPr>
          <w:sz w:val="24"/>
        </w:rPr>
      </w:pPr>
      <w:r>
        <w:rPr>
          <w:sz w:val="24"/>
        </w:rPr>
        <w:t>Rehabilitation</w:t>
      </w:r>
      <w:r>
        <w:rPr>
          <w:spacing w:val="-5"/>
          <w:sz w:val="24"/>
        </w:rPr>
        <w:t> </w:t>
      </w:r>
      <w:r>
        <w:rPr>
          <w:sz w:val="24"/>
        </w:rPr>
        <w:t>teaching</w:t>
      </w:r>
      <w:r>
        <w:rPr>
          <w:spacing w:val="-5"/>
          <w:sz w:val="24"/>
        </w:rPr>
        <w:t> </w:t>
      </w:r>
      <w:r>
        <w:rPr>
          <w:sz w:val="24"/>
        </w:rPr>
        <w:t>staff</w:t>
      </w:r>
      <w:r>
        <w:rPr>
          <w:spacing w:val="-6"/>
          <w:sz w:val="24"/>
        </w:rPr>
        <w:t> </w:t>
      </w:r>
      <w:r>
        <w:rPr>
          <w:sz w:val="24"/>
        </w:rPr>
        <w:t>must</w:t>
      </w:r>
      <w:r>
        <w:rPr>
          <w:spacing w:val="-4"/>
          <w:sz w:val="24"/>
        </w:rPr>
        <w:t> </w:t>
      </w:r>
      <w:r>
        <w:rPr>
          <w:sz w:val="24"/>
        </w:rPr>
        <w:t>participate</w:t>
      </w:r>
      <w:r>
        <w:rPr>
          <w:spacing w:val="-5"/>
          <w:sz w:val="24"/>
        </w:rPr>
        <w:t> </w:t>
      </w:r>
      <w:r>
        <w:rPr>
          <w:sz w:val="24"/>
        </w:rPr>
        <w:t>in</w:t>
      </w:r>
      <w:r>
        <w:rPr>
          <w:spacing w:val="-5"/>
          <w:sz w:val="24"/>
        </w:rPr>
        <w:t> </w:t>
      </w:r>
      <w:r>
        <w:rPr>
          <w:sz w:val="24"/>
        </w:rPr>
        <w:t>the</w:t>
      </w:r>
      <w:r>
        <w:rPr>
          <w:spacing w:val="-5"/>
          <w:sz w:val="24"/>
        </w:rPr>
        <w:t> </w:t>
      </w:r>
      <w:r>
        <w:rPr>
          <w:sz w:val="24"/>
        </w:rPr>
        <w:t>evaluation,</w:t>
      </w:r>
      <w:r>
        <w:rPr>
          <w:spacing w:val="-4"/>
          <w:sz w:val="24"/>
        </w:rPr>
        <w:t> </w:t>
      </w:r>
      <w:r>
        <w:rPr>
          <w:sz w:val="24"/>
        </w:rPr>
        <w:t>assessment</w:t>
      </w:r>
      <w:r>
        <w:rPr>
          <w:spacing w:val="-4"/>
          <w:sz w:val="24"/>
        </w:rPr>
        <w:t> </w:t>
      </w:r>
      <w:r>
        <w:rPr>
          <w:sz w:val="24"/>
        </w:rPr>
        <w:t>and adjustment processes in the vocational rehabilitation process.</w:t>
      </w:r>
    </w:p>
    <w:p>
      <w:pPr>
        <w:pStyle w:val="ListParagraph"/>
        <w:numPr>
          <w:ilvl w:val="0"/>
          <w:numId w:val="261"/>
        </w:numPr>
        <w:tabs>
          <w:tab w:pos="773" w:val="left" w:leader="none"/>
        </w:tabs>
        <w:spacing w:line="208" w:lineRule="auto" w:before="240" w:after="0"/>
        <w:ind w:left="360" w:right="952" w:firstLine="0"/>
        <w:jc w:val="left"/>
        <w:rPr>
          <w:sz w:val="24"/>
        </w:rPr>
      </w:pPr>
      <w:r>
        <w:rPr>
          <w:sz w:val="24"/>
        </w:rPr>
        <w:t>Rehabilitation teaching independent living services is a formalized program of services with the purpose of enhancing the ability of an individual with a severe visual disability</w:t>
      </w:r>
      <w:r>
        <w:rPr>
          <w:spacing w:val="-4"/>
          <w:sz w:val="24"/>
        </w:rPr>
        <w:t> </w:t>
      </w:r>
      <w:r>
        <w:rPr>
          <w:sz w:val="24"/>
        </w:rPr>
        <w:t>to</w:t>
      </w:r>
      <w:r>
        <w:rPr>
          <w:spacing w:val="-4"/>
          <w:sz w:val="24"/>
        </w:rPr>
        <w:t> </w:t>
      </w:r>
      <w:r>
        <w:rPr>
          <w:sz w:val="24"/>
        </w:rPr>
        <w:t>live</w:t>
      </w:r>
      <w:r>
        <w:rPr>
          <w:spacing w:val="-4"/>
          <w:sz w:val="24"/>
        </w:rPr>
        <w:t> </w:t>
      </w:r>
      <w:r>
        <w:rPr>
          <w:sz w:val="24"/>
        </w:rPr>
        <w:t>independently</w:t>
      </w:r>
      <w:r>
        <w:rPr>
          <w:spacing w:val="-4"/>
          <w:sz w:val="24"/>
        </w:rPr>
        <w:t> </w:t>
      </w:r>
      <w:r>
        <w:rPr>
          <w:sz w:val="24"/>
        </w:rPr>
        <w:t>and</w:t>
      </w:r>
      <w:r>
        <w:rPr>
          <w:spacing w:val="-4"/>
          <w:sz w:val="24"/>
        </w:rPr>
        <w:t> </w:t>
      </w:r>
      <w:r>
        <w:rPr>
          <w:sz w:val="24"/>
        </w:rPr>
        <w:t>function</w:t>
      </w:r>
      <w:r>
        <w:rPr>
          <w:spacing w:val="-4"/>
          <w:sz w:val="24"/>
        </w:rPr>
        <w:t> </w:t>
      </w:r>
      <w:r>
        <w:rPr>
          <w:sz w:val="24"/>
        </w:rPr>
        <w:t>within</w:t>
      </w:r>
      <w:r>
        <w:rPr>
          <w:spacing w:val="-4"/>
          <w:sz w:val="24"/>
        </w:rPr>
        <w:t> </w:t>
      </w:r>
      <w:r>
        <w:rPr>
          <w:sz w:val="24"/>
        </w:rPr>
        <w:t>his/her</w:t>
      </w:r>
      <w:r>
        <w:rPr>
          <w:spacing w:val="-3"/>
          <w:sz w:val="24"/>
        </w:rPr>
        <w:t> </w:t>
      </w:r>
      <w:r>
        <w:rPr>
          <w:sz w:val="24"/>
        </w:rPr>
        <w:t>family</w:t>
      </w:r>
      <w:r>
        <w:rPr>
          <w:spacing w:val="-4"/>
          <w:sz w:val="24"/>
        </w:rPr>
        <w:t> </w:t>
      </w:r>
      <w:r>
        <w:rPr>
          <w:sz w:val="24"/>
        </w:rPr>
        <w:t>and</w:t>
      </w:r>
      <w:r>
        <w:rPr>
          <w:spacing w:val="-4"/>
          <w:sz w:val="24"/>
        </w:rPr>
        <w:t> </w:t>
      </w:r>
      <w:r>
        <w:rPr>
          <w:sz w:val="24"/>
        </w:rPr>
        <w:t>community</w:t>
      </w:r>
      <w:r>
        <w:rPr>
          <w:spacing w:val="-4"/>
          <w:sz w:val="24"/>
        </w:rPr>
        <w:t> </w:t>
      </w:r>
      <w:r>
        <w:rPr>
          <w:sz w:val="24"/>
        </w:rPr>
        <w:t>and,</w:t>
      </w:r>
      <w:r>
        <w:rPr>
          <w:spacing w:val="-3"/>
          <w:sz w:val="24"/>
        </w:rPr>
        <w:t> </w:t>
      </w:r>
      <w:r>
        <w:rPr>
          <w:sz w:val="24"/>
        </w:rPr>
        <w:t>if appropriate, secure and maintain employment.</w:t>
      </w:r>
    </w:p>
    <w:p>
      <w:pPr>
        <w:pStyle w:val="ListParagraph"/>
        <w:numPr>
          <w:ilvl w:val="0"/>
          <w:numId w:val="261"/>
        </w:numPr>
        <w:tabs>
          <w:tab w:pos="785" w:val="left" w:leader="none"/>
        </w:tabs>
        <w:spacing w:line="208" w:lineRule="auto" w:before="240" w:after="0"/>
        <w:ind w:left="360" w:right="1645" w:firstLine="0"/>
        <w:jc w:val="left"/>
        <w:rPr>
          <w:sz w:val="24"/>
        </w:rPr>
      </w:pPr>
      <w:r>
        <w:rPr>
          <w:sz w:val="24"/>
        </w:rPr>
        <w:t>Independent living is defined as control of one's life based on the choice of acceptable</w:t>
      </w:r>
      <w:r>
        <w:rPr>
          <w:spacing w:val="-3"/>
          <w:sz w:val="24"/>
        </w:rPr>
        <w:t> </w:t>
      </w:r>
      <w:r>
        <w:rPr>
          <w:sz w:val="24"/>
        </w:rPr>
        <w:t>options</w:t>
      </w:r>
      <w:r>
        <w:rPr>
          <w:spacing w:val="-4"/>
          <w:sz w:val="24"/>
        </w:rPr>
        <w:t> </w:t>
      </w:r>
      <w:r>
        <w:rPr>
          <w:sz w:val="24"/>
        </w:rPr>
        <w:t>which</w:t>
      </w:r>
      <w:r>
        <w:rPr>
          <w:spacing w:val="-4"/>
          <w:sz w:val="24"/>
        </w:rPr>
        <w:t> </w:t>
      </w:r>
      <w:r>
        <w:rPr>
          <w:sz w:val="24"/>
        </w:rPr>
        <w:t>minimize</w:t>
      </w:r>
      <w:r>
        <w:rPr>
          <w:spacing w:val="-4"/>
          <w:sz w:val="24"/>
        </w:rPr>
        <w:t> </w:t>
      </w:r>
      <w:r>
        <w:rPr>
          <w:sz w:val="24"/>
        </w:rPr>
        <w:t>reliance</w:t>
      </w:r>
      <w:r>
        <w:rPr>
          <w:spacing w:val="-3"/>
          <w:sz w:val="24"/>
        </w:rPr>
        <w:t> </w:t>
      </w:r>
      <w:r>
        <w:rPr>
          <w:sz w:val="24"/>
        </w:rPr>
        <w:t>on</w:t>
      </w:r>
      <w:r>
        <w:rPr>
          <w:spacing w:val="-4"/>
          <w:sz w:val="24"/>
        </w:rPr>
        <w:t> </w:t>
      </w:r>
      <w:r>
        <w:rPr>
          <w:sz w:val="24"/>
        </w:rPr>
        <w:t>others</w:t>
      </w:r>
      <w:r>
        <w:rPr>
          <w:spacing w:val="-4"/>
          <w:sz w:val="24"/>
        </w:rPr>
        <w:t> </w:t>
      </w:r>
      <w:r>
        <w:rPr>
          <w:sz w:val="24"/>
        </w:rPr>
        <w:t>in</w:t>
      </w:r>
      <w:r>
        <w:rPr>
          <w:spacing w:val="-4"/>
          <w:sz w:val="24"/>
        </w:rPr>
        <w:t> </w:t>
      </w:r>
      <w:r>
        <w:rPr>
          <w:sz w:val="24"/>
        </w:rPr>
        <w:t>decision</w:t>
      </w:r>
      <w:r>
        <w:rPr>
          <w:spacing w:val="-4"/>
          <w:sz w:val="24"/>
        </w:rPr>
        <w:t> </w:t>
      </w:r>
      <w:r>
        <w:rPr>
          <w:sz w:val="24"/>
        </w:rPr>
        <w:t>making</w:t>
      </w:r>
      <w:r>
        <w:rPr>
          <w:spacing w:val="-4"/>
          <w:sz w:val="24"/>
        </w:rPr>
        <w:t> </w:t>
      </w:r>
      <w:r>
        <w:rPr>
          <w:sz w:val="24"/>
        </w:rPr>
        <w:t>and</w:t>
      </w:r>
      <w:r>
        <w:rPr>
          <w:spacing w:val="-4"/>
          <w:sz w:val="24"/>
        </w:rPr>
        <w:t> </w:t>
      </w:r>
      <w:r>
        <w:rPr>
          <w:sz w:val="24"/>
        </w:rPr>
        <w:t>in performing every day activities.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7-1-04</w:t>
      </w:r>
      <w:r>
        <w:rPr>
          <w:sz w:val="22"/>
        </w:rPr>
        <w:tab/>
        <w:t>PT Memo #05-01</w:t>
      </w:r>
    </w:p>
    <w:p>
      <w:pPr>
        <w:spacing w:after="0"/>
        <w:jc w:val="left"/>
        <w:rPr>
          <w:sz w:val="22"/>
        </w:rPr>
        <w:sectPr>
          <w:pgSz w:w="12240" w:h="15840"/>
          <w:pgMar w:top="1340" w:bottom="280" w:left="1080" w:right="720"/>
        </w:sectPr>
      </w:pPr>
    </w:p>
    <w:p>
      <w:pPr>
        <w:spacing w:before="80"/>
        <w:ind w:left="1439" w:right="0" w:firstLine="0"/>
        <w:jc w:val="left"/>
        <w:rPr>
          <w:sz w:val="22"/>
        </w:rPr>
      </w:pPr>
      <w:r>
        <w:rPr>
          <w:sz w:val="22"/>
        </w:rPr>
        <w:t>Permanent,</w:t>
      </w:r>
      <w:r>
        <w:rPr>
          <w:spacing w:val="-9"/>
          <w:sz w:val="22"/>
        </w:rPr>
        <w:t> </w:t>
      </w:r>
      <w:r>
        <w:rPr>
          <w:sz w:val="22"/>
        </w:rPr>
        <w:t>removed</w:t>
      </w:r>
      <w:r>
        <w:rPr>
          <w:spacing w:val="-10"/>
          <w:sz w:val="22"/>
        </w:rPr>
        <w:t> </w:t>
      </w:r>
      <w:r>
        <w:rPr>
          <w:sz w:val="22"/>
        </w:rPr>
        <w:t>procedures</w:t>
      </w:r>
      <w:r>
        <w:rPr>
          <w:spacing w:val="-10"/>
          <w:sz w:val="22"/>
        </w:rPr>
        <w:t> </w:t>
      </w:r>
      <w:r>
        <w:rPr>
          <w:sz w:val="22"/>
        </w:rPr>
        <w:t>from</w:t>
      </w:r>
      <w:r>
        <w:rPr>
          <w:spacing w:val="-11"/>
          <w:sz w:val="22"/>
        </w:rPr>
        <w:t> </w:t>
      </w:r>
      <w:r>
        <w:rPr>
          <w:spacing w:val="-2"/>
          <w:sz w:val="22"/>
        </w:rPr>
        <w:t>policy</w:t>
      </w:r>
    </w:p>
    <w:p>
      <w:pPr>
        <w:tabs>
          <w:tab w:pos="1439" w:val="left" w:leader="none"/>
        </w:tabs>
        <w:spacing w:before="0"/>
        <w:ind w:left="1439" w:right="929" w:hanging="1080"/>
        <w:jc w:val="left"/>
        <w:rPr>
          <w:sz w:val="22"/>
        </w:rPr>
      </w:pPr>
      <w:r>
        <w:rPr>
          <w:spacing w:val="-2"/>
          <w:sz w:val="22"/>
        </w:rPr>
        <w:t>9-14-18</w:t>
      </w:r>
      <w:r>
        <w:rPr>
          <w:sz w:val="22"/>
        </w:rPr>
        <w:tab/>
        <w:t>Updated</w:t>
      </w:r>
      <w:r>
        <w:rPr>
          <w:spacing w:val="-5"/>
          <w:sz w:val="22"/>
        </w:rPr>
        <w:t> </w:t>
      </w:r>
      <w:r>
        <w:rPr>
          <w:sz w:val="22"/>
        </w:rPr>
        <w:t>language</w:t>
      </w:r>
      <w:r>
        <w:rPr>
          <w:spacing w:val="-5"/>
          <w:sz w:val="22"/>
        </w:rPr>
        <w:t> </w:t>
      </w:r>
      <w:r>
        <w:rPr>
          <w:sz w:val="22"/>
        </w:rPr>
        <w:t>to</w:t>
      </w:r>
      <w:r>
        <w:rPr>
          <w:spacing w:val="-5"/>
          <w:sz w:val="22"/>
        </w:rPr>
        <w:t> </w:t>
      </w:r>
      <w:r>
        <w:rPr>
          <w:sz w:val="22"/>
        </w:rPr>
        <w:t>clarify</w:t>
      </w:r>
      <w:r>
        <w:rPr>
          <w:spacing w:val="-5"/>
          <w:sz w:val="22"/>
        </w:rPr>
        <w:t> </w:t>
      </w:r>
      <w:r>
        <w:rPr>
          <w:sz w:val="22"/>
        </w:rPr>
        <w:t>Rehabilitation</w:t>
      </w:r>
      <w:r>
        <w:rPr>
          <w:spacing w:val="-5"/>
          <w:sz w:val="22"/>
        </w:rPr>
        <w:t> </w:t>
      </w:r>
      <w:r>
        <w:rPr>
          <w:sz w:val="22"/>
        </w:rPr>
        <w:t>Teaching</w:t>
      </w:r>
      <w:r>
        <w:rPr>
          <w:spacing w:val="-5"/>
          <w:sz w:val="22"/>
        </w:rPr>
        <w:t> </w:t>
      </w:r>
      <w:r>
        <w:rPr>
          <w:sz w:val="22"/>
        </w:rPr>
        <w:t>services</w:t>
      </w:r>
      <w:r>
        <w:rPr>
          <w:spacing w:val="-6"/>
          <w:sz w:val="22"/>
        </w:rPr>
        <w:t> </w:t>
      </w:r>
      <w:r>
        <w:rPr>
          <w:sz w:val="22"/>
        </w:rPr>
        <w:t>may</w:t>
      </w:r>
      <w:r>
        <w:rPr>
          <w:spacing w:val="-5"/>
          <w:sz w:val="22"/>
        </w:rPr>
        <w:t> </w:t>
      </w:r>
      <w:r>
        <w:rPr>
          <w:sz w:val="22"/>
        </w:rPr>
        <w:t>serve</w:t>
      </w:r>
      <w:r>
        <w:rPr>
          <w:spacing w:val="-5"/>
          <w:sz w:val="22"/>
        </w:rPr>
        <w:t> </w:t>
      </w:r>
      <w:r>
        <w:rPr>
          <w:sz w:val="22"/>
        </w:rPr>
        <w:t>individuals with severe visual impairments in addition to individuals who are legally blind.</w:t>
      </w:r>
    </w:p>
    <w:p>
      <w:pPr>
        <w:spacing w:after="0"/>
        <w:jc w:val="left"/>
        <w:rPr>
          <w:sz w:val="22"/>
        </w:rPr>
        <w:sectPr>
          <w:pgSz w:w="12240" w:h="15840"/>
          <w:pgMar w:top="1360" w:bottom="280" w:left="1080" w:right="720"/>
        </w:sectPr>
      </w:pPr>
    </w:p>
    <w:p>
      <w:pPr>
        <w:pStyle w:val="Heading2"/>
      </w:pPr>
      <w:bookmarkStart w:name="612:10-9-2.  Consumer rights" w:id="243"/>
      <w:bookmarkEnd w:id="243"/>
      <w:r>
        <w:rPr>
          <w:b w:val="0"/>
        </w:rPr>
      </w:r>
      <w:r>
        <w:rPr/>
        <w:t>612:10-9-2.</w:t>
      </w:r>
      <w:r>
        <w:rPr>
          <w:spacing w:val="58"/>
        </w:rPr>
        <w:t> </w:t>
      </w:r>
      <w:r>
        <w:rPr/>
        <w:t>Consumer</w:t>
      </w:r>
      <w:r>
        <w:rPr>
          <w:spacing w:val="-4"/>
        </w:rPr>
        <w:t> </w:t>
      </w:r>
      <w:r>
        <w:rPr>
          <w:spacing w:val="-2"/>
        </w:rPr>
        <w:t>rights</w:t>
      </w:r>
    </w:p>
    <w:p>
      <w:pPr>
        <w:pStyle w:val="ListParagraph"/>
        <w:numPr>
          <w:ilvl w:val="0"/>
          <w:numId w:val="262"/>
        </w:numPr>
        <w:tabs>
          <w:tab w:pos="786" w:val="left" w:leader="none"/>
        </w:tabs>
        <w:spacing w:line="208" w:lineRule="auto" w:before="233" w:after="0"/>
        <w:ind w:left="360" w:right="751" w:firstLine="0"/>
        <w:jc w:val="left"/>
        <w:rPr>
          <w:sz w:val="24"/>
        </w:rPr>
      </w:pPr>
      <w:r>
        <w:rPr>
          <w:b/>
          <w:sz w:val="24"/>
        </w:rPr>
        <w:t>Rights. </w:t>
      </w:r>
      <w:r>
        <w:rPr>
          <w:sz w:val="24"/>
        </w:rPr>
        <w:t>Each person applying for services will be given full consideration of his/her needs as they relate to the Rehabilitation Teaching Program. No one will be denied services based on his/her age, race, sex, creed, color, or national origin. Each consumer</w:t>
      </w:r>
      <w:r>
        <w:rPr>
          <w:spacing w:val="-4"/>
          <w:sz w:val="24"/>
        </w:rPr>
        <w:t> </w:t>
      </w:r>
      <w:r>
        <w:rPr>
          <w:sz w:val="24"/>
        </w:rPr>
        <w:t>determined</w:t>
      </w:r>
      <w:r>
        <w:rPr>
          <w:spacing w:val="-4"/>
          <w:sz w:val="24"/>
        </w:rPr>
        <w:t> </w:t>
      </w:r>
      <w:r>
        <w:rPr>
          <w:sz w:val="24"/>
        </w:rPr>
        <w:t>eligible</w:t>
      </w:r>
      <w:r>
        <w:rPr>
          <w:spacing w:val="-5"/>
          <w:sz w:val="24"/>
        </w:rPr>
        <w:t> </w:t>
      </w:r>
      <w:r>
        <w:rPr>
          <w:sz w:val="24"/>
        </w:rPr>
        <w:t>for</w:t>
      </w:r>
      <w:r>
        <w:rPr>
          <w:spacing w:val="-4"/>
          <w:sz w:val="24"/>
        </w:rPr>
        <w:t> </w:t>
      </w:r>
      <w:r>
        <w:rPr>
          <w:sz w:val="24"/>
        </w:rPr>
        <w:t>services</w:t>
      </w:r>
      <w:r>
        <w:rPr>
          <w:spacing w:val="-5"/>
          <w:sz w:val="24"/>
        </w:rPr>
        <w:t> </w:t>
      </w:r>
      <w:r>
        <w:rPr>
          <w:sz w:val="24"/>
        </w:rPr>
        <w:t>through</w:t>
      </w:r>
      <w:r>
        <w:rPr>
          <w:spacing w:val="-5"/>
          <w:sz w:val="24"/>
        </w:rPr>
        <w:t> </w:t>
      </w:r>
      <w:r>
        <w:rPr>
          <w:sz w:val="24"/>
        </w:rPr>
        <w:t>any</w:t>
      </w:r>
      <w:r>
        <w:rPr>
          <w:spacing w:val="-5"/>
          <w:sz w:val="24"/>
        </w:rPr>
        <w:t> </w:t>
      </w:r>
      <w:r>
        <w:rPr>
          <w:sz w:val="24"/>
        </w:rPr>
        <w:t>Rehabilitation</w:t>
      </w:r>
      <w:r>
        <w:rPr>
          <w:spacing w:val="-5"/>
          <w:sz w:val="24"/>
        </w:rPr>
        <w:t> </w:t>
      </w:r>
      <w:r>
        <w:rPr>
          <w:sz w:val="24"/>
        </w:rPr>
        <w:t>Teaching</w:t>
      </w:r>
      <w:r>
        <w:rPr>
          <w:spacing w:val="-4"/>
          <w:sz w:val="24"/>
        </w:rPr>
        <w:t> </w:t>
      </w:r>
      <w:r>
        <w:rPr>
          <w:sz w:val="24"/>
        </w:rPr>
        <w:t>Program has the right to participate in the development of the plan of service.</w:t>
      </w:r>
    </w:p>
    <w:p>
      <w:pPr>
        <w:pStyle w:val="ListParagraph"/>
        <w:numPr>
          <w:ilvl w:val="0"/>
          <w:numId w:val="262"/>
        </w:numPr>
        <w:tabs>
          <w:tab w:pos="786" w:val="left" w:leader="none"/>
        </w:tabs>
        <w:spacing w:line="208" w:lineRule="auto" w:before="239" w:after="0"/>
        <w:ind w:left="360" w:right="913" w:firstLine="0"/>
        <w:jc w:val="left"/>
        <w:rPr>
          <w:sz w:val="24"/>
        </w:rPr>
      </w:pPr>
      <w:r>
        <w:rPr>
          <w:b/>
          <w:sz w:val="24"/>
        </w:rPr>
        <w:t>Right of appeal. </w:t>
      </w:r>
      <w:r>
        <w:rPr>
          <w:sz w:val="24"/>
        </w:rPr>
        <w:t>The consumer has the right to appeal the decision of the rehabilitation</w:t>
      </w:r>
      <w:r>
        <w:rPr>
          <w:spacing w:val="-4"/>
          <w:sz w:val="24"/>
        </w:rPr>
        <w:t> </w:t>
      </w:r>
      <w:r>
        <w:rPr>
          <w:sz w:val="24"/>
        </w:rPr>
        <w:t>teacher,</w:t>
      </w:r>
      <w:r>
        <w:rPr>
          <w:spacing w:val="-3"/>
          <w:sz w:val="24"/>
        </w:rPr>
        <w:t> </w:t>
      </w:r>
      <w:r>
        <w:rPr>
          <w:sz w:val="24"/>
        </w:rPr>
        <w:t>in</w:t>
      </w:r>
      <w:r>
        <w:rPr>
          <w:spacing w:val="-4"/>
          <w:sz w:val="24"/>
        </w:rPr>
        <w:t> </w:t>
      </w:r>
      <w:r>
        <w:rPr>
          <w:sz w:val="24"/>
        </w:rPr>
        <w:t>accordance</w:t>
      </w:r>
      <w:r>
        <w:rPr>
          <w:spacing w:val="-4"/>
          <w:sz w:val="24"/>
        </w:rPr>
        <w:t> </w:t>
      </w:r>
      <w:r>
        <w:rPr>
          <w:sz w:val="24"/>
        </w:rPr>
        <w:t>with</w:t>
      </w:r>
      <w:r>
        <w:rPr>
          <w:spacing w:val="-4"/>
          <w:sz w:val="24"/>
        </w:rPr>
        <w:t> </w:t>
      </w:r>
      <w:r>
        <w:rPr>
          <w:sz w:val="24"/>
        </w:rPr>
        <w:t>DRS</w:t>
      </w:r>
      <w:r>
        <w:rPr>
          <w:spacing w:val="-4"/>
          <w:sz w:val="24"/>
        </w:rPr>
        <w:t> </w:t>
      </w:r>
      <w:r>
        <w:rPr>
          <w:sz w:val="24"/>
        </w:rPr>
        <w:t>policy</w:t>
      </w:r>
      <w:r>
        <w:rPr>
          <w:spacing w:val="-4"/>
          <w:sz w:val="24"/>
        </w:rPr>
        <w:t> </w:t>
      </w:r>
      <w:r>
        <w:rPr>
          <w:sz w:val="24"/>
        </w:rPr>
        <w:t>on</w:t>
      </w:r>
      <w:r>
        <w:rPr>
          <w:spacing w:val="-3"/>
          <w:sz w:val="24"/>
        </w:rPr>
        <w:t> </w:t>
      </w:r>
      <w:r>
        <w:rPr>
          <w:sz w:val="24"/>
        </w:rPr>
        <w:t>due</w:t>
      </w:r>
      <w:r>
        <w:rPr>
          <w:spacing w:val="-4"/>
          <w:sz w:val="24"/>
        </w:rPr>
        <w:t> </w:t>
      </w:r>
      <w:r>
        <w:rPr>
          <w:sz w:val="24"/>
        </w:rPr>
        <w:t>process.</w:t>
      </w:r>
      <w:r>
        <w:rPr>
          <w:spacing w:val="-3"/>
          <w:sz w:val="24"/>
        </w:rPr>
        <w:t> </w:t>
      </w:r>
      <w:r>
        <w:rPr>
          <w:b/>
          <w:sz w:val="24"/>
        </w:rPr>
        <w:t>1</w:t>
      </w:r>
      <w:r>
        <w:rPr>
          <w:b/>
          <w:spacing w:val="-5"/>
          <w:sz w:val="24"/>
        </w:rPr>
        <w:t> </w:t>
      </w:r>
      <w:r>
        <w:rPr>
          <w:sz w:val="24"/>
        </w:rPr>
        <w:t>The</w:t>
      </w:r>
      <w:r>
        <w:rPr>
          <w:spacing w:val="-4"/>
          <w:sz w:val="24"/>
        </w:rPr>
        <w:t> </w:t>
      </w:r>
      <w:r>
        <w:rPr>
          <w:sz w:val="24"/>
        </w:rPr>
        <w:t>teacher</w:t>
      </w:r>
      <w:r>
        <w:rPr>
          <w:spacing w:val="-3"/>
          <w:sz w:val="24"/>
        </w:rPr>
        <w:t> </w:t>
      </w:r>
      <w:r>
        <w:rPr>
          <w:sz w:val="24"/>
        </w:rPr>
        <w:t>is required to advise the consumer of the Client Assistance Program (CAP) and will provide copies of such brochures in consumer's chosen format.</w:t>
      </w:r>
    </w:p>
    <w:p>
      <w:pPr>
        <w:pStyle w:val="BodyText"/>
        <w:spacing w:before="211"/>
      </w:pPr>
      <w:r>
        <w:rPr/>
        <w:t>INSTRUCTIONS</w:t>
      </w:r>
      <w:r>
        <w:rPr>
          <w:spacing w:val="-3"/>
        </w:rPr>
        <w:t> </w:t>
      </w:r>
      <w:r>
        <w:rPr/>
        <w:t>TO</w:t>
      </w:r>
      <w:r>
        <w:rPr>
          <w:spacing w:val="-2"/>
        </w:rPr>
        <w:t> </w:t>
      </w:r>
      <w:r>
        <w:rPr>
          <w:spacing w:val="-4"/>
        </w:rPr>
        <w:t>STAFF</w:t>
      </w:r>
    </w:p>
    <w:p>
      <w:pPr>
        <w:pStyle w:val="BodyText"/>
        <w:spacing w:before="204"/>
        <w:ind w:left="791"/>
      </w:pPr>
      <w:r>
        <w:rPr/>
        <w:t>1.</w:t>
      </w:r>
      <w:r>
        <w:rPr>
          <w:spacing w:val="18"/>
        </w:rPr>
        <w:t> </w:t>
      </w:r>
      <w:r>
        <w:rPr/>
        <w:t>Link</w:t>
      </w:r>
      <w:r>
        <w:rPr>
          <w:spacing w:val="-3"/>
        </w:rPr>
        <w:t> </w:t>
      </w:r>
      <w:r>
        <w:rPr/>
        <w:t>to</w:t>
      </w:r>
      <w:r>
        <w:rPr>
          <w:spacing w:val="-2"/>
        </w:rPr>
        <w:t> </w:t>
      </w:r>
      <w:hyperlink w:history="true" w:anchor="_bookmark4">
        <w:r>
          <w:rPr>
            <w:color w:val="0000FF"/>
            <w:u w:val="single" w:color="0000FF"/>
          </w:rPr>
          <w:t>612:10-1-6</w:t>
        </w:r>
      </w:hyperlink>
      <w:r>
        <w:rPr>
          <w:color w:val="0000FF"/>
          <w:spacing w:val="-2"/>
          <w:u w:val="none"/>
        </w:rPr>
        <w:t> </w:t>
      </w:r>
      <w:r>
        <w:rPr>
          <w:u w:val="none"/>
        </w:rPr>
        <w:t>Due</w:t>
      </w:r>
      <w:r>
        <w:rPr>
          <w:spacing w:val="-2"/>
          <w:u w:val="none"/>
        </w:rPr>
        <w:t> process.</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7-1-04</w:t>
      </w:r>
      <w:r>
        <w:rPr>
          <w:sz w:val="22"/>
        </w:rPr>
        <w:tab/>
        <w:t>PT Memo #05-01</w:t>
      </w:r>
    </w:p>
    <w:p>
      <w:pPr>
        <w:tabs>
          <w:tab w:pos="1439" w:val="left" w:leader="none"/>
        </w:tabs>
        <w:spacing w:before="1"/>
        <w:ind w:left="359" w:right="6038" w:firstLine="1080"/>
        <w:jc w:val="left"/>
        <w:rPr>
          <w:sz w:val="22"/>
        </w:rPr>
      </w:pPr>
      <w:r>
        <w:rPr>
          <w:sz w:val="22"/>
        </w:rPr>
        <w:t>Permanent,</w:t>
      </w:r>
      <w:r>
        <w:rPr>
          <w:spacing w:val="-16"/>
          <w:sz w:val="22"/>
        </w:rPr>
        <w:t> </w:t>
      </w:r>
      <w:r>
        <w:rPr>
          <w:sz w:val="22"/>
        </w:rPr>
        <w:t>updated</w:t>
      </w:r>
      <w:r>
        <w:rPr>
          <w:spacing w:val="-15"/>
          <w:sz w:val="22"/>
        </w:rPr>
        <w:t> </w:t>
      </w:r>
      <w:r>
        <w:rPr>
          <w:sz w:val="22"/>
        </w:rPr>
        <w:t>language </w:t>
      </w:r>
      <w:r>
        <w:rPr>
          <w:spacing w:val="-2"/>
          <w:sz w:val="22"/>
        </w:rPr>
        <w:t>7-1-07</w:t>
      </w:r>
      <w:r>
        <w:rPr>
          <w:sz w:val="22"/>
        </w:rPr>
        <w:tab/>
        <w:t>PT Memo #08-01</w:t>
      </w:r>
    </w:p>
    <w:p>
      <w:pPr>
        <w:spacing w:line="252" w:lineRule="exact" w:before="0"/>
        <w:ind w:left="1439" w:right="0" w:firstLine="0"/>
        <w:jc w:val="left"/>
        <w:rPr>
          <w:sz w:val="22"/>
        </w:rPr>
      </w:pPr>
      <w:r>
        <w:rPr>
          <w:sz w:val="22"/>
        </w:rPr>
        <w:t>Permanent,</w:t>
      </w:r>
      <w:r>
        <w:rPr>
          <w:spacing w:val="-8"/>
          <w:sz w:val="22"/>
        </w:rPr>
        <w:t> </w:t>
      </w:r>
      <w:r>
        <w:rPr>
          <w:sz w:val="22"/>
        </w:rPr>
        <w:t>changing</w:t>
      </w:r>
      <w:r>
        <w:rPr>
          <w:spacing w:val="-8"/>
          <w:sz w:val="22"/>
        </w:rPr>
        <w:t> </w:t>
      </w:r>
      <w:r>
        <w:rPr>
          <w:sz w:val="22"/>
        </w:rPr>
        <w:t>teacher</w:t>
      </w:r>
      <w:r>
        <w:rPr>
          <w:spacing w:val="-8"/>
          <w:sz w:val="22"/>
        </w:rPr>
        <w:t> </w:t>
      </w:r>
      <w:r>
        <w:rPr>
          <w:sz w:val="22"/>
        </w:rPr>
        <w:t>to</w:t>
      </w:r>
      <w:r>
        <w:rPr>
          <w:spacing w:val="-8"/>
          <w:sz w:val="22"/>
        </w:rPr>
        <w:t> </w:t>
      </w:r>
      <w:r>
        <w:rPr>
          <w:spacing w:val="-2"/>
          <w:sz w:val="22"/>
        </w:rPr>
        <w:t>specialist.</w:t>
      </w:r>
    </w:p>
    <w:p>
      <w:pPr>
        <w:pStyle w:val="ListParagraph"/>
        <w:numPr>
          <w:ilvl w:val="2"/>
          <w:numId w:val="263"/>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before="0"/>
        <w:ind w:left="1439" w:right="0" w:firstLine="0"/>
        <w:jc w:val="left"/>
        <w:rPr>
          <w:sz w:val="22"/>
        </w:rPr>
      </w:pPr>
      <w:r>
        <w:rPr>
          <w:sz w:val="22"/>
        </w:rPr>
        <w:t>Permanent,</w:t>
      </w:r>
      <w:r>
        <w:rPr>
          <w:spacing w:val="-10"/>
          <w:sz w:val="22"/>
        </w:rPr>
        <w:t> </w:t>
      </w:r>
      <w:r>
        <w:rPr>
          <w:sz w:val="22"/>
        </w:rPr>
        <w:t>updating</w:t>
      </w:r>
      <w:r>
        <w:rPr>
          <w:spacing w:val="-11"/>
          <w:sz w:val="22"/>
        </w:rPr>
        <w:t> </w:t>
      </w:r>
      <w:r>
        <w:rPr>
          <w:spacing w:val="-2"/>
          <w:sz w:val="22"/>
        </w:rPr>
        <w:t>language</w:t>
      </w:r>
    </w:p>
    <w:p>
      <w:pPr>
        <w:tabs>
          <w:tab w:pos="1439" w:val="left" w:leader="none"/>
        </w:tabs>
        <w:spacing w:before="0"/>
        <w:ind w:left="1439" w:right="867" w:hanging="1080"/>
        <w:jc w:val="left"/>
        <w:rPr>
          <w:sz w:val="22"/>
        </w:rPr>
      </w:pPr>
      <w:r>
        <w:rPr>
          <w:spacing w:val="-2"/>
          <w:sz w:val="22"/>
        </w:rPr>
        <w:t>9-14-18</w:t>
      </w:r>
      <w:r>
        <w:rPr>
          <w:sz w:val="22"/>
        </w:rPr>
        <w:tab/>
        <w:t>Updated language to indicate Rehabilitation Teachers no longer manage Homemaker employment cases, but clients retain the right to participate in the development</w:t>
      </w:r>
      <w:r>
        <w:rPr>
          <w:spacing w:val="-4"/>
          <w:sz w:val="22"/>
        </w:rPr>
        <w:t> </w:t>
      </w:r>
      <w:r>
        <w:rPr>
          <w:sz w:val="22"/>
        </w:rPr>
        <w:t>of</w:t>
      </w:r>
      <w:r>
        <w:rPr>
          <w:spacing w:val="-4"/>
          <w:sz w:val="22"/>
        </w:rPr>
        <w:t> </w:t>
      </w:r>
      <w:r>
        <w:rPr>
          <w:sz w:val="22"/>
        </w:rPr>
        <w:t>their</w:t>
      </w:r>
      <w:r>
        <w:rPr>
          <w:spacing w:val="-4"/>
          <w:sz w:val="22"/>
        </w:rPr>
        <w:t> </w:t>
      </w:r>
      <w:r>
        <w:rPr>
          <w:sz w:val="22"/>
        </w:rPr>
        <w:t>plans</w:t>
      </w:r>
      <w:r>
        <w:rPr>
          <w:spacing w:val="-4"/>
          <w:sz w:val="22"/>
        </w:rPr>
        <w:t> </w:t>
      </w:r>
      <w:r>
        <w:rPr>
          <w:sz w:val="22"/>
        </w:rPr>
        <w:t>of</w:t>
      </w:r>
      <w:r>
        <w:rPr>
          <w:spacing w:val="-4"/>
          <w:sz w:val="22"/>
        </w:rPr>
        <w:t> </w:t>
      </w:r>
      <w:r>
        <w:rPr>
          <w:sz w:val="22"/>
        </w:rPr>
        <w:t>services</w:t>
      </w:r>
      <w:r>
        <w:rPr>
          <w:spacing w:val="-4"/>
          <w:sz w:val="22"/>
        </w:rPr>
        <w:t> </w:t>
      </w:r>
      <w:r>
        <w:rPr>
          <w:sz w:val="22"/>
        </w:rPr>
        <w:t>provided</w:t>
      </w:r>
      <w:r>
        <w:rPr>
          <w:spacing w:val="-5"/>
          <w:sz w:val="22"/>
        </w:rPr>
        <w:t> </w:t>
      </w:r>
      <w:r>
        <w:rPr>
          <w:sz w:val="22"/>
        </w:rPr>
        <w:t>through</w:t>
      </w:r>
      <w:r>
        <w:rPr>
          <w:spacing w:val="-4"/>
          <w:sz w:val="22"/>
        </w:rPr>
        <w:t> </w:t>
      </w:r>
      <w:r>
        <w:rPr>
          <w:sz w:val="22"/>
        </w:rPr>
        <w:t>the</w:t>
      </w:r>
      <w:r>
        <w:rPr>
          <w:spacing w:val="-5"/>
          <w:sz w:val="22"/>
        </w:rPr>
        <w:t> </w:t>
      </w:r>
      <w:r>
        <w:rPr>
          <w:sz w:val="22"/>
        </w:rPr>
        <w:t>Rehabilitation</w:t>
      </w:r>
      <w:r>
        <w:rPr>
          <w:spacing w:val="-4"/>
          <w:sz w:val="22"/>
        </w:rPr>
        <w:t> </w:t>
      </w:r>
      <w:r>
        <w:rPr>
          <w:sz w:val="22"/>
        </w:rPr>
        <w:t>Teaching </w:t>
      </w:r>
      <w:r>
        <w:rPr>
          <w:spacing w:val="-2"/>
          <w:sz w:val="22"/>
        </w:rPr>
        <w:t>Program.</w:t>
      </w:r>
    </w:p>
    <w:p>
      <w:pPr>
        <w:spacing w:after="0"/>
        <w:jc w:val="left"/>
        <w:rPr>
          <w:sz w:val="22"/>
        </w:rPr>
        <w:sectPr>
          <w:pgSz w:w="12240" w:h="15840"/>
          <w:pgMar w:top="1340" w:bottom="280" w:left="1080" w:right="720"/>
        </w:sectPr>
      </w:pPr>
    </w:p>
    <w:p>
      <w:pPr>
        <w:pStyle w:val="Heading2"/>
      </w:pPr>
      <w:bookmarkStart w:name="612:10-9-3.  Rehabilitation teacher's ro" w:id="244"/>
      <w:bookmarkEnd w:id="244"/>
      <w:r>
        <w:rPr>
          <w:b w:val="0"/>
        </w:rPr>
      </w:r>
      <w:r>
        <w:rPr/>
        <w:t>612:10-9-3.</w:t>
      </w:r>
      <w:r>
        <w:rPr>
          <w:spacing w:val="55"/>
        </w:rPr>
        <w:t> </w:t>
      </w:r>
      <w:r>
        <w:rPr/>
        <w:t>Rehabilitation</w:t>
      </w:r>
      <w:r>
        <w:rPr>
          <w:spacing w:val="-5"/>
        </w:rPr>
        <w:t> </w:t>
      </w:r>
      <w:r>
        <w:rPr/>
        <w:t>teacher</w:t>
      </w:r>
      <w:r>
        <w:rPr>
          <w:b w:val="0"/>
        </w:rPr>
        <w:t>'</w:t>
      </w:r>
      <w:r>
        <w:rPr/>
        <w:t>s</w:t>
      </w:r>
      <w:r>
        <w:rPr>
          <w:spacing w:val="-5"/>
        </w:rPr>
        <w:t> </w:t>
      </w:r>
      <w:r>
        <w:rPr>
          <w:spacing w:val="-4"/>
        </w:rPr>
        <w:t>role</w:t>
      </w:r>
    </w:p>
    <w:p>
      <w:pPr>
        <w:pStyle w:val="ListParagraph"/>
        <w:numPr>
          <w:ilvl w:val="0"/>
          <w:numId w:val="264"/>
        </w:numPr>
        <w:tabs>
          <w:tab w:pos="786" w:val="left" w:leader="none"/>
        </w:tabs>
        <w:spacing w:line="208" w:lineRule="auto" w:before="233" w:after="0"/>
        <w:ind w:left="360" w:right="779" w:firstLine="0"/>
        <w:jc w:val="left"/>
        <w:rPr>
          <w:sz w:val="24"/>
        </w:rPr>
      </w:pPr>
      <w:r>
        <w:rPr>
          <w:sz w:val="24"/>
        </w:rPr>
        <w:t>The primary goal of the rehabilitation teacher is to provide evaluation, instruction, and guidance to assist individuals who are legally blind or severely visually impaired to live more independently with their loss of vision. </w:t>
      </w:r>
      <w:r>
        <w:rPr>
          <w:b/>
          <w:sz w:val="24"/>
        </w:rPr>
        <w:t>1 </w:t>
      </w:r>
      <w:r>
        <w:rPr>
          <w:sz w:val="24"/>
        </w:rPr>
        <w:t>Services through the Rehabilitation Teaching</w:t>
      </w:r>
      <w:r>
        <w:rPr>
          <w:spacing w:val="-3"/>
          <w:sz w:val="24"/>
        </w:rPr>
        <w:t> </w:t>
      </w:r>
      <w:r>
        <w:rPr>
          <w:sz w:val="24"/>
        </w:rPr>
        <w:t>Program</w:t>
      </w:r>
      <w:r>
        <w:rPr>
          <w:spacing w:val="-2"/>
          <w:sz w:val="24"/>
        </w:rPr>
        <w:t> </w:t>
      </w:r>
      <w:r>
        <w:rPr>
          <w:sz w:val="24"/>
        </w:rPr>
        <w:t>can</w:t>
      </w:r>
      <w:r>
        <w:rPr>
          <w:spacing w:val="-4"/>
          <w:sz w:val="24"/>
        </w:rPr>
        <w:t> </w:t>
      </w:r>
      <w:r>
        <w:rPr>
          <w:sz w:val="24"/>
        </w:rPr>
        <w:t>be</w:t>
      </w:r>
      <w:r>
        <w:rPr>
          <w:spacing w:val="-3"/>
          <w:sz w:val="24"/>
        </w:rPr>
        <w:t> </w:t>
      </w:r>
      <w:r>
        <w:rPr>
          <w:sz w:val="24"/>
        </w:rPr>
        <w:t>provided</w:t>
      </w:r>
      <w:r>
        <w:rPr>
          <w:spacing w:val="-3"/>
          <w:sz w:val="24"/>
        </w:rPr>
        <w:t> </w:t>
      </w:r>
      <w:r>
        <w:rPr>
          <w:sz w:val="24"/>
        </w:rPr>
        <w:t>through</w:t>
      </w:r>
      <w:r>
        <w:rPr>
          <w:spacing w:val="-3"/>
          <w:sz w:val="24"/>
        </w:rPr>
        <w:t> </w:t>
      </w:r>
      <w:r>
        <w:rPr>
          <w:sz w:val="24"/>
        </w:rPr>
        <w:t>Title</w:t>
      </w:r>
      <w:r>
        <w:rPr>
          <w:spacing w:val="-3"/>
          <w:sz w:val="24"/>
        </w:rPr>
        <w:t> </w:t>
      </w:r>
      <w:r>
        <w:rPr>
          <w:sz w:val="24"/>
        </w:rPr>
        <w:t>I</w:t>
      </w:r>
      <w:r>
        <w:rPr>
          <w:spacing w:val="-2"/>
          <w:sz w:val="24"/>
        </w:rPr>
        <w:t> </w:t>
      </w:r>
      <w:r>
        <w:rPr>
          <w:sz w:val="24"/>
        </w:rPr>
        <w:t>as</w:t>
      </w:r>
      <w:r>
        <w:rPr>
          <w:spacing w:val="-3"/>
          <w:sz w:val="24"/>
        </w:rPr>
        <w:t> </w:t>
      </w:r>
      <w:r>
        <w:rPr>
          <w:sz w:val="24"/>
        </w:rPr>
        <w:t>a</w:t>
      </w:r>
      <w:r>
        <w:rPr>
          <w:spacing w:val="-3"/>
          <w:sz w:val="24"/>
        </w:rPr>
        <w:t> </w:t>
      </w:r>
      <w:r>
        <w:rPr>
          <w:sz w:val="24"/>
        </w:rPr>
        <w:t>joint</w:t>
      </w:r>
      <w:r>
        <w:rPr>
          <w:spacing w:val="-2"/>
          <w:sz w:val="24"/>
        </w:rPr>
        <w:t> </w:t>
      </w:r>
      <w:r>
        <w:rPr>
          <w:sz w:val="24"/>
        </w:rPr>
        <w:t>case</w:t>
      </w:r>
      <w:r>
        <w:rPr>
          <w:spacing w:val="-3"/>
          <w:sz w:val="24"/>
        </w:rPr>
        <w:t> </w:t>
      </w:r>
      <w:r>
        <w:rPr>
          <w:sz w:val="24"/>
        </w:rPr>
        <w:t>with</w:t>
      </w:r>
      <w:r>
        <w:rPr>
          <w:spacing w:val="-3"/>
          <w:sz w:val="24"/>
        </w:rPr>
        <w:t> </w:t>
      </w:r>
      <w:r>
        <w:rPr>
          <w:sz w:val="24"/>
        </w:rPr>
        <w:t>the</w:t>
      </w:r>
      <w:r>
        <w:rPr>
          <w:spacing w:val="-3"/>
          <w:sz w:val="24"/>
        </w:rPr>
        <w:t> </w:t>
      </w:r>
      <w:r>
        <w:rPr>
          <w:sz w:val="24"/>
        </w:rPr>
        <w:t>Rehabilitation Counselor, or through the Older Blind Program outlined in Subchapter 11.</w:t>
      </w:r>
    </w:p>
    <w:p>
      <w:pPr>
        <w:pStyle w:val="ListParagraph"/>
        <w:numPr>
          <w:ilvl w:val="0"/>
          <w:numId w:val="264"/>
        </w:numPr>
        <w:tabs>
          <w:tab w:pos="786" w:val="left" w:leader="none"/>
        </w:tabs>
        <w:spacing w:line="208" w:lineRule="auto" w:before="239" w:after="0"/>
        <w:ind w:left="360" w:right="1608" w:firstLine="0"/>
        <w:jc w:val="left"/>
        <w:rPr>
          <w:b/>
          <w:sz w:val="24"/>
        </w:rPr>
      </w:pPr>
      <w:r>
        <w:rPr>
          <w:b/>
          <w:sz w:val="24"/>
        </w:rPr>
        <w:t>Confidentiality</w:t>
      </w:r>
      <w:r>
        <w:rPr>
          <w:sz w:val="24"/>
        </w:rPr>
        <w:t>.</w:t>
      </w:r>
      <w:r>
        <w:rPr>
          <w:spacing w:val="40"/>
          <w:sz w:val="24"/>
        </w:rPr>
        <w:t> </w:t>
      </w:r>
      <w:r>
        <w:rPr>
          <w:sz w:val="24"/>
        </w:rPr>
        <w:t>All</w:t>
      </w:r>
      <w:r>
        <w:rPr>
          <w:spacing w:val="-4"/>
          <w:sz w:val="24"/>
        </w:rPr>
        <w:t> </w:t>
      </w:r>
      <w:r>
        <w:rPr>
          <w:sz w:val="24"/>
        </w:rPr>
        <w:t>consumer</w:t>
      </w:r>
      <w:r>
        <w:rPr>
          <w:spacing w:val="-3"/>
          <w:sz w:val="24"/>
        </w:rPr>
        <w:t> </w:t>
      </w:r>
      <w:r>
        <w:rPr>
          <w:sz w:val="24"/>
        </w:rPr>
        <w:t>information</w:t>
      </w:r>
      <w:r>
        <w:rPr>
          <w:spacing w:val="-4"/>
          <w:sz w:val="24"/>
        </w:rPr>
        <w:t> </w:t>
      </w:r>
      <w:r>
        <w:rPr>
          <w:sz w:val="24"/>
        </w:rPr>
        <w:t>is</w:t>
      </w:r>
      <w:r>
        <w:rPr>
          <w:spacing w:val="-4"/>
          <w:sz w:val="24"/>
        </w:rPr>
        <w:t> </w:t>
      </w:r>
      <w:r>
        <w:rPr>
          <w:sz w:val="24"/>
        </w:rPr>
        <w:t>confidential</w:t>
      </w:r>
      <w:r>
        <w:rPr>
          <w:spacing w:val="-4"/>
          <w:sz w:val="24"/>
        </w:rPr>
        <w:t> </w:t>
      </w:r>
      <w:r>
        <w:rPr>
          <w:sz w:val="24"/>
        </w:rPr>
        <w:t>and</w:t>
      </w:r>
      <w:r>
        <w:rPr>
          <w:spacing w:val="-3"/>
          <w:sz w:val="24"/>
        </w:rPr>
        <w:t> </w:t>
      </w:r>
      <w:r>
        <w:rPr>
          <w:sz w:val="24"/>
        </w:rPr>
        <w:t>will</w:t>
      </w:r>
      <w:r>
        <w:rPr>
          <w:spacing w:val="-4"/>
          <w:sz w:val="24"/>
        </w:rPr>
        <w:t> </w:t>
      </w:r>
      <w:r>
        <w:rPr>
          <w:sz w:val="24"/>
        </w:rPr>
        <w:t>be</w:t>
      </w:r>
      <w:r>
        <w:rPr>
          <w:spacing w:val="-4"/>
          <w:sz w:val="24"/>
        </w:rPr>
        <w:t> </w:t>
      </w:r>
      <w:r>
        <w:rPr>
          <w:sz w:val="24"/>
        </w:rPr>
        <w:t>treated according to DRS policy. </w:t>
      </w:r>
      <w:r>
        <w:rPr>
          <w:b/>
          <w:sz w:val="24"/>
        </w:rPr>
        <w:t>2</w:t>
      </w:r>
    </w:p>
    <w:p>
      <w:pPr>
        <w:pStyle w:val="BodyText"/>
        <w:spacing w:before="211"/>
      </w:pPr>
      <w:r>
        <w:rPr/>
        <w:t>INSTRUCTIONS</w:t>
      </w:r>
      <w:r>
        <w:rPr>
          <w:spacing w:val="-3"/>
        </w:rPr>
        <w:t> </w:t>
      </w:r>
      <w:r>
        <w:rPr/>
        <w:t>TO</w:t>
      </w:r>
      <w:r>
        <w:rPr>
          <w:spacing w:val="-2"/>
        </w:rPr>
        <w:t> </w:t>
      </w:r>
      <w:r>
        <w:rPr>
          <w:spacing w:val="-4"/>
        </w:rPr>
        <w:t>STAFF</w:t>
      </w:r>
    </w:p>
    <w:p>
      <w:pPr>
        <w:pStyle w:val="ListParagraph"/>
        <w:numPr>
          <w:ilvl w:val="1"/>
          <w:numId w:val="264"/>
        </w:numPr>
        <w:tabs>
          <w:tab w:pos="1077" w:val="left" w:leader="none"/>
        </w:tabs>
        <w:spacing w:line="208" w:lineRule="auto" w:before="233" w:after="0"/>
        <w:ind w:left="791" w:right="782" w:firstLine="0"/>
        <w:jc w:val="left"/>
        <w:rPr>
          <w:sz w:val="24"/>
        </w:rPr>
      </w:pPr>
      <w:r>
        <w:rPr>
          <w:sz w:val="24"/>
        </w:rPr>
        <w:t>The</w:t>
      </w:r>
      <w:r>
        <w:rPr>
          <w:spacing w:val="-4"/>
          <w:sz w:val="24"/>
        </w:rPr>
        <w:t> </w:t>
      </w:r>
      <w:r>
        <w:rPr>
          <w:sz w:val="24"/>
        </w:rPr>
        <w:t>rehabilitation</w:t>
      </w:r>
      <w:r>
        <w:rPr>
          <w:spacing w:val="-4"/>
          <w:sz w:val="24"/>
        </w:rPr>
        <w:t> </w:t>
      </w:r>
      <w:r>
        <w:rPr>
          <w:sz w:val="24"/>
        </w:rPr>
        <w:t>teacher</w:t>
      </w:r>
      <w:r>
        <w:rPr>
          <w:spacing w:val="-3"/>
          <w:sz w:val="24"/>
        </w:rPr>
        <w:t> </w:t>
      </w:r>
      <w:r>
        <w:rPr>
          <w:sz w:val="24"/>
        </w:rPr>
        <w:t>is</w:t>
      </w:r>
      <w:r>
        <w:rPr>
          <w:spacing w:val="-4"/>
          <w:sz w:val="24"/>
        </w:rPr>
        <w:t> </w:t>
      </w:r>
      <w:r>
        <w:rPr>
          <w:sz w:val="24"/>
        </w:rPr>
        <w:t>directly</w:t>
      </w:r>
      <w:r>
        <w:rPr>
          <w:spacing w:val="-4"/>
          <w:sz w:val="24"/>
        </w:rPr>
        <w:t> </w:t>
      </w:r>
      <w:r>
        <w:rPr>
          <w:sz w:val="24"/>
        </w:rPr>
        <w:t>responsible</w:t>
      </w:r>
      <w:r>
        <w:rPr>
          <w:spacing w:val="-4"/>
          <w:sz w:val="24"/>
        </w:rPr>
        <w:t> </w:t>
      </w:r>
      <w:r>
        <w:rPr>
          <w:sz w:val="24"/>
        </w:rPr>
        <w:t>to</w:t>
      </w:r>
      <w:r>
        <w:rPr>
          <w:spacing w:val="-4"/>
          <w:sz w:val="24"/>
        </w:rPr>
        <w:t> </w:t>
      </w:r>
      <w:r>
        <w:rPr>
          <w:sz w:val="24"/>
        </w:rPr>
        <w:t>his/her</w:t>
      </w:r>
      <w:r>
        <w:rPr>
          <w:spacing w:val="-3"/>
          <w:sz w:val="24"/>
        </w:rPr>
        <w:t> </w:t>
      </w:r>
      <w:r>
        <w:rPr>
          <w:sz w:val="24"/>
        </w:rPr>
        <w:t>Programs</w:t>
      </w:r>
      <w:r>
        <w:rPr>
          <w:spacing w:val="-4"/>
          <w:sz w:val="24"/>
        </w:rPr>
        <w:t> </w:t>
      </w:r>
      <w:r>
        <w:rPr>
          <w:sz w:val="24"/>
        </w:rPr>
        <w:t>Manager</w:t>
      </w:r>
      <w:r>
        <w:rPr>
          <w:spacing w:val="-5"/>
          <w:sz w:val="24"/>
        </w:rPr>
        <w:t> </w:t>
      </w:r>
      <w:r>
        <w:rPr>
          <w:sz w:val="24"/>
        </w:rPr>
        <w:t>on all casework and office procedures. The Programs Manager will consult with the Field Coordinator on the teacher's progress or needs. When a problem or situation arises needing attention, but is not within the scope of the teacher's area of responsibility, the teacher must bring it to the attention of the Programs Manager.</w:t>
      </w:r>
    </w:p>
    <w:p>
      <w:pPr>
        <w:pStyle w:val="BodyText"/>
        <w:spacing w:line="208" w:lineRule="auto"/>
        <w:ind w:left="792" w:right="739"/>
      </w:pPr>
      <w:r>
        <w:rPr/>
        <w:t>The teacher may need to consult with the Program Manager for advice and/or assistance</w:t>
      </w:r>
      <w:r>
        <w:rPr>
          <w:spacing w:val="-4"/>
        </w:rPr>
        <w:t> </w:t>
      </w:r>
      <w:r>
        <w:rPr/>
        <w:t>in</w:t>
      </w:r>
      <w:r>
        <w:rPr>
          <w:spacing w:val="-4"/>
        </w:rPr>
        <w:t> </w:t>
      </w:r>
      <w:r>
        <w:rPr/>
        <w:t>providing</w:t>
      </w:r>
      <w:r>
        <w:rPr>
          <w:spacing w:val="-3"/>
        </w:rPr>
        <w:t> </w:t>
      </w:r>
      <w:r>
        <w:rPr/>
        <w:t>services</w:t>
      </w:r>
      <w:r>
        <w:rPr>
          <w:spacing w:val="-4"/>
        </w:rPr>
        <w:t> </w:t>
      </w:r>
      <w:r>
        <w:rPr/>
        <w:t>to</w:t>
      </w:r>
      <w:r>
        <w:rPr>
          <w:spacing w:val="-5"/>
        </w:rPr>
        <w:t> </w:t>
      </w:r>
      <w:r>
        <w:rPr/>
        <w:t>clients.</w:t>
      </w:r>
      <w:r>
        <w:rPr>
          <w:spacing w:val="-3"/>
        </w:rPr>
        <w:t> </w:t>
      </w:r>
      <w:r>
        <w:rPr/>
        <w:t>Special</w:t>
      </w:r>
      <w:r>
        <w:rPr>
          <w:spacing w:val="-4"/>
        </w:rPr>
        <w:t> </w:t>
      </w:r>
      <w:r>
        <w:rPr/>
        <w:t>areas</w:t>
      </w:r>
      <w:r>
        <w:rPr>
          <w:spacing w:val="-3"/>
        </w:rPr>
        <w:t> </w:t>
      </w:r>
      <w:r>
        <w:rPr/>
        <w:t>of</w:t>
      </w:r>
      <w:r>
        <w:rPr>
          <w:spacing w:val="-3"/>
        </w:rPr>
        <w:t> </w:t>
      </w:r>
      <w:r>
        <w:rPr/>
        <w:t>consultation</w:t>
      </w:r>
      <w:r>
        <w:rPr>
          <w:spacing w:val="-4"/>
        </w:rPr>
        <w:t> </w:t>
      </w:r>
      <w:r>
        <w:rPr/>
        <w:t>will</w:t>
      </w:r>
      <w:r>
        <w:rPr>
          <w:spacing w:val="-4"/>
        </w:rPr>
        <w:t> </w:t>
      </w:r>
      <w:r>
        <w:rPr/>
        <w:t>include:</w:t>
      </w:r>
    </w:p>
    <w:p>
      <w:pPr>
        <w:pStyle w:val="BodyText"/>
        <w:spacing w:line="417" w:lineRule="auto" w:before="210"/>
        <w:ind w:left="1223" w:right="6013"/>
      </w:pPr>
      <w:r>
        <w:rPr/>
        <w:t>Services</w:t>
      </w:r>
      <w:r>
        <w:rPr>
          <w:spacing w:val="-13"/>
        </w:rPr>
        <w:t> </w:t>
      </w:r>
      <w:r>
        <w:rPr/>
        <w:t>to</w:t>
      </w:r>
      <w:r>
        <w:rPr>
          <w:spacing w:val="-13"/>
        </w:rPr>
        <w:t> </w:t>
      </w:r>
      <w:r>
        <w:rPr/>
        <w:t>the</w:t>
      </w:r>
      <w:r>
        <w:rPr>
          <w:spacing w:val="-13"/>
        </w:rPr>
        <w:t> </w:t>
      </w:r>
      <w:r>
        <w:rPr/>
        <w:t>deaf-blind. Services to Older Blind.</w:t>
      </w:r>
    </w:p>
    <w:p>
      <w:pPr>
        <w:pStyle w:val="BodyText"/>
        <w:spacing w:line="276" w:lineRule="exact" w:before="0"/>
        <w:ind w:left="1223"/>
      </w:pPr>
      <w:r>
        <w:rPr/>
        <w:t>Teacher</w:t>
      </w:r>
      <w:r>
        <w:rPr>
          <w:spacing w:val="-4"/>
        </w:rPr>
        <w:t> </w:t>
      </w:r>
      <w:r>
        <w:rPr>
          <w:spacing w:val="-2"/>
        </w:rPr>
        <w:t>supplies.</w:t>
      </w:r>
    </w:p>
    <w:p>
      <w:pPr>
        <w:pStyle w:val="BodyText"/>
        <w:spacing w:line="417" w:lineRule="auto" w:before="204"/>
        <w:ind w:left="1223" w:right="4780"/>
      </w:pPr>
      <w:r>
        <w:rPr/>
        <w:t>Braille,</w:t>
      </w:r>
      <w:r>
        <w:rPr>
          <w:spacing w:val="-9"/>
        </w:rPr>
        <w:t> </w:t>
      </w:r>
      <w:r>
        <w:rPr/>
        <w:t>recorded</w:t>
      </w:r>
      <w:r>
        <w:rPr>
          <w:spacing w:val="-10"/>
        </w:rPr>
        <w:t> </w:t>
      </w:r>
      <w:r>
        <w:rPr/>
        <w:t>or</w:t>
      </w:r>
      <w:r>
        <w:rPr>
          <w:spacing w:val="-9"/>
        </w:rPr>
        <w:t> </w:t>
      </w:r>
      <w:r>
        <w:rPr/>
        <w:t>digital</w:t>
      </w:r>
      <w:r>
        <w:rPr>
          <w:spacing w:val="-10"/>
        </w:rPr>
        <w:t> </w:t>
      </w:r>
      <w:r>
        <w:rPr/>
        <w:t>material. Program evaluation.</w:t>
      </w:r>
    </w:p>
    <w:p>
      <w:pPr>
        <w:pStyle w:val="BodyText"/>
        <w:spacing w:line="417" w:lineRule="auto" w:before="0"/>
        <w:ind w:left="1223" w:right="6600"/>
      </w:pPr>
      <w:r>
        <w:rPr/>
        <w:t>In-service training. Orientation</w:t>
      </w:r>
      <w:r>
        <w:rPr>
          <w:spacing w:val="-17"/>
        </w:rPr>
        <w:t> </w:t>
      </w:r>
      <w:r>
        <w:rPr/>
        <w:t>and</w:t>
      </w:r>
      <w:r>
        <w:rPr>
          <w:spacing w:val="-17"/>
        </w:rPr>
        <w:t> </w:t>
      </w:r>
      <w:r>
        <w:rPr/>
        <w:t>mobility. </w:t>
      </w:r>
      <w:r>
        <w:rPr>
          <w:spacing w:val="-2"/>
        </w:rPr>
        <w:t>Reviews.</w:t>
      </w:r>
    </w:p>
    <w:p>
      <w:pPr>
        <w:pStyle w:val="ListParagraph"/>
        <w:numPr>
          <w:ilvl w:val="1"/>
          <w:numId w:val="264"/>
        </w:numPr>
        <w:tabs>
          <w:tab w:pos="1077" w:val="left" w:leader="none"/>
        </w:tabs>
        <w:spacing w:line="275" w:lineRule="exact" w:before="0" w:after="0"/>
        <w:ind w:left="1077" w:right="0" w:hanging="286"/>
        <w:jc w:val="left"/>
        <w:rPr>
          <w:sz w:val="24"/>
        </w:rPr>
      </w:pPr>
      <w:r>
        <w:rPr>
          <w:sz w:val="24"/>
        </w:rPr>
        <w:t>Link</w:t>
      </w:r>
      <w:r>
        <w:rPr>
          <w:spacing w:val="-3"/>
          <w:sz w:val="24"/>
        </w:rPr>
        <w:t> </w:t>
      </w:r>
      <w:r>
        <w:rPr>
          <w:sz w:val="24"/>
        </w:rPr>
        <w:t>to</w:t>
      </w:r>
      <w:r>
        <w:rPr>
          <w:spacing w:val="-3"/>
          <w:sz w:val="24"/>
        </w:rPr>
        <w:t> </w:t>
      </w:r>
      <w:hyperlink w:history="true" w:anchor="_bookmark3">
        <w:r>
          <w:rPr>
            <w:color w:val="0000FF"/>
            <w:sz w:val="24"/>
            <w:u w:val="single" w:color="0000FF"/>
          </w:rPr>
          <w:t>612:10-1-5</w:t>
        </w:r>
      </w:hyperlink>
      <w:r>
        <w:rPr>
          <w:color w:val="0000FF"/>
          <w:spacing w:val="-3"/>
          <w:sz w:val="24"/>
          <w:u w:val="none"/>
        </w:rPr>
        <w:t> </w:t>
      </w:r>
      <w:r>
        <w:rPr>
          <w:spacing w:val="-2"/>
          <w:sz w:val="24"/>
          <w:u w:val="none"/>
        </w:rPr>
        <w:t>Confidentiality</w:t>
      </w:r>
    </w:p>
    <w:p>
      <w:pPr>
        <w:pStyle w:val="ListParagraph"/>
        <w:numPr>
          <w:ilvl w:val="1"/>
          <w:numId w:val="264"/>
        </w:numPr>
        <w:tabs>
          <w:tab w:pos="1078" w:val="left" w:leader="none"/>
        </w:tabs>
        <w:spacing w:line="208" w:lineRule="auto" w:before="233" w:after="0"/>
        <w:ind w:left="810" w:right="847" w:firstLine="0"/>
        <w:jc w:val="left"/>
        <w:rPr>
          <w:sz w:val="24"/>
        </w:rPr>
      </w:pPr>
      <w:r>
        <w:rPr>
          <w:sz w:val="24"/>
        </w:rPr>
        <w:t>Information technology equipment has a State Capitalization rate of $500 and is subject to prior approval from RSA. Much of the equipment for client services is counted under the aggregate approval that DRS has been granted by RSA in accordance with </w:t>
      </w:r>
      <w:hyperlink r:id="rId55">
        <w:r>
          <w:rPr>
            <w:color w:val="0000FF"/>
            <w:sz w:val="24"/>
            <w:u w:val="single" w:color="0000FF"/>
          </w:rPr>
          <w:t>RSA-TAC-18-02</w:t>
        </w:r>
      </w:hyperlink>
      <w:r>
        <w:rPr>
          <w:sz w:val="24"/>
          <w:u w:val="none"/>
        </w:rPr>
        <w:t>. When authorizing the purchase of equipment in AWARE, please use service category(s) Assistive Technology Devices. FSD staff will</w:t>
      </w:r>
      <w:r>
        <w:rPr>
          <w:spacing w:val="-4"/>
          <w:sz w:val="24"/>
          <w:u w:val="none"/>
        </w:rPr>
        <w:t> </w:t>
      </w:r>
      <w:r>
        <w:rPr>
          <w:sz w:val="24"/>
          <w:u w:val="none"/>
        </w:rPr>
        <w:t>be</w:t>
      </w:r>
      <w:r>
        <w:rPr>
          <w:spacing w:val="-4"/>
          <w:sz w:val="24"/>
          <w:u w:val="none"/>
        </w:rPr>
        <w:t> </w:t>
      </w:r>
      <w:r>
        <w:rPr>
          <w:sz w:val="24"/>
          <w:u w:val="none"/>
        </w:rPr>
        <w:t>able</w:t>
      </w:r>
      <w:r>
        <w:rPr>
          <w:spacing w:val="-3"/>
          <w:sz w:val="24"/>
          <w:u w:val="none"/>
        </w:rPr>
        <w:t> </w:t>
      </w:r>
      <w:r>
        <w:rPr>
          <w:sz w:val="24"/>
          <w:u w:val="none"/>
        </w:rPr>
        <w:t>to</w:t>
      </w:r>
      <w:r>
        <w:rPr>
          <w:spacing w:val="-4"/>
          <w:sz w:val="24"/>
          <w:u w:val="none"/>
        </w:rPr>
        <w:t> </w:t>
      </w:r>
      <w:r>
        <w:rPr>
          <w:sz w:val="24"/>
          <w:u w:val="none"/>
        </w:rPr>
        <w:t>capture</w:t>
      </w:r>
      <w:r>
        <w:rPr>
          <w:spacing w:val="-4"/>
          <w:sz w:val="24"/>
          <w:u w:val="none"/>
        </w:rPr>
        <w:t> </w:t>
      </w:r>
      <w:r>
        <w:rPr>
          <w:sz w:val="24"/>
          <w:u w:val="none"/>
        </w:rPr>
        <w:t>these</w:t>
      </w:r>
      <w:r>
        <w:rPr>
          <w:spacing w:val="-4"/>
          <w:sz w:val="24"/>
          <w:u w:val="none"/>
        </w:rPr>
        <w:t> </w:t>
      </w:r>
      <w:r>
        <w:rPr>
          <w:sz w:val="24"/>
          <w:u w:val="none"/>
        </w:rPr>
        <w:t>costs</w:t>
      </w:r>
      <w:r>
        <w:rPr>
          <w:spacing w:val="-4"/>
          <w:sz w:val="24"/>
          <w:u w:val="none"/>
        </w:rPr>
        <w:t> </w:t>
      </w:r>
      <w:r>
        <w:rPr>
          <w:sz w:val="24"/>
          <w:u w:val="none"/>
        </w:rPr>
        <w:t>and</w:t>
      </w:r>
      <w:r>
        <w:rPr>
          <w:spacing w:val="-4"/>
          <w:sz w:val="24"/>
          <w:u w:val="none"/>
        </w:rPr>
        <w:t> </w:t>
      </w:r>
      <w:r>
        <w:rPr>
          <w:sz w:val="24"/>
          <w:u w:val="none"/>
        </w:rPr>
        <w:t>count</w:t>
      </w:r>
      <w:r>
        <w:rPr>
          <w:spacing w:val="-3"/>
          <w:sz w:val="24"/>
          <w:u w:val="none"/>
        </w:rPr>
        <w:t> </w:t>
      </w:r>
      <w:r>
        <w:rPr>
          <w:sz w:val="24"/>
          <w:u w:val="none"/>
        </w:rPr>
        <w:t>them</w:t>
      </w:r>
      <w:r>
        <w:rPr>
          <w:spacing w:val="-3"/>
          <w:sz w:val="24"/>
          <w:u w:val="none"/>
        </w:rPr>
        <w:t> </w:t>
      </w:r>
      <w:r>
        <w:rPr>
          <w:sz w:val="24"/>
          <w:u w:val="none"/>
        </w:rPr>
        <w:t>against</w:t>
      </w:r>
      <w:r>
        <w:rPr>
          <w:spacing w:val="-3"/>
          <w:sz w:val="24"/>
          <w:u w:val="none"/>
        </w:rPr>
        <w:t> </w:t>
      </w:r>
      <w:r>
        <w:rPr>
          <w:sz w:val="24"/>
          <w:u w:val="none"/>
        </w:rPr>
        <w:t>the</w:t>
      </w:r>
      <w:r>
        <w:rPr>
          <w:spacing w:val="-4"/>
          <w:sz w:val="24"/>
          <w:u w:val="none"/>
        </w:rPr>
        <w:t> </w:t>
      </w:r>
      <w:r>
        <w:rPr>
          <w:sz w:val="24"/>
          <w:u w:val="none"/>
        </w:rPr>
        <w:t>aggregate</w:t>
      </w:r>
      <w:r>
        <w:rPr>
          <w:spacing w:val="-4"/>
          <w:sz w:val="24"/>
          <w:u w:val="none"/>
        </w:rPr>
        <w:t> </w:t>
      </w:r>
      <w:r>
        <w:rPr>
          <w:sz w:val="24"/>
          <w:u w:val="none"/>
        </w:rPr>
        <w:t>approved amount. Individual approvals for these categories will not be required.</w:t>
      </w:r>
    </w:p>
    <w:p>
      <w:pPr>
        <w:pStyle w:val="ListParagraph"/>
        <w:numPr>
          <w:ilvl w:val="1"/>
          <w:numId w:val="264"/>
        </w:numPr>
        <w:tabs>
          <w:tab w:pos="1078" w:val="left" w:leader="none"/>
        </w:tabs>
        <w:spacing w:line="208" w:lineRule="auto" w:before="239" w:after="0"/>
        <w:ind w:left="810" w:right="916" w:firstLine="0"/>
        <w:jc w:val="left"/>
        <w:rPr>
          <w:sz w:val="24"/>
        </w:rPr>
      </w:pPr>
      <w:r>
        <w:rPr>
          <w:sz w:val="24"/>
        </w:rPr>
        <w:t>Braille reading and writing equipment without a motherboard has a State Capitalization rate of $2,500 and purchases at or above the capitalization rate requires prior approval from RSA. Much of the equipment for client services is counted under the aggregate approval that DRS has been granted by RSA in accordance</w:t>
      </w:r>
      <w:r>
        <w:rPr>
          <w:spacing w:val="-5"/>
          <w:sz w:val="24"/>
        </w:rPr>
        <w:t> </w:t>
      </w:r>
      <w:r>
        <w:rPr>
          <w:sz w:val="24"/>
        </w:rPr>
        <w:t>with</w:t>
      </w:r>
      <w:r>
        <w:rPr>
          <w:spacing w:val="-5"/>
          <w:sz w:val="24"/>
        </w:rPr>
        <w:t> </w:t>
      </w:r>
      <w:hyperlink r:id="rId55">
        <w:r>
          <w:rPr>
            <w:color w:val="0000FF"/>
            <w:sz w:val="24"/>
            <w:u w:val="single" w:color="0000FF"/>
          </w:rPr>
          <w:t>RSA-TAC-18-02</w:t>
        </w:r>
      </w:hyperlink>
      <w:r>
        <w:rPr>
          <w:sz w:val="24"/>
          <w:u w:val="none"/>
        </w:rPr>
        <w:t>.</w:t>
      </w:r>
      <w:r>
        <w:rPr>
          <w:spacing w:val="-4"/>
          <w:sz w:val="24"/>
          <w:u w:val="none"/>
        </w:rPr>
        <w:t> </w:t>
      </w:r>
      <w:r>
        <w:rPr>
          <w:sz w:val="24"/>
          <w:u w:val="none"/>
        </w:rPr>
        <w:t>When</w:t>
      </w:r>
      <w:r>
        <w:rPr>
          <w:spacing w:val="-5"/>
          <w:sz w:val="24"/>
          <w:u w:val="none"/>
        </w:rPr>
        <w:t> </w:t>
      </w:r>
      <w:r>
        <w:rPr>
          <w:sz w:val="24"/>
          <w:u w:val="none"/>
        </w:rPr>
        <w:t>authorizing</w:t>
      </w:r>
      <w:r>
        <w:rPr>
          <w:spacing w:val="-5"/>
          <w:sz w:val="24"/>
          <w:u w:val="none"/>
        </w:rPr>
        <w:t> </w:t>
      </w:r>
      <w:r>
        <w:rPr>
          <w:sz w:val="24"/>
          <w:u w:val="none"/>
        </w:rPr>
        <w:t>the</w:t>
      </w:r>
      <w:r>
        <w:rPr>
          <w:spacing w:val="-5"/>
          <w:sz w:val="24"/>
          <w:u w:val="none"/>
        </w:rPr>
        <w:t> </w:t>
      </w:r>
      <w:r>
        <w:rPr>
          <w:sz w:val="24"/>
          <w:u w:val="none"/>
        </w:rPr>
        <w:t>purchase</w:t>
      </w:r>
      <w:r>
        <w:rPr>
          <w:spacing w:val="-4"/>
          <w:sz w:val="24"/>
          <w:u w:val="none"/>
        </w:rPr>
        <w:t> </w:t>
      </w:r>
      <w:r>
        <w:rPr>
          <w:sz w:val="24"/>
          <w:u w:val="none"/>
        </w:rPr>
        <w:t>of</w:t>
      </w:r>
      <w:r>
        <w:rPr>
          <w:spacing w:val="-4"/>
          <w:sz w:val="24"/>
          <w:u w:val="none"/>
        </w:rPr>
        <w:t> </w:t>
      </w:r>
      <w:r>
        <w:rPr>
          <w:sz w:val="24"/>
          <w:u w:val="none"/>
        </w:rPr>
        <w:t>equipment</w:t>
      </w:r>
      <w:r>
        <w:rPr>
          <w:spacing w:val="-4"/>
          <w:sz w:val="24"/>
          <w:u w:val="none"/>
        </w:rPr>
        <w:t> </w:t>
      </w:r>
      <w:r>
        <w:rPr>
          <w:sz w:val="24"/>
          <w:u w:val="none"/>
        </w:rPr>
        <w:t>in AWARE, please use service category(s) Assistive Technology Devices, or Other</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810" w:right="775"/>
      </w:pPr>
      <w:r>
        <w:rPr/>
        <w:t>Goods and Services-Direct Authorization, or Other Goods and Services (Non- Medical).</w:t>
      </w:r>
      <w:r>
        <w:rPr>
          <w:spacing w:val="-2"/>
        </w:rPr>
        <w:t> </w:t>
      </w:r>
      <w:r>
        <w:rPr/>
        <w:t>FSD</w:t>
      </w:r>
      <w:r>
        <w:rPr>
          <w:spacing w:val="-3"/>
        </w:rPr>
        <w:t> </w:t>
      </w:r>
      <w:r>
        <w:rPr/>
        <w:t>staff</w:t>
      </w:r>
      <w:r>
        <w:rPr>
          <w:spacing w:val="-2"/>
        </w:rPr>
        <w:t> </w:t>
      </w:r>
      <w:r>
        <w:rPr/>
        <w:t>will</w:t>
      </w:r>
      <w:r>
        <w:rPr>
          <w:spacing w:val="-3"/>
        </w:rPr>
        <w:t> </w:t>
      </w:r>
      <w:r>
        <w:rPr/>
        <w:t>be</w:t>
      </w:r>
      <w:r>
        <w:rPr>
          <w:spacing w:val="-3"/>
        </w:rPr>
        <w:t> </w:t>
      </w:r>
      <w:r>
        <w:rPr/>
        <w:t>able</w:t>
      </w:r>
      <w:r>
        <w:rPr>
          <w:spacing w:val="-3"/>
        </w:rPr>
        <w:t> </w:t>
      </w:r>
      <w:r>
        <w:rPr/>
        <w:t>to</w:t>
      </w:r>
      <w:r>
        <w:rPr>
          <w:spacing w:val="-3"/>
        </w:rPr>
        <w:t> </w:t>
      </w:r>
      <w:r>
        <w:rPr/>
        <w:t>capture</w:t>
      </w:r>
      <w:r>
        <w:rPr>
          <w:spacing w:val="-3"/>
        </w:rPr>
        <w:t> </w:t>
      </w:r>
      <w:r>
        <w:rPr/>
        <w:t>theses</w:t>
      </w:r>
      <w:r>
        <w:rPr>
          <w:spacing w:val="-3"/>
        </w:rPr>
        <w:t> </w:t>
      </w:r>
      <w:r>
        <w:rPr/>
        <w:t>costs</w:t>
      </w:r>
      <w:r>
        <w:rPr>
          <w:spacing w:val="-4"/>
        </w:rPr>
        <w:t> </w:t>
      </w:r>
      <w:r>
        <w:rPr/>
        <w:t>and</w:t>
      </w:r>
      <w:r>
        <w:rPr>
          <w:spacing w:val="-3"/>
        </w:rPr>
        <w:t> </w:t>
      </w:r>
      <w:r>
        <w:rPr/>
        <w:t>count</w:t>
      </w:r>
      <w:r>
        <w:rPr>
          <w:spacing w:val="-2"/>
        </w:rPr>
        <w:t> </w:t>
      </w:r>
      <w:r>
        <w:rPr/>
        <w:t>them</w:t>
      </w:r>
      <w:r>
        <w:rPr>
          <w:spacing w:val="-2"/>
        </w:rPr>
        <w:t> </w:t>
      </w:r>
      <w:r>
        <w:rPr/>
        <w:t>against</w:t>
      </w:r>
      <w:r>
        <w:rPr>
          <w:spacing w:val="-2"/>
        </w:rPr>
        <w:t> </w:t>
      </w:r>
      <w:r>
        <w:rPr/>
        <w:t>the aggregate approved amount. Individual approvals for these categories will not be </w:t>
      </w:r>
      <w:r>
        <w:rPr>
          <w:spacing w:val="-2"/>
        </w:rPr>
        <w:t>required.</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1-1-95</w:t>
      </w:r>
      <w:r>
        <w:rPr>
          <w:sz w:val="22"/>
        </w:rPr>
        <w:tab/>
        <w:t>PT Memo #95-1</w:t>
      </w:r>
    </w:p>
    <w:p>
      <w:pPr>
        <w:tabs>
          <w:tab w:pos="1439" w:val="left" w:leader="none"/>
        </w:tabs>
        <w:spacing w:before="0"/>
        <w:ind w:left="359" w:right="4377" w:firstLine="1080"/>
        <w:jc w:val="left"/>
        <w:rPr>
          <w:sz w:val="22"/>
        </w:rPr>
      </w:pPr>
      <w:r>
        <w:rPr>
          <w:sz w:val="22"/>
        </w:rPr>
        <w:t>ITS,</w:t>
      </w:r>
      <w:r>
        <w:rPr>
          <w:spacing w:val="-8"/>
          <w:sz w:val="22"/>
        </w:rPr>
        <w:t> </w:t>
      </w:r>
      <w:r>
        <w:rPr>
          <w:sz w:val="22"/>
        </w:rPr>
        <w:t>added</w:t>
      </w:r>
      <w:r>
        <w:rPr>
          <w:spacing w:val="-8"/>
          <w:sz w:val="22"/>
        </w:rPr>
        <w:t> </w:t>
      </w:r>
      <w:r>
        <w:rPr>
          <w:sz w:val="22"/>
        </w:rPr>
        <w:t>Voter</w:t>
      </w:r>
      <w:r>
        <w:rPr>
          <w:spacing w:val="-8"/>
          <w:sz w:val="22"/>
        </w:rPr>
        <w:t> </w:t>
      </w:r>
      <w:r>
        <w:rPr>
          <w:sz w:val="22"/>
        </w:rPr>
        <w:t>Registration</w:t>
      </w:r>
      <w:r>
        <w:rPr>
          <w:spacing w:val="-8"/>
          <w:sz w:val="22"/>
        </w:rPr>
        <w:t> </w:t>
      </w:r>
      <w:r>
        <w:rPr>
          <w:sz w:val="22"/>
        </w:rPr>
        <w:t>Act</w:t>
      </w:r>
      <w:r>
        <w:rPr>
          <w:spacing w:val="-8"/>
          <w:sz w:val="22"/>
        </w:rPr>
        <w:t> </w:t>
      </w:r>
      <w:r>
        <w:rPr>
          <w:sz w:val="22"/>
        </w:rPr>
        <w:t>requirements </w:t>
      </w:r>
      <w:r>
        <w:rPr>
          <w:spacing w:val="-2"/>
          <w:sz w:val="22"/>
        </w:rPr>
        <w:t>7-1-98</w:t>
      </w:r>
      <w:r>
        <w:rPr>
          <w:sz w:val="22"/>
        </w:rPr>
        <w:tab/>
        <w:t>PT Memo #98-15</w:t>
      </w:r>
    </w:p>
    <w:p>
      <w:pPr>
        <w:tabs>
          <w:tab w:pos="1439" w:val="left" w:leader="none"/>
        </w:tabs>
        <w:spacing w:before="0"/>
        <w:ind w:left="359" w:right="6246" w:firstLine="1080"/>
        <w:jc w:val="left"/>
        <w:rPr>
          <w:sz w:val="22"/>
        </w:rPr>
      </w:pPr>
      <w:r>
        <w:rPr>
          <w:sz w:val="22"/>
        </w:rPr>
        <w:t>Permanent,</w:t>
      </w:r>
      <w:r>
        <w:rPr>
          <w:spacing w:val="-16"/>
          <w:sz w:val="22"/>
        </w:rPr>
        <w:t> </w:t>
      </w:r>
      <w:r>
        <w:rPr>
          <w:sz w:val="22"/>
        </w:rPr>
        <w:t>clean-up</w:t>
      </w:r>
      <w:r>
        <w:rPr>
          <w:spacing w:val="-15"/>
          <w:sz w:val="22"/>
        </w:rPr>
        <w:t> </w:t>
      </w:r>
      <w:r>
        <w:rPr>
          <w:sz w:val="22"/>
        </w:rPr>
        <w:t>editing </w:t>
      </w:r>
      <w:r>
        <w:rPr>
          <w:spacing w:val="-2"/>
          <w:sz w:val="22"/>
        </w:rPr>
        <w:t>7-1-04</w:t>
      </w:r>
      <w:r>
        <w:rPr>
          <w:sz w:val="22"/>
        </w:rPr>
        <w:tab/>
        <w:t>PT Memo #05-01</w:t>
      </w:r>
    </w:p>
    <w:p>
      <w:pPr>
        <w:tabs>
          <w:tab w:pos="1439" w:val="left" w:leader="none"/>
        </w:tabs>
        <w:spacing w:before="0"/>
        <w:ind w:left="359" w:right="6038" w:firstLine="1080"/>
        <w:jc w:val="left"/>
        <w:rPr>
          <w:sz w:val="22"/>
        </w:rPr>
      </w:pPr>
      <w:r>
        <w:rPr>
          <w:sz w:val="22"/>
        </w:rPr>
        <w:t>Permanent,</w:t>
      </w:r>
      <w:r>
        <w:rPr>
          <w:spacing w:val="-16"/>
          <w:sz w:val="22"/>
        </w:rPr>
        <w:t> </w:t>
      </w:r>
      <w:r>
        <w:rPr>
          <w:sz w:val="22"/>
        </w:rPr>
        <w:t>updated</w:t>
      </w:r>
      <w:r>
        <w:rPr>
          <w:spacing w:val="-15"/>
          <w:sz w:val="22"/>
        </w:rPr>
        <w:t> </w:t>
      </w:r>
      <w:r>
        <w:rPr>
          <w:sz w:val="22"/>
        </w:rPr>
        <w:t>language </w:t>
      </w:r>
      <w:r>
        <w:rPr>
          <w:spacing w:val="-2"/>
          <w:sz w:val="22"/>
        </w:rPr>
        <w:t>7-1-07</w:t>
      </w:r>
      <w:r>
        <w:rPr>
          <w:sz w:val="22"/>
        </w:rPr>
        <w:tab/>
        <w:t>PT Memo #08-01</w:t>
      </w:r>
    </w:p>
    <w:p>
      <w:pPr>
        <w:tabs>
          <w:tab w:pos="1439" w:val="left" w:leader="none"/>
        </w:tabs>
        <w:spacing w:before="0"/>
        <w:ind w:left="359" w:right="4949" w:firstLine="1080"/>
        <w:jc w:val="left"/>
        <w:rPr>
          <w:sz w:val="22"/>
        </w:rPr>
      </w:pPr>
      <w:r>
        <w:rPr>
          <w:sz w:val="22"/>
        </w:rPr>
        <w:t>Permanent,</w:t>
      </w:r>
      <w:r>
        <w:rPr>
          <w:spacing w:val="-9"/>
          <w:sz w:val="22"/>
        </w:rPr>
        <w:t> </w:t>
      </w:r>
      <w:r>
        <w:rPr>
          <w:sz w:val="22"/>
        </w:rPr>
        <w:t>changed</w:t>
      </w:r>
      <w:r>
        <w:rPr>
          <w:spacing w:val="-10"/>
          <w:sz w:val="22"/>
        </w:rPr>
        <w:t> </w:t>
      </w:r>
      <w:r>
        <w:rPr>
          <w:sz w:val="22"/>
        </w:rPr>
        <w:t>teacher</w:t>
      </w:r>
      <w:r>
        <w:rPr>
          <w:spacing w:val="-10"/>
          <w:sz w:val="22"/>
        </w:rPr>
        <w:t> </w:t>
      </w:r>
      <w:r>
        <w:rPr>
          <w:sz w:val="22"/>
        </w:rPr>
        <w:t>to</w:t>
      </w:r>
      <w:r>
        <w:rPr>
          <w:spacing w:val="-10"/>
          <w:sz w:val="22"/>
        </w:rPr>
        <w:t> </w:t>
      </w:r>
      <w:r>
        <w:rPr>
          <w:sz w:val="22"/>
        </w:rPr>
        <w:t>specialist </w:t>
      </w:r>
      <w:r>
        <w:rPr>
          <w:spacing w:val="-2"/>
          <w:sz w:val="22"/>
        </w:rPr>
        <w:t>7-1-11</w:t>
      </w:r>
      <w:r>
        <w:rPr>
          <w:sz w:val="22"/>
        </w:rPr>
        <w:tab/>
        <w:t>PT Memo #12-01</w:t>
      </w:r>
    </w:p>
    <w:p>
      <w:pPr>
        <w:spacing w:line="252" w:lineRule="exact" w:before="0"/>
        <w:ind w:left="1439" w:right="0" w:firstLine="0"/>
        <w:jc w:val="left"/>
        <w:rPr>
          <w:sz w:val="22"/>
        </w:rPr>
      </w:pPr>
      <w:r>
        <w:rPr>
          <w:sz w:val="22"/>
        </w:rPr>
        <w:t>Permanent,</w:t>
      </w:r>
      <w:r>
        <w:rPr>
          <w:spacing w:val="-10"/>
          <w:sz w:val="22"/>
        </w:rPr>
        <w:t> </w:t>
      </w:r>
      <w:r>
        <w:rPr>
          <w:sz w:val="22"/>
        </w:rPr>
        <w:t>rehabilitation</w:t>
      </w:r>
      <w:r>
        <w:rPr>
          <w:spacing w:val="-11"/>
          <w:sz w:val="22"/>
        </w:rPr>
        <w:t> </w:t>
      </w:r>
      <w:r>
        <w:rPr>
          <w:sz w:val="22"/>
        </w:rPr>
        <w:t>specialist</w:t>
      </w:r>
      <w:r>
        <w:rPr>
          <w:spacing w:val="-11"/>
          <w:sz w:val="22"/>
        </w:rPr>
        <w:t> </w:t>
      </w:r>
      <w:r>
        <w:rPr>
          <w:sz w:val="22"/>
        </w:rPr>
        <w:t>changed</w:t>
      </w:r>
      <w:r>
        <w:rPr>
          <w:spacing w:val="-10"/>
          <w:sz w:val="22"/>
        </w:rPr>
        <w:t> </w:t>
      </w:r>
      <w:r>
        <w:rPr>
          <w:sz w:val="22"/>
        </w:rPr>
        <w:t>to</w:t>
      </w:r>
      <w:r>
        <w:rPr>
          <w:spacing w:val="-11"/>
          <w:sz w:val="22"/>
        </w:rPr>
        <w:t> </w:t>
      </w:r>
      <w:r>
        <w:rPr>
          <w:sz w:val="22"/>
        </w:rPr>
        <w:t>rehabilitation</w:t>
      </w:r>
      <w:r>
        <w:rPr>
          <w:spacing w:val="-11"/>
          <w:sz w:val="22"/>
        </w:rPr>
        <w:t> </w:t>
      </w:r>
      <w:r>
        <w:rPr>
          <w:spacing w:val="-2"/>
          <w:sz w:val="22"/>
        </w:rPr>
        <w:t>teacher.</w:t>
      </w:r>
    </w:p>
    <w:p>
      <w:pPr>
        <w:spacing w:before="1"/>
        <w:ind w:left="1439" w:right="775" w:hanging="1081"/>
        <w:jc w:val="left"/>
        <w:rPr>
          <w:sz w:val="22"/>
        </w:rPr>
      </w:pPr>
      <w:r>
        <w:rPr>
          <w:sz w:val="22"/>
        </w:rPr>
        <w:t>11-30-17</w:t>
      </w:r>
      <w:r>
        <w:rPr>
          <w:spacing w:val="80"/>
          <w:w w:val="150"/>
          <w:sz w:val="22"/>
        </w:rPr>
        <w:t> </w:t>
      </w:r>
      <w:r>
        <w:rPr>
          <w:sz w:val="22"/>
        </w:rPr>
        <w:t>Updated</w:t>
      </w:r>
      <w:r>
        <w:rPr>
          <w:spacing w:val="-3"/>
          <w:sz w:val="22"/>
        </w:rPr>
        <w:t> </w:t>
      </w:r>
      <w:r>
        <w:rPr>
          <w:sz w:val="22"/>
        </w:rPr>
        <w:t>ITS</w:t>
      </w:r>
      <w:r>
        <w:rPr>
          <w:spacing w:val="-3"/>
          <w:sz w:val="22"/>
        </w:rPr>
        <w:t> </w:t>
      </w:r>
      <w:r>
        <w:rPr>
          <w:sz w:val="22"/>
        </w:rPr>
        <w:t>#1</w:t>
      </w:r>
      <w:r>
        <w:rPr>
          <w:spacing w:val="-3"/>
          <w:sz w:val="22"/>
        </w:rPr>
        <w:t> </w:t>
      </w:r>
      <w:r>
        <w:rPr>
          <w:sz w:val="22"/>
        </w:rPr>
        <w:t>removing</w:t>
      </w:r>
      <w:r>
        <w:rPr>
          <w:spacing w:val="-2"/>
          <w:sz w:val="22"/>
        </w:rPr>
        <w:t> </w:t>
      </w:r>
      <w:r>
        <w:rPr>
          <w:sz w:val="24"/>
        </w:rPr>
        <w:t>'</w:t>
      </w:r>
      <w:r>
        <w:rPr>
          <w:sz w:val="22"/>
        </w:rPr>
        <w:t>Coordinator</w:t>
      </w:r>
      <w:r>
        <w:rPr>
          <w:spacing w:val="-3"/>
          <w:sz w:val="22"/>
        </w:rPr>
        <w:t> </w:t>
      </w:r>
      <w:r>
        <w:rPr>
          <w:sz w:val="22"/>
        </w:rPr>
        <w:t>of</w:t>
      </w:r>
      <w:r>
        <w:rPr>
          <w:spacing w:val="-3"/>
          <w:sz w:val="22"/>
        </w:rPr>
        <w:t> </w:t>
      </w:r>
      <w:r>
        <w:rPr>
          <w:sz w:val="22"/>
        </w:rPr>
        <w:t>Instructional</w:t>
      </w:r>
      <w:r>
        <w:rPr>
          <w:spacing w:val="-3"/>
          <w:sz w:val="22"/>
        </w:rPr>
        <w:t> </w:t>
      </w:r>
      <w:r>
        <w:rPr>
          <w:sz w:val="22"/>
        </w:rPr>
        <w:t>Services</w:t>
      </w:r>
      <w:r>
        <w:rPr>
          <w:sz w:val="24"/>
        </w:rPr>
        <w:t>'</w:t>
      </w:r>
      <w:r>
        <w:rPr>
          <w:spacing w:val="-9"/>
          <w:sz w:val="24"/>
        </w:rPr>
        <w:t> </w:t>
      </w:r>
      <w:r>
        <w:rPr>
          <w:sz w:val="22"/>
        </w:rPr>
        <w:t>replacing</w:t>
      </w:r>
      <w:r>
        <w:rPr>
          <w:spacing w:val="-3"/>
          <w:sz w:val="22"/>
        </w:rPr>
        <w:t> </w:t>
      </w:r>
      <w:r>
        <w:rPr>
          <w:sz w:val="22"/>
        </w:rPr>
        <w:t>with</w:t>
      </w:r>
      <w:r>
        <w:rPr>
          <w:spacing w:val="-3"/>
          <w:sz w:val="22"/>
        </w:rPr>
        <w:t> </w:t>
      </w:r>
      <w:r>
        <w:rPr>
          <w:sz w:val="24"/>
        </w:rPr>
        <w:t>'</w:t>
      </w:r>
      <w:r>
        <w:rPr>
          <w:sz w:val="22"/>
        </w:rPr>
        <w:t>Field Coordinator’ and </w:t>
      </w:r>
      <w:r>
        <w:rPr>
          <w:sz w:val="24"/>
        </w:rPr>
        <w:t>'</w:t>
      </w:r>
      <w:r>
        <w:rPr>
          <w:sz w:val="22"/>
        </w:rPr>
        <w:t>Program Manager</w:t>
      </w:r>
      <w:r>
        <w:rPr>
          <w:sz w:val="24"/>
        </w:rPr>
        <w:t>'</w:t>
      </w:r>
      <w:r>
        <w:rPr>
          <w:sz w:val="22"/>
        </w:rPr>
        <w:t>, (B) removing </w:t>
      </w:r>
      <w:r>
        <w:rPr>
          <w:sz w:val="24"/>
        </w:rPr>
        <w:t>'</w:t>
      </w:r>
      <w:r>
        <w:rPr>
          <w:sz w:val="22"/>
        </w:rPr>
        <w:t>the aging blind</w:t>
      </w:r>
      <w:r>
        <w:rPr>
          <w:sz w:val="24"/>
        </w:rPr>
        <w:t>' </w:t>
      </w:r>
      <w:r>
        <w:rPr>
          <w:sz w:val="22"/>
        </w:rPr>
        <w:t>replacing with ‘Older Blind’, (D) adding </w:t>
      </w:r>
      <w:r>
        <w:rPr>
          <w:sz w:val="24"/>
        </w:rPr>
        <w:t>'</w:t>
      </w:r>
      <w:r>
        <w:rPr>
          <w:sz w:val="22"/>
        </w:rPr>
        <w:t>recorded</w:t>
      </w:r>
      <w:r>
        <w:rPr>
          <w:sz w:val="24"/>
        </w:rPr>
        <w:t>' </w:t>
      </w:r>
      <w:r>
        <w:rPr>
          <w:sz w:val="22"/>
        </w:rPr>
        <w:t>and removing </w:t>
      </w:r>
      <w:r>
        <w:rPr>
          <w:sz w:val="24"/>
        </w:rPr>
        <w:t>'</w:t>
      </w:r>
      <w:r>
        <w:rPr>
          <w:sz w:val="22"/>
        </w:rPr>
        <w:t>tape</w:t>
      </w:r>
      <w:r>
        <w:rPr>
          <w:sz w:val="24"/>
        </w:rPr>
        <w:t>' </w:t>
      </w:r>
      <w:r>
        <w:rPr>
          <w:sz w:val="22"/>
        </w:rPr>
        <w:t>replacing with </w:t>
      </w:r>
      <w:r>
        <w:rPr>
          <w:sz w:val="24"/>
        </w:rPr>
        <w:t>'</w:t>
      </w:r>
      <w:r>
        <w:rPr>
          <w:sz w:val="22"/>
        </w:rPr>
        <w:t>digital</w:t>
      </w:r>
      <w:r>
        <w:rPr>
          <w:sz w:val="24"/>
        </w:rPr>
        <w:t>'</w:t>
      </w:r>
      <w:r>
        <w:rPr>
          <w:sz w:val="22"/>
        </w:rPr>
        <w:t>.</w:t>
      </w:r>
    </w:p>
    <w:p>
      <w:pPr>
        <w:tabs>
          <w:tab w:pos="1439" w:val="left" w:leader="none"/>
        </w:tabs>
        <w:spacing w:before="0"/>
        <w:ind w:left="1439" w:right="1185" w:hanging="1080"/>
        <w:jc w:val="left"/>
        <w:rPr>
          <w:sz w:val="22"/>
        </w:rPr>
      </w:pPr>
      <w:r>
        <w:rPr>
          <w:spacing w:val="-2"/>
          <w:sz w:val="22"/>
        </w:rPr>
        <w:t>9-14-18</w:t>
      </w:r>
      <w:r>
        <w:rPr>
          <w:sz w:val="22"/>
        </w:rPr>
        <w:tab/>
        <w:t>Updated</w:t>
      </w:r>
      <w:r>
        <w:rPr>
          <w:spacing w:val="-5"/>
          <w:sz w:val="22"/>
        </w:rPr>
        <w:t> </w:t>
      </w:r>
      <w:r>
        <w:rPr>
          <w:sz w:val="22"/>
        </w:rPr>
        <w:t>language</w:t>
      </w:r>
      <w:r>
        <w:rPr>
          <w:spacing w:val="-5"/>
          <w:sz w:val="22"/>
        </w:rPr>
        <w:t> </w:t>
      </w:r>
      <w:r>
        <w:rPr>
          <w:sz w:val="22"/>
        </w:rPr>
        <w:t>eliminating</w:t>
      </w:r>
      <w:r>
        <w:rPr>
          <w:spacing w:val="-5"/>
          <w:sz w:val="22"/>
        </w:rPr>
        <w:t> </w:t>
      </w:r>
      <w:r>
        <w:rPr>
          <w:sz w:val="22"/>
        </w:rPr>
        <w:t>Homemaker</w:t>
      </w:r>
      <w:r>
        <w:rPr>
          <w:spacing w:val="-5"/>
          <w:sz w:val="22"/>
        </w:rPr>
        <w:t> </w:t>
      </w:r>
      <w:r>
        <w:rPr>
          <w:sz w:val="22"/>
        </w:rPr>
        <w:t>cases</w:t>
      </w:r>
      <w:r>
        <w:rPr>
          <w:spacing w:val="-5"/>
          <w:sz w:val="22"/>
        </w:rPr>
        <w:t> </w:t>
      </w:r>
      <w:r>
        <w:rPr>
          <w:sz w:val="22"/>
        </w:rPr>
        <w:t>as</w:t>
      </w:r>
      <w:r>
        <w:rPr>
          <w:spacing w:val="-5"/>
          <w:sz w:val="22"/>
        </w:rPr>
        <w:t> </w:t>
      </w:r>
      <w:r>
        <w:rPr>
          <w:sz w:val="22"/>
        </w:rPr>
        <w:t>an</w:t>
      </w:r>
      <w:r>
        <w:rPr>
          <w:spacing w:val="-5"/>
          <w:sz w:val="22"/>
        </w:rPr>
        <w:t> </w:t>
      </w:r>
      <w:r>
        <w:rPr>
          <w:sz w:val="22"/>
        </w:rPr>
        <w:t>employment</w:t>
      </w:r>
      <w:r>
        <w:rPr>
          <w:spacing w:val="-5"/>
          <w:sz w:val="22"/>
        </w:rPr>
        <w:t> </w:t>
      </w:r>
      <w:r>
        <w:rPr>
          <w:sz w:val="22"/>
        </w:rPr>
        <w:t>outcome</w:t>
      </w:r>
      <w:r>
        <w:rPr>
          <w:spacing w:val="-5"/>
          <w:sz w:val="22"/>
        </w:rPr>
        <w:t> </w:t>
      </w:r>
      <w:r>
        <w:rPr>
          <w:sz w:val="22"/>
        </w:rPr>
        <w:t>to conform to the Rehab Act. Updated language to clarify Rehabilitation Teaching services may serve individuals with severe visual impairments in addition to individuals who are legally blind.</w:t>
      </w:r>
    </w:p>
    <w:p>
      <w:pPr>
        <w:tabs>
          <w:tab w:pos="1439" w:val="left" w:leader="none"/>
        </w:tabs>
        <w:spacing w:line="253" w:lineRule="exact" w:before="0"/>
        <w:ind w:left="360" w:right="0" w:firstLine="0"/>
        <w:jc w:val="left"/>
        <w:rPr>
          <w:sz w:val="22"/>
        </w:rPr>
      </w:pPr>
      <w:r>
        <w:rPr>
          <w:spacing w:val="-2"/>
          <w:sz w:val="22"/>
        </w:rPr>
        <w:t>9-30-</w:t>
      </w:r>
      <w:r>
        <w:rPr>
          <w:spacing w:val="-5"/>
          <w:sz w:val="22"/>
        </w:rPr>
        <w:t>19</w:t>
      </w:r>
      <w:r>
        <w:rPr>
          <w:sz w:val="22"/>
        </w:rPr>
        <w:tab/>
        <w:t>Added</w:t>
      </w:r>
      <w:r>
        <w:rPr>
          <w:spacing w:val="-5"/>
          <w:sz w:val="22"/>
        </w:rPr>
        <w:t> </w:t>
      </w:r>
      <w:r>
        <w:rPr>
          <w:sz w:val="22"/>
        </w:rPr>
        <w:t>ITS</w:t>
      </w:r>
      <w:r>
        <w:rPr>
          <w:spacing w:val="-4"/>
          <w:sz w:val="22"/>
        </w:rPr>
        <w:t> </w:t>
      </w:r>
      <w:r>
        <w:rPr>
          <w:sz w:val="22"/>
        </w:rPr>
        <w:t>#3</w:t>
      </w:r>
      <w:r>
        <w:rPr>
          <w:spacing w:val="-4"/>
          <w:sz w:val="22"/>
        </w:rPr>
        <w:t> </w:t>
      </w:r>
      <w:r>
        <w:rPr>
          <w:sz w:val="22"/>
        </w:rPr>
        <w:t>and</w:t>
      </w:r>
      <w:r>
        <w:rPr>
          <w:spacing w:val="-4"/>
          <w:sz w:val="22"/>
        </w:rPr>
        <w:t> </w:t>
      </w:r>
      <w:r>
        <w:rPr>
          <w:spacing w:val="-5"/>
          <w:sz w:val="22"/>
        </w:rPr>
        <w:t>#4.</w:t>
      </w:r>
    </w:p>
    <w:p>
      <w:pPr>
        <w:spacing w:after="0" w:line="253" w:lineRule="exact"/>
        <w:jc w:val="left"/>
        <w:rPr>
          <w:sz w:val="22"/>
        </w:rPr>
        <w:sectPr>
          <w:pgSz w:w="12240" w:h="15840"/>
          <w:pgMar w:top="1340" w:bottom="280" w:left="1080" w:right="720"/>
        </w:sectPr>
      </w:pPr>
    </w:p>
    <w:p>
      <w:pPr>
        <w:pStyle w:val="Heading2"/>
      </w:pPr>
      <w:bookmarkStart w:name="612:10-9-5.  Vocational rehabilitation" w:id="245"/>
      <w:bookmarkEnd w:id="245"/>
      <w:r>
        <w:rPr>
          <w:b w:val="0"/>
        </w:rPr>
      </w:r>
      <w:r>
        <w:rPr/>
        <w:t>612:10-9-5.</w:t>
      </w:r>
      <w:r>
        <w:rPr>
          <w:spacing w:val="57"/>
        </w:rPr>
        <w:t> </w:t>
      </w:r>
      <w:r>
        <w:rPr/>
        <w:t>Vocational</w:t>
      </w:r>
      <w:r>
        <w:rPr>
          <w:spacing w:val="-4"/>
        </w:rPr>
        <w:t> </w:t>
      </w:r>
      <w:r>
        <w:rPr>
          <w:spacing w:val="-2"/>
        </w:rPr>
        <w:t>rehabilitation</w:t>
      </w:r>
    </w:p>
    <w:p>
      <w:pPr>
        <w:pStyle w:val="BodyText"/>
        <w:spacing w:line="208" w:lineRule="auto" w:before="233"/>
        <w:ind w:right="775" w:firstLine="450"/>
      </w:pPr>
      <w:r>
        <w:rPr/>
        <w:t>The</w:t>
      </w:r>
      <w:r>
        <w:rPr>
          <w:spacing w:val="-4"/>
        </w:rPr>
        <w:t> </w:t>
      </w:r>
      <w:r>
        <w:rPr/>
        <w:t>consumer</w:t>
      </w:r>
      <w:r>
        <w:rPr>
          <w:spacing w:val="-3"/>
        </w:rPr>
        <w:t> </w:t>
      </w:r>
      <w:r>
        <w:rPr/>
        <w:t>can</w:t>
      </w:r>
      <w:r>
        <w:rPr>
          <w:spacing w:val="-4"/>
        </w:rPr>
        <w:t> </w:t>
      </w:r>
      <w:r>
        <w:rPr/>
        <w:t>receive</w:t>
      </w:r>
      <w:r>
        <w:rPr>
          <w:spacing w:val="-4"/>
        </w:rPr>
        <w:t> </w:t>
      </w:r>
      <w:r>
        <w:rPr/>
        <w:t>the</w:t>
      </w:r>
      <w:r>
        <w:rPr>
          <w:spacing w:val="-4"/>
        </w:rPr>
        <w:t> </w:t>
      </w:r>
      <w:r>
        <w:rPr/>
        <w:t>services</w:t>
      </w:r>
      <w:r>
        <w:rPr>
          <w:spacing w:val="-4"/>
        </w:rPr>
        <w:t> </w:t>
      </w:r>
      <w:r>
        <w:rPr/>
        <w:t>of</w:t>
      </w:r>
      <w:r>
        <w:rPr>
          <w:spacing w:val="-3"/>
        </w:rPr>
        <w:t> </w:t>
      </w:r>
      <w:r>
        <w:rPr/>
        <w:t>the</w:t>
      </w:r>
      <w:r>
        <w:rPr>
          <w:spacing w:val="-4"/>
        </w:rPr>
        <w:t> </w:t>
      </w:r>
      <w:r>
        <w:rPr/>
        <w:t>Instructional</w:t>
      </w:r>
      <w:r>
        <w:rPr>
          <w:spacing w:val="-4"/>
        </w:rPr>
        <w:t> </w:t>
      </w:r>
      <w:r>
        <w:rPr/>
        <w:t>Services</w:t>
      </w:r>
      <w:r>
        <w:rPr>
          <w:spacing w:val="-4"/>
        </w:rPr>
        <w:t> </w:t>
      </w:r>
      <w:r>
        <w:rPr/>
        <w:t>program</w:t>
      </w:r>
      <w:r>
        <w:rPr>
          <w:spacing w:val="-5"/>
        </w:rPr>
        <w:t> </w:t>
      </w:r>
      <w:r>
        <w:rPr/>
        <w:t>while being served through the Vocational Rehabilitation counseling program. The staff member will provide comprehensive instructional services necessary for the consumer to meet the employment goal.</w:t>
      </w:r>
    </w:p>
    <w:p>
      <w:pPr>
        <w:pStyle w:val="ListParagraph"/>
        <w:numPr>
          <w:ilvl w:val="0"/>
          <w:numId w:val="265"/>
        </w:numPr>
        <w:tabs>
          <w:tab w:pos="1217" w:val="left" w:leader="none"/>
        </w:tabs>
        <w:spacing w:line="208" w:lineRule="auto" w:before="239" w:after="0"/>
        <w:ind w:left="791" w:right="747" w:firstLine="0"/>
        <w:jc w:val="left"/>
        <w:rPr>
          <w:sz w:val="24"/>
        </w:rPr>
      </w:pPr>
      <w:r>
        <w:rPr>
          <w:b/>
          <w:sz w:val="24"/>
        </w:rPr>
        <w:t>Referral from rehabilitation counselor</w:t>
      </w:r>
      <w:r>
        <w:rPr>
          <w:sz w:val="24"/>
        </w:rPr>
        <w:t>. Consumers who are legally blind or severely visually impaired receiving services through a rehabilitation counselor will be referred for Rehabilitation Teaching and Orientation &amp; Mobility (O &amp; M) services. Through</w:t>
      </w:r>
      <w:r>
        <w:rPr>
          <w:spacing w:val="-4"/>
          <w:sz w:val="24"/>
        </w:rPr>
        <w:t> </w:t>
      </w:r>
      <w:r>
        <w:rPr>
          <w:sz w:val="24"/>
        </w:rPr>
        <w:t>the</w:t>
      </w:r>
      <w:r>
        <w:rPr>
          <w:spacing w:val="-4"/>
          <w:sz w:val="24"/>
        </w:rPr>
        <w:t> </w:t>
      </w:r>
      <w:r>
        <w:rPr>
          <w:sz w:val="24"/>
        </w:rPr>
        <w:t>diagnosis</w:t>
      </w:r>
      <w:r>
        <w:rPr>
          <w:spacing w:val="-3"/>
          <w:sz w:val="24"/>
        </w:rPr>
        <w:t> </w:t>
      </w:r>
      <w:r>
        <w:rPr>
          <w:sz w:val="24"/>
        </w:rPr>
        <w:t>and</w:t>
      </w:r>
      <w:r>
        <w:rPr>
          <w:spacing w:val="-4"/>
          <w:sz w:val="24"/>
        </w:rPr>
        <w:t> </w:t>
      </w:r>
      <w:r>
        <w:rPr>
          <w:sz w:val="24"/>
        </w:rPr>
        <w:t>evaluation</w:t>
      </w:r>
      <w:r>
        <w:rPr>
          <w:spacing w:val="-4"/>
          <w:sz w:val="24"/>
        </w:rPr>
        <w:t> </w:t>
      </w:r>
      <w:r>
        <w:rPr>
          <w:sz w:val="24"/>
        </w:rPr>
        <w:t>process</w:t>
      </w:r>
      <w:r>
        <w:rPr>
          <w:spacing w:val="-4"/>
          <w:sz w:val="24"/>
        </w:rPr>
        <w:t> </w:t>
      </w:r>
      <w:r>
        <w:rPr>
          <w:sz w:val="24"/>
        </w:rPr>
        <w:t>the</w:t>
      </w:r>
      <w:r>
        <w:rPr>
          <w:spacing w:val="-4"/>
          <w:sz w:val="24"/>
        </w:rPr>
        <w:t> </w:t>
      </w:r>
      <w:r>
        <w:rPr>
          <w:sz w:val="24"/>
        </w:rPr>
        <w:t>staff</w:t>
      </w:r>
      <w:r>
        <w:rPr>
          <w:spacing w:val="-5"/>
          <w:sz w:val="24"/>
        </w:rPr>
        <w:t> </w:t>
      </w:r>
      <w:r>
        <w:rPr>
          <w:sz w:val="24"/>
        </w:rPr>
        <w:t>member</w:t>
      </w:r>
      <w:r>
        <w:rPr>
          <w:spacing w:val="-4"/>
          <w:sz w:val="24"/>
        </w:rPr>
        <w:t> </w:t>
      </w:r>
      <w:r>
        <w:rPr>
          <w:sz w:val="24"/>
        </w:rPr>
        <w:t>gathers</w:t>
      </w:r>
      <w:r>
        <w:rPr>
          <w:spacing w:val="-4"/>
          <w:sz w:val="24"/>
        </w:rPr>
        <w:t> </w:t>
      </w:r>
      <w:r>
        <w:rPr>
          <w:sz w:val="24"/>
        </w:rPr>
        <w:t>information to aid in determining needs for instructional services.</w:t>
      </w:r>
    </w:p>
    <w:p>
      <w:pPr>
        <w:pStyle w:val="ListParagraph"/>
        <w:numPr>
          <w:ilvl w:val="0"/>
          <w:numId w:val="265"/>
        </w:numPr>
        <w:tabs>
          <w:tab w:pos="1218" w:val="left" w:leader="none"/>
        </w:tabs>
        <w:spacing w:line="208" w:lineRule="auto" w:before="240" w:after="0"/>
        <w:ind w:left="792" w:right="775" w:firstLine="0"/>
        <w:jc w:val="left"/>
        <w:rPr>
          <w:sz w:val="24"/>
        </w:rPr>
      </w:pPr>
      <w:r>
        <w:rPr>
          <w:b/>
          <w:sz w:val="24"/>
        </w:rPr>
        <w:t>Rehabilitation teaching services in joint cases</w:t>
      </w:r>
      <w:r>
        <w:rPr>
          <w:sz w:val="24"/>
        </w:rPr>
        <w:t>. Important services provided by</w:t>
      </w:r>
      <w:r>
        <w:rPr>
          <w:spacing w:val="-4"/>
          <w:sz w:val="24"/>
        </w:rPr>
        <w:t> </w:t>
      </w:r>
      <w:r>
        <w:rPr>
          <w:sz w:val="24"/>
        </w:rPr>
        <w:t>the</w:t>
      </w:r>
      <w:r>
        <w:rPr>
          <w:spacing w:val="-4"/>
          <w:sz w:val="24"/>
        </w:rPr>
        <w:t> </w:t>
      </w:r>
      <w:r>
        <w:rPr>
          <w:sz w:val="24"/>
        </w:rPr>
        <w:t>teacher</w:t>
      </w:r>
      <w:r>
        <w:rPr>
          <w:spacing w:val="-3"/>
          <w:sz w:val="24"/>
        </w:rPr>
        <w:t> </w:t>
      </w:r>
      <w:r>
        <w:rPr>
          <w:sz w:val="24"/>
        </w:rPr>
        <w:t>include</w:t>
      </w:r>
      <w:r>
        <w:rPr>
          <w:spacing w:val="-3"/>
          <w:sz w:val="24"/>
        </w:rPr>
        <w:t> </w:t>
      </w:r>
      <w:r>
        <w:rPr>
          <w:sz w:val="24"/>
        </w:rPr>
        <w:t>evaluation</w:t>
      </w:r>
      <w:r>
        <w:rPr>
          <w:spacing w:val="-3"/>
          <w:sz w:val="24"/>
        </w:rPr>
        <w:t> </w:t>
      </w:r>
      <w:r>
        <w:rPr>
          <w:sz w:val="24"/>
        </w:rPr>
        <w:t>and</w:t>
      </w:r>
      <w:r>
        <w:rPr>
          <w:spacing w:val="-4"/>
          <w:sz w:val="24"/>
        </w:rPr>
        <w:t> </w:t>
      </w:r>
      <w:r>
        <w:rPr>
          <w:sz w:val="24"/>
        </w:rPr>
        <w:t>training</w:t>
      </w:r>
      <w:r>
        <w:rPr>
          <w:spacing w:val="-4"/>
          <w:sz w:val="24"/>
        </w:rPr>
        <w:t> </w:t>
      </w:r>
      <w:r>
        <w:rPr>
          <w:sz w:val="24"/>
        </w:rPr>
        <w:t>in</w:t>
      </w:r>
      <w:r>
        <w:rPr>
          <w:spacing w:val="-4"/>
          <w:sz w:val="24"/>
        </w:rPr>
        <w:t> </w:t>
      </w:r>
      <w:r>
        <w:rPr>
          <w:sz w:val="24"/>
        </w:rPr>
        <w:t>areas</w:t>
      </w:r>
      <w:r>
        <w:rPr>
          <w:spacing w:val="-4"/>
          <w:sz w:val="24"/>
        </w:rPr>
        <w:t> </w:t>
      </w:r>
      <w:r>
        <w:rPr>
          <w:sz w:val="24"/>
        </w:rPr>
        <w:t>related</w:t>
      </w:r>
      <w:r>
        <w:rPr>
          <w:spacing w:val="-4"/>
          <w:sz w:val="24"/>
        </w:rPr>
        <w:t> </w:t>
      </w:r>
      <w:r>
        <w:rPr>
          <w:sz w:val="24"/>
        </w:rPr>
        <w:t>to</w:t>
      </w:r>
      <w:r>
        <w:rPr>
          <w:spacing w:val="-4"/>
          <w:sz w:val="24"/>
        </w:rPr>
        <w:t> </w:t>
      </w:r>
      <w:r>
        <w:rPr>
          <w:sz w:val="24"/>
        </w:rPr>
        <w:t>employment</w:t>
      </w:r>
      <w:r>
        <w:rPr>
          <w:spacing w:val="-3"/>
          <w:sz w:val="24"/>
        </w:rPr>
        <w:t> </w:t>
      </w:r>
      <w:r>
        <w:rPr>
          <w:sz w:val="24"/>
        </w:rPr>
        <w:t>which include but are not limited to consumer and family adjustment to blindness, competence in communication, job readiness skills, personal management, home management, and basic orientation to immediate surroundings to facilitate safe mobility at home and work.</w:t>
      </w:r>
    </w:p>
    <w:p>
      <w:pPr>
        <w:pStyle w:val="ListParagraph"/>
        <w:numPr>
          <w:ilvl w:val="0"/>
          <w:numId w:val="265"/>
        </w:numPr>
        <w:tabs>
          <w:tab w:pos="1217" w:val="left" w:leader="none"/>
        </w:tabs>
        <w:spacing w:line="208" w:lineRule="auto" w:before="239" w:after="0"/>
        <w:ind w:left="792" w:right="806" w:firstLine="0"/>
        <w:jc w:val="left"/>
        <w:rPr>
          <w:sz w:val="24"/>
        </w:rPr>
      </w:pPr>
      <w:r>
        <w:rPr>
          <w:b/>
          <w:sz w:val="24"/>
        </w:rPr>
        <w:t>Orientation</w:t>
      </w:r>
      <w:r>
        <w:rPr>
          <w:b/>
          <w:spacing w:val="-4"/>
          <w:sz w:val="24"/>
        </w:rPr>
        <w:t> </w:t>
      </w:r>
      <w:r>
        <w:rPr>
          <w:b/>
          <w:sz w:val="24"/>
        </w:rPr>
        <w:t>and</w:t>
      </w:r>
      <w:r>
        <w:rPr>
          <w:b/>
          <w:spacing w:val="-5"/>
          <w:sz w:val="24"/>
        </w:rPr>
        <w:t> </w:t>
      </w:r>
      <w:r>
        <w:rPr>
          <w:b/>
          <w:sz w:val="24"/>
        </w:rPr>
        <w:t>Mobility</w:t>
      </w:r>
      <w:r>
        <w:rPr>
          <w:b/>
          <w:spacing w:val="-4"/>
          <w:sz w:val="24"/>
        </w:rPr>
        <w:t> </w:t>
      </w:r>
      <w:r>
        <w:rPr>
          <w:b/>
          <w:sz w:val="24"/>
        </w:rPr>
        <w:t>referral</w:t>
      </w:r>
      <w:r>
        <w:rPr>
          <w:b/>
          <w:spacing w:val="-5"/>
          <w:sz w:val="24"/>
        </w:rPr>
        <w:t> </w:t>
      </w:r>
      <w:r>
        <w:rPr>
          <w:b/>
          <w:sz w:val="24"/>
        </w:rPr>
        <w:t>for</w:t>
      </w:r>
      <w:r>
        <w:rPr>
          <w:b/>
          <w:spacing w:val="-4"/>
          <w:sz w:val="24"/>
        </w:rPr>
        <w:t> </w:t>
      </w:r>
      <w:r>
        <w:rPr>
          <w:b/>
          <w:sz w:val="24"/>
        </w:rPr>
        <w:t>joint</w:t>
      </w:r>
      <w:r>
        <w:rPr>
          <w:b/>
          <w:spacing w:val="-4"/>
          <w:sz w:val="24"/>
        </w:rPr>
        <w:t> </w:t>
      </w:r>
      <w:r>
        <w:rPr>
          <w:b/>
          <w:sz w:val="24"/>
        </w:rPr>
        <w:t>cases.</w:t>
      </w:r>
      <w:r>
        <w:rPr>
          <w:b/>
          <w:spacing w:val="-4"/>
          <w:sz w:val="24"/>
        </w:rPr>
        <w:t> </w:t>
      </w:r>
      <w:r>
        <w:rPr>
          <w:sz w:val="24"/>
        </w:rPr>
        <w:t>Important</w:t>
      </w:r>
      <w:r>
        <w:rPr>
          <w:spacing w:val="-6"/>
          <w:sz w:val="24"/>
        </w:rPr>
        <w:t> </w:t>
      </w:r>
      <w:r>
        <w:rPr>
          <w:sz w:val="24"/>
        </w:rPr>
        <w:t>services</w:t>
      </w:r>
      <w:r>
        <w:rPr>
          <w:spacing w:val="-4"/>
          <w:sz w:val="24"/>
        </w:rPr>
        <w:t> </w:t>
      </w:r>
      <w:r>
        <w:rPr>
          <w:sz w:val="24"/>
        </w:rPr>
        <w:t>provided by the O &amp; M Specialist include, but are not limited to, evaluation and training for safe travel in the workplace, cane travel, preparation for dog guide, and local transportation usage.</w:t>
      </w:r>
    </w:p>
    <w:p>
      <w:pPr>
        <w:pStyle w:val="ListParagraph"/>
        <w:numPr>
          <w:ilvl w:val="0"/>
          <w:numId w:val="265"/>
        </w:numPr>
        <w:tabs>
          <w:tab w:pos="1218" w:val="left" w:leader="none"/>
        </w:tabs>
        <w:spacing w:line="208" w:lineRule="auto" w:before="240" w:after="0"/>
        <w:ind w:left="792" w:right="882" w:firstLine="0"/>
        <w:jc w:val="left"/>
        <w:rPr>
          <w:sz w:val="24"/>
        </w:rPr>
      </w:pPr>
      <w:r>
        <w:rPr>
          <w:b/>
          <w:sz w:val="24"/>
        </w:rPr>
        <w:t>Joint</w:t>
      </w:r>
      <w:r>
        <w:rPr>
          <w:b/>
          <w:spacing w:val="-3"/>
          <w:sz w:val="24"/>
        </w:rPr>
        <w:t> </w:t>
      </w:r>
      <w:r>
        <w:rPr>
          <w:b/>
          <w:sz w:val="24"/>
        </w:rPr>
        <w:t>service</w:t>
      </w:r>
      <w:r>
        <w:rPr>
          <w:b/>
          <w:spacing w:val="-4"/>
          <w:sz w:val="24"/>
        </w:rPr>
        <w:t> </w:t>
      </w:r>
      <w:r>
        <w:rPr>
          <w:b/>
          <w:sz w:val="24"/>
        </w:rPr>
        <w:t>status</w:t>
      </w:r>
      <w:r>
        <w:rPr>
          <w:sz w:val="24"/>
        </w:rPr>
        <w:t>.</w:t>
      </w:r>
      <w:r>
        <w:rPr>
          <w:spacing w:val="-3"/>
          <w:sz w:val="24"/>
        </w:rPr>
        <w:t> </w:t>
      </w:r>
      <w:r>
        <w:rPr>
          <w:sz w:val="24"/>
        </w:rPr>
        <w:t>When</w:t>
      </w:r>
      <w:r>
        <w:rPr>
          <w:spacing w:val="-4"/>
          <w:sz w:val="24"/>
        </w:rPr>
        <w:t> </w:t>
      </w:r>
      <w:r>
        <w:rPr>
          <w:sz w:val="24"/>
        </w:rPr>
        <w:t>it</w:t>
      </w:r>
      <w:r>
        <w:rPr>
          <w:spacing w:val="-3"/>
          <w:sz w:val="24"/>
        </w:rPr>
        <w:t> </w:t>
      </w:r>
      <w:r>
        <w:rPr>
          <w:sz w:val="24"/>
        </w:rPr>
        <w:t>is</w:t>
      </w:r>
      <w:r>
        <w:rPr>
          <w:spacing w:val="-4"/>
          <w:sz w:val="24"/>
        </w:rPr>
        <w:t> </w:t>
      </w:r>
      <w:r>
        <w:rPr>
          <w:sz w:val="24"/>
        </w:rPr>
        <w:t>determined</w:t>
      </w:r>
      <w:r>
        <w:rPr>
          <w:spacing w:val="-4"/>
          <w:sz w:val="24"/>
        </w:rPr>
        <w:t> </w:t>
      </w:r>
      <w:r>
        <w:rPr>
          <w:sz w:val="24"/>
        </w:rPr>
        <w:t>a</w:t>
      </w:r>
      <w:r>
        <w:rPr>
          <w:spacing w:val="-4"/>
          <w:sz w:val="24"/>
        </w:rPr>
        <w:t> </w:t>
      </w:r>
      <w:r>
        <w:rPr>
          <w:sz w:val="24"/>
        </w:rPr>
        <w:t>consumer</w:t>
      </w:r>
      <w:r>
        <w:rPr>
          <w:spacing w:val="-3"/>
          <w:sz w:val="24"/>
        </w:rPr>
        <w:t> </w:t>
      </w:r>
      <w:r>
        <w:rPr>
          <w:sz w:val="24"/>
        </w:rPr>
        <w:t>can</w:t>
      </w:r>
      <w:r>
        <w:rPr>
          <w:spacing w:val="-4"/>
          <w:sz w:val="24"/>
        </w:rPr>
        <w:t> </w:t>
      </w:r>
      <w:r>
        <w:rPr>
          <w:sz w:val="24"/>
        </w:rPr>
        <w:t>benefit</w:t>
      </w:r>
      <w:r>
        <w:rPr>
          <w:spacing w:val="-3"/>
          <w:sz w:val="24"/>
        </w:rPr>
        <w:t> </w:t>
      </w:r>
      <w:r>
        <w:rPr>
          <w:sz w:val="24"/>
        </w:rPr>
        <w:t>from</w:t>
      </w:r>
      <w:r>
        <w:rPr>
          <w:spacing w:val="-6"/>
          <w:sz w:val="24"/>
        </w:rPr>
        <w:t> </w:t>
      </w:r>
      <w:r>
        <w:rPr>
          <w:sz w:val="24"/>
        </w:rPr>
        <w:t>both instructional and counseling services the instructional staff and counselor, through consultation with each other and the consumer, will each develop a program of services. During the provision of services, the counselor and instructional staff will share pertinent information including narrative recording, through regular contact and case staffing. The formation of the instructional service plan should include objectives and services to be provided.</w:t>
      </w:r>
    </w:p>
    <w:p>
      <w:pPr>
        <w:pStyle w:val="ListParagraph"/>
        <w:numPr>
          <w:ilvl w:val="0"/>
          <w:numId w:val="265"/>
        </w:numPr>
        <w:tabs>
          <w:tab w:pos="1236" w:val="left" w:leader="none"/>
        </w:tabs>
        <w:spacing w:line="208" w:lineRule="auto" w:before="239" w:after="0"/>
        <w:ind w:left="810" w:right="890" w:firstLine="0"/>
        <w:jc w:val="left"/>
        <w:rPr>
          <w:b/>
          <w:sz w:val="24"/>
        </w:rPr>
      </w:pPr>
      <w:r>
        <w:rPr>
          <w:b/>
          <w:sz w:val="24"/>
        </w:rPr>
        <w:t>Closing</w:t>
      </w:r>
      <w:r>
        <w:rPr>
          <w:b/>
          <w:spacing w:val="-4"/>
          <w:sz w:val="24"/>
        </w:rPr>
        <w:t> </w:t>
      </w:r>
      <w:r>
        <w:rPr>
          <w:b/>
          <w:sz w:val="24"/>
        </w:rPr>
        <w:t>joint</w:t>
      </w:r>
      <w:r>
        <w:rPr>
          <w:b/>
          <w:spacing w:val="-5"/>
          <w:sz w:val="24"/>
        </w:rPr>
        <w:t> </w:t>
      </w:r>
      <w:r>
        <w:rPr>
          <w:b/>
          <w:sz w:val="24"/>
        </w:rPr>
        <w:t>cases</w:t>
      </w:r>
      <w:r>
        <w:rPr>
          <w:sz w:val="24"/>
        </w:rPr>
        <w:t>.</w:t>
      </w:r>
      <w:r>
        <w:rPr>
          <w:spacing w:val="-3"/>
          <w:sz w:val="24"/>
        </w:rPr>
        <w:t> </w:t>
      </w:r>
      <w:r>
        <w:rPr>
          <w:sz w:val="24"/>
        </w:rPr>
        <w:t>When</w:t>
      </w:r>
      <w:r>
        <w:rPr>
          <w:spacing w:val="-4"/>
          <w:sz w:val="24"/>
        </w:rPr>
        <w:t> </w:t>
      </w:r>
      <w:r>
        <w:rPr>
          <w:sz w:val="24"/>
        </w:rPr>
        <w:t>preparing</w:t>
      </w:r>
      <w:r>
        <w:rPr>
          <w:spacing w:val="-4"/>
          <w:sz w:val="24"/>
        </w:rPr>
        <w:t> </w:t>
      </w:r>
      <w:r>
        <w:rPr>
          <w:sz w:val="24"/>
        </w:rPr>
        <w:t>a</w:t>
      </w:r>
      <w:r>
        <w:rPr>
          <w:spacing w:val="-4"/>
          <w:sz w:val="24"/>
        </w:rPr>
        <w:t> </w:t>
      </w:r>
      <w:r>
        <w:rPr>
          <w:sz w:val="24"/>
        </w:rPr>
        <w:t>joint</w:t>
      </w:r>
      <w:r>
        <w:rPr>
          <w:spacing w:val="-3"/>
          <w:sz w:val="24"/>
        </w:rPr>
        <w:t> </w:t>
      </w:r>
      <w:r>
        <w:rPr>
          <w:sz w:val="24"/>
        </w:rPr>
        <w:t>case</w:t>
      </w:r>
      <w:r>
        <w:rPr>
          <w:spacing w:val="-4"/>
          <w:sz w:val="24"/>
        </w:rPr>
        <w:t> </w:t>
      </w:r>
      <w:r>
        <w:rPr>
          <w:sz w:val="24"/>
        </w:rPr>
        <w:t>for</w:t>
      </w:r>
      <w:r>
        <w:rPr>
          <w:spacing w:val="-3"/>
          <w:sz w:val="24"/>
        </w:rPr>
        <w:t> </w:t>
      </w:r>
      <w:r>
        <w:rPr>
          <w:sz w:val="24"/>
        </w:rPr>
        <w:t>closure,</w:t>
      </w:r>
      <w:r>
        <w:rPr>
          <w:spacing w:val="-3"/>
          <w:sz w:val="24"/>
        </w:rPr>
        <w:t> </w:t>
      </w:r>
      <w:r>
        <w:rPr>
          <w:sz w:val="24"/>
        </w:rPr>
        <w:t>the</w:t>
      </w:r>
      <w:r>
        <w:rPr>
          <w:spacing w:val="-4"/>
          <w:sz w:val="24"/>
        </w:rPr>
        <w:t> </w:t>
      </w:r>
      <w:r>
        <w:rPr>
          <w:sz w:val="24"/>
        </w:rPr>
        <w:t>instructional staff and counselor will consult one another to determine readiness for closure. </w:t>
      </w:r>
      <w:r>
        <w:rPr>
          <w:b/>
          <w:sz w:val="24"/>
        </w:rPr>
        <w:t>1</w:t>
      </w:r>
    </w:p>
    <w:p>
      <w:pPr>
        <w:pStyle w:val="BodyText"/>
        <w:spacing w:before="211"/>
        <w:ind w:left="359"/>
      </w:pPr>
      <w:r>
        <w:rPr/>
        <w:t>INSTRUCTIONS</w:t>
      </w:r>
      <w:r>
        <w:rPr>
          <w:spacing w:val="-3"/>
        </w:rPr>
        <w:t> </w:t>
      </w:r>
      <w:r>
        <w:rPr/>
        <w:t>TO</w:t>
      </w:r>
      <w:r>
        <w:rPr>
          <w:spacing w:val="-2"/>
        </w:rPr>
        <w:t> </w:t>
      </w:r>
      <w:r>
        <w:rPr>
          <w:spacing w:val="-4"/>
        </w:rPr>
        <w:t>STAFF</w:t>
      </w:r>
    </w:p>
    <w:p>
      <w:pPr>
        <w:pStyle w:val="BodyText"/>
        <w:spacing w:before="204"/>
        <w:ind w:left="791"/>
      </w:pPr>
      <w:r>
        <w:rPr/>
        <w:t>1.</w:t>
      </w:r>
      <w:r>
        <w:rPr>
          <w:spacing w:val="13"/>
        </w:rPr>
        <w:t> </w:t>
      </w:r>
      <w:hyperlink w:history="true" w:anchor="_bookmark19">
        <w:r>
          <w:rPr>
            <w:color w:val="0000FF"/>
            <w:u w:val="single" w:color="0000FF"/>
          </w:rPr>
          <w:t>612:10-7-87</w:t>
        </w:r>
      </w:hyperlink>
      <w:r>
        <w:rPr>
          <w:color w:val="0000FF"/>
          <w:spacing w:val="-5"/>
          <w:u w:val="none"/>
        </w:rPr>
        <w:t> </w:t>
      </w:r>
      <w:r>
        <w:rPr>
          <w:u w:val="none"/>
        </w:rPr>
        <w:t>Actions</w:t>
      </w:r>
      <w:r>
        <w:rPr>
          <w:spacing w:val="-4"/>
          <w:u w:val="none"/>
        </w:rPr>
        <w:t> </w:t>
      </w:r>
      <w:r>
        <w:rPr>
          <w:u w:val="none"/>
        </w:rPr>
        <w:t>requiring</w:t>
      </w:r>
      <w:r>
        <w:rPr>
          <w:spacing w:val="-4"/>
          <w:u w:val="none"/>
        </w:rPr>
        <w:t> </w:t>
      </w:r>
      <w:r>
        <w:rPr>
          <w:u w:val="none"/>
        </w:rPr>
        <w:t>supervisor’s</w:t>
      </w:r>
      <w:r>
        <w:rPr>
          <w:spacing w:val="-4"/>
          <w:u w:val="none"/>
        </w:rPr>
        <w:t> </w:t>
      </w:r>
      <w:r>
        <w:rPr>
          <w:spacing w:val="-2"/>
          <w:u w:val="none"/>
        </w:rPr>
        <w:t>approval</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7-1-98</w:t>
      </w:r>
      <w:r>
        <w:rPr>
          <w:sz w:val="22"/>
        </w:rPr>
        <w:tab/>
        <w:t>PT Memo #98-15</w:t>
      </w:r>
    </w:p>
    <w:p>
      <w:pPr>
        <w:spacing w:before="1"/>
        <w:ind w:left="1439" w:right="1036" w:firstLine="0"/>
        <w:jc w:val="left"/>
        <w:rPr>
          <w:sz w:val="22"/>
        </w:rPr>
      </w:pPr>
      <w:r>
        <w:rPr>
          <w:sz w:val="22"/>
        </w:rPr>
        <w:t>Permanent,</w:t>
      </w:r>
      <w:r>
        <w:rPr>
          <w:spacing w:val="-4"/>
          <w:sz w:val="22"/>
        </w:rPr>
        <w:t> </w:t>
      </w:r>
      <w:r>
        <w:rPr>
          <w:sz w:val="22"/>
        </w:rPr>
        <w:t>sharing</w:t>
      </w:r>
      <w:r>
        <w:rPr>
          <w:spacing w:val="-5"/>
          <w:sz w:val="22"/>
        </w:rPr>
        <w:t> </w:t>
      </w:r>
      <w:r>
        <w:rPr>
          <w:sz w:val="22"/>
        </w:rPr>
        <w:t>of</w:t>
      </w:r>
      <w:r>
        <w:rPr>
          <w:spacing w:val="-5"/>
          <w:sz w:val="22"/>
        </w:rPr>
        <w:t> </w:t>
      </w:r>
      <w:r>
        <w:rPr>
          <w:sz w:val="22"/>
        </w:rPr>
        <w:t>information</w:t>
      </w:r>
      <w:r>
        <w:rPr>
          <w:spacing w:val="-5"/>
          <w:sz w:val="22"/>
        </w:rPr>
        <w:t> </w:t>
      </w:r>
      <w:r>
        <w:rPr>
          <w:sz w:val="22"/>
        </w:rPr>
        <w:t>between</w:t>
      </w:r>
      <w:r>
        <w:rPr>
          <w:spacing w:val="-5"/>
          <w:sz w:val="22"/>
        </w:rPr>
        <w:t> </w:t>
      </w:r>
      <w:r>
        <w:rPr>
          <w:sz w:val="22"/>
        </w:rPr>
        <w:t>VS</w:t>
      </w:r>
      <w:r>
        <w:rPr>
          <w:spacing w:val="-5"/>
          <w:sz w:val="22"/>
        </w:rPr>
        <w:t> </w:t>
      </w:r>
      <w:r>
        <w:rPr>
          <w:sz w:val="22"/>
        </w:rPr>
        <w:t>Counselor</w:t>
      </w:r>
      <w:r>
        <w:rPr>
          <w:spacing w:val="-5"/>
          <w:sz w:val="22"/>
        </w:rPr>
        <w:t> </w:t>
      </w:r>
      <w:r>
        <w:rPr>
          <w:sz w:val="22"/>
        </w:rPr>
        <w:t>and</w:t>
      </w:r>
      <w:r>
        <w:rPr>
          <w:spacing w:val="-5"/>
          <w:sz w:val="22"/>
        </w:rPr>
        <w:t> </w:t>
      </w:r>
      <w:r>
        <w:rPr>
          <w:sz w:val="22"/>
        </w:rPr>
        <w:t>Rehabilitation </w:t>
      </w:r>
      <w:r>
        <w:rPr>
          <w:spacing w:val="-2"/>
          <w:sz w:val="22"/>
        </w:rPr>
        <w:t>Teacher</w:t>
      </w:r>
    </w:p>
    <w:p>
      <w:pPr>
        <w:pStyle w:val="ListParagraph"/>
        <w:numPr>
          <w:ilvl w:val="2"/>
          <w:numId w:val="206"/>
        </w:numPr>
        <w:tabs>
          <w:tab w:pos="1439" w:val="left" w:leader="none"/>
        </w:tabs>
        <w:spacing w:line="252" w:lineRule="exact" w:before="0" w:after="0"/>
        <w:ind w:left="1439" w:right="0" w:hanging="1080"/>
        <w:jc w:val="left"/>
        <w:rPr>
          <w:sz w:val="22"/>
        </w:rPr>
      </w:pPr>
      <w:r>
        <w:rPr>
          <w:sz w:val="22"/>
        </w:rPr>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359" w:right="5967" w:firstLine="1080"/>
        <w:jc w:val="left"/>
        <w:rPr>
          <w:sz w:val="22"/>
        </w:rPr>
      </w:pPr>
      <w:r>
        <w:rPr>
          <w:sz w:val="22"/>
        </w:rPr>
        <w:t>Permanent,</w:t>
      </w:r>
      <w:r>
        <w:rPr>
          <w:spacing w:val="-16"/>
          <w:sz w:val="22"/>
        </w:rPr>
        <w:t> </w:t>
      </w:r>
      <w:r>
        <w:rPr>
          <w:sz w:val="22"/>
        </w:rPr>
        <w:t>updated</w:t>
      </w:r>
      <w:r>
        <w:rPr>
          <w:spacing w:val="-15"/>
          <w:sz w:val="22"/>
        </w:rPr>
        <w:t> </w:t>
      </w:r>
      <w:r>
        <w:rPr>
          <w:sz w:val="22"/>
        </w:rPr>
        <w:t>DVR/DVS </w:t>
      </w:r>
      <w:r>
        <w:rPr>
          <w:spacing w:val="-2"/>
          <w:sz w:val="22"/>
        </w:rPr>
        <w:t>7-1-04</w:t>
      </w:r>
      <w:r>
        <w:rPr>
          <w:sz w:val="22"/>
        </w:rPr>
        <w:tab/>
        <w:t>PT Memo #05-01</w:t>
      </w:r>
    </w:p>
    <w:p>
      <w:pPr>
        <w:tabs>
          <w:tab w:pos="1439" w:val="left" w:leader="none"/>
        </w:tabs>
        <w:spacing w:before="0"/>
        <w:ind w:left="359" w:right="6038" w:firstLine="1080"/>
        <w:jc w:val="left"/>
        <w:rPr>
          <w:sz w:val="22"/>
        </w:rPr>
      </w:pPr>
      <w:r>
        <w:rPr>
          <w:sz w:val="22"/>
        </w:rPr>
        <w:t>Permanent,</w:t>
      </w:r>
      <w:r>
        <w:rPr>
          <w:spacing w:val="-16"/>
          <w:sz w:val="22"/>
        </w:rPr>
        <w:t> </w:t>
      </w:r>
      <w:r>
        <w:rPr>
          <w:sz w:val="22"/>
        </w:rPr>
        <w:t>updated</w:t>
      </w:r>
      <w:r>
        <w:rPr>
          <w:spacing w:val="-15"/>
          <w:sz w:val="22"/>
        </w:rPr>
        <w:t> </w:t>
      </w:r>
      <w:r>
        <w:rPr>
          <w:sz w:val="22"/>
        </w:rPr>
        <w:t>language </w:t>
      </w:r>
      <w:r>
        <w:rPr>
          <w:spacing w:val="-2"/>
          <w:sz w:val="22"/>
        </w:rPr>
        <w:t>7-1-11</w:t>
      </w:r>
      <w:r>
        <w:rPr>
          <w:sz w:val="22"/>
        </w:rPr>
        <w:tab/>
        <w:t>PT Memo #12-01</w:t>
      </w:r>
    </w:p>
    <w:p>
      <w:pPr>
        <w:spacing w:after="0"/>
        <w:jc w:val="left"/>
        <w:rPr>
          <w:sz w:val="22"/>
        </w:rPr>
        <w:sectPr>
          <w:pgSz w:w="12240" w:h="15840"/>
          <w:pgMar w:top="1340" w:bottom="280" w:left="1080" w:right="720"/>
        </w:sectPr>
      </w:pPr>
    </w:p>
    <w:p>
      <w:pPr>
        <w:spacing w:before="80"/>
        <w:ind w:left="1439" w:right="0" w:firstLine="0"/>
        <w:jc w:val="left"/>
        <w:rPr>
          <w:sz w:val="22"/>
        </w:rPr>
      </w:pPr>
      <w:r>
        <w:rPr>
          <w:sz w:val="22"/>
        </w:rPr>
        <w:t>Permanent,</w:t>
      </w:r>
      <w:r>
        <w:rPr>
          <w:spacing w:val="-8"/>
          <w:sz w:val="22"/>
        </w:rPr>
        <w:t> </w:t>
      </w:r>
      <w:r>
        <w:rPr>
          <w:sz w:val="22"/>
        </w:rPr>
        <w:t>improving</w:t>
      </w:r>
      <w:r>
        <w:rPr>
          <w:spacing w:val="-8"/>
          <w:sz w:val="22"/>
        </w:rPr>
        <w:t> </w:t>
      </w:r>
      <w:r>
        <w:rPr>
          <w:sz w:val="22"/>
        </w:rPr>
        <w:t>clarity</w:t>
      </w:r>
      <w:r>
        <w:rPr>
          <w:spacing w:val="-8"/>
          <w:sz w:val="22"/>
        </w:rPr>
        <w:t> </w:t>
      </w:r>
      <w:r>
        <w:rPr>
          <w:sz w:val="22"/>
        </w:rPr>
        <w:t>and</w:t>
      </w:r>
      <w:r>
        <w:rPr>
          <w:spacing w:val="-8"/>
          <w:sz w:val="22"/>
        </w:rPr>
        <w:t> </w:t>
      </w:r>
      <w:r>
        <w:rPr>
          <w:sz w:val="22"/>
        </w:rPr>
        <w:t>making</w:t>
      </w:r>
      <w:r>
        <w:rPr>
          <w:spacing w:val="-8"/>
          <w:sz w:val="22"/>
        </w:rPr>
        <w:t> </w:t>
      </w:r>
      <w:r>
        <w:rPr>
          <w:sz w:val="22"/>
        </w:rPr>
        <w:t>more</w:t>
      </w:r>
      <w:r>
        <w:rPr>
          <w:spacing w:val="-8"/>
          <w:sz w:val="22"/>
        </w:rPr>
        <w:t> </w:t>
      </w:r>
      <w:r>
        <w:rPr>
          <w:spacing w:val="-2"/>
          <w:sz w:val="22"/>
        </w:rPr>
        <w:t>precise.</w:t>
      </w:r>
    </w:p>
    <w:p>
      <w:pPr>
        <w:tabs>
          <w:tab w:pos="1439" w:val="left" w:leader="none"/>
        </w:tabs>
        <w:spacing w:before="0"/>
        <w:ind w:left="1439" w:right="720" w:hanging="1080"/>
        <w:jc w:val="left"/>
        <w:rPr>
          <w:sz w:val="22"/>
        </w:rPr>
      </w:pPr>
      <w:r>
        <w:rPr>
          <w:spacing w:val="-2"/>
          <w:sz w:val="22"/>
        </w:rPr>
        <w:t>9-14-18</w:t>
      </w:r>
      <w:r>
        <w:rPr>
          <w:sz w:val="22"/>
        </w:rPr>
        <w:tab/>
        <w:t>Updated</w:t>
      </w:r>
      <w:r>
        <w:rPr>
          <w:spacing w:val="-4"/>
          <w:sz w:val="22"/>
        </w:rPr>
        <w:t> </w:t>
      </w:r>
      <w:r>
        <w:rPr>
          <w:sz w:val="22"/>
        </w:rPr>
        <w:t>terminology,</w:t>
      </w:r>
      <w:r>
        <w:rPr>
          <w:spacing w:val="-4"/>
          <w:sz w:val="22"/>
        </w:rPr>
        <w:t> </w:t>
      </w:r>
      <w:r>
        <w:rPr>
          <w:sz w:val="22"/>
        </w:rPr>
        <w:t>clarified</w:t>
      </w:r>
      <w:r>
        <w:rPr>
          <w:spacing w:val="-4"/>
          <w:sz w:val="22"/>
        </w:rPr>
        <w:t> </w:t>
      </w:r>
      <w:r>
        <w:rPr>
          <w:sz w:val="22"/>
        </w:rPr>
        <w:t>current</w:t>
      </w:r>
      <w:r>
        <w:rPr>
          <w:spacing w:val="-4"/>
          <w:sz w:val="22"/>
        </w:rPr>
        <w:t> </w:t>
      </w:r>
      <w:r>
        <w:rPr>
          <w:sz w:val="22"/>
        </w:rPr>
        <w:t>practice,</w:t>
      </w:r>
      <w:r>
        <w:rPr>
          <w:spacing w:val="-5"/>
          <w:sz w:val="22"/>
        </w:rPr>
        <w:t> </w:t>
      </w:r>
      <w:r>
        <w:rPr>
          <w:sz w:val="22"/>
        </w:rPr>
        <w:t>and</w:t>
      </w:r>
      <w:r>
        <w:rPr>
          <w:spacing w:val="-4"/>
          <w:sz w:val="22"/>
        </w:rPr>
        <w:t> </w:t>
      </w:r>
      <w:r>
        <w:rPr>
          <w:sz w:val="22"/>
        </w:rPr>
        <w:t>clarified</w:t>
      </w:r>
      <w:r>
        <w:rPr>
          <w:spacing w:val="-5"/>
          <w:sz w:val="22"/>
        </w:rPr>
        <w:t> </w:t>
      </w:r>
      <w:r>
        <w:rPr>
          <w:sz w:val="22"/>
        </w:rPr>
        <w:t>instructional</w:t>
      </w:r>
      <w:r>
        <w:rPr>
          <w:spacing w:val="-4"/>
          <w:sz w:val="22"/>
        </w:rPr>
        <w:t> </w:t>
      </w:r>
      <w:r>
        <w:rPr>
          <w:sz w:val="22"/>
        </w:rPr>
        <w:t>services</w:t>
      </w:r>
      <w:r>
        <w:rPr>
          <w:spacing w:val="-4"/>
          <w:sz w:val="22"/>
        </w:rPr>
        <w:t> </w:t>
      </w:r>
      <w:r>
        <w:rPr>
          <w:sz w:val="22"/>
        </w:rPr>
        <w:t>are available not only to blind client but also clients with significant visual impairments.</w:t>
      </w:r>
    </w:p>
    <w:p>
      <w:pPr>
        <w:spacing w:before="0"/>
        <w:ind w:left="1439" w:right="775" w:firstLine="0"/>
        <w:jc w:val="left"/>
        <w:rPr>
          <w:sz w:val="22"/>
        </w:rPr>
      </w:pPr>
      <w:r>
        <w:rPr>
          <w:sz w:val="22"/>
        </w:rPr>
        <w:t>Clarification</w:t>
      </w:r>
      <w:r>
        <w:rPr>
          <w:spacing w:val="-5"/>
          <w:sz w:val="22"/>
        </w:rPr>
        <w:t> </w:t>
      </w:r>
      <w:r>
        <w:rPr>
          <w:sz w:val="22"/>
        </w:rPr>
        <w:t>that</w:t>
      </w:r>
      <w:r>
        <w:rPr>
          <w:spacing w:val="-4"/>
          <w:sz w:val="22"/>
        </w:rPr>
        <w:t> </w:t>
      </w:r>
      <w:r>
        <w:rPr>
          <w:sz w:val="22"/>
        </w:rPr>
        <w:t>Rehabilitation</w:t>
      </w:r>
      <w:r>
        <w:rPr>
          <w:spacing w:val="-4"/>
          <w:sz w:val="22"/>
        </w:rPr>
        <w:t> </w:t>
      </w:r>
      <w:r>
        <w:rPr>
          <w:sz w:val="22"/>
        </w:rPr>
        <w:t>Teaches,</w:t>
      </w:r>
      <w:r>
        <w:rPr>
          <w:spacing w:val="-4"/>
          <w:sz w:val="22"/>
        </w:rPr>
        <w:t> </w:t>
      </w:r>
      <w:r>
        <w:rPr>
          <w:sz w:val="22"/>
        </w:rPr>
        <w:t>Orientation</w:t>
      </w:r>
      <w:r>
        <w:rPr>
          <w:spacing w:val="-4"/>
          <w:sz w:val="22"/>
        </w:rPr>
        <w:t> </w:t>
      </w:r>
      <w:r>
        <w:rPr>
          <w:sz w:val="22"/>
        </w:rPr>
        <w:t>&amp;</w:t>
      </w:r>
      <w:r>
        <w:rPr>
          <w:spacing w:val="-4"/>
          <w:sz w:val="22"/>
        </w:rPr>
        <w:t> </w:t>
      </w:r>
      <w:r>
        <w:rPr>
          <w:sz w:val="22"/>
        </w:rPr>
        <w:t>Mobility</w:t>
      </w:r>
      <w:r>
        <w:rPr>
          <w:spacing w:val="-4"/>
          <w:sz w:val="22"/>
        </w:rPr>
        <w:t> </w:t>
      </w:r>
      <w:r>
        <w:rPr>
          <w:sz w:val="22"/>
        </w:rPr>
        <w:t>Specialists</w:t>
      </w:r>
      <w:r>
        <w:rPr>
          <w:spacing w:val="-5"/>
          <w:sz w:val="22"/>
        </w:rPr>
        <w:t> </w:t>
      </w:r>
      <w:r>
        <w:rPr>
          <w:sz w:val="22"/>
        </w:rPr>
        <w:t>and</w:t>
      </w:r>
      <w:r>
        <w:rPr>
          <w:spacing w:val="-4"/>
          <w:sz w:val="22"/>
        </w:rPr>
        <w:t> </w:t>
      </w:r>
      <w:r>
        <w:rPr>
          <w:sz w:val="22"/>
        </w:rPr>
        <w:t>other specialists may be involved in providing instructional services.</w:t>
      </w:r>
    </w:p>
    <w:p>
      <w:pPr>
        <w:tabs>
          <w:tab w:pos="1439" w:val="left" w:leader="none"/>
        </w:tabs>
        <w:spacing w:before="0"/>
        <w:ind w:left="360" w:right="0" w:firstLine="0"/>
        <w:jc w:val="left"/>
        <w:rPr>
          <w:sz w:val="22"/>
        </w:rPr>
      </w:pPr>
      <w:r>
        <w:rPr>
          <w:spacing w:val="-2"/>
          <w:sz w:val="22"/>
        </w:rPr>
        <w:t>8-11-</w:t>
      </w:r>
      <w:r>
        <w:rPr>
          <w:spacing w:val="-5"/>
          <w:sz w:val="22"/>
        </w:rPr>
        <w:t>19</w:t>
      </w:r>
      <w:r>
        <w:rPr>
          <w:sz w:val="22"/>
        </w:rPr>
        <w:tab/>
        <w:t>Updated</w:t>
      </w:r>
      <w:r>
        <w:rPr>
          <w:spacing w:val="-7"/>
          <w:sz w:val="22"/>
        </w:rPr>
        <w:t> </w:t>
      </w:r>
      <w:r>
        <w:rPr>
          <w:sz w:val="22"/>
        </w:rPr>
        <w:t>language</w:t>
      </w:r>
      <w:r>
        <w:rPr>
          <w:spacing w:val="-6"/>
          <w:sz w:val="22"/>
        </w:rPr>
        <w:t> </w:t>
      </w:r>
      <w:r>
        <w:rPr>
          <w:sz w:val="22"/>
        </w:rPr>
        <w:t>in</w:t>
      </w:r>
      <w:r>
        <w:rPr>
          <w:spacing w:val="-6"/>
          <w:sz w:val="22"/>
        </w:rPr>
        <w:t> </w:t>
      </w:r>
      <w:r>
        <w:rPr>
          <w:sz w:val="22"/>
        </w:rPr>
        <w:t>section</w:t>
      </w:r>
      <w:r>
        <w:rPr>
          <w:spacing w:val="-7"/>
          <w:sz w:val="22"/>
        </w:rPr>
        <w:t> </w:t>
      </w:r>
      <w:r>
        <w:rPr>
          <w:sz w:val="22"/>
        </w:rPr>
        <w:t>(5),</w:t>
      </w:r>
      <w:r>
        <w:rPr>
          <w:spacing w:val="-6"/>
          <w:sz w:val="22"/>
        </w:rPr>
        <w:t> </w:t>
      </w:r>
      <w:r>
        <w:rPr>
          <w:sz w:val="22"/>
        </w:rPr>
        <w:t>closing</w:t>
      </w:r>
      <w:r>
        <w:rPr>
          <w:spacing w:val="-6"/>
          <w:sz w:val="22"/>
        </w:rPr>
        <w:t> </w:t>
      </w:r>
      <w:r>
        <w:rPr>
          <w:sz w:val="22"/>
        </w:rPr>
        <w:t>joint</w:t>
      </w:r>
      <w:r>
        <w:rPr>
          <w:spacing w:val="-8"/>
          <w:sz w:val="22"/>
        </w:rPr>
        <w:t> </w:t>
      </w:r>
      <w:r>
        <w:rPr>
          <w:spacing w:val="-2"/>
          <w:sz w:val="22"/>
        </w:rPr>
        <w:t>cases.</w:t>
      </w:r>
    </w:p>
    <w:p>
      <w:pPr>
        <w:tabs>
          <w:tab w:pos="1439" w:val="left" w:leader="none"/>
        </w:tabs>
        <w:spacing w:before="0"/>
        <w:ind w:left="1439" w:right="1355" w:hanging="1080"/>
        <w:jc w:val="left"/>
        <w:rPr>
          <w:sz w:val="22"/>
        </w:rPr>
      </w:pPr>
      <w:r>
        <w:rPr>
          <w:spacing w:val="-2"/>
          <w:sz w:val="22"/>
        </w:rPr>
        <w:t>9-11-20</w:t>
      </w:r>
      <w:r>
        <w:rPr>
          <w:sz w:val="22"/>
        </w:rPr>
        <w:tab/>
        <w:t>New</w:t>
      </w:r>
      <w:r>
        <w:rPr>
          <w:spacing w:val="-5"/>
          <w:sz w:val="22"/>
        </w:rPr>
        <w:t> </w:t>
      </w:r>
      <w:r>
        <w:rPr>
          <w:sz w:val="22"/>
        </w:rPr>
        <w:t>rule</w:t>
      </w:r>
      <w:r>
        <w:rPr>
          <w:spacing w:val="-4"/>
          <w:sz w:val="22"/>
        </w:rPr>
        <w:t> </w:t>
      </w:r>
      <w:r>
        <w:rPr>
          <w:sz w:val="22"/>
        </w:rPr>
        <w:t>implemented.</w:t>
      </w:r>
      <w:r>
        <w:rPr>
          <w:spacing w:val="-4"/>
          <w:sz w:val="22"/>
        </w:rPr>
        <w:t> </w:t>
      </w:r>
      <w:r>
        <w:rPr>
          <w:sz w:val="22"/>
        </w:rPr>
        <w:t>Moved</w:t>
      </w:r>
      <w:r>
        <w:rPr>
          <w:spacing w:val="-4"/>
          <w:sz w:val="22"/>
        </w:rPr>
        <w:t> </w:t>
      </w:r>
      <w:r>
        <w:rPr>
          <w:sz w:val="22"/>
        </w:rPr>
        <w:t>rule,</w:t>
      </w:r>
      <w:r>
        <w:rPr>
          <w:spacing w:val="-4"/>
          <w:sz w:val="22"/>
        </w:rPr>
        <w:t> </w:t>
      </w:r>
      <w:r>
        <w:rPr>
          <w:sz w:val="22"/>
        </w:rPr>
        <w:t>language</w:t>
      </w:r>
      <w:r>
        <w:rPr>
          <w:spacing w:val="-4"/>
          <w:sz w:val="22"/>
        </w:rPr>
        <w:t> </w:t>
      </w:r>
      <w:r>
        <w:rPr>
          <w:sz w:val="22"/>
        </w:rPr>
        <w:t>and</w:t>
      </w:r>
      <w:r>
        <w:rPr>
          <w:spacing w:val="-4"/>
          <w:sz w:val="22"/>
        </w:rPr>
        <w:t> </w:t>
      </w:r>
      <w:r>
        <w:rPr>
          <w:sz w:val="22"/>
        </w:rPr>
        <w:t>section</w:t>
      </w:r>
      <w:r>
        <w:rPr>
          <w:spacing w:val="-4"/>
          <w:sz w:val="22"/>
        </w:rPr>
        <w:t> </w:t>
      </w:r>
      <w:r>
        <w:rPr>
          <w:sz w:val="22"/>
        </w:rPr>
        <w:t>history</w:t>
      </w:r>
      <w:r>
        <w:rPr>
          <w:spacing w:val="-4"/>
          <w:sz w:val="22"/>
        </w:rPr>
        <w:t> </w:t>
      </w:r>
      <w:r>
        <w:rPr>
          <w:sz w:val="22"/>
        </w:rPr>
        <w:t>from</w:t>
      </w:r>
      <w:r>
        <w:rPr>
          <w:spacing w:val="-5"/>
          <w:sz w:val="22"/>
        </w:rPr>
        <w:t> </w:t>
      </w:r>
      <w:r>
        <w:rPr>
          <w:sz w:val="22"/>
        </w:rPr>
        <w:t>10-9-38 Vocational rehabilitation.</w:t>
      </w:r>
    </w:p>
    <w:p>
      <w:pPr>
        <w:spacing w:after="0"/>
        <w:jc w:val="left"/>
        <w:rPr>
          <w:sz w:val="22"/>
        </w:rPr>
        <w:sectPr>
          <w:pgSz w:w="12240" w:h="15840"/>
          <w:pgMar w:top="1360" w:bottom="280" w:left="1080" w:right="720"/>
        </w:sectPr>
      </w:pPr>
    </w:p>
    <w:p>
      <w:pPr>
        <w:pStyle w:val="Heading1"/>
      </w:pPr>
      <w:bookmarkStart w:name="PART 3.  CASE PROCESSING AND RECORDING" w:id="246"/>
      <w:bookmarkEnd w:id="246"/>
      <w:r>
        <w:rPr>
          <w:b w:val="0"/>
        </w:rPr>
      </w:r>
      <w:r>
        <w:rPr/>
        <w:t>PART</w:t>
      </w:r>
      <w:r>
        <w:rPr>
          <w:spacing w:val="-2"/>
        </w:rPr>
        <w:t> </w:t>
      </w:r>
      <w:r>
        <w:rPr/>
        <w:t>3.</w:t>
      </w:r>
      <w:r>
        <w:rPr>
          <w:spacing w:val="63"/>
        </w:rPr>
        <w:t> </w:t>
      </w:r>
      <w:r>
        <w:rPr/>
        <w:t>CASE</w:t>
      </w:r>
      <w:r>
        <w:rPr>
          <w:spacing w:val="-2"/>
        </w:rPr>
        <w:t> </w:t>
      </w:r>
      <w:r>
        <w:rPr/>
        <w:t>PROCESSING</w:t>
      </w:r>
      <w:r>
        <w:rPr>
          <w:spacing w:val="-2"/>
        </w:rPr>
        <w:t> </w:t>
      </w:r>
      <w:r>
        <w:rPr/>
        <w:t>AND</w:t>
      </w:r>
      <w:r>
        <w:rPr>
          <w:spacing w:val="-2"/>
        </w:rPr>
        <w:t> RECORDING</w:t>
      </w:r>
    </w:p>
    <w:p>
      <w:pPr>
        <w:pStyle w:val="BodyText"/>
        <w:spacing w:before="204"/>
      </w:pPr>
      <w:r>
        <w:rPr>
          <w:spacing w:val="-2"/>
        </w:rPr>
        <w:t>Section</w:t>
      </w:r>
    </w:p>
    <w:p>
      <w:pPr>
        <w:pStyle w:val="BodyText"/>
        <w:tabs>
          <w:tab w:pos="2069" w:val="left" w:leader="none"/>
        </w:tabs>
        <w:spacing w:before="204"/>
      </w:pPr>
      <w:r>
        <w:rPr>
          <w:spacing w:val="-2"/>
        </w:rPr>
        <w:t>612:10-9-</w:t>
      </w:r>
      <w:r>
        <w:rPr>
          <w:spacing w:val="-5"/>
        </w:rPr>
        <w:t>13.</w:t>
      </w:r>
      <w:r>
        <w:rPr/>
        <w:tab/>
        <w:t>Case</w:t>
      </w:r>
      <w:r>
        <w:rPr>
          <w:spacing w:val="-4"/>
        </w:rPr>
        <w:t> </w:t>
      </w:r>
      <w:r>
        <w:rPr>
          <w:spacing w:val="-2"/>
        </w:rPr>
        <w:t>recording</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9" w:lineRule="auto" w:before="20"/>
        <w:ind w:left="1440" w:right="839" w:hanging="1081"/>
        <w:jc w:val="left"/>
        <w:rPr>
          <w:sz w:val="22"/>
        </w:rPr>
      </w:pPr>
      <w:r>
        <w:rPr>
          <w:spacing w:val="-2"/>
          <w:sz w:val="22"/>
        </w:rPr>
        <w:t>9-14-18</w:t>
      </w:r>
      <w:r>
        <w:rPr>
          <w:sz w:val="22"/>
        </w:rPr>
        <w:tab/>
        <w:t>Revoked 612:10-9-15 Case status, 612:10-9-17 Application Status, 612:10-9-18 Closure</w:t>
      </w:r>
      <w:r>
        <w:rPr>
          <w:spacing w:val="-5"/>
          <w:sz w:val="22"/>
        </w:rPr>
        <w:t> </w:t>
      </w:r>
      <w:r>
        <w:rPr>
          <w:sz w:val="22"/>
        </w:rPr>
        <w:t>from</w:t>
      </w:r>
      <w:r>
        <w:rPr>
          <w:spacing w:val="-6"/>
          <w:sz w:val="22"/>
        </w:rPr>
        <w:t> </w:t>
      </w:r>
      <w:r>
        <w:rPr>
          <w:sz w:val="22"/>
        </w:rPr>
        <w:t>Application,</w:t>
      </w:r>
      <w:r>
        <w:rPr>
          <w:spacing w:val="-5"/>
          <w:sz w:val="22"/>
        </w:rPr>
        <w:t> </w:t>
      </w:r>
      <w:r>
        <w:rPr>
          <w:sz w:val="22"/>
        </w:rPr>
        <w:t>612:10-9-19</w:t>
      </w:r>
      <w:r>
        <w:rPr>
          <w:spacing w:val="-5"/>
          <w:sz w:val="22"/>
        </w:rPr>
        <w:t> </w:t>
      </w:r>
      <w:r>
        <w:rPr>
          <w:sz w:val="22"/>
        </w:rPr>
        <w:t>Eligibility</w:t>
      </w:r>
      <w:r>
        <w:rPr>
          <w:spacing w:val="-6"/>
          <w:sz w:val="22"/>
        </w:rPr>
        <w:t> </w:t>
      </w:r>
      <w:r>
        <w:rPr>
          <w:sz w:val="22"/>
        </w:rPr>
        <w:t>Status,</w:t>
      </w:r>
      <w:r>
        <w:rPr>
          <w:spacing w:val="-5"/>
          <w:sz w:val="22"/>
        </w:rPr>
        <w:t> </w:t>
      </w:r>
      <w:r>
        <w:rPr>
          <w:sz w:val="22"/>
        </w:rPr>
        <w:t>612:10-9-20</w:t>
      </w:r>
      <w:r>
        <w:rPr>
          <w:spacing w:val="-5"/>
          <w:sz w:val="22"/>
        </w:rPr>
        <w:t> </w:t>
      </w:r>
      <w:r>
        <w:rPr>
          <w:sz w:val="22"/>
        </w:rPr>
        <w:t>Service</w:t>
      </w:r>
      <w:r>
        <w:rPr>
          <w:spacing w:val="-5"/>
          <w:sz w:val="22"/>
        </w:rPr>
        <w:t> </w:t>
      </w:r>
      <w:r>
        <w:rPr>
          <w:sz w:val="22"/>
        </w:rPr>
        <w:t>Status, 612:10-9-21 Successful Closure, 612:10-9-22 Unsuccessful Closure after IPE Initiation,</w:t>
      </w:r>
      <w:r>
        <w:rPr>
          <w:spacing w:val="-4"/>
          <w:sz w:val="22"/>
        </w:rPr>
        <w:t> </w:t>
      </w:r>
      <w:r>
        <w:rPr>
          <w:sz w:val="22"/>
        </w:rPr>
        <w:t>612:10-9-24</w:t>
      </w:r>
      <w:r>
        <w:rPr>
          <w:spacing w:val="-4"/>
          <w:sz w:val="22"/>
        </w:rPr>
        <w:t> </w:t>
      </w:r>
      <w:r>
        <w:rPr>
          <w:sz w:val="22"/>
        </w:rPr>
        <w:t>Closed</w:t>
      </w:r>
      <w:r>
        <w:rPr>
          <w:spacing w:val="-4"/>
          <w:sz w:val="22"/>
        </w:rPr>
        <w:t> </w:t>
      </w:r>
      <w:r>
        <w:rPr>
          <w:sz w:val="22"/>
        </w:rPr>
        <w:t>from</w:t>
      </w:r>
      <w:r>
        <w:rPr>
          <w:spacing w:val="-5"/>
          <w:sz w:val="22"/>
        </w:rPr>
        <w:t> </w:t>
      </w:r>
      <w:r>
        <w:rPr>
          <w:sz w:val="22"/>
        </w:rPr>
        <w:t>Eligibility</w:t>
      </w:r>
      <w:r>
        <w:rPr>
          <w:spacing w:val="-4"/>
          <w:sz w:val="22"/>
        </w:rPr>
        <w:t> </w:t>
      </w:r>
      <w:r>
        <w:rPr>
          <w:sz w:val="22"/>
        </w:rPr>
        <w:t>Status,</w:t>
      </w:r>
      <w:r>
        <w:rPr>
          <w:spacing w:val="-4"/>
          <w:sz w:val="22"/>
        </w:rPr>
        <w:t> </w:t>
      </w:r>
      <w:r>
        <w:rPr>
          <w:sz w:val="22"/>
        </w:rPr>
        <w:t>612:10-9-25,</w:t>
      </w:r>
      <w:r>
        <w:rPr>
          <w:spacing w:val="-4"/>
          <w:sz w:val="22"/>
        </w:rPr>
        <w:t> </w:t>
      </w:r>
      <w:r>
        <w:rPr>
          <w:sz w:val="22"/>
        </w:rPr>
        <w:t>Post-Employment Service Status, 612:10-9-26 Post-Employment Closure Status.</w:t>
      </w:r>
    </w:p>
    <w:p>
      <w:pPr>
        <w:spacing w:after="0" w:line="259" w:lineRule="auto"/>
        <w:jc w:val="left"/>
        <w:rPr>
          <w:sz w:val="22"/>
        </w:rPr>
        <w:sectPr>
          <w:pgSz w:w="12240" w:h="15840"/>
          <w:pgMar w:top="1340" w:bottom="280" w:left="1080" w:right="720"/>
        </w:sectPr>
      </w:pPr>
    </w:p>
    <w:p>
      <w:pPr>
        <w:pStyle w:val="Heading2"/>
      </w:pPr>
      <w:bookmarkStart w:name="612:10-9-13.  Case recording" w:id="247"/>
      <w:bookmarkEnd w:id="247"/>
      <w:r>
        <w:rPr>
          <w:b w:val="0"/>
        </w:rPr>
      </w:r>
      <w:r>
        <w:rPr/>
        <w:t>612:10-9-13.</w:t>
      </w:r>
      <w:r>
        <w:rPr>
          <w:spacing w:val="59"/>
        </w:rPr>
        <w:t> </w:t>
      </w:r>
      <w:r>
        <w:rPr/>
        <w:t>Case</w:t>
      </w:r>
      <w:r>
        <w:rPr>
          <w:spacing w:val="-3"/>
        </w:rPr>
        <w:t> </w:t>
      </w:r>
      <w:r>
        <w:rPr>
          <w:spacing w:val="-2"/>
        </w:rPr>
        <w:t>recording</w:t>
      </w:r>
    </w:p>
    <w:p>
      <w:pPr>
        <w:pStyle w:val="BodyText"/>
        <w:spacing w:line="208" w:lineRule="auto" w:before="233"/>
        <w:ind w:left="359" w:right="775" w:firstLine="432"/>
      </w:pPr>
      <w:r>
        <w:rPr/>
        <w:t>A case record accurately and completely maintained can assist the rehabilitation teacher</w:t>
      </w:r>
      <w:r>
        <w:rPr>
          <w:spacing w:val="-3"/>
        </w:rPr>
        <w:t> </w:t>
      </w:r>
      <w:r>
        <w:rPr/>
        <w:t>in</w:t>
      </w:r>
      <w:r>
        <w:rPr>
          <w:spacing w:val="-4"/>
        </w:rPr>
        <w:t> </w:t>
      </w:r>
      <w:r>
        <w:rPr/>
        <w:t>the</w:t>
      </w:r>
      <w:r>
        <w:rPr>
          <w:spacing w:val="-4"/>
        </w:rPr>
        <w:t> </w:t>
      </w:r>
      <w:r>
        <w:rPr/>
        <w:t>development</w:t>
      </w:r>
      <w:r>
        <w:rPr>
          <w:spacing w:val="-3"/>
        </w:rPr>
        <w:t> </w:t>
      </w:r>
      <w:r>
        <w:rPr/>
        <w:t>of</w:t>
      </w:r>
      <w:r>
        <w:rPr>
          <w:spacing w:val="-3"/>
        </w:rPr>
        <w:t> </w:t>
      </w:r>
      <w:r>
        <w:rPr/>
        <w:t>an</w:t>
      </w:r>
      <w:r>
        <w:rPr>
          <w:spacing w:val="-5"/>
        </w:rPr>
        <w:t> </w:t>
      </w:r>
      <w:r>
        <w:rPr/>
        <w:t>effective</w:t>
      </w:r>
      <w:r>
        <w:rPr>
          <w:spacing w:val="-4"/>
        </w:rPr>
        <w:t> </w:t>
      </w:r>
      <w:r>
        <w:rPr/>
        <w:t>teaching</w:t>
      </w:r>
      <w:r>
        <w:rPr>
          <w:spacing w:val="-4"/>
        </w:rPr>
        <w:t> </w:t>
      </w:r>
      <w:r>
        <w:rPr/>
        <w:t>program,</w:t>
      </w:r>
      <w:r>
        <w:rPr>
          <w:spacing w:val="-3"/>
        </w:rPr>
        <w:t> </w:t>
      </w:r>
      <w:r>
        <w:rPr/>
        <w:t>provide</w:t>
      </w:r>
      <w:r>
        <w:rPr>
          <w:spacing w:val="-4"/>
        </w:rPr>
        <w:t> </w:t>
      </w:r>
      <w:r>
        <w:rPr/>
        <w:t>continuity</w:t>
      </w:r>
      <w:r>
        <w:rPr>
          <w:spacing w:val="-4"/>
        </w:rPr>
        <w:t> </w:t>
      </w:r>
      <w:r>
        <w:rPr/>
        <w:t>in</w:t>
      </w:r>
      <w:r>
        <w:rPr>
          <w:spacing w:val="-4"/>
        </w:rPr>
        <w:t> </w:t>
      </w:r>
      <w:r>
        <w:rPr/>
        <w:t>the provision of services and enable the teacher to evaluate the consumer's progress. It also serves as a legal basis for the expenditure of funds and documents actions, activities and decisions of the teacher. Standard types of case recording include narratives, forms, correspondence and use of the DRS electronic case management </w:t>
      </w:r>
      <w:r>
        <w:rPr>
          <w:spacing w:val="-2"/>
        </w:rPr>
        <w:t>system.</w:t>
      </w:r>
    </w:p>
    <w:p>
      <w:pPr>
        <w:pStyle w:val="BodyText"/>
        <w:spacing w:before="210"/>
        <w:ind w:left="359"/>
      </w:pPr>
      <w:r>
        <w:rPr/>
        <w:t>INSTRUCTIONS</w:t>
      </w:r>
      <w:r>
        <w:rPr>
          <w:spacing w:val="-3"/>
        </w:rPr>
        <w:t> </w:t>
      </w:r>
      <w:r>
        <w:rPr/>
        <w:t>TO</w:t>
      </w:r>
      <w:r>
        <w:rPr>
          <w:spacing w:val="-2"/>
        </w:rPr>
        <w:t> </w:t>
      </w:r>
      <w:r>
        <w:rPr>
          <w:spacing w:val="-4"/>
        </w:rPr>
        <w:t>STAFF</w:t>
      </w:r>
    </w:p>
    <w:p>
      <w:pPr>
        <w:pStyle w:val="BodyText"/>
        <w:spacing w:line="208" w:lineRule="auto" w:before="233"/>
        <w:ind w:left="791" w:right="727"/>
      </w:pPr>
      <w:r>
        <w:rPr/>
        <w:t>1. Case recording is the documentation of significant information and activities during</w:t>
      </w:r>
      <w:r>
        <w:rPr>
          <w:spacing w:val="-3"/>
        </w:rPr>
        <w:t> </w:t>
      </w:r>
      <w:r>
        <w:rPr/>
        <w:t>the</w:t>
      </w:r>
      <w:r>
        <w:rPr>
          <w:spacing w:val="-3"/>
        </w:rPr>
        <w:t> </w:t>
      </w:r>
      <w:r>
        <w:rPr/>
        <w:t>case</w:t>
      </w:r>
      <w:r>
        <w:rPr>
          <w:spacing w:val="-3"/>
        </w:rPr>
        <w:t> </w:t>
      </w:r>
      <w:r>
        <w:rPr/>
        <w:t>process.</w:t>
      </w:r>
      <w:r>
        <w:rPr>
          <w:spacing w:val="-2"/>
        </w:rPr>
        <w:t> </w:t>
      </w:r>
      <w:r>
        <w:rPr/>
        <w:t>A</w:t>
      </w:r>
      <w:r>
        <w:rPr>
          <w:spacing w:val="-3"/>
        </w:rPr>
        <w:t> </w:t>
      </w:r>
      <w:r>
        <w:rPr/>
        <w:t>case</w:t>
      </w:r>
      <w:r>
        <w:rPr>
          <w:spacing w:val="-4"/>
        </w:rPr>
        <w:t> </w:t>
      </w:r>
      <w:r>
        <w:rPr/>
        <w:t>recording</w:t>
      </w:r>
      <w:r>
        <w:rPr>
          <w:spacing w:val="-3"/>
        </w:rPr>
        <w:t> </w:t>
      </w:r>
      <w:r>
        <w:rPr/>
        <w:t>entry</w:t>
      </w:r>
      <w:r>
        <w:rPr>
          <w:spacing w:val="-3"/>
        </w:rPr>
        <w:t> </w:t>
      </w:r>
      <w:r>
        <w:rPr/>
        <w:t>may</w:t>
      </w:r>
      <w:r>
        <w:rPr>
          <w:spacing w:val="-4"/>
        </w:rPr>
        <w:t> </w:t>
      </w:r>
      <w:r>
        <w:rPr/>
        <w:t>include</w:t>
      </w:r>
      <w:r>
        <w:rPr>
          <w:spacing w:val="-3"/>
        </w:rPr>
        <w:t> </w:t>
      </w:r>
      <w:r>
        <w:rPr/>
        <w:t>information</w:t>
      </w:r>
      <w:r>
        <w:rPr>
          <w:spacing w:val="-3"/>
        </w:rPr>
        <w:t> </w:t>
      </w:r>
      <w:r>
        <w:rPr/>
        <w:t>on</w:t>
      </w:r>
      <w:r>
        <w:rPr>
          <w:spacing w:val="-3"/>
        </w:rPr>
        <w:t> </w:t>
      </w:r>
      <w:r>
        <w:rPr/>
        <w:t>a</w:t>
      </w:r>
      <w:r>
        <w:rPr>
          <w:spacing w:val="-3"/>
        </w:rPr>
        <w:t> </w:t>
      </w:r>
      <w:r>
        <w:rPr/>
        <w:t>single event or a summary of several events.</w:t>
      </w:r>
    </w:p>
    <w:p>
      <w:pPr>
        <w:pStyle w:val="BodyText"/>
        <w:spacing w:line="208" w:lineRule="auto"/>
        <w:ind w:left="791" w:right="775"/>
      </w:pPr>
      <w:r>
        <w:rPr/>
        <w:t>Narrative</w:t>
      </w:r>
      <w:r>
        <w:rPr>
          <w:spacing w:val="-4"/>
        </w:rPr>
        <w:t> </w:t>
      </w:r>
      <w:r>
        <w:rPr/>
        <w:t>recording</w:t>
      </w:r>
      <w:r>
        <w:rPr>
          <w:spacing w:val="-4"/>
        </w:rPr>
        <w:t> </w:t>
      </w:r>
      <w:r>
        <w:rPr/>
        <w:t>in</w:t>
      </w:r>
      <w:r>
        <w:rPr>
          <w:spacing w:val="-3"/>
        </w:rPr>
        <w:t> </w:t>
      </w:r>
      <w:r>
        <w:rPr/>
        <w:t>case</w:t>
      </w:r>
      <w:r>
        <w:rPr>
          <w:spacing w:val="-4"/>
        </w:rPr>
        <w:t> </w:t>
      </w:r>
      <w:r>
        <w:rPr/>
        <w:t>note</w:t>
      </w:r>
      <w:r>
        <w:rPr>
          <w:spacing w:val="-5"/>
        </w:rPr>
        <w:t> </w:t>
      </w:r>
      <w:r>
        <w:rPr/>
        <w:t>format</w:t>
      </w:r>
      <w:r>
        <w:rPr>
          <w:spacing w:val="-5"/>
        </w:rPr>
        <w:t> </w:t>
      </w:r>
      <w:r>
        <w:rPr/>
        <w:t>is</w:t>
      </w:r>
      <w:r>
        <w:rPr>
          <w:spacing w:val="-4"/>
        </w:rPr>
        <w:t> </w:t>
      </w:r>
      <w:r>
        <w:rPr/>
        <w:t>used</w:t>
      </w:r>
      <w:r>
        <w:rPr>
          <w:spacing w:val="-4"/>
        </w:rPr>
        <w:t> </w:t>
      </w:r>
      <w:r>
        <w:rPr/>
        <w:t>for</w:t>
      </w:r>
      <w:r>
        <w:rPr>
          <w:spacing w:val="-3"/>
        </w:rPr>
        <w:t> </w:t>
      </w:r>
      <w:r>
        <w:rPr/>
        <w:t>initial</w:t>
      </w:r>
      <w:r>
        <w:rPr>
          <w:spacing w:val="-4"/>
        </w:rPr>
        <w:t> </w:t>
      </w:r>
      <w:r>
        <w:rPr/>
        <w:t>interviews,</w:t>
      </w:r>
      <w:r>
        <w:rPr>
          <w:spacing w:val="-3"/>
        </w:rPr>
        <w:t> </w:t>
      </w:r>
      <w:r>
        <w:rPr/>
        <w:t>comprehensive assessments, plan objectives, case activities, and closing summaries.</w:t>
      </w:r>
    </w:p>
    <w:p>
      <w:pPr>
        <w:pStyle w:val="BodyText"/>
        <w:spacing w:line="208" w:lineRule="auto"/>
        <w:ind w:left="791" w:right="775"/>
      </w:pPr>
      <w:r>
        <w:rPr/>
        <w:t>All case recordings are to be written in logical, coherent terms with no derogatory statements,</w:t>
      </w:r>
      <w:r>
        <w:rPr>
          <w:spacing w:val="-3"/>
        </w:rPr>
        <w:t> </w:t>
      </w:r>
      <w:r>
        <w:rPr/>
        <w:t>unexplained</w:t>
      </w:r>
      <w:r>
        <w:rPr>
          <w:spacing w:val="-4"/>
        </w:rPr>
        <w:t> </w:t>
      </w:r>
      <w:r>
        <w:rPr/>
        <w:t>abbreviations,</w:t>
      </w:r>
      <w:r>
        <w:rPr>
          <w:spacing w:val="-3"/>
        </w:rPr>
        <w:t> </w:t>
      </w:r>
      <w:r>
        <w:rPr/>
        <w:t>or</w:t>
      </w:r>
      <w:r>
        <w:rPr>
          <w:spacing w:val="-3"/>
        </w:rPr>
        <w:t> </w:t>
      </w:r>
      <w:r>
        <w:rPr/>
        <w:t>acronyms.</w:t>
      </w:r>
      <w:r>
        <w:rPr>
          <w:spacing w:val="-3"/>
        </w:rPr>
        <w:t> </w:t>
      </w:r>
      <w:r>
        <w:rPr/>
        <w:t>Regular,</w:t>
      </w:r>
      <w:r>
        <w:rPr>
          <w:spacing w:val="-3"/>
        </w:rPr>
        <w:t> </w:t>
      </w:r>
      <w:r>
        <w:rPr/>
        <w:t>concise</w:t>
      </w:r>
      <w:r>
        <w:rPr>
          <w:spacing w:val="-4"/>
        </w:rPr>
        <w:t> </w:t>
      </w:r>
      <w:r>
        <w:rPr/>
        <w:t>recording</w:t>
      </w:r>
      <w:r>
        <w:rPr>
          <w:spacing w:val="-4"/>
        </w:rPr>
        <w:t> </w:t>
      </w:r>
      <w:r>
        <w:rPr/>
        <w:t>of events as they occur in the case process will provide reference points for teachers and</w:t>
      </w:r>
      <w:r>
        <w:rPr>
          <w:spacing w:val="-3"/>
        </w:rPr>
        <w:t> </w:t>
      </w:r>
      <w:r>
        <w:rPr/>
        <w:t>other</w:t>
      </w:r>
      <w:r>
        <w:rPr>
          <w:spacing w:val="-2"/>
        </w:rPr>
        <w:t> </w:t>
      </w:r>
      <w:r>
        <w:rPr/>
        <w:t>authorized</w:t>
      </w:r>
      <w:r>
        <w:rPr>
          <w:spacing w:val="-3"/>
        </w:rPr>
        <w:t> </w:t>
      </w:r>
      <w:r>
        <w:rPr/>
        <w:t>persons</w:t>
      </w:r>
      <w:r>
        <w:rPr>
          <w:spacing w:val="-3"/>
        </w:rPr>
        <w:t> </w:t>
      </w:r>
      <w:r>
        <w:rPr/>
        <w:t>when</w:t>
      </w:r>
      <w:r>
        <w:rPr>
          <w:spacing w:val="-3"/>
        </w:rPr>
        <w:t> </w:t>
      </w:r>
      <w:r>
        <w:rPr/>
        <w:t>there</w:t>
      </w:r>
      <w:r>
        <w:rPr>
          <w:spacing w:val="-3"/>
        </w:rPr>
        <w:t> </w:t>
      </w:r>
      <w:r>
        <w:rPr/>
        <w:t>is</w:t>
      </w:r>
      <w:r>
        <w:rPr>
          <w:spacing w:val="-3"/>
        </w:rPr>
        <w:t> </w:t>
      </w:r>
      <w:r>
        <w:rPr/>
        <w:t>a</w:t>
      </w:r>
      <w:r>
        <w:rPr>
          <w:spacing w:val="-4"/>
        </w:rPr>
        <w:t> </w:t>
      </w:r>
      <w:r>
        <w:rPr/>
        <w:t>case</w:t>
      </w:r>
      <w:r>
        <w:rPr>
          <w:spacing w:val="-3"/>
        </w:rPr>
        <w:t> </w:t>
      </w:r>
      <w:r>
        <w:rPr/>
        <w:t>transfer,</w:t>
      </w:r>
      <w:r>
        <w:rPr>
          <w:spacing w:val="-2"/>
        </w:rPr>
        <w:t> </w:t>
      </w:r>
      <w:r>
        <w:rPr/>
        <w:t>case</w:t>
      </w:r>
      <w:r>
        <w:rPr>
          <w:spacing w:val="-3"/>
        </w:rPr>
        <w:t> </w:t>
      </w:r>
      <w:r>
        <w:rPr/>
        <w:t>audit,</w:t>
      </w:r>
      <w:r>
        <w:rPr>
          <w:spacing w:val="-2"/>
        </w:rPr>
        <w:t> </w:t>
      </w:r>
      <w:r>
        <w:rPr/>
        <w:t>or</w:t>
      </w:r>
      <w:r>
        <w:rPr>
          <w:spacing w:val="-2"/>
        </w:rPr>
        <w:t> </w:t>
      </w:r>
      <w:r>
        <w:rPr/>
        <w:t>the</w:t>
      </w:r>
      <w:r>
        <w:rPr>
          <w:spacing w:val="-4"/>
        </w:rPr>
        <w:t> </w:t>
      </w:r>
      <w:r>
        <w:rPr/>
        <w:t>case is used for a fair hearing or litigation.</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7-1-04</w:t>
      </w:r>
      <w:r>
        <w:rPr>
          <w:sz w:val="22"/>
        </w:rPr>
        <w:tab/>
        <w:t>PT Memo #05-01</w:t>
      </w:r>
    </w:p>
    <w:p>
      <w:pPr>
        <w:tabs>
          <w:tab w:pos="1439" w:val="left" w:leader="none"/>
        </w:tabs>
        <w:spacing w:before="1"/>
        <w:ind w:left="359" w:right="6038" w:firstLine="1080"/>
        <w:jc w:val="left"/>
        <w:rPr>
          <w:sz w:val="22"/>
        </w:rPr>
      </w:pPr>
      <w:r>
        <w:rPr>
          <w:sz w:val="22"/>
        </w:rPr>
        <w:t>Permanent,</w:t>
      </w:r>
      <w:r>
        <w:rPr>
          <w:spacing w:val="-16"/>
          <w:sz w:val="22"/>
        </w:rPr>
        <w:t> </w:t>
      </w:r>
      <w:r>
        <w:rPr>
          <w:sz w:val="22"/>
        </w:rPr>
        <w:t>updated</w:t>
      </w:r>
      <w:r>
        <w:rPr>
          <w:spacing w:val="-15"/>
          <w:sz w:val="22"/>
        </w:rPr>
        <w:t> </w:t>
      </w:r>
      <w:r>
        <w:rPr>
          <w:sz w:val="22"/>
        </w:rPr>
        <w:t>language </w:t>
      </w:r>
      <w:r>
        <w:rPr>
          <w:spacing w:val="-2"/>
          <w:sz w:val="22"/>
        </w:rPr>
        <w:t>7-1-11</w:t>
      </w:r>
      <w:r>
        <w:rPr>
          <w:sz w:val="22"/>
        </w:rPr>
        <w:tab/>
        <w:t>PT Memo #12-01</w:t>
      </w:r>
    </w:p>
    <w:p>
      <w:pPr>
        <w:tabs>
          <w:tab w:pos="1439" w:val="left" w:leader="none"/>
        </w:tabs>
        <w:spacing w:before="0"/>
        <w:ind w:left="359" w:right="5965" w:firstLine="1080"/>
        <w:jc w:val="left"/>
        <w:rPr>
          <w:sz w:val="22"/>
        </w:rPr>
      </w:pPr>
      <w:r>
        <w:rPr>
          <w:sz w:val="22"/>
        </w:rPr>
        <w:t>Permanent,</w:t>
      </w:r>
      <w:r>
        <w:rPr>
          <w:spacing w:val="-16"/>
          <w:sz w:val="22"/>
        </w:rPr>
        <w:t> </w:t>
      </w:r>
      <w:r>
        <w:rPr>
          <w:sz w:val="22"/>
        </w:rPr>
        <w:t>clarifying</w:t>
      </w:r>
      <w:r>
        <w:rPr>
          <w:spacing w:val="-15"/>
          <w:sz w:val="22"/>
        </w:rPr>
        <w:t> </w:t>
      </w:r>
      <w:r>
        <w:rPr>
          <w:sz w:val="22"/>
        </w:rPr>
        <w:t>language </w:t>
      </w:r>
      <w:r>
        <w:rPr>
          <w:spacing w:val="-2"/>
          <w:sz w:val="22"/>
        </w:rPr>
        <w:t>9-14-18</w:t>
      </w:r>
      <w:r>
        <w:rPr>
          <w:sz w:val="22"/>
        </w:rPr>
        <w:tab/>
        <w:t>Removal of duplicate wording.</w:t>
      </w:r>
    </w:p>
    <w:p>
      <w:pPr>
        <w:spacing w:before="0"/>
        <w:ind w:left="1439" w:right="0" w:firstLine="0"/>
        <w:jc w:val="left"/>
        <w:rPr>
          <w:sz w:val="22"/>
        </w:rPr>
      </w:pPr>
      <w:r>
        <w:rPr>
          <w:sz w:val="22"/>
        </w:rPr>
        <w:t>Updated</w:t>
      </w:r>
      <w:r>
        <w:rPr>
          <w:spacing w:val="-8"/>
          <w:sz w:val="22"/>
        </w:rPr>
        <w:t> </w:t>
      </w:r>
      <w:r>
        <w:rPr>
          <w:sz w:val="22"/>
        </w:rPr>
        <w:t>language</w:t>
      </w:r>
      <w:r>
        <w:rPr>
          <w:spacing w:val="-7"/>
          <w:sz w:val="22"/>
        </w:rPr>
        <w:t> </w:t>
      </w:r>
      <w:r>
        <w:rPr>
          <w:sz w:val="22"/>
        </w:rPr>
        <w:t>on</w:t>
      </w:r>
      <w:r>
        <w:rPr>
          <w:spacing w:val="-7"/>
          <w:sz w:val="22"/>
        </w:rPr>
        <w:t> </w:t>
      </w:r>
      <w:r>
        <w:rPr>
          <w:sz w:val="22"/>
        </w:rPr>
        <w:t>narrative</w:t>
      </w:r>
      <w:r>
        <w:rPr>
          <w:spacing w:val="-8"/>
          <w:sz w:val="22"/>
        </w:rPr>
        <w:t> </w:t>
      </w:r>
      <w:r>
        <w:rPr>
          <w:sz w:val="22"/>
        </w:rPr>
        <w:t>recording</w:t>
      </w:r>
      <w:r>
        <w:rPr>
          <w:spacing w:val="-7"/>
          <w:sz w:val="22"/>
        </w:rPr>
        <w:t> </w:t>
      </w:r>
      <w:r>
        <w:rPr>
          <w:sz w:val="22"/>
        </w:rPr>
        <w:t>in</w:t>
      </w:r>
      <w:r>
        <w:rPr>
          <w:spacing w:val="-7"/>
          <w:sz w:val="22"/>
        </w:rPr>
        <w:t> </w:t>
      </w:r>
      <w:r>
        <w:rPr>
          <w:sz w:val="22"/>
        </w:rPr>
        <w:t>Instructions</w:t>
      </w:r>
      <w:r>
        <w:rPr>
          <w:spacing w:val="-8"/>
          <w:sz w:val="22"/>
        </w:rPr>
        <w:t> </w:t>
      </w:r>
      <w:r>
        <w:rPr>
          <w:sz w:val="22"/>
        </w:rPr>
        <w:t>to</w:t>
      </w:r>
      <w:r>
        <w:rPr>
          <w:spacing w:val="-7"/>
          <w:sz w:val="22"/>
        </w:rPr>
        <w:t> </w:t>
      </w:r>
      <w:r>
        <w:rPr>
          <w:spacing w:val="-2"/>
          <w:sz w:val="22"/>
        </w:rPr>
        <w:t>Staff.</w:t>
      </w:r>
    </w:p>
    <w:p>
      <w:pPr>
        <w:spacing w:after="0"/>
        <w:jc w:val="left"/>
        <w:rPr>
          <w:sz w:val="22"/>
        </w:rPr>
        <w:sectPr>
          <w:pgSz w:w="12240" w:h="15840"/>
          <w:pgMar w:top="1340" w:bottom="280" w:left="1080" w:right="720"/>
        </w:sectPr>
      </w:pPr>
    </w:p>
    <w:p>
      <w:pPr>
        <w:pStyle w:val="Heading1"/>
        <w:ind w:right="777"/>
      </w:pPr>
      <w:bookmarkStart w:name="PART 5.  SERVICES" w:id="248"/>
      <w:bookmarkEnd w:id="248"/>
      <w:r>
        <w:rPr>
          <w:b w:val="0"/>
        </w:rPr>
      </w:r>
      <w:r>
        <w:rPr/>
        <w:t>PART 5.</w:t>
      </w:r>
      <w:r>
        <w:rPr>
          <w:spacing w:val="64"/>
        </w:rPr>
        <w:t> </w:t>
      </w:r>
      <w:r>
        <w:rPr>
          <w:spacing w:val="-2"/>
        </w:rPr>
        <w:t>SERVICES</w:t>
      </w:r>
    </w:p>
    <w:p>
      <w:pPr>
        <w:pStyle w:val="BodyText"/>
        <w:spacing w:before="204"/>
      </w:pPr>
      <w:r>
        <w:rPr>
          <w:spacing w:val="-2"/>
        </w:rPr>
        <w:t>Section</w:t>
      </w:r>
    </w:p>
    <w:p>
      <w:pPr>
        <w:pStyle w:val="BodyText"/>
        <w:tabs>
          <w:tab w:pos="2069" w:val="left" w:leader="none"/>
        </w:tabs>
        <w:spacing w:before="204"/>
      </w:pPr>
      <w:r>
        <w:rPr>
          <w:spacing w:val="-2"/>
        </w:rPr>
        <w:t>612:10-9-</w:t>
      </w:r>
      <w:r>
        <w:rPr>
          <w:spacing w:val="-5"/>
        </w:rPr>
        <w:t>33.</w:t>
      </w:r>
      <w:r>
        <w:rPr/>
        <w:tab/>
      </w:r>
      <w:r>
        <w:rPr>
          <w:spacing w:val="-2"/>
        </w:rPr>
        <w:t>Communication</w:t>
      </w:r>
    </w:p>
    <w:p>
      <w:pPr>
        <w:pStyle w:val="BodyText"/>
        <w:tabs>
          <w:tab w:pos="2069" w:val="left" w:leader="none"/>
        </w:tabs>
        <w:spacing w:before="204"/>
      </w:pPr>
      <w:r>
        <w:rPr>
          <w:spacing w:val="-2"/>
        </w:rPr>
        <w:t>612:10-9-</w:t>
      </w:r>
      <w:r>
        <w:rPr>
          <w:spacing w:val="-5"/>
        </w:rPr>
        <w:t>34.</w:t>
      </w:r>
      <w:r>
        <w:rPr/>
        <w:tab/>
        <w:t>Personal</w:t>
      </w:r>
      <w:r>
        <w:rPr>
          <w:spacing w:val="-5"/>
        </w:rPr>
        <w:t> </w:t>
      </w:r>
      <w:r>
        <w:rPr>
          <w:spacing w:val="-2"/>
        </w:rPr>
        <w:t>management</w:t>
      </w:r>
    </w:p>
    <w:p>
      <w:pPr>
        <w:pStyle w:val="BodyText"/>
        <w:spacing w:before="204"/>
      </w:pPr>
      <w:r>
        <w:rPr/>
        <w:t>612:10-9-34.1.</w:t>
      </w:r>
      <w:r>
        <w:rPr>
          <w:spacing w:val="72"/>
        </w:rPr>
        <w:t> </w:t>
      </w:r>
      <w:r>
        <w:rPr/>
        <w:t>Visual</w:t>
      </w:r>
      <w:r>
        <w:rPr>
          <w:spacing w:val="-3"/>
        </w:rPr>
        <w:t> </w:t>
      </w:r>
      <w:r>
        <w:rPr>
          <w:spacing w:val="-2"/>
        </w:rPr>
        <w:t>efficiency</w:t>
      </w:r>
    </w:p>
    <w:p>
      <w:pPr>
        <w:pStyle w:val="BodyText"/>
        <w:spacing w:before="204"/>
      </w:pPr>
      <w:r>
        <w:rPr/>
        <w:t>612:10-9-34.2.</w:t>
      </w:r>
      <w:r>
        <w:rPr>
          <w:spacing w:val="72"/>
        </w:rPr>
        <w:t> </w:t>
      </w:r>
      <w:r>
        <w:rPr/>
        <w:t>Indoor</w:t>
      </w:r>
      <w:r>
        <w:rPr>
          <w:spacing w:val="-3"/>
        </w:rPr>
        <w:t> </w:t>
      </w:r>
      <w:r>
        <w:rPr>
          <w:spacing w:val="-2"/>
        </w:rPr>
        <w:t>mobility</w:t>
      </w:r>
    </w:p>
    <w:p>
      <w:pPr>
        <w:pStyle w:val="BodyText"/>
        <w:tabs>
          <w:tab w:pos="2069" w:val="left" w:leader="none"/>
        </w:tabs>
        <w:spacing w:line="417" w:lineRule="auto" w:before="204"/>
        <w:ind w:right="5659"/>
      </w:pPr>
      <w:r>
        <w:rPr>
          <w:spacing w:val="-2"/>
        </w:rPr>
        <w:t>612:10-9-35.</w:t>
      </w:r>
      <w:r>
        <w:rPr/>
        <w:tab/>
        <w:t>Home management </w:t>
      </w:r>
      <w:r>
        <w:rPr>
          <w:spacing w:val="-2"/>
        </w:rPr>
        <w:t>612:10-9-36.</w:t>
      </w:r>
      <w:r>
        <w:rPr/>
        <w:tab/>
        <w:t>Counseling</w:t>
      </w:r>
      <w:r>
        <w:rPr>
          <w:spacing w:val="-17"/>
        </w:rPr>
        <w:t> </w:t>
      </w:r>
      <w:r>
        <w:rPr/>
        <w:t>and</w:t>
      </w:r>
      <w:r>
        <w:rPr>
          <w:spacing w:val="-17"/>
        </w:rPr>
        <w:t> </w:t>
      </w:r>
      <w:r>
        <w:rPr/>
        <w:t>guidance</w:t>
      </w:r>
    </w:p>
    <w:p>
      <w:pPr>
        <w:pStyle w:val="BodyText"/>
        <w:tabs>
          <w:tab w:pos="2069" w:val="left" w:leader="none"/>
        </w:tabs>
        <w:spacing w:line="276" w:lineRule="exact" w:before="0"/>
      </w:pPr>
      <w:r>
        <w:rPr>
          <w:spacing w:val="-2"/>
        </w:rPr>
        <w:t>612:10-9-</w:t>
      </w:r>
      <w:r>
        <w:rPr>
          <w:spacing w:val="-5"/>
        </w:rPr>
        <w:t>37.</w:t>
      </w:r>
      <w:r>
        <w:rPr/>
        <w:tab/>
        <w:t>Referral</w:t>
      </w:r>
      <w:r>
        <w:rPr>
          <w:spacing w:val="-4"/>
        </w:rPr>
        <w:t> </w:t>
      </w:r>
      <w:r>
        <w:rPr/>
        <w:t>for</w:t>
      </w:r>
      <w:r>
        <w:rPr>
          <w:spacing w:val="-4"/>
        </w:rPr>
        <w:t> </w:t>
      </w:r>
      <w:r>
        <w:rPr/>
        <w:t>Support</w:t>
      </w:r>
      <w:r>
        <w:rPr>
          <w:spacing w:val="-2"/>
        </w:rPr>
        <w:t> Services</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1439" w:right="1598" w:hanging="1080"/>
        <w:jc w:val="left"/>
        <w:rPr>
          <w:sz w:val="22"/>
        </w:rPr>
      </w:pPr>
      <w:r>
        <w:rPr>
          <w:spacing w:val="-2"/>
          <w:sz w:val="22"/>
        </w:rPr>
        <w:t>9-11-20</w:t>
      </w:r>
      <w:r>
        <w:rPr>
          <w:sz w:val="22"/>
        </w:rPr>
        <w:tab/>
        <w:t>Revoked</w:t>
      </w:r>
      <w:r>
        <w:rPr>
          <w:spacing w:val="-5"/>
          <w:sz w:val="22"/>
        </w:rPr>
        <w:t> </w:t>
      </w:r>
      <w:r>
        <w:rPr>
          <w:sz w:val="22"/>
        </w:rPr>
        <w:t>612:10-9-32</w:t>
      </w:r>
      <w:r>
        <w:rPr>
          <w:spacing w:val="-5"/>
          <w:sz w:val="22"/>
        </w:rPr>
        <w:t> </w:t>
      </w:r>
      <w:r>
        <w:rPr>
          <w:sz w:val="22"/>
        </w:rPr>
        <w:t>Diagnosis</w:t>
      </w:r>
      <w:r>
        <w:rPr>
          <w:spacing w:val="-5"/>
          <w:sz w:val="22"/>
        </w:rPr>
        <w:t> </w:t>
      </w:r>
      <w:r>
        <w:rPr>
          <w:sz w:val="22"/>
        </w:rPr>
        <w:t>and</w:t>
      </w:r>
      <w:r>
        <w:rPr>
          <w:spacing w:val="-6"/>
          <w:sz w:val="22"/>
        </w:rPr>
        <w:t> </w:t>
      </w:r>
      <w:r>
        <w:rPr>
          <w:sz w:val="22"/>
        </w:rPr>
        <w:t>evaluation</w:t>
      </w:r>
      <w:r>
        <w:rPr>
          <w:spacing w:val="-6"/>
          <w:sz w:val="22"/>
        </w:rPr>
        <w:t> </w:t>
      </w:r>
      <w:r>
        <w:rPr>
          <w:sz w:val="22"/>
        </w:rPr>
        <w:t>and</w:t>
      </w:r>
      <w:r>
        <w:rPr>
          <w:spacing w:val="-5"/>
          <w:sz w:val="22"/>
        </w:rPr>
        <w:t> </w:t>
      </w:r>
      <w:r>
        <w:rPr>
          <w:sz w:val="22"/>
        </w:rPr>
        <w:t>612:10-9-38</w:t>
      </w:r>
      <w:r>
        <w:rPr>
          <w:spacing w:val="-5"/>
          <w:sz w:val="22"/>
        </w:rPr>
        <w:t> </w:t>
      </w:r>
      <w:r>
        <w:rPr>
          <w:sz w:val="22"/>
        </w:rPr>
        <w:t>Vocational </w:t>
      </w:r>
      <w:r>
        <w:rPr>
          <w:spacing w:val="-2"/>
          <w:sz w:val="22"/>
        </w:rPr>
        <w:t>rehabilitation.</w:t>
      </w:r>
    </w:p>
    <w:p>
      <w:pPr>
        <w:spacing w:after="0"/>
        <w:jc w:val="left"/>
        <w:rPr>
          <w:sz w:val="22"/>
        </w:rPr>
        <w:sectPr>
          <w:pgSz w:w="12240" w:h="15840"/>
          <w:pgMar w:top="1340" w:bottom="280" w:left="1080" w:right="720"/>
        </w:sectPr>
      </w:pPr>
    </w:p>
    <w:p>
      <w:pPr>
        <w:pStyle w:val="Heading2"/>
      </w:pPr>
      <w:bookmarkStart w:name="612:10-9-33.  Communication skills" w:id="249"/>
      <w:bookmarkEnd w:id="249"/>
      <w:r>
        <w:rPr>
          <w:b w:val="0"/>
        </w:rPr>
      </w:r>
      <w:r>
        <w:rPr/>
        <w:t>612:10-9-33.</w:t>
      </w:r>
      <w:r>
        <w:rPr>
          <w:spacing w:val="54"/>
        </w:rPr>
        <w:t> </w:t>
      </w:r>
      <w:r>
        <w:rPr/>
        <w:t>Communication</w:t>
      </w:r>
      <w:r>
        <w:rPr>
          <w:spacing w:val="-5"/>
        </w:rPr>
        <w:t> </w:t>
      </w:r>
      <w:r>
        <w:rPr>
          <w:spacing w:val="-2"/>
        </w:rPr>
        <w:t>skills</w:t>
      </w:r>
    </w:p>
    <w:p>
      <w:pPr>
        <w:pStyle w:val="BodyText"/>
        <w:spacing w:line="208" w:lineRule="auto" w:before="233"/>
        <w:ind w:right="775" w:firstLine="432"/>
      </w:pPr>
      <w:r>
        <w:rPr/>
        <w:t>In</w:t>
      </w:r>
      <w:r>
        <w:rPr>
          <w:spacing w:val="-3"/>
        </w:rPr>
        <w:t> </w:t>
      </w:r>
      <w:r>
        <w:rPr/>
        <w:t>order</w:t>
      </w:r>
      <w:r>
        <w:rPr>
          <w:spacing w:val="-4"/>
        </w:rPr>
        <w:t> </w:t>
      </w:r>
      <w:r>
        <w:rPr/>
        <w:t>for</w:t>
      </w:r>
      <w:r>
        <w:rPr>
          <w:spacing w:val="-4"/>
        </w:rPr>
        <w:t> </w:t>
      </w:r>
      <w:r>
        <w:rPr/>
        <w:t>the</w:t>
      </w:r>
      <w:r>
        <w:rPr>
          <w:spacing w:val="-3"/>
        </w:rPr>
        <w:t> </w:t>
      </w:r>
      <w:r>
        <w:rPr/>
        <w:t>consumer</w:t>
      </w:r>
      <w:r>
        <w:rPr>
          <w:spacing w:val="-2"/>
        </w:rPr>
        <w:t> </w:t>
      </w:r>
      <w:r>
        <w:rPr/>
        <w:t>to</w:t>
      </w:r>
      <w:r>
        <w:rPr>
          <w:spacing w:val="-4"/>
        </w:rPr>
        <w:t> </w:t>
      </w:r>
      <w:r>
        <w:rPr/>
        <w:t>gain</w:t>
      </w:r>
      <w:r>
        <w:rPr>
          <w:spacing w:val="-3"/>
        </w:rPr>
        <w:t> </w:t>
      </w:r>
      <w:r>
        <w:rPr/>
        <w:t>contact</w:t>
      </w:r>
      <w:r>
        <w:rPr>
          <w:spacing w:val="-2"/>
        </w:rPr>
        <w:t> </w:t>
      </w:r>
      <w:r>
        <w:rPr/>
        <w:t>with</w:t>
      </w:r>
      <w:r>
        <w:rPr>
          <w:spacing w:val="-3"/>
        </w:rPr>
        <w:t> </w:t>
      </w:r>
      <w:r>
        <w:rPr/>
        <w:t>their</w:t>
      </w:r>
      <w:r>
        <w:rPr>
          <w:spacing w:val="-2"/>
        </w:rPr>
        <w:t> </w:t>
      </w:r>
      <w:r>
        <w:rPr/>
        <w:t>environment</w:t>
      </w:r>
      <w:r>
        <w:rPr>
          <w:spacing w:val="-2"/>
        </w:rPr>
        <w:t> </w:t>
      </w:r>
      <w:r>
        <w:rPr/>
        <w:t>and</w:t>
      </w:r>
      <w:r>
        <w:rPr>
          <w:spacing w:val="-3"/>
        </w:rPr>
        <w:t> </w:t>
      </w:r>
      <w:r>
        <w:rPr/>
        <w:t>use</w:t>
      </w:r>
      <w:r>
        <w:rPr>
          <w:spacing w:val="-3"/>
        </w:rPr>
        <w:t> </w:t>
      </w:r>
      <w:r>
        <w:rPr/>
        <w:t>the</w:t>
      </w:r>
      <w:r>
        <w:rPr>
          <w:spacing w:val="-3"/>
        </w:rPr>
        <w:t> </w:t>
      </w:r>
      <w:r>
        <w:rPr/>
        <w:t>tools available for communication the following skills can be assessed and instruction for using alternate techniques provided:</w:t>
      </w:r>
    </w:p>
    <w:p>
      <w:pPr>
        <w:pStyle w:val="ListParagraph"/>
        <w:numPr>
          <w:ilvl w:val="0"/>
          <w:numId w:val="266"/>
        </w:numPr>
        <w:tabs>
          <w:tab w:pos="1218" w:val="left" w:leader="none"/>
        </w:tabs>
        <w:spacing w:line="240" w:lineRule="auto" w:before="210" w:after="0"/>
        <w:ind w:left="1218" w:right="0" w:hanging="426"/>
        <w:jc w:val="left"/>
        <w:rPr>
          <w:sz w:val="24"/>
        </w:rPr>
      </w:pPr>
      <w:r>
        <w:rPr>
          <w:sz w:val="24"/>
        </w:rPr>
        <w:t>Telephone</w:t>
      </w:r>
      <w:r>
        <w:rPr>
          <w:spacing w:val="-8"/>
          <w:sz w:val="24"/>
        </w:rPr>
        <w:t> </w:t>
      </w:r>
      <w:r>
        <w:rPr>
          <w:spacing w:val="-2"/>
          <w:sz w:val="24"/>
        </w:rPr>
        <w:t>usage.</w:t>
      </w:r>
    </w:p>
    <w:p>
      <w:pPr>
        <w:pStyle w:val="ListParagraph"/>
        <w:numPr>
          <w:ilvl w:val="0"/>
          <w:numId w:val="266"/>
        </w:numPr>
        <w:tabs>
          <w:tab w:pos="1218" w:val="left" w:leader="none"/>
        </w:tabs>
        <w:spacing w:line="240" w:lineRule="auto" w:before="204" w:after="0"/>
        <w:ind w:left="1218" w:right="0" w:hanging="426"/>
        <w:jc w:val="left"/>
        <w:rPr>
          <w:sz w:val="24"/>
        </w:rPr>
      </w:pPr>
      <w:r>
        <w:rPr>
          <w:spacing w:val="-2"/>
          <w:sz w:val="24"/>
        </w:rPr>
        <w:t>Handwriting.</w:t>
      </w:r>
    </w:p>
    <w:p>
      <w:pPr>
        <w:pStyle w:val="ListParagraph"/>
        <w:numPr>
          <w:ilvl w:val="0"/>
          <w:numId w:val="266"/>
        </w:numPr>
        <w:tabs>
          <w:tab w:pos="1218" w:val="left" w:leader="none"/>
        </w:tabs>
        <w:spacing w:line="240" w:lineRule="auto" w:before="204" w:after="0"/>
        <w:ind w:left="1218" w:right="0" w:hanging="426"/>
        <w:jc w:val="left"/>
        <w:rPr>
          <w:sz w:val="24"/>
        </w:rPr>
      </w:pPr>
      <w:r>
        <w:rPr>
          <w:spacing w:val="-2"/>
          <w:sz w:val="24"/>
        </w:rPr>
        <w:t>Labeling.</w:t>
      </w:r>
    </w:p>
    <w:p>
      <w:pPr>
        <w:pStyle w:val="ListParagraph"/>
        <w:numPr>
          <w:ilvl w:val="0"/>
          <w:numId w:val="266"/>
        </w:numPr>
        <w:tabs>
          <w:tab w:pos="1218" w:val="left" w:leader="none"/>
        </w:tabs>
        <w:spacing w:line="240" w:lineRule="auto" w:before="204" w:after="0"/>
        <w:ind w:left="1218" w:right="0" w:hanging="426"/>
        <w:jc w:val="left"/>
        <w:rPr>
          <w:sz w:val="24"/>
        </w:rPr>
      </w:pPr>
      <w:r>
        <w:rPr>
          <w:sz w:val="24"/>
        </w:rPr>
        <w:t>Braille</w:t>
      </w:r>
      <w:r>
        <w:rPr>
          <w:spacing w:val="-4"/>
          <w:sz w:val="24"/>
        </w:rPr>
        <w:t> </w:t>
      </w:r>
      <w:r>
        <w:rPr>
          <w:sz w:val="24"/>
        </w:rPr>
        <w:t>reading</w:t>
      </w:r>
      <w:r>
        <w:rPr>
          <w:spacing w:val="-4"/>
          <w:sz w:val="24"/>
        </w:rPr>
        <w:t> </w:t>
      </w:r>
      <w:r>
        <w:rPr>
          <w:sz w:val="24"/>
        </w:rPr>
        <w:t>and</w:t>
      </w:r>
      <w:r>
        <w:rPr>
          <w:spacing w:val="-3"/>
          <w:sz w:val="24"/>
        </w:rPr>
        <w:t> </w:t>
      </w:r>
      <w:r>
        <w:rPr>
          <w:spacing w:val="-2"/>
          <w:sz w:val="24"/>
        </w:rPr>
        <w:t>writing.</w:t>
      </w:r>
    </w:p>
    <w:p>
      <w:pPr>
        <w:pStyle w:val="ListParagraph"/>
        <w:numPr>
          <w:ilvl w:val="0"/>
          <w:numId w:val="266"/>
        </w:numPr>
        <w:tabs>
          <w:tab w:pos="1218" w:val="left" w:leader="none"/>
        </w:tabs>
        <w:spacing w:line="240" w:lineRule="auto" w:before="204" w:after="0"/>
        <w:ind w:left="1218" w:right="0" w:hanging="426"/>
        <w:jc w:val="left"/>
        <w:rPr>
          <w:sz w:val="24"/>
        </w:rPr>
      </w:pPr>
      <w:r>
        <w:rPr>
          <w:sz w:val="24"/>
        </w:rPr>
        <w:t>Time</w:t>
      </w:r>
      <w:r>
        <w:rPr>
          <w:spacing w:val="-5"/>
          <w:sz w:val="24"/>
        </w:rPr>
        <w:t> </w:t>
      </w:r>
      <w:r>
        <w:rPr>
          <w:spacing w:val="-2"/>
          <w:sz w:val="24"/>
        </w:rPr>
        <w:t>telling.</w:t>
      </w:r>
    </w:p>
    <w:p>
      <w:pPr>
        <w:pStyle w:val="ListParagraph"/>
        <w:numPr>
          <w:ilvl w:val="0"/>
          <w:numId w:val="266"/>
        </w:numPr>
        <w:tabs>
          <w:tab w:pos="1218" w:val="left" w:leader="none"/>
        </w:tabs>
        <w:spacing w:line="240" w:lineRule="auto" w:before="204" w:after="0"/>
        <w:ind w:left="1218" w:right="0" w:hanging="426"/>
        <w:jc w:val="left"/>
        <w:rPr>
          <w:sz w:val="24"/>
        </w:rPr>
      </w:pPr>
      <w:r>
        <w:rPr>
          <w:sz w:val="24"/>
        </w:rPr>
        <w:t>Recording</w:t>
      </w:r>
      <w:r>
        <w:rPr>
          <w:spacing w:val="-7"/>
          <w:sz w:val="24"/>
        </w:rPr>
        <w:t> </w:t>
      </w:r>
      <w:r>
        <w:rPr>
          <w:spacing w:val="-2"/>
          <w:sz w:val="24"/>
        </w:rPr>
        <w:t>devices.</w:t>
      </w:r>
    </w:p>
    <w:p>
      <w:pPr>
        <w:pStyle w:val="ListParagraph"/>
        <w:numPr>
          <w:ilvl w:val="0"/>
          <w:numId w:val="266"/>
        </w:numPr>
        <w:tabs>
          <w:tab w:pos="1218" w:val="left" w:leader="none"/>
        </w:tabs>
        <w:spacing w:line="240" w:lineRule="auto" w:before="204" w:after="0"/>
        <w:ind w:left="1218" w:right="0" w:hanging="426"/>
        <w:jc w:val="left"/>
        <w:rPr>
          <w:sz w:val="24"/>
        </w:rPr>
      </w:pPr>
      <w:r>
        <w:rPr>
          <w:sz w:val="24"/>
        </w:rPr>
        <w:t>Receptive/expressive</w:t>
      </w:r>
      <w:r>
        <w:rPr>
          <w:spacing w:val="-11"/>
          <w:sz w:val="24"/>
        </w:rPr>
        <w:t> </w:t>
      </w:r>
      <w:r>
        <w:rPr>
          <w:spacing w:val="-2"/>
          <w:sz w:val="24"/>
        </w:rPr>
        <w:t>communication.</w:t>
      </w:r>
    </w:p>
    <w:p>
      <w:pPr>
        <w:pStyle w:val="ListParagraph"/>
        <w:numPr>
          <w:ilvl w:val="0"/>
          <w:numId w:val="266"/>
        </w:numPr>
        <w:tabs>
          <w:tab w:pos="1218" w:val="left" w:leader="none"/>
        </w:tabs>
        <w:spacing w:line="240" w:lineRule="auto" w:before="204" w:after="0"/>
        <w:ind w:left="1218" w:right="0" w:hanging="426"/>
        <w:jc w:val="left"/>
        <w:rPr>
          <w:sz w:val="24"/>
        </w:rPr>
      </w:pPr>
      <w:r>
        <w:rPr>
          <w:spacing w:val="-2"/>
          <w:sz w:val="24"/>
        </w:rPr>
        <w:t>Keyboarding.</w:t>
      </w:r>
    </w:p>
    <w:p>
      <w:pPr>
        <w:pStyle w:val="ListParagraph"/>
        <w:numPr>
          <w:ilvl w:val="0"/>
          <w:numId w:val="266"/>
        </w:numPr>
        <w:tabs>
          <w:tab w:pos="1218" w:val="left" w:leader="none"/>
        </w:tabs>
        <w:spacing w:line="417" w:lineRule="auto" w:before="204" w:after="0"/>
        <w:ind w:left="360" w:right="6978" w:firstLine="432"/>
        <w:jc w:val="left"/>
        <w:rPr>
          <w:sz w:val="24"/>
        </w:rPr>
      </w:pPr>
      <w:r>
        <w:rPr>
          <w:sz w:val="24"/>
        </w:rPr>
        <w:t>Assistive</w:t>
      </w:r>
      <w:r>
        <w:rPr>
          <w:spacing w:val="-17"/>
          <w:sz w:val="24"/>
        </w:rPr>
        <w:t> </w:t>
      </w:r>
      <w:r>
        <w:rPr>
          <w:sz w:val="24"/>
        </w:rPr>
        <w:t>technology. Instructions to Staff</w:t>
      </w:r>
    </w:p>
    <w:p>
      <w:pPr>
        <w:pStyle w:val="ListParagraph"/>
        <w:numPr>
          <w:ilvl w:val="0"/>
          <w:numId w:val="267"/>
        </w:numPr>
        <w:tabs>
          <w:tab w:pos="1078" w:val="left" w:leader="none"/>
          <w:tab w:pos="1080" w:val="left" w:leader="none"/>
        </w:tabs>
        <w:spacing w:line="208" w:lineRule="auto" w:before="29" w:after="0"/>
        <w:ind w:left="1080" w:right="978" w:hanging="360"/>
        <w:jc w:val="left"/>
        <w:rPr>
          <w:sz w:val="24"/>
        </w:rPr>
      </w:pPr>
      <w:r>
        <w:rPr>
          <w:sz w:val="24"/>
        </w:rPr>
        <w:t>Information technology equipment has a State Capitalization rate of $500 and purchases at or above the capitalization rate require prior approval from RSA. Much of the equipment for client services is counted under the aggregate approval</w:t>
      </w:r>
      <w:r>
        <w:rPr>
          <w:spacing w:val="-4"/>
          <w:sz w:val="24"/>
        </w:rPr>
        <w:t> </w:t>
      </w:r>
      <w:r>
        <w:rPr>
          <w:sz w:val="24"/>
        </w:rPr>
        <w:t>that</w:t>
      </w:r>
      <w:r>
        <w:rPr>
          <w:spacing w:val="-3"/>
          <w:sz w:val="24"/>
        </w:rPr>
        <w:t> </w:t>
      </w:r>
      <w:r>
        <w:rPr>
          <w:sz w:val="24"/>
        </w:rPr>
        <w:t>DRS</w:t>
      </w:r>
      <w:r>
        <w:rPr>
          <w:spacing w:val="-4"/>
          <w:sz w:val="24"/>
        </w:rPr>
        <w:t> </w:t>
      </w:r>
      <w:r>
        <w:rPr>
          <w:sz w:val="24"/>
        </w:rPr>
        <w:t>has</w:t>
      </w:r>
      <w:r>
        <w:rPr>
          <w:spacing w:val="-3"/>
          <w:sz w:val="24"/>
        </w:rPr>
        <w:t> </w:t>
      </w:r>
      <w:r>
        <w:rPr>
          <w:sz w:val="24"/>
        </w:rPr>
        <w:t>been</w:t>
      </w:r>
      <w:r>
        <w:rPr>
          <w:spacing w:val="-4"/>
          <w:sz w:val="24"/>
        </w:rPr>
        <w:t> </w:t>
      </w:r>
      <w:r>
        <w:rPr>
          <w:sz w:val="24"/>
        </w:rPr>
        <w:t>granted</w:t>
      </w:r>
      <w:r>
        <w:rPr>
          <w:spacing w:val="-4"/>
          <w:sz w:val="24"/>
        </w:rPr>
        <w:t> </w:t>
      </w:r>
      <w:r>
        <w:rPr>
          <w:sz w:val="24"/>
        </w:rPr>
        <w:t>by</w:t>
      </w:r>
      <w:r>
        <w:rPr>
          <w:spacing w:val="-4"/>
          <w:sz w:val="24"/>
        </w:rPr>
        <w:t> </w:t>
      </w:r>
      <w:r>
        <w:rPr>
          <w:sz w:val="24"/>
        </w:rPr>
        <w:t>RSA</w:t>
      </w:r>
      <w:r>
        <w:rPr>
          <w:spacing w:val="-3"/>
          <w:sz w:val="24"/>
        </w:rPr>
        <w:t> </w:t>
      </w:r>
      <w:r>
        <w:rPr>
          <w:sz w:val="24"/>
        </w:rPr>
        <w:t>in</w:t>
      </w:r>
      <w:r>
        <w:rPr>
          <w:spacing w:val="-4"/>
          <w:sz w:val="24"/>
        </w:rPr>
        <w:t> </w:t>
      </w:r>
      <w:r>
        <w:rPr>
          <w:sz w:val="24"/>
        </w:rPr>
        <w:t>accordance</w:t>
      </w:r>
      <w:r>
        <w:rPr>
          <w:spacing w:val="-4"/>
          <w:sz w:val="24"/>
        </w:rPr>
        <w:t> </w:t>
      </w:r>
      <w:r>
        <w:rPr>
          <w:sz w:val="24"/>
        </w:rPr>
        <w:t>with</w:t>
      </w:r>
      <w:r>
        <w:rPr>
          <w:spacing w:val="-5"/>
          <w:sz w:val="24"/>
        </w:rPr>
        <w:t> </w:t>
      </w:r>
      <w:hyperlink r:id="rId55">
        <w:r>
          <w:rPr>
            <w:color w:val="0000FF"/>
            <w:sz w:val="24"/>
            <w:u w:val="single" w:color="0000FF"/>
          </w:rPr>
          <w:t>RSA-TAC-18-</w:t>
        </w:r>
      </w:hyperlink>
    </w:p>
    <w:p>
      <w:pPr>
        <w:pStyle w:val="BodyText"/>
        <w:spacing w:line="208" w:lineRule="auto" w:before="0"/>
        <w:ind w:left="1080" w:right="739"/>
      </w:pPr>
      <w:hyperlink r:id="rId55">
        <w:r>
          <w:rPr>
            <w:color w:val="0000FF"/>
            <w:u w:val="single" w:color="0000FF"/>
          </w:rPr>
          <w:t>02</w:t>
        </w:r>
      </w:hyperlink>
      <w:r>
        <w:rPr>
          <w:u w:val="none"/>
        </w:rPr>
        <w:t>. When authorizing the purchase of equipment in AWARE, please use service category(s)</w:t>
      </w:r>
      <w:r>
        <w:rPr>
          <w:spacing w:val="-5"/>
          <w:u w:val="none"/>
        </w:rPr>
        <w:t> </w:t>
      </w:r>
      <w:r>
        <w:rPr>
          <w:u w:val="none"/>
        </w:rPr>
        <w:t>Assistive</w:t>
      </w:r>
      <w:r>
        <w:rPr>
          <w:spacing w:val="-4"/>
          <w:u w:val="none"/>
        </w:rPr>
        <w:t> </w:t>
      </w:r>
      <w:r>
        <w:rPr>
          <w:u w:val="none"/>
        </w:rPr>
        <w:t>Technology</w:t>
      </w:r>
      <w:r>
        <w:rPr>
          <w:spacing w:val="-4"/>
          <w:u w:val="none"/>
        </w:rPr>
        <w:t> </w:t>
      </w:r>
      <w:r>
        <w:rPr>
          <w:u w:val="none"/>
        </w:rPr>
        <w:t>Devices.</w:t>
      </w:r>
      <w:r>
        <w:rPr>
          <w:spacing w:val="-3"/>
          <w:u w:val="none"/>
        </w:rPr>
        <w:t> </w:t>
      </w:r>
      <w:r>
        <w:rPr>
          <w:u w:val="none"/>
        </w:rPr>
        <w:t>FSD</w:t>
      </w:r>
      <w:r>
        <w:rPr>
          <w:spacing w:val="-4"/>
          <w:u w:val="none"/>
        </w:rPr>
        <w:t> </w:t>
      </w:r>
      <w:r>
        <w:rPr>
          <w:u w:val="none"/>
        </w:rPr>
        <w:t>staff</w:t>
      </w:r>
      <w:r>
        <w:rPr>
          <w:spacing w:val="-3"/>
          <w:u w:val="none"/>
        </w:rPr>
        <w:t> </w:t>
      </w:r>
      <w:r>
        <w:rPr>
          <w:u w:val="none"/>
        </w:rPr>
        <w:t>will</w:t>
      </w:r>
      <w:r>
        <w:rPr>
          <w:spacing w:val="-4"/>
          <w:u w:val="none"/>
        </w:rPr>
        <w:t> </w:t>
      </w:r>
      <w:r>
        <w:rPr>
          <w:u w:val="none"/>
        </w:rPr>
        <w:t>be</w:t>
      </w:r>
      <w:r>
        <w:rPr>
          <w:spacing w:val="-4"/>
          <w:u w:val="none"/>
        </w:rPr>
        <w:t> </w:t>
      </w:r>
      <w:r>
        <w:rPr>
          <w:u w:val="none"/>
        </w:rPr>
        <w:t>able</w:t>
      </w:r>
      <w:r>
        <w:rPr>
          <w:spacing w:val="-4"/>
          <w:u w:val="none"/>
        </w:rPr>
        <w:t> </w:t>
      </w:r>
      <w:r>
        <w:rPr>
          <w:u w:val="none"/>
        </w:rPr>
        <w:t>to</w:t>
      </w:r>
      <w:r>
        <w:rPr>
          <w:spacing w:val="-4"/>
          <w:u w:val="none"/>
        </w:rPr>
        <w:t> </w:t>
      </w:r>
      <w:r>
        <w:rPr>
          <w:u w:val="none"/>
        </w:rPr>
        <w:t>capture</w:t>
      </w:r>
      <w:r>
        <w:rPr>
          <w:spacing w:val="-4"/>
          <w:u w:val="none"/>
        </w:rPr>
        <w:t> </w:t>
      </w:r>
      <w:r>
        <w:rPr>
          <w:u w:val="none"/>
        </w:rPr>
        <w:t>these costs and count them against the aggregate approved amount. Individual approvals for these categories will not be required.</w:t>
      </w:r>
    </w:p>
    <w:p>
      <w:pPr>
        <w:pStyle w:val="ListParagraph"/>
        <w:numPr>
          <w:ilvl w:val="0"/>
          <w:numId w:val="267"/>
        </w:numPr>
        <w:tabs>
          <w:tab w:pos="1078" w:val="left" w:leader="none"/>
          <w:tab w:pos="1080" w:val="left" w:leader="none"/>
        </w:tabs>
        <w:spacing w:line="208" w:lineRule="auto" w:before="240" w:after="0"/>
        <w:ind w:left="1080" w:right="900" w:hanging="360"/>
        <w:jc w:val="left"/>
        <w:rPr>
          <w:sz w:val="24"/>
        </w:rPr>
      </w:pPr>
      <w:r>
        <w:rPr>
          <w:sz w:val="24"/>
        </w:rPr>
        <w:t>Braille reading and writing equipment without a motherboard has a State Capitalization rate of $2,500 and purchases at or above the capitalization rate requires prior approval from RSA. Much of the equipment for client services is counted under the aggregate approval that DRS has been granted by RSA in accordance</w:t>
      </w:r>
      <w:r>
        <w:rPr>
          <w:spacing w:val="-6"/>
          <w:sz w:val="24"/>
        </w:rPr>
        <w:t> </w:t>
      </w:r>
      <w:r>
        <w:rPr>
          <w:sz w:val="24"/>
        </w:rPr>
        <w:t>with</w:t>
      </w:r>
      <w:r>
        <w:rPr>
          <w:spacing w:val="-6"/>
          <w:sz w:val="24"/>
        </w:rPr>
        <w:t> </w:t>
      </w:r>
      <w:hyperlink r:id="rId55">
        <w:r>
          <w:rPr>
            <w:color w:val="0000FF"/>
            <w:sz w:val="24"/>
            <w:u w:val="single" w:color="0000FF"/>
          </w:rPr>
          <w:t>RSA-TAC-18-02</w:t>
        </w:r>
      </w:hyperlink>
      <w:r>
        <w:rPr>
          <w:sz w:val="24"/>
          <w:u w:val="none"/>
        </w:rPr>
        <w:t>.</w:t>
      </w:r>
      <w:r>
        <w:rPr>
          <w:spacing w:val="-5"/>
          <w:sz w:val="24"/>
          <w:u w:val="none"/>
        </w:rPr>
        <w:t> </w:t>
      </w:r>
      <w:r>
        <w:rPr>
          <w:sz w:val="24"/>
          <w:u w:val="none"/>
        </w:rPr>
        <w:t>When</w:t>
      </w:r>
      <w:r>
        <w:rPr>
          <w:spacing w:val="-6"/>
          <w:sz w:val="24"/>
          <w:u w:val="none"/>
        </w:rPr>
        <w:t> </w:t>
      </w:r>
      <w:r>
        <w:rPr>
          <w:sz w:val="24"/>
          <w:u w:val="none"/>
        </w:rPr>
        <w:t>authorizing</w:t>
      </w:r>
      <w:r>
        <w:rPr>
          <w:spacing w:val="-6"/>
          <w:sz w:val="24"/>
          <w:u w:val="none"/>
        </w:rPr>
        <w:t> </w:t>
      </w:r>
      <w:r>
        <w:rPr>
          <w:sz w:val="24"/>
          <w:u w:val="none"/>
        </w:rPr>
        <w:t>the</w:t>
      </w:r>
      <w:r>
        <w:rPr>
          <w:spacing w:val="-6"/>
          <w:sz w:val="24"/>
          <w:u w:val="none"/>
        </w:rPr>
        <w:t> </w:t>
      </w:r>
      <w:r>
        <w:rPr>
          <w:sz w:val="24"/>
          <w:u w:val="none"/>
        </w:rPr>
        <w:t>purchase</w:t>
      </w:r>
      <w:r>
        <w:rPr>
          <w:spacing w:val="-5"/>
          <w:sz w:val="24"/>
          <w:u w:val="none"/>
        </w:rPr>
        <w:t> </w:t>
      </w:r>
      <w:r>
        <w:rPr>
          <w:sz w:val="24"/>
          <w:u w:val="none"/>
        </w:rPr>
        <w:t>of</w:t>
      </w:r>
      <w:r>
        <w:rPr>
          <w:spacing w:val="-5"/>
          <w:sz w:val="24"/>
          <w:u w:val="none"/>
        </w:rPr>
        <w:t> </w:t>
      </w:r>
      <w:r>
        <w:rPr>
          <w:sz w:val="24"/>
          <w:u w:val="none"/>
        </w:rPr>
        <w:t>equipment in AWARE, please use service category(s) Assistive Technology Devices, or Other Goods and Services-Direct Authorization, or Other Goods and Services (Non-Medical). FSD staff will be able to capture theses costs and count them against the aggregate approved amount. Individual approvals for these categories will not be required.</w:t>
      </w:r>
    </w:p>
    <w:p>
      <w:pPr>
        <w:spacing w:before="242"/>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7-1-04</w:t>
      </w:r>
      <w:r>
        <w:rPr>
          <w:sz w:val="22"/>
        </w:rPr>
        <w:tab/>
        <w:t>PT Memo #05-01</w:t>
      </w:r>
    </w:p>
    <w:p>
      <w:pPr>
        <w:spacing w:before="0"/>
        <w:ind w:left="1439" w:right="0" w:firstLine="0"/>
        <w:jc w:val="left"/>
        <w:rPr>
          <w:sz w:val="22"/>
        </w:rPr>
      </w:pPr>
      <w:r>
        <w:rPr>
          <w:sz w:val="22"/>
        </w:rPr>
        <w:t>Permanent,</w:t>
      </w:r>
      <w:r>
        <w:rPr>
          <w:spacing w:val="-10"/>
          <w:sz w:val="22"/>
        </w:rPr>
        <w:t> </w:t>
      </w:r>
      <w:r>
        <w:rPr>
          <w:sz w:val="22"/>
        </w:rPr>
        <w:t>updated</w:t>
      </w:r>
      <w:r>
        <w:rPr>
          <w:spacing w:val="-11"/>
          <w:sz w:val="22"/>
        </w:rPr>
        <w:t> </w:t>
      </w:r>
      <w:r>
        <w:rPr>
          <w:sz w:val="22"/>
        </w:rPr>
        <w:t>language,</w:t>
      </w:r>
      <w:r>
        <w:rPr>
          <w:spacing w:val="-10"/>
          <w:sz w:val="22"/>
        </w:rPr>
        <w:t> </w:t>
      </w:r>
      <w:r>
        <w:rPr>
          <w:spacing w:val="-2"/>
          <w:sz w:val="22"/>
        </w:rPr>
        <w:t>streamlining</w:t>
      </w:r>
    </w:p>
    <w:p>
      <w:pPr>
        <w:spacing w:after="0"/>
        <w:jc w:val="left"/>
        <w:rPr>
          <w:sz w:val="22"/>
        </w:rPr>
        <w:sectPr>
          <w:pgSz w:w="12240" w:h="15840"/>
          <w:pgMar w:top="1340" w:bottom="280" w:left="1080" w:right="720"/>
        </w:sectPr>
      </w:pPr>
    </w:p>
    <w:p>
      <w:pPr>
        <w:pStyle w:val="ListParagraph"/>
        <w:numPr>
          <w:ilvl w:val="2"/>
          <w:numId w:val="268"/>
        </w:numPr>
        <w:tabs>
          <w:tab w:pos="1439" w:val="left" w:leader="none"/>
        </w:tabs>
        <w:spacing w:line="240" w:lineRule="auto" w:before="80" w:after="0"/>
        <w:ind w:left="1439" w:right="0" w:hanging="1079"/>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tabs>
          <w:tab w:pos="1439" w:val="left" w:leader="none"/>
        </w:tabs>
        <w:spacing w:before="0"/>
        <w:ind w:left="360" w:right="6038" w:firstLine="1080"/>
        <w:jc w:val="left"/>
        <w:rPr>
          <w:sz w:val="22"/>
        </w:rPr>
      </w:pPr>
      <w:r>
        <w:rPr>
          <w:sz w:val="22"/>
        </w:rPr>
        <w:t>Permanent,</w:t>
      </w:r>
      <w:r>
        <w:rPr>
          <w:spacing w:val="-16"/>
          <w:sz w:val="22"/>
        </w:rPr>
        <w:t> </w:t>
      </w:r>
      <w:r>
        <w:rPr>
          <w:sz w:val="22"/>
        </w:rPr>
        <w:t>updated</w:t>
      </w:r>
      <w:r>
        <w:rPr>
          <w:spacing w:val="-15"/>
          <w:sz w:val="22"/>
        </w:rPr>
        <w:t> </w:t>
      </w:r>
      <w:r>
        <w:rPr>
          <w:sz w:val="22"/>
        </w:rPr>
        <w:t>language </w:t>
      </w:r>
      <w:r>
        <w:rPr>
          <w:spacing w:val="-2"/>
          <w:sz w:val="22"/>
        </w:rPr>
        <w:t>9-14-18</w:t>
      </w:r>
      <w:r>
        <w:rPr>
          <w:sz w:val="22"/>
        </w:rPr>
        <w:tab/>
        <w:t>Added “skills” to policy title.</w:t>
      </w:r>
    </w:p>
    <w:p>
      <w:pPr>
        <w:tabs>
          <w:tab w:pos="1439" w:val="left" w:leader="none"/>
        </w:tabs>
        <w:spacing w:line="252" w:lineRule="exact" w:before="0"/>
        <w:ind w:left="360" w:right="0" w:firstLine="0"/>
        <w:jc w:val="left"/>
        <w:rPr>
          <w:sz w:val="22"/>
        </w:rPr>
      </w:pPr>
      <w:r>
        <w:rPr>
          <w:spacing w:val="-2"/>
          <w:sz w:val="22"/>
        </w:rPr>
        <w:t>9-30-</w:t>
      </w:r>
      <w:r>
        <w:rPr>
          <w:spacing w:val="-5"/>
          <w:sz w:val="22"/>
        </w:rPr>
        <w:t>19</w:t>
      </w:r>
      <w:r>
        <w:rPr>
          <w:sz w:val="22"/>
        </w:rPr>
        <w:tab/>
        <w:t>Added</w:t>
      </w:r>
      <w:r>
        <w:rPr>
          <w:spacing w:val="-8"/>
          <w:sz w:val="22"/>
        </w:rPr>
        <w:t> </w:t>
      </w:r>
      <w:r>
        <w:rPr>
          <w:spacing w:val="-4"/>
          <w:sz w:val="22"/>
        </w:rPr>
        <w:t>ITS.</w:t>
      </w:r>
    </w:p>
    <w:p>
      <w:pPr>
        <w:spacing w:after="0" w:line="252" w:lineRule="exact"/>
        <w:jc w:val="left"/>
        <w:rPr>
          <w:sz w:val="22"/>
        </w:rPr>
        <w:sectPr>
          <w:pgSz w:w="12240" w:h="15840"/>
          <w:pgMar w:top="1360" w:bottom="280" w:left="1080" w:right="720"/>
        </w:sectPr>
      </w:pPr>
    </w:p>
    <w:p>
      <w:pPr>
        <w:pStyle w:val="Heading2"/>
      </w:pPr>
      <w:bookmarkStart w:name="612:10-9-34.  Personal management skills" w:id="250"/>
      <w:bookmarkEnd w:id="250"/>
      <w:r>
        <w:rPr>
          <w:b w:val="0"/>
        </w:rPr>
      </w:r>
      <w:r>
        <w:rPr/>
        <w:t>612:10-9-34.</w:t>
      </w:r>
      <w:r>
        <w:rPr>
          <w:spacing w:val="56"/>
        </w:rPr>
        <w:t> </w:t>
      </w:r>
      <w:r>
        <w:rPr/>
        <w:t>Personal</w:t>
      </w:r>
      <w:r>
        <w:rPr>
          <w:spacing w:val="-4"/>
        </w:rPr>
        <w:t> </w:t>
      </w:r>
      <w:r>
        <w:rPr/>
        <w:t>management</w:t>
      </w:r>
      <w:r>
        <w:rPr>
          <w:spacing w:val="-4"/>
        </w:rPr>
        <w:t> </w:t>
      </w:r>
      <w:r>
        <w:rPr>
          <w:spacing w:val="-2"/>
        </w:rPr>
        <w:t>skills</w:t>
      </w:r>
    </w:p>
    <w:p>
      <w:pPr>
        <w:pStyle w:val="BodyText"/>
        <w:spacing w:line="208" w:lineRule="auto" w:before="233"/>
        <w:ind w:left="359" w:right="775" w:firstLine="432"/>
      </w:pPr>
      <w:r>
        <w:rPr/>
        <w:t>The area of personal management encompasses all areas of self-care. The consumer</w:t>
      </w:r>
      <w:r>
        <w:rPr>
          <w:spacing w:val="-3"/>
        </w:rPr>
        <w:t> </w:t>
      </w:r>
      <w:r>
        <w:rPr/>
        <w:t>can</w:t>
      </w:r>
      <w:r>
        <w:rPr>
          <w:spacing w:val="-4"/>
        </w:rPr>
        <w:t> </w:t>
      </w:r>
      <w:r>
        <w:rPr/>
        <w:t>obtain</w:t>
      </w:r>
      <w:r>
        <w:rPr>
          <w:spacing w:val="-4"/>
        </w:rPr>
        <w:t> </w:t>
      </w:r>
      <w:r>
        <w:rPr/>
        <w:t>the</w:t>
      </w:r>
      <w:r>
        <w:rPr>
          <w:spacing w:val="-4"/>
        </w:rPr>
        <w:t> </w:t>
      </w:r>
      <w:r>
        <w:rPr/>
        <w:t>ability</w:t>
      </w:r>
      <w:r>
        <w:rPr>
          <w:spacing w:val="-4"/>
        </w:rPr>
        <w:t> </w:t>
      </w:r>
      <w:r>
        <w:rPr/>
        <w:t>to</w:t>
      </w:r>
      <w:r>
        <w:rPr>
          <w:spacing w:val="-4"/>
        </w:rPr>
        <w:t> </w:t>
      </w:r>
      <w:r>
        <w:rPr/>
        <w:t>meet</w:t>
      </w:r>
      <w:r>
        <w:rPr>
          <w:spacing w:val="-3"/>
        </w:rPr>
        <w:t> </w:t>
      </w:r>
      <w:r>
        <w:rPr/>
        <w:t>personal</w:t>
      </w:r>
      <w:r>
        <w:rPr>
          <w:spacing w:val="-4"/>
        </w:rPr>
        <w:t> </w:t>
      </w:r>
      <w:r>
        <w:rPr/>
        <w:t>needs</w:t>
      </w:r>
      <w:r>
        <w:rPr>
          <w:spacing w:val="-4"/>
        </w:rPr>
        <w:t> </w:t>
      </w:r>
      <w:r>
        <w:rPr/>
        <w:t>that</w:t>
      </w:r>
      <w:r>
        <w:rPr>
          <w:spacing w:val="-3"/>
        </w:rPr>
        <w:t> </w:t>
      </w:r>
      <w:r>
        <w:rPr/>
        <w:t>will</w:t>
      </w:r>
      <w:r>
        <w:rPr>
          <w:spacing w:val="-4"/>
        </w:rPr>
        <w:t> </w:t>
      </w:r>
      <w:r>
        <w:rPr/>
        <w:t>promote</w:t>
      </w:r>
      <w:r>
        <w:rPr>
          <w:spacing w:val="-4"/>
        </w:rPr>
        <w:t> </w:t>
      </w:r>
      <w:r>
        <w:rPr/>
        <w:t>increased confidence and independence. Evaluation and training can be accomplished in the following areas:</w:t>
      </w:r>
    </w:p>
    <w:p>
      <w:pPr>
        <w:pStyle w:val="ListParagraph"/>
        <w:numPr>
          <w:ilvl w:val="0"/>
          <w:numId w:val="269"/>
        </w:numPr>
        <w:tabs>
          <w:tab w:pos="1217" w:val="left" w:leader="none"/>
        </w:tabs>
        <w:spacing w:line="240" w:lineRule="auto" w:before="210" w:after="0"/>
        <w:ind w:left="1217" w:right="0" w:hanging="426"/>
        <w:jc w:val="left"/>
        <w:rPr>
          <w:sz w:val="24"/>
        </w:rPr>
      </w:pPr>
      <w:r>
        <w:rPr>
          <w:sz w:val="24"/>
        </w:rPr>
        <w:t>Clothing</w:t>
      </w:r>
      <w:r>
        <w:rPr>
          <w:spacing w:val="-6"/>
          <w:sz w:val="24"/>
        </w:rPr>
        <w:t> </w:t>
      </w:r>
      <w:r>
        <w:rPr>
          <w:spacing w:val="-2"/>
          <w:sz w:val="24"/>
        </w:rPr>
        <w:t>care.</w:t>
      </w:r>
    </w:p>
    <w:p>
      <w:pPr>
        <w:pStyle w:val="ListParagraph"/>
        <w:numPr>
          <w:ilvl w:val="0"/>
          <w:numId w:val="269"/>
        </w:numPr>
        <w:tabs>
          <w:tab w:pos="1217" w:val="left" w:leader="none"/>
        </w:tabs>
        <w:spacing w:line="240" w:lineRule="auto" w:before="204" w:after="0"/>
        <w:ind w:left="1217" w:right="0" w:hanging="426"/>
        <w:jc w:val="left"/>
        <w:rPr>
          <w:sz w:val="24"/>
        </w:rPr>
      </w:pPr>
      <w:r>
        <w:rPr>
          <w:sz w:val="24"/>
        </w:rPr>
        <w:t>Personal</w:t>
      </w:r>
      <w:r>
        <w:rPr>
          <w:spacing w:val="-6"/>
          <w:sz w:val="24"/>
        </w:rPr>
        <w:t> </w:t>
      </w:r>
      <w:r>
        <w:rPr>
          <w:spacing w:val="-2"/>
          <w:sz w:val="24"/>
        </w:rPr>
        <w:t>hygiene.</w:t>
      </w:r>
    </w:p>
    <w:p>
      <w:pPr>
        <w:pStyle w:val="ListParagraph"/>
        <w:numPr>
          <w:ilvl w:val="0"/>
          <w:numId w:val="269"/>
        </w:numPr>
        <w:tabs>
          <w:tab w:pos="1217" w:val="left" w:leader="none"/>
        </w:tabs>
        <w:spacing w:line="240" w:lineRule="auto" w:before="204" w:after="0"/>
        <w:ind w:left="1217" w:right="0" w:hanging="426"/>
        <w:jc w:val="left"/>
        <w:rPr>
          <w:sz w:val="24"/>
        </w:rPr>
      </w:pPr>
      <w:r>
        <w:rPr>
          <w:sz w:val="24"/>
        </w:rPr>
        <w:t>Clothing</w:t>
      </w:r>
      <w:r>
        <w:rPr>
          <w:spacing w:val="-6"/>
          <w:sz w:val="24"/>
        </w:rPr>
        <w:t> </w:t>
      </w:r>
      <w:r>
        <w:rPr>
          <w:spacing w:val="-2"/>
          <w:sz w:val="24"/>
        </w:rPr>
        <w:t>identification.</w:t>
      </w:r>
    </w:p>
    <w:p>
      <w:pPr>
        <w:pStyle w:val="ListParagraph"/>
        <w:numPr>
          <w:ilvl w:val="0"/>
          <w:numId w:val="269"/>
        </w:numPr>
        <w:tabs>
          <w:tab w:pos="1217" w:val="left" w:leader="none"/>
        </w:tabs>
        <w:spacing w:line="240" w:lineRule="auto" w:before="204" w:after="0"/>
        <w:ind w:left="1217" w:right="0" w:hanging="426"/>
        <w:jc w:val="left"/>
        <w:rPr>
          <w:sz w:val="24"/>
        </w:rPr>
      </w:pPr>
      <w:r>
        <w:rPr>
          <w:sz w:val="24"/>
        </w:rPr>
        <w:t>Health</w:t>
      </w:r>
      <w:r>
        <w:rPr>
          <w:spacing w:val="-5"/>
          <w:sz w:val="24"/>
        </w:rPr>
        <w:t> </w:t>
      </w:r>
      <w:r>
        <w:rPr>
          <w:spacing w:val="-2"/>
          <w:sz w:val="24"/>
        </w:rPr>
        <w:t>management.</w:t>
      </w:r>
    </w:p>
    <w:p>
      <w:pPr>
        <w:pStyle w:val="ListParagraph"/>
        <w:numPr>
          <w:ilvl w:val="0"/>
          <w:numId w:val="269"/>
        </w:numPr>
        <w:tabs>
          <w:tab w:pos="1216" w:val="left" w:leader="none"/>
        </w:tabs>
        <w:spacing w:line="240" w:lineRule="auto" w:before="204" w:after="0"/>
        <w:ind w:left="1216" w:right="0" w:hanging="425"/>
        <w:jc w:val="left"/>
        <w:rPr>
          <w:sz w:val="24"/>
        </w:rPr>
      </w:pPr>
      <w:r>
        <w:rPr>
          <w:sz w:val="24"/>
        </w:rPr>
        <w:t>Money</w:t>
      </w:r>
      <w:r>
        <w:rPr>
          <w:spacing w:val="-4"/>
          <w:sz w:val="24"/>
        </w:rPr>
        <w:t> </w:t>
      </w:r>
      <w:r>
        <w:rPr>
          <w:spacing w:val="-2"/>
          <w:sz w:val="24"/>
        </w:rPr>
        <w:t>management.</w:t>
      </w:r>
    </w:p>
    <w:p>
      <w:pPr>
        <w:pStyle w:val="ListParagraph"/>
        <w:numPr>
          <w:ilvl w:val="0"/>
          <w:numId w:val="269"/>
        </w:numPr>
        <w:tabs>
          <w:tab w:pos="1217" w:val="left" w:leader="none"/>
        </w:tabs>
        <w:spacing w:line="240" w:lineRule="auto" w:before="204" w:after="0"/>
        <w:ind w:left="1217" w:right="0" w:hanging="426"/>
        <w:jc w:val="left"/>
        <w:rPr>
          <w:sz w:val="24"/>
        </w:rPr>
      </w:pPr>
      <w:r>
        <w:rPr>
          <w:sz w:val="24"/>
        </w:rPr>
        <w:t>Eating</w:t>
      </w:r>
      <w:r>
        <w:rPr>
          <w:spacing w:val="-5"/>
          <w:sz w:val="24"/>
        </w:rPr>
        <w:t> </w:t>
      </w:r>
      <w:r>
        <w:rPr>
          <w:spacing w:val="-2"/>
          <w:sz w:val="24"/>
        </w:rPr>
        <w:t>skills.</w:t>
      </w:r>
    </w:p>
    <w:p>
      <w:pPr>
        <w:pStyle w:val="ListParagraph"/>
        <w:numPr>
          <w:ilvl w:val="0"/>
          <w:numId w:val="269"/>
        </w:numPr>
        <w:tabs>
          <w:tab w:pos="1217" w:val="left" w:leader="none"/>
        </w:tabs>
        <w:spacing w:line="240" w:lineRule="auto" w:before="204" w:after="0"/>
        <w:ind w:left="1217" w:right="0" w:hanging="426"/>
        <w:jc w:val="left"/>
        <w:rPr>
          <w:sz w:val="24"/>
        </w:rPr>
      </w:pPr>
      <w:r>
        <w:rPr>
          <w:sz w:val="24"/>
        </w:rPr>
        <w:t>Sewing</w:t>
      </w:r>
      <w:r>
        <w:rPr>
          <w:spacing w:val="-5"/>
          <w:sz w:val="24"/>
        </w:rPr>
        <w:t> </w:t>
      </w:r>
      <w:r>
        <w:rPr>
          <w:spacing w:val="-2"/>
          <w:sz w:val="24"/>
        </w:rPr>
        <w:t>skills.</w:t>
      </w:r>
    </w:p>
    <w:p>
      <w:pPr>
        <w:spacing w:before="238"/>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60" w:right="4436" w:firstLine="1080"/>
        <w:jc w:val="left"/>
        <w:rPr>
          <w:sz w:val="22"/>
        </w:rPr>
      </w:pPr>
      <w:r>
        <w:rPr>
          <w:sz w:val="22"/>
        </w:rPr>
        <w:t>Emergency,</w:t>
      </w:r>
      <w:r>
        <w:rPr>
          <w:spacing w:val="-7"/>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7"/>
          <w:sz w:val="22"/>
        </w:rPr>
        <w:t> </w:t>
      </w:r>
      <w:r>
        <w:rPr>
          <w:sz w:val="22"/>
        </w:rPr>
        <w:t>Title</w:t>
      </w:r>
      <w:r>
        <w:rPr>
          <w:spacing w:val="-7"/>
          <w:sz w:val="22"/>
        </w:rPr>
        <w:t> </w:t>
      </w:r>
      <w:r>
        <w:rPr>
          <w:sz w:val="22"/>
        </w:rPr>
        <w:t>612 </w:t>
      </w:r>
      <w:r>
        <w:rPr>
          <w:spacing w:val="-2"/>
          <w:sz w:val="22"/>
        </w:rPr>
        <w:t>7-1-94</w:t>
      </w:r>
      <w:r>
        <w:rPr>
          <w:sz w:val="22"/>
        </w:rPr>
        <w:tab/>
        <w:t>PT Memo #94-1</w:t>
      </w:r>
    </w:p>
    <w:p>
      <w:pPr>
        <w:tabs>
          <w:tab w:pos="1439" w:val="left" w:leader="none"/>
        </w:tabs>
        <w:spacing w:before="0"/>
        <w:ind w:left="360" w:right="4472" w:firstLine="108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7"/>
          <w:sz w:val="22"/>
        </w:rPr>
        <w:t> </w:t>
      </w:r>
      <w:r>
        <w:rPr>
          <w:sz w:val="22"/>
        </w:rPr>
        <w:t>612 </w:t>
      </w:r>
      <w:r>
        <w:rPr>
          <w:spacing w:val="-2"/>
          <w:sz w:val="22"/>
        </w:rPr>
        <w:t>7-1-04</w:t>
      </w:r>
      <w:r>
        <w:rPr>
          <w:sz w:val="22"/>
        </w:rPr>
        <w:tab/>
        <w:t>PT Memo #05-01</w:t>
      </w:r>
    </w:p>
    <w:p>
      <w:pPr>
        <w:tabs>
          <w:tab w:pos="1439" w:val="left" w:leader="none"/>
        </w:tabs>
        <w:spacing w:before="0"/>
        <w:ind w:left="360" w:right="4730" w:firstLine="1080"/>
        <w:jc w:val="left"/>
        <w:rPr>
          <w:sz w:val="22"/>
        </w:rPr>
      </w:pPr>
      <w:r>
        <w:rPr>
          <w:sz w:val="22"/>
        </w:rPr>
        <w:t>Permanent,</w:t>
      </w:r>
      <w:r>
        <w:rPr>
          <w:spacing w:val="-13"/>
          <w:sz w:val="22"/>
        </w:rPr>
        <w:t> </w:t>
      </w:r>
      <w:r>
        <w:rPr>
          <w:sz w:val="22"/>
        </w:rPr>
        <w:t>updated</w:t>
      </w:r>
      <w:r>
        <w:rPr>
          <w:spacing w:val="-14"/>
          <w:sz w:val="22"/>
        </w:rPr>
        <w:t> </w:t>
      </w:r>
      <w:r>
        <w:rPr>
          <w:sz w:val="22"/>
        </w:rPr>
        <w:t>language,</w:t>
      </w:r>
      <w:r>
        <w:rPr>
          <w:spacing w:val="-14"/>
          <w:sz w:val="22"/>
        </w:rPr>
        <w:t> </w:t>
      </w:r>
      <w:r>
        <w:rPr>
          <w:sz w:val="22"/>
        </w:rPr>
        <w:t>streamlining </w:t>
      </w:r>
      <w:r>
        <w:rPr>
          <w:spacing w:val="-2"/>
          <w:sz w:val="22"/>
        </w:rPr>
        <w:t>7-1-11</w:t>
      </w:r>
      <w:r>
        <w:rPr>
          <w:sz w:val="22"/>
        </w:rPr>
        <w:tab/>
        <w:t>PT Memo #12-01</w:t>
      </w:r>
    </w:p>
    <w:p>
      <w:pPr>
        <w:tabs>
          <w:tab w:pos="1439" w:val="left" w:leader="none"/>
        </w:tabs>
        <w:spacing w:before="0"/>
        <w:ind w:left="360" w:right="5989" w:firstLine="1080"/>
        <w:jc w:val="left"/>
        <w:rPr>
          <w:sz w:val="22"/>
        </w:rPr>
      </w:pPr>
      <w:r>
        <w:rPr>
          <w:sz w:val="22"/>
        </w:rPr>
        <w:t>Permanent,</w:t>
      </w:r>
      <w:r>
        <w:rPr>
          <w:spacing w:val="-16"/>
          <w:sz w:val="22"/>
        </w:rPr>
        <w:t> </w:t>
      </w:r>
      <w:r>
        <w:rPr>
          <w:sz w:val="22"/>
        </w:rPr>
        <w:t>updating</w:t>
      </w:r>
      <w:r>
        <w:rPr>
          <w:spacing w:val="-15"/>
          <w:sz w:val="22"/>
        </w:rPr>
        <w:t> </w:t>
      </w:r>
      <w:r>
        <w:rPr>
          <w:sz w:val="22"/>
        </w:rPr>
        <w:t>language </w:t>
      </w:r>
      <w:r>
        <w:rPr>
          <w:spacing w:val="-2"/>
          <w:sz w:val="22"/>
        </w:rPr>
        <w:t>9-14-18</w:t>
      </w:r>
      <w:r>
        <w:rPr>
          <w:sz w:val="22"/>
        </w:rPr>
        <w:tab/>
        <w:t>Added “skills” to policy title.</w:t>
      </w:r>
    </w:p>
    <w:p>
      <w:pPr>
        <w:spacing w:after="0"/>
        <w:jc w:val="left"/>
        <w:rPr>
          <w:sz w:val="22"/>
        </w:rPr>
        <w:sectPr>
          <w:pgSz w:w="12240" w:h="15840"/>
          <w:pgMar w:top="1340" w:bottom="280" w:left="1080" w:right="720"/>
        </w:sectPr>
      </w:pPr>
    </w:p>
    <w:p>
      <w:pPr>
        <w:pStyle w:val="Heading2"/>
      </w:pPr>
      <w:bookmarkStart w:name="612:10-9-34.1  Visual efficiency" w:id="251"/>
      <w:bookmarkEnd w:id="251"/>
      <w:r>
        <w:rPr>
          <w:b w:val="0"/>
        </w:rPr>
      </w:r>
      <w:r>
        <w:rPr/>
        <w:t>612:10-9-34.1</w:t>
      </w:r>
      <w:r>
        <w:rPr>
          <w:spacing w:val="58"/>
        </w:rPr>
        <w:t> </w:t>
      </w:r>
      <w:r>
        <w:rPr/>
        <w:t>Visual</w:t>
      </w:r>
      <w:r>
        <w:rPr>
          <w:spacing w:val="-5"/>
        </w:rPr>
        <w:t> </w:t>
      </w:r>
      <w:r>
        <w:rPr>
          <w:spacing w:val="-2"/>
        </w:rPr>
        <w:t>efficiency</w:t>
      </w:r>
    </w:p>
    <w:p>
      <w:pPr>
        <w:pStyle w:val="BodyText"/>
        <w:spacing w:line="208" w:lineRule="auto" w:before="233"/>
        <w:ind w:right="775" w:firstLine="432"/>
      </w:pPr>
      <w:r>
        <w:rPr/>
        <w:t>It is essential for consumers who have residual vision to develop skills and techniques</w:t>
      </w:r>
      <w:r>
        <w:rPr>
          <w:spacing w:val="-3"/>
        </w:rPr>
        <w:t> </w:t>
      </w:r>
      <w:r>
        <w:rPr/>
        <w:t>to</w:t>
      </w:r>
      <w:r>
        <w:rPr>
          <w:spacing w:val="-4"/>
        </w:rPr>
        <w:t> </w:t>
      </w:r>
      <w:r>
        <w:rPr/>
        <w:t>utilize</w:t>
      </w:r>
      <w:r>
        <w:rPr>
          <w:spacing w:val="-4"/>
        </w:rPr>
        <w:t> </w:t>
      </w:r>
      <w:r>
        <w:rPr/>
        <w:t>remaining</w:t>
      </w:r>
      <w:r>
        <w:rPr>
          <w:spacing w:val="-4"/>
        </w:rPr>
        <w:t> </w:t>
      </w:r>
      <w:r>
        <w:rPr/>
        <w:t>vision</w:t>
      </w:r>
      <w:r>
        <w:rPr>
          <w:spacing w:val="-4"/>
        </w:rPr>
        <w:t> </w:t>
      </w:r>
      <w:r>
        <w:rPr/>
        <w:t>in</w:t>
      </w:r>
      <w:r>
        <w:rPr>
          <w:spacing w:val="-4"/>
        </w:rPr>
        <w:t> </w:t>
      </w:r>
      <w:r>
        <w:rPr/>
        <w:t>an</w:t>
      </w:r>
      <w:r>
        <w:rPr>
          <w:spacing w:val="-4"/>
        </w:rPr>
        <w:t> </w:t>
      </w:r>
      <w:r>
        <w:rPr/>
        <w:t>efficient</w:t>
      </w:r>
      <w:r>
        <w:rPr>
          <w:spacing w:val="-3"/>
        </w:rPr>
        <w:t> </w:t>
      </w:r>
      <w:r>
        <w:rPr/>
        <w:t>manner.</w:t>
      </w:r>
      <w:r>
        <w:rPr>
          <w:spacing w:val="-3"/>
        </w:rPr>
        <w:t> </w:t>
      </w:r>
      <w:r>
        <w:rPr/>
        <w:t>Services</w:t>
      </w:r>
      <w:r>
        <w:rPr>
          <w:spacing w:val="-4"/>
        </w:rPr>
        <w:t> </w:t>
      </w:r>
      <w:r>
        <w:rPr/>
        <w:t>to</w:t>
      </w:r>
      <w:r>
        <w:rPr>
          <w:spacing w:val="-4"/>
        </w:rPr>
        <w:t> </w:t>
      </w:r>
      <w:r>
        <w:rPr/>
        <w:t>assist</w:t>
      </w:r>
      <w:r>
        <w:rPr>
          <w:spacing w:val="-5"/>
        </w:rPr>
        <w:t> </w:t>
      </w:r>
      <w:r>
        <w:rPr/>
        <w:t>the consumer in learning to use residual vision include:</w:t>
      </w:r>
    </w:p>
    <w:p>
      <w:pPr>
        <w:pStyle w:val="ListParagraph"/>
        <w:numPr>
          <w:ilvl w:val="0"/>
          <w:numId w:val="270"/>
        </w:numPr>
        <w:tabs>
          <w:tab w:pos="1218" w:val="left" w:leader="none"/>
        </w:tabs>
        <w:spacing w:line="240" w:lineRule="auto" w:before="210" w:after="0"/>
        <w:ind w:left="1218" w:right="0" w:hanging="426"/>
        <w:jc w:val="left"/>
        <w:rPr>
          <w:sz w:val="24"/>
        </w:rPr>
      </w:pPr>
      <w:r>
        <w:rPr>
          <w:sz w:val="24"/>
        </w:rPr>
        <w:t>Low</w:t>
      </w:r>
      <w:r>
        <w:rPr>
          <w:spacing w:val="-4"/>
          <w:sz w:val="24"/>
        </w:rPr>
        <w:t> </w:t>
      </w:r>
      <w:r>
        <w:rPr>
          <w:sz w:val="24"/>
        </w:rPr>
        <w:t>vision</w:t>
      </w:r>
      <w:r>
        <w:rPr>
          <w:spacing w:val="-3"/>
          <w:sz w:val="24"/>
        </w:rPr>
        <w:t> </w:t>
      </w:r>
      <w:r>
        <w:rPr>
          <w:spacing w:val="-2"/>
          <w:sz w:val="24"/>
        </w:rPr>
        <w:t>evaluation</w:t>
      </w:r>
    </w:p>
    <w:p>
      <w:pPr>
        <w:pStyle w:val="ListParagraph"/>
        <w:numPr>
          <w:ilvl w:val="0"/>
          <w:numId w:val="270"/>
        </w:numPr>
        <w:tabs>
          <w:tab w:pos="1218" w:val="left" w:leader="none"/>
        </w:tabs>
        <w:spacing w:line="240" w:lineRule="auto" w:before="204" w:after="0"/>
        <w:ind w:left="1218" w:right="0" w:hanging="426"/>
        <w:jc w:val="left"/>
        <w:rPr>
          <w:sz w:val="24"/>
        </w:rPr>
      </w:pPr>
      <w:r>
        <w:rPr>
          <w:sz w:val="24"/>
        </w:rPr>
        <w:t>Use</w:t>
      </w:r>
      <w:r>
        <w:rPr>
          <w:spacing w:val="-4"/>
          <w:sz w:val="24"/>
        </w:rPr>
        <w:t> </w:t>
      </w:r>
      <w:r>
        <w:rPr>
          <w:sz w:val="24"/>
        </w:rPr>
        <w:t>of</w:t>
      </w:r>
      <w:r>
        <w:rPr>
          <w:spacing w:val="-4"/>
          <w:sz w:val="24"/>
        </w:rPr>
        <w:t> </w:t>
      </w:r>
      <w:r>
        <w:rPr>
          <w:sz w:val="24"/>
        </w:rPr>
        <w:t>appropriate</w:t>
      </w:r>
      <w:r>
        <w:rPr>
          <w:spacing w:val="-2"/>
          <w:sz w:val="24"/>
        </w:rPr>
        <w:t> lighting</w:t>
      </w:r>
    </w:p>
    <w:p>
      <w:pPr>
        <w:pStyle w:val="ListParagraph"/>
        <w:numPr>
          <w:ilvl w:val="0"/>
          <w:numId w:val="270"/>
        </w:numPr>
        <w:tabs>
          <w:tab w:pos="1218" w:val="left" w:leader="none"/>
        </w:tabs>
        <w:spacing w:line="240" w:lineRule="auto" w:before="204" w:after="0"/>
        <w:ind w:left="1218" w:right="0" w:hanging="426"/>
        <w:jc w:val="left"/>
        <w:rPr>
          <w:sz w:val="24"/>
        </w:rPr>
      </w:pPr>
      <w:r>
        <w:rPr>
          <w:sz w:val="24"/>
        </w:rPr>
        <w:t>Techniques</w:t>
      </w:r>
      <w:r>
        <w:rPr>
          <w:spacing w:val="-4"/>
          <w:sz w:val="24"/>
        </w:rPr>
        <w:t> </w:t>
      </w:r>
      <w:r>
        <w:rPr>
          <w:sz w:val="24"/>
        </w:rPr>
        <w:t>to</w:t>
      </w:r>
      <w:r>
        <w:rPr>
          <w:spacing w:val="-4"/>
          <w:sz w:val="24"/>
        </w:rPr>
        <w:t> </w:t>
      </w:r>
      <w:r>
        <w:rPr>
          <w:sz w:val="24"/>
        </w:rPr>
        <w:t>reduce</w:t>
      </w:r>
      <w:r>
        <w:rPr>
          <w:spacing w:val="-3"/>
          <w:sz w:val="24"/>
        </w:rPr>
        <w:t> </w:t>
      </w:r>
      <w:r>
        <w:rPr>
          <w:spacing w:val="-2"/>
          <w:sz w:val="24"/>
        </w:rPr>
        <w:t>glare</w:t>
      </w:r>
    </w:p>
    <w:p>
      <w:pPr>
        <w:pStyle w:val="ListParagraph"/>
        <w:numPr>
          <w:ilvl w:val="0"/>
          <w:numId w:val="270"/>
        </w:numPr>
        <w:tabs>
          <w:tab w:pos="1218" w:val="left" w:leader="none"/>
        </w:tabs>
        <w:spacing w:line="240" w:lineRule="auto" w:before="204" w:after="0"/>
        <w:ind w:left="1218" w:right="0" w:hanging="426"/>
        <w:jc w:val="left"/>
        <w:rPr>
          <w:sz w:val="24"/>
        </w:rPr>
      </w:pPr>
      <w:r>
        <w:rPr>
          <w:sz w:val="24"/>
        </w:rPr>
        <w:t>Techniques</w:t>
      </w:r>
      <w:r>
        <w:rPr>
          <w:spacing w:val="-5"/>
          <w:sz w:val="24"/>
        </w:rPr>
        <w:t> </w:t>
      </w:r>
      <w:r>
        <w:rPr>
          <w:sz w:val="24"/>
        </w:rPr>
        <w:t>for</w:t>
      </w:r>
      <w:r>
        <w:rPr>
          <w:spacing w:val="-3"/>
          <w:sz w:val="24"/>
        </w:rPr>
        <w:t> </w:t>
      </w:r>
      <w:r>
        <w:rPr>
          <w:sz w:val="24"/>
        </w:rPr>
        <w:t>using</w:t>
      </w:r>
      <w:r>
        <w:rPr>
          <w:spacing w:val="-4"/>
          <w:sz w:val="24"/>
        </w:rPr>
        <w:t> </w:t>
      </w:r>
      <w:r>
        <w:rPr>
          <w:sz w:val="24"/>
        </w:rPr>
        <w:t>color</w:t>
      </w:r>
      <w:r>
        <w:rPr>
          <w:spacing w:val="-3"/>
          <w:sz w:val="24"/>
        </w:rPr>
        <w:t> </w:t>
      </w:r>
      <w:r>
        <w:rPr>
          <w:spacing w:val="-2"/>
          <w:sz w:val="24"/>
        </w:rPr>
        <w:t>contrast</w:t>
      </w:r>
    </w:p>
    <w:p>
      <w:pPr>
        <w:pStyle w:val="ListParagraph"/>
        <w:numPr>
          <w:ilvl w:val="0"/>
          <w:numId w:val="270"/>
        </w:numPr>
        <w:tabs>
          <w:tab w:pos="1218" w:val="left" w:leader="none"/>
        </w:tabs>
        <w:spacing w:line="240" w:lineRule="auto" w:before="204" w:after="0"/>
        <w:ind w:left="1218" w:right="0" w:hanging="426"/>
        <w:jc w:val="left"/>
        <w:rPr>
          <w:sz w:val="24"/>
        </w:rPr>
      </w:pPr>
      <w:r>
        <w:rPr>
          <w:sz w:val="24"/>
        </w:rPr>
        <w:t>Techniques</w:t>
      </w:r>
      <w:r>
        <w:rPr>
          <w:spacing w:val="-4"/>
          <w:sz w:val="24"/>
        </w:rPr>
        <w:t> </w:t>
      </w:r>
      <w:r>
        <w:rPr>
          <w:sz w:val="24"/>
        </w:rPr>
        <w:t>for</w:t>
      </w:r>
      <w:r>
        <w:rPr>
          <w:spacing w:val="-2"/>
          <w:sz w:val="24"/>
        </w:rPr>
        <w:t> </w:t>
      </w:r>
      <w:r>
        <w:rPr>
          <w:sz w:val="24"/>
        </w:rPr>
        <w:t>using</w:t>
      </w:r>
      <w:r>
        <w:rPr>
          <w:spacing w:val="-4"/>
          <w:sz w:val="24"/>
        </w:rPr>
        <w:t> </w:t>
      </w:r>
      <w:r>
        <w:rPr>
          <w:sz w:val="24"/>
        </w:rPr>
        <w:t>low</w:t>
      </w:r>
      <w:r>
        <w:rPr>
          <w:spacing w:val="-3"/>
          <w:sz w:val="24"/>
        </w:rPr>
        <w:t> </w:t>
      </w:r>
      <w:r>
        <w:rPr>
          <w:sz w:val="24"/>
        </w:rPr>
        <w:t>vision</w:t>
      </w:r>
      <w:r>
        <w:rPr>
          <w:spacing w:val="-3"/>
          <w:sz w:val="24"/>
        </w:rPr>
        <w:t> </w:t>
      </w:r>
      <w:r>
        <w:rPr>
          <w:spacing w:val="-4"/>
          <w:sz w:val="24"/>
        </w:rPr>
        <w:t>aids</w:t>
      </w:r>
    </w:p>
    <w:p>
      <w:pPr>
        <w:pStyle w:val="ListParagraph"/>
        <w:numPr>
          <w:ilvl w:val="0"/>
          <w:numId w:val="270"/>
        </w:numPr>
        <w:tabs>
          <w:tab w:pos="1218" w:val="left" w:leader="none"/>
        </w:tabs>
        <w:spacing w:line="240" w:lineRule="auto" w:before="204" w:after="0"/>
        <w:ind w:left="1218" w:right="0" w:hanging="426"/>
        <w:jc w:val="left"/>
        <w:rPr>
          <w:sz w:val="24"/>
        </w:rPr>
      </w:pPr>
      <w:r>
        <w:rPr>
          <w:sz w:val="24"/>
        </w:rPr>
        <w:t>Environmental</w:t>
      </w:r>
      <w:r>
        <w:rPr>
          <w:spacing w:val="-9"/>
          <w:sz w:val="24"/>
        </w:rPr>
        <w:t> </w:t>
      </w:r>
      <w:r>
        <w:rPr>
          <w:spacing w:val="-2"/>
          <w:sz w:val="24"/>
        </w:rPr>
        <w:t>analysis</w:t>
      </w:r>
    </w:p>
    <w:p>
      <w:pPr>
        <w:pStyle w:val="ListParagraph"/>
        <w:numPr>
          <w:ilvl w:val="0"/>
          <w:numId w:val="270"/>
        </w:numPr>
        <w:tabs>
          <w:tab w:pos="1217" w:val="left" w:leader="none"/>
        </w:tabs>
        <w:spacing w:line="240" w:lineRule="auto" w:before="204" w:after="0"/>
        <w:ind w:left="1217" w:right="0" w:hanging="425"/>
        <w:jc w:val="left"/>
        <w:rPr>
          <w:sz w:val="24"/>
        </w:rPr>
      </w:pPr>
      <w:r>
        <w:rPr>
          <w:sz w:val="24"/>
        </w:rPr>
        <w:t>Modifications</w:t>
      </w:r>
      <w:r>
        <w:rPr>
          <w:spacing w:val="-4"/>
          <w:sz w:val="24"/>
        </w:rPr>
        <w:t> </w:t>
      </w:r>
      <w:r>
        <w:rPr>
          <w:sz w:val="24"/>
        </w:rPr>
        <w:t>to</w:t>
      </w:r>
      <w:r>
        <w:rPr>
          <w:spacing w:val="-4"/>
          <w:sz w:val="24"/>
        </w:rPr>
        <w:t> </w:t>
      </w:r>
      <w:r>
        <w:rPr>
          <w:spacing w:val="-2"/>
          <w:sz w:val="24"/>
        </w:rPr>
        <w:t>environment</w:t>
      </w:r>
    </w:p>
    <w:p>
      <w:pPr>
        <w:spacing w:before="238"/>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271"/>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line="253" w:lineRule="exact" w:before="0"/>
        <w:ind w:left="1439" w:right="0" w:firstLine="0"/>
        <w:jc w:val="left"/>
        <w:rPr>
          <w:sz w:val="22"/>
        </w:rPr>
      </w:pPr>
      <w:r>
        <w:rPr>
          <w:sz w:val="22"/>
        </w:rPr>
        <w:t>Permanent,</w:t>
      </w:r>
      <w:r>
        <w:rPr>
          <w:spacing w:val="-6"/>
          <w:sz w:val="22"/>
        </w:rPr>
        <w:t> </w:t>
      </w:r>
      <w:r>
        <w:rPr>
          <w:sz w:val="22"/>
        </w:rPr>
        <w:t>new,</w:t>
      </w:r>
      <w:r>
        <w:rPr>
          <w:spacing w:val="-6"/>
          <w:sz w:val="22"/>
        </w:rPr>
        <w:t> </w:t>
      </w:r>
      <w:r>
        <w:rPr>
          <w:sz w:val="22"/>
        </w:rPr>
        <w:t>added</w:t>
      </w:r>
      <w:r>
        <w:rPr>
          <w:spacing w:val="-6"/>
          <w:sz w:val="22"/>
        </w:rPr>
        <w:t> </w:t>
      </w:r>
      <w:r>
        <w:rPr>
          <w:sz w:val="22"/>
        </w:rPr>
        <w:t>areas</w:t>
      </w:r>
      <w:r>
        <w:rPr>
          <w:spacing w:val="-6"/>
          <w:sz w:val="22"/>
        </w:rPr>
        <w:t> </w:t>
      </w:r>
      <w:r>
        <w:rPr>
          <w:sz w:val="22"/>
        </w:rPr>
        <w:t>of</w:t>
      </w:r>
      <w:r>
        <w:rPr>
          <w:spacing w:val="-7"/>
          <w:sz w:val="22"/>
        </w:rPr>
        <w:t> </w:t>
      </w:r>
      <w:r>
        <w:rPr>
          <w:sz w:val="22"/>
        </w:rPr>
        <w:t>skill</w:t>
      </w:r>
      <w:r>
        <w:rPr>
          <w:spacing w:val="-7"/>
          <w:sz w:val="22"/>
        </w:rPr>
        <w:t> </w:t>
      </w:r>
      <w:r>
        <w:rPr>
          <w:spacing w:val="-2"/>
          <w:sz w:val="22"/>
        </w:rPr>
        <w:t>instruction</w:t>
      </w:r>
    </w:p>
    <w:p>
      <w:pPr>
        <w:spacing w:after="0" w:line="253" w:lineRule="exact"/>
        <w:jc w:val="left"/>
        <w:rPr>
          <w:sz w:val="22"/>
        </w:rPr>
        <w:sectPr>
          <w:pgSz w:w="12240" w:h="15840"/>
          <w:pgMar w:top="1340" w:bottom="280" w:left="1080" w:right="720"/>
        </w:sectPr>
      </w:pPr>
    </w:p>
    <w:p>
      <w:pPr>
        <w:pStyle w:val="Heading2"/>
      </w:pPr>
      <w:bookmarkStart w:name="612:10-9-34.2  Indoor mobility" w:id="252"/>
      <w:bookmarkEnd w:id="252"/>
      <w:r>
        <w:rPr>
          <w:b w:val="0"/>
        </w:rPr>
      </w:r>
      <w:r>
        <w:rPr/>
        <w:t>612:10-9-34.2</w:t>
      </w:r>
      <w:r>
        <w:rPr>
          <w:spacing w:val="58"/>
        </w:rPr>
        <w:t> </w:t>
      </w:r>
      <w:r>
        <w:rPr/>
        <w:t>Indoor</w:t>
      </w:r>
      <w:r>
        <w:rPr>
          <w:spacing w:val="-5"/>
        </w:rPr>
        <w:t> </w:t>
      </w:r>
      <w:r>
        <w:rPr>
          <w:spacing w:val="-2"/>
        </w:rPr>
        <w:t>mobility</w:t>
      </w:r>
    </w:p>
    <w:p>
      <w:pPr>
        <w:pStyle w:val="BodyText"/>
        <w:spacing w:line="208" w:lineRule="auto" w:before="233"/>
        <w:ind w:left="359" w:right="775" w:firstLine="432"/>
      </w:pPr>
      <w:r>
        <w:rPr/>
        <w:t>Mobility is essential for a consumer losing vision to insure safe travel within his/her home environment as well as outside the home. The rehabilitation teacher can provide instructions in basic skills and make referrals to the Orientation and Mobility Specialist for</w:t>
      </w:r>
      <w:r>
        <w:rPr>
          <w:spacing w:val="-3"/>
        </w:rPr>
        <w:t> </w:t>
      </w:r>
      <w:r>
        <w:rPr/>
        <w:t>specific</w:t>
      </w:r>
      <w:r>
        <w:rPr>
          <w:spacing w:val="-5"/>
        </w:rPr>
        <w:t> </w:t>
      </w:r>
      <w:r>
        <w:rPr/>
        <w:t>instructions</w:t>
      </w:r>
      <w:r>
        <w:rPr>
          <w:spacing w:val="-4"/>
        </w:rPr>
        <w:t> </w:t>
      </w:r>
      <w:r>
        <w:rPr/>
        <w:t>in</w:t>
      </w:r>
      <w:r>
        <w:rPr>
          <w:spacing w:val="-4"/>
        </w:rPr>
        <w:t> </w:t>
      </w:r>
      <w:r>
        <w:rPr/>
        <w:t>cane</w:t>
      </w:r>
      <w:r>
        <w:rPr>
          <w:spacing w:val="-4"/>
        </w:rPr>
        <w:t> </w:t>
      </w:r>
      <w:r>
        <w:rPr/>
        <w:t>skills.</w:t>
      </w:r>
      <w:r>
        <w:rPr>
          <w:spacing w:val="-3"/>
        </w:rPr>
        <w:t> </w:t>
      </w:r>
      <w:r>
        <w:rPr/>
        <w:t>Pre-cane</w:t>
      </w:r>
      <w:r>
        <w:rPr>
          <w:spacing w:val="-4"/>
        </w:rPr>
        <w:t> </w:t>
      </w:r>
      <w:r>
        <w:rPr/>
        <w:t>skills</w:t>
      </w:r>
      <w:r>
        <w:rPr>
          <w:spacing w:val="-4"/>
        </w:rPr>
        <w:t> </w:t>
      </w:r>
      <w:r>
        <w:rPr/>
        <w:t>taught</w:t>
      </w:r>
      <w:r>
        <w:rPr>
          <w:spacing w:val="-3"/>
        </w:rPr>
        <w:t> </w:t>
      </w:r>
      <w:r>
        <w:rPr/>
        <w:t>by</w:t>
      </w:r>
      <w:r>
        <w:rPr>
          <w:spacing w:val="-4"/>
        </w:rPr>
        <w:t> </w:t>
      </w:r>
      <w:r>
        <w:rPr/>
        <w:t>the</w:t>
      </w:r>
      <w:r>
        <w:rPr>
          <w:spacing w:val="-4"/>
        </w:rPr>
        <w:t> </w:t>
      </w:r>
      <w:r>
        <w:rPr/>
        <w:t>teacher</w:t>
      </w:r>
      <w:r>
        <w:rPr>
          <w:spacing w:val="-3"/>
        </w:rPr>
        <w:t> </w:t>
      </w:r>
      <w:r>
        <w:rPr/>
        <w:t>may</w:t>
      </w:r>
      <w:r>
        <w:rPr>
          <w:spacing w:val="-4"/>
        </w:rPr>
        <w:t> </w:t>
      </w:r>
      <w:r>
        <w:rPr/>
        <w:t>include:</w:t>
      </w:r>
    </w:p>
    <w:p>
      <w:pPr>
        <w:pStyle w:val="ListParagraph"/>
        <w:numPr>
          <w:ilvl w:val="0"/>
          <w:numId w:val="272"/>
        </w:numPr>
        <w:tabs>
          <w:tab w:pos="1217" w:val="left" w:leader="none"/>
        </w:tabs>
        <w:spacing w:line="240" w:lineRule="auto" w:before="210" w:after="0"/>
        <w:ind w:left="1217" w:right="0" w:hanging="426"/>
        <w:jc w:val="left"/>
        <w:rPr>
          <w:sz w:val="24"/>
        </w:rPr>
      </w:pPr>
      <w:r>
        <w:rPr>
          <w:sz w:val="24"/>
        </w:rPr>
        <w:t>Protective</w:t>
      </w:r>
      <w:r>
        <w:rPr>
          <w:spacing w:val="-6"/>
          <w:sz w:val="24"/>
        </w:rPr>
        <w:t> </w:t>
      </w:r>
      <w:r>
        <w:rPr>
          <w:spacing w:val="-2"/>
          <w:sz w:val="24"/>
        </w:rPr>
        <w:t>techniques</w:t>
      </w:r>
    </w:p>
    <w:p>
      <w:pPr>
        <w:pStyle w:val="ListParagraph"/>
        <w:numPr>
          <w:ilvl w:val="0"/>
          <w:numId w:val="272"/>
        </w:numPr>
        <w:tabs>
          <w:tab w:pos="1217" w:val="left" w:leader="none"/>
        </w:tabs>
        <w:spacing w:line="240" w:lineRule="auto" w:before="204" w:after="0"/>
        <w:ind w:left="1217" w:right="0" w:hanging="426"/>
        <w:jc w:val="left"/>
        <w:rPr>
          <w:sz w:val="24"/>
        </w:rPr>
      </w:pPr>
      <w:r>
        <w:rPr>
          <w:sz w:val="24"/>
        </w:rPr>
        <w:t>Trailing</w:t>
      </w:r>
      <w:r>
        <w:rPr>
          <w:spacing w:val="-8"/>
          <w:sz w:val="24"/>
        </w:rPr>
        <w:t> </w:t>
      </w:r>
      <w:r>
        <w:rPr>
          <w:spacing w:val="-2"/>
          <w:sz w:val="24"/>
        </w:rPr>
        <w:t>techniques</w:t>
      </w:r>
    </w:p>
    <w:p>
      <w:pPr>
        <w:pStyle w:val="ListParagraph"/>
        <w:numPr>
          <w:ilvl w:val="0"/>
          <w:numId w:val="272"/>
        </w:numPr>
        <w:tabs>
          <w:tab w:pos="1151" w:val="left" w:leader="none"/>
        </w:tabs>
        <w:spacing w:line="240" w:lineRule="auto" w:before="204" w:after="0"/>
        <w:ind w:left="1151" w:right="0" w:hanging="360"/>
        <w:jc w:val="left"/>
        <w:rPr>
          <w:sz w:val="24"/>
        </w:rPr>
      </w:pPr>
      <w:r>
        <w:rPr>
          <w:sz w:val="24"/>
        </w:rPr>
        <w:t>Sighted</w:t>
      </w:r>
      <w:r>
        <w:rPr>
          <w:spacing w:val="-5"/>
          <w:sz w:val="24"/>
        </w:rPr>
        <w:t> </w:t>
      </w:r>
      <w:r>
        <w:rPr>
          <w:sz w:val="24"/>
        </w:rPr>
        <w:t>guide</w:t>
      </w:r>
      <w:r>
        <w:rPr>
          <w:spacing w:val="-4"/>
          <w:sz w:val="24"/>
        </w:rPr>
        <w:t> </w:t>
      </w:r>
      <w:r>
        <w:rPr>
          <w:spacing w:val="-2"/>
          <w:sz w:val="24"/>
        </w:rPr>
        <w:t>skills</w:t>
      </w:r>
    </w:p>
    <w:p>
      <w:pPr>
        <w:pStyle w:val="ListParagraph"/>
        <w:numPr>
          <w:ilvl w:val="0"/>
          <w:numId w:val="272"/>
        </w:numPr>
        <w:tabs>
          <w:tab w:pos="1217" w:val="left" w:leader="none"/>
        </w:tabs>
        <w:spacing w:line="240" w:lineRule="auto" w:before="204" w:after="0"/>
        <w:ind w:left="1217" w:right="0" w:hanging="426"/>
        <w:jc w:val="left"/>
        <w:rPr>
          <w:sz w:val="24"/>
        </w:rPr>
      </w:pPr>
      <w:r>
        <w:rPr>
          <w:sz w:val="24"/>
        </w:rPr>
        <w:t>Location</w:t>
      </w:r>
      <w:r>
        <w:rPr>
          <w:spacing w:val="-6"/>
          <w:sz w:val="24"/>
        </w:rPr>
        <w:t> </w:t>
      </w:r>
      <w:r>
        <w:rPr>
          <w:sz w:val="24"/>
        </w:rPr>
        <w:t>of</w:t>
      </w:r>
      <w:r>
        <w:rPr>
          <w:spacing w:val="-4"/>
          <w:sz w:val="24"/>
        </w:rPr>
        <w:t> </w:t>
      </w:r>
      <w:r>
        <w:rPr>
          <w:sz w:val="24"/>
        </w:rPr>
        <w:t>dropped</w:t>
      </w:r>
      <w:r>
        <w:rPr>
          <w:spacing w:val="-3"/>
          <w:sz w:val="24"/>
        </w:rPr>
        <w:t> </w:t>
      </w:r>
      <w:r>
        <w:rPr>
          <w:spacing w:val="-2"/>
          <w:sz w:val="24"/>
        </w:rPr>
        <w:t>objects</w:t>
      </w:r>
    </w:p>
    <w:p>
      <w:pPr>
        <w:spacing w:before="237"/>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273"/>
        </w:numPr>
        <w:tabs>
          <w:tab w:pos="1439" w:val="left" w:leader="none"/>
        </w:tabs>
        <w:spacing w:line="253" w:lineRule="exact" w:before="1" w:after="0"/>
        <w:ind w:left="1439" w:right="0" w:hanging="1079"/>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line="253" w:lineRule="exact" w:before="0"/>
        <w:ind w:left="1439" w:right="0" w:firstLine="0"/>
        <w:jc w:val="left"/>
        <w:rPr>
          <w:sz w:val="22"/>
        </w:rPr>
      </w:pPr>
      <w:r>
        <w:rPr>
          <w:sz w:val="22"/>
        </w:rPr>
        <w:t>Permanent,</w:t>
      </w:r>
      <w:r>
        <w:rPr>
          <w:spacing w:val="-8"/>
          <w:sz w:val="22"/>
        </w:rPr>
        <w:t> </w:t>
      </w:r>
      <w:r>
        <w:rPr>
          <w:sz w:val="22"/>
        </w:rPr>
        <w:t>new,</w:t>
      </w:r>
      <w:r>
        <w:rPr>
          <w:spacing w:val="-8"/>
          <w:sz w:val="22"/>
        </w:rPr>
        <w:t> </w:t>
      </w:r>
      <w:r>
        <w:rPr>
          <w:sz w:val="22"/>
        </w:rPr>
        <w:t>adding</w:t>
      </w:r>
      <w:r>
        <w:rPr>
          <w:spacing w:val="-8"/>
          <w:sz w:val="22"/>
        </w:rPr>
        <w:t> </w:t>
      </w:r>
      <w:r>
        <w:rPr>
          <w:sz w:val="22"/>
        </w:rPr>
        <w:t>indoor</w:t>
      </w:r>
      <w:r>
        <w:rPr>
          <w:spacing w:val="-8"/>
          <w:sz w:val="22"/>
        </w:rPr>
        <w:t> </w:t>
      </w:r>
      <w:r>
        <w:rPr>
          <w:sz w:val="22"/>
        </w:rPr>
        <w:t>mobility</w:t>
      </w:r>
      <w:r>
        <w:rPr>
          <w:spacing w:val="-8"/>
          <w:sz w:val="22"/>
        </w:rPr>
        <w:t> </w:t>
      </w:r>
      <w:r>
        <w:rPr>
          <w:spacing w:val="-2"/>
          <w:sz w:val="22"/>
        </w:rPr>
        <w:t>skills</w:t>
      </w:r>
    </w:p>
    <w:p>
      <w:pPr>
        <w:spacing w:after="0" w:line="253" w:lineRule="exact"/>
        <w:jc w:val="left"/>
        <w:rPr>
          <w:sz w:val="22"/>
        </w:rPr>
        <w:sectPr>
          <w:pgSz w:w="12240" w:h="15840"/>
          <w:pgMar w:top="1340" w:bottom="280" w:left="1080" w:right="720"/>
        </w:sectPr>
      </w:pPr>
    </w:p>
    <w:p>
      <w:pPr>
        <w:pStyle w:val="Heading2"/>
      </w:pPr>
      <w:bookmarkStart w:name="612:10-9-35.  Home management" w:id="253"/>
      <w:bookmarkEnd w:id="253"/>
      <w:r>
        <w:rPr>
          <w:b w:val="0"/>
        </w:rPr>
      </w:r>
      <w:r>
        <w:rPr/>
        <w:t>612:10-9-35.</w:t>
      </w:r>
      <w:r>
        <w:rPr>
          <w:spacing w:val="60"/>
        </w:rPr>
        <w:t> </w:t>
      </w:r>
      <w:r>
        <w:rPr/>
        <w:t>Home</w:t>
      </w:r>
      <w:r>
        <w:rPr>
          <w:spacing w:val="-4"/>
        </w:rPr>
        <w:t> </w:t>
      </w:r>
      <w:r>
        <w:rPr>
          <w:spacing w:val="-2"/>
        </w:rPr>
        <w:t>management</w:t>
      </w:r>
    </w:p>
    <w:p>
      <w:pPr>
        <w:pStyle w:val="BodyText"/>
        <w:spacing w:line="208" w:lineRule="auto" w:before="233"/>
        <w:ind w:right="775" w:firstLine="432"/>
      </w:pPr>
      <w:r>
        <w:rPr/>
        <w:t>Training</w:t>
      </w:r>
      <w:r>
        <w:rPr>
          <w:spacing w:val="-4"/>
        </w:rPr>
        <w:t> </w:t>
      </w:r>
      <w:r>
        <w:rPr/>
        <w:t>in</w:t>
      </w:r>
      <w:r>
        <w:rPr>
          <w:spacing w:val="-4"/>
        </w:rPr>
        <w:t> </w:t>
      </w:r>
      <w:r>
        <w:rPr/>
        <w:t>home</w:t>
      </w:r>
      <w:r>
        <w:rPr>
          <w:spacing w:val="-4"/>
        </w:rPr>
        <w:t> </w:t>
      </w:r>
      <w:r>
        <w:rPr/>
        <w:t>management</w:t>
      </w:r>
      <w:r>
        <w:rPr>
          <w:spacing w:val="-3"/>
        </w:rPr>
        <w:t> </w:t>
      </w:r>
      <w:r>
        <w:rPr/>
        <w:t>will</w:t>
      </w:r>
      <w:r>
        <w:rPr>
          <w:spacing w:val="-4"/>
        </w:rPr>
        <w:t> </w:t>
      </w:r>
      <w:r>
        <w:rPr/>
        <w:t>enable</w:t>
      </w:r>
      <w:r>
        <w:rPr>
          <w:spacing w:val="-4"/>
        </w:rPr>
        <w:t> </w:t>
      </w:r>
      <w:r>
        <w:rPr/>
        <w:t>the</w:t>
      </w:r>
      <w:r>
        <w:rPr>
          <w:spacing w:val="-4"/>
        </w:rPr>
        <w:t> </w:t>
      </w:r>
      <w:r>
        <w:rPr/>
        <w:t>consumer</w:t>
      </w:r>
      <w:r>
        <w:rPr>
          <w:spacing w:val="-3"/>
        </w:rPr>
        <w:t> </w:t>
      </w:r>
      <w:r>
        <w:rPr/>
        <w:t>to</w:t>
      </w:r>
      <w:r>
        <w:rPr>
          <w:spacing w:val="-4"/>
        </w:rPr>
        <w:t> </w:t>
      </w:r>
      <w:r>
        <w:rPr/>
        <w:t>gain</w:t>
      </w:r>
      <w:r>
        <w:rPr>
          <w:spacing w:val="-4"/>
        </w:rPr>
        <w:t> </w:t>
      </w:r>
      <w:r>
        <w:rPr/>
        <w:t>or</w:t>
      </w:r>
      <w:r>
        <w:rPr>
          <w:spacing w:val="-5"/>
        </w:rPr>
        <w:t> </w:t>
      </w:r>
      <w:r>
        <w:rPr/>
        <w:t>retain</w:t>
      </w:r>
      <w:r>
        <w:rPr>
          <w:spacing w:val="-4"/>
        </w:rPr>
        <w:t> </w:t>
      </w:r>
      <w:r>
        <w:rPr/>
        <w:t>skills</w:t>
      </w:r>
      <w:r>
        <w:rPr>
          <w:spacing w:val="-3"/>
        </w:rPr>
        <w:t> </w:t>
      </w:r>
      <w:r>
        <w:rPr/>
        <w:t>in managing his/her household and family. This training may require the application of adaptive techniques and devices in the following skills areas:</w:t>
      </w:r>
    </w:p>
    <w:p>
      <w:pPr>
        <w:pStyle w:val="ListParagraph"/>
        <w:numPr>
          <w:ilvl w:val="0"/>
          <w:numId w:val="274"/>
        </w:numPr>
        <w:tabs>
          <w:tab w:pos="1217" w:val="left" w:leader="none"/>
        </w:tabs>
        <w:spacing w:line="240" w:lineRule="auto" w:before="210" w:after="0"/>
        <w:ind w:left="1217" w:right="0" w:hanging="425"/>
        <w:jc w:val="left"/>
        <w:rPr>
          <w:sz w:val="24"/>
        </w:rPr>
      </w:pPr>
      <w:r>
        <w:rPr>
          <w:sz w:val="24"/>
        </w:rPr>
        <w:t>Meal</w:t>
      </w:r>
      <w:r>
        <w:rPr>
          <w:spacing w:val="-2"/>
          <w:sz w:val="24"/>
        </w:rPr>
        <w:t> Preparation</w:t>
      </w:r>
    </w:p>
    <w:p>
      <w:pPr>
        <w:pStyle w:val="ListParagraph"/>
        <w:numPr>
          <w:ilvl w:val="0"/>
          <w:numId w:val="274"/>
        </w:numPr>
        <w:tabs>
          <w:tab w:pos="1218" w:val="left" w:leader="none"/>
        </w:tabs>
        <w:spacing w:line="240" w:lineRule="auto" w:before="204" w:after="0"/>
        <w:ind w:left="1218" w:right="0" w:hanging="426"/>
        <w:jc w:val="left"/>
        <w:rPr>
          <w:sz w:val="24"/>
        </w:rPr>
      </w:pPr>
      <w:r>
        <w:rPr>
          <w:sz w:val="24"/>
        </w:rPr>
        <w:t>Kitchen</w:t>
      </w:r>
      <w:r>
        <w:rPr>
          <w:spacing w:val="-4"/>
          <w:sz w:val="24"/>
        </w:rPr>
        <w:t> </w:t>
      </w:r>
      <w:r>
        <w:rPr>
          <w:spacing w:val="-2"/>
          <w:sz w:val="24"/>
        </w:rPr>
        <w:t>skills</w:t>
      </w:r>
    </w:p>
    <w:p>
      <w:pPr>
        <w:pStyle w:val="ListParagraph"/>
        <w:numPr>
          <w:ilvl w:val="1"/>
          <w:numId w:val="274"/>
        </w:numPr>
        <w:tabs>
          <w:tab w:pos="1677" w:val="left" w:leader="none"/>
        </w:tabs>
        <w:spacing w:line="240" w:lineRule="auto" w:before="204" w:after="0"/>
        <w:ind w:left="1677" w:right="0" w:hanging="453"/>
        <w:jc w:val="left"/>
        <w:rPr>
          <w:sz w:val="24"/>
        </w:rPr>
      </w:pPr>
      <w:r>
        <w:rPr>
          <w:sz w:val="24"/>
        </w:rPr>
        <w:t>Use</w:t>
      </w:r>
      <w:r>
        <w:rPr>
          <w:spacing w:val="-2"/>
          <w:sz w:val="24"/>
        </w:rPr>
        <w:t> </w:t>
      </w:r>
      <w:r>
        <w:rPr>
          <w:sz w:val="24"/>
        </w:rPr>
        <w:t>of</w:t>
      </w:r>
      <w:r>
        <w:rPr>
          <w:spacing w:val="-4"/>
          <w:sz w:val="24"/>
        </w:rPr>
        <w:t> </w:t>
      </w:r>
      <w:r>
        <w:rPr>
          <w:sz w:val="24"/>
        </w:rPr>
        <w:t>kitchen</w:t>
      </w:r>
      <w:r>
        <w:rPr>
          <w:spacing w:val="-1"/>
          <w:sz w:val="24"/>
        </w:rPr>
        <w:t> </w:t>
      </w:r>
      <w:r>
        <w:rPr>
          <w:spacing w:val="-2"/>
          <w:sz w:val="24"/>
        </w:rPr>
        <w:t>appliances</w:t>
      </w:r>
    </w:p>
    <w:p>
      <w:pPr>
        <w:pStyle w:val="ListParagraph"/>
        <w:numPr>
          <w:ilvl w:val="1"/>
          <w:numId w:val="274"/>
        </w:numPr>
        <w:tabs>
          <w:tab w:pos="1677" w:val="left" w:leader="none"/>
        </w:tabs>
        <w:spacing w:line="240" w:lineRule="auto" w:before="204" w:after="0"/>
        <w:ind w:left="1677" w:right="0" w:hanging="453"/>
        <w:jc w:val="left"/>
        <w:rPr>
          <w:sz w:val="24"/>
        </w:rPr>
      </w:pPr>
      <w:r>
        <w:rPr>
          <w:sz w:val="24"/>
        </w:rPr>
        <w:t>Kitchen</w:t>
      </w:r>
      <w:r>
        <w:rPr>
          <w:spacing w:val="-4"/>
          <w:sz w:val="24"/>
        </w:rPr>
        <w:t> </w:t>
      </w:r>
      <w:r>
        <w:rPr>
          <w:spacing w:val="-2"/>
          <w:sz w:val="24"/>
        </w:rPr>
        <w:t>organization</w:t>
      </w:r>
    </w:p>
    <w:p>
      <w:pPr>
        <w:pStyle w:val="ListParagraph"/>
        <w:numPr>
          <w:ilvl w:val="1"/>
          <w:numId w:val="274"/>
        </w:numPr>
        <w:tabs>
          <w:tab w:pos="1690" w:val="left" w:leader="none"/>
        </w:tabs>
        <w:spacing w:line="240" w:lineRule="auto" w:before="204" w:after="0"/>
        <w:ind w:left="1690" w:right="0" w:hanging="466"/>
        <w:jc w:val="left"/>
        <w:rPr>
          <w:sz w:val="24"/>
        </w:rPr>
      </w:pPr>
      <w:r>
        <w:rPr>
          <w:sz w:val="24"/>
        </w:rPr>
        <w:t>Kitchen</w:t>
      </w:r>
      <w:r>
        <w:rPr>
          <w:spacing w:val="-6"/>
          <w:sz w:val="24"/>
        </w:rPr>
        <w:t> </w:t>
      </w:r>
      <w:r>
        <w:rPr>
          <w:spacing w:val="-2"/>
          <w:sz w:val="24"/>
        </w:rPr>
        <w:t>safety</w:t>
      </w:r>
    </w:p>
    <w:p>
      <w:pPr>
        <w:pStyle w:val="ListParagraph"/>
        <w:numPr>
          <w:ilvl w:val="0"/>
          <w:numId w:val="274"/>
        </w:numPr>
        <w:tabs>
          <w:tab w:pos="1218" w:val="left" w:leader="none"/>
        </w:tabs>
        <w:spacing w:line="240" w:lineRule="auto" w:before="204" w:after="0"/>
        <w:ind w:left="1218" w:right="0" w:hanging="426"/>
        <w:jc w:val="left"/>
        <w:rPr>
          <w:sz w:val="24"/>
        </w:rPr>
      </w:pPr>
      <w:r>
        <w:rPr>
          <w:sz w:val="24"/>
        </w:rPr>
        <w:t>Housekeeping</w:t>
      </w:r>
      <w:r>
        <w:rPr>
          <w:spacing w:val="-8"/>
          <w:sz w:val="24"/>
        </w:rPr>
        <w:t> </w:t>
      </w:r>
      <w:r>
        <w:rPr>
          <w:spacing w:val="-2"/>
          <w:sz w:val="24"/>
        </w:rPr>
        <w:t>Techniques</w:t>
      </w:r>
    </w:p>
    <w:p>
      <w:pPr>
        <w:pStyle w:val="ListParagraph"/>
        <w:numPr>
          <w:ilvl w:val="0"/>
          <w:numId w:val="274"/>
        </w:numPr>
        <w:tabs>
          <w:tab w:pos="1217" w:val="left" w:leader="none"/>
        </w:tabs>
        <w:spacing w:line="240" w:lineRule="auto" w:before="204" w:after="0"/>
        <w:ind w:left="1217" w:right="0" w:hanging="425"/>
        <w:jc w:val="left"/>
        <w:rPr>
          <w:sz w:val="24"/>
        </w:rPr>
      </w:pPr>
      <w:r>
        <w:rPr>
          <w:sz w:val="24"/>
        </w:rPr>
        <w:t>Minor</w:t>
      </w:r>
      <w:r>
        <w:rPr>
          <w:spacing w:val="-4"/>
          <w:sz w:val="24"/>
        </w:rPr>
        <w:t> </w:t>
      </w:r>
      <w:r>
        <w:rPr>
          <w:sz w:val="24"/>
        </w:rPr>
        <w:t>Home</w:t>
      </w:r>
      <w:r>
        <w:rPr>
          <w:spacing w:val="-2"/>
          <w:sz w:val="24"/>
        </w:rPr>
        <w:t> Maintenance</w:t>
      </w:r>
    </w:p>
    <w:p>
      <w:pPr>
        <w:pStyle w:val="ListParagraph"/>
        <w:numPr>
          <w:ilvl w:val="0"/>
          <w:numId w:val="274"/>
        </w:numPr>
        <w:tabs>
          <w:tab w:pos="1218" w:val="left" w:leader="none"/>
        </w:tabs>
        <w:spacing w:line="240" w:lineRule="auto" w:before="204" w:after="0"/>
        <w:ind w:left="1218" w:right="0" w:hanging="426"/>
        <w:jc w:val="left"/>
        <w:rPr>
          <w:sz w:val="24"/>
        </w:rPr>
      </w:pPr>
      <w:r>
        <w:rPr>
          <w:sz w:val="24"/>
        </w:rPr>
        <w:t>Use</w:t>
      </w:r>
      <w:r>
        <w:rPr>
          <w:spacing w:val="-3"/>
          <w:sz w:val="24"/>
        </w:rPr>
        <w:t> </w:t>
      </w:r>
      <w:r>
        <w:rPr>
          <w:sz w:val="24"/>
        </w:rPr>
        <w:t>of</w:t>
      </w:r>
      <w:r>
        <w:rPr>
          <w:spacing w:val="-5"/>
          <w:sz w:val="24"/>
        </w:rPr>
        <w:t> </w:t>
      </w:r>
      <w:r>
        <w:rPr>
          <w:sz w:val="24"/>
        </w:rPr>
        <w:t>Household</w:t>
      </w:r>
      <w:r>
        <w:rPr>
          <w:spacing w:val="-1"/>
          <w:sz w:val="24"/>
        </w:rPr>
        <w:t> </w:t>
      </w:r>
      <w:r>
        <w:rPr>
          <w:spacing w:val="-2"/>
          <w:sz w:val="24"/>
        </w:rPr>
        <w:t>Appliances</w:t>
      </w:r>
    </w:p>
    <w:p>
      <w:pPr>
        <w:pStyle w:val="ListParagraph"/>
        <w:numPr>
          <w:ilvl w:val="0"/>
          <w:numId w:val="274"/>
        </w:numPr>
        <w:tabs>
          <w:tab w:pos="1218" w:val="left" w:leader="none"/>
        </w:tabs>
        <w:spacing w:line="240" w:lineRule="auto" w:before="204" w:after="0"/>
        <w:ind w:left="1218" w:right="0" w:hanging="426"/>
        <w:jc w:val="left"/>
        <w:rPr>
          <w:sz w:val="24"/>
        </w:rPr>
      </w:pPr>
      <w:r>
        <w:rPr>
          <w:sz w:val="24"/>
        </w:rPr>
        <w:t>Home</w:t>
      </w:r>
      <w:r>
        <w:rPr>
          <w:spacing w:val="-4"/>
          <w:sz w:val="24"/>
        </w:rPr>
        <w:t> </w:t>
      </w:r>
      <w:r>
        <w:rPr>
          <w:sz w:val="24"/>
        </w:rPr>
        <w:t>Safety</w:t>
      </w:r>
      <w:r>
        <w:rPr>
          <w:spacing w:val="-2"/>
          <w:sz w:val="24"/>
        </w:rPr>
        <w:t> Techniques</w:t>
      </w:r>
    </w:p>
    <w:p>
      <w:pPr>
        <w:spacing w:before="238"/>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7-1-04</w:t>
      </w:r>
      <w:r>
        <w:rPr>
          <w:sz w:val="22"/>
        </w:rPr>
        <w:tab/>
        <w:t>PT Memo #05-01</w:t>
      </w:r>
    </w:p>
    <w:p>
      <w:pPr>
        <w:tabs>
          <w:tab w:pos="1439" w:val="left" w:leader="none"/>
        </w:tabs>
        <w:spacing w:before="0"/>
        <w:ind w:left="359" w:right="6038" w:firstLine="1080"/>
        <w:jc w:val="left"/>
        <w:rPr>
          <w:sz w:val="22"/>
        </w:rPr>
      </w:pPr>
      <w:r>
        <w:rPr>
          <w:sz w:val="22"/>
        </w:rPr>
        <w:t>Permanent,</w:t>
      </w:r>
      <w:r>
        <w:rPr>
          <w:spacing w:val="-16"/>
          <w:sz w:val="22"/>
        </w:rPr>
        <w:t> </w:t>
      </w:r>
      <w:r>
        <w:rPr>
          <w:sz w:val="22"/>
        </w:rPr>
        <w:t>updated</w:t>
      </w:r>
      <w:r>
        <w:rPr>
          <w:spacing w:val="-15"/>
          <w:sz w:val="22"/>
        </w:rPr>
        <w:t> </w:t>
      </w:r>
      <w:r>
        <w:rPr>
          <w:sz w:val="22"/>
        </w:rPr>
        <w:t>language </w:t>
      </w:r>
      <w:r>
        <w:rPr>
          <w:spacing w:val="-2"/>
          <w:sz w:val="22"/>
        </w:rPr>
        <w:t>7-1-11</w:t>
      </w:r>
      <w:r>
        <w:rPr>
          <w:sz w:val="22"/>
        </w:rPr>
        <w:tab/>
        <w:t>PT Memo #12-01</w:t>
      </w:r>
    </w:p>
    <w:p>
      <w:pPr>
        <w:spacing w:line="252" w:lineRule="exact" w:before="0"/>
        <w:ind w:left="1439" w:right="0" w:firstLine="0"/>
        <w:jc w:val="left"/>
        <w:rPr>
          <w:sz w:val="22"/>
        </w:rPr>
      </w:pPr>
      <w:r>
        <w:rPr>
          <w:sz w:val="22"/>
        </w:rPr>
        <w:t>Permanent,</w:t>
      </w:r>
      <w:r>
        <w:rPr>
          <w:spacing w:val="-9"/>
          <w:sz w:val="22"/>
        </w:rPr>
        <w:t> </w:t>
      </w:r>
      <w:r>
        <w:rPr>
          <w:sz w:val="22"/>
        </w:rPr>
        <w:t>updating</w:t>
      </w:r>
      <w:r>
        <w:rPr>
          <w:spacing w:val="-9"/>
          <w:sz w:val="22"/>
        </w:rPr>
        <w:t> </w:t>
      </w:r>
      <w:r>
        <w:rPr>
          <w:sz w:val="22"/>
        </w:rPr>
        <w:t>skill</w:t>
      </w:r>
      <w:r>
        <w:rPr>
          <w:spacing w:val="-9"/>
          <w:sz w:val="22"/>
        </w:rPr>
        <w:t> </w:t>
      </w:r>
      <w:r>
        <w:rPr>
          <w:spacing w:val="-2"/>
          <w:sz w:val="22"/>
        </w:rPr>
        <w:t>components</w:t>
      </w:r>
    </w:p>
    <w:p>
      <w:pPr>
        <w:tabs>
          <w:tab w:pos="1439" w:val="left" w:leader="none"/>
        </w:tabs>
        <w:spacing w:before="1"/>
        <w:ind w:left="359" w:right="0" w:firstLine="0"/>
        <w:jc w:val="left"/>
        <w:rPr>
          <w:sz w:val="22"/>
        </w:rPr>
      </w:pPr>
      <w:r>
        <w:rPr>
          <w:spacing w:val="-2"/>
          <w:sz w:val="22"/>
        </w:rPr>
        <w:t>914-</w:t>
      </w:r>
      <w:r>
        <w:rPr>
          <w:spacing w:val="-5"/>
          <w:sz w:val="22"/>
        </w:rPr>
        <w:t>18</w:t>
      </w:r>
      <w:r>
        <w:rPr>
          <w:sz w:val="22"/>
        </w:rPr>
        <w:tab/>
        <w:t>Updated</w:t>
      </w:r>
      <w:r>
        <w:rPr>
          <w:spacing w:val="-7"/>
          <w:sz w:val="22"/>
        </w:rPr>
        <w:t> </w:t>
      </w:r>
      <w:r>
        <w:rPr>
          <w:sz w:val="22"/>
        </w:rPr>
        <w:t>(2)</w:t>
      </w:r>
      <w:r>
        <w:rPr>
          <w:spacing w:val="-6"/>
          <w:sz w:val="22"/>
        </w:rPr>
        <w:t> </w:t>
      </w:r>
      <w:r>
        <w:rPr>
          <w:sz w:val="22"/>
        </w:rPr>
        <w:t>kitchen</w:t>
      </w:r>
      <w:r>
        <w:rPr>
          <w:spacing w:val="-7"/>
          <w:sz w:val="22"/>
        </w:rPr>
        <w:t> </w:t>
      </w:r>
      <w:r>
        <w:rPr>
          <w:sz w:val="22"/>
        </w:rPr>
        <w:t>skills</w:t>
      </w:r>
      <w:r>
        <w:rPr>
          <w:spacing w:val="-6"/>
          <w:sz w:val="22"/>
        </w:rPr>
        <w:t> </w:t>
      </w:r>
      <w:r>
        <w:rPr>
          <w:sz w:val="22"/>
        </w:rPr>
        <w:t>adding</w:t>
      </w:r>
      <w:r>
        <w:rPr>
          <w:spacing w:val="-7"/>
          <w:sz w:val="22"/>
        </w:rPr>
        <w:t> </w:t>
      </w:r>
      <w:r>
        <w:rPr>
          <w:sz w:val="22"/>
        </w:rPr>
        <w:t>general</w:t>
      </w:r>
      <w:r>
        <w:rPr>
          <w:spacing w:val="-6"/>
          <w:sz w:val="22"/>
        </w:rPr>
        <w:t> </w:t>
      </w:r>
      <w:r>
        <w:rPr>
          <w:sz w:val="22"/>
        </w:rPr>
        <w:t>types</w:t>
      </w:r>
      <w:r>
        <w:rPr>
          <w:spacing w:val="-7"/>
          <w:sz w:val="22"/>
        </w:rPr>
        <w:t> </w:t>
      </w:r>
      <w:r>
        <w:rPr>
          <w:sz w:val="22"/>
        </w:rPr>
        <w:t>of</w:t>
      </w:r>
      <w:r>
        <w:rPr>
          <w:spacing w:val="-6"/>
          <w:sz w:val="22"/>
        </w:rPr>
        <w:t> </w:t>
      </w:r>
      <w:r>
        <w:rPr>
          <w:sz w:val="22"/>
        </w:rPr>
        <w:t>adaptive</w:t>
      </w:r>
      <w:r>
        <w:rPr>
          <w:spacing w:val="-8"/>
          <w:sz w:val="22"/>
        </w:rPr>
        <w:t> </w:t>
      </w:r>
      <w:r>
        <w:rPr>
          <w:spacing w:val="-2"/>
          <w:sz w:val="22"/>
        </w:rPr>
        <w:t>skills.</w:t>
      </w:r>
    </w:p>
    <w:p>
      <w:pPr>
        <w:spacing w:after="0"/>
        <w:jc w:val="left"/>
        <w:rPr>
          <w:sz w:val="22"/>
        </w:rPr>
        <w:sectPr>
          <w:pgSz w:w="12240" w:h="15840"/>
          <w:pgMar w:top="1340" w:bottom="280" w:left="1080" w:right="720"/>
        </w:sectPr>
      </w:pPr>
    </w:p>
    <w:p>
      <w:pPr>
        <w:pStyle w:val="Heading2"/>
      </w:pPr>
      <w:bookmarkStart w:name="612:10-9-36.  Counseling and guidance" w:id="254"/>
      <w:bookmarkEnd w:id="254"/>
      <w:r>
        <w:rPr>
          <w:b w:val="0"/>
        </w:rPr>
      </w:r>
      <w:r>
        <w:rPr/>
        <w:t>612:10-9-36.</w:t>
      </w:r>
      <w:r>
        <w:rPr>
          <w:spacing w:val="56"/>
        </w:rPr>
        <w:t> </w:t>
      </w:r>
      <w:r>
        <w:rPr/>
        <w:t>Counseling</w:t>
      </w:r>
      <w:r>
        <w:rPr>
          <w:spacing w:val="-4"/>
        </w:rPr>
        <w:t> </w:t>
      </w:r>
      <w:r>
        <w:rPr/>
        <w:t>and</w:t>
      </w:r>
      <w:r>
        <w:rPr>
          <w:spacing w:val="-4"/>
        </w:rPr>
        <w:t> </w:t>
      </w:r>
      <w:r>
        <w:rPr>
          <w:spacing w:val="-2"/>
        </w:rPr>
        <w:t>guidance</w:t>
      </w:r>
    </w:p>
    <w:p>
      <w:pPr>
        <w:pStyle w:val="BodyText"/>
        <w:spacing w:line="208" w:lineRule="auto" w:before="233"/>
        <w:ind w:left="359" w:right="775" w:firstLine="432"/>
      </w:pPr>
      <w:r>
        <w:rPr/>
        <w:t>Counseling</w:t>
      </w:r>
      <w:r>
        <w:rPr>
          <w:spacing w:val="-3"/>
        </w:rPr>
        <w:t> </w:t>
      </w:r>
      <w:r>
        <w:rPr/>
        <w:t>and</w:t>
      </w:r>
      <w:r>
        <w:rPr>
          <w:spacing w:val="-4"/>
        </w:rPr>
        <w:t> </w:t>
      </w:r>
      <w:r>
        <w:rPr/>
        <w:t>guidance</w:t>
      </w:r>
      <w:r>
        <w:rPr>
          <w:spacing w:val="-4"/>
        </w:rPr>
        <w:t> </w:t>
      </w:r>
      <w:r>
        <w:rPr/>
        <w:t>services</w:t>
      </w:r>
      <w:r>
        <w:rPr>
          <w:spacing w:val="-4"/>
        </w:rPr>
        <w:t> </w:t>
      </w:r>
      <w:r>
        <w:rPr/>
        <w:t>enable</w:t>
      </w:r>
      <w:r>
        <w:rPr>
          <w:spacing w:val="-4"/>
        </w:rPr>
        <w:t> </w:t>
      </w:r>
      <w:r>
        <w:rPr/>
        <w:t>the</w:t>
      </w:r>
      <w:r>
        <w:rPr>
          <w:spacing w:val="-4"/>
        </w:rPr>
        <w:t> </w:t>
      </w:r>
      <w:r>
        <w:rPr/>
        <w:t>consumer</w:t>
      </w:r>
      <w:r>
        <w:rPr>
          <w:spacing w:val="-3"/>
        </w:rPr>
        <w:t> </w:t>
      </w:r>
      <w:r>
        <w:rPr/>
        <w:t>and</w:t>
      </w:r>
      <w:r>
        <w:rPr>
          <w:spacing w:val="-4"/>
        </w:rPr>
        <w:t> </w:t>
      </w:r>
      <w:r>
        <w:rPr/>
        <w:t>family</w:t>
      </w:r>
      <w:r>
        <w:rPr>
          <w:spacing w:val="-4"/>
        </w:rPr>
        <w:t> </w:t>
      </w:r>
      <w:r>
        <w:rPr/>
        <w:t>members</w:t>
      </w:r>
      <w:r>
        <w:rPr>
          <w:spacing w:val="-5"/>
        </w:rPr>
        <w:t> </w:t>
      </w:r>
      <w:r>
        <w:rPr/>
        <w:t>to make satisfactory adjustment to the existing problems of blindness that remain unresolved. The teacher will assist the consumer in determining strengths while minimizing limitations. The following areas may be addressed:</w:t>
      </w:r>
    </w:p>
    <w:p>
      <w:pPr>
        <w:pStyle w:val="ListParagraph"/>
        <w:numPr>
          <w:ilvl w:val="0"/>
          <w:numId w:val="275"/>
        </w:numPr>
        <w:tabs>
          <w:tab w:pos="1218" w:val="left" w:leader="none"/>
        </w:tabs>
        <w:spacing w:line="240" w:lineRule="auto" w:before="210" w:after="0"/>
        <w:ind w:left="1218" w:right="0" w:hanging="426"/>
        <w:jc w:val="left"/>
        <w:rPr>
          <w:sz w:val="24"/>
        </w:rPr>
      </w:pPr>
      <w:r>
        <w:rPr>
          <w:sz w:val="24"/>
        </w:rPr>
        <w:t>Personal</w:t>
      </w:r>
      <w:r>
        <w:rPr>
          <w:spacing w:val="-4"/>
          <w:sz w:val="24"/>
        </w:rPr>
        <w:t> </w:t>
      </w:r>
      <w:r>
        <w:rPr>
          <w:sz w:val="24"/>
        </w:rPr>
        <w:t>adjustment</w:t>
      </w:r>
      <w:r>
        <w:rPr>
          <w:spacing w:val="-3"/>
          <w:sz w:val="24"/>
        </w:rPr>
        <w:t> </w:t>
      </w:r>
      <w:r>
        <w:rPr>
          <w:sz w:val="24"/>
        </w:rPr>
        <w:t>to</w:t>
      </w:r>
      <w:r>
        <w:rPr>
          <w:spacing w:val="-3"/>
          <w:sz w:val="24"/>
        </w:rPr>
        <w:t> </w:t>
      </w:r>
      <w:r>
        <w:rPr>
          <w:spacing w:val="-2"/>
          <w:sz w:val="24"/>
        </w:rPr>
        <w:t>blindness</w:t>
      </w:r>
    </w:p>
    <w:p>
      <w:pPr>
        <w:pStyle w:val="ListParagraph"/>
        <w:numPr>
          <w:ilvl w:val="0"/>
          <w:numId w:val="275"/>
        </w:numPr>
        <w:tabs>
          <w:tab w:pos="1218" w:val="left" w:leader="none"/>
        </w:tabs>
        <w:spacing w:line="240" w:lineRule="auto" w:before="204" w:after="0"/>
        <w:ind w:left="1218" w:right="0" w:hanging="426"/>
        <w:jc w:val="left"/>
        <w:rPr>
          <w:sz w:val="24"/>
        </w:rPr>
      </w:pPr>
      <w:r>
        <w:rPr>
          <w:sz w:val="24"/>
        </w:rPr>
        <w:t>Family</w:t>
      </w:r>
      <w:r>
        <w:rPr>
          <w:spacing w:val="-5"/>
          <w:sz w:val="24"/>
        </w:rPr>
        <w:t> </w:t>
      </w:r>
      <w:r>
        <w:rPr>
          <w:sz w:val="24"/>
        </w:rPr>
        <w:t>adjustment</w:t>
      </w:r>
      <w:r>
        <w:rPr>
          <w:spacing w:val="-2"/>
          <w:sz w:val="24"/>
        </w:rPr>
        <w:t> </w:t>
      </w:r>
      <w:r>
        <w:rPr>
          <w:sz w:val="24"/>
        </w:rPr>
        <w:t>to</w:t>
      </w:r>
      <w:r>
        <w:rPr>
          <w:spacing w:val="-3"/>
          <w:sz w:val="24"/>
        </w:rPr>
        <w:t> </w:t>
      </w:r>
      <w:r>
        <w:rPr>
          <w:spacing w:val="-2"/>
          <w:sz w:val="24"/>
        </w:rPr>
        <w:t>blindness</w:t>
      </w:r>
    </w:p>
    <w:p>
      <w:pPr>
        <w:pStyle w:val="ListParagraph"/>
        <w:numPr>
          <w:ilvl w:val="0"/>
          <w:numId w:val="275"/>
        </w:numPr>
        <w:tabs>
          <w:tab w:pos="1218" w:val="left" w:leader="none"/>
        </w:tabs>
        <w:spacing w:line="240" w:lineRule="auto" w:before="204" w:after="0"/>
        <w:ind w:left="1218" w:right="0" w:hanging="426"/>
        <w:jc w:val="left"/>
        <w:rPr>
          <w:sz w:val="24"/>
        </w:rPr>
      </w:pPr>
      <w:r>
        <w:rPr>
          <w:sz w:val="24"/>
        </w:rPr>
        <w:t>Peer</w:t>
      </w:r>
      <w:r>
        <w:rPr>
          <w:spacing w:val="-4"/>
          <w:sz w:val="24"/>
        </w:rPr>
        <w:t> </w:t>
      </w:r>
      <w:r>
        <w:rPr>
          <w:sz w:val="24"/>
        </w:rPr>
        <w:t>support</w:t>
      </w:r>
      <w:r>
        <w:rPr>
          <w:spacing w:val="-3"/>
          <w:sz w:val="24"/>
        </w:rPr>
        <w:t> </w:t>
      </w:r>
      <w:r>
        <w:rPr>
          <w:spacing w:val="-2"/>
          <w:sz w:val="24"/>
        </w:rPr>
        <w:t>education</w:t>
      </w:r>
    </w:p>
    <w:p>
      <w:pPr>
        <w:pStyle w:val="ListParagraph"/>
        <w:numPr>
          <w:ilvl w:val="0"/>
          <w:numId w:val="275"/>
        </w:numPr>
        <w:tabs>
          <w:tab w:pos="1218" w:val="left" w:leader="none"/>
        </w:tabs>
        <w:spacing w:line="240" w:lineRule="auto" w:before="204" w:after="0"/>
        <w:ind w:left="1218" w:right="0" w:hanging="426"/>
        <w:jc w:val="left"/>
        <w:rPr>
          <w:sz w:val="24"/>
        </w:rPr>
      </w:pPr>
      <w:r>
        <w:rPr>
          <w:sz w:val="24"/>
        </w:rPr>
        <w:t>Advocacy</w:t>
      </w:r>
      <w:r>
        <w:rPr>
          <w:spacing w:val="-6"/>
          <w:sz w:val="24"/>
        </w:rPr>
        <w:t> </w:t>
      </w:r>
      <w:r>
        <w:rPr>
          <w:spacing w:val="-2"/>
          <w:sz w:val="24"/>
        </w:rPr>
        <w:t>training</w:t>
      </w:r>
    </w:p>
    <w:p>
      <w:pPr>
        <w:pStyle w:val="ListParagraph"/>
        <w:numPr>
          <w:ilvl w:val="0"/>
          <w:numId w:val="275"/>
        </w:numPr>
        <w:tabs>
          <w:tab w:pos="1217" w:val="left" w:leader="none"/>
        </w:tabs>
        <w:spacing w:line="240" w:lineRule="auto" w:before="204" w:after="0"/>
        <w:ind w:left="1217" w:right="0" w:hanging="425"/>
        <w:jc w:val="left"/>
        <w:rPr>
          <w:sz w:val="24"/>
        </w:rPr>
      </w:pPr>
      <w:r>
        <w:rPr>
          <w:sz w:val="24"/>
        </w:rPr>
        <w:t>Information</w:t>
      </w:r>
      <w:r>
        <w:rPr>
          <w:spacing w:val="-6"/>
          <w:sz w:val="24"/>
        </w:rPr>
        <w:t> </w:t>
      </w:r>
      <w:r>
        <w:rPr>
          <w:sz w:val="24"/>
        </w:rPr>
        <w:t>and</w:t>
      </w:r>
      <w:r>
        <w:rPr>
          <w:spacing w:val="-3"/>
          <w:sz w:val="24"/>
        </w:rPr>
        <w:t> </w:t>
      </w:r>
      <w:r>
        <w:rPr>
          <w:sz w:val="24"/>
        </w:rPr>
        <w:t>referral</w:t>
      </w:r>
      <w:r>
        <w:rPr>
          <w:spacing w:val="-3"/>
          <w:sz w:val="24"/>
        </w:rPr>
        <w:t> </w:t>
      </w:r>
      <w:r>
        <w:rPr>
          <w:sz w:val="24"/>
        </w:rPr>
        <w:t>services</w:t>
      </w:r>
      <w:r>
        <w:rPr>
          <w:spacing w:val="-4"/>
          <w:sz w:val="24"/>
        </w:rPr>
        <w:t> </w:t>
      </w:r>
      <w:r>
        <w:rPr>
          <w:sz w:val="24"/>
        </w:rPr>
        <w:t>to</w:t>
      </w:r>
      <w:r>
        <w:rPr>
          <w:spacing w:val="-3"/>
          <w:sz w:val="24"/>
        </w:rPr>
        <w:t> </w:t>
      </w:r>
      <w:r>
        <w:rPr>
          <w:sz w:val="24"/>
        </w:rPr>
        <w:t>other</w:t>
      </w:r>
      <w:r>
        <w:rPr>
          <w:spacing w:val="-2"/>
          <w:sz w:val="24"/>
        </w:rPr>
        <w:t> resources.</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7-1-04</w:t>
      </w:r>
      <w:r>
        <w:rPr>
          <w:sz w:val="22"/>
        </w:rPr>
        <w:tab/>
        <w:t>PT Memo #05-01</w:t>
      </w:r>
    </w:p>
    <w:p>
      <w:pPr>
        <w:tabs>
          <w:tab w:pos="1439" w:val="left" w:leader="none"/>
        </w:tabs>
        <w:spacing w:before="0"/>
        <w:ind w:left="359" w:right="3899" w:firstLine="1080"/>
        <w:jc w:val="left"/>
        <w:rPr>
          <w:sz w:val="22"/>
        </w:rPr>
      </w:pPr>
      <w:r>
        <w:rPr>
          <w:sz w:val="22"/>
        </w:rPr>
        <w:t>Permanent,</w:t>
      </w:r>
      <w:r>
        <w:rPr>
          <w:spacing w:val="-9"/>
          <w:sz w:val="22"/>
        </w:rPr>
        <w:t> </w:t>
      </w:r>
      <w:r>
        <w:rPr>
          <w:sz w:val="22"/>
        </w:rPr>
        <w:t>removed</w:t>
      </w:r>
      <w:r>
        <w:rPr>
          <w:spacing w:val="-10"/>
          <w:sz w:val="22"/>
        </w:rPr>
        <w:t> </w:t>
      </w:r>
      <w:r>
        <w:rPr>
          <w:sz w:val="22"/>
        </w:rPr>
        <w:t>procedures,</w:t>
      </w:r>
      <w:r>
        <w:rPr>
          <w:spacing w:val="-10"/>
          <w:sz w:val="22"/>
        </w:rPr>
        <w:t> </w:t>
      </w:r>
      <w:r>
        <w:rPr>
          <w:sz w:val="22"/>
        </w:rPr>
        <w:t>updated</w:t>
      </w:r>
      <w:r>
        <w:rPr>
          <w:spacing w:val="-10"/>
          <w:sz w:val="22"/>
        </w:rPr>
        <w:t> </w:t>
      </w:r>
      <w:r>
        <w:rPr>
          <w:sz w:val="22"/>
        </w:rPr>
        <w:t>language </w:t>
      </w:r>
      <w:r>
        <w:rPr>
          <w:spacing w:val="-2"/>
          <w:sz w:val="22"/>
        </w:rPr>
        <w:t>7-1-11</w:t>
      </w:r>
      <w:r>
        <w:rPr>
          <w:sz w:val="22"/>
        </w:rPr>
        <w:tab/>
        <w:t>PT Memo #12-01</w:t>
      </w:r>
    </w:p>
    <w:p>
      <w:pPr>
        <w:spacing w:line="252" w:lineRule="exact" w:before="0"/>
        <w:ind w:left="1439" w:right="0" w:firstLine="0"/>
        <w:jc w:val="left"/>
        <w:rPr>
          <w:sz w:val="22"/>
        </w:rPr>
      </w:pPr>
      <w:r>
        <w:rPr>
          <w:sz w:val="22"/>
        </w:rPr>
        <w:t>Permanent,</w:t>
      </w:r>
      <w:r>
        <w:rPr>
          <w:spacing w:val="-11"/>
          <w:sz w:val="22"/>
        </w:rPr>
        <w:t> </w:t>
      </w:r>
      <w:r>
        <w:rPr>
          <w:sz w:val="22"/>
        </w:rPr>
        <w:t>deleted</w:t>
      </w:r>
      <w:r>
        <w:rPr>
          <w:spacing w:val="-11"/>
          <w:sz w:val="22"/>
        </w:rPr>
        <w:t> </w:t>
      </w:r>
      <w:r>
        <w:rPr>
          <w:sz w:val="22"/>
        </w:rPr>
        <w:t>unnecessary</w:t>
      </w:r>
      <w:r>
        <w:rPr>
          <w:spacing w:val="-13"/>
          <w:sz w:val="22"/>
        </w:rPr>
        <w:t> </w:t>
      </w:r>
      <w:r>
        <w:rPr>
          <w:spacing w:val="-2"/>
          <w:sz w:val="22"/>
        </w:rPr>
        <w:t>verbiage</w:t>
      </w:r>
    </w:p>
    <w:p>
      <w:pPr>
        <w:spacing w:after="0" w:line="252" w:lineRule="exact"/>
        <w:jc w:val="left"/>
        <w:rPr>
          <w:sz w:val="22"/>
        </w:rPr>
        <w:sectPr>
          <w:pgSz w:w="12240" w:h="15840"/>
          <w:pgMar w:top="1340" w:bottom="280" w:left="1080" w:right="720"/>
        </w:sectPr>
      </w:pPr>
    </w:p>
    <w:p>
      <w:pPr>
        <w:pStyle w:val="Heading2"/>
      </w:pPr>
      <w:bookmarkStart w:name="612:10-9-37.  Referral for Support Servi" w:id="255"/>
      <w:bookmarkEnd w:id="255"/>
      <w:r>
        <w:rPr>
          <w:b w:val="0"/>
        </w:rPr>
      </w:r>
      <w:r>
        <w:rPr/>
        <w:t>612:10-9-37.</w:t>
      </w:r>
      <w:r>
        <w:rPr>
          <w:spacing w:val="59"/>
        </w:rPr>
        <w:t> </w:t>
      </w:r>
      <w:r>
        <w:rPr/>
        <w:t>Referral</w:t>
      </w:r>
      <w:r>
        <w:rPr>
          <w:spacing w:val="-3"/>
        </w:rPr>
        <w:t> </w:t>
      </w:r>
      <w:r>
        <w:rPr/>
        <w:t>for</w:t>
      </w:r>
      <w:r>
        <w:rPr>
          <w:spacing w:val="-5"/>
        </w:rPr>
        <w:t> </w:t>
      </w:r>
      <w:r>
        <w:rPr/>
        <w:t>Support</w:t>
      </w:r>
      <w:r>
        <w:rPr>
          <w:spacing w:val="-2"/>
        </w:rPr>
        <w:t> Services</w:t>
      </w:r>
    </w:p>
    <w:p>
      <w:pPr>
        <w:pStyle w:val="BodyText"/>
        <w:spacing w:line="208" w:lineRule="auto" w:before="233"/>
        <w:ind w:right="775" w:firstLine="432"/>
      </w:pPr>
      <w:r>
        <w:rPr/>
        <w:t>The</w:t>
      </w:r>
      <w:r>
        <w:rPr>
          <w:spacing w:val="-5"/>
        </w:rPr>
        <w:t> </w:t>
      </w:r>
      <w:r>
        <w:rPr/>
        <w:t>consumer</w:t>
      </w:r>
      <w:r>
        <w:rPr>
          <w:spacing w:val="-4"/>
        </w:rPr>
        <w:t> </w:t>
      </w:r>
      <w:r>
        <w:rPr/>
        <w:t>can</w:t>
      </w:r>
      <w:r>
        <w:rPr>
          <w:spacing w:val="-5"/>
        </w:rPr>
        <w:t> </w:t>
      </w:r>
      <w:r>
        <w:rPr/>
        <w:t>take</w:t>
      </w:r>
      <w:r>
        <w:rPr>
          <w:spacing w:val="-5"/>
        </w:rPr>
        <w:t> </w:t>
      </w:r>
      <w:r>
        <w:rPr/>
        <w:t>advantage</w:t>
      </w:r>
      <w:r>
        <w:rPr>
          <w:spacing w:val="-5"/>
        </w:rPr>
        <w:t> </w:t>
      </w:r>
      <w:r>
        <w:rPr/>
        <w:t>of</w:t>
      </w:r>
      <w:r>
        <w:rPr>
          <w:spacing w:val="-4"/>
        </w:rPr>
        <w:t> </w:t>
      </w:r>
      <w:r>
        <w:rPr/>
        <w:t>additional</w:t>
      </w:r>
      <w:r>
        <w:rPr>
          <w:spacing w:val="-5"/>
        </w:rPr>
        <w:t> </w:t>
      </w:r>
      <w:r>
        <w:rPr/>
        <w:t>services</w:t>
      </w:r>
      <w:r>
        <w:rPr>
          <w:spacing w:val="-5"/>
        </w:rPr>
        <w:t> </w:t>
      </w:r>
      <w:r>
        <w:rPr/>
        <w:t>provided</w:t>
      </w:r>
      <w:r>
        <w:rPr>
          <w:spacing w:val="-5"/>
        </w:rPr>
        <w:t> </w:t>
      </w:r>
      <w:r>
        <w:rPr/>
        <w:t>through</w:t>
      </w:r>
      <w:r>
        <w:rPr>
          <w:spacing w:val="-5"/>
        </w:rPr>
        <w:t> </w:t>
      </w:r>
      <w:r>
        <w:rPr/>
        <w:t>the agency and referred to by the rehabilitation teacher, including:</w:t>
      </w:r>
    </w:p>
    <w:p>
      <w:pPr>
        <w:pStyle w:val="ListParagraph"/>
        <w:numPr>
          <w:ilvl w:val="0"/>
          <w:numId w:val="276"/>
        </w:numPr>
        <w:tabs>
          <w:tab w:pos="1218" w:val="left" w:leader="none"/>
        </w:tabs>
        <w:spacing w:line="240" w:lineRule="auto" w:before="210" w:after="0"/>
        <w:ind w:left="1218" w:right="0" w:hanging="426"/>
        <w:jc w:val="left"/>
        <w:rPr>
          <w:sz w:val="24"/>
        </w:rPr>
      </w:pPr>
      <w:r>
        <w:rPr>
          <w:sz w:val="24"/>
        </w:rPr>
        <w:t>Low</w:t>
      </w:r>
      <w:r>
        <w:rPr>
          <w:spacing w:val="-3"/>
          <w:sz w:val="24"/>
        </w:rPr>
        <w:t> </w:t>
      </w:r>
      <w:r>
        <w:rPr>
          <w:sz w:val="24"/>
        </w:rPr>
        <w:t>Vision</w:t>
      </w:r>
      <w:r>
        <w:rPr>
          <w:spacing w:val="-3"/>
          <w:sz w:val="24"/>
        </w:rPr>
        <w:t> </w:t>
      </w:r>
      <w:r>
        <w:rPr>
          <w:spacing w:val="-2"/>
          <w:sz w:val="24"/>
        </w:rPr>
        <w:t>Services</w:t>
      </w:r>
    </w:p>
    <w:p>
      <w:pPr>
        <w:pStyle w:val="ListParagraph"/>
        <w:numPr>
          <w:ilvl w:val="0"/>
          <w:numId w:val="276"/>
        </w:numPr>
        <w:tabs>
          <w:tab w:pos="1218" w:val="left" w:leader="none"/>
        </w:tabs>
        <w:spacing w:line="240" w:lineRule="auto" w:before="204" w:after="0"/>
        <w:ind w:left="1218" w:right="0" w:hanging="426"/>
        <w:jc w:val="left"/>
        <w:rPr>
          <w:sz w:val="24"/>
        </w:rPr>
      </w:pPr>
      <w:r>
        <w:rPr>
          <w:sz w:val="24"/>
        </w:rPr>
        <w:t>Support</w:t>
      </w:r>
      <w:r>
        <w:rPr>
          <w:spacing w:val="-5"/>
          <w:sz w:val="24"/>
        </w:rPr>
        <w:t> </w:t>
      </w:r>
      <w:r>
        <w:rPr>
          <w:spacing w:val="-2"/>
          <w:sz w:val="24"/>
        </w:rPr>
        <w:t>Groups</w:t>
      </w:r>
    </w:p>
    <w:p>
      <w:pPr>
        <w:pStyle w:val="ListParagraph"/>
        <w:numPr>
          <w:ilvl w:val="0"/>
          <w:numId w:val="276"/>
        </w:numPr>
        <w:tabs>
          <w:tab w:pos="1218" w:val="left" w:leader="none"/>
        </w:tabs>
        <w:spacing w:line="240" w:lineRule="auto" w:before="204" w:after="0"/>
        <w:ind w:left="1218" w:right="0" w:hanging="426"/>
        <w:jc w:val="left"/>
        <w:rPr>
          <w:sz w:val="24"/>
        </w:rPr>
      </w:pPr>
      <w:r>
        <w:rPr>
          <w:sz w:val="24"/>
        </w:rPr>
        <w:t>Assistive</w:t>
      </w:r>
      <w:r>
        <w:rPr>
          <w:spacing w:val="-4"/>
          <w:sz w:val="24"/>
        </w:rPr>
        <w:t> </w:t>
      </w:r>
      <w:r>
        <w:rPr>
          <w:spacing w:val="-2"/>
          <w:sz w:val="24"/>
        </w:rPr>
        <w:t>Technology</w:t>
      </w:r>
    </w:p>
    <w:p>
      <w:pPr>
        <w:pStyle w:val="ListParagraph"/>
        <w:numPr>
          <w:ilvl w:val="0"/>
          <w:numId w:val="276"/>
        </w:numPr>
        <w:tabs>
          <w:tab w:pos="1218" w:val="left" w:leader="none"/>
        </w:tabs>
        <w:spacing w:line="240" w:lineRule="auto" w:before="204" w:after="0"/>
        <w:ind w:left="1218" w:right="0" w:hanging="426"/>
        <w:jc w:val="left"/>
        <w:rPr>
          <w:sz w:val="24"/>
        </w:rPr>
      </w:pPr>
      <w:r>
        <w:rPr>
          <w:sz w:val="24"/>
        </w:rPr>
        <w:t>Deaf-Blind</w:t>
      </w:r>
      <w:r>
        <w:rPr>
          <w:spacing w:val="-7"/>
          <w:sz w:val="24"/>
        </w:rPr>
        <w:t> </w:t>
      </w:r>
      <w:r>
        <w:rPr>
          <w:sz w:val="24"/>
        </w:rPr>
        <w:t>Consultant</w:t>
      </w:r>
      <w:r>
        <w:rPr>
          <w:spacing w:val="-5"/>
          <w:sz w:val="24"/>
        </w:rPr>
        <w:t> </w:t>
      </w:r>
      <w:r>
        <w:rPr>
          <w:spacing w:val="-2"/>
          <w:sz w:val="24"/>
        </w:rPr>
        <w:t>Services</w:t>
      </w:r>
    </w:p>
    <w:p>
      <w:pPr>
        <w:pStyle w:val="ListParagraph"/>
        <w:numPr>
          <w:ilvl w:val="0"/>
          <w:numId w:val="276"/>
        </w:numPr>
        <w:tabs>
          <w:tab w:pos="1217" w:val="left" w:leader="none"/>
        </w:tabs>
        <w:spacing w:line="240" w:lineRule="auto" w:before="205" w:after="0"/>
        <w:ind w:left="1217" w:right="0" w:hanging="425"/>
        <w:jc w:val="left"/>
        <w:rPr>
          <w:sz w:val="24"/>
        </w:rPr>
      </w:pPr>
      <w:r>
        <w:rPr>
          <w:sz w:val="24"/>
        </w:rPr>
        <w:t>Orientation</w:t>
      </w:r>
      <w:r>
        <w:rPr>
          <w:spacing w:val="-4"/>
          <w:sz w:val="24"/>
        </w:rPr>
        <w:t> </w:t>
      </w:r>
      <w:r>
        <w:rPr>
          <w:sz w:val="24"/>
        </w:rPr>
        <w:t>&amp;</w:t>
      </w:r>
      <w:r>
        <w:rPr>
          <w:spacing w:val="-4"/>
          <w:sz w:val="24"/>
        </w:rPr>
        <w:t> </w:t>
      </w:r>
      <w:r>
        <w:rPr>
          <w:sz w:val="24"/>
        </w:rPr>
        <w:t>Mobility</w:t>
      </w:r>
      <w:r>
        <w:rPr>
          <w:spacing w:val="-4"/>
          <w:sz w:val="24"/>
        </w:rPr>
        <w:t> </w:t>
      </w:r>
      <w:r>
        <w:rPr>
          <w:spacing w:val="-2"/>
          <w:sz w:val="24"/>
        </w:rPr>
        <w:t>Services</w:t>
      </w:r>
    </w:p>
    <w:p>
      <w:pPr>
        <w:pStyle w:val="ListParagraph"/>
        <w:numPr>
          <w:ilvl w:val="0"/>
          <w:numId w:val="276"/>
        </w:numPr>
        <w:tabs>
          <w:tab w:pos="1217" w:val="left" w:leader="none"/>
        </w:tabs>
        <w:spacing w:line="240" w:lineRule="auto" w:before="204" w:after="0"/>
        <w:ind w:left="1217" w:right="0" w:hanging="425"/>
        <w:jc w:val="left"/>
        <w:rPr>
          <w:sz w:val="24"/>
        </w:rPr>
      </w:pPr>
      <w:r>
        <w:rPr>
          <w:sz w:val="24"/>
        </w:rPr>
        <w:t>Older</w:t>
      </w:r>
      <w:r>
        <w:rPr>
          <w:spacing w:val="-4"/>
          <w:sz w:val="24"/>
        </w:rPr>
        <w:t> </w:t>
      </w:r>
      <w:r>
        <w:rPr>
          <w:sz w:val="24"/>
        </w:rPr>
        <w:t>Blind</w:t>
      </w:r>
      <w:r>
        <w:rPr>
          <w:spacing w:val="-3"/>
          <w:sz w:val="24"/>
        </w:rPr>
        <w:t> </w:t>
      </w:r>
      <w:r>
        <w:rPr>
          <w:spacing w:val="-2"/>
          <w:sz w:val="24"/>
        </w:rPr>
        <w:t>Services</w:t>
      </w:r>
    </w:p>
    <w:p>
      <w:pPr>
        <w:pStyle w:val="ListParagraph"/>
        <w:numPr>
          <w:ilvl w:val="0"/>
          <w:numId w:val="276"/>
        </w:numPr>
        <w:tabs>
          <w:tab w:pos="1218" w:val="left" w:leader="none"/>
        </w:tabs>
        <w:spacing w:line="240" w:lineRule="auto" w:before="204" w:after="0"/>
        <w:ind w:left="1218" w:right="0" w:hanging="426"/>
        <w:jc w:val="left"/>
        <w:rPr>
          <w:sz w:val="24"/>
        </w:rPr>
      </w:pPr>
      <w:r>
        <w:rPr>
          <w:sz w:val="24"/>
        </w:rPr>
        <w:t>Vocational</w:t>
      </w:r>
      <w:r>
        <w:rPr>
          <w:spacing w:val="-8"/>
          <w:sz w:val="24"/>
        </w:rPr>
        <w:t> </w:t>
      </w:r>
      <w:r>
        <w:rPr>
          <w:sz w:val="24"/>
        </w:rPr>
        <w:t>Rehabilitation</w:t>
      </w:r>
      <w:r>
        <w:rPr>
          <w:spacing w:val="-7"/>
          <w:sz w:val="24"/>
        </w:rPr>
        <w:t> </w:t>
      </w:r>
      <w:r>
        <w:rPr>
          <w:spacing w:val="-2"/>
          <w:sz w:val="24"/>
        </w:rPr>
        <w:t>Services</w:t>
      </w:r>
    </w:p>
    <w:p>
      <w:pPr>
        <w:pStyle w:val="ListParagraph"/>
        <w:numPr>
          <w:ilvl w:val="0"/>
          <w:numId w:val="276"/>
        </w:numPr>
        <w:tabs>
          <w:tab w:pos="1217" w:val="left" w:leader="none"/>
        </w:tabs>
        <w:spacing w:line="240" w:lineRule="auto" w:before="204" w:after="0"/>
        <w:ind w:left="1217" w:right="0" w:hanging="426"/>
        <w:jc w:val="left"/>
        <w:rPr>
          <w:sz w:val="24"/>
        </w:rPr>
      </w:pPr>
      <w:r>
        <w:rPr>
          <w:sz w:val="24"/>
        </w:rPr>
        <w:t>Personal</w:t>
      </w:r>
      <w:r>
        <w:rPr>
          <w:spacing w:val="-6"/>
          <w:sz w:val="24"/>
        </w:rPr>
        <w:t> </w:t>
      </w:r>
      <w:r>
        <w:rPr>
          <w:sz w:val="24"/>
        </w:rPr>
        <w:t>Adjustment</w:t>
      </w:r>
      <w:r>
        <w:rPr>
          <w:spacing w:val="-4"/>
          <w:sz w:val="24"/>
        </w:rPr>
        <w:t> </w:t>
      </w:r>
      <w:r>
        <w:rPr>
          <w:sz w:val="24"/>
        </w:rPr>
        <w:t>Training</w:t>
      </w:r>
      <w:r>
        <w:rPr>
          <w:spacing w:val="-5"/>
          <w:sz w:val="24"/>
        </w:rPr>
        <w:t> </w:t>
      </w:r>
      <w:r>
        <w:rPr>
          <w:strike/>
          <w:spacing w:val="-2"/>
          <w:sz w:val="24"/>
        </w:rPr>
        <w:t>Centers</w:t>
      </w:r>
    </w:p>
    <w:p>
      <w:pPr>
        <w:pStyle w:val="ListParagraph"/>
        <w:numPr>
          <w:ilvl w:val="0"/>
          <w:numId w:val="276"/>
        </w:numPr>
        <w:tabs>
          <w:tab w:pos="1216" w:val="left" w:leader="none"/>
        </w:tabs>
        <w:spacing w:line="240" w:lineRule="auto" w:before="204" w:after="0"/>
        <w:ind w:left="1216" w:right="0" w:hanging="425"/>
        <w:jc w:val="left"/>
        <w:rPr>
          <w:sz w:val="24"/>
        </w:rPr>
      </w:pPr>
      <w:r>
        <w:rPr>
          <w:sz w:val="24"/>
        </w:rPr>
        <w:t>Management</w:t>
      </w:r>
      <w:r>
        <w:rPr>
          <w:spacing w:val="-5"/>
          <w:sz w:val="24"/>
        </w:rPr>
        <w:t> </w:t>
      </w:r>
      <w:r>
        <w:rPr>
          <w:sz w:val="24"/>
        </w:rPr>
        <w:t>of</w:t>
      </w:r>
      <w:r>
        <w:rPr>
          <w:spacing w:val="-4"/>
          <w:sz w:val="24"/>
        </w:rPr>
        <w:t> </w:t>
      </w:r>
      <w:r>
        <w:rPr>
          <w:sz w:val="24"/>
        </w:rPr>
        <w:t>Secondary</w:t>
      </w:r>
      <w:r>
        <w:rPr>
          <w:spacing w:val="-4"/>
          <w:sz w:val="24"/>
        </w:rPr>
        <w:t> </w:t>
      </w:r>
      <w:r>
        <w:rPr>
          <w:spacing w:val="-2"/>
          <w:sz w:val="24"/>
        </w:rPr>
        <w:t>Disabilities</w:t>
      </w:r>
    </w:p>
    <w:p>
      <w:pPr>
        <w:pStyle w:val="ListParagraph"/>
        <w:numPr>
          <w:ilvl w:val="0"/>
          <w:numId w:val="276"/>
        </w:numPr>
        <w:tabs>
          <w:tab w:pos="1350" w:val="left" w:leader="none"/>
        </w:tabs>
        <w:spacing w:line="240" w:lineRule="auto" w:before="204" w:after="0"/>
        <w:ind w:left="1350" w:right="0" w:hanging="559"/>
        <w:jc w:val="left"/>
        <w:rPr>
          <w:sz w:val="24"/>
        </w:rPr>
      </w:pPr>
      <w:r>
        <w:rPr>
          <w:sz w:val="24"/>
        </w:rPr>
        <w:t>Adult</w:t>
      </w:r>
      <w:r>
        <w:rPr>
          <w:spacing w:val="-5"/>
          <w:sz w:val="24"/>
        </w:rPr>
        <w:t> </w:t>
      </w:r>
      <w:r>
        <w:rPr>
          <w:sz w:val="24"/>
        </w:rPr>
        <w:t>Blind</w:t>
      </w:r>
      <w:r>
        <w:rPr>
          <w:spacing w:val="-4"/>
          <w:sz w:val="24"/>
        </w:rPr>
        <w:t> </w:t>
      </w:r>
      <w:r>
        <w:rPr>
          <w:sz w:val="24"/>
        </w:rPr>
        <w:t>Living</w:t>
      </w:r>
      <w:r>
        <w:rPr>
          <w:spacing w:val="-3"/>
          <w:sz w:val="24"/>
        </w:rPr>
        <w:t> </w:t>
      </w:r>
      <w:r>
        <w:rPr>
          <w:sz w:val="24"/>
        </w:rPr>
        <w:t>Evaluation</w:t>
      </w:r>
      <w:r>
        <w:rPr>
          <w:spacing w:val="-3"/>
          <w:sz w:val="24"/>
        </w:rPr>
        <w:t> </w:t>
      </w:r>
      <w:r>
        <w:rPr>
          <w:sz w:val="24"/>
        </w:rPr>
        <w:t>/</w:t>
      </w:r>
      <w:r>
        <w:rPr>
          <w:spacing w:val="-3"/>
          <w:sz w:val="24"/>
        </w:rPr>
        <w:t> </w:t>
      </w:r>
      <w:r>
        <w:rPr>
          <w:sz w:val="24"/>
        </w:rPr>
        <w:t>Training</w:t>
      </w:r>
      <w:r>
        <w:rPr>
          <w:spacing w:val="-3"/>
          <w:sz w:val="24"/>
        </w:rPr>
        <w:t> </w:t>
      </w:r>
      <w:r>
        <w:rPr>
          <w:sz w:val="24"/>
        </w:rPr>
        <w:t>Adult</w:t>
      </w:r>
      <w:r>
        <w:rPr>
          <w:spacing w:val="-2"/>
          <w:sz w:val="24"/>
        </w:rPr>
        <w:t> Program</w:t>
      </w:r>
    </w:p>
    <w:p>
      <w:pPr>
        <w:pStyle w:val="ListParagraph"/>
        <w:numPr>
          <w:ilvl w:val="0"/>
          <w:numId w:val="276"/>
        </w:numPr>
        <w:tabs>
          <w:tab w:pos="1283" w:val="left" w:leader="none"/>
        </w:tabs>
        <w:spacing w:line="240" w:lineRule="auto" w:before="204" w:after="0"/>
        <w:ind w:left="1283" w:right="0" w:hanging="492"/>
        <w:jc w:val="left"/>
        <w:rPr>
          <w:sz w:val="24"/>
        </w:rPr>
      </w:pPr>
      <w:r>
        <w:rPr>
          <w:sz w:val="24"/>
        </w:rPr>
        <w:t>Library</w:t>
      </w:r>
      <w:r>
        <w:rPr>
          <w:spacing w:val="-5"/>
          <w:sz w:val="24"/>
        </w:rPr>
        <w:t> </w:t>
      </w:r>
      <w:r>
        <w:rPr>
          <w:sz w:val="24"/>
        </w:rPr>
        <w:t>for</w:t>
      </w:r>
      <w:r>
        <w:rPr>
          <w:spacing w:val="-3"/>
          <w:sz w:val="24"/>
        </w:rPr>
        <w:t> </w:t>
      </w:r>
      <w:r>
        <w:rPr>
          <w:sz w:val="24"/>
        </w:rPr>
        <w:t>the</w:t>
      </w:r>
      <w:r>
        <w:rPr>
          <w:spacing w:val="-3"/>
          <w:sz w:val="24"/>
        </w:rPr>
        <w:t> </w:t>
      </w:r>
      <w:r>
        <w:rPr>
          <w:sz w:val="24"/>
        </w:rPr>
        <w:t>Blind</w:t>
      </w:r>
      <w:r>
        <w:rPr>
          <w:spacing w:val="-2"/>
          <w:sz w:val="24"/>
        </w:rPr>
        <w:t> </w:t>
      </w:r>
      <w:r>
        <w:rPr>
          <w:sz w:val="24"/>
        </w:rPr>
        <w:t>and</w:t>
      </w:r>
      <w:r>
        <w:rPr>
          <w:spacing w:val="-3"/>
          <w:sz w:val="24"/>
        </w:rPr>
        <w:t> </w:t>
      </w:r>
      <w:r>
        <w:rPr>
          <w:sz w:val="24"/>
        </w:rPr>
        <w:t>Physically</w:t>
      </w:r>
      <w:r>
        <w:rPr>
          <w:spacing w:val="-2"/>
          <w:sz w:val="24"/>
        </w:rPr>
        <w:t> Handicapped</w:t>
      </w:r>
    </w:p>
    <w:p>
      <w:pPr>
        <w:pStyle w:val="ListParagraph"/>
        <w:numPr>
          <w:ilvl w:val="0"/>
          <w:numId w:val="276"/>
        </w:numPr>
        <w:tabs>
          <w:tab w:pos="1283" w:val="left" w:leader="none"/>
        </w:tabs>
        <w:spacing w:line="240" w:lineRule="auto" w:before="204" w:after="0"/>
        <w:ind w:left="1283" w:right="0" w:hanging="492"/>
        <w:jc w:val="left"/>
        <w:rPr>
          <w:sz w:val="24"/>
        </w:rPr>
      </w:pPr>
      <w:r>
        <w:rPr>
          <w:sz w:val="24"/>
        </w:rPr>
        <w:t>Other</w:t>
      </w:r>
      <w:r>
        <w:rPr>
          <w:spacing w:val="-4"/>
          <w:sz w:val="24"/>
        </w:rPr>
        <w:t> </w:t>
      </w:r>
      <w:r>
        <w:rPr>
          <w:sz w:val="24"/>
        </w:rPr>
        <w:t>resources</w:t>
      </w:r>
      <w:r>
        <w:rPr>
          <w:spacing w:val="-3"/>
          <w:sz w:val="24"/>
        </w:rPr>
        <w:t> </w:t>
      </w:r>
      <w:r>
        <w:rPr>
          <w:sz w:val="24"/>
        </w:rPr>
        <w:t>as</w:t>
      </w:r>
      <w:r>
        <w:rPr>
          <w:spacing w:val="-2"/>
          <w:sz w:val="24"/>
        </w:rPr>
        <w:t> identified</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7-1-04</w:t>
      </w:r>
      <w:r>
        <w:rPr>
          <w:sz w:val="22"/>
        </w:rPr>
        <w:tab/>
        <w:t>PT Memo #05-01</w:t>
      </w:r>
    </w:p>
    <w:p>
      <w:pPr>
        <w:tabs>
          <w:tab w:pos="1439" w:val="left" w:leader="none"/>
        </w:tabs>
        <w:spacing w:before="1"/>
        <w:ind w:left="359" w:right="4730" w:firstLine="1080"/>
        <w:jc w:val="left"/>
        <w:rPr>
          <w:sz w:val="22"/>
        </w:rPr>
      </w:pPr>
      <w:r>
        <w:rPr>
          <w:sz w:val="22"/>
        </w:rPr>
        <w:t>Permanent,</w:t>
      </w:r>
      <w:r>
        <w:rPr>
          <w:spacing w:val="-12"/>
          <w:sz w:val="22"/>
        </w:rPr>
        <w:t> </w:t>
      </w:r>
      <w:r>
        <w:rPr>
          <w:sz w:val="22"/>
        </w:rPr>
        <w:t>updated</w:t>
      </w:r>
      <w:r>
        <w:rPr>
          <w:spacing w:val="-13"/>
          <w:sz w:val="22"/>
        </w:rPr>
        <w:t> </w:t>
      </w:r>
      <w:r>
        <w:rPr>
          <w:sz w:val="22"/>
        </w:rPr>
        <w:t>language,</w:t>
      </w:r>
      <w:r>
        <w:rPr>
          <w:spacing w:val="-13"/>
          <w:sz w:val="22"/>
        </w:rPr>
        <w:t> </w:t>
      </w:r>
      <w:r>
        <w:rPr>
          <w:sz w:val="22"/>
        </w:rPr>
        <w:t>streamlining </w:t>
      </w:r>
      <w:r>
        <w:rPr>
          <w:spacing w:val="-2"/>
          <w:sz w:val="22"/>
        </w:rPr>
        <w:t>7-1-11</w:t>
      </w:r>
      <w:r>
        <w:rPr>
          <w:sz w:val="22"/>
        </w:rPr>
        <w:tab/>
        <w:t>PT Memo #12-01</w:t>
      </w:r>
    </w:p>
    <w:p>
      <w:pPr>
        <w:spacing w:line="252" w:lineRule="exact" w:before="0"/>
        <w:ind w:left="1439" w:right="0" w:firstLine="0"/>
        <w:jc w:val="left"/>
        <w:rPr>
          <w:sz w:val="22"/>
        </w:rPr>
      </w:pPr>
      <w:r>
        <w:rPr>
          <w:sz w:val="22"/>
        </w:rPr>
        <w:t>Permanent,</w:t>
      </w:r>
      <w:r>
        <w:rPr>
          <w:spacing w:val="-10"/>
          <w:sz w:val="22"/>
        </w:rPr>
        <w:t> </w:t>
      </w:r>
      <w:r>
        <w:rPr>
          <w:sz w:val="22"/>
        </w:rPr>
        <w:t>updating</w:t>
      </w:r>
      <w:r>
        <w:rPr>
          <w:spacing w:val="-11"/>
          <w:sz w:val="22"/>
        </w:rPr>
        <w:t> </w:t>
      </w:r>
      <w:r>
        <w:rPr>
          <w:spacing w:val="-2"/>
          <w:sz w:val="22"/>
        </w:rPr>
        <w:t>terminology</w:t>
      </w:r>
    </w:p>
    <w:p>
      <w:pPr>
        <w:spacing w:after="0" w:line="252" w:lineRule="exact"/>
        <w:jc w:val="left"/>
        <w:rPr>
          <w:sz w:val="22"/>
        </w:rPr>
        <w:sectPr>
          <w:pgSz w:w="12240" w:h="15840"/>
          <w:pgMar w:top="1340" w:bottom="280" w:left="1080" w:right="720"/>
        </w:sectPr>
      </w:pPr>
    </w:p>
    <w:p>
      <w:pPr>
        <w:pStyle w:val="Heading1"/>
        <w:spacing w:line="208" w:lineRule="auto" w:before="96"/>
        <w:ind w:right="778"/>
      </w:pPr>
      <w:bookmarkStart w:name="SUBCHAPTER 11.  INDEPENDENT LIVING SERVI" w:id="256"/>
      <w:bookmarkEnd w:id="256"/>
      <w:r>
        <w:rPr>
          <w:b w:val="0"/>
        </w:rPr>
      </w:r>
      <w:r>
        <w:rPr/>
        <w:t>SUBCHAPTER</w:t>
      </w:r>
      <w:r>
        <w:rPr>
          <w:spacing w:val="-5"/>
        </w:rPr>
        <w:t> </w:t>
      </w:r>
      <w:r>
        <w:rPr/>
        <w:t>11.</w:t>
      </w:r>
      <w:r>
        <w:rPr>
          <w:spacing w:val="40"/>
        </w:rPr>
        <w:t> </w:t>
      </w:r>
      <w:r>
        <w:rPr/>
        <w:t>INDEPENDENT</w:t>
      </w:r>
      <w:r>
        <w:rPr>
          <w:spacing w:val="-4"/>
        </w:rPr>
        <w:t> </w:t>
      </w:r>
      <w:r>
        <w:rPr/>
        <w:t>LIVING</w:t>
      </w:r>
      <w:r>
        <w:rPr>
          <w:spacing w:val="-4"/>
        </w:rPr>
        <w:t> </w:t>
      </w:r>
      <w:r>
        <w:rPr/>
        <w:t>SERVICES</w:t>
      </w:r>
      <w:r>
        <w:rPr>
          <w:spacing w:val="-5"/>
        </w:rPr>
        <w:t> </w:t>
      </w:r>
      <w:r>
        <w:rPr/>
        <w:t>FOR</w:t>
      </w:r>
      <w:r>
        <w:rPr>
          <w:spacing w:val="-5"/>
        </w:rPr>
        <w:t> </w:t>
      </w:r>
      <w:r>
        <w:rPr/>
        <w:t>OLDER</w:t>
      </w:r>
      <w:r>
        <w:rPr>
          <w:spacing w:val="-5"/>
        </w:rPr>
        <w:t> </w:t>
      </w:r>
      <w:r>
        <w:rPr/>
        <w:t>INDIVIDUALS WHO ARE BLIND</w:t>
      </w:r>
    </w:p>
    <w:p>
      <w:pPr>
        <w:spacing w:before="210"/>
        <w:ind w:left="420" w:right="779" w:firstLine="0"/>
        <w:jc w:val="center"/>
        <w:rPr>
          <w:b/>
          <w:sz w:val="24"/>
        </w:rPr>
      </w:pPr>
      <w:r>
        <w:rPr>
          <w:b/>
          <w:sz w:val="24"/>
        </w:rPr>
        <w:t>PART</w:t>
      </w:r>
      <w:r>
        <w:rPr>
          <w:b/>
          <w:spacing w:val="-1"/>
          <w:sz w:val="24"/>
        </w:rPr>
        <w:t> </w:t>
      </w:r>
      <w:r>
        <w:rPr>
          <w:b/>
          <w:sz w:val="24"/>
        </w:rPr>
        <w:t>1.</w:t>
      </w:r>
      <w:r>
        <w:rPr>
          <w:b/>
          <w:spacing w:val="64"/>
          <w:sz w:val="24"/>
        </w:rPr>
        <w:t> </w:t>
      </w:r>
      <w:r>
        <w:rPr>
          <w:b/>
          <w:sz w:val="24"/>
        </w:rPr>
        <w:t>SCOPE</w:t>
      </w:r>
      <w:r>
        <w:rPr>
          <w:b/>
          <w:spacing w:val="-1"/>
          <w:sz w:val="24"/>
        </w:rPr>
        <w:t> </w:t>
      </w:r>
      <w:r>
        <w:rPr>
          <w:b/>
          <w:sz w:val="24"/>
        </w:rPr>
        <w:t>OF</w:t>
      </w:r>
      <w:r>
        <w:rPr>
          <w:b/>
          <w:spacing w:val="-2"/>
          <w:sz w:val="24"/>
        </w:rPr>
        <w:t> SERVICES</w:t>
      </w:r>
    </w:p>
    <w:p>
      <w:pPr>
        <w:pStyle w:val="BodyText"/>
        <w:spacing w:before="204"/>
      </w:pPr>
      <w:r>
        <w:rPr>
          <w:spacing w:val="-2"/>
        </w:rPr>
        <w:t>Section</w:t>
      </w:r>
    </w:p>
    <w:p>
      <w:pPr>
        <w:pStyle w:val="BodyText"/>
        <w:tabs>
          <w:tab w:pos="2519" w:val="left" w:leader="none"/>
        </w:tabs>
        <w:spacing w:before="204"/>
      </w:pPr>
      <w:r>
        <w:rPr>
          <w:spacing w:val="-2"/>
        </w:rPr>
        <w:t>612:10-11-</w:t>
      </w:r>
      <w:r>
        <w:rPr>
          <w:spacing w:val="-5"/>
        </w:rPr>
        <w:t>1.</w:t>
      </w:r>
      <w:r>
        <w:rPr/>
        <w:tab/>
      </w:r>
      <w:r>
        <w:rPr>
          <w:spacing w:val="-2"/>
        </w:rPr>
        <w:t>Purpose</w:t>
      </w:r>
    </w:p>
    <w:p>
      <w:pPr>
        <w:pStyle w:val="BodyText"/>
        <w:tabs>
          <w:tab w:pos="2519" w:val="left" w:leader="none"/>
        </w:tabs>
        <w:spacing w:line="417" w:lineRule="auto" w:before="204"/>
        <w:ind w:right="4888"/>
      </w:pPr>
      <w:r>
        <w:rPr>
          <w:spacing w:val="-2"/>
        </w:rPr>
        <w:t>612:10-11-2.</w:t>
      </w:r>
      <w:r>
        <w:rPr/>
        <w:tab/>
        <w:t>Basic</w:t>
      </w:r>
      <w:r>
        <w:rPr>
          <w:spacing w:val="-17"/>
        </w:rPr>
        <w:t> </w:t>
      </w:r>
      <w:r>
        <w:rPr/>
        <w:t>eligibility</w:t>
      </w:r>
      <w:r>
        <w:rPr>
          <w:spacing w:val="-17"/>
        </w:rPr>
        <w:t> </w:t>
      </w:r>
      <w:r>
        <w:rPr/>
        <w:t>requirements </w:t>
      </w:r>
      <w:r>
        <w:rPr>
          <w:spacing w:val="-2"/>
        </w:rPr>
        <w:t>612:10-11-4.</w:t>
      </w:r>
      <w:r>
        <w:rPr/>
        <w:tab/>
      </w:r>
      <w:r>
        <w:rPr>
          <w:spacing w:val="-2"/>
        </w:rPr>
        <w:t>Residency</w:t>
      </w:r>
    </w:p>
    <w:p>
      <w:pPr>
        <w:pStyle w:val="BodyText"/>
        <w:tabs>
          <w:tab w:pos="2519" w:val="left" w:leader="none"/>
        </w:tabs>
        <w:spacing w:line="417" w:lineRule="auto" w:before="0"/>
        <w:ind w:right="3517"/>
      </w:pPr>
      <w:r>
        <w:rPr>
          <w:spacing w:val="-2"/>
        </w:rPr>
        <w:t>612:10-11-6.</w:t>
      </w:r>
      <w:r>
        <w:rPr/>
        <w:tab/>
        <w:t>Client</w:t>
      </w:r>
      <w:r>
        <w:rPr>
          <w:spacing w:val="-6"/>
        </w:rPr>
        <w:t> </w:t>
      </w:r>
      <w:r>
        <w:rPr/>
        <w:t>participation</w:t>
      </w:r>
      <w:r>
        <w:rPr>
          <w:spacing w:val="-7"/>
        </w:rPr>
        <w:t> </w:t>
      </w:r>
      <w:r>
        <w:rPr/>
        <w:t>in</w:t>
      </w:r>
      <w:r>
        <w:rPr>
          <w:spacing w:val="-7"/>
        </w:rPr>
        <w:t> </w:t>
      </w:r>
      <w:r>
        <w:rPr/>
        <w:t>cost</w:t>
      </w:r>
      <w:r>
        <w:rPr>
          <w:spacing w:val="-6"/>
        </w:rPr>
        <w:t> </w:t>
      </w:r>
      <w:r>
        <w:rPr/>
        <w:t>of</w:t>
      </w:r>
      <w:r>
        <w:rPr>
          <w:spacing w:val="-8"/>
        </w:rPr>
        <w:t> </w:t>
      </w:r>
      <w:r>
        <w:rPr/>
        <w:t>OB</w:t>
      </w:r>
      <w:r>
        <w:rPr>
          <w:spacing w:val="-9"/>
        </w:rPr>
        <w:t> </w:t>
      </w:r>
      <w:r>
        <w:rPr/>
        <w:t>Services </w:t>
      </w:r>
      <w:r>
        <w:rPr>
          <w:spacing w:val="-2"/>
        </w:rPr>
        <w:t>612:10-11-7.</w:t>
      </w:r>
      <w:r>
        <w:rPr/>
        <w:tab/>
        <w:t>Administrative review</w:t>
      </w:r>
    </w:p>
    <w:p>
      <w:pPr>
        <w:pStyle w:val="Heading1"/>
        <w:spacing w:line="276" w:lineRule="exact" w:before="0"/>
        <w:ind w:right="778"/>
      </w:pPr>
      <w:r>
        <w:rPr/>
        <w:t>PART</w:t>
      </w:r>
      <w:r>
        <w:rPr>
          <w:spacing w:val="-1"/>
        </w:rPr>
        <w:t> </w:t>
      </w:r>
      <w:r>
        <w:rPr/>
        <w:t>3.</w:t>
      </w:r>
      <w:r>
        <w:rPr>
          <w:spacing w:val="64"/>
        </w:rPr>
        <w:t> </w:t>
      </w:r>
      <w:r>
        <w:rPr/>
        <w:t>CASE</w:t>
      </w:r>
      <w:r>
        <w:rPr>
          <w:spacing w:val="-2"/>
        </w:rPr>
        <w:t> PROCESSING</w:t>
      </w:r>
    </w:p>
    <w:p>
      <w:pPr>
        <w:pStyle w:val="BodyText"/>
        <w:spacing w:before="204"/>
      </w:pPr>
      <w:r>
        <w:rPr>
          <w:spacing w:val="-2"/>
        </w:rPr>
        <w:t>Section</w:t>
      </w:r>
    </w:p>
    <w:p>
      <w:pPr>
        <w:pStyle w:val="BodyText"/>
        <w:tabs>
          <w:tab w:pos="2519" w:val="left" w:leader="none"/>
        </w:tabs>
        <w:spacing w:before="204"/>
      </w:pPr>
      <w:r>
        <w:rPr>
          <w:spacing w:val="-2"/>
        </w:rPr>
        <w:t>612:10-11-</w:t>
      </w:r>
      <w:r>
        <w:rPr>
          <w:spacing w:val="-5"/>
        </w:rPr>
        <w:t>17.</w:t>
      </w:r>
      <w:r>
        <w:rPr/>
        <w:tab/>
        <w:t>Case</w:t>
      </w:r>
      <w:r>
        <w:rPr>
          <w:spacing w:val="-4"/>
        </w:rPr>
        <w:t> </w:t>
      </w:r>
      <w:r>
        <w:rPr>
          <w:spacing w:val="-2"/>
        </w:rPr>
        <w:t>processing</w:t>
      </w:r>
    </w:p>
    <w:p>
      <w:pPr>
        <w:pStyle w:val="BodyText"/>
        <w:tabs>
          <w:tab w:pos="2519" w:val="left" w:leader="none"/>
        </w:tabs>
        <w:spacing w:before="204"/>
      </w:pPr>
      <w:r>
        <w:rPr>
          <w:spacing w:val="-2"/>
        </w:rPr>
        <w:t>612:10-11-</w:t>
      </w:r>
      <w:r>
        <w:rPr>
          <w:spacing w:val="-5"/>
        </w:rPr>
        <w:t>22.</w:t>
      </w:r>
      <w:r>
        <w:rPr/>
        <w:tab/>
        <w:t>Service</w:t>
      </w:r>
      <w:r>
        <w:rPr>
          <w:spacing w:val="-3"/>
        </w:rPr>
        <w:t> </w:t>
      </w:r>
      <w:r>
        <w:rPr>
          <w:spacing w:val="-2"/>
        </w:rPr>
        <w:t>Status</w:t>
      </w:r>
    </w:p>
    <w:p>
      <w:pPr>
        <w:pStyle w:val="BodyText"/>
        <w:tabs>
          <w:tab w:pos="2519" w:val="left" w:leader="none"/>
        </w:tabs>
        <w:spacing w:before="204"/>
      </w:pPr>
      <w:r>
        <w:rPr>
          <w:spacing w:val="-2"/>
        </w:rPr>
        <w:t>612:10-11-</w:t>
      </w:r>
      <w:r>
        <w:rPr>
          <w:spacing w:val="-5"/>
        </w:rPr>
        <w:t>24.</w:t>
      </w:r>
      <w:r>
        <w:rPr/>
        <w:tab/>
        <w:t>Successful</w:t>
      </w:r>
      <w:r>
        <w:rPr>
          <w:spacing w:val="-4"/>
        </w:rPr>
        <w:t> </w:t>
      </w:r>
      <w:r>
        <w:rPr/>
        <w:t>Closure</w:t>
      </w:r>
      <w:r>
        <w:rPr>
          <w:spacing w:val="-3"/>
        </w:rPr>
        <w:t> </w:t>
      </w:r>
      <w:r>
        <w:rPr>
          <w:spacing w:val="-2"/>
        </w:rPr>
        <w:t>Status</w:t>
      </w:r>
    </w:p>
    <w:p>
      <w:pPr>
        <w:pStyle w:val="Heading1"/>
        <w:spacing w:before="204"/>
        <w:ind w:right="777"/>
      </w:pPr>
      <w:r>
        <w:rPr/>
        <w:t>PART</w:t>
      </w:r>
      <w:r>
        <w:rPr>
          <w:spacing w:val="-1"/>
        </w:rPr>
        <w:t> </w:t>
      </w:r>
      <w:r>
        <w:rPr/>
        <w:t>5.</w:t>
      </w:r>
      <w:r>
        <w:rPr>
          <w:spacing w:val="63"/>
        </w:rPr>
        <w:t> </w:t>
      </w:r>
      <w:r>
        <w:rPr/>
        <w:t>PROVISION</w:t>
      </w:r>
      <w:r>
        <w:rPr>
          <w:spacing w:val="-1"/>
        </w:rPr>
        <w:t> </w:t>
      </w:r>
      <w:r>
        <w:rPr/>
        <w:t>OF</w:t>
      </w:r>
      <w:r>
        <w:rPr>
          <w:spacing w:val="-2"/>
        </w:rPr>
        <w:t> SERVICES</w:t>
      </w:r>
    </w:p>
    <w:p>
      <w:pPr>
        <w:pStyle w:val="BodyText"/>
        <w:spacing w:before="204"/>
      </w:pPr>
      <w:r>
        <w:rPr>
          <w:spacing w:val="-2"/>
        </w:rPr>
        <w:t>Section</w:t>
      </w:r>
    </w:p>
    <w:p>
      <w:pPr>
        <w:pStyle w:val="BodyText"/>
        <w:tabs>
          <w:tab w:pos="2519" w:val="left" w:leader="none"/>
        </w:tabs>
        <w:spacing w:before="204"/>
      </w:pPr>
      <w:r>
        <w:rPr>
          <w:spacing w:val="-2"/>
        </w:rPr>
        <w:t>612:10-11-</w:t>
      </w:r>
      <w:r>
        <w:rPr>
          <w:spacing w:val="-5"/>
        </w:rPr>
        <w:t>37.</w:t>
      </w:r>
      <w:r>
        <w:rPr/>
        <w:tab/>
        <w:t>Counseling</w:t>
      </w:r>
      <w:r>
        <w:rPr>
          <w:spacing w:val="-5"/>
        </w:rPr>
        <w:t> </w:t>
      </w:r>
      <w:r>
        <w:rPr>
          <w:spacing w:val="-2"/>
        </w:rPr>
        <w:t>services</w:t>
      </w:r>
    </w:p>
    <w:p>
      <w:pPr>
        <w:pStyle w:val="BodyText"/>
        <w:tabs>
          <w:tab w:pos="2519" w:val="left" w:leader="none"/>
        </w:tabs>
        <w:spacing w:before="204"/>
      </w:pPr>
      <w:r>
        <w:rPr>
          <w:spacing w:val="-2"/>
        </w:rPr>
        <w:t>612:10-11-</w:t>
      </w:r>
      <w:r>
        <w:rPr>
          <w:spacing w:val="-4"/>
        </w:rPr>
        <w:t>37.1.</w:t>
      </w:r>
      <w:r>
        <w:rPr/>
        <w:tab/>
      </w:r>
      <w:r>
        <w:rPr>
          <w:spacing w:val="-2"/>
        </w:rPr>
        <w:t>Assessment</w:t>
      </w:r>
    </w:p>
    <w:p>
      <w:pPr>
        <w:pStyle w:val="BodyText"/>
        <w:tabs>
          <w:tab w:pos="2519" w:val="left" w:leader="none"/>
        </w:tabs>
        <w:spacing w:line="417" w:lineRule="auto" w:before="204"/>
        <w:ind w:right="4877"/>
      </w:pPr>
      <w:r>
        <w:rPr>
          <w:spacing w:val="-2"/>
        </w:rPr>
        <w:t>612:10-11-39.</w:t>
      </w:r>
      <w:r>
        <w:rPr/>
        <w:tab/>
        <w:t>Physical</w:t>
      </w:r>
      <w:r>
        <w:rPr>
          <w:spacing w:val="-17"/>
        </w:rPr>
        <w:t> </w:t>
      </w:r>
      <w:r>
        <w:rPr/>
        <w:t>restoration</w:t>
      </w:r>
      <w:r>
        <w:rPr>
          <w:spacing w:val="-17"/>
        </w:rPr>
        <w:t> </w:t>
      </w:r>
      <w:r>
        <w:rPr/>
        <w:t>services </w:t>
      </w:r>
      <w:r>
        <w:rPr>
          <w:spacing w:val="-2"/>
        </w:rPr>
        <w:t>612:10-11-41.</w:t>
      </w:r>
      <w:r>
        <w:rPr/>
        <w:tab/>
      </w:r>
      <w:r>
        <w:rPr>
          <w:spacing w:val="-2"/>
        </w:rPr>
        <w:t>Transportation</w:t>
      </w:r>
    </w:p>
    <w:p>
      <w:pPr>
        <w:pStyle w:val="BodyText"/>
        <w:tabs>
          <w:tab w:pos="2519" w:val="left" w:leader="none"/>
        </w:tabs>
        <w:spacing w:line="276" w:lineRule="exact" w:before="0"/>
      </w:pPr>
      <w:r>
        <w:rPr>
          <w:spacing w:val="-2"/>
        </w:rPr>
        <w:t>612:10-11-</w:t>
      </w:r>
      <w:r>
        <w:rPr>
          <w:spacing w:val="-5"/>
        </w:rPr>
        <w:t>42.</w:t>
      </w:r>
      <w:r>
        <w:rPr/>
        <w:tab/>
        <w:t>Interpreter</w:t>
      </w:r>
      <w:r>
        <w:rPr>
          <w:spacing w:val="-7"/>
        </w:rPr>
        <w:t> </w:t>
      </w:r>
      <w:r>
        <w:rPr>
          <w:spacing w:val="-2"/>
        </w:rPr>
        <w:t>services</w:t>
      </w:r>
    </w:p>
    <w:p>
      <w:pPr>
        <w:pStyle w:val="BodyText"/>
        <w:tabs>
          <w:tab w:pos="2519" w:val="left" w:leader="none"/>
        </w:tabs>
        <w:spacing w:before="204"/>
      </w:pPr>
      <w:r>
        <w:rPr>
          <w:spacing w:val="-2"/>
        </w:rPr>
        <w:t>612:10-11-</w:t>
      </w:r>
      <w:r>
        <w:rPr>
          <w:spacing w:val="-5"/>
        </w:rPr>
        <w:t>43.</w:t>
      </w:r>
      <w:r>
        <w:rPr/>
        <w:tab/>
        <w:t>Reader/Guide</w:t>
      </w:r>
      <w:r>
        <w:rPr>
          <w:spacing w:val="-7"/>
        </w:rPr>
        <w:t> </w:t>
      </w:r>
      <w:r>
        <w:rPr>
          <w:spacing w:val="-2"/>
        </w:rPr>
        <w:t>services</w:t>
      </w:r>
    </w:p>
    <w:p>
      <w:pPr>
        <w:pStyle w:val="BodyText"/>
        <w:tabs>
          <w:tab w:pos="2519" w:val="left" w:leader="none"/>
        </w:tabs>
        <w:spacing w:line="417" w:lineRule="auto" w:before="204"/>
        <w:ind w:right="5517"/>
      </w:pPr>
      <w:r>
        <w:rPr>
          <w:spacing w:val="-2"/>
        </w:rPr>
        <w:t>612:10-11-46.</w:t>
      </w:r>
      <w:r>
        <w:rPr/>
        <w:tab/>
        <w:t>Community</w:t>
      </w:r>
      <w:r>
        <w:rPr>
          <w:spacing w:val="-17"/>
        </w:rPr>
        <w:t> </w:t>
      </w:r>
      <w:r>
        <w:rPr/>
        <w:t>integration </w:t>
      </w:r>
      <w:r>
        <w:rPr>
          <w:spacing w:val="-2"/>
        </w:rPr>
        <w:t>612:10-11-47.</w:t>
      </w:r>
      <w:r>
        <w:rPr/>
        <w:tab/>
        <w:t>Low vision training </w:t>
      </w:r>
      <w:r>
        <w:rPr>
          <w:spacing w:val="-2"/>
        </w:rPr>
        <w:t>612:10-11-49.</w:t>
      </w:r>
      <w:r>
        <w:rPr/>
        <w:tab/>
        <w:t>Referral services </w:t>
      </w:r>
      <w:r>
        <w:rPr>
          <w:spacing w:val="-2"/>
        </w:rPr>
        <w:t>612:10-11-53.</w:t>
      </w:r>
      <w:r>
        <w:rPr/>
        <w:tab/>
        <w:t>Daily living skills</w:t>
      </w:r>
    </w:p>
    <w:p>
      <w:pPr>
        <w:pStyle w:val="BodyText"/>
        <w:tabs>
          <w:tab w:pos="2519" w:val="left" w:leader="none"/>
        </w:tabs>
        <w:spacing w:line="417" w:lineRule="auto" w:before="0"/>
        <w:ind w:right="3864"/>
      </w:pPr>
      <w:r>
        <w:rPr>
          <w:spacing w:val="-2"/>
        </w:rPr>
        <w:t>612:10-11-54.</w:t>
      </w:r>
      <w:r>
        <w:rPr/>
        <w:tab/>
        <w:t>Management</w:t>
      </w:r>
      <w:r>
        <w:rPr>
          <w:spacing w:val="-13"/>
        </w:rPr>
        <w:t> </w:t>
      </w:r>
      <w:r>
        <w:rPr/>
        <w:t>of</w:t>
      </w:r>
      <w:r>
        <w:rPr>
          <w:spacing w:val="-13"/>
        </w:rPr>
        <w:t> </w:t>
      </w:r>
      <w:r>
        <w:rPr/>
        <w:t>secondary</w:t>
      </w:r>
      <w:r>
        <w:rPr>
          <w:spacing w:val="-14"/>
        </w:rPr>
        <w:t> </w:t>
      </w:r>
      <w:r>
        <w:rPr/>
        <w:t>Disabilities </w:t>
      </w:r>
      <w:r>
        <w:rPr>
          <w:spacing w:val="-2"/>
        </w:rPr>
        <w:t>612:10-11-55.</w:t>
      </w:r>
      <w:r>
        <w:rPr/>
        <w:tab/>
        <w:t>Referral for VR services</w:t>
      </w:r>
    </w:p>
    <w:p>
      <w:pPr>
        <w:pStyle w:val="BodyText"/>
        <w:spacing w:after="0" w:line="417" w:lineRule="auto"/>
        <w:sectPr>
          <w:pgSz w:w="12240" w:h="15840"/>
          <w:pgMar w:top="1340" w:bottom="280" w:left="1080" w:right="720"/>
        </w:sectPr>
      </w:pPr>
    </w:p>
    <w:p>
      <w:pPr>
        <w:pStyle w:val="BodyText"/>
        <w:tabs>
          <w:tab w:pos="2519" w:val="left" w:leader="none"/>
        </w:tabs>
        <w:spacing w:line="417" w:lineRule="auto" w:before="67"/>
        <w:ind w:right="4623"/>
      </w:pPr>
      <w:r>
        <w:rPr>
          <w:spacing w:val="-2"/>
        </w:rPr>
        <w:t>612:10-11-56.</w:t>
      </w:r>
      <w:r>
        <w:rPr/>
        <w:tab/>
        <w:t>Low</w:t>
      </w:r>
      <w:r>
        <w:rPr>
          <w:spacing w:val="-13"/>
        </w:rPr>
        <w:t> </w:t>
      </w:r>
      <w:r>
        <w:rPr/>
        <w:t>vision</w:t>
      </w:r>
      <w:r>
        <w:rPr>
          <w:spacing w:val="-13"/>
        </w:rPr>
        <w:t> </w:t>
      </w:r>
      <w:r>
        <w:rPr/>
        <w:t>Evaluation</w:t>
      </w:r>
      <w:r>
        <w:rPr>
          <w:spacing w:val="-12"/>
        </w:rPr>
        <w:t> </w:t>
      </w:r>
      <w:r>
        <w:rPr/>
        <w:t>Services </w:t>
      </w:r>
      <w:r>
        <w:rPr>
          <w:spacing w:val="-2"/>
        </w:rPr>
        <w:t>612:10-11-57.</w:t>
      </w:r>
      <w:r>
        <w:rPr/>
        <w:tab/>
        <w:t>Purchase of Adapted Devices</w:t>
      </w:r>
    </w:p>
    <w:p>
      <w:pPr>
        <w:pStyle w:val="BodyText"/>
        <w:tabs>
          <w:tab w:pos="2519" w:val="left" w:leader="none"/>
        </w:tabs>
        <w:spacing w:line="417" w:lineRule="auto" w:before="0"/>
        <w:ind w:right="3729"/>
      </w:pPr>
      <w:r>
        <w:rPr>
          <w:spacing w:val="-2"/>
        </w:rPr>
        <w:t>612:10-11-58.</w:t>
      </w:r>
      <w:r>
        <w:rPr/>
        <w:tab/>
        <w:t>Adapted</w:t>
      </w:r>
      <w:r>
        <w:rPr>
          <w:spacing w:val="-13"/>
        </w:rPr>
        <w:t> </w:t>
      </w:r>
      <w:r>
        <w:rPr/>
        <w:t>Communication</w:t>
      </w:r>
      <w:r>
        <w:rPr>
          <w:spacing w:val="-13"/>
        </w:rPr>
        <w:t> </w:t>
      </w:r>
      <w:r>
        <w:rPr/>
        <w:t>Skills</w:t>
      </w:r>
      <w:r>
        <w:rPr>
          <w:spacing w:val="-13"/>
        </w:rPr>
        <w:t> </w:t>
      </w:r>
      <w:r>
        <w:rPr/>
        <w:t>Training </w:t>
      </w:r>
      <w:r>
        <w:rPr>
          <w:spacing w:val="-2"/>
        </w:rPr>
        <w:t>612:10-11-59.</w:t>
      </w:r>
      <w:r>
        <w:rPr/>
        <w:tab/>
      </w:r>
      <w:r>
        <w:rPr>
          <w:spacing w:val="-2"/>
        </w:rPr>
        <w:t>Advocacy</w:t>
      </w:r>
    </w:p>
    <w:p>
      <w:pPr>
        <w:pStyle w:val="BodyText"/>
        <w:tabs>
          <w:tab w:pos="2519" w:val="left" w:leader="none"/>
        </w:tabs>
        <w:spacing w:line="276" w:lineRule="exact" w:before="0"/>
        <w:ind w:left="359"/>
      </w:pPr>
      <w:r>
        <w:rPr>
          <w:spacing w:val="-2"/>
        </w:rPr>
        <w:t>612:10-11-</w:t>
      </w:r>
      <w:r>
        <w:rPr>
          <w:spacing w:val="-5"/>
        </w:rPr>
        <w:t>60.</w:t>
      </w:r>
      <w:r>
        <w:rPr/>
        <w:tab/>
        <w:t>Peer</w:t>
      </w:r>
      <w:r>
        <w:rPr>
          <w:spacing w:val="-5"/>
        </w:rPr>
        <w:t> </w:t>
      </w:r>
      <w:r>
        <w:rPr/>
        <w:t>or</w:t>
      </w:r>
      <w:r>
        <w:rPr>
          <w:spacing w:val="-3"/>
        </w:rPr>
        <w:t> </w:t>
      </w:r>
      <w:r>
        <w:rPr/>
        <w:t>Facilitated</w:t>
      </w:r>
      <w:r>
        <w:rPr>
          <w:spacing w:val="-4"/>
        </w:rPr>
        <w:t> </w:t>
      </w:r>
      <w:r>
        <w:rPr/>
        <w:t>Support</w:t>
      </w:r>
      <w:r>
        <w:rPr>
          <w:spacing w:val="-2"/>
        </w:rPr>
        <w:t> Groups</w:t>
      </w:r>
    </w:p>
    <w:p>
      <w:pPr>
        <w:spacing w:before="236"/>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7-1-98</w:t>
      </w:r>
      <w:r>
        <w:rPr>
          <w:sz w:val="22"/>
        </w:rPr>
        <w:tab/>
        <w:t>PT Memo #98-15</w:t>
      </w:r>
    </w:p>
    <w:p>
      <w:pPr>
        <w:spacing w:before="0"/>
        <w:ind w:left="1439" w:right="0" w:firstLine="0"/>
        <w:jc w:val="left"/>
        <w:rPr>
          <w:sz w:val="22"/>
        </w:rPr>
      </w:pPr>
      <w:r>
        <w:rPr>
          <w:sz w:val="22"/>
        </w:rPr>
        <w:t>Permanent,</w:t>
      </w:r>
      <w:r>
        <w:rPr>
          <w:spacing w:val="-10"/>
          <w:sz w:val="22"/>
        </w:rPr>
        <w:t> </w:t>
      </w:r>
      <w:r>
        <w:rPr>
          <w:sz w:val="22"/>
        </w:rPr>
        <w:t>removed</w:t>
      </w:r>
      <w:r>
        <w:rPr>
          <w:spacing w:val="-10"/>
          <w:sz w:val="22"/>
        </w:rPr>
        <w:t> </w:t>
      </w:r>
      <w:r>
        <w:rPr>
          <w:sz w:val="22"/>
        </w:rPr>
        <w:t>revoked</w:t>
      </w:r>
      <w:r>
        <w:rPr>
          <w:spacing w:val="-10"/>
          <w:sz w:val="22"/>
        </w:rPr>
        <w:t> </w:t>
      </w:r>
      <w:r>
        <w:rPr>
          <w:sz w:val="22"/>
        </w:rPr>
        <w:t>Section</w:t>
      </w:r>
      <w:r>
        <w:rPr>
          <w:spacing w:val="-10"/>
          <w:sz w:val="22"/>
        </w:rPr>
        <w:t> </w:t>
      </w:r>
      <w:r>
        <w:rPr>
          <w:sz w:val="22"/>
        </w:rPr>
        <w:t>612:10-11-18,</w:t>
      </w:r>
      <w:r>
        <w:rPr>
          <w:spacing w:val="-10"/>
          <w:sz w:val="22"/>
        </w:rPr>
        <w:t> </w:t>
      </w:r>
      <w:r>
        <w:rPr>
          <w:sz w:val="22"/>
        </w:rPr>
        <w:t>amended</w:t>
      </w:r>
      <w:r>
        <w:rPr>
          <w:spacing w:val="-10"/>
          <w:sz w:val="22"/>
        </w:rPr>
        <w:t> </w:t>
      </w:r>
      <w:r>
        <w:rPr>
          <w:sz w:val="22"/>
        </w:rPr>
        <w:t>several</w:t>
      </w:r>
      <w:r>
        <w:rPr>
          <w:spacing w:val="-11"/>
          <w:sz w:val="22"/>
        </w:rPr>
        <w:t> </w:t>
      </w:r>
      <w:r>
        <w:rPr>
          <w:spacing w:val="-2"/>
          <w:sz w:val="22"/>
        </w:rPr>
        <w:t>Section</w:t>
      </w:r>
    </w:p>
    <w:p>
      <w:pPr>
        <w:spacing w:line="253" w:lineRule="exact" w:before="0"/>
        <w:ind w:left="359" w:right="0" w:firstLine="0"/>
        <w:jc w:val="left"/>
        <w:rPr>
          <w:sz w:val="22"/>
        </w:rPr>
      </w:pPr>
      <w:r>
        <w:rPr>
          <w:spacing w:val="-2"/>
          <w:sz w:val="22"/>
        </w:rPr>
        <w:t>taglines</w:t>
      </w:r>
    </w:p>
    <w:p>
      <w:pPr>
        <w:pStyle w:val="ListParagraph"/>
        <w:numPr>
          <w:ilvl w:val="2"/>
          <w:numId w:val="277"/>
        </w:numPr>
        <w:tabs>
          <w:tab w:pos="1439" w:val="left" w:leader="none"/>
        </w:tabs>
        <w:spacing w:line="253"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#05-</w:t>
      </w:r>
      <w:r>
        <w:rPr>
          <w:spacing w:val="-5"/>
          <w:sz w:val="22"/>
        </w:rPr>
        <w:t>01</w:t>
      </w:r>
    </w:p>
    <w:p>
      <w:pPr>
        <w:tabs>
          <w:tab w:pos="1439" w:val="left" w:leader="none"/>
        </w:tabs>
        <w:spacing w:before="0"/>
        <w:ind w:left="359" w:right="6246" w:firstLine="1080"/>
        <w:jc w:val="left"/>
        <w:rPr>
          <w:sz w:val="22"/>
        </w:rPr>
      </w:pPr>
      <w:r>
        <w:rPr>
          <w:sz w:val="22"/>
        </w:rPr>
        <w:t>Permanent,</w:t>
      </w:r>
      <w:r>
        <w:rPr>
          <w:spacing w:val="-12"/>
          <w:sz w:val="22"/>
        </w:rPr>
        <w:t> </w:t>
      </w:r>
      <w:r>
        <w:rPr>
          <w:sz w:val="22"/>
        </w:rPr>
        <w:t>added</w:t>
      </w:r>
      <w:r>
        <w:rPr>
          <w:spacing w:val="-13"/>
          <w:sz w:val="22"/>
        </w:rPr>
        <w:t> </w:t>
      </w:r>
      <w:r>
        <w:rPr>
          <w:sz w:val="22"/>
        </w:rPr>
        <w:t>section</w:t>
      </w:r>
      <w:r>
        <w:rPr>
          <w:spacing w:val="-13"/>
          <w:sz w:val="22"/>
        </w:rPr>
        <w:t> </w:t>
      </w:r>
      <w:r>
        <w:rPr>
          <w:sz w:val="22"/>
        </w:rPr>
        <w:t>9 </w:t>
      </w:r>
      <w:r>
        <w:rPr>
          <w:spacing w:val="-2"/>
          <w:sz w:val="22"/>
        </w:rPr>
        <w:t>7-1-05</w:t>
      </w:r>
      <w:r>
        <w:rPr>
          <w:sz w:val="22"/>
        </w:rPr>
        <w:tab/>
        <w:t>PT Memo #06-01</w:t>
      </w:r>
    </w:p>
    <w:p>
      <w:pPr>
        <w:spacing w:before="1"/>
        <w:ind w:left="1439" w:right="0" w:firstLine="0"/>
        <w:jc w:val="left"/>
        <w:rPr>
          <w:sz w:val="22"/>
        </w:rPr>
      </w:pPr>
      <w:r>
        <w:rPr>
          <w:sz w:val="22"/>
        </w:rPr>
        <w:t>Permanent,</w:t>
      </w:r>
      <w:r>
        <w:rPr>
          <w:spacing w:val="-8"/>
          <w:sz w:val="22"/>
        </w:rPr>
        <w:t> </w:t>
      </w:r>
      <w:r>
        <w:rPr>
          <w:sz w:val="22"/>
        </w:rPr>
        <w:t>Independent</w:t>
      </w:r>
      <w:r>
        <w:rPr>
          <w:spacing w:val="-9"/>
          <w:sz w:val="22"/>
        </w:rPr>
        <w:t> </w:t>
      </w:r>
      <w:r>
        <w:rPr>
          <w:sz w:val="22"/>
        </w:rPr>
        <w:t>Living</w:t>
      </w:r>
      <w:r>
        <w:rPr>
          <w:spacing w:val="-9"/>
          <w:sz w:val="22"/>
        </w:rPr>
        <w:t> </w:t>
      </w:r>
      <w:r>
        <w:rPr>
          <w:sz w:val="22"/>
        </w:rPr>
        <w:t>policy</w:t>
      </w:r>
      <w:r>
        <w:rPr>
          <w:spacing w:val="-8"/>
          <w:sz w:val="22"/>
        </w:rPr>
        <w:t> </w:t>
      </w:r>
      <w:r>
        <w:rPr>
          <w:sz w:val="22"/>
        </w:rPr>
        <w:t>replaced</w:t>
      </w:r>
      <w:r>
        <w:rPr>
          <w:spacing w:val="-9"/>
          <w:sz w:val="22"/>
        </w:rPr>
        <w:t> </w:t>
      </w:r>
      <w:r>
        <w:rPr>
          <w:sz w:val="22"/>
        </w:rPr>
        <w:t>with</w:t>
      </w:r>
      <w:r>
        <w:rPr>
          <w:spacing w:val="-9"/>
          <w:sz w:val="22"/>
        </w:rPr>
        <w:t> </w:t>
      </w:r>
      <w:r>
        <w:rPr>
          <w:sz w:val="22"/>
        </w:rPr>
        <w:t>Older</w:t>
      </w:r>
      <w:r>
        <w:rPr>
          <w:spacing w:val="-8"/>
          <w:sz w:val="22"/>
        </w:rPr>
        <w:t> </w:t>
      </w:r>
      <w:r>
        <w:rPr>
          <w:spacing w:val="-2"/>
          <w:sz w:val="22"/>
        </w:rPr>
        <w:t>Blind.</w:t>
      </w:r>
    </w:p>
    <w:p>
      <w:pPr>
        <w:tabs>
          <w:tab w:pos="1439" w:val="left" w:leader="none"/>
        </w:tabs>
        <w:spacing w:line="253" w:lineRule="exact" w:before="0"/>
        <w:ind w:left="359" w:right="0" w:firstLine="0"/>
        <w:jc w:val="left"/>
        <w:rPr>
          <w:sz w:val="22"/>
        </w:rPr>
      </w:pPr>
      <w:r>
        <w:rPr>
          <w:spacing w:val="-2"/>
          <w:sz w:val="22"/>
        </w:rPr>
        <w:t>7-1-</w:t>
      </w:r>
      <w:r>
        <w:rPr>
          <w:spacing w:val="-5"/>
          <w:sz w:val="22"/>
        </w:rPr>
        <w:t>07</w:t>
      </w:r>
      <w:r>
        <w:rPr>
          <w:sz w:val="22"/>
        </w:rPr>
        <w:tab/>
        <w:t>PT</w:t>
      </w:r>
      <w:r>
        <w:rPr>
          <w:spacing w:val="-8"/>
          <w:sz w:val="22"/>
        </w:rPr>
        <w:t> </w:t>
      </w:r>
      <w:r>
        <w:rPr>
          <w:sz w:val="22"/>
        </w:rPr>
        <w:t>Memo</w:t>
      </w:r>
      <w:r>
        <w:rPr>
          <w:spacing w:val="-8"/>
          <w:sz w:val="22"/>
        </w:rPr>
        <w:t> </w:t>
      </w:r>
      <w:r>
        <w:rPr>
          <w:sz w:val="22"/>
        </w:rPr>
        <w:t>#08-</w:t>
      </w:r>
      <w:r>
        <w:rPr>
          <w:spacing w:val="-5"/>
          <w:sz w:val="22"/>
        </w:rPr>
        <w:t>01</w:t>
      </w:r>
    </w:p>
    <w:p>
      <w:pPr>
        <w:spacing w:line="253" w:lineRule="exact" w:before="0"/>
        <w:ind w:left="1079" w:right="0" w:firstLine="0"/>
        <w:jc w:val="left"/>
        <w:rPr>
          <w:sz w:val="22"/>
        </w:rPr>
      </w:pPr>
      <w:r>
        <w:rPr>
          <w:sz w:val="22"/>
        </w:rPr>
        <w:t>Permanent,</w:t>
      </w:r>
      <w:r>
        <w:rPr>
          <w:spacing w:val="-7"/>
          <w:sz w:val="22"/>
        </w:rPr>
        <w:t> </w:t>
      </w:r>
      <w:r>
        <w:rPr>
          <w:sz w:val="22"/>
        </w:rPr>
        <w:t>Changed</w:t>
      </w:r>
      <w:r>
        <w:rPr>
          <w:spacing w:val="-7"/>
          <w:sz w:val="22"/>
        </w:rPr>
        <w:t> </w:t>
      </w:r>
      <w:r>
        <w:rPr>
          <w:sz w:val="22"/>
        </w:rPr>
        <w:t>OL</w:t>
      </w:r>
      <w:r>
        <w:rPr>
          <w:spacing w:val="-7"/>
          <w:sz w:val="22"/>
        </w:rPr>
        <w:t> </w:t>
      </w:r>
      <w:r>
        <w:rPr>
          <w:sz w:val="22"/>
        </w:rPr>
        <w:t>to</w:t>
      </w:r>
      <w:r>
        <w:rPr>
          <w:spacing w:val="-7"/>
          <w:sz w:val="22"/>
        </w:rPr>
        <w:t> </w:t>
      </w:r>
      <w:r>
        <w:rPr>
          <w:spacing w:val="-5"/>
          <w:sz w:val="22"/>
        </w:rPr>
        <w:t>OB</w:t>
      </w:r>
    </w:p>
    <w:p>
      <w:pPr>
        <w:spacing w:after="0" w:line="253" w:lineRule="exact"/>
        <w:jc w:val="left"/>
        <w:rPr>
          <w:sz w:val="22"/>
        </w:rPr>
        <w:sectPr>
          <w:pgSz w:w="12240" w:h="15840"/>
          <w:pgMar w:top="1340" w:bottom="280" w:left="1080" w:right="720"/>
        </w:sectPr>
      </w:pPr>
    </w:p>
    <w:p>
      <w:pPr>
        <w:pStyle w:val="Heading1"/>
      </w:pPr>
      <w:bookmarkStart w:name="PART 1.  SCOPE OF SERVICES" w:id="257"/>
      <w:bookmarkEnd w:id="257"/>
      <w:r>
        <w:rPr>
          <w:b w:val="0"/>
        </w:rPr>
      </w:r>
      <w:r>
        <w:rPr/>
        <w:t>PART</w:t>
      </w:r>
      <w:r>
        <w:rPr>
          <w:spacing w:val="-1"/>
        </w:rPr>
        <w:t> </w:t>
      </w:r>
      <w:r>
        <w:rPr/>
        <w:t>1.</w:t>
      </w:r>
      <w:r>
        <w:rPr>
          <w:spacing w:val="64"/>
        </w:rPr>
        <w:t> </w:t>
      </w:r>
      <w:r>
        <w:rPr/>
        <w:t>SCOPE</w:t>
      </w:r>
      <w:r>
        <w:rPr>
          <w:spacing w:val="-1"/>
        </w:rPr>
        <w:t> </w:t>
      </w:r>
      <w:r>
        <w:rPr/>
        <w:t>OF</w:t>
      </w:r>
      <w:r>
        <w:rPr>
          <w:spacing w:val="-2"/>
        </w:rPr>
        <w:t> SERVICES</w:t>
      </w:r>
    </w:p>
    <w:p>
      <w:pPr>
        <w:pStyle w:val="BodyText"/>
        <w:spacing w:before="204"/>
      </w:pPr>
      <w:r>
        <w:rPr>
          <w:spacing w:val="-2"/>
        </w:rPr>
        <w:t>Section</w:t>
      </w:r>
    </w:p>
    <w:p>
      <w:pPr>
        <w:pStyle w:val="BodyText"/>
        <w:tabs>
          <w:tab w:pos="2519" w:val="left" w:leader="none"/>
        </w:tabs>
        <w:spacing w:before="204"/>
      </w:pPr>
      <w:r>
        <w:rPr>
          <w:spacing w:val="-2"/>
        </w:rPr>
        <w:t>612:10-11-</w:t>
      </w:r>
      <w:r>
        <w:rPr>
          <w:spacing w:val="-5"/>
        </w:rPr>
        <w:t>1.</w:t>
      </w:r>
      <w:r>
        <w:rPr/>
        <w:tab/>
      </w:r>
      <w:r>
        <w:rPr>
          <w:spacing w:val="-2"/>
        </w:rPr>
        <w:t>Purpose</w:t>
      </w:r>
    </w:p>
    <w:p>
      <w:pPr>
        <w:pStyle w:val="BodyText"/>
        <w:tabs>
          <w:tab w:pos="2519" w:val="left" w:leader="none"/>
        </w:tabs>
        <w:spacing w:line="417" w:lineRule="auto" w:before="204"/>
        <w:ind w:right="4888"/>
      </w:pPr>
      <w:r>
        <w:rPr>
          <w:spacing w:val="-2"/>
        </w:rPr>
        <w:t>612:10-11-2.</w:t>
      </w:r>
      <w:r>
        <w:rPr/>
        <w:tab/>
        <w:t>Basic</w:t>
      </w:r>
      <w:r>
        <w:rPr>
          <w:spacing w:val="-17"/>
        </w:rPr>
        <w:t> </w:t>
      </w:r>
      <w:r>
        <w:rPr/>
        <w:t>eligibility</w:t>
      </w:r>
      <w:r>
        <w:rPr>
          <w:spacing w:val="-17"/>
        </w:rPr>
        <w:t> </w:t>
      </w:r>
      <w:r>
        <w:rPr/>
        <w:t>requirements </w:t>
      </w:r>
      <w:r>
        <w:rPr>
          <w:spacing w:val="-2"/>
        </w:rPr>
        <w:t>612:10-11-4.</w:t>
      </w:r>
      <w:r>
        <w:rPr/>
        <w:tab/>
      </w:r>
      <w:r>
        <w:rPr>
          <w:spacing w:val="-2"/>
        </w:rPr>
        <w:t>Residency</w:t>
      </w:r>
    </w:p>
    <w:p>
      <w:pPr>
        <w:pStyle w:val="BodyText"/>
        <w:tabs>
          <w:tab w:pos="2519" w:val="left" w:leader="none"/>
        </w:tabs>
        <w:spacing w:line="417" w:lineRule="auto" w:before="0"/>
        <w:ind w:right="3517"/>
      </w:pPr>
      <w:r>
        <w:rPr>
          <w:spacing w:val="-2"/>
        </w:rPr>
        <w:t>612:10-11-6.</w:t>
      </w:r>
      <w:r>
        <w:rPr/>
        <w:tab/>
        <w:t>Client</w:t>
      </w:r>
      <w:r>
        <w:rPr>
          <w:spacing w:val="-6"/>
        </w:rPr>
        <w:t> </w:t>
      </w:r>
      <w:r>
        <w:rPr/>
        <w:t>participation</w:t>
      </w:r>
      <w:r>
        <w:rPr>
          <w:spacing w:val="-7"/>
        </w:rPr>
        <w:t> </w:t>
      </w:r>
      <w:r>
        <w:rPr/>
        <w:t>in</w:t>
      </w:r>
      <w:r>
        <w:rPr>
          <w:spacing w:val="-7"/>
        </w:rPr>
        <w:t> </w:t>
      </w:r>
      <w:r>
        <w:rPr/>
        <w:t>cost</w:t>
      </w:r>
      <w:r>
        <w:rPr>
          <w:spacing w:val="-6"/>
        </w:rPr>
        <w:t> </w:t>
      </w:r>
      <w:r>
        <w:rPr/>
        <w:t>of</w:t>
      </w:r>
      <w:r>
        <w:rPr>
          <w:spacing w:val="-8"/>
        </w:rPr>
        <w:t> </w:t>
      </w:r>
      <w:r>
        <w:rPr/>
        <w:t>OB</w:t>
      </w:r>
      <w:r>
        <w:rPr>
          <w:spacing w:val="-9"/>
        </w:rPr>
        <w:t> </w:t>
      </w:r>
      <w:r>
        <w:rPr/>
        <w:t>Services </w:t>
      </w:r>
      <w:r>
        <w:rPr>
          <w:spacing w:val="-2"/>
        </w:rPr>
        <w:t>612:10-11-7.</w:t>
      </w:r>
      <w:r>
        <w:rPr/>
        <w:tab/>
        <w:t>Administrative review</w:t>
      </w:r>
    </w:p>
    <w:p>
      <w:pPr>
        <w:pStyle w:val="BodyText"/>
        <w:spacing w:after="0" w:line="417" w:lineRule="auto"/>
        <w:sectPr>
          <w:pgSz w:w="12240" w:h="15840"/>
          <w:pgMar w:top="1340" w:bottom="280" w:left="1080" w:right="720"/>
        </w:sectPr>
      </w:pPr>
    </w:p>
    <w:p>
      <w:pPr>
        <w:pStyle w:val="Heading2"/>
      </w:pPr>
      <w:bookmarkStart w:name="612:10-11-1.  Purpose" w:id="258"/>
      <w:bookmarkEnd w:id="258"/>
      <w:r>
        <w:rPr>
          <w:b w:val="0"/>
        </w:rPr>
      </w:r>
      <w:r>
        <w:rPr/>
        <w:t>612:10-11-1.</w:t>
      </w:r>
      <w:r>
        <w:rPr>
          <w:spacing w:val="57"/>
        </w:rPr>
        <w:t> </w:t>
      </w:r>
      <w:r>
        <w:rPr>
          <w:spacing w:val="-2"/>
        </w:rPr>
        <w:t>Purpose</w:t>
      </w:r>
    </w:p>
    <w:p>
      <w:pPr>
        <w:pStyle w:val="ListParagraph"/>
        <w:numPr>
          <w:ilvl w:val="0"/>
          <w:numId w:val="278"/>
        </w:numPr>
        <w:tabs>
          <w:tab w:pos="784" w:val="left" w:leader="none"/>
        </w:tabs>
        <w:spacing w:line="208" w:lineRule="auto" w:before="233" w:after="0"/>
        <w:ind w:left="359" w:right="978" w:firstLine="0"/>
        <w:jc w:val="left"/>
        <w:rPr>
          <w:sz w:val="24"/>
        </w:rPr>
      </w:pPr>
      <w:r>
        <w:rPr>
          <w:sz w:val="24"/>
        </w:rPr>
        <w:t>Older</w:t>
      </w:r>
      <w:r>
        <w:rPr>
          <w:spacing w:val="-1"/>
          <w:sz w:val="24"/>
        </w:rPr>
        <w:t> </w:t>
      </w:r>
      <w:r>
        <w:rPr>
          <w:sz w:val="24"/>
        </w:rPr>
        <w:t>Blind Independent Living Services (OB)</w:t>
      </w:r>
      <w:r>
        <w:rPr>
          <w:spacing w:val="-1"/>
          <w:sz w:val="24"/>
        </w:rPr>
        <w:t> </w:t>
      </w:r>
      <w:r>
        <w:rPr>
          <w:sz w:val="24"/>
        </w:rPr>
        <w:t>is a</w:t>
      </w:r>
      <w:r>
        <w:rPr>
          <w:spacing w:val="-1"/>
          <w:sz w:val="24"/>
        </w:rPr>
        <w:t> </w:t>
      </w:r>
      <w:r>
        <w:rPr>
          <w:sz w:val="24"/>
        </w:rPr>
        <w:t>formalized program of</w:t>
      </w:r>
      <w:r>
        <w:rPr>
          <w:spacing w:val="-1"/>
          <w:sz w:val="24"/>
        </w:rPr>
        <w:t> </w:t>
      </w:r>
      <w:r>
        <w:rPr>
          <w:sz w:val="24"/>
        </w:rPr>
        <w:t>services with</w:t>
      </w:r>
      <w:r>
        <w:rPr>
          <w:spacing w:val="-3"/>
          <w:sz w:val="24"/>
        </w:rPr>
        <w:t> </w:t>
      </w:r>
      <w:r>
        <w:rPr>
          <w:sz w:val="24"/>
        </w:rPr>
        <w:t>the</w:t>
      </w:r>
      <w:r>
        <w:rPr>
          <w:spacing w:val="-3"/>
          <w:sz w:val="24"/>
        </w:rPr>
        <w:t> </w:t>
      </w:r>
      <w:r>
        <w:rPr>
          <w:sz w:val="24"/>
        </w:rPr>
        <w:t>purpose</w:t>
      </w:r>
      <w:r>
        <w:rPr>
          <w:spacing w:val="-3"/>
          <w:sz w:val="24"/>
        </w:rPr>
        <w:t> </w:t>
      </w:r>
      <w:r>
        <w:rPr>
          <w:sz w:val="24"/>
        </w:rPr>
        <w:t>of</w:t>
      </w:r>
      <w:r>
        <w:rPr>
          <w:spacing w:val="-2"/>
          <w:sz w:val="24"/>
        </w:rPr>
        <w:t> </w:t>
      </w:r>
      <w:r>
        <w:rPr>
          <w:sz w:val="24"/>
        </w:rPr>
        <w:t>enhancing</w:t>
      </w:r>
      <w:r>
        <w:rPr>
          <w:spacing w:val="-3"/>
          <w:sz w:val="24"/>
        </w:rPr>
        <w:t> </w:t>
      </w:r>
      <w:r>
        <w:rPr>
          <w:sz w:val="24"/>
        </w:rPr>
        <w:t>the</w:t>
      </w:r>
      <w:r>
        <w:rPr>
          <w:spacing w:val="-3"/>
          <w:sz w:val="24"/>
        </w:rPr>
        <w:t> </w:t>
      </w:r>
      <w:r>
        <w:rPr>
          <w:sz w:val="24"/>
        </w:rPr>
        <w:t>ability</w:t>
      </w:r>
      <w:r>
        <w:rPr>
          <w:spacing w:val="-3"/>
          <w:sz w:val="24"/>
        </w:rPr>
        <w:t> </w:t>
      </w:r>
      <w:r>
        <w:rPr>
          <w:sz w:val="24"/>
        </w:rPr>
        <w:t>of</w:t>
      </w:r>
      <w:r>
        <w:rPr>
          <w:spacing w:val="-4"/>
          <w:sz w:val="24"/>
        </w:rPr>
        <w:t> </w:t>
      </w:r>
      <w:r>
        <w:rPr>
          <w:sz w:val="24"/>
        </w:rPr>
        <w:t>an</w:t>
      </w:r>
      <w:r>
        <w:rPr>
          <w:spacing w:val="-3"/>
          <w:sz w:val="24"/>
        </w:rPr>
        <w:t> </w:t>
      </w:r>
      <w:r>
        <w:rPr>
          <w:sz w:val="24"/>
        </w:rPr>
        <w:t>individual</w:t>
      </w:r>
      <w:r>
        <w:rPr>
          <w:spacing w:val="-3"/>
          <w:sz w:val="24"/>
        </w:rPr>
        <w:t> </w:t>
      </w:r>
      <w:r>
        <w:rPr>
          <w:sz w:val="24"/>
        </w:rPr>
        <w:t>with</w:t>
      </w:r>
      <w:r>
        <w:rPr>
          <w:spacing w:val="-3"/>
          <w:sz w:val="24"/>
        </w:rPr>
        <w:t> </w:t>
      </w:r>
      <w:r>
        <w:rPr>
          <w:sz w:val="24"/>
        </w:rPr>
        <w:t>severe</w:t>
      </w:r>
      <w:r>
        <w:rPr>
          <w:spacing w:val="-3"/>
          <w:sz w:val="24"/>
        </w:rPr>
        <w:t> </w:t>
      </w:r>
      <w:r>
        <w:rPr>
          <w:sz w:val="24"/>
        </w:rPr>
        <w:t>vision</w:t>
      </w:r>
      <w:r>
        <w:rPr>
          <w:spacing w:val="-3"/>
          <w:sz w:val="24"/>
        </w:rPr>
        <w:t> </w:t>
      </w:r>
      <w:r>
        <w:rPr>
          <w:sz w:val="24"/>
        </w:rPr>
        <w:t>loss</w:t>
      </w:r>
      <w:r>
        <w:rPr>
          <w:spacing w:val="-3"/>
          <w:sz w:val="24"/>
        </w:rPr>
        <w:t> </w:t>
      </w:r>
      <w:r>
        <w:rPr>
          <w:sz w:val="24"/>
        </w:rPr>
        <w:t>to</w:t>
      </w:r>
      <w:r>
        <w:rPr>
          <w:spacing w:val="-3"/>
          <w:sz w:val="24"/>
        </w:rPr>
        <w:t> </w:t>
      </w:r>
      <w:r>
        <w:rPr>
          <w:sz w:val="24"/>
        </w:rPr>
        <w:t>live independently and function within his/her family and community. Older persons who have vision loss remain more independent when they learn new skills to help them adjust to blindness and make the most of their remaining vision. Through one-on-one instruction, they remain independent or reach this goal which increases confidence, self-esteem and quality of life.</w:t>
      </w:r>
    </w:p>
    <w:p>
      <w:pPr>
        <w:pStyle w:val="ListParagraph"/>
        <w:numPr>
          <w:ilvl w:val="0"/>
          <w:numId w:val="278"/>
        </w:numPr>
        <w:tabs>
          <w:tab w:pos="785" w:val="left" w:leader="none"/>
        </w:tabs>
        <w:spacing w:line="208" w:lineRule="auto" w:before="239" w:after="0"/>
        <w:ind w:left="359" w:right="820" w:firstLine="0"/>
        <w:jc w:val="left"/>
        <w:rPr>
          <w:b/>
          <w:sz w:val="24"/>
        </w:rPr>
      </w:pPr>
      <w:r>
        <w:rPr>
          <w:sz w:val="24"/>
        </w:rPr>
        <w:t>Personal</w:t>
      </w:r>
      <w:r>
        <w:rPr>
          <w:spacing w:val="-4"/>
          <w:sz w:val="24"/>
        </w:rPr>
        <w:t> </w:t>
      </w:r>
      <w:r>
        <w:rPr>
          <w:sz w:val="24"/>
        </w:rPr>
        <w:t>adjustment</w:t>
      </w:r>
      <w:r>
        <w:rPr>
          <w:spacing w:val="-3"/>
          <w:sz w:val="24"/>
        </w:rPr>
        <w:t> </w:t>
      </w:r>
      <w:r>
        <w:rPr>
          <w:sz w:val="24"/>
        </w:rPr>
        <w:t>services</w:t>
      </w:r>
      <w:r>
        <w:rPr>
          <w:spacing w:val="-5"/>
          <w:sz w:val="24"/>
        </w:rPr>
        <w:t> </w:t>
      </w:r>
      <w:r>
        <w:rPr>
          <w:sz w:val="24"/>
        </w:rPr>
        <w:t>through</w:t>
      </w:r>
      <w:r>
        <w:rPr>
          <w:spacing w:val="-4"/>
          <w:sz w:val="24"/>
        </w:rPr>
        <w:t> </w:t>
      </w:r>
      <w:r>
        <w:rPr>
          <w:sz w:val="24"/>
        </w:rPr>
        <w:t>OB</w:t>
      </w:r>
      <w:r>
        <w:rPr>
          <w:spacing w:val="-4"/>
          <w:sz w:val="24"/>
        </w:rPr>
        <w:t> </w:t>
      </w:r>
      <w:r>
        <w:rPr>
          <w:sz w:val="24"/>
        </w:rPr>
        <w:t>are</w:t>
      </w:r>
      <w:r>
        <w:rPr>
          <w:spacing w:val="-4"/>
          <w:sz w:val="24"/>
        </w:rPr>
        <w:t> </w:t>
      </w:r>
      <w:r>
        <w:rPr>
          <w:sz w:val="24"/>
        </w:rPr>
        <w:t>defined</w:t>
      </w:r>
      <w:r>
        <w:rPr>
          <w:spacing w:val="-4"/>
          <w:sz w:val="24"/>
        </w:rPr>
        <w:t> </w:t>
      </w:r>
      <w:r>
        <w:rPr>
          <w:sz w:val="24"/>
        </w:rPr>
        <w:t>as</w:t>
      </w:r>
      <w:r>
        <w:rPr>
          <w:spacing w:val="-4"/>
          <w:sz w:val="24"/>
        </w:rPr>
        <w:t> </w:t>
      </w:r>
      <w:r>
        <w:rPr>
          <w:sz w:val="24"/>
        </w:rPr>
        <w:t>services</w:t>
      </w:r>
      <w:r>
        <w:rPr>
          <w:spacing w:val="-4"/>
          <w:sz w:val="24"/>
        </w:rPr>
        <w:t> </w:t>
      </w:r>
      <w:r>
        <w:rPr>
          <w:sz w:val="24"/>
        </w:rPr>
        <w:t>that</w:t>
      </w:r>
      <w:r>
        <w:rPr>
          <w:spacing w:val="-3"/>
          <w:sz w:val="24"/>
        </w:rPr>
        <w:t> </w:t>
      </w:r>
      <w:r>
        <w:rPr>
          <w:sz w:val="24"/>
        </w:rPr>
        <w:t>allow</w:t>
      </w:r>
      <w:r>
        <w:rPr>
          <w:spacing w:val="-4"/>
          <w:sz w:val="24"/>
        </w:rPr>
        <w:t> </w:t>
      </w:r>
      <w:r>
        <w:rPr>
          <w:sz w:val="24"/>
        </w:rPr>
        <w:t>control of one's life based on the choice of acceptable options which minimize reliance on others in decision making and in performing every day activities. </w:t>
      </w:r>
      <w:r>
        <w:rPr>
          <w:b/>
          <w:sz w:val="24"/>
        </w:rPr>
        <w:t>1</w:t>
      </w:r>
    </w:p>
    <w:p>
      <w:pPr>
        <w:pStyle w:val="BodyText"/>
        <w:spacing w:before="211"/>
        <w:ind w:left="359"/>
      </w:pPr>
      <w:r>
        <w:rPr/>
        <w:t>Instructions</w:t>
      </w:r>
      <w:r>
        <w:rPr>
          <w:spacing w:val="-5"/>
        </w:rPr>
        <w:t> </w:t>
      </w:r>
      <w:r>
        <w:rPr/>
        <w:t>to</w:t>
      </w:r>
      <w:r>
        <w:rPr>
          <w:spacing w:val="-2"/>
        </w:rPr>
        <w:t> </w:t>
      </w:r>
      <w:r>
        <w:rPr>
          <w:spacing w:val="-4"/>
        </w:rPr>
        <w:t>Staff</w:t>
      </w:r>
    </w:p>
    <w:p>
      <w:pPr>
        <w:pStyle w:val="ListParagraph"/>
        <w:numPr>
          <w:ilvl w:val="0"/>
          <w:numId w:val="279"/>
        </w:numPr>
        <w:tabs>
          <w:tab w:pos="692" w:val="left" w:leader="none"/>
        </w:tabs>
        <w:spacing w:line="208" w:lineRule="auto" w:before="233" w:after="0"/>
        <w:ind w:left="359" w:right="1044" w:firstLine="0"/>
        <w:jc w:val="left"/>
        <w:rPr>
          <w:sz w:val="24"/>
        </w:rPr>
      </w:pPr>
      <w:r>
        <w:rPr>
          <w:sz w:val="24"/>
        </w:rPr>
        <w:t>This includes management of one's affairs; participation in day to day life in the community; fulfilling a range of social roles; and making decisions leading to self determination</w:t>
      </w:r>
      <w:r>
        <w:rPr>
          <w:spacing w:val="-4"/>
          <w:sz w:val="24"/>
        </w:rPr>
        <w:t> </w:t>
      </w:r>
      <w:r>
        <w:rPr>
          <w:sz w:val="24"/>
        </w:rPr>
        <w:t>and</w:t>
      </w:r>
      <w:r>
        <w:rPr>
          <w:spacing w:val="-4"/>
          <w:sz w:val="24"/>
        </w:rPr>
        <w:t> </w:t>
      </w:r>
      <w:r>
        <w:rPr>
          <w:sz w:val="24"/>
        </w:rPr>
        <w:t>the</w:t>
      </w:r>
      <w:r>
        <w:rPr>
          <w:spacing w:val="-4"/>
          <w:sz w:val="24"/>
        </w:rPr>
        <w:t> </w:t>
      </w:r>
      <w:r>
        <w:rPr>
          <w:sz w:val="24"/>
        </w:rPr>
        <w:t>minimizing</w:t>
      </w:r>
      <w:r>
        <w:rPr>
          <w:spacing w:val="-4"/>
          <w:sz w:val="24"/>
        </w:rPr>
        <w:t> </w:t>
      </w:r>
      <w:r>
        <w:rPr>
          <w:sz w:val="24"/>
        </w:rPr>
        <w:t>of</w:t>
      </w:r>
      <w:r>
        <w:rPr>
          <w:spacing w:val="-3"/>
          <w:sz w:val="24"/>
        </w:rPr>
        <w:t> </w:t>
      </w:r>
      <w:r>
        <w:rPr>
          <w:sz w:val="24"/>
        </w:rPr>
        <w:t>psychological</w:t>
      </w:r>
      <w:r>
        <w:rPr>
          <w:spacing w:val="-4"/>
          <w:sz w:val="24"/>
        </w:rPr>
        <w:t> </w:t>
      </w:r>
      <w:r>
        <w:rPr>
          <w:sz w:val="24"/>
        </w:rPr>
        <w:t>or</w:t>
      </w:r>
      <w:r>
        <w:rPr>
          <w:spacing w:val="-3"/>
          <w:sz w:val="24"/>
        </w:rPr>
        <w:t> </w:t>
      </w:r>
      <w:r>
        <w:rPr>
          <w:sz w:val="24"/>
        </w:rPr>
        <w:t>physical</w:t>
      </w:r>
      <w:r>
        <w:rPr>
          <w:spacing w:val="-4"/>
          <w:sz w:val="24"/>
        </w:rPr>
        <w:t> </w:t>
      </w:r>
      <w:r>
        <w:rPr>
          <w:sz w:val="24"/>
        </w:rPr>
        <w:t>dependence</w:t>
      </w:r>
      <w:r>
        <w:rPr>
          <w:spacing w:val="-4"/>
          <w:sz w:val="24"/>
        </w:rPr>
        <w:t> </w:t>
      </w:r>
      <w:r>
        <w:rPr>
          <w:sz w:val="24"/>
        </w:rPr>
        <w:t>on</w:t>
      </w:r>
      <w:r>
        <w:rPr>
          <w:spacing w:val="-4"/>
          <w:sz w:val="24"/>
        </w:rPr>
        <w:t> </w:t>
      </w:r>
      <w:r>
        <w:rPr>
          <w:sz w:val="24"/>
        </w:rPr>
        <w:t>others.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7-1-05</w:t>
      </w:r>
      <w:r>
        <w:rPr>
          <w:sz w:val="22"/>
        </w:rPr>
        <w:tab/>
        <w:t>PT Memo 06-01</w:t>
      </w:r>
    </w:p>
    <w:p>
      <w:pPr>
        <w:tabs>
          <w:tab w:pos="1439" w:val="left" w:leader="none"/>
        </w:tabs>
        <w:spacing w:before="0"/>
        <w:ind w:left="359" w:right="2810" w:firstLine="1080"/>
        <w:jc w:val="left"/>
        <w:rPr>
          <w:sz w:val="22"/>
        </w:rPr>
      </w:pPr>
      <w:r>
        <w:rPr>
          <w:sz w:val="22"/>
        </w:rPr>
        <w:t>Permanent,</w:t>
      </w:r>
      <w:r>
        <w:rPr>
          <w:spacing w:val="-5"/>
          <w:sz w:val="22"/>
        </w:rPr>
        <w:t> </w:t>
      </w:r>
      <w:r>
        <w:rPr>
          <w:sz w:val="22"/>
        </w:rPr>
        <w:t>Independent</w:t>
      </w:r>
      <w:r>
        <w:rPr>
          <w:spacing w:val="-7"/>
          <w:sz w:val="22"/>
        </w:rPr>
        <w:t> </w:t>
      </w:r>
      <w:r>
        <w:rPr>
          <w:sz w:val="22"/>
        </w:rPr>
        <w:t>Living</w:t>
      </w:r>
      <w:r>
        <w:rPr>
          <w:spacing w:val="-6"/>
          <w:sz w:val="22"/>
        </w:rPr>
        <w:t> </w:t>
      </w:r>
      <w:r>
        <w:rPr>
          <w:sz w:val="22"/>
        </w:rPr>
        <w:t>policy</w:t>
      </w:r>
      <w:r>
        <w:rPr>
          <w:spacing w:val="-6"/>
          <w:sz w:val="22"/>
        </w:rPr>
        <w:t> </w:t>
      </w:r>
      <w:r>
        <w:rPr>
          <w:sz w:val="22"/>
        </w:rPr>
        <w:t>replaced</w:t>
      </w:r>
      <w:r>
        <w:rPr>
          <w:spacing w:val="-7"/>
          <w:sz w:val="22"/>
        </w:rPr>
        <w:t> </w:t>
      </w:r>
      <w:r>
        <w:rPr>
          <w:sz w:val="22"/>
        </w:rPr>
        <w:t>with</w:t>
      </w:r>
      <w:r>
        <w:rPr>
          <w:spacing w:val="-6"/>
          <w:sz w:val="22"/>
        </w:rPr>
        <w:t> </w:t>
      </w:r>
      <w:r>
        <w:rPr>
          <w:sz w:val="22"/>
        </w:rPr>
        <w:t>Older</w:t>
      </w:r>
      <w:r>
        <w:rPr>
          <w:spacing w:val="-6"/>
          <w:sz w:val="22"/>
        </w:rPr>
        <w:t> </w:t>
      </w:r>
      <w:r>
        <w:rPr>
          <w:sz w:val="22"/>
        </w:rPr>
        <w:t>Blind </w:t>
      </w:r>
      <w:r>
        <w:rPr>
          <w:spacing w:val="-2"/>
          <w:sz w:val="22"/>
        </w:rPr>
        <w:t>7-1-07</w:t>
      </w:r>
      <w:r>
        <w:rPr>
          <w:sz w:val="22"/>
        </w:rPr>
        <w:tab/>
        <w:t>PT Memo #08-01</w:t>
      </w:r>
    </w:p>
    <w:p>
      <w:pPr>
        <w:tabs>
          <w:tab w:pos="1439" w:val="left" w:leader="none"/>
        </w:tabs>
        <w:spacing w:before="0"/>
        <w:ind w:left="359" w:right="5978" w:firstLine="1080"/>
        <w:jc w:val="left"/>
        <w:rPr>
          <w:sz w:val="22"/>
        </w:rPr>
      </w:pPr>
      <w:r>
        <w:rPr>
          <w:sz w:val="22"/>
        </w:rPr>
        <w:t>Permanent,</w:t>
      </w:r>
      <w:r>
        <w:rPr>
          <w:spacing w:val="-9"/>
          <w:sz w:val="22"/>
        </w:rPr>
        <w:t> </w:t>
      </w:r>
      <w:r>
        <w:rPr>
          <w:sz w:val="22"/>
        </w:rPr>
        <w:t>changed</w:t>
      </w:r>
      <w:r>
        <w:rPr>
          <w:spacing w:val="-10"/>
          <w:sz w:val="22"/>
        </w:rPr>
        <w:t> </w:t>
      </w:r>
      <w:r>
        <w:rPr>
          <w:sz w:val="22"/>
        </w:rPr>
        <w:t>OL</w:t>
      </w:r>
      <w:r>
        <w:rPr>
          <w:spacing w:val="-10"/>
          <w:sz w:val="22"/>
        </w:rPr>
        <w:t> </w:t>
      </w:r>
      <w:r>
        <w:rPr>
          <w:sz w:val="22"/>
        </w:rPr>
        <w:t>to</w:t>
      </w:r>
      <w:r>
        <w:rPr>
          <w:spacing w:val="-10"/>
          <w:sz w:val="22"/>
        </w:rPr>
        <w:t> </w:t>
      </w:r>
      <w:r>
        <w:rPr>
          <w:sz w:val="22"/>
        </w:rPr>
        <w:t>OB </w:t>
      </w:r>
      <w:r>
        <w:rPr>
          <w:spacing w:val="-2"/>
          <w:sz w:val="22"/>
        </w:rPr>
        <w:t>7-1-11</w:t>
      </w:r>
      <w:r>
        <w:rPr>
          <w:sz w:val="22"/>
        </w:rPr>
        <w:tab/>
        <w:t>PT Memo #12-01</w:t>
      </w:r>
    </w:p>
    <w:p>
      <w:pPr>
        <w:tabs>
          <w:tab w:pos="1439" w:val="left" w:leader="none"/>
        </w:tabs>
        <w:spacing w:before="0"/>
        <w:ind w:left="359" w:right="5806" w:firstLine="1080"/>
        <w:jc w:val="left"/>
        <w:rPr>
          <w:sz w:val="22"/>
        </w:rPr>
      </w:pPr>
      <w:r>
        <w:rPr>
          <w:sz w:val="22"/>
        </w:rPr>
        <w:t>Permanent, updating language </w:t>
      </w:r>
      <w:r>
        <w:rPr>
          <w:spacing w:val="-2"/>
          <w:sz w:val="22"/>
        </w:rPr>
        <w:t>9-11-20</w:t>
      </w:r>
      <w:r>
        <w:rPr>
          <w:sz w:val="22"/>
        </w:rPr>
        <w:tab/>
        <w:t>Removed</w:t>
      </w:r>
      <w:r>
        <w:rPr>
          <w:spacing w:val="-16"/>
          <w:sz w:val="22"/>
        </w:rPr>
        <w:t> </w:t>
      </w:r>
      <w:r>
        <w:rPr>
          <w:sz w:val="22"/>
        </w:rPr>
        <w:t>homemaker</w:t>
      </w:r>
      <w:r>
        <w:rPr>
          <w:spacing w:val="-15"/>
          <w:sz w:val="22"/>
        </w:rPr>
        <w:t> </w:t>
      </w:r>
      <w:r>
        <w:rPr>
          <w:sz w:val="22"/>
        </w:rPr>
        <w:t>language.</w:t>
      </w:r>
    </w:p>
    <w:p>
      <w:pPr>
        <w:spacing w:after="0"/>
        <w:jc w:val="left"/>
        <w:rPr>
          <w:sz w:val="22"/>
        </w:rPr>
        <w:sectPr>
          <w:pgSz w:w="12240" w:h="15840"/>
          <w:pgMar w:top="1340" w:bottom="280" w:left="1080" w:right="720"/>
        </w:sectPr>
      </w:pPr>
    </w:p>
    <w:p>
      <w:pPr>
        <w:pStyle w:val="Heading2"/>
      </w:pPr>
      <w:bookmarkStart w:name="612:10-11-2.  Basic eligibility requirem" w:id="259"/>
      <w:bookmarkEnd w:id="259"/>
      <w:r>
        <w:rPr>
          <w:b w:val="0"/>
        </w:rPr>
      </w:r>
      <w:r>
        <w:rPr/>
        <w:t>612:10-11-2.</w:t>
      </w:r>
      <w:r>
        <w:rPr>
          <w:spacing w:val="58"/>
        </w:rPr>
        <w:t> </w:t>
      </w:r>
      <w:r>
        <w:rPr/>
        <w:t>Basic</w:t>
      </w:r>
      <w:r>
        <w:rPr>
          <w:spacing w:val="-4"/>
        </w:rPr>
        <w:t> </w:t>
      </w:r>
      <w:r>
        <w:rPr/>
        <w:t>eligibility</w:t>
      </w:r>
      <w:r>
        <w:rPr>
          <w:spacing w:val="-4"/>
        </w:rPr>
        <w:t> </w:t>
      </w:r>
      <w:r>
        <w:rPr>
          <w:spacing w:val="-2"/>
        </w:rPr>
        <w:t>requirements</w:t>
      </w:r>
    </w:p>
    <w:p>
      <w:pPr>
        <w:pStyle w:val="ListParagraph"/>
        <w:numPr>
          <w:ilvl w:val="1"/>
          <w:numId w:val="279"/>
        </w:numPr>
        <w:tabs>
          <w:tab w:pos="786" w:val="left" w:leader="none"/>
        </w:tabs>
        <w:spacing w:line="240" w:lineRule="auto" w:before="204" w:after="0"/>
        <w:ind w:left="786" w:right="0" w:hanging="426"/>
        <w:jc w:val="both"/>
        <w:rPr>
          <w:sz w:val="24"/>
        </w:rPr>
      </w:pPr>
      <w:r>
        <w:rPr>
          <w:sz w:val="24"/>
        </w:rPr>
        <w:t>The</w:t>
      </w:r>
      <w:r>
        <w:rPr>
          <w:spacing w:val="-5"/>
          <w:sz w:val="24"/>
        </w:rPr>
        <w:t> </w:t>
      </w:r>
      <w:r>
        <w:rPr>
          <w:sz w:val="24"/>
        </w:rPr>
        <w:t>basic</w:t>
      </w:r>
      <w:r>
        <w:rPr>
          <w:spacing w:val="-3"/>
          <w:sz w:val="24"/>
        </w:rPr>
        <w:t> </w:t>
      </w:r>
      <w:r>
        <w:rPr>
          <w:sz w:val="24"/>
        </w:rPr>
        <w:t>criteria</w:t>
      </w:r>
      <w:r>
        <w:rPr>
          <w:spacing w:val="-3"/>
          <w:sz w:val="24"/>
        </w:rPr>
        <w:t> </w:t>
      </w:r>
      <w:r>
        <w:rPr>
          <w:sz w:val="24"/>
        </w:rPr>
        <w:t>for</w:t>
      </w:r>
      <w:r>
        <w:rPr>
          <w:spacing w:val="-2"/>
          <w:sz w:val="24"/>
        </w:rPr>
        <w:t> </w:t>
      </w:r>
      <w:r>
        <w:rPr>
          <w:sz w:val="24"/>
        </w:rPr>
        <w:t>eligibility</w:t>
      </w:r>
      <w:r>
        <w:rPr>
          <w:spacing w:val="-3"/>
          <w:sz w:val="24"/>
        </w:rPr>
        <w:t> </w:t>
      </w:r>
      <w:r>
        <w:rPr>
          <w:sz w:val="24"/>
        </w:rPr>
        <w:t>for</w:t>
      </w:r>
      <w:r>
        <w:rPr>
          <w:spacing w:val="-4"/>
          <w:sz w:val="24"/>
        </w:rPr>
        <w:t> </w:t>
      </w:r>
      <w:r>
        <w:rPr>
          <w:sz w:val="24"/>
        </w:rPr>
        <w:t>OB</w:t>
      </w:r>
      <w:r>
        <w:rPr>
          <w:spacing w:val="-3"/>
          <w:sz w:val="24"/>
        </w:rPr>
        <w:t> </w:t>
      </w:r>
      <w:r>
        <w:rPr>
          <w:sz w:val="24"/>
        </w:rPr>
        <w:t>services</w:t>
      </w:r>
      <w:r>
        <w:rPr>
          <w:spacing w:val="-2"/>
          <w:sz w:val="24"/>
        </w:rPr>
        <w:t> </w:t>
      </w:r>
      <w:r>
        <w:rPr>
          <w:spacing w:val="-4"/>
          <w:sz w:val="24"/>
        </w:rPr>
        <w:t>are:</w:t>
      </w:r>
    </w:p>
    <w:p>
      <w:pPr>
        <w:pStyle w:val="ListParagraph"/>
        <w:numPr>
          <w:ilvl w:val="2"/>
          <w:numId w:val="279"/>
        </w:numPr>
        <w:tabs>
          <w:tab w:pos="1217" w:val="left" w:leader="none"/>
        </w:tabs>
        <w:spacing w:line="240" w:lineRule="auto" w:before="204" w:after="0"/>
        <w:ind w:left="1217" w:right="0" w:hanging="425"/>
        <w:jc w:val="left"/>
        <w:rPr>
          <w:sz w:val="24"/>
        </w:rPr>
      </w:pPr>
      <w:r>
        <w:rPr>
          <w:sz w:val="24"/>
        </w:rPr>
        <w:t>the</w:t>
      </w:r>
      <w:r>
        <w:rPr>
          <w:spacing w:val="-4"/>
          <w:sz w:val="24"/>
        </w:rPr>
        <w:t> </w:t>
      </w:r>
      <w:r>
        <w:rPr>
          <w:sz w:val="24"/>
        </w:rPr>
        <w:t>consumer's</w:t>
      </w:r>
      <w:r>
        <w:rPr>
          <w:spacing w:val="-3"/>
          <w:sz w:val="24"/>
        </w:rPr>
        <w:t> </w:t>
      </w:r>
      <w:r>
        <w:rPr>
          <w:sz w:val="24"/>
        </w:rPr>
        <w:t>primary</w:t>
      </w:r>
      <w:r>
        <w:rPr>
          <w:spacing w:val="-3"/>
          <w:sz w:val="24"/>
        </w:rPr>
        <w:t> </w:t>
      </w:r>
      <w:r>
        <w:rPr>
          <w:sz w:val="24"/>
        </w:rPr>
        <w:t>disability</w:t>
      </w:r>
      <w:r>
        <w:rPr>
          <w:spacing w:val="-3"/>
          <w:sz w:val="24"/>
        </w:rPr>
        <w:t> </w:t>
      </w:r>
      <w:r>
        <w:rPr>
          <w:sz w:val="24"/>
        </w:rPr>
        <w:t>is</w:t>
      </w:r>
      <w:r>
        <w:rPr>
          <w:spacing w:val="-3"/>
          <w:sz w:val="24"/>
        </w:rPr>
        <w:t> </w:t>
      </w:r>
      <w:r>
        <w:rPr>
          <w:sz w:val="24"/>
        </w:rPr>
        <w:t>defined</w:t>
      </w:r>
      <w:r>
        <w:rPr>
          <w:spacing w:val="-3"/>
          <w:sz w:val="24"/>
        </w:rPr>
        <w:t> </w:t>
      </w:r>
      <w:r>
        <w:rPr>
          <w:sz w:val="24"/>
        </w:rPr>
        <w:t>as</w:t>
      </w:r>
      <w:r>
        <w:rPr>
          <w:spacing w:val="-3"/>
          <w:sz w:val="24"/>
        </w:rPr>
        <w:t> </w:t>
      </w:r>
      <w:r>
        <w:rPr>
          <w:sz w:val="24"/>
        </w:rPr>
        <w:t>legal</w:t>
      </w:r>
      <w:r>
        <w:rPr>
          <w:spacing w:val="-2"/>
          <w:sz w:val="24"/>
        </w:rPr>
        <w:t> blindness;</w:t>
      </w:r>
    </w:p>
    <w:p>
      <w:pPr>
        <w:pStyle w:val="ListParagraph"/>
        <w:numPr>
          <w:ilvl w:val="3"/>
          <w:numId w:val="279"/>
        </w:numPr>
        <w:tabs>
          <w:tab w:pos="1677" w:val="left" w:leader="none"/>
        </w:tabs>
        <w:spacing w:line="208" w:lineRule="auto" w:before="233" w:after="0"/>
        <w:ind w:left="1224" w:right="860" w:firstLine="0"/>
        <w:jc w:val="left"/>
        <w:rPr>
          <w:sz w:val="24"/>
        </w:rPr>
      </w:pPr>
      <w:r>
        <w:rPr>
          <w:sz w:val="24"/>
        </w:rPr>
        <w:t>Legal</w:t>
      </w:r>
      <w:r>
        <w:rPr>
          <w:spacing w:val="-3"/>
          <w:sz w:val="24"/>
        </w:rPr>
        <w:t> </w:t>
      </w:r>
      <w:r>
        <w:rPr>
          <w:sz w:val="24"/>
        </w:rPr>
        <w:t>blindness</w:t>
      </w:r>
      <w:r>
        <w:rPr>
          <w:spacing w:val="-3"/>
          <w:sz w:val="24"/>
        </w:rPr>
        <w:t> </w:t>
      </w:r>
      <w:r>
        <w:rPr>
          <w:sz w:val="24"/>
        </w:rPr>
        <w:t>is</w:t>
      </w:r>
      <w:r>
        <w:rPr>
          <w:spacing w:val="-3"/>
          <w:sz w:val="24"/>
        </w:rPr>
        <w:t> </w:t>
      </w:r>
      <w:r>
        <w:rPr>
          <w:sz w:val="24"/>
        </w:rPr>
        <w:t>defined</w:t>
      </w:r>
      <w:r>
        <w:rPr>
          <w:spacing w:val="-3"/>
          <w:sz w:val="24"/>
        </w:rPr>
        <w:t> </w:t>
      </w:r>
      <w:r>
        <w:rPr>
          <w:sz w:val="24"/>
        </w:rPr>
        <w:t>as</w:t>
      </w:r>
      <w:r>
        <w:rPr>
          <w:spacing w:val="-3"/>
          <w:sz w:val="24"/>
        </w:rPr>
        <w:t> </w:t>
      </w:r>
      <w:r>
        <w:rPr>
          <w:sz w:val="24"/>
        </w:rPr>
        <w:t>a</w:t>
      </w:r>
      <w:r>
        <w:rPr>
          <w:spacing w:val="-3"/>
          <w:sz w:val="24"/>
        </w:rPr>
        <w:t> </w:t>
      </w:r>
      <w:r>
        <w:rPr>
          <w:sz w:val="24"/>
        </w:rPr>
        <w:t>Visual</w:t>
      </w:r>
      <w:r>
        <w:rPr>
          <w:spacing w:val="-2"/>
          <w:sz w:val="24"/>
        </w:rPr>
        <w:t> </w:t>
      </w:r>
      <w:r>
        <w:rPr>
          <w:sz w:val="24"/>
        </w:rPr>
        <w:t>Acuity</w:t>
      </w:r>
      <w:r>
        <w:rPr>
          <w:spacing w:val="-3"/>
          <w:sz w:val="24"/>
        </w:rPr>
        <w:t> </w:t>
      </w:r>
      <w:r>
        <w:rPr>
          <w:sz w:val="24"/>
        </w:rPr>
        <w:t>of</w:t>
      </w:r>
      <w:r>
        <w:rPr>
          <w:spacing w:val="-2"/>
          <w:sz w:val="24"/>
        </w:rPr>
        <w:t> </w:t>
      </w:r>
      <w:r>
        <w:rPr>
          <w:sz w:val="24"/>
        </w:rPr>
        <w:t>20/200</w:t>
      </w:r>
      <w:r>
        <w:rPr>
          <w:spacing w:val="-3"/>
          <w:sz w:val="24"/>
        </w:rPr>
        <w:t> </w:t>
      </w:r>
      <w:r>
        <w:rPr>
          <w:sz w:val="24"/>
        </w:rPr>
        <w:t>or</w:t>
      </w:r>
      <w:r>
        <w:rPr>
          <w:spacing w:val="-2"/>
          <w:sz w:val="24"/>
        </w:rPr>
        <w:t> </w:t>
      </w:r>
      <w:r>
        <w:rPr>
          <w:sz w:val="24"/>
        </w:rPr>
        <w:t>less</w:t>
      </w:r>
      <w:r>
        <w:rPr>
          <w:spacing w:val="-3"/>
          <w:sz w:val="24"/>
        </w:rPr>
        <w:t> </w:t>
      </w:r>
      <w:r>
        <w:rPr>
          <w:sz w:val="24"/>
        </w:rPr>
        <w:t>in</w:t>
      </w:r>
      <w:r>
        <w:rPr>
          <w:spacing w:val="-3"/>
          <w:sz w:val="24"/>
        </w:rPr>
        <w:t> </w:t>
      </w:r>
      <w:r>
        <w:rPr>
          <w:sz w:val="24"/>
        </w:rPr>
        <w:t>the</w:t>
      </w:r>
      <w:r>
        <w:rPr>
          <w:spacing w:val="-3"/>
          <w:sz w:val="24"/>
        </w:rPr>
        <w:t> </w:t>
      </w:r>
      <w:r>
        <w:rPr>
          <w:sz w:val="24"/>
        </w:rPr>
        <w:t>better eye with best correction, or a visual field of 20 degrees or less. Best correction means the best visual acuity that can be obtained with normal prescription lenses. If there is a difference in near and distance acuity, the worse acuity is used for determination of eligibility.</w:t>
      </w:r>
    </w:p>
    <w:p>
      <w:pPr>
        <w:pStyle w:val="ListParagraph"/>
        <w:numPr>
          <w:ilvl w:val="3"/>
          <w:numId w:val="279"/>
        </w:numPr>
        <w:tabs>
          <w:tab w:pos="1676" w:val="left" w:leader="none"/>
        </w:tabs>
        <w:spacing w:line="208" w:lineRule="auto" w:before="239" w:after="0"/>
        <w:ind w:left="1223" w:right="821" w:firstLine="0"/>
        <w:jc w:val="left"/>
        <w:rPr>
          <w:sz w:val="24"/>
        </w:rPr>
      </w:pPr>
      <w:r>
        <w:rPr>
          <w:sz w:val="24"/>
        </w:rPr>
        <w:t>Documentation of legal blindness should be obtained from an eye care physician.</w:t>
      </w:r>
      <w:r>
        <w:rPr>
          <w:spacing w:val="-3"/>
          <w:sz w:val="24"/>
        </w:rPr>
        <w:t> </w:t>
      </w:r>
      <w:r>
        <w:rPr>
          <w:sz w:val="24"/>
        </w:rPr>
        <w:t>If</w:t>
      </w:r>
      <w:r>
        <w:rPr>
          <w:spacing w:val="-3"/>
          <w:sz w:val="24"/>
        </w:rPr>
        <w:t> </w:t>
      </w:r>
      <w:r>
        <w:rPr>
          <w:sz w:val="24"/>
        </w:rPr>
        <w:t>only</w:t>
      </w:r>
      <w:r>
        <w:rPr>
          <w:spacing w:val="-4"/>
          <w:sz w:val="24"/>
        </w:rPr>
        <w:t> </w:t>
      </w:r>
      <w:r>
        <w:rPr>
          <w:sz w:val="24"/>
        </w:rPr>
        <w:t>a</w:t>
      </w:r>
      <w:r>
        <w:rPr>
          <w:spacing w:val="-4"/>
          <w:sz w:val="24"/>
        </w:rPr>
        <w:t> </w:t>
      </w:r>
      <w:r>
        <w:rPr>
          <w:sz w:val="24"/>
        </w:rPr>
        <w:t>general</w:t>
      </w:r>
      <w:r>
        <w:rPr>
          <w:spacing w:val="-4"/>
          <w:sz w:val="24"/>
        </w:rPr>
        <w:t> </w:t>
      </w:r>
      <w:r>
        <w:rPr>
          <w:sz w:val="24"/>
        </w:rPr>
        <w:t>medical</w:t>
      </w:r>
      <w:r>
        <w:rPr>
          <w:spacing w:val="-4"/>
          <w:sz w:val="24"/>
        </w:rPr>
        <w:t> </w:t>
      </w:r>
      <w:r>
        <w:rPr>
          <w:sz w:val="24"/>
        </w:rPr>
        <w:t>report</w:t>
      </w:r>
      <w:r>
        <w:rPr>
          <w:spacing w:val="-3"/>
          <w:sz w:val="24"/>
        </w:rPr>
        <w:t> </w:t>
      </w:r>
      <w:r>
        <w:rPr>
          <w:sz w:val="24"/>
        </w:rPr>
        <w:t>is</w:t>
      </w:r>
      <w:r>
        <w:rPr>
          <w:spacing w:val="-4"/>
          <w:sz w:val="24"/>
        </w:rPr>
        <w:t> </w:t>
      </w:r>
      <w:r>
        <w:rPr>
          <w:sz w:val="24"/>
        </w:rPr>
        <w:t>available</w:t>
      </w:r>
      <w:r>
        <w:rPr>
          <w:spacing w:val="-3"/>
          <w:sz w:val="24"/>
        </w:rPr>
        <w:t> </w:t>
      </w:r>
      <w:r>
        <w:rPr>
          <w:sz w:val="24"/>
        </w:rPr>
        <w:t>stating</w:t>
      </w:r>
      <w:r>
        <w:rPr>
          <w:spacing w:val="-4"/>
          <w:sz w:val="24"/>
        </w:rPr>
        <w:t> </w:t>
      </w:r>
      <w:r>
        <w:rPr>
          <w:sz w:val="24"/>
        </w:rPr>
        <w:t>legal</w:t>
      </w:r>
      <w:r>
        <w:rPr>
          <w:spacing w:val="-4"/>
          <w:sz w:val="24"/>
        </w:rPr>
        <w:t> </w:t>
      </w:r>
      <w:r>
        <w:rPr>
          <w:sz w:val="24"/>
        </w:rPr>
        <w:t>blindness</w:t>
      </w:r>
      <w:r>
        <w:rPr>
          <w:spacing w:val="-3"/>
          <w:sz w:val="24"/>
        </w:rPr>
        <w:t> </w:t>
      </w:r>
      <w:r>
        <w:rPr>
          <w:sz w:val="24"/>
        </w:rPr>
        <w:t>or if documentation is unobtainable, a functional assessment consisting of a detailed explanation of how the consumer functions with distance and near acuity will be provided.</w:t>
      </w:r>
    </w:p>
    <w:p>
      <w:pPr>
        <w:pStyle w:val="ListParagraph"/>
        <w:numPr>
          <w:ilvl w:val="2"/>
          <w:numId w:val="279"/>
        </w:numPr>
        <w:tabs>
          <w:tab w:pos="1216" w:val="left" w:leader="none"/>
        </w:tabs>
        <w:spacing w:line="240" w:lineRule="auto" w:before="211" w:after="0"/>
        <w:ind w:left="1216" w:right="0" w:hanging="425"/>
        <w:jc w:val="left"/>
        <w:rPr>
          <w:sz w:val="24"/>
        </w:rPr>
      </w:pPr>
      <w:r>
        <w:rPr>
          <w:sz w:val="24"/>
        </w:rPr>
        <w:t>the</w:t>
      </w:r>
      <w:r>
        <w:rPr>
          <w:spacing w:val="-4"/>
          <w:sz w:val="24"/>
        </w:rPr>
        <w:t> </w:t>
      </w:r>
      <w:r>
        <w:rPr>
          <w:sz w:val="24"/>
        </w:rPr>
        <w:t>age</w:t>
      </w:r>
      <w:r>
        <w:rPr>
          <w:spacing w:val="-2"/>
          <w:sz w:val="24"/>
        </w:rPr>
        <w:t> </w:t>
      </w:r>
      <w:r>
        <w:rPr>
          <w:sz w:val="24"/>
        </w:rPr>
        <w:t>of</w:t>
      </w:r>
      <w:r>
        <w:rPr>
          <w:spacing w:val="-3"/>
          <w:sz w:val="24"/>
        </w:rPr>
        <w:t> </w:t>
      </w:r>
      <w:r>
        <w:rPr>
          <w:sz w:val="24"/>
        </w:rPr>
        <w:t>the</w:t>
      </w:r>
      <w:r>
        <w:rPr>
          <w:spacing w:val="-2"/>
          <w:sz w:val="24"/>
        </w:rPr>
        <w:t> </w:t>
      </w:r>
      <w:r>
        <w:rPr>
          <w:sz w:val="24"/>
        </w:rPr>
        <w:t>individual</w:t>
      </w:r>
      <w:r>
        <w:rPr>
          <w:spacing w:val="-1"/>
          <w:sz w:val="24"/>
        </w:rPr>
        <w:t> </w:t>
      </w:r>
      <w:r>
        <w:rPr>
          <w:sz w:val="24"/>
        </w:rPr>
        <w:t>is</w:t>
      </w:r>
      <w:r>
        <w:rPr>
          <w:spacing w:val="-2"/>
          <w:sz w:val="24"/>
        </w:rPr>
        <w:t> </w:t>
      </w:r>
      <w:r>
        <w:rPr>
          <w:sz w:val="24"/>
        </w:rPr>
        <w:t>55</w:t>
      </w:r>
      <w:r>
        <w:rPr>
          <w:spacing w:val="-2"/>
          <w:sz w:val="24"/>
        </w:rPr>
        <w:t> </w:t>
      </w:r>
      <w:r>
        <w:rPr>
          <w:sz w:val="24"/>
        </w:rPr>
        <w:t>years</w:t>
      </w:r>
      <w:r>
        <w:rPr>
          <w:spacing w:val="-2"/>
          <w:sz w:val="24"/>
        </w:rPr>
        <w:t> </w:t>
      </w:r>
      <w:r>
        <w:rPr>
          <w:sz w:val="24"/>
        </w:rPr>
        <w:t>or </w:t>
      </w:r>
      <w:r>
        <w:rPr>
          <w:spacing w:val="-2"/>
          <w:sz w:val="24"/>
        </w:rPr>
        <w:t>older;</w:t>
      </w:r>
    </w:p>
    <w:p>
      <w:pPr>
        <w:pStyle w:val="ListParagraph"/>
        <w:numPr>
          <w:ilvl w:val="2"/>
          <w:numId w:val="279"/>
        </w:numPr>
        <w:tabs>
          <w:tab w:pos="1152" w:val="left" w:leader="none"/>
        </w:tabs>
        <w:spacing w:line="208" w:lineRule="auto" w:before="233" w:after="0"/>
        <w:ind w:left="792" w:right="1134" w:firstLine="0"/>
        <w:jc w:val="left"/>
        <w:rPr>
          <w:sz w:val="24"/>
        </w:rPr>
      </w:pPr>
      <w:r>
        <w:rPr>
          <w:sz w:val="24"/>
        </w:rPr>
        <w:t>there</w:t>
      </w:r>
      <w:r>
        <w:rPr>
          <w:spacing w:val="-5"/>
          <w:sz w:val="24"/>
        </w:rPr>
        <w:t> </w:t>
      </w:r>
      <w:r>
        <w:rPr>
          <w:sz w:val="24"/>
        </w:rPr>
        <w:t>is</w:t>
      </w:r>
      <w:r>
        <w:rPr>
          <w:spacing w:val="-5"/>
          <w:sz w:val="24"/>
        </w:rPr>
        <w:t> </w:t>
      </w:r>
      <w:r>
        <w:rPr>
          <w:sz w:val="24"/>
        </w:rPr>
        <w:t>a</w:t>
      </w:r>
      <w:r>
        <w:rPr>
          <w:spacing w:val="-4"/>
          <w:sz w:val="24"/>
        </w:rPr>
        <w:t> </w:t>
      </w:r>
      <w:r>
        <w:rPr>
          <w:sz w:val="24"/>
        </w:rPr>
        <w:t>reasonable</w:t>
      </w:r>
      <w:r>
        <w:rPr>
          <w:spacing w:val="-4"/>
          <w:sz w:val="24"/>
        </w:rPr>
        <w:t> </w:t>
      </w:r>
      <w:r>
        <w:rPr>
          <w:sz w:val="24"/>
        </w:rPr>
        <w:t>expectation</w:t>
      </w:r>
      <w:r>
        <w:rPr>
          <w:spacing w:val="-4"/>
          <w:sz w:val="24"/>
        </w:rPr>
        <w:t> </w:t>
      </w:r>
      <w:r>
        <w:rPr>
          <w:sz w:val="24"/>
        </w:rPr>
        <w:t>that</w:t>
      </w:r>
      <w:r>
        <w:rPr>
          <w:spacing w:val="-3"/>
          <w:sz w:val="24"/>
        </w:rPr>
        <w:t> </w:t>
      </w:r>
      <w:r>
        <w:rPr>
          <w:sz w:val="24"/>
        </w:rPr>
        <w:t>OB</w:t>
      </w:r>
      <w:r>
        <w:rPr>
          <w:spacing w:val="-6"/>
          <w:sz w:val="24"/>
        </w:rPr>
        <w:t> </w:t>
      </w:r>
      <w:r>
        <w:rPr>
          <w:sz w:val="24"/>
        </w:rPr>
        <w:t>services</w:t>
      </w:r>
      <w:r>
        <w:rPr>
          <w:spacing w:val="-4"/>
          <w:sz w:val="24"/>
        </w:rPr>
        <w:t> </w:t>
      </w:r>
      <w:r>
        <w:rPr>
          <w:sz w:val="24"/>
        </w:rPr>
        <w:t>will</w:t>
      </w:r>
      <w:r>
        <w:rPr>
          <w:spacing w:val="-4"/>
          <w:sz w:val="24"/>
        </w:rPr>
        <w:t> </w:t>
      </w:r>
      <w:r>
        <w:rPr>
          <w:sz w:val="24"/>
        </w:rPr>
        <w:t>significantly</w:t>
      </w:r>
      <w:r>
        <w:rPr>
          <w:spacing w:val="-4"/>
          <w:sz w:val="24"/>
        </w:rPr>
        <w:t> </w:t>
      </w:r>
      <w:r>
        <w:rPr>
          <w:sz w:val="24"/>
        </w:rPr>
        <w:t>assist</w:t>
      </w:r>
      <w:r>
        <w:rPr>
          <w:spacing w:val="-3"/>
          <w:sz w:val="24"/>
        </w:rPr>
        <w:t> </w:t>
      </w:r>
      <w:r>
        <w:rPr>
          <w:sz w:val="24"/>
        </w:rPr>
        <w:t>the individual to improve his/her ability to function independently or improve his/her quality of life; and</w:t>
      </w:r>
    </w:p>
    <w:p>
      <w:pPr>
        <w:pStyle w:val="ListParagraph"/>
        <w:numPr>
          <w:ilvl w:val="2"/>
          <w:numId w:val="279"/>
        </w:numPr>
        <w:tabs>
          <w:tab w:pos="1152" w:val="left" w:leader="none"/>
        </w:tabs>
        <w:spacing w:line="208" w:lineRule="auto" w:before="240" w:after="0"/>
        <w:ind w:left="792" w:right="894" w:firstLine="0"/>
        <w:jc w:val="left"/>
        <w:rPr>
          <w:sz w:val="24"/>
        </w:rPr>
      </w:pPr>
      <w:r>
        <w:rPr>
          <w:sz w:val="24"/>
        </w:rPr>
        <w:t>the</w:t>
      </w:r>
      <w:r>
        <w:rPr>
          <w:spacing w:val="-4"/>
          <w:sz w:val="24"/>
        </w:rPr>
        <w:t> </w:t>
      </w:r>
      <w:r>
        <w:rPr>
          <w:sz w:val="24"/>
        </w:rPr>
        <w:t>individual</w:t>
      </w:r>
      <w:r>
        <w:rPr>
          <w:spacing w:val="-4"/>
          <w:sz w:val="24"/>
        </w:rPr>
        <w:t> </w:t>
      </w:r>
      <w:r>
        <w:rPr>
          <w:sz w:val="24"/>
        </w:rPr>
        <w:t>does</w:t>
      </w:r>
      <w:r>
        <w:rPr>
          <w:spacing w:val="-3"/>
          <w:sz w:val="24"/>
        </w:rPr>
        <w:t> </w:t>
      </w:r>
      <w:r>
        <w:rPr>
          <w:sz w:val="24"/>
        </w:rPr>
        <w:t>not</w:t>
      </w:r>
      <w:r>
        <w:rPr>
          <w:spacing w:val="-3"/>
          <w:sz w:val="24"/>
        </w:rPr>
        <w:t> </w:t>
      </w:r>
      <w:r>
        <w:rPr>
          <w:sz w:val="24"/>
        </w:rPr>
        <w:t>meet</w:t>
      </w:r>
      <w:r>
        <w:rPr>
          <w:spacing w:val="-5"/>
          <w:sz w:val="24"/>
        </w:rPr>
        <w:t> </w:t>
      </w:r>
      <w:r>
        <w:rPr>
          <w:sz w:val="24"/>
        </w:rPr>
        <w:t>the</w:t>
      </w:r>
      <w:r>
        <w:rPr>
          <w:spacing w:val="-4"/>
          <w:sz w:val="24"/>
        </w:rPr>
        <w:t> </w:t>
      </w:r>
      <w:r>
        <w:rPr>
          <w:sz w:val="24"/>
        </w:rPr>
        <w:t>eligibility</w:t>
      </w:r>
      <w:r>
        <w:rPr>
          <w:spacing w:val="-4"/>
          <w:sz w:val="24"/>
        </w:rPr>
        <w:t> </w:t>
      </w:r>
      <w:r>
        <w:rPr>
          <w:sz w:val="24"/>
        </w:rPr>
        <w:t>criteria</w:t>
      </w:r>
      <w:r>
        <w:rPr>
          <w:spacing w:val="-4"/>
          <w:sz w:val="24"/>
        </w:rPr>
        <w:t> </w:t>
      </w:r>
      <w:r>
        <w:rPr>
          <w:sz w:val="24"/>
        </w:rPr>
        <w:t>to</w:t>
      </w:r>
      <w:r>
        <w:rPr>
          <w:spacing w:val="-5"/>
          <w:sz w:val="24"/>
        </w:rPr>
        <w:t> </w:t>
      </w:r>
      <w:r>
        <w:rPr>
          <w:sz w:val="24"/>
        </w:rPr>
        <w:t>participate</w:t>
      </w:r>
      <w:r>
        <w:rPr>
          <w:spacing w:val="-4"/>
          <w:sz w:val="24"/>
        </w:rPr>
        <w:t> </w:t>
      </w:r>
      <w:r>
        <w:rPr>
          <w:sz w:val="24"/>
        </w:rPr>
        <w:t>in</w:t>
      </w:r>
      <w:r>
        <w:rPr>
          <w:spacing w:val="-4"/>
          <w:sz w:val="24"/>
        </w:rPr>
        <w:t> </w:t>
      </w:r>
      <w:r>
        <w:rPr>
          <w:sz w:val="24"/>
        </w:rPr>
        <w:t>the</w:t>
      </w:r>
      <w:r>
        <w:rPr>
          <w:spacing w:val="-4"/>
          <w:sz w:val="24"/>
        </w:rPr>
        <w:t> </w:t>
      </w:r>
      <w:r>
        <w:rPr>
          <w:sz w:val="24"/>
        </w:rPr>
        <w:t>vocational rehabilitation program.</w:t>
      </w:r>
    </w:p>
    <w:p>
      <w:pPr>
        <w:pStyle w:val="ListParagraph"/>
        <w:numPr>
          <w:ilvl w:val="1"/>
          <w:numId w:val="279"/>
        </w:numPr>
        <w:tabs>
          <w:tab w:pos="786" w:val="left" w:leader="none"/>
        </w:tabs>
        <w:spacing w:line="208" w:lineRule="auto" w:before="239" w:after="0"/>
        <w:ind w:left="360" w:right="1071" w:firstLine="0"/>
        <w:jc w:val="both"/>
        <w:rPr>
          <w:sz w:val="24"/>
        </w:rPr>
      </w:pPr>
      <w:r>
        <w:rPr>
          <w:sz w:val="24"/>
        </w:rPr>
        <w:t>The guidelines for application for OB services are the same as guidelines for the application</w:t>
      </w:r>
      <w:r>
        <w:rPr>
          <w:spacing w:val="-3"/>
          <w:sz w:val="24"/>
        </w:rPr>
        <w:t> </w:t>
      </w:r>
      <w:r>
        <w:rPr>
          <w:sz w:val="24"/>
        </w:rPr>
        <w:t>for</w:t>
      </w:r>
      <w:r>
        <w:rPr>
          <w:spacing w:val="-3"/>
          <w:sz w:val="24"/>
        </w:rPr>
        <w:t> </w:t>
      </w:r>
      <w:r>
        <w:rPr>
          <w:sz w:val="24"/>
        </w:rPr>
        <w:t>vocational</w:t>
      </w:r>
      <w:r>
        <w:rPr>
          <w:spacing w:val="-4"/>
          <w:sz w:val="24"/>
        </w:rPr>
        <w:t> </w:t>
      </w:r>
      <w:r>
        <w:rPr>
          <w:sz w:val="24"/>
        </w:rPr>
        <w:t>rehabilitation</w:t>
      </w:r>
      <w:r>
        <w:rPr>
          <w:spacing w:val="-4"/>
          <w:sz w:val="24"/>
        </w:rPr>
        <w:t> </w:t>
      </w:r>
      <w:r>
        <w:rPr>
          <w:sz w:val="24"/>
        </w:rPr>
        <w:t>services,</w:t>
      </w:r>
      <w:r>
        <w:rPr>
          <w:spacing w:val="-3"/>
          <w:sz w:val="24"/>
        </w:rPr>
        <w:t> </w:t>
      </w:r>
      <w:r>
        <w:rPr>
          <w:sz w:val="24"/>
        </w:rPr>
        <w:t>with</w:t>
      </w:r>
      <w:r>
        <w:rPr>
          <w:spacing w:val="-4"/>
          <w:sz w:val="24"/>
        </w:rPr>
        <w:t> </w:t>
      </w:r>
      <w:r>
        <w:rPr>
          <w:sz w:val="24"/>
        </w:rPr>
        <w:t>the</w:t>
      </w:r>
      <w:r>
        <w:rPr>
          <w:spacing w:val="-4"/>
          <w:sz w:val="24"/>
        </w:rPr>
        <w:t> </w:t>
      </w:r>
      <w:r>
        <w:rPr>
          <w:sz w:val="24"/>
        </w:rPr>
        <w:t>addition</w:t>
      </w:r>
      <w:r>
        <w:rPr>
          <w:spacing w:val="-4"/>
          <w:sz w:val="24"/>
        </w:rPr>
        <w:t> </w:t>
      </w:r>
      <w:r>
        <w:rPr>
          <w:sz w:val="24"/>
        </w:rPr>
        <w:t>of</w:t>
      </w:r>
      <w:r>
        <w:rPr>
          <w:spacing w:val="-3"/>
          <w:sz w:val="24"/>
        </w:rPr>
        <w:t> </w:t>
      </w:r>
      <w:r>
        <w:rPr>
          <w:sz w:val="24"/>
        </w:rPr>
        <w:t>information</w:t>
      </w:r>
      <w:r>
        <w:rPr>
          <w:spacing w:val="-4"/>
          <w:sz w:val="24"/>
        </w:rPr>
        <w:t> </w:t>
      </w:r>
      <w:r>
        <w:rPr>
          <w:sz w:val="24"/>
        </w:rPr>
        <w:t>to</w:t>
      </w:r>
      <w:r>
        <w:rPr>
          <w:spacing w:val="-4"/>
          <w:sz w:val="24"/>
        </w:rPr>
        <w:t> </w:t>
      </w:r>
      <w:r>
        <w:rPr>
          <w:sz w:val="24"/>
        </w:rPr>
        <w:t>be supplied indicating the age of the applicant.</w:t>
      </w:r>
    </w:p>
    <w:p>
      <w:pPr>
        <w:pStyle w:val="ListParagraph"/>
        <w:numPr>
          <w:ilvl w:val="1"/>
          <w:numId w:val="279"/>
        </w:numPr>
        <w:tabs>
          <w:tab w:pos="772" w:val="left" w:leader="none"/>
        </w:tabs>
        <w:spacing w:line="208" w:lineRule="auto" w:before="240" w:after="0"/>
        <w:ind w:left="359" w:right="844" w:firstLine="0"/>
        <w:jc w:val="left"/>
        <w:rPr>
          <w:sz w:val="24"/>
        </w:rPr>
      </w:pPr>
      <w:r>
        <w:rPr>
          <w:sz w:val="24"/>
        </w:rPr>
        <w:t>Eligibility</w:t>
      </w:r>
      <w:r>
        <w:rPr>
          <w:spacing w:val="-3"/>
          <w:sz w:val="24"/>
        </w:rPr>
        <w:t> </w:t>
      </w:r>
      <w:r>
        <w:rPr>
          <w:sz w:val="24"/>
        </w:rPr>
        <w:t>must</w:t>
      </w:r>
      <w:r>
        <w:rPr>
          <w:spacing w:val="-2"/>
          <w:sz w:val="24"/>
        </w:rPr>
        <w:t> </w:t>
      </w:r>
      <w:r>
        <w:rPr>
          <w:sz w:val="24"/>
        </w:rPr>
        <w:t>be</w:t>
      </w:r>
      <w:r>
        <w:rPr>
          <w:spacing w:val="-4"/>
          <w:sz w:val="24"/>
        </w:rPr>
        <w:t> </w:t>
      </w:r>
      <w:r>
        <w:rPr>
          <w:sz w:val="24"/>
        </w:rPr>
        <w:t>determined</w:t>
      </w:r>
      <w:r>
        <w:rPr>
          <w:spacing w:val="-2"/>
          <w:sz w:val="24"/>
        </w:rPr>
        <w:t> </w:t>
      </w:r>
      <w:r>
        <w:rPr>
          <w:sz w:val="24"/>
        </w:rPr>
        <w:t>within</w:t>
      </w:r>
      <w:r>
        <w:rPr>
          <w:spacing w:val="-3"/>
          <w:sz w:val="24"/>
        </w:rPr>
        <w:t> </w:t>
      </w:r>
      <w:r>
        <w:rPr>
          <w:sz w:val="24"/>
        </w:rPr>
        <w:t>60</w:t>
      </w:r>
      <w:r>
        <w:rPr>
          <w:spacing w:val="-3"/>
          <w:sz w:val="24"/>
        </w:rPr>
        <w:t> </w:t>
      </w:r>
      <w:r>
        <w:rPr>
          <w:sz w:val="24"/>
        </w:rPr>
        <w:t>days</w:t>
      </w:r>
      <w:r>
        <w:rPr>
          <w:spacing w:val="-3"/>
          <w:sz w:val="24"/>
        </w:rPr>
        <w:t> </w:t>
      </w:r>
      <w:r>
        <w:rPr>
          <w:sz w:val="24"/>
        </w:rPr>
        <w:t>of</w:t>
      </w:r>
      <w:r>
        <w:rPr>
          <w:spacing w:val="-2"/>
          <w:sz w:val="24"/>
        </w:rPr>
        <w:t> </w:t>
      </w:r>
      <w:r>
        <w:rPr>
          <w:sz w:val="24"/>
        </w:rPr>
        <w:t>the</w:t>
      </w:r>
      <w:r>
        <w:rPr>
          <w:spacing w:val="-4"/>
          <w:sz w:val="24"/>
        </w:rPr>
        <w:t> </w:t>
      </w:r>
      <w:r>
        <w:rPr>
          <w:sz w:val="24"/>
        </w:rPr>
        <w:t>date</w:t>
      </w:r>
      <w:r>
        <w:rPr>
          <w:spacing w:val="-3"/>
          <w:sz w:val="24"/>
        </w:rPr>
        <w:t> </w:t>
      </w:r>
      <w:r>
        <w:rPr>
          <w:sz w:val="24"/>
        </w:rPr>
        <w:t>the</w:t>
      </w:r>
      <w:r>
        <w:rPr>
          <w:spacing w:val="-3"/>
          <w:sz w:val="24"/>
        </w:rPr>
        <w:t> </w:t>
      </w:r>
      <w:r>
        <w:rPr>
          <w:sz w:val="24"/>
        </w:rPr>
        <w:t>application</w:t>
      </w:r>
      <w:r>
        <w:rPr>
          <w:spacing w:val="-3"/>
          <w:sz w:val="24"/>
        </w:rPr>
        <w:t> </w:t>
      </w:r>
      <w:r>
        <w:rPr>
          <w:sz w:val="24"/>
        </w:rPr>
        <w:t>for</w:t>
      </w:r>
      <w:r>
        <w:rPr>
          <w:spacing w:val="-2"/>
          <w:sz w:val="24"/>
        </w:rPr>
        <w:t> </w:t>
      </w:r>
      <w:r>
        <w:rPr>
          <w:sz w:val="24"/>
        </w:rPr>
        <w:t>services is submitted.</w:t>
      </w:r>
    </w:p>
    <w:p>
      <w:pPr>
        <w:pStyle w:val="BodyText"/>
        <w:spacing w:before="211"/>
        <w:ind w:left="359"/>
      </w:pPr>
      <w:r>
        <w:rPr/>
        <w:t>INSTRUCTIONS</w:t>
      </w:r>
      <w:r>
        <w:rPr>
          <w:spacing w:val="-3"/>
        </w:rPr>
        <w:t> </w:t>
      </w:r>
      <w:r>
        <w:rPr/>
        <w:t>TO</w:t>
      </w:r>
      <w:r>
        <w:rPr>
          <w:spacing w:val="-2"/>
        </w:rPr>
        <w:t> </w:t>
      </w:r>
      <w:r>
        <w:rPr>
          <w:spacing w:val="-4"/>
        </w:rPr>
        <w:t>STAFF</w:t>
      </w:r>
    </w:p>
    <w:p>
      <w:pPr>
        <w:pStyle w:val="BodyText"/>
        <w:spacing w:before="204"/>
        <w:ind w:left="791"/>
      </w:pPr>
      <w:r>
        <w:rPr/>
        <w:t>1.</w:t>
      </w:r>
      <w:r>
        <w:rPr>
          <w:spacing w:val="15"/>
        </w:rPr>
        <w:t> </w:t>
      </w:r>
      <w:r>
        <w:rPr/>
        <w:t>Link</w:t>
      </w:r>
      <w:r>
        <w:rPr>
          <w:spacing w:val="-3"/>
        </w:rPr>
        <w:t> </w:t>
      </w:r>
      <w:r>
        <w:rPr/>
        <w:t>to</w:t>
      </w:r>
      <w:r>
        <w:rPr>
          <w:spacing w:val="-3"/>
        </w:rPr>
        <w:t> </w:t>
      </w:r>
      <w:hyperlink w:history="true" w:anchor="_bookmark9">
        <w:r>
          <w:rPr>
            <w:color w:val="0000FF"/>
            <w:u w:val="single" w:color="0000FF"/>
          </w:rPr>
          <w:t>612:10-7-22.1</w:t>
        </w:r>
      </w:hyperlink>
      <w:r>
        <w:rPr>
          <w:color w:val="0000FF"/>
          <w:spacing w:val="-4"/>
          <w:u w:val="none"/>
        </w:rPr>
        <w:t> </w:t>
      </w:r>
      <w:r>
        <w:rPr>
          <w:u w:val="none"/>
        </w:rPr>
        <w:t>(a)</w:t>
      </w:r>
      <w:r>
        <w:rPr>
          <w:spacing w:val="-2"/>
          <w:u w:val="none"/>
        </w:rPr>
        <w:t> </w:t>
      </w:r>
      <w:r>
        <w:rPr>
          <w:u w:val="none"/>
        </w:rPr>
        <w:t>and</w:t>
      </w:r>
      <w:r>
        <w:rPr>
          <w:spacing w:val="-3"/>
          <w:u w:val="none"/>
        </w:rPr>
        <w:t> </w:t>
      </w:r>
      <w:r>
        <w:rPr>
          <w:u w:val="none"/>
        </w:rPr>
        <w:t>(b)</w:t>
      </w:r>
      <w:r>
        <w:rPr>
          <w:spacing w:val="-4"/>
          <w:u w:val="none"/>
        </w:rPr>
        <w:t> </w:t>
      </w:r>
      <w:r>
        <w:rPr>
          <w:u w:val="none"/>
        </w:rPr>
        <w:t>Processing</w:t>
      </w:r>
      <w:r>
        <w:rPr>
          <w:spacing w:val="-2"/>
          <w:u w:val="none"/>
        </w:rPr>
        <w:t> </w:t>
      </w:r>
      <w:r>
        <w:rPr>
          <w:u w:val="none"/>
        </w:rPr>
        <w:t>referrals</w:t>
      </w:r>
      <w:r>
        <w:rPr>
          <w:spacing w:val="-3"/>
          <w:u w:val="none"/>
        </w:rPr>
        <w:t> </w:t>
      </w:r>
      <w:r>
        <w:rPr>
          <w:u w:val="none"/>
        </w:rPr>
        <w:t>and</w:t>
      </w:r>
      <w:r>
        <w:rPr>
          <w:spacing w:val="-2"/>
          <w:u w:val="none"/>
        </w:rPr>
        <w:t> applications.</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775" w:firstLine="0"/>
        <w:jc w:val="left"/>
        <w:rPr>
          <w:sz w:val="22"/>
        </w:rPr>
      </w:pPr>
      <w:r>
        <w:rPr>
          <w:sz w:val="22"/>
        </w:rPr>
        <w:t>Permanent,</w:t>
      </w:r>
      <w:r>
        <w:rPr>
          <w:spacing w:val="-2"/>
          <w:sz w:val="22"/>
        </w:rPr>
        <w:t> </w:t>
      </w:r>
      <w:r>
        <w:rPr>
          <w:sz w:val="22"/>
        </w:rPr>
        <w:t>first</w:t>
      </w:r>
      <w:r>
        <w:rPr>
          <w:spacing w:val="-3"/>
          <w:sz w:val="22"/>
        </w:rPr>
        <w:t> </w:t>
      </w:r>
      <w:r>
        <w:rPr>
          <w:sz w:val="22"/>
        </w:rPr>
        <w:t>adoption</w:t>
      </w:r>
      <w:r>
        <w:rPr>
          <w:spacing w:val="-3"/>
          <w:sz w:val="22"/>
        </w:rPr>
        <w:t> </w:t>
      </w:r>
      <w:r>
        <w:rPr>
          <w:sz w:val="22"/>
        </w:rPr>
        <w:t>under</w:t>
      </w:r>
      <w:r>
        <w:rPr>
          <w:spacing w:val="-3"/>
          <w:sz w:val="22"/>
        </w:rPr>
        <w:t> </w:t>
      </w:r>
      <w:r>
        <w:rPr>
          <w:sz w:val="22"/>
        </w:rPr>
        <w:t>OAC</w:t>
      </w:r>
      <w:r>
        <w:rPr>
          <w:spacing w:val="-4"/>
          <w:sz w:val="22"/>
        </w:rPr>
        <w:t> </w:t>
      </w:r>
      <w:r>
        <w:rPr>
          <w:sz w:val="22"/>
        </w:rPr>
        <w:t>Title</w:t>
      </w:r>
      <w:r>
        <w:rPr>
          <w:spacing w:val="-3"/>
          <w:sz w:val="22"/>
        </w:rPr>
        <w:t> </w:t>
      </w:r>
      <w:r>
        <w:rPr>
          <w:sz w:val="22"/>
        </w:rPr>
        <w:t>612,</w:t>
      </w:r>
      <w:r>
        <w:rPr>
          <w:spacing w:val="-4"/>
          <w:sz w:val="22"/>
        </w:rPr>
        <w:t> </w:t>
      </w:r>
      <w:r>
        <w:rPr>
          <w:sz w:val="22"/>
        </w:rPr>
        <w:t>deleted</w:t>
      </w:r>
      <w:r>
        <w:rPr>
          <w:spacing w:val="-3"/>
          <w:sz w:val="22"/>
        </w:rPr>
        <w:t> </w:t>
      </w:r>
      <w:r>
        <w:rPr>
          <w:sz w:val="22"/>
        </w:rPr>
        <w:t>30</w:t>
      </w:r>
      <w:r>
        <w:rPr>
          <w:spacing w:val="-3"/>
          <w:sz w:val="22"/>
        </w:rPr>
        <w:t> </w:t>
      </w:r>
      <w:r>
        <w:rPr>
          <w:sz w:val="22"/>
        </w:rPr>
        <w:t>day</w:t>
      </w:r>
      <w:r>
        <w:rPr>
          <w:spacing w:val="-3"/>
          <w:sz w:val="22"/>
        </w:rPr>
        <w:t> </w:t>
      </w:r>
      <w:r>
        <w:rPr>
          <w:sz w:val="22"/>
        </w:rPr>
        <w:t>wait,</w:t>
      </w:r>
      <w:r>
        <w:rPr>
          <w:spacing w:val="-3"/>
          <w:sz w:val="22"/>
        </w:rPr>
        <w:t> </w:t>
      </w:r>
      <w:r>
        <w:rPr>
          <w:sz w:val="22"/>
        </w:rPr>
        <w:t>added</w:t>
      </w:r>
      <w:r>
        <w:rPr>
          <w:spacing w:val="-3"/>
          <w:sz w:val="22"/>
        </w:rPr>
        <w:t> </w:t>
      </w:r>
      <w:r>
        <w:rPr>
          <w:sz w:val="22"/>
        </w:rPr>
        <w:t>60</w:t>
      </w:r>
      <w:r>
        <w:rPr>
          <w:spacing w:val="-3"/>
          <w:sz w:val="22"/>
        </w:rPr>
        <w:t> </w:t>
      </w:r>
      <w:r>
        <w:rPr>
          <w:sz w:val="22"/>
        </w:rPr>
        <w:t>day deadline for determining eligibility</w:t>
      </w:r>
    </w:p>
    <w:p>
      <w:pPr>
        <w:tabs>
          <w:tab w:pos="1439" w:val="left" w:leader="none"/>
        </w:tabs>
        <w:spacing w:before="1"/>
        <w:ind w:left="359" w:right="0" w:firstLine="0"/>
        <w:jc w:val="left"/>
        <w:rPr>
          <w:sz w:val="22"/>
        </w:rPr>
      </w:pPr>
      <w:r>
        <w:rPr>
          <w:spacing w:val="-2"/>
          <w:sz w:val="22"/>
        </w:rPr>
        <w:t>10-1-</w:t>
      </w:r>
      <w:r>
        <w:rPr>
          <w:spacing w:val="-5"/>
          <w:sz w:val="22"/>
        </w:rPr>
        <w:t>97</w:t>
      </w:r>
      <w:r>
        <w:rPr>
          <w:sz w:val="22"/>
        </w:rPr>
        <w:tab/>
        <w:t>PT</w:t>
      </w:r>
      <w:r>
        <w:rPr>
          <w:spacing w:val="-8"/>
          <w:sz w:val="22"/>
        </w:rPr>
        <w:t> </w:t>
      </w:r>
      <w:r>
        <w:rPr>
          <w:sz w:val="22"/>
        </w:rPr>
        <w:t>Memo</w:t>
      </w:r>
      <w:r>
        <w:rPr>
          <w:spacing w:val="-8"/>
          <w:sz w:val="22"/>
        </w:rPr>
        <w:t> </w:t>
      </w:r>
      <w:r>
        <w:rPr>
          <w:sz w:val="22"/>
        </w:rPr>
        <w:t>#98-</w:t>
      </w:r>
      <w:r>
        <w:rPr>
          <w:spacing w:val="-10"/>
          <w:sz w:val="22"/>
        </w:rPr>
        <w:t>4</w:t>
      </w:r>
    </w:p>
    <w:p>
      <w:pPr>
        <w:spacing w:before="0"/>
        <w:ind w:left="1439" w:right="775" w:firstLine="0"/>
        <w:jc w:val="left"/>
        <w:rPr>
          <w:sz w:val="22"/>
        </w:rPr>
      </w:pPr>
      <w:r>
        <w:rPr>
          <w:sz w:val="22"/>
        </w:rPr>
        <w:t>Emergency,</w:t>
      </w:r>
      <w:r>
        <w:rPr>
          <w:spacing w:val="-4"/>
          <w:sz w:val="22"/>
        </w:rPr>
        <w:t> </w:t>
      </w:r>
      <w:r>
        <w:rPr>
          <w:sz w:val="22"/>
        </w:rPr>
        <w:t>changed</w:t>
      </w:r>
      <w:r>
        <w:rPr>
          <w:spacing w:val="-4"/>
          <w:sz w:val="22"/>
        </w:rPr>
        <w:t> </w:t>
      </w:r>
      <w:r>
        <w:rPr>
          <w:sz w:val="22"/>
        </w:rPr>
        <w:t>criteria</w:t>
      </w:r>
      <w:r>
        <w:rPr>
          <w:spacing w:val="-4"/>
          <w:sz w:val="22"/>
        </w:rPr>
        <w:t> </w:t>
      </w:r>
      <w:r>
        <w:rPr>
          <w:sz w:val="22"/>
        </w:rPr>
        <w:t>for</w:t>
      </w:r>
      <w:r>
        <w:rPr>
          <w:spacing w:val="-4"/>
          <w:sz w:val="22"/>
        </w:rPr>
        <w:t> </w:t>
      </w:r>
      <w:r>
        <w:rPr>
          <w:sz w:val="22"/>
        </w:rPr>
        <w:t>application,</w:t>
      </w:r>
      <w:r>
        <w:rPr>
          <w:spacing w:val="-4"/>
          <w:sz w:val="22"/>
        </w:rPr>
        <w:t> </w:t>
      </w:r>
      <w:r>
        <w:rPr>
          <w:sz w:val="22"/>
        </w:rPr>
        <w:t>individual</w:t>
      </w:r>
      <w:r>
        <w:rPr>
          <w:spacing w:val="-4"/>
          <w:sz w:val="22"/>
        </w:rPr>
        <w:t> </w:t>
      </w:r>
      <w:r>
        <w:rPr>
          <w:sz w:val="22"/>
        </w:rPr>
        <w:t>no</w:t>
      </w:r>
      <w:r>
        <w:rPr>
          <w:spacing w:val="-4"/>
          <w:sz w:val="22"/>
        </w:rPr>
        <w:t> </w:t>
      </w:r>
      <w:r>
        <w:rPr>
          <w:sz w:val="22"/>
        </w:rPr>
        <w:t>longer</w:t>
      </w:r>
      <w:r>
        <w:rPr>
          <w:spacing w:val="-4"/>
          <w:sz w:val="22"/>
        </w:rPr>
        <w:t> </w:t>
      </w:r>
      <w:r>
        <w:rPr>
          <w:sz w:val="22"/>
        </w:rPr>
        <w:t>needs</w:t>
      </w:r>
      <w:r>
        <w:rPr>
          <w:spacing w:val="-4"/>
          <w:sz w:val="22"/>
        </w:rPr>
        <w:t> </w:t>
      </w:r>
      <w:r>
        <w:rPr>
          <w:sz w:val="22"/>
        </w:rPr>
        <w:t>to</w:t>
      </w:r>
      <w:r>
        <w:rPr>
          <w:spacing w:val="-5"/>
          <w:sz w:val="22"/>
        </w:rPr>
        <w:t> </w:t>
      </w:r>
      <w:r>
        <w:rPr>
          <w:sz w:val="22"/>
        </w:rPr>
        <w:t>submit</w:t>
      </w:r>
      <w:r>
        <w:rPr>
          <w:spacing w:val="-4"/>
          <w:sz w:val="22"/>
        </w:rPr>
        <w:t> </w:t>
      </w:r>
      <w:r>
        <w:rPr>
          <w:sz w:val="22"/>
        </w:rPr>
        <w:t>in writing before counted as an applicant</w:t>
      </w:r>
    </w:p>
    <w:p>
      <w:pPr>
        <w:pStyle w:val="ListParagraph"/>
        <w:numPr>
          <w:ilvl w:val="2"/>
          <w:numId w:val="179"/>
        </w:numPr>
        <w:tabs>
          <w:tab w:pos="1439" w:val="left" w:leader="none"/>
        </w:tabs>
        <w:spacing w:line="252"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#98-</w:t>
      </w:r>
      <w:r>
        <w:rPr>
          <w:spacing w:val="-5"/>
          <w:sz w:val="22"/>
        </w:rPr>
        <w:t>15</w:t>
      </w:r>
    </w:p>
    <w:p>
      <w:pPr>
        <w:spacing w:before="0"/>
        <w:ind w:left="1439" w:right="775" w:firstLine="0"/>
        <w:jc w:val="left"/>
        <w:rPr>
          <w:sz w:val="22"/>
        </w:rPr>
      </w:pPr>
      <w:r>
        <w:rPr>
          <w:sz w:val="22"/>
        </w:rPr>
        <w:t>Makes</w:t>
      </w:r>
      <w:r>
        <w:rPr>
          <w:spacing w:val="-5"/>
          <w:sz w:val="22"/>
        </w:rPr>
        <w:t> </w:t>
      </w:r>
      <w:r>
        <w:rPr>
          <w:sz w:val="22"/>
        </w:rPr>
        <w:t>emergency</w:t>
      </w:r>
      <w:r>
        <w:rPr>
          <w:spacing w:val="-5"/>
          <w:sz w:val="22"/>
        </w:rPr>
        <w:t> </w:t>
      </w:r>
      <w:r>
        <w:rPr>
          <w:sz w:val="22"/>
        </w:rPr>
        <w:t>rules</w:t>
      </w:r>
      <w:r>
        <w:rPr>
          <w:spacing w:val="-6"/>
          <w:sz w:val="22"/>
        </w:rPr>
        <w:t> </w:t>
      </w:r>
      <w:r>
        <w:rPr>
          <w:sz w:val="22"/>
        </w:rPr>
        <w:t>issued</w:t>
      </w:r>
      <w:r>
        <w:rPr>
          <w:spacing w:val="-5"/>
          <w:sz w:val="22"/>
        </w:rPr>
        <w:t> </w:t>
      </w:r>
      <w:r>
        <w:rPr>
          <w:sz w:val="22"/>
        </w:rPr>
        <w:t>10-1-97</w:t>
      </w:r>
      <w:r>
        <w:rPr>
          <w:spacing w:val="-5"/>
          <w:sz w:val="22"/>
        </w:rPr>
        <w:t> </w:t>
      </w:r>
      <w:r>
        <w:rPr>
          <w:sz w:val="22"/>
        </w:rPr>
        <w:t>permanent,</w:t>
      </w:r>
      <w:r>
        <w:rPr>
          <w:spacing w:val="-5"/>
          <w:sz w:val="22"/>
        </w:rPr>
        <w:t> </w:t>
      </w:r>
      <w:r>
        <w:rPr>
          <w:sz w:val="22"/>
        </w:rPr>
        <w:t>Written</w:t>
      </w:r>
      <w:r>
        <w:rPr>
          <w:spacing w:val="-5"/>
          <w:sz w:val="22"/>
        </w:rPr>
        <w:t> </w:t>
      </w:r>
      <w:r>
        <w:rPr>
          <w:sz w:val="22"/>
        </w:rPr>
        <w:t>application</w:t>
      </w:r>
      <w:r>
        <w:rPr>
          <w:spacing w:val="-6"/>
          <w:sz w:val="22"/>
        </w:rPr>
        <w:t> </w:t>
      </w:r>
      <w:r>
        <w:rPr>
          <w:sz w:val="22"/>
        </w:rPr>
        <w:t>not</w:t>
      </w:r>
      <w:r>
        <w:rPr>
          <w:spacing w:val="-5"/>
          <w:sz w:val="22"/>
        </w:rPr>
        <w:t> </w:t>
      </w:r>
      <w:r>
        <w:rPr>
          <w:sz w:val="22"/>
        </w:rPr>
        <w:t>required before enter into Status 02</w:t>
      </w:r>
    </w:p>
    <w:p>
      <w:pPr>
        <w:pStyle w:val="ListParagraph"/>
        <w:numPr>
          <w:ilvl w:val="2"/>
          <w:numId w:val="277"/>
        </w:numPr>
        <w:tabs>
          <w:tab w:pos="1439" w:val="left" w:leader="none"/>
        </w:tabs>
        <w:spacing w:line="253"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#06-</w:t>
      </w:r>
      <w:r>
        <w:rPr>
          <w:spacing w:val="-5"/>
          <w:sz w:val="22"/>
        </w:rPr>
        <w:t>01</w:t>
      </w:r>
    </w:p>
    <w:p>
      <w:pPr>
        <w:tabs>
          <w:tab w:pos="1439" w:val="left" w:leader="none"/>
        </w:tabs>
        <w:spacing w:before="0"/>
        <w:ind w:left="359" w:right="2810" w:firstLine="1080"/>
        <w:jc w:val="left"/>
        <w:rPr>
          <w:sz w:val="22"/>
        </w:rPr>
      </w:pPr>
      <w:r>
        <w:rPr>
          <w:sz w:val="22"/>
        </w:rPr>
        <w:t>Permanent,</w:t>
      </w:r>
      <w:r>
        <w:rPr>
          <w:spacing w:val="-5"/>
          <w:sz w:val="22"/>
        </w:rPr>
        <w:t> </w:t>
      </w:r>
      <w:r>
        <w:rPr>
          <w:sz w:val="22"/>
        </w:rPr>
        <w:t>Independent</w:t>
      </w:r>
      <w:r>
        <w:rPr>
          <w:spacing w:val="-7"/>
          <w:sz w:val="22"/>
        </w:rPr>
        <w:t> </w:t>
      </w:r>
      <w:r>
        <w:rPr>
          <w:sz w:val="22"/>
        </w:rPr>
        <w:t>Living</w:t>
      </w:r>
      <w:r>
        <w:rPr>
          <w:spacing w:val="-6"/>
          <w:sz w:val="22"/>
        </w:rPr>
        <w:t> </w:t>
      </w:r>
      <w:r>
        <w:rPr>
          <w:sz w:val="22"/>
        </w:rPr>
        <w:t>policy</w:t>
      </w:r>
      <w:r>
        <w:rPr>
          <w:spacing w:val="-6"/>
          <w:sz w:val="22"/>
        </w:rPr>
        <w:t> </w:t>
      </w:r>
      <w:r>
        <w:rPr>
          <w:sz w:val="22"/>
        </w:rPr>
        <w:t>replaced</w:t>
      </w:r>
      <w:r>
        <w:rPr>
          <w:spacing w:val="-7"/>
          <w:sz w:val="22"/>
        </w:rPr>
        <w:t> </w:t>
      </w:r>
      <w:r>
        <w:rPr>
          <w:sz w:val="22"/>
        </w:rPr>
        <w:t>with</w:t>
      </w:r>
      <w:r>
        <w:rPr>
          <w:spacing w:val="-6"/>
          <w:sz w:val="22"/>
        </w:rPr>
        <w:t> </w:t>
      </w:r>
      <w:r>
        <w:rPr>
          <w:sz w:val="22"/>
        </w:rPr>
        <w:t>Older</w:t>
      </w:r>
      <w:r>
        <w:rPr>
          <w:spacing w:val="-6"/>
          <w:sz w:val="22"/>
        </w:rPr>
        <w:t> </w:t>
      </w:r>
      <w:r>
        <w:rPr>
          <w:sz w:val="22"/>
        </w:rPr>
        <w:t>Blind </w:t>
      </w:r>
      <w:r>
        <w:rPr>
          <w:spacing w:val="-2"/>
          <w:sz w:val="22"/>
        </w:rPr>
        <w:t>7-1-07</w:t>
      </w:r>
      <w:r>
        <w:rPr>
          <w:sz w:val="22"/>
        </w:rPr>
        <w:tab/>
        <w:t>PT Memo #08-01</w:t>
      </w:r>
    </w:p>
    <w:p>
      <w:pPr>
        <w:spacing w:after="0"/>
        <w:jc w:val="left"/>
        <w:rPr>
          <w:sz w:val="22"/>
        </w:rPr>
        <w:sectPr>
          <w:pgSz w:w="12240" w:h="15840"/>
          <w:pgMar w:top="1340" w:bottom="280" w:left="1080" w:right="720"/>
        </w:sectPr>
      </w:pPr>
    </w:p>
    <w:p>
      <w:pPr>
        <w:tabs>
          <w:tab w:pos="1439" w:val="left" w:leader="none"/>
        </w:tabs>
        <w:spacing w:before="80"/>
        <w:ind w:left="359" w:right="5977" w:firstLine="1080"/>
        <w:jc w:val="left"/>
        <w:rPr>
          <w:sz w:val="22"/>
        </w:rPr>
      </w:pPr>
      <w:r>
        <w:rPr>
          <w:sz w:val="22"/>
        </w:rPr>
        <w:t>Permanent,</w:t>
      </w:r>
      <w:r>
        <w:rPr>
          <w:spacing w:val="-9"/>
          <w:sz w:val="22"/>
        </w:rPr>
        <w:t> </w:t>
      </w:r>
      <w:r>
        <w:rPr>
          <w:sz w:val="22"/>
        </w:rPr>
        <w:t>changed</w:t>
      </w:r>
      <w:r>
        <w:rPr>
          <w:spacing w:val="-10"/>
          <w:sz w:val="22"/>
        </w:rPr>
        <w:t> </w:t>
      </w:r>
      <w:r>
        <w:rPr>
          <w:sz w:val="22"/>
        </w:rPr>
        <w:t>OL</w:t>
      </w:r>
      <w:r>
        <w:rPr>
          <w:spacing w:val="-10"/>
          <w:sz w:val="22"/>
        </w:rPr>
        <w:t> </w:t>
      </w:r>
      <w:r>
        <w:rPr>
          <w:sz w:val="22"/>
        </w:rPr>
        <w:t>to</w:t>
      </w:r>
      <w:r>
        <w:rPr>
          <w:spacing w:val="-10"/>
          <w:sz w:val="22"/>
        </w:rPr>
        <w:t> </w:t>
      </w:r>
      <w:r>
        <w:rPr>
          <w:sz w:val="22"/>
        </w:rPr>
        <w:t>OB </w:t>
      </w:r>
      <w:r>
        <w:rPr>
          <w:spacing w:val="-2"/>
          <w:sz w:val="22"/>
        </w:rPr>
        <w:t>7-1-11</w:t>
      </w:r>
      <w:r>
        <w:rPr>
          <w:sz w:val="22"/>
        </w:rPr>
        <w:tab/>
        <w:t>PT Memo #12-01</w:t>
      </w:r>
    </w:p>
    <w:p>
      <w:pPr>
        <w:tabs>
          <w:tab w:pos="1439" w:val="left" w:leader="none"/>
        </w:tabs>
        <w:spacing w:before="0"/>
        <w:ind w:left="359" w:right="4644" w:firstLine="1080"/>
        <w:jc w:val="left"/>
        <w:rPr>
          <w:sz w:val="22"/>
        </w:rPr>
      </w:pPr>
      <w:r>
        <w:rPr>
          <w:sz w:val="22"/>
        </w:rPr>
        <w:t>Permanent,</w:t>
      </w:r>
      <w:r>
        <w:rPr>
          <w:spacing w:val="-12"/>
          <w:sz w:val="22"/>
        </w:rPr>
        <w:t> </w:t>
      </w:r>
      <w:r>
        <w:rPr>
          <w:sz w:val="22"/>
        </w:rPr>
        <w:t>eliminated</w:t>
      </w:r>
      <w:r>
        <w:rPr>
          <w:spacing w:val="-13"/>
          <w:sz w:val="22"/>
        </w:rPr>
        <w:t> </w:t>
      </w:r>
      <w:r>
        <w:rPr>
          <w:sz w:val="22"/>
        </w:rPr>
        <w:t>duplicative</w:t>
      </w:r>
      <w:r>
        <w:rPr>
          <w:spacing w:val="-13"/>
          <w:sz w:val="22"/>
        </w:rPr>
        <w:t> </w:t>
      </w:r>
      <w:r>
        <w:rPr>
          <w:sz w:val="22"/>
        </w:rPr>
        <w:t>provisions </w:t>
      </w:r>
      <w:r>
        <w:rPr>
          <w:spacing w:val="-2"/>
          <w:sz w:val="22"/>
        </w:rPr>
        <w:t>8-25-</w:t>
      </w:r>
      <w:r>
        <w:rPr>
          <w:spacing w:val="-5"/>
          <w:sz w:val="22"/>
        </w:rPr>
        <w:t>16</w:t>
      </w:r>
      <w:r>
        <w:rPr>
          <w:sz w:val="22"/>
        </w:rPr>
        <w:tab/>
        <w:t>Removal</w:t>
      </w:r>
      <w:r>
        <w:rPr>
          <w:spacing w:val="-8"/>
          <w:sz w:val="22"/>
        </w:rPr>
        <w:t> </w:t>
      </w:r>
      <w:r>
        <w:rPr>
          <w:sz w:val="22"/>
        </w:rPr>
        <w:t>of</w:t>
      </w:r>
      <w:r>
        <w:rPr>
          <w:spacing w:val="-8"/>
          <w:sz w:val="22"/>
        </w:rPr>
        <w:t> </w:t>
      </w:r>
      <w:r>
        <w:rPr>
          <w:sz w:val="22"/>
        </w:rPr>
        <w:t>language</w:t>
      </w:r>
      <w:r>
        <w:rPr>
          <w:spacing w:val="-8"/>
          <w:sz w:val="22"/>
        </w:rPr>
        <w:t> </w:t>
      </w:r>
      <w:r>
        <w:rPr>
          <w:sz w:val="22"/>
        </w:rPr>
        <w:t>regarding</w:t>
      </w:r>
      <w:r>
        <w:rPr>
          <w:spacing w:val="-7"/>
          <w:sz w:val="22"/>
        </w:rPr>
        <w:t> </w:t>
      </w:r>
      <w:r>
        <w:rPr>
          <w:spacing w:val="-2"/>
          <w:sz w:val="22"/>
        </w:rPr>
        <w:t>homemaker.</w:t>
      </w:r>
    </w:p>
    <w:p>
      <w:pPr>
        <w:spacing w:after="0"/>
        <w:jc w:val="left"/>
        <w:rPr>
          <w:sz w:val="22"/>
        </w:rPr>
        <w:sectPr>
          <w:pgSz w:w="12240" w:h="15840"/>
          <w:pgMar w:top="1360" w:bottom="280" w:left="1080" w:right="720"/>
        </w:sectPr>
      </w:pPr>
    </w:p>
    <w:p>
      <w:pPr>
        <w:pStyle w:val="Heading2"/>
      </w:pPr>
      <w:bookmarkStart w:name="612:10-11-4.  Residency" w:id="260"/>
      <w:bookmarkEnd w:id="260"/>
      <w:r>
        <w:rPr>
          <w:b w:val="0"/>
        </w:rPr>
      </w:r>
      <w:r>
        <w:rPr/>
        <w:t>612:10-11-4.</w:t>
      </w:r>
      <w:r>
        <w:rPr>
          <w:spacing w:val="59"/>
        </w:rPr>
        <w:t> </w:t>
      </w:r>
      <w:r>
        <w:rPr>
          <w:spacing w:val="-2"/>
        </w:rPr>
        <w:t>Residency</w:t>
      </w:r>
    </w:p>
    <w:p>
      <w:pPr>
        <w:pStyle w:val="BodyText"/>
        <w:spacing w:line="208" w:lineRule="auto" w:before="233"/>
        <w:ind w:right="775" w:firstLine="432"/>
      </w:pPr>
      <w:r>
        <w:rPr/>
        <w:t>There</w:t>
      </w:r>
      <w:r>
        <w:rPr>
          <w:spacing w:val="-4"/>
        </w:rPr>
        <w:t> </w:t>
      </w:r>
      <w:r>
        <w:rPr/>
        <w:t>are</w:t>
      </w:r>
      <w:r>
        <w:rPr>
          <w:spacing w:val="-4"/>
        </w:rPr>
        <w:t> </w:t>
      </w:r>
      <w:r>
        <w:rPr/>
        <w:t>no</w:t>
      </w:r>
      <w:r>
        <w:rPr>
          <w:spacing w:val="-4"/>
        </w:rPr>
        <w:t> </w:t>
      </w:r>
      <w:r>
        <w:rPr/>
        <w:t>residency</w:t>
      </w:r>
      <w:r>
        <w:rPr>
          <w:spacing w:val="-4"/>
        </w:rPr>
        <w:t> </w:t>
      </w:r>
      <w:r>
        <w:rPr/>
        <w:t>requirements</w:t>
      </w:r>
      <w:r>
        <w:rPr>
          <w:spacing w:val="-4"/>
        </w:rPr>
        <w:t> </w:t>
      </w:r>
      <w:r>
        <w:rPr/>
        <w:t>that</w:t>
      </w:r>
      <w:r>
        <w:rPr>
          <w:spacing w:val="-6"/>
        </w:rPr>
        <w:t> </w:t>
      </w:r>
      <w:r>
        <w:rPr/>
        <w:t>would</w:t>
      </w:r>
      <w:r>
        <w:rPr>
          <w:spacing w:val="-4"/>
        </w:rPr>
        <w:t> </w:t>
      </w:r>
      <w:r>
        <w:rPr/>
        <w:t>exclude</w:t>
      </w:r>
      <w:r>
        <w:rPr>
          <w:spacing w:val="-4"/>
        </w:rPr>
        <w:t> </w:t>
      </w:r>
      <w:r>
        <w:rPr/>
        <w:t>any</w:t>
      </w:r>
      <w:r>
        <w:rPr>
          <w:spacing w:val="-4"/>
        </w:rPr>
        <w:t> </w:t>
      </w:r>
      <w:r>
        <w:rPr/>
        <w:t>individual</w:t>
      </w:r>
      <w:r>
        <w:rPr>
          <w:spacing w:val="-4"/>
        </w:rPr>
        <w:t> </w:t>
      </w:r>
      <w:r>
        <w:rPr/>
        <w:t>who</w:t>
      </w:r>
      <w:r>
        <w:rPr>
          <w:spacing w:val="-4"/>
        </w:rPr>
        <w:t> </w:t>
      </w:r>
      <w:r>
        <w:rPr/>
        <w:t>is present in the state from receiving services for which they are otherwise eligible.</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7-1-05</w:t>
      </w:r>
      <w:r>
        <w:rPr>
          <w:sz w:val="22"/>
        </w:rPr>
        <w:tab/>
        <w:t>PT Memo #06-01</w:t>
      </w:r>
    </w:p>
    <w:p>
      <w:pPr>
        <w:tabs>
          <w:tab w:pos="1439" w:val="left" w:leader="none"/>
        </w:tabs>
        <w:spacing w:before="0"/>
        <w:ind w:left="359" w:right="2810" w:firstLine="1080"/>
        <w:jc w:val="left"/>
        <w:rPr>
          <w:sz w:val="22"/>
        </w:rPr>
      </w:pPr>
      <w:r>
        <w:rPr>
          <w:sz w:val="22"/>
        </w:rPr>
        <w:t>Permanent,</w:t>
      </w:r>
      <w:r>
        <w:rPr>
          <w:spacing w:val="-5"/>
          <w:sz w:val="22"/>
        </w:rPr>
        <w:t> </w:t>
      </w:r>
      <w:r>
        <w:rPr>
          <w:sz w:val="22"/>
        </w:rPr>
        <w:t>Independent</w:t>
      </w:r>
      <w:r>
        <w:rPr>
          <w:spacing w:val="-7"/>
          <w:sz w:val="22"/>
        </w:rPr>
        <w:t> </w:t>
      </w:r>
      <w:r>
        <w:rPr>
          <w:sz w:val="22"/>
        </w:rPr>
        <w:t>Living</w:t>
      </w:r>
      <w:r>
        <w:rPr>
          <w:spacing w:val="-6"/>
          <w:sz w:val="22"/>
        </w:rPr>
        <w:t> </w:t>
      </w:r>
      <w:r>
        <w:rPr>
          <w:sz w:val="22"/>
        </w:rPr>
        <w:t>policy</w:t>
      </w:r>
      <w:r>
        <w:rPr>
          <w:spacing w:val="-6"/>
          <w:sz w:val="22"/>
        </w:rPr>
        <w:t> </w:t>
      </w:r>
      <w:r>
        <w:rPr>
          <w:sz w:val="22"/>
        </w:rPr>
        <w:t>replaced</w:t>
      </w:r>
      <w:r>
        <w:rPr>
          <w:spacing w:val="-7"/>
          <w:sz w:val="22"/>
        </w:rPr>
        <w:t> </w:t>
      </w:r>
      <w:r>
        <w:rPr>
          <w:sz w:val="22"/>
        </w:rPr>
        <w:t>with</w:t>
      </w:r>
      <w:r>
        <w:rPr>
          <w:spacing w:val="-6"/>
          <w:sz w:val="22"/>
        </w:rPr>
        <w:t> </w:t>
      </w:r>
      <w:r>
        <w:rPr>
          <w:sz w:val="22"/>
        </w:rPr>
        <w:t>Older</w:t>
      </w:r>
      <w:r>
        <w:rPr>
          <w:spacing w:val="-6"/>
          <w:sz w:val="22"/>
        </w:rPr>
        <w:t> </w:t>
      </w:r>
      <w:r>
        <w:rPr>
          <w:sz w:val="22"/>
        </w:rPr>
        <w:t>Blind </w:t>
      </w:r>
      <w:r>
        <w:rPr>
          <w:spacing w:val="-2"/>
          <w:sz w:val="22"/>
        </w:rPr>
        <w:t>7-1-06</w:t>
      </w:r>
      <w:r>
        <w:rPr>
          <w:sz w:val="22"/>
        </w:rPr>
        <w:tab/>
        <w:t>PT Memo #07-01</w:t>
      </w:r>
    </w:p>
    <w:p>
      <w:pPr>
        <w:spacing w:before="0"/>
        <w:ind w:left="1439" w:right="775" w:firstLine="0"/>
        <w:jc w:val="left"/>
        <w:rPr>
          <w:sz w:val="22"/>
        </w:rPr>
      </w:pPr>
      <w:r>
        <w:rPr>
          <w:sz w:val="22"/>
        </w:rPr>
        <w:t>Permanent,</w:t>
      </w:r>
      <w:r>
        <w:rPr>
          <w:spacing w:val="-3"/>
          <w:sz w:val="22"/>
        </w:rPr>
        <w:t> </w:t>
      </w:r>
      <w:r>
        <w:rPr>
          <w:sz w:val="22"/>
        </w:rPr>
        <w:t>changed</w:t>
      </w:r>
      <w:r>
        <w:rPr>
          <w:spacing w:val="-4"/>
          <w:sz w:val="22"/>
        </w:rPr>
        <w:t> </w:t>
      </w:r>
      <w:r>
        <w:rPr>
          <w:sz w:val="22"/>
        </w:rPr>
        <w:t>language</w:t>
      </w:r>
      <w:r>
        <w:rPr>
          <w:spacing w:val="-4"/>
          <w:sz w:val="22"/>
        </w:rPr>
        <w:t> </w:t>
      </w:r>
      <w:r>
        <w:rPr>
          <w:sz w:val="22"/>
        </w:rPr>
        <w:t>to</w:t>
      </w:r>
      <w:r>
        <w:rPr>
          <w:spacing w:val="-4"/>
          <w:sz w:val="22"/>
        </w:rPr>
        <w:t> </w:t>
      </w:r>
      <w:r>
        <w:rPr>
          <w:sz w:val="22"/>
        </w:rPr>
        <w:t>make</w:t>
      </w:r>
      <w:r>
        <w:rPr>
          <w:spacing w:val="-4"/>
          <w:sz w:val="22"/>
        </w:rPr>
        <w:t> </w:t>
      </w:r>
      <w:r>
        <w:rPr>
          <w:sz w:val="22"/>
        </w:rPr>
        <w:t>clear</w:t>
      </w:r>
      <w:r>
        <w:rPr>
          <w:spacing w:val="-4"/>
          <w:sz w:val="22"/>
        </w:rPr>
        <w:t> </w:t>
      </w:r>
      <w:r>
        <w:rPr>
          <w:sz w:val="22"/>
        </w:rPr>
        <w:t>that</w:t>
      </w:r>
      <w:r>
        <w:rPr>
          <w:spacing w:val="-5"/>
          <w:sz w:val="22"/>
        </w:rPr>
        <w:t> </w:t>
      </w:r>
      <w:r>
        <w:rPr>
          <w:sz w:val="22"/>
        </w:rPr>
        <w:t>there</w:t>
      </w:r>
      <w:r>
        <w:rPr>
          <w:spacing w:val="-4"/>
          <w:sz w:val="22"/>
        </w:rPr>
        <w:t> </w:t>
      </w:r>
      <w:r>
        <w:rPr>
          <w:sz w:val="22"/>
        </w:rPr>
        <w:t>are</w:t>
      </w:r>
      <w:r>
        <w:rPr>
          <w:spacing w:val="-4"/>
          <w:sz w:val="22"/>
        </w:rPr>
        <w:t> </w:t>
      </w:r>
      <w:r>
        <w:rPr>
          <w:sz w:val="22"/>
        </w:rPr>
        <w:t>no</w:t>
      </w:r>
      <w:r>
        <w:rPr>
          <w:spacing w:val="-4"/>
          <w:sz w:val="22"/>
        </w:rPr>
        <w:t> </w:t>
      </w:r>
      <w:r>
        <w:rPr>
          <w:sz w:val="22"/>
        </w:rPr>
        <w:t>residency </w:t>
      </w:r>
      <w:r>
        <w:rPr>
          <w:spacing w:val="-2"/>
          <w:sz w:val="22"/>
        </w:rPr>
        <w:t>requirements.</w:t>
      </w:r>
    </w:p>
    <w:p>
      <w:pPr>
        <w:spacing w:after="0"/>
        <w:jc w:val="left"/>
        <w:rPr>
          <w:sz w:val="22"/>
        </w:rPr>
        <w:sectPr>
          <w:pgSz w:w="12240" w:h="15840"/>
          <w:pgMar w:top="1340" w:bottom="280" w:left="1080" w:right="720"/>
        </w:sectPr>
      </w:pPr>
    </w:p>
    <w:p>
      <w:pPr>
        <w:pStyle w:val="Heading2"/>
      </w:pPr>
      <w:bookmarkStart w:name="612:10-11-6.  Client participation in co" w:id="261"/>
      <w:bookmarkEnd w:id="261"/>
      <w:r>
        <w:rPr>
          <w:b w:val="0"/>
        </w:rPr>
      </w:r>
      <w:r>
        <w:rPr/>
        <w:t>612:10-11-6.</w:t>
      </w:r>
      <w:r>
        <w:rPr>
          <w:spacing w:val="60"/>
        </w:rPr>
        <w:t> </w:t>
      </w:r>
      <w:r>
        <w:rPr/>
        <w:t>Client</w:t>
      </w:r>
      <w:r>
        <w:rPr>
          <w:spacing w:val="-2"/>
        </w:rPr>
        <w:t> </w:t>
      </w:r>
      <w:r>
        <w:rPr/>
        <w:t>participation</w:t>
      </w:r>
      <w:r>
        <w:rPr>
          <w:spacing w:val="-3"/>
        </w:rPr>
        <w:t> </w:t>
      </w:r>
      <w:r>
        <w:rPr/>
        <w:t>in</w:t>
      </w:r>
      <w:r>
        <w:rPr>
          <w:spacing w:val="-3"/>
        </w:rPr>
        <w:t> </w:t>
      </w:r>
      <w:r>
        <w:rPr/>
        <w:t>cost</w:t>
      </w:r>
      <w:r>
        <w:rPr>
          <w:spacing w:val="-2"/>
        </w:rPr>
        <w:t> </w:t>
      </w:r>
      <w:r>
        <w:rPr/>
        <w:t>of</w:t>
      </w:r>
      <w:r>
        <w:rPr>
          <w:spacing w:val="-2"/>
        </w:rPr>
        <w:t> </w:t>
      </w:r>
      <w:r>
        <w:rPr/>
        <w:t>OB</w:t>
      </w:r>
      <w:r>
        <w:rPr>
          <w:spacing w:val="-3"/>
        </w:rPr>
        <w:t> </w:t>
      </w:r>
      <w:r>
        <w:rPr>
          <w:spacing w:val="-2"/>
        </w:rPr>
        <w:t>services</w:t>
      </w:r>
    </w:p>
    <w:p>
      <w:pPr>
        <w:pStyle w:val="BodyText"/>
        <w:spacing w:line="208" w:lineRule="auto" w:before="233"/>
        <w:ind w:left="359" w:right="1036" w:firstLine="432"/>
      </w:pPr>
      <w:r>
        <w:rPr/>
        <w:t>OB</w:t>
      </w:r>
      <w:r>
        <w:rPr>
          <w:spacing w:val="-4"/>
        </w:rPr>
        <w:t> </w:t>
      </w:r>
      <w:r>
        <w:rPr/>
        <w:t>services</w:t>
      </w:r>
      <w:r>
        <w:rPr>
          <w:spacing w:val="-4"/>
        </w:rPr>
        <w:t> </w:t>
      </w:r>
      <w:r>
        <w:rPr/>
        <w:t>are</w:t>
      </w:r>
      <w:r>
        <w:rPr>
          <w:spacing w:val="-4"/>
        </w:rPr>
        <w:t> </w:t>
      </w:r>
      <w:r>
        <w:rPr/>
        <w:t>available</w:t>
      </w:r>
      <w:r>
        <w:rPr>
          <w:spacing w:val="-4"/>
        </w:rPr>
        <w:t> </w:t>
      </w:r>
      <w:r>
        <w:rPr/>
        <w:t>to</w:t>
      </w:r>
      <w:r>
        <w:rPr>
          <w:spacing w:val="-4"/>
        </w:rPr>
        <w:t> </w:t>
      </w:r>
      <w:r>
        <w:rPr/>
        <w:t>individuals</w:t>
      </w:r>
      <w:r>
        <w:rPr>
          <w:spacing w:val="-4"/>
        </w:rPr>
        <w:t> </w:t>
      </w:r>
      <w:r>
        <w:rPr/>
        <w:t>who</w:t>
      </w:r>
      <w:r>
        <w:rPr>
          <w:spacing w:val="-4"/>
        </w:rPr>
        <w:t> </w:t>
      </w:r>
      <w:r>
        <w:rPr/>
        <w:t>are</w:t>
      </w:r>
      <w:r>
        <w:rPr>
          <w:spacing w:val="-4"/>
        </w:rPr>
        <w:t> </w:t>
      </w:r>
      <w:r>
        <w:rPr/>
        <w:t>determined</w:t>
      </w:r>
      <w:r>
        <w:rPr>
          <w:spacing w:val="-4"/>
        </w:rPr>
        <w:t> </w:t>
      </w:r>
      <w:r>
        <w:rPr/>
        <w:t>eligible</w:t>
      </w:r>
      <w:r>
        <w:rPr>
          <w:spacing w:val="-3"/>
        </w:rPr>
        <w:t> </w:t>
      </w:r>
      <w:r>
        <w:rPr/>
        <w:t>for</w:t>
      </w:r>
      <w:r>
        <w:rPr>
          <w:spacing w:val="-3"/>
        </w:rPr>
        <w:t> </w:t>
      </w:r>
      <w:r>
        <w:rPr/>
        <w:t>services and who have shown need for multiple rehabilitation teaching services. Eligible individuals are not required to participate in service cost. If the consumer wishes to participate in the cost of case service, such expenditures can be negotiated.</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7-1-05</w:t>
      </w:r>
      <w:r>
        <w:rPr>
          <w:sz w:val="22"/>
        </w:rPr>
        <w:tab/>
        <w:t>PT Memo #06-01</w:t>
      </w:r>
    </w:p>
    <w:p>
      <w:pPr>
        <w:tabs>
          <w:tab w:pos="1439" w:val="left" w:leader="none"/>
        </w:tabs>
        <w:spacing w:before="0"/>
        <w:ind w:left="359" w:right="2810" w:firstLine="1080"/>
        <w:jc w:val="left"/>
        <w:rPr>
          <w:sz w:val="22"/>
        </w:rPr>
      </w:pPr>
      <w:r>
        <w:rPr>
          <w:sz w:val="22"/>
        </w:rPr>
        <w:t>Permanent,</w:t>
      </w:r>
      <w:r>
        <w:rPr>
          <w:spacing w:val="-5"/>
          <w:sz w:val="22"/>
        </w:rPr>
        <w:t> </w:t>
      </w:r>
      <w:r>
        <w:rPr>
          <w:sz w:val="22"/>
        </w:rPr>
        <w:t>Independent</w:t>
      </w:r>
      <w:r>
        <w:rPr>
          <w:spacing w:val="-7"/>
          <w:sz w:val="22"/>
        </w:rPr>
        <w:t> </w:t>
      </w:r>
      <w:r>
        <w:rPr>
          <w:sz w:val="22"/>
        </w:rPr>
        <w:t>Living</w:t>
      </w:r>
      <w:r>
        <w:rPr>
          <w:spacing w:val="-6"/>
          <w:sz w:val="22"/>
        </w:rPr>
        <w:t> </w:t>
      </w:r>
      <w:r>
        <w:rPr>
          <w:sz w:val="22"/>
        </w:rPr>
        <w:t>policy</w:t>
      </w:r>
      <w:r>
        <w:rPr>
          <w:spacing w:val="-6"/>
          <w:sz w:val="22"/>
        </w:rPr>
        <w:t> </w:t>
      </w:r>
      <w:r>
        <w:rPr>
          <w:sz w:val="22"/>
        </w:rPr>
        <w:t>replaced</w:t>
      </w:r>
      <w:r>
        <w:rPr>
          <w:spacing w:val="-7"/>
          <w:sz w:val="22"/>
        </w:rPr>
        <w:t> </w:t>
      </w:r>
      <w:r>
        <w:rPr>
          <w:sz w:val="22"/>
        </w:rPr>
        <w:t>with</w:t>
      </w:r>
      <w:r>
        <w:rPr>
          <w:spacing w:val="-6"/>
          <w:sz w:val="22"/>
        </w:rPr>
        <w:t> </w:t>
      </w:r>
      <w:r>
        <w:rPr>
          <w:sz w:val="22"/>
        </w:rPr>
        <w:t>Older</w:t>
      </w:r>
      <w:r>
        <w:rPr>
          <w:spacing w:val="-6"/>
          <w:sz w:val="22"/>
        </w:rPr>
        <w:t> </w:t>
      </w:r>
      <w:r>
        <w:rPr>
          <w:sz w:val="22"/>
        </w:rPr>
        <w:t>Blind </w:t>
      </w:r>
      <w:r>
        <w:rPr>
          <w:spacing w:val="-2"/>
          <w:sz w:val="22"/>
        </w:rPr>
        <w:t>7-1-07</w:t>
      </w:r>
      <w:r>
        <w:rPr>
          <w:sz w:val="22"/>
        </w:rPr>
        <w:tab/>
        <w:t>PT Memo #08-01</w:t>
      </w:r>
    </w:p>
    <w:p>
      <w:pPr>
        <w:tabs>
          <w:tab w:pos="1439" w:val="left" w:leader="none"/>
        </w:tabs>
        <w:spacing w:before="0"/>
        <w:ind w:left="359" w:right="5978" w:firstLine="1080"/>
        <w:jc w:val="left"/>
        <w:rPr>
          <w:sz w:val="22"/>
        </w:rPr>
      </w:pPr>
      <w:r>
        <w:rPr>
          <w:sz w:val="22"/>
        </w:rPr>
        <w:t>Permanent,</w:t>
      </w:r>
      <w:r>
        <w:rPr>
          <w:spacing w:val="-9"/>
          <w:sz w:val="22"/>
        </w:rPr>
        <w:t> </w:t>
      </w:r>
      <w:r>
        <w:rPr>
          <w:sz w:val="22"/>
        </w:rPr>
        <w:t>changed</w:t>
      </w:r>
      <w:r>
        <w:rPr>
          <w:spacing w:val="-10"/>
          <w:sz w:val="22"/>
        </w:rPr>
        <w:t> </w:t>
      </w:r>
      <w:r>
        <w:rPr>
          <w:sz w:val="22"/>
        </w:rPr>
        <w:t>OL</w:t>
      </w:r>
      <w:r>
        <w:rPr>
          <w:spacing w:val="-10"/>
          <w:sz w:val="22"/>
        </w:rPr>
        <w:t> </w:t>
      </w:r>
      <w:r>
        <w:rPr>
          <w:sz w:val="22"/>
        </w:rPr>
        <w:t>to</w:t>
      </w:r>
      <w:r>
        <w:rPr>
          <w:spacing w:val="-10"/>
          <w:sz w:val="22"/>
        </w:rPr>
        <w:t> </w:t>
      </w:r>
      <w:r>
        <w:rPr>
          <w:sz w:val="22"/>
        </w:rPr>
        <w:t>OB </w:t>
      </w:r>
      <w:r>
        <w:rPr>
          <w:spacing w:val="-2"/>
          <w:sz w:val="22"/>
        </w:rPr>
        <w:t>7-1-11</w:t>
      </w:r>
      <w:r>
        <w:rPr>
          <w:sz w:val="22"/>
        </w:rPr>
        <w:tab/>
        <w:t>PT Memo #12-01</w:t>
      </w:r>
    </w:p>
    <w:p>
      <w:pPr>
        <w:spacing w:before="0"/>
        <w:ind w:left="1439" w:right="0" w:firstLine="0"/>
        <w:jc w:val="left"/>
        <w:rPr>
          <w:sz w:val="22"/>
        </w:rPr>
      </w:pPr>
      <w:r>
        <w:rPr>
          <w:sz w:val="22"/>
        </w:rPr>
        <w:t>Permanent,</w:t>
      </w:r>
      <w:r>
        <w:rPr>
          <w:spacing w:val="-10"/>
          <w:sz w:val="22"/>
        </w:rPr>
        <w:t> </w:t>
      </w:r>
      <w:r>
        <w:rPr>
          <w:sz w:val="22"/>
        </w:rPr>
        <w:t>updated</w:t>
      </w:r>
      <w:r>
        <w:rPr>
          <w:spacing w:val="-11"/>
          <w:sz w:val="22"/>
        </w:rPr>
        <w:t> </w:t>
      </w:r>
      <w:r>
        <w:rPr>
          <w:spacing w:val="-2"/>
          <w:sz w:val="22"/>
        </w:rPr>
        <w:t>language</w:t>
      </w:r>
    </w:p>
    <w:p>
      <w:pPr>
        <w:spacing w:after="0"/>
        <w:jc w:val="left"/>
        <w:rPr>
          <w:sz w:val="22"/>
        </w:rPr>
        <w:sectPr>
          <w:pgSz w:w="12240" w:h="15840"/>
          <w:pgMar w:top="1340" w:bottom="280" w:left="1080" w:right="720"/>
        </w:sectPr>
      </w:pPr>
    </w:p>
    <w:p>
      <w:pPr>
        <w:pStyle w:val="Heading2"/>
      </w:pPr>
      <w:bookmarkStart w:name="612:10-11-7.  Administrative review" w:id="262"/>
      <w:bookmarkEnd w:id="262"/>
      <w:r>
        <w:rPr>
          <w:b w:val="0"/>
        </w:rPr>
      </w:r>
      <w:r>
        <w:rPr/>
        <w:t>612:10-11-7.</w:t>
      </w:r>
      <w:r>
        <w:rPr>
          <w:spacing w:val="57"/>
        </w:rPr>
        <w:t> </w:t>
      </w:r>
      <w:r>
        <w:rPr/>
        <w:t>Administrative</w:t>
      </w:r>
      <w:r>
        <w:rPr>
          <w:spacing w:val="-5"/>
        </w:rPr>
        <w:t> </w:t>
      </w:r>
      <w:r>
        <w:rPr>
          <w:spacing w:val="-2"/>
        </w:rPr>
        <w:t>review</w:t>
      </w:r>
    </w:p>
    <w:p>
      <w:pPr>
        <w:pStyle w:val="BodyText"/>
        <w:spacing w:line="208" w:lineRule="auto" w:before="233"/>
        <w:ind w:right="769" w:firstLine="432"/>
      </w:pPr>
      <w:r>
        <w:rPr/>
        <w:t>Any individual who is an applicant or client of OB services must be advised of his/her</w:t>
      </w:r>
      <w:r>
        <w:rPr>
          <w:spacing w:val="-2"/>
        </w:rPr>
        <w:t> </w:t>
      </w:r>
      <w:r>
        <w:rPr/>
        <w:t>right</w:t>
      </w:r>
      <w:r>
        <w:rPr>
          <w:spacing w:val="-2"/>
        </w:rPr>
        <w:t> </w:t>
      </w:r>
      <w:r>
        <w:rPr/>
        <w:t>to</w:t>
      </w:r>
      <w:r>
        <w:rPr>
          <w:spacing w:val="-4"/>
        </w:rPr>
        <w:t> </w:t>
      </w:r>
      <w:r>
        <w:rPr/>
        <w:t>request</w:t>
      </w:r>
      <w:r>
        <w:rPr>
          <w:spacing w:val="-2"/>
        </w:rPr>
        <w:t> </w:t>
      </w:r>
      <w:r>
        <w:rPr/>
        <w:t>a</w:t>
      </w:r>
      <w:r>
        <w:rPr>
          <w:spacing w:val="-3"/>
        </w:rPr>
        <w:t> </w:t>
      </w:r>
      <w:r>
        <w:rPr/>
        <w:t>timely</w:t>
      </w:r>
      <w:r>
        <w:rPr>
          <w:spacing w:val="-3"/>
        </w:rPr>
        <w:t> </w:t>
      </w:r>
      <w:r>
        <w:rPr/>
        <w:t>review</w:t>
      </w:r>
      <w:r>
        <w:rPr>
          <w:spacing w:val="-3"/>
        </w:rPr>
        <w:t> </w:t>
      </w:r>
      <w:r>
        <w:rPr/>
        <w:t>or</w:t>
      </w:r>
      <w:r>
        <w:rPr>
          <w:spacing w:val="-2"/>
        </w:rPr>
        <w:t> </w:t>
      </w:r>
      <w:r>
        <w:rPr/>
        <w:t>a</w:t>
      </w:r>
      <w:r>
        <w:rPr>
          <w:spacing w:val="-3"/>
        </w:rPr>
        <w:t> </w:t>
      </w:r>
      <w:r>
        <w:rPr/>
        <w:t>re-determination</w:t>
      </w:r>
      <w:r>
        <w:rPr>
          <w:spacing w:val="-3"/>
        </w:rPr>
        <w:t> </w:t>
      </w:r>
      <w:r>
        <w:rPr/>
        <w:t>of</w:t>
      </w:r>
      <w:r>
        <w:rPr>
          <w:spacing w:val="-2"/>
        </w:rPr>
        <w:t> </w:t>
      </w:r>
      <w:r>
        <w:rPr/>
        <w:t>any</w:t>
      </w:r>
      <w:r>
        <w:rPr>
          <w:spacing w:val="-3"/>
        </w:rPr>
        <w:t> </w:t>
      </w:r>
      <w:r>
        <w:rPr/>
        <w:t>action</w:t>
      </w:r>
      <w:r>
        <w:rPr>
          <w:spacing w:val="-3"/>
        </w:rPr>
        <w:t> </w:t>
      </w:r>
      <w:r>
        <w:rPr/>
        <w:t>taken</w:t>
      </w:r>
      <w:r>
        <w:rPr>
          <w:spacing w:val="-3"/>
        </w:rPr>
        <w:t> </w:t>
      </w:r>
      <w:r>
        <w:rPr/>
        <w:t>by</w:t>
      </w:r>
      <w:r>
        <w:rPr>
          <w:spacing w:val="-3"/>
        </w:rPr>
        <w:t> </w:t>
      </w:r>
      <w:r>
        <w:rPr/>
        <w:t>DRS staff. The review will be conducted by the Administrator for Services for the Blind and Visually Impaired or his/her designee, who shall respond to the applicant or client in writing with the findings and conclusions of the review.</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7-1-05</w:t>
      </w:r>
      <w:r>
        <w:rPr>
          <w:sz w:val="22"/>
        </w:rPr>
        <w:tab/>
        <w:t>PT Memo #06-01</w:t>
      </w:r>
    </w:p>
    <w:p>
      <w:pPr>
        <w:spacing w:before="1"/>
        <w:ind w:left="359" w:right="2810" w:firstLine="1080"/>
        <w:jc w:val="left"/>
        <w:rPr>
          <w:sz w:val="22"/>
        </w:rPr>
      </w:pPr>
      <w:r>
        <w:rPr>
          <w:sz w:val="22"/>
        </w:rPr>
        <w:t>Permanent,</w:t>
      </w:r>
      <w:r>
        <w:rPr>
          <w:spacing w:val="-5"/>
          <w:sz w:val="22"/>
        </w:rPr>
        <w:t> </w:t>
      </w:r>
      <w:r>
        <w:rPr>
          <w:sz w:val="22"/>
        </w:rPr>
        <w:t>Independent</w:t>
      </w:r>
      <w:r>
        <w:rPr>
          <w:spacing w:val="-7"/>
          <w:sz w:val="22"/>
        </w:rPr>
        <w:t> </w:t>
      </w:r>
      <w:r>
        <w:rPr>
          <w:sz w:val="22"/>
        </w:rPr>
        <w:t>Living</w:t>
      </w:r>
      <w:r>
        <w:rPr>
          <w:spacing w:val="-6"/>
          <w:sz w:val="22"/>
        </w:rPr>
        <w:t> </w:t>
      </w:r>
      <w:r>
        <w:rPr>
          <w:sz w:val="22"/>
        </w:rPr>
        <w:t>policy</w:t>
      </w:r>
      <w:r>
        <w:rPr>
          <w:spacing w:val="-6"/>
          <w:sz w:val="22"/>
        </w:rPr>
        <w:t> </w:t>
      </w:r>
      <w:r>
        <w:rPr>
          <w:sz w:val="22"/>
        </w:rPr>
        <w:t>replaced</w:t>
      </w:r>
      <w:r>
        <w:rPr>
          <w:spacing w:val="-7"/>
          <w:sz w:val="22"/>
        </w:rPr>
        <w:t> </w:t>
      </w:r>
      <w:r>
        <w:rPr>
          <w:sz w:val="22"/>
        </w:rPr>
        <w:t>with</w:t>
      </w:r>
      <w:r>
        <w:rPr>
          <w:spacing w:val="-6"/>
          <w:sz w:val="22"/>
        </w:rPr>
        <w:t> </w:t>
      </w:r>
      <w:r>
        <w:rPr>
          <w:sz w:val="22"/>
        </w:rPr>
        <w:t>Older</w:t>
      </w:r>
      <w:r>
        <w:rPr>
          <w:spacing w:val="-6"/>
          <w:sz w:val="22"/>
        </w:rPr>
        <w:t> </w:t>
      </w:r>
      <w:r>
        <w:rPr>
          <w:sz w:val="22"/>
        </w:rPr>
        <w:t>Blind 7-1-07 PT Memo #08-01</w:t>
      </w:r>
    </w:p>
    <w:p>
      <w:pPr>
        <w:spacing w:line="252" w:lineRule="exact" w:before="0"/>
        <w:ind w:left="1439" w:right="0" w:firstLine="0"/>
        <w:jc w:val="left"/>
        <w:rPr>
          <w:sz w:val="22"/>
        </w:rPr>
      </w:pPr>
      <w:r>
        <w:rPr>
          <w:sz w:val="22"/>
        </w:rPr>
        <w:t>Permanent,</w:t>
      </w:r>
      <w:r>
        <w:rPr>
          <w:spacing w:val="-6"/>
          <w:sz w:val="22"/>
        </w:rPr>
        <w:t> </w:t>
      </w:r>
      <w:r>
        <w:rPr>
          <w:sz w:val="22"/>
        </w:rPr>
        <w:t>changed</w:t>
      </w:r>
      <w:r>
        <w:rPr>
          <w:spacing w:val="-7"/>
          <w:sz w:val="22"/>
        </w:rPr>
        <w:t> </w:t>
      </w:r>
      <w:r>
        <w:rPr>
          <w:sz w:val="22"/>
        </w:rPr>
        <w:t>OL</w:t>
      </w:r>
      <w:r>
        <w:rPr>
          <w:spacing w:val="-7"/>
          <w:sz w:val="22"/>
        </w:rPr>
        <w:t> </w:t>
      </w:r>
      <w:r>
        <w:rPr>
          <w:sz w:val="22"/>
        </w:rPr>
        <w:t>to</w:t>
      </w:r>
      <w:r>
        <w:rPr>
          <w:spacing w:val="-7"/>
          <w:sz w:val="22"/>
        </w:rPr>
        <w:t> </w:t>
      </w:r>
      <w:r>
        <w:rPr>
          <w:spacing w:val="-5"/>
          <w:sz w:val="22"/>
        </w:rPr>
        <w:t>OB</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1"/>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spacing w:after="0"/>
        <w:jc w:val="left"/>
        <w:rPr>
          <w:sz w:val="22"/>
        </w:rPr>
        <w:sectPr>
          <w:pgSz w:w="12240" w:h="15840"/>
          <w:pgMar w:top="1340" w:bottom="280" w:left="1080" w:right="720"/>
        </w:sectPr>
      </w:pPr>
    </w:p>
    <w:p>
      <w:pPr>
        <w:pStyle w:val="Heading1"/>
        <w:ind w:right="778"/>
      </w:pPr>
      <w:bookmarkStart w:name="PART 3.  CASE PROCESSING" w:id="263"/>
      <w:bookmarkEnd w:id="263"/>
      <w:r>
        <w:rPr>
          <w:b w:val="0"/>
        </w:rPr>
      </w:r>
      <w:r>
        <w:rPr/>
        <w:t>PART</w:t>
      </w:r>
      <w:r>
        <w:rPr>
          <w:spacing w:val="-1"/>
        </w:rPr>
        <w:t> </w:t>
      </w:r>
      <w:r>
        <w:rPr/>
        <w:t>3.</w:t>
      </w:r>
      <w:r>
        <w:rPr>
          <w:spacing w:val="64"/>
        </w:rPr>
        <w:t> </w:t>
      </w:r>
      <w:r>
        <w:rPr/>
        <w:t>CASE</w:t>
      </w:r>
      <w:r>
        <w:rPr>
          <w:spacing w:val="-2"/>
        </w:rPr>
        <w:t> PROCESSING</w:t>
      </w:r>
    </w:p>
    <w:p>
      <w:pPr>
        <w:pStyle w:val="BodyText"/>
        <w:spacing w:before="204"/>
      </w:pPr>
      <w:r>
        <w:rPr>
          <w:spacing w:val="-2"/>
        </w:rPr>
        <w:t>Section</w:t>
      </w:r>
    </w:p>
    <w:p>
      <w:pPr>
        <w:pStyle w:val="BodyText"/>
        <w:tabs>
          <w:tab w:pos="2519" w:val="left" w:leader="none"/>
        </w:tabs>
        <w:spacing w:before="204"/>
      </w:pPr>
      <w:r>
        <w:rPr>
          <w:spacing w:val="-2"/>
        </w:rPr>
        <w:t>612:10-11-</w:t>
      </w:r>
      <w:r>
        <w:rPr>
          <w:spacing w:val="-5"/>
        </w:rPr>
        <w:t>17.</w:t>
      </w:r>
      <w:r>
        <w:rPr/>
        <w:tab/>
        <w:t>Case</w:t>
      </w:r>
      <w:r>
        <w:rPr>
          <w:spacing w:val="-4"/>
        </w:rPr>
        <w:t> </w:t>
      </w:r>
      <w:r>
        <w:rPr>
          <w:spacing w:val="-2"/>
        </w:rPr>
        <w:t>processing</w:t>
      </w:r>
    </w:p>
    <w:p>
      <w:pPr>
        <w:pStyle w:val="BodyText"/>
        <w:tabs>
          <w:tab w:pos="2519" w:val="left" w:leader="none"/>
        </w:tabs>
        <w:spacing w:before="204"/>
      </w:pPr>
      <w:r>
        <w:rPr>
          <w:spacing w:val="-2"/>
        </w:rPr>
        <w:t>612:10-11-</w:t>
      </w:r>
      <w:r>
        <w:rPr>
          <w:spacing w:val="-5"/>
        </w:rPr>
        <w:t>22.</w:t>
      </w:r>
      <w:r>
        <w:rPr/>
        <w:tab/>
        <w:t>Service</w:t>
      </w:r>
      <w:r>
        <w:rPr>
          <w:spacing w:val="-3"/>
        </w:rPr>
        <w:t> </w:t>
      </w:r>
      <w:r>
        <w:rPr>
          <w:spacing w:val="-2"/>
        </w:rPr>
        <w:t>Status</w:t>
      </w:r>
    </w:p>
    <w:p>
      <w:pPr>
        <w:pStyle w:val="BodyText"/>
        <w:tabs>
          <w:tab w:pos="2519" w:val="left" w:leader="none"/>
        </w:tabs>
        <w:spacing w:before="204"/>
      </w:pPr>
      <w:r>
        <w:rPr>
          <w:spacing w:val="-2"/>
        </w:rPr>
        <w:t>612:10-11-</w:t>
      </w:r>
      <w:r>
        <w:rPr>
          <w:spacing w:val="-5"/>
        </w:rPr>
        <w:t>24.</w:t>
      </w:r>
      <w:r>
        <w:rPr/>
        <w:tab/>
        <w:t>Successful</w:t>
      </w:r>
      <w:r>
        <w:rPr>
          <w:spacing w:val="-4"/>
        </w:rPr>
        <w:t> </w:t>
      </w:r>
      <w:r>
        <w:rPr/>
        <w:t>Closure</w:t>
      </w:r>
      <w:r>
        <w:rPr>
          <w:spacing w:val="-3"/>
        </w:rPr>
        <w:t> </w:t>
      </w:r>
      <w:r>
        <w:rPr>
          <w:spacing w:val="-2"/>
        </w:rPr>
        <w:t>Status</w:t>
      </w:r>
    </w:p>
    <w:p>
      <w:pPr>
        <w:pStyle w:val="BodyText"/>
        <w:spacing w:after="0"/>
        <w:sectPr>
          <w:pgSz w:w="12240" w:h="15840"/>
          <w:pgMar w:top="1340" w:bottom="280" w:left="1080" w:right="720"/>
        </w:sectPr>
      </w:pPr>
    </w:p>
    <w:p>
      <w:pPr>
        <w:pStyle w:val="Heading2"/>
      </w:pPr>
      <w:bookmarkStart w:name="612:10-11-17.  Case processing" w:id="264"/>
      <w:bookmarkEnd w:id="264"/>
      <w:r>
        <w:rPr>
          <w:b w:val="0"/>
        </w:rPr>
      </w:r>
      <w:r>
        <w:rPr/>
        <w:t>612:10-11-17.</w:t>
      </w:r>
      <w:r>
        <w:rPr>
          <w:spacing w:val="59"/>
        </w:rPr>
        <w:t> </w:t>
      </w:r>
      <w:r>
        <w:rPr/>
        <w:t>Case</w:t>
      </w:r>
      <w:r>
        <w:rPr>
          <w:spacing w:val="-4"/>
        </w:rPr>
        <w:t> </w:t>
      </w:r>
      <w:r>
        <w:rPr>
          <w:spacing w:val="-2"/>
        </w:rPr>
        <w:t>processing</w:t>
      </w:r>
    </w:p>
    <w:p>
      <w:pPr>
        <w:pStyle w:val="BodyText"/>
        <w:spacing w:line="208" w:lineRule="auto" w:before="233"/>
        <w:ind w:right="775" w:firstLine="432"/>
      </w:pPr>
      <w:r>
        <w:rPr/>
        <w:t>To</w:t>
      </w:r>
      <w:r>
        <w:rPr>
          <w:spacing w:val="-3"/>
        </w:rPr>
        <w:t> </w:t>
      </w:r>
      <w:r>
        <w:rPr/>
        <w:t>provide</w:t>
      </w:r>
      <w:r>
        <w:rPr>
          <w:spacing w:val="-3"/>
        </w:rPr>
        <w:t> </w:t>
      </w:r>
      <w:r>
        <w:rPr/>
        <w:t>an</w:t>
      </w:r>
      <w:r>
        <w:rPr>
          <w:spacing w:val="-3"/>
        </w:rPr>
        <w:t> </w:t>
      </w:r>
      <w:r>
        <w:rPr/>
        <w:t>orderly</w:t>
      </w:r>
      <w:r>
        <w:rPr>
          <w:spacing w:val="-3"/>
        </w:rPr>
        <w:t> </w:t>
      </w:r>
      <w:r>
        <w:rPr/>
        <w:t>manner</w:t>
      </w:r>
      <w:r>
        <w:rPr>
          <w:spacing w:val="-2"/>
        </w:rPr>
        <w:t> </w:t>
      </w:r>
      <w:r>
        <w:rPr/>
        <w:t>for</w:t>
      </w:r>
      <w:r>
        <w:rPr>
          <w:spacing w:val="-4"/>
        </w:rPr>
        <w:t> </w:t>
      </w:r>
      <w:r>
        <w:rPr/>
        <w:t>progression</w:t>
      </w:r>
      <w:r>
        <w:rPr>
          <w:spacing w:val="-3"/>
        </w:rPr>
        <w:t> </w:t>
      </w:r>
      <w:r>
        <w:rPr/>
        <w:t>of</w:t>
      </w:r>
      <w:r>
        <w:rPr>
          <w:spacing w:val="-2"/>
        </w:rPr>
        <w:t> </w:t>
      </w:r>
      <w:r>
        <w:rPr/>
        <w:t>an</w:t>
      </w:r>
      <w:r>
        <w:rPr>
          <w:spacing w:val="-3"/>
        </w:rPr>
        <w:t> </w:t>
      </w:r>
      <w:r>
        <w:rPr/>
        <w:t>OB</w:t>
      </w:r>
      <w:r>
        <w:rPr>
          <w:spacing w:val="-5"/>
        </w:rPr>
        <w:t> </w:t>
      </w:r>
      <w:r>
        <w:rPr/>
        <w:t>services</w:t>
      </w:r>
      <w:r>
        <w:rPr>
          <w:spacing w:val="-3"/>
        </w:rPr>
        <w:t> </w:t>
      </w:r>
      <w:r>
        <w:rPr/>
        <w:t>case</w:t>
      </w:r>
      <w:r>
        <w:rPr>
          <w:spacing w:val="-3"/>
        </w:rPr>
        <w:t> </w:t>
      </w:r>
      <w:r>
        <w:rPr/>
        <w:t>through</w:t>
      </w:r>
      <w:r>
        <w:rPr>
          <w:spacing w:val="-3"/>
        </w:rPr>
        <w:t> </w:t>
      </w:r>
      <w:r>
        <w:rPr/>
        <w:t>the process from referral to closure, a status classification system has been developed.</w:t>
      </w:r>
    </w:p>
    <w:p>
      <w:pPr>
        <w:pStyle w:val="BodyText"/>
        <w:spacing w:line="208" w:lineRule="auto" w:before="0"/>
        <w:ind w:right="775"/>
      </w:pPr>
      <w:r>
        <w:rPr/>
        <w:t>This</w:t>
      </w:r>
      <w:r>
        <w:rPr>
          <w:spacing w:val="-3"/>
        </w:rPr>
        <w:t> </w:t>
      </w:r>
      <w:r>
        <w:rPr/>
        <w:t>system</w:t>
      </w:r>
      <w:r>
        <w:rPr>
          <w:spacing w:val="-2"/>
        </w:rPr>
        <w:t> </w:t>
      </w:r>
      <w:r>
        <w:rPr/>
        <w:t>has</w:t>
      </w:r>
      <w:r>
        <w:rPr>
          <w:spacing w:val="-3"/>
        </w:rPr>
        <w:t> </w:t>
      </w:r>
      <w:r>
        <w:rPr/>
        <w:t>been</w:t>
      </w:r>
      <w:r>
        <w:rPr>
          <w:spacing w:val="-3"/>
        </w:rPr>
        <w:t> </w:t>
      </w:r>
      <w:r>
        <w:rPr/>
        <w:t>developed</w:t>
      </w:r>
      <w:r>
        <w:rPr>
          <w:spacing w:val="-3"/>
        </w:rPr>
        <w:t> </w:t>
      </w:r>
      <w:r>
        <w:rPr/>
        <w:t>so</w:t>
      </w:r>
      <w:r>
        <w:rPr>
          <w:spacing w:val="-3"/>
        </w:rPr>
        <w:t> </w:t>
      </w:r>
      <w:r>
        <w:rPr/>
        <w:t>the</w:t>
      </w:r>
      <w:r>
        <w:rPr>
          <w:spacing w:val="-3"/>
        </w:rPr>
        <w:t> </w:t>
      </w:r>
      <w:r>
        <w:rPr/>
        <w:t>status</w:t>
      </w:r>
      <w:r>
        <w:rPr>
          <w:spacing w:val="-3"/>
        </w:rPr>
        <w:t> </w:t>
      </w:r>
      <w:r>
        <w:rPr/>
        <w:t>will</w:t>
      </w:r>
      <w:r>
        <w:rPr>
          <w:spacing w:val="-3"/>
        </w:rPr>
        <w:t> </w:t>
      </w:r>
      <w:r>
        <w:rPr/>
        <w:t>tell</w:t>
      </w:r>
      <w:r>
        <w:rPr>
          <w:spacing w:val="-2"/>
        </w:rPr>
        <w:t> </w:t>
      </w:r>
      <w:r>
        <w:rPr/>
        <w:t>at</w:t>
      </w:r>
      <w:r>
        <w:rPr>
          <w:spacing w:val="-2"/>
        </w:rPr>
        <w:t> </w:t>
      </w:r>
      <w:r>
        <w:rPr/>
        <w:t>what</w:t>
      </w:r>
      <w:r>
        <w:rPr>
          <w:spacing w:val="-2"/>
        </w:rPr>
        <w:t> </w:t>
      </w:r>
      <w:r>
        <w:rPr/>
        <w:t>stage</w:t>
      </w:r>
      <w:r>
        <w:rPr>
          <w:spacing w:val="-3"/>
        </w:rPr>
        <w:t> </w:t>
      </w:r>
      <w:r>
        <w:rPr/>
        <w:t>in</w:t>
      </w:r>
      <w:r>
        <w:rPr>
          <w:spacing w:val="-3"/>
        </w:rPr>
        <w:t> </w:t>
      </w:r>
      <w:r>
        <w:rPr/>
        <w:t>the</w:t>
      </w:r>
      <w:r>
        <w:rPr>
          <w:spacing w:val="-3"/>
        </w:rPr>
        <w:t> </w:t>
      </w:r>
      <w:r>
        <w:rPr/>
        <w:t>process</w:t>
      </w:r>
      <w:r>
        <w:rPr>
          <w:spacing w:val="-3"/>
        </w:rPr>
        <w:t> </w:t>
      </w:r>
      <w:r>
        <w:rPr/>
        <w:t>a case is at a given time. The criteria for each status are the same as for other rehabilitation cases. </w:t>
      </w:r>
      <w:r>
        <w:rPr>
          <w:b/>
        </w:rPr>
        <w:t>1 </w:t>
      </w:r>
      <w:r>
        <w:rPr/>
        <w:t>The statuses are:</w:t>
      </w:r>
    </w:p>
    <w:p>
      <w:pPr>
        <w:pStyle w:val="ListParagraph"/>
        <w:numPr>
          <w:ilvl w:val="0"/>
          <w:numId w:val="280"/>
        </w:numPr>
        <w:tabs>
          <w:tab w:pos="1218" w:val="left" w:leader="none"/>
        </w:tabs>
        <w:spacing w:line="240" w:lineRule="auto" w:before="210" w:after="0"/>
        <w:ind w:left="1218" w:right="0" w:hanging="426"/>
        <w:jc w:val="left"/>
        <w:rPr>
          <w:sz w:val="24"/>
        </w:rPr>
      </w:pPr>
      <w:r>
        <w:rPr>
          <w:sz w:val="24"/>
        </w:rPr>
        <w:t>Application</w:t>
      </w:r>
      <w:r>
        <w:rPr>
          <w:spacing w:val="-8"/>
          <w:sz w:val="24"/>
        </w:rPr>
        <w:t> </w:t>
      </w:r>
      <w:r>
        <w:rPr>
          <w:spacing w:val="-2"/>
          <w:sz w:val="24"/>
        </w:rPr>
        <w:t>Status</w:t>
      </w:r>
    </w:p>
    <w:p>
      <w:pPr>
        <w:pStyle w:val="ListParagraph"/>
        <w:numPr>
          <w:ilvl w:val="0"/>
          <w:numId w:val="280"/>
        </w:numPr>
        <w:tabs>
          <w:tab w:pos="1218" w:val="left" w:leader="none"/>
        </w:tabs>
        <w:spacing w:line="240" w:lineRule="auto" w:before="204" w:after="0"/>
        <w:ind w:left="1218" w:right="0" w:hanging="426"/>
        <w:jc w:val="left"/>
        <w:rPr>
          <w:sz w:val="24"/>
        </w:rPr>
      </w:pPr>
      <w:r>
        <w:rPr>
          <w:sz w:val="24"/>
        </w:rPr>
        <w:t>Closure</w:t>
      </w:r>
      <w:r>
        <w:rPr>
          <w:spacing w:val="-5"/>
          <w:sz w:val="24"/>
        </w:rPr>
        <w:t> </w:t>
      </w:r>
      <w:r>
        <w:rPr>
          <w:sz w:val="24"/>
        </w:rPr>
        <w:t>From</w:t>
      </w:r>
      <w:r>
        <w:rPr>
          <w:spacing w:val="-4"/>
          <w:sz w:val="24"/>
        </w:rPr>
        <w:t> </w:t>
      </w:r>
      <w:r>
        <w:rPr>
          <w:sz w:val="24"/>
        </w:rPr>
        <w:t>Application</w:t>
      </w:r>
      <w:r>
        <w:rPr>
          <w:spacing w:val="-4"/>
          <w:sz w:val="24"/>
        </w:rPr>
        <w:t> </w:t>
      </w:r>
      <w:r>
        <w:rPr>
          <w:spacing w:val="-2"/>
          <w:sz w:val="24"/>
        </w:rPr>
        <w:t>Status</w:t>
      </w:r>
    </w:p>
    <w:p>
      <w:pPr>
        <w:pStyle w:val="ListParagraph"/>
        <w:numPr>
          <w:ilvl w:val="0"/>
          <w:numId w:val="280"/>
        </w:numPr>
        <w:tabs>
          <w:tab w:pos="1218" w:val="left" w:leader="none"/>
        </w:tabs>
        <w:spacing w:line="240" w:lineRule="auto" w:before="204" w:after="0"/>
        <w:ind w:left="1218" w:right="0" w:hanging="426"/>
        <w:jc w:val="left"/>
        <w:rPr>
          <w:sz w:val="24"/>
        </w:rPr>
      </w:pPr>
      <w:r>
        <w:rPr>
          <w:sz w:val="24"/>
        </w:rPr>
        <w:t>Eligibility</w:t>
      </w:r>
      <w:r>
        <w:rPr>
          <w:spacing w:val="-7"/>
          <w:sz w:val="24"/>
        </w:rPr>
        <w:t> </w:t>
      </w:r>
      <w:r>
        <w:rPr>
          <w:spacing w:val="-2"/>
          <w:sz w:val="24"/>
        </w:rPr>
        <w:t>Status</w:t>
      </w:r>
    </w:p>
    <w:p>
      <w:pPr>
        <w:pStyle w:val="ListParagraph"/>
        <w:numPr>
          <w:ilvl w:val="0"/>
          <w:numId w:val="280"/>
        </w:numPr>
        <w:tabs>
          <w:tab w:pos="1218" w:val="left" w:leader="none"/>
        </w:tabs>
        <w:spacing w:line="240" w:lineRule="auto" w:before="204" w:after="0"/>
        <w:ind w:left="1218" w:right="0" w:hanging="426"/>
        <w:jc w:val="left"/>
        <w:rPr>
          <w:sz w:val="24"/>
        </w:rPr>
      </w:pPr>
      <w:r>
        <w:rPr>
          <w:sz w:val="24"/>
        </w:rPr>
        <w:t>Service</w:t>
      </w:r>
      <w:r>
        <w:rPr>
          <w:spacing w:val="-4"/>
          <w:sz w:val="24"/>
        </w:rPr>
        <w:t> </w:t>
      </w:r>
      <w:r>
        <w:rPr>
          <w:spacing w:val="-2"/>
          <w:sz w:val="24"/>
        </w:rPr>
        <w:t>Status</w:t>
      </w:r>
    </w:p>
    <w:p>
      <w:pPr>
        <w:pStyle w:val="ListParagraph"/>
        <w:numPr>
          <w:ilvl w:val="0"/>
          <w:numId w:val="280"/>
        </w:numPr>
        <w:tabs>
          <w:tab w:pos="1218" w:val="left" w:leader="none"/>
        </w:tabs>
        <w:spacing w:line="240" w:lineRule="auto" w:before="204" w:after="0"/>
        <w:ind w:left="1218" w:right="0" w:hanging="426"/>
        <w:jc w:val="left"/>
        <w:rPr>
          <w:sz w:val="24"/>
        </w:rPr>
      </w:pPr>
      <w:r>
        <w:rPr>
          <w:sz w:val="24"/>
        </w:rPr>
        <w:t>Successful</w:t>
      </w:r>
      <w:r>
        <w:rPr>
          <w:spacing w:val="-6"/>
          <w:sz w:val="24"/>
        </w:rPr>
        <w:t> </w:t>
      </w:r>
      <w:r>
        <w:rPr>
          <w:spacing w:val="-2"/>
          <w:sz w:val="24"/>
        </w:rPr>
        <w:t>Closure</w:t>
      </w:r>
    </w:p>
    <w:p>
      <w:pPr>
        <w:pStyle w:val="ListParagraph"/>
        <w:numPr>
          <w:ilvl w:val="0"/>
          <w:numId w:val="280"/>
        </w:numPr>
        <w:tabs>
          <w:tab w:pos="1218" w:val="left" w:leader="none"/>
        </w:tabs>
        <w:spacing w:line="417" w:lineRule="auto" w:before="204" w:after="0"/>
        <w:ind w:left="360" w:right="6898" w:firstLine="432"/>
        <w:jc w:val="left"/>
        <w:rPr>
          <w:sz w:val="24"/>
        </w:rPr>
      </w:pPr>
      <w:r>
        <w:rPr>
          <w:sz w:val="24"/>
        </w:rPr>
        <w:t>Unsuccessful</w:t>
      </w:r>
      <w:r>
        <w:rPr>
          <w:spacing w:val="-17"/>
          <w:sz w:val="24"/>
        </w:rPr>
        <w:t> </w:t>
      </w:r>
      <w:r>
        <w:rPr>
          <w:sz w:val="24"/>
        </w:rPr>
        <w:t>Closure INSTRUCTIONS TO STAFF</w:t>
      </w:r>
    </w:p>
    <w:p>
      <w:pPr>
        <w:pStyle w:val="BodyText"/>
        <w:spacing w:line="208" w:lineRule="auto" w:before="29"/>
        <w:ind w:left="792" w:right="775"/>
      </w:pPr>
      <w:r>
        <w:rPr/>
        <w:t>1. See</w:t>
      </w:r>
      <w:r>
        <w:rPr>
          <w:spacing w:val="-4"/>
        </w:rPr>
        <w:t> </w:t>
      </w:r>
      <w:r>
        <w:rPr/>
        <w:t>Subchapter</w:t>
      </w:r>
      <w:r>
        <w:rPr>
          <w:spacing w:val="-3"/>
        </w:rPr>
        <w:t> </w:t>
      </w:r>
      <w:r>
        <w:rPr/>
        <w:t>9</w:t>
      </w:r>
      <w:r>
        <w:rPr>
          <w:spacing w:val="-4"/>
        </w:rPr>
        <w:t> </w:t>
      </w:r>
      <w:r>
        <w:rPr/>
        <w:t>and</w:t>
      </w:r>
      <w:r>
        <w:rPr>
          <w:spacing w:val="-4"/>
        </w:rPr>
        <w:t> </w:t>
      </w:r>
      <w:r>
        <w:rPr/>
        <w:t>specific</w:t>
      </w:r>
      <w:r>
        <w:rPr>
          <w:spacing w:val="-4"/>
        </w:rPr>
        <w:t> </w:t>
      </w:r>
      <w:r>
        <w:rPr/>
        <w:t>case</w:t>
      </w:r>
      <w:r>
        <w:rPr>
          <w:spacing w:val="-4"/>
        </w:rPr>
        <w:t> </w:t>
      </w:r>
      <w:r>
        <w:rPr/>
        <w:t>status</w:t>
      </w:r>
      <w:r>
        <w:rPr>
          <w:spacing w:val="-4"/>
        </w:rPr>
        <w:t> </w:t>
      </w:r>
      <w:r>
        <w:rPr/>
        <w:t>policies</w:t>
      </w:r>
      <w:r>
        <w:rPr>
          <w:spacing w:val="-4"/>
        </w:rPr>
        <w:t> </w:t>
      </w:r>
      <w:r>
        <w:rPr/>
        <w:t>in</w:t>
      </w:r>
      <w:r>
        <w:rPr>
          <w:spacing w:val="-4"/>
        </w:rPr>
        <w:t> </w:t>
      </w:r>
      <w:r>
        <w:rPr/>
        <w:t>Subchapter</w:t>
      </w:r>
      <w:r>
        <w:rPr>
          <w:spacing w:val="-3"/>
        </w:rPr>
        <w:t> </w:t>
      </w:r>
      <w:r>
        <w:rPr/>
        <w:t>7</w:t>
      </w:r>
      <w:r>
        <w:rPr>
          <w:spacing w:val="-4"/>
        </w:rPr>
        <w:t> </w:t>
      </w:r>
      <w:r>
        <w:rPr/>
        <w:t>for</w:t>
      </w:r>
      <w:r>
        <w:rPr>
          <w:spacing w:val="-3"/>
        </w:rPr>
        <w:t> </w:t>
      </w:r>
      <w:r>
        <w:rPr/>
        <w:t>criteria and use of case statuses.</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7-1-98</w:t>
      </w:r>
      <w:r>
        <w:rPr>
          <w:sz w:val="22"/>
        </w:rPr>
        <w:tab/>
        <w:t>PT Memo #98-15</w:t>
      </w:r>
    </w:p>
    <w:p>
      <w:pPr>
        <w:tabs>
          <w:tab w:pos="1439" w:val="left" w:leader="none"/>
        </w:tabs>
        <w:spacing w:before="0"/>
        <w:ind w:left="359" w:right="3741" w:firstLine="1080"/>
        <w:jc w:val="left"/>
        <w:rPr>
          <w:sz w:val="22"/>
        </w:rPr>
      </w:pPr>
      <w:r>
        <w:rPr>
          <w:sz w:val="22"/>
        </w:rPr>
        <w:t>Permanent,</w:t>
      </w:r>
      <w:r>
        <w:rPr>
          <w:spacing w:val="-6"/>
          <w:sz w:val="22"/>
        </w:rPr>
        <w:t> </w:t>
      </w:r>
      <w:r>
        <w:rPr>
          <w:sz w:val="22"/>
        </w:rPr>
        <w:t>changed</w:t>
      </w:r>
      <w:r>
        <w:rPr>
          <w:spacing w:val="-7"/>
          <w:sz w:val="22"/>
        </w:rPr>
        <w:t> </w:t>
      </w:r>
      <w:r>
        <w:rPr>
          <w:sz w:val="22"/>
        </w:rPr>
        <w:t>statuses</w:t>
      </w:r>
      <w:r>
        <w:rPr>
          <w:spacing w:val="-7"/>
          <w:sz w:val="22"/>
        </w:rPr>
        <w:t> </w:t>
      </w:r>
      <w:r>
        <w:rPr>
          <w:sz w:val="22"/>
        </w:rPr>
        <w:t>to</w:t>
      </w:r>
      <w:r>
        <w:rPr>
          <w:spacing w:val="-7"/>
          <w:sz w:val="22"/>
        </w:rPr>
        <w:t> </w:t>
      </w:r>
      <w:r>
        <w:rPr>
          <w:sz w:val="22"/>
        </w:rPr>
        <w:t>conform</w:t>
      </w:r>
      <w:r>
        <w:rPr>
          <w:spacing w:val="-8"/>
          <w:sz w:val="22"/>
        </w:rPr>
        <w:t> </w:t>
      </w:r>
      <w:r>
        <w:rPr>
          <w:sz w:val="22"/>
        </w:rPr>
        <w:t>with</w:t>
      </w:r>
      <w:r>
        <w:rPr>
          <w:spacing w:val="-7"/>
          <w:sz w:val="22"/>
        </w:rPr>
        <w:t> </w:t>
      </w:r>
      <w:r>
        <w:rPr>
          <w:sz w:val="22"/>
        </w:rPr>
        <w:t>ORMIS </w:t>
      </w:r>
      <w:r>
        <w:rPr>
          <w:spacing w:val="-2"/>
          <w:sz w:val="22"/>
        </w:rPr>
        <w:t>7-1-05</w:t>
      </w:r>
      <w:r>
        <w:rPr>
          <w:sz w:val="22"/>
        </w:rPr>
        <w:tab/>
        <w:t>PT Memo #06-01</w:t>
      </w:r>
    </w:p>
    <w:p>
      <w:pPr>
        <w:tabs>
          <w:tab w:pos="1439" w:val="left" w:leader="none"/>
        </w:tabs>
        <w:spacing w:before="0"/>
        <w:ind w:left="359" w:right="2810" w:firstLine="1080"/>
        <w:jc w:val="left"/>
        <w:rPr>
          <w:sz w:val="22"/>
        </w:rPr>
      </w:pPr>
      <w:r>
        <w:rPr>
          <w:sz w:val="22"/>
        </w:rPr>
        <w:t>Permanent,</w:t>
      </w:r>
      <w:r>
        <w:rPr>
          <w:spacing w:val="-5"/>
          <w:sz w:val="22"/>
        </w:rPr>
        <w:t> </w:t>
      </w:r>
      <w:r>
        <w:rPr>
          <w:sz w:val="22"/>
        </w:rPr>
        <w:t>Independent</w:t>
      </w:r>
      <w:r>
        <w:rPr>
          <w:spacing w:val="-7"/>
          <w:sz w:val="22"/>
        </w:rPr>
        <w:t> </w:t>
      </w:r>
      <w:r>
        <w:rPr>
          <w:sz w:val="22"/>
        </w:rPr>
        <w:t>Living</w:t>
      </w:r>
      <w:r>
        <w:rPr>
          <w:spacing w:val="-6"/>
          <w:sz w:val="22"/>
        </w:rPr>
        <w:t> </w:t>
      </w:r>
      <w:r>
        <w:rPr>
          <w:sz w:val="22"/>
        </w:rPr>
        <w:t>policy</w:t>
      </w:r>
      <w:r>
        <w:rPr>
          <w:spacing w:val="-6"/>
          <w:sz w:val="22"/>
        </w:rPr>
        <w:t> </w:t>
      </w:r>
      <w:r>
        <w:rPr>
          <w:sz w:val="22"/>
        </w:rPr>
        <w:t>replaced</w:t>
      </w:r>
      <w:r>
        <w:rPr>
          <w:spacing w:val="-7"/>
          <w:sz w:val="22"/>
        </w:rPr>
        <w:t> </w:t>
      </w:r>
      <w:r>
        <w:rPr>
          <w:sz w:val="22"/>
        </w:rPr>
        <w:t>with</w:t>
      </w:r>
      <w:r>
        <w:rPr>
          <w:spacing w:val="-6"/>
          <w:sz w:val="22"/>
        </w:rPr>
        <w:t> </w:t>
      </w:r>
      <w:r>
        <w:rPr>
          <w:sz w:val="22"/>
        </w:rPr>
        <w:t>Older</w:t>
      </w:r>
      <w:r>
        <w:rPr>
          <w:spacing w:val="-6"/>
          <w:sz w:val="22"/>
        </w:rPr>
        <w:t> </w:t>
      </w:r>
      <w:r>
        <w:rPr>
          <w:sz w:val="22"/>
        </w:rPr>
        <w:t>Blind </w:t>
      </w:r>
      <w:r>
        <w:rPr>
          <w:spacing w:val="-2"/>
          <w:sz w:val="22"/>
        </w:rPr>
        <w:t>10-1-07</w:t>
      </w:r>
      <w:r>
        <w:rPr>
          <w:sz w:val="22"/>
        </w:rPr>
        <w:tab/>
        <w:t>PT Memo #08-02</w:t>
      </w:r>
    </w:p>
    <w:p>
      <w:pPr>
        <w:spacing w:before="0"/>
        <w:ind w:left="1439" w:right="0" w:firstLine="0"/>
        <w:jc w:val="left"/>
        <w:rPr>
          <w:sz w:val="22"/>
        </w:rPr>
      </w:pPr>
      <w:r>
        <w:rPr>
          <w:sz w:val="22"/>
        </w:rPr>
        <w:t>Permanent,</w:t>
      </w:r>
      <w:r>
        <w:rPr>
          <w:spacing w:val="-8"/>
          <w:sz w:val="22"/>
        </w:rPr>
        <w:t> </w:t>
      </w:r>
      <w:r>
        <w:rPr>
          <w:sz w:val="22"/>
        </w:rPr>
        <w:t>AWARE</w:t>
      </w:r>
      <w:r>
        <w:rPr>
          <w:spacing w:val="-8"/>
          <w:sz w:val="22"/>
        </w:rPr>
        <w:t> </w:t>
      </w:r>
      <w:r>
        <w:rPr>
          <w:sz w:val="22"/>
        </w:rPr>
        <w:t>change.</w:t>
      </w:r>
      <w:r>
        <w:rPr>
          <w:spacing w:val="45"/>
          <w:sz w:val="22"/>
        </w:rPr>
        <w:t> </w:t>
      </w:r>
      <w:r>
        <w:rPr>
          <w:sz w:val="22"/>
        </w:rPr>
        <w:t>Removed</w:t>
      </w:r>
      <w:r>
        <w:rPr>
          <w:spacing w:val="-8"/>
          <w:sz w:val="22"/>
        </w:rPr>
        <w:t> </w:t>
      </w:r>
      <w:r>
        <w:rPr>
          <w:sz w:val="22"/>
        </w:rPr>
        <w:t>Status</w:t>
      </w:r>
      <w:r>
        <w:rPr>
          <w:spacing w:val="-8"/>
          <w:sz w:val="22"/>
        </w:rPr>
        <w:t> </w:t>
      </w:r>
      <w:r>
        <w:rPr>
          <w:spacing w:val="-2"/>
          <w:sz w:val="22"/>
        </w:rPr>
        <w:t>numbers.</w:t>
      </w:r>
    </w:p>
    <w:p>
      <w:pPr>
        <w:pStyle w:val="ListParagraph"/>
        <w:numPr>
          <w:ilvl w:val="2"/>
          <w:numId w:val="281"/>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before="1"/>
        <w:ind w:left="1439" w:right="0" w:firstLine="0"/>
        <w:jc w:val="left"/>
        <w:rPr>
          <w:sz w:val="22"/>
        </w:rPr>
      </w:pPr>
      <w:r>
        <w:rPr>
          <w:sz w:val="22"/>
        </w:rPr>
        <w:t>Permanent,</w:t>
      </w:r>
      <w:r>
        <w:rPr>
          <w:spacing w:val="-6"/>
          <w:sz w:val="22"/>
        </w:rPr>
        <w:t> </w:t>
      </w:r>
      <w:r>
        <w:rPr>
          <w:sz w:val="22"/>
        </w:rPr>
        <w:t>deleted</w:t>
      </w:r>
      <w:r>
        <w:rPr>
          <w:spacing w:val="-5"/>
          <w:sz w:val="22"/>
        </w:rPr>
        <w:t> </w:t>
      </w:r>
      <w:r>
        <w:rPr>
          <w:sz w:val="22"/>
        </w:rPr>
        <w:t>two</w:t>
      </w:r>
      <w:r>
        <w:rPr>
          <w:spacing w:val="-6"/>
          <w:sz w:val="22"/>
        </w:rPr>
        <w:t> </w:t>
      </w:r>
      <w:r>
        <w:rPr>
          <w:sz w:val="22"/>
        </w:rPr>
        <w:t>status</w:t>
      </w:r>
      <w:r>
        <w:rPr>
          <w:spacing w:val="-6"/>
          <w:sz w:val="22"/>
        </w:rPr>
        <w:t> </w:t>
      </w:r>
      <w:r>
        <w:rPr>
          <w:sz w:val="22"/>
        </w:rPr>
        <w:t>not</w:t>
      </w:r>
      <w:r>
        <w:rPr>
          <w:spacing w:val="-6"/>
          <w:sz w:val="22"/>
        </w:rPr>
        <w:t> </w:t>
      </w:r>
      <w:r>
        <w:rPr>
          <w:sz w:val="22"/>
        </w:rPr>
        <w:t>in</w:t>
      </w:r>
      <w:r>
        <w:rPr>
          <w:spacing w:val="-7"/>
          <w:sz w:val="22"/>
        </w:rPr>
        <w:t> </w:t>
      </w:r>
      <w:r>
        <w:rPr>
          <w:spacing w:val="-5"/>
          <w:sz w:val="22"/>
        </w:rPr>
        <w:t>use</w:t>
      </w:r>
    </w:p>
    <w:p>
      <w:pPr>
        <w:spacing w:after="0"/>
        <w:jc w:val="left"/>
        <w:rPr>
          <w:sz w:val="22"/>
        </w:rPr>
        <w:sectPr>
          <w:pgSz w:w="12240" w:h="15840"/>
          <w:pgMar w:top="1340" w:bottom="280" w:left="1080" w:right="720"/>
        </w:sectPr>
      </w:pPr>
    </w:p>
    <w:p>
      <w:pPr>
        <w:pStyle w:val="Heading2"/>
      </w:pPr>
      <w:bookmarkStart w:name="612:10-11-22.  Service Status" w:id="265"/>
      <w:bookmarkEnd w:id="265"/>
      <w:r>
        <w:rPr>
          <w:b w:val="0"/>
        </w:rPr>
      </w:r>
      <w:r>
        <w:rPr/>
        <w:t>612:10-11-22.</w:t>
      </w:r>
      <w:r>
        <w:rPr>
          <w:spacing w:val="58"/>
        </w:rPr>
        <w:t> </w:t>
      </w:r>
      <w:r>
        <w:rPr/>
        <w:t>Service</w:t>
      </w:r>
      <w:r>
        <w:rPr>
          <w:spacing w:val="-4"/>
        </w:rPr>
        <w:t> </w:t>
      </w:r>
      <w:r>
        <w:rPr>
          <w:spacing w:val="-2"/>
        </w:rPr>
        <w:t>Status</w:t>
      </w:r>
    </w:p>
    <w:p>
      <w:pPr>
        <w:pStyle w:val="BodyText"/>
        <w:spacing w:line="208" w:lineRule="auto" w:before="233"/>
        <w:ind w:right="727" w:firstLine="432"/>
      </w:pPr>
      <w:r>
        <w:rPr/>
        <w:t>An individual's case is placed in Service status when the client's Individualized Rehabilitation</w:t>
      </w:r>
      <w:r>
        <w:rPr>
          <w:spacing w:val="-4"/>
        </w:rPr>
        <w:t> </w:t>
      </w:r>
      <w:r>
        <w:rPr/>
        <w:t>Program</w:t>
      </w:r>
      <w:r>
        <w:rPr>
          <w:spacing w:val="-3"/>
        </w:rPr>
        <w:t> </w:t>
      </w:r>
      <w:r>
        <w:rPr/>
        <w:t>(IRP)</w:t>
      </w:r>
      <w:r>
        <w:rPr>
          <w:spacing w:val="-3"/>
        </w:rPr>
        <w:t> </w:t>
      </w:r>
      <w:r>
        <w:rPr/>
        <w:t>for</w:t>
      </w:r>
      <w:r>
        <w:rPr>
          <w:spacing w:val="-5"/>
        </w:rPr>
        <w:t> </w:t>
      </w:r>
      <w:r>
        <w:rPr/>
        <w:t>Older</w:t>
      </w:r>
      <w:r>
        <w:rPr>
          <w:spacing w:val="-3"/>
        </w:rPr>
        <w:t> </w:t>
      </w:r>
      <w:r>
        <w:rPr/>
        <w:t>Blind</w:t>
      </w:r>
      <w:r>
        <w:rPr>
          <w:spacing w:val="-4"/>
        </w:rPr>
        <w:t> </w:t>
      </w:r>
      <w:r>
        <w:rPr/>
        <w:t>is</w:t>
      </w:r>
      <w:r>
        <w:rPr>
          <w:spacing w:val="-4"/>
        </w:rPr>
        <w:t> </w:t>
      </w:r>
      <w:r>
        <w:rPr/>
        <w:t>completed</w:t>
      </w:r>
      <w:r>
        <w:rPr>
          <w:spacing w:val="-4"/>
        </w:rPr>
        <w:t> </w:t>
      </w:r>
      <w:r>
        <w:rPr/>
        <w:t>and</w:t>
      </w:r>
      <w:r>
        <w:rPr>
          <w:spacing w:val="-4"/>
        </w:rPr>
        <w:t> </w:t>
      </w:r>
      <w:r>
        <w:rPr/>
        <w:t>services</w:t>
      </w:r>
      <w:r>
        <w:rPr>
          <w:spacing w:val="-4"/>
        </w:rPr>
        <w:t> </w:t>
      </w:r>
      <w:r>
        <w:rPr/>
        <w:t>are</w:t>
      </w:r>
      <w:r>
        <w:rPr>
          <w:spacing w:val="-4"/>
        </w:rPr>
        <w:t> </w:t>
      </w:r>
      <w:r>
        <w:rPr/>
        <w:t>initiated.</w:t>
      </w:r>
      <w:r>
        <w:rPr>
          <w:spacing w:val="-3"/>
        </w:rPr>
        <w:t> </w:t>
      </w:r>
      <w:r>
        <w:rPr/>
        <w:t>The IRP is designed to formalize case planning and management. The client and the Specialist establish both a long term goal and objectives with time frames. The long- term goal of personal adjustment will include intermediate objectives which include, but are not limited to:</w:t>
      </w:r>
    </w:p>
    <w:p>
      <w:pPr>
        <w:pStyle w:val="ListParagraph"/>
        <w:numPr>
          <w:ilvl w:val="0"/>
          <w:numId w:val="282"/>
        </w:numPr>
        <w:tabs>
          <w:tab w:pos="1217" w:val="left" w:leader="none"/>
        </w:tabs>
        <w:spacing w:line="240" w:lineRule="auto" w:before="210" w:after="0"/>
        <w:ind w:left="1217" w:right="0" w:hanging="426"/>
        <w:jc w:val="left"/>
        <w:rPr>
          <w:sz w:val="24"/>
        </w:rPr>
      </w:pPr>
      <w:r>
        <w:rPr>
          <w:sz w:val="24"/>
        </w:rPr>
        <w:t>improvement</w:t>
      </w:r>
      <w:r>
        <w:rPr>
          <w:spacing w:val="-5"/>
          <w:sz w:val="24"/>
        </w:rPr>
        <w:t> </w:t>
      </w:r>
      <w:r>
        <w:rPr>
          <w:sz w:val="24"/>
        </w:rPr>
        <w:t>in</w:t>
      </w:r>
      <w:r>
        <w:rPr>
          <w:spacing w:val="-3"/>
          <w:sz w:val="24"/>
        </w:rPr>
        <w:t> </w:t>
      </w:r>
      <w:r>
        <w:rPr>
          <w:sz w:val="24"/>
        </w:rPr>
        <w:t>ability</w:t>
      </w:r>
      <w:r>
        <w:rPr>
          <w:spacing w:val="-3"/>
          <w:sz w:val="24"/>
        </w:rPr>
        <w:t> </w:t>
      </w:r>
      <w:r>
        <w:rPr>
          <w:sz w:val="24"/>
        </w:rPr>
        <w:t>to</w:t>
      </w:r>
      <w:r>
        <w:rPr>
          <w:spacing w:val="-3"/>
          <w:sz w:val="24"/>
        </w:rPr>
        <w:t> </w:t>
      </w:r>
      <w:r>
        <w:rPr>
          <w:sz w:val="24"/>
        </w:rPr>
        <w:t>perform</w:t>
      </w:r>
      <w:r>
        <w:rPr>
          <w:spacing w:val="-3"/>
          <w:sz w:val="24"/>
        </w:rPr>
        <w:t> </w:t>
      </w:r>
      <w:r>
        <w:rPr>
          <w:sz w:val="24"/>
        </w:rPr>
        <w:t>activities</w:t>
      </w:r>
      <w:r>
        <w:rPr>
          <w:spacing w:val="-3"/>
          <w:sz w:val="24"/>
        </w:rPr>
        <w:t> </w:t>
      </w:r>
      <w:r>
        <w:rPr>
          <w:sz w:val="24"/>
        </w:rPr>
        <w:t>of</w:t>
      </w:r>
      <w:r>
        <w:rPr>
          <w:spacing w:val="-2"/>
          <w:sz w:val="24"/>
        </w:rPr>
        <w:t> </w:t>
      </w:r>
      <w:r>
        <w:rPr>
          <w:sz w:val="24"/>
        </w:rPr>
        <w:t>daily</w:t>
      </w:r>
      <w:r>
        <w:rPr>
          <w:spacing w:val="-3"/>
          <w:sz w:val="24"/>
        </w:rPr>
        <w:t> </w:t>
      </w:r>
      <w:r>
        <w:rPr>
          <w:spacing w:val="-2"/>
          <w:sz w:val="24"/>
        </w:rPr>
        <w:t>living;</w:t>
      </w:r>
    </w:p>
    <w:p>
      <w:pPr>
        <w:pStyle w:val="ListParagraph"/>
        <w:numPr>
          <w:ilvl w:val="0"/>
          <w:numId w:val="282"/>
        </w:numPr>
        <w:tabs>
          <w:tab w:pos="1218" w:val="left" w:leader="none"/>
        </w:tabs>
        <w:spacing w:line="240" w:lineRule="auto" w:before="204" w:after="0"/>
        <w:ind w:left="1218" w:right="0" w:hanging="426"/>
        <w:jc w:val="left"/>
        <w:rPr>
          <w:sz w:val="24"/>
        </w:rPr>
      </w:pPr>
      <w:r>
        <w:rPr>
          <w:sz w:val="24"/>
        </w:rPr>
        <w:t>living</w:t>
      </w:r>
      <w:r>
        <w:rPr>
          <w:spacing w:val="-4"/>
          <w:sz w:val="24"/>
        </w:rPr>
        <w:t> </w:t>
      </w:r>
      <w:r>
        <w:rPr>
          <w:sz w:val="24"/>
        </w:rPr>
        <w:t>independently</w:t>
      </w:r>
      <w:r>
        <w:rPr>
          <w:spacing w:val="-3"/>
          <w:sz w:val="24"/>
        </w:rPr>
        <w:t> </w:t>
      </w:r>
      <w:r>
        <w:rPr>
          <w:sz w:val="24"/>
        </w:rPr>
        <w:t>in</w:t>
      </w:r>
      <w:r>
        <w:rPr>
          <w:spacing w:val="-4"/>
          <w:sz w:val="24"/>
        </w:rPr>
        <w:t> </w:t>
      </w:r>
      <w:r>
        <w:rPr>
          <w:sz w:val="24"/>
        </w:rPr>
        <w:t>the</w:t>
      </w:r>
      <w:r>
        <w:rPr>
          <w:spacing w:val="-3"/>
          <w:sz w:val="24"/>
        </w:rPr>
        <w:t> </w:t>
      </w:r>
      <w:r>
        <w:rPr>
          <w:sz w:val="24"/>
        </w:rPr>
        <w:t>client's</w:t>
      </w:r>
      <w:r>
        <w:rPr>
          <w:spacing w:val="-4"/>
          <w:sz w:val="24"/>
        </w:rPr>
        <w:t> </w:t>
      </w:r>
      <w:r>
        <w:rPr>
          <w:sz w:val="24"/>
        </w:rPr>
        <w:t>own</w:t>
      </w:r>
      <w:r>
        <w:rPr>
          <w:spacing w:val="-3"/>
          <w:sz w:val="24"/>
        </w:rPr>
        <w:t> </w:t>
      </w:r>
      <w:r>
        <w:rPr>
          <w:spacing w:val="-4"/>
          <w:sz w:val="24"/>
        </w:rPr>
        <w:t>home;</w:t>
      </w:r>
    </w:p>
    <w:p>
      <w:pPr>
        <w:pStyle w:val="ListParagraph"/>
        <w:numPr>
          <w:ilvl w:val="0"/>
          <w:numId w:val="282"/>
        </w:numPr>
        <w:tabs>
          <w:tab w:pos="1218" w:val="left" w:leader="none"/>
        </w:tabs>
        <w:spacing w:line="240" w:lineRule="auto" w:before="204" w:after="0"/>
        <w:ind w:left="1218" w:right="0" w:hanging="426"/>
        <w:jc w:val="left"/>
        <w:rPr>
          <w:sz w:val="24"/>
        </w:rPr>
      </w:pPr>
      <w:r>
        <w:rPr>
          <w:sz w:val="24"/>
        </w:rPr>
        <w:t>decreased</w:t>
      </w:r>
      <w:r>
        <w:rPr>
          <w:spacing w:val="-6"/>
          <w:sz w:val="24"/>
        </w:rPr>
        <w:t> </w:t>
      </w:r>
      <w:r>
        <w:rPr>
          <w:sz w:val="24"/>
        </w:rPr>
        <w:t>dependence</w:t>
      </w:r>
      <w:r>
        <w:rPr>
          <w:spacing w:val="-4"/>
          <w:sz w:val="24"/>
        </w:rPr>
        <w:t> </w:t>
      </w:r>
      <w:r>
        <w:rPr>
          <w:sz w:val="24"/>
        </w:rPr>
        <w:t>on</w:t>
      </w:r>
      <w:r>
        <w:rPr>
          <w:spacing w:val="-4"/>
          <w:sz w:val="24"/>
        </w:rPr>
        <w:t> </w:t>
      </w:r>
      <w:r>
        <w:rPr>
          <w:sz w:val="24"/>
        </w:rPr>
        <w:t>family</w:t>
      </w:r>
      <w:r>
        <w:rPr>
          <w:spacing w:val="-4"/>
          <w:sz w:val="24"/>
        </w:rPr>
        <w:t> </w:t>
      </w:r>
      <w:r>
        <w:rPr>
          <w:sz w:val="24"/>
        </w:rPr>
        <w:t>members;</w:t>
      </w:r>
      <w:r>
        <w:rPr>
          <w:spacing w:val="-3"/>
          <w:sz w:val="24"/>
        </w:rPr>
        <w:t> </w:t>
      </w:r>
      <w:r>
        <w:rPr>
          <w:spacing w:val="-2"/>
          <w:sz w:val="24"/>
        </w:rPr>
        <w:t>and/or</w:t>
      </w:r>
    </w:p>
    <w:p>
      <w:pPr>
        <w:pStyle w:val="ListParagraph"/>
        <w:numPr>
          <w:ilvl w:val="0"/>
          <w:numId w:val="282"/>
        </w:numPr>
        <w:tabs>
          <w:tab w:pos="1218" w:val="left" w:leader="none"/>
        </w:tabs>
        <w:spacing w:line="240" w:lineRule="auto" w:before="204" w:after="0"/>
        <w:ind w:left="1218" w:right="0" w:hanging="426"/>
        <w:jc w:val="left"/>
        <w:rPr>
          <w:sz w:val="24"/>
        </w:rPr>
      </w:pPr>
      <w:r>
        <w:rPr>
          <w:sz w:val="24"/>
        </w:rPr>
        <w:t>decreased</w:t>
      </w:r>
      <w:r>
        <w:rPr>
          <w:spacing w:val="-6"/>
          <w:sz w:val="24"/>
        </w:rPr>
        <w:t> </w:t>
      </w:r>
      <w:r>
        <w:rPr>
          <w:sz w:val="24"/>
        </w:rPr>
        <w:t>need</w:t>
      </w:r>
      <w:r>
        <w:rPr>
          <w:spacing w:val="-3"/>
          <w:sz w:val="24"/>
        </w:rPr>
        <w:t> </w:t>
      </w:r>
      <w:r>
        <w:rPr>
          <w:sz w:val="24"/>
        </w:rPr>
        <w:t>for</w:t>
      </w:r>
      <w:r>
        <w:rPr>
          <w:spacing w:val="-2"/>
          <w:sz w:val="24"/>
        </w:rPr>
        <w:t> </w:t>
      </w:r>
      <w:r>
        <w:rPr>
          <w:sz w:val="24"/>
        </w:rPr>
        <w:t>supervision</w:t>
      </w:r>
      <w:r>
        <w:rPr>
          <w:spacing w:val="-4"/>
          <w:sz w:val="24"/>
        </w:rPr>
        <w:t> </w:t>
      </w:r>
      <w:r>
        <w:rPr>
          <w:sz w:val="24"/>
        </w:rPr>
        <w:t>of</w:t>
      </w:r>
      <w:r>
        <w:rPr>
          <w:spacing w:val="-2"/>
          <w:sz w:val="24"/>
        </w:rPr>
        <w:t> </w:t>
      </w:r>
      <w:r>
        <w:rPr>
          <w:sz w:val="24"/>
        </w:rPr>
        <w:t>activities</w:t>
      </w:r>
      <w:r>
        <w:rPr>
          <w:spacing w:val="-3"/>
          <w:sz w:val="24"/>
        </w:rPr>
        <w:t> </w:t>
      </w:r>
      <w:r>
        <w:rPr>
          <w:sz w:val="24"/>
        </w:rPr>
        <w:t>of</w:t>
      </w:r>
      <w:r>
        <w:rPr>
          <w:spacing w:val="-3"/>
          <w:sz w:val="24"/>
        </w:rPr>
        <w:t> </w:t>
      </w:r>
      <w:r>
        <w:rPr>
          <w:sz w:val="24"/>
        </w:rPr>
        <w:t>daily</w:t>
      </w:r>
      <w:r>
        <w:rPr>
          <w:spacing w:val="-3"/>
          <w:sz w:val="24"/>
        </w:rPr>
        <w:t> </w:t>
      </w:r>
      <w:r>
        <w:rPr>
          <w:sz w:val="24"/>
        </w:rPr>
        <w:t>living;</w:t>
      </w:r>
      <w:r>
        <w:rPr>
          <w:spacing w:val="-2"/>
          <w:sz w:val="24"/>
        </w:rPr>
        <w:t> and/or</w:t>
      </w:r>
    </w:p>
    <w:p>
      <w:pPr>
        <w:pStyle w:val="ListParagraph"/>
        <w:numPr>
          <w:ilvl w:val="0"/>
          <w:numId w:val="282"/>
        </w:numPr>
        <w:tabs>
          <w:tab w:pos="1218" w:val="left" w:leader="none"/>
        </w:tabs>
        <w:spacing w:line="240" w:lineRule="auto" w:before="204" w:after="0"/>
        <w:ind w:left="1218" w:right="0" w:hanging="426"/>
        <w:jc w:val="left"/>
        <w:rPr>
          <w:sz w:val="24"/>
        </w:rPr>
      </w:pPr>
      <w:r>
        <w:rPr>
          <w:sz w:val="24"/>
        </w:rPr>
        <w:t>improve</w:t>
      </w:r>
      <w:r>
        <w:rPr>
          <w:spacing w:val="-4"/>
          <w:sz w:val="24"/>
        </w:rPr>
        <w:t> </w:t>
      </w:r>
      <w:r>
        <w:rPr>
          <w:sz w:val="24"/>
        </w:rPr>
        <w:t>quality</w:t>
      </w:r>
      <w:r>
        <w:rPr>
          <w:spacing w:val="-3"/>
          <w:sz w:val="24"/>
        </w:rPr>
        <w:t> </w:t>
      </w:r>
      <w:r>
        <w:rPr>
          <w:sz w:val="24"/>
        </w:rPr>
        <w:t>of</w:t>
      </w:r>
      <w:r>
        <w:rPr>
          <w:spacing w:val="-2"/>
          <w:sz w:val="24"/>
        </w:rPr>
        <w:t> life.</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7-1-98</w:t>
      </w:r>
      <w:r>
        <w:rPr>
          <w:sz w:val="22"/>
        </w:rPr>
        <w:tab/>
        <w:t>PT Memo #98-15</w:t>
      </w:r>
    </w:p>
    <w:p>
      <w:pPr>
        <w:tabs>
          <w:tab w:pos="1439" w:val="left" w:leader="none"/>
        </w:tabs>
        <w:spacing w:before="0"/>
        <w:ind w:left="359" w:right="4633" w:firstLine="1080"/>
        <w:jc w:val="left"/>
        <w:rPr>
          <w:sz w:val="22"/>
        </w:rPr>
      </w:pPr>
      <w:r>
        <w:rPr>
          <w:sz w:val="22"/>
        </w:rPr>
        <w:t>Permanent,</w:t>
      </w:r>
      <w:r>
        <w:rPr>
          <w:spacing w:val="-7"/>
          <w:sz w:val="22"/>
        </w:rPr>
        <w:t> </w:t>
      </w:r>
      <w:r>
        <w:rPr>
          <w:sz w:val="22"/>
        </w:rPr>
        <w:t>changes</w:t>
      </w:r>
      <w:r>
        <w:rPr>
          <w:spacing w:val="-8"/>
          <w:sz w:val="22"/>
        </w:rPr>
        <w:t> </w:t>
      </w:r>
      <w:r>
        <w:rPr>
          <w:sz w:val="22"/>
        </w:rPr>
        <w:t>to</w:t>
      </w:r>
      <w:r>
        <w:rPr>
          <w:spacing w:val="-9"/>
          <w:sz w:val="22"/>
        </w:rPr>
        <w:t> </w:t>
      </w:r>
      <w:r>
        <w:rPr>
          <w:sz w:val="22"/>
        </w:rPr>
        <w:t>conform</w:t>
      </w:r>
      <w:r>
        <w:rPr>
          <w:spacing w:val="-9"/>
          <w:sz w:val="22"/>
        </w:rPr>
        <w:t> </w:t>
      </w:r>
      <w:r>
        <w:rPr>
          <w:sz w:val="22"/>
        </w:rPr>
        <w:t>with</w:t>
      </w:r>
      <w:r>
        <w:rPr>
          <w:spacing w:val="-8"/>
          <w:sz w:val="22"/>
        </w:rPr>
        <w:t> </w:t>
      </w:r>
      <w:r>
        <w:rPr>
          <w:sz w:val="22"/>
        </w:rPr>
        <w:t>ORMIS </w:t>
      </w:r>
      <w:r>
        <w:rPr>
          <w:spacing w:val="-2"/>
          <w:sz w:val="22"/>
        </w:rPr>
        <w:t>7-1-05</w:t>
      </w:r>
      <w:r>
        <w:rPr>
          <w:sz w:val="22"/>
        </w:rPr>
        <w:tab/>
        <w:t>PT Memo #06-01</w:t>
      </w:r>
    </w:p>
    <w:p>
      <w:pPr>
        <w:tabs>
          <w:tab w:pos="1439" w:val="left" w:leader="none"/>
        </w:tabs>
        <w:spacing w:before="0"/>
        <w:ind w:left="359" w:right="2810" w:firstLine="1080"/>
        <w:jc w:val="left"/>
        <w:rPr>
          <w:sz w:val="22"/>
        </w:rPr>
      </w:pPr>
      <w:r>
        <w:rPr>
          <w:sz w:val="22"/>
        </w:rPr>
        <w:t>Permanent,</w:t>
      </w:r>
      <w:r>
        <w:rPr>
          <w:spacing w:val="-5"/>
          <w:sz w:val="22"/>
        </w:rPr>
        <w:t> </w:t>
      </w:r>
      <w:r>
        <w:rPr>
          <w:sz w:val="22"/>
        </w:rPr>
        <w:t>Independent</w:t>
      </w:r>
      <w:r>
        <w:rPr>
          <w:spacing w:val="-7"/>
          <w:sz w:val="22"/>
        </w:rPr>
        <w:t> </w:t>
      </w:r>
      <w:r>
        <w:rPr>
          <w:sz w:val="22"/>
        </w:rPr>
        <w:t>Living</w:t>
      </w:r>
      <w:r>
        <w:rPr>
          <w:spacing w:val="-6"/>
          <w:sz w:val="22"/>
        </w:rPr>
        <w:t> </w:t>
      </w:r>
      <w:r>
        <w:rPr>
          <w:sz w:val="22"/>
        </w:rPr>
        <w:t>policy</w:t>
      </w:r>
      <w:r>
        <w:rPr>
          <w:spacing w:val="-6"/>
          <w:sz w:val="22"/>
        </w:rPr>
        <w:t> </w:t>
      </w:r>
      <w:r>
        <w:rPr>
          <w:sz w:val="22"/>
        </w:rPr>
        <w:t>replaced</w:t>
      </w:r>
      <w:r>
        <w:rPr>
          <w:spacing w:val="-7"/>
          <w:sz w:val="22"/>
        </w:rPr>
        <w:t> </w:t>
      </w:r>
      <w:r>
        <w:rPr>
          <w:sz w:val="22"/>
        </w:rPr>
        <w:t>with</w:t>
      </w:r>
      <w:r>
        <w:rPr>
          <w:spacing w:val="-6"/>
          <w:sz w:val="22"/>
        </w:rPr>
        <w:t> </w:t>
      </w:r>
      <w:r>
        <w:rPr>
          <w:sz w:val="22"/>
        </w:rPr>
        <w:t>Older</w:t>
      </w:r>
      <w:r>
        <w:rPr>
          <w:spacing w:val="-6"/>
          <w:sz w:val="22"/>
        </w:rPr>
        <w:t> </w:t>
      </w:r>
      <w:r>
        <w:rPr>
          <w:sz w:val="22"/>
        </w:rPr>
        <w:t>Blind </w:t>
      </w:r>
      <w:r>
        <w:rPr>
          <w:spacing w:val="-2"/>
          <w:sz w:val="22"/>
        </w:rPr>
        <w:t>10-1-07</w:t>
      </w:r>
      <w:r>
        <w:rPr>
          <w:sz w:val="22"/>
        </w:rPr>
        <w:tab/>
        <w:t>PT Memo #08-02</w:t>
      </w:r>
    </w:p>
    <w:p>
      <w:pPr>
        <w:spacing w:before="0"/>
        <w:ind w:left="1439" w:right="0" w:firstLine="0"/>
        <w:jc w:val="left"/>
        <w:rPr>
          <w:sz w:val="22"/>
        </w:rPr>
      </w:pPr>
      <w:r>
        <w:rPr>
          <w:sz w:val="22"/>
        </w:rPr>
        <w:t>Permanent,</w:t>
      </w:r>
      <w:r>
        <w:rPr>
          <w:spacing w:val="-8"/>
          <w:sz w:val="22"/>
        </w:rPr>
        <w:t> </w:t>
      </w:r>
      <w:r>
        <w:rPr>
          <w:sz w:val="22"/>
        </w:rPr>
        <w:t>AWARE</w:t>
      </w:r>
      <w:r>
        <w:rPr>
          <w:spacing w:val="-8"/>
          <w:sz w:val="22"/>
        </w:rPr>
        <w:t> </w:t>
      </w:r>
      <w:r>
        <w:rPr>
          <w:sz w:val="22"/>
        </w:rPr>
        <w:t>change.</w:t>
      </w:r>
      <w:r>
        <w:rPr>
          <w:spacing w:val="45"/>
          <w:sz w:val="22"/>
        </w:rPr>
        <w:t> </w:t>
      </w:r>
      <w:r>
        <w:rPr>
          <w:sz w:val="22"/>
        </w:rPr>
        <w:t>Removed</w:t>
      </w:r>
      <w:r>
        <w:rPr>
          <w:spacing w:val="-8"/>
          <w:sz w:val="22"/>
        </w:rPr>
        <w:t> </w:t>
      </w:r>
      <w:r>
        <w:rPr>
          <w:sz w:val="22"/>
        </w:rPr>
        <w:t>Status</w:t>
      </w:r>
      <w:r>
        <w:rPr>
          <w:spacing w:val="-8"/>
          <w:sz w:val="22"/>
        </w:rPr>
        <w:t> </w:t>
      </w:r>
      <w:r>
        <w:rPr>
          <w:spacing w:val="-2"/>
          <w:sz w:val="22"/>
        </w:rPr>
        <w:t>numbers.</w:t>
      </w:r>
    </w:p>
    <w:p>
      <w:pPr>
        <w:pStyle w:val="ListParagraph"/>
        <w:numPr>
          <w:ilvl w:val="2"/>
          <w:numId w:val="283"/>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before="0"/>
        <w:ind w:left="1439" w:right="0" w:firstLine="0"/>
        <w:jc w:val="left"/>
        <w:rPr>
          <w:sz w:val="22"/>
        </w:rPr>
      </w:pPr>
      <w:r>
        <w:rPr>
          <w:sz w:val="22"/>
        </w:rPr>
        <w:t>Permanent,</w:t>
      </w:r>
      <w:r>
        <w:rPr>
          <w:spacing w:val="-7"/>
          <w:sz w:val="22"/>
        </w:rPr>
        <w:t> </w:t>
      </w:r>
      <w:r>
        <w:rPr>
          <w:sz w:val="22"/>
        </w:rPr>
        <w:t>deleted</w:t>
      </w:r>
      <w:r>
        <w:rPr>
          <w:spacing w:val="-8"/>
          <w:sz w:val="22"/>
        </w:rPr>
        <w:t> </w:t>
      </w:r>
      <w:r>
        <w:rPr>
          <w:sz w:val="22"/>
        </w:rPr>
        <w:t>portions</w:t>
      </w:r>
      <w:r>
        <w:rPr>
          <w:spacing w:val="-8"/>
          <w:sz w:val="22"/>
        </w:rPr>
        <w:t> </w:t>
      </w:r>
      <w:r>
        <w:rPr>
          <w:sz w:val="22"/>
        </w:rPr>
        <w:t>that</w:t>
      </w:r>
      <w:r>
        <w:rPr>
          <w:spacing w:val="-7"/>
          <w:sz w:val="22"/>
        </w:rPr>
        <w:t> </w:t>
      </w:r>
      <w:r>
        <w:rPr>
          <w:sz w:val="22"/>
        </w:rPr>
        <w:t>appear</w:t>
      </w:r>
      <w:r>
        <w:rPr>
          <w:spacing w:val="-8"/>
          <w:sz w:val="22"/>
        </w:rPr>
        <w:t> </w:t>
      </w:r>
      <w:r>
        <w:rPr>
          <w:sz w:val="22"/>
        </w:rPr>
        <w:t>elsewhere</w:t>
      </w:r>
      <w:r>
        <w:rPr>
          <w:spacing w:val="-8"/>
          <w:sz w:val="22"/>
        </w:rPr>
        <w:t> </w:t>
      </w:r>
      <w:r>
        <w:rPr>
          <w:sz w:val="22"/>
        </w:rPr>
        <w:t>in</w:t>
      </w:r>
      <w:r>
        <w:rPr>
          <w:spacing w:val="-7"/>
          <w:sz w:val="22"/>
        </w:rPr>
        <w:t> </w:t>
      </w:r>
      <w:r>
        <w:rPr>
          <w:spacing w:val="-2"/>
          <w:sz w:val="22"/>
        </w:rPr>
        <w:t>policy</w:t>
      </w:r>
    </w:p>
    <w:p>
      <w:pPr>
        <w:spacing w:after="0"/>
        <w:jc w:val="left"/>
        <w:rPr>
          <w:sz w:val="22"/>
        </w:rPr>
        <w:sectPr>
          <w:pgSz w:w="12240" w:h="15840"/>
          <w:pgMar w:top="1340" w:bottom="280" w:left="1080" w:right="720"/>
        </w:sectPr>
      </w:pPr>
    </w:p>
    <w:p>
      <w:pPr>
        <w:pStyle w:val="Heading2"/>
      </w:pPr>
      <w:bookmarkStart w:name="612:10-11-24.  Successful Closure Status" w:id="266"/>
      <w:bookmarkEnd w:id="266"/>
      <w:r>
        <w:rPr>
          <w:b w:val="0"/>
        </w:rPr>
      </w:r>
      <w:r>
        <w:rPr/>
        <w:t>612:10-11-24.</w:t>
      </w:r>
      <w:r>
        <w:rPr>
          <w:spacing w:val="56"/>
        </w:rPr>
        <w:t> </w:t>
      </w:r>
      <w:r>
        <w:rPr/>
        <w:t>Successful</w:t>
      </w:r>
      <w:r>
        <w:rPr>
          <w:spacing w:val="-4"/>
        </w:rPr>
        <w:t> </w:t>
      </w:r>
      <w:r>
        <w:rPr/>
        <w:t>Closure</w:t>
      </w:r>
      <w:r>
        <w:rPr>
          <w:spacing w:val="-5"/>
        </w:rPr>
        <w:t> </w:t>
      </w:r>
      <w:r>
        <w:rPr>
          <w:spacing w:val="-2"/>
        </w:rPr>
        <w:t>Status</w:t>
      </w:r>
    </w:p>
    <w:p>
      <w:pPr>
        <w:pStyle w:val="BodyText"/>
        <w:spacing w:line="208" w:lineRule="auto" w:before="233"/>
        <w:ind w:right="822" w:firstLine="432"/>
      </w:pPr>
      <w:r>
        <w:rPr/>
        <w:t>A</w:t>
      </w:r>
      <w:r>
        <w:rPr>
          <w:spacing w:val="-1"/>
        </w:rPr>
        <w:t> </w:t>
      </w:r>
      <w:r>
        <w:rPr/>
        <w:t>successful</w:t>
      </w:r>
      <w:r>
        <w:rPr>
          <w:spacing w:val="-1"/>
        </w:rPr>
        <w:t> </w:t>
      </w:r>
      <w:r>
        <w:rPr/>
        <w:t>closure</w:t>
      </w:r>
      <w:r>
        <w:rPr>
          <w:spacing w:val="-1"/>
        </w:rPr>
        <w:t> </w:t>
      </w:r>
      <w:r>
        <w:rPr/>
        <w:t>is</w:t>
      </w:r>
      <w:r>
        <w:rPr>
          <w:spacing w:val="-1"/>
        </w:rPr>
        <w:t> </w:t>
      </w:r>
      <w:r>
        <w:rPr/>
        <w:t>when</w:t>
      </w:r>
      <w:r>
        <w:rPr>
          <w:spacing w:val="-1"/>
        </w:rPr>
        <w:t> </w:t>
      </w:r>
      <w:r>
        <w:rPr/>
        <w:t>the</w:t>
      </w:r>
      <w:r>
        <w:rPr>
          <w:spacing w:val="-1"/>
        </w:rPr>
        <w:t> </w:t>
      </w:r>
      <w:r>
        <w:rPr/>
        <w:t>planned</w:t>
      </w:r>
      <w:r>
        <w:rPr>
          <w:spacing w:val="-1"/>
        </w:rPr>
        <w:t> </w:t>
      </w:r>
      <w:r>
        <w:rPr/>
        <w:t>program of services</w:t>
      </w:r>
      <w:r>
        <w:rPr>
          <w:spacing w:val="-1"/>
        </w:rPr>
        <w:t> </w:t>
      </w:r>
      <w:r>
        <w:rPr/>
        <w:t>has</w:t>
      </w:r>
      <w:r>
        <w:rPr>
          <w:spacing w:val="-1"/>
        </w:rPr>
        <w:t> </w:t>
      </w:r>
      <w:r>
        <w:rPr/>
        <w:t>been</w:t>
      </w:r>
      <w:r>
        <w:rPr>
          <w:spacing w:val="-1"/>
        </w:rPr>
        <w:t> </w:t>
      </w:r>
      <w:r>
        <w:rPr/>
        <w:t>completed and/or the consumer has achieved his/her goal for independence. The client, or the client's</w:t>
      </w:r>
      <w:r>
        <w:rPr>
          <w:spacing w:val="-4"/>
        </w:rPr>
        <w:t> </w:t>
      </w:r>
      <w:r>
        <w:rPr/>
        <w:t>authorized</w:t>
      </w:r>
      <w:r>
        <w:rPr>
          <w:spacing w:val="-4"/>
        </w:rPr>
        <w:t> </w:t>
      </w:r>
      <w:r>
        <w:rPr/>
        <w:t>representative</w:t>
      </w:r>
      <w:r>
        <w:rPr>
          <w:spacing w:val="-4"/>
        </w:rPr>
        <w:t> </w:t>
      </w:r>
      <w:r>
        <w:rPr/>
        <w:t>as</w:t>
      </w:r>
      <w:r>
        <w:rPr>
          <w:spacing w:val="-4"/>
        </w:rPr>
        <w:t> </w:t>
      </w:r>
      <w:r>
        <w:rPr/>
        <w:t>appropriate,</w:t>
      </w:r>
      <w:r>
        <w:rPr>
          <w:spacing w:val="-3"/>
        </w:rPr>
        <w:t> </w:t>
      </w:r>
      <w:r>
        <w:rPr/>
        <w:t>will</w:t>
      </w:r>
      <w:r>
        <w:rPr>
          <w:spacing w:val="-4"/>
        </w:rPr>
        <w:t> </w:t>
      </w:r>
      <w:r>
        <w:rPr/>
        <w:t>be</w:t>
      </w:r>
      <w:r>
        <w:rPr>
          <w:spacing w:val="-3"/>
        </w:rPr>
        <w:t> </w:t>
      </w:r>
      <w:r>
        <w:rPr/>
        <w:t>a</w:t>
      </w:r>
      <w:r>
        <w:rPr>
          <w:spacing w:val="-4"/>
        </w:rPr>
        <w:t> </w:t>
      </w:r>
      <w:r>
        <w:rPr/>
        <w:t>full</w:t>
      </w:r>
      <w:r>
        <w:rPr>
          <w:spacing w:val="-4"/>
        </w:rPr>
        <w:t> </w:t>
      </w:r>
      <w:r>
        <w:rPr/>
        <w:t>participant</w:t>
      </w:r>
      <w:r>
        <w:rPr>
          <w:spacing w:val="-3"/>
        </w:rPr>
        <w:t> </w:t>
      </w:r>
      <w:r>
        <w:rPr/>
        <w:t>in</w:t>
      </w:r>
      <w:r>
        <w:rPr>
          <w:spacing w:val="-4"/>
        </w:rPr>
        <w:t> </w:t>
      </w:r>
      <w:r>
        <w:rPr/>
        <w:t>the</w:t>
      </w:r>
      <w:r>
        <w:rPr>
          <w:spacing w:val="-4"/>
        </w:rPr>
        <w:t> </w:t>
      </w:r>
      <w:r>
        <w:rPr/>
        <w:t>decision to close the case. The last discussion of the closure decision with the client, or the client's authorized representative, will be held within 30 days of the closure </w:t>
      </w:r>
      <w:r>
        <w:rPr>
          <w:b/>
        </w:rPr>
        <w:t>1</w:t>
      </w:r>
      <w:r>
        <w:rPr/>
        <w:t>, and will be documented in a case narrative. The client will also be given a copy of the closure letter in their preferred format.</w:t>
      </w:r>
    </w:p>
    <w:p>
      <w:pPr>
        <w:pStyle w:val="BodyText"/>
        <w:spacing w:before="210"/>
      </w:pPr>
      <w:r>
        <w:rPr/>
        <w:t>INSTRUCTIONS</w:t>
      </w:r>
      <w:r>
        <w:rPr>
          <w:spacing w:val="-3"/>
        </w:rPr>
        <w:t> </w:t>
      </w:r>
      <w:r>
        <w:rPr/>
        <w:t>TO</w:t>
      </w:r>
      <w:r>
        <w:rPr>
          <w:spacing w:val="-2"/>
        </w:rPr>
        <w:t> </w:t>
      </w:r>
      <w:r>
        <w:rPr>
          <w:spacing w:val="-4"/>
        </w:rPr>
        <w:t>STAFF</w:t>
      </w:r>
    </w:p>
    <w:p>
      <w:pPr>
        <w:pStyle w:val="BodyText"/>
        <w:spacing w:line="208" w:lineRule="auto" w:before="233"/>
        <w:ind w:left="791" w:right="775"/>
      </w:pPr>
      <w:r>
        <w:rPr/>
        <w:t>1. Before</w:t>
      </w:r>
      <w:r>
        <w:rPr>
          <w:spacing w:val="-3"/>
        </w:rPr>
        <w:t> </w:t>
      </w:r>
      <w:r>
        <w:rPr/>
        <w:t>the</w:t>
      </w:r>
      <w:r>
        <w:rPr>
          <w:spacing w:val="-4"/>
        </w:rPr>
        <w:t> </w:t>
      </w:r>
      <w:r>
        <w:rPr/>
        <w:t>case</w:t>
      </w:r>
      <w:r>
        <w:rPr>
          <w:spacing w:val="-3"/>
        </w:rPr>
        <w:t> </w:t>
      </w:r>
      <w:r>
        <w:rPr/>
        <w:t>is</w:t>
      </w:r>
      <w:r>
        <w:rPr>
          <w:spacing w:val="-3"/>
        </w:rPr>
        <w:t> </w:t>
      </w:r>
      <w:r>
        <w:rPr/>
        <w:t>closed,</w:t>
      </w:r>
      <w:r>
        <w:rPr>
          <w:spacing w:val="-2"/>
        </w:rPr>
        <w:t> </w:t>
      </w:r>
      <w:r>
        <w:rPr/>
        <w:t>all</w:t>
      </w:r>
      <w:r>
        <w:rPr>
          <w:spacing w:val="-3"/>
        </w:rPr>
        <w:t> </w:t>
      </w:r>
      <w:r>
        <w:rPr/>
        <w:t>un-liquidated</w:t>
      </w:r>
      <w:r>
        <w:rPr>
          <w:spacing w:val="-3"/>
        </w:rPr>
        <w:t> </w:t>
      </w:r>
      <w:r>
        <w:rPr/>
        <w:t>authorizations</w:t>
      </w:r>
      <w:r>
        <w:rPr>
          <w:spacing w:val="-3"/>
        </w:rPr>
        <w:t> </w:t>
      </w:r>
      <w:r>
        <w:rPr/>
        <w:t>must</w:t>
      </w:r>
      <w:r>
        <w:rPr>
          <w:spacing w:val="-2"/>
        </w:rPr>
        <w:t> </w:t>
      </w:r>
      <w:r>
        <w:rPr/>
        <w:t>be</w:t>
      </w:r>
      <w:r>
        <w:rPr>
          <w:spacing w:val="-4"/>
        </w:rPr>
        <w:t> </w:t>
      </w:r>
      <w:r>
        <w:rPr/>
        <w:t>cancelled</w:t>
      </w:r>
      <w:r>
        <w:rPr>
          <w:spacing w:val="-3"/>
        </w:rPr>
        <w:t> </w:t>
      </w:r>
      <w:r>
        <w:rPr/>
        <w:t>or accounted for to determine if a claim will be made against any outstanding </w:t>
      </w:r>
      <w:r>
        <w:rPr>
          <w:spacing w:val="-2"/>
        </w:rPr>
        <w:t>authorization.</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7-1-97</w:t>
      </w:r>
      <w:r>
        <w:rPr>
          <w:sz w:val="22"/>
        </w:rPr>
        <w:tab/>
        <w:t>PT Memo #97-9</w:t>
      </w:r>
    </w:p>
    <w:p>
      <w:pPr>
        <w:tabs>
          <w:tab w:pos="1439" w:val="left" w:leader="none"/>
        </w:tabs>
        <w:spacing w:before="0"/>
        <w:ind w:left="359" w:right="2504" w:firstLine="1080"/>
        <w:jc w:val="left"/>
        <w:rPr>
          <w:sz w:val="22"/>
        </w:rPr>
      </w:pPr>
      <w:r>
        <w:rPr>
          <w:sz w:val="22"/>
        </w:rPr>
        <w:t>ITS,</w:t>
      </w:r>
      <w:r>
        <w:rPr>
          <w:spacing w:val="-5"/>
          <w:sz w:val="22"/>
        </w:rPr>
        <w:t> </w:t>
      </w:r>
      <w:r>
        <w:rPr>
          <w:sz w:val="22"/>
        </w:rPr>
        <w:t>changed</w:t>
      </w:r>
      <w:r>
        <w:rPr>
          <w:spacing w:val="-5"/>
          <w:sz w:val="22"/>
        </w:rPr>
        <w:t> </w:t>
      </w:r>
      <w:r>
        <w:rPr>
          <w:sz w:val="22"/>
        </w:rPr>
        <w:t>to</w:t>
      </w:r>
      <w:r>
        <w:rPr>
          <w:spacing w:val="-5"/>
          <w:sz w:val="22"/>
        </w:rPr>
        <w:t> </w:t>
      </w:r>
      <w:r>
        <w:rPr>
          <w:sz w:val="22"/>
        </w:rPr>
        <w:t>allow</w:t>
      </w:r>
      <w:r>
        <w:rPr>
          <w:spacing w:val="-6"/>
          <w:sz w:val="22"/>
        </w:rPr>
        <w:t> </w:t>
      </w:r>
      <w:r>
        <w:rPr>
          <w:sz w:val="22"/>
        </w:rPr>
        <w:t>case</w:t>
      </w:r>
      <w:r>
        <w:rPr>
          <w:spacing w:val="-5"/>
          <w:sz w:val="22"/>
        </w:rPr>
        <w:t> </w:t>
      </w:r>
      <w:r>
        <w:rPr>
          <w:sz w:val="22"/>
        </w:rPr>
        <w:t>closure</w:t>
      </w:r>
      <w:r>
        <w:rPr>
          <w:spacing w:val="-6"/>
          <w:sz w:val="22"/>
        </w:rPr>
        <w:t> </w:t>
      </w:r>
      <w:r>
        <w:rPr>
          <w:sz w:val="22"/>
        </w:rPr>
        <w:t>with</w:t>
      </w:r>
      <w:r>
        <w:rPr>
          <w:spacing w:val="-5"/>
          <w:sz w:val="22"/>
        </w:rPr>
        <w:t> </w:t>
      </w:r>
      <w:r>
        <w:rPr>
          <w:sz w:val="22"/>
        </w:rPr>
        <w:t>outstanding</w:t>
      </w:r>
      <w:r>
        <w:rPr>
          <w:spacing w:val="-5"/>
          <w:sz w:val="22"/>
        </w:rPr>
        <w:t> </w:t>
      </w:r>
      <w:r>
        <w:rPr>
          <w:sz w:val="22"/>
        </w:rPr>
        <w:t>authorizations </w:t>
      </w:r>
      <w:r>
        <w:rPr>
          <w:spacing w:val="-2"/>
          <w:sz w:val="22"/>
        </w:rPr>
        <w:t>7-1-98</w:t>
      </w:r>
      <w:r>
        <w:rPr>
          <w:sz w:val="22"/>
        </w:rPr>
        <w:tab/>
        <w:t>PT Memo #98-15</w:t>
      </w:r>
    </w:p>
    <w:p>
      <w:pPr>
        <w:tabs>
          <w:tab w:pos="1439" w:val="left" w:leader="none"/>
        </w:tabs>
        <w:spacing w:before="0"/>
        <w:ind w:left="359" w:right="4633" w:firstLine="1080"/>
        <w:jc w:val="left"/>
        <w:rPr>
          <w:sz w:val="22"/>
        </w:rPr>
      </w:pPr>
      <w:r>
        <w:rPr>
          <w:sz w:val="22"/>
        </w:rPr>
        <w:t>Permanent,</w:t>
      </w:r>
      <w:r>
        <w:rPr>
          <w:spacing w:val="-7"/>
          <w:sz w:val="22"/>
        </w:rPr>
        <w:t> </w:t>
      </w:r>
      <w:r>
        <w:rPr>
          <w:sz w:val="22"/>
        </w:rPr>
        <w:t>changes</w:t>
      </w:r>
      <w:r>
        <w:rPr>
          <w:spacing w:val="-8"/>
          <w:sz w:val="22"/>
        </w:rPr>
        <w:t> </w:t>
      </w:r>
      <w:r>
        <w:rPr>
          <w:sz w:val="22"/>
        </w:rPr>
        <w:t>to</w:t>
      </w:r>
      <w:r>
        <w:rPr>
          <w:spacing w:val="-9"/>
          <w:sz w:val="22"/>
        </w:rPr>
        <w:t> </w:t>
      </w:r>
      <w:r>
        <w:rPr>
          <w:sz w:val="22"/>
        </w:rPr>
        <w:t>conform</w:t>
      </w:r>
      <w:r>
        <w:rPr>
          <w:spacing w:val="-9"/>
          <w:sz w:val="22"/>
        </w:rPr>
        <w:t> </w:t>
      </w:r>
      <w:r>
        <w:rPr>
          <w:sz w:val="22"/>
        </w:rPr>
        <w:t>with</w:t>
      </w:r>
      <w:r>
        <w:rPr>
          <w:spacing w:val="-8"/>
          <w:sz w:val="22"/>
        </w:rPr>
        <w:t> </w:t>
      </w:r>
      <w:r>
        <w:rPr>
          <w:sz w:val="22"/>
        </w:rPr>
        <w:t>ORMIS </w:t>
      </w:r>
      <w:r>
        <w:rPr>
          <w:spacing w:val="-2"/>
          <w:sz w:val="22"/>
        </w:rPr>
        <w:t>7-1/05</w:t>
      </w:r>
      <w:r>
        <w:rPr>
          <w:sz w:val="22"/>
        </w:rPr>
        <w:tab/>
        <w:t>PT Memo #06-01</w:t>
      </w:r>
    </w:p>
    <w:p>
      <w:pPr>
        <w:tabs>
          <w:tab w:pos="1439" w:val="left" w:leader="none"/>
        </w:tabs>
        <w:spacing w:before="0"/>
        <w:ind w:left="359" w:right="2810" w:firstLine="1080"/>
        <w:jc w:val="left"/>
        <w:rPr>
          <w:sz w:val="22"/>
        </w:rPr>
      </w:pPr>
      <w:r>
        <w:rPr>
          <w:sz w:val="22"/>
        </w:rPr>
        <w:t>Permanent,</w:t>
      </w:r>
      <w:r>
        <w:rPr>
          <w:spacing w:val="-5"/>
          <w:sz w:val="22"/>
        </w:rPr>
        <w:t> </w:t>
      </w:r>
      <w:r>
        <w:rPr>
          <w:sz w:val="22"/>
        </w:rPr>
        <w:t>Independent</w:t>
      </w:r>
      <w:r>
        <w:rPr>
          <w:spacing w:val="-7"/>
          <w:sz w:val="22"/>
        </w:rPr>
        <w:t> </w:t>
      </w:r>
      <w:r>
        <w:rPr>
          <w:sz w:val="22"/>
        </w:rPr>
        <w:t>Living</w:t>
      </w:r>
      <w:r>
        <w:rPr>
          <w:spacing w:val="-6"/>
          <w:sz w:val="22"/>
        </w:rPr>
        <w:t> </w:t>
      </w:r>
      <w:r>
        <w:rPr>
          <w:sz w:val="22"/>
        </w:rPr>
        <w:t>policy</w:t>
      </w:r>
      <w:r>
        <w:rPr>
          <w:spacing w:val="-6"/>
          <w:sz w:val="22"/>
        </w:rPr>
        <w:t> </w:t>
      </w:r>
      <w:r>
        <w:rPr>
          <w:sz w:val="22"/>
        </w:rPr>
        <w:t>replaced</w:t>
      </w:r>
      <w:r>
        <w:rPr>
          <w:spacing w:val="-7"/>
          <w:sz w:val="22"/>
        </w:rPr>
        <w:t> </w:t>
      </w:r>
      <w:r>
        <w:rPr>
          <w:sz w:val="22"/>
        </w:rPr>
        <w:t>with</w:t>
      </w:r>
      <w:r>
        <w:rPr>
          <w:spacing w:val="-6"/>
          <w:sz w:val="22"/>
        </w:rPr>
        <w:t> </w:t>
      </w:r>
      <w:r>
        <w:rPr>
          <w:sz w:val="22"/>
        </w:rPr>
        <w:t>Older</w:t>
      </w:r>
      <w:r>
        <w:rPr>
          <w:spacing w:val="-6"/>
          <w:sz w:val="22"/>
        </w:rPr>
        <w:t> </w:t>
      </w:r>
      <w:r>
        <w:rPr>
          <w:sz w:val="22"/>
        </w:rPr>
        <w:t>Blind </w:t>
      </w:r>
      <w:r>
        <w:rPr>
          <w:spacing w:val="-2"/>
          <w:sz w:val="22"/>
        </w:rPr>
        <w:t>10-1-07</w:t>
      </w:r>
      <w:r>
        <w:rPr>
          <w:sz w:val="22"/>
        </w:rPr>
        <w:tab/>
        <w:t>PT Memo #08-02</w:t>
      </w:r>
    </w:p>
    <w:p>
      <w:pPr>
        <w:spacing w:line="253" w:lineRule="exact" w:before="1"/>
        <w:ind w:left="1439" w:right="0" w:firstLine="0"/>
        <w:jc w:val="left"/>
        <w:rPr>
          <w:sz w:val="22"/>
        </w:rPr>
      </w:pPr>
      <w:r>
        <w:rPr>
          <w:sz w:val="22"/>
        </w:rPr>
        <w:t>Permanent,</w:t>
      </w:r>
      <w:r>
        <w:rPr>
          <w:spacing w:val="-8"/>
          <w:sz w:val="22"/>
        </w:rPr>
        <w:t> </w:t>
      </w:r>
      <w:r>
        <w:rPr>
          <w:sz w:val="22"/>
        </w:rPr>
        <w:t>AWARE</w:t>
      </w:r>
      <w:r>
        <w:rPr>
          <w:spacing w:val="-8"/>
          <w:sz w:val="22"/>
        </w:rPr>
        <w:t> </w:t>
      </w:r>
      <w:r>
        <w:rPr>
          <w:sz w:val="22"/>
        </w:rPr>
        <w:t>change.</w:t>
      </w:r>
      <w:r>
        <w:rPr>
          <w:spacing w:val="45"/>
          <w:sz w:val="22"/>
        </w:rPr>
        <w:t> </w:t>
      </w:r>
      <w:r>
        <w:rPr>
          <w:sz w:val="22"/>
        </w:rPr>
        <w:t>Removed</w:t>
      </w:r>
      <w:r>
        <w:rPr>
          <w:spacing w:val="-8"/>
          <w:sz w:val="22"/>
        </w:rPr>
        <w:t> </w:t>
      </w:r>
      <w:r>
        <w:rPr>
          <w:sz w:val="22"/>
        </w:rPr>
        <w:t>Status</w:t>
      </w:r>
      <w:r>
        <w:rPr>
          <w:spacing w:val="-8"/>
          <w:sz w:val="22"/>
        </w:rPr>
        <w:t> </w:t>
      </w:r>
      <w:r>
        <w:rPr>
          <w:spacing w:val="-2"/>
          <w:sz w:val="22"/>
        </w:rPr>
        <w:t>numbers.</w:t>
      </w:r>
    </w:p>
    <w:p>
      <w:pPr>
        <w:pStyle w:val="ListParagraph"/>
        <w:numPr>
          <w:ilvl w:val="2"/>
          <w:numId w:val="284"/>
        </w:numPr>
        <w:tabs>
          <w:tab w:pos="1439" w:val="left" w:leader="none"/>
        </w:tabs>
        <w:spacing w:line="253"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before="0"/>
        <w:ind w:left="1439" w:right="0" w:firstLine="0"/>
        <w:jc w:val="left"/>
        <w:rPr>
          <w:sz w:val="22"/>
        </w:rPr>
      </w:pPr>
      <w:r>
        <w:rPr>
          <w:sz w:val="22"/>
        </w:rPr>
        <w:t>Permanent,</w:t>
      </w:r>
      <w:r>
        <w:rPr>
          <w:spacing w:val="-7"/>
          <w:sz w:val="22"/>
        </w:rPr>
        <w:t> </w:t>
      </w:r>
      <w:r>
        <w:rPr>
          <w:sz w:val="22"/>
        </w:rPr>
        <w:t>deleted</w:t>
      </w:r>
      <w:r>
        <w:rPr>
          <w:spacing w:val="-8"/>
          <w:sz w:val="22"/>
        </w:rPr>
        <w:t> </w:t>
      </w:r>
      <w:r>
        <w:rPr>
          <w:sz w:val="22"/>
        </w:rPr>
        <w:t>provision</w:t>
      </w:r>
      <w:r>
        <w:rPr>
          <w:spacing w:val="-8"/>
          <w:sz w:val="22"/>
        </w:rPr>
        <w:t> </w:t>
      </w:r>
      <w:r>
        <w:rPr>
          <w:sz w:val="22"/>
        </w:rPr>
        <w:t>for</w:t>
      </w:r>
      <w:r>
        <w:rPr>
          <w:spacing w:val="-7"/>
          <w:sz w:val="22"/>
        </w:rPr>
        <w:t> </w:t>
      </w:r>
      <w:r>
        <w:rPr>
          <w:sz w:val="22"/>
        </w:rPr>
        <w:t>post</w:t>
      </w:r>
      <w:r>
        <w:rPr>
          <w:spacing w:val="-8"/>
          <w:sz w:val="22"/>
        </w:rPr>
        <w:t> </w:t>
      </w:r>
      <w:r>
        <w:rPr>
          <w:sz w:val="22"/>
        </w:rPr>
        <w:t>closure</w:t>
      </w:r>
      <w:r>
        <w:rPr>
          <w:spacing w:val="-8"/>
          <w:sz w:val="22"/>
        </w:rPr>
        <w:t> </w:t>
      </w:r>
      <w:r>
        <w:rPr>
          <w:spacing w:val="-2"/>
          <w:sz w:val="22"/>
        </w:rPr>
        <w:t>activity</w:t>
      </w:r>
    </w:p>
    <w:p>
      <w:pPr>
        <w:spacing w:after="0"/>
        <w:jc w:val="left"/>
        <w:rPr>
          <w:sz w:val="22"/>
        </w:rPr>
        <w:sectPr>
          <w:pgSz w:w="12240" w:h="15840"/>
          <w:pgMar w:top="1340" w:bottom="280" w:left="1080" w:right="720"/>
        </w:sect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7"/>
        <w:gridCol w:w="4836"/>
      </w:tblGrid>
      <w:tr>
        <w:trPr>
          <w:trHeight w:val="374" w:hRule="atLeast"/>
        </w:trPr>
        <w:tc>
          <w:tcPr>
            <w:tcW w:w="1977" w:type="dxa"/>
          </w:tcPr>
          <w:p>
            <w:pPr>
              <w:pStyle w:val="TableParagraph"/>
              <w:spacing w:before="0"/>
              <w:ind w:left="0"/>
              <w:rPr>
                <w:rFonts w:ascii="Times New Roman"/>
                <w:sz w:val="24"/>
              </w:rPr>
            </w:pPr>
          </w:p>
        </w:tc>
        <w:tc>
          <w:tcPr>
            <w:tcW w:w="4836" w:type="dxa"/>
          </w:tcPr>
          <w:p>
            <w:pPr>
              <w:pStyle w:val="TableParagraph"/>
              <w:spacing w:line="268" w:lineRule="exact" w:before="0"/>
              <w:ind w:left="720"/>
              <w:rPr>
                <w:b/>
                <w:sz w:val="24"/>
              </w:rPr>
            </w:pPr>
            <w:bookmarkStart w:name="PART 5.  PROVISION OF SERVICES" w:id="267"/>
            <w:bookmarkEnd w:id="267"/>
            <w:r>
              <w:rPr/>
            </w:r>
            <w:r>
              <w:rPr>
                <w:b/>
                <w:sz w:val="24"/>
              </w:rPr>
              <w:t>PART</w:t>
            </w:r>
            <w:r>
              <w:rPr>
                <w:b/>
                <w:spacing w:val="-1"/>
                <w:sz w:val="24"/>
              </w:rPr>
              <w:t> </w:t>
            </w:r>
            <w:r>
              <w:rPr>
                <w:b/>
                <w:sz w:val="24"/>
              </w:rPr>
              <w:t>5.</w:t>
            </w:r>
            <w:r>
              <w:rPr>
                <w:b/>
                <w:spacing w:val="63"/>
                <w:sz w:val="24"/>
              </w:rPr>
              <w:t> </w:t>
            </w:r>
            <w:r>
              <w:rPr>
                <w:b/>
                <w:sz w:val="24"/>
              </w:rPr>
              <w:t>PROVISION</w:t>
            </w:r>
            <w:r>
              <w:rPr>
                <w:b/>
                <w:spacing w:val="-1"/>
                <w:sz w:val="24"/>
              </w:rPr>
              <w:t> </w:t>
            </w:r>
            <w:r>
              <w:rPr>
                <w:b/>
                <w:sz w:val="24"/>
              </w:rPr>
              <w:t>OF</w:t>
            </w:r>
            <w:r>
              <w:rPr>
                <w:b/>
                <w:spacing w:val="-2"/>
                <w:sz w:val="24"/>
              </w:rPr>
              <w:t> SERVICES</w:t>
            </w:r>
          </w:p>
        </w:tc>
      </w:tr>
      <w:tr>
        <w:trPr>
          <w:trHeight w:val="480" w:hRule="atLeast"/>
        </w:trPr>
        <w:tc>
          <w:tcPr>
            <w:tcW w:w="1977" w:type="dxa"/>
          </w:tcPr>
          <w:p>
            <w:pPr>
              <w:pStyle w:val="TableParagraph"/>
              <w:rPr>
                <w:sz w:val="24"/>
              </w:rPr>
            </w:pPr>
            <w:r>
              <w:rPr>
                <w:spacing w:val="-2"/>
                <w:sz w:val="24"/>
              </w:rPr>
              <w:t>Section</w:t>
            </w:r>
          </w:p>
        </w:tc>
        <w:tc>
          <w:tcPr>
            <w:tcW w:w="4836" w:type="dxa"/>
          </w:tcPr>
          <w:p>
            <w:pPr>
              <w:pStyle w:val="TableParagraph"/>
              <w:spacing w:before="0"/>
              <w:ind w:left="0"/>
              <w:rPr>
                <w:rFonts w:ascii="Times New Roman"/>
                <w:sz w:val="24"/>
              </w:rPr>
            </w:pPr>
          </w:p>
        </w:tc>
      </w:tr>
      <w:tr>
        <w:trPr>
          <w:trHeight w:val="480" w:hRule="atLeast"/>
        </w:trPr>
        <w:tc>
          <w:tcPr>
            <w:tcW w:w="1977" w:type="dxa"/>
          </w:tcPr>
          <w:p>
            <w:pPr>
              <w:pStyle w:val="TableParagraph"/>
              <w:rPr>
                <w:sz w:val="24"/>
              </w:rPr>
            </w:pPr>
            <w:r>
              <w:rPr>
                <w:spacing w:val="-2"/>
                <w:sz w:val="24"/>
              </w:rPr>
              <w:t>612:10-11-</w:t>
            </w:r>
            <w:r>
              <w:rPr>
                <w:spacing w:val="-5"/>
                <w:sz w:val="24"/>
              </w:rPr>
              <w:t>37.</w:t>
            </w:r>
          </w:p>
        </w:tc>
        <w:tc>
          <w:tcPr>
            <w:tcW w:w="4836" w:type="dxa"/>
          </w:tcPr>
          <w:p>
            <w:pPr>
              <w:pStyle w:val="TableParagraph"/>
              <w:ind w:left="233"/>
              <w:rPr>
                <w:sz w:val="24"/>
              </w:rPr>
            </w:pPr>
            <w:r>
              <w:rPr>
                <w:sz w:val="24"/>
              </w:rPr>
              <w:t>Counseling</w:t>
            </w:r>
            <w:r>
              <w:rPr>
                <w:spacing w:val="-5"/>
                <w:sz w:val="24"/>
              </w:rPr>
              <w:t> </w:t>
            </w:r>
            <w:r>
              <w:rPr>
                <w:spacing w:val="-2"/>
                <w:sz w:val="24"/>
              </w:rPr>
              <w:t>services</w:t>
            </w:r>
          </w:p>
        </w:tc>
      </w:tr>
      <w:tr>
        <w:trPr>
          <w:trHeight w:val="480" w:hRule="atLeast"/>
        </w:trPr>
        <w:tc>
          <w:tcPr>
            <w:tcW w:w="1977" w:type="dxa"/>
          </w:tcPr>
          <w:p>
            <w:pPr>
              <w:pStyle w:val="TableParagraph"/>
              <w:rPr>
                <w:sz w:val="24"/>
              </w:rPr>
            </w:pPr>
            <w:r>
              <w:rPr>
                <w:spacing w:val="-2"/>
                <w:sz w:val="24"/>
              </w:rPr>
              <w:t>612:10-11-37.1.</w:t>
            </w:r>
          </w:p>
        </w:tc>
        <w:tc>
          <w:tcPr>
            <w:tcW w:w="4836" w:type="dxa"/>
          </w:tcPr>
          <w:p>
            <w:pPr>
              <w:pStyle w:val="TableParagraph"/>
              <w:ind w:left="233"/>
              <w:rPr>
                <w:sz w:val="24"/>
              </w:rPr>
            </w:pPr>
            <w:r>
              <w:rPr>
                <w:spacing w:val="-2"/>
                <w:sz w:val="24"/>
              </w:rPr>
              <w:t>Assessment</w:t>
            </w:r>
          </w:p>
        </w:tc>
      </w:tr>
      <w:tr>
        <w:trPr>
          <w:trHeight w:val="480" w:hRule="atLeast"/>
        </w:trPr>
        <w:tc>
          <w:tcPr>
            <w:tcW w:w="1977" w:type="dxa"/>
          </w:tcPr>
          <w:p>
            <w:pPr>
              <w:pStyle w:val="TableParagraph"/>
              <w:rPr>
                <w:sz w:val="24"/>
              </w:rPr>
            </w:pPr>
            <w:r>
              <w:rPr>
                <w:spacing w:val="-2"/>
                <w:sz w:val="24"/>
              </w:rPr>
              <w:t>612:10-11-</w:t>
            </w:r>
            <w:r>
              <w:rPr>
                <w:spacing w:val="-5"/>
                <w:sz w:val="24"/>
              </w:rPr>
              <w:t>39.</w:t>
            </w:r>
          </w:p>
        </w:tc>
        <w:tc>
          <w:tcPr>
            <w:tcW w:w="4836" w:type="dxa"/>
          </w:tcPr>
          <w:p>
            <w:pPr>
              <w:pStyle w:val="TableParagraph"/>
              <w:ind w:left="233"/>
              <w:rPr>
                <w:sz w:val="24"/>
              </w:rPr>
            </w:pPr>
            <w:r>
              <w:rPr>
                <w:sz w:val="24"/>
              </w:rPr>
              <w:t>Physical</w:t>
            </w:r>
            <w:r>
              <w:rPr>
                <w:spacing w:val="-4"/>
                <w:sz w:val="24"/>
              </w:rPr>
              <w:t> </w:t>
            </w:r>
            <w:r>
              <w:rPr>
                <w:sz w:val="24"/>
              </w:rPr>
              <w:t>restoration</w:t>
            </w:r>
            <w:r>
              <w:rPr>
                <w:spacing w:val="-4"/>
                <w:sz w:val="24"/>
              </w:rPr>
              <w:t> </w:t>
            </w:r>
            <w:r>
              <w:rPr>
                <w:spacing w:val="-2"/>
                <w:sz w:val="24"/>
              </w:rPr>
              <w:t>services</w:t>
            </w:r>
          </w:p>
        </w:tc>
      </w:tr>
      <w:tr>
        <w:trPr>
          <w:trHeight w:val="480" w:hRule="atLeast"/>
        </w:trPr>
        <w:tc>
          <w:tcPr>
            <w:tcW w:w="1977" w:type="dxa"/>
          </w:tcPr>
          <w:p>
            <w:pPr>
              <w:pStyle w:val="TableParagraph"/>
              <w:rPr>
                <w:sz w:val="24"/>
              </w:rPr>
            </w:pPr>
            <w:r>
              <w:rPr>
                <w:spacing w:val="-2"/>
                <w:sz w:val="24"/>
              </w:rPr>
              <w:t>612:10-11-</w:t>
            </w:r>
            <w:r>
              <w:rPr>
                <w:spacing w:val="-5"/>
                <w:sz w:val="24"/>
              </w:rPr>
              <w:t>41.</w:t>
            </w:r>
          </w:p>
        </w:tc>
        <w:tc>
          <w:tcPr>
            <w:tcW w:w="4836" w:type="dxa"/>
          </w:tcPr>
          <w:p>
            <w:pPr>
              <w:pStyle w:val="TableParagraph"/>
              <w:ind w:left="233"/>
              <w:rPr>
                <w:sz w:val="24"/>
              </w:rPr>
            </w:pPr>
            <w:r>
              <w:rPr>
                <w:spacing w:val="-2"/>
                <w:sz w:val="24"/>
              </w:rPr>
              <w:t>Transportation</w:t>
            </w:r>
          </w:p>
        </w:tc>
      </w:tr>
      <w:tr>
        <w:trPr>
          <w:trHeight w:val="480" w:hRule="atLeast"/>
        </w:trPr>
        <w:tc>
          <w:tcPr>
            <w:tcW w:w="1977" w:type="dxa"/>
          </w:tcPr>
          <w:p>
            <w:pPr>
              <w:pStyle w:val="TableParagraph"/>
              <w:rPr>
                <w:sz w:val="24"/>
              </w:rPr>
            </w:pPr>
            <w:r>
              <w:rPr>
                <w:spacing w:val="-2"/>
                <w:sz w:val="24"/>
              </w:rPr>
              <w:t>612:10-11-</w:t>
            </w:r>
            <w:r>
              <w:rPr>
                <w:spacing w:val="-5"/>
                <w:sz w:val="24"/>
              </w:rPr>
              <w:t>42.</w:t>
            </w:r>
          </w:p>
        </w:tc>
        <w:tc>
          <w:tcPr>
            <w:tcW w:w="4836" w:type="dxa"/>
          </w:tcPr>
          <w:p>
            <w:pPr>
              <w:pStyle w:val="TableParagraph"/>
              <w:ind w:left="233"/>
              <w:rPr>
                <w:sz w:val="24"/>
              </w:rPr>
            </w:pPr>
            <w:r>
              <w:rPr>
                <w:sz w:val="24"/>
              </w:rPr>
              <w:t>Interpreter</w:t>
            </w:r>
            <w:r>
              <w:rPr>
                <w:spacing w:val="-7"/>
                <w:sz w:val="24"/>
              </w:rPr>
              <w:t> </w:t>
            </w:r>
            <w:r>
              <w:rPr>
                <w:spacing w:val="-2"/>
                <w:sz w:val="24"/>
              </w:rPr>
              <w:t>services</w:t>
            </w:r>
          </w:p>
        </w:tc>
      </w:tr>
      <w:tr>
        <w:trPr>
          <w:trHeight w:val="480" w:hRule="atLeast"/>
        </w:trPr>
        <w:tc>
          <w:tcPr>
            <w:tcW w:w="1977" w:type="dxa"/>
          </w:tcPr>
          <w:p>
            <w:pPr>
              <w:pStyle w:val="TableParagraph"/>
              <w:rPr>
                <w:sz w:val="24"/>
              </w:rPr>
            </w:pPr>
            <w:r>
              <w:rPr>
                <w:spacing w:val="-2"/>
                <w:sz w:val="24"/>
              </w:rPr>
              <w:t>612:10-11-</w:t>
            </w:r>
            <w:r>
              <w:rPr>
                <w:spacing w:val="-5"/>
                <w:sz w:val="24"/>
              </w:rPr>
              <w:t>43.</w:t>
            </w:r>
          </w:p>
        </w:tc>
        <w:tc>
          <w:tcPr>
            <w:tcW w:w="4836" w:type="dxa"/>
          </w:tcPr>
          <w:p>
            <w:pPr>
              <w:pStyle w:val="TableParagraph"/>
              <w:ind w:left="233"/>
              <w:rPr>
                <w:sz w:val="24"/>
              </w:rPr>
            </w:pPr>
            <w:r>
              <w:rPr>
                <w:sz w:val="24"/>
              </w:rPr>
              <w:t>Reader/Guide</w:t>
            </w:r>
            <w:r>
              <w:rPr>
                <w:spacing w:val="-7"/>
                <w:sz w:val="24"/>
              </w:rPr>
              <w:t> </w:t>
            </w:r>
            <w:r>
              <w:rPr>
                <w:spacing w:val="-2"/>
                <w:sz w:val="24"/>
              </w:rPr>
              <w:t>services</w:t>
            </w:r>
          </w:p>
        </w:tc>
      </w:tr>
      <w:tr>
        <w:trPr>
          <w:trHeight w:val="480" w:hRule="atLeast"/>
        </w:trPr>
        <w:tc>
          <w:tcPr>
            <w:tcW w:w="1977" w:type="dxa"/>
          </w:tcPr>
          <w:p>
            <w:pPr>
              <w:pStyle w:val="TableParagraph"/>
              <w:rPr>
                <w:sz w:val="24"/>
              </w:rPr>
            </w:pPr>
            <w:r>
              <w:rPr>
                <w:spacing w:val="-2"/>
                <w:sz w:val="24"/>
              </w:rPr>
              <w:t>612:10-11-</w:t>
            </w:r>
            <w:r>
              <w:rPr>
                <w:spacing w:val="-5"/>
                <w:sz w:val="24"/>
              </w:rPr>
              <w:t>46.</w:t>
            </w:r>
          </w:p>
        </w:tc>
        <w:tc>
          <w:tcPr>
            <w:tcW w:w="4836" w:type="dxa"/>
          </w:tcPr>
          <w:p>
            <w:pPr>
              <w:pStyle w:val="TableParagraph"/>
              <w:ind w:left="233"/>
              <w:rPr>
                <w:sz w:val="24"/>
              </w:rPr>
            </w:pPr>
            <w:r>
              <w:rPr>
                <w:sz w:val="24"/>
              </w:rPr>
              <w:t>Community</w:t>
            </w:r>
            <w:r>
              <w:rPr>
                <w:spacing w:val="-5"/>
                <w:sz w:val="24"/>
              </w:rPr>
              <w:t> </w:t>
            </w:r>
            <w:r>
              <w:rPr>
                <w:spacing w:val="-2"/>
                <w:sz w:val="24"/>
              </w:rPr>
              <w:t>integration</w:t>
            </w:r>
          </w:p>
        </w:tc>
      </w:tr>
      <w:tr>
        <w:trPr>
          <w:trHeight w:val="480" w:hRule="atLeast"/>
        </w:trPr>
        <w:tc>
          <w:tcPr>
            <w:tcW w:w="1977" w:type="dxa"/>
          </w:tcPr>
          <w:p>
            <w:pPr>
              <w:pStyle w:val="TableParagraph"/>
              <w:rPr>
                <w:sz w:val="24"/>
              </w:rPr>
            </w:pPr>
            <w:r>
              <w:rPr>
                <w:spacing w:val="-2"/>
                <w:sz w:val="24"/>
              </w:rPr>
              <w:t>612:10-11-</w:t>
            </w:r>
            <w:r>
              <w:rPr>
                <w:spacing w:val="-5"/>
                <w:sz w:val="24"/>
              </w:rPr>
              <w:t>47.</w:t>
            </w:r>
          </w:p>
        </w:tc>
        <w:tc>
          <w:tcPr>
            <w:tcW w:w="4836" w:type="dxa"/>
          </w:tcPr>
          <w:p>
            <w:pPr>
              <w:pStyle w:val="TableParagraph"/>
              <w:ind w:left="233"/>
              <w:rPr>
                <w:sz w:val="24"/>
              </w:rPr>
            </w:pPr>
            <w:r>
              <w:rPr>
                <w:sz w:val="24"/>
              </w:rPr>
              <w:t>Low</w:t>
            </w:r>
            <w:r>
              <w:rPr>
                <w:spacing w:val="-2"/>
                <w:sz w:val="24"/>
              </w:rPr>
              <w:t> </w:t>
            </w:r>
            <w:r>
              <w:rPr>
                <w:sz w:val="24"/>
              </w:rPr>
              <w:t>vision</w:t>
            </w:r>
            <w:r>
              <w:rPr>
                <w:spacing w:val="-2"/>
                <w:sz w:val="24"/>
              </w:rPr>
              <w:t> training</w:t>
            </w:r>
          </w:p>
        </w:tc>
      </w:tr>
      <w:tr>
        <w:trPr>
          <w:trHeight w:val="480" w:hRule="atLeast"/>
        </w:trPr>
        <w:tc>
          <w:tcPr>
            <w:tcW w:w="1977" w:type="dxa"/>
          </w:tcPr>
          <w:p>
            <w:pPr>
              <w:pStyle w:val="TableParagraph"/>
              <w:rPr>
                <w:sz w:val="24"/>
              </w:rPr>
            </w:pPr>
            <w:r>
              <w:rPr>
                <w:spacing w:val="-2"/>
                <w:sz w:val="24"/>
              </w:rPr>
              <w:t>612:10-11-</w:t>
            </w:r>
            <w:r>
              <w:rPr>
                <w:spacing w:val="-5"/>
                <w:sz w:val="24"/>
              </w:rPr>
              <w:t>49.</w:t>
            </w:r>
          </w:p>
        </w:tc>
        <w:tc>
          <w:tcPr>
            <w:tcW w:w="4836" w:type="dxa"/>
          </w:tcPr>
          <w:p>
            <w:pPr>
              <w:pStyle w:val="TableParagraph"/>
              <w:ind w:left="233"/>
              <w:rPr>
                <w:sz w:val="24"/>
              </w:rPr>
            </w:pPr>
            <w:r>
              <w:rPr>
                <w:sz w:val="24"/>
              </w:rPr>
              <w:t>Referral</w:t>
            </w:r>
            <w:r>
              <w:rPr>
                <w:spacing w:val="-4"/>
                <w:sz w:val="24"/>
              </w:rPr>
              <w:t> </w:t>
            </w:r>
            <w:r>
              <w:rPr>
                <w:spacing w:val="-2"/>
                <w:sz w:val="24"/>
              </w:rPr>
              <w:t>services</w:t>
            </w:r>
          </w:p>
        </w:tc>
      </w:tr>
      <w:tr>
        <w:trPr>
          <w:trHeight w:val="480" w:hRule="atLeast"/>
        </w:trPr>
        <w:tc>
          <w:tcPr>
            <w:tcW w:w="1977" w:type="dxa"/>
          </w:tcPr>
          <w:p>
            <w:pPr>
              <w:pStyle w:val="TableParagraph"/>
              <w:rPr>
                <w:sz w:val="24"/>
              </w:rPr>
            </w:pPr>
            <w:r>
              <w:rPr>
                <w:spacing w:val="-2"/>
                <w:sz w:val="24"/>
              </w:rPr>
              <w:t>612:10-11-</w:t>
            </w:r>
            <w:r>
              <w:rPr>
                <w:spacing w:val="-5"/>
                <w:sz w:val="24"/>
              </w:rPr>
              <w:t>53.</w:t>
            </w:r>
          </w:p>
        </w:tc>
        <w:tc>
          <w:tcPr>
            <w:tcW w:w="4836" w:type="dxa"/>
          </w:tcPr>
          <w:p>
            <w:pPr>
              <w:pStyle w:val="TableParagraph"/>
              <w:ind w:left="233"/>
              <w:rPr>
                <w:sz w:val="24"/>
              </w:rPr>
            </w:pPr>
            <w:r>
              <w:rPr>
                <w:sz w:val="24"/>
              </w:rPr>
              <w:t>Daily</w:t>
            </w:r>
            <w:r>
              <w:rPr>
                <w:spacing w:val="-3"/>
                <w:sz w:val="24"/>
              </w:rPr>
              <w:t> </w:t>
            </w:r>
            <w:r>
              <w:rPr>
                <w:sz w:val="24"/>
              </w:rPr>
              <w:t>living</w:t>
            </w:r>
            <w:r>
              <w:rPr>
                <w:spacing w:val="-3"/>
                <w:sz w:val="24"/>
              </w:rPr>
              <w:t> </w:t>
            </w:r>
            <w:r>
              <w:rPr>
                <w:spacing w:val="-2"/>
                <w:sz w:val="24"/>
              </w:rPr>
              <w:t>skills</w:t>
            </w:r>
          </w:p>
        </w:tc>
      </w:tr>
      <w:tr>
        <w:trPr>
          <w:trHeight w:val="480" w:hRule="atLeast"/>
        </w:trPr>
        <w:tc>
          <w:tcPr>
            <w:tcW w:w="1977" w:type="dxa"/>
          </w:tcPr>
          <w:p>
            <w:pPr>
              <w:pStyle w:val="TableParagraph"/>
              <w:rPr>
                <w:sz w:val="24"/>
              </w:rPr>
            </w:pPr>
            <w:r>
              <w:rPr>
                <w:spacing w:val="-2"/>
                <w:sz w:val="24"/>
              </w:rPr>
              <w:t>612:10-11-</w:t>
            </w:r>
            <w:r>
              <w:rPr>
                <w:spacing w:val="-5"/>
                <w:sz w:val="24"/>
              </w:rPr>
              <w:t>54.</w:t>
            </w:r>
          </w:p>
        </w:tc>
        <w:tc>
          <w:tcPr>
            <w:tcW w:w="4836" w:type="dxa"/>
          </w:tcPr>
          <w:p>
            <w:pPr>
              <w:pStyle w:val="TableParagraph"/>
              <w:ind w:left="233"/>
              <w:rPr>
                <w:sz w:val="24"/>
              </w:rPr>
            </w:pPr>
            <w:r>
              <w:rPr>
                <w:sz w:val="24"/>
              </w:rPr>
              <w:t>Management</w:t>
            </w:r>
            <w:r>
              <w:rPr>
                <w:spacing w:val="-4"/>
                <w:sz w:val="24"/>
              </w:rPr>
              <w:t> </w:t>
            </w:r>
            <w:r>
              <w:rPr>
                <w:sz w:val="24"/>
              </w:rPr>
              <w:t>of</w:t>
            </w:r>
            <w:r>
              <w:rPr>
                <w:spacing w:val="-3"/>
                <w:sz w:val="24"/>
              </w:rPr>
              <w:t> </w:t>
            </w:r>
            <w:r>
              <w:rPr>
                <w:sz w:val="24"/>
              </w:rPr>
              <w:t>secondary</w:t>
            </w:r>
            <w:r>
              <w:rPr>
                <w:spacing w:val="-4"/>
                <w:sz w:val="24"/>
              </w:rPr>
              <w:t> </w:t>
            </w:r>
            <w:r>
              <w:rPr>
                <w:spacing w:val="-2"/>
                <w:sz w:val="24"/>
              </w:rPr>
              <w:t>Disabilities</w:t>
            </w:r>
          </w:p>
        </w:tc>
      </w:tr>
      <w:tr>
        <w:trPr>
          <w:trHeight w:val="480" w:hRule="atLeast"/>
        </w:trPr>
        <w:tc>
          <w:tcPr>
            <w:tcW w:w="1977" w:type="dxa"/>
          </w:tcPr>
          <w:p>
            <w:pPr>
              <w:pStyle w:val="TableParagraph"/>
              <w:rPr>
                <w:sz w:val="24"/>
              </w:rPr>
            </w:pPr>
            <w:r>
              <w:rPr>
                <w:spacing w:val="-2"/>
                <w:sz w:val="24"/>
              </w:rPr>
              <w:t>612:10-11-</w:t>
            </w:r>
            <w:r>
              <w:rPr>
                <w:spacing w:val="-5"/>
                <w:sz w:val="24"/>
              </w:rPr>
              <w:t>55.</w:t>
            </w:r>
          </w:p>
        </w:tc>
        <w:tc>
          <w:tcPr>
            <w:tcW w:w="4836" w:type="dxa"/>
          </w:tcPr>
          <w:p>
            <w:pPr>
              <w:pStyle w:val="TableParagraph"/>
              <w:ind w:left="233"/>
              <w:rPr>
                <w:sz w:val="24"/>
              </w:rPr>
            </w:pPr>
            <w:r>
              <w:rPr>
                <w:sz w:val="24"/>
              </w:rPr>
              <w:t>Referral</w:t>
            </w:r>
            <w:r>
              <w:rPr>
                <w:spacing w:val="-3"/>
                <w:sz w:val="24"/>
              </w:rPr>
              <w:t> </w:t>
            </w:r>
            <w:r>
              <w:rPr>
                <w:sz w:val="24"/>
              </w:rPr>
              <w:t>for</w:t>
            </w:r>
            <w:r>
              <w:rPr>
                <w:spacing w:val="-2"/>
                <w:sz w:val="24"/>
              </w:rPr>
              <w:t> </w:t>
            </w:r>
            <w:r>
              <w:rPr>
                <w:sz w:val="24"/>
              </w:rPr>
              <w:t>VR</w:t>
            </w:r>
            <w:r>
              <w:rPr>
                <w:spacing w:val="-2"/>
                <w:sz w:val="24"/>
              </w:rPr>
              <w:t> services</w:t>
            </w:r>
          </w:p>
        </w:tc>
      </w:tr>
      <w:tr>
        <w:trPr>
          <w:trHeight w:val="480" w:hRule="atLeast"/>
        </w:trPr>
        <w:tc>
          <w:tcPr>
            <w:tcW w:w="1977" w:type="dxa"/>
          </w:tcPr>
          <w:p>
            <w:pPr>
              <w:pStyle w:val="TableParagraph"/>
              <w:rPr>
                <w:sz w:val="24"/>
              </w:rPr>
            </w:pPr>
            <w:r>
              <w:rPr>
                <w:spacing w:val="-2"/>
                <w:sz w:val="24"/>
              </w:rPr>
              <w:t>612:10-11-</w:t>
            </w:r>
            <w:r>
              <w:rPr>
                <w:spacing w:val="-5"/>
                <w:sz w:val="24"/>
              </w:rPr>
              <w:t>56.</w:t>
            </w:r>
          </w:p>
        </w:tc>
        <w:tc>
          <w:tcPr>
            <w:tcW w:w="4836" w:type="dxa"/>
          </w:tcPr>
          <w:p>
            <w:pPr>
              <w:pStyle w:val="TableParagraph"/>
              <w:ind w:left="233"/>
              <w:rPr>
                <w:sz w:val="24"/>
              </w:rPr>
            </w:pPr>
            <w:r>
              <w:rPr>
                <w:sz w:val="24"/>
              </w:rPr>
              <w:t>Low</w:t>
            </w:r>
            <w:r>
              <w:rPr>
                <w:spacing w:val="-4"/>
                <w:sz w:val="24"/>
              </w:rPr>
              <w:t> </w:t>
            </w:r>
            <w:r>
              <w:rPr>
                <w:sz w:val="24"/>
              </w:rPr>
              <w:t>vision</w:t>
            </w:r>
            <w:r>
              <w:rPr>
                <w:spacing w:val="-3"/>
                <w:sz w:val="24"/>
              </w:rPr>
              <w:t> </w:t>
            </w:r>
            <w:r>
              <w:rPr>
                <w:sz w:val="24"/>
              </w:rPr>
              <w:t>Evaluation</w:t>
            </w:r>
            <w:r>
              <w:rPr>
                <w:spacing w:val="-2"/>
                <w:sz w:val="24"/>
              </w:rPr>
              <w:t> Services</w:t>
            </w:r>
          </w:p>
        </w:tc>
      </w:tr>
      <w:tr>
        <w:trPr>
          <w:trHeight w:val="480" w:hRule="atLeast"/>
        </w:trPr>
        <w:tc>
          <w:tcPr>
            <w:tcW w:w="1977" w:type="dxa"/>
          </w:tcPr>
          <w:p>
            <w:pPr>
              <w:pStyle w:val="TableParagraph"/>
              <w:rPr>
                <w:sz w:val="24"/>
              </w:rPr>
            </w:pPr>
            <w:r>
              <w:rPr>
                <w:spacing w:val="-2"/>
                <w:sz w:val="24"/>
              </w:rPr>
              <w:t>612:10-11-</w:t>
            </w:r>
            <w:r>
              <w:rPr>
                <w:spacing w:val="-5"/>
                <w:sz w:val="24"/>
              </w:rPr>
              <w:t>57.</w:t>
            </w:r>
          </w:p>
        </w:tc>
        <w:tc>
          <w:tcPr>
            <w:tcW w:w="4836" w:type="dxa"/>
          </w:tcPr>
          <w:p>
            <w:pPr>
              <w:pStyle w:val="TableParagraph"/>
              <w:ind w:left="233"/>
              <w:rPr>
                <w:sz w:val="24"/>
              </w:rPr>
            </w:pPr>
            <w:r>
              <w:rPr>
                <w:sz w:val="24"/>
              </w:rPr>
              <w:t>Purchase</w:t>
            </w:r>
            <w:r>
              <w:rPr>
                <w:spacing w:val="-3"/>
                <w:sz w:val="24"/>
              </w:rPr>
              <w:t> </w:t>
            </w:r>
            <w:r>
              <w:rPr>
                <w:sz w:val="24"/>
              </w:rPr>
              <w:t>of</w:t>
            </w:r>
            <w:r>
              <w:rPr>
                <w:spacing w:val="-3"/>
                <w:sz w:val="24"/>
              </w:rPr>
              <w:t> </w:t>
            </w:r>
            <w:r>
              <w:rPr>
                <w:sz w:val="24"/>
              </w:rPr>
              <w:t>Adapted</w:t>
            </w:r>
            <w:r>
              <w:rPr>
                <w:spacing w:val="-2"/>
                <w:sz w:val="24"/>
              </w:rPr>
              <w:t> Devices</w:t>
            </w:r>
          </w:p>
        </w:tc>
      </w:tr>
      <w:tr>
        <w:trPr>
          <w:trHeight w:val="480" w:hRule="atLeast"/>
        </w:trPr>
        <w:tc>
          <w:tcPr>
            <w:tcW w:w="1977" w:type="dxa"/>
          </w:tcPr>
          <w:p>
            <w:pPr>
              <w:pStyle w:val="TableParagraph"/>
              <w:rPr>
                <w:sz w:val="24"/>
              </w:rPr>
            </w:pPr>
            <w:r>
              <w:rPr>
                <w:spacing w:val="-2"/>
                <w:sz w:val="24"/>
              </w:rPr>
              <w:t>612:10-11-</w:t>
            </w:r>
            <w:r>
              <w:rPr>
                <w:spacing w:val="-5"/>
                <w:sz w:val="24"/>
              </w:rPr>
              <w:t>58.</w:t>
            </w:r>
          </w:p>
        </w:tc>
        <w:tc>
          <w:tcPr>
            <w:tcW w:w="4836" w:type="dxa"/>
          </w:tcPr>
          <w:p>
            <w:pPr>
              <w:pStyle w:val="TableParagraph"/>
              <w:ind w:left="233"/>
              <w:rPr>
                <w:sz w:val="24"/>
              </w:rPr>
            </w:pPr>
            <w:r>
              <w:rPr>
                <w:sz w:val="24"/>
              </w:rPr>
              <w:t>Adapted</w:t>
            </w:r>
            <w:r>
              <w:rPr>
                <w:spacing w:val="-5"/>
                <w:sz w:val="24"/>
              </w:rPr>
              <w:t> </w:t>
            </w:r>
            <w:r>
              <w:rPr>
                <w:sz w:val="24"/>
              </w:rPr>
              <w:t>Communication</w:t>
            </w:r>
            <w:r>
              <w:rPr>
                <w:spacing w:val="-5"/>
                <w:sz w:val="24"/>
              </w:rPr>
              <w:t> </w:t>
            </w:r>
            <w:r>
              <w:rPr>
                <w:sz w:val="24"/>
              </w:rPr>
              <w:t>Skills</w:t>
            </w:r>
            <w:r>
              <w:rPr>
                <w:spacing w:val="-4"/>
                <w:sz w:val="24"/>
              </w:rPr>
              <w:t> </w:t>
            </w:r>
            <w:r>
              <w:rPr>
                <w:spacing w:val="-2"/>
                <w:sz w:val="24"/>
              </w:rPr>
              <w:t>Training</w:t>
            </w:r>
          </w:p>
        </w:tc>
      </w:tr>
      <w:tr>
        <w:trPr>
          <w:trHeight w:val="480" w:hRule="atLeast"/>
        </w:trPr>
        <w:tc>
          <w:tcPr>
            <w:tcW w:w="1977" w:type="dxa"/>
          </w:tcPr>
          <w:p>
            <w:pPr>
              <w:pStyle w:val="TableParagraph"/>
              <w:rPr>
                <w:sz w:val="24"/>
              </w:rPr>
            </w:pPr>
            <w:r>
              <w:rPr>
                <w:spacing w:val="-2"/>
                <w:sz w:val="24"/>
              </w:rPr>
              <w:t>612:10-11-</w:t>
            </w:r>
            <w:r>
              <w:rPr>
                <w:spacing w:val="-5"/>
                <w:sz w:val="24"/>
              </w:rPr>
              <w:t>59.</w:t>
            </w:r>
          </w:p>
        </w:tc>
        <w:tc>
          <w:tcPr>
            <w:tcW w:w="4836" w:type="dxa"/>
          </w:tcPr>
          <w:p>
            <w:pPr>
              <w:pStyle w:val="TableParagraph"/>
              <w:ind w:left="233"/>
              <w:rPr>
                <w:sz w:val="24"/>
              </w:rPr>
            </w:pPr>
            <w:r>
              <w:rPr>
                <w:spacing w:val="-2"/>
                <w:sz w:val="24"/>
              </w:rPr>
              <w:t>Advocacy</w:t>
            </w:r>
          </w:p>
        </w:tc>
      </w:tr>
      <w:tr>
        <w:trPr>
          <w:trHeight w:val="374" w:hRule="atLeast"/>
        </w:trPr>
        <w:tc>
          <w:tcPr>
            <w:tcW w:w="1977" w:type="dxa"/>
          </w:tcPr>
          <w:p>
            <w:pPr>
              <w:pStyle w:val="TableParagraph"/>
              <w:spacing w:line="256" w:lineRule="exact"/>
              <w:rPr>
                <w:sz w:val="24"/>
              </w:rPr>
            </w:pPr>
            <w:r>
              <w:rPr>
                <w:spacing w:val="-2"/>
                <w:sz w:val="24"/>
              </w:rPr>
              <w:t>612:10-11-</w:t>
            </w:r>
            <w:r>
              <w:rPr>
                <w:spacing w:val="-5"/>
                <w:sz w:val="24"/>
              </w:rPr>
              <w:t>60.</w:t>
            </w:r>
          </w:p>
        </w:tc>
        <w:tc>
          <w:tcPr>
            <w:tcW w:w="4836" w:type="dxa"/>
          </w:tcPr>
          <w:p>
            <w:pPr>
              <w:pStyle w:val="TableParagraph"/>
              <w:spacing w:line="256" w:lineRule="exact"/>
              <w:ind w:left="233"/>
              <w:rPr>
                <w:sz w:val="24"/>
              </w:rPr>
            </w:pPr>
            <w:r>
              <w:rPr>
                <w:sz w:val="24"/>
              </w:rPr>
              <w:t>Peer</w:t>
            </w:r>
            <w:r>
              <w:rPr>
                <w:spacing w:val="-3"/>
                <w:sz w:val="24"/>
              </w:rPr>
              <w:t> </w:t>
            </w:r>
            <w:r>
              <w:rPr>
                <w:sz w:val="24"/>
              </w:rPr>
              <w:t>or</w:t>
            </w:r>
            <w:r>
              <w:rPr>
                <w:spacing w:val="-3"/>
                <w:sz w:val="24"/>
              </w:rPr>
              <w:t> </w:t>
            </w:r>
            <w:r>
              <w:rPr>
                <w:sz w:val="24"/>
              </w:rPr>
              <w:t>Facilitated</w:t>
            </w:r>
            <w:r>
              <w:rPr>
                <w:spacing w:val="-4"/>
                <w:sz w:val="24"/>
              </w:rPr>
              <w:t> </w:t>
            </w:r>
            <w:r>
              <w:rPr>
                <w:sz w:val="24"/>
              </w:rPr>
              <w:t>Support</w:t>
            </w:r>
            <w:r>
              <w:rPr>
                <w:spacing w:val="-2"/>
                <w:sz w:val="24"/>
              </w:rPr>
              <w:t> Groups</w:t>
            </w:r>
          </w:p>
        </w:tc>
      </w:tr>
    </w:tbl>
    <w:p>
      <w:pPr>
        <w:pStyle w:val="TableParagraph"/>
        <w:spacing w:after="0" w:line="256" w:lineRule="exact"/>
        <w:rPr>
          <w:sz w:val="24"/>
        </w:rPr>
        <w:sectPr>
          <w:pgSz w:w="12240" w:h="15840"/>
          <w:pgMar w:top="1400" w:bottom="280" w:left="1080" w:right="720"/>
        </w:sectPr>
      </w:pPr>
    </w:p>
    <w:p>
      <w:pPr>
        <w:pStyle w:val="Heading2"/>
      </w:pPr>
      <w:bookmarkStart w:name="612:10-11-37.  Counseling services" w:id="268"/>
      <w:bookmarkEnd w:id="268"/>
      <w:r>
        <w:rPr>
          <w:b w:val="0"/>
        </w:rPr>
      </w:r>
      <w:r>
        <w:rPr/>
        <w:t>612:10-11-37.</w:t>
      </w:r>
      <w:r>
        <w:rPr>
          <w:spacing w:val="56"/>
        </w:rPr>
        <w:t> </w:t>
      </w:r>
      <w:r>
        <w:rPr/>
        <w:t>Counseling</w:t>
      </w:r>
      <w:r>
        <w:rPr>
          <w:spacing w:val="-5"/>
        </w:rPr>
        <w:t> </w:t>
      </w:r>
      <w:r>
        <w:rPr>
          <w:spacing w:val="-2"/>
        </w:rPr>
        <w:t>services</w:t>
      </w:r>
    </w:p>
    <w:p>
      <w:pPr>
        <w:pStyle w:val="BodyText"/>
        <w:spacing w:line="208" w:lineRule="auto" w:before="233"/>
        <w:ind w:right="775" w:firstLine="432"/>
      </w:pPr>
      <w:r>
        <w:rPr/>
        <w:t>Counseling</w:t>
      </w:r>
      <w:r>
        <w:rPr>
          <w:spacing w:val="-3"/>
        </w:rPr>
        <w:t> </w:t>
      </w:r>
      <w:r>
        <w:rPr/>
        <w:t>to</w:t>
      </w:r>
      <w:r>
        <w:rPr>
          <w:spacing w:val="-5"/>
        </w:rPr>
        <w:t> </w:t>
      </w:r>
      <w:r>
        <w:rPr/>
        <w:t>the</w:t>
      </w:r>
      <w:r>
        <w:rPr>
          <w:spacing w:val="-4"/>
        </w:rPr>
        <w:t> </w:t>
      </w:r>
      <w:r>
        <w:rPr/>
        <w:t>consumer</w:t>
      </w:r>
      <w:r>
        <w:rPr>
          <w:spacing w:val="-3"/>
        </w:rPr>
        <w:t> </w:t>
      </w:r>
      <w:r>
        <w:rPr/>
        <w:t>and/or</w:t>
      </w:r>
      <w:r>
        <w:rPr>
          <w:spacing w:val="-3"/>
        </w:rPr>
        <w:t> </w:t>
      </w:r>
      <w:r>
        <w:rPr/>
        <w:t>family</w:t>
      </w:r>
      <w:r>
        <w:rPr>
          <w:spacing w:val="-4"/>
        </w:rPr>
        <w:t> </w:t>
      </w:r>
      <w:r>
        <w:rPr/>
        <w:t>members</w:t>
      </w:r>
      <w:r>
        <w:rPr>
          <w:spacing w:val="-4"/>
        </w:rPr>
        <w:t> </w:t>
      </w:r>
      <w:r>
        <w:rPr/>
        <w:t>may</w:t>
      </w:r>
      <w:r>
        <w:rPr>
          <w:spacing w:val="-4"/>
        </w:rPr>
        <w:t> </w:t>
      </w:r>
      <w:r>
        <w:rPr/>
        <w:t>be</w:t>
      </w:r>
      <w:r>
        <w:rPr>
          <w:spacing w:val="-4"/>
        </w:rPr>
        <w:t> </w:t>
      </w:r>
      <w:r>
        <w:rPr/>
        <w:t>provided</w:t>
      </w:r>
      <w:r>
        <w:rPr>
          <w:spacing w:val="-4"/>
        </w:rPr>
        <w:t> </w:t>
      </w:r>
      <w:r>
        <w:rPr/>
        <w:t>by</w:t>
      </w:r>
      <w:r>
        <w:rPr>
          <w:spacing w:val="-4"/>
        </w:rPr>
        <w:t> </w:t>
      </w:r>
      <w:r>
        <w:rPr/>
        <w:t>DRS</w:t>
      </w:r>
      <w:r>
        <w:rPr>
          <w:spacing w:val="-3"/>
        </w:rPr>
        <w:t> </w:t>
      </w:r>
      <w:r>
        <w:rPr/>
        <w:t>staff, but also may include peer counseling, advocacy services and related services for the purpose of personal adjustment.</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7-1-05</w:t>
      </w:r>
      <w:r>
        <w:rPr>
          <w:sz w:val="22"/>
        </w:rPr>
        <w:tab/>
        <w:t>PT Memo #06-01</w:t>
      </w:r>
    </w:p>
    <w:p>
      <w:pPr>
        <w:spacing w:before="0"/>
        <w:ind w:left="1439" w:right="0" w:firstLine="0"/>
        <w:jc w:val="left"/>
        <w:rPr>
          <w:sz w:val="22"/>
        </w:rPr>
      </w:pPr>
      <w:r>
        <w:rPr>
          <w:sz w:val="22"/>
        </w:rPr>
        <w:t>Permanent,</w:t>
      </w:r>
      <w:r>
        <w:rPr>
          <w:spacing w:val="-8"/>
          <w:sz w:val="22"/>
        </w:rPr>
        <w:t> </w:t>
      </w:r>
      <w:r>
        <w:rPr>
          <w:sz w:val="22"/>
        </w:rPr>
        <w:t>Independent</w:t>
      </w:r>
      <w:r>
        <w:rPr>
          <w:spacing w:val="-9"/>
          <w:sz w:val="22"/>
        </w:rPr>
        <w:t> </w:t>
      </w:r>
      <w:r>
        <w:rPr>
          <w:sz w:val="22"/>
        </w:rPr>
        <w:t>Living</w:t>
      </w:r>
      <w:r>
        <w:rPr>
          <w:spacing w:val="-9"/>
          <w:sz w:val="22"/>
        </w:rPr>
        <w:t> </w:t>
      </w:r>
      <w:r>
        <w:rPr>
          <w:sz w:val="22"/>
        </w:rPr>
        <w:t>policy</w:t>
      </w:r>
      <w:r>
        <w:rPr>
          <w:spacing w:val="-8"/>
          <w:sz w:val="22"/>
        </w:rPr>
        <w:t> </w:t>
      </w:r>
      <w:r>
        <w:rPr>
          <w:sz w:val="22"/>
        </w:rPr>
        <w:t>replaced</w:t>
      </w:r>
      <w:r>
        <w:rPr>
          <w:spacing w:val="-9"/>
          <w:sz w:val="22"/>
        </w:rPr>
        <w:t> </w:t>
      </w:r>
      <w:r>
        <w:rPr>
          <w:sz w:val="22"/>
        </w:rPr>
        <w:t>with</w:t>
      </w:r>
      <w:r>
        <w:rPr>
          <w:spacing w:val="-9"/>
          <w:sz w:val="22"/>
        </w:rPr>
        <w:t> </w:t>
      </w:r>
      <w:r>
        <w:rPr>
          <w:sz w:val="22"/>
        </w:rPr>
        <w:t>Older</w:t>
      </w:r>
      <w:r>
        <w:rPr>
          <w:spacing w:val="-8"/>
          <w:sz w:val="22"/>
        </w:rPr>
        <w:t> </w:t>
      </w:r>
      <w:r>
        <w:rPr>
          <w:spacing w:val="-2"/>
          <w:sz w:val="22"/>
        </w:rPr>
        <w:t>Blind</w:t>
      </w:r>
    </w:p>
    <w:p>
      <w:pPr>
        <w:spacing w:after="0"/>
        <w:jc w:val="left"/>
        <w:rPr>
          <w:sz w:val="22"/>
        </w:rPr>
        <w:sectPr>
          <w:pgSz w:w="12240" w:h="15840"/>
          <w:pgMar w:top="1340" w:bottom="280" w:left="1080" w:right="720"/>
        </w:sectPr>
      </w:pPr>
    </w:p>
    <w:p>
      <w:pPr>
        <w:pStyle w:val="Heading2"/>
      </w:pPr>
      <w:bookmarkStart w:name="612:10-11-37.1  Assessment" w:id="269"/>
      <w:bookmarkEnd w:id="269"/>
      <w:r>
        <w:rPr>
          <w:b w:val="0"/>
        </w:rPr>
      </w:r>
      <w:r>
        <w:rPr/>
        <w:t>612:10-11-37.1</w:t>
      </w:r>
      <w:r>
        <w:rPr>
          <w:spacing w:val="57"/>
        </w:rPr>
        <w:t> </w:t>
      </w:r>
      <w:r>
        <w:rPr>
          <w:spacing w:val="-2"/>
        </w:rPr>
        <w:t>Assessment</w:t>
      </w:r>
    </w:p>
    <w:p>
      <w:pPr>
        <w:pStyle w:val="BodyText"/>
        <w:spacing w:line="208" w:lineRule="auto" w:before="233"/>
        <w:ind w:left="359" w:right="739" w:firstLine="432"/>
      </w:pPr>
      <w:r>
        <w:rPr/>
        <w:t>Prior to the development and implementation of the Individualized Rehabilitation Plan (IRP), the rehabilitation teacher will thoroughly evaluate the consumer's independent functioning. By assessing the consumer's skills in basic areas such as communication, personal management, health management, home management and adjustment</w:t>
      </w:r>
      <w:r>
        <w:rPr>
          <w:spacing w:val="-3"/>
        </w:rPr>
        <w:t> </w:t>
      </w:r>
      <w:r>
        <w:rPr/>
        <w:t>to</w:t>
      </w:r>
      <w:r>
        <w:rPr>
          <w:spacing w:val="-4"/>
        </w:rPr>
        <w:t> </w:t>
      </w:r>
      <w:r>
        <w:rPr/>
        <w:t>disabilities,</w:t>
      </w:r>
      <w:r>
        <w:rPr>
          <w:spacing w:val="-3"/>
        </w:rPr>
        <w:t> </w:t>
      </w:r>
      <w:r>
        <w:rPr/>
        <w:t>appropriate</w:t>
      </w:r>
      <w:r>
        <w:rPr>
          <w:spacing w:val="-4"/>
        </w:rPr>
        <w:t> </w:t>
      </w:r>
      <w:r>
        <w:rPr/>
        <w:t>teaching</w:t>
      </w:r>
      <w:r>
        <w:rPr>
          <w:spacing w:val="-4"/>
        </w:rPr>
        <w:t> </w:t>
      </w:r>
      <w:r>
        <w:rPr/>
        <w:t>services</w:t>
      </w:r>
      <w:r>
        <w:rPr>
          <w:spacing w:val="-4"/>
        </w:rPr>
        <w:t> </w:t>
      </w:r>
      <w:r>
        <w:rPr/>
        <w:t>can</w:t>
      </w:r>
      <w:r>
        <w:rPr>
          <w:spacing w:val="-4"/>
        </w:rPr>
        <w:t> </w:t>
      </w:r>
      <w:r>
        <w:rPr/>
        <w:t>be</w:t>
      </w:r>
      <w:r>
        <w:rPr>
          <w:spacing w:val="-4"/>
        </w:rPr>
        <w:t> </w:t>
      </w:r>
      <w:r>
        <w:rPr/>
        <w:t>better</w:t>
      </w:r>
      <w:r>
        <w:rPr>
          <w:spacing w:val="-4"/>
        </w:rPr>
        <w:t> </w:t>
      </w:r>
      <w:r>
        <w:rPr/>
        <w:t>identified</w:t>
      </w:r>
      <w:r>
        <w:rPr>
          <w:spacing w:val="-4"/>
        </w:rPr>
        <w:t> </w:t>
      </w:r>
      <w:r>
        <w:rPr/>
        <w:t>to</w:t>
      </w:r>
      <w:r>
        <w:rPr>
          <w:spacing w:val="-4"/>
        </w:rPr>
        <w:t> </w:t>
      </w:r>
      <w:r>
        <w:rPr/>
        <w:t>assist the consumer in improving his/her quality of life.</w:t>
      </w:r>
    </w:p>
    <w:p>
      <w:pPr>
        <w:spacing w:before="243"/>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285"/>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line="253" w:lineRule="exact" w:before="0"/>
        <w:ind w:left="1439" w:right="0" w:firstLine="0"/>
        <w:jc w:val="left"/>
        <w:rPr>
          <w:sz w:val="22"/>
        </w:rPr>
      </w:pPr>
      <w:r>
        <w:rPr>
          <w:sz w:val="22"/>
        </w:rPr>
        <w:t>Permanent,</w:t>
      </w:r>
      <w:r>
        <w:rPr>
          <w:spacing w:val="-6"/>
          <w:sz w:val="22"/>
        </w:rPr>
        <w:t> </w:t>
      </w:r>
      <w:r>
        <w:rPr>
          <w:sz w:val="22"/>
        </w:rPr>
        <w:t>new,</w:t>
      </w:r>
      <w:r>
        <w:rPr>
          <w:spacing w:val="-6"/>
          <w:sz w:val="22"/>
        </w:rPr>
        <w:t> </w:t>
      </w:r>
      <w:r>
        <w:rPr>
          <w:sz w:val="22"/>
        </w:rPr>
        <w:t>to</w:t>
      </w:r>
      <w:r>
        <w:rPr>
          <w:spacing w:val="-6"/>
          <w:sz w:val="22"/>
        </w:rPr>
        <w:t> </w:t>
      </w:r>
      <w:r>
        <w:rPr>
          <w:sz w:val="22"/>
        </w:rPr>
        <w:t>identify</w:t>
      </w:r>
      <w:r>
        <w:rPr>
          <w:spacing w:val="-7"/>
          <w:sz w:val="22"/>
        </w:rPr>
        <w:t> </w:t>
      </w:r>
      <w:r>
        <w:rPr>
          <w:sz w:val="22"/>
        </w:rPr>
        <w:t>service</w:t>
      </w:r>
      <w:r>
        <w:rPr>
          <w:spacing w:val="-6"/>
          <w:sz w:val="22"/>
        </w:rPr>
        <w:t> </w:t>
      </w:r>
      <w:r>
        <w:rPr>
          <w:sz w:val="22"/>
        </w:rPr>
        <w:t>needs</w:t>
      </w:r>
      <w:r>
        <w:rPr>
          <w:spacing w:val="-6"/>
          <w:sz w:val="22"/>
        </w:rPr>
        <w:t> </w:t>
      </w:r>
      <w:r>
        <w:rPr>
          <w:sz w:val="22"/>
        </w:rPr>
        <w:t>of</w:t>
      </w:r>
      <w:r>
        <w:rPr>
          <w:spacing w:val="-7"/>
          <w:sz w:val="22"/>
        </w:rPr>
        <w:t> </w:t>
      </w:r>
      <w:r>
        <w:rPr>
          <w:sz w:val="22"/>
        </w:rPr>
        <w:t>older</w:t>
      </w:r>
      <w:r>
        <w:rPr>
          <w:spacing w:val="-6"/>
          <w:sz w:val="22"/>
        </w:rPr>
        <w:t> </w:t>
      </w:r>
      <w:r>
        <w:rPr>
          <w:spacing w:val="-2"/>
          <w:sz w:val="22"/>
        </w:rPr>
        <w:t>blind</w:t>
      </w:r>
    </w:p>
    <w:p>
      <w:pPr>
        <w:spacing w:after="0" w:line="253" w:lineRule="exact"/>
        <w:jc w:val="left"/>
        <w:rPr>
          <w:sz w:val="22"/>
        </w:rPr>
        <w:sectPr>
          <w:pgSz w:w="12240" w:h="15840"/>
          <w:pgMar w:top="1340" w:bottom="280" w:left="1080" w:right="720"/>
        </w:sectPr>
      </w:pPr>
    </w:p>
    <w:p>
      <w:pPr>
        <w:pStyle w:val="Heading2"/>
      </w:pPr>
      <w:bookmarkStart w:name="612:10-11-39.  Physical restoration serv" w:id="270"/>
      <w:bookmarkEnd w:id="270"/>
      <w:r>
        <w:rPr>
          <w:b w:val="0"/>
        </w:rPr>
      </w:r>
      <w:r>
        <w:rPr/>
        <w:t>612:10-11-39.</w:t>
      </w:r>
      <w:r>
        <w:rPr>
          <w:spacing w:val="57"/>
        </w:rPr>
        <w:t> </w:t>
      </w:r>
      <w:r>
        <w:rPr/>
        <w:t>Physical</w:t>
      </w:r>
      <w:r>
        <w:rPr>
          <w:spacing w:val="-5"/>
        </w:rPr>
        <w:t> </w:t>
      </w:r>
      <w:r>
        <w:rPr/>
        <w:t>restoration</w:t>
      </w:r>
      <w:r>
        <w:rPr>
          <w:spacing w:val="-4"/>
        </w:rPr>
        <w:t> </w:t>
      </w:r>
      <w:r>
        <w:rPr>
          <w:spacing w:val="-2"/>
        </w:rPr>
        <w:t>service</w:t>
      </w:r>
    </w:p>
    <w:p>
      <w:pPr>
        <w:pStyle w:val="BodyText"/>
        <w:spacing w:line="208" w:lineRule="auto" w:before="233"/>
        <w:ind w:right="775" w:firstLine="432"/>
      </w:pPr>
      <w:r>
        <w:rPr/>
        <w:t>Physical restoration service available to individuals eligible for OB service is provision</w:t>
      </w:r>
      <w:r>
        <w:rPr>
          <w:spacing w:val="-4"/>
        </w:rPr>
        <w:t> </w:t>
      </w:r>
      <w:r>
        <w:rPr/>
        <w:t>of</w:t>
      </w:r>
      <w:r>
        <w:rPr>
          <w:spacing w:val="-2"/>
        </w:rPr>
        <w:t> </w:t>
      </w:r>
      <w:r>
        <w:rPr/>
        <w:t>prescriptive</w:t>
      </w:r>
      <w:r>
        <w:rPr>
          <w:spacing w:val="-4"/>
        </w:rPr>
        <w:t> </w:t>
      </w:r>
      <w:r>
        <w:rPr/>
        <w:t>eye</w:t>
      </w:r>
      <w:r>
        <w:rPr>
          <w:spacing w:val="-4"/>
        </w:rPr>
        <w:t> </w:t>
      </w:r>
      <w:r>
        <w:rPr/>
        <w:t>glasses</w:t>
      </w:r>
      <w:r>
        <w:rPr>
          <w:spacing w:val="-4"/>
        </w:rPr>
        <w:t> </w:t>
      </w:r>
      <w:r>
        <w:rPr/>
        <w:t>where</w:t>
      </w:r>
      <w:r>
        <w:rPr>
          <w:spacing w:val="-4"/>
        </w:rPr>
        <w:t> </w:t>
      </w:r>
      <w:r>
        <w:rPr/>
        <w:t>correction</w:t>
      </w:r>
      <w:r>
        <w:rPr>
          <w:spacing w:val="-4"/>
        </w:rPr>
        <w:t> </w:t>
      </w:r>
      <w:r>
        <w:rPr/>
        <w:t>does</w:t>
      </w:r>
      <w:r>
        <w:rPr>
          <w:spacing w:val="-4"/>
        </w:rPr>
        <w:t> </w:t>
      </w:r>
      <w:r>
        <w:rPr/>
        <w:t>not</w:t>
      </w:r>
      <w:r>
        <w:rPr>
          <w:spacing w:val="-3"/>
        </w:rPr>
        <w:t> </w:t>
      </w:r>
      <w:r>
        <w:rPr/>
        <w:t>improve</w:t>
      </w:r>
      <w:r>
        <w:rPr>
          <w:spacing w:val="-4"/>
        </w:rPr>
        <w:t> </w:t>
      </w:r>
      <w:r>
        <w:rPr/>
        <w:t>above</w:t>
      </w:r>
      <w:r>
        <w:rPr>
          <w:spacing w:val="-4"/>
        </w:rPr>
        <w:t> </w:t>
      </w:r>
      <w:r>
        <w:rPr/>
        <w:t>the</w:t>
      </w:r>
      <w:r>
        <w:rPr>
          <w:spacing w:val="-4"/>
        </w:rPr>
        <w:t> </w:t>
      </w:r>
      <w:r>
        <w:rPr/>
        <w:t>legal blindness level.</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4-3-96</w:t>
      </w:r>
      <w:r>
        <w:rPr>
          <w:sz w:val="22"/>
        </w:rPr>
        <w:tab/>
        <w:t>PT Memo #96-2</w:t>
      </w:r>
    </w:p>
    <w:p>
      <w:pPr>
        <w:tabs>
          <w:tab w:pos="1439" w:val="left" w:leader="none"/>
        </w:tabs>
        <w:spacing w:before="0"/>
        <w:ind w:left="359" w:right="2263" w:firstLine="1080"/>
        <w:jc w:val="left"/>
        <w:rPr>
          <w:sz w:val="22"/>
        </w:rPr>
      </w:pPr>
      <w:r>
        <w:rPr>
          <w:sz w:val="22"/>
        </w:rPr>
        <w:t>Emergency,</w:t>
      </w:r>
      <w:r>
        <w:rPr>
          <w:spacing w:val="-4"/>
          <w:sz w:val="22"/>
        </w:rPr>
        <w:t> </w:t>
      </w:r>
      <w:r>
        <w:rPr>
          <w:sz w:val="22"/>
        </w:rPr>
        <w:t>removed</w:t>
      </w:r>
      <w:r>
        <w:rPr>
          <w:spacing w:val="-4"/>
          <w:sz w:val="22"/>
        </w:rPr>
        <w:t> </w:t>
      </w:r>
      <w:r>
        <w:rPr>
          <w:sz w:val="22"/>
        </w:rPr>
        <w:t>dental</w:t>
      </w:r>
      <w:r>
        <w:rPr>
          <w:spacing w:val="-4"/>
          <w:sz w:val="22"/>
        </w:rPr>
        <w:t> </w:t>
      </w:r>
      <w:r>
        <w:rPr>
          <w:sz w:val="22"/>
        </w:rPr>
        <w:t>services</w:t>
      </w:r>
      <w:r>
        <w:rPr>
          <w:spacing w:val="-5"/>
          <w:sz w:val="22"/>
        </w:rPr>
        <w:t> </w:t>
      </w:r>
      <w:r>
        <w:rPr>
          <w:sz w:val="22"/>
        </w:rPr>
        <w:t>from</w:t>
      </w:r>
      <w:r>
        <w:rPr>
          <w:spacing w:val="-5"/>
          <w:sz w:val="22"/>
        </w:rPr>
        <w:t> </w:t>
      </w:r>
      <w:r>
        <w:rPr>
          <w:sz w:val="22"/>
        </w:rPr>
        <w:t>list</w:t>
      </w:r>
      <w:r>
        <w:rPr>
          <w:spacing w:val="-4"/>
          <w:sz w:val="22"/>
        </w:rPr>
        <w:t> </w:t>
      </w:r>
      <w:r>
        <w:rPr>
          <w:sz w:val="22"/>
        </w:rPr>
        <w:t>of</w:t>
      </w:r>
      <w:r>
        <w:rPr>
          <w:spacing w:val="-5"/>
          <w:sz w:val="22"/>
        </w:rPr>
        <w:t> </w:t>
      </w:r>
      <w:r>
        <w:rPr>
          <w:sz w:val="22"/>
        </w:rPr>
        <w:t>available</w:t>
      </w:r>
      <w:r>
        <w:rPr>
          <w:spacing w:val="-4"/>
          <w:sz w:val="22"/>
        </w:rPr>
        <w:t> </w:t>
      </w:r>
      <w:r>
        <w:rPr>
          <w:sz w:val="22"/>
        </w:rPr>
        <w:t>IL</w:t>
      </w:r>
      <w:r>
        <w:rPr>
          <w:spacing w:val="-5"/>
          <w:sz w:val="22"/>
        </w:rPr>
        <w:t> </w:t>
      </w:r>
      <w:r>
        <w:rPr>
          <w:sz w:val="22"/>
        </w:rPr>
        <w:t>services </w:t>
      </w:r>
      <w:r>
        <w:rPr>
          <w:spacing w:val="-2"/>
          <w:sz w:val="22"/>
        </w:rPr>
        <w:t>7-1-97</w:t>
      </w:r>
      <w:r>
        <w:rPr>
          <w:sz w:val="22"/>
        </w:rPr>
        <w:tab/>
        <w:t>PT Memo #97-9</w:t>
      </w:r>
    </w:p>
    <w:p>
      <w:pPr>
        <w:tabs>
          <w:tab w:pos="1439" w:val="left" w:leader="none"/>
        </w:tabs>
        <w:spacing w:before="0"/>
        <w:ind w:left="359" w:right="3580" w:firstLine="1080"/>
        <w:jc w:val="left"/>
        <w:rPr>
          <w:sz w:val="22"/>
        </w:rPr>
      </w:pPr>
      <w:r>
        <w:rPr>
          <w:sz w:val="22"/>
        </w:rPr>
        <w:t>Permanent,</w:t>
      </w:r>
      <w:r>
        <w:rPr>
          <w:spacing w:val="-7"/>
          <w:sz w:val="22"/>
        </w:rPr>
        <w:t> </w:t>
      </w:r>
      <w:r>
        <w:rPr>
          <w:sz w:val="22"/>
        </w:rPr>
        <w:t>supersedes</w:t>
      </w:r>
      <w:r>
        <w:rPr>
          <w:spacing w:val="-8"/>
          <w:sz w:val="22"/>
        </w:rPr>
        <w:t> </w:t>
      </w:r>
      <w:r>
        <w:rPr>
          <w:sz w:val="22"/>
        </w:rPr>
        <w:t>emergency</w:t>
      </w:r>
      <w:r>
        <w:rPr>
          <w:spacing w:val="-8"/>
          <w:sz w:val="22"/>
        </w:rPr>
        <w:t> </w:t>
      </w:r>
      <w:r>
        <w:rPr>
          <w:sz w:val="22"/>
        </w:rPr>
        <w:t>rules</w:t>
      </w:r>
      <w:r>
        <w:rPr>
          <w:spacing w:val="-8"/>
          <w:sz w:val="22"/>
        </w:rPr>
        <w:t> </w:t>
      </w:r>
      <w:r>
        <w:rPr>
          <w:sz w:val="22"/>
        </w:rPr>
        <w:t>issued</w:t>
      </w:r>
      <w:r>
        <w:rPr>
          <w:spacing w:val="-8"/>
          <w:sz w:val="22"/>
        </w:rPr>
        <w:t> </w:t>
      </w:r>
      <w:r>
        <w:rPr>
          <w:sz w:val="22"/>
        </w:rPr>
        <w:t>4-3-96 </w:t>
      </w:r>
      <w:r>
        <w:rPr>
          <w:spacing w:val="-2"/>
          <w:sz w:val="22"/>
        </w:rPr>
        <w:t>7-1-05</w:t>
      </w:r>
      <w:r>
        <w:rPr>
          <w:sz w:val="22"/>
        </w:rPr>
        <w:tab/>
        <w:t>PT Memo #06-01</w:t>
      </w:r>
    </w:p>
    <w:p>
      <w:pPr>
        <w:tabs>
          <w:tab w:pos="1439" w:val="left" w:leader="none"/>
        </w:tabs>
        <w:spacing w:before="0"/>
        <w:ind w:left="359" w:right="2810" w:firstLine="1080"/>
        <w:jc w:val="left"/>
        <w:rPr>
          <w:sz w:val="22"/>
        </w:rPr>
      </w:pPr>
      <w:r>
        <w:rPr>
          <w:sz w:val="22"/>
        </w:rPr>
        <w:t>Permanent,</w:t>
      </w:r>
      <w:r>
        <w:rPr>
          <w:spacing w:val="-5"/>
          <w:sz w:val="22"/>
        </w:rPr>
        <w:t> </w:t>
      </w:r>
      <w:r>
        <w:rPr>
          <w:sz w:val="22"/>
        </w:rPr>
        <w:t>Independent</w:t>
      </w:r>
      <w:r>
        <w:rPr>
          <w:spacing w:val="-7"/>
          <w:sz w:val="22"/>
        </w:rPr>
        <w:t> </w:t>
      </w:r>
      <w:r>
        <w:rPr>
          <w:sz w:val="22"/>
        </w:rPr>
        <w:t>Living</w:t>
      </w:r>
      <w:r>
        <w:rPr>
          <w:spacing w:val="-6"/>
          <w:sz w:val="22"/>
        </w:rPr>
        <w:t> </w:t>
      </w:r>
      <w:r>
        <w:rPr>
          <w:sz w:val="22"/>
        </w:rPr>
        <w:t>policy</w:t>
      </w:r>
      <w:r>
        <w:rPr>
          <w:spacing w:val="-6"/>
          <w:sz w:val="22"/>
        </w:rPr>
        <w:t> </w:t>
      </w:r>
      <w:r>
        <w:rPr>
          <w:sz w:val="22"/>
        </w:rPr>
        <w:t>replaced</w:t>
      </w:r>
      <w:r>
        <w:rPr>
          <w:spacing w:val="-7"/>
          <w:sz w:val="22"/>
        </w:rPr>
        <w:t> </w:t>
      </w:r>
      <w:r>
        <w:rPr>
          <w:sz w:val="22"/>
        </w:rPr>
        <w:t>with</w:t>
      </w:r>
      <w:r>
        <w:rPr>
          <w:spacing w:val="-6"/>
          <w:sz w:val="22"/>
        </w:rPr>
        <w:t> </w:t>
      </w:r>
      <w:r>
        <w:rPr>
          <w:sz w:val="22"/>
        </w:rPr>
        <w:t>Older</w:t>
      </w:r>
      <w:r>
        <w:rPr>
          <w:spacing w:val="-6"/>
          <w:sz w:val="22"/>
        </w:rPr>
        <w:t> </w:t>
      </w:r>
      <w:r>
        <w:rPr>
          <w:sz w:val="22"/>
        </w:rPr>
        <w:t>Blind </w:t>
      </w:r>
      <w:r>
        <w:rPr>
          <w:spacing w:val="-2"/>
          <w:sz w:val="22"/>
        </w:rPr>
        <w:t>7-1-07</w:t>
      </w:r>
      <w:r>
        <w:rPr>
          <w:sz w:val="22"/>
        </w:rPr>
        <w:tab/>
        <w:t>PT Memo #08-01</w:t>
      </w:r>
    </w:p>
    <w:p>
      <w:pPr>
        <w:spacing w:before="0"/>
        <w:ind w:left="1439" w:right="0" w:firstLine="0"/>
        <w:jc w:val="left"/>
        <w:rPr>
          <w:sz w:val="22"/>
        </w:rPr>
      </w:pPr>
      <w:r>
        <w:rPr>
          <w:sz w:val="22"/>
        </w:rPr>
        <w:t>Permanent,</w:t>
      </w:r>
      <w:r>
        <w:rPr>
          <w:spacing w:val="-6"/>
          <w:sz w:val="22"/>
        </w:rPr>
        <w:t> </w:t>
      </w:r>
      <w:r>
        <w:rPr>
          <w:sz w:val="22"/>
        </w:rPr>
        <w:t>changed</w:t>
      </w:r>
      <w:r>
        <w:rPr>
          <w:spacing w:val="-7"/>
          <w:sz w:val="22"/>
        </w:rPr>
        <w:t> </w:t>
      </w:r>
      <w:r>
        <w:rPr>
          <w:sz w:val="22"/>
        </w:rPr>
        <w:t>OL</w:t>
      </w:r>
      <w:r>
        <w:rPr>
          <w:spacing w:val="-7"/>
          <w:sz w:val="22"/>
        </w:rPr>
        <w:t> </w:t>
      </w:r>
      <w:r>
        <w:rPr>
          <w:sz w:val="22"/>
        </w:rPr>
        <w:t>to</w:t>
      </w:r>
      <w:r>
        <w:rPr>
          <w:spacing w:val="-7"/>
          <w:sz w:val="22"/>
        </w:rPr>
        <w:t> </w:t>
      </w:r>
      <w:r>
        <w:rPr>
          <w:spacing w:val="-5"/>
          <w:sz w:val="22"/>
        </w:rPr>
        <w:t>OB</w:t>
      </w:r>
    </w:p>
    <w:p>
      <w:pPr>
        <w:spacing w:after="0"/>
        <w:jc w:val="left"/>
        <w:rPr>
          <w:sz w:val="22"/>
        </w:rPr>
        <w:sectPr>
          <w:pgSz w:w="12240" w:h="15840"/>
          <w:pgMar w:top="1340" w:bottom="280" w:left="1080" w:right="720"/>
        </w:sectPr>
      </w:pPr>
    </w:p>
    <w:p>
      <w:pPr>
        <w:pStyle w:val="Heading2"/>
      </w:pPr>
      <w:bookmarkStart w:name="612:10-11-41.  Transportation" w:id="271"/>
      <w:bookmarkEnd w:id="271"/>
      <w:r>
        <w:rPr>
          <w:b w:val="0"/>
        </w:rPr>
      </w:r>
      <w:r>
        <w:rPr/>
        <w:t>612:10-11-41.</w:t>
      </w:r>
      <w:r>
        <w:rPr>
          <w:spacing w:val="57"/>
        </w:rPr>
        <w:t> </w:t>
      </w:r>
      <w:r>
        <w:rPr>
          <w:spacing w:val="-2"/>
        </w:rPr>
        <w:t>Transportation</w:t>
      </w:r>
    </w:p>
    <w:p>
      <w:pPr>
        <w:pStyle w:val="ListParagraph"/>
        <w:numPr>
          <w:ilvl w:val="0"/>
          <w:numId w:val="286"/>
        </w:numPr>
        <w:tabs>
          <w:tab w:pos="786" w:val="left" w:leader="none"/>
        </w:tabs>
        <w:spacing w:line="208" w:lineRule="auto" w:before="233" w:after="0"/>
        <w:ind w:left="360" w:right="873" w:firstLine="0"/>
        <w:jc w:val="left"/>
        <w:rPr>
          <w:sz w:val="24"/>
        </w:rPr>
      </w:pPr>
      <w:r>
        <w:rPr>
          <w:sz w:val="24"/>
        </w:rPr>
        <w:t>Transportation is considered to be incidental to the provision of other OB services. Transportation is a supportive service provided in conjunction with one or more other OB</w:t>
      </w:r>
      <w:r>
        <w:rPr>
          <w:spacing w:val="-3"/>
          <w:sz w:val="24"/>
        </w:rPr>
        <w:t> </w:t>
      </w:r>
      <w:r>
        <w:rPr>
          <w:sz w:val="24"/>
        </w:rPr>
        <w:t>services</w:t>
      </w:r>
      <w:r>
        <w:rPr>
          <w:spacing w:val="-3"/>
          <w:sz w:val="24"/>
        </w:rPr>
        <w:t> </w:t>
      </w:r>
      <w:r>
        <w:rPr>
          <w:sz w:val="24"/>
        </w:rPr>
        <w:t>necessary</w:t>
      </w:r>
      <w:r>
        <w:rPr>
          <w:spacing w:val="-3"/>
          <w:sz w:val="24"/>
        </w:rPr>
        <w:t> </w:t>
      </w:r>
      <w:r>
        <w:rPr>
          <w:sz w:val="24"/>
        </w:rPr>
        <w:t>to</w:t>
      </w:r>
      <w:r>
        <w:rPr>
          <w:spacing w:val="-3"/>
          <w:sz w:val="24"/>
        </w:rPr>
        <w:t> </w:t>
      </w:r>
      <w:r>
        <w:rPr>
          <w:sz w:val="24"/>
        </w:rPr>
        <w:t>achieve</w:t>
      </w:r>
      <w:r>
        <w:rPr>
          <w:spacing w:val="-3"/>
          <w:sz w:val="24"/>
        </w:rPr>
        <w:t> </w:t>
      </w:r>
      <w:r>
        <w:rPr>
          <w:sz w:val="24"/>
        </w:rPr>
        <w:t>the</w:t>
      </w:r>
      <w:r>
        <w:rPr>
          <w:spacing w:val="-3"/>
          <w:sz w:val="24"/>
        </w:rPr>
        <w:t> </w:t>
      </w:r>
      <w:r>
        <w:rPr>
          <w:sz w:val="24"/>
        </w:rPr>
        <w:t>goals</w:t>
      </w:r>
      <w:r>
        <w:rPr>
          <w:spacing w:val="-3"/>
          <w:sz w:val="24"/>
        </w:rPr>
        <w:t> </w:t>
      </w:r>
      <w:r>
        <w:rPr>
          <w:sz w:val="24"/>
        </w:rPr>
        <w:t>established</w:t>
      </w:r>
      <w:r>
        <w:rPr>
          <w:spacing w:val="-3"/>
          <w:sz w:val="24"/>
        </w:rPr>
        <w:t> </w:t>
      </w:r>
      <w:r>
        <w:rPr>
          <w:sz w:val="24"/>
        </w:rPr>
        <w:t>in</w:t>
      </w:r>
      <w:r>
        <w:rPr>
          <w:spacing w:val="-3"/>
          <w:sz w:val="24"/>
        </w:rPr>
        <w:t> </w:t>
      </w:r>
      <w:r>
        <w:rPr>
          <w:sz w:val="24"/>
        </w:rPr>
        <w:t>the</w:t>
      </w:r>
      <w:r>
        <w:rPr>
          <w:spacing w:val="-3"/>
          <w:sz w:val="24"/>
        </w:rPr>
        <w:t> </w:t>
      </w:r>
      <w:r>
        <w:rPr>
          <w:sz w:val="24"/>
        </w:rPr>
        <w:t>IPE.</w:t>
      </w:r>
      <w:r>
        <w:rPr>
          <w:spacing w:val="-2"/>
          <w:sz w:val="24"/>
        </w:rPr>
        <w:t> </w:t>
      </w:r>
      <w:r>
        <w:rPr>
          <w:sz w:val="24"/>
        </w:rPr>
        <w:t>It</w:t>
      </w:r>
      <w:r>
        <w:rPr>
          <w:spacing w:val="-4"/>
          <w:sz w:val="24"/>
        </w:rPr>
        <w:t> </w:t>
      </w:r>
      <w:r>
        <w:rPr>
          <w:sz w:val="24"/>
        </w:rPr>
        <w:t>is</w:t>
      </w:r>
      <w:r>
        <w:rPr>
          <w:spacing w:val="-3"/>
          <w:sz w:val="24"/>
        </w:rPr>
        <w:t> </w:t>
      </w:r>
      <w:r>
        <w:rPr>
          <w:sz w:val="24"/>
        </w:rPr>
        <w:t>never</w:t>
      </w:r>
      <w:r>
        <w:rPr>
          <w:spacing w:val="-2"/>
          <w:sz w:val="24"/>
        </w:rPr>
        <w:t> </w:t>
      </w:r>
      <w:r>
        <w:rPr>
          <w:sz w:val="24"/>
        </w:rPr>
        <w:t>provided as the sole service.</w:t>
      </w:r>
    </w:p>
    <w:p>
      <w:pPr>
        <w:pStyle w:val="ListParagraph"/>
        <w:numPr>
          <w:ilvl w:val="0"/>
          <w:numId w:val="286"/>
        </w:numPr>
        <w:tabs>
          <w:tab w:pos="785" w:val="left" w:leader="none"/>
        </w:tabs>
        <w:spacing w:line="208" w:lineRule="auto" w:before="239" w:after="0"/>
        <w:ind w:left="360" w:right="953" w:firstLine="0"/>
        <w:jc w:val="left"/>
        <w:rPr>
          <w:b/>
          <w:sz w:val="24"/>
        </w:rPr>
      </w:pPr>
      <w:r>
        <w:rPr>
          <w:sz w:val="24"/>
        </w:rPr>
        <w:t>When</w:t>
      </w:r>
      <w:r>
        <w:rPr>
          <w:spacing w:val="-4"/>
          <w:sz w:val="24"/>
        </w:rPr>
        <w:t> </w:t>
      </w:r>
      <w:r>
        <w:rPr>
          <w:sz w:val="24"/>
        </w:rPr>
        <w:t>transportation</w:t>
      </w:r>
      <w:r>
        <w:rPr>
          <w:spacing w:val="-4"/>
          <w:sz w:val="24"/>
        </w:rPr>
        <w:t> </w:t>
      </w:r>
      <w:r>
        <w:rPr>
          <w:sz w:val="24"/>
        </w:rPr>
        <w:t>is</w:t>
      </w:r>
      <w:r>
        <w:rPr>
          <w:spacing w:val="-4"/>
          <w:sz w:val="24"/>
        </w:rPr>
        <w:t> </w:t>
      </w:r>
      <w:r>
        <w:rPr>
          <w:sz w:val="24"/>
        </w:rPr>
        <w:t>required,</w:t>
      </w:r>
      <w:r>
        <w:rPr>
          <w:spacing w:val="-3"/>
          <w:sz w:val="24"/>
        </w:rPr>
        <w:t> </w:t>
      </w:r>
      <w:r>
        <w:rPr>
          <w:sz w:val="24"/>
        </w:rPr>
        <w:t>it</w:t>
      </w:r>
      <w:r>
        <w:rPr>
          <w:spacing w:val="-3"/>
          <w:sz w:val="24"/>
        </w:rPr>
        <w:t> </w:t>
      </w:r>
      <w:r>
        <w:rPr>
          <w:sz w:val="24"/>
        </w:rPr>
        <w:t>will</w:t>
      </w:r>
      <w:r>
        <w:rPr>
          <w:spacing w:val="-4"/>
          <w:sz w:val="24"/>
        </w:rPr>
        <w:t> </w:t>
      </w:r>
      <w:r>
        <w:rPr>
          <w:sz w:val="24"/>
        </w:rPr>
        <w:t>be</w:t>
      </w:r>
      <w:r>
        <w:rPr>
          <w:spacing w:val="-4"/>
          <w:sz w:val="24"/>
        </w:rPr>
        <w:t> </w:t>
      </w:r>
      <w:r>
        <w:rPr>
          <w:sz w:val="24"/>
        </w:rPr>
        <w:t>provided</w:t>
      </w:r>
      <w:r>
        <w:rPr>
          <w:spacing w:val="-3"/>
          <w:sz w:val="24"/>
        </w:rPr>
        <w:t> </w:t>
      </w:r>
      <w:r>
        <w:rPr>
          <w:sz w:val="24"/>
        </w:rPr>
        <w:t>by</w:t>
      </w:r>
      <w:r>
        <w:rPr>
          <w:spacing w:val="-4"/>
          <w:sz w:val="24"/>
        </w:rPr>
        <w:t> </w:t>
      </w:r>
      <w:r>
        <w:rPr>
          <w:sz w:val="24"/>
        </w:rPr>
        <w:t>the</w:t>
      </w:r>
      <w:r>
        <w:rPr>
          <w:spacing w:val="-4"/>
          <w:sz w:val="24"/>
        </w:rPr>
        <w:t> </w:t>
      </w:r>
      <w:r>
        <w:rPr>
          <w:sz w:val="24"/>
        </w:rPr>
        <w:t>most</w:t>
      </w:r>
      <w:r>
        <w:rPr>
          <w:spacing w:val="-3"/>
          <w:sz w:val="24"/>
        </w:rPr>
        <w:t> </w:t>
      </w:r>
      <w:r>
        <w:rPr>
          <w:sz w:val="24"/>
        </w:rPr>
        <w:t>economical</w:t>
      </w:r>
      <w:r>
        <w:rPr>
          <w:spacing w:val="-4"/>
          <w:sz w:val="24"/>
        </w:rPr>
        <w:t> </w:t>
      </w:r>
      <w:r>
        <w:rPr>
          <w:sz w:val="24"/>
        </w:rPr>
        <w:t>source available after all other resources have been exhausted. Authorization may be made directly to the client or to the individual who provides the transportation. </w:t>
      </w:r>
      <w:r>
        <w:rPr>
          <w:b/>
          <w:sz w:val="24"/>
        </w:rPr>
        <w:t>1</w:t>
      </w:r>
    </w:p>
    <w:p>
      <w:pPr>
        <w:pStyle w:val="BodyText"/>
        <w:spacing w:before="211"/>
      </w:pPr>
      <w:r>
        <w:rPr/>
        <w:t>INSTRUCTIONS</w:t>
      </w:r>
      <w:r>
        <w:rPr>
          <w:spacing w:val="-3"/>
        </w:rPr>
        <w:t> </w:t>
      </w:r>
      <w:r>
        <w:rPr/>
        <w:t>TO</w:t>
      </w:r>
      <w:r>
        <w:rPr>
          <w:spacing w:val="-2"/>
        </w:rPr>
        <w:t> </w:t>
      </w:r>
      <w:r>
        <w:rPr>
          <w:spacing w:val="-4"/>
        </w:rPr>
        <w:t>STAFF</w:t>
      </w:r>
    </w:p>
    <w:p>
      <w:pPr>
        <w:pStyle w:val="BodyText"/>
        <w:spacing w:before="204"/>
        <w:ind w:left="791"/>
      </w:pPr>
      <w:r>
        <w:rPr/>
        <w:t>1.</w:t>
      </w:r>
      <w:r>
        <w:rPr>
          <w:spacing w:val="17"/>
        </w:rPr>
        <w:t> </w:t>
      </w:r>
      <w:r>
        <w:rPr/>
        <w:t>Link</w:t>
      </w:r>
      <w:r>
        <w:rPr>
          <w:spacing w:val="-3"/>
        </w:rPr>
        <w:t> </w:t>
      </w:r>
      <w:r>
        <w:rPr/>
        <w:t>to</w:t>
      </w:r>
      <w:r>
        <w:rPr>
          <w:spacing w:val="-3"/>
        </w:rPr>
        <w:t> </w:t>
      </w:r>
      <w:hyperlink w:history="true" w:anchor="_bookmark21">
        <w:r>
          <w:rPr>
            <w:color w:val="0000FF"/>
            <w:u w:val="single" w:color="0000FF"/>
          </w:rPr>
          <w:t>612:10-7-131</w:t>
        </w:r>
      </w:hyperlink>
      <w:r>
        <w:rPr>
          <w:color w:val="0000FF"/>
          <w:spacing w:val="-2"/>
          <w:u w:val="none"/>
        </w:rPr>
        <w:t> </w:t>
      </w:r>
      <w:r>
        <w:rPr>
          <w:spacing w:val="-2"/>
          <w:u w:val="none"/>
        </w:rPr>
        <w:t>Transportation</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7-1-05</w:t>
      </w:r>
      <w:r>
        <w:rPr>
          <w:sz w:val="22"/>
        </w:rPr>
        <w:tab/>
        <w:t>PT Memo #06-01</w:t>
      </w:r>
    </w:p>
    <w:p>
      <w:pPr>
        <w:tabs>
          <w:tab w:pos="1439" w:val="left" w:leader="none"/>
        </w:tabs>
        <w:spacing w:before="1"/>
        <w:ind w:left="359" w:right="2810" w:firstLine="1080"/>
        <w:jc w:val="left"/>
        <w:rPr>
          <w:sz w:val="22"/>
        </w:rPr>
      </w:pPr>
      <w:r>
        <w:rPr>
          <w:sz w:val="22"/>
        </w:rPr>
        <w:t>Permanent,</w:t>
      </w:r>
      <w:r>
        <w:rPr>
          <w:spacing w:val="-5"/>
          <w:sz w:val="22"/>
        </w:rPr>
        <w:t> </w:t>
      </w:r>
      <w:r>
        <w:rPr>
          <w:sz w:val="22"/>
        </w:rPr>
        <w:t>Independent</w:t>
      </w:r>
      <w:r>
        <w:rPr>
          <w:spacing w:val="-7"/>
          <w:sz w:val="22"/>
        </w:rPr>
        <w:t> </w:t>
      </w:r>
      <w:r>
        <w:rPr>
          <w:sz w:val="22"/>
        </w:rPr>
        <w:t>Living</w:t>
      </w:r>
      <w:r>
        <w:rPr>
          <w:spacing w:val="-6"/>
          <w:sz w:val="22"/>
        </w:rPr>
        <w:t> </w:t>
      </w:r>
      <w:r>
        <w:rPr>
          <w:sz w:val="22"/>
        </w:rPr>
        <w:t>policy</w:t>
      </w:r>
      <w:r>
        <w:rPr>
          <w:spacing w:val="-6"/>
          <w:sz w:val="22"/>
        </w:rPr>
        <w:t> </w:t>
      </w:r>
      <w:r>
        <w:rPr>
          <w:sz w:val="22"/>
        </w:rPr>
        <w:t>replaced</w:t>
      </w:r>
      <w:r>
        <w:rPr>
          <w:spacing w:val="-7"/>
          <w:sz w:val="22"/>
        </w:rPr>
        <w:t> </w:t>
      </w:r>
      <w:r>
        <w:rPr>
          <w:sz w:val="22"/>
        </w:rPr>
        <w:t>with</w:t>
      </w:r>
      <w:r>
        <w:rPr>
          <w:spacing w:val="-6"/>
          <w:sz w:val="22"/>
        </w:rPr>
        <w:t> </w:t>
      </w:r>
      <w:r>
        <w:rPr>
          <w:sz w:val="22"/>
        </w:rPr>
        <w:t>Older</w:t>
      </w:r>
      <w:r>
        <w:rPr>
          <w:spacing w:val="-6"/>
          <w:sz w:val="22"/>
        </w:rPr>
        <w:t> </w:t>
      </w:r>
      <w:r>
        <w:rPr>
          <w:sz w:val="22"/>
        </w:rPr>
        <w:t>Blind </w:t>
      </w:r>
      <w:r>
        <w:rPr>
          <w:spacing w:val="-2"/>
          <w:sz w:val="22"/>
        </w:rPr>
        <w:t>7-1-07</w:t>
      </w:r>
      <w:r>
        <w:rPr>
          <w:sz w:val="22"/>
        </w:rPr>
        <w:tab/>
        <w:t>PT Memo #08-01</w:t>
      </w:r>
    </w:p>
    <w:p>
      <w:pPr>
        <w:spacing w:line="252" w:lineRule="exact" w:before="0"/>
        <w:ind w:left="1439" w:right="0" w:firstLine="0"/>
        <w:jc w:val="left"/>
        <w:rPr>
          <w:sz w:val="22"/>
        </w:rPr>
      </w:pPr>
      <w:r>
        <w:rPr>
          <w:sz w:val="22"/>
        </w:rPr>
        <w:t>Permanent,</w:t>
      </w:r>
      <w:r>
        <w:rPr>
          <w:spacing w:val="-6"/>
          <w:sz w:val="22"/>
        </w:rPr>
        <w:t> </w:t>
      </w:r>
      <w:r>
        <w:rPr>
          <w:sz w:val="22"/>
        </w:rPr>
        <w:t>changed</w:t>
      </w:r>
      <w:r>
        <w:rPr>
          <w:spacing w:val="-7"/>
          <w:sz w:val="22"/>
        </w:rPr>
        <w:t> </w:t>
      </w:r>
      <w:r>
        <w:rPr>
          <w:sz w:val="22"/>
        </w:rPr>
        <w:t>OL</w:t>
      </w:r>
      <w:r>
        <w:rPr>
          <w:spacing w:val="-7"/>
          <w:sz w:val="22"/>
        </w:rPr>
        <w:t> </w:t>
      </w:r>
      <w:r>
        <w:rPr>
          <w:sz w:val="22"/>
        </w:rPr>
        <w:t>to</w:t>
      </w:r>
      <w:r>
        <w:rPr>
          <w:spacing w:val="-7"/>
          <w:sz w:val="22"/>
        </w:rPr>
        <w:t> </w:t>
      </w:r>
      <w:r>
        <w:rPr>
          <w:spacing w:val="-5"/>
          <w:sz w:val="22"/>
        </w:rPr>
        <w:t>OB</w:t>
      </w:r>
    </w:p>
    <w:p>
      <w:pPr>
        <w:spacing w:after="0" w:line="252" w:lineRule="exact"/>
        <w:jc w:val="left"/>
        <w:rPr>
          <w:sz w:val="22"/>
        </w:rPr>
        <w:sectPr>
          <w:pgSz w:w="12240" w:h="15840"/>
          <w:pgMar w:top="1340" w:bottom="280" w:left="1080" w:right="720"/>
        </w:sectPr>
      </w:pPr>
    </w:p>
    <w:p>
      <w:pPr>
        <w:pStyle w:val="Heading2"/>
      </w:pPr>
      <w:bookmarkStart w:name="612:10-11-42.  Interpreter services" w:id="272"/>
      <w:bookmarkEnd w:id="272"/>
      <w:r>
        <w:rPr>
          <w:b w:val="0"/>
        </w:rPr>
      </w:r>
      <w:r>
        <w:rPr/>
        <w:t>612:10-11-42.</w:t>
      </w:r>
      <w:r>
        <w:rPr>
          <w:spacing w:val="57"/>
        </w:rPr>
        <w:t> </w:t>
      </w:r>
      <w:r>
        <w:rPr/>
        <w:t>Interpreter</w:t>
      </w:r>
      <w:r>
        <w:rPr>
          <w:spacing w:val="-5"/>
        </w:rPr>
        <w:t> </w:t>
      </w:r>
      <w:r>
        <w:rPr>
          <w:spacing w:val="-2"/>
        </w:rPr>
        <w:t>services</w:t>
      </w:r>
    </w:p>
    <w:p>
      <w:pPr>
        <w:pStyle w:val="ListParagraph"/>
        <w:numPr>
          <w:ilvl w:val="0"/>
          <w:numId w:val="287"/>
        </w:numPr>
        <w:tabs>
          <w:tab w:pos="785" w:val="left" w:leader="none"/>
        </w:tabs>
        <w:spacing w:line="208" w:lineRule="auto" w:before="233" w:after="0"/>
        <w:ind w:left="360" w:right="847" w:firstLine="0"/>
        <w:jc w:val="left"/>
        <w:rPr>
          <w:b/>
          <w:sz w:val="24"/>
        </w:rPr>
      </w:pPr>
      <w:r>
        <w:rPr>
          <w:sz w:val="24"/>
        </w:rPr>
        <w:t>Interpreter</w:t>
      </w:r>
      <w:r>
        <w:rPr>
          <w:spacing w:val="-4"/>
          <w:sz w:val="24"/>
        </w:rPr>
        <w:t> </w:t>
      </w:r>
      <w:r>
        <w:rPr>
          <w:sz w:val="24"/>
        </w:rPr>
        <w:t>services</w:t>
      </w:r>
      <w:r>
        <w:rPr>
          <w:spacing w:val="-5"/>
          <w:sz w:val="24"/>
        </w:rPr>
        <w:t> </w:t>
      </w:r>
      <w:r>
        <w:rPr>
          <w:sz w:val="24"/>
        </w:rPr>
        <w:t>including</w:t>
      </w:r>
      <w:r>
        <w:rPr>
          <w:spacing w:val="-5"/>
          <w:sz w:val="24"/>
        </w:rPr>
        <w:t> </w:t>
      </w:r>
      <w:r>
        <w:rPr>
          <w:sz w:val="24"/>
        </w:rPr>
        <w:t>tactile</w:t>
      </w:r>
      <w:r>
        <w:rPr>
          <w:spacing w:val="-5"/>
          <w:sz w:val="24"/>
        </w:rPr>
        <w:t> </w:t>
      </w:r>
      <w:r>
        <w:rPr>
          <w:sz w:val="24"/>
        </w:rPr>
        <w:t>interpretation</w:t>
      </w:r>
      <w:r>
        <w:rPr>
          <w:spacing w:val="-5"/>
          <w:sz w:val="24"/>
        </w:rPr>
        <w:t> </w:t>
      </w:r>
      <w:r>
        <w:rPr>
          <w:sz w:val="24"/>
        </w:rPr>
        <w:t>for</w:t>
      </w:r>
      <w:r>
        <w:rPr>
          <w:spacing w:val="-4"/>
          <w:sz w:val="24"/>
        </w:rPr>
        <w:t> </w:t>
      </w:r>
      <w:r>
        <w:rPr>
          <w:sz w:val="24"/>
        </w:rPr>
        <w:t>individuals</w:t>
      </w:r>
      <w:r>
        <w:rPr>
          <w:spacing w:val="-5"/>
          <w:sz w:val="24"/>
        </w:rPr>
        <w:t> </w:t>
      </w:r>
      <w:r>
        <w:rPr>
          <w:sz w:val="24"/>
        </w:rPr>
        <w:t>who</w:t>
      </w:r>
      <w:r>
        <w:rPr>
          <w:spacing w:val="-5"/>
          <w:sz w:val="24"/>
        </w:rPr>
        <w:t> </w:t>
      </w:r>
      <w:r>
        <w:rPr>
          <w:sz w:val="24"/>
        </w:rPr>
        <w:t>are</w:t>
      </w:r>
      <w:r>
        <w:rPr>
          <w:spacing w:val="-4"/>
          <w:sz w:val="24"/>
        </w:rPr>
        <w:t> </w:t>
      </w:r>
      <w:r>
        <w:rPr>
          <w:sz w:val="24"/>
        </w:rPr>
        <w:t>deaf-blind may be purchased for clients who are deaf and hearing impaired when necessary to enable them to benefit from OB services. Rate of pay will be determined by rates adopted by the commission for Rehabilitation Services. </w:t>
      </w:r>
      <w:r>
        <w:rPr>
          <w:b/>
          <w:sz w:val="24"/>
        </w:rPr>
        <w:t>1</w:t>
      </w:r>
    </w:p>
    <w:p>
      <w:pPr>
        <w:pStyle w:val="ListParagraph"/>
        <w:numPr>
          <w:ilvl w:val="0"/>
          <w:numId w:val="287"/>
        </w:numPr>
        <w:tabs>
          <w:tab w:pos="786" w:val="left" w:leader="none"/>
        </w:tabs>
        <w:spacing w:line="208" w:lineRule="auto" w:before="239" w:after="0"/>
        <w:ind w:left="360" w:right="861" w:firstLine="0"/>
        <w:jc w:val="left"/>
        <w:rPr>
          <w:sz w:val="24"/>
        </w:rPr>
      </w:pPr>
      <w:r>
        <w:rPr>
          <w:sz w:val="24"/>
        </w:rPr>
        <w:t>Special</w:t>
      </w:r>
      <w:r>
        <w:rPr>
          <w:spacing w:val="-4"/>
          <w:sz w:val="24"/>
        </w:rPr>
        <w:t> </w:t>
      </w:r>
      <w:r>
        <w:rPr>
          <w:sz w:val="24"/>
        </w:rPr>
        <w:t>telecommunications</w:t>
      </w:r>
      <w:r>
        <w:rPr>
          <w:spacing w:val="-4"/>
          <w:sz w:val="24"/>
        </w:rPr>
        <w:t> </w:t>
      </w:r>
      <w:r>
        <w:rPr>
          <w:sz w:val="24"/>
        </w:rPr>
        <w:t>services</w:t>
      </w:r>
      <w:r>
        <w:rPr>
          <w:spacing w:val="-4"/>
          <w:sz w:val="24"/>
        </w:rPr>
        <w:t> </w:t>
      </w:r>
      <w:r>
        <w:rPr>
          <w:sz w:val="24"/>
        </w:rPr>
        <w:t>and</w:t>
      </w:r>
      <w:r>
        <w:rPr>
          <w:spacing w:val="-4"/>
          <w:sz w:val="24"/>
        </w:rPr>
        <w:t> </w:t>
      </w:r>
      <w:r>
        <w:rPr>
          <w:sz w:val="24"/>
        </w:rPr>
        <w:t>devices</w:t>
      </w:r>
      <w:r>
        <w:rPr>
          <w:spacing w:val="-4"/>
          <w:sz w:val="24"/>
        </w:rPr>
        <w:t> </w:t>
      </w:r>
      <w:r>
        <w:rPr>
          <w:sz w:val="24"/>
        </w:rPr>
        <w:t>for</w:t>
      </w:r>
      <w:r>
        <w:rPr>
          <w:spacing w:val="-3"/>
          <w:sz w:val="24"/>
        </w:rPr>
        <w:t> </w:t>
      </w:r>
      <w:r>
        <w:rPr>
          <w:sz w:val="24"/>
        </w:rPr>
        <w:t>the</w:t>
      </w:r>
      <w:r>
        <w:rPr>
          <w:spacing w:val="-4"/>
          <w:sz w:val="24"/>
        </w:rPr>
        <w:t> </w:t>
      </w:r>
      <w:r>
        <w:rPr>
          <w:sz w:val="24"/>
        </w:rPr>
        <w:t>hearing</w:t>
      </w:r>
      <w:r>
        <w:rPr>
          <w:spacing w:val="-4"/>
          <w:sz w:val="24"/>
        </w:rPr>
        <w:t> </w:t>
      </w:r>
      <w:r>
        <w:rPr>
          <w:sz w:val="24"/>
        </w:rPr>
        <w:t>impaired</w:t>
      </w:r>
      <w:r>
        <w:rPr>
          <w:spacing w:val="-4"/>
          <w:sz w:val="24"/>
        </w:rPr>
        <w:t> </w:t>
      </w:r>
      <w:r>
        <w:rPr>
          <w:sz w:val="24"/>
        </w:rPr>
        <w:t>are</w:t>
      </w:r>
      <w:r>
        <w:rPr>
          <w:spacing w:val="-4"/>
          <w:sz w:val="24"/>
        </w:rPr>
        <w:t> </w:t>
      </w:r>
      <w:r>
        <w:rPr>
          <w:sz w:val="24"/>
        </w:rPr>
        <w:t>also </w:t>
      </w:r>
      <w:r>
        <w:rPr>
          <w:spacing w:val="-2"/>
          <w:sz w:val="24"/>
        </w:rPr>
        <w:t>available.</w:t>
      </w:r>
    </w:p>
    <w:p>
      <w:pPr>
        <w:pStyle w:val="ListParagraph"/>
        <w:numPr>
          <w:ilvl w:val="0"/>
          <w:numId w:val="287"/>
        </w:numPr>
        <w:tabs>
          <w:tab w:pos="773" w:val="left" w:leader="none"/>
        </w:tabs>
        <w:spacing w:line="208" w:lineRule="auto" w:before="240" w:after="0"/>
        <w:ind w:left="360" w:right="1007" w:firstLine="0"/>
        <w:jc w:val="left"/>
        <w:rPr>
          <w:b/>
          <w:sz w:val="24"/>
        </w:rPr>
      </w:pPr>
      <w:r>
        <w:rPr>
          <w:sz w:val="24"/>
        </w:rPr>
        <w:t>Interpreter</w:t>
      </w:r>
      <w:r>
        <w:rPr>
          <w:spacing w:val="-3"/>
          <w:sz w:val="24"/>
        </w:rPr>
        <w:t> </w:t>
      </w:r>
      <w:r>
        <w:rPr>
          <w:sz w:val="24"/>
        </w:rPr>
        <w:t>services</w:t>
      </w:r>
      <w:r>
        <w:rPr>
          <w:spacing w:val="-4"/>
          <w:sz w:val="24"/>
        </w:rPr>
        <w:t> </w:t>
      </w:r>
      <w:r>
        <w:rPr>
          <w:sz w:val="24"/>
        </w:rPr>
        <w:t>may</w:t>
      </w:r>
      <w:r>
        <w:rPr>
          <w:spacing w:val="-4"/>
          <w:sz w:val="24"/>
        </w:rPr>
        <w:t> </w:t>
      </w:r>
      <w:r>
        <w:rPr>
          <w:sz w:val="24"/>
        </w:rPr>
        <w:t>also</w:t>
      </w:r>
      <w:r>
        <w:rPr>
          <w:spacing w:val="-4"/>
          <w:sz w:val="24"/>
        </w:rPr>
        <w:t> </w:t>
      </w:r>
      <w:r>
        <w:rPr>
          <w:sz w:val="24"/>
        </w:rPr>
        <w:t>be</w:t>
      </w:r>
      <w:r>
        <w:rPr>
          <w:spacing w:val="-4"/>
          <w:sz w:val="24"/>
        </w:rPr>
        <w:t> </w:t>
      </w:r>
      <w:r>
        <w:rPr>
          <w:sz w:val="24"/>
        </w:rPr>
        <w:t>provided</w:t>
      </w:r>
      <w:r>
        <w:rPr>
          <w:spacing w:val="-4"/>
          <w:sz w:val="24"/>
        </w:rPr>
        <w:t> </w:t>
      </w:r>
      <w:r>
        <w:rPr>
          <w:sz w:val="24"/>
        </w:rPr>
        <w:t>to</w:t>
      </w:r>
      <w:r>
        <w:rPr>
          <w:spacing w:val="-4"/>
          <w:sz w:val="24"/>
        </w:rPr>
        <w:t> </w:t>
      </w:r>
      <w:r>
        <w:rPr>
          <w:sz w:val="24"/>
        </w:rPr>
        <w:t>individuals</w:t>
      </w:r>
      <w:r>
        <w:rPr>
          <w:spacing w:val="-4"/>
          <w:sz w:val="24"/>
        </w:rPr>
        <w:t> </w:t>
      </w:r>
      <w:r>
        <w:rPr>
          <w:sz w:val="24"/>
        </w:rPr>
        <w:t>who</w:t>
      </w:r>
      <w:r>
        <w:rPr>
          <w:spacing w:val="-4"/>
          <w:sz w:val="24"/>
        </w:rPr>
        <w:t> </w:t>
      </w:r>
      <w:r>
        <w:rPr>
          <w:sz w:val="24"/>
        </w:rPr>
        <w:t>do</w:t>
      </w:r>
      <w:r>
        <w:rPr>
          <w:spacing w:val="-4"/>
          <w:sz w:val="24"/>
        </w:rPr>
        <w:t> </w:t>
      </w:r>
      <w:r>
        <w:rPr>
          <w:sz w:val="24"/>
        </w:rPr>
        <w:t>not</w:t>
      </w:r>
      <w:r>
        <w:rPr>
          <w:spacing w:val="-3"/>
          <w:sz w:val="24"/>
        </w:rPr>
        <w:t> </w:t>
      </w:r>
      <w:r>
        <w:rPr>
          <w:sz w:val="24"/>
        </w:rPr>
        <w:t>speak</w:t>
      </w:r>
      <w:r>
        <w:rPr>
          <w:spacing w:val="-4"/>
          <w:sz w:val="24"/>
        </w:rPr>
        <w:t> </w:t>
      </w:r>
      <w:r>
        <w:rPr>
          <w:sz w:val="24"/>
        </w:rPr>
        <w:t>English and/or who have a speaking impairment. </w:t>
      </w:r>
      <w:r>
        <w:rPr>
          <w:b/>
          <w:sz w:val="24"/>
        </w:rPr>
        <w:t>2 </w:t>
      </w:r>
      <w:r>
        <w:rPr>
          <w:sz w:val="24"/>
        </w:rPr>
        <w:t>The rate of pay for interpreter services of this type will be determined by the DRS commission. </w:t>
      </w:r>
      <w:r>
        <w:rPr>
          <w:b/>
          <w:sz w:val="24"/>
        </w:rPr>
        <w:t>3</w:t>
      </w:r>
    </w:p>
    <w:p>
      <w:pPr>
        <w:pStyle w:val="BodyText"/>
        <w:spacing w:before="211"/>
      </w:pPr>
      <w:r>
        <w:rPr/>
        <w:t>INSTRUCTIONS</w:t>
      </w:r>
      <w:r>
        <w:rPr>
          <w:spacing w:val="-3"/>
        </w:rPr>
        <w:t> </w:t>
      </w:r>
      <w:r>
        <w:rPr/>
        <w:t>TO</w:t>
      </w:r>
      <w:r>
        <w:rPr>
          <w:spacing w:val="-2"/>
        </w:rPr>
        <w:t> </w:t>
      </w:r>
      <w:r>
        <w:rPr>
          <w:spacing w:val="-4"/>
        </w:rPr>
        <w:t>STAFF</w:t>
      </w:r>
    </w:p>
    <w:p>
      <w:pPr>
        <w:pStyle w:val="ListParagraph"/>
        <w:numPr>
          <w:ilvl w:val="1"/>
          <w:numId w:val="287"/>
        </w:numPr>
        <w:tabs>
          <w:tab w:pos="1078" w:val="left" w:leader="none"/>
        </w:tabs>
        <w:spacing w:line="240" w:lineRule="auto" w:before="204" w:after="0"/>
        <w:ind w:left="1078" w:right="0" w:hanging="286"/>
        <w:jc w:val="left"/>
        <w:rPr>
          <w:sz w:val="24"/>
        </w:rPr>
      </w:pPr>
      <w:r>
        <w:rPr>
          <w:sz w:val="24"/>
        </w:rPr>
        <w:t>See</w:t>
      </w:r>
      <w:r>
        <w:rPr>
          <w:spacing w:val="-7"/>
          <w:sz w:val="24"/>
        </w:rPr>
        <w:t> </w:t>
      </w:r>
      <w:r>
        <w:rPr>
          <w:sz w:val="24"/>
        </w:rPr>
        <w:t>Instructions</w:t>
      </w:r>
      <w:r>
        <w:rPr>
          <w:spacing w:val="-4"/>
          <w:sz w:val="24"/>
        </w:rPr>
        <w:t> </w:t>
      </w:r>
      <w:r>
        <w:rPr>
          <w:sz w:val="24"/>
        </w:rPr>
        <w:t>to</w:t>
      </w:r>
      <w:r>
        <w:rPr>
          <w:spacing w:val="-4"/>
          <w:sz w:val="24"/>
        </w:rPr>
        <w:t> </w:t>
      </w:r>
      <w:r>
        <w:rPr>
          <w:sz w:val="24"/>
        </w:rPr>
        <w:t>Staff</w:t>
      </w:r>
      <w:r>
        <w:rPr>
          <w:spacing w:val="-3"/>
          <w:sz w:val="24"/>
        </w:rPr>
        <w:t> </w:t>
      </w:r>
      <w:hyperlink w:history="true" w:anchor="_bookmark27">
        <w:r>
          <w:rPr>
            <w:color w:val="0000FF"/>
            <w:sz w:val="24"/>
            <w:u w:val="single" w:color="0000FF"/>
          </w:rPr>
          <w:t>612:10-7-196</w:t>
        </w:r>
      </w:hyperlink>
      <w:r>
        <w:rPr>
          <w:color w:val="0000FF"/>
          <w:spacing w:val="-4"/>
          <w:sz w:val="24"/>
          <w:u w:val="none"/>
        </w:rPr>
        <w:t> </w:t>
      </w:r>
      <w:r>
        <w:rPr>
          <w:sz w:val="24"/>
          <w:u w:val="none"/>
        </w:rPr>
        <w:t>Interpreter</w:t>
      </w:r>
      <w:r>
        <w:rPr>
          <w:spacing w:val="-3"/>
          <w:sz w:val="24"/>
          <w:u w:val="none"/>
        </w:rPr>
        <w:t> </w:t>
      </w:r>
      <w:r>
        <w:rPr>
          <w:spacing w:val="-2"/>
          <w:sz w:val="24"/>
          <w:u w:val="none"/>
        </w:rPr>
        <w:t>services</w:t>
      </w:r>
    </w:p>
    <w:p>
      <w:pPr>
        <w:pStyle w:val="ListParagraph"/>
        <w:numPr>
          <w:ilvl w:val="1"/>
          <w:numId w:val="287"/>
        </w:numPr>
        <w:tabs>
          <w:tab w:pos="1077" w:val="left" w:leader="none"/>
        </w:tabs>
        <w:spacing w:line="208" w:lineRule="auto" w:before="233" w:after="0"/>
        <w:ind w:left="791" w:right="1059" w:firstLine="0"/>
        <w:jc w:val="left"/>
        <w:rPr>
          <w:sz w:val="24"/>
        </w:rPr>
      </w:pPr>
      <w:r>
        <w:rPr>
          <w:sz w:val="24"/>
        </w:rPr>
        <w:t>The</w:t>
      </w:r>
      <w:r>
        <w:rPr>
          <w:spacing w:val="-4"/>
          <w:sz w:val="24"/>
        </w:rPr>
        <w:t> </w:t>
      </w:r>
      <w:r>
        <w:rPr>
          <w:sz w:val="24"/>
        </w:rPr>
        <w:t>Rehabilitation</w:t>
      </w:r>
      <w:r>
        <w:rPr>
          <w:spacing w:val="-4"/>
          <w:sz w:val="24"/>
        </w:rPr>
        <w:t> </w:t>
      </w:r>
      <w:r>
        <w:rPr>
          <w:sz w:val="24"/>
        </w:rPr>
        <w:t>Teacher</w:t>
      </w:r>
      <w:r>
        <w:rPr>
          <w:spacing w:val="-3"/>
          <w:sz w:val="24"/>
        </w:rPr>
        <w:t> </w:t>
      </w:r>
      <w:r>
        <w:rPr>
          <w:sz w:val="24"/>
        </w:rPr>
        <w:t>will</w:t>
      </w:r>
      <w:r>
        <w:rPr>
          <w:spacing w:val="-4"/>
          <w:sz w:val="24"/>
        </w:rPr>
        <w:t> </w:t>
      </w:r>
      <w:r>
        <w:rPr>
          <w:sz w:val="24"/>
        </w:rPr>
        <w:t>utilize</w:t>
      </w:r>
      <w:r>
        <w:rPr>
          <w:spacing w:val="-4"/>
          <w:sz w:val="24"/>
        </w:rPr>
        <w:t> </w:t>
      </w:r>
      <w:r>
        <w:rPr>
          <w:sz w:val="24"/>
        </w:rPr>
        <w:t>staff</w:t>
      </w:r>
      <w:r>
        <w:rPr>
          <w:spacing w:val="-3"/>
          <w:sz w:val="24"/>
        </w:rPr>
        <w:t> </w:t>
      </w:r>
      <w:r>
        <w:rPr>
          <w:sz w:val="24"/>
        </w:rPr>
        <w:t>members</w:t>
      </w:r>
      <w:r>
        <w:rPr>
          <w:spacing w:val="-4"/>
          <w:sz w:val="24"/>
        </w:rPr>
        <w:t> </w:t>
      </w:r>
      <w:r>
        <w:rPr>
          <w:sz w:val="24"/>
        </w:rPr>
        <w:t>who</w:t>
      </w:r>
      <w:r>
        <w:rPr>
          <w:spacing w:val="-4"/>
          <w:sz w:val="24"/>
        </w:rPr>
        <w:t> </w:t>
      </w:r>
      <w:r>
        <w:rPr>
          <w:sz w:val="24"/>
        </w:rPr>
        <w:t>have</w:t>
      </w:r>
      <w:r>
        <w:rPr>
          <w:spacing w:val="-4"/>
          <w:sz w:val="24"/>
        </w:rPr>
        <w:t> </w:t>
      </w:r>
      <w:r>
        <w:rPr>
          <w:sz w:val="24"/>
        </w:rPr>
        <w:t>been</w:t>
      </w:r>
      <w:r>
        <w:rPr>
          <w:spacing w:val="-4"/>
          <w:sz w:val="24"/>
        </w:rPr>
        <w:t> </w:t>
      </w:r>
      <w:r>
        <w:rPr>
          <w:sz w:val="24"/>
        </w:rPr>
        <w:t>trained</w:t>
      </w:r>
      <w:r>
        <w:rPr>
          <w:spacing w:val="-4"/>
          <w:sz w:val="24"/>
        </w:rPr>
        <w:t> </w:t>
      </w:r>
      <w:r>
        <w:rPr>
          <w:sz w:val="24"/>
        </w:rPr>
        <w:t>in interpreting or who speak the appropriate language whenever possible.</w:t>
      </w:r>
    </w:p>
    <w:p>
      <w:pPr>
        <w:pStyle w:val="ListParagraph"/>
        <w:numPr>
          <w:ilvl w:val="1"/>
          <w:numId w:val="287"/>
        </w:numPr>
        <w:tabs>
          <w:tab w:pos="1078" w:val="left" w:leader="none"/>
        </w:tabs>
        <w:spacing w:line="208" w:lineRule="auto" w:before="240" w:after="0"/>
        <w:ind w:left="792" w:right="872" w:firstLine="0"/>
        <w:jc w:val="both"/>
        <w:rPr>
          <w:sz w:val="24"/>
        </w:rPr>
      </w:pPr>
      <w:r>
        <w:rPr>
          <w:sz w:val="24"/>
        </w:rPr>
        <w:t>The</w:t>
      </w:r>
      <w:r>
        <w:rPr>
          <w:spacing w:val="-3"/>
          <w:sz w:val="24"/>
        </w:rPr>
        <w:t> </w:t>
      </w:r>
      <w:r>
        <w:rPr>
          <w:sz w:val="24"/>
        </w:rPr>
        <w:t>authorization</w:t>
      </w:r>
      <w:r>
        <w:rPr>
          <w:spacing w:val="-3"/>
          <w:sz w:val="24"/>
        </w:rPr>
        <w:t> </w:t>
      </w:r>
      <w:r>
        <w:rPr>
          <w:sz w:val="24"/>
        </w:rPr>
        <w:t>will</w:t>
      </w:r>
      <w:r>
        <w:rPr>
          <w:spacing w:val="-3"/>
          <w:sz w:val="24"/>
        </w:rPr>
        <w:t> </w:t>
      </w:r>
      <w:r>
        <w:rPr>
          <w:sz w:val="24"/>
        </w:rPr>
        <w:t>include</w:t>
      </w:r>
      <w:r>
        <w:rPr>
          <w:spacing w:val="-3"/>
          <w:sz w:val="24"/>
        </w:rPr>
        <w:t> </w:t>
      </w:r>
      <w:r>
        <w:rPr>
          <w:sz w:val="24"/>
        </w:rPr>
        <w:t>the</w:t>
      </w:r>
      <w:r>
        <w:rPr>
          <w:spacing w:val="-3"/>
          <w:sz w:val="24"/>
        </w:rPr>
        <w:t> </w:t>
      </w:r>
      <w:r>
        <w:rPr>
          <w:sz w:val="24"/>
        </w:rPr>
        <w:t>number</w:t>
      </w:r>
      <w:r>
        <w:rPr>
          <w:spacing w:val="-2"/>
          <w:sz w:val="24"/>
        </w:rPr>
        <w:t> </w:t>
      </w:r>
      <w:r>
        <w:rPr>
          <w:sz w:val="24"/>
        </w:rPr>
        <w:t>of</w:t>
      </w:r>
      <w:r>
        <w:rPr>
          <w:spacing w:val="-4"/>
          <w:sz w:val="24"/>
        </w:rPr>
        <w:t> </w:t>
      </w:r>
      <w:r>
        <w:rPr>
          <w:sz w:val="24"/>
        </w:rPr>
        <w:t>hours</w:t>
      </w:r>
      <w:r>
        <w:rPr>
          <w:spacing w:val="-3"/>
          <w:sz w:val="24"/>
        </w:rPr>
        <w:t> </w:t>
      </w:r>
      <w:r>
        <w:rPr>
          <w:sz w:val="24"/>
        </w:rPr>
        <w:t>to</w:t>
      </w:r>
      <w:r>
        <w:rPr>
          <w:spacing w:val="-3"/>
          <w:sz w:val="24"/>
        </w:rPr>
        <w:t> </w:t>
      </w:r>
      <w:r>
        <w:rPr>
          <w:sz w:val="24"/>
        </w:rPr>
        <w:t>be</w:t>
      </w:r>
      <w:r>
        <w:rPr>
          <w:spacing w:val="-3"/>
          <w:sz w:val="24"/>
        </w:rPr>
        <w:t> </w:t>
      </w:r>
      <w:r>
        <w:rPr>
          <w:sz w:val="24"/>
        </w:rPr>
        <w:t>provided</w:t>
      </w:r>
      <w:r>
        <w:rPr>
          <w:spacing w:val="-3"/>
          <w:sz w:val="24"/>
        </w:rPr>
        <w:t> </w:t>
      </w:r>
      <w:r>
        <w:rPr>
          <w:sz w:val="24"/>
        </w:rPr>
        <w:t>and</w:t>
      </w:r>
      <w:r>
        <w:rPr>
          <w:spacing w:val="-3"/>
          <w:sz w:val="24"/>
        </w:rPr>
        <w:t> </w:t>
      </w:r>
      <w:r>
        <w:rPr>
          <w:sz w:val="24"/>
        </w:rPr>
        <w:t>the</w:t>
      </w:r>
      <w:r>
        <w:rPr>
          <w:spacing w:val="-3"/>
          <w:sz w:val="24"/>
        </w:rPr>
        <w:t> </w:t>
      </w:r>
      <w:r>
        <w:rPr>
          <w:sz w:val="24"/>
        </w:rPr>
        <w:t>period of time over which the service is to be provided in addition to the per hour fee.</w:t>
      </w:r>
      <w:r>
        <w:rPr>
          <w:spacing w:val="-1"/>
          <w:sz w:val="24"/>
        </w:rPr>
        <w:t> </w:t>
      </w:r>
      <w:r>
        <w:rPr>
          <w:sz w:val="24"/>
        </w:rPr>
        <w:t>The interpreter will submit a claim at the end of each specified time period. Rates to be paid for interpreter services are found in </w:t>
      </w:r>
      <w:hyperlink w:history="true" w:anchor="_bookmark27">
        <w:r>
          <w:rPr>
            <w:color w:val="0000FF"/>
            <w:sz w:val="24"/>
            <w:u w:val="single" w:color="0000FF"/>
          </w:rPr>
          <w:t>612:10-7-196</w:t>
        </w:r>
      </w:hyperlink>
      <w:r>
        <w:rPr>
          <w:sz w:val="24"/>
          <w:u w:val="none"/>
        </w:rPr>
        <w:t>.</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7-1-05</w:t>
      </w:r>
      <w:r>
        <w:rPr>
          <w:sz w:val="22"/>
        </w:rPr>
        <w:tab/>
        <w:t>PT Memo #06-01</w:t>
      </w:r>
    </w:p>
    <w:p>
      <w:pPr>
        <w:tabs>
          <w:tab w:pos="1439" w:val="left" w:leader="none"/>
        </w:tabs>
        <w:spacing w:before="0"/>
        <w:ind w:left="359" w:right="2810" w:firstLine="1080"/>
        <w:jc w:val="left"/>
        <w:rPr>
          <w:sz w:val="22"/>
        </w:rPr>
      </w:pPr>
      <w:r>
        <w:rPr>
          <w:sz w:val="22"/>
        </w:rPr>
        <w:t>Permanent,</w:t>
      </w:r>
      <w:r>
        <w:rPr>
          <w:spacing w:val="-5"/>
          <w:sz w:val="22"/>
        </w:rPr>
        <w:t> </w:t>
      </w:r>
      <w:r>
        <w:rPr>
          <w:sz w:val="22"/>
        </w:rPr>
        <w:t>Independent</w:t>
      </w:r>
      <w:r>
        <w:rPr>
          <w:spacing w:val="-7"/>
          <w:sz w:val="22"/>
        </w:rPr>
        <w:t> </w:t>
      </w:r>
      <w:r>
        <w:rPr>
          <w:sz w:val="22"/>
        </w:rPr>
        <w:t>Living</w:t>
      </w:r>
      <w:r>
        <w:rPr>
          <w:spacing w:val="-6"/>
          <w:sz w:val="22"/>
        </w:rPr>
        <w:t> </w:t>
      </w:r>
      <w:r>
        <w:rPr>
          <w:sz w:val="22"/>
        </w:rPr>
        <w:t>policy</w:t>
      </w:r>
      <w:r>
        <w:rPr>
          <w:spacing w:val="-6"/>
          <w:sz w:val="22"/>
        </w:rPr>
        <w:t> </w:t>
      </w:r>
      <w:r>
        <w:rPr>
          <w:sz w:val="22"/>
        </w:rPr>
        <w:t>replaced</w:t>
      </w:r>
      <w:r>
        <w:rPr>
          <w:spacing w:val="-7"/>
          <w:sz w:val="22"/>
        </w:rPr>
        <w:t> </w:t>
      </w:r>
      <w:r>
        <w:rPr>
          <w:sz w:val="22"/>
        </w:rPr>
        <w:t>with</w:t>
      </w:r>
      <w:r>
        <w:rPr>
          <w:spacing w:val="-6"/>
          <w:sz w:val="22"/>
        </w:rPr>
        <w:t> </w:t>
      </w:r>
      <w:r>
        <w:rPr>
          <w:sz w:val="22"/>
        </w:rPr>
        <w:t>Older</w:t>
      </w:r>
      <w:r>
        <w:rPr>
          <w:spacing w:val="-6"/>
          <w:sz w:val="22"/>
        </w:rPr>
        <w:t> </w:t>
      </w:r>
      <w:r>
        <w:rPr>
          <w:sz w:val="22"/>
        </w:rPr>
        <w:t>Blind </w:t>
      </w:r>
      <w:r>
        <w:rPr>
          <w:spacing w:val="-2"/>
          <w:sz w:val="22"/>
        </w:rPr>
        <w:t>7-1-07</w:t>
      </w:r>
      <w:r>
        <w:rPr>
          <w:sz w:val="22"/>
        </w:rPr>
        <w:tab/>
        <w:t>PT Memo #08-01</w:t>
      </w:r>
    </w:p>
    <w:p>
      <w:pPr>
        <w:tabs>
          <w:tab w:pos="1439" w:val="left" w:leader="none"/>
        </w:tabs>
        <w:spacing w:before="0"/>
        <w:ind w:left="359" w:right="5978" w:firstLine="1080"/>
        <w:jc w:val="left"/>
        <w:rPr>
          <w:sz w:val="22"/>
        </w:rPr>
      </w:pPr>
      <w:r>
        <w:rPr>
          <w:sz w:val="22"/>
        </w:rPr>
        <w:t>Permanent,</w:t>
      </w:r>
      <w:r>
        <w:rPr>
          <w:spacing w:val="-9"/>
          <w:sz w:val="22"/>
        </w:rPr>
        <w:t> </w:t>
      </w:r>
      <w:r>
        <w:rPr>
          <w:sz w:val="22"/>
        </w:rPr>
        <w:t>changed</w:t>
      </w:r>
      <w:r>
        <w:rPr>
          <w:spacing w:val="-10"/>
          <w:sz w:val="22"/>
        </w:rPr>
        <w:t> </w:t>
      </w:r>
      <w:r>
        <w:rPr>
          <w:sz w:val="22"/>
        </w:rPr>
        <w:t>OL</w:t>
      </w:r>
      <w:r>
        <w:rPr>
          <w:spacing w:val="-10"/>
          <w:sz w:val="22"/>
        </w:rPr>
        <w:t> </w:t>
      </w:r>
      <w:r>
        <w:rPr>
          <w:sz w:val="22"/>
        </w:rPr>
        <w:t>to</w:t>
      </w:r>
      <w:r>
        <w:rPr>
          <w:spacing w:val="-10"/>
          <w:sz w:val="22"/>
        </w:rPr>
        <w:t> </w:t>
      </w:r>
      <w:r>
        <w:rPr>
          <w:sz w:val="22"/>
        </w:rPr>
        <w:t>OB </w:t>
      </w:r>
      <w:r>
        <w:rPr>
          <w:spacing w:val="-2"/>
          <w:sz w:val="22"/>
        </w:rPr>
        <w:t>7-1-11</w:t>
      </w:r>
      <w:r>
        <w:rPr>
          <w:sz w:val="22"/>
        </w:rPr>
        <w:tab/>
        <w:t>PT Memo #12-01</w:t>
      </w:r>
    </w:p>
    <w:p>
      <w:pPr>
        <w:spacing w:before="0"/>
        <w:ind w:left="1439" w:right="0" w:firstLine="0"/>
        <w:jc w:val="left"/>
        <w:rPr>
          <w:sz w:val="22"/>
        </w:rPr>
      </w:pPr>
      <w:r>
        <w:rPr>
          <w:sz w:val="22"/>
        </w:rPr>
        <w:t>Permanent,</w:t>
      </w:r>
      <w:r>
        <w:rPr>
          <w:spacing w:val="-10"/>
          <w:sz w:val="22"/>
        </w:rPr>
        <w:t> </w:t>
      </w:r>
      <w:r>
        <w:rPr>
          <w:sz w:val="22"/>
        </w:rPr>
        <w:t>deleted</w:t>
      </w:r>
      <w:r>
        <w:rPr>
          <w:spacing w:val="-11"/>
          <w:sz w:val="22"/>
        </w:rPr>
        <w:t> </w:t>
      </w:r>
      <w:r>
        <w:rPr>
          <w:sz w:val="22"/>
        </w:rPr>
        <w:t>duplicated</w:t>
      </w:r>
      <w:r>
        <w:rPr>
          <w:spacing w:val="-10"/>
          <w:sz w:val="22"/>
        </w:rPr>
        <w:t> </w:t>
      </w:r>
      <w:r>
        <w:rPr>
          <w:spacing w:val="-2"/>
          <w:sz w:val="22"/>
        </w:rPr>
        <w:t>paragraph</w:t>
      </w:r>
    </w:p>
    <w:p>
      <w:pPr>
        <w:spacing w:after="0"/>
        <w:jc w:val="left"/>
        <w:rPr>
          <w:sz w:val="22"/>
        </w:rPr>
        <w:sectPr>
          <w:pgSz w:w="12240" w:h="15840"/>
          <w:pgMar w:top="1340" w:bottom="280" w:left="1080" w:right="720"/>
        </w:sectPr>
      </w:pPr>
    </w:p>
    <w:p>
      <w:pPr>
        <w:pStyle w:val="Heading2"/>
      </w:pPr>
      <w:bookmarkStart w:name="612:10-11-43.  Reader/Guide services" w:id="273"/>
      <w:bookmarkEnd w:id="273"/>
      <w:r>
        <w:rPr>
          <w:b w:val="0"/>
        </w:rPr>
      </w:r>
      <w:r>
        <w:rPr/>
        <w:t>612:10-11-43.</w:t>
      </w:r>
      <w:r>
        <w:rPr>
          <w:spacing w:val="56"/>
        </w:rPr>
        <w:t> </w:t>
      </w:r>
      <w:r>
        <w:rPr/>
        <w:t>Reader/Guide</w:t>
      </w:r>
      <w:r>
        <w:rPr>
          <w:spacing w:val="-5"/>
        </w:rPr>
        <w:t> </w:t>
      </w:r>
      <w:r>
        <w:rPr>
          <w:spacing w:val="-2"/>
        </w:rPr>
        <w:t>services</w:t>
      </w:r>
    </w:p>
    <w:p>
      <w:pPr>
        <w:pStyle w:val="BodyText"/>
        <w:spacing w:line="208" w:lineRule="auto" w:before="233"/>
        <w:ind w:right="775" w:firstLine="432"/>
      </w:pPr>
      <w:r>
        <w:rPr/>
        <w:t>Reader/Guide services includes the provision of volunteers to read mail, etc. and use of guides to get to medical, recreational activities, etc. In planning the provision of reader</w:t>
      </w:r>
      <w:r>
        <w:rPr>
          <w:spacing w:val="-3"/>
        </w:rPr>
        <w:t> </w:t>
      </w:r>
      <w:r>
        <w:rPr/>
        <w:t>services,</w:t>
      </w:r>
      <w:r>
        <w:rPr>
          <w:spacing w:val="-3"/>
        </w:rPr>
        <w:t> </w:t>
      </w:r>
      <w:r>
        <w:rPr/>
        <w:t>the</w:t>
      </w:r>
      <w:r>
        <w:rPr>
          <w:spacing w:val="-4"/>
        </w:rPr>
        <w:t> </w:t>
      </w:r>
      <w:r>
        <w:rPr/>
        <w:t>Department</w:t>
      </w:r>
      <w:r>
        <w:rPr>
          <w:spacing w:val="-5"/>
        </w:rPr>
        <w:t> </w:t>
      </w:r>
      <w:r>
        <w:rPr/>
        <w:t>may</w:t>
      </w:r>
      <w:r>
        <w:rPr>
          <w:spacing w:val="-4"/>
        </w:rPr>
        <w:t> </w:t>
      </w:r>
      <w:r>
        <w:rPr/>
        <w:t>also</w:t>
      </w:r>
      <w:r>
        <w:rPr>
          <w:spacing w:val="-4"/>
        </w:rPr>
        <w:t> </w:t>
      </w:r>
      <w:r>
        <w:rPr/>
        <w:t>make</w:t>
      </w:r>
      <w:r>
        <w:rPr>
          <w:spacing w:val="-4"/>
        </w:rPr>
        <w:t> </w:t>
      </w:r>
      <w:r>
        <w:rPr/>
        <w:t>use</w:t>
      </w:r>
      <w:r>
        <w:rPr>
          <w:spacing w:val="-4"/>
        </w:rPr>
        <w:t> </w:t>
      </w:r>
      <w:r>
        <w:rPr/>
        <w:t>of</w:t>
      </w:r>
      <w:r>
        <w:rPr>
          <w:spacing w:val="-5"/>
        </w:rPr>
        <w:t> </w:t>
      </w:r>
      <w:r>
        <w:rPr/>
        <w:t>available</w:t>
      </w:r>
      <w:r>
        <w:rPr>
          <w:spacing w:val="-4"/>
        </w:rPr>
        <w:t> </w:t>
      </w:r>
      <w:r>
        <w:rPr/>
        <w:t>volunteer</w:t>
      </w:r>
      <w:r>
        <w:rPr>
          <w:spacing w:val="-3"/>
        </w:rPr>
        <w:t> </w:t>
      </w:r>
      <w:r>
        <w:rPr/>
        <w:t>reading</w:t>
      </w:r>
      <w:r>
        <w:rPr>
          <w:spacing w:val="-4"/>
        </w:rPr>
        <w:t> </w:t>
      </w:r>
      <w:r>
        <w:rPr/>
        <w:t>from family members, community groups and others.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7-1-98</w:t>
      </w:r>
      <w:r>
        <w:rPr>
          <w:sz w:val="22"/>
        </w:rPr>
        <w:tab/>
        <w:t>PT Memo #98-15</w:t>
      </w:r>
    </w:p>
    <w:p>
      <w:pPr>
        <w:tabs>
          <w:tab w:pos="1439" w:val="left" w:leader="none"/>
        </w:tabs>
        <w:spacing w:before="0"/>
        <w:ind w:left="359" w:right="2957" w:firstLine="1080"/>
        <w:jc w:val="left"/>
        <w:rPr>
          <w:sz w:val="22"/>
        </w:rPr>
      </w:pPr>
      <w:r>
        <w:rPr>
          <w:sz w:val="22"/>
        </w:rPr>
        <w:t>Permanent,</w:t>
      </w:r>
      <w:r>
        <w:rPr>
          <w:spacing w:val="-5"/>
          <w:sz w:val="22"/>
        </w:rPr>
        <w:t> </w:t>
      </w:r>
      <w:r>
        <w:rPr>
          <w:sz w:val="22"/>
        </w:rPr>
        <w:t>clean-up</w:t>
      </w:r>
      <w:r>
        <w:rPr>
          <w:spacing w:val="-6"/>
          <w:sz w:val="22"/>
        </w:rPr>
        <w:t> </w:t>
      </w:r>
      <w:r>
        <w:rPr>
          <w:sz w:val="22"/>
        </w:rPr>
        <w:t>editing,</w:t>
      </w:r>
      <w:r>
        <w:rPr>
          <w:spacing w:val="-6"/>
          <w:sz w:val="22"/>
        </w:rPr>
        <w:t> </w:t>
      </w:r>
      <w:r>
        <w:rPr>
          <w:sz w:val="22"/>
        </w:rPr>
        <w:t>changes</w:t>
      </w:r>
      <w:r>
        <w:rPr>
          <w:spacing w:val="-6"/>
          <w:sz w:val="22"/>
        </w:rPr>
        <w:t> </w:t>
      </w:r>
      <w:r>
        <w:rPr>
          <w:sz w:val="22"/>
        </w:rPr>
        <w:t>to</w:t>
      </w:r>
      <w:r>
        <w:rPr>
          <w:spacing w:val="-6"/>
          <w:sz w:val="22"/>
        </w:rPr>
        <w:t> </w:t>
      </w:r>
      <w:r>
        <w:rPr>
          <w:sz w:val="22"/>
        </w:rPr>
        <w:t>conform</w:t>
      </w:r>
      <w:r>
        <w:rPr>
          <w:spacing w:val="-7"/>
          <w:sz w:val="22"/>
        </w:rPr>
        <w:t> </w:t>
      </w:r>
      <w:r>
        <w:rPr>
          <w:sz w:val="22"/>
        </w:rPr>
        <w:t>with</w:t>
      </w:r>
      <w:r>
        <w:rPr>
          <w:spacing w:val="-6"/>
          <w:sz w:val="22"/>
        </w:rPr>
        <w:t> </w:t>
      </w:r>
      <w:r>
        <w:rPr>
          <w:sz w:val="22"/>
        </w:rPr>
        <w:t>ORMIS </w:t>
      </w:r>
      <w:r>
        <w:rPr>
          <w:spacing w:val="-2"/>
          <w:sz w:val="22"/>
        </w:rPr>
        <w:t>7-1-99</w:t>
      </w:r>
      <w:r>
        <w:rPr>
          <w:sz w:val="22"/>
        </w:rPr>
        <w:tab/>
        <w:t>POL Memo #00-1</w:t>
      </w:r>
    </w:p>
    <w:p>
      <w:pPr>
        <w:tabs>
          <w:tab w:pos="1439" w:val="left" w:leader="none"/>
        </w:tabs>
        <w:spacing w:before="0"/>
        <w:ind w:left="359" w:right="5967" w:firstLine="1080"/>
        <w:jc w:val="left"/>
        <w:rPr>
          <w:sz w:val="22"/>
        </w:rPr>
      </w:pPr>
      <w:r>
        <w:rPr>
          <w:sz w:val="22"/>
        </w:rPr>
        <w:t>Permanent,</w:t>
      </w:r>
      <w:r>
        <w:rPr>
          <w:spacing w:val="-16"/>
          <w:sz w:val="22"/>
        </w:rPr>
        <w:t> </w:t>
      </w:r>
      <w:r>
        <w:rPr>
          <w:sz w:val="22"/>
        </w:rPr>
        <w:t>updated</w:t>
      </w:r>
      <w:r>
        <w:rPr>
          <w:spacing w:val="-15"/>
          <w:sz w:val="22"/>
        </w:rPr>
        <w:t> </w:t>
      </w:r>
      <w:r>
        <w:rPr>
          <w:sz w:val="22"/>
        </w:rPr>
        <w:t>DVR/DVS </w:t>
      </w:r>
      <w:r>
        <w:rPr>
          <w:spacing w:val="-2"/>
          <w:sz w:val="22"/>
        </w:rPr>
        <w:t>7-1-05</w:t>
      </w:r>
      <w:r>
        <w:rPr>
          <w:sz w:val="22"/>
        </w:rPr>
        <w:tab/>
        <w:t>PT Memo #06-01</w:t>
      </w:r>
    </w:p>
    <w:p>
      <w:pPr>
        <w:spacing w:before="0"/>
        <w:ind w:left="1439" w:right="0" w:firstLine="0"/>
        <w:jc w:val="left"/>
        <w:rPr>
          <w:sz w:val="22"/>
        </w:rPr>
      </w:pPr>
      <w:r>
        <w:rPr>
          <w:sz w:val="22"/>
        </w:rPr>
        <w:t>Permanent,</w:t>
      </w:r>
      <w:r>
        <w:rPr>
          <w:spacing w:val="-8"/>
          <w:sz w:val="22"/>
        </w:rPr>
        <w:t> </w:t>
      </w:r>
      <w:r>
        <w:rPr>
          <w:sz w:val="22"/>
        </w:rPr>
        <w:t>Independent</w:t>
      </w:r>
      <w:r>
        <w:rPr>
          <w:spacing w:val="-9"/>
          <w:sz w:val="22"/>
        </w:rPr>
        <w:t> </w:t>
      </w:r>
      <w:r>
        <w:rPr>
          <w:sz w:val="22"/>
        </w:rPr>
        <w:t>Living</w:t>
      </w:r>
      <w:r>
        <w:rPr>
          <w:spacing w:val="-9"/>
          <w:sz w:val="22"/>
        </w:rPr>
        <w:t> </w:t>
      </w:r>
      <w:r>
        <w:rPr>
          <w:sz w:val="22"/>
        </w:rPr>
        <w:t>policy</w:t>
      </w:r>
      <w:r>
        <w:rPr>
          <w:spacing w:val="-8"/>
          <w:sz w:val="22"/>
        </w:rPr>
        <w:t> </w:t>
      </w:r>
      <w:r>
        <w:rPr>
          <w:sz w:val="22"/>
        </w:rPr>
        <w:t>replaced</w:t>
      </w:r>
      <w:r>
        <w:rPr>
          <w:spacing w:val="-9"/>
          <w:sz w:val="22"/>
        </w:rPr>
        <w:t> </w:t>
      </w:r>
      <w:r>
        <w:rPr>
          <w:sz w:val="22"/>
        </w:rPr>
        <w:t>with</w:t>
      </w:r>
      <w:r>
        <w:rPr>
          <w:spacing w:val="-9"/>
          <w:sz w:val="22"/>
        </w:rPr>
        <w:t> </w:t>
      </w:r>
      <w:r>
        <w:rPr>
          <w:sz w:val="22"/>
        </w:rPr>
        <w:t>Older</w:t>
      </w:r>
      <w:r>
        <w:rPr>
          <w:spacing w:val="-8"/>
          <w:sz w:val="22"/>
        </w:rPr>
        <w:t> </w:t>
      </w:r>
      <w:r>
        <w:rPr>
          <w:spacing w:val="-2"/>
          <w:sz w:val="22"/>
        </w:rPr>
        <w:t>Blind</w:t>
      </w:r>
    </w:p>
    <w:p>
      <w:pPr>
        <w:tabs>
          <w:tab w:pos="1439" w:val="left" w:leader="none"/>
        </w:tabs>
        <w:spacing w:before="0"/>
        <w:ind w:left="359" w:right="0" w:firstLine="0"/>
        <w:jc w:val="left"/>
        <w:rPr>
          <w:sz w:val="22"/>
        </w:rPr>
      </w:pPr>
      <w:r>
        <w:rPr>
          <w:spacing w:val="-2"/>
          <w:sz w:val="22"/>
        </w:rPr>
        <w:t>8-25-</w:t>
      </w:r>
      <w:r>
        <w:rPr>
          <w:spacing w:val="-5"/>
          <w:sz w:val="22"/>
        </w:rPr>
        <w:t>16</w:t>
      </w:r>
      <w:r>
        <w:rPr>
          <w:sz w:val="22"/>
        </w:rPr>
        <w:tab/>
        <w:t>Updated</w:t>
      </w:r>
      <w:r>
        <w:rPr>
          <w:spacing w:val="-7"/>
          <w:sz w:val="22"/>
        </w:rPr>
        <w:t> </w:t>
      </w:r>
      <w:r>
        <w:rPr>
          <w:sz w:val="22"/>
        </w:rPr>
        <w:t>language</w:t>
      </w:r>
      <w:r>
        <w:rPr>
          <w:spacing w:val="-7"/>
          <w:sz w:val="22"/>
        </w:rPr>
        <w:t> </w:t>
      </w:r>
      <w:r>
        <w:rPr>
          <w:sz w:val="22"/>
        </w:rPr>
        <w:t>to</w:t>
      </w:r>
      <w:r>
        <w:rPr>
          <w:spacing w:val="-6"/>
          <w:sz w:val="22"/>
        </w:rPr>
        <w:t> </w:t>
      </w:r>
      <w:r>
        <w:rPr>
          <w:sz w:val="22"/>
        </w:rPr>
        <w:t>remove</w:t>
      </w:r>
      <w:r>
        <w:rPr>
          <w:spacing w:val="-7"/>
          <w:sz w:val="22"/>
        </w:rPr>
        <w:t> </w:t>
      </w:r>
      <w:r>
        <w:rPr>
          <w:sz w:val="22"/>
        </w:rPr>
        <w:t>"sighted"</w:t>
      </w:r>
      <w:r>
        <w:rPr>
          <w:spacing w:val="-7"/>
          <w:sz w:val="22"/>
        </w:rPr>
        <w:t> </w:t>
      </w:r>
      <w:r>
        <w:rPr>
          <w:sz w:val="22"/>
        </w:rPr>
        <w:t>when</w:t>
      </w:r>
      <w:r>
        <w:rPr>
          <w:spacing w:val="-6"/>
          <w:sz w:val="22"/>
        </w:rPr>
        <w:t> </w:t>
      </w:r>
      <w:r>
        <w:rPr>
          <w:sz w:val="22"/>
        </w:rPr>
        <w:t>referring</w:t>
      </w:r>
      <w:r>
        <w:rPr>
          <w:spacing w:val="-7"/>
          <w:sz w:val="22"/>
        </w:rPr>
        <w:t> </w:t>
      </w:r>
      <w:r>
        <w:rPr>
          <w:sz w:val="22"/>
        </w:rPr>
        <w:t>to</w:t>
      </w:r>
      <w:r>
        <w:rPr>
          <w:spacing w:val="-7"/>
          <w:sz w:val="22"/>
        </w:rPr>
        <w:t> </w:t>
      </w:r>
      <w:r>
        <w:rPr>
          <w:sz w:val="22"/>
        </w:rPr>
        <w:t>guide</w:t>
      </w:r>
      <w:r>
        <w:rPr>
          <w:spacing w:val="-6"/>
          <w:sz w:val="22"/>
        </w:rPr>
        <w:t> </w:t>
      </w:r>
      <w:r>
        <w:rPr>
          <w:spacing w:val="-2"/>
          <w:sz w:val="22"/>
        </w:rPr>
        <w:t>services.</w:t>
      </w:r>
    </w:p>
    <w:p>
      <w:pPr>
        <w:spacing w:after="0"/>
        <w:jc w:val="left"/>
        <w:rPr>
          <w:sz w:val="22"/>
        </w:rPr>
        <w:sectPr>
          <w:pgSz w:w="12240" w:h="15840"/>
          <w:pgMar w:top="1340" w:bottom="280" w:left="1080" w:right="720"/>
        </w:sectPr>
      </w:pPr>
    </w:p>
    <w:p>
      <w:pPr>
        <w:pStyle w:val="Heading2"/>
      </w:pPr>
      <w:bookmarkStart w:name="612:10-11-46.  Community Integration" w:id="274"/>
      <w:bookmarkEnd w:id="274"/>
      <w:r>
        <w:rPr>
          <w:b w:val="0"/>
        </w:rPr>
      </w:r>
      <w:r>
        <w:rPr/>
        <w:t>612:10-11-46.</w:t>
      </w:r>
      <w:r>
        <w:rPr>
          <w:spacing w:val="57"/>
        </w:rPr>
        <w:t> </w:t>
      </w:r>
      <w:r>
        <w:rPr/>
        <w:t>Community</w:t>
      </w:r>
      <w:r>
        <w:rPr>
          <w:spacing w:val="-4"/>
        </w:rPr>
        <w:t> </w:t>
      </w:r>
      <w:r>
        <w:rPr>
          <w:spacing w:val="-2"/>
        </w:rPr>
        <w:t>Integration</w:t>
      </w:r>
    </w:p>
    <w:p>
      <w:pPr>
        <w:pStyle w:val="BodyText"/>
        <w:spacing w:line="208" w:lineRule="auto" w:before="233"/>
        <w:ind w:right="775" w:firstLine="432"/>
        <w:rPr>
          <w:b/>
        </w:rPr>
      </w:pPr>
      <w:r>
        <w:rPr/>
        <w:t>The</w:t>
      </w:r>
      <w:r>
        <w:rPr>
          <w:spacing w:val="-4"/>
        </w:rPr>
        <w:t> </w:t>
      </w:r>
      <w:r>
        <w:rPr/>
        <w:t>Department,</w:t>
      </w:r>
      <w:r>
        <w:rPr>
          <w:spacing w:val="-3"/>
        </w:rPr>
        <w:t> </w:t>
      </w:r>
      <w:r>
        <w:rPr/>
        <w:t>when</w:t>
      </w:r>
      <w:r>
        <w:rPr>
          <w:spacing w:val="-4"/>
        </w:rPr>
        <w:t> </w:t>
      </w:r>
      <w:r>
        <w:rPr/>
        <w:t>appropriate,</w:t>
      </w:r>
      <w:r>
        <w:rPr>
          <w:spacing w:val="-3"/>
        </w:rPr>
        <w:t> </w:t>
      </w:r>
      <w:r>
        <w:rPr/>
        <w:t>will</w:t>
      </w:r>
      <w:r>
        <w:rPr>
          <w:spacing w:val="-4"/>
        </w:rPr>
        <w:t> </w:t>
      </w:r>
      <w:r>
        <w:rPr/>
        <w:t>assist</w:t>
      </w:r>
      <w:r>
        <w:rPr>
          <w:spacing w:val="-3"/>
        </w:rPr>
        <w:t> </w:t>
      </w:r>
      <w:r>
        <w:rPr/>
        <w:t>consumers</w:t>
      </w:r>
      <w:r>
        <w:rPr>
          <w:spacing w:val="-4"/>
        </w:rPr>
        <w:t> </w:t>
      </w:r>
      <w:r>
        <w:rPr/>
        <w:t>with</w:t>
      </w:r>
      <w:r>
        <w:rPr>
          <w:spacing w:val="-4"/>
        </w:rPr>
        <w:t> </w:t>
      </w:r>
      <w:r>
        <w:rPr/>
        <w:t>activities</w:t>
      </w:r>
      <w:r>
        <w:rPr>
          <w:spacing w:val="-4"/>
        </w:rPr>
        <w:t> </w:t>
      </w:r>
      <w:r>
        <w:rPr/>
        <w:t>to</w:t>
      </w:r>
      <w:r>
        <w:rPr>
          <w:spacing w:val="-4"/>
        </w:rPr>
        <w:t> </w:t>
      </w:r>
      <w:r>
        <w:rPr/>
        <w:t>get</w:t>
      </w:r>
      <w:r>
        <w:rPr>
          <w:spacing w:val="-3"/>
        </w:rPr>
        <w:t> </w:t>
      </w:r>
      <w:r>
        <w:rPr/>
        <w:t>re- involved in the life of the community again for social interaction, educational, or recreational purposes. </w:t>
      </w:r>
      <w:r>
        <w:rPr>
          <w:b/>
        </w:rPr>
        <w:t>1</w:t>
      </w:r>
    </w:p>
    <w:p>
      <w:pPr>
        <w:pStyle w:val="BodyText"/>
        <w:spacing w:before="210"/>
      </w:pPr>
      <w:r>
        <w:rPr/>
        <w:t>INSTRUCTIONS</w:t>
      </w:r>
      <w:r>
        <w:rPr>
          <w:spacing w:val="-3"/>
        </w:rPr>
        <w:t> </w:t>
      </w:r>
      <w:r>
        <w:rPr/>
        <w:t>TO</w:t>
      </w:r>
      <w:r>
        <w:rPr>
          <w:spacing w:val="-2"/>
        </w:rPr>
        <w:t> </w:t>
      </w:r>
      <w:r>
        <w:rPr>
          <w:spacing w:val="-4"/>
        </w:rPr>
        <w:t>STAFF</w:t>
      </w:r>
    </w:p>
    <w:p>
      <w:pPr>
        <w:pStyle w:val="BodyText"/>
        <w:spacing w:line="208" w:lineRule="auto" w:before="234"/>
        <w:ind w:left="791" w:right="775"/>
      </w:pPr>
      <w:r>
        <w:rPr/>
        <w:t>1. This can include attending a senior center or other senior citizens group, attending</w:t>
      </w:r>
      <w:r>
        <w:rPr>
          <w:spacing w:val="-5"/>
        </w:rPr>
        <w:t> </w:t>
      </w:r>
      <w:r>
        <w:rPr/>
        <w:t>consumer</w:t>
      </w:r>
      <w:r>
        <w:rPr>
          <w:spacing w:val="-4"/>
        </w:rPr>
        <w:t> </w:t>
      </w:r>
      <w:r>
        <w:rPr/>
        <w:t>organization</w:t>
      </w:r>
      <w:r>
        <w:rPr>
          <w:spacing w:val="-5"/>
        </w:rPr>
        <w:t> </w:t>
      </w:r>
      <w:r>
        <w:rPr/>
        <w:t>meetings,</w:t>
      </w:r>
      <w:r>
        <w:rPr>
          <w:spacing w:val="-4"/>
        </w:rPr>
        <w:t> </w:t>
      </w:r>
      <w:r>
        <w:rPr/>
        <w:t>going</w:t>
      </w:r>
      <w:r>
        <w:rPr>
          <w:spacing w:val="-5"/>
        </w:rPr>
        <w:t> </w:t>
      </w:r>
      <w:r>
        <w:rPr/>
        <w:t>back</w:t>
      </w:r>
      <w:r>
        <w:rPr>
          <w:spacing w:val="-4"/>
        </w:rPr>
        <w:t> </w:t>
      </w:r>
      <w:r>
        <w:rPr/>
        <w:t>to</w:t>
      </w:r>
      <w:r>
        <w:rPr>
          <w:spacing w:val="-5"/>
        </w:rPr>
        <w:t> </w:t>
      </w:r>
      <w:r>
        <w:rPr/>
        <w:t>church</w:t>
      </w:r>
      <w:r>
        <w:rPr>
          <w:spacing w:val="-5"/>
        </w:rPr>
        <w:t> </w:t>
      </w:r>
      <w:r>
        <w:rPr/>
        <w:t>and</w:t>
      </w:r>
      <w:r>
        <w:rPr>
          <w:spacing w:val="-5"/>
        </w:rPr>
        <w:t> </w:t>
      </w:r>
      <w:r>
        <w:rPr/>
        <w:t>may</w:t>
      </w:r>
      <w:r>
        <w:rPr>
          <w:spacing w:val="-5"/>
        </w:rPr>
        <w:t> </w:t>
      </w:r>
      <w:r>
        <w:rPr/>
        <w:t>include setting up transportation.</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775" w:firstLine="0"/>
        <w:jc w:val="left"/>
        <w:rPr>
          <w:sz w:val="22"/>
        </w:rPr>
      </w:pPr>
      <w:r>
        <w:rPr>
          <w:sz w:val="22"/>
        </w:rPr>
        <w:t>Permanent,</w:t>
      </w:r>
      <w:r>
        <w:rPr>
          <w:spacing w:val="-3"/>
          <w:sz w:val="22"/>
        </w:rPr>
        <w:t> </w:t>
      </w:r>
      <w:r>
        <w:rPr>
          <w:sz w:val="22"/>
        </w:rPr>
        <w:t>first</w:t>
      </w:r>
      <w:r>
        <w:rPr>
          <w:spacing w:val="-4"/>
          <w:sz w:val="22"/>
        </w:rPr>
        <w:t> </w:t>
      </w:r>
      <w:r>
        <w:rPr>
          <w:sz w:val="22"/>
        </w:rPr>
        <w:t>adoption</w:t>
      </w:r>
      <w:r>
        <w:rPr>
          <w:spacing w:val="-4"/>
          <w:sz w:val="22"/>
        </w:rPr>
        <w:t> </w:t>
      </w:r>
      <w:r>
        <w:rPr>
          <w:sz w:val="22"/>
        </w:rPr>
        <w:t>under</w:t>
      </w:r>
      <w:r>
        <w:rPr>
          <w:spacing w:val="-4"/>
          <w:sz w:val="22"/>
        </w:rPr>
        <w:t> </w:t>
      </w:r>
      <w:r>
        <w:rPr>
          <w:sz w:val="22"/>
        </w:rPr>
        <w:t>OAC</w:t>
      </w:r>
      <w:r>
        <w:rPr>
          <w:spacing w:val="-5"/>
          <w:sz w:val="22"/>
        </w:rPr>
        <w:t> </w:t>
      </w:r>
      <w:r>
        <w:rPr>
          <w:sz w:val="22"/>
        </w:rPr>
        <w:t>Title</w:t>
      </w:r>
      <w:r>
        <w:rPr>
          <w:spacing w:val="-4"/>
          <w:sz w:val="22"/>
        </w:rPr>
        <w:t> </w:t>
      </w:r>
      <w:r>
        <w:rPr>
          <w:sz w:val="22"/>
        </w:rPr>
        <w:t>612,</w:t>
      </w:r>
      <w:r>
        <w:rPr>
          <w:spacing w:val="-5"/>
          <w:sz w:val="22"/>
        </w:rPr>
        <w:t> </w:t>
      </w:r>
      <w:r>
        <w:rPr>
          <w:sz w:val="22"/>
        </w:rPr>
        <w:t>changed</w:t>
      </w:r>
      <w:r>
        <w:rPr>
          <w:spacing w:val="-4"/>
          <w:sz w:val="22"/>
        </w:rPr>
        <w:t> </w:t>
      </w:r>
      <w:r>
        <w:rPr>
          <w:sz w:val="22"/>
        </w:rPr>
        <w:t>'funds</w:t>
      </w:r>
      <w:r>
        <w:rPr>
          <w:spacing w:val="-4"/>
          <w:sz w:val="22"/>
        </w:rPr>
        <w:t> </w:t>
      </w:r>
      <w:r>
        <w:rPr>
          <w:sz w:val="22"/>
        </w:rPr>
        <w:t>aren't</w:t>
      </w:r>
      <w:r>
        <w:rPr>
          <w:spacing w:val="-4"/>
          <w:sz w:val="22"/>
        </w:rPr>
        <w:t> </w:t>
      </w:r>
      <w:r>
        <w:rPr>
          <w:sz w:val="22"/>
        </w:rPr>
        <w:t>available'</w:t>
      </w:r>
      <w:r>
        <w:rPr>
          <w:spacing w:val="-4"/>
          <w:sz w:val="22"/>
        </w:rPr>
        <w:t> </w:t>
      </w:r>
      <w:r>
        <w:rPr>
          <w:sz w:val="22"/>
        </w:rPr>
        <w:t>to 'funds aren't used to pay for'</w:t>
      </w:r>
    </w:p>
    <w:p>
      <w:pPr>
        <w:pStyle w:val="ListParagraph"/>
        <w:numPr>
          <w:ilvl w:val="2"/>
          <w:numId w:val="260"/>
        </w:numPr>
        <w:tabs>
          <w:tab w:pos="1439" w:val="left" w:leader="none"/>
        </w:tabs>
        <w:spacing w:line="240" w:lineRule="auto" w:before="1" w:after="0"/>
        <w:ind w:left="1439" w:right="0" w:hanging="1080"/>
        <w:jc w:val="left"/>
        <w:rPr>
          <w:sz w:val="22"/>
        </w:rPr>
      </w:pPr>
      <w:r>
        <w:rPr>
          <w:sz w:val="22"/>
        </w:rPr>
        <w:t>PT</w:t>
      </w:r>
      <w:r>
        <w:rPr>
          <w:spacing w:val="-8"/>
          <w:sz w:val="22"/>
        </w:rPr>
        <w:t> </w:t>
      </w:r>
      <w:r>
        <w:rPr>
          <w:sz w:val="22"/>
        </w:rPr>
        <w:t>Memo</w:t>
      </w:r>
      <w:r>
        <w:rPr>
          <w:spacing w:val="-8"/>
          <w:sz w:val="22"/>
        </w:rPr>
        <w:t> </w:t>
      </w:r>
      <w:r>
        <w:rPr>
          <w:sz w:val="22"/>
        </w:rPr>
        <w:t>#06-</w:t>
      </w:r>
      <w:r>
        <w:rPr>
          <w:spacing w:val="-5"/>
          <w:sz w:val="22"/>
        </w:rPr>
        <w:t>01</w:t>
      </w:r>
    </w:p>
    <w:p>
      <w:pPr>
        <w:tabs>
          <w:tab w:pos="1439" w:val="left" w:leader="none"/>
        </w:tabs>
        <w:spacing w:before="0"/>
        <w:ind w:left="359" w:right="2810" w:firstLine="1080"/>
        <w:jc w:val="left"/>
        <w:rPr>
          <w:sz w:val="22"/>
        </w:rPr>
      </w:pPr>
      <w:r>
        <w:rPr>
          <w:sz w:val="22"/>
        </w:rPr>
        <w:t>Permanent,</w:t>
      </w:r>
      <w:r>
        <w:rPr>
          <w:spacing w:val="-5"/>
          <w:sz w:val="22"/>
        </w:rPr>
        <w:t> </w:t>
      </w:r>
      <w:r>
        <w:rPr>
          <w:sz w:val="22"/>
        </w:rPr>
        <w:t>Independent</w:t>
      </w:r>
      <w:r>
        <w:rPr>
          <w:spacing w:val="-7"/>
          <w:sz w:val="22"/>
        </w:rPr>
        <w:t> </w:t>
      </w:r>
      <w:r>
        <w:rPr>
          <w:sz w:val="22"/>
        </w:rPr>
        <w:t>Living</w:t>
      </w:r>
      <w:r>
        <w:rPr>
          <w:spacing w:val="-6"/>
          <w:sz w:val="22"/>
        </w:rPr>
        <w:t> </w:t>
      </w:r>
      <w:r>
        <w:rPr>
          <w:sz w:val="22"/>
        </w:rPr>
        <w:t>policy</w:t>
      </w:r>
      <w:r>
        <w:rPr>
          <w:spacing w:val="-6"/>
          <w:sz w:val="22"/>
        </w:rPr>
        <w:t> </w:t>
      </w:r>
      <w:r>
        <w:rPr>
          <w:sz w:val="22"/>
        </w:rPr>
        <w:t>replaced</w:t>
      </w:r>
      <w:r>
        <w:rPr>
          <w:spacing w:val="-7"/>
          <w:sz w:val="22"/>
        </w:rPr>
        <w:t> </w:t>
      </w:r>
      <w:r>
        <w:rPr>
          <w:sz w:val="22"/>
        </w:rPr>
        <w:t>with</w:t>
      </w:r>
      <w:r>
        <w:rPr>
          <w:spacing w:val="-6"/>
          <w:sz w:val="22"/>
        </w:rPr>
        <w:t> </w:t>
      </w:r>
      <w:r>
        <w:rPr>
          <w:sz w:val="22"/>
        </w:rPr>
        <w:t>Older</w:t>
      </w:r>
      <w:r>
        <w:rPr>
          <w:spacing w:val="-6"/>
          <w:sz w:val="22"/>
        </w:rPr>
        <w:t> </w:t>
      </w:r>
      <w:r>
        <w:rPr>
          <w:sz w:val="22"/>
        </w:rPr>
        <w:t>Blind </w:t>
      </w:r>
      <w:r>
        <w:rPr>
          <w:spacing w:val="-2"/>
          <w:sz w:val="22"/>
        </w:rPr>
        <w:t>11-3-15</w:t>
      </w:r>
      <w:r>
        <w:rPr>
          <w:sz w:val="22"/>
        </w:rPr>
        <w:tab/>
        <w:t>Revised the Instructions to Staff</w:t>
      </w:r>
    </w:p>
    <w:p>
      <w:pPr>
        <w:spacing w:after="0"/>
        <w:jc w:val="left"/>
        <w:rPr>
          <w:sz w:val="22"/>
        </w:rPr>
        <w:sectPr>
          <w:pgSz w:w="12240" w:h="15840"/>
          <w:pgMar w:top="1340" w:bottom="280" w:left="1080" w:right="720"/>
        </w:sectPr>
      </w:pPr>
    </w:p>
    <w:p>
      <w:pPr>
        <w:pStyle w:val="Heading2"/>
      </w:pPr>
      <w:bookmarkStart w:name="612:10-11-47.  Low Vision Training" w:id="275"/>
      <w:bookmarkEnd w:id="275"/>
      <w:r>
        <w:rPr>
          <w:b w:val="0"/>
        </w:rPr>
      </w:r>
      <w:r>
        <w:rPr/>
        <w:t>612:10-11-47.</w:t>
      </w:r>
      <w:r>
        <w:rPr>
          <w:spacing w:val="59"/>
        </w:rPr>
        <w:t> </w:t>
      </w:r>
      <w:r>
        <w:rPr/>
        <w:t>Low</w:t>
      </w:r>
      <w:r>
        <w:rPr>
          <w:spacing w:val="-3"/>
        </w:rPr>
        <w:t> </w:t>
      </w:r>
      <w:r>
        <w:rPr/>
        <w:t>Vision</w:t>
      </w:r>
      <w:r>
        <w:rPr>
          <w:spacing w:val="-4"/>
        </w:rPr>
        <w:t> </w:t>
      </w:r>
      <w:r>
        <w:rPr>
          <w:spacing w:val="-2"/>
        </w:rPr>
        <w:t>Training</w:t>
      </w:r>
    </w:p>
    <w:p>
      <w:pPr>
        <w:pStyle w:val="BodyText"/>
        <w:spacing w:line="208" w:lineRule="auto" w:before="233"/>
        <w:ind w:right="775" w:firstLine="432"/>
      </w:pPr>
      <w:r>
        <w:rPr/>
        <w:t>Low</w:t>
      </w:r>
      <w:r>
        <w:rPr>
          <w:spacing w:val="-4"/>
        </w:rPr>
        <w:t> </w:t>
      </w:r>
      <w:r>
        <w:rPr/>
        <w:t>vision</w:t>
      </w:r>
      <w:r>
        <w:rPr>
          <w:spacing w:val="-4"/>
        </w:rPr>
        <w:t> </w:t>
      </w:r>
      <w:r>
        <w:rPr/>
        <w:t>training</w:t>
      </w:r>
      <w:r>
        <w:rPr>
          <w:spacing w:val="-4"/>
        </w:rPr>
        <w:t> </w:t>
      </w:r>
      <w:r>
        <w:rPr/>
        <w:t>includes</w:t>
      </w:r>
      <w:r>
        <w:rPr>
          <w:spacing w:val="-4"/>
        </w:rPr>
        <w:t> </w:t>
      </w:r>
      <w:r>
        <w:rPr/>
        <w:t>training</w:t>
      </w:r>
      <w:r>
        <w:rPr>
          <w:spacing w:val="-4"/>
        </w:rPr>
        <w:t> </w:t>
      </w:r>
      <w:r>
        <w:rPr/>
        <w:t>in</w:t>
      </w:r>
      <w:r>
        <w:rPr>
          <w:spacing w:val="-4"/>
        </w:rPr>
        <w:t> </w:t>
      </w:r>
      <w:r>
        <w:rPr/>
        <w:t>how</w:t>
      </w:r>
      <w:r>
        <w:rPr>
          <w:spacing w:val="-4"/>
        </w:rPr>
        <w:t> </w:t>
      </w:r>
      <w:r>
        <w:rPr/>
        <w:t>to</w:t>
      </w:r>
      <w:r>
        <w:rPr>
          <w:spacing w:val="-4"/>
        </w:rPr>
        <w:t> </w:t>
      </w:r>
      <w:r>
        <w:rPr/>
        <w:t>use</w:t>
      </w:r>
      <w:r>
        <w:rPr>
          <w:spacing w:val="-4"/>
        </w:rPr>
        <w:t> </w:t>
      </w:r>
      <w:r>
        <w:rPr/>
        <w:t>remaining</w:t>
      </w:r>
      <w:r>
        <w:rPr>
          <w:spacing w:val="-4"/>
        </w:rPr>
        <w:t> </w:t>
      </w:r>
      <w:r>
        <w:rPr/>
        <w:t>vision</w:t>
      </w:r>
      <w:r>
        <w:rPr>
          <w:spacing w:val="-3"/>
        </w:rPr>
        <w:t> </w:t>
      </w:r>
      <w:r>
        <w:rPr/>
        <w:t>effectively,</w:t>
      </w:r>
      <w:r>
        <w:rPr>
          <w:spacing w:val="-5"/>
        </w:rPr>
        <w:t> </w:t>
      </w:r>
      <w:r>
        <w:rPr/>
        <w:t>such as the use of optical and non-optical devices, use of lighting, color contrast, reducing glare, learning eccentric viewing (learning how to use residual peripheral vision to read and perform tasks typically done with central vision) and learning scanning techniques to compensate for loss of peripheral vision.</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11-17-94</w:t>
      </w:r>
      <w:r>
        <w:rPr>
          <w:spacing w:val="80"/>
          <w:sz w:val="22"/>
        </w:rPr>
        <w:t> </w:t>
      </w:r>
      <w:r>
        <w:rPr>
          <w:sz w:val="22"/>
        </w:rPr>
        <w:t>PT Memo #94-5</w:t>
      </w:r>
    </w:p>
    <w:p>
      <w:pPr>
        <w:spacing w:before="1"/>
        <w:ind w:left="1439" w:right="775" w:firstLine="0"/>
        <w:jc w:val="left"/>
        <w:rPr>
          <w:sz w:val="22"/>
        </w:rPr>
      </w:pPr>
      <w:r>
        <w:rPr>
          <w:sz w:val="22"/>
        </w:rPr>
        <w:t>Emergency,</w:t>
      </w:r>
      <w:r>
        <w:rPr>
          <w:spacing w:val="-4"/>
          <w:sz w:val="22"/>
        </w:rPr>
        <w:t> </w:t>
      </w:r>
      <w:r>
        <w:rPr>
          <w:sz w:val="22"/>
        </w:rPr>
        <w:t>deleted</w:t>
      </w:r>
      <w:r>
        <w:rPr>
          <w:spacing w:val="-4"/>
          <w:sz w:val="22"/>
        </w:rPr>
        <w:t> </w:t>
      </w:r>
      <w:r>
        <w:rPr>
          <w:sz w:val="22"/>
        </w:rPr>
        <w:t>that</w:t>
      </w:r>
      <w:r>
        <w:rPr>
          <w:spacing w:val="-5"/>
          <w:sz w:val="22"/>
        </w:rPr>
        <w:t> </w:t>
      </w:r>
      <w:r>
        <w:rPr>
          <w:sz w:val="22"/>
        </w:rPr>
        <w:t>client</w:t>
      </w:r>
      <w:r>
        <w:rPr>
          <w:spacing w:val="-4"/>
          <w:sz w:val="22"/>
        </w:rPr>
        <w:t> </w:t>
      </w:r>
      <w:r>
        <w:rPr>
          <w:sz w:val="22"/>
        </w:rPr>
        <w:t>participation</w:t>
      </w:r>
      <w:r>
        <w:rPr>
          <w:spacing w:val="-4"/>
          <w:sz w:val="22"/>
        </w:rPr>
        <w:t> </w:t>
      </w:r>
      <w:r>
        <w:rPr>
          <w:sz w:val="22"/>
        </w:rPr>
        <w:t>in</w:t>
      </w:r>
      <w:r>
        <w:rPr>
          <w:spacing w:val="-4"/>
          <w:sz w:val="22"/>
        </w:rPr>
        <w:t> </w:t>
      </w:r>
      <w:r>
        <w:rPr>
          <w:sz w:val="22"/>
        </w:rPr>
        <w:t>service</w:t>
      </w:r>
      <w:r>
        <w:rPr>
          <w:spacing w:val="-4"/>
          <w:sz w:val="22"/>
        </w:rPr>
        <w:t> </w:t>
      </w:r>
      <w:r>
        <w:rPr>
          <w:sz w:val="22"/>
        </w:rPr>
        <w:t>costs</w:t>
      </w:r>
      <w:r>
        <w:rPr>
          <w:spacing w:val="-4"/>
          <w:sz w:val="22"/>
        </w:rPr>
        <w:t> </w:t>
      </w:r>
      <w:r>
        <w:rPr>
          <w:sz w:val="22"/>
        </w:rPr>
        <w:t>was</w:t>
      </w:r>
      <w:r>
        <w:rPr>
          <w:spacing w:val="-4"/>
          <w:sz w:val="22"/>
        </w:rPr>
        <w:t> </w:t>
      </w:r>
      <w:r>
        <w:rPr>
          <w:sz w:val="22"/>
        </w:rPr>
        <w:t>required</w:t>
      </w:r>
      <w:r>
        <w:rPr>
          <w:spacing w:val="-4"/>
          <w:sz w:val="22"/>
        </w:rPr>
        <w:t> </w:t>
      </w:r>
      <w:r>
        <w:rPr>
          <w:sz w:val="22"/>
        </w:rPr>
        <w:t>for</w:t>
      </w:r>
      <w:r>
        <w:rPr>
          <w:spacing w:val="-4"/>
          <w:sz w:val="22"/>
        </w:rPr>
        <w:t> </w:t>
      </w:r>
      <w:r>
        <w:rPr>
          <w:sz w:val="22"/>
        </w:rPr>
        <w:t>training </w:t>
      </w:r>
      <w:r>
        <w:rPr>
          <w:spacing w:val="-2"/>
          <w:sz w:val="22"/>
        </w:rPr>
        <w:t>services</w:t>
      </w:r>
    </w:p>
    <w:p>
      <w:pPr>
        <w:tabs>
          <w:tab w:pos="1439" w:val="left" w:leader="none"/>
        </w:tabs>
        <w:spacing w:line="252" w:lineRule="exact" w:before="0"/>
        <w:ind w:left="359" w:right="0" w:firstLine="0"/>
        <w:jc w:val="left"/>
        <w:rPr>
          <w:sz w:val="22"/>
        </w:rPr>
      </w:pPr>
      <w:r>
        <w:rPr>
          <w:spacing w:val="-2"/>
          <w:sz w:val="22"/>
        </w:rPr>
        <w:t>7-1-</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tabs>
          <w:tab w:pos="1439" w:val="left" w:leader="none"/>
        </w:tabs>
        <w:spacing w:before="0"/>
        <w:ind w:left="359" w:right="3337"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11-17-94 </w:t>
      </w:r>
      <w:r>
        <w:rPr>
          <w:spacing w:val="-2"/>
          <w:sz w:val="22"/>
        </w:rPr>
        <w:t>7-1-99</w:t>
      </w:r>
      <w:r>
        <w:rPr>
          <w:sz w:val="22"/>
        </w:rPr>
        <w:tab/>
        <w:t>POL Memo #00-1</w:t>
      </w:r>
    </w:p>
    <w:p>
      <w:pPr>
        <w:tabs>
          <w:tab w:pos="1439" w:val="left" w:leader="none"/>
        </w:tabs>
        <w:spacing w:before="1"/>
        <w:ind w:left="359" w:right="5867" w:firstLine="1080"/>
        <w:jc w:val="left"/>
        <w:rPr>
          <w:sz w:val="22"/>
        </w:rPr>
      </w:pPr>
      <w:r>
        <w:rPr>
          <w:sz w:val="22"/>
        </w:rPr>
        <w:t>Permanent,</w:t>
      </w:r>
      <w:r>
        <w:rPr>
          <w:spacing w:val="-9"/>
          <w:sz w:val="22"/>
        </w:rPr>
        <w:t> </w:t>
      </w:r>
      <w:r>
        <w:rPr>
          <w:sz w:val="22"/>
        </w:rPr>
        <w:t>changed</w:t>
      </w:r>
      <w:r>
        <w:rPr>
          <w:spacing w:val="-10"/>
          <w:sz w:val="22"/>
        </w:rPr>
        <w:t> </w:t>
      </w:r>
      <w:r>
        <w:rPr>
          <w:sz w:val="22"/>
        </w:rPr>
        <w:t>IRP</w:t>
      </w:r>
      <w:r>
        <w:rPr>
          <w:spacing w:val="-10"/>
          <w:sz w:val="22"/>
        </w:rPr>
        <w:t> </w:t>
      </w:r>
      <w:r>
        <w:rPr>
          <w:sz w:val="22"/>
        </w:rPr>
        <w:t>to</w:t>
      </w:r>
      <w:r>
        <w:rPr>
          <w:spacing w:val="-10"/>
          <w:sz w:val="22"/>
        </w:rPr>
        <w:t> </w:t>
      </w:r>
      <w:r>
        <w:rPr>
          <w:sz w:val="22"/>
        </w:rPr>
        <w:t>IPE </w:t>
      </w:r>
      <w:r>
        <w:rPr>
          <w:spacing w:val="-2"/>
          <w:sz w:val="22"/>
        </w:rPr>
        <w:t>7-1-05</w:t>
      </w:r>
      <w:r>
        <w:rPr>
          <w:sz w:val="22"/>
        </w:rPr>
        <w:tab/>
        <w:t>PT Memo #06-01</w:t>
      </w:r>
    </w:p>
    <w:p>
      <w:pPr>
        <w:spacing w:line="252" w:lineRule="exact" w:before="0"/>
        <w:ind w:left="1439" w:right="0" w:firstLine="0"/>
        <w:jc w:val="left"/>
        <w:rPr>
          <w:sz w:val="22"/>
        </w:rPr>
      </w:pPr>
      <w:r>
        <w:rPr>
          <w:sz w:val="22"/>
        </w:rPr>
        <w:t>Permanent,</w:t>
      </w:r>
      <w:r>
        <w:rPr>
          <w:spacing w:val="-8"/>
          <w:sz w:val="22"/>
        </w:rPr>
        <w:t> </w:t>
      </w:r>
      <w:r>
        <w:rPr>
          <w:sz w:val="22"/>
        </w:rPr>
        <w:t>Independent</w:t>
      </w:r>
      <w:r>
        <w:rPr>
          <w:spacing w:val="-9"/>
          <w:sz w:val="22"/>
        </w:rPr>
        <w:t> </w:t>
      </w:r>
      <w:r>
        <w:rPr>
          <w:sz w:val="22"/>
        </w:rPr>
        <w:t>Living</w:t>
      </w:r>
      <w:r>
        <w:rPr>
          <w:spacing w:val="-9"/>
          <w:sz w:val="22"/>
        </w:rPr>
        <w:t> </w:t>
      </w:r>
      <w:r>
        <w:rPr>
          <w:sz w:val="22"/>
        </w:rPr>
        <w:t>policy</w:t>
      </w:r>
      <w:r>
        <w:rPr>
          <w:spacing w:val="-8"/>
          <w:sz w:val="22"/>
        </w:rPr>
        <w:t> </w:t>
      </w:r>
      <w:r>
        <w:rPr>
          <w:sz w:val="22"/>
        </w:rPr>
        <w:t>replaced</w:t>
      </w:r>
      <w:r>
        <w:rPr>
          <w:spacing w:val="-9"/>
          <w:sz w:val="22"/>
        </w:rPr>
        <w:t> </w:t>
      </w:r>
      <w:r>
        <w:rPr>
          <w:sz w:val="22"/>
        </w:rPr>
        <w:t>with</w:t>
      </w:r>
      <w:r>
        <w:rPr>
          <w:spacing w:val="-9"/>
          <w:sz w:val="22"/>
        </w:rPr>
        <w:t> </w:t>
      </w:r>
      <w:r>
        <w:rPr>
          <w:sz w:val="22"/>
        </w:rPr>
        <w:t>Older</w:t>
      </w:r>
      <w:r>
        <w:rPr>
          <w:spacing w:val="-8"/>
          <w:sz w:val="22"/>
        </w:rPr>
        <w:t> </w:t>
      </w:r>
      <w:r>
        <w:rPr>
          <w:spacing w:val="-2"/>
          <w:sz w:val="22"/>
        </w:rPr>
        <w:t>Blind</w:t>
      </w:r>
    </w:p>
    <w:p>
      <w:pPr>
        <w:spacing w:after="0" w:line="252" w:lineRule="exact"/>
        <w:jc w:val="left"/>
        <w:rPr>
          <w:sz w:val="22"/>
        </w:rPr>
        <w:sectPr>
          <w:pgSz w:w="12240" w:h="15840"/>
          <w:pgMar w:top="1340" w:bottom="280" w:left="1080" w:right="720"/>
        </w:sectPr>
      </w:pPr>
    </w:p>
    <w:p>
      <w:pPr>
        <w:pStyle w:val="Heading2"/>
      </w:pPr>
      <w:bookmarkStart w:name="612:10-11-49.  Referral services" w:id="276"/>
      <w:bookmarkEnd w:id="276"/>
      <w:r>
        <w:rPr>
          <w:b w:val="0"/>
        </w:rPr>
      </w:r>
      <w:r>
        <w:rPr/>
        <w:t>612:10-11-49.</w:t>
      </w:r>
      <w:r>
        <w:rPr>
          <w:spacing w:val="57"/>
        </w:rPr>
        <w:t> </w:t>
      </w:r>
      <w:r>
        <w:rPr/>
        <w:t>Referral</w:t>
      </w:r>
      <w:r>
        <w:rPr>
          <w:spacing w:val="-3"/>
        </w:rPr>
        <w:t> </w:t>
      </w:r>
      <w:r>
        <w:rPr>
          <w:spacing w:val="-2"/>
        </w:rPr>
        <w:t>services</w:t>
      </w:r>
    </w:p>
    <w:p>
      <w:pPr>
        <w:pStyle w:val="BodyText"/>
        <w:spacing w:line="208" w:lineRule="auto" w:before="233"/>
        <w:ind w:right="775" w:firstLine="432"/>
      </w:pPr>
      <w:r>
        <w:rPr/>
        <w:t>The</w:t>
      </w:r>
      <w:r>
        <w:rPr>
          <w:spacing w:val="-4"/>
        </w:rPr>
        <w:t> </w:t>
      </w:r>
      <w:r>
        <w:rPr/>
        <w:t>Department</w:t>
      </w:r>
      <w:r>
        <w:rPr>
          <w:spacing w:val="-3"/>
        </w:rPr>
        <w:t> </w:t>
      </w:r>
      <w:r>
        <w:rPr/>
        <w:t>will</w:t>
      </w:r>
      <w:r>
        <w:rPr>
          <w:spacing w:val="-4"/>
        </w:rPr>
        <w:t> </w:t>
      </w:r>
      <w:r>
        <w:rPr/>
        <w:t>refer</w:t>
      </w:r>
      <w:r>
        <w:rPr>
          <w:spacing w:val="-3"/>
        </w:rPr>
        <w:t> </w:t>
      </w:r>
      <w:r>
        <w:rPr/>
        <w:t>individuals</w:t>
      </w:r>
      <w:r>
        <w:rPr>
          <w:spacing w:val="-4"/>
        </w:rPr>
        <w:t> </w:t>
      </w:r>
      <w:r>
        <w:rPr/>
        <w:t>as</w:t>
      </w:r>
      <w:r>
        <w:rPr>
          <w:spacing w:val="-4"/>
        </w:rPr>
        <w:t> </w:t>
      </w:r>
      <w:r>
        <w:rPr/>
        <w:t>appropriate</w:t>
      </w:r>
      <w:r>
        <w:rPr>
          <w:spacing w:val="-4"/>
        </w:rPr>
        <w:t> </w:t>
      </w:r>
      <w:r>
        <w:rPr/>
        <w:t>to</w:t>
      </w:r>
      <w:r>
        <w:rPr>
          <w:spacing w:val="-4"/>
        </w:rPr>
        <w:t> </w:t>
      </w:r>
      <w:r>
        <w:rPr/>
        <w:t>other</w:t>
      </w:r>
      <w:r>
        <w:rPr>
          <w:spacing w:val="-3"/>
        </w:rPr>
        <w:t> </w:t>
      </w:r>
      <w:r>
        <w:rPr/>
        <w:t>sources</w:t>
      </w:r>
      <w:r>
        <w:rPr>
          <w:spacing w:val="-4"/>
        </w:rPr>
        <w:t> </w:t>
      </w:r>
      <w:r>
        <w:rPr/>
        <w:t>for</w:t>
      </w:r>
      <w:r>
        <w:rPr>
          <w:spacing w:val="-3"/>
        </w:rPr>
        <w:t> </w:t>
      </w:r>
      <w:r>
        <w:rPr/>
        <w:t>assistance when the required service is beyond the scope of the OB services or the service can best be provided by another agency. Referrals will be made in a timely manner and followed to determine the results of the referral. Such referrals can assist in connecting the consumer with other agencies/organizations within the vision field and outside the field such as agencies serving the elderly, the health system, and home health care.</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7-1-05</w:t>
      </w:r>
      <w:r>
        <w:rPr>
          <w:sz w:val="22"/>
        </w:rPr>
        <w:tab/>
        <w:t>PT Memo #06-01</w:t>
      </w:r>
    </w:p>
    <w:p>
      <w:pPr>
        <w:tabs>
          <w:tab w:pos="1439" w:val="left" w:leader="none"/>
        </w:tabs>
        <w:spacing w:before="1"/>
        <w:ind w:left="359" w:right="2810" w:firstLine="1080"/>
        <w:jc w:val="left"/>
        <w:rPr>
          <w:sz w:val="22"/>
        </w:rPr>
      </w:pPr>
      <w:r>
        <w:rPr>
          <w:sz w:val="22"/>
        </w:rPr>
        <w:t>Permanent,</w:t>
      </w:r>
      <w:r>
        <w:rPr>
          <w:spacing w:val="-5"/>
          <w:sz w:val="22"/>
        </w:rPr>
        <w:t> </w:t>
      </w:r>
      <w:r>
        <w:rPr>
          <w:sz w:val="22"/>
        </w:rPr>
        <w:t>Independent</w:t>
      </w:r>
      <w:r>
        <w:rPr>
          <w:spacing w:val="-7"/>
          <w:sz w:val="22"/>
        </w:rPr>
        <w:t> </w:t>
      </w:r>
      <w:r>
        <w:rPr>
          <w:sz w:val="22"/>
        </w:rPr>
        <w:t>Living</w:t>
      </w:r>
      <w:r>
        <w:rPr>
          <w:spacing w:val="-6"/>
          <w:sz w:val="22"/>
        </w:rPr>
        <w:t> </w:t>
      </w:r>
      <w:r>
        <w:rPr>
          <w:sz w:val="22"/>
        </w:rPr>
        <w:t>policy</w:t>
      </w:r>
      <w:r>
        <w:rPr>
          <w:spacing w:val="-6"/>
          <w:sz w:val="22"/>
        </w:rPr>
        <w:t> </w:t>
      </w:r>
      <w:r>
        <w:rPr>
          <w:sz w:val="22"/>
        </w:rPr>
        <w:t>replaced</w:t>
      </w:r>
      <w:r>
        <w:rPr>
          <w:spacing w:val="-7"/>
          <w:sz w:val="22"/>
        </w:rPr>
        <w:t> </w:t>
      </w:r>
      <w:r>
        <w:rPr>
          <w:sz w:val="22"/>
        </w:rPr>
        <w:t>with</w:t>
      </w:r>
      <w:r>
        <w:rPr>
          <w:spacing w:val="-6"/>
          <w:sz w:val="22"/>
        </w:rPr>
        <w:t> </w:t>
      </w:r>
      <w:r>
        <w:rPr>
          <w:sz w:val="22"/>
        </w:rPr>
        <w:t>Older</w:t>
      </w:r>
      <w:r>
        <w:rPr>
          <w:spacing w:val="-6"/>
          <w:sz w:val="22"/>
        </w:rPr>
        <w:t> </w:t>
      </w:r>
      <w:r>
        <w:rPr>
          <w:sz w:val="22"/>
        </w:rPr>
        <w:t>Blind </w:t>
      </w:r>
      <w:r>
        <w:rPr>
          <w:spacing w:val="-2"/>
          <w:sz w:val="22"/>
        </w:rPr>
        <w:t>7-1-07</w:t>
      </w:r>
      <w:r>
        <w:rPr>
          <w:sz w:val="22"/>
        </w:rPr>
        <w:tab/>
        <w:t>PT Memo #08-01</w:t>
      </w:r>
    </w:p>
    <w:p>
      <w:pPr>
        <w:spacing w:line="252" w:lineRule="exact" w:before="0"/>
        <w:ind w:left="1439" w:right="0" w:firstLine="0"/>
        <w:jc w:val="left"/>
        <w:rPr>
          <w:sz w:val="22"/>
        </w:rPr>
      </w:pPr>
      <w:r>
        <w:rPr>
          <w:sz w:val="22"/>
        </w:rPr>
        <w:t>Permanent,</w:t>
      </w:r>
      <w:r>
        <w:rPr>
          <w:spacing w:val="-6"/>
          <w:sz w:val="22"/>
        </w:rPr>
        <w:t> </w:t>
      </w:r>
      <w:r>
        <w:rPr>
          <w:sz w:val="22"/>
        </w:rPr>
        <w:t>changed</w:t>
      </w:r>
      <w:r>
        <w:rPr>
          <w:spacing w:val="-7"/>
          <w:sz w:val="22"/>
        </w:rPr>
        <w:t> </w:t>
      </w:r>
      <w:r>
        <w:rPr>
          <w:sz w:val="22"/>
        </w:rPr>
        <w:t>OL</w:t>
      </w:r>
      <w:r>
        <w:rPr>
          <w:spacing w:val="-7"/>
          <w:sz w:val="22"/>
        </w:rPr>
        <w:t> </w:t>
      </w:r>
      <w:r>
        <w:rPr>
          <w:sz w:val="22"/>
        </w:rPr>
        <w:t>to</w:t>
      </w:r>
      <w:r>
        <w:rPr>
          <w:spacing w:val="-7"/>
          <w:sz w:val="22"/>
        </w:rPr>
        <w:t> </w:t>
      </w:r>
      <w:r>
        <w:rPr>
          <w:spacing w:val="-5"/>
          <w:sz w:val="22"/>
        </w:rPr>
        <w:t>OB</w:t>
      </w:r>
    </w:p>
    <w:p>
      <w:pPr>
        <w:spacing w:after="0" w:line="252" w:lineRule="exact"/>
        <w:jc w:val="left"/>
        <w:rPr>
          <w:sz w:val="22"/>
        </w:rPr>
        <w:sectPr>
          <w:pgSz w:w="12240" w:h="15840"/>
          <w:pgMar w:top="1340" w:bottom="280" w:left="1080" w:right="720"/>
        </w:sectPr>
      </w:pPr>
    </w:p>
    <w:p>
      <w:pPr>
        <w:pStyle w:val="Heading2"/>
      </w:pPr>
      <w:bookmarkStart w:name="612:10-11-53.  Daily Living Skills" w:id="277"/>
      <w:bookmarkEnd w:id="277"/>
      <w:r>
        <w:rPr>
          <w:b w:val="0"/>
        </w:rPr>
      </w:r>
      <w:r>
        <w:rPr/>
        <w:t>612:10-11-53.</w:t>
      </w:r>
      <w:r>
        <w:rPr>
          <w:spacing w:val="59"/>
        </w:rPr>
        <w:t> </w:t>
      </w:r>
      <w:r>
        <w:rPr/>
        <w:t>Daily</w:t>
      </w:r>
      <w:r>
        <w:rPr>
          <w:spacing w:val="-4"/>
        </w:rPr>
        <w:t> </w:t>
      </w:r>
      <w:r>
        <w:rPr/>
        <w:t>Living</w:t>
      </w:r>
      <w:r>
        <w:rPr>
          <w:spacing w:val="-3"/>
        </w:rPr>
        <w:t> </w:t>
      </w:r>
      <w:r>
        <w:rPr>
          <w:spacing w:val="-2"/>
        </w:rPr>
        <w:t>Skills</w:t>
      </w:r>
    </w:p>
    <w:p>
      <w:pPr>
        <w:pStyle w:val="BodyText"/>
        <w:spacing w:line="208" w:lineRule="auto" w:before="233"/>
        <w:ind w:right="775" w:firstLine="432"/>
      </w:pPr>
      <w:r>
        <w:rPr/>
        <w:t>Daily</w:t>
      </w:r>
      <w:r>
        <w:rPr>
          <w:spacing w:val="-4"/>
        </w:rPr>
        <w:t> </w:t>
      </w:r>
      <w:r>
        <w:rPr/>
        <w:t>living</w:t>
      </w:r>
      <w:r>
        <w:rPr>
          <w:spacing w:val="-4"/>
        </w:rPr>
        <w:t> </w:t>
      </w:r>
      <w:r>
        <w:rPr/>
        <w:t>skills</w:t>
      </w:r>
      <w:r>
        <w:rPr>
          <w:spacing w:val="-4"/>
        </w:rPr>
        <w:t> </w:t>
      </w:r>
      <w:r>
        <w:rPr/>
        <w:t>may</w:t>
      </w:r>
      <w:r>
        <w:rPr>
          <w:spacing w:val="-4"/>
        </w:rPr>
        <w:t> </w:t>
      </w:r>
      <w:r>
        <w:rPr/>
        <w:t>include</w:t>
      </w:r>
      <w:r>
        <w:rPr>
          <w:spacing w:val="-4"/>
        </w:rPr>
        <w:t> </w:t>
      </w:r>
      <w:r>
        <w:rPr/>
        <w:t>but</w:t>
      </w:r>
      <w:r>
        <w:rPr>
          <w:spacing w:val="-3"/>
        </w:rPr>
        <w:t> </w:t>
      </w:r>
      <w:r>
        <w:rPr/>
        <w:t>are</w:t>
      </w:r>
      <w:r>
        <w:rPr>
          <w:spacing w:val="-4"/>
        </w:rPr>
        <w:t> </w:t>
      </w:r>
      <w:r>
        <w:rPr/>
        <w:t>not</w:t>
      </w:r>
      <w:r>
        <w:rPr>
          <w:spacing w:val="-3"/>
        </w:rPr>
        <w:t> </w:t>
      </w:r>
      <w:r>
        <w:rPr/>
        <w:t>limited</w:t>
      </w:r>
      <w:r>
        <w:rPr>
          <w:spacing w:val="-4"/>
        </w:rPr>
        <w:t> </w:t>
      </w:r>
      <w:r>
        <w:rPr/>
        <w:t>to:</w:t>
      </w:r>
      <w:r>
        <w:rPr>
          <w:spacing w:val="-4"/>
        </w:rPr>
        <w:t> </w:t>
      </w:r>
      <w:r>
        <w:rPr/>
        <w:t>meal</w:t>
      </w:r>
      <w:r>
        <w:rPr>
          <w:spacing w:val="-4"/>
        </w:rPr>
        <w:t> </w:t>
      </w:r>
      <w:r>
        <w:rPr/>
        <w:t>and/or</w:t>
      </w:r>
      <w:r>
        <w:rPr>
          <w:spacing w:val="-3"/>
        </w:rPr>
        <w:t> </w:t>
      </w:r>
      <w:r>
        <w:rPr/>
        <w:t>food</w:t>
      </w:r>
      <w:r>
        <w:rPr>
          <w:spacing w:val="-4"/>
        </w:rPr>
        <w:t> </w:t>
      </w:r>
      <w:r>
        <w:rPr/>
        <w:t>preparation, personal management (such as personal grooming), money management skills, identifying and matching clothing, clothing care and home management (such as cleaning and keeping the home in order, basic safety in the kitchen and basic home </w:t>
      </w:r>
      <w:r>
        <w:rPr>
          <w:spacing w:val="-2"/>
        </w:rPr>
        <w:t>maintenance).</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05</w:t>
      </w:r>
      <w:r>
        <w:rPr>
          <w:sz w:val="22"/>
        </w:rPr>
        <w:tab/>
        <w:t>PT</w:t>
      </w:r>
      <w:r>
        <w:rPr>
          <w:spacing w:val="-8"/>
          <w:sz w:val="22"/>
        </w:rPr>
        <w:t> </w:t>
      </w:r>
      <w:r>
        <w:rPr>
          <w:sz w:val="22"/>
        </w:rPr>
        <w:t>Memo</w:t>
      </w:r>
      <w:r>
        <w:rPr>
          <w:spacing w:val="-8"/>
          <w:sz w:val="22"/>
        </w:rPr>
        <w:t> </w:t>
      </w:r>
      <w:r>
        <w:rPr>
          <w:sz w:val="22"/>
        </w:rPr>
        <w:t>#06-</w:t>
      </w:r>
      <w:r>
        <w:rPr>
          <w:spacing w:val="-5"/>
          <w:sz w:val="22"/>
        </w:rPr>
        <w:t>01</w:t>
      </w:r>
    </w:p>
    <w:p>
      <w:pPr>
        <w:spacing w:line="253" w:lineRule="exact" w:before="0"/>
        <w:ind w:left="1439" w:right="0" w:firstLine="0"/>
        <w:jc w:val="left"/>
        <w:rPr>
          <w:sz w:val="22"/>
        </w:rPr>
      </w:pPr>
      <w:r>
        <w:rPr>
          <w:sz w:val="22"/>
        </w:rPr>
        <w:t>Permanent,</w:t>
      </w:r>
      <w:r>
        <w:rPr>
          <w:spacing w:val="-7"/>
          <w:sz w:val="22"/>
        </w:rPr>
        <w:t> </w:t>
      </w:r>
      <w:r>
        <w:rPr>
          <w:sz w:val="22"/>
        </w:rPr>
        <w:t>New</w:t>
      </w:r>
      <w:r>
        <w:rPr>
          <w:spacing w:val="-7"/>
          <w:sz w:val="22"/>
        </w:rPr>
        <w:t> </w:t>
      </w:r>
      <w:r>
        <w:rPr>
          <w:sz w:val="22"/>
        </w:rPr>
        <w:t>section</w:t>
      </w:r>
      <w:r>
        <w:rPr>
          <w:spacing w:val="-7"/>
          <w:sz w:val="22"/>
        </w:rPr>
        <w:t> </w:t>
      </w:r>
      <w:r>
        <w:rPr>
          <w:sz w:val="22"/>
        </w:rPr>
        <w:t>for</w:t>
      </w:r>
      <w:r>
        <w:rPr>
          <w:spacing w:val="-7"/>
          <w:sz w:val="22"/>
        </w:rPr>
        <w:t> </w:t>
      </w:r>
      <w:r>
        <w:rPr>
          <w:sz w:val="22"/>
        </w:rPr>
        <w:t>Older</w:t>
      </w:r>
      <w:r>
        <w:rPr>
          <w:spacing w:val="-7"/>
          <w:sz w:val="22"/>
        </w:rPr>
        <w:t> </w:t>
      </w:r>
      <w:r>
        <w:rPr>
          <w:spacing w:val="-4"/>
          <w:sz w:val="22"/>
        </w:rPr>
        <w:t>blind</w:t>
      </w:r>
    </w:p>
    <w:p>
      <w:pPr>
        <w:spacing w:after="0" w:line="253" w:lineRule="exact"/>
        <w:jc w:val="left"/>
        <w:rPr>
          <w:sz w:val="22"/>
        </w:rPr>
        <w:sectPr>
          <w:pgSz w:w="12240" w:h="15840"/>
          <w:pgMar w:top="1340" w:bottom="280" w:left="1080" w:right="720"/>
        </w:sectPr>
      </w:pPr>
    </w:p>
    <w:p>
      <w:pPr>
        <w:pStyle w:val="Heading2"/>
      </w:pPr>
      <w:bookmarkStart w:name="612:10-11-54.  Management of Secondary D" w:id="278"/>
      <w:bookmarkEnd w:id="278"/>
      <w:r>
        <w:rPr>
          <w:b w:val="0"/>
        </w:rPr>
      </w:r>
      <w:r>
        <w:rPr/>
        <w:t>612:10-11-54.</w:t>
      </w:r>
      <w:r>
        <w:rPr>
          <w:spacing w:val="55"/>
        </w:rPr>
        <w:t> </w:t>
      </w:r>
      <w:r>
        <w:rPr/>
        <w:t>Management</w:t>
      </w:r>
      <w:r>
        <w:rPr>
          <w:spacing w:val="-4"/>
        </w:rPr>
        <w:t> </w:t>
      </w:r>
      <w:r>
        <w:rPr/>
        <w:t>of</w:t>
      </w:r>
      <w:r>
        <w:rPr>
          <w:spacing w:val="-4"/>
        </w:rPr>
        <w:t> </w:t>
      </w:r>
      <w:r>
        <w:rPr/>
        <w:t>Secondary</w:t>
      </w:r>
      <w:r>
        <w:rPr>
          <w:spacing w:val="-4"/>
        </w:rPr>
        <w:t> </w:t>
      </w:r>
      <w:r>
        <w:rPr>
          <w:spacing w:val="-2"/>
        </w:rPr>
        <w:t>Disabilities</w:t>
      </w:r>
    </w:p>
    <w:p>
      <w:pPr>
        <w:pStyle w:val="BodyText"/>
        <w:spacing w:line="208" w:lineRule="auto" w:before="233"/>
        <w:ind w:right="775" w:firstLine="432"/>
      </w:pPr>
      <w:r>
        <w:rPr/>
        <w:t>Staff will provide instructions, when appropriate, to assist consumer's in the management</w:t>
      </w:r>
      <w:r>
        <w:rPr>
          <w:spacing w:val="-5"/>
        </w:rPr>
        <w:t> </w:t>
      </w:r>
      <w:r>
        <w:rPr/>
        <w:t>of</w:t>
      </w:r>
      <w:r>
        <w:rPr>
          <w:spacing w:val="-2"/>
        </w:rPr>
        <w:t> </w:t>
      </w:r>
      <w:r>
        <w:rPr/>
        <w:t>secondary</w:t>
      </w:r>
      <w:r>
        <w:rPr>
          <w:spacing w:val="-4"/>
        </w:rPr>
        <w:t> </w:t>
      </w:r>
      <w:r>
        <w:rPr/>
        <w:t>disabilities.</w:t>
      </w:r>
      <w:r>
        <w:rPr>
          <w:spacing w:val="-2"/>
        </w:rPr>
        <w:t> </w:t>
      </w:r>
      <w:r>
        <w:rPr/>
        <w:t>Such</w:t>
      </w:r>
      <w:r>
        <w:rPr>
          <w:spacing w:val="-3"/>
        </w:rPr>
        <w:t> </w:t>
      </w:r>
      <w:r>
        <w:rPr/>
        <w:t>services</w:t>
      </w:r>
      <w:r>
        <w:rPr>
          <w:spacing w:val="-4"/>
        </w:rPr>
        <w:t> </w:t>
      </w:r>
      <w:r>
        <w:rPr/>
        <w:t>can</w:t>
      </w:r>
      <w:r>
        <w:rPr>
          <w:spacing w:val="-3"/>
        </w:rPr>
        <w:t> </w:t>
      </w:r>
      <w:r>
        <w:rPr/>
        <w:t>include</w:t>
      </w:r>
      <w:r>
        <w:rPr>
          <w:spacing w:val="-3"/>
        </w:rPr>
        <w:t> </w:t>
      </w:r>
      <w:r>
        <w:rPr/>
        <w:t>but</w:t>
      </w:r>
      <w:r>
        <w:rPr>
          <w:spacing w:val="-3"/>
        </w:rPr>
        <w:t> </w:t>
      </w:r>
      <w:r>
        <w:rPr/>
        <w:t>are</w:t>
      </w:r>
      <w:r>
        <w:rPr>
          <w:spacing w:val="-3"/>
        </w:rPr>
        <w:t> </w:t>
      </w:r>
      <w:r>
        <w:rPr/>
        <w:t>not</w:t>
      </w:r>
      <w:r>
        <w:rPr>
          <w:spacing w:val="-2"/>
        </w:rPr>
        <w:t> </w:t>
      </w:r>
      <w:r>
        <w:rPr/>
        <w:t>limited</w:t>
      </w:r>
      <w:r>
        <w:rPr>
          <w:spacing w:val="-3"/>
        </w:rPr>
        <w:t> </w:t>
      </w:r>
      <w:r>
        <w:rPr>
          <w:spacing w:val="-5"/>
        </w:rPr>
        <w:t>to:</w:t>
      </w:r>
    </w:p>
    <w:p>
      <w:pPr>
        <w:pStyle w:val="ListParagraph"/>
        <w:numPr>
          <w:ilvl w:val="0"/>
          <w:numId w:val="288"/>
        </w:numPr>
        <w:tabs>
          <w:tab w:pos="1218" w:val="left" w:leader="none"/>
        </w:tabs>
        <w:spacing w:line="208" w:lineRule="auto" w:before="240" w:after="0"/>
        <w:ind w:left="792" w:right="786" w:firstLine="0"/>
        <w:jc w:val="left"/>
        <w:rPr>
          <w:sz w:val="24"/>
        </w:rPr>
      </w:pPr>
      <w:r>
        <w:rPr>
          <w:sz w:val="24"/>
        </w:rPr>
        <w:t>instruction</w:t>
      </w:r>
      <w:r>
        <w:rPr>
          <w:spacing w:val="-5"/>
          <w:sz w:val="24"/>
        </w:rPr>
        <w:t> </w:t>
      </w:r>
      <w:r>
        <w:rPr>
          <w:sz w:val="24"/>
        </w:rPr>
        <w:t>on</w:t>
      </w:r>
      <w:r>
        <w:rPr>
          <w:spacing w:val="-5"/>
          <w:sz w:val="24"/>
        </w:rPr>
        <w:t> </w:t>
      </w:r>
      <w:r>
        <w:rPr>
          <w:sz w:val="24"/>
        </w:rPr>
        <w:t>management</w:t>
      </w:r>
      <w:r>
        <w:rPr>
          <w:spacing w:val="-4"/>
          <w:sz w:val="24"/>
        </w:rPr>
        <w:t> </w:t>
      </w:r>
      <w:r>
        <w:rPr>
          <w:sz w:val="24"/>
        </w:rPr>
        <w:t>of</w:t>
      </w:r>
      <w:r>
        <w:rPr>
          <w:spacing w:val="-4"/>
          <w:sz w:val="24"/>
        </w:rPr>
        <w:t> </w:t>
      </w:r>
      <w:r>
        <w:rPr>
          <w:sz w:val="24"/>
        </w:rPr>
        <w:t>diabetes</w:t>
      </w:r>
      <w:r>
        <w:rPr>
          <w:spacing w:val="-5"/>
          <w:sz w:val="24"/>
        </w:rPr>
        <w:t> </w:t>
      </w:r>
      <w:r>
        <w:rPr>
          <w:sz w:val="24"/>
        </w:rPr>
        <w:t>including</w:t>
      </w:r>
      <w:r>
        <w:rPr>
          <w:spacing w:val="-5"/>
          <w:sz w:val="24"/>
        </w:rPr>
        <w:t> </w:t>
      </w:r>
      <w:r>
        <w:rPr>
          <w:sz w:val="24"/>
        </w:rPr>
        <w:t>coping</w:t>
      </w:r>
      <w:r>
        <w:rPr>
          <w:spacing w:val="-5"/>
          <w:sz w:val="24"/>
        </w:rPr>
        <w:t> </w:t>
      </w:r>
      <w:r>
        <w:rPr>
          <w:sz w:val="24"/>
        </w:rPr>
        <w:t>with</w:t>
      </w:r>
      <w:r>
        <w:rPr>
          <w:spacing w:val="-5"/>
          <w:sz w:val="24"/>
        </w:rPr>
        <w:t> </w:t>
      </w:r>
      <w:r>
        <w:rPr>
          <w:sz w:val="24"/>
        </w:rPr>
        <w:t>dietary</w:t>
      </w:r>
      <w:r>
        <w:rPr>
          <w:spacing w:val="-5"/>
          <w:sz w:val="24"/>
        </w:rPr>
        <w:t> </w:t>
      </w:r>
      <w:r>
        <w:rPr>
          <w:sz w:val="24"/>
        </w:rPr>
        <w:t>restrictions and methods for gauging insulin;</w:t>
      </w:r>
    </w:p>
    <w:p>
      <w:pPr>
        <w:pStyle w:val="ListParagraph"/>
        <w:numPr>
          <w:ilvl w:val="0"/>
          <w:numId w:val="288"/>
        </w:numPr>
        <w:tabs>
          <w:tab w:pos="1218" w:val="left" w:leader="none"/>
        </w:tabs>
        <w:spacing w:line="240" w:lineRule="auto" w:before="210" w:after="0"/>
        <w:ind w:left="1218" w:right="0" w:hanging="426"/>
        <w:jc w:val="left"/>
        <w:rPr>
          <w:sz w:val="24"/>
        </w:rPr>
      </w:pPr>
      <w:r>
        <w:rPr>
          <w:sz w:val="24"/>
        </w:rPr>
        <w:t>basic</w:t>
      </w:r>
      <w:r>
        <w:rPr>
          <w:spacing w:val="-4"/>
          <w:sz w:val="24"/>
        </w:rPr>
        <w:t> </w:t>
      </w:r>
      <w:r>
        <w:rPr>
          <w:sz w:val="24"/>
        </w:rPr>
        <w:t>home</w:t>
      </w:r>
      <w:r>
        <w:rPr>
          <w:spacing w:val="-3"/>
          <w:sz w:val="24"/>
        </w:rPr>
        <w:t> </w:t>
      </w:r>
      <w:r>
        <w:rPr>
          <w:sz w:val="24"/>
        </w:rPr>
        <w:t>modifications</w:t>
      </w:r>
      <w:r>
        <w:rPr>
          <w:spacing w:val="-4"/>
          <w:sz w:val="24"/>
        </w:rPr>
        <w:t> </w:t>
      </w:r>
      <w:r>
        <w:rPr>
          <w:sz w:val="24"/>
        </w:rPr>
        <w:t>to</w:t>
      </w:r>
      <w:r>
        <w:rPr>
          <w:spacing w:val="-3"/>
          <w:sz w:val="24"/>
        </w:rPr>
        <w:t> </w:t>
      </w:r>
      <w:r>
        <w:rPr>
          <w:sz w:val="24"/>
        </w:rPr>
        <w:t>insure</w:t>
      </w:r>
      <w:r>
        <w:rPr>
          <w:spacing w:val="-3"/>
          <w:sz w:val="24"/>
        </w:rPr>
        <w:t> </w:t>
      </w:r>
      <w:r>
        <w:rPr>
          <w:spacing w:val="-2"/>
          <w:sz w:val="24"/>
        </w:rPr>
        <w:t>safety;</w:t>
      </w:r>
    </w:p>
    <w:p>
      <w:pPr>
        <w:pStyle w:val="ListParagraph"/>
        <w:numPr>
          <w:ilvl w:val="0"/>
          <w:numId w:val="288"/>
        </w:numPr>
        <w:tabs>
          <w:tab w:pos="1218" w:val="left" w:leader="none"/>
        </w:tabs>
        <w:spacing w:line="240" w:lineRule="auto" w:before="204" w:after="0"/>
        <w:ind w:left="1218" w:right="0" w:hanging="426"/>
        <w:jc w:val="left"/>
        <w:rPr>
          <w:sz w:val="24"/>
        </w:rPr>
      </w:pPr>
      <w:r>
        <w:rPr>
          <w:sz w:val="24"/>
        </w:rPr>
        <w:t>alternative</w:t>
      </w:r>
      <w:r>
        <w:rPr>
          <w:spacing w:val="-5"/>
          <w:sz w:val="24"/>
        </w:rPr>
        <w:t> </w:t>
      </w:r>
      <w:r>
        <w:rPr>
          <w:sz w:val="24"/>
        </w:rPr>
        <w:t>techniques</w:t>
      </w:r>
      <w:r>
        <w:rPr>
          <w:spacing w:val="-5"/>
          <w:sz w:val="24"/>
        </w:rPr>
        <w:t> </w:t>
      </w:r>
      <w:r>
        <w:rPr>
          <w:sz w:val="24"/>
        </w:rPr>
        <w:t>for</w:t>
      </w:r>
      <w:r>
        <w:rPr>
          <w:spacing w:val="-4"/>
          <w:sz w:val="24"/>
        </w:rPr>
        <w:t> </w:t>
      </w:r>
      <w:r>
        <w:rPr>
          <w:sz w:val="24"/>
        </w:rPr>
        <w:t>identification</w:t>
      </w:r>
      <w:r>
        <w:rPr>
          <w:spacing w:val="-5"/>
          <w:sz w:val="24"/>
        </w:rPr>
        <w:t> </w:t>
      </w:r>
      <w:r>
        <w:rPr>
          <w:sz w:val="24"/>
        </w:rPr>
        <w:t>of</w:t>
      </w:r>
      <w:r>
        <w:rPr>
          <w:spacing w:val="-4"/>
          <w:sz w:val="24"/>
        </w:rPr>
        <w:t> </w:t>
      </w:r>
      <w:r>
        <w:rPr>
          <w:sz w:val="24"/>
        </w:rPr>
        <w:t>medications;</w:t>
      </w:r>
      <w:r>
        <w:rPr>
          <w:spacing w:val="-4"/>
          <w:sz w:val="24"/>
        </w:rPr>
        <w:t> </w:t>
      </w:r>
      <w:r>
        <w:rPr>
          <w:spacing w:val="-5"/>
          <w:sz w:val="24"/>
        </w:rPr>
        <w:t>and</w:t>
      </w:r>
    </w:p>
    <w:p>
      <w:pPr>
        <w:pStyle w:val="ListParagraph"/>
        <w:numPr>
          <w:ilvl w:val="0"/>
          <w:numId w:val="288"/>
        </w:numPr>
        <w:tabs>
          <w:tab w:pos="1218" w:val="left" w:leader="none"/>
        </w:tabs>
        <w:spacing w:line="208" w:lineRule="auto" w:before="234" w:after="0"/>
        <w:ind w:left="792" w:right="1373" w:firstLine="0"/>
        <w:jc w:val="left"/>
        <w:rPr>
          <w:sz w:val="24"/>
        </w:rPr>
      </w:pPr>
      <w:r>
        <w:rPr>
          <w:sz w:val="24"/>
        </w:rPr>
        <w:t>locating</w:t>
      </w:r>
      <w:r>
        <w:rPr>
          <w:spacing w:val="-5"/>
          <w:sz w:val="24"/>
        </w:rPr>
        <w:t> </w:t>
      </w:r>
      <w:r>
        <w:rPr>
          <w:sz w:val="24"/>
        </w:rPr>
        <w:t>appropriate</w:t>
      </w:r>
      <w:r>
        <w:rPr>
          <w:spacing w:val="-5"/>
          <w:sz w:val="24"/>
        </w:rPr>
        <w:t> </w:t>
      </w:r>
      <w:r>
        <w:rPr>
          <w:sz w:val="24"/>
        </w:rPr>
        <w:t>resources</w:t>
      </w:r>
      <w:r>
        <w:rPr>
          <w:spacing w:val="-5"/>
          <w:sz w:val="24"/>
        </w:rPr>
        <w:t> </w:t>
      </w:r>
      <w:r>
        <w:rPr>
          <w:sz w:val="24"/>
        </w:rPr>
        <w:t>to</w:t>
      </w:r>
      <w:r>
        <w:rPr>
          <w:spacing w:val="-5"/>
          <w:sz w:val="24"/>
        </w:rPr>
        <w:t> </w:t>
      </w:r>
      <w:r>
        <w:rPr>
          <w:sz w:val="24"/>
        </w:rPr>
        <w:t>assist</w:t>
      </w:r>
      <w:r>
        <w:rPr>
          <w:spacing w:val="-6"/>
          <w:sz w:val="24"/>
        </w:rPr>
        <w:t> </w:t>
      </w:r>
      <w:r>
        <w:rPr>
          <w:sz w:val="24"/>
        </w:rPr>
        <w:t>consumer</w:t>
      </w:r>
      <w:r>
        <w:rPr>
          <w:spacing w:val="-4"/>
          <w:sz w:val="24"/>
        </w:rPr>
        <w:t> </w:t>
      </w:r>
      <w:r>
        <w:rPr>
          <w:sz w:val="24"/>
        </w:rPr>
        <w:t>in</w:t>
      </w:r>
      <w:r>
        <w:rPr>
          <w:spacing w:val="-5"/>
          <w:sz w:val="24"/>
        </w:rPr>
        <w:t> </w:t>
      </w:r>
      <w:r>
        <w:rPr>
          <w:sz w:val="24"/>
        </w:rPr>
        <w:t>managing</w:t>
      </w:r>
      <w:r>
        <w:rPr>
          <w:spacing w:val="-5"/>
          <w:sz w:val="24"/>
        </w:rPr>
        <w:t> </w:t>
      </w:r>
      <w:r>
        <w:rPr>
          <w:sz w:val="24"/>
        </w:rPr>
        <w:t>secondary </w:t>
      </w:r>
      <w:r>
        <w:rPr>
          <w:spacing w:val="-2"/>
          <w:sz w:val="24"/>
        </w:rPr>
        <w:t>disabilities.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05</w:t>
      </w:r>
      <w:r>
        <w:rPr>
          <w:sz w:val="22"/>
        </w:rPr>
        <w:tab/>
        <w:t>PT</w:t>
      </w:r>
      <w:r>
        <w:rPr>
          <w:spacing w:val="-8"/>
          <w:sz w:val="22"/>
        </w:rPr>
        <w:t> </w:t>
      </w:r>
      <w:r>
        <w:rPr>
          <w:sz w:val="22"/>
        </w:rPr>
        <w:t>Memo</w:t>
      </w:r>
      <w:r>
        <w:rPr>
          <w:spacing w:val="-8"/>
          <w:sz w:val="22"/>
        </w:rPr>
        <w:t> </w:t>
      </w:r>
      <w:r>
        <w:rPr>
          <w:sz w:val="22"/>
        </w:rPr>
        <w:t>#06-</w:t>
      </w:r>
      <w:r>
        <w:rPr>
          <w:spacing w:val="-5"/>
          <w:sz w:val="22"/>
        </w:rPr>
        <w:t>01</w:t>
      </w:r>
    </w:p>
    <w:p>
      <w:pPr>
        <w:spacing w:line="253" w:lineRule="exact" w:before="0"/>
        <w:ind w:left="1439" w:right="0" w:firstLine="0"/>
        <w:jc w:val="left"/>
        <w:rPr>
          <w:sz w:val="22"/>
        </w:rPr>
      </w:pPr>
      <w:r>
        <w:rPr>
          <w:sz w:val="22"/>
        </w:rPr>
        <w:t>Permanent,</w:t>
      </w:r>
      <w:r>
        <w:rPr>
          <w:spacing w:val="-7"/>
          <w:sz w:val="22"/>
        </w:rPr>
        <w:t> </w:t>
      </w:r>
      <w:r>
        <w:rPr>
          <w:sz w:val="22"/>
        </w:rPr>
        <w:t>New</w:t>
      </w:r>
      <w:r>
        <w:rPr>
          <w:spacing w:val="-8"/>
          <w:sz w:val="22"/>
        </w:rPr>
        <w:t> </w:t>
      </w:r>
      <w:r>
        <w:rPr>
          <w:sz w:val="22"/>
        </w:rPr>
        <w:t>Section</w:t>
      </w:r>
      <w:r>
        <w:rPr>
          <w:spacing w:val="-7"/>
          <w:sz w:val="22"/>
        </w:rPr>
        <w:t> </w:t>
      </w:r>
      <w:r>
        <w:rPr>
          <w:sz w:val="22"/>
        </w:rPr>
        <w:t>for</w:t>
      </w:r>
      <w:r>
        <w:rPr>
          <w:spacing w:val="-7"/>
          <w:sz w:val="22"/>
        </w:rPr>
        <w:t> </w:t>
      </w:r>
      <w:r>
        <w:rPr>
          <w:sz w:val="22"/>
        </w:rPr>
        <w:t>Older</w:t>
      </w:r>
      <w:r>
        <w:rPr>
          <w:spacing w:val="-8"/>
          <w:sz w:val="22"/>
        </w:rPr>
        <w:t> </w:t>
      </w:r>
      <w:r>
        <w:rPr>
          <w:spacing w:val="-2"/>
          <w:sz w:val="22"/>
        </w:rPr>
        <w:t>blind</w:t>
      </w:r>
    </w:p>
    <w:p>
      <w:pPr>
        <w:spacing w:after="0" w:line="253" w:lineRule="exact"/>
        <w:jc w:val="left"/>
        <w:rPr>
          <w:sz w:val="22"/>
        </w:rPr>
        <w:sectPr>
          <w:pgSz w:w="12240" w:h="15840"/>
          <w:pgMar w:top="1340" w:bottom="280" w:left="1080" w:right="720"/>
        </w:sectPr>
      </w:pPr>
    </w:p>
    <w:p>
      <w:pPr>
        <w:pStyle w:val="Heading2"/>
      </w:pPr>
      <w:bookmarkStart w:name="612:10-11-55.  Referral for VR Services" w:id="279"/>
      <w:bookmarkEnd w:id="279"/>
      <w:r>
        <w:rPr>
          <w:b w:val="0"/>
        </w:rPr>
      </w:r>
      <w:r>
        <w:rPr/>
        <w:t>612:10-11-55.</w:t>
      </w:r>
      <w:r>
        <w:rPr>
          <w:spacing w:val="60"/>
        </w:rPr>
        <w:t> </w:t>
      </w:r>
      <w:r>
        <w:rPr/>
        <w:t>Referral</w:t>
      </w:r>
      <w:r>
        <w:rPr>
          <w:spacing w:val="-2"/>
        </w:rPr>
        <w:t> </w:t>
      </w:r>
      <w:r>
        <w:rPr/>
        <w:t>for</w:t>
      </w:r>
      <w:r>
        <w:rPr>
          <w:spacing w:val="-3"/>
        </w:rPr>
        <w:t> </w:t>
      </w:r>
      <w:r>
        <w:rPr/>
        <w:t>VR</w:t>
      </w:r>
      <w:r>
        <w:rPr>
          <w:spacing w:val="-3"/>
        </w:rPr>
        <w:t> </w:t>
      </w:r>
      <w:r>
        <w:rPr>
          <w:spacing w:val="-2"/>
        </w:rPr>
        <w:t>Services</w:t>
      </w:r>
    </w:p>
    <w:p>
      <w:pPr>
        <w:pStyle w:val="BodyText"/>
        <w:spacing w:line="208" w:lineRule="auto" w:before="233"/>
        <w:ind w:right="775" w:firstLine="432"/>
        <w:rPr>
          <w:b/>
        </w:rPr>
      </w:pPr>
      <w:r>
        <w:rPr/>
        <w:t>Staff</w:t>
      </w:r>
      <w:r>
        <w:rPr>
          <w:spacing w:val="-4"/>
        </w:rPr>
        <w:t> </w:t>
      </w:r>
      <w:r>
        <w:rPr/>
        <w:t>will</w:t>
      </w:r>
      <w:r>
        <w:rPr>
          <w:spacing w:val="-5"/>
        </w:rPr>
        <w:t> </w:t>
      </w:r>
      <w:r>
        <w:rPr/>
        <w:t>refer</w:t>
      </w:r>
      <w:r>
        <w:rPr>
          <w:spacing w:val="-4"/>
        </w:rPr>
        <w:t> </w:t>
      </w:r>
      <w:r>
        <w:rPr/>
        <w:t>consumers,</w:t>
      </w:r>
      <w:r>
        <w:rPr>
          <w:spacing w:val="-4"/>
        </w:rPr>
        <w:t> </w:t>
      </w:r>
      <w:r>
        <w:rPr/>
        <w:t>when</w:t>
      </w:r>
      <w:r>
        <w:rPr>
          <w:spacing w:val="-5"/>
        </w:rPr>
        <w:t> </w:t>
      </w:r>
      <w:r>
        <w:rPr/>
        <w:t>appropriate,</w:t>
      </w:r>
      <w:r>
        <w:rPr>
          <w:spacing w:val="-4"/>
        </w:rPr>
        <w:t> </w:t>
      </w:r>
      <w:r>
        <w:rPr/>
        <w:t>to</w:t>
      </w:r>
      <w:r>
        <w:rPr>
          <w:spacing w:val="-6"/>
        </w:rPr>
        <w:t> </w:t>
      </w:r>
      <w:r>
        <w:rPr/>
        <w:t>the</w:t>
      </w:r>
      <w:r>
        <w:rPr>
          <w:spacing w:val="-5"/>
        </w:rPr>
        <w:t> </w:t>
      </w:r>
      <w:r>
        <w:rPr/>
        <w:t>Rehabilitation</w:t>
      </w:r>
      <w:r>
        <w:rPr>
          <w:spacing w:val="-4"/>
        </w:rPr>
        <w:t> </w:t>
      </w:r>
      <w:r>
        <w:rPr/>
        <w:t>Counselor,</w:t>
      </w:r>
      <w:r>
        <w:rPr>
          <w:spacing w:val="-4"/>
        </w:rPr>
        <w:t> </w:t>
      </w:r>
      <w:r>
        <w:rPr/>
        <w:t>one- stop center or Title V (of the Older Americans Act program) to assist with job training and placement. </w:t>
      </w:r>
      <w:r>
        <w:rPr>
          <w:b/>
        </w:rPr>
        <w:t>1</w:t>
      </w:r>
    </w:p>
    <w:p>
      <w:pPr>
        <w:pStyle w:val="BodyText"/>
        <w:spacing w:before="210"/>
      </w:pPr>
      <w:r>
        <w:rPr/>
        <w:t>INSTRUCTIONS</w:t>
      </w:r>
      <w:r>
        <w:rPr>
          <w:spacing w:val="-3"/>
        </w:rPr>
        <w:t> </w:t>
      </w:r>
      <w:r>
        <w:rPr/>
        <w:t>TO</w:t>
      </w:r>
      <w:r>
        <w:rPr>
          <w:spacing w:val="-2"/>
        </w:rPr>
        <w:t> </w:t>
      </w:r>
      <w:r>
        <w:rPr>
          <w:spacing w:val="-4"/>
        </w:rPr>
        <w:t>STAFF</w:t>
      </w:r>
    </w:p>
    <w:p>
      <w:pPr>
        <w:pStyle w:val="BodyText"/>
        <w:spacing w:line="208" w:lineRule="auto" w:before="234"/>
        <w:ind w:left="791" w:right="775"/>
      </w:pPr>
      <w:r>
        <w:rPr/>
        <w:t>1. When</w:t>
      </w:r>
      <w:r>
        <w:rPr>
          <w:spacing w:val="-4"/>
        </w:rPr>
        <w:t> </w:t>
      </w:r>
      <w:r>
        <w:rPr/>
        <w:t>referring</w:t>
      </w:r>
      <w:r>
        <w:rPr>
          <w:spacing w:val="-4"/>
        </w:rPr>
        <w:t> </w:t>
      </w:r>
      <w:r>
        <w:rPr/>
        <w:t>consumers</w:t>
      </w:r>
      <w:r>
        <w:rPr>
          <w:spacing w:val="-4"/>
        </w:rPr>
        <w:t> </w:t>
      </w:r>
      <w:r>
        <w:rPr/>
        <w:t>for</w:t>
      </w:r>
      <w:r>
        <w:rPr>
          <w:spacing w:val="-3"/>
        </w:rPr>
        <w:t> </w:t>
      </w:r>
      <w:r>
        <w:rPr/>
        <w:t>VR</w:t>
      </w:r>
      <w:r>
        <w:rPr>
          <w:spacing w:val="-4"/>
        </w:rPr>
        <w:t> </w:t>
      </w:r>
      <w:r>
        <w:rPr/>
        <w:t>Services,</w:t>
      </w:r>
      <w:r>
        <w:rPr>
          <w:spacing w:val="-3"/>
        </w:rPr>
        <w:t> </w:t>
      </w:r>
      <w:r>
        <w:rPr/>
        <w:t>referral</w:t>
      </w:r>
      <w:r>
        <w:rPr>
          <w:spacing w:val="-4"/>
        </w:rPr>
        <w:t> </w:t>
      </w:r>
      <w:r>
        <w:rPr/>
        <w:t>form</w:t>
      </w:r>
      <w:r>
        <w:rPr>
          <w:spacing w:val="-3"/>
        </w:rPr>
        <w:t> </w:t>
      </w:r>
      <w:hyperlink r:id="rId83">
        <w:r>
          <w:rPr>
            <w:color w:val="0000FF"/>
            <w:u w:val="single" w:color="0000FF"/>
          </w:rPr>
          <w:t>DRS-C-17</w:t>
        </w:r>
      </w:hyperlink>
      <w:r>
        <w:rPr>
          <w:color w:val="0000FF"/>
          <w:spacing w:val="-4"/>
          <w:u w:val="none"/>
        </w:rPr>
        <w:t> </w:t>
      </w:r>
      <w:r>
        <w:rPr>
          <w:u w:val="none"/>
        </w:rPr>
        <w:t>should</w:t>
      </w:r>
      <w:r>
        <w:rPr>
          <w:spacing w:val="-3"/>
          <w:u w:val="none"/>
        </w:rPr>
        <w:t> </w:t>
      </w:r>
      <w:r>
        <w:rPr>
          <w:u w:val="none"/>
        </w:rPr>
        <w:t>be completed with appropriate documentation attached.</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1"/>
        <w:ind w:left="360" w:right="0" w:firstLine="0"/>
        <w:jc w:val="left"/>
        <w:rPr>
          <w:sz w:val="22"/>
        </w:rPr>
      </w:pPr>
      <w:r>
        <w:rPr>
          <w:spacing w:val="-2"/>
          <w:sz w:val="22"/>
        </w:rPr>
        <w:t>7-1-</w:t>
      </w:r>
      <w:r>
        <w:rPr>
          <w:spacing w:val="-5"/>
          <w:sz w:val="22"/>
        </w:rPr>
        <w:t>05</w:t>
      </w:r>
      <w:r>
        <w:rPr>
          <w:sz w:val="22"/>
        </w:rPr>
        <w:tab/>
        <w:t>PT</w:t>
      </w:r>
      <w:r>
        <w:rPr>
          <w:spacing w:val="-8"/>
          <w:sz w:val="22"/>
        </w:rPr>
        <w:t> </w:t>
      </w:r>
      <w:r>
        <w:rPr>
          <w:sz w:val="22"/>
        </w:rPr>
        <w:t>Memo</w:t>
      </w:r>
      <w:r>
        <w:rPr>
          <w:spacing w:val="-8"/>
          <w:sz w:val="22"/>
        </w:rPr>
        <w:t> </w:t>
      </w:r>
      <w:r>
        <w:rPr>
          <w:sz w:val="22"/>
        </w:rPr>
        <w:t>#06-</w:t>
      </w:r>
      <w:r>
        <w:rPr>
          <w:spacing w:val="-5"/>
          <w:sz w:val="22"/>
        </w:rPr>
        <w:t>01</w:t>
      </w:r>
    </w:p>
    <w:p>
      <w:pPr>
        <w:spacing w:before="252"/>
        <w:ind w:left="1439" w:right="0" w:firstLine="0"/>
        <w:jc w:val="left"/>
        <w:rPr>
          <w:sz w:val="22"/>
        </w:rPr>
      </w:pPr>
      <w:r>
        <w:rPr>
          <w:sz w:val="22"/>
        </w:rPr>
        <w:t>Permanent,</w:t>
      </w:r>
      <w:r>
        <w:rPr>
          <w:spacing w:val="-7"/>
          <w:sz w:val="22"/>
        </w:rPr>
        <w:t> </w:t>
      </w:r>
      <w:r>
        <w:rPr>
          <w:sz w:val="22"/>
        </w:rPr>
        <w:t>New</w:t>
      </w:r>
      <w:r>
        <w:rPr>
          <w:spacing w:val="-7"/>
          <w:sz w:val="22"/>
        </w:rPr>
        <w:t> </w:t>
      </w:r>
      <w:r>
        <w:rPr>
          <w:sz w:val="22"/>
        </w:rPr>
        <w:t>section</w:t>
      </w:r>
      <w:r>
        <w:rPr>
          <w:spacing w:val="-7"/>
          <w:sz w:val="22"/>
        </w:rPr>
        <w:t> </w:t>
      </w:r>
      <w:r>
        <w:rPr>
          <w:sz w:val="22"/>
        </w:rPr>
        <w:t>for</w:t>
      </w:r>
      <w:r>
        <w:rPr>
          <w:spacing w:val="-7"/>
          <w:sz w:val="22"/>
        </w:rPr>
        <w:t> </w:t>
      </w:r>
      <w:r>
        <w:rPr>
          <w:sz w:val="22"/>
        </w:rPr>
        <w:t>Older</w:t>
      </w:r>
      <w:r>
        <w:rPr>
          <w:spacing w:val="-7"/>
          <w:sz w:val="22"/>
        </w:rPr>
        <w:t> </w:t>
      </w:r>
      <w:r>
        <w:rPr>
          <w:spacing w:val="-2"/>
          <w:sz w:val="22"/>
        </w:rPr>
        <w:t>Blind</w:t>
      </w:r>
    </w:p>
    <w:p>
      <w:pPr>
        <w:spacing w:after="0"/>
        <w:jc w:val="left"/>
        <w:rPr>
          <w:sz w:val="22"/>
        </w:rPr>
        <w:sectPr>
          <w:pgSz w:w="12240" w:h="15840"/>
          <w:pgMar w:top="1340" w:bottom="280" w:left="1080" w:right="720"/>
        </w:sectPr>
      </w:pPr>
    </w:p>
    <w:p>
      <w:pPr>
        <w:pStyle w:val="Heading2"/>
      </w:pPr>
      <w:bookmarkStart w:name="612:10-11-56.  Low Vision Evaluation Ser" w:id="280"/>
      <w:bookmarkEnd w:id="280"/>
      <w:r>
        <w:rPr>
          <w:b w:val="0"/>
        </w:rPr>
      </w:r>
      <w:r>
        <w:rPr/>
        <w:t>612:10-11-56.</w:t>
      </w:r>
      <w:r>
        <w:rPr>
          <w:spacing w:val="58"/>
        </w:rPr>
        <w:t> </w:t>
      </w:r>
      <w:r>
        <w:rPr/>
        <w:t>Low</w:t>
      </w:r>
      <w:r>
        <w:rPr>
          <w:spacing w:val="-3"/>
        </w:rPr>
        <w:t> </w:t>
      </w:r>
      <w:r>
        <w:rPr/>
        <w:t>Vision</w:t>
      </w:r>
      <w:r>
        <w:rPr>
          <w:spacing w:val="-4"/>
        </w:rPr>
        <w:t> </w:t>
      </w:r>
      <w:r>
        <w:rPr/>
        <w:t>Evaluation</w:t>
      </w:r>
      <w:r>
        <w:rPr>
          <w:spacing w:val="-4"/>
        </w:rPr>
        <w:t> </w:t>
      </w:r>
      <w:r>
        <w:rPr>
          <w:spacing w:val="-2"/>
        </w:rPr>
        <w:t>Services</w:t>
      </w:r>
    </w:p>
    <w:p>
      <w:pPr>
        <w:pStyle w:val="BodyText"/>
        <w:spacing w:line="208" w:lineRule="auto" w:before="233"/>
        <w:ind w:right="775" w:firstLine="432"/>
        <w:rPr>
          <w:b/>
        </w:rPr>
      </w:pPr>
      <w:r>
        <w:rPr/>
        <w:t>When appropriate, a low vision evaluation to ascertain consumer's need for low vision</w:t>
      </w:r>
      <w:r>
        <w:rPr>
          <w:spacing w:val="-4"/>
        </w:rPr>
        <w:t> </w:t>
      </w:r>
      <w:r>
        <w:rPr/>
        <w:t>optical</w:t>
      </w:r>
      <w:r>
        <w:rPr>
          <w:spacing w:val="-4"/>
        </w:rPr>
        <w:t> </w:t>
      </w:r>
      <w:r>
        <w:rPr/>
        <w:t>devices</w:t>
      </w:r>
      <w:r>
        <w:rPr>
          <w:spacing w:val="-3"/>
        </w:rPr>
        <w:t> </w:t>
      </w:r>
      <w:r>
        <w:rPr/>
        <w:t>which</w:t>
      </w:r>
      <w:r>
        <w:rPr>
          <w:spacing w:val="-4"/>
        </w:rPr>
        <w:t> </w:t>
      </w:r>
      <w:r>
        <w:rPr/>
        <w:t>will</w:t>
      </w:r>
      <w:r>
        <w:rPr>
          <w:spacing w:val="-4"/>
        </w:rPr>
        <w:t> </w:t>
      </w:r>
      <w:r>
        <w:rPr/>
        <w:t>maximize</w:t>
      </w:r>
      <w:r>
        <w:rPr>
          <w:spacing w:val="-4"/>
        </w:rPr>
        <w:t> </w:t>
      </w:r>
      <w:r>
        <w:rPr/>
        <w:t>consumer's</w:t>
      </w:r>
      <w:r>
        <w:rPr>
          <w:spacing w:val="-4"/>
        </w:rPr>
        <w:t> </w:t>
      </w:r>
      <w:r>
        <w:rPr/>
        <w:t>residual</w:t>
      </w:r>
      <w:r>
        <w:rPr>
          <w:spacing w:val="-4"/>
        </w:rPr>
        <w:t> </w:t>
      </w:r>
      <w:r>
        <w:rPr/>
        <w:t>vision,</w:t>
      </w:r>
      <w:r>
        <w:rPr>
          <w:spacing w:val="-3"/>
        </w:rPr>
        <w:t> </w:t>
      </w:r>
      <w:r>
        <w:rPr/>
        <w:t>may</w:t>
      </w:r>
      <w:r>
        <w:rPr>
          <w:spacing w:val="-4"/>
        </w:rPr>
        <w:t> </w:t>
      </w:r>
      <w:r>
        <w:rPr/>
        <w:t>be</w:t>
      </w:r>
      <w:r>
        <w:rPr>
          <w:spacing w:val="-4"/>
        </w:rPr>
        <w:t> </w:t>
      </w:r>
      <w:r>
        <w:rPr/>
        <w:t>obtained. </w:t>
      </w:r>
      <w:r>
        <w:rPr>
          <w:b/>
          <w:spacing w:val="-10"/>
        </w:rPr>
        <w:t>1</w:t>
      </w:r>
    </w:p>
    <w:p>
      <w:pPr>
        <w:pStyle w:val="BodyText"/>
        <w:spacing w:before="210"/>
      </w:pPr>
      <w:r>
        <w:rPr/>
        <w:t>INSTRUCTIONS</w:t>
      </w:r>
      <w:r>
        <w:rPr>
          <w:spacing w:val="-3"/>
        </w:rPr>
        <w:t> </w:t>
      </w:r>
      <w:r>
        <w:rPr/>
        <w:t>TO</w:t>
      </w:r>
      <w:r>
        <w:rPr>
          <w:spacing w:val="-2"/>
        </w:rPr>
        <w:t> </w:t>
      </w:r>
      <w:r>
        <w:rPr>
          <w:spacing w:val="-4"/>
        </w:rPr>
        <w:t>STAFF</w:t>
      </w:r>
    </w:p>
    <w:p>
      <w:pPr>
        <w:pStyle w:val="BodyText"/>
        <w:spacing w:line="208" w:lineRule="auto" w:before="234"/>
        <w:ind w:left="791" w:right="775"/>
      </w:pPr>
      <w:r>
        <w:rPr/>
        <w:t>1. Staff</w:t>
      </w:r>
      <w:r>
        <w:rPr>
          <w:spacing w:val="-3"/>
        </w:rPr>
        <w:t> </w:t>
      </w:r>
      <w:r>
        <w:rPr/>
        <w:t>are</w:t>
      </w:r>
      <w:r>
        <w:rPr>
          <w:spacing w:val="-4"/>
        </w:rPr>
        <w:t> </w:t>
      </w:r>
      <w:r>
        <w:rPr/>
        <w:t>encouraged</w:t>
      </w:r>
      <w:r>
        <w:rPr>
          <w:spacing w:val="-3"/>
        </w:rPr>
        <w:t> </w:t>
      </w:r>
      <w:r>
        <w:rPr/>
        <w:t>to</w:t>
      </w:r>
      <w:r>
        <w:rPr>
          <w:spacing w:val="-4"/>
        </w:rPr>
        <w:t> </w:t>
      </w:r>
      <w:r>
        <w:rPr/>
        <w:t>locate</w:t>
      </w:r>
      <w:r>
        <w:rPr>
          <w:spacing w:val="-4"/>
        </w:rPr>
        <w:t> </w:t>
      </w:r>
      <w:r>
        <w:rPr/>
        <w:t>the</w:t>
      </w:r>
      <w:r>
        <w:rPr>
          <w:spacing w:val="-4"/>
        </w:rPr>
        <w:t> </w:t>
      </w:r>
      <w:r>
        <w:rPr/>
        <w:t>most</w:t>
      </w:r>
      <w:r>
        <w:rPr>
          <w:spacing w:val="-3"/>
        </w:rPr>
        <w:t> </w:t>
      </w:r>
      <w:r>
        <w:rPr/>
        <w:t>economical</w:t>
      </w:r>
      <w:r>
        <w:rPr>
          <w:spacing w:val="-4"/>
        </w:rPr>
        <w:t> </w:t>
      </w:r>
      <w:r>
        <w:rPr/>
        <w:t>source</w:t>
      </w:r>
      <w:r>
        <w:rPr>
          <w:spacing w:val="-4"/>
        </w:rPr>
        <w:t> </w:t>
      </w:r>
      <w:r>
        <w:rPr/>
        <w:t>for</w:t>
      </w:r>
      <w:r>
        <w:rPr>
          <w:spacing w:val="-3"/>
        </w:rPr>
        <w:t> </w:t>
      </w:r>
      <w:r>
        <w:rPr/>
        <w:t>purchasing</w:t>
      </w:r>
      <w:r>
        <w:rPr>
          <w:spacing w:val="-4"/>
        </w:rPr>
        <w:t> </w:t>
      </w:r>
      <w:r>
        <w:rPr/>
        <w:t>low vision devices.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7-1-</w:t>
      </w:r>
      <w:r>
        <w:rPr>
          <w:spacing w:val="-5"/>
          <w:sz w:val="22"/>
        </w:rPr>
        <w:t>05</w:t>
      </w:r>
      <w:r>
        <w:rPr>
          <w:sz w:val="22"/>
        </w:rPr>
        <w:tab/>
        <w:t>PT</w:t>
      </w:r>
      <w:r>
        <w:rPr>
          <w:spacing w:val="-8"/>
          <w:sz w:val="22"/>
        </w:rPr>
        <w:t> </w:t>
      </w:r>
      <w:r>
        <w:rPr>
          <w:sz w:val="22"/>
        </w:rPr>
        <w:t>Memo</w:t>
      </w:r>
      <w:r>
        <w:rPr>
          <w:spacing w:val="-8"/>
          <w:sz w:val="22"/>
        </w:rPr>
        <w:t> </w:t>
      </w:r>
      <w:r>
        <w:rPr>
          <w:sz w:val="22"/>
        </w:rPr>
        <w:t>#06-</w:t>
      </w:r>
      <w:r>
        <w:rPr>
          <w:spacing w:val="-5"/>
          <w:sz w:val="22"/>
        </w:rPr>
        <w:t>01</w:t>
      </w:r>
    </w:p>
    <w:p>
      <w:pPr>
        <w:spacing w:line="253" w:lineRule="exact" w:before="0"/>
        <w:ind w:left="1439" w:right="0" w:firstLine="0"/>
        <w:jc w:val="left"/>
        <w:rPr>
          <w:sz w:val="22"/>
        </w:rPr>
      </w:pPr>
      <w:r>
        <w:rPr>
          <w:sz w:val="22"/>
        </w:rPr>
        <w:t>Permanent,</w:t>
      </w:r>
      <w:r>
        <w:rPr>
          <w:spacing w:val="-7"/>
          <w:sz w:val="22"/>
        </w:rPr>
        <w:t> </w:t>
      </w:r>
      <w:r>
        <w:rPr>
          <w:sz w:val="22"/>
        </w:rPr>
        <w:t>New</w:t>
      </w:r>
      <w:r>
        <w:rPr>
          <w:spacing w:val="-7"/>
          <w:sz w:val="22"/>
        </w:rPr>
        <w:t> </w:t>
      </w:r>
      <w:r>
        <w:rPr>
          <w:sz w:val="22"/>
        </w:rPr>
        <w:t>section</w:t>
      </w:r>
      <w:r>
        <w:rPr>
          <w:spacing w:val="-7"/>
          <w:sz w:val="22"/>
        </w:rPr>
        <w:t> </w:t>
      </w:r>
      <w:r>
        <w:rPr>
          <w:sz w:val="22"/>
        </w:rPr>
        <w:t>for</w:t>
      </w:r>
      <w:r>
        <w:rPr>
          <w:spacing w:val="-7"/>
          <w:sz w:val="22"/>
        </w:rPr>
        <w:t> </w:t>
      </w:r>
      <w:r>
        <w:rPr>
          <w:sz w:val="22"/>
        </w:rPr>
        <w:t>Older</w:t>
      </w:r>
      <w:r>
        <w:rPr>
          <w:spacing w:val="-7"/>
          <w:sz w:val="22"/>
        </w:rPr>
        <w:t> </w:t>
      </w:r>
      <w:r>
        <w:rPr>
          <w:spacing w:val="-2"/>
          <w:sz w:val="22"/>
        </w:rPr>
        <w:t>Blind</w:t>
      </w:r>
    </w:p>
    <w:p>
      <w:pPr>
        <w:spacing w:after="0" w:line="253" w:lineRule="exact"/>
        <w:jc w:val="left"/>
        <w:rPr>
          <w:sz w:val="22"/>
        </w:rPr>
        <w:sectPr>
          <w:pgSz w:w="12240" w:h="15840"/>
          <w:pgMar w:top="1340" w:bottom="280" w:left="1080" w:right="720"/>
        </w:sectPr>
      </w:pPr>
    </w:p>
    <w:p>
      <w:pPr>
        <w:pStyle w:val="Heading2"/>
      </w:pPr>
      <w:bookmarkStart w:name="612:10-11-57.  Purchase of Adapted Devic" w:id="281"/>
      <w:bookmarkEnd w:id="281"/>
      <w:r>
        <w:rPr>
          <w:b w:val="0"/>
        </w:rPr>
      </w:r>
      <w:r>
        <w:rPr/>
        <w:t>612:10-11-57.</w:t>
      </w:r>
      <w:r>
        <w:rPr>
          <w:spacing w:val="56"/>
        </w:rPr>
        <w:t> </w:t>
      </w:r>
      <w:r>
        <w:rPr/>
        <w:t>Purchase</w:t>
      </w:r>
      <w:r>
        <w:rPr>
          <w:spacing w:val="-4"/>
        </w:rPr>
        <w:t> </w:t>
      </w:r>
      <w:r>
        <w:rPr/>
        <w:t>of</w:t>
      </w:r>
      <w:r>
        <w:rPr>
          <w:spacing w:val="-3"/>
        </w:rPr>
        <w:t> </w:t>
      </w:r>
      <w:r>
        <w:rPr/>
        <w:t>Adapted</w:t>
      </w:r>
      <w:r>
        <w:rPr>
          <w:spacing w:val="-4"/>
        </w:rPr>
        <w:t> </w:t>
      </w:r>
      <w:r>
        <w:rPr>
          <w:spacing w:val="-2"/>
        </w:rPr>
        <w:t>Devices</w:t>
      </w:r>
    </w:p>
    <w:p>
      <w:pPr>
        <w:pStyle w:val="BodyText"/>
        <w:spacing w:line="208" w:lineRule="auto" w:before="233"/>
        <w:ind w:right="1036" w:firstLine="432"/>
        <w:rPr>
          <w:b/>
        </w:rPr>
      </w:pPr>
      <w:r>
        <w:rPr/>
        <w:t>Staff</w:t>
      </w:r>
      <w:r>
        <w:rPr>
          <w:spacing w:val="-3"/>
        </w:rPr>
        <w:t> </w:t>
      </w:r>
      <w:r>
        <w:rPr/>
        <w:t>will</w:t>
      </w:r>
      <w:r>
        <w:rPr>
          <w:spacing w:val="-4"/>
        </w:rPr>
        <w:t> </w:t>
      </w:r>
      <w:r>
        <w:rPr/>
        <w:t>evaluate</w:t>
      </w:r>
      <w:r>
        <w:rPr>
          <w:spacing w:val="-4"/>
        </w:rPr>
        <w:t> </w:t>
      </w:r>
      <w:r>
        <w:rPr/>
        <w:t>the</w:t>
      </w:r>
      <w:r>
        <w:rPr>
          <w:spacing w:val="-4"/>
        </w:rPr>
        <w:t> </w:t>
      </w:r>
      <w:r>
        <w:rPr/>
        <w:t>consumer's</w:t>
      </w:r>
      <w:r>
        <w:rPr>
          <w:spacing w:val="-4"/>
        </w:rPr>
        <w:t> </w:t>
      </w:r>
      <w:r>
        <w:rPr/>
        <w:t>need</w:t>
      </w:r>
      <w:r>
        <w:rPr>
          <w:spacing w:val="-4"/>
        </w:rPr>
        <w:t> </w:t>
      </w:r>
      <w:r>
        <w:rPr/>
        <w:t>for</w:t>
      </w:r>
      <w:r>
        <w:rPr>
          <w:spacing w:val="-3"/>
        </w:rPr>
        <w:t> </w:t>
      </w:r>
      <w:r>
        <w:rPr/>
        <w:t>adapted</w:t>
      </w:r>
      <w:r>
        <w:rPr>
          <w:spacing w:val="-4"/>
        </w:rPr>
        <w:t> </w:t>
      </w:r>
      <w:r>
        <w:rPr/>
        <w:t>devices</w:t>
      </w:r>
      <w:r>
        <w:rPr>
          <w:spacing w:val="-4"/>
        </w:rPr>
        <w:t> </w:t>
      </w:r>
      <w:r>
        <w:rPr/>
        <w:t>which</w:t>
      </w:r>
      <w:r>
        <w:rPr>
          <w:spacing w:val="-4"/>
        </w:rPr>
        <w:t> </w:t>
      </w:r>
      <w:r>
        <w:rPr/>
        <w:t>can</w:t>
      </w:r>
      <w:r>
        <w:rPr>
          <w:spacing w:val="-4"/>
        </w:rPr>
        <w:t> </w:t>
      </w:r>
      <w:r>
        <w:rPr/>
        <w:t>maximize the consumer's independence. Instructions in the utilization of each device will be provided to insure safe and efficient use of each device. </w:t>
      </w:r>
      <w:r>
        <w:rPr>
          <w:b/>
        </w:rPr>
        <w:t>1</w:t>
      </w:r>
    </w:p>
    <w:p>
      <w:pPr>
        <w:pStyle w:val="BodyText"/>
        <w:spacing w:before="210"/>
      </w:pPr>
      <w:r>
        <w:rPr/>
        <w:t>INSTRUCTIONS</w:t>
      </w:r>
      <w:r>
        <w:rPr>
          <w:spacing w:val="-3"/>
        </w:rPr>
        <w:t> </w:t>
      </w:r>
      <w:r>
        <w:rPr/>
        <w:t>TO</w:t>
      </w:r>
      <w:r>
        <w:rPr>
          <w:spacing w:val="-2"/>
        </w:rPr>
        <w:t> </w:t>
      </w:r>
      <w:r>
        <w:rPr>
          <w:spacing w:val="-4"/>
        </w:rPr>
        <w:t>STAFF</w:t>
      </w:r>
    </w:p>
    <w:p>
      <w:pPr>
        <w:pStyle w:val="BodyText"/>
        <w:spacing w:line="208" w:lineRule="auto" w:before="234"/>
        <w:ind w:left="791" w:right="775"/>
      </w:pPr>
      <w:r>
        <w:rPr/>
        <w:t>1. Reading systems which can include CCTV and/or scanning software that converts</w:t>
      </w:r>
      <w:r>
        <w:rPr>
          <w:spacing w:val="-4"/>
        </w:rPr>
        <w:t> </w:t>
      </w:r>
      <w:r>
        <w:rPr/>
        <w:t>text</w:t>
      </w:r>
      <w:r>
        <w:rPr>
          <w:spacing w:val="-4"/>
        </w:rPr>
        <w:t> </w:t>
      </w:r>
      <w:r>
        <w:rPr/>
        <w:t>to</w:t>
      </w:r>
      <w:r>
        <w:rPr>
          <w:spacing w:val="-5"/>
        </w:rPr>
        <w:t> </w:t>
      </w:r>
      <w:r>
        <w:rPr/>
        <w:t>speech</w:t>
      </w:r>
      <w:r>
        <w:rPr>
          <w:spacing w:val="-4"/>
        </w:rPr>
        <w:t> </w:t>
      </w:r>
      <w:r>
        <w:rPr/>
        <w:t>in</w:t>
      </w:r>
      <w:r>
        <w:rPr>
          <w:spacing w:val="-4"/>
        </w:rPr>
        <w:t> </w:t>
      </w:r>
      <w:r>
        <w:rPr/>
        <w:t>conjunction</w:t>
      </w:r>
      <w:r>
        <w:rPr>
          <w:spacing w:val="-4"/>
        </w:rPr>
        <w:t> </w:t>
      </w:r>
      <w:r>
        <w:rPr/>
        <w:t>with</w:t>
      </w:r>
      <w:r>
        <w:rPr>
          <w:spacing w:val="-4"/>
        </w:rPr>
        <w:t> </w:t>
      </w:r>
      <w:r>
        <w:rPr/>
        <w:t>portable</w:t>
      </w:r>
      <w:r>
        <w:rPr>
          <w:spacing w:val="-4"/>
        </w:rPr>
        <w:t> </w:t>
      </w:r>
      <w:r>
        <w:rPr/>
        <w:t>computer</w:t>
      </w:r>
      <w:r>
        <w:rPr>
          <w:spacing w:val="-4"/>
        </w:rPr>
        <w:t> </w:t>
      </w:r>
      <w:r>
        <w:rPr/>
        <w:t>dependent</w:t>
      </w:r>
      <w:r>
        <w:rPr>
          <w:spacing w:val="-4"/>
        </w:rPr>
        <w:t> </w:t>
      </w:r>
      <w:r>
        <w:rPr/>
        <w:t>scanners may be purchased for consumers following proper evaluation.</w:t>
      </w:r>
    </w:p>
    <w:p>
      <w:pPr>
        <w:pStyle w:val="BodyText"/>
        <w:spacing w:line="208" w:lineRule="auto" w:before="239"/>
        <w:ind w:left="791" w:right="775"/>
      </w:pPr>
      <w:r>
        <w:rPr/>
        <w:t>It is not in the scope of the OB Program to purchase or upgrade computer equipment</w:t>
      </w:r>
      <w:r>
        <w:rPr>
          <w:spacing w:val="-3"/>
        </w:rPr>
        <w:t> </w:t>
      </w:r>
      <w:r>
        <w:rPr/>
        <w:t>including</w:t>
      </w:r>
      <w:r>
        <w:rPr>
          <w:spacing w:val="-5"/>
        </w:rPr>
        <w:t> </w:t>
      </w:r>
      <w:r>
        <w:rPr/>
        <w:t>CPU,</w:t>
      </w:r>
      <w:r>
        <w:rPr>
          <w:spacing w:val="-4"/>
        </w:rPr>
        <w:t> </w:t>
      </w:r>
      <w:r>
        <w:rPr/>
        <w:t>monitors,</w:t>
      </w:r>
      <w:r>
        <w:rPr>
          <w:spacing w:val="-4"/>
        </w:rPr>
        <w:t> </w:t>
      </w:r>
      <w:r>
        <w:rPr/>
        <w:t>printers</w:t>
      </w:r>
      <w:r>
        <w:rPr>
          <w:spacing w:val="-7"/>
        </w:rPr>
        <w:t> </w:t>
      </w:r>
      <w:r>
        <w:rPr/>
        <w:t>or</w:t>
      </w:r>
      <w:r>
        <w:rPr>
          <w:spacing w:val="-4"/>
        </w:rPr>
        <w:t> </w:t>
      </w:r>
      <w:r>
        <w:rPr/>
        <w:t>scanners,</w:t>
      </w:r>
      <w:r>
        <w:rPr>
          <w:spacing w:val="-4"/>
        </w:rPr>
        <w:t> </w:t>
      </w:r>
      <w:r>
        <w:rPr/>
        <w:t>however,</w:t>
      </w:r>
      <w:r>
        <w:rPr>
          <w:spacing w:val="-4"/>
        </w:rPr>
        <w:t> </w:t>
      </w:r>
      <w:r>
        <w:rPr/>
        <w:t>adapted</w:t>
      </w:r>
      <w:r>
        <w:rPr>
          <w:spacing w:val="-5"/>
        </w:rPr>
        <w:t> </w:t>
      </w:r>
      <w:r>
        <w:rPr/>
        <w:t>access technology can be purchased, when appropriate, to provide a consumer access through screen reading software, screen enlargement software, and Braille translation software.</w:t>
      </w:r>
      <w:r>
        <w:rPr>
          <w:spacing w:val="40"/>
        </w:rPr>
        <w:t> </w:t>
      </w:r>
      <w:r>
        <w:rPr/>
        <w:t>Adapted hardware including note taking devices, refreshable Braille displays and Braille embossers can be considered to provide access.</w:t>
      </w:r>
    </w:p>
    <w:p>
      <w:pPr>
        <w:pStyle w:val="BodyText"/>
        <w:spacing w:line="208" w:lineRule="auto" w:before="0"/>
        <w:ind w:left="791" w:right="775"/>
      </w:pPr>
      <w:r>
        <w:rPr/>
        <w:t>Evaluation</w:t>
      </w:r>
      <w:r>
        <w:rPr>
          <w:spacing w:val="-2"/>
        </w:rPr>
        <w:t> </w:t>
      </w:r>
      <w:r>
        <w:rPr/>
        <w:t>of</w:t>
      </w:r>
      <w:r>
        <w:rPr>
          <w:spacing w:val="-2"/>
        </w:rPr>
        <w:t> </w:t>
      </w:r>
      <w:r>
        <w:rPr/>
        <w:t>need</w:t>
      </w:r>
      <w:r>
        <w:rPr>
          <w:spacing w:val="-3"/>
        </w:rPr>
        <w:t> </w:t>
      </w:r>
      <w:r>
        <w:rPr/>
        <w:t>is</w:t>
      </w:r>
      <w:r>
        <w:rPr>
          <w:spacing w:val="-3"/>
        </w:rPr>
        <w:t> </w:t>
      </w:r>
      <w:r>
        <w:rPr/>
        <w:t>required</w:t>
      </w:r>
      <w:r>
        <w:rPr>
          <w:spacing w:val="-3"/>
        </w:rPr>
        <w:t> </w:t>
      </w:r>
      <w:r>
        <w:rPr/>
        <w:t>and</w:t>
      </w:r>
      <w:r>
        <w:rPr>
          <w:spacing w:val="-3"/>
        </w:rPr>
        <w:t> </w:t>
      </w:r>
      <w:r>
        <w:rPr/>
        <w:t>instructions</w:t>
      </w:r>
      <w:r>
        <w:rPr>
          <w:spacing w:val="-3"/>
        </w:rPr>
        <w:t> </w:t>
      </w:r>
      <w:r>
        <w:rPr/>
        <w:t>in</w:t>
      </w:r>
      <w:r>
        <w:rPr>
          <w:spacing w:val="-3"/>
        </w:rPr>
        <w:t> </w:t>
      </w:r>
      <w:r>
        <w:rPr/>
        <w:t>the</w:t>
      </w:r>
      <w:r>
        <w:rPr>
          <w:spacing w:val="-3"/>
        </w:rPr>
        <w:t> </w:t>
      </w:r>
      <w:r>
        <w:rPr/>
        <w:t>use</w:t>
      </w:r>
      <w:r>
        <w:rPr>
          <w:spacing w:val="-3"/>
        </w:rPr>
        <w:t> </w:t>
      </w:r>
      <w:r>
        <w:rPr/>
        <w:t>of</w:t>
      </w:r>
      <w:r>
        <w:rPr>
          <w:spacing w:val="-2"/>
        </w:rPr>
        <w:t> </w:t>
      </w:r>
      <w:r>
        <w:rPr/>
        <w:t>such</w:t>
      </w:r>
      <w:r>
        <w:rPr>
          <w:spacing w:val="-3"/>
        </w:rPr>
        <w:t> </w:t>
      </w:r>
      <w:r>
        <w:rPr/>
        <w:t>technology</w:t>
      </w:r>
      <w:r>
        <w:rPr>
          <w:spacing w:val="-3"/>
        </w:rPr>
        <w:t> </w:t>
      </w:r>
      <w:r>
        <w:rPr/>
        <w:t>will</w:t>
      </w:r>
      <w:r>
        <w:rPr>
          <w:spacing w:val="-3"/>
        </w:rPr>
        <w:t> </w:t>
      </w:r>
      <w:r>
        <w:rPr/>
        <w:t>be provided to insure the consumer's success in using the access technology.</w:t>
      </w:r>
    </w:p>
    <w:p>
      <w:pPr>
        <w:pStyle w:val="BodyText"/>
        <w:spacing w:line="208" w:lineRule="auto"/>
        <w:ind w:left="791" w:right="775"/>
      </w:pPr>
      <w:r>
        <w:rPr/>
        <w:t>The</w:t>
      </w:r>
      <w:r>
        <w:rPr>
          <w:spacing w:val="-4"/>
        </w:rPr>
        <w:t> </w:t>
      </w:r>
      <w:r>
        <w:rPr/>
        <w:t>Rehabilitation</w:t>
      </w:r>
      <w:r>
        <w:rPr>
          <w:spacing w:val="-4"/>
        </w:rPr>
        <w:t> </w:t>
      </w:r>
      <w:r>
        <w:rPr/>
        <w:t>Teacher</w:t>
      </w:r>
      <w:r>
        <w:rPr>
          <w:spacing w:val="-3"/>
        </w:rPr>
        <w:t> </w:t>
      </w:r>
      <w:r>
        <w:rPr/>
        <w:t>can</w:t>
      </w:r>
      <w:r>
        <w:rPr>
          <w:spacing w:val="-4"/>
        </w:rPr>
        <w:t> </w:t>
      </w:r>
      <w:r>
        <w:rPr/>
        <w:t>assess</w:t>
      </w:r>
      <w:r>
        <w:rPr>
          <w:spacing w:val="-4"/>
        </w:rPr>
        <w:t> </w:t>
      </w:r>
      <w:r>
        <w:rPr/>
        <w:t>the</w:t>
      </w:r>
      <w:r>
        <w:rPr>
          <w:spacing w:val="-4"/>
        </w:rPr>
        <w:t> </w:t>
      </w:r>
      <w:r>
        <w:rPr/>
        <w:t>consumer's</w:t>
      </w:r>
      <w:r>
        <w:rPr>
          <w:spacing w:val="-4"/>
        </w:rPr>
        <w:t> </w:t>
      </w:r>
      <w:r>
        <w:rPr/>
        <w:t>need</w:t>
      </w:r>
      <w:r>
        <w:rPr>
          <w:spacing w:val="-4"/>
        </w:rPr>
        <w:t> </w:t>
      </w:r>
      <w:r>
        <w:rPr/>
        <w:t>for</w:t>
      </w:r>
      <w:r>
        <w:rPr>
          <w:spacing w:val="-3"/>
        </w:rPr>
        <w:t> </w:t>
      </w:r>
      <w:r>
        <w:rPr/>
        <w:t>a</w:t>
      </w:r>
      <w:r>
        <w:rPr>
          <w:spacing w:val="-5"/>
        </w:rPr>
        <w:t> </w:t>
      </w:r>
      <w:r>
        <w:rPr/>
        <w:t>CCTV.</w:t>
      </w:r>
      <w:r>
        <w:rPr>
          <w:spacing w:val="-3"/>
        </w:rPr>
        <w:t> </w:t>
      </w:r>
      <w:r>
        <w:rPr/>
        <w:t>A</w:t>
      </w:r>
      <w:r>
        <w:rPr>
          <w:spacing w:val="-4"/>
        </w:rPr>
        <w:t> </w:t>
      </w:r>
      <w:r>
        <w:rPr/>
        <w:t>referral will be made to the Assistive Technology Specialist on the </w:t>
      </w:r>
      <w:hyperlink r:id="rId83">
        <w:r>
          <w:rPr>
            <w:color w:val="0000FF"/>
            <w:u w:val="single" w:color="0000FF"/>
          </w:rPr>
          <w:t>DRS-C-17</w:t>
        </w:r>
      </w:hyperlink>
      <w:r>
        <w:rPr>
          <w:color w:val="0000FF"/>
          <w:u w:val="none"/>
        </w:rPr>
        <w:t> </w:t>
      </w:r>
      <w:r>
        <w:rPr>
          <w:u w:val="none"/>
        </w:rPr>
        <w:t>form for all other access technology needs.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05</w:t>
      </w:r>
      <w:r>
        <w:rPr>
          <w:sz w:val="22"/>
        </w:rPr>
        <w:tab/>
        <w:t>PT</w:t>
      </w:r>
      <w:r>
        <w:rPr>
          <w:spacing w:val="-8"/>
          <w:sz w:val="22"/>
        </w:rPr>
        <w:t> </w:t>
      </w:r>
      <w:r>
        <w:rPr>
          <w:sz w:val="22"/>
        </w:rPr>
        <w:t>Memo</w:t>
      </w:r>
      <w:r>
        <w:rPr>
          <w:spacing w:val="-8"/>
          <w:sz w:val="22"/>
        </w:rPr>
        <w:t> </w:t>
      </w:r>
      <w:r>
        <w:rPr>
          <w:sz w:val="22"/>
        </w:rPr>
        <w:t>#06-</w:t>
      </w:r>
      <w:r>
        <w:rPr>
          <w:spacing w:val="-5"/>
          <w:sz w:val="22"/>
        </w:rPr>
        <w:t>01</w:t>
      </w:r>
    </w:p>
    <w:p>
      <w:pPr>
        <w:tabs>
          <w:tab w:pos="1439" w:val="left" w:leader="none"/>
        </w:tabs>
        <w:spacing w:before="0"/>
        <w:ind w:left="360" w:right="5133" w:firstLine="1080"/>
        <w:jc w:val="left"/>
        <w:rPr>
          <w:sz w:val="22"/>
        </w:rPr>
      </w:pPr>
      <w:r>
        <w:rPr>
          <w:sz w:val="22"/>
        </w:rPr>
        <w:t>Permanent,</w:t>
      </w:r>
      <w:r>
        <w:rPr>
          <w:spacing w:val="-7"/>
          <w:sz w:val="22"/>
        </w:rPr>
        <w:t> </w:t>
      </w:r>
      <w:r>
        <w:rPr>
          <w:sz w:val="22"/>
        </w:rPr>
        <w:t>New</w:t>
      </w:r>
      <w:r>
        <w:rPr>
          <w:spacing w:val="-9"/>
          <w:sz w:val="22"/>
        </w:rPr>
        <w:t> </w:t>
      </w:r>
      <w:r>
        <w:rPr>
          <w:sz w:val="22"/>
        </w:rPr>
        <w:t>section</w:t>
      </w:r>
      <w:r>
        <w:rPr>
          <w:spacing w:val="-8"/>
          <w:sz w:val="22"/>
        </w:rPr>
        <w:t> </w:t>
      </w:r>
      <w:r>
        <w:rPr>
          <w:sz w:val="22"/>
        </w:rPr>
        <w:t>for</w:t>
      </w:r>
      <w:r>
        <w:rPr>
          <w:spacing w:val="-8"/>
          <w:sz w:val="22"/>
        </w:rPr>
        <w:t> </w:t>
      </w:r>
      <w:r>
        <w:rPr>
          <w:sz w:val="22"/>
        </w:rPr>
        <w:t>Older</w:t>
      </w:r>
      <w:r>
        <w:rPr>
          <w:spacing w:val="-8"/>
          <w:sz w:val="22"/>
        </w:rPr>
        <w:t> </w:t>
      </w:r>
      <w:r>
        <w:rPr>
          <w:sz w:val="22"/>
        </w:rPr>
        <w:t>Blind </w:t>
      </w:r>
      <w:r>
        <w:rPr>
          <w:spacing w:val="-2"/>
          <w:sz w:val="22"/>
        </w:rPr>
        <w:t>7-1-07</w:t>
      </w:r>
      <w:r>
        <w:rPr>
          <w:sz w:val="22"/>
        </w:rPr>
        <w:tab/>
        <w:t>PT Memo #08-01</w:t>
      </w:r>
    </w:p>
    <w:p>
      <w:pPr>
        <w:spacing w:before="0"/>
        <w:ind w:left="1439" w:right="0" w:firstLine="0"/>
        <w:jc w:val="left"/>
        <w:rPr>
          <w:sz w:val="22"/>
        </w:rPr>
      </w:pPr>
      <w:r>
        <w:rPr>
          <w:sz w:val="22"/>
        </w:rPr>
        <w:t>Permanent,</w:t>
      </w:r>
      <w:r>
        <w:rPr>
          <w:spacing w:val="-8"/>
          <w:sz w:val="22"/>
        </w:rPr>
        <w:t> </w:t>
      </w:r>
      <w:r>
        <w:rPr>
          <w:sz w:val="22"/>
        </w:rPr>
        <w:t>ITS</w:t>
      </w:r>
      <w:r>
        <w:rPr>
          <w:spacing w:val="-8"/>
          <w:sz w:val="22"/>
        </w:rPr>
        <w:t> </w:t>
      </w:r>
      <w:r>
        <w:rPr>
          <w:spacing w:val="-4"/>
          <w:sz w:val="22"/>
        </w:rPr>
        <w:t>ONLY</w:t>
      </w:r>
    </w:p>
    <w:p>
      <w:pPr>
        <w:tabs>
          <w:tab w:pos="1439" w:val="left" w:leader="none"/>
        </w:tabs>
        <w:spacing w:before="1"/>
        <w:ind w:left="360" w:right="0" w:firstLine="0"/>
        <w:jc w:val="left"/>
        <w:rPr>
          <w:sz w:val="22"/>
        </w:rPr>
      </w:pPr>
      <w:r>
        <w:rPr>
          <w:spacing w:val="-2"/>
          <w:sz w:val="22"/>
        </w:rPr>
        <w:t>11-3-</w:t>
      </w:r>
      <w:r>
        <w:rPr>
          <w:spacing w:val="-5"/>
          <w:sz w:val="22"/>
        </w:rPr>
        <w:t>15</w:t>
      </w:r>
      <w:r>
        <w:rPr>
          <w:sz w:val="22"/>
        </w:rPr>
        <w:tab/>
        <w:t>Revised</w:t>
      </w:r>
      <w:r>
        <w:rPr>
          <w:spacing w:val="-7"/>
          <w:sz w:val="22"/>
        </w:rPr>
        <w:t> </w:t>
      </w:r>
      <w:r>
        <w:rPr>
          <w:sz w:val="22"/>
        </w:rPr>
        <w:t>the</w:t>
      </w:r>
      <w:r>
        <w:rPr>
          <w:spacing w:val="-8"/>
          <w:sz w:val="22"/>
        </w:rPr>
        <w:t> </w:t>
      </w:r>
      <w:r>
        <w:rPr>
          <w:sz w:val="22"/>
        </w:rPr>
        <w:t>Instructions</w:t>
      </w:r>
      <w:r>
        <w:rPr>
          <w:spacing w:val="-7"/>
          <w:sz w:val="22"/>
        </w:rPr>
        <w:t> </w:t>
      </w:r>
      <w:r>
        <w:rPr>
          <w:sz w:val="22"/>
        </w:rPr>
        <w:t>to</w:t>
      </w:r>
      <w:r>
        <w:rPr>
          <w:spacing w:val="-7"/>
          <w:sz w:val="22"/>
        </w:rPr>
        <w:t> </w:t>
      </w:r>
      <w:r>
        <w:rPr>
          <w:spacing w:val="-2"/>
          <w:sz w:val="22"/>
        </w:rPr>
        <w:t>Staff</w:t>
      </w:r>
    </w:p>
    <w:p>
      <w:pPr>
        <w:tabs>
          <w:tab w:pos="1439" w:val="left" w:leader="none"/>
        </w:tabs>
        <w:spacing w:before="0"/>
        <w:ind w:left="1439" w:right="929" w:hanging="1080"/>
        <w:jc w:val="left"/>
        <w:rPr>
          <w:sz w:val="22"/>
        </w:rPr>
      </w:pPr>
      <w:r>
        <w:rPr>
          <w:spacing w:val="-2"/>
          <w:sz w:val="22"/>
        </w:rPr>
        <w:t>8-8-16</w:t>
      </w:r>
      <w:r>
        <w:rPr>
          <w:sz w:val="22"/>
        </w:rPr>
        <w:tab/>
        <w:t>Revised the Instructions to Staff by removing the language "Programs manager approval</w:t>
      </w:r>
      <w:r>
        <w:rPr>
          <w:spacing w:val="-4"/>
          <w:sz w:val="22"/>
        </w:rPr>
        <w:t> </w:t>
      </w:r>
      <w:r>
        <w:rPr>
          <w:sz w:val="22"/>
        </w:rPr>
        <w:t>is</w:t>
      </w:r>
      <w:r>
        <w:rPr>
          <w:spacing w:val="-5"/>
          <w:sz w:val="22"/>
        </w:rPr>
        <w:t> </w:t>
      </w:r>
      <w:r>
        <w:rPr>
          <w:sz w:val="22"/>
        </w:rPr>
        <w:t>required</w:t>
      </w:r>
      <w:r>
        <w:rPr>
          <w:spacing w:val="-4"/>
          <w:sz w:val="22"/>
        </w:rPr>
        <w:t> </w:t>
      </w:r>
      <w:r>
        <w:rPr>
          <w:sz w:val="22"/>
        </w:rPr>
        <w:t>for</w:t>
      </w:r>
      <w:r>
        <w:rPr>
          <w:spacing w:val="-4"/>
          <w:sz w:val="22"/>
        </w:rPr>
        <w:t> </w:t>
      </w:r>
      <w:r>
        <w:rPr>
          <w:sz w:val="22"/>
        </w:rPr>
        <w:t>technology</w:t>
      </w:r>
      <w:r>
        <w:rPr>
          <w:spacing w:val="-4"/>
          <w:sz w:val="22"/>
        </w:rPr>
        <w:t> </w:t>
      </w:r>
      <w:r>
        <w:rPr>
          <w:sz w:val="22"/>
        </w:rPr>
        <w:t>purchases</w:t>
      </w:r>
      <w:r>
        <w:rPr>
          <w:spacing w:val="-4"/>
          <w:sz w:val="22"/>
        </w:rPr>
        <w:t> </w:t>
      </w:r>
      <w:r>
        <w:rPr>
          <w:sz w:val="22"/>
        </w:rPr>
        <w:t>in</w:t>
      </w:r>
      <w:r>
        <w:rPr>
          <w:spacing w:val="-5"/>
          <w:sz w:val="22"/>
        </w:rPr>
        <w:t> </w:t>
      </w:r>
      <w:r>
        <w:rPr>
          <w:sz w:val="22"/>
        </w:rPr>
        <w:t>excess</w:t>
      </w:r>
      <w:r>
        <w:rPr>
          <w:spacing w:val="-5"/>
          <w:sz w:val="22"/>
        </w:rPr>
        <w:t> </w:t>
      </w:r>
      <w:r>
        <w:rPr>
          <w:sz w:val="22"/>
        </w:rPr>
        <w:t>of</w:t>
      </w:r>
      <w:r>
        <w:rPr>
          <w:spacing w:val="-4"/>
          <w:sz w:val="22"/>
        </w:rPr>
        <w:t> </w:t>
      </w:r>
      <w:r>
        <w:rPr>
          <w:sz w:val="22"/>
        </w:rPr>
        <w:t>$600.00</w:t>
      </w:r>
      <w:r>
        <w:rPr>
          <w:spacing w:val="-4"/>
          <w:sz w:val="22"/>
        </w:rPr>
        <w:t> </w:t>
      </w:r>
      <w:r>
        <w:rPr>
          <w:sz w:val="22"/>
        </w:rPr>
        <w:t>per</w:t>
      </w:r>
      <w:r>
        <w:rPr>
          <w:spacing w:val="-4"/>
          <w:sz w:val="22"/>
        </w:rPr>
        <w:t> </w:t>
      </w:r>
      <w:r>
        <w:rPr>
          <w:sz w:val="22"/>
        </w:rPr>
        <w:t>consumer."</w:t>
      </w:r>
    </w:p>
    <w:p>
      <w:pPr>
        <w:spacing w:after="0"/>
        <w:jc w:val="left"/>
        <w:rPr>
          <w:sz w:val="22"/>
        </w:rPr>
        <w:sectPr>
          <w:pgSz w:w="12240" w:h="15840"/>
          <w:pgMar w:top="1340" w:bottom="280" w:left="1080" w:right="720"/>
        </w:sectPr>
      </w:pPr>
    </w:p>
    <w:p>
      <w:pPr>
        <w:pStyle w:val="Heading2"/>
      </w:pPr>
      <w:bookmarkStart w:name="612:10-11-58.  Adapted Communication Ski" w:id="282"/>
      <w:bookmarkEnd w:id="282"/>
      <w:r>
        <w:rPr>
          <w:b w:val="0"/>
        </w:rPr>
      </w:r>
      <w:r>
        <w:rPr/>
        <w:t>612:10-11-58.</w:t>
      </w:r>
      <w:r>
        <w:rPr>
          <w:spacing w:val="55"/>
        </w:rPr>
        <w:t> </w:t>
      </w:r>
      <w:r>
        <w:rPr/>
        <w:t>Adapted</w:t>
      </w:r>
      <w:r>
        <w:rPr>
          <w:spacing w:val="-4"/>
        </w:rPr>
        <w:t> </w:t>
      </w:r>
      <w:r>
        <w:rPr/>
        <w:t>Communication</w:t>
      </w:r>
      <w:r>
        <w:rPr>
          <w:spacing w:val="-6"/>
        </w:rPr>
        <w:t> </w:t>
      </w:r>
      <w:r>
        <w:rPr/>
        <w:t>Skills</w:t>
      </w:r>
      <w:r>
        <w:rPr>
          <w:spacing w:val="-5"/>
        </w:rPr>
        <w:t> </w:t>
      </w:r>
      <w:r>
        <w:rPr>
          <w:spacing w:val="-2"/>
        </w:rPr>
        <w:t>Training</w:t>
      </w:r>
    </w:p>
    <w:p>
      <w:pPr>
        <w:pStyle w:val="BodyText"/>
        <w:spacing w:line="258" w:lineRule="exact" w:before="204"/>
        <w:ind w:left="792"/>
        <w:rPr>
          <w:b/>
        </w:rPr>
      </w:pPr>
      <w:r>
        <w:rPr/>
        <w:t>Staff</w:t>
      </w:r>
      <w:r>
        <w:rPr>
          <w:spacing w:val="-5"/>
        </w:rPr>
        <w:t> </w:t>
      </w:r>
      <w:r>
        <w:rPr/>
        <w:t>will</w:t>
      </w:r>
      <w:r>
        <w:rPr>
          <w:spacing w:val="-3"/>
        </w:rPr>
        <w:t> </w:t>
      </w:r>
      <w:r>
        <w:rPr/>
        <w:t>evaluate</w:t>
      </w:r>
      <w:r>
        <w:rPr>
          <w:spacing w:val="-3"/>
        </w:rPr>
        <w:t> </w:t>
      </w:r>
      <w:r>
        <w:rPr/>
        <w:t>the</w:t>
      </w:r>
      <w:r>
        <w:rPr>
          <w:spacing w:val="-3"/>
        </w:rPr>
        <w:t> </w:t>
      </w:r>
      <w:r>
        <w:rPr/>
        <w:t>consumer's</w:t>
      </w:r>
      <w:r>
        <w:rPr>
          <w:spacing w:val="-3"/>
        </w:rPr>
        <w:t> </w:t>
      </w:r>
      <w:r>
        <w:rPr/>
        <w:t>need</w:t>
      </w:r>
      <w:r>
        <w:rPr>
          <w:spacing w:val="-4"/>
        </w:rPr>
        <w:t> </w:t>
      </w:r>
      <w:r>
        <w:rPr/>
        <w:t>for</w:t>
      </w:r>
      <w:r>
        <w:rPr>
          <w:spacing w:val="-2"/>
        </w:rPr>
        <w:t> </w:t>
      </w:r>
      <w:r>
        <w:rPr/>
        <w:t>instruction</w:t>
      </w:r>
      <w:r>
        <w:rPr>
          <w:spacing w:val="-3"/>
        </w:rPr>
        <w:t> </w:t>
      </w:r>
      <w:r>
        <w:rPr/>
        <w:t>in</w:t>
      </w:r>
      <w:r>
        <w:rPr>
          <w:spacing w:val="-3"/>
        </w:rPr>
        <w:t> </w:t>
      </w:r>
      <w:r>
        <w:rPr/>
        <w:t>communication</w:t>
      </w:r>
      <w:r>
        <w:rPr>
          <w:spacing w:val="-3"/>
        </w:rPr>
        <w:t> </w:t>
      </w:r>
      <w:r>
        <w:rPr/>
        <w:t>skills</w:t>
      </w:r>
      <w:r>
        <w:rPr>
          <w:spacing w:val="-3"/>
        </w:rPr>
        <w:t> </w:t>
      </w:r>
      <w:r>
        <w:rPr>
          <w:b/>
          <w:spacing w:val="-10"/>
        </w:rPr>
        <w:t>1</w:t>
      </w:r>
    </w:p>
    <w:p>
      <w:pPr>
        <w:pStyle w:val="BodyText"/>
        <w:spacing w:line="258" w:lineRule="exact" w:before="0"/>
      </w:pPr>
      <w:r>
        <w:rPr/>
        <w:t>which</w:t>
      </w:r>
      <w:r>
        <w:rPr>
          <w:spacing w:val="-3"/>
        </w:rPr>
        <w:t> </w:t>
      </w:r>
      <w:r>
        <w:rPr/>
        <w:t>includes</w:t>
      </w:r>
      <w:r>
        <w:rPr>
          <w:spacing w:val="-3"/>
        </w:rPr>
        <w:t> </w:t>
      </w:r>
      <w:r>
        <w:rPr/>
        <w:t>but</w:t>
      </w:r>
      <w:r>
        <w:rPr>
          <w:spacing w:val="-1"/>
        </w:rPr>
        <w:t> </w:t>
      </w:r>
      <w:r>
        <w:rPr/>
        <w:t>is</w:t>
      </w:r>
      <w:r>
        <w:rPr>
          <w:spacing w:val="-3"/>
        </w:rPr>
        <w:t> </w:t>
      </w:r>
      <w:r>
        <w:rPr/>
        <w:t>not</w:t>
      </w:r>
      <w:r>
        <w:rPr>
          <w:spacing w:val="-2"/>
        </w:rPr>
        <w:t> </w:t>
      </w:r>
      <w:r>
        <w:rPr/>
        <w:t>limited</w:t>
      </w:r>
      <w:r>
        <w:rPr>
          <w:spacing w:val="-2"/>
        </w:rPr>
        <w:t> </w:t>
      </w:r>
      <w:r>
        <w:rPr>
          <w:spacing w:val="-5"/>
        </w:rPr>
        <w:t>to:</w:t>
      </w:r>
    </w:p>
    <w:p>
      <w:pPr>
        <w:pStyle w:val="ListParagraph"/>
        <w:numPr>
          <w:ilvl w:val="0"/>
          <w:numId w:val="289"/>
        </w:numPr>
        <w:tabs>
          <w:tab w:pos="1218" w:val="left" w:leader="none"/>
        </w:tabs>
        <w:spacing w:line="240" w:lineRule="auto" w:before="204" w:after="0"/>
        <w:ind w:left="1218" w:right="0" w:hanging="426"/>
        <w:jc w:val="left"/>
        <w:rPr>
          <w:sz w:val="24"/>
        </w:rPr>
      </w:pPr>
      <w:r>
        <w:rPr>
          <w:sz w:val="24"/>
        </w:rPr>
        <w:t>use</w:t>
      </w:r>
      <w:r>
        <w:rPr>
          <w:spacing w:val="-5"/>
          <w:sz w:val="24"/>
        </w:rPr>
        <w:t> </w:t>
      </w:r>
      <w:r>
        <w:rPr>
          <w:sz w:val="24"/>
        </w:rPr>
        <w:t>of</w:t>
      </w:r>
      <w:r>
        <w:rPr>
          <w:spacing w:val="-4"/>
          <w:sz w:val="24"/>
        </w:rPr>
        <w:t> </w:t>
      </w:r>
      <w:r>
        <w:rPr>
          <w:sz w:val="24"/>
        </w:rPr>
        <w:t>full</w:t>
      </w:r>
      <w:r>
        <w:rPr>
          <w:spacing w:val="-3"/>
          <w:sz w:val="24"/>
        </w:rPr>
        <w:t> </w:t>
      </w:r>
      <w:r>
        <w:rPr>
          <w:sz w:val="24"/>
        </w:rPr>
        <w:t>page,</w:t>
      </w:r>
      <w:r>
        <w:rPr>
          <w:spacing w:val="-2"/>
          <w:sz w:val="24"/>
        </w:rPr>
        <w:t> </w:t>
      </w:r>
      <w:r>
        <w:rPr>
          <w:sz w:val="24"/>
        </w:rPr>
        <w:t>signature,</w:t>
      </w:r>
      <w:r>
        <w:rPr>
          <w:spacing w:val="-2"/>
          <w:sz w:val="24"/>
        </w:rPr>
        <w:t> </w:t>
      </w:r>
      <w:r>
        <w:rPr>
          <w:sz w:val="24"/>
        </w:rPr>
        <w:t>check</w:t>
      </w:r>
      <w:r>
        <w:rPr>
          <w:spacing w:val="-3"/>
          <w:sz w:val="24"/>
        </w:rPr>
        <w:t> </w:t>
      </w:r>
      <w:r>
        <w:rPr>
          <w:sz w:val="24"/>
        </w:rPr>
        <w:t>book,</w:t>
      </w:r>
      <w:r>
        <w:rPr>
          <w:spacing w:val="-2"/>
          <w:sz w:val="24"/>
        </w:rPr>
        <w:t> </w:t>
      </w:r>
      <w:r>
        <w:rPr>
          <w:sz w:val="24"/>
        </w:rPr>
        <w:t>envelope</w:t>
      </w:r>
      <w:r>
        <w:rPr>
          <w:spacing w:val="-3"/>
          <w:sz w:val="24"/>
        </w:rPr>
        <w:t> </w:t>
      </w:r>
      <w:r>
        <w:rPr>
          <w:sz w:val="24"/>
        </w:rPr>
        <w:t>or</w:t>
      </w:r>
      <w:r>
        <w:rPr>
          <w:spacing w:val="-2"/>
          <w:sz w:val="24"/>
        </w:rPr>
        <w:t> </w:t>
      </w:r>
      <w:r>
        <w:rPr>
          <w:sz w:val="24"/>
        </w:rPr>
        <w:t>other</w:t>
      </w:r>
      <w:r>
        <w:rPr>
          <w:spacing w:val="-3"/>
          <w:sz w:val="24"/>
        </w:rPr>
        <w:t> </w:t>
      </w:r>
      <w:r>
        <w:rPr>
          <w:sz w:val="24"/>
        </w:rPr>
        <w:t>hand</w:t>
      </w:r>
      <w:r>
        <w:rPr>
          <w:spacing w:val="-3"/>
          <w:sz w:val="24"/>
        </w:rPr>
        <w:t> </w:t>
      </w:r>
      <w:r>
        <w:rPr>
          <w:sz w:val="24"/>
        </w:rPr>
        <w:t>writing</w:t>
      </w:r>
      <w:r>
        <w:rPr>
          <w:spacing w:val="-2"/>
          <w:sz w:val="24"/>
        </w:rPr>
        <w:t> guides;</w:t>
      </w:r>
    </w:p>
    <w:p>
      <w:pPr>
        <w:pStyle w:val="ListParagraph"/>
        <w:numPr>
          <w:ilvl w:val="0"/>
          <w:numId w:val="289"/>
        </w:numPr>
        <w:tabs>
          <w:tab w:pos="1217" w:val="left" w:leader="none"/>
        </w:tabs>
        <w:spacing w:line="240" w:lineRule="auto" w:before="204" w:after="0"/>
        <w:ind w:left="1217" w:right="0" w:hanging="425"/>
        <w:jc w:val="left"/>
        <w:rPr>
          <w:sz w:val="24"/>
        </w:rPr>
      </w:pPr>
      <w:r>
        <w:rPr>
          <w:sz w:val="24"/>
        </w:rPr>
        <w:t>reading</w:t>
      </w:r>
      <w:r>
        <w:rPr>
          <w:spacing w:val="-3"/>
          <w:sz w:val="24"/>
        </w:rPr>
        <w:t> </w:t>
      </w:r>
      <w:r>
        <w:rPr>
          <w:sz w:val="24"/>
        </w:rPr>
        <w:t>and</w:t>
      </w:r>
      <w:r>
        <w:rPr>
          <w:spacing w:val="-4"/>
          <w:sz w:val="24"/>
        </w:rPr>
        <w:t> </w:t>
      </w:r>
      <w:r>
        <w:rPr>
          <w:sz w:val="24"/>
        </w:rPr>
        <w:t>writing</w:t>
      </w:r>
      <w:r>
        <w:rPr>
          <w:spacing w:val="-2"/>
          <w:sz w:val="24"/>
        </w:rPr>
        <w:t> Braille;</w:t>
      </w:r>
    </w:p>
    <w:p>
      <w:pPr>
        <w:pStyle w:val="ListParagraph"/>
        <w:numPr>
          <w:ilvl w:val="0"/>
          <w:numId w:val="289"/>
        </w:numPr>
        <w:tabs>
          <w:tab w:pos="1218" w:val="left" w:leader="none"/>
        </w:tabs>
        <w:spacing w:line="240" w:lineRule="auto" w:before="204" w:after="0"/>
        <w:ind w:left="1218" w:right="0" w:hanging="426"/>
        <w:jc w:val="left"/>
        <w:rPr>
          <w:sz w:val="24"/>
        </w:rPr>
      </w:pPr>
      <w:r>
        <w:rPr>
          <w:spacing w:val="-2"/>
          <w:sz w:val="24"/>
        </w:rPr>
        <w:t>keyboarding;</w:t>
      </w:r>
    </w:p>
    <w:p>
      <w:pPr>
        <w:pStyle w:val="ListParagraph"/>
        <w:numPr>
          <w:ilvl w:val="0"/>
          <w:numId w:val="289"/>
        </w:numPr>
        <w:tabs>
          <w:tab w:pos="1218" w:val="left" w:leader="none"/>
        </w:tabs>
        <w:spacing w:line="240" w:lineRule="auto" w:before="204" w:after="0"/>
        <w:ind w:left="1218" w:right="0" w:hanging="426"/>
        <w:jc w:val="left"/>
        <w:rPr>
          <w:sz w:val="24"/>
        </w:rPr>
      </w:pPr>
      <w:r>
        <w:rPr>
          <w:sz w:val="24"/>
        </w:rPr>
        <w:t>using</w:t>
      </w:r>
      <w:r>
        <w:rPr>
          <w:spacing w:val="-3"/>
          <w:sz w:val="24"/>
        </w:rPr>
        <w:t> </w:t>
      </w:r>
      <w:r>
        <w:rPr>
          <w:sz w:val="24"/>
        </w:rPr>
        <w:t>the</w:t>
      </w:r>
      <w:r>
        <w:rPr>
          <w:spacing w:val="-2"/>
          <w:sz w:val="24"/>
        </w:rPr>
        <w:t> telephone;</w:t>
      </w:r>
    </w:p>
    <w:p>
      <w:pPr>
        <w:pStyle w:val="ListParagraph"/>
        <w:numPr>
          <w:ilvl w:val="0"/>
          <w:numId w:val="289"/>
        </w:numPr>
        <w:tabs>
          <w:tab w:pos="1217" w:val="left" w:leader="none"/>
        </w:tabs>
        <w:spacing w:line="240" w:lineRule="auto" w:before="204" w:after="0"/>
        <w:ind w:left="1217" w:right="0" w:hanging="425"/>
        <w:jc w:val="left"/>
        <w:rPr>
          <w:sz w:val="24"/>
        </w:rPr>
      </w:pPr>
      <w:r>
        <w:rPr>
          <w:sz w:val="24"/>
        </w:rPr>
        <w:t>taking</w:t>
      </w:r>
      <w:r>
        <w:rPr>
          <w:spacing w:val="-5"/>
          <w:sz w:val="24"/>
        </w:rPr>
        <w:t> </w:t>
      </w:r>
      <w:r>
        <w:rPr>
          <w:spacing w:val="-2"/>
          <w:sz w:val="24"/>
        </w:rPr>
        <w:t>messages;</w:t>
      </w:r>
    </w:p>
    <w:p>
      <w:pPr>
        <w:pStyle w:val="ListParagraph"/>
        <w:numPr>
          <w:ilvl w:val="0"/>
          <w:numId w:val="289"/>
        </w:numPr>
        <w:tabs>
          <w:tab w:pos="1217" w:val="left" w:leader="none"/>
        </w:tabs>
        <w:spacing w:line="240" w:lineRule="auto" w:before="204" w:after="0"/>
        <w:ind w:left="1217" w:right="0" w:hanging="425"/>
        <w:jc w:val="left"/>
        <w:rPr>
          <w:sz w:val="24"/>
        </w:rPr>
      </w:pPr>
      <w:r>
        <w:rPr>
          <w:sz w:val="24"/>
        </w:rPr>
        <w:t>telling</w:t>
      </w:r>
      <w:r>
        <w:rPr>
          <w:spacing w:val="-2"/>
          <w:sz w:val="24"/>
        </w:rPr>
        <w:t> </w:t>
      </w:r>
      <w:r>
        <w:rPr>
          <w:sz w:val="24"/>
        </w:rPr>
        <w:t>time</w:t>
      </w:r>
      <w:r>
        <w:rPr>
          <w:spacing w:val="-2"/>
          <w:sz w:val="24"/>
        </w:rPr>
        <w:t> </w:t>
      </w:r>
      <w:r>
        <w:rPr>
          <w:sz w:val="24"/>
        </w:rPr>
        <w:t>–</w:t>
      </w:r>
      <w:r>
        <w:rPr>
          <w:spacing w:val="-2"/>
          <w:sz w:val="24"/>
        </w:rPr>
        <w:t> </w:t>
      </w:r>
      <w:r>
        <w:rPr>
          <w:sz w:val="24"/>
        </w:rPr>
        <w:t>watch</w:t>
      </w:r>
      <w:r>
        <w:rPr>
          <w:spacing w:val="-2"/>
          <w:sz w:val="24"/>
        </w:rPr>
        <w:t> </w:t>
      </w:r>
      <w:r>
        <w:rPr>
          <w:sz w:val="24"/>
        </w:rPr>
        <w:t>and</w:t>
      </w:r>
      <w:r>
        <w:rPr>
          <w:spacing w:val="-2"/>
          <w:sz w:val="24"/>
        </w:rPr>
        <w:t> clock;</w:t>
      </w:r>
    </w:p>
    <w:p>
      <w:pPr>
        <w:pStyle w:val="ListParagraph"/>
        <w:numPr>
          <w:ilvl w:val="0"/>
          <w:numId w:val="289"/>
        </w:numPr>
        <w:tabs>
          <w:tab w:pos="1218" w:val="left" w:leader="none"/>
        </w:tabs>
        <w:spacing w:line="208" w:lineRule="auto" w:before="233" w:after="0"/>
        <w:ind w:left="792" w:right="1762" w:firstLine="0"/>
        <w:jc w:val="left"/>
        <w:rPr>
          <w:sz w:val="24"/>
        </w:rPr>
      </w:pPr>
      <w:r>
        <w:rPr>
          <w:sz w:val="24"/>
        </w:rPr>
        <w:t>evaluating</w:t>
      </w:r>
      <w:r>
        <w:rPr>
          <w:spacing w:val="-5"/>
          <w:sz w:val="24"/>
        </w:rPr>
        <w:t> </w:t>
      </w:r>
      <w:r>
        <w:rPr>
          <w:sz w:val="24"/>
        </w:rPr>
        <w:t>the</w:t>
      </w:r>
      <w:r>
        <w:rPr>
          <w:spacing w:val="-5"/>
          <w:sz w:val="24"/>
        </w:rPr>
        <w:t> </w:t>
      </w:r>
      <w:r>
        <w:rPr>
          <w:sz w:val="24"/>
        </w:rPr>
        <w:t>need</w:t>
      </w:r>
      <w:r>
        <w:rPr>
          <w:spacing w:val="-5"/>
          <w:sz w:val="24"/>
        </w:rPr>
        <w:t> </w:t>
      </w:r>
      <w:r>
        <w:rPr>
          <w:sz w:val="24"/>
        </w:rPr>
        <w:t>for</w:t>
      </w:r>
      <w:r>
        <w:rPr>
          <w:spacing w:val="-4"/>
          <w:sz w:val="24"/>
        </w:rPr>
        <w:t> </w:t>
      </w:r>
      <w:r>
        <w:rPr>
          <w:sz w:val="24"/>
        </w:rPr>
        <w:t>assistive</w:t>
      </w:r>
      <w:r>
        <w:rPr>
          <w:spacing w:val="-5"/>
          <w:sz w:val="24"/>
        </w:rPr>
        <w:t> </w:t>
      </w:r>
      <w:r>
        <w:rPr>
          <w:sz w:val="24"/>
        </w:rPr>
        <w:t>listening</w:t>
      </w:r>
      <w:r>
        <w:rPr>
          <w:spacing w:val="-4"/>
          <w:sz w:val="24"/>
        </w:rPr>
        <w:t> </w:t>
      </w:r>
      <w:r>
        <w:rPr>
          <w:sz w:val="24"/>
        </w:rPr>
        <w:t>devices</w:t>
      </w:r>
      <w:r>
        <w:rPr>
          <w:spacing w:val="-5"/>
          <w:sz w:val="24"/>
        </w:rPr>
        <w:t> </w:t>
      </w:r>
      <w:r>
        <w:rPr>
          <w:sz w:val="24"/>
        </w:rPr>
        <w:t>for</w:t>
      </w:r>
      <w:r>
        <w:rPr>
          <w:spacing w:val="-4"/>
          <w:sz w:val="24"/>
        </w:rPr>
        <w:t> </w:t>
      </w:r>
      <w:r>
        <w:rPr>
          <w:sz w:val="24"/>
        </w:rPr>
        <w:t>hearing</w:t>
      </w:r>
      <w:r>
        <w:rPr>
          <w:spacing w:val="-5"/>
          <w:sz w:val="24"/>
        </w:rPr>
        <w:t> </w:t>
      </w:r>
      <w:r>
        <w:rPr>
          <w:sz w:val="24"/>
        </w:rPr>
        <w:t>impaired </w:t>
      </w:r>
      <w:r>
        <w:rPr>
          <w:spacing w:val="-2"/>
          <w:sz w:val="24"/>
        </w:rPr>
        <w:t>consumers;</w:t>
      </w:r>
    </w:p>
    <w:p>
      <w:pPr>
        <w:pStyle w:val="ListParagraph"/>
        <w:numPr>
          <w:ilvl w:val="0"/>
          <w:numId w:val="289"/>
        </w:numPr>
        <w:tabs>
          <w:tab w:pos="1218" w:val="left" w:leader="none"/>
        </w:tabs>
        <w:spacing w:line="240" w:lineRule="auto" w:before="211" w:after="0"/>
        <w:ind w:left="1218" w:right="0" w:hanging="426"/>
        <w:jc w:val="left"/>
        <w:rPr>
          <w:sz w:val="24"/>
        </w:rPr>
      </w:pPr>
      <w:r>
        <w:rPr>
          <w:sz w:val="24"/>
        </w:rPr>
        <w:t>developing</w:t>
      </w:r>
      <w:r>
        <w:rPr>
          <w:spacing w:val="-6"/>
          <w:sz w:val="24"/>
        </w:rPr>
        <w:t> </w:t>
      </w:r>
      <w:r>
        <w:rPr>
          <w:sz w:val="24"/>
        </w:rPr>
        <w:t>skills</w:t>
      </w:r>
      <w:r>
        <w:rPr>
          <w:spacing w:val="-3"/>
          <w:sz w:val="24"/>
        </w:rPr>
        <w:t> </w:t>
      </w:r>
      <w:r>
        <w:rPr>
          <w:sz w:val="24"/>
        </w:rPr>
        <w:t>in</w:t>
      </w:r>
      <w:r>
        <w:rPr>
          <w:spacing w:val="-3"/>
          <w:sz w:val="24"/>
        </w:rPr>
        <w:t> </w:t>
      </w:r>
      <w:r>
        <w:rPr>
          <w:sz w:val="24"/>
        </w:rPr>
        <w:t>expressive</w:t>
      </w:r>
      <w:r>
        <w:rPr>
          <w:spacing w:val="-4"/>
          <w:sz w:val="24"/>
        </w:rPr>
        <w:t> </w:t>
      </w:r>
      <w:r>
        <w:rPr>
          <w:sz w:val="24"/>
        </w:rPr>
        <w:t>and</w:t>
      </w:r>
      <w:r>
        <w:rPr>
          <w:spacing w:val="-3"/>
          <w:sz w:val="24"/>
        </w:rPr>
        <w:t> </w:t>
      </w:r>
      <w:r>
        <w:rPr>
          <w:sz w:val="24"/>
        </w:rPr>
        <w:t>receptive</w:t>
      </w:r>
      <w:r>
        <w:rPr>
          <w:spacing w:val="-3"/>
          <w:sz w:val="24"/>
        </w:rPr>
        <w:t> </w:t>
      </w:r>
      <w:r>
        <w:rPr>
          <w:spacing w:val="-2"/>
          <w:sz w:val="24"/>
        </w:rPr>
        <w:t>communications;</w:t>
      </w:r>
    </w:p>
    <w:p>
      <w:pPr>
        <w:pStyle w:val="ListParagraph"/>
        <w:numPr>
          <w:ilvl w:val="0"/>
          <w:numId w:val="289"/>
        </w:numPr>
        <w:tabs>
          <w:tab w:pos="1218" w:val="left" w:leader="none"/>
        </w:tabs>
        <w:spacing w:line="240" w:lineRule="auto" w:before="204" w:after="0"/>
        <w:ind w:left="1218" w:right="0" w:hanging="426"/>
        <w:jc w:val="left"/>
        <w:rPr>
          <w:sz w:val="24"/>
        </w:rPr>
      </w:pPr>
      <w:r>
        <w:rPr>
          <w:sz w:val="24"/>
        </w:rPr>
        <w:t>utilizing</w:t>
      </w:r>
      <w:r>
        <w:rPr>
          <w:spacing w:val="-7"/>
          <w:sz w:val="24"/>
        </w:rPr>
        <w:t> </w:t>
      </w:r>
      <w:r>
        <w:rPr>
          <w:sz w:val="24"/>
        </w:rPr>
        <w:t>access</w:t>
      </w:r>
      <w:r>
        <w:rPr>
          <w:spacing w:val="-5"/>
          <w:sz w:val="24"/>
        </w:rPr>
        <w:t> </w:t>
      </w:r>
      <w:r>
        <w:rPr>
          <w:sz w:val="24"/>
        </w:rPr>
        <w:t>technology</w:t>
      </w:r>
      <w:r>
        <w:rPr>
          <w:spacing w:val="-4"/>
          <w:sz w:val="24"/>
        </w:rPr>
        <w:t> </w:t>
      </w:r>
      <w:r>
        <w:rPr>
          <w:sz w:val="24"/>
        </w:rPr>
        <w:t>when</w:t>
      </w:r>
      <w:r>
        <w:rPr>
          <w:spacing w:val="-5"/>
          <w:sz w:val="24"/>
        </w:rPr>
        <w:t> </w:t>
      </w:r>
      <w:r>
        <w:rPr>
          <w:sz w:val="24"/>
        </w:rPr>
        <w:t>appropriate;</w:t>
      </w:r>
      <w:r>
        <w:rPr>
          <w:spacing w:val="-4"/>
          <w:sz w:val="24"/>
        </w:rPr>
        <w:t> </w:t>
      </w:r>
      <w:r>
        <w:rPr>
          <w:spacing w:val="-5"/>
          <w:sz w:val="24"/>
        </w:rPr>
        <w:t>and</w:t>
      </w:r>
    </w:p>
    <w:p>
      <w:pPr>
        <w:pStyle w:val="ListParagraph"/>
        <w:numPr>
          <w:ilvl w:val="0"/>
          <w:numId w:val="289"/>
        </w:numPr>
        <w:tabs>
          <w:tab w:pos="1351" w:val="left" w:leader="none"/>
        </w:tabs>
        <w:spacing w:line="417" w:lineRule="auto" w:before="204" w:after="0"/>
        <w:ind w:left="360" w:right="3282" w:firstLine="432"/>
        <w:jc w:val="left"/>
        <w:rPr>
          <w:sz w:val="24"/>
        </w:rPr>
      </w:pPr>
      <w:r>
        <w:rPr>
          <w:sz w:val="24"/>
        </w:rPr>
        <w:t>use</w:t>
      </w:r>
      <w:r>
        <w:rPr>
          <w:spacing w:val="-7"/>
          <w:sz w:val="24"/>
        </w:rPr>
        <w:t> </w:t>
      </w:r>
      <w:r>
        <w:rPr>
          <w:sz w:val="24"/>
        </w:rPr>
        <w:t>of</w:t>
      </w:r>
      <w:r>
        <w:rPr>
          <w:spacing w:val="-7"/>
          <w:sz w:val="24"/>
        </w:rPr>
        <w:t> </w:t>
      </w:r>
      <w:r>
        <w:rPr>
          <w:sz w:val="24"/>
        </w:rPr>
        <w:t>communication</w:t>
      </w:r>
      <w:r>
        <w:rPr>
          <w:spacing w:val="-7"/>
          <w:sz w:val="24"/>
        </w:rPr>
        <w:t> </w:t>
      </w:r>
      <w:r>
        <w:rPr>
          <w:sz w:val="24"/>
        </w:rPr>
        <w:t>technology</w:t>
      </w:r>
      <w:r>
        <w:rPr>
          <w:spacing w:val="-7"/>
          <w:sz w:val="24"/>
        </w:rPr>
        <w:t> </w:t>
      </w:r>
      <w:r>
        <w:rPr>
          <w:sz w:val="24"/>
        </w:rPr>
        <w:t>devices</w:t>
      </w:r>
      <w:r>
        <w:rPr>
          <w:spacing w:val="-7"/>
          <w:sz w:val="24"/>
        </w:rPr>
        <w:t> </w:t>
      </w:r>
      <w:r>
        <w:rPr>
          <w:sz w:val="24"/>
        </w:rPr>
        <w:t>(e.g.</w:t>
      </w:r>
      <w:r>
        <w:rPr>
          <w:spacing w:val="-6"/>
          <w:sz w:val="24"/>
        </w:rPr>
        <w:t> </w:t>
      </w:r>
      <w:r>
        <w:rPr>
          <w:sz w:val="24"/>
        </w:rPr>
        <w:t>iPads). INSTRUCTIONS TO STAFF</w:t>
      </w:r>
    </w:p>
    <w:p>
      <w:pPr>
        <w:pStyle w:val="BodyText"/>
        <w:spacing w:line="208" w:lineRule="auto" w:before="28"/>
        <w:ind w:left="792" w:right="775"/>
      </w:pPr>
      <w:r>
        <w:rPr/>
        <w:t>1. The Rehabilitation Teacher will assist hearing impaired consumers in locating resources</w:t>
      </w:r>
      <w:r>
        <w:rPr>
          <w:spacing w:val="-4"/>
        </w:rPr>
        <w:t> </w:t>
      </w:r>
      <w:r>
        <w:rPr/>
        <w:t>for</w:t>
      </w:r>
      <w:r>
        <w:rPr>
          <w:spacing w:val="-3"/>
        </w:rPr>
        <w:t> </w:t>
      </w:r>
      <w:r>
        <w:rPr/>
        <w:t>the</w:t>
      </w:r>
      <w:r>
        <w:rPr>
          <w:spacing w:val="-4"/>
        </w:rPr>
        <w:t> </w:t>
      </w:r>
      <w:r>
        <w:rPr/>
        <w:t>purchase</w:t>
      </w:r>
      <w:r>
        <w:rPr>
          <w:spacing w:val="-4"/>
        </w:rPr>
        <w:t> </w:t>
      </w:r>
      <w:r>
        <w:rPr/>
        <w:t>of</w:t>
      </w:r>
      <w:r>
        <w:rPr>
          <w:spacing w:val="-3"/>
        </w:rPr>
        <w:t> </w:t>
      </w:r>
      <w:r>
        <w:rPr/>
        <w:t>prescribed</w:t>
      </w:r>
      <w:r>
        <w:rPr>
          <w:spacing w:val="-4"/>
        </w:rPr>
        <w:t> </w:t>
      </w:r>
      <w:r>
        <w:rPr/>
        <w:t>hearing</w:t>
      </w:r>
      <w:r>
        <w:rPr>
          <w:spacing w:val="-4"/>
        </w:rPr>
        <w:t> </w:t>
      </w:r>
      <w:r>
        <w:rPr/>
        <w:t>aids</w:t>
      </w:r>
      <w:r>
        <w:rPr>
          <w:spacing w:val="-4"/>
        </w:rPr>
        <w:t> </w:t>
      </w:r>
      <w:r>
        <w:rPr/>
        <w:t>including</w:t>
      </w:r>
      <w:r>
        <w:rPr>
          <w:spacing w:val="-4"/>
        </w:rPr>
        <w:t> </w:t>
      </w:r>
      <w:r>
        <w:rPr/>
        <w:t>the</w:t>
      </w:r>
      <w:r>
        <w:rPr>
          <w:spacing w:val="-4"/>
        </w:rPr>
        <w:t> </w:t>
      </w:r>
      <w:r>
        <w:rPr/>
        <w:t>Senior</w:t>
      </w:r>
      <w:r>
        <w:rPr>
          <w:spacing w:val="-3"/>
        </w:rPr>
        <w:t> </w:t>
      </w:r>
      <w:r>
        <w:rPr/>
        <w:t>Hearing Aid Program.</w:t>
      </w:r>
      <w:r>
        <w:rPr>
          <w:spacing w:val="40"/>
        </w:rPr>
        <w:t> </w:t>
      </w:r>
      <w:r>
        <w:rPr/>
        <w:t>Hearing aids will not be purchased through OB funds.</w:t>
      </w:r>
    </w:p>
    <w:p>
      <w:pPr>
        <w:pStyle w:val="BodyText"/>
        <w:spacing w:line="208" w:lineRule="auto"/>
        <w:ind w:left="791" w:right="775"/>
      </w:pPr>
      <w:r>
        <w:rPr/>
        <w:t>Referral</w:t>
      </w:r>
      <w:r>
        <w:rPr>
          <w:spacing w:val="-4"/>
        </w:rPr>
        <w:t> </w:t>
      </w:r>
      <w:r>
        <w:rPr/>
        <w:t>will</w:t>
      </w:r>
      <w:r>
        <w:rPr>
          <w:spacing w:val="-4"/>
        </w:rPr>
        <w:t> </w:t>
      </w:r>
      <w:r>
        <w:rPr/>
        <w:t>be</w:t>
      </w:r>
      <w:r>
        <w:rPr>
          <w:spacing w:val="-4"/>
        </w:rPr>
        <w:t> </w:t>
      </w:r>
      <w:r>
        <w:rPr/>
        <w:t>made</w:t>
      </w:r>
      <w:r>
        <w:rPr>
          <w:spacing w:val="-4"/>
        </w:rPr>
        <w:t> </w:t>
      </w:r>
      <w:r>
        <w:rPr/>
        <w:t>on</w:t>
      </w:r>
      <w:r>
        <w:rPr>
          <w:spacing w:val="-4"/>
        </w:rPr>
        <w:t> </w:t>
      </w:r>
      <w:r>
        <w:rPr/>
        <w:t>the</w:t>
      </w:r>
      <w:r>
        <w:rPr>
          <w:spacing w:val="-4"/>
        </w:rPr>
        <w:t> </w:t>
      </w:r>
      <w:hyperlink r:id="rId83">
        <w:r>
          <w:rPr>
            <w:color w:val="0000FF"/>
            <w:u w:val="single" w:color="0000FF"/>
          </w:rPr>
          <w:t>DRS-C-17</w:t>
        </w:r>
      </w:hyperlink>
      <w:r>
        <w:rPr>
          <w:color w:val="0000FF"/>
          <w:spacing w:val="-4"/>
          <w:u w:val="none"/>
        </w:rPr>
        <w:t> </w:t>
      </w:r>
      <w:r>
        <w:rPr>
          <w:u w:val="none"/>
        </w:rPr>
        <w:t>to</w:t>
      </w:r>
      <w:r>
        <w:rPr>
          <w:spacing w:val="-4"/>
          <w:u w:val="none"/>
        </w:rPr>
        <w:t> </w:t>
      </w:r>
      <w:r>
        <w:rPr>
          <w:u w:val="none"/>
        </w:rPr>
        <w:t>the</w:t>
      </w:r>
      <w:r>
        <w:rPr>
          <w:spacing w:val="-4"/>
          <w:u w:val="none"/>
        </w:rPr>
        <w:t> </w:t>
      </w:r>
      <w:r>
        <w:rPr>
          <w:u w:val="none"/>
        </w:rPr>
        <w:t>Division's</w:t>
      </w:r>
      <w:r>
        <w:rPr>
          <w:spacing w:val="-4"/>
          <w:u w:val="none"/>
        </w:rPr>
        <w:t> </w:t>
      </w:r>
      <w:r>
        <w:rPr>
          <w:u w:val="none"/>
        </w:rPr>
        <w:t>Deaf-Blind</w:t>
      </w:r>
      <w:r>
        <w:rPr>
          <w:spacing w:val="-4"/>
          <w:u w:val="none"/>
        </w:rPr>
        <w:t> </w:t>
      </w:r>
      <w:r>
        <w:rPr>
          <w:u w:val="none"/>
        </w:rPr>
        <w:t>Specialist</w:t>
      </w:r>
      <w:r>
        <w:rPr>
          <w:spacing w:val="-2"/>
          <w:u w:val="none"/>
        </w:rPr>
        <w:t> </w:t>
      </w:r>
      <w:r>
        <w:rPr>
          <w:u w:val="none"/>
        </w:rPr>
        <w:t>when appropriate for specific services required for those consumers who are deaf-blind.</w:t>
      </w:r>
    </w:p>
    <w:p>
      <w:pPr>
        <w:pStyle w:val="BodyText"/>
        <w:spacing w:before="211"/>
        <w:ind w:left="791"/>
      </w:pPr>
      <w:r>
        <w:rPr/>
        <w:t>Refer</w:t>
      </w:r>
      <w:r>
        <w:rPr>
          <w:spacing w:val="-5"/>
        </w:rPr>
        <w:t> </w:t>
      </w:r>
      <w:r>
        <w:rPr/>
        <w:t>to</w:t>
      </w:r>
      <w:r>
        <w:rPr>
          <w:spacing w:val="-4"/>
        </w:rPr>
        <w:t> </w:t>
      </w:r>
      <w:hyperlink w:history="true" w:anchor="_bookmark29">
        <w:r>
          <w:rPr>
            <w:color w:val="0000FF"/>
            <w:u w:val="single" w:color="0000FF"/>
          </w:rPr>
          <w:t>612:10-7-222</w:t>
        </w:r>
      </w:hyperlink>
      <w:r>
        <w:rPr>
          <w:color w:val="0000FF"/>
          <w:spacing w:val="-3"/>
          <w:u w:val="none"/>
        </w:rPr>
        <w:t> </w:t>
      </w:r>
      <w:r>
        <w:rPr>
          <w:u w:val="none"/>
        </w:rPr>
        <w:t>regarding</w:t>
      </w:r>
      <w:r>
        <w:rPr>
          <w:spacing w:val="-4"/>
          <w:u w:val="none"/>
        </w:rPr>
        <w:t> </w:t>
      </w:r>
      <w:r>
        <w:rPr>
          <w:u w:val="none"/>
        </w:rPr>
        <w:t>the</w:t>
      </w:r>
      <w:r>
        <w:rPr>
          <w:spacing w:val="-3"/>
          <w:u w:val="none"/>
        </w:rPr>
        <w:t> </w:t>
      </w:r>
      <w:r>
        <w:rPr>
          <w:u w:val="none"/>
        </w:rPr>
        <w:t>purchase</w:t>
      </w:r>
      <w:r>
        <w:rPr>
          <w:spacing w:val="-4"/>
          <w:u w:val="none"/>
        </w:rPr>
        <w:t> </w:t>
      </w:r>
      <w:r>
        <w:rPr>
          <w:u w:val="none"/>
        </w:rPr>
        <w:t>of</w:t>
      </w:r>
      <w:r>
        <w:rPr>
          <w:spacing w:val="-2"/>
          <w:u w:val="none"/>
        </w:rPr>
        <w:t> </w:t>
      </w:r>
      <w:r>
        <w:rPr>
          <w:u w:val="none"/>
        </w:rPr>
        <w:t>assistive</w:t>
      </w:r>
      <w:r>
        <w:rPr>
          <w:spacing w:val="-4"/>
          <w:u w:val="none"/>
        </w:rPr>
        <w:t> </w:t>
      </w:r>
      <w:r>
        <w:rPr>
          <w:u w:val="none"/>
        </w:rPr>
        <w:t>technology</w:t>
      </w:r>
      <w:r>
        <w:rPr>
          <w:spacing w:val="-3"/>
          <w:u w:val="none"/>
        </w:rPr>
        <w:t> </w:t>
      </w:r>
      <w:r>
        <w:rPr>
          <w:spacing w:val="-2"/>
          <w:u w:val="none"/>
        </w:rPr>
        <w:t>devices.</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05</w:t>
      </w:r>
      <w:r>
        <w:rPr>
          <w:sz w:val="22"/>
        </w:rPr>
        <w:tab/>
        <w:t>PT</w:t>
      </w:r>
      <w:r>
        <w:rPr>
          <w:spacing w:val="-8"/>
          <w:sz w:val="22"/>
        </w:rPr>
        <w:t> </w:t>
      </w:r>
      <w:r>
        <w:rPr>
          <w:sz w:val="22"/>
        </w:rPr>
        <w:t>Memo</w:t>
      </w:r>
      <w:r>
        <w:rPr>
          <w:spacing w:val="-8"/>
          <w:sz w:val="22"/>
        </w:rPr>
        <w:t> </w:t>
      </w:r>
      <w:r>
        <w:rPr>
          <w:sz w:val="22"/>
        </w:rPr>
        <w:t>#06-</w:t>
      </w:r>
      <w:r>
        <w:rPr>
          <w:spacing w:val="-5"/>
          <w:sz w:val="22"/>
        </w:rPr>
        <w:t>01</w:t>
      </w:r>
    </w:p>
    <w:p>
      <w:pPr>
        <w:tabs>
          <w:tab w:pos="1439" w:val="left" w:leader="none"/>
        </w:tabs>
        <w:spacing w:before="0"/>
        <w:ind w:left="360" w:right="5133" w:firstLine="1080"/>
        <w:jc w:val="left"/>
        <w:rPr>
          <w:sz w:val="22"/>
        </w:rPr>
      </w:pPr>
      <w:r>
        <w:rPr>
          <w:sz w:val="22"/>
        </w:rPr>
        <w:t>Permanent,</w:t>
      </w:r>
      <w:r>
        <w:rPr>
          <w:spacing w:val="-7"/>
          <w:sz w:val="22"/>
        </w:rPr>
        <w:t> </w:t>
      </w:r>
      <w:r>
        <w:rPr>
          <w:sz w:val="22"/>
        </w:rPr>
        <w:t>New</w:t>
      </w:r>
      <w:r>
        <w:rPr>
          <w:spacing w:val="-9"/>
          <w:sz w:val="22"/>
        </w:rPr>
        <w:t> </w:t>
      </w:r>
      <w:r>
        <w:rPr>
          <w:sz w:val="22"/>
        </w:rPr>
        <w:t>section</w:t>
      </w:r>
      <w:r>
        <w:rPr>
          <w:spacing w:val="-8"/>
          <w:sz w:val="22"/>
        </w:rPr>
        <w:t> </w:t>
      </w:r>
      <w:r>
        <w:rPr>
          <w:sz w:val="22"/>
        </w:rPr>
        <w:t>for</w:t>
      </w:r>
      <w:r>
        <w:rPr>
          <w:spacing w:val="-8"/>
          <w:sz w:val="22"/>
        </w:rPr>
        <w:t> </w:t>
      </w:r>
      <w:r>
        <w:rPr>
          <w:sz w:val="22"/>
        </w:rPr>
        <w:t>Older</w:t>
      </w:r>
      <w:r>
        <w:rPr>
          <w:spacing w:val="-8"/>
          <w:sz w:val="22"/>
        </w:rPr>
        <w:t> </w:t>
      </w:r>
      <w:r>
        <w:rPr>
          <w:sz w:val="22"/>
        </w:rPr>
        <w:t>Blind </w:t>
      </w:r>
      <w:r>
        <w:rPr>
          <w:spacing w:val="-2"/>
          <w:sz w:val="22"/>
        </w:rPr>
        <w:t>7-1-11</w:t>
      </w:r>
      <w:r>
        <w:rPr>
          <w:sz w:val="22"/>
        </w:rPr>
        <w:tab/>
        <w:t>PT Memo #12-01</w:t>
      </w:r>
    </w:p>
    <w:p>
      <w:pPr>
        <w:spacing w:before="0"/>
        <w:ind w:left="1439" w:right="0" w:firstLine="0"/>
        <w:jc w:val="left"/>
        <w:rPr>
          <w:sz w:val="22"/>
        </w:rPr>
      </w:pPr>
      <w:r>
        <w:rPr>
          <w:sz w:val="22"/>
        </w:rPr>
        <w:t>Permanent,</w:t>
      </w:r>
      <w:r>
        <w:rPr>
          <w:spacing w:val="-7"/>
          <w:sz w:val="22"/>
        </w:rPr>
        <w:t> </w:t>
      </w:r>
      <w:r>
        <w:rPr>
          <w:sz w:val="22"/>
        </w:rPr>
        <w:t>revised</w:t>
      </w:r>
      <w:r>
        <w:rPr>
          <w:spacing w:val="-7"/>
          <w:sz w:val="22"/>
        </w:rPr>
        <w:t> </w:t>
      </w:r>
      <w:r>
        <w:rPr>
          <w:sz w:val="22"/>
        </w:rPr>
        <w:t>referenced</w:t>
      </w:r>
      <w:r>
        <w:rPr>
          <w:spacing w:val="-7"/>
          <w:sz w:val="22"/>
        </w:rPr>
        <w:t> </w:t>
      </w:r>
      <w:r>
        <w:rPr>
          <w:sz w:val="22"/>
        </w:rPr>
        <w:t>policy</w:t>
      </w:r>
      <w:r>
        <w:rPr>
          <w:spacing w:val="-8"/>
          <w:sz w:val="22"/>
        </w:rPr>
        <w:t> </w:t>
      </w:r>
      <w:r>
        <w:rPr>
          <w:sz w:val="22"/>
        </w:rPr>
        <w:t>from</w:t>
      </w:r>
      <w:r>
        <w:rPr>
          <w:spacing w:val="-8"/>
          <w:sz w:val="22"/>
        </w:rPr>
        <w:t> </w:t>
      </w:r>
      <w:r>
        <w:rPr>
          <w:sz w:val="22"/>
        </w:rPr>
        <w:t>206</w:t>
      </w:r>
      <w:r>
        <w:rPr>
          <w:spacing w:val="-7"/>
          <w:sz w:val="22"/>
        </w:rPr>
        <w:t> </w:t>
      </w:r>
      <w:r>
        <w:rPr>
          <w:sz w:val="22"/>
        </w:rPr>
        <w:t>to</w:t>
      </w:r>
      <w:r>
        <w:rPr>
          <w:spacing w:val="-7"/>
          <w:sz w:val="22"/>
        </w:rPr>
        <w:t> </w:t>
      </w:r>
      <w:r>
        <w:rPr>
          <w:spacing w:val="-5"/>
          <w:sz w:val="22"/>
        </w:rPr>
        <w:t>222</w:t>
      </w:r>
    </w:p>
    <w:p>
      <w:pPr>
        <w:tabs>
          <w:tab w:pos="1439" w:val="left" w:leader="none"/>
        </w:tabs>
        <w:spacing w:before="0"/>
        <w:ind w:left="360" w:right="0" w:firstLine="0"/>
        <w:jc w:val="left"/>
        <w:rPr>
          <w:sz w:val="22"/>
        </w:rPr>
      </w:pPr>
      <w:r>
        <w:rPr>
          <w:spacing w:val="-2"/>
          <w:sz w:val="22"/>
        </w:rPr>
        <w:t>8-25-</w:t>
      </w:r>
      <w:r>
        <w:rPr>
          <w:spacing w:val="-5"/>
          <w:sz w:val="22"/>
        </w:rPr>
        <w:t>16</w:t>
      </w:r>
      <w:r>
        <w:rPr>
          <w:sz w:val="22"/>
        </w:rPr>
        <w:tab/>
        <w:t>Added</w:t>
      </w:r>
      <w:r>
        <w:rPr>
          <w:spacing w:val="-8"/>
          <w:sz w:val="22"/>
        </w:rPr>
        <w:t> </w:t>
      </w:r>
      <w:r>
        <w:rPr>
          <w:sz w:val="22"/>
        </w:rPr>
        <w:t>section</w:t>
      </w:r>
      <w:r>
        <w:rPr>
          <w:spacing w:val="-7"/>
          <w:sz w:val="22"/>
        </w:rPr>
        <w:t> </w:t>
      </w:r>
      <w:r>
        <w:rPr>
          <w:sz w:val="22"/>
        </w:rPr>
        <w:t>(10)</w:t>
      </w:r>
      <w:r>
        <w:rPr>
          <w:spacing w:val="-8"/>
          <w:sz w:val="22"/>
        </w:rPr>
        <w:t> </w:t>
      </w:r>
      <w:r>
        <w:rPr>
          <w:sz w:val="22"/>
        </w:rPr>
        <w:t>use</w:t>
      </w:r>
      <w:r>
        <w:rPr>
          <w:spacing w:val="-8"/>
          <w:sz w:val="22"/>
        </w:rPr>
        <w:t> </w:t>
      </w:r>
      <w:r>
        <w:rPr>
          <w:sz w:val="22"/>
        </w:rPr>
        <w:t>of</w:t>
      </w:r>
      <w:r>
        <w:rPr>
          <w:spacing w:val="-8"/>
          <w:sz w:val="22"/>
        </w:rPr>
        <w:t> </w:t>
      </w:r>
      <w:r>
        <w:rPr>
          <w:sz w:val="22"/>
        </w:rPr>
        <w:t>communication</w:t>
      </w:r>
      <w:r>
        <w:rPr>
          <w:spacing w:val="-7"/>
          <w:sz w:val="22"/>
        </w:rPr>
        <w:t> </w:t>
      </w:r>
      <w:r>
        <w:rPr>
          <w:sz w:val="22"/>
        </w:rPr>
        <w:t>technology</w:t>
      </w:r>
      <w:r>
        <w:rPr>
          <w:spacing w:val="-8"/>
          <w:sz w:val="22"/>
        </w:rPr>
        <w:t> </w:t>
      </w:r>
      <w:r>
        <w:rPr>
          <w:spacing w:val="-2"/>
          <w:sz w:val="22"/>
        </w:rPr>
        <w:t>devices.</w:t>
      </w:r>
    </w:p>
    <w:p>
      <w:pPr>
        <w:spacing w:after="0"/>
        <w:jc w:val="left"/>
        <w:rPr>
          <w:sz w:val="22"/>
        </w:rPr>
        <w:sectPr>
          <w:pgSz w:w="12240" w:h="15840"/>
          <w:pgMar w:top="1340" w:bottom="280" w:left="1080" w:right="720"/>
        </w:sectPr>
      </w:pPr>
    </w:p>
    <w:p>
      <w:pPr>
        <w:pStyle w:val="Heading2"/>
      </w:pPr>
      <w:bookmarkStart w:name="612:10-11-59.  Advocacy" w:id="283"/>
      <w:bookmarkEnd w:id="283"/>
      <w:r>
        <w:rPr>
          <w:b w:val="0"/>
        </w:rPr>
      </w:r>
      <w:r>
        <w:rPr/>
        <w:t>612:10-11-59.</w:t>
      </w:r>
      <w:r>
        <w:rPr>
          <w:spacing w:val="58"/>
        </w:rPr>
        <w:t> </w:t>
      </w:r>
      <w:r>
        <w:rPr>
          <w:spacing w:val="-2"/>
        </w:rPr>
        <w:t>Advocacy</w:t>
      </w:r>
    </w:p>
    <w:p>
      <w:pPr>
        <w:pStyle w:val="BodyText"/>
        <w:spacing w:line="208" w:lineRule="auto" w:before="233"/>
        <w:ind w:right="739" w:firstLine="432"/>
      </w:pPr>
      <w:r>
        <w:rPr/>
        <w:t>Staff will instruct consumers how to advocate for one's self, making one's needs known</w:t>
      </w:r>
      <w:r>
        <w:rPr>
          <w:spacing w:val="-3"/>
        </w:rPr>
        <w:t> </w:t>
      </w:r>
      <w:r>
        <w:rPr/>
        <w:t>in</w:t>
      </w:r>
      <w:r>
        <w:rPr>
          <w:spacing w:val="-3"/>
        </w:rPr>
        <w:t> </w:t>
      </w:r>
      <w:r>
        <w:rPr/>
        <w:t>an</w:t>
      </w:r>
      <w:r>
        <w:rPr>
          <w:spacing w:val="-3"/>
        </w:rPr>
        <w:t> </w:t>
      </w:r>
      <w:r>
        <w:rPr/>
        <w:t>assertive</w:t>
      </w:r>
      <w:r>
        <w:rPr>
          <w:spacing w:val="-3"/>
        </w:rPr>
        <w:t> </w:t>
      </w:r>
      <w:r>
        <w:rPr/>
        <w:t>and</w:t>
      </w:r>
      <w:r>
        <w:rPr>
          <w:spacing w:val="-3"/>
        </w:rPr>
        <w:t> </w:t>
      </w:r>
      <w:r>
        <w:rPr/>
        <w:t>positive</w:t>
      </w:r>
      <w:r>
        <w:rPr>
          <w:spacing w:val="-3"/>
        </w:rPr>
        <w:t> </w:t>
      </w:r>
      <w:r>
        <w:rPr/>
        <w:t>manner;</w:t>
      </w:r>
      <w:r>
        <w:rPr>
          <w:spacing w:val="-4"/>
        </w:rPr>
        <w:t> </w:t>
      </w:r>
      <w:r>
        <w:rPr/>
        <w:t>speaking</w:t>
      </w:r>
      <w:r>
        <w:rPr>
          <w:spacing w:val="-3"/>
        </w:rPr>
        <w:t> </w:t>
      </w:r>
      <w:r>
        <w:rPr/>
        <w:t>up</w:t>
      </w:r>
      <w:r>
        <w:rPr>
          <w:spacing w:val="-3"/>
        </w:rPr>
        <w:t> </w:t>
      </w:r>
      <w:r>
        <w:rPr/>
        <w:t>for</w:t>
      </w:r>
      <w:r>
        <w:rPr>
          <w:spacing w:val="-2"/>
        </w:rPr>
        <w:t> </w:t>
      </w:r>
      <w:r>
        <w:rPr/>
        <w:t>one's</w:t>
      </w:r>
      <w:r>
        <w:rPr>
          <w:spacing w:val="-4"/>
        </w:rPr>
        <w:t> </w:t>
      </w:r>
      <w:r>
        <w:rPr/>
        <w:t>self;</w:t>
      </w:r>
      <w:r>
        <w:rPr>
          <w:spacing w:val="-2"/>
        </w:rPr>
        <w:t> </w:t>
      </w:r>
      <w:r>
        <w:rPr/>
        <w:t>and</w:t>
      </w:r>
      <w:r>
        <w:rPr>
          <w:spacing w:val="-3"/>
        </w:rPr>
        <w:t> </w:t>
      </w:r>
      <w:r>
        <w:rPr/>
        <w:t>getting</w:t>
      </w:r>
      <w:r>
        <w:rPr>
          <w:spacing w:val="-3"/>
        </w:rPr>
        <w:t> </w:t>
      </w:r>
      <w:r>
        <w:rPr/>
        <w:t>one's needs met in an appropriate way.</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7-1-</w:t>
      </w:r>
      <w:r>
        <w:rPr>
          <w:spacing w:val="-5"/>
          <w:sz w:val="22"/>
        </w:rPr>
        <w:t>05</w:t>
      </w:r>
      <w:r>
        <w:rPr>
          <w:sz w:val="22"/>
        </w:rPr>
        <w:tab/>
        <w:t>PT</w:t>
      </w:r>
      <w:r>
        <w:rPr>
          <w:spacing w:val="-8"/>
          <w:sz w:val="22"/>
        </w:rPr>
        <w:t> </w:t>
      </w:r>
      <w:r>
        <w:rPr>
          <w:sz w:val="22"/>
        </w:rPr>
        <w:t>Memo</w:t>
      </w:r>
      <w:r>
        <w:rPr>
          <w:spacing w:val="-8"/>
          <w:sz w:val="22"/>
        </w:rPr>
        <w:t> </w:t>
      </w:r>
      <w:r>
        <w:rPr>
          <w:sz w:val="22"/>
        </w:rPr>
        <w:t>#06-</w:t>
      </w:r>
      <w:r>
        <w:rPr>
          <w:spacing w:val="-5"/>
          <w:sz w:val="22"/>
        </w:rPr>
        <w:t>01</w:t>
      </w:r>
    </w:p>
    <w:p>
      <w:pPr>
        <w:spacing w:line="253" w:lineRule="exact" w:before="0"/>
        <w:ind w:left="1439" w:right="0" w:firstLine="0"/>
        <w:jc w:val="left"/>
        <w:rPr>
          <w:sz w:val="22"/>
        </w:rPr>
      </w:pPr>
      <w:r>
        <w:rPr>
          <w:sz w:val="22"/>
        </w:rPr>
        <w:t>Permanent,</w:t>
      </w:r>
      <w:r>
        <w:rPr>
          <w:spacing w:val="-7"/>
          <w:sz w:val="22"/>
        </w:rPr>
        <w:t> </w:t>
      </w:r>
      <w:r>
        <w:rPr>
          <w:sz w:val="22"/>
        </w:rPr>
        <w:t>New</w:t>
      </w:r>
      <w:r>
        <w:rPr>
          <w:spacing w:val="-7"/>
          <w:sz w:val="22"/>
        </w:rPr>
        <w:t> </w:t>
      </w:r>
      <w:r>
        <w:rPr>
          <w:sz w:val="22"/>
        </w:rPr>
        <w:t>section</w:t>
      </w:r>
      <w:r>
        <w:rPr>
          <w:spacing w:val="-7"/>
          <w:sz w:val="22"/>
        </w:rPr>
        <w:t> </w:t>
      </w:r>
      <w:r>
        <w:rPr>
          <w:sz w:val="22"/>
        </w:rPr>
        <w:t>for</w:t>
      </w:r>
      <w:r>
        <w:rPr>
          <w:spacing w:val="-7"/>
          <w:sz w:val="22"/>
        </w:rPr>
        <w:t> </w:t>
      </w:r>
      <w:r>
        <w:rPr>
          <w:sz w:val="22"/>
        </w:rPr>
        <w:t>Older</w:t>
      </w:r>
      <w:r>
        <w:rPr>
          <w:spacing w:val="-7"/>
          <w:sz w:val="22"/>
        </w:rPr>
        <w:t> </w:t>
      </w:r>
      <w:r>
        <w:rPr>
          <w:spacing w:val="-2"/>
          <w:sz w:val="22"/>
        </w:rPr>
        <w:t>Blind</w:t>
      </w:r>
    </w:p>
    <w:p>
      <w:pPr>
        <w:spacing w:after="0" w:line="253" w:lineRule="exact"/>
        <w:jc w:val="left"/>
        <w:rPr>
          <w:sz w:val="22"/>
        </w:rPr>
        <w:sectPr>
          <w:pgSz w:w="12240" w:h="15840"/>
          <w:pgMar w:top="1340" w:bottom="280" w:left="1080" w:right="720"/>
        </w:sectPr>
      </w:pPr>
    </w:p>
    <w:p>
      <w:pPr>
        <w:pStyle w:val="Heading2"/>
      </w:pPr>
      <w:bookmarkStart w:name="612:10-11-60.  Peer or Facilitated Suppo" w:id="284"/>
      <w:bookmarkEnd w:id="284"/>
      <w:r>
        <w:rPr>
          <w:b w:val="0"/>
        </w:rPr>
      </w:r>
      <w:r>
        <w:rPr/>
        <w:t>612:10-11-60.</w:t>
      </w:r>
      <w:r>
        <w:rPr>
          <w:spacing w:val="58"/>
        </w:rPr>
        <w:t> </w:t>
      </w:r>
      <w:r>
        <w:rPr/>
        <w:t>Peer</w:t>
      </w:r>
      <w:r>
        <w:rPr>
          <w:spacing w:val="-4"/>
        </w:rPr>
        <w:t> </w:t>
      </w:r>
      <w:r>
        <w:rPr/>
        <w:t>or</w:t>
      </w:r>
      <w:r>
        <w:rPr>
          <w:spacing w:val="-4"/>
        </w:rPr>
        <w:t> </w:t>
      </w:r>
      <w:r>
        <w:rPr/>
        <w:t>Facilitated</w:t>
      </w:r>
      <w:r>
        <w:rPr>
          <w:spacing w:val="-4"/>
        </w:rPr>
        <w:t> </w:t>
      </w:r>
      <w:r>
        <w:rPr/>
        <w:t>Support</w:t>
      </w:r>
      <w:r>
        <w:rPr>
          <w:spacing w:val="-3"/>
        </w:rPr>
        <w:t> </w:t>
      </w:r>
      <w:r>
        <w:rPr>
          <w:spacing w:val="-2"/>
        </w:rPr>
        <w:t>Groups</w:t>
      </w:r>
    </w:p>
    <w:p>
      <w:pPr>
        <w:pStyle w:val="BodyText"/>
        <w:spacing w:line="208" w:lineRule="auto" w:before="233"/>
        <w:ind w:right="775" w:firstLine="432"/>
      </w:pPr>
      <w:r>
        <w:rPr/>
        <w:t>Staff</w:t>
      </w:r>
      <w:r>
        <w:rPr>
          <w:spacing w:val="-4"/>
        </w:rPr>
        <w:t> </w:t>
      </w:r>
      <w:r>
        <w:rPr/>
        <w:t>will</w:t>
      </w:r>
      <w:r>
        <w:rPr>
          <w:spacing w:val="-5"/>
        </w:rPr>
        <w:t> </w:t>
      </w:r>
      <w:r>
        <w:rPr/>
        <w:t>provide</w:t>
      </w:r>
      <w:r>
        <w:rPr>
          <w:spacing w:val="-5"/>
        </w:rPr>
        <w:t> </w:t>
      </w:r>
      <w:r>
        <w:rPr/>
        <w:t>consumers</w:t>
      </w:r>
      <w:r>
        <w:rPr>
          <w:spacing w:val="-5"/>
        </w:rPr>
        <w:t> </w:t>
      </w:r>
      <w:r>
        <w:rPr/>
        <w:t>with</w:t>
      </w:r>
      <w:r>
        <w:rPr>
          <w:spacing w:val="-6"/>
        </w:rPr>
        <w:t> </w:t>
      </w:r>
      <w:r>
        <w:rPr/>
        <w:t>resource</w:t>
      </w:r>
      <w:r>
        <w:rPr>
          <w:spacing w:val="-5"/>
        </w:rPr>
        <w:t> </w:t>
      </w:r>
      <w:r>
        <w:rPr/>
        <w:t>information</w:t>
      </w:r>
      <w:r>
        <w:rPr>
          <w:spacing w:val="-5"/>
        </w:rPr>
        <w:t> </w:t>
      </w:r>
      <w:r>
        <w:rPr/>
        <w:t>regarding</w:t>
      </w:r>
      <w:r>
        <w:rPr>
          <w:spacing w:val="-5"/>
        </w:rPr>
        <w:t> </w:t>
      </w:r>
      <w:r>
        <w:rPr/>
        <w:t>peer</w:t>
      </w:r>
      <w:r>
        <w:rPr>
          <w:spacing w:val="-4"/>
        </w:rPr>
        <w:t> </w:t>
      </w:r>
      <w:r>
        <w:rPr/>
        <w:t>support groups within communities to assist individuals with vision loss.</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05</w:t>
      </w:r>
      <w:r>
        <w:rPr>
          <w:sz w:val="22"/>
        </w:rPr>
        <w:tab/>
        <w:t>PT</w:t>
      </w:r>
      <w:r>
        <w:rPr>
          <w:spacing w:val="-8"/>
          <w:sz w:val="22"/>
        </w:rPr>
        <w:t> </w:t>
      </w:r>
      <w:r>
        <w:rPr>
          <w:sz w:val="22"/>
        </w:rPr>
        <w:t>Memo</w:t>
      </w:r>
      <w:r>
        <w:rPr>
          <w:spacing w:val="-8"/>
          <w:sz w:val="22"/>
        </w:rPr>
        <w:t> </w:t>
      </w:r>
      <w:r>
        <w:rPr>
          <w:sz w:val="22"/>
        </w:rPr>
        <w:t>#06-</w:t>
      </w:r>
      <w:r>
        <w:rPr>
          <w:spacing w:val="-5"/>
          <w:sz w:val="22"/>
        </w:rPr>
        <w:t>01</w:t>
      </w:r>
    </w:p>
    <w:p>
      <w:pPr>
        <w:spacing w:line="253" w:lineRule="exact" w:before="0"/>
        <w:ind w:left="1439" w:right="0" w:firstLine="0"/>
        <w:jc w:val="left"/>
        <w:rPr>
          <w:sz w:val="22"/>
        </w:rPr>
      </w:pPr>
      <w:r>
        <w:rPr>
          <w:sz w:val="22"/>
        </w:rPr>
        <w:t>Permanent,</w:t>
      </w:r>
      <w:r>
        <w:rPr>
          <w:spacing w:val="-7"/>
          <w:sz w:val="22"/>
        </w:rPr>
        <w:t> </w:t>
      </w:r>
      <w:r>
        <w:rPr>
          <w:sz w:val="22"/>
        </w:rPr>
        <w:t>New</w:t>
      </w:r>
      <w:r>
        <w:rPr>
          <w:spacing w:val="-7"/>
          <w:sz w:val="22"/>
        </w:rPr>
        <w:t> </w:t>
      </w:r>
      <w:r>
        <w:rPr>
          <w:sz w:val="22"/>
        </w:rPr>
        <w:t>section</w:t>
      </w:r>
      <w:r>
        <w:rPr>
          <w:spacing w:val="-7"/>
          <w:sz w:val="22"/>
        </w:rPr>
        <w:t> </w:t>
      </w:r>
      <w:r>
        <w:rPr>
          <w:sz w:val="22"/>
        </w:rPr>
        <w:t>for</w:t>
      </w:r>
      <w:r>
        <w:rPr>
          <w:spacing w:val="-7"/>
          <w:sz w:val="22"/>
        </w:rPr>
        <w:t> </w:t>
      </w:r>
      <w:r>
        <w:rPr>
          <w:sz w:val="22"/>
        </w:rPr>
        <w:t>Older</w:t>
      </w:r>
      <w:r>
        <w:rPr>
          <w:spacing w:val="-7"/>
          <w:sz w:val="22"/>
        </w:rPr>
        <w:t> </w:t>
      </w:r>
      <w:r>
        <w:rPr>
          <w:spacing w:val="-2"/>
          <w:sz w:val="22"/>
        </w:rPr>
        <w:t>Blind</w:t>
      </w:r>
    </w:p>
    <w:p>
      <w:pPr>
        <w:spacing w:after="0" w:line="253" w:lineRule="exact"/>
        <w:jc w:val="left"/>
        <w:rPr>
          <w:sz w:val="22"/>
        </w:rPr>
        <w:sectPr>
          <w:pgSz w:w="12240" w:h="15840"/>
          <w:pgMar w:top="1340" w:bottom="280" w:left="1080" w:right="720"/>
        </w:sectPr>
      </w:pPr>
    </w:p>
    <w:p>
      <w:pPr>
        <w:pStyle w:val="Heading1"/>
        <w:spacing w:line="417" w:lineRule="auto"/>
        <w:ind w:left="3246" w:right="775" w:hanging="2847"/>
        <w:jc w:val="left"/>
      </w:pPr>
      <w:bookmarkStart w:name="SUBCHAPTER 13.  SPECIAL SERVICES FOR THE" w:id="285"/>
      <w:bookmarkEnd w:id="285"/>
      <w:r>
        <w:rPr>
          <w:b w:val="0"/>
        </w:rPr>
      </w:r>
      <w:r>
        <w:rPr/>
        <w:t>SUBCHAPTER</w:t>
      </w:r>
      <w:r>
        <w:rPr>
          <w:spacing w:val="-4"/>
        </w:rPr>
        <w:t> </w:t>
      </w:r>
      <w:r>
        <w:rPr/>
        <w:t>13.</w:t>
      </w:r>
      <w:r>
        <w:rPr>
          <w:spacing w:val="40"/>
        </w:rPr>
        <w:t> </w:t>
      </w:r>
      <w:r>
        <w:rPr/>
        <w:t>SPECIAL</w:t>
      </w:r>
      <w:r>
        <w:rPr>
          <w:spacing w:val="-4"/>
        </w:rPr>
        <w:t> </w:t>
      </w:r>
      <w:r>
        <w:rPr/>
        <w:t>SERVICES</w:t>
      </w:r>
      <w:r>
        <w:rPr>
          <w:spacing w:val="-3"/>
        </w:rPr>
        <w:t> </w:t>
      </w:r>
      <w:r>
        <w:rPr/>
        <w:t>FOR</w:t>
      </w:r>
      <w:r>
        <w:rPr>
          <w:spacing w:val="-4"/>
        </w:rPr>
        <w:t> </w:t>
      </w:r>
      <w:r>
        <w:rPr/>
        <w:t>THE</w:t>
      </w:r>
      <w:r>
        <w:rPr>
          <w:spacing w:val="-6"/>
        </w:rPr>
        <w:t> </w:t>
      </w:r>
      <w:r>
        <w:rPr/>
        <w:t>DEAF</w:t>
      </w:r>
      <w:r>
        <w:rPr>
          <w:spacing w:val="-4"/>
        </w:rPr>
        <w:t> </w:t>
      </w:r>
      <w:r>
        <w:rPr/>
        <w:t>AND</w:t>
      </w:r>
      <w:r>
        <w:rPr>
          <w:spacing w:val="-4"/>
        </w:rPr>
        <w:t> </w:t>
      </w:r>
      <w:r>
        <w:rPr/>
        <w:t>HARD</w:t>
      </w:r>
      <w:r>
        <w:rPr>
          <w:spacing w:val="-4"/>
        </w:rPr>
        <w:t> </w:t>
      </w:r>
      <w:r>
        <w:rPr/>
        <w:t>OF</w:t>
      </w:r>
      <w:r>
        <w:rPr>
          <w:spacing w:val="-4"/>
        </w:rPr>
        <w:t> </w:t>
      </w:r>
      <w:r>
        <w:rPr/>
        <w:t>HEARING PART 1.</w:t>
      </w:r>
      <w:r>
        <w:rPr>
          <w:spacing w:val="40"/>
        </w:rPr>
        <w:t> </w:t>
      </w:r>
      <w:r>
        <w:rPr/>
        <w:t>SERVICE PROGRAMS</w:t>
      </w:r>
    </w:p>
    <w:p>
      <w:pPr>
        <w:pStyle w:val="BodyText"/>
        <w:spacing w:line="275" w:lineRule="exact" w:before="0"/>
      </w:pPr>
      <w:r>
        <w:rPr>
          <w:spacing w:val="-2"/>
        </w:rPr>
        <w:t>Section</w:t>
      </w:r>
    </w:p>
    <w:p>
      <w:pPr>
        <w:pStyle w:val="BodyText"/>
        <w:tabs>
          <w:tab w:pos="2519" w:val="left" w:leader="none"/>
        </w:tabs>
        <w:spacing w:before="204"/>
      </w:pPr>
      <w:r>
        <w:rPr>
          <w:spacing w:val="-2"/>
        </w:rPr>
        <w:t>612:10-13-</w:t>
      </w:r>
      <w:r>
        <w:rPr>
          <w:spacing w:val="-5"/>
        </w:rPr>
        <w:t>1.</w:t>
      </w:r>
      <w:r>
        <w:rPr/>
        <w:tab/>
        <w:t>Mission</w:t>
      </w:r>
      <w:r>
        <w:rPr>
          <w:spacing w:val="-2"/>
        </w:rPr>
        <w:t> </w:t>
      </w:r>
      <w:r>
        <w:rPr/>
        <w:t>of</w:t>
      </w:r>
      <w:r>
        <w:rPr>
          <w:spacing w:val="-1"/>
        </w:rPr>
        <w:t> </w:t>
      </w:r>
      <w:r>
        <w:rPr/>
        <w:t>the</w:t>
      </w:r>
      <w:r>
        <w:rPr>
          <w:spacing w:val="-2"/>
        </w:rPr>
        <w:t> program</w:t>
      </w:r>
    </w:p>
    <w:p>
      <w:pPr>
        <w:pStyle w:val="Heading1"/>
        <w:spacing w:before="204"/>
      </w:pPr>
      <w:r>
        <w:rPr/>
        <w:t>PART</w:t>
      </w:r>
      <w:r>
        <w:rPr>
          <w:spacing w:val="-1"/>
        </w:rPr>
        <w:t> </w:t>
      </w:r>
      <w:r>
        <w:rPr/>
        <w:t>3.</w:t>
      </w:r>
      <w:r>
        <w:rPr>
          <w:spacing w:val="63"/>
        </w:rPr>
        <w:t> </w:t>
      </w:r>
      <w:r>
        <w:rPr/>
        <w:t>CERTIFICATION</w:t>
      </w:r>
      <w:r>
        <w:rPr>
          <w:spacing w:val="-2"/>
        </w:rPr>
        <w:t> </w:t>
      </w:r>
      <w:r>
        <w:rPr/>
        <w:t>OF</w:t>
      </w:r>
      <w:r>
        <w:rPr>
          <w:spacing w:val="-4"/>
        </w:rPr>
        <w:t> </w:t>
      </w:r>
      <w:r>
        <w:rPr>
          <w:spacing w:val="-2"/>
        </w:rPr>
        <w:t>INTERPRETERS</w:t>
      </w:r>
    </w:p>
    <w:p>
      <w:pPr>
        <w:pStyle w:val="BodyText"/>
        <w:spacing w:before="204"/>
      </w:pPr>
      <w:r>
        <w:rPr>
          <w:spacing w:val="-2"/>
        </w:rPr>
        <w:t>Section</w:t>
      </w:r>
    </w:p>
    <w:p>
      <w:pPr>
        <w:pStyle w:val="BodyText"/>
        <w:tabs>
          <w:tab w:pos="2519" w:val="left" w:leader="none"/>
        </w:tabs>
        <w:spacing w:before="204"/>
      </w:pPr>
      <w:r>
        <w:rPr>
          <w:spacing w:val="-2"/>
        </w:rPr>
        <w:t>612:10-13-</w:t>
      </w:r>
      <w:r>
        <w:rPr>
          <w:spacing w:val="-5"/>
        </w:rPr>
        <w:t>14.</w:t>
      </w:r>
      <w:r>
        <w:rPr/>
        <w:tab/>
        <w:t>Legal</w:t>
      </w:r>
      <w:r>
        <w:rPr>
          <w:spacing w:val="-4"/>
        </w:rPr>
        <w:t> basis</w:t>
      </w:r>
    </w:p>
    <w:p>
      <w:pPr>
        <w:pStyle w:val="BodyText"/>
        <w:tabs>
          <w:tab w:pos="2519" w:val="left" w:leader="none"/>
        </w:tabs>
        <w:spacing w:before="204"/>
      </w:pPr>
      <w:r>
        <w:rPr>
          <w:spacing w:val="-2"/>
        </w:rPr>
        <w:t>612:10-13-</w:t>
      </w:r>
      <w:r>
        <w:rPr>
          <w:spacing w:val="-5"/>
        </w:rPr>
        <w:t>15.</w:t>
      </w:r>
      <w:r>
        <w:rPr/>
        <w:tab/>
        <w:t>Certification</w:t>
      </w:r>
      <w:r>
        <w:rPr>
          <w:spacing w:val="-8"/>
        </w:rPr>
        <w:t> </w:t>
      </w:r>
      <w:r>
        <w:rPr>
          <w:spacing w:val="-2"/>
        </w:rPr>
        <w:t>levels</w:t>
      </w:r>
    </w:p>
    <w:p>
      <w:pPr>
        <w:pStyle w:val="BodyText"/>
        <w:tabs>
          <w:tab w:pos="2519" w:val="left" w:leader="none"/>
        </w:tabs>
        <w:spacing w:before="204"/>
      </w:pPr>
      <w:r>
        <w:rPr>
          <w:spacing w:val="-2"/>
        </w:rPr>
        <w:t>612:10-13-</w:t>
      </w:r>
      <w:r>
        <w:rPr>
          <w:spacing w:val="-5"/>
        </w:rPr>
        <w:t>16.</w:t>
      </w:r>
      <w:r>
        <w:rPr/>
        <w:tab/>
      </w:r>
      <w:r>
        <w:rPr>
          <w:spacing w:val="-2"/>
        </w:rPr>
        <w:t>Evaluation</w:t>
      </w:r>
    </w:p>
    <w:p>
      <w:pPr>
        <w:pStyle w:val="BodyText"/>
        <w:tabs>
          <w:tab w:pos="2519" w:val="left" w:leader="none"/>
        </w:tabs>
        <w:spacing w:before="204"/>
      </w:pPr>
      <w:r>
        <w:rPr>
          <w:spacing w:val="-2"/>
        </w:rPr>
        <w:t>612:10-13-</w:t>
      </w:r>
      <w:r>
        <w:rPr>
          <w:spacing w:val="-5"/>
        </w:rPr>
        <w:t>17.</w:t>
      </w:r>
      <w:r>
        <w:rPr/>
        <w:tab/>
        <w:t>Evaluation</w:t>
      </w:r>
      <w:r>
        <w:rPr>
          <w:spacing w:val="-5"/>
        </w:rPr>
        <w:t> </w:t>
      </w:r>
      <w:r>
        <w:rPr>
          <w:spacing w:val="-4"/>
        </w:rPr>
        <w:t>team</w:t>
      </w:r>
    </w:p>
    <w:p>
      <w:pPr>
        <w:pStyle w:val="BodyText"/>
        <w:tabs>
          <w:tab w:pos="2519" w:val="left" w:leader="none"/>
        </w:tabs>
        <w:spacing w:before="204"/>
      </w:pPr>
      <w:r>
        <w:rPr>
          <w:spacing w:val="-2"/>
        </w:rPr>
        <w:t>612:10-13-</w:t>
      </w:r>
      <w:r>
        <w:rPr>
          <w:spacing w:val="-5"/>
        </w:rPr>
        <w:t>18.</w:t>
      </w:r>
      <w:r>
        <w:rPr/>
        <w:tab/>
      </w:r>
      <w:r>
        <w:rPr>
          <w:spacing w:val="-4"/>
        </w:rPr>
        <w:t>Fees</w:t>
      </w:r>
    </w:p>
    <w:p>
      <w:pPr>
        <w:pStyle w:val="BodyText"/>
        <w:tabs>
          <w:tab w:pos="2519" w:val="left" w:leader="none"/>
        </w:tabs>
        <w:spacing w:before="204"/>
      </w:pPr>
      <w:r>
        <w:rPr>
          <w:spacing w:val="-2"/>
        </w:rPr>
        <w:t>612:10-13-</w:t>
      </w:r>
      <w:r>
        <w:rPr>
          <w:spacing w:val="-5"/>
        </w:rPr>
        <w:t>19.</w:t>
      </w:r>
      <w:r>
        <w:rPr/>
        <w:tab/>
      </w:r>
      <w:r>
        <w:rPr>
          <w:spacing w:val="-2"/>
        </w:rPr>
        <w:t>Refunds</w:t>
      </w:r>
    </w:p>
    <w:p>
      <w:pPr>
        <w:pStyle w:val="BodyText"/>
        <w:tabs>
          <w:tab w:pos="2519" w:val="left" w:leader="none"/>
        </w:tabs>
        <w:spacing w:before="204"/>
      </w:pPr>
      <w:r>
        <w:rPr>
          <w:spacing w:val="-2"/>
        </w:rPr>
        <w:t>612:10-13-</w:t>
      </w:r>
      <w:r>
        <w:rPr>
          <w:spacing w:val="-5"/>
        </w:rPr>
        <w:t>20.</w:t>
      </w:r>
      <w:r>
        <w:rPr/>
        <w:tab/>
        <w:t>Certification</w:t>
      </w:r>
      <w:r>
        <w:rPr>
          <w:spacing w:val="-8"/>
        </w:rPr>
        <w:t> </w:t>
      </w:r>
      <w:r>
        <w:rPr>
          <w:spacing w:val="-2"/>
        </w:rPr>
        <w:t>maintenance</w:t>
      </w:r>
    </w:p>
    <w:p>
      <w:pPr>
        <w:pStyle w:val="BodyText"/>
        <w:tabs>
          <w:tab w:pos="2519" w:val="left" w:leader="none"/>
        </w:tabs>
        <w:spacing w:before="204"/>
      </w:pPr>
      <w:r>
        <w:rPr>
          <w:spacing w:val="-2"/>
        </w:rPr>
        <w:t>612:10-13-</w:t>
      </w:r>
      <w:r>
        <w:rPr>
          <w:spacing w:val="-5"/>
        </w:rPr>
        <w:t>21.</w:t>
      </w:r>
      <w:r>
        <w:rPr/>
        <w:tab/>
        <w:t>Ethical</w:t>
      </w:r>
      <w:r>
        <w:rPr>
          <w:spacing w:val="-6"/>
        </w:rPr>
        <w:t> </w:t>
      </w:r>
      <w:r>
        <w:rPr>
          <w:spacing w:val="-2"/>
        </w:rPr>
        <w:t>standards</w:t>
      </w:r>
    </w:p>
    <w:p>
      <w:pPr>
        <w:pStyle w:val="BodyText"/>
        <w:tabs>
          <w:tab w:pos="2519" w:val="left" w:leader="none"/>
        </w:tabs>
        <w:spacing w:before="204"/>
        <w:ind w:left="359"/>
      </w:pPr>
      <w:r>
        <w:rPr>
          <w:spacing w:val="-2"/>
        </w:rPr>
        <w:t>612:10-13-</w:t>
      </w:r>
      <w:r>
        <w:rPr>
          <w:spacing w:val="-5"/>
        </w:rPr>
        <w:t>22.</w:t>
      </w:r>
      <w:r>
        <w:rPr/>
        <w:tab/>
        <w:t>Grievance</w:t>
      </w:r>
      <w:r>
        <w:rPr>
          <w:spacing w:val="-4"/>
        </w:rPr>
        <w:t> </w:t>
      </w:r>
      <w:r>
        <w:rPr>
          <w:spacing w:val="-2"/>
        </w:rPr>
        <w:t>procedures</w:t>
      </w:r>
    </w:p>
    <w:p>
      <w:pPr>
        <w:pStyle w:val="BodyText"/>
        <w:tabs>
          <w:tab w:pos="2519" w:val="left" w:leader="none"/>
        </w:tabs>
        <w:spacing w:before="204"/>
        <w:ind w:left="359"/>
      </w:pPr>
      <w:r>
        <w:rPr>
          <w:spacing w:val="-2"/>
        </w:rPr>
        <w:t>612:10-13-</w:t>
      </w:r>
      <w:r>
        <w:rPr>
          <w:spacing w:val="-5"/>
        </w:rPr>
        <w:t>23.</w:t>
      </w:r>
      <w:r>
        <w:rPr/>
        <w:tab/>
        <w:t>Formal</w:t>
      </w:r>
      <w:r>
        <w:rPr>
          <w:spacing w:val="-5"/>
        </w:rPr>
        <w:t> </w:t>
      </w:r>
      <w:r>
        <w:rPr>
          <w:spacing w:val="-2"/>
        </w:rPr>
        <w:t>hearing</w:t>
      </w:r>
    </w:p>
    <w:p>
      <w:pPr>
        <w:pStyle w:val="BodyText"/>
        <w:tabs>
          <w:tab w:pos="2519" w:val="left" w:leader="none"/>
        </w:tabs>
        <w:spacing w:line="208" w:lineRule="auto" w:before="233"/>
        <w:ind w:left="2519" w:right="811" w:hanging="2160"/>
      </w:pPr>
      <w:r>
        <w:rPr>
          <w:spacing w:val="-2"/>
        </w:rPr>
        <w:t>612:10-13-24.</w:t>
      </w:r>
      <w:r>
        <w:rPr/>
        <w:tab/>
        <w:t>Interpreter</w:t>
      </w:r>
      <w:r>
        <w:rPr>
          <w:spacing w:val="-9"/>
        </w:rPr>
        <w:t> </w:t>
      </w:r>
      <w:r>
        <w:rPr/>
        <w:t>certification</w:t>
      </w:r>
      <w:r>
        <w:rPr>
          <w:spacing w:val="-7"/>
        </w:rPr>
        <w:t> </w:t>
      </w:r>
      <w:r>
        <w:rPr/>
        <w:t>program</w:t>
      </w:r>
      <w:r>
        <w:rPr>
          <w:spacing w:val="-6"/>
        </w:rPr>
        <w:t> </w:t>
      </w:r>
      <w:r>
        <w:rPr/>
        <w:t>advisory</w:t>
      </w:r>
      <w:r>
        <w:rPr>
          <w:spacing w:val="-7"/>
        </w:rPr>
        <w:t> </w:t>
      </w:r>
      <w:r>
        <w:rPr/>
        <w:t>committee</w:t>
      </w:r>
      <w:r>
        <w:rPr>
          <w:spacing w:val="-7"/>
        </w:rPr>
        <w:t> </w:t>
      </w:r>
      <w:r>
        <w:rPr/>
        <w:t>and</w:t>
      </w:r>
      <w:r>
        <w:rPr>
          <w:spacing w:val="-7"/>
        </w:rPr>
        <w:t> </w:t>
      </w:r>
      <w:r>
        <w:rPr/>
        <w:t>interpreter quality committee</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775" w:firstLine="0"/>
        <w:jc w:val="left"/>
        <w:rPr>
          <w:sz w:val="22"/>
        </w:rPr>
      </w:pPr>
      <w:r>
        <w:rPr>
          <w:sz w:val="22"/>
        </w:rPr>
        <w:t>Permanent,</w:t>
      </w:r>
      <w:r>
        <w:rPr>
          <w:spacing w:val="-2"/>
          <w:sz w:val="22"/>
        </w:rPr>
        <w:t> </w:t>
      </w:r>
      <w:r>
        <w:rPr>
          <w:sz w:val="22"/>
        </w:rPr>
        <w:t>first</w:t>
      </w:r>
      <w:r>
        <w:rPr>
          <w:spacing w:val="-3"/>
          <w:sz w:val="22"/>
        </w:rPr>
        <w:t> </w:t>
      </w:r>
      <w:r>
        <w:rPr>
          <w:sz w:val="22"/>
        </w:rPr>
        <w:t>adoption</w:t>
      </w:r>
      <w:r>
        <w:rPr>
          <w:spacing w:val="-3"/>
          <w:sz w:val="22"/>
        </w:rPr>
        <w:t> </w:t>
      </w:r>
      <w:r>
        <w:rPr>
          <w:sz w:val="22"/>
        </w:rPr>
        <w:t>under</w:t>
      </w:r>
      <w:r>
        <w:rPr>
          <w:spacing w:val="-3"/>
          <w:sz w:val="22"/>
        </w:rPr>
        <w:t> </w:t>
      </w:r>
      <w:r>
        <w:rPr>
          <w:sz w:val="22"/>
        </w:rPr>
        <w:t>OAC</w:t>
      </w:r>
      <w:r>
        <w:rPr>
          <w:spacing w:val="-4"/>
          <w:sz w:val="22"/>
        </w:rPr>
        <w:t> </w:t>
      </w:r>
      <w:r>
        <w:rPr>
          <w:sz w:val="22"/>
        </w:rPr>
        <w:t>Title</w:t>
      </w:r>
      <w:r>
        <w:rPr>
          <w:spacing w:val="-3"/>
          <w:sz w:val="22"/>
        </w:rPr>
        <w:t> </w:t>
      </w:r>
      <w:r>
        <w:rPr>
          <w:sz w:val="22"/>
        </w:rPr>
        <w:t>612,</w:t>
      </w:r>
      <w:r>
        <w:rPr>
          <w:spacing w:val="-4"/>
          <w:sz w:val="22"/>
        </w:rPr>
        <w:t> </w:t>
      </w:r>
      <w:r>
        <w:rPr>
          <w:sz w:val="22"/>
        </w:rPr>
        <w:t>divided</w:t>
      </w:r>
      <w:r>
        <w:rPr>
          <w:spacing w:val="-3"/>
          <w:sz w:val="22"/>
        </w:rPr>
        <w:t> </w:t>
      </w:r>
      <w:r>
        <w:rPr>
          <w:sz w:val="22"/>
        </w:rPr>
        <w:t>into</w:t>
      </w:r>
      <w:r>
        <w:rPr>
          <w:spacing w:val="-4"/>
          <w:sz w:val="22"/>
        </w:rPr>
        <w:t> </w:t>
      </w:r>
      <w:r>
        <w:rPr>
          <w:sz w:val="22"/>
        </w:rPr>
        <w:t>Parts</w:t>
      </w:r>
      <w:r>
        <w:rPr>
          <w:spacing w:val="-3"/>
          <w:sz w:val="22"/>
        </w:rPr>
        <w:t> </w:t>
      </w:r>
      <w:r>
        <w:rPr>
          <w:sz w:val="22"/>
        </w:rPr>
        <w:t>and</w:t>
      </w:r>
      <w:r>
        <w:rPr>
          <w:spacing w:val="-3"/>
          <w:sz w:val="22"/>
        </w:rPr>
        <w:t> </w:t>
      </w:r>
      <w:r>
        <w:rPr>
          <w:sz w:val="22"/>
        </w:rPr>
        <w:t>added</w:t>
      </w:r>
      <w:r>
        <w:rPr>
          <w:spacing w:val="-3"/>
          <w:sz w:val="22"/>
        </w:rPr>
        <w:t> </w:t>
      </w:r>
      <w:r>
        <w:rPr>
          <w:sz w:val="22"/>
        </w:rPr>
        <w:t>new </w:t>
      </w:r>
      <w:r>
        <w:rPr>
          <w:spacing w:val="-2"/>
          <w:sz w:val="22"/>
        </w:rPr>
        <w:t>sections</w:t>
      </w:r>
    </w:p>
    <w:p>
      <w:pPr>
        <w:tabs>
          <w:tab w:pos="1439" w:val="left" w:leader="none"/>
        </w:tabs>
        <w:spacing w:before="1"/>
        <w:ind w:left="359" w:right="0" w:firstLine="0"/>
        <w:jc w:val="left"/>
        <w:rPr>
          <w:sz w:val="22"/>
        </w:rPr>
      </w:pPr>
      <w:r>
        <w:rPr>
          <w:spacing w:val="-2"/>
          <w:sz w:val="22"/>
        </w:rPr>
        <w:t>7-1-</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tabs>
          <w:tab w:pos="1439" w:val="left" w:leader="none"/>
        </w:tabs>
        <w:spacing w:before="0"/>
        <w:ind w:left="359" w:right="4595" w:firstLine="1080"/>
        <w:jc w:val="left"/>
        <w:rPr>
          <w:sz w:val="22"/>
        </w:rPr>
      </w:pPr>
      <w:r>
        <w:rPr>
          <w:sz w:val="22"/>
        </w:rPr>
        <w:t>Permanent,</w:t>
      </w:r>
      <w:r>
        <w:rPr>
          <w:spacing w:val="-9"/>
          <w:sz w:val="22"/>
        </w:rPr>
        <w:t> </w:t>
      </w:r>
      <w:r>
        <w:rPr>
          <w:sz w:val="22"/>
        </w:rPr>
        <w:t>added</w:t>
      </w:r>
      <w:r>
        <w:rPr>
          <w:spacing w:val="-10"/>
          <w:sz w:val="22"/>
        </w:rPr>
        <w:t> </w:t>
      </w:r>
      <w:r>
        <w:rPr>
          <w:sz w:val="22"/>
        </w:rPr>
        <w:t>new</w:t>
      </w:r>
      <w:r>
        <w:rPr>
          <w:spacing w:val="-11"/>
          <w:sz w:val="22"/>
        </w:rPr>
        <w:t> </w:t>
      </w:r>
      <w:r>
        <w:rPr>
          <w:sz w:val="22"/>
        </w:rPr>
        <w:t>section</w:t>
      </w:r>
      <w:r>
        <w:rPr>
          <w:spacing w:val="-10"/>
          <w:sz w:val="22"/>
        </w:rPr>
        <w:t> </w:t>
      </w:r>
      <w:r>
        <w:rPr>
          <w:sz w:val="22"/>
        </w:rPr>
        <w:t>612:10-13-24 </w:t>
      </w:r>
      <w:r>
        <w:rPr>
          <w:spacing w:val="-2"/>
          <w:sz w:val="22"/>
        </w:rPr>
        <w:t>7-1-96</w:t>
      </w:r>
      <w:r>
        <w:rPr>
          <w:sz w:val="22"/>
        </w:rPr>
        <w:tab/>
        <w:t>PT Memo #97-5</w:t>
      </w:r>
    </w:p>
    <w:p>
      <w:pPr>
        <w:tabs>
          <w:tab w:pos="1439" w:val="left" w:leader="none"/>
        </w:tabs>
        <w:spacing w:before="0"/>
        <w:ind w:left="359" w:right="4681" w:firstLine="1080"/>
        <w:jc w:val="left"/>
        <w:rPr>
          <w:sz w:val="22"/>
        </w:rPr>
      </w:pPr>
      <w:r>
        <w:rPr>
          <w:sz w:val="22"/>
        </w:rPr>
        <w:t>Permanent,</w:t>
      </w:r>
      <w:r>
        <w:rPr>
          <w:spacing w:val="-9"/>
          <w:sz w:val="22"/>
        </w:rPr>
        <w:t> </w:t>
      </w:r>
      <w:r>
        <w:rPr>
          <w:sz w:val="22"/>
        </w:rPr>
        <w:t>changed</w:t>
      </w:r>
      <w:r>
        <w:rPr>
          <w:spacing w:val="-10"/>
          <w:sz w:val="22"/>
        </w:rPr>
        <w:t> </w:t>
      </w:r>
      <w:r>
        <w:rPr>
          <w:sz w:val="22"/>
        </w:rPr>
        <w:t>tagline</w:t>
      </w:r>
      <w:r>
        <w:rPr>
          <w:spacing w:val="-10"/>
          <w:sz w:val="22"/>
        </w:rPr>
        <w:t> </w:t>
      </w:r>
      <w:r>
        <w:rPr>
          <w:sz w:val="22"/>
        </w:rPr>
        <w:t>for</w:t>
      </w:r>
      <w:r>
        <w:rPr>
          <w:spacing w:val="-10"/>
          <w:sz w:val="22"/>
        </w:rPr>
        <w:t> </w:t>
      </w:r>
      <w:r>
        <w:rPr>
          <w:sz w:val="22"/>
        </w:rPr>
        <w:t>612:10-13-4 </w:t>
      </w:r>
      <w:r>
        <w:rPr>
          <w:spacing w:val="-2"/>
          <w:sz w:val="22"/>
        </w:rPr>
        <w:t>7-1-05</w:t>
      </w:r>
      <w:r>
        <w:rPr>
          <w:sz w:val="22"/>
        </w:rPr>
        <w:tab/>
        <w:t>PT Memo #06-01</w:t>
      </w:r>
    </w:p>
    <w:p>
      <w:pPr>
        <w:spacing w:before="0"/>
        <w:ind w:left="1439" w:right="0" w:firstLine="0"/>
        <w:jc w:val="left"/>
        <w:rPr>
          <w:sz w:val="22"/>
        </w:rPr>
      </w:pPr>
      <w:r>
        <w:rPr>
          <w:sz w:val="22"/>
        </w:rPr>
        <w:t>Permanent,</w:t>
      </w:r>
      <w:r>
        <w:rPr>
          <w:spacing w:val="-5"/>
          <w:sz w:val="22"/>
        </w:rPr>
        <w:t> </w:t>
      </w:r>
      <w:r>
        <w:rPr>
          <w:sz w:val="22"/>
        </w:rPr>
        <w:t>sections</w:t>
      </w:r>
      <w:r>
        <w:rPr>
          <w:spacing w:val="-6"/>
          <w:sz w:val="22"/>
        </w:rPr>
        <w:t> </w:t>
      </w:r>
      <w:r>
        <w:rPr>
          <w:sz w:val="22"/>
        </w:rPr>
        <w:t>2</w:t>
      </w:r>
      <w:r>
        <w:rPr>
          <w:spacing w:val="-5"/>
          <w:sz w:val="22"/>
        </w:rPr>
        <w:t> </w:t>
      </w:r>
      <w:r>
        <w:rPr>
          <w:sz w:val="22"/>
        </w:rPr>
        <w:t>&amp;</w:t>
      </w:r>
      <w:r>
        <w:rPr>
          <w:spacing w:val="-5"/>
          <w:sz w:val="22"/>
        </w:rPr>
        <w:t> </w:t>
      </w:r>
      <w:r>
        <w:rPr>
          <w:sz w:val="22"/>
        </w:rPr>
        <w:t>3</w:t>
      </w:r>
      <w:r>
        <w:rPr>
          <w:spacing w:val="-5"/>
          <w:sz w:val="22"/>
        </w:rPr>
        <w:t> </w:t>
      </w:r>
      <w:r>
        <w:rPr>
          <w:spacing w:val="-2"/>
          <w:sz w:val="22"/>
        </w:rPr>
        <w:t>revoked</w:t>
      </w:r>
    </w:p>
    <w:p>
      <w:pPr>
        <w:pStyle w:val="ListParagraph"/>
        <w:numPr>
          <w:ilvl w:val="2"/>
          <w:numId w:val="285"/>
        </w:numPr>
        <w:tabs>
          <w:tab w:pos="1439" w:val="left" w:leader="none"/>
        </w:tabs>
        <w:spacing w:line="253" w:lineRule="exact" w:before="0" w:after="0"/>
        <w:ind w:left="1439" w:right="0" w:hanging="1080"/>
        <w:jc w:val="left"/>
        <w:rPr>
          <w:sz w:val="22"/>
        </w:rPr>
      </w:pPr>
      <w:r>
        <w:rPr>
          <w:sz w:val="22"/>
        </w:rPr>
        <w:t>Permanent,</w:t>
      </w:r>
      <w:r>
        <w:rPr>
          <w:spacing w:val="-6"/>
          <w:sz w:val="22"/>
        </w:rPr>
        <w:t> </w:t>
      </w:r>
      <w:r>
        <w:rPr>
          <w:sz w:val="22"/>
        </w:rPr>
        <w:t>section</w:t>
      </w:r>
      <w:r>
        <w:rPr>
          <w:spacing w:val="-7"/>
          <w:sz w:val="22"/>
        </w:rPr>
        <w:t> </w:t>
      </w:r>
      <w:r>
        <w:rPr>
          <w:sz w:val="22"/>
        </w:rPr>
        <w:t>4</w:t>
      </w:r>
      <w:r>
        <w:rPr>
          <w:spacing w:val="-7"/>
          <w:sz w:val="22"/>
        </w:rPr>
        <w:t> </w:t>
      </w:r>
      <w:r>
        <w:rPr>
          <w:sz w:val="22"/>
        </w:rPr>
        <w:t>moved</w:t>
      </w:r>
      <w:r>
        <w:rPr>
          <w:spacing w:val="-7"/>
          <w:sz w:val="22"/>
        </w:rPr>
        <w:t> </w:t>
      </w:r>
      <w:r>
        <w:rPr>
          <w:sz w:val="22"/>
        </w:rPr>
        <w:t>to</w:t>
      </w:r>
      <w:r>
        <w:rPr>
          <w:spacing w:val="-7"/>
          <w:sz w:val="22"/>
        </w:rPr>
        <w:t> </w:t>
      </w:r>
      <w:r>
        <w:rPr>
          <w:sz w:val="22"/>
        </w:rPr>
        <w:t>Chapter</w:t>
      </w:r>
      <w:r>
        <w:rPr>
          <w:spacing w:val="-6"/>
          <w:sz w:val="22"/>
        </w:rPr>
        <w:t> </w:t>
      </w:r>
      <w:r>
        <w:rPr>
          <w:spacing w:val="-5"/>
          <w:sz w:val="22"/>
        </w:rPr>
        <w:t>20</w:t>
      </w:r>
    </w:p>
    <w:p>
      <w:pPr>
        <w:tabs>
          <w:tab w:pos="1439" w:val="left" w:leader="none"/>
        </w:tabs>
        <w:spacing w:line="253" w:lineRule="exact" w:before="0"/>
        <w:ind w:left="359" w:right="0" w:firstLine="0"/>
        <w:jc w:val="left"/>
        <w:rPr>
          <w:sz w:val="22"/>
        </w:rPr>
      </w:pPr>
      <w:r>
        <w:rPr>
          <w:spacing w:val="-2"/>
          <w:sz w:val="22"/>
        </w:rPr>
        <w:t>8-14-</w:t>
      </w:r>
      <w:r>
        <w:rPr>
          <w:spacing w:val="-5"/>
          <w:sz w:val="22"/>
        </w:rPr>
        <w:t>24</w:t>
      </w:r>
      <w:r>
        <w:rPr>
          <w:sz w:val="22"/>
        </w:rPr>
        <w:tab/>
        <w:t>Revised</w:t>
      </w:r>
      <w:r>
        <w:rPr>
          <w:spacing w:val="-7"/>
          <w:sz w:val="22"/>
        </w:rPr>
        <w:t> </w:t>
      </w:r>
      <w:r>
        <w:rPr>
          <w:sz w:val="22"/>
        </w:rPr>
        <w:t>rule</w:t>
      </w:r>
      <w:r>
        <w:rPr>
          <w:spacing w:val="-7"/>
          <w:sz w:val="22"/>
        </w:rPr>
        <w:t> </w:t>
      </w:r>
      <w:r>
        <w:rPr>
          <w:sz w:val="22"/>
        </w:rPr>
        <w:t>title</w:t>
      </w:r>
      <w:r>
        <w:rPr>
          <w:spacing w:val="-7"/>
          <w:sz w:val="22"/>
        </w:rPr>
        <w:t> </w:t>
      </w:r>
      <w:r>
        <w:rPr>
          <w:sz w:val="22"/>
        </w:rPr>
        <w:t>to</w:t>
      </w:r>
      <w:r>
        <w:rPr>
          <w:spacing w:val="-6"/>
          <w:sz w:val="22"/>
        </w:rPr>
        <w:t> </w:t>
      </w:r>
      <w:r>
        <w:rPr>
          <w:sz w:val="22"/>
        </w:rPr>
        <w:t>include</w:t>
      </w:r>
      <w:r>
        <w:rPr>
          <w:spacing w:val="-7"/>
          <w:sz w:val="22"/>
        </w:rPr>
        <w:t> </w:t>
      </w:r>
      <w:r>
        <w:rPr>
          <w:sz w:val="22"/>
        </w:rPr>
        <w:t>“interpreter</w:t>
      </w:r>
      <w:r>
        <w:rPr>
          <w:spacing w:val="-6"/>
          <w:sz w:val="22"/>
        </w:rPr>
        <w:t> </w:t>
      </w:r>
      <w:r>
        <w:rPr>
          <w:sz w:val="22"/>
        </w:rPr>
        <w:t>quality</w:t>
      </w:r>
      <w:r>
        <w:rPr>
          <w:spacing w:val="-7"/>
          <w:sz w:val="22"/>
        </w:rPr>
        <w:t> </w:t>
      </w:r>
      <w:r>
        <w:rPr>
          <w:spacing w:val="-2"/>
          <w:sz w:val="22"/>
        </w:rPr>
        <w:t>committee”.</w:t>
      </w:r>
    </w:p>
    <w:p>
      <w:pPr>
        <w:spacing w:after="0" w:line="253" w:lineRule="exact"/>
        <w:jc w:val="left"/>
        <w:rPr>
          <w:sz w:val="22"/>
        </w:rPr>
        <w:sectPr>
          <w:pgSz w:w="12240" w:h="15840"/>
          <w:pgMar w:top="1340" w:bottom="280" w:left="1080" w:right="720"/>
        </w:sectPr>
      </w:pPr>
    </w:p>
    <w:p>
      <w:pPr>
        <w:pStyle w:val="Heading1"/>
        <w:ind w:right="778"/>
      </w:pPr>
      <w:bookmarkStart w:name="PART 1.  SERVICE PROGRAMS" w:id="286"/>
      <w:bookmarkEnd w:id="286"/>
      <w:r>
        <w:rPr>
          <w:b w:val="0"/>
        </w:rPr>
      </w:r>
      <w:r>
        <w:rPr/>
        <w:t>PART</w:t>
      </w:r>
      <w:r>
        <w:rPr>
          <w:spacing w:val="-2"/>
        </w:rPr>
        <w:t> </w:t>
      </w:r>
      <w:r>
        <w:rPr/>
        <w:t>1.</w:t>
      </w:r>
      <w:r>
        <w:rPr>
          <w:spacing w:val="63"/>
        </w:rPr>
        <w:t> </w:t>
      </w:r>
      <w:r>
        <w:rPr/>
        <w:t>SERVICE</w:t>
      </w:r>
      <w:r>
        <w:rPr>
          <w:spacing w:val="-2"/>
        </w:rPr>
        <w:t> PROGRAMS</w:t>
      </w:r>
    </w:p>
    <w:p>
      <w:pPr>
        <w:pStyle w:val="BodyText"/>
        <w:spacing w:before="204"/>
      </w:pPr>
      <w:r>
        <w:rPr>
          <w:spacing w:val="-2"/>
        </w:rPr>
        <w:t>Section</w:t>
      </w:r>
    </w:p>
    <w:p>
      <w:pPr>
        <w:pStyle w:val="BodyText"/>
        <w:spacing w:before="204"/>
      </w:pPr>
      <w:r>
        <w:rPr/>
        <w:t>612:10-13-1.</w:t>
      </w:r>
      <w:r>
        <w:rPr>
          <w:spacing w:val="8"/>
        </w:rPr>
        <w:t> </w:t>
      </w:r>
      <w:r>
        <w:rPr/>
        <w:t>Mission</w:t>
      </w:r>
      <w:r>
        <w:rPr>
          <w:spacing w:val="-4"/>
        </w:rPr>
        <w:t> </w:t>
      </w:r>
      <w:r>
        <w:rPr/>
        <w:t>of</w:t>
      </w:r>
      <w:r>
        <w:rPr>
          <w:spacing w:val="-2"/>
        </w:rPr>
        <w:t> </w:t>
      </w:r>
      <w:r>
        <w:rPr/>
        <w:t>the</w:t>
      </w:r>
      <w:r>
        <w:rPr>
          <w:spacing w:val="-3"/>
        </w:rPr>
        <w:t> </w:t>
      </w:r>
      <w:r>
        <w:rPr>
          <w:spacing w:val="-2"/>
        </w:rPr>
        <w:t>program</w:t>
      </w:r>
    </w:p>
    <w:p>
      <w:pPr>
        <w:pStyle w:val="BodyText"/>
        <w:spacing w:after="0"/>
        <w:sectPr>
          <w:pgSz w:w="12240" w:h="15840"/>
          <w:pgMar w:top="1340" w:bottom="280" w:left="1080" w:right="720"/>
        </w:sectPr>
      </w:pPr>
    </w:p>
    <w:p>
      <w:pPr>
        <w:pStyle w:val="Heading2"/>
      </w:pPr>
      <w:bookmarkStart w:name="612:10-13-1.  Mission of the program" w:id="287"/>
      <w:bookmarkEnd w:id="287"/>
      <w:r>
        <w:rPr>
          <w:b w:val="0"/>
        </w:rPr>
      </w:r>
      <w:r>
        <w:rPr/>
        <w:t>612:10-13-1.</w:t>
      </w:r>
      <w:r>
        <w:rPr>
          <w:spacing w:val="61"/>
        </w:rPr>
        <w:t> </w:t>
      </w:r>
      <w:r>
        <w:rPr/>
        <w:t>Mission</w:t>
      </w:r>
      <w:r>
        <w:rPr>
          <w:spacing w:val="-4"/>
        </w:rPr>
        <w:t> </w:t>
      </w:r>
      <w:r>
        <w:rPr/>
        <w:t>of</w:t>
      </w:r>
      <w:r>
        <w:rPr>
          <w:spacing w:val="-4"/>
        </w:rPr>
        <w:t> </w:t>
      </w:r>
      <w:r>
        <w:rPr/>
        <w:t>the</w:t>
      </w:r>
      <w:r>
        <w:rPr>
          <w:spacing w:val="-2"/>
        </w:rPr>
        <w:t> program</w:t>
      </w:r>
    </w:p>
    <w:p>
      <w:pPr>
        <w:pStyle w:val="ListParagraph"/>
        <w:numPr>
          <w:ilvl w:val="0"/>
          <w:numId w:val="290"/>
        </w:numPr>
        <w:tabs>
          <w:tab w:pos="785" w:val="left" w:leader="none"/>
        </w:tabs>
        <w:spacing w:line="208" w:lineRule="auto" w:before="233" w:after="0"/>
        <w:ind w:left="359" w:right="1029" w:firstLine="0"/>
        <w:jc w:val="left"/>
        <w:rPr>
          <w:sz w:val="24"/>
        </w:rPr>
      </w:pPr>
      <w:r>
        <w:rPr>
          <w:b/>
          <w:sz w:val="24"/>
        </w:rPr>
        <w:t>Purpose. </w:t>
      </w:r>
      <w:r>
        <w:rPr>
          <w:sz w:val="24"/>
        </w:rPr>
        <w:t>This Subchapter describes the special services available from the Department</w:t>
      </w:r>
      <w:r>
        <w:rPr>
          <w:spacing w:val="-3"/>
          <w:sz w:val="24"/>
        </w:rPr>
        <w:t> </w:t>
      </w:r>
      <w:r>
        <w:rPr>
          <w:sz w:val="24"/>
        </w:rPr>
        <w:t>of</w:t>
      </w:r>
      <w:r>
        <w:rPr>
          <w:spacing w:val="-5"/>
          <w:sz w:val="24"/>
        </w:rPr>
        <w:t> </w:t>
      </w:r>
      <w:r>
        <w:rPr>
          <w:sz w:val="24"/>
        </w:rPr>
        <w:t>Rehabilitation</w:t>
      </w:r>
      <w:r>
        <w:rPr>
          <w:spacing w:val="-4"/>
          <w:sz w:val="24"/>
        </w:rPr>
        <w:t> </w:t>
      </w:r>
      <w:r>
        <w:rPr>
          <w:sz w:val="24"/>
        </w:rPr>
        <w:t>Services</w:t>
      </w:r>
      <w:r>
        <w:rPr>
          <w:spacing w:val="-4"/>
          <w:sz w:val="24"/>
        </w:rPr>
        <w:t> </w:t>
      </w:r>
      <w:r>
        <w:rPr>
          <w:sz w:val="24"/>
        </w:rPr>
        <w:t>specifically</w:t>
      </w:r>
      <w:r>
        <w:rPr>
          <w:spacing w:val="-4"/>
          <w:sz w:val="24"/>
        </w:rPr>
        <w:t> </w:t>
      </w:r>
      <w:r>
        <w:rPr>
          <w:sz w:val="24"/>
        </w:rPr>
        <w:t>targeted</w:t>
      </w:r>
      <w:r>
        <w:rPr>
          <w:spacing w:val="-4"/>
          <w:sz w:val="24"/>
        </w:rPr>
        <w:t> </w:t>
      </w:r>
      <w:r>
        <w:rPr>
          <w:sz w:val="24"/>
        </w:rPr>
        <w:t>to</w:t>
      </w:r>
      <w:r>
        <w:rPr>
          <w:spacing w:val="-4"/>
          <w:sz w:val="24"/>
        </w:rPr>
        <w:t> </w:t>
      </w:r>
      <w:r>
        <w:rPr>
          <w:sz w:val="24"/>
        </w:rPr>
        <w:t>the</w:t>
      </w:r>
      <w:r>
        <w:rPr>
          <w:spacing w:val="-4"/>
          <w:sz w:val="24"/>
        </w:rPr>
        <w:t> </w:t>
      </w:r>
      <w:r>
        <w:rPr>
          <w:sz w:val="24"/>
        </w:rPr>
        <w:t>needs</w:t>
      </w:r>
      <w:r>
        <w:rPr>
          <w:spacing w:val="-4"/>
          <w:sz w:val="24"/>
        </w:rPr>
        <w:t> </w:t>
      </w:r>
      <w:r>
        <w:rPr>
          <w:sz w:val="24"/>
        </w:rPr>
        <w:t>of</w:t>
      </w:r>
      <w:r>
        <w:rPr>
          <w:spacing w:val="-3"/>
          <w:sz w:val="24"/>
        </w:rPr>
        <w:t> </w:t>
      </w:r>
      <w:r>
        <w:rPr>
          <w:sz w:val="24"/>
        </w:rPr>
        <w:t>individuals who are Deaf, hard of hearing and/or have other communicative disorders. These services</w:t>
      </w:r>
      <w:r>
        <w:rPr>
          <w:spacing w:val="-3"/>
          <w:sz w:val="24"/>
        </w:rPr>
        <w:t> </w:t>
      </w:r>
      <w:r>
        <w:rPr>
          <w:sz w:val="24"/>
        </w:rPr>
        <w:t>are</w:t>
      </w:r>
      <w:r>
        <w:rPr>
          <w:spacing w:val="-3"/>
          <w:sz w:val="24"/>
        </w:rPr>
        <w:t> </w:t>
      </w:r>
      <w:r>
        <w:rPr>
          <w:sz w:val="24"/>
        </w:rPr>
        <w:t>provided</w:t>
      </w:r>
      <w:r>
        <w:rPr>
          <w:spacing w:val="-2"/>
          <w:sz w:val="24"/>
        </w:rPr>
        <w:t> </w:t>
      </w:r>
      <w:r>
        <w:rPr>
          <w:sz w:val="24"/>
        </w:rPr>
        <w:t>to</w:t>
      </w:r>
      <w:r>
        <w:rPr>
          <w:spacing w:val="-3"/>
          <w:sz w:val="24"/>
        </w:rPr>
        <w:t> </w:t>
      </w:r>
      <w:r>
        <w:rPr>
          <w:sz w:val="24"/>
        </w:rPr>
        <w:t>meet</w:t>
      </w:r>
      <w:r>
        <w:rPr>
          <w:spacing w:val="-4"/>
          <w:sz w:val="24"/>
        </w:rPr>
        <w:t> </w:t>
      </w:r>
      <w:r>
        <w:rPr>
          <w:sz w:val="24"/>
        </w:rPr>
        <w:t>the</w:t>
      </w:r>
      <w:r>
        <w:rPr>
          <w:spacing w:val="-3"/>
          <w:sz w:val="24"/>
        </w:rPr>
        <w:t> </w:t>
      </w:r>
      <w:r>
        <w:rPr>
          <w:sz w:val="24"/>
        </w:rPr>
        <w:t>unique</w:t>
      </w:r>
      <w:r>
        <w:rPr>
          <w:spacing w:val="-3"/>
          <w:sz w:val="24"/>
        </w:rPr>
        <w:t> </w:t>
      </w:r>
      <w:r>
        <w:rPr>
          <w:sz w:val="24"/>
        </w:rPr>
        <w:t>needs</w:t>
      </w:r>
      <w:r>
        <w:rPr>
          <w:spacing w:val="-3"/>
          <w:sz w:val="24"/>
        </w:rPr>
        <w:t> </w:t>
      </w:r>
      <w:r>
        <w:rPr>
          <w:sz w:val="24"/>
        </w:rPr>
        <w:t>of</w:t>
      </w:r>
      <w:r>
        <w:rPr>
          <w:spacing w:val="-2"/>
          <w:sz w:val="24"/>
        </w:rPr>
        <w:t> </w:t>
      </w:r>
      <w:r>
        <w:rPr>
          <w:sz w:val="24"/>
        </w:rPr>
        <w:t>this</w:t>
      </w:r>
      <w:r>
        <w:rPr>
          <w:spacing w:val="-4"/>
          <w:sz w:val="24"/>
        </w:rPr>
        <w:t> </w:t>
      </w:r>
      <w:r>
        <w:rPr>
          <w:sz w:val="24"/>
        </w:rPr>
        <w:t>population</w:t>
      </w:r>
      <w:r>
        <w:rPr>
          <w:spacing w:val="-2"/>
          <w:sz w:val="24"/>
        </w:rPr>
        <w:t> </w:t>
      </w:r>
      <w:r>
        <w:rPr>
          <w:sz w:val="24"/>
        </w:rPr>
        <w:t>and</w:t>
      </w:r>
      <w:r>
        <w:rPr>
          <w:spacing w:val="-3"/>
          <w:sz w:val="24"/>
        </w:rPr>
        <w:t> </w:t>
      </w:r>
      <w:r>
        <w:rPr>
          <w:sz w:val="24"/>
        </w:rPr>
        <w:t>include</w:t>
      </w:r>
      <w:r>
        <w:rPr>
          <w:spacing w:val="-2"/>
          <w:sz w:val="24"/>
        </w:rPr>
        <w:t> </w:t>
      </w:r>
      <w:r>
        <w:rPr>
          <w:sz w:val="24"/>
        </w:rPr>
        <w:t>but</w:t>
      </w:r>
      <w:r>
        <w:rPr>
          <w:spacing w:val="-2"/>
          <w:sz w:val="24"/>
        </w:rPr>
        <w:t> </w:t>
      </w:r>
      <w:r>
        <w:rPr>
          <w:sz w:val="24"/>
        </w:rPr>
        <w:t>are not limited to:</w:t>
      </w:r>
    </w:p>
    <w:p>
      <w:pPr>
        <w:pStyle w:val="ListParagraph"/>
        <w:numPr>
          <w:ilvl w:val="1"/>
          <w:numId w:val="290"/>
        </w:numPr>
        <w:tabs>
          <w:tab w:pos="1217" w:val="left" w:leader="none"/>
        </w:tabs>
        <w:spacing w:line="208" w:lineRule="auto" w:before="239" w:after="0"/>
        <w:ind w:left="791" w:right="786" w:firstLine="0"/>
        <w:jc w:val="left"/>
        <w:rPr>
          <w:sz w:val="24"/>
        </w:rPr>
      </w:pPr>
      <w:r>
        <w:rPr>
          <w:sz w:val="24"/>
        </w:rPr>
        <w:t>vocational rehabilitation counseling and services provided by specialists with knowledge of the medical, functional, communicative, cultural and employment issues</w:t>
      </w:r>
      <w:r>
        <w:rPr>
          <w:spacing w:val="-4"/>
          <w:sz w:val="24"/>
        </w:rPr>
        <w:t> </w:t>
      </w:r>
      <w:r>
        <w:rPr>
          <w:sz w:val="24"/>
        </w:rPr>
        <w:t>experienced</w:t>
      </w:r>
      <w:r>
        <w:rPr>
          <w:spacing w:val="-4"/>
          <w:sz w:val="24"/>
        </w:rPr>
        <w:t> </w:t>
      </w:r>
      <w:r>
        <w:rPr>
          <w:sz w:val="24"/>
        </w:rPr>
        <w:t>by</w:t>
      </w:r>
      <w:r>
        <w:rPr>
          <w:spacing w:val="-4"/>
          <w:sz w:val="24"/>
        </w:rPr>
        <w:t> </w:t>
      </w:r>
      <w:r>
        <w:rPr>
          <w:sz w:val="24"/>
        </w:rPr>
        <w:t>individuals</w:t>
      </w:r>
      <w:r>
        <w:rPr>
          <w:spacing w:val="-4"/>
          <w:sz w:val="24"/>
        </w:rPr>
        <w:t> </w:t>
      </w:r>
      <w:r>
        <w:rPr>
          <w:sz w:val="24"/>
        </w:rPr>
        <w:t>who</w:t>
      </w:r>
      <w:r>
        <w:rPr>
          <w:spacing w:val="-4"/>
          <w:sz w:val="24"/>
        </w:rPr>
        <w:t> </w:t>
      </w:r>
      <w:r>
        <w:rPr>
          <w:sz w:val="24"/>
        </w:rPr>
        <w:t>are</w:t>
      </w:r>
      <w:r>
        <w:rPr>
          <w:spacing w:val="-4"/>
          <w:sz w:val="24"/>
        </w:rPr>
        <w:t> </w:t>
      </w:r>
      <w:r>
        <w:rPr>
          <w:sz w:val="24"/>
        </w:rPr>
        <w:t>Deaf,</w:t>
      </w:r>
      <w:r>
        <w:rPr>
          <w:spacing w:val="-3"/>
          <w:sz w:val="24"/>
        </w:rPr>
        <w:t> </w:t>
      </w:r>
      <w:r>
        <w:rPr>
          <w:sz w:val="24"/>
        </w:rPr>
        <w:t>hard</w:t>
      </w:r>
      <w:r>
        <w:rPr>
          <w:spacing w:val="-5"/>
          <w:sz w:val="24"/>
        </w:rPr>
        <w:t> </w:t>
      </w:r>
      <w:r>
        <w:rPr>
          <w:sz w:val="24"/>
        </w:rPr>
        <w:t>of</w:t>
      </w:r>
      <w:r>
        <w:rPr>
          <w:spacing w:val="-3"/>
          <w:sz w:val="24"/>
        </w:rPr>
        <w:t> </w:t>
      </w:r>
      <w:r>
        <w:rPr>
          <w:sz w:val="24"/>
        </w:rPr>
        <w:t>hearing,</w:t>
      </w:r>
      <w:r>
        <w:rPr>
          <w:spacing w:val="-3"/>
          <w:sz w:val="24"/>
        </w:rPr>
        <w:t> </w:t>
      </w:r>
      <w:r>
        <w:rPr>
          <w:sz w:val="24"/>
        </w:rPr>
        <w:t>late</w:t>
      </w:r>
      <w:r>
        <w:rPr>
          <w:spacing w:val="-4"/>
          <w:sz w:val="24"/>
        </w:rPr>
        <w:t> </w:t>
      </w:r>
      <w:r>
        <w:rPr>
          <w:sz w:val="24"/>
        </w:rPr>
        <w:t>deafened</w:t>
      </w:r>
      <w:r>
        <w:rPr>
          <w:spacing w:val="-4"/>
          <w:sz w:val="24"/>
        </w:rPr>
        <w:t> </w:t>
      </w:r>
      <w:r>
        <w:rPr>
          <w:sz w:val="24"/>
        </w:rPr>
        <w:t>and </w:t>
      </w:r>
      <w:r>
        <w:rPr>
          <w:spacing w:val="-2"/>
          <w:sz w:val="24"/>
        </w:rPr>
        <w:t>deaf-blind;</w:t>
      </w:r>
    </w:p>
    <w:p>
      <w:pPr>
        <w:pStyle w:val="ListParagraph"/>
        <w:numPr>
          <w:ilvl w:val="1"/>
          <w:numId w:val="290"/>
        </w:numPr>
        <w:tabs>
          <w:tab w:pos="1217" w:val="left" w:leader="none"/>
        </w:tabs>
        <w:spacing w:line="208" w:lineRule="auto" w:before="240" w:after="0"/>
        <w:ind w:left="791" w:right="881" w:firstLine="0"/>
        <w:jc w:val="left"/>
        <w:rPr>
          <w:sz w:val="24"/>
        </w:rPr>
      </w:pPr>
      <w:r>
        <w:rPr>
          <w:sz w:val="24"/>
        </w:rPr>
        <w:t>specialized</w:t>
      </w:r>
      <w:r>
        <w:rPr>
          <w:spacing w:val="-5"/>
          <w:sz w:val="24"/>
        </w:rPr>
        <w:t> </w:t>
      </w:r>
      <w:r>
        <w:rPr>
          <w:sz w:val="24"/>
        </w:rPr>
        <w:t>client</w:t>
      </w:r>
      <w:r>
        <w:rPr>
          <w:spacing w:val="-4"/>
          <w:sz w:val="24"/>
        </w:rPr>
        <w:t> </w:t>
      </w:r>
      <w:r>
        <w:rPr>
          <w:sz w:val="24"/>
        </w:rPr>
        <w:t>services</w:t>
      </w:r>
      <w:r>
        <w:rPr>
          <w:spacing w:val="-5"/>
          <w:sz w:val="24"/>
        </w:rPr>
        <w:t> </w:t>
      </w:r>
      <w:r>
        <w:rPr>
          <w:sz w:val="24"/>
        </w:rPr>
        <w:t>including</w:t>
      </w:r>
      <w:r>
        <w:rPr>
          <w:spacing w:val="-5"/>
          <w:sz w:val="24"/>
        </w:rPr>
        <w:t> </w:t>
      </w:r>
      <w:r>
        <w:rPr>
          <w:sz w:val="24"/>
        </w:rPr>
        <w:t>cultural</w:t>
      </w:r>
      <w:r>
        <w:rPr>
          <w:spacing w:val="-5"/>
          <w:sz w:val="24"/>
        </w:rPr>
        <w:t> </w:t>
      </w:r>
      <w:r>
        <w:rPr>
          <w:sz w:val="24"/>
        </w:rPr>
        <w:t>mediation,</w:t>
      </w:r>
      <w:r>
        <w:rPr>
          <w:spacing w:val="-4"/>
          <w:sz w:val="24"/>
        </w:rPr>
        <w:t> </w:t>
      </w:r>
      <w:r>
        <w:rPr>
          <w:sz w:val="24"/>
        </w:rPr>
        <w:t>information</w:t>
      </w:r>
      <w:r>
        <w:rPr>
          <w:spacing w:val="-5"/>
          <w:sz w:val="24"/>
        </w:rPr>
        <w:t> </w:t>
      </w:r>
      <w:r>
        <w:rPr>
          <w:sz w:val="24"/>
        </w:rPr>
        <w:t>and</w:t>
      </w:r>
      <w:r>
        <w:rPr>
          <w:spacing w:val="-5"/>
          <w:sz w:val="24"/>
        </w:rPr>
        <w:t> </w:t>
      </w:r>
      <w:r>
        <w:rPr>
          <w:sz w:val="24"/>
        </w:rPr>
        <w:t>referral for services related to hearing loss, client self-advocacy training, assistive technology devices and services for communication access, and instruction in specialized skills for independence, socialization and work adjustment;</w:t>
      </w:r>
    </w:p>
    <w:p>
      <w:pPr>
        <w:pStyle w:val="ListParagraph"/>
        <w:numPr>
          <w:ilvl w:val="1"/>
          <w:numId w:val="290"/>
        </w:numPr>
        <w:tabs>
          <w:tab w:pos="1216" w:val="left" w:leader="none"/>
        </w:tabs>
        <w:spacing w:line="208" w:lineRule="auto" w:before="240" w:after="0"/>
        <w:ind w:left="791" w:right="1026" w:firstLine="0"/>
        <w:jc w:val="left"/>
        <w:rPr>
          <w:sz w:val="24"/>
        </w:rPr>
      </w:pPr>
      <w:r>
        <w:rPr>
          <w:sz w:val="24"/>
        </w:rPr>
        <w:t>facilitation</w:t>
      </w:r>
      <w:r>
        <w:rPr>
          <w:spacing w:val="-4"/>
          <w:sz w:val="24"/>
        </w:rPr>
        <w:t> </w:t>
      </w:r>
      <w:r>
        <w:rPr>
          <w:sz w:val="24"/>
        </w:rPr>
        <w:t>of</w:t>
      </w:r>
      <w:r>
        <w:rPr>
          <w:spacing w:val="-3"/>
          <w:sz w:val="24"/>
        </w:rPr>
        <w:t> </w:t>
      </w:r>
      <w:r>
        <w:rPr>
          <w:sz w:val="24"/>
        </w:rPr>
        <w:t>effective</w:t>
      </w:r>
      <w:r>
        <w:rPr>
          <w:spacing w:val="-4"/>
          <w:sz w:val="24"/>
        </w:rPr>
        <w:t> </w:t>
      </w:r>
      <w:r>
        <w:rPr>
          <w:sz w:val="24"/>
        </w:rPr>
        <w:t>communication</w:t>
      </w:r>
      <w:r>
        <w:rPr>
          <w:spacing w:val="-4"/>
          <w:sz w:val="24"/>
        </w:rPr>
        <w:t> </w:t>
      </w:r>
      <w:r>
        <w:rPr>
          <w:sz w:val="24"/>
        </w:rPr>
        <w:t>between</w:t>
      </w:r>
      <w:r>
        <w:rPr>
          <w:spacing w:val="-4"/>
          <w:sz w:val="24"/>
        </w:rPr>
        <w:t> </w:t>
      </w:r>
      <w:r>
        <w:rPr>
          <w:sz w:val="24"/>
        </w:rPr>
        <w:t>persons</w:t>
      </w:r>
      <w:r>
        <w:rPr>
          <w:spacing w:val="-4"/>
          <w:sz w:val="24"/>
        </w:rPr>
        <w:t> </w:t>
      </w:r>
      <w:r>
        <w:rPr>
          <w:sz w:val="24"/>
        </w:rPr>
        <w:t>with</w:t>
      </w:r>
      <w:r>
        <w:rPr>
          <w:spacing w:val="-4"/>
          <w:sz w:val="24"/>
        </w:rPr>
        <w:t> </w:t>
      </w:r>
      <w:r>
        <w:rPr>
          <w:sz w:val="24"/>
        </w:rPr>
        <w:t>hearing</w:t>
      </w:r>
      <w:r>
        <w:rPr>
          <w:spacing w:val="-4"/>
          <w:sz w:val="24"/>
        </w:rPr>
        <w:t> </w:t>
      </w:r>
      <w:r>
        <w:rPr>
          <w:sz w:val="24"/>
        </w:rPr>
        <w:t>loss</w:t>
      </w:r>
      <w:r>
        <w:rPr>
          <w:spacing w:val="-4"/>
          <w:sz w:val="24"/>
        </w:rPr>
        <w:t> </w:t>
      </w:r>
      <w:r>
        <w:rPr>
          <w:sz w:val="24"/>
        </w:rPr>
        <w:t>and providers of planned VR services;</w:t>
      </w:r>
    </w:p>
    <w:p>
      <w:pPr>
        <w:pStyle w:val="ListParagraph"/>
        <w:numPr>
          <w:ilvl w:val="1"/>
          <w:numId w:val="290"/>
        </w:numPr>
        <w:tabs>
          <w:tab w:pos="1217" w:val="left" w:leader="none"/>
        </w:tabs>
        <w:spacing w:line="208" w:lineRule="auto" w:before="239" w:after="0"/>
        <w:ind w:left="791" w:right="1628" w:firstLine="0"/>
        <w:jc w:val="left"/>
        <w:rPr>
          <w:sz w:val="24"/>
        </w:rPr>
      </w:pPr>
      <w:r>
        <w:rPr>
          <w:sz w:val="24"/>
        </w:rPr>
        <w:t>community outreach to educate consumers and the hearing population regarding</w:t>
      </w:r>
      <w:r>
        <w:rPr>
          <w:spacing w:val="-6"/>
          <w:sz w:val="24"/>
        </w:rPr>
        <w:t> </w:t>
      </w:r>
      <w:r>
        <w:rPr>
          <w:sz w:val="24"/>
        </w:rPr>
        <w:t>hearing</w:t>
      </w:r>
      <w:r>
        <w:rPr>
          <w:spacing w:val="-6"/>
          <w:sz w:val="24"/>
        </w:rPr>
        <w:t> </w:t>
      </w:r>
      <w:r>
        <w:rPr>
          <w:sz w:val="24"/>
        </w:rPr>
        <w:t>loss,</w:t>
      </w:r>
      <w:r>
        <w:rPr>
          <w:spacing w:val="-4"/>
          <w:sz w:val="24"/>
        </w:rPr>
        <w:t> </w:t>
      </w:r>
      <w:r>
        <w:rPr>
          <w:sz w:val="24"/>
        </w:rPr>
        <w:t>communications</w:t>
      </w:r>
      <w:r>
        <w:rPr>
          <w:spacing w:val="-6"/>
          <w:sz w:val="24"/>
        </w:rPr>
        <w:t> </w:t>
      </w:r>
      <w:r>
        <w:rPr>
          <w:sz w:val="24"/>
        </w:rPr>
        <w:t>accessibility,</w:t>
      </w:r>
      <w:r>
        <w:rPr>
          <w:spacing w:val="-5"/>
          <w:sz w:val="24"/>
        </w:rPr>
        <w:t> </w:t>
      </w:r>
      <w:r>
        <w:rPr>
          <w:sz w:val="24"/>
        </w:rPr>
        <w:t>and</w:t>
      </w:r>
      <w:r>
        <w:rPr>
          <w:spacing w:val="-6"/>
          <w:sz w:val="24"/>
        </w:rPr>
        <w:t> </w:t>
      </w:r>
      <w:r>
        <w:rPr>
          <w:sz w:val="24"/>
        </w:rPr>
        <w:t>rehabilitation</w:t>
      </w:r>
      <w:r>
        <w:rPr>
          <w:spacing w:val="-6"/>
          <w:sz w:val="24"/>
        </w:rPr>
        <w:t> </w:t>
      </w:r>
      <w:r>
        <w:rPr>
          <w:sz w:val="24"/>
        </w:rPr>
        <w:t>and employment opportunities for persons with hearing loss;</w:t>
      </w:r>
    </w:p>
    <w:p>
      <w:pPr>
        <w:pStyle w:val="ListParagraph"/>
        <w:numPr>
          <w:ilvl w:val="1"/>
          <w:numId w:val="290"/>
        </w:numPr>
        <w:tabs>
          <w:tab w:pos="1217" w:val="left" w:leader="none"/>
        </w:tabs>
        <w:spacing w:line="240" w:lineRule="auto" w:before="211" w:after="0"/>
        <w:ind w:left="1217" w:right="0" w:hanging="426"/>
        <w:jc w:val="left"/>
        <w:rPr>
          <w:sz w:val="24"/>
        </w:rPr>
      </w:pPr>
      <w:r>
        <w:rPr>
          <w:sz w:val="24"/>
        </w:rPr>
        <w:t>sign</w:t>
      </w:r>
      <w:r>
        <w:rPr>
          <w:spacing w:val="-4"/>
          <w:sz w:val="24"/>
        </w:rPr>
        <w:t> </w:t>
      </w:r>
      <w:r>
        <w:rPr>
          <w:sz w:val="24"/>
        </w:rPr>
        <w:t>language</w:t>
      </w:r>
      <w:r>
        <w:rPr>
          <w:spacing w:val="-3"/>
          <w:sz w:val="24"/>
        </w:rPr>
        <w:t> </w:t>
      </w:r>
      <w:r>
        <w:rPr>
          <w:sz w:val="24"/>
        </w:rPr>
        <w:t>interpreter</w:t>
      </w:r>
      <w:r>
        <w:rPr>
          <w:spacing w:val="-3"/>
          <w:sz w:val="24"/>
        </w:rPr>
        <w:t> </w:t>
      </w:r>
      <w:r>
        <w:rPr>
          <w:sz w:val="24"/>
        </w:rPr>
        <w:t>certification</w:t>
      </w:r>
      <w:r>
        <w:rPr>
          <w:spacing w:val="-3"/>
          <w:sz w:val="24"/>
        </w:rPr>
        <w:t> </w:t>
      </w:r>
      <w:r>
        <w:rPr>
          <w:sz w:val="24"/>
        </w:rPr>
        <w:t>for</w:t>
      </w:r>
      <w:r>
        <w:rPr>
          <w:spacing w:val="-2"/>
          <w:sz w:val="24"/>
        </w:rPr>
        <w:t> </w:t>
      </w:r>
      <w:r>
        <w:rPr>
          <w:sz w:val="24"/>
        </w:rPr>
        <w:t>the</w:t>
      </w:r>
      <w:r>
        <w:rPr>
          <w:spacing w:val="-4"/>
          <w:sz w:val="24"/>
        </w:rPr>
        <w:t> </w:t>
      </w:r>
      <w:r>
        <w:rPr>
          <w:sz w:val="24"/>
        </w:rPr>
        <w:t>State</w:t>
      </w:r>
      <w:r>
        <w:rPr>
          <w:spacing w:val="-4"/>
          <w:sz w:val="24"/>
        </w:rPr>
        <w:t> </w:t>
      </w:r>
      <w:r>
        <w:rPr>
          <w:sz w:val="24"/>
        </w:rPr>
        <w:t>of</w:t>
      </w:r>
      <w:r>
        <w:rPr>
          <w:spacing w:val="-2"/>
          <w:sz w:val="24"/>
        </w:rPr>
        <w:t> Oklahoma;</w:t>
      </w:r>
    </w:p>
    <w:p>
      <w:pPr>
        <w:pStyle w:val="ListParagraph"/>
        <w:numPr>
          <w:ilvl w:val="1"/>
          <w:numId w:val="290"/>
        </w:numPr>
        <w:tabs>
          <w:tab w:pos="1217" w:val="left" w:leader="none"/>
        </w:tabs>
        <w:spacing w:line="208" w:lineRule="auto" w:before="233" w:after="0"/>
        <w:ind w:left="791" w:right="1054" w:firstLine="0"/>
        <w:jc w:val="left"/>
        <w:rPr>
          <w:sz w:val="24"/>
        </w:rPr>
      </w:pPr>
      <w:r>
        <w:rPr>
          <w:sz w:val="24"/>
        </w:rPr>
        <w:t>provision</w:t>
      </w:r>
      <w:r>
        <w:rPr>
          <w:spacing w:val="-4"/>
          <w:sz w:val="24"/>
        </w:rPr>
        <w:t> </w:t>
      </w:r>
      <w:r>
        <w:rPr>
          <w:sz w:val="24"/>
        </w:rPr>
        <w:t>and</w:t>
      </w:r>
      <w:r>
        <w:rPr>
          <w:spacing w:val="-4"/>
          <w:sz w:val="24"/>
        </w:rPr>
        <w:t> </w:t>
      </w:r>
      <w:r>
        <w:rPr>
          <w:sz w:val="24"/>
        </w:rPr>
        <w:t>coordination</w:t>
      </w:r>
      <w:r>
        <w:rPr>
          <w:spacing w:val="-4"/>
          <w:sz w:val="24"/>
        </w:rPr>
        <w:t> </w:t>
      </w:r>
      <w:r>
        <w:rPr>
          <w:sz w:val="24"/>
        </w:rPr>
        <w:t>of</w:t>
      </w:r>
      <w:r>
        <w:rPr>
          <w:spacing w:val="-3"/>
          <w:sz w:val="24"/>
        </w:rPr>
        <w:t> </w:t>
      </w:r>
      <w:r>
        <w:rPr>
          <w:sz w:val="24"/>
        </w:rPr>
        <w:t>interpreter</w:t>
      </w:r>
      <w:r>
        <w:rPr>
          <w:spacing w:val="-5"/>
          <w:sz w:val="24"/>
        </w:rPr>
        <w:t> </w:t>
      </w:r>
      <w:r>
        <w:rPr>
          <w:sz w:val="24"/>
        </w:rPr>
        <w:t>services</w:t>
      </w:r>
      <w:r>
        <w:rPr>
          <w:spacing w:val="-4"/>
          <w:sz w:val="24"/>
        </w:rPr>
        <w:t> </w:t>
      </w:r>
      <w:r>
        <w:rPr>
          <w:sz w:val="24"/>
        </w:rPr>
        <w:t>for</w:t>
      </w:r>
      <w:r>
        <w:rPr>
          <w:spacing w:val="-5"/>
          <w:sz w:val="24"/>
        </w:rPr>
        <w:t> </w:t>
      </w:r>
      <w:r>
        <w:rPr>
          <w:sz w:val="24"/>
        </w:rPr>
        <w:t>DRS</w:t>
      </w:r>
      <w:r>
        <w:rPr>
          <w:spacing w:val="-4"/>
          <w:sz w:val="24"/>
        </w:rPr>
        <w:t> </w:t>
      </w:r>
      <w:r>
        <w:rPr>
          <w:sz w:val="24"/>
        </w:rPr>
        <w:t>purposes</w:t>
      </w:r>
      <w:r>
        <w:rPr>
          <w:spacing w:val="-4"/>
          <w:sz w:val="24"/>
        </w:rPr>
        <w:t> </w:t>
      </w:r>
      <w:r>
        <w:rPr>
          <w:sz w:val="24"/>
        </w:rPr>
        <w:t>including client communications; and</w:t>
      </w:r>
    </w:p>
    <w:p>
      <w:pPr>
        <w:pStyle w:val="ListParagraph"/>
        <w:numPr>
          <w:ilvl w:val="1"/>
          <w:numId w:val="290"/>
        </w:numPr>
        <w:tabs>
          <w:tab w:pos="1217" w:val="left" w:leader="none"/>
        </w:tabs>
        <w:spacing w:line="208" w:lineRule="auto" w:before="240" w:after="0"/>
        <w:ind w:left="791" w:right="814" w:firstLine="0"/>
        <w:jc w:val="left"/>
        <w:rPr>
          <w:sz w:val="24"/>
        </w:rPr>
      </w:pPr>
      <w:r>
        <w:rPr>
          <w:sz w:val="24"/>
        </w:rPr>
        <w:t>providing a conduit for communication between Oklahomans with hearing loss and</w:t>
      </w:r>
      <w:r>
        <w:rPr>
          <w:spacing w:val="-4"/>
          <w:sz w:val="24"/>
        </w:rPr>
        <w:t> </w:t>
      </w:r>
      <w:r>
        <w:rPr>
          <w:sz w:val="24"/>
        </w:rPr>
        <w:t>the</w:t>
      </w:r>
      <w:r>
        <w:rPr>
          <w:spacing w:val="-4"/>
          <w:sz w:val="24"/>
        </w:rPr>
        <w:t> </w:t>
      </w:r>
      <w:r>
        <w:rPr>
          <w:sz w:val="24"/>
        </w:rPr>
        <w:t>Department,</w:t>
      </w:r>
      <w:r>
        <w:rPr>
          <w:spacing w:val="-5"/>
          <w:sz w:val="24"/>
        </w:rPr>
        <w:t> </w:t>
      </w:r>
      <w:r>
        <w:rPr>
          <w:sz w:val="24"/>
        </w:rPr>
        <w:t>advising</w:t>
      </w:r>
      <w:r>
        <w:rPr>
          <w:spacing w:val="-4"/>
          <w:sz w:val="24"/>
        </w:rPr>
        <w:t> </w:t>
      </w:r>
      <w:r>
        <w:rPr>
          <w:sz w:val="24"/>
        </w:rPr>
        <w:t>the</w:t>
      </w:r>
      <w:r>
        <w:rPr>
          <w:spacing w:val="-4"/>
          <w:sz w:val="24"/>
        </w:rPr>
        <w:t> </w:t>
      </w:r>
      <w:r>
        <w:rPr>
          <w:sz w:val="24"/>
        </w:rPr>
        <w:t>agency</w:t>
      </w:r>
      <w:r>
        <w:rPr>
          <w:spacing w:val="-4"/>
          <w:sz w:val="24"/>
        </w:rPr>
        <w:t> </w:t>
      </w:r>
      <w:r>
        <w:rPr>
          <w:sz w:val="24"/>
        </w:rPr>
        <w:t>on</w:t>
      </w:r>
      <w:r>
        <w:rPr>
          <w:spacing w:val="-4"/>
          <w:sz w:val="24"/>
        </w:rPr>
        <w:t> </w:t>
      </w:r>
      <w:r>
        <w:rPr>
          <w:sz w:val="24"/>
        </w:rPr>
        <w:t>current</w:t>
      </w:r>
      <w:r>
        <w:rPr>
          <w:spacing w:val="-3"/>
          <w:sz w:val="24"/>
        </w:rPr>
        <w:t> </w:t>
      </w:r>
      <w:r>
        <w:rPr>
          <w:sz w:val="24"/>
        </w:rPr>
        <w:t>issues,</w:t>
      </w:r>
      <w:r>
        <w:rPr>
          <w:spacing w:val="-3"/>
          <w:sz w:val="24"/>
        </w:rPr>
        <w:t> </w:t>
      </w:r>
      <w:r>
        <w:rPr>
          <w:sz w:val="24"/>
        </w:rPr>
        <w:t>needs</w:t>
      </w:r>
      <w:r>
        <w:rPr>
          <w:spacing w:val="-4"/>
          <w:sz w:val="24"/>
        </w:rPr>
        <w:t> </w:t>
      </w:r>
      <w:r>
        <w:rPr>
          <w:sz w:val="24"/>
        </w:rPr>
        <w:t>and</w:t>
      </w:r>
      <w:r>
        <w:rPr>
          <w:spacing w:val="-4"/>
          <w:sz w:val="24"/>
        </w:rPr>
        <w:t> </w:t>
      </w:r>
      <w:r>
        <w:rPr>
          <w:sz w:val="24"/>
        </w:rPr>
        <w:t>concerns</w:t>
      </w:r>
      <w:r>
        <w:rPr>
          <w:spacing w:val="-4"/>
          <w:sz w:val="24"/>
        </w:rPr>
        <w:t> </w:t>
      </w:r>
      <w:r>
        <w:rPr>
          <w:sz w:val="24"/>
        </w:rPr>
        <w:t>of Oklahomans with hearing loss.</w:t>
      </w:r>
    </w:p>
    <w:p>
      <w:pPr>
        <w:pStyle w:val="ListParagraph"/>
        <w:numPr>
          <w:ilvl w:val="0"/>
          <w:numId w:val="290"/>
        </w:numPr>
        <w:tabs>
          <w:tab w:pos="785" w:val="left" w:leader="none"/>
        </w:tabs>
        <w:spacing w:line="208" w:lineRule="auto" w:before="240" w:after="0"/>
        <w:ind w:left="360" w:right="1113" w:firstLine="0"/>
        <w:jc w:val="left"/>
        <w:rPr>
          <w:sz w:val="24"/>
        </w:rPr>
      </w:pPr>
      <w:r>
        <w:rPr>
          <w:b/>
          <w:sz w:val="24"/>
        </w:rPr>
        <w:t>Acronyms.</w:t>
      </w:r>
      <w:r>
        <w:rPr>
          <w:b/>
          <w:spacing w:val="-4"/>
          <w:sz w:val="24"/>
        </w:rPr>
        <w:t> </w:t>
      </w:r>
      <w:r>
        <w:rPr>
          <w:sz w:val="24"/>
        </w:rPr>
        <w:t>The</w:t>
      </w:r>
      <w:r>
        <w:rPr>
          <w:spacing w:val="-4"/>
          <w:sz w:val="24"/>
        </w:rPr>
        <w:t> </w:t>
      </w:r>
      <w:r>
        <w:rPr>
          <w:sz w:val="24"/>
        </w:rPr>
        <w:t>following</w:t>
      </w:r>
      <w:r>
        <w:rPr>
          <w:spacing w:val="-4"/>
          <w:sz w:val="24"/>
        </w:rPr>
        <w:t> </w:t>
      </w:r>
      <w:r>
        <w:rPr>
          <w:sz w:val="24"/>
        </w:rPr>
        <w:t>acronyms,</w:t>
      </w:r>
      <w:r>
        <w:rPr>
          <w:spacing w:val="-3"/>
          <w:sz w:val="24"/>
        </w:rPr>
        <w:t> </w:t>
      </w:r>
      <w:r>
        <w:rPr>
          <w:sz w:val="24"/>
        </w:rPr>
        <w:t>when</w:t>
      </w:r>
      <w:r>
        <w:rPr>
          <w:spacing w:val="-4"/>
          <w:sz w:val="24"/>
        </w:rPr>
        <w:t> </w:t>
      </w:r>
      <w:r>
        <w:rPr>
          <w:sz w:val="24"/>
        </w:rPr>
        <w:t>used</w:t>
      </w:r>
      <w:r>
        <w:rPr>
          <w:spacing w:val="-4"/>
          <w:sz w:val="24"/>
        </w:rPr>
        <w:t> </w:t>
      </w:r>
      <w:r>
        <w:rPr>
          <w:sz w:val="24"/>
        </w:rPr>
        <w:t>in</w:t>
      </w:r>
      <w:r>
        <w:rPr>
          <w:spacing w:val="-4"/>
          <w:sz w:val="24"/>
        </w:rPr>
        <w:t> </w:t>
      </w:r>
      <w:r>
        <w:rPr>
          <w:sz w:val="24"/>
        </w:rPr>
        <w:t>this</w:t>
      </w:r>
      <w:r>
        <w:rPr>
          <w:spacing w:val="-4"/>
          <w:sz w:val="24"/>
        </w:rPr>
        <w:t> </w:t>
      </w:r>
      <w:r>
        <w:rPr>
          <w:sz w:val="24"/>
        </w:rPr>
        <w:t>subchapter,</w:t>
      </w:r>
      <w:r>
        <w:rPr>
          <w:spacing w:val="-3"/>
          <w:sz w:val="24"/>
        </w:rPr>
        <w:t> </w:t>
      </w:r>
      <w:r>
        <w:rPr>
          <w:sz w:val="24"/>
        </w:rPr>
        <w:t>stand</w:t>
      </w:r>
      <w:r>
        <w:rPr>
          <w:spacing w:val="-4"/>
          <w:sz w:val="24"/>
        </w:rPr>
        <w:t> </w:t>
      </w:r>
      <w:r>
        <w:rPr>
          <w:sz w:val="24"/>
        </w:rPr>
        <w:t>for</w:t>
      </w:r>
      <w:r>
        <w:rPr>
          <w:spacing w:val="-3"/>
          <w:sz w:val="24"/>
        </w:rPr>
        <w:t> </w:t>
      </w:r>
      <w:r>
        <w:rPr>
          <w:sz w:val="24"/>
        </w:rPr>
        <w:t>the </w:t>
      </w:r>
      <w:r>
        <w:rPr>
          <w:spacing w:val="-2"/>
          <w:sz w:val="24"/>
        </w:rPr>
        <w:t>following:</w:t>
      </w:r>
    </w:p>
    <w:p>
      <w:pPr>
        <w:pStyle w:val="ListParagraph"/>
        <w:numPr>
          <w:ilvl w:val="1"/>
          <w:numId w:val="290"/>
        </w:numPr>
        <w:tabs>
          <w:tab w:pos="1216" w:val="left" w:leader="none"/>
        </w:tabs>
        <w:spacing w:line="240" w:lineRule="auto" w:before="210" w:after="0"/>
        <w:ind w:left="1216" w:right="0" w:hanging="425"/>
        <w:jc w:val="left"/>
        <w:rPr>
          <w:sz w:val="24"/>
        </w:rPr>
      </w:pPr>
      <w:r>
        <w:rPr>
          <w:b/>
          <w:sz w:val="24"/>
        </w:rPr>
        <w:t>"CDI"</w:t>
      </w:r>
      <w:r>
        <w:rPr>
          <w:b/>
          <w:spacing w:val="-4"/>
          <w:sz w:val="24"/>
        </w:rPr>
        <w:t> </w:t>
      </w:r>
      <w:r>
        <w:rPr>
          <w:sz w:val="24"/>
        </w:rPr>
        <w:t>Certified</w:t>
      </w:r>
      <w:r>
        <w:rPr>
          <w:spacing w:val="-3"/>
          <w:sz w:val="24"/>
        </w:rPr>
        <w:t> </w:t>
      </w:r>
      <w:r>
        <w:rPr>
          <w:sz w:val="24"/>
        </w:rPr>
        <w:t>Deaf</w:t>
      </w:r>
      <w:r>
        <w:rPr>
          <w:spacing w:val="-2"/>
          <w:sz w:val="24"/>
        </w:rPr>
        <w:t> Interpreter</w:t>
      </w:r>
    </w:p>
    <w:p>
      <w:pPr>
        <w:pStyle w:val="ListParagraph"/>
        <w:numPr>
          <w:ilvl w:val="1"/>
          <w:numId w:val="290"/>
        </w:numPr>
        <w:tabs>
          <w:tab w:pos="1217" w:val="left" w:leader="none"/>
        </w:tabs>
        <w:spacing w:line="240" w:lineRule="auto" w:before="204" w:after="0"/>
        <w:ind w:left="1217" w:right="0" w:hanging="425"/>
        <w:jc w:val="left"/>
        <w:rPr>
          <w:sz w:val="24"/>
        </w:rPr>
      </w:pPr>
      <w:r>
        <w:rPr>
          <w:b/>
          <w:sz w:val="24"/>
        </w:rPr>
        <w:t>"CI"</w:t>
      </w:r>
      <w:r>
        <w:rPr>
          <w:b/>
          <w:spacing w:val="-3"/>
          <w:sz w:val="24"/>
        </w:rPr>
        <w:t> </w:t>
      </w:r>
      <w:r>
        <w:rPr>
          <w:sz w:val="24"/>
        </w:rPr>
        <w:t>Certificate</w:t>
      </w:r>
      <w:r>
        <w:rPr>
          <w:spacing w:val="-3"/>
          <w:sz w:val="24"/>
        </w:rPr>
        <w:t> </w:t>
      </w:r>
      <w:r>
        <w:rPr>
          <w:sz w:val="24"/>
        </w:rPr>
        <w:t>of</w:t>
      </w:r>
      <w:r>
        <w:rPr>
          <w:spacing w:val="-3"/>
          <w:sz w:val="24"/>
        </w:rPr>
        <w:t> </w:t>
      </w:r>
      <w:r>
        <w:rPr>
          <w:spacing w:val="-2"/>
          <w:sz w:val="24"/>
        </w:rPr>
        <w:t>Interpretation</w:t>
      </w:r>
    </w:p>
    <w:p>
      <w:pPr>
        <w:pStyle w:val="ListParagraph"/>
        <w:numPr>
          <w:ilvl w:val="1"/>
          <w:numId w:val="290"/>
        </w:numPr>
        <w:tabs>
          <w:tab w:pos="1217" w:val="left" w:leader="none"/>
        </w:tabs>
        <w:spacing w:line="240" w:lineRule="auto" w:before="204" w:after="0"/>
        <w:ind w:left="1217" w:right="0" w:hanging="425"/>
        <w:jc w:val="left"/>
        <w:rPr>
          <w:sz w:val="24"/>
        </w:rPr>
      </w:pPr>
      <w:r>
        <w:rPr>
          <w:b/>
          <w:sz w:val="24"/>
        </w:rPr>
        <w:t>"CSC"</w:t>
      </w:r>
      <w:r>
        <w:rPr>
          <w:b/>
          <w:spacing w:val="-5"/>
          <w:sz w:val="24"/>
        </w:rPr>
        <w:t> </w:t>
      </w:r>
      <w:r>
        <w:rPr>
          <w:sz w:val="24"/>
        </w:rPr>
        <w:t>Comprehensive</w:t>
      </w:r>
      <w:r>
        <w:rPr>
          <w:spacing w:val="-4"/>
          <w:sz w:val="24"/>
        </w:rPr>
        <w:t> </w:t>
      </w:r>
      <w:r>
        <w:rPr>
          <w:sz w:val="24"/>
        </w:rPr>
        <w:t>Skills</w:t>
      </w:r>
      <w:r>
        <w:rPr>
          <w:spacing w:val="-3"/>
          <w:sz w:val="24"/>
        </w:rPr>
        <w:t> </w:t>
      </w:r>
      <w:r>
        <w:rPr>
          <w:spacing w:val="-2"/>
          <w:sz w:val="24"/>
        </w:rPr>
        <w:t>Certification</w:t>
      </w:r>
    </w:p>
    <w:p>
      <w:pPr>
        <w:pStyle w:val="ListParagraph"/>
        <w:numPr>
          <w:ilvl w:val="1"/>
          <w:numId w:val="290"/>
        </w:numPr>
        <w:tabs>
          <w:tab w:pos="1217" w:val="left" w:leader="none"/>
        </w:tabs>
        <w:spacing w:line="240" w:lineRule="auto" w:before="204" w:after="0"/>
        <w:ind w:left="1217" w:right="0" w:hanging="425"/>
        <w:jc w:val="left"/>
        <w:rPr>
          <w:sz w:val="24"/>
        </w:rPr>
      </w:pPr>
      <w:r>
        <w:rPr>
          <w:b/>
          <w:sz w:val="24"/>
        </w:rPr>
        <w:t>"CT"</w:t>
      </w:r>
      <w:r>
        <w:rPr>
          <w:b/>
          <w:spacing w:val="-3"/>
          <w:sz w:val="24"/>
        </w:rPr>
        <w:t> </w:t>
      </w:r>
      <w:r>
        <w:rPr>
          <w:sz w:val="24"/>
        </w:rPr>
        <w:t>Certificate</w:t>
      </w:r>
      <w:r>
        <w:rPr>
          <w:spacing w:val="-3"/>
          <w:sz w:val="24"/>
        </w:rPr>
        <w:t> </w:t>
      </w:r>
      <w:r>
        <w:rPr>
          <w:sz w:val="24"/>
        </w:rPr>
        <w:t>of</w:t>
      </w:r>
      <w:r>
        <w:rPr>
          <w:spacing w:val="-2"/>
          <w:sz w:val="24"/>
        </w:rPr>
        <w:t> Transliteration</w:t>
      </w:r>
    </w:p>
    <w:p>
      <w:pPr>
        <w:pStyle w:val="ListParagraph"/>
        <w:numPr>
          <w:ilvl w:val="1"/>
          <w:numId w:val="290"/>
        </w:numPr>
        <w:tabs>
          <w:tab w:pos="1217" w:val="left" w:leader="none"/>
        </w:tabs>
        <w:spacing w:line="240" w:lineRule="auto" w:before="204" w:after="0"/>
        <w:ind w:left="1217" w:right="0" w:hanging="425"/>
        <w:jc w:val="left"/>
        <w:rPr>
          <w:sz w:val="24"/>
        </w:rPr>
      </w:pPr>
      <w:r>
        <w:rPr>
          <w:b/>
          <w:sz w:val="24"/>
        </w:rPr>
        <w:t>"NAD"</w:t>
      </w:r>
      <w:r>
        <w:rPr>
          <w:b/>
          <w:spacing w:val="-4"/>
          <w:sz w:val="24"/>
        </w:rPr>
        <w:t> </w:t>
      </w:r>
      <w:r>
        <w:rPr>
          <w:sz w:val="24"/>
        </w:rPr>
        <w:t>National</w:t>
      </w:r>
      <w:r>
        <w:rPr>
          <w:spacing w:val="-3"/>
          <w:sz w:val="24"/>
        </w:rPr>
        <w:t> </w:t>
      </w:r>
      <w:r>
        <w:rPr>
          <w:sz w:val="24"/>
        </w:rPr>
        <w:t>Association</w:t>
      </w:r>
      <w:r>
        <w:rPr>
          <w:spacing w:val="-2"/>
          <w:sz w:val="24"/>
        </w:rPr>
        <w:t> </w:t>
      </w:r>
      <w:r>
        <w:rPr>
          <w:sz w:val="24"/>
        </w:rPr>
        <w:t>of</w:t>
      </w:r>
      <w:r>
        <w:rPr>
          <w:spacing w:val="-2"/>
          <w:sz w:val="24"/>
        </w:rPr>
        <w:t> </w:t>
      </w:r>
      <w:r>
        <w:rPr>
          <w:sz w:val="24"/>
        </w:rPr>
        <w:t>the</w:t>
      </w:r>
      <w:r>
        <w:rPr>
          <w:spacing w:val="-3"/>
          <w:sz w:val="24"/>
        </w:rPr>
        <w:t> </w:t>
      </w:r>
      <w:r>
        <w:rPr>
          <w:spacing w:val="-4"/>
          <w:sz w:val="24"/>
        </w:rPr>
        <w:t>Deaf</w:t>
      </w:r>
    </w:p>
    <w:p>
      <w:pPr>
        <w:pStyle w:val="ListParagraph"/>
        <w:numPr>
          <w:ilvl w:val="1"/>
          <w:numId w:val="290"/>
        </w:numPr>
        <w:tabs>
          <w:tab w:pos="1217" w:val="left" w:leader="none"/>
        </w:tabs>
        <w:spacing w:line="240" w:lineRule="auto" w:before="204" w:after="0"/>
        <w:ind w:left="1217" w:right="0" w:hanging="425"/>
        <w:jc w:val="left"/>
        <w:rPr>
          <w:sz w:val="24"/>
        </w:rPr>
      </w:pPr>
      <w:r>
        <w:rPr>
          <w:b/>
          <w:sz w:val="24"/>
        </w:rPr>
        <w:t>"RCD"</w:t>
      </w:r>
      <w:r>
        <w:rPr>
          <w:b/>
          <w:spacing w:val="-5"/>
          <w:sz w:val="24"/>
        </w:rPr>
        <w:t> </w:t>
      </w:r>
      <w:r>
        <w:rPr>
          <w:sz w:val="24"/>
        </w:rPr>
        <w:t>Rehabilitation</w:t>
      </w:r>
      <w:r>
        <w:rPr>
          <w:spacing w:val="-3"/>
          <w:sz w:val="24"/>
        </w:rPr>
        <w:t> </w:t>
      </w:r>
      <w:r>
        <w:rPr>
          <w:sz w:val="24"/>
        </w:rPr>
        <w:t>Counselors</w:t>
      </w:r>
      <w:r>
        <w:rPr>
          <w:spacing w:val="-3"/>
          <w:sz w:val="24"/>
        </w:rPr>
        <w:t> </w:t>
      </w:r>
      <w:r>
        <w:rPr>
          <w:sz w:val="24"/>
        </w:rPr>
        <w:t>for</w:t>
      </w:r>
      <w:r>
        <w:rPr>
          <w:spacing w:val="-4"/>
          <w:sz w:val="24"/>
        </w:rPr>
        <w:t> </w:t>
      </w:r>
      <w:r>
        <w:rPr>
          <w:sz w:val="24"/>
        </w:rPr>
        <w:t>the</w:t>
      </w:r>
      <w:r>
        <w:rPr>
          <w:spacing w:val="-4"/>
          <w:sz w:val="24"/>
        </w:rPr>
        <w:t> </w:t>
      </w:r>
      <w:r>
        <w:rPr>
          <w:sz w:val="24"/>
        </w:rPr>
        <w:t>Deaf</w:t>
      </w:r>
      <w:r>
        <w:rPr>
          <w:spacing w:val="-2"/>
          <w:sz w:val="24"/>
        </w:rPr>
        <w:t> </w:t>
      </w:r>
      <w:r>
        <w:rPr>
          <w:sz w:val="24"/>
        </w:rPr>
        <w:t>and</w:t>
      </w:r>
      <w:r>
        <w:rPr>
          <w:spacing w:val="-3"/>
          <w:sz w:val="24"/>
        </w:rPr>
        <w:t> </w:t>
      </w:r>
      <w:r>
        <w:rPr>
          <w:sz w:val="24"/>
        </w:rPr>
        <w:t>Hard</w:t>
      </w:r>
      <w:r>
        <w:rPr>
          <w:spacing w:val="-3"/>
          <w:sz w:val="24"/>
        </w:rPr>
        <w:t> </w:t>
      </w:r>
      <w:r>
        <w:rPr>
          <w:sz w:val="24"/>
        </w:rPr>
        <w:t>of</w:t>
      </w:r>
      <w:r>
        <w:rPr>
          <w:spacing w:val="-1"/>
          <w:sz w:val="24"/>
        </w:rPr>
        <w:t> </w:t>
      </w:r>
      <w:r>
        <w:rPr>
          <w:spacing w:val="-2"/>
          <w:sz w:val="24"/>
        </w:rPr>
        <w:t>Hearing</w:t>
      </w:r>
    </w:p>
    <w:p>
      <w:pPr>
        <w:pStyle w:val="ListParagraph"/>
        <w:numPr>
          <w:ilvl w:val="1"/>
          <w:numId w:val="290"/>
        </w:numPr>
        <w:tabs>
          <w:tab w:pos="1216" w:val="left" w:leader="none"/>
        </w:tabs>
        <w:spacing w:line="240" w:lineRule="auto" w:before="204" w:after="0"/>
        <w:ind w:left="1216" w:right="0" w:hanging="425"/>
        <w:jc w:val="left"/>
        <w:rPr>
          <w:sz w:val="24"/>
        </w:rPr>
      </w:pPr>
      <w:r>
        <w:rPr>
          <w:b/>
          <w:sz w:val="24"/>
        </w:rPr>
        <w:t>"RID"</w:t>
      </w:r>
      <w:r>
        <w:rPr>
          <w:b/>
          <w:spacing w:val="-4"/>
          <w:sz w:val="24"/>
        </w:rPr>
        <w:t> </w:t>
      </w:r>
      <w:r>
        <w:rPr>
          <w:sz w:val="24"/>
        </w:rPr>
        <w:t>Registry</w:t>
      </w:r>
      <w:r>
        <w:rPr>
          <w:spacing w:val="-2"/>
          <w:sz w:val="24"/>
        </w:rPr>
        <w:t> </w:t>
      </w:r>
      <w:r>
        <w:rPr>
          <w:sz w:val="24"/>
        </w:rPr>
        <w:t>of</w:t>
      </w:r>
      <w:r>
        <w:rPr>
          <w:spacing w:val="-3"/>
          <w:sz w:val="24"/>
        </w:rPr>
        <w:t> </w:t>
      </w:r>
      <w:r>
        <w:rPr>
          <w:spacing w:val="-2"/>
          <w:sz w:val="24"/>
        </w:rPr>
        <w:t>Interpreters</w:t>
      </w:r>
    </w:p>
    <w:p>
      <w:pPr>
        <w:pStyle w:val="ListParagraph"/>
        <w:numPr>
          <w:ilvl w:val="1"/>
          <w:numId w:val="290"/>
        </w:numPr>
        <w:tabs>
          <w:tab w:pos="1216" w:val="left" w:leader="none"/>
        </w:tabs>
        <w:spacing w:line="240" w:lineRule="auto" w:before="204" w:after="0"/>
        <w:ind w:left="1216" w:right="0" w:hanging="425"/>
        <w:jc w:val="left"/>
        <w:rPr>
          <w:sz w:val="24"/>
        </w:rPr>
      </w:pPr>
      <w:r>
        <w:rPr>
          <w:b/>
          <w:sz w:val="24"/>
        </w:rPr>
        <w:t>"SDHH"</w:t>
      </w:r>
      <w:r>
        <w:rPr>
          <w:b/>
          <w:spacing w:val="-2"/>
          <w:sz w:val="24"/>
        </w:rPr>
        <w:t> </w:t>
      </w:r>
      <w:r>
        <w:rPr>
          <w:sz w:val="24"/>
        </w:rPr>
        <w:t>Services</w:t>
      </w:r>
      <w:r>
        <w:rPr>
          <w:spacing w:val="-2"/>
          <w:sz w:val="24"/>
        </w:rPr>
        <w:t> </w:t>
      </w:r>
      <w:r>
        <w:rPr>
          <w:sz w:val="24"/>
        </w:rPr>
        <w:t>to</w:t>
      </w:r>
      <w:r>
        <w:rPr>
          <w:spacing w:val="-2"/>
          <w:sz w:val="24"/>
        </w:rPr>
        <w:t> </w:t>
      </w:r>
      <w:r>
        <w:rPr>
          <w:sz w:val="24"/>
        </w:rPr>
        <w:t>the</w:t>
      </w:r>
      <w:r>
        <w:rPr>
          <w:spacing w:val="-2"/>
          <w:sz w:val="24"/>
        </w:rPr>
        <w:t> </w:t>
      </w:r>
      <w:r>
        <w:rPr>
          <w:sz w:val="24"/>
        </w:rPr>
        <w:t>Deaf</w:t>
      </w:r>
      <w:r>
        <w:rPr>
          <w:spacing w:val="-3"/>
          <w:sz w:val="24"/>
        </w:rPr>
        <w:t> </w:t>
      </w:r>
      <w:r>
        <w:rPr>
          <w:sz w:val="24"/>
        </w:rPr>
        <w:t>and</w:t>
      </w:r>
      <w:r>
        <w:rPr>
          <w:spacing w:val="-2"/>
          <w:sz w:val="24"/>
        </w:rPr>
        <w:t> </w:t>
      </w:r>
      <w:r>
        <w:rPr>
          <w:sz w:val="24"/>
        </w:rPr>
        <w:t>Hard</w:t>
      </w:r>
      <w:r>
        <w:rPr>
          <w:spacing w:val="-2"/>
          <w:sz w:val="24"/>
        </w:rPr>
        <w:t> </w:t>
      </w:r>
      <w:r>
        <w:rPr>
          <w:sz w:val="24"/>
        </w:rPr>
        <w:t>of</w:t>
      </w:r>
      <w:r>
        <w:rPr>
          <w:spacing w:val="-1"/>
          <w:sz w:val="24"/>
        </w:rPr>
        <w:t> </w:t>
      </w:r>
      <w:r>
        <w:rPr>
          <w:spacing w:val="-2"/>
          <w:sz w:val="24"/>
        </w:rPr>
        <w:t>Hearing</w:t>
      </w:r>
    </w:p>
    <w:p>
      <w:pPr>
        <w:pStyle w:val="ListParagraph"/>
        <w:spacing w:after="0" w:line="240" w:lineRule="auto"/>
        <w:jc w:val="left"/>
        <w:rPr>
          <w:sz w:val="24"/>
        </w:rPr>
        <w:sectPr>
          <w:pgSz w:w="12240" w:h="15840"/>
          <w:pgMar w:top="1340" w:bottom="280" w:left="1080" w:right="720"/>
        </w:sectPr>
      </w:pPr>
    </w:p>
    <w:p>
      <w:pPr>
        <w:spacing w:before="80"/>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7-1-04</w:t>
      </w:r>
      <w:r>
        <w:rPr>
          <w:sz w:val="22"/>
        </w:rPr>
        <w:tab/>
        <w:t>PT Memo #05-01</w:t>
      </w:r>
    </w:p>
    <w:p>
      <w:pPr>
        <w:spacing w:before="0"/>
        <w:ind w:left="1439" w:right="0" w:firstLine="0"/>
        <w:jc w:val="left"/>
        <w:rPr>
          <w:sz w:val="22"/>
        </w:rPr>
      </w:pPr>
      <w:r>
        <w:rPr>
          <w:sz w:val="22"/>
        </w:rPr>
        <w:t>Permanent,</w:t>
      </w:r>
      <w:r>
        <w:rPr>
          <w:spacing w:val="-9"/>
          <w:sz w:val="22"/>
        </w:rPr>
        <w:t> </w:t>
      </w:r>
      <w:r>
        <w:rPr>
          <w:sz w:val="22"/>
        </w:rPr>
        <w:t>added</w:t>
      </w:r>
      <w:r>
        <w:rPr>
          <w:spacing w:val="-10"/>
          <w:sz w:val="22"/>
        </w:rPr>
        <w:t> </w:t>
      </w:r>
      <w:r>
        <w:rPr>
          <w:spacing w:val="-2"/>
          <w:sz w:val="22"/>
        </w:rPr>
        <w:t>acronyms.</w:t>
      </w:r>
    </w:p>
    <w:p>
      <w:pPr>
        <w:pStyle w:val="ListParagraph"/>
        <w:numPr>
          <w:ilvl w:val="2"/>
          <w:numId w:val="291"/>
        </w:numPr>
        <w:tabs>
          <w:tab w:pos="1439" w:val="left" w:leader="none"/>
        </w:tabs>
        <w:spacing w:line="253" w:lineRule="exact" w:before="1" w:after="0"/>
        <w:ind w:left="1439" w:right="0" w:hanging="1080"/>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tabs>
          <w:tab w:pos="1439" w:val="left" w:leader="none"/>
        </w:tabs>
        <w:spacing w:before="0"/>
        <w:ind w:left="359" w:right="5487" w:firstLine="1080"/>
        <w:jc w:val="left"/>
        <w:rPr>
          <w:sz w:val="22"/>
        </w:rPr>
      </w:pPr>
      <w:r>
        <w:rPr>
          <w:sz w:val="22"/>
        </w:rPr>
        <w:t>Permanent,</w:t>
      </w:r>
      <w:r>
        <w:rPr>
          <w:spacing w:val="-9"/>
          <w:sz w:val="22"/>
        </w:rPr>
        <w:t> </w:t>
      </w:r>
      <w:r>
        <w:rPr>
          <w:sz w:val="22"/>
        </w:rPr>
        <w:t>added</w:t>
      </w:r>
      <w:r>
        <w:rPr>
          <w:spacing w:val="-9"/>
          <w:sz w:val="22"/>
        </w:rPr>
        <w:t> </w:t>
      </w:r>
      <w:r>
        <w:rPr>
          <w:sz w:val="22"/>
        </w:rPr>
        <w:t>types</w:t>
      </w:r>
      <w:r>
        <w:rPr>
          <w:spacing w:val="-10"/>
          <w:sz w:val="22"/>
        </w:rPr>
        <w:t> </w:t>
      </w:r>
      <w:r>
        <w:rPr>
          <w:sz w:val="22"/>
        </w:rPr>
        <w:t>of</w:t>
      </w:r>
      <w:r>
        <w:rPr>
          <w:spacing w:val="-9"/>
          <w:sz w:val="22"/>
        </w:rPr>
        <w:t> </w:t>
      </w:r>
      <w:r>
        <w:rPr>
          <w:sz w:val="22"/>
        </w:rPr>
        <w:t>services </w:t>
      </w:r>
      <w:r>
        <w:rPr>
          <w:spacing w:val="-2"/>
          <w:sz w:val="22"/>
        </w:rPr>
        <w:t>9-12-14</w:t>
      </w:r>
      <w:r>
        <w:rPr>
          <w:sz w:val="22"/>
        </w:rPr>
        <w:tab/>
        <w:t>Updated language</w:t>
      </w:r>
    </w:p>
    <w:p>
      <w:pPr>
        <w:spacing w:after="0"/>
        <w:jc w:val="left"/>
        <w:rPr>
          <w:sz w:val="22"/>
        </w:rPr>
        <w:sectPr>
          <w:pgSz w:w="12240" w:h="15840"/>
          <w:pgMar w:top="1360" w:bottom="280" w:left="1080" w:right="720"/>
        </w:sectPr>
      </w:pPr>
    </w:p>
    <w:p>
      <w:pPr>
        <w:pStyle w:val="Heading1"/>
        <w:ind w:right="778"/>
      </w:pPr>
      <w:bookmarkStart w:name="PART 3.  CERTIFICATION OF INTERPRETERS" w:id="288"/>
      <w:bookmarkEnd w:id="288"/>
      <w:r>
        <w:rPr>
          <w:b w:val="0"/>
        </w:rPr>
      </w:r>
      <w:r>
        <w:rPr/>
        <w:t>PART</w:t>
      </w:r>
      <w:r>
        <w:rPr>
          <w:spacing w:val="-1"/>
        </w:rPr>
        <w:t> </w:t>
      </w:r>
      <w:r>
        <w:rPr/>
        <w:t>3.</w:t>
      </w:r>
      <w:r>
        <w:rPr>
          <w:spacing w:val="63"/>
        </w:rPr>
        <w:t> </w:t>
      </w:r>
      <w:r>
        <w:rPr/>
        <w:t>CERTIFICATION</w:t>
      </w:r>
      <w:r>
        <w:rPr>
          <w:spacing w:val="-2"/>
        </w:rPr>
        <w:t> </w:t>
      </w:r>
      <w:r>
        <w:rPr/>
        <w:t>OF</w:t>
      </w:r>
      <w:r>
        <w:rPr>
          <w:spacing w:val="-3"/>
        </w:rPr>
        <w:t> </w:t>
      </w:r>
      <w:r>
        <w:rPr>
          <w:spacing w:val="-2"/>
        </w:rPr>
        <w:t>INTERPRETERS</w:t>
      </w:r>
    </w:p>
    <w:p>
      <w:pPr>
        <w:pStyle w:val="BodyText"/>
        <w:spacing w:before="204"/>
      </w:pPr>
      <w:r>
        <w:rPr>
          <w:spacing w:val="-2"/>
        </w:rPr>
        <w:t>Section</w:t>
      </w:r>
    </w:p>
    <w:p>
      <w:pPr>
        <w:pStyle w:val="BodyText"/>
        <w:tabs>
          <w:tab w:pos="2519" w:val="left" w:leader="none"/>
        </w:tabs>
        <w:spacing w:before="204"/>
      </w:pPr>
      <w:r>
        <w:rPr>
          <w:spacing w:val="-2"/>
        </w:rPr>
        <w:t>612:10-13-</w:t>
      </w:r>
      <w:r>
        <w:rPr>
          <w:spacing w:val="-5"/>
        </w:rPr>
        <w:t>14.</w:t>
      </w:r>
      <w:r>
        <w:rPr/>
        <w:tab/>
        <w:t>Legal</w:t>
      </w:r>
      <w:r>
        <w:rPr>
          <w:spacing w:val="-4"/>
        </w:rPr>
        <w:t> basis</w:t>
      </w:r>
    </w:p>
    <w:p>
      <w:pPr>
        <w:pStyle w:val="BodyText"/>
        <w:tabs>
          <w:tab w:pos="2519" w:val="left" w:leader="none"/>
        </w:tabs>
        <w:spacing w:before="204"/>
      </w:pPr>
      <w:r>
        <w:rPr>
          <w:spacing w:val="-2"/>
        </w:rPr>
        <w:t>612:10-13-</w:t>
      </w:r>
      <w:r>
        <w:rPr>
          <w:spacing w:val="-5"/>
        </w:rPr>
        <w:t>15.</w:t>
      </w:r>
      <w:r>
        <w:rPr/>
        <w:tab/>
        <w:t>Certification</w:t>
      </w:r>
      <w:r>
        <w:rPr>
          <w:spacing w:val="-8"/>
        </w:rPr>
        <w:t> </w:t>
      </w:r>
      <w:r>
        <w:rPr>
          <w:spacing w:val="-2"/>
        </w:rPr>
        <w:t>levels</w:t>
      </w:r>
    </w:p>
    <w:p>
      <w:pPr>
        <w:pStyle w:val="BodyText"/>
        <w:tabs>
          <w:tab w:pos="2519" w:val="left" w:leader="none"/>
        </w:tabs>
        <w:spacing w:before="204"/>
      </w:pPr>
      <w:r>
        <w:rPr>
          <w:spacing w:val="-2"/>
        </w:rPr>
        <w:t>612:10-13-</w:t>
      </w:r>
      <w:r>
        <w:rPr>
          <w:spacing w:val="-5"/>
        </w:rPr>
        <w:t>16.</w:t>
      </w:r>
      <w:r>
        <w:rPr/>
        <w:tab/>
      </w:r>
      <w:r>
        <w:rPr>
          <w:spacing w:val="-2"/>
        </w:rPr>
        <w:t>Evaluation</w:t>
      </w:r>
    </w:p>
    <w:p>
      <w:pPr>
        <w:pStyle w:val="BodyText"/>
        <w:tabs>
          <w:tab w:pos="2519" w:val="left" w:leader="none"/>
        </w:tabs>
        <w:spacing w:before="204"/>
      </w:pPr>
      <w:r>
        <w:rPr>
          <w:spacing w:val="-2"/>
        </w:rPr>
        <w:t>612:10-13-</w:t>
      </w:r>
      <w:r>
        <w:rPr>
          <w:spacing w:val="-5"/>
        </w:rPr>
        <w:t>17.</w:t>
      </w:r>
      <w:r>
        <w:rPr/>
        <w:tab/>
        <w:t>Evaluation</w:t>
      </w:r>
      <w:r>
        <w:rPr>
          <w:spacing w:val="-5"/>
        </w:rPr>
        <w:t> </w:t>
      </w:r>
      <w:r>
        <w:rPr>
          <w:spacing w:val="-4"/>
        </w:rPr>
        <w:t>team</w:t>
      </w:r>
    </w:p>
    <w:p>
      <w:pPr>
        <w:pStyle w:val="BodyText"/>
        <w:tabs>
          <w:tab w:pos="2519" w:val="left" w:leader="none"/>
        </w:tabs>
        <w:spacing w:before="204"/>
      </w:pPr>
      <w:r>
        <w:rPr>
          <w:spacing w:val="-2"/>
        </w:rPr>
        <w:t>612:10-13-</w:t>
      </w:r>
      <w:r>
        <w:rPr>
          <w:spacing w:val="-5"/>
        </w:rPr>
        <w:t>18.</w:t>
      </w:r>
      <w:r>
        <w:rPr/>
        <w:tab/>
      </w:r>
      <w:r>
        <w:rPr>
          <w:spacing w:val="-4"/>
        </w:rPr>
        <w:t>Fees</w:t>
      </w:r>
    </w:p>
    <w:p>
      <w:pPr>
        <w:pStyle w:val="BodyText"/>
        <w:tabs>
          <w:tab w:pos="2519" w:val="left" w:leader="none"/>
        </w:tabs>
        <w:spacing w:before="204"/>
      </w:pPr>
      <w:r>
        <w:rPr>
          <w:spacing w:val="-2"/>
        </w:rPr>
        <w:t>612:10-13-</w:t>
      </w:r>
      <w:r>
        <w:rPr>
          <w:spacing w:val="-5"/>
        </w:rPr>
        <w:t>19.</w:t>
      </w:r>
      <w:r>
        <w:rPr/>
        <w:tab/>
      </w:r>
      <w:r>
        <w:rPr>
          <w:spacing w:val="-2"/>
        </w:rPr>
        <w:t>Refunds</w:t>
      </w:r>
    </w:p>
    <w:p>
      <w:pPr>
        <w:pStyle w:val="BodyText"/>
        <w:tabs>
          <w:tab w:pos="2519" w:val="left" w:leader="none"/>
        </w:tabs>
        <w:spacing w:before="204"/>
      </w:pPr>
      <w:r>
        <w:rPr>
          <w:spacing w:val="-2"/>
        </w:rPr>
        <w:t>612:10-13-</w:t>
      </w:r>
      <w:r>
        <w:rPr>
          <w:spacing w:val="-5"/>
        </w:rPr>
        <w:t>20.</w:t>
      </w:r>
      <w:r>
        <w:rPr/>
        <w:tab/>
        <w:t>Certification</w:t>
      </w:r>
      <w:r>
        <w:rPr>
          <w:spacing w:val="-8"/>
        </w:rPr>
        <w:t> </w:t>
      </w:r>
      <w:r>
        <w:rPr>
          <w:spacing w:val="-2"/>
        </w:rPr>
        <w:t>maintenance</w:t>
      </w:r>
    </w:p>
    <w:p>
      <w:pPr>
        <w:pStyle w:val="BodyText"/>
        <w:tabs>
          <w:tab w:pos="2519" w:val="left" w:leader="none"/>
        </w:tabs>
        <w:spacing w:before="204"/>
      </w:pPr>
      <w:r>
        <w:rPr>
          <w:spacing w:val="-2"/>
        </w:rPr>
        <w:t>612:10-13-</w:t>
      </w:r>
      <w:r>
        <w:rPr>
          <w:spacing w:val="-5"/>
        </w:rPr>
        <w:t>21.</w:t>
      </w:r>
      <w:r>
        <w:rPr/>
        <w:tab/>
        <w:t>Ethical</w:t>
      </w:r>
      <w:r>
        <w:rPr>
          <w:spacing w:val="-6"/>
        </w:rPr>
        <w:t> </w:t>
      </w:r>
      <w:r>
        <w:rPr>
          <w:spacing w:val="-2"/>
        </w:rPr>
        <w:t>standards</w:t>
      </w:r>
    </w:p>
    <w:p>
      <w:pPr>
        <w:pStyle w:val="BodyText"/>
        <w:tabs>
          <w:tab w:pos="2519" w:val="left" w:leader="none"/>
        </w:tabs>
        <w:spacing w:before="204"/>
        <w:ind w:left="359"/>
      </w:pPr>
      <w:r>
        <w:rPr>
          <w:spacing w:val="-2"/>
        </w:rPr>
        <w:t>612:10-13-</w:t>
      </w:r>
      <w:r>
        <w:rPr>
          <w:spacing w:val="-5"/>
        </w:rPr>
        <w:t>22.</w:t>
      </w:r>
      <w:r>
        <w:rPr/>
        <w:tab/>
        <w:t>Grievance</w:t>
      </w:r>
      <w:r>
        <w:rPr>
          <w:spacing w:val="-4"/>
        </w:rPr>
        <w:t> </w:t>
      </w:r>
      <w:r>
        <w:rPr>
          <w:spacing w:val="-2"/>
        </w:rPr>
        <w:t>procedures</w:t>
      </w:r>
    </w:p>
    <w:p>
      <w:pPr>
        <w:pStyle w:val="BodyText"/>
        <w:tabs>
          <w:tab w:pos="2519" w:val="left" w:leader="none"/>
        </w:tabs>
        <w:spacing w:before="204"/>
        <w:ind w:left="359"/>
      </w:pPr>
      <w:r>
        <w:rPr>
          <w:spacing w:val="-2"/>
        </w:rPr>
        <w:t>612:10-13-</w:t>
      </w:r>
      <w:r>
        <w:rPr>
          <w:spacing w:val="-5"/>
        </w:rPr>
        <w:t>23.</w:t>
      </w:r>
      <w:r>
        <w:rPr/>
        <w:tab/>
        <w:t>Formal</w:t>
      </w:r>
      <w:r>
        <w:rPr>
          <w:spacing w:val="-5"/>
        </w:rPr>
        <w:t> </w:t>
      </w:r>
      <w:r>
        <w:rPr>
          <w:spacing w:val="-2"/>
        </w:rPr>
        <w:t>hearing</w:t>
      </w:r>
    </w:p>
    <w:p>
      <w:pPr>
        <w:pStyle w:val="BodyText"/>
        <w:tabs>
          <w:tab w:pos="2429" w:val="left" w:leader="none"/>
        </w:tabs>
        <w:spacing w:line="208" w:lineRule="auto" w:before="233"/>
        <w:ind w:left="2429" w:right="904" w:hanging="2070"/>
      </w:pPr>
      <w:r>
        <w:rPr>
          <w:spacing w:val="-2"/>
        </w:rPr>
        <w:t>612:10-13-24.</w:t>
      </w:r>
      <w:r>
        <w:rPr/>
        <w:tab/>
        <w:t>Interpreter</w:t>
      </w:r>
      <w:r>
        <w:rPr>
          <w:spacing w:val="-9"/>
        </w:rPr>
        <w:t> </w:t>
      </w:r>
      <w:r>
        <w:rPr/>
        <w:t>certification</w:t>
      </w:r>
      <w:r>
        <w:rPr>
          <w:spacing w:val="-7"/>
        </w:rPr>
        <w:t> </w:t>
      </w:r>
      <w:r>
        <w:rPr/>
        <w:t>program</w:t>
      </w:r>
      <w:r>
        <w:rPr>
          <w:spacing w:val="-6"/>
        </w:rPr>
        <w:t> </w:t>
      </w:r>
      <w:r>
        <w:rPr/>
        <w:t>advisory</w:t>
      </w:r>
      <w:r>
        <w:rPr>
          <w:spacing w:val="-7"/>
        </w:rPr>
        <w:t> </w:t>
      </w:r>
      <w:r>
        <w:rPr/>
        <w:t>committee</w:t>
      </w:r>
      <w:r>
        <w:rPr>
          <w:spacing w:val="-7"/>
        </w:rPr>
        <w:t> </w:t>
      </w:r>
      <w:r>
        <w:rPr/>
        <w:t>and</w:t>
      </w:r>
      <w:r>
        <w:rPr>
          <w:spacing w:val="-7"/>
        </w:rPr>
        <w:t> </w:t>
      </w:r>
      <w:r>
        <w:rPr/>
        <w:t>interpreter quality committee</w:t>
      </w:r>
    </w:p>
    <w:p>
      <w:pPr>
        <w:pStyle w:val="BodyText"/>
        <w:spacing w:after="0" w:line="208" w:lineRule="auto"/>
        <w:sectPr>
          <w:pgSz w:w="12240" w:h="15840"/>
          <w:pgMar w:top="1340" w:bottom="280" w:left="1080" w:right="720"/>
        </w:sectPr>
      </w:pPr>
    </w:p>
    <w:p>
      <w:pPr>
        <w:pStyle w:val="Heading2"/>
      </w:pPr>
      <w:bookmarkStart w:name="612:10-13-14.  Legal basis" w:id="289"/>
      <w:bookmarkEnd w:id="289"/>
      <w:r>
        <w:rPr>
          <w:b w:val="0"/>
        </w:rPr>
      </w:r>
      <w:r>
        <w:rPr/>
        <w:t>612:10-13-14.</w:t>
      </w:r>
      <w:r>
        <w:rPr>
          <w:spacing w:val="58"/>
        </w:rPr>
        <w:t> </w:t>
      </w:r>
      <w:r>
        <w:rPr/>
        <w:t>Legal</w:t>
      </w:r>
      <w:r>
        <w:rPr>
          <w:spacing w:val="-5"/>
        </w:rPr>
        <w:t> </w:t>
      </w:r>
      <w:r>
        <w:rPr>
          <w:spacing w:val="-2"/>
        </w:rPr>
        <w:t>basis</w:t>
      </w:r>
    </w:p>
    <w:p>
      <w:pPr>
        <w:pStyle w:val="BodyText"/>
        <w:spacing w:line="208" w:lineRule="auto" w:before="233"/>
        <w:ind w:right="739" w:firstLine="432"/>
      </w:pPr>
      <w:r>
        <w:rPr/>
        <w:t>Title</w:t>
      </w:r>
      <w:r>
        <w:rPr>
          <w:spacing w:val="-4"/>
        </w:rPr>
        <w:t> </w:t>
      </w:r>
      <w:r>
        <w:rPr/>
        <w:t>56,</w:t>
      </w:r>
      <w:r>
        <w:rPr>
          <w:spacing w:val="-3"/>
        </w:rPr>
        <w:t> </w:t>
      </w:r>
      <w:r>
        <w:rPr/>
        <w:t>Section</w:t>
      </w:r>
      <w:r>
        <w:rPr>
          <w:spacing w:val="-4"/>
        </w:rPr>
        <w:t> </w:t>
      </w:r>
      <w:r>
        <w:rPr/>
        <w:t>199.2</w:t>
      </w:r>
      <w:r>
        <w:rPr>
          <w:spacing w:val="-4"/>
        </w:rPr>
        <w:t> </w:t>
      </w:r>
      <w:r>
        <w:rPr/>
        <w:t>of</w:t>
      </w:r>
      <w:r>
        <w:rPr>
          <w:spacing w:val="-5"/>
        </w:rPr>
        <w:t> </w:t>
      </w:r>
      <w:r>
        <w:rPr/>
        <w:t>Oklahoma</w:t>
      </w:r>
      <w:r>
        <w:rPr>
          <w:spacing w:val="-4"/>
        </w:rPr>
        <w:t> </w:t>
      </w:r>
      <w:r>
        <w:rPr/>
        <w:t>statute</w:t>
      </w:r>
      <w:r>
        <w:rPr>
          <w:spacing w:val="-6"/>
        </w:rPr>
        <w:t> </w:t>
      </w:r>
      <w:r>
        <w:rPr/>
        <w:t>directs</w:t>
      </w:r>
      <w:r>
        <w:rPr>
          <w:spacing w:val="-4"/>
        </w:rPr>
        <w:t> </w:t>
      </w:r>
      <w:r>
        <w:rPr/>
        <w:t>the</w:t>
      </w:r>
      <w:r>
        <w:rPr>
          <w:spacing w:val="-5"/>
        </w:rPr>
        <w:t> </w:t>
      </w:r>
      <w:r>
        <w:rPr/>
        <w:t>Department</w:t>
      </w:r>
      <w:r>
        <w:rPr>
          <w:spacing w:val="-3"/>
        </w:rPr>
        <w:t> </w:t>
      </w:r>
      <w:r>
        <w:rPr/>
        <w:t>of</w:t>
      </w:r>
      <w:r>
        <w:rPr>
          <w:spacing w:val="-5"/>
        </w:rPr>
        <w:t> </w:t>
      </w:r>
      <w:r>
        <w:rPr/>
        <w:t>Rehabilitation Services to establish policy and procedures for the evaluation and certification of interpreters</w:t>
      </w:r>
      <w:r>
        <w:rPr>
          <w:spacing w:val="-1"/>
        </w:rPr>
        <w:t> </w:t>
      </w:r>
      <w:r>
        <w:rPr/>
        <w:t>for</w:t>
      </w:r>
      <w:r>
        <w:rPr>
          <w:spacing w:val="-1"/>
        </w:rPr>
        <w:t> </w:t>
      </w:r>
      <w:r>
        <w:rPr/>
        <w:t>the deaf in Oklahoma, and authorizes the Department to charge a fee to recoup costs incurred in testing and certifying interpreters.</w:t>
      </w:r>
    </w:p>
    <w:p>
      <w:pPr>
        <w:spacing w:before="243"/>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292"/>
        </w:numPr>
        <w:tabs>
          <w:tab w:pos="1439" w:val="left" w:leader="none"/>
        </w:tabs>
        <w:spacing w:line="253" w:lineRule="exact" w:before="1" w:after="0"/>
        <w:ind w:left="1439" w:right="0" w:hanging="1079"/>
        <w:jc w:val="left"/>
        <w:rPr>
          <w:sz w:val="22"/>
        </w:rPr>
      </w:pPr>
      <w:r>
        <w:rPr>
          <w:sz w:val="22"/>
        </w:rPr>
        <w:t>PT</w:t>
      </w:r>
      <w:r>
        <w:rPr>
          <w:spacing w:val="-8"/>
          <w:sz w:val="22"/>
        </w:rPr>
        <w:t> </w:t>
      </w:r>
      <w:r>
        <w:rPr>
          <w:sz w:val="22"/>
        </w:rPr>
        <w:t>Memo</w:t>
      </w:r>
      <w:r>
        <w:rPr>
          <w:spacing w:val="-8"/>
          <w:sz w:val="22"/>
        </w:rPr>
        <w:t> </w:t>
      </w:r>
      <w:r>
        <w:rPr>
          <w:sz w:val="22"/>
        </w:rPr>
        <w:t>#94-</w:t>
      </w:r>
      <w:r>
        <w:rPr>
          <w:spacing w:val="-10"/>
          <w:sz w:val="22"/>
        </w:rPr>
        <w:t>1</w:t>
      </w:r>
    </w:p>
    <w:p>
      <w:pPr>
        <w:tabs>
          <w:tab w:pos="1439" w:val="left" w:leader="none"/>
        </w:tabs>
        <w:spacing w:before="0"/>
        <w:ind w:left="359" w:right="6636"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7-1-05</w:t>
      </w:r>
      <w:r>
        <w:rPr>
          <w:sz w:val="22"/>
        </w:rPr>
        <w:tab/>
        <w:t>PT Memo #06-01</w:t>
      </w:r>
    </w:p>
    <w:p>
      <w:pPr>
        <w:tabs>
          <w:tab w:pos="1439" w:val="left" w:leader="none"/>
        </w:tabs>
        <w:spacing w:before="0"/>
        <w:ind w:left="359" w:right="3616" w:firstLine="1080"/>
        <w:jc w:val="left"/>
        <w:rPr>
          <w:sz w:val="22"/>
        </w:rPr>
      </w:pPr>
      <w:r>
        <w:rPr>
          <w:sz w:val="22"/>
        </w:rPr>
        <w:t>Permanent,</w:t>
      </w:r>
      <w:r>
        <w:rPr>
          <w:spacing w:val="-5"/>
          <w:sz w:val="22"/>
        </w:rPr>
        <w:t> </w:t>
      </w:r>
      <w:r>
        <w:rPr>
          <w:sz w:val="22"/>
        </w:rPr>
        <w:t>corrected</w:t>
      </w:r>
      <w:r>
        <w:rPr>
          <w:spacing w:val="-6"/>
          <w:sz w:val="22"/>
        </w:rPr>
        <w:t> </w:t>
      </w:r>
      <w:r>
        <w:rPr>
          <w:sz w:val="22"/>
        </w:rPr>
        <w:t>the</w:t>
      </w:r>
      <w:r>
        <w:rPr>
          <w:spacing w:val="-6"/>
          <w:sz w:val="22"/>
        </w:rPr>
        <w:t> </w:t>
      </w:r>
      <w:r>
        <w:rPr>
          <w:sz w:val="22"/>
        </w:rPr>
        <w:t>section</w:t>
      </w:r>
      <w:r>
        <w:rPr>
          <w:spacing w:val="-6"/>
          <w:sz w:val="22"/>
        </w:rPr>
        <w:t> </w:t>
      </w:r>
      <w:r>
        <w:rPr>
          <w:sz w:val="22"/>
        </w:rPr>
        <w:t>number</w:t>
      </w:r>
      <w:r>
        <w:rPr>
          <w:spacing w:val="-6"/>
          <w:sz w:val="22"/>
        </w:rPr>
        <w:t> </w:t>
      </w:r>
      <w:r>
        <w:rPr>
          <w:sz w:val="22"/>
        </w:rPr>
        <w:t>in</w:t>
      </w:r>
      <w:r>
        <w:rPr>
          <w:spacing w:val="-6"/>
          <w:sz w:val="22"/>
        </w:rPr>
        <w:t> </w:t>
      </w:r>
      <w:r>
        <w:rPr>
          <w:sz w:val="22"/>
        </w:rPr>
        <w:t>OK</w:t>
      </w:r>
      <w:r>
        <w:rPr>
          <w:spacing w:val="-5"/>
          <w:sz w:val="22"/>
        </w:rPr>
        <w:t> </w:t>
      </w:r>
      <w:r>
        <w:rPr>
          <w:sz w:val="22"/>
        </w:rPr>
        <w:t>statute </w:t>
      </w:r>
      <w:r>
        <w:rPr>
          <w:spacing w:val="-2"/>
          <w:sz w:val="22"/>
        </w:rPr>
        <w:t>9-12-14</w:t>
      </w:r>
      <w:r>
        <w:rPr>
          <w:sz w:val="22"/>
        </w:rPr>
        <w:tab/>
        <w:t>Updated language</w:t>
      </w:r>
    </w:p>
    <w:p>
      <w:pPr>
        <w:spacing w:after="0"/>
        <w:jc w:val="left"/>
        <w:rPr>
          <w:sz w:val="22"/>
        </w:rPr>
        <w:sectPr>
          <w:pgSz w:w="12240" w:h="15840"/>
          <w:pgMar w:top="1340" w:bottom="280" w:left="1080" w:right="720"/>
        </w:sectPr>
      </w:pPr>
    </w:p>
    <w:p>
      <w:pPr>
        <w:pStyle w:val="Heading2"/>
      </w:pPr>
      <w:bookmarkStart w:name="612:10-13-15.  Certification levels" w:id="290"/>
      <w:bookmarkEnd w:id="290"/>
      <w:r>
        <w:rPr>
          <w:b w:val="0"/>
        </w:rPr>
      </w:r>
      <w:r>
        <w:rPr/>
        <w:t>612:10-13-15.</w:t>
      </w:r>
      <w:r>
        <w:rPr>
          <w:spacing w:val="56"/>
        </w:rPr>
        <w:t> </w:t>
      </w:r>
      <w:r>
        <w:rPr/>
        <w:t>Certification</w:t>
      </w:r>
      <w:r>
        <w:rPr>
          <w:spacing w:val="-5"/>
        </w:rPr>
        <w:t> </w:t>
      </w:r>
      <w:r>
        <w:rPr>
          <w:spacing w:val="-2"/>
        </w:rPr>
        <w:t>levels</w:t>
      </w:r>
    </w:p>
    <w:p>
      <w:pPr>
        <w:pStyle w:val="BodyText"/>
        <w:spacing w:line="208" w:lineRule="auto" w:before="233"/>
        <w:ind w:right="775" w:firstLine="432"/>
      </w:pPr>
      <w:r>
        <w:rPr/>
        <w:t>Interpreter</w:t>
      </w:r>
      <w:r>
        <w:rPr>
          <w:spacing w:val="-6"/>
        </w:rPr>
        <w:t> </w:t>
      </w:r>
      <w:r>
        <w:rPr/>
        <w:t>certification</w:t>
      </w:r>
      <w:r>
        <w:rPr>
          <w:spacing w:val="-4"/>
        </w:rPr>
        <w:t> </w:t>
      </w:r>
      <w:r>
        <w:rPr/>
        <w:t>levels</w:t>
      </w:r>
      <w:r>
        <w:rPr>
          <w:spacing w:val="-4"/>
        </w:rPr>
        <w:t> </w:t>
      </w:r>
      <w:r>
        <w:rPr/>
        <w:t>are</w:t>
      </w:r>
      <w:r>
        <w:rPr>
          <w:spacing w:val="-4"/>
        </w:rPr>
        <w:t> </w:t>
      </w:r>
      <w:r>
        <w:rPr/>
        <w:t>set</w:t>
      </w:r>
      <w:r>
        <w:rPr>
          <w:spacing w:val="-3"/>
        </w:rPr>
        <w:t> </w:t>
      </w:r>
      <w:r>
        <w:rPr/>
        <w:t>by</w:t>
      </w:r>
      <w:r>
        <w:rPr>
          <w:spacing w:val="-4"/>
        </w:rPr>
        <w:t> </w:t>
      </w:r>
      <w:r>
        <w:rPr/>
        <w:t>the</w:t>
      </w:r>
      <w:r>
        <w:rPr>
          <w:spacing w:val="-5"/>
        </w:rPr>
        <w:t> </w:t>
      </w:r>
      <w:r>
        <w:rPr/>
        <w:t>Department.</w:t>
      </w:r>
      <w:r>
        <w:rPr>
          <w:spacing w:val="-3"/>
        </w:rPr>
        <w:t> </w:t>
      </w:r>
      <w:r>
        <w:rPr>
          <w:b/>
        </w:rPr>
        <w:t>1</w:t>
      </w:r>
      <w:r>
        <w:rPr>
          <w:b/>
          <w:spacing w:val="-6"/>
        </w:rPr>
        <w:t> </w:t>
      </w:r>
      <w:r>
        <w:rPr/>
        <w:t>Each</w:t>
      </w:r>
      <w:r>
        <w:rPr>
          <w:spacing w:val="-4"/>
        </w:rPr>
        <w:t> </w:t>
      </w:r>
      <w:r>
        <w:rPr/>
        <w:t>certification</w:t>
      </w:r>
      <w:r>
        <w:rPr>
          <w:spacing w:val="-4"/>
        </w:rPr>
        <w:t> </w:t>
      </w:r>
      <w:r>
        <w:rPr/>
        <w:t>level should adhere to established guidelines or laws that instruct, restrict or prohibit interpreting in specified settings/environments.</w:t>
      </w:r>
    </w:p>
    <w:p>
      <w:pPr>
        <w:pStyle w:val="BodyText"/>
        <w:spacing w:before="210"/>
      </w:pPr>
      <w:r>
        <w:rPr/>
        <w:t>INSTRUCTIONS</w:t>
      </w:r>
      <w:r>
        <w:rPr>
          <w:spacing w:val="-3"/>
        </w:rPr>
        <w:t> </w:t>
      </w:r>
      <w:r>
        <w:rPr/>
        <w:t>TO</w:t>
      </w:r>
      <w:r>
        <w:rPr>
          <w:spacing w:val="-2"/>
        </w:rPr>
        <w:t> </w:t>
      </w:r>
      <w:r>
        <w:rPr>
          <w:spacing w:val="-4"/>
        </w:rPr>
        <w:t>STAFF</w:t>
      </w:r>
    </w:p>
    <w:p>
      <w:pPr>
        <w:pStyle w:val="BodyText"/>
        <w:spacing w:before="238"/>
        <w:ind w:right="191"/>
      </w:pPr>
      <w:r>
        <w:rPr/>
        <w:t>Each</w:t>
      </w:r>
      <w:r>
        <w:rPr>
          <w:spacing w:val="-4"/>
        </w:rPr>
        <w:t> </w:t>
      </w:r>
      <w:r>
        <w:rPr/>
        <w:t>certification</w:t>
      </w:r>
      <w:r>
        <w:rPr>
          <w:spacing w:val="-4"/>
        </w:rPr>
        <w:t> </w:t>
      </w:r>
      <w:r>
        <w:rPr/>
        <w:t>level</w:t>
      </w:r>
      <w:r>
        <w:rPr>
          <w:spacing w:val="-3"/>
        </w:rPr>
        <w:t> </w:t>
      </w:r>
      <w:r>
        <w:rPr/>
        <w:t>requires</w:t>
      </w:r>
      <w:r>
        <w:rPr>
          <w:spacing w:val="-4"/>
        </w:rPr>
        <w:t> </w:t>
      </w:r>
      <w:r>
        <w:rPr/>
        <w:t>an</w:t>
      </w:r>
      <w:r>
        <w:rPr>
          <w:spacing w:val="-4"/>
        </w:rPr>
        <w:t> </w:t>
      </w:r>
      <w:r>
        <w:rPr/>
        <w:t>interpreter</w:t>
      </w:r>
      <w:r>
        <w:rPr>
          <w:spacing w:val="-3"/>
        </w:rPr>
        <w:t> </w:t>
      </w:r>
      <w:r>
        <w:rPr/>
        <w:t>to</w:t>
      </w:r>
      <w:r>
        <w:rPr>
          <w:spacing w:val="-4"/>
        </w:rPr>
        <w:t> </w:t>
      </w:r>
      <w:r>
        <w:rPr/>
        <w:t>be</w:t>
      </w:r>
      <w:r>
        <w:rPr>
          <w:spacing w:val="-4"/>
        </w:rPr>
        <w:t> </w:t>
      </w:r>
      <w:r>
        <w:rPr/>
        <w:t>attentive</w:t>
      </w:r>
      <w:r>
        <w:rPr>
          <w:spacing w:val="-4"/>
        </w:rPr>
        <w:t> </w:t>
      </w:r>
      <w:r>
        <w:rPr/>
        <w:t>to</w:t>
      </w:r>
      <w:r>
        <w:rPr>
          <w:spacing w:val="-4"/>
        </w:rPr>
        <w:t> </w:t>
      </w:r>
      <w:r>
        <w:rPr/>
        <w:t>accepting</w:t>
      </w:r>
      <w:r>
        <w:rPr>
          <w:spacing w:val="-4"/>
        </w:rPr>
        <w:t> </w:t>
      </w:r>
      <w:r>
        <w:rPr/>
        <w:t>assignments</w:t>
      </w:r>
      <w:r>
        <w:rPr>
          <w:spacing w:val="-4"/>
        </w:rPr>
        <w:t> </w:t>
      </w:r>
      <w:r>
        <w:rPr/>
        <w:t>based on</w:t>
      </w:r>
      <w:r>
        <w:rPr>
          <w:spacing w:val="-2"/>
        </w:rPr>
        <w:t> </w:t>
      </w:r>
      <w:r>
        <w:rPr/>
        <w:t>contingent</w:t>
      </w:r>
      <w:r>
        <w:rPr>
          <w:spacing w:val="-1"/>
        </w:rPr>
        <w:t> </w:t>
      </w:r>
      <w:r>
        <w:rPr/>
        <w:t>factors</w:t>
      </w:r>
      <w:r>
        <w:rPr>
          <w:spacing w:val="-4"/>
        </w:rPr>
        <w:t> </w:t>
      </w:r>
      <w:r>
        <w:rPr/>
        <w:t>and</w:t>
      </w:r>
      <w:r>
        <w:rPr>
          <w:spacing w:val="-2"/>
        </w:rPr>
        <w:t> </w:t>
      </w:r>
      <w:r>
        <w:rPr/>
        <w:t>the</w:t>
      </w:r>
      <w:r>
        <w:rPr>
          <w:spacing w:val="-2"/>
        </w:rPr>
        <w:t> </w:t>
      </w:r>
      <w:r>
        <w:rPr/>
        <w:t>preferred</w:t>
      </w:r>
      <w:r>
        <w:rPr>
          <w:spacing w:val="-2"/>
        </w:rPr>
        <w:t> </w:t>
      </w:r>
      <w:r>
        <w:rPr/>
        <w:t>communication</w:t>
      </w:r>
      <w:r>
        <w:rPr>
          <w:spacing w:val="-1"/>
        </w:rPr>
        <w:t> </w:t>
      </w:r>
      <w:r>
        <w:rPr/>
        <w:t>mode</w:t>
      </w:r>
      <w:r>
        <w:rPr>
          <w:spacing w:val="-2"/>
        </w:rPr>
        <w:t> </w:t>
      </w:r>
      <w:r>
        <w:rPr/>
        <w:t>of</w:t>
      </w:r>
      <w:r>
        <w:rPr>
          <w:spacing w:val="-1"/>
        </w:rPr>
        <w:t> </w:t>
      </w:r>
      <w:r>
        <w:rPr/>
        <w:t>the</w:t>
      </w:r>
      <w:r>
        <w:rPr>
          <w:spacing w:val="-2"/>
        </w:rPr>
        <w:t> </w:t>
      </w:r>
      <w:r>
        <w:rPr/>
        <w:t>consumers.</w:t>
      </w:r>
      <w:r>
        <w:rPr>
          <w:spacing w:val="-1"/>
        </w:rPr>
        <w:t> </w:t>
      </w:r>
      <w:r>
        <w:rPr/>
        <w:t>Each</w:t>
      </w:r>
      <w:r>
        <w:rPr>
          <w:spacing w:val="-2"/>
        </w:rPr>
        <w:t> </w:t>
      </w:r>
      <w:r>
        <w:rPr/>
        <w:t>level</w:t>
      </w:r>
      <w:r>
        <w:rPr>
          <w:spacing w:val="-2"/>
        </w:rPr>
        <w:t> </w:t>
      </w:r>
      <w:r>
        <w:rPr/>
        <w:t>is required to support and adhere to the NAD-RID Code of Professional Conduct relating to the Professional Development, by fostering and maintaining competence through ongoing development</w:t>
      </w:r>
      <w:r>
        <w:rPr>
          <w:spacing w:val="-1"/>
        </w:rPr>
        <w:t> </w:t>
      </w:r>
      <w:r>
        <w:rPr/>
        <w:t>of</w:t>
      </w:r>
      <w:r>
        <w:rPr>
          <w:spacing w:val="-1"/>
        </w:rPr>
        <w:t> </w:t>
      </w:r>
      <w:r>
        <w:rPr/>
        <w:t>knowledge</w:t>
      </w:r>
      <w:r>
        <w:rPr>
          <w:spacing w:val="-2"/>
        </w:rPr>
        <w:t> </w:t>
      </w:r>
      <w:r>
        <w:rPr/>
        <w:t>and</w:t>
      </w:r>
      <w:r>
        <w:rPr>
          <w:spacing w:val="-2"/>
        </w:rPr>
        <w:t> </w:t>
      </w:r>
      <w:r>
        <w:rPr/>
        <w:t>skills.</w:t>
      </w:r>
      <w:r>
        <w:rPr>
          <w:spacing w:val="-1"/>
        </w:rPr>
        <w:t> </w:t>
      </w:r>
      <w:r>
        <w:rPr/>
        <w:t>In</w:t>
      </w:r>
      <w:r>
        <w:rPr>
          <w:spacing w:val="-2"/>
        </w:rPr>
        <w:t> </w:t>
      </w:r>
      <w:r>
        <w:rPr/>
        <w:t>best</w:t>
      </w:r>
      <w:r>
        <w:rPr>
          <w:spacing w:val="-1"/>
        </w:rPr>
        <w:t> </w:t>
      </w:r>
      <w:r>
        <w:rPr/>
        <w:t>practice,</w:t>
      </w:r>
      <w:r>
        <w:rPr>
          <w:spacing w:val="-1"/>
        </w:rPr>
        <w:t> </w:t>
      </w:r>
      <w:r>
        <w:rPr/>
        <w:t>it</w:t>
      </w:r>
      <w:r>
        <w:rPr>
          <w:spacing w:val="-3"/>
        </w:rPr>
        <w:t> </w:t>
      </w:r>
      <w:r>
        <w:rPr/>
        <w:t>is</w:t>
      </w:r>
      <w:r>
        <w:rPr>
          <w:spacing w:val="-2"/>
        </w:rPr>
        <w:t> </w:t>
      </w:r>
      <w:r>
        <w:rPr/>
        <w:t>required</w:t>
      </w:r>
      <w:r>
        <w:rPr>
          <w:spacing w:val="-2"/>
        </w:rPr>
        <w:t> </w:t>
      </w:r>
      <w:r>
        <w:rPr/>
        <w:t>for</w:t>
      </w:r>
      <w:r>
        <w:rPr>
          <w:spacing w:val="-1"/>
        </w:rPr>
        <w:t> </w:t>
      </w:r>
      <w:r>
        <w:rPr/>
        <w:t>interpreters</w:t>
      </w:r>
      <w:r>
        <w:rPr>
          <w:spacing w:val="-2"/>
        </w:rPr>
        <w:t> </w:t>
      </w:r>
      <w:r>
        <w:rPr/>
        <w:t>to</w:t>
      </w:r>
      <w:r>
        <w:rPr>
          <w:spacing w:val="-3"/>
        </w:rPr>
        <w:t> </w:t>
      </w:r>
      <w:r>
        <w:rPr/>
        <w:t>engage in professional development and demonstrate an extensive knowledge of expanded vocabulary and specialized set of skills when accepting assignments for specific settings such as medical, mental health, education, and legal.</w:t>
      </w:r>
    </w:p>
    <w:p>
      <w:pPr>
        <w:pStyle w:val="ListParagraph"/>
        <w:numPr>
          <w:ilvl w:val="0"/>
          <w:numId w:val="293"/>
        </w:numPr>
        <w:tabs>
          <w:tab w:pos="1077" w:val="left" w:leader="none"/>
        </w:tabs>
        <w:spacing w:line="240" w:lineRule="auto" w:before="243" w:after="0"/>
        <w:ind w:left="1077" w:right="0" w:hanging="286"/>
        <w:jc w:val="left"/>
        <w:rPr>
          <w:sz w:val="24"/>
        </w:rPr>
      </w:pPr>
      <w:r>
        <w:rPr>
          <w:sz w:val="24"/>
        </w:rPr>
        <w:t>Interpreter</w:t>
      </w:r>
      <w:r>
        <w:rPr>
          <w:spacing w:val="-8"/>
          <w:sz w:val="24"/>
        </w:rPr>
        <w:t> </w:t>
      </w:r>
      <w:r>
        <w:rPr>
          <w:sz w:val="24"/>
        </w:rPr>
        <w:t>certification</w:t>
      </w:r>
      <w:r>
        <w:rPr>
          <w:spacing w:val="-5"/>
          <w:sz w:val="24"/>
        </w:rPr>
        <w:t> </w:t>
      </w:r>
      <w:r>
        <w:rPr>
          <w:spacing w:val="-2"/>
          <w:sz w:val="24"/>
        </w:rPr>
        <w:t>levels:</w:t>
      </w:r>
    </w:p>
    <w:p>
      <w:pPr>
        <w:pStyle w:val="ListParagraph"/>
        <w:numPr>
          <w:ilvl w:val="1"/>
          <w:numId w:val="293"/>
        </w:numPr>
        <w:tabs>
          <w:tab w:pos="1527" w:val="left" w:leader="none"/>
          <w:tab w:pos="1529" w:val="left" w:leader="none"/>
        </w:tabs>
        <w:spacing w:line="208" w:lineRule="auto" w:before="233" w:after="0"/>
        <w:ind w:left="1529" w:right="1451" w:hanging="450"/>
        <w:jc w:val="left"/>
        <w:rPr>
          <w:sz w:val="24"/>
        </w:rPr>
      </w:pPr>
      <w:r>
        <w:rPr>
          <w:sz w:val="24"/>
        </w:rPr>
        <w:t>Level I/I is the entry level beginner who is able to expressively and receptively</w:t>
      </w:r>
      <w:r>
        <w:rPr>
          <w:spacing w:val="-4"/>
          <w:sz w:val="24"/>
        </w:rPr>
        <w:t> </w:t>
      </w:r>
      <w:r>
        <w:rPr>
          <w:sz w:val="24"/>
        </w:rPr>
        <w:t>interpret</w:t>
      </w:r>
      <w:r>
        <w:rPr>
          <w:spacing w:val="-3"/>
          <w:sz w:val="24"/>
        </w:rPr>
        <w:t> </w:t>
      </w:r>
      <w:r>
        <w:rPr>
          <w:sz w:val="24"/>
        </w:rPr>
        <w:t>a</w:t>
      </w:r>
      <w:r>
        <w:rPr>
          <w:spacing w:val="-5"/>
          <w:sz w:val="24"/>
        </w:rPr>
        <w:t> </w:t>
      </w:r>
      <w:r>
        <w:rPr>
          <w:sz w:val="24"/>
        </w:rPr>
        <w:t>minimum</w:t>
      </w:r>
      <w:r>
        <w:rPr>
          <w:spacing w:val="-3"/>
          <w:sz w:val="24"/>
        </w:rPr>
        <w:t> </w:t>
      </w:r>
      <w:r>
        <w:rPr>
          <w:sz w:val="24"/>
        </w:rPr>
        <w:t>of</w:t>
      </w:r>
      <w:r>
        <w:rPr>
          <w:spacing w:val="-3"/>
          <w:sz w:val="24"/>
        </w:rPr>
        <w:t> </w:t>
      </w:r>
      <w:r>
        <w:rPr>
          <w:sz w:val="24"/>
        </w:rPr>
        <w:t>fifty</w:t>
      </w:r>
      <w:r>
        <w:rPr>
          <w:spacing w:val="-4"/>
          <w:sz w:val="24"/>
        </w:rPr>
        <w:t> </w:t>
      </w:r>
      <w:r>
        <w:rPr>
          <w:sz w:val="24"/>
        </w:rPr>
        <w:t>percent</w:t>
      </w:r>
      <w:r>
        <w:rPr>
          <w:spacing w:val="-3"/>
          <w:sz w:val="24"/>
        </w:rPr>
        <w:t> </w:t>
      </w:r>
      <w:r>
        <w:rPr>
          <w:sz w:val="24"/>
        </w:rPr>
        <w:t>(50%)</w:t>
      </w:r>
      <w:r>
        <w:rPr>
          <w:spacing w:val="-5"/>
          <w:sz w:val="24"/>
        </w:rPr>
        <w:t> </w:t>
      </w:r>
      <w:r>
        <w:rPr>
          <w:sz w:val="24"/>
        </w:rPr>
        <w:t>of</w:t>
      </w:r>
      <w:r>
        <w:rPr>
          <w:spacing w:val="-5"/>
          <w:sz w:val="24"/>
        </w:rPr>
        <w:t> </w:t>
      </w:r>
      <w:r>
        <w:rPr>
          <w:sz w:val="24"/>
        </w:rPr>
        <w:t>the</w:t>
      </w:r>
      <w:r>
        <w:rPr>
          <w:spacing w:val="-4"/>
          <w:sz w:val="24"/>
        </w:rPr>
        <w:t> </w:t>
      </w:r>
      <w:r>
        <w:rPr>
          <w:sz w:val="24"/>
        </w:rPr>
        <w:t>beginner’s performance evaluation in interpreting and transliterating.</w:t>
      </w:r>
    </w:p>
    <w:p>
      <w:pPr>
        <w:pStyle w:val="BodyText"/>
        <w:spacing w:before="244"/>
        <w:ind w:left="1529" w:right="727"/>
      </w:pPr>
      <w:r>
        <w:rPr/>
        <w:t>Level</w:t>
      </w:r>
      <w:r>
        <w:rPr>
          <w:spacing w:val="-4"/>
        </w:rPr>
        <w:t> </w:t>
      </w:r>
      <w:r>
        <w:rPr/>
        <w:t>I</w:t>
      </w:r>
      <w:r>
        <w:rPr>
          <w:spacing w:val="-3"/>
        </w:rPr>
        <w:t> </w:t>
      </w:r>
      <w:r>
        <w:rPr/>
        <w:t>should</w:t>
      </w:r>
      <w:r>
        <w:rPr>
          <w:spacing w:val="-4"/>
        </w:rPr>
        <w:t> </w:t>
      </w:r>
      <w:r>
        <w:rPr/>
        <w:t>be</w:t>
      </w:r>
      <w:r>
        <w:rPr>
          <w:spacing w:val="-4"/>
        </w:rPr>
        <w:t> </w:t>
      </w:r>
      <w:r>
        <w:rPr/>
        <w:t>capable</w:t>
      </w:r>
      <w:r>
        <w:rPr>
          <w:spacing w:val="-4"/>
        </w:rPr>
        <w:t> </w:t>
      </w:r>
      <w:r>
        <w:rPr/>
        <w:t>of</w:t>
      </w:r>
      <w:r>
        <w:rPr>
          <w:spacing w:val="-3"/>
        </w:rPr>
        <w:t> </w:t>
      </w:r>
      <w:r>
        <w:rPr/>
        <w:t>interpreting</w:t>
      </w:r>
      <w:r>
        <w:rPr>
          <w:spacing w:val="-4"/>
        </w:rPr>
        <w:t> </w:t>
      </w:r>
      <w:r>
        <w:rPr/>
        <w:t>in</w:t>
      </w:r>
      <w:r>
        <w:rPr>
          <w:spacing w:val="-4"/>
        </w:rPr>
        <w:t> </w:t>
      </w:r>
      <w:r>
        <w:rPr/>
        <w:t>these</w:t>
      </w:r>
      <w:r>
        <w:rPr>
          <w:spacing w:val="-4"/>
        </w:rPr>
        <w:t> </w:t>
      </w:r>
      <w:r>
        <w:rPr/>
        <w:t>settings:</w:t>
      </w:r>
      <w:r>
        <w:rPr>
          <w:spacing w:val="-3"/>
        </w:rPr>
        <w:t> </w:t>
      </w:r>
      <w:r>
        <w:rPr/>
        <w:t>limited</w:t>
      </w:r>
      <w:r>
        <w:rPr>
          <w:spacing w:val="-4"/>
        </w:rPr>
        <w:t> </w:t>
      </w:r>
      <w:r>
        <w:rPr/>
        <w:t>one-on-one situations on a non-technical basis, limited short-term</w:t>
      </w:r>
      <w:r>
        <w:rPr>
          <w:spacing w:val="-1"/>
        </w:rPr>
        <w:t> </w:t>
      </w:r>
      <w:r>
        <w:rPr/>
        <w:t>trainings, limited short- term non-technical workshops, which the interpreter has an easy and non- intrusive opportunity to stop for clarification and feedback from the </w:t>
      </w:r>
      <w:r>
        <w:rPr>
          <w:spacing w:val="-2"/>
        </w:rPr>
        <w:t>consumers.</w:t>
      </w:r>
    </w:p>
    <w:p>
      <w:pPr>
        <w:pStyle w:val="BodyText"/>
        <w:ind w:left="1529" w:right="716"/>
        <w:jc w:val="both"/>
      </w:pPr>
      <w:r>
        <w:rPr/>
        <w:t>Level I is not certified to be used in: any type of courtroom or legal settings, any situation that has a legal binding contract, any type of mental health settings, any type of medical settings, any life-threatening situations/settings, employment</w:t>
      </w:r>
      <w:r>
        <w:rPr>
          <w:spacing w:val="-9"/>
        </w:rPr>
        <w:t> </w:t>
      </w:r>
      <w:r>
        <w:rPr/>
        <w:t>interviews,</w:t>
      </w:r>
      <w:r>
        <w:rPr>
          <w:spacing w:val="-9"/>
        </w:rPr>
        <w:t> </w:t>
      </w:r>
      <w:r>
        <w:rPr/>
        <w:t>any</w:t>
      </w:r>
      <w:r>
        <w:rPr>
          <w:spacing w:val="-10"/>
        </w:rPr>
        <w:t> </w:t>
      </w:r>
      <w:r>
        <w:rPr/>
        <w:t>type</w:t>
      </w:r>
      <w:r>
        <w:rPr>
          <w:spacing w:val="-10"/>
        </w:rPr>
        <w:t> </w:t>
      </w:r>
      <w:r>
        <w:rPr/>
        <w:t>of</w:t>
      </w:r>
      <w:r>
        <w:rPr>
          <w:spacing w:val="-9"/>
        </w:rPr>
        <w:t> </w:t>
      </w:r>
      <w:r>
        <w:rPr/>
        <w:t>purchase</w:t>
      </w:r>
      <w:r>
        <w:rPr>
          <w:spacing w:val="-10"/>
        </w:rPr>
        <w:t> </w:t>
      </w:r>
      <w:r>
        <w:rPr/>
        <w:t>or</w:t>
      </w:r>
      <w:r>
        <w:rPr>
          <w:spacing w:val="-9"/>
        </w:rPr>
        <w:t> </w:t>
      </w:r>
      <w:r>
        <w:rPr/>
        <w:t>real</w:t>
      </w:r>
      <w:r>
        <w:rPr>
          <w:spacing w:val="-10"/>
        </w:rPr>
        <w:t> </w:t>
      </w:r>
      <w:r>
        <w:rPr/>
        <w:t>estate</w:t>
      </w:r>
      <w:r>
        <w:rPr>
          <w:spacing w:val="-10"/>
        </w:rPr>
        <w:t> </w:t>
      </w:r>
      <w:r>
        <w:rPr/>
        <w:t>agreements,</w:t>
      </w:r>
      <w:r>
        <w:rPr>
          <w:spacing w:val="-9"/>
        </w:rPr>
        <w:t> </w:t>
      </w:r>
      <w:r>
        <w:rPr/>
        <w:t>K-12 public</w:t>
      </w:r>
      <w:r>
        <w:rPr>
          <w:spacing w:val="-11"/>
        </w:rPr>
        <w:t> </w:t>
      </w:r>
      <w:r>
        <w:rPr/>
        <w:t>school</w:t>
      </w:r>
      <w:r>
        <w:rPr>
          <w:spacing w:val="-12"/>
        </w:rPr>
        <w:t> </w:t>
      </w:r>
      <w:r>
        <w:rPr/>
        <w:t>setting</w:t>
      </w:r>
      <w:r>
        <w:rPr>
          <w:spacing w:val="-11"/>
        </w:rPr>
        <w:t> </w:t>
      </w:r>
      <w:r>
        <w:rPr/>
        <w:t>unless</w:t>
      </w:r>
      <w:r>
        <w:rPr>
          <w:spacing w:val="-11"/>
        </w:rPr>
        <w:t> </w:t>
      </w:r>
      <w:r>
        <w:rPr/>
        <w:t>meets</w:t>
      </w:r>
      <w:r>
        <w:rPr>
          <w:spacing w:val="-11"/>
        </w:rPr>
        <w:t> </w:t>
      </w:r>
      <w:r>
        <w:rPr/>
        <w:t>the</w:t>
      </w:r>
      <w:r>
        <w:rPr>
          <w:spacing w:val="-11"/>
        </w:rPr>
        <w:t> </w:t>
      </w:r>
      <w:r>
        <w:rPr/>
        <w:t>Oklahoma</w:t>
      </w:r>
      <w:r>
        <w:rPr>
          <w:spacing w:val="-11"/>
        </w:rPr>
        <w:t> </w:t>
      </w:r>
      <w:r>
        <w:rPr/>
        <w:t>Education</w:t>
      </w:r>
      <w:r>
        <w:rPr>
          <w:spacing w:val="-11"/>
        </w:rPr>
        <w:t> </w:t>
      </w:r>
      <w:r>
        <w:rPr/>
        <w:t>Interpreter</w:t>
      </w:r>
      <w:r>
        <w:rPr>
          <w:spacing w:val="-11"/>
        </w:rPr>
        <w:t> </w:t>
      </w:r>
      <w:r>
        <w:rPr/>
        <w:t>for</w:t>
      </w:r>
      <w:r>
        <w:rPr>
          <w:spacing w:val="-12"/>
        </w:rPr>
        <w:t> </w:t>
      </w:r>
      <w:r>
        <w:rPr/>
        <w:t>the Deaf Act, A &amp; C, any Intensive platform- live emergency broadcasting, orientation sessions unless teamed with a higher-level interpreter that meets the capability level, round table meetings unless teamed with a higher-level interpreter</w:t>
      </w:r>
      <w:r>
        <w:rPr>
          <w:spacing w:val="-6"/>
        </w:rPr>
        <w:t> </w:t>
      </w:r>
      <w:r>
        <w:rPr/>
        <w:t>that</w:t>
      </w:r>
      <w:r>
        <w:rPr>
          <w:spacing w:val="-6"/>
        </w:rPr>
        <w:t> </w:t>
      </w:r>
      <w:r>
        <w:rPr/>
        <w:t>meets</w:t>
      </w:r>
      <w:r>
        <w:rPr>
          <w:spacing w:val="-7"/>
        </w:rPr>
        <w:t> </w:t>
      </w:r>
      <w:r>
        <w:rPr/>
        <w:t>the</w:t>
      </w:r>
      <w:r>
        <w:rPr>
          <w:spacing w:val="-7"/>
        </w:rPr>
        <w:t> </w:t>
      </w:r>
      <w:r>
        <w:rPr/>
        <w:t>capability</w:t>
      </w:r>
      <w:r>
        <w:rPr>
          <w:spacing w:val="-7"/>
        </w:rPr>
        <w:t> </w:t>
      </w:r>
      <w:r>
        <w:rPr/>
        <w:t>level,</w:t>
      </w:r>
      <w:r>
        <w:rPr>
          <w:spacing w:val="-6"/>
        </w:rPr>
        <w:t> </w:t>
      </w:r>
      <w:r>
        <w:rPr/>
        <w:t>critical</w:t>
      </w:r>
      <w:r>
        <w:rPr>
          <w:spacing w:val="-7"/>
        </w:rPr>
        <w:t> </w:t>
      </w:r>
      <w:r>
        <w:rPr/>
        <w:t>situation</w:t>
      </w:r>
      <w:r>
        <w:rPr>
          <w:spacing w:val="-7"/>
        </w:rPr>
        <w:t> </w:t>
      </w:r>
      <w:r>
        <w:rPr/>
        <w:t>of</w:t>
      </w:r>
      <w:r>
        <w:rPr>
          <w:spacing w:val="-6"/>
        </w:rPr>
        <w:t> </w:t>
      </w:r>
      <w:r>
        <w:rPr/>
        <w:t>any</w:t>
      </w:r>
      <w:r>
        <w:rPr>
          <w:spacing w:val="-7"/>
        </w:rPr>
        <w:t> </w:t>
      </w:r>
      <w:r>
        <w:rPr/>
        <w:t>kind</w:t>
      </w:r>
      <w:r>
        <w:rPr>
          <w:spacing w:val="-7"/>
        </w:rPr>
        <w:t> </w:t>
      </w:r>
      <w:r>
        <w:rPr/>
        <w:t>–</w:t>
      </w:r>
      <w:r>
        <w:rPr>
          <w:spacing w:val="-8"/>
        </w:rPr>
        <w:t> </w:t>
      </w:r>
      <w:r>
        <w:rPr/>
        <w:t>where impact on consumer is moderate or high.</w:t>
      </w:r>
    </w:p>
    <w:p>
      <w:pPr>
        <w:pStyle w:val="BodyText"/>
        <w:spacing w:before="0"/>
        <w:ind w:left="0"/>
      </w:pPr>
    </w:p>
    <w:p>
      <w:pPr>
        <w:pStyle w:val="ListParagraph"/>
        <w:numPr>
          <w:ilvl w:val="1"/>
          <w:numId w:val="293"/>
        </w:numPr>
        <w:tabs>
          <w:tab w:pos="1527" w:val="left" w:leader="none"/>
          <w:tab w:pos="1529" w:val="left" w:leader="none"/>
        </w:tabs>
        <w:spacing w:line="259" w:lineRule="auto" w:before="0" w:after="0"/>
        <w:ind w:left="1529" w:right="798" w:hanging="450"/>
        <w:jc w:val="left"/>
        <w:rPr>
          <w:sz w:val="24"/>
        </w:rPr>
      </w:pPr>
      <w:r>
        <w:rPr>
          <w:sz w:val="24"/>
        </w:rPr>
        <w:t>Level II/II is an intermediate level beginner who is able to expressively and receptively</w:t>
      </w:r>
      <w:r>
        <w:rPr>
          <w:spacing w:val="-5"/>
          <w:sz w:val="24"/>
        </w:rPr>
        <w:t> </w:t>
      </w:r>
      <w:r>
        <w:rPr>
          <w:sz w:val="24"/>
        </w:rPr>
        <w:t>interpret</w:t>
      </w:r>
      <w:r>
        <w:rPr>
          <w:spacing w:val="-4"/>
          <w:sz w:val="24"/>
        </w:rPr>
        <w:t> </w:t>
      </w:r>
      <w:r>
        <w:rPr>
          <w:sz w:val="24"/>
        </w:rPr>
        <w:t>seventy</w:t>
      </w:r>
      <w:r>
        <w:rPr>
          <w:spacing w:val="-5"/>
          <w:sz w:val="24"/>
        </w:rPr>
        <w:t> </w:t>
      </w:r>
      <w:r>
        <w:rPr>
          <w:sz w:val="24"/>
        </w:rPr>
        <w:t>(70%)</w:t>
      </w:r>
      <w:r>
        <w:rPr>
          <w:spacing w:val="-4"/>
          <w:sz w:val="24"/>
        </w:rPr>
        <w:t> </w:t>
      </w:r>
      <w:r>
        <w:rPr>
          <w:sz w:val="24"/>
        </w:rPr>
        <w:t>of</w:t>
      </w:r>
      <w:r>
        <w:rPr>
          <w:spacing w:val="-6"/>
          <w:sz w:val="24"/>
        </w:rPr>
        <w:t> </w:t>
      </w:r>
      <w:r>
        <w:rPr>
          <w:sz w:val="24"/>
        </w:rPr>
        <w:t>the</w:t>
      </w:r>
      <w:r>
        <w:rPr>
          <w:spacing w:val="-5"/>
          <w:sz w:val="24"/>
        </w:rPr>
        <w:t> </w:t>
      </w:r>
      <w:r>
        <w:rPr>
          <w:sz w:val="24"/>
        </w:rPr>
        <w:t>beginner’s</w:t>
      </w:r>
      <w:r>
        <w:rPr>
          <w:spacing w:val="-5"/>
          <w:sz w:val="24"/>
        </w:rPr>
        <w:t> </w:t>
      </w:r>
      <w:r>
        <w:rPr>
          <w:sz w:val="24"/>
        </w:rPr>
        <w:t>performance</w:t>
      </w:r>
      <w:r>
        <w:rPr>
          <w:spacing w:val="-5"/>
          <w:sz w:val="24"/>
        </w:rPr>
        <w:t> </w:t>
      </w:r>
      <w:r>
        <w:rPr>
          <w:sz w:val="24"/>
        </w:rPr>
        <w:t>evaluation in interpreting and transliterating.</w:t>
      </w:r>
    </w:p>
    <w:p>
      <w:pPr>
        <w:pStyle w:val="BodyText"/>
        <w:spacing w:before="158"/>
        <w:ind w:left="1529" w:right="1063"/>
        <w:jc w:val="both"/>
      </w:pPr>
      <w:r>
        <w:rPr/>
        <w:t>Level</w:t>
      </w:r>
      <w:r>
        <w:rPr>
          <w:spacing w:val="-1"/>
        </w:rPr>
        <w:t> </w:t>
      </w:r>
      <w:r>
        <w:rPr/>
        <w:t>II should</w:t>
      </w:r>
      <w:r>
        <w:rPr>
          <w:spacing w:val="-1"/>
        </w:rPr>
        <w:t> </w:t>
      </w:r>
      <w:r>
        <w:rPr/>
        <w:t>be</w:t>
      </w:r>
      <w:r>
        <w:rPr>
          <w:spacing w:val="-1"/>
        </w:rPr>
        <w:t> </w:t>
      </w:r>
      <w:r>
        <w:rPr/>
        <w:t>capable</w:t>
      </w:r>
      <w:r>
        <w:rPr>
          <w:spacing w:val="-1"/>
        </w:rPr>
        <w:t> </w:t>
      </w:r>
      <w:r>
        <w:rPr/>
        <w:t>of interpreting</w:t>
      </w:r>
      <w:r>
        <w:rPr>
          <w:spacing w:val="-1"/>
        </w:rPr>
        <w:t> </w:t>
      </w:r>
      <w:r>
        <w:rPr/>
        <w:t>in</w:t>
      </w:r>
      <w:r>
        <w:rPr>
          <w:spacing w:val="-1"/>
        </w:rPr>
        <w:t> </w:t>
      </w:r>
      <w:r>
        <w:rPr/>
        <w:t>these</w:t>
      </w:r>
      <w:r>
        <w:rPr>
          <w:spacing w:val="-1"/>
        </w:rPr>
        <w:t> </w:t>
      </w:r>
      <w:r>
        <w:rPr/>
        <w:t>settings: in</w:t>
      </w:r>
      <w:r>
        <w:rPr>
          <w:spacing w:val="-1"/>
        </w:rPr>
        <w:t> </w:t>
      </w:r>
      <w:r>
        <w:rPr/>
        <w:t>settings</w:t>
      </w:r>
      <w:r>
        <w:rPr>
          <w:spacing w:val="-1"/>
        </w:rPr>
        <w:t> </w:t>
      </w:r>
      <w:r>
        <w:rPr/>
        <w:t>that may</w:t>
      </w:r>
      <w:r>
        <w:rPr>
          <w:spacing w:val="-4"/>
        </w:rPr>
        <w:t> </w:t>
      </w:r>
      <w:r>
        <w:rPr/>
        <w:t>or</w:t>
      </w:r>
      <w:r>
        <w:rPr>
          <w:spacing w:val="-5"/>
        </w:rPr>
        <w:t> </w:t>
      </w:r>
      <w:r>
        <w:rPr/>
        <w:t>may</w:t>
      </w:r>
      <w:r>
        <w:rPr>
          <w:spacing w:val="-4"/>
        </w:rPr>
        <w:t> </w:t>
      </w:r>
      <w:r>
        <w:rPr/>
        <w:t>not</w:t>
      </w:r>
      <w:r>
        <w:rPr>
          <w:spacing w:val="-3"/>
        </w:rPr>
        <w:t> </w:t>
      </w:r>
      <w:r>
        <w:rPr/>
        <w:t>permit</w:t>
      </w:r>
      <w:r>
        <w:rPr>
          <w:spacing w:val="-3"/>
        </w:rPr>
        <w:t> </w:t>
      </w:r>
      <w:r>
        <w:rPr/>
        <w:t>the</w:t>
      </w:r>
      <w:r>
        <w:rPr>
          <w:spacing w:val="-4"/>
        </w:rPr>
        <w:t> </w:t>
      </w:r>
      <w:r>
        <w:rPr/>
        <w:t>interpreter</w:t>
      </w:r>
      <w:r>
        <w:rPr>
          <w:spacing w:val="-3"/>
        </w:rPr>
        <w:t> </w:t>
      </w:r>
      <w:r>
        <w:rPr/>
        <w:t>to</w:t>
      </w:r>
      <w:r>
        <w:rPr>
          <w:spacing w:val="-4"/>
        </w:rPr>
        <w:t> </w:t>
      </w:r>
      <w:r>
        <w:rPr/>
        <w:t>stop</w:t>
      </w:r>
      <w:r>
        <w:rPr>
          <w:spacing w:val="-4"/>
        </w:rPr>
        <w:t> </w:t>
      </w:r>
      <w:r>
        <w:rPr/>
        <w:t>consumers</w:t>
      </w:r>
      <w:r>
        <w:rPr>
          <w:spacing w:val="-4"/>
        </w:rPr>
        <w:t> </w:t>
      </w:r>
      <w:r>
        <w:rPr/>
        <w:t>for</w:t>
      </w:r>
      <w:r>
        <w:rPr>
          <w:spacing w:val="-3"/>
        </w:rPr>
        <w:t> </w:t>
      </w:r>
      <w:r>
        <w:rPr/>
        <w:t>clarification</w:t>
      </w:r>
      <w:r>
        <w:rPr>
          <w:spacing w:val="-4"/>
        </w:rPr>
        <w:t> </w:t>
      </w:r>
      <w:r>
        <w:rPr/>
        <w:t>in some</w:t>
      </w:r>
      <w:r>
        <w:rPr>
          <w:spacing w:val="-2"/>
        </w:rPr>
        <w:t> </w:t>
      </w:r>
      <w:r>
        <w:rPr/>
        <w:t>one-on-one</w:t>
      </w:r>
      <w:r>
        <w:rPr>
          <w:spacing w:val="-2"/>
        </w:rPr>
        <w:t> </w:t>
      </w:r>
      <w:r>
        <w:rPr/>
        <w:t>situations,</w:t>
      </w:r>
      <w:r>
        <w:rPr>
          <w:spacing w:val="-1"/>
        </w:rPr>
        <w:t> </w:t>
      </w:r>
      <w:r>
        <w:rPr/>
        <w:t>some</w:t>
      </w:r>
      <w:r>
        <w:rPr>
          <w:spacing w:val="-2"/>
        </w:rPr>
        <w:t> </w:t>
      </w:r>
      <w:r>
        <w:rPr/>
        <w:t>tutoring</w:t>
      </w:r>
      <w:r>
        <w:rPr>
          <w:spacing w:val="-2"/>
        </w:rPr>
        <w:t> </w:t>
      </w:r>
      <w:r>
        <w:rPr/>
        <w:t>sessions,</w:t>
      </w:r>
      <w:r>
        <w:rPr>
          <w:spacing w:val="-1"/>
        </w:rPr>
        <w:t> </w:t>
      </w:r>
      <w:r>
        <w:rPr/>
        <w:t>short-term</w:t>
      </w:r>
      <w:r>
        <w:rPr>
          <w:spacing w:val="-3"/>
        </w:rPr>
        <w:t> </w:t>
      </w:r>
      <w:r>
        <w:rPr/>
        <w:t>trainings, short-term orientations, and short-term non-technical workshops.</w:t>
      </w:r>
    </w:p>
    <w:p>
      <w:pPr>
        <w:pStyle w:val="BodyText"/>
        <w:spacing w:after="0"/>
        <w:jc w:val="both"/>
        <w:sectPr>
          <w:pgSz w:w="12240" w:h="15840"/>
          <w:pgMar w:top="1340" w:bottom="280" w:left="1080" w:right="720"/>
        </w:sectPr>
      </w:pPr>
    </w:p>
    <w:p>
      <w:pPr>
        <w:pStyle w:val="BodyText"/>
        <w:spacing w:before="80"/>
        <w:ind w:left="1529" w:right="716"/>
        <w:jc w:val="both"/>
      </w:pPr>
      <w:r>
        <w:rPr/>
        <w:t>Level II is not certified to be used in any type of courtroom or legal settings, any type of mental health settings, any type of medical settings, employment interviews,</w:t>
      </w:r>
      <w:r>
        <w:rPr>
          <w:spacing w:val="-17"/>
        </w:rPr>
        <w:t> </w:t>
      </w:r>
      <w:r>
        <w:rPr/>
        <w:t>any</w:t>
      </w:r>
      <w:r>
        <w:rPr>
          <w:spacing w:val="-17"/>
        </w:rPr>
        <w:t> </w:t>
      </w:r>
      <w:r>
        <w:rPr/>
        <w:t>life-threatening</w:t>
      </w:r>
      <w:r>
        <w:rPr>
          <w:spacing w:val="-16"/>
        </w:rPr>
        <w:t> </w:t>
      </w:r>
      <w:r>
        <w:rPr/>
        <w:t>situations/settings,</w:t>
      </w:r>
      <w:r>
        <w:rPr>
          <w:spacing w:val="-17"/>
        </w:rPr>
        <w:t> </w:t>
      </w:r>
      <w:r>
        <w:rPr/>
        <w:t>any</w:t>
      </w:r>
      <w:r>
        <w:rPr>
          <w:spacing w:val="-17"/>
        </w:rPr>
        <w:t> </w:t>
      </w:r>
      <w:r>
        <w:rPr/>
        <w:t>type</w:t>
      </w:r>
      <w:r>
        <w:rPr>
          <w:spacing w:val="-17"/>
        </w:rPr>
        <w:t> </w:t>
      </w:r>
      <w:r>
        <w:rPr/>
        <w:t>of</w:t>
      </w:r>
      <w:r>
        <w:rPr>
          <w:spacing w:val="-16"/>
        </w:rPr>
        <w:t> </w:t>
      </w:r>
      <w:r>
        <w:rPr/>
        <w:t>purchase</w:t>
      </w:r>
      <w:r>
        <w:rPr>
          <w:spacing w:val="-17"/>
        </w:rPr>
        <w:t> </w:t>
      </w:r>
      <w:r>
        <w:rPr/>
        <w:t>or</w:t>
      </w:r>
      <w:r>
        <w:rPr>
          <w:spacing w:val="-17"/>
        </w:rPr>
        <w:t> </w:t>
      </w:r>
      <w:r>
        <w:rPr/>
        <w:t>real estate agreements, K-12 public school setting unless meets the Oklahoma Education Interpreter for the Deaf Act, A &amp; C, any Intensive platform – live emergency broadcasting, orientation sessions unless there is a higher-level team interpreter that meets the capability level, round table meetings unless there is a higher-level team interpreter that meets the capability level, and/or critical</w:t>
      </w:r>
      <w:r>
        <w:rPr>
          <w:spacing w:val="-14"/>
        </w:rPr>
        <w:t> </w:t>
      </w:r>
      <w:r>
        <w:rPr/>
        <w:t>situations</w:t>
      </w:r>
      <w:r>
        <w:rPr>
          <w:spacing w:val="-14"/>
        </w:rPr>
        <w:t> </w:t>
      </w:r>
      <w:r>
        <w:rPr/>
        <w:t>of</w:t>
      </w:r>
      <w:r>
        <w:rPr>
          <w:spacing w:val="-13"/>
        </w:rPr>
        <w:t> </w:t>
      </w:r>
      <w:r>
        <w:rPr/>
        <w:t>any</w:t>
      </w:r>
      <w:r>
        <w:rPr>
          <w:spacing w:val="-14"/>
        </w:rPr>
        <w:t> </w:t>
      </w:r>
      <w:r>
        <w:rPr/>
        <w:t>kind</w:t>
      </w:r>
      <w:r>
        <w:rPr>
          <w:spacing w:val="-14"/>
        </w:rPr>
        <w:t> </w:t>
      </w:r>
      <w:r>
        <w:rPr/>
        <w:t>–</w:t>
      </w:r>
      <w:r>
        <w:rPr>
          <w:spacing w:val="-14"/>
        </w:rPr>
        <w:t> </w:t>
      </w:r>
      <w:r>
        <w:rPr/>
        <w:t>where</w:t>
      </w:r>
      <w:r>
        <w:rPr>
          <w:spacing w:val="-14"/>
        </w:rPr>
        <w:t> </w:t>
      </w:r>
      <w:r>
        <w:rPr/>
        <w:t>impact</w:t>
      </w:r>
      <w:r>
        <w:rPr>
          <w:spacing w:val="-13"/>
        </w:rPr>
        <w:t> </w:t>
      </w:r>
      <w:r>
        <w:rPr/>
        <w:t>on</w:t>
      </w:r>
      <w:r>
        <w:rPr>
          <w:spacing w:val="-14"/>
        </w:rPr>
        <w:t> </w:t>
      </w:r>
      <w:r>
        <w:rPr/>
        <w:t>consumer</w:t>
      </w:r>
      <w:r>
        <w:rPr>
          <w:spacing w:val="-13"/>
        </w:rPr>
        <w:t> </w:t>
      </w:r>
      <w:r>
        <w:rPr/>
        <w:t>is</w:t>
      </w:r>
      <w:r>
        <w:rPr>
          <w:spacing w:val="-14"/>
        </w:rPr>
        <w:t> </w:t>
      </w:r>
      <w:r>
        <w:rPr/>
        <w:t>moderate</w:t>
      </w:r>
      <w:r>
        <w:rPr>
          <w:spacing w:val="-14"/>
        </w:rPr>
        <w:t> </w:t>
      </w:r>
      <w:r>
        <w:rPr/>
        <w:t>or</w:t>
      </w:r>
      <w:r>
        <w:rPr>
          <w:spacing w:val="-13"/>
        </w:rPr>
        <w:t> </w:t>
      </w:r>
      <w:r>
        <w:rPr/>
        <w:t>high. If</w:t>
      </w:r>
      <w:r>
        <w:rPr>
          <w:spacing w:val="-6"/>
        </w:rPr>
        <w:t> </w:t>
      </w:r>
      <w:r>
        <w:rPr/>
        <w:t>an</w:t>
      </w:r>
      <w:r>
        <w:rPr>
          <w:spacing w:val="-7"/>
        </w:rPr>
        <w:t> </w:t>
      </w:r>
      <w:r>
        <w:rPr/>
        <w:t>interpreter</w:t>
      </w:r>
      <w:r>
        <w:rPr>
          <w:spacing w:val="-6"/>
        </w:rPr>
        <w:t> </w:t>
      </w:r>
      <w:r>
        <w:rPr/>
        <w:t>does</w:t>
      </w:r>
      <w:r>
        <w:rPr>
          <w:spacing w:val="-7"/>
        </w:rPr>
        <w:t> </w:t>
      </w:r>
      <w:r>
        <w:rPr/>
        <w:t>not</w:t>
      </w:r>
      <w:r>
        <w:rPr>
          <w:spacing w:val="-6"/>
        </w:rPr>
        <w:t> </w:t>
      </w:r>
      <w:r>
        <w:rPr/>
        <w:t>hold</w:t>
      </w:r>
      <w:r>
        <w:rPr>
          <w:spacing w:val="-7"/>
        </w:rPr>
        <w:t> </w:t>
      </w:r>
      <w:r>
        <w:rPr/>
        <w:t>a</w:t>
      </w:r>
      <w:r>
        <w:rPr>
          <w:spacing w:val="-7"/>
        </w:rPr>
        <w:t> </w:t>
      </w:r>
      <w:r>
        <w:rPr/>
        <w:t>II/II,</w:t>
      </w:r>
      <w:r>
        <w:rPr>
          <w:spacing w:val="-7"/>
        </w:rPr>
        <w:t> </w:t>
      </w:r>
      <w:r>
        <w:rPr/>
        <w:t>must</w:t>
      </w:r>
      <w:r>
        <w:rPr>
          <w:spacing w:val="-7"/>
        </w:rPr>
        <w:t> </w:t>
      </w:r>
      <w:r>
        <w:rPr/>
        <w:t>refer</w:t>
      </w:r>
      <w:r>
        <w:rPr>
          <w:spacing w:val="-6"/>
        </w:rPr>
        <w:t> </w:t>
      </w:r>
      <w:r>
        <w:rPr/>
        <w:t>to</w:t>
      </w:r>
      <w:r>
        <w:rPr>
          <w:spacing w:val="-8"/>
        </w:rPr>
        <w:t> </w:t>
      </w:r>
      <w:r>
        <w:rPr/>
        <w:t>the</w:t>
      </w:r>
      <w:r>
        <w:rPr>
          <w:spacing w:val="-7"/>
        </w:rPr>
        <w:t> </w:t>
      </w:r>
      <w:r>
        <w:rPr/>
        <w:t>next</w:t>
      </w:r>
      <w:r>
        <w:rPr>
          <w:spacing w:val="-7"/>
        </w:rPr>
        <w:t> </w:t>
      </w:r>
      <w:r>
        <w:rPr/>
        <w:t>capable</w:t>
      </w:r>
      <w:r>
        <w:rPr>
          <w:spacing w:val="-7"/>
        </w:rPr>
        <w:t> </w:t>
      </w:r>
      <w:r>
        <w:rPr/>
        <w:t>level</w:t>
      </w:r>
      <w:r>
        <w:rPr>
          <w:spacing w:val="-7"/>
        </w:rPr>
        <w:t> </w:t>
      </w:r>
      <w:r>
        <w:rPr/>
        <w:t>when accepting assignments.</w:t>
      </w:r>
    </w:p>
    <w:p>
      <w:pPr>
        <w:pStyle w:val="ListParagraph"/>
        <w:numPr>
          <w:ilvl w:val="1"/>
          <w:numId w:val="293"/>
        </w:numPr>
        <w:tabs>
          <w:tab w:pos="1527" w:val="left" w:leader="none"/>
          <w:tab w:pos="1529" w:val="left" w:leader="none"/>
        </w:tabs>
        <w:spacing w:line="208" w:lineRule="auto" w:before="272" w:after="0"/>
        <w:ind w:left="1529" w:right="732" w:hanging="450"/>
        <w:jc w:val="left"/>
        <w:rPr>
          <w:sz w:val="24"/>
        </w:rPr>
      </w:pPr>
      <w:r>
        <w:rPr>
          <w:sz w:val="24"/>
        </w:rPr>
        <w:t>Level III/III is an advanced level beginner who is able to expressively and receptively</w:t>
      </w:r>
      <w:r>
        <w:rPr>
          <w:spacing w:val="-5"/>
          <w:sz w:val="24"/>
        </w:rPr>
        <w:t> </w:t>
      </w:r>
      <w:r>
        <w:rPr>
          <w:sz w:val="24"/>
        </w:rPr>
        <w:t>interpret</w:t>
      </w:r>
      <w:r>
        <w:rPr>
          <w:spacing w:val="-4"/>
          <w:sz w:val="24"/>
        </w:rPr>
        <w:t> </w:t>
      </w:r>
      <w:r>
        <w:rPr>
          <w:sz w:val="24"/>
        </w:rPr>
        <w:t>a</w:t>
      </w:r>
      <w:r>
        <w:rPr>
          <w:spacing w:val="-5"/>
          <w:sz w:val="24"/>
        </w:rPr>
        <w:t> </w:t>
      </w:r>
      <w:r>
        <w:rPr>
          <w:sz w:val="24"/>
        </w:rPr>
        <w:t>minimum</w:t>
      </w:r>
      <w:r>
        <w:rPr>
          <w:spacing w:val="-4"/>
          <w:sz w:val="24"/>
        </w:rPr>
        <w:t> </w:t>
      </w:r>
      <w:r>
        <w:rPr>
          <w:sz w:val="24"/>
        </w:rPr>
        <w:t>of</w:t>
      </w:r>
      <w:r>
        <w:rPr>
          <w:spacing w:val="-4"/>
          <w:sz w:val="24"/>
        </w:rPr>
        <w:t> </w:t>
      </w:r>
      <w:r>
        <w:rPr>
          <w:sz w:val="24"/>
        </w:rPr>
        <w:t>eighty-five</w:t>
      </w:r>
      <w:r>
        <w:rPr>
          <w:spacing w:val="-5"/>
          <w:sz w:val="24"/>
        </w:rPr>
        <w:t> </w:t>
      </w:r>
      <w:r>
        <w:rPr>
          <w:sz w:val="24"/>
        </w:rPr>
        <w:t>percent</w:t>
      </w:r>
      <w:r>
        <w:rPr>
          <w:spacing w:val="-4"/>
          <w:sz w:val="24"/>
        </w:rPr>
        <w:t> </w:t>
      </w:r>
      <w:r>
        <w:rPr>
          <w:sz w:val="24"/>
        </w:rPr>
        <w:t>(85%)</w:t>
      </w:r>
      <w:r>
        <w:rPr>
          <w:spacing w:val="-4"/>
          <w:sz w:val="24"/>
        </w:rPr>
        <w:t> </w:t>
      </w:r>
      <w:r>
        <w:rPr>
          <w:sz w:val="24"/>
        </w:rPr>
        <w:t>of</w:t>
      </w:r>
      <w:r>
        <w:rPr>
          <w:spacing w:val="-5"/>
          <w:sz w:val="24"/>
        </w:rPr>
        <w:t> </w:t>
      </w:r>
      <w:r>
        <w:rPr>
          <w:sz w:val="24"/>
        </w:rPr>
        <w:t>the</w:t>
      </w:r>
      <w:r>
        <w:rPr>
          <w:spacing w:val="-5"/>
          <w:sz w:val="24"/>
        </w:rPr>
        <w:t> </w:t>
      </w:r>
      <w:r>
        <w:rPr>
          <w:sz w:val="24"/>
        </w:rPr>
        <w:t>beginner’s performance evaluation in interpreting and transliterating.</w:t>
      </w:r>
    </w:p>
    <w:p>
      <w:pPr>
        <w:pStyle w:val="BodyText"/>
        <w:spacing w:before="244"/>
        <w:ind w:left="1529" w:right="753"/>
      </w:pPr>
      <w:r>
        <w:rPr/>
        <w:t>Level III should be capable of interpreting in these settings: most</w:t>
      </w:r>
      <w:r>
        <w:rPr>
          <w:spacing w:val="-1"/>
        </w:rPr>
        <w:t> </w:t>
      </w:r>
      <w:r>
        <w:rPr/>
        <w:t>one-on-one situations, most group sessions, K-12 public school settings, most technical settings, some employment training/orientation, limited basic medical</w:t>
      </w:r>
      <w:r>
        <w:rPr>
          <w:spacing w:val="40"/>
        </w:rPr>
        <w:t> </w:t>
      </w:r>
      <w:r>
        <w:rPr/>
        <w:t>settings (such as eye exam, lab work, hearing aid fitting, dental cleaning, x- rays),</w:t>
      </w:r>
      <w:r>
        <w:rPr>
          <w:spacing w:val="-3"/>
        </w:rPr>
        <w:t> </w:t>
      </w:r>
      <w:r>
        <w:rPr/>
        <w:t>some</w:t>
      </w:r>
      <w:r>
        <w:rPr>
          <w:spacing w:val="-4"/>
        </w:rPr>
        <w:t> </w:t>
      </w:r>
      <w:r>
        <w:rPr/>
        <w:t>limited</w:t>
      </w:r>
      <w:r>
        <w:rPr>
          <w:spacing w:val="-4"/>
        </w:rPr>
        <w:t> </w:t>
      </w:r>
      <w:r>
        <w:rPr/>
        <w:t>meetings</w:t>
      </w:r>
      <w:r>
        <w:rPr>
          <w:spacing w:val="-4"/>
        </w:rPr>
        <w:t> </w:t>
      </w:r>
      <w:r>
        <w:rPr/>
        <w:t>where</w:t>
      </w:r>
      <w:r>
        <w:rPr>
          <w:spacing w:val="-4"/>
        </w:rPr>
        <w:t> </w:t>
      </w:r>
      <w:r>
        <w:rPr/>
        <w:t>the</w:t>
      </w:r>
      <w:r>
        <w:rPr>
          <w:spacing w:val="-4"/>
        </w:rPr>
        <w:t> </w:t>
      </w:r>
      <w:r>
        <w:rPr/>
        <w:t>interpreter</w:t>
      </w:r>
      <w:r>
        <w:rPr>
          <w:spacing w:val="-3"/>
        </w:rPr>
        <w:t> </w:t>
      </w:r>
      <w:r>
        <w:rPr/>
        <w:t>has</w:t>
      </w:r>
      <w:r>
        <w:rPr>
          <w:spacing w:val="-5"/>
        </w:rPr>
        <w:t> </w:t>
      </w:r>
      <w:r>
        <w:rPr/>
        <w:t>opportunity</w:t>
      </w:r>
      <w:r>
        <w:rPr>
          <w:spacing w:val="-3"/>
        </w:rPr>
        <w:t> </w:t>
      </w:r>
      <w:r>
        <w:rPr/>
        <w:t>to</w:t>
      </w:r>
      <w:r>
        <w:rPr>
          <w:spacing w:val="-4"/>
        </w:rPr>
        <w:t> </w:t>
      </w:r>
      <w:r>
        <w:rPr/>
        <w:t>stop</w:t>
      </w:r>
      <w:r>
        <w:rPr>
          <w:spacing w:val="-4"/>
        </w:rPr>
        <w:t> </w:t>
      </w:r>
      <w:r>
        <w:rPr/>
        <w:t>for clarification, most workshops that are easily handled if there is a minimum of voicing required.</w:t>
      </w:r>
    </w:p>
    <w:p>
      <w:pPr>
        <w:pStyle w:val="BodyText"/>
        <w:spacing w:before="0"/>
        <w:ind w:left="0"/>
      </w:pPr>
    </w:p>
    <w:p>
      <w:pPr>
        <w:pStyle w:val="BodyText"/>
        <w:spacing w:before="0"/>
        <w:ind w:left="1529" w:right="716"/>
        <w:jc w:val="both"/>
      </w:pPr>
      <w:r>
        <w:rPr/>
        <w:t>Level III is not certified to be used in any type of courtroom or legal settings, any purchase or real estate agreements, any type of mental health settings, any employment interviews, any emergency life threatening settings, any medical emergency setting that is considered high risk, life or death, or specialist, and/or critical situation of any kind – where impact on consumer is moderate or high. If an interpreter does not hold a II/II, must refer to the next capable level when accepting assignments.</w:t>
      </w:r>
    </w:p>
    <w:p>
      <w:pPr>
        <w:pStyle w:val="ListParagraph"/>
        <w:numPr>
          <w:ilvl w:val="1"/>
          <w:numId w:val="293"/>
        </w:numPr>
        <w:tabs>
          <w:tab w:pos="1527" w:val="left" w:leader="none"/>
          <w:tab w:pos="1529" w:val="left" w:leader="none"/>
        </w:tabs>
        <w:spacing w:line="208" w:lineRule="auto" w:before="271" w:after="0"/>
        <w:ind w:left="1529" w:right="784" w:hanging="450"/>
        <w:jc w:val="left"/>
        <w:rPr>
          <w:sz w:val="24"/>
        </w:rPr>
      </w:pPr>
      <w:r>
        <w:rPr>
          <w:sz w:val="24"/>
        </w:rPr>
        <w:t>Level IV/IV is an accomplished level interpreter who is able to expressively and</w:t>
      </w:r>
      <w:r>
        <w:rPr>
          <w:spacing w:val="-4"/>
          <w:sz w:val="24"/>
        </w:rPr>
        <w:t> </w:t>
      </w:r>
      <w:r>
        <w:rPr>
          <w:sz w:val="24"/>
        </w:rPr>
        <w:t>receptively</w:t>
      </w:r>
      <w:r>
        <w:rPr>
          <w:spacing w:val="-4"/>
          <w:sz w:val="24"/>
        </w:rPr>
        <w:t> </w:t>
      </w:r>
      <w:r>
        <w:rPr>
          <w:sz w:val="24"/>
        </w:rPr>
        <w:t>interpret</w:t>
      </w:r>
      <w:r>
        <w:rPr>
          <w:spacing w:val="-3"/>
          <w:sz w:val="24"/>
        </w:rPr>
        <w:t> </w:t>
      </w:r>
      <w:r>
        <w:rPr>
          <w:sz w:val="24"/>
        </w:rPr>
        <w:t>a</w:t>
      </w:r>
      <w:r>
        <w:rPr>
          <w:spacing w:val="-4"/>
          <w:sz w:val="24"/>
        </w:rPr>
        <w:t> </w:t>
      </w:r>
      <w:r>
        <w:rPr>
          <w:sz w:val="24"/>
        </w:rPr>
        <w:t>minimum</w:t>
      </w:r>
      <w:r>
        <w:rPr>
          <w:spacing w:val="-3"/>
          <w:sz w:val="24"/>
        </w:rPr>
        <w:t> </w:t>
      </w:r>
      <w:r>
        <w:rPr>
          <w:sz w:val="24"/>
        </w:rPr>
        <w:t>of</w:t>
      </w:r>
      <w:r>
        <w:rPr>
          <w:spacing w:val="-3"/>
          <w:sz w:val="24"/>
        </w:rPr>
        <w:t> </w:t>
      </w:r>
      <w:r>
        <w:rPr>
          <w:sz w:val="24"/>
        </w:rPr>
        <w:t>eighty</w:t>
      </w:r>
      <w:r>
        <w:rPr>
          <w:spacing w:val="-4"/>
          <w:sz w:val="24"/>
        </w:rPr>
        <w:t> </w:t>
      </w:r>
      <w:r>
        <w:rPr>
          <w:sz w:val="24"/>
        </w:rPr>
        <w:t>percent</w:t>
      </w:r>
      <w:r>
        <w:rPr>
          <w:spacing w:val="-3"/>
          <w:sz w:val="24"/>
        </w:rPr>
        <w:t> </w:t>
      </w:r>
      <w:r>
        <w:rPr>
          <w:sz w:val="24"/>
        </w:rPr>
        <w:t>(80%)</w:t>
      </w:r>
      <w:r>
        <w:rPr>
          <w:spacing w:val="-3"/>
          <w:sz w:val="24"/>
        </w:rPr>
        <w:t> </w:t>
      </w:r>
      <w:r>
        <w:rPr>
          <w:sz w:val="24"/>
        </w:rPr>
        <w:t>of</w:t>
      </w:r>
      <w:r>
        <w:rPr>
          <w:spacing w:val="-5"/>
          <w:sz w:val="24"/>
        </w:rPr>
        <w:t> </w:t>
      </w:r>
      <w:r>
        <w:rPr>
          <w:sz w:val="24"/>
        </w:rPr>
        <w:t>the</w:t>
      </w:r>
      <w:r>
        <w:rPr>
          <w:spacing w:val="-4"/>
          <w:sz w:val="24"/>
        </w:rPr>
        <w:t> </w:t>
      </w:r>
      <w:r>
        <w:rPr>
          <w:sz w:val="24"/>
        </w:rPr>
        <w:t>advanced performance evaluation in interpreting and transliterating.</w:t>
      </w:r>
    </w:p>
    <w:p>
      <w:pPr>
        <w:pStyle w:val="BodyText"/>
        <w:spacing w:before="244"/>
        <w:ind w:left="1529" w:right="729"/>
      </w:pPr>
      <w:r>
        <w:rPr/>
        <w:t>Level</w:t>
      </w:r>
      <w:r>
        <w:rPr>
          <w:spacing w:val="-4"/>
        </w:rPr>
        <w:t> </w:t>
      </w:r>
      <w:r>
        <w:rPr/>
        <w:t>IV/IV</w:t>
      </w:r>
      <w:r>
        <w:rPr>
          <w:spacing w:val="-4"/>
        </w:rPr>
        <w:t> </w:t>
      </w:r>
      <w:r>
        <w:rPr/>
        <w:t>should</w:t>
      </w:r>
      <w:r>
        <w:rPr>
          <w:spacing w:val="-4"/>
        </w:rPr>
        <w:t> </w:t>
      </w:r>
      <w:r>
        <w:rPr/>
        <w:t>be</w:t>
      </w:r>
      <w:r>
        <w:rPr>
          <w:spacing w:val="-4"/>
        </w:rPr>
        <w:t> </w:t>
      </w:r>
      <w:r>
        <w:rPr/>
        <w:t>capable</w:t>
      </w:r>
      <w:r>
        <w:rPr>
          <w:spacing w:val="-4"/>
        </w:rPr>
        <w:t> </w:t>
      </w:r>
      <w:r>
        <w:rPr/>
        <w:t>of</w:t>
      </w:r>
      <w:r>
        <w:rPr>
          <w:spacing w:val="-3"/>
        </w:rPr>
        <w:t> </w:t>
      </w:r>
      <w:r>
        <w:rPr/>
        <w:t>interpreting</w:t>
      </w:r>
      <w:r>
        <w:rPr>
          <w:spacing w:val="-4"/>
        </w:rPr>
        <w:t> </w:t>
      </w:r>
      <w:r>
        <w:rPr/>
        <w:t>in</w:t>
      </w:r>
      <w:r>
        <w:rPr>
          <w:spacing w:val="-4"/>
        </w:rPr>
        <w:t> </w:t>
      </w:r>
      <w:r>
        <w:rPr/>
        <w:t>these</w:t>
      </w:r>
      <w:r>
        <w:rPr>
          <w:spacing w:val="-4"/>
        </w:rPr>
        <w:t> </w:t>
      </w:r>
      <w:r>
        <w:rPr/>
        <w:t>settings:</w:t>
      </w:r>
      <w:r>
        <w:rPr>
          <w:spacing w:val="-3"/>
        </w:rPr>
        <w:t> </w:t>
      </w:r>
      <w:r>
        <w:rPr/>
        <w:t>most</w:t>
      </w:r>
      <w:r>
        <w:rPr>
          <w:spacing w:val="-5"/>
        </w:rPr>
        <w:t> </w:t>
      </w:r>
      <w:r>
        <w:rPr/>
        <w:t>technical situations, support group settings, employment training/orientation settings, non-emergency medical settings, platform non-threatening broadcasting,</w:t>
      </w:r>
    </w:p>
    <w:p>
      <w:pPr>
        <w:pStyle w:val="BodyText"/>
        <w:spacing w:before="0"/>
        <w:ind w:left="1530" w:right="775"/>
      </w:pPr>
      <w:r>
        <w:rPr/>
        <w:t>non-emergency</w:t>
      </w:r>
      <w:r>
        <w:rPr>
          <w:spacing w:val="-5"/>
        </w:rPr>
        <w:t> </w:t>
      </w:r>
      <w:r>
        <w:rPr/>
        <w:t>mental</w:t>
      </w:r>
      <w:r>
        <w:rPr>
          <w:spacing w:val="-5"/>
        </w:rPr>
        <w:t> </w:t>
      </w:r>
      <w:r>
        <w:rPr/>
        <w:t>health</w:t>
      </w:r>
      <w:r>
        <w:rPr>
          <w:spacing w:val="-6"/>
        </w:rPr>
        <w:t> </w:t>
      </w:r>
      <w:r>
        <w:rPr/>
        <w:t>settings,</w:t>
      </w:r>
      <w:r>
        <w:rPr>
          <w:spacing w:val="-4"/>
        </w:rPr>
        <w:t> </w:t>
      </w:r>
      <w:r>
        <w:rPr/>
        <w:t>entry</w:t>
      </w:r>
      <w:r>
        <w:rPr>
          <w:spacing w:val="-5"/>
        </w:rPr>
        <w:t> </w:t>
      </w:r>
      <w:r>
        <w:rPr/>
        <w:t>level</w:t>
      </w:r>
      <w:r>
        <w:rPr>
          <w:spacing w:val="-5"/>
        </w:rPr>
        <w:t> </w:t>
      </w:r>
      <w:r>
        <w:rPr/>
        <w:t>and</w:t>
      </w:r>
      <w:r>
        <w:rPr>
          <w:spacing w:val="-4"/>
        </w:rPr>
        <w:t> </w:t>
      </w:r>
      <w:r>
        <w:rPr/>
        <w:t>sheltered</w:t>
      </w:r>
      <w:r>
        <w:rPr>
          <w:spacing w:val="-5"/>
        </w:rPr>
        <w:t> </w:t>
      </w:r>
      <w:r>
        <w:rPr/>
        <w:t>workshop/ supportive employment interviews.</w:t>
      </w:r>
    </w:p>
    <w:p>
      <w:pPr>
        <w:pStyle w:val="BodyText"/>
        <w:ind w:left="1530" w:right="716"/>
        <w:jc w:val="both"/>
      </w:pPr>
      <w:r>
        <w:rPr/>
        <w:t>Level IV is not certified to be used in any mental health settings such as psychotherapy, psychiatric settings, and/or crisis counseling, any extensive medical settings, any settings considered emergency or crisis in nature, professional employment interviews, any type of courtroom or legal settings, any type of purchase or real estate agreements (unless interpreter has </w:t>
      </w:r>
      <w:r>
        <w:rPr>
          <w:spacing w:val="-2"/>
        </w:rPr>
        <w:t>documented credential/specialized training), Individual Education Plan (unless</w:t>
      </w:r>
    </w:p>
    <w:p>
      <w:pPr>
        <w:pStyle w:val="BodyText"/>
        <w:spacing w:after="0"/>
        <w:jc w:val="both"/>
        <w:sectPr>
          <w:pgSz w:w="12240" w:h="15840"/>
          <w:pgMar w:top="1360" w:bottom="280" w:left="1080" w:right="720"/>
        </w:sectPr>
      </w:pPr>
    </w:p>
    <w:p>
      <w:pPr>
        <w:pStyle w:val="BodyText"/>
        <w:spacing w:before="80"/>
        <w:ind w:left="1530" w:right="715"/>
        <w:jc w:val="both"/>
      </w:pPr>
      <w:r>
        <w:rPr/>
        <w:t>interpreter has documented credential/specialized training). If an interpreter does not hold a IV/IV, must refer to the next capable level when accepting </w:t>
      </w:r>
      <w:r>
        <w:rPr>
          <w:spacing w:val="-2"/>
        </w:rPr>
        <w:t>assignments.</w:t>
      </w:r>
    </w:p>
    <w:p>
      <w:pPr>
        <w:pStyle w:val="ListParagraph"/>
        <w:numPr>
          <w:ilvl w:val="1"/>
          <w:numId w:val="293"/>
        </w:numPr>
        <w:tabs>
          <w:tab w:pos="1528" w:val="left" w:leader="none"/>
          <w:tab w:pos="1530" w:val="left" w:leader="none"/>
        </w:tabs>
        <w:spacing w:line="208" w:lineRule="auto" w:before="236" w:after="0"/>
        <w:ind w:left="1530" w:right="1532" w:hanging="450"/>
        <w:jc w:val="left"/>
        <w:rPr>
          <w:sz w:val="24"/>
        </w:rPr>
      </w:pPr>
      <w:r>
        <w:rPr>
          <w:sz w:val="24"/>
        </w:rPr>
        <w:t>Level</w:t>
      </w:r>
      <w:r>
        <w:rPr>
          <w:spacing w:val="-4"/>
          <w:sz w:val="24"/>
        </w:rPr>
        <w:t> </w:t>
      </w:r>
      <w:r>
        <w:rPr>
          <w:sz w:val="24"/>
        </w:rPr>
        <w:t>V/V</w:t>
      </w:r>
      <w:r>
        <w:rPr>
          <w:spacing w:val="-4"/>
          <w:sz w:val="24"/>
        </w:rPr>
        <w:t> </w:t>
      </w:r>
      <w:r>
        <w:rPr>
          <w:sz w:val="24"/>
        </w:rPr>
        <w:t>is</w:t>
      </w:r>
      <w:r>
        <w:rPr>
          <w:spacing w:val="-4"/>
          <w:sz w:val="24"/>
        </w:rPr>
        <w:t> </w:t>
      </w:r>
      <w:r>
        <w:rPr>
          <w:sz w:val="24"/>
        </w:rPr>
        <w:t>a</w:t>
      </w:r>
      <w:r>
        <w:rPr>
          <w:spacing w:val="-4"/>
          <w:sz w:val="24"/>
        </w:rPr>
        <w:t> </w:t>
      </w:r>
      <w:r>
        <w:rPr>
          <w:sz w:val="24"/>
        </w:rPr>
        <w:t>master</w:t>
      </w:r>
      <w:r>
        <w:rPr>
          <w:spacing w:val="-5"/>
          <w:sz w:val="24"/>
        </w:rPr>
        <w:t> </w:t>
      </w:r>
      <w:r>
        <w:rPr>
          <w:sz w:val="24"/>
        </w:rPr>
        <w:t>level</w:t>
      </w:r>
      <w:r>
        <w:rPr>
          <w:spacing w:val="-4"/>
          <w:sz w:val="24"/>
        </w:rPr>
        <w:t> </w:t>
      </w:r>
      <w:r>
        <w:rPr>
          <w:sz w:val="24"/>
        </w:rPr>
        <w:t>interpreter</w:t>
      </w:r>
      <w:r>
        <w:rPr>
          <w:spacing w:val="-3"/>
          <w:sz w:val="24"/>
        </w:rPr>
        <w:t> </w:t>
      </w:r>
      <w:r>
        <w:rPr>
          <w:sz w:val="24"/>
        </w:rPr>
        <w:t>who</w:t>
      </w:r>
      <w:r>
        <w:rPr>
          <w:spacing w:val="-4"/>
          <w:sz w:val="24"/>
        </w:rPr>
        <w:t> </w:t>
      </w:r>
      <w:r>
        <w:rPr>
          <w:sz w:val="24"/>
        </w:rPr>
        <w:t>is</w:t>
      </w:r>
      <w:r>
        <w:rPr>
          <w:spacing w:val="-4"/>
          <w:sz w:val="24"/>
        </w:rPr>
        <w:t> </w:t>
      </w:r>
      <w:r>
        <w:rPr>
          <w:sz w:val="24"/>
        </w:rPr>
        <w:t>able</w:t>
      </w:r>
      <w:r>
        <w:rPr>
          <w:spacing w:val="-4"/>
          <w:sz w:val="24"/>
        </w:rPr>
        <w:t> </w:t>
      </w:r>
      <w:r>
        <w:rPr>
          <w:sz w:val="24"/>
        </w:rPr>
        <w:t>to</w:t>
      </w:r>
      <w:r>
        <w:rPr>
          <w:spacing w:val="-4"/>
          <w:sz w:val="24"/>
        </w:rPr>
        <w:t> </w:t>
      </w:r>
      <w:r>
        <w:rPr>
          <w:sz w:val="24"/>
        </w:rPr>
        <w:t>expressively</w:t>
      </w:r>
      <w:r>
        <w:rPr>
          <w:spacing w:val="-3"/>
          <w:sz w:val="24"/>
        </w:rPr>
        <w:t> </w:t>
      </w:r>
      <w:r>
        <w:rPr>
          <w:sz w:val="24"/>
        </w:rPr>
        <w:t>and receptively interpret a minimum of ninety (90%) of the advanced performance evaluation in interpreting and transliterating.</w:t>
      </w:r>
    </w:p>
    <w:p>
      <w:pPr>
        <w:pStyle w:val="BodyText"/>
        <w:spacing w:before="244"/>
        <w:ind w:left="1530" w:right="775"/>
      </w:pPr>
      <w:r>
        <w:rPr/>
        <w:t>Level V should be capable of interpreting in most situations and use professional judgment when accepting assignments. In best practice, the interpreter</w:t>
      </w:r>
      <w:r>
        <w:rPr>
          <w:spacing w:val="-5"/>
        </w:rPr>
        <w:t> </w:t>
      </w:r>
      <w:r>
        <w:rPr/>
        <w:t>should</w:t>
      </w:r>
      <w:r>
        <w:rPr>
          <w:spacing w:val="-5"/>
        </w:rPr>
        <w:t> </w:t>
      </w:r>
      <w:r>
        <w:rPr/>
        <w:t>have</w:t>
      </w:r>
      <w:r>
        <w:rPr>
          <w:spacing w:val="-5"/>
        </w:rPr>
        <w:t> </w:t>
      </w:r>
      <w:r>
        <w:rPr/>
        <w:t>extensive</w:t>
      </w:r>
      <w:r>
        <w:rPr>
          <w:spacing w:val="-4"/>
        </w:rPr>
        <w:t> </w:t>
      </w:r>
      <w:r>
        <w:rPr/>
        <w:t>knowledge</w:t>
      </w:r>
      <w:r>
        <w:rPr>
          <w:spacing w:val="-4"/>
        </w:rPr>
        <w:t> </w:t>
      </w:r>
      <w:r>
        <w:rPr/>
        <w:t>and</w:t>
      </w:r>
      <w:r>
        <w:rPr>
          <w:spacing w:val="-5"/>
        </w:rPr>
        <w:t> </w:t>
      </w:r>
      <w:r>
        <w:rPr/>
        <w:t>a</w:t>
      </w:r>
      <w:r>
        <w:rPr>
          <w:spacing w:val="-5"/>
        </w:rPr>
        <w:t> </w:t>
      </w:r>
      <w:r>
        <w:rPr/>
        <w:t>specialized</w:t>
      </w:r>
      <w:r>
        <w:rPr>
          <w:spacing w:val="-5"/>
        </w:rPr>
        <w:t> </w:t>
      </w:r>
      <w:r>
        <w:rPr/>
        <w:t>set</w:t>
      </w:r>
      <w:r>
        <w:rPr>
          <w:spacing w:val="-4"/>
        </w:rPr>
        <w:t> </w:t>
      </w:r>
      <w:r>
        <w:rPr/>
        <w:t>of</w:t>
      </w:r>
      <w:r>
        <w:rPr>
          <w:spacing w:val="-4"/>
        </w:rPr>
        <w:t> </w:t>
      </w:r>
      <w:r>
        <w:rPr/>
        <w:t>skills when accepting assignments for specific settings such as medical, mental health, education, and legal.</w:t>
      </w:r>
    </w:p>
    <w:p>
      <w:pPr>
        <w:pStyle w:val="BodyText"/>
        <w:ind w:left="1530" w:right="717"/>
        <w:jc w:val="both"/>
      </w:pPr>
      <w:r>
        <w:rPr/>
        <w:t>Level</w:t>
      </w:r>
      <w:r>
        <w:rPr>
          <w:spacing w:val="-12"/>
        </w:rPr>
        <w:t> </w:t>
      </w:r>
      <w:r>
        <w:rPr/>
        <w:t>V</w:t>
      </w:r>
      <w:r>
        <w:rPr>
          <w:spacing w:val="-11"/>
        </w:rPr>
        <w:t> </w:t>
      </w:r>
      <w:r>
        <w:rPr/>
        <w:t>is</w:t>
      </w:r>
      <w:r>
        <w:rPr>
          <w:spacing w:val="-11"/>
        </w:rPr>
        <w:t> </w:t>
      </w:r>
      <w:r>
        <w:rPr/>
        <w:t>not</w:t>
      </w:r>
      <w:r>
        <w:rPr>
          <w:spacing w:val="-11"/>
        </w:rPr>
        <w:t> </w:t>
      </w:r>
      <w:r>
        <w:rPr/>
        <w:t>certified</w:t>
      </w:r>
      <w:r>
        <w:rPr>
          <w:spacing w:val="-12"/>
        </w:rPr>
        <w:t> </w:t>
      </w:r>
      <w:r>
        <w:rPr/>
        <w:t>to</w:t>
      </w:r>
      <w:r>
        <w:rPr>
          <w:spacing w:val="-12"/>
        </w:rPr>
        <w:t> </w:t>
      </w:r>
      <w:r>
        <w:rPr/>
        <w:t>be</w:t>
      </w:r>
      <w:r>
        <w:rPr>
          <w:spacing w:val="-12"/>
        </w:rPr>
        <w:t> </w:t>
      </w:r>
      <w:r>
        <w:rPr/>
        <w:t>used</w:t>
      </w:r>
      <w:r>
        <w:rPr>
          <w:spacing w:val="-12"/>
        </w:rPr>
        <w:t> </w:t>
      </w:r>
      <w:r>
        <w:rPr/>
        <w:t>in</w:t>
      </w:r>
      <w:r>
        <w:rPr>
          <w:spacing w:val="-12"/>
        </w:rPr>
        <w:t> </w:t>
      </w:r>
      <w:r>
        <w:rPr/>
        <w:t>any</w:t>
      </w:r>
      <w:r>
        <w:rPr>
          <w:spacing w:val="-11"/>
        </w:rPr>
        <w:t> </w:t>
      </w:r>
      <w:r>
        <w:rPr/>
        <w:t>courtroom</w:t>
      </w:r>
      <w:r>
        <w:rPr>
          <w:spacing w:val="-11"/>
        </w:rPr>
        <w:t> </w:t>
      </w:r>
      <w:r>
        <w:rPr/>
        <w:t>action</w:t>
      </w:r>
      <w:r>
        <w:rPr>
          <w:spacing w:val="-12"/>
        </w:rPr>
        <w:t> </w:t>
      </w:r>
      <w:r>
        <w:rPr/>
        <w:t>or</w:t>
      </w:r>
      <w:r>
        <w:rPr>
          <w:spacing w:val="-11"/>
        </w:rPr>
        <w:t> </w:t>
      </w:r>
      <w:r>
        <w:rPr/>
        <w:t>legal</w:t>
      </w:r>
      <w:r>
        <w:rPr>
          <w:spacing w:val="-12"/>
        </w:rPr>
        <w:t> </w:t>
      </w:r>
      <w:r>
        <w:rPr/>
        <w:t>settings</w:t>
      </w:r>
      <w:r>
        <w:rPr>
          <w:spacing w:val="-11"/>
        </w:rPr>
        <w:t> </w:t>
      </w:r>
      <w:r>
        <w:rPr/>
        <w:t>that require</w:t>
      </w:r>
      <w:r>
        <w:rPr>
          <w:spacing w:val="-17"/>
        </w:rPr>
        <w:t> </w:t>
      </w:r>
      <w:r>
        <w:rPr/>
        <w:t>parties</w:t>
      </w:r>
      <w:r>
        <w:rPr>
          <w:spacing w:val="-16"/>
        </w:rPr>
        <w:t> </w:t>
      </w:r>
      <w:r>
        <w:rPr/>
        <w:t>to</w:t>
      </w:r>
      <w:r>
        <w:rPr>
          <w:spacing w:val="-17"/>
        </w:rPr>
        <w:t> </w:t>
      </w:r>
      <w:r>
        <w:rPr/>
        <w:t>be</w:t>
      </w:r>
      <w:r>
        <w:rPr>
          <w:spacing w:val="-16"/>
        </w:rPr>
        <w:t> </w:t>
      </w:r>
      <w:r>
        <w:rPr/>
        <w:t>sworn</w:t>
      </w:r>
      <w:r>
        <w:rPr>
          <w:spacing w:val="-17"/>
        </w:rPr>
        <w:t> </w:t>
      </w:r>
      <w:r>
        <w:rPr/>
        <w:t>to</w:t>
      </w:r>
      <w:r>
        <w:rPr>
          <w:spacing w:val="-16"/>
        </w:rPr>
        <w:t> </w:t>
      </w:r>
      <w:r>
        <w:rPr/>
        <w:t>oath.</w:t>
      </w:r>
      <w:r>
        <w:rPr>
          <w:spacing w:val="-17"/>
        </w:rPr>
        <w:t> </w:t>
      </w:r>
      <w:r>
        <w:rPr/>
        <w:t>The</w:t>
      </w:r>
      <w:r>
        <w:rPr>
          <w:spacing w:val="-16"/>
        </w:rPr>
        <w:t> </w:t>
      </w:r>
      <w:r>
        <w:rPr/>
        <w:t>interpreter</w:t>
      </w:r>
      <w:r>
        <w:rPr>
          <w:spacing w:val="-17"/>
        </w:rPr>
        <w:t> </w:t>
      </w:r>
      <w:r>
        <w:rPr/>
        <w:t>should</w:t>
      </w:r>
      <w:r>
        <w:rPr>
          <w:spacing w:val="-16"/>
        </w:rPr>
        <w:t> </w:t>
      </w:r>
      <w:r>
        <w:rPr/>
        <w:t>abide</w:t>
      </w:r>
      <w:r>
        <w:rPr>
          <w:spacing w:val="-17"/>
        </w:rPr>
        <w:t> </w:t>
      </w:r>
      <w:r>
        <w:rPr/>
        <w:t>by</w:t>
      </w:r>
      <w:r>
        <w:rPr>
          <w:spacing w:val="-16"/>
        </w:rPr>
        <w:t> </w:t>
      </w:r>
      <w:r>
        <w:rPr/>
        <w:t>the</w:t>
      </w:r>
      <w:r>
        <w:rPr>
          <w:spacing w:val="-17"/>
        </w:rPr>
        <w:t> </w:t>
      </w:r>
      <w:r>
        <w:rPr/>
        <w:t>specific law that governs the stipulations of providing interpreting services according to</w:t>
      </w:r>
      <w:r>
        <w:rPr>
          <w:spacing w:val="-1"/>
        </w:rPr>
        <w:t> </w:t>
      </w:r>
      <w:r>
        <w:rPr/>
        <w:t>the</w:t>
      </w:r>
      <w:r>
        <w:rPr>
          <w:spacing w:val="-2"/>
        </w:rPr>
        <w:t> </w:t>
      </w:r>
      <w:r>
        <w:rPr/>
        <w:t>Oklahoma</w:t>
      </w:r>
      <w:r>
        <w:rPr>
          <w:spacing w:val="-1"/>
        </w:rPr>
        <w:t> </w:t>
      </w:r>
      <w:r>
        <w:rPr/>
        <w:t>Legal</w:t>
      </w:r>
      <w:r>
        <w:rPr>
          <w:spacing w:val="-1"/>
        </w:rPr>
        <w:t> </w:t>
      </w:r>
      <w:r>
        <w:rPr/>
        <w:t>Interpreter</w:t>
      </w:r>
      <w:r>
        <w:rPr>
          <w:spacing w:val="-1"/>
        </w:rPr>
        <w:t> </w:t>
      </w:r>
      <w:r>
        <w:rPr/>
        <w:t>for</w:t>
      </w:r>
      <w:r>
        <w:rPr>
          <w:spacing w:val="-1"/>
        </w:rPr>
        <w:t> </w:t>
      </w:r>
      <w:r>
        <w:rPr/>
        <w:t>the</w:t>
      </w:r>
      <w:r>
        <w:rPr>
          <w:spacing w:val="-1"/>
        </w:rPr>
        <w:t> </w:t>
      </w:r>
      <w:r>
        <w:rPr/>
        <w:t>Deaf</w:t>
      </w:r>
      <w:r>
        <w:rPr>
          <w:spacing w:val="-1"/>
        </w:rPr>
        <w:t> </w:t>
      </w:r>
      <w:r>
        <w:rPr/>
        <w:t>and</w:t>
      </w:r>
      <w:r>
        <w:rPr>
          <w:spacing w:val="-1"/>
        </w:rPr>
        <w:t> </w:t>
      </w:r>
      <w:r>
        <w:rPr/>
        <w:t>Hard-of</w:t>
      </w:r>
      <w:r>
        <w:rPr>
          <w:spacing w:val="-1"/>
        </w:rPr>
        <w:t> </w:t>
      </w:r>
      <w:r>
        <w:rPr/>
        <w:t>Hearing</w:t>
      </w:r>
      <w:r>
        <w:rPr>
          <w:spacing w:val="-1"/>
        </w:rPr>
        <w:t> </w:t>
      </w:r>
      <w:r>
        <w:rPr/>
        <w:t>Act.</w:t>
      </w:r>
      <w:r>
        <w:rPr>
          <w:spacing w:val="-1"/>
        </w:rPr>
        <w:t> </w:t>
      </w:r>
      <w:r>
        <w:rPr/>
        <w:t>If</w:t>
      </w:r>
      <w:r>
        <w:rPr>
          <w:spacing w:val="-1"/>
        </w:rPr>
        <w:t> </w:t>
      </w:r>
      <w:r>
        <w:rPr/>
        <w:t>an interpreter does not hold a V/V, must refer to the next capable level when accepting assignments.</w:t>
      </w:r>
    </w:p>
    <w:p>
      <w:pPr>
        <w:pStyle w:val="BodyText"/>
        <w:spacing w:before="3"/>
        <w:ind w:left="0"/>
      </w:pPr>
    </w:p>
    <w:p>
      <w:pPr>
        <w:spacing w:before="0"/>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294"/>
        </w:numPr>
        <w:tabs>
          <w:tab w:pos="1439" w:val="left" w:leader="none"/>
        </w:tabs>
        <w:spacing w:line="240" w:lineRule="auto" w:before="1" w:after="0"/>
        <w:ind w:left="1439" w:right="0" w:hanging="1079"/>
        <w:jc w:val="left"/>
        <w:rPr>
          <w:sz w:val="22"/>
        </w:rPr>
      </w:pPr>
      <w:r>
        <w:rPr>
          <w:sz w:val="22"/>
        </w:rPr>
        <w:t>PT</w:t>
      </w:r>
      <w:r>
        <w:rPr>
          <w:spacing w:val="-8"/>
          <w:sz w:val="22"/>
        </w:rPr>
        <w:t> </w:t>
      </w:r>
      <w:r>
        <w:rPr>
          <w:sz w:val="22"/>
        </w:rPr>
        <w:t>Memo</w:t>
      </w:r>
      <w:r>
        <w:rPr>
          <w:spacing w:val="-8"/>
          <w:sz w:val="22"/>
        </w:rPr>
        <w:t> </w:t>
      </w:r>
      <w:r>
        <w:rPr>
          <w:sz w:val="22"/>
        </w:rPr>
        <w:t>#94-</w:t>
      </w:r>
      <w:r>
        <w:rPr>
          <w:spacing w:val="-10"/>
          <w:sz w:val="22"/>
        </w:rPr>
        <w:t>1</w:t>
      </w:r>
    </w:p>
    <w:p>
      <w:pPr>
        <w:tabs>
          <w:tab w:pos="1439" w:val="left" w:leader="none"/>
        </w:tabs>
        <w:spacing w:before="0"/>
        <w:ind w:left="359" w:right="6636"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7-1-11</w:t>
      </w:r>
      <w:r>
        <w:rPr>
          <w:sz w:val="22"/>
        </w:rPr>
        <w:tab/>
        <w:t>PT Memo #12-01</w:t>
      </w:r>
    </w:p>
    <w:p>
      <w:pPr>
        <w:spacing w:line="252" w:lineRule="exact" w:before="0"/>
        <w:ind w:left="1439" w:right="0" w:firstLine="0"/>
        <w:jc w:val="left"/>
        <w:rPr>
          <w:sz w:val="22"/>
        </w:rPr>
      </w:pPr>
      <w:r>
        <w:rPr>
          <w:sz w:val="22"/>
        </w:rPr>
        <w:t>Permanent,</w:t>
      </w:r>
      <w:r>
        <w:rPr>
          <w:spacing w:val="-8"/>
          <w:sz w:val="22"/>
        </w:rPr>
        <w:t> </w:t>
      </w:r>
      <w:r>
        <w:rPr>
          <w:sz w:val="22"/>
        </w:rPr>
        <w:t>removed</w:t>
      </w:r>
      <w:r>
        <w:rPr>
          <w:spacing w:val="-9"/>
          <w:sz w:val="22"/>
        </w:rPr>
        <w:t> </w:t>
      </w:r>
      <w:r>
        <w:rPr>
          <w:sz w:val="22"/>
        </w:rPr>
        <w:t>descriptive</w:t>
      </w:r>
      <w:r>
        <w:rPr>
          <w:spacing w:val="-8"/>
          <w:sz w:val="22"/>
        </w:rPr>
        <w:t> </w:t>
      </w:r>
      <w:r>
        <w:rPr>
          <w:sz w:val="22"/>
        </w:rPr>
        <w:t>material</w:t>
      </w:r>
      <w:r>
        <w:rPr>
          <w:spacing w:val="-9"/>
          <w:sz w:val="22"/>
        </w:rPr>
        <w:t> </w:t>
      </w:r>
      <w:r>
        <w:rPr>
          <w:sz w:val="22"/>
        </w:rPr>
        <w:t>out</w:t>
      </w:r>
      <w:r>
        <w:rPr>
          <w:spacing w:val="-8"/>
          <w:sz w:val="22"/>
        </w:rPr>
        <w:t> </w:t>
      </w:r>
      <w:r>
        <w:rPr>
          <w:sz w:val="22"/>
        </w:rPr>
        <w:t>of</w:t>
      </w:r>
      <w:r>
        <w:rPr>
          <w:spacing w:val="-10"/>
          <w:sz w:val="22"/>
        </w:rPr>
        <w:t> </w:t>
      </w:r>
      <w:r>
        <w:rPr>
          <w:sz w:val="22"/>
        </w:rPr>
        <w:t>permanent</w:t>
      </w:r>
      <w:r>
        <w:rPr>
          <w:spacing w:val="-8"/>
          <w:sz w:val="22"/>
        </w:rPr>
        <w:t> </w:t>
      </w:r>
      <w:r>
        <w:rPr>
          <w:spacing w:val="-2"/>
          <w:sz w:val="22"/>
        </w:rPr>
        <w:t>rules.</w:t>
      </w:r>
    </w:p>
    <w:p>
      <w:pPr>
        <w:spacing w:before="0"/>
        <w:ind w:left="1439" w:right="775" w:hanging="1080"/>
        <w:jc w:val="left"/>
        <w:rPr>
          <w:sz w:val="22"/>
        </w:rPr>
      </w:pPr>
      <w:r>
        <w:rPr>
          <w:sz w:val="22"/>
        </w:rPr>
        <w:t>11-30-17</w:t>
      </w:r>
      <w:r>
        <w:rPr>
          <w:spacing w:val="80"/>
          <w:w w:val="150"/>
          <w:sz w:val="22"/>
        </w:rPr>
        <w:t> </w:t>
      </w:r>
      <w:r>
        <w:rPr>
          <w:sz w:val="22"/>
        </w:rPr>
        <w:t>Updated</w:t>
      </w:r>
      <w:r>
        <w:rPr>
          <w:spacing w:val="-3"/>
          <w:sz w:val="22"/>
        </w:rPr>
        <w:t> </w:t>
      </w:r>
      <w:r>
        <w:rPr>
          <w:sz w:val="22"/>
        </w:rPr>
        <w:t>ITS</w:t>
      </w:r>
      <w:r>
        <w:rPr>
          <w:spacing w:val="-3"/>
          <w:sz w:val="22"/>
        </w:rPr>
        <w:t> </w:t>
      </w:r>
      <w:r>
        <w:rPr>
          <w:sz w:val="22"/>
        </w:rPr>
        <w:t>#1</w:t>
      </w:r>
      <w:r>
        <w:rPr>
          <w:spacing w:val="-3"/>
          <w:sz w:val="22"/>
        </w:rPr>
        <w:t> </w:t>
      </w:r>
      <w:r>
        <w:rPr>
          <w:sz w:val="22"/>
        </w:rPr>
        <w:t>(a)-(e)</w:t>
      </w:r>
      <w:r>
        <w:rPr>
          <w:spacing w:val="-3"/>
          <w:sz w:val="22"/>
        </w:rPr>
        <w:t> </w:t>
      </w:r>
      <w:r>
        <w:rPr>
          <w:sz w:val="22"/>
        </w:rPr>
        <w:t>replaced</w:t>
      </w:r>
      <w:r>
        <w:rPr>
          <w:spacing w:val="-3"/>
          <w:sz w:val="22"/>
        </w:rPr>
        <w:t> </w:t>
      </w:r>
      <w:r>
        <w:rPr>
          <w:sz w:val="22"/>
        </w:rPr>
        <w:t>all</w:t>
      </w:r>
      <w:r>
        <w:rPr>
          <w:spacing w:val="-4"/>
          <w:sz w:val="22"/>
        </w:rPr>
        <w:t> </w:t>
      </w:r>
      <w:r>
        <w:rPr>
          <w:sz w:val="22"/>
        </w:rPr>
        <w:t>language</w:t>
      </w:r>
      <w:r>
        <w:rPr>
          <w:spacing w:val="-3"/>
          <w:sz w:val="22"/>
        </w:rPr>
        <w:t> </w:t>
      </w:r>
      <w:r>
        <w:rPr>
          <w:sz w:val="22"/>
        </w:rPr>
        <w:t>regarding</w:t>
      </w:r>
      <w:r>
        <w:rPr>
          <w:spacing w:val="-3"/>
          <w:sz w:val="22"/>
        </w:rPr>
        <w:t> </w:t>
      </w:r>
      <w:r>
        <w:rPr>
          <w:sz w:val="22"/>
        </w:rPr>
        <w:t>interpreter</w:t>
      </w:r>
      <w:r>
        <w:rPr>
          <w:spacing w:val="-3"/>
          <w:sz w:val="22"/>
        </w:rPr>
        <w:t> </w:t>
      </w:r>
      <w:r>
        <w:rPr>
          <w:sz w:val="22"/>
        </w:rPr>
        <w:t>certification</w:t>
      </w:r>
      <w:r>
        <w:rPr>
          <w:spacing w:val="-3"/>
          <w:sz w:val="22"/>
        </w:rPr>
        <w:t> </w:t>
      </w:r>
      <w:r>
        <w:rPr>
          <w:sz w:val="22"/>
        </w:rPr>
        <w:t>levels and limitations.</w:t>
      </w:r>
    </w:p>
    <w:p>
      <w:pPr>
        <w:tabs>
          <w:tab w:pos="1439" w:val="left" w:leader="none"/>
        </w:tabs>
        <w:spacing w:line="253" w:lineRule="exact" w:before="0"/>
        <w:ind w:left="360" w:right="0" w:firstLine="0"/>
        <w:jc w:val="left"/>
        <w:rPr>
          <w:sz w:val="22"/>
        </w:rPr>
      </w:pPr>
      <w:r>
        <w:rPr>
          <w:spacing w:val="-2"/>
          <w:sz w:val="22"/>
        </w:rPr>
        <w:t>11-2-</w:t>
      </w:r>
      <w:r>
        <w:rPr>
          <w:spacing w:val="-5"/>
          <w:sz w:val="22"/>
        </w:rPr>
        <w:t>21</w:t>
      </w:r>
      <w:r>
        <w:rPr>
          <w:sz w:val="22"/>
        </w:rPr>
        <w:tab/>
        <w:t>Updated</w:t>
      </w:r>
      <w:r>
        <w:rPr>
          <w:spacing w:val="-7"/>
          <w:sz w:val="22"/>
        </w:rPr>
        <w:t> </w:t>
      </w:r>
      <w:r>
        <w:rPr>
          <w:sz w:val="22"/>
        </w:rPr>
        <w:t>ITS</w:t>
      </w:r>
      <w:r>
        <w:rPr>
          <w:spacing w:val="-7"/>
          <w:sz w:val="22"/>
        </w:rPr>
        <w:t> </w:t>
      </w:r>
      <w:r>
        <w:rPr>
          <w:sz w:val="22"/>
        </w:rPr>
        <w:t>#1</w:t>
      </w:r>
      <w:r>
        <w:rPr>
          <w:spacing w:val="-7"/>
          <w:sz w:val="22"/>
        </w:rPr>
        <w:t> </w:t>
      </w:r>
      <w:r>
        <w:rPr>
          <w:sz w:val="22"/>
        </w:rPr>
        <w:t>(a)-(e)</w:t>
      </w:r>
      <w:r>
        <w:rPr>
          <w:spacing w:val="-7"/>
          <w:sz w:val="22"/>
        </w:rPr>
        <w:t> </w:t>
      </w:r>
      <w:r>
        <w:rPr>
          <w:sz w:val="22"/>
        </w:rPr>
        <w:t>revising</w:t>
      </w:r>
      <w:r>
        <w:rPr>
          <w:spacing w:val="-7"/>
          <w:sz w:val="22"/>
        </w:rPr>
        <w:t> </w:t>
      </w:r>
      <w:r>
        <w:rPr>
          <w:sz w:val="22"/>
        </w:rPr>
        <w:t>all</w:t>
      </w:r>
      <w:r>
        <w:rPr>
          <w:spacing w:val="-7"/>
          <w:sz w:val="22"/>
        </w:rPr>
        <w:t> </w:t>
      </w:r>
      <w:r>
        <w:rPr>
          <w:sz w:val="22"/>
        </w:rPr>
        <w:t>interpreter</w:t>
      </w:r>
      <w:r>
        <w:rPr>
          <w:spacing w:val="-7"/>
          <w:sz w:val="22"/>
        </w:rPr>
        <w:t> </w:t>
      </w:r>
      <w:r>
        <w:rPr>
          <w:sz w:val="22"/>
        </w:rPr>
        <w:t>certification</w:t>
      </w:r>
      <w:r>
        <w:rPr>
          <w:spacing w:val="-8"/>
          <w:sz w:val="22"/>
        </w:rPr>
        <w:t> </w:t>
      </w:r>
      <w:r>
        <w:rPr>
          <w:spacing w:val="-2"/>
          <w:sz w:val="22"/>
        </w:rPr>
        <w:t>levels.</w:t>
      </w:r>
    </w:p>
    <w:p>
      <w:pPr>
        <w:tabs>
          <w:tab w:pos="1439" w:val="left" w:leader="none"/>
        </w:tabs>
        <w:spacing w:before="0"/>
        <w:ind w:left="1439" w:right="1528" w:hanging="1080"/>
        <w:jc w:val="left"/>
        <w:rPr>
          <w:sz w:val="22"/>
        </w:rPr>
      </w:pPr>
      <w:r>
        <w:rPr>
          <w:spacing w:val="-2"/>
          <w:sz w:val="22"/>
        </w:rPr>
        <w:t>12-8-21</w:t>
      </w:r>
      <w:r>
        <w:rPr>
          <w:sz w:val="22"/>
        </w:rPr>
        <w:tab/>
        <w:t>Reverted</w:t>
      </w:r>
      <w:r>
        <w:rPr>
          <w:spacing w:val="-4"/>
          <w:sz w:val="22"/>
        </w:rPr>
        <w:t> </w:t>
      </w:r>
      <w:r>
        <w:rPr>
          <w:sz w:val="22"/>
        </w:rPr>
        <w:t>ITS</w:t>
      </w:r>
      <w:r>
        <w:rPr>
          <w:spacing w:val="-4"/>
          <w:sz w:val="22"/>
        </w:rPr>
        <w:t> </w:t>
      </w:r>
      <w:r>
        <w:rPr>
          <w:sz w:val="22"/>
        </w:rPr>
        <w:t>#1</w:t>
      </w:r>
      <w:r>
        <w:rPr>
          <w:spacing w:val="-4"/>
          <w:sz w:val="22"/>
        </w:rPr>
        <w:t> </w:t>
      </w:r>
      <w:r>
        <w:rPr>
          <w:sz w:val="22"/>
        </w:rPr>
        <w:t>(a)-(e)</w:t>
      </w:r>
      <w:r>
        <w:rPr>
          <w:spacing w:val="-4"/>
          <w:sz w:val="22"/>
        </w:rPr>
        <w:t> </w:t>
      </w:r>
      <w:r>
        <w:rPr>
          <w:sz w:val="22"/>
        </w:rPr>
        <w:t>to</w:t>
      </w:r>
      <w:r>
        <w:rPr>
          <w:spacing w:val="-4"/>
          <w:sz w:val="22"/>
        </w:rPr>
        <w:t> </w:t>
      </w:r>
      <w:r>
        <w:rPr>
          <w:sz w:val="22"/>
        </w:rPr>
        <w:t>previous</w:t>
      </w:r>
      <w:r>
        <w:rPr>
          <w:spacing w:val="-5"/>
          <w:sz w:val="22"/>
        </w:rPr>
        <w:t> </w:t>
      </w:r>
      <w:r>
        <w:rPr>
          <w:sz w:val="22"/>
        </w:rPr>
        <w:t>language</w:t>
      </w:r>
      <w:r>
        <w:rPr>
          <w:spacing w:val="-4"/>
          <w:sz w:val="22"/>
        </w:rPr>
        <w:t> </w:t>
      </w:r>
      <w:r>
        <w:rPr>
          <w:sz w:val="22"/>
        </w:rPr>
        <w:t>for</w:t>
      </w:r>
      <w:r>
        <w:rPr>
          <w:spacing w:val="-4"/>
          <w:sz w:val="22"/>
        </w:rPr>
        <w:t> </w:t>
      </w:r>
      <w:r>
        <w:rPr>
          <w:sz w:val="22"/>
        </w:rPr>
        <w:t>interpreter</w:t>
      </w:r>
      <w:r>
        <w:rPr>
          <w:spacing w:val="-6"/>
          <w:sz w:val="22"/>
        </w:rPr>
        <w:t> </w:t>
      </w:r>
      <w:r>
        <w:rPr>
          <w:sz w:val="22"/>
        </w:rPr>
        <w:t>certifications</w:t>
      </w:r>
      <w:r>
        <w:rPr>
          <w:spacing w:val="-5"/>
          <w:sz w:val="22"/>
        </w:rPr>
        <w:t> </w:t>
      </w:r>
      <w:r>
        <w:rPr>
          <w:sz w:val="22"/>
        </w:rPr>
        <w:t>and limitations that was effective 11-30-17.</w:t>
      </w:r>
    </w:p>
    <w:p>
      <w:pPr>
        <w:tabs>
          <w:tab w:pos="1439" w:val="left" w:leader="none"/>
        </w:tabs>
        <w:spacing w:before="0"/>
        <w:ind w:left="360" w:right="0" w:firstLine="0"/>
        <w:jc w:val="left"/>
        <w:rPr>
          <w:sz w:val="22"/>
        </w:rPr>
      </w:pPr>
      <w:r>
        <w:rPr>
          <w:spacing w:val="-2"/>
          <w:sz w:val="22"/>
        </w:rPr>
        <w:t>9-1-</w:t>
      </w:r>
      <w:r>
        <w:rPr>
          <w:spacing w:val="-5"/>
          <w:sz w:val="22"/>
        </w:rPr>
        <w:t>22</w:t>
      </w:r>
      <w:r>
        <w:rPr>
          <w:sz w:val="22"/>
        </w:rPr>
        <w:tab/>
        <w:t>Updated</w:t>
      </w:r>
      <w:r>
        <w:rPr>
          <w:spacing w:val="-7"/>
          <w:sz w:val="22"/>
        </w:rPr>
        <w:t> </w:t>
      </w:r>
      <w:r>
        <w:rPr>
          <w:sz w:val="22"/>
        </w:rPr>
        <w:t>ITS</w:t>
      </w:r>
      <w:r>
        <w:rPr>
          <w:spacing w:val="-7"/>
          <w:sz w:val="22"/>
        </w:rPr>
        <w:t> </w:t>
      </w:r>
      <w:r>
        <w:rPr>
          <w:sz w:val="22"/>
        </w:rPr>
        <w:t>#1</w:t>
      </w:r>
      <w:r>
        <w:rPr>
          <w:spacing w:val="-7"/>
          <w:sz w:val="22"/>
        </w:rPr>
        <w:t> </w:t>
      </w:r>
      <w:r>
        <w:rPr>
          <w:sz w:val="22"/>
        </w:rPr>
        <w:t>(a)-(e)</w:t>
      </w:r>
      <w:r>
        <w:rPr>
          <w:spacing w:val="-7"/>
          <w:sz w:val="22"/>
        </w:rPr>
        <w:t> </w:t>
      </w:r>
      <w:r>
        <w:rPr>
          <w:sz w:val="22"/>
        </w:rPr>
        <w:t>revising</w:t>
      </w:r>
      <w:r>
        <w:rPr>
          <w:spacing w:val="-7"/>
          <w:sz w:val="22"/>
        </w:rPr>
        <w:t> </w:t>
      </w:r>
      <w:r>
        <w:rPr>
          <w:sz w:val="22"/>
        </w:rPr>
        <w:t>all</w:t>
      </w:r>
      <w:r>
        <w:rPr>
          <w:spacing w:val="-7"/>
          <w:sz w:val="22"/>
        </w:rPr>
        <w:t> </w:t>
      </w:r>
      <w:r>
        <w:rPr>
          <w:sz w:val="22"/>
        </w:rPr>
        <w:t>interpreter</w:t>
      </w:r>
      <w:r>
        <w:rPr>
          <w:spacing w:val="-7"/>
          <w:sz w:val="22"/>
        </w:rPr>
        <w:t> </w:t>
      </w:r>
      <w:r>
        <w:rPr>
          <w:sz w:val="22"/>
        </w:rPr>
        <w:t>certification</w:t>
      </w:r>
      <w:r>
        <w:rPr>
          <w:spacing w:val="-8"/>
          <w:sz w:val="22"/>
        </w:rPr>
        <w:t> </w:t>
      </w:r>
      <w:r>
        <w:rPr>
          <w:spacing w:val="-2"/>
          <w:sz w:val="22"/>
        </w:rPr>
        <w:t>levels.</w:t>
      </w:r>
    </w:p>
    <w:p>
      <w:pPr>
        <w:spacing w:after="0"/>
        <w:jc w:val="left"/>
        <w:rPr>
          <w:sz w:val="22"/>
        </w:rPr>
        <w:sectPr>
          <w:pgSz w:w="12240" w:h="15840"/>
          <w:pgMar w:top="1360" w:bottom="280" w:left="1080" w:right="720"/>
        </w:sectPr>
      </w:pPr>
    </w:p>
    <w:p>
      <w:pPr>
        <w:pStyle w:val="Heading2"/>
      </w:pPr>
      <w:bookmarkStart w:name="612:10-13-16.  Evaluation" w:id="291"/>
      <w:bookmarkEnd w:id="291"/>
      <w:r>
        <w:rPr>
          <w:b w:val="0"/>
        </w:rPr>
      </w:r>
      <w:r>
        <w:rPr/>
        <w:t>612:10-13-16.</w:t>
      </w:r>
      <w:r>
        <w:rPr>
          <w:spacing w:val="58"/>
        </w:rPr>
        <w:t> </w:t>
      </w:r>
      <w:r>
        <w:rPr>
          <w:spacing w:val="-2"/>
        </w:rPr>
        <w:t>Evaluation</w:t>
      </w:r>
    </w:p>
    <w:p>
      <w:pPr>
        <w:pStyle w:val="ListParagraph"/>
        <w:numPr>
          <w:ilvl w:val="0"/>
          <w:numId w:val="295"/>
        </w:numPr>
        <w:tabs>
          <w:tab w:pos="786" w:val="left" w:leader="none"/>
        </w:tabs>
        <w:spacing w:line="208" w:lineRule="auto" w:before="233" w:after="0"/>
        <w:ind w:left="360" w:right="817" w:firstLine="0"/>
        <w:jc w:val="left"/>
        <w:rPr>
          <w:b/>
          <w:sz w:val="24"/>
        </w:rPr>
      </w:pPr>
      <w:r>
        <w:rPr>
          <w:b/>
          <w:sz w:val="24"/>
        </w:rPr>
        <w:t>Evaluation components and conditions. </w:t>
      </w:r>
      <w:r>
        <w:rPr>
          <w:sz w:val="24"/>
        </w:rPr>
        <w:t>An applicant must be 18 years old or older to be eligible to take the written examination and the skill-based performance evaluation. To be eligible to take the skill-based interpreter performance evaluation, an applicant should have earned at least 30 credit hours from an accredited college or university, with a cumulative GPA of 2.0 or higher or 60 hours of Continuing Education Units</w:t>
      </w:r>
      <w:r>
        <w:rPr>
          <w:spacing w:val="-3"/>
          <w:sz w:val="24"/>
        </w:rPr>
        <w:t> </w:t>
      </w:r>
      <w:r>
        <w:rPr>
          <w:sz w:val="24"/>
        </w:rPr>
        <w:t>relating</w:t>
      </w:r>
      <w:r>
        <w:rPr>
          <w:spacing w:val="-3"/>
          <w:sz w:val="24"/>
        </w:rPr>
        <w:t> </w:t>
      </w:r>
      <w:r>
        <w:rPr>
          <w:sz w:val="24"/>
        </w:rPr>
        <w:t>to</w:t>
      </w:r>
      <w:r>
        <w:rPr>
          <w:spacing w:val="-3"/>
          <w:sz w:val="24"/>
        </w:rPr>
        <w:t> </w:t>
      </w:r>
      <w:r>
        <w:rPr>
          <w:sz w:val="24"/>
        </w:rPr>
        <w:t>interpreting.</w:t>
      </w:r>
      <w:r>
        <w:rPr>
          <w:spacing w:val="40"/>
          <w:sz w:val="24"/>
        </w:rPr>
        <w:t> </w:t>
      </w:r>
      <w:r>
        <w:rPr>
          <w:sz w:val="24"/>
        </w:rPr>
        <w:t>To</w:t>
      </w:r>
      <w:r>
        <w:rPr>
          <w:spacing w:val="-4"/>
          <w:sz w:val="24"/>
        </w:rPr>
        <w:t> </w:t>
      </w:r>
      <w:r>
        <w:rPr>
          <w:sz w:val="24"/>
        </w:rPr>
        <w:t>be</w:t>
      </w:r>
      <w:r>
        <w:rPr>
          <w:spacing w:val="-3"/>
          <w:sz w:val="24"/>
        </w:rPr>
        <w:t> </w:t>
      </w:r>
      <w:r>
        <w:rPr>
          <w:sz w:val="24"/>
        </w:rPr>
        <w:t>certified</w:t>
      </w:r>
      <w:r>
        <w:rPr>
          <w:spacing w:val="-3"/>
          <w:sz w:val="24"/>
        </w:rPr>
        <w:t> </w:t>
      </w:r>
      <w:r>
        <w:rPr>
          <w:sz w:val="24"/>
        </w:rPr>
        <w:t>as</w:t>
      </w:r>
      <w:r>
        <w:rPr>
          <w:spacing w:val="-3"/>
          <w:sz w:val="24"/>
        </w:rPr>
        <w:t> </w:t>
      </w:r>
      <w:r>
        <w:rPr>
          <w:sz w:val="24"/>
        </w:rPr>
        <w:t>an</w:t>
      </w:r>
      <w:r>
        <w:rPr>
          <w:spacing w:val="-3"/>
          <w:sz w:val="24"/>
        </w:rPr>
        <w:t> </w:t>
      </w:r>
      <w:r>
        <w:rPr>
          <w:sz w:val="24"/>
        </w:rPr>
        <w:t>interpreter,</w:t>
      </w:r>
      <w:r>
        <w:rPr>
          <w:spacing w:val="-2"/>
          <w:sz w:val="24"/>
        </w:rPr>
        <w:t> </w:t>
      </w:r>
      <w:r>
        <w:rPr>
          <w:sz w:val="24"/>
        </w:rPr>
        <w:t>an</w:t>
      </w:r>
      <w:r>
        <w:rPr>
          <w:spacing w:val="-3"/>
          <w:sz w:val="24"/>
        </w:rPr>
        <w:t> </w:t>
      </w:r>
      <w:r>
        <w:rPr>
          <w:sz w:val="24"/>
        </w:rPr>
        <w:t>applicant</w:t>
      </w:r>
      <w:r>
        <w:rPr>
          <w:spacing w:val="-2"/>
          <w:sz w:val="24"/>
        </w:rPr>
        <w:t> </w:t>
      </w:r>
      <w:r>
        <w:rPr>
          <w:sz w:val="24"/>
        </w:rPr>
        <w:t>must</w:t>
      </w:r>
      <w:r>
        <w:rPr>
          <w:spacing w:val="-2"/>
          <w:sz w:val="24"/>
        </w:rPr>
        <w:t> </w:t>
      </w:r>
      <w:r>
        <w:rPr>
          <w:sz w:val="24"/>
        </w:rPr>
        <w:t>pass</w:t>
      </w:r>
      <w:r>
        <w:rPr>
          <w:spacing w:val="-3"/>
          <w:sz w:val="24"/>
        </w:rPr>
        <w:t> </w:t>
      </w:r>
      <w:r>
        <w:rPr>
          <w:sz w:val="24"/>
        </w:rPr>
        <w:t>a skill-based performance evaluation. The process for certification consists of a written examination and a sign language skill-based performance evaluation. The written examination and performance interview may include items from the NAD-RID Code of Professional Conduct and the Certification Levels limitations. Interpreters who hold Level</w:t>
      </w:r>
      <w:r>
        <w:rPr>
          <w:spacing w:val="-3"/>
          <w:sz w:val="24"/>
        </w:rPr>
        <w:t> </w:t>
      </w:r>
      <w:r>
        <w:rPr>
          <w:sz w:val="24"/>
        </w:rPr>
        <w:t>III</w:t>
      </w:r>
      <w:r>
        <w:rPr>
          <w:spacing w:val="-2"/>
          <w:sz w:val="24"/>
        </w:rPr>
        <w:t> </w:t>
      </w:r>
      <w:r>
        <w:rPr>
          <w:sz w:val="24"/>
        </w:rPr>
        <w:t>certification</w:t>
      </w:r>
      <w:r>
        <w:rPr>
          <w:spacing w:val="-3"/>
          <w:sz w:val="24"/>
        </w:rPr>
        <w:t> </w:t>
      </w:r>
      <w:r>
        <w:rPr>
          <w:sz w:val="24"/>
        </w:rPr>
        <w:t>in</w:t>
      </w:r>
      <w:r>
        <w:rPr>
          <w:spacing w:val="-3"/>
          <w:sz w:val="24"/>
        </w:rPr>
        <w:t> </w:t>
      </w:r>
      <w:r>
        <w:rPr>
          <w:sz w:val="24"/>
        </w:rPr>
        <w:t>either</w:t>
      </w:r>
      <w:r>
        <w:rPr>
          <w:spacing w:val="-2"/>
          <w:sz w:val="24"/>
        </w:rPr>
        <w:t> </w:t>
      </w:r>
      <w:r>
        <w:rPr>
          <w:sz w:val="24"/>
        </w:rPr>
        <w:t>Interpreting</w:t>
      </w:r>
      <w:r>
        <w:rPr>
          <w:spacing w:val="-3"/>
          <w:sz w:val="24"/>
        </w:rPr>
        <w:t> </w:t>
      </w:r>
      <w:r>
        <w:rPr>
          <w:sz w:val="24"/>
        </w:rPr>
        <w:t>or</w:t>
      </w:r>
      <w:r>
        <w:rPr>
          <w:spacing w:val="-2"/>
          <w:sz w:val="24"/>
        </w:rPr>
        <w:t> </w:t>
      </w:r>
      <w:r>
        <w:rPr>
          <w:sz w:val="24"/>
        </w:rPr>
        <w:t>Transliterating</w:t>
      </w:r>
      <w:r>
        <w:rPr>
          <w:spacing w:val="-3"/>
          <w:sz w:val="24"/>
        </w:rPr>
        <w:t> </w:t>
      </w:r>
      <w:r>
        <w:rPr>
          <w:sz w:val="24"/>
        </w:rPr>
        <w:t>are</w:t>
      </w:r>
      <w:r>
        <w:rPr>
          <w:spacing w:val="-3"/>
          <w:sz w:val="24"/>
        </w:rPr>
        <w:t> </w:t>
      </w:r>
      <w:r>
        <w:rPr>
          <w:sz w:val="24"/>
        </w:rPr>
        <w:t>required</w:t>
      </w:r>
      <w:r>
        <w:rPr>
          <w:spacing w:val="-3"/>
          <w:sz w:val="24"/>
        </w:rPr>
        <w:t> </w:t>
      </w:r>
      <w:r>
        <w:rPr>
          <w:sz w:val="24"/>
        </w:rPr>
        <w:t>to</w:t>
      </w:r>
      <w:r>
        <w:rPr>
          <w:spacing w:val="-3"/>
          <w:sz w:val="24"/>
        </w:rPr>
        <w:t> </w:t>
      </w:r>
      <w:r>
        <w:rPr>
          <w:sz w:val="24"/>
        </w:rPr>
        <w:t>take</w:t>
      </w:r>
      <w:r>
        <w:rPr>
          <w:spacing w:val="-4"/>
          <w:sz w:val="24"/>
        </w:rPr>
        <w:t> </w:t>
      </w:r>
      <w:r>
        <w:rPr>
          <w:sz w:val="24"/>
        </w:rPr>
        <w:t>the</w:t>
      </w:r>
      <w:r>
        <w:rPr>
          <w:spacing w:val="-3"/>
          <w:sz w:val="24"/>
        </w:rPr>
        <w:t> </w:t>
      </w:r>
      <w:r>
        <w:rPr>
          <w:sz w:val="24"/>
        </w:rPr>
        <w:t>IV/V performance evaluation, which is in compliance with the Ethical Standards. </w:t>
      </w:r>
      <w:r>
        <w:rPr>
          <w:b/>
          <w:sz w:val="24"/>
        </w:rPr>
        <w:t>1</w:t>
      </w:r>
    </w:p>
    <w:p>
      <w:pPr>
        <w:pStyle w:val="ListParagraph"/>
        <w:numPr>
          <w:ilvl w:val="0"/>
          <w:numId w:val="295"/>
        </w:numPr>
        <w:tabs>
          <w:tab w:pos="785" w:val="left" w:leader="none"/>
        </w:tabs>
        <w:spacing w:line="208" w:lineRule="auto" w:before="239" w:after="0"/>
        <w:ind w:left="360" w:right="994" w:firstLine="0"/>
        <w:jc w:val="left"/>
        <w:rPr>
          <w:sz w:val="24"/>
        </w:rPr>
      </w:pPr>
      <w:r>
        <w:rPr>
          <w:b/>
          <w:sz w:val="24"/>
        </w:rPr>
        <w:t>Written examination. </w:t>
      </w:r>
      <w:r>
        <w:rPr>
          <w:sz w:val="24"/>
        </w:rPr>
        <w:t>The written examination consists of questions designed to measure knowledge of interpreting and situational ethics. Applicants must make a passing score, as established by the program, before being allowed to take the performance</w:t>
      </w:r>
      <w:r>
        <w:rPr>
          <w:spacing w:val="-4"/>
          <w:sz w:val="24"/>
        </w:rPr>
        <w:t> </w:t>
      </w:r>
      <w:r>
        <w:rPr>
          <w:sz w:val="24"/>
        </w:rPr>
        <w:t>evaluation.</w:t>
      </w:r>
      <w:r>
        <w:rPr>
          <w:spacing w:val="-3"/>
          <w:sz w:val="24"/>
        </w:rPr>
        <w:t> </w:t>
      </w:r>
      <w:r>
        <w:rPr>
          <w:sz w:val="24"/>
        </w:rPr>
        <w:t>If</w:t>
      </w:r>
      <w:r>
        <w:rPr>
          <w:spacing w:val="-3"/>
          <w:sz w:val="24"/>
        </w:rPr>
        <w:t> </w:t>
      </w:r>
      <w:r>
        <w:rPr>
          <w:sz w:val="24"/>
        </w:rPr>
        <w:t>the</w:t>
      </w:r>
      <w:r>
        <w:rPr>
          <w:spacing w:val="-4"/>
          <w:sz w:val="24"/>
        </w:rPr>
        <w:t> </w:t>
      </w:r>
      <w:r>
        <w:rPr>
          <w:sz w:val="24"/>
        </w:rPr>
        <w:t>written</w:t>
      </w:r>
      <w:r>
        <w:rPr>
          <w:spacing w:val="-4"/>
          <w:sz w:val="24"/>
        </w:rPr>
        <w:t> </w:t>
      </w:r>
      <w:r>
        <w:rPr>
          <w:sz w:val="24"/>
        </w:rPr>
        <w:t>test</w:t>
      </w:r>
      <w:r>
        <w:rPr>
          <w:spacing w:val="-3"/>
          <w:sz w:val="24"/>
        </w:rPr>
        <w:t> </w:t>
      </w:r>
      <w:r>
        <w:rPr>
          <w:sz w:val="24"/>
        </w:rPr>
        <w:t>is</w:t>
      </w:r>
      <w:r>
        <w:rPr>
          <w:spacing w:val="-4"/>
          <w:sz w:val="24"/>
        </w:rPr>
        <w:t> </w:t>
      </w:r>
      <w:r>
        <w:rPr>
          <w:sz w:val="24"/>
        </w:rPr>
        <w:t>failed,</w:t>
      </w:r>
      <w:r>
        <w:rPr>
          <w:spacing w:val="-3"/>
          <w:sz w:val="24"/>
        </w:rPr>
        <w:t> </w:t>
      </w:r>
      <w:r>
        <w:rPr>
          <w:sz w:val="24"/>
        </w:rPr>
        <w:t>retesting</w:t>
      </w:r>
      <w:r>
        <w:rPr>
          <w:spacing w:val="-4"/>
          <w:sz w:val="24"/>
        </w:rPr>
        <w:t> </w:t>
      </w:r>
      <w:r>
        <w:rPr>
          <w:sz w:val="24"/>
        </w:rPr>
        <w:t>may</w:t>
      </w:r>
      <w:r>
        <w:rPr>
          <w:spacing w:val="-4"/>
          <w:sz w:val="24"/>
        </w:rPr>
        <w:t> </w:t>
      </w:r>
      <w:r>
        <w:rPr>
          <w:sz w:val="24"/>
        </w:rPr>
        <w:t>be</w:t>
      </w:r>
      <w:r>
        <w:rPr>
          <w:spacing w:val="-4"/>
          <w:sz w:val="24"/>
        </w:rPr>
        <w:t> </w:t>
      </w:r>
      <w:r>
        <w:rPr>
          <w:sz w:val="24"/>
        </w:rPr>
        <w:t>taken</w:t>
      </w:r>
      <w:r>
        <w:rPr>
          <w:spacing w:val="-4"/>
          <w:sz w:val="24"/>
        </w:rPr>
        <w:t> </w:t>
      </w:r>
      <w:r>
        <w:rPr>
          <w:sz w:val="24"/>
        </w:rPr>
        <w:t>again</w:t>
      </w:r>
      <w:r>
        <w:rPr>
          <w:spacing w:val="-4"/>
          <w:sz w:val="24"/>
        </w:rPr>
        <w:t> </w:t>
      </w:r>
      <w:r>
        <w:rPr>
          <w:sz w:val="24"/>
        </w:rPr>
        <w:t>in</w:t>
      </w:r>
      <w:r>
        <w:rPr>
          <w:spacing w:val="-4"/>
          <w:sz w:val="24"/>
        </w:rPr>
        <w:t> </w:t>
      </w:r>
      <w:r>
        <w:rPr>
          <w:sz w:val="24"/>
        </w:rPr>
        <w:t>30 calendar days.</w:t>
      </w:r>
    </w:p>
    <w:p>
      <w:pPr>
        <w:pStyle w:val="ListParagraph"/>
        <w:numPr>
          <w:ilvl w:val="0"/>
          <w:numId w:val="295"/>
        </w:numPr>
        <w:tabs>
          <w:tab w:pos="772" w:val="left" w:leader="none"/>
        </w:tabs>
        <w:spacing w:line="208" w:lineRule="auto" w:before="239" w:after="0"/>
        <w:ind w:left="359" w:right="741" w:firstLine="0"/>
        <w:jc w:val="left"/>
        <w:rPr>
          <w:sz w:val="24"/>
        </w:rPr>
      </w:pPr>
      <w:r>
        <w:rPr>
          <w:b/>
          <w:sz w:val="24"/>
        </w:rPr>
        <w:t>Performance Evaluation. </w:t>
      </w:r>
      <w:r>
        <w:rPr>
          <w:sz w:val="24"/>
        </w:rPr>
        <w:t>The Interpreter Certification and Resource Center</w:t>
      </w:r>
      <w:r>
        <w:rPr>
          <w:spacing w:val="40"/>
          <w:sz w:val="24"/>
        </w:rPr>
        <w:t> </w:t>
      </w:r>
      <w:r>
        <w:rPr>
          <w:sz w:val="24"/>
        </w:rPr>
        <w:t>(ICRC) administers two performance evaluations, certification levels for category I-III and certification levels for category IV/V. Both of the performance evaluation categories consists of ethical situational questions, which is called an interview, and a skill-based proficiency test, which will test the candidate's ability to interpret and transliterate interactive settings. Individuals may request testing for category levels I-III or category levels</w:t>
      </w:r>
      <w:r>
        <w:rPr>
          <w:spacing w:val="-3"/>
          <w:sz w:val="24"/>
        </w:rPr>
        <w:t> </w:t>
      </w:r>
      <w:r>
        <w:rPr>
          <w:sz w:val="24"/>
        </w:rPr>
        <w:t>IV/V.</w:t>
      </w:r>
      <w:r>
        <w:rPr>
          <w:spacing w:val="-2"/>
          <w:sz w:val="24"/>
        </w:rPr>
        <w:t> </w:t>
      </w:r>
      <w:r>
        <w:rPr>
          <w:sz w:val="24"/>
        </w:rPr>
        <w:t>A</w:t>
      </w:r>
      <w:r>
        <w:rPr>
          <w:spacing w:val="-3"/>
          <w:sz w:val="24"/>
        </w:rPr>
        <w:t> </w:t>
      </w:r>
      <w:r>
        <w:rPr>
          <w:sz w:val="24"/>
        </w:rPr>
        <w:t>candidate</w:t>
      </w:r>
      <w:r>
        <w:rPr>
          <w:spacing w:val="-3"/>
          <w:sz w:val="24"/>
        </w:rPr>
        <w:t> </w:t>
      </w:r>
      <w:r>
        <w:rPr>
          <w:sz w:val="24"/>
        </w:rPr>
        <w:t>is</w:t>
      </w:r>
      <w:r>
        <w:rPr>
          <w:spacing w:val="-3"/>
          <w:sz w:val="24"/>
        </w:rPr>
        <w:t> </w:t>
      </w:r>
      <w:r>
        <w:rPr>
          <w:sz w:val="24"/>
        </w:rPr>
        <w:t>eligible</w:t>
      </w:r>
      <w:r>
        <w:rPr>
          <w:spacing w:val="-2"/>
          <w:sz w:val="24"/>
        </w:rPr>
        <w:t> </w:t>
      </w:r>
      <w:r>
        <w:rPr>
          <w:sz w:val="24"/>
        </w:rPr>
        <w:t>to</w:t>
      </w:r>
      <w:r>
        <w:rPr>
          <w:spacing w:val="-3"/>
          <w:sz w:val="24"/>
        </w:rPr>
        <w:t> </w:t>
      </w:r>
      <w:r>
        <w:rPr>
          <w:sz w:val="24"/>
        </w:rPr>
        <w:t>apply</w:t>
      </w:r>
      <w:r>
        <w:rPr>
          <w:spacing w:val="-3"/>
          <w:sz w:val="24"/>
        </w:rPr>
        <w:t> </w:t>
      </w:r>
      <w:r>
        <w:rPr>
          <w:sz w:val="24"/>
        </w:rPr>
        <w:t>in</w:t>
      </w:r>
      <w:r>
        <w:rPr>
          <w:spacing w:val="-3"/>
          <w:sz w:val="24"/>
        </w:rPr>
        <w:t> </w:t>
      </w:r>
      <w:r>
        <w:rPr>
          <w:sz w:val="24"/>
        </w:rPr>
        <w:t>the</w:t>
      </w:r>
      <w:r>
        <w:rPr>
          <w:spacing w:val="-3"/>
          <w:sz w:val="24"/>
        </w:rPr>
        <w:t> </w:t>
      </w:r>
      <w:r>
        <w:rPr>
          <w:sz w:val="24"/>
        </w:rPr>
        <w:t>same</w:t>
      </w:r>
      <w:r>
        <w:rPr>
          <w:spacing w:val="-3"/>
          <w:sz w:val="24"/>
        </w:rPr>
        <w:t> </w:t>
      </w:r>
      <w:r>
        <w:rPr>
          <w:sz w:val="24"/>
        </w:rPr>
        <w:t>performance</w:t>
      </w:r>
      <w:r>
        <w:rPr>
          <w:spacing w:val="-4"/>
          <w:sz w:val="24"/>
        </w:rPr>
        <w:t> </w:t>
      </w:r>
      <w:r>
        <w:rPr>
          <w:sz w:val="24"/>
        </w:rPr>
        <w:t>category,</w:t>
      </w:r>
      <w:r>
        <w:rPr>
          <w:spacing w:val="-4"/>
          <w:sz w:val="24"/>
        </w:rPr>
        <w:t> </w:t>
      </w:r>
      <w:r>
        <w:rPr>
          <w:sz w:val="24"/>
        </w:rPr>
        <w:t>I-III</w:t>
      </w:r>
      <w:r>
        <w:rPr>
          <w:spacing w:val="-2"/>
          <w:sz w:val="24"/>
        </w:rPr>
        <w:t> </w:t>
      </w:r>
      <w:r>
        <w:rPr>
          <w:sz w:val="24"/>
        </w:rPr>
        <w:t>or</w:t>
      </w:r>
      <w:r>
        <w:rPr>
          <w:spacing w:val="-4"/>
          <w:sz w:val="24"/>
        </w:rPr>
        <w:t> </w:t>
      </w:r>
      <w:r>
        <w:rPr>
          <w:sz w:val="24"/>
        </w:rPr>
        <w:t>IV- V, in three months from prior testing date. A performance application can be submitted before three months and will be placed on the next available evaluation date after the three months waiting period. If an interpreter obtains a</w:t>
      </w:r>
      <w:r>
        <w:rPr>
          <w:spacing w:val="-1"/>
          <w:sz w:val="24"/>
        </w:rPr>
        <w:t> </w:t>
      </w:r>
      <w:r>
        <w:rPr>
          <w:sz w:val="24"/>
        </w:rPr>
        <w:t>level III in either transliterating or interpreting, he/she is immediately eligible to apply for the IV/V performance. Certification will be granted to an individual whose total score falls within the acceptable range for that level.</w:t>
      </w:r>
    </w:p>
    <w:p>
      <w:pPr>
        <w:pStyle w:val="ListParagraph"/>
        <w:numPr>
          <w:ilvl w:val="0"/>
          <w:numId w:val="295"/>
        </w:numPr>
        <w:tabs>
          <w:tab w:pos="786" w:val="left" w:leader="none"/>
        </w:tabs>
        <w:spacing w:line="208" w:lineRule="auto" w:before="239" w:after="0"/>
        <w:ind w:left="360" w:right="1049" w:firstLine="0"/>
        <w:jc w:val="left"/>
        <w:rPr>
          <w:sz w:val="24"/>
        </w:rPr>
      </w:pPr>
      <w:r>
        <w:rPr>
          <w:b/>
          <w:sz w:val="24"/>
        </w:rPr>
        <w:t>Conflict</w:t>
      </w:r>
      <w:r>
        <w:rPr>
          <w:b/>
          <w:spacing w:val="-4"/>
          <w:sz w:val="24"/>
        </w:rPr>
        <w:t> </w:t>
      </w:r>
      <w:r>
        <w:rPr>
          <w:b/>
          <w:sz w:val="24"/>
        </w:rPr>
        <w:t>of</w:t>
      </w:r>
      <w:r>
        <w:rPr>
          <w:b/>
          <w:spacing w:val="-6"/>
          <w:sz w:val="24"/>
        </w:rPr>
        <w:t> </w:t>
      </w:r>
      <w:r>
        <w:rPr>
          <w:b/>
          <w:sz w:val="24"/>
        </w:rPr>
        <w:t>interest.</w:t>
      </w:r>
      <w:r>
        <w:rPr>
          <w:b/>
          <w:spacing w:val="-4"/>
          <w:sz w:val="24"/>
        </w:rPr>
        <w:t> </w:t>
      </w:r>
      <w:r>
        <w:rPr>
          <w:sz w:val="24"/>
        </w:rPr>
        <w:t>Interpreter</w:t>
      </w:r>
      <w:r>
        <w:rPr>
          <w:spacing w:val="-4"/>
          <w:sz w:val="24"/>
        </w:rPr>
        <w:t> </w:t>
      </w:r>
      <w:r>
        <w:rPr>
          <w:sz w:val="24"/>
        </w:rPr>
        <w:t>certification</w:t>
      </w:r>
      <w:r>
        <w:rPr>
          <w:spacing w:val="-5"/>
          <w:sz w:val="24"/>
        </w:rPr>
        <w:t> </w:t>
      </w:r>
      <w:r>
        <w:rPr>
          <w:sz w:val="24"/>
        </w:rPr>
        <w:t>program</w:t>
      </w:r>
      <w:r>
        <w:rPr>
          <w:spacing w:val="-4"/>
          <w:sz w:val="24"/>
        </w:rPr>
        <w:t> </w:t>
      </w:r>
      <w:r>
        <w:rPr>
          <w:sz w:val="24"/>
        </w:rPr>
        <w:t>staff</w:t>
      </w:r>
      <w:r>
        <w:rPr>
          <w:spacing w:val="-4"/>
          <w:sz w:val="24"/>
        </w:rPr>
        <w:t> </w:t>
      </w:r>
      <w:r>
        <w:rPr>
          <w:sz w:val="24"/>
        </w:rPr>
        <w:t>who</w:t>
      </w:r>
      <w:r>
        <w:rPr>
          <w:spacing w:val="-5"/>
          <w:sz w:val="24"/>
        </w:rPr>
        <w:t> </w:t>
      </w:r>
      <w:r>
        <w:rPr>
          <w:sz w:val="24"/>
        </w:rPr>
        <w:t>select,</w:t>
      </w:r>
      <w:r>
        <w:rPr>
          <w:spacing w:val="-4"/>
          <w:sz w:val="24"/>
        </w:rPr>
        <w:t> </w:t>
      </w:r>
      <w:r>
        <w:rPr>
          <w:sz w:val="24"/>
        </w:rPr>
        <w:t>manage</w:t>
      </w:r>
      <w:r>
        <w:rPr>
          <w:spacing w:val="-5"/>
          <w:sz w:val="24"/>
        </w:rPr>
        <w:t> </w:t>
      </w:r>
      <w:r>
        <w:rPr>
          <w:sz w:val="24"/>
        </w:rPr>
        <w:t>or coordinate the certification process or select evaluators are not eligible to test for Oklahoma interpreter certification through this process.</w:t>
      </w:r>
    </w:p>
    <w:p>
      <w:pPr>
        <w:pStyle w:val="BodyText"/>
        <w:spacing w:before="210"/>
      </w:pPr>
      <w:r>
        <w:rPr/>
        <w:t>Instructions</w:t>
      </w:r>
      <w:r>
        <w:rPr>
          <w:spacing w:val="-5"/>
        </w:rPr>
        <w:t> </w:t>
      </w:r>
      <w:r>
        <w:rPr/>
        <w:t>to</w:t>
      </w:r>
      <w:r>
        <w:rPr>
          <w:spacing w:val="-2"/>
        </w:rPr>
        <w:t> </w:t>
      </w:r>
      <w:r>
        <w:rPr>
          <w:spacing w:val="-4"/>
        </w:rPr>
        <w:t>Staff</w:t>
      </w:r>
    </w:p>
    <w:p>
      <w:pPr>
        <w:pStyle w:val="BodyText"/>
        <w:spacing w:before="204"/>
      </w:pPr>
      <w:r>
        <w:rPr/>
        <w:t>1.</w:t>
      </w:r>
      <w:r>
        <w:rPr>
          <w:spacing w:val="52"/>
          <w:w w:val="150"/>
        </w:rPr>
        <w:t> </w:t>
      </w:r>
      <w:r>
        <w:rPr/>
        <w:t>Evaluations</w:t>
      </w:r>
      <w:r>
        <w:rPr>
          <w:spacing w:val="-3"/>
        </w:rPr>
        <w:t> </w:t>
      </w:r>
      <w:r>
        <w:rPr/>
        <w:t>Components</w:t>
      </w:r>
      <w:r>
        <w:rPr>
          <w:spacing w:val="-3"/>
        </w:rPr>
        <w:t> </w:t>
      </w:r>
      <w:r>
        <w:rPr/>
        <w:t>and</w:t>
      </w:r>
      <w:r>
        <w:rPr>
          <w:spacing w:val="-3"/>
        </w:rPr>
        <w:t> </w:t>
      </w:r>
      <w:r>
        <w:rPr>
          <w:spacing w:val="-2"/>
        </w:rPr>
        <w:t>conditions:</w:t>
      </w:r>
    </w:p>
    <w:p>
      <w:pPr>
        <w:pStyle w:val="BodyText"/>
        <w:spacing w:line="208" w:lineRule="auto" w:before="234"/>
        <w:ind w:left="719" w:right="762"/>
      </w:pPr>
      <w:r>
        <w:rPr/>
        <w:t>The written test will be valid for three (3) years from the passing date only if an individual receives and maintains certification after taking the skill-based performance exam.</w:t>
      </w:r>
      <w:r>
        <w:rPr>
          <w:spacing w:val="-1"/>
        </w:rPr>
        <w:t> </w:t>
      </w:r>
      <w:r>
        <w:rPr/>
        <w:t>If</w:t>
      </w:r>
      <w:r>
        <w:rPr>
          <w:spacing w:val="-1"/>
        </w:rPr>
        <w:t> </w:t>
      </w:r>
      <w:r>
        <w:rPr/>
        <w:t>the performance portion is not taken or certification level is not achieved</w:t>
      </w:r>
      <w:r>
        <w:rPr>
          <w:spacing w:val="-1"/>
        </w:rPr>
        <w:t> </w:t>
      </w:r>
      <w:r>
        <w:rPr/>
        <w:t>in the</w:t>
      </w:r>
      <w:r>
        <w:rPr>
          <w:spacing w:val="-1"/>
        </w:rPr>
        <w:t> </w:t>
      </w:r>
      <w:r>
        <w:rPr/>
        <w:t>3</w:t>
      </w:r>
      <w:r>
        <w:rPr>
          <w:spacing w:val="-1"/>
        </w:rPr>
        <w:t> </w:t>
      </w:r>
      <w:r>
        <w:rPr/>
        <w:t>years</w:t>
      </w:r>
      <w:r>
        <w:rPr>
          <w:spacing w:val="-1"/>
        </w:rPr>
        <w:t> </w:t>
      </w:r>
      <w:r>
        <w:rPr/>
        <w:t>from</w:t>
      </w:r>
      <w:r>
        <w:rPr>
          <w:spacing w:val="-2"/>
        </w:rPr>
        <w:t> </w:t>
      </w:r>
      <w:r>
        <w:rPr/>
        <w:t>the</w:t>
      </w:r>
      <w:r>
        <w:rPr>
          <w:spacing w:val="-2"/>
        </w:rPr>
        <w:t> </w:t>
      </w:r>
      <w:r>
        <w:rPr/>
        <w:t>written</w:t>
      </w:r>
      <w:r>
        <w:rPr>
          <w:spacing w:val="-1"/>
        </w:rPr>
        <w:t> </w:t>
      </w:r>
      <w:r>
        <w:rPr/>
        <w:t>passing</w:t>
      </w:r>
      <w:r>
        <w:rPr>
          <w:spacing w:val="-1"/>
        </w:rPr>
        <w:t> </w:t>
      </w:r>
      <w:r>
        <w:rPr/>
        <w:t>date, an</w:t>
      </w:r>
      <w:r>
        <w:rPr>
          <w:spacing w:val="-1"/>
        </w:rPr>
        <w:t> </w:t>
      </w:r>
      <w:r>
        <w:rPr/>
        <w:t>individual</w:t>
      </w:r>
      <w:r>
        <w:rPr>
          <w:spacing w:val="-1"/>
        </w:rPr>
        <w:t> </w:t>
      </w:r>
      <w:r>
        <w:rPr/>
        <w:t>must re-take</w:t>
      </w:r>
      <w:r>
        <w:rPr>
          <w:spacing w:val="-1"/>
        </w:rPr>
        <w:t> </w:t>
      </w:r>
      <w:r>
        <w:rPr/>
        <w:t>and pass the written test before eligible to take the performance evaluation. If</w:t>
      </w:r>
      <w:r>
        <w:rPr>
          <w:spacing w:val="40"/>
        </w:rPr>
        <w:t> </w:t>
      </w:r>
      <w:r>
        <w:rPr/>
        <w:t>certification becomes invalid for non-compliance with CEUs or </w:t>
      </w:r>
      <w:r>
        <w:rPr>
          <w:strike/>
        </w:rPr>
        <w:t>maintenance</w:t>
      </w:r>
      <w:r>
        <w:rPr>
          <w:strike w:val="0"/>
        </w:rPr>
        <w:t> renewal fees, or failure to submit performance application 160 days prior to level expiring, then an individual must </w:t>
      </w:r>
      <w:r>
        <w:rPr>
          <w:strike/>
        </w:rPr>
        <w:t>re</w:t>
      </w:r>
      <w:r>
        <w:rPr>
          <w:strike w:val="0"/>
        </w:rPr>
        <w:t>-take and pass the written portion before eligible for the </w:t>
      </w:r>
      <w:r>
        <w:rPr>
          <w:strike w:val="0"/>
          <w:spacing w:val="-2"/>
        </w:rPr>
        <w:t>evaluation.</w:t>
      </w:r>
    </w:p>
    <w:p>
      <w:pPr>
        <w:pStyle w:val="BodyText"/>
        <w:spacing w:after="0" w:line="208" w:lineRule="auto"/>
        <w:sectPr>
          <w:pgSz w:w="12240" w:h="15840"/>
          <w:pgMar w:top="1340" w:bottom="280" w:left="1080" w:right="720"/>
        </w:sectPr>
      </w:pPr>
    </w:p>
    <w:p>
      <w:pPr>
        <w:pStyle w:val="BodyText"/>
        <w:spacing w:line="208" w:lineRule="auto" w:before="96"/>
        <w:ind w:left="720" w:right="775"/>
      </w:pPr>
      <w:r>
        <w:rPr/>
        <w:t>If an interpreter's certification becomes invalid twice due to non-compliance with either</w:t>
      </w:r>
      <w:r>
        <w:rPr>
          <w:spacing w:val="-3"/>
        </w:rPr>
        <w:t> </w:t>
      </w:r>
      <w:r>
        <w:rPr/>
        <w:t>of</w:t>
      </w:r>
      <w:r>
        <w:rPr>
          <w:spacing w:val="-3"/>
        </w:rPr>
        <w:t> </w:t>
      </w:r>
      <w:r>
        <w:rPr/>
        <w:t>the</w:t>
      </w:r>
      <w:r>
        <w:rPr>
          <w:spacing w:val="-4"/>
        </w:rPr>
        <w:t> </w:t>
      </w:r>
      <w:r>
        <w:rPr/>
        <w:t>requirements</w:t>
      </w:r>
      <w:r>
        <w:rPr>
          <w:spacing w:val="-4"/>
        </w:rPr>
        <w:t> </w:t>
      </w:r>
      <w:r>
        <w:rPr/>
        <w:t>(satisfying</w:t>
      </w:r>
      <w:r>
        <w:rPr>
          <w:spacing w:val="-4"/>
        </w:rPr>
        <w:t> </w:t>
      </w:r>
      <w:r>
        <w:rPr/>
        <w:t>2</w:t>
      </w:r>
      <w:r>
        <w:rPr>
          <w:spacing w:val="-4"/>
        </w:rPr>
        <w:t> </w:t>
      </w:r>
      <w:r>
        <w:rPr/>
        <w:t>CEU’s</w:t>
      </w:r>
      <w:r>
        <w:rPr>
          <w:spacing w:val="-4"/>
        </w:rPr>
        <w:t> </w:t>
      </w:r>
      <w:r>
        <w:rPr/>
        <w:t>or</w:t>
      </w:r>
      <w:r>
        <w:rPr>
          <w:spacing w:val="-3"/>
        </w:rPr>
        <w:t> </w:t>
      </w:r>
      <w:r>
        <w:rPr/>
        <w:t>renewal</w:t>
      </w:r>
      <w:r>
        <w:rPr>
          <w:spacing w:val="-4"/>
        </w:rPr>
        <w:t> </w:t>
      </w:r>
      <w:r>
        <w:rPr/>
        <w:t>fee),</w:t>
      </w:r>
      <w:r>
        <w:rPr>
          <w:spacing w:val="-3"/>
        </w:rPr>
        <w:t> </w:t>
      </w:r>
      <w:r>
        <w:rPr/>
        <w:t>the</w:t>
      </w:r>
      <w:r>
        <w:rPr>
          <w:spacing w:val="-5"/>
        </w:rPr>
        <w:t> </w:t>
      </w:r>
      <w:r>
        <w:rPr/>
        <w:t>interpreter</w:t>
      </w:r>
      <w:r>
        <w:rPr>
          <w:spacing w:val="-5"/>
        </w:rPr>
        <w:t> </w:t>
      </w:r>
      <w:r>
        <w:rPr/>
        <w:t>will</w:t>
      </w:r>
      <w:r>
        <w:rPr>
          <w:spacing w:val="-4"/>
        </w:rPr>
        <w:t> </w:t>
      </w:r>
      <w:r>
        <w:rPr/>
        <w:t>not be allowed to take the written portion or performance portion until one (1) year from the date of second documented non-compliance.</w:t>
      </w:r>
    </w:p>
    <w:p>
      <w:pPr>
        <w:pStyle w:val="BodyText"/>
        <w:spacing w:line="208" w:lineRule="auto" w:before="239"/>
        <w:ind w:left="720" w:right="775"/>
      </w:pPr>
      <w:r>
        <w:rPr/>
        <w:t>ICRC</w:t>
      </w:r>
      <w:r>
        <w:rPr>
          <w:spacing w:val="-4"/>
        </w:rPr>
        <w:t> </w:t>
      </w:r>
      <w:r>
        <w:rPr/>
        <w:t>can</w:t>
      </w:r>
      <w:r>
        <w:rPr>
          <w:spacing w:val="-4"/>
        </w:rPr>
        <w:t> </w:t>
      </w:r>
      <w:r>
        <w:rPr/>
        <w:t>accept</w:t>
      </w:r>
      <w:r>
        <w:rPr>
          <w:spacing w:val="-3"/>
        </w:rPr>
        <w:t> </w:t>
      </w:r>
      <w:r>
        <w:rPr/>
        <w:t>a</w:t>
      </w:r>
      <w:r>
        <w:rPr>
          <w:spacing w:val="-4"/>
        </w:rPr>
        <w:t> </w:t>
      </w:r>
      <w:r>
        <w:rPr/>
        <w:t>written</w:t>
      </w:r>
      <w:r>
        <w:rPr>
          <w:spacing w:val="-4"/>
        </w:rPr>
        <w:t> </w:t>
      </w:r>
      <w:r>
        <w:rPr/>
        <w:t>exam</w:t>
      </w:r>
      <w:r>
        <w:rPr>
          <w:spacing w:val="-5"/>
        </w:rPr>
        <w:t> </w:t>
      </w:r>
      <w:r>
        <w:rPr/>
        <w:t>reciprocity</w:t>
      </w:r>
      <w:r>
        <w:rPr>
          <w:spacing w:val="-4"/>
        </w:rPr>
        <w:t> </w:t>
      </w:r>
      <w:r>
        <w:rPr/>
        <w:t>from</w:t>
      </w:r>
      <w:r>
        <w:rPr>
          <w:spacing w:val="-3"/>
        </w:rPr>
        <w:t> </w:t>
      </w:r>
      <w:r>
        <w:rPr/>
        <w:t>an</w:t>
      </w:r>
      <w:r>
        <w:rPr>
          <w:spacing w:val="-4"/>
        </w:rPr>
        <w:t> </w:t>
      </w:r>
      <w:r>
        <w:rPr/>
        <w:t>applicant</w:t>
      </w:r>
      <w:r>
        <w:rPr>
          <w:spacing w:val="-3"/>
        </w:rPr>
        <w:t> </w:t>
      </w:r>
      <w:r>
        <w:rPr/>
        <w:t>that</w:t>
      </w:r>
      <w:r>
        <w:rPr>
          <w:spacing w:val="-3"/>
        </w:rPr>
        <w:t> </w:t>
      </w:r>
      <w:r>
        <w:rPr/>
        <w:t>has</w:t>
      </w:r>
      <w:r>
        <w:rPr>
          <w:spacing w:val="-4"/>
        </w:rPr>
        <w:t> </w:t>
      </w:r>
      <w:r>
        <w:rPr/>
        <w:t>successfully passed the NAD-RID Acknowledgment exam or a equivalent written exam that relates to interpreting and Deaf Culture from another certifying state.</w:t>
      </w:r>
    </w:p>
    <w:p>
      <w:pPr>
        <w:pStyle w:val="BodyText"/>
        <w:spacing w:line="208" w:lineRule="auto"/>
        <w:ind w:left="720" w:right="845"/>
        <w:jc w:val="both"/>
      </w:pPr>
      <w:r>
        <w:rPr/>
        <w:t>An</w:t>
      </w:r>
      <w:r>
        <w:rPr>
          <w:spacing w:val="-3"/>
        </w:rPr>
        <w:t> </w:t>
      </w:r>
      <w:r>
        <w:rPr/>
        <w:t>applicant</w:t>
      </w:r>
      <w:r>
        <w:rPr>
          <w:spacing w:val="-2"/>
        </w:rPr>
        <w:t> </w:t>
      </w:r>
      <w:r>
        <w:rPr/>
        <w:t>applying</w:t>
      </w:r>
      <w:r>
        <w:rPr>
          <w:spacing w:val="-2"/>
        </w:rPr>
        <w:t> </w:t>
      </w:r>
      <w:r>
        <w:rPr/>
        <w:t>for</w:t>
      </w:r>
      <w:r>
        <w:rPr>
          <w:spacing w:val="-2"/>
        </w:rPr>
        <w:t> </w:t>
      </w:r>
      <w:r>
        <w:rPr/>
        <w:t>the</w:t>
      </w:r>
      <w:r>
        <w:rPr>
          <w:spacing w:val="-4"/>
        </w:rPr>
        <w:t> </w:t>
      </w:r>
      <w:r>
        <w:rPr/>
        <w:t>first</w:t>
      </w:r>
      <w:r>
        <w:rPr>
          <w:spacing w:val="-5"/>
        </w:rPr>
        <w:t> </w:t>
      </w:r>
      <w:r>
        <w:rPr/>
        <w:t>time</w:t>
      </w:r>
      <w:r>
        <w:rPr>
          <w:spacing w:val="-3"/>
        </w:rPr>
        <w:t> </w:t>
      </w:r>
      <w:r>
        <w:rPr/>
        <w:t>must</w:t>
      </w:r>
      <w:r>
        <w:rPr>
          <w:spacing w:val="-5"/>
        </w:rPr>
        <w:t> </w:t>
      </w:r>
      <w:r>
        <w:rPr/>
        <w:t>provide</w:t>
      </w:r>
      <w:r>
        <w:rPr>
          <w:spacing w:val="-3"/>
        </w:rPr>
        <w:t> </w:t>
      </w:r>
      <w:r>
        <w:rPr/>
        <w:t>proof</w:t>
      </w:r>
      <w:r>
        <w:rPr>
          <w:spacing w:val="-2"/>
        </w:rPr>
        <w:t> </w:t>
      </w:r>
      <w:r>
        <w:rPr/>
        <w:t>of</w:t>
      </w:r>
      <w:r>
        <w:rPr>
          <w:spacing w:val="-4"/>
        </w:rPr>
        <w:t> </w:t>
      </w:r>
      <w:r>
        <w:rPr/>
        <w:t>the</w:t>
      </w:r>
      <w:r>
        <w:rPr>
          <w:spacing w:val="-3"/>
        </w:rPr>
        <w:t> </w:t>
      </w:r>
      <w:r>
        <w:rPr/>
        <w:t>college</w:t>
      </w:r>
      <w:r>
        <w:rPr>
          <w:spacing w:val="-3"/>
        </w:rPr>
        <w:t> </w:t>
      </w:r>
      <w:r>
        <w:rPr/>
        <w:t>credit</w:t>
      </w:r>
      <w:r>
        <w:rPr>
          <w:spacing w:val="-2"/>
        </w:rPr>
        <w:t> </w:t>
      </w:r>
      <w:r>
        <w:rPr/>
        <w:t>hours or the required CEUs, with the performance application and appropriate fee, before the applicant will be scheduled for the skill-based performance evaluation.</w:t>
      </w:r>
    </w:p>
    <w:p>
      <w:pPr>
        <w:pStyle w:val="BodyText"/>
        <w:spacing w:line="208" w:lineRule="auto"/>
        <w:ind w:left="720" w:right="775"/>
      </w:pPr>
      <w:r>
        <w:rPr/>
        <w:t>An applicant may request to be rescheduled three weeks prior to the confirmed scheduled</w:t>
      </w:r>
      <w:r>
        <w:rPr>
          <w:spacing w:val="-4"/>
        </w:rPr>
        <w:t> </w:t>
      </w:r>
      <w:r>
        <w:rPr/>
        <w:t>date</w:t>
      </w:r>
      <w:r>
        <w:rPr>
          <w:spacing w:val="-4"/>
        </w:rPr>
        <w:t> </w:t>
      </w:r>
      <w:r>
        <w:rPr/>
        <w:t>and</w:t>
      </w:r>
      <w:r>
        <w:rPr>
          <w:spacing w:val="-4"/>
        </w:rPr>
        <w:t> </w:t>
      </w:r>
      <w:r>
        <w:rPr/>
        <w:t>may</w:t>
      </w:r>
      <w:r>
        <w:rPr>
          <w:spacing w:val="-4"/>
        </w:rPr>
        <w:t> </w:t>
      </w:r>
      <w:r>
        <w:rPr/>
        <w:t>only</w:t>
      </w:r>
      <w:r>
        <w:rPr>
          <w:spacing w:val="-4"/>
        </w:rPr>
        <w:t> </w:t>
      </w:r>
      <w:r>
        <w:rPr/>
        <w:t>be</w:t>
      </w:r>
      <w:r>
        <w:rPr>
          <w:spacing w:val="-4"/>
        </w:rPr>
        <w:t> </w:t>
      </w:r>
      <w:r>
        <w:rPr/>
        <w:t>rescheduled</w:t>
      </w:r>
      <w:r>
        <w:rPr>
          <w:spacing w:val="-4"/>
        </w:rPr>
        <w:t> </w:t>
      </w:r>
      <w:r>
        <w:rPr/>
        <w:t>once.</w:t>
      </w:r>
      <w:r>
        <w:rPr>
          <w:spacing w:val="40"/>
        </w:rPr>
        <w:t> </w:t>
      </w:r>
      <w:r>
        <w:rPr/>
        <w:t>A</w:t>
      </w:r>
      <w:r>
        <w:rPr>
          <w:spacing w:val="-6"/>
        </w:rPr>
        <w:t> </w:t>
      </w:r>
      <w:r>
        <w:rPr/>
        <w:t>second</w:t>
      </w:r>
      <w:r>
        <w:rPr>
          <w:spacing w:val="-4"/>
        </w:rPr>
        <w:t> </w:t>
      </w:r>
      <w:r>
        <w:rPr/>
        <w:t>rescheduled</w:t>
      </w:r>
      <w:r>
        <w:rPr>
          <w:spacing w:val="-4"/>
        </w:rPr>
        <w:t> </w:t>
      </w:r>
      <w:r>
        <w:rPr/>
        <w:t>request will be considered and granted if documentation can be provided due to an uncontrolled situation.</w:t>
      </w:r>
      <w:r>
        <w:rPr>
          <w:spacing w:val="40"/>
        </w:rPr>
        <w:t> </w:t>
      </w:r>
      <w:r>
        <w:rPr/>
        <w:t>The rescheduled date must be within one year of when the application and fee was first received by ICRC and must be before the certification level(s) expiration date, or fee can be forfeited.</w:t>
      </w:r>
    </w:p>
    <w:p>
      <w:pPr>
        <w:pStyle w:val="BodyText"/>
        <w:spacing w:line="208" w:lineRule="auto" w:before="239"/>
        <w:ind w:left="720" w:right="775"/>
      </w:pPr>
      <w:r>
        <w:rPr/>
        <w:t>If</w:t>
      </w:r>
      <w:r>
        <w:rPr>
          <w:spacing w:val="-2"/>
        </w:rPr>
        <w:t> </w:t>
      </w:r>
      <w:r>
        <w:rPr/>
        <w:t>applicant</w:t>
      </w:r>
      <w:r>
        <w:rPr>
          <w:spacing w:val="-2"/>
        </w:rPr>
        <w:t> </w:t>
      </w:r>
      <w:r>
        <w:rPr/>
        <w:t>is</w:t>
      </w:r>
      <w:r>
        <w:rPr>
          <w:spacing w:val="-3"/>
        </w:rPr>
        <w:t> </w:t>
      </w:r>
      <w:r>
        <w:rPr/>
        <w:t>a</w:t>
      </w:r>
      <w:r>
        <w:rPr>
          <w:spacing w:val="-3"/>
        </w:rPr>
        <w:t> </w:t>
      </w:r>
      <w:r>
        <w:rPr/>
        <w:t>no</w:t>
      </w:r>
      <w:r>
        <w:rPr>
          <w:spacing w:val="-3"/>
        </w:rPr>
        <w:t> </w:t>
      </w:r>
      <w:r>
        <w:rPr/>
        <w:t>show,</w:t>
      </w:r>
      <w:r>
        <w:rPr>
          <w:spacing w:val="-2"/>
        </w:rPr>
        <w:t> </w:t>
      </w:r>
      <w:r>
        <w:rPr/>
        <w:t>without</w:t>
      </w:r>
      <w:r>
        <w:rPr>
          <w:spacing w:val="-2"/>
        </w:rPr>
        <w:t> </w:t>
      </w:r>
      <w:r>
        <w:rPr/>
        <w:t>a</w:t>
      </w:r>
      <w:r>
        <w:rPr>
          <w:spacing w:val="-3"/>
        </w:rPr>
        <w:t> </w:t>
      </w:r>
      <w:r>
        <w:rPr/>
        <w:t>valid</w:t>
      </w:r>
      <w:r>
        <w:rPr>
          <w:spacing w:val="-3"/>
        </w:rPr>
        <w:t> </w:t>
      </w:r>
      <w:r>
        <w:rPr/>
        <w:t>reason</w:t>
      </w:r>
      <w:r>
        <w:rPr>
          <w:spacing w:val="-3"/>
        </w:rPr>
        <w:t> </w:t>
      </w:r>
      <w:r>
        <w:rPr/>
        <w:t>on</w:t>
      </w:r>
      <w:r>
        <w:rPr>
          <w:spacing w:val="-3"/>
        </w:rPr>
        <w:t> </w:t>
      </w:r>
      <w:r>
        <w:rPr/>
        <w:t>the</w:t>
      </w:r>
      <w:r>
        <w:rPr>
          <w:spacing w:val="-3"/>
        </w:rPr>
        <w:t> </w:t>
      </w:r>
      <w:r>
        <w:rPr/>
        <w:t>date</w:t>
      </w:r>
      <w:r>
        <w:rPr>
          <w:spacing w:val="-3"/>
        </w:rPr>
        <w:t> </w:t>
      </w:r>
      <w:r>
        <w:rPr/>
        <w:t>of</w:t>
      </w:r>
      <w:r>
        <w:rPr>
          <w:spacing w:val="-2"/>
        </w:rPr>
        <w:t> </w:t>
      </w:r>
      <w:r>
        <w:rPr/>
        <w:t>evaluation,</w:t>
      </w:r>
      <w:r>
        <w:rPr>
          <w:spacing w:val="-2"/>
        </w:rPr>
        <w:t> </w:t>
      </w:r>
      <w:r>
        <w:rPr/>
        <w:t>the</w:t>
      </w:r>
      <w:r>
        <w:rPr>
          <w:spacing w:val="-3"/>
        </w:rPr>
        <w:t> </w:t>
      </w:r>
      <w:r>
        <w:rPr/>
        <w:t>fee</w:t>
      </w:r>
      <w:r>
        <w:rPr>
          <w:spacing w:val="-3"/>
        </w:rPr>
        <w:t> </w:t>
      </w:r>
      <w:r>
        <w:rPr/>
        <w:t>is forfeited, and the applicant is required to submit a new application and appropriate </w:t>
      </w:r>
      <w:r>
        <w:rPr>
          <w:spacing w:val="-4"/>
        </w:rPr>
        <w:t>fee.</w:t>
      </w:r>
    </w:p>
    <w:p>
      <w:pPr>
        <w:pStyle w:val="BodyText"/>
        <w:spacing w:line="208" w:lineRule="auto"/>
        <w:ind w:left="720" w:right="775"/>
      </w:pPr>
      <w:r>
        <w:rPr/>
        <w:t>If applicant interrupts any of the phases of the performance evaluation procedure and</w:t>
      </w:r>
      <w:r>
        <w:rPr>
          <w:spacing w:val="-5"/>
        </w:rPr>
        <w:t> </w:t>
      </w:r>
      <w:r>
        <w:rPr/>
        <w:t>does</w:t>
      </w:r>
      <w:r>
        <w:rPr>
          <w:spacing w:val="-5"/>
        </w:rPr>
        <w:t> </w:t>
      </w:r>
      <w:r>
        <w:rPr/>
        <w:t>not</w:t>
      </w:r>
      <w:r>
        <w:rPr>
          <w:spacing w:val="-4"/>
        </w:rPr>
        <w:t> </w:t>
      </w:r>
      <w:r>
        <w:rPr/>
        <w:t>continue</w:t>
      </w:r>
      <w:r>
        <w:rPr>
          <w:spacing w:val="-5"/>
        </w:rPr>
        <w:t> </w:t>
      </w:r>
      <w:r>
        <w:rPr/>
        <w:t>with</w:t>
      </w:r>
      <w:r>
        <w:rPr>
          <w:spacing w:val="-5"/>
        </w:rPr>
        <w:t> </w:t>
      </w:r>
      <w:r>
        <w:rPr/>
        <w:t>the</w:t>
      </w:r>
      <w:r>
        <w:rPr>
          <w:spacing w:val="-5"/>
        </w:rPr>
        <w:t> </w:t>
      </w:r>
      <w:r>
        <w:rPr/>
        <w:t>performance,</w:t>
      </w:r>
      <w:r>
        <w:rPr>
          <w:spacing w:val="-6"/>
        </w:rPr>
        <w:t> </w:t>
      </w:r>
      <w:r>
        <w:rPr/>
        <w:t>the</w:t>
      </w:r>
      <w:r>
        <w:rPr>
          <w:spacing w:val="-5"/>
        </w:rPr>
        <w:t> </w:t>
      </w:r>
      <w:r>
        <w:rPr/>
        <w:t>performance/evaluation</w:t>
      </w:r>
      <w:r>
        <w:rPr>
          <w:spacing w:val="-5"/>
        </w:rPr>
        <w:t> </w:t>
      </w:r>
      <w:r>
        <w:rPr/>
        <w:t>becomes null, and fee forfeited. The applicant is required to submit a new application and appropriate fee.</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7-1-</w:t>
      </w:r>
      <w:r>
        <w:rPr>
          <w:spacing w:val="-5"/>
          <w:sz w:val="22"/>
        </w:rPr>
        <w:t>94</w:t>
      </w:r>
      <w:r>
        <w:rPr>
          <w:sz w:val="22"/>
        </w:rPr>
        <w:tab/>
        <w:t>PT</w:t>
      </w:r>
      <w:r>
        <w:rPr>
          <w:spacing w:val="-8"/>
          <w:sz w:val="22"/>
        </w:rPr>
        <w:t> </w:t>
      </w:r>
      <w:r>
        <w:rPr>
          <w:sz w:val="22"/>
        </w:rPr>
        <w:t>Memo</w:t>
      </w:r>
      <w:r>
        <w:rPr>
          <w:spacing w:val="-8"/>
          <w:sz w:val="22"/>
        </w:rPr>
        <w:t> </w:t>
      </w:r>
      <w:r>
        <w:rPr>
          <w:sz w:val="22"/>
        </w:rPr>
        <w:t>#94-</w:t>
      </w:r>
      <w:r>
        <w:rPr>
          <w:spacing w:val="-10"/>
          <w:sz w:val="22"/>
        </w:rPr>
        <w:t>1</w:t>
      </w:r>
    </w:p>
    <w:p>
      <w:pPr>
        <w:tabs>
          <w:tab w:pos="1439" w:val="left" w:leader="none"/>
        </w:tabs>
        <w:spacing w:before="0"/>
        <w:ind w:left="359" w:right="6636"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7-1-96</w:t>
      </w:r>
      <w:r>
        <w:rPr>
          <w:sz w:val="22"/>
        </w:rPr>
        <w:tab/>
        <w:t>PT Memo #96-5</w:t>
      </w:r>
    </w:p>
    <w:p>
      <w:pPr>
        <w:spacing w:before="0"/>
        <w:ind w:left="1439" w:right="1673" w:firstLine="0"/>
        <w:jc w:val="left"/>
        <w:rPr>
          <w:sz w:val="22"/>
        </w:rPr>
      </w:pPr>
      <w:r>
        <w:rPr>
          <w:sz w:val="22"/>
        </w:rPr>
        <w:t>Permanent,</w:t>
      </w:r>
      <w:r>
        <w:rPr>
          <w:spacing w:val="-4"/>
          <w:sz w:val="22"/>
        </w:rPr>
        <w:t> </w:t>
      </w:r>
      <w:r>
        <w:rPr>
          <w:sz w:val="22"/>
        </w:rPr>
        <w:t>conditions</w:t>
      </w:r>
      <w:r>
        <w:rPr>
          <w:spacing w:val="-6"/>
          <w:sz w:val="22"/>
        </w:rPr>
        <w:t> </w:t>
      </w:r>
      <w:r>
        <w:rPr>
          <w:sz w:val="22"/>
        </w:rPr>
        <w:t>under</w:t>
      </w:r>
      <w:r>
        <w:rPr>
          <w:spacing w:val="-5"/>
          <w:sz w:val="22"/>
        </w:rPr>
        <w:t> </w:t>
      </w:r>
      <w:r>
        <w:rPr>
          <w:sz w:val="22"/>
        </w:rPr>
        <w:t>which</w:t>
      </w:r>
      <w:r>
        <w:rPr>
          <w:spacing w:val="-5"/>
          <w:sz w:val="22"/>
        </w:rPr>
        <w:t> </w:t>
      </w:r>
      <w:r>
        <w:rPr>
          <w:sz w:val="22"/>
        </w:rPr>
        <w:t>interpreter</w:t>
      </w:r>
      <w:r>
        <w:rPr>
          <w:spacing w:val="-5"/>
          <w:sz w:val="22"/>
        </w:rPr>
        <w:t> </w:t>
      </w:r>
      <w:r>
        <w:rPr>
          <w:sz w:val="22"/>
        </w:rPr>
        <w:t>candidates</w:t>
      </w:r>
      <w:r>
        <w:rPr>
          <w:spacing w:val="-5"/>
          <w:sz w:val="22"/>
        </w:rPr>
        <w:t> </w:t>
      </w:r>
      <w:r>
        <w:rPr>
          <w:sz w:val="22"/>
        </w:rPr>
        <w:t>may</w:t>
      </w:r>
      <w:r>
        <w:rPr>
          <w:spacing w:val="-5"/>
          <w:sz w:val="22"/>
        </w:rPr>
        <w:t> </w:t>
      </w:r>
      <w:r>
        <w:rPr>
          <w:sz w:val="22"/>
        </w:rPr>
        <w:t>retest</w:t>
      </w:r>
      <w:r>
        <w:rPr>
          <w:spacing w:val="-5"/>
          <w:sz w:val="22"/>
        </w:rPr>
        <w:t> </w:t>
      </w:r>
      <w:r>
        <w:rPr>
          <w:sz w:val="22"/>
        </w:rPr>
        <w:t>were </w:t>
      </w:r>
      <w:r>
        <w:rPr>
          <w:spacing w:val="-2"/>
          <w:sz w:val="22"/>
        </w:rPr>
        <w:t>liberalized.</w:t>
      </w:r>
    </w:p>
    <w:p>
      <w:pPr>
        <w:pStyle w:val="ListParagraph"/>
        <w:numPr>
          <w:ilvl w:val="2"/>
          <w:numId w:val="296"/>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#05-</w:t>
      </w:r>
      <w:r>
        <w:rPr>
          <w:spacing w:val="-5"/>
          <w:sz w:val="22"/>
        </w:rPr>
        <w:t>01</w:t>
      </w:r>
    </w:p>
    <w:p>
      <w:pPr>
        <w:tabs>
          <w:tab w:pos="1439" w:val="left" w:leader="none"/>
        </w:tabs>
        <w:spacing w:before="0"/>
        <w:ind w:left="359" w:right="6038" w:firstLine="1080"/>
        <w:jc w:val="left"/>
        <w:rPr>
          <w:sz w:val="22"/>
        </w:rPr>
      </w:pPr>
      <w:r>
        <w:rPr>
          <w:sz w:val="22"/>
        </w:rPr>
        <w:t>Permanent,</w:t>
      </w:r>
      <w:r>
        <w:rPr>
          <w:spacing w:val="-16"/>
          <w:sz w:val="22"/>
        </w:rPr>
        <w:t> </w:t>
      </w:r>
      <w:r>
        <w:rPr>
          <w:sz w:val="22"/>
        </w:rPr>
        <w:t>updated</w:t>
      </w:r>
      <w:r>
        <w:rPr>
          <w:spacing w:val="-15"/>
          <w:sz w:val="22"/>
        </w:rPr>
        <w:t> </w:t>
      </w:r>
      <w:r>
        <w:rPr>
          <w:sz w:val="22"/>
        </w:rPr>
        <w:t>language </w:t>
      </w:r>
      <w:r>
        <w:rPr>
          <w:spacing w:val="-2"/>
          <w:sz w:val="22"/>
        </w:rPr>
        <w:t>7-1-11</w:t>
      </w:r>
      <w:r>
        <w:rPr>
          <w:sz w:val="22"/>
        </w:rPr>
        <w:tab/>
        <w:t>PT Memo #12-01</w:t>
      </w:r>
    </w:p>
    <w:p>
      <w:pPr>
        <w:tabs>
          <w:tab w:pos="1439" w:val="left" w:leader="none"/>
        </w:tabs>
        <w:spacing w:before="0"/>
        <w:ind w:left="359" w:right="6038" w:firstLine="1080"/>
        <w:jc w:val="left"/>
        <w:rPr>
          <w:sz w:val="22"/>
        </w:rPr>
      </w:pPr>
      <w:r>
        <w:rPr>
          <w:sz w:val="22"/>
        </w:rPr>
        <w:t>Permanent,</w:t>
      </w:r>
      <w:r>
        <w:rPr>
          <w:spacing w:val="-16"/>
          <w:sz w:val="22"/>
        </w:rPr>
        <w:t> </w:t>
      </w:r>
      <w:r>
        <w:rPr>
          <w:sz w:val="22"/>
        </w:rPr>
        <w:t>updated</w:t>
      </w:r>
      <w:r>
        <w:rPr>
          <w:spacing w:val="-15"/>
          <w:sz w:val="22"/>
        </w:rPr>
        <w:t> </w:t>
      </w:r>
      <w:r>
        <w:rPr>
          <w:sz w:val="22"/>
        </w:rPr>
        <w:t>language </w:t>
      </w:r>
      <w:r>
        <w:rPr>
          <w:spacing w:val="-2"/>
          <w:sz w:val="22"/>
        </w:rPr>
        <w:t>9-12-14</w:t>
      </w:r>
      <w:r>
        <w:rPr>
          <w:sz w:val="22"/>
        </w:rPr>
        <w:tab/>
        <w:t>Updated language</w:t>
      </w:r>
    </w:p>
    <w:p>
      <w:pPr>
        <w:tabs>
          <w:tab w:pos="1439" w:val="left" w:leader="none"/>
        </w:tabs>
        <w:spacing w:before="0"/>
        <w:ind w:left="359" w:right="0" w:firstLine="0"/>
        <w:jc w:val="left"/>
        <w:rPr>
          <w:sz w:val="22"/>
        </w:rPr>
      </w:pPr>
      <w:r>
        <w:rPr>
          <w:spacing w:val="-2"/>
          <w:sz w:val="22"/>
        </w:rPr>
        <w:t>9-14-</w:t>
      </w:r>
      <w:r>
        <w:rPr>
          <w:spacing w:val="-5"/>
          <w:sz w:val="22"/>
        </w:rPr>
        <w:t>18</w:t>
      </w:r>
      <w:r>
        <w:rPr>
          <w:sz w:val="22"/>
        </w:rPr>
        <w:tab/>
        <w:t>Updated</w:t>
      </w:r>
      <w:r>
        <w:rPr>
          <w:spacing w:val="-8"/>
          <w:sz w:val="22"/>
        </w:rPr>
        <w:t> </w:t>
      </w:r>
      <w:r>
        <w:rPr>
          <w:sz w:val="22"/>
        </w:rPr>
        <w:t>language</w:t>
      </w:r>
      <w:r>
        <w:rPr>
          <w:spacing w:val="-7"/>
          <w:sz w:val="22"/>
        </w:rPr>
        <w:t> </w:t>
      </w:r>
      <w:r>
        <w:rPr>
          <w:sz w:val="22"/>
        </w:rPr>
        <w:t>to</w:t>
      </w:r>
      <w:r>
        <w:rPr>
          <w:spacing w:val="-7"/>
          <w:sz w:val="22"/>
        </w:rPr>
        <w:t> </w:t>
      </w:r>
      <w:r>
        <w:rPr>
          <w:sz w:val="22"/>
        </w:rPr>
        <w:t>clarify</w:t>
      </w:r>
      <w:r>
        <w:rPr>
          <w:spacing w:val="-7"/>
          <w:sz w:val="22"/>
        </w:rPr>
        <w:t> </w:t>
      </w:r>
      <w:r>
        <w:rPr>
          <w:sz w:val="22"/>
        </w:rPr>
        <w:t>elements</w:t>
      </w:r>
      <w:r>
        <w:rPr>
          <w:spacing w:val="-7"/>
          <w:sz w:val="22"/>
        </w:rPr>
        <w:t> </w:t>
      </w:r>
      <w:r>
        <w:rPr>
          <w:sz w:val="22"/>
        </w:rPr>
        <w:t>in</w:t>
      </w:r>
      <w:r>
        <w:rPr>
          <w:spacing w:val="-8"/>
          <w:sz w:val="22"/>
        </w:rPr>
        <w:t> </w:t>
      </w:r>
      <w:r>
        <w:rPr>
          <w:sz w:val="22"/>
        </w:rPr>
        <w:t>the</w:t>
      </w:r>
      <w:r>
        <w:rPr>
          <w:spacing w:val="-7"/>
          <w:sz w:val="22"/>
        </w:rPr>
        <w:t> </w:t>
      </w:r>
      <w:r>
        <w:rPr>
          <w:sz w:val="22"/>
        </w:rPr>
        <w:t>interpreter</w:t>
      </w:r>
      <w:r>
        <w:rPr>
          <w:spacing w:val="-7"/>
          <w:sz w:val="22"/>
        </w:rPr>
        <w:t> </w:t>
      </w:r>
      <w:r>
        <w:rPr>
          <w:sz w:val="22"/>
        </w:rPr>
        <w:t>evaluation</w:t>
      </w:r>
      <w:r>
        <w:rPr>
          <w:spacing w:val="-7"/>
          <w:sz w:val="22"/>
        </w:rPr>
        <w:t> </w:t>
      </w:r>
      <w:r>
        <w:rPr>
          <w:spacing w:val="-2"/>
          <w:sz w:val="22"/>
        </w:rPr>
        <w:t>process.</w:t>
      </w:r>
    </w:p>
    <w:p>
      <w:pPr>
        <w:spacing w:before="0"/>
        <w:ind w:left="1439" w:right="0" w:firstLine="0"/>
        <w:jc w:val="left"/>
        <w:rPr>
          <w:sz w:val="22"/>
        </w:rPr>
      </w:pPr>
      <w:r>
        <w:rPr>
          <w:sz w:val="22"/>
        </w:rPr>
        <w:t>Updated</w:t>
      </w:r>
      <w:r>
        <w:rPr>
          <w:spacing w:val="-3"/>
          <w:sz w:val="22"/>
        </w:rPr>
        <w:t> </w:t>
      </w:r>
      <w:r>
        <w:rPr>
          <w:sz w:val="22"/>
        </w:rPr>
        <w:t>ITS</w:t>
      </w:r>
      <w:r>
        <w:rPr>
          <w:spacing w:val="-3"/>
          <w:sz w:val="22"/>
        </w:rPr>
        <w:t> </w:t>
      </w:r>
      <w:r>
        <w:rPr>
          <w:sz w:val="22"/>
        </w:rPr>
        <w:t>to</w:t>
      </w:r>
      <w:r>
        <w:rPr>
          <w:spacing w:val="-3"/>
          <w:sz w:val="22"/>
        </w:rPr>
        <w:t> </w:t>
      </w:r>
      <w:r>
        <w:rPr>
          <w:sz w:val="22"/>
        </w:rPr>
        <w:t>reflect</w:t>
      </w:r>
      <w:r>
        <w:rPr>
          <w:spacing w:val="-4"/>
          <w:sz w:val="22"/>
        </w:rPr>
        <w:t> </w:t>
      </w:r>
      <w:r>
        <w:rPr>
          <w:sz w:val="22"/>
        </w:rPr>
        <w:t>new</w:t>
      </w:r>
      <w:r>
        <w:rPr>
          <w:spacing w:val="-4"/>
          <w:sz w:val="22"/>
        </w:rPr>
        <w:t> </w:t>
      </w:r>
      <w:r>
        <w:rPr>
          <w:sz w:val="22"/>
        </w:rPr>
        <w:t>application</w:t>
      </w:r>
      <w:r>
        <w:rPr>
          <w:spacing w:val="-3"/>
          <w:sz w:val="22"/>
        </w:rPr>
        <w:t> </w:t>
      </w:r>
      <w:r>
        <w:rPr>
          <w:sz w:val="22"/>
        </w:rPr>
        <w:t>submission</w:t>
      </w:r>
      <w:r>
        <w:rPr>
          <w:spacing w:val="-3"/>
          <w:sz w:val="22"/>
        </w:rPr>
        <w:t> </w:t>
      </w:r>
      <w:r>
        <w:rPr>
          <w:sz w:val="22"/>
        </w:rPr>
        <w:t>timeframe</w:t>
      </w:r>
      <w:r>
        <w:rPr>
          <w:spacing w:val="-3"/>
          <w:sz w:val="22"/>
        </w:rPr>
        <w:t> </w:t>
      </w:r>
      <w:r>
        <w:rPr>
          <w:sz w:val="22"/>
        </w:rPr>
        <w:t>of</w:t>
      </w:r>
      <w:r>
        <w:rPr>
          <w:spacing w:val="-3"/>
          <w:sz w:val="22"/>
        </w:rPr>
        <w:t> </w:t>
      </w:r>
      <w:r>
        <w:rPr>
          <w:sz w:val="22"/>
        </w:rPr>
        <w:t>90</w:t>
      </w:r>
      <w:r>
        <w:rPr>
          <w:spacing w:val="-3"/>
          <w:sz w:val="22"/>
        </w:rPr>
        <w:t> </w:t>
      </w:r>
      <w:r>
        <w:rPr>
          <w:sz w:val="22"/>
        </w:rPr>
        <w:t>days</w:t>
      </w:r>
      <w:r>
        <w:rPr>
          <w:spacing w:val="-4"/>
          <w:sz w:val="22"/>
        </w:rPr>
        <w:t> </w:t>
      </w:r>
      <w:r>
        <w:rPr>
          <w:sz w:val="22"/>
        </w:rPr>
        <w:t>prior</w:t>
      </w:r>
      <w:r>
        <w:rPr>
          <w:spacing w:val="-3"/>
          <w:sz w:val="22"/>
        </w:rPr>
        <w:t> </w:t>
      </w:r>
      <w:r>
        <w:rPr>
          <w:sz w:val="22"/>
        </w:rPr>
        <w:t>to</w:t>
      </w:r>
      <w:r>
        <w:rPr>
          <w:spacing w:val="-3"/>
          <w:sz w:val="22"/>
        </w:rPr>
        <w:t> </w:t>
      </w:r>
      <w:r>
        <w:rPr>
          <w:sz w:val="22"/>
        </w:rPr>
        <w:t>level </w:t>
      </w:r>
      <w:r>
        <w:rPr>
          <w:spacing w:val="-2"/>
          <w:sz w:val="22"/>
        </w:rPr>
        <w:t>expiring.</w:t>
      </w:r>
    </w:p>
    <w:p>
      <w:pPr>
        <w:pStyle w:val="ListParagraph"/>
        <w:numPr>
          <w:ilvl w:val="2"/>
          <w:numId w:val="297"/>
        </w:numPr>
        <w:tabs>
          <w:tab w:pos="1439" w:val="left" w:leader="none"/>
        </w:tabs>
        <w:spacing w:line="240" w:lineRule="auto" w:before="0" w:after="0"/>
        <w:ind w:left="1439" w:right="1124" w:hanging="1080"/>
        <w:jc w:val="left"/>
        <w:rPr>
          <w:sz w:val="22"/>
        </w:rPr>
      </w:pPr>
      <w:r>
        <w:rPr>
          <w:sz w:val="22"/>
        </w:rPr>
        <w:t>Revised</w:t>
      </w:r>
      <w:r>
        <w:rPr>
          <w:spacing w:val="-5"/>
          <w:sz w:val="22"/>
        </w:rPr>
        <w:t> </w:t>
      </w:r>
      <w:r>
        <w:rPr>
          <w:sz w:val="22"/>
        </w:rPr>
        <w:t>language</w:t>
      </w:r>
      <w:r>
        <w:rPr>
          <w:spacing w:val="-5"/>
          <w:sz w:val="22"/>
        </w:rPr>
        <w:t> </w:t>
      </w:r>
      <w:r>
        <w:rPr>
          <w:sz w:val="22"/>
        </w:rPr>
        <w:t>replacing</w:t>
      </w:r>
      <w:r>
        <w:rPr>
          <w:spacing w:val="-5"/>
          <w:sz w:val="22"/>
        </w:rPr>
        <w:t> </w:t>
      </w:r>
      <w:r>
        <w:rPr>
          <w:sz w:val="22"/>
        </w:rPr>
        <w:t>“Oklahoma</w:t>
      </w:r>
      <w:r>
        <w:rPr>
          <w:spacing w:val="-5"/>
          <w:sz w:val="22"/>
        </w:rPr>
        <w:t> </w:t>
      </w:r>
      <w:r>
        <w:rPr>
          <w:sz w:val="22"/>
        </w:rPr>
        <w:t>QAST</w:t>
      </w:r>
      <w:r>
        <w:rPr>
          <w:spacing w:val="-4"/>
          <w:sz w:val="22"/>
        </w:rPr>
        <w:t> </w:t>
      </w:r>
      <w:r>
        <w:rPr>
          <w:sz w:val="22"/>
        </w:rPr>
        <w:t>Ethical</w:t>
      </w:r>
      <w:r>
        <w:rPr>
          <w:spacing w:val="-5"/>
          <w:sz w:val="22"/>
        </w:rPr>
        <w:t> </w:t>
      </w:r>
      <w:r>
        <w:rPr>
          <w:sz w:val="22"/>
        </w:rPr>
        <w:t>Standards”</w:t>
      </w:r>
      <w:r>
        <w:rPr>
          <w:spacing w:val="-5"/>
          <w:sz w:val="22"/>
        </w:rPr>
        <w:t> </w:t>
      </w:r>
      <w:r>
        <w:rPr>
          <w:sz w:val="22"/>
        </w:rPr>
        <w:t>with</w:t>
      </w:r>
      <w:r>
        <w:rPr>
          <w:spacing w:val="-5"/>
          <w:sz w:val="22"/>
        </w:rPr>
        <w:t> </w:t>
      </w:r>
      <w:r>
        <w:rPr>
          <w:sz w:val="22"/>
        </w:rPr>
        <w:t>“NAD-RID Code of Professional Conduct” under Section (a).</w:t>
      </w:r>
    </w:p>
    <w:p>
      <w:pPr>
        <w:pStyle w:val="ListParagraph"/>
        <w:numPr>
          <w:ilvl w:val="2"/>
          <w:numId w:val="297"/>
        </w:numPr>
        <w:tabs>
          <w:tab w:pos="1439" w:val="left" w:leader="none"/>
        </w:tabs>
        <w:spacing w:line="240" w:lineRule="auto" w:before="0" w:after="0"/>
        <w:ind w:left="1439" w:right="0" w:hanging="1080"/>
        <w:jc w:val="left"/>
        <w:rPr>
          <w:sz w:val="22"/>
        </w:rPr>
      </w:pPr>
      <w:r>
        <w:rPr>
          <w:sz w:val="22"/>
        </w:rPr>
        <w:t>Language</w:t>
      </w:r>
      <w:r>
        <w:rPr>
          <w:spacing w:val="-7"/>
          <w:sz w:val="22"/>
        </w:rPr>
        <w:t> </w:t>
      </w:r>
      <w:r>
        <w:rPr>
          <w:sz w:val="22"/>
        </w:rPr>
        <w:t>revision</w:t>
      </w:r>
      <w:r>
        <w:rPr>
          <w:spacing w:val="-6"/>
          <w:sz w:val="22"/>
        </w:rPr>
        <w:t> </w:t>
      </w:r>
      <w:r>
        <w:rPr>
          <w:sz w:val="22"/>
        </w:rPr>
        <w:t>to</w:t>
      </w:r>
      <w:r>
        <w:rPr>
          <w:spacing w:val="-6"/>
          <w:sz w:val="22"/>
        </w:rPr>
        <w:t> </w:t>
      </w:r>
      <w:r>
        <w:rPr>
          <w:sz w:val="22"/>
        </w:rPr>
        <w:t>(a)</w:t>
      </w:r>
      <w:r>
        <w:rPr>
          <w:spacing w:val="-7"/>
          <w:sz w:val="22"/>
        </w:rPr>
        <w:t> </w:t>
      </w:r>
      <w:r>
        <w:rPr>
          <w:sz w:val="22"/>
        </w:rPr>
        <w:t>provides</w:t>
      </w:r>
      <w:r>
        <w:rPr>
          <w:spacing w:val="-6"/>
          <w:sz w:val="22"/>
        </w:rPr>
        <w:t> </w:t>
      </w:r>
      <w:r>
        <w:rPr>
          <w:sz w:val="22"/>
        </w:rPr>
        <w:t>age</w:t>
      </w:r>
      <w:r>
        <w:rPr>
          <w:spacing w:val="-6"/>
          <w:sz w:val="22"/>
        </w:rPr>
        <w:t> </w:t>
      </w:r>
      <w:r>
        <w:rPr>
          <w:sz w:val="22"/>
        </w:rPr>
        <w:t>requirement</w:t>
      </w:r>
      <w:r>
        <w:rPr>
          <w:spacing w:val="-6"/>
          <w:sz w:val="22"/>
        </w:rPr>
        <w:t> </w:t>
      </w:r>
      <w:r>
        <w:rPr>
          <w:sz w:val="22"/>
        </w:rPr>
        <w:t>to</w:t>
      </w:r>
      <w:r>
        <w:rPr>
          <w:spacing w:val="-7"/>
          <w:sz w:val="22"/>
        </w:rPr>
        <w:t> </w:t>
      </w:r>
      <w:r>
        <w:rPr>
          <w:sz w:val="22"/>
        </w:rPr>
        <w:t>take</w:t>
      </w:r>
      <w:r>
        <w:rPr>
          <w:spacing w:val="-6"/>
          <w:sz w:val="22"/>
        </w:rPr>
        <w:t> </w:t>
      </w:r>
      <w:r>
        <w:rPr>
          <w:sz w:val="22"/>
        </w:rPr>
        <w:t>the</w:t>
      </w:r>
      <w:r>
        <w:rPr>
          <w:spacing w:val="-6"/>
          <w:sz w:val="22"/>
        </w:rPr>
        <w:t> </w:t>
      </w:r>
      <w:r>
        <w:rPr>
          <w:sz w:val="22"/>
        </w:rPr>
        <w:t>written</w:t>
      </w:r>
      <w:r>
        <w:rPr>
          <w:spacing w:val="-7"/>
          <w:sz w:val="22"/>
        </w:rPr>
        <w:t> </w:t>
      </w:r>
      <w:r>
        <w:rPr>
          <w:spacing w:val="-2"/>
          <w:sz w:val="22"/>
        </w:rPr>
        <w:t>examination.</w:t>
      </w:r>
    </w:p>
    <w:p>
      <w:pPr>
        <w:spacing w:before="0"/>
        <w:ind w:left="1439" w:right="739" w:firstLine="0"/>
        <w:jc w:val="left"/>
        <w:rPr>
          <w:sz w:val="22"/>
        </w:rPr>
      </w:pPr>
      <w:r>
        <w:rPr>
          <w:sz w:val="22"/>
        </w:rPr>
        <w:t>Eligibility to take the skill-based interpreter performance evaluation is at least 30 credit</w:t>
      </w:r>
      <w:r>
        <w:rPr>
          <w:spacing w:val="-3"/>
          <w:sz w:val="22"/>
        </w:rPr>
        <w:t> </w:t>
      </w:r>
      <w:r>
        <w:rPr>
          <w:sz w:val="22"/>
        </w:rPr>
        <w:t>hours</w:t>
      </w:r>
      <w:r>
        <w:rPr>
          <w:spacing w:val="-4"/>
          <w:sz w:val="22"/>
        </w:rPr>
        <w:t> </w:t>
      </w:r>
      <w:r>
        <w:rPr>
          <w:sz w:val="22"/>
        </w:rPr>
        <w:t>from</w:t>
      </w:r>
      <w:r>
        <w:rPr>
          <w:spacing w:val="-4"/>
          <w:sz w:val="22"/>
        </w:rPr>
        <w:t> </w:t>
      </w:r>
      <w:r>
        <w:rPr>
          <w:sz w:val="22"/>
        </w:rPr>
        <w:t>an</w:t>
      </w:r>
      <w:r>
        <w:rPr>
          <w:spacing w:val="-3"/>
          <w:sz w:val="22"/>
        </w:rPr>
        <w:t> </w:t>
      </w:r>
      <w:r>
        <w:rPr>
          <w:sz w:val="22"/>
        </w:rPr>
        <w:t>accredited</w:t>
      </w:r>
      <w:r>
        <w:rPr>
          <w:spacing w:val="-3"/>
          <w:sz w:val="22"/>
        </w:rPr>
        <w:t> </w:t>
      </w:r>
      <w:r>
        <w:rPr>
          <w:sz w:val="22"/>
        </w:rPr>
        <w:t>college</w:t>
      </w:r>
      <w:r>
        <w:rPr>
          <w:spacing w:val="-3"/>
          <w:sz w:val="22"/>
        </w:rPr>
        <w:t> </w:t>
      </w:r>
      <w:r>
        <w:rPr>
          <w:sz w:val="22"/>
        </w:rPr>
        <w:t>or</w:t>
      </w:r>
      <w:r>
        <w:rPr>
          <w:spacing w:val="-3"/>
          <w:sz w:val="22"/>
        </w:rPr>
        <w:t> </w:t>
      </w:r>
      <w:r>
        <w:rPr>
          <w:sz w:val="22"/>
        </w:rPr>
        <w:t>university,</w:t>
      </w:r>
      <w:r>
        <w:rPr>
          <w:spacing w:val="-3"/>
          <w:sz w:val="22"/>
        </w:rPr>
        <w:t> </w:t>
      </w:r>
      <w:r>
        <w:rPr>
          <w:sz w:val="22"/>
        </w:rPr>
        <w:t>with</w:t>
      </w:r>
      <w:r>
        <w:rPr>
          <w:spacing w:val="-3"/>
          <w:sz w:val="22"/>
        </w:rPr>
        <w:t> </w:t>
      </w:r>
      <w:r>
        <w:rPr>
          <w:sz w:val="22"/>
        </w:rPr>
        <w:t>a</w:t>
      </w:r>
      <w:r>
        <w:rPr>
          <w:spacing w:val="-4"/>
          <w:sz w:val="22"/>
        </w:rPr>
        <w:t> </w:t>
      </w:r>
      <w:r>
        <w:rPr>
          <w:sz w:val="22"/>
        </w:rPr>
        <w:t>cumulative</w:t>
      </w:r>
      <w:r>
        <w:rPr>
          <w:spacing w:val="-3"/>
          <w:sz w:val="22"/>
        </w:rPr>
        <w:t> </w:t>
      </w:r>
      <w:r>
        <w:rPr>
          <w:sz w:val="22"/>
        </w:rPr>
        <w:t>GPA</w:t>
      </w:r>
      <w:r>
        <w:rPr>
          <w:spacing w:val="-3"/>
          <w:sz w:val="22"/>
        </w:rPr>
        <w:t> </w:t>
      </w:r>
      <w:r>
        <w:rPr>
          <w:sz w:val="22"/>
        </w:rPr>
        <w:t>of</w:t>
      </w:r>
      <w:r>
        <w:rPr>
          <w:spacing w:val="-3"/>
          <w:sz w:val="22"/>
        </w:rPr>
        <w:t> </w:t>
      </w:r>
      <w:r>
        <w:rPr>
          <w:sz w:val="22"/>
        </w:rPr>
        <w:t>2.0</w:t>
      </w:r>
      <w:r>
        <w:rPr>
          <w:spacing w:val="-3"/>
          <w:sz w:val="22"/>
        </w:rPr>
        <w:t> </w:t>
      </w:r>
      <w:r>
        <w:rPr>
          <w:sz w:val="22"/>
        </w:rPr>
        <w:t>or higher. Increase the 2-year certification term to three years before certification </w:t>
      </w:r>
      <w:r>
        <w:rPr>
          <w:spacing w:val="-2"/>
          <w:sz w:val="22"/>
        </w:rPr>
        <w:t>expires.</w:t>
      </w:r>
    </w:p>
    <w:p>
      <w:pPr>
        <w:spacing w:after="0"/>
        <w:jc w:val="left"/>
        <w:rPr>
          <w:sz w:val="22"/>
        </w:rPr>
        <w:sectPr>
          <w:pgSz w:w="12240" w:h="15840"/>
          <w:pgMar w:top="1340" w:bottom="280" w:left="1080" w:right="720"/>
        </w:sectPr>
      </w:pPr>
    </w:p>
    <w:p>
      <w:pPr>
        <w:pStyle w:val="Heading2"/>
      </w:pPr>
      <w:bookmarkStart w:name="612:10-13-17.  Evaluation team" w:id="292"/>
      <w:bookmarkEnd w:id="292"/>
      <w:r>
        <w:rPr>
          <w:b w:val="0"/>
        </w:rPr>
      </w:r>
      <w:r>
        <w:rPr/>
        <w:t>612:10-13-17.</w:t>
      </w:r>
      <w:r>
        <w:rPr>
          <w:spacing w:val="57"/>
        </w:rPr>
        <w:t> </w:t>
      </w:r>
      <w:r>
        <w:rPr/>
        <w:t>Evaluation</w:t>
      </w:r>
      <w:r>
        <w:rPr>
          <w:spacing w:val="-5"/>
        </w:rPr>
        <w:t> </w:t>
      </w:r>
      <w:r>
        <w:rPr>
          <w:spacing w:val="-4"/>
        </w:rPr>
        <w:t>team</w:t>
      </w:r>
    </w:p>
    <w:p>
      <w:pPr>
        <w:pStyle w:val="BodyText"/>
        <w:spacing w:line="208" w:lineRule="auto" w:before="233"/>
        <w:ind w:right="735" w:firstLine="432"/>
      </w:pPr>
      <w:r>
        <w:rPr/>
        <w:t>The evaluation team will consist of three trained evaluators, with effort given to one deaf or hard of hearing evaluator on the panel. Hearing evaluators of the evaluation team must hold a recognized national certification or an ICRC level V/V. </w:t>
      </w:r>
      <w:r>
        <w:rPr>
          <w:b/>
        </w:rPr>
        <w:t>1 </w:t>
      </w:r>
      <w:r>
        <w:rPr/>
        <w:t>Either certification must be in good standing with the certifying body for a minimum of one</w:t>
      </w:r>
      <w:r>
        <w:rPr>
          <w:spacing w:val="40"/>
        </w:rPr>
        <w:t> </w:t>
      </w:r>
      <w:r>
        <w:rPr/>
        <w:t>year.</w:t>
      </w:r>
      <w:r>
        <w:rPr>
          <w:spacing w:val="-3"/>
        </w:rPr>
        <w:t> </w:t>
      </w:r>
      <w:r>
        <w:rPr/>
        <w:t>The</w:t>
      </w:r>
      <w:r>
        <w:rPr>
          <w:spacing w:val="-4"/>
        </w:rPr>
        <w:t> </w:t>
      </w:r>
      <w:r>
        <w:rPr/>
        <w:t>evaluators</w:t>
      </w:r>
      <w:r>
        <w:rPr>
          <w:spacing w:val="-4"/>
        </w:rPr>
        <w:t> </w:t>
      </w:r>
      <w:r>
        <w:rPr/>
        <w:t>must</w:t>
      </w:r>
      <w:r>
        <w:rPr>
          <w:spacing w:val="-3"/>
        </w:rPr>
        <w:t> </w:t>
      </w:r>
      <w:r>
        <w:rPr/>
        <w:t>attend</w:t>
      </w:r>
      <w:r>
        <w:rPr>
          <w:spacing w:val="-4"/>
        </w:rPr>
        <w:t> </w:t>
      </w:r>
      <w:r>
        <w:rPr/>
        <w:t>the</w:t>
      </w:r>
      <w:r>
        <w:rPr>
          <w:spacing w:val="-4"/>
        </w:rPr>
        <w:t> </w:t>
      </w:r>
      <w:r>
        <w:rPr/>
        <w:t>ICRC</w:t>
      </w:r>
      <w:r>
        <w:rPr>
          <w:spacing w:val="-4"/>
        </w:rPr>
        <w:t> </w:t>
      </w:r>
      <w:r>
        <w:rPr/>
        <w:t>evaluation</w:t>
      </w:r>
      <w:r>
        <w:rPr>
          <w:spacing w:val="-3"/>
        </w:rPr>
        <w:t> </w:t>
      </w:r>
      <w:r>
        <w:rPr/>
        <w:t>trainings,</w:t>
      </w:r>
      <w:r>
        <w:rPr>
          <w:spacing w:val="-3"/>
        </w:rPr>
        <w:t> </w:t>
      </w:r>
      <w:r>
        <w:rPr/>
        <w:t>participate</w:t>
      </w:r>
      <w:r>
        <w:rPr>
          <w:spacing w:val="-4"/>
        </w:rPr>
        <w:t> </w:t>
      </w:r>
      <w:r>
        <w:rPr/>
        <w:t>in</w:t>
      </w:r>
      <w:r>
        <w:rPr>
          <w:spacing w:val="-3"/>
        </w:rPr>
        <w:t> </w:t>
      </w:r>
      <w:r>
        <w:rPr/>
        <w:t>interpreter evaluations annually, and have a current contract on file with the State Department of Rehabilitation Services. Evaluation team members will be selected from a list of</w:t>
      </w:r>
      <w:r>
        <w:rPr>
          <w:spacing w:val="40"/>
        </w:rPr>
        <w:t> </w:t>
      </w:r>
      <w:r>
        <w:rPr/>
        <w:t>qualified individuals prepared by the Department.</w:t>
      </w:r>
    </w:p>
    <w:p>
      <w:pPr>
        <w:pStyle w:val="BodyText"/>
        <w:spacing w:before="210"/>
      </w:pPr>
      <w:r>
        <w:rPr/>
        <w:t>INSTRUCTIONS</w:t>
      </w:r>
      <w:r>
        <w:rPr>
          <w:spacing w:val="-3"/>
        </w:rPr>
        <w:t> </w:t>
      </w:r>
      <w:r>
        <w:rPr/>
        <w:t>TO</w:t>
      </w:r>
      <w:r>
        <w:rPr>
          <w:spacing w:val="-2"/>
        </w:rPr>
        <w:t> </w:t>
      </w:r>
      <w:r>
        <w:rPr>
          <w:spacing w:val="-4"/>
        </w:rPr>
        <w:t>STAFF</w:t>
      </w:r>
    </w:p>
    <w:p>
      <w:pPr>
        <w:pStyle w:val="ListParagraph"/>
        <w:numPr>
          <w:ilvl w:val="3"/>
          <w:numId w:val="297"/>
        </w:numPr>
        <w:tabs>
          <w:tab w:pos="1077" w:val="left" w:leader="none"/>
        </w:tabs>
        <w:spacing w:line="208" w:lineRule="auto" w:before="233" w:after="0"/>
        <w:ind w:left="791" w:right="1615" w:firstLine="0"/>
        <w:jc w:val="left"/>
        <w:rPr>
          <w:sz w:val="24"/>
        </w:rPr>
      </w:pPr>
      <w:r>
        <w:rPr>
          <w:sz w:val="24"/>
        </w:rPr>
        <w:t>Deaf or hard of hearing evaluators of the evaluation team should hold a nationally</w:t>
      </w:r>
      <w:r>
        <w:rPr>
          <w:spacing w:val="-4"/>
          <w:sz w:val="24"/>
        </w:rPr>
        <w:t> </w:t>
      </w:r>
      <w:r>
        <w:rPr>
          <w:sz w:val="24"/>
        </w:rPr>
        <w:t>recognized</w:t>
      </w:r>
      <w:r>
        <w:rPr>
          <w:spacing w:val="-4"/>
          <w:sz w:val="24"/>
        </w:rPr>
        <w:t> </w:t>
      </w:r>
      <w:r>
        <w:rPr>
          <w:sz w:val="24"/>
        </w:rPr>
        <w:t>certification</w:t>
      </w:r>
      <w:r>
        <w:rPr>
          <w:spacing w:val="-4"/>
          <w:sz w:val="24"/>
        </w:rPr>
        <w:t> </w:t>
      </w:r>
      <w:r>
        <w:rPr>
          <w:sz w:val="24"/>
        </w:rPr>
        <w:t>and</w:t>
      </w:r>
      <w:r>
        <w:rPr>
          <w:spacing w:val="-4"/>
          <w:sz w:val="24"/>
        </w:rPr>
        <w:t> </w:t>
      </w:r>
      <w:r>
        <w:rPr>
          <w:sz w:val="24"/>
        </w:rPr>
        <w:t>must</w:t>
      </w:r>
      <w:r>
        <w:rPr>
          <w:spacing w:val="-5"/>
          <w:sz w:val="24"/>
        </w:rPr>
        <w:t> </w:t>
      </w:r>
      <w:r>
        <w:rPr>
          <w:sz w:val="24"/>
        </w:rPr>
        <w:t>be</w:t>
      </w:r>
      <w:r>
        <w:rPr>
          <w:spacing w:val="-4"/>
          <w:sz w:val="24"/>
        </w:rPr>
        <w:t> </w:t>
      </w:r>
      <w:r>
        <w:rPr>
          <w:sz w:val="24"/>
        </w:rPr>
        <w:t>bilingual</w:t>
      </w:r>
      <w:r>
        <w:rPr>
          <w:spacing w:val="-3"/>
          <w:sz w:val="24"/>
        </w:rPr>
        <w:t> </w:t>
      </w:r>
      <w:r>
        <w:rPr>
          <w:sz w:val="24"/>
        </w:rPr>
        <w:t>in</w:t>
      </w:r>
      <w:r>
        <w:rPr>
          <w:spacing w:val="-4"/>
          <w:sz w:val="24"/>
        </w:rPr>
        <w:t> </w:t>
      </w:r>
      <w:r>
        <w:rPr>
          <w:sz w:val="24"/>
        </w:rPr>
        <w:t>ASL</w:t>
      </w:r>
      <w:r>
        <w:rPr>
          <w:spacing w:val="-4"/>
          <w:sz w:val="24"/>
        </w:rPr>
        <w:t> </w:t>
      </w:r>
      <w:r>
        <w:rPr>
          <w:sz w:val="24"/>
        </w:rPr>
        <w:t>and</w:t>
      </w:r>
      <w:r>
        <w:rPr>
          <w:spacing w:val="-4"/>
          <w:sz w:val="24"/>
        </w:rPr>
        <w:t> </w:t>
      </w:r>
      <w:r>
        <w:rPr>
          <w:sz w:val="24"/>
        </w:rPr>
        <w:t>English.</w:t>
      </w:r>
    </w:p>
    <w:p>
      <w:pPr>
        <w:pStyle w:val="ListParagraph"/>
        <w:numPr>
          <w:ilvl w:val="3"/>
          <w:numId w:val="297"/>
        </w:numPr>
        <w:tabs>
          <w:tab w:pos="1077" w:val="left" w:leader="none"/>
        </w:tabs>
        <w:spacing w:line="240" w:lineRule="auto" w:before="211" w:after="0"/>
        <w:ind w:left="1077" w:right="0" w:hanging="286"/>
        <w:jc w:val="left"/>
        <w:rPr>
          <w:sz w:val="24"/>
        </w:rPr>
      </w:pPr>
      <w:r>
        <w:rPr>
          <w:sz w:val="24"/>
        </w:rPr>
        <w:t>If</w:t>
      </w:r>
      <w:r>
        <w:rPr>
          <w:spacing w:val="-2"/>
          <w:sz w:val="24"/>
        </w:rPr>
        <w:t> </w:t>
      </w:r>
      <w:r>
        <w:rPr>
          <w:sz w:val="24"/>
        </w:rPr>
        <w:t>not</w:t>
      </w:r>
      <w:r>
        <w:rPr>
          <w:spacing w:val="-3"/>
          <w:sz w:val="24"/>
        </w:rPr>
        <w:t> </w:t>
      </w:r>
      <w:r>
        <w:rPr>
          <w:sz w:val="24"/>
        </w:rPr>
        <w:t>active,</w:t>
      </w:r>
      <w:r>
        <w:rPr>
          <w:spacing w:val="-2"/>
          <w:sz w:val="24"/>
        </w:rPr>
        <w:t> </w:t>
      </w:r>
      <w:r>
        <w:rPr>
          <w:sz w:val="24"/>
        </w:rPr>
        <w:t>must</w:t>
      </w:r>
      <w:r>
        <w:rPr>
          <w:spacing w:val="-3"/>
          <w:sz w:val="24"/>
        </w:rPr>
        <w:t> </w:t>
      </w:r>
      <w:r>
        <w:rPr>
          <w:sz w:val="24"/>
        </w:rPr>
        <w:t>reapply</w:t>
      </w:r>
      <w:r>
        <w:rPr>
          <w:spacing w:val="-3"/>
          <w:sz w:val="24"/>
        </w:rPr>
        <w:t> </w:t>
      </w:r>
      <w:r>
        <w:rPr>
          <w:sz w:val="24"/>
        </w:rPr>
        <w:t>to</w:t>
      </w:r>
      <w:r>
        <w:rPr>
          <w:spacing w:val="-2"/>
          <w:sz w:val="24"/>
        </w:rPr>
        <w:t> </w:t>
      </w:r>
      <w:r>
        <w:rPr>
          <w:sz w:val="24"/>
        </w:rPr>
        <w:t>be</w:t>
      </w:r>
      <w:r>
        <w:rPr>
          <w:spacing w:val="-3"/>
          <w:sz w:val="24"/>
        </w:rPr>
        <w:t> </w:t>
      </w:r>
      <w:r>
        <w:rPr>
          <w:sz w:val="24"/>
        </w:rPr>
        <w:t>considered</w:t>
      </w:r>
      <w:r>
        <w:rPr>
          <w:spacing w:val="-2"/>
          <w:sz w:val="24"/>
        </w:rPr>
        <w:t> </w:t>
      </w:r>
      <w:r>
        <w:rPr>
          <w:sz w:val="24"/>
        </w:rPr>
        <w:t>for</w:t>
      </w:r>
      <w:r>
        <w:rPr>
          <w:spacing w:val="-2"/>
          <w:sz w:val="24"/>
        </w:rPr>
        <w:t> </w:t>
      </w:r>
      <w:r>
        <w:rPr>
          <w:sz w:val="24"/>
        </w:rPr>
        <w:t>evaluation</w:t>
      </w:r>
      <w:r>
        <w:rPr>
          <w:spacing w:val="-2"/>
          <w:sz w:val="24"/>
        </w:rPr>
        <w:t> training.</w:t>
      </w:r>
    </w:p>
    <w:p>
      <w:pPr>
        <w:spacing w:before="237"/>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298"/>
        </w:numPr>
        <w:tabs>
          <w:tab w:pos="1529" w:val="left" w:leader="none"/>
        </w:tabs>
        <w:spacing w:line="253" w:lineRule="exact" w:before="0" w:after="0"/>
        <w:ind w:left="1529" w:right="0" w:hanging="1169"/>
        <w:jc w:val="left"/>
        <w:rPr>
          <w:sz w:val="22"/>
        </w:rPr>
      </w:pPr>
      <w:r>
        <w:rPr>
          <w:sz w:val="22"/>
        </w:rPr>
        <w:t>PT</w:t>
      </w:r>
      <w:r>
        <w:rPr>
          <w:spacing w:val="-8"/>
          <w:sz w:val="22"/>
        </w:rPr>
        <w:t> </w:t>
      </w:r>
      <w:r>
        <w:rPr>
          <w:sz w:val="22"/>
        </w:rPr>
        <w:t>Memo</w:t>
      </w:r>
      <w:r>
        <w:rPr>
          <w:spacing w:val="-8"/>
          <w:sz w:val="22"/>
        </w:rPr>
        <w:t> </w:t>
      </w:r>
      <w:r>
        <w:rPr>
          <w:sz w:val="22"/>
        </w:rPr>
        <w:t>#94-</w:t>
      </w:r>
      <w:r>
        <w:rPr>
          <w:spacing w:val="-10"/>
          <w:sz w:val="22"/>
        </w:rPr>
        <w:t>1</w:t>
      </w:r>
    </w:p>
    <w:p>
      <w:pPr>
        <w:tabs>
          <w:tab w:pos="1439" w:val="left" w:leader="none"/>
        </w:tabs>
        <w:spacing w:before="0"/>
        <w:ind w:left="360" w:right="6636"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7-1-04</w:t>
      </w:r>
      <w:r>
        <w:rPr>
          <w:sz w:val="22"/>
        </w:rPr>
        <w:tab/>
        <w:t>PT Memo #05-01</w:t>
      </w:r>
    </w:p>
    <w:p>
      <w:pPr>
        <w:tabs>
          <w:tab w:pos="1439" w:val="left" w:leader="none"/>
        </w:tabs>
        <w:spacing w:before="0"/>
        <w:ind w:left="360" w:right="6038" w:firstLine="1080"/>
        <w:jc w:val="left"/>
        <w:rPr>
          <w:sz w:val="22"/>
        </w:rPr>
      </w:pPr>
      <w:r>
        <w:rPr>
          <w:sz w:val="22"/>
        </w:rPr>
        <w:t>Permanent,</w:t>
      </w:r>
      <w:r>
        <w:rPr>
          <w:spacing w:val="-16"/>
          <w:sz w:val="22"/>
        </w:rPr>
        <w:t> </w:t>
      </w:r>
      <w:r>
        <w:rPr>
          <w:sz w:val="22"/>
        </w:rPr>
        <w:t>updated</w:t>
      </w:r>
      <w:r>
        <w:rPr>
          <w:spacing w:val="-15"/>
          <w:sz w:val="22"/>
        </w:rPr>
        <w:t> </w:t>
      </w:r>
      <w:r>
        <w:rPr>
          <w:sz w:val="22"/>
        </w:rPr>
        <w:t>language </w:t>
      </w:r>
      <w:r>
        <w:rPr>
          <w:spacing w:val="-2"/>
          <w:sz w:val="22"/>
        </w:rPr>
        <w:t>7-1-11</w:t>
      </w:r>
      <w:r>
        <w:rPr>
          <w:sz w:val="22"/>
        </w:rPr>
        <w:tab/>
        <w:t>PT Memo #12-01</w:t>
      </w:r>
    </w:p>
    <w:p>
      <w:pPr>
        <w:spacing w:before="0"/>
        <w:ind w:left="1439" w:right="0" w:firstLine="0"/>
        <w:jc w:val="left"/>
        <w:rPr>
          <w:sz w:val="22"/>
        </w:rPr>
      </w:pPr>
      <w:r>
        <w:rPr>
          <w:sz w:val="22"/>
        </w:rPr>
        <w:t>Permanent,</w:t>
      </w:r>
      <w:r>
        <w:rPr>
          <w:spacing w:val="-10"/>
          <w:sz w:val="22"/>
        </w:rPr>
        <w:t> </w:t>
      </w:r>
      <w:r>
        <w:rPr>
          <w:sz w:val="22"/>
        </w:rPr>
        <w:t>updated</w:t>
      </w:r>
      <w:r>
        <w:rPr>
          <w:spacing w:val="-11"/>
          <w:sz w:val="22"/>
        </w:rPr>
        <w:t> </w:t>
      </w:r>
      <w:r>
        <w:rPr>
          <w:spacing w:val="-2"/>
          <w:sz w:val="22"/>
        </w:rPr>
        <w:t>language</w:t>
      </w:r>
    </w:p>
    <w:p>
      <w:pPr>
        <w:tabs>
          <w:tab w:pos="1439" w:val="left" w:leader="none"/>
        </w:tabs>
        <w:spacing w:before="1"/>
        <w:ind w:left="360" w:right="0" w:firstLine="0"/>
        <w:jc w:val="left"/>
        <w:rPr>
          <w:sz w:val="22"/>
        </w:rPr>
      </w:pPr>
      <w:r>
        <w:rPr>
          <w:spacing w:val="-2"/>
          <w:sz w:val="22"/>
        </w:rPr>
        <w:t>9-14-</w:t>
      </w:r>
      <w:r>
        <w:rPr>
          <w:spacing w:val="-5"/>
          <w:sz w:val="22"/>
        </w:rPr>
        <w:t>18</w:t>
      </w:r>
      <w:r>
        <w:rPr>
          <w:sz w:val="22"/>
        </w:rPr>
        <w:tab/>
        <w:t>Updated</w:t>
      </w:r>
      <w:r>
        <w:rPr>
          <w:spacing w:val="-8"/>
          <w:sz w:val="22"/>
        </w:rPr>
        <w:t> </w:t>
      </w:r>
      <w:r>
        <w:rPr>
          <w:sz w:val="22"/>
        </w:rPr>
        <w:t>the</w:t>
      </w:r>
      <w:r>
        <w:rPr>
          <w:spacing w:val="-7"/>
          <w:sz w:val="22"/>
        </w:rPr>
        <w:t> </w:t>
      </w:r>
      <w:r>
        <w:rPr>
          <w:sz w:val="22"/>
        </w:rPr>
        <w:t>interpreter</w:t>
      </w:r>
      <w:r>
        <w:rPr>
          <w:spacing w:val="-9"/>
          <w:sz w:val="22"/>
        </w:rPr>
        <w:t> </w:t>
      </w:r>
      <w:r>
        <w:rPr>
          <w:sz w:val="22"/>
        </w:rPr>
        <w:t>evaluation</w:t>
      </w:r>
      <w:r>
        <w:rPr>
          <w:spacing w:val="-8"/>
          <w:sz w:val="22"/>
        </w:rPr>
        <w:t> </w:t>
      </w:r>
      <w:r>
        <w:rPr>
          <w:sz w:val="22"/>
        </w:rPr>
        <w:t>team</w:t>
      </w:r>
      <w:r>
        <w:rPr>
          <w:spacing w:val="-8"/>
          <w:sz w:val="22"/>
        </w:rPr>
        <w:t> </w:t>
      </w:r>
      <w:r>
        <w:rPr>
          <w:sz w:val="22"/>
        </w:rPr>
        <w:t>and</w:t>
      </w:r>
      <w:r>
        <w:rPr>
          <w:spacing w:val="-8"/>
          <w:sz w:val="22"/>
        </w:rPr>
        <w:t> </w:t>
      </w:r>
      <w:r>
        <w:rPr>
          <w:sz w:val="22"/>
        </w:rPr>
        <w:t>qualifications</w:t>
      </w:r>
      <w:r>
        <w:rPr>
          <w:spacing w:val="-7"/>
          <w:sz w:val="22"/>
        </w:rPr>
        <w:t> </w:t>
      </w:r>
      <w:r>
        <w:rPr>
          <w:sz w:val="22"/>
        </w:rPr>
        <w:t>for</w:t>
      </w:r>
      <w:r>
        <w:rPr>
          <w:spacing w:val="-7"/>
          <w:sz w:val="22"/>
        </w:rPr>
        <w:t> </w:t>
      </w:r>
      <w:r>
        <w:rPr>
          <w:sz w:val="22"/>
        </w:rPr>
        <w:t>team</w:t>
      </w:r>
      <w:r>
        <w:rPr>
          <w:spacing w:val="-9"/>
          <w:sz w:val="22"/>
        </w:rPr>
        <w:t> </w:t>
      </w:r>
      <w:r>
        <w:rPr>
          <w:spacing w:val="-2"/>
          <w:sz w:val="22"/>
        </w:rPr>
        <w:t>members.</w:t>
      </w:r>
    </w:p>
    <w:p>
      <w:pPr>
        <w:spacing w:before="0"/>
        <w:ind w:left="1440" w:right="775" w:hanging="1"/>
        <w:jc w:val="left"/>
        <w:rPr>
          <w:sz w:val="22"/>
        </w:rPr>
      </w:pPr>
      <w:r>
        <w:rPr>
          <w:sz w:val="22"/>
        </w:rPr>
        <w:t>Updated</w:t>
      </w:r>
      <w:r>
        <w:rPr>
          <w:spacing w:val="-5"/>
          <w:sz w:val="22"/>
        </w:rPr>
        <w:t> </w:t>
      </w:r>
      <w:r>
        <w:rPr>
          <w:sz w:val="22"/>
        </w:rPr>
        <w:t>ITS</w:t>
      </w:r>
      <w:r>
        <w:rPr>
          <w:spacing w:val="-5"/>
          <w:sz w:val="22"/>
        </w:rPr>
        <w:t> </w:t>
      </w:r>
      <w:r>
        <w:rPr>
          <w:sz w:val="22"/>
        </w:rPr>
        <w:t>removing</w:t>
      </w:r>
      <w:r>
        <w:rPr>
          <w:spacing w:val="-5"/>
          <w:sz w:val="22"/>
        </w:rPr>
        <w:t> </w:t>
      </w:r>
      <w:r>
        <w:rPr>
          <w:sz w:val="22"/>
        </w:rPr>
        <w:t>hearing</w:t>
      </w:r>
      <w:r>
        <w:rPr>
          <w:spacing w:val="-5"/>
          <w:sz w:val="22"/>
        </w:rPr>
        <w:t> </w:t>
      </w:r>
      <w:r>
        <w:rPr>
          <w:sz w:val="22"/>
        </w:rPr>
        <w:t>evaluator</w:t>
      </w:r>
      <w:r>
        <w:rPr>
          <w:sz w:val="24"/>
        </w:rPr>
        <w:t>'</w:t>
      </w:r>
      <w:r>
        <w:rPr>
          <w:sz w:val="22"/>
        </w:rPr>
        <w:t>s</w:t>
      </w:r>
      <w:r>
        <w:rPr>
          <w:spacing w:val="-5"/>
          <w:sz w:val="22"/>
        </w:rPr>
        <w:t> </w:t>
      </w:r>
      <w:r>
        <w:rPr>
          <w:sz w:val="22"/>
        </w:rPr>
        <w:t>certifications</w:t>
      </w:r>
      <w:r>
        <w:rPr>
          <w:spacing w:val="-5"/>
          <w:sz w:val="22"/>
        </w:rPr>
        <w:t> </w:t>
      </w:r>
      <w:r>
        <w:rPr>
          <w:sz w:val="22"/>
        </w:rPr>
        <w:t>language.</w:t>
      </w:r>
      <w:r>
        <w:rPr>
          <w:spacing w:val="-5"/>
          <w:sz w:val="22"/>
        </w:rPr>
        <w:t> </w:t>
      </w:r>
      <w:r>
        <w:rPr>
          <w:sz w:val="22"/>
        </w:rPr>
        <w:t>Added</w:t>
      </w:r>
      <w:r>
        <w:rPr>
          <w:spacing w:val="-5"/>
          <w:sz w:val="22"/>
        </w:rPr>
        <w:t> </w:t>
      </w:r>
      <w:r>
        <w:rPr>
          <w:sz w:val="22"/>
        </w:rPr>
        <w:t>“hard</w:t>
      </w:r>
      <w:r>
        <w:rPr>
          <w:spacing w:val="-5"/>
          <w:sz w:val="22"/>
        </w:rPr>
        <w:t> </w:t>
      </w:r>
      <w:r>
        <w:rPr>
          <w:sz w:val="22"/>
        </w:rPr>
        <w:t>of hearing” language.</w:t>
      </w:r>
    </w:p>
    <w:p>
      <w:pPr>
        <w:spacing w:after="0"/>
        <w:jc w:val="left"/>
        <w:rPr>
          <w:sz w:val="22"/>
        </w:rPr>
        <w:sectPr>
          <w:pgSz w:w="12240" w:h="15840"/>
          <w:pgMar w:top="1340" w:bottom="280" w:left="1080" w:right="720"/>
        </w:sectPr>
      </w:pPr>
    </w:p>
    <w:p>
      <w:pPr>
        <w:pStyle w:val="Heading2"/>
        <w:spacing w:before="80"/>
        <w:jc w:val="both"/>
      </w:pPr>
      <w:bookmarkStart w:name="612:10-13-18.  Fees" w:id="293"/>
      <w:bookmarkEnd w:id="293"/>
      <w:r>
        <w:rPr>
          <w:b w:val="0"/>
        </w:rPr>
      </w:r>
      <w:r>
        <w:rPr/>
        <w:t>612:10-13-18.</w:t>
      </w:r>
      <w:r>
        <w:rPr>
          <w:spacing w:val="56"/>
        </w:rPr>
        <w:t> </w:t>
      </w:r>
      <w:r>
        <w:rPr>
          <w:spacing w:val="-4"/>
        </w:rPr>
        <w:t>Fees</w:t>
      </w:r>
    </w:p>
    <w:p>
      <w:pPr>
        <w:pStyle w:val="ListParagraph"/>
        <w:numPr>
          <w:ilvl w:val="0"/>
          <w:numId w:val="299"/>
        </w:numPr>
        <w:tabs>
          <w:tab w:pos="786" w:val="left" w:leader="none"/>
        </w:tabs>
        <w:spacing w:line="259" w:lineRule="auto" w:before="183" w:after="0"/>
        <w:ind w:left="360" w:right="871" w:firstLine="0"/>
        <w:jc w:val="left"/>
        <w:rPr>
          <w:sz w:val="24"/>
        </w:rPr>
      </w:pPr>
      <w:r>
        <w:rPr>
          <w:sz w:val="24"/>
        </w:rPr>
        <w:t>A fee will be charged to each applicant who applies for the written test and performance evaluation for state certification of an interpreter for the deaf. A yearly certification renewal fee will also be charged. Individuals failing to timely pay the renewal fee must submit a reinstatement fee and the annual certification renewal fee along</w:t>
      </w:r>
      <w:r>
        <w:rPr>
          <w:spacing w:val="-3"/>
          <w:sz w:val="24"/>
        </w:rPr>
        <w:t> </w:t>
      </w:r>
      <w:r>
        <w:rPr>
          <w:sz w:val="24"/>
        </w:rPr>
        <w:t>with</w:t>
      </w:r>
      <w:r>
        <w:rPr>
          <w:spacing w:val="-3"/>
          <w:sz w:val="24"/>
        </w:rPr>
        <w:t> </w:t>
      </w:r>
      <w:r>
        <w:rPr>
          <w:sz w:val="24"/>
        </w:rPr>
        <w:t>the</w:t>
      </w:r>
      <w:r>
        <w:rPr>
          <w:spacing w:val="-3"/>
          <w:sz w:val="24"/>
        </w:rPr>
        <w:t> </w:t>
      </w:r>
      <w:r>
        <w:rPr>
          <w:sz w:val="24"/>
        </w:rPr>
        <w:t>application</w:t>
      </w:r>
      <w:r>
        <w:rPr>
          <w:spacing w:val="-3"/>
          <w:sz w:val="24"/>
        </w:rPr>
        <w:t> </w:t>
      </w:r>
      <w:r>
        <w:rPr>
          <w:sz w:val="24"/>
        </w:rPr>
        <w:t>for</w:t>
      </w:r>
      <w:r>
        <w:rPr>
          <w:spacing w:val="-2"/>
          <w:sz w:val="24"/>
        </w:rPr>
        <w:t> </w:t>
      </w:r>
      <w:r>
        <w:rPr>
          <w:sz w:val="24"/>
        </w:rPr>
        <w:t>reinstatement.</w:t>
      </w:r>
      <w:r>
        <w:rPr>
          <w:spacing w:val="-4"/>
          <w:sz w:val="24"/>
        </w:rPr>
        <w:t> </w:t>
      </w:r>
      <w:r>
        <w:rPr>
          <w:sz w:val="24"/>
        </w:rPr>
        <w:t>The</w:t>
      </w:r>
      <w:r>
        <w:rPr>
          <w:spacing w:val="-3"/>
          <w:sz w:val="24"/>
        </w:rPr>
        <w:t> </w:t>
      </w:r>
      <w:r>
        <w:rPr>
          <w:sz w:val="24"/>
        </w:rPr>
        <w:t>fee</w:t>
      </w:r>
      <w:r>
        <w:rPr>
          <w:spacing w:val="-3"/>
          <w:sz w:val="24"/>
        </w:rPr>
        <w:t> </w:t>
      </w:r>
      <w:r>
        <w:rPr>
          <w:sz w:val="24"/>
        </w:rPr>
        <w:t>structure</w:t>
      </w:r>
      <w:r>
        <w:rPr>
          <w:spacing w:val="-3"/>
          <w:sz w:val="24"/>
        </w:rPr>
        <w:t> </w:t>
      </w:r>
      <w:r>
        <w:rPr>
          <w:sz w:val="24"/>
        </w:rPr>
        <w:t>will</w:t>
      </w:r>
      <w:r>
        <w:rPr>
          <w:spacing w:val="-3"/>
          <w:sz w:val="24"/>
        </w:rPr>
        <w:t> </w:t>
      </w:r>
      <w:r>
        <w:rPr>
          <w:sz w:val="24"/>
        </w:rPr>
        <w:t>be</w:t>
      </w:r>
      <w:r>
        <w:rPr>
          <w:spacing w:val="-3"/>
          <w:sz w:val="24"/>
        </w:rPr>
        <w:t> </w:t>
      </w:r>
      <w:r>
        <w:rPr>
          <w:sz w:val="24"/>
        </w:rPr>
        <w:t>based</w:t>
      </w:r>
      <w:r>
        <w:rPr>
          <w:spacing w:val="-3"/>
          <w:sz w:val="24"/>
        </w:rPr>
        <w:t> </w:t>
      </w:r>
      <w:r>
        <w:rPr>
          <w:sz w:val="24"/>
        </w:rPr>
        <w:t>on</w:t>
      </w:r>
      <w:r>
        <w:rPr>
          <w:spacing w:val="-2"/>
          <w:sz w:val="24"/>
        </w:rPr>
        <w:t> </w:t>
      </w:r>
      <w:r>
        <w:rPr>
          <w:sz w:val="24"/>
        </w:rPr>
        <w:t>the</w:t>
      </w:r>
      <w:r>
        <w:rPr>
          <w:spacing w:val="-3"/>
          <w:sz w:val="24"/>
        </w:rPr>
        <w:t> </w:t>
      </w:r>
      <w:r>
        <w:rPr>
          <w:sz w:val="24"/>
        </w:rPr>
        <w:t>cost of the evaluations, materials and certificate maintenance program.</w:t>
      </w:r>
    </w:p>
    <w:p>
      <w:pPr>
        <w:pStyle w:val="ListParagraph"/>
        <w:numPr>
          <w:ilvl w:val="0"/>
          <w:numId w:val="299"/>
        </w:numPr>
        <w:tabs>
          <w:tab w:pos="786" w:val="left" w:leader="none"/>
        </w:tabs>
        <w:spacing w:line="240" w:lineRule="auto" w:before="158" w:after="0"/>
        <w:ind w:left="786" w:right="0" w:hanging="426"/>
        <w:jc w:val="both"/>
        <w:rPr>
          <w:sz w:val="24"/>
        </w:rPr>
      </w:pPr>
      <w:r>
        <w:rPr>
          <w:sz w:val="24"/>
        </w:rPr>
        <w:t>The</w:t>
      </w:r>
      <w:r>
        <w:rPr>
          <w:spacing w:val="-6"/>
          <w:sz w:val="24"/>
        </w:rPr>
        <w:t> </w:t>
      </w:r>
      <w:r>
        <w:rPr>
          <w:sz w:val="24"/>
        </w:rPr>
        <w:t>fee</w:t>
      </w:r>
      <w:r>
        <w:rPr>
          <w:spacing w:val="-2"/>
          <w:sz w:val="24"/>
        </w:rPr>
        <w:t> </w:t>
      </w:r>
      <w:r>
        <w:rPr>
          <w:sz w:val="24"/>
        </w:rPr>
        <w:t>for</w:t>
      </w:r>
      <w:r>
        <w:rPr>
          <w:spacing w:val="-4"/>
          <w:sz w:val="24"/>
        </w:rPr>
        <w:t> </w:t>
      </w:r>
      <w:r>
        <w:rPr>
          <w:sz w:val="24"/>
        </w:rPr>
        <w:t>the</w:t>
      </w:r>
      <w:r>
        <w:rPr>
          <w:spacing w:val="-2"/>
          <w:sz w:val="24"/>
        </w:rPr>
        <w:t> </w:t>
      </w:r>
      <w:r>
        <w:rPr>
          <w:sz w:val="24"/>
        </w:rPr>
        <w:t>written</w:t>
      </w:r>
      <w:r>
        <w:rPr>
          <w:spacing w:val="-2"/>
          <w:sz w:val="24"/>
        </w:rPr>
        <w:t> </w:t>
      </w:r>
      <w:r>
        <w:rPr>
          <w:sz w:val="24"/>
        </w:rPr>
        <w:t>test</w:t>
      </w:r>
      <w:r>
        <w:rPr>
          <w:spacing w:val="-4"/>
          <w:sz w:val="24"/>
        </w:rPr>
        <w:t> </w:t>
      </w:r>
      <w:r>
        <w:rPr>
          <w:sz w:val="24"/>
        </w:rPr>
        <w:t>is</w:t>
      </w:r>
      <w:r>
        <w:rPr>
          <w:spacing w:val="-3"/>
          <w:sz w:val="24"/>
        </w:rPr>
        <w:t> </w:t>
      </w:r>
      <w:r>
        <w:rPr>
          <w:sz w:val="24"/>
        </w:rPr>
        <w:t>$50.00.</w:t>
      </w:r>
      <w:r>
        <w:rPr>
          <w:spacing w:val="-2"/>
          <w:sz w:val="24"/>
        </w:rPr>
        <w:t> </w:t>
      </w:r>
      <w:r>
        <w:rPr>
          <w:sz w:val="24"/>
        </w:rPr>
        <w:t>The</w:t>
      </w:r>
      <w:r>
        <w:rPr>
          <w:spacing w:val="-2"/>
          <w:sz w:val="24"/>
        </w:rPr>
        <w:t> </w:t>
      </w:r>
      <w:r>
        <w:rPr>
          <w:sz w:val="24"/>
        </w:rPr>
        <w:t>fee</w:t>
      </w:r>
      <w:r>
        <w:rPr>
          <w:spacing w:val="-2"/>
          <w:sz w:val="24"/>
        </w:rPr>
        <w:t> </w:t>
      </w:r>
      <w:r>
        <w:rPr>
          <w:sz w:val="24"/>
        </w:rPr>
        <w:t>for</w:t>
      </w:r>
      <w:r>
        <w:rPr>
          <w:spacing w:val="-4"/>
          <w:sz w:val="24"/>
        </w:rPr>
        <w:t> </w:t>
      </w:r>
      <w:r>
        <w:rPr>
          <w:sz w:val="24"/>
        </w:rPr>
        <w:t>performance</w:t>
      </w:r>
      <w:r>
        <w:rPr>
          <w:spacing w:val="-3"/>
          <w:sz w:val="24"/>
        </w:rPr>
        <w:t> </w:t>
      </w:r>
      <w:r>
        <w:rPr>
          <w:sz w:val="24"/>
        </w:rPr>
        <w:t>evaluation</w:t>
      </w:r>
      <w:r>
        <w:rPr>
          <w:spacing w:val="-2"/>
          <w:sz w:val="24"/>
        </w:rPr>
        <w:t> </w:t>
      </w:r>
      <w:r>
        <w:rPr>
          <w:spacing w:val="-5"/>
          <w:sz w:val="24"/>
        </w:rPr>
        <w:t>is</w:t>
      </w:r>
    </w:p>
    <w:p>
      <w:pPr>
        <w:pStyle w:val="BodyText"/>
        <w:spacing w:before="0"/>
        <w:ind w:right="978"/>
        <w:jc w:val="both"/>
      </w:pPr>
      <w:r>
        <w:rPr/>
        <w:t>$125.00.</w:t>
      </w:r>
      <w:r>
        <w:rPr>
          <w:spacing w:val="-3"/>
        </w:rPr>
        <w:t> </w:t>
      </w:r>
      <w:r>
        <w:rPr/>
        <w:t>The</w:t>
      </w:r>
      <w:r>
        <w:rPr>
          <w:spacing w:val="-4"/>
        </w:rPr>
        <w:t> </w:t>
      </w:r>
      <w:r>
        <w:rPr/>
        <w:t>yearly</w:t>
      </w:r>
      <w:r>
        <w:rPr>
          <w:spacing w:val="-4"/>
        </w:rPr>
        <w:t> </w:t>
      </w:r>
      <w:r>
        <w:rPr/>
        <w:t>certification</w:t>
      </w:r>
      <w:r>
        <w:rPr>
          <w:spacing w:val="-4"/>
        </w:rPr>
        <w:t> </w:t>
      </w:r>
      <w:r>
        <w:rPr/>
        <w:t>renewal</w:t>
      </w:r>
      <w:r>
        <w:rPr>
          <w:spacing w:val="-4"/>
        </w:rPr>
        <w:t> </w:t>
      </w:r>
      <w:r>
        <w:rPr/>
        <w:t>fee</w:t>
      </w:r>
      <w:r>
        <w:rPr>
          <w:spacing w:val="-4"/>
        </w:rPr>
        <w:t> </w:t>
      </w:r>
      <w:r>
        <w:rPr/>
        <w:t>is</w:t>
      </w:r>
      <w:r>
        <w:rPr>
          <w:spacing w:val="-4"/>
        </w:rPr>
        <w:t> </w:t>
      </w:r>
      <w:r>
        <w:rPr/>
        <w:t>$50.00.</w:t>
      </w:r>
      <w:r>
        <w:rPr>
          <w:spacing w:val="-3"/>
        </w:rPr>
        <w:t> </w:t>
      </w:r>
      <w:r>
        <w:rPr/>
        <w:t>The</w:t>
      </w:r>
      <w:r>
        <w:rPr>
          <w:spacing w:val="-4"/>
        </w:rPr>
        <w:t> </w:t>
      </w:r>
      <w:r>
        <w:rPr/>
        <w:t>certification</w:t>
      </w:r>
      <w:r>
        <w:rPr>
          <w:spacing w:val="-4"/>
        </w:rPr>
        <w:t> </w:t>
      </w:r>
      <w:r>
        <w:rPr/>
        <w:t>reinstatement fee</w:t>
      </w:r>
      <w:r>
        <w:rPr>
          <w:spacing w:val="-2"/>
        </w:rPr>
        <w:t> </w:t>
      </w:r>
      <w:r>
        <w:rPr/>
        <w:t>is</w:t>
      </w:r>
      <w:r>
        <w:rPr>
          <w:spacing w:val="-2"/>
        </w:rPr>
        <w:t> </w:t>
      </w:r>
      <w:r>
        <w:rPr/>
        <w:t>$100.</w:t>
      </w:r>
      <w:r>
        <w:rPr>
          <w:spacing w:val="-1"/>
        </w:rPr>
        <w:t> </w:t>
      </w:r>
      <w:r>
        <w:rPr/>
        <w:t>Out</w:t>
      </w:r>
      <w:r>
        <w:rPr>
          <w:spacing w:val="-1"/>
        </w:rPr>
        <w:t> </w:t>
      </w:r>
      <w:r>
        <w:rPr/>
        <w:t>of</w:t>
      </w:r>
      <w:r>
        <w:rPr>
          <w:spacing w:val="-3"/>
        </w:rPr>
        <w:t> </w:t>
      </w:r>
      <w:r>
        <w:rPr/>
        <w:t>state</w:t>
      </w:r>
      <w:r>
        <w:rPr>
          <w:spacing w:val="-2"/>
        </w:rPr>
        <w:t> </w:t>
      </w:r>
      <w:r>
        <w:rPr/>
        <w:t>residents</w:t>
      </w:r>
      <w:r>
        <w:rPr>
          <w:spacing w:val="-2"/>
        </w:rPr>
        <w:t> </w:t>
      </w:r>
      <w:r>
        <w:rPr/>
        <w:t>may</w:t>
      </w:r>
      <w:r>
        <w:rPr>
          <w:spacing w:val="-2"/>
        </w:rPr>
        <w:t> </w:t>
      </w:r>
      <w:r>
        <w:rPr/>
        <w:t>take</w:t>
      </w:r>
      <w:r>
        <w:rPr>
          <w:spacing w:val="-3"/>
        </w:rPr>
        <w:t> </w:t>
      </w:r>
      <w:r>
        <w:rPr/>
        <w:t>the</w:t>
      </w:r>
      <w:r>
        <w:rPr>
          <w:spacing w:val="-2"/>
        </w:rPr>
        <w:t> </w:t>
      </w:r>
      <w:r>
        <w:rPr/>
        <w:t>written</w:t>
      </w:r>
      <w:r>
        <w:rPr>
          <w:spacing w:val="-3"/>
        </w:rPr>
        <w:t> </w:t>
      </w:r>
      <w:r>
        <w:rPr/>
        <w:t>test</w:t>
      </w:r>
      <w:r>
        <w:rPr>
          <w:spacing w:val="-1"/>
        </w:rPr>
        <w:t> </w:t>
      </w:r>
      <w:r>
        <w:rPr/>
        <w:t>and</w:t>
      </w:r>
      <w:r>
        <w:rPr>
          <w:spacing w:val="-2"/>
        </w:rPr>
        <w:t> </w:t>
      </w:r>
      <w:r>
        <w:rPr/>
        <w:t>interpreter</w:t>
      </w:r>
      <w:r>
        <w:rPr>
          <w:spacing w:val="-1"/>
        </w:rPr>
        <w:t> </w:t>
      </w:r>
      <w:r>
        <w:rPr/>
        <w:t>skill-based performance for double the fee.</w:t>
      </w:r>
    </w:p>
    <w:p>
      <w:pPr>
        <w:pStyle w:val="BodyText"/>
        <w:spacing w:before="0"/>
        <w:ind w:left="0"/>
      </w:pPr>
    </w:p>
    <w:p>
      <w:pPr>
        <w:pStyle w:val="BodyText"/>
        <w:spacing w:before="0"/>
        <w:jc w:val="both"/>
      </w:pPr>
      <w:r>
        <w:rPr/>
        <w:t>Instructions</w:t>
      </w:r>
      <w:r>
        <w:rPr>
          <w:spacing w:val="-5"/>
        </w:rPr>
        <w:t> </w:t>
      </w:r>
      <w:r>
        <w:rPr/>
        <w:t>to</w:t>
      </w:r>
      <w:r>
        <w:rPr>
          <w:spacing w:val="-2"/>
        </w:rPr>
        <w:t> </w:t>
      </w:r>
      <w:r>
        <w:rPr>
          <w:spacing w:val="-4"/>
        </w:rPr>
        <w:t>Staff</w:t>
      </w:r>
    </w:p>
    <w:p>
      <w:pPr>
        <w:pStyle w:val="BodyText"/>
        <w:spacing w:before="0"/>
        <w:ind w:left="0"/>
      </w:pPr>
    </w:p>
    <w:p>
      <w:pPr>
        <w:pStyle w:val="BodyText"/>
        <w:spacing w:before="0"/>
        <w:ind w:left="359" w:right="775"/>
      </w:pPr>
      <w:r>
        <w:rPr/>
        <w:t>The sign language interpreter’s written test, interpreter skill-based performance, and annual renewal fee may be waived for a full-time employee of the Oklahoma Department</w:t>
      </w:r>
      <w:r>
        <w:rPr>
          <w:spacing w:val="-3"/>
        </w:rPr>
        <w:t> </w:t>
      </w:r>
      <w:r>
        <w:rPr/>
        <w:t>of</w:t>
      </w:r>
      <w:r>
        <w:rPr>
          <w:spacing w:val="-5"/>
        </w:rPr>
        <w:t> </w:t>
      </w:r>
      <w:r>
        <w:rPr/>
        <w:t>Rehabilitation</w:t>
      </w:r>
      <w:r>
        <w:rPr>
          <w:spacing w:val="-4"/>
        </w:rPr>
        <w:t> </w:t>
      </w:r>
      <w:r>
        <w:rPr/>
        <w:t>Services</w:t>
      </w:r>
      <w:r>
        <w:rPr>
          <w:spacing w:val="-4"/>
        </w:rPr>
        <w:t> </w:t>
      </w:r>
      <w:r>
        <w:rPr/>
        <w:t>and</w:t>
      </w:r>
      <w:r>
        <w:rPr>
          <w:spacing w:val="-4"/>
        </w:rPr>
        <w:t> </w:t>
      </w:r>
      <w:r>
        <w:rPr/>
        <w:t>the</w:t>
      </w:r>
      <w:r>
        <w:rPr>
          <w:spacing w:val="-4"/>
        </w:rPr>
        <w:t> </w:t>
      </w:r>
      <w:r>
        <w:rPr/>
        <w:t>Oklahoma</w:t>
      </w:r>
      <w:r>
        <w:rPr>
          <w:spacing w:val="-4"/>
        </w:rPr>
        <w:t> </w:t>
      </w:r>
      <w:r>
        <w:rPr/>
        <w:t>School</w:t>
      </w:r>
      <w:r>
        <w:rPr>
          <w:spacing w:val="-4"/>
        </w:rPr>
        <w:t> </w:t>
      </w:r>
      <w:r>
        <w:rPr/>
        <w:t>for</w:t>
      </w:r>
      <w:r>
        <w:rPr>
          <w:spacing w:val="-3"/>
        </w:rPr>
        <w:t> </w:t>
      </w:r>
      <w:r>
        <w:rPr/>
        <w:t>the</w:t>
      </w:r>
      <w:r>
        <w:rPr>
          <w:spacing w:val="-4"/>
        </w:rPr>
        <w:t> </w:t>
      </w:r>
      <w:r>
        <w:rPr/>
        <w:t>Deaf</w:t>
      </w:r>
      <w:r>
        <w:rPr>
          <w:spacing w:val="-5"/>
        </w:rPr>
        <w:t> </w:t>
      </w:r>
      <w:r>
        <w:rPr/>
        <w:t>that</w:t>
      </w:r>
      <w:r>
        <w:rPr>
          <w:spacing w:val="-3"/>
        </w:rPr>
        <w:t> </w:t>
      </w:r>
      <w:r>
        <w:rPr/>
        <w:t>has been successfully employed for one (1) year and is not on probation.</w:t>
      </w:r>
    </w:p>
    <w:p>
      <w:pPr>
        <w:pStyle w:val="BodyText"/>
        <w:spacing w:before="0"/>
        <w:ind w:left="0"/>
      </w:pPr>
    </w:p>
    <w:p>
      <w:pPr>
        <w:pStyle w:val="BodyText"/>
        <w:spacing w:before="0"/>
        <w:ind w:left="359"/>
      </w:pPr>
      <w:r>
        <w:rPr/>
        <w:t>Section</w:t>
      </w:r>
      <w:r>
        <w:rPr>
          <w:spacing w:val="-4"/>
        </w:rPr>
        <w:t> </w:t>
      </w:r>
      <w:r>
        <w:rPr>
          <w:spacing w:val="-2"/>
        </w:rPr>
        <w:t>History</w:t>
      </w:r>
    </w:p>
    <w:p>
      <w:pPr>
        <w:pStyle w:val="ListParagraph"/>
        <w:numPr>
          <w:ilvl w:val="2"/>
          <w:numId w:val="300"/>
        </w:numPr>
        <w:tabs>
          <w:tab w:pos="1439" w:val="left" w:leader="none"/>
        </w:tabs>
        <w:spacing w:line="240" w:lineRule="auto" w:before="0" w:after="0"/>
        <w:ind w:left="1439" w:right="0" w:hanging="1080"/>
        <w:jc w:val="left"/>
        <w:rPr>
          <w:sz w:val="24"/>
        </w:rPr>
      </w:pPr>
      <w:r>
        <w:rPr>
          <w:sz w:val="24"/>
        </w:rPr>
        <w:t>PT</w:t>
      </w:r>
      <w:r>
        <w:rPr>
          <w:spacing w:val="-3"/>
          <w:sz w:val="24"/>
        </w:rPr>
        <w:t> </w:t>
      </w:r>
      <w:r>
        <w:rPr>
          <w:sz w:val="24"/>
        </w:rPr>
        <w:t>Memo</w:t>
      </w:r>
      <w:r>
        <w:rPr>
          <w:spacing w:val="-3"/>
          <w:sz w:val="24"/>
        </w:rPr>
        <w:t> </w:t>
      </w:r>
      <w:r>
        <w:rPr>
          <w:sz w:val="24"/>
        </w:rPr>
        <w:t>#94-</w:t>
      </w:r>
      <w:r>
        <w:rPr>
          <w:spacing w:val="-10"/>
          <w:sz w:val="24"/>
        </w:rPr>
        <w:t>1</w:t>
      </w:r>
    </w:p>
    <w:p>
      <w:pPr>
        <w:pStyle w:val="BodyText"/>
        <w:tabs>
          <w:tab w:pos="1439" w:val="left" w:leader="none"/>
        </w:tabs>
        <w:spacing w:before="0"/>
        <w:ind w:left="359" w:right="6423" w:firstLine="1080"/>
      </w:pPr>
      <w:r>
        <w:rPr/>
        <w:t>Permanent,</w:t>
      </w:r>
      <w:r>
        <w:rPr>
          <w:spacing w:val="-17"/>
        </w:rPr>
        <w:t> </w:t>
      </w:r>
      <w:r>
        <w:rPr/>
        <w:t>new</w:t>
      </w:r>
      <w:r>
        <w:rPr>
          <w:spacing w:val="-17"/>
        </w:rPr>
        <w:t> </w:t>
      </w:r>
      <w:r>
        <w:rPr/>
        <w:t>section </w:t>
      </w:r>
      <w:r>
        <w:rPr>
          <w:spacing w:val="-2"/>
        </w:rPr>
        <w:t>8-1-96</w:t>
      </w:r>
      <w:r>
        <w:rPr/>
        <w:tab/>
        <w:t>PT Memo #97-2</w:t>
      </w:r>
    </w:p>
    <w:p>
      <w:pPr>
        <w:pStyle w:val="BodyText"/>
        <w:tabs>
          <w:tab w:pos="1439" w:val="left" w:leader="none"/>
        </w:tabs>
        <w:spacing w:before="0"/>
        <w:ind w:left="359" w:right="4676" w:firstLine="1080"/>
      </w:pPr>
      <w:r>
        <w:rPr/>
        <w:t>Permanent,</w:t>
      </w:r>
      <w:r>
        <w:rPr>
          <w:spacing w:val="-9"/>
        </w:rPr>
        <w:t> </w:t>
      </w:r>
      <w:r>
        <w:rPr/>
        <w:t>State</w:t>
      </w:r>
      <w:r>
        <w:rPr>
          <w:spacing w:val="-11"/>
        </w:rPr>
        <w:t> </w:t>
      </w:r>
      <w:r>
        <w:rPr/>
        <w:t>Office</w:t>
      </w:r>
      <w:r>
        <w:rPr>
          <w:spacing w:val="-10"/>
        </w:rPr>
        <w:t> </w:t>
      </w:r>
      <w:r>
        <w:rPr/>
        <w:t>address</w:t>
      </w:r>
      <w:r>
        <w:rPr>
          <w:spacing w:val="-10"/>
        </w:rPr>
        <w:t> </w:t>
      </w:r>
      <w:r>
        <w:rPr/>
        <w:t>revised </w:t>
      </w:r>
      <w:r>
        <w:rPr>
          <w:spacing w:val="-2"/>
        </w:rPr>
        <w:t>11/1/02</w:t>
      </w:r>
      <w:r>
        <w:rPr/>
        <w:tab/>
        <w:t>POL Memo #03-02</w:t>
      </w:r>
    </w:p>
    <w:p>
      <w:pPr>
        <w:pStyle w:val="BodyText"/>
        <w:tabs>
          <w:tab w:pos="1439" w:val="left" w:leader="none"/>
        </w:tabs>
        <w:spacing w:before="0"/>
        <w:ind w:left="359" w:right="6063" w:firstLine="1080"/>
      </w:pPr>
      <w:r>
        <w:rPr/>
        <w:t>Permanent,</w:t>
      </w:r>
      <w:r>
        <w:rPr>
          <w:spacing w:val="-12"/>
        </w:rPr>
        <w:t> </w:t>
      </w:r>
      <w:r>
        <w:rPr/>
        <w:t>ITS</w:t>
      </w:r>
      <w:r>
        <w:rPr>
          <w:spacing w:val="-14"/>
        </w:rPr>
        <w:t> </w:t>
      </w:r>
      <w:r>
        <w:rPr/>
        <w:t>fee</w:t>
      </w:r>
      <w:r>
        <w:rPr>
          <w:spacing w:val="-13"/>
        </w:rPr>
        <w:t> </w:t>
      </w:r>
      <w:r>
        <w:rPr/>
        <w:t>change </w:t>
      </w:r>
      <w:r>
        <w:rPr>
          <w:spacing w:val="-2"/>
        </w:rPr>
        <w:t>7-1-04</w:t>
      </w:r>
      <w:r>
        <w:rPr/>
        <w:tab/>
        <w:t>PT Memo #05-01</w:t>
      </w:r>
    </w:p>
    <w:p>
      <w:pPr>
        <w:pStyle w:val="BodyText"/>
        <w:spacing w:before="0"/>
        <w:ind w:left="1439"/>
      </w:pPr>
      <w:r>
        <w:rPr/>
        <w:t>Permanent,</w:t>
      </w:r>
      <w:r>
        <w:rPr>
          <w:spacing w:val="-4"/>
        </w:rPr>
        <w:t> </w:t>
      </w:r>
      <w:r>
        <w:rPr/>
        <w:t>fees</w:t>
      </w:r>
      <w:r>
        <w:rPr>
          <w:spacing w:val="-3"/>
        </w:rPr>
        <w:t> </w:t>
      </w:r>
      <w:r>
        <w:rPr/>
        <w:t>changed</w:t>
      </w:r>
      <w:r>
        <w:rPr>
          <w:spacing w:val="-3"/>
        </w:rPr>
        <w:t> </w:t>
      </w:r>
      <w:r>
        <w:rPr/>
        <w:t>and</w:t>
      </w:r>
      <w:r>
        <w:rPr>
          <w:spacing w:val="-3"/>
        </w:rPr>
        <w:t> </w:t>
      </w:r>
      <w:r>
        <w:rPr/>
        <w:t>put</w:t>
      </w:r>
      <w:r>
        <w:rPr>
          <w:spacing w:val="-2"/>
        </w:rPr>
        <w:t> </w:t>
      </w:r>
      <w:r>
        <w:rPr/>
        <w:t>in</w:t>
      </w:r>
      <w:r>
        <w:rPr>
          <w:spacing w:val="-3"/>
        </w:rPr>
        <w:t> </w:t>
      </w:r>
      <w:r>
        <w:rPr/>
        <w:t>policy</w:t>
      </w:r>
      <w:r>
        <w:rPr>
          <w:spacing w:val="-3"/>
        </w:rPr>
        <w:t> </w:t>
      </w:r>
      <w:r>
        <w:rPr/>
        <w:t>as</w:t>
      </w:r>
      <w:r>
        <w:rPr>
          <w:spacing w:val="-3"/>
        </w:rPr>
        <w:t> </w:t>
      </w:r>
      <w:r>
        <w:rPr/>
        <w:t>required</w:t>
      </w:r>
      <w:r>
        <w:rPr>
          <w:spacing w:val="-3"/>
        </w:rPr>
        <w:t> </w:t>
      </w:r>
      <w:r>
        <w:rPr/>
        <w:t>by</w:t>
      </w:r>
      <w:r>
        <w:rPr>
          <w:spacing w:val="-2"/>
        </w:rPr>
        <w:t> Legislature.</w:t>
      </w:r>
    </w:p>
    <w:p>
      <w:pPr>
        <w:pStyle w:val="BodyText"/>
        <w:spacing w:before="0"/>
        <w:ind w:left="1439" w:right="860" w:hanging="1080"/>
        <w:jc w:val="both"/>
      </w:pPr>
      <w:r>
        <w:rPr/>
        <w:t>9-14-18</w:t>
      </w:r>
      <w:r>
        <w:rPr>
          <w:spacing w:val="80"/>
          <w:w w:val="150"/>
        </w:rPr>
        <w:t> </w:t>
      </w:r>
      <w:r>
        <w:rPr/>
        <w:t>Updated</w:t>
      </w:r>
      <w:r>
        <w:rPr>
          <w:spacing w:val="-3"/>
        </w:rPr>
        <w:t> </w:t>
      </w:r>
      <w:r>
        <w:rPr/>
        <w:t>written</w:t>
      </w:r>
      <w:r>
        <w:rPr>
          <w:spacing w:val="-3"/>
        </w:rPr>
        <w:t> </w:t>
      </w:r>
      <w:r>
        <w:rPr/>
        <w:t>test</w:t>
      </w:r>
      <w:r>
        <w:rPr>
          <w:spacing w:val="-4"/>
        </w:rPr>
        <w:t> </w:t>
      </w:r>
      <w:r>
        <w:rPr/>
        <w:t>fee.</w:t>
      </w:r>
      <w:r>
        <w:rPr>
          <w:spacing w:val="-2"/>
        </w:rPr>
        <w:t> </w:t>
      </w:r>
      <w:r>
        <w:rPr/>
        <w:t>Fee</w:t>
      </w:r>
      <w:r>
        <w:rPr>
          <w:spacing w:val="-3"/>
        </w:rPr>
        <w:t> </w:t>
      </w:r>
      <w:r>
        <w:rPr/>
        <w:t>for</w:t>
      </w:r>
      <w:r>
        <w:rPr>
          <w:spacing w:val="-4"/>
        </w:rPr>
        <w:t> </w:t>
      </w:r>
      <w:r>
        <w:rPr/>
        <w:t>performance</w:t>
      </w:r>
      <w:r>
        <w:rPr>
          <w:spacing w:val="-4"/>
        </w:rPr>
        <w:t> </w:t>
      </w:r>
      <w:r>
        <w:rPr/>
        <w:t>evaluation</w:t>
      </w:r>
      <w:r>
        <w:rPr>
          <w:spacing w:val="-2"/>
        </w:rPr>
        <w:t> </w:t>
      </w:r>
      <w:r>
        <w:rPr/>
        <w:t>changed</w:t>
      </w:r>
      <w:r>
        <w:rPr>
          <w:spacing w:val="-3"/>
        </w:rPr>
        <w:t> </w:t>
      </w:r>
      <w:r>
        <w:rPr/>
        <w:t>from</w:t>
      </w:r>
      <w:r>
        <w:rPr>
          <w:spacing w:val="-2"/>
        </w:rPr>
        <w:t> </w:t>
      </w:r>
      <w:r>
        <w:rPr/>
        <w:t>$100 to</w:t>
      </w:r>
      <w:r>
        <w:rPr>
          <w:spacing w:val="-3"/>
        </w:rPr>
        <w:t> </w:t>
      </w:r>
      <w:r>
        <w:rPr/>
        <w:t>$125,</w:t>
      </w:r>
      <w:r>
        <w:rPr>
          <w:spacing w:val="-2"/>
        </w:rPr>
        <w:t> </w:t>
      </w:r>
      <w:r>
        <w:rPr/>
        <w:t>yearly</w:t>
      </w:r>
      <w:r>
        <w:rPr>
          <w:spacing w:val="-3"/>
        </w:rPr>
        <w:t> </w:t>
      </w:r>
      <w:r>
        <w:rPr/>
        <w:t>certification</w:t>
      </w:r>
      <w:r>
        <w:rPr>
          <w:spacing w:val="-3"/>
        </w:rPr>
        <w:t> </w:t>
      </w:r>
      <w:r>
        <w:rPr/>
        <w:t>maintenance</w:t>
      </w:r>
      <w:r>
        <w:rPr>
          <w:spacing w:val="-3"/>
        </w:rPr>
        <w:t> </w:t>
      </w:r>
      <w:r>
        <w:rPr/>
        <w:t>fee</w:t>
      </w:r>
      <w:r>
        <w:rPr>
          <w:spacing w:val="-2"/>
        </w:rPr>
        <w:t> </w:t>
      </w:r>
      <w:r>
        <w:rPr/>
        <w:t>change</w:t>
      </w:r>
      <w:r>
        <w:rPr>
          <w:spacing w:val="-3"/>
        </w:rPr>
        <w:t> </w:t>
      </w:r>
      <w:r>
        <w:rPr/>
        <w:t>from</w:t>
      </w:r>
      <w:r>
        <w:rPr>
          <w:spacing w:val="-2"/>
        </w:rPr>
        <w:t> </w:t>
      </w:r>
      <w:r>
        <w:rPr/>
        <w:t>$40</w:t>
      </w:r>
      <w:r>
        <w:rPr>
          <w:spacing w:val="-3"/>
        </w:rPr>
        <w:t> </w:t>
      </w:r>
      <w:r>
        <w:rPr/>
        <w:t>to</w:t>
      </w:r>
      <w:r>
        <w:rPr>
          <w:spacing w:val="-3"/>
        </w:rPr>
        <w:t> </w:t>
      </w:r>
      <w:r>
        <w:rPr/>
        <w:t>$50.</w:t>
      </w:r>
      <w:r>
        <w:rPr>
          <w:spacing w:val="-2"/>
        </w:rPr>
        <w:t> </w:t>
      </w:r>
      <w:r>
        <w:rPr/>
        <w:t>Added language regarding the $100 certification reinstatement fee.</w:t>
      </w:r>
    </w:p>
    <w:p>
      <w:pPr>
        <w:pStyle w:val="ListParagraph"/>
        <w:numPr>
          <w:ilvl w:val="2"/>
          <w:numId w:val="301"/>
        </w:numPr>
        <w:tabs>
          <w:tab w:pos="1439" w:val="left" w:leader="none"/>
        </w:tabs>
        <w:spacing w:line="240" w:lineRule="auto" w:before="0" w:after="0"/>
        <w:ind w:left="1439" w:right="1792" w:hanging="1080"/>
        <w:jc w:val="left"/>
        <w:rPr>
          <w:sz w:val="24"/>
        </w:rPr>
      </w:pPr>
      <w:r>
        <w:rPr>
          <w:sz w:val="24"/>
        </w:rPr>
        <w:t>Revised</w:t>
      </w:r>
      <w:r>
        <w:rPr>
          <w:spacing w:val="-7"/>
          <w:sz w:val="24"/>
        </w:rPr>
        <w:t> </w:t>
      </w:r>
      <w:r>
        <w:rPr>
          <w:sz w:val="24"/>
        </w:rPr>
        <w:t>language</w:t>
      </w:r>
      <w:r>
        <w:rPr>
          <w:spacing w:val="-7"/>
          <w:sz w:val="24"/>
        </w:rPr>
        <w:t> </w:t>
      </w:r>
      <w:r>
        <w:rPr>
          <w:sz w:val="24"/>
        </w:rPr>
        <w:t>replacing</w:t>
      </w:r>
      <w:r>
        <w:rPr>
          <w:spacing w:val="-7"/>
          <w:sz w:val="24"/>
        </w:rPr>
        <w:t> </w:t>
      </w:r>
      <w:r>
        <w:rPr>
          <w:sz w:val="24"/>
        </w:rPr>
        <w:t>“maintenance”</w:t>
      </w:r>
      <w:r>
        <w:rPr>
          <w:spacing w:val="-6"/>
          <w:sz w:val="24"/>
        </w:rPr>
        <w:t> </w:t>
      </w:r>
      <w:r>
        <w:rPr>
          <w:sz w:val="24"/>
        </w:rPr>
        <w:t>with</w:t>
      </w:r>
      <w:r>
        <w:rPr>
          <w:spacing w:val="-7"/>
          <w:sz w:val="24"/>
        </w:rPr>
        <w:t> </w:t>
      </w:r>
      <w:r>
        <w:rPr>
          <w:sz w:val="24"/>
        </w:rPr>
        <w:t>“renewal”</w:t>
      </w:r>
      <w:r>
        <w:rPr>
          <w:spacing w:val="-6"/>
          <w:sz w:val="24"/>
        </w:rPr>
        <w:t> </w:t>
      </w:r>
      <w:r>
        <w:rPr>
          <w:sz w:val="24"/>
        </w:rPr>
        <w:t>regarding certification fees under Section (a).</w:t>
      </w:r>
    </w:p>
    <w:p>
      <w:pPr>
        <w:pStyle w:val="ListParagraph"/>
        <w:numPr>
          <w:ilvl w:val="2"/>
          <w:numId w:val="301"/>
        </w:numPr>
        <w:tabs>
          <w:tab w:pos="1439" w:val="left" w:leader="none"/>
        </w:tabs>
        <w:spacing w:line="240" w:lineRule="auto" w:before="0" w:after="0"/>
        <w:ind w:left="1439" w:right="993" w:hanging="1080"/>
        <w:jc w:val="left"/>
        <w:rPr>
          <w:sz w:val="24"/>
        </w:rPr>
      </w:pPr>
      <w:r>
        <w:rPr>
          <w:sz w:val="24"/>
        </w:rPr>
        <w:t>Revision</w:t>
      </w:r>
      <w:r>
        <w:rPr>
          <w:spacing w:val="-6"/>
          <w:sz w:val="24"/>
        </w:rPr>
        <w:t> </w:t>
      </w:r>
      <w:r>
        <w:rPr>
          <w:sz w:val="24"/>
        </w:rPr>
        <w:t>removing</w:t>
      </w:r>
      <w:r>
        <w:rPr>
          <w:spacing w:val="-6"/>
          <w:sz w:val="24"/>
        </w:rPr>
        <w:t> </w:t>
      </w:r>
      <w:r>
        <w:rPr>
          <w:sz w:val="24"/>
        </w:rPr>
        <w:t>“written/performance”</w:t>
      </w:r>
      <w:r>
        <w:rPr>
          <w:spacing w:val="-5"/>
          <w:sz w:val="24"/>
        </w:rPr>
        <w:t> </w:t>
      </w:r>
      <w:r>
        <w:rPr>
          <w:sz w:val="24"/>
        </w:rPr>
        <w:t>language</w:t>
      </w:r>
      <w:r>
        <w:rPr>
          <w:spacing w:val="-6"/>
          <w:sz w:val="24"/>
        </w:rPr>
        <w:t> </w:t>
      </w:r>
      <w:r>
        <w:rPr>
          <w:sz w:val="24"/>
        </w:rPr>
        <w:t>and</w:t>
      </w:r>
      <w:r>
        <w:rPr>
          <w:spacing w:val="-5"/>
          <w:sz w:val="24"/>
        </w:rPr>
        <w:t> </w:t>
      </w:r>
      <w:r>
        <w:rPr>
          <w:sz w:val="24"/>
        </w:rPr>
        <w:t>changing</w:t>
      </w:r>
      <w:r>
        <w:rPr>
          <w:spacing w:val="-6"/>
          <w:sz w:val="24"/>
        </w:rPr>
        <w:t> </w:t>
      </w:r>
      <w:r>
        <w:rPr>
          <w:sz w:val="24"/>
        </w:rPr>
        <w:t>to</w:t>
      </w:r>
      <w:r>
        <w:rPr>
          <w:spacing w:val="-6"/>
          <w:sz w:val="24"/>
        </w:rPr>
        <w:t> </w:t>
      </w:r>
      <w:r>
        <w:rPr>
          <w:sz w:val="24"/>
        </w:rPr>
        <w:t>“written test and interpreter skill-based performance.</w:t>
      </w:r>
    </w:p>
    <w:p>
      <w:pPr>
        <w:pStyle w:val="BodyText"/>
        <w:spacing w:before="0"/>
        <w:ind w:left="1439"/>
      </w:pPr>
      <w:r>
        <w:rPr/>
        <w:t>Added</w:t>
      </w:r>
      <w:r>
        <w:rPr>
          <w:spacing w:val="-6"/>
        </w:rPr>
        <w:t> </w:t>
      </w:r>
      <w:r>
        <w:rPr>
          <w:spacing w:val="-4"/>
        </w:rPr>
        <w:t>ITS.</w:t>
      </w:r>
    </w:p>
    <w:p>
      <w:pPr>
        <w:pStyle w:val="BodyText"/>
        <w:spacing w:after="0"/>
        <w:sectPr>
          <w:pgSz w:w="12240" w:h="15840"/>
          <w:pgMar w:top="1360" w:bottom="280" w:left="1080" w:right="720"/>
        </w:sectPr>
      </w:pPr>
    </w:p>
    <w:p>
      <w:pPr>
        <w:pStyle w:val="Heading2"/>
      </w:pPr>
      <w:bookmarkStart w:name="612:10-13-19.  Refunds" w:id="294"/>
      <w:bookmarkEnd w:id="294"/>
      <w:r>
        <w:rPr>
          <w:b w:val="0"/>
        </w:rPr>
      </w:r>
      <w:r>
        <w:rPr/>
        <w:t>612:10-13-19.</w:t>
      </w:r>
      <w:r>
        <w:rPr>
          <w:spacing w:val="58"/>
        </w:rPr>
        <w:t> </w:t>
      </w:r>
      <w:r>
        <w:rPr>
          <w:spacing w:val="-2"/>
        </w:rPr>
        <w:t>Refunds</w:t>
      </w:r>
    </w:p>
    <w:p>
      <w:pPr>
        <w:pStyle w:val="BodyText"/>
        <w:spacing w:before="237"/>
        <w:ind w:right="775" w:firstLine="450"/>
      </w:pPr>
      <w:r>
        <w:rPr/>
        <mc:AlternateContent>
          <mc:Choice Requires="wps">
            <w:drawing>
              <wp:anchor distT="0" distB="0" distL="0" distR="0" allowOverlap="1" layoutInCell="1" locked="0" behindDoc="0" simplePos="0" relativeHeight="15730688">
                <wp:simplePos x="0" y="0"/>
                <wp:positionH relativeFrom="page">
                  <wp:posOffset>5655564</wp:posOffset>
                </wp:positionH>
                <wp:positionV relativeFrom="paragraph">
                  <wp:posOffset>254141</wp:posOffset>
                </wp:positionV>
                <wp:extent cx="43180" cy="762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45.320007pt;margin-top:20.011171pt;width:3.36pt;height:.6pt;mso-position-horizontal-relative:page;mso-position-vertical-relative:paragraph;z-index:15730688" id="docshape5" filled="true" fillcolor="#000000" stroked="false">
                <v:fill type="solid"/>
                <w10:wrap type="none"/>
              </v:rect>
            </w:pict>
          </mc:Fallback>
        </mc:AlternateContent>
      </w:r>
      <w:r>
        <w:rPr/>
        <w:t>Fees paid for performance evaluations may be refunded, provided, the request to cancel is submitted in writing at least four weeks prior to the scheduled date of the performance evaluation. An applicant may request to reschedule the date of the performance evaluation three weeks prior to the confirmed scheduled date and may only be rescheduled once.</w:t>
      </w:r>
      <w:r>
        <w:rPr>
          <w:spacing w:val="40"/>
        </w:rPr>
        <w:t> </w:t>
      </w:r>
      <w:r>
        <w:rPr/>
        <w:t>A second request to reschedule will only be granted if documentation</w:t>
      </w:r>
      <w:r>
        <w:rPr>
          <w:spacing w:val="-3"/>
        </w:rPr>
        <w:t> </w:t>
      </w:r>
      <w:r>
        <w:rPr/>
        <w:t>can</w:t>
      </w:r>
      <w:r>
        <w:rPr>
          <w:spacing w:val="-3"/>
        </w:rPr>
        <w:t> </w:t>
      </w:r>
      <w:r>
        <w:rPr/>
        <w:t>be</w:t>
      </w:r>
      <w:r>
        <w:rPr>
          <w:spacing w:val="-3"/>
        </w:rPr>
        <w:t> </w:t>
      </w:r>
      <w:r>
        <w:rPr/>
        <w:t>provided</w:t>
      </w:r>
      <w:r>
        <w:rPr>
          <w:spacing w:val="-3"/>
        </w:rPr>
        <w:t> </w:t>
      </w:r>
      <w:r>
        <w:rPr/>
        <w:t>due</w:t>
      </w:r>
      <w:r>
        <w:rPr>
          <w:spacing w:val="-3"/>
        </w:rPr>
        <w:t> </w:t>
      </w:r>
      <w:r>
        <w:rPr/>
        <w:t>to</w:t>
      </w:r>
      <w:r>
        <w:rPr>
          <w:spacing w:val="-3"/>
        </w:rPr>
        <w:t> </w:t>
      </w:r>
      <w:r>
        <w:rPr/>
        <w:t>an</w:t>
      </w:r>
      <w:r>
        <w:rPr>
          <w:spacing w:val="-3"/>
        </w:rPr>
        <w:t> </w:t>
      </w:r>
      <w:r>
        <w:rPr/>
        <w:t>uncontrolled</w:t>
      </w:r>
      <w:r>
        <w:rPr>
          <w:spacing w:val="-3"/>
        </w:rPr>
        <w:t> </w:t>
      </w:r>
      <w:r>
        <w:rPr/>
        <w:t>situation.</w:t>
      </w:r>
      <w:r>
        <w:rPr>
          <w:spacing w:val="-2"/>
        </w:rPr>
        <w:t> </w:t>
      </w:r>
      <w:r>
        <w:rPr/>
        <w:t>The</w:t>
      </w:r>
      <w:r>
        <w:rPr>
          <w:spacing w:val="-3"/>
        </w:rPr>
        <w:t> </w:t>
      </w:r>
      <w:r>
        <w:rPr/>
        <w:t>new</w:t>
      </w:r>
      <w:r>
        <w:rPr>
          <w:spacing w:val="-3"/>
        </w:rPr>
        <w:t> </w:t>
      </w:r>
      <w:r>
        <w:rPr/>
        <w:t>date</w:t>
      </w:r>
      <w:r>
        <w:rPr>
          <w:spacing w:val="-3"/>
        </w:rPr>
        <w:t> </w:t>
      </w:r>
      <w:r>
        <w:rPr/>
        <w:t>must</w:t>
      </w:r>
      <w:r>
        <w:rPr>
          <w:spacing w:val="-2"/>
        </w:rPr>
        <w:t> </w:t>
      </w:r>
      <w:r>
        <w:rPr/>
        <w:t>be within one year of the originally scheduled performance evaluation and must be before the certification level(s) expiration date or the fee is forfeited.</w:t>
      </w:r>
    </w:p>
    <w:p>
      <w:pPr>
        <w:pStyle w:val="BodyText"/>
        <w:spacing w:before="0"/>
        <w:ind w:left="0"/>
      </w:pPr>
    </w:p>
    <w:p>
      <w:pPr>
        <w:pStyle w:val="BodyText"/>
        <w:spacing w:before="0"/>
      </w:pPr>
      <w:r>
        <w:rPr/>
        <w:t>Section</w:t>
      </w:r>
      <w:r>
        <w:rPr>
          <w:spacing w:val="-4"/>
        </w:rPr>
        <w:t> </w:t>
      </w:r>
      <w:r>
        <w:rPr>
          <w:spacing w:val="-2"/>
        </w:rPr>
        <w:t>History</w:t>
      </w:r>
    </w:p>
    <w:p>
      <w:pPr>
        <w:pStyle w:val="ListParagraph"/>
        <w:numPr>
          <w:ilvl w:val="2"/>
          <w:numId w:val="302"/>
        </w:numPr>
        <w:tabs>
          <w:tab w:pos="1439" w:val="left" w:leader="none"/>
        </w:tabs>
        <w:spacing w:line="240" w:lineRule="auto" w:before="0" w:after="0"/>
        <w:ind w:left="1439" w:right="0" w:hanging="1080"/>
        <w:jc w:val="left"/>
        <w:rPr>
          <w:sz w:val="24"/>
        </w:rPr>
      </w:pPr>
      <w:r>
        <w:rPr>
          <w:sz w:val="24"/>
        </w:rPr>
        <w:t>PT</w:t>
      </w:r>
      <w:r>
        <w:rPr>
          <w:spacing w:val="-3"/>
          <w:sz w:val="24"/>
        </w:rPr>
        <w:t> </w:t>
      </w:r>
      <w:r>
        <w:rPr>
          <w:sz w:val="24"/>
        </w:rPr>
        <w:t>Memo</w:t>
      </w:r>
      <w:r>
        <w:rPr>
          <w:spacing w:val="-3"/>
          <w:sz w:val="24"/>
        </w:rPr>
        <w:t> </w:t>
      </w:r>
      <w:r>
        <w:rPr>
          <w:sz w:val="24"/>
        </w:rPr>
        <w:t>#94-</w:t>
      </w:r>
      <w:r>
        <w:rPr>
          <w:spacing w:val="-10"/>
          <w:sz w:val="24"/>
        </w:rPr>
        <w:t>1</w:t>
      </w:r>
    </w:p>
    <w:p>
      <w:pPr>
        <w:pStyle w:val="BodyText"/>
        <w:tabs>
          <w:tab w:pos="1439" w:val="left" w:leader="none"/>
        </w:tabs>
        <w:spacing w:before="0"/>
        <w:ind w:right="6423" w:firstLine="1080"/>
      </w:pPr>
      <w:r>
        <w:rPr/>
        <w:t>Permanent,</w:t>
      </w:r>
      <w:r>
        <w:rPr>
          <w:spacing w:val="-17"/>
        </w:rPr>
        <w:t> </w:t>
      </w:r>
      <w:r>
        <w:rPr/>
        <w:t>new</w:t>
      </w:r>
      <w:r>
        <w:rPr>
          <w:spacing w:val="-17"/>
        </w:rPr>
        <w:t> </w:t>
      </w:r>
      <w:r>
        <w:rPr/>
        <w:t>section </w:t>
      </w:r>
      <w:r>
        <w:rPr>
          <w:spacing w:val="-2"/>
        </w:rPr>
        <w:t>7-1-04</w:t>
      </w:r>
      <w:r>
        <w:rPr/>
        <w:tab/>
        <w:t>PT Memo #05-01</w:t>
      </w:r>
    </w:p>
    <w:p>
      <w:pPr>
        <w:pStyle w:val="BodyText"/>
        <w:spacing w:before="1"/>
        <w:ind w:left="1440"/>
      </w:pPr>
      <w:r>
        <w:rPr/>
        <w:t>Permanent,</w:t>
      </w:r>
      <w:r>
        <w:rPr>
          <w:spacing w:val="-5"/>
        </w:rPr>
        <w:t> </w:t>
      </w:r>
      <w:r>
        <w:rPr/>
        <w:t>updated</w:t>
      </w:r>
      <w:r>
        <w:rPr>
          <w:spacing w:val="-5"/>
        </w:rPr>
        <w:t> </w:t>
      </w:r>
      <w:r>
        <w:rPr>
          <w:spacing w:val="-2"/>
        </w:rPr>
        <w:t>language</w:t>
      </w:r>
    </w:p>
    <w:p>
      <w:pPr>
        <w:pStyle w:val="BodyText"/>
        <w:tabs>
          <w:tab w:pos="1439" w:val="left" w:leader="none"/>
        </w:tabs>
        <w:spacing w:before="0"/>
        <w:ind w:left="1440" w:right="888" w:hanging="1080"/>
      </w:pPr>
      <w:r>
        <w:rPr>
          <w:spacing w:val="-2"/>
        </w:rPr>
        <w:t>8-11-24</w:t>
      </w:r>
      <w:r>
        <w:rPr/>
        <w:tab/>
        <w:t>Revised</w:t>
      </w:r>
      <w:r>
        <w:rPr>
          <w:spacing w:val="-5"/>
        </w:rPr>
        <w:t> </w:t>
      </w:r>
      <w:r>
        <w:rPr/>
        <w:t>language</w:t>
      </w:r>
      <w:r>
        <w:rPr>
          <w:spacing w:val="-5"/>
        </w:rPr>
        <w:t> </w:t>
      </w:r>
      <w:r>
        <w:rPr/>
        <w:t>for</w:t>
      </w:r>
      <w:r>
        <w:rPr>
          <w:spacing w:val="-4"/>
        </w:rPr>
        <w:t> </w:t>
      </w:r>
      <w:r>
        <w:rPr/>
        <w:t>cancellation</w:t>
      </w:r>
      <w:r>
        <w:rPr>
          <w:spacing w:val="-5"/>
        </w:rPr>
        <w:t> </w:t>
      </w:r>
      <w:r>
        <w:rPr/>
        <w:t>of</w:t>
      </w:r>
      <w:r>
        <w:rPr>
          <w:spacing w:val="-4"/>
        </w:rPr>
        <w:t> </w:t>
      </w:r>
      <w:r>
        <w:rPr/>
        <w:t>performance</w:t>
      </w:r>
      <w:r>
        <w:rPr>
          <w:spacing w:val="-5"/>
        </w:rPr>
        <w:t> </w:t>
      </w:r>
      <w:r>
        <w:rPr/>
        <w:t>evaluation</w:t>
      </w:r>
      <w:r>
        <w:rPr>
          <w:spacing w:val="-5"/>
        </w:rPr>
        <w:t> </w:t>
      </w:r>
      <w:r>
        <w:rPr/>
        <w:t>fees</w:t>
      </w:r>
      <w:r>
        <w:rPr>
          <w:spacing w:val="-6"/>
        </w:rPr>
        <w:t> </w:t>
      </w:r>
      <w:r>
        <w:rPr/>
        <w:t>previously “two weeks” changed to “four weeks” Rescheduling the performance evaluation timeframe was “ two weeks” revised to “three weeks”.</w:t>
      </w:r>
    </w:p>
    <w:p>
      <w:pPr>
        <w:pStyle w:val="BodyText"/>
        <w:spacing w:before="0"/>
        <w:ind w:left="1440" w:right="775"/>
      </w:pPr>
      <w:r>
        <w:rPr/>
        <w:t>Rescheduling</w:t>
      </w:r>
      <w:r>
        <w:rPr>
          <w:spacing w:val="-4"/>
        </w:rPr>
        <w:t> </w:t>
      </w:r>
      <w:r>
        <w:rPr/>
        <w:t>requests</w:t>
      </w:r>
      <w:r>
        <w:rPr>
          <w:spacing w:val="-4"/>
        </w:rPr>
        <w:t> </w:t>
      </w:r>
      <w:r>
        <w:rPr/>
        <w:t>will</w:t>
      </w:r>
      <w:r>
        <w:rPr>
          <w:spacing w:val="-4"/>
        </w:rPr>
        <w:t> </w:t>
      </w:r>
      <w:r>
        <w:rPr/>
        <w:t>only</w:t>
      </w:r>
      <w:r>
        <w:rPr>
          <w:spacing w:val="-4"/>
        </w:rPr>
        <w:t> </w:t>
      </w:r>
      <w:r>
        <w:rPr/>
        <w:t>be</w:t>
      </w:r>
      <w:r>
        <w:rPr>
          <w:spacing w:val="-4"/>
        </w:rPr>
        <w:t> </w:t>
      </w:r>
      <w:r>
        <w:rPr/>
        <w:t>granted</w:t>
      </w:r>
      <w:r>
        <w:rPr>
          <w:spacing w:val="-4"/>
        </w:rPr>
        <w:t> </w:t>
      </w:r>
      <w:r>
        <w:rPr/>
        <w:t>if</w:t>
      </w:r>
      <w:r>
        <w:rPr>
          <w:spacing w:val="-4"/>
        </w:rPr>
        <w:t> </w:t>
      </w:r>
      <w:r>
        <w:rPr/>
        <w:t>documentation</w:t>
      </w:r>
      <w:r>
        <w:rPr>
          <w:spacing w:val="-4"/>
        </w:rPr>
        <w:t> </w:t>
      </w:r>
      <w:r>
        <w:rPr/>
        <w:t>is</w:t>
      </w:r>
      <w:r>
        <w:rPr>
          <w:spacing w:val="-4"/>
        </w:rPr>
        <w:t> </w:t>
      </w:r>
      <w:r>
        <w:rPr/>
        <w:t>provided,</w:t>
      </w:r>
      <w:r>
        <w:rPr>
          <w:spacing w:val="-4"/>
        </w:rPr>
        <w:t> </w:t>
      </w:r>
      <w:r>
        <w:rPr/>
        <w:t>and the reason is due to an uncontrolled situation.</w:t>
      </w:r>
    </w:p>
    <w:p>
      <w:pPr>
        <w:pStyle w:val="BodyText"/>
        <w:spacing w:after="0"/>
        <w:sectPr>
          <w:pgSz w:w="12240" w:h="15840"/>
          <w:pgMar w:top="1340" w:bottom="280" w:left="1080" w:right="720"/>
        </w:sectPr>
      </w:pPr>
    </w:p>
    <w:p>
      <w:pPr>
        <w:pStyle w:val="Heading2"/>
      </w:pPr>
      <w:bookmarkStart w:name="612:10-13-20.  Certification maintenance" w:id="295"/>
      <w:bookmarkEnd w:id="295"/>
      <w:r>
        <w:rPr>
          <w:b w:val="0"/>
        </w:rPr>
      </w:r>
      <w:r>
        <w:rPr/>
        <w:t>612:10-13-20.</w:t>
      </w:r>
      <w:r>
        <w:rPr>
          <w:spacing w:val="56"/>
        </w:rPr>
        <w:t> </w:t>
      </w:r>
      <w:r>
        <w:rPr/>
        <w:t>Certification</w:t>
      </w:r>
      <w:r>
        <w:rPr>
          <w:spacing w:val="-5"/>
        </w:rPr>
        <w:t> </w:t>
      </w:r>
      <w:r>
        <w:rPr>
          <w:spacing w:val="-2"/>
        </w:rPr>
        <w:t>maintenance</w:t>
      </w:r>
    </w:p>
    <w:p>
      <w:pPr>
        <w:pStyle w:val="ListParagraph"/>
        <w:numPr>
          <w:ilvl w:val="0"/>
          <w:numId w:val="303"/>
        </w:numPr>
        <w:tabs>
          <w:tab w:pos="785" w:val="left" w:leader="none"/>
        </w:tabs>
        <w:spacing w:line="208" w:lineRule="auto" w:before="233" w:after="0"/>
        <w:ind w:left="360" w:right="726" w:firstLine="0"/>
        <w:jc w:val="left"/>
        <w:rPr>
          <w:sz w:val="24"/>
        </w:rPr>
      </w:pPr>
      <w:r>
        <w:rPr>
          <w:b/>
          <w:sz w:val="24"/>
        </w:rPr>
        <w:t>General provisions for certification maintenance. </w:t>
      </w:r>
      <w:r>
        <w:rPr>
          <w:sz w:val="24"/>
        </w:rPr>
        <w:t>The interpreter certification in Interpreting</w:t>
      </w:r>
      <w:r>
        <w:rPr>
          <w:spacing w:val="-3"/>
          <w:sz w:val="24"/>
        </w:rPr>
        <w:t> </w:t>
      </w:r>
      <w:r>
        <w:rPr>
          <w:sz w:val="24"/>
        </w:rPr>
        <w:t>and</w:t>
      </w:r>
      <w:r>
        <w:rPr>
          <w:spacing w:val="-3"/>
          <w:sz w:val="24"/>
        </w:rPr>
        <w:t> </w:t>
      </w:r>
      <w:r>
        <w:rPr>
          <w:sz w:val="24"/>
        </w:rPr>
        <w:t>Transliterating,</w:t>
      </w:r>
      <w:r>
        <w:rPr>
          <w:spacing w:val="-2"/>
          <w:sz w:val="24"/>
        </w:rPr>
        <w:t> </w:t>
      </w:r>
      <w:r>
        <w:rPr>
          <w:sz w:val="24"/>
        </w:rPr>
        <w:t>for</w:t>
      </w:r>
      <w:r>
        <w:rPr>
          <w:spacing w:val="-2"/>
          <w:sz w:val="24"/>
        </w:rPr>
        <w:t> </w:t>
      </w:r>
      <w:r>
        <w:rPr>
          <w:sz w:val="24"/>
        </w:rPr>
        <w:t>levels</w:t>
      </w:r>
      <w:r>
        <w:rPr>
          <w:spacing w:val="-3"/>
          <w:sz w:val="24"/>
        </w:rPr>
        <w:t> </w:t>
      </w:r>
      <w:r>
        <w:rPr>
          <w:sz w:val="24"/>
        </w:rPr>
        <w:t>I-V,</w:t>
      </w:r>
      <w:r>
        <w:rPr>
          <w:spacing w:val="-4"/>
          <w:sz w:val="24"/>
        </w:rPr>
        <w:t> </w:t>
      </w:r>
      <w:r>
        <w:rPr>
          <w:sz w:val="24"/>
        </w:rPr>
        <w:t>are</w:t>
      </w:r>
      <w:r>
        <w:rPr>
          <w:spacing w:val="-3"/>
          <w:sz w:val="24"/>
        </w:rPr>
        <w:t> </w:t>
      </w:r>
      <w:r>
        <w:rPr>
          <w:sz w:val="24"/>
        </w:rPr>
        <w:t>valid</w:t>
      </w:r>
      <w:r>
        <w:rPr>
          <w:spacing w:val="-3"/>
          <w:sz w:val="24"/>
        </w:rPr>
        <w:t> </w:t>
      </w:r>
      <w:r>
        <w:rPr>
          <w:sz w:val="24"/>
        </w:rPr>
        <w:t>for</w:t>
      </w:r>
      <w:r>
        <w:rPr>
          <w:spacing w:val="-2"/>
          <w:sz w:val="24"/>
        </w:rPr>
        <w:t> </w:t>
      </w:r>
      <w:r>
        <w:rPr>
          <w:sz w:val="24"/>
        </w:rPr>
        <w:t>a</w:t>
      </w:r>
      <w:r>
        <w:rPr>
          <w:spacing w:val="-3"/>
          <w:sz w:val="24"/>
        </w:rPr>
        <w:t> </w:t>
      </w:r>
      <w:r>
        <w:rPr>
          <w:sz w:val="24"/>
        </w:rPr>
        <w:t>term</w:t>
      </w:r>
      <w:r>
        <w:rPr>
          <w:spacing w:val="-2"/>
          <w:sz w:val="24"/>
        </w:rPr>
        <w:t> </w:t>
      </w:r>
      <w:r>
        <w:rPr>
          <w:sz w:val="24"/>
        </w:rPr>
        <w:t>of</w:t>
      </w:r>
      <w:r>
        <w:rPr>
          <w:spacing w:val="-4"/>
          <w:sz w:val="24"/>
        </w:rPr>
        <w:t> </w:t>
      </w:r>
      <w:r>
        <w:rPr>
          <w:sz w:val="24"/>
        </w:rPr>
        <w:t>three</w:t>
      </w:r>
      <w:r>
        <w:rPr>
          <w:spacing w:val="-3"/>
          <w:sz w:val="24"/>
        </w:rPr>
        <w:t> </w:t>
      </w:r>
      <w:r>
        <w:rPr>
          <w:sz w:val="24"/>
        </w:rPr>
        <w:t>years</w:t>
      </w:r>
      <w:r>
        <w:rPr>
          <w:spacing w:val="-3"/>
          <w:sz w:val="24"/>
        </w:rPr>
        <w:t> </w:t>
      </w:r>
      <w:r>
        <w:rPr>
          <w:sz w:val="24"/>
        </w:rPr>
        <w:t>at</w:t>
      </w:r>
      <w:r>
        <w:rPr>
          <w:spacing w:val="-2"/>
          <w:sz w:val="24"/>
        </w:rPr>
        <w:t> </w:t>
      </w:r>
      <w:r>
        <w:rPr>
          <w:sz w:val="24"/>
        </w:rPr>
        <w:t>which time the certification will expire unless the interpreter takes the skill-based performance evaluation again, including paying the appropriate fee. The exception for re-testing applies</w:t>
      </w:r>
      <w:r>
        <w:rPr>
          <w:spacing w:val="-2"/>
          <w:sz w:val="24"/>
        </w:rPr>
        <w:t> </w:t>
      </w:r>
      <w:r>
        <w:rPr>
          <w:sz w:val="24"/>
        </w:rPr>
        <w:t>to</w:t>
      </w:r>
      <w:r>
        <w:rPr>
          <w:spacing w:val="-2"/>
          <w:sz w:val="24"/>
        </w:rPr>
        <w:t> </w:t>
      </w:r>
      <w:r>
        <w:rPr>
          <w:sz w:val="24"/>
        </w:rPr>
        <w:t>those</w:t>
      </w:r>
      <w:r>
        <w:rPr>
          <w:spacing w:val="-2"/>
          <w:sz w:val="24"/>
        </w:rPr>
        <w:t> </w:t>
      </w:r>
      <w:r>
        <w:rPr>
          <w:sz w:val="24"/>
        </w:rPr>
        <w:t>that</w:t>
      </w:r>
      <w:r>
        <w:rPr>
          <w:spacing w:val="-1"/>
          <w:sz w:val="24"/>
        </w:rPr>
        <w:t> </w:t>
      </w:r>
      <w:r>
        <w:rPr>
          <w:sz w:val="24"/>
        </w:rPr>
        <w:t>achieve</w:t>
      </w:r>
      <w:r>
        <w:rPr>
          <w:spacing w:val="-2"/>
          <w:sz w:val="24"/>
        </w:rPr>
        <w:t> </w:t>
      </w:r>
      <w:r>
        <w:rPr>
          <w:sz w:val="24"/>
        </w:rPr>
        <w:t>a</w:t>
      </w:r>
      <w:r>
        <w:rPr>
          <w:spacing w:val="-2"/>
          <w:sz w:val="24"/>
        </w:rPr>
        <w:t> </w:t>
      </w:r>
      <w:r>
        <w:rPr>
          <w:sz w:val="24"/>
        </w:rPr>
        <w:t>certification</w:t>
      </w:r>
      <w:r>
        <w:rPr>
          <w:spacing w:val="-2"/>
          <w:sz w:val="24"/>
        </w:rPr>
        <w:t> </w:t>
      </w:r>
      <w:r>
        <w:rPr>
          <w:sz w:val="24"/>
        </w:rPr>
        <w:t>level</w:t>
      </w:r>
      <w:r>
        <w:rPr>
          <w:spacing w:val="-2"/>
          <w:sz w:val="24"/>
        </w:rPr>
        <w:t> </w:t>
      </w:r>
      <w:r>
        <w:rPr>
          <w:sz w:val="24"/>
        </w:rPr>
        <w:t>in</w:t>
      </w:r>
      <w:r>
        <w:rPr>
          <w:spacing w:val="-2"/>
          <w:sz w:val="24"/>
        </w:rPr>
        <w:t> </w:t>
      </w:r>
      <w:r>
        <w:rPr>
          <w:sz w:val="24"/>
        </w:rPr>
        <w:t>Transliterating:</w:t>
      </w:r>
      <w:r>
        <w:rPr>
          <w:spacing w:val="-1"/>
          <w:sz w:val="24"/>
        </w:rPr>
        <w:t> </w:t>
      </w:r>
      <w:r>
        <w:rPr>
          <w:sz w:val="24"/>
        </w:rPr>
        <w:t>V</w:t>
      </w:r>
      <w:r>
        <w:rPr>
          <w:spacing w:val="-2"/>
          <w:sz w:val="24"/>
        </w:rPr>
        <w:t> </w:t>
      </w:r>
      <w:r>
        <w:rPr>
          <w:sz w:val="24"/>
        </w:rPr>
        <w:t>and</w:t>
      </w:r>
      <w:r>
        <w:rPr>
          <w:spacing w:val="-2"/>
          <w:sz w:val="24"/>
        </w:rPr>
        <w:t> </w:t>
      </w:r>
      <w:r>
        <w:rPr>
          <w:sz w:val="24"/>
        </w:rPr>
        <w:t>Interpreting:</w:t>
      </w:r>
      <w:r>
        <w:rPr>
          <w:spacing w:val="-1"/>
          <w:sz w:val="24"/>
        </w:rPr>
        <w:t> </w:t>
      </w:r>
      <w:r>
        <w:rPr>
          <w:sz w:val="24"/>
        </w:rPr>
        <w:t>V; those are the only levels that will not be required to retest providing the annual CEUs and the annual renewal fee is satisfied.</w:t>
      </w:r>
    </w:p>
    <w:p>
      <w:pPr>
        <w:pStyle w:val="ListParagraph"/>
        <w:numPr>
          <w:ilvl w:val="1"/>
          <w:numId w:val="303"/>
        </w:numPr>
        <w:tabs>
          <w:tab w:pos="1235" w:val="left" w:leader="none"/>
        </w:tabs>
        <w:spacing w:line="208" w:lineRule="auto" w:before="239" w:after="0"/>
        <w:ind w:left="809" w:right="756" w:firstLine="0"/>
        <w:jc w:val="left"/>
        <w:rPr>
          <w:sz w:val="24"/>
        </w:rPr>
      </w:pPr>
      <w:r>
        <w:rPr>
          <w:sz w:val="24"/>
        </w:rPr>
        <w:t>Level V certification: An interpreter holding a certification level V in either Transliterating or Interpreting, but not both, will be required to retest. Testing will include</w:t>
      </w:r>
      <w:r>
        <w:rPr>
          <w:spacing w:val="-4"/>
          <w:sz w:val="24"/>
        </w:rPr>
        <w:t> </w:t>
      </w:r>
      <w:r>
        <w:rPr>
          <w:sz w:val="24"/>
        </w:rPr>
        <w:t>performance</w:t>
      </w:r>
      <w:r>
        <w:rPr>
          <w:spacing w:val="-4"/>
          <w:sz w:val="24"/>
        </w:rPr>
        <w:t> </w:t>
      </w:r>
      <w:r>
        <w:rPr>
          <w:sz w:val="24"/>
        </w:rPr>
        <w:t>test</w:t>
      </w:r>
      <w:r>
        <w:rPr>
          <w:spacing w:val="-3"/>
          <w:sz w:val="24"/>
        </w:rPr>
        <w:t> </w:t>
      </w:r>
      <w:r>
        <w:rPr>
          <w:sz w:val="24"/>
        </w:rPr>
        <w:t>that</w:t>
      </w:r>
      <w:r>
        <w:rPr>
          <w:spacing w:val="-5"/>
          <w:sz w:val="24"/>
        </w:rPr>
        <w:t> </w:t>
      </w:r>
      <w:r>
        <w:rPr>
          <w:sz w:val="24"/>
        </w:rPr>
        <w:t>consists</w:t>
      </w:r>
      <w:r>
        <w:rPr>
          <w:spacing w:val="-4"/>
          <w:sz w:val="24"/>
        </w:rPr>
        <w:t> </w:t>
      </w:r>
      <w:r>
        <w:rPr>
          <w:sz w:val="24"/>
        </w:rPr>
        <w:t>of</w:t>
      </w:r>
      <w:r>
        <w:rPr>
          <w:spacing w:val="-3"/>
          <w:sz w:val="24"/>
        </w:rPr>
        <w:t> </w:t>
      </w:r>
      <w:r>
        <w:rPr>
          <w:sz w:val="24"/>
        </w:rPr>
        <w:t>the</w:t>
      </w:r>
      <w:r>
        <w:rPr>
          <w:spacing w:val="-4"/>
          <w:sz w:val="24"/>
        </w:rPr>
        <w:t> </w:t>
      </w:r>
      <w:r>
        <w:rPr>
          <w:sz w:val="24"/>
        </w:rPr>
        <w:t>ethical</w:t>
      </w:r>
      <w:r>
        <w:rPr>
          <w:spacing w:val="-4"/>
          <w:sz w:val="24"/>
        </w:rPr>
        <w:t> </w:t>
      </w:r>
      <w:r>
        <w:rPr>
          <w:sz w:val="24"/>
        </w:rPr>
        <w:t>situation</w:t>
      </w:r>
      <w:r>
        <w:rPr>
          <w:spacing w:val="-4"/>
          <w:sz w:val="24"/>
        </w:rPr>
        <w:t> </w:t>
      </w:r>
      <w:r>
        <w:rPr>
          <w:sz w:val="24"/>
        </w:rPr>
        <w:t>interview,</w:t>
      </w:r>
      <w:r>
        <w:rPr>
          <w:spacing w:val="-3"/>
          <w:sz w:val="24"/>
        </w:rPr>
        <w:t> </w:t>
      </w:r>
      <w:r>
        <w:rPr>
          <w:sz w:val="24"/>
        </w:rPr>
        <w:t>and</w:t>
      </w:r>
      <w:r>
        <w:rPr>
          <w:spacing w:val="-4"/>
          <w:sz w:val="24"/>
        </w:rPr>
        <w:t> </w:t>
      </w:r>
      <w:r>
        <w:rPr>
          <w:sz w:val="24"/>
        </w:rPr>
        <w:t>only</w:t>
      </w:r>
      <w:r>
        <w:rPr>
          <w:spacing w:val="-5"/>
          <w:sz w:val="24"/>
        </w:rPr>
        <w:t> </w:t>
      </w:r>
      <w:r>
        <w:rPr>
          <w:sz w:val="24"/>
        </w:rPr>
        <w:t>the interactive section that the interpreter does not hold a level V in. The interpreter must pass the ethical situation interview with 80% before a level is granted. If a level V is not obtained, the interpreter will continue to follow the retesting process.</w:t>
      </w:r>
    </w:p>
    <w:p>
      <w:pPr>
        <w:pStyle w:val="ListParagraph"/>
        <w:numPr>
          <w:ilvl w:val="1"/>
          <w:numId w:val="303"/>
        </w:numPr>
        <w:tabs>
          <w:tab w:pos="1235" w:val="left" w:leader="none"/>
        </w:tabs>
        <w:spacing w:line="208" w:lineRule="auto" w:before="240" w:after="0"/>
        <w:ind w:left="809" w:right="768" w:firstLine="0"/>
        <w:jc w:val="left"/>
        <w:rPr>
          <w:sz w:val="24"/>
        </w:rPr>
      </w:pPr>
      <w:r>
        <w:rPr>
          <w:sz w:val="24"/>
        </w:rPr>
        <w:t>Level I-IV certification: An interpreter with levels I, II, III, IV are required to take the 3 part performance evaluation that consists of the ethical situation interview, interactive</w:t>
      </w:r>
      <w:r>
        <w:rPr>
          <w:spacing w:val="-4"/>
          <w:sz w:val="24"/>
        </w:rPr>
        <w:t> </w:t>
      </w:r>
      <w:r>
        <w:rPr>
          <w:sz w:val="24"/>
        </w:rPr>
        <w:t>Interpreting</w:t>
      </w:r>
      <w:r>
        <w:rPr>
          <w:spacing w:val="-4"/>
          <w:sz w:val="24"/>
        </w:rPr>
        <w:t> </w:t>
      </w:r>
      <w:r>
        <w:rPr>
          <w:sz w:val="24"/>
        </w:rPr>
        <w:t>and</w:t>
      </w:r>
      <w:r>
        <w:rPr>
          <w:spacing w:val="-4"/>
          <w:sz w:val="24"/>
        </w:rPr>
        <w:t> </w:t>
      </w:r>
      <w:r>
        <w:rPr>
          <w:sz w:val="24"/>
        </w:rPr>
        <w:t>interactive</w:t>
      </w:r>
      <w:r>
        <w:rPr>
          <w:spacing w:val="-4"/>
          <w:sz w:val="24"/>
        </w:rPr>
        <w:t> </w:t>
      </w:r>
      <w:r>
        <w:rPr>
          <w:sz w:val="24"/>
        </w:rPr>
        <w:t>Transliterating.</w:t>
      </w:r>
      <w:r>
        <w:rPr>
          <w:spacing w:val="-3"/>
          <w:sz w:val="24"/>
        </w:rPr>
        <w:t> </w:t>
      </w:r>
      <w:r>
        <w:rPr>
          <w:sz w:val="24"/>
        </w:rPr>
        <w:t>The</w:t>
      </w:r>
      <w:r>
        <w:rPr>
          <w:spacing w:val="-4"/>
          <w:sz w:val="24"/>
        </w:rPr>
        <w:t> </w:t>
      </w:r>
      <w:r>
        <w:rPr>
          <w:sz w:val="24"/>
        </w:rPr>
        <w:t>interpreter</w:t>
      </w:r>
      <w:r>
        <w:rPr>
          <w:spacing w:val="-3"/>
          <w:sz w:val="24"/>
        </w:rPr>
        <w:t> </w:t>
      </w:r>
      <w:r>
        <w:rPr>
          <w:sz w:val="24"/>
        </w:rPr>
        <w:t>must</w:t>
      </w:r>
      <w:r>
        <w:rPr>
          <w:spacing w:val="-6"/>
          <w:sz w:val="24"/>
        </w:rPr>
        <w:t> </w:t>
      </w:r>
      <w:r>
        <w:rPr>
          <w:sz w:val="24"/>
        </w:rPr>
        <w:t>pass</w:t>
      </w:r>
      <w:r>
        <w:rPr>
          <w:spacing w:val="-4"/>
          <w:sz w:val="24"/>
        </w:rPr>
        <w:t> </w:t>
      </w:r>
      <w:r>
        <w:rPr>
          <w:sz w:val="24"/>
        </w:rPr>
        <w:t>the ethical situation interview with at least an 80% before a level is granted.</w:t>
      </w:r>
    </w:p>
    <w:p>
      <w:pPr>
        <w:pStyle w:val="ListParagraph"/>
        <w:numPr>
          <w:ilvl w:val="1"/>
          <w:numId w:val="303"/>
        </w:numPr>
        <w:tabs>
          <w:tab w:pos="1235" w:val="left" w:leader="none"/>
        </w:tabs>
        <w:spacing w:line="208" w:lineRule="auto" w:before="239" w:after="0"/>
        <w:ind w:left="809" w:right="728" w:firstLine="0"/>
        <w:jc w:val="left"/>
        <w:rPr>
          <w:sz w:val="24"/>
        </w:rPr>
      </w:pPr>
      <w:r>
        <w:rPr>
          <w:sz w:val="24"/>
        </w:rPr>
        <w:t>Certification will remain valid for an interpreter who has applied for evaluation and cannot be scheduled for testing prior to his/her certificate's expiration date, provided the application is received no later than 160 calendar days before the expiration date. Any certification will lapse if any of the following occurs: annual renewal</w:t>
      </w:r>
      <w:r>
        <w:rPr>
          <w:spacing w:val="-4"/>
          <w:sz w:val="24"/>
        </w:rPr>
        <w:t> </w:t>
      </w:r>
      <w:r>
        <w:rPr>
          <w:sz w:val="24"/>
        </w:rPr>
        <w:t>fee</w:t>
      </w:r>
      <w:r>
        <w:rPr>
          <w:spacing w:val="-4"/>
          <w:sz w:val="24"/>
        </w:rPr>
        <w:t> </w:t>
      </w:r>
      <w:r>
        <w:rPr>
          <w:sz w:val="24"/>
        </w:rPr>
        <w:t>is</w:t>
      </w:r>
      <w:r>
        <w:rPr>
          <w:spacing w:val="-4"/>
          <w:sz w:val="24"/>
        </w:rPr>
        <w:t> </w:t>
      </w:r>
      <w:r>
        <w:rPr>
          <w:sz w:val="24"/>
        </w:rPr>
        <w:t>not</w:t>
      </w:r>
      <w:r>
        <w:rPr>
          <w:spacing w:val="-3"/>
          <w:sz w:val="24"/>
        </w:rPr>
        <w:t> </w:t>
      </w:r>
      <w:r>
        <w:rPr>
          <w:sz w:val="24"/>
        </w:rPr>
        <w:t>paid,</w:t>
      </w:r>
      <w:r>
        <w:rPr>
          <w:spacing w:val="-3"/>
          <w:sz w:val="24"/>
        </w:rPr>
        <w:t> </w:t>
      </w:r>
      <w:r>
        <w:rPr>
          <w:sz w:val="24"/>
        </w:rPr>
        <w:t>continuing</w:t>
      </w:r>
      <w:r>
        <w:rPr>
          <w:spacing w:val="-4"/>
          <w:sz w:val="24"/>
        </w:rPr>
        <w:t> </w:t>
      </w:r>
      <w:r>
        <w:rPr>
          <w:sz w:val="24"/>
        </w:rPr>
        <w:t>education</w:t>
      </w:r>
      <w:r>
        <w:rPr>
          <w:spacing w:val="-4"/>
          <w:sz w:val="24"/>
        </w:rPr>
        <w:t> </w:t>
      </w:r>
      <w:r>
        <w:rPr>
          <w:sz w:val="24"/>
        </w:rPr>
        <w:t>requirements</w:t>
      </w:r>
      <w:r>
        <w:rPr>
          <w:spacing w:val="-4"/>
          <w:sz w:val="24"/>
        </w:rPr>
        <w:t> </w:t>
      </w:r>
      <w:r>
        <w:rPr>
          <w:sz w:val="24"/>
        </w:rPr>
        <w:t>are</w:t>
      </w:r>
      <w:r>
        <w:rPr>
          <w:spacing w:val="-4"/>
          <w:sz w:val="24"/>
        </w:rPr>
        <w:t> </w:t>
      </w:r>
      <w:r>
        <w:rPr>
          <w:sz w:val="24"/>
        </w:rPr>
        <w:t>not</w:t>
      </w:r>
      <w:r>
        <w:rPr>
          <w:spacing w:val="-3"/>
          <w:sz w:val="24"/>
        </w:rPr>
        <w:t> </w:t>
      </w:r>
      <w:r>
        <w:rPr>
          <w:sz w:val="24"/>
        </w:rPr>
        <w:t>met</w:t>
      </w:r>
      <w:r>
        <w:rPr>
          <w:spacing w:val="-5"/>
          <w:sz w:val="24"/>
        </w:rPr>
        <w:t> </w:t>
      </w:r>
      <w:r>
        <w:rPr>
          <w:sz w:val="24"/>
        </w:rPr>
        <w:t>by</w:t>
      </w:r>
      <w:r>
        <w:rPr>
          <w:spacing w:val="-4"/>
          <w:sz w:val="24"/>
        </w:rPr>
        <w:t> </w:t>
      </w:r>
      <w:r>
        <w:rPr>
          <w:sz w:val="24"/>
        </w:rPr>
        <w:t>stipulated due dates, and/or if the application is not submitted 160 days before levels expire. Individuals who have allowed certification to lapse due to non-compliance with requirements must take and pass the written test before they are eligible for the</w:t>
      </w:r>
    </w:p>
    <w:p>
      <w:pPr>
        <w:pStyle w:val="BodyText"/>
        <w:spacing w:line="246" w:lineRule="exact" w:before="0"/>
        <w:ind w:left="809"/>
      </w:pPr>
      <w:r>
        <w:rPr/>
        <w:t>skill-based</w:t>
      </w:r>
      <w:r>
        <w:rPr>
          <w:spacing w:val="-6"/>
        </w:rPr>
        <w:t> </w:t>
      </w:r>
      <w:r>
        <w:rPr/>
        <w:t>performance</w:t>
      </w:r>
      <w:r>
        <w:rPr>
          <w:spacing w:val="-6"/>
        </w:rPr>
        <w:t> </w:t>
      </w:r>
      <w:r>
        <w:rPr>
          <w:spacing w:val="-2"/>
        </w:rPr>
        <w:t>evaluation.</w:t>
      </w:r>
    </w:p>
    <w:p>
      <w:pPr>
        <w:pStyle w:val="ListParagraph"/>
        <w:numPr>
          <w:ilvl w:val="1"/>
          <w:numId w:val="303"/>
        </w:numPr>
        <w:tabs>
          <w:tab w:pos="1169" w:val="left" w:leader="none"/>
        </w:tabs>
        <w:spacing w:line="208" w:lineRule="auto" w:before="233" w:after="0"/>
        <w:ind w:left="809" w:right="744" w:firstLine="0"/>
        <w:jc w:val="left"/>
        <w:rPr>
          <w:sz w:val="24"/>
        </w:rPr>
      </w:pPr>
      <w:r>
        <w:rPr>
          <w:sz w:val="24"/>
        </w:rPr>
        <w:t>An interpreter that holds only one level V in either Interpreting or Transliterating, and</w:t>
      </w:r>
      <w:r>
        <w:rPr>
          <w:spacing w:val="-2"/>
          <w:sz w:val="24"/>
        </w:rPr>
        <w:t> </w:t>
      </w:r>
      <w:r>
        <w:rPr>
          <w:sz w:val="24"/>
        </w:rPr>
        <w:t>holds</w:t>
      </w:r>
      <w:r>
        <w:rPr>
          <w:spacing w:val="-1"/>
          <w:sz w:val="24"/>
        </w:rPr>
        <w:t> </w:t>
      </w:r>
      <w:r>
        <w:rPr>
          <w:sz w:val="24"/>
        </w:rPr>
        <w:t>a</w:t>
      </w:r>
      <w:r>
        <w:rPr>
          <w:spacing w:val="-2"/>
          <w:sz w:val="24"/>
        </w:rPr>
        <w:t> </w:t>
      </w:r>
      <w:r>
        <w:rPr>
          <w:sz w:val="24"/>
        </w:rPr>
        <w:t>nationally</w:t>
      </w:r>
      <w:r>
        <w:rPr>
          <w:spacing w:val="-1"/>
          <w:sz w:val="24"/>
        </w:rPr>
        <w:t> </w:t>
      </w:r>
      <w:r>
        <w:rPr>
          <w:sz w:val="24"/>
        </w:rPr>
        <w:t>recognized</w:t>
      </w:r>
      <w:r>
        <w:rPr>
          <w:spacing w:val="-2"/>
          <w:sz w:val="24"/>
        </w:rPr>
        <w:t> </w:t>
      </w:r>
      <w:r>
        <w:rPr>
          <w:sz w:val="24"/>
        </w:rPr>
        <w:t>certification</w:t>
      </w:r>
      <w:r>
        <w:rPr>
          <w:spacing w:val="-2"/>
          <w:sz w:val="24"/>
        </w:rPr>
        <w:t> </w:t>
      </w:r>
      <w:r>
        <w:rPr>
          <w:sz w:val="24"/>
        </w:rPr>
        <w:t>in</w:t>
      </w:r>
      <w:r>
        <w:rPr>
          <w:spacing w:val="-2"/>
          <w:sz w:val="24"/>
        </w:rPr>
        <w:t> </w:t>
      </w:r>
      <w:r>
        <w:rPr>
          <w:sz w:val="24"/>
        </w:rPr>
        <w:t>good</w:t>
      </w:r>
      <w:r>
        <w:rPr>
          <w:spacing w:val="-1"/>
          <w:sz w:val="24"/>
        </w:rPr>
        <w:t> </w:t>
      </w:r>
      <w:r>
        <w:rPr>
          <w:sz w:val="24"/>
        </w:rPr>
        <w:t>standing,</w:t>
      </w:r>
      <w:r>
        <w:rPr>
          <w:spacing w:val="-1"/>
          <w:sz w:val="24"/>
        </w:rPr>
        <w:t> </w:t>
      </w:r>
      <w:r>
        <w:rPr>
          <w:sz w:val="24"/>
        </w:rPr>
        <w:t>such</w:t>
      </w:r>
      <w:r>
        <w:rPr>
          <w:spacing w:val="-2"/>
          <w:sz w:val="24"/>
        </w:rPr>
        <w:t> </w:t>
      </w:r>
      <w:r>
        <w:rPr>
          <w:sz w:val="24"/>
        </w:rPr>
        <w:t>as,</w:t>
      </w:r>
      <w:r>
        <w:rPr>
          <w:spacing w:val="-1"/>
          <w:sz w:val="24"/>
        </w:rPr>
        <w:t> </w:t>
      </w:r>
      <w:r>
        <w:rPr>
          <w:sz w:val="24"/>
        </w:rPr>
        <w:t>CI</w:t>
      </w:r>
      <w:r>
        <w:rPr>
          <w:spacing w:val="-3"/>
          <w:sz w:val="24"/>
        </w:rPr>
        <w:t> </w:t>
      </w:r>
      <w:r>
        <w:rPr>
          <w:sz w:val="24"/>
        </w:rPr>
        <w:t>and</w:t>
      </w:r>
      <w:r>
        <w:rPr>
          <w:spacing w:val="-2"/>
          <w:sz w:val="24"/>
        </w:rPr>
        <w:t> </w:t>
      </w:r>
      <w:r>
        <w:rPr>
          <w:sz w:val="24"/>
        </w:rPr>
        <w:t>CT or</w:t>
      </w:r>
      <w:r>
        <w:rPr>
          <w:spacing w:val="-2"/>
          <w:sz w:val="24"/>
        </w:rPr>
        <w:t> </w:t>
      </w:r>
      <w:r>
        <w:rPr>
          <w:sz w:val="24"/>
        </w:rPr>
        <w:t>NIC,</w:t>
      </w:r>
      <w:r>
        <w:rPr>
          <w:spacing w:val="-2"/>
          <w:sz w:val="24"/>
        </w:rPr>
        <w:t> </w:t>
      </w:r>
      <w:r>
        <w:rPr>
          <w:sz w:val="24"/>
        </w:rPr>
        <w:t>can</w:t>
      </w:r>
      <w:r>
        <w:rPr>
          <w:spacing w:val="-4"/>
          <w:sz w:val="24"/>
        </w:rPr>
        <w:t> </w:t>
      </w:r>
      <w:r>
        <w:rPr>
          <w:sz w:val="24"/>
        </w:rPr>
        <w:t>be</w:t>
      </w:r>
      <w:r>
        <w:rPr>
          <w:spacing w:val="-3"/>
          <w:sz w:val="24"/>
        </w:rPr>
        <w:t> </w:t>
      </w:r>
      <w:r>
        <w:rPr>
          <w:sz w:val="24"/>
        </w:rPr>
        <w:t>exempted</w:t>
      </w:r>
      <w:r>
        <w:rPr>
          <w:spacing w:val="-3"/>
          <w:sz w:val="24"/>
        </w:rPr>
        <w:t> </w:t>
      </w:r>
      <w:r>
        <w:rPr>
          <w:sz w:val="24"/>
        </w:rPr>
        <w:t>from</w:t>
      </w:r>
      <w:r>
        <w:rPr>
          <w:spacing w:val="-4"/>
          <w:sz w:val="24"/>
        </w:rPr>
        <w:t> </w:t>
      </w:r>
      <w:r>
        <w:rPr>
          <w:sz w:val="24"/>
        </w:rPr>
        <w:t>the</w:t>
      </w:r>
      <w:r>
        <w:rPr>
          <w:spacing w:val="-3"/>
          <w:sz w:val="24"/>
        </w:rPr>
        <w:t> </w:t>
      </w:r>
      <w:r>
        <w:rPr>
          <w:sz w:val="24"/>
        </w:rPr>
        <w:t>requirement</w:t>
      </w:r>
      <w:r>
        <w:rPr>
          <w:spacing w:val="-2"/>
          <w:sz w:val="24"/>
        </w:rPr>
        <w:t> </w:t>
      </w:r>
      <w:r>
        <w:rPr>
          <w:sz w:val="24"/>
        </w:rPr>
        <w:t>of</w:t>
      </w:r>
      <w:r>
        <w:rPr>
          <w:spacing w:val="-4"/>
          <w:sz w:val="24"/>
        </w:rPr>
        <w:t> </w:t>
      </w:r>
      <w:r>
        <w:rPr>
          <w:sz w:val="24"/>
        </w:rPr>
        <w:t>retesting</w:t>
      </w:r>
      <w:r>
        <w:rPr>
          <w:spacing w:val="-3"/>
          <w:sz w:val="24"/>
        </w:rPr>
        <w:t> </w:t>
      </w:r>
      <w:r>
        <w:rPr>
          <w:sz w:val="24"/>
        </w:rPr>
        <w:t>for</w:t>
      </w:r>
      <w:r>
        <w:rPr>
          <w:spacing w:val="-2"/>
          <w:sz w:val="24"/>
        </w:rPr>
        <w:t> </w:t>
      </w:r>
      <w:r>
        <w:rPr>
          <w:sz w:val="24"/>
        </w:rPr>
        <w:t>the</w:t>
      </w:r>
      <w:r>
        <w:rPr>
          <w:spacing w:val="-4"/>
          <w:sz w:val="24"/>
        </w:rPr>
        <w:t> </w:t>
      </w:r>
      <w:r>
        <w:rPr>
          <w:sz w:val="24"/>
        </w:rPr>
        <w:t>mode</w:t>
      </w:r>
      <w:r>
        <w:rPr>
          <w:spacing w:val="-3"/>
          <w:sz w:val="24"/>
        </w:rPr>
        <w:t> </w:t>
      </w:r>
      <w:r>
        <w:rPr>
          <w:sz w:val="24"/>
        </w:rPr>
        <w:t>they</w:t>
      </w:r>
      <w:r>
        <w:rPr>
          <w:spacing w:val="-4"/>
          <w:sz w:val="24"/>
        </w:rPr>
        <w:t> </w:t>
      </w:r>
      <w:r>
        <w:rPr>
          <w:sz w:val="24"/>
        </w:rPr>
        <w:t>do</w:t>
      </w:r>
      <w:r>
        <w:rPr>
          <w:spacing w:val="-3"/>
          <w:sz w:val="24"/>
        </w:rPr>
        <w:t> </w:t>
      </w:r>
      <w:r>
        <w:rPr>
          <w:sz w:val="24"/>
        </w:rPr>
        <w:t>not have a level V in. The exemption is only valid providing the interpreter satisfies the annual ICRC CEUs by due date, the annual renewal fee by due date, and provides a current copy of their national certification card. If any of the stated requirements are not satisfied, the exemption is voided, and the interpreter will be required to</w:t>
      </w:r>
      <w:r>
        <w:rPr>
          <w:spacing w:val="40"/>
          <w:sz w:val="24"/>
        </w:rPr>
        <w:t> </w:t>
      </w:r>
      <w:r>
        <w:rPr>
          <w:sz w:val="24"/>
        </w:rPr>
        <w:t>take to meet the V/V certification requirements.</w:t>
      </w:r>
    </w:p>
    <w:p>
      <w:pPr>
        <w:pStyle w:val="ListParagraph"/>
        <w:numPr>
          <w:ilvl w:val="0"/>
          <w:numId w:val="303"/>
        </w:numPr>
        <w:tabs>
          <w:tab w:pos="785" w:val="left" w:leader="none"/>
        </w:tabs>
        <w:spacing w:line="259" w:lineRule="auto" w:before="244" w:after="0"/>
        <w:ind w:left="359" w:right="754" w:firstLine="0"/>
        <w:jc w:val="left"/>
        <w:rPr>
          <w:sz w:val="24"/>
        </w:rPr>
      </w:pPr>
      <w:r>
        <w:rPr>
          <w:b/>
          <w:sz w:val="24"/>
        </w:rPr>
        <w:t>Continuing education requirements. </w:t>
      </w:r>
      <w:r>
        <w:rPr>
          <w:sz w:val="24"/>
        </w:rPr>
        <w:t>QAST certified interpreters are required to satisfy</w:t>
      </w:r>
      <w:r>
        <w:rPr>
          <w:spacing w:val="-1"/>
          <w:sz w:val="24"/>
        </w:rPr>
        <w:t> </w:t>
      </w:r>
      <w:r>
        <w:rPr>
          <w:sz w:val="24"/>
        </w:rPr>
        <w:t>one</w:t>
      </w:r>
      <w:r>
        <w:rPr>
          <w:spacing w:val="-1"/>
          <w:sz w:val="24"/>
        </w:rPr>
        <w:t> </w:t>
      </w:r>
      <w:r>
        <w:rPr>
          <w:sz w:val="24"/>
        </w:rPr>
        <w:t>(10</w:t>
      </w:r>
      <w:r>
        <w:rPr>
          <w:spacing w:val="-1"/>
          <w:sz w:val="24"/>
        </w:rPr>
        <w:t> </w:t>
      </w:r>
      <w:r>
        <w:rPr>
          <w:sz w:val="24"/>
        </w:rPr>
        <w:t>hours)</w:t>
      </w:r>
      <w:r>
        <w:rPr>
          <w:spacing w:val="-2"/>
          <w:sz w:val="24"/>
        </w:rPr>
        <w:t> </w:t>
      </w:r>
      <w:r>
        <w:rPr>
          <w:sz w:val="24"/>
        </w:rPr>
        <w:t>Continuing Education</w:t>
      </w:r>
      <w:r>
        <w:rPr>
          <w:spacing w:val="-1"/>
          <w:sz w:val="24"/>
        </w:rPr>
        <w:t> </w:t>
      </w:r>
      <w:r>
        <w:rPr>
          <w:sz w:val="24"/>
        </w:rPr>
        <w:t>Unit (CEU) annually, with</w:t>
      </w:r>
      <w:r>
        <w:rPr>
          <w:spacing w:val="-1"/>
          <w:sz w:val="24"/>
        </w:rPr>
        <w:t> </w:t>
      </w:r>
      <w:r>
        <w:rPr>
          <w:sz w:val="24"/>
        </w:rPr>
        <w:t>.1</w:t>
      </w:r>
      <w:r>
        <w:rPr>
          <w:spacing w:val="-1"/>
          <w:sz w:val="24"/>
        </w:rPr>
        <w:t> </w:t>
      </w:r>
      <w:r>
        <w:rPr>
          <w:sz w:val="24"/>
        </w:rPr>
        <w:t>(1</w:t>
      </w:r>
      <w:r>
        <w:rPr>
          <w:spacing w:val="-1"/>
          <w:sz w:val="24"/>
        </w:rPr>
        <w:t> </w:t>
      </w:r>
      <w:r>
        <w:rPr>
          <w:sz w:val="24"/>
        </w:rPr>
        <w:t>hour) of</w:t>
      </w:r>
      <w:r>
        <w:rPr>
          <w:spacing w:val="-2"/>
          <w:sz w:val="24"/>
        </w:rPr>
        <w:t> </w:t>
      </w:r>
      <w:r>
        <w:rPr>
          <w:sz w:val="24"/>
        </w:rPr>
        <w:t>this in the category of Ethics. It is the interpreter's responsibility to ensure all supportive</w:t>
      </w:r>
      <w:r>
        <w:rPr>
          <w:sz w:val="24"/>
        </w:rPr>
        <w:t> CEU documentation is submitted to the Interpreter Certification Resource Center</w:t>
      </w:r>
      <w:r>
        <w:rPr>
          <w:spacing w:val="40"/>
          <w:sz w:val="24"/>
        </w:rPr>
        <w:t> </w:t>
      </w:r>
      <w:r>
        <w:rPr>
          <w:sz w:val="24"/>
        </w:rPr>
        <w:t>(ICRC) staff before or on December 31</w:t>
      </w:r>
      <w:r>
        <w:rPr>
          <w:sz w:val="24"/>
          <w:vertAlign w:val="superscript"/>
        </w:rPr>
        <w:t>st</w:t>
      </w:r>
      <w:r>
        <w:rPr>
          <w:sz w:val="24"/>
          <w:vertAlign w:val="baseline"/>
        </w:rPr>
        <w:t>, to avoid certification becoming invalid. If certification becomes invalid, the individual must apply to test, and will be required to take</w:t>
      </w:r>
      <w:r>
        <w:rPr>
          <w:spacing w:val="-4"/>
          <w:sz w:val="24"/>
          <w:vertAlign w:val="baseline"/>
        </w:rPr>
        <w:t> </w:t>
      </w:r>
      <w:r>
        <w:rPr>
          <w:sz w:val="24"/>
          <w:vertAlign w:val="baseline"/>
        </w:rPr>
        <w:t>and</w:t>
      </w:r>
      <w:r>
        <w:rPr>
          <w:spacing w:val="-4"/>
          <w:sz w:val="24"/>
          <w:vertAlign w:val="baseline"/>
        </w:rPr>
        <w:t> </w:t>
      </w:r>
      <w:r>
        <w:rPr>
          <w:sz w:val="24"/>
          <w:vertAlign w:val="baseline"/>
        </w:rPr>
        <w:t>pass</w:t>
      </w:r>
      <w:r>
        <w:rPr>
          <w:spacing w:val="-4"/>
          <w:sz w:val="24"/>
          <w:vertAlign w:val="baseline"/>
        </w:rPr>
        <w:t> </w:t>
      </w:r>
      <w:r>
        <w:rPr>
          <w:sz w:val="24"/>
          <w:vertAlign w:val="baseline"/>
        </w:rPr>
        <w:t>the</w:t>
      </w:r>
      <w:r>
        <w:rPr>
          <w:spacing w:val="-4"/>
          <w:sz w:val="24"/>
          <w:vertAlign w:val="baseline"/>
        </w:rPr>
        <w:t> </w:t>
      </w:r>
      <w:r>
        <w:rPr>
          <w:sz w:val="24"/>
          <w:vertAlign w:val="baseline"/>
        </w:rPr>
        <w:t>written</w:t>
      </w:r>
      <w:r>
        <w:rPr>
          <w:spacing w:val="-4"/>
          <w:sz w:val="24"/>
          <w:vertAlign w:val="baseline"/>
        </w:rPr>
        <w:t> </w:t>
      </w:r>
      <w:r>
        <w:rPr>
          <w:sz w:val="24"/>
          <w:vertAlign w:val="baseline"/>
        </w:rPr>
        <w:t>ICRC/QAST</w:t>
      </w:r>
      <w:r>
        <w:rPr>
          <w:spacing w:val="-4"/>
          <w:sz w:val="24"/>
          <w:vertAlign w:val="baseline"/>
        </w:rPr>
        <w:t> </w:t>
      </w:r>
      <w:r>
        <w:rPr>
          <w:sz w:val="24"/>
          <w:vertAlign w:val="baseline"/>
        </w:rPr>
        <w:t>test</w:t>
      </w:r>
      <w:r>
        <w:rPr>
          <w:spacing w:val="-5"/>
          <w:sz w:val="24"/>
          <w:vertAlign w:val="baseline"/>
        </w:rPr>
        <w:t> </w:t>
      </w:r>
      <w:r>
        <w:rPr>
          <w:sz w:val="24"/>
          <w:vertAlign w:val="baseline"/>
        </w:rPr>
        <w:t>before</w:t>
      </w:r>
      <w:r>
        <w:rPr>
          <w:spacing w:val="-4"/>
          <w:sz w:val="24"/>
          <w:vertAlign w:val="baseline"/>
        </w:rPr>
        <w:t> </w:t>
      </w:r>
      <w:r>
        <w:rPr>
          <w:sz w:val="24"/>
          <w:vertAlign w:val="baseline"/>
        </w:rPr>
        <w:t>becoming</w:t>
      </w:r>
      <w:r>
        <w:rPr>
          <w:spacing w:val="-4"/>
          <w:sz w:val="24"/>
          <w:vertAlign w:val="baseline"/>
        </w:rPr>
        <w:t> </w:t>
      </w:r>
      <w:r>
        <w:rPr>
          <w:sz w:val="24"/>
          <w:vertAlign w:val="baseline"/>
        </w:rPr>
        <w:t>eligible</w:t>
      </w:r>
      <w:r>
        <w:rPr>
          <w:spacing w:val="-4"/>
          <w:sz w:val="24"/>
          <w:vertAlign w:val="baseline"/>
        </w:rPr>
        <w:t> </w:t>
      </w:r>
      <w:r>
        <w:rPr>
          <w:sz w:val="24"/>
          <w:vertAlign w:val="baseline"/>
        </w:rPr>
        <w:t>for</w:t>
      </w:r>
      <w:r>
        <w:rPr>
          <w:spacing w:val="-3"/>
          <w:sz w:val="24"/>
          <w:vertAlign w:val="baseline"/>
        </w:rPr>
        <w:t> </w:t>
      </w:r>
      <w:r>
        <w:rPr>
          <w:sz w:val="24"/>
          <w:vertAlign w:val="baseline"/>
        </w:rPr>
        <w:t>the</w:t>
      </w:r>
      <w:r>
        <w:rPr>
          <w:spacing w:val="-5"/>
          <w:sz w:val="24"/>
          <w:vertAlign w:val="baseline"/>
        </w:rPr>
        <w:t> </w:t>
      </w:r>
      <w:r>
        <w:rPr>
          <w:sz w:val="24"/>
          <w:vertAlign w:val="baseline"/>
        </w:rPr>
        <w:t>performance </w:t>
      </w:r>
      <w:r>
        <w:rPr>
          <w:spacing w:val="-2"/>
          <w:sz w:val="24"/>
          <w:vertAlign w:val="baseline"/>
        </w:rPr>
        <w:t>portion.</w:t>
      </w:r>
    </w:p>
    <w:p>
      <w:pPr>
        <w:pStyle w:val="ListParagraph"/>
        <w:numPr>
          <w:ilvl w:val="0"/>
          <w:numId w:val="303"/>
        </w:numPr>
        <w:tabs>
          <w:tab w:pos="773" w:val="left" w:leader="none"/>
        </w:tabs>
        <w:spacing w:line="208" w:lineRule="auto" w:before="0" w:after="0"/>
        <w:ind w:left="360" w:right="888" w:firstLine="0"/>
        <w:jc w:val="left"/>
        <w:rPr>
          <w:sz w:val="24"/>
        </w:rPr>
      </w:pPr>
      <w:r>
        <w:rPr>
          <w:b/>
          <w:sz w:val="24"/>
        </w:rPr>
        <w:t>Certification</w:t>
      </w:r>
      <w:r>
        <w:rPr>
          <w:b/>
          <w:spacing w:val="-4"/>
          <w:sz w:val="24"/>
        </w:rPr>
        <w:t> </w:t>
      </w:r>
      <w:r>
        <w:rPr>
          <w:b/>
          <w:sz w:val="24"/>
        </w:rPr>
        <w:t>renewal</w:t>
      </w:r>
      <w:r>
        <w:rPr>
          <w:b/>
          <w:spacing w:val="-3"/>
          <w:sz w:val="24"/>
        </w:rPr>
        <w:t> </w:t>
      </w:r>
      <w:r>
        <w:rPr>
          <w:b/>
          <w:sz w:val="24"/>
        </w:rPr>
        <w:t>fee.</w:t>
      </w:r>
      <w:r>
        <w:rPr>
          <w:b/>
          <w:spacing w:val="-5"/>
          <w:sz w:val="24"/>
        </w:rPr>
        <w:t> </w:t>
      </w:r>
      <w:r>
        <w:rPr>
          <w:sz w:val="24"/>
        </w:rPr>
        <w:t>A</w:t>
      </w:r>
      <w:r>
        <w:rPr>
          <w:spacing w:val="-4"/>
          <w:sz w:val="24"/>
        </w:rPr>
        <w:t> </w:t>
      </w:r>
      <w:r>
        <w:rPr>
          <w:sz w:val="24"/>
        </w:rPr>
        <w:t>certification</w:t>
      </w:r>
      <w:r>
        <w:rPr>
          <w:spacing w:val="-4"/>
          <w:sz w:val="24"/>
        </w:rPr>
        <w:t> </w:t>
      </w:r>
      <w:r>
        <w:rPr>
          <w:sz w:val="24"/>
        </w:rPr>
        <w:t>renewal</w:t>
      </w:r>
      <w:r>
        <w:rPr>
          <w:spacing w:val="-4"/>
          <w:sz w:val="24"/>
        </w:rPr>
        <w:t> </w:t>
      </w:r>
      <w:r>
        <w:rPr>
          <w:sz w:val="24"/>
        </w:rPr>
        <w:t>fee</w:t>
      </w:r>
      <w:r>
        <w:rPr>
          <w:spacing w:val="-4"/>
          <w:sz w:val="24"/>
        </w:rPr>
        <w:t> </w:t>
      </w:r>
      <w:r>
        <w:rPr>
          <w:sz w:val="24"/>
        </w:rPr>
        <w:t>and</w:t>
      </w:r>
      <w:r>
        <w:rPr>
          <w:spacing w:val="-4"/>
          <w:sz w:val="24"/>
        </w:rPr>
        <w:t> </w:t>
      </w:r>
      <w:r>
        <w:rPr>
          <w:sz w:val="24"/>
        </w:rPr>
        <w:t>renewal</w:t>
      </w:r>
      <w:r>
        <w:rPr>
          <w:spacing w:val="-4"/>
          <w:sz w:val="24"/>
        </w:rPr>
        <w:t> </w:t>
      </w:r>
      <w:r>
        <w:rPr>
          <w:sz w:val="24"/>
        </w:rPr>
        <w:t>form</w:t>
      </w:r>
      <w:r>
        <w:rPr>
          <w:spacing w:val="-5"/>
          <w:sz w:val="24"/>
        </w:rPr>
        <w:t> </w:t>
      </w:r>
      <w:r>
        <w:rPr>
          <w:sz w:val="24"/>
        </w:rPr>
        <w:t>are</w:t>
      </w:r>
      <w:r>
        <w:rPr>
          <w:spacing w:val="-4"/>
          <w:sz w:val="24"/>
        </w:rPr>
        <w:t> </w:t>
      </w:r>
      <w:r>
        <w:rPr>
          <w:sz w:val="24"/>
        </w:rPr>
        <w:t>due</w:t>
      </w:r>
      <w:r>
        <w:rPr>
          <w:spacing w:val="-4"/>
          <w:sz w:val="24"/>
        </w:rPr>
        <w:t> </w:t>
      </w:r>
      <w:r>
        <w:rPr>
          <w:sz w:val="24"/>
        </w:rPr>
        <w:t>by January 31</w:t>
      </w:r>
      <w:r>
        <w:rPr>
          <w:sz w:val="24"/>
          <w:vertAlign w:val="superscript"/>
        </w:rPr>
        <w:t>st</w:t>
      </w:r>
      <w:r>
        <w:rPr>
          <w:sz w:val="24"/>
          <w:vertAlign w:val="baseline"/>
        </w:rPr>
        <w:t> each year. The renewal form must be postmarked on or before January 31</w:t>
      </w:r>
      <w:r>
        <w:rPr>
          <w:sz w:val="24"/>
          <w:vertAlign w:val="superscript"/>
        </w:rPr>
        <w:t>st</w:t>
      </w:r>
      <w:r>
        <w:rPr>
          <w:sz w:val="24"/>
          <w:vertAlign w:val="baseline"/>
        </w:rPr>
        <w:t> to avoid certification becoming suspended.</w:t>
      </w:r>
    </w:p>
    <w:p>
      <w:pPr>
        <w:pStyle w:val="ListParagraph"/>
        <w:spacing w:after="0" w:line="208" w:lineRule="auto"/>
        <w:jc w:val="left"/>
        <w:rPr>
          <w:sz w:val="24"/>
        </w:rPr>
        <w:sectPr>
          <w:pgSz w:w="12240" w:h="15840"/>
          <w:pgMar w:top="1340" w:bottom="280" w:left="1080" w:right="720"/>
        </w:sectPr>
      </w:pPr>
    </w:p>
    <w:p>
      <w:pPr>
        <w:pStyle w:val="ListParagraph"/>
        <w:numPr>
          <w:ilvl w:val="0"/>
          <w:numId w:val="303"/>
        </w:numPr>
        <w:tabs>
          <w:tab w:pos="786" w:val="left" w:leader="none"/>
        </w:tabs>
        <w:spacing w:line="208" w:lineRule="auto" w:before="96" w:after="0"/>
        <w:ind w:left="360" w:right="853" w:firstLine="0"/>
        <w:jc w:val="left"/>
        <w:rPr>
          <w:sz w:val="24"/>
        </w:rPr>
      </w:pPr>
      <w:r>
        <w:rPr>
          <w:b/>
          <w:sz w:val="24"/>
        </w:rPr>
        <w:t>Certification suspension and reinstatement</w:t>
      </w:r>
      <w:r>
        <w:rPr>
          <w:sz w:val="24"/>
        </w:rPr>
        <w:t>. If the certification renewal fee and renewal</w:t>
      </w:r>
      <w:r>
        <w:rPr>
          <w:spacing w:val="-4"/>
          <w:sz w:val="24"/>
        </w:rPr>
        <w:t> </w:t>
      </w:r>
      <w:r>
        <w:rPr>
          <w:sz w:val="24"/>
        </w:rPr>
        <w:t>form</w:t>
      </w:r>
      <w:r>
        <w:rPr>
          <w:spacing w:val="-3"/>
          <w:sz w:val="24"/>
        </w:rPr>
        <w:t> </w:t>
      </w:r>
      <w:r>
        <w:rPr>
          <w:sz w:val="24"/>
        </w:rPr>
        <w:t>are</w:t>
      </w:r>
      <w:r>
        <w:rPr>
          <w:spacing w:val="-4"/>
          <w:sz w:val="24"/>
        </w:rPr>
        <w:t> </w:t>
      </w:r>
      <w:r>
        <w:rPr>
          <w:sz w:val="24"/>
        </w:rPr>
        <w:t>submitted</w:t>
      </w:r>
      <w:r>
        <w:rPr>
          <w:spacing w:val="-4"/>
          <w:sz w:val="24"/>
        </w:rPr>
        <w:t> </w:t>
      </w:r>
      <w:r>
        <w:rPr>
          <w:sz w:val="24"/>
        </w:rPr>
        <w:t>after</w:t>
      </w:r>
      <w:r>
        <w:rPr>
          <w:spacing w:val="-5"/>
          <w:sz w:val="24"/>
        </w:rPr>
        <w:t> </w:t>
      </w:r>
      <w:r>
        <w:rPr>
          <w:sz w:val="24"/>
        </w:rPr>
        <w:t>January</w:t>
      </w:r>
      <w:r>
        <w:rPr>
          <w:spacing w:val="-4"/>
          <w:sz w:val="24"/>
        </w:rPr>
        <w:t> </w:t>
      </w:r>
      <w:r>
        <w:rPr>
          <w:sz w:val="24"/>
        </w:rPr>
        <w:t>31</w:t>
      </w:r>
      <w:r>
        <w:rPr>
          <w:sz w:val="24"/>
          <w:vertAlign w:val="superscript"/>
        </w:rPr>
        <w:t>st</w:t>
      </w:r>
      <w:r>
        <w:rPr>
          <w:sz w:val="24"/>
          <w:vertAlign w:val="baseline"/>
        </w:rPr>
        <w:t>,</w:t>
      </w:r>
      <w:r>
        <w:rPr>
          <w:spacing w:val="-3"/>
          <w:sz w:val="24"/>
          <w:vertAlign w:val="baseline"/>
        </w:rPr>
        <w:t> </w:t>
      </w:r>
      <w:r>
        <w:rPr>
          <w:sz w:val="24"/>
          <w:vertAlign w:val="baseline"/>
        </w:rPr>
        <w:t>the</w:t>
      </w:r>
      <w:r>
        <w:rPr>
          <w:spacing w:val="-4"/>
          <w:sz w:val="24"/>
          <w:vertAlign w:val="baseline"/>
        </w:rPr>
        <w:t> </w:t>
      </w:r>
      <w:r>
        <w:rPr>
          <w:sz w:val="24"/>
          <w:vertAlign w:val="baseline"/>
        </w:rPr>
        <w:t>interpreter's</w:t>
      </w:r>
      <w:r>
        <w:rPr>
          <w:spacing w:val="-4"/>
          <w:sz w:val="24"/>
          <w:vertAlign w:val="baseline"/>
        </w:rPr>
        <w:t> </w:t>
      </w:r>
      <w:r>
        <w:rPr>
          <w:sz w:val="24"/>
          <w:vertAlign w:val="baseline"/>
        </w:rPr>
        <w:t>certification</w:t>
      </w:r>
      <w:r>
        <w:rPr>
          <w:spacing w:val="-4"/>
          <w:sz w:val="24"/>
          <w:vertAlign w:val="baseline"/>
        </w:rPr>
        <w:t> </w:t>
      </w:r>
      <w:r>
        <w:rPr>
          <w:sz w:val="24"/>
          <w:vertAlign w:val="baseline"/>
        </w:rPr>
        <w:t>will</w:t>
      </w:r>
      <w:r>
        <w:rPr>
          <w:spacing w:val="-4"/>
          <w:sz w:val="24"/>
          <w:vertAlign w:val="baseline"/>
        </w:rPr>
        <w:t> </w:t>
      </w:r>
      <w:r>
        <w:rPr>
          <w:sz w:val="24"/>
          <w:vertAlign w:val="baseline"/>
        </w:rPr>
        <w:t>become suspended. An interpreter who's certification has become suspended has an option to make application for reinstatement. The reinstatement process includes the following:</w:t>
      </w:r>
    </w:p>
    <w:p>
      <w:pPr>
        <w:pStyle w:val="BodyText"/>
        <w:spacing w:line="208" w:lineRule="auto" w:before="0"/>
        <w:ind w:right="775"/>
      </w:pPr>
      <w:r>
        <w:rPr/>
        <w:t>(1) The reinstatement application, (2) a $100 reinstatement fee, and (3) payment of the annual</w:t>
      </w:r>
      <w:r>
        <w:rPr>
          <w:spacing w:val="-4"/>
        </w:rPr>
        <w:t> </w:t>
      </w:r>
      <w:r>
        <w:rPr/>
        <w:t>certification</w:t>
      </w:r>
      <w:r>
        <w:rPr>
          <w:spacing w:val="-4"/>
        </w:rPr>
        <w:t> </w:t>
      </w:r>
      <w:r>
        <w:rPr/>
        <w:t>renewal</w:t>
      </w:r>
      <w:r>
        <w:rPr>
          <w:spacing w:val="-5"/>
        </w:rPr>
        <w:t> </w:t>
      </w:r>
      <w:r>
        <w:rPr/>
        <w:t>fee,</w:t>
      </w:r>
      <w:r>
        <w:rPr>
          <w:spacing w:val="-3"/>
        </w:rPr>
        <w:t> </w:t>
      </w:r>
      <w:r>
        <w:rPr/>
        <w:t>with</w:t>
      </w:r>
      <w:r>
        <w:rPr>
          <w:spacing w:val="-4"/>
        </w:rPr>
        <w:t> </w:t>
      </w:r>
      <w:r>
        <w:rPr/>
        <w:t>the</w:t>
      </w:r>
      <w:r>
        <w:rPr>
          <w:spacing w:val="-4"/>
        </w:rPr>
        <w:t> </w:t>
      </w:r>
      <w:r>
        <w:rPr/>
        <w:t>renewal</w:t>
      </w:r>
      <w:r>
        <w:rPr>
          <w:spacing w:val="-4"/>
        </w:rPr>
        <w:t> </w:t>
      </w:r>
      <w:r>
        <w:rPr/>
        <w:t>form.</w:t>
      </w:r>
      <w:r>
        <w:rPr>
          <w:spacing w:val="-3"/>
        </w:rPr>
        <w:t> </w:t>
      </w:r>
      <w:r>
        <w:rPr/>
        <w:t>The</w:t>
      </w:r>
      <w:r>
        <w:rPr>
          <w:spacing w:val="-4"/>
        </w:rPr>
        <w:t> </w:t>
      </w:r>
      <w:r>
        <w:rPr/>
        <w:t>reinstatement</w:t>
      </w:r>
      <w:r>
        <w:rPr>
          <w:spacing w:val="-3"/>
        </w:rPr>
        <w:t> </w:t>
      </w:r>
      <w:r>
        <w:rPr/>
        <w:t>process</w:t>
      </w:r>
      <w:r>
        <w:rPr>
          <w:spacing w:val="-4"/>
        </w:rPr>
        <w:t> </w:t>
      </w:r>
      <w:r>
        <w:rPr/>
        <w:t>must be submitted on or before February 28</w:t>
      </w:r>
      <w:r>
        <w:rPr>
          <w:vertAlign w:val="superscript"/>
        </w:rPr>
        <w:t>th</w:t>
      </w:r>
      <w:r>
        <w:rPr>
          <w:vertAlign w:val="baseline"/>
        </w:rPr>
        <w:t> to avoid certification becoming invalid. If certification becomes invalid, the individual must take and pass the written test before becoming eligible for the skill-based performance evaluation.</w:t>
      </w:r>
    </w:p>
    <w:p>
      <w:pPr>
        <w:pStyle w:val="ListParagraph"/>
        <w:numPr>
          <w:ilvl w:val="0"/>
          <w:numId w:val="303"/>
        </w:numPr>
        <w:tabs>
          <w:tab w:pos="786" w:val="left" w:leader="none"/>
        </w:tabs>
        <w:spacing w:line="208" w:lineRule="auto" w:before="239" w:after="0"/>
        <w:ind w:left="360" w:right="812" w:firstLine="0"/>
        <w:jc w:val="left"/>
        <w:rPr>
          <w:sz w:val="24"/>
        </w:rPr>
      </w:pPr>
      <w:r>
        <w:rPr>
          <w:b/>
          <w:sz w:val="24"/>
        </w:rPr>
        <w:t>Expiration of certification. </w:t>
      </w:r>
      <w:r>
        <w:rPr>
          <w:sz w:val="24"/>
        </w:rPr>
        <w:t>If an interpreter does not submit an application and appropriate</w:t>
      </w:r>
      <w:r>
        <w:rPr>
          <w:spacing w:val="-3"/>
          <w:sz w:val="24"/>
        </w:rPr>
        <w:t> </w:t>
      </w:r>
      <w:r>
        <w:rPr>
          <w:sz w:val="24"/>
        </w:rPr>
        <w:t>fee</w:t>
      </w:r>
      <w:r>
        <w:rPr>
          <w:spacing w:val="-4"/>
          <w:sz w:val="24"/>
        </w:rPr>
        <w:t> </w:t>
      </w:r>
      <w:r>
        <w:rPr>
          <w:sz w:val="24"/>
        </w:rPr>
        <w:t>for</w:t>
      </w:r>
      <w:r>
        <w:rPr>
          <w:spacing w:val="-4"/>
          <w:sz w:val="24"/>
        </w:rPr>
        <w:t> </w:t>
      </w:r>
      <w:r>
        <w:rPr>
          <w:sz w:val="24"/>
        </w:rPr>
        <w:t>testing</w:t>
      </w:r>
      <w:r>
        <w:rPr>
          <w:spacing w:val="-4"/>
          <w:sz w:val="24"/>
        </w:rPr>
        <w:t> </w:t>
      </w:r>
      <w:r>
        <w:rPr>
          <w:sz w:val="24"/>
        </w:rPr>
        <w:t>160</w:t>
      </w:r>
      <w:r>
        <w:rPr>
          <w:spacing w:val="-4"/>
          <w:sz w:val="24"/>
        </w:rPr>
        <w:t> </w:t>
      </w:r>
      <w:r>
        <w:rPr>
          <w:sz w:val="24"/>
        </w:rPr>
        <w:t>days</w:t>
      </w:r>
      <w:r>
        <w:rPr>
          <w:spacing w:val="-4"/>
          <w:sz w:val="24"/>
        </w:rPr>
        <w:t> </w:t>
      </w:r>
      <w:r>
        <w:rPr>
          <w:sz w:val="24"/>
        </w:rPr>
        <w:t>prior</w:t>
      </w:r>
      <w:r>
        <w:rPr>
          <w:spacing w:val="-3"/>
          <w:sz w:val="24"/>
        </w:rPr>
        <w:t> </w:t>
      </w:r>
      <w:r>
        <w:rPr>
          <w:sz w:val="24"/>
        </w:rPr>
        <w:t>to</w:t>
      </w:r>
      <w:r>
        <w:rPr>
          <w:spacing w:val="-4"/>
          <w:sz w:val="24"/>
        </w:rPr>
        <w:t> </w:t>
      </w:r>
      <w:r>
        <w:rPr>
          <w:sz w:val="24"/>
        </w:rPr>
        <w:t>the</w:t>
      </w:r>
      <w:r>
        <w:rPr>
          <w:spacing w:val="-4"/>
          <w:sz w:val="24"/>
        </w:rPr>
        <w:t> </w:t>
      </w:r>
      <w:r>
        <w:rPr>
          <w:sz w:val="24"/>
        </w:rPr>
        <w:t>level(s)</w:t>
      </w:r>
      <w:r>
        <w:rPr>
          <w:spacing w:val="-3"/>
          <w:sz w:val="24"/>
        </w:rPr>
        <w:t> </w:t>
      </w:r>
      <w:r>
        <w:rPr>
          <w:sz w:val="24"/>
        </w:rPr>
        <w:t>expiration</w:t>
      </w:r>
      <w:r>
        <w:rPr>
          <w:spacing w:val="-3"/>
          <w:sz w:val="24"/>
        </w:rPr>
        <w:t> </w:t>
      </w:r>
      <w:r>
        <w:rPr>
          <w:sz w:val="24"/>
        </w:rPr>
        <w:t>date,</w:t>
      </w:r>
      <w:r>
        <w:rPr>
          <w:spacing w:val="-3"/>
          <w:sz w:val="24"/>
        </w:rPr>
        <w:t> </w:t>
      </w:r>
      <w:r>
        <w:rPr>
          <w:sz w:val="24"/>
        </w:rPr>
        <w:t>the</w:t>
      </w:r>
      <w:r>
        <w:rPr>
          <w:spacing w:val="-4"/>
          <w:sz w:val="24"/>
        </w:rPr>
        <w:t> </w:t>
      </w:r>
      <w:r>
        <w:rPr>
          <w:sz w:val="24"/>
        </w:rPr>
        <w:t>interpreter's certification level(s) will be considered invalid on the expiration date. If level(s) become invalid, the individual must take and pass the sign language interpreter written test before becoming eligible for the skill-based performance evaluation. If an interpreter's certification</w:t>
      </w:r>
      <w:r>
        <w:rPr>
          <w:spacing w:val="-2"/>
          <w:sz w:val="24"/>
        </w:rPr>
        <w:t> </w:t>
      </w:r>
      <w:r>
        <w:rPr>
          <w:sz w:val="24"/>
        </w:rPr>
        <w:t>becomes</w:t>
      </w:r>
      <w:r>
        <w:rPr>
          <w:spacing w:val="-2"/>
          <w:sz w:val="24"/>
        </w:rPr>
        <w:t> </w:t>
      </w:r>
      <w:r>
        <w:rPr>
          <w:sz w:val="24"/>
        </w:rPr>
        <w:t>invalid</w:t>
      </w:r>
      <w:r>
        <w:rPr>
          <w:spacing w:val="-2"/>
          <w:sz w:val="24"/>
        </w:rPr>
        <w:t> </w:t>
      </w:r>
      <w:r>
        <w:rPr>
          <w:sz w:val="24"/>
        </w:rPr>
        <w:t>twice</w:t>
      </w:r>
      <w:r>
        <w:rPr>
          <w:spacing w:val="-2"/>
          <w:sz w:val="24"/>
        </w:rPr>
        <w:t> </w:t>
      </w:r>
      <w:r>
        <w:rPr>
          <w:sz w:val="24"/>
        </w:rPr>
        <w:t>consecutively</w:t>
      </w:r>
      <w:r>
        <w:rPr>
          <w:spacing w:val="-2"/>
          <w:sz w:val="24"/>
        </w:rPr>
        <w:t> </w:t>
      </w:r>
      <w:r>
        <w:rPr>
          <w:sz w:val="24"/>
        </w:rPr>
        <w:t>due</w:t>
      </w:r>
      <w:r>
        <w:rPr>
          <w:spacing w:val="-2"/>
          <w:sz w:val="24"/>
        </w:rPr>
        <w:t> </w:t>
      </w:r>
      <w:r>
        <w:rPr>
          <w:sz w:val="24"/>
        </w:rPr>
        <w:t>to</w:t>
      </w:r>
      <w:r>
        <w:rPr>
          <w:spacing w:val="-2"/>
          <w:sz w:val="24"/>
        </w:rPr>
        <w:t> </w:t>
      </w:r>
      <w:r>
        <w:rPr>
          <w:sz w:val="24"/>
        </w:rPr>
        <w:t>non-compliance</w:t>
      </w:r>
      <w:r>
        <w:rPr>
          <w:spacing w:val="-2"/>
          <w:sz w:val="24"/>
        </w:rPr>
        <w:t> </w:t>
      </w:r>
      <w:r>
        <w:rPr>
          <w:sz w:val="24"/>
        </w:rPr>
        <w:t>with</w:t>
      </w:r>
      <w:r>
        <w:rPr>
          <w:spacing w:val="-2"/>
          <w:sz w:val="24"/>
        </w:rPr>
        <w:t> </w:t>
      </w:r>
      <w:r>
        <w:rPr>
          <w:sz w:val="24"/>
        </w:rPr>
        <w:t>either,</w:t>
      </w:r>
      <w:r>
        <w:rPr>
          <w:spacing w:val="-1"/>
          <w:sz w:val="24"/>
        </w:rPr>
        <w:t> </w:t>
      </w:r>
      <w:r>
        <w:rPr>
          <w:sz w:val="24"/>
        </w:rPr>
        <w:t>the CEU or annual renewal fee requirements, the interpreter will not be allowed to take the written</w:t>
      </w:r>
      <w:r>
        <w:rPr>
          <w:spacing w:val="-1"/>
          <w:sz w:val="24"/>
        </w:rPr>
        <w:t> </w:t>
      </w:r>
      <w:r>
        <w:rPr>
          <w:sz w:val="24"/>
        </w:rPr>
        <w:t>test</w:t>
      </w:r>
      <w:r>
        <w:rPr>
          <w:spacing w:val="-2"/>
          <w:sz w:val="24"/>
        </w:rPr>
        <w:t> </w:t>
      </w:r>
      <w:r>
        <w:rPr>
          <w:sz w:val="24"/>
        </w:rPr>
        <w:t>or the</w:t>
      </w:r>
      <w:r>
        <w:rPr>
          <w:spacing w:val="-1"/>
          <w:sz w:val="24"/>
        </w:rPr>
        <w:t> </w:t>
      </w:r>
      <w:r>
        <w:rPr>
          <w:sz w:val="24"/>
        </w:rPr>
        <w:t>skill-based</w:t>
      </w:r>
      <w:r>
        <w:rPr>
          <w:spacing w:val="-1"/>
          <w:sz w:val="24"/>
        </w:rPr>
        <w:t> </w:t>
      </w:r>
      <w:r>
        <w:rPr>
          <w:sz w:val="24"/>
        </w:rPr>
        <w:t>performance</w:t>
      </w:r>
      <w:r>
        <w:rPr>
          <w:spacing w:val="-1"/>
          <w:sz w:val="24"/>
        </w:rPr>
        <w:t> </w:t>
      </w:r>
      <w:r>
        <w:rPr>
          <w:sz w:val="24"/>
        </w:rPr>
        <w:t>evaluation</w:t>
      </w:r>
      <w:r>
        <w:rPr>
          <w:spacing w:val="-1"/>
          <w:sz w:val="24"/>
        </w:rPr>
        <w:t> </w:t>
      </w:r>
      <w:r>
        <w:rPr>
          <w:sz w:val="24"/>
        </w:rPr>
        <w:t>until</w:t>
      </w:r>
      <w:r>
        <w:rPr>
          <w:spacing w:val="-1"/>
          <w:sz w:val="24"/>
        </w:rPr>
        <w:t> </w:t>
      </w:r>
      <w:r>
        <w:rPr>
          <w:sz w:val="24"/>
        </w:rPr>
        <w:t>one</w:t>
      </w:r>
      <w:r>
        <w:rPr>
          <w:spacing w:val="-1"/>
          <w:sz w:val="24"/>
        </w:rPr>
        <w:t> </w:t>
      </w:r>
      <w:r>
        <w:rPr>
          <w:sz w:val="24"/>
        </w:rPr>
        <w:t>(1)</w:t>
      </w:r>
      <w:r>
        <w:rPr>
          <w:spacing w:val="-2"/>
          <w:sz w:val="24"/>
        </w:rPr>
        <w:t> </w:t>
      </w:r>
      <w:r>
        <w:rPr>
          <w:sz w:val="24"/>
        </w:rPr>
        <w:t>year from</w:t>
      </w:r>
      <w:r>
        <w:rPr>
          <w:spacing w:val="-2"/>
          <w:sz w:val="24"/>
        </w:rPr>
        <w:t> </w:t>
      </w:r>
      <w:r>
        <w:rPr>
          <w:sz w:val="24"/>
        </w:rPr>
        <w:t>the</w:t>
      </w:r>
      <w:r>
        <w:rPr>
          <w:spacing w:val="-1"/>
          <w:sz w:val="24"/>
        </w:rPr>
        <w:t> </w:t>
      </w:r>
      <w:r>
        <w:rPr>
          <w:sz w:val="24"/>
        </w:rPr>
        <w:t>date</w:t>
      </w:r>
      <w:r>
        <w:rPr>
          <w:spacing w:val="-1"/>
          <w:sz w:val="24"/>
        </w:rPr>
        <w:t> </w:t>
      </w:r>
      <w:r>
        <w:rPr>
          <w:sz w:val="24"/>
        </w:rPr>
        <w:t>of the second documented non-compliance.</w:t>
      </w:r>
    </w:p>
    <w:p>
      <w:pPr>
        <w:pStyle w:val="ListParagraph"/>
        <w:numPr>
          <w:ilvl w:val="0"/>
          <w:numId w:val="303"/>
        </w:numPr>
        <w:tabs>
          <w:tab w:pos="652" w:val="left" w:leader="none"/>
        </w:tabs>
        <w:spacing w:line="208" w:lineRule="auto" w:before="239" w:after="0"/>
        <w:ind w:left="360" w:right="1049" w:firstLine="0"/>
        <w:jc w:val="both"/>
        <w:rPr>
          <w:sz w:val="24"/>
        </w:rPr>
      </w:pPr>
      <w:r>
        <w:rPr>
          <w:b/>
          <w:sz w:val="24"/>
        </w:rPr>
        <w:t>Modification</w:t>
      </w:r>
      <w:r>
        <w:rPr>
          <w:b/>
          <w:spacing w:val="-5"/>
          <w:sz w:val="24"/>
        </w:rPr>
        <w:t> </w:t>
      </w:r>
      <w:r>
        <w:rPr>
          <w:b/>
          <w:sz w:val="24"/>
        </w:rPr>
        <w:t>of</w:t>
      </w:r>
      <w:r>
        <w:rPr>
          <w:b/>
          <w:spacing w:val="-6"/>
          <w:sz w:val="24"/>
        </w:rPr>
        <w:t> </w:t>
      </w:r>
      <w:r>
        <w:rPr>
          <w:b/>
          <w:sz w:val="24"/>
        </w:rPr>
        <w:t>requirements</w:t>
      </w:r>
      <w:r>
        <w:rPr>
          <w:sz w:val="24"/>
        </w:rPr>
        <w:t>.</w:t>
      </w:r>
      <w:r>
        <w:rPr>
          <w:spacing w:val="-4"/>
          <w:sz w:val="24"/>
        </w:rPr>
        <w:t> </w:t>
      </w:r>
      <w:r>
        <w:rPr>
          <w:sz w:val="24"/>
        </w:rPr>
        <w:t>Requirements</w:t>
      </w:r>
      <w:r>
        <w:rPr>
          <w:spacing w:val="-5"/>
          <w:sz w:val="24"/>
        </w:rPr>
        <w:t> </w:t>
      </w:r>
      <w:r>
        <w:rPr>
          <w:sz w:val="24"/>
        </w:rPr>
        <w:t>for</w:t>
      </w:r>
      <w:r>
        <w:rPr>
          <w:spacing w:val="-6"/>
          <w:sz w:val="24"/>
        </w:rPr>
        <w:t> </w:t>
      </w:r>
      <w:r>
        <w:rPr>
          <w:sz w:val="24"/>
        </w:rPr>
        <w:t>certification</w:t>
      </w:r>
      <w:r>
        <w:rPr>
          <w:spacing w:val="-5"/>
          <w:sz w:val="24"/>
        </w:rPr>
        <w:t> </w:t>
      </w:r>
      <w:r>
        <w:rPr>
          <w:sz w:val="24"/>
        </w:rPr>
        <w:t>renewal</w:t>
      </w:r>
      <w:r>
        <w:rPr>
          <w:spacing w:val="-5"/>
          <w:sz w:val="24"/>
        </w:rPr>
        <w:t> </w:t>
      </w:r>
      <w:r>
        <w:rPr>
          <w:sz w:val="24"/>
        </w:rPr>
        <w:t>of</w:t>
      </w:r>
      <w:r>
        <w:rPr>
          <w:spacing w:val="-4"/>
          <w:sz w:val="24"/>
        </w:rPr>
        <w:t> </w:t>
      </w:r>
      <w:r>
        <w:rPr>
          <w:sz w:val="24"/>
        </w:rPr>
        <w:t>any</w:t>
      </w:r>
      <w:r>
        <w:rPr>
          <w:spacing w:val="-5"/>
          <w:sz w:val="24"/>
        </w:rPr>
        <w:t> </w:t>
      </w:r>
      <w:r>
        <w:rPr>
          <w:sz w:val="24"/>
        </w:rPr>
        <w:t>level may be changed or modified by future amendments to</w:t>
      </w:r>
      <w:r>
        <w:rPr>
          <w:spacing w:val="-1"/>
          <w:sz w:val="24"/>
        </w:rPr>
        <w:t> </w:t>
      </w:r>
      <w:r>
        <w:rPr>
          <w:sz w:val="24"/>
        </w:rPr>
        <w:t>this section or the rules</w:t>
      </w:r>
      <w:r>
        <w:rPr>
          <w:spacing w:val="-1"/>
          <w:sz w:val="24"/>
        </w:rPr>
        <w:t> </w:t>
      </w:r>
      <w:r>
        <w:rPr>
          <w:sz w:val="24"/>
        </w:rPr>
        <w:t>of</w:t>
      </w:r>
      <w:r>
        <w:rPr>
          <w:spacing w:val="-1"/>
          <w:sz w:val="24"/>
        </w:rPr>
        <w:t> </w:t>
      </w:r>
      <w:r>
        <w:rPr>
          <w:sz w:val="24"/>
        </w:rPr>
        <w:t>this </w:t>
      </w:r>
      <w:r>
        <w:rPr>
          <w:spacing w:val="-2"/>
          <w:sz w:val="24"/>
        </w:rPr>
        <w:t>subchapter.</w:t>
      </w:r>
    </w:p>
    <w:p>
      <w:pPr>
        <w:pStyle w:val="BodyText"/>
        <w:spacing w:before="210"/>
      </w:pPr>
      <w:r>
        <w:rPr/>
        <w:t>Instructions</w:t>
      </w:r>
      <w:r>
        <w:rPr>
          <w:spacing w:val="-5"/>
        </w:rPr>
        <w:t> </w:t>
      </w:r>
      <w:r>
        <w:rPr/>
        <w:t>to</w:t>
      </w:r>
      <w:r>
        <w:rPr>
          <w:spacing w:val="-2"/>
        </w:rPr>
        <w:t> </w:t>
      </w:r>
      <w:r>
        <w:rPr>
          <w:spacing w:val="-4"/>
        </w:rPr>
        <w:t>Staff</w:t>
      </w:r>
    </w:p>
    <w:p>
      <w:pPr>
        <w:pStyle w:val="BodyText"/>
        <w:tabs>
          <w:tab w:pos="899" w:val="left" w:leader="none"/>
        </w:tabs>
        <w:spacing w:line="208" w:lineRule="auto" w:before="234"/>
        <w:ind w:left="900" w:right="721" w:hanging="540"/>
      </w:pPr>
      <w:r>
        <w:rPr>
          <w:spacing w:val="-6"/>
        </w:rPr>
        <w:t>1.</w:t>
      </w:r>
      <w:r>
        <w:rPr/>
        <w:tab/>
        <w:t>ICRC</w:t>
      </w:r>
      <w:r>
        <w:rPr>
          <w:spacing w:val="-3"/>
        </w:rPr>
        <w:t> </w:t>
      </w:r>
      <w:r>
        <w:rPr/>
        <w:t>interpreters</w:t>
      </w:r>
      <w:r>
        <w:rPr>
          <w:spacing w:val="-3"/>
        </w:rPr>
        <w:t> </w:t>
      </w:r>
      <w:r>
        <w:rPr/>
        <w:t>are</w:t>
      </w:r>
      <w:r>
        <w:rPr>
          <w:spacing w:val="-4"/>
        </w:rPr>
        <w:t> </w:t>
      </w:r>
      <w:r>
        <w:rPr/>
        <w:t>required</w:t>
      </w:r>
      <w:r>
        <w:rPr>
          <w:spacing w:val="-3"/>
        </w:rPr>
        <w:t> </w:t>
      </w:r>
      <w:r>
        <w:rPr/>
        <w:t>to</w:t>
      </w:r>
      <w:r>
        <w:rPr>
          <w:spacing w:val="-3"/>
        </w:rPr>
        <w:t> </w:t>
      </w:r>
      <w:r>
        <w:rPr/>
        <w:t>satisfy</w:t>
      </w:r>
      <w:r>
        <w:rPr>
          <w:spacing w:val="-3"/>
        </w:rPr>
        <w:t> </w:t>
      </w:r>
      <w:r>
        <w:rPr/>
        <w:t>1</w:t>
      </w:r>
      <w:r>
        <w:rPr>
          <w:spacing w:val="-4"/>
        </w:rPr>
        <w:t> </w:t>
      </w:r>
      <w:r>
        <w:rPr/>
        <w:t>CEU</w:t>
      </w:r>
      <w:r>
        <w:rPr>
          <w:spacing w:val="-3"/>
        </w:rPr>
        <w:t> </w:t>
      </w:r>
      <w:r>
        <w:rPr/>
        <w:t>and</w:t>
      </w:r>
      <w:r>
        <w:rPr>
          <w:spacing w:val="-3"/>
        </w:rPr>
        <w:t> </w:t>
      </w:r>
      <w:r>
        <w:rPr/>
        <w:t>a</w:t>
      </w:r>
      <w:r>
        <w:rPr>
          <w:spacing w:val="-3"/>
        </w:rPr>
        <w:t> </w:t>
      </w:r>
      <w:r>
        <w:rPr/>
        <w:t>renewal</w:t>
      </w:r>
      <w:r>
        <w:rPr>
          <w:spacing w:val="-3"/>
        </w:rPr>
        <w:t> </w:t>
      </w:r>
      <w:r>
        <w:rPr/>
        <w:t>fee</w:t>
      </w:r>
      <w:r>
        <w:rPr>
          <w:spacing w:val="-3"/>
        </w:rPr>
        <w:t> </w:t>
      </w:r>
      <w:r>
        <w:rPr/>
        <w:t>annually.</w:t>
      </w:r>
      <w:r>
        <w:rPr>
          <w:spacing w:val="-2"/>
        </w:rPr>
        <w:t> </w:t>
      </w:r>
      <w:r>
        <w:rPr/>
        <w:t>Failure to satisfy one or either of the requirements will result in certification becoming </w:t>
      </w:r>
      <w:r>
        <w:rPr>
          <w:spacing w:val="-2"/>
        </w:rPr>
        <w:t>invalid.</w:t>
      </w:r>
    </w:p>
    <w:p>
      <w:pPr>
        <w:pStyle w:val="BodyText"/>
        <w:spacing w:line="208" w:lineRule="auto" w:before="239"/>
        <w:ind w:left="900" w:right="775"/>
      </w:pPr>
      <w:r>
        <w:rPr/>
        <w:t>The 1 (10 hrs) CEUs, with 1 (1 hr) in the category of ethics, is due by December 31st. It is the interpreter's responsibility to ensure all supportive CEU documentation</w:t>
      </w:r>
      <w:r>
        <w:rPr>
          <w:spacing w:val="-1"/>
        </w:rPr>
        <w:t> </w:t>
      </w:r>
      <w:r>
        <w:rPr/>
        <w:t>is</w:t>
      </w:r>
      <w:r>
        <w:rPr>
          <w:spacing w:val="-1"/>
        </w:rPr>
        <w:t> </w:t>
      </w:r>
      <w:r>
        <w:rPr/>
        <w:t>submitted</w:t>
      </w:r>
      <w:r>
        <w:rPr>
          <w:spacing w:val="-1"/>
        </w:rPr>
        <w:t> </w:t>
      </w:r>
      <w:r>
        <w:rPr/>
        <w:t>to</w:t>
      </w:r>
      <w:r>
        <w:rPr>
          <w:spacing w:val="-2"/>
        </w:rPr>
        <w:t> </w:t>
      </w:r>
      <w:r>
        <w:rPr/>
        <w:t>the</w:t>
      </w:r>
      <w:r>
        <w:rPr>
          <w:spacing w:val="-2"/>
        </w:rPr>
        <w:t> </w:t>
      </w:r>
      <w:r>
        <w:rPr/>
        <w:t>ICRC</w:t>
      </w:r>
      <w:r>
        <w:rPr>
          <w:spacing w:val="-1"/>
        </w:rPr>
        <w:t> </w:t>
      </w:r>
      <w:r>
        <w:rPr/>
        <w:t>staff before</w:t>
      </w:r>
      <w:r>
        <w:rPr>
          <w:spacing w:val="-2"/>
        </w:rPr>
        <w:t> </w:t>
      </w:r>
      <w:r>
        <w:rPr/>
        <w:t>or</w:t>
      </w:r>
      <w:r>
        <w:rPr>
          <w:spacing w:val="-2"/>
        </w:rPr>
        <w:t> </w:t>
      </w:r>
      <w:r>
        <w:rPr/>
        <w:t>on</w:t>
      </w:r>
      <w:r>
        <w:rPr>
          <w:spacing w:val="-1"/>
        </w:rPr>
        <w:t> </w:t>
      </w:r>
      <w:r>
        <w:rPr/>
        <w:t>December 31</w:t>
      </w:r>
      <w:r>
        <w:rPr>
          <w:vertAlign w:val="superscript"/>
        </w:rPr>
        <w:t>st</w:t>
      </w:r>
      <w:r>
        <w:rPr>
          <w:spacing w:val="-23"/>
          <w:vertAlign w:val="baseline"/>
        </w:rPr>
        <w:t> </w:t>
      </w:r>
      <w:r>
        <w:rPr>
          <w:vertAlign w:val="baseline"/>
        </w:rPr>
        <w:t>to</w:t>
      </w:r>
      <w:r>
        <w:rPr>
          <w:spacing w:val="-1"/>
          <w:vertAlign w:val="baseline"/>
        </w:rPr>
        <w:t> </w:t>
      </w:r>
      <w:r>
        <w:rPr>
          <w:vertAlign w:val="baseline"/>
        </w:rPr>
        <w:t>avoid certification</w:t>
      </w:r>
      <w:r>
        <w:rPr>
          <w:spacing w:val="-4"/>
          <w:vertAlign w:val="baseline"/>
        </w:rPr>
        <w:t> </w:t>
      </w:r>
      <w:r>
        <w:rPr>
          <w:vertAlign w:val="baseline"/>
        </w:rPr>
        <w:t>becoming</w:t>
      </w:r>
      <w:r>
        <w:rPr>
          <w:spacing w:val="-4"/>
          <w:vertAlign w:val="baseline"/>
        </w:rPr>
        <w:t> </w:t>
      </w:r>
      <w:r>
        <w:rPr>
          <w:vertAlign w:val="baseline"/>
        </w:rPr>
        <w:t>invalid.</w:t>
      </w:r>
      <w:r>
        <w:rPr>
          <w:spacing w:val="-4"/>
          <w:vertAlign w:val="baseline"/>
        </w:rPr>
        <w:t> </w:t>
      </w:r>
      <w:r>
        <w:rPr>
          <w:vertAlign w:val="baseline"/>
        </w:rPr>
        <w:t>If</w:t>
      </w:r>
      <w:r>
        <w:rPr>
          <w:spacing w:val="-5"/>
          <w:vertAlign w:val="baseline"/>
        </w:rPr>
        <w:t> </w:t>
      </w:r>
      <w:r>
        <w:rPr>
          <w:vertAlign w:val="baseline"/>
        </w:rPr>
        <w:t>certification</w:t>
      </w:r>
      <w:r>
        <w:rPr>
          <w:spacing w:val="-4"/>
          <w:vertAlign w:val="baseline"/>
        </w:rPr>
        <w:t> </w:t>
      </w:r>
      <w:r>
        <w:rPr>
          <w:vertAlign w:val="baseline"/>
        </w:rPr>
        <w:t>becomes</w:t>
      </w:r>
      <w:r>
        <w:rPr>
          <w:spacing w:val="-4"/>
          <w:vertAlign w:val="baseline"/>
        </w:rPr>
        <w:t> </w:t>
      </w:r>
      <w:r>
        <w:rPr>
          <w:vertAlign w:val="baseline"/>
        </w:rPr>
        <w:t>invalid,</w:t>
      </w:r>
      <w:r>
        <w:rPr>
          <w:spacing w:val="-4"/>
          <w:vertAlign w:val="baseline"/>
        </w:rPr>
        <w:t> </w:t>
      </w:r>
      <w:r>
        <w:rPr>
          <w:vertAlign w:val="baseline"/>
        </w:rPr>
        <w:t>the</w:t>
      </w:r>
      <w:r>
        <w:rPr>
          <w:spacing w:val="-4"/>
          <w:vertAlign w:val="baseline"/>
        </w:rPr>
        <w:t> </w:t>
      </w:r>
      <w:r>
        <w:rPr>
          <w:vertAlign w:val="baseline"/>
        </w:rPr>
        <w:t>individual</w:t>
      </w:r>
      <w:r>
        <w:rPr>
          <w:spacing w:val="-4"/>
          <w:vertAlign w:val="baseline"/>
        </w:rPr>
        <w:t> </w:t>
      </w:r>
      <w:r>
        <w:rPr>
          <w:vertAlign w:val="baseline"/>
        </w:rPr>
        <w:t>will</w:t>
      </w:r>
      <w:r>
        <w:rPr>
          <w:spacing w:val="-4"/>
          <w:vertAlign w:val="baseline"/>
        </w:rPr>
        <w:t> </w:t>
      </w:r>
      <w:r>
        <w:rPr>
          <w:vertAlign w:val="baseline"/>
        </w:rPr>
        <w:t>be required to take and pass the sign language interpreter written test before eligible for the skill-based performance evaluation.</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94</w:t>
      </w:r>
      <w:r>
        <w:rPr>
          <w:sz w:val="22"/>
        </w:rPr>
        <w:tab/>
        <w:t>PT</w:t>
      </w:r>
      <w:r>
        <w:rPr>
          <w:spacing w:val="-8"/>
          <w:sz w:val="22"/>
        </w:rPr>
        <w:t> </w:t>
      </w:r>
      <w:r>
        <w:rPr>
          <w:sz w:val="22"/>
        </w:rPr>
        <w:t>Memo</w:t>
      </w:r>
      <w:r>
        <w:rPr>
          <w:spacing w:val="-7"/>
          <w:sz w:val="22"/>
        </w:rPr>
        <w:t> </w:t>
      </w:r>
      <w:r>
        <w:rPr>
          <w:sz w:val="22"/>
        </w:rPr>
        <w:t>#94-</w:t>
      </w:r>
      <w:r>
        <w:rPr>
          <w:spacing w:val="-10"/>
          <w:sz w:val="22"/>
        </w:rPr>
        <w:t>1</w:t>
      </w:r>
    </w:p>
    <w:p>
      <w:pPr>
        <w:tabs>
          <w:tab w:pos="1439" w:val="left" w:leader="none"/>
        </w:tabs>
        <w:spacing w:before="0"/>
        <w:ind w:left="359" w:right="6636"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3-1-97</w:t>
      </w:r>
      <w:r>
        <w:rPr>
          <w:sz w:val="22"/>
        </w:rPr>
        <w:tab/>
        <w:t>PT Memo #97-5</w:t>
      </w:r>
    </w:p>
    <w:p>
      <w:pPr>
        <w:tabs>
          <w:tab w:pos="1439" w:val="left" w:leader="none"/>
        </w:tabs>
        <w:spacing w:before="0"/>
        <w:ind w:left="359" w:right="4266" w:firstLine="1080"/>
        <w:jc w:val="left"/>
        <w:rPr>
          <w:sz w:val="22"/>
        </w:rPr>
      </w:pPr>
      <w:r>
        <w:rPr>
          <w:sz w:val="22"/>
        </w:rPr>
        <w:t>Emergency,</w:t>
      </w:r>
      <w:r>
        <w:rPr>
          <w:spacing w:val="-10"/>
          <w:sz w:val="22"/>
        </w:rPr>
        <w:t> </w:t>
      </w:r>
      <w:r>
        <w:rPr>
          <w:sz w:val="22"/>
        </w:rPr>
        <w:t>liberalized</w:t>
      </w:r>
      <w:r>
        <w:rPr>
          <w:spacing w:val="-10"/>
          <w:sz w:val="22"/>
        </w:rPr>
        <w:t> </w:t>
      </w:r>
      <w:r>
        <w:rPr>
          <w:sz w:val="22"/>
        </w:rPr>
        <w:t>certification</w:t>
      </w:r>
      <w:r>
        <w:rPr>
          <w:spacing w:val="-10"/>
          <w:sz w:val="22"/>
        </w:rPr>
        <w:t> </w:t>
      </w:r>
      <w:r>
        <w:rPr>
          <w:sz w:val="22"/>
        </w:rPr>
        <w:t>testing</w:t>
      </w:r>
      <w:r>
        <w:rPr>
          <w:spacing w:val="-10"/>
          <w:sz w:val="22"/>
        </w:rPr>
        <w:t> </w:t>
      </w:r>
      <w:r>
        <w:rPr>
          <w:sz w:val="22"/>
        </w:rPr>
        <w:t>policy </w:t>
      </w:r>
      <w:r>
        <w:rPr>
          <w:spacing w:val="-2"/>
          <w:sz w:val="22"/>
        </w:rPr>
        <w:t>7-1-97</w:t>
      </w:r>
      <w:r>
        <w:rPr>
          <w:sz w:val="22"/>
        </w:rPr>
        <w:tab/>
        <w:t>PT Memo #97-9</w:t>
      </w:r>
    </w:p>
    <w:p>
      <w:pPr>
        <w:tabs>
          <w:tab w:pos="1439" w:val="left" w:leader="none"/>
        </w:tabs>
        <w:spacing w:before="0"/>
        <w:ind w:left="360" w:right="3580" w:firstLine="1080"/>
        <w:jc w:val="left"/>
        <w:rPr>
          <w:sz w:val="22"/>
        </w:rPr>
      </w:pPr>
      <w:r>
        <w:rPr>
          <w:sz w:val="22"/>
        </w:rPr>
        <w:t>Permanent,</w:t>
      </w:r>
      <w:r>
        <w:rPr>
          <w:spacing w:val="-7"/>
          <w:sz w:val="22"/>
        </w:rPr>
        <w:t> </w:t>
      </w:r>
      <w:r>
        <w:rPr>
          <w:sz w:val="22"/>
        </w:rPr>
        <w:t>supersedes</w:t>
      </w:r>
      <w:r>
        <w:rPr>
          <w:spacing w:val="-9"/>
          <w:sz w:val="22"/>
        </w:rPr>
        <w:t> </w:t>
      </w:r>
      <w:r>
        <w:rPr>
          <w:sz w:val="22"/>
        </w:rPr>
        <w:t>emergency</w:t>
      </w:r>
      <w:r>
        <w:rPr>
          <w:spacing w:val="-8"/>
          <w:sz w:val="22"/>
        </w:rPr>
        <w:t> </w:t>
      </w:r>
      <w:r>
        <w:rPr>
          <w:sz w:val="22"/>
        </w:rPr>
        <w:t>rules</w:t>
      </w:r>
      <w:r>
        <w:rPr>
          <w:spacing w:val="-8"/>
          <w:sz w:val="22"/>
        </w:rPr>
        <w:t> </w:t>
      </w:r>
      <w:r>
        <w:rPr>
          <w:sz w:val="22"/>
        </w:rPr>
        <w:t>issued</w:t>
      </w:r>
      <w:r>
        <w:rPr>
          <w:spacing w:val="-9"/>
          <w:sz w:val="22"/>
        </w:rPr>
        <w:t> </w:t>
      </w:r>
      <w:r>
        <w:rPr>
          <w:sz w:val="22"/>
        </w:rPr>
        <w:t>3-1-97 </w:t>
      </w:r>
      <w:r>
        <w:rPr>
          <w:spacing w:val="-2"/>
          <w:sz w:val="22"/>
        </w:rPr>
        <w:t>7-1-04</w:t>
      </w:r>
      <w:r>
        <w:rPr>
          <w:sz w:val="22"/>
        </w:rPr>
        <w:tab/>
        <w:t>PT Memo #05-01</w:t>
      </w:r>
    </w:p>
    <w:p>
      <w:pPr>
        <w:tabs>
          <w:tab w:pos="1439" w:val="left" w:leader="none"/>
        </w:tabs>
        <w:spacing w:before="0"/>
        <w:ind w:left="360" w:right="6038" w:firstLine="1080"/>
        <w:jc w:val="left"/>
        <w:rPr>
          <w:sz w:val="22"/>
        </w:rPr>
      </w:pPr>
      <w:r>
        <w:rPr>
          <w:sz w:val="22"/>
        </w:rPr>
        <w:t>Permanent,</w:t>
      </w:r>
      <w:r>
        <w:rPr>
          <w:spacing w:val="-16"/>
          <w:sz w:val="22"/>
        </w:rPr>
        <w:t> </w:t>
      </w:r>
      <w:r>
        <w:rPr>
          <w:sz w:val="22"/>
        </w:rPr>
        <w:t>updated</w:t>
      </w:r>
      <w:r>
        <w:rPr>
          <w:spacing w:val="-15"/>
          <w:sz w:val="22"/>
        </w:rPr>
        <w:t> </w:t>
      </w:r>
      <w:r>
        <w:rPr>
          <w:sz w:val="22"/>
        </w:rPr>
        <w:t>language </w:t>
      </w:r>
      <w:r>
        <w:rPr>
          <w:spacing w:val="-2"/>
          <w:sz w:val="22"/>
        </w:rPr>
        <w:t>7-1-11</w:t>
      </w:r>
      <w:r>
        <w:rPr>
          <w:sz w:val="22"/>
        </w:rPr>
        <w:tab/>
        <w:t>PT Memo #12-01</w:t>
      </w:r>
    </w:p>
    <w:p>
      <w:pPr>
        <w:spacing w:before="0"/>
        <w:ind w:left="1439" w:right="0" w:firstLine="0"/>
        <w:jc w:val="left"/>
        <w:rPr>
          <w:sz w:val="22"/>
        </w:rPr>
      </w:pPr>
      <w:r>
        <w:rPr>
          <w:sz w:val="22"/>
        </w:rPr>
        <w:t>Permanent,</w:t>
      </w:r>
      <w:r>
        <w:rPr>
          <w:spacing w:val="-10"/>
          <w:sz w:val="22"/>
        </w:rPr>
        <w:t> </w:t>
      </w:r>
      <w:r>
        <w:rPr>
          <w:sz w:val="22"/>
        </w:rPr>
        <w:t>adjustments</w:t>
      </w:r>
      <w:r>
        <w:rPr>
          <w:spacing w:val="-11"/>
          <w:sz w:val="22"/>
        </w:rPr>
        <w:t> </w:t>
      </w:r>
      <w:r>
        <w:rPr>
          <w:sz w:val="22"/>
        </w:rPr>
        <w:t>to</w:t>
      </w:r>
      <w:r>
        <w:rPr>
          <w:spacing w:val="-10"/>
          <w:sz w:val="22"/>
        </w:rPr>
        <w:t> </w:t>
      </w:r>
      <w:r>
        <w:rPr>
          <w:sz w:val="22"/>
        </w:rPr>
        <w:t>certification</w:t>
      </w:r>
      <w:r>
        <w:rPr>
          <w:spacing w:val="-11"/>
          <w:sz w:val="22"/>
        </w:rPr>
        <w:t> </w:t>
      </w:r>
      <w:r>
        <w:rPr>
          <w:spacing w:val="-2"/>
          <w:sz w:val="22"/>
        </w:rPr>
        <w:t>rules</w:t>
      </w:r>
    </w:p>
    <w:p>
      <w:pPr>
        <w:tabs>
          <w:tab w:pos="1439" w:val="left" w:leader="none"/>
        </w:tabs>
        <w:spacing w:before="0"/>
        <w:ind w:left="1439" w:right="868" w:hanging="1080"/>
        <w:jc w:val="left"/>
        <w:rPr>
          <w:sz w:val="22"/>
        </w:rPr>
      </w:pPr>
      <w:r>
        <w:rPr>
          <w:spacing w:val="-2"/>
          <w:sz w:val="22"/>
        </w:rPr>
        <w:t>9-14-18</w:t>
      </w:r>
      <w:r>
        <w:rPr>
          <w:sz w:val="22"/>
        </w:rPr>
        <w:tab/>
        <w:t>Updated</w:t>
      </w:r>
      <w:r>
        <w:rPr>
          <w:spacing w:val="-6"/>
          <w:sz w:val="22"/>
        </w:rPr>
        <w:t> </w:t>
      </w:r>
      <w:r>
        <w:rPr>
          <w:sz w:val="22"/>
        </w:rPr>
        <w:t>language</w:t>
      </w:r>
      <w:r>
        <w:rPr>
          <w:spacing w:val="-6"/>
          <w:sz w:val="22"/>
        </w:rPr>
        <w:t> </w:t>
      </w:r>
      <w:r>
        <w:rPr>
          <w:sz w:val="22"/>
        </w:rPr>
        <w:t>modifying</w:t>
      </w:r>
      <w:r>
        <w:rPr>
          <w:spacing w:val="-6"/>
          <w:sz w:val="22"/>
        </w:rPr>
        <w:t> </w:t>
      </w:r>
      <w:r>
        <w:rPr>
          <w:sz w:val="22"/>
        </w:rPr>
        <w:t>certain</w:t>
      </w:r>
      <w:r>
        <w:rPr>
          <w:spacing w:val="-7"/>
          <w:sz w:val="22"/>
        </w:rPr>
        <w:t> </w:t>
      </w:r>
      <w:r>
        <w:rPr>
          <w:sz w:val="22"/>
        </w:rPr>
        <w:t>interpreter</w:t>
      </w:r>
      <w:r>
        <w:rPr>
          <w:spacing w:val="-6"/>
          <w:sz w:val="22"/>
        </w:rPr>
        <w:t> </w:t>
      </w:r>
      <w:r>
        <w:rPr>
          <w:sz w:val="22"/>
        </w:rPr>
        <w:t>certification</w:t>
      </w:r>
      <w:r>
        <w:rPr>
          <w:spacing w:val="-8"/>
          <w:sz w:val="22"/>
        </w:rPr>
        <w:t> </w:t>
      </w:r>
      <w:r>
        <w:rPr>
          <w:sz w:val="22"/>
        </w:rPr>
        <w:t>maintenance</w:t>
      </w:r>
      <w:r>
        <w:rPr>
          <w:spacing w:val="-6"/>
          <w:sz w:val="22"/>
        </w:rPr>
        <w:t> </w:t>
      </w:r>
      <w:r>
        <w:rPr>
          <w:sz w:val="22"/>
        </w:rPr>
        <w:t>provisions and clarified the process for maintaining and renewing certification.</w:t>
      </w:r>
    </w:p>
    <w:p>
      <w:pPr>
        <w:tabs>
          <w:tab w:pos="1439" w:val="left" w:leader="none"/>
        </w:tabs>
        <w:spacing w:before="0"/>
        <w:ind w:left="1439" w:right="1111" w:hanging="1080"/>
        <w:jc w:val="left"/>
        <w:rPr>
          <w:sz w:val="22"/>
        </w:rPr>
      </w:pPr>
      <w:r>
        <w:rPr>
          <w:spacing w:val="-2"/>
          <w:sz w:val="22"/>
        </w:rPr>
        <w:t>8-26-21</w:t>
      </w:r>
      <w:r>
        <w:rPr>
          <w:sz w:val="22"/>
        </w:rPr>
        <w:tab/>
        <w:t>Revised</w:t>
      </w:r>
      <w:r>
        <w:rPr>
          <w:spacing w:val="-5"/>
          <w:sz w:val="22"/>
        </w:rPr>
        <w:t> </w:t>
      </w:r>
      <w:r>
        <w:rPr>
          <w:sz w:val="22"/>
        </w:rPr>
        <w:t>language</w:t>
      </w:r>
      <w:r>
        <w:rPr>
          <w:spacing w:val="-5"/>
          <w:sz w:val="22"/>
        </w:rPr>
        <w:t> </w:t>
      </w:r>
      <w:r>
        <w:rPr>
          <w:sz w:val="22"/>
        </w:rPr>
        <w:t>to</w:t>
      </w:r>
      <w:r>
        <w:rPr>
          <w:spacing w:val="-5"/>
          <w:sz w:val="22"/>
        </w:rPr>
        <w:t> </w:t>
      </w:r>
      <w:r>
        <w:rPr>
          <w:sz w:val="22"/>
        </w:rPr>
        <w:t>include</w:t>
      </w:r>
      <w:r>
        <w:rPr>
          <w:spacing w:val="-5"/>
          <w:sz w:val="22"/>
        </w:rPr>
        <w:t> </w:t>
      </w:r>
      <w:r>
        <w:rPr>
          <w:sz w:val="22"/>
        </w:rPr>
        <w:t>QAST</w:t>
      </w:r>
      <w:r>
        <w:rPr>
          <w:spacing w:val="-4"/>
          <w:sz w:val="22"/>
        </w:rPr>
        <w:t> </w:t>
      </w:r>
      <w:r>
        <w:rPr>
          <w:sz w:val="22"/>
        </w:rPr>
        <w:t>certification</w:t>
      </w:r>
      <w:r>
        <w:rPr>
          <w:spacing w:val="-5"/>
          <w:sz w:val="22"/>
        </w:rPr>
        <w:t> </w:t>
      </w:r>
      <w:r>
        <w:rPr>
          <w:sz w:val="22"/>
        </w:rPr>
        <w:t>in</w:t>
      </w:r>
      <w:r>
        <w:rPr>
          <w:spacing w:val="-5"/>
          <w:sz w:val="22"/>
        </w:rPr>
        <w:t> </w:t>
      </w:r>
      <w:r>
        <w:rPr>
          <w:sz w:val="22"/>
        </w:rPr>
        <w:t>Interpreting</w:t>
      </w:r>
      <w:r>
        <w:rPr>
          <w:spacing w:val="-5"/>
          <w:sz w:val="22"/>
        </w:rPr>
        <w:t> </w:t>
      </w:r>
      <w:r>
        <w:rPr>
          <w:sz w:val="22"/>
        </w:rPr>
        <w:t>and</w:t>
      </w:r>
      <w:r>
        <w:rPr>
          <w:spacing w:val="-5"/>
          <w:sz w:val="22"/>
        </w:rPr>
        <w:t> </w:t>
      </w:r>
      <w:r>
        <w:rPr>
          <w:sz w:val="22"/>
        </w:rPr>
        <w:t>Transliterating and requirements for certification levels I-V.</w:t>
      </w:r>
    </w:p>
    <w:p>
      <w:pPr>
        <w:spacing w:after="0"/>
        <w:jc w:val="left"/>
        <w:rPr>
          <w:sz w:val="22"/>
        </w:rPr>
        <w:sectPr>
          <w:pgSz w:w="12240" w:h="15840"/>
          <w:pgMar w:top="1340" w:bottom="280" w:left="1080" w:right="720"/>
        </w:sectPr>
      </w:pPr>
    </w:p>
    <w:p>
      <w:pPr>
        <w:pStyle w:val="ListParagraph"/>
        <w:numPr>
          <w:ilvl w:val="2"/>
          <w:numId w:val="304"/>
        </w:numPr>
        <w:tabs>
          <w:tab w:pos="1439" w:val="left" w:leader="none"/>
        </w:tabs>
        <w:spacing w:line="240" w:lineRule="auto" w:before="80" w:after="0"/>
        <w:ind w:left="1439" w:right="1124" w:hanging="1080"/>
        <w:jc w:val="left"/>
        <w:rPr>
          <w:sz w:val="22"/>
        </w:rPr>
      </w:pPr>
      <w:r>
        <w:rPr>
          <w:sz w:val="22"/>
        </w:rPr>
        <w:t>Language</w:t>
      </w:r>
      <w:r>
        <w:rPr>
          <w:spacing w:val="-4"/>
          <w:sz w:val="22"/>
        </w:rPr>
        <w:t> </w:t>
      </w:r>
      <w:r>
        <w:rPr>
          <w:sz w:val="22"/>
        </w:rPr>
        <w:t>clean-up,</w:t>
      </w:r>
      <w:r>
        <w:rPr>
          <w:spacing w:val="-4"/>
          <w:sz w:val="22"/>
        </w:rPr>
        <w:t> </w:t>
      </w:r>
      <w:r>
        <w:rPr>
          <w:sz w:val="22"/>
        </w:rPr>
        <w:t>removed</w:t>
      </w:r>
      <w:r>
        <w:rPr>
          <w:spacing w:val="-4"/>
          <w:sz w:val="22"/>
        </w:rPr>
        <w:t> </w:t>
      </w:r>
      <w:r>
        <w:rPr>
          <w:sz w:val="22"/>
        </w:rPr>
        <w:t>Section</w:t>
      </w:r>
      <w:r>
        <w:rPr>
          <w:spacing w:val="-4"/>
          <w:sz w:val="22"/>
        </w:rPr>
        <w:t> </w:t>
      </w:r>
      <w:r>
        <w:rPr>
          <w:sz w:val="22"/>
        </w:rPr>
        <w:t>(a)</w:t>
      </w:r>
      <w:r>
        <w:rPr>
          <w:spacing w:val="-4"/>
          <w:sz w:val="22"/>
        </w:rPr>
        <w:t> </w:t>
      </w:r>
      <w:r>
        <w:rPr>
          <w:sz w:val="22"/>
        </w:rPr>
        <w:t>(3)</w:t>
      </w:r>
      <w:r>
        <w:rPr>
          <w:spacing w:val="-4"/>
          <w:sz w:val="22"/>
        </w:rPr>
        <w:t> </w:t>
      </w:r>
      <w:r>
        <w:rPr>
          <w:sz w:val="22"/>
        </w:rPr>
        <w:t>relating</w:t>
      </w:r>
      <w:r>
        <w:rPr>
          <w:spacing w:val="-4"/>
          <w:sz w:val="22"/>
        </w:rPr>
        <w:t> </w:t>
      </w:r>
      <w:r>
        <w:rPr>
          <w:sz w:val="22"/>
        </w:rPr>
        <w:t>to</w:t>
      </w:r>
      <w:r>
        <w:rPr>
          <w:spacing w:val="-4"/>
          <w:sz w:val="22"/>
        </w:rPr>
        <w:t> </w:t>
      </w:r>
      <w:r>
        <w:rPr>
          <w:sz w:val="22"/>
        </w:rPr>
        <w:t>V/V</w:t>
      </w:r>
      <w:r>
        <w:rPr>
          <w:spacing w:val="-4"/>
          <w:sz w:val="22"/>
        </w:rPr>
        <w:t> </w:t>
      </w:r>
      <w:r>
        <w:rPr>
          <w:sz w:val="22"/>
        </w:rPr>
        <w:t>testing</w:t>
      </w:r>
      <w:r>
        <w:rPr>
          <w:spacing w:val="-4"/>
          <w:sz w:val="22"/>
        </w:rPr>
        <w:t> </w:t>
      </w:r>
      <w:r>
        <w:rPr>
          <w:sz w:val="22"/>
        </w:rPr>
        <w:t>requirements, added section (4) under defining exemptions with retesting, added section (f) Modification of requirements.</w:t>
      </w:r>
    </w:p>
    <w:p>
      <w:pPr>
        <w:pStyle w:val="ListParagraph"/>
        <w:numPr>
          <w:ilvl w:val="2"/>
          <w:numId w:val="304"/>
        </w:numPr>
        <w:tabs>
          <w:tab w:pos="1439" w:val="left" w:leader="none"/>
        </w:tabs>
        <w:spacing w:line="240" w:lineRule="auto" w:before="0" w:after="0"/>
        <w:ind w:left="1439" w:right="784" w:hanging="1080"/>
        <w:jc w:val="left"/>
        <w:rPr>
          <w:sz w:val="22"/>
        </w:rPr>
      </w:pPr>
      <w:r>
        <w:rPr>
          <w:sz w:val="22"/>
        </w:rPr>
        <w:t>Language</w:t>
      </w:r>
      <w:r>
        <w:rPr>
          <w:spacing w:val="-6"/>
          <w:sz w:val="22"/>
        </w:rPr>
        <w:t> </w:t>
      </w:r>
      <w:r>
        <w:rPr>
          <w:sz w:val="22"/>
        </w:rPr>
        <w:t>clean-up,</w:t>
      </w:r>
      <w:r>
        <w:rPr>
          <w:spacing w:val="-6"/>
          <w:sz w:val="22"/>
        </w:rPr>
        <w:t> </w:t>
      </w:r>
      <w:r>
        <w:rPr>
          <w:sz w:val="22"/>
        </w:rPr>
        <w:t>removing</w:t>
      </w:r>
      <w:r>
        <w:rPr>
          <w:spacing w:val="-6"/>
          <w:sz w:val="22"/>
        </w:rPr>
        <w:t> </w:t>
      </w:r>
      <w:r>
        <w:rPr>
          <w:sz w:val="22"/>
        </w:rPr>
        <w:t>“QAST”</w:t>
      </w:r>
      <w:r>
        <w:rPr>
          <w:spacing w:val="-6"/>
          <w:sz w:val="22"/>
        </w:rPr>
        <w:t> </w:t>
      </w:r>
      <w:r>
        <w:rPr>
          <w:sz w:val="22"/>
        </w:rPr>
        <w:t>language.</w:t>
      </w:r>
      <w:r>
        <w:rPr>
          <w:spacing w:val="-6"/>
          <w:sz w:val="22"/>
        </w:rPr>
        <w:t> </w:t>
      </w:r>
      <w:r>
        <w:rPr>
          <w:sz w:val="22"/>
        </w:rPr>
        <w:t>Added</w:t>
      </w:r>
      <w:r>
        <w:rPr>
          <w:spacing w:val="-6"/>
          <w:sz w:val="22"/>
        </w:rPr>
        <w:t> </w:t>
      </w:r>
      <w:r>
        <w:rPr>
          <w:sz w:val="22"/>
        </w:rPr>
        <w:t>interpreter</w:t>
      </w:r>
      <w:r>
        <w:rPr>
          <w:spacing w:val="-6"/>
          <w:sz w:val="22"/>
        </w:rPr>
        <w:t> </w:t>
      </w:r>
      <w:r>
        <w:rPr>
          <w:sz w:val="22"/>
        </w:rPr>
        <w:t>acknowledgment for the written test and changing 90-day expiration application to 160 calendar days (6 months).</w:t>
      </w:r>
    </w:p>
    <w:p>
      <w:pPr>
        <w:pStyle w:val="ListParagraph"/>
        <w:spacing w:after="0" w:line="240" w:lineRule="auto"/>
        <w:jc w:val="left"/>
        <w:rPr>
          <w:sz w:val="22"/>
        </w:rPr>
        <w:sectPr>
          <w:pgSz w:w="12240" w:h="15840"/>
          <w:pgMar w:top="1360" w:bottom="280" w:left="1080" w:right="720"/>
        </w:sectPr>
      </w:pPr>
    </w:p>
    <w:p>
      <w:pPr>
        <w:pStyle w:val="Heading2"/>
      </w:pPr>
      <w:bookmarkStart w:name="612:10-13-21.  Code of ethics" w:id="296"/>
      <w:bookmarkEnd w:id="296"/>
      <w:r>
        <w:rPr>
          <w:b w:val="0"/>
        </w:rPr>
      </w:r>
      <w:r>
        <w:rPr/>
        <w:t>612:10-13-21.</w:t>
      </w:r>
      <w:r>
        <w:rPr>
          <w:spacing w:val="60"/>
        </w:rPr>
        <w:t> </w:t>
      </w:r>
      <w:r>
        <w:rPr/>
        <w:t>Code</w:t>
      </w:r>
      <w:r>
        <w:rPr>
          <w:spacing w:val="-3"/>
        </w:rPr>
        <w:t> </w:t>
      </w:r>
      <w:r>
        <w:rPr/>
        <w:t>of</w:t>
      </w:r>
      <w:r>
        <w:rPr>
          <w:spacing w:val="-2"/>
        </w:rPr>
        <w:t> ethics</w:t>
      </w:r>
    </w:p>
    <w:p>
      <w:pPr>
        <w:pStyle w:val="BodyText"/>
        <w:spacing w:line="208" w:lineRule="auto" w:before="233"/>
        <w:ind w:right="881" w:firstLine="432"/>
      </w:pPr>
      <w:r>
        <w:rPr/>
        <w:t>The</w:t>
      </w:r>
      <w:r>
        <w:rPr>
          <w:spacing w:val="-4"/>
        </w:rPr>
        <w:t> </w:t>
      </w:r>
      <w:r>
        <w:rPr/>
        <w:t>interpreter/transliterator</w:t>
      </w:r>
      <w:r>
        <w:rPr>
          <w:spacing w:val="-3"/>
        </w:rPr>
        <w:t> </w:t>
      </w:r>
      <w:r>
        <w:rPr/>
        <w:t>shall</w:t>
      </w:r>
      <w:r>
        <w:rPr>
          <w:spacing w:val="-4"/>
        </w:rPr>
        <w:t> </w:t>
      </w:r>
      <w:r>
        <w:rPr/>
        <w:t>agree</w:t>
      </w:r>
      <w:r>
        <w:rPr>
          <w:spacing w:val="-4"/>
        </w:rPr>
        <w:t> </w:t>
      </w:r>
      <w:r>
        <w:rPr/>
        <w:t>to</w:t>
      </w:r>
      <w:r>
        <w:rPr>
          <w:spacing w:val="-4"/>
        </w:rPr>
        <w:t> </w:t>
      </w:r>
      <w:r>
        <w:rPr/>
        <w:t>abide</w:t>
      </w:r>
      <w:r>
        <w:rPr>
          <w:spacing w:val="-4"/>
        </w:rPr>
        <w:t> </w:t>
      </w:r>
      <w:r>
        <w:rPr/>
        <w:t>by</w:t>
      </w:r>
      <w:r>
        <w:rPr>
          <w:spacing w:val="-4"/>
        </w:rPr>
        <w:t> </w:t>
      </w:r>
      <w:r>
        <w:rPr/>
        <w:t>the</w:t>
      </w:r>
      <w:r>
        <w:rPr>
          <w:spacing w:val="-4"/>
        </w:rPr>
        <w:t> </w:t>
      </w:r>
      <w:r>
        <w:rPr/>
        <w:t>National</w:t>
      </w:r>
      <w:r>
        <w:rPr>
          <w:spacing w:val="-4"/>
        </w:rPr>
        <w:t> </w:t>
      </w:r>
      <w:r>
        <w:rPr/>
        <w:t>Association</w:t>
      </w:r>
      <w:r>
        <w:rPr>
          <w:spacing w:val="-3"/>
        </w:rPr>
        <w:t> </w:t>
      </w:r>
      <w:r>
        <w:rPr/>
        <w:t>of</w:t>
      </w:r>
      <w:r>
        <w:rPr>
          <w:spacing w:val="-3"/>
        </w:rPr>
        <w:t> </w:t>
      </w:r>
      <w:r>
        <w:rPr/>
        <w:t>the Deaf (NAD) and the Registry of Interpreters for the Deaf, Inc. (RID) Code of Professional Conduct. Federal, state, or other laws or regulations may supersede the NAD-RID Code of Professional Conduct if a conflict is present between existing law or regulations and the Code of Professional Conduct. The interpreter/transliterator will abide the rule of the law.</w:t>
      </w:r>
    </w:p>
    <w:p>
      <w:pPr>
        <w:spacing w:before="243"/>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305"/>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#94-</w:t>
      </w:r>
      <w:r>
        <w:rPr>
          <w:spacing w:val="-10"/>
          <w:sz w:val="22"/>
        </w:rPr>
        <w:t>1</w:t>
      </w:r>
    </w:p>
    <w:p>
      <w:pPr>
        <w:tabs>
          <w:tab w:pos="1439" w:val="left" w:leader="none"/>
        </w:tabs>
        <w:spacing w:before="0"/>
        <w:ind w:left="359" w:right="6636"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7-1-04</w:t>
      </w:r>
      <w:r>
        <w:rPr>
          <w:sz w:val="22"/>
        </w:rPr>
        <w:tab/>
        <w:t>PT Memo #05-01</w:t>
      </w:r>
    </w:p>
    <w:p>
      <w:pPr>
        <w:tabs>
          <w:tab w:pos="1439" w:val="left" w:leader="none"/>
        </w:tabs>
        <w:spacing w:before="0"/>
        <w:ind w:left="359" w:right="6038" w:firstLine="1080"/>
        <w:jc w:val="left"/>
        <w:rPr>
          <w:sz w:val="22"/>
        </w:rPr>
      </w:pPr>
      <w:r>
        <w:rPr>
          <w:sz w:val="22"/>
        </w:rPr>
        <w:t>Permanent,</w:t>
      </w:r>
      <w:r>
        <w:rPr>
          <w:spacing w:val="-16"/>
          <w:sz w:val="22"/>
        </w:rPr>
        <w:t> </w:t>
      </w:r>
      <w:r>
        <w:rPr>
          <w:sz w:val="22"/>
        </w:rPr>
        <w:t>updated</w:t>
      </w:r>
      <w:r>
        <w:rPr>
          <w:spacing w:val="-15"/>
          <w:sz w:val="22"/>
        </w:rPr>
        <w:t> </w:t>
      </w:r>
      <w:r>
        <w:rPr>
          <w:sz w:val="22"/>
        </w:rPr>
        <w:t>language </w:t>
      </w:r>
      <w:r>
        <w:rPr>
          <w:spacing w:val="-2"/>
          <w:sz w:val="22"/>
        </w:rPr>
        <w:t>7-1-11</w:t>
      </w:r>
      <w:r>
        <w:rPr>
          <w:sz w:val="22"/>
        </w:rPr>
        <w:tab/>
        <w:t>PT Memo #12-01</w:t>
      </w:r>
    </w:p>
    <w:p>
      <w:pPr>
        <w:tabs>
          <w:tab w:pos="1439" w:val="left" w:leader="none"/>
        </w:tabs>
        <w:spacing w:before="1"/>
        <w:ind w:left="359" w:right="5657" w:firstLine="1080"/>
        <w:jc w:val="left"/>
        <w:rPr>
          <w:sz w:val="22"/>
        </w:rPr>
      </w:pPr>
      <w:r>
        <w:rPr>
          <w:sz w:val="22"/>
        </w:rPr>
        <w:t>Permanent,</w:t>
      </w:r>
      <w:r>
        <w:rPr>
          <w:spacing w:val="-9"/>
          <w:sz w:val="22"/>
        </w:rPr>
        <w:t> </w:t>
      </w:r>
      <w:r>
        <w:rPr>
          <w:sz w:val="22"/>
        </w:rPr>
        <w:t>code</w:t>
      </w:r>
      <w:r>
        <w:rPr>
          <w:spacing w:val="-9"/>
          <w:sz w:val="22"/>
        </w:rPr>
        <w:t> </w:t>
      </w:r>
      <w:r>
        <w:rPr>
          <w:sz w:val="22"/>
        </w:rPr>
        <w:t>of</w:t>
      </w:r>
      <w:r>
        <w:rPr>
          <w:spacing w:val="-9"/>
          <w:sz w:val="22"/>
        </w:rPr>
        <w:t> </w:t>
      </w:r>
      <w:r>
        <w:rPr>
          <w:sz w:val="22"/>
        </w:rPr>
        <w:t>ethic</w:t>
      </w:r>
      <w:r>
        <w:rPr>
          <w:spacing w:val="-9"/>
          <w:sz w:val="22"/>
        </w:rPr>
        <w:t> </w:t>
      </w:r>
      <w:r>
        <w:rPr>
          <w:sz w:val="22"/>
        </w:rPr>
        <w:t>changes </w:t>
      </w:r>
      <w:r>
        <w:rPr>
          <w:spacing w:val="-2"/>
          <w:sz w:val="22"/>
        </w:rPr>
        <w:t>9-12-14</w:t>
      </w:r>
      <w:r>
        <w:rPr>
          <w:sz w:val="22"/>
        </w:rPr>
        <w:tab/>
        <w:t>Updated language</w:t>
      </w:r>
    </w:p>
    <w:p>
      <w:pPr>
        <w:pStyle w:val="BodyText"/>
        <w:tabs>
          <w:tab w:pos="1439" w:val="left" w:leader="none"/>
        </w:tabs>
        <w:spacing w:before="1"/>
        <w:ind w:left="359"/>
      </w:pPr>
      <w:r>
        <w:rPr>
          <w:spacing w:val="-2"/>
          <w:sz w:val="22"/>
        </w:rPr>
        <w:t>9-11-</w:t>
      </w:r>
      <w:r>
        <w:rPr>
          <w:spacing w:val="-5"/>
          <w:sz w:val="22"/>
        </w:rPr>
        <w:t>20</w:t>
      </w:r>
      <w:r>
        <w:rPr>
          <w:sz w:val="22"/>
        </w:rPr>
        <w:tab/>
      </w:r>
      <w:r>
        <w:rPr/>
        <w:t>Revisions</w:t>
      </w:r>
      <w:r>
        <w:rPr>
          <w:spacing w:val="-6"/>
        </w:rPr>
        <w:t> </w:t>
      </w:r>
      <w:r>
        <w:rPr/>
        <w:t>removed</w:t>
      </w:r>
      <w:r>
        <w:rPr>
          <w:spacing w:val="-4"/>
        </w:rPr>
        <w:t> </w:t>
      </w:r>
      <w:r>
        <w:rPr/>
        <w:t>of</w:t>
      </w:r>
      <w:r>
        <w:rPr>
          <w:spacing w:val="-5"/>
        </w:rPr>
        <w:t> </w:t>
      </w:r>
      <w:r>
        <w:rPr/>
        <w:t>antiquated</w:t>
      </w:r>
      <w:r>
        <w:rPr>
          <w:spacing w:val="-3"/>
        </w:rPr>
        <w:t> </w:t>
      </w:r>
      <w:r>
        <w:rPr>
          <w:spacing w:val="-2"/>
        </w:rPr>
        <w:t>language.</w:t>
      </w:r>
    </w:p>
    <w:p>
      <w:pPr>
        <w:pStyle w:val="BodyText"/>
        <w:spacing w:after="0"/>
        <w:sectPr>
          <w:pgSz w:w="12240" w:h="15840"/>
          <w:pgMar w:top="1340" w:bottom="280" w:left="1080" w:right="720"/>
        </w:sectPr>
      </w:pPr>
    </w:p>
    <w:p>
      <w:pPr>
        <w:pStyle w:val="Heading2"/>
      </w:pPr>
      <w:bookmarkStart w:name="612:10-13-22.  Grievance procedures" w:id="297"/>
      <w:bookmarkEnd w:id="297"/>
      <w:r>
        <w:rPr>
          <w:b w:val="0"/>
        </w:rPr>
      </w:r>
      <w:r>
        <w:rPr/>
        <w:t>612:10-13-22.</w:t>
      </w:r>
      <w:r>
        <w:rPr>
          <w:spacing w:val="57"/>
        </w:rPr>
        <w:t> </w:t>
      </w:r>
      <w:r>
        <w:rPr/>
        <w:t>Grievance</w:t>
      </w:r>
      <w:r>
        <w:rPr>
          <w:spacing w:val="-5"/>
        </w:rPr>
        <w:t> </w:t>
      </w:r>
      <w:r>
        <w:rPr>
          <w:spacing w:val="-2"/>
        </w:rPr>
        <w:t>procedures</w:t>
      </w:r>
    </w:p>
    <w:p>
      <w:pPr>
        <w:pStyle w:val="ListParagraph"/>
        <w:numPr>
          <w:ilvl w:val="0"/>
          <w:numId w:val="306"/>
        </w:numPr>
        <w:tabs>
          <w:tab w:pos="785" w:val="left" w:leader="none"/>
        </w:tabs>
        <w:spacing w:line="208" w:lineRule="auto" w:before="233" w:after="0"/>
        <w:ind w:left="360" w:right="832" w:firstLine="0"/>
        <w:jc w:val="left"/>
        <w:rPr>
          <w:sz w:val="24"/>
        </w:rPr>
      </w:pPr>
      <w:r>
        <w:rPr>
          <w:sz w:val="24"/>
        </w:rPr>
        <w:t>Individuals</w:t>
      </w:r>
      <w:r>
        <w:rPr>
          <w:spacing w:val="-4"/>
          <w:sz w:val="24"/>
        </w:rPr>
        <w:t> </w:t>
      </w:r>
      <w:r>
        <w:rPr>
          <w:sz w:val="24"/>
        </w:rPr>
        <w:t>who</w:t>
      </w:r>
      <w:r>
        <w:rPr>
          <w:spacing w:val="-4"/>
          <w:sz w:val="24"/>
        </w:rPr>
        <w:t> </w:t>
      </w:r>
      <w:r>
        <w:rPr>
          <w:sz w:val="24"/>
        </w:rPr>
        <w:t>are</w:t>
      </w:r>
      <w:r>
        <w:rPr>
          <w:spacing w:val="-4"/>
          <w:sz w:val="24"/>
        </w:rPr>
        <w:t> </w:t>
      </w:r>
      <w:r>
        <w:rPr>
          <w:sz w:val="24"/>
        </w:rPr>
        <w:t>dissatisfied</w:t>
      </w:r>
      <w:r>
        <w:rPr>
          <w:spacing w:val="-4"/>
          <w:sz w:val="24"/>
        </w:rPr>
        <w:t> </w:t>
      </w:r>
      <w:r>
        <w:rPr>
          <w:sz w:val="24"/>
        </w:rPr>
        <w:t>with</w:t>
      </w:r>
      <w:r>
        <w:rPr>
          <w:spacing w:val="-4"/>
          <w:sz w:val="24"/>
        </w:rPr>
        <w:t> </w:t>
      </w:r>
      <w:r>
        <w:rPr>
          <w:sz w:val="24"/>
        </w:rPr>
        <w:t>certification</w:t>
      </w:r>
      <w:r>
        <w:rPr>
          <w:spacing w:val="-4"/>
          <w:sz w:val="24"/>
        </w:rPr>
        <w:t> </w:t>
      </w:r>
      <w:r>
        <w:rPr>
          <w:sz w:val="24"/>
        </w:rPr>
        <w:t>testing</w:t>
      </w:r>
      <w:r>
        <w:rPr>
          <w:spacing w:val="-4"/>
          <w:sz w:val="24"/>
        </w:rPr>
        <w:t> </w:t>
      </w:r>
      <w:r>
        <w:rPr>
          <w:sz w:val="24"/>
        </w:rPr>
        <w:t>procedures</w:t>
      </w:r>
      <w:r>
        <w:rPr>
          <w:spacing w:val="-4"/>
          <w:sz w:val="24"/>
        </w:rPr>
        <w:t> </w:t>
      </w:r>
      <w:r>
        <w:rPr>
          <w:sz w:val="24"/>
        </w:rPr>
        <w:t>or</w:t>
      </w:r>
      <w:r>
        <w:rPr>
          <w:spacing w:val="-4"/>
          <w:sz w:val="24"/>
        </w:rPr>
        <w:t> </w:t>
      </w:r>
      <w:r>
        <w:rPr>
          <w:sz w:val="24"/>
        </w:rPr>
        <w:t>performance of a certified interpreter may file a written complaint with the designated Oklahoma interpreter certification program official, Department of Rehabilitation Services, within thirty (30) days of the grieved incident.</w:t>
      </w:r>
    </w:p>
    <w:p>
      <w:pPr>
        <w:pStyle w:val="ListParagraph"/>
        <w:numPr>
          <w:ilvl w:val="0"/>
          <w:numId w:val="306"/>
        </w:numPr>
        <w:tabs>
          <w:tab w:pos="786" w:val="left" w:leader="none"/>
        </w:tabs>
        <w:spacing w:line="208" w:lineRule="auto" w:before="239" w:after="0"/>
        <w:ind w:left="360" w:right="726" w:firstLine="0"/>
        <w:jc w:val="left"/>
        <w:rPr>
          <w:sz w:val="24"/>
        </w:rPr>
      </w:pPr>
      <w:r>
        <w:rPr>
          <w:sz w:val="24"/>
        </w:rPr>
        <w:t>The</w:t>
      </w:r>
      <w:r>
        <w:rPr>
          <w:spacing w:val="-4"/>
          <w:sz w:val="24"/>
        </w:rPr>
        <w:t> </w:t>
      </w:r>
      <w:r>
        <w:rPr>
          <w:sz w:val="24"/>
        </w:rPr>
        <w:t>Department</w:t>
      </w:r>
      <w:r>
        <w:rPr>
          <w:spacing w:val="-3"/>
          <w:sz w:val="24"/>
        </w:rPr>
        <w:t> </w:t>
      </w:r>
      <w:r>
        <w:rPr>
          <w:sz w:val="24"/>
        </w:rPr>
        <w:t>will</w:t>
      </w:r>
      <w:r>
        <w:rPr>
          <w:spacing w:val="-4"/>
          <w:sz w:val="24"/>
        </w:rPr>
        <w:t> </w:t>
      </w:r>
      <w:r>
        <w:rPr>
          <w:sz w:val="24"/>
        </w:rPr>
        <w:t>accept</w:t>
      </w:r>
      <w:r>
        <w:rPr>
          <w:spacing w:val="-3"/>
          <w:sz w:val="24"/>
        </w:rPr>
        <w:t> </w:t>
      </w:r>
      <w:r>
        <w:rPr>
          <w:sz w:val="24"/>
        </w:rPr>
        <w:t>jurisdiction</w:t>
      </w:r>
      <w:r>
        <w:rPr>
          <w:spacing w:val="-4"/>
          <w:sz w:val="24"/>
        </w:rPr>
        <w:t> </w:t>
      </w:r>
      <w:r>
        <w:rPr>
          <w:sz w:val="24"/>
        </w:rPr>
        <w:t>only</w:t>
      </w:r>
      <w:r>
        <w:rPr>
          <w:spacing w:val="-4"/>
          <w:sz w:val="24"/>
        </w:rPr>
        <w:t> </w:t>
      </w:r>
      <w:r>
        <w:rPr>
          <w:sz w:val="24"/>
        </w:rPr>
        <w:t>for</w:t>
      </w:r>
      <w:r>
        <w:rPr>
          <w:spacing w:val="-3"/>
          <w:sz w:val="24"/>
        </w:rPr>
        <w:t> </w:t>
      </w:r>
      <w:r>
        <w:rPr>
          <w:sz w:val="24"/>
        </w:rPr>
        <w:t>those</w:t>
      </w:r>
      <w:r>
        <w:rPr>
          <w:spacing w:val="-4"/>
          <w:sz w:val="24"/>
        </w:rPr>
        <w:t> </w:t>
      </w:r>
      <w:r>
        <w:rPr>
          <w:sz w:val="24"/>
        </w:rPr>
        <w:t>incidents</w:t>
      </w:r>
      <w:r>
        <w:rPr>
          <w:spacing w:val="-4"/>
          <w:sz w:val="24"/>
        </w:rPr>
        <w:t> </w:t>
      </w:r>
      <w:r>
        <w:rPr>
          <w:sz w:val="24"/>
        </w:rPr>
        <w:t>directly</w:t>
      </w:r>
      <w:r>
        <w:rPr>
          <w:spacing w:val="-4"/>
          <w:sz w:val="24"/>
        </w:rPr>
        <w:t> </w:t>
      </w:r>
      <w:r>
        <w:rPr>
          <w:sz w:val="24"/>
        </w:rPr>
        <w:t>related</w:t>
      </w:r>
      <w:r>
        <w:rPr>
          <w:spacing w:val="-4"/>
          <w:sz w:val="24"/>
        </w:rPr>
        <w:t> </w:t>
      </w:r>
      <w:r>
        <w:rPr>
          <w:sz w:val="24"/>
        </w:rPr>
        <w:t>to</w:t>
      </w:r>
      <w:r>
        <w:rPr>
          <w:spacing w:val="-5"/>
          <w:sz w:val="24"/>
        </w:rPr>
        <w:t> </w:t>
      </w:r>
      <w:r>
        <w:rPr>
          <w:sz w:val="24"/>
        </w:rPr>
        <w:t>the evaluation and certification of interpreters for the deaf in Oklahoma and those incidents involving</w:t>
      </w:r>
      <w:r>
        <w:rPr>
          <w:spacing w:val="-4"/>
          <w:sz w:val="24"/>
        </w:rPr>
        <w:t> </w:t>
      </w:r>
      <w:r>
        <w:rPr>
          <w:sz w:val="24"/>
        </w:rPr>
        <w:t>the</w:t>
      </w:r>
      <w:r>
        <w:rPr>
          <w:spacing w:val="-4"/>
          <w:sz w:val="24"/>
        </w:rPr>
        <w:t> </w:t>
      </w:r>
      <w:r>
        <w:rPr>
          <w:sz w:val="24"/>
        </w:rPr>
        <w:t>performance</w:t>
      </w:r>
      <w:r>
        <w:rPr>
          <w:spacing w:val="-4"/>
          <w:sz w:val="24"/>
        </w:rPr>
        <w:t> </w:t>
      </w:r>
      <w:r>
        <w:rPr>
          <w:sz w:val="24"/>
        </w:rPr>
        <w:t>of</w:t>
      </w:r>
      <w:r>
        <w:rPr>
          <w:spacing w:val="-3"/>
          <w:sz w:val="24"/>
        </w:rPr>
        <w:t> </w:t>
      </w:r>
      <w:r>
        <w:rPr>
          <w:sz w:val="24"/>
        </w:rPr>
        <w:t>State</w:t>
      </w:r>
      <w:r>
        <w:rPr>
          <w:spacing w:val="-4"/>
          <w:sz w:val="24"/>
        </w:rPr>
        <w:t> </w:t>
      </w:r>
      <w:r>
        <w:rPr>
          <w:sz w:val="24"/>
        </w:rPr>
        <w:t>Certified</w:t>
      </w:r>
      <w:r>
        <w:rPr>
          <w:spacing w:val="-4"/>
          <w:sz w:val="24"/>
        </w:rPr>
        <w:t> </w:t>
      </w:r>
      <w:r>
        <w:rPr>
          <w:sz w:val="24"/>
        </w:rPr>
        <w:t>Interpreters</w:t>
      </w:r>
      <w:r>
        <w:rPr>
          <w:spacing w:val="-5"/>
          <w:sz w:val="24"/>
        </w:rPr>
        <w:t> </w:t>
      </w:r>
      <w:r>
        <w:rPr>
          <w:sz w:val="24"/>
        </w:rPr>
        <w:t>that</w:t>
      </w:r>
      <w:r>
        <w:rPr>
          <w:spacing w:val="-3"/>
          <w:sz w:val="24"/>
        </w:rPr>
        <w:t> </w:t>
      </w:r>
      <w:r>
        <w:rPr>
          <w:sz w:val="24"/>
        </w:rPr>
        <w:t>allege</w:t>
      </w:r>
      <w:r>
        <w:rPr>
          <w:spacing w:val="-4"/>
          <w:sz w:val="24"/>
        </w:rPr>
        <w:t> </w:t>
      </w:r>
      <w:r>
        <w:rPr>
          <w:sz w:val="24"/>
        </w:rPr>
        <w:t>a</w:t>
      </w:r>
      <w:r>
        <w:rPr>
          <w:spacing w:val="-4"/>
          <w:sz w:val="24"/>
        </w:rPr>
        <w:t> </w:t>
      </w:r>
      <w:r>
        <w:rPr>
          <w:sz w:val="24"/>
        </w:rPr>
        <w:t>specific</w:t>
      </w:r>
      <w:r>
        <w:rPr>
          <w:spacing w:val="-4"/>
          <w:sz w:val="24"/>
        </w:rPr>
        <w:t> </w:t>
      </w:r>
      <w:r>
        <w:rPr>
          <w:sz w:val="24"/>
        </w:rPr>
        <w:t>violation</w:t>
      </w:r>
      <w:r>
        <w:rPr>
          <w:spacing w:val="-4"/>
          <w:sz w:val="24"/>
        </w:rPr>
        <w:t> </w:t>
      </w:r>
      <w:r>
        <w:rPr>
          <w:sz w:val="24"/>
        </w:rPr>
        <w:t>of interpreting standards or ethical behavior.</w:t>
      </w:r>
    </w:p>
    <w:p>
      <w:pPr>
        <w:pStyle w:val="ListParagraph"/>
        <w:numPr>
          <w:ilvl w:val="0"/>
          <w:numId w:val="306"/>
        </w:numPr>
        <w:tabs>
          <w:tab w:pos="773" w:val="left" w:leader="none"/>
        </w:tabs>
        <w:spacing w:line="240" w:lineRule="auto" w:before="211" w:after="0"/>
        <w:ind w:left="773" w:right="0" w:hanging="413"/>
        <w:jc w:val="left"/>
        <w:rPr>
          <w:sz w:val="24"/>
        </w:rPr>
      </w:pPr>
      <w:r>
        <w:rPr>
          <w:sz w:val="24"/>
        </w:rPr>
        <w:t>Each</w:t>
      </w:r>
      <w:r>
        <w:rPr>
          <w:spacing w:val="-5"/>
          <w:sz w:val="24"/>
        </w:rPr>
        <w:t> </w:t>
      </w:r>
      <w:r>
        <w:rPr>
          <w:sz w:val="24"/>
        </w:rPr>
        <w:t>complaint</w:t>
      </w:r>
      <w:r>
        <w:rPr>
          <w:spacing w:val="-1"/>
          <w:sz w:val="24"/>
        </w:rPr>
        <w:t> </w:t>
      </w:r>
      <w:r>
        <w:rPr>
          <w:sz w:val="24"/>
        </w:rPr>
        <w:t>must</w:t>
      </w:r>
      <w:r>
        <w:rPr>
          <w:spacing w:val="-1"/>
          <w:sz w:val="24"/>
        </w:rPr>
        <w:t> </w:t>
      </w:r>
      <w:r>
        <w:rPr>
          <w:sz w:val="24"/>
        </w:rPr>
        <w:t>be</w:t>
      </w:r>
      <w:r>
        <w:rPr>
          <w:spacing w:val="-3"/>
          <w:sz w:val="24"/>
        </w:rPr>
        <w:t> </w:t>
      </w:r>
      <w:r>
        <w:rPr>
          <w:sz w:val="24"/>
        </w:rPr>
        <w:t>in</w:t>
      </w:r>
      <w:r>
        <w:rPr>
          <w:spacing w:val="-2"/>
          <w:sz w:val="24"/>
        </w:rPr>
        <w:t> </w:t>
      </w:r>
      <w:r>
        <w:rPr>
          <w:sz w:val="24"/>
        </w:rPr>
        <w:t>writing</w:t>
      </w:r>
      <w:r>
        <w:rPr>
          <w:spacing w:val="-2"/>
          <w:sz w:val="24"/>
        </w:rPr>
        <w:t> </w:t>
      </w:r>
      <w:r>
        <w:rPr>
          <w:sz w:val="24"/>
        </w:rPr>
        <w:t>and</w:t>
      </w:r>
      <w:r>
        <w:rPr>
          <w:spacing w:val="-2"/>
          <w:sz w:val="24"/>
        </w:rPr>
        <w:t> </w:t>
      </w:r>
      <w:r>
        <w:rPr>
          <w:sz w:val="24"/>
        </w:rPr>
        <w:t>must</w:t>
      </w:r>
      <w:r>
        <w:rPr>
          <w:spacing w:val="-1"/>
          <w:sz w:val="24"/>
        </w:rPr>
        <w:t> </w:t>
      </w:r>
      <w:r>
        <w:rPr>
          <w:spacing w:val="-2"/>
          <w:sz w:val="24"/>
        </w:rPr>
        <w:t>provide:</w:t>
      </w:r>
    </w:p>
    <w:p>
      <w:pPr>
        <w:pStyle w:val="ListParagraph"/>
        <w:numPr>
          <w:ilvl w:val="1"/>
          <w:numId w:val="306"/>
        </w:numPr>
        <w:tabs>
          <w:tab w:pos="1650" w:val="left" w:leader="none"/>
        </w:tabs>
        <w:spacing w:line="240" w:lineRule="auto" w:before="204" w:after="0"/>
        <w:ind w:left="1650" w:right="0" w:hanging="426"/>
        <w:jc w:val="left"/>
        <w:rPr>
          <w:sz w:val="24"/>
        </w:rPr>
      </w:pPr>
      <w:r>
        <w:rPr>
          <w:sz w:val="24"/>
        </w:rPr>
        <w:t>The</w:t>
      </w:r>
      <w:r>
        <w:rPr>
          <w:spacing w:val="-2"/>
          <w:sz w:val="24"/>
        </w:rPr>
        <w:t> </w:t>
      </w:r>
      <w:r>
        <w:rPr>
          <w:sz w:val="24"/>
        </w:rPr>
        <w:t>date</w:t>
      </w:r>
      <w:r>
        <w:rPr>
          <w:spacing w:val="-2"/>
          <w:sz w:val="24"/>
        </w:rPr>
        <w:t> </w:t>
      </w:r>
      <w:r>
        <w:rPr>
          <w:sz w:val="24"/>
        </w:rPr>
        <w:t>of</w:t>
      </w:r>
      <w:r>
        <w:rPr>
          <w:spacing w:val="-3"/>
          <w:sz w:val="24"/>
        </w:rPr>
        <w:t> </w:t>
      </w:r>
      <w:r>
        <w:rPr>
          <w:sz w:val="24"/>
        </w:rPr>
        <w:t>the</w:t>
      </w:r>
      <w:r>
        <w:rPr>
          <w:spacing w:val="-1"/>
          <w:sz w:val="24"/>
        </w:rPr>
        <w:t> </w:t>
      </w:r>
      <w:r>
        <w:rPr>
          <w:spacing w:val="-2"/>
          <w:sz w:val="24"/>
        </w:rPr>
        <w:t>incident;</w:t>
      </w:r>
    </w:p>
    <w:p>
      <w:pPr>
        <w:pStyle w:val="ListParagraph"/>
        <w:numPr>
          <w:ilvl w:val="1"/>
          <w:numId w:val="306"/>
        </w:numPr>
        <w:tabs>
          <w:tab w:pos="1650" w:val="left" w:leader="none"/>
        </w:tabs>
        <w:spacing w:line="240" w:lineRule="auto" w:before="204" w:after="0"/>
        <w:ind w:left="1650" w:right="0" w:hanging="426"/>
        <w:jc w:val="left"/>
        <w:rPr>
          <w:sz w:val="24"/>
        </w:rPr>
      </w:pPr>
      <w:r>
        <w:rPr>
          <w:sz w:val="24"/>
        </w:rPr>
        <w:t>The</w:t>
      </w:r>
      <w:r>
        <w:rPr>
          <w:spacing w:val="-3"/>
          <w:sz w:val="24"/>
        </w:rPr>
        <w:t> </w:t>
      </w:r>
      <w:r>
        <w:rPr>
          <w:sz w:val="24"/>
        </w:rPr>
        <w:t>name(s)</w:t>
      </w:r>
      <w:r>
        <w:rPr>
          <w:spacing w:val="-2"/>
          <w:sz w:val="24"/>
        </w:rPr>
        <w:t> </w:t>
      </w:r>
      <w:r>
        <w:rPr>
          <w:sz w:val="24"/>
        </w:rPr>
        <w:t>of</w:t>
      </w:r>
      <w:r>
        <w:rPr>
          <w:spacing w:val="-3"/>
          <w:sz w:val="24"/>
        </w:rPr>
        <w:t> </w:t>
      </w:r>
      <w:r>
        <w:rPr>
          <w:sz w:val="24"/>
        </w:rPr>
        <w:t>the</w:t>
      </w:r>
      <w:r>
        <w:rPr>
          <w:spacing w:val="-3"/>
          <w:sz w:val="24"/>
        </w:rPr>
        <w:t> </w:t>
      </w:r>
      <w:r>
        <w:rPr>
          <w:sz w:val="24"/>
        </w:rPr>
        <w:t>person(s)</w:t>
      </w:r>
      <w:r>
        <w:rPr>
          <w:spacing w:val="-3"/>
          <w:sz w:val="24"/>
        </w:rPr>
        <w:t> </w:t>
      </w:r>
      <w:r>
        <w:rPr>
          <w:spacing w:val="-2"/>
          <w:sz w:val="24"/>
        </w:rPr>
        <w:t>involved;</w:t>
      </w:r>
    </w:p>
    <w:p>
      <w:pPr>
        <w:pStyle w:val="ListParagraph"/>
        <w:numPr>
          <w:ilvl w:val="1"/>
          <w:numId w:val="306"/>
        </w:numPr>
        <w:tabs>
          <w:tab w:pos="1650" w:val="left" w:leader="none"/>
        </w:tabs>
        <w:spacing w:line="240" w:lineRule="auto" w:before="204" w:after="0"/>
        <w:ind w:left="1650" w:right="0" w:hanging="426"/>
        <w:jc w:val="left"/>
        <w:rPr>
          <w:sz w:val="24"/>
        </w:rPr>
      </w:pPr>
      <w:r>
        <w:rPr>
          <w:sz w:val="24"/>
        </w:rPr>
        <w:t>The</w:t>
      </w:r>
      <w:r>
        <w:rPr>
          <w:spacing w:val="-3"/>
          <w:sz w:val="24"/>
        </w:rPr>
        <w:t> </w:t>
      </w:r>
      <w:r>
        <w:rPr>
          <w:sz w:val="24"/>
        </w:rPr>
        <w:t>location</w:t>
      </w:r>
      <w:r>
        <w:rPr>
          <w:spacing w:val="-3"/>
          <w:sz w:val="24"/>
        </w:rPr>
        <w:t> </w:t>
      </w:r>
      <w:r>
        <w:rPr>
          <w:sz w:val="24"/>
        </w:rPr>
        <w:t>of</w:t>
      </w:r>
      <w:r>
        <w:rPr>
          <w:spacing w:val="-2"/>
          <w:sz w:val="24"/>
        </w:rPr>
        <w:t> </w:t>
      </w:r>
      <w:r>
        <w:rPr>
          <w:sz w:val="24"/>
        </w:rPr>
        <w:t>the</w:t>
      </w:r>
      <w:r>
        <w:rPr>
          <w:spacing w:val="-2"/>
          <w:sz w:val="24"/>
        </w:rPr>
        <w:t> incident;</w:t>
      </w:r>
    </w:p>
    <w:p>
      <w:pPr>
        <w:pStyle w:val="ListParagraph"/>
        <w:numPr>
          <w:ilvl w:val="1"/>
          <w:numId w:val="306"/>
        </w:numPr>
        <w:tabs>
          <w:tab w:pos="1584" w:val="left" w:leader="none"/>
        </w:tabs>
        <w:spacing w:line="240" w:lineRule="auto" w:before="204" w:after="0"/>
        <w:ind w:left="1584" w:right="0" w:hanging="360"/>
        <w:jc w:val="left"/>
        <w:rPr>
          <w:sz w:val="24"/>
        </w:rPr>
      </w:pPr>
      <w:r>
        <w:rPr>
          <w:sz w:val="24"/>
        </w:rPr>
        <w:t>A</w:t>
      </w:r>
      <w:r>
        <w:rPr>
          <w:spacing w:val="-3"/>
          <w:sz w:val="24"/>
        </w:rPr>
        <w:t> </w:t>
      </w:r>
      <w:r>
        <w:rPr>
          <w:sz w:val="24"/>
        </w:rPr>
        <w:t>description</w:t>
      </w:r>
      <w:r>
        <w:rPr>
          <w:spacing w:val="-3"/>
          <w:sz w:val="24"/>
        </w:rPr>
        <w:t> </w:t>
      </w:r>
      <w:r>
        <w:rPr>
          <w:sz w:val="24"/>
        </w:rPr>
        <w:t>of</w:t>
      </w:r>
      <w:r>
        <w:rPr>
          <w:spacing w:val="-2"/>
          <w:sz w:val="24"/>
        </w:rPr>
        <w:t> </w:t>
      </w:r>
      <w:r>
        <w:rPr>
          <w:sz w:val="24"/>
        </w:rPr>
        <w:t>the</w:t>
      </w:r>
      <w:r>
        <w:rPr>
          <w:spacing w:val="-2"/>
          <w:sz w:val="24"/>
        </w:rPr>
        <w:t> </w:t>
      </w:r>
      <w:r>
        <w:rPr>
          <w:sz w:val="24"/>
        </w:rPr>
        <w:t>specific</w:t>
      </w:r>
      <w:r>
        <w:rPr>
          <w:spacing w:val="-3"/>
          <w:sz w:val="24"/>
        </w:rPr>
        <w:t> </w:t>
      </w:r>
      <w:r>
        <w:rPr>
          <w:sz w:val="24"/>
        </w:rPr>
        <w:t>action</w:t>
      </w:r>
      <w:r>
        <w:rPr>
          <w:spacing w:val="-3"/>
          <w:sz w:val="24"/>
        </w:rPr>
        <w:t> </w:t>
      </w:r>
      <w:r>
        <w:rPr>
          <w:sz w:val="24"/>
        </w:rPr>
        <w:t>or</w:t>
      </w:r>
      <w:r>
        <w:rPr>
          <w:spacing w:val="-1"/>
          <w:sz w:val="24"/>
        </w:rPr>
        <w:t> </w:t>
      </w:r>
      <w:r>
        <w:rPr>
          <w:sz w:val="24"/>
        </w:rPr>
        <w:t>actions</w:t>
      </w:r>
      <w:r>
        <w:rPr>
          <w:spacing w:val="-3"/>
          <w:sz w:val="24"/>
        </w:rPr>
        <w:t> </w:t>
      </w:r>
      <w:r>
        <w:rPr>
          <w:sz w:val="24"/>
        </w:rPr>
        <w:t>in</w:t>
      </w:r>
      <w:r>
        <w:rPr>
          <w:spacing w:val="-3"/>
          <w:sz w:val="24"/>
        </w:rPr>
        <w:t> </w:t>
      </w:r>
      <w:r>
        <w:rPr>
          <w:sz w:val="24"/>
        </w:rPr>
        <w:t>question;</w:t>
      </w:r>
      <w:r>
        <w:rPr>
          <w:spacing w:val="-1"/>
          <w:sz w:val="24"/>
        </w:rPr>
        <w:t> </w:t>
      </w:r>
      <w:r>
        <w:rPr>
          <w:spacing w:val="-5"/>
          <w:sz w:val="24"/>
        </w:rPr>
        <w:t>and</w:t>
      </w:r>
    </w:p>
    <w:p>
      <w:pPr>
        <w:pStyle w:val="ListParagraph"/>
        <w:numPr>
          <w:ilvl w:val="1"/>
          <w:numId w:val="306"/>
        </w:numPr>
        <w:tabs>
          <w:tab w:pos="1649" w:val="left" w:leader="none"/>
        </w:tabs>
        <w:spacing w:line="208" w:lineRule="auto" w:before="233" w:after="0"/>
        <w:ind w:left="1223" w:right="1062" w:firstLine="0"/>
        <w:jc w:val="left"/>
        <w:rPr>
          <w:sz w:val="24"/>
        </w:rPr>
      </w:pPr>
      <w:r>
        <w:rPr>
          <w:sz w:val="24"/>
        </w:rPr>
        <w:t>The specific policy or procedure in question or the NAD-RID Code of Professional</w:t>
      </w:r>
      <w:r>
        <w:rPr>
          <w:spacing w:val="-5"/>
          <w:sz w:val="24"/>
        </w:rPr>
        <w:t> </w:t>
      </w:r>
      <w:r>
        <w:rPr>
          <w:sz w:val="24"/>
        </w:rPr>
        <w:t>Conduct</w:t>
      </w:r>
      <w:r>
        <w:rPr>
          <w:spacing w:val="-4"/>
          <w:sz w:val="24"/>
        </w:rPr>
        <w:t> </w:t>
      </w:r>
      <w:r>
        <w:rPr>
          <w:sz w:val="24"/>
        </w:rPr>
        <w:t>ethical</w:t>
      </w:r>
      <w:r>
        <w:rPr>
          <w:spacing w:val="-5"/>
          <w:sz w:val="24"/>
        </w:rPr>
        <w:t> </w:t>
      </w:r>
      <w:r>
        <w:rPr>
          <w:sz w:val="24"/>
        </w:rPr>
        <w:t>tenet(s)</w:t>
      </w:r>
      <w:r>
        <w:rPr>
          <w:spacing w:val="-6"/>
          <w:sz w:val="24"/>
        </w:rPr>
        <w:t> </w:t>
      </w:r>
      <w:r>
        <w:rPr>
          <w:sz w:val="24"/>
        </w:rPr>
        <w:t>and/or</w:t>
      </w:r>
      <w:r>
        <w:rPr>
          <w:spacing w:val="-4"/>
          <w:sz w:val="24"/>
        </w:rPr>
        <w:t> </w:t>
      </w:r>
      <w:r>
        <w:rPr>
          <w:sz w:val="24"/>
        </w:rPr>
        <w:t>the</w:t>
      </w:r>
      <w:r>
        <w:rPr>
          <w:spacing w:val="-5"/>
          <w:sz w:val="24"/>
        </w:rPr>
        <w:t> </w:t>
      </w:r>
      <w:r>
        <w:rPr>
          <w:sz w:val="24"/>
        </w:rPr>
        <w:t>ICRC</w:t>
      </w:r>
      <w:r>
        <w:rPr>
          <w:spacing w:val="-5"/>
          <w:sz w:val="24"/>
        </w:rPr>
        <w:t> </w:t>
      </w:r>
      <w:r>
        <w:rPr>
          <w:sz w:val="24"/>
        </w:rPr>
        <w:t>Certification</w:t>
      </w:r>
      <w:r>
        <w:rPr>
          <w:spacing w:val="-5"/>
          <w:sz w:val="24"/>
        </w:rPr>
        <w:t> </w:t>
      </w:r>
      <w:r>
        <w:rPr>
          <w:sz w:val="24"/>
        </w:rPr>
        <w:t>of</w:t>
      </w:r>
      <w:r>
        <w:rPr>
          <w:spacing w:val="-4"/>
          <w:sz w:val="24"/>
        </w:rPr>
        <w:t> </w:t>
      </w:r>
      <w:r>
        <w:rPr>
          <w:sz w:val="24"/>
        </w:rPr>
        <w:t>Levels, and/or governing State or Federal law in possible violation.</w:t>
      </w:r>
    </w:p>
    <w:p>
      <w:pPr>
        <w:pStyle w:val="ListParagraph"/>
        <w:numPr>
          <w:ilvl w:val="0"/>
          <w:numId w:val="306"/>
        </w:numPr>
        <w:tabs>
          <w:tab w:pos="786" w:val="left" w:leader="none"/>
        </w:tabs>
        <w:spacing w:line="208" w:lineRule="auto" w:before="240" w:after="0"/>
        <w:ind w:left="360" w:right="1033" w:firstLine="0"/>
        <w:jc w:val="left"/>
        <w:rPr>
          <w:sz w:val="24"/>
        </w:rPr>
      </w:pPr>
      <w:r>
        <w:rPr>
          <w:sz w:val="24"/>
        </w:rPr>
        <w:t>Upon receipt of a properly executed complaint, the Department will review the complaint</w:t>
      </w:r>
      <w:r>
        <w:rPr>
          <w:spacing w:val="-2"/>
          <w:sz w:val="24"/>
        </w:rPr>
        <w:t> </w:t>
      </w:r>
      <w:r>
        <w:rPr>
          <w:sz w:val="24"/>
        </w:rPr>
        <w:t>and</w:t>
      </w:r>
      <w:r>
        <w:rPr>
          <w:spacing w:val="-3"/>
          <w:sz w:val="24"/>
        </w:rPr>
        <w:t> </w:t>
      </w:r>
      <w:r>
        <w:rPr>
          <w:sz w:val="24"/>
        </w:rPr>
        <w:t>within</w:t>
      </w:r>
      <w:r>
        <w:rPr>
          <w:spacing w:val="-3"/>
          <w:sz w:val="24"/>
        </w:rPr>
        <w:t> </w:t>
      </w:r>
      <w:r>
        <w:rPr>
          <w:sz w:val="24"/>
        </w:rPr>
        <w:t>thirty</w:t>
      </w:r>
      <w:r>
        <w:rPr>
          <w:spacing w:val="-3"/>
          <w:sz w:val="24"/>
        </w:rPr>
        <w:t> </w:t>
      </w:r>
      <w:r>
        <w:rPr>
          <w:sz w:val="24"/>
        </w:rPr>
        <w:t>(30)</w:t>
      </w:r>
      <w:r>
        <w:rPr>
          <w:spacing w:val="-4"/>
          <w:sz w:val="24"/>
        </w:rPr>
        <w:t> </w:t>
      </w:r>
      <w:r>
        <w:rPr>
          <w:sz w:val="24"/>
        </w:rPr>
        <w:t>days</w:t>
      </w:r>
      <w:r>
        <w:rPr>
          <w:spacing w:val="-3"/>
          <w:sz w:val="24"/>
        </w:rPr>
        <w:t> </w:t>
      </w:r>
      <w:r>
        <w:rPr>
          <w:sz w:val="24"/>
        </w:rPr>
        <w:t>notify</w:t>
      </w:r>
      <w:r>
        <w:rPr>
          <w:spacing w:val="-3"/>
          <w:sz w:val="24"/>
        </w:rPr>
        <w:t> </w:t>
      </w:r>
      <w:r>
        <w:rPr>
          <w:sz w:val="24"/>
        </w:rPr>
        <w:t>the</w:t>
      </w:r>
      <w:r>
        <w:rPr>
          <w:spacing w:val="-3"/>
          <w:sz w:val="24"/>
        </w:rPr>
        <w:t> </w:t>
      </w:r>
      <w:r>
        <w:rPr>
          <w:sz w:val="24"/>
        </w:rPr>
        <w:t>parties</w:t>
      </w:r>
      <w:r>
        <w:rPr>
          <w:spacing w:val="-4"/>
          <w:sz w:val="24"/>
        </w:rPr>
        <w:t> </w:t>
      </w:r>
      <w:r>
        <w:rPr>
          <w:sz w:val="24"/>
        </w:rPr>
        <w:t>that</w:t>
      </w:r>
      <w:r>
        <w:rPr>
          <w:spacing w:val="-2"/>
          <w:sz w:val="24"/>
        </w:rPr>
        <w:t> </w:t>
      </w:r>
      <w:r>
        <w:rPr>
          <w:sz w:val="24"/>
        </w:rPr>
        <w:t>a</w:t>
      </w:r>
      <w:r>
        <w:rPr>
          <w:spacing w:val="-3"/>
          <w:sz w:val="24"/>
        </w:rPr>
        <w:t> </w:t>
      </w:r>
      <w:r>
        <w:rPr>
          <w:sz w:val="24"/>
        </w:rPr>
        <w:t>complaint</w:t>
      </w:r>
      <w:r>
        <w:rPr>
          <w:spacing w:val="-2"/>
          <w:sz w:val="24"/>
        </w:rPr>
        <w:t> </w:t>
      </w:r>
      <w:r>
        <w:rPr>
          <w:sz w:val="24"/>
        </w:rPr>
        <w:t>has</w:t>
      </w:r>
      <w:r>
        <w:rPr>
          <w:spacing w:val="-3"/>
          <w:sz w:val="24"/>
        </w:rPr>
        <w:t> </w:t>
      </w:r>
      <w:r>
        <w:rPr>
          <w:sz w:val="24"/>
        </w:rPr>
        <w:t>been</w:t>
      </w:r>
      <w:r>
        <w:rPr>
          <w:spacing w:val="-3"/>
          <w:sz w:val="24"/>
        </w:rPr>
        <w:t> </w:t>
      </w:r>
      <w:r>
        <w:rPr>
          <w:sz w:val="24"/>
        </w:rPr>
        <w:t>filed. The respondent will have thirty (30) days from the date they receives notification to respond in written form.</w:t>
      </w:r>
    </w:p>
    <w:p>
      <w:pPr>
        <w:pStyle w:val="ListParagraph"/>
        <w:numPr>
          <w:ilvl w:val="0"/>
          <w:numId w:val="306"/>
        </w:numPr>
        <w:tabs>
          <w:tab w:pos="786" w:val="left" w:leader="none"/>
        </w:tabs>
        <w:spacing w:line="208" w:lineRule="auto" w:before="239" w:after="0"/>
        <w:ind w:left="360" w:right="782" w:firstLine="0"/>
        <w:jc w:val="left"/>
        <w:rPr>
          <w:sz w:val="24"/>
        </w:rPr>
      </w:pPr>
      <w:r>
        <w:rPr>
          <w:sz w:val="24"/>
        </w:rPr>
        <w:t>Upon the receipt of a written response, the designated Oklahoma interpreter certification program official and Department will review the information presented and make an initial decision regarding the merit of the complaint based on facts presented. The designated Oklahoma interpreter certification program official has thirty (30) days from</w:t>
      </w:r>
      <w:r>
        <w:rPr>
          <w:spacing w:val="-4"/>
          <w:sz w:val="24"/>
        </w:rPr>
        <w:t> </w:t>
      </w:r>
      <w:r>
        <w:rPr>
          <w:sz w:val="24"/>
        </w:rPr>
        <w:t>the</w:t>
      </w:r>
      <w:r>
        <w:rPr>
          <w:spacing w:val="-3"/>
          <w:sz w:val="24"/>
        </w:rPr>
        <w:t> </w:t>
      </w:r>
      <w:r>
        <w:rPr>
          <w:sz w:val="24"/>
        </w:rPr>
        <w:t>submission</w:t>
      </w:r>
      <w:r>
        <w:rPr>
          <w:spacing w:val="-3"/>
          <w:sz w:val="24"/>
        </w:rPr>
        <w:t> </w:t>
      </w:r>
      <w:r>
        <w:rPr>
          <w:sz w:val="24"/>
        </w:rPr>
        <w:t>of</w:t>
      </w:r>
      <w:r>
        <w:rPr>
          <w:spacing w:val="-2"/>
          <w:sz w:val="24"/>
        </w:rPr>
        <w:t> </w:t>
      </w:r>
      <w:r>
        <w:rPr>
          <w:sz w:val="24"/>
        </w:rPr>
        <w:t>the</w:t>
      </w:r>
      <w:r>
        <w:rPr>
          <w:spacing w:val="-3"/>
          <w:sz w:val="24"/>
        </w:rPr>
        <w:t> </w:t>
      </w:r>
      <w:r>
        <w:rPr>
          <w:sz w:val="24"/>
        </w:rPr>
        <w:t>grievance</w:t>
      </w:r>
      <w:r>
        <w:rPr>
          <w:spacing w:val="-3"/>
          <w:sz w:val="24"/>
        </w:rPr>
        <w:t> </w:t>
      </w:r>
      <w:r>
        <w:rPr>
          <w:sz w:val="24"/>
        </w:rPr>
        <w:t>to</w:t>
      </w:r>
      <w:r>
        <w:rPr>
          <w:spacing w:val="-3"/>
          <w:sz w:val="24"/>
        </w:rPr>
        <w:t> </w:t>
      </w:r>
      <w:r>
        <w:rPr>
          <w:sz w:val="24"/>
        </w:rPr>
        <w:t>provide</w:t>
      </w:r>
      <w:r>
        <w:rPr>
          <w:spacing w:val="-3"/>
          <w:sz w:val="24"/>
        </w:rPr>
        <w:t> </w:t>
      </w:r>
      <w:r>
        <w:rPr>
          <w:sz w:val="24"/>
        </w:rPr>
        <w:t>a</w:t>
      </w:r>
      <w:r>
        <w:rPr>
          <w:spacing w:val="-4"/>
          <w:sz w:val="24"/>
        </w:rPr>
        <w:t> </w:t>
      </w:r>
      <w:r>
        <w:rPr>
          <w:sz w:val="24"/>
        </w:rPr>
        <w:t>decision.</w:t>
      </w:r>
      <w:r>
        <w:rPr>
          <w:spacing w:val="-2"/>
          <w:sz w:val="24"/>
        </w:rPr>
        <w:t> </w:t>
      </w:r>
      <w:r>
        <w:rPr>
          <w:sz w:val="24"/>
        </w:rPr>
        <w:t>All</w:t>
      </w:r>
      <w:r>
        <w:rPr>
          <w:spacing w:val="-3"/>
          <w:sz w:val="24"/>
        </w:rPr>
        <w:t> </w:t>
      </w:r>
      <w:r>
        <w:rPr>
          <w:sz w:val="24"/>
        </w:rPr>
        <w:t>parties</w:t>
      </w:r>
      <w:r>
        <w:rPr>
          <w:spacing w:val="-3"/>
          <w:sz w:val="24"/>
        </w:rPr>
        <w:t> </w:t>
      </w:r>
      <w:r>
        <w:rPr>
          <w:sz w:val="24"/>
        </w:rPr>
        <w:t>concerned</w:t>
      </w:r>
      <w:r>
        <w:rPr>
          <w:spacing w:val="-3"/>
          <w:sz w:val="24"/>
        </w:rPr>
        <w:t> </w:t>
      </w:r>
      <w:r>
        <w:rPr>
          <w:sz w:val="24"/>
        </w:rPr>
        <w:t>will</w:t>
      </w:r>
      <w:r>
        <w:rPr>
          <w:spacing w:val="-3"/>
          <w:sz w:val="24"/>
        </w:rPr>
        <w:t> </w:t>
      </w:r>
      <w:r>
        <w:rPr>
          <w:sz w:val="24"/>
        </w:rPr>
        <w:t>be notified of the decision in writing. If there has not been sufficient information provided, from either party, the Oklahoma Interpreter Certification program official can request more information, in writing, to make a determination.</w:t>
      </w:r>
    </w:p>
    <w:p>
      <w:pPr>
        <w:pStyle w:val="ListParagraph"/>
        <w:numPr>
          <w:ilvl w:val="0"/>
          <w:numId w:val="306"/>
        </w:numPr>
        <w:tabs>
          <w:tab w:pos="719" w:val="left" w:leader="none"/>
        </w:tabs>
        <w:spacing w:line="208" w:lineRule="auto" w:before="240" w:after="0"/>
        <w:ind w:left="360" w:right="911" w:firstLine="0"/>
        <w:jc w:val="left"/>
        <w:rPr>
          <w:sz w:val="24"/>
        </w:rPr>
      </w:pPr>
      <w:r>
        <w:rPr>
          <w:sz w:val="24"/>
        </w:rPr>
        <w:t>The</w:t>
      </w:r>
      <w:r>
        <w:rPr>
          <w:spacing w:val="-3"/>
          <w:sz w:val="24"/>
        </w:rPr>
        <w:t> </w:t>
      </w:r>
      <w:r>
        <w:rPr>
          <w:sz w:val="24"/>
        </w:rPr>
        <w:t>Department</w:t>
      </w:r>
      <w:r>
        <w:rPr>
          <w:spacing w:val="-2"/>
          <w:sz w:val="24"/>
        </w:rPr>
        <w:t> </w:t>
      </w:r>
      <w:r>
        <w:rPr>
          <w:sz w:val="24"/>
        </w:rPr>
        <w:t>can</w:t>
      </w:r>
      <w:r>
        <w:rPr>
          <w:spacing w:val="-3"/>
          <w:sz w:val="24"/>
        </w:rPr>
        <w:t> </w:t>
      </w:r>
      <w:r>
        <w:rPr>
          <w:sz w:val="24"/>
        </w:rPr>
        <w:t>seek</w:t>
      </w:r>
      <w:r>
        <w:rPr>
          <w:spacing w:val="-3"/>
          <w:sz w:val="24"/>
        </w:rPr>
        <w:t> </w:t>
      </w:r>
      <w:r>
        <w:rPr>
          <w:sz w:val="24"/>
        </w:rPr>
        <w:t>the</w:t>
      </w:r>
      <w:r>
        <w:rPr>
          <w:spacing w:val="-3"/>
          <w:sz w:val="24"/>
        </w:rPr>
        <w:t> </w:t>
      </w:r>
      <w:r>
        <w:rPr>
          <w:sz w:val="24"/>
        </w:rPr>
        <w:t>assistance</w:t>
      </w:r>
      <w:r>
        <w:rPr>
          <w:spacing w:val="-3"/>
          <w:sz w:val="24"/>
        </w:rPr>
        <w:t> </w:t>
      </w:r>
      <w:r>
        <w:rPr>
          <w:sz w:val="24"/>
        </w:rPr>
        <w:t>from</w:t>
      </w:r>
      <w:r>
        <w:rPr>
          <w:spacing w:val="-4"/>
          <w:sz w:val="24"/>
        </w:rPr>
        <w:t> </w:t>
      </w:r>
      <w:r>
        <w:rPr>
          <w:sz w:val="24"/>
        </w:rPr>
        <w:t>a</w:t>
      </w:r>
      <w:r>
        <w:rPr>
          <w:spacing w:val="-3"/>
          <w:sz w:val="24"/>
        </w:rPr>
        <w:t> </w:t>
      </w:r>
      <w:r>
        <w:rPr>
          <w:sz w:val="24"/>
        </w:rPr>
        <w:t>merit</w:t>
      </w:r>
      <w:r>
        <w:rPr>
          <w:spacing w:val="-2"/>
          <w:sz w:val="24"/>
        </w:rPr>
        <w:t> </w:t>
      </w:r>
      <w:r>
        <w:rPr>
          <w:sz w:val="24"/>
        </w:rPr>
        <w:t>panel</w:t>
      </w:r>
      <w:r>
        <w:rPr>
          <w:spacing w:val="-3"/>
          <w:sz w:val="24"/>
        </w:rPr>
        <w:t> </w:t>
      </w:r>
      <w:r>
        <w:rPr>
          <w:sz w:val="24"/>
        </w:rPr>
        <w:t>to</w:t>
      </w:r>
      <w:r>
        <w:rPr>
          <w:spacing w:val="-3"/>
          <w:sz w:val="24"/>
        </w:rPr>
        <w:t> </w:t>
      </w:r>
      <w:r>
        <w:rPr>
          <w:sz w:val="24"/>
        </w:rPr>
        <w:t>determine</w:t>
      </w:r>
      <w:r>
        <w:rPr>
          <w:spacing w:val="-3"/>
          <w:sz w:val="24"/>
        </w:rPr>
        <w:t> </w:t>
      </w:r>
      <w:r>
        <w:rPr>
          <w:sz w:val="24"/>
        </w:rPr>
        <w:t>if</w:t>
      </w:r>
      <w:r>
        <w:rPr>
          <w:spacing w:val="-2"/>
          <w:sz w:val="24"/>
        </w:rPr>
        <w:t> </w:t>
      </w:r>
      <w:r>
        <w:rPr>
          <w:sz w:val="24"/>
        </w:rPr>
        <w:t>there</w:t>
      </w:r>
      <w:r>
        <w:rPr>
          <w:spacing w:val="-3"/>
          <w:sz w:val="24"/>
        </w:rPr>
        <w:t> </w:t>
      </w:r>
      <w:r>
        <w:rPr>
          <w:sz w:val="24"/>
        </w:rPr>
        <w:t>is a direct violation against (c) 5.</w:t>
      </w:r>
    </w:p>
    <w:p>
      <w:pPr>
        <w:pStyle w:val="ListParagraph"/>
        <w:numPr>
          <w:ilvl w:val="1"/>
          <w:numId w:val="306"/>
        </w:numPr>
        <w:tabs>
          <w:tab w:pos="1146" w:val="left" w:leader="none"/>
        </w:tabs>
        <w:spacing w:line="208" w:lineRule="auto" w:before="239" w:after="0"/>
        <w:ind w:left="720" w:right="766" w:firstLine="0"/>
        <w:jc w:val="left"/>
        <w:rPr>
          <w:sz w:val="24"/>
        </w:rPr>
      </w:pPr>
      <w:r>
        <w:rPr>
          <w:sz w:val="24"/>
        </w:rPr>
        <w:t>The</w:t>
      </w:r>
      <w:r>
        <w:rPr>
          <w:spacing w:val="-4"/>
          <w:sz w:val="24"/>
        </w:rPr>
        <w:t> </w:t>
      </w:r>
      <w:r>
        <w:rPr>
          <w:sz w:val="24"/>
        </w:rPr>
        <w:t>function</w:t>
      </w:r>
      <w:r>
        <w:rPr>
          <w:spacing w:val="-3"/>
          <w:sz w:val="24"/>
        </w:rPr>
        <w:t> </w:t>
      </w:r>
      <w:r>
        <w:rPr>
          <w:sz w:val="24"/>
        </w:rPr>
        <w:t>of</w:t>
      </w:r>
      <w:r>
        <w:rPr>
          <w:spacing w:val="-2"/>
          <w:sz w:val="24"/>
        </w:rPr>
        <w:t> </w:t>
      </w:r>
      <w:r>
        <w:rPr>
          <w:sz w:val="24"/>
        </w:rPr>
        <w:t>the</w:t>
      </w:r>
      <w:r>
        <w:rPr>
          <w:spacing w:val="-3"/>
          <w:sz w:val="24"/>
        </w:rPr>
        <w:t> </w:t>
      </w:r>
      <w:r>
        <w:rPr>
          <w:sz w:val="24"/>
        </w:rPr>
        <w:t>merit</w:t>
      </w:r>
      <w:r>
        <w:rPr>
          <w:spacing w:val="-2"/>
          <w:sz w:val="24"/>
        </w:rPr>
        <w:t> </w:t>
      </w:r>
      <w:r>
        <w:rPr>
          <w:sz w:val="24"/>
        </w:rPr>
        <w:t>panel</w:t>
      </w:r>
      <w:r>
        <w:rPr>
          <w:spacing w:val="-3"/>
          <w:sz w:val="24"/>
        </w:rPr>
        <w:t> </w:t>
      </w:r>
      <w:r>
        <w:rPr>
          <w:sz w:val="24"/>
        </w:rPr>
        <w:t>is</w:t>
      </w:r>
      <w:r>
        <w:rPr>
          <w:spacing w:val="-3"/>
          <w:sz w:val="24"/>
        </w:rPr>
        <w:t> </w:t>
      </w:r>
      <w:r>
        <w:rPr>
          <w:sz w:val="24"/>
        </w:rPr>
        <w:t>to</w:t>
      </w:r>
      <w:r>
        <w:rPr>
          <w:spacing w:val="-3"/>
          <w:sz w:val="24"/>
        </w:rPr>
        <w:t> </w:t>
      </w:r>
      <w:r>
        <w:rPr>
          <w:sz w:val="24"/>
        </w:rPr>
        <w:t>assist</w:t>
      </w:r>
      <w:r>
        <w:rPr>
          <w:spacing w:val="-2"/>
          <w:sz w:val="24"/>
        </w:rPr>
        <w:t> </w:t>
      </w:r>
      <w:r>
        <w:rPr>
          <w:sz w:val="24"/>
        </w:rPr>
        <w:t>the</w:t>
      </w:r>
      <w:r>
        <w:rPr>
          <w:spacing w:val="-3"/>
          <w:sz w:val="24"/>
        </w:rPr>
        <w:t> </w:t>
      </w:r>
      <w:r>
        <w:rPr>
          <w:sz w:val="24"/>
        </w:rPr>
        <w:t>Department</w:t>
      </w:r>
      <w:r>
        <w:rPr>
          <w:spacing w:val="-4"/>
          <w:sz w:val="24"/>
        </w:rPr>
        <w:t> </w:t>
      </w:r>
      <w:r>
        <w:rPr>
          <w:sz w:val="24"/>
        </w:rPr>
        <w:t>in</w:t>
      </w:r>
      <w:r>
        <w:rPr>
          <w:spacing w:val="-3"/>
          <w:sz w:val="24"/>
        </w:rPr>
        <w:t> </w:t>
      </w:r>
      <w:r>
        <w:rPr>
          <w:sz w:val="24"/>
        </w:rPr>
        <w:t>determining</w:t>
      </w:r>
      <w:r>
        <w:rPr>
          <w:spacing w:val="-3"/>
          <w:sz w:val="24"/>
        </w:rPr>
        <w:t> </w:t>
      </w:r>
      <w:r>
        <w:rPr>
          <w:sz w:val="24"/>
        </w:rPr>
        <w:t>if</w:t>
      </w:r>
      <w:r>
        <w:rPr>
          <w:spacing w:val="-2"/>
          <w:sz w:val="24"/>
        </w:rPr>
        <w:t> </w:t>
      </w:r>
      <w:r>
        <w:rPr>
          <w:sz w:val="24"/>
        </w:rPr>
        <w:t>there is founded merit to the claimed violation(s) set forth in (c) 5. The names of the parties will be anonymous when presented to the merit panel. The panel can recommend a course of action.</w:t>
      </w:r>
    </w:p>
    <w:p>
      <w:pPr>
        <w:pStyle w:val="ListParagraph"/>
        <w:numPr>
          <w:ilvl w:val="1"/>
          <w:numId w:val="306"/>
        </w:numPr>
        <w:tabs>
          <w:tab w:pos="1146" w:val="left" w:leader="none"/>
        </w:tabs>
        <w:spacing w:line="208" w:lineRule="auto" w:before="240" w:after="0"/>
        <w:ind w:left="720" w:right="1462" w:firstLine="0"/>
        <w:jc w:val="left"/>
        <w:rPr>
          <w:sz w:val="24"/>
        </w:rPr>
      </w:pPr>
      <w:r>
        <w:rPr>
          <w:sz w:val="24"/>
        </w:rPr>
        <w:t>Possible</w:t>
      </w:r>
      <w:r>
        <w:rPr>
          <w:spacing w:val="-3"/>
          <w:sz w:val="24"/>
        </w:rPr>
        <w:t> </w:t>
      </w:r>
      <w:r>
        <w:rPr>
          <w:sz w:val="24"/>
        </w:rPr>
        <w:t>course</w:t>
      </w:r>
      <w:r>
        <w:rPr>
          <w:spacing w:val="-3"/>
          <w:sz w:val="24"/>
        </w:rPr>
        <w:t> </w:t>
      </w:r>
      <w:r>
        <w:rPr>
          <w:sz w:val="24"/>
        </w:rPr>
        <w:t>of</w:t>
      </w:r>
      <w:r>
        <w:rPr>
          <w:spacing w:val="-4"/>
          <w:sz w:val="24"/>
        </w:rPr>
        <w:t> </w:t>
      </w:r>
      <w:r>
        <w:rPr>
          <w:sz w:val="24"/>
        </w:rPr>
        <w:t>action(s)</w:t>
      </w:r>
      <w:r>
        <w:rPr>
          <w:spacing w:val="-2"/>
          <w:sz w:val="24"/>
        </w:rPr>
        <w:t> </w:t>
      </w:r>
      <w:r>
        <w:rPr>
          <w:sz w:val="24"/>
        </w:rPr>
        <w:t>are</w:t>
      </w:r>
      <w:r>
        <w:rPr>
          <w:spacing w:val="-3"/>
          <w:sz w:val="24"/>
        </w:rPr>
        <w:t> </w:t>
      </w:r>
      <w:r>
        <w:rPr>
          <w:sz w:val="24"/>
        </w:rPr>
        <w:t>set</w:t>
      </w:r>
      <w:r>
        <w:rPr>
          <w:spacing w:val="-4"/>
          <w:sz w:val="24"/>
        </w:rPr>
        <w:t> </w:t>
      </w:r>
      <w:r>
        <w:rPr>
          <w:sz w:val="24"/>
        </w:rPr>
        <w:t>forth</w:t>
      </w:r>
      <w:r>
        <w:rPr>
          <w:spacing w:val="-6"/>
          <w:sz w:val="24"/>
        </w:rPr>
        <w:t> </w:t>
      </w:r>
      <w:r>
        <w:rPr>
          <w:sz w:val="24"/>
        </w:rPr>
        <w:t>as</w:t>
      </w:r>
      <w:r>
        <w:rPr>
          <w:spacing w:val="-3"/>
          <w:sz w:val="24"/>
        </w:rPr>
        <w:t> </w:t>
      </w:r>
      <w:r>
        <w:rPr>
          <w:sz w:val="24"/>
        </w:rPr>
        <w:t>defined</w:t>
      </w:r>
      <w:r>
        <w:rPr>
          <w:spacing w:val="-3"/>
          <w:sz w:val="24"/>
        </w:rPr>
        <w:t> </w:t>
      </w:r>
      <w:r>
        <w:rPr>
          <w:sz w:val="24"/>
        </w:rPr>
        <w:t>in</w:t>
      </w:r>
      <w:r>
        <w:rPr>
          <w:spacing w:val="-3"/>
          <w:sz w:val="24"/>
        </w:rPr>
        <w:t> </w:t>
      </w:r>
      <w:r>
        <w:rPr>
          <w:sz w:val="24"/>
        </w:rPr>
        <w:t>612:10-13-23</w:t>
      </w:r>
      <w:r>
        <w:rPr>
          <w:spacing w:val="-3"/>
          <w:sz w:val="24"/>
        </w:rPr>
        <w:t> </w:t>
      </w:r>
      <w:r>
        <w:rPr>
          <w:sz w:val="24"/>
        </w:rPr>
        <w:t>in</w:t>
      </w:r>
      <w:r>
        <w:rPr>
          <w:spacing w:val="-3"/>
          <w:sz w:val="24"/>
        </w:rPr>
        <w:t> </w:t>
      </w:r>
      <w:r>
        <w:rPr>
          <w:sz w:val="24"/>
        </w:rPr>
        <w:t>(1) through (8) of that subsection.</w:t>
      </w:r>
    </w:p>
    <w:p>
      <w:pPr>
        <w:pStyle w:val="ListParagraph"/>
        <w:numPr>
          <w:ilvl w:val="0"/>
          <w:numId w:val="306"/>
        </w:numPr>
        <w:tabs>
          <w:tab w:pos="785" w:val="left" w:leader="none"/>
        </w:tabs>
        <w:spacing w:line="240" w:lineRule="auto" w:before="244" w:after="0"/>
        <w:ind w:left="360" w:right="967" w:firstLine="0"/>
        <w:jc w:val="left"/>
        <w:rPr>
          <w:sz w:val="24"/>
        </w:rPr>
      </w:pPr>
      <w:r>
        <w:rPr>
          <w:sz w:val="24"/>
        </w:rPr>
        <w:t>If</w:t>
      </w:r>
      <w:r>
        <w:rPr>
          <w:spacing w:val="-4"/>
          <w:sz w:val="24"/>
        </w:rPr>
        <w:t> </w:t>
      </w:r>
      <w:r>
        <w:rPr>
          <w:sz w:val="24"/>
        </w:rPr>
        <w:t>it</w:t>
      </w:r>
      <w:r>
        <w:rPr>
          <w:spacing w:val="-2"/>
          <w:sz w:val="24"/>
        </w:rPr>
        <w:t> </w:t>
      </w:r>
      <w:r>
        <w:rPr>
          <w:sz w:val="24"/>
        </w:rPr>
        <w:t>is</w:t>
      </w:r>
      <w:r>
        <w:rPr>
          <w:spacing w:val="-3"/>
          <w:sz w:val="24"/>
        </w:rPr>
        <w:t> </w:t>
      </w:r>
      <w:r>
        <w:rPr>
          <w:sz w:val="24"/>
        </w:rPr>
        <w:t>determined</w:t>
      </w:r>
      <w:r>
        <w:rPr>
          <w:spacing w:val="-3"/>
          <w:sz w:val="24"/>
        </w:rPr>
        <w:t> </w:t>
      </w:r>
      <w:r>
        <w:rPr>
          <w:sz w:val="24"/>
        </w:rPr>
        <w:t>that</w:t>
      </w:r>
      <w:r>
        <w:rPr>
          <w:spacing w:val="-2"/>
          <w:sz w:val="24"/>
        </w:rPr>
        <w:t> </w:t>
      </w:r>
      <w:r>
        <w:rPr>
          <w:sz w:val="24"/>
        </w:rPr>
        <w:t>no</w:t>
      </w:r>
      <w:r>
        <w:rPr>
          <w:spacing w:val="-3"/>
          <w:sz w:val="24"/>
        </w:rPr>
        <w:t> </w:t>
      </w:r>
      <w:r>
        <w:rPr>
          <w:sz w:val="24"/>
        </w:rPr>
        <w:t>violation</w:t>
      </w:r>
      <w:r>
        <w:rPr>
          <w:spacing w:val="-3"/>
          <w:sz w:val="24"/>
        </w:rPr>
        <w:t> </w:t>
      </w:r>
      <w:r>
        <w:rPr>
          <w:sz w:val="24"/>
        </w:rPr>
        <w:t>of</w:t>
      </w:r>
      <w:r>
        <w:rPr>
          <w:spacing w:val="-2"/>
          <w:sz w:val="24"/>
        </w:rPr>
        <w:t> </w:t>
      </w:r>
      <w:r>
        <w:rPr>
          <w:sz w:val="24"/>
        </w:rPr>
        <w:t>rules</w:t>
      </w:r>
      <w:r>
        <w:rPr>
          <w:spacing w:val="-3"/>
          <w:sz w:val="24"/>
        </w:rPr>
        <w:t> </w:t>
      </w:r>
      <w:r>
        <w:rPr>
          <w:sz w:val="24"/>
        </w:rPr>
        <w:t>related</w:t>
      </w:r>
      <w:r>
        <w:rPr>
          <w:spacing w:val="-3"/>
          <w:sz w:val="24"/>
        </w:rPr>
        <w:t> </w:t>
      </w:r>
      <w:r>
        <w:rPr>
          <w:sz w:val="24"/>
        </w:rPr>
        <w:t>to</w:t>
      </w:r>
      <w:r>
        <w:rPr>
          <w:spacing w:val="-4"/>
          <w:sz w:val="24"/>
        </w:rPr>
        <w:t> </w:t>
      </w:r>
      <w:r>
        <w:rPr>
          <w:sz w:val="24"/>
        </w:rPr>
        <w:t>evaluation</w:t>
      </w:r>
      <w:r>
        <w:rPr>
          <w:spacing w:val="-2"/>
          <w:sz w:val="24"/>
        </w:rPr>
        <w:t> </w:t>
      </w:r>
      <w:r>
        <w:rPr>
          <w:sz w:val="24"/>
        </w:rPr>
        <w:t>and</w:t>
      </w:r>
      <w:r>
        <w:rPr>
          <w:spacing w:val="-3"/>
          <w:sz w:val="24"/>
        </w:rPr>
        <w:t> </w:t>
      </w:r>
      <w:r>
        <w:rPr>
          <w:sz w:val="24"/>
        </w:rPr>
        <w:t>certification</w:t>
      </w:r>
      <w:r>
        <w:rPr>
          <w:spacing w:val="-3"/>
          <w:sz w:val="24"/>
        </w:rPr>
        <w:t> </w:t>
      </w:r>
      <w:r>
        <w:rPr>
          <w:sz w:val="24"/>
        </w:rPr>
        <w:t>or violation of interpreting standards and ethical behavior has occurred, the involved</w:t>
      </w:r>
    </w:p>
    <w:p>
      <w:pPr>
        <w:pStyle w:val="ListParagraph"/>
        <w:spacing w:after="0" w:line="240" w:lineRule="auto"/>
        <w:jc w:val="left"/>
        <w:rPr>
          <w:sz w:val="24"/>
        </w:rPr>
        <w:sectPr>
          <w:pgSz w:w="12240" w:h="15840"/>
          <w:pgMar w:top="1340" w:bottom="280" w:left="1080" w:right="720"/>
        </w:sectPr>
      </w:pPr>
    </w:p>
    <w:p>
      <w:pPr>
        <w:pStyle w:val="BodyText"/>
        <w:spacing w:before="80"/>
        <w:ind w:right="779"/>
        <w:rPr>
          <w:b/>
        </w:rPr>
      </w:pPr>
      <w:r>
        <w:rPr/>
        <w:t>parties will be notified, and the complaint will be dismissed. If the complaint is dismissed, the complainant or respondent may appeal and request a formal hearing. The</w:t>
      </w:r>
      <w:r>
        <w:rPr>
          <w:spacing w:val="-3"/>
        </w:rPr>
        <w:t> </w:t>
      </w:r>
      <w:r>
        <w:rPr/>
        <w:t>appeal</w:t>
      </w:r>
      <w:r>
        <w:rPr>
          <w:spacing w:val="-2"/>
        </w:rPr>
        <w:t> </w:t>
      </w:r>
      <w:r>
        <w:rPr/>
        <w:t>must</w:t>
      </w:r>
      <w:r>
        <w:rPr>
          <w:spacing w:val="-2"/>
        </w:rPr>
        <w:t> </w:t>
      </w:r>
      <w:r>
        <w:rPr/>
        <w:t>be</w:t>
      </w:r>
      <w:r>
        <w:rPr>
          <w:spacing w:val="-3"/>
        </w:rPr>
        <w:t> </w:t>
      </w:r>
      <w:r>
        <w:rPr/>
        <w:t>in</w:t>
      </w:r>
      <w:r>
        <w:rPr>
          <w:spacing w:val="-4"/>
        </w:rPr>
        <w:t> </w:t>
      </w:r>
      <w:r>
        <w:rPr/>
        <w:t>written</w:t>
      </w:r>
      <w:r>
        <w:rPr>
          <w:spacing w:val="-3"/>
        </w:rPr>
        <w:t> </w:t>
      </w:r>
      <w:r>
        <w:rPr/>
        <w:t>form</w:t>
      </w:r>
      <w:r>
        <w:rPr>
          <w:spacing w:val="-2"/>
        </w:rPr>
        <w:t> </w:t>
      </w:r>
      <w:r>
        <w:rPr/>
        <w:t>and</w:t>
      </w:r>
      <w:r>
        <w:rPr>
          <w:spacing w:val="-3"/>
        </w:rPr>
        <w:t> </w:t>
      </w:r>
      <w:r>
        <w:rPr/>
        <w:t>submitted</w:t>
      </w:r>
      <w:r>
        <w:rPr>
          <w:spacing w:val="-3"/>
        </w:rPr>
        <w:t> </w:t>
      </w:r>
      <w:r>
        <w:rPr/>
        <w:t>within</w:t>
      </w:r>
      <w:r>
        <w:rPr>
          <w:spacing w:val="-3"/>
        </w:rPr>
        <w:t> </w:t>
      </w:r>
      <w:r>
        <w:rPr/>
        <w:t>thirty</w:t>
      </w:r>
      <w:r>
        <w:rPr>
          <w:spacing w:val="-4"/>
        </w:rPr>
        <w:t> </w:t>
      </w:r>
      <w:r>
        <w:rPr/>
        <w:t>(30)</w:t>
      </w:r>
      <w:r>
        <w:rPr>
          <w:spacing w:val="-4"/>
        </w:rPr>
        <w:t> </w:t>
      </w:r>
      <w:r>
        <w:rPr/>
        <w:t>days</w:t>
      </w:r>
      <w:r>
        <w:rPr>
          <w:spacing w:val="-3"/>
        </w:rPr>
        <w:t> </w:t>
      </w:r>
      <w:r>
        <w:rPr/>
        <w:t>of</w:t>
      </w:r>
      <w:r>
        <w:rPr>
          <w:spacing w:val="-2"/>
        </w:rPr>
        <w:t> </w:t>
      </w:r>
      <w:r>
        <w:rPr/>
        <w:t>receiving</w:t>
      </w:r>
      <w:r>
        <w:rPr>
          <w:spacing w:val="-3"/>
        </w:rPr>
        <w:t> </w:t>
      </w:r>
      <w:r>
        <w:rPr/>
        <w:t>the notification. The request for formal hearing must be in writing and addressed to the designated Oklahoma interpreter certification program official at the Department of Rehabilitation Services. </w:t>
      </w:r>
      <w:r>
        <w:rPr>
          <w:b/>
        </w:rPr>
        <w:t>1</w:t>
      </w:r>
    </w:p>
    <w:p>
      <w:pPr>
        <w:pStyle w:val="BodyText"/>
        <w:spacing w:before="243"/>
      </w:pPr>
      <w:r>
        <w:rPr/>
        <w:t>INSTRUCTIONS</w:t>
      </w:r>
      <w:r>
        <w:rPr>
          <w:spacing w:val="-3"/>
        </w:rPr>
        <w:t> </w:t>
      </w:r>
      <w:r>
        <w:rPr/>
        <w:t>TO</w:t>
      </w:r>
      <w:r>
        <w:rPr>
          <w:spacing w:val="-2"/>
        </w:rPr>
        <w:t> </w:t>
      </w:r>
      <w:r>
        <w:rPr>
          <w:spacing w:val="-4"/>
        </w:rPr>
        <w:t>STAFF</w:t>
      </w:r>
    </w:p>
    <w:p>
      <w:pPr>
        <w:pStyle w:val="BodyText"/>
        <w:spacing w:line="258" w:lineRule="exact" w:before="204"/>
      </w:pPr>
      <w:r>
        <w:rPr/>
        <w:t>1.</w:t>
      </w:r>
      <w:r>
        <w:rPr>
          <w:spacing w:val="49"/>
          <w:w w:val="150"/>
        </w:rPr>
        <w:t> </w:t>
      </w:r>
      <w:r>
        <w:rPr/>
        <w:t>Designated</w:t>
      </w:r>
      <w:r>
        <w:rPr>
          <w:spacing w:val="-2"/>
        </w:rPr>
        <w:t> </w:t>
      </w:r>
      <w:r>
        <w:rPr/>
        <w:t>Oklahoma</w:t>
      </w:r>
      <w:r>
        <w:rPr>
          <w:spacing w:val="-4"/>
        </w:rPr>
        <w:t> </w:t>
      </w:r>
      <w:r>
        <w:rPr/>
        <w:t>interpreter</w:t>
      </w:r>
      <w:r>
        <w:rPr>
          <w:spacing w:val="-5"/>
        </w:rPr>
        <w:t> </w:t>
      </w:r>
      <w:r>
        <w:rPr/>
        <w:t>Certification</w:t>
      </w:r>
      <w:r>
        <w:rPr>
          <w:spacing w:val="-3"/>
        </w:rPr>
        <w:t> </w:t>
      </w:r>
      <w:r>
        <w:rPr/>
        <w:t>Program</w:t>
      </w:r>
      <w:r>
        <w:rPr>
          <w:spacing w:val="-5"/>
        </w:rPr>
        <w:t> </w:t>
      </w:r>
      <w:r>
        <w:rPr>
          <w:spacing w:val="-2"/>
        </w:rPr>
        <w:t>Official:</w:t>
      </w:r>
    </w:p>
    <w:p>
      <w:pPr>
        <w:pStyle w:val="BodyText"/>
        <w:spacing w:line="208" w:lineRule="auto" w:before="11"/>
        <w:ind w:left="720" w:right="3984"/>
      </w:pPr>
      <w:r>
        <w:rPr/>
        <w:t>Oklahoma</w:t>
      </w:r>
      <w:r>
        <w:rPr>
          <w:spacing w:val="-9"/>
        </w:rPr>
        <w:t> </w:t>
      </w:r>
      <w:r>
        <w:rPr/>
        <w:t>Interpreter</w:t>
      </w:r>
      <w:r>
        <w:rPr>
          <w:spacing w:val="-10"/>
        </w:rPr>
        <w:t> </w:t>
      </w:r>
      <w:r>
        <w:rPr/>
        <w:t>Certification</w:t>
      </w:r>
      <w:r>
        <w:rPr>
          <w:spacing w:val="-9"/>
        </w:rPr>
        <w:t> </w:t>
      </w:r>
      <w:r>
        <w:rPr/>
        <w:t>Program</w:t>
      </w:r>
      <w:r>
        <w:rPr>
          <w:spacing w:val="-10"/>
        </w:rPr>
        <w:t> </w:t>
      </w:r>
      <w:r>
        <w:rPr/>
        <w:t>Specialist c/o Oklahoma Department of Rehabilitation Services 5005 N Lincoln Blvd, #205</w:t>
      </w:r>
    </w:p>
    <w:p>
      <w:pPr>
        <w:pStyle w:val="BodyText"/>
        <w:spacing w:line="246" w:lineRule="exact" w:before="0"/>
        <w:ind w:left="720"/>
      </w:pPr>
      <w:r>
        <w:rPr/>
        <w:t>Oklahoma</w:t>
      </w:r>
      <w:r>
        <w:rPr>
          <w:spacing w:val="-4"/>
        </w:rPr>
        <w:t> </w:t>
      </w:r>
      <w:r>
        <w:rPr/>
        <w:t>City,</w:t>
      </w:r>
      <w:r>
        <w:rPr>
          <w:spacing w:val="-2"/>
        </w:rPr>
        <w:t> </w:t>
      </w:r>
      <w:r>
        <w:rPr/>
        <w:t>Oklahoma</w:t>
      </w:r>
      <w:r>
        <w:rPr>
          <w:spacing w:val="-3"/>
        </w:rPr>
        <w:t> </w:t>
      </w:r>
      <w:r>
        <w:rPr>
          <w:spacing w:val="-2"/>
        </w:rPr>
        <w:t>73105</w:t>
      </w:r>
    </w:p>
    <w:p>
      <w:pPr>
        <w:spacing w:line="253" w:lineRule="exact" w:before="237"/>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307"/>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#94-</w:t>
      </w:r>
      <w:r>
        <w:rPr>
          <w:spacing w:val="-10"/>
          <w:sz w:val="22"/>
        </w:rPr>
        <w:t>1</w:t>
      </w:r>
    </w:p>
    <w:p>
      <w:pPr>
        <w:tabs>
          <w:tab w:pos="1439" w:val="left" w:leader="none"/>
        </w:tabs>
        <w:spacing w:before="0"/>
        <w:ind w:left="359" w:right="6636"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7-1-95</w:t>
      </w:r>
      <w:r>
        <w:rPr>
          <w:sz w:val="22"/>
        </w:rPr>
        <w:tab/>
        <w:t>PT Memo #95-2</w:t>
      </w:r>
    </w:p>
    <w:p>
      <w:pPr>
        <w:tabs>
          <w:tab w:pos="1439" w:val="left" w:leader="none"/>
        </w:tabs>
        <w:spacing w:before="1"/>
        <w:ind w:left="359" w:right="5783" w:firstLine="1080"/>
        <w:jc w:val="left"/>
        <w:rPr>
          <w:sz w:val="22"/>
        </w:rPr>
      </w:pPr>
      <w:r>
        <w:rPr>
          <w:sz w:val="22"/>
        </w:rPr>
        <w:t>Permanent,</w:t>
      </w:r>
      <w:r>
        <w:rPr>
          <w:spacing w:val="-12"/>
          <w:sz w:val="22"/>
        </w:rPr>
        <w:t> </w:t>
      </w:r>
      <w:r>
        <w:rPr>
          <w:sz w:val="22"/>
        </w:rPr>
        <w:t>deleted</w:t>
      </w:r>
      <w:r>
        <w:rPr>
          <w:spacing w:val="-13"/>
          <w:sz w:val="22"/>
        </w:rPr>
        <w:t> </w:t>
      </w:r>
      <w:r>
        <w:rPr>
          <w:sz w:val="22"/>
        </w:rPr>
        <w:t>word</w:t>
      </w:r>
      <w:r>
        <w:rPr>
          <w:spacing w:val="-13"/>
          <w:sz w:val="22"/>
        </w:rPr>
        <w:t> </w:t>
      </w:r>
      <w:r>
        <w:rPr>
          <w:sz w:val="22"/>
        </w:rPr>
        <w:t>'formal' </w:t>
      </w:r>
      <w:r>
        <w:rPr>
          <w:spacing w:val="-2"/>
          <w:sz w:val="22"/>
        </w:rPr>
        <w:t>8-1-96</w:t>
      </w:r>
      <w:r>
        <w:rPr>
          <w:sz w:val="22"/>
        </w:rPr>
        <w:tab/>
        <w:t>PT Memo #97-2</w:t>
      </w:r>
    </w:p>
    <w:p>
      <w:pPr>
        <w:spacing w:line="253" w:lineRule="exact" w:before="0"/>
        <w:ind w:left="1439" w:right="0" w:firstLine="0"/>
        <w:jc w:val="left"/>
        <w:rPr>
          <w:sz w:val="22"/>
        </w:rPr>
      </w:pPr>
      <w:r>
        <w:rPr>
          <w:sz w:val="22"/>
        </w:rPr>
        <w:t>Permanent,</w:t>
      </w:r>
      <w:r>
        <w:rPr>
          <w:spacing w:val="-8"/>
          <w:sz w:val="22"/>
        </w:rPr>
        <w:t> </w:t>
      </w:r>
      <w:r>
        <w:rPr>
          <w:sz w:val="22"/>
        </w:rPr>
        <w:t>State</w:t>
      </w:r>
      <w:r>
        <w:rPr>
          <w:spacing w:val="-9"/>
          <w:sz w:val="22"/>
        </w:rPr>
        <w:t> </w:t>
      </w:r>
      <w:r>
        <w:rPr>
          <w:sz w:val="22"/>
        </w:rPr>
        <w:t>Office</w:t>
      </w:r>
      <w:r>
        <w:rPr>
          <w:spacing w:val="-8"/>
          <w:sz w:val="22"/>
        </w:rPr>
        <w:t> </w:t>
      </w:r>
      <w:r>
        <w:rPr>
          <w:sz w:val="22"/>
        </w:rPr>
        <w:t>address</w:t>
      </w:r>
      <w:r>
        <w:rPr>
          <w:spacing w:val="-9"/>
          <w:sz w:val="22"/>
        </w:rPr>
        <w:t> </w:t>
      </w:r>
      <w:r>
        <w:rPr>
          <w:spacing w:val="-2"/>
          <w:sz w:val="22"/>
        </w:rPr>
        <w:t>updated</w:t>
      </w:r>
    </w:p>
    <w:p>
      <w:pPr>
        <w:tabs>
          <w:tab w:pos="1439" w:val="left" w:leader="none"/>
        </w:tabs>
        <w:spacing w:before="0"/>
        <w:ind w:left="1439" w:right="1013" w:hanging="1080"/>
        <w:jc w:val="left"/>
        <w:rPr>
          <w:sz w:val="22"/>
        </w:rPr>
      </w:pPr>
      <w:r>
        <w:rPr>
          <w:spacing w:val="-2"/>
          <w:sz w:val="22"/>
        </w:rPr>
        <w:t>9-12-14</w:t>
      </w:r>
      <w:r>
        <w:rPr>
          <w:sz w:val="22"/>
        </w:rPr>
        <w:tab/>
        <w:t>Updated</w:t>
      </w:r>
      <w:r>
        <w:rPr>
          <w:spacing w:val="-4"/>
          <w:sz w:val="22"/>
        </w:rPr>
        <w:t> </w:t>
      </w:r>
      <w:r>
        <w:rPr>
          <w:sz w:val="22"/>
        </w:rPr>
        <w:t>to</w:t>
      </w:r>
      <w:r>
        <w:rPr>
          <w:spacing w:val="-4"/>
          <w:sz w:val="22"/>
        </w:rPr>
        <w:t> </w:t>
      </w:r>
      <w:r>
        <w:rPr>
          <w:sz w:val="22"/>
        </w:rPr>
        <w:t>reflect</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QAST</w:t>
      </w:r>
      <w:r>
        <w:rPr>
          <w:spacing w:val="-4"/>
          <w:sz w:val="22"/>
        </w:rPr>
        <w:t> </w:t>
      </w:r>
      <w:r>
        <w:rPr>
          <w:sz w:val="22"/>
        </w:rPr>
        <w:t>Administrators</w:t>
      </w:r>
      <w:r>
        <w:rPr>
          <w:spacing w:val="-4"/>
          <w:sz w:val="22"/>
        </w:rPr>
        <w:t> </w:t>
      </w:r>
      <w:r>
        <w:rPr>
          <w:sz w:val="22"/>
        </w:rPr>
        <w:t>to</w:t>
      </w:r>
      <w:r>
        <w:rPr>
          <w:spacing w:val="-4"/>
          <w:sz w:val="22"/>
        </w:rPr>
        <w:t> </w:t>
      </w:r>
      <w:r>
        <w:rPr>
          <w:sz w:val="22"/>
        </w:rPr>
        <w:t>Designated</w:t>
      </w:r>
      <w:r>
        <w:rPr>
          <w:spacing w:val="-4"/>
          <w:sz w:val="22"/>
        </w:rPr>
        <w:t> </w:t>
      </w:r>
      <w:r>
        <w:rPr>
          <w:sz w:val="22"/>
        </w:rPr>
        <w:t>Oklahoma Interpreter Certification Program Official</w:t>
      </w:r>
    </w:p>
    <w:p>
      <w:pPr>
        <w:tabs>
          <w:tab w:pos="1439" w:val="left" w:leader="none"/>
        </w:tabs>
        <w:spacing w:before="0"/>
        <w:ind w:left="359" w:right="1344" w:firstLine="0"/>
        <w:jc w:val="left"/>
        <w:rPr>
          <w:sz w:val="22"/>
        </w:rPr>
      </w:pPr>
      <w:r>
        <w:rPr>
          <w:spacing w:val="-2"/>
          <w:sz w:val="22"/>
        </w:rPr>
        <w:t>8-11-23</w:t>
      </w:r>
      <w:r>
        <w:rPr>
          <w:sz w:val="22"/>
        </w:rPr>
        <w:tab/>
        <w:t>Revised</w:t>
      </w:r>
      <w:r>
        <w:rPr>
          <w:spacing w:val="-4"/>
          <w:sz w:val="22"/>
        </w:rPr>
        <w:t> </w:t>
      </w:r>
      <w:r>
        <w:rPr>
          <w:sz w:val="22"/>
        </w:rPr>
        <w:t>(a)</w:t>
      </w:r>
      <w:r>
        <w:rPr>
          <w:spacing w:val="-5"/>
          <w:sz w:val="22"/>
        </w:rPr>
        <w:t> </w:t>
      </w:r>
      <w:r>
        <w:rPr>
          <w:sz w:val="22"/>
        </w:rPr>
        <w:t>(5)</w:t>
      </w:r>
      <w:r>
        <w:rPr>
          <w:spacing w:val="-4"/>
          <w:sz w:val="22"/>
        </w:rPr>
        <w:t> </w:t>
      </w:r>
      <w:r>
        <w:rPr>
          <w:sz w:val="22"/>
        </w:rPr>
        <w:t>to</w:t>
      </w:r>
      <w:r>
        <w:rPr>
          <w:spacing w:val="-4"/>
          <w:sz w:val="22"/>
        </w:rPr>
        <w:t> </w:t>
      </w:r>
      <w:r>
        <w:rPr>
          <w:sz w:val="22"/>
        </w:rPr>
        <w:t>include</w:t>
      </w:r>
      <w:r>
        <w:rPr>
          <w:spacing w:val="-4"/>
          <w:sz w:val="22"/>
        </w:rPr>
        <w:t> </w:t>
      </w:r>
      <w:r>
        <w:rPr>
          <w:sz w:val="22"/>
        </w:rPr>
        <w:t>NAD-RID</w:t>
      </w:r>
      <w:r>
        <w:rPr>
          <w:spacing w:val="-3"/>
          <w:sz w:val="22"/>
        </w:rPr>
        <w:t> </w:t>
      </w:r>
      <w:r>
        <w:rPr>
          <w:sz w:val="22"/>
        </w:rPr>
        <w:t>and</w:t>
      </w:r>
      <w:r>
        <w:rPr>
          <w:spacing w:val="-4"/>
          <w:sz w:val="22"/>
        </w:rPr>
        <w:t> </w:t>
      </w:r>
      <w:r>
        <w:rPr>
          <w:sz w:val="22"/>
        </w:rPr>
        <w:t>ICRC</w:t>
      </w:r>
      <w:r>
        <w:rPr>
          <w:spacing w:val="-5"/>
          <w:sz w:val="22"/>
        </w:rPr>
        <w:t> </w:t>
      </w:r>
      <w:r>
        <w:rPr>
          <w:sz w:val="22"/>
        </w:rPr>
        <w:t>Certification</w:t>
      </w:r>
      <w:r>
        <w:rPr>
          <w:spacing w:val="-5"/>
          <w:sz w:val="22"/>
        </w:rPr>
        <w:t> </w:t>
      </w:r>
      <w:r>
        <w:rPr>
          <w:sz w:val="22"/>
        </w:rPr>
        <w:t>of</w:t>
      </w:r>
      <w:r>
        <w:rPr>
          <w:spacing w:val="-4"/>
          <w:sz w:val="22"/>
        </w:rPr>
        <w:t> </w:t>
      </w:r>
      <w:r>
        <w:rPr>
          <w:sz w:val="22"/>
        </w:rPr>
        <w:t>Levels</w:t>
      </w:r>
      <w:r>
        <w:rPr>
          <w:spacing w:val="-5"/>
          <w:sz w:val="22"/>
        </w:rPr>
        <w:t> </w:t>
      </w:r>
      <w:r>
        <w:rPr>
          <w:sz w:val="22"/>
        </w:rPr>
        <w:t>language. </w:t>
      </w:r>
      <w:r>
        <w:rPr>
          <w:spacing w:val="-2"/>
          <w:sz w:val="22"/>
        </w:rPr>
        <w:t>2-29-24</w:t>
      </w:r>
      <w:r>
        <w:rPr>
          <w:sz w:val="22"/>
        </w:rPr>
        <w:tab/>
        <w:t>Updated ITS #1, address revised.</w:t>
      </w:r>
    </w:p>
    <w:p>
      <w:pPr>
        <w:spacing w:after="0"/>
        <w:jc w:val="left"/>
        <w:rPr>
          <w:sz w:val="22"/>
        </w:rPr>
        <w:sectPr>
          <w:pgSz w:w="12240" w:h="15840"/>
          <w:pgMar w:top="1360" w:bottom="280" w:left="1080" w:right="720"/>
        </w:sectPr>
      </w:pPr>
    </w:p>
    <w:p>
      <w:pPr>
        <w:pStyle w:val="Heading2"/>
      </w:pPr>
      <w:bookmarkStart w:name="612:10-13-23.  Formal hearing" w:id="298"/>
      <w:bookmarkEnd w:id="298"/>
      <w:r>
        <w:rPr>
          <w:b w:val="0"/>
        </w:rPr>
      </w:r>
      <w:r>
        <w:rPr/>
        <w:t>612:10-13-23.</w:t>
      </w:r>
      <w:r>
        <w:rPr>
          <w:spacing w:val="58"/>
        </w:rPr>
        <w:t> </w:t>
      </w:r>
      <w:r>
        <w:rPr/>
        <w:t>Formal</w:t>
      </w:r>
      <w:r>
        <w:rPr>
          <w:spacing w:val="-3"/>
        </w:rPr>
        <w:t> </w:t>
      </w:r>
      <w:r>
        <w:rPr>
          <w:spacing w:val="-2"/>
        </w:rPr>
        <w:t>hearing</w:t>
      </w:r>
    </w:p>
    <w:p>
      <w:pPr>
        <w:pStyle w:val="ListParagraph"/>
        <w:numPr>
          <w:ilvl w:val="0"/>
          <w:numId w:val="308"/>
        </w:numPr>
        <w:tabs>
          <w:tab w:pos="786" w:val="left" w:leader="none"/>
        </w:tabs>
        <w:spacing w:line="208" w:lineRule="auto" w:before="233" w:after="0"/>
        <w:ind w:left="360" w:right="793" w:firstLine="0"/>
        <w:jc w:val="left"/>
        <w:rPr>
          <w:sz w:val="24"/>
        </w:rPr>
      </w:pPr>
      <w:r>
        <w:rPr>
          <w:sz w:val="24"/>
        </w:rPr>
        <w:t>A</w:t>
      </w:r>
      <w:r>
        <w:rPr>
          <w:spacing w:val="-6"/>
          <w:sz w:val="24"/>
        </w:rPr>
        <w:t> </w:t>
      </w:r>
      <w:r>
        <w:rPr>
          <w:sz w:val="24"/>
        </w:rPr>
        <w:t>formal</w:t>
      </w:r>
      <w:r>
        <w:rPr>
          <w:spacing w:val="-4"/>
          <w:sz w:val="24"/>
        </w:rPr>
        <w:t> </w:t>
      </w:r>
      <w:r>
        <w:rPr>
          <w:sz w:val="24"/>
        </w:rPr>
        <w:t>hearing</w:t>
      </w:r>
      <w:r>
        <w:rPr>
          <w:spacing w:val="-3"/>
          <w:sz w:val="24"/>
        </w:rPr>
        <w:t> </w:t>
      </w:r>
      <w:r>
        <w:rPr>
          <w:sz w:val="24"/>
        </w:rPr>
        <w:t>may</w:t>
      </w:r>
      <w:r>
        <w:rPr>
          <w:spacing w:val="-4"/>
          <w:sz w:val="24"/>
        </w:rPr>
        <w:t> </w:t>
      </w:r>
      <w:r>
        <w:rPr>
          <w:sz w:val="24"/>
        </w:rPr>
        <w:t>be</w:t>
      </w:r>
      <w:r>
        <w:rPr>
          <w:spacing w:val="-4"/>
          <w:sz w:val="24"/>
        </w:rPr>
        <w:t> </w:t>
      </w:r>
      <w:r>
        <w:rPr>
          <w:sz w:val="24"/>
        </w:rPr>
        <w:t>requested</w:t>
      </w:r>
      <w:r>
        <w:rPr>
          <w:spacing w:val="-4"/>
          <w:sz w:val="24"/>
        </w:rPr>
        <w:t> </w:t>
      </w:r>
      <w:r>
        <w:rPr>
          <w:sz w:val="24"/>
        </w:rPr>
        <w:t>by</w:t>
      </w:r>
      <w:r>
        <w:rPr>
          <w:spacing w:val="-4"/>
          <w:sz w:val="24"/>
        </w:rPr>
        <w:t> </w:t>
      </w:r>
      <w:r>
        <w:rPr>
          <w:sz w:val="24"/>
        </w:rPr>
        <w:t>the</w:t>
      </w:r>
      <w:r>
        <w:rPr>
          <w:spacing w:val="-4"/>
          <w:sz w:val="24"/>
        </w:rPr>
        <w:t> </w:t>
      </w:r>
      <w:r>
        <w:rPr>
          <w:sz w:val="24"/>
        </w:rPr>
        <w:t>complainant</w:t>
      </w:r>
      <w:r>
        <w:rPr>
          <w:spacing w:val="-3"/>
          <w:sz w:val="24"/>
        </w:rPr>
        <w:t> </w:t>
      </w:r>
      <w:r>
        <w:rPr>
          <w:sz w:val="24"/>
        </w:rPr>
        <w:t>or</w:t>
      </w:r>
      <w:r>
        <w:rPr>
          <w:spacing w:val="-3"/>
          <w:sz w:val="24"/>
        </w:rPr>
        <w:t> </w:t>
      </w:r>
      <w:r>
        <w:rPr>
          <w:sz w:val="24"/>
        </w:rPr>
        <w:t>respondent</w:t>
      </w:r>
      <w:r>
        <w:rPr>
          <w:spacing w:val="-3"/>
          <w:sz w:val="24"/>
        </w:rPr>
        <w:t> </w:t>
      </w:r>
      <w:r>
        <w:rPr>
          <w:sz w:val="24"/>
        </w:rPr>
        <w:t>by</w:t>
      </w:r>
      <w:r>
        <w:rPr>
          <w:spacing w:val="-3"/>
          <w:sz w:val="24"/>
        </w:rPr>
        <w:t> </w:t>
      </w:r>
      <w:r>
        <w:rPr>
          <w:sz w:val="24"/>
        </w:rPr>
        <w:t>contacting the</w:t>
      </w:r>
      <w:r>
        <w:rPr>
          <w:spacing w:val="-3"/>
          <w:sz w:val="24"/>
        </w:rPr>
        <w:t> </w:t>
      </w:r>
      <w:r>
        <w:rPr>
          <w:sz w:val="24"/>
        </w:rPr>
        <w:t>designated</w:t>
      </w:r>
      <w:r>
        <w:rPr>
          <w:spacing w:val="-3"/>
          <w:sz w:val="24"/>
        </w:rPr>
        <w:t> </w:t>
      </w:r>
      <w:r>
        <w:rPr>
          <w:sz w:val="24"/>
        </w:rPr>
        <w:t>Oklahoma</w:t>
      </w:r>
      <w:r>
        <w:rPr>
          <w:spacing w:val="-3"/>
          <w:sz w:val="24"/>
        </w:rPr>
        <w:t> </w:t>
      </w:r>
      <w:r>
        <w:rPr>
          <w:sz w:val="24"/>
        </w:rPr>
        <w:t>interpreter</w:t>
      </w:r>
      <w:r>
        <w:rPr>
          <w:spacing w:val="-2"/>
          <w:sz w:val="24"/>
        </w:rPr>
        <w:t> </w:t>
      </w:r>
      <w:r>
        <w:rPr>
          <w:sz w:val="24"/>
        </w:rPr>
        <w:t>certification</w:t>
      </w:r>
      <w:r>
        <w:rPr>
          <w:spacing w:val="-3"/>
          <w:sz w:val="24"/>
        </w:rPr>
        <w:t> </w:t>
      </w:r>
      <w:r>
        <w:rPr>
          <w:sz w:val="24"/>
        </w:rPr>
        <w:t>program</w:t>
      </w:r>
      <w:r>
        <w:rPr>
          <w:spacing w:val="-2"/>
          <w:sz w:val="24"/>
        </w:rPr>
        <w:t> </w:t>
      </w:r>
      <w:r>
        <w:rPr>
          <w:sz w:val="24"/>
        </w:rPr>
        <w:t>official</w:t>
      </w:r>
      <w:r>
        <w:rPr>
          <w:spacing w:val="-4"/>
          <w:sz w:val="24"/>
        </w:rPr>
        <w:t> </w:t>
      </w:r>
      <w:r>
        <w:rPr>
          <w:sz w:val="24"/>
        </w:rPr>
        <w:t>by</w:t>
      </w:r>
      <w:r>
        <w:rPr>
          <w:spacing w:val="-3"/>
          <w:sz w:val="24"/>
        </w:rPr>
        <w:t> </w:t>
      </w:r>
      <w:r>
        <w:rPr>
          <w:sz w:val="24"/>
        </w:rPr>
        <w:t>written</w:t>
      </w:r>
      <w:r>
        <w:rPr>
          <w:spacing w:val="-3"/>
          <w:sz w:val="24"/>
        </w:rPr>
        <w:t> </w:t>
      </w:r>
      <w:r>
        <w:rPr>
          <w:sz w:val="24"/>
        </w:rPr>
        <w:t>form.</w:t>
      </w:r>
      <w:r>
        <w:rPr>
          <w:spacing w:val="-2"/>
          <w:sz w:val="24"/>
        </w:rPr>
        <w:t> </w:t>
      </w:r>
      <w:r>
        <w:rPr>
          <w:b/>
          <w:sz w:val="24"/>
        </w:rPr>
        <w:t>1</w:t>
      </w:r>
      <w:r>
        <w:rPr>
          <w:b/>
          <w:spacing w:val="-4"/>
          <w:sz w:val="24"/>
        </w:rPr>
        <w:t> </w:t>
      </w:r>
      <w:r>
        <w:rPr>
          <w:sz w:val="24"/>
        </w:rPr>
        <w:t>The hearing will be scheduled at a time and place convenient to all parties concerned. All parties will receive two weeks</w:t>
      </w:r>
      <w:r>
        <w:rPr>
          <w:rFonts w:ascii="Calibri"/>
          <w:sz w:val="22"/>
        </w:rPr>
        <w:t>' </w:t>
      </w:r>
      <w:r>
        <w:rPr>
          <w:sz w:val="24"/>
        </w:rPr>
        <w:t>notice of the hearing date.</w:t>
      </w:r>
    </w:p>
    <w:p>
      <w:pPr>
        <w:pStyle w:val="ListParagraph"/>
        <w:numPr>
          <w:ilvl w:val="0"/>
          <w:numId w:val="308"/>
        </w:numPr>
        <w:tabs>
          <w:tab w:pos="786" w:val="left" w:leader="none"/>
        </w:tabs>
        <w:spacing w:line="208" w:lineRule="auto" w:before="231" w:after="0"/>
        <w:ind w:left="360" w:right="792" w:firstLine="0"/>
        <w:jc w:val="left"/>
        <w:rPr>
          <w:sz w:val="24"/>
        </w:rPr>
      </w:pPr>
      <w:r>
        <w:rPr>
          <w:sz w:val="24"/>
        </w:rPr>
        <w:t>The</w:t>
      </w:r>
      <w:r>
        <w:rPr>
          <w:spacing w:val="-4"/>
          <w:sz w:val="24"/>
        </w:rPr>
        <w:t> </w:t>
      </w:r>
      <w:r>
        <w:rPr>
          <w:sz w:val="24"/>
        </w:rPr>
        <w:t>complainant</w:t>
      </w:r>
      <w:r>
        <w:rPr>
          <w:spacing w:val="-3"/>
          <w:sz w:val="24"/>
        </w:rPr>
        <w:t> </w:t>
      </w:r>
      <w:r>
        <w:rPr>
          <w:sz w:val="24"/>
        </w:rPr>
        <w:t>and/or</w:t>
      </w:r>
      <w:r>
        <w:rPr>
          <w:spacing w:val="-3"/>
          <w:sz w:val="24"/>
        </w:rPr>
        <w:t> </w:t>
      </w:r>
      <w:r>
        <w:rPr>
          <w:sz w:val="24"/>
        </w:rPr>
        <w:t>respondent</w:t>
      </w:r>
      <w:r>
        <w:rPr>
          <w:spacing w:val="-3"/>
          <w:sz w:val="24"/>
        </w:rPr>
        <w:t> </w:t>
      </w:r>
      <w:r>
        <w:rPr>
          <w:sz w:val="24"/>
        </w:rPr>
        <w:t>may</w:t>
      </w:r>
      <w:r>
        <w:rPr>
          <w:spacing w:val="-4"/>
          <w:sz w:val="24"/>
        </w:rPr>
        <w:t> </w:t>
      </w:r>
      <w:r>
        <w:rPr>
          <w:sz w:val="24"/>
        </w:rPr>
        <w:t>invite</w:t>
      </w:r>
      <w:r>
        <w:rPr>
          <w:spacing w:val="-4"/>
          <w:sz w:val="24"/>
        </w:rPr>
        <w:t> </w:t>
      </w:r>
      <w:r>
        <w:rPr>
          <w:sz w:val="24"/>
        </w:rPr>
        <w:t>a</w:t>
      </w:r>
      <w:r>
        <w:rPr>
          <w:spacing w:val="-4"/>
          <w:sz w:val="24"/>
        </w:rPr>
        <w:t> </w:t>
      </w:r>
      <w:r>
        <w:rPr>
          <w:sz w:val="24"/>
        </w:rPr>
        <w:t>representative</w:t>
      </w:r>
      <w:r>
        <w:rPr>
          <w:spacing w:val="-4"/>
          <w:sz w:val="24"/>
        </w:rPr>
        <w:t> </w:t>
      </w:r>
      <w:r>
        <w:rPr>
          <w:sz w:val="24"/>
        </w:rPr>
        <w:t>to</w:t>
      </w:r>
      <w:r>
        <w:rPr>
          <w:spacing w:val="-4"/>
          <w:sz w:val="24"/>
        </w:rPr>
        <w:t> </w:t>
      </w:r>
      <w:r>
        <w:rPr>
          <w:sz w:val="24"/>
        </w:rPr>
        <w:t>attend</w:t>
      </w:r>
      <w:r>
        <w:rPr>
          <w:spacing w:val="-6"/>
          <w:sz w:val="24"/>
        </w:rPr>
        <w:t> </w:t>
      </w:r>
      <w:r>
        <w:rPr>
          <w:sz w:val="24"/>
        </w:rPr>
        <w:t>during</w:t>
      </w:r>
      <w:r>
        <w:rPr>
          <w:spacing w:val="-4"/>
          <w:sz w:val="24"/>
        </w:rPr>
        <w:t> </w:t>
      </w:r>
      <w:r>
        <w:rPr>
          <w:sz w:val="24"/>
        </w:rPr>
        <w:t>the proceedings.</w:t>
      </w:r>
      <w:r>
        <w:rPr>
          <w:spacing w:val="-4"/>
          <w:sz w:val="24"/>
        </w:rPr>
        <w:t> </w:t>
      </w:r>
      <w:r>
        <w:rPr>
          <w:sz w:val="24"/>
        </w:rPr>
        <w:t>Either</w:t>
      </w:r>
      <w:r>
        <w:rPr>
          <w:spacing w:val="-4"/>
          <w:sz w:val="24"/>
        </w:rPr>
        <w:t> </w:t>
      </w:r>
      <w:r>
        <w:rPr>
          <w:sz w:val="24"/>
        </w:rPr>
        <w:t>party</w:t>
      </w:r>
      <w:r>
        <w:rPr>
          <w:spacing w:val="-6"/>
          <w:sz w:val="24"/>
        </w:rPr>
        <w:t> </w:t>
      </w:r>
      <w:r>
        <w:rPr>
          <w:sz w:val="24"/>
        </w:rPr>
        <w:t>may</w:t>
      </w:r>
      <w:r>
        <w:rPr>
          <w:spacing w:val="-5"/>
          <w:sz w:val="24"/>
        </w:rPr>
        <w:t> </w:t>
      </w:r>
      <w:r>
        <w:rPr>
          <w:sz w:val="24"/>
        </w:rPr>
        <w:t>present</w:t>
      </w:r>
      <w:r>
        <w:rPr>
          <w:spacing w:val="-4"/>
          <w:sz w:val="24"/>
        </w:rPr>
        <w:t> </w:t>
      </w:r>
      <w:r>
        <w:rPr>
          <w:sz w:val="24"/>
        </w:rPr>
        <w:t>witnesses</w:t>
      </w:r>
      <w:r>
        <w:rPr>
          <w:spacing w:val="-5"/>
          <w:sz w:val="24"/>
        </w:rPr>
        <w:t> </w:t>
      </w:r>
      <w:r>
        <w:rPr>
          <w:sz w:val="24"/>
        </w:rPr>
        <w:t>or</w:t>
      </w:r>
      <w:r>
        <w:rPr>
          <w:spacing w:val="-4"/>
          <w:sz w:val="24"/>
        </w:rPr>
        <w:t> </w:t>
      </w:r>
      <w:r>
        <w:rPr>
          <w:sz w:val="24"/>
        </w:rPr>
        <w:t>other</w:t>
      </w:r>
      <w:r>
        <w:rPr>
          <w:spacing w:val="-4"/>
          <w:sz w:val="24"/>
        </w:rPr>
        <w:t> </w:t>
      </w:r>
      <w:r>
        <w:rPr>
          <w:sz w:val="24"/>
        </w:rPr>
        <w:t>written</w:t>
      </w:r>
      <w:r>
        <w:rPr>
          <w:spacing w:val="-5"/>
          <w:sz w:val="24"/>
        </w:rPr>
        <w:t> </w:t>
      </w:r>
      <w:r>
        <w:rPr>
          <w:sz w:val="24"/>
        </w:rPr>
        <w:t>documentation</w:t>
      </w:r>
      <w:r>
        <w:rPr>
          <w:spacing w:val="-5"/>
          <w:sz w:val="24"/>
        </w:rPr>
        <w:t> </w:t>
      </w:r>
      <w:r>
        <w:rPr>
          <w:sz w:val="24"/>
        </w:rPr>
        <w:t>related to any relevant aspect of the charge or defense. Parties must provide name of witnesses and other written documentation two weeks prior to the scheduled hearing date to the designated Oklahoma interpreter certification program official.</w:t>
      </w:r>
    </w:p>
    <w:p>
      <w:pPr>
        <w:pStyle w:val="ListParagraph"/>
        <w:numPr>
          <w:ilvl w:val="0"/>
          <w:numId w:val="309"/>
        </w:numPr>
        <w:tabs>
          <w:tab w:pos="694" w:val="left" w:leader="none"/>
        </w:tabs>
        <w:spacing w:line="208" w:lineRule="auto" w:before="159" w:after="0"/>
        <w:ind w:left="360" w:right="767" w:firstLine="0"/>
        <w:jc w:val="left"/>
        <w:rPr>
          <w:sz w:val="24"/>
        </w:rPr>
      </w:pPr>
      <w:r>
        <w:rPr>
          <w:sz w:val="24"/>
        </w:rPr>
        <w:t>The hearing will be conducted by a grievance panel selected by the Oklahoma interpreter certification program and the Department. With effort, at least one member must be deaf or hard of hearing; must be a former or current Oklahoma interpreter certification test evaluator and/or acknowledgeable and adhering to a form of Code of Ethics; with effort, one member must be an interpreter holding national or Oklahoma State</w:t>
      </w:r>
      <w:r>
        <w:rPr>
          <w:spacing w:val="-4"/>
          <w:sz w:val="24"/>
        </w:rPr>
        <w:t> </w:t>
      </w:r>
      <w:r>
        <w:rPr>
          <w:sz w:val="24"/>
        </w:rPr>
        <w:t>Level</w:t>
      </w:r>
      <w:r>
        <w:rPr>
          <w:spacing w:val="-3"/>
          <w:sz w:val="24"/>
        </w:rPr>
        <w:t> </w:t>
      </w:r>
      <w:r>
        <w:rPr>
          <w:sz w:val="24"/>
        </w:rPr>
        <w:t>V/V</w:t>
      </w:r>
      <w:r>
        <w:rPr>
          <w:spacing w:val="-4"/>
          <w:sz w:val="24"/>
        </w:rPr>
        <w:t> </w:t>
      </w:r>
      <w:r>
        <w:rPr>
          <w:sz w:val="24"/>
        </w:rPr>
        <w:t>certification;</w:t>
      </w:r>
      <w:r>
        <w:rPr>
          <w:spacing w:val="-3"/>
          <w:sz w:val="24"/>
        </w:rPr>
        <w:t> </w:t>
      </w:r>
      <w:r>
        <w:rPr>
          <w:sz w:val="24"/>
        </w:rPr>
        <w:t>with</w:t>
      </w:r>
      <w:r>
        <w:rPr>
          <w:spacing w:val="-4"/>
          <w:sz w:val="24"/>
        </w:rPr>
        <w:t> </w:t>
      </w:r>
      <w:r>
        <w:rPr>
          <w:sz w:val="24"/>
        </w:rPr>
        <w:t>effort,</w:t>
      </w:r>
      <w:r>
        <w:rPr>
          <w:spacing w:val="-3"/>
          <w:sz w:val="24"/>
        </w:rPr>
        <w:t> </w:t>
      </w:r>
      <w:r>
        <w:rPr>
          <w:sz w:val="24"/>
        </w:rPr>
        <w:t>one</w:t>
      </w:r>
      <w:r>
        <w:rPr>
          <w:spacing w:val="-4"/>
          <w:sz w:val="24"/>
        </w:rPr>
        <w:t> </w:t>
      </w:r>
      <w:r>
        <w:rPr>
          <w:sz w:val="24"/>
        </w:rPr>
        <w:t>member</w:t>
      </w:r>
      <w:r>
        <w:rPr>
          <w:spacing w:val="-3"/>
          <w:sz w:val="24"/>
        </w:rPr>
        <w:t> </w:t>
      </w:r>
      <w:r>
        <w:rPr>
          <w:sz w:val="24"/>
        </w:rPr>
        <w:t>will</w:t>
      </w:r>
      <w:r>
        <w:rPr>
          <w:spacing w:val="-4"/>
          <w:sz w:val="24"/>
        </w:rPr>
        <w:t> </w:t>
      </w:r>
      <w:r>
        <w:rPr>
          <w:sz w:val="24"/>
        </w:rPr>
        <w:t>be</w:t>
      </w:r>
      <w:r>
        <w:rPr>
          <w:spacing w:val="-4"/>
          <w:sz w:val="24"/>
        </w:rPr>
        <w:t> </w:t>
      </w:r>
      <w:r>
        <w:rPr>
          <w:sz w:val="24"/>
        </w:rPr>
        <w:t>selected</w:t>
      </w:r>
      <w:r>
        <w:rPr>
          <w:spacing w:val="-4"/>
          <w:sz w:val="24"/>
        </w:rPr>
        <w:t> </w:t>
      </w:r>
      <w:r>
        <w:rPr>
          <w:sz w:val="24"/>
        </w:rPr>
        <w:t>at</w:t>
      </w:r>
      <w:r>
        <w:rPr>
          <w:spacing w:val="-3"/>
          <w:sz w:val="24"/>
        </w:rPr>
        <w:t> </w:t>
      </w:r>
      <w:r>
        <w:rPr>
          <w:sz w:val="24"/>
        </w:rPr>
        <w:t>the</w:t>
      </w:r>
      <w:r>
        <w:rPr>
          <w:spacing w:val="-4"/>
          <w:sz w:val="24"/>
        </w:rPr>
        <w:t> </w:t>
      </w:r>
      <w:r>
        <w:rPr>
          <w:sz w:val="24"/>
        </w:rPr>
        <w:t>discretion</w:t>
      </w:r>
      <w:r>
        <w:rPr>
          <w:spacing w:val="-4"/>
          <w:sz w:val="24"/>
        </w:rPr>
        <w:t> </w:t>
      </w:r>
      <w:r>
        <w:rPr>
          <w:sz w:val="24"/>
        </w:rPr>
        <w:t>of Department and may be from a profession other than interpreting for the deaf, but must be knowledgeable of Code adhering to a form of Ethics. The panel will review information presented and make a determination based on the facts. Based upon this determination, the panel can make recommendations for a course of appropriate action to the Oklahoma interpreter certification program official. Possible actions are set forth in (1) through (8) of this Subsection.</w:t>
      </w:r>
    </w:p>
    <w:p>
      <w:pPr>
        <w:pStyle w:val="ListParagraph"/>
        <w:numPr>
          <w:ilvl w:val="1"/>
          <w:numId w:val="309"/>
        </w:numPr>
        <w:tabs>
          <w:tab w:pos="1218" w:val="left" w:leader="none"/>
        </w:tabs>
        <w:spacing w:line="240" w:lineRule="auto" w:before="210" w:after="0"/>
        <w:ind w:left="1218" w:right="0" w:hanging="426"/>
        <w:jc w:val="left"/>
        <w:rPr>
          <w:sz w:val="24"/>
        </w:rPr>
      </w:pPr>
      <w:r>
        <w:rPr>
          <w:sz w:val="24"/>
        </w:rPr>
        <w:t>The</w:t>
      </w:r>
      <w:r>
        <w:rPr>
          <w:spacing w:val="-4"/>
          <w:sz w:val="24"/>
        </w:rPr>
        <w:t> </w:t>
      </w:r>
      <w:r>
        <w:rPr>
          <w:sz w:val="24"/>
        </w:rPr>
        <w:t>complaint</w:t>
      </w:r>
      <w:r>
        <w:rPr>
          <w:spacing w:val="-2"/>
          <w:sz w:val="24"/>
        </w:rPr>
        <w:t> </w:t>
      </w:r>
      <w:r>
        <w:rPr>
          <w:sz w:val="24"/>
        </w:rPr>
        <w:t>be</w:t>
      </w:r>
      <w:r>
        <w:rPr>
          <w:spacing w:val="-3"/>
          <w:sz w:val="24"/>
        </w:rPr>
        <w:t> </w:t>
      </w:r>
      <w:r>
        <w:rPr>
          <w:spacing w:val="-2"/>
          <w:sz w:val="24"/>
        </w:rPr>
        <w:t>dismissed;</w:t>
      </w:r>
    </w:p>
    <w:p>
      <w:pPr>
        <w:pStyle w:val="ListParagraph"/>
        <w:numPr>
          <w:ilvl w:val="1"/>
          <w:numId w:val="309"/>
        </w:numPr>
        <w:tabs>
          <w:tab w:pos="1218" w:val="left" w:leader="none"/>
        </w:tabs>
        <w:spacing w:line="240" w:lineRule="auto" w:before="204" w:after="0"/>
        <w:ind w:left="1218" w:right="0" w:hanging="426"/>
        <w:jc w:val="left"/>
        <w:rPr>
          <w:sz w:val="24"/>
        </w:rPr>
      </w:pPr>
      <w:r>
        <w:rPr>
          <w:sz w:val="24"/>
        </w:rPr>
        <w:t>A</w:t>
      </w:r>
      <w:r>
        <w:rPr>
          <w:spacing w:val="-3"/>
          <w:sz w:val="24"/>
        </w:rPr>
        <w:t> </w:t>
      </w:r>
      <w:r>
        <w:rPr>
          <w:sz w:val="24"/>
        </w:rPr>
        <w:t>written</w:t>
      </w:r>
      <w:r>
        <w:rPr>
          <w:spacing w:val="-3"/>
          <w:sz w:val="24"/>
        </w:rPr>
        <w:t> </w:t>
      </w:r>
      <w:r>
        <w:rPr>
          <w:sz w:val="24"/>
        </w:rPr>
        <w:t>warning</w:t>
      </w:r>
      <w:r>
        <w:rPr>
          <w:spacing w:val="-2"/>
          <w:sz w:val="24"/>
        </w:rPr>
        <w:t> </w:t>
      </w:r>
      <w:r>
        <w:rPr>
          <w:sz w:val="24"/>
        </w:rPr>
        <w:t>be</w:t>
      </w:r>
      <w:r>
        <w:rPr>
          <w:spacing w:val="-2"/>
          <w:sz w:val="24"/>
        </w:rPr>
        <w:t> issued;</w:t>
      </w:r>
    </w:p>
    <w:p>
      <w:pPr>
        <w:pStyle w:val="ListParagraph"/>
        <w:numPr>
          <w:ilvl w:val="1"/>
          <w:numId w:val="309"/>
        </w:numPr>
        <w:tabs>
          <w:tab w:pos="1218" w:val="left" w:leader="none"/>
        </w:tabs>
        <w:spacing w:line="240" w:lineRule="auto" w:before="204" w:after="0"/>
        <w:ind w:left="1218" w:right="0" w:hanging="426"/>
        <w:jc w:val="left"/>
        <w:rPr>
          <w:sz w:val="24"/>
        </w:rPr>
      </w:pPr>
      <w:r>
        <w:rPr>
          <w:sz w:val="24"/>
        </w:rPr>
        <w:t>A</w:t>
      </w:r>
      <w:r>
        <w:rPr>
          <w:spacing w:val="-4"/>
          <w:sz w:val="24"/>
        </w:rPr>
        <w:t> </w:t>
      </w:r>
      <w:r>
        <w:rPr>
          <w:sz w:val="24"/>
        </w:rPr>
        <w:t>written</w:t>
      </w:r>
      <w:r>
        <w:rPr>
          <w:spacing w:val="-4"/>
          <w:sz w:val="24"/>
        </w:rPr>
        <w:t> </w:t>
      </w:r>
      <w:r>
        <w:rPr>
          <w:sz w:val="24"/>
        </w:rPr>
        <w:t>reprimand</w:t>
      </w:r>
      <w:r>
        <w:rPr>
          <w:spacing w:val="-4"/>
          <w:sz w:val="24"/>
        </w:rPr>
        <w:t> </w:t>
      </w:r>
      <w:r>
        <w:rPr>
          <w:sz w:val="24"/>
        </w:rPr>
        <w:t>be</w:t>
      </w:r>
      <w:r>
        <w:rPr>
          <w:spacing w:val="-3"/>
          <w:sz w:val="24"/>
        </w:rPr>
        <w:t> </w:t>
      </w:r>
      <w:r>
        <w:rPr>
          <w:sz w:val="24"/>
        </w:rPr>
        <w:t>issued</w:t>
      </w:r>
      <w:r>
        <w:rPr>
          <w:spacing w:val="-3"/>
          <w:sz w:val="24"/>
        </w:rPr>
        <w:t> </w:t>
      </w:r>
      <w:r>
        <w:rPr>
          <w:sz w:val="24"/>
        </w:rPr>
        <w:t>indicating</w:t>
      </w:r>
      <w:r>
        <w:rPr>
          <w:spacing w:val="-4"/>
          <w:sz w:val="24"/>
        </w:rPr>
        <w:t> </w:t>
      </w:r>
      <w:r>
        <w:rPr>
          <w:sz w:val="24"/>
        </w:rPr>
        <w:t>unsatisfactory</w:t>
      </w:r>
      <w:r>
        <w:rPr>
          <w:spacing w:val="-3"/>
          <w:sz w:val="24"/>
        </w:rPr>
        <w:t> </w:t>
      </w:r>
      <w:r>
        <w:rPr>
          <w:spacing w:val="-2"/>
          <w:sz w:val="24"/>
        </w:rPr>
        <w:t>performance;</w:t>
      </w:r>
    </w:p>
    <w:p>
      <w:pPr>
        <w:pStyle w:val="ListParagraph"/>
        <w:numPr>
          <w:ilvl w:val="1"/>
          <w:numId w:val="309"/>
        </w:numPr>
        <w:tabs>
          <w:tab w:pos="1218" w:val="left" w:leader="none"/>
        </w:tabs>
        <w:spacing w:line="208" w:lineRule="auto" w:before="233" w:after="0"/>
        <w:ind w:left="792" w:right="907" w:firstLine="0"/>
        <w:jc w:val="left"/>
        <w:rPr>
          <w:sz w:val="24"/>
        </w:rPr>
      </w:pPr>
      <w:r>
        <w:rPr>
          <w:sz w:val="24"/>
        </w:rPr>
        <w:t>Probation</w:t>
      </w:r>
      <w:r>
        <w:rPr>
          <w:spacing w:val="-3"/>
          <w:sz w:val="24"/>
        </w:rPr>
        <w:t> </w:t>
      </w:r>
      <w:r>
        <w:rPr>
          <w:sz w:val="24"/>
        </w:rPr>
        <w:t>a</w:t>
      </w:r>
      <w:r>
        <w:rPr>
          <w:spacing w:val="-3"/>
          <w:sz w:val="24"/>
        </w:rPr>
        <w:t> </w:t>
      </w:r>
      <w:r>
        <w:rPr>
          <w:sz w:val="24"/>
        </w:rPr>
        <w:t>trial</w:t>
      </w:r>
      <w:r>
        <w:rPr>
          <w:spacing w:val="-3"/>
          <w:sz w:val="24"/>
        </w:rPr>
        <w:t> </w:t>
      </w:r>
      <w:r>
        <w:rPr>
          <w:sz w:val="24"/>
        </w:rPr>
        <w:t>period</w:t>
      </w:r>
      <w:r>
        <w:rPr>
          <w:spacing w:val="-3"/>
          <w:sz w:val="24"/>
        </w:rPr>
        <w:t> </w:t>
      </w:r>
      <w:r>
        <w:rPr>
          <w:sz w:val="24"/>
        </w:rPr>
        <w:t>for</w:t>
      </w:r>
      <w:r>
        <w:rPr>
          <w:spacing w:val="-2"/>
          <w:sz w:val="24"/>
        </w:rPr>
        <w:t> </w:t>
      </w:r>
      <w:r>
        <w:rPr>
          <w:sz w:val="24"/>
        </w:rPr>
        <w:t>a</w:t>
      </w:r>
      <w:r>
        <w:rPr>
          <w:spacing w:val="-4"/>
          <w:sz w:val="24"/>
        </w:rPr>
        <w:t> </w:t>
      </w:r>
      <w:r>
        <w:rPr>
          <w:sz w:val="24"/>
        </w:rPr>
        <w:t>specific</w:t>
      </w:r>
      <w:r>
        <w:rPr>
          <w:spacing w:val="-3"/>
          <w:sz w:val="24"/>
        </w:rPr>
        <w:t> </w:t>
      </w:r>
      <w:r>
        <w:rPr>
          <w:sz w:val="24"/>
        </w:rPr>
        <w:t>length</w:t>
      </w:r>
      <w:r>
        <w:rPr>
          <w:spacing w:val="-3"/>
          <w:sz w:val="24"/>
        </w:rPr>
        <w:t> </w:t>
      </w:r>
      <w:r>
        <w:rPr>
          <w:sz w:val="24"/>
        </w:rPr>
        <w:t>of</w:t>
      </w:r>
      <w:r>
        <w:rPr>
          <w:spacing w:val="-4"/>
          <w:sz w:val="24"/>
        </w:rPr>
        <w:t> </w:t>
      </w:r>
      <w:r>
        <w:rPr>
          <w:sz w:val="24"/>
        </w:rPr>
        <w:t>time</w:t>
      </w:r>
      <w:r>
        <w:rPr>
          <w:spacing w:val="-4"/>
          <w:sz w:val="24"/>
        </w:rPr>
        <w:t> </w:t>
      </w:r>
      <w:r>
        <w:rPr>
          <w:sz w:val="24"/>
        </w:rPr>
        <w:t>during</w:t>
      </w:r>
      <w:r>
        <w:rPr>
          <w:spacing w:val="-3"/>
          <w:sz w:val="24"/>
        </w:rPr>
        <w:t> </w:t>
      </w:r>
      <w:r>
        <w:rPr>
          <w:sz w:val="24"/>
        </w:rPr>
        <w:t>which</w:t>
      </w:r>
      <w:r>
        <w:rPr>
          <w:spacing w:val="-3"/>
          <w:sz w:val="24"/>
        </w:rPr>
        <w:t> </w:t>
      </w:r>
      <w:r>
        <w:rPr>
          <w:sz w:val="24"/>
        </w:rPr>
        <w:t>the</w:t>
      </w:r>
      <w:r>
        <w:rPr>
          <w:spacing w:val="-3"/>
          <w:sz w:val="24"/>
        </w:rPr>
        <w:t> </w:t>
      </w:r>
      <w:r>
        <w:rPr>
          <w:sz w:val="24"/>
        </w:rPr>
        <w:t>interpreter is required to fulfill a set of conditions to improve work performance or work </w:t>
      </w:r>
      <w:r>
        <w:rPr>
          <w:spacing w:val="-2"/>
          <w:sz w:val="24"/>
        </w:rPr>
        <w:t>behavior;</w:t>
      </w:r>
    </w:p>
    <w:p>
      <w:pPr>
        <w:pStyle w:val="ListParagraph"/>
        <w:numPr>
          <w:ilvl w:val="1"/>
          <w:numId w:val="309"/>
        </w:numPr>
        <w:tabs>
          <w:tab w:pos="1218" w:val="left" w:leader="none"/>
        </w:tabs>
        <w:spacing w:line="208" w:lineRule="auto" w:before="240" w:after="0"/>
        <w:ind w:left="792" w:right="852" w:firstLine="0"/>
        <w:jc w:val="left"/>
        <w:rPr>
          <w:sz w:val="24"/>
        </w:rPr>
      </w:pPr>
      <w:r>
        <w:rPr>
          <w:sz w:val="24"/>
        </w:rPr>
        <w:t>Suspension</w:t>
      </w:r>
      <w:r>
        <w:rPr>
          <w:spacing w:val="-3"/>
          <w:sz w:val="24"/>
        </w:rPr>
        <w:t> </w:t>
      </w:r>
      <w:r>
        <w:rPr>
          <w:sz w:val="24"/>
        </w:rPr>
        <w:t>-</w:t>
      </w:r>
      <w:r>
        <w:rPr>
          <w:spacing w:val="-2"/>
          <w:sz w:val="24"/>
        </w:rPr>
        <w:t> </w:t>
      </w:r>
      <w:r>
        <w:rPr>
          <w:sz w:val="24"/>
        </w:rPr>
        <w:t>removal</w:t>
      </w:r>
      <w:r>
        <w:rPr>
          <w:spacing w:val="-3"/>
          <w:sz w:val="24"/>
        </w:rPr>
        <w:t> </w:t>
      </w:r>
      <w:r>
        <w:rPr>
          <w:sz w:val="24"/>
        </w:rPr>
        <w:t>of</w:t>
      </w:r>
      <w:r>
        <w:rPr>
          <w:spacing w:val="-2"/>
          <w:sz w:val="24"/>
        </w:rPr>
        <w:t> </w:t>
      </w:r>
      <w:r>
        <w:rPr>
          <w:sz w:val="24"/>
        </w:rPr>
        <w:t>the</w:t>
      </w:r>
      <w:r>
        <w:rPr>
          <w:spacing w:val="-3"/>
          <w:sz w:val="24"/>
        </w:rPr>
        <w:t> </w:t>
      </w:r>
      <w:r>
        <w:rPr>
          <w:sz w:val="24"/>
        </w:rPr>
        <w:t>individual</w:t>
      </w:r>
      <w:r>
        <w:rPr>
          <w:spacing w:val="-3"/>
          <w:sz w:val="24"/>
        </w:rPr>
        <w:t> </w:t>
      </w:r>
      <w:r>
        <w:rPr>
          <w:sz w:val="24"/>
        </w:rPr>
        <w:t>from</w:t>
      </w:r>
      <w:r>
        <w:rPr>
          <w:spacing w:val="-2"/>
          <w:sz w:val="24"/>
        </w:rPr>
        <w:t> </w:t>
      </w:r>
      <w:r>
        <w:rPr>
          <w:sz w:val="24"/>
        </w:rPr>
        <w:t>the</w:t>
      </w:r>
      <w:r>
        <w:rPr>
          <w:spacing w:val="-3"/>
          <w:sz w:val="24"/>
        </w:rPr>
        <w:t> </w:t>
      </w:r>
      <w:r>
        <w:rPr>
          <w:sz w:val="24"/>
        </w:rPr>
        <w:t>list</w:t>
      </w:r>
      <w:r>
        <w:rPr>
          <w:spacing w:val="-4"/>
          <w:sz w:val="24"/>
        </w:rPr>
        <w:t> </w:t>
      </w:r>
      <w:r>
        <w:rPr>
          <w:sz w:val="24"/>
        </w:rPr>
        <w:t>of</w:t>
      </w:r>
      <w:r>
        <w:rPr>
          <w:spacing w:val="-2"/>
          <w:sz w:val="24"/>
        </w:rPr>
        <w:t> </w:t>
      </w:r>
      <w:r>
        <w:rPr>
          <w:sz w:val="24"/>
        </w:rPr>
        <w:t>certified</w:t>
      </w:r>
      <w:r>
        <w:rPr>
          <w:spacing w:val="-3"/>
          <w:sz w:val="24"/>
        </w:rPr>
        <w:t> </w:t>
      </w:r>
      <w:r>
        <w:rPr>
          <w:sz w:val="24"/>
        </w:rPr>
        <w:t>interpreters</w:t>
      </w:r>
      <w:r>
        <w:rPr>
          <w:spacing w:val="-4"/>
          <w:sz w:val="24"/>
        </w:rPr>
        <w:t> </w:t>
      </w:r>
      <w:r>
        <w:rPr>
          <w:sz w:val="24"/>
        </w:rPr>
        <w:t>for</w:t>
      </w:r>
      <w:r>
        <w:rPr>
          <w:spacing w:val="-2"/>
          <w:sz w:val="24"/>
        </w:rPr>
        <w:t> </w:t>
      </w:r>
      <w:r>
        <w:rPr>
          <w:sz w:val="24"/>
        </w:rPr>
        <w:t>a specified period of time, not to exceed six (6) months;</w:t>
      </w:r>
    </w:p>
    <w:p>
      <w:pPr>
        <w:pStyle w:val="ListParagraph"/>
        <w:numPr>
          <w:ilvl w:val="1"/>
          <w:numId w:val="309"/>
        </w:numPr>
        <w:tabs>
          <w:tab w:pos="1218" w:val="left" w:leader="none"/>
        </w:tabs>
        <w:spacing w:line="208" w:lineRule="auto" w:before="240" w:after="0"/>
        <w:ind w:left="792" w:right="773" w:firstLine="0"/>
        <w:jc w:val="left"/>
        <w:rPr>
          <w:sz w:val="24"/>
        </w:rPr>
      </w:pPr>
      <w:r>
        <w:rPr>
          <w:sz w:val="24"/>
        </w:rPr>
        <w:t>Revocation</w:t>
      </w:r>
      <w:r>
        <w:rPr>
          <w:spacing w:val="-3"/>
          <w:sz w:val="24"/>
        </w:rPr>
        <w:t> </w:t>
      </w:r>
      <w:r>
        <w:rPr>
          <w:sz w:val="24"/>
        </w:rPr>
        <w:t>-</w:t>
      </w:r>
      <w:r>
        <w:rPr>
          <w:spacing w:val="-3"/>
          <w:sz w:val="24"/>
        </w:rPr>
        <w:t> </w:t>
      </w:r>
      <w:r>
        <w:rPr>
          <w:sz w:val="24"/>
        </w:rPr>
        <w:t>removal</w:t>
      </w:r>
      <w:r>
        <w:rPr>
          <w:spacing w:val="-3"/>
          <w:sz w:val="24"/>
        </w:rPr>
        <w:t> </w:t>
      </w:r>
      <w:r>
        <w:rPr>
          <w:sz w:val="24"/>
        </w:rPr>
        <w:t>of</w:t>
      </w:r>
      <w:r>
        <w:rPr>
          <w:spacing w:val="-2"/>
          <w:sz w:val="24"/>
        </w:rPr>
        <w:t> </w:t>
      </w:r>
      <w:r>
        <w:rPr>
          <w:sz w:val="24"/>
        </w:rPr>
        <w:t>the</w:t>
      </w:r>
      <w:r>
        <w:rPr>
          <w:spacing w:val="-3"/>
          <w:sz w:val="24"/>
        </w:rPr>
        <w:t> </w:t>
      </w:r>
      <w:r>
        <w:rPr>
          <w:sz w:val="24"/>
        </w:rPr>
        <w:t>individual</w:t>
      </w:r>
      <w:r>
        <w:rPr>
          <w:spacing w:val="-3"/>
          <w:sz w:val="24"/>
        </w:rPr>
        <w:t> </w:t>
      </w:r>
      <w:r>
        <w:rPr>
          <w:sz w:val="24"/>
        </w:rPr>
        <w:t>from</w:t>
      </w:r>
      <w:r>
        <w:rPr>
          <w:spacing w:val="-2"/>
          <w:sz w:val="24"/>
        </w:rPr>
        <w:t> </w:t>
      </w:r>
      <w:r>
        <w:rPr>
          <w:sz w:val="24"/>
        </w:rPr>
        <w:t>the</w:t>
      </w:r>
      <w:r>
        <w:rPr>
          <w:spacing w:val="-3"/>
          <w:sz w:val="24"/>
        </w:rPr>
        <w:t> </w:t>
      </w:r>
      <w:r>
        <w:rPr>
          <w:sz w:val="24"/>
        </w:rPr>
        <w:t>list</w:t>
      </w:r>
      <w:r>
        <w:rPr>
          <w:spacing w:val="-4"/>
          <w:sz w:val="24"/>
        </w:rPr>
        <w:t> </w:t>
      </w:r>
      <w:r>
        <w:rPr>
          <w:sz w:val="24"/>
        </w:rPr>
        <w:t>of</w:t>
      </w:r>
      <w:r>
        <w:rPr>
          <w:spacing w:val="-2"/>
          <w:sz w:val="24"/>
        </w:rPr>
        <w:t> </w:t>
      </w:r>
      <w:r>
        <w:rPr>
          <w:sz w:val="24"/>
        </w:rPr>
        <w:t>certified</w:t>
      </w:r>
      <w:r>
        <w:rPr>
          <w:spacing w:val="-3"/>
          <w:sz w:val="24"/>
        </w:rPr>
        <w:t> </w:t>
      </w:r>
      <w:r>
        <w:rPr>
          <w:sz w:val="24"/>
        </w:rPr>
        <w:t>interpreters</w:t>
      </w:r>
      <w:r>
        <w:rPr>
          <w:spacing w:val="-4"/>
          <w:sz w:val="24"/>
        </w:rPr>
        <w:t> </w:t>
      </w:r>
      <w:r>
        <w:rPr>
          <w:sz w:val="24"/>
        </w:rPr>
        <w:t>for</w:t>
      </w:r>
      <w:r>
        <w:rPr>
          <w:spacing w:val="-2"/>
          <w:sz w:val="24"/>
        </w:rPr>
        <w:t> </w:t>
      </w:r>
      <w:r>
        <w:rPr>
          <w:sz w:val="24"/>
        </w:rPr>
        <w:t>an extended period or permanently;</w:t>
      </w:r>
    </w:p>
    <w:p>
      <w:pPr>
        <w:pStyle w:val="ListParagraph"/>
        <w:numPr>
          <w:ilvl w:val="2"/>
          <w:numId w:val="309"/>
        </w:numPr>
        <w:tabs>
          <w:tab w:pos="1712" w:val="left" w:leader="none"/>
        </w:tabs>
        <w:spacing w:line="208" w:lineRule="auto" w:before="240" w:after="0"/>
        <w:ind w:left="1260" w:right="1255" w:firstLine="0"/>
        <w:jc w:val="left"/>
        <w:rPr>
          <w:sz w:val="24"/>
        </w:rPr>
      </w:pPr>
      <w:r>
        <w:rPr>
          <w:sz w:val="24"/>
        </w:rPr>
        <w:t>It</w:t>
      </w:r>
      <w:r>
        <w:rPr>
          <w:spacing w:val="-5"/>
          <w:sz w:val="24"/>
        </w:rPr>
        <w:t> </w:t>
      </w:r>
      <w:r>
        <w:rPr>
          <w:sz w:val="24"/>
        </w:rPr>
        <w:t>must</w:t>
      </w:r>
      <w:r>
        <w:rPr>
          <w:spacing w:val="-5"/>
          <w:sz w:val="24"/>
        </w:rPr>
        <w:t> </w:t>
      </w:r>
      <w:r>
        <w:rPr>
          <w:sz w:val="24"/>
        </w:rPr>
        <w:t>be</w:t>
      </w:r>
      <w:r>
        <w:rPr>
          <w:spacing w:val="-4"/>
          <w:sz w:val="24"/>
        </w:rPr>
        <w:t> </w:t>
      </w:r>
      <w:r>
        <w:rPr>
          <w:sz w:val="24"/>
        </w:rPr>
        <w:t>determined</w:t>
      </w:r>
      <w:r>
        <w:rPr>
          <w:spacing w:val="-4"/>
          <w:sz w:val="24"/>
        </w:rPr>
        <w:t> </w:t>
      </w:r>
      <w:r>
        <w:rPr>
          <w:sz w:val="24"/>
        </w:rPr>
        <w:t>and</w:t>
      </w:r>
      <w:r>
        <w:rPr>
          <w:spacing w:val="-4"/>
          <w:sz w:val="24"/>
        </w:rPr>
        <w:t> </w:t>
      </w:r>
      <w:r>
        <w:rPr>
          <w:sz w:val="24"/>
        </w:rPr>
        <w:t>proven</w:t>
      </w:r>
      <w:r>
        <w:rPr>
          <w:spacing w:val="-4"/>
          <w:sz w:val="24"/>
        </w:rPr>
        <w:t> </w:t>
      </w:r>
      <w:r>
        <w:rPr>
          <w:sz w:val="24"/>
        </w:rPr>
        <w:t>there</w:t>
      </w:r>
      <w:r>
        <w:rPr>
          <w:spacing w:val="-4"/>
          <w:sz w:val="24"/>
        </w:rPr>
        <w:t> </w:t>
      </w:r>
      <w:r>
        <w:rPr>
          <w:sz w:val="24"/>
        </w:rPr>
        <w:t>was</w:t>
      </w:r>
      <w:r>
        <w:rPr>
          <w:spacing w:val="-4"/>
          <w:sz w:val="24"/>
        </w:rPr>
        <w:t> </w:t>
      </w:r>
      <w:r>
        <w:rPr>
          <w:sz w:val="24"/>
        </w:rPr>
        <w:t>a</w:t>
      </w:r>
      <w:r>
        <w:rPr>
          <w:spacing w:val="-4"/>
          <w:sz w:val="24"/>
        </w:rPr>
        <w:t> </w:t>
      </w:r>
      <w:r>
        <w:rPr>
          <w:sz w:val="24"/>
        </w:rPr>
        <w:t>severe</w:t>
      </w:r>
      <w:r>
        <w:rPr>
          <w:spacing w:val="-4"/>
          <w:sz w:val="24"/>
        </w:rPr>
        <w:t> </w:t>
      </w:r>
      <w:r>
        <w:rPr>
          <w:sz w:val="24"/>
        </w:rPr>
        <w:t>violation</w:t>
      </w:r>
      <w:r>
        <w:rPr>
          <w:spacing w:val="-3"/>
          <w:sz w:val="24"/>
        </w:rPr>
        <w:t> </w:t>
      </w:r>
      <w:r>
        <w:rPr>
          <w:sz w:val="24"/>
        </w:rPr>
        <w:t>against Code of Professional Conduct tenets, and/or</w:t>
      </w:r>
    </w:p>
    <w:p>
      <w:pPr>
        <w:pStyle w:val="ListParagraph"/>
        <w:numPr>
          <w:ilvl w:val="2"/>
          <w:numId w:val="309"/>
        </w:numPr>
        <w:tabs>
          <w:tab w:pos="1712" w:val="left" w:leader="none"/>
        </w:tabs>
        <w:spacing w:line="240" w:lineRule="auto" w:before="131" w:after="0"/>
        <w:ind w:left="1712" w:right="0" w:hanging="452"/>
        <w:jc w:val="left"/>
        <w:rPr>
          <w:sz w:val="24"/>
        </w:rPr>
      </w:pPr>
      <w:r>
        <w:rPr>
          <w:sz w:val="24"/>
        </w:rPr>
        <w:t>ICRC</w:t>
      </w:r>
      <w:r>
        <w:rPr>
          <w:spacing w:val="-3"/>
          <w:sz w:val="24"/>
        </w:rPr>
        <w:t> </w:t>
      </w:r>
      <w:r>
        <w:rPr>
          <w:sz w:val="24"/>
        </w:rPr>
        <w:t>Level</w:t>
      </w:r>
      <w:r>
        <w:rPr>
          <w:spacing w:val="-3"/>
          <w:sz w:val="24"/>
        </w:rPr>
        <w:t> </w:t>
      </w:r>
      <w:r>
        <w:rPr>
          <w:sz w:val="24"/>
        </w:rPr>
        <w:t>of</w:t>
      </w:r>
      <w:r>
        <w:rPr>
          <w:spacing w:val="-2"/>
          <w:sz w:val="24"/>
        </w:rPr>
        <w:t> </w:t>
      </w:r>
      <w:r>
        <w:rPr>
          <w:sz w:val="24"/>
        </w:rPr>
        <w:t>Limitations,</w:t>
      </w:r>
      <w:r>
        <w:rPr>
          <w:spacing w:val="-2"/>
          <w:sz w:val="24"/>
        </w:rPr>
        <w:t> and/or</w:t>
      </w:r>
    </w:p>
    <w:p>
      <w:pPr>
        <w:pStyle w:val="ListParagraph"/>
        <w:numPr>
          <w:ilvl w:val="2"/>
          <w:numId w:val="309"/>
        </w:numPr>
        <w:tabs>
          <w:tab w:pos="1726" w:val="left" w:leader="none"/>
        </w:tabs>
        <w:spacing w:line="240" w:lineRule="auto" w:before="123" w:after="0"/>
        <w:ind w:left="1726" w:right="0" w:hanging="466"/>
        <w:jc w:val="left"/>
        <w:rPr>
          <w:sz w:val="24"/>
        </w:rPr>
      </w:pPr>
      <w:r>
        <w:rPr>
          <w:sz w:val="24"/>
        </w:rPr>
        <w:t>a</w:t>
      </w:r>
      <w:r>
        <w:rPr>
          <w:spacing w:val="-4"/>
          <w:sz w:val="24"/>
        </w:rPr>
        <w:t> </w:t>
      </w:r>
      <w:r>
        <w:rPr>
          <w:sz w:val="24"/>
        </w:rPr>
        <w:t>malicious</w:t>
      </w:r>
      <w:r>
        <w:rPr>
          <w:spacing w:val="-3"/>
          <w:sz w:val="24"/>
        </w:rPr>
        <w:t> </w:t>
      </w:r>
      <w:r>
        <w:rPr>
          <w:sz w:val="24"/>
        </w:rPr>
        <w:t>intent</w:t>
      </w:r>
      <w:r>
        <w:rPr>
          <w:spacing w:val="-1"/>
          <w:sz w:val="24"/>
        </w:rPr>
        <w:t> </w:t>
      </w:r>
      <w:r>
        <w:rPr>
          <w:sz w:val="24"/>
        </w:rPr>
        <w:t>of</w:t>
      </w:r>
      <w:r>
        <w:rPr>
          <w:spacing w:val="-2"/>
          <w:sz w:val="24"/>
        </w:rPr>
        <w:t> </w:t>
      </w:r>
      <w:r>
        <w:rPr>
          <w:sz w:val="24"/>
        </w:rPr>
        <w:t>harm,</w:t>
      </w:r>
      <w:r>
        <w:rPr>
          <w:spacing w:val="-3"/>
          <w:sz w:val="24"/>
        </w:rPr>
        <w:t> </w:t>
      </w:r>
      <w:r>
        <w:rPr>
          <w:spacing w:val="-2"/>
          <w:sz w:val="24"/>
        </w:rPr>
        <w:t>and/or</w:t>
      </w:r>
    </w:p>
    <w:p>
      <w:pPr>
        <w:pStyle w:val="ListParagraph"/>
        <w:numPr>
          <w:ilvl w:val="2"/>
          <w:numId w:val="309"/>
        </w:numPr>
        <w:tabs>
          <w:tab w:pos="1726" w:val="left" w:leader="none"/>
        </w:tabs>
        <w:spacing w:line="208" w:lineRule="auto" w:before="153" w:after="0"/>
        <w:ind w:left="1260" w:right="960" w:firstLine="0"/>
        <w:jc w:val="left"/>
        <w:rPr>
          <w:sz w:val="24"/>
        </w:rPr>
      </w:pPr>
      <w:r>
        <w:rPr>
          <w:sz w:val="24"/>
        </w:rPr>
        <w:t>disregarding</w:t>
      </w:r>
      <w:r>
        <w:rPr>
          <w:spacing w:val="-4"/>
          <w:sz w:val="24"/>
        </w:rPr>
        <w:t> </w:t>
      </w:r>
      <w:r>
        <w:rPr>
          <w:sz w:val="24"/>
        </w:rPr>
        <w:t>or</w:t>
      </w:r>
      <w:r>
        <w:rPr>
          <w:spacing w:val="-3"/>
          <w:sz w:val="24"/>
        </w:rPr>
        <w:t> </w:t>
      </w:r>
      <w:r>
        <w:rPr>
          <w:sz w:val="24"/>
        </w:rPr>
        <w:t>violation</w:t>
      </w:r>
      <w:r>
        <w:rPr>
          <w:spacing w:val="-4"/>
          <w:sz w:val="24"/>
        </w:rPr>
        <w:t> </w:t>
      </w:r>
      <w:r>
        <w:rPr>
          <w:sz w:val="24"/>
        </w:rPr>
        <w:t>of</w:t>
      </w:r>
      <w:r>
        <w:rPr>
          <w:spacing w:val="-3"/>
          <w:sz w:val="24"/>
        </w:rPr>
        <w:t> </w:t>
      </w:r>
      <w:r>
        <w:rPr>
          <w:sz w:val="24"/>
        </w:rPr>
        <w:t>any</w:t>
      </w:r>
      <w:r>
        <w:rPr>
          <w:spacing w:val="-4"/>
          <w:sz w:val="24"/>
        </w:rPr>
        <w:t> </w:t>
      </w:r>
      <w:r>
        <w:rPr>
          <w:sz w:val="24"/>
        </w:rPr>
        <w:t>governing</w:t>
      </w:r>
      <w:r>
        <w:rPr>
          <w:spacing w:val="-4"/>
          <w:sz w:val="24"/>
        </w:rPr>
        <w:t> </w:t>
      </w:r>
      <w:r>
        <w:rPr>
          <w:sz w:val="24"/>
        </w:rPr>
        <w:t>State</w:t>
      </w:r>
      <w:r>
        <w:rPr>
          <w:spacing w:val="-4"/>
          <w:sz w:val="24"/>
        </w:rPr>
        <w:t> </w:t>
      </w:r>
      <w:r>
        <w:rPr>
          <w:sz w:val="24"/>
        </w:rPr>
        <w:t>or</w:t>
      </w:r>
      <w:r>
        <w:rPr>
          <w:spacing w:val="-5"/>
          <w:sz w:val="24"/>
        </w:rPr>
        <w:t> </w:t>
      </w:r>
      <w:r>
        <w:rPr>
          <w:sz w:val="24"/>
        </w:rPr>
        <w:t>Federal</w:t>
      </w:r>
      <w:r>
        <w:rPr>
          <w:spacing w:val="-4"/>
          <w:sz w:val="24"/>
        </w:rPr>
        <w:t> </w:t>
      </w:r>
      <w:r>
        <w:rPr>
          <w:sz w:val="24"/>
        </w:rPr>
        <w:t>Laws</w:t>
      </w:r>
      <w:r>
        <w:rPr>
          <w:spacing w:val="-4"/>
          <w:sz w:val="24"/>
        </w:rPr>
        <w:t> </w:t>
      </w:r>
      <w:r>
        <w:rPr>
          <w:sz w:val="24"/>
        </w:rPr>
        <w:t>before</w:t>
      </w:r>
      <w:r>
        <w:rPr>
          <w:spacing w:val="-4"/>
          <w:sz w:val="24"/>
        </w:rPr>
        <w:t> </w:t>
      </w:r>
      <w:r>
        <w:rPr>
          <w:sz w:val="24"/>
        </w:rPr>
        <w:t>a certification can be revoked.</w:t>
      </w:r>
    </w:p>
    <w:p>
      <w:pPr>
        <w:pStyle w:val="ListParagraph"/>
        <w:spacing w:after="0" w:line="208" w:lineRule="auto"/>
        <w:jc w:val="left"/>
        <w:rPr>
          <w:sz w:val="24"/>
        </w:rPr>
        <w:sectPr>
          <w:pgSz w:w="12240" w:h="15840"/>
          <w:pgMar w:top="1340" w:bottom="280" w:left="1080" w:right="720"/>
        </w:sectPr>
      </w:pPr>
    </w:p>
    <w:p>
      <w:pPr>
        <w:pStyle w:val="ListParagraph"/>
        <w:numPr>
          <w:ilvl w:val="1"/>
          <w:numId w:val="309"/>
        </w:numPr>
        <w:tabs>
          <w:tab w:pos="1217" w:val="left" w:leader="none"/>
        </w:tabs>
        <w:spacing w:line="208" w:lineRule="auto" w:before="96" w:after="0"/>
        <w:ind w:left="791" w:right="744" w:firstLine="0"/>
        <w:jc w:val="left"/>
        <w:rPr>
          <w:sz w:val="24"/>
        </w:rPr>
      </w:pPr>
      <w:r>
        <w:rPr>
          <w:sz w:val="24"/>
        </w:rPr>
        <w:t>The</w:t>
      </w:r>
      <w:r>
        <w:rPr>
          <w:spacing w:val="-3"/>
          <w:sz w:val="24"/>
        </w:rPr>
        <w:t> </w:t>
      </w:r>
      <w:r>
        <w:rPr>
          <w:sz w:val="24"/>
        </w:rPr>
        <w:t>complainant</w:t>
      </w:r>
      <w:r>
        <w:rPr>
          <w:spacing w:val="-2"/>
          <w:sz w:val="24"/>
        </w:rPr>
        <w:t> </w:t>
      </w:r>
      <w:r>
        <w:rPr>
          <w:sz w:val="24"/>
        </w:rPr>
        <w:t>may</w:t>
      </w:r>
      <w:r>
        <w:rPr>
          <w:spacing w:val="-3"/>
          <w:sz w:val="24"/>
        </w:rPr>
        <w:t> </w:t>
      </w:r>
      <w:r>
        <w:rPr>
          <w:sz w:val="24"/>
        </w:rPr>
        <w:t>be</w:t>
      </w:r>
      <w:r>
        <w:rPr>
          <w:spacing w:val="-3"/>
          <w:sz w:val="24"/>
        </w:rPr>
        <w:t> </w:t>
      </w:r>
      <w:r>
        <w:rPr>
          <w:sz w:val="24"/>
        </w:rPr>
        <w:t>retested</w:t>
      </w:r>
      <w:r>
        <w:rPr>
          <w:spacing w:val="-3"/>
          <w:sz w:val="24"/>
        </w:rPr>
        <w:t> </w:t>
      </w:r>
      <w:r>
        <w:rPr>
          <w:sz w:val="24"/>
        </w:rPr>
        <w:t>using</w:t>
      </w:r>
      <w:r>
        <w:rPr>
          <w:spacing w:val="-2"/>
          <w:sz w:val="24"/>
        </w:rPr>
        <w:t> </w:t>
      </w:r>
      <w:r>
        <w:rPr>
          <w:sz w:val="24"/>
        </w:rPr>
        <w:t>a</w:t>
      </w:r>
      <w:r>
        <w:rPr>
          <w:spacing w:val="-3"/>
          <w:sz w:val="24"/>
        </w:rPr>
        <w:t> </w:t>
      </w:r>
      <w:r>
        <w:rPr>
          <w:sz w:val="24"/>
        </w:rPr>
        <w:t>different</w:t>
      </w:r>
      <w:r>
        <w:rPr>
          <w:spacing w:val="-4"/>
          <w:sz w:val="24"/>
        </w:rPr>
        <w:t> </w:t>
      </w:r>
      <w:r>
        <w:rPr>
          <w:sz w:val="24"/>
        </w:rPr>
        <w:t>evaluation</w:t>
      </w:r>
      <w:r>
        <w:rPr>
          <w:spacing w:val="-3"/>
          <w:sz w:val="24"/>
        </w:rPr>
        <w:t> </w:t>
      </w:r>
      <w:r>
        <w:rPr>
          <w:sz w:val="24"/>
        </w:rPr>
        <w:t>team</w:t>
      </w:r>
      <w:r>
        <w:rPr>
          <w:spacing w:val="-2"/>
          <w:sz w:val="24"/>
        </w:rPr>
        <w:t> </w:t>
      </w:r>
      <w:r>
        <w:rPr>
          <w:sz w:val="24"/>
        </w:rPr>
        <w:t>at</w:t>
      </w:r>
      <w:r>
        <w:rPr>
          <w:spacing w:val="-2"/>
          <w:sz w:val="24"/>
        </w:rPr>
        <w:t> </w:t>
      </w:r>
      <w:r>
        <w:rPr>
          <w:sz w:val="24"/>
        </w:rPr>
        <w:t>no</w:t>
      </w:r>
      <w:r>
        <w:rPr>
          <w:spacing w:val="-4"/>
          <w:sz w:val="24"/>
        </w:rPr>
        <w:t> </w:t>
      </w:r>
      <w:r>
        <w:rPr>
          <w:sz w:val="24"/>
        </w:rPr>
        <w:t>cost</w:t>
      </w:r>
      <w:r>
        <w:rPr>
          <w:spacing w:val="-2"/>
          <w:sz w:val="24"/>
        </w:rPr>
        <w:t> </w:t>
      </w:r>
      <w:r>
        <w:rPr>
          <w:sz w:val="24"/>
        </w:rPr>
        <w:t>to the individual; and</w:t>
      </w:r>
    </w:p>
    <w:p>
      <w:pPr>
        <w:pStyle w:val="ListParagraph"/>
        <w:numPr>
          <w:ilvl w:val="1"/>
          <w:numId w:val="309"/>
        </w:numPr>
        <w:tabs>
          <w:tab w:pos="1217" w:val="left" w:leader="none"/>
        </w:tabs>
        <w:spacing w:line="208" w:lineRule="auto" w:before="240" w:after="0"/>
        <w:ind w:left="791" w:right="1146" w:firstLine="0"/>
        <w:jc w:val="left"/>
        <w:rPr>
          <w:sz w:val="24"/>
        </w:rPr>
      </w:pPr>
      <w:r>
        <w:rPr>
          <w:sz w:val="24"/>
        </w:rPr>
        <w:t>A</w:t>
      </w:r>
      <w:r>
        <w:rPr>
          <w:spacing w:val="-6"/>
          <w:sz w:val="24"/>
        </w:rPr>
        <w:t> </w:t>
      </w:r>
      <w:r>
        <w:rPr>
          <w:sz w:val="24"/>
        </w:rPr>
        <w:t>recommended</w:t>
      </w:r>
      <w:r>
        <w:rPr>
          <w:spacing w:val="-4"/>
          <w:sz w:val="24"/>
        </w:rPr>
        <w:t> </w:t>
      </w:r>
      <w:r>
        <w:rPr>
          <w:sz w:val="24"/>
        </w:rPr>
        <w:t>change</w:t>
      </w:r>
      <w:r>
        <w:rPr>
          <w:spacing w:val="-4"/>
          <w:sz w:val="24"/>
        </w:rPr>
        <w:t> </w:t>
      </w:r>
      <w:r>
        <w:rPr>
          <w:sz w:val="24"/>
        </w:rPr>
        <w:t>in</w:t>
      </w:r>
      <w:r>
        <w:rPr>
          <w:spacing w:val="-3"/>
          <w:sz w:val="24"/>
        </w:rPr>
        <w:t> </w:t>
      </w:r>
      <w:r>
        <w:rPr>
          <w:sz w:val="24"/>
        </w:rPr>
        <w:t>policy</w:t>
      </w:r>
      <w:r>
        <w:rPr>
          <w:spacing w:val="-4"/>
          <w:sz w:val="24"/>
        </w:rPr>
        <w:t> </w:t>
      </w:r>
      <w:r>
        <w:rPr>
          <w:sz w:val="24"/>
        </w:rPr>
        <w:t>or</w:t>
      </w:r>
      <w:r>
        <w:rPr>
          <w:spacing w:val="-3"/>
          <w:sz w:val="24"/>
        </w:rPr>
        <w:t> </w:t>
      </w:r>
      <w:r>
        <w:rPr>
          <w:sz w:val="24"/>
        </w:rPr>
        <w:t>procedures</w:t>
      </w:r>
      <w:r>
        <w:rPr>
          <w:spacing w:val="-4"/>
          <w:sz w:val="24"/>
        </w:rPr>
        <w:t> </w:t>
      </w:r>
      <w:r>
        <w:rPr>
          <w:sz w:val="24"/>
        </w:rPr>
        <w:t>in</w:t>
      </w:r>
      <w:r>
        <w:rPr>
          <w:spacing w:val="-4"/>
          <w:sz w:val="24"/>
        </w:rPr>
        <w:t> </w:t>
      </w:r>
      <w:r>
        <w:rPr>
          <w:sz w:val="24"/>
        </w:rPr>
        <w:t>the</w:t>
      </w:r>
      <w:r>
        <w:rPr>
          <w:spacing w:val="-4"/>
          <w:sz w:val="24"/>
        </w:rPr>
        <w:t> </w:t>
      </w:r>
      <w:r>
        <w:rPr>
          <w:sz w:val="24"/>
        </w:rPr>
        <w:t>interpreter</w:t>
      </w:r>
      <w:r>
        <w:rPr>
          <w:spacing w:val="-3"/>
          <w:sz w:val="24"/>
        </w:rPr>
        <w:t> </w:t>
      </w:r>
      <w:r>
        <w:rPr>
          <w:sz w:val="24"/>
        </w:rPr>
        <w:t>evaluation </w:t>
      </w:r>
      <w:r>
        <w:rPr>
          <w:spacing w:val="-2"/>
          <w:sz w:val="24"/>
        </w:rPr>
        <w:t>process.</w:t>
      </w:r>
    </w:p>
    <w:p>
      <w:pPr>
        <w:pStyle w:val="ListParagraph"/>
        <w:numPr>
          <w:ilvl w:val="0"/>
          <w:numId w:val="310"/>
        </w:numPr>
        <w:tabs>
          <w:tab w:pos="785" w:val="left" w:leader="none"/>
        </w:tabs>
        <w:spacing w:line="208" w:lineRule="auto" w:before="239" w:after="0"/>
        <w:ind w:left="359" w:right="1180" w:firstLine="0"/>
        <w:jc w:val="left"/>
        <w:rPr>
          <w:sz w:val="24"/>
        </w:rPr>
      </w:pPr>
      <w:r>
        <w:rPr>
          <w:sz w:val="24"/>
        </w:rPr>
        <w:t>The recommended course of action submitted by the selected panel will be reviewed</w:t>
      </w:r>
      <w:r>
        <w:rPr>
          <w:spacing w:val="-4"/>
          <w:sz w:val="24"/>
        </w:rPr>
        <w:t> </w:t>
      </w:r>
      <w:r>
        <w:rPr>
          <w:sz w:val="24"/>
        </w:rPr>
        <w:t>by</w:t>
      </w:r>
      <w:r>
        <w:rPr>
          <w:spacing w:val="-4"/>
          <w:sz w:val="24"/>
        </w:rPr>
        <w:t> </w:t>
      </w:r>
      <w:r>
        <w:rPr>
          <w:sz w:val="24"/>
        </w:rPr>
        <w:t>the</w:t>
      </w:r>
      <w:r>
        <w:rPr>
          <w:spacing w:val="-4"/>
          <w:sz w:val="24"/>
        </w:rPr>
        <w:t> </w:t>
      </w:r>
      <w:r>
        <w:rPr>
          <w:sz w:val="24"/>
        </w:rPr>
        <w:t>designated</w:t>
      </w:r>
      <w:r>
        <w:rPr>
          <w:spacing w:val="-4"/>
          <w:sz w:val="24"/>
        </w:rPr>
        <w:t> </w:t>
      </w:r>
      <w:r>
        <w:rPr>
          <w:sz w:val="24"/>
        </w:rPr>
        <w:t>interpreter</w:t>
      </w:r>
      <w:r>
        <w:rPr>
          <w:spacing w:val="-4"/>
          <w:sz w:val="24"/>
        </w:rPr>
        <w:t> </w:t>
      </w:r>
      <w:r>
        <w:rPr>
          <w:sz w:val="24"/>
        </w:rPr>
        <w:t>certification</w:t>
      </w:r>
      <w:r>
        <w:rPr>
          <w:spacing w:val="-4"/>
          <w:sz w:val="24"/>
        </w:rPr>
        <w:t> </w:t>
      </w:r>
      <w:r>
        <w:rPr>
          <w:sz w:val="24"/>
        </w:rPr>
        <w:t>program</w:t>
      </w:r>
      <w:r>
        <w:rPr>
          <w:spacing w:val="-4"/>
          <w:sz w:val="24"/>
        </w:rPr>
        <w:t> </w:t>
      </w:r>
      <w:r>
        <w:rPr>
          <w:sz w:val="24"/>
        </w:rPr>
        <w:t>official</w:t>
      </w:r>
      <w:r>
        <w:rPr>
          <w:spacing w:val="-4"/>
          <w:sz w:val="24"/>
        </w:rPr>
        <w:t> </w:t>
      </w:r>
      <w:r>
        <w:rPr>
          <w:sz w:val="24"/>
        </w:rPr>
        <w:t>will</w:t>
      </w:r>
      <w:r>
        <w:rPr>
          <w:spacing w:val="-4"/>
          <w:sz w:val="24"/>
        </w:rPr>
        <w:t> </w:t>
      </w:r>
      <w:r>
        <w:rPr>
          <w:sz w:val="24"/>
        </w:rPr>
        <w:t>notify</w:t>
      </w:r>
      <w:r>
        <w:rPr>
          <w:spacing w:val="-4"/>
          <w:sz w:val="24"/>
        </w:rPr>
        <w:t> </w:t>
      </w:r>
      <w:r>
        <w:rPr>
          <w:sz w:val="24"/>
        </w:rPr>
        <w:t>parties involved in writing of the decision within thirty (30) days.</w:t>
      </w:r>
    </w:p>
    <w:p>
      <w:pPr>
        <w:pStyle w:val="ListParagraph"/>
        <w:numPr>
          <w:ilvl w:val="0"/>
          <w:numId w:val="310"/>
        </w:numPr>
        <w:tabs>
          <w:tab w:pos="785" w:val="left" w:leader="none"/>
        </w:tabs>
        <w:spacing w:line="208" w:lineRule="auto" w:before="240" w:after="0"/>
        <w:ind w:left="360" w:right="1181" w:firstLine="0"/>
        <w:jc w:val="both"/>
        <w:rPr>
          <w:sz w:val="24"/>
        </w:rPr>
      </w:pPr>
      <w:r>
        <w:rPr>
          <w:sz w:val="24"/>
        </w:rPr>
        <w:t>If</w:t>
      </w:r>
      <w:r>
        <w:rPr>
          <w:spacing w:val="-1"/>
          <w:sz w:val="24"/>
        </w:rPr>
        <w:t> </w:t>
      </w:r>
      <w:r>
        <w:rPr>
          <w:sz w:val="24"/>
        </w:rPr>
        <w:t>a party is dissatisfied with the outcome of a</w:t>
      </w:r>
      <w:r>
        <w:rPr>
          <w:spacing w:val="-1"/>
          <w:sz w:val="24"/>
        </w:rPr>
        <w:t> </w:t>
      </w:r>
      <w:r>
        <w:rPr>
          <w:sz w:val="24"/>
        </w:rPr>
        <w:t>formal hearing, an appeal may be made</w:t>
      </w:r>
      <w:r>
        <w:rPr>
          <w:spacing w:val="-4"/>
          <w:sz w:val="24"/>
        </w:rPr>
        <w:t> </w:t>
      </w:r>
      <w:r>
        <w:rPr>
          <w:sz w:val="24"/>
        </w:rPr>
        <w:t>to</w:t>
      </w:r>
      <w:r>
        <w:rPr>
          <w:spacing w:val="-4"/>
          <w:sz w:val="24"/>
        </w:rPr>
        <w:t> </w:t>
      </w:r>
      <w:r>
        <w:rPr>
          <w:sz w:val="24"/>
        </w:rPr>
        <w:t>the</w:t>
      </w:r>
      <w:r>
        <w:rPr>
          <w:spacing w:val="-4"/>
          <w:sz w:val="24"/>
        </w:rPr>
        <w:t> </w:t>
      </w:r>
      <w:r>
        <w:rPr>
          <w:sz w:val="24"/>
        </w:rPr>
        <w:t>Director</w:t>
      </w:r>
      <w:r>
        <w:rPr>
          <w:spacing w:val="-5"/>
          <w:sz w:val="24"/>
        </w:rPr>
        <w:t> </w:t>
      </w:r>
      <w:r>
        <w:rPr>
          <w:sz w:val="24"/>
        </w:rPr>
        <w:t>of</w:t>
      </w:r>
      <w:r>
        <w:rPr>
          <w:spacing w:val="-3"/>
          <w:sz w:val="24"/>
        </w:rPr>
        <w:t> </w:t>
      </w:r>
      <w:r>
        <w:rPr>
          <w:sz w:val="24"/>
        </w:rPr>
        <w:t>the</w:t>
      </w:r>
      <w:r>
        <w:rPr>
          <w:spacing w:val="-4"/>
          <w:sz w:val="24"/>
        </w:rPr>
        <w:t> </w:t>
      </w:r>
      <w:r>
        <w:rPr>
          <w:sz w:val="24"/>
        </w:rPr>
        <w:t>Department</w:t>
      </w:r>
      <w:r>
        <w:rPr>
          <w:spacing w:val="-3"/>
          <w:sz w:val="24"/>
        </w:rPr>
        <w:t> </w:t>
      </w:r>
      <w:r>
        <w:rPr>
          <w:sz w:val="24"/>
        </w:rPr>
        <w:t>of</w:t>
      </w:r>
      <w:r>
        <w:rPr>
          <w:spacing w:val="-5"/>
          <w:sz w:val="24"/>
        </w:rPr>
        <w:t> </w:t>
      </w:r>
      <w:r>
        <w:rPr>
          <w:sz w:val="24"/>
        </w:rPr>
        <w:t>Rehabilitation</w:t>
      </w:r>
      <w:r>
        <w:rPr>
          <w:spacing w:val="-4"/>
          <w:sz w:val="24"/>
        </w:rPr>
        <w:t> </w:t>
      </w:r>
      <w:r>
        <w:rPr>
          <w:sz w:val="24"/>
        </w:rPr>
        <w:t>Services,</w:t>
      </w:r>
      <w:r>
        <w:rPr>
          <w:spacing w:val="-3"/>
          <w:sz w:val="24"/>
        </w:rPr>
        <w:t> </w:t>
      </w:r>
      <w:r>
        <w:rPr>
          <w:sz w:val="24"/>
        </w:rPr>
        <w:t>within</w:t>
      </w:r>
      <w:r>
        <w:rPr>
          <w:spacing w:val="-4"/>
          <w:sz w:val="24"/>
        </w:rPr>
        <w:t> </w:t>
      </w:r>
      <w:r>
        <w:rPr>
          <w:sz w:val="24"/>
        </w:rPr>
        <w:t>fifteen</w:t>
      </w:r>
      <w:r>
        <w:rPr>
          <w:spacing w:val="-4"/>
          <w:sz w:val="24"/>
        </w:rPr>
        <w:t> </w:t>
      </w:r>
      <w:r>
        <w:rPr>
          <w:sz w:val="24"/>
        </w:rPr>
        <w:t>(15) days of receiving the recommended decision. The Director shall have forty-five (45) days to render a decision. The Director's decision shall be final.</w:t>
      </w:r>
    </w:p>
    <w:p>
      <w:pPr>
        <w:pStyle w:val="BodyText"/>
        <w:spacing w:before="0"/>
        <w:ind w:left="0"/>
      </w:pPr>
    </w:p>
    <w:p>
      <w:pPr>
        <w:pStyle w:val="BodyText"/>
        <w:spacing w:before="138"/>
        <w:ind w:left="0"/>
      </w:pPr>
    </w:p>
    <w:p>
      <w:pPr>
        <w:pStyle w:val="BodyText"/>
        <w:spacing w:before="1"/>
      </w:pPr>
      <w:r>
        <w:rPr/>
        <w:t>INSTRUCTIONS</w:t>
      </w:r>
      <w:r>
        <w:rPr>
          <w:spacing w:val="-3"/>
        </w:rPr>
        <w:t> </w:t>
      </w:r>
      <w:r>
        <w:rPr/>
        <w:t>TO</w:t>
      </w:r>
      <w:r>
        <w:rPr>
          <w:spacing w:val="-2"/>
        </w:rPr>
        <w:t> </w:t>
      </w:r>
      <w:r>
        <w:rPr>
          <w:spacing w:val="-4"/>
        </w:rPr>
        <w:t>STAFF</w:t>
      </w:r>
    </w:p>
    <w:p>
      <w:pPr>
        <w:pStyle w:val="BodyText"/>
        <w:spacing w:line="258" w:lineRule="exact" w:before="204"/>
      </w:pPr>
      <w:r>
        <w:rPr/>
        <w:t>1.</w:t>
      </w:r>
      <w:r>
        <w:rPr>
          <w:spacing w:val="49"/>
          <w:w w:val="150"/>
        </w:rPr>
        <w:t> </w:t>
      </w:r>
      <w:r>
        <w:rPr/>
        <w:t>Designated</w:t>
      </w:r>
      <w:r>
        <w:rPr>
          <w:spacing w:val="-2"/>
        </w:rPr>
        <w:t> </w:t>
      </w:r>
      <w:r>
        <w:rPr/>
        <w:t>Oklahoma</w:t>
      </w:r>
      <w:r>
        <w:rPr>
          <w:spacing w:val="-4"/>
        </w:rPr>
        <w:t> </w:t>
      </w:r>
      <w:r>
        <w:rPr/>
        <w:t>interpreter</w:t>
      </w:r>
      <w:r>
        <w:rPr>
          <w:spacing w:val="-5"/>
        </w:rPr>
        <w:t> </w:t>
      </w:r>
      <w:r>
        <w:rPr/>
        <w:t>Certification</w:t>
      </w:r>
      <w:r>
        <w:rPr>
          <w:spacing w:val="-3"/>
        </w:rPr>
        <w:t> </w:t>
      </w:r>
      <w:r>
        <w:rPr/>
        <w:t>Program</w:t>
      </w:r>
      <w:r>
        <w:rPr>
          <w:spacing w:val="-5"/>
        </w:rPr>
        <w:t> </w:t>
      </w:r>
      <w:r>
        <w:rPr>
          <w:spacing w:val="-2"/>
        </w:rPr>
        <w:t>Official:</w:t>
      </w:r>
    </w:p>
    <w:p>
      <w:pPr>
        <w:pStyle w:val="BodyText"/>
        <w:spacing w:line="208" w:lineRule="auto" w:before="11"/>
        <w:ind w:left="720" w:right="3984"/>
      </w:pPr>
      <w:r>
        <w:rPr/>
        <w:t>Oklahoma</w:t>
      </w:r>
      <w:r>
        <w:rPr>
          <w:spacing w:val="-9"/>
        </w:rPr>
        <w:t> </w:t>
      </w:r>
      <w:r>
        <w:rPr/>
        <w:t>Interpreter</w:t>
      </w:r>
      <w:r>
        <w:rPr>
          <w:spacing w:val="-10"/>
        </w:rPr>
        <w:t> </w:t>
      </w:r>
      <w:r>
        <w:rPr/>
        <w:t>Certification</w:t>
      </w:r>
      <w:r>
        <w:rPr>
          <w:spacing w:val="-9"/>
        </w:rPr>
        <w:t> </w:t>
      </w:r>
      <w:r>
        <w:rPr/>
        <w:t>Program</w:t>
      </w:r>
      <w:r>
        <w:rPr>
          <w:spacing w:val="-10"/>
        </w:rPr>
        <w:t> </w:t>
      </w:r>
      <w:r>
        <w:rPr/>
        <w:t>Specialist c/o Oklahoma Department of Rehabilitation Services 5005 N Lincoln Blvd, #205</w:t>
      </w:r>
    </w:p>
    <w:p>
      <w:pPr>
        <w:pStyle w:val="BodyText"/>
        <w:spacing w:line="246" w:lineRule="exact" w:before="0"/>
        <w:ind w:left="720"/>
      </w:pPr>
      <w:r>
        <w:rPr/>
        <w:t>Oklahoma</w:t>
      </w:r>
      <w:r>
        <w:rPr>
          <w:spacing w:val="-4"/>
        </w:rPr>
        <w:t> </w:t>
      </w:r>
      <w:r>
        <w:rPr/>
        <w:t>City,</w:t>
      </w:r>
      <w:r>
        <w:rPr>
          <w:spacing w:val="-2"/>
        </w:rPr>
        <w:t> </w:t>
      </w:r>
      <w:r>
        <w:rPr/>
        <w:t>Oklahoma</w:t>
      </w:r>
      <w:r>
        <w:rPr>
          <w:spacing w:val="-3"/>
        </w:rPr>
        <w:t> </w:t>
      </w:r>
      <w:r>
        <w:rPr>
          <w:spacing w:val="-2"/>
        </w:rPr>
        <w:t>73105</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94</w:t>
      </w:r>
      <w:r>
        <w:rPr>
          <w:sz w:val="22"/>
        </w:rPr>
        <w:tab/>
        <w:t>PT</w:t>
      </w:r>
      <w:r>
        <w:rPr>
          <w:spacing w:val="-8"/>
          <w:sz w:val="22"/>
        </w:rPr>
        <w:t> </w:t>
      </w:r>
      <w:r>
        <w:rPr>
          <w:sz w:val="22"/>
        </w:rPr>
        <w:t>Memo</w:t>
      </w:r>
      <w:r>
        <w:rPr>
          <w:spacing w:val="-8"/>
          <w:sz w:val="22"/>
        </w:rPr>
        <w:t> </w:t>
      </w:r>
      <w:r>
        <w:rPr>
          <w:sz w:val="22"/>
        </w:rPr>
        <w:t>#94-</w:t>
      </w:r>
      <w:r>
        <w:rPr>
          <w:spacing w:val="-10"/>
          <w:sz w:val="22"/>
        </w:rPr>
        <w:t>1</w:t>
      </w:r>
    </w:p>
    <w:p>
      <w:pPr>
        <w:tabs>
          <w:tab w:pos="1439" w:val="left" w:leader="none"/>
        </w:tabs>
        <w:spacing w:before="0"/>
        <w:ind w:left="359" w:right="6636"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8-1-96</w:t>
      </w:r>
      <w:r>
        <w:rPr>
          <w:sz w:val="22"/>
        </w:rPr>
        <w:tab/>
        <w:t>PT Memo #97-2</w:t>
      </w:r>
    </w:p>
    <w:p>
      <w:pPr>
        <w:spacing w:before="0"/>
        <w:ind w:left="1439" w:right="0" w:firstLine="0"/>
        <w:jc w:val="left"/>
        <w:rPr>
          <w:sz w:val="22"/>
        </w:rPr>
      </w:pPr>
      <w:r>
        <w:rPr>
          <w:sz w:val="22"/>
        </w:rPr>
        <w:t>Permanent,</w:t>
      </w:r>
      <w:r>
        <w:rPr>
          <w:spacing w:val="-8"/>
          <w:sz w:val="22"/>
        </w:rPr>
        <w:t> </w:t>
      </w:r>
      <w:r>
        <w:rPr>
          <w:sz w:val="22"/>
        </w:rPr>
        <w:t>State</w:t>
      </w:r>
      <w:r>
        <w:rPr>
          <w:spacing w:val="-9"/>
          <w:sz w:val="22"/>
        </w:rPr>
        <w:t> </w:t>
      </w:r>
      <w:r>
        <w:rPr>
          <w:sz w:val="22"/>
        </w:rPr>
        <w:t>Office</w:t>
      </w:r>
      <w:r>
        <w:rPr>
          <w:spacing w:val="-8"/>
          <w:sz w:val="22"/>
        </w:rPr>
        <w:t> </w:t>
      </w:r>
      <w:r>
        <w:rPr>
          <w:sz w:val="22"/>
        </w:rPr>
        <w:t>address</w:t>
      </w:r>
      <w:r>
        <w:rPr>
          <w:spacing w:val="-9"/>
          <w:sz w:val="22"/>
        </w:rPr>
        <w:t> </w:t>
      </w:r>
      <w:r>
        <w:rPr>
          <w:spacing w:val="-2"/>
          <w:sz w:val="22"/>
        </w:rPr>
        <w:t>updated</w:t>
      </w:r>
    </w:p>
    <w:p>
      <w:pPr>
        <w:tabs>
          <w:tab w:pos="1439" w:val="left" w:leader="none"/>
        </w:tabs>
        <w:spacing w:before="0"/>
        <w:ind w:left="1439" w:right="1013" w:hanging="1080"/>
        <w:jc w:val="left"/>
        <w:rPr>
          <w:sz w:val="22"/>
        </w:rPr>
      </w:pPr>
      <w:r>
        <w:rPr>
          <w:spacing w:val="-2"/>
          <w:sz w:val="22"/>
        </w:rPr>
        <w:t>9-12-14</w:t>
      </w:r>
      <w:r>
        <w:rPr>
          <w:sz w:val="22"/>
        </w:rPr>
        <w:tab/>
        <w:t>Updated</w:t>
      </w:r>
      <w:r>
        <w:rPr>
          <w:spacing w:val="-4"/>
          <w:sz w:val="22"/>
        </w:rPr>
        <w:t> </w:t>
      </w:r>
      <w:r>
        <w:rPr>
          <w:sz w:val="22"/>
        </w:rPr>
        <w:t>to</w:t>
      </w:r>
      <w:r>
        <w:rPr>
          <w:spacing w:val="-4"/>
          <w:sz w:val="22"/>
        </w:rPr>
        <w:t> </w:t>
      </w:r>
      <w:r>
        <w:rPr>
          <w:sz w:val="22"/>
        </w:rPr>
        <w:t>reflect</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QAST</w:t>
      </w:r>
      <w:r>
        <w:rPr>
          <w:spacing w:val="-4"/>
          <w:sz w:val="22"/>
        </w:rPr>
        <w:t> </w:t>
      </w:r>
      <w:r>
        <w:rPr>
          <w:sz w:val="22"/>
        </w:rPr>
        <w:t>Administrators</w:t>
      </w:r>
      <w:r>
        <w:rPr>
          <w:spacing w:val="-4"/>
          <w:sz w:val="22"/>
        </w:rPr>
        <w:t> </w:t>
      </w:r>
      <w:r>
        <w:rPr>
          <w:sz w:val="22"/>
        </w:rPr>
        <w:t>to</w:t>
      </w:r>
      <w:r>
        <w:rPr>
          <w:spacing w:val="-4"/>
          <w:sz w:val="22"/>
        </w:rPr>
        <w:t> </w:t>
      </w:r>
      <w:r>
        <w:rPr>
          <w:sz w:val="22"/>
        </w:rPr>
        <w:t>Designated</w:t>
      </w:r>
      <w:r>
        <w:rPr>
          <w:spacing w:val="-4"/>
          <w:sz w:val="22"/>
        </w:rPr>
        <w:t> </w:t>
      </w:r>
      <w:r>
        <w:rPr>
          <w:sz w:val="22"/>
        </w:rPr>
        <w:t>Oklahoma Interpreter Certification Program Official.</w:t>
      </w:r>
    </w:p>
    <w:p>
      <w:pPr>
        <w:spacing w:before="1"/>
        <w:ind w:left="1439" w:right="775" w:firstLine="0"/>
        <w:jc w:val="left"/>
        <w:rPr>
          <w:sz w:val="22"/>
        </w:rPr>
      </w:pPr>
      <w:r>
        <w:rPr>
          <w:sz w:val="22"/>
        </w:rPr>
        <w:t>Updated</w:t>
      </w:r>
      <w:r>
        <w:rPr>
          <w:spacing w:val="-4"/>
          <w:sz w:val="22"/>
        </w:rPr>
        <w:t> </w:t>
      </w:r>
      <w:r>
        <w:rPr>
          <w:sz w:val="22"/>
        </w:rPr>
        <w:t>to</w:t>
      </w:r>
      <w:r>
        <w:rPr>
          <w:spacing w:val="-4"/>
          <w:sz w:val="22"/>
        </w:rPr>
        <w:t> </w:t>
      </w:r>
      <w:r>
        <w:rPr>
          <w:sz w:val="22"/>
        </w:rPr>
        <w:t>reflect</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Assurance</w:t>
      </w:r>
      <w:r>
        <w:rPr>
          <w:spacing w:val="-4"/>
          <w:sz w:val="22"/>
        </w:rPr>
        <w:t> </w:t>
      </w:r>
      <w:r>
        <w:rPr>
          <w:sz w:val="22"/>
        </w:rPr>
        <w:t>Test</w:t>
      </w:r>
      <w:r>
        <w:rPr>
          <w:spacing w:val="-4"/>
          <w:sz w:val="22"/>
        </w:rPr>
        <w:t> </w:t>
      </w:r>
      <w:r>
        <w:rPr>
          <w:sz w:val="22"/>
        </w:rPr>
        <w:t>Evaluator</w:t>
      </w:r>
      <w:r>
        <w:rPr>
          <w:spacing w:val="-6"/>
          <w:sz w:val="22"/>
        </w:rPr>
        <w:t> </w:t>
      </w:r>
      <w:r>
        <w:rPr>
          <w:sz w:val="22"/>
        </w:rPr>
        <w:t>to</w:t>
      </w:r>
      <w:r>
        <w:rPr>
          <w:spacing w:val="-4"/>
          <w:sz w:val="22"/>
        </w:rPr>
        <w:t> </w:t>
      </w:r>
      <w:r>
        <w:rPr>
          <w:sz w:val="22"/>
        </w:rPr>
        <w:t>Interpreter Certification Test Evaluator.</w:t>
      </w:r>
    </w:p>
    <w:p>
      <w:pPr>
        <w:tabs>
          <w:tab w:pos="1439" w:val="left" w:leader="none"/>
        </w:tabs>
        <w:spacing w:line="252" w:lineRule="exact" w:before="0"/>
        <w:ind w:left="359" w:right="0" w:firstLine="0"/>
        <w:jc w:val="left"/>
        <w:rPr>
          <w:sz w:val="22"/>
        </w:rPr>
      </w:pPr>
      <w:r>
        <w:rPr>
          <w:spacing w:val="-2"/>
          <w:sz w:val="22"/>
        </w:rPr>
        <w:t>9-11-</w:t>
      </w:r>
      <w:r>
        <w:rPr>
          <w:spacing w:val="-5"/>
          <w:sz w:val="22"/>
        </w:rPr>
        <w:t>22</w:t>
      </w:r>
      <w:r>
        <w:rPr>
          <w:sz w:val="22"/>
        </w:rPr>
        <w:tab/>
        <w:t>Clarify</w:t>
      </w:r>
      <w:r>
        <w:rPr>
          <w:spacing w:val="-8"/>
          <w:sz w:val="22"/>
        </w:rPr>
        <w:t> </w:t>
      </w:r>
      <w:r>
        <w:rPr>
          <w:spacing w:val="-2"/>
          <w:sz w:val="22"/>
        </w:rPr>
        <w:t>language.</w:t>
      </w:r>
    </w:p>
    <w:p>
      <w:pPr>
        <w:tabs>
          <w:tab w:pos="1439" w:val="left" w:leader="none"/>
        </w:tabs>
        <w:spacing w:before="0"/>
        <w:ind w:left="359" w:right="0" w:firstLine="0"/>
        <w:jc w:val="left"/>
        <w:rPr>
          <w:sz w:val="22"/>
        </w:rPr>
      </w:pPr>
      <w:r>
        <w:rPr>
          <w:spacing w:val="-2"/>
          <w:sz w:val="22"/>
        </w:rPr>
        <w:t>2-29-</w:t>
      </w:r>
      <w:r>
        <w:rPr>
          <w:spacing w:val="-5"/>
          <w:sz w:val="22"/>
        </w:rPr>
        <w:t>24</w:t>
      </w:r>
      <w:r>
        <w:rPr>
          <w:sz w:val="22"/>
        </w:rPr>
        <w:tab/>
        <w:t>Updated</w:t>
      </w:r>
      <w:r>
        <w:rPr>
          <w:spacing w:val="-6"/>
          <w:sz w:val="22"/>
        </w:rPr>
        <w:t> </w:t>
      </w:r>
      <w:r>
        <w:rPr>
          <w:sz w:val="22"/>
        </w:rPr>
        <w:t>ITS</w:t>
      </w:r>
      <w:r>
        <w:rPr>
          <w:spacing w:val="-6"/>
          <w:sz w:val="22"/>
        </w:rPr>
        <w:t> </w:t>
      </w:r>
      <w:r>
        <w:rPr>
          <w:sz w:val="22"/>
        </w:rPr>
        <w:t>#1,</w:t>
      </w:r>
      <w:r>
        <w:rPr>
          <w:spacing w:val="-6"/>
          <w:sz w:val="22"/>
        </w:rPr>
        <w:t> </w:t>
      </w:r>
      <w:r>
        <w:rPr>
          <w:sz w:val="22"/>
        </w:rPr>
        <w:t>address</w:t>
      </w:r>
      <w:r>
        <w:rPr>
          <w:spacing w:val="-6"/>
          <w:sz w:val="22"/>
        </w:rPr>
        <w:t> </w:t>
      </w:r>
      <w:r>
        <w:rPr>
          <w:spacing w:val="-2"/>
          <w:sz w:val="22"/>
        </w:rPr>
        <w:t>revised.</w:t>
      </w:r>
    </w:p>
    <w:p>
      <w:pPr>
        <w:spacing w:after="0"/>
        <w:jc w:val="left"/>
        <w:rPr>
          <w:sz w:val="22"/>
        </w:rPr>
        <w:sectPr>
          <w:pgSz w:w="12240" w:h="15840"/>
          <w:pgMar w:top="1340" w:bottom="280" w:left="1080" w:right="720"/>
        </w:sectPr>
      </w:pPr>
    </w:p>
    <w:p>
      <w:pPr>
        <w:pStyle w:val="Heading2"/>
        <w:spacing w:line="208" w:lineRule="auto" w:before="96"/>
        <w:ind w:right="1673"/>
      </w:pPr>
      <w:bookmarkStart w:name="612:10-13-24.  Interpreter certification" w:id="299"/>
      <w:bookmarkEnd w:id="299"/>
      <w:r>
        <w:rPr>
          <w:b w:val="0"/>
        </w:rPr>
      </w:r>
      <w:r>
        <w:rPr/>
        <w:t>612:10-13-24.</w:t>
      </w:r>
      <w:r>
        <w:rPr>
          <w:spacing w:val="40"/>
        </w:rPr>
        <w:t> </w:t>
      </w:r>
      <w:r>
        <w:rPr/>
        <w:t>Interpreter</w:t>
      </w:r>
      <w:r>
        <w:rPr>
          <w:spacing w:val="-6"/>
        </w:rPr>
        <w:t> </w:t>
      </w:r>
      <w:r>
        <w:rPr/>
        <w:t>certification</w:t>
      </w:r>
      <w:r>
        <w:rPr>
          <w:spacing w:val="-6"/>
        </w:rPr>
        <w:t> </w:t>
      </w:r>
      <w:r>
        <w:rPr/>
        <w:t>program</w:t>
      </w:r>
      <w:r>
        <w:rPr>
          <w:spacing w:val="-6"/>
        </w:rPr>
        <w:t> </w:t>
      </w:r>
      <w:r>
        <w:rPr/>
        <w:t>advisory</w:t>
      </w:r>
      <w:r>
        <w:rPr>
          <w:spacing w:val="-6"/>
        </w:rPr>
        <w:t> </w:t>
      </w:r>
      <w:r>
        <w:rPr/>
        <w:t>committee</w:t>
      </w:r>
      <w:r>
        <w:rPr>
          <w:spacing w:val="-6"/>
        </w:rPr>
        <w:t> </w:t>
      </w:r>
      <w:r>
        <w:rPr/>
        <w:t>and interpreter quality committee</w:t>
      </w:r>
    </w:p>
    <w:p>
      <w:pPr>
        <w:pStyle w:val="ListParagraph"/>
        <w:numPr>
          <w:ilvl w:val="0"/>
          <w:numId w:val="311"/>
        </w:numPr>
        <w:tabs>
          <w:tab w:pos="786" w:val="left" w:leader="none"/>
        </w:tabs>
        <w:spacing w:line="208" w:lineRule="auto" w:before="240" w:after="0"/>
        <w:ind w:left="360" w:right="767" w:firstLine="0"/>
        <w:jc w:val="left"/>
        <w:rPr>
          <w:b/>
          <w:sz w:val="24"/>
        </w:rPr>
      </w:pPr>
      <w:r>
        <w:rPr>
          <w:sz w:val="24"/>
        </w:rPr>
        <w:t>An Oklahoma interpreter certification program advisory committee shall serve in an advisory capacity to provide expert assistance in maintaining the integrity of the Oklahoma interpreter certification performance and overall testing system. The committee will communicate the needs and concerns of the interpreting community regarding the interpreter certification performance process and convey current industry standards for the best business practice for the interpreting profession. The advisory committee does not have formal authority to govern and cannot issue directives which must be followed. Rather, the advisory committee serves to make recommendations and/or provide key information, experiences, and suggestions for the betterment of the interpreter certification performance and overall testing system. It is imperative the advisory</w:t>
      </w:r>
      <w:r>
        <w:rPr>
          <w:spacing w:val="-5"/>
          <w:sz w:val="24"/>
        </w:rPr>
        <w:t> </w:t>
      </w:r>
      <w:r>
        <w:rPr>
          <w:sz w:val="24"/>
        </w:rPr>
        <w:t>committee</w:t>
      </w:r>
      <w:r>
        <w:rPr>
          <w:spacing w:val="-6"/>
          <w:sz w:val="24"/>
        </w:rPr>
        <w:t> </w:t>
      </w:r>
      <w:r>
        <w:rPr>
          <w:sz w:val="24"/>
        </w:rPr>
        <w:t>members</w:t>
      </w:r>
      <w:r>
        <w:rPr>
          <w:spacing w:val="-5"/>
          <w:sz w:val="24"/>
        </w:rPr>
        <w:t> </w:t>
      </w:r>
      <w:r>
        <w:rPr>
          <w:sz w:val="24"/>
        </w:rPr>
        <w:t>demonstrate</w:t>
      </w:r>
      <w:r>
        <w:rPr>
          <w:spacing w:val="-6"/>
          <w:sz w:val="24"/>
        </w:rPr>
        <w:t> </w:t>
      </w:r>
      <w:r>
        <w:rPr>
          <w:sz w:val="24"/>
        </w:rPr>
        <w:t>knowledge,</w:t>
      </w:r>
      <w:r>
        <w:rPr>
          <w:spacing w:val="-3"/>
          <w:sz w:val="24"/>
        </w:rPr>
        <w:t> </w:t>
      </w:r>
      <w:r>
        <w:rPr>
          <w:sz w:val="24"/>
        </w:rPr>
        <w:t>expertise,</w:t>
      </w:r>
      <w:r>
        <w:rPr>
          <w:spacing w:val="-6"/>
          <w:sz w:val="24"/>
        </w:rPr>
        <w:t> </w:t>
      </w:r>
      <w:r>
        <w:rPr>
          <w:sz w:val="24"/>
        </w:rPr>
        <w:t>and</w:t>
      </w:r>
      <w:r>
        <w:rPr>
          <w:spacing w:val="-5"/>
          <w:sz w:val="24"/>
        </w:rPr>
        <w:t> </w:t>
      </w:r>
      <w:r>
        <w:rPr>
          <w:sz w:val="24"/>
        </w:rPr>
        <w:t>an</w:t>
      </w:r>
      <w:r>
        <w:rPr>
          <w:spacing w:val="-5"/>
          <w:sz w:val="24"/>
        </w:rPr>
        <w:t> </w:t>
      </w:r>
      <w:r>
        <w:rPr>
          <w:sz w:val="24"/>
        </w:rPr>
        <w:t>understanding of the dynamics of the interpreter certification skill-based performance and overall testing system. Advisory committee members are also bound by confidentiality in safeguarding the integrity of the performance/testing system. The Oklahoma interpreter certification program advisory committee may participate in selecting a grievance panel member(s) providing there is no conflict in any parties involved. </w:t>
      </w:r>
      <w:r>
        <w:rPr>
          <w:b/>
          <w:sz w:val="24"/>
        </w:rPr>
        <w:t>1</w:t>
      </w:r>
    </w:p>
    <w:p>
      <w:pPr>
        <w:pStyle w:val="ListParagraph"/>
        <w:numPr>
          <w:ilvl w:val="0"/>
          <w:numId w:val="311"/>
        </w:numPr>
        <w:tabs>
          <w:tab w:pos="786" w:val="left" w:leader="none"/>
        </w:tabs>
        <w:spacing w:line="208" w:lineRule="auto" w:before="238" w:after="0"/>
        <w:ind w:left="360" w:right="820" w:firstLine="0"/>
        <w:jc w:val="left"/>
        <w:rPr>
          <w:sz w:val="24"/>
        </w:rPr>
      </w:pPr>
      <w:r>
        <w:rPr>
          <w:sz w:val="24"/>
        </w:rPr>
        <w:t>The Oklahoma interpreter certification program advisory committee members shall be selected according to the qualifications: hearing interpreter must have either an ICRC</w:t>
      </w:r>
      <w:r>
        <w:rPr>
          <w:spacing w:val="-4"/>
          <w:sz w:val="24"/>
        </w:rPr>
        <w:t> </w:t>
      </w:r>
      <w:r>
        <w:rPr>
          <w:sz w:val="24"/>
        </w:rPr>
        <w:t>level</w:t>
      </w:r>
      <w:r>
        <w:rPr>
          <w:spacing w:val="-4"/>
          <w:sz w:val="24"/>
        </w:rPr>
        <w:t> </w:t>
      </w:r>
      <w:r>
        <w:rPr>
          <w:sz w:val="24"/>
        </w:rPr>
        <w:t>V/V</w:t>
      </w:r>
      <w:r>
        <w:rPr>
          <w:spacing w:val="-4"/>
          <w:sz w:val="24"/>
        </w:rPr>
        <w:t> </w:t>
      </w:r>
      <w:r>
        <w:rPr>
          <w:sz w:val="24"/>
        </w:rPr>
        <w:t>or</w:t>
      </w:r>
      <w:r>
        <w:rPr>
          <w:spacing w:val="-3"/>
          <w:sz w:val="24"/>
        </w:rPr>
        <w:t> </w:t>
      </w:r>
      <w:r>
        <w:rPr>
          <w:sz w:val="24"/>
        </w:rPr>
        <w:t>a</w:t>
      </w:r>
      <w:r>
        <w:rPr>
          <w:spacing w:val="-4"/>
          <w:sz w:val="24"/>
        </w:rPr>
        <w:t> </w:t>
      </w:r>
      <w:r>
        <w:rPr>
          <w:sz w:val="24"/>
        </w:rPr>
        <w:t>national</w:t>
      </w:r>
      <w:r>
        <w:rPr>
          <w:spacing w:val="-4"/>
          <w:sz w:val="24"/>
        </w:rPr>
        <w:t> </w:t>
      </w:r>
      <w:r>
        <w:rPr>
          <w:sz w:val="24"/>
        </w:rPr>
        <w:t>recognized</w:t>
      </w:r>
      <w:r>
        <w:rPr>
          <w:spacing w:val="-4"/>
          <w:sz w:val="24"/>
        </w:rPr>
        <w:t> </w:t>
      </w:r>
      <w:r>
        <w:rPr>
          <w:sz w:val="24"/>
        </w:rPr>
        <w:t>interpreter</w:t>
      </w:r>
      <w:r>
        <w:rPr>
          <w:spacing w:val="-3"/>
          <w:sz w:val="24"/>
        </w:rPr>
        <w:t> </w:t>
      </w:r>
      <w:r>
        <w:rPr>
          <w:sz w:val="24"/>
        </w:rPr>
        <w:t>certification</w:t>
      </w:r>
      <w:r>
        <w:rPr>
          <w:spacing w:val="-4"/>
          <w:sz w:val="24"/>
        </w:rPr>
        <w:t> </w:t>
      </w:r>
      <w:r>
        <w:rPr>
          <w:sz w:val="24"/>
        </w:rPr>
        <w:t>and</w:t>
      </w:r>
      <w:r>
        <w:rPr>
          <w:spacing w:val="-3"/>
          <w:sz w:val="24"/>
        </w:rPr>
        <w:t> </w:t>
      </w:r>
      <w:r>
        <w:rPr>
          <w:sz w:val="24"/>
        </w:rPr>
        <w:t>must</w:t>
      </w:r>
      <w:r>
        <w:rPr>
          <w:spacing w:val="-3"/>
          <w:sz w:val="24"/>
        </w:rPr>
        <w:t> </w:t>
      </w:r>
      <w:r>
        <w:rPr>
          <w:sz w:val="24"/>
        </w:rPr>
        <w:t>be</w:t>
      </w:r>
      <w:r>
        <w:rPr>
          <w:spacing w:val="-4"/>
          <w:sz w:val="24"/>
        </w:rPr>
        <w:t> </w:t>
      </w:r>
      <w:r>
        <w:rPr>
          <w:sz w:val="24"/>
        </w:rPr>
        <w:t>bilingual</w:t>
      </w:r>
      <w:r>
        <w:rPr>
          <w:spacing w:val="-4"/>
          <w:sz w:val="24"/>
        </w:rPr>
        <w:t> </w:t>
      </w:r>
      <w:r>
        <w:rPr>
          <w:sz w:val="24"/>
        </w:rPr>
        <w:t>in ASL and English. The selection of the Deaf or hard of hearing members should hold a nationally recognized certification and must be bilingual in ASL and English. The members should be a current or former ICRC performance/testing evaluator, which is defined by 612:10-13-17.</w:t>
      </w:r>
    </w:p>
    <w:p>
      <w:pPr>
        <w:pStyle w:val="ListParagraph"/>
        <w:numPr>
          <w:ilvl w:val="0"/>
          <w:numId w:val="311"/>
        </w:numPr>
        <w:tabs>
          <w:tab w:pos="773" w:val="left" w:leader="none"/>
        </w:tabs>
        <w:spacing w:line="208" w:lineRule="auto" w:before="239" w:after="0"/>
        <w:ind w:left="360" w:right="723" w:firstLine="0"/>
        <w:jc w:val="left"/>
        <w:rPr>
          <w:sz w:val="24"/>
        </w:rPr>
      </w:pPr>
      <w:r>
        <w:rPr>
          <w:sz w:val="24"/>
        </w:rPr>
        <w:t>Oklahoma interpreter certification program advisory committee members may be nominated</w:t>
      </w:r>
      <w:r>
        <w:rPr>
          <w:spacing w:val="-2"/>
          <w:sz w:val="24"/>
        </w:rPr>
        <w:t> </w:t>
      </w:r>
      <w:r>
        <w:rPr>
          <w:sz w:val="24"/>
        </w:rPr>
        <w:t>by</w:t>
      </w:r>
      <w:r>
        <w:rPr>
          <w:spacing w:val="-3"/>
          <w:sz w:val="24"/>
        </w:rPr>
        <w:t> </w:t>
      </w:r>
      <w:r>
        <w:rPr>
          <w:sz w:val="24"/>
        </w:rPr>
        <w:t>others</w:t>
      </w:r>
      <w:r>
        <w:rPr>
          <w:spacing w:val="-3"/>
          <w:sz w:val="24"/>
        </w:rPr>
        <w:t> </w:t>
      </w:r>
      <w:r>
        <w:rPr>
          <w:sz w:val="24"/>
        </w:rPr>
        <w:t>that</w:t>
      </w:r>
      <w:r>
        <w:rPr>
          <w:spacing w:val="-2"/>
          <w:sz w:val="24"/>
        </w:rPr>
        <w:t> </w:t>
      </w:r>
      <w:r>
        <w:rPr>
          <w:sz w:val="24"/>
        </w:rPr>
        <w:t>are</w:t>
      </w:r>
      <w:r>
        <w:rPr>
          <w:spacing w:val="-3"/>
          <w:sz w:val="24"/>
        </w:rPr>
        <w:t> </w:t>
      </w:r>
      <w:r>
        <w:rPr>
          <w:sz w:val="24"/>
        </w:rPr>
        <w:t>familiar</w:t>
      </w:r>
      <w:r>
        <w:rPr>
          <w:spacing w:val="-2"/>
          <w:sz w:val="24"/>
        </w:rPr>
        <w:t> </w:t>
      </w:r>
      <w:r>
        <w:rPr>
          <w:sz w:val="24"/>
        </w:rPr>
        <w:t>with</w:t>
      </w:r>
      <w:r>
        <w:rPr>
          <w:spacing w:val="-3"/>
          <w:sz w:val="24"/>
        </w:rPr>
        <w:t> </w:t>
      </w:r>
      <w:r>
        <w:rPr>
          <w:sz w:val="24"/>
        </w:rPr>
        <w:t>the</w:t>
      </w:r>
      <w:r>
        <w:rPr>
          <w:spacing w:val="-3"/>
          <w:sz w:val="24"/>
        </w:rPr>
        <w:t> </w:t>
      </w:r>
      <w:r>
        <w:rPr>
          <w:sz w:val="24"/>
        </w:rPr>
        <w:t>interpreting</w:t>
      </w:r>
      <w:r>
        <w:rPr>
          <w:spacing w:val="-3"/>
          <w:sz w:val="24"/>
        </w:rPr>
        <w:t> </w:t>
      </w:r>
      <w:r>
        <w:rPr>
          <w:sz w:val="24"/>
        </w:rPr>
        <w:t>field</w:t>
      </w:r>
      <w:r>
        <w:rPr>
          <w:spacing w:val="-3"/>
          <w:sz w:val="24"/>
        </w:rPr>
        <w:t> </w:t>
      </w:r>
      <w:r>
        <w:rPr>
          <w:sz w:val="24"/>
        </w:rPr>
        <w:t>and</w:t>
      </w:r>
      <w:r>
        <w:rPr>
          <w:spacing w:val="-3"/>
          <w:sz w:val="24"/>
        </w:rPr>
        <w:t> </w:t>
      </w:r>
      <w:r>
        <w:rPr>
          <w:sz w:val="24"/>
        </w:rPr>
        <w:t>will</w:t>
      </w:r>
      <w:r>
        <w:rPr>
          <w:spacing w:val="-3"/>
          <w:sz w:val="24"/>
        </w:rPr>
        <w:t> </w:t>
      </w:r>
      <w:r>
        <w:rPr>
          <w:sz w:val="24"/>
        </w:rPr>
        <w:t>be</w:t>
      </w:r>
      <w:r>
        <w:rPr>
          <w:spacing w:val="-3"/>
          <w:sz w:val="24"/>
        </w:rPr>
        <w:t> </w:t>
      </w:r>
      <w:r>
        <w:rPr>
          <w:sz w:val="24"/>
        </w:rPr>
        <w:t>chosen</w:t>
      </w:r>
      <w:r>
        <w:rPr>
          <w:spacing w:val="-3"/>
          <w:sz w:val="24"/>
        </w:rPr>
        <w:t> </w:t>
      </w:r>
      <w:r>
        <w:rPr>
          <w:sz w:val="24"/>
        </w:rPr>
        <w:t>from</w:t>
      </w:r>
      <w:r>
        <w:rPr>
          <w:spacing w:val="-4"/>
          <w:sz w:val="24"/>
        </w:rPr>
        <w:t> </w:t>
      </w:r>
      <w:r>
        <w:rPr>
          <w:sz w:val="24"/>
        </w:rPr>
        <w:t>a pool of qualified applicants that meets the qualifications set forth in 612:10-13-17. The qualified, nominated applications will be selected by the Department of Rehabilitation Services. The selection of qualified members should be from various sectors that serve the interpreting and Deaf/hard of hearing communities that may include educational, community interpreter, interpreter referral agency, professional agency, and/or professional organization. Members serve terms of two years, and may serve consecutive terms up to five years or longer if there are no other qualified individuals. Meetings will be held at least once annually, or as needed.</w:t>
      </w:r>
    </w:p>
    <w:p>
      <w:pPr>
        <w:pStyle w:val="ListParagraph"/>
        <w:numPr>
          <w:ilvl w:val="0"/>
          <w:numId w:val="311"/>
        </w:numPr>
        <w:tabs>
          <w:tab w:pos="720" w:val="left" w:leader="none"/>
        </w:tabs>
        <w:spacing w:line="208" w:lineRule="auto" w:before="239" w:after="0"/>
        <w:ind w:left="360" w:right="779" w:firstLine="0"/>
        <w:jc w:val="left"/>
        <w:rPr>
          <w:b/>
          <w:sz w:val="24"/>
        </w:rPr>
      </w:pPr>
      <w:r>
        <w:rPr>
          <w:sz w:val="24"/>
        </w:rPr>
        <w:t>Oklahoma interpreter certification program can host</w:t>
      </w:r>
      <w:r>
        <w:rPr>
          <w:spacing w:val="-1"/>
          <w:sz w:val="24"/>
        </w:rPr>
        <w:t> </w:t>
      </w:r>
      <w:r>
        <w:rPr>
          <w:sz w:val="24"/>
        </w:rPr>
        <w:t>an interpreter quality committee that will serve to bring insight to the interpreter certification program (ICRC) regarding the</w:t>
      </w:r>
      <w:r>
        <w:rPr>
          <w:spacing w:val="-4"/>
          <w:sz w:val="24"/>
        </w:rPr>
        <w:t> </w:t>
      </w:r>
      <w:r>
        <w:rPr>
          <w:sz w:val="24"/>
        </w:rPr>
        <w:t>basic</w:t>
      </w:r>
      <w:r>
        <w:rPr>
          <w:spacing w:val="-4"/>
          <w:sz w:val="24"/>
        </w:rPr>
        <w:t> </w:t>
      </w:r>
      <w:r>
        <w:rPr>
          <w:sz w:val="24"/>
        </w:rPr>
        <w:t>needs</w:t>
      </w:r>
      <w:r>
        <w:rPr>
          <w:spacing w:val="-4"/>
          <w:sz w:val="24"/>
        </w:rPr>
        <w:t> </w:t>
      </w:r>
      <w:r>
        <w:rPr>
          <w:sz w:val="24"/>
        </w:rPr>
        <w:t>from</w:t>
      </w:r>
      <w:r>
        <w:rPr>
          <w:spacing w:val="-5"/>
          <w:sz w:val="24"/>
        </w:rPr>
        <w:t> </w:t>
      </w:r>
      <w:r>
        <w:rPr>
          <w:sz w:val="24"/>
        </w:rPr>
        <w:t>the</w:t>
      </w:r>
      <w:r>
        <w:rPr>
          <w:spacing w:val="-4"/>
          <w:sz w:val="24"/>
        </w:rPr>
        <w:t> </w:t>
      </w:r>
      <w:r>
        <w:rPr>
          <w:sz w:val="24"/>
        </w:rPr>
        <w:t>interpreting</w:t>
      </w:r>
      <w:r>
        <w:rPr>
          <w:spacing w:val="-4"/>
          <w:sz w:val="24"/>
        </w:rPr>
        <w:t> </w:t>
      </w:r>
      <w:r>
        <w:rPr>
          <w:sz w:val="24"/>
        </w:rPr>
        <w:t>profession.</w:t>
      </w:r>
      <w:r>
        <w:rPr>
          <w:spacing w:val="-3"/>
          <w:sz w:val="24"/>
        </w:rPr>
        <w:t> </w:t>
      </w:r>
      <w:r>
        <w:rPr>
          <w:sz w:val="24"/>
        </w:rPr>
        <w:t>The</w:t>
      </w:r>
      <w:r>
        <w:rPr>
          <w:spacing w:val="-4"/>
          <w:sz w:val="24"/>
        </w:rPr>
        <w:t> </w:t>
      </w:r>
      <w:r>
        <w:rPr>
          <w:sz w:val="24"/>
        </w:rPr>
        <w:t>interpreter</w:t>
      </w:r>
      <w:r>
        <w:rPr>
          <w:spacing w:val="-3"/>
          <w:sz w:val="24"/>
        </w:rPr>
        <w:t> </w:t>
      </w:r>
      <w:r>
        <w:rPr>
          <w:sz w:val="24"/>
        </w:rPr>
        <w:t>quality</w:t>
      </w:r>
      <w:r>
        <w:rPr>
          <w:spacing w:val="-4"/>
          <w:sz w:val="24"/>
        </w:rPr>
        <w:t> </w:t>
      </w:r>
      <w:r>
        <w:rPr>
          <w:sz w:val="24"/>
        </w:rPr>
        <w:t>committee</w:t>
      </w:r>
      <w:r>
        <w:rPr>
          <w:spacing w:val="-4"/>
          <w:sz w:val="24"/>
        </w:rPr>
        <w:t> </w:t>
      </w:r>
      <w:r>
        <w:rPr>
          <w:sz w:val="24"/>
        </w:rPr>
        <w:t>does not</w:t>
      </w:r>
      <w:r>
        <w:rPr>
          <w:spacing w:val="-2"/>
          <w:sz w:val="24"/>
        </w:rPr>
        <w:t> </w:t>
      </w:r>
      <w:r>
        <w:rPr>
          <w:sz w:val="24"/>
        </w:rPr>
        <w:t>have</w:t>
      </w:r>
      <w:r>
        <w:rPr>
          <w:spacing w:val="-3"/>
          <w:sz w:val="24"/>
        </w:rPr>
        <w:t> </w:t>
      </w:r>
      <w:r>
        <w:rPr>
          <w:sz w:val="24"/>
        </w:rPr>
        <w:t>formal</w:t>
      </w:r>
      <w:r>
        <w:rPr>
          <w:spacing w:val="-3"/>
          <w:sz w:val="24"/>
        </w:rPr>
        <w:t> </w:t>
      </w:r>
      <w:r>
        <w:rPr>
          <w:sz w:val="24"/>
        </w:rPr>
        <w:t>authority</w:t>
      </w:r>
      <w:r>
        <w:rPr>
          <w:spacing w:val="-3"/>
          <w:sz w:val="24"/>
        </w:rPr>
        <w:t> </w:t>
      </w:r>
      <w:r>
        <w:rPr>
          <w:sz w:val="24"/>
        </w:rPr>
        <w:t>to</w:t>
      </w:r>
      <w:r>
        <w:rPr>
          <w:spacing w:val="-3"/>
          <w:sz w:val="24"/>
        </w:rPr>
        <w:t> </w:t>
      </w:r>
      <w:r>
        <w:rPr>
          <w:sz w:val="24"/>
        </w:rPr>
        <w:t>govern</w:t>
      </w:r>
      <w:r>
        <w:rPr>
          <w:spacing w:val="-3"/>
          <w:sz w:val="24"/>
        </w:rPr>
        <w:t> </w:t>
      </w:r>
      <w:r>
        <w:rPr>
          <w:sz w:val="24"/>
        </w:rPr>
        <w:t>and</w:t>
      </w:r>
      <w:r>
        <w:rPr>
          <w:spacing w:val="-3"/>
          <w:sz w:val="24"/>
        </w:rPr>
        <w:t> </w:t>
      </w:r>
      <w:r>
        <w:rPr>
          <w:sz w:val="24"/>
        </w:rPr>
        <w:t>cannot</w:t>
      </w:r>
      <w:r>
        <w:rPr>
          <w:spacing w:val="-2"/>
          <w:sz w:val="24"/>
        </w:rPr>
        <w:t> </w:t>
      </w:r>
      <w:r>
        <w:rPr>
          <w:sz w:val="24"/>
        </w:rPr>
        <w:t>issue</w:t>
      </w:r>
      <w:r>
        <w:rPr>
          <w:spacing w:val="-3"/>
          <w:sz w:val="24"/>
        </w:rPr>
        <w:t> </w:t>
      </w:r>
      <w:r>
        <w:rPr>
          <w:sz w:val="24"/>
        </w:rPr>
        <w:t>directives</w:t>
      </w:r>
      <w:r>
        <w:rPr>
          <w:spacing w:val="-3"/>
          <w:sz w:val="24"/>
        </w:rPr>
        <w:t> </w:t>
      </w:r>
      <w:r>
        <w:rPr>
          <w:sz w:val="24"/>
        </w:rPr>
        <w:t>which</w:t>
      </w:r>
      <w:r>
        <w:rPr>
          <w:spacing w:val="-3"/>
          <w:sz w:val="24"/>
        </w:rPr>
        <w:t> </w:t>
      </w:r>
      <w:r>
        <w:rPr>
          <w:sz w:val="24"/>
        </w:rPr>
        <w:t>must</w:t>
      </w:r>
      <w:r>
        <w:rPr>
          <w:spacing w:val="-2"/>
          <w:sz w:val="24"/>
        </w:rPr>
        <w:t> </w:t>
      </w:r>
      <w:r>
        <w:rPr>
          <w:sz w:val="24"/>
        </w:rPr>
        <w:t>be</w:t>
      </w:r>
      <w:r>
        <w:rPr>
          <w:spacing w:val="-3"/>
          <w:sz w:val="24"/>
        </w:rPr>
        <w:t> </w:t>
      </w:r>
      <w:r>
        <w:rPr>
          <w:sz w:val="24"/>
        </w:rPr>
        <w:t>followed. Rather, the interpreter quality committee serves to make recommendations and/or provide key information, experiences, and suggestions for the betterment of the interpreter certification program. </w:t>
      </w:r>
      <w:r>
        <w:rPr>
          <w:b/>
          <w:sz w:val="24"/>
        </w:rPr>
        <w:t>2</w:t>
      </w:r>
    </w:p>
    <w:p>
      <w:pPr>
        <w:pStyle w:val="ListParagraph"/>
        <w:numPr>
          <w:ilvl w:val="0"/>
          <w:numId w:val="311"/>
        </w:numPr>
        <w:tabs>
          <w:tab w:pos="720" w:val="left" w:leader="none"/>
        </w:tabs>
        <w:spacing w:line="208" w:lineRule="auto" w:before="240" w:after="0"/>
        <w:ind w:left="360" w:right="886" w:firstLine="0"/>
        <w:jc w:val="left"/>
        <w:rPr>
          <w:sz w:val="24"/>
        </w:rPr>
      </w:pPr>
      <w:r>
        <w:rPr>
          <w:sz w:val="24"/>
        </w:rPr>
        <w:t>The</w:t>
      </w:r>
      <w:r>
        <w:rPr>
          <w:spacing w:val="-4"/>
          <w:sz w:val="24"/>
        </w:rPr>
        <w:t> </w:t>
      </w:r>
      <w:r>
        <w:rPr>
          <w:sz w:val="24"/>
        </w:rPr>
        <w:t>quality</w:t>
      </w:r>
      <w:r>
        <w:rPr>
          <w:spacing w:val="-4"/>
          <w:sz w:val="24"/>
        </w:rPr>
        <w:t> </w:t>
      </w:r>
      <w:r>
        <w:rPr>
          <w:sz w:val="24"/>
        </w:rPr>
        <w:t>committee</w:t>
      </w:r>
      <w:r>
        <w:rPr>
          <w:spacing w:val="-4"/>
          <w:sz w:val="24"/>
        </w:rPr>
        <w:t> </w:t>
      </w:r>
      <w:r>
        <w:rPr>
          <w:sz w:val="24"/>
        </w:rPr>
        <w:t>members</w:t>
      </w:r>
      <w:r>
        <w:rPr>
          <w:spacing w:val="-4"/>
          <w:sz w:val="24"/>
        </w:rPr>
        <w:t> </w:t>
      </w:r>
      <w:r>
        <w:rPr>
          <w:sz w:val="24"/>
        </w:rPr>
        <w:t>can</w:t>
      </w:r>
      <w:r>
        <w:rPr>
          <w:spacing w:val="-4"/>
          <w:sz w:val="24"/>
        </w:rPr>
        <w:t> </w:t>
      </w:r>
      <w:r>
        <w:rPr>
          <w:sz w:val="24"/>
        </w:rPr>
        <w:t>be</w:t>
      </w:r>
      <w:r>
        <w:rPr>
          <w:spacing w:val="-5"/>
          <w:sz w:val="24"/>
        </w:rPr>
        <w:t> </w:t>
      </w:r>
      <w:r>
        <w:rPr>
          <w:sz w:val="24"/>
        </w:rPr>
        <w:t>nominated</w:t>
      </w:r>
      <w:r>
        <w:rPr>
          <w:spacing w:val="-3"/>
          <w:sz w:val="24"/>
        </w:rPr>
        <w:t> </w:t>
      </w:r>
      <w:r>
        <w:rPr>
          <w:sz w:val="24"/>
        </w:rPr>
        <w:t>from</w:t>
      </w:r>
      <w:r>
        <w:rPr>
          <w:spacing w:val="-5"/>
          <w:sz w:val="24"/>
        </w:rPr>
        <w:t> </w:t>
      </w:r>
      <w:r>
        <w:rPr>
          <w:sz w:val="24"/>
        </w:rPr>
        <w:t>the</w:t>
      </w:r>
      <w:r>
        <w:rPr>
          <w:spacing w:val="-4"/>
          <w:sz w:val="24"/>
        </w:rPr>
        <w:t> </w:t>
      </w:r>
      <w:r>
        <w:rPr>
          <w:sz w:val="24"/>
        </w:rPr>
        <w:t>interpreting</w:t>
      </w:r>
      <w:r>
        <w:rPr>
          <w:spacing w:val="-4"/>
          <w:sz w:val="24"/>
        </w:rPr>
        <w:t> </w:t>
      </w:r>
      <w:r>
        <w:rPr>
          <w:sz w:val="24"/>
        </w:rPr>
        <w:t>community and</w:t>
      </w:r>
      <w:r>
        <w:rPr>
          <w:spacing w:val="-3"/>
          <w:sz w:val="24"/>
        </w:rPr>
        <w:t> </w:t>
      </w:r>
      <w:r>
        <w:rPr>
          <w:sz w:val="24"/>
        </w:rPr>
        <w:t>the</w:t>
      </w:r>
      <w:r>
        <w:rPr>
          <w:spacing w:val="-3"/>
          <w:sz w:val="24"/>
        </w:rPr>
        <w:t> </w:t>
      </w:r>
      <w:r>
        <w:rPr>
          <w:sz w:val="24"/>
        </w:rPr>
        <w:t>Deaf/Hard</w:t>
      </w:r>
      <w:r>
        <w:rPr>
          <w:spacing w:val="-3"/>
          <w:sz w:val="24"/>
        </w:rPr>
        <w:t> </w:t>
      </w:r>
      <w:r>
        <w:rPr>
          <w:sz w:val="24"/>
        </w:rPr>
        <w:t>of</w:t>
      </w:r>
      <w:r>
        <w:rPr>
          <w:spacing w:val="-4"/>
          <w:sz w:val="24"/>
        </w:rPr>
        <w:t> </w:t>
      </w:r>
      <w:r>
        <w:rPr>
          <w:sz w:val="24"/>
        </w:rPr>
        <w:t>Hearing</w:t>
      </w:r>
      <w:r>
        <w:rPr>
          <w:spacing w:val="-3"/>
          <w:sz w:val="24"/>
        </w:rPr>
        <w:t> </w:t>
      </w:r>
      <w:r>
        <w:rPr>
          <w:sz w:val="24"/>
        </w:rPr>
        <w:t>community</w:t>
      </w:r>
      <w:r>
        <w:rPr>
          <w:spacing w:val="-3"/>
          <w:sz w:val="24"/>
        </w:rPr>
        <w:t> </w:t>
      </w:r>
      <w:r>
        <w:rPr>
          <w:sz w:val="24"/>
        </w:rPr>
        <w:t>and</w:t>
      </w:r>
      <w:r>
        <w:rPr>
          <w:spacing w:val="-3"/>
          <w:sz w:val="24"/>
        </w:rPr>
        <w:t> </w:t>
      </w:r>
      <w:r>
        <w:rPr>
          <w:sz w:val="24"/>
        </w:rPr>
        <w:t>serve</w:t>
      </w:r>
      <w:r>
        <w:rPr>
          <w:spacing w:val="-3"/>
          <w:sz w:val="24"/>
        </w:rPr>
        <w:t> </w:t>
      </w:r>
      <w:r>
        <w:rPr>
          <w:sz w:val="24"/>
        </w:rPr>
        <w:t>on</w:t>
      </w:r>
      <w:r>
        <w:rPr>
          <w:spacing w:val="-3"/>
          <w:sz w:val="24"/>
        </w:rPr>
        <w:t> </w:t>
      </w:r>
      <w:r>
        <w:rPr>
          <w:sz w:val="24"/>
        </w:rPr>
        <w:t>the</w:t>
      </w:r>
      <w:r>
        <w:rPr>
          <w:spacing w:val="-3"/>
          <w:sz w:val="24"/>
        </w:rPr>
        <w:t> </w:t>
      </w:r>
      <w:r>
        <w:rPr>
          <w:sz w:val="24"/>
        </w:rPr>
        <w:t>committee</w:t>
      </w:r>
      <w:r>
        <w:rPr>
          <w:spacing w:val="-3"/>
          <w:sz w:val="24"/>
        </w:rPr>
        <w:t> </w:t>
      </w:r>
      <w:r>
        <w:rPr>
          <w:sz w:val="24"/>
        </w:rPr>
        <w:t>for</w:t>
      </w:r>
      <w:r>
        <w:rPr>
          <w:spacing w:val="-4"/>
          <w:sz w:val="24"/>
        </w:rPr>
        <w:t> </w:t>
      </w:r>
      <w:r>
        <w:rPr>
          <w:sz w:val="24"/>
        </w:rPr>
        <w:t>a</w:t>
      </w:r>
      <w:r>
        <w:rPr>
          <w:spacing w:val="-4"/>
          <w:sz w:val="24"/>
        </w:rPr>
        <w:t> </w:t>
      </w:r>
      <w:r>
        <w:rPr>
          <w:sz w:val="24"/>
        </w:rPr>
        <w:t>term</w:t>
      </w:r>
      <w:r>
        <w:rPr>
          <w:spacing w:val="-4"/>
          <w:sz w:val="24"/>
        </w:rPr>
        <w:t> </w:t>
      </w:r>
      <w:r>
        <w:rPr>
          <w:sz w:val="24"/>
        </w:rPr>
        <w:t>of</w:t>
      </w:r>
      <w:r>
        <w:rPr>
          <w:spacing w:val="-4"/>
          <w:sz w:val="24"/>
        </w:rPr>
        <w:t> </w:t>
      </w:r>
      <w:r>
        <w:rPr>
          <w:sz w:val="24"/>
        </w:rPr>
        <w:t>two</w:t>
      </w:r>
    </w:p>
    <w:p>
      <w:pPr>
        <w:pStyle w:val="BodyText"/>
        <w:spacing w:line="208" w:lineRule="auto" w:before="0"/>
        <w:ind w:right="775"/>
      </w:pPr>
      <w:r>
        <w:rPr/>
        <w:t>(2)</w:t>
      </w:r>
      <w:r>
        <w:rPr>
          <w:spacing w:val="-2"/>
        </w:rPr>
        <w:t> </w:t>
      </w:r>
      <w:r>
        <w:rPr/>
        <w:t>years</w:t>
      </w:r>
      <w:r>
        <w:rPr>
          <w:spacing w:val="-3"/>
        </w:rPr>
        <w:t> </w:t>
      </w:r>
      <w:r>
        <w:rPr/>
        <w:t>and</w:t>
      </w:r>
      <w:r>
        <w:rPr>
          <w:spacing w:val="-3"/>
        </w:rPr>
        <w:t> </w:t>
      </w:r>
      <w:r>
        <w:rPr/>
        <w:t>may</w:t>
      </w:r>
      <w:r>
        <w:rPr>
          <w:spacing w:val="-3"/>
        </w:rPr>
        <w:t> </w:t>
      </w:r>
      <w:r>
        <w:rPr/>
        <w:t>serve</w:t>
      </w:r>
      <w:r>
        <w:rPr>
          <w:spacing w:val="-3"/>
        </w:rPr>
        <w:t> </w:t>
      </w:r>
      <w:r>
        <w:rPr/>
        <w:t>consecutive</w:t>
      </w:r>
      <w:r>
        <w:rPr>
          <w:spacing w:val="-3"/>
        </w:rPr>
        <w:t> </w:t>
      </w:r>
      <w:r>
        <w:rPr/>
        <w:t>terms</w:t>
      </w:r>
      <w:r>
        <w:rPr>
          <w:spacing w:val="-5"/>
        </w:rPr>
        <w:t> </w:t>
      </w:r>
      <w:r>
        <w:rPr/>
        <w:t>up</w:t>
      </w:r>
      <w:r>
        <w:rPr>
          <w:spacing w:val="-3"/>
        </w:rPr>
        <w:t> </w:t>
      </w:r>
      <w:r>
        <w:rPr/>
        <w:t>to</w:t>
      </w:r>
      <w:r>
        <w:rPr>
          <w:spacing w:val="-3"/>
        </w:rPr>
        <w:t> </w:t>
      </w:r>
      <w:r>
        <w:rPr/>
        <w:t>four</w:t>
      </w:r>
      <w:r>
        <w:rPr>
          <w:spacing w:val="-4"/>
        </w:rPr>
        <w:t> </w:t>
      </w:r>
      <w:r>
        <w:rPr/>
        <w:t>(4)</w:t>
      </w:r>
      <w:r>
        <w:rPr>
          <w:spacing w:val="-2"/>
        </w:rPr>
        <w:t> </w:t>
      </w:r>
      <w:r>
        <w:rPr/>
        <w:t>years.</w:t>
      </w:r>
      <w:r>
        <w:rPr>
          <w:spacing w:val="-4"/>
        </w:rPr>
        <w:t> </w:t>
      </w:r>
      <w:r>
        <w:rPr/>
        <w:t>Meetings</w:t>
      </w:r>
      <w:r>
        <w:rPr>
          <w:spacing w:val="-3"/>
        </w:rPr>
        <w:t> </w:t>
      </w:r>
      <w:r>
        <w:rPr/>
        <w:t>will</w:t>
      </w:r>
      <w:r>
        <w:rPr>
          <w:spacing w:val="-2"/>
        </w:rPr>
        <w:t> </w:t>
      </w:r>
      <w:r>
        <w:rPr/>
        <w:t>be</w:t>
      </w:r>
      <w:r>
        <w:rPr>
          <w:spacing w:val="-3"/>
        </w:rPr>
        <w:t> </w:t>
      </w:r>
      <w:r>
        <w:rPr/>
        <w:t>held</w:t>
      </w:r>
      <w:r>
        <w:rPr>
          <w:spacing w:val="-3"/>
        </w:rPr>
        <w:t> </w:t>
      </w:r>
      <w:r>
        <w:rPr/>
        <w:t>at least twice annually, or as needed.</w:t>
      </w:r>
    </w:p>
    <w:p>
      <w:pPr>
        <w:pStyle w:val="BodyText"/>
        <w:spacing w:before="210"/>
      </w:pPr>
      <w:r>
        <w:rPr/>
        <w:t>Instructions</w:t>
      </w:r>
      <w:r>
        <w:rPr>
          <w:spacing w:val="-5"/>
        </w:rPr>
        <w:t> </w:t>
      </w:r>
      <w:r>
        <w:rPr/>
        <w:t>to</w:t>
      </w:r>
      <w:r>
        <w:rPr>
          <w:spacing w:val="-2"/>
        </w:rPr>
        <w:t> </w:t>
      </w:r>
      <w:r>
        <w:rPr>
          <w:spacing w:val="-4"/>
        </w:rPr>
        <w:t>Staff</w:t>
      </w:r>
    </w:p>
    <w:p>
      <w:pPr>
        <w:pStyle w:val="BodyText"/>
        <w:spacing w:after="0"/>
        <w:sectPr>
          <w:pgSz w:w="12240" w:h="15840"/>
          <w:pgMar w:top="1340" w:bottom="280" w:left="1080" w:right="720"/>
        </w:sectPr>
      </w:pPr>
    </w:p>
    <w:p>
      <w:pPr>
        <w:pStyle w:val="ListParagraph"/>
        <w:numPr>
          <w:ilvl w:val="0"/>
          <w:numId w:val="312"/>
        </w:numPr>
        <w:tabs>
          <w:tab w:pos="810" w:val="left" w:leader="none"/>
        </w:tabs>
        <w:spacing w:line="208" w:lineRule="auto" w:before="96" w:after="0"/>
        <w:ind w:left="810" w:right="863" w:hanging="450"/>
        <w:jc w:val="left"/>
        <w:rPr>
          <w:sz w:val="24"/>
        </w:rPr>
      </w:pPr>
      <w:r>
        <w:rPr>
          <w:sz w:val="24"/>
        </w:rPr>
        <w:t>The</w:t>
      </w:r>
      <w:r>
        <w:rPr>
          <w:spacing w:val="-4"/>
          <w:sz w:val="24"/>
        </w:rPr>
        <w:t> </w:t>
      </w:r>
      <w:r>
        <w:rPr>
          <w:sz w:val="24"/>
        </w:rPr>
        <w:t>Oklahoma</w:t>
      </w:r>
      <w:r>
        <w:rPr>
          <w:spacing w:val="-4"/>
          <w:sz w:val="24"/>
        </w:rPr>
        <w:t> </w:t>
      </w:r>
      <w:r>
        <w:rPr>
          <w:sz w:val="24"/>
        </w:rPr>
        <w:t>Interpreter</w:t>
      </w:r>
      <w:r>
        <w:rPr>
          <w:spacing w:val="-3"/>
          <w:sz w:val="24"/>
        </w:rPr>
        <w:t> </w:t>
      </w:r>
      <w:r>
        <w:rPr>
          <w:sz w:val="24"/>
        </w:rPr>
        <w:t>certification</w:t>
      </w:r>
      <w:r>
        <w:rPr>
          <w:spacing w:val="-4"/>
          <w:sz w:val="24"/>
        </w:rPr>
        <w:t> </w:t>
      </w:r>
      <w:r>
        <w:rPr>
          <w:sz w:val="24"/>
        </w:rPr>
        <w:t>advisory</w:t>
      </w:r>
      <w:r>
        <w:rPr>
          <w:spacing w:val="-4"/>
          <w:sz w:val="24"/>
        </w:rPr>
        <w:t> </w:t>
      </w:r>
      <w:r>
        <w:rPr>
          <w:sz w:val="24"/>
        </w:rPr>
        <w:t>committee</w:t>
      </w:r>
      <w:r>
        <w:rPr>
          <w:spacing w:val="-4"/>
          <w:sz w:val="24"/>
        </w:rPr>
        <w:t> </w:t>
      </w:r>
      <w:r>
        <w:rPr>
          <w:sz w:val="24"/>
        </w:rPr>
        <w:t>members</w:t>
      </w:r>
      <w:r>
        <w:rPr>
          <w:spacing w:val="-4"/>
          <w:sz w:val="24"/>
        </w:rPr>
        <w:t> </w:t>
      </w:r>
      <w:r>
        <w:rPr>
          <w:sz w:val="24"/>
        </w:rPr>
        <w:t>are</w:t>
      </w:r>
      <w:r>
        <w:rPr>
          <w:spacing w:val="-4"/>
          <w:sz w:val="24"/>
        </w:rPr>
        <w:t> </w:t>
      </w:r>
      <w:r>
        <w:rPr>
          <w:sz w:val="24"/>
        </w:rPr>
        <w:t>not</w:t>
      </w:r>
      <w:r>
        <w:rPr>
          <w:spacing w:val="-5"/>
          <w:sz w:val="24"/>
        </w:rPr>
        <w:t> </w:t>
      </w:r>
      <w:r>
        <w:rPr>
          <w:sz w:val="24"/>
        </w:rPr>
        <w:t>a</w:t>
      </w:r>
      <w:r>
        <w:rPr>
          <w:spacing w:val="-4"/>
          <w:sz w:val="24"/>
        </w:rPr>
        <w:t> </w:t>
      </w:r>
      <w:r>
        <w:rPr>
          <w:sz w:val="24"/>
        </w:rPr>
        <w:t>paid committee but can be reimbursed for travel.</w:t>
      </w:r>
    </w:p>
    <w:p>
      <w:pPr>
        <w:pStyle w:val="ListParagraph"/>
        <w:numPr>
          <w:ilvl w:val="0"/>
          <w:numId w:val="312"/>
        </w:numPr>
        <w:tabs>
          <w:tab w:pos="810" w:val="left" w:leader="none"/>
        </w:tabs>
        <w:spacing w:line="208" w:lineRule="auto" w:before="240" w:after="0"/>
        <w:ind w:left="810" w:right="1438" w:hanging="450"/>
        <w:jc w:val="left"/>
        <w:rPr>
          <w:sz w:val="24"/>
        </w:rPr>
      </w:pPr>
      <w:r>
        <w:rPr>
          <w:sz w:val="24"/>
        </w:rPr>
        <w:t>The</w:t>
      </w:r>
      <w:r>
        <w:rPr>
          <w:spacing w:val="-4"/>
          <w:sz w:val="24"/>
        </w:rPr>
        <w:t> </w:t>
      </w:r>
      <w:r>
        <w:rPr>
          <w:sz w:val="24"/>
        </w:rPr>
        <w:t>interpreter</w:t>
      </w:r>
      <w:r>
        <w:rPr>
          <w:spacing w:val="-3"/>
          <w:sz w:val="24"/>
        </w:rPr>
        <w:t> </w:t>
      </w:r>
      <w:r>
        <w:rPr>
          <w:sz w:val="24"/>
        </w:rPr>
        <w:t>quality</w:t>
      </w:r>
      <w:r>
        <w:rPr>
          <w:spacing w:val="-4"/>
          <w:sz w:val="24"/>
        </w:rPr>
        <w:t> </w:t>
      </w:r>
      <w:r>
        <w:rPr>
          <w:sz w:val="24"/>
        </w:rPr>
        <w:t>committee</w:t>
      </w:r>
      <w:r>
        <w:rPr>
          <w:spacing w:val="-5"/>
          <w:sz w:val="24"/>
        </w:rPr>
        <w:t> </w:t>
      </w:r>
      <w:r>
        <w:rPr>
          <w:sz w:val="24"/>
        </w:rPr>
        <w:t>is</w:t>
      </w:r>
      <w:r>
        <w:rPr>
          <w:spacing w:val="-4"/>
          <w:sz w:val="24"/>
        </w:rPr>
        <w:t> </w:t>
      </w:r>
      <w:r>
        <w:rPr>
          <w:sz w:val="24"/>
        </w:rPr>
        <w:t>not</w:t>
      </w:r>
      <w:r>
        <w:rPr>
          <w:spacing w:val="-3"/>
          <w:sz w:val="24"/>
        </w:rPr>
        <w:t> </w:t>
      </w:r>
      <w:r>
        <w:rPr>
          <w:sz w:val="24"/>
        </w:rPr>
        <w:t>a</w:t>
      </w:r>
      <w:r>
        <w:rPr>
          <w:spacing w:val="-4"/>
          <w:sz w:val="24"/>
        </w:rPr>
        <w:t> </w:t>
      </w:r>
      <w:r>
        <w:rPr>
          <w:sz w:val="24"/>
        </w:rPr>
        <w:t>paid</w:t>
      </w:r>
      <w:r>
        <w:rPr>
          <w:spacing w:val="-4"/>
          <w:sz w:val="24"/>
        </w:rPr>
        <w:t> </w:t>
      </w:r>
      <w:r>
        <w:rPr>
          <w:sz w:val="24"/>
        </w:rPr>
        <w:t>committee</w:t>
      </w:r>
      <w:r>
        <w:rPr>
          <w:spacing w:val="-4"/>
          <w:sz w:val="24"/>
        </w:rPr>
        <w:t> </w:t>
      </w:r>
      <w:r>
        <w:rPr>
          <w:sz w:val="24"/>
        </w:rPr>
        <w:t>and</w:t>
      </w:r>
      <w:r>
        <w:rPr>
          <w:spacing w:val="-4"/>
          <w:sz w:val="24"/>
        </w:rPr>
        <w:t> </w:t>
      </w:r>
      <w:r>
        <w:rPr>
          <w:sz w:val="24"/>
        </w:rPr>
        <w:t>is</w:t>
      </w:r>
      <w:r>
        <w:rPr>
          <w:spacing w:val="-4"/>
          <w:sz w:val="24"/>
        </w:rPr>
        <w:t> </w:t>
      </w:r>
      <w:r>
        <w:rPr>
          <w:sz w:val="24"/>
        </w:rPr>
        <w:t>considered</w:t>
      </w:r>
      <w:r>
        <w:rPr>
          <w:spacing w:val="-4"/>
          <w:sz w:val="24"/>
        </w:rPr>
        <w:t> </w:t>
      </w:r>
      <w:r>
        <w:rPr>
          <w:sz w:val="24"/>
        </w:rPr>
        <w:t>a volunteer committee with no travel reimbursement.</w:t>
      </w:r>
    </w:p>
    <w:p>
      <w:pPr>
        <w:spacing w:before="243"/>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307"/>
        </w:numPr>
        <w:tabs>
          <w:tab w:pos="1439" w:val="left" w:leader="none"/>
        </w:tabs>
        <w:spacing w:line="253" w:lineRule="exact" w:before="1" w:after="0"/>
        <w:ind w:left="1439" w:right="0" w:hanging="1079"/>
        <w:jc w:val="left"/>
        <w:rPr>
          <w:sz w:val="22"/>
        </w:rPr>
      </w:pPr>
      <w:r>
        <w:rPr>
          <w:sz w:val="22"/>
        </w:rPr>
        <w:t>PT</w:t>
      </w:r>
      <w:r>
        <w:rPr>
          <w:spacing w:val="-8"/>
          <w:sz w:val="22"/>
        </w:rPr>
        <w:t> </w:t>
      </w:r>
      <w:r>
        <w:rPr>
          <w:sz w:val="22"/>
        </w:rPr>
        <w:t>Memo</w:t>
      </w:r>
      <w:r>
        <w:rPr>
          <w:spacing w:val="-8"/>
          <w:sz w:val="22"/>
        </w:rPr>
        <w:t> </w:t>
      </w:r>
      <w:r>
        <w:rPr>
          <w:sz w:val="22"/>
        </w:rPr>
        <w:t>#95-</w:t>
      </w:r>
      <w:r>
        <w:rPr>
          <w:spacing w:val="-10"/>
          <w:sz w:val="22"/>
        </w:rPr>
        <w:t>2</w:t>
      </w:r>
    </w:p>
    <w:p>
      <w:pPr>
        <w:tabs>
          <w:tab w:pos="1439" w:val="left" w:leader="none"/>
        </w:tabs>
        <w:spacing w:before="0"/>
        <w:ind w:left="359" w:right="6636"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7-1-04</w:t>
      </w:r>
      <w:r>
        <w:rPr>
          <w:sz w:val="22"/>
        </w:rPr>
        <w:tab/>
        <w:t>PT Memo #05-01</w:t>
      </w:r>
    </w:p>
    <w:p>
      <w:pPr>
        <w:spacing w:before="0"/>
        <w:ind w:left="1439" w:right="0" w:firstLine="0"/>
        <w:jc w:val="left"/>
        <w:rPr>
          <w:sz w:val="22"/>
        </w:rPr>
      </w:pPr>
      <w:r>
        <w:rPr>
          <w:sz w:val="22"/>
        </w:rPr>
        <w:t>Permanent,</w:t>
      </w:r>
      <w:r>
        <w:rPr>
          <w:spacing w:val="-10"/>
          <w:sz w:val="22"/>
        </w:rPr>
        <w:t> </w:t>
      </w:r>
      <w:r>
        <w:rPr>
          <w:sz w:val="22"/>
        </w:rPr>
        <w:t>updated</w:t>
      </w:r>
      <w:r>
        <w:rPr>
          <w:spacing w:val="-11"/>
          <w:sz w:val="22"/>
        </w:rPr>
        <w:t> </w:t>
      </w:r>
      <w:r>
        <w:rPr>
          <w:spacing w:val="-2"/>
          <w:sz w:val="22"/>
        </w:rPr>
        <w:t>language</w:t>
      </w:r>
    </w:p>
    <w:p>
      <w:pPr>
        <w:tabs>
          <w:tab w:pos="1439" w:val="left" w:leader="none"/>
        </w:tabs>
        <w:spacing w:before="0"/>
        <w:ind w:left="1439" w:right="1625" w:hanging="1080"/>
        <w:jc w:val="left"/>
        <w:rPr>
          <w:sz w:val="22"/>
        </w:rPr>
      </w:pPr>
      <w:r>
        <w:rPr>
          <w:spacing w:val="-2"/>
          <w:sz w:val="22"/>
        </w:rPr>
        <w:t>9-12-14</w:t>
      </w:r>
      <w:r>
        <w:rPr>
          <w:sz w:val="22"/>
        </w:rPr>
        <w:tab/>
        <w:t>Updated</w:t>
      </w:r>
      <w:r>
        <w:rPr>
          <w:spacing w:val="-4"/>
          <w:sz w:val="22"/>
        </w:rPr>
        <w:t> </w:t>
      </w:r>
      <w:r>
        <w:rPr>
          <w:sz w:val="22"/>
        </w:rPr>
        <w:t>to</w:t>
      </w:r>
      <w:r>
        <w:rPr>
          <w:spacing w:val="-4"/>
          <w:sz w:val="22"/>
        </w:rPr>
        <w:t> </w:t>
      </w:r>
      <w:r>
        <w:rPr>
          <w:sz w:val="22"/>
        </w:rPr>
        <w:t>reflect</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QAST</w:t>
      </w:r>
      <w:r>
        <w:rPr>
          <w:spacing w:val="-4"/>
          <w:sz w:val="22"/>
        </w:rPr>
        <w:t> </w:t>
      </w:r>
      <w:r>
        <w:rPr>
          <w:sz w:val="22"/>
        </w:rPr>
        <w:t>Advisory</w:t>
      </w:r>
      <w:r>
        <w:rPr>
          <w:spacing w:val="-4"/>
          <w:sz w:val="22"/>
        </w:rPr>
        <w:t> </w:t>
      </w:r>
      <w:r>
        <w:rPr>
          <w:sz w:val="22"/>
        </w:rPr>
        <w:t>Committee</w:t>
      </w:r>
      <w:r>
        <w:rPr>
          <w:spacing w:val="-4"/>
          <w:sz w:val="22"/>
        </w:rPr>
        <w:t> </w:t>
      </w:r>
      <w:r>
        <w:rPr>
          <w:sz w:val="22"/>
        </w:rPr>
        <w:t>to</w:t>
      </w:r>
      <w:r>
        <w:rPr>
          <w:spacing w:val="-4"/>
          <w:sz w:val="22"/>
        </w:rPr>
        <w:t> </w:t>
      </w:r>
      <w:r>
        <w:rPr>
          <w:sz w:val="22"/>
        </w:rPr>
        <w:t>Oklahoma Interpreter Certification Program Advisory Committee.</w:t>
      </w:r>
    </w:p>
    <w:p>
      <w:pPr>
        <w:tabs>
          <w:tab w:pos="1439" w:val="left" w:leader="none"/>
        </w:tabs>
        <w:spacing w:before="0"/>
        <w:ind w:left="1439" w:right="868" w:hanging="1080"/>
        <w:jc w:val="left"/>
        <w:rPr>
          <w:sz w:val="22"/>
        </w:rPr>
      </w:pPr>
      <w:r>
        <w:rPr>
          <w:spacing w:val="-2"/>
          <w:sz w:val="22"/>
        </w:rPr>
        <w:t>x-xx-24</w:t>
      </w:r>
      <w:r>
        <w:rPr>
          <w:sz w:val="22"/>
        </w:rPr>
        <w:tab/>
        <w:t>Revised (a) defining the role of the advisory committee which is to serve and make recommendations providing key information, experiences, suggestions for the betterment of the interpreter certification performance and overall testing system. Section (b) updates language to include the advisory committee members shall be selected according to qualifications and must have either ICRC level V/V or recognized</w:t>
      </w:r>
      <w:r>
        <w:rPr>
          <w:spacing w:val="-4"/>
          <w:sz w:val="22"/>
        </w:rPr>
        <w:t> </w:t>
      </w:r>
      <w:r>
        <w:rPr>
          <w:sz w:val="22"/>
        </w:rPr>
        <w:t>interpreter</w:t>
      </w:r>
      <w:r>
        <w:rPr>
          <w:spacing w:val="-4"/>
          <w:sz w:val="22"/>
        </w:rPr>
        <w:t> </w:t>
      </w:r>
      <w:r>
        <w:rPr>
          <w:sz w:val="22"/>
        </w:rPr>
        <w:t>certification</w:t>
      </w:r>
      <w:r>
        <w:rPr>
          <w:spacing w:val="-5"/>
          <w:sz w:val="22"/>
        </w:rPr>
        <w:t> </w:t>
      </w:r>
      <w:r>
        <w:rPr>
          <w:sz w:val="22"/>
        </w:rPr>
        <w:t>and</w:t>
      </w:r>
      <w:r>
        <w:rPr>
          <w:spacing w:val="-4"/>
          <w:sz w:val="22"/>
        </w:rPr>
        <w:t> </w:t>
      </w:r>
      <w:r>
        <w:rPr>
          <w:sz w:val="22"/>
        </w:rPr>
        <w:t>must</w:t>
      </w:r>
      <w:r>
        <w:rPr>
          <w:spacing w:val="-4"/>
          <w:sz w:val="22"/>
        </w:rPr>
        <w:t> </w:t>
      </w:r>
      <w:r>
        <w:rPr>
          <w:sz w:val="22"/>
        </w:rPr>
        <w:t>be</w:t>
      </w:r>
      <w:r>
        <w:rPr>
          <w:spacing w:val="-4"/>
          <w:sz w:val="22"/>
        </w:rPr>
        <w:t> </w:t>
      </w:r>
      <w:r>
        <w:rPr>
          <w:sz w:val="22"/>
        </w:rPr>
        <w:t>bilingual</w:t>
      </w:r>
      <w:r>
        <w:rPr>
          <w:spacing w:val="-5"/>
          <w:sz w:val="22"/>
        </w:rPr>
        <w:t> </w:t>
      </w:r>
      <w:r>
        <w:rPr>
          <w:sz w:val="22"/>
        </w:rPr>
        <w:t>in</w:t>
      </w:r>
      <w:r>
        <w:rPr>
          <w:spacing w:val="-5"/>
          <w:sz w:val="22"/>
        </w:rPr>
        <w:t> </w:t>
      </w:r>
      <w:r>
        <w:rPr>
          <w:sz w:val="22"/>
        </w:rPr>
        <w:t>ASL</w:t>
      </w:r>
      <w:r>
        <w:rPr>
          <w:spacing w:val="-4"/>
          <w:sz w:val="22"/>
        </w:rPr>
        <w:t> </w:t>
      </w:r>
      <w:r>
        <w:rPr>
          <w:sz w:val="22"/>
        </w:rPr>
        <w:t>and</w:t>
      </w:r>
      <w:r>
        <w:rPr>
          <w:spacing w:val="-4"/>
          <w:sz w:val="22"/>
        </w:rPr>
        <w:t> </w:t>
      </w:r>
      <w:r>
        <w:rPr>
          <w:sz w:val="22"/>
        </w:rPr>
        <w:t>English.</w:t>
      </w:r>
      <w:r>
        <w:rPr>
          <w:spacing w:val="-4"/>
          <w:sz w:val="22"/>
        </w:rPr>
        <w:t> </w:t>
      </w:r>
      <w:r>
        <w:rPr>
          <w:sz w:val="22"/>
        </w:rPr>
        <w:t>Added new sections (d) – (e).</w:t>
      </w:r>
    </w:p>
    <w:p>
      <w:pPr>
        <w:spacing w:line="252" w:lineRule="exact" w:before="0"/>
        <w:ind w:left="1439" w:right="0" w:firstLine="0"/>
        <w:jc w:val="left"/>
        <w:rPr>
          <w:sz w:val="22"/>
        </w:rPr>
      </w:pPr>
      <w:r>
        <w:rPr>
          <w:sz w:val="22"/>
        </w:rPr>
        <w:t>Added</w:t>
      </w:r>
      <w:r>
        <w:rPr>
          <w:spacing w:val="-8"/>
          <w:sz w:val="22"/>
        </w:rPr>
        <w:t> </w:t>
      </w:r>
      <w:r>
        <w:rPr>
          <w:spacing w:val="-4"/>
          <w:sz w:val="22"/>
        </w:rPr>
        <w:t>ITS.</w:t>
      </w:r>
    </w:p>
    <w:p>
      <w:pPr>
        <w:spacing w:after="0" w:line="252" w:lineRule="exact"/>
        <w:jc w:val="left"/>
        <w:rPr>
          <w:sz w:val="22"/>
        </w:rPr>
        <w:sectPr>
          <w:pgSz w:w="12240" w:h="15840"/>
          <w:pgMar w:top="1340" w:bottom="280" w:left="1080" w:right="720"/>
        </w:sectPr>
      </w:pPr>
    </w:p>
    <w:p>
      <w:pPr>
        <w:pStyle w:val="Heading1"/>
        <w:spacing w:line="208" w:lineRule="auto" w:before="96"/>
        <w:ind w:left="3806" w:right="775" w:hanging="2754"/>
        <w:jc w:val="left"/>
      </w:pPr>
      <w:bookmarkStart w:name="CHAPTER 15.  OKLAHOMA LIBRARY FOR THE BL" w:id="300"/>
      <w:bookmarkEnd w:id="300"/>
      <w:r>
        <w:rPr>
          <w:b w:val="0"/>
        </w:rPr>
      </w:r>
      <w:r>
        <w:rPr/>
        <w:t>CHAPTER</w:t>
      </w:r>
      <w:r>
        <w:rPr>
          <w:spacing w:val="-5"/>
        </w:rPr>
        <w:t> </w:t>
      </w:r>
      <w:r>
        <w:rPr/>
        <w:t>15.</w:t>
      </w:r>
      <w:r>
        <w:rPr>
          <w:spacing w:val="40"/>
        </w:rPr>
        <w:t> </w:t>
      </w:r>
      <w:r>
        <w:rPr/>
        <w:t>OKLAHOMA</w:t>
      </w:r>
      <w:r>
        <w:rPr>
          <w:spacing w:val="-4"/>
        </w:rPr>
        <w:t> </w:t>
      </w:r>
      <w:r>
        <w:rPr/>
        <w:t>LIBRARY</w:t>
      </w:r>
      <w:r>
        <w:rPr>
          <w:spacing w:val="-5"/>
        </w:rPr>
        <w:t> </w:t>
      </w:r>
      <w:r>
        <w:rPr/>
        <w:t>FOR</w:t>
      </w:r>
      <w:r>
        <w:rPr>
          <w:spacing w:val="-5"/>
        </w:rPr>
        <w:t> </w:t>
      </w:r>
      <w:r>
        <w:rPr/>
        <w:t>THE</w:t>
      </w:r>
      <w:r>
        <w:rPr>
          <w:spacing w:val="-5"/>
        </w:rPr>
        <w:t> </w:t>
      </w:r>
      <w:r>
        <w:rPr/>
        <w:t>BLIND</w:t>
      </w:r>
      <w:r>
        <w:rPr>
          <w:spacing w:val="-5"/>
        </w:rPr>
        <w:t> </w:t>
      </w:r>
      <w:r>
        <w:rPr/>
        <w:t>AND</w:t>
      </w:r>
      <w:r>
        <w:rPr>
          <w:spacing w:val="-5"/>
        </w:rPr>
        <w:t> </w:t>
      </w:r>
      <w:r>
        <w:rPr/>
        <w:t>PHYSICALLY HANDICAPPED (OLBPH)</w:t>
      </w:r>
    </w:p>
    <w:p>
      <w:pPr>
        <w:pStyle w:val="BodyText"/>
        <w:tabs>
          <w:tab w:pos="8279" w:val="left" w:leader="none"/>
        </w:tabs>
        <w:spacing w:before="210"/>
      </w:pPr>
      <w:r>
        <w:rPr>
          <w:spacing w:val="-2"/>
        </w:rPr>
        <w:t>Subchapter</w:t>
      </w:r>
      <w:r>
        <w:rPr/>
        <w:tab/>
      </w:r>
      <w:r>
        <w:rPr>
          <w:spacing w:val="-2"/>
        </w:rPr>
        <w:t>Section</w:t>
      </w:r>
    </w:p>
    <w:p>
      <w:pPr>
        <w:pStyle w:val="BodyText"/>
        <w:tabs>
          <w:tab w:pos="1079" w:val="left" w:leader="none"/>
          <w:tab w:pos="8279" w:val="left" w:leader="none"/>
        </w:tabs>
        <w:spacing w:before="204"/>
      </w:pPr>
      <w:r>
        <w:rPr>
          <w:spacing w:val="-5"/>
        </w:rPr>
        <w:t>1.</w:t>
      </w:r>
      <w:r>
        <w:rPr/>
        <w:tab/>
        <w:t>General</w:t>
      </w:r>
      <w:r>
        <w:rPr>
          <w:spacing w:val="-4"/>
        </w:rPr>
        <w:t> </w:t>
      </w:r>
      <w:r>
        <w:rPr>
          <w:spacing w:val="-2"/>
        </w:rPr>
        <w:t>Provisions</w:t>
      </w:r>
      <w:r>
        <w:rPr/>
        <w:tab/>
      </w:r>
      <w:r>
        <w:rPr>
          <w:spacing w:val="-2"/>
        </w:rPr>
        <w:t>612:15-1-</w:t>
      </w:r>
      <w:r>
        <w:rPr>
          <w:spacing w:val="-10"/>
        </w:rPr>
        <w:t>1</w:t>
      </w:r>
    </w:p>
    <w:p>
      <w:pPr>
        <w:pStyle w:val="ListParagraph"/>
        <w:numPr>
          <w:ilvl w:val="0"/>
          <w:numId w:val="312"/>
        </w:numPr>
        <w:tabs>
          <w:tab w:pos="1079" w:val="left" w:leader="none"/>
          <w:tab w:pos="8279" w:val="left" w:leader="none"/>
        </w:tabs>
        <w:spacing w:line="240" w:lineRule="auto" w:before="204" w:after="0"/>
        <w:ind w:left="1079" w:right="0" w:hanging="719"/>
        <w:jc w:val="left"/>
        <w:rPr>
          <w:sz w:val="24"/>
        </w:rPr>
      </w:pPr>
      <w:r>
        <w:rPr>
          <w:sz w:val="24"/>
        </w:rPr>
        <w:t>OLBPH</w:t>
      </w:r>
      <w:r>
        <w:rPr>
          <w:spacing w:val="-3"/>
          <w:sz w:val="24"/>
        </w:rPr>
        <w:t> </w:t>
      </w:r>
      <w:r>
        <w:rPr>
          <w:spacing w:val="-2"/>
          <w:sz w:val="24"/>
        </w:rPr>
        <w:t>Services</w:t>
      </w:r>
      <w:r>
        <w:rPr>
          <w:sz w:val="24"/>
        </w:rPr>
        <w:tab/>
      </w:r>
      <w:r>
        <w:rPr>
          <w:spacing w:val="-2"/>
          <w:sz w:val="24"/>
        </w:rPr>
        <w:t>612:15-3-</w:t>
      </w:r>
      <w:r>
        <w:rPr>
          <w:spacing w:val="-10"/>
          <w:sz w:val="24"/>
        </w:rPr>
        <w:t>1</w:t>
      </w:r>
    </w:p>
    <w:p>
      <w:pPr>
        <w:pStyle w:val="BodyText"/>
        <w:tabs>
          <w:tab w:pos="1079" w:val="left" w:leader="none"/>
          <w:tab w:pos="8279" w:val="left" w:leader="none"/>
        </w:tabs>
        <w:spacing w:before="204"/>
      </w:pPr>
      <w:r>
        <w:rPr>
          <w:spacing w:val="-5"/>
        </w:rPr>
        <w:t>5.</w:t>
      </w:r>
      <w:r>
        <w:rPr/>
        <w:tab/>
        <w:t>Library</w:t>
      </w:r>
      <w:r>
        <w:rPr>
          <w:spacing w:val="-3"/>
        </w:rPr>
        <w:t> </w:t>
      </w:r>
      <w:r>
        <w:rPr/>
        <w:t>Loan</w:t>
      </w:r>
      <w:r>
        <w:rPr>
          <w:spacing w:val="-3"/>
        </w:rPr>
        <w:t> </w:t>
      </w:r>
      <w:r>
        <w:rPr>
          <w:spacing w:val="-2"/>
        </w:rPr>
        <w:t>Policy</w:t>
      </w:r>
      <w:r>
        <w:rPr/>
        <w:tab/>
      </w:r>
      <w:r>
        <w:rPr>
          <w:spacing w:val="-2"/>
        </w:rPr>
        <w:t>612:15-5-</w:t>
      </w:r>
      <w:r>
        <w:rPr>
          <w:spacing w:val="-10"/>
        </w:rPr>
        <w:t>1</w:t>
      </w:r>
    </w:p>
    <w:p>
      <w:pPr>
        <w:spacing w:before="238"/>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8-1-96</w:t>
      </w:r>
      <w:r>
        <w:rPr>
          <w:sz w:val="22"/>
        </w:rPr>
        <w:tab/>
        <w:t>PT Memo #97-2</w:t>
      </w:r>
    </w:p>
    <w:p>
      <w:pPr>
        <w:spacing w:before="0"/>
        <w:ind w:left="1439" w:right="0" w:firstLine="0"/>
        <w:jc w:val="left"/>
        <w:rPr>
          <w:sz w:val="22"/>
        </w:rPr>
      </w:pPr>
      <w:r>
        <w:rPr>
          <w:sz w:val="22"/>
        </w:rPr>
        <w:t>Permanent,</w:t>
      </w:r>
      <w:r>
        <w:rPr>
          <w:spacing w:val="-8"/>
          <w:sz w:val="22"/>
        </w:rPr>
        <w:t> </w:t>
      </w:r>
      <w:r>
        <w:rPr>
          <w:sz w:val="22"/>
        </w:rPr>
        <w:t>changed</w:t>
      </w:r>
      <w:r>
        <w:rPr>
          <w:spacing w:val="-8"/>
          <w:sz w:val="22"/>
        </w:rPr>
        <w:t> </w:t>
      </w:r>
      <w:r>
        <w:rPr>
          <w:sz w:val="22"/>
        </w:rPr>
        <w:t>names</w:t>
      </w:r>
      <w:r>
        <w:rPr>
          <w:spacing w:val="-8"/>
          <w:sz w:val="22"/>
        </w:rPr>
        <w:t> </w:t>
      </w:r>
      <w:r>
        <w:rPr>
          <w:sz w:val="22"/>
        </w:rPr>
        <w:t>of</w:t>
      </w:r>
      <w:r>
        <w:rPr>
          <w:spacing w:val="-8"/>
          <w:sz w:val="22"/>
        </w:rPr>
        <w:t> </w:t>
      </w:r>
      <w:r>
        <w:rPr>
          <w:spacing w:val="-2"/>
          <w:sz w:val="22"/>
        </w:rPr>
        <w:t>appendices</w:t>
      </w:r>
    </w:p>
    <w:p>
      <w:pPr>
        <w:spacing w:after="0"/>
        <w:jc w:val="left"/>
        <w:rPr>
          <w:sz w:val="22"/>
        </w:rPr>
        <w:sectPr>
          <w:pgSz w:w="12240" w:h="15840"/>
          <w:pgMar w:top="1340" w:bottom="280" w:left="1080" w:right="720"/>
        </w:sectPr>
      </w:pPr>
    </w:p>
    <w:p>
      <w:pPr>
        <w:pStyle w:val="Heading1"/>
        <w:ind w:right="778"/>
      </w:pPr>
      <w:bookmarkStart w:name="SUBCHAPTER 1.  GENERAL PROVISIONS" w:id="301"/>
      <w:bookmarkEnd w:id="301"/>
      <w:r>
        <w:rPr>
          <w:b w:val="0"/>
        </w:rPr>
      </w:r>
      <w:r>
        <w:rPr/>
        <w:t>SUBCHAPTER</w:t>
      </w:r>
      <w:r>
        <w:rPr>
          <w:spacing w:val="-3"/>
        </w:rPr>
        <w:t> </w:t>
      </w:r>
      <w:r>
        <w:rPr/>
        <w:t>1.</w:t>
      </w:r>
      <w:r>
        <w:rPr>
          <w:spacing w:val="62"/>
        </w:rPr>
        <w:t> </w:t>
      </w:r>
      <w:r>
        <w:rPr/>
        <w:t>GENERAL</w:t>
      </w:r>
      <w:r>
        <w:rPr>
          <w:spacing w:val="-3"/>
        </w:rPr>
        <w:t> </w:t>
      </w:r>
      <w:r>
        <w:rPr>
          <w:spacing w:val="-2"/>
        </w:rPr>
        <w:t>PROVISIONS</w:t>
      </w:r>
    </w:p>
    <w:p>
      <w:pPr>
        <w:pStyle w:val="BodyText"/>
        <w:spacing w:before="204"/>
      </w:pPr>
      <w:r>
        <w:rPr>
          <w:spacing w:val="-2"/>
        </w:rPr>
        <w:t>Section</w:t>
      </w:r>
    </w:p>
    <w:p>
      <w:pPr>
        <w:pStyle w:val="BodyText"/>
        <w:tabs>
          <w:tab w:pos="1799" w:val="left" w:leader="none"/>
        </w:tabs>
        <w:spacing w:before="204"/>
      </w:pPr>
      <w:r>
        <w:rPr>
          <w:spacing w:val="-2"/>
        </w:rPr>
        <w:t>612:15-1-</w:t>
      </w:r>
      <w:r>
        <w:rPr>
          <w:spacing w:val="-5"/>
        </w:rPr>
        <w:t>1.</w:t>
      </w:r>
      <w:r>
        <w:rPr/>
        <w:tab/>
      </w:r>
      <w:r>
        <w:rPr>
          <w:spacing w:val="-2"/>
        </w:rPr>
        <w:t>Purpose</w:t>
      </w:r>
    </w:p>
    <w:p>
      <w:pPr>
        <w:pStyle w:val="BodyText"/>
        <w:tabs>
          <w:tab w:pos="1799" w:val="left" w:leader="none"/>
        </w:tabs>
        <w:spacing w:before="204"/>
      </w:pPr>
      <w:r>
        <w:rPr>
          <w:spacing w:val="-2"/>
        </w:rPr>
        <w:t>612:15-1-</w:t>
      </w:r>
      <w:r>
        <w:rPr>
          <w:spacing w:val="-5"/>
        </w:rPr>
        <w:t>2.</w:t>
      </w:r>
      <w:r>
        <w:rPr/>
        <w:tab/>
      </w:r>
      <w:r>
        <w:rPr>
          <w:spacing w:val="-2"/>
        </w:rPr>
        <w:t>Definitions</w:t>
      </w:r>
    </w:p>
    <w:p>
      <w:pPr>
        <w:pStyle w:val="BodyText"/>
        <w:tabs>
          <w:tab w:pos="1799" w:val="left" w:leader="none"/>
        </w:tabs>
        <w:spacing w:before="204"/>
      </w:pPr>
      <w:r>
        <w:rPr>
          <w:spacing w:val="-2"/>
        </w:rPr>
        <w:t>612:15-1-</w:t>
      </w:r>
      <w:r>
        <w:rPr>
          <w:spacing w:val="-5"/>
        </w:rPr>
        <w:t>3.</w:t>
      </w:r>
      <w:r>
        <w:rPr/>
        <w:tab/>
        <w:t>Library</w:t>
      </w:r>
      <w:r>
        <w:rPr>
          <w:spacing w:val="-4"/>
        </w:rPr>
        <w:t> </w:t>
      </w:r>
      <w:r>
        <w:rPr/>
        <w:t>functions</w:t>
      </w:r>
      <w:r>
        <w:rPr>
          <w:spacing w:val="-3"/>
        </w:rPr>
        <w:t> </w:t>
      </w:r>
      <w:r>
        <w:rPr/>
        <w:t>and</w:t>
      </w:r>
      <w:r>
        <w:rPr>
          <w:spacing w:val="-4"/>
        </w:rPr>
        <w:t> </w:t>
      </w:r>
      <w:r>
        <w:rPr/>
        <w:t>legal</w:t>
      </w:r>
      <w:r>
        <w:rPr>
          <w:spacing w:val="-3"/>
        </w:rPr>
        <w:t> </w:t>
      </w:r>
      <w:r>
        <w:rPr>
          <w:spacing w:val="-4"/>
        </w:rPr>
        <w:t>basis</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7-1-02</w:t>
      </w:r>
      <w:r>
        <w:rPr>
          <w:sz w:val="22"/>
        </w:rPr>
        <w:tab/>
        <w:t>POL Memo #02-02</w:t>
      </w:r>
    </w:p>
    <w:p>
      <w:pPr>
        <w:tabs>
          <w:tab w:pos="1439" w:val="left" w:leader="none"/>
        </w:tabs>
        <w:spacing w:before="1"/>
        <w:ind w:left="359" w:right="6074" w:firstLine="1080"/>
        <w:jc w:val="left"/>
        <w:rPr>
          <w:sz w:val="22"/>
        </w:rPr>
      </w:pPr>
      <w:r>
        <w:rPr>
          <w:sz w:val="22"/>
        </w:rPr>
        <w:t>Permanent,</w:t>
      </w:r>
      <w:r>
        <w:rPr>
          <w:spacing w:val="-12"/>
          <w:sz w:val="22"/>
        </w:rPr>
        <w:t> </w:t>
      </w:r>
      <w:r>
        <w:rPr>
          <w:sz w:val="22"/>
        </w:rPr>
        <w:t>section</w:t>
      </w:r>
      <w:r>
        <w:rPr>
          <w:spacing w:val="-13"/>
          <w:sz w:val="22"/>
        </w:rPr>
        <w:t> </w:t>
      </w:r>
      <w:r>
        <w:rPr>
          <w:sz w:val="22"/>
        </w:rPr>
        <w:t>4</w:t>
      </w:r>
      <w:r>
        <w:rPr>
          <w:spacing w:val="-13"/>
          <w:sz w:val="22"/>
        </w:rPr>
        <w:t> </w:t>
      </w:r>
      <w:r>
        <w:rPr>
          <w:sz w:val="22"/>
        </w:rPr>
        <w:t>revoked </w:t>
      </w:r>
      <w:r>
        <w:rPr>
          <w:spacing w:val="-2"/>
          <w:sz w:val="22"/>
        </w:rPr>
        <w:t>7-1-03</w:t>
      </w:r>
      <w:r>
        <w:rPr>
          <w:sz w:val="22"/>
        </w:rPr>
        <w:tab/>
        <w:t>PT Memo #03-07</w:t>
      </w:r>
    </w:p>
    <w:p>
      <w:pPr>
        <w:spacing w:line="252" w:lineRule="exact" w:before="0"/>
        <w:ind w:left="1439" w:right="0" w:firstLine="0"/>
        <w:jc w:val="left"/>
        <w:rPr>
          <w:sz w:val="22"/>
        </w:rPr>
      </w:pPr>
      <w:r>
        <w:rPr>
          <w:sz w:val="22"/>
        </w:rPr>
        <w:t>Permanent,</w:t>
      </w:r>
      <w:r>
        <w:rPr>
          <w:spacing w:val="-8"/>
          <w:sz w:val="22"/>
        </w:rPr>
        <w:t> </w:t>
      </w:r>
      <w:r>
        <w:rPr>
          <w:sz w:val="22"/>
        </w:rPr>
        <w:t>revoked</w:t>
      </w:r>
      <w:r>
        <w:rPr>
          <w:spacing w:val="-8"/>
          <w:sz w:val="22"/>
        </w:rPr>
        <w:t> </w:t>
      </w:r>
      <w:r>
        <w:rPr>
          <w:sz w:val="22"/>
        </w:rPr>
        <w:t>section,</w:t>
      </w:r>
      <w:r>
        <w:rPr>
          <w:spacing w:val="-8"/>
          <w:sz w:val="22"/>
        </w:rPr>
        <w:t> </w:t>
      </w:r>
      <w:r>
        <w:rPr>
          <w:sz w:val="22"/>
        </w:rPr>
        <w:t>forms</w:t>
      </w:r>
      <w:r>
        <w:rPr>
          <w:spacing w:val="-9"/>
          <w:sz w:val="22"/>
        </w:rPr>
        <w:t> </w:t>
      </w:r>
      <w:r>
        <w:rPr>
          <w:sz w:val="22"/>
        </w:rPr>
        <w:t>removed</w:t>
      </w:r>
      <w:r>
        <w:rPr>
          <w:spacing w:val="-8"/>
          <w:sz w:val="22"/>
        </w:rPr>
        <w:t> </w:t>
      </w:r>
      <w:r>
        <w:rPr>
          <w:sz w:val="22"/>
        </w:rPr>
        <w:t>from</w:t>
      </w:r>
      <w:r>
        <w:rPr>
          <w:spacing w:val="-9"/>
          <w:sz w:val="22"/>
        </w:rPr>
        <w:t> </w:t>
      </w:r>
      <w:r>
        <w:rPr>
          <w:sz w:val="22"/>
        </w:rPr>
        <w:t>APA</w:t>
      </w:r>
      <w:r>
        <w:rPr>
          <w:spacing w:val="-8"/>
          <w:sz w:val="22"/>
        </w:rPr>
        <w:t> </w:t>
      </w:r>
      <w:r>
        <w:rPr>
          <w:spacing w:val="-2"/>
          <w:sz w:val="22"/>
        </w:rPr>
        <w:t>process</w:t>
      </w:r>
    </w:p>
    <w:p>
      <w:pPr>
        <w:spacing w:after="0" w:line="252" w:lineRule="exact"/>
        <w:jc w:val="left"/>
        <w:rPr>
          <w:sz w:val="22"/>
        </w:rPr>
        <w:sectPr>
          <w:pgSz w:w="12240" w:h="15840"/>
          <w:pgMar w:top="1340" w:bottom="280" w:left="1080" w:right="720"/>
        </w:sectPr>
      </w:pPr>
    </w:p>
    <w:p>
      <w:pPr>
        <w:pStyle w:val="Heading2"/>
      </w:pPr>
      <w:bookmarkStart w:name="612:15-1-1.  Purpose" w:id="302"/>
      <w:bookmarkEnd w:id="302"/>
      <w:r>
        <w:rPr>
          <w:b w:val="0"/>
        </w:rPr>
      </w:r>
      <w:r>
        <w:rPr/>
        <w:t>612:15-1-1.</w:t>
      </w:r>
      <w:r>
        <w:rPr>
          <w:spacing w:val="58"/>
        </w:rPr>
        <w:t> </w:t>
      </w:r>
      <w:r>
        <w:rPr>
          <w:spacing w:val="-2"/>
        </w:rPr>
        <w:t>Purpose</w:t>
      </w:r>
    </w:p>
    <w:p>
      <w:pPr>
        <w:pStyle w:val="BodyText"/>
        <w:spacing w:line="208" w:lineRule="auto" w:before="233"/>
        <w:ind w:right="978" w:firstLine="432"/>
        <w:jc w:val="both"/>
      </w:pPr>
      <w:r>
        <w:rPr/>
        <w:t>The</w:t>
      </w:r>
      <w:r>
        <w:rPr>
          <w:spacing w:val="-3"/>
        </w:rPr>
        <w:t> </w:t>
      </w:r>
      <w:r>
        <w:rPr/>
        <w:t>purpose</w:t>
      </w:r>
      <w:r>
        <w:rPr>
          <w:spacing w:val="-3"/>
        </w:rPr>
        <w:t> </w:t>
      </w:r>
      <w:r>
        <w:rPr/>
        <w:t>of</w:t>
      </w:r>
      <w:r>
        <w:rPr>
          <w:spacing w:val="-2"/>
        </w:rPr>
        <w:t> </w:t>
      </w:r>
      <w:r>
        <w:rPr/>
        <w:t>this</w:t>
      </w:r>
      <w:r>
        <w:rPr>
          <w:spacing w:val="-3"/>
        </w:rPr>
        <w:t> </w:t>
      </w:r>
      <w:r>
        <w:rPr/>
        <w:t>Chapter</w:t>
      </w:r>
      <w:r>
        <w:rPr>
          <w:spacing w:val="-2"/>
        </w:rPr>
        <w:t> </w:t>
      </w:r>
      <w:r>
        <w:rPr/>
        <w:t>is</w:t>
      </w:r>
      <w:r>
        <w:rPr>
          <w:spacing w:val="-3"/>
        </w:rPr>
        <w:t> </w:t>
      </w:r>
      <w:r>
        <w:rPr/>
        <w:t>to</w:t>
      </w:r>
      <w:r>
        <w:rPr>
          <w:spacing w:val="-4"/>
        </w:rPr>
        <w:t> </w:t>
      </w:r>
      <w:r>
        <w:rPr/>
        <w:t>set</w:t>
      </w:r>
      <w:r>
        <w:rPr>
          <w:spacing w:val="-2"/>
        </w:rPr>
        <w:t> </w:t>
      </w:r>
      <w:r>
        <w:rPr/>
        <w:t>forth</w:t>
      </w:r>
      <w:r>
        <w:rPr>
          <w:spacing w:val="-3"/>
        </w:rPr>
        <w:t> </w:t>
      </w:r>
      <w:r>
        <w:rPr/>
        <w:t>the</w:t>
      </w:r>
      <w:r>
        <w:rPr>
          <w:spacing w:val="-3"/>
        </w:rPr>
        <w:t> </w:t>
      </w:r>
      <w:r>
        <w:rPr/>
        <w:t>rules</w:t>
      </w:r>
      <w:r>
        <w:rPr>
          <w:spacing w:val="-3"/>
        </w:rPr>
        <w:t> </w:t>
      </w:r>
      <w:r>
        <w:rPr/>
        <w:t>governing</w:t>
      </w:r>
      <w:r>
        <w:rPr>
          <w:spacing w:val="-3"/>
        </w:rPr>
        <w:t> </w:t>
      </w:r>
      <w:r>
        <w:rPr/>
        <w:t>the</w:t>
      </w:r>
      <w:r>
        <w:rPr>
          <w:spacing w:val="-3"/>
        </w:rPr>
        <w:t> </w:t>
      </w:r>
      <w:r>
        <w:rPr/>
        <w:t>operation</w:t>
      </w:r>
      <w:r>
        <w:rPr>
          <w:spacing w:val="-3"/>
        </w:rPr>
        <w:t> </w:t>
      </w:r>
      <w:r>
        <w:rPr/>
        <w:t>of</w:t>
      </w:r>
      <w:r>
        <w:rPr>
          <w:spacing w:val="-2"/>
        </w:rPr>
        <w:t> </w:t>
      </w:r>
      <w:r>
        <w:rPr/>
        <w:t>the Oklahoma</w:t>
      </w:r>
      <w:r>
        <w:rPr>
          <w:spacing w:val="-3"/>
        </w:rPr>
        <w:t> </w:t>
      </w:r>
      <w:r>
        <w:rPr/>
        <w:t>Library</w:t>
      </w:r>
      <w:r>
        <w:rPr>
          <w:spacing w:val="-3"/>
        </w:rPr>
        <w:t> </w:t>
      </w:r>
      <w:r>
        <w:rPr/>
        <w:t>for</w:t>
      </w:r>
      <w:r>
        <w:rPr>
          <w:spacing w:val="-4"/>
        </w:rPr>
        <w:t> </w:t>
      </w:r>
      <w:r>
        <w:rPr/>
        <w:t>the</w:t>
      </w:r>
      <w:r>
        <w:rPr>
          <w:spacing w:val="-3"/>
        </w:rPr>
        <w:t> </w:t>
      </w:r>
      <w:r>
        <w:rPr/>
        <w:t>Blind</w:t>
      </w:r>
      <w:r>
        <w:rPr>
          <w:spacing w:val="-3"/>
        </w:rPr>
        <w:t> </w:t>
      </w:r>
      <w:r>
        <w:rPr/>
        <w:t>and</w:t>
      </w:r>
      <w:r>
        <w:rPr>
          <w:spacing w:val="-3"/>
        </w:rPr>
        <w:t> </w:t>
      </w:r>
      <w:r>
        <w:rPr/>
        <w:t>Physically</w:t>
      </w:r>
      <w:r>
        <w:rPr>
          <w:spacing w:val="-3"/>
        </w:rPr>
        <w:t> </w:t>
      </w:r>
      <w:r>
        <w:rPr/>
        <w:t>Handicapped.</w:t>
      </w:r>
      <w:r>
        <w:rPr>
          <w:spacing w:val="40"/>
        </w:rPr>
        <w:t> </w:t>
      </w:r>
      <w:r>
        <w:rPr/>
        <w:t>The</w:t>
      </w:r>
      <w:r>
        <w:rPr>
          <w:spacing w:val="-3"/>
        </w:rPr>
        <w:t> </w:t>
      </w:r>
      <w:r>
        <w:rPr/>
        <w:t>legal</w:t>
      </w:r>
      <w:r>
        <w:rPr>
          <w:spacing w:val="-3"/>
        </w:rPr>
        <w:t> </w:t>
      </w:r>
      <w:r>
        <w:rPr/>
        <w:t>base</w:t>
      </w:r>
      <w:r>
        <w:rPr>
          <w:spacing w:val="-3"/>
        </w:rPr>
        <w:t> </w:t>
      </w:r>
      <w:r>
        <w:rPr/>
        <w:t>for</w:t>
      </w:r>
      <w:r>
        <w:rPr>
          <w:spacing w:val="-2"/>
        </w:rPr>
        <w:t> </w:t>
      </w:r>
      <w:r>
        <w:rPr/>
        <w:t>these rules is the Pratt-Smoot Act, P.L. 89-522, 74 O.S., 166.1 et seq.</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60" w:right="4828" w:firstLine="1080"/>
        <w:jc w:val="left"/>
        <w:rPr>
          <w:sz w:val="22"/>
        </w:rPr>
      </w:pPr>
      <w:r>
        <w:rPr>
          <w:sz w:val="22"/>
        </w:rPr>
        <w:t>Emergency,</w:t>
      </w:r>
      <w:r>
        <w:rPr>
          <w:spacing w:val="-7"/>
          <w:sz w:val="22"/>
        </w:rPr>
        <w:t> </w:t>
      </w:r>
      <w:r>
        <w:rPr>
          <w:sz w:val="22"/>
        </w:rPr>
        <w:t>first</w:t>
      </w:r>
      <w:r>
        <w:rPr>
          <w:spacing w:val="-7"/>
          <w:sz w:val="22"/>
        </w:rPr>
        <w:t> </w:t>
      </w:r>
      <w:r>
        <w:rPr>
          <w:sz w:val="22"/>
        </w:rPr>
        <w:t>adoption</w:t>
      </w:r>
      <w:r>
        <w:rPr>
          <w:spacing w:val="-7"/>
          <w:sz w:val="22"/>
        </w:rPr>
        <w:t> </w:t>
      </w:r>
      <w:r>
        <w:rPr>
          <w:sz w:val="22"/>
        </w:rPr>
        <w:t>in</w:t>
      </w:r>
      <w:r>
        <w:rPr>
          <w:spacing w:val="-7"/>
          <w:sz w:val="22"/>
        </w:rPr>
        <w:t> </w:t>
      </w:r>
      <w:r>
        <w:rPr>
          <w:sz w:val="22"/>
        </w:rPr>
        <w:t>OAC</w:t>
      </w:r>
      <w:r>
        <w:rPr>
          <w:spacing w:val="-8"/>
          <w:sz w:val="22"/>
        </w:rPr>
        <w:t> </w:t>
      </w:r>
      <w:r>
        <w:rPr>
          <w:sz w:val="22"/>
        </w:rPr>
        <w:t>Title</w:t>
      </w:r>
      <w:r>
        <w:rPr>
          <w:spacing w:val="-7"/>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w:t>
      </w:r>
      <w:r>
        <w:rPr>
          <w:spacing w:val="-5"/>
          <w:sz w:val="22"/>
        </w:rPr>
        <w:t> </w:t>
      </w:r>
      <w:r>
        <w:rPr>
          <w:sz w:val="22"/>
        </w:rPr>
        <w:t>first</w:t>
      </w:r>
      <w:r>
        <w:rPr>
          <w:spacing w:val="-5"/>
          <w:sz w:val="22"/>
        </w:rPr>
        <w:t> </w:t>
      </w:r>
      <w:r>
        <w:rPr>
          <w:sz w:val="22"/>
        </w:rPr>
        <w:t>adoption</w:t>
      </w:r>
      <w:r>
        <w:rPr>
          <w:spacing w:val="-6"/>
          <w:sz w:val="22"/>
        </w:rPr>
        <w:t> </w:t>
      </w:r>
      <w:r>
        <w:rPr>
          <w:sz w:val="22"/>
        </w:rPr>
        <w:t>in</w:t>
      </w:r>
      <w:r>
        <w:rPr>
          <w:spacing w:val="-5"/>
          <w:sz w:val="22"/>
        </w:rPr>
        <w:t> </w:t>
      </w:r>
      <w:r>
        <w:rPr>
          <w:sz w:val="22"/>
        </w:rPr>
        <w:t>OAC</w:t>
      </w:r>
      <w:r>
        <w:rPr>
          <w:spacing w:val="-7"/>
          <w:sz w:val="22"/>
        </w:rPr>
        <w:t> </w:t>
      </w:r>
      <w:r>
        <w:rPr>
          <w:sz w:val="22"/>
        </w:rPr>
        <w:t>Title</w:t>
      </w:r>
      <w:r>
        <w:rPr>
          <w:spacing w:val="-5"/>
          <w:sz w:val="22"/>
        </w:rPr>
        <w:t> 612</w:t>
      </w:r>
    </w:p>
    <w:p>
      <w:pPr>
        <w:spacing w:after="0"/>
        <w:jc w:val="left"/>
        <w:rPr>
          <w:sz w:val="22"/>
        </w:rPr>
        <w:sectPr>
          <w:pgSz w:w="12240" w:h="15840"/>
          <w:pgMar w:top="1340" w:bottom="280" w:left="1080" w:right="720"/>
        </w:sectPr>
      </w:pPr>
    </w:p>
    <w:p>
      <w:pPr>
        <w:pStyle w:val="Heading2"/>
      </w:pPr>
      <w:bookmarkStart w:name="612:15-1-2.  Definitions" w:id="303"/>
      <w:bookmarkEnd w:id="303"/>
      <w:r>
        <w:rPr>
          <w:b w:val="0"/>
        </w:rPr>
      </w:r>
      <w:bookmarkStart w:name="_bookmark31" w:id="304"/>
      <w:bookmarkEnd w:id="304"/>
      <w:r>
        <w:rPr>
          <w:b w:val="0"/>
        </w:rPr>
      </w:r>
      <w:r>
        <w:rPr/>
        <w:t>612:15-1-2.</w:t>
      </w:r>
      <w:r>
        <w:rPr>
          <w:spacing w:val="60"/>
        </w:rPr>
        <w:t> </w:t>
      </w:r>
      <w:r>
        <w:rPr>
          <w:spacing w:val="-2"/>
        </w:rPr>
        <w:t>Definitions</w:t>
      </w:r>
    </w:p>
    <w:p>
      <w:pPr>
        <w:pStyle w:val="BodyText"/>
        <w:spacing w:line="208" w:lineRule="auto" w:before="233"/>
        <w:ind w:right="775" w:firstLine="432"/>
      </w:pPr>
      <w:r>
        <w:rPr/>
        <w:t>The</w:t>
      </w:r>
      <w:r>
        <w:rPr>
          <w:spacing w:val="-3"/>
        </w:rPr>
        <w:t> </w:t>
      </w:r>
      <w:r>
        <w:rPr/>
        <w:t>following</w:t>
      </w:r>
      <w:r>
        <w:rPr>
          <w:spacing w:val="-3"/>
        </w:rPr>
        <w:t> </w:t>
      </w:r>
      <w:r>
        <w:rPr/>
        <w:t>words</w:t>
      </w:r>
      <w:r>
        <w:rPr>
          <w:spacing w:val="-3"/>
        </w:rPr>
        <w:t> </w:t>
      </w:r>
      <w:r>
        <w:rPr/>
        <w:t>and</w:t>
      </w:r>
      <w:r>
        <w:rPr>
          <w:spacing w:val="-3"/>
        </w:rPr>
        <w:t> </w:t>
      </w:r>
      <w:r>
        <w:rPr/>
        <w:t>terms,</w:t>
      </w:r>
      <w:r>
        <w:rPr>
          <w:spacing w:val="-5"/>
        </w:rPr>
        <w:t> </w:t>
      </w:r>
      <w:r>
        <w:rPr/>
        <w:t>when</w:t>
      </w:r>
      <w:r>
        <w:rPr>
          <w:spacing w:val="-3"/>
        </w:rPr>
        <w:t> </w:t>
      </w:r>
      <w:r>
        <w:rPr/>
        <w:t>used</w:t>
      </w:r>
      <w:r>
        <w:rPr>
          <w:spacing w:val="-2"/>
        </w:rPr>
        <w:t> </w:t>
      </w:r>
      <w:r>
        <w:rPr/>
        <w:t>in</w:t>
      </w:r>
      <w:r>
        <w:rPr>
          <w:spacing w:val="-3"/>
        </w:rPr>
        <w:t> </w:t>
      </w:r>
      <w:r>
        <w:rPr/>
        <w:t>this</w:t>
      </w:r>
      <w:r>
        <w:rPr>
          <w:spacing w:val="-3"/>
        </w:rPr>
        <w:t> </w:t>
      </w:r>
      <w:r>
        <w:rPr/>
        <w:t>Chapter,</w:t>
      </w:r>
      <w:r>
        <w:rPr>
          <w:spacing w:val="-2"/>
        </w:rPr>
        <w:t> </w:t>
      </w:r>
      <w:r>
        <w:rPr/>
        <w:t>shall</w:t>
      </w:r>
      <w:r>
        <w:rPr>
          <w:spacing w:val="-3"/>
        </w:rPr>
        <w:t> </w:t>
      </w:r>
      <w:r>
        <w:rPr/>
        <w:t>have</w:t>
      </w:r>
      <w:r>
        <w:rPr>
          <w:spacing w:val="-3"/>
        </w:rPr>
        <w:t> </w:t>
      </w:r>
      <w:r>
        <w:rPr/>
        <w:t>the</w:t>
      </w:r>
      <w:r>
        <w:rPr>
          <w:spacing w:val="-3"/>
        </w:rPr>
        <w:t> </w:t>
      </w:r>
      <w:r>
        <w:rPr/>
        <w:t>following meanings, unless the context clearly indicates otherwise:</w:t>
      </w:r>
    </w:p>
    <w:p>
      <w:pPr>
        <w:pStyle w:val="BodyText"/>
        <w:spacing w:line="208" w:lineRule="auto"/>
        <w:ind w:right="775" w:firstLine="432"/>
        <w:rPr>
          <w:b/>
        </w:rPr>
      </w:pPr>
      <w:r>
        <w:rPr/>
        <w:t>"Competent Authority"</w:t>
      </w:r>
      <w:r>
        <w:rPr>
          <w:spacing w:val="40"/>
        </w:rPr>
        <w:t> </w:t>
      </w:r>
      <w:r>
        <w:rPr/>
        <w:t>means a certifying authority who, in cases of blindness, visual</w:t>
      </w:r>
      <w:r>
        <w:rPr>
          <w:spacing w:val="-4"/>
        </w:rPr>
        <w:t> </w:t>
      </w:r>
      <w:r>
        <w:rPr/>
        <w:t>impairment,</w:t>
      </w:r>
      <w:r>
        <w:rPr>
          <w:spacing w:val="-3"/>
        </w:rPr>
        <w:t> </w:t>
      </w:r>
      <w:r>
        <w:rPr/>
        <w:t>or</w:t>
      </w:r>
      <w:r>
        <w:rPr>
          <w:spacing w:val="-5"/>
        </w:rPr>
        <w:t> </w:t>
      </w:r>
      <w:r>
        <w:rPr/>
        <w:t>physical</w:t>
      </w:r>
      <w:r>
        <w:rPr>
          <w:spacing w:val="-4"/>
        </w:rPr>
        <w:t> </w:t>
      </w:r>
      <w:r>
        <w:rPr/>
        <w:t>limitations,</w:t>
      </w:r>
      <w:r>
        <w:rPr>
          <w:spacing w:val="-3"/>
        </w:rPr>
        <w:t> </w:t>
      </w:r>
      <w:r>
        <w:rPr/>
        <w:t>is</w:t>
      </w:r>
      <w:r>
        <w:rPr>
          <w:spacing w:val="-4"/>
        </w:rPr>
        <w:t> </w:t>
      </w:r>
      <w:r>
        <w:rPr/>
        <w:t>a</w:t>
      </w:r>
      <w:r>
        <w:rPr>
          <w:spacing w:val="-4"/>
        </w:rPr>
        <w:t> </w:t>
      </w:r>
      <w:r>
        <w:rPr/>
        <w:t>doctor</w:t>
      </w:r>
      <w:r>
        <w:rPr>
          <w:spacing w:val="-3"/>
        </w:rPr>
        <w:t> </w:t>
      </w:r>
      <w:r>
        <w:rPr/>
        <w:t>of</w:t>
      </w:r>
      <w:r>
        <w:rPr>
          <w:spacing w:val="-5"/>
        </w:rPr>
        <w:t> </w:t>
      </w:r>
      <w:r>
        <w:rPr/>
        <w:t>medicine,</w:t>
      </w:r>
      <w:r>
        <w:rPr>
          <w:spacing w:val="-3"/>
        </w:rPr>
        <w:t> </w:t>
      </w:r>
      <w:r>
        <w:rPr/>
        <w:t>doctor</w:t>
      </w:r>
      <w:r>
        <w:rPr>
          <w:spacing w:val="-3"/>
        </w:rPr>
        <w:t> </w:t>
      </w:r>
      <w:r>
        <w:rPr/>
        <w:t>of</w:t>
      </w:r>
      <w:r>
        <w:rPr>
          <w:spacing w:val="-5"/>
        </w:rPr>
        <w:t> </w:t>
      </w:r>
      <w:r>
        <w:rPr/>
        <w:t>osteopathy, ophthalmologist, optometrist, registered nurse, therapist, professional librarian, professional staff of a hospital, institution or public or private welfare agency, and Department of Rehabilitation staff (VR Counselors, Rehabilitation Teachers, and Superintendents);</w:t>
      </w:r>
      <w:r>
        <w:rPr>
          <w:spacing w:val="-2"/>
        </w:rPr>
        <w:t> </w:t>
      </w:r>
      <w:r>
        <w:rPr/>
        <w:t>in</w:t>
      </w:r>
      <w:r>
        <w:rPr>
          <w:spacing w:val="-3"/>
        </w:rPr>
        <w:t> </w:t>
      </w:r>
      <w:r>
        <w:rPr/>
        <w:t>the</w:t>
      </w:r>
      <w:r>
        <w:rPr>
          <w:spacing w:val="-3"/>
        </w:rPr>
        <w:t> </w:t>
      </w:r>
      <w:r>
        <w:rPr/>
        <w:t>case</w:t>
      </w:r>
      <w:r>
        <w:rPr>
          <w:spacing w:val="-3"/>
        </w:rPr>
        <w:t> </w:t>
      </w:r>
      <w:r>
        <w:rPr/>
        <w:t>of</w:t>
      </w:r>
      <w:r>
        <w:rPr>
          <w:spacing w:val="-4"/>
        </w:rPr>
        <w:t> </w:t>
      </w:r>
      <w:r>
        <w:rPr/>
        <w:t>reading</w:t>
      </w:r>
      <w:r>
        <w:rPr>
          <w:spacing w:val="-3"/>
        </w:rPr>
        <w:t> </w:t>
      </w:r>
      <w:r>
        <w:rPr/>
        <w:t>disability</w:t>
      </w:r>
      <w:r>
        <w:rPr>
          <w:spacing w:val="-3"/>
        </w:rPr>
        <w:t> </w:t>
      </w:r>
      <w:r>
        <w:rPr/>
        <w:t>from</w:t>
      </w:r>
      <w:r>
        <w:rPr>
          <w:spacing w:val="-5"/>
        </w:rPr>
        <w:t> </w:t>
      </w:r>
      <w:r>
        <w:rPr/>
        <w:t>organic</w:t>
      </w:r>
      <w:r>
        <w:rPr>
          <w:spacing w:val="-3"/>
        </w:rPr>
        <w:t> </w:t>
      </w:r>
      <w:r>
        <w:rPr/>
        <w:t>dysfunction,</w:t>
      </w:r>
      <w:r>
        <w:rPr>
          <w:spacing w:val="-2"/>
        </w:rPr>
        <w:t> </w:t>
      </w:r>
      <w:r>
        <w:rPr/>
        <w:t>competent authority is defined as a doctor of medicine or doctor of osteopathy who may consult with colleagues in associated disciplines. </w:t>
      </w:r>
      <w:r>
        <w:rPr>
          <w:b/>
        </w:rPr>
        <w:t>1</w:t>
      </w:r>
    </w:p>
    <w:p>
      <w:pPr>
        <w:pStyle w:val="BodyText"/>
        <w:spacing w:before="210"/>
        <w:ind w:left="792"/>
      </w:pPr>
      <w:r>
        <w:rPr/>
        <w:t>"NLS"</w:t>
      </w:r>
      <w:r>
        <w:rPr>
          <w:spacing w:val="60"/>
        </w:rPr>
        <w:t> </w:t>
      </w:r>
      <w:r>
        <w:rPr/>
        <w:t>means</w:t>
      </w:r>
      <w:r>
        <w:rPr>
          <w:spacing w:val="-3"/>
        </w:rPr>
        <w:t> </w:t>
      </w:r>
      <w:r>
        <w:rPr/>
        <w:t>the</w:t>
      </w:r>
      <w:r>
        <w:rPr>
          <w:spacing w:val="-2"/>
        </w:rPr>
        <w:t> </w:t>
      </w:r>
      <w:r>
        <w:rPr/>
        <w:t>National</w:t>
      </w:r>
      <w:r>
        <w:rPr>
          <w:spacing w:val="-4"/>
        </w:rPr>
        <w:t> </w:t>
      </w:r>
      <w:r>
        <w:rPr/>
        <w:t>Library</w:t>
      </w:r>
      <w:r>
        <w:rPr>
          <w:spacing w:val="-2"/>
        </w:rPr>
        <w:t> </w:t>
      </w:r>
      <w:r>
        <w:rPr/>
        <w:t>Service</w:t>
      </w:r>
      <w:r>
        <w:rPr>
          <w:spacing w:val="-3"/>
        </w:rPr>
        <w:t> </w:t>
      </w:r>
      <w:r>
        <w:rPr/>
        <w:t>of</w:t>
      </w:r>
      <w:r>
        <w:rPr>
          <w:spacing w:val="-1"/>
        </w:rPr>
        <w:t> </w:t>
      </w:r>
      <w:r>
        <w:rPr/>
        <w:t>the</w:t>
      </w:r>
      <w:r>
        <w:rPr>
          <w:spacing w:val="-3"/>
        </w:rPr>
        <w:t> </w:t>
      </w:r>
      <w:r>
        <w:rPr/>
        <w:t>Library</w:t>
      </w:r>
      <w:r>
        <w:rPr>
          <w:spacing w:val="-2"/>
        </w:rPr>
        <w:t> </w:t>
      </w:r>
      <w:r>
        <w:rPr/>
        <w:t>of</w:t>
      </w:r>
      <w:r>
        <w:rPr>
          <w:spacing w:val="-1"/>
        </w:rPr>
        <w:t> </w:t>
      </w:r>
      <w:r>
        <w:rPr>
          <w:spacing w:val="-2"/>
        </w:rPr>
        <w:t>Congress.</w:t>
      </w:r>
    </w:p>
    <w:p>
      <w:pPr>
        <w:pStyle w:val="BodyText"/>
        <w:spacing w:before="204"/>
        <w:ind w:left="792"/>
      </w:pPr>
      <w:r>
        <w:rPr/>
        <w:t>"OLBPH"</w:t>
      </w:r>
      <w:r>
        <w:rPr>
          <w:spacing w:val="-4"/>
        </w:rPr>
        <w:t> </w:t>
      </w:r>
      <w:r>
        <w:rPr/>
        <w:t>means</w:t>
      </w:r>
      <w:r>
        <w:rPr>
          <w:spacing w:val="-3"/>
        </w:rPr>
        <w:t> </w:t>
      </w:r>
      <w:r>
        <w:rPr/>
        <w:t>the</w:t>
      </w:r>
      <w:r>
        <w:rPr>
          <w:spacing w:val="-4"/>
        </w:rPr>
        <w:t> </w:t>
      </w:r>
      <w:r>
        <w:rPr/>
        <w:t>Oklahoma</w:t>
      </w:r>
      <w:r>
        <w:rPr>
          <w:spacing w:val="-2"/>
        </w:rPr>
        <w:t> </w:t>
      </w:r>
      <w:r>
        <w:rPr/>
        <w:t>Library</w:t>
      </w:r>
      <w:r>
        <w:rPr>
          <w:spacing w:val="-3"/>
        </w:rPr>
        <w:t> </w:t>
      </w:r>
      <w:r>
        <w:rPr/>
        <w:t>for</w:t>
      </w:r>
      <w:r>
        <w:rPr>
          <w:spacing w:val="-4"/>
        </w:rPr>
        <w:t> </w:t>
      </w:r>
      <w:r>
        <w:rPr/>
        <w:t>the</w:t>
      </w:r>
      <w:r>
        <w:rPr>
          <w:spacing w:val="-2"/>
        </w:rPr>
        <w:t> </w:t>
      </w:r>
      <w:r>
        <w:rPr/>
        <w:t>Blind</w:t>
      </w:r>
      <w:r>
        <w:rPr>
          <w:spacing w:val="-3"/>
        </w:rPr>
        <w:t> </w:t>
      </w:r>
      <w:r>
        <w:rPr/>
        <w:t>and</w:t>
      </w:r>
      <w:r>
        <w:rPr>
          <w:spacing w:val="-3"/>
        </w:rPr>
        <w:t> </w:t>
      </w:r>
      <w:r>
        <w:rPr/>
        <w:t>Physically</w:t>
      </w:r>
      <w:r>
        <w:rPr>
          <w:spacing w:val="-2"/>
        </w:rPr>
        <w:t> Handicapped.</w:t>
      </w:r>
    </w:p>
    <w:p>
      <w:pPr>
        <w:pStyle w:val="BodyText"/>
        <w:spacing w:before="204"/>
      </w:pPr>
      <w:r>
        <w:rPr/>
        <w:t>INSTRUCTIONS</w:t>
      </w:r>
      <w:r>
        <w:rPr>
          <w:spacing w:val="-3"/>
        </w:rPr>
        <w:t> </w:t>
      </w:r>
      <w:r>
        <w:rPr/>
        <w:t>TO</w:t>
      </w:r>
      <w:r>
        <w:rPr>
          <w:spacing w:val="-2"/>
        </w:rPr>
        <w:t> </w:t>
      </w:r>
      <w:r>
        <w:rPr>
          <w:spacing w:val="-4"/>
        </w:rPr>
        <w:t>STAFF</w:t>
      </w:r>
    </w:p>
    <w:p>
      <w:pPr>
        <w:pStyle w:val="BodyText"/>
        <w:spacing w:before="204"/>
        <w:ind w:left="791"/>
      </w:pPr>
      <w:r>
        <w:rPr/>
        <w:t>1.</w:t>
      </w:r>
      <w:r>
        <w:rPr>
          <w:spacing w:val="18"/>
        </w:rPr>
        <w:t> </w:t>
      </w:r>
      <w:r>
        <w:rPr/>
        <w:t>Link</w:t>
      </w:r>
      <w:r>
        <w:rPr>
          <w:spacing w:val="-3"/>
        </w:rPr>
        <w:t> </w:t>
      </w:r>
      <w:r>
        <w:rPr/>
        <w:t>to</w:t>
      </w:r>
      <w:r>
        <w:rPr>
          <w:spacing w:val="-2"/>
        </w:rPr>
        <w:t> </w:t>
      </w:r>
      <w:hyperlink r:id="rId84">
        <w:r>
          <w:rPr>
            <w:color w:val="0000FF"/>
            <w:u w:val="single" w:color="0000FF"/>
          </w:rPr>
          <w:t>36</w:t>
        </w:r>
        <w:r>
          <w:rPr>
            <w:color w:val="0000FF"/>
            <w:spacing w:val="-2"/>
            <w:u w:val="single" w:color="0000FF"/>
          </w:rPr>
          <w:t> </w:t>
        </w:r>
        <w:r>
          <w:rPr>
            <w:color w:val="0000FF"/>
            <w:u w:val="single" w:color="0000FF"/>
          </w:rPr>
          <w:t>CFR</w:t>
        </w:r>
        <w:r>
          <w:rPr>
            <w:color w:val="0000FF"/>
            <w:spacing w:val="-2"/>
            <w:u w:val="single" w:color="0000FF"/>
          </w:rPr>
          <w:t> </w:t>
        </w:r>
        <w:r>
          <w:rPr>
            <w:color w:val="0000FF"/>
            <w:u w:val="single" w:color="0000FF"/>
          </w:rPr>
          <w:t>701.6</w:t>
        </w:r>
      </w:hyperlink>
      <w:r>
        <w:rPr>
          <w:color w:val="0000FF"/>
          <w:spacing w:val="62"/>
          <w:u w:val="none"/>
        </w:rPr>
        <w:t> </w:t>
      </w:r>
      <w:r>
        <w:rPr>
          <w:u w:val="none"/>
        </w:rPr>
        <w:t>See</w:t>
      </w:r>
      <w:r>
        <w:rPr>
          <w:spacing w:val="-2"/>
          <w:u w:val="none"/>
        </w:rPr>
        <w:t> </w:t>
      </w:r>
      <w:r>
        <w:rPr>
          <w:u w:val="none"/>
        </w:rPr>
        <w:t>701.6(b)(2)(i)</w:t>
      </w:r>
      <w:r>
        <w:rPr>
          <w:spacing w:val="-1"/>
          <w:u w:val="none"/>
        </w:rPr>
        <w:t> </w:t>
      </w:r>
      <w:r>
        <w:rPr>
          <w:u w:val="none"/>
        </w:rPr>
        <w:t>and</w:t>
      </w:r>
      <w:r>
        <w:rPr>
          <w:spacing w:val="-2"/>
          <w:u w:val="none"/>
        </w:rPr>
        <w:t> </w:t>
      </w:r>
      <w:r>
        <w:rPr>
          <w:spacing w:val="-4"/>
          <w:u w:val="none"/>
        </w:rPr>
        <w:t>(ii).</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8-1-96</w:t>
      </w:r>
      <w:r>
        <w:rPr>
          <w:sz w:val="22"/>
        </w:rPr>
        <w:tab/>
        <w:t>PT Memo #97-2</w:t>
      </w:r>
    </w:p>
    <w:p>
      <w:pPr>
        <w:spacing w:before="1"/>
        <w:ind w:left="1439" w:right="0" w:firstLine="0"/>
        <w:jc w:val="left"/>
        <w:rPr>
          <w:sz w:val="22"/>
        </w:rPr>
      </w:pPr>
      <w:r>
        <w:rPr>
          <w:sz w:val="22"/>
        </w:rPr>
        <w:t>Permanent,</w:t>
      </w:r>
      <w:r>
        <w:rPr>
          <w:spacing w:val="-7"/>
          <w:sz w:val="22"/>
        </w:rPr>
        <w:t> </w:t>
      </w:r>
      <w:r>
        <w:rPr>
          <w:sz w:val="22"/>
        </w:rPr>
        <w:t>added</w:t>
      </w:r>
      <w:r>
        <w:rPr>
          <w:spacing w:val="-7"/>
          <w:sz w:val="22"/>
        </w:rPr>
        <w:t> </w:t>
      </w:r>
      <w:r>
        <w:rPr>
          <w:sz w:val="22"/>
        </w:rPr>
        <w:t>Doctor</w:t>
      </w:r>
      <w:r>
        <w:rPr>
          <w:spacing w:val="-7"/>
          <w:sz w:val="22"/>
        </w:rPr>
        <w:t> </w:t>
      </w:r>
      <w:r>
        <w:rPr>
          <w:sz w:val="22"/>
        </w:rPr>
        <w:t>of</w:t>
      </w:r>
      <w:r>
        <w:rPr>
          <w:spacing w:val="-7"/>
          <w:sz w:val="22"/>
        </w:rPr>
        <w:t> </w:t>
      </w:r>
      <w:r>
        <w:rPr>
          <w:sz w:val="22"/>
        </w:rPr>
        <w:t>Osteopathy</w:t>
      </w:r>
      <w:r>
        <w:rPr>
          <w:spacing w:val="-7"/>
          <w:sz w:val="22"/>
        </w:rPr>
        <w:t> </w:t>
      </w:r>
      <w:r>
        <w:rPr>
          <w:sz w:val="22"/>
        </w:rPr>
        <w:t>as</w:t>
      </w:r>
      <w:r>
        <w:rPr>
          <w:spacing w:val="-7"/>
          <w:sz w:val="22"/>
        </w:rPr>
        <w:t> </w:t>
      </w:r>
      <w:r>
        <w:rPr>
          <w:sz w:val="22"/>
        </w:rPr>
        <w:t>authority</w:t>
      </w:r>
      <w:r>
        <w:rPr>
          <w:spacing w:val="-7"/>
          <w:sz w:val="22"/>
        </w:rPr>
        <w:t> </w:t>
      </w:r>
      <w:r>
        <w:rPr>
          <w:sz w:val="22"/>
        </w:rPr>
        <w:t>to</w:t>
      </w:r>
      <w:r>
        <w:rPr>
          <w:spacing w:val="-7"/>
          <w:sz w:val="22"/>
        </w:rPr>
        <w:t> </w:t>
      </w:r>
      <w:r>
        <w:rPr>
          <w:sz w:val="22"/>
        </w:rPr>
        <w:t>certify</w:t>
      </w:r>
      <w:r>
        <w:rPr>
          <w:spacing w:val="-7"/>
          <w:sz w:val="22"/>
        </w:rPr>
        <w:t> </w:t>
      </w:r>
      <w:r>
        <w:rPr>
          <w:sz w:val="22"/>
        </w:rPr>
        <w:t>reading</w:t>
      </w:r>
      <w:r>
        <w:rPr>
          <w:spacing w:val="-7"/>
          <w:sz w:val="22"/>
        </w:rPr>
        <w:t> </w:t>
      </w:r>
      <w:r>
        <w:rPr>
          <w:spacing w:val="-2"/>
          <w:sz w:val="22"/>
        </w:rPr>
        <w:t>disability.</w:t>
      </w:r>
    </w:p>
    <w:p>
      <w:pPr>
        <w:pStyle w:val="ListParagraph"/>
        <w:numPr>
          <w:ilvl w:val="2"/>
          <w:numId w:val="313"/>
        </w:numPr>
        <w:tabs>
          <w:tab w:pos="1439" w:val="left" w:leader="none"/>
        </w:tabs>
        <w:spacing w:line="253" w:lineRule="exact"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before="0"/>
        <w:ind w:left="1439" w:right="775" w:firstLine="0"/>
        <w:jc w:val="left"/>
        <w:rPr>
          <w:sz w:val="22"/>
        </w:rPr>
      </w:pPr>
      <w:r>
        <w:rPr>
          <w:sz w:val="22"/>
        </w:rPr>
        <w:t>Permanent,</w:t>
      </w:r>
      <w:r>
        <w:rPr>
          <w:spacing w:val="-3"/>
          <w:sz w:val="22"/>
        </w:rPr>
        <w:t> </w:t>
      </w:r>
      <w:r>
        <w:rPr>
          <w:sz w:val="22"/>
        </w:rPr>
        <w:t>revised</w:t>
      </w:r>
      <w:r>
        <w:rPr>
          <w:spacing w:val="-4"/>
          <w:sz w:val="22"/>
        </w:rPr>
        <w:t> </w:t>
      </w:r>
      <w:r>
        <w:rPr>
          <w:sz w:val="22"/>
        </w:rPr>
        <w:t>definition</w:t>
      </w:r>
      <w:r>
        <w:rPr>
          <w:spacing w:val="-4"/>
          <w:sz w:val="22"/>
        </w:rPr>
        <w:t> </w:t>
      </w:r>
      <w:r>
        <w:rPr>
          <w:sz w:val="22"/>
        </w:rPr>
        <w:t>of</w:t>
      </w:r>
      <w:r>
        <w:rPr>
          <w:spacing w:val="-4"/>
          <w:sz w:val="22"/>
        </w:rPr>
        <w:t> </w:t>
      </w:r>
      <w:r>
        <w:rPr>
          <w:sz w:val="22"/>
        </w:rPr>
        <w:t>competent</w:t>
      </w:r>
      <w:r>
        <w:rPr>
          <w:spacing w:val="-4"/>
          <w:sz w:val="22"/>
        </w:rPr>
        <w:t> </w:t>
      </w:r>
      <w:r>
        <w:rPr>
          <w:sz w:val="22"/>
        </w:rPr>
        <w:t>authority.</w:t>
      </w:r>
      <w:r>
        <w:rPr>
          <w:spacing w:val="40"/>
          <w:sz w:val="22"/>
        </w:rPr>
        <w:t> </w:t>
      </w:r>
      <w:r>
        <w:rPr>
          <w:sz w:val="22"/>
        </w:rPr>
        <w:t>Updated</w:t>
      </w:r>
      <w:r>
        <w:rPr>
          <w:spacing w:val="-4"/>
          <w:sz w:val="22"/>
        </w:rPr>
        <w:t> </w:t>
      </w:r>
      <w:r>
        <w:rPr>
          <w:sz w:val="22"/>
        </w:rPr>
        <w:t>cite</w:t>
      </w:r>
      <w:r>
        <w:rPr>
          <w:spacing w:val="-4"/>
          <w:sz w:val="22"/>
        </w:rPr>
        <w:t> </w:t>
      </w:r>
      <w:r>
        <w:rPr>
          <w:sz w:val="22"/>
        </w:rPr>
        <w:t>reference</w:t>
      </w:r>
      <w:r>
        <w:rPr>
          <w:spacing w:val="-4"/>
          <w:sz w:val="22"/>
        </w:rPr>
        <w:t> </w:t>
      </w:r>
      <w:r>
        <w:rPr>
          <w:sz w:val="22"/>
        </w:rPr>
        <w:t>to</w:t>
      </w:r>
      <w:r>
        <w:rPr>
          <w:spacing w:val="-4"/>
          <w:sz w:val="22"/>
        </w:rPr>
        <w:t> </w:t>
      </w:r>
      <w:r>
        <w:rPr>
          <w:sz w:val="22"/>
        </w:rPr>
        <w:t>July 2010 in ITS</w:t>
      </w:r>
    </w:p>
    <w:p>
      <w:pPr>
        <w:spacing w:after="0"/>
        <w:jc w:val="left"/>
        <w:rPr>
          <w:sz w:val="22"/>
        </w:rPr>
        <w:sectPr>
          <w:pgSz w:w="12240" w:h="15840"/>
          <w:pgMar w:top="1340" w:bottom="280" w:left="1080" w:right="720"/>
        </w:sectPr>
      </w:pPr>
    </w:p>
    <w:p>
      <w:pPr>
        <w:pStyle w:val="Heading2"/>
      </w:pPr>
      <w:bookmarkStart w:name="612:15-1-3.  Library functions and legal" w:id="305"/>
      <w:bookmarkEnd w:id="305"/>
      <w:r>
        <w:rPr>
          <w:b w:val="0"/>
        </w:rPr>
      </w:r>
      <w:r>
        <w:rPr/>
        <w:t>612:15-1-3.</w:t>
      </w:r>
      <w:r>
        <w:rPr>
          <w:spacing w:val="59"/>
        </w:rPr>
        <w:t> </w:t>
      </w:r>
      <w:r>
        <w:rPr/>
        <w:t>Library</w:t>
      </w:r>
      <w:r>
        <w:rPr>
          <w:spacing w:val="-3"/>
        </w:rPr>
        <w:t> </w:t>
      </w:r>
      <w:r>
        <w:rPr/>
        <w:t>functions</w:t>
      </w:r>
      <w:r>
        <w:rPr>
          <w:spacing w:val="-4"/>
        </w:rPr>
        <w:t> </w:t>
      </w:r>
      <w:r>
        <w:rPr/>
        <w:t>and</w:t>
      </w:r>
      <w:r>
        <w:rPr>
          <w:spacing w:val="-4"/>
        </w:rPr>
        <w:t> </w:t>
      </w:r>
      <w:r>
        <w:rPr/>
        <w:t>legal</w:t>
      </w:r>
      <w:r>
        <w:rPr>
          <w:spacing w:val="-2"/>
        </w:rPr>
        <w:t> </w:t>
      </w:r>
      <w:r>
        <w:rPr>
          <w:spacing w:val="-4"/>
        </w:rPr>
        <w:t>basis</w:t>
      </w:r>
    </w:p>
    <w:p>
      <w:pPr>
        <w:pStyle w:val="ListParagraph"/>
        <w:numPr>
          <w:ilvl w:val="0"/>
          <w:numId w:val="314"/>
        </w:numPr>
        <w:tabs>
          <w:tab w:pos="786" w:val="left" w:leader="none"/>
        </w:tabs>
        <w:spacing w:line="208" w:lineRule="auto" w:before="233" w:after="0"/>
        <w:ind w:left="360" w:right="727" w:firstLine="0"/>
        <w:jc w:val="left"/>
        <w:rPr>
          <w:sz w:val="24"/>
        </w:rPr>
      </w:pPr>
      <w:r>
        <w:rPr>
          <w:sz w:val="24"/>
        </w:rPr>
        <w:t>The</w:t>
      </w:r>
      <w:r>
        <w:rPr>
          <w:spacing w:val="-5"/>
          <w:sz w:val="24"/>
        </w:rPr>
        <w:t> </w:t>
      </w:r>
      <w:r>
        <w:rPr>
          <w:sz w:val="24"/>
        </w:rPr>
        <w:t>Oklahoma</w:t>
      </w:r>
      <w:r>
        <w:rPr>
          <w:spacing w:val="-4"/>
          <w:sz w:val="24"/>
        </w:rPr>
        <w:t> </w:t>
      </w:r>
      <w:r>
        <w:rPr>
          <w:sz w:val="24"/>
        </w:rPr>
        <w:t>Library</w:t>
      </w:r>
      <w:r>
        <w:rPr>
          <w:spacing w:val="-4"/>
          <w:sz w:val="24"/>
        </w:rPr>
        <w:t> </w:t>
      </w:r>
      <w:r>
        <w:rPr>
          <w:sz w:val="24"/>
        </w:rPr>
        <w:t>for</w:t>
      </w:r>
      <w:r>
        <w:rPr>
          <w:spacing w:val="-3"/>
          <w:sz w:val="24"/>
        </w:rPr>
        <w:t> </w:t>
      </w:r>
      <w:r>
        <w:rPr>
          <w:sz w:val="24"/>
        </w:rPr>
        <w:t>the</w:t>
      </w:r>
      <w:r>
        <w:rPr>
          <w:spacing w:val="-5"/>
          <w:sz w:val="24"/>
        </w:rPr>
        <w:t> </w:t>
      </w:r>
      <w:r>
        <w:rPr>
          <w:sz w:val="24"/>
        </w:rPr>
        <w:t>Blind</w:t>
      </w:r>
      <w:r>
        <w:rPr>
          <w:spacing w:val="-4"/>
          <w:sz w:val="24"/>
        </w:rPr>
        <w:t> </w:t>
      </w:r>
      <w:r>
        <w:rPr>
          <w:sz w:val="24"/>
        </w:rPr>
        <w:t>and</w:t>
      </w:r>
      <w:r>
        <w:rPr>
          <w:spacing w:val="-4"/>
          <w:sz w:val="24"/>
        </w:rPr>
        <w:t> </w:t>
      </w:r>
      <w:r>
        <w:rPr>
          <w:sz w:val="24"/>
        </w:rPr>
        <w:t>Physically</w:t>
      </w:r>
      <w:r>
        <w:rPr>
          <w:spacing w:val="-4"/>
          <w:sz w:val="24"/>
        </w:rPr>
        <w:t> </w:t>
      </w:r>
      <w:r>
        <w:rPr>
          <w:sz w:val="24"/>
        </w:rPr>
        <w:t>Handicapped</w:t>
      </w:r>
      <w:r>
        <w:rPr>
          <w:spacing w:val="-4"/>
          <w:sz w:val="24"/>
        </w:rPr>
        <w:t> </w:t>
      </w:r>
      <w:r>
        <w:rPr>
          <w:sz w:val="24"/>
        </w:rPr>
        <w:t>(OLBPH),</w:t>
      </w:r>
      <w:r>
        <w:rPr>
          <w:spacing w:val="-3"/>
          <w:sz w:val="24"/>
        </w:rPr>
        <w:t> </w:t>
      </w:r>
      <w:r>
        <w:rPr>
          <w:sz w:val="24"/>
        </w:rPr>
        <w:t>operated by the Division of Services for the Blind and Visually Impaired within the Department of Rehabilitation Services, </w:t>
      </w:r>
      <w:r>
        <w:rPr>
          <w:b/>
          <w:sz w:val="24"/>
        </w:rPr>
        <w:t>1 </w:t>
      </w:r>
      <w:r>
        <w:rPr>
          <w:sz w:val="24"/>
        </w:rPr>
        <w:t>is the regional library for Oklahoma as part of the national network of libraries of the Library of Congress National Library Service (NLS) for the Blind and Physically Handicapped.</w:t>
      </w:r>
    </w:p>
    <w:p>
      <w:pPr>
        <w:pStyle w:val="ListParagraph"/>
        <w:numPr>
          <w:ilvl w:val="0"/>
          <w:numId w:val="314"/>
        </w:numPr>
        <w:tabs>
          <w:tab w:pos="785" w:val="left" w:leader="none"/>
        </w:tabs>
        <w:spacing w:line="208" w:lineRule="auto" w:before="239" w:after="0"/>
        <w:ind w:left="360" w:right="726" w:firstLine="0"/>
        <w:jc w:val="left"/>
        <w:rPr>
          <w:sz w:val="24"/>
        </w:rPr>
      </w:pPr>
      <w:r>
        <w:rPr>
          <w:sz w:val="24"/>
        </w:rPr>
        <w:t>On March 3, 1931, the Pratt-Smoot bill authorized the Library of Congress to arrange with other libraries to serve as local or regional centers to circulate books to blind</w:t>
      </w:r>
      <w:r>
        <w:rPr>
          <w:spacing w:val="-3"/>
          <w:sz w:val="24"/>
        </w:rPr>
        <w:t> </w:t>
      </w:r>
      <w:r>
        <w:rPr>
          <w:sz w:val="24"/>
        </w:rPr>
        <w:t>or</w:t>
      </w:r>
      <w:r>
        <w:rPr>
          <w:spacing w:val="-2"/>
          <w:sz w:val="24"/>
        </w:rPr>
        <w:t> </w:t>
      </w:r>
      <w:r>
        <w:rPr>
          <w:sz w:val="24"/>
        </w:rPr>
        <w:t>visually-impaired</w:t>
      </w:r>
      <w:r>
        <w:rPr>
          <w:spacing w:val="-3"/>
          <w:sz w:val="24"/>
        </w:rPr>
        <w:t> </w:t>
      </w:r>
      <w:r>
        <w:rPr>
          <w:sz w:val="24"/>
        </w:rPr>
        <w:t>users.</w:t>
      </w:r>
      <w:r>
        <w:rPr>
          <w:spacing w:val="40"/>
          <w:sz w:val="24"/>
        </w:rPr>
        <w:t> </w:t>
      </w:r>
      <w:r>
        <w:rPr>
          <w:sz w:val="24"/>
        </w:rPr>
        <w:t>By</w:t>
      </w:r>
      <w:r>
        <w:rPr>
          <w:spacing w:val="-3"/>
          <w:sz w:val="24"/>
        </w:rPr>
        <w:t> </w:t>
      </w:r>
      <w:r>
        <w:rPr>
          <w:sz w:val="24"/>
        </w:rPr>
        <w:t>the</w:t>
      </w:r>
      <w:r>
        <w:rPr>
          <w:spacing w:val="-3"/>
          <w:sz w:val="24"/>
        </w:rPr>
        <w:t> </w:t>
      </w:r>
      <w:r>
        <w:rPr>
          <w:sz w:val="24"/>
        </w:rPr>
        <w:t>end</w:t>
      </w:r>
      <w:r>
        <w:rPr>
          <w:spacing w:val="-3"/>
          <w:sz w:val="24"/>
        </w:rPr>
        <w:t> </w:t>
      </w:r>
      <w:r>
        <w:rPr>
          <w:sz w:val="24"/>
        </w:rPr>
        <w:t>of</w:t>
      </w:r>
      <w:r>
        <w:rPr>
          <w:spacing w:val="-2"/>
          <w:sz w:val="24"/>
        </w:rPr>
        <w:t> </w:t>
      </w:r>
      <w:r>
        <w:rPr>
          <w:sz w:val="24"/>
        </w:rPr>
        <w:t>fiscal</w:t>
      </w:r>
      <w:r>
        <w:rPr>
          <w:spacing w:val="-3"/>
          <w:sz w:val="24"/>
        </w:rPr>
        <w:t> </w:t>
      </w:r>
      <w:r>
        <w:rPr>
          <w:sz w:val="24"/>
        </w:rPr>
        <w:t>1966,</w:t>
      </w:r>
      <w:r>
        <w:rPr>
          <w:spacing w:val="-2"/>
          <w:sz w:val="24"/>
        </w:rPr>
        <w:t> </w:t>
      </w:r>
      <w:r>
        <w:rPr>
          <w:sz w:val="24"/>
        </w:rPr>
        <w:t>Congress</w:t>
      </w:r>
      <w:r>
        <w:rPr>
          <w:spacing w:val="-3"/>
          <w:sz w:val="24"/>
        </w:rPr>
        <w:t> </w:t>
      </w:r>
      <w:r>
        <w:rPr>
          <w:sz w:val="24"/>
        </w:rPr>
        <w:t>passed</w:t>
      </w:r>
      <w:r>
        <w:rPr>
          <w:spacing w:val="-3"/>
          <w:sz w:val="24"/>
        </w:rPr>
        <w:t> </w:t>
      </w:r>
      <w:r>
        <w:rPr>
          <w:sz w:val="24"/>
        </w:rPr>
        <w:t>Public</w:t>
      </w:r>
      <w:r>
        <w:rPr>
          <w:spacing w:val="-3"/>
          <w:sz w:val="24"/>
        </w:rPr>
        <w:t> </w:t>
      </w:r>
      <w:r>
        <w:rPr>
          <w:sz w:val="24"/>
        </w:rPr>
        <w:t>Law 89-522</w:t>
      </w:r>
      <w:r>
        <w:rPr>
          <w:spacing w:val="-2"/>
          <w:sz w:val="24"/>
        </w:rPr>
        <w:t> </w:t>
      </w:r>
      <w:r>
        <w:rPr>
          <w:sz w:val="24"/>
        </w:rPr>
        <w:t>extending</w:t>
      </w:r>
      <w:r>
        <w:rPr>
          <w:spacing w:val="-2"/>
          <w:sz w:val="24"/>
        </w:rPr>
        <w:t> </w:t>
      </w:r>
      <w:r>
        <w:rPr>
          <w:sz w:val="24"/>
        </w:rPr>
        <w:t>the</w:t>
      </w:r>
      <w:r>
        <w:rPr>
          <w:spacing w:val="-2"/>
          <w:sz w:val="24"/>
        </w:rPr>
        <w:t> </w:t>
      </w:r>
      <w:r>
        <w:rPr>
          <w:sz w:val="24"/>
        </w:rPr>
        <w:t>service</w:t>
      </w:r>
      <w:r>
        <w:rPr>
          <w:spacing w:val="-2"/>
          <w:sz w:val="24"/>
        </w:rPr>
        <w:t> </w:t>
      </w:r>
      <w:r>
        <w:rPr>
          <w:sz w:val="24"/>
        </w:rPr>
        <w:t>to</w:t>
      </w:r>
      <w:r>
        <w:rPr>
          <w:spacing w:val="-2"/>
          <w:sz w:val="24"/>
        </w:rPr>
        <w:t> </w:t>
      </w:r>
      <w:r>
        <w:rPr>
          <w:sz w:val="24"/>
        </w:rPr>
        <w:t>library</w:t>
      </w:r>
      <w:r>
        <w:rPr>
          <w:spacing w:val="-2"/>
          <w:sz w:val="24"/>
        </w:rPr>
        <w:t> </w:t>
      </w:r>
      <w:r>
        <w:rPr>
          <w:sz w:val="24"/>
        </w:rPr>
        <w:t>users</w:t>
      </w:r>
      <w:r>
        <w:rPr>
          <w:spacing w:val="-3"/>
          <w:sz w:val="24"/>
        </w:rPr>
        <w:t> </w:t>
      </w:r>
      <w:r>
        <w:rPr>
          <w:sz w:val="24"/>
        </w:rPr>
        <w:t>who</w:t>
      </w:r>
      <w:r>
        <w:rPr>
          <w:spacing w:val="-2"/>
          <w:sz w:val="24"/>
        </w:rPr>
        <w:t> </w:t>
      </w:r>
      <w:r>
        <w:rPr>
          <w:sz w:val="24"/>
        </w:rPr>
        <w:t>could</w:t>
      </w:r>
      <w:r>
        <w:rPr>
          <w:spacing w:val="-1"/>
          <w:sz w:val="24"/>
        </w:rPr>
        <w:t> </w:t>
      </w:r>
      <w:r>
        <w:rPr>
          <w:sz w:val="24"/>
        </w:rPr>
        <w:t>not</w:t>
      </w:r>
      <w:r>
        <w:rPr>
          <w:spacing w:val="-1"/>
          <w:sz w:val="24"/>
        </w:rPr>
        <w:t> </w:t>
      </w:r>
      <w:r>
        <w:rPr>
          <w:sz w:val="24"/>
        </w:rPr>
        <w:t>read</w:t>
      </w:r>
      <w:r>
        <w:rPr>
          <w:spacing w:val="-2"/>
          <w:sz w:val="24"/>
        </w:rPr>
        <w:t> </w:t>
      </w:r>
      <w:r>
        <w:rPr>
          <w:sz w:val="24"/>
        </w:rPr>
        <w:t>standard</w:t>
      </w:r>
      <w:r>
        <w:rPr>
          <w:spacing w:val="-2"/>
          <w:sz w:val="24"/>
        </w:rPr>
        <w:t> </w:t>
      </w:r>
      <w:r>
        <w:rPr>
          <w:sz w:val="24"/>
        </w:rPr>
        <w:t>print</w:t>
      </w:r>
      <w:r>
        <w:rPr>
          <w:spacing w:val="-1"/>
          <w:sz w:val="24"/>
        </w:rPr>
        <w:t> </w:t>
      </w:r>
      <w:r>
        <w:rPr>
          <w:sz w:val="24"/>
        </w:rPr>
        <w:t>because of physical disability, which can include certain reading disabilities.</w:t>
      </w:r>
      <w:r>
        <w:rPr>
          <w:spacing w:val="40"/>
          <w:sz w:val="24"/>
        </w:rPr>
        <w:t> </w:t>
      </w:r>
      <w:r>
        <w:rPr>
          <w:sz w:val="24"/>
        </w:rPr>
        <w:t>State law (7 O.S. Section 8 and 74 O.S. 166.4(B)(3)(b) and 166.5) establish that the Section of Services to the Blind (Services for the Blind and Visually Impaired) of the Commission for Rehabilitation Services has the authority and duty to provide special library services to blind and visually impaired citizens.</w:t>
      </w:r>
    </w:p>
    <w:p>
      <w:pPr>
        <w:pStyle w:val="ListParagraph"/>
        <w:numPr>
          <w:ilvl w:val="0"/>
          <w:numId w:val="314"/>
        </w:numPr>
        <w:tabs>
          <w:tab w:pos="773" w:val="left" w:leader="none"/>
        </w:tabs>
        <w:spacing w:line="240" w:lineRule="auto" w:before="210" w:after="0"/>
        <w:ind w:left="773" w:right="0" w:hanging="413"/>
        <w:jc w:val="left"/>
        <w:rPr>
          <w:sz w:val="24"/>
        </w:rPr>
      </w:pPr>
      <w:r>
        <w:rPr>
          <w:sz w:val="24"/>
        </w:rPr>
        <w:t>Functions</w:t>
      </w:r>
      <w:r>
        <w:rPr>
          <w:spacing w:val="-3"/>
          <w:sz w:val="24"/>
        </w:rPr>
        <w:t> </w:t>
      </w:r>
      <w:r>
        <w:rPr>
          <w:sz w:val="24"/>
        </w:rPr>
        <w:t>of</w:t>
      </w:r>
      <w:r>
        <w:rPr>
          <w:spacing w:val="-2"/>
          <w:sz w:val="24"/>
        </w:rPr>
        <w:t> </w:t>
      </w:r>
      <w:r>
        <w:rPr>
          <w:sz w:val="24"/>
        </w:rPr>
        <w:t>the</w:t>
      </w:r>
      <w:r>
        <w:rPr>
          <w:spacing w:val="-3"/>
          <w:sz w:val="24"/>
        </w:rPr>
        <w:t> </w:t>
      </w:r>
      <w:r>
        <w:rPr>
          <w:sz w:val="24"/>
        </w:rPr>
        <w:t>Library</w:t>
      </w:r>
      <w:r>
        <w:rPr>
          <w:spacing w:val="-3"/>
          <w:sz w:val="24"/>
        </w:rPr>
        <w:t> </w:t>
      </w:r>
      <w:r>
        <w:rPr>
          <w:sz w:val="24"/>
        </w:rPr>
        <w:t>include</w:t>
      </w:r>
      <w:r>
        <w:rPr>
          <w:spacing w:val="-3"/>
          <w:sz w:val="24"/>
        </w:rPr>
        <w:t> </w:t>
      </w:r>
      <w:r>
        <w:rPr>
          <w:sz w:val="24"/>
        </w:rPr>
        <w:t>but</w:t>
      </w:r>
      <w:r>
        <w:rPr>
          <w:spacing w:val="-2"/>
          <w:sz w:val="24"/>
        </w:rPr>
        <w:t> </w:t>
      </w:r>
      <w:r>
        <w:rPr>
          <w:sz w:val="24"/>
        </w:rPr>
        <w:t>are</w:t>
      </w:r>
      <w:r>
        <w:rPr>
          <w:spacing w:val="-4"/>
          <w:sz w:val="24"/>
        </w:rPr>
        <w:t> </w:t>
      </w:r>
      <w:r>
        <w:rPr>
          <w:sz w:val="24"/>
        </w:rPr>
        <w:t>not</w:t>
      </w:r>
      <w:r>
        <w:rPr>
          <w:spacing w:val="-2"/>
          <w:sz w:val="24"/>
        </w:rPr>
        <w:t> </w:t>
      </w:r>
      <w:r>
        <w:rPr>
          <w:sz w:val="24"/>
        </w:rPr>
        <w:t>limited</w:t>
      </w:r>
      <w:r>
        <w:rPr>
          <w:spacing w:val="-2"/>
          <w:sz w:val="24"/>
        </w:rPr>
        <w:t> </w:t>
      </w:r>
      <w:r>
        <w:rPr>
          <w:spacing w:val="-5"/>
          <w:sz w:val="24"/>
        </w:rPr>
        <w:t>to:</w:t>
      </w:r>
    </w:p>
    <w:p>
      <w:pPr>
        <w:pStyle w:val="ListParagraph"/>
        <w:numPr>
          <w:ilvl w:val="1"/>
          <w:numId w:val="314"/>
        </w:numPr>
        <w:tabs>
          <w:tab w:pos="1218" w:val="left" w:leader="none"/>
        </w:tabs>
        <w:spacing w:line="208" w:lineRule="auto" w:before="234" w:after="0"/>
        <w:ind w:left="792" w:right="1242" w:firstLine="0"/>
        <w:jc w:val="left"/>
        <w:rPr>
          <w:sz w:val="24"/>
        </w:rPr>
      </w:pPr>
      <w:r>
        <w:rPr>
          <w:sz w:val="24"/>
        </w:rPr>
        <w:t>Loan of books and periodicals in accessible formats for eligible adults and children</w:t>
      </w:r>
      <w:r>
        <w:rPr>
          <w:spacing w:val="-4"/>
          <w:sz w:val="24"/>
        </w:rPr>
        <w:t> </w:t>
      </w:r>
      <w:r>
        <w:rPr>
          <w:sz w:val="24"/>
        </w:rPr>
        <w:t>with</w:t>
      </w:r>
      <w:r>
        <w:rPr>
          <w:spacing w:val="-4"/>
          <w:sz w:val="24"/>
        </w:rPr>
        <w:t> </w:t>
      </w:r>
      <w:r>
        <w:rPr>
          <w:sz w:val="24"/>
        </w:rPr>
        <w:t>visual,</w:t>
      </w:r>
      <w:r>
        <w:rPr>
          <w:spacing w:val="-3"/>
          <w:sz w:val="24"/>
        </w:rPr>
        <w:t> </w:t>
      </w:r>
      <w:r>
        <w:rPr>
          <w:sz w:val="24"/>
        </w:rPr>
        <w:t>physical</w:t>
      </w:r>
      <w:r>
        <w:rPr>
          <w:spacing w:val="-4"/>
          <w:sz w:val="24"/>
        </w:rPr>
        <w:t> </w:t>
      </w:r>
      <w:r>
        <w:rPr>
          <w:sz w:val="24"/>
        </w:rPr>
        <w:t>or</w:t>
      </w:r>
      <w:r>
        <w:rPr>
          <w:spacing w:val="-3"/>
          <w:sz w:val="24"/>
        </w:rPr>
        <w:t> </w:t>
      </w:r>
      <w:r>
        <w:rPr>
          <w:sz w:val="24"/>
        </w:rPr>
        <w:t>learning</w:t>
      </w:r>
      <w:r>
        <w:rPr>
          <w:spacing w:val="-4"/>
          <w:sz w:val="24"/>
        </w:rPr>
        <w:t> </w:t>
      </w:r>
      <w:r>
        <w:rPr>
          <w:sz w:val="24"/>
        </w:rPr>
        <w:t>disabilities</w:t>
      </w:r>
      <w:r>
        <w:rPr>
          <w:spacing w:val="-4"/>
          <w:sz w:val="24"/>
        </w:rPr>
        <w:t> </w:t>
      </w:r>
      <w:r>
        <w:rPr>
          <w:sz w:val="24"/>
        </w:rPr>
        <w:t>that</w:t>
      </w:r>
      <w:r>
        <w:rPr>
          <w:spacing w:val="-5"/>
          <w:sz w:val="24"/>
        </w:rPr>
        <w:t> </w:t>
      </w:r>
      <w:r>
        <w:rPr>
          <w:sz w:val="24"/>
        </w:rPr>
        <w:t>prevent</w:t>
      </w:r>
      <w:r>
        <w:rPr>
          <w:spacing w:val="-3"/>
          <w:sz w:val="24"/>
        </w:rPr>
        <w:t> </w:t>
      </w:r>
      <w:r>
        <w:rPr>
          <w:sz w:val="24"/>
        </w:rPr>
        <w:t>effective</w:t>
      </w:r>
      <w:r>
        <w:rPr>
          <w:spacing w:val="-4"/>
          <w:sz w:val="24"/>
        </w:rPr>
        <w:t> </w:t>
      </w:r>
      <w:r>
        <w:rPr>
          <w:sz w:val="24"/>
        </w:rPr>
        <w:t>use</w:t>
      </w:r>
      <w:r>
        <w:rPr>
          <w:spacing w:val="-4"/>
          <w:sz w:val="24"/>
        </w:rPr>
        <w:t> </w:t>
      </w:r>
      <w:r>
        <w:rPr>
          <w:sz w:val="24"/>
        </w:rPr>
        <w:t>of standard print materials;</w:t>
      </w:r>
    </w:p>
    <w:p>
      <w:pPr>
        <w:pStyle w:val="ListParagraph"/>
        <w:numPr>
          <w:ilvl w:val="1"/>
          <w:numId w:val="314"/>
        </w:numPr>
        <w:tabs>
          <w:tab w:pos="1218" w:val="left" w:leader="none"/>
        </w:tabs>
        <w:spacing w:line="208" w:lineRule="auto" w:before="239" w:after="0"/>
        <w:ind w:left="792" w:right="734" w:firstLine="0"/>
        <w:jc w:val="left"/>
        <w:rPr>
          <w:b/>
          <w:sz w:val="24"/>
        </w:rPr>
      </w:pPr>
      <w:r>
        <w:rPr>
          <w:sz w:val="24"/>
        </w:rPr>
        <w:t>Production of recorded and Braille materials on request and on a limited basis, subject to availability of resources.</w:t>
      </w:r>
      <w:r>
        <w:rPr>
          <w:spacing w:val="40"/>
          <w:sz w:val="24"/>
        </w:rPr>
        <w:t> </w:t>
      </w:r>
      <w:r>
        <w:rPr>
          <w:sz w:val="24"/>
        </w:rPr>
        <w:t>Fees may be established to cover the cost of production.</w:t>
      </w:r>
      <w:r>
        <w:rPr>
          <w:spacing w:val="40"/>
          <w:sz w:val="24"/>
        </w:rPr>
        <w:t> </w:t>
      </w:r>
      <w:r>
        <w:rPr>
          <w:sz w:val="24"/>
        </w:rPr>
        <w:t>Services</w:t>
      </w:r>
      <w:r>
        <w:rPr>
          <w:spacing w:val="-3"/>
          <w:sz w:val="24"/>
        </w:rPr>
        <w:t> </w:t>
      </w:r>
      <w:r>
        <w:rPr>
          <w:sz w:val="24"/>
        </w:rPr>
        <w:t>provided</w:t>
      </w:r>
      <w:r>
        <w:rPr>
          <w:spacing w:val="-3"/>
          <w:sz w:val="24"/>
        </w:rPr>
        <w:t> </w:t>
      </w:r>
      <w:r>
        <w:rPr>
          <w:sz w:val="24"/>
        </w:rPr>
        <w:t>by</w:t>
      </w:r>
      <w:r>
        <w:rPr>
          <w:spacing w:val="-3"/>
          <w:sz w:val="24"/>
        </w:rPr>
        <w:t> </w:t>
      </w:r>
      <w:r>
        <w:rPr>
          <w:sz w:val="24"/>
        </w:rPr>
        <w:t>OLBPH</w:t>
      </w:r>
      <w:r>
        <w:rPr>
          <w:spacing w:val="-3"/>
          <w:sz w:val="24"/>
        </w:rPr>
        <w:t> </w:t>
      </w:r>
      <w:r>
        <w:rPr>
          <w:sz w:val="24"/>
        </w:rPr>
        <w:t>as</w:t>
      </w:r>
      <w:r>
        <w:rPr>
          <w:spacing w:val="-3"/>
          <w:sz w:val="24"/>
        </w:rPr>
        <w:t> </w:t>
      </w:r>
      <w:r>
        <w:rPr>
          <w:sz w:val="24"/>
        </w:rPr>
        <w:t>part</w:t>
      </w:r>
      <w:r>
        <w:rPr>
          <w:spacing w:val="-2"/>
          <w:sz w:val="24"/>
        </w:rPr>
        <w:t> </w:t>
      </w:r>
      <w:r>
        <w:rPr>
          <w:sz w:val="24"/>
        </w:rPr>
        <w:t>of</w:t>
      </w:r>
      <w:r>
        <w:rPr>
          <w:spacing w:val="-4"/>
          <w:sz w:val="24"/>
        </w:rPr>
        <w:t> </w:t>
      </w:r>
      <w:r>
        <w:rPr>
          <w:sz w:val="24"/>
        </w:rPr>
        <w:t>the</w:t>
      </w:r>
      <w:r>
        <w:rPr>
          <w:spacing w:val="-3"/>
          <w:sz w:val="24"/>
        </w:rPr>
        <w:t> </w:t>
      </w:r>
      <w:r>
        <w:rPr>
          <w:sz w:val="24"/>
        </w:rPr>
        <w:t>National</w:t>
      </w:r>
      <w:r>
        <w:rPr>
          <w:spacing w:val="-3"/>
          <w:sz w:val="24"/>
        </w:rPr>
        <w:t> </w:t>
      </w:r>
      <w:r>
        <w:rPr>
          <w:sz w:val="24"/>
        </w:rPr>
        <w:t>Library</w:t>
      </w:r>
      <w:r>
        <w:rPr>
          <w:spacing w:val="-3"/>
          <w:sz w:val="24"/>
        </w:rPr>
        <w:t> </w:t>
      </w:r>
      <w:r>
        <w:rPr>
          <w:sz w:val="24"/>
        </w:rPr>
        <w:t>Service</w:t>
      </w:r>
      <w:r>
        <w:rPr>
          <w:spacing w:val="-3"/>
          <w:sz w:val="24"/>
        </w:rPr>
        <w:t> </w:t>
      </w:r>
      <w:r>
        <w:rPr>
          <w:sz w:val="24"/>
        </w:rPr>
        <w:t>will be given priority over requests for production of reading materials in alternate formats; </w:t>
      </w:r>
      <w:r>
        <w:rPr>
          <w:b/>
          <w:sz w:val="24"/>
        </w:rPr>
        <w:t>2</w:t>
      </w:r>
    </w:p>
    <w:p>
      <w:pPr>
        <w:pStyle w:val="ListParagraph"/>
        <w:numPr>
          <w:ilvl w:val="1"/>
          <w:numId w:val="314"/>
        </w:numPr>
        <w:tabs>
          <w:tab w:pos="1218" w:val="left" w:leader="none"/>
        </w:tabs>
        <w:spacing w:line="208" w:lineRule="auto" w:before="240" w:after="0"/>
        <w:ind w:left="792" w:right="815" w:firstLine="0"/>
        <w:jc w:val="left"/>
        <w:rPr>
          <w:sz w:val="24"/>
        </w:rPr>
      </w:pPr>
      <w:r>
        <w:rPr>
          <w:sz w:val="24"/>
        </w:rPr>
        <w:t>Acquisition, housing and circulation of Braille textbooks and other accessible instructional</w:t>
      </w:r>
      <w:r>
        <w:rPr>
          <w:spacing w:val="-4"/>
          <w:sz w:val="24"/>
        </w:rPr>
        <w:t> </w:t>
      </w:r>
      <w:r>
        <w:rPr>
          <w:sz w:val="24"/>
        </w:rPr>
        <w:t>materials</w:t>
      </w:r>
      <w:r>
        <w:rPr>
          <w:spacing w:val="-4"/>
          <w:sz w:val="24"/>
        </w:rPr>
        <w:t> </w:t>
      </w:r>
      <w:r>
        <w:rPr>
          <w:sz w:val="24"/>
        </w:rPr>
        <w:t>for</w:t>
      </w:r>
      <w:r>
        <w:rPr>
          <w:spacing w:val="-3"/>
          <w:sz w:val="24"/>
        </w:rPr>
        <w:t> </w:t>
      </w:r>
      <w:r>
        <w:rPr>
          <w:sz w:val="24"/>
        </w:rPr>
        <w:t>students</w:t>
      </w:r>
      <w:r>
        <w:rPr>
          <w:spacing w:val="-5"/>
          <w:sz w:val="24"/>
        </w:rPr>
        <w:t> </w:t>
      </w:r>
      <w:r>
        <w:rPr>
          <w:sz w:val="24"/>
        </w:rPr>
        <w:t>with</w:t>
      </w:r>
      <w:r>
        <w:rPr>
          <w:spacing w:val="-4"/>
          <w:sz w:val="24"/>
        </w:rPr>
        <w:t> </w:t>
      </w:r>
      <w:r>
        <w:rPr>
          <w:sz w:val="24"/>
        </w:rPr>
        <w:t>print</w:t>
      </w:r>
      <w:r>
        <w:rPr>
          <w:spacing w:val="-3"/>
          <w:sz w:val="24"/>
        </w:rPr>
        <w:t> </w:t>
      </w:r>
      <w:r>
        <w:rPr>
          <w:sz w:val="24"/>
        </w:rPr>
        <w:t>disabilities</w:t>
      </w:r>
      <w:r>
        <w:rPr>
          <w:spacing w:val="-4"/>
          <w:sz w:val="24"/>
        </w:rPr>
        <w:t> </w:t>
      </w:r>
      <w:r>
        <w:rPr>
          <w:sz w:val="24"/>
        </w:rPr>
        <w:t>in</w:t>
      </w:r>
      <w:r>
        <w:rPr>
          <w:spacing w:val="-3"/>
          <w:sz w:val="24"/>
        </w:rPr>
        <w:t> </w:t>
      </w:r>
      <w:r>
        <w:rPr>
          <w:sz w:val="24"/>
        </w:rPr>
        <w:t>grades</w:t>
      </w:r>
      <w:r>
        <w:rPr>
          <w:spacing w:val="-4"/>
          <w:sz w:val="24"/>
        </w:rPr>
        <w:t> </w:t>
      </w:r>
      <w:r>
        <w:rPr>
          <w:sz w:val="24"/>
        </w:rPr>
        <w:t>pre-K</w:t>
      </w:r>
      <w:r>
        <w:rPr>
          <w:spacing w:val="-4"/>
          <w:sz w:val="24"/>
        </w:rPr>
        <w:t> </w:t>
      </w:r>
      <w:r>
        <w:rPr>
          <w:sz w:val="24"/>
        </w:rPr>
        <w:t>through</w:t>
      </w:r>
      <w:r>
        <w:rPr>
          <w:spacing w:val="-5"/>
          <w:sz w:val="24"/>
        </w:rPr>
        <w:t> </w:t>
      </w:r>
      <w:r>
        <w:rPr>
          <w:sz w:val="24"/>
        </w:rPr>
        <w:t>12;</w:t>
      </w:r>
    </w:p>
    <w:p>
      <w:pPr>
        <w:pStyle w:val="ListParagraph"/>
        <w:numPr>
          <w:ilvl w:val="1"/>
          <w:numId w:val="314"/>
        </w:numPr>
        <w:tabs>
          <w:tab w:pos="1217" w:val="left" w:leader="none"/>
        </w:tabs>
        <w:spacing w:line="208" w:lineRule="auto" w:before="240" w:after="0"/>
        <w:ind w:left="792" w:right="1016" w:firstLine="0"/>
        <w:jc w:val="left"/>
        <w:rPr>
          <w:sz w:val="24"/>
        </w:rPr>
      </w:pPr>
      <w:r>
        <w:rPr>
          <w:sz w:val="24"/>
        </w:rPr>
        <w:t>Improving</w:t>
      </w:r>
      <w:r>
        <w:rPr>
          <w:spacing w:val="-4"/>
          <w:sz w:val="24"/>
        </w:rPr>
        <w:t> </w:t>
      </w:r>
      <w:r>
        <w:rPr>
          <w:sz w:val="24"/>
        </w:rPr>
        <w:t>access</w:t>
      </w:r>
      <w:r>
        <w:rPr>
          <w:spacing w:val="-4"/>
          <w:sz w:val="24"/>
        </w:rPr>
        <w:t> </w:t>
      </w:r>
      <w:r>
        <w:rPr>
          <w:sz w:val="24"/>
        </w:rPr>
        <w:t>to</w:t>
      </w:r>
      <w:r>
        <w:rPr>
          <w:spacing w:val="-4"/>
          <w:sz w:val="24"/>
        </w:rPr>
        <w:t> </w:t>
      </w:r>
      <w:r>
        <w:rPr>
          <w:sz w:val="24"/>
        </w:rPr>
        <w:t>print</w:t>
      </w:r>
      <w:r>
        <w:rPr>
          <w:spacing w:val="-3"/>
          <w:sz w:val="24"/>
        </w:rPr>
        <w:t> </w:t>
      </w:r>
      <w:r>
        <w:rPr>
          <w:sz w:val="24"/>
        </w:rPr>
        <w:t>information</w:t>
      </w:r>
      <w:r>
        <w:rPr>
          <w:spacing w:val="-4"/>
          <w:sz w:val="24"/>
        </w:rPr>
        <w:t> </w:t>
      </w:r>
      <w:r>
        <w:rPr>
          <w:sz w:val="24"/>
        </w:rPr>
        <w:t>for</w:t>
      </w:r>
      <w:r>
        <w:rPr>
          <w:spacing w:val="-5"/>
          <w:sz w:val="24"/>
        </w:rPr>
        <w:t> </w:t>
      </w:r>
      <w:r>
        <w:rPr>
          <w:sz w:val="24"/>
        </w:rPr>
        <w:t>Oklahomans</w:t>
      </w:r>
      <w:r>
        <w:rPr>
          <w:spacing w:val="-4"/>
          <w:sz w:val="24"/>
        </w:rPr>
        <w:t> </w:t>
      </w:r>
      <w:r>
        <w:rPr>
          <w:sz w:val="24"/>
        </w:rPr>
        <w:t>with</w:t>
      </w:r>
      <w:r>
        <w:rPr>
          <w:spacing w:val="-4"/>
          <w:sz w:val="24"/>
        </w:rPr>
        <w:t> </w:t>
      </w:r>
      <w:r>
        <w:rPr>
          <w:sz w:val="24"/>
        </w:rPr>
        <w:t>print</w:t>
      </w:r>
      <w:r>
        <w:rPr>
          <w:spacing w:val="-5"/>
          <w:sz w:val="24"/>
        </w:rPr>
        <w:t> </w:t>
      </w:r>
      <w:r>
        <w:rPr>
          <w:sz w:val="24"/>
        </w:rPr>
        <w:t>disabilities</w:t>
      </w:r>
      <w:r>
        <w:rPr>
          <w:spacing w:val="-4"/>
          <w:sz w:val="24"/>
        </w:rPr>
        <w:t> </w:t>
      </w:r>
      <w:r>
        <w:rPr>
          <w:sz w:val="24"/>
        </w:rPr>
        <w:t>by providing, through contract or directly, services that supply audio or electronic access to newspapers, books, works by Oklahoma authors, educational programming, local and state activities, and information on resources.</w:t>
      </w:r>
    </w:p>
    <w:p>
      <w:pPr>
        <w:pStyle w:val="ListParagraph"/>
        <w:numPr>
          <w:ilvl w:val="1"/>
          <w:numId w:val="314"/>
        </w:numPr>
        <w:tabs>
          <w:tab w:pos="1218" w:val="left" w:leader="none"/>
        </w:tabs>
        <w:spacing w:line="417" w:lineRule="auto" w:before="210" w:after="0"/>
        <w:ind w:left="360" w:right="2215" w:firstLine="432"/>
        <w:jc w:val="left"/>
        <w:rPr>
          <w:sz w:val="24"/>
        </w:rPr>
      </w:pPr>
      <w:r>
        <w:rPr>
          <w:sz w:val="24"/>
        </w:rPr>
        <w:t>Recruitment</w:t>
      </w:r>
      <w:r>
        <w:rPr>
          <w:spacing w:val="-4"/>
          <w:sz w:val="24"/>
        </w:rPr>
        <w:t> </w:t>
      </w:r>
      <w:r>
        <w:rPr>
          <w:sz w:val="24"/>
        </w:rPr>
        <w:t>and</w:t>
      </w:r>
      <w:r>
        <w:rPr>
          <w:spacing w:val="-5"/>
          <w:sz w:val="24"/>
        </w:rPr>
        <w:t> </w:t>
      </w:r>
      <w:r>
        <w:rPr>
          <w:sz w:val="24"/>
        </w:rPr>
        <w:t>training</w:t>
      </w:r>
      <w:r>
        <w:rPr>
          <w:spacing w:val="-5"/>
          <w:sz w:val="24"/>
        </w:rPr>
        <w:t> </w:t>
      </w:r>
      <w:r>
        <w:rPr>
          <w:sz w:val="24"/>
        </w:rPr>
        <w:t>of</w:t>
      </w:r>
      <w:r>
        <w:rPr>
          <w:spacing w:val="-4"/>
          <w:sz w:val="24"/>
        </w:rPr>
        <w:t> </w:t>
      </w:r>
      <w:r>
        <w:rPr>
          <w:sz w:val="24"/>
        </w:rPr>
        <w:t>volunteers</w:t>
      </w:r>
      <w:r>
        <w:rPr>
          <w:spacing w:val="-5"/>
          <w:sz w:val="24"/>
        </w:rPr>
        <w:t> </w:t>
      </w:r>
      <w:r>
        <w:rPr>
          <w:sz w:val="24"/>
        </w:rPr>
        <w:t>to</w:t>
      </w:r>
      <w:r>
        <w:rPr>
          <w:spacing w:val="-6"/>
          <w:sz w:val="24"/>
        </w:rPr>
        <w:t> </w:t>
      </w:r>
      <w:r>
        <w:rPr>
          <w:sz w:val="24"/>
        </w:rPr>
        <w:t>support</w:t>
      </w:r>
      <w:r>
        <w:rPr>
          <w:spacing w:val="-4"/>
          <w:sz w:val="24"/>
        </w:rPr>
        <w:t> </w:t>
      </w:r>
      <w:r>
        <w:rPr>
          <w:sz w:val="24"/>
        </w:rPr>
        <w:t>library</w:t>
      </w:r>
      <w:r>
        <w:rPr>
          <w:spacing w:val="-5"/>
          <w:sz w:val="24"/>
        </w:rPr>
        <w:t> </w:t>
      </w:r>
      <w:r>
        <w:rPr>
          <w:sz w:val="24"/>
        </w:rPr>
        <w:t>functions. INSTRUCTIONS TO STAFF</w:t>
      </w:r>
    </w:p>
    <w:p>
      <w:pPr>
        <w:pStyle w:val="ListParagraph"/>
        <w:numPr>
          <w:ilvl w:val="0"/>
          <w:numId w:val="315"/>
        </w:numPr>
        <w:tabs>
          <w:tab w:pos="1078" w:val="left" w:leader="none"/>
        </w:tabs>
        <w:spacing w:line="276" w:lineRule="exact" w:before="0" w:after="0"/>
        <w:ind w:left="1078" w:right="0" w:hanging="286"/>
        <w:jc w:val="left"/>
        <w:rPr>
          <w:sz w:val="24"/>
        </w:rPr>
      </w:pPr>
      <w:r>
        <w:rPr>
          <w:sz w:val="24"/>
        </w:rPr>
        <w:t>See</w:t>
      </w:r>
      <w:r>
        <w:rPr>
          <w:spacing w:val="-2"/>
          <w:sz w:val="24"/>
        </w:rPr>
        <w:t> </w:t>
      </w:r>
      <w:r>
        <w:rPr>
          <w:sz w:val="24"/>
        </w:rPr>
        <w:t>7</w:t>
      </w:r>
      <w:r>
        <w:rPr>
          <w:spacing w:val="-2"/>
          <w:sz w:val="24"/>
        </w:rPr>
        <w:t> </w:t>
      </w:r>
      <w:r>
        <w:rPr>
          <w:sz w:val="24"/>
        </w:rPr>
        <w:t>O.S.</w:t>
      </w:r>
      <w:r>
        <w:rPr>
          <w:spacing w:val="-3"/>
          <w:sz w:val="24"/>
        </w:rPr>
        <w:t> </w:t>
      </w:r>
      <w:r>
        <w:rPr>
          <w:sz w:val="24"/>
        </w:rPr>
        <w:t>Section</w:t>
      </w:r>
      <w:r>
        <w:rPr>
          <w:spacing w:val="-2"/>
          <w:sz w:val="24"/>
        </w:rPr>
        <w:t> </w:t>
      </w:r>
      <w:r>
        <w:rPr>
          <w:sz w:val="24"/>
        </w:rPr>
        <w:t>8</w:t>
      </w:r>
      <w:r>
        <w:rPr>
          <w:spacing w:val="-2"/>
          <w:sz w:val="24"/>
        </w:rPr>
        <w:t> </w:t>
      </w:r>
      <w:r>
        <w:rPr>
          <w:sz w:val="24"/>
        </w:rPr>
        <w:t>and</w:t>
      </w:r>
      <w:r>
        <w:rPr>
          <w:spacing w:val="-1"/>
          <w:sz w:val="24"/>
        </w:rPr>
        <w:t> </w:t>
      </w:r>
      <w:r>
        <w:rPr>
          <w:sz w:val="24"/>
        </w:rPr>
        <w:t>74</w:t>
      </w:r>
      <w:r>
        <w:rPr>
          <w:spacing w:val="-2"/>
          <w:sz w:val="24"/>
        </w:rPr>
        <w:t> </w:t>
      </w:r>
      <w:r>
        <w:rPr>
          <w:sz w:val="24"/>
        </w:rPr>
        <w:t>O.S.</w:t>
      </w:r>
      <w:r>
        <w:rPr>
          <w:spacing w:val="-1"/>
          <w:sz w:val="24"/>
        </w:rPr>
        <w:t> </w:t>
      </w:r>
      <w:r>
        <w:rPr>
          <w:sz w:val="24"/>
        </w:rPr>
        <w:t>Section</w:t>
      </w:r>
      <w:r>
        <w:rPr>
          <w:spacing w:val="-2"/>
          <w:sz w:val="24"/>
        </w:rPr>
        <w:t> </w:t>
      </w:r>
      <w:r>
        <w:rPr>
          <w:sz w:val="24"/>
        </w:rPr>
        <w:t>166.4</w:t>
      </w:r>
      <w:r>
        <w:rPr>
          <w:spacing w:val="-2"/>
          <w:sz w:val="24"/>
        </w:rPr>
        <w:t> </w:t>
      </w:r>
      <w:r>
        <w:rPr>
          <w:sz w:val="24"/>
        </w:rPr>
        <w:t>and</w:t>
      </w:r>
      <w:r>
        <w:rPr>
          <w:spacing w:val="-1"/>
          <w:sz w:val="24"/>
        </w:rPr>
        <w:t> </w:t>
      </w:r>
      <w:r>
        <w:rPr>
          <w:spacing w:val="-2"/>
          <w:sz w:val="24"/>
        </w:rPr>
        <w:t>166.5.</w:t>
      </w:r>
    </w:p>
    <w:p>
      <w:pPr>
        <w:pStyle w:val="ListParagraph"/>
        <w:numPr>
          <w:ilvl w:val="0"/>
          <w:numId w:val="315"/>
        </w:numPr>
        <w:tabs>
          <w:tab w:pos="1078" w:val="left" w:leader="none"/>
        </w:tabs>
        <w:spacing w:line="208" w:lineRule="auto" w:before="233" w:after="0"/>
        <w:ind w:left="792" w:right="1215" w:firstLine="0"/>
        <w:jc w:val="left"/>
        <w:rPr>
          <w:sz w:val="24"/>
        </w:rPr>
      </w:pPr>
      <w:r>
        <w:rPr>
          <w:sz w:val="24"/>
        </w:rPr>
        <w:t>Individuals should contact OLBPH at 405-521-3514 or 800-523-0288 to determine</w:t>
      </w:r>
      <w:r>
        <w:rPr>
          <w:spacing w:val="-4"/>
          <w:sz w:val="24"/>
        </w:rPr>
        <w:t> </w:t>
      </w:r>
      <w:r>
        <w:rPr>
          <w:sz w:val="24"/>
        </w:rPr>
        <w:t>the</w:t>
      </w:r>
      <w:r>
        <w:rPr>
          <w:spacing w:val="-4"/>
          <w:sz w:val="24"/>
        </w:rPr>
        <w:t> </w:t>
      </w:r>
      <w:r>
        <w:rPr>
          <w:sz w:val="24"/>
        </w:rPr>
        <w:t>alternative</w:t>
      </w:r>
      <w:r>
        <w:rPr>
          <w:spacing w:val="-4"/>
          <w:sz w:val="24"/>
        </w:rPr>
        <w:t> </w:t>
      </w:r>
      <w:r>
        <w:rPr>
          <w:sz w:val="24"/>
        </w:rPr>
        <w:t>formats</w:t>
      </w:r>
      <w:r>
        <w:rPr>
          <w:spacing w:val="-5"/>
          <w:sz w:val="24"/>
        </w:rPr>
        <w:t> </w:t>
      </w:r>
      <w:r>
        <w:rPr>
          <w:sz w:val="24"/>
        </w:rPr>
        <w:t>available</w:t>
      </w:r>
      <w:r>
        <w:rPr>
          <w:spacing w:val="-4"/>
          <w:sz w:val="24"/>
        </w:rPr>
        <w:t> </w:t>
      </w:r>
      <w:r>
        <w:rPr>
          <w:sz w:val="24"/>
        </w:rPr>
        <w:t>from</w:t>
      </w:r>
      <w:r>
        <w:rPr>
          <w:spacing w:val="-3"/>
          <w:sz w:val="24"/>
        </w:rPr>
        <w:t> </w:t>
      </w:r>
      <w:r>
        <w:rPr>
          <w:sz w:val="24"/>
        </w:rPr>
        <w:t>the</w:t>
      </w:r>
      <w:r>
        <w:rPr>
          <w:spacing w:val="-4"/>
          <w:sz w:val="24"/>
        </w:rPr>
        <w:t> </w:t>
      </w:r>
      <w:r>
        <w:rPr>
          <w:sz w:val="24"/>
        </w:rPr>
        <w:t>library,</w:t>
      </w:r>
      <w:r>
        <w:rPr>
          <w:spacing w:val="-3"/>
          <w:sz w:val="24"/>
        </w:rPr>
        <w:t> </w:t>
      </w:r>
      <w:r>
        <w:rPr>
          <w:sz w:val="24"/>
        </w:rPr>
        <w:t>and</w:t>
      </w:r>
      <w:r>
        <w:rPr>
          <w:spacing w:val="-4"/>
          <w:sz w:val="24"/>
        </w:rPr>
        <w:t> </w:t>
      </w:r>
      <w:r>
        <w:rPr>
          <w:sz w:val="24"/>
        </w:rPr>
        <w:t>the</w:t>
      </w:r>
      <w:r>
        <w:rPr>
          <w:spacing w:val="-4"/>
          <w:sz w:val="24"/>
        </w:rPr>
        <w:t> </w:t>
      </w:r>
      <w:r>
        <w:rPr>
          <w:sz w:val="24"/>
        </w:rPr>
        <w:t>fees</w:t>
      </w:r>
      <w:r>
        <w:rPr>
          <w:spacing w:val="-4"/>
          <w:sz w:val="24"/>
        </w:rPr>
        <w:t> </w:t>
      </w:r>
      <w:r>
        <w:rPr>
          <w:sz w:val="24"/>
        </w:rPr>
        <w:t>for</w:t>
      </w:r>
      <w:r>
        <w:rPr>
          <w:spacing w:val="-5"/>
          <w:sz w:val="24"/>
        </w:rPr>
        <w:t> </w:t>
      </w:r>
      <w:r>
        <w:rPr>
          <w:sz w:val="24"/>
        </w:rPr>
        <w:t>this </w:t>
      </w:r>
      <w:r>
        <w:rPr>
          <w:spacing w:val="-2"/>
          <w:sz w:val="24"/>
        </w:rPr>
        <w:t>service.</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tabs>
          <w:tab w:pos="1439" w:val="left" w:leader="none"/>
        </w:tabs>
        <w:spacing w:before="80"/>
        <w:ind w:left="360" w:right="0" w:firstLine="0"/>
        <w:jc w:val="left"/>
        <w:rPr>
          <w:sz w:val="22"/>
        </w:rPr>
      </w:pPr>
      <w:r>
        <w:rPr>
          <w:spacing w:val="-2"/>
          <w:sz w:val="22"/>
        </w:rPr>
        <w:t>8-1-</w:t>
      </w:r>
      <w:r>
        <w:rPr>
          <w:spacing w:val="-5"/>
          <w:sz w:val="22"/>
        </w:rPr>
        <w:t>96</w:t>
      </w:r>
      <w:r>
        <w:rPr>
          <w:sz w:val="22"/>
        </w:rPr>
        <w:tab/>
        <w:t>PT</w:t>
      </w:r>
      <w:r>
        <w:rPr>
          <w:spacing w:val="-8"/>
          <w:sz w:val="22"/>
        </w:rPr>
        <w:t> </w:t>
      </w:r>
      <w:r>
        <w:rPr>
          <w:sz w:val="22"/>
        </w:rPr>
        <w:t>Memo</w:t>
      </w:r>
      <w:r>
        <w:rPr>
          <w:spacing w:val="-8"/>
          <w:sz w:val="22"/>
        </w:rPr>
        <w:t> </w:t>
      </w:r>
      <w:r>
        <w:rPr>
          <w:sz w:val="22"/>
        </w:rPr>
        <w:t>#97-</w:t>
      </w:r>
      <w:r>
        <w:rPr>
          <w:spacing w:val="-10"/>
          <w:sz w:val="22"/>
        </w:rPr>
        <w:t>2</w:t>
      </w:r>
    </w:p>
    <w:p>
      <w:pPr>
        <w:spacing w:before="0"/>
        <w:ind w:left="1439" w:right="775" w:firstLine="0"/>
        <w:jc w:val="left"/>
        <w:rPr>
          <w:sz w:val="22"/>
        </w:rPr>
      </w:pPr>
      <w:r>
        <w:rPr>
          <w:sz w:val="22"/>
        </w:rPr>
        <w:t>Permanent,</w:t>
      </w:r>
      <w:r>
        <w:rPr>
          <w:spacing w:val="-3"/>
          <w:sz w:val="22"/>
        </w:rPr>
        <w:t> </w:t>
      </w:r>
      <w:r>
        <w:rPr>
          <w:sz w:val="22"/>
        </w:rPr>
        <w:t>added</w:t>
      </w:r>
      <w:r>
        <w:rPr>
          <w:spacing w:val="-4"/>
          <w:sz w:val="22"/>
        </w:rPr>
        <w:t> </w:t>
      </w:r>
      <w:r>
        <w:rPr>
          <w:sz w:val="22"/>
        </w:rPr>
        <w:t>how</w:t>
      </w:r>
      <w:r>
        <w:rPr>
          <w:spacing w:val="-5"/>
          <w:sz w:val="22"/>
        </w:rPr>
        <w:t> </w:t>
      </w:r>
      <w:r>
        <w:rPr>
          <w:sz w:val="22"/>
        </w:rPr>
        <w:t>OLBPH</w:t>
      </w:r>
      <w:r>
        <w:rPr>
          <w:spacing w:val="-5"/>
          <w:sz w:val="22"/>
        </w:rPr>
        <w:t> </w:t>
      </w:r>
      <w:r>
        <w:rPr>
          <w:sz w:val="22"/>
        </w:rPr>
        <w:t>will</w:t>
      </w:r>
      <w:r>
        <w:rPr>
          <w:spacing w:val="-4"/>
          <w:sz w:val="22"/>
        </w:rPr>
        <w:t> </w:t>
      </w:r>
      <w:r>
        <w:rPr>
          <w:sz w:val="22"/>
        </w:rPr>
        <w:t>produce</w:t>
      </w:r>
      <w:r>
        <w:rPr>
          <w:spacing w:val="-4"/>
          <w:sz w:val="22"/>
        </w:rPr>
        <w:t> </w:t>
      </w:r>
      <w:r>
        <w:rPr>
          <w:sz w:val="22"/>
        </w:rPr>
        <w:t>reading</w:t>
      </w:r>
      <w:r>
        <w:rPr>
          <w:spacing w:val="-4"/>
          <w:sz w:val="22"/>
        </w:rPr>
        <w:t> </w:t>
      </w:r>
      <w:r>
        <w:rPr>
          <w:sz w:val="22"/>
        </w:rPr>
        <w:t>materials</w:t>
      </w:r>
      <w:r>
        <w:rPr>
          <w:spacing w:val="-4"/>
          <w:sz w:val="22"/>
        </w:rPr>
        <w:t> </w:t>
      </w:r>
      <w:r>
        <w:rPr>
          <w:sz w:val="22"/>
        </w:rPr>
        <w:t>in</w:t>
      </w:r>
      <w:r>
        <w:rPr>
          <w:spacing w:val="-4"/>
          <w:sz w:val="22"/>
        </w:rPr>
        <w:t> </w:t>
      </w:r>
      <w:r>
        <w:rPr>
          <w:sz w:val="22"/>
        </w:rPr>
        <w:t>alternate</w:t>
      </w:r>
      <w:r>
        <w:rPr>
          <w:spacing w:val="-4"/>
          <w:sz w:val="22"/>
        </w:rPr>
        <w:t> </w:t>
      </w:r>
      <w:r>
        <w:rPr>
          <w:sz w:val="22"/>
        </w:rPr>
        <w:t>formats. Added ITS.</w:t>
      </w:r>
    </w:p>
    <w:p>
      <w:pPr>
        <w:pStyle w:val="ListParagraph"/>
        <w:numPr>
          <w:ilvl w:val="2"/>
          <w:numId w:val="316"/>
        </w:numPr>
        <w:tabs>
          <w:tab w:pos="1439" w:val="left" w:leader="none"/>
        </w:tabs>
        <w:spacing w:line="252"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before="0"/>
        <w:ind w:left="1439" w:right="0" w:firstLine="0"/>
        <w:jc w:val="left"/>
        <w:rPr>
          <w:sz w:val="22"/>
        </w:rPr>
      </w:pPr>
      <w:r>
        <w:rPr>
          <w:sz w:val="22"/>
        </w:rPr>
        <w:t>Permanent,</w:t>
      </w:r>
      <w:r>
        <w:rPr>
          <w:spacing w:val="-10"/>
          <w:sz w:val="22"/>
        </w:rPr>
        <w:t> </w:t>
      </w:r>
      <w:r>
        <w:rPr>
          <w:sz w:val="22"/>
        </w:rPr>
        <w:t>updated</w:t>
      </w:r>
      <w:r>
        <w:rPr>
          <w:spacing w:val="-11"/>
          <w:sz w:val="22"/>
        </w:rPr>
        <w:t> </w:t>
      </w:r>
      <w:r>
        <w:rPr>
          <w:spacing w:val="-2"/>
          <w:sz w:val="22"/>
        </w:rPr>
        <w:t>language</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1"/>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1439" w:right="1392" w:hanging="1080"/>
        <w:jc w:val="left"/>
        <w:rPr>
          <w:sz w:val="22"/>
        </w:rPr>
      </w:pPr>
      <w:r>
        <w:rPr>
          <w:spacing w:val="-2"/>
          <w:sz w:val="22"/>
        </w:rPr>
        <w:t>8-26-21</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2"/>
          <w:sz w:val="22"/>
        </w:rPr>
        <w:t> </w:t>
      </w:r>
      <w:r>
        <w:rPr>
          <w:sz w:val="22"/>
        </w:rPr>
        <w:t>to</w:t>
      </w:r>
      <w:r>
        <w:rPr>
          <w:spacing w:val="-4"/>
          <w:sz w:val="22"/>
        </w:rPr>
        <w:t> </w:t>
      </w:r>
      <w:r>
        <w:rPr>
          <w:sz w:val="22"/>
        </w:rPr>
        <w:t>Services</w:t>
      </w:r>
      <w:r>
        <w:rPr>
          <w:spacing w:val="-3"/>
          <w:sz w:val="22"/>
        </w:rPr>
        <w:t> </w:t>
      </w:r>
      <w:r>
        <w:rPr>
          <w:sz w:val="22"/>
        </w:rPr>
        <w:t>for</w:t>
      </w:r>
      <w:r>
        <w:rPr>
          <w:spacing w:val="-4"/>
          <w:sz w:val="22"/>
        </w:rPr>
        <w:t> </w:t>
      </w:r>
      <w:r>
        <w:rPr>
          <w:sz w:val="22"/>
        </w:rPr>
        <w:t>the</w:t>
      </w:r>
      <w:r>
        <w:rPr>
          <w:spacing w:val="-4"/>
          <w:sz w:val="22"/>
        </w:rPr>
        <w:t> </w:t>
      </w:r>
      <w:r>
        <w:rPr>
          <w:sz w:val="22"/>
        </w:rPr>
        <w:t>Blind</w:t>
      </w:r>
      <w:r>
        <w:rPr>
          <w:spacing w:val="-3"/>
          <w:sz w:val="22"/>
        </w:rPr>
        <w:t> </w:t>
      </w:r>
      <w:r>
        <w:rPr>
          <w:sz w:val="22"/>
        </w:rPr>
        <w:t>and</w:t>
      </w:r>
      <w:r>
        <w:rPr>
          <w:spacing w:val="-3"/>
          <w:sz w:val="22"/>
        </w:rPr>
        <w:t> </w:t>
      </w:r>
      <w:r>
        <w:rPr>
          <w:sz w:val="22"/>
        </w:rPr>
        <w:t>Visually </w:t>
      </w:r>
      <w:r>
        <w:rPr>
          <w:spacing w:val="-2"/>
          <w:sz w:val="22"/>
        </w:rPr>
        <w:t>Impaired.</w:t>
      </w:r>
    </w:p>
    <w:p>
      <w:pPr>
        <w:spacing w:after="0"/>
        <w:jc w:val="left"/>
        <w:rPr>
          <w:sz w:val="22"/>
        </w:rPr>
        <w:sectPr>
          <w:pgSz w:w="12240" w:h="15840"/>
          <w:pgMar w:top="1360" w:bottom="280" w:left="1080" w:right="720"/>
        </w:sectPr>
      </w:pPr>
    </w:p>
    <w:p>
      <w:pPr>
        <w:pStyle w:val="Heading1"/>
        <w:ind w:right="780"/>
      </w:pPr>
      <w:bookmarkStart w:name="SUBCHAPTER 3.  OLBPH SERVICES" w:id="306"/>
      <w:bookmarkEnd w:id="306"/>
      <w:r>
        <w:rPr>
          <w:b w:val="0"/>
        </w:rPr>
      </w:r>
      <w:r>
        <w:rPr/>
        <w:t>SUBCHAPTER</w:t>
      </w:r>
      <w:r>
        <w:rPr>
          <w:spacing w:val="-3"/>
        </w:rPr>
        <w:t> </w:t>
      </w:r>
      <w:r>
        <w:rPr/>
        <w:t>3.</w:t>
      </w:r>
      <w:r>
        <w:rPr>
          <w:spacing w:val="62"/>
        </w:rPr>
        <w:t> </w:t>
      </w:r>
      <w:r>
        <w:rPr/>
        <w:t>OLBPH</w:t>
      </w:r>
      <w:r>
        <w:rPr>
          <w:spacing w:val="-2"/>
        </w:rPr>
        <w:t> SERVICES</w:t>
      </w:r>
    </w:p>
    <w:p>
      <w:pPr>
        <w:pStyle w:val="BodyText"/>
        <w:spacing w:before="204"/>
      </w:pPr>
      <w:r>
        <w:rPr>
          <w:spacing w:val="-2"/>
        </w:rPr>
        <w:t>Section</w:t>
      </w:r>
    </w:p>
    <w:p>
      <w:pPr>
        <w:pStyle w:val="BodyText"/>
        <w:tabs>
          <w:tab w:pos="2069" w:val="left" w:leader="none"/>
        </w:tabs>
        <w:spacing w:before="204"/>
      </w:pPr>
      <w:r>
        <w:rPr>
          <w:spacing w:val="-2"/>
        </w:rPr>
        <w:t>612:15-3-</w:t>
      </w:r>
      <w:r>
        <w:rPr>
          <w:spacing w:val="-5"/>
        </w:rPr>
        <w:t>1.</w:t>
      </w:r>
      <w:r>
        <w:rPr/>
        <w:tab/>
      </w:r>
      <w:r>
        <w:rPr>
          <w:spacing w:val="-2"/>
        </w:rPr>
        <w:t>Eligibility</w:t>
      </w:r>
    </w:p>
    <w:p>
      <w:pPr>
        <w:pStyle w:val="BodyText"/>
        <w:tabs>
          <w:tab w:pos="2069" w:val="left" w:leader="none"/>
        </w:tabs>
        <w:spacing w:line="417" w:lineRule="auto" w:before="204"/>
        <w:ind w:right="5446"/>
      </w:pPr>
      <w:r>
        <w:rPr>
          <w:spacing w:val="-2"/>
        </w:rPr>
        <w:t>612:15-3-2.</w:t>
      </w:r>
      <w:r>
        <w:rPr/>
        <w:tab/>
        <w:t>Application</w:t>
      </w:r>
      <w:r>
        <w:rPr>
          <w:spacing w:val="-17"/>
        </w:rPr>
        <w:t> </w:t>
      </w:r>
      <w:r>
        <w:rPr/>
        <w:t>and</w:t>
      </w:r>
      <w:r>
        <w:rPr>
          <w:spacing w:val="-17"/>
        </w:rPr>
        <w:t> </w:t>
      </w:r>
      <w:r>
        <w:rPr/>
        <w:t>certification </w:t>
      </w:r>
      <w:r>
        <w:rPr>
          <w:spacing w:val="-2"/>
        </w:rPr>
        <w:t>612:15-3-3.</w:t>
      </w:r>
      <w:r>
        <w:rPr/>
        <w:tab/>
        <w:t>Reading materials</w:t>
      </w:r>
    </w:p>
    <w:p>
      <w:pPr>
        <w:pStyle w:val="BodyText"/>
        <w:tabs>
          <w:tab w:pos="2069" w:val="left" w:leader="none"/>
        </w:tabs>
        <w:spacing w:line="276" w:lineRule="exact" w:before="0"/>
      </w:pPr>
      <w:r>
        <w:rPr>
          <w:spacing w:val="-2"/>
        </w:rPr>
        <w:t>612:15-3-</w:t>
      </w:r>
      <w:r>
        <w:rPr>
          <w:spacing w:val="-5"/>
        </w:rPr>
        <w:t>4.</w:t>
      </w:r>
      <w:r>
        <w:rPr/>
        <w:tab/>
        <w:t>Volunteer</w:t>
      </w:r>
      <w:r>
        <w:rPr>
          <w:spacing w:val="-5"/>
        </w:rPr>
        <w:t> </w:t>
      </w:r>
      <w:r>
        <w:rPr>
          <w:spacing w:val="-2"/>
        </w:rPr>
        <w:t>services</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775" w:firstLine="0"/>
        <w:jc w:val="left"/>
        <w:rPr>
          <w:sz w:val="22"/>
        </w:rPr>
      </w:pPr>
      <w:r>
        <w:rPr>
          <w:sz w:val="22"/>
        </w:rPr>
        <w:t>Permanent,</w:t>
      </w:r>
      <w:r>
        <w:rPr>
          <w:spacing w:val="-3"/>
          <w:sz w:val="22"/>
        </w:rPr>
        <w:t> </w:t>
      </w:r>
      <w:r>
        <w:rPr>
          <w:sz w:val="22"/>
        </w:rPr>
        <w:t>first</w:t>
      </w:r>
      <w:r>
        <w:rPr>
          <w:spacing w:val="-4"/>
          <w:sz w:val="22"/>
        </w:rPr>
        <w:t> </w:t>
      </w:r>
      <w:r>
        <w:rPr>
          <w:sz w:val="22"/>
        </w:rPr>
        <w:t>adoption</w:t>
      </w:r>
      <w:r>
        <w:rPr>
          <w:spacing w:val="-4"/>
          <w:sz w:val="22"/>
        </w:rPr>
        <w:t> </w:t>
      </w:r>
      <w:r>
        <w:rPr>
          <w:sz w:val="22"/>
        </w:rPr>
        <w:t>under</w:t>
      </w:r>
      <w:r>
        <w:rPr>
          <w:spacing w:val="-4"/>
          <w:sz w:val="22"/>
        </w:rPr>
        <w:t> </w:t>
      </w:r>
      <w:r>
        <w:rPr>
          <w:sz w:val="22"/>
        </w:rPr>
        <w:t>OAC</w:t>
      </w:r>
      <w:r>
        <w:rPr>
          <w:spacing w:val="-5"/>
          <w:sz w:val="22"/>
        </w:rPr>
        <w:t> </w:t>
      </w:r>
      <w:r>
        <w:rPr>
          <w:sz w:val="22"/>
        </w:rPr>
        <w:t>Title</w:t>
      </w:r>
      <w:r>
        <w:rPr>
          <w:spacing w:val="-4"/>
          <w:sz w:val="22"/>
        </w:rPr>
        <w:t> </w:t>
      </w:r>
      <w:r>
        <w:rPr>
          <w:sz w:val="22"/>
        </w:rPr>
        <w:t>612,</w:t>
      </w:r>
      <w:r>
        <w:rPr>
          <w:spacing w:val="-5"/>
          <w:sz w:val="22"/>
        </w:rPr>
        <w:t> </w:t>
      </w:r>
      <w:r>
        <w:rPr>
          <w:sz w:val="22"/>
        </w:rPr>
        <w:t>added</w:t>
      </w:r>
      <w:r>
        <w:rPr>
          <w:spacing w:val="-4"/>
          <w:sz w:val="22"/>
        </w:rPr>
        <w:t> </w:t>
      </w:r>
      <w:r>
        <w:rPr>
          <w:sz w:val="22"/>
        </w:rPr>
        <w:t>new</w:t>
      </w:r>
      <w:r>
        <w:rPr>
          <w:spacing w:val="-5"/>
          <w:sz w:val="22"/>
        </w:rPr>
        <w:t> </w:t>
      </w:r>
      <w:r>
        <w:rPr>
          <w:sz w:val="22"/>
        </w:rPr>
        <w:t>Section</w:t>
      </w:r>
      <w:r>
        <w:rPr>
          <w:spacing w:val="-4"/>
          <w:sz w:val="22"/>
        </w:rPr>
        <w:t> </w:t>
      </w:r>
      <w:r>
        <w:rPr>
          <w:sz w:val="22"/>
        </w:rPr>
        <w:t>listing</w:t>
      </w:r>
      <w:r>
        <w:rPr>
          <w:spacing w:val="-4"/>
          <w:sz w:val="22"/>
        </w:rPr>
        <w:t> </w:t>
      </w:r>
      <w:r>
        <w:rPr>
          <w:sz w:val="22"/>
        </w:rPr>
        <w:t>for Descriptive Video Services</w:t>
      </w:r>
    </w:p>
    <w:p>
      <w:pPr>
        <w:spacing w:after="0"/>
        <w:jc w:val="left"/>
        <w:rPr>
          <w:sz w:val="22"/>
        </w:rPr>
        <w:sectPr>
          <w:pgSz w:w="12240" w:h="15840"/>
          <w:pgMar w:top="1340" w:bottom="280" w:left="1080" w:right="720"/>
        </w:sectPr>
      </w:pPr>
    </w:p>
    <w:p>
      <w:pPr>
        <w:pStyle w:val="Heading2"/>
      </w:pPr>
      <w:bookmarkStart w:name="612:15-3-1.  Eligibility" w:id="307"/>
      <w:bookmarkEnd w:id="307"/>
      <w:r>
        <w:rPr>
          <w:b w:val="0"/>
        </w:rPr>
      </w:r>
      <w:r>
        <w:rPr/>
        <w:t>612:15-3-1.</w:t>
      </w:r>
      <w:r>
        <w:rPr>
          <w:spacing w:val="60"/>
        </w:rPr>
        <w:t> </w:t>
      </w:r>
      <w:r>
        <w:rPr>
          <w:spacing w:val="-2"/>
        </w:rPr>
        <w:t>Eligibility</w:t>
      </w:r>
    </w:p>
    <w:p>
      <w:pPr>
        <w:pStyle w:val="BodyText"/>
        <w:spacing w:line="208" w:lineRule="auto" w:before="233"/>
        <w:ind w:right="775" w:firstLine="432"/>
      </w:pPr>
      <w:r>
        <w:rPr/>
        <w:t>A person eligible for Library of Congress services must be a resident of the United States, including the several states, territories, insular possessions, and the District of Columbia,</w:t>
      </w:r>
      <w:r>
        <w:rPr>
          <w:spacing w:val="-3"/>
        </w:rPr>
        <w:t> </w:t>
      </w:r>
      <w:r>
        <w:rPr/>
        <w:t>or</w:t>
      </w:r>
      <w:r>
        <w:rPr>
          <w:spacing w:val="-3"/>
        </w:rPr>
        <w:t> </w:t>
      </w:r>
      <w:r>
        <w:rPr/>
        <w:t>American</w:t>
      </w:r>
      <w:r>
        <w:rPr>
          <w:spacing w:val="-4"/>
        </w:rPr>
        <w:t> </w:t>
      </w:r>
      <w:r>
        <w:rPr/>
        <w:t>citizen</w:t>
      </w:r>
      <w:r>
        <w:rPr>
          <w:spacing w:val="-4"/>
        </w:rPr>
        <w:t> </w:t>
      </w:r>
      <w:r>
        <w:rPr/>
        <w:t>domiciled</w:t>
      </w:r>
      <w:r>
        <w:rPr>
          <w:spacing w:val="-4"/>
        </w:rPr>
        <w:t> </w:t>
      </w:r>
      <w:r>
        <w:rPr/>
        <w:t>abroad.</w:t>
      </w:r>
      <w:r>
        <w:rPr>
          <w:spacing w:val="40"/>
        </w:rPr>
        <w:t> </w:t>
      </w:r>
      <w:r>
        <w:rPr/>
        <w:t>A</w:t>
      </w:r>
      <w:r>
        <w:rPr>
          <w:spacing w:val="-4"/>
        </w:rPr>
        <w:t> </w:t>
      </w:r>
      <w:r>
        <w:rPr/>
        <w:t>person</w:t>
      </w:r>
      <w:r>
        <w:rPr>
          <w:spacing w:val="-4"/>
        </w:rPr>
        <w:t> </w:t>
      </w:r>
      <w:r>
        <w:rPr/>
        <w:t>eligible</w:t>
      </w:r>
      <w:r>
        <w:rPr>
          <w:spacing w:val="-3"/>
        </w:rPr>
        <w:t> </w:t>
      </w:r>
      <w:r>
        <w:rPr/>
        <w:t>for</w:t>
      </w:r>
      <w:r>
        <w:rPr>
          <w:spacing w:val="-5"/>
        </w:rPr>
        <w:t> </w:t>
      </w:r>
      <w:r>
        <w:rPr/>
        <w:t>OLBPH</w:t>
      </w:r>
      <w:r>
        <w:rPr>
          <w:spacing w:val="-3"/>
        </w:rPr>
        <w:t> </w:t>
      </w:r>
      <w:r>
        <w:rPr/>
        <w:t>services must be an Oklahoma resident and meet one or more of the criteria in paragraphs (1) through (4) of this Subsection:</w:t>
      </w:r>
    </w:p>
    <w:p>
      <w:pPr>
        <w:pStyle w:val="ListParagraph"/>
        <w:numPr>
          <w:ilvl w:val="0"/>
          <w:numId w:val="317"/>
        </w:numPr>
        <w:tabs>
          <w:tab w:pos="1217" w:val="left" w:leader="none"/>
        </w:tabs>
        <w:spacing w:line="208" w:lineRule="auto" w:before="239" w:after="0"/>
        <w:ind w:left="791" w:right="826" w:firstLine="0"/>
        <w:jc w:val="left"/>
        <w:rPr>
          <w:sz w:val="24"/>
        </w:rPr>
      </w:pPr>
      <w:r>
        <w:rPr>
          <w:sz w:val="24"/>
        </w:rPr>
        <w:t>persons who are blind whose visual acuity, as determined by competent authority,</w:t>
      </w:r>
      <w:r>
        <w:rPr>
          <w:spacing w:val="-2"/>
          <w:sz w:val="24"/>
        </w:rPr>
        <w:t> </w:t>
      </w:r>
      <w:r>
        <w:rPr>
          <w:sz w:val="24"/>
        </w:rPr>
        <w:t>is</w:t>
      </w:r>
      <w:r>
        <w:rPr>
          <w:spacing w:val="-3"/>
          <w:sz w:val="24"/>
        </w:rPr>
        <w:t> </w:t>
      </w:r>
      <w:r>
        <w:rPr>
          <w:sz w:val="24"/>
        </w:rPr>
        <w:t>20/200</w:t>
      </w:r>
      <w:r>
        <w:rPr>
          <w:spacing w:val="-3"/>
          <w:sz w:val="24"/>
        </w:rPr>
        <w:t> </w:t>
      </w:r>
      <w:r>
        <w:rPr>
          <w:sz w:val="24"/>
        </w:rPr>
        <w:t>or</w:t>
      </w:r>
      <w:r>
        <w:rPr>
          <w:spacing w:val="-2"/>
          <w:sz w:val="24"/>
        </w:rPr>
        <w:t> </w:t>
      </w:r>
      <w:r>
        <w:rPr>
          <w:sz w:val="24"/>
        </w:rPr>
        <w:t>less</w:t>
      </w:r>
      <w:r>
        <w:rPr>
          <w:spacing w:val="-3"/>
          <w:sz w:val="24"/>
        </w:rPr>
        <w:t> </w:t>
      </w:r>
      <w:r>
        <w:rPr>
          <w:sz w:val="24"/>
        </w:rPr>
        <w:t>in</w:t>
      </w:r>
      <w:r>
        <w:rPr>
          <w:spacing w:val="-3"/>
          <w:sz w:val="24"/>
        </w:rPr>
        <w:t> </w:t>
      </w:r>
      <w:r>
        <w:rPr>
          <w:sz w:val="24"/>
        </w:rPr>
        <w:t>the</w:t>
      </w:r>
      <w:r>
        <w:rPr>
          <w:spacing w:val="-3"/>
          <w:sz w:val="24"/>
        </w:rPr>
        <w:t> </w:t>
      </w:r>
      <w:r>
        <w:rPr>
          <w:sz w:val="24"/>
        </w:rPr>
        <w:t>better</w:t>
      </w:r>
      <w:r>
        <w:rPr>
          <w:spacing w:val="-2"/>
          <w:sz w:val="24"/>
        </w:rPr>
        <w:t> </w:t>
      </w:r>
      <w:r>
        <w:rPr>
          <w:sz w:val="24"/>
        </w:rPr>
        <w:t>eye</w:t>
      </w:r>
      <w:r>
        <w:rPr>
          <w:spacing w:val="-3"/>
          <w:sz w:val="24"/>
        </w:rPr>
        <w:t> </w:t>
      </w:r>
      <w:r>
        <w:rPr>
          <w:sz w:val="24"/>
        </w:rPr>
        <w:t>with</w:t>
      </w:r>
      <w:r>
        <w:rPr>
          <w:spacing w:val="-3"/>
          <w:sz w:val="24"/>
        </w:rPr>
        <w:t> </w:t>
      </w:r>
      <w:r>
        <w:rPr>
          <w:sz w:val="24"/>
        </w:rPr>
        <w:t>correcting</w:t>
      </w:r>
      <w:r>
        <w:rPr>
          <w:spacing w:val="-3"/>
          <w:sz w:val="24"/>
        </w:rPr>
        <w:t> </w:t>
      </w:r>
      <w:r>
        <w:rPr>
          <w:sz w:val="24"/>
        </w:rPr>
        <w:t>lenses,</w:t>
      </w:r>
      <w:r>
        <w:rPr>
          <w:spacing w:val="-2"/>
          <w:sz w:val="24"/>
        </w:rPr>
        <w:t> </w:t>
      </w:r>
      <w:r>
        <w:rPr>
          <w:sz w:val="24"/>
        </w:rPr>
        <w:t>or</w:t>
      </w:r>
      <w:r>
        <w:rPr>
          <w:spacing w:val="-2"/>
          <w:sz w:val="24"/>
        </w:rPr>
        <w:t> </w:t>
      </w:r>
      <w:r>
        <w:rPr>
          <w:sz w:val="24"/>
        </w:rPr>
        <w:t>whose</w:t>
      </w:r>
      <w:r>
        <w:rPr>
          <w:spacing w:val="-3"/>
          <w:sz w:val="24"/>
        </w:rPr>
        <w:t> </w:t>
      </w:r>
      <w:r>
        <w:rPr>
          <w:sz w:val="24"/>
        </w:rPr>
        <w:t>widest diameter of visual field subtends an angular distance no greater than 20 degrees;</w:t>
      </w:r>
    </w:p>
    <w:p>
      <w:pPr>
        <w:pStyle w:val="ListParagraph"/>
        <w:numPr>
          <w:ilvl w:val="0"/>
          <w:numId w:val="317"/>
        </w:numPr>
        <w:tabs>
          <w:tab w:pos="1218" w:val="left" w:leader="none"/>
        </w:tabs>
        <w:spacing w:line="208" w:lineRule="auto" w:before="240" w:after="0"/>
        <w:ind w:left="792" w:right="1293" w:firstLine="0"/>
        <w:jc w:val="left"/>
        <w:rPr>
          <w:sz w:val="24"/>
        </w:rPr>
      </w:pPr>
      <w:r>
        <w:rPr>
          <w:sz w:val="24"/>
        </w:rPr>
        <w:t>persons whose visual disability with correction and regardless of optical measurement</w:t>
      </w:r>
      <w:r>
        <w:rPr>
          <w:spacing w:val="-3"/>
          <w:sz w:val="24"/>
        </w:rPr>
        <w:t> </w:t>
      </w:r>
      <w:r>
        <w:rPr>
          <w:sz w:val="24"/>
        </w:rPr>
        <w:t>is</w:t>
      </w:r>
      <w:r>
        <w:rPr>
          <w:spacing w:val="-4"/>
          <w:sz w:val="24"/>
        </w:rPr>
        <w:t> </w:t>
      </w:r>
      <w:r>
        <w:rPr>
          <w:sz w:val="24"/>
        </w:rPr>
        <w:t>certified</w:t>
      </w:r>
      <w:r>
        <w:rPr>
          <w:spacing w:val="-4"/>
          <w:sz w:val="24"/>
        </w:rPr>
        <w:t> </w:t>
      </w:r>
      <w:r>
        <w:rPr>
          <w:sz w:val="24"/>
        </w:rPr>
        <w:t>by</w:t>
      </w:r>
      <w:r>
        <w:rPr>
          <w:spacing w:val="-4"/>
          <w:sz w:val="24"/>
        </w:rPr>
        <w:t> </w:t>
      </w:r>
      <w:r>
        <w:rPr>
          <w:sz w:val="24"/>
        </w:rPr>
        <w:t>a</w:t>
      </w:r>
      <w:r>
        <w:rPr>
          <w:spacing w:val="-4"/>
          <w:sz w:val="24"/>
        </w:rPr>
        <w:t> </w:t>
      </w:r>
      <w:r>
        <w:rPr>
          <w:sz w:val="24"/>
        </w:rPr>
        <w:t>competent</w:t>
      </w:r>
      <w:r>
        <w:rPr>
          <w:spacing w:val="-3"/>
          <w:sz w:val="24"/>
        </w:rPr>
        <w:t> </w:t>
      </w:r>
      <w:r>
        <w:rPr>
          <w:sz w:val="24"/>
        </w:rPr>
        <w:t>authority</w:t>
      </w:r>
      <w:r>
        <w:rPr>
          <w:spacing w:val="-4"/>
          <w:sz w:val="24"/>
        </w:rPr>
        <w:t> </w:t>
      </w:r>
      <w:r>
        <w:rPr>
          <w:sz w:val="24"/>
        </w:rPr>
        <w:t>as</w:t>
      </w:r>
      <w:r>
        <w:rPr>
          <w:spacing w:val="-4"/>
          <w:sz w:val="24"/>
        </w:rPr>
        <w:t> </w:t>
      </w:r>
      <w:r>
        <w:rPr>
          <w:sz w:val="24"/>
        </w:rPr>
        <w:t>preventing</w:t>
      </w:r>
      <w:r>
        <w:rPr>
          <w:spacing w:val="-4"/>
          <w:sz w:val="24"/>
        </w:rPr>
        <w:t> </w:t>
      </w:r>
      <w:r>
        <w:rPr>
          <w:sz w:val="24"/>
        </w:rPr>
        <w:t>the</w:t>
      </w:r>
      <w:r>
        <w:rPr>
          <w:spacing w:val="-4"/>
          <w:sz w:val="24"/>
        </w:rPr>
        <w:t> </w:t>
      </w:r>
      <w:r>
        <w:rPr>
          <w:sz w:val="24"/>
        </w:rPr>
        <w:t>reading</w:t>
      </w:r>
      <w:r>
        <w:rPr>
          <w:spacing w:val="-3"/>
          <w:sz w:val="24"/>
        </w:rPr>
        <w:t> </w:t>
      </w:r>
      <w:r>
        <w:rPr>
          <w:sz w:val="24"/>
        </w:rPr>
        <w:t>of standard printed material;</w:t>
      </w:r>
    </w:p>
    <w:p>
      <w:pPr>
        <w:pStyle w:val="ListParagraph"/>
        <w:numPr>
          <w:ilvl w:val="0"/>
          <w:numId w:val="317"/>
        </w:numPr>
        <w:tabs>
          <w:tab w:pos="1218" w:val="left" w:leader="none"/>
        </w:tabs>
        <w:spacing w:line="208" w:lineRule="auto" w:before="240" w:after="0"/>
        <w:ind w:left="792" w:right="814" w:firstLine="0"/>
        <w:jc w:val="left"/>
        <w:rPr>
          <w:sz w:val="24"/>
        </w:rPr>
      </w:pPr>
      <w:r>
        <w:rPr>
          <w:sz w:val="24"/>
        </w:rPr>
        <w:t>persons certified by competent authority as unable to read or unable to use standard</w:t>
      </w:r>
      <w:r>
        <w:rPr>
          <w:spacing w:val="-4"/>
          <w:sz w:val="24"/>
        </w:rPr>
        <w:t> </w:t>
      </w:r>
      <w:r>
        <w:rPr>
          <w:sz w:val="24"/>
        </w:rPr>
        <w:t>printed</w:t>
      </w:r>
      <w:r>
        <w:rPr>
          <w:spacing w:val="-4"/>
          <w:sz w:val="24"/>
        </w:rPr>
        <w:t> </w:t>
      </w:r>
      <w:r>
        <w:rPr>
          <w:sz w:val="24"/>
        </w:rPr>
        <w:t>material</w:t>
      </w:r>
      <w:r>
        <w:rPr>
          <w:spacing w:val="-4"/>
          <w:sz w:val="24"/>
        </w:rPr>
        <w:t> </w:t>
      </w:r>
      <w:r>
        <w:rPr>
          <w:sz w:val="24"/>
        </w:rPr>
        <w:t>as</w:t>
      </w:r>
      <w:r>
        <w:rPr>
          <w:spacing w:val="-4"/>
          <w:sz w:val="24"/>
        </w:rPr>
        <w:t> </w:t>
      </w:r>
      <w:r>
        <w:rPr>
          <w:sz w:val="24"/>
        </w:rPr>
        <w:t>a</w:t>
      </w:r>
      <w:r>
        <w:rPr>
          <w:spacing w:val="-4"/>
          <w:sz w:val="24"/>
        </w:rPr>
        <w:t> </w:t>
      </w:r>
      <w:r>
        <w:rPr>
          <w:sz w:val="24"/>
        </w:rPr>
        <w:t>result</w:t>
      </w:r>
      <w:r>
        <w:rPr>
          <w:spacing w:val="-3"/>
          <w:sz w:val="24"/>
        </w:rPr>
        <w:t> </w:t>
      </w:r>
      <w:r>
        <w:rPr>
          <w:sz w:val="24"/>
        </w:rPr>
        <w:t>of</w:t>
      </w:r>
      <w:r>
        <w:rPr>
          <w:spacing w:val="-3"/>
          <w:sz w:val="24"/>
        </w:rPr>
        <w:t> </w:t>
      </w:r>
      <w:r>
        <w:rPr>
          <w:sz w:val="24"/>
        </w:rPr>
        <w:t>physical</w:t>
      </w:r>
      <w:r>
        <w:rPr>
          <w:spacing w:val="-4"/>
          <w:sz w:val="24"/>
        </w:rPr>
        <w:t> </w:t>
      </w:r>
      <w:r>
        <w:rPr>
          <w:sz w:val="24"/>
        </w:rPr>
        <w:t>limitations,</w:t>
      </w:r>
      <w:r>
        <w:rPr>
          <w:spacing w:val="-3"/>
          <w:sz w:val="24"/>
        </w:rPr>
        <w:t> </w:t>
      </w:r>
      <w:r>
        <w:rPr>
          <w:sz w:val="24"/>
        </w:rPr>
        <w:t>such</w:t>
      </w:r>
      <w:r>
        <w:rPr>
          <w:spacing w:val="-4"/>
          <w:sz w:val="24"/>
        </w:rPr>
        <w:t> </w:t>
      </w:r>
      <w:r>
        <w:rPr>
          <w:sz w:val="24"/>
        </w:rPr>
        <w:t>as</w:t>
      </w:r>
      <w:r>
        <w:rPr>
          <w:spacing w:val="-4"/>
          <w:sz w:val="24"/>
        </w:rPr>
        <w:t> </w:t>
      </w:r>
      <w:r>
        <w:rPr>
          <w:sz w:val="24"/>
        </w:rPr>
        <w:t>being</w:t>
      </w:r>
      <w:r>
        <w:rPr>
          <w:spacing w:val="-4"/>
          <w:sz w:val="24"/>
        </w:rPr>
        <w:t> </w:t>
      </w:r>
      <w:r>
        <w:rPr>
          <w:sz w:val="24"/>
        </w:rPr>
        <w:t>unable</w:t>
      </w:r>
      <w:r>
        <w:rPr>
          <w:spacing w:val="-4"/>
          <w:sz w:val="24"/>
        </w:rPr>
        <w:t> </w:t>
      </w:r>
      <w:r>
        <w:rPr>
          <w:sz w:val="24"/>
        </w:rPr>
        <w:t>to hold a book or turn the pages;</w:t>
      </w:r>
    </w:p>
    <w:p>
      <w:pPr>
        <w:pStyle w:val="ListParagraph"/>
        <w:numPr>
          <w:ilvl w:val="0"/>
          <w:numId w:val="317"/>
        </w:numPr>
        <w:tabs>
          <w:tab w:pos="1218" w:val="left" w:leader="none"/>
        </w:tabs>
        <w:spacing w:line="208" w:lineRule="auto" w:before="239" w:after="0"/>
        <w:ind w:left="792" w:right="841" w:firstLine="0"/>
        <w:jc w:val="left"/>
        <w:rPr>
          <w:sz w:val="24"/>
        </w:rPr>
      </w:pPr>
      <w:r>
        <w:rPr>
          <w:sz w:val="24"/>
        </w:rPr>
        <w:t>persons</w:t>
      </w:r>
      <w:r>
        <w:rPr>
          <w:spacing w:val="-4"/>
          <w:sz w:val="24"/>
        </w:rPr>
        <w:t> </w:t>
      </w:r>
      <w:r>
        <w:rPr>
          <w:sz w:val="24"/>
        </w:rPr>
        <w:t>certified</w:t>
      </w:r>
      <w:r>
        <w:rPr>
          <w:spacing w:val="-4"/>
          <w:sz w:val="24"/>
        </w:rPr>
        <w:t> </w:t>
      </w:r>
      <w:r>
        <w:rPr>
          <w:sz w:val="24"/>
        </w:rPr>
        <w:t>by</w:t>
      </w:r>
      <w:r>
        <w:rPr>
          <w:spacing w:val="-4"/>
          <w:sz w:val="24"/>
        </w:rPr>
        <w:t> </w:t>
      </w:r>
      <w:r>
        <w:rPr>
          <w:sz w:val="24"/>
        </w:rPr>
        <w:t>competent</w:t>
      </w:r>
      <w:r>
        <w:rPr>
          <w:spacing w:val="-3"/>
          <w:sz w:val="24"/>
        </w:rPr>
        <w:t> </w:t>
      </w:r>
      <w:r>
        <w:rPr>
          <w:sz w:val="24"/>
        </w:rPr>
        <w:t>authority</w:t>
      </w:r>
      <w:r>
        <w:rPr>
          <w:spacing w:val="-5"/>
          <w:sz w:val="24"/>
        </w:rPr>
        <w:t> </w:t>
      </w:r>
      <w:r>
        <w:rPr>
          <w:sz w:val="24"/>
        </w:rPr>
        <w:t>as</w:t>
      </w:r>
      <w:r>
        <w:rPr>
          <w:spacing w:val="-4"/>
          <w:sz w:val="24"/>
        </w:rPr>
        <w:t> </w:t>
      </w:r>
      <w:r>
        <w:rPr>
          <w:sz w:val="24"/>
        </w:rPr>
        <w:t>having</w:t>
      </w:r>
      <w:r>
        <w:rPr>
          <w:spacing w:val="-4"/>
          <w:sz w:val="24"/>
        </w:rPr>
        <w:t> </w:t>
      </w:r>
      <w:r>
        <w:rPr>
          <w:sz w:val="24"/>
        </w:rPr>
        <w:t>a</w:t>
      </w:r>
      <w:r>
        <w:rPr>
          <w:spacing w:val="-4"/>
          <w:sz w:val="24"/>
        </w:rPr>
        <w:t> </w:t>
      </w:r>
      <w:r>
        <w:rPr>
          <w:sz w:val="24"/>
        </w:rPr>
        <w:t>reading</w:t>
      </w:r>
      <w:r>
        <w:rPr>
          <w:spacing w:val="-4"/>
          <w:sz w:val="24"/>
        </w:rPr>
        <w:t> </w:t>
      </w:r>
      <w:r>
        <w:rPr>
          <w:sz w:val="24"/>
        </w:rPr>
        <w:t>disability</w:t>
      </w:r>
      <w:r>
        <w:rPr>
          <w:spacing w:val="-4"/>
          <w:sz w:val="24"/>
        </w:rPr>
        <w:t> </w:t>
      </w:r>
      <w:r>
        <w:rPr>
          <w:sz w:val="24"/>
        </w:rPr>
        <w:t>resulting from organic dysfunction and of sufficient severity to prevent their reading printed material in a normal manner.</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pPr>
      <w:bookmarkStart w:name="612:15-3-2.  Application and certificati" w:id="308"/>
      <w:bookmarkEnd w:id="308"/>
      <w:r>
        <w:rPr>
          <w:b w:val="0"/>
        </w:rPr>
      </w:r>
      <w:r>
        <w:rPr/>
        <w:t>612:15-3-2.</w:t>
      </w:r>
      <w:r>
        <w:rPr>
          <w:spacing w:val="58"/>
        </w:rPr>
        <w:t> </w:t>
      </w:r>
      <w:r>
        <w:rPr/>
        <w:t>Application</w:t>
      </w:r>
      <w:r>
        <w:rPr>
          <w:spacing w:val="-4"/>
        </w:rPr>
        <w:t> </w:t>
      </w:r>
      <w:r>
        <w:rPr/>
        <w:t>and</w:t>
      </w:r>
      <w:r>
        <w:rPr>
          <w:spacing w:val="-4"/>
        </w:rPr>
        <w:t> </w:t>
      </w:r>
      <w:r>
        <w:rPr>
          <w:spacing w:val="-2"/>
        </w:rPr>
        <w:t>certification</w:t>
      </w:r>
    </w:p>
    <w:p>
      <w:pPr>
        <w:pStyle w:val="ListParagraph"/>
        <w:numPr>
          <w:ilvl w:val="0"/>
          <w:numId w:val="318"/>
        </w:numPr>
        <w:tabs>
          <w:tab w:pos="786" w:val="left" w:leader="none"/>
        </w:tabs>
        <w:spacing w:line="208" w:lineRule="auto" w:before="233" w:after="0"/>
        <w:ind w:left="360" w:right="728" w:firstLine="0"/>
        <w:jc w:val="left"/>
        <w:rPr>
          <w:b/>
          <w:sz w:val="24"/>
        </w:rPr>
      </w:pPr>
      <w:r>
        <w:rPr>
          <w:sz w:val="24"/>
        </w:rPr>
        <w:t>An individual applying for library services completes an Individual Application for Library</w:t>
      </w:r>
      <w:r>
        <w:rPr>
          <w:spacing w:val="-3"/>
          <w:sz w:val="24"/>
        </w:rPr>
        <w:t> </w:t>
      </w:r>
      <w:r>
        <w:rPr>
          <w:sz w:val="24"/>
        </w:rPr>
        <w:t>Service.</w:t>
      </w:r>
      <w:r>
        <w:rPr>
          <w:spacing w:val="-2"/>
          <w:sz w:val="24"/>
        </w:rPr>
        <w:t> </w:t>
      </w:r>
      <w:r>
        <w:rPr>
          <w:b/>
          <w:sz w:val="24"/>
        </w:rPr>
        <w:t>1</w:t>
      </w:r>
      <w:r>
        <w:rPr>
          <w:b/>
          <w:spacing w:val="40"/>
          <w:sz w:val="24"/>
        </w:rPr>
        <w:t> </w:t>
      </w:r>
      <w:r>
        <w:rPr>
          <w:sz w:val="24"/>
        </w:rPr>
        <w:t>The</w:t>
      </w:r>
      <w:r>
        <w:rPr>
          <w:spacing w:val="-3"/>
          <w:sz w:val="24"/>
        </w:rPr>
        <w:t> </w:t>
      </w:r>
      <w:r>
        <w:rPr>
          <w:sz w:val="24"/>
        </w:rPr>
        <w:t>"certifying</w:t>
      </w:r>
      <w:r>
        <w:rPr>
          <w:spacing w:val="-3"/>
          <w:sz w:val="24"/>
        </w:rPr>
        <w:t> </w:t>
      </w:r>
      <w:r>
        <w:rPr>
          <w:sz w:val="24"/>
        </w:rPr>
        <w:t>authority"</w:t>
      </w:r>
      <w:r>
        <w:rPr>
          <w:spacing w:val="-3"/>
          <w:sz w:val="24"/>
        </w:rPr>
        <w:t> </w:t>
      </w:r>
      <w:r>
        <w:rPr>
          <w:b/>
          <w:sz w:val="24"/>
        </w:rPr>
        <w:t>2</w:t>
      </w:r>
      <w:r>
        <w:rPr>
          <w:b/>
          <w:spacing w:val="-3"/>
          <w:sz w:val="24"/>
        </w:rPr>
        <w:t> </w:t>
      </w:r>
      <w:r>
        <w:rPr>
          <w:sz w:val="24"/>
        </w:rPr>
        <w:t>who</w:t>
      </w:r>
      <w:r>
        <w:rPr>
          <w:spacing w:val="-3"/>
          <w:sz w:val="24"/>
        </w:rPr>
        <w:t> </w:t>
      </w:r>
      <w:r>
        <w:rPr>
          <w:sz w:val="24"/>
        </w:rPr>
        <w:t>signs</w:t>
      </w:r>
      <w:r>
        <w:rPr>
          <w:spacing w:val="-3"/>
          <w:sz w:val="24"/>
        </w:rPr>
        <w:t> </w:t>
      </w:r>
      <w:r>
        <w:rPr>
          <w:sz w:val="24"/>
        </w:rPr>
        <w:t>the</w:t>
      </w:r>
      <w:r>
        <w:rPr>
          <w:spacing w:val="-3"/>
          <w:sz w:val="24"/>
        </w:rPr>
        <w:t> </w:t>
      </w:r>
      <w:r>
        <w:rPr>
          <w:sz w:val="24"/>
        </w:rPr>
        <w:t>certification</w:t>
      </w:r>
      <w:r>
        <w:rPr>
          <w:spacing w:val="-3"/>
          <w:sz w:val="24"/>
        </w:rPr>
        <w:t> </w:t>
      </w:r>
      <w:r>
        <w:rPr>
          <w:sz w:val="24"/>
        </w:rPr>
        <w:t>part</w:t>
      </w:r>
      <w:r>
        <w:rPr>
          <w:spacing w:val="-4"/>
          <w:sz w:val="24"/>
        </w:rPr>
        <w:t> </w:t>
      </w:r>
      <w:r>
        <w:rPr>
          <w:sz w:val="24"/>
        </w:rPr>
        <w:t>of</w:t>
      </w:r>
      <w:r>
        <w:rPr>
          <w:spacing w:val="-2"/>
          <w:sz w:val="24"/>
        </w:rPr>
        <w:t> </w:t>
      </w:r>
      <w:r>
        <w:rPr>
          <w:sz w:val="24"/>
        </w:rPr>
        <w:t>this</w:t>
      </w:r>
      <w:r>
        <w:rPr>
          <w:spacing w:val="-3"/>
          <w:sz w:val="24"/>
        </w:rPr>
        <w:t> </w:t>
      </w:r>
      <w:r>
        <w:rPr>
          <w:sz w:val="24"/>
        </w:rPr>
        <w:t>form may be any DRS professional or other competent authority as specified in DRS policy, except in the case of a reading disability from organic dysfunction, when only a medical doctor or doctor of osteopathy may sign the application to verify the reading disability. </w:t>
      </w:r>
      <w:r>
        <w:rPr>
          <w:b/>
          <w:sz w:val="24"/>
        </w:rPr>
        <w:t>3</w:t>
      </w:r>
    </w:p>
    <w:p>
      <w:pPr>
        <w:pStyle w:val="ListParagraph"/>
        <w:numPr>
          <w:ilvl w:val="0"/>
          <w:numId w:val="318"/>
        </w:numPr>
        <w:tabs>
          <w:tab w:pos="786" w:val="left" w:leader="none"/>
        </w:tabs>
        <w:spacing w:line="208" w:lineRule="auto" w:before="239" w:after="0"/>
        <w:ind w:left="360" w:right="1166" w:firstLine="0"/>
        <w:jc w:val="left"/>
        <w:rPr>
          <w:sz w:val="24"/>
        </w:rPr>
      </w:pPr>
      <w:r>
        <w:rPr>
          <w:sz w:val="24"/>
        </w:rPr>
        <w:t>An</w:t>
      </w:r>
      <w:r>
        <w:rPr>
          <w:spacing w:val="-5"/>
          <w:sz w:val="24"/>
        </w:rPr>
        <w:t> </w:t>
      </w:r>
      <w:r>
        <w:rPr>
          <w:sz w:val="24"/>
        </w:rPr>
        <w:t>Institutional</w:t>
      </w:r>
      <w:r>
        <w:rPr>
          <w:spacing w:val="-4"/>
          <w:sz w:val="24"/>
        </w:rPr>
        <w:t> </w:t>
      </w:r>
      <w:r>
        <w:rPr>
          <w:sz w:val="24"/>
        </w:rPr>
        <w:t>Application</w:t>
      </w:r>
      <w:r>
        <w:rPr>
          <w:spacing w:val="-4"/>
          <w:sz w:val="24"/>
        </w:rPr>
        <w:t> </w:t>
      </w:r>
      <w:r>
        <w:rPr>
          <w:sz w:val="24"/>
        </w:rPr>
        <w:t>for</w:t>
      </w:r>
      <w:r>
        <w:rPr>
          <w:spacing w:val="-3"/>
          <w:sz w:val="24"/>
        </w:rPr>
        <w:t> </w:t>
      </w:r>
      <w:r>
        <w:rPr>
          <w:sz w:val="24"/>
        </w:rPr>
        <w:t>Library</w:t>
      </w:r>
      <w:r>
        <w:rPr>
          <w:spacing w:val="-4"/>
          <w:sz w:val="24"/>
        </w:rPr>
        <w:t> </w:t>
      </w:r>
      <w:r>
        <w:rPr>
          <w:sz w:val="24"/>
        </w:rPr>
        <w:t>Service</w:t>
      </w:r>
      <w:r>
        <w:rPr>
          <w:spacing w:val="-4"/>
          <w:sz w:val="24"/>
        </w:rPr>
        <w:t> </w:t>
      </w:r>
      <w:r>
        <w:rPr>
          <w:sz w:val="24"/>
        </w:rPr>
        <w:t>is</w:t>
      </w:r>
      <w:r>
        <w:rPr>
          <w:spacing w:val="-4"/>
          <w:sz w:val="24"/>
        </w:rPr>
        <w:t> </w:t>
      </w:r>
      <w:r>
        <w:rPr>
          <w:sz w:val="24"/>
        </w:rPr>
        <w:t>available</w:t>
      </w:r>
      <w:r>
        <w:rPr>
          <w:spacing w:val="-4"/>
          <w:sz w:val="24"/>
        </w:rPr>
        <w:t> </w:t>
      </w:r>
      <w:r>
        <w:rPr>
          <w:sz w:val="24"/>
        </w:rPr>
        <w:t>for</w:t>
      </w:r>
      <w:r>
        <w:rPr>
          <w:spacing w:val="-3"/>
          <w:sz w:val="24"/>
        </w:rPr>
        <w:t> </w:t>
      </w:r>
      <w:r>
        <w:rPr>
          <w:sz w:val="24"/>
        </w:rPr>
        <w:t>hospitals,</w:t>
      </w:r>
      <w:r>
        <w:rPr>
          <w:spacing w:val="-3"/>
          <w:sz w:val="24"/>
        </w:rPr>
        <w:t> </w:t>
      </w:r>
      <w:r>
        <w:rPr>
          <w:sz w:val="24"/>
        </w:rPr>
        <w:t>libraries, nursing homes, etc.</w:t>
      </w:r>
    </w:p>
    <w:p>
      <w:pPr>
        <w:pStyle w:val="BodyText"/>
        <w:spacing w:before="211"/>
      </w:pPr>
      <w:r>
        <w:rPr/>
        <w:t>INSTRUCTIONS</w:t>
      </w:r>
      <w:r>
        <w:rPr>
          <w:spacing w:val="-3"/>
        </w:rPr>
        <w:t> </w:t>
      </w:r>
      <w:r>
        <w:rPr/>
        <w:t>TO</w:t>
      </w:r>
      <w:r>
        <w:rPr>
          <w:spacing w:val="-2"/>
        </w:rPr>
        <w:t> </w:t>
      </w:r>
      <w:r>
        <w:rPr>
          <w:spacing w:val="-4"/>
        </w:rPr>
        <w:t>STAFF</w:t>
      </w:r>
    </w:p>
    <w:p>
      <w:pPr>
        <w:pStyle w:val="ListParagraph"/>
        <w:numPr>
          <w:ilvl w:val="1"/>
          <w:numId w:val="318"/>
        </w:numPr>
        <w:tabs>
          <w:tab w:pos="1078" w:val="left" w:leader="none"/>
        </w:tabs>
        <w:spacing w:line="240" w:lineRule="auto" w:before="204" w:after="0"/>
        <w:ind w:left="1078" w:right="0" w:hanging="286"/>
        <w:jc w:val="left"/>
        <w:rPr>
          <w:sz w:val="24"/>
        </w:rPr>
      </w:pPr>
      <w:r>
        <w:rPr>
          <w:sz w:val="24"/>
        </w:rPr>
        <w:t>Link</w:t>
      </w:r>
      <w:r>
        <w:rPr>
          <w:spacing w:val="-6"/>
          <w:sz w:val="24"/>
        </w:rPr>
        <w:t> </w:t>
      </w:r>
      <w:r>
        <w:rPr>
          <w:sz w:val="24"/>
        </w:rPr>
        <w:t>to</w:t>
      </w:r>
      <w:r>
        <w:rPr>
          <w:spacing w:val="-3"/>
          <w:sz w:val="24"/>
        </w:rPr>
        <w:t> </w:t>
      </w:r>
      <w:r>
        <w:rPr>
          <w:sz w:val="24"/>
        </w:rPr>
        <w:t>OLBPH</w:t>
      </w:r>
      <w:r>
        <w:rPr>
          <w:spacing w:val="-4"/>
          <w:sz w:val="24"/>
        </w:rPr>
        <w:t> </w:t>
      </w:r>
      <w:r>
        <w:rPr>
          <w:sz w:val="24"/>
        </w:rPr>
        <w:t>Voter</w:t>
      </w:r>
      <w:r>
        <w:rPr>
          <w:spacing w:val="-3"/>
          <w:sz w:val="24"/>
        </w:rPr>
        <w:t> </w:t>
      </w:r>
      <w:r>
        <w:rPr>
          <w:sz w:val="24"/>
        </w:rPr>
        <w:t>Registration</w:t>
      </w:r>
      <w:r>
        <w:rPr>
          <w:spacing w:val="-3"/>
          <w:sz w:val="24"/>
        </w:rPr>
        <w:t> </w:t>
      </w:r>
      <w:r>
        <w:rPr>
          <w:sz w:val="24"/>
        </w:rPr>
        <w:t>Information</w:t>
      </w:r>
      <w:r>
        <w:rPr>
          <w:spacing w:val="-3"/>
          <w:sz w:val="24"/>
        </w:rPr>
        <w:t> </w:t>
      </w:r>
      <w:r>
        <w:rPr>
          <w:spacing w:val="-2"/>
          <w:sz w:val="24"/>
        </w:rPr>
        <w:t>document.</w:t>
      </w:r>
    </w:p>
    <w:p>
      <w:pPr>
        <w:pStyle w:val="ListParagraph"/>
        <w:numPr>
          <w:ilvl w:val="1"/>
          <w:numId w:val="318"/>
        </w:numPr>
        <w:tabs>
          <w:tab w:pos="1078" w:val="left" w:leader="none"/>
        </w:tabs>
        <w:spacing w:line="240" w:lineRule="auto" w:before="204" w:after="0"/>
        <w:ind w:left="1078" w:right="0" w:hanging="286"/>
        <w:jc w:val="left"/>
        <w:rPr>
          <w:sz w:val="24"/>
        </w:rPr>
      </w:pPr>
      <w:r>
        <w:rPr>
          <w:sz w:val="24"/>
        </w:rPr>
        <w:t>See</w:t>
      </w:r>
      <w:r>
        <w:rPr>
          <w:spacing w:val="-4"/>
          <w:sz w:val="24"/>
        </w:rPr>
        <w:t> </w:t>
      </w:r>
      <w:hyperlink w:history="true" w:anchor="_bookmark31">
        <w:r>
          <w:rPr>
            <w:color w:val="0000FF"/>
            <w:sz w:val="24"/>
            <w:u w:val="single" w:color="0000FF"/>
          </w:rPr>
          <w:t>612:15-1-2</w:t>
        </w:r>
      </w:hyperlink>
      <w:r>
        <w:rPr>
          <w:color w:val="0000FF"/>
          <w:spacing w:val="-3"/>
          <w:sz w:val="24"/>
          <w:u w:val="none"/>
        </w:rPr>
        <w:t> </w:t>
      </w:r>
      <w:r>
        <w:rPr>
          <w:sz w:val="24"/>
          <w:u w:val="none"/>
        </w:rPr>
        <w:t>for</w:t>
      </w:r>
      <w:r>
        <w:rPr>
          <w:spacing w:val="-5"/>
          <w:sz w:val="24"/>
          <w:u w:val="none"/>
        </w:rPr>
        <w:t> </w:t>
      </w:r>
      <w:r>
        <w:rPr>
          <w:sz w:val="24"/>
          <w:u w:val="none"/>
        </w:rPr>
        <w:t>definition</w:t>
      </w:r>
      <w:r>
        <w:rPr>
          <w:spacing w:val="-3"/>
          <w:sz w:val="24"/>
          <w:u w:val="none"/>
        </w:rPr>
        <w:t> </w:t>
      </w:r>
      <w:r>
        <w:rPr>
          <w:sz w:val="24"/>
          <w:u w:val="none"/>
        </w:rPr>
        <w:t>of</w:t>
      </w:r>
      <w:r>
        <w:rPr>
          <w:spacing w:val="-3"/>
          <w:sz w:val="24"/>
          <w:u w:val="none"/>
        </w:rPr>
        <w:t> </w:t>
      </w:r>
      <w:r>
        <w:rPr>
          <w:sz w:val="24"/>
          <w:u w:val="none"/>
        </w:rPr>
        <w:t>"competent</w:t>
      </w:r>
      <w:r>
        <w:rPr>
          <w:spacing w:val="-2"/>
          <w:sz w:val="24"/>
          <w:u w:val="none"/>
        </w:rPr>
        <w:t> authority."</w:t>
      </w:r>
    </w:p>
    <w:p>
      <w:pPr>
        <w:pStyle w:val="ListParagraph"/>
        <w:numPr>
          <w:ilvl w:val="1"/>
          <w:numId w:val="318"/>
        </w:numPr>
        <w:tabs>
          <w:tab w:pos="1077" w:val="left" w:leader="none"/>
        </w:tabs>
        <w:spacing w:line="208" w:lineRule="auto" w:before="233" w:after="0"/>
        <w:ind w:left="791" w:right="722" w:firstLine="0"/>
        <w:jc w:val="left"/>
        <w:rPr>
          <w:sz w:val="24"/>
        </w:rPr>
      </w:pPr>
      <w:r>
        <w:rPr>
          <w:sz w:val="24"/>
        </w:rPr>
        <w:t>The completed form should be forwarded to the Oklahoma Library for the Blind and</w:t>
      </w:r>
      <w:r>
        <w:rPr>
          <w:spacing w:val="-4"/>
          <w:sz w:val="24"/>
        </w:rPr>
        <w:t> </w:t>
      </w:r>
      <w:r>
        <w:rPr>
          <w:sz w:val="24"/>
        </w:rPr>
        <w:t>Physically</w:t>
      </w:r>
      <w:r>
        <w:rPr>
          <w:spacing w:val="-4"/>
          <w:sz w:val="24"/>
        </w:rPr>
        <w:t> </w:t>
      </w:r>
      <w:r>
        <w:rPr>
          <w:sz w:val="24"/>
        </w:rPr>
        <w:t>Handicapped,</w:t>
      </w:r>
      <w:r>
        <w:rPr>
          <w:spacing w:val="-3"/>
          <w:sz w:val="24"/>
        </w:rPr>
        <w:t> </w:t>
      </w:r>
      <w:r>
        <w:rPr>
          <w:sz w:val="24"/>
        </w:rPr>
        <w:t>300</w:t>
      </w:r>
      <w:r>
        <w:rPr>
          <w:spacing w:val="-3"/>
          <w:sz w:val="24"/>
        </w:rPr>
        <w:t> </w:t>
      </w:r>
      <w:r>
        <w:rPr>
          <w:sz w:val="24"/>
        </w:rPr>
        <w:t>NE</w:t>
      </w:r>
      <w:r>
        <w:rPr>
          <w:spacing w:val="-4"/>
          <w:sz w:val="24"/>
        </w:rPr>
        <w:t> </w:t>
      </w:r>
      <w:r>
        <w:rPr>
          <w:sz w:val="24"/>
        </w:rPr>
        <w:t>18th</w:t>
      </w:r>
      <w:r>
        <w:rPr>
          <w:spacing w:val="-4"/>
          <w:sz w:val="24"/>
        </w:rPr>
        <w:t> </w:t>
      </w:r>
      <w:r>
        <w:rPr>
          <w:sz w:val="24"/>
        </w:rPr>
        <w:t>Street,</w:t>
      </w:r>
      <w:r>
        <w:rPr>
          <w:spacing w:val="-5"/>
          <w:sz w:val="24"/>
        </w:rPr>
        <w:t> </w:t>
      </w:r>
      <w:r>
        <w:rPr>
          <w:sz w:val="24"/>
        </w:rPr>
        <w:t>Oklahoma</w:t>
      </w:r>
      <w:r>
        <w:rPr>
          <w:spacing w:val="-4"/>
          <w:sz w:val="24"/>
        </w:rPr>
        <w:t> </w:t>
      </w:r>
      <w:r>
        <w:rPr>
          <w:sz w:val="24"/>
        </w:rPr>
        <w:t>City,</w:t>
      </w:r>
      <w:r>
        <w:rPr>
          <w:spacing w:val="-5"/>
          <w:sz w:val="24"/>
        </w:rPr>
        <w:t> </w:t>
      </w:r>
      <w:r>
        <w:rPr>
          <w:sz w:val="24"/>
        </w:rPr>
        <w:t>Oklahoma</w:t>
      </w:r>
      <w:r>
        <w:rPr>
          <w:spacing w:val="-4"/>
          <w:sz w:val="24"/>
        </w:rPr>
        <w:t> </w:t>
      </w:r>
      <w:r>
        <w:rPr>
          <w:sz w:val="24"/>
        </w:rPr>
        <w:t>73105. Applications submitted by fax machine cannot be accepted.</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1-1-95</w:t>
      </w:r>
      <w:r>
        <w:rPr>
          <w:sz w:val="22"/>
        </w:rPr>
        <w:tab/>
        <w:t>PT Memo #95-1</w:t>
      </w:r>
    </w:p>
    <w:p>
      <w:pPr>
        <w:tabs>
          <w:tab w:pos="1439" w:val="left" w:leader="none"/>
        </w:tabs>
        <w:spacing w:before="1"/>
        <w:ind w:left="359" w:right="6479" w:firstLine="1080"/>
        <w:jc w:val="left"/>
        <w:rPr>
          <w:sz w:val="22"/>
        </w:rPr>
      </w:pPr>
      <w:r>
        <w:rPr>
          <w:sz w:val="22"/>
        </w:rPr>
        <w:t>ITS:</w:t>
      </w:r>
      <w:r>
        <w:rPr>
          <w:spacing w:val="-13"/>
          <w:sz w:val="22"/>
        </w:rPr>
        <w:t> </w:t>
      </w:r>
      <w:r>
        <w:rPr>
          <w:sz w:val="22"/>
        </w:rPr>
        <w:t>Voter</w:t>
      </w:r>
      <w:r>
        <w:rPr>
          <w:spacing w:val="-13"/>
          <w:sz w:val="22"/>
        </w:rPr>
        <w:t> </w:t>
      </w:r>
      <w:r>
        <w:rPr>
          <w:sz w:val="22"/>
        </w:rPr>
        <w:t>registration</w:t>
      </w:r>
      <w:r>
        <w:rPr>
          <w:spacing w:val="-13"/>
          <w:sz w:val="22"/>
        </w:rPr>
        <w:t> </w:t>
      </w:r>
      <w:r>
        <w:rPr>
          <w:sz w:val="22"/>
        </w:rPr>
        <w:t>Act </w:t>
      </w:r>
      <w:r>
        <w:rPr>
          <w:spacing w:val="-2"/>
          <w:sz w:val="22"/>
        </w:rPr>
        <w:t>8-1-96</w:t>
      </w:r>
      <w:r>
        <w:rPr>
          <w:sz w:val="22"/>
        </w:rPr>
        <w:tab/>
        <w:t>PT Memo #97-2</w:t>
      </w:r>
    </w:p>
    <w:p>
      <w:pPr>
        <w:tabs>
          <w:tab w:pos="1439" w:val="left" w:leader="none"/>
        </w:tabs>
        <w:spacing w:before="0"/>
        <w:ind w:left="359" w:right="4045" w:firstLine="1080"/>
        <w:jc w:val="left"/>
        <w:rPr>
          <w:sz w:val="22"/>
        </w:rPr>
      </w:pPr>
      <w:r>
        <w:rPr>
          <w:sz w:val="22"/>
        </w:rPr>
        <w:t>Permanent,</w:t>
      </w:r>
      <w:r>
        <w:rPr>
          <w:spacing w:val="-7"/>
          <w:sz w:val="22"/>
        </w:rPr>
        <w:t> </w:t>
      </w:r>
      <w:r>
        <w:rPr>
          <w:sz w:val="22"/>
        </w:rPr>
        <w:t>changed</w:t>
      </w:r>
      <w:r>
        <w:rPr>
          <w:spacing w:val="-8"/>
          <w:sz w:val="22"/>
        </w:rPr>
        <w:t> </w:t>
      </w:r>
      <w:r>
        <w:rPr>
          <w:sz w:val="22"/>
        </w:rPr>
        <w:t>names</w:t>
      </w:r>
      <w:r>
        <w:rPr>
          <w:spacing w:val="-8"/>
          <w:sz w:val="22"/>
        </w:rPr>
        <w:t> </w:t>
      </w:r>
      <w:r>
        <w:rPr>
          <w:sz w:val="22"/>
        </w:rPr>
        <w:t>of</w:t>
      </w:r>
      <w:r>
        <w:rPr>
          <w:spacing w:val="-8"/>
          <w:sz w:val="22"/>
        </w:rPr>
        <w:t> </w:t>
      </w:r>
      <w:r>
        <w:rPr>
          <w:sz w:val="22"/>
        </w:rPr>
        <w:t>appendices</w:t>
      </w:r>
      <w:r>
        <w:rPr>
          <w:spacing w:val="-8"/>
          <w:sz w:val="22"/>
        </w:rPr>
        <w:t> </w:t>
      </w:r>
      <w:r>
        <w:rPr>
          <w:sz w:val="22"/>
        </w:rPr>
        <w:t>(forms) </w:t>
      </w:r>
      <w:r>
        <w:rPr>
          <w:spacing w:val="-2"/>
          <w:sz w:val="22"/>
        </w:rPr>
        <w:t>7-1-99</w:t>
      </w:r>
      <w:r>
        <w:rPr>
          <w:sz w:val="22"/>
        </w:rPr>
        <w:tab/>
        <w:t>POL Memo #00-1</w:t>
      </w:r>
    </w:p>
    <w:p>
      <w:pPr>
        <w:tabs>
          <w:tab w:pos="1439" w:val="left" w:leader="none"/>
        </w:tabs>
        <w:spacing w:before="0"/>
        <w:ind w:left="359" w:right="6700" w:firstLine="1080"/>
        <w:jc w:val="left"/>
        <w:rPr>
          <w:sz w:val="22"/>
        </w:rPr>
      </w:pPr>
      <w:r>
        <w:rPr>
          <w:sz w:val="22"/>
        </w:rPr>
        <w:t>ITS:</w:t>
      </w:r>
      <w:r>
        <w:rPr>
          <w:spacing w:val="-16"/>
          <w:sz w:val="22"/>
        </w:rPr>
        <w:t> </w:t>
      </w:r>
      <w:r>
        <w:rPr>
          <w:sz w:val="22"/>
        </w:rPr>
        <w:t>updated</w:t>
      </w:r>
      <w:r>
        <w:rPr>
          <w:spacing w:val="-15"/>
          <w:sz w:val="22"/>
        </w:rPr>
        <w:t> </w:t>
      </w:r>
      <w:r>
        <w:rPr>
          <w:sz w:val="22"/>
        </w:rPr>
        <w:t>DVR/DVS </w:t>
      </w:r>
      <w:r>
        <w:rPr>
          <w:spacing w:val="-2"/>
          <w:sz w:val="22"/>
        </w:rPr>
        <w:t>7-1-11</w:t>
      </w:r>
      <w:r>
        <w:rPr>
          <w:sz w:val="22"/>
        </w:rPr>
        <w:tab/>
        <w:t>PT Memo #12-01</w:t>
      </w:r>
    </w:p>
    <w:p>
      <w:pPr>
        <w:spacing w:before="0"/>
        <w:ind w:left="1439" w:right="0" w:firstLine="0"/>
        <w:jc w:val="left"/>
        <w:rPr>
          <w:sz w:val="22"/>
        </w:rPr>
      </w:pPr>
      <w:r>
        <w:rPr>
          <w:sz w:val="22"/>
        </w:rPr>
        <w:t>Permanent,</w:t>
      </w:r>
      <w:r>
        <w:rPr>
          <w:spacing w:val="-10"/>
          <w:sz w:val="22"/>
        </w:rPr>
        <w:t> </w:t>
      </w:r>
      <w:r>
        <w:rPr>
          <w:sz w:val="22"/>
        </w:rPr>
        <w:t>updated</w:t>
      </w:r>
      <w:r>
        <w:rPr>
          <w:spacing w:val="-11"/>
          <w:sz w:val="22"/>
        </w:rPr>
        <w:t> </w:t>
      </w:r>
      <w:r>
        <w:rPr>
          <w:spacing w:val="-2"/>
          <w:sz w:val="22"/>
        </w:rPr>
        <w:t>language</w:t>
      </w:r>
    </w:p>
    <w:p>
      <w:pPr>
        <w:spacing w:after="0"/>
        <w:jc w:val="left"/>
        <w:rPr>
          <w:sz w:val="22"/>
        </w:rPr>
        <w:sectPr>
          <w:pgSz w:w="12240" w:h="15840"/>
          <w:pgMar w:top="1340" w:bottom="280" w:left="1080" w:right="720"/>
        </w:sectPr>
      </w:pPr>
    </w:p>
    <w:p>
      <w:pPr>
        <w:pStyle w:val="Heading2"/>
      </w:pPr>
      <w:bookmarkStart w:name="612:15-3-3.  Reading materials" w:id="309"/>
      <w:bookmarkEnd w:id="309"/>
      <w:r>
        <w:rPr>
          <w:b w:val="0"/>
        </w:rPr>
      </w:r>
      <w:r>
        <w:rPr/>
        <w:t>612:15-3-3.</w:t>
      </w:r>
      <w:r>
        <w:rPr>
          <w:spacing w:val="58"/>
        </w:rPr>
        <w:t> </w:t>
      </w:r>
      <w:r>
        <w:rPr/>
        <w:t>Reading</w:t>
      </w:r>
      <w:r>
        <w:rPr>
          <w:spacing w:val="-4"/>
        </w:rPr>
        <w:t> </w:t>
      </w:r>
      <w:r>
        <w:rPr>
          <w:spacing w:val="-2"/>
        </w:rPr>
        <w:t>materials</w:t>
      </w:r>
    </w:p>
    <w:p>
      <w:pPr>
        <w:pStyle w:val="ListParagraph"/>
        <w:numPr>
          <w:ilvl w:val="0"/>
          <w:numId w:val="319"/>
        </w:numPr>
        <w:tabs>
          <w:tab w:pos="784" w:val="left" w:leader="none"/>
        </w:tabs>
        <w:spacing w:line="208" w:lineRule="auto" w:before="233" w:after="0"/>
        <w:ind w:left="359" w:right="898" w:firstLine="0"/>
        <w:jc w:val="left"/>
        <w:rPr>
          <w:sz w:val="24"/>
        </w:rPr>
      </w:pPr>
      <w:r>
        <w:rPr>
          <w:sz w:val="24"/>
        </w:rPr>
        <w:t>General</w:t>
      </w:r>
      <w:r>
        <w:rPr>
          <w:spacing w:val="-4"/>
          <w:sz w:val="24"/>
        </w:rPr>
        <w:t> </w:t>
      </w:r>
      <w:r>
        <w:rPr>
          <w:sz w:val="24"/>
        </w:rPr>
        <w:t>guidelines.</w:t>
      </w:r>
      <w:r>
        <w:rPr>
          <w:spacing w:val="-4"/>
          <w:sz w:val="24"/>
        </w:rPr>
        <w:t> </w:t>
      </w:r>
      <w:r>
        <w:rPr>
          <w:sz w:val="24"/>
        </w:rPr>
        <w:t>Reading</w:t>
      </w:r>
      <w:r>
        <w:rPr>
          <w:spacing w:val="-4"/>
          <w:sz w:val="24"/>
        </w:rPr>
        <w:t> </w:t>
      </w:r>
      <w:r>
        <w:rPr>
          <w:sz w:val="24"/>
        </w:rPr>
        <w:t>materials</w:t>
      </w:r>
      <w:r>
        <w:rPr>
          <w:spacing w:val="-4"/>
          <w:sz w:val="24"/>
        </w:rPr>
        <w:t> </w:t>
      </w:r>
      <w:r>
        <w:rPr>
          <w:sz w:val="24"/>
        </w:rPr>
        <w:t>loaned</w:t>
      </w:r>
      <w:r>
        <w:rPr>
          <w:spacing w:val="-4"/>
          <w:sz w:val="24"/>
        </w:rPr>
        <w:t> </w:t>
      </w:r>
      <w:r>
        <w:rPr>
          <w:sz w:val="24"/>
        </w:rPr>
        <w:t>through</w:t>
      </w:r>
      <w:r>
        <w:rPr>
          <w:spacing w:val="-4"/>
          <w:sz w:val="24"/>
        </w:rPr>
        <w:t> </w:t>
      </w:r>
      <w:r>
        <w:rPr>
          <w:sz w:val="24"/>
        </w:rPr>
        <w:t>the</w:t>
      </w:r>
      <w:r>
        <w:rPr>
          <w:spacing w:val="-4"/>
          <w:sz w:val="24"/>
        </w:rPr>
        <w:t> </w:t>
      </w:r>
      <w:r>
        <w:rPr>
          <w:sz w:val="24"/>
        </w:rPr>
        <w:t>National</w:t>
      </w:r>
      <w:r>
        <w:rPr>
          <w:spacing w:val="-4"/>
          <w:sz w:val="24"/>
        </w:rPr>
        <w:t> </w:t>
      </w:r>
      <w:r>
        <w:rPr>
          <w:sz w:val="24"/>
        </w:rPr>
        <w:t>Library</w:t>
      </w:r>
      <w:r>
        <w:rPr>
          <w:spacing w:val="-4"/>
          <w:sz w:val="24"/>
        </w:rPr>
        <w:t> </w:t>
      </w:r>
      <w:r>
        <w:rPr>
          <w:sz w:val="24"/>
        </w:rPr>
        <w:t>Service and the equipment needed to read these materials are provided and maintained at no cost to the patron. Patrons may borrow playback equipment for an indefinite period of time. Patrons</w:t>
      </w:r>
      <w:r>
        <w:rPr>
          <w:spacing w:val="-1"/>
          <w:sz w:val="24"/>
        </w:rPr>
        <w:t> </w:t>
      </w:r>
      <w:r>
        <w:rPr>
          <w:sz w:val="24"/>
        </w:rPr>
        <w:t>must check</w:t>
      </w:r>
      <w:r>
        <w:rPr>
          <w:spacing w:val="-1"/>
          <w:sz w:val="24"/>
        </w:rPr>
        <w:t> </w:t>
      </w:r>
      <w:r>
        <w:rPr>
          <w:sz w:val="24"/>
        </w:rPr>
        <w:t>out at least one</w:t>
      </w:r>
      <w:r>
        <w:rPr>
          <w:spacing w:val="-1"/>
          <w:sz w:val="24"/>
        </w:rPr>
        <w:t> </w:t>
      </w:r>
      <w:r>
        <w:rPr>
          <w:sz w:val="24"/>
        </w:rPr>
        <w:t>NLS</w:t>
      </w:r>
      <w:r>
        <w:rPr>
          <w:spacing w:val="-1"/>
          <w:sz w:val="24"/>
        </w:rPr>
        <w:t> </w:t>
      </w:r>
      <w:r>
        <w:rPr>
          <w:sz w:val="24"/>
        </w:rPr>
        <w:t>book</w:t>
      </w:r>
      <w:r>
        <w:rPr>
          <w:spacing w:val="-1"/>
          <w:sz w:val="24"/>
        </w:rPr>
        <w:t> </w:t>
      </w:r>
      <w:r>
        <w:rPr>
          <w:sz w:val="24"/>
        </w:rPr>
        <w:t>per year</w:t>
      </w:r>
      <w:r>
        <w:rPr>
          <w:spacing w:val="-2"/>
          <w:sz w:val="24"/>
        </w:rPr>
        <w:t> </w:t>
      </w:r>
      <w:r>
        <w:rPr>
          <w:sz w:val="24"/>
        </w:rPr>
        <w:t>to</w:t>
      </w:r>
      <w:r>
        <w:rPr>
          <w:spacing w:val="-1"/>
          <w:sz w:val="24"/>
        </w:rPr>
        <w:t> </w:t>
      </w:r>
      <w:r>
        <w:rPr>
          <w:sz w:val="24"/>
        </w:rPr>
        <w:t>maintain</w:t>
      </w:r>
      <w:r>
        <w:rPr>
          <w:spacing w:val="-1"/>
          <w:sz w:val="24"/>
        </w:rPr>
        <w:t> </w:t>
      </w:r>
      <w:r>
        <w:rPr>
          <w:sz w:val="24"/>
        </w:rPr>
        <w:t>eligibility</w:t>
      </w:r>
      <w:r>
        <w:rPr>
          <w:spacing w:val="-1"/>
          <w:sz w:val="24"/>
        </w:rPr>
        <w:t> </w:t>
      </w:r>
      <w:r>
        <w:rPr>
          <w:sz w:val="24"/>
        </w:rPr>
        <w:t>and be allowed to retain use of the machines.</w:t>
      </w:r>
    </w:p>
    <w:p>
      <w:pPr>
        <w:pStyle w:val="ListParagraph"/>
        <w:numPr>
          <w:ilvl w:val="0"/>
          <w:numId w:val="319"/>
        </w:numPr>
        <w:tabs>
          <w:tab w:pos="786" w:val="left" w:leader="none"/>
        </w:tabs>
        <w:spacing w:line="208" w:lineRule="auto" w:before="239" w:after="0"/>
        <w:ind w:left="360" w:right="1207" w:firstLine="0"/>
        <w:jc w:val="left"/>
        <w:rPr>
          <w:b/>
          <w:sz w:val="24"/>
        </w:rPr>
      </w:pPr>
      <w:r>
        <w:rPr>
          <w:sz w:val="24"/>
        </w:rPr>
        <w:t>Postage.</w:t>
      </w:r>
      <w:r>
        <w:rPr>
          <w:spacing w:val="-3"/>
          <w:sz w:val="24"/>
        </w:rPr>
        <w:t> </w:t>
      </w:r>
      <w:r>
        <w:rPr>
          <w:sz w:val="24"/>
        </w:rPr>
        <w:t>All</w:t>
      </w:r>
      <w:r>
        <w:rPr>
          <w:spacing w:val="-4"/>
          <w:sz w:val="24"/>
        </w:rPr>
        <w:t> </w:t>
      </w:r>
      <w:r>
        <w:rPr>
          <w:sz w:val="24"/>
        </w:rPr>
        <w:t>materials,</w:t>
      </w:r>
      <w:r>
        <w:rPr>
          <w:spacing w:val="-3"/>
          <w:sz w:val="24"/>
        </w:rPr>
        <w:t> </w:t>
      </w:r>
      <w:r>
        <w:rPr>
          <w:sz w:val="24"/>
        </w:rPr>
        <w:t>including</w:t>
      </w:r>
      <w:r>
        <w:rPr>
          <w:spacing w:val="-4"/>
          <w:sz w:val="24"/>
        </w:rPr>
        <w:t> </w:t>
      </w:r>
      <w:r>
        <w:rPr>
          <w:sz w:val="24"/>
        </w:rPr>
        <w:t>machines,</w:t>
      </w:r>
      <w:r>
        <w:rPr>
          <w:spacing w:val="-3"/>
          <w:sz w:val="24"/>
        </w:rPr>
        <w:t> </w:t>
      </w:r>
      <w:r>
        <w:rPr>
          <w:sz w:val="24"/>
        </w:rPr>
        <w:t>are</w:t>
      </w:r>
      <w:r>
        <w:rPr>
          <w:spacing w:val="-4"/>
          <w:sz w:val="24"/>
        </w:rPr>
        <w:t> </w:t>
      </w:r>
      <w:r>
        <w:rPr>
          <w:sz w:val="24"/>
        </w:rPr>
        <w:t>mailed</w:t>
      </w:r>
      <w:r>
        <w:rPr>
          <w:spacing w:val="-4"/>
          <w:sz w:val="24"/>
        </w:rPr>
        <w:t> </w:t>
      </w:r>
      <w:r>
        <w:rPr>
          <w:sz w:val="24"/>
        </w:rPr>
        <w:t>postage-free</w:t>
      </w:r>
      <w:r>
        <w:rPr>
          <w:spacing w:val="-4"/>
          <w:sz w:val="24"/>
        </w:rPr>
        <w:t> </w:t>
      </w:r>
      <w:r>
        <w:rPr>
          <w:sz w:val="24"/>
        </w:rPr>
        <w:t>to</w:t>
      </w:r>
      <w:r>
        <w:rPr>
          <w:spacing w:val="-5"/>
          <w:sz w:val="24"/>
        </w:rPr>
        <w:t> </w:t>
      </w:r>
      <w:r>
        <w:rPr>
          <w:sz w:val="24"/>
        </w:rPr>
        <w:t>and</w:t>
      </w:r>
      <w:r>
        <w:rPr>
          <w:spacing w:val="-4"/>
          <w:sz w:val="24"/>
        </w:rPr>
        <w:t> </w:t>
      </w:r>
      <w:r>
        <w:rPr>
          <w:sz w:val="24"/>
        </w:rPr>
        <w:t>from patrons, using the Free Matter for the Blind and Handicapped mailing privilege. </w:t>
      </w:r>
      <w:r>
        <w:rPr>
          <w:b/>
          <w:sz w:val="24"/>
        </w:rPr>
        <w:t>1</w:t>
      </w:r>
    </w:p>
    <w:p>
      <w:pPr>
        <w:pStyle w:val="ListParagraph"/>
        <w:numPr>
          <w:ilvl w:val="0"/>
          <w:numId w:val="319"/>
        </w:numPr>
        <w:tabs>
          <w:tab w:pos="773" w:val="left" w:leader="none"/>
        </w:tabs>
        <w:spacing w:line="208" w:lineRule="auto" w:before="240" w:after="0"/>
        <w:ind w:left="360" w:right="1088" w:firstLine="0"/>
        <w:jc w:val="left"/>
        <w:rPr>
          <w:sz w:val="24"/>
        </w:rPr>
      </w:pPr>
      <w:r>
        <w:rPr>
          <w:sz w:val="24"/>
        </w:rPr>
        <w:t>Types</w:t>
      </w:r>
      <w:r>
        <w:rPr>
          <w:spacing w:val="-5"/>
          <w:sz w:val="24"/>
        </w:rPr>
        <w:t> </w:t>
      </w:r>
      <w:r>
        <w:rPr>
          <w:sz w:val="24"/>
        </w:rPr>
        <w:t>of</w:t>
      </w:r>
      <w:r>
        <w:rPr>
          <w:spacing w:val="-3"/>
          <w:sz w:val="24"/>
        </w:rPr>
        <w:t> </w:t>
      </w:r>
      <w:r>
        <w:rPr>
          <w:sz w:val="24"/>
        </w:rPr>
        <w:t>reading</w:t>
      </w:r>
      <w:r>
        <w:rPr>
          <w:spacing w:val="-4"/>
          <w:sz w:val="24"/>
        </w:rPr>
        <w:t> </w:t>
      </w:r>
      <w:r>
        <w:rPr>
          <w:sz w:val="24"/>
        </w:rPr>
        <w:t>material.</w:t>
      </w:r>
      <w:r>
        <w:rPr>
          <w:spacing w:val="-3"/>
          <w:sz w:val="24"/>
        </w:rPr>
        <w:t> </w:t>
      </w:r>
      <w:r>
        <w:rPr>
          <w:sz w:val="24"/>
        </w:rPr>
        <w:t>Materials</w:t>
      </w:r>
      <w:r>
        <w:rPr>
          <w:spacing w:val="-4"/>
          <w:sz w:val="24"/>
        </w:rPr>
        <w:t> </w:t>
      </w:r>
      <w:r>
        <w:rPr>
          <w:sz w:val="24"/>
        </w:rPr>
        <w:t>available</w:t>
      </w:r>
      <w:r>
        <w:rPr>
          <w:spacing w:val="-4"/>
          <w:sz w:val="24"/>
        </w:rPr>
        <w:t> </w:t>
      </w:r>
      <w:r>
        <w:rPr>
          <w:sz w:val="24"/>
        </w:rPr>
        <w:t>from</w:t>
      </w:r>
      <w:r>
        <w:rPr>
          <w:spacing w:val="-5"/>
          <w:sz w:val="24"/>
        </w:rPr>
        <w:t> </w:t>
      </w:r>
      <w:r>
        <w:rPr>
          <w:sz w:val="24"/>
        </w:rPr>
        <w:t>the</w:t>
      </w:r>
      <w:r>
        <w:rPr>
          <w:spacing w:val="-4"/>
          <w:sz w:val="24"/>
        </w:rPr>
        <w:t> </w:t>
      </w:r>
      <w:r>
        <w:rPr>
          <w:sz w:val="24"/>
        </w:rPr>
        <w:t>Library</w:t>
      </w:r>
      <w:r>
        <w:rPr>
          <w:spacing w:val="-5"/>
          <w:sz w:val="24"/>
        </w:rPr>
        <w:t> </w:t>
      </w:r>
      <w:r>
        <w:rPr>
          <w:sz w:val="24"/>
        </w:rPr>
        <w:t>include</w:t>
      </w:r>
      <w:r>
        <w:rPr>
          <w:spacing w:val="-4"/>
          <w:sz w:val="24"/>
        </w:rPr>
        <w:t> </w:t>
      </w:r>
      <w:r>
        <w:rPr>
          <w:sz w:val="24"/>
        </w:rPr>
        <w:t>books</w:t>
      </w:r>
      <w:r>
        <w:rPr>
          <w:spacing w:val="-4"/>
          <w:sz w:val="24"/>
        </w:rPr>
        <w:t> </w:t>
      </w:r>
      <w:r>
        <w:rPr>
          <w:sz w:val="24"/>
        </w:rPr>
        <w:t>and magazines for adults, young adults, and children, and educational materials for </w:t>
      </w:r>
      <w:r>
        <w:rPr>
          <w:spacing w:val="-2"/>
          <w:sz w:val="24"/>
        </w:rPr>
        <w:t>students.</w:t>
      </w:r>
    </w:p>
    <w:p>
      <w:pPr>
        <w:pStyle w:val="ListParagraph"/>
        <w:numPr>
          <w:ilvl w:val="0"/>
          <w:numId w:val="319"/>
        </w:numPr>
        <w:tabs>
          <w:tab w:pos="786" w:val="left" w:leader="none"/>
        </w:tabs>
        <w:spacing w:line="208" w:lineRule="auto" w:before="240" w:after="0"/>
        <w:ind w:left="360" w:right="808" w:firstLine="0"/>
        <w:jc w:val="left"/>
        <w:rPr>
          <w:sz w:val="24"/>
        </w:rPr>
      </w:pPr>
      <w:r>
        <w:rPr>
          <w:sz w:val="24"/>
        </w:rPr>
        <w:t>Reading</w:t>
      </w:r>
      <w:r>
        <w:rPr>
          <w:spacing w:val="-4"/>
          <w:sz w:val="24"/>
        </w:rPr>
        <w:t> </w:t>
      </w:r>
      <w:r>
        <w:rPr>
          <w:sz w:val="24"/>
        </w:rPr>
        <w:t>material</w:t>
      </w:r>
      <w:r>
        <w:rPr>
          <w:spacing w:val="-4"/>
          <w:sz w:val="24"/>
        </w:rPr>
        <w:t> </w:t>
      </w:r>
      <w:r>
        <w:rPr>
          <w:sz w:val="24"/>
        </w:rPr>
        <w:t>formats.</w:t>
      </w:r>
      <w:r>
        <w:rPr>
          <w:spacing w:val="40"/>
          <w:sz w:val="24"/>
        </w:rPr>
        <w:t> </w:t>
      </w:r>
      <w:r>
        <w:rPr>
          <w:sz w:val="24"/>
        </w:rPr>
        <w:t>As</w:t>
      </w:r>
      <w:r>
        <w:rPr>
          <w:spacing w:val="-5"/>
          <w:sz w:val="24"/>
        </w:rPr>
        <w:t> </w:t>
      </w:r>
      <w:r>
        <w:rPr>
          <w:sz w:val="24"/>
        </w:rPr>
        <w:t>part</w:t>
      </w:r>
      <w:r>
        <w:rPr>
          <w:spacing w:val="-3"/>
          <w:sz w:val="24"/>
        </w:rPr>
        <w:t> </w:t>
      </w:r>
      <w:r>
        <w:rPr>
          <w:sz w:val="24"/>
        </w:rPr>
        <w:t>of</w:t>
      </w:r>
      <w:r>
        <w:rPr>
          <w:spacing w:val="-5"/>
          <w:sz w:val="24"/>
        </w:rPr>
        <w:t> </w:t>
      </w:r>
      <w:r>
        <w:rPr>
          <w:sz w:val="24"/>
        </w:rPr>
        <w:t>the</w:t>
      </w:r>
      <w:r>
        <w:rPr>
          <w:spacing w:val="-5"/>
          <w:sz w:val="24"/>
        </w:rPr>
        <w:t> </w:t>
      </w:r>
      <w:r>
        <w:rPr>
          <w:sz w:val="24"/>
        </w:rPr>
        <w:t>National</w:t>
      </w:r>
      <w:r>
        <w:rPr>
          <w:spacing w:val="-4"/>
          <w:sz w:val="24"/>
        </w:rPr>
        <w:t> </w:t>
      </w:r>
      <w:r>
        <w:rPr>
          <w:sz w:val="24"/>
        </w:rPr>
        <w:t>Library</w:t>
      </w:r>
      <w:r>
        <w:rPr>
          <w:spacing w:val="-4"/>
          <w:sz w:val="24"/>
        </w:rPr>
        <w:t> </w:t>
      </w:r>
      <w:r>
        <w:rPr>
          <w:sz w:val="24"/>
        </w:rPr>
        <w:t>Service,</w:t>
      </w:r>
      <w:r>
        <w:rPr>
          <w:spacing w:val="-3"/>
          <w:sz w:val="24"/>
        </w:rPr>
        <w:t> </w:t>
      </w:r>
      <w:r>
        <w:rPr>
          <w:sz w:val="24"/>
        </w:rPr>
        <w:t>OLBPH</w:t>
      </w:r>
      <w:r>
        <w:rPr>
          <w:spacing w:val="-4"/>
          <w:sz w:val="24"/>
        </w:rPr>
        <w:t> </w:t>
      </w:r>
      <w:r>
        <w:rPr>
          <w:sz w:val="24"/>
        </w:rPr>
        <w:t>provides audio and Braille reading materials to eligible individuals.</w:t>
      </w:r>
    </w:p>
    <w:p>
      <w:pPr>
        <w:pStyle w:val="BodyText"/>
        <w:spacing w:before="210"/>
      </w:pPr>
      <w:r>
        <w:rPr/>
        <w:t>INSTRUCTIONS</w:t>
      </w:r>
      <w:r>
        <w:rPr>
          <w:spacing w:val="-3"/>
        </w:rPr>
        <w:t> </w:t>
      </w:r>
      <w:r>
        <w:rPr/>
        <w:t>TO</w:t>
      </w:r>
      <w:r>
        <w:rPr>
          <w:spacing w:val="-2"/>
        </w:rPr>
        <w:t> </w:t>
      </w:r>
      <w:r>
        <w:rPr>
          <w:spacing w:val="-4"/>
        </w:rPr>
        <w:t>STAFF</w:t>
      </w:r>
    </w:p>
    <w:p>
      <w:pPr>
        <w:pStyle w:val="BodyText"/>
        <w:spacing w:before="204"/>
        <w:ind w:left="791"/>
      </w:pPr>
      <w:r>
        <w:rPr/>
        <w:t>1.</w:t>
      </w:r>
      <w:r>
        <w:rPr>
          <w:spacing w:val="19"/>
        </w:rPr>
        <w:t> </w:t>
      </w:r>
      <w:r>
        <w:rPr/>
        <w:t>Link</w:t>
      </w:r>
      <w:r>
        <w:rPr>
          <w:spacing w:val="-2"/>
        </w:rPr>
        <w:t> </w:t>
      </w:r>
      <w:r>
        <w:rPr/>
        <w:t>to</w:t>
      </w:r>
      <w:r>
        <w:rPr>
          <w:spacing w:val="-1"/>
        </w:rPr>
        <w:t> </w:t>
      </w:r>
      <w:hyperlink r:id="rId85">
        <w:r>
          <w:rPr>
            <w:color w:val="0000FF"/>
            <w:u w:val="single" w:color="0000FF"/>
          </w:rPr>
          <w:t>Free</w:t>
        </w:r>
        <w:r>
          <w:rPr>
            <w:color w:val="0000FF"/>
            <w:spacing w:val="-2"/>
            <w:u w:val="single" w:color="0000FF"/>
          </w:rPr>
          <w:t> </w:t>
        </w:r>
        <w:r>
          <w:rPr>
            <w:color w:val="0000FF"/>
            <w:u w:val="single" w:color="0000FF"/>
          </w:rPr>
          <w:t>Matter</w:t>
        </w:r>
        <w:r>
          <w:rPr>
            <w:color w:val="0000FF"/>
            <w:spacing w:val="-2"/>
            <w:u w:val="single" w:color="0000FF"/>
          </w:rPr>
          <w:t> Rules</w:t>
        </w:r>
      </w:hyperlink>
    </w:p>
    <w:p>
      <w:pPr>
        <w:spacing w:before="238"/>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8-1-96</w:t>
      </w:r>
      <w:r>
        <w:rPr>
          <w:sz w:val="22"/>
        </w:rPr>
        <w:tab/>
        <w:t>PT Memo #97-2</w:t>
      </w:r>
    </w:p>
    <w:p>
      <w:pPr>
        <w:tabs>
          <w:tab w:pos="1439" w:val="left" w:leader="none"/>
        </w:tabs>
        <w:spacing w:before="0"/>
        <w:ind w:left="359" w:right="1809" w:firstLine="1080"/>
        <w:jc w:val="left"/>
        <w:rPr>
          <w:sz w:val="22"/>
        </w:rPr>
      </w:pPr>
      <w:r>
        <w:rPr>
          <w:sz w:val="22"/>
        </w:rPr>
        <w:t>Permanent,</w:t>
      </w:r>
      <w:r>
        <w:rPr>
          <w:spacing w:val="-4"/>
          <w:sz w:val="22"/>
        </w:rPr>
        <w:t> </w:t>
      </w:r>
      <w:r>
        <w:rPr>
          <w:sz w:val="22"/>
        </w:rPr>
        <w:t>clarified</w:t>
      </w:r>
      <w:r>
        <w:rPr>
          <w:spacing w:val="-6"/>
          <w:sz w:val="22"/>
        </w:rPr>
        <w:t> </w:t>
      </w:r>
      <w:r>
        <w:rPr>
          <w:sz w:val="22"/>
        </w:rPr>
        <w:t>services</w:t>
      </w:r>
      <w:r>
        <w:rPr>
          <w:spacing w:val="-5"/>
          <w:sz w:val="22"/>
        </w:rPr>
        <w:t> </w:t>
      </w:r>
      <w:r>
        <w:rPr>
          <w:sz w:val="22"/>
        </w:rPr>
        <w:t>provided</w:t>
      </w:r>
      <w:r>
        <w:rPr>
          <w:spacing w:val="-5"/>
          <w:sz w:val="22"/>
        </w:rPr>
        <w:t> </w:t>
      </w:r>
      <w:r>
        <w:rPr>
          <w:sz w:val="22"/>
        </w:rPr>
        <w:t>are</w:t>
      </w:r>
      <w:r>
        <w:rPr>
          <w:spacing w:val="-5"/>
          <w:sz w:val="22"/>
        </w:rPr>
        <w:t> </w:t>
      </w:r>
      <w:r>
        <w:rPr>
          <w:sz w:val="22"/>
        </w:rPr>
        <w:t>part</w:t>
      </w:r>
      <w:r>
        <w:rPr>
          <w:spacing w:val="-5"/>
          <w:sz w:val="22"/>
        </w:rPr>
        <w:t> </w:t>
      </w:r>
      <w:r>
        <w:rPr>
          <w:sz w:val="22"/>
        </w:rPr>
        <w:t>of</w:t>
      </w:r>
      <w:r>
        <w:rPr>
          <w:spacing w:val="-5"/>
          <w:sz w:val="22"/>
        </w:rPr>
        <w:t> </w:t>
      </w:r>
      <w:r>
        <w:rPr>
          <w:sz w:val="22"/>
        </w:rPr>
        <w:t>National</w:t>
      </w:r>
      <w:r>
        <w:rPr>
          <w:spacing w:val="-6"/>
          <w:sz w:val="22"/>
        </w:rPr>
        <w:t> </w:t>
      </w:r>
      <w:r>
        <w:rPr>
          <w:sz w:val="22"/>
        </w:rPr>
        <w:t>Library</w:t>
      </w:r>
      <w:r>
        <w:rPr>
          <w:spacing w:val="-5"/>
          <w:sz w:val="22"/>
        </w:rPr>
        <w:t> </w:t>
      </w:r>
      <w:r>
        <w:rPr>
          <w:sz w:val="22"/>
        </w:rPr>
        <w:t>System </w:t>
      </w:r>
      <w:r>
        <w:rPr>
          <w:spacing w:val="-2"/>
          <w:sz w:val="22"/>
        </w:rPr>
        <w:t>3-31-98</w:t>
      </w:r>
      <w:r>
        <w:rPr>
          <w:sz w:val="22"/>
        </w:rPr>
        <w:tab/>
        <w:t>PT Memo #98-13</w:t>
      </w:r>
    </w:p>
    <w:p>
      <w:pPr>
        <w:spacing w:before="0"/>
        <w:ind w:left="1439" w:right="1036" w:firstLine="0"/>
        <w:jc w:val="left"/>
        <w:rPr>
          <w:sz w:val="22"/>
        </w:rPr>
      </w:pPr>
      <w:r>
        <w:rPr>
          <w:sz w:val="22"/>
        </w:rPr>
        <w:t>Emergency,</w:t>
      </w:r>
      <w:r>
        <w:rPr>
          <w:spacing w:val="-4"/>
          <w:sz w:val="22"/>
        </w:rPr>
        <w:t> </w:t>
      </w:r>
      <w:r>
        <w:rPr>
          <w:sz w:val="22"/>
        </w:rPr>
        <w:t>Braille</w:t>
      </w:r>
      <w:r>
        <w:rPr>
          <w:spacing w:val="-4"/>
          <w:sz w:val="22"/>
        </w:rPr>
        <w:t> </w:t>
      </w:r>
      <w:r>
        <w:rPr>
          <w:sz w:val="22"/>
        </w:rPr>
        <w:t>reading</w:t>
      </w:r>
      <w:r>
        <w:rPr>
          <w:spacing w:val="-4"/>
          <w:sz w:val="22"/>
        </w:rPr>
        <w:t> </w:t>
      </w:r>
      <w:r>
        <w:rPr>
          <w:sz w:val="22"/>
        </w:rPr>
        <w:t>materials</w:t>
      </w:r>
      <w:r>
        <w:rPr>
          <w:spacing w:val="-4"/>
          <w:sz w:val="22"/>
        </w:rPr>
        <w:t> </w:t>
      </w:r>
      <w:r>
        <w:rPr>
          <w:sz w:val="22"/>
        </w:rPr>
        <w:t>are</w:t>
      </w:r>
      <w:r>
        <w:rPr>
          <w:spacing w:val="-4"/>
          <w:sz w:val="22"/>
        </w:rPr>
        <w:t> </w:t>
      </w:r>
      <w:r>
        <w:rPr>
          <w:sz w:val="22"/>
        </w:rPr>
        <w:t>no</w:t>
      </w:r>
      <w:r>
        <w:rPr>
          <w:spacing w:val="-4"/>
          <w:sz w:val="22"/>
        </w:rPr>
        <w:t> </w:t>
      </w:r>
      <w:r>
        <w:rPr>
          <w:sz w:val="22"/>
        </w:rPr>
        <w:t>longer</w:t>
      </w:r>
      <w:r>
        <w:rPr>
          <w:spacing w:val="-4"/>
          <w:sz w:val="22"/>
        </w:rPr>
        <w:t> </w:t>
      </w:r>
      <w:r>
        <w:rPr>
          <w:sz w:val="22"/>
        </w:rPr>
        <w:t>available</w:t>
      </w:r>
      <w:r>
        <w:rPr>
          <w:spacing w:val="-5"/>
          <w:sz w:val="22"/>
        </w:rPr>
        <w:t> </w:t>
      </w:r>
      <w:r>
        <w:rPr>
          <w:sz w:val="22"/>
        </w:rPr>
        <w:t>locally.</w:t>
      </w:r>
      <w:r>
        <w:rPr>
          <w:spacing w:val="-4"/>
          <w:sz w:val="22"/>
        </w:rPr>
        <w:t> </w:t>
      </w:r>
      <w:r>
        <w:rPr>
          <w:sz w:val="22"/>
        </w:rPr>
        <w:t>Patrons</w:t>
      </w:r>
      <w:r>
        <w:rPr>
          <w:spacing w:val="-4"/>
          <w:sz w:val="22"/>
        </w:rPr>
        <w:t> </w:t>
      </w:r>
      <w:r>
        <w:rPr>
          <w:sz w:val="22"/>
        </w:rPr>
        <w:t>now use the services of the National Library Services' Multi-state Center in Utah</w:t>
      </w:r>
    </w:p>
    <w:p>
      <w:pPr>
        <w:pStyle w:val="ListParagraph"/>
        <w:numPr>
          <w:ilvl w:val="2"/>
          <w:numId w:val="179"/>
        </w:numPr>
        <w:tabs>
          <w:tab w:pos="1439" w:val="left" w:leader="none"/>
        </w:tabs>
        <w:spacing w:line="240" w:lineRule="auto" w:before="0" w:after="0"/>
        <w:ind w:left="1439" w:right="0" w:hanging="1080"/>
        <w:jc w:val="left"/>
        <w:rPr>
          <w:sz w:val="22"/>
        </w:rPr>
      </w:pPr>
      <w:r>
        <w:rPr>
          <w:sz w:val="22"/>
        </w:rPr>
        <w:t>POL</w:t>
      </w:r>
      <w:r>
        <w:rPr>
          <w:spacing w:val="-9"/>
          <w:sz w:val="22"/>
        </w:rPr>
        <w:t> </w:t>
      </w:r>
      <w:r>
        <w:rPr>
          <w:sz w:val="22"/>
        </w:rPr>
        <w:t>Memo</w:t>
      </w:r>
      <w:r>
        <w:rPr>
          <w:spacing w:val="-8"/>
          <w:sz w:val="22"/>
        </w:rPr>
        <w:t> </w:t>
      </w:r>
      <w:r>
        <w:rPr>
          <w:sz w:val="22"/>
        </w:rPr>
        <w:t>#00-</w:t>
      </w:r>
      <w:r>
        <w:rPr>
          <w:spacing w:val="-10"/>
          <w:sz w:val="22"/>
        </w:rPr>
        <w:t>1</w:t>
      </w:r>
    </w:p>
    <w:p>
      <w:pPr>
        <w:tabs>
          <w:tab w:pos="1439" w:val="left" w:leader="none"/>
        </w:tabs>
        <w:spacing w:before="0"/>
        <w:ind w:left="359" w:right="3093" w:firstLine="1080"/>
        <w:jc w:val="left"/>
        <w:rPr>
          <w:sz w:val="22"/>
        </w:rPr>
      </w:pPr>
      <w:r>
        <w:rPr>
          <w:sz w:val="22"/>
        </w:rPr>
        <w:t>Permanent</w:t>
      </w:r>
      <w:r>
        <w:rPr>
          <w:spacing w:val="-7"/>
          <w:sz w:val="22"/>
        </w:rPr>
        <w:t> </w:t>
      </w:r>
      <w:r>
        <w:rPr>
          <w:sz w:val="22"/>
        </w:rPr>
        <w:t>rules</w:t>
      </w:r>
      <w:r>
        <w:rPr>
          <w:spacing w:val="-7"/>
          <w:sz w:val="22"/>
        </w:rPr>
        <w:t> </w:t>
      </w:r>
      <w:r>
        <w:rPr>
          <w:sz w:val="22"/>
        </w:rPr>
        <w:t>supersede</w:t>
      </w:r>
      <w:r>
        <w:rPr>
          <w:spacing w:val="-7"/>
          <w:sz w:val="22"/>
        </w:rPr>
        <w:t> </w:t>
      </w:r>
      <w:r>
        <w:rPr>
          <w:sz w:val="22"/>
        </w:rPr>
        <w:t>emergency</w:t>
      </w:r>
      <w:r>
        <w:rPr>
          <w:spacing w:val="-7"/>
          <w:sz w:val="22"/>
        </w:rPr>
        <w:t> </w:t>
      </w:r>
      <w:r>
        <w:rPr>
          <w:sz w:val="22"/>
        </w:rPr>
        <w:t>rules</w:t>
      </w:r>
      <w:r>
        <w:rPr>
          <w:spacing w:val="-8"/>
          <w:sz w:val="22"/>
        </w:rPr>
        <w:t> </w:t>
      </w:r>
      <w:r>
        <w:rPr>
          <w:sz w:val="22"/>
        </w:rPr>
        <w:t>issued</w:t>
      </w:r>
      <w:r>
        <w:rPr>
          <w:spacing w:val="-7"/>
          <w:sz w:val="22"/>
        </w:rPr>
        <w:t> </w:t>
      </w:r>
      <w:r>
        <w:rPr>
          <w:sz w:val="22"/>
        </w:rPr>
        <w:t>3-31-98 </w:t>
      </w:r>
      <w:r>
        <w:rPr>
          <w:spacing w:val="-2"/>
          <w:sz w:val="22"/>
        </w:rPr>
        <w:t>7-1-11</w:t>
      </w:r>
      <w:r>
        <w:rPr>
          <w:sz w:val="22"/>
        </w:rPr>
        <w:tab/>
        <w:t>PT Memo #12-01</w:t>
      </w:r>
    </w:p>
    <w:p>
      <w:pPr>
        <w:spacing w:line="252" w:lineRule="exact" w:before="0"/>
        <w:ind w:left="1439" w:right="0" w:firstLine="0"/>
        <w:jc w:val="left"/>
        <w:rPr>
          <w:sz w:val="22"/>
        </w:rPr>
      </w:pPr>
      <w:r>
        <w:rPr>
          <w:sz w:val="22"/>
        </w:rPr>
        <w:t>Permanent,</w:t>
      </w:r>
      <w:r>
        <w:rPr>
          <w:spacing w:val="-10"/>
          <w:sz w:val="22"/>
        </w:rPr>
        <w:t> </w:t>
      </w:r>
      <w:r>
        <w:rPr>
          <w:sz w:val="22"/>
        </w:rPr>
        <w:t>updated</w:t>
      </w:r>
      <w:r>
        <w:rPr>
          <w:spacing w:val="-11"/>
          <w:sz w:val="22"/>
        </w:rPr>
        <w:t> </w:t>
      </w:r>
      <w:r>
        <w:rPr>
          <w:spacing w:val="-2"/>
          <w:sz w:val="22"/>
        </w:rPr>
        <w:t>language</w:t>
      </w:r>
    </w:p>
    <w:p>
      <w:pPr>
        <w:spacing w:after="0" w:line="252" w:lineRule="exact"/>
        <w:jc w:val="left"/>
        <w:rPr>
          <w:sz w:val="22"/>
        </w:rPr>
        <w:sectPr>
          <w:pgSz w:w="12240" w:h="15840"/>
          <w:pgMar w:top="1340" w:bottom="280" w:left="1080" w:right="720"/>
        </w:sectPr>
      </w:pPr>
    </w:p>
    <w:p>
      <w:pPr>
        <w:pStyle w:val="Heading2"/>
      </w:pPr>
      <w:bookmarkStart w:name="612:15-3-4.  Volunteer services" w:id="310"/>
      <w:bookmarkEnd w:id="310"/>
      <w:r>
        <w:rPr>
          <w:b w:val="0"/>
        </w:rPr>
      </w:r>
      <w:r>
        <w:rPr/>
        <w:t>612:15-3-4.</w:t>
      </w:r>
      <w:r>
        <w:rPr>
          <w:spacing w:val="57"/>
        </w:rPr>
        <w:t> </w:t>
      </w:r>
      <w:r>
        <w:rPr/>
        <w:t>Volunteer</w:t>
      </w:r>
      <w:r>
        <w:rPr>
          <w:spacing w:val="-4"/>
        </w:rPr>
        <w:t> </w:t>
      </w:r>
      <w:r>
        <w:rPr>
          <w:spacing w:val="-2"/>
        </w:rPr>
        <w:t>services</w:t>
      </w:r>
    </w:p>
    <w:p>
      <w:pPr>
        <w:pStyle w:val="ListParagraph"/>
        <w:numPr>
          <w:ilvl w:val="0"/>
          <w:numId w:val="320"/>
        </w:numPr>
        <w:tabs>
          <w:tab w:pos="786" w:val="left" w:leader="none"/>
        </w:tabs>
        <w:spacing w:line="208" w:lineRule="auto" w:before="233" w:after="0"/>
        <w:ind w:left="360" w:right="940" w:firstLine="0"/>
        <w:jc w:val="left"/>
        <w:rPr>
          <w:sz w:val="24"/>
        </w:rPr>
      </w:pPr>
      <w:r>
        <w:rPr>
          <w:sz w:val="24"/>
        </w:rPr>
        <w:t>Volunteers</w:t>
      </w:r>
      <w:r>
        <w:rPr>
          <w:spacing w:val="-5"/>
          <w:sz w:val="24"/>
        </w:rPr>
        <w:t> </w:t>
      </w:r>
      <w:r>
        <w:rPr>
          <w:sz w:val="24"/>
        </w:rPr>
        <w:t>perform</w:t>
      </w:r>
      <w:r>
        <w:rPr>
          <w:spacing w:val="-4"/>
          <w:sz w:val="24"/>
        </w:rPr>
        <w:t> </w:t>
      </w:r>
      <w:r>
        <w:rPr>
          <w:sz w:val="24"/>
        </w:rPr>
        <w:t>varied</w:t>
      </w:r>
      <w:r>
        <w:rPr>
          <w:spacing w:val="-5"/>
          <w:sz w:val="24"/>
        </w:rPr>
        <w:t> </w:t>
      </w:r>
      <w:r>
        <w:rPr>
          <w:sz w:val="24"/>
        </w:rPr>
        <w:t>Library</w:t>
      </w:r>
      <w:r>
        <w:rPr>
          <w:spacing w:val="-5"/>
          <w:sz w:val="24"/>
        </w:rPr>
        <w:t> </w:t>
      </w:r>
      <w:r>
        <w:rPr>
          <w:sz w:val="24"/>
        </w:rPr>
        <w:t>functions</w:t>
      </w:r>
      <w:r>
        <w:rPr>
          <w:spacing w:val="-5"/>
          <w:sz w:val="24"/>
        </w:rPr>
        <w:t> </w:t>
      </w:r>
      <w:r>
        <w:rPr>
          <w:sz w:val="24"/>
        </w:rPr>
        <w:t>including</w:t>
      </w:r>
      <w:r>
        <w:rPr>
          <w:spacing w:val="-5"/>
          <w:sz w:val="24"/>
        </w:rPr>
        <w:t> </w:t>
      </w:r>
      <w:r>
        <w:rPr>
          <w:sz w:val="24"/>
        </w:rPr>
        <w:t>but</w:t>
      </w:r>
      <w:r>
        <w:rPr>
          <w:spacing w:val="-4"/>
          <w:sz w:val="24"/>
        </w:rPr>
        <w:t> </w:t>
      </w:r>
      <w:r>
        <w:rPr>
          <w:sz w:val="24"/>
        </w:rPr>
        <w:t>not</w:t>
      </w:r>
      <w:r>
        <w:rPr>
          <w:spacing w:val="-4"/>
          <w:sz w:val="24"/>
        </w:rPr>
        <w:t> </w:t>
      </w:r>
      <w:r>
        <w:rPr>
          <w:sz w:val="24"/>
        </w:rPr>
        <w:t>limited</w:t>
      </w:r>
      <w:r>
        <w:rPr>
          <w:spacing w:val="-5"/>
          <w:sz w:val="24"/>
        </w:rPr>
        <w:t> </w:t>
      </w:r>
      <w:r>
        <w:rPr>
          <w:sz w:val="24"/>
        </w:rPr>
        <w:t>to</w:t>
      </w:r>
      <w:r>
        <w:rPr>
          <w:spacing w:val="-5"/>
          <w:sz w:val="24"/>
        </w:rPr>
        <w:t> </w:t>
      </w:r>
      <w:r>
        <w:rPr>
          <w:sz w:val="24"/>
        </w:rPr>
        <w:t>preparation of reading materials in alternate formats such as audio recordings and Braille.</w:t>
      </w:r>
    </w:p>
    <w:p>
      <w:pPr>
        <w:pStyle w:val="ListParagraph"/>
        <w:numPr>
          <w:ilvl w:val="0"/>
          <w:numId w:val="320"/>
        </w:numPr>
        <w:tabs>
          <w:tab w:pos="786" w:val="left" w:leader="none"/>
        </w:tabs>
        <w:spacing w:line="240" w:lineRule="auto" w:before="210" w:after="0"/>
        <w:ind w:left="786" w:right="0" w:hanging="426"/>
        <w:jc w:val="left"/>
        <w:rPr>
          <w:b/>
          <w:sz w:val="24"/>
        </w:rPr>
      </w:pPr>
      <w:r>
        <w:rPr>
          <w:sz w:val="24"/>
        </w:rPr>
        <w:t>Volunteers</w:t>
      </w:r>
      <w:r>
        <w:rPr>
          <w:spacing w:val="-7"/>
          <w:sz w:val="24"/>
        </w:rPr>
        <w:t> </w:t>
      </w:r>
      <w:r>
        <w:rPr>
          <w:sz w:val="24"/>
        </w:rPr>
        <w:t>who</w:t>
      </w:r>
      <w:r>
        <w:rPr>
          <w:spacing w:val="-4"/>
          <w:sz w:val="24"/>
        </w:rPr>
        <w:t> </w:t>
      </w:r>
      <w:r>
        <w:rPr>
          <w:sz w:val="24"/>
        </w:rPr>
        <w:t>perform</w:t>
      </w:r>
      <w:r>
        <w:rPr>
          <w:spacing w:val="-5"/>
          <w:sz w:val="24"/>
        </w:rPr>
        <w:t> </w:t>
      </w:r>
      <w:r>
        <w:rPr>
          <w:sz w:val="24"/>
        </w:rPr>
        <w:t>Braille</w:t>
      </w:r>
      <w:r>
        <w:rPr>
          <w:spacing w:val="-4"/>
          <w:sz w:val="24"/>
        </w:rPr>
        <w:t> </w:t>
      </w:r>
      <w:r>
        <w:rPr>
          <w:sz w:val="24"/>
        </w:rPr>
        <w:t>transcription</w:t>
      </w:r>
      <w:r>
        <w:rPr>
          <w:spacing w:val="-4"/>
          <w:sz w:val="24"/>
        </w:rPr>
        <w:t> </w:t>
      </w:r>
      <w:r>
        <w:rPr>
          <w:sz w:val="24"/>
        </w:rPr>
        <w:t>must</w:t>
      </w:r>
      <w:r>
        <w:rPr>
          <w:spacing w:val="-3"/>
          <w:sz w:val="24"/>
        </w:rPr>
        <w:t> </w:t>
      </w:r>
      <w:r>
        <w:rPr>
          <w:sz w:val="24"/>
        </w:rPr>
        <w:t>be</w:t>
      </w:r>
      <w:r>
        <w:rPr>
          <w:spacing w:val="-4"/>
          <w:sz w:val="24"/>
        </w:rPr>
        <w:t> </w:t>
      </w:r>
      <w:r>
        <w:rPr>
          <w:sz w:val="24"/>
        </w:rPr>
        <w:t>nationally</w:t>
      </w:r>
      <w:r>
        <w:rPr>
          <w:spacing w:val="-3"/>
          <w:sz w:val="24"/>
        </w:rPr>
        <w:t> </w:t>
      </w:r>
      <w:r>
        <w:rPr>
          <w:sz w:val="24"/>
        </w:rPr>
        <w:t>certified.</w:t>
      </w:r>
      <w:r>
        <w:rPr>
          <w:spacing w:val="-3"/>
          <w:sz w:val="24"/>
        </w:rPr>
        <w:t> </w:t>
      </w:r>
      <w:r>
        <w:rPr>
          <w:b/>
          <w:spacing w:val="-10"/>
          <w:sz w:val="24"/>
        </w:rPr>
        <w:t>1</w:t>
      </w:r>
    </w:p>
    <w:p>
      <w:pPr>
        <w:pStyle w:val="ListParagraph"/>
        <w:numPr>
          <w:ilvl w:val="0"/>
          <w:numId w:val="320"/>
        </w:numPr>
        <w:tabs>
          <w:tab w:pos="773" w:val="left" w:leader="none"/>
        </w:tabs>
        <w:spacing w:line="240" w:lineRule="auto" w:before="204" w:after="0"/>
        <w:ind w:left="773" w:right="0" w:hanging="413"/>
        <w:jc w:val="left"/>
        <w:rPr>
          <w:b/>
          <w:sz w:val="24"/>
        </w:rPr>
      </w:pPr>
      <w:r>
        <w:rPr>
          <w:sz w:val="24"/>
        </w:rPr>
        <w:t>To</w:t>
      </w:r>
      <w:r>
        <w:rPr>
          <w:spacing w:val="-4"/>
          <w:sz w:val="24"/>
        </w:rPr>
        <w:t> </w:t>
      </w:r>
      <w:r>
        <w:rPr>
          <w:sz w:val="24"/>
        </w:rPr>
        <w:t>assure</w:t>
      </w:r>
      <w:r>
        <w:rPr>
          <w:spacing w:val="-3"/>
          <w:sz w:val="24"/>
        </w:rPr>
        <w:t> </w:t>
      </w:r>
      <w:r>
        <w:rPr>
          <w:sz w:val="24"/>
        </w:rPr>
        <w:t>quality</w:t>
      </w:r>
      <w:r>
        <w:rPr>
          <w:spacing w:val="-3"/>
          <w:sz w:val="24"/>
        </w:rPr>
        <w:t> </w:t>
      </w:r>
      <w:r>
        <w:rPr>
          <w:sz w:val="24"/>
        </w:rPr>
        <w:t>of</w:t>
      </w:r>
      <w:r>
        <w:rPr>
          <w:spacing w:val="-3"/>
          <w:sz w:val="24"/>
        </w:rPr>
        <w:t> </w:t>
      </w:r>
      <w:r>
        <w:rPr>
          <w:sz w:val="24"/>
        </w:rPr>
        <w:t>voice</w:t>
      </w:r>
      <w:r>
        <w:rPr>
          <w:spacing w:val="-3"/>
          <w:sz w:val="24"/>
        </w:rPr>
        <w:t> </w:t>
      </w:r>
      <w:r>
        <w:rPr>
          <w:sz w:val="24"/>
        </w:rPr>
        <w:t>recordings,</w:t>
      </w:r>
      <w:r>
        <w:rPr>
          <w:spacing w:val="-2"/>
          <w:sz w:val="24"/>
        </w:rPr>
        <w:t> </w:t>
      </w:r>
      <w:r>
        <w:rPr>
          <w:sz w:val="24"/>
        </w:rPr>
        <w:t>volunteer</w:t>
      </w:r>
      <w:r>
        <w:rPr>
          <w:spacing w:val="-3"/>
          <w:sz w:val="24"/>
        </w:rPr>
        <w:t> </w:t>
      </w:r>
      <w:r>
        <w:rPr>
          <w:sz w:val="24"/>
        </w:rPr>
        <w:t>readers</w:t>
      </w:r>
      <w:r>
        <w:rPr>
          <w:spacing w:val="-3"/>
          <w:sz w:val="24"/>
        </w:rPr>
        <w:t> </w:t>
      </w:r>
      <w:r>
        <w:rPr>
          <w:sz w:val="24"/>
        </w:rPr>
        <w:t>are</w:t>
      </w:r>
      <w:r>
        <w:rPr>
          <w:spacing w:val="-3"/>
          <w:sz w:val="24"/>
        </w:rPr>
        <w:t> </w:t>
      </w:r>
      <w:r>
        <w:rPr>
          <w:sz w:val="24"/>
        </w:rPr>
        <w:t>asked</w:t>
      </w:r>
      <w:r>
        <w:rPr>
          <w:spacing w:val="-4"/>
          <w:sz w:val="24"/>
        </w:rPr>
        <w:t> </w:t>
      </w:r>
      <w:r>
        <w:rPr>
          <w:sz w:val="24"/>
        </w:rPr>
        <w:t>to</w:t>
      </w:r>
      <w:r>
        <w:rPr>
          <w:spacing w:val="-3"/>
          <w:sz w:val="24"/>
        </w:rPr>
        <w:t> </w:t>
      </w:r>
      <w:r>
        <w:rPr>
          <w:sz w:val="24"/>
        </w:rPr>
        <w:t>audition.</w:t>
      </w:r>
      <w:r>
        <w:rPr>
          <w:spacing w:val="-2"/>
          <w:sz w:val="24"/>
        </w:rPr>
        <w:t> </w:t>
      </w:r>
      <w:r>
        <w:rPr>
          <w:b/>
          <w:spacing w:val="-10"/>
          <w:sz w:val="24"/>
        </w:rPr>
        <w:t>2</w:t>
      </w:r>
    </w:p>
    <w:p>
      <w:pPr>
        <w:pStyle w:val="BodyText"/>
        <w:spacing w:before="204"/>
      </w:pPr>
      <w:r>
        <w:rPr/>
        <w:t>INSTRUCTIONS</w:t>
      </w:r>
      <w:r>
        <w:rPr>
          <w:spacing w:val="-3"/>
        </w:rPr>
        <w:t> </w:t>
      </w:r>
      <w:r>
        <w:rPr/>
        <w:t>TO</w:t>
      </w:r>
      <w:r>
        <w:rPr>
          <w:spacing w:val="-2"/>
        </w:rPr>
        <w:t> </w:t>
      </w:r>
      <w:r>
        <w:rPr>
          <w:spacing w:val="-4"/>
        </w:rPr>
        <w:t>STAFF</w:t>
      </w:r>
    </w:p>
    <w:p>
      <w:pPr>
        <w:pStyle w:val="ListParagraph"/>
        <w:numPr>
          <w:ilvl w:val="1"/>
          <w:numId w:val="320"/>
        </w:numPr>
        <w:tabs>
          <w:tab w:pos="1077" w:val="left" w:leader="none"/>
        </w:tabs>
        <w:spacing w:line="208" w:lineRule="auto" w:before="234" w:after="0"/>
        <w:ind w:left="791" w:right="1167" w:firstLine="0"/>
        <w:jc w:val="left"/>
        <w:rPr>
          <w:sz w:val="24"/>
        </w:rPr>
      </w:pPr>
      <w:r>
        <w:rPr>
          <w:sz w:val="24"/>
        </w:rPr>
        <w:t>Certification</w:t>
      </w:r>
      <w:r>
        <w:rPr>
          <w:spacing w:val="-4"/>
          <w:sz w:val="24"/>
        </w:rPr>
        <w:t> </w:t>
      </w:r>
      <w:r>
        <w:rPr>
          <w:sz w:val="24"/>
        </w:rPr>
        <w:t>in</w:t>
      </w:r>
      <w:r>
        <w:rPr>
          <w:spacing w:val="-4"/>
          <w:sz w:val="24"/>
        </w:rPr>
        <w:t> </w:t>
      </w:r>
      <w:r>
        <w:rPr>
          <w:sz w:val="24"/>
        </w:rPr>
        <w:t>Braille</w:t>
      </w:r>
      <w:r>
        <w:rPr>
          <w:spacing w:val="-4"/>
          <w:sz w:val="24"/>
        </w:rPr>
        <w:t> </w:t>
      </w:r>
      <w:r>
        <w:rPr>
          <w:sz w:val="24"/>
        </w:rPr>
        <w:t>transcription</w:t>
      </w:r>
      <w:r>
        <w:rPr>
          <w:spacing w:val="-4"/>
          <w:sz w:val="24"/>
        </w:rPr>
        <w:t> </w:t>
      </w:r>
      <w:r>
        <w:rPr>
          <w:sz w:val="24"/>
        </w:rPr>
        <w:t>is</w:t>
      </w:r>
      <w:r>
        <w:rPr>
          <w:spacing w:val="-4"/>
          <w:sz w:val="24"/>
        </w:rPr>
        <w:t> </w:t>
      </w:r>
      <w:r>
        <w:rPr>
          <w:sz w:val="24"/>
        </w:rPr>
        <w:t>provided</w:t>
      </w:r>
      <w:r>
        <w:rPr>
          <w:spacing w:val="-4"/>
          <w:sz w:val="24"/>
        </w:rPr>
        <w:t> </w:t>
      </w:r>
      <w:r>
        <w:rPr>
          <w:sz w:val="24"/>
        </w:rPr>
        <w:t>by</w:t>
      </w:r>
      <w:r>
        <w:rPr>
          <w:spacing w:val="-4"/>
          <w:sz w:val="24"/>
        </w:rPr>
        <w:t> </w:t>
      </w:r>
      <w:r>
        <w:rPr>
          <w:sz w:val="24"/>
        </w:rPr>
        <w:t>the</w:t>
      </w:r>
      <w:r>
        <w:rPr>
          <w:spacing w:val="-4"/>
          <w:sz w:val="24"/>
        </w:rPr>
        <w:t> </w:t>
      </w:r>
      <w:r>
        <w:rPr>
          <w:sz w:val="24"/>
        </w:rPr>
        <w:t>National</w:t>
      </w:r>
      <w:r>
        <w:rPr>
          <w:spacing w:val="-4"/>
          <w:sz w:val="24"/>
        </w:rPr>
        <w:t> </w:t>
      </w:r>
      <w:r>
        <w:rPr>
          <w:sz w:val="24"/>
        </w:rPr>
        <w:t>Library</w:t>
      </w:r>
      <w:r>
        <w:rPr>
          <w:spacing w:val="-4"/>
          <w:sz w:val="24"/>
        </w:rPr>
        <w:t> </w:t>
      </w:r>
      <w:r>
        <w:rPr>
          <w:sz w:val="24"/>
        </w:rPr>
        <w:t>Service (NLS) through contract with the National Federation of the Blind.</w:t>
      </w:r>
    </w:p>
    <w:p>
      <w:pPr>
        <w:pStyle w:val="ListParagraph"/>
        <w:numPr>
          <w:ilvl w:val="1"/>
          <w:numId w:val="320"/>
        </w:numPr>
        <w:tabs>
          <w:tab w:pos="1078" w:val="left" w:leader="none"/>
        </w:tabs>
        <w:spacing w:line="208" w:lineRule="auto" w:before="240" w:after="0"/>
        <w:ind w:left="792" w:right="800" w:firstLine="0"/>
        <w:jc w:val="left"/>
        <w:rPr>
          <w:sz w:val="24"/>
        </w:rPr>
      </w:pPr>
      <w:r>
        <w:rPr>
          <w:sz w:val="24"/>
        </w:rPr>
        <w:t>Audition:</w:t>
      </w:r>
      <w:r>
        <w:rPr>
          <w:spacing w:val="40"/>
          <w:sz w:val="24"/>
        </w:rPr>
        <w:t> </w:t>
      </w:r>
      <w:r>
        <w:rPr>
          <w:sz w:val="24"/>
        </w:rPr>
        <w:t>Part of this test is a trial recording which is monitored by a studio technician.</w:t>
      </w:r>
      <w:r>
        <w:rPr>
          <w:spacing w:val="40"/>
          <w:sz w:val="24"/>
        </w:rPr>
        <w:t> </w:t>
      </w:r>
      <w:r>
        <w:rPr>
          <w:sz w:val="24"/>
        </w:rPr>
        <w:t>The test recording will be judged on clarity of diction, flow of speech, and</w:t>
      </w:r>
      <w:r>
        <w:rPr>
          <w:spacing w:val="-2"/>
          <w:sz w:val="24"/>
        </w:rPr>
        <w:t> </w:t>
      </w:r>
      <w:r>
        <w:rPr>
          <w:sz w:val="24"/>
        </w:rPr>
        <w:t>overall</w:t>
      </w:r>
      <w:r>
        <w:rPr>
          <w:spacing w:val="-1"/>
          <w:sz w:val="24"/>
        </w:rPr>
        <w:t> </w:t>
      </w:r>
      <w:r>
        <w:rPr>
          <w:sz w:val="24"/>
        </w:rPr>
        <w:t>quality</w:t>
      </w:r>
      <w:r>
        <w:rPr>
          <w:spacing w:val="-2"/>
          <w:sz w:val="24"/>
        </w:rPr>
        <w:t> </w:t>
      </w:r>
      <w:r>
        <w:rPr>
          <w:sz w:val="24"/>
        </w:rPr>
        <w:t>of</w:t>
      </w:r>
      <w:r>
        <w:rPr>
          <w:spacing w:val="-1"/>
          <w:sz w:val="24"/>
        </w:rPr>
        <w:t> </w:t>
      </w:r>
      <w:r>
        <w:rPr>
          <w:sz w:val="24"/>
        </w:rPr>
        <w:t>recording.</w:t>
      </w:r>
      <w:r>
        <w:rPr>
          <w:spacing w:val="40"/>
          <w:sz w:val="24"/>
        </w:rPr>
        <w:t> </w:t>
      </w:r>
      <w:r>
        <w:rPr>
          <w:sz w:val="24"/>
        </w:rPr>
        <w:t>The</w:t>
      </w:r>
      <w:r>
        <w:rPr>
          <w:spacing w:val="-2"/>
          <w:sz w:val="24"/>
        </w:rPr>
        <w:t> </w:t>
      </w:r>
      <w:r>
        <w:rPr>
          <w:sz w:val="24"/>
        </w:rPr>
        <w:t>goal</w:t>
      </w:r>
      <w:r>
        <w:rPr>
          <w:spacing w:val="-2"/>
          <w:sz w:val="24"/>
        </w:rPr>
        <w:t> </w:t>
      </w:r>
      <w:r>
        <w:rPr>
          <w:sz w:val="24"/>
        </w:rPr>
        <w:t>of</w:t>
      </w:r>
      <w:r>
        <w:rPr>
          <w:spacing w:val="-1"/>
          <w:sz w:val="24"/>
        </w:rPr>
        <w:t> </w:t>
      </w:r>
      <w:r>
        <w:rPr>
          <w:sz w:val="24"/>
        </w:rPr>
        <w:t>the</w:t>
      </w:r>
      <w:r>
        <w:rPr>
          <w:spacing w:val="-2"/>
          <w:sz w:val="24"/>
        </w:rPr>
        <w:t> </w:t>
      </w:r>
      <w:r>
        <w:rPr>
          <w:sz w:val="24"/>
        </w:rPr>
        <w:t>recording</w:t>
      </w:r>
      <w:r>
        <w:rPr>
          <w:spacing w:val="-2"/>
          <w:sz w:val="24"/>
        </w:rPr>
        <w:t> </w:t>
      </w:r>
      <w:r>
        <w:rPr>
          <w:sz w:val="24"/>
        </w:rPr>
        <w:t>volunteer</w:t>
      </w:r>
      <w:r>
        <w:rPr>
          <w:spacing w:val="-1"/>
          <w:sz w:val="24"/>
        </w:rPr>
        <w:t> </w:t>
      </w:r>
      <w:r>
        <w:rPr>
          <w:sz w:val="24"/>
        </w:rPr>
        <w:t>is</w:t>
      </w:r>
      <w:r>
        <w:rPr>
          <w:spacing w:val="-2"/>
          <w:sz w:val="24"/>
        </w:rPr>
        <w:t> </w:t>
      </w:r>
      <w:r>
        <w:rPr>
          <w:sz w:val="24"/>
        </w:rPr>
        <w:t>to</w:t>
      </w:r>
      <w:r>
        <w:rPr>
          <w:spacing w:val="-2"/>
          <w:sz w:val="24"/>
        </w:rPr>
        <w:t> </w:t>
      </w:r>
      <w:r>
        <w:rPr>
          <w:sz w:val="24"/>
        </w:rPr>
        <w:t>produce</w:t>
      </w:r>
      <w:r>
        <w:rPr>
          <w:spacing w:val="-2"/>
          <w:sz w:val="24"/>
        </w:rPr>
        <w:t> </w:t>
      </w:r>
      <w:r>
        <w:rPr>
          <w:sz w:val="24"/>
        </w:rPr>
        <w:t>a recording that is perfect with respect to accurate reproduction of the text and transmission of the author's message. The volunteer prepares by previewing the book to become familiar with its subject.</w:t>
      </w:r>
      <w:r>
        <w:rPr>
          <w:spacing w:val="40"/>
          <w:sz w:val="24"/>
        </w:rPr>
        <w:t> </w:t>
      </w:r>
      <w:r>
        <w:rPr>
          <w:sz w:val="24"/>
        </w:rPr>
        <w:t>Word pronunciation is checked through use of a quality dictionary or other source.</w:t>
      </w:r>
      <w:r>
        <w:rPr>
          <w:spacing w:val="40"/>
          <w:sz w:val="24"/>
        </w:rPr>
        <w:t> </w:t>
      </w:r>
      <w:r>
        <w:rPr>
          <w:sz w:val="24"/>
        </w:rPr>
        <w:t>Illustrations, diagrams, etc. must be explained and interpreted so the listener will understand the reason for their inclusion in the text.</w:t>
      </w:r>
      <w:r>
        <w:rPr>
          <w:spacing w:val="40"/>
          <w:sz w:val="24"/>
        </w:rPr>
        <w:t> </w:t>
      </w:r>
      <w:r>
        <w:rPr>
          <w:sz w:val="24"/>
        </w:rPr>
        <w:t>The pace of reading must be geared to the listener's ability to comprehend,</w:t>
      </w:r>
      <w:r>
        <w:rPr>
          <w:spacing w:val="-3"/>
          <w:sz w:val="24"/>
        </w:rPr>
        <w:t> </w:t>
      </w:r>
      <w:r>
        <w:rPr>
          <w:sz w:val="24"/>
        </w:rPr>
        <w:t>the</w:t>
      </w:r>
      <w:r>
        <w:rPr>
          <w:spacing w:val="-4"/>
          <w:sz w:val="24"/>
        </w:rPr>
        <w:t> </w:t>
      </w:r>
      <w:r>
        <w:rPr>
          <w:sz w:val="24"/>
        </w:rPr>
        <w:t>purpose</w:t>
      </w:r>
      <w:r>
        <w:rPr>
          <w:spacing w:val="-4"/>
          <w:sz w:val="24"/>
        </w:rPr>
        <w:t> </w:t>
      </w:r>
      <w:r>
        <w:rPr>
          <w:sz w:val="24"/>
        </w:rPr>
        <w:t>for</w:t>
      </w:r>
      <w:r>
        <w:rPr>
          <w:spacing w:val="-3"/>
          <w:sz w:val="24"/>
        </w:rPr>
        <w:t> </w:t>
      </w:r>
      <w:r>
        <w:rPr>
          <w:sz w:val="24"/>
        </w:rPr>
        <w:t>which</w:t>
      </w:r>
      <w:r>
        <w:rPr>
          <w:spacing w:val="-4"/>
          <w:sz w:val="24"/>
        </w:rPr>
        <w:t> </w:t>
      </w:r>
      <w:r>
        <w:rPr>
          <w:sz w:val="24"/>
        </w:rPr>
        <w:t>the</w:t>
      </w:r>
      <w:r>
        <w:rPr>
          <w:spacing w:val="-4"/>
          <w:sz w:val="24"/>
        </w:rPr>
        <w:t> </w:t>
      </w:r>
      <w:r>
        <w:rPr>
          <w:sz w:val="24"/>
        </w:rPr>
        <w:t>material</w:t>
      </w:r>
      <w:r>
        <w:rPr>
          <w:spacing w:val="-4"/>
          <w:sz w:val="24"/>
        </w:rPr>
        <w:t> </w:t>
      </w:r>
      <w:r>
        <w:rPr>
          <w:sz w:val="24"/>
        </w:rPr>
        <w:t>is</w:t>
      </w:r>
      <w:r>
        <w:rPr>
          <w:spacing w:val="-4"/>
          <w:sz w:val="24"/>
        </w:rPr>
        <w:t> </w:t>
      </w:r>
      <w:r>
        <w:rPr>
          <w:sz w:val="24"/>
        </w:rPr>
        <w:t>intended,</w:t>
      </w:r>
      <w:r>
        <w:rPr>
          <w:spacing w:val="-3"/>
          <w:sz w:val="24"/>
        </w:rPr>
        <w:t> </w:t>
      </w:r>
      <w:r>
        <w:rPr>
          <w:sz w:val="24"/>
        </w:rPr>
        <w:t>and</w:t>
      </w:r>
      <w:r>
        <w:rPr>
          <w:spacing w:val="-4"/>
          <w:sz w:val="24"/>
        </w:rPr>
        <w:t> </w:t>
      </w:r>
      <w:r>
        <w:rPr>
          <w:sz w:val="24"/>
        </w:rPr>
        <w:t>the</w:t>
      </w:r>
      <w:r>
        <w:rPr>
          <w:spacing w:val="-4"/>
          <w:sz w:val="24"/>
        </w:rPr>
        <w:t> </w:t>
      </w:r>
      <w:r>
        <w:rPr>
          <w:sz w:val="24"/>
        </w:rPr>
        <w:t>difficulty</w:t>
      </w:r>
      <w:r>
        <w:rPr>
          <w:spacing w:val="-4"/>
          <w:sz w:val="24"/>
        </w:rPr>
        <w:t> </w:t>
      </w:r>
      <w:r>
        <w:rPr>
          <w:sz w:val="24"/>
        </w:rPr>
        <w:t>of</w:t>
      </w:r>
      <w:r>
        <w:rPr>
          <w:spacing w:val="-4"/>
          <w:sz w:val="24"/>
        </w:rPr>
        <w:t> </w:t>
      </w:r>
      <w:r>
        <w:rPr>
          <w:sz w:val="24"/>
        </w:rPr>
        <w:t>the material.</w:t>
      </w:r>
      <w:r>
        <w:rPr>
          <w:spacing w:val="40"/>
          <w:sz w:val="24"/>
        </w:rPr>
        <w:t> </w:t>
      </w:r>
      <w:r>
        <w:rPr>
          <w:sz w:val="24"/>
        </w:rPr>
        <w:t>The book is to be read as written.</w:t>
      </w:r>
    </w:p>
    <w:p>
      <w:pPr>
        <w:spacing w:before="242"/>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1673" w:firstLine="0"/>
        <w:jc w:val="left"/>
        <w:rPr>
          <w:sz w:val="22"/>
        </w:rPr>
      </w:pPr>
      <w:r>
        <w:rPr>
          <w:sz w:val="22"/>
        </w:rPr>
        <w:t>Permanent,</w:t>
      </w:r>
      <w:r>
        <w:rPr>
          <w:spacing w:val="-3"/>
          <w:sz w:val="22"/>
        </w:rPr>
        <w:t> </w:t>
      </w:r>
      <w:r>
        <w:rPr>
          <w:sz w:val="22"/>
        </w:rPr>
        <w:t>first</w:t>
      </w:r>
      <w:r>
        <w:rPr>
          <w:spacing w:val="-4"/>
          <w:sz w:val="22"/>
        </w:rPr>
        <w:t> </w:t>
      </w:r>
      <w:r>
        <w:rPr>
          <w:sz w:val="22"/>
        </w:rPr>
        <w:t>adoption</w:t>
      </w:r>
      <w:r>
        <w:rPr>
          <w:spacing w:val="-4"/>
          <w:sz w:val="22"/>
        </w:rPr>
        <w:t> </w:t>
      </w:r>
      <w:r>
        <w:rPr>
          <w:sz w:val="22"/>
        </w:rPr>
        <w:t>under</w:t>
      </w:r>
      <w:r>
        <w:rPr>
          <w:spacing w:val="-4"/>
          <w:sz w:val="22"/>
        </w:rPr>
        <w:t> </w:t>
      </w:r>
      <w:r>
        <w:rPr>
          <w:sz w:val="22"/>
        </w:rPr>
        <w:t>OAC</w:t>
      </w:r>
      <w:r>
        <w:rPr>
          <w:spacing w:val="-5"/>
          <w:sz w:val="22"/>
        </w:rPr>
        <w:t> </w:t>
      </w:r>
      <w:r>
        <w:rPr>
          <w:sz w:val="22"/>
        </w:rPr>
        <w:t>Title</w:t>
      </w:r>
      <w:r>
        <w:rPr>
          <w:spacing w:val="-4"/>
          <w:sz w:val="22"/>
        </w:rPr>
        <w:t> </w:t>
      </w:r>
      <w:r>
        <w:rPr>
          <w:sz w:val="22"/>
        </w:rPr>
        <w:t>612.</w:t>
      </w:r>
      <w:r>
        <w:rPr>
          <w:spacing w:val="-5"/>
          <w:sz w:val="22"/>
        </w:rPr>
        <w:t> </w:t>
      </w:r>
      <w:r>
        <w:rPr>
          <w:sz w:val="22"/>
        </w:rPr>
        <w:t>Added</w:t>
      </w:r>
      <w:r>
        <w:rPr>
          <w:spacing w:val="-4"/>
          <w:sz w:val="22"/>
        </w:rPr>
        <w:t> </w:t>
      </w:r>
      <w:r>
        <w:rPr>
          <w:sz w:val="22"/>
        </w:rPr>
        <w:t>standards</w:t>
      </w:r>
      <w:r>
        <w:rPr>
          <w:spacing w:val="-4"/>
          <w:sz w:val="22"/>
        </w:rPr>
        <w:t> </w:t>
      </w:r>
      <w:r>
        <w:rPr>
          <w:sz w:val="22"/>
        </w:rPr>
        <w:t>for </w:t>
      </w:r>
      <w:r>
        <w:rPr>
          <w:spacing w:val="-2"/>
          <w:sz w:val="22"/>
        </w:rPr>
        <w:t>Volunteers</w:t>
      </w:r>
    </w:p>
    <w:p>
      <w:pPr>
        <w:pStyle w:val="ListParagraph"/>
        <w:numPr>
          <w:ilvl w:val="2"/>
          <w:numId w:val="321"/>
        </w:numPr>
        <w:tabs>
          <w:tab w:pos="1439" w:val="left" w:leader="none"/>
        </w:tabs>
        <w:spacing w:line="240" w:lineRule="auto" w:before="0" w:after="0"/>
        <w:ind w:left="1439" w:right="0" w:hanging="1080"/>
        <w:jc w:val="left"/>
        <w:rPr>
          <w:sz w:val="22"/>
        </w:rPr>
      </w:pPr>
      <w:r>
        <w:rPr>
          <w:sz w:val="22"/>
        </w:rPr>
        <w:t>PT</w:t>
      </w:r>
      <w:r>
        <w:rPr>
          <w:spacing w:val="-8"/>
          <w:sz w:val="22"/>
        </w:rPr>
        <w:t> </w:t>
      </w:r>
      <w:r>
        <w:rPr>
          <w:sz w:val="22"/>
        </w:rPr>
        <w:t>Memo</w:t>
      </w:r>
      <w:r>
        <w:rPr>
          <w:spacing w:val="-8"/>
          <w:sz w:val="22"/>
        </w:rPr>
        <w:t> </w:t>
      </w:r>
      <w:r>
        <w:rPr>
          <w:sz w:val="22"/>
        </w:rPr>
        <w:t>#12-</w:t>
      </w:r>
      <w:r>
        <w:rPr>
          <w:spacing w:val="-5"/>
          <w:sz w:val="22"/>
        </w:rPr>
        <w:t>01</w:t>
      </w:r>
    </w:p>
    <w:p>
      <w:pPr>
        <w:spacing w:before="0"/>
        <w:ind w:left="1439" w:right="0" w:firstLine="0"/>
        <w:jc w:val="left"/>
        <w:rPr>
          <w:sz w:val="22"/>
        </w:rPr>
      </w:pPr>
      <w:r>
        <w:rPr>
          <w:sz w:val="22"/>
        </w:rPr>
        <w:t>Permanent,</w:t>
      </w:r>
      <w:r>
        <w:rPr>
          <w:spacing w:val="-10"/>
          <w:sz w:val="22"/>
        </w:rPr>
        <w:t> </w:t>
      </w:r>
      <w:r>
        <w:rPr>
          <w:sz w:val="22"/>
        </w:rPr>
        <w:t>updated</w:t>
      </w:r>
      <w:r>
        <w:rPr>
          <w:spacing w:val="-11"/>
          <w:sz w:val="22"/>
        </w:rPr>
        <w:t> </w:t>
      </w:r>
      <w:r>
        <w:rPr>
          <w:spacing w:val="-2"/>
          <w:sz w:val="22"/>
        </w:rPr>
        <w:t>language</w:t>
      </w:r>
    </w:p>
    <w:p>
      <w:pPr>
        <w:spacing w:after="0"/>
        <w:jc w:val="left"/>
        <w:rPr>
          <w:sz w:val="22"/>
        </w:rPr>
        <w:sectPr>
          <w:pgSz w:w="12240" w:h="15840"/>
          <w:pgMar w:top="1340" w:bottom="280" w:left="1080" w:right="720"/>
        </w:sectPr>
      </w:pPr>
    </w:p>
    <w:p>
      <w:pPr>
        <w:pStyle w:val="Heading1"/>
      </w:pPr>
      <w:bookmarkStart w:name="SUBCHAPTER 5.  LIBRARY LOAN POLICY" w:id="311"/>
      <w:bookmarkEnd w:id="311"/>
      <w:r>
        <w:rPr>
          <w:b w:val="0"/>
        </w:rPr>
      </w:r>
      <w:r>
        <w:rPr/>
        <w:t>SUBCHAPTER</w:t>
      </w:r>
      <w:r>
        <w:rPr>
          <w:spacing w:val="-2"/>
        </w:rPr>
        <w:t> </w:t>
      </w:r>
      <w:r>
        <w:rPr/>
        <w:t>5.</w:t>
      </w:r>
      <w:r>
        <w:rPr>
          <w:spacing w:val="63"/>
        </w:rPr>
        <w:t> </w:t>
      </w:r>
      <w:r>
        <w:rPr/>
        <w:t>LIBRARY</w:t>
      </w:r>
      <w:r>
        <w:rPr>
          <w:spacing w:val="-2"/>
        </w:rPr>
        <w:t> </w:t>
      </w:r>
      <w:r>
        <w:rPr/>
        <w:t>LOAN</w:t>
      </w:r>
      <w:r>
        <w:rPr>
          <w:spacing w:val="-2"/>
        </w:rPr>
        <w:t> POLICY</w:t>
      </w:r>
    </w:p>
    <w:p>
      <w:pPr>
        <w:pStyle w:val="BodyText"/>
        <w:spacing w:before="204"/>
      </w:pPr>
      <w:r>
        <w:rPr>
          <w:spacing w:val="-2"/>
        </w:rPr>
        <w:t>Section</w:t>
      </w:r>
    </w:p>
    <w:p>
      <w:pPr>
        <w:pStyle w:val="BodyText"/>
        <w:tabs>
          <w:tab w:pos="2069" w:val="left" w:leader="none"/>
        </w:tabs>
        <w:spacing w:line="417" w:lineRule="auto" w:before="204"/>
        <w:ind w:right="2245"/>
      </w:pPr>
      <w:r>
        <w:rPr>
          <w:spacing w:val="-2"/>
        </w:rPr>
        <w:t>612:15-5-1.</w:t>
      </w:r>
      <w:r>
        <w:rPr/>
        <w:tab/>
        <w:t>Loan</w:t>
      </w:r>
      <w:r>
        <w:rPr>
          <w:spacing w:val="-7"/>
        </w:rPr>
        <w:t> </w:t>
      </w:r>
      <w:r>
        <w:rPr/>
        <w:t>policies</w:t>
      </w:r>
      <w:r>
        <w:rPr>
          <w:spacing w:val="-7"/>
        </w:rPr>
        <w:t> </w:t>
      </w:r>
      <w:r>
        <w:rPr/>
        <w:t>and</w:t>
      </w:r>
      <w:r>
        <w:rPr>
          <w:spacing w:val="-7"/>
        </w:rPr>
        <w:t> </w:t>
      </w:r>
      <w:r>
        <w:rPr/>
        <w:t>procedures;</w:t>
      </w:r>
      <w:r>
        <w:rPr>
          <w:spacing w:val="-6"/>
        </w:rPr>
        <w:t> </w:t>
      </w:r>
      <w:r>
        <w:rPr/>
        <w:t>responsibilities</w:t>
      </w:r>
      <w:r>
        <w:rPr>
          <w:spacing w:val="-7"/>
        </w:rPr>
        <w:t> </w:t>
      </w:r>
      <w:r>
        <w:rPr/>
        <w:t>of</w:t>
      </w:r>
      <w:r>
        <w:rPr>
          <w:spacing w:val="-6"/>
        </w:rPr>
        <w:t> </w:t>
      </w:r>
      <w:r>
        <w:rPr/>
        <w:t>borrower </w:t>
      </w:r>
      <w:r>
        <w:rPr>
          <w:spacing w:val="-2"/>
        </w:rPr>
        <w:t>612:15-5-2.</w:t>
      </w:r>
      <w:r>
        <w:rPr/>
        <w:tab/>
        <w:t>Suspension procedures</w:t>
      </w:r>
    </w:p>
    <w:p>
      <w:pPr>
        <w:spacing w:before="32"/>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pPr>
      <w:bookmarkStart w:name="612:15-5-1.  Loan policies and procedure" w:id="312"/>
      <w:bookmarkEnd w:id="312"/>
      <w:r>
        <w:rPr>
          <w:b w:val="0"/>
        </w:rPr>
      </w:r>
      <w:r>
        <w:rPr/>
        <w:t>612:15-5-1.</w:t>
      </w:r>
      <w:r>
        <w:rPr>
          <w:spacing w:val="56"/>
        </w:rPr>
        <w:t> </w:t>
      </w:r>
      <w:r>
        <w:rPr/>
        <w:t>Loan</w:t>
      </w:r>
      <w:r>
        <w:rPr>
          <w:spacing w:val="-5"/>
        </w:rPr>
        <w:t> </w:t>
      </w:r>
      <w:r>
        <w:rPr/>
        <w:t>policies</w:t>
      </w:r>
      <w:r>
        <w:rPr>
          <w:spacing w:val="-4"/>
        </w:rPr>
        <w:t> </w:t>
      </w:r>
      <w:r>
        <w:rPr/>
        <w:t>and</w:t>
      </w:r>
      <w:r>
        <w:rPr>
          <w:spacing w:val="-5"/>
        </w:rPr>
        <w:t> </w:t>
      </w:r>
      <w:r>
        <w:rPr/>
        <w:t>procedures;</w:t>
      </w:r>
      <w:r>
        <w:rPr>
          <w:spacing w:val="-4"/>
        </w:rPr>
        <w:t> </w:t>
      </w:r>
      <w:r>
        <w:rPr/>
        <w:t>responsibilities</w:t>
      </w:r>
      <w:r>
        <w:rPr>
          <w:spacing w:val="-4"/>
        </w:rPr>
        <w:t> </w:t>
      </w:r>
      <w:r>
        <w:rPr/>
        <w:t>of</w:t>
      </w:r>
      <w:r>
        <w:rPr>
          <w:spacing w:val="-5"/>
        </w:rPr>
        <w:t> </w:t>
      </w:r>
      <w:r>
        <w:rPr>
          <w:spacing w:val="-2"/>
        </w:rPr>
        <w:t>borrower</w:t>
      </w:r>
    </w:p>
    <w:p>
      <w:pPr>
        <w:pStyle w:val="ListParagraph"/>
        <w:numPr>
          <w:ilvl w:val="0"/>
          <w:numId w:val="322"/>
        </w:numPr>
        <w:tabs>
          <w:tab w:pos="785" w:val="left" w:leader="none"/>
        </w:tabs>
        <w:spacing w:line="208" w:lineRule="auto" w:before="233" w:after="0"/>
        <w:ind w:left="359" w:right="765" w:firstLine="0"/>
        <w:jc w:val="left"/>
        <w:rPr>
          <w:sz w:val="24"/>
        </w:rPr>
      </w:pPr>
      <w:r>
        <w:rPr>
          <w:sz w:val="24"/>
        </w:rPr>
        <w:t>The Oklahoma Library for the Blind and Physically Handicapped (OLBPH) loans braille books, recorded books, magazines and specialized playback equipment to eligible</w:t>
      </w:r>
      <w:r>
        <w:rPr>
          <w:spacing w:val="-1"/>
          <w:sz w:val="24"/>
        </w:rPr>
        <w:t> </w:t>
      </w:r>
      <w:r>
        <w:rPr>
          <w:sz w:val="24"/>
        </w:rPr>
        <w:t>registered</w:t>
      </w:r>
      <w:r>
        <w:rPr>
          <w:spacing w:val="-1"/>
          <w:sz w:val="24"/>
        </w:rPr>
        <w:t> </w:t>
      </w:r>
      <w:r>
        <w:rPr>
          <w:sz w:val="24"/>
        </w:rPr>
        <w:t>readers</w:t>
      </w:r>
      <w:r>
        <w:rPr>
          <w:spacing w:val="-1"/>
          <w:sz w:val="24"/>
        </w:rPr>
        <w:t> </w:t>
      </w:r>
      <w:r>
        <w:rPr>
          <w:sz w:val="24"/>
        </w:rPr>
        <w:t>without charge.</w:t>
      </w:r>
      <w:r>
        <w:rPr>
          <w:spacing w:val="40"/>
          <w:sz w:val="24"/>
        </w:rPr>
        <w:t> </w:t>
      </w:r>
      <w:r>
        <w:rPr>
          <w:sz w:val="24"/>
        </w:rPr>
        <w:t>OLBPH</w:t>
      </w:r>
      <w:r>
        <w:rPr>
          <w:spacing w:val="-1"/>
          <w:sz w:val="24"/>
        </w:rPr>
        <w:t> </w:t>
      </w:r>
      <w:r>
        <w:rPr>
          <w:sz w:val="24"/>
        </w:rPr>
        <w:t>keeps</w:t>
      </w:r>
      <w:r>
        <w:rPr>
          <w:spacing w:val="-1"/>
          <w:sz w:val="24"/>
        </w:rPr>
        <w:t> </w:t>
      </w:r>
      <w:r>
        <w:rPr>
          <w:sz w:val="24"/>
        </w:rPr>
        <w:t>records</w:t>
      </w:r>
      <w:r>
        <w:rPr>
          <w:spacing w:val="-1"/>
          <w:sz w:val="24"/>
        </w:rPr>
        <w:t> </w:t>
      </w:r>
      <w:r>
        <w:rPr>
          <w:sz w:val="24"/>
        </w:rPr>
        <w:t>of all</w:t>
      </w:r>
      <w:r>
        <w:rPr>
          <w:spacing w:val="-1"/>
          <w:sz w:val="24"/>
        </w:rPr>
        <w:t> </w:t>
      </w:r>
      <w:r>
        <w:rPr>
          <w:sz w:val="24"/>
        </w:rPr>
        <w:t>loans.</w:t>
      </w:r>
      <w:r>
        <w:rPr>
          <w:spacing w:val="40"/>
          <w:sz w:val="24"/>
        </w:rPr>
        <w:t> </w:t>
      </w:r>
      <w:r>
        <w:rPr>
          <w:sz w:val="24"/>
        </w:rPr>
        <w:t>Records relating to recipients of Library of Congress reading materials are confidential and will not be released to any individual or group except to those persons acting within the scope of their duties in the administration of the library; persons authorized in writing by the individual or group to inspect such records; or by order of a court of law.</w:t>
      </w:r>
      <w:r>
        <w:rPr>
          <w:spacing w:val="40"/>
          <w:sz w:val="24"/>
        </w:rPr>
        <w:t> </w:t>
      </w:r>
      <w:r>
        <w:rPr>
          <w:sz w:val="24"/>
        </w:rPr>
        <w:t>In the lending of books, recordings, playback equipment, musical scores, instructional texts, and other specialized materials, preference shall be given at all times to the needs of the</w:t>
      </w:r>
      <w:r>
        <w:rPr>
          <w:spacing w:val="-3"/>
          <w:sz w:val="24"/>
        </w:rPr>
        <w:t> </w:t>
      </w:r>
      <w:r>
        <w:rPr>
          <w:sz w:val="24"/>
        </w:rPr>
        <w:t>blind</w:t>
      </w:r>
      <w:r>
        <w:rPr>
          <w:spacing w:val="-3"/>
          <w:sz w:val="24"/>
        </w:rPr>
        <w:t> </w:t>
      </w:r>
      <w:r>
        <w:rPr>
          <w:sz w:val="24"/>
        </w:rPr>
        <w:t>and</w:t>
      </w:r>
      <w:r>
        <w:rPr>
          <w:spacing w:val="-3"/>
          <w:sz w:val="24"/>
        </w:rPr>
        <w:t> </w:t>
      </w:r>
      <w:r>
        <w:rPr>
          <w:sz w:val="24"/>
        </w:rPr>
        <w:t>others</w:t>
      </w:r>
      <w:r>
        <w:rPr>
          <w:spacing w:val="-4"/>
          <w:sz w:val="24"/>
        </w:rPr>
        <w:t> </w:t>
      </w:r>
      <w:r>
        <w:rPr>
          <w:sz w:val="24"/>
        </w:rPr>
        <w:t>with</w:t>
      </w:r>
      <w:r>
        <w:rPr>
          <w:spacing w:val="-3"/>
          <w:sz w:val="24"/>
        </w:rPr>
        <w:t> </w:t>
      </w:r>
      <w:r>
        <w:rPr>
          <w:sz w:val="24"/>
        </w:rPr>
        <w:t>physical</w:t>
      </w:r>
      <w:r>
        <w:rPr>
          <w:spacing w:val="-3"/>
          <w:sz w:val="24"/>
        </w:rPr>
        <w:t> </w:t>
      </w:r>
      <w:r>
        <w:rPr>
          <w:sz w:val="24"/>
        </w:rPr>
        <w:t>disabilities</w:t>
      </w:r>
      <w:r>
        <w:rPr>
          <w:spacing w:val="-3"/>
          <w:sz w:val="24"/>
        </w:rPr>
        <w:t> </w:t>
      </w:r>
      <w:r>
        <w:rPr>
          <w:sz w:val="24"/>
        </w:rPr>
        <w:t>who</w:t>
      </w:r>
      <w:r>
        <w:rPr>
          <w:spacing w:val="-3"/>
          <w:sz w:val="24"/>
        </w:rPr>
        <w:t> </w:t>
      </w:r>
      <w:r>
        <w:rPr>
          <w:sz w:val="24"/>
        </w:rPr>
        <w:t>have</w:t>
      </w:r>
      <w:r>
        <w:rPr>
          <w:spacing w:val="-3"/>
          <w:sz w:val="24"/>
        </w:rPr>
        <w:t> </w:t>
      </w:r>
      <w:r>
        <w:rPr>
          <w:sz w:val="24"/>
        </w:rPr>
        <w:t>been</w:t>
      </w:r>
      <w:r>
        <w:rPr>
          <w:spacing w:val="-3"/>
          <w:sz w:val="24"/>
        </w:rPr>
        <w:t> </w:t>
      </w:r>
      <w:r>
        <w:rPr>
          <w:sz w:val="24"/>
        </w:rPr>
        <w:t>honorably</w:t>
      </w:r>
      <w:r>
        <w:rPr>
          <w:spacing w:val="-3"/>
          <w:sz w:val="24"/>
        </w:rPr>
        <w:t> </w:t>
      </w:r>
      <w:r>
        <w:rPr>
          <w:sz w:val="24"/>
        </w:rPr>
        <w:t>discharged</w:t>
      </w:r>
      <w:r>
        <w:rPr>
          <w:spacing w:val="-3"/>
          <w:sz w:val="24"/>
        </w:rPr>
        <w:t> </w:t>
      </w:r>
      <w:r>
        <w:rPr>
          <w:sz w:val="24"/>
        </w:rPr>
        <w:t>from the armed forces of the United States.</w:t>
      </w:r>
      <w:r>
        <w:rPr>
          <w:spacing w:val="40"/>
          <w:sz w:val="24"/>
        </w:rPr>
        <w:t> </w:t>
      </w:r>
      <w:r>
        <w:rPr>
          <w:sz w:val="24"/>
        </w:rPr>
        <w:t>The</w:t>
      </w:r>
      <w:r>
        <w:rPr>
          <w:spacing w:val="-1"/>
          <w:sz w:val="24"/>
        </w:rPr>
        <w:t> </w:t>
      </w:r>
      <w:r>
        <w:rPr>
          <w:sz w:val="24"/>
        </w:rPr>
        <w:t>borrower will notify the library of changes of address, a desire to cancel the service and temporary or permanent transfer of service to another geographic area.</w:t>
      </w:r>
    </w:p>
    <w:p>
      <w:pPr>
        <w:pStyle w:val="ListParagraph"/>
        <w:numPr>
          <w:ilvl w:val="1"/>
          <w:numId w:val="322"/>
        </w:numPr>
        <w:tabs>
          <w:tab w:pos="1218" w:val="left" w:leader="none"/>
        </w:tabs>
        <w:spacing w:line="208" w:lineRule="auto" w:before="239" w:after="0"/>
        <w:ind w:left="792" w:right="1147" w:firstLine="0"/>
        <w:jc w:val="left"/>
        <w:rPr>
          <w:sz w:val="24"/>
        </w:rPr>
      </w:pPr>
      <w:r>
        <w:rPr>
          <w:sz w:val="24"/>
        </w:rPr>
        <w:t>Equipment necessary to read the recorded materials may be borrowed on extended loan for as long as the borrower is using it to read materials provided through</w:t>
      </w:r>
      <w:r>
        <w:rPr>
          <w:spacing w:val="-3"/>
          <w:sz w:val="24"/>
        </w:rPr>
        <w:t> </w:t>
      </w:r>
      <w:r>
        <w:rPr>
          <w:sz w:val="24"/>
        </w:rPr>
        <w:t>the</w:t>
      </w:r>
      <w:r>
        <w:rPr>
          <w:spacing w:val="-3"/>
          <w:sz w:val="24"/>
        </w:rPr>
        <w:t> </w:t>
      </w:r>
      <w:r>
        <w:rPr>
          <w:sz w:val="24"/>
        </w:rPr>
        <w:t>library.</w:t>
      </w:r>
      <w:r>
        <w:rPr>
          <w:spacing w:val="40"/>
          <w:sz w:val="24"/>
        </w:rPr>
        <w:t> </w:t>
      </w:r>
      <w:r>
        <w:rPr>
          <w:sz w:val="24"/>
        </w:rPr>
        <w:t>In</w:t>
      </w:r>
      <w:r>
        <w:rPr>
          <w:spacing w:val="-4"/>
          <w:sz w:val="24"/>
        </w:rPr>
        <w:t> </w:t>
      </w:r>
      <w:r>
        <w:rPr>
          <w:sz w:val="24"/>
        </w:rPr>
        <w:t>the</w:t>
      </w:r>
      <w:r>
        <w:rPr>
          <w:spacing w:val="-3"/>
          <w:sz w:val="24"/>
        </w:rPr>
        <w:t> </w:t>
      </w:r>
      <w:r>
        <w:rPr>
          <w:sz w:val="24"/>
        </w:rPr>
        <w:t>event</w:t>
      </w:r>
      <w:r>
        <w:rPr>
          <w:spacing w:val="-2"/>
          <w:sz w:val="24"/>
        </w:rPr>
        <w:t> </w:t>
      </w:r>
      <w:r>
        <w:rPr>
          <w:sz w:val="24"/>
        </w:rPr>
        <w:t>a</w:t>
      </w:r>
      <w:r>
        <w:rPr>
          <w:spacing w:val="-3"/>
          <w:sz w:val="24"/>
        </w:rPr>
        <w:t> </w:t>
      </w:r>
      <w:r>
        <w:rPr>
          <w:sz w:val="24"/>
        </w:rPr>
        <w:t>machine</w:t>
      </w:r>
      <w:r>
        <w:rPr>
          <w:spacing w:val="-3"/>
          <w:sz w:val="24"/>
        </w:rPr>
        <w:t> </w:t>
      </w:r>
      <w:r>
        <w:rPr>
          <w:sz w:val="24"/>
        </w:rPr>
        <w:t>ceases</w:t>
      </w:r>
      <w:r>
        <w:rPr>
          <w:spacing w:val="-3"/>
          <w:sz w:val="24"/>
        </w:rPr>
        <w:t> </w:t>
      </w:r>
      <w:r>
        <w:rPr>
          <w:sz w:val="24"/>
        </w:rPr>
        <w:t>to</w:t>
      </w:r>
      <w:r>
        <w:rPr>
          <w:spacing w:val="-3"/>
          <w:sz w:val="24"/>
        </w:rPr>
        <w:t> </w:t>
      </w:r>
      <w:r>
        <w:rPr>
          <w:sz w:val="24"/>
        </w:rPr>
        <w:t>function</w:t>
      </w:r>
      <w:r>
        <w:rPr>
          <w:spacing w:val="-3"/>
          <w:sz w:val="24"/>
        </w:rPr>
        <w:t> </w:t>
      </w:r>
      <w:r>
        <w:rPr>
          <w:sz w:val="24"/>
        </w:rPr>
        <w:t>properly</w:t>
      </w:r>
      <w:r>
        <w:rPr>
          <w:spacing w:val="-3"/>
          <w:sz w:val="24"/>
        </w:rPr>
        <w:t> </w:t>
      </w:r>
      <w:r>
        <w:rPr>
          <w:sz w:val="24"/>
        </w:rPr>
        <w:t>or</w:t>
      </w:r>
      <w:r>
        <w:rPr>
          <w:spacing w:val="-3"/>
          <w:sz w:val="24"/>
        </w:rPr>
        <w:t> </w:t>
      </w:r>
      <w:r>
        <w:rPr>
          <w:sz w:val="24"/>
        </w:rPr>
        <w:t>needs repair, it will be returned to the library and a replacement provided. Under no circumstances should a borrower attempt to repair the playback equipment or </w:t>
      </w:r>
      <w:r>
        <w:rPr>
          <w:spacing w:val="-2"/>
          <w:sz w:val="24"/>
        </w:rPr>
        <w:t>accessories.</w:t>
      </w:r>
    </w:p>
    <w:p>
      <w:pPr>
        <w:pStyle w:val="ListParagraph"/>
        <w:numPr>
          <w:ilvl w:val="1"/>
          <w:numId w:val="322"/>
        </w:numPr>
        <w:tabs>
          <w:tab w:pos="1218" w:val="left" w:leader="none"/>
        </w:tabs>
        <w:spacing w:line="208" w:lineRule="auto" w:before="239" w:after="0"/>
        <w:ind w:left="792" w:right="801" w:firstLine="0"/>
        <w:jc w:val="left"/>
        <w:rPr>
          <w:sz w:val="24"/>
        </w:rPr>
      </w:pPr>
      <w:r>
        <w:rPr>
          <w:sz w:val="24"/>
        </w:rPr>
        <w:t>For</w:t>
      </w:r>
      <w:r>
        <w:rPr>
          <w:spacing w:val="-5"/>
          <w:sz w:val="24"/>
        </w:rPr>
        <w:t> </w:t>
      </w:r>
      <w:r>
        <w:rPr>
          <w:sz w:val="24"/>
        </w:rPr>
        <w:t>the</w:t>
      </w:r>
      <w:r>
        <w:rPr>
          <w:spacing w:val="-5"/>
          <w:sz w:val="24"/>
        </w:rPr>
        <w:t> </w:t>
      </w:r>
      <w:r>
        <w:rPr>
          <w:sz w:val="24"/>
        </w:rPr>
        <w:t>convenience</w:t>
      </w:r>
      <w:r>
        <w:rPr>
          <w:spacing w:val="-4"/>
          <w:sz w:val="24"/>
        </w:rPr>
        <w:t> </w:t>
      </w:r>
      <w:r>
        <w:rPr>
          <w:sz w:val="24"/>
        </w:rPr>
        <w:t>of</w:t>
      </w:r>
      <w:r>
        <w:rPr>
          <w:spacing w:val="-3"/>
          <w:sz w:val="24"/>
        </w:rPr>
        <w:t> </w:t>
      </w:r>
      <w:r>
        <w:rPr>
          <w:sz w:val="24"/>
        </w:rPr>
        <w:t>other</w:t>
      </w:r>
      <w:r>
        <w:rPr>
          <w:spacing w:val="-5"/>
          <w:sz w:val="24"/>
        </w:rPr>
        <w:t> </w:t>
      </w:r>
      <w:r>
        <w:rPr>
          <w:sz w:val="24"/>
        </w:rPr>
        <w:t>patrons,</w:t>
      </w:r>
      <w:r>
        <w:rPr>
          <w:spacing w:val="-3"/>
          <w:sz w:val="24"/>
        </w:rPr>
        <w:t> </w:t>
      </w:r>
      <w:r>
        <w:rPr>
          <w:sz w:val="24"/>
        </w:rPr>
        <w:t>the</w:t>
      </w:r>
      <w:r>
        <w:rPr>
          <w:spacing w:val="-4"/>
          <w:sz w:val="24"/>
        </w:rPr>
        <w:t> </w:t>
      </w:r>
      <w:r>
        <w:rPr>
          <w:sz w:val="24"/>
        </w:rPr>
        <w:t>number</w:t>
      </w:r>
      <w:r>
        <w:rPr>
          <w:spacing w:val="-3"/>
          <w:sz w:val="24"/>
        </w:rPr>
        <w:t> </w:t>
      </w:r>
      <w:r>
        <w:rPr>
          <w:sz w:val="24"/>
        </w:rPr>
        <w:t>of</w:t>
      </w:r>
      <w:r>
        <w:rPr>
          <w:spacing w:val="-3"/>
          <w:sz w:val="24"/>
        </w:rPr>
        <w:t> </w:t>
      </w:r>
      <w:r>
        <w:rPr>
          <w:sz w:val="24"/>
        </w:rPr>
        <w:t>books</w:t>
      </w:r>
      <w:r>
        <w:rPr>
          <w:spacing w:val="-4"/>
          <w:sz w:val="24"/>
        </w:rPr>
        <w:t> </w:t>
      </w:r>
      <w:r>
        <w:rPr>
          <w:sz w:val="24"/>
        </w:rPr>
        <w:t>borrowed</w:t>
      </w:r>
      <w:r>
        <w:rPr>
          <w:spacing w:val="-4"/>
          <w:sz w:val="24"/>
        </w:rPr>
        <w:t> </w:t>
      </w:r>
      <w:r>
        <w:rPr>
          <w:sz w:val="24"/>
        </w:rPr>
        <w:t>should</w:t>
      </w:r>
      <w:r>
        <w:rPr>
          <w:spacing w:val="-4"/>
          <w:sz w:val="24"/>
        </w:rPr>
        <w:t> </w:t>
      </w:r>
      <w:r>
        <w:rPr>
          <w:sz w:val="24"/>
        </w:rPr>
        <w:t>be limited to the number which can be read in the established time frame.</w:t>
      </w:r>
      <w:r>
        <w:rPr>
          <w:spacing w:val="40"/>
          <w:sz w:val="24"/>
        </w:rPr>
        <w:t> </w:t>
      </w:r>
      <w:r>
        <w:rPr>
          <w:sz w:val="24"/>
        </w:rPr>
        <w:t>For each book returned in each format, a replacement book will be sent to the borrower.</w:t>
      </w:r>
      <w:r>
        <w:rPr>
          <w:spacing w:val="40"/>
          <w:sz w:val="24"/>
        </w:rPr>
        <w:t> </w:t>
      </w:r>
      <w:r>
        <w:rPr>
          <w:sz w:val="24"/>
        </w:rPr>
        <w:t>To decrease the number of books being received, a "W" for withhold should be placed anywhere on the mailing label and that book will not be replaced.</w:t>
      </w:r>
      <w:r>
        <w:rPr>
          <w:spacing w:val="40"/>
          <w:sz w:val="24"/>
        </w:rPr>
        <w:t> </w:t>
      </w:r>
      <w:r>
        <w:rPr>
          <w:sz w:val="24"/>
        </w:rPr>
        <w:t>The loan period for books is 60 days.</w:t>
      </w:r>
      <w:r>
        <w:rPr>
          <w:spacing w:val="40"/>
          <w:sz w:val="24"/>
        </w:rPr>
        <w:t> </w:t>
      </w:r>
      <w:r>
        <w:rPr>
          <w:sz w:val="24"/>
        </w:rPr>
        <w:t>Fines for overdue books will not be levied. However, borrowers are urged to observe the loan period so books can be available for other </w:t>
      </w:r>
      <w:r>
        <w:rPr>
          <w:spacing w:val="-2"/>
          <w:sz w:val="24"/>
        </w:rPr>
        <w:t>readers.</w:t>
      </w:r>
    </w:p>
    <w:p>
      <w:pPr>
        <w:pStyle w:val="ListParagraph"/>
        <w:numPr>
          <w:ilvl w:val="1"/>
          <w:numId w:val="322"/>
        </w:numPr>
        <w:tabs>
          <w:tab w:pos="1218" w:val="left" w:leader="none"/>
        </w:tabs>
        <w:spacing w:line="208" w:lineRule="auto" w:before="239" w:after="0"/>
        <w:ind w:left="792" w:right="853" w:firstLine="0"/>
        <w:jc w:val="left"/>
        <w:rPr>
          <w:sz w:val="24"/>
        </w:rPr>
      </w:pPr>
      <w:r>
        <w:rPr>
          <w:sz w:val="24"/>
        </w:rPr>
        <w:t>The borrower will ensure books, magazines, and equipment being returned to the library by free matter are delivered into the hands of the United States Postal Services</w:t>
      </w:r>
      <w:r>
        <w:rPr>
          <w:spacing w:val="-3"/>
          <w:sz w:val="24"/>
        </w:rPr>
        <w:t> </w:t>
      </w:r>
      <w:r>
        <w:rPr>
          <w:sz w:val="24"/>
        </w:rPr>
        <w:t>by</w:t>
      </w:r>
      <w:r>
        <w:rPr>
          <w:spacing w:val="-3"/>
          <w:sz w:val="24"/>
        </w:rPr>
        <w:t> </w:t>
      </w:r>
      <w:r>
        <w:rPr>
          <w:sz w:val="24"/>
        </w:rPr>
        <w:t>being</w:t>
      </w:r>
      <w:r>
        <w:rPr>
          <w:spacing w:val="-3"/>
          <w:sz w:val="24"/>
        </w:rPr>
        <w:t> </w:t>
      </w:r>
      <w:r>
        <w:rPr>
          <w:sz w:val="24"/>
        </w:rPr>
        <w:t>placed</w:t>
      </w:r>
      <w:r>
        <w:rPr>
          <w:spacing w:val="-3"/>
          <w:sz w:val="24"/>
        </w:rPr>
        <w:t> </w:t>
      </w:r>
      <w:r>
        <w:rPr>
          <w:sz w:val="24"/>
        </w:rPr>
        <w:t>in</w:t>
      </w:r>
      <w:r>
        <w:rPr>
          <w:spacing w:val="-3"/>
          <w:sz w:val="24"/>
        </w:rPr>
        <w:t> </w:t>
      </w:r>
      <w:r>
        <w:rPr>
          <w:sz w:val="24"/>
        </w:rPr>
        <w:t>a</w:t>
      </w:r>
      <w:r>
        <w:rPr>
          <w:spacing w:val="-3"/>
          <w:sz w:val="24"/>
        </w:rPr>
        <w:t> </w:t>
      </w:r>
      <w:r>
        <w:rPr>
          <w:sz w:val="24"/>
        </w:rPr>
        <w:t>mailbox</w:t>
      </w:r>
      <w:r>
        <w:rPr>
          <w:spacing w:val="-3"/>
          <w:sz w:val="24"/>
        </w:rPr>
        <w:t> </w:t>
      </w:r>
      <w:r>
        <w:rPr>
          <w:sz w:val="24"/>
        </w:rPr>
        <w:t>or</w:t>
      </w:r>
      <w:r>
        <w:rPr>
          <w:spacing w:val="-2"/>
          <w:sz w:val="24"/>
        </w:rPr>
        <w:t> </w:t>
      </w:r>
      <w:r>
        <w:rPr>
          <w:sz w:val="24"/>
        </w:rPr>
        <w:t>delivered</w:t>
      </w:r>
      <w:r>
        <w:rPr>
          <w:spacing w:val="-3"/>
          <w:sz w:val="24"/>
        </w:rPr>
        <w:t> </w:t>
      </w:r>
      <w:r>
        <w:rPr>
          <w:sz w:val="24"/>
        </w:rPr>
        <w:t>to</w:t>
      </w:r>
      <w:r>
        <w:rPr>
          <w:spacing w:val="-3"/>
          <w:sz w:val="24"/>
        </w:rPr>
        <w:t> </w:t>
      </w:r>
      <w:r>
        <w:rPr>
          <w:sz w:val="24"/>
        </w:rPr>
        <w:t>the</w:t>
      </w:r>
      <w:r>
        <w:rPr>
          <w:spacing w:val="-3"/>
          <w:sz w:val="24"/>
        </w:rPr>
        <w:t> </w:t>
      </w:r>
      <w:r>
        <w:rPr>
          <w:sz w:val="24"/>
        </w:rPr>
        <w:t>post</w:t>
      </w:r>
      <w:r>
        <w:rPr>
          <w:spacing w:val="-2"/>
          <w:sz w:val="24"/>
        </w:rPr>
        <w:t> </w:t>
      </w:r>
      <w:r>
        <w:rPr>
          <w:sz w:val="24"/>
        </w:rPr>
        <w:t>office.</w:t>
      </w:r>
      <w:r>
        <w:rPr>
          <w:spacing w:val="40"/>
          <w:sz w:val="24"/>
        </w:rPr>
        <w:t> </w:t>
      </w:r>
      <w:r>
        <w:rPr>
          <w:sz w:val="24"/>
        </w:rPr>
        <w:t>The</w:t>
      </w:r>
      <w:r>
        <w:rPr>
          <w:spacing w:val="-3"/>
          <w:sz w:val="24"/>
        </w:rPr>
        <w:t> </w:t>
      </w:r>
      <w:r>
        <w:rPr>
          <w:sz w:val="24"/>
        </w:rPr>
        <w:t>borrower is</w:t>
      </w:r>
      <w:r>
        <w:rPr>
          <w:spacing w:val="-1"/>
          <w:sz w:val="24"/>
        </w:rPr>
        <w:t> </w:t>
      </w:r>
      <w:r>
        <w:rPr>
          <w:sz w:val="24"/>
        </w:rPr>
        <w:t>responsible</w:t>
      </w:r>
      <w:r>
        <w:rPr>
          <w:spacing w:val="-1"/>
          <w:sz w:val="24"/>
        </w:rPr>
        <w:t> </w:t>
      </w:r>
      <w:r>
        <w:rPr>
          <w:sz w:val="24"/>
        </w:rPr>
        <w:t>for the</w:t>
      </w:r>
      <w:r>
        <w:rPr>
          <w:spacing w:val="-1"/>
          <w:sz w:val="24"/>
        </w:rPr>
        <w:t> </w:t>
      </w:r>
      <w:r>
        <w:rPr>
          <w:sz w:val="24"/>
        </w:rPr>
        <w:t>loss</w:t>
      </w:r>
      <w:r>
        <w:rPr>
          <w:spacing w:val="-1"/>
          <w:sz w:val="24"/>
        </w:rPr>
        <w:t> </w:t>
      </w:r>
      <w:r>
        <w:rPr>
          <w:sz w:val="24"/>
        </w:rPr>
        <w:t>or damage</w:t>
      </w:r>
      <w:r>
        <w:rPr>
          <w:spacing w:val="-1"/>
          <w:sz w:val="24"/>
        </w:rPr>
        <w:t> </w:t>
      </w:r>
      <w:r>
        <w:rPr>
          <w:sz w:val="24"/>
        </w:rPr>
        <w:t>of a</w:t>
      </w:r>
      <w:r>
        <w:rPr>
          <w:spacing w:val="-1"/>
          <w:sz w:val="24"/>
        </w:rPr>
        <w:t> </w:t>
      </w:r>
      <w:r>
        <w:rPr>
          <w:sz w:val="24"/>
        </w:rPr>
        <w:t>book</w:t>
      </w:r>
      <w:r>
        <w:rPr>
          <w:spacing w:val="-1"/>
          <w:sz w:val="24"/>
        </w:rPr>
        <w:t> </w:t>
      </w:r>
      <w:r>
        <w:rPr>
          <w:sz w:val="24"/>
        </w:rPr>
        <w:t>due</w:t>
      </w:r>
      <w:r>
        <w:rPr>
          <w:spacing w:val="-1"/>
          <w:sz w:val="24"/>
        </w:rPr>
        <w:t> </w:t>
      </w:r>
      <w:r>
        <w:rPr>
          <w:sz w:val="24"/>
        </w:rPr>
        <w:t>to</w:t>
      </w:r>
      <w:r>
        <w:rPr>
          <w:spacing w:val="-1"/>
          <w:sz w:val="24"/>
        </w:rPr>
        <w:t> </w:t>
      </w:r>
      <w:r>
        <w:rPr>
          <w:sz w:val="24"/>
        </w:rPr>
        <w:t>improper placement for mail </w:t>
      </w:r>
      <w:r>
        <w:rPr>
          <w:spacing w:val="-2"/>
          <w:sz w:val="24"/>
        </w:rPr>
        <w:t>pick-up.</w:t>
      </w:r>
    </w:p>
    <w:p>
      <w:pPr>
        <w:pStyle w:val="ListParagraph"/>
        <w:numPr>
          <w:ilvl w:val="1"/>
          <w:numId w:val="322"/>
        </w:numPr>
        <w:tabs>
          <w:tab w:pos="1218" w:val="left" w:leader="none"/>
        </w:tabs>
        <w:spacing w:line="208" w:lineRule="auto" w:before="240" w:after="0"/>
        <w:ind w:left="792" w:right="1615" w:firstLine="0"/>
        <w:jc w:val="left"/>
        <w:rPr>
          <w:sz w:val="24"/>
        </w:rPr>
      </w:pPr>
      <w:r>
        <w:rPr>
          <w:sz w:val="24"/>
        </w:rPr>
        <w:t>Borrowers</w:t>
      </w:r>
      <w:r>
        <w:rPr>
          <w:spacing w:val="-4"/>
          <w:sz w:val="24"/>
        </w:rPr>
        <w:t> </w:t>
      </w:r>
      <w:r>
        <w:rPr>
          <w:sz w:val="24"/>
        </w:rPr>
        <w:t>may</w:t>
      </w:r>
      <w:r>
        <w:rPr>
          <w:spacing w:val="-4"/>
          <w:sz w:val="24"/>
        </w:rPr>
        <w:t> </w:t>
      </w:r>
      <w:r>
        <w:rPr>
          <w:sz w:val="24"/>
        </w:rPr>
        <w:t>not</w:t>
      </w:r>
      <w:r>
        <w:rPr>
          <w:spacing w:val="-4"/>
          <w:sz w:val="24"/>
        </w:rPr>
        <w:t> </w:t>
      </w:r>
      <w:r>
        <w:rPr>
          <w:sz w:val="24"/>
        </w:rPr>
        <w:t>lend</w:t>
      </w:r>
      <w:r>
        <w:rPr>
          <w:spacing w:val="-4"/>
          <w:sz w:val="24"/>
        </w:rPr>
        <w:t> </w:t>
      </w:r>
      <w:r>
        <w:rPr>
          <w:sz w:val="24"/>
        </w:rPr>
        <w:t>library</w:t>
      </w:r>
      <w:r>
        <w:rPr>
          <w:spacing w:val="-4"/>
          <w:sz w:val="24"/>
        </w:rPr>
        <w:t> </w:t>
      </w:r>
      <w:r>
        <w:rPr>
          <w:sz w:val="24"/>
        </w:rPr>
        <w:t>books,</w:t>
      </w:r>
      <w:r>
        <w:rPr>
          <w:spacing w:val="-4"/>
          <w:sz w:val="24"/>
        </w:rPr>
        <w:t> </w:t>
      </w:r>
      <w:r>
        <w:rPr>
          <w:sz w:val="24"/>
        </w:rPr>
        <w:t>magazines</w:t>
      </w:r>
      <w:r>
        <w:rPr>
          <w:spacing w:val="-4"/>
          <w:sz w:val="24"/>
        </w:rPr>
        <w:t> </w:t>
      </w:r>
      <w:r>
        <w:rPr>
          <w:sz w:val="24"/>
        </w:rPr>
        <w:t>or</w:t>
      </w:r>
      <w:r>
        <w:rPr>
          <w:spacing w:val="-4"/>
          <w:sz w:val="24"/>
        </w:rPr>
        <w:t> </w:t>
      </w:r>
      <w:r>
        <w:rPr>
          <w:sz w:val="24"/>
        </w:rPr>
        <w:t>equipment</w:t>
      </w:r>
      <w:r>
        <w:rPr>
          <w:spacing w:val="-4"/>
          <w:sz w:val="24"/>
        </w:rPr>
        <w:t> </w:t>
      </w:r>
      <w:r>
        <w:rPr>
          <w:sz w:val="24"/>
        </w:rPr>
        <w:t>to</w:t>
      </w:r>
      <w:r>
        <w:rPr>
          <w:spacing w:val="-5"/>
          <w:sz w:val="24"/>
        </w:rPr>
        <w:t> </w:t>
      </w:r>
      <w:r>
        <w:rPr>
          <w:sz w:val="24"/>
        </w:rPr>
        <w:t>other </w:t>
      </w:r>
      <w:r>
        <w:rPr>
          <w:spacing w:val="-2"/>
          <w:sz w:val="24"/>
        </w:rPr>
        <w:t>persons.</w:t>
      </w:r>
    </w:p>
    <w:p>
      <w:pPr>
        <w:pStyle w:val="ListParagraph"/>
        <w:numPr>
          <w:ilvl w:val="1"/>
          <w:numId w:val="322"/>
        </w:numPr>
        <w:tabs>
          <w:tab w:pos="1152" w:val="left" w:leader="none"/>
        </w:tabs>
        <w:spacing w:line="208" w:lineRule="auto" w:before="239" w:after="0"/>
        <w:ind w:left="792" w:right="760" w:firstLine="0"/>
        <w:jc w:val="left"/>
        <w:rPr>
          <w:sz w:val="24"/>
        </w:rPr>
      </w:pPr>
      <w:r>
        <w:rPr>
          <w:sz w:val="24"/>
        </w:rPr>
        <w:t>I</w:t>
      </w:r>
      <w:r>
        <w:rPr>
          <w:spacing w:val="-4"/>
          <w:sz w:val="24"/>
        </w:rPr>
        <w:t> </w:t>
      </w:r>
      <w:r>
        <w:rPr>
          <w:sz w:val="24"/>
        </w:rPr>
        <w:t>n</w:t>
      </w:r>
      <w:r>
        <w:rPr>
          <w:spacing w:val="-3"/>
          <w:sz w:val="24"/>
        </w:rPr>
        <w:t> </w:t>
      </w:r>
      <w:r>
        <w:rPr>
          <w:sz w:val="24"/>
        </w:rPr>
        <w:t>case</w:t>
      </w:r>
      <w:r>
        <w:rPr>
          <w:spacing w:val="-4"/>
          <w:sz w:val="24"/>
        </w:rPr>
        <w:t> </w:t>
      </w:r>
      <w:r>
        <w:rPr>
          <w:sz w:val="24"/>
        </w:rPr>
        <w:t>of</w:t>
      </w:r>
      <w:r>
        <w:rPr>
          <w:spacing w:val="-2"/>
          <w:sz w:val="24"/>
        </w:rPr>
        <w:t> </w:t>
      </w:r>
      <w:r>
        <w:rPr>
          <w:sz w:val="24"/>
        </w:rPr>
        <w:t>repeated</w:t>
      </w:r>
      <w:r>
        <w:rPr>
          <w:spacing w:val="-3"/>
          <w:sz w:val="24"/>
        </w:rPr>
        <w:t> </w:t>
      </w:r>
      <w:r>
        <w:rPr>
          <w:sz w:val="24"/>
        </w:rPr>
        <w:t>verbal</w:t>
      </w:r>
      <w:r>
        <w:rPr>
          <w:spacing w:val="-3"/>
          <w:sz w:val="24"/>
        </w:rPr>
        <w:t> </w:t>
      </w:r>
      <w:r>
        <w:rPr>
          <w:sz w:val="24"/>
        </w:rPr>
        <w:t>abuse</w:t>
      </w:r>
      <w:r>
        <w:rPr>
          <w:spacing w:val="-3"/>
          <w:sz w:val="24"/>
        </w:rPr>
        <w:t> </w:t>
      </w:r>
      <w:r>
        <w:rPr>
          <w:sz w:val="24"/>
        </w:rPr>
        <w:t>of</w:t>
      </w:r>
      <w:r>
        <w:rPr>
          <w:spacing w:val="-2"/>
          <w:sz w:val="24"/>
        </w:rPr>
        <w:t> </w:t>
      </w:r>
      <w:r>
        <w:rPr>
          <w:sz w:val="24"/>
        </w:rPr>
        <w:t>library</w:t>
      </w:r>
      <w:r>
        <w:rPr>
          <w:spacing w:val="-3"/>
          <w:sz w:val="24"/>
        </w:rPr>
        <w:t> </w:t>
      </w:r>
      <w:r>
        <w:rPr>
          <w:sz w:val="24"/>
        </w:rPr>
        <w:t>staff</w:t>
      </w:r>
      <w:r>
        <w:rPr>
          <w:spacing w:val="-2"/>
          <w:sz w:val="24"/>
        </w:rPr>
        <w:t> </w:t>
      </w:r>
      <w:r>
        <w:rPr>
          <w:sz w:val="24"/>
        </w:rPr>
        <w:t>by</w:t>
      </w:r>
      <w:r>
        <w:rPr>
          <w:spacing w:val="-4"/>
          <w:sz w:val="24"/>
        </w:rPr>
        <w:t> </w:t>
      </w:r>
      <w:r>
        <w:rPr>
          <w:sz w:val="24"/>
        </w:rPr>
        <w:t>the</w:t>
      </w:r>
      <w:r>
        <w:rPr>
          <w:spacing w:val="-3"/>
          <w:sz w:val="24"/>
        </w:rPr>
        <w:t> </w:t>
      </w:r>
      <w:r>
        <w:rPr>
          <w:sz w:val="24"/>
        </w:rPr>
        <w:t>borrower,</w:t>
      </w:r>
      <w:r>
        <w:rPr>
          <w:spacing w:val="-2"/>
          <w:sz w:val="24"/>
        </w:rPr>
        <w:t> </w:t>
      </w:r>
      <w:r>
        <w:rPr>
          <w:sz w:val="24"/>
        </w:rPr>
        <w:t>in</w:t>
      </w:r>
      <w:r>
        <w:rPr>
          <w:spacing w:val="-3"/>
          <w:sz w:val="24"/>
        </w:rPr>
        <w:t> </w:t>
      </w:r>
      <w:r>
        <w:rPr>
          <w:sz w:val="24"/>
        </w:rPr>
        <w:t>person</w:t>
      </w:r>
      <w:r>
        <w:rPr>
          <w:spacing w:val="-4"/>
          <w:sz w:val="24"/>
        </w:rPr>
        <w:t> </w:t>
      </w:r>
      <w:r>
        <w:rPr>
          <w:sz w:val="24"/>
        </w:rPr>
        <w:t>or</w:t>
      </w:r>
      <w:r>
        <w:rPr>
          <w:spacing w:val="-2"/>
          <w:sz w:val="24"/>
        </w:rPr>
        <w:t> </w:t>
      </w:r>
      <w:r>
        <w:rPr>
          <w:sz w:val="24"/>
        </w:rPr>
        <w:t>by telephone, service to that borrower may be suspended by the library.</w:t>
      </w:r>
    </w:p>
    <w:p>
      <w:pPr>
        <w:pStyle w:val="ListParagraph"/>
        <w:numPr>
          <w:ilvl w:val="0"/>
          <w:numId w:val="322"/>
        </w:numPr>
        <w:tabs>
          <w:tab w:pos="786" w:val="left" w:leader="none"/>
        </w:tabs>
        <w:spacing w:line="208" w:lineRule="auto" w:before="240" w:after="0"/>
        <w:ind w:left="360" w:right="727" w:firstLine="0"/>
        <w:jc w:val="left"/>
        <w:rPr>
          <w:sz w:val="24"/>
        </w:rPr>
      </w:pPr>
      <w:r>
        <w:rPr>
          <w:sz w:val="24"/>
        </w:rPr>
        <w:t>The reading materials and playback equipment for the use of persons who are blind or physically disabled may be loaned to individuals who qualify, to institutions such as nursing homes and hospitals, and to schools for students who are blind or physically disabled for the use of such persons only.</w:t>
      </w:r>
      <w:r>
        <w:rPr>
          <w:spacing w:val="40"/>
          <w:sz w:val="24"/>
        </w:rPr>
        <w:t> </w:t>
      </w:r>
      <w:r>
        <w:rPr>
          <w:sz w:val="24"/>
        </w:rPr>
        <w:t>Nursing homes, hospitals and schools for students who are blind or disabled need not submit names of individual applicants.</w:t>
      </w:r>
      <w:r>
        <w:rPr>
          <w:spacing w:val="40"/>
          <w:sz w:val="24"/>
        </w:rPr>
        <w:t> </w:t>
      </w:r>
      <w:r>
        <w:rPr>
          <w:sz w:val="24"/>
        </w:rPr>
        <w:t>The reading</w:t>
      </w:r>
      <w:r>
        <w:rPr>
          <w:spacing w:val="-4"/>
          <w:sz w:val="24"/>
        </w:rPr>
        <w:t> </w:t>
      </w:r>
      <w:r>
        <w:rPr>
          <w:sz w:val="24"/>
        </w:rPr>
        <w:t>materials</w:t>
      </w:r>
      <w:r>
        <w:rPr>
          <w:spacing w:val="-4"/>
          <w:sz w:val="24"/>
        </w:rPr>
        <w:t> </w:t>
      </w:r>
      <w:r>
        <w:rPr>
          <w:sz w:val="24"/>
        </w:rPr>
        <w:t>and</w:t>
      </w:r>
      <w:r>
        <w:rPr>
          <w:spacing w:val="-4"/>
          <w:sz w:val="24"/>
        </w:rPr>
        <w:t> </w:t>
      </w:r>
      <w:r>
        <w:rPr>
          <w:sz w:val="24"/>
        </w:rPr>
        <w:t>playback</w:t>
      </w:r>
      <w:r>
        <w:rPr>
          <w:spacing w:val="-4"/>
          <w:sz w:val="24"/>
        </w:rPr>
        <w:t> </w:t>
      </w:r>
      <w:r>
        <w:rPr>
          <w:sz w:val="24"/>
        </w:rPr>
        <w:t>equipment</w:t>
      </w:r>
      <w:r>
        <w:rPr>
          <w:spacing w:val="-3"/>
          <w:sz w:val="24"/>
        </w:rPr>
        <w:t> </w:t>
      </w:r>
      <w:r>
        <w:rPr>
          <w:sz w:val="24"/>
        </w:rPr>
        <w:t>may</w:t>
      </w:r>
      <w:r>
        <w:rPr>
          <w:spacing w:val="-4"/>
          <w:sz w:val="24"/>
        </w:rPr>
        <w:t> </w:t>
      </w:r>
      <w:r>
        <w:rPr>
          <w:sz w:val="24"/>
        </w:rPr>
        <w:t>also</w:t>
      </w:r>
      <w:r>
        <w:rPr>
          <w:spacing w:val="-4"/>
          <w:sz w:val="24"/>
        </w:rPr>
        <w:t> </w:t>
      </w:r>
      <w:r>
        <w:rPr>
          <w:sz w:val="24"/>
        </w:rPr>
        <w:t>be</w:t>
      </w:r>
      <w:r>
        <w:rPr>
          <w:spacing w:val="-4"/>
          <w:sz w:val="24"/>
        </w:rPr>
        <w:t> </w:t>
      </w:r>
      <w:r>
        <w:rPr>
          <w:sz w:val="24"/>
        </w:rPr>
        <w:t>used</w:t>
      </w:r>
      <w:r>
        <w:rPr>
          <w:spacing w:val="-4"/>
          <w:sz w:val="24"/>
        </w:rPr>
        <w:t> </w:t>
      </w:r>
      <w:r>
        <w:rPr>
          <w:sz w:val="24"/>
        </w:rPr>
        <w:t>in</w:t>
      </w:r>
      <w:r>
        <w:rPr>
          <w:spacing w:val="-4"/>
          <w:sz w:val="24"/>
        </w:rPr>
        <w:t> </w:t>
      </w:r>
      <w:r>
        <w:rPr>
          <w:sz w:val="24"/>
        </w:rPr>
        <w:t>public</w:t>
      </w:r>
      <w:r>
        <w:rPr>
          <w:spacing w:val="-4"/>
          <w:sz w:val="24"/>
        </w:rPr>
        <w:t> </w:t>
      </w:r>
      <w:r>
        <w:rPr>
          <w:sz w:val="24"/>
        </w:rPr>
        <w:t>or</w:t>
      </w:r>
      <w:r>
        <w:rPr>
          <w:spacing w:val="-3"/>
          <w:sz w:val="24"/>
        </w:rPr>
        <w:t> </w:t>
      </w:r>
      <w:r>
        <w:rPr>
          <w:sz w:val="24"/>
        </w:rPr>
        <w:t>private</w:t>
      </w:r>
      <w:r>
        <w:rPr>
          <w:spacing w:val="-5"/>
          <w:sz w:val="24"/>
        </w:rPr>
        <w:t> </w:t>
      </w:r>
      <w:r>
        <w:rPr>
          <w:sz w:val="24"/>
        </w:rPr>
        <w:t>schools where students with disabilities are enrolled; however, the students must be certified as eligible</w:t>
      </w:r>
      <w:r>
        <w:rPr>
          <w:spacing w:val="-1"/>
          <w:sz w:val="24"/>
        </w:rPr>
        <w:t> </w:t>
      </w:r>
      <w:r>
        <w:rPr>
          <w:sz w:val="24"/>
        </w:rPr>
        <w:t>on</w:t>
      </w:r>
      <w:r>
        <w:rPr>
          <w:spacing w:val="-1"/>
          <w:sz w:val="24"/>
        </w:rPr>
        <w:t> </w:t>
      </w:r>
      <w:r>
        <w:rPr>
          <w:sz w:val="24"/>
        </w:rPr>
        <w:t>an</w:t>
      </w:r>
      <w:r>
        <w:rPr>
          <w:spacing w:val="-1"/>
          <w:sz w:val="24"/>
        </w:rPr>
        <w:t> </w:t>
      </w:r>
      <w:r>
        <w:rPr>
          <w:sz w:val="24"/>
        </w:rPr>
        <w:t>individual</w:t>
      </w:r>
      <w:r>
        <w:rPr>
          <w:spacing w:val="-1"/>
          <w:sz w:val="24"/>
        </w:rPr>
        <w:t> </w:t>
      </w:r>
      <w:r>
        <w:rPr>
          <w:sz w:val="24"/>
        </w:rPr>
        <w:t>basis</w:t>
      </w:r>
      <w:r>
        <w:rPr>
          <w:spacing w:val="-1"/>
          <w:sz w:val="24"/>
        </w:rPr>
        <w:t> </w:t>
      </w:r>
      <w:r>
        <w:rPr>
          <w:sz w:val="24"/>
        </w:rPr>
        <w:t>and</w:t>
      </w:r>
      <w:r>
        <w:rPr>
          <w:spacing w:val="-1"/>
          <w:sz w:val="24"/>
        </w:rPr>
        <w:t> </w:t>
      </w:r>
      <w:r>
        <w:rPr>
          <w:sz w:val="24"/>
        </w:rPr>
        <w:t>must be</w:t>
      </w:r>
      <w:r>
        <w:rPr>
          <w:spacing w:val="-2"/>
          <w:sz w:val="24"/>
        </w:rPr>
        <w:t> </w:t>
      </w:r>
      <w:r>
        <w:rPr>
          <w:sz w:val="24"/>
        </w:rPr>
        <w:t>the</w:t>
      </w:r>
      <w:r>
        <w:rPr>
          <w:spacing w:val="-1"/>
          <w:sz w:val="24"/>
        </w:rPr>
        <w:t> </w:t>
      </w:r>
      <w:r>
        <w:rPr>
          <w:sz w:val="24"/>
        </w:rPr>
        <w:t>direct and</w:t>
      </w:r>
      <w:r>
        <w:rPr>
          <w:spacing w:val="-1"/>
          <w:sz w:val="24"/>
        </w:rPr>
        <w:t> </w:t>
      </w:r>
      <w:r>
        <w:rPr>
          <w:sz w:val="24"/>
        </w:rPr>
        <w:t>only</w:t>
      </w:r>
      <w:r>
        <w:rPr>
          <w:spacing w:val="-1"/>
          <w:sz w:val="24"/>
        </w:rPr>
        <w:t> </w:t>
      </w:r>
      <w:r>
        <w:rPr>
          <w:sz w:val="24"/>
        </w:rPr>
        <w:t>recipients</w:t>
      </w:r>
      <w:r>
        <w:rPr>
          <w:spacing w:val="-1"/>
          <w:sz w:val="24"/>
        </w:rPr>
        <w:t> </w:t>
      </w:r>
      <w:r>
        <w:rPr>
          <w:sz w:val="24"/>
        </w:rPr>
        <w:t>of the</w:t>
      </w:r>
      <w:r>
        <w:rPr>
          <w:spacing w:val="-1"/>
          <w:sz w:val="24"/>
        </w:rPr>
        <w:t> </w:t>
      </w:r>
      <w:r>
        <w:rPr>
          <w:sz w:val="24"/>
        </w:rPr>
        <w:t>materials and equipment.</w:t>
      </w:r>
    </w:p>
    <w:p>
      <w:pPr>
        <w:pStyle w:val="ListParagraph"/>
        <w:spacing w:after="0" w:line="208" w:lineRule="auto"/>
        <w:jc w:val="left"/>
        <w:rPr>
          <w:sz w:val="24"/>
        </w:rPr>
        <w:sectPr>
          <w:pgSz w:w="12240" w:h="15840"/>
          <w:pgMar w:top="1340" w:bottom="280" w:left="1080" w:right="720"/>
        </w:sectPr>
      </w:pPr>
    </w:p>
    <w:p>
      <w:pPr>
        <w:spacing w:before="80"/>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7-1-11</w:t>
      </w:r>
      <w:r>
        <w:rPr>
          <w:sz w:val="22"/>
        </w:rPr>
        <w:tab/>
        <w:t>PT Memo #12-01</w:t>
      </w:r>
    </w:p>
    <w:p>
      <w:pPr>
        <w:spacing w:before="0"/>
        <w:ind w:left="1439" w:right="0" w:firstLine="0"/>
        <w:jc w:val="left"/>
        <w:rPr>
          <w:sz w:val="22"/>
        </w:rPr>
      </w:pPr>
      <w:r>
        <w:rPr>
          <w:sz w:val="22"/>
        </w:rPr>
        <w:t>Permanent,</w:t>
      </w:r>
      <w:r>
        <w:rPr>
          <w:spacing w:val="-8"/>
          <w:sz w:val="22"/>
        </w:rPr>
        <w:t> </w:t>
      </w:r>
      <w:r>
        <w:rPr>
          <w:sz w:val="22"/>
        </w:rPr>
        <w:t>updated</w:t>
      </w:r>
      <w:r>
        <w:rPr>
          <w:spacing w:val="-8"/>
          <w:sz w:val="22"/>
        </w:rPr>
        <w:t> </w:t>
      </w:r>
      <w:r>
        <w:rPr>
          <w:sz w:val="22"/>
        </w:rPr>
        <w:t>terminology</w:t>
      </w:r>
      <w:r>
        <w:rPr>
          <w:spacing w:val="-8"/>
          <w:sz w:val="22"/>
        </w:rPr>
        <w:t> </w:t>
      </w:r>
      <w:r>
        <w:rPr>
          <w:sz w:val="22"/>
        </w:rPr>
        <w:t>and</w:t>
      </w:r>
      <w:r>
        <w:rPr>
          <w:spacing w:val="-8"/>
          <w:sz w:val="22"/>
        </w:rPr>
        <w:t> </w:t>
      </w:r>
      <w:r>
        <w:rPr>
          <w:sz w:val="22"/>
        </w:rPr>
        <w:t>removed</w:t>
      </w:r>
      <w:r>
        <w:rPr>
          <w:spacing w:val="-9"/>
          <w:sz w:val="22"/>
        </w:rPr>
        <w:t> </w:t>
      </w:r>
      <w:r>
        <w:rPr>
          <w:sz w:val="22"/>
        </w:rPr>
        <w:t>an</w:t>
      </w:r>
      <w:r>
        <w:rPr>
          <w:spacing w:val="-8"/>
          <w:sz w:val="22"/>
        </w:rPr>
        <w:t> </w:t>
      </w:r>
      <w:r>
        <w:rPr>
          <w:spacing w:val="-2"/>
          <w:sz w:val="22"/>
        </w:rPr>
        <w:t>example</w:t>
      </w:r>
    </w:p>
    <w:p>
      <w:pPr>
        <w:spacing w:after="0"/>
        <w:jc w:val="left"/>
        <w:rPr>
          <w:sz w:val="22"/>
        </w:rPr>
        <w:sectPr>
          <w:pgSz w:w="12240" w:h="15840"/>
          <w:pgMar w:top="1360" w:bottom="280" w:left="1080" w:right="720"/>
        </w:sectPr>
      </w:pPr>
    </w:p>
    <w:p>
      <w:pPr>
        <w:pStyle w:val="Heading2"/>
      </w:pPr>
      <w:bookmarkStart w:name="612:15-5-2.  Suspension procedures" w:id="313"/>
      <w:bookmarkEnd w:id="313"/>
      <w:r>
        <w:rPr>
          <w:b w:val="0"/>
        </w:rPr>
      </w:r>
      <w:r>
        <w:rPr/>
        <w:t>612:15-5-2.</w:t>
      </w:r>
      <w:r>
        <w:rPr>
          <w:spacing w:val="57"/>
        </w:rPr>
        <w:t> </w:t>
      </w:r>
      <w:r>
        <w:rPr/>
        <w:t>Suspension</w:t>
      </w:r>
      <w:r>
        <w:rPr>
          <w:spacing w:val="-5"/>
        </w:rPr>
        <w:t> </w:t>
      </w:r>
      <w:r>
        <w:rPr>
          <w:spacing w:val="-2"/>
        </w:rPr>
        <w:t>procedures</w:t>
      </w:r>
    </w:p>
    <w:p>
      <w:pPr>
        <w:pStyle w:val="BodyText"/>
        <w:spacing w:line="208" w:lineRule="auto" w:before="233"/>
        <w:ind w:right="861" w:firstLine="432"/>
        <w:jc w:val="both"/>
      </w:pPr>
      <w:r>
        <w:rPr/>
        <w:t>In the event any of the rules in this Chapter are violated repeatedly, the borrower's service may be suspended for a period of time after being given a written warning and an</w:t>
      </w:r>
      <w:r>
        <w:rPr>
          <w:spacing w:val="-4"/>
        </w:rPr>
        <w:t> </w:t>
      </w:r>
      <w:r>
        <w:rPr/>
        <w:t>opportunity</w:t>
      </w:r>
      <w:r>
        <w:rPr>
          <w:spacing w:val="-4"/>
        </w:rPr>
        <w:t> </w:t>
      </w:r>
      <w:r>
        <w:rPr/>
        <w:t>to</w:t>
      </w:r>
      <w:r>
        <w:rPr>
          <w:spacing w:val="-4"/>
        </w:rPr>
        <w:t> </w:t>
      </w:r>
      <w:r>
        <w:rPr/>
        <w:t>reply.</w:t>
      </w:r>
      <w:r>
        <w:rPr>
          <w:spacing w:val="-3"/>
        </w:rPr>
        <w:t> </w:t>
      </w:r>
      <w:r>
        <w:rPr/>
        <w:t>If</w:t>
      </w:r>
      <w:r>
        <w:rPr>
          <w:spacing w:val="-3"/>
        </w:rPr>
        <w:t> </w:t>
      </w:r>
      <w:r>
        <w:rPr/>
        <w:t>after</w:t>
      </w:r>
      <w:r>
        <w:rPr>
          <w:spacing w:val="-5"/>
        </w:rPr>
        <w:t> </w:t>
      </w:r>
      <w:r>
        <w:rPr/>
        <w:t>reinstatement</w:t>
      </w:r>
      <w:r>
        <w:rPr>
          <w:spacing w:val="-5"/>
        </w:rPr>
        <w:t> </w:t>
      </w:r>
      <w:r>
        <w:rPr/>
        <w:t>of</w:t>
      </w:r>
      <w:r>
        <w:rPr>
          <w:spacing w:val="-3"/>
        </w:rPr>
        <w:t> </w:t>
      </w:r>
      <w:r>
        <w:rPr/>
        <w:t>services,</w:t>
      </w:r>
      <w:r>
        <w:rPr>
          <w:spacing w:val="-3"/>
        </w:rPr>
        <w:t> </w:t>
      </w:r>
      <w:r>
        <w:rPr/>
        <w:t>abuse</w:t>
      </w:r>
      <w:r>
        <w:rPr>
          <w:spacing w:val="-4"/>
        </w:rPr>
        <w:t> </w:t>
      </w:r>
      <w:r>
        <w:rPr/>
        <w:t>continues,</w:t>
      </w:r>
      <w:r>
        <w:rPr>
          <w:spacing w:val="-3"/>
        </w:rPr>
        <w:t> </w:t>
      </w:r>
      <w:r>
        <w:rPr/>
        <w:t>service</w:t>
      </w:r>
      <w:r>
        <w:rPr>
          <w:spacing w:val="-4"/>
        </w:rPr>
        <w:t> </w:t>
      </w:r>
      <w:r>
        <w:rPr/>
        <w:t>may be suspended again. In the event of suspension, these steps will be taken:</w:t>
      </w:r>
    </w:p>
    <w:p>
      <w:pPr>
        <w:pStyle w:val="ListParagraph"/>
        <w:numPr>
          <w:ilvl w:val="0"/>
          <w:numId w:val="323"/>
        </w:numPr>
        <w:tabs>
          <w:tab w:pos="1217" w:val="left" w:leader="none"/>
        </w:tabs>
        <w:spacing w:line="208" w:lineRule="auto" w:before="239" w:after="0"/>
        <w:ind w:left="791" w:right="747" w:firstLine="0"/>
        <w:jc w:val="left"/>
        <w:rPr>
          <w:sz w:val="24"/>
        </w:rPr>
      </w:pPr>
      <w:r>
        <w:rPr>
          <w:sz w:val="24"/>
        </w:rPr>
        <w:t>The</w:t>
      </w:r>
      <w:r>
        <w:rPr>
          <w:spacing w:val="-3"/>
          <w:sz w:val="24"/>
        </w:rPr>
        <w:t> </w:t>
      </w:r>
      <w:r>
        <w:rPr>
          <w:sz w:val="24"/>
        </w:rPr>
        <w:t>library</w:t>
      </w:r>
      <w:r>
        <w:rPr>
          <w:spacing w:val="-3"/>
          <w:sz w:val="24"/>
        </w:rPr>
        <w:t> </w:t>
      </w:r>
      <w:r>
        <w:rPr>
          <w:sz w:val="24"/>
        </w:rPr>
        <w:t>will</w:t>
      </w:r>
      <w:r>
        <w:rPr>
          <w:spacing w:val="-3"/>
          <w:sz w:val="24"/>
        </w:rPr>
        <w:t> </w:t>
      </w:r>
      <w:r>
        <w:rPr>
          <w:sz w:val="24"/>
        </w:rPr>
        <w:t>first</w:t>
      </w:r>
      <w:r>
        <w:rPr>
          <w:spacing w:val="-2"/>
          <w:sz w:val="24"/>
        </w:rPr>
        <w:t> </w:t>
      </w:r>
      <w:r>
        <w:rPr>
          <w:sz w:val="24"/>
        </w:rPr>
        <w:t>discuss</w:t>
      </w:r>
      <w:r>
        <w:rPr>
          <w:spacing w:val="-3"/>
          <w:sz w:val="24"/>
        </w:rPr>
        <w:t> </w:t>
      </w:r>
      <w:r>
        <w:rPr>
          <w:sz w:val="24"/>
        </w:rPr>
        <w:t>the</w:t>
      </w:r>
      <w:r>
        <w:rPr>
          <w:spacing w:val="-3"/>
          <w:sz w:val="24"/>
        </w:rPr>
        <w:t> </w:t>
      </w:r>
      <w:r>
        <w:rPr>
          <w:sz w:val="24"/>
        </w:rPr>
        <w:t>problem</w:t>
      </w:r>
      <w:r>
        <w:rPr>
          <w:spacing w:val="-2"/>
          <w:sz w:val="24"/>
        </w:rPr>
        <w:t> </w:t>
      </w:r>
      <w:r>
        <w:rPr>
          <w:sz w:val="24"/>
        </w:rPr>
        <w:t>noted</w:t>
      </w:r>
      <w:r>
        <w:rPr>
          <w:spacing w:val="-3"/>
          <w:sz w:val="24"/>
        </w:rPr>
        <w:t> </w:t>
      </w:r>
      <w:r>
        <w:rPr>
          <w:sz w:val="24"/>
        </w:rPr>
        <w:t>with</w:t>
      </w:r>
      <w:r>
        <w:rPr>
          <w:spacing w:val="-3"/>
          <w:sz w:val="24"/>
        </w:rPr>
        <w:t> </w:t>
      </w:r>
      <w:r>
        <w:rPr>
          <w:sz w:val="24"/>
        </w:rPr>
        <w:t>the</w:t>
      </w:r>
      <w:r>
        <w:rPr>
          <w:spacing w:val="-3"/>
          <w:sz w:val="24"/>
        </w:rPr>
        <w:t> </w:t>
      </w:r>
      <w:r>
        <w:rPr>
          <w:sz w:val="24"/>
        </w:rPr>
        <w:t>patron</w:t>
      </w:r>
      <w:r>
        <w:rPr>
          <w:spacing w:val="-3"/>
          <w:sz w:val="24"/>
        </w:rPr>
        <w:t> </w:t>
      </w:r>
      <w:r>
        <w:rPr>
          <w:sz w:val="24"/>
        </w:rPr>
        <w:t>by</w:t>
      </w:r>
      <w:r>
        <w:rPr>
          <w:spacing w:val="-3"/>
          <w:sz w:val="24"/>
        </w:rPr>
        <w:t> </w:t>
      </w:r>
      <w:r>
        <w:rPr>
          <w:sz w:val="24"/>
        </w:rPr>
        <w:t>telephone</w:t>
      </w:r>
      <w:r>
        <w:rPr>
          <w:spacing w:val="-3"/>
          <w:sz w:val="24"/>
        </w:rPr>
        <w:t> </w:t>
      </w:r>
      <w:r>
        <w:rPr>
          <w:sz w:val="24"/>
        </w:rPr>
        <w:t>or</w:t>
      </w:r>
      <w:r>
        <w:rPr>
          <w:spacing w:val="-2"/>
          <w:sz w:val="24"/>
        </w:rPr>
        <w:t> </w:t>
      </w:r>
      <w:r>
        <w:rPr>
          <w:sz w:val="24"/>
        </w:rPr>
        <w:t>in person, then will send a warning letter summarizing the discussion, the problem and, provide an opportunity for the patron to reply.</w:t>
      </w:r>
    </w:p>
    <w:p>
      <w:pPr>
        <w:pStyle w:val="ListParagraph"/>
        <w:numPr>
          <w:ilvl w:val="0"/>
          <w:numId w:val="323"/>
        </w:numPr>
        <w:tabs>
          <w:tab w:pos="1216" w:val="left" w:leader="none"/>
        </w:tabs>
        <w:spacing w:line="208" w:lineRule="auto" w:before="240" w:after="0"/>
        <w:ind w:left="791" w:right="815" w:firstLine="0"/>
        <w:jc w:val="left"/>
        <w:rPr>
          <w:sz w:val="24"/>
        </w:rPr>
      </w:pPr>
      <w:r>
        <w:rPr>
          <w:sz w:val="24"/>
        </w:rPr>
        <w:t>If</w:t>
      </w:r>
      <w:r>
        <w:rPr>
          <w:spacing w:val="-4"/>
          <w:sz w:val="24"/>
        </w:rPr>
        <w:t> </w:t>
      </w:r>
      <w:r>
        <w:rPr>
          <w:sz w:val="24"/>
        </w:rPr>
        <w:t>service</w:t>
      </w:r>
      <w:r>
        <w:rPr>
          <w:spacing w:val="-3"/>
          <w:sz w:val="24"/>
        </w:rPr>
        <w:t> </w:t>
      </w:r>
      <w:r>
        <w:rPr>
          <w:sz w:val="24"/>
        </w:rPr>
        <w:t>abuse</w:t>
      </w:r>
      <w:r>
        <w:rPr>
          <w:spacing w:val="-3"/>
          <w:sz w:val="24"/>
        </w:rPr>
        <w:t> </w:t>
      </w:r>
      <w:r>
        <w:rPr>
          <w:sz w:val="24"/>
        </w:rPr>
        <w:t>reoccurs,</w:t>
      </w:r>
      <w:r>
        <w:rPr>
          <w:spacing w:val="-2"/>
          <w:sz w:val="24"/>
        </w:rPr>
        <w:t> </w:t>
      </w:r>
      <w:r>
        <w:rPr>
          <w:sz w:val="24"/>
        </w:rPr>
        <w:t>a</w:t>
      </w:r>
      <w:r>
        <w:rPr>
          <w:spacing w:val="-4"/>
          <w:sz w:val="24"/>
        </w:rPr>
        <w:t> </w:t>
      </w:r>
      <w:r>
        <w:rPr>
          <w:sz w:val="24"/>
        </w:rPr>
        <w:t>second</w:t>
      </w:r>
      <w:r>
        <w:rPr>
          <w:spacing w:val="-3"/>
          <w:sz w:val="24"/>
        </w:rPr>
        <w:t> </w:t>
      </w:r>
      <w:r>
        <w:rPr>
          <w:sz w:val="24"/>
        </w:rPr>
        <w:t>written</w:t>
      </w:r>
      <w:r>
        <w:rPr>
          <w:spacing w:val="-3"/>
          <w:sz w:val="24"/>
        </w:rPr>
        <w:t> </w:t>
      </w:r>
      <w:r>
        <w:rPr>
          <w:sz w:val="24"/>
        </w:rPr>
        <w:t>communication</w:t>
      </w:r>
      <w:r>
        <w:rPr>
          <w:spacing w:val="-3"/>
          <w:sz w:val="24"/>
        </w:rPr>
        <w:t> </w:t>
      </w:r>
      <w:r>
        <w:rPr>
          <w:sz w:val="24"/>
        </w:rPr>
        <w:t>is</w:t>
      </w:r>
      <w:r>
        <w:rPr>
          <w:spacing w:val="-2"/>
          <w:sz w:val="24"/>
        </w:rPr>
        <w:t> </w:t>
      </w:r>
      <w:r>
        <w:rPr>
          <w:sz w:val="24"/>
        </w:rPr>
        <w:t>sent</w:t>
      </w:r>
      <w:r>
        <w:rPr>
          <w:spacing w:val="-2"/>
          <w:sz w:val="24"/>
        </w:rPr>
        <w:t> </w:t>
      </w:r>
      <w:r>
        <w:rPr>
          <w:sz w:val="24"/>
        </w:rPr>
        <w:t>to</w:t>
      </w:r>
      <w:r>
        <w:rPr>
          <w:spacing w:val="-4"/>
          <w:sz w:val="24"/>
        </w:rPr>
        <w:t> </w:t>
      </w:r>
      <w:r>
        <w:rPr>
          <w:sz w:val="24"/>
        </w:rPr>
        <w:t>the</w:t>
      </w:r>
      <w:r>
        <w:rPr>
          <w:spacing w:val="-3"/>
          <w:sz w:val="24"/>
        </w:rPr>
        <w:t> </w:t>
      </w:r>
      <w:r>
        <w:rPr>
          <w:sz w:val="24"/>
        </w:rPr>
        <w:t>patron citing the earlier warning letter, listing incidents of abuse, giving the patron an opportunity to reply by a certain date, and suspending the service for a stated period up to six months. A specific date for resumption of service is included. Service will be suspended only after a review by and upon the concurrence of both the administrative librarian and the Administrator of Services for the Blind and Visually Impaired.</w:t>
      </w:r>
    </w:p>
    <w:p>
      <w:pPr>
        <w:pStyle w:val="ListParagraph"/>
        <w:numPr>
          <w:ilvl w:val="0"/>
          <w:numId w:val="323"/>
        </w:numPr>
        <w:tabs>
          <w:tab w:pos="1216" w:val="left" w:leader="none"/>
        </w:tabs>
        <w:spacing w:line="208" w:lineRule="auto" w:before="239" w:after="0"/>
        <w:ind w:left="791" w:right="1362" w:firstLine="0"/>
        <w:jc w:val="left"/>
        <w:rPr>
          <w:sz w:val="24"/>
        </w:rPr>
      </w:pPr>
      <w:r>
        <w:rPr>
          <w:sz w:val="24"/>
        </w:rPr>
        <w:t>When</w:t>
      </w:r>
      <w:r>
        <w:rPr>
          <w:spacing w:val="-3"/>
          <w:sz w:val="24"/>
        </w:rPr>
        <w:t> </w:t>
      </w:r>
      <w:r>
        <w:rPr>
          <w:sz w:val="24"/>
        </w:rPr>
        <w:t>the</w:t>
      </w:r>
      <w:r>
        <w:rPr>
          <w:spacing w:val="-3"/>
          <w:sz w:val="24"/>
        </w:rPr>
        <w:t> </w:t>
      </w:r>
      <w:r>
        <w:rPr>
          <w:sz w:val="24"/>
        </w:rPr>
        <w:t>service</w:t>
      </w:r>
      <w:r>
        <w:rPr>
          <w:spacing w:val="-3"/>
          <w:sz w:val="24"/>
        </w:rPr>
        <w:t> </w:t>
      </w:r>
      <w:r>
        <w:rPr>
          <w:sz w:val="24"/>
        </w:rPr>
        <w:t>is</w:t>
      </w:r>
      <w:r>
        <w:rPr>
          <w:spacing w:val="-3"/>
          <w:sz w:val="24"/>
        </w:rPr>
        <w:t> </w:t>
      </w:r>
      <w:r>
        <w:rPr>
          <w:sz w:val="24"/>
        </w:rPr>
        <w:t>resumed,</w:t>
      </w:r>
      <w:r>
        <w:rPr>
          <w:spacing w:val="-4"/>
          <w:sz w:val="24"/>
        </w:rPr>
        <w:t> </w:t>
      </w:r>
      <w:r>
        <w:rPr>
          <w:sz w:val="24"/>
        </w:rPr>
        <w:t>a</w:t>
      </w:r>
      <w:r>
        <w:rPr>
          <w:spacing w:val="-3"/>
          <w:sz w:val="24"/>
        </w:rPr>
        <w:t> </w:t>
      </w:r>
      <w:r>
        <w:rPr>
          <w:sz w:val="24"/>
        </w:rPr>
        <w:t>letter</w:t>
      </w:r>
      <w:r>
        <w:rPr>
          <w:spacing w:val="-2"/>
          <w:sz w:val="24"/>
        </w:rPr>
        <w:t> </w:t>
      </w:r>
      <w:r>
        <w:rPr>
          <w:sz w:val="24"/>
        </w:rPr>
        <w:t>will</w:t>
      </w:r>
      <w:r>
        <w:rPr>
          <w:spacing w:val="-3"/>
          <w:sz w:val="24"/>
        </w:rPr>
        <w:t> </w:t>
      </w:r>
      <w:r>
        <w:rPr>
          <w:sz w:val="24"/>
        </w:rPr>
        <w:t>be</w:t>
      </w:r>
      <w:r>
        <w:rPr>
          <w:spacing w:val="-3"/>
          <w:sz w:val="24"/>
        </w:rPr>
        <w:t> </w:t>
      </w:r>
      <w:r>
        <w:rPr>
          <w:sz w:val="24"/>
        </w:rPr>
        <w:t>sent</w:t>
      </w:r>
      <w:r>
        <w:rPr>
          <w:spacing w:val="-2"/>
          <w:sz w:val="24"/>
        </w:rPr>
        <w:t> </w:t>
      </w:r>
      <w:r>
        <w:rPr>
          <w:sz w:val="24"/>
        </w:rPr>
        <w:t>to</w:t>
      </w:r>
      <w:r>
        <w:rPr>
          <w:spacing w:val="-4"/>
          <w:sz w:val="24"/>
        </w:rPr>
        <w:t> </w:t>
      </w:r>
      <w:r>
        <w:rPr>
          <w:sz w:val="24"/>
        </w:rPr>
        <w:t>the</w:t>
      </w:r>
      <w:r>
        <w:rPr>
          <w:spacing w:val="-3"/>
          <w:sz w:val="24"/>
        </w:rPr>
        <w:t> </w:t>
      </w:r>
      <w:r>
        <w:rPr>
          <w:sz w:val="24"/>
        </w:rPr>
        <w:t>borrower</w:t>
      </w:r>
      <w:r>
        <w:rPr>
          <w:spacing w:val="-2"/>
          <w:sz w:val="24"/>
        </w:rPr>
        <w:t> </w:t>
      </w:r>
      <w:r>
        <w:rPr>
          <w:sz w:val="24"/>
        </w:rPr>
        <w:t>notifying him/her of the resumption of the service and reminding the patron that further reoccurrences will result in another suspension of service as it relates to the documented abuse.</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1"/>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spacing w:after="0"/>
        <w:jc w:val="left"/>
        <w:rPr>
          <w:sz w:val="22"/>
        </w:rPr>
        <w:sectPr>
          <w:pgSz w:w="12240" w:h="15840"/>
          <w:pgMar w:top="1340" w:bottom="280" w:left="1080" w:right="720"/>
        </w:sectPr>
      </w:pPr>
    </w:p>
    <w:p>
      <w:pPr>
        <w:pStyle w:val="Heading1"/>
        <w:ind w:left="0" w:right="0"/>
      </w:pPr>
      <w:bookmarkStart w:name="CHAPTER 20.  SPECIAL SCHOOLS" w:id="314"/>
      <w:bookmarkEnd w:id="314"/>
      <w:r>
        <w:rPr>
          <w:b w:val="0"/>
        </w:rPr>
      </w:r>
      <w:r>
        <w:rPr/>
        <w:t>CHAPTER</w:t>
      </w:r>
      <w:r>
        <w:rPr>
          <w:spacing w:val="-3"/>
        </w:rPr>
        <w:t> </w:t>
      </w:r>
      <w:r>
        <w:rPr/>
        <w:t>20.</w:t>
      </w:r>
      <w:r>
        <w:rPr>
          <w:spacing w:val="63"/>
        </w:rPr>
        <w:t> </w:t>
      </w:r>
      <w:r>
        <w:rPr/>
        <w:t>SPECIAL</w:t>
      </w:r>
      <w:r>
        <w:rPr>
          <w:spacing w:val="-2"/>
        </w:rPr>
        <w:t> SCHOOLS</w:t>
      </w:r>
    </w:p>
    <w:p>
      <w:pPr>
        <w:pStyle w:val="BodyText"/>
        <w:tabs>
          <w:tab w:pos="8279" w:val="left" w:leader="none"/>
        </w:tabs>
        <w:spacing w:before="204"/>
      </w:pPr>
      <w:r>
        <w:rPr>
          <w:spacing w:val="-2"/>
        </w:rPr>
        <w:t>Subchapter</w:t>
      </w:r>
      <w:r>
        <w:rPr/>
        <w:tab/>
      </w:r>
      <w:r>
        <w:rPr>
          <w:spacing w:val="-2"/>
        </w:rPr>
        <w:t>Section</w:t>
      </w:r>
    </w:p>
    <w:p>
      <w:pPr>
        <w:pStyle w:val="ListParagraph"/>
        <w:numPr>
          <w:ilvl w:val="0"/>
          <w:numId w:val="324"/>
        </w:numPr>
        <w:tabs>
          <w:tab w:pos="1079" w:val="left" w:leader="none"/>
          <w:tab w:pos="8279" w:val="left" w:leader="none"/>
        </w:tabs>
        <w:spacing w:line="240" w:lineRule="auto" w:before="204" w:after="0"/>
        <w:ind w:left="1079" w:right="0" w:hanging="719"/>
        <w:jc w:val="left"/>
        <w:rPr>
          <w:sz w:val="24"/>
        </w:rPr>
      </w:pPr>
      <w:r>
        <w:rPr>
          <w:sz w:val="24"/>
        </w:rPr>
        <w:t>General</w:t>
      </w:r>
      <w:r>
        <w:rPr>
          <w:spacing w:val="-4"/>
          <w:sz w:val="24"/>
        </w:rPr>
        <w:t> </w:t>
      </w:r>
      <w:r>
        <w:rPr>
          <w:spacing w:val="-2"/>
          <w:sz w:val="24"/>
        </w:rPr>
        <w:t>provisions</w:t>
      </w:r>
      <w:r>
        <w:rPr>
          <w:sz w:val="24"/>
        </w:rPr>
        <w:tab/>
      </w:r>
      <w:r>
        <w:rPr>
          <w:spacing w:val="-2"/>
          <w:sz w:val="24"/>
        </w:rPr>
        <w:t>612:20-1-</w:t>
      </w:r>
      <w:r>
        <w:rPr>
          <w:spacing w:val="-10"/>
          <w:sz w:val="24"/>
        </w:rPr>
        <w:t>1</w:t>
      </w:r>
    </w:p>
    <w:p>
      <w:pPr>
        <w:pStyle w:val="ListParagraph"/>
        <w:numPr>
          <w:ilvl w:val="0"/>
          <w:numId w:val="324"/>
        </w:numPr>
        <w:tabs>
          <w:tab w:pos="1079" w:val="left" w:leader="none"/>
          <w:tab w:pos="8279" w:val="left" w:leader="none"/>
        </w:tabs>
        <w:spacing w:line="240" w:lineRule="auto" w:before="204" w:after="0"/>
        <w:ind w:left="1079" w:right="0" w:hanging="719"/>
        <w:jc w:val="left"/>
        <w:rPr>
          <w:sz w:val="24"/>
        </w:rPr>
      </w:pPr>
      <w:r>
        <w:rPr>
          <w:sz w:val="24"/>
        </w:rPr>
        <w:t>Contracted</w:t>
      </w:r>
      <w:r>
        <w:rPr>
          <w:spacing w:val="-6"/>
          <w:sz w:val="24"/>
        </w:rPr>
        <w:t> </w:t>
      </w:r>
      <w:r>
        <w:rPr>
          <w:sz w:val="24"/>
        </w:rPr>
        <w:t>instructional</w:t>
      </w:r>
      <w:r>
        <w:rPr>
          <w:spacing w:val="-6"/>
          <w:sz w:val="24"/>
        </w:rPr>
        <w:t> </w:t>
      </w:r>
      <w:r>
        <w:rPr>
          <w:spacing w:val="-2"/>
          <w:sz w:val="24"/>
        </w:rPr>
        <w:t>personnel</w:t>
      </w:r>
      <w:r>
        <w:rPr>
          <w:sz w:val="24"/>
        </w:rPr>
        <w:tab/>
      </w:r>
      <w:r>
        <w:rPr>
          <w:spacing w:val="-2"/>
          <w:sz w:val="24"/>
        </w:rPr>
        <w:t>612:20-2-</w:t>
      </w:r>
      <w:r>
        <w:rPr>
          <w:spacing w:val="-10"/>
          <w:sz w:val="24"/>
        </w:rPr>
        <w:t>1</w:t>
      </w:r>
    </w:p>
    <w:p>
      <w:pPr>
        <w:pStyle w:val="ListParagraph"/>
        <w:numPr>
          <w:ilvl w:val="0"/>
          <w:numId w:val="324"/>
        </w:numPr>
        <w:tabs>
          <w:tab w:pos="1079" w:val="left" w:leader="none"/>
          <w:tab w:pos="8279" w:val="left" w:leader="none"/>
        </w:tabs>
        <w:spacing w:line="240" w:lineRule="auto" w:before="204" w:after="0"/>
        <w:ind w:left="1079" w:right="0" w:hanging="719"/>
        <w:jc w:val="left"/>
        <w:rPr>
          <w:sz w:val="24"/>
        </w:rPr>
      </w:pPr>
      <w:r>
        <w:rPr>
          <w:sz w:val="24"/>
        </w:rPr>
        <w:t>General</w:t>
      </w:r>
      <w:r>
        <w:rPr>
          <w:spacing w:val="-6"/>
          <w:sz w:val="24"/>
        </w:rPr>
        <w:t> </w:t>
      </w:r>
      <w:r>
        <w:rPr>
          <w:sz w:val="24"/>
        </w:rPr>
        <w:t>operating</w:t>
      </w:r>
      <w:r>
        <w:rPr>
          <w:spacing w:val="-3"/>
          <w:sz w:val="24"/>
        </w:rPr>
        <w:t> </w:t>
      </w:r>
      <w:r>
        <w:rPr>
          <w:sz w:val="24"/>
        </w:rPr>
        <w:t>procedures</w:t>
      </w:r>
      <w:r>
        <w:rPr>
          <w:spacing w:val="-4"/>
          <w:sz w:val="24"/>
        </w:rPr>
        <w:t> </w:t>
      </w:r>
      <w:r>
        <w:rPr>
          <w:sz w:val="24"/>
        </w:rPr>
        <w:t>for</w:t>
      </w:r>
      <w:r>
        <w:rPr>
          <w:spacing w:val="-4"/>
          <w:sz w:val="24"/>
        </w:rPr>
        <w:t> </w:t>
      </w:r>
      <w:r>
        <w:rPr>
          <w:sz w:val="24"/>
        </w:rPr>
        <w:t>the</w:t>
      </w:r>
      <w:r>
        <w:rPr>
          <w:spacing w:val="-3"/>
          <w:sz w:val="24"/>
        </w:rPr>
        <w:t> </w:t>
      </w:r>
      <w:r>
        <w:rPr>
          <w:spacing w:val="-2"/>
          <w:sz w:val="24"/>
        </w:rPr>
        <w:t>schools</w:t>
      </w:r>
      <w:r>
        <w:rPr>
          <w:sz w:val="24"/>
        </w:rPr>
        <w:tab/>
      </w:r>
      <w:r>
        <w:rPr>
          <w:spacing w:val="-2"/>
          <w:sz w:val="24"/>
        </w:rPr>
        <w:t>612:20-3-</w:t>
      </w:r>
      <w:r>
        <w:rPr>
          <w:spacing w:val="-10"/>
          <w:sz w:val="24"/>
        </w:rPr>
        <w:t>1</w:t>
      </w:r>
    </w:p>
    <w:p>
      <w:pPr>
        <w:pStyle w:val="BodyText"/>
        <w:tabs>
          <w:tab w:pos="1079" w:val="left" w:leader="none"/>
        </w:tabs>
        <w:spacing w:line="258" w:lineRule="exact" w:before="204"/>
      </w:pPr>
      <w:r>
        <w:rPr>
          <w:spacing w:val="-5"/>
        </w:rPr>
        <w:t>5.</w:t>
      </w:r>
      <w:r>
        <w:rPr/>
        <w:tab/>
        <w:t>Oklahoma</w:t>
      </w:r>
      <w:r>
        <w:rPr>
          <w:spacing w:val="-6"/>
        </w:rPr>
        <w:t> </w:t>
      </w:r>
      <w:r>
        <w:rPr/>
        <w:t>School</w:t>
      </w:r>
      <w:r>
        <w:rPr>
          <w:spacing w:val="-3"/>
        </w:rPr>
        <w:t> </w:t>
      </w:r>
      <w:r>
        <w:rPr/>
        <w:t>for</w:t>
      </w:r>
      <w:r>
        <w:rPr>
          <w:spacing w:val="-2"/>
        </w:rPr>
        <w:t> </w:t>
      </w:r>
      <w:r>
        <w:rPr/>
        <w:t>the</w:t>
      </w:r>
      <w:r>
        <w:rPr>
          <w:spacing w:val="-3"/>
        </w:rPr>
        <w:t> </w:t>
      </w:r>
      <w:r>
        <w:rPr/>
        <w:t>Blind</w:t>
      </w:r>
      <w:r>
        <w:rPr>
          <w:spacing w:val="-3"/>
        </w:rPr>
        <w:t> </w:t>
      </w:r>
      <w:r>
        <w:rPr/>
        <w:t>(OSB/Parkview</w:t>
      </w:r>
      <w:r>
        <w:rPr>
          <w:spacing w:val="-3"/>
        </w:rPr>
        <w:t> </w:t>
      </w:r>
      <w:r>
        <w:rPr>
          <w:spacing w:val="-2"/>
        </w:rPr>
        <w:t>School)</w:t>
      </w:r>
    </w:p>
    <w:p>
      <w:pPr>
        <w:pStyle w:val="BodyText"/>
        <w:tabs>
          <w:tab w:pos="8279" w:val="left" w:leader="none"/>
        </w:tabs>
        <w:spacing w:line="258" w:lineRule="exact" w:before="0"/>
        <w:ind w:left="1080"/>
      </w:pPr>
      <w:r>
        <w:rPr/>
        <w:t>admission</w:t>
      </w:r>
      <w:r>
        <w:rPr>
          <w:spacing w:val="-5"/>
        </w:rPr>
        <w:t> </w:t>
      </w:r>
      <w:r>
        <w:rPr>
          <w:spacing w:val="-2"/>
        </w:rPr>
        <w:t>rules</w:t>
      </w:r>
      <w:r>
        <w:rPr/>
        <w:tab/>
      </w:r>
      <w:r>
        <w:rPr>
          <w:spacing w:val="-2"/>
        </w:rPr>
        <w:t>612:20-5-</w:t>
      </w:r>
      <w:r>
        <w:rPr>
          <w:spacing w:val="-10"/>
        </w:rPr>
        <w:t>1</w:t>
      </w:r>
    </w:p>
    <w:p>
      <w:pPr>
        <w:pStyle w:val="BodyText"/>
        <w:tabs>
          <w:tab w:pos="1079" w:val="left" w:leader="none"/>
          <w:tab w:pos="8279" w:val="left" w:leader="none"/>
        </w:tabs>
        <w:spacing w:before="204"/>
      </w:pPr>
      <w:r>
        <w:rPr>
          <w:spacing w:val="-5"/>
        </w:rPr>
        <w:t>7.</w:t>
      </w:r>
      <w:r>
        <w:rPr/>
        <w:tab/>
        <w:t>Oklahoma</w:t>
      </w:r>
      <w:r>
        <w:rPr>
          <w:spacing w:val="-5"/>
        </w:rPr>
        <w:t> </w:t>
      </w:r>
      <w:r>
        <w:rPr/>
        <w:t>School</w:t>
      </w:r>
      <w:r>
        <w:rPr>
          <w:spacing w:val="-3"/>
        </w:rPr>
        <w:t> </w:t>
      </w:r>
      <w:r>
        <w:rPr/>
        <w:t>for</w:t>
      </w:r>
      <w:r>
        <w:rPr>
          <w:spacing w:val="-2"/>
        </w:rPr>
        <w:t> </w:t>
      </w:r>
      <w:r>
        <w:rPr/>
        <w:t>the</w:t>
      </w:r>
      <w:r>
        <w:rPr>
          <w:spacing w:val="-3"/>
        </w:rPr>
        <w:t> </w:t>
      </w:r>
      <w:r>
        <w:rPr/>
        <w:t>Deaf</w:t>
      </w:r>
      <w:r>
        <w:rPr>
          <w:spacing w:val="-2"/>
        </w:rPr>
        <w:t> </w:t>
      </w:r>
      <w:r>
        <w:rPr/>
        <w:t>(OSD)</w:t>
      </w:r>
      <w:r>
        <w:rPr>
          <w:spacing w:val="-3"/>
        </w:rPr>
        <w:t> </w:t>
      </w:r>
      <w:r>
        <w:rPr/>
        <w:t>admission</w:t>
      </w:r>
      <w:r>
        <w:rPr>
          <w:spacing w:val="-2"/>
        </w:rPr>
        <w:t> rules</w:t>
      </w:r>
      <w:r>
        <w:rPr/>
        <w:tab/>
      </w:r>
      <w:r>
        <w:rPr>
          <w:spacing w:val="-2"/>
        </w:rPr>
        <w:t>612:20-7-</w:t>
      </w:r>
      <w:r>
        <w:rPr>
          <w:spacing w:val="-10"/>
        </w:rPr>
        <w:t>1</w:t>
      </w:r>
    </w:p>
    <w:p>
      <w:pPr>
        <w:pStyle w:val="BodyText"/>
        <w:tabs>
          <w:tab w:pos="1079" w:val="left" w:leader="none"/>
          <w:tab w:pos="8279" w:val="left" w:leader="none"/>
        </w:tabs>
        <w:spacing w:before="204"/>
      </w:pPr>
      <w:r>
        <w:rPr>
          <w:spacing w:val="-5"/>
        </w:rPr>
        <w:t>9.</w:t>
      </w:r>
      <w:r>
        <w:rPr/>
        <w:tab/>
        <w:t>Special</w:t>
      </w:r>
      <w:r>
        <w:rPr>
          <w:spacing w:val="-4"/>
        </w:rPr>
        <w:t> </w:t>
      </w:r>
      <w:r>
        <w:rPr>
          <w:spacing w:val="-2"/>
        </w:rPr>
        <w:t>Services</w:t>
      </w:r>
      <w:r>
        <w:rPr/>
        <w:tab/>
      </w:r>
      <w:r>
        <w:rPr>
          <w:spacing w:val="-2"/>
        </w:rPr>
        <w:t>612:20-9-</w:t>
      </w:r>
      <w:r>
        <w:rPr>
          <w:spacing w:val="-10"/>
        </w:rPr>
        <w:t>1</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10-12-95</w:t>
      </w:r>
      <w:r>
        <w:rPr>
          <w:spacing w:val="80"/>
          <w:sz w:val="22"/>
        </w:rPr>
        <w:t> </w:t>
      </w:r>
      <w:r>
        <w:rPr>
          <w:sz w:val="22"/>
        </w:rPr>
        <w:t>PT Memo #95-3</w:t>
      </w:r>
    </w:p>
    <w:p>
      <w:pPr>
        <w:tabs>
          <w:tab w:pos="1439" w:val="left" w:leader="none"/>
        </w:tabs>
        <w:spacing w:before="1"/>
        <w:ind w:left="359" w:right="3239" w:firstLine="1080"/>
        <w:jc w:val="left"/>
        <w:rPr>
          <w:sz w:val="22"/>
        </w:rPr>
      </w:pPr>
      <w:r>
        <w:rPr>
          <w:sz w:val="22"/>
        </w:rPr>
        <w:t>Emergency,</w:t>
      </w:r>
      <w:r>
        <w:rPr>
          <w:spacing w:val="-5"/>
          <w:sz w:val="22"/>
        </w:rPr>
        <w:t> </w:t>
      </w:r>
      <w:r>
        <w:rPr>
          <w:sz w:val="22"/>
        </w:rPr>
        <w:t>added</w:t>
      </w:r>
      <w:r>
        <w:rPr>
          <w:spacing w:val="-5"/>
          <w:sz w:val="22"/>
        </w:rPr>
        <w:t> </w:t>
      </w:r>
      <w:r>
        <w:rPr>
          <w:sz w:val="22"/>
        </w:rPr>
        <w:t>listing</w:t>
      </w:r>
      <w:r>
        <w:rPr>
          <w:spacing w:val="-5"/>
          <w:sz w:val="22"/>
        </w:rPr>
        <w:t> </w:t>
      </w:r>
      <w:r>
        <w:rPr>
          <w:sz w:val="22"/>
        </w:rPr>
        <w:t>for</w:t>
      </w:r>
      <w:r>
        <w:rPr>
          <w:spacing w:val="-5"/>
          <w:sz w:val="22"/>
        </w:rPr>
        <w:t> </w:t>
      </w:r>
      <w:r>
        <w:rPr>
          <w:sz w:val="22"/>
        </w:rPr>
        <w:t>Sections</w:t>
      </w:r>
      <w:r>
        <w:rPr>
          <w:spacing w:val="-5"/>
          <w:sz w:val="22"/>
        </w:rPr>
        <w:t> </w:t>
      </w:r>
      <w:r>
        <w:rPr>
          <w:sz w:val="22"/>
        </w:rPr>
        <w:t>in</w:t>
      </w:r>
      <w:r>
        <w:rPr>
          <w:spacing w:val="-5"/>
          <w:sz w:val="22"/>
        </w:rPr>
        <w:t> </w:t>
      </w:r>
      <w:r>
        <w:rPr>
          <w:sz w:val="22"/>
        </w:rPr>
        <w:t>new</w:t>
      </w:r>
      <w:r>
        <w:rPr>
          <w:spacing w:val="-6"/>
          <w:sz w:val="22"/>
        </w:rPr>
        <w:t> </w:t>
      </w:r>
      <w:r>
        <w:rPr>
          <w:sz w:val="22"/>
        </w:rPr>
        <w:t>Subchapter</w:t>
      </w:r>
      <w:r>
        <w:rPr>
          <w:spacing w:val="-5"/>
          <w:sz w:val="22"/>
        </w:rPr>
        <w:t> </w:t>
      </w:r>
      <w:r>
        <w:rPr>
          <w:sz w:val="22"/>
        </w:rPr>
        <w:t>2 </w:t>
      </w:r>
      <w:r>
        <w:rPr>
          <w:spacing w:val="-2"/>
          <w:sz w:val="22"/>
        </w:rPr>
        <w:t>8-1-96</w:t>
      </w:r>
      <w:r>
        <w:rPr>
          <w:sz w:val="22"/>
        </w:rPr>
        <w:tab/>
        <w:t>PT Memo #97-2</w:t>
      </w:r>
    </w:p>
    <w:p>
      <w:pPr>
        <w:spacing w:line="252" w:lineRule="exact" w:before="0"/>
        <w:ind w:left="1439" w:right="0" w:firstLine="0"/>
        <w:jc w:val="left"/>
        <w:rPr>
          <w:sz w:val="22"/>
        </w:rPr>
      </w:pPr>
      <w:r>
        <w:rPr>
          <w:sz w:val="22"/>
        </w:rPr>
        <w:t>Permanent</w:t>
      </w:r>
      <w:r>
        <w:rPr>
          <w:spacing w:val="-11"/>
          <w:sz w:val="22"/>
        </w:rPr>
        <w:t> </w:t>
      </w:r>
      <w:r>
        <w:rPr>
          <w:sz w:val="22"/>
        </w:rPr>
        <w:t>rules</w:t>
      </w:r>
      <w:r>
        <w:rPr>
          <w:spacing w:val="-10"/>
          <w:sz w:val="22"/>
        </w:rPr>
        <w:t> </w:t>
      </w:r>
      <w:r>
        <w:rPr>
          <w:sz w:val="22"/>
        </w:rPr>
        <w:t>supersede</w:t>
      </w:r>
      <w:r>
        <w:rPr>
          <w:spacing w:val="-10"/>
          <w:sz w:val="22"/>
        </w:rPr>
        <w:t> </w:t>
      </w:r>
      <w:r>
        <w:rPr>
          <w:sz w:val="22"/>
        </w:rPr>
        <w:t>Emergency</w:t>
      </w:r>
      <w:r>
        <w:rPr>
          <w:spacing w:val="-10"/>
          <w:sz w:val="22"/>
        </w:rPr>
        <w:t> </w:t>
      </w:r>
      <w:r>
        <w:rPr>
          <w:sz w:val="22"/>
        </w:rPr>
        <w:t>rules</w:t>
      </w:r>
      <w:r>
        <w:rPr>
          <w:spacing w:val="-11"/>
          <w:sz w:val="22"/>
        </w:rPr>
        <w:t> </w:t>
      </w:r>
      <w:r>
        <w:rPr>
          <w:sz w:val="22"/>
        </w:rPr>
        <w:t>issued</w:t>
      </w:r>
      <w:r>
        <w:rPr>
          <w:spacing w:val="-10"/>
          <w:sz w:val="22"/>
        </w:rPr>
        <w:t> </w:t>
      </w:r>
      <w:r>
        <w:rPr>
          <w:sz w:val="22"/>
        </w:rPr>
        <w:t>10-12-</w:t>
      </w:r>
      <w:r>
        <w:rPr>
          <w:spacing w:val="-5"/>
          <w:sz w:val="22"/>
        </w:rPr>
        <w:t>95</w:t>
      </w:r>
    </w:p>
    <w:p>
      <w:pPr>
        <w:spacing w:after="0" w:line="252" w:lineRule="exact"/>
        <w:jc w:val="left"/>
        <w:rPr>
          <w:sz w:val="22"/>
        </w:rPr>
        <w:sectPr>
          <w:pgSz w:w="12240" w:h="15840"/>
          <w:pgMar w:top="1340" w:bottom="280" w:left="1080" w:right="720"/>
        </w:sectPr>
      </w:pPr>
    </w:p>
    <w:p>
      <w:pPr>
        <w:pStyle w:val="Heading1"/>
      </w:pPr>
      <w:bookmarkStart w:name="SUBCHAPTER 1. GENERAL PROVISIONS" w:id="315"/>
      <w:bookmarkEnd w:id="315"/>
      <w:r>
        <w:rPr>
          <w:b w:val="0"/>
        </w:rPr>
      </w:r>
      <w:r>
        <w:rPr/>
        <w:t>SUBCHAPTER</w:t>
      </w:r>
      <w:r>
        <w:rPr>
          <w:spacing w:val="-4"/>
        </w:rPr>
        <w:t> </w:t>
      </w:r>
      <w:r>
        <w:rPr/>
        <w:t>1.</w:t>
      </w:r>
      <w:r>
        <w:rPr>
          <w:spacing w:val="-3"/>
        </w:rPr>
        <w:t> </w:t>
      </w:r>
      <w:r>
        <w:rPr/>
        <w:t>GENERAL</w:t>
      </w:r>
      <w:r>
        <w:rPr>
          <w:spacing w:val="-3"/>
        </w:rPr>
        <w:t> </w:t>
      </w:r>
      <w:r>
        <w:rPr>
          <w:spacing w:val="-2"/>
        </w:rPr>
        <w:t>PROVISIONS</w:t>
      </w:r>
    </w:p>
    <w:p>
      <w:pPr>
        <w:pStyle w:val="BodyText"/>
        <w:spacing w:before="204"/>
      </w:pPr>
      <w:r>
        <w:rPr>
          <w:spacing w:val="-2"/>
        </w:rPr>
        <w:t>Section</w:t>
      </w:r>
    </w:p>
    <w:p>
      <w:pPr>
        <w:pStyle w:val="BodyText"/>
        <w:tabs>
          <w:tab w:pos="2519" w:val="left" w:leader="none"/>
        </w:tabs>
        <w:spacing w:before="204"/>
      </w:pPr>
      <w:r>
        <w:rPr>
          <w:spacing w:val="-2"/>
        </w:rPr>
        <w:t>612:20-1-</w:t>
      </w:r>
      <w:r>
        <w:rPr>
          <w:spacing w:val="-5"/>
        </w:rPr>
        <w:t>1.</w:t>
      </w:r>
      <w:r>
        <w:rPr/>
        <w:tab/>
      </w:r>
      <w:r>
        <w:rPr>
          <w:spacing w:val="-2"/>
        </w:rPr>
        <w:t>Purpose</w:t>
      </w:r>
    </w:p>
    <w:p>
      <w:pPr>
        <w:pStyle w:val="BodyText"/>
        <w:tabs>
          <w:tab w:pos="2519" w:val="left" w:leader="none"/>
        </w:tabs>
        <w:spacing w:before="204"/>
      </w:pPr>
      <w:r>
        <w:rPr>
          <w:spacing w:val="-2"/>
        </w:rPr>
        <w:t>612:20-1-</w:t>
      </w:r>
      <w:r>
        <w:rPr>
          <w:spacing w:val="-5"/>
        </w:rPr>
        <w:t>2.</w:t>
      </w:r>
      <w:r>
        <w:rPr/>
        <w:tab/>
      </w:r>
      <w:r>
        <w:rPr>
          <w:spacing w:val="-2"/>
        </w:rPr>
        <w:t>Definitions</w:t>
      </w:r>
    </w:p>
    <w:p>
      <w:pPr>
        <w:pStyle w:val="BodyText"/>
        <w:tabs>
          <w:tab w:pos="2519" w:val="left" w:leader="none"/>
        </w:tabs>
        <w:spacing w:before="204"/>
      </w:pPr>
      <w:r>
        <w:rPr>
          <w:spacing w:val="-2"/>
        </w:rPr>
        <w:t>612:20-1-</w:t>
      </w:r>
      <w:r>
        <w:rPr>
          <w:spacing w:val="-5"/>
        </w:rPr>
        <w:t>4.</w:t>
      </w:r>
      <w:r>
        <w:rPr/>
        <w:tab/>
        <w:t>Information</w:t>
      </w:r>
      <w:r>
        <w:rPr>
          <w:spacing w:val="-4"/>
        </w:rPr>
        <w:t> </w:t>
      </w:r>
      <w:r>
        <w:rPr/>
        <w:t>for</w:t>
      </w:r>
      <w:r>
        <w:rPr>
          <w:spacing w:val="-3"/>
        </w:rPr>
        <w:t> </w:t>
      </w:r>
      <w:r>
        <w:rPr/>
        <w:t>school</w:t>
      </w:r>
      <w:r>
        <w:rPr>
          <w:spacing w:val="-4"/>
        </w:rPr>
        <w:t> </w:t>
      </w:r>
      <w:r>
        <w:rPr>
          <w:spacing w:val="-2"/>
        </w:rPr>
        <w:t>districts</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pPr>
      <w:bookmarkStart w:name="612:20-1-1.  Purpose" w:id="316"/>
      <w:bookmarkEnd w:id="316"/>
      <w:r>
        <w:rPr>
          <w:b w:val="0"/>
        </w:rPr>
      </w:r>
      <w:r>
        <w:rPr/>
        <w:t>612:20-1-1.</w:t>
      </w:r>
      <w:r>
        <w:rPr>
          <w:spacing w:val="58"/>
        </w:rPr>
        <w:t> </w:t>
      </w:r>
      <w:r>
        <w:rPr>
          <w:spacing w:val="-2"/>
        </w:rPr>
        <w:t>Purpose</w:t>
      </w:r>
    </w:p>
    <w:p>
      <w:pPr>
        <w:pStyle w:val="BodyText"/>
        <w:spacing w:line="208" w:lineRule="auto" w:before="233"/>
        <w:ind w:right="775" w:firstLine="432"/>
      </w:pPr>
      <w:r>
        <w:rPr/>
        <w:t>This Chapter describes the rules and procedures governing the administration and operation of the Oklahoma School for the Blind and the Oklahoma School for the Deaf. The powers and duties of the Commission for Rehabilitation Services in relation to the special</w:t>
      </w:r>
      <w:r>
        <w:rPr>
          <w:spacing w:val="-3"/>
        </w:rPr>
        <w:t> </w:t>
      </w:r>
      <w:r>
        <w:rPr/>
        <w:t>schools</w:t>
      </w:r>
      <w:r>
        <w:rPr>
          <w:spacing w:val="-3"/>
        </w:rPr>
        <w:t> </w:t>
      </w:r>
      <w:r>
        <w:rPr/>
        <w:t>are</w:t>
      </w:r>
      <w:r>
        <w:rPr>
          <w:spacing w:val="-3"/>
        </w:rPr>
        <w:t> </w:t>
      </w:r>
      <w:r>
        <w:rPr/>
        <w:t>set</w:t>
      </w:r>
      <w:r>
        <w:rPr>
          <w:spacing w:val="-2"/>
        </w:rPr>
        <w:t> </w:t>
      </w:r>
      <w:r>
        <w:rPr/>
        <w:t>forth</w:t>
      </w:r>
      <w:r>
        <w:rPr>
          <w:spacing w:val="-3"/>
        </w:rPr>
        <w:t> </w:t>
      </w:r>
      <w:r>
        <w:rPr/>
        <w:t>in</w:t>
      </w:r>
      <w:r>
        <w:rPr>
          <w:spacing w:val="-3"/>
        </w:rPr>
        <w:t> </w:t>
      </w:r>
      <w:r>
        <w:rPr/>
        <w:t>Title</w:t>
      </w:r>
      <w:r>
        <w:rPr>
          <w:spacing w:val="-3"/>
        </w:rPr>
        <w:t> </w:t>
      </w:r>
      <w:r>
        <w:rPr/>
        <w:t>10,</w:t>
      </w:r>
      <w:r>
        <w:rPr>
          <w:spacing w:val="-2"/>
        </w:rPr>
        <w:t> </w:t>
      </w:r>
      <w:r>
        <w:rPr/>
        <w:t>O.S.,</w:t>
      </w:r>
      <w:r>
        <w:rPr>
          <w:spacing w:val="-4"/>
        </w:rPr>
        <w:t> </w:t>
      </w:r>
      <w:r>
        <w:rPr/>
        <w:t>Sections</w:t>
      </w:r>
      <w:r>
        <w:rPr>
          <w:spacing w:val="-3"/>
        </w:rPr>
        <w:t> </w:t>
      </w:r>
      <w:r>
        <w:rPr/>
        <w:t>1418,</w:t>
      </w:r>
      <w:r>
        <w:rPr>
          <w:spacing w:val="-2"/>
        </w:rPr>
        <w:t> </w:t>
      </w:r>
      <w:r>
        <w:rPr/>
        <w:t>1419,</w:t>
      </w:r>
      <w:r>
        <w:rPr>
          <w:spacing w:val="-2"/>
        </w:rPr>
        <w:t> </w:t>
      </w:r>
      <w:r>
        <w:rPr/>
        <w:t>and</w:t>
      </w:r>
      <w:r>
        <w:rPr>
          <w:spacing w:val="-3"/>
        </w:rPr>
        <w:t> </w:t>
      </w:r>
      <w:r>
        <w:rPr/>
        <w:t>1420;</w:t>
      </w:r>
      <w:r>
        <w:rPr>
          <w:spacing w:val="-2"/>
        </w:rPr>
        <w:t> </w:t>
      </w:r>
      <w:r>
        <w:rPr/>
        <w:t>and</w:t>
      </w:r>
      <w:r>
        <w:rPr>
          <w:spacing w:val="-3"/>
        </w:rPr>
        <w:t> </w:t>
      </w:r>
      <w:r>
        <w:rPr/>
        <w:t>in</w:t>
      </w:r>
      <w:r>
        <w:rPr>
          <w:spacing w:val="-3"/>
        </w:rPr>
        <w:t> </w:t>
      </w:r>
      <w:r>
        <w:rPr/>
        <w:t>74 O.S., Section 166.1 et seq.</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pPr>
      <w:bookmarkStart w:name="612:20-1-2.  Definitions" w:id="317"/>
      <w:bookmarkEnd w:id="317"/>
      <w:r>
        <w:rPr>
          <w:b w:val="0"/>
        </w:rPr>
      </w:r>
      <w:r>
        <w:rPr/>
        <w:t>612:20-1-2.</w:t>
      </w:r>
      <w:r>
        <w:rPr>
          <w:spacing w:val="60"/>
        </w:rPr>
        <w:t> </w:t>
      </w:r>
      <w:r>
        <w:rPr>
          <w:spacing w:val="-2"/>
        </w:rPr>
        <w:t>Definitions</w:t>
      </w:r>
    </w:p>
    <w:p>
      <w:pPr>
        <w:pStyle w:val="BodyText"/>
        <w:spacing w:line="208" w:lineRule="auto" w:before="233"/>
        <w:ind w:right="775" w:firstLine="432"/>
      </w:pPr>
      <w:r>
        <w:rPr/>
        <w:t>The</w:t>
      </w:r>
      <w:r>
        <w:rPr>
          <w:spacing w:val="-4"/>
        </w:rPr>
        <w:t> </w:t>
      </w:r>
      <w:r>
        <w:rPr/>
        <w:t>following</w:t>
      </w:r>
      <w:r>
        <w:rPr>
          <w:spacing w:val="-4"/>
        </w:rPr>
        <w:t> </w:t>
      </w:r>
      <w:r>
        <w:rPr/>
        <w:t>words</w:t>
      </w:r>
      <w:r>
        <w:rPr>
          <w:spacing w:val="-4"/>
        </w:rPr>
        <w:t> </w:t>
      </w:r>
      <w:r>
        <w:rPr/>
        <w:t>or</w:t>
      </w:r>
      <w:r>
        <w:rPr>
          <w:spacing w:val="-3"/>
        </w:rPr>
        <w:t> </w:t>
      </w:r>
      <w:r>
        <w:rPr/>
        <w:t>terms,</w:t>
      </w:r>
      <w:r>
        <w:rPr>
          <w:spacing w:val="-4"/>
        </w:rPr>
        <w:t> </w:t>
      </w:r>
      <w:r>
        <w:rPr/>
        <w:t>when</w:t>
      </w:r>
      <w:r>
        <w:rPr>
          <w:spacing w:val="-4"/>
        </w:rPr>
        <w:t> </w:t>
      </w:r>
      <w:r>
        <w:rPr/>
        <w:t>used</w:t>
      </w:r>
      <w:r>
        <w:rPr>
          <w:spacing w:val="-4"/>
        </w:rPr>
        <w:t> </w:t>
      </w:r>
      <w:r>
        <w:rPr/>
        <w:t>in</w:t>
      </w:r>
      <w:r>
        <w:rPr>
          <w:spacing w:val="-4"/>
        </w:rPr>
        <w:t> </w:t>
      </w:r>
      <w:r>
        <w:rPr/>
        <w:t>this</w:t>
      </w:r>
      <w:r>
        <w:rPr>
          <w:spacing w:val="-4"/>
        </w:rPr>
        <w:t> </w:t>
      </w:r>
      <w:r>
        <w:rPr/>
        <w:t>Chapter,</w:t>
      </w:r>
      <w:r>
        <w:rPr>
          <w:spacing w:val="-3"/>
        </w:rPr>
        <w:t> </w:t>
      </w:r>
      <w:r>
        <w:rPr/>
        <w:t>shall</w:t>
      </w:r>
      <w:r>
        <w:rPr>
          <w:spacing w:val="-4"/>
        </w:rPr>
        <w:t> </w:t>
      </w:r>
      <w:r>
        <w:rPr/>
        <w:t>have</w:t>
      </w:r>
      <w:r>
        <w:rPr>
          <w:spacing w:val="-4"/>
        </w:rPr>
        <w:t> </w:t>
      </w:r>
      <w:r>
        <w:rPr/>
        <w:t>the</w:t>
      </w:r>
      <w:r>
        <w:rPr>
          <w:spacing w:val="-4"/>
        </w:rPr>
        <w:t> </w:t>
      </w:r>
      <w:r>
        <w:rPr/>
        <w:t>following meanings, unless the context clearly indicates otherwise:</w:t>
      </w:r>
    </w:p>
    <w:p>
      <w:pPr>
        <w:pStyle w:val="BodyText"/>
        <w:spacing w:line="208" w:lineRule="auto"/>
        <w:ind w:right="775" w:firstLine="432"/>
      </w:pPr>
      <w:r>
        <w:rPr>
          <w:b/>
        </w:rPr>
        <w:t>"IEP"</w:t>
      </w:r>
      <w:r>
        <w:rPr>
          <w:b/>
          <w:spacing w:val="-4"/>
        </w:rPr>
        <w:t> </w:t>
      </w:r>
      <w:r>
        <w:rPr/>
        <w:t>means</w:t>
      </w:r>
      <w:r>
        <w:rPr>
          <w:spacing w:val="-4"/>
        </w:rPr>
        <w:t> </w:t>
      </w:r>
      <w:r>
        <w:rPr/>
        <w:t>and</w:t>
      </w:r>
      <w:r>
        <w:rPr>
          <w:spacing w:val="-4"/>
        </w:rPr>
        <w:t> </w:t>
      </w:r>
      <w:r>
        <w:rPr/>
        <w:t>Individualized</w:t>
      </w:r>
      <w:r>
        <w:rPr>
          <w:spacing w:val="-3"/>
        </w:rPr>
        <w:t> </w:t>
      </w:r>
      <w:r>
        <w:rPr/>
        <w:t>Education</w:t>
      </w:r>
      <w:r>
        <w:rPr>
          <w:spacing w:val="-4"/>
        </w:rPr>
        <w:t> </w:t>
      </w:r>
      <w:r>
        <w:rPr/>
        <w:t>Program</w:t>
      </w:r>
      <w:r>
        <w:rPr>
          <w:spacing w:val="-3"/>
        </w:rPr>
        <w:t> </w:t>
      </w:r>
      <w:r>
        <w:rPr/>
        <w:t>as</w:t>
      </w:r>
      <w:r>
        <w:rPr>
          <w:spacing w:val="-4"/>
        </w:rPr>
        <w:t> </w:t>
      </w:r>
      <w:r>
        <w:rPr/>
        <w:t>required</w:t>
      </w:r>
      <w:r>
        <w:rPr>
          <w:spacing w:val="-4"/>
        </w:rPr>
        <w:t> </w:t>
      </w:r>
      <w:r>
        <w:rPr/>
        <w:t>by</w:t>
      </w:r>
      <w:r>
        <w:rPr>
          <w:spacing w:val="-4"/>
        </w:rPr>
        <w:t> </w:t>
      </w:r>
      <w:r>
        <w:rPr/>
        <w:t>the</w:t>
      </w:r>
      <w:r>
        <w:rPr>
          <w:spacing w:val="-4"/>
        </w:rPr>
        <w:t> </w:t>
      </w:r>
      <w:r>
        <w:rPr/>
        <w:t>Individuals with Disabilities Education Act.</w:t>
      </w:r>
    </w:p>
    <w:p>
      <w:pPr>
        <w:pStyle w:val="BodyText"/>
        <w:spacing w:before="210"/>
        <w:ind w:left="792"/>
      </w:pPr>
      <w:r>
        <w:rPr>
          <w:b/>
        </w:rPr>
        <w:t>"LEA"</w:t>
      </w:r>
      <w:r>
        <w:rPr>
          <w:b/>
          <w:spacing w:val="-3"/>
        </w:rPr>
        <w:t> </w:t>
      </w:r>
      <w:r>
        <w:rPr/>
        <w:t>means</w:t>
      </w:r>
      <w:r>
        <w:rPr>
          <w:spacing w:val="-3"/>
        </w:rPr>
        <w:t> </w:t>
      </w:r>
      <w:r>
        <w:rPr/>
        <w:t>a</w:t>
      </w:r>
      <w:r>
        <w:rPr>
          <w:spacing w:val="-3"/>
        </w:rPr>
        <w:t> </w:t>
      </w:r>
      <w:r>
        <w:rPr/>
        <w:t>Local</w:t>
      </w:r>
      <w:r>
        <w:rPr>
          <w:spacing w:val="-2"/>
        </w:rPr>
        <w:t> </w:t>
      </w:r>
      <w:r>
        <w:rPr/>
        <w:t>Education</w:t>
      </w:r>
      <w:r>
        <w:rPr>
          <w:spacing w:val="-2"/>
        </w:rPr>
        <w:t> Agency.</w:t>
      </w:r>
    </w:p>
    <w:p>
      <w:pPr>
        <w:pStyle w:val="BodyText"/>
        <w:spacing w:line="208" w:lineRule="auto" w:before="233"/>
        <w:ind w:right="775" w:firstLine="432"/>
      </w:pPr>
      <w:r>
        <w:rPr>
          <w:b/>
        </w:rPr>
        <w:t>"OSB"</w:t>
      </w:r>
      <w:r>
        <w:rPr>
          <w:b/>
          <w:spacing w:val="-4"/>
        </w:rPr>
        <w:t> </w:t>
      </w:r>
      <w:r>
        <w:rPr/>
        <w:t>means</w:t>
      </w:r>
      <w:r>
        <w:rPr>
          <w:spacing w:val="-4"/>
        </w:rPr>
        <w:t> </w:t>
      </w:r>
      <w:r>
        <w:rPr/>
        <w:t>the</w:t>
      </w:r>
      <w:r>
        <w:rPr>
          <w:spacing w:val="-4"/>
        </w:rPr>
        <w:t> </w:t>
      </w:r>
      <w:r>
        <w:rPr/>
        <w:t>Oklahoma</w:t>
      </w:r>
      <w:r>
        <w:rPr>
          <w:spacing w:val="-4"/>
        </w:rPr>
        <w:t> </w:t>
      </w:r>
      <w:r>
        <w:rPr/>
        <w:t>School</w:t>
      </w:r>
      <w:r>
        <w:rPr>
          <w:spacing w:val="-4"/>
        </w:rPr>
        <w:t> </w:t>
      </w:r>
      <w:r>
        <w:rPr/>
        <w:t>for</w:t>
      </w:r>
      <w:r>
        <w:rPr>
          <w:spacing w:val="-3"/>
        </w:rPr>
        <w:t> </w:t>
      </w:r>
      <w:r>
        <w:rPr/>
        <w:t>the</w:t>
      </w:r>
      <w:r>
        <w:rPr>
          <w:spacing w:val="-5"/>
        </w:rPr>
        <w:t> </w:t>
      </w:r>
      <w:r>
        <w:rPr/>
        <w:t>Blind</w:t>
      </w:r>
      <w:r>
        <w:rPr>
          <w:spacing w:val="-4"/>
        </w:rPr>
        <w:t> </w:t>
      </w:r>
      <w:r>
        <w:rPr/>
        <w:t>(Parkview</w:t>
      </w:r>
      <w:r>
        <w:rPr>
          <w:spacing w:val="-4"/>
        </w:rPr>
        <w:t> </w:t>
      </w:r>
      <w:r>
        <w:rPr/>
        <w:t>School)</w:t>
      </w:r>
      <w:r>
        <w:rPr>
          <w:spacing w:val="-3"/>
        </w:rPr>
        <w:t> </w:t>
      </w:r>
      <w:r>
        <w:rPr/>
        <w:t>located</w:t>
      </w:r>
      <w:r>
        <w:rPr>
          <w:spacing w:val="-4"/>
        </w:rPr>
        <w:t> </w:t>
      </w:r>
      <w:r>
        <w:rPr/>
        <w:t>in Muskogee, Oklahoma.</w:t>
      </w:r>
    </w:p>
    <w:p>
      <w:pPr>
        <w:pStyle w:val="BodyText"/>
        <w:spacing w:before="211"/>
        <w:ind w:left="792"/>
      </w:pPr>
      <w:r>
        <w:rPr>
          <w:b/>
        </w:rPr>
        <w:t>"OSD"</w:t>
      </w:r>
      <w:r>
        <w:rPr>
          <w:b/>
          <w:spacing w:val="-5"/>
        </w:rPr>
        <w:t> </w:t>
      </w:r>
      <w:r>
        <w:rPr/>
        <w:t>means</w:t>
      </w:r>
      <w:r>
        <w:rPr>
          <w:spacing w:val="-2"/>
        </w:rPr>
        <w:t> </w:t>
      </w:r>
      <w:r>
        <w:rPr/>
        <w:t>the</w:t>
      </w:r>
      <w:r>
        <w:rPr>
          <w:spacing w:val="-3"/>
        </w:rPr>
        <w:t> </w:t>
      </w:r>
      <w:r>
        <w:rPr/>
        <w:t>Oklahoma</w:t>
      </w:r>
      <w:r>
        <w:rPr>
          <w:spacing w:val="-2"/>
        </w:rPr>
        <w:t> </w:t>
      </w:r>
      <w:r>
        <w:rPr/>
        <w:t>School</w:t>
      </w:r>
      <w:r>
        <w:rPr>
          <w:spacing w:val="-3"/>
        </w:rPr>
        <w:t> </w:t>
      </w:r>
      <w:r>
        <w:rPr/>
        <w:t>for</w:t>
      </w:r>
      <w:r>
        <w:rPr>
          <w:spacing w:val="-1"/>
        </w:rPr>
        <w:t> </w:t>
      </w:r>
      <w:r>
        <w:rPr/>
        <w:t>the</w:t>
      </w:r>
      <w:r>
        <w:rPr>
          <w:spacing w:val="-4"/>
        </w:rPr>
        <w:t> </w:t>
      </w:r>
      <w:r>
        <w:rPr/>
        <w:t>Deaf</w:t>
      </w:r>
      <w:r>
        <w:rPr>
          <w:spacing w:val="-1"/>
        </w:rPr>
        <w:t> </w:t>
      </w:r>
      <w:r>
        <w:rPr/>
        <w:t>located</w:t>
      </w:r>
      <w:r>
        <w:rPr>
          <w:spacing w:val="-3"/>
        </w:rPr>
        <w:t> </w:t>
      </w:r>
      <w:r>
        <w:rPr/>
        <w:t>in</w:t>
      </w:r>
      <w:r>
        <w:rPr>
          <w:spacing w:val="-2"/>
        </w:rPr>
        <w:t> </w:t>
      </w:r>
      <w:r>
        <w:rPr/>
        <w:t>Sulphur,</w:t>
      </w:r>
      <w:r>
        <w:rPr>
          <w:spacing w:val="-3"/>
        </w:rPr>
        <w:t> </w:t>
      </w:r>
      <w:r>
        <w:rPr>
          <w:spacing w:val="-2"/>
        </w:rPr>
        <w:t>Oklahoma.</w:t>
      </w:r>
    </w:p>
    <w:p>
      <w:pPr>
        <w:pStyle w:val="BodyText"/>
        <w:spacing w:before="204"/>
        <w:ind w:left="792"/>
      </w:pPr>
      <w:r>
        <w:rPr>
          <w:b/>
        </w:rPr>
        <w:t>"RESC"</w:t>
      </w:r>
      <w:r>
        <w:rPr>
          <w:b/>
          <w:spacing w:val="-4"/>
        </w:rPr>
        <w:t> </w:t>
      </w:r>
      <w:r>
        <w:rPr/>
        <w:t>means</w:t>
      </w:r>
      <w:r>
        <w:rPr>
          <w:spacing w:val="-3"/>
        </w:rPr>
        <w:t> </w:t>
      </w:r>
      <w:r>
        <w:rPr/>
        <w:t>a</w:t>
      </w:r>
      <w:r>
        <w:rPr>
          <w:spacing w:val="-3"/>
        </w:rPr>
        <w:t> </w:t>
      </w:r>
      <w:r>
        <w:rPr/>
        <w:t>Regional</w:t>
      </w:r>
      <w:r>
        <w:rPr>
          <w:spacing w:val="-3"/>
        </w:rPr>
        <w:t> </w:t>
      </w:r>
      <w:r>
        <w:rPr/>
        <w:t>Education</w:t>
      </w:r>
      <w:r>
        <w:rPr>
          <w:spacing w:val="-3"/>
        </w:rPr>
        <w:t> </w:t>
      </w:r>
      <w:r>
        <w:rPr/>
        <w:t>Service</w:t>
      </w:r>
      <w:r>
        <w:rPr>
          <w:spacing w:val="-3"/>
        </w:rPr>
        <w:t> </w:t>
      </w:r>
      <w:r>
        <w:rPr>
          <w:spacing w:val="-2"/>
        </w:rPr>
        <w:t>Center.</w:t>
      </w:r>
    </w:p>
    <w:p>
      <w:pPr>
        <w:pStyle w:val="BodyText"/>
        <w:spacing w:before="204"/>
        <w:ind w:left="792"/>
      </w:pPr>
      <w:r>
        <w:rPr>
          <w:b/>
        </w:rPr>
        <w:t>"RPSP"</w:t>
      </w:r>
      <w:r>
        <w:rPr>
          <w:b/>
          <w:spacing w:val="-6"/>
        </w:rPr>
        <w:t> </w:t>
      </w:r>
      <w:r>
        <w:rPr/>
        <w:t>means</w:t>
      </w:r>
      <w:r>
        <w:rPr>
          <w:spacing w:val="-4"/>
        </w:rPr>
        <w:t> </w:t>
      </w:r>
      <w:r>
        <w:rPr/>
        <w:t>the</w:t>
      </w:r>
      <w:r>
        <w:rPr>
          <w:spacing w:val="-3"/>
        </w:rPr>
        <w:t> </w:t>
      </w:r>
      <w:r>
        <w:rPr/>
        <w:t>Regional</w:t>
      </w:r>
      <w:r>
        <w:rPr>
          <w:spacing w:val="-4"/>
        </w:rPr>
        <w:t> </w:t>
      </w:r>
      <w:r>
        <w:rPr/>
        <w:t>Preschool</w:t>
      </w:r>
      <w:r>
        <w:rPr>
          <w:spacing w:val="-4"/>
        </w:rPr>
        <w:t> </w:t>
      </w:r>
      <w:r>
        <w:rPr/>
        <w:t>Satellite</w:t>
      </w:r>
      <w:r>
        <w:rPr>
          <w:spacing w:val="-3"/>
        </w:rPr>
        <w:t> </w:t>
      </w:r>
      <w:r>
        <w:rPr>
          <w:spacing w:val="-2"/>
        </w:rPr>
        <w:t>Program.</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pPr>
      <w:bookmarkStart w:name="612:20-1-4.  Information for school dist" w:id="318"/>
      <w:bookmarkEnd w:id="318"/>
      <w:r>
        <w:rPr>
          <w:b w:val="0"/>
        </w:rPr>
      </w:r>
      <w:r>
        <w:rPr/>
        <w:t>612:20-1-4.</w:t>
      </w:r>
      <w:r>
        <w:rPr>
          <w:spacing w:val="59"/>
        </w:rPr>
        <w:t> </w:t>
      </w:r>
      <w:r>
        <w:rPr/>
        <w:t>Information</w:t>
      </w:r>
      <w:r>
        <w:rPr>
          <w:spacing w:val="-4"/>
        </w:rPr>
        <w:t> </w:t>
      </w:r>
      <w:r>
        <w:rPr/>
        <w:t>for</w:t>
      </w:r>
      <w:r>
        <w:rPr>
          <w:spacing w:val="-4"/>
        </w:rPr>
        <w:t> </w:t>
      </w:r>
      <w:r>
        <w:rPr/>
        <w:t>school</w:t>
      </w:r>
      <w:r>
        <w:rPr>
          <w:spacing w:val="-3"/>
        </w:rPr>
        <w:t> </w:t>
      </w:r>
      <w:r>
        <w:rPr>
          <w:spacing w:val="-2"/>
        </w:rPr>
        <w:t>districts</w:t>
      </w:r>
    </w:p>
    <w:p>
      <w:pPr>
        <w:pStyle w:val="ListParagraph"/>
        <w:numPr>
          <w:ilvl w:val="0"/>
          <w:numId w:val="325"/>
        </w:numPr>
        <w:tabs>
          <w:tab w:pos="786" w:val="left" w:leader="none"/>
        </w:tabs>
        <w:spacing w:line="208" w:lineRule="auto" w:before="233" w:after="0"/>
        <w:ind w:left="360" w:right="927" w:firstLine="0"/>
        <w:jc w:val="left"/>
        <w:rPr>
          <w:b/>
          <w:sz w:val="24"/>
        </w:rPr>
      </w:pPr>
      <w:r>
        <w:rPr>
          <w:sz w:val="24"/>
        </w:rPr>
        <w:t>The Oklahoma School for the Blind (OSB) and Oklahoma School for the Deaf (OSD)</w:t>
      </w:r>
      <w:r>
        <w:rPr>
          <w:spacing w:val="-3"/>
          <w:sz w:val="24"/>
        </w:rPr>
        <w:t> </w:t>
      </w:r>
      <w:r>
        <w:rPr>
          <w:sz w:val="24"/>
        </w:rPr>
        <w:t>shall</w:t>
      </w:r>
      <w:r>
        <w:rPr>
          <w:spacing w:val="-4"/>
          <w:sz w:val="24"/>
        </w:rPr>
        <w:t> </w:t>
      </w:r>
      <w:r>
        <w:rPr>
          <w:sz w:val="24"/>
        </w:rPr>
        <w:t>annually</w:t>
      </w:r>
      <w:r>
        <w:rPr>
          <w:spacing w:val="-4"/>
          <w:sz w:val="24"/>
        </w:rPr>
        <w:t> </w:t>
      </w:r>
      <w:r>
        <w:rPr>
          <w:sz w:val="24"/>
        </w:rPr>
        <w:t>provide</w:t>
      </w:r>
      <w:r>
        <w:rPr>
          <w:spacing w:val="-4"/>
          <w:sz w:val="24"/>
        </w:rPr>
        <w:t> </w:t>
      </w:r>
      <w:r>
        <w:rPr>
          <w:sz w:val="24"/>
        </w:rPr>
        <w:t>Oklahoma</w:t>
      </w:r>
      <w:r>
        <w:rPr>
          <w:spacing w:val="-4"/>
          <w:sz w:val="24"/>
        </w:rPr>
        <w:t> </w:t>
      </w:r>
      <w:r>
        <w:rPr>
          <w:sz w:val="24"/>
        </w:rPr>
        <w:t>school</w:t>
      </w:r>
      <w:r>
        <w:rPr>
          <w:spacing w:val="-4"/>
          <w:sz w:val="24"/>
        </w:rPr>
        <w:t> </w:t>
      </w:r>
      <w:r>
        <w:rPr>
          <w:sz w:val="24"/>
        </w:rPr>
        <w:t>districts</w:t>
      </w:r>
      <w:r>
        <w:rPr>
          <w:spacing w:val="-4"/>
          <w:sz w:val="24"/>
        </w:rPr>
        <w:t> </w:t>
      </w:r>
      <w:r>
        <w:rPr>
          <w:sz w:val="24"/>
        </w:rPr>
        <w:t>with</w:t>
      </w:r>
      <w:r>
        <w:rPr>
          <w:spacing w:val="-4"/>
          <w:sz w:val="24"/>
        </w:rPr>
        <w:t> </w:t>
      </w:r>
      <w:r>
        <w:rPr>
          <w:sz w:val="24"/>
        </w:rPr>
        <w:t>current</w:t>
      </w:r>
      <w:r>
        <w:rPr>
          <w:spacing w:val="-3"/>
          <w:sz w:val="24"/>
        </w:rPr>
        <w:t> </w:t>
      </w:r>
      <w:r>
        <w:rPr>
          <w:sz w:val="24"/>
        </w:rPr>
        <w:t>information</w:t>
      </w:r>
      <w:r>
        <w:rPr>
          <w:spacing w:val="-4"/>
          <w:sz w:val="24"/>
        </w:rPr>
        <w:t> </w:t>
      </w:r>
      <w:r>
        <w:rPr>
          <w:sz w:val="24"/>
        </w:rPr>
        <w:t>on</w:t>
      </w:r>
      <w:r>
        <w:rPr>
          <w:spacing w:val="-4"/>
          <w:sz w:val="24"/>
        </w:rPr>
        <w:t> </w:t>
      </w:r>
      <w:r>
        <w:rPr>
          <w:sz w:val="24"/>
        </w:rPr>
        <w:t>the availability of OSB and OSD programs for which students may be eligible.</w:t>
      </w:r>
      <w:r>
        <w:rPr>
          <w:spacing w:val="40"/>
          <w:sz w:val="24"/>
        </w:rPr>
        <w:t> </w:t>
      </w:r>
      <w:r>
        <w:rPr>
          <w:sz w:val="24"/>
        </w:rPr>
        <w:t>Such information shall be made available to school districts in advance of the start of each school year for use in the individualized education program process for students with visual and/or hearing impairments, in accordance with state law. </w:t>
      </w:r>
      <w:r>
        <w:rPr>
          <w:b/>
          <w:sz w:val="24"/>
        </w:rPr>
        <w:t>1</w:t>
      </w:r>
    </w:p>
    <w:p>
      <w:pPr>
        <w:pStyle w:val="ListParagraph"/>
        <w:numPr>
          <w:ilvl w:val="0"/>
          <w:numId w:val="325"/>
        </w:numPr>
        <w:tabs>
          <w:tab w:pos="785" w:val="left" w:leader="none"/>
        </w:tabs>
        <w:spacing w:line="208" w:lineRule="auto" w:before="239" w:after="0"/>
        <w:ind w:left="360" w:right="727" w:firstLine="0"/>
        <w:jc w:val="left"/>
        <w:rPr>
          <w:sz w:val="24"/>
        </w:rPr>
      </w:pPr>
      <w:r>
        <w:rPr>
          <w:sz w:val="24"/>
        </w:rPr>
        <w:t>OSB</w:t>
      </w:r>
      <w:r>
        <w:rPr>
          <w:spacing w:val="-3"/>
          <w:sz w:val="24"/>
        </w:rPr>
        <w:t> </w:t>
      </w:r>
      <w:r>
        <w:rPr>
          <w:sz w:val="24"/>
        </w:rPr>
        <w:t>and</w:t>
      </w:r>
      <w:r>
        <w:rPr>
          <w:spacing w:val="-3"/>
          <w:sz w:val="24"/>
        </w:rPr>
        <w:t> </w:t>
      </w:r>
      <w:r>
        <w:rPr>
          <w:sz w:val="24"/>
        </w:rPr>
        <w:t>OSD</w:t>
      </w:r>
      <w:r>
        <w:rPr>
          <w:spacing w:val="-3"/>
          <w:sz w:val="24"/>
        </w:rPr>
        <w:t> </w:t>
      </w:r>
      <w:r>
        <w:rPr>
          <w:sz w:val="24"/>
        </w:rPr>
        <w:t>program</w:t>
      </w:r>
      <w:r>
        <w:rPr>
          <w:spacing w:val="-2"/>
          <w:sz w:val="24"/>
        </w:rPr>
        <w:t> </w:t>
      </w:r>
      <w:r>
        <w:rPr>
          <w:sz w:val="24"/>
        </w:rPr>
        <w:t>information</w:t>
      </w:r>
      <w:r>
        <w:rPr>
          <w:spacing w:val="-3"/>
          <w:sz w:val="24"/>
        </w:rPr>
        <w:t> </w:t>
      </w:r>
      <w:r>
        <w:rPr>
          <w:sz w:val="24"/>
        </w:rPr>
        <w:t>for</w:t>
      </w:r>
      <w:r>
        <w:rPr>
          <w:spacing w:val="-4"/>
          <w:sz w:val="24"/>
        </w:rPr>
        <w:t> </w:t>
      </w:r>
      <w:r>
        <w:rPr>
          <w:sz w:val="24"/>
        </w:rPr>
        <w:t>school</w:t>
      </w:r>
      <w:r>
        <w:rPr>
          <w:spacing w:val="-3"/>
          <w:sz w:val="24"/>
        </w:rPr>
        <w:t> </w:t>
      </w:r>
      <w:r>
        <w:rPr>
          <w:sz w:val="24"/>
        </w:rPr>
        <w:t>districts</w:t>
      </w:r>
      <w:r>
        <w:rPr>
          <w:spacing w:val="-3"/>
          <w:sz w:val="24"/>
        </w:rPr>
        <w:t> </w:t>
      </w:r>
      <w:r>
        <w:rPr>
          <w:sz w:val="24"/>
        </w:rPr>
        <w:t>shall</w:t>
      </w:r>
      <w:r>
        <w:rPr>
          <w:spacing w:val="-3"/>
          <w:sz w:val="24"/>
        </w:rPr>
        <w:t> </w:t>
      </w:r>
      <w:r>
        <w:rPr>
          <w:sz w:val="24"/>
        </w:rPr>
        <w:t>be</w:t>
      </w:r>
      <w:r>
        <w:rPr>
          <w:spacing w:val="-3"/>
          <w:sz w:val="24"/>
        </w:rPr>
        <w:t> </w:t>
      </w:r>
      <w:r>
        <w:rPr>
          <w:sz w:val="24"/>
        </w:rPr>
        <w:t>in</w:t>
      </w:r>
      <w:r>
        <w:rPr>
          <w:spacing w:val="-3"/>
          <w:sz w:val="24"/>
        </w:rPr>
        <w:t> </w:t>
      </w:r>
      <w:r>
        <w:rPr>
          <w:sz w:val="24"/>
        </w:rPr>
        <w:t>a</w:t>
      </w:r>
      <w:r>
        <w:rPr>
          <w:spacing w:val="-3"/>
          <w:sz w:val="24"/>
        </w:rPr>
        <w:t> </w:t>
      </w:r>
      <w:r>
        <w:rPr>
          <w:sz w:val="24"/>
        </w:rPr>
        <w:t>print</w:t>
      </w:r>
      <w:r>
        <w:rPr>
          <w:spacing w:val="-4"/>
          <w:sz w:val="24"/>
        </w:rPr>
        <w:t> </w:t>
      </w:r>
      <w:r>
        <w:rPr>
          <w:sz w:val="24"/>
        </w:rPr>
        <w:t>format</w:t>
      </w:r>
      <w:r>
        <w:rPr>
          <w:spacing w:val="-4"/>
          <w:sz w:val="24"/>
        </w:rPr>
        <w:t> </w:t>
      </w:r>
      <w:r>
        <w:rPr>
          <w:sz w:val="24"/>
        </w:rPr>
        <w:t>and, as appropriate, in other accessible formats. </w:t>
      </w:r>
      <w:r>
        <w:rPr>
          <w:b/>
          <w:sz w:val="24"/>
        </w:rPr>
        <w:t>2 </w:t>
      </w:r>
      <w:r>
        <w:rPr>
          <w:sz w:val="24"/>
        </w:rPr>
        <w:t>The information shall include but not be limited to information on</w:t>
      </w:r>
    </w:p>
    <w:p>
      <w:pPr>
        <w:pStyle w:val="ListParagraph"/>
        <w:numPr>
          <w:ilvl w:val="1"/>
          <w:numId w:val="325"/>
        </w:numPr>
        <w:tabs>
          <w:tab w:pos="1152" w:val="left" w:leader="none"/>
        </w:tabs>
        <w:spacing w:line="240" w:lineRule="auto" w:before="211" w:after="0"/>
        <w:ind w:left="1152" w:right="0" w:hanging="360"/>
        <w:jc w:val="left"/>
        <w:rPr>
          <w:sz w:val="24"/>
        </w:rPr>
      </w:pPr>
      <w:r>
        <w:rPr>
          <w:sz w:val="24"/>
        </w:rPr>
        <w:t>academic</w:t>
      </w:r>
      <w:r>
        <w:rPr>
          <w:spacing w:val="-6"/>
          <w:sz w:val="24"/>
        </w:rPr>
        <w:t> </w:t>
      </w:r>
      <w:r>
        <w:rPr>
          <w:sz w:val="24"/>
        </w:rPr>
        <w:t>programs</w:t>
      </w:r>
      <w:r>
        <w:rPr>
          <w:spacing w:val="-3"/>
          <w:sz w:val="24"/>
        </w:rPr>
        <w:t> </w:t>
      </w:r>
      <w:r>
        <w:rPr>
          <w:sz w:val="24"/>
        </w:rPr>
        <w:t>available</w:t>
      </w:r>
      <w:r>
        <w:rPr>
          <w:spacing w:val="-3"/>
          <w:sz w:val="24"/>
        </w:rPr>
        <w:t> </w:t>
      </w:r>
      <w:r>
        <w:rPr>
          <w:sz w:val="24"/>
        </w:rPr>
        <w:t>at</w:t>
      </w:r>
      <w:r>
        <w:rPr>
          <w:spacing w:val="-3"/>
          <w:sz w:val="24"/>
        </w:rPr>
        <w:t> </w:t>
      </w:r>
      <w:r>
        <w:rPr>
          <w:sz w:val="24"/>
        </w:rPr>
        <w:t>the</w:t>
      </w:r>
      <w:r>
        <w:rPr>
          <w:spacing w:val="-3"/>
          <w:sz w:val="24"/>
        </w:rPr>
        <w:t> </w:t>
      </w:r>
      <w:r>
        <w:rPr>
          <w:sz w:val="24"/>
        </w:rPr>
        <w:t>schools</w:t>
      </w:r>
      <w:r>
        <w:rPr>
          <w:spacing w:val="-3"/>
          <w:sz w:val="24"/>
        </w:rPr>
        <w:t> </w:t>
      </w:r>
      <w:r>
        <w:rPr>
          <w:sz w:val="24"/>
        </w:rPr>
        <w:t>for</w:t>
      </w:r>
      <w:r>
        <w:rPr>
          <w:spacing w:val="-3"/>
          <w:sz w:val="24"/>
        </w:rPr>
        <w:t> </w:t>
      </w:r>
      <w:r>
        <w:rPr>
          <w:sz w:val="24"/>
        </w:rPr>
        <w:t>residential</w:t>
      </w:r>
      <w:r>
        <w:rPr>
          <w:spacing w:val="-3"/>
          <w:sz w:val="24"/>
        </w:rPr>
        <w:t> </w:t>
      </w:r>
      <w:r>
        <w:rPr>
          <w:sz w:val="24"/>
        </w:rPr>
        <w:t>and</w:t>
      </w:r>
      <w:r>
        <w:rPr>
          <w:spacing w:val="-3"/>
          <w:sz w:val="24"/>
        </w:rPr>
        <w:t> </w:t>
      </w:r>
      <w:r>
        <w:rPr>
          <w:sz w:val="24"/>
        </w:rPr>
        <w:t>day</w:t>
      </w:r>
      <w:r>
        <w:rPr>
          <w:spacing w:val="-3"/>
          <w:sz w:val="24"/>
        </w:rPr>
        <w:t> </w:t>
      </w:r>
      <w:r>
        <w:rPr>
          <w:spacing w:val="-2"/>
          <w:sz w:val="24"/>
        </w:rPr>
        <w:t>students;</w:t>
      </w:r>
    </w:p>
    <w:p>
      <w:pPr>
        <w:pStyle w:val="ListParagraph"/>
        <w:numPr>
          <w:ilvl w:val="1"/>
          <w:numId w:val="325"/>
        </w:numPr>
        <w:tabs>
          <w:tab w:pos="1152" w:val="left" w:leader="none"/>
        </w:tabs>
        <w:spacing w:line="208" w:lineRule="auto" w:before="233" w:after="0"/>
        <w:ind w:left="792" w:right="719" w:firstLine="0"/>
        <w:jc w:val="left"/>
        <w:rPr>
          <w:sz w:val="24"/>
        </w:rPr>
      </w:pPr>
      <w:r>
        <w:rPr>
          <w:sz w:val="24"/>
        </w:rPr>
        <w:t>specialized instruction and activities that support adjustment to visual or hearing impairments, the development of compensatory skills, the acquisition of</w:t>
      </w:r>
      <w:r>
        <w:rPr>
          <w:spacing w:val="40"/>
          <w:sz w:val="24"/>
        </w:rPr>
        <w:t> </w:t>
      </w:r>
      <w:r>
        <w:rPr>
          <w:sz w:val="24"/>
        </w:rPr>
        <w:t>independent</w:t>
      </w:r>
      <w:r>
        <w:rPr>
          <w:spacing w:val="-3"/>
          <w:sz w:val="24"/>
        </w:rPr>
        <w:t> </w:t>
      </w:r>
      <w:r>
        <w:rPr>
          <w:sz w:val="24"/>
        </w:rPr>
        <w:t>living</w:t>
      </w:r>
      <w:r>
        <w:rPr>
          <w:spacing w:val="-4"/>
          <w:sz w:val="24"/>
        </w:rPr>
        <w:t> </w:t>
      </w:r>
      <w:r>
        <w:rPr>
          <w:sz w:val="24"/>
        </w:rPr>
        <w:t>skills</w:t>
      </w:r>
      <w:r>
        <w:rPr>
          <w:spacing w:val="-4"/>
          <w:sz w:val="24"/>
        </w:rPr>
        <w:t> </w:t>
      </w:r>
      <w:r>
        <w:rPr>
          <w:sz w:val="24"/>
        </w:rPr>
        <w:t>and</w:t>
      </w:r>
      <w:r>
        <w:rPr>
          <w:spacing w:val="-4"/>
          <w:sz w:val="24"/>
        </w:rPr>
        <w:t> </w:t>
      </w:r>
      <w:r>
        <w:rPr>
          <w:sz w:val="24"/>
        </w:rPr>
        <w:t>the</w:t>
      </w:r>
      <w:r>
        <w:rPr>
          <w:spacing w:val="-4"/>
          <w:sz w:val="24"/>
        </w:rPr>
        <w:t> </w:t>
      </w:r>
      <w:r>
        <w:rPr>
          <w:sz w:val="24"/>
        </w:rPr>
        <w:t>practice</w:t>
      </w:r>
      <w:r>
        <w:rPr>
          <w:spacing w:val="-4"/>
          <w:sz w:val="24"/>
        </w:rPr>
        <w:t> </w:t>
      </w:r>
      <w:r>
        <w:rPr>
          <w:sz w:val="24"/>
        </w:rPr>
        <w:t>of</w:t>
      </w:r>
      <w:r>
        <w:rPr>
          <w:spacing w:val="-3"/>
          <w:sz w:val="24"/>
        </w:rPr>
        <w:t> </w:t>
      </w:r>
      <w:r>
        <w:rPr>
          <w:sz w:val="24"/>
        </w:rPr>
        <w:t>learning</w:t>
      </w:r>
      <w:r>
        <w:rPr>
          <w:spacing w:val="-4"/>
          <w:sz w:val="24"/>
        </w:rPr>
        <w:t> </w:t>
      </w:r>
      <w:r>
        <w:rPr>
          <w:sz w:val="24"/>
        </w:rPr>
        <w:t>and</w:t>
      </w:r>
      <w:r>
        <w:rPr>
          <w:spacing w:val="-4"/>
          <w:sz w:val="24"/>
        </w:rPr>
        <w:t> </w:t>
      </w:r>
      <w:r>
        <w:rPr>
          <w:sz w:val="24"/>
        </w:rPr>
        <w:t>work</w:t>
      </w:r>
      <w:r>
        <w:rPr>
          <w:spacing w:val="-4"/>
          <w:sz w:val="24"/>
        </w:rPr>
        <w:t> </w:t>
      </w:r>
      <w:r>
        <w:rPr>
          <w:sz w:val="24"/>
        </w:rPr>
        <w:t>skills</w:t>
      </w:r>
      <w:r>
        <w:rPr>
          <w:spacing w:val="-4"/>
          <w:sz w:val="24"/>
        </w:rPr>
        <w:t> </w:t>
      </w:r>
      <w:r>
        <w:rPr>
          <w:sz w:val="24"/>
        </w:rPr>
        <w:t>needed</w:t>
      </w:r>
      <w:r>
        <w:rPr>
          <w:spacing w:val="-4"/>
          <w:sz w:val="24"/>
        </w:rPr>
        <w:t> </w:t>
      </w:r>
      <w:r>
        <w:rPr>
          <w:sz w:val="24"/>
        </w:rPr>
        <w:t>for</w:t>
      </w:r>
      <w:r>
        <w:rPr>
          <w:spacing w:val="-3"/>
          <w:sz w:val="24"/>
        </w:rPr>
        <w:t> </w:t>
      </w:r>
      <w:r>
        <w:rPr>
          <w:sz w:val="24"/>
        </w:rPr>
        <w:t>post- secondary life;</w:t>
      </w:r>
    </w:p>
    <w:p>
      <w:pPr>
        <w:pStyle w:val="ListParagraph"/>
        <w:numPr>
          <w:ilvl w:val="1"/>
          <w:numId w:val="325"/>
        </w:numPr>
        <w:tabs>
          <w:tab w:pos="1152" w:val="left" w:leader="none"/>
        </w:tabs>
        <w:spacing w:line="208" w:lineRule="auto" w:before="240" w:after="0"/>
        <w:ind w:left="792" w:right="774" w:firstLine="0"/>
        <w:jc w:val="left"/>
        <w:rPr>
          <w:sz w:val="24"/>
        </w:rPr>
      </w:pPr>
      <w:r>
        <w:rPr>
          <w:sz w:val="24"/>
        </w:rPr>
        <w:t>opportunities</w:t>
      </w:r>
      <w:r>
        <w:rPr>
          <w:spacing w:val="-4"/>
          <w:sz w:val="24"/>
        </w:rPr>
        <w:t> </w:t>
      </w:r>
      <w:r>
        <w:rPr>
          <w:sz w:val="24"/>
        </w:rPr>
        <w:t>for</w:t>
      </w:r>
      <w:r>
        <w:rPr>
          <w:spacing w:val="-3"/>
          <w:sz w:val="24"/>
        </w:rPr>
        <w:t> </w:t>
      </w:r>
      <w:r>
        <w:rPr>
          <w:sz w:val="24"/>
        </w:rPr>
        <w:t>participation</w:t>
      </w:r>
      <w:r>
        <w:rPr>
          <w:spacing w:val="-3"/>
          <w:sz w:val="24"/>
        </w:rPr>
        <w:t> </w:t>
      </w:r>
      <w:r>
        <w:rPr>
          <w:sz w:val="24"/>
        </w:rPr>
        <w:t>in</w:t>
      </w:r>
      <w:r>
        <w:rPr>
          <w:spacing w:val="-4"/>
          <w:sz w:val="24"/>
        </w:rPr>
        <w:t> </w:t>
      </w:r>
      <w:r>
        <w:rPr>
          <w:sz w:val="24"/>
        </w:rPr>
        <w:t>extracurricular</w:t>
      </w:r>
      <w:r>
        <w:rPr>
          <w:spacing w:val="-4"/>
          <w:sz w:val="24"/>
        </w:rPr>
        <w:t> </w:t>
      </w:r>
      <w:r>
        <w:rPr>
          <w:sz w:val="24"/>
        </w:rPr>
        <w:t>activities</w:t>
      </w:r>
      <w:r>
        <w:rPr>
          <w:spacing w:val="-4"/>
          <w:sz w:val="24"/>
        </w:rPr>
        <w:t> </w:t>
      </w:r>
      <w:r>
        <w:rPr>
          <w:sz w:val="24"/>
        </w:rPr>
        <w:t>and</w:t>
      </w:r>
      <w:r>
        <w:rPr>
          <w:spacing w:val="-4"/>
          <w:sz w:val="24"/>
        </w:rPr>
        <w:t> </w:t>
      </w:r>
      <w:r>
        <w:rPr>
          <w:sz w:val="24"/>
        </w:rPr>
        <w:t>the</w:t>
      </w:r>
      <w:r>
        <w:rPr>
          <w:spacing w:val="-4"/>
          <w:sz w:val="24"/>
        </w:rPr>
        <w:t> </w:t>
      </w:r>
      <w:r>
        <w:rPr>
          <w:sz w:val="24"/>
        </w:rPr>
        <w:t>range</w:t>
      </w:r>
      <w:r>
        <w:rPr>
          <w:spacing w:val="-4"/>
          <w:sz w:val="24"/>
        </w:rPr>
        <w:t> </w:t>
      </w:r>
      <w:r>
        <w:rPr>
          <w:sz w:val="24"/>
        </w:rPr>
        <w:t>of</w:t>
      </w:r>
      <w:r>
        <w:rPr>
          <w:spacing w:val="-5"/>
          <w:sz w:val="24"/>
        </w:rPr>
        <w:t> </w:t>
      </w:r>
      <w:r>
        <w:rPr>
          <w:sz w:val="24"/>
        </w:rPr>
        <w:t>sports, recreation, academic, cultural and social activities available for OSB and OSD </w:t>
      </w:r>
      <w:r>
        <w:rPr>
          <w:spacing w:val="-2"/>
          <w:sz w:val="24"/>
        </w:rPr>
        <w:t>students;</w:t>
      </w:r>
    </w:p>
    <w:p>
      <w:pPr>
        <w:pStyle w:val="ListParagraph"/>
        <w:numPr>
          <w:ilvl w:val="1"/>
          <w:numId w:val="325"/>
        </w:numPr>
        <w:tabs>
          <w:tab w:pos="1152" w:val="left" w:leader="none"/>
        </w:tabs>
        <w:spacing w:line="240" w:lineRule="auto" w:before="210" w:after="0"/>
        <w:ind w:left="1152" w:right="0" w:hanging="360"/>
        <w:jc w:val="left"/>
        <w:rPr>
          <w:sz w:val="24"/>
        </w:rPr>
      </w:pPr>
      <w:r>
        <w:rPr>
          <w:sz w:val="24"/>
        </w:rPr>
        <w:t>outreach</w:t>
      </w:r>
      <w:r>
        <w:rPr>
          <w:spacing w:val="-4"/>
          <w:sz w:val="24"/>
        </w:rPr>
        <w:t> </w:t>
      </w:r>
      <w:r>
        <w:rPr>
          <w:sz w:val="24"/>
        </w:rPr>
        <w:t>services</w:t>
      </w:r>
      <w:r>
        <w:rPr>
          <w:spacing w:val="-4"/>
          <w:sz w:val="24"/>
        </w:rPr>
        <w:t> </w:t>
      </w:r>
      <w:r>
        <w:rPr>
          <w:sz w:val="24"/>
        </w:rPr>
        <w:t>for</w:t>
      </w:r>
      <w:r>
        <w:rPr>
          <w:spacing w:val="-3"/>
          <w:sz w:val="24"/>
        </w:rPr>
        <w:t> </w:t>
      </w:r>
      <w:r>
        <w:rPr>
          <w:sz w:val="24"/>
        </w:rPr>
        <w:t>public</w:t>
      </w:r>
      <w:r>
        <w:rPr>
          <w:spacing w:val="-4"/>
          <w:sz w:val="24"/>
        </w:rPr>
        <w:t> </w:t>
      </w:r>
      <w:r>
        <w:rPr>
          <w:sz w:val="24"/>
        </w:rPr>
        <w:t>school</w:t>
      </w:r>
      <w:r>
        <w:rPr>
          <w:spacing w:val="-3"/>
          <w:sz w:val="24"/>
        </w:rPr>
        <w:t> </w:t>
      </w:r>
      <w:r>
        <w:rPr>
          <w:spacing w:val="-2"/>
          <w:sz w:val="24"/>
        </w:rPr>
        <w:t>students;</w:t>
      </w:r>
    </w:p>
    <w:p>
      <w:pPr>
        <w:pStyle w:val="ListParagraph"/>
        <w:numPr>
          <w:ilvl w:val="1"/>
          <w:numId w:val="325"/>
        </w:numPr>
        <w:tabs>
          <w:tab w:pos="1152" w:val="left" w:leader="none"/>
        </w:tabs>
        <w:spacing w:line="240" w:lineRule="auto" w:before="204" w:after="0"/>
        <w:ind w:left="1152" w:right="0" w:hanging="360"/>
        <w:jc w:val="left"/>
        <w:rPr>
          <w:sz w:val="24"/>
        </w:rPr>
      </w:pPr>
      <w:r>
        <w:rPr>
          <w:sz w:val="24"/>
        </w:rPr>
        <w:t>assistive</w:t>
      </w:r>
      <w:r>
        <w:rPr>
          <w:spacing w:val="-6"/>
          <w:sz w:val="24"/>
        </w:rPr>
        <w:t> </w:t>
      </w:r>
      <w:r>
        <w:rPr>
          <w:sz w:val="24"/>
        </w:rPr>
        <w:t>technology</w:t>
      </w:r>
      <w:r>
        <w:rPr>
          <w:spacing w:val="-4"/>
          <w:sz w:val="24"/>
        </w:rPr>
        <w:t> </w:t>
      </w:r>
      <w:r>
        <w:rPr>
          <w:sz w:val="24"/>
        </w:rPr>
        <w:t>instruction,</w:t>
      </w:r>
      <w:r>
        <w:rPr>
          <w:spacing w:val="-3"/>
          <w:sz w:val="24"/>
        </w:rPr>
        <w:t> </w:t>
      </w:r>
      <w:r>
        <w:rPr>
          <w:sz w:val="24"/>
        </w:rPr>
        <w:t>devices</w:t>
      </w:r>
      <w:r>
        <w:rPr>
          <w:spacing w:val="-3"/>
          <w:sz w:val="24"/>
        </w:rPr>
        <w:t> </w:t>
      </w:r>
      <w:r>
        <w:rPr>
          <w:sz w:val="24"/>
        </w:rPr>
        <w:t>and</w:t>
      </w:r>
      <w:r>
        <w:rPr>
          <w:spacing w:val="-3"/>
          <w:sz w:val="24"/>
        </w:rPr>
        <w:t> </w:t>
      </w:r>
      <w:r>
        <w:rPr>
          <w:sz w:val="24"/>
        </w:rPr>
        <w:t>services</w:t>
      </w:r>
      <w:r>
        <w:rPr>
          <w:spacing w:val="-4"/>
          <w:sz w:val="24"/>
        </w:rPr>
        <w:t> </w:t>
      </w:r>
      <w:r>
        <w:rPr>
          <w:sz w:val="24"/>
        </w:rPr>
        <w:t>available</w:t>
      </w:r>
      <w:r>
        <w:rPr>
          <w:spacing w:val="-4"/>
          <w:sz w:val="24"/>
        </w:rPr>
        <w:t> </w:t>
      </w:r>
      <w:r>
        <w:rPr>
          <w:sz w:val="24"/>
        </w:rPr>
        <w:t>for</w:t>
      </w:r>
      <w:r>
        <w:rPr>
          <w:spacing w:val="-2"/>
          <w:sz w:val="24"/>
        </w:rPr>
        <w:t> students;</w:t>
      </w:r>
    </w:p>
    <w:p>
      <w:pPr>
        <w:pStyle w:val="ListParagraph"/>
        <w:numPr>
          <w:ilvl w:val="1"/>
          <w:numId w:val="325"/>
        </w:numPr>
        <w:tabs>
          <w:tab w:pos="1152" w:val="left" w:leader="none"/>
        </w:tabs>
        <w:spacing w:line="208" w:lineRule="auto" w:before="233" w:after="0"/>
        <w:ind w:left="792" w:right="1162" w:firstLine="0"/>
        <w:jc w:val="left"/>
        <w:rPr>
          <w:sz w:val="24"/>
        </w:rPr>
      </w:pPr>
      <w:r>
        <w:rPr>
          <w:sz w:val="24"/>
        </w:rPr>
        <w:t>school</w:t>
      </w:r>
      <w:r>
        <w:rPr>
          <w:spacing w:val="-7"/>
          <w:sz w:val="24"/>
        </w:rPr>
        <w:t> </w:t>
      </w:r>
      <w:r>
        <w:rPr>
          <w:sz w:val="24"/>
        </w:rPr>
        <w:t>facilities,</w:t>
      </w:r>
      <w:r>
        <w:rPr>
          <w:spacing w:val="-6"/>
          <w:sz w:val="24"/>
        </w:rPr>
        <w:t> </w:t>
      </w:r>
      <w:r>
        <w:rPr>
          <w:sz w:val="24"/>
        </w:rPr>
        <w:t>schedules,</w:t>
      </w:r>
      <w:r>
        <w:rPr>
          <w:spacing w:val="-6"/>
          <w:sz w:val="24"/>
        </w:rPr>
        <w:t> </w:t>
      </w:r>
      <w:r>
        <w:rPr>
          <w:sz w:val="24"/>
        </w:rPr>
        <w:t>staffing,</w:t>
      </w:r>
      <w:r>
        <w:rPr>
          <w:spacing w:val="-6"/>
          <w:sz w:val="24"/>
        </w:rPr>
        <w:t> </w:t>
      </w:r>
      <w:r>
        <w:rPr>
          <w:sz w:val="24"/>
        </w:rPr>
        <w:t>student</w:t>
      </w:r>
      <w:r>
        <w:rPr>
          <w:spacing w:val="-6"/>
          <w:sz w:val="24"/>
        </w:rPr>
        <w:t> </w:t>
      </w:r>
      <w:r>
        <w:rPr>
          <w:sz w:val="24"/>
        </w:rPr>
        <w:t>services,</w:t>
      </w:r>
      <w:r>
        <w:rPr>
          <w:spacing w:val="-6"/>
          <w:sz w:val="24"/>
        </w:rPr>
        <w:t> </w:t>
      </w:r>
      <w:r>
        <w:rPr>
          <w:sz w:val="24"/>
        </w:rPr>
        <w:t>student</w:t>
      </w:r>
      <w:r>
        <w:rPr>
          <w:spacing w:val="-7"/>
          <w:sz w:val="24"/>
        </w:rPr>
        <w:t> </w:t>
      </w:r>
      <w:r>
        <w:rPr>
          <w:sz w:val="24"/>
        </w:rPr>
        <w:t>transportation, and campus safety;</w:t>
      </w:r>
    </w:p>
    <w:p>
      <w:pPr>
        <w:pStyle w:val="ListParagraph"/>
        <w:numPr>
          <w:ilvl w:val="1"/>
          <w:numId w:val="325"/>
        </w:numPr>
        <w:tabs>
          <w:tab w:pos="1152" w:val="left" w:leader="none"/>
        </w:tabs>
        <w:spacing w:line="208" w:lineRule="auto" w:before="240" w:after="0"/>
        <w:ind w:left="792" w:right="945" w:firstLine="0"/>
        <w:jc w:val="left"/>
        <w:rPr>
          <w:sz w:val="24"/>
        </w:rPr>
      </w:pPr>
      <w:r>
        <w:rPr>
          <w:sz w:val="24"/>
        </w:rPr>
        <w:t>eligibility</w:t>
      </w:r>
      <w:r>
        <w:rPr>
          <w:spacing w:val="-5"/>
          <w:sz w:val="24"/>
        </w:rPr>
        <w:t> </w:t>
      </w:r>
      <w:r>
        <w:rPr>
          <w:sz w:val="24"/>
        </w:rPr>
        <w:t>requirements</w:t>
      </w:r>
      <w:r>
        <w:rPr>
          <w:spacing w:val="-5"/>
          <w:sz w:val="24"/>
        </w:rPr>
        <w:t> </w:t>
      </w:r>
      <w:r>
        <w:rPr>
          <w:sz w:val="24"/>
        </w:rPr>
        <w:t>and</w:t>
      </w:r>
      <w:r>
        <w:rPr>
          <w:spacing w:val="-5"/>
          <w:sz w:val="24"/>
        </w:rPr>
        <w:t> </w:t>
      </w:r>
      <w:r>
        <w:rPr>
          <w:sz w:val="24"/>
        </w:rPr>
        <w:t>school</w:t>
      </w:r>
      <w:r>
        <w:rPr>
          <w:spacing w:val="-5"/>
          <w:sz w:val="24"/>
        </w:rPr>
        <w:t> </w:t>
      </w:r>
      <w:r>
        <w:rPr>
          <w:sz w:val="24"/>
        </w:rPr>
        <w:t>admission</w:t>
      </w:r>
      <w:r>
        <w:rPr>
          <w:spacing w:val="-5"/>
          <w:sz w:val="24"/>
        </w:rPr>
        <w:t> </w:t>
      </w:r>
      <w:r>
        <w:rPr>
          <w:sz w:val="24"/>
        </w:rPr>
        <w:t>conditions</w:t>
      </w:r>
      <w:r>
        <w:rPr>
          <w:spacing w:val="-5"/>
          <w:sz w:val="24"/>
        </w:rPr>
        <w:t> </w:t>
      </w:r>
      <w:r>
        <w:rPr>
          <w:sz w:val="24"/>
        </w:rPr>
        <w:t>for</w:t>
      </w:r>
      <w:r>
        <w:rPr>
          <w:spacing w:val="-4"/>
          <w:sz w:val="24"/>
        </w:rPr>
        <w:t> </w:t>
      </w:r>
      <w:r>
        <w:rPr>
          <w:sz w:val="24"/>
        </w:rPr>
        <w:t>attendance</w:t>
      </w:r>
      <w:r>
        <w:rPr>
          <w:spacing w:val="-5"/>
          <w:sz w:val="24"/>
        </w:rPr>
        <w:t> </w:t>
      </w:r>
      <w:r>
        <w:rPr>
          <w:sz w:val="24"/>
        </w:rPr>
        <w:t>at</w:t>
      </w:r>
      <w:r>
        <w:rPr>
          <w:spacing w:val="-4"/>
          <w:sz w:val="24"/>
        </w:rPr>
        <w:t> </w:t>
      </w:r>
      <w:r>
        <w:rPr>
          <w:sz w:val="24"/>
        </w:rPr>
        <w:t>OSB and OSD;</w:t>
      </w:r>
    </w:p>
    <w:p>
      <w:pPr>
        <w:pStyle w:val="ListParagraph"/>
        <w:numPr>
          <w:ilvl w:val="1"/>
          <w:numId w:val="325"/>
        </w:numPr>
        <w:tabs>
          <w:tab w:pos="1152" w:val="left" w:leader="none"/>
        </w:tabs>
        <w:spacing w:line="208" w:lineRule="auto" w:before="240" w:after="0"/>
        <w:ind w:left="792" w:right="1040" w:firstLine="0"/>
        <w:jc w:val="left"/>
        <w:rPr>
          <w:sz w:val="24"/>
        </w:rPr>
      </w:pPr>
      <w:r>
        <w:rPr>
          <w:sz w:val="24"/>
        </w:rPr>
        <w:t>school</w:t>
      </w:r>
      <w:r>
        <w:rPr>
          <w:spacing w:val="-4"/>
          <w:sz w:val="24"/>
        </w:rPr>
        <w:t> </w:t>
      </w:r>
      <w:r>
        <w:rPr>
          <w:sz w:val="24"/>
        </w:rPr>
        <w:t>policies</w:t>
      </w:r>
      <w:r>
        <w:rPr>
          <w:spacing w:val="-4"/>
          <w:sz w:val="24"/>
        </w:rPr>
        <w:t> </w:t>
      </w:r>
      <w:r>
        <w:rPr>
          <w:sz w:val="24"/>
        </w:rPr>
        <w:t>and</w:t>
      </w:r>
      <w:r>
        <w:rPr>
          <w:spacing w:val="-4"/>
          <w:sz w:val="24"/>
        </w:rPr>
        <w:t> </w:t>
      </w:r>
      <w:r>
        <w:rPr>
          <w:sz w:val="24"/>
        </w:rPr>
        <w:t>procedures</w:t>
      </w:r>
      <w:r>
        <w:rPr>
          <w:spacing w:val="-4"/>
          <w:sz w:val="24"/>
        </w:rPr>
        <w:t> </w:t>
      </w:r>
      <w:r>
        <w:rPr>
          <w:sz w:val="24"/>
        </w:rPr>
        <w:t>of</w:t>
      </w:r>
      <w:r>
        <w:rPr>
          <w:spacing w:val="-3"/>
          <w:sz w:val="24"/>
        </w:rPr>
        <w:t> </w:t>
      </w:r>
      <w:r>
        <w:rPr>
          <w:sz w:val="24"/>
        </w:rPr>
        <w:t>interest</w:t>
      </w:r>
      <w:r>
        <w:rPr>
          <w:spacing w:val="-3"/>
          <w:sz w:val="24"/>
        </w:rPr>
        <w:t> </w:t>
      </w:r>
      <w:r>
        <w:rPr>
          <w:sz w:val="24"/>
        </w:rPr>
        <w:t>to</w:t>
      </w:r>
      <w:r>
        <w:rPr>
          <w:spacing w:val="-5"/>
          <w:sz w:val="24"/>
        </w:rPr>
        <w:t> </w:t>
      </w:r>
      <w:r>
        <w:rPr>
          <w:sz w:val="24"/>
        </w:rPr>
        <w:t>students,</w:t>
      </w:r>
      <w:r>
        <w:rPr>
          <w:spacing w:val="-3"/>
          <w:sz w:val="24"/>
        </w:rPr>
        <w:t> </w:t>
      </w:r>
      <w:r>
        <w:rPr>
          <w:sz w:val="24"/>
        </w:rPr>
        <w:t>parents</w:t>
      </w:r>
      <w:r>
        <w:rPr>
          <w:spacing w:val="-4"/>
          <w:sz w:val="24"/>
        </w:rPr>
        <w:t> </w:t>
      </w:r>
      <w:r>
        <w:rPr>
          <w:sz w:val="24"/>
        </w:rPr>
        <w:t>and</w:t>
      </w:r>
      <w:r>
        <w:rPr>
          <w:spacing w:val="-4"/>
          <w:sz w:val="24"/>
        </w:rPr>
        <w:t> </w:t>
      </w:r>
      <w:r>
        <w:rPr>
          <w:sz w:val="24"/>
        </w:rPr>
        <w:t>educators; </w:t>
      </w:r>
      <w:r>
        <w:rPr>
          <w:spacing w:val="-4"/>
          <w:sz w:val="24"/>
        </w:rPr>
        <w:t>and</w:t>
      </w:r>
    </w:p>
    <w:p>
      <w:pPr>
        <w:pStyle w:val="ListParagraph"/>
        <w:numPr>
          <w:ilvl w:val="1"/>
          <w:numId w:val="325"/>
        </w:numPr>
        <w:tabs>
          <w:tab w:pos="1152" w:val="left" w:leader="none"/>
        </w:tabs>
        <w:spacing w:line="208" w:lineRule="auto" w:before="240" w:after="0"/>
        <w:ind w:left="792" w:right="881" w:firstLine="0"/>
        <w:jc w:val="both"/>
        <w:rPr>
          <w:b/>
          <w:sz w:val="24"/>
        </w:rPr>
      </w:pPr>
      <w:r>
        <w:rPr>
          <w:sz w:val="24"/>
        </w:rPr>
        <w:t>the array of information and technical assistance available from OSB and OSD as</w:t>
      </w:r>
      <w:r>
        <w:rPr>
          <w:spacing w:val="-4"/>
          <w:sz w:val="24"/>
        </w:rPr>
        <w:t> </w:t>
      </w:r>
      <w:r>
        <w:rPr>
          <w:sz w:val="24"/>
        </w:rPr>
        <w:t>statewide</w:t>
      </w:r>
      <w:r>
        <w:rPr>
          <w:spacing w:val="-4"/>
          <w:sz w:val="24"/>
        </w:rPr>
        <w:t> </w:t>
      </w:r>
      <w:r>
        <w:rPr>
          <w:sz w:val="24"/>
        </w:rPr>
        <w:t>resources</w:t>
      </w:r>
      <w:r>
        <w:rPr>
          <w:spacing w:val="-4"/>
          <w:sz w:val="24"/>
        </w:rPr>
        <w:t> </w:t>
      </w:r>
      <w:r>
        <w:rPr>
          <w:sz w:val="24"/>
        </w:rPr>
        <w:t>through</w:t>
      </w:r>
      <w:r>
        <w:rPr>
          <w:spacing w:val="-4"/>
          <w:sz w:val="24"/>
        </w:rPr>
        <w:t> </w:t>
      </w:r>
      <w:r>
        <w:rPr>
          <w:sz w:val="24"/>
        </w:rPr>
        <w:t>residential</w:t>
      </w:r>
      <w:r>
        <w:rPr>
          <w:spacing w:val="-4"/>
          <w:sz w:val="24"/>
        </w:rPr>
        <w:t> </w:t>
      </w:r>
      <w:r>
        <w:rPr>
          <w:sz w:val="24"/>
        </w:rPr>
        <w:t>and</w:t>
      </w:r>
      <w:r>
        <w:rPr>
          <w:spacing w:val="-4"/>
          <w:sz w:val="24"/>
        </w:rPr>
        <w:t> </w:t>
      </w:r>
      <w:r>
        <w:rPr>
          <w:sz w:val="24"/>
        </w:rPr>
        <w:t>outreach</w:t>
      </w:r>
      <w:r>
        <w:rPr>
          <w:spacing w:val="-4"/>
          <w:sz w:val="24"/>
        </w:rPr>
        <w:t> </w:t>
      </w:r>
      <w:r>
        <w:rPr>
          <w:sz w:val="24"/>
        </w:rPr>
        <w:t>services</w:t>
      </w:r>
      <w:r>
        <w:rPr>
          <w:spacing w:val="-4"/>
          <w:sz w:val="24"/>
        </w:rPr>
        <w:t> </w:t>
      </w:r>
      <w:r>
        <w:rPr>
          <w:sz w:val="24"/>
        </w:rPr>
        <w:t>for</w:t>
      </w:r>
      <w:r>
        <w:rPr>
          <w:spacing w:val="-3"/>
          <w:sz w:val="24"/>
        </w:rPr>
        <w:t> </w:t>
      </w:r>
      <w:r>
        <w:rPr>
          <w:sz w:val="24"/>
        </w:rPr>
        <w:t>the</w:t>
      </w:r>
      <w:r>
        <w:rPr>
          <w:spacing w:val="-4"/>
          <w:sz w:val="24"/>
        </w:rPr>
        <w:t> </w:t>
      </w:r>
      <w:r>
        <w:rPr>
          <w:sz w:val="24"/>
        </w:rPr>
        <w:t>education of students with visual or hearing impairments. </w:t>
      </w:r>
      <w:r>
        <w:rPr>
          <w:b/>
          <w:sz w:val="24"/>
        </w:rPr>
        <w:t>3</w:t>
      </w:r>
    </w:p>
    <w:p>
      <w:pPr>
        <w:pStyle w:val="BodyText"/>
        <w:spacing w:before="210"/>
      </w:pPr>
      <w:r>
        <w:rPr/>
        <w:t>INSTRUCTIONS</w:t>
      </w:r>
      <w:r>
        <w:rPr>
          <w:spacing w:val="-3"/>
        </w:rPr>
        <w:t> </w:t>
      </w:r>
      <w:r>
        <w:rPr/>
        <w:t>TO</w:t>
      </w:r>
      <w:r>
        <w:rPr>
          <w:spacing w:val="-2"/>
        </w:rPr>
        <w:t> </w:t>
      </w:r>
      <w:r>
        <w:rPr>
          <w:spacing w:val="-4"/>
        </w:rPr>
        <w:t>STAFF</w:t>
      </w:r>
    </w:p>
    <w:p>
      <w:pPr>
        <w:pStyle w:val="ListParagraph"/>
        <w:numPr>
          <w:ilvl w:val="0"/>
          <w:numId w:val="326"/>
        </w:numPr>
        <w:tabs>
          <w:tab w:pos="1077" w:val="left" w:leader="none"/>
        </w:tabs>
        <w:spacing w:line="240" w:lineRule="auto" w:before="204" w:after="0"/>
        <w:ind w:left="1077" w:right="0" w:hanging="286"/>
        <w:jc w:val="left"/>
        <w:rPr>
          <w:sz w:val="24"/>
        </w:rPr>
      </w:pPr>
      <w:r>
        <w:rPr>
          <w:sz w:val="24"/>
        </w:rPr>
        <w:t>Link</w:t>
      </w:r>
      <w:r>
        <w:rPr>
          <w:spacing w:val="-3"/>
          <w:sz w:val="24"/>
        </w:rPr>
        <w:t> </w:t>
      </w:r>
      <w:r>
        <w:rPr>
          <w:sz w:val="24"/>
        </w:rPr>
        <w:t>to</w:t>
      </w:r>
      <w:r>
        <w:rPr>
          <w:spacing w:val="-3"/>
          <w:sz w:val="24"/>
        </w:rPr>
        <w:t> </w:t>
      </w:r>
      <w:hyperlink r:id="rId86">
        <w:r>
          <w:rPr>
            <w:color w:val="0000FF"/>
            <w:sz w:val="24"/>
            <w:u w:val="single" w:color="0000FF"/>
          </w:rPr>
          <w:t>70-13-112.1</w:t>
        </w:r>
      </w:hyperlink>
      <w:r>
        <w:rPr>
          <w:color w:val="0000FF"/>
          <w:spacing w:val="60"/>
          <w:sz w:val="24"/>
          <w:u w:val="none"/>
        </w:rPr>
        <w:t> </w:t>
      </w:r>
      <w:r>
        <w:rPr>
          <w:sz w:val="24"/>
          <w:u w:val="none"/>
        </w:rPr>
        <w:t>(SB-1119,</w:t>
      </w:r>
      <w:r>
        <w:rPr>
          <w:spacing w:val="-2"/>
          <w:sz w:val="24"/>
          <w:u w:val="none"/>
        </w:rPr>
        <w:t> </w:t>
      </w:r>
      <w:r>
        <w:rPr>
          <w:sz w:val="24"/>
          <w:u w:val="none"/>
        </w:rPr>
        <w:t>enacted</w:t>
      </w:r>
      <w:r>
        <w:rPr>
          <w:spacing w:val="-3"/>
          <w:sz w:val="24"/>
          <w:u w:val="none"/>
        </w:rPr>
        <w:t> </w:t>
      </w:r>
      <w:r>
        <w:rPr>
          <w:sz w:val="24"/>
          <w:u w:val="none"/>
        </w:rPr>
        <w:t>in</w:t>
      </w:r>
      <w:r>
        <w:rPr>
          <w:spacing w:val="-3"/>
          <w:sz w:val="24"/>
          <w:u w:val="none"/>
        </w:rPr>
        <w:t> </w:t>
      </w:r>
      <w:r>
        <w:rPr>
          <w:spacing w:val="-2"/>
          <w:sz w:val="24"/>
          <w:u w:val="none"/>
        </w:rPr>
        <w:t>2012.)</w:t>
      </w:r>
    </w:p>
    <w:p>
      <w:pPr>
        <w:pStyle w:val="ListParagraph"/>
        <w:numPr>
          <w:ilvl w:val="0"/>
          <w:numId w:val="326"/>
        </w:numPr>
        <w:tabs>
          <w:tab w:pos="1077" w:val="left" w:leader="none"/>
        </w:tabs>
        <w:spacing w:line="208" w:lineRule="auto" w:before="233" w:after="0"/>
        <w:ind w:left="791" w:right="780" w:firstLine="0"/>
        <w:jc w:val="left"/>
        <w:rPr>
          <w:sz w:val="24"/>
        </w:rPr>
      </w:pPr>
      <w:r>
        <w:rPr>
          <w:sz w:val="24"/>
        </w:rPr>
        <w:t>In</w:t>
      </w:r>
      <w:r>
        <w:rPr>
          <w:spacing w:val="-4"/>
          <w:sz w:val="24"/>
        </w:rPr>
        <w:t> </w:t>
      </w:r>
      <w:r>
        <w:rPr>
          <w:sz w:val="24"/>
        </w:rPr>
        <w:t>addition</w:t>
      </w:r>
      <w:r>
        <w:rPr>
          <w:spacing w:val="-4"/>
          <w:sz w:val="24"/>
        </w:rPr>
        <w:t> </w:t>
      </w:r>
      <w:r>
        <w:rPr>
          <w:sz w:val="24"/>
        </w:rPr>
        <w:t>to</w:t>
      </w:r>
      <w:r>
        <w:rPr>
          <w:spacing w:val="-4"/>
          <w:sz w:val="24"/>
        </w:rPr>
        <w:t> </w:t>
      </w:r>
      <w:r>
        <w:rPr>
          <w:sz w:val="24"/>
        </w:rPr>
        <w:t>printed</w:t>
      </w:r>
      <w:r>
        <w:rPr>
          <w:spacing w:val="-5"/>
          <w:sz w:val="24"/>
        </w:rPr>
        <w:t> </w:t>
      </w:r>
      <w:r>
        <w:rPr>
          <w:sz w:val="24"/>
        </w:rPr>
        <w:t>OSB</w:t>
      </w:r>
      <w:r>
        <w:rPr>
          <w:spacing w:val="-4"/>
          <w:sz w:val="24"/>
        </w:rPr>
        <w:t> </w:t>
      </w:r>
      <w:r>
        <w:rPr>
          <w:sz w:val="24"/>
        </w:rPr>
        <w:t>and</w:t>
      </w:r>
      <w:r>
        <w:rPr>
          <w:spacing w:val="-4"/>
          <w:sz w:val="24"/>
        </w:rPr>
        <w:t> </w:t>
      </w:r>
      <w:r>
        <w:rPr>
          <w:sz w:val="24"/>
        </w:rPr>
        <w:t>OSD</w:t>
      </w:r>
      <w:r>
        <w:rPr>
          <w:spacing w:val="-4"/>
          <w:sz w:val="24"/>
        </w:rPr>
        <w:t> </w:t>
      </w:r>
      <w:r>
        <w:rPr>
          <w:sz w:val="24"/>
        </w:rPr>
        <w:t>program</w:t>
      </w:r>
      <w:r>
        <w:rPr>
          <w:spacing w:val="-3"/>
          <w:sz w:val="24"/>
        </w:rPr>
        <w:t> </w:t>
      </w:r>
      <w:r>
        <w:rPr>
          <w:sz w:val="24"/>
        </w:rPr>
        <w:t>information,</w:t>
      </w:r>
      <w:r>
        <w:rPr>
          <w:spacing w:val="-3"/>
          <w:sz w:val="24"/>
        </w:rPr>
        <w:t> </w:t>
      </w:r>
      <w:r>
        <w:rPr>
          <w:sz w:val="24"/>
        </w:rPr>
        <w:t>content</w:t>
      </w:r>
      <w:r>
        <w:rPr>
          <w:spacing w:val="-3"/>
          <w:sz w:val="24"/>
        </w:rPr>
        <w:t> </w:t>
      </w:r>
      <w:r>
        <w:rPr>
          <w:sz w:val="24"/>
        </w:rPr>
        <w:t>may</w:t>
      </w:r>
      <w:r>
        <w:rPr>
          <w:spacing w:val="-4"/>
          <w:sz w:val="24"/>
        </w:rPr>
        <w:t> </w:t>
      </w:r>
      <w:r>
        <w:rPr>
          <w:sz w:val="24"/>
        </w:rPr>
        <w:t>be</w:t>
      </w:r>
      <w:r>
        <w:rPr>
          <w:spacing w:val="-4"/>
          <w:sz w:val="24"/>
        </w:rPr>
        <w:t> </w:t>
      </w:r>
      <w:r>
        <w:rPr>
          <w:sz w:val="24"/>
        </w:rPr>
        <w:t>posted to the school websites and presented in Braille, large print, electronic file, audio, signed video or other formats.</w:t>
      </w:r>
    </w:p>
    <w:p>
      <w:pPr>
        <w:pStyle w:val="ListParagraph"/>
        <w:numPr>
          <w:ilvl w:val="0"/>
          <w:numId w:val="326"/>
        </w:numPr>
        <w:tabs>
          <w:tab w:pos="1124" w:val="left" w:leader="none"/>
        </w:tabs>
        <w:spacing w:line="240" w:lineRule="auto" w:before="211" w:after="0"/>
        <w:ind w:left="1124" w:right="0" w:hanging="333"/>
        <w:jc w:val="left"/>
        <w:rPr>
          <w:sz w:val="24"/>
        </w:rPr>
      </w:pPr>
      <w:r>
        <w:rPr>
          <w:sz w:val="24"/>
        </w:rPr>
        <w:t>70</w:t>
      </w:r>
      <w:r>
        <w:rPr>
          <w:spacing w:val="-5"/>
          <w:sz w:val="24"/>
        </w:rPr>
        <w:t> </w:t>
      </w:r>
      <w:r>
        <w:rPr>
          <w:sz w:val="24"/>
        </w:rPr>
        <w:t>O.S.</w:t>
      </w:r>
      <w:r>
        <w:rPr>
          <w:spacing w:val="-3"/>
          <w:sz w:val="24"/>
        </w:rPr>
        <w:t> </w:t>
      </w:r>
      <w:r>
        <w:rPr>
          <w:sz w:val="24"/>
        </w:rPr>
        <w:t>1722(2)</w:t>
      </w:r>
      <w:r>
        <w:rPr>
          <w:spacing w:val="-1"/>
          <w:sz w:val="24"/>
        </w:rPr>
        <w:t> </w:t>
      </w:r>
      <w:r>
        <w:rPr>
          <w:sz w:val="24"/>
        </w:rPr>
        <w:t>and</w:t>
      </w:r>
      <w:r>
        <w:rPr>
          <w:spacing w:val="-2"/>
          <w:sz w:val="24"/>
        </w:rPr>
        <w:t> </w:t>
      </w:r>
      <w:r>
        <w:rPr>
          <w:sz w:val="24"/>
        </w:rPr>
        <w:t>70</w:t>
      </w:r>
      <w:r>
        <w:rPr>
          <w:spacing w:val="-2"/>
          <w:sz w:val="24"/>
        </w:rPr>
        <w:t> </w:t>
      </w:r>
      <w:r>
        <w:rPr>
          <w:sz w:val="24"/>
        </w:rPr>
        <w:t>O.S.</w:t>
      </w:r>
      <w:r>
        <w:rPr>
          <w:spacing w:val="-2"/>
          <w:sz w:val="24"/>
        </w:rPr>
        <w:t> 1734(2)</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360" w:right="0" w:firstLine="0"/>
        <w:jc w:val="left"/>
        <w:rPr>
          <w:sz w:val="22"/>
        </w:rPr>
      </w:pPr>
      <w:r>
        <w:rPr>
          <w:spacing w:val="-2"/>
          <w:sz w:val="22"/>
        </w:rPr>
        <w:t>7-1-</w:t>
      </w:r>
      <w:r>
        <w:rPr>
          <w:spacing w:val="-5"/>
          <w:sz w:val="22"/>
        </w:rPr>
        <w:t>13</w:t>
      </w:r>
      <w:r>
        <w:rPr>
          <w:sz w:val="22"/>
        </w:rPr>
        <w:tab/>
        <w:t>Permanent,</w:t>
      </w:r>
      <w:r>
        <w:rPr>
          <w:spacing w:val="-8"/>
          <w:sz w:val="22"/>
        </w:rPr>
        <w:t> </w:t>
      </w:r>
      <w:r>
        <w:rPr>
          <w:sz w:val="22"/>
        </w:rPr>
        <w:t>new</w:t>
      </w:r>
      <w:r>
        <w:rPr>
          <w:spacing w:val="-10"/>
          <w:sz w:val="22"/>
        </w:rPr>
        <w:t> </w:t>
      </w:r>
      <w:r>
        <w:rPr>
          <w:spacing w:val="-2"/>
          <w:sz w:val="22"/>
        </w:rPr>
        <w:t>section</w:t>
      </w:r>
    </w:p>
    <w:p>
      <w:pPr>
        <w:spacing w:after="0"/>
        <w:jc w:val="left"/>
        <w:rPr>
          <w:sz w:val="22"/>
        </w:rPr>
        <w:sectPr>
          <w:pgSz w:w="12240" w:h="15840"/>
          <w:pgMar w:top="1340" w:bottom="280" w:left="1080" w:right="720"/>
        </w:sectPr>
      </w:pPr>
    </w:p>
    <w:p>
      <w:pPr>
        <w:pStyle w:val="Heading1"/>
        <w:ind w:right="780"/>
      </w:pPr>
      <w:bookmarkStart w:name="SUBCHAPTER 2. CONTRACTED INSTRUCTIONAL P" w:id="319"/>
      <w:bookmarkEnd w:id="319"/>
      <w:r>
        <w:rPr>
          <w:b w:val="0"/>
        </w:rPr>
      </w:r>
      <w:r>
        <w:rPr/>
        <w:t>SUBCHAPTER</w:t>
      </w:r>
      <w:r>
        <w:rPr>
          <w:spacing w:val="-6"/>
        </w:rPr>
        <w:t> </w:t>
      </w:r>
      <w:r>
        <w:rPr/>
        <w:t>2.</w:t>
      </w:r>
      <w:r>
        <w:rPr>
          <w:spacing w:val="-3"/>
        </w:rPr>
        <w:t> </w:t>
      </w:r>
      <w:r>
        <w:rPr/>
        <w:t>CONTRACTED</w:t>
      </w:r>
      <w:r>
        <w:rPr>
          <w:spacing w:val="-3"/>
        </w:rPr>
        <w:t> </w:t>
      </w:r>
      <w:r>
        <w:rPr/>
        <w:t>INSTRUCTIONAL</w:t>
      </w:r>
      <w:r>
        <w:rPr>
          <w:spacing w:val="-6"/>
        </w:rPr>
        <w:t> </w:t>
      </w:r>
      <w:r>
        <w:rPr>
          <w:spacing w:val="-2"/>
        </w:rPr>
        <w:t>PERSONNEL</w:t>
      </w:r>
    </w:p>
    <w:p>
      <w:pPr>
        <w:pStyle w:val="BodyText"/>
        <w:spacing w:before="204"/>
        <w:ind w:left="359"/>
      </w:pPr>
      <w:r>
        <w:rPr>
          <w:spacing w:val="-2"/>
        </w:rPr>
        <w:t>Section</w:t>
      </w:r>
    </w:p>
    <w:p>
      <w:pPr>
        <w:pStyle w:val="BodyText"/>
        <w:tabs>
          <w:tab w:pos="2519" w:val="left" w:leader="none"/>
        </w:tabs>
        <w:spacing w:before="204"/>
        <w:ind w:left="359"/>
      </w:pPr>
      <w:r>
        <w:rPr>
          <w:spacing w:val="-2"/>
        </w:rPr>
        <w:t>612:20-2-</w:t>
      </w:r>
      <w:r>
        <w:rPr>
          <w:spacing w:val="-5"/>
        </w:rPr>
        <w:t>1.</w:t>
      </w:r>
      <w:r>
        <w:rPr/>
        <w:tab/>
      </w:r>
      <w:r>
        <w:rPr>
          <w:spacing w:val="-2"/>
        </w:rPr>
        <w:t>Purpose</w:t>
      </w:r>
    </w:p>
    <w:p>
      <w:pPr>
        <w:pStyle w:val="BodyText"/>
        <w:tabs>
          <w:tab w:pos="2519" w:val="left" w:leader="none"/>
        </w:tabs>
        <w:spacing w:before="204"/>
        <w:ind w:left="359"/>
      </w:pPr>
      <w:r>
        <w:rPr>
          <w:spacing w:val="-2"/>
        </w:rPr>
        <w:t>612:20-2-</w:t>
      </w:r>
      <w:r>
        <w:rPr>
          <w:spacing w:val="-5"/>
        </w:rPr>
        <w:t>2.</w:t>
      </w:r>
      <w:r>
        <w:rPr/>
        <w:tab/>
      </w:r>
      <w:r>
        <w:rPr>
          <w:spacing w:val="-2"/>
        </w:rPr>
        <w:t>Definitions</w:t>
      </w:r>
    </w:p>
    <w:p>
      <w:pPr>
        <w:pStyle w:val="BodyText"/>
        <w:tabs>
          <w:tab w:pos="2519" w:val="left" w:leader="none"/>
        </w:tabs>
        <w:spacing w:line="417" w:lineRule="auto" w:before="204"/>
        <w:ind w:left="359" w:right="5143"/>
      </w:pPr>
      <w:r>
        <w:rPr>
          <w:spacing w:val="-2"/>
        </w:rPr>
        <w:t>612:20-2-3.</w:t>
      </w:r>
      <w:r>
        <w:rPr/>
        <w:tab/>
        <w:t>Support employees </w:t>
      </w:r>
      <w:r>
        <w:rPr>
          <w:spacing w:val="-2"/>
        </w:rPr>
        <w:t>612:20-2-4.</w:t>
      </w:r>
      <w:r>
        <w:rPr/>
        <w:tab/>
        <w:t>Recruitment</w:t>
      </w:r>
      <w:r>
        <w:rPr>
          <w:spacing w:val="-17"/>
        </w:rPr>
        <w:t> </w:t>
      </w:r>
      <w:r>
        <w:rPr/>
        <w:t>and</w:t>
      </w:r>
      <w:r>
        <w:rPr>
          <w:spacing w:val="-17"/>
        </w:rPr>
        <w:t> </w:t>
      </w:r>
      <w:r>
        <w:rPr/>
        <w:t>selection</w:t>
      </w:r>
    </w:p>
    <w:p>
      <w:pPr>
        <w:pStyle w:val="BodyText"/>
        <w:tabs>
          <w:tab w:pos="2519" w:val="left" w:leader="none"/>
        </w:tabs>
        <w:spacing w:line="276" w:lineRule="exact" w:before="0"/>
        <w:ind w:left="359"/>
      </w:pPr>
      <w:r>
        <w:rPr>
          <w:spacing w:val="-2"/>
        </w:rPr>
        <w:t>612:20-2-</w:t>
      </w:r>
      <w:r>
        <w:rPr>
          <w:spacing w:val="-5"/>
        </w:rPr>
        <w:t>5.</w:t>
      </w:r>
      <w:r>
        <w:rPr/>
        <w:tab/>
        <w:t>Contracted</w:t>
      </w:r>
      <w:r>
        <w:rPr>
          <w:spacing w:val="-6"/>
        </w:rPr>
        <w:t> </w:t>
      </w:r>
      <w:r>
        <w:rPr/>
        <w:t>instructional</w:t>
      </w:r>
      <w:r>
        <w:rPr>
          <w:spacing w:val="-6"/>
        </w:rPr>
        <w:t> </w:t>
      </w:r>
      <w:r>
        <w:rPr>
          <w:spacing w:val="-2"/>
        </w:rPr>
        <w:t>personnel</w:t>
      </w:r>
    </w:p>
    <w:p>
      <w:pPr>
        <w:pStyle w:val="BodyText"/>
        <w:tabs>
          <w:tab w:pos="2519" w:val="left" w:leader="none"/>
        </w:tabs>
        <w:spacing w:line="417" w:lineRule="auto" w:before="204"/>
        <w:ind w:right="3315"/>
      </w:pPr>
      <w:r>
        <w:rPr>
          <w:spacing w:val="-2"/>
        </w:rPr>
        <w:t>612:20-2-6.</w:t>
      </w:r>
      <w:r>
        <w:rPr/>
        <w:tab/>
        <w:t>Duties</w:t>
      </w:r>
      <w:r>
        <w:rPr>
          <w:spacing w:val="-10"/>
        </w:rPr>
        <w:t> </w:t>
      </w:r>
      <w:r>
        <w:rPr/>
        <w:t>of</w:t>
      </w:r>
      <w:r>
        <w:rPr>
          <w:spacing w:val="-9"/>
        </w:rPr>
        <w:t> </w:t>
      </w:r>
      <w:r>
        <w:rPr/>
        <w:t>contracted</w:t>
      </w:r>
      <w:r>
        <w:rPr>
          <w:spacing w:val="-10"/>
        </w:rPr>
        <w:t> </w:t>
      </w:r>
      <w:r>
        <w:rPr/>
        <w:t>instructional</w:t>
      </w:r>
      <w:r>
        <w:rPr>
          <w:spacing w:val="-9"/>
        </w:rPr>
        <w:t> </w:t>
      </w:r>
      <w:r>
        <w:rPr/>
        <w:t>personnel </w:t>
      </w:r>
      <w:r>
        <w:rPr>
          <w:spacing w:val="-2"/>
        </w:rPr>
        <w:t>612:20-2-7.</w:t>
      </w:r>
      <w:r>
        <w:rPr/>
        <w:tab/>
        <w:t>Employee benefits</w:t>
      </w:r>
    </w:p>
    <w:p>
      <w:pPr>
        <w:pStyle w:val="BodyText"/>
        <w:tabs>
          <w:tab w:pos="2519" w:val="left" w:leader="none"/>
        </w:tabs>
        <w:spacing w:line="417" w:lineRule="auto" w:before="0"/>
        <w:ind w:left="359" w:right="2435"/>
      </w:pPr>
      <w:r>
        <w:rPr>
          <w:spacing w:val="-2"/>
        </w:rPr>
        <w:t>612:20-2-8.</w:t>
      </w:r>
      <w:r>
        <w:rPr/>
        <w:tab/>
        <w:t>Standards</w:t>
      </w:r>
      <w:r>
        <w:rPr>
          <w:spacing w:val="-7"/>
        </w:rPr>
        <w:t> </w:t>
      </w:r>
      <w:r>
        <w:rPr/>
        <w:t>of</w:t>
      </w:r>
      <w:r>
        <w:rPr>
          <w:spacing w:val="-6"/>
        </w:rPr>
        <w:t> </w:t>
      </w:r>
      <w:r>
        <w:rPr/>
        <w:t>conduct</w:t>
      </w:r>
      <w:r>
        <w:rPr>
          <w:spacing w:val="-7"/>
        </w:rPr>
        <w:t> </w:t>
      </w:r>
      <w:r>
        <w:rPr/>
        <w:t>and</w:t>
      </w:r>
      <w:r>
        <w:rPr>
          <w:spacing w:val="-7"/>
        </w:rPr>
        <w:t> </w:t>
      </w:r>
      <w:r>
        <w:rPr/>
        <w:t>performance</w:t>
      </w:r>
      <w:r>
        <w:rPr>
          <w:spacing w:val="-7"/>
        </w:rPr>
        <w:t> </w:t>
      </w:r>
      <w:r>
        <w:rPr/>
        <w:t>for</w:t>
      </w:r>
      <w:r>
        <w:rPr>
          <w:spacing w:val="-7"/>
        </w:rPr>
        <w:t> </w:t>
      </w:r>
      <w:r>
        <w:rPr/>
        <w:t>teachers </w:t>
      </w:r>
      <w:r>
        <w:rPr>
          <w:spacing w:val="-2"/>
        </w:rPr>
        <w:t>612:20-2-9.</w:t>
      </w:r>
      <w:r>
        <w:rPr/>
        <w:tab/>
        <w:t>Staff development [RESERVED]</w:t>
      </w:r>
    </w:p>
    <w:p>
      <w:pPr>
        <w:pStyle w:val="BodyText"/>
        <w:tabs>
          <w:tab w:pos="2519" w:val="left" w:leader="none"/>
        </w:tabs>
        <w:spacing w:line="417" w:lineRule="auto" w:before="0"/>
        <w:ind w:right="3863"/>
      </w:pPr>
      <w:r>
        <w:rPr>
          <w:spacing w:val="-2"/>
        </w:rPr>
        <w:t>612:20-2-10.</w:t>
      </w:r>
      <w:r>
        <w:rPr/>
        <w:tab/>
        <w:t>Performance</w:t>
      </w:r>
      <w:r>
        <w:rPr>
          <w:spacing w:val="-17"/>
        </w:rPr>
        <w:t> </w:t>
      </w:r>
      <w:r>
        <w:rPr/>
        <w:t>evaluation</w:t>
      </w:r>
      <w:r>
        <w:rPr>
          <w:spacing w:val="-17"/>
        </w:rPr>
        <w:t> </w:t>
      </w:r>
      <w:r>
        <w:rPr/>
        <w:t>[RESERVED] </w:t>
      </w:r>
      <w:r>
        <w:rPr>
          <w:spacing w:val="-2"/>
        </w:rPr>
        <w:t>612:20-2-11.</w:t>
      </w:r>
      <w:r>
        <w:rPr/>
        <w:tab/>
      </w:r>
      <w:r>
        <w:rPr>
          <w:spacing w:val="-2"/>
        </w:rPr>
        <w:t>Admonishment</w:t>
      </w:r>
    </w:p>
    <w:p>
      <w:pPr>
        <w:pStyle w:val="BodyText"/>
        <w:tabs>
          <w:tab w:pos="2519" w:val="left" w:leader="none"/>
        </w:tabs>
        <w:spacing w:line="417" w:lineRule="auto" w:before="0"/>
        <w:ind w:left="359" w:right="3957"/>
      </w:pPr>
      <w:r>
        <w:rPr>
          <w:spacing w:val="-2"/>
        </w:rPr>
        <w:t>612:20-2-12.</w:t>
      </w:r>
      <w:r>
        <w:rPr/>
        <w:tab/>
        <w:t>Dismissal or non-renewal of contract </w:t>
      </w:r>
      <w:r>
        <w:rPr>
          <w:spacing w:val="-2"/>
        </w:rPr>
        <w:t>612:20-2-13.</w:t>
      </w:r>
      <w:r>
        <w:rPr/>
        <w:tab/>
        <w:t>Dismissal/Nonreemployment</w:t>
      </w:r>
      <w:r>
        <w:rPr>
          <w:spacing w:val="-17"/>
        </w:rPr>
        <w:t> </w:t>
      </w:r>
      <w:r>
        <w:rPr/>
        <w:t>Hearing </w:t>
      </w:r>
      <w:r>
        <w:rPr>
          <w:spacing w:val="-2"/>
        </w:rPr>
        <w:t>612:20-2-14.</w:t>
      </w:r>
      <w:r>
        <w:rPr/>
        <w:tab/>
        <w:t>Immediate suspension of a teacher</w:t>
      </w:r>
    </w:p>
    <w:p>
      <w:pPr>
        <w:pStyle w:val="BodyText"/>
        <w:tabs>
          <w:tab w:pos="2519" w:val="left" w:leader="none"/>
        </w:tabs>
        <w:spacing w:line="208" w:lineRule="auto" w:before="27"/>
        <w:ind w:left="2519" w:right="729" w:hanging="2160"/>
      </w:pPr>
      <w:r>
        <w:rPr>
          <w:spacing w:val="-2"/>
        </w:rPr>
        <w:t>612:20-2-15.</w:t>
      </w:r>
      <w:r>
        <w:rPr/>
        <w:tab/>
        <w:t>Full-time</w:t>
      </w:r>
      <w:r>
        <w:rPr>
          <w:spacing w:val="-6"/>
        </w:rPr>
        <w:t> </w:t>
      </w:r>
      <w:r>
        <w:rPr/>
        <w:t>administrators;</w:t>
      </w:r>
      <w:r>
        <w:rPr>
          <w:spacing w:val="-5"/>
        </w:rPr>
        <w:t> </w:t>
      </w:r>
      <w:r>
        <w:rPr/>
        <w:t>conviction</w:t>
      </w:r>
      <w:r>
        <w:rPr>
          <w:spacing w:val="-6"/>
        </w:rPr>
        <w:t> </w:t>
      </w:r>
      <w:r>
        <w:rPr/>
        <w:t>of</w:t>
      </w:r>
      <w:r>
        <w:rPr>
          <w:spacing w:val="-5"/>
        </w:rPr>
        <w:t> </w:t>
      </w:r>
      <w:r>
        <w:rPr/>
        <w:t>felony;</w:t>
      </w:r>
      <w:r>
        <w:rPr>
          <w:spacing w:val="-5"/>
        </w:rPr>
        <w:t> </w:t>
      </w:r>
      <w:r>
        <w:rPr/>
        <w:t>criminal</w:t>
      </w:r>
      <w:r>
        <w:rPr>
          <w:spacing w:val="-6"/>
        </w:rPr>
        <w:t> </w:t>
      </w:r>
      <w:r>
        <w:rPr/>
        <w:t>sexual</w:t>
      </w:r>
      <w:r>
        <w:rPr>
          <w:spacing w:val="-6"/>
        </w:rPr>
        <w:t> </w:t>
      </w:r>
      <w:r>
        <w:rPr/>
        <w:t>activity or sexual misconduct</w:t>
      </w:r>
    </w:p>
    <w:p>
      <w:pPr>
        <w:pStyle w:val="BodyText"/>
        <w:tabs>
          <w:tab w:pos="2519" w:val="left" w:leader="none"/>
        </w:tabs>
        <w:spacing w:before="211"/>
        <w:ind w:left="359"/>
      </w:pPr>
      <w:r>
        <w:rPr>
          <w:spacing w:val="-2"/>
        </w:rPr>
        <w:t>612:20-2-</w:t>
      </w:r>
      <w:r>
        <w:rPr>
          <w:spacing w:val="-5"/>
        </w:rPr>
        <w:t>16.</w:t>
      </w:r>
      <w:r>
        <w:rPr/>
        <w:tab/>
        <w:t>Administrators;</w:t>
      </w:r>
      <w:r>
        <w:rPr>
          <w:spacing w:val="-6"/>
        </w:rPr>
        <w:t> </w:t>
      </w:r>
      <w:r>
        <w:rPr>
          <w:spacing w:val="-2"/>
        </w:rPr>
        <w:t>suspension</w:t>
      </w:r>
    </w:p>
    <w:p>
      <w:pPr>
        <w:pStyle w:val="BodyText"/>
        <w:tabs>
          <w:tab w:pos="2519" w:val="left" w:leader="none"/>
        </w:tabs>
        <w:spacing w:line="417" w:lineRule="auto" w:before="204"/>
        <w:ind w:left="359" w:right="876"/>
      </w:pPr>
      <w:r>
        <w:rPr>
          <w:spacing w:val="-2"/>
        </w:rPr>
        <w:t>612:20-2-17.</w:t>
      </w:r>
      <w:r>
        <w:rPr/>
        <w:tab/>
        <w:t>Full-time</w:t>
      </w:r>
      <w:r>
        <w:rPr>
          <w:spacing w:val="-7"/>
        </w:rPr>
        <w:t> </w:t>
      </w:r>
      <w:r>
        <w:rPr/>
        <w:t>administrators;</w:t>
      </w:r>
      <w:r>
        <w:rPr>
          <w:spacing w:val="-6"/>
        </w:rPr>
        <w:t> </w:t>
      </w:r>
      <w:r>
        <w:rPr/>
        <w:t>Appeal</w:t>
      </w:r>
      <w:r>
        <w:rPr>
          <w:spacing w:val="-7"/>
        </w:rPr>
        <w:t> </w:t>
      </w:r>
      <w:r>
        <w:rPr/>
        <w:t>of</w:t>
      </w:r>
      <w:r>
        <w:rPr>
          <w:spacing w:val="-6"/>
        </w:rPr>
        <w:t> </w:t>
      </w:r>
      <w:r>
        <w:rPr/>
        <w:t>dismissal</w:t>
      </w:r>
      <w:r>
        <w:rPr>
          <w:spacing w:val="-7"/>
        </w:rPr>
        <w:t> </w:t>
      </w:r>
      <w:r>
        <w:rPr/>
        <w:t>or</w:t>
      </w:r>
      <w:r>
        <w:rPr>
          <w:spacing w:val="-6"/>
        </w:rPr>
        <w:t> </w:t>
      </w:r>
      <w:r>
        <w:rPr/>
        <w:t>non-reemployment </w:t>
      </w:r>
      <w:r>
        <w:rPr>
          <w:spacing w:val="-2"/>
        </w:rPr>
        <w:t>612:20-2-31.</w:t>
      </w:r>
      <w:r>
        <w:rPr/>
        <w:tab/>
        <w:t>Reduction in Force for Contracted Instructional Personnel</w:t>
      </w:r>
    </w:p>
    <w:p>
      <w:pPr>
        <w:spacing w:before="32"/>
        <w:ind w:left="360" w:right="0" w:firstLine="0"/>
        <w:jc w:val="left"/>
        <w:rPr>
          <w:sz w:val="22"/>
        </w:rPr>
      </w:pPr>
      <w:r>
        <w:rPr>
          <w:sz w:val="22"/>
        </w:rPr>
        <w:t>Section</w:t>
      </w:r>
      <w:r>
        <w:rPr>
          <w:spacing w:val="-9"/>
          <w:sz w:val="22"/>
        </w:rPr>
        <w:t> </w:t>
      </w:r>
      <w:r>
        <w:rPr>
          <w:spacing w:val="-2"/>
          <w:sz w:val="22"/>
        </w:rPr>
        <w:t>History</w:t>
      </w:r>
    </w:p>
    <w:p>
      <w:pPr>
        <w:spacing w:line="253" w:lineRule="exact" w:before="1"/>
        <w:ind w:left="360" w:right="0" w:firstLine="0"/>
        <w:jc w:val="left"/>
        <w:rPr>
          <w:sz w:val="22"/>
        </w:rPr>
      </w:pPr>
      <w:r>
        <w:rPr>
          <w:sz w:val="22"/>
        </w:rPr>
        <w:t>10-12-95</w:t>
      </w:r>
      <w:r>
        <w:rPr>
          <w:spacing w:val="30"/>
          <w:sz w:val="22"/>
        </w:rPr>
        <w:t>  </w:t>
      </w:r>
      <w:r>
        <w:rPr>
          <w:sz w:val="22"/>
        </w:rPr>
        <w:t>PT</w:t>
      </w:r>
      <w:r>
        <w:rPr>
          <w:spacing w:val="-3"/>
          <w:sz w:val="22"/>
        </w:rPr>
        <w:t> </w:t>
      </w:r>
      <w:r>
        <w:rPr>
          <w:sz w:val="22"/>
        </w:rPr>
        <w:t>Memo</w:t>
      </w:r>
      <w:r>
        <w:rPr>
          <w:spacing w:val="-5"/>
          <w:sz w:val="22"/>
        </w:rPr>
        <w:t> </w:t>
      </w:r>
      <w:r>
        <w:rPr>
          <w:sz w:val="22"/>
        </w:rPr>
        <w:t>#95-</w:t>
      </w:r>
      <w:r>
        <w:rPr>
          <w:spacing w:val="-10"/>
          <w:sz w:val="22"/>
        </w:rPr>
        <w:t>3</w:t>
      </w:r>
    </w:p>
    <w:p>
      <w:pPr>
        <w:tabs>
          <w:tab w:pos="1439" w:val="left" w:leader="none"/>
        </w:tabs>
        <w:spacing w:before="0"/>
        <w:ind w:left="359" w:right="6173" w:firstLine="1080"/>
        <w:jc w:val="left"/>
        <w:rPr>
          <w:sz w:val="22"/>
        </w:rPr>
      </w:pPr>
      <w:r>
        <w:rPr>
          <w:sz w:val="22"/>
        </w:rPr>
        <w:t>Emergency,</w:t>
      </w:r>
      <w:r>
        <w:rPr>
          <w:spacing w:val="-16"/>
          <w:sz w:val="22"/>
        </w:rPr>
        <w:t> </w:t>
      </w:r>
      <w:r>
        <w:rPr>
          <w:sz w:val="22"/>
        </w:rPr>
        <w:t>new</w:t>
      </w:r>
      <w:r>
        <w:rPr>
          <w:spacing w:val="-15"/>
          <w:sz w:val="22"/>
        </w:rPr>
        <w:t> </w:t>
      </w:r>
      <w:r>
        <w:rPr>
          <w:sz w:val="22"/>
        </w:rPr>
        <w:t>Subchapter </w:t>
      </w:r>
      <w:r>
        <w:rPr>
          <w:spacing w:val="-2"/>
          <w:sz w:val="22"/>
        </w:rPr>
        <w:t>8-1-96</w:t>
      </w:r>
      <w:r>
        <w:rPr>
          <w:sz w:val="22"/>
        </w:rPr>
        <w:tab/>
        <w:t>PT Memo #97-2</w:t>
      </w:r>
    </w:p>
    <w:p>
      <w:pPr>
        <w:tabs>
          <w:tab w:pos="1439" w:val="left" w:leader="none"/>
        </w:tabs>
        <w:spacing w:before="0"/>
        <w:ind w:left="359" w:right="2945" w:firstLine="1080"/>
        <w:jc w:val="left"/>
        <w:rPr>
          <w:sz w:val="22"/>
        </w:rPr>
      </w:pPr>
      <w:r>
        <w:rPr>
          <w:sz w:val="22"/>
        </w:rPr>
        <w:t>Permanent</w:t>
      </w:r>
      <w:r>
        <w:rPr>
          <w:spacing w:val="-7"/>
          <w:sz w:val="22"/>
        </w:rPr>
        <w:t> </w:t>
      </w:r>
      <w:r>
        <w:rPr>
          <w:sz w:val="22"/>
        </w:rPr>
        <w:t>rules</w:t>
      </w:r>
      <w:r>
        <w:rPr>
          <w:spacing w:val="-7"/>
          <w:sz w:val="22"/>
        </w:rPr>
        <w:t> </w:t>
      </w:r>
      <w:r>
        <w:rPr>
          <w:sz w:val="22"/>
        </w:rPr>
        <w:t>supersede</w:t>
      </w:r>
      <w:r>
        <w:rPr>
          <w:spacing w:val="-7"/>
          <w:sz w:val="22"/>
        </w:rPr>
        <w:t> </w:t>
      </w:r>
      <w:r>
        <w:rPr>
          <w:sz w:val="22"/>
        </w:rPr>
        <w:t>Emergency</w:t>
      </w:r>
      <w:r>
        <w:rPr>
          <w:spacing w:val="-7"/>
          <w:sz w:val="22"/>
        </w:rPr>
        <w:t> </w:t>
      </w:r>
      <w:r>
        <w:rPr>
          <w:sz w:val="22"/>
        </w:rPr>
        <w:t>rules</w:t>
      </w:r>
      <w:r>
        <w:rPr>
          <w:spacing w:val="-7"/>
          <w:sz w:val="22"/>
        </w:rPr>
        <w:t> </w:t>
      </w:r>
      <w:r>
        <w:rPr>
          <w:sz w:val="22"/>
        </w:rPr>
        <w:t>issued</w:t>
      </w:r>
      <w:r>
        <w:rPr>
          <w:spacing w:val="-7"/>
          <w:sz w:val="22"/>
        </w:rPr>
        <w:t> </w:t>
      </w:r>
      <w:r>
        <w:rPr>
          <w:sz w:val="22"/>
        </w:rPr>
        <w:t>10-12-95 </w:t>
      </w:r>
      <w:r>
        <w:rPr>
          <w:spacing w:val="-2"/>
          <w:sz w:val="22"/>
        </w:rPr>
        <w:t>7-1-98</w:t>
      </w:r>
      <w:r>
        <w:rPr>
          <w:sz w:val="22"/>
        </w:rPr>
        <w:tab/>
        <w:t>PT Memo #98-15</w:t>
      </w:r>
    </w:p>
    <w:p>
      <w:pPr>
        <w:tabs>
          <w:tab w:pos="1439" w:val="left" w:leader="none"/>
        </w:tabs>
        <w:spacing w:before="0"/>
        <w:ind w:left="360" w:right="4803" w:firstLine="1080"/>
        <w:jc w:val="left"/>
        <w:rPr>
          <w:sz w:val="22"/>
        </w:rPr>
      </w:pPr>
      <w:r>
        <w:rPr>
          <w:sz w:val="22"/>
        </w:rPr>
        <w:t>Permanent,</w:t>
      </w:r>
      <w:r>
        <w:rPr>
          <w:spacing w:val="-9"/>
          <w:sz w:val="22"/>
        </w:rPr>
        <w:t> </w:t>
      </w:r>
      <w:r>
        <w:rPr>
          <w:sz w:val="22"/>
        </w:rPr>
        <w:t>added</w:t>
      </w:r>
      <w:r>
        <w:rPr>
          <w:spacing w:val="-10"/>
          <w:sz w:val="22"/>
        </w:rPr>
        <w:t> </w:t>
      </w:r>
      <w:r>
        <w:rPr>
          <w:sz w:val="22"/>
        </w:rPr>
        <w:t>new</w:t>
      </w:r>
      <w:r>
        <w:rPr>
          <w:spacing w:val="-11"/>
          <w:sz w:val="22"/>
        </w:rPr>
        <w:t> </w:t>
      </w:r>
      <w:r>
        <w:rPr>
          <w:sz w:val="22"/>
        </w:rPr>
        <w:t>Section</w:t>
      </w:r>
      <w:r>
        <w:rPr>
          <w:spacing w:val="-10"/>
          <w:sz w:val="22"/>
        </w:rPr>
        <w:t> </w:t>
      </w:r>
      <w:r>
        <w:rPr>
          <w:sz w:val="22"/>
        </w:rPr>
        <w:t>612:20-2-8 </w:t>
      </w:r>
      <w:r>
        <w:rPr>
          <w:spacing w:val="-2"/>
          <w:sz w:val="22"/>
        </w:rPr>
        <w:t>7-1-04</w:t>
      </w:r>
      <w:r>
        <w:rPr>
          <w:sz w:val="22"/>
        </w:rPr>
        <w:tab/>
        <w:t>PT Memo #05-01</w:t>
      </w:r>
    </w:p>
    <w:p>
      <w:pPr>
        <w:spacing w:line="252" w:lineRule="exact" w:before="0"/>
        <w:ind w:left="1439" w:right="0" w:firstLine="0"/>
        <w:jc w:val="left"/>
        <w:rPr>
          <w:sz w:val="22"/>
        </w:rPr>
      </w:pPr>
      <w:r>
        <w:rPr>
          <w:sz w:val="22"/>
        </w:rPr>
        <w:t>Permanent,</w:t>
      </w:r>
      <w:r>
        <w:rPr>
          <w:spacing w:val="-7"/>
          <w:sz w:val="22"/>
        </w:rPr>
        <w:t> </w:t>
      </w:r>
      <w:r>
        <w:rPr>
          <w:sz w:val="22"/>
        </w:rPr>
        <w:t>added</w:t>
      </w:r>
      <w:r>
        <w:rPr>
          <w:spacing w:val="-8"/>
          <w:sz w:val="22"/>
        </w:rPr>
        <w:t> </w:t>
      </w:r>
      <w:r>
        <w:rPr>
          <w:sz w:val="22"/>
        </w:rPr>
        <w:t>new</w:t>
      </w:r>
      <w:r>
        <w:rPr>
          <w:spacing w:val="-8"/>
          <w:sz w:val="22"/>
        </w:rPr>
        <w:t> </w:t>
      </w:r>
      <w:r>
        <w:rPr>
          <w:sz w:val="22"/>
        </w:rPr>
        <w:t>section</w:t>
      </w:r>
      <w:r>
        <w:rPr>
          <w:spacing w:val="-8"/>
          <w:sz w:val="22"/>
        </w:rPr>
        <w:t> </w:t>
      </w:r>
      <w:r>
        <w:rPr>
          <w:spacing w:val="-5"/>
          <w:sz w:val="22"/>
        </w:rPr>
        <w:t>31</w:t>
      </w:r>
    </w:p>
    <w:p>
      <w:pPr>
        <w:spacing w:after="0" w:line="252" w:lineRule="exact"/>
        <w:jc w:val="left"/>
        <w:rPr>
          <w:sz w:val="22"/>
        </w:rPr>
        <w:sectPr>
          <w:pgSz w:w="12240" w:h="15840"/>
          <w:pgMar w:top="1340" w:bottom="280" w:left="1080" w:right="720"/>
        </w:sectPr>
      </w:pPr>
    </w:p>
    <w:p>
      <w:pPr>
        <w:pStyle w:val="Heading2"/>
      </w:pPr>
      <w:bookmarkStart w:name="612:20-2-1.  Purpose" w:id="320"/>
      <w:bookmarkEnd w:id="320"/>
      <w:r>
        <w:rPr>
          <w:b w:val="0"/>
        </w:rPr>
      </w:r>
      <w:r>
        <w:rPr/>
        <w:t>612:20-2-1.</w:t>
      </w:r>
      <w:r>
        <w:rPr>
          <w:spacing w:val="58"/>
        </w:rPr>
        <w:t> </w:t>
      </w:r>
      <w:r>
        <w:rPr>
          <w:spacing w:val="-2"/>
        </w:rPr>
        <w:t>Purpose</w:t>
      </w:r>
    </w:p>
    <w:p>
      <w:pPr>
        <w:pStyle w:val="BodyText"/>
        <w:spacing w:line="208" w:lineRule="auto" w:before="233"/>
        <w:ind w:right="727" w:firstLine="432"/>
      </w:pPr>
      <w:r>
        <w:rPr/>
        <w:t>The</w:t>
      </w:r>
      <w:r>
        <w:rPr>
          <w:spacing w:val="-5"/>
        </w:rPr>
        <w:t> </w:t>
      </w:r>
      <w:r>
        <w:rPr/>
        <w:t>Department</w:t>
      </w:r>
      <w:r>
        <w:rPr>
          <w:spacing w:val="-4"/>
        </w:rPr>
        <w:t> </w:t>
      </w:r>
      <w:r>
        <w:rPr/>
        <w:t>of</w:t>
      </w:r>
      <w:r>
        <w:rPr>
          <w:spacing w:val="-4"/>
        </w:rPr>
        <w:t> </w:t>
      </w:r>
      <w:r>
        <w:rPr/>
        <w:t>Rehabilitation</w:t>
      </w:r>
      <w:r>
        <w:rPr>
          <w:spacing w:val="-4"/>
        </w:rPr>
        <w:t> </w:t>
      </w:r>
      <w:r>
        <w:rPr/>
        <w:t>Services</w:t>
      </w:r>
      <w:r>
        <w:rPr>
          <w:spacing w:val="-5"/>
        </w:rPr>
        <w:t> </w:t>
      </w:r>
      <w:r>
        <w:rPr/>
        <w:t>contracts</w:t>
      </w:r>
      <w:r>
        <w:rPr>
          <w:spacing w:val="-5"/>
        </w:rPr>
        <w:t> </w:t>
      </w:r>
      <w:r>
        <w:rPr/>
        <w:t>for</w:t>
      </w:r>
      <w:r>
        <w:rPr>
          <w:spacing w:val="-5"/>
        </w:rPr>
        <w:t> </w:t>
      </w:r>
      <w:r>
        <w:rPr/>
        <w:t>the</w:t>
      </w:r>
      <w:r>
        <w:rPr>
          <w:spacing w:val="-5"/>
        </w:rPr>
        <w:t> </w:t>
      </w:r>
      <w:r>
        <w:rPr/>
        <w:t>employment</w:t>
      </w:r>
      <w:r>
        <w:rPr>
          <w:spacing w:val="-4"/>
        </w:rPr>
        <w:t> </w:t>
      </w:r>
      <w:r>
        <w:rPr/>
        <w:t>of</w:t>
      </w:r>
      <w:r>
        <w:rPr>
          <w:spacing w:val="-5"/>
        </w:rPr>
        <w:t> </w:t>
      </w:r>
      <w:r>
        <w:rPr/>
        <w:t>teachers and other instructional personnel at the Oklahoma School for the Blind and the Oklahoma School for the Deaf. Contracted instructional personnel are considered to be employees of the Department but are not subject to the Oklahoma Personnel Act. The purpose of this Subchapter is to establish personnel policies for contracted instructional personnel similar to those applicable to public school districts in accordance with 10</w:t>
      </w:r>
    </w:p>
    <w:p>
      <w:pPr>
        <w:pStyle w:val="BodyText"/>
        <w:spacing w:line="208" w:lineRule="auto" w:before="0"/>
        <w:ind w:right="775"/>
      </w:pPr>
      <w:r>
        <w:rPr/>
        <w:t>O.S.</w:t>
      </w:r>
      <w:r>
        <w:rPr>
          <w:spacing w:val="-3"/>
        </w:rPr>
        <w:t> </w:t>
      </w:r>
      <w:r>
        <w:rPr/>
        <w:t>1419</w:t>
      </w:r>
      <w:r>
        <w:rPr>
          <w:spacing w:val="-4"/>
        </w:rPr>
        <w:t> </w:t>
      </w:r>
      <w:r>
        <w:rPr/>
        <w:t>(e).</w:t>
      </w:r>
      <w:r>
        <w:rPr>
          <w:spacing w:val="-3"/>
        </w:rPr>
        <w:t> </w:t>
      </w:r>
      <w:r>
        <w:rPr/>
        <w:t>The</w:t>
      </w:r>
      <w:r>
        <w:rPr>
          <w:spacing w:val="-4"/>
        </w:rPr>
        <w:t> </w:t>
      </w:r>
      <w:r>
        <w:rPr/>
        <w:t>policies</w:t>
      </w:r>
      <w:r>
        <w:rPr>
          <w:spacing w:val="-4"/>
        </w:rPr>
        <w:t> </w:t>
      </w:r>
      <w:r>
        <w:rPr/>
        <w:t>in</w:t>
      </w:r>
      <w:r>
        <w:rPr>
          <w:spacing w:val="-4"/>
        </w:rPr>
        <w:t> </w:t>
      </w:r>
      <w:r>
        <w:rPr/>
        <w:t>this</w:t>
      </w:r>
      <w:r>
        <w:rPr>
          <w:spacing w:val="-4"/>
        </w:rPr>
        <w:t> </w:t>
      </w:r>
      <w:r>
        <w:rPr/>
        <w:t>Subchapter</w:t>
      </w:r>
      <w:r>
        <w:rPr>
          <w:spacing w:val="-3"/>
        </w:rPr>
        <w:t> </w:t>
      </w:r>
      <w:r>
        <w:rPr/>
        <w:t>pertain</w:t>
      </w:r>
      <w:r>
        <w:rPr>
          <w:spacing w:val="-4"/>
        </w:rPr>
        <w:t> </w:t>
      </w:r>
      <w:r>
        <w:rPr/>
        <w:t>exclusively</w:t>
      </w:r>
      <w:r>
        <w:rPr>
          <w:spacing w:val="-4"/>
        </w:rPr>
        <w:t> </w:t>
      </w:r>
      <w:r>
        <w:rPr/>
        <w:t>to</w:t>
      </w:r>
      <w:r>
        <w:rPr>
          <w:spacing w:val="-4"/>
        </w:rPr>
        <w:t> </w:t>
      </w:r>
      <w:r>
        <w:rPr/>
        <w:t>employees</w:t>
      </w:r>
      <w:r>
        <w:rPr>
          <w:spacing w:val="-3"/>
        </w:rPr>
        <w:t> </w:t>
      </w:r>
      <w:r>
        <w:rPr/>
        <w:t>as</w:t>
      </w:r>
      <w:r>
        <w:rPr>
          <w:spacing w:val="-4"/>
        </w:rPr>
        <w:t> </w:t>
      </w:r>
      <w:r>
        <w:rPr/>
        <w:t>listed at 10 O.S. 1419 (B).</w:t>
      </w:r>
      <w:r>
        <w:rPr>
          <w:spacing w:val="40"/>
        </w:rPr>
        <w:t> </w:t>
      </w:r>
      <w:r>
        <w:rPr/>
        <w:t>These employees are not subject to the Department's personnel policies in Chapter 3 of this Title unless the context clearly indicates otherwise.</w:t>
      </w:r>
    </w:p>
    <w:p>
      <w:pPr>
        <w:spacing w:before="243"/>
        <w:ind w:left="360" w:right="0" w:firstLine="0"/>
        <w:jc w:val="left"/>
        <w:rPr>
          <w:sz w:val="22"/>
        </w:rPr>
      </w:pPr>
      <w:r>
        <w:rPr>
          <w:sz w:val="22"/>
        </w:rPr>
        <w:t>Section</w:t>
      </w:r>
      <w:r>
        <w:rPr>
          <w:spacing w:val="-9"/>
          <w:sz w:val="22"/>
        </w:rPr>
        <w:t> </w:t>
      </w:r>
      <w:r>
        <w:rPr>
          <w:spacing w:val="-2"/>
          <w:sz w:val="22"/>
        </w:rPr>
        <w:t>History</w:t>
      </w:r>
    </w:p>
    <w:p>
      <w:pPr>
        <w:spacing w:line="253" w:lineRule="exact" w:before="0"/>
        <w:ind w:left="360" w:right="0" w:firstLine="0"/>
        <w:jc w:val="left"/>
        <w:rPr>
          <w:sz w:val="22"/>
        </w:rPr>
      </w:pPr>
      <w:r>
        <w:rPr>
          <w:sz w:val="22"/>
        </w:rPr>
        <w:t>10-12-95</w:t>
      </w:r>
      <w:r>
        <w:rPr>
          <w:spacing w:val="30"/>
          <w:sz w:val="22"/>
        </w:rPr>
        <w:t>  </w:t>
      </w:r>
      <w:r>
        <w:rPr>
          <w:sz w:val="22"/>
        </w:rPr>
        <w:t>PT</w:t>
      </w:r>
      <w:r>
        <w:rPr>
          <w:spacing w:val="-3"/>
          <w:sz w:val="22"/>
        </w:rPr>
        <w:t> </w:t>
      </w:r>
      <w:r>
        <w:rPr>
          <w:sz w:val="22"/>
        </w:rPr>
        <w:t>Memo</w:t>
      </w:r>
      <w:r>
        <w:rPr>
          <w:spacing w:val="-5"/>
          <w:sz w:val="22"/>
        </w:rPr>
        <w:t> </w:t>
      </w:r>
      <w:r>
        <w:rPr>
          <w:sz w:val="22"/>
        </w:rPr>
        <w:t>#95-</w:t>
      </w:r>
      <w:r>
        <w:rPr>
          <w:spacing w:val="-10"/>
          <w:sz w:val="22"/>
        </w:rPr>
        <w:t>3</w:t>
      </w:r>
    </w:p>
    <w:p>
      <w:pPr>
        <w:tabs>
          <w:tab w:pos="1439" w:val="left" w:leader="none"/>
        </w:tabs>
        <w:spacing w:before="0"/>
        <w:ind w:left="359" w:right="6564" w:firstLine="1080"/>
        <w:jc w:val="left"/>
        <w:rPr>
          <w:sz w:val="22"/>
        </w:rPr>
      </w:pPr>
      <w:r>
        <w:rPr>
          <w:sz w:val="22"/>
        </w:rPr>
        <w:t>Emergency,</w:t>
      </w:r>
      <w:r>
        <w:rPr>
          <w:spacing w:val="-16"/>
          <w:sz w:val="22"/>
        </w:rPr>
        <w:t> </w:t>
      </w:r>
      <w:r>
        <w:rPr>
          <w:sz w:val="22"/>
        </w:rPr>
        <w:t>new</w:t>
      </w:r>
      <w:r>
        <w:rPr>
          <w:spacing w:val="-15"/>
          <w:sz w:val="22"/>
        </w:rPr>
        <w:t> </w:t>
      </w:r>
      <w:r>
        <w:rPr>
          <w:sz w:val="22"/>
        </w:rPr>
        <w:t>Section </w:t>
      </w:r>
      <w:r>
        <w:rPr>
          <w:spacing w:val="-2"/>
          <w:sz w:val="22"/>
        </w:rPr>
        <w:t>8-1-96</w:t>
      </w:r>
      <w:r>
        <w:rPr>
          <w:sz w:val="22"/>
        </w:rPr>
        <w:tab/>
        <w:t>PT Memo #97-2</w:t>
      </w:r>
    </w:p>
    <w:p>
      <w:pPr>
        <w:tabs>
          <w:tab w:pos="1439" w:val="left" w:leader="none"/>
        </w:tabs>
        <w:spacing w:before="0"/>
        <w:ind w:left="359" w:right="2945" w:firstLine="1080"/>
        <w:jc w:val="left"/>
        <w:rPr>
          <w:sz w:val="22"/>
        </w:rPr>
      </w:pPr>
      <w:r>
        <w:rPr>
          <w:sz w:val="22"/>
        </w:rPr>
        <w:t>Permanent</w:t>
      </w:r>
      <w:r>
        <w:rPr>
          <w:spacing w:val="-7"/>
          <w:sz w:val="22"/>
        </w:rPr>
        <w:t> </w:t>
      </w:r>
      <w:r>
        <w:rPr>
          <w:sz w:val="22"/>
        </w:rPr>
        <w:t>rules</w:t>
      </w:r>
      <w:r>
        <w:rPr>
          <w:spacing w:val="-7"/>
          <w:sz w:val="22"/>
        </w:rPr>
        <w:t> </w:t>
      </w:r>
      <w:r>
        <w:rPr>
          <w:sz w:val="22"/>
        </w:rPr>
        <w:t>supersede</w:t>
      </w:r>
      <w:r>
        <w:rPr>
          <w:spacing w:val="-7"/>
          <w:sz w:val="22"/>
        </w:rPr>
        <w:t> </w:t>
      </w:r>
      <w:r>
        <w:rPr>
          <w:sz w:val="22"/>
        </w:rPr>
        <w:t>Emergency</w:t>
      </w:r>
      <w:r>
        <w:rPr>
          <w:spacing w:val="-7"/>
          <w:sz w:val="22"/>
        </w:rPr>
        <w:t> </w:t>
      </w:r>
      <w:r>
        <w:rPr>
          <w:sz w:val="22"/>
        </w:rPr>
        <w:t>rules</w:t>
      </w:r>
      <w:r>
        <w:rPr>
          <w:spacing w:val="-7"/>
          <w:sz w:val="22"/>
        </w:rPr>
        <w:t> </w:t>
      </w:r>
      <w:r>
        <w:rPr>
          <w:sz w:val="22"/>
        </w:rPr>
        <w:t>issued</w:t>
      </w:r>
      <w:r>
        <w:rPr>
          <w:spacing w:val="-7"/>
          <w:sz w:val="22"/>
        </w:rPr>
        <w:t> </w:t>
      </w:r>
      <w:r>
        <w:rPr>
          <w:sz w:val="22"/>
        </w:rPr>
        <w:t>10-12-95 </w:t>
      </w:r>
      <w:r>
        <w:rPr>
          <w:spacing w:val="-2"/>
          <w:sz w:val="22"/>
        </w:rPr>
        <w:t>7-1-04</w:t>
      </w:r>
      <w:r>
        <w:rPr>
          <w:sz w:val="22"/>
        </w:rPr>
        <w:tab/>
        <w:t>PT Memo #05-01</w:t>
      </w:r>
    </w:p>
    <w:p>
      <w:pPr>
        <w:spacing w:before="1"/>
        <w:ind w:left="1439" w:right="0" w:firstLine="0"/>
        <w:jc w:val="left"/>
        <w:rPr>
          <w:sz w:val="22"/>
        </w:rPr>
      </w:pPr>
      <w:r>
        <w:rPr>
          <w:sz w:val="22"/>
        </w:rPr>
        <w:t>Permanent,</w:t>
      </w:r>
      <w:r>
        <w:rPr>
          <w:spacing w:val="-9"/>
          <w:sz w:val="22"/>
        </w:rPr>
        <w:t> </w:t>
      </w:r>
      <w:r>
        <w:rPr>
          <w:sz w:val="22"/>
        </w:rPr>
        <w:t>corrected</w:t>
      </w:r>
      <w:r>
        <w:rPr>
          <w:spacing w:val="-9"/>
          <w:sz w:val="22"/>
        </w:rPr>
        <w:t> </w:t>
      </w:r>
      <w:r>
        <w:rPr>
          <w:sz w:val="22"/>
        </w:rPr>
        <w:t>wrong</w:t>
      </w:r>
      <w:r>
        <w:rPr>
          <w:spacing w:val="-9"/>
          <w:sz w:val="22"/>
        </w:rPr>
        <w:t> </w:t>
      </w:r>
      <w:r>
        <w:rPr>
          <w:sz w:val="22"/>
        </w:rPr>
        <w:t>statute</w:t>
      </w:r>
      <w:r>
        <w:rPr>
          <w:spacing w:val="-10"/>
          <w:sz w:val="22"/>
        </w:rPr>
        <w:t> </w:t>
      </w:r>
      <w:r>
        <w:rPr>
          <w:spacing w:val="-4"/>
          <w:sz w:val="22"/>
        </w:rPr>
        <w:t>site</w:t>
      </w:r>
    </w:p>
    <w:p>
      <w:pPr>
        <w:spacing w:after="0"/>
        <w:jc w:val="left"/>
        <w:rPr>
          <w:sz w:val="22"/>
        </w:rPr>
        <w:sectPr>
          <w:pgSz w:w="12240" w:h="15840"/>
          <w:pgMar w:top="1340" w:bottom="280" w:left="1080" w:right="720"/>
        </w:sectPr>
      </w:pPr>
    </w:p>
    <w:p>
      <w:pPr>
        <w:pStyle w:val="Heading2"/>
      </w:pPr>
      <w:bookmarkStart w:name="612:20-2-2.  Definitions" w:id="321"/>
      <w:bookmarkEnd w:id="321"/>
      <w:r>
        <w:rPr>
          <w:b w:val="0"/>
        </w:rPr>
      </w:r>
      <w:r>
        <w:rPr/>
        <w:t>612:20-2-2.</w:t>
      </w:r>
      <w:r>
        <w:rPr>
          <w:spacing w:val="60"/>
        </w:rPr>
        <w:t> </w:t>
      </w:r>
      <w:r>
        <w:rPr>
          <w:spacing w:val="-2"/>
        </w:rPr>
        <w:t>Definitions</w:t>
      </w:r>
    </w:p>
    <w:p>
      <w:pPr>
        <w:pStyle w:val="BodyText"/>
        <w:spacing w:line="208" w:lineRule="auto" w:before="233"/>
        <w:ind w:right="775" w:firstLine="432"/>
      </w:pPr>
      <w:r>
        <w:rPr/>
        <w:t>The</w:t>
      </w:r>
      <w:r>
        <w:rPr>
          <w:spacing w:val="-4"/>
        </w:rPr>
        <w:t> </w:t>
      </w:r>
      <w:r>
        <w:rPr/>
        <w:t>following</w:t>
      </w:r>
      <w:r>
        <w:rPr>
          <w:spacing w:val="-4"/>
        </w:rPr>
        <w:t> </w:t>
      </w:r>
      <w:r>
        <w:rPr/>
        <w:t>words</w:t>
      </w:r>
      <w:r>
        <w:rPr>
          <w:spacing w:val="-4"/>
        </w:rPr>
        <w:t> </w:t>
      </w:r>
      <w:r>
        <w:rPr/>
        <w:t>and</w:t>
      </w:r>
      <w:r>
        <w:rPr>
          <w:spacing w:val="-4"/>
        </w:rPr>
        <w:t> </w:t>
      </w:r>
      <w:r>
        <w:rPr/>
        <w:t>terms,</w:t>
      </w:r>
      <w:r>
        <w:rPr>
          <w:spacing w:val="-6"/>
        </w:rPr>
        <w:t> </w:t>
      </w:r>
      <w:r>
        <w:rPr/>
        <w:t>when</w:t>
      </w:r>
      <w:r>
        <w:rPr>
          <w:spacing w:val="-4"/>
        </w:rPr>
        <w:t> </w:t>
      </w:r>
      <w:r>
        <w:rPr/>
        <w:t>used</w:t>
      </w:r>
      <w:r>
        <w:rPr>
          <w:spacing w:val="-3"/>
        </w:rPr>
        <w:t> </w:t>
      </w:r>
      <w:r>
        <w:rPr/>
        <w:t>in</w:t>
      </w:r>
      <w:r>
        <w:rPr>
          <w:spacing w:val="-4"/>
        </w:rPr>
        <w:t> </w:t>
      </w:r>
      <w:r>
        <w:rPr/>
        <w:t>this</w:t>
      </w:r>
      <w:r>
        <w:rPr>
          <w:spacing w:val="-4"/>
        </w:rPr>
        <w:t> </w:t>
      </w:r>
      <w:r>
        <w:rPr/>
        <w:t>Subchapter,</w:t>
      </w:r>
      <w:r>
        <w:rPr>
          <w:spacing w:val="-3"/>
        </w:rPr>
        <w:t> </w:t>
      </w:r>
      <w:r>
        <w:rPr/>
        <w:t>shall</w:t>
      </w:r>
      <w:r>
        <w:rPr>
          <w:spacing w:val="-4"/>
        </w:rPr>
        <w:t> </w:t>
      </w:r>
      <w:r>
        <w:rPr/>
        <w:t>have</w:t>
      </w:r>
      <w:r>
        <w:rPr>
          <w:spacing w:val="-4"/>
        </w:rPr>
        <w:t> </w:t>
      </w:r>
      <w:r>
        <w:rPr/>
        <w:t>the following meanings, unless the context clearly indicates otherwise:</w:t>
      </w:r>
    </w:p>
    <w:p>
      <w:pPr>
        <w:pStyle w:val="BodyText"/>
        <w:spacing w:line="208" w:lineRule="auto"/>
        <w:ind w:left="359" w:right="775" w:firstLine="432"/>
      </w:pPr>
      <w:r>
        <w:rPr>
          <w:b/>
        </w:rPr>
        <w:t>"Administrator" </w:t>
      </w:r>
      <w:r>
        <w:rPr/>
        <w:t>means a member of the contracted administrative staff who devotes</w:t>
      </w:r>
      <w:r>
        <w:rPr>
          <w:spacing w:val="-3"/>
        </w:rPr>
        <w:t> </w:t>
      </w:r>
      <w:r>
        <w:rPr/>
        <w:t>a</w:t>
      </w:r>
      <w:r>
        <w:rPr>
          <w:spacing w:val="-3"/>
        </w:rPr>
        <w:t> </w:t>
      </w:r>
      <w:r>
        <w:rPr/>
        <w:t>majority</w:t>
      </w:r>
      <w:r>
        <w:rPr>
          <w:spacing w:val="-3"/>
        </w:rPr>
        <w:t> </w:t>
      </w:r>
      <w:r>
        <w:rPr/>
        <w:t>of</w:t>
      </w:r>
      <w:r>
        <w:rPr>
          <w:spacing w:val="-4"/>
        </w:rPr>
        <w:t> </w:t>
      </w:r>
      <w:r>
        <w:rPr/>
        <w:t>his/her</w:t>
      </w:r>
      <w:r>
        <w:rPr>
          <w:spacing w:val="-2"/>
        </w:rPr>
        <w:t> </w:t>
      </w:r>
      <w:r>
        <w:rPr/>
        <w:t>time</w:t>
      </w:r>
      <w:r>
        <w:rPr>
          <w:spacing w:val="-3"/>
        </w:rPr>
        <w:t> </w:t>
      </w:r>
      <w:r>
        <w:rPr/>
        <w:t>to</w:t>
      </w:r>
      <w:r>
        <w:rPr>
          <w:spacing w:val="-3"/>
        </w:rPr>
        <w:t> </w:t>
      </w:r>
      <w:r>
        <w:rPr/>
        <w:t>service</w:t>
      </w:r>
      <w:r>
        <w:rPr>
          <w:spacing w:val="-3"/>
        </w:rPr>
        <w:t> </w:t>
      </w:r>
      <w:r>
        <w:rPr/>
        <w:t>in</w:t>
      </w:r>
      <w:r>
        <w:rPr>
          <w:spacing w:val="-3"/>
        </w:rPr>
        <w:t> </w:t>
      </w:r>
      <w:r>
        <w:rPr/>
        <w:t>an</w:t>
      </w:r>
      <w:r>
        <w:rPr>
          <w:spacing w:val="-3"/>
        </w:rPr>
        <w:t> </w:t>
      </w:r>
      <w:r>
        <w:rPr/>
        <w:t>administrative</w:t>
      </w:r>
      <w:r>
        <w:rPr>
          <w:spacing w:val="-3"/>
        </w:rPr>
        <w:t> </w:t>
      </w:r>
      <w:r>
        <w:rPr/>
        <w:t>or</w:t>
      </w:r>
      <w:r>
        <w:rPr>
          <w:spacing w:val="-2"/>
        </w:rPr>
        <w:t> </w:t>
      </w:r>
      <w:r>
        <w:rPr/>
        <w:t>supervisory</w:t>
      </w:r>
      <w:r>
        <w:rPr>
          <w:spacing w:val="-3"/>
        </w:rPr>
        <w:t> </w:t>
      </w:r>
      <w:r>
        <w:rPr/>
        <w:t>position.</w:t>
      </w:r>
    </w:p>
    <w:p>
      <w:pPr>
        <w:pStyle w:val="BodyText"/>
        <w:spacing w:line="208" w:lineRule="auto" w:before="239"/>
        <w:ind w:left="359" w:right="775" w:firstLine="432"/>
      </w:pPr>
      <w:r>
        <w:rPr>
          <w:b/>
        </w:rPr>
        <w:t>"Career Teacher" </w:t>
      </w:r>
      <w:r>
        <w:rPr/>
        <w:t>means a teacher who has completed three (3) or more consecutive</w:t>
      </w:r>
      <w:r>
        <w:rPr>
          <w:spacing w:val="-3"/>
        </w:rPr>
        <w:t> </w:t>
      </w:r>
      <w:r>
        <w:rPr/>
        <w:t>complete</w:t>
      </w:r>
      <w:r>
        <w:rPr>
          <w:spacing w:val="-3"/>
        </w:rPr>
        <w:t> </w:t>
      </w:r>
      <w:r>
        <w:rPr/>
        <w:t>school</w:t>
      </w:r>
      <w:r>
        <w:rPr>
          <w:spacing w:val="-3"/>
        </w:rPr>
        <w:t> </w:t>
      </w:r>
      <w:r>
        <w:rPr/>
        <w:t>years</w:t>
      </w:r>
      <w:r>
        <w:rPr>
          <w:spacing w:val="-3"/>
        </w:rPr>
        <w:t> </w:t>
      </w:r>
      <w:r>
        <w:rPr/>
        <w:t>at</w:t>
      </w:r>
      <w:r>
        <w:rPr>
          <w:spacing w:val="-4"/>
        </w:rPr>
        <w:t> </w:t>
      </w:r>
      <w:r>
        <w:rPr/>
        <w:t>OSB</w:t>
      </w:r>
      <w:r>
        <w:rPr>
          <w:spacing w:val="-5"/>
        </w:rPr>
        <w:t> </w:t>
      </w:r>
      <w:r>
        <w:rPr/>
        <w:t>or</w:t>
      </w:r>
      <w:r>
        <w:rPr>
          <w:spacing w:val="-2"/>
        </w:rPr>
        <w:t> </w:t>
      </w:r>
      <w:r>
        <w:rPr/>
        <w:t>OSD</w:t>
      </w:r>
      <w:r>
        <w:rPr>
          <w:spacing w:val="-3"/>
        </w:rPr>
        <w:t> </w:t>
      </w:r>
      <w:r>
        <w:rPr/>
        <w:t>or</w:t>
      </w:r>
      <w:r>
        <w:rPr>
          <w:spacing w:val="-4"/>
        </w:rPr>
        <w:t> </w:t>
      </w:r>
      <w:r>
        <w:rPr/>
        <w:t>who</w:t>
      </w:r>
      <w:r>
        <w:rPr>
          <w:spacing w:val="-3"/>
        </w:rPr>
        <w:t> </w:t>
      </w:r>
      <w:r>
        <w:rPr/>
        <w:t>otherwise</w:t>
      </w:r>
      <w:r>
        <w:rPr>
          <w:spacing w:val="-3"/>
        </w:rPr>
        <w:t> </w:t>
      </w:r>
      <w:r>
        <w:rPr/>
        <w:t>meets</w:t>
      </w:r>
      <w:r>
        <w:rPr>
          <w:spacing w:val="-3"/>
        </w:rPr>
        <w:t> </w:t>
      </w:r>
      <w:r>
        <w:rPr/>
        <w:t>the definition of a career teacher as provided for in the Oklahoma School Code.</w:t>
      </w:r>
    </w:p>
    <w:p>
      <w:pPr>
        <w:pStyle w:val="BodyText"/>
        <w:spacing w:line="208" w:lineRule="auto"/>
        <w:ind w:left="359" w:right="775" w:firstLine="432"/>
      </w:pPr>
      <w:r>
        <w:rPr>
          <w:b/>
        </w:rPr>
        <w:t>"Contracted administrative personnel or staff" </w:t>
      </w:r>
      <w:r>
        <w:rPr/>
        <w:t>means those employees hired under</w:t>
      </w:r>
      <w:r>
        <w:rPr>
          <w:spacing w:val="-3"/>
        </w:rPr>
        <w:t> </w:t>
      </w:r>
      <w:r>
        <w:rPr/>
        <w:t>contract</w:t>
      </w:r>
      <w:r>
        <w:rPr>
          <w:spacing w:val="-3"/>
        </w:rPr>
        <w:t> </w:t>
      </w:r>
      <w:r>
        <w:rPr/>
        <w:t>and</w:t>
      </w:r>
      <w:r>
        <w:rPr>
          <w:spacing w:val="-4"/>
        </w:rPr>
        <w:t> </w:t>
      </w:r>
      <w:r>
        <w:rPr/>
        <w:t>qualified</w:t>
      </w:r>
      <w:r>
        <w:rPr>
          <w:spacing w:val="-4"/>
        </w:rPr>
        <w:t> </w:t>
      </w:r>
      <w:r>
        <w:rPr/>
        <w:t>according</w:t>
      </w:r>
      <w:r>
        <w:rPr>
          <w:spacing w:val="-4"/>
        </w:rPr>
        <w:t> </w:t>
      </w:r>
      <w:r>
        <w:rPr/>
        <w:t>to</w:t>
      </w:r>
      <w:r>
        <w:rPr>
          <w:spacing w:val="-4"/>
        </w:rPr>
        <w:t> </w:t>
      </w:r>
      <w:r>
        <w:rPr/>
        <w:t>the</w:t>
      </w:r>
      <w:r>
        <w:rPr>
          <w:spacing w:val="-4"/>
        </w:rPr>
        <w:t> </w:t>
      </w:r>
      <w:r>
        <w:rPr/>
        <w:t>requirements</w:t>
      </w:r>
      <w:r>
        <w:rPr>
          <w:spacing w:val="-4"/>
        </w:rPr>
        <w:t> </w:t>
      </w:r>
      <w:r>
        <w:rPr/>
        <w:t>of</w:t>
      </w:r>
      <w:r>
        <w:rPr>
          <w:spacing w:val="-4"/>
        </w:rPr>
        <w:t> </w:t>
      </w:r>
      <w:r>
        <w:rPr/>
        <w:t>the</w:t>
      </w:r>
      <w:r>
        <w:rPr>
          <w:spacing w:val="-4"/>
        </w:rPr>
        <w:t> </w:t>
      </w:r>
      <w:r>
        <w:rPr/>
        <w:t>State</w:t>
      </w:r>
      <w:r>
        <w:rPr>
          <w:spacing w:val="-4"/>
        </w:rPr>
        <w:t> </w:t>
      </w:r>
      <w:r>
        <w:rPr/>
        <w:t>Department</w:t>
      </w:r>
      <w:r>
        <w:rPr>
          <w:spacing w:val="-3"/>
        </w:rPr>
        <w:t> </w:t>
      </w:r>
      <w:r>
        <w:rPr/>
        <w:t>of Education (where applicable) to serve primarily in an administrative or supervisory capacity pursuant to 10 O.S. § 1419(B).</w:t>
      </w:r>
    </w:p>
    <w:p>
      <w:pPr>
        <w:pStyle w:val="BodyText"/>
        <w:spacing w:line="208" w:lineRule="auto"/>
        <w:ind w:left="359" w:right="775" w:firstLine="432"/>
      </w:pPr>
      <w:r>
        <w:rPr>
          <w:b/>
        </w:rPr>
        <w:t>"Contracted</w:t>
      </w:r>
      <w:r>
        <w:rPr>
          <w:b/>
          <w:spacing w:val="-6"/>
        </w:rPr>
        <w:t> </w:t>
      </w:r>
      <w:r>
        <w:rPr>
          <w:b/>
        </w:rPr>
        <w:t>instructional</w:t>
      </w:r>
      <w:r>
        <w:rPr>
          <w:b/>
          <w:spacing w:val="-5"/>
        </w:rPr>
        <w:t> </w:t>
      </w:r>
      <w:r>
        <w:rPr>
          <w:b/>
        </w:rPr>
        <w:t>personnel</w:t>
      </w:r>
      <w:r>
        <w:rPr>
          <w:b/>
          <w:spacing w:val="-5"/>
        </w:rPr>
        <w:t> </w:t>
      </w:r>
      <w:r>
        <w:rPr>
          <w:b/>
        </w:rPr>
        <w:t>or</w:t>
      </w:r>
      <w:r>
        <w:rPr>
          <w:b/>
          <w:spacing w:val="-6"/>
        </w:rPr>
        <w:t> </w:t>
      </w:r>
      <w:r>
        <w:rPr>
          <w:b/>
        </w:rPr>
        <w:t>staff"</w:t>
      </w:r>
      <w:r>
        <w:rPr>
          <w:b/>
          <w:spacing w:val="-7"/>
        </w:rPr>
        <w:t> </w:t>
      </w:r>
      <w:r>
        <w:rPr/>
        <w:t>means</w:t>
      </w:r>
      <w:r>
        <w:rPr>
          <w:spacing w:val="-6"/>
        </w:rPr>
        <w:t> </w:t>
      </w:r>
      <w:r>
        <w:rPr/>
        <w:t>Department</w:t>
      </w:r>
      <w:r>
        <w:rPr>
          <w:spacing w:val="-5"/>
        </w:rPr>
        <w:t> </w:t>
      </w:r>
      <w:r>
        <w:rPr/>
        <w:t>employees hired under contract and qualified according to the requirements of the State Department of Education to serve in an instructional capacity pursuant to 10 O.S.</w:t>
      </w:r>
    </w:p>
    <w:p>
      <w:pPr>
        <w:pStyle w:val="BodyText"/>
        <w:spacing w:line="246" w:lineRule="exact" w:before="0"/>
        <w:ind w:left="359"/>
      </w:pPr>
      <w:r>
        <w:rPr>
          <w:spacing w:val="-2"/>
        </w:rPr>
        <w:t>1419(B).</w:t>
      </w:r>
    </w:p>
    <w:p>
      <w:pPr>
        <w:pStyle w:val="BodyText"/>
        <w:spacing w:line="208" w:lineRule="auto" w:before="233"/>
        <w:ind w:left="359" w:right="739" w:firstLine="432"/>
      </w:pPr>
      <w:r>
        <w:rPr>
          <w:b/>
        </w:rPr>
        <w:t>"Dismissal"</w:t>
      </w:r>
      <w:r>
        <w:rPr>
          <w:b/>
          <w:spacing w:val="-4"/>
        </w:rPr>
        <w:t> </w:t>
      </w:r>
      <w:r>
        <w:rPr/>
        <w:t>means</w:t>
      </w:r>
      <w:r>
        <w:rPr>
          <w:spacing w:val="-5"/>
        </w:rPr>
        <w:t> </w:t>
      </w:r>
      <w:r>
        <w:rPr/>
        <w:t>the</w:t>
      </w:r>
      <w:r>
        <w:rPr>
          <w:spacing w:val="-4"/>
        </w:rPr>
        <w:t> </w:t>
      </w:r>
      <w:r>
        <w:rPr/>
        <w:t>discontinuance</w:t>
      </w:r>
      <w:r>
        <w:rPr>
          <w:spacing w:val="-4"/>
        </w:rPr>
        <w:t> </w:t>
      </w:r>
      <w:r>
        <w:rPr/>
        <w:t>of</w:t>
      </w:r>
      <w:r>
        <w:rPr>
          <w:spacing w:val="-3"/>
        </w:rPr>
        <w:t> </w:t>
      </w:r>
      <w:r>
        <w:rPr/>
        <w:t>the</w:t>
      </w:r>
      <w:r>
        <w:rPr>
          <w:spacing w:val="-4"/>
        </w:rPr>
        <w:t> </w:t>
      </w:r>
      <w:r>
        <w:rPr/>
        <w:t>service</w:t>
      </w:r>
      <w:r>
        <w:rPr>
          <w:spacing w:val="-4"/>
        </w:rPr>
        <w:t> </w:t>
      </w:r>
      <w:r>
        <w:rPr/>
        <w:t>of</w:t>
      </w:r>
      <w:r>
        <w:rPr>
          <w:spacing w:val="-3"/>
        </w:rPr>
        <w:t> </w:t>
      </w:r>
      <w:r>
        <w:rPr/>
        <w:t>an</w:t>
      </w:r>
      <w:r>
        <w:rPr>
          <w:spacing w:val="-4"/>
        </w:rPr>
        <w:t> </w:t>
      </w:r>
      <w:r>
        <w:rPr/>
        <w:t>administrator</w:t>
      </w:r>
      <w:r>
        <w:rPr>
          <w:spacing w:val="-3"/>
        </w:rPr>
        <w:t> </w:t>
      </w:r>
      <w:r>
        <w:rPr/>
        <w:t>or</w:t>
      </w:r>
      <w:r>
        <w:rPr>
          <w:spacing w:val="-6"/>
        </w:rPr>
        <w:t> </w:t>
      </w:r>
      <w:r>
        <w:rPr/>
        <w:t>teacher during the term of a written contract.</w:t>
      </w:r>
    </w:p>
    <w:p>
      <w:pPr>
        <w:pStyle w:val="BodyText"/>
        <w:spacing w:line="208" w:lineRule="auto"/>
        <w:ind w:left="359" w:right="845" w:firstLine="432"/>
        <w:jc w:val="both"/>
      </w:pPr>
      <w:r>
        <w:rPr>
          <w:b/>
        </w:rPr>
        <w:t>"Entry-year teacher" </w:t>
      </w:r>
      <w:r>
        <w:rPr/>
        <w:t>means any certified or licensed teacher who is employed by a</w:t>
      </w:r>
      <w:r>
        <w:rPr>
          <w:spacing w:val="-3"/>
        </w:rPr>
        <w:t> </w:t>
      </w:r>
      <w:r>
        <w:rPr/>
        <w:t>special</w:t>
      </w:r>
      <w:r>
        <w:rPr>
          <w:spacing w:val="-3"/>
        </w:rPr>
        <w:t> </w:t>
      </w:r>
      <w:r>
        <w:rPr/>
        <w:t>school</w:t>
      </w:r>
      <w:r>
        <w:rPr>
          <w:spacing w:val="-3"/>
        </w:rPr>
        <w:t> </w:t>
      </w:r>
      <w:r>
        <w:rPr/>
        <w:t>to</w:t>
      </w:r>
      <w:r>
        <w:rPr>
          <w:spacing w:val="-3"/>
        </w:rPr>
        <w:t> </w:t>
      </w:r>
      <w:r>
        <w:rPr/>
        <w:t>serve</w:t>
      </w:r>
      <w:r>
        <w:rPr>
          <w:spacing w:val="-3"/>
        </w:rPr>
        <w:t> </w:t>
      </w:r>
      <w:r>
        <w:rPr/>
        <w:t>as</w:t>
      </w:r>
      <w:r>
        <w:rPr>
          <w:spacing w:val="-3"/>
        </w:rPr>
        <w:t> </w:t>
      </w:r>
      <w:r>
        <w:rPr/>
        <w:t>a</w:t>
      </w:r>
      <w:r>
        <w:rPr>
          <w:spacing w:val="-3"/>
        </w:rPr>
        <w:t> </w:t>
      </w:r>
      <w:r>
        <w:rPr/>
        <w:t>classroom</w:t>
      </w:r>
      <w:r>
        <w:rPr>
          <w:spacing w:val="-2"/>
        </w:rPr>
        <w:t> </w:t>
      </w:r>
      <w:r>
        <w:rPr/>
        <w:t>teacher</w:t>
      </w:r>
      <w:r>
        <w:rPr>
          <w:spacing w:val="-2"/>
        </w:rPr>
        <w:t> </w:t>
      </w:r>
      <w:r>
        <w:rPr/>
        <w:t>under</w:t>
      </w:r>
      <w:r>
        <w:rPr>
          <w:spacing w:val="-2"/>
        </w:rPr>
        <w:t> </w:t>
      </w:r>
      <w:r>
        <w:rPr/>
        <w:t>the</w:t>
      </w:r>
      <w:r>
        <w:rPr>
          <w:spacing w:val="-3"/>
        </w:rPr>
        <w:t> </w:t>
      </w:r>
      <w:r>
        <w:rPr/>
        <w:t>guidance</w:t>
      </w:r>
      <w:r>
        <w:rPr>
          <w:spacing w:val="-3"/>
        </w:rPr>
        <w:t> </w:t>
      </w:r>
      <w:r>
        <w:rPr/>
        <w:t>and</w:t>
      </w:r>
      <w:r>
        <w:rPr>
          <w:spacing w:val="-3"/>
        </w:rPr>
        <w:t> </w:t>
      </w:r>
      <w:r>
        <w:rPr/>
        <w:t>assistance</w:t>
      </w:r>
      <w:r>
        <w:rPr>
          <w:spacing w:val="-3"/>
        </w:rPr>
        <w:t> </w:t>
      </w:r>
      <w:r>
        <w:rPr/>
        <w:t>of a teacher consultant and an entry-year assistance committee.</w:t>
      </w:r>
    </w:p>
    <w:p>
      <w:pPr>
        <w:pStyle w:val="BodyText"/>
        <w:spacing w:line="208" w:lineRule="auto"/>
        <w:ind w:left="359" w:right="775" w:firstLine="432"/>
      </w:pPr>
      <w:r>
        <w:rPr>
          <w:b/>
        </w:rPr>
        <w:t>"Nonreemployment"</w:t>
      </w:r>
      <w:r>
        <w:rPr>
          <w:b/>
          <w:spacing w:val="-5"/>
        </w:rPr>
        <w:t> </w:t>
      </w:r>
      <w:r>
        <w:rPr/>
        <w:t>means</w:t>
      </w:r>
      <w:r>
        <w:rPr>
          <w:spacing w:val="-5"/>
        </w:rPr>
        <w:t> </w:t>
      </w:r>
      <w:r>
        <w:rPr/>
        <w:t>the</w:t>
      </w:r>
      <w:r>
        <w:rPr>
          <w:spacing w:val="-6"/>
        </w:rPr>
        <w:t> </w:t>
      </w:r>
      <w:r>
        <w:rPr/>
        <w:t>nonrenewal</w:t>
      </w:r>
      <w:r>
        <w:rPr>
          <w:spacing w:val="-5"/>
        </w:rPr>
        <w:t> </w:t>
      </w:r>
      <w:r>
        <w:rPr/>
        <w:t>of</w:t>
      </w:r>
      <w:r>
        <w:rPr>
          <w:spacing w:val="-4"/>
        </w:rPr>
        <w:t> </w:t>
      </w:r>
      <w:r>
        <w:rPr/>
        <w:t>an</w:t>
      </w:r>
      <w:r>
        <w:rPr>
          <w:spacing w:val="-5"/>
        </w:rPr>
        <w:t> </w:t>
      </w:r>
      <w:r>
        <w:rPr/>
        <w:t>administrator’s</w:t>
      </w:r>
      <w:r>
        <w:rPr>
          <w:spacing w:val="-5"/>
        </w:rPr>
        <w:t> </w:t>
      </w:r>
      <w:r>
        <w:rPr/>
        <w:t>or</w:t>
      </w:r>
      <w:r>
        <w:rPr>
          <w:spacing w:val="-4"/>
        </w:rPr>
        <w:t> </w:t>
      </w:r>
      <w:r>
        <w:rPr/>
        <w:t>teacher’s contract upon expiration of the contract.</w:t>
      </w:r>
    </w:p>
    <w:p>
      <w:pPr>
        <w:pStyle w:val="BodyText"/>
        <w:spacing w:line="208" w:lineRule="auto" w:before="239"/>
        <w:ind w:left="359" w:right="775" w:firstLine="432"/>
      </w:pPr>
      <w:r>
        <w:rPr>
          <w:b/>
        </w:rPr>
        <w:t>"Principal" </w:t>
      </w:r>
      <w:r>
        <w:rPr/>
        <w:t>means any person other than a superintendent of schools having an administrative</w:t>
      </w:r>
      <w:r>
        <w:rPr>
          <w:spacing w:val="-4"/>
        </w:rPr>
        <w:t> </w:t>
      </w:r>
      <w:r>
        <w:rPr/>
        <w:t>certificate,</w:t>
      </w:r>
      <w:r>
        <w:rPr>
          <w:spacing w:val="-3"/>
        </w:rPr>
        <w:t> </w:t>
      </w:r>
      <w:r>
        <w:rPr/>
        <w:t>and</w:t>
      </w:r>
      <w:r>
        <w:rPr>
          <w:spacing w:val="-4"/>
        </w:rPr>
        <w:t> </w:t>
      </w:r>
      <w:r>
        <w:rPr/>
        <w:t>supervisory</w:t>
      </w:r>
      <w:r>
        <w:rPr>
          <w:spacing w:val="-4"/>
        </w:rPr>
        <w:t> </w:t>
      </w:r>
      <w:r>
        <w:rPr/>
        <w:t>or</w:t>
      </w:r>
      <w:r>
        <w:rPr>
          <w:spacing w:val="-5"/>
        </w:rPr>
        <w:t> </w:t>
      </w:r>
      <w:r>
        <w:rPr/>
        <w:t>administrative</w:t>
      </w:r>
      <w:r>
        <w:rPr>
          <w:spacing w:val="-4"/>
        </w:rPr>
        <w:t> </w:t>
      </w:r>
      <w:r>
        <w:rPr/>
        <w:t>authority</w:t>
      </w:r>
      <w:r>
        <w:rPr>
          <w:spacing w:val="-4"/>
        </w:rPr>
        <w:t> </w:t>
      </w:r>
      <w:r>
        <w:rPr/>
        <w:t>over</w:t>
      </w:r>
      <w:r>
        <w:rPr>
          <w:spacing w:val="-3"/>
        </w:rPr>
        <w:t> </w:t>
      </w:r>
      <w:r>
        <w:rPr/>
        <w:t>any</w:t>
      </w:r>
      <w:r>
        <w:rPr>
          <w:spacing w:val="-5"/>
        </w:rPr>
        <w:t> </w:t>
      </w:r>
      <w:r>
        <w:rPr/>
        <w:t>school</w:t>
      </w:r>
      <w:r>
        <w:rPr>
          <w:spacing w:val="-4"/>
        </w:rPr>
        <w:t> </w:t>
      </w:r>
      <w:r>
        <w:rPr/>
        <w:t>or school building having two or more teachers.</w:t>
      </w:r>
      <w:r>
        <w:rPr>
          <w:spacing w:val="40"/>
        </w:rPr>
        <w:t> </w:t>
      </w:r>
      <w:r>
        <w:rPr/>
        <w:t>A teaching principal is a principal who devotes at least one-half the time school is in session to classroom teaching.</w:t>
      </w:r>
    </w:p>
    <w:p>
      <w:pPr>
        <w:pStyle w:val="BodyText"/>
        <w:spacing w:line="208" w:lineRule="auto"/>
        <w:ind w:left="359" w:right="753" w:firstLine="432"/>
        <w:jc w:val="both"/>
      </w:pPr>
      <w:r>
        <w:rPr>
          <w:b/>
        </w:rPr>
        <w:t>"Probationary Teacher" </w:t>
      </w:r>
      <w:r>
        <w:rPr/>
        <w:t>means a teacher</w:t>
      </w:r>
      <w:r>
        <w:rPr>
          <w:spacing w:val="-1"/>
        </w:rPr>
        <w:t> </w:t>
      </w:r>
      <w:r>
        <w:rPr/>
        <w:t>who has completed fewer than three (3) or</w:t>
      </w:r>
      <w:r>
        <w:rPr>
          <w:spacing w:val="-2"/>
        </w:rPr>
        <w:t> </w:t>
      </w:r>
      <w:r>
        <w:rPr/>
        <w:t>more</w:t>
      </w:r>
      <w:r>
        <w:rPr>
          <w:spacing w:val="-3"/>
        </w:rPr>
        <w:t> </w:t>
      </w:r>
      <w:r>
        <w:rPr/>
        <w:t>consecutive</w:t>
      </w:r>
      <w:r>
        <w:rPr>
          <w:spacing w:val="-3"/>
        </w:rPr>
        <w:t> </w:t>
      </w:r>
      <w:r>
        <w:rPr/>
        <w:t>complete</w:t>
      </w:r>
      <w:r>
        <w:rPr>
          <w:spacing w:val="-3"/>
        </w:rPr>
        <w:t> </w:t>
      </w:r>
      <w:r>
        <w:rPr/>
        <w:t>school</w:t>
      </w:r>
      <w:r>
        <w:rPr>
          <w:spacing w:val="-3"/>
        </w:rPr>
        <w:t> </w:t>
      </w:r>
      <w:r>
        <w:rPr/>
        <w:t>years</w:t>
      </w:r>
      <w:r>
        <w:rPr>
          <w:spacing w:val="-3"/>
        </w:rPr>
        <w:t> </w:t>
      </w:r>
      <w:r>
        <w:rPr/>
        <w:t>at</w:t>
      </w:r>
      <w:r>
        <w:rPr>
          <w:spacing w:val="-2"/>
        </w:rPr>
        <w:t> </w:t>
      </w:r>
      <w:r>
        <w:rPr/>
        <w:t>OSB</w:t>
      </w:r>
      <w:r>
        <w:rPr>
          <w:spacing w:val="-3"/>
        </w:rPr>
        <w:t> </w:t>
      </w:r>
      <w:r>
        <w:rPr/>
        <w:t>or</w:t>
      </w:r>
      <w:r>
        <w:rPr>
          <w:spacing w:val="-4"/>
        </w:rPr>
        <w:t> </w:t>
      </w:r>
      <w:r>
        <w:rPr/>
        <w:t>OSD</w:t>
      </w:r>
      <w:r>
        <w:rPr>
          <w:spacing w:val="-3"/>
        </w:rPr>
        <w:t> </w:t>
      </w:r>
      <w:r>
        <w:rPr/>
        <w:t>or</w:t>
      </w:r>
      <w:r>
        <w:rPr>
          <w:spacing w:val="-2"/>
        </w:rPr>
        <w:t> </w:t>
      </w:r>
      <w:r>
        <w:rPr/>
        <w:t>who</w:t>
      </w:r>
      <w:r>
        <w:rPr>
          <w:spacing w:val="-3"/>
        </w:rPr>
        <w:t> </w:t>
      </w:r>
      <w:r>
        <w:rPr/>
        <w:t>otherwise</w:t>
      </w:r>
      <w:r>
        <w:rPr>
          <w:spacing w:val="-2"/>
        </w:rPr>
        <w:t> </w:t>
      </w:r>
      <w:r>
        <w:rPr/>
        <w:t>meets</w:t>
      </w:r>
      <w:r>
        <w:rPr>
          <w:spacing w:val="-4"/>
        </w:rPr>
        <w:t> </w:t>
      </w:r>
      <w:r>
        <w:rPr/>
        <w:t>the definition of a probationary teacher as provided for in the Oklahoma School Code.</w:t>
      </w:r>
    </w:p>
    <w:p>
      <w:pPr>
        <w:pStyle w:val="BodyText"/>
        <w:spacing w:line="208" w:lineRule="auto"/>
        <w:ind w:right="775" w:firstLine="432"/>
      </w:pPr>
      <w:r>
        <w:rPr>
          <w:b/>
        </w:rPr>
        <w:t>"Special</w:t>
      </w:r>
      <w:r>
        <w:rPr>
          <w:b/>
          <w:spacing w:val="-3"/>
        </w:rPr>
        <w:t> </w:t>
      </w:r>
      <w:r>
        <w:rPr>
          <w:b/>
        </w:rPr>
        <w:t>school(s)"</w:t>
      </w:r>
      <w:r>
        <w:rPr>
          <w:b/>
          <w:spacing w:val="-5"/>
        </w:rPr>
        <w:t> </w:t>
      </w:r>
      <w:r>
        <w:rPr/>
        <w:t>means</w:t>
      </w:r>
      <w:r>
        <w:rPr>
          <w:spacing w:val="-4"/>
        </w:rPr>
        <w:t> </w:t>
      </w:r>
      <w:r>
        <w:rPr/>
        <w:t>the</w:t>
      </w:r>
      <w:r>
        <w:rPr>
          <w:spacing w:val="-5"/>
        </w:rPr>
        <w:t> </w:t>
      </w:r>
      <w:r>
        <w:rPr/>
        <w:t>Oklahoma</w:t>
      </w:r>
      <w:r>
        <w:rPr>
          <w:spacing w:val="-4"/>
        </w:rPr>
        <w:t> </w:t>
      </w:r>
      <w:r>
        <w:rPr/>
        <w:t>School</w:t>
      </w:r>
      <w:r>
        <w:rPr>
          <w:spacing w:val="-4"/>
        </w:rPr>
        <w:t> </w:t>
      </w:r>
      <w:r>
        <w:rPr/>
        <w:t>for</w:t>
      </w:r>
      <w:r>
        <w:rPr>
          <w:spacing w:val="-3"/>
        </w:rPr>
        <w:t> </w:t>
      </w:r>
      <w:r>
        <w:rPr/>
        <w:t>the</w:t>
      </w:r>
      <w:r>
        <w:rPr>
          <w:spacing w:val="-4"/>
        </w:rPr>
        <w:t> </w:t>
      </w:r>
      <w:r>
        <w:rPr/>
        <w:t>Blind</w:t>
      </w:r>
      <w:r>
        <w:rPr>
          <w:spacing w:val="-4"/>
        </w:rPr>
        <w:t> </w:t>
      </w:r>
      <w:r>
        <w:rPr/>
        <w:t>and/or</w:t>
      </w:r>
      <w:r>
        <w:rPr>
          <w:spacing w:val="-3"/>
        </w:rPr>
        <w:t> </w:t>
      </w:r>
      <w:r>
        <w:rPr/>
        <w:t>the Oklahoma School for the Deaf.</w:t>
      </w:r>
    </w:p>
    <w:p>
      <w:pPr>
        <w:pStyle w:val="BodyText"/>
        <w:spacing w:line="208" w:lineRule="auto" w:before="239"/>
        <w:ind w:right="775" w:firstLine="432"/>
      </w:pPr>
      <w:r>
        <w:rPr>
          <w:b/>
        </w:rPr>
        <w:t>"Student</w:t>
      </w:r>
      <w:r>
        <w:rPr>
          <w:b/>
          <w:spacing w:val="-3"/>
        </w:rPr>
        <w:t> </w:t>
      </w:r>
      <w:r>
        <w:rPr>
          <w:b/>
        </w:rPr>
        <w:t>teacher"</w:t>
      </w:r>
      <w:r>
        <w:rPr>
          <w:b/>
          <w:spacing w:val="-4"/>
        </w:rPr>
        <w:t> </w:t>
      </w:r>
      <w:r>
        <w:rPr/>
        <w:t>means</w:t>
      </w:r>
      <w:r>
        <w:rPr>
          <w:spacing w:val="-4"/>
        </w:rPr>
        <w:t> </w:t>
      </w:r>
      <w:r>
        <w:rPr/>
        <w:t>any</w:t>
      </w:r>
      <w:r>
        <w:rPr>
          <w:spacing w:val="-4"/>
        </w:rPr>
        <w:t> </w:t>
      </w:r>
      <w:r>
        <w:rPr/>
        <w:t>student</w:t>
      </w:r>
      <w:r>
        <w:rPr>
          <w:spacing w:val="-3"/>
        </w:rPr>
        <w:t> </w:t>
      </w:r>
      <w:r>
        <w:rPr/>
        <w:t>who</w:t>
      </w:r>
      <w:r>
        <w:rPr>
          <w:spacing w:val="-4"/>
        </w:rPr>
        <w:t> </w:t>
      </w:r>
      <w:r>
        <w:rPr/>
        <w:t>is</w:t>
      </w:r>
      <w:r>
        <w:rPr>
          <w:spacing w:val="-4"/>
        </w:rPr>
        <w:t> </w:t>
      </w:r>
      <w:r>
        <w:rPr/>
        <w:t>enrolled</w:t>
      </w:r>
      <w:r>
        <w:rPr>
          <w:spacing w:val="-4"/>
        </w:rPr>
        <w:t> </w:t>
      </w:r>
      <w:r>
        <w:rPr/>
        <w:t>in</w:t>
      </w:r>
      <w:r>
        <w:rPr>
          <w:spacing w:val="-4"/>
        </w:rPr>
        <w:t> </w:t>
      </w:r>
      <w:r>
        <w:rPr/>
        <w:t>an</w:t>
      </w:r>
      <w:r>
        <w:rPr>
          <w:spacing w:val="-4"/>
        </w:rPr>
        <w:t> </w:t>
      </w:r>
      <w:r>
        <w:rPr/>
        <w:t>institution</w:t>
      </w:r>
      <w:r>
        <w:rPr>
          <w:spacing w:val="-4"/>
        </w:rPr>
        <w:t> </w:t>
      </w:r>
      <w:r>
        <w:rPr/>
        <w:t>of</w:t>
      </w:r>
      <w:r>
        <w:rPr>
          <w:spacing w:val="-3"/>
        </w:rPr>
        <w:t> </w:t>
      </w:r>
      <w:r>
        <w:rPr/>
        <w:t>higher learning approved by the State Board of Education for teacher training, and who is jointly assigned by such institution and the superintendent of the special school to perform practice teaching under the direction of a regularly employed and certified </w:t>
      </w:r>
      <w:r>
        <w:rPr>
          <w:spacing w:val="-2"/>
        </w:rPr>
        <w:t>teacher.</w:t>
      </w:r>
    </w:p>
    <w:p>
      <w:pPr>
        <w:pStyle w:val="BodyText"/>
        <w:spacing w:line="208" w:lineRule="auto"/>
        <w:ind w:right="759" w:firstLine="432"/>
      </w:pPr>
      <w:r>
        <w:rPr>
          <w:b/>
        </w:rPr>
        <w:t>"Teacher"</w:t>
      </w:r>
      <w:r>
        <w:rPr>
          <w:b/>
          <w:spacing w:val="-5"/>
        </w:rPr>
        <w:t> </w:t>
      </w:r>
      <w:r>
        <w:rPr/>
        <w:t>means</w:t>
      </w:r>
      <w:r>
        <w:rPr>
          <w:spacing w:val="-4"/>
        </w:rPr>
        <w:t> </w:t>
      </w:r>
      <w:r>
        <w:rPr/>
        <w:t>a</w:t>
      </w:r>
      <w:r>
        <w:rPr>
          <w:spacing w:val="-4"/>
        </w:rPr>
        <w:t> </w:t>
      </w:r>
      <w:r>
        <w:rPr/>
        <w:t>duly</w:t>
      </w:r>
      <w:r>
        <w:rPr>
          <w:spacing w:val="-4"/>
        </w:rPr>
        <w:t> </w:t>
      </w:r>
      <w:r>
        <w:rPr/>
        <w:t>certified</w:t>
      </w:r>
      <w:r>
        <w:rPr>
          <w:spacing w:val="-4"/>
        </w:rPr>
        <w:t> </w:t>
      </w:r>
      <w:r>
        <w:rPr/>
        <w:t>or</w:t>
      </w:r>
      <w:r>
        <w:rPr>
          <w:spacing w:val="-3"/>
        </w:rPr>
        <w:t> </w:t>
      </w:r>
      <w:r>
        <w:rPr/>
        <w:t>licensed</w:t>
      </w:r>
      <w:r>
        <w:rPr>
          <w:spacing w:val="-3"/>
        </w:rPr>
        <w:t> </w:t>
      </w:r>
      <w:r>
        <w:rPr/>
        <w:t>person</w:t>
      </w:r>
      <w:r>
        <w:rPr>
          <w:spacing w:val="-4"/>
        </w:rPr>
        <w:t> </w:t>
      </w:r>
      <w:r>
        <w:rPr/>
        <w:t>who</w:t>
      </w:r>
      <w:r>
        <w:rPr>
          <w:spacing w:val="-4"/>
        </w:rPr>
        <w:t> </w:t>
      </w:r>
      <w:r>
        <w:rPr/>
        <w:t>is</w:t>
      </w:r>
      <w:r>
        <w:rPr>
          <w:spacing w:val="-4"/>
        </w:rPr>
        <w:t> </w:t>
      </w:r>
      <w:r>
        <w:rPr/>
        <w:t>employed</w:t>
      </w:r>
      <w:r>
        <w:rPr>
          <w:spacing w:val="-4"/>
        </w:rPr>
        <w:t> </w:t>
      </w:r>
      <w:r>
        <w:rPr/>
        <w:t>as</w:t>
      </w:r>
      <w:r>
        <w:rPr>
          <w:spacing w:val="-4"/>
        </w:rPr>
        <w:t> </w:t>
      </w:r>
      <w:r>
        <w:rPr/>
        <w:t>a</w:t>
      </w:r>
      <w:r>
        <w:rPr>
          <w:spacing w:val="-4"/>
        </w:rPr>
        <w:t> </w:t>
      </w:r>
      <w:r>
        <w:rPr/>
        <w:t>member of the contracted instructional staff.</w:t>
      </w:r>
      <w:r>
        <w:rPr>
          <w:spacing w:val="80"/>
        </w:rPr>
        <w:t> </w:t>
      </w:r>
      <w:r>
        <w:rPr/>
        <w:t>Teachers include classroom instructors,</w:t>
      </w:r>
      <w:r>
        <w:rPr/>
        <w:t> counselors, librarians or any other persons serving in any instructional capacity.</w:t>
      </w:r>
      <w:r>
        <w:rPr>
          <w:spacing w:val="40"/>
        </w:rPr>
        <w:t> </w:t>
      </w:r>
      <w:r>
        <w:rPr/>
        <w:t>For purposes of complying with state and federal laws which apportion money on the basis</w:t>
      </w:r>
    </w:p>
    <w:p>
      <w:pPr>
        <w:pStyle w:val="BodyText"/>
        <w:spacing w:after="0" w:line="208" w:lineRule="auto"/>
        <w:sectPr>
          <w:pgSz w:w="12240" w:h="15840"/>
          <w:pgMar w:top="1340" w:bottom="280" w:left="1080" w:right="720"/>
        </w:sectPr>
      </w:pPr>
    </w:p>
    <w:p>
      <w:pPr>
        <w:pStyle w:val="BodyText"/>
        <w:spacing w:line="208" w:lineRule="auto" w:before="96"/>
        <w:ind w:right="775"/>
      </w:pPr>
      <w:r>
        <w:rPr/>
        <w:t>of</w:t>
      </w:r>
      <w:r>
        <w:rPr>
          <w:spacing w:val="-3"/>
        </w:rPr>
        <w:t> </w:t>
      </w:r>
      <w:r>
        <w:rPr/>
        <w:t>teaching</w:t>
      </w:r>
      <w:r>
        <w:rPr>
          <w:spacing w:val="-4"/>
        </w:rPr>
        <w:t> </w:t>
      </w:r>
      <w:r>
        <w:rPr/>
        <w:t>units</w:t>
      </w:r>
      <w:r>
        <w:rPr>
          <w:spacing w:val="-4"/>
        </w:rPr>
        <w:t> </w:t>
      </w:r>
      <w:r>
        <w:rPr/>
        <w:t>or</w:t>
      </w:r>
      <w:r>
        <w:rPr>
          <w:spacing w:val="-3"/>
        </w:rPr>
        <w:t> </w:t>
      </w:r>
      <w:r>
        <w:rPr/>
        <w:t>the</w:t>
      </w:r>
      <w:r>
        <w:rPr>
          <w:spacing w:val="-4"/>
        </w:rPr>
        <w:t> </w:t>
      </w:r>
      <w:r>
        <w:rPr/>
        <w:t>number</w:t>
      </w:r>
      <w:r>
        <w:rPr>
          <w:spacing w:val="-3"/>
        </w:rPr>
        <w:t> </w:t>
      </w:r>
      <w:r>
        <w:rPr/>
        <w:t>of</w:t>
      </w:r>
      <w:r>
        <w:rPr>
          <w:spacing w:val="-3"/>
        </w:rPr>
        <w:t> </w:t>
      </w:r>
      <w:r>
        <w:rPr/>
        <w:t>teachers</w:t>
      </w:r>
      <w:r>
        <w:rPr>
          <w:spacing w:val="-5"/>
        </w:rPr>
        <w:t> </w:t>
      </w:r>
      <w:r>
        <w:rPr/>
        <w:t>employed</w:t>
      </w:r>
      <w:r>
        <w:rPr>
          <w:spacing w:val="-3"/>
        </w:rPr>
        <w:t> </w:t>
      </w:r>
      <w:r>
        <w:rPr/>
        <w:t>or</w:t>
      </w:r>
      <w:r>
        <w:rPr>
          <w:spacing w:val="-3"/>
        </w:rPr>
        <w:t> </w:t>
      </w:r>
      <w:r>
        <w:rPr/>
        <w:t>qualified,</w:t>
      </w:r>
      <w:r>
        <w:rPr>
          <w:spacing w:val="-3"/>
        </w:rPr>
        <w:t> </w:t>
      </w:r>
      <w:r>
        <w:rPr/>
        <w:t>all</w:t>
      </w:r>
      <w:r>
        <w:rPr>
          <w:spacing w:val="-4"/>
        </w:rPr>
        <w:t> </w:t>
      </w:r>
      <w:r>
        <w:rPr/>
        <w:t>persons</w:t>
      </w:r>
      <w:r>
        <w:rPr>
          <w:spacing w:val="-4"/>
        </w:rPr>
        <w:t> </w:t>
      </w:r>
      <w:r>
        <w:rPr/>
        <w:t>holding proper certificates or licenses and connected in any capacity with the instruction of students shall be designated as "teachers."</w:t>
      </w:r>
    </w:p>
    <w:p>
      <w:pPr>
        <w:spacing w:before="243"/>
        <w:ind w:left="360" w:right="0" w:firstLine="0"/>
        <w:jc w:val="left"/>
        <w:rPr>
          <w:sz w:val="22"/>
        </w:rPr>
      </w:pPr>
      <w:r>
        <w:rPr>
          <w:sz w:val="22"/>
        </w:rPr>
        <w:t>Section</w:t>
      </w:r>
      <w:r>
        <w:rPr>
          <w:spacing w:val="-9"/>
          <w:sz w:val="22"/>
        </w:rPr>
        <w:t> </w:t>
      </w:r>
      <w:r>
        <w:rPr>
          <w:spacing w:val="-2"/>
          <w:sz w:val="22"/>
        </w:rPr>
        <w:t>History</w:t>
      </w:r>
    </w:p>
    <w:p>
      <w:pPr>
        <w:spacing w:line="253" w:lineRule="exact" w:before="1"/>
        <w:ind w:left="360" w:right="0" w:firstLine="0"/>
        <w:jc w:val="left"/>
        <w:rPr>
          <w:sz w:val="22"/>
        </w:rPr>
      </w:pPr>
      <w:r>
        <w:rPr>
          <w:sz w:val="22"/>
        </w:rPr>
        <w:t>10-12-95</w:t>
      </w:r>
      <w:r>
        <w:rPr>
          <w:spacing w:val="30"/>
          <w:sz w:val="22"/>
        </w:rPr>
        <w:t>  </w:t>
      </w:r>
      <w:r>
        <w:rPr>
          <w:sz w:val="22"/>
        </w:rPr>
        <w:t>PT</w:t>
      </w:r>
      <w:r>
        <w:rPr>
          <w:spacing w:val="-3"/>
          <w:sz w:val="22"/>
        </w:rPr>
        <w:t> </w:t>
      </w:r>
      <w:r>
        <w:rPr>
          <w:sz w:val="22"/>
        </w:rPr>
        <w:t>Memo</w:t>
      </w:r>
      <w:r>
        <w:rPr>
          <w:spacing w:val="-5"/>
          <w:sz w:val="22"/>
        </w:rPr>
        <w:t> </w:t>
      </w:r>
      <w:r>
        <w:rPr>
          <w:sz w:val="22"/>
        </w:rPr>
        <w:t>#95-</w:t>
      </w:r>
      <w:r>
        <w:rPr>
          <w:spacing w:val="-10"/>
          <w:sz w:val="22"/>
        </w:rPr>
        <w:t>3</w:t>
      </w:r>
    </w:p>
    <w:p>
      <w:pPr>
        <w:tabs>
          <w:tab w:pos="1439" w:val="left" w:leader="none"/>
        </w:tabs>
        <w:spacing w:before="0"/>
        <w:ind w:left="359" w:right="6564" w:firstLine="1080"/>
        <w:jc w:val="left"/>
        <w:rPr>
          <w:sz w:val="22"/>
        </w:rPr>
      </w:pPr>
      <w:r>
        <w:rPr>
          <w:sz w:val="22"/>
        </w:rPr>
        <w:t>Emergency,</w:t>
      </w:r>
      <w:r>
        <w:rPr>
          <w:spacing w:val="-16"/>
          <w:sz w:val="22"/>
        </w:rPr>
        <w:t> </w:t>
      </w:r>
      <w:r>
        <w:rPr>
          <w:sz w:val="22"/>
        </w:rPr>
        <w:t>new</w:t>
      </w:r>
      <w:r>
        <w:rPr>
          <w:spacing w:val="-15"/>
          <w:sz w:val="22"/>
        </w:rPr>
        <w:t> </w:t>
      </w:r>
      <w:r>
        <w:rPr>
          <w:sz w:val="22"/>
        </w:rPr>
        <w:t>Section </w:t>
      </w:r>
      <w:r>
        <w:rPr>
          <w:spacing w:val="-2"/>
          <w:sz w:val="22"/>
        </w:rPr>
        <w:t>8-1-96</w:t>
      </w:r>
      <w:r>
        <w:rPr>
          <w:sz w:val="22"/>
        </w:rPr>
        <w:tab/>
        <w:t>PT Memo #97-2</w:t>
      </w:r>
    </w:p>
    <w:p>
      <w:pPr>
        <w:tabs>
          <w:tab w:pos="1439" w:val="left" w:leader="none"/>
        </w:tabs>
        <w:spacing w:before="0"/>
        <w:ind w:left="359" w:right="2945" w:firstLine="1080"/>
        <w:jc w:val="left"/>
        <w:rPr>
          <w:sz w:val="22"/>
        </w:rPr>
      </w:pPr>
      <w:r>
        <w:rPr>
          <w:sz w:val="22"/>
        </w:rPr>
        <w:t>Permanent</w:t>
      </w:r>
      <w:r>
        <w:rPr>
          <w:spacing w:val="-7"/>
          <w:sz w:val="22"/>
        </w:rPr>
        <w:t> </w:t>
      </w:r>
      <w:r>
        <w:rPr>
          <w:sz w:val="22"/>
        </w:rPr>
        <w:t>rules</w:t>
      </w:r>
      <w:r>
        <w:rPr>
          <w:spacing w:val="-7"/>
          <w:sz w:val="22"/>
        </w:rPr>
        <w:t> </w:t>
      </w:r>
      <w:r>
        <w:rPr>
          <w:sz w:val="22"/>
        </w:rPr>
        <w:t>supersede</w:t>
      </w:r>
      <w:r>
        <w:rPr>
          <w:spacing w:val="-7"/>
          <w:sz w:val="22"/>
        </w:rPr>
        <w:t> </w:t>
      </w:r>
      <w:r>
        <w:rPr>
          <w:sz w:val="22"/>
        </w:rPr>
        <w:t>Emergency</w:t>
      </w:r>
      <w:r>
        <w:rPr>
          <w:spacing w:val="-7"/>
          <w:sz w:val="22"/>
        </w:rPr>
        <w:t> </w:t>
      </w:r>
      <w:r>
        <w:rPr>
          <w:sz w:val="22"/>
        </w:rPr>
        <w:t>rules</w:t>
      </w:r>
      <w:r>
        <w:rPr>
          <w:spacing w:val="-7"/>
          <w:sz w:val="22"/>
        </w:rPr>
        <w:t> </w:t>
      </w:r>
      <w:r>
        <w:rPr>
          <w:sz w:val="22"/>
        </w:rPr>
        <w:t>issued</w:t>
      </w:r>
      <w:r>
        <w:rPr>
          <w:spacing w:val="-7"/>
          <w:sz w:val="22"/>
        </w:rPr>
        <w:t> </w:t>
      </w:r>
      <w:r>
        <w:rPr>
          <w:sz w:val="22"/>
        </w:rPr>
        <w:t>10-12-95 </w:t>
      </w:r>
      <w:r>
        <w:rPr>
          <w:spacing w:val="-2"/>
          <w:sz w:val="22"/>
        </w:rPr>
        <w:t>7-1-02</w:t>
      </w:r>
      <w:r>
        <w:rPr>
          <w:sz w:val="22"/>
        </w:rPr>
        <w:tab/>
        <w:t>PT Memo #02-02</w:t>
      </w:r>
    </w:p>
    <w:p>
      <w:pPr>
        <w:spacing w:before="0"/>
        <w:ind w:left="1439" w:right="0" w:firstLine="0"/>
        <w:jc w:val="left"/>
        <w:rPr>
          <w:sz w:val="22"/>
        </w:rPr>
      </w:pPr>
      <w:r>
        <w:rPr>
          <w:sz w:val="22"/>
        </w:rPr>
        <w:t>Permanent</w:t>
      </w:r>
      <w:r>
        <w:rPr>
          <w:spacing w:val="-7"/>
          <w:sz w:val="22"/>
        </w:rPr>
        <w:t> </w:t>
      </w:r>
      <w:r>
        <w:rPr>
          <w:sz w:val="22"/>
        </w:rPr>
        <w:t>rules:</w:t>
      </w:r>
      <w:r>
        <w:rPr>
          <w:spacing w:val="47"/>
          <w:sz w:val="22"/>
        </w:rPr>
        <w:t> </w:t>
      </w:r>
      <w:r>
        <w:rPr>
          <w:sz w:val="22"/>
        </w:rPr>
        <w:t>Updated</w:t>
      </w:r>
      <w:r>
        <w:rPr>
          <w:spacing w:val="-7"/>
          <w:sz w:val="22"/>
        </w:rPr>
        <w:t> </w:t>
      </w:r>
      <w:r>
        <w:rPr>
          <w:spacing w:val="-2"/>
          <w:sz w:val="22"/>
        </w:rPr>
        <w:t>definitions</w:t>
      </w:r>
    </w:p>
    <w:p>
      <w:pPr>
        <w:spacing w:after="0"/>
        <w:jc w:val="left"/>
        <w:rPr>
          <w:sz w:val="22"/>
        </w:rPr>
        <w:sectPr>
          <w:pgSz w:w="12240" w:h="15840"/>
          <w:pgMar w:top="1340" w:bottom="280" w:left="1080" w:right="720"/>
        </w:sectPr>
      </w:pPr>
    </w:p>
    <w:p>
      <w:pPr>
        <w:pStyle w:val="Heading2"/>
      </w:pPr>
      <w:bookmarkStart w:name="612:20-2-3.  Support employees" w:id="322"/>
      <w:bookmarkEnd w:id="322"/>
      <w:r>
        <w:rPr>
          <w:b w:val="0"/>
        </w:rPr>
      </w:r>
      <w:r>
        <w:rPr/>
        <w:t>612:20-2-3.</w:t>
      </w:r>
      <w:r>
        <w:rPr>
          <w:spacing w:val="58"/>
        </w:rPr>
        <w:t> </w:t>
      </w:r>
      <w:r>
        <w:rPr/>
        <w:t>Support</w:t>
      </w:r>
      <w:r>
        <w:rPr>
          <w:spacing w:val="-4"/>
        </w:rPr>
        <w:t> </w:t>
      </w:r>
      <w:r>
        <w:rPr>
          <w:spacing w:val="-2"/>
        </w:rPr>
        <w:t>employees</w:t>
      </w:r>
    </w:p>
    <w:p>
      <w:pPr>
        <w:pStyle w:val="BodyText"/>
        <w:spacing w:line="208" w:lineRule="auto" w:before="233"/>
        <w:ind w:right="739" w:firstLine="432"/>
      </w:pPr>
      <w:r>
        <w:rPr/>
        <w:t>A</w:t>
      </w:r>
      <w:r>
        <w:rPr>
          <w:spacing w:val="-3"/>
        </w:rPr>
        <w:t> </w:t>
      </w:r>
      <w:r>
        <w:rPr/>
        <w:t>support</w:t>
      </w:r>
      <w:r>
        <w:rPr>
          <w:spacing w:val="-2"/>
        </w:rPr>
        <w:t> </w:t>
      </w:r>
      <w:r>
        <w:rPr/>
        <w:t>employee</w:t>
      </w:r>
      <w:r>
        <w:rPr>
          <w:spacing w:val="-3"/>
        </w:rPr>
        <w:t> </w:t>
      </w:r>
      <w:r>
        <w:rPr/>
        <w:t>is</w:t>
      </w:r>
      <w:r>
        <w:rPr>
          <w:spacing w:val="-3"/>
        </w:rPr>
        <w:t> </w:t>
      </w:r>
      <w:r>
        <w:rPr/>
        <w:t>an</w:t>
      </w:r>
      <w:r>
        <w:rPr>
          <w:spacing w:val="-3"/>
        </w:rPr>
        <w:t> </w:t>
      </w:r>
      <w:r>
        <w:rPr/>
        <w:t>employee</w:t>
      </w:r>
      <w:r>
        <w:rPr>
          <w:spacing w:val="-3"/>
        </w:rPr>
        <w:t> </w:t>
      </w:r>
      <w:r>
        <w:rPr/>
        <w:t>who</w:t>
      </w:r>
      <w:r>
        <w:rPr>
          <w:spacing w:val="-3"/>
        </w:rPr>
        <w:t> </w:t>
      </w:r>
      <w:r>
        <w:rPr/>
        <w:t>is</w:t>
      </w:r>
      <w:r>
        <w:rPr>
          <w:spacing w:val="-3"/>
        </w:rPr>
        <w:t> </w:t>
      </w:r>
      <w:r>
        <w:rPr/>
        <w:t>not</w:t>
      </w:r>
      <w:r>
        <w:rPr>
          <w:spacing w:val="-2"/>
        </w:rPr>
        <w:t> </w:t>
      </w:r>
      <w:r>
        <w:rPr/>
        <w:t>on</w:t>
      </w:r>
      <w:r>
        <w:rPr>
          <w:spacing w:val="-3"/>
        </w:rPr>
        <w:t> </w:t>
      </w:r>
      <w:r>
        <w:rPr/>
        <w:t>contract,</w:t>
      </w:r>
      <w:r>
        <w:rPr>
          <w:spacing w:val="-2"/>
        </w:rPr>
        <w:t> </w:t>
      </w:r>
      <w:r>
        <w:rPr/>
        <w:t>and</w:t>
      </w:r>
      <w:r>
        <w:rPr>
          <w:spacing w:val="-3"/>
        </w:rPr>
        <w:t> </w:t>
      </w:r>
      <w:r>
        <w:rPr/>
        <w:t>who</w:t>
      </w:r>
      <w:r>
        <w:rPr>
          <w:spacing w:val="-3"/>
        </w:rPr>
        <w:t> </w:t>
      </w:r>
      <w:r>
        <w:rPr/>
        <w:t>provides</w:t>
      </w:r>
      <w:r>
        <w:rPr>
          <w:spacing w:val="-3"/>
        </w:rPr>
        <w:t> </w:t>
      </w:r>
      <w:r>
        <w:rPr/>
        <w:t>those services which are not performed by contracted instructional personnel, and which are necessary for the efficient and satisfactory functioning of a special school. Support employees are subject to the Department's personnel policies in Chapter 3 of this Title and are not subject to, nor may avail themselves of, the provisions of this Subchapter.</w:t>
      </w:r>
    </w:p>
    <w:p>
      <w:pPr>
        <w:spacing w:before="243"/>
        <w:ind w:left="360" w:right="0" w:firstLine="0"/>
        <w:jc w:val="left"/>
        <w:rPr>
          <w:sz w:val="22"/>
        </w:rPr>
      </w:pPr>
      <w:r>
        <w:rPr>
          <w:sz w:val="22"/>
        </w:rPr>
        <w:t>Section</w:t>
      </w:r>
      <w:r>
        <w:rPr>
          <w:spacing w:val="-9"/>
          <w:sz w:val="22"/>
        </w:rPr>
        <w:t> </w:t>
      </w:r>
      <w:r>
        <w:rPr>
          <w:spacing w:val="-2"/>
          <w:sz w:val="22"/>
        </w:rPr>
        <w:t>History</w:t>
      </w:r>
    </w:p>
    <w:p>
      <w:pPr>
        <w:spacing w:line="253" w:lineRule="exact" w:before="0"/>
        <w:ind w:left="360" w:right="0" w:firstLine="0"/>
        <w:jc w:val="left"/>
        <w:rPr>
          <w:sz w:val="22"/>
        </w:rPr>
      </w:pPr>
      <w:r>
        <w:rPr>
          <w:sz w:val="22"/>
        </w:rPr>
        <w:t>10-12-95</w:t>
      </w:r>
      <w:r>
        <w:rPr>
          <w:spacing w:val="30"/>
          <w:sz w:val="22"/>
        </w:rPr>
        <w:t>  </w:t>
      </w:r>
      <w:r>
        <w:rPr>
          <w:sz w:val="22"/>
        </w:rPr>
        <w:t>PT</w:t>
      </w:r>
      <w:r>
        <w:rPr>
          <w:spacing w:val="-3"/>
          <w:sz w:val="22"/>
        </w:rPr>
        <w:t> </w:t>
      </w:r>
      <w:r>
        <w:rPr>
          <w:sz w:val="22"/>
        </w:rPr>
        <w:t>Memo</w:t>
      </w:r>
      <w:r>
        <w:rPr>
          <w:spacing w:val="-5"/>
          <w:sz w:val="22"/>
        </w:rPr>
        <w:t> </w:t>
      </w:r>
      <w:r>
        <w:rPr>
          <w:sz w:val="22"/>
        </w:rPr>
        <w:t>#95-</w:t>
      </w:r>
      <w:r>
        <w:rPr>
          <w:spacing w:val="-10"/>
          <w:sz w:val="22"/>
        </w:rPr>
        <w:t>3</w:t>
      </w:r>
    </w:p>
    <w:p>
      <w:pPr>
        <w:tabs>
          <w:tab w:pos="1439" w:val="left" w:leader="none"/>
        </w:tabs>
        <w:spacing w:before="0"/>
        <w:ind w:left="359" w:right="6564" w:firstLine="1080"/>
        <w:jc w:val="left"/>
        <w:rPr>
          <w:sz w:val="22"/>
        </w:rPr>
      </w:pPr>
      <w:r>
        <w:rPr>
          <w:sz w:val="22"/>
        </w:rPr>
        <w:t>Emergency,</w:t>
      </w:r>
      <w:r>
        <w:rPr>
          <w:spacing w:val="-16"/>
          <w:sz w:val="22"/>
        </w:rPr>
        <w:t> </w:t>
      </w:r>
      <w:r>
        <w:rPr>
          <w:sz w:val="22"/>
        </w:rPr>
        <w:t>new</w:t>
      </w:r>
      <w:r>
        <w:rPr>
          <w:spacing w:val="-15"/>
          <w:sz w:val="22"/>
        </w:rPr>
        <w:t> </w:t>
      </w:r>
      <w:r>
        <w:rPr>
          <w:sz w:val="22"/>
        </w:rPr>
        <w:t>Section </w:t>
      </w:r>
      <w:r>
        <w:rPr>
          <w:spacing w:val="-2"/>
          <w:sz w:val="22"/>
        </w:rPr>
        <w:t>8-1-96</w:t>
      </w:r>
      <w:r>
        <w:rPr>
          <w:sz w:val="22"/>
        </w:rPr>
        <w:tab/>
        <w:t>PT Memo #97-2</w:t>
      </w:r>
    </w:p>
    <w:p>
      <w:pPr>
        <w:spacing w:before="0"/>
        <w:ind w:left="1439" w:right="0" w:firstLine="0"/>
        <w:jc w:val="left"/>
        <w:rPr>
          <w:sz w:val="22"/>
        </w:rPr>
      </w:pPr>
      <w:r>
        <w:rPr>
          <w:sz w:val="22"/>
        </w:rPr>
        <w:t>Permanent</w:t>
      </w:r>
      <w:r>
        <w:rPr>
          <w:spacing w:val="-11"/>
          <w:sz w:val="22"/>
        </w:rPr>
        <w:t> </w:t>
      </w:r>
      <w:r>
        <w:rPr>
          <w:sz w:val="22"/>
        </w:rPr>
        <w:t>rules</w:t>
      </w:r>
      <w:r>
        <w:rPr>
          <w:spacing w:val="-10"/>
          <w:sz w:val="22"/>
        </w:rPr>
        <w:t> </w:t>
      </w:r>
      <w:r>
        <w:rPr>
          <w:sz w:val="22"/>
        </w:rPr>
        <w:t>supersede</w:t>
      </w:r>
      <w:r>
        <w:rPr>
          <w:spacing w:val="-10"/>
          <w:sz w:val="22"/>
        </w:rPr>
        <w:t> </w:t>
      </w:r>
      <w:r>
        <w:rPr>
          <w:sz w:val="22"/>
        </w:rPr>
        <w:t>Emergency</w:t>
      </w:r>
      <w:r>
        <w:rPr>
          <w:spacing w:val="-10"/>
          <w:sz w:val="22"/>
        </w:rPr>
        <w:t> </w:t>
      </w:r>
      <w:r>
        <w:rPr>
          <w:sz w:val="22"/>
        </w:rPr>
        <w:t>rules</w:t>
      </w:r>
      <w:r>
        <w:rPr>
          <w:spacing w:val="-11"/>
          <w:sz w:val="22"/>
        </w:rPr>
        <w:t> </w:t>
      </w:r>
      <w:r>
        <w:rPr>
          <w:sz w:val="22"/>
        </w:rPr>
        <w:t>issued</w:t>
      </w:r>
      <w:r>
        <w:rPr>
          <w:spacing w:val="-10"/>
          <w:sz w:val="22"/>
        </w:rPr>
        <w:t> </w:t>
      </w:r>
      <w:r>
        <w:rPr>
          <w:sz w:val="22"/>
        </w:rPr>
        <w:t>10-12-</w:t>
      </w:r>
      <w:r>
        <w:rPr>
          <w:spacing w:val="-5"/>
          <w:sz w:val="22"/>
        </w:rPr>
        <w:t>95</w:t>
      </w:r>
    </w:p>
    <w:p>
      <w:pPr>
        <w:spacing w:after="0"/>
        <w:jc w:val="left"/>
        <w:rPr>
          <w:sz w:val="22"/>
        </w:rPr>
        <w:sectPr>
          <w:pgSz w:w="12240" w:h="15840"/>
          <w:pgMar w:top="1340" w:bottom="280" w:left="1080" w:right="720"/>
        </w:sectPr>
      </w:pPr>
    </w:p>
    <w:p>
      <w:pPr>
        <w:pStyle w:val="Heading2"/>
      </w:pPr>
      <w:bookmarkStart w:name="612:20-2-4.  Recruitment and selection" w:id="323"/>
      <w:bookmarkEnd w:id="323"/>
      <w:r>
        <w:rPr>
          <w:b w:val="0"/>
        </w:rPr>
      </w:r>
      <w:r>
        <w:rPr/>
        <w:t>612:20-2-4.</w:t>
      </w:r>
      <w:r>
        <w:rPr>
          <w:spacing w:val="59"/>
        </w:rPr>
        <w:t> </w:t>
      </w:r>
      <w:r>
        <w:rPr/>
        <w:t>Recruitment</w:t>
      </w:r>
      <w:r>
        <w:rPr>
          <w:spacing w:val="-4"/>
        </w:rPr>
        <w:t> </w:t>
      </w:r>
      <w:r>
        <w:rPr/>
        <w:t>and</w:t>
      </w:r>
      <w:r>
        <w:rPr>
          <w:spacing w:val="-4"/>
        </w:rPr>
        <w:t> </w:t>
      </w:r>
      <w:r>
        <w:rPr>
          <w:spacing w:val="-2"/>
        </w:rPr>
        <w:t>selection</w:t>
      </w:r>
    </w:p>
    <w:p>
      <w:pPr>
        <w:pStyle w:val="ListParagraph"/>
        <w:numPr>
          <w:ilvl w:val="0"/>
          <w:numId w:val="327"/>
        </w:numPr>
        <w:tabs>
          <w:tab w:pos="786" w:val="left" w:leader="none"/>
        </w:tabs>
        <w:spacing w:line="208" w:lineRule="auto" w:before="233" w:after="0"/>
        <w:ind w:left="360" w:right="1328" w:firstLine="0"/>
        <w:jc w:val="left"/>
        <w:rPr>
          <w:sz w:val="24"/>
        </w:rPr>
      </w:pPr>
      <w:r>
        <w:rPr>
          <w:b/>
          <w:sz w:val="24"/>
        </w:rPr>
        <w:t>Recruitment. </w:t>
      </w:r>
      <w:r>
        <w:rPr>
          <w:sz w:val="24"/>
        </w:rPr>
        <w:t>Job announcements approved by DRS for vacant contracted instructional</w:t>
      </w:r>
      <w:r>
        <w:rPr>
          <w:spacing w:val="-5"/>
          <w:sz w:val="24"/>
        </w:rPr>
        <w:t> </w:t>
      </w:r>
      <w:r>
        <w:rPr>
          <w:sz w:val="24"/>
        </w:rPr>
        <w:t>personnel</w:t>
      </w:r>
      <w:r>
        <w:rPr>
          <w:spacing w:val="-4"/>
          <w:sz w:val="24"/>
        </w:rPr>
        <w:t> </w:t>
      </w:r>
      <w:r>
        <w:rPr>
          <w:sz w:val="24"/>
        </w:rPr>
        <w:t>positions</w:t>
      </w:r>
      <w:r>
        <w:rPr>
          <w:spacing w:val="-5"/>
          <w:sz w:val="24"/>
        </w:rPr>
        <w:t> </w:t>
      </w:r>
      <w:r>
        <w:rPr>
          <w:sz w:val="24"/>
        </w:rPr>
        <w:t>may</w:t>
      </w:r>
      <w:r>
        <w:rPr>
          <w:spacing w:val="-5"/>
          <w:sz w:val="24"/>
        </w:rPr>
        <w:t> </w:t>
      </w:r>
      <w:r>
        <w:rPr>
          <w:sz w:val="24"/>
        </w:rPr>
        <w:t>be</w:t>
      </w:r>
      <w:r>
        <w:rPr>
          <w:spacing w:val="-5"/>
          <w:sz w:val="24"/>
        </w:rPr>
        <w:t> </w:t>
      </w:r>
      <w:r>
        <w:rPr>
          <w:sz w:val="24"/>
        </w:rPr>
        <w:t>circulated</w:t>
      </w:r>
      <w:r>
        <w:rPr>
          <w:spacing w:val="-5"/>
          <w:sz w:val="24"/>
        </w:rPr>
        <w:t> </w:t>
      </w:r>
      <w:r>
        <w:rPr>
          <w:sz w:val="24"/>
        </w:rPr>
        <w:t>in-state</w:t>
      </w:r>
      <w:r>
        <w:rPr>
          <w:spacing w:val="-5"/>
          <w:sz w:val="24"/>
        </w:rPr>
        <w:t> </w:t>
      </w:r>
      <w:r>
        <w:rPr>
          <w:sz w:val="24"/>
        </w:rPr>
        <w:t>and</w:t>
      </w:r>
      <w:r>
        <w:rPr>
          <w:spacing w:val="-5"/>
          <w:sz w:val="24"/>
        </w:rPr>
        <w:t> </w:t>
      </w:r>
      <w:r>
        <w:rPr>
          <w:sz w:val="24"/>
        </w:rPr>
        <w:t>nationally</w:t>
      </w:r>
      <w:r>
        <w:rPr>
          <w:spacing w:val="-5"/>
          <w:sz w:val="24"/>
        </w:rPr>
        <w:t> </w:t>
      </w:r>
      <w:r>
        <w:rPr>
          <w:sz w:val="24"/>
        </w:rPr>
        <w:t>to</w:t>
      </w:r>
      <w:r>
        <w:rPr>
          <w:spacing w:val="-5"/>
          <w:sz w:val="24"/>
        </w:rPr>
        <w:t> </w:t>
      </w:r>
      <w:r>
        <w:rPr>
          <w:sz w:val="24"/>
        </w:rPr>
        <w:t>obtain qualified applicants.</w:t>
      </w:r>
    </w:p>
    <w:p>
      <w:pPr>
        <w:pStyle w:val="ListParagraph"/>
        <w:numPr>
          <w:ilvl w:val="0"/>
          <w:numId w:val="327"/>
        </w:numPr>
        <w:tabs>
          <w:tab w:pos="786" w:val="left" w:leader="none"/>
        </w:tabs>
        <w:spacing w:line="208" w:lineRule="auto" w:before="240" w:after="0"/>
        <w:ind w:left="360" w:right="978" w:firstLine="0"/>
        <w:jc w:val="left"/>
        <w:rPr>
          <w:sz w:val="24"/>
        </w:rPr>
      </w:pPr>
      <w:r>
        <w:rPr>
          <w:b/>
          <w:sz w:val="24"/>
        </w:rPr>
        <w:t>Selection.</w:t>
      </w:r>
      <w:r>
        <w:rPr>
          <w:b/>
          <w:spacing w:val="-4"/>
          <w:sz w:val="24"/>
        </w:rPr>
        <w:t> </w:t>
      </w:r>
      <w:r>
        <w:rPr>
          <w:sz w:val="24"/>
        </w:rPr>
        <w:t>Qualified</w:t>
      </w:r>
      <w:r>
        <w:rPr>
          <w:spacing w:val="-4"/>
          <w:sz w:val="24"/>
        </w:rPr>
        <w:t> </w:t>
      </w:r>
      <w:r>
        <w:rPr>
          <w:sz w:val="24"/>
        </w:rPr>
        <w:t>applicants</w:t>
      </w:r>
      <w:r>
        <w:rPr>
          <w:spacing w:val="-4"/>
          <w:sz w:val="24"/>
        </w:rPr>
        <w:t> </w:t>
      </w:r>
      <w:r>
        <w:rPr>
          <w:sz w:val="24"/>
        </w:rPr>
        <w:t>will</w:t>
      </w:r>
      <w:r>
        <w:rPr>
          <w:spacing w:val="-4"/>
          <w:sz w:val="24"/>
        </w:rPr>
        <w:t> </w:t>
      </w:r>
      <w:r>
        <w:rPr>
          <w:sz w:val="24"/>
        </w:rPr>
        <w:t>be</w:t>
      </w:r>
      <w:r>
        <w:rPr>
          <w:spacing w:val="-4"/>
          <w:sz w:val="24"/>
        </w:rPr>
        <w:t> </w:t>
      </w:r>
      <w:r>
        <w:rPr>
          <w:sz w:val="24"/>
        </w:rPr>
        <w:t>interviewed</w:t>
      </w:r>
      <w:r>
        <w:rPr>
          <w:spacing w:val="-4"/>
          <w:sz w:val="24"/>
        </w:rPr>
        <w:t> </w:t>
      </w:r>
      <w:r>
        <w:rPr>
          <w:sz w:val="24"/>
        </w:rPr>
        <w:t>by</w:t>
      </w:r>
      <w:r>
        <w:rPr>
          <w:spacing w:val="-4"/>
          <w:sz w:val="24"/>
        </w:rPr>
        <w:t> </w:t>
      </w:r>
      <w:r>
        <w:rPr>
          <w:sz w:val="24"/>
        </w:rPr>
        <w:t>the</w:t>
      </w:r>
      <w:r>
        <w:rPr>
          <w:spacing w:val="-4"/>
          <w:sz w:val="24"/>
        </w:rPr>
        <w:t> </w:t>
      </w:r>
      <w:r>
        <w:rPr>
          <w:sz w:val="24"/>
        </w:rPr>
        <w:t>Superintendent</w:t>
      </w:r>
      <w:r>
        <w:rPr>
          <w:spacing w:val="-3"/>
          <w:sz w:val="24"/>
        </w:rPr>
        <w:t> </w:t>
      </w:r>
      <w:r>
        <w:rPr>
          <w:sz w:val="24"/>
        </w:rPr>
        <w:t>and/or</w:t>
      </w:r>
      <w:r>
        <w:rPr>
          <w:spacing w:val="-3"/>
          <w:sz w:val="24"/>
        </w:rPr>
        <w:t> </w:t>
      </w:r>
      <w:r>
        <w:rPr>
          <w:sz w:val="24"/>
        </w:rPr>
        <w:t>a designated committee. Final selection will be made by the DRS Director upon the recommendation of the Superintendent.</w:t>
      </w:r>
    </w:p>
    <w:p>
      <w:pPr>
        <w:pStyle w:val="ListParagraph"/>
        <w:numPr>
          <w:ilvl w:val="0"/>
          <w:numId w:val="327"/>
        </w:numPr>
        <w:tabs>
          <w:tab w:pos="773" w:val="left" w:leader="none"/>
        </w:tabs>
        <w:spacing w:line="208" w:lineRule="auto" w:before="239" w:after="0"/>
        <w:ind w:left="360" w:right="818" w:firstLine="0"/>
        <w:jc w:val="left"/>
        <w:rPr>
          <w:sz w:val="24"/>
        </w:rPr>
      </w:pPr>
      <w:r>
        <w:rPr>
          <w:b/>
          <w:sz w:val="24"/>
        </w:rPr>
        <w:t>EEO/AA compliance. </w:t>
      </w:r>
      <w:r>
        <w:rPr>
          <w:sz w:val="24"/>
        </w:rPr>
        <w:t>The special schools will operate in compliance with equal employment</w:t>
      </w:r>
      <w:r>
        <w:rPr>
          <w:spacing w:val="-3"/>
          <w:sz w:val="24"/>
        </w:rPr>
        <w:t> </w:t>
      </w:r>
      <w:r>
        <w:rPr>
          <w:sz w:val="24"/>
        </w:rPr>
        <w:t>opportunity</w:t>
      </w:r>
      <w:r>
        <w:rPr>
          <w:spacing w:val="-4"/>
          <w:sz w:val="24"/>
        </w:rPr>
        <w:t> </w:t>
      </w:r>
      <w:r>
        <w:rPr>
          <w:sz w:val="24"/>
        </w:rPr>
        <w:t>and</w:t>
      </w:r>
      <w:r>
        <w:rPr>
          <w:spacing w:val="-4"/>
          <w:sz w:val="24"/>
        </w:rPr>
        <w:t> </w:t>
      </w:r>
      <w:r>
        <w:rPr>
          <w:sz w:val="24"/>
        </w:rPr>
        <w:t>affirmative</w:t>
      </w:r>
      <w:r>
        <w:rPr>
          <w:spacing w:val="-4"/>
          <w:sz w:val="24"/>
        </w:rPr>
        <w:t> </w:t>
      </w:r>
      <w:r>
        <w:rPr>
          <w:sz w:val="24"/>
        </w:rPr>
        <w:t>action</w:t>
      </w:r>
      <w:r>
        <w:rPr>
          <w:spacing w:val="-4"/>
          <w:sz w:val="24"/>
        </w:rPr>
        <w:t> </w:t>
      </w:r>
      <w:r>
        <w:rPr>
          <w:sz w:val="24"/>
        </w:rPr>
        <w:t>requirements</w:t>
      </w:r>
      <w:r>
        <w:rPr>
          <w:spacing w:val="-4"/>
          <w:sz w:val="24"/>
        </w:rPr>
        <w:t> </w:t>
      </w:r>
      <w:r>
        <w:rPr>
          <w:sz w:val="24"/>
        </w:rPr>
        <w:t>of</w:t>
      </w:r>
      <w:r>
        <w:rPr>
          <w:spacing w:val="-3"/>
          <w:sz w:val="24"/>
        </w:rPr>
        <w:t> </w:t>
      </w:r>
      <w:r>
        <w:rPr>
          <w:sz w:val="24"/>
        </w:rPr>
        <w:t>DRS,</w:t>
      </w:r>
      <w:r>
        <w:rPr>
          <w:spacing w:val="-3"/>
          <w:sz w:val="24"/>
        </w:rPr>
        <w:t> </w:t>
      </w:r>
      <w:r>
        <w:rPr>
          <w:sz w:val="24"/>
        </w:rPr>
        <w:t>State</w:t>
      </w:r>
      <w:r>
        <w:rPr>
          <w:spacing w:val="-4"/>
          <w:sz w:val="24"/>
        </w:rPr>
        <w:t> </w:t>
      </w:r>
      <w:r>
        <w:rPr>
          <w:sz w:val="24"/>
        </w:rPr>
        <w:t>and</w:t>
      </w:r>
      <w:r>
        <w:rPr>
          <w:spacing w:val="-4"/>
          <w:sz w:val="24"/>
        </w:rPr>
        <w:t> </w:t>
      </w:r>
      <w:r>
        <w:rPr>
          <w:sz w:val="24"/>
        </w:rPr>
        <w:t>Federal </w:t>
      </w:r>
      <w:r>
        <w:rPr>
          <w:spacing w:val="-4"/>
          <w:sz w:val="24"/>
        </w:rPr>
        <w:t>law.</w:t>
      </w:r>
    </w:p>
    <w:p>
      <w:pPr>
        <w:pStyle w:val="ListParagraph"/>
        <w:numPr>
          <w:ilvl w:val="0"/>
          <w:numId w:val="327"/>
        </w:numPr>
        <w:tabs>
          <w:tab w:pos="786" w:val="left" w:leader="none"/>
        </w:tabs>
        <w:spacing w:line="208" w:lineRule="auto" w:before="240" w:after="0"/>
        <w:ind w:left="360" w:right="766" w:firstLine="0"/>
        <w:jc w:val="left"/>
        <w:rPr>
          <w:sz w:val="24"/>
        </w:rPr>
      </w:pPr>
      <w:r>
        <w:rPr>
          <w:b/>
          <w:sz w:val="24"/>
        </w:rPr>
        <w:t>Felony conviction search request. </w:t>
      </w:r>
      <w:r>
        <w:rPr>
          <w:sz w:val="24"/>
        </w:rPr>
        <w:t>A felony conviction search request shall be made on every applicant accepting an offer of employment with the Department as contracted instructional personnel. The selected applicant may be employed pending the</w:t>
      </w:r>
      <w:r>
        <w:rPr>
          <w:spacing w:val="-4"/>
          <w:sz w:val="24"/>
        </w:rPr>
        <w:t> </w:t>
      </w:r>
      <w:r>
        <w:rPr>
          <w:sz w:val="24"/>
        </w:rPr>
        <w:t>results</w:t>
      </w:r>
      <w:r>
        <w:rPr>
          <w:spacing w:val="-5"/>
          <w:sz w:val="24"/>
        </w:rPr>
        <w:t> </w:t>
      </w:r>
      <w:r>
        <w:rPr>
          <w:sz w:val="24"/>
        </w:rPr>
        <w:t>of</w:t>
      </w:r>
      <w:r>
        <w:rPr>
          <w:spacing w:val="-3"/>
          <w:sz w:val="24"/>
        </w:rPr>
        <w:t> </w:t>
      </w:r>
      <w:r>
        <w:rPr>
          <w:sz w:val="24"/>
        </w:rPr>
        <w:t>a</w:t>
      </w:r>
      <w:r>
        <w:rPr>
          <w:spacing w:val="-4"/>
          <w:sz w:val="24"/>
        </w:rPr>
        <w:t> </w:t>
      </w:r>
      <w:r>
        <w:rPr>
          <w:sz w:val="24"/>
        </w:rPr>
        <w:t>felony</w:t>
      </w:r>
      <w:r>
        <w:rPr>
          <w:spacing w:val="-5"/>
          <w:sz w:val="24"/>
        </w:rPr>
        <w:t> </w:t>
      </w:r>
      <w:r>
        <w:rPr>
          <w:sz w:val="24"/>
        </w:rPr>
        <w:t>conviction</w:t>
      </w:r>
      <w:r>
        <w:rPr>
          <w:spacing w:val="-3"/>
          <w:sz w:val="24"/>
        </w:rPr>
        <w:t> </w:t>
      </w:r>
      <w:r>
        <w:rPr>
          <w:sz w:val="24"/>
        </w:rPr>
        <w:t>search</w:t>
      </w:r>
      <w:r>
        <w:rPr>
          <w:spacing w:val="-4"/>
          <w:sz w:val="24"/>
        </w:rPr>
        <w:t> </w:t>
      </w:r>
      <w:r>
        <w:rPr>
          <w:sz w:val="24"/>
        </w:rPr>
        <w:t>request,</w:t>
      </w:r>
      <w:r>
        <w:rPr>
          <w:spacing w:val="-3"/>
          <w:sz w:val="24"/>
        </w:rPr>
        <w:t> </w:t>
      </w:r>
      <w:r>
        <w:rPr>
          <w:sz w:val="24"/>
        </w:rPr>
        <w:t>but</w:t>
      </w:r>
      <w:r>
        <w:rPr>
          <w:spacing w:val="-3"/>
          <w:sz w:val="24"/>
        </w:rPr>
        <w:t> </w:t>
      </w:r>
      <w:r>
        <w:rPr>
          <w:sz w:val="24"/>
        </w:rPr>
        <w:t>employment</w:t>
      </w:r>
      <w:r>
        <w:rPr>
          <w:spacing w:val="-3"/>
          <w:sz w:val="24"/>
        </w:rPr>
        <w:t> </w:t>
      </w:r>
      <w:r>
        <w:rPr>
          <w:sz w:val="24"/>
        </w:rPr>
        <w:t>under</w:t>
      </w:r>
      <w:r>
        <w:rPr>
          <w:spacing w:val="-3"/>
          <w:sz w:val="24"/>
        </w:rPr>
        <w:t> </w:t>
      </w:r>
      <w:r>
        <w:rPr>
          <w:sz w:val="24"/>
        </w:rPr>
        <w:t>such</w:t>
      </w:r>
      <w:r>
        <w:rPr>
          <w:spacing w:val="-4"/>
          <w:sz w:val="24"/>
        </w:rPr>
        <w:t> </w:t>
      </w:r>
      <w:r>
        <w:rPr>
          <w:sz w:val="24"/>
        </w:rPr>
        <w:t>conditions shall not exceed 60 calendar days.</w:t>
      </w:r>
      <w:r>
        <w:rPr>
          <w:spacing w:val="40"/>
          <w:sz w:val="24"/>
        </w:rPr>
        <w:t> </w:t>
      </w:r>
      <w:r>
        <w:rPr>
          <w:sz w:val="24"/>
        </w:rPr>
        <w:t>The superintendent or designee will terminate the employment as</w:t>
      </w:r>
      <w:r>
        <w:rPr>
          <w:spacing w:val="-1"/>
          <w:sz w:val="24"/>
        </w:rPr>
        <w:t> </w:t>
      </w:r>
      <w:r>
        <w:rPr>
          <w:sz w:val="24"/>
        </w:rPr>
        <w:t>required</w:t>
      </w:r>
      <w:r>
        <w:rPr>
          <w:spacing w:val="-1"/>
          <w:sz w:val="24"/>
        </w:rPr>
        <w:t> </w:t>
      </w:r>
      <w:r>
        <w:rPr>
          <w:sz w:val="24"/>
        </w:rPr>
        <w:t>by</w:t>
      </w:r>
      <w:r>
        <w:rPr>
          <w:spacing w:val="-1"/>
          <w:sz w:val="24"/>
        </w:rPr>
        <w:t> </w:t>
      </w:r>
      <w:r>
        <w:rPr>
          <w:sz w:val="24"/>
        </w:rPr>
        <w:t>law, and</w:t>
      </w:r>
      <w:r>
        <w:rPr>
          <w:spacing w:val="-1"/>
          <w:sz w:val="24"/>
        </w:rPr>
        <w:t> </w:t>
      </w:r>
      <w:r>
        <w:rPr>
          <w:sz w:val="24"/>
        </w:rPr>
        <w:t>take</w:t>
      </w:r>
      <w:r>
        <w:rPr>
          <w:spacing w:val="-1"/>
          <w:sz w:val="24"/>
        </w:rPr>
        <w:t> </w:t>
      </w:r>
      <w:r>
        <w:rPr>
          <w:sz w:val="24"/>
        </w:rPr>
        <w:t>other authorized</w:t>
      </w:r>
      <w:r>
        <w:rPr>
          <w:spacing w:val="-1"/>
          <w:sz w:val="24"/>
        </w:rPr>
        <w:t> </w:t>
      </w:r>
      <w:r>
        <w:rPr>
          <w:sz w:val="24"/>
        </w:rPr>
        <w:t>action, if the</w:t>
      </w:r>
      <w:r>
        <w:rPr>
          <w:spacing w:val="-1"/>
          <w:sz w:val="24"/>
        </w:rPr>
        <w:t> </w:t>
      </w:r>
      <w:r>
        <w:rPr>
          <w:sz w:val="24"/>
        </w:rPr>
        <w:t>search</w:t>
      </w:r>
      <w:r>
        <w:rPr>
          <w:spacing w:val="-1"/>
          <w:sz w:val="24"/>
        </w:rPr>
        <w:t> </w:t>
      </w:r>
      <w:r>
        <w:rPr>
          <w:sz w:val="24"/>
        </w:rPr>
        <w:t>shows</w:t>
      </w:r>
      <w:r>
        <w:rPr>
          <w:spacing w:val="-1"/>
          <w:sz w:val="24"/>
        </w:rPr>
        <w:t> </w:t>
      </w:r>
      <w:r>
        <w:rPr>
          <w:sz w:val="24"/>
        </w:rPr>
        <w:t>a felony conviction or any other basis for termination.</w:t>
      </w:r>
    </w:p>
    <w:p>
      <w:pPr>
        <w:spacing w:before="243"/>
        <w:ind w:left="360" w:right="0" w:firstLine="0"/>
        <w:jc w:val="left"/>
        <w:rPr>
          <w:sz w:val="22"/>
        </w:rPr>
      </w:pPr>
      <w:r>
        <w:rPr>
          <w:sz w:val="22"/>
        </w:rPr>
        <w:t>Section</w:t>
      </w:r>
      <w:r>
        <w:rPr>
          <w:spacing w:val="-9"/>
          <w:sz w:val="22"/>
        </w:rPr>
        <w:t> </w:t>
      </w:r>
      <w:r>
        <w:rPr>
          <w:spacing w:val="-2"/>
          <w:sz w:val="22"/>
        </w:rPr>
        <w:t>History</w:t>
      </w:r>
    </w:p>
    <w:p>
      <w:pPr>
        <w:spacing w:line="253" w:lineRule="exact" w:before="0"/>
        <w:ind w:left="360" w:right="0" w:firstLine="0"/>
        <w:jc w:val="left"/>
        <w:rPr>
          <w:sz w:val="22"/>
        </w:rPr>
      </w:pPr>
      <w:r>
        <w:rPr>
          <w:sz w:val="22"/>
        </w:rPr>
        <w:t>10-12-95</w:t>
      </w:r>
      <w:r>
        <w:rPr>
          <w:spacing w:val="30"/>
          <w:sz w:val="22"/>
        </w:rPr>
        <w:t>  </w:t>
      </w:r>
      <w:r>
        <w:rPr>
          <w:sz w:val="22"/>
        </w:rPr>
        <w:t>PT</w:t>
      </w:r>
      <w:r>
        <w:rPr>
          <w:spacing w:val="-3"/>
          <w:sz w:val="22"/>
        </w:rPr>
        <w:t> </w:t>
      </w:r>
      <w:r>
        <w:rPr>
          <w:sz w:val="22"/>
        </w:rPr>
        <w:t>Memo</w:t>
      </w:r>
      <w:r>
        <w:rPr>
          <w:spacing w:val="-5"/>
          <w:sz w:val="22"/>
        </w:rPr>
        <w:t> </w:t>
      </w:r>
      <w:r>
        <w:rPr>
          <w:sz w:val="22"/>
        </w:rPr>
        <w:t>#95-</w:t>
      </w:r>
      <w:r>
        <w:rPr>
          <w:spacing w:val="-10"/>
          <w:sz w:val="22"/>
        </w:rPr>
        <w:t>3</w:t>
      </w:r>
    </w:p>
    <w:p>
      <w:pPr>
        <w:tabs>
          <w:tab w:pos="1439" w:val="left" w:leader="none"/>
        </w:tabs>
        <w:spacing w:before="0"/>
        <w:ind w:left="359" w:right="6564" w:firstLine="1080"/>
        <w:jc w:val="left"/>
        <w:rPr>
          <w:sz w:val="22"/>
        </w:rPr>
      </w:pPr>
      <w:r>
        <w:rPr>
          <w:sz w:val="22"/>
        </w:rPr>
        <w:t>Emergency,</w:t>
      </w:r>
      <w:r>
        <w:rPr>
          <w:spacing w:val="-16"/>
          <w:sz w:val="22"/>
        </w:rPr>
        <w:t> </w:t>
      </w:r>
      <w:r>
        <w:rPr>
          <w:sz w:val="22"/>
        </w:rPr>
        <w:t>new</w:t>
      </w:r>
      <w:r>
        <w:rPr>
          <w:spacing w:val="-15"/>
          <w:sz w:val="22"/>
        </w:rPr>
        <w:t> </w:t>
      </w:r>
      <w:r>
        <w:rPr>
          <w:sz w:val="22"/>
        </w:rPr>
        <w:t>Section </w:t>
      </w:r>
      <w:r>
        <w:rPr>
          <w:spacing w:val="-2"/>
          <w:sz w:val="22"/>
        </w:rPr>
        <w:t>8-1-96</w:t>
      </w:r>
      <w:r>
        <w:rPr>
          <w:sz w:val="22"/>
        </w:rPr>
        <w:tab/>
        <w:t>PT Memo #97-2</w:t>
      </w:r>
    </w:p>
    <w:p>
      <w:pPr>
        <w:spacing w:before="0"/>
        <w:ind w:left="1439" w:right="0" w:firstLine="0"/>
        <w:jc w:val="left"/>
        <w:rPr>
          <w:sz w:val="22"/>
        </w:rPr>
      </w:pPr>
      <w:r>
        <w:rPr>
          <w:sz w:val="22"/>
        </w:rPr>
        <w:t>Permanent</w:t>
      </w:r>
      <w:r>
        <w:rPr>
          <w:spacing w:val="-11"/>
          <w:sz w:val="22"/>
        </w:rPr>
        <w:t> </w:t>
      </w:r>
      <w:r>
        <w:rPr>
          <w:sz w:val="22"/>
        </w:rPr>
        <w:t>rules</w:t>
      </w:r>
      <w:r>
        <w:rPr>
          <w:spacing w:val="-10"/>
          <w:sz w:val="22"/>
        </w:rPr>
        <w:t> </w:t>
      </w:r>
      <w:r>
        <w:rPr>
          <w:sz w:val="22"/>
        </w:rPr>
        <w:t>supersede</w:t>
      </w:r>
      <w:r>
        <w:rPr>
          <w:spacing w:val="-10"/>
          <w:sz w:val="22"/>
        </w:rPr>
        <w:t> </w:t>
      </w:r>
      <w:r>
        <w:rPr>
          <w:sz w:val="22"/>
        </w:rPr>
        <w:t>Emergency</w:t>
      </w:r>
      <w:r>
        <w:rPr>
          <w:spacing w:val="-10"/>
          <w:sz w:val="22"/>
        </w:rPr>
        <w:t> </w:t>
      </w:r>
      <w:r>
        <w:rPr>
          <w:sz w:val="22"/>
        </w:rPr>
        <w:t>rules</w:t>
      </w:r>
      <w:r>
        <w:rPr>
          <w:spacing w:val="-11"/>
          <w:sz w:val="22"/>
        </w:rPr>
        <w:t> </w:t>
      </w:r>
      <w:r>
        <w:rPr>
          <w:sz w:val="22"/>
        </w:rPr>
        <w:t>issued</w:t>
      </w:r>
      <w:r>
        <w:rPr>
          <w:spacing w:val="-10"/>
          <w:sz w:val="22"/>
        </w:rPr>
        <w:t> </w:t>
      </w:r>
      <w:r>
        <w:rPr>
          <w:sz w:val="22"/>
        </w:rPr>
        <w:t>10-12-</w:t>
      </w:r>
      <w:r>
        <w:rPr>
          <w:spacing w:val="-5"/>
          <w:sz w:val="22"/>
        </w:rPr>
        <w:t>95</w:t>
      </w:r>
    </w:p>
    <w:p>
      <w:pPr>
        <w:spacing w:after="0"/>
        <w:jc w:val="left"/>
        <w:rPr>
          <w:sz w:val="22"/>
        </w:rPr>
        <w:sectPr>
          <w:pgSz w:w="12240" w:h="15840"/>
          <w:pgMar w:top="1340" w:bottom="280" w:left="1080" w:right="720"/>
        </w:sectPr>
      </w:pPr>
    </w:p>
    <w:p>
      <w:pPr>
        <w:pStyle w:val="Heading2"/>
      </w:pPr>
      <w:bookmarkStart w:name="612:20-2-5.  Contracted instructional pe" w:id="324"/>
      <w:bookmarkEnd w:id="324"/>
      <w:r>
        <w:rPr>
          <w:b w:val="0"/>
        </w:rPr>
      </w:r>
      <w:r>
        <w:rPr/>
        <w:t>612:20-2-5.</w:t>
      </w:r>
      <w:r>
        <w:rPr>
          <w:spacing w:val="54"/>
        </w:rPr>
        <w:t> </w:t>
      </w:r>
      <w:r>
        <w:rPr/>
        <w:t>Contracted</w:t>
      </w:r>
      <w:r>
        <w:rPr>
          <w:spacing w:val="-6"/>
        </w:rPr>
        <w:t> </w:t>
      </w:r>
      <w:r>
        <w:rPr/>
        <w:t>instructional</w:t>
      </w:r>
      <w:r>
        <w:rPr>
          <w:spacing w:val="-4"/>
        </w:rPr>
        <w:t> </w:t>
      </w:r>
      <w:r>
        <w:rPr>
          <w:spacing w:val="-2"/>
        </w:rPr>
        <w:t>personnel</w:t>
      </w:r>
    </w:p>
    <w:p>
      <w:pPr>
        <w:pStyle w:val="ListParagraph"/>
        <w:numPr>
          <w:ilvl w:val="0"/>
          <w:numId w:val="328"/>
        </w:numPr>
        <w:tabs>
          <w:tab w:pos="786" w:val="left" w:leader="none"/>
        </w:tabs>
        <w:spacing w:line="208" w:lineRule="auto" w:before="233" w:after="0"/>
        <w:ind w:left="360" w:right="726" w:firstLine="0"/>
        <w:jc w:val="left"/>
        <w:rPr>
          <w:sz w:val="24"/>
        </w:rPr>
      </w:pPr>
      <w:r>
        <w:rPr>
          <w:sz w:val="24"/>
        </w:rPr>
        <w:t>No</w:t>
      </w:r>
      <w:r>
        <w:rPr>
          <w:spacing w:val="-3"/>
          <w:sz w:val="24"/>
        </w:rPr>
        <w:t> </w:t>
      </w:r>
      <w:r>
        <w:rPr>
          <w:sz w:val="24"/>
        </w:rPr>
        <w:t>person</w:t>
      </w:r>
      <w:r>
        <w:rPr>
          <w:spacing w:val="-3"/>
          <w:sz w:val="24"/>
        </w:rPr>
        <w:t> </w:t>
      </w:r>
      <w:r>
        <w:rPr>
          <w:sz w:val="24"/>
        </w:rPr>
        <w:t>will</w:t>
      </w:r>
      <w:r>
        <w:rPr>
          <w:spacing w:val="-3"/>
          <w:sz w:val="24"/>
        </w:rPr>
        <w:t> </w:t>
      </w:r>
      <w:r>
        <w:rPr>
          <w:sz w:val="24"/>
        </w:rPr>
        <w:t>be</w:t>
      </w:r>
      <w:r>
        <w:rPr>
          <w:spacing w:val="-3"/>
          <w:sz w:val="24"/>
        </w:rPr>
        <w:t> </w:t>
      </w:r>
      <w:r>
        <w:rPr>
          <w:sz w:val="24"/>
        </w:rPr>
        <w:t>permitted</w:t>
      </w:r>
      <w:r>
        <w:rPr>
          <w:spacing w:val="-3"/>
          <w:sz w:val="24"/>
        </w:rPr>
        <w:t> </w:t>
      </w:r>
      <w:r>
        <w:rPr>
          <w:sz w:val="24"/>
        </w:rPr>
        <w:t>to</w:t>
      </w:r>
      <w:r>
        <w:rPr>
          <w:spacing w:val="-3"/>
          <w:sz w:val="24"/>
        </w:rPr>
        <w:t> </w:t>
      </w:r>
      <w:r>
        <w:rPr>
          <w:sz w:val="24"/>
        </w:rPr>
        <w:t>teach</w:t>
      </w:r>
      <w:r>
        <w:rPr>
          <w:spacing w:val="-3"/>
          <w:sz w:val="24"/>
        </w:rPr>
        <w:t> </w:t>
      </w:r>
      <w:r>
        <w:rPr>
          <w:sz w:val="24"/>
        </w:rPr>
        <w:t>at</w:t>
      </w:r>
      <w:r>
        <w:rPr>
          <w:spacing w:val="-4"/>
          <w:sz w:val="24"/>
        </w:rPr>
        <w:t> </w:t>
      </w:r>
      <w:r>
        <w:rPr>
          <w:sz w:val="24"/>
        </w:rPr>
        <w:t>either</w:t>
      </w:r>
      <w:r>
        <w:rPr>
          <w:spacing w:val="-2"/>
          <w:sz w:val="24"/>
        </w:rPr>
        <w:t> </w:t>
      </w:r>
      <w:r>
        <w:rPr>
          <w:sz w:val="24"/>
        </w:rPr>
        <w:t>of</w:t>
      </w:r>
      <w:r>
        <w:rPr>
          <w:spacing w:val="-2"/>
          <w:sz w:val="24"/>
        </w:rPr>
        <w:t> </w:t>
      </w:r>
      <w:r>
        <w:rPr>
          <w:sz w:val="24"/>
        </w:rPr>
        <w:t>the</w:t>
      </w:r>
      <w:r>
        <w:rPr>
          <w:spacing w:val="-3"/>
          <w:sz w:val="24"/>
        </w:rPr>
        <w:t> </w:t>
      </w:r>
      <w:r>
        <w:rPr>
          <w:sz w:val="24"/>
        </w:rPr>
        <w:t>special</w:t>
      </w:r>
      <w:r>
        <w:rPr>
          <w:spacing w:val="-3"/>
          <w:sz w:val="24"/>
        </w:rPr>
        <w:t> </w:t>
      </w:r>
      <w:r>
        <w:rPr>
          <w:sz w:val="24"/>
        </w:rPr>
        <w:t>schools</w:t>
      </w:r>
      <w:r>
        <w:rPr>
          <w:spacing w:val="-3"/>
          <w:sz w:val="24"/>
        </w:rPr>
        <w:t> </w:t>
      </w:r>
      <w:r>
        <w:rPr>
          <w:sz w:val="24"/>
        </w:rPr>
        <w:t>without</w:t>
      </w:r>
      <w:r>
        <w:rPr>
          <w:spacing w:val="-2"/>
          <w:sz w:val="24"/>
        </w:rPr>
        <w:t> </w:t>
      </w:r>
      <w:r>
        <w:rPr>
          <w:sz w:val="24"/>
        </w:rPr>
        <w:t>a</w:t>
      </w:r>
      <w:r>
        <w:rPr>
          <w:spacing w:val="-3"/>
          <w:sz w:val="24"/>
        </w:rPr>
        <w:t> </w:t>
      </w:r>
      <w:r>
        <w:rPr>
          <w:sz w:val="24"/>
        </w:rPr>
        <w:t>written contract, except as provided for substitute teachers and teachers of classes in adult education. Each entry-year teacher must have completed the requirements of the State Department of Education for that position. The Superintendent and Director of DRS will employ under contract qualified instructional personnel for and in the name of the Department. The original of the contract will be maintained by the school. Two</w:t>
      </w:r>
      <w:r>
        <w:rPr>
          <w:spacing w:val="-1"/>
          <w:sz w:val="24"/>
        </w:rPr>
        <w:t> </w:t>
      </w:r>
      <w:r>
        <w:rPr>
          <w:sz w:val="24"/>
        </w:rPr>
        <w:t>copies of the contract will be sent to the Human Resources Unit; one to be maintained in the individual's personnel file and the other to be maintained by Payroll. A copy will be retained by the employee.</w:t>
      </w:r>
    </w:p>
    <w:p>
      <w:pPr>
        <w:pStyle w:val="ListParagraph"/>
        <w:numPr>
          <w:ilvl w:val="0"/>
          <w:numId w:val="328"/>
        </w:numPr>
        <w:tabs>
          <w:tab w:pos="786" w:val="left" w:leader="none"/>
        </w:tabs>
        <w:spacing w:line="208" w:lineRule="auto" w:before="239" w:after="0"/>
        <w:ind w:left="360" w:right="780" w:firstLine="0"/>
        <w:jc w:val="left"/>
        <w:rPr>
          <w:sz w:val="24"/>
        </w:rPr>
      </w:pPr>
      <w:r>
        <w:rPr>
          <w:sz w:val="24"/>
        </w:rPr>
        <w:t>No instructional personnel employed by the Department may contract with any school district during the same time and period covered by the contract with the special school</w:t>
      </w:r>
      <w:r>
        <w:rPr>
          <w:spacing w:val="-4"/>
          <w:sz w:val="24"/>
        </w:rPr>
        <w:t> </w:t>
      </w:r>
      <w:r>
        <w:rPr>
          <w:sz w:val="24"/>
        </w:rPr>
        <w:t>without</w:t>
      </w:r>
      <w:r>
        <w:rPr>
          <w:spacing w:val="-3"/>
          <w:sz w:val="24"/>
        </w:rPr>
        <w:t> </w:t>
      </w:r>
      <w:r>
        <w:rPr>
          <w:sz w:val="24"/>
        </w:rPr>
        <w:t>express</w:t>
      </w:r>
      <w:r>
        <w:rPr>
          <w:spacing w:val="-4"/>
          <w:sz w:val="24"/>
        </w:rPr>
        <w:t> </w:t>
      </w:r>
      <w:r>
        <w:rPr>
          <w:sz w:val="24"/>
        </w:rPr>
        <w:t>approval</w:t>
      </w:r>
      <w:r>
        <w:rPr>
          <w:spacing w:val="-4"/>
          <w:sz w:val="24"/>
        </w:rPr>
        <w:t> </w:t>
      </w:r>
      <w:r>
        <w:rPr>
          <w:sz w:val="24"/>
        </w:rPr>
        <w:t>from</w:t>
      </w:r>
      <w:r>
        <w:rPr>
          <w:spacing w:val="-5"/>
          <w:sz w:val="24"/>
        </w:rPr>
        <w:t> </w:t>
      </w:r>
      <w:r>
        <w:rPr>
          <w:sz w:val="24"/>
        </w:rPr>
        <w:t>the</w:t>
      </w:r>
      <w:r>
        <w:rPr>
          <w:spacing w:val="-4"/>
          <w:sz w:val="24"/>
        </w:rPr>
        <w:t> </w:t>
      </w:r>
      <w:r>
        <w:rPr>
          <w:sz w:val="24"/>
        </w:rPr>
        <w:t>Superintendent</w:t>
      </w:r>
      <w:r>
        <w:rPr>
          <w:spacing w:val="-3"/>
          <w:sz w:val="24"/>
        </w:rPr>
        <w:t> </w:t>
      </w:r>
      <w:r>
        <w:rPr>
          <w:sz w:val="24"/>
        </w:rPr>
        <w:t>of</w:t>
      </w:r>
      <w:r>
        <w:rPr>
          <w:spacing w:val="-5"/>
          <w:sz w:val="24"/>
        </w:rPr>
        <w:t> </w:t>
      </w:r>
      <w:r>
        <w:rPr>
          <w:sz w:val="24"/>
        </w:rPr>
        <w:t>that</w:t>
      </w:r>
      <w:r>
        <w:rPr>
          <w:spacing w:val="-5"/>
          <w:sz w:val="24"/>
        </w:rPr>
        <w:t> </w:t>
      </w:r>
      <w:r>
        <w:rPr>
          <w:sz w:val="24"/>
        </w:rPr>
        <w:t>special</w:t>
      </w:r>
      <w:r>
        <w:rPr>
          <w:spacing w:val="-4"/>
          <w:sz w:val="24"/>
        </w:rPr>
        <w:t> </w:t>
      </w:r>
      <w:r>
        <w:rPr>
          <w:sz w:val="24"/>
        </w:rPr>
        <w:t>school.</w:t>
      </w:r>
      <w:r>
        <w:rPr>
          <w:spacing w:val="-3"/>
          <w:sz w:val="24"/>
        </w:rPr>
        <w:t> </w:t>
      </w:r>
      <w:r>
        <w:rPr>
          <w:sz w:val="24"/>
        </w:rPr>
        <w:t>Section 105D of the Oklahoma School Law shall be followed.</w:t>
      </w:r>
    </w:p>
    <w:p>
      <w:pPr>
        <w:pStyle w:val="ListParagraph"/>
        <w:numPr>
          <w:ilvl w:val="0"/>
          <w:numId w:val="328"/>
        </w:numPr>
        <w:tabs>
          <w:tab w:pos="773" w:val="left" w:leader="none"/>
        </w:tabs>
        <w:spacing w:line="208" w:lineRule="auto" w:before="240" w:after="0"/>
        <w:ind w:left="360" w:right="766" w:firstLine="0"/>
        <w:jc w:val="left"/>
        <w:rPr>
          <w:sz w:val="24"/>
        </w:rPr>
      </w:pPr>
      <w:r>
        <w:rPr>
          <w:sz w:val="24"/>
        </w:rPr>
        <w:t>Each contracted instructional staff person will be considered as employed on a continuing contract basis unless notified in writing by registered or certified mail that re- employment</w:t>
      </w:r>
      <w:r>
        <w:rPr>
          <w:spacing w:val="-3"/>
          <w:sz w:val="24"/>
        </w:rPr>
        <w:t> </w:t>
      </w:r>
      <w:r>
        <w:rPr>
          <w:sz w:val="24"/>
        </w:rPr>
        <w:t>for</w:t>
      </w:r>
      <w:r>
        <w:rPr>
          <w:spacing w:val="-5"/>
          <w:sz w:val="24"/>
        </w:rPr>
        <w:t> </w:t>
      </w:r>
      <w:r>
        <w:rPr>
          <w:sz w:val="24"/>
        </w:rPr>
        <w:t>the</w:t>
      </w:r>
      <w:r>
        <w:rPr>
          <w:spacing w:val="-4"/>
          <w:sz w:val="24"/>
        </w:rPr>
        <w:t> </w:t>
      </w:r>
      <w:r>
        <w:rPr>
          <w:sz w:val="24"/>
        </w:rPr>
        <w:t>next</w:t>
      </w:r>
      <w:r>
        <w:rPr>
          <w:spacing w:val="-3"/>
          <w:sz w:val="24"/>
        </w:rPr>
        <w:t> </w:t>
      </w:r>
      <w:r>
        <w:rPr>
          <w:sz w:val="24"/>
        </w:rPr>
        <w:t>school</w:t>
      </w:r>
      <w:r>
        <w:rPr>
          <w:spacing w:val="-4"/>
          <w:sz w:val="24"/>
        </w:rPr>
        <w:t> </w:t>
      </w:r>
      <w:r>
        <w:rPr>
          <w:sz w:val="24"/>
        </w:rPr>
        <w:t>year</w:t>
      </w:r>
      <w:r>
        <w:rPr>
          <w:spacing w:val="-3"/>
          <w:sz w:val="24"/>
        </w:rPr>
        <w:t> </w:t>
      </w:r>
      <w:r>
        <w:rPr>
          <w:sz w:val="24"/>
        </w:rPr>
        <w:t>has</w:t>
      </w:r>
      <w:r>
        <w:rPr>
          <w:spacing w:val="-4"/>
          <w:sz w:val="24"/>
        </w:rPr>
        <w:t> </w:t>
      </w:r>
      <w:r>
        <w:rPr>
          <w:sz w:val="24"/>
        </w:rPr>
        <w:t>not</w:t>
      </w:r>
      <w:r>
        <w:rPr>
          <w:spacing w:val="-3"/>
          <w:sz w:val="24"/>
        </w:rPr>
        <w:t> </w:t>
      </w:r>
      <w:r>
        <w:rPr>
          <w:sz w:val="24"/>
        </w:rPr>
        <w:t>been</w:t>
      </w:r>
      <w:r>
        <w:rPr>
          <w:spacing w:val="-4"/>
          <w:sz w:val="24"/>
        </w:rPr>
        <w:t> </w:t>
      </w:r>
      <w:r>
        <w:rPr>
          <w:sz w:val="24"/>
        </w:rPr>
        <w:t>recommended.</w:t>
      </w:r>
      <w:r>
        <w:rPr>
          <w:spacing w:val="-3"/>
          <w:sz w:val="24"/>
        </w:rPr>
        <w:t> </w:t>
      </w:r>
      <w:r>
        <w:rPr>
          <w:sz w:val="24"/>
        </w:rPr>
        <w:t>Unless</w:t>
      </w:r>
      <w:r>
        <w:rPr>
          <w:spacing w:val="-4"/>
          <w:sz w:val="24"/>
        </w:rPr>
        <w:t> </w:t>
      </w:r>
      <w:r>
        <w:rPr>
          <w:sz w:val="24"/>
        </w:rPr>
        <w:t>such</w:t>
      </w:r>
      <w:r>
        <w:rPr>
          <w:spacing w:val="-4"/>
          <w:sz w:val="24"/>
        </w:rPr>
        <w:t> </w:t>
      </w:r>
      <w:r>
        <w:rPr>
          <w:sz w:val="24"/>
        </w:rPr>
        <w:t>notice</w:t>
      </w:r>
      <w:r>
        <w:rPr>
          <w:spacing w:val="-4"/>
          <w:sz w:val="24"/>
        </w:rPr>
        <w:t> </w:t>
      </w:r>
      <w:r>
        <w:rPr>
          <w:sz w:val="24"/>
        </w:rPr>
        <w:t>is issued before June 1st, a contracted instructional staff person's contract will be automatically renewed for the next academic year.</w:t>
      </w:r>
    </w:p>
    <w:p>
      <w:pPr>
        <w:pStyle w:val="ListParagraph"/>
        <w:numPr>
          <w:ilvl w:val="0"/>
          <w:numId w:val="328"/>
        </w:numPr>
        <w:tabs>
          <w:tab w:pos="785" w:val="left" w:leader="none"/>
        </w:tabs>
        <w:spacing w:line="208" w:lineRule="auto" w:before="239" w:after="0"/>
        <w:ind w:left="359" w:right="861" w:firstLine="0"/>
        <w:jc w:val="left"/>
        <w:rPr>
          <w:sz w:val="24"/>
        </w:rPr>
      </w:pPr>
      <w:r>
        <w:rPr>
          <w:sz w:val="24"/>
        </w:rPr>
        <w:t>Each contracted instructional staff person will serve a probationary period of three successive years and, unless already completed, participate in the Entry-year Teacher Program. Upon successful completion of the probationary period, the individual becomes career contracted instructional personnel. Career contracted instructional personnel have a right to continued employment, not to any particular position. Career contracted instructional personnel have priority for contract renewal over non-career contracted</w:t>
      </w:r>
      <w:r>
        <w:rPr>
          <w:spacing w:val="-6"/>
          <w:sz w:val="24"/>
        </w:rPr>
        <w:t> </w:t>
      </w:r>
      <w:r>
        <w:rPr>
          <w:sz w:val="24"/>
        </w:rPr>
        <w:t>instructional</w:t>
      </w:r>
      <w:r>
        <w:rPr>
          <w:spacing w:val="-5"/>
          <w:sz w:val="24"/>
        </w:rPr>
        <w:t> </w:t>
      </w:r>
      <w:r>
        <w:rPr>
          <w:sz w:val="24"/>
        </w:rPr>
        <w:t>personnel</w:t>
      </w:r>
      <w:r>
        <w:rPr>
          <w:spacing w:val="-4"/>
          <w:sz w:val="24"/>
        </w:rPr>
        <w:t> </w:t>
      </w:r>
      <w:r>
        <w:rPr>
          <w:sz w:val="24"/>
        </w:rPr>
        <w:t>in</w:t>
      </w:r>
      <w:r>
        <w:rPr>
          <w:spacing w:val="-5"/>
          <w:sz w:val="24"/>
        </w:rPr>
        <w:t> </w:t>
      </w:r>
      <w:r>
        <w:rPr>
          <w:sz w:val="24"/>
        </w:rPr>
        <w:t>cases</w:t>
      </w:r>
      <w:r>
        <w:rPr>
          <w:spacing w:val="-5"/>
          <w:sz w:val="24"/>
        </w:rPr>
        <w:t> </w:t>
      </w:r>
      <w:r>
        <w:rPr>
          <w:sz w:val="24"/>
        </w:rPr>
        <w:t>of</w:t>
      </w:r>
      <w:r>
        <w:rPr>
          <w:spacing w:val="-4"/>
          <w:sz w:val="24"/>
        </w:rPr>
        <w:t> </w:t>
      </w:r>
      <w:r>
        <w:rPr>
          <w:sz w:val="24"/>
        </w:rPr>
        <w:t>reductions-in-force</w:t>
      </w:r>
      <w:r>
        <w:rPr>
          <w:spacing w:val="-5"/>
          <w:sz w:val="24"/>
        </w:rPr>
        <w:t> </w:t>
      </w:r>
      <w:r>
        <w:rPr>
          <w:sz w:val="24"/>
        </w:rPr>
        <w:t>when</w:t>
      </w:r>
      <w:r>
        <w:rPr>
          <w:spacing w:val="-5"/>
          <w:sz w:val="24"/>
        </w:rPr>
        <w:t> </w:t>
      </w:r>
      <w:r>
        <w:rPr>
          <w:sz w:val="24"/>
        </w:rPr>
        <w:t>both</w:t>
      </w:r>
      <w:r>
        <w:rPr>
          <w:spacing w:val="-5"/>
          <w:sz w:val="24"/>
        </w:rPr>
        <w:t> </w:t>
      </w:r>
      <w:r>
        <w:rPr>
          <w:sz w:val="24"/>
        </w:rPr>
        <w:t>individuals are certified in the same service area.</w:t>
      </w:r>
    </w:p>
    <w:p>
      <w:pPr>
        <w:pStyle w:val="ListParagraph"/>
        <w:numPr>
          <w:ilvl w:val="0"/>
          <w:numId w:val="328"/>
        </w:numPr>
        <w:tabs>
          <w:tab w:pos="785" w:val="left" w:leader="none"/>
        </w:tabs>
        <w:spacing w:line="208" w:lineRule="auto" w:before="239" w:after="0"/>
        <w:ind w:left="359" w:right="725" w:firstLine="0"/>
        <w:jc w:val="left"/>
        <w:rPr>
          <w:sz w:val="24"/>
        </w:rPr>
      </w:pPr>
      <w:r>
        <w:rPr>
          <w:sz w:val="24"/>
        </w:rPr>
        <w:t>Contracted</w:t>
      </w:r>
      <w:r>
        <w:rPr>
          <w:spacing w:val="-4"/>
          <w:sz w:val="24"/>
        </w:rPr>
        <w:t> </w:t>
      </w:r>
      <w:r>
        <w:rPr>
          <w:sz w:val="24"/>
        </w:rPr>
        <w:t>instructional</w:t>
      </w:r>
      <w:r>
        <w:rPr>
          <w:spacing w:val="-4"/>
          <w:sz w:val="24"/>
        </w:rPr>
        <w:t> </w:t>
      </w:r>
      <w:r>
        <w:rPr>
          <w:sz w:val="24"/>
        </w:rPr>
        <w:t>personnel</w:t>
      </w:r>
      <w:r>
        <w:rPr>
          <w:spacing w:val="-4"/>
          <w:sz w:val="24"/>
        </w:rPr>
        <w:t> </w:t>
      </w:r>
      <w:r>
        <w:rPr>
          <w:sz w:val="24"/>
        </w:rPr>
        <w:t>who</w:t>
      </w:r>
      <w:r>
        <w:rPr>
          <w:spacing w:val="-4"/>
          <w:sz w:val="24"/>
        </w:rPr>
        <w:t> </w:t>
      </w:r>
      <w:r>
        <w:rPr>
          <w:sz w:val="24"/>
        </w:rPr>
        <w:t>are</w:t>
      </w:r>
      <w:r>
        <w:rPr>
          <w:spacing w:val="-4"/>
          <w:sz w:val="24"/>
        </w:rPr>
        <w:t> </w:t>
      </w:r>
      <w:r>
        <w:rPr>
          <w:sz w:val="24"/>
        </w:rPr>
        <w:t>employed</w:t>
      </w:r>
      <w:r>
        <w:rPr>
          <w:spacing w:val="-4"/>
          <w:sz w:val="24"/>
        </w:rPr>
        <w:t> </w:t>
      </w:r>
      <w:r>
        <w:rPr>
          <w:sz w:val="24"/>
        </w:rPr>
        <w:t>in</w:t>
      </w:r>
      <w:r>
        <w:rPr>
          <w:spacing w:val="-4"/>
          <w:sz w:val="24"/>
        </w:rPr>
        <w:t> </w:t>
      </w:r>
      <w:r>
        <w:rPr>
          <w:sz w:val="24"/>
        </w:rPr>
        <w:t>positions</w:t>
      </w:r>
      <w:r>
        <w:rPr>
          <w:spacing w:val="-4"/>
          <w:sz w:val="24"/>
        </w:rPr>
        <w:t> </w:t>
      </w:r>
      <w:r>
        <w:rPr>
          <w:sz w:val="24"/>
        </w:rPr>
        <w:t>funded</w:t>
      </w:r>
      <w:r>
        <w:rPr>
          <w:spacing w:val="-3"/>
          <w:sz w:val="24"/>
        </w:rPr>
        <w:t> </w:t>
      </w:r>
      <w:r>
        <w:rPr>
          <w:sz w:val="24"/>
        </w:rPr>
        <w:t>by</w:t>
      </w:r>
      <w:r>
        <w:rPr>
          <w:spacing w:val="-4"/>
          <w:sz w:val="24"/>
        </w:rPr>
        <w:t> </w:t>
      </w:r>
      <w:r>
        <w:rPr>
          <w:sz w:val="24"/>
        </w:rPr>
        <w:t>state</w:t>
      </w:r>
      <w:r>
        <w:rPr>
          <w:spacing w:val="-5"/>
          <w:sz w:val="24"/>
        </w:rPr>
        <w:t> </w:t>
      </w:r>
      <w:r>
        <w:rPr>
          <w:sz w:val="24"/>
        </w:rPr>
        <w:t>or federal grants are employed only for the duration of the grant on a yearly basis. A temporary contract is for a stated period of time as distinguished from a continuing contract. A temporary contract may be terminated without cause with a two week notice by the employer or the employee.</w:t>
      </w:r>
    </w:p>
    <w:p>
      <w:pPr>
        <w:pStyle w:val="ListParagraph"/>
        <w:numPr>
          <w:ilvl w:val="0"/>
          <w:numId w:val="328"/>
        </w:numPr>
        <w:tabs>
          <w:tab w:pos="718" w:val="left" w:leader="none"/>
        </w:tabs>
        <w:spacing w:line="208" w:lineRule="auto" w:before="240" w:after="0"/>
        <w:ind w:left="359" w:right="1327" w:firstLine="0"/>
        <w:jc w:val="left"/>
        <w:rPr>
          <w:sz w:val="24"/>
        </w:rPr>
      </w:pPr>
      <w:r>
        <w:rPr>
          <w:sz w:val="24"/>
        </w:rPr>
        <w:t>Assignment</w:t>
      </w:r>
      <w:r>
        <w:rPr>
          <w:spacing w:val="-3"/>
          <w:sz w:val="24"/>
        </w:rPr>
        <w:t> </w:t>
      </w:r>
      <w:r>
        <w:rPr>
          <w:sz w:val="24"/>
        </w:rPr>
        <w:t>of</w:t>
      </w:r>
      <w:r>
        <w:rPr>
          <w:spacing w:val="-3"/>
          <w:sz w:val="24"/>
        </w:rPr>
        <w:t> </w:t>
      </w:r>
      <w:r>
        <w:rPr>
          <w:sz w:val="24"/>
        </w:rPr>
        <w:t>contracted</w:t>
      </w:r>
      <w:r>
        <w:rPr>
          <w:spacing w:val="-4"/>
          <w:sz w:val="24"/>
        </w:rPr>
        <w:t> </w:t>
      </w:r>
      <w:r>
        <w:rPr>
          <w:sz w:val="24"/>
        </w:rPr>
        <w:t>instructional</w:t>
      </w:r>
      <w:r>
        <w:rPr>
          <w:spacing w:val="-4"/>
          <w:sz w:val="24"/>
        </w:rPr>
        <w:t> </w:t>
      </w:r>
      <w:r>
        <w:rPr>
          <w:sz w:val="24"/>
        </w:rPr>
        <w:t>staff</w:t>
      </w:r>
      <w:r>
        <w:rPr>
          <w:spacing w:val="-5"/>
          <w:sz w:val="24"/>
        </w:rPr>
        <w:t> </w:t>
      </w:r>
      <w:r>
        <w:rPr>
          <w:sz w:val="24"/>
        </w:rPr>
        <w:t>will</w:t>
      </w:r>
      <w:r>
        <w:rPr>
          <w:spacing w:val="-4"/>
          <w:sz w:val="24"/>
        </w:rPr>
        <w:t> </w:t>
      </w:r>
      <w:r>
        <w:rPr>
          <w:sz w:val="24"/>
        </w:rPr>
        <w:t>be</w:t>
      </w:r>
      <w:r>
        <w:rPr>
          <w:spacing w:val="-3"/>
          <w:sz w:val="24"/>
        </w:rPr>
        <w:t> </w:t>
      </w:r>
      <w:r>
        <w:rPr>
          <w:sz w:val="24"/>
        </w:rPr>
        <w:t>made</w:t>
      </w:r>
      <w:r>
        <w:rPr>
          <w:spacing w:val="-4"/>
          <w:sz w:val="24"/>
        </w:rPr>
        <w:t> </w:t>
      </w:r>
      <w:r>
        <w:rPr>
          <w:sz w:val="24"/>
        </w:rPr>
        <w:t>by</w:t>
      </w:r>
      <w:r>
        <w:rPr>
          <w:spacing w:val="-4"/>
          <w:sz w:val="24"/>
        </w:rPr>
        <w:t> </w:t>
      </w:r>
      <w:r>
        <w:rPr>
          <w:sz w:val="24"/>
        </w:rPr>
        <w:t>the</w:t>
      </w:r>
      <w:r>
        <w:rPr>
          <w:spacing w:val="-4"/>
          <w:sz w:val="24"/>
        </w:rPr>
        <w:t> </w:t>
      </w:r>
      <w:r>
        <w:rPr>
          <w:sz w:val="24"/>
        </w:rPr>
        <w:t>Superintendent based upon staff certification and school programming needs.</w:t>
      </w:r>
    </w:p>
    <w:p>
      <w:pPr>
        <w:spacing w:before="243"/>
        <w:ind w:left="360" w:right="0" w:firstLine="0"/>
        <w:jc w:val="left"/>
        <w:rPr>
          <w:sz w:val="22"/>
        </w:rPr>
      </w:pPr>
      <w:r>
        <w:rPr>
          <w:sz w:val="22"/>
        </w:rPr>
        <w:t>Section</w:t>
      </w:r>
      <w:r>
        <w:rPr>
          <w:spacing w:val="-9"/>
          <w:sz w:val="22"/>
        </w:rPr>
        <w:t> </w:t>
      </w:r>
      <w:r>
        <w:rPr>
          <w:spacing w:val="-2"/>
          <w:sz w:val="22"/>
        </w:rPr>
        <w:t>History</w:t>
      </w:r>
    </w:p>
    <w:p>
      <w:pPr>
        <w:spacing w:line="253" w:lineRule="exact" w:before="1"/>
        <w:ind w:left="360" w:right="0" w:firstLine="0"/>
        <w:jc w:val="left"/>
        <w:rPr>
          <w:sz w:val="22"/>
        </w:rPr>
      </w:pPr>
      <w:r>
        <w:rPr>
          <w:sz w:val="22"/>
        </w:rPr>
        <w:t>10-12-95</w:t>
      </w:r>
      <w:r>
        <w:rPr>
          <w:spacing w:val="30"/>
          <w:sz w:val="22"/>
        </w:rPr>
        <w:t>  </w:t>
      </w:r>
      <w:r>
        <w:rPr>
          <w:sz w:val="22"/>
        </w:rPr>
        <w:t>PT</w:t>
      </w:r>
      <w:r>
        <w:rPr>
          <w:spacing w:val="-3"/>
          <w:sz w:val="22"/>
        </w:rPr>
        <w:t> </w:t>
      </w:r>
      <w:r>
        <w:rPr>
          <w:sz w:val="22"/>
        </w:rPr>
        <w:t>Memo</w:t>
      </w:r>
      <w:r>
        <w:rPr>
          <w:spacing w:val="-5"/>
          <w:sz w:val="22"/>
        </w:rPr>
        <w:t> </w:t>
      </w:r>
      <w:r>
        <w:rPr>
          <w:sz w:val="22"/>
        </w:rPr>
        <w:t>#95-</w:t>
      </w:r>
      <w:r>
        <w:rPr>
          <w:spacing w:val="-10"/>
          <w:sz w:val="22"/>
        </w:rPr>
        <w:t>3</w:t>
      </w:r>
    </w:p>
    <w:p>
      <w:pPr>
        <w:tabs>
          <w:tab w:pos="1439" w:val="left" w:leader="none"/>
        </w:tabs>
        <w:spacing w:before="0"/>
        <w:ind w:left="359" w:right="6564" w:firstLine="1080"/>
        <w:jc w:val="left"/>
        <w:rPr>
          <w:sz w:val="22"/>
        </w:rPr>
      </w:pPr>
      <w:r>
        <w:rPr>
          <w:sz w:val="22"/>
        </w:rPr>
        <w:t>Emergency,</w:t>
      </w:r>
      <w:r>
        <w:rPr>
          <w:spacing w:val="-16"/>
          <w:sz w:val="22"/>
        </w:rPr>
        <w:t> </w:t>
      </w:r>
      <w:r>
        <w:rPr>
          <w:sz w:val="22"/>
        </w:rPr>
        <w:t>new</w:t>
      </w:r>
      <w:r>
        <w:rPr>
          <w:spacing w:val="-15"/>
          <w:sz w:val="22"/>
        </w:rPr>
        <w:t> </w:t>
      </w:r>
      <w:r>
        <w:rPr>
          <w:sz w:val="22"/>
        </w:rPr>
        <w:t>Section </w:t>
      </w:r>
      <w:r>
        <w:rPr>
          <w:spacing w:val="-2"/>
          <w:sz w:val="22"/>
        </w:rPr>
        <w:t>8-1-96</w:t>
      </w:r>
      <w:r>
        <w:rPr>
          <w:sz w:val="22"/>
        </w:rPr>
        <w:tab/>
        <w:t>PT Memo #97-2</w:t>
      </w:r>
    </w:p>
    <w:p>
      <w:pPr>
        <w:tabs>
          <w:tab w:pos="1439" w:val="left" w:leader="none"/>
        </w:tabs>
        <w:spacing w:before="0"/>
        <w:ind w:left="359" w:right="2945" w:firstLine="1080"/>
        <w:jc w:val="left"/>
        <w:rPr>
          <w:sz w:val="22"/>
        </w:rPr>
      </w:pPr>
      <w:r>
        <w:rPr>
          <w:sz w:val="22"/>
        </w:rPr>
        <w:t>Permanent</w:t>
      </w:r>
      <w:r>
        <w:rPr>
          <w:spacing w:val="-7"/>
          <w:sz w:val="22"/>
        </w:rPr>
        <w:t> </w:t>
      </w:r>
      <w:r>
        <w:rPr>
          <w:sz w:val="22"/>
        </w:rPr>
        <w:t>rules</w:t>
      </w:r>
      <w:r>
        <w:rPr>
          <w:spacing w:val="-7"/>
          <w:sz w:val="22"/>
        </w:rPr>
        <w:t> </w:t>
      </w:r>
      <w:r>
        <w:rPr>
          <w:sz w:val="22"/>
        </w:rPr>
        <w:t>supersede</w:t>
      </w:r>
      <w:r>
        <w:rPr>
          <w:spacing w:val="-7"/>
          <w:sz w:val="22"/>
        </w:rPr>
        <w:t> </w:t>
      </w:r>
      <w:r>
        <w:rPr>
          <w:sz w:val="22"/>
        </w:rPr>
        <w:t>Emergency</w:t>
      </w:r>
      <w:r>
        <w:rPr>
          <w:spacing w:val="-7"/>
          <w:sz w:val="22"/>
        </w:rPr>
        <w:t> </w:t>
      </w:r>
      <w:r>
        <w:rPr>
          <w:sz w:val="22"/>
        </w:rPr>
        <w:t>rules</w:t>
      </w:r>
      <w:r>
        <w:rPr>
          <w:spacing w:val="-7"/>
          <w:sz w:val="22"/>
        </w:rPr>
        <w:t> </w:t>
      </w:r>
      <w:r>
        <w:rPr>
          <w:sz w:val="22"/>
        </w:rPr>
        <w:t>issued</w:t>
      </w:r>
      <w:r>
        <w:rPr>
          <w:spacing w:val="-7"/>
          <w:sz w:val="22"/>
        </w:rPr>
        <w:t> </w:t>
      </w:r>
      <w:r>
        <w:rPr>
          <w:sz w:val="22"/>
        </w:rPr>
        <w:t>10-12-95 </w:t>
      </w:r>
      <w:r>
        <w:rPr>
          <w:spacing w:val="-2"/>
          <w:sz w:val="22"/>
        </w:rPr>
        <w:t>7-1-12</w:t>
      </w:r>
      <w:r>
        <w:rPr>
          <w:sz w:val="22"/>
        </w:rPr>
        <w:tab/>
        <w:t>Permanent, changed notice date from April 10th to June 1st.</w:t>
      </w:r>
    </w:p>
    <w:p>
      <w:pPr>
        <w:spacing w:after="0"/>
        <w:jc w:val="left"/>
        <w:rPr>
          <w:sz w:val="22"/>
        </w:rPr>
        <w:sectPr>
          <w:pgSz w:w="12240" w:h="15840"/>
          <w:pgMar w:top="1340" w:bottom="280" w:left="1080" w:right="720"/>
        </w:sectPr>
      </w:pPr>
    </w:p>
    <w:p>
      <w:pPr>
        <w:pStyle w:val="Heading2"/>
      </w:pPr>
      <w:bookmarkStart w:name="612:20-2-6.  Duties of contracted instru" w:id="325"/>
      <w:bookmarkEnd w:id="325"/>
      <w:r>
        <w:rPr>
          <w:b w:val="0"/>
        </w:rPr>
      </w:r>
      <w:r>
        <w:rPr/>
        <w:t>612:20-2-6.</w:t>
      </w:r>
      <w:r>
        <w:rPr>
          <w:spacing w:val="56"/>
        </w:rPr>
        <w:t> </w:t>
      </w:r>
      <w:r>
        <w:rPr/>
        <w:t>Duties</w:t>
      </w:r>
      <w:r>
        <w:rPr>
          <w:spacing w:val="-5"/>
        </w:rPr>
        <w:t> </w:t>
      </w:r>
      <w:r>
        <w:rPr/>
        <w:t>of</w:t>
      </w:r>
      <w:r>
        <w:rPr>
          <w:spacing w:val="-5"/>
        </w:rPr>
        <w:t> </w:t>
      </w:r>
      <w:r>
        <w:rPr/>
        <w:t>contracted</w:t>
      </w:r>
      <w:r>
        <w:rPr>
          <w:spacing w:val="-4"/>
        </w:rPr>
        <w:t> </w:t>
      </w:r>
      <w:r>
        <w:rPr/>
        <w:t>instructional</w:t>
      </w:r>
      <w:r>
        <w:rPr>
          <w:spacing w:val="-3"/>
        </w:rPr>
        <w:t> </w:t>
      </w:r>
      <w:r>
        <w:rPr>
          <w:spacing w:val="-2"/>
        </w:rPr>
        <w:t>personnel</w:t>
      </w:r>
    </w:p>
    <w:p>
      <w:pPr>
        <w:pStyle w:val="ListParagraph"/>
        <w:numPr>
          <w:ilvl w:val="0"/>
          <w:numId w:val="329"/>
        </w:numPr>
        <w:tabs>
          <w:tab w:pos="786" w:val="left" w:leader="none"/>
        </w:tabs>
        <w:spacing w:line="240" w:lineRule="auto" w:before="204" w:after="0"/>
        <w:ind w:left="786" w:right="0" w:hanging="426"/>
        <w:jc w:val="left"/>
        <w:rPr>
          <w:sz w:val="24"/>
        </w:rPr>
      </w:pPr>
      <w:r>
        <w:rPr>
          <w:sz w:val="24"/>
        </w:rPr>
        <w:t>Each</w:t>
      </w:r>
      <w:r>
        <w:rPr>
          <w:spacing w:val="-6"/>
          <w:sz w:val="24"/>
        </w:rPr>
        <w:t> </w:t>
      </w:r>
      <w:r>
        <w:rPr>
          <w:sz w:val="24"/>
        </w:rPr>
        <w:t>contracted</w:t>
      </w:r>
      <w:r>
        <w:rPr>
          <w:spacing w:val="-4"/>
          <w:sz w:val="24"/>
        </w:rPr>
        <w:t> </w:t>
      </w:r>
      <w:r>
        <w:rPr>
          <w:sz w:val="24"/>
        </w:rPr>
        <w:t>instructional</w:t>
      </w:r>
      <w:r>
        <w:rPr>
          <w:spacing w:val="-2"/>
          <w:sz w:val="24"/>
        </w:rPr>
        <w:t> </w:t>
      </w:r>
      <w:r>
        <w:rPr>
          <w:sz w:val="24"/>
        </w:rPr>
        <w:t>staff</w:t>
      </w:r>
      <w:r>
        <w:rPr>
          <w:spacing w:val="-3"/>
          <w:sz w:val="24"/>
        </w:rPr>
        <w:t> </w:t>
      </w:r>
      <w:r>
        <w:rPr>
          <w:sz w:val="24"/>
        </w:rPr>
        <w:t>person</w:t>
      </w:r>
      <w:r>
        <w:rPr>
          <w:spacing w:val="-4"/>
          <w:sz w:val="24"/>
        </w:rPr>
        <w:t> </w:t>
      </w:r>
      <w:r>
        <w:rPr>
          <w:sz w:val="24"/>
        </w:rPr>
        <w:t>employed</w:t>
      </w:r>
      <w:r>
        <w:rPr>
          <w:spacing w:val="-3"/>
          <w:sz w:val="24"/>
        </w:rPr>
        <w:t> </w:t>
      </w:r>
      <w:r>
        <w:rPr>
          <w:sz w:val="24"/>
        </w:rPr>
        <w:t>by</w:t>
      </w:r>
      <w:r>
        <w:rPr>
          <w:spacing w:val="-4"/>
          <w:sz w:val="24"/>
        </w:rPr>
        <w:t> </w:t>
      </w:r>
      <w:r>
        <w:rPr>
          <w:sz w:val="24"/>
        </w:rPr>
        <w:t>the</w:t>
      </w:r>
      <w:r>
        <w:rPr>
          <w:spacing w:val="-4"/>
          <w:sz w:val="24"/>
        </w:rPr>
        <w:t> </w:t>
      </w:r>
      <w:r>
        <w:rPr>
          <w:sz w:val="24"/>
        </w:rPr>
        <w:t>Department</w:t>
      </w:r>
      <w:r>
        <w:rPr>
          <w:spacing w:val="-2"/>
          <w:sz w:val="24"/>
        </w:rPr>
        <w:t> will:</w:t>
      </w:r>
    </w:p>
    <w:p>
      <w:pPr>
        <w:pStyle w:val="ListParagraph"/>
        <w:numPr>
          <w:ilvl w:val="1"/>
          <w:numId w:val="329"/>
        </w:numPr>
        <w:tabs>
          <w:tab w:pos="1218" w:val="left" w:leader="none"/>
        </w:tabs>
        <w:spacing w:line="208" w:lineRule="auto" w:before="233" w:after="0"/>
        <w:ind w:left="792" w:right="1362" w:firstLine="0"/>
        <w:jc w:val="left"/>
        <w:rPr>
          <w:sz w:val="24"/>
        </w:rPr>
      </w:pPr>
      <w:r>
        <w:rPr>
          <w:sz w:val="24"/>
        </w:rPr>
        <w:t>perform</w:t>
      </w:r>
      <w:r>
        <w:rPr>
          <w:spacing w:val="-3"/>
          <w:sz w:val="24"/>
        </w:rPr>
        <w:t> </w:t>
      </w:r>
      <w:r>
        <w:rPr>
          <w:sz w:val="24"/>
        </w:rPr>
        <w:t>such</w:t>
      </w:r>
      <w:r>
        <w:rPr>
          <w:spacing w:val="-4"/>
          <w:sz w:val="24"/>
        </w:rPr>
        <w:t> </w:t>
      </w:r>
      <w:r>
        <w:rPr>
          <w:sz w:val="24"/>
        </w:rPr>
        <w:t>services</w:t>
      </w:r>
      <w:r>
        <w:rPr>
          <w:spacing w:val="-4"/>
          <w:sz w:val="24"/>
        </w:rPr>
        <w:t> </w:t>
      </w:r>
      <w:r>
        <w:rPr>
          <w:sz w:val="24"/>
        </w:rPr>
        <w:t>as</w:t>
      </w:r>
      <w:r>
        <w:rPr>
          <w:spacing w:val="-4"/>
          <w:sz w:val="24"/>
        </w:rPr>
        <w:t> </w:t>
      </w:r>
      <w:r>
        <w:rPr>
          <w:sz w:val="24"/>
        </w:rPr>
        <w:t>specified</w:t>
      </w:r>
      <w:r>
        <w:rPr>
          <w:spacing w:val="-4"/>
          <w:sz w:val="24"/>
        </w:rPr>
        <w:t> </w:t>
      </w:r>
      <w:r>
        <w:rPr>
          <w:sz w:val="24"/>
        </w:rPr>
        <w:t>by</w:t>
      </w:r>
      <w:r>
        <w:rPr>
          <w:spacing w:val="-4"/>
          <w:sz w:val="24"/>
        </w:rPr>
        <w:t> </w:t>
      </w:r>
      <w:r>
        <w:rPr>
          <w:sz w:val="24"/>
        </w:rPr>
        <w:t>the</w:t>
      </w:r>
      <w:r>
        <w:rPr>
          <w:spacing w:val="-4"/>
          <w:sz w:val="24"/>
        </w:rPr>
        <w:t> </w:t>
      </w:r>
      <w:r>
        <w:rPr>
          <w:sz w:val="24"/>
        </w:rPr>
        <w:t>contract</w:t>
      </w:r>
      <w:r>
        <w:rPr>
          <w:spacing w:val="-5"/>
          <w:sz w:val="24"/>
        </w:rPr>
        <w:t> </w:t>
      </w:r>
      <w:r>
        <w:rPr>
          <w:sz w:val="24"/>
        </w:rPr>
        <w:t>and</w:t>
      </w:r>
      <w:r>
        <w:rPr>
          <w:spacing w:val="-4"/>
          <w:sz w:val="24"/>
        </w:rPr>
        <w:t> </w:t>
      </w:r>
      <w:r>
        <w:rPr>
          <w:sz w:val="24"/>
        </w:rPr>
        <w:t>as</w:t>
      </w:r>
      <w:r>
        <w:rPr>
          <w:spacing w:val="-4"/>
          <w:sz w:val="24"/>
        </w:rPr>
        <w:t> </w:t>
      </w:r>
      <w:r>
        <w:rPr>
          <w:sz w:val="24"/>
        </w:rPr>
        <w:t>assigned</w:t>
      </w:r>
      <w:r>
        <w:rPr>
          <w:spacing w:val="-4"/>
          <w:sz w:val="24"/>
        </w:rPr>
        <w:t> </w:t>
      </w:r>
      <w:r>
        <w:rPr>
          <w:sz w:val="24"/>
        </w:rPr>
        <w:t>by</w:t>
      </w:r>
      <w:r>
        <w:rPr>
          <w:spacing w:val="-4"/>
          <w:sz w:val="24"/>
        </w:rPr>
        <w:t> </w:t>
      </w:r>
      <w:r>
        <w:rPr>
          <w:sz w:val="24"/>
        </w:rPr>
        <w:t>the supervisor or principal;</w:t>
      </w:r>
    </w:p>
    <w:p>
      <w:pPr>
        <w:pStyle w:val="ListParagraph"/>
        <w:numPr>
          <w:ilvl w:val="1"/>
          <w:numId w:val="329"/>
        </w:numPr>
        <w:tabs>
          <w:tab w:pos="1218" w:val="left" w:leader="none"/>
        </w:tabs>
        <w:spacing w:line="240" w:lineRule="auto" w:before="210" w:after="0"/>
        <w:ind w:left="1218" w:right="0" w:hanging="426"/>
        <w:jc w:val="left"/>
        <w:rPr>
          <w:sz w:val="24"/>
        </w:rPr>
      </w:pPr>
      <w:r>
        <w:rPr>
          <w:sz w:val="24"/>
        </w:rPr>
        <w:t>perform</w:t>
      </w:r>
      <w:r>
        <w:rPr>
          <w:spacing w:val="-3"/>
          <w:sz w:val="24"/>
        </w:rPr>
        <w:t> </w:t>
      </w:r>
      <w:r>
        <w:rPr>
          <w:sz w:val="24"/>
        </w:rPr>
        <w:t>extra</w:t>
      </w:r>
      <w:r>
        <w:rPr>
          <w:spacing w:val="-5"/>
          <w:sz w:val="24"/>
        </w:rPr>
        <w:t> </w:t>
      </w:r>
      <w:r>
        <w:rPr>
          <w:sz w:val="24"/>
        </w:rPr>
        <w:t>curricular</w:t>
      </w:r>
      <w:r>
        <w:rPr>
          <w:spacing w:val="-3"/>
          <w:sz w:val="24"/>
        </w:rPr>
        <w:t> </w:t>
      </w:r>
      <w:r>
        <w:rPr>
          <w:sz w:val="24"/>
        </w:rPr>
        <w:t>activities</w:t>
      </w:r>
      <w:r>
        <w:rPr>
          <w:spacing w:val="-4"/>
          <w:sz w:val="24"/>
        </w:rPr>
        <w:t> </w:t>
      </w:r>
      <w:r>
        <w:rPr>
          <w:sz w:val="24"/>
        </w:rPr>
        <w:t>as</w:t>
      </w:r>
      <w:r>
        <w:rPr>
          <w:spacing w:val="-3"/>
          <w:sz w:val="24"/>
        </w:rPr>
        <w:t> </w:t>
      </w:r>
      <w:r>
        <w:rPr>
          <w:spacing w:val="-2"/>
          <w:sz w:val="24"/>
        </w:rPr>
        <w:t>assigned;</w:t>
      </w:r>
    </w:p>
    <w:p>
      <w:pPr>
        <w:pStyle w:val="ListParagraph"/>
        <w:numPr>
          <w:ilvl w:val="1"/>
          <w:numId w:val="329"/>
        </w:numPr>
        <w:tabs>
          <w:tab w:pos="1217" w:val="left" w:leader="none"/>
        </w:tabs>
        <w:spacing w:line="208" w:lineRule="auto" w:before="234" w:after="0"/>
        <w:ind w:left="792" w:right="801" w:firstLine="0"/>
        <w:jc w:val="left"/>
        <w:rPr>
          <w:sz w:val="24"/>
        </w:rPr>
      </w:pPr>
      <w:r>
        <w:rPr>
          <w:sz w:val="24"/>
        </w:rPr>
        <w:t>meet</w:t>
      </w:r>
      <w:r>
        <w:rPr>
          <w:spacing w:val="-5"/>
          <w:sz w:val="24"/>
        </w:rPr>
        <w:t> </w:t>
      </w:r>
      <w:r>
        <w:rPr>
          <w:sz w:val="24"/>
        </w:rPr>
        <w:t>Minimum</w:t>
      </w:r>
      <w:r>
        <w:rPr>
          <w:spacing w:val="-3"/>
          <w:sz w:val="24"/>
        </w:rPr>
        <w:t> </w:t>
      </w:r>
      <w:r>
        <w:rPr>
          <w:sz w:val="24"/>
        </w:rPr>
        <w:t>Criteria</w:t>
      </w:r>
      <w:r>
        <w:rPr>
          <w:spacing w:val="-4"/>
          <w:sz w:val="24"/>
        </w:rPr>
        <w:t> </w:t>
      </w:r>
      <w:r>
        <w:rPr>
          <w:sz w:val="24"/>
        </w:rPr>
        <w:t>Standards</w:t>
      </w:r>
      <w:r>
        <w:rPr>
          <w:spacing w:val="-4"/>
          <w:sz w:val="24"/>
        </w:rPr>
        <w:t> </w:t>
      </w:r>
      <w:r>
        <w:rPr>
          <w:sz w:val="24"/>
        </w:rPr>
        <w:t>as</w:t>
      </w:r>
      <w:r>
        <w:rPr>
          <w:spacing w:val="-4"/>
          <w:sz w:val="24"/>
        </w:rPr>
        <w:t> </w:t>
      </w:r>
      <w:r>
        <w:rPr>
          <w:sz w:val="24"/>
        </w:rPr>
        <w:t>set</w:t>
      </w:r>
      <w:r>
        <w:rPr>
          <w:spacing w:val="-5"/>
          <w:sz w:val="24"/>
        </w:rPr>
        <w:t> </w:t>
      </w:r>
      <w:r>
        <w:rPr>
          <w:sz w:val="24"/>
        </w:rPr>
        <w:t>by</w:t>
      </w:r>
      <w:r>
        <w:rPr>
          <w:spacing w:val="-4"/>
          <w:sz w:val="24"/>
        </w:rPr>
        <w:t> </w:t>
      </w:r>
      <w:r>
        <w:rPr>
          <w:sz w:val="24"/>
        </w:rPr>
        <w:t>the</w:t>
      </w:r>
      <w:r>
        <w:rPr>
          <w:spacing w:val="-4"/>
          <w:sz w:val="24"/>
        </w:rPr>
        <w:t> </w:t>
      </w:r>
      <w:r>
        <w:rPr>
          <w:sz w:val="24"/>
        </w:rPr>
        <w:t>State</w:t>
      </w:r>
      <w:r>
        <w:rPr>
          <w:spacing w:val="-4"/>
          <w:sz w:val="24"/>
        </w:rPr>
        <w:t> </w:t>
      </w:r>
      <w:r>
        <w:rPr>
          <w:sz w:val="24"/>
        </w:rPr>
        <w:t>Department</w:t>
      </w:r>
      <w:r>
        <w:rPr>
          <w:spacing w:val="-3"/>
          <w:sz w:val="24"/>
        </w:rPr>
        <w:t> </w:t>
      </w:r>
      <w:r>
        <w:rPr>
          <w:sz w:val="24"/>
        </w:rPr>
        <w:t>of</w:t>
      </w:r>
      <w:r>
        <w:rPr>
          <w:spacing w:val="-3"/>
          <w:sz w:val="24"/>
        </w:rPr>
        <w:t> </w:t>
      </w:r>
      <w:r>
        <w:rPr>
          <w:sz w:val="24"/>
        </w:rPr>
        <w:t>Education; </w:t>
      </w:r>
      <w:r>
        <w:rPr>
          <w:spacing w:val="-4"/>
          <w:sz w:val="24"/>
        </w:rPr>
        <w:t>and</w:t>
      </w:r>
    </w:p>
    <w:p>
      <w:pPr>
        <w:pStyle w:val="ListParagraph"/>
        <w:numPr>
          <w:ilvl w:val="1"/>
          <w:numId w:val="329"/>
        </w:numPr>
        <w:tabs>
          <w:tab w:pos="1218" w:val="left" w:leader="none"/>
        </w:tabs>
        <w:spacing w:line="240" w:lineRule="auto" w:before="210" w:after="0"/>
        <w:ind w:left="1218" w:right="0" w:hanging="426"/>
        <w:jc w:val="left"/>
        <w:rPr>
          <w:sz w:val="24"/>
        </w:rPr>
      </w:pPr>
      <w:r>
        <w:rPr>
          <w:sz w:val="24"/>
        </w:rPr>
        <w:t>comply</w:t>
      </w:r>
      <w:r>
        <w:rPr>
          <w:spacing w:val="-4"/>
          <w:sz w:val="24"/>
        </w:rPr>
        <w:t> </w:t>
      </w:r>
      <w:r>
        <w:rPr>
          <w:spacing w:val="-2"/>
          <w:sz w:val="24"/>
        </w:rPr>
        <w:t>with:</w:t>
      </w:r>
    </w:p>
    <w:p>
      <w:pPr>
        <w:pStyle w:val="ListParagraph"/>
        <w:numPr>
          <w:ilvl w:val="2"/>
          <w:numId w:val="329"/>
        </w:numPr>
        <w:tabs>
          <w:tab w:pos="1677" w:val="left" w:leader="none"/>
        </w:tabs>
        <w:spacing w:line="208" w:lineRule="auto" w:before="234" w:after="0"/>
        <w:ind w:left="1224" w:right="1302" w:firstLine="0"/>
        <w:jc w:val="both"/>
        <w:rPr>
          <w:sz w:val="24"/>
        </w:rPr>
      </w:pPr>
      <w:r>
        <w:rPr>
          <w:sz w:val="24"/>
        </w:rPr>
        <w:t>all</w:t>
      </w:r>
      <w:r>
        <w:rPr>
          <w:spacing w:val="-2"/>
          <w:sz w:val="24"/>
        </w:rPr>
        <w:t> </w:t>
      </w:r>
      <w:r>
        <w:rPr>
          <w:sz w:val="24"/>
        </w:rPr>
        <w:t>applicable</w:t>
      </w:r>
      <w:r>
        <w:rPr>
          <w:spacing w:val="-2"/>
          <w:sz w:val="24"/>
        </w:rPr>
        <w:t> </w:t>
      </w:r>
      <w:r>
        <w:rPr>
          <w:sz w:val="24"/>
        </w:rPr>
        <w:t>laws</w:t>
      </w:r>
      <w:r>
        <w:rPr>
          <w:spacing w:val="-1"/>
          <w:sz w:val="24"/>
        </w:rPr>
        <w:t> </w:t>
      </w:r>
      <w:r>
        <w:rPr>
          <w:sz w:val="24"/>
        </w:rPr>
        <w:t>and</w:t>
      </w:r>
      <w:r>
        <w:rPr>
          <w:spacing w:val="-2"/>
          <w:sz w:val="24"/>
        </w:rPr>
        <w:t> </w:t>
      </w:r>
      <w:r>
        <w:rPr>
          <w:sz w:val="24"/>
        </w:rPr>
        <w:t>regulations</w:t>
      </w:r>
      <w:r>
        <w:rPr>
          <w:spacing w:val="-2"/>
          <w:sz w:val="24"/>
        </w:rPr>
        <w:t> </w:t>
      </w:r>
      <w:r>
        <w:rPr>
          <w:sz w:val="24"/>
        </w:rPr>
        <w:t>pertaining</w:t>
      </w:r>
      <w:r>
        <w:rPr>
          <w:spacing w:val="-2"/>
          <w:sz w:val="24"/>
        </w:rPr>
        <w:t> </w:t>
      </w:r>
      <w:r>
        <w:rPr>
          <w:sz w:val="24"/>
        </w:rPr>
        <w:t>to</w:t>
      </w:r>
      <w:r>
        <w:rPr>
          <w:spacing w:val="-2"/>
          <w:sz w:val="24"/>
        </w:rPr>
        <w:t> </w:t>
      </w:r>
      <w:r>
        <w:rPr>
          <w:sz w:val="24"/>
        </w:rPr>
        <w:t>or</w:t>
      </w:r>
      <w:r>
        <w:rPr>
          <w:spacing w:val="-1"/>
          <w:sz w:val="24"/>
        </w:rPr>
        <w:t> </w:t>
      </w:r>
      <w:r>
        <w:rPr>
          <w:sz w:val="24"/>
        </w:rPr>
        <w:t>promulgated</w:t>
      </w:r>
      <w:r>
        <w:rPr>
          <w:spacing w:val="-1"/>
          <w:sz w:val="24"/>
        </w:rPr>
        <w:t> </w:t>
      </w:r>
      <w:r>
        <w:rPr>
          <w:sz w:val="24"/>
        </w:rPr>
        <w:t>by</w:t>
      </w:r>
      <w:r>
        <w:rPr>
          <w:spacing w:val="-2"/>
          <w:sz w:val="24"/>
        </w:rPr>
        <w:t> </w:t>
      </w:r>
      <w:r>
        <w:rPr>
          <w:sz w:val="24"/>
        </w:rPr>
        <w:t>the Department</w:t>
      </w:r>
      <w:r>
        <w:rPr>
          <w:spacing w:val="-4"/>
          <w:sz w:val="24"/>
        </w:rPr>
        <w:t> </w:t>
      </w:r>
      <w:r>
        <w:rPr>
          <w:sz w:val="24"/>
        </w:rPr>
        <w:t>of</w:t>
      </w:r>
      <w:r>
        <w:rPr>
          <w:spacing w:val="-6"/>
          <w:sz w:val="24"/>
        </w:rPr>
        <w:t> </w:t>
      </w:r>
      <w:r>
        <w:rPr>
          <w:sz w:val="24"/>
        </w:rPr>
        <w:t>Rehabilitation</w:t>
      </w:r>
      <w:r>
        <w:rPr>
          <w:spacing w:val="-5"/>
          <w:sz w:val="24"/>
        </w:rPr>
        <w:t> </w:t>
      </w:r>
      <w:r>
        <w:rPr>
          <w:sz w:val="24"/>
        </w:rPr>
        <w:t>Services,</w:t>
      </w:r>
      <w:r>
        <w:rPr>
          <w:spacing w:val="-4"/>
          <w:sz w:val="24"/>
        </w:rPr>
        <w:t> </w:t>
      </w:r>
      <w:r>
        <w:rPr>
          <w:sz w:val="24"/>
        </w:rPr>
        <w:t>State</w:t>
      </w:r>
      <w:r>
        <w:rPr>
          <w:spacing w:val="-6"/>
          <w:sz w:val="24"/>
        </w:rPr>
        <w:t> </w:t>
      </w:r>
      <w:r>
        <w:rPr>
          <w:sz w:val="24"/>
        </w:rPr>
        <w:t>Department</w:t>
      </w:r>
      <w:r>
        <w:rPr>
          <w:spacing w:val="-4"/>
          <w:sz w:val="24"/>
        </w:rPr>
        <w:t> </w:t>
      </w:r>
      <w:r>
        <w:rPr>
          <w:sz w:val="24"/>
        </w:rPr>
        <w:t>of</w:t>
      </w:r>
      <w:r>
        <w:rPr>
          <w:spacing w:val="-6"/>
          <w:sz w:val="24"/>
        </w:rPr>
        <w:t> </w:t>
      </w:r>
      <w:r>
        <w:rPr>
          <w:sz w:val="24"/>
        </w:rPr>
        <w:t>Education,</w:t>
      </w:r>
      <w:r>
        <w:rPr>
          <w:spacing w:val="-4"/>
          <w:sz w:val="24"/>
        </w:rPr>
        <w:t> </w:t>
      </w:r>
      <w:r>
        <w:rPr>
          <w:sz w:val="24"/>
        </w:rPr>
        <w:t>the State of Oklahoma, and the United States of America;</w:t>
      </w:r>
    </w:p>
    <w:p>
      <w:pPr>
        <w:pStyle w:val="ListParagraph"/>
        <w:numPr>
          <w:ilvl w:val="2"/>
          <w:numId w:val="329"/>
        </w:numPr>
        <w:tabs>
          <w:tab w:pos="1676" w:val="left" w:leader="none"/>
        </w:tabs>
        <w:spacing w:line="208" w:lineRule="auto" w:before="239" w:after="0"/>
        <w:ind w:left="1224" w:right="1076" w:firstLine="0"/>
        <w:jc w:val="left"/>
        <w:rPr>
          <w:sz w:val="24"/>
        </w:rPr>
      </w:pPr>
      <w:r>
        <w:rPr>
          <w:sz w:val="24"/>
        </w:rPr>
        <w:t>the rules and regulations of DRS specifically applicable to contracted instructional</w:t>
      </w:r>
      <w:r>
        <w:rPr>
          <w:spacing w:val="-5"/>
          <w:sz w:val="24"/>
        </w:rPr>
        <w:t> </w:t>
      </w:r>
      <w:r>
        <w:rPr>
          <w:sz w:val="24"/>
        </w:rPr>
        <w:t>personnel,</w:t>
      </w:r>
      <w:r>
        <w:rPr>
          <w:spacing w:val="-4"/>
          <w:sz w:val="24"/>
        </w:rPr>
        <w:t> </w:t>
      </w:r>
      <w:r>
        <w:rPr>
          <w:sz w:val="24"/>
        </w:rPr>
        <w:t>including</w:t>
      </w:r>
      <w:r>
        <w:rPr>
          <w:spacing w:val="-5"/>
          <w:sz w:val="24"/>
        </w:rPr>
        <w:t> </w:t>
      </w:r>
      <w:r>
        <w:rPr>
          <w:sz w:val="24"/>
        </w:rPr>
        <w:t>all</w:t>
      </w:r>
      <w:r>
        <w:rPr>
          <w:spacing w:val="-5"/>
          <w:sz w:val="24"/>
        </w:rPr>
        <w:t> </w:t>
      </w:r>
      <w:r>
        <w:rPr>
          <w:sz w:val="24"/>
        </w:rPr>
        <w:t>rules</w:t>
      </w:r>
      <w:r>
        <w:rPr>
          <w:spacing w:val="-5"/>
          <w:sz w:val="24"/>
        </w:rPr>
        <w:t> </w:t>
      </w:r>
      <w:r>
        <w:rPr>
          <w:sz w:val="24"/>
        </w:rPr>
        <w:t>and</w:t>
      </w:r>
      <w:r>
        <w:rPr>
          <w:spacing w:val="-5"/>
          <w:sz w:val="24"/>
        </w:rPr>
        <w:t> </w:t>
      </w:r>
      <w:r>
        <w:rPr>
          <w:sz w:val="24"/>
        </w:rPr>
        <w:t>regulations</w:t>
      </w:r>
      <w:r>
        <w:rPr>
          <w:spacing w:val="-5"/>
          <w:sz w:val="24"/>
        </w:rPr>
        <w:t> </w:t>
      </w:r>
      <w:r>
        <w:rPr>
          <w:sz w:val="24"/>
        </w:rPr>
        <w:t>in</w:t>
      </w:r>
      <w:r>
        <w:rPr>
          <w:spacing w:val="-5"/>
          <w:sz w:val="24"/>
        </w:rPr>
        <w:t> </w:t>
      </w:r>
      <w:r>
        <w:rPr>
          <w:sz w:val="24"/>
        </w:rPr>
        <w:t>this</w:t>
      </w:r>
      <w:r>
        <w:rPr>
          <w:spacing w:val="-5"/>
          <w:sz w:val="24"/>
        </w:rPr>
        <w:t> </w:t>
      </w:r>
      <w:r>
        <w:rPr>
          <w:sz w:val="24"/>
        </w:rPr>
        <w:t>Subchapter; </w:t>
      </w:r>
      <w:r>
        <w:rPr>
          <w:spacing w:val="-4"/>
          <w:sz w:val="24"/>
        </w:rPr>
        <w:t>and</w:t>
      </w:r>
    </w:p>
    <w:p>
      <w:pPr>
        <w:pStyle w:val="ListParagraph"/>
        <w:numPr>
          <w:ilvl w:val="2"/>
          <w:numId w:val="329"/>
        </w:numPr>
        <w:tabs>
          <w:tab w:pos="1689" w:val="left" w:leader="none"/>
        </w:tabs>
        <w:spacing w:line="208" w:lineRule="auto" w:before="240" w:after="0"/>
        <w:ind w:left="1224" w:right="1368" w:firstLine="0"/>
        <w:jc w:val="left"/>
        <w:rPr>
          <w:sz w:val="24"/>
        </w:rPr>
      </w:pPr>
      <w:r>
        <w:rPr>
          <w:sz w:val="24"/>
        </w:rPr>
        <w:t>rules</w:t>
      </w:r>
      <w:r>
        <w:rPr>
          <w:spacing w:val="-4"/>
          <w:sz w:val="24"/>
        </w:rPr>
        <w:t> </w:t>
      </w:r>
      <w:r>
        <w:rPr>
          <w:sz w:val="24"/>
        </w:rPr>
        <w:t>and</w:t>
      </w:r>
      <w:r>
        <w:rPr>
          <w:spacing w:val="-4"/>
          <w:sz w:val="24"/>
        </w:rPr>
        <w:t> </w:t>
      </w:r>
      <w:r>
        <w:rPr>
          <w:sz w:val="24"/>
        </w:rPr>
        <w:t>regulations</w:t>
      </w:r>
      <w:r>
        <w:rPr>
          <w:spacing w:val="-4"/>
          <w:sz w:val="24"/>
        </w:rPr>
        <w:t> </w:t>
      </w:r>
      <w:r>
        <w:rPr>
          <w:sz w:val="24"/>
        </w:rPr>
        <w:t>of</w:t>
      </w:r>
      <w:r>
        <w:rPr>
          <w:spacing w:val="-3"/>
          <w:sz w:val="24"/>
        </w:rPr>
        <w:t> </w:t>
      </w:r>
      <w:r>
        <w:rPr>
          <w:sz w:val="24"/>
        </w:rPr>
        <w:t>DRS</w:t>
      </w:r>
      <w:r>
        <w:rPr>
          <w:spacing w:val="-3"/>
          <w:sz w:val="24"/>
        </w:rPr>
        <w:t> </w:t>
      </w:r>
      <w:r>
        <w:rPr>
          <w:sz w:val="24"/>
        </w:rPr>
        <w:t>unless</w:t>
      </w:r>
      <w:r>
        <w:rPr>
          <w:spacing w:val="-4"/>
          <w:sz w:val="24"/>
        </w:rPr>
        <w:t> </w:t>
      </w:r>
      <w:r>
        <w:rPr>
          <w:sz w:val="24"/>
        </w:rPr>
        <w:t>specifically</w:t>
      </w:r>
      <w:r>
        <w:rPr>
          <w:spacing w:val="-4"/>
          <w:sz w:val="24"/>
        </w:rPr>
        <w:t> </w:t>
      </w:r>
      <w:r>
        <w:rPr>
          <w:sz w:val="24"/>
        </w:rPr>
        <w:t>exempted</w:t>
      </w:r>
      <w:r>
        <w:rPr>
          <w:spacing w:val="-4"/>
          <w:sz w:val="24"/>
        </w:rPr>
        <w:t> </w:t>
      </w:r>
      <w:r>
        <w:rPr>
          <w:sz w:val="24"/>
        </w:rPr>
        <w:t>from</w:t>
      </w:r>
      <w:r>
        <w:rPr>
          <w:spacing w:val="-5"/>
          <w:sz w:val="24"/>
        </w:rPr>
        <w:t> </w:t>
      </w:r>
      <w:r>
        <w:rPr>
          <w:sz w:val="24"/>
        </w:rPr>
        <w:t>these </w:t>
      </w:r>
      <w:r>
        <w:rPr>
          <w:spacing w:val="-2"/>
          <w:sz w:val="24"/>
        </w:rPr>
        <w:t>rules.</w:t>
      </w:r>
    </w:p>
    <w:p>
      <w:pPr>
        <w:pStyle w:val="ListParagraph"/>
        <w:numPr>
          <w:ilvl w:val="0"/>
          <w:numId w:val="329"/>
        </w:numPr>
        <w:tabs>
          <w:tab w:pos="785" w:val="left" w:leader="none"/>
        </w:tabs>
        <w:spacing w:line="208" w:lineRule="auto" w:before="240" w:after="0"/>
        <w:ind w:left="360" w:right="870" w:firstLine="0"/>
        <w:jc w:val="left"/>
        <w:rPr>
          <w:sz w:val="24"/>
        </w:rPr>
      </w:pPr>
      <w:r>
        <w:rPr>
          <w:sz w:val="24"/>
        </w:rPr>
        <w:t>Questions</w:t>
      </w:r>
      <w:r>
        <w:rPr>
          <w:spacing w:val="-3"/>
          <w:sz w:val="24"/>
        </w:rPr>
        <w:t> </w:t>
      </w:r>
      <w:r>
        <w:rPr>
          <w:sz w:val="24"/>
        </w:rPr>
        <w:t>regarding</w:t>
      </w:r>
      <w:r>
        <w:rPr>
          <w:spacing w:val="-3"/>
          <w:sz w:val="24"/>
        </w:rPr>
        <w:t> </w:t>
      </w:r>
      <w:r>
        <w:rPr>
          <w:sz w:val="24"/>
        </w:rPr>
        <w:t>applicability</w:t>
      </w:r>
      <w:r>
        <w:rPr>
          <w:spacing w:val="-3"/>
          <w:sz w:val="24"/>
        </w:rPr>
        <w:t> </w:t>
      </w:r>
      <w:r>
        <w:rPr>
          <w:sz w:val="24"/>
        </w:rPr>
        <w:t>of</w:t>
      </w:r>
      <w:r>
        <w:rPr>
          <w:spacing w:val="-2"/>
          <w:sz w:val="24"/>
        </w:rPr>
        <w:t> </w:t>
      </w:r>
      <w:r>
        <w:rPr>
          <w:sz w:val="24"/>
        </w:rPr>
        <w:t>any</w:t>
      </w:r>
      <w:r>
        <w:rPr>
          <w:spacing w:val="-3"/>
          <w:sz w:val="24"/>
        </w:rPr>
        <w:t> </w:t>
      </w:r>
      <w:r>
        <w:rPr>
          <w:sz w:val="24"/>
        </w:rPr>
        <w:t>rule</w:t>
      </w:r>
      <w:r>
        <w:rPr>
          <w:spacing w:val="-3"/>
          <w:sz w:val="24"/>
        </w:rPr>
        <w:t> </w:t>
      </w:r>
      <w:r>
        <w:rPr>
          <w:sz w:val="24"/>
        </w:rPr>
        <w:t>or</w:t>
      </w:r>
      <w:r>
        <w:rPr>
          <w:spacing w:val="-2"/>
          <w:sz w:val="24"/>
        </w:rPr>
        <w:t> </w:t>
      </w:r>
      <w:r>
        <w:rPr>
          <w:sz w:val="24"/>
        </w:rPr>
        <w:t>regulation</w:t>
      </w:r>
      <w:r>
        <w:rPr>
          <w:spacing w:val="-3"/>
          <w:sz w:val="24"/>
        </w:rPr>
        <w:t> </w:t>
      </w:r>
      <w:r>
        <w:rPr>
          <w:sz w:val="24"/>
        </w:rPr>
        <w:t>will</w:t>
      </w:r>
      <w:r>
        <w:rPr>
          <w:spacing w:val="-3"/>
          <w:sz w:val="24"/>
        </w:rPr>
        <w:t> </w:t>
      </w:r>
      <w:r>
        <w:rPr>
          <w:sz w:val="24"/>
        </w:rPr>
        <w:t>be</w:t>
      </w:r>
      <w:r>
        <w:rPr>
          <w:spacing w:val="-3"/>
          <w:sz w:val="24"/>
        </w:rPr>
        <w:t> </w:t>
      </w:r>
      <w:r>
        <w:rPr>
          <w:sz w:val="24"/>
        </w:rPr>
        <w:t>determined</w:t>
      </w:r>
      <w:r>
        <w:rPr>
          <w:spacing w:val="-3"/>
          <w:sz w:val="24"/>
        </w:rPr>
        <w:t> </w:t>
      </w:r>
      <w:r>
        <w:rPr>
          <w:sz w:val="24"/>
        </w:rPr>
        <w:t>by</w:t>
      </w:r>
      <w:r>
        <w:rPr>
          <w:spacing w:val="-3"/>
          <w:sz w:val="24"/>
        </w:rPr>
        <w:t> </w:t>
      </w:r>
      <w:r>
        <w:rPr>
          <w:sz w:val="24"/>
        </w:rPr>
        <w:t>the </w:t>
      </w:r>
      <w:r>
        <w:rPr>
          <w:spacing w:val="-2"/>
          <w:sz w:val="24"/>
        </w:rPr>
        <w:t>Director.</w:t>
      </w:r>
    </w:p>
    <w:p>
      <w:pPr>
        <w:spacing w:before="243"/>
        <w:ind w:left="360" w:right="0" w:firstLine="0"/>
        <w:jc w:val="left"/>
        <w:rPr>
          <w:sz w:val="22"/>
        </w:rPr>
      </w:pPr>
      <w:r>
        <w:rPr>
          <w:sz w:val="22"/>
        </w:rPr>
        <w:t>Section</w:t>
      </w:r>
      <w:r>
        <w:rPr>
          <w:spacing w:val="-9"/>
          <w:sz w:val="22"/>
        </w:rPr>
        <w:t> </w:t>
      </w:r>
      <w:r>
        <w:rPr>
          <w:spacing w:val="-2"/>
          <w:sz w:val="22"/>
        </w:rPr>
        <w:t>History</w:t>
      </w:r>
    </w:p>
    <w:p>
      <w:pPr>
        <w:spacing w:line="253" w:lineRule="exact" w:before="1"/>
        <w:ind w:left="360" w:right="0" w:firstLine="0"/>
        <w:jc w:val="left"/>
        <w:rPr>
          <w:sz w:val="22"/>
        </w:rPr>
      </w:pPr>
      <w:r>
        <w:rPr>
          <w:sz w:val="22"/>
        </w:rPr>
        <w:t>10-12-95</w:t>
      </w:r>
      <w:r>
        <w:rPr>
          <w:spacing w:val="30"/>
          <w:sz w:val="22"/>
        </w:rPr>
        <w:t>  </w:t>
      </w:r>
      <w:r>
        <w:rPr>
          <w:sz w:val="22"/>
        </w:rPr>
        <w:t>PT</w:t>
      </w:r>
      <w:r>
        <w:rPr>
          <w:spacing w:val="-3"/>
          <w:sz w:val="22"/>
        </w:rPr>
        <w:t> </w:t>
      </w:r>
      <w:r>
        <w:rPr>
          <w:sz w:val="22"/>
        </w:rPr>
        <w:t>Memo</w:t>
      </w:r>
      <w:r>
        <w:rPr>
          <w:spacing w:val="-5"/>
          <w:sz w:val="22"/>
        </w:rPr>
        <w:t> </w:t>
      </w:r>
      <w:r>
        <w:rPr>
          <w:sz w:val="22"/>
        </w:rPr>
        <w:t>#95-</w:t>
      </w:r>
      <w:r>
        <w:rPr>
          <w:spacing w:val="-10"/>
          <w:sz w:val="22"/>
        </w:rPr>
        <w:t>3</w:t>
      </w:r>
    </w:p>
    <w:p>
      <w:pPr>
        <w:tabs>
          <w:tab w:pos="1439" w:val="left" w:leader="none"/>
        </w:tabs>
        <w:spacing w:before="0"/>
        <w:ind w:left="359" w:right="6564" w:firstLine="1080"/>
        <w:jc w:val="left"/>
        <w:rPr>
          <w:sz w:val="22"/>
        </w:rPr>
      </w:pPr>
      <w:r>
        <w:rPr>
          <w:sz w:val="22"/>
        </w:rPr>
        <w:t>Emergency,</w:t>
      </w:r>
      <w:r>
        <w:rPr>
          <w:spacing w:val="-16"/>
          <w:sz w:val="22"/>
        </w:rPr>
        <w:t> </w:t>
      </w:r>
      <w:r>
        <w:rPr>
          <w:sz w:val="22"/>
        </w:rPr>
        <w:t>new</w:t>
      </w:r>
      <w:r>
        <w:rPr>
          <w:spacing w:val="-15"/>
          <w:sz w:val="22"/>
        </w:rPr>
        <w:t> </w:t>
      </w:r>
      <w:r>
        <w:rPr>
          <w:sz w:val="22"/>
        </w:rPr>
        <w:t>Section </w:t>
      </w:r>
      <w:r>
        <w:rPr>
          <w:spacing w:val="-2"/>
          <w:sz w:val="22"/>
        </w:rPr>
        <w:t>8-1-96</w:t>
      </w:r>
      <w:r>
        <w:rPr>
          <w:sz w:val="22"/>
        </w:rPr>
        <w:tab/>
        <w:t>PT Memo #97-2</w:t>
      </w:r>
    </w:p>
    <w:p>
      <w:pPr>
        <w:spacing w:before="0"/>
        <w:ind w:left="1439" w:right="0" w:firstLine="0"/>
        <w:jc w:val="left"/>
        <w:rPr>
          <w:sz w:val="22"/>
        </w:rPr>
      </w:pPr>
      <w:r>
        <w:rPr>
          <w:sz w:val="22"/>
        </w:rPr>
        <w:t>Permanent</w:t>
      </w:r>
      <w:r>
        <w:rPr>
          <w:spacing w:val="-11"/>
          <w:sz w:val="22"/>
        </w:rPr>
        <w:t> </w:t>
      </w:r>
      <w:r>
        <w:rPr>
          <w:sz w:val="22"/>
        </w:rPr>
        <w:t>rules</w:t>
      </w:r>
      <w:r>
        <w:rPr>
          <w:spacing w:val="-10"/>
          <w:sz w:val="22"/>
        </w:rPr>
        <w:t> </w:t>
      </w:r>
      <w:r>
        <w:rPr>
          <w:sz w:val="22"/>
        </w:rPr>
        <w:t>supersede</w:t>
      </w:r>
      <w:r>
        <w:rPr>
          <w:spacing w:val="-10"/>
          <w:sz w:val="22"/>
        </w:rPr>
        <w:t> </w:t>
      </w:r>
      <w:r>
        <w:rPr>
          <w:sz w:val="22"/>
        </w:rPr>
        <w:t>Emergency</w:t>
      </w:r>
      <w:r>
        <w:rPr>
          <w:spacing w:val="-10"/>
          <w:sz w:val="22"/>
        </w:rPr>
        <w:t> </w:t>
      </w:r>
      <w:r>
        <w:rPr>
          <w:sz w:val="22"/>
        </w:rPr>
        <w:t>rules</w:t>
      </w:r>
      <w:r>
        <w:rPr>
          <w:spacing w:val="-11"/>
          <w:sz w:val="22"/>
        </w:rPr>
        <w:t> </w:t>
      </w:r>
      <w:r>
        <w:rPr>
          <w:sz w:val="22"/>
        </w:rPr>
        <w:t>issued</w:t>
      </w:r>
      <w:r>
        <w:rPr>
          <w:spacing w:val="-10"/>
          <w:sz w:val="22"/>
        </w:rPr>
        <w:t> </w:t>
      </w:r>
      <w:r>
        <w:rPr>
          <w:sz w:val="22"/>
        </w:rPr>
        <w:t>10-12-</w:t>
      </w:r>
      <w:r>
        <w:rPr>
          <w:spacing w:val="-5"/>
          <w:sz w:val="22"/>
        </w:rPr>
        <w:t>95</w:t>
      </w:r>
    </w:p>
    <w:p>
      <w:pPr>
        <w:spacing w:after="0"/>
        <w:jc w:val="left"/>
        <w:rPr>
          <w:sz w:val="22"/>
        </w:rPr>
        <w:sectPr>
          <w:pgSz w:w="12240" w:h="15840"/>
          <w:pgMar w:top="1340" w:bottom="280" w:left="1080" w:right="720"/>
        </w:sectPr>
      </w:pPr>
    </w:p>
    <w:p>
      <w:pPr>
        <w:pStyle w:val="Heading2"/>
      </w:pPr>
      <w:bookmarkStart w:name="612:20-2-7.  Employee benefits" w:id="326"/>
      <w:bookmarkEnd w:id="326"/>
      <w:r>
        <w:rPr>
          <w:b w:val="0"/>
        </w:rPr>
      </w:r>
      <w:r>
        <w:rPr/>
        <w:t>612:20-2-7.</w:t>
      </w:r>
      <w:r>
        <w:rPr>
          <w:spacing w:val="58"/>
        </w:rPr>
        <w:t> </w:t>
      </w:r>
      <w:r>
        <w:rPr/>
        <w:t>Employee</w:t>
      </w:r>
      <w:r>
        <w:rPr>
          <w:spacing w:val="-4"/>
        </w:rPr>
        <w:t> </w:t>
      </w:r>
      <w:r>
        <w:rPr>
          <w:spacing w:val="-2"/>
        </w:rPr>
        <w:t>benefits</w:t>
      </w:r>
    </w:p>
    <w:p>
      <w:pPr>
        <w:pStyle w:val="ListParagraph"/>
        <w:numPr>
          <w:ilvl w:val="0"/>
          <w:numId w:val="330"/>
        </w:numPr>
        <w:tabs>
          <w:tab w:pos="786" w:val="left" w:leader="none"/>
        </w:tabs>
        <w:spacing w:line="208" w:lineRule="auto" w:before="233" w:after="0"/>
        <w:ind w:left="360" w:right="954" w:firstLine="0"/>
        <w:jc w:val="left"/>
        <w:rPr>
          <w:sz w:val="24"/>
        </w:rPr>
      </w:pPr>
      <w:r>
        <w:rPr>
          <w:sz w:val="24"/>
        </w:rPr>
        <w:t>Personal</w:t>
      </w:r>
      <w:r>
        <w:rPr>
          <w:spacing w:val="-5"/>
          <w:sz w:val="24"/>
        </w:rPr>
        <w:t> </w:t>
      </w:r>
      <w:r>
        <w:rPr>
          <w:sz w:val="24"/>
        </w:rPr>
        <w:t>leave.</w:t>
      </w:r>
      <w:r>
        <w:rPr>
          <w:spacing w:val="-4"/>
          <w:sz w:val="24"/>
        </w:rPr>
        <w:t> </w:t>
      </w:r>
      <w:r>
        <w:rPr>
          <w:sz w:val="24"/>
        </w:rPr>
        <w:t>Contracted</w:t>
      </w:r>
      <w:r>
        <w:rPr>
          <w:spacing w:val="-5"/>
          <w:sz w:val="24"/>
        </w:rPr>
        <w:t> </w:t>
      </w:r>
      <w:r>
        <w:rPr>
          <w:sz w:val="24"/>
        </w:rPr>
        <w:t>instructional</w:t>
      </w:r>
      <w:r>
        <w:rPr>
          <w:spacing w:val="-4"/>
          <w:sz w:val="24"/>
        </w:rPr>
        <w:t> </w:t>
      </w:r>
      <w:r>
        <w:rPr>
          <w:sz w:val="24"/>
        </w:rPr>
        <w:t>staff</w:t>
      </w:r>
      <w:r>
        <w:rPr>
          <w:spacing w:val="-4"/>
          <w:sz w:val="24"/>
        </w:rPr>
        <w:t> </w:t>
      </w:r>
      <w:r>
        <w:rPr>
          <w:sz w:val="24"/>
        </w:rPr>
        <w:t>will</w:t>
      </w:r>
      <w:r>
        <w:rPr>
          <w:spacing w:val="-5"/>
          <w:sz w:val="24"/>
        </w:rPr>
        <w:t> </w:t>
      </w:r>
      <w:r>
        <w:rPr>
          <w:sz w:val="24"/>
        </w:rPr>
        <w:t>receive</w:t>
      </w:r>
      <w:r>
        <w:rPr>
          <w:spacing w:val="-5"/>
          <w:sz w:val="24"/>
        </w:rPr>
        <w:t> </w:t>
      </w:r>
      <w:r>
        <w:rPr>
          <w:sz w:val="24"/>
        </w:rPr>
        <w:t>five</w:t>
      </w:r>
      <w:r>
        <w:rPr>
          <w:spacing w:val="-5"/>
          <w:sz w:val="24"/>
        </w:rPr>
        <w:t> </w:t>
      </w:r>
      <w:r>
        <w:rPr>
          <w:sz w:val="24"/>
        </w:rPr>
        <w:t>days</w:t>
      </w:r>
      <w:r>
        <w:rPr>
          <w:spacing w:val="-5"/>
          <w:sz w:val="24"/>
        </w:rPr>
        <w:t> </w:t>
      </w:r>
      <w:r>
        <w:rPr>
          <w:sz w:val="24"/>
        </w:rPr>
        <w:t>each</w:t>
      </w:r>
      <w:r>
        <w:rPr>
          <w:spacing w:val="-5"/>
          <w:sz w:val="24"/>
        </w:rPr>
        <w:t> </w:t>
      </w:r>
      <w:r>
        <w:rPr>
          <w:sz w:val="24"/>
        </w:rPr>
        <w:t>academic year. Such</w:t>
      </w:r>
      <w:r>
        <w:rPr>
          <w:spacing w:val="-1"/>
          <w:sz w:val="24"/>
        </w:rPr>
        <w:t> </w:t>
      </w:r>
      <w:r>
        <w:rPr>
          <w:sz w:val="24"/>
        </w:rPr>
        <w:t>leave</w:t>
      </w:r>
      <w:r>
        <w:rPr>
          <w:spacing w:val="-1"/>
          <w:sz w:val="24"/>
        </w:rPr>
        <w:t> </w:t>
      </w:r>
      <w:r>
        <w:rPr>
          <w:sz w:val="24"/>
        </w:rPr>
        <w:t>shall vest at</w:t>
      </w:r>
      <w:r>
        <w:rPr>
          <w:spacing w:val="-2"/>
          <w:sz w:val="24"/>
        </w:rPr>
        <w:t> </w:t>
      </w:r>
      <w:r>
        <w:rPr>
          <w:sz w:val="24"/>
        </w:rPr>
        <w:t>the</w:t>
      </w:r>
      <w:r>
        <w:rPr>
          <w:spacing w:val="-2"/>
          <w:sz w:val="24"/>
        </w:rPr>
        <w:t> </w:t>
      </w:r>
      <w:r>
        <w:rPr>
          <w:sz w:val="24"/>
        </w:rPr>
        <w:t>beginning of each</w:t>
      </w:r>
      <w:r>
        <w:rPr>
          <w:spacing w:val="-1"/>
          <w:sz w:val="24"/>
        </w:rPr>
        <w:t> </w:t>
      </w:r>
      <w:r>
        <w:rPr>
          <w:sz w:val="24"/>
        </w:rPr>
        <w:t>academic</w:t>
      </w:r>
      <w:r>
        <w:rPr>
          <w:spacing w:val="-1"/>
          <w:sz w:val="24"/>
        </w:rPr>
        <w:t> </w:t>
      </w:r>
      <w:r>
        <w:rPr>
          <w:sz w:val="24"/>
        </w:rPr>
        <w:t>year and</w:t>
      </w:r>
      <w:r>
        <w:rPr>
          <w:spacing w:val="-1"/>
          <w:sz w:val="24"/>
        </w:rPr>
        <w:t> </w:t>
      </w:r>
      <w:r>
        <w:rPr>
          <w:sz w:val="24"/>
        </w:rPr>
        <w:t>may</w:t>
      </w:r>
      <w:r>
        <w:rPr>
          <w:spacing w:val="-2"/>
          <w:sz w:val="24"/>
        </w:rPr>
        <w:t> </w:t>
      </w:r>
      <w:r>
        <w:rPr>
          <w:sz w:val="24"/>
        </w:rPr>
        <w:t>be</w:t>
      </w:r>
      <w:r>
        <w:rPr>
          <w:spacing w:val="-1"/>
          <w:sz w:val="24"/>
        </w:rPr>
        <w:t> </w:t>
      </w:r>
      <w:r>
        <w:rPr>
          <w:sz w:val="24"/>
        </w:rPr>
        <w:t>taken with the approval of the school superintendent. Personal leave may not be charged to sick leave and will not be cumulative. Unused personal leave will be paid to the employee at the rate of $75 for each full day of unused leave after the end of each academic year.</w:t>
      </w:r>
    </w:p>
    <w:p>
      <w:pPr>
        <w:pStyle w:val="ListParagraph"/>
        <w:numPr>
          <w:ilvl w:val="0"/>
          <w:numId w:val="330"/>
        </w:numPr>
        <w:tabs>
          <w:tab w:pos="786" w:val="left" w:leader="none"/>
        </w:tabs>
        <w:spacing w:line="208" w:lineRule="auto" w:before="239" w:after="0"/>
        <w:ind w:left="360" w:right="719" w:firstLine="0"/>
        <w:jc w:val="left"/>
        <w:rPr>
          <w:sz w:val="24"/>
        </w:rPr>
      </w:pPr>
      <w:r>
        <w:rPr>
          <w:sz w:val="24"/>
        </w:rPr>
        <w:t>Sick leave. Contracted instructional staff will receive ten days sick leave per academic year. Such leave shall vest at the beginning of each academic year and unused sick leave shall be cumulative up to a total of sixty working days. Such leave is to</w:t>
      </w:r>
      <w:r>
        <w:rPr>
          <w:spacing w:val="-2"/>
          <w:sz w:val="24"/>
        </w:rPr>
        <w:t> </w:t>
      </w:r>
      <w:r>
        <w:rPr>
          <w:sz w:val="24"/>
        </w:rPr>
        <w:t>be</w:t>
      </w:r>
      <w:r>
        <w:rPr>
          <w:spacing w:val="-2"/>
          <w:sz w:val="24"/>
        </w:rPr>
        <w:t> </w:t>
      </w:r>
      <w:r>
        <w:rPr>
          <w:sz w:val="24"/>
        </w:rPr>
        <w:t>used</w:t>
      </w:r>
      <w:r>
        <w:rPr>
          <w:spacing w:val="-2"/>
          <w:sz w:val="24"/>
        </w:rPr>
        <w:t> </w:t>
      </w:r>
      <w:r>
        <w:rPr>
          <w:sz w:val="24"/>
        </w:rPr>
        <w:t>when</w:t>
      </w:r>
      <w:r>
        <w:rPr>
          <w:spacing w:val="-2"/>
          <w:sz w:val="24"/>
        </w:rPr>
        <w:t> </w:t>
      </w:r>
      <w:r>
        <w:rPr>
          <w:sz w:val="24"/>
        </w:rPr>
        <w:t>the</w:t>
      </w:r>
      <w:r>
        <w:rPr>
          <w:spacing w:val="-2"/>
          <w:sz w:val="24"/>
        </w:rPr>
        <w:t> </w:t>
      </w:r>
      <w:r>
        <w:rPr>
          <w:sz w:val="24"/>
        </w:rPr>
        <w:t>employee</w:t>
      </w:r>
      <w:r>
        <w:rPr>
          <w:spacing w:val="-2"/>
          <w:sz w:val="24"/>
        </w:rPr>
        <w:t> </w:t>
      </w:r>
      <w:r>
        <w:rPr>
          <w:sz w:val="24"/>
        </w:rPr>
        <w:t>is</w:t>
      </w:r>
      <w:r>
        <w:rPr>
          <w:spacing w:val="-2"/>
          <w:sz w:val="24"/>
        </w:rPr>
        <w:t> </w:t>
      </w:r>
      <w:r>
        <w:rPr>
          <w:sz w:val="24"/>
        </w:rPr>
        <w:t>required</w:t>
      </w:r>
      <w:r>
        <w:rPr>
          <w:spacing w:val="-2"/>
          <w:sz w:val="24"/>
        </w:rPr>
        <w:t> </w:t>
      </w:r>
      <w:r>
        <w:rPr>
          <w:sz w:val="24"/>
        </w:rPr>
        <w:t>to</w:t>
      </w:r>
      <w:r>
        <w:rPr>
          <w:spacing w:val="-2"/>
          <w:sz w:val="24"/>
        </w:rPr>
        <w:t> </w:t>
      </w:r>
      <w:r>
        <w:rPr>
          <w:sz w:val="24"/>
        </w:rPr>
        <w:t>be</w:t>
      </w:r>
      <w:r>
        <w:rPr>
          <w:spacing w:val="-2"/>
          <w:sz w:val="24"/>
        </w:rPr>
        <w:t> </w:t>
      </w:r>
      <w:r>
        <w:rPr>
          <w:sz w:val="24"/>
        </w:rPr>
        <w:t>absent</w:t>
      </w:r>
      <w:r>
        <w:rPr>
          <w:spacing w:val="-1"/>
          <w:sz w:val="24"/>
        </w:rPr>
        <w:t> </w:t>
      </w:r>
      <w:r>
        <w:rPr>
          <w:sz w:val="24"/>
        </w:rPr>
        <w:t>from</w:t>
      </w:r>
      <w:r>
        <w:rPr>
          <w:spacing w:val="-1"/>
          <w:sz w:val="24"/>
        </w:rPr>
        <w:t> </w:t>
      </w:r>
      <w:r>
        <w:rPr>
          <w:sz w:val="24"/>
        </w:rPr>
        <w:t>duty</w:t>
      </w:r>
      <w:r>
        <w:rPr>
          <w:spacing w:val="-2"/>
          <w:sz w:val="24"/>
        </w:rPr>
        <w:t> </w:t>
      </w:r>
      <w:r>
        <w:rPr>
          <w:sz w:val="24"/>
        </w:rPr>
        <w:t>due</w:t>
      </w:r>
      <w:r>
        <w:rPr>
          <w:spacing w:val="-2"/>
          <w:sz w:val="24"/>
        </w:rPr>
        <w:t> </w:t>
      </w:r>
      <w:r>
        <w:rPr>
          <w:sz w:val="24"/>
        </w:rPr>
        <w:t>to</w:t>
      </w:r>
      <w:r>
        <w:rPr>
          <w:spacing w:val="-2"/>
          <w:sz w:val="24"/>
        </w:rPr>
        <w:t> </w:t>
      </w:r>
      <w:r>
        <w:rPr>
          <w:sz w:val="24"/>
        </w:rPr>
        <w:t>personal</w:t>
      </w:r>
      <w:r>
        <w:rPr>
          <w:spacing w:val="-2"/>
          <w:sz w:val="24"/>
        </w:rPr>
        <w:t> </w:t>
      </w:r>
      <w:r>
        <w:rPr>
          <w:sz w:val="24"/>
        </w:rPr>
        <w:t>injury, illness or pregnancy, or injury or illness of an immediate family member requiring the employee's care. In instances where a contracted instructional staff person has exhausted all accrued sick leave and continues to be absent due to personal injury, illness, or pregnancy, that employee is entitled to an additional twenty days at full salary less the amount actually paid to employ a substitute to temporarily assume the absent employee's</w:t>
      </w:r>
      <w:r>
        <w:rPr>
          <w:spacing w:val="-2"/>
          <w:sz w:val="24"/>
        </w:rPr>
        <w:t> </w:t>
      </w:r>
      <w:r>
        <w:rPr>
          <w:sz w:val="24"/>
        </w:rPr>
        <w:t>position;</w:t>
      </w:r>
      <w:r>
        <w:rPr>
          <w:spacing w:val="-2"/>
          <w:sz w:val="24"/>
        </w:rPr>
        <w:t> </w:t>
      </w:r>
      <w:r>
        <w:rPr>
          <w:sz w:val="24"/>
        </w:rPr>
        <w:t>as</w:t>
      </w:r>
      <w:r>
        <w:rPr>
          <w:spacing w:val="-3"/>
          <w:sz w:val="24"/>
        </w:rPr>
        <w:t> </w:t>
      </w:r>
      <w:r>
        <w:rPr>
          <w:sz w:val="24"/>
        </w:rPr>
        <w:t>long</w:t>
      </w:r>
      <w:r>
        <w:rPr>
          <w:spacing w:val="-3"/>
          <w:sz w:val="24"/>
        </w:rPr>
        <w:t> </w:t>
      </w:r>
      <w:r>
        <w:rPr>
          <w:sz w:val="24"/>
        </w:rPr>
        <w:t>as</w:t>
      </w:r>
      <w:r>
        <w:rPr>
          <w:spacing w:val="-3"/>
          <w:sz w:val="24"/>
        </w:rPr>
        <w:t> </w:t>
      </w:r>
      <w:r>
        <w:rPr>
          <w:sz w:val="24"/>
        </w:rPr>
        <w:t>the</w:t>
      </w:r>
      <w:r>
        <w:rPr>
          <w:spacing w:val="-3"/>
          <w:sz w:val="24"/>
        </w:rPr>
        <w:t> </w:t>
      </w:r>
      <w:r>
        <w:rPr>
          <w:sz w:val="24"/>
        </w:rPr>
        <w:t>total</w:t>
      </w:r>
      <w:r>
        <w:rPr>
          <w:spacing w:val="-3"/>
          <w:sz w:val="24"/>
        </w:rPr>
        <w:t> </w:t>
      </w:r>
      <w:r>
        <w:rPr>
          <w:sz w:val="24"/>
        </w:rPr>
        <w:t>leave</w:t>
      </w:r>
      <w:r>
        <w:rPr>
          <w:spacing w:val="-3"/>
          <w:sz w:val="24"/>
        </w:rPr>
        <w:t> </w:t>
      </w:r>
      <w:r>
        <w:rPr>
          <w:sz w:val="24"/>
        </w:rPr>
        <w:t>does</w:t>
      </w:r>
      <w:r>
        <w:rPr>
          <w:spacing w:val="-3"/>
          <w:sz w:val="24"/>
        </w:rPr>
        <w:t> </w:t>
      </w:r>
      <w:r>
        <w:rPr>
          <w:sz w:val="24"/>
        </w:rPr>
        <w:t>not</w:t>
      </w:r>
      <w:r>
        <w:rPr>
          <w:spacing w:val="-2"/>
          <w:sz w:val="24"/>
        </w:rPr>
        <w:t> </w:t>
      </w:r>
      <w:r>
        <w:rPr>
          <w:sz w:val="24"/>
        </w:rPr>
        <w:t>exceed</w:t>
      </w:r>
      <w:r>
        <w:rPr>
          <w:spacing w:val="-3"/>
          <w:sz w:val="24"/>
        </w:rPr>
        <w:t> </w:t>
      </w:r>
      <w:r>
        <w:rPr>
          <w:sz w:val="24"/>
        </w:rPr>
        <w:t>the</w:t>
      </w:r>
      <w:r>
        <w:rPr>
          <w:spacing w:val="-3"/>
          <w:sz w:val="24"/>
        </w:rPr>
        <w:t> </w:t>
      </w:r>
      <w:r>
        <w:rPr>
          <w:sz w:val="24"/>
        </w:rPr>
        <w:t>total</w:t>
      </w:r>
      <w:r>
        <w:rPr>
          <w:spacing w:val="-3"/>
          <w:sz w:val="24"/>
        </w:rPr>
        <w:t> </w:t>
      </w:r>
      <w:r>
        <w:rPr>
          <w:sz w:val="24"/>
        </w:rPr>
        <w:t>number</w:t>
      </w:r>
      <w:r>
        <w:rPr>
          <w:spacing w:val="-2"/>
          <w:sz w:val="24"/>
        </w:rPr>
        <w:t> </w:t>
      </w:r>
      <w:r>
        <w:rPr>
          <w:sz w:val="24"/>
        </w:rPr>
        <w:t>of</w:t>
      </w:r>
      <w:r>
        <w:rPr>
          <w:spacing w:val="-2"/>
          <w:sz w:val="24"/>
        </w:rPr>
        <w:t> </w:t>
      </w:r>
      <w:r>
        <w:rPr>
          <w:sz w:val="24"/>
        </w:rPr>
        <w:t>days in the contract period. Sick days may be accrued as credit toward retirement.</w:t>
      </w:r>
      <w:r>
        <w:rPr>
          <w:spacing w:val="40"/>
          <w:sz w:val="24"/>
        </w:rPr>
        <w:t> </w:t>
      </w:r>
      <w:r>
        <w:rPr>
          <w:sz w:val="24"/>
        </w:rPr>
        <w:t>Otherwise, all accumulated sick leave will be canceled upon separation from the </w:t>
      </w:r>
      <w:r>
        <w:rPr>
          <w:spacing w:val="-2"/>
          <w:sz w:val="24"/>
        </w:rPr>
        <w:t>Department.</w:t>
      </w:r>
    </w:p>
    <w:p>
      <w:pPr>
        <w:pStyle w:val="ListParagraph"/>
        <w:numPr>
          <w:ilvl w:val="0"/>
          <w:numId w:val="330"/>
        </w:numPr>
        <w:tabs>
          <w:tab w:pos="773" w:val="left" w:leader="none"/>
        </w:tabs>
        <w:spacing w:line="208" w:lineRule="auto" w:before="239" w:after="0"/>
        <w:ind w:left="360" w:right="940" w:firstLine="0"/>
        <w:jc w:val="left"/>
        <w:rPr>
          <w:b/>
          <w:sz w:val="24"/>
        </w:rPr>
      </w:pPr>
      <w:r>
        <w:rPr>
          <w:sz w:val="24"/>
        </w:rPr>
        <w:t>Family</w:t>
      </w:r>
      <w:r>
        <w:rPr>
          <w:spacing w:val="-4"/>
          <w:sz w:val="24"/>
        </w:rPr>
        <w:t> </w:t>
      </w:r>
      <w:r>
        <w:rPr>
          <w:sz w:val="24"/>
        </w:rPr>
        <w:t>and</w:t>
      </w:r>
      <w:r>
        <w:rPr>
          <w:spacing w:val="-4"/>
          <w:sz w:val="24"/>
        </w:rPr>
        <w:t> </w:t>
      </w:r>
      <w:r>
        <w:rPr>
          <w:sz w:val="24"/>
        </w:rPr>
        <w:t>medical</w:t>
      </w:r>
      <w:r>
        <w:rPr>
          <w:spacing w:val="-4"/>
          <w:sz w:val="24"/>
        </w:rPr>
        <w:t> </w:t>
      </w:r>
      <w:r>
        <w:rPr>
          <w:sz w:val="24"/>
        </w:rPr>
        <w:t>leave.</w:t>
      </w:r>
      <w:r>
        <w:rPr>
          <w:spacing w:val="-3"/>
          <w:sz w:val="24"/>
        </w:rPr>
        <w:t> </w:t>
      </w:r>
      <w:r>
        <w:rPr>
          <w:sz w:val="24"/>
        </w:rPr>
        <w:t>Family</w:t>
      </w:r>
      <w:r>
        <w:rPr>
          <w:spacing w:val="-4"/>
          <w:sz w:val="24"/>
        </w:rPr>
        <w:t> </w:t>
      </w:r>
      <w:r>
        <w:rPr>
          <w:sz w:val="24"/>
        </w:rPr>
        <w:t>and</w:t>
      </w:r>
      <w:r>
        <w:rPr>
          <w:spacing w:val="-4"/>
          <w:sz w:val="24"/>
        </w:rPr>
        <w:t> </w:t>
      </w:r>
      <w:r>
        <w:rPr>
          <w:sz w:val="24"/>
        </w:rPr>
        <w:t>medical</w:t>
      </w:r>
      <w:r>
        <w:rPr>
          <w:spacing w:val="-4"/>
          <w:sz w:val="24"/>
        </w:rPr>
        <w:t> </w:t>
      </w:r>
      <w:r>
        <w:rPr>
          <w:sz w:val="24"/>
        </w:rPr>
        <w:t>leave</w:t>
      </w:r>
      <w:r>
        <w:rPr>
          <w:spacing w:val="-4"/>
          <w:sz w:val="24"/>
        </w:rPr>
        <w:t> </w:t>
      </w:r>
      <w:r>
        <w:rPr>
          <w:sz w:val="24"/>
        </w:rPr>
        <w:t>will</w:t>
      </w:r>
      <w:r>
        <w:rPr>
          <w:spacing w:val="-4"/>
          <w:sz w:val="24"/>
        </w:rPr>
        <w:t> </w:t>
      </w:r>
      <w:r>
        <w:rPr>
          <w:sz w:val="24"/>
        </w:rPr>
        <w:t>be</w:t>
      </w:r>
      <w:r>
        <w:rPr>
          <w:spacing w:val="-4"/>
          <w:sz w:val="24"/>
        </w:rPr>
        <w:t> </w:t>
      </w:r>
      <w:r>
        <w:rPr>
          <w:sz w:val="24"/>
        </w:rPr>
        <w:t>granted</w:t>
      </w:r>
      <w:r>
        <w:rPr>
          <w:spacing w:val="-4"/>
          <w:sz w:val="24"/>
        </w:rPr>
        <w:t> </w:t>
      </w:r>
      <w:r>
        <w:rPr>
          <w:sz w:val="24"/>
        </w:rPr>
        <w:t>in</w:t>
      </w:r>
      <w:r>
        <w:rPr>
          <w:spacing w:val="-4"/>
          <w:sz w:val="24"/>
        </w:rPr>
        <w:t> </w:t>
      </w:r>
      <w:r>
        <w:rPr>
          <w:sz w:val="24"/>
        </w:rPr>
        <w:t>accordance with the Family Medical Leave Act. </w:t>
      </w:r>
      <w:r>
        <w:rPr>
          <w:b/>
          <w:sz w:val="24"/>
        </w:rPr>
        <w:t>1</w:t>
      </w:r>
    </w:p>
    <w:p>
      <w:pPr>
        <w:pStyle w:val="ListParagraph"/>
        <w:numPr>
          <w:ilvl w:val="0"/>
          <w:numId w:val="330"/>
        </w:numPr>
        <w:tabs>
          <w:tab w:pos="786" w:val="left" w:leader="none"/>
        </w:tabs>
        <w:spacing w:line="208" w:lineRule="auto" w:before="240" w:after="0"/>
        <w:ind w:left="360" w:right="939" w:firstLine="0"/>
        <w:jc w:val="left"/>
        <w:rPr>
          <w:sz w:val="24"/>
        </w:rPr>
      </w:pPr>
      <w:r>
        <w:rPr>
          <w:sz w:val="24"/>
        </w:rPr>
        <w:t>Educational leave. A teacher may apply for up to 80 hours per academic year for educational</w:t>
      </w:r>
      <w:r>
        <w:rPr>
          <w:spacing w:val="-3"/>
          <w:sz w:val="24"/>
        </w:rPr>
        <w:t> </w:t>
      </w:r>
      <w:r>
        <w:rPr>
          <w:sz w:val="24"/>
        </w:rPr>
        <w:t>leave.</w:t>
      </w:r>
      <w:r>
        <w:rPr>
          <w:spacing w:val="-3"/>
          <w:sz w:val="24"/>
        </w:rPr>
        <w:t> </w:t>
      </w:r>
      <w:r>
        <w:rPr>
          <w:sz w:val="24"/>
        </w:rPr>
        <w:t>Such</w:t>
      </w:r>
      <w:r>
        <w:rPr>
          <w:spacing w:val="-4"/>
          <w:sz w:val="24"/>
        </w:rPr>
        <w:t> </w:t>
      </w:r>
      <w:r>
        <w:rPr>
          <w:sz w:val="24"/>
        </w:rPr>
        <w:t>leave</w:t>
      </w:r>
      <w:r>
        <w:rPr>
          <w:spacing w:val="-4"/>
          <w:sz w:val="24"/>
        </w:rPr>
        <w:t> </w:t>
      </w:r>
      <w:r>
        <w:rPr>
          <w:sz w:val="24"/>
        </w:rPr>
        <w:t>must</w:t>
      </w:r>
      <w:r>
        <w:rPr>
          <w:spacing w:val="-3"/>
          <w:sz w:val="24"/>
        </w:rPr>
        <w:t> </w:t>
      </w:r>
      <w:r>
        <w:rPr>
          <w:sz w:val="24"/>
        </w:rPr>
        <w:t>be</w:t>
      </w:r>
      <w:r>
        <w:rPr>
          <w:spacing w:val="-4"/>
          <w:sz w:val="24"/>
        </w:rPr>
        <w:t> </w:t>
      </w:r>
      <w:r>
        <w:rPr>
          <w:sz w:val="24"/>
        </w:rPr>
        <w:t>pre-approved</w:t>
      </w:r>
      <w:r>
        <w:rPr>
          <w:spacing w:val="-4"/>
          <w:sz w:val="24"/>
        </w:rPr>
        <w:t> </w:t>
      </w:r>
      <w:r>
        <w:rPr>
          <w:sz w:val="24"/>
        </w:rPr>
        <w:t>by</w:t>
      </w:r>
      <w:r>
        <w:rPr>
          <w:spacing w:val="-3"/>
          <w:sz w:val="24"/>
        </w:rPr>
        <w:t> </w:t>
      </w:r>
      <w:r>
        <w:rPr>
          <w:sz w:val="24"/>
        </w:rPr>
        <w:t>the</w:t>
      </w:r>
      <w:r>
        <w:rPr>
          <w:spacing w:val="-4"/>
          <w:sz w:val="24"/>
        </w:rPr>
        <w:t> </w:t>
      </w:r>
      <w:r>
        <w:rPr>
          <w:sz w:val="24"/>
        </w:rPr>
        <w:t>immediate</w:t>
      </w:r>
      <w:r>
        <w:rPr>
          <w:spacing w:val="-4"/>
          <w:sz w:val="24"/>
        </w:rPr>
        <w:t> </w:t>
      </w:r>
      <w:r>
        <w:rPr>
          <w:sz w:val="24"/>
        </w:rPr>
        <w:t>supervisor</w:t>
      </w:r>
      <w:r>
        <w:rPr>
          <w:spacing w:val="-3"/>
          <w:sz w:val="24"/>
        </w:rPr>
        <w:t> </w:t>
      </w:r>
      <w:r>
        <w:rPr>
          <w:sz w:val="24"/>
        </w:rPr>
        <w:t>and </w:t>
      </w:r>
      <w:r>
        <w:rPr>
          <w:spacing w:val="-2"/>
          <w:sz w:val="24"/>
        </w:rPr>
        <w:t>Superintendent.</w:t>
      </w:r>
    </w:p>
    <w:p>
      <w:pPr>
        <w:pStyle w:val="ListParagraph"/>
        <w:numPr>
          <w:ilvl w:val="0"/>
          <w:numId w:val="330"/>
        </w:numPr>
        <w:tabs>
          <w:tab w:pos="786" w:val="left" w:leader="none"/>
        </w:tabs>
        <w:spacing w:line="208" w:lineRule="auto" w:before="239" w:after="0"/>
        <w:ind w:left="360" w:right="767" w:firstLine="0"/>
        <w:jc w:val="left"/>
        <w:rPr>
          <w:sz w:val="24"/>
        </w:rPr>
      </w:pPr>
      <w:r>
        <w:rPr>
          <w:sz w:val="24"/>
        </w:rPr>
        <w:t>Jury</w:t>
      </w:r>
      <w:r>
        <w:rPr>
          <w:spacing w:val="-4"/>
          <w:sz w:val="24"/>
        </w:rPr>
        <w:t> </w:t>
      </w:r>
      <w:r>
        <w:rPr>
          <w:sz w:val="24"/>
        </w:rPr>
        <w:t>duty.</w:t>
      </w:r>
      <w:r>
        <w:rPr>
          <w:spacing w:val="-3"/>
          <w:sz w:val="24"/>
        </w:rPr>
        <w:t> </w:t>
      </w:r>
      <w:r>
        <w:rPr>
          <w:sz w:val="24"/>
        </w:rPr>
        <w:t>Contracted</w:t>
      </w:r>
      <w:r>
        <w:rPr>
          <w:spacing w:val="-4"/>
          <w:sz w:val="24"/>
        </w:rPr>
        <w:t> </w:t>
      </w:r>
      <w:r>
        <w:rPr>
          <w:sz w:val="24"/>
        </w:rPr>
        <w:t>instructional</w:t>
      </w:r>
      <w:r>
        <w:rPr>
          <w:spacing w:val="-4"/>
          <w:sz w:val="24"/>
        </w:rPr>
        <w:t> </w:t>
      </w:r>
      <w:r>
        <w:rPr>
          <w:sz w:val="24"/>
        </w:rPr>
        <w:t>personnel</w:t>
      </w:r>
      <w:r>
        <w:rPr>
          <w:spacing w:val="-4"/>
          <w:sz w:val="24"/>
        </w:rPr>
        <w:t> </w:t>
      </w:r>
      <w:r>
        <w:rPr>
          <w:sz w:val="24"/>
        </w:rPr>
        <w:t>will</w:t>
      </w:r>
      <w:r>
        <w:rPr>
          <w:spacing w:val="-4"/>
          <w:sz w:val="24"/>
        </w:rPr>
        <w:t> </w:t>
      </w:r>
      <w:r>
        <w:rPr>
          <w:sz w:val="24"/>
        </w:rPr>
        <w:t>be</w:t>
      </w:r>
      <w:r>
        <w:rPr>
          <w:spacing w:val="-3"/>
          <w:sz w:val="24"/>
        </w:rPr>
        <w:t> </w:t>
      </w:r>
      <w:r>
        <w:rPr>
          <w:sz w:val="24"/>
        </w:rPr>
        <w:t>granted</w:t>
      </w:r>
      <w:r>
        <w:rPr>
          <w:spacing w:val="-4"/>
          <w:sz w:val="24"/>
        </w:rPr>
        <w:t> </w:t>
      </w:r>
      <w:r>
        <w:rPr>
          <w:sz w:val="24"/>
        </w:rPr>
        <w:t>leave</w:t>
      </w:r>
      <w:r>
        <w:rPr>
          <w:spacing w:val="-4"/>
          <w:sz w:val="24"/>
        </w:rPr>
        <w:t> </w:t>
      </w:r>
      <w:r>
        <w:rPr>
          <w:sz w:val="24"/>
        </w:rPr>
        <w:t>for</w:t>
      </w:r>
      <w:r>
        <w:rPr>
          <w:spacing w:val="-3"/>
          <w:sz w:val="24"/>
        </w:rPr>
        <w:t> </w:t>
      </w:r>
      <w:r>
        <w:rPr>
          <w:sz w:val="24"/>
        </w:rPr>
        <w:t>jury</w:t>
      </w:r>
      <w:r>
        <w:rPr>
          <w:spacing w:val="-5"/>
          <w:sz w:val="24"/>
        </w:rPr>
        <w:t> </w:t>
      </w:r>
      <w:r>
        <w:rPr>
          <w:sz w:val="24"/>
        </w:rPr>
        <w:t>service</w:t>
      </w:r>
      <w:r>
        <w:rPr>
          <w:spacing w:val="-4"/>
          <w:sz w:val="24"/>
        </w:rPr>
        <w:t> </w:t>
      </w:r>
      <w:r>
        <w:rPr>
          <w:sz w:val="24"/>
        </w:rPr>
        <w:t>in a criminal, civil, or juvenile proceeding and will receive the full, current contract salary during such service; provided that the Department may deduct any compensation received for serving as a juror from the employee's salary during such service.</w:t>
      </w:r>
    </w:p>
    <w:p>
      <w:pPr>
        <w:pStyle w:val="ListParagraph"/>
        <w:numPr>
          <w:ilvl w:val="0"/>
          <w:numId w:val="330"/>
        </w:numPr>
        <w:tabs>
          <w:tab w:pos="719" w:val="left" w:leader="none"/>
        </w:tabs>
        <w:spacing w:line="208" w:lineRule="auto" w:before="240" w:after="0"/>
        <w:ind w:left="360" w:right="766" w:firstLine="0"/>
        <w:jc w:val="left"/>
        <w:rPr>
          <w:sz w:val="24"/>
        </w:rPr>
      </w:pPr>
      <w:r>
        <w:rPr>
          <w:sz w:val="24"/>
        </w:rPr>
        <w:t>Armed forces leave. Contracted instructional personnel who are members of the Reserve Forces of the Army, the Navy, the Marine Corps, the Coast Guard, the Air Force, or any other component of the Armed Forces of the United States, including members</w:t>
      </w:r>
      <w:r>
        <w:rPr>
          <w:spacing w:val="-3"/>
          <w:sz w:val="24"/>
        </w:rPr>
        <w:t> </w:t>
      </w:r>
      <w:r>
        <w:rPr>
          <w:sz w:val="24"/>
        </w:rPr>
        <w:t>of</w:t>
      </w:r>
      <w:r>
        <w:rPr>
          <w:spacing w:val="-3"/>
          <w:sz w:val="24"/>
        </w:rPr>
        <w:t> </w:t>
      </w:r>
      <w:r>
        <w:rPr>
          <w:sz w:val="24"/>
        </w:rPr>
        <w:t>the</w:t>
      </w:r>
      <w:r>
        <w:rPr>
          <w:spacing w:val="-3"/>
          <w:sz w:val="24"/>
        </w:rPr>
        <w:t> </w:t>
      </w:r>
      <w:r>
        <w:rPr>
          <w:sz w:val="24"/>
        </w:rPr>
        <w:t>Air</w:t>
      </w:r>
      <w:r>
        <w:rPr>
          <w:spacing w:val="-2"/>
          <w:sz w:val="24"/>
        </w:rPr>
        <w:t> </w:t>
      </w:r>
      <w:r>
        <w:rPr>
          <w:sz w:val="24"/>
        </w:rPr>
        <w:t>or</w:t>
      </w:r>
      <w:r>
        <w:rPr>
          <w:spacing w:val="-5"/>
          <w:sz w:val="24"/>
        </w:rPr>
        <w:t> </w:t>
      </w:r>
      <w:r>
        <w:rPr>
          <w:sz w:val="24"/>
        </w:rPr>
        <w:t>Army</w:t>
      </w:r>
      <w:r>
        <w:rPr>
          <w:spacing w:val="-3"/>
          <w:sz w:val="24"/>
        </w:rPr>
        <w:t> </w:t>
      </w:r>
      <w:r>
        <w:rPr>
          <w:sz w:val="24"/>
        </w:rPr>
        <w:t>National</w:t>
      </w:r>
      <w:r>
        <w:rPr>
          <w:spacing w:val="-3"/>
          <w:sz w:val="24"/>
        </w:rPr>
        <w:t> </w:t>
      </w:r>
      <w:r>
        <w:rPr>
          <w:sz w:val="24"/>
        </w:rPr>
        <w:t>Guard,</w:t>
      </w:r>
      <w:r>
        <w:rPr>
          <w:spacing w:val="-4"/>
          <w:sz w:val="24"/>
        </w:rPr>
        <w:t> </w:t>
      </w:r>
      <w:r>
        <w:rPr>
          <w:sz w:val="24"/>
        </w:rPr>
        <w:t>shall,</w:t>
      </w:r>
      <w:r>
        <w:rPr>
          <w:spacing w:val="-2"/>
          <w:sz w:val="24"/>
        </w:rPr>
        <w:t> </w:t>
      </w:r>
      <w:r>
        <w:rPr>
          <w:sz w:val="24"/>
        </w:rPr>
        <w:t>when</w:t>
      </w:r>
      <w:r>
        <w:rPr>
          <w:spacing w:val="-2"/>
          <w:sz w:val="24"/>
        </w:rPr>
        <w:t> </w:t>
      </w:r>
      <w:r>
        <w:rPr>
          <w:sz w:val="24"/>
        </w:rPr>
        <w:t>ordered</w:t>
      </w:r>
      <w:r>
        <w:rPr>
          <w:spacing w:val="-3"/>
          <w:sz w:val="24"/>
        </w:rPr>
        <w:t> </w:t>
      </w:r>
      <w:r>
        <w:rPr>
          <w:sz w:val="24"/>
        </w:rPr>
        <w:t>by</w:t>
      </w:r>
      <w:r>
        <w:rPr>
          <w:spacing w:val="-3"/>
          <w:sz w:val="24"/>
        </w:rPr>
        <w:t> </w:t>
      </w:r>
      <w:r>
        <w:rPr>
          <w:sz w:val="24"/>
        </w:rPr>
        <w:t>the</w:t>
      </w:r>
      <w:r>
        <w:rPr>
          <w:spacing w:val="-3"/>
          <w:sz w:val="24"/>
        </w:rPr>
        <w:t> </w:t>
      </w:r>
      <w:r>
        <w:rPr>
          <w:sz w:val="24"/>
        </w:rPr>
        <w:t>proper</w:t>
      </w:r>
      <w:r>
        <w:rPr>
          <w:spacing w:val="-4"/>
          <w:sz w:val="24"/>
        </w:rPr>
        <w:t> </w:t>
      </w:r>
      <w:r>
        <w:rPr>
          <w:sz w:val="24"/>
        </w:rPr>
        <w:t>authority to active duty or service, be entitled to a leave of absence from employment with the Department for the period of such service without loss of status or efficiency rating.</w:t>
      </w:r>
    </w:p>
    <w:p>
      <w:pPr>
        <w:pStyle w:val="ListParagraph"/>
        <w:numPr>
          <w:ilvl w:val="0"/>
          <w:numId w:val="330"/>
        </w:numPr>
        <w:tabs>
          <w:tab w:pos="786" w:val="left" w:leader="none"/>
        </w:tabs>
        <w:spacing w:line="208" w:lineRule="auto" w:before="239" w:after="0"/>
        <w:ind w:left="360" w:right="872" w:firstLine="0"/>
        <w:jc w:val="left"/>
        <w:rPr>
          <w:sz w:val="24"/>
        </w:rPr>
      </w:pPr>
      <w:r>
        <w:rPr>
          <w:sz w:val="24"/>
        </w:rPr>
        <w:t>Shared</w:t>
      </w:r>
      <w:r>
        <w:rPr>
          <w:spacing w:val="-1"/>
          <w:sz w:val="24"/>
        </w:rPr>
        <w:t> </w:t>
      </w:r>
      <w:r>
        <w:rPr>
          <w:sz w:val="24"/>
        </w:rPr>
        <w:t>leave. The state leave sharing program permits state</w:t>
      </w:r>
      <w:r>
        <w:rPr>
          <w:spacing w:val="-1"/>
          <w:sz w:val="24"/>
        </w:rPr>
        <w:t> </w:t>
      </w:r>
      <w:r>
        <w:rPr>
          <w:sz w:val="24"/>
        </w:rPr>
        <w:t>employees to donate leave</w:t>
      </w:r>
      <w:r>
        <w:rPr>
          <w:spacing w:val="-3"/>
          <w:sz w:val="24"/>
        </w:rPr>
        <w:t> </w:t>
      </w:r>
      <w:r>
        <w:rPr>
          <w:sz w:val="24"/>
        </w:rPr>
        <w:t>to</w:t>
      </w:r>
      <w:r>
        <w:rPr>
          <w:spacing w:val="-3"/>
          <w:sz w:val="24"/>
        </w:rPr>
        <w:t> </w:t>
      </w:r>
      <w:r>
        <w:rPr>
          <w:sz w:val="24"/>
        </w:rPr>
        <w:t>a</w:t>
      </w:r>
      <w:r>
        <w:rPr>
          <w:spacing w:val="-3"/>
          <w:sz w:val="24"/>
        </w:rPr>
        <w:t> </w:t>
      </w:r>
      <w:r>
        <w:rPr>
          <w:sz w:val="24"/>
        </w:rPr>
        <w:t>fellow</w:t>
      </w:r>
      <w:r>
        <w:rPr>
          <w:spacing w:val="-3"/>
          <w:sz w:val="24"/>
        </w:rPr>
        <w:t> </w:t>
      </w:r>
      <w:r>
        <w:rPr>
          <w:sz w:val="24"/>
        </w:rPr>
        <w:t>state</w:t>
      </w:r>
      <w:r>
        <w:rPr>
          <w:spacing w:val="-4"/>
          <w:sz w:val="24"/>
        </w:rPr>
        <w:t> </w:t>
      </w:r>
      <w:r>
        <w:rPr>
          <w:sz w:val="24"/>
        </w:rPr>
        <w:t>employee</w:t>
      </w:r>
      <w:r>
        <w:rPr>
          <w:spacing w:val="-2"/>
          <w:sz w:val="24"/>
        </w:rPr>
        <w:t> </w:t>
      </w:r>
      <w:r>
        <w:rPr>
          <w:sz w:val="24"/>
        </w:rPr>
        <w:t>who</w:t>
      </w:r>
      <w:r>
        <w:rPr>
          <w:spacing w:val="-3"/>
          <w:sz w:val="24"/>
        </w:rPr>
        <w:t> </w:t>
      </w:r>
      <w:r>
        <w:rPr>
          <w:sz w:val="24"/>
        </w:rPr>
        <w:t>is</w:t>
      </w:r>
      <w:r>
        <w:rPr>
          <w:spacing w:val="-3"/>
          <w:sz w:val="24"/>
        </w:rPr>
        <w:t> </w:t>
      </w:r>
      <w:r>
        <w:rPr>
          <w:sz w:val="24"/>
        </w:rPr>
        <w:t>suffering</w:t>
      </w:r>
      <w:r>
        <w:rPr>
          <w:spacing w:val="-3"/>
          <w:sz w:val="24"/>
        </w:rPr>
        <w:t> </w:t>
      </w:r>
      <w:r>
        <w:rPr>
          <w:sz w:val="24"/>
        </w:rPr>
        <w:t>or</w:t>
      </w:r>
      <w:r>
        <w:rPr>
          <w:spacing w:val="-2"/>
          <w:sz w:val="24"/>
        </w:rPr>
        <w:t> </w:t>
      </w:r>
      <w:r>
        <w:rPr>
          <w:sz w:val="24"/>
        </w:rPr>
        <w:t>has</w:t>
      </w:r>
      <w:r>
        <w:rPr>
          <w:spacing w:val="-3"/>
          <w:sz w:val="24"/>
        </w:rPr>
        <w:t> </w:t>
      </w:r>
      <w:r>
        <w:rPr>
          <w:sz w:val="24"/>
        </w:rPr>
        <w:t>a</w:t>
      </w:r>
      <w:r>
        <w:rPr>
          <w:spacing w:val="-3"/>
          <w:sz w:val="24"/>
        </w:rPr>
        <w:t> </w:t>
      </w:r>
      <w:r>
        <w:rPr>
          <w:sz w:val="24"/>
        </w:rPr>
        <w:t>relative</w:t>
      </w:r>
      <w:r>
        <w:rPr>
          <w:spacing w:val="-3"/>
          <w:sz w:val="24"/>
        </w:rPr>
        <w:t> </w:t>
      </w:r>
      <w:r>
        <w:rPr>
          <w:sz w:val="24"/>
        </w:rPr>
        <w:t>who</w:t>
      </w:r>
      <w:r>
        <w:rPr>
          <w:spacing w:val="-3"/>
          <w:sz w:val="24"/>
        </w:rPr>
        <w:t> </w:t>
      </w:r>
      <w:r>
        <w:rPr>
          <w:sz w:val="24"/>
        </w:rPr>
        <w:t>is</w:t>
      </w:r>
      <w:r>
        <w:rPr>
          <w:spacing w:val="-3"/>
          <w:sz w:val="24"/>
        </w:rPr>
        <w:t> </w:t>
      </w:r>
      <w:r>
        <w:rPr>
          <w:sz w:val="24"/>
        </w:rPr>
        <w:t>suffering</w:t>
      </w:r>
      <w:r>
        <w:rPr>
          <w:spacing w:val="-3"/>
          <w:sz w:val="24"/>
        </w:rPr>
        <w:t> </w:t>
      </w:r>
      <w:r>
        <w:rPr>
          <w:sz w:val="24"/>
        </w:rPr>
        <w:t>from an extraordinary or severe illness, injury, impairment, or physical or mental condition which has caused, or is likely to cause, the employee to take leave without pay or terminate employment. Contracted instructional personnel may contribute sick leave under this program. The shared leave will be credited on a dollar for dollar basis.</w:t>
      </w:r>
    </w:p>
    <w:p>
      <w:pPr>
        <w:pStyle w:val="ListParagraph"/>
        <w:numPr>
          <w:ilvl w:val="0"/>
          <w:numId w:val="330"/>
        </w:numPr>
        <w:tabs>
          <w:tab w:pos="785" w:val="left" w:leader="none"/>
        </w:tabs>
        <w:spacing w:line="208" w:lineRule="auto" w:before="240" w:after="0"/>
        <w:ind w:left="360" w:right="1393" w:firstLine="0"/>
        <w:jc w:val="left"/>
        <w:rPr>
          <w:sz w:val="24"/>
        </w:rPr>
      </w:pPr>
      <w:r>
        <w:rPr>
          <w:sz w:val="24"/>
        </w:rPr>
        <w:t>Other</w:t>
      </w:r>
      <w:r>
        <w:rPr>
          <w:spacing w:val="-4"/>
          <w:sz w:val="24"/>
        </w:rPr>
        <w:t> </w:t>
      </w:r>
      <w:r>
        <w:rPr>
          <w:sz w:val="24"/>
        </w:rPr>
        <w:t>leave.</w:t>
      </w:r>
      <w:r>
        <w:rPr>
          <w:spacing w:val="-2"/>
          <w:sz w:val="24"/>
        </w:rPr>
        <w:t> </w:t>
      </w:r>
      <w:r>
        <w:rPr>
          <w:sz w:val="24"/>
        </w:rPr>
        <w:t>Any</w:t>
      </w:r>
      <w:r>
        <w:rPr>
          <w:spacing w:val="-3"/>
          <w:sz w:val="24"/>
        </w:rPr>
        <w:t> </w:t>
      </w:r>
      <w:r>
        <w:rPr>
          <w:sz w:val="24"/>
        </w:rPr>
        <w:t>leave</w:t>
      </w:r>
      <w:r>
        <w:rPr>
          <w:spacing w:val="-3"/>
          <w:sz w:val="24"/>
        </w:rPr>
        <w:t> </w:t>
      </w:r>
      <w:r>
        <w:rPr>
          <w:sz w:val="24"/>
        </w:rPr>
        <w:t>not</w:t>
      </w:r>
      <w:r>
        <w:rPr>
          <w:spacing w:val="-2"/>
          <w:sz w:val="24"/>
        </w:rPr>
        <w:t> </w:t>
      </w:r>
      <w:r>
        <w:rPr>
          <w:sz w:val="24"/>
        </w:rPr>
        <w:t>defined</w:t>
      </w:r>
      <w:r>
        <w:rPr>
          <w:spacing w:val="-3"/>
          <w:sz w:val="24"/>
        </w:rPr>
        <w:t> </w:t>
      </w:r>
      <w:r>
        <w:rPr>
          <w:sz w:val="24"/>
        </w:rPr>
        <w:t>in</w:t>
      </w:r>
      <w:r>
        <w:rPr>
          <w:spacing w:val="-3"/>
          <w:sz w:val="24"/>
        </w:rPr>
        <w:t> </w:t>
      </w:r>
      <w:r>
        <w:rPr>
          <w:sz w:val="24"/>
        </w:rPr>
        <w:t>this</w:t>
      </w:r>
      <w:r>
        <w:rPr>
          <w:spacing w:val="-3"/>
          <w:sz w:val="24"/>
        </w:rPr>
        <w:t> </w:t>
      </w:r>
      <w:r>
        <w:rPr>
          <w:sz w:val="24"/>
        </w:rPr>
        <w:t>Section</w:t>
      </w:r>
      <w:r>
        <w:rPr>
          <w:spacing w:val="-3"/>
          <w:sz w:val="24"/>
        </w:rPr>
        <w:t> </w:t>
      </w:r>
      <w:r>
        <w:rPr>
          <w:sz w:val="24"/>
        </w:rPr>
        <w:t>shall</w:t>
      </w:r>
      <w:r>
        <w:rPr>
          <w:spacing w:val="-3"/>
          <w:sz w:val="24"/>
        </w:rPr>
        <w:t> </w:t>
      </w:r>
      <w:r>
        <w:rPr>
          <w:sz w:val="24"/>
        </w:rPr>
        <w:t>be</w:t>
      </w:r>
      <w:r>
        <w:rPr>
          <w:spacing w:val="-3"/>
          <w:sz w:val="24"/>
        </w:rPr>
        <w:t> </w:t>
      </w:r>
      <w:r>
        <w:rPr>
          <w:sz w:val="24"/>
        </w:rPr>
        <w:t>treated</w:t>
      </w:r>
      <w:r>
        <w:rPr>
          <w:spacing w:val="-3"/>
          <w:sz w:val="24"/>
        </w:rPr>
        <w:t> </w:t>
      </w:r>
      <w:r>
        <w:rPr>
          <w:sz w:val="24"/>
        </w:rPr>
        <w:t>as</w:t>
      </w:r>
      <w:r>
        <w:rPr>
          <w:spacing w:val="-3"/>
          <w:sz w:val="24"/>
        </w:rPr>
        <w:t> </w:t>
      </w:r>
      <w:r>
        <w:rPr>
          <w:sz w:val="24"/>
        </w:rPr>
        <w:t>personal </w:t>
      </w:r>
      <w:r>
        <w:rPr>
          <w:spacing w:val="-2"/>
          <w:sz w:val="24"/>
        </w:rPr>
        <w:t>leave.</w:t>
      </w:r>
    </w:p>
    <w:p>
      <w:pPr>
        <w:pStyle w:val="ListParagraph"/>
        <w:spacing w:after="0" w:line="208" w:lineRule="auto"/>
        <w:jc w:val="left"/>
        <w:rPr>
          <w:sz w:val="24"/>
        </w:rPr>
        <w:sectPr>
          <w:pgSz w:w="12240" w:h="15840"/>
          <w:pgMar w:top="1340" w:bottom="280" w:left="1080" w:right="720"/>
        </w:sectPr>
      </w:pPr>
    </w:p>
    <w:p>
      <w:pPr>
        <w:pStyle w:val="ListParagraph"/>
        <w:numPr>
          <w:ilvl w:val="0"/>
          <w:numId w:val="330"/>
        </w:numPr>
        <w:tabs>
          <w:tab w:pos="706" w:val="left" w:leader="none"/>
        </w:tabs>
        <w:spacing w:line="208" w:lineRule="auto" w:before="96" w:after="0"/>
        <w:ind w:left="360" w:right="992" w:firstLine="0"/>
        <w:jc w:val="left"/>
        <w:rPr>
          <w:sz w:val="24"/>
        </w:rPr>
      </w:pPr>
      <w:r>
        <w:rPr>
          <w:sz w:val="24"/>
        </w:rPr>
        <w:t>Health and life insurance. Each Department employee receives health and life benefits</w:t>
      </w:r>
      <w:r>
        <w:rPr>
          <w:spacing w:val="-3"/>
          <w:sz w:val="24"/>
        </w:rPr>
        <w:t> </w:t>
      </w:r>
      <w:r>
        <w:rPr>
          <w:sz w:val="24"/>
        </w:rPr>
        <w:t>coverage</w:t>
      </w:r>
      <w:r>
        <w:rPr>
          <w:spacing w:val="-3"/>
          <w:sz w:val="24"/>
        </w:rPr>
        <w:t> </w:t>
      </w:r>
      <w:r>
        <w:rPr>
          <w:sz w:val="24"/>
        </w:rPr>
        <w:t>as</w:t>
      </w:r>
      <w:r>
        <w:rPr>
          <w:spacing w:val="-3"/>
          <w:sz w:val="24"/>
        </w:rPr>
        <w:t> </w:t>
      </w:r>
      <w:r>
        <w:rPr>
          <w:sz w:val="24"/>
        </w:rPr>
        <w:t>prescribed</w:t>
      </w:r>
      <w:r>
        <w:rPr>
          <w:spacing w:val="-3"/>
          <w:sz w:val="24"/>
        </w:rPr>
        <w:t> </w:t>
      </w:r>
      <w:r>
        <w:rPr>
          <w:sz w:val="24"/>
        </w:rPr>
        <w:t>by</w:t>
      </w:r>
      <w:r>
        <w:rPr>
          <w:spacing w:val="-3"/>
          <w:sz w:val="24"/>
        </w:rPr>
        <w:t> </w:t>
      </w:r>
      <w:r>
        <w:rPr>
          <w:sz w:val="24"/>
        </w:rPr>
        <w:t>the</w:t>
      </w:r>
      <w:r>
        <w:rPr>
          <w:spacing w:val="-3"/>
          <w:sz w:val="24"/>
        </w:rPr>
        <w:t> </w:t>
      </w:r>
      <w:r>
        <w:rPr>
          <w:sz w:val="24"/>
        </w:rPr>
        <w:t>agency</w:t>
      </w:r>
      <w:r>
        <w:rPr>
          <w:spacing w:val="-3"/>
          <w:sz w:val="24"/>
        </w:rPr>
        <w:t> </w:t>
      </w:r>
      <w:r>
        <w:rPr>
          <w:sz w:val="24"/>
        </w:rPr>
        <w:t>at</w:t>
      </w:r>
      <w:r>
        <w:rPr>
          <w:spacing w:val="-2"/>
          <w:sz w:val="24"/>
        </w:rPr>
        <w:t> </w:t>
      </w:r>
      <w:r>
        <w:rPr>
          <w:sz w:val="24"/>
        </w:rPr>
        <w:t>no</w:t>
      </w:r>
      <w:r>
        <w:rPr>
          <w:spacing w:val="-3"/>
          <w:sz w:val="24"/>
        </w:rPr>
        <w:t> </w:t>
      </w:r>
      <w:r>
        <w:rPr>
          <w:sz w:val="24"/>
        </w:rPr>
        <w:t>cost.</w:t>
      </w:r>
      <w:r>
        <w:rPr>
          <w:spacing w:val="-2"/>
          <w:sz w:val="24"/>
        </w:rPr>
        <w:t> </w:t>
      </w:r>
      <w:r>
        <w:rPr>
          <w:sz w:val="24"/>
        </w:rPr>
        <w:t>The</w:t>
      </w:r>
      <w:r>
        <w:rPr>
          <w:spacing w:val="-3"/>
          <w:sz w:val="24"/>
        </w:rPr>
        <w:t> </w:t>
      </w:r>
      <w:r>
        <w:rPr>
          <w:sz w:val="24"/>
        </w:rPr>
        <w:t>employee</w:t>
      </w:r>
      <w:r>
        <w:rPr>
          <w:spacing w:val="-3"/>
          <w:sz w:val="24"/>
        </w:rPr>
        <w:t> </w:t>
      </w:r>
      <w:r>
        <w:rPr>
          <w:sz w:val="24"/>
        </w:rPr>
        <w:t>may</w:t>
      </w:r>
      <w:r>
        <w:rPr>
          <w:spacing w:val="-3"/>
          <w:sz w:val="24"/>
        </w:rPr>
        <w:t> </w:t>
      </w:r>
      <w:r>
        <w:rPr>
          <w:sz w:val="24"/>
        </w:rPr>
        <w:t>elect</w:t>
      </w:r>
      <w:r>
        <w:rPr>
          <w:spacing w:val="-2"/>
          <w:sz w:val="24"/>
        </w:rPr>
        <w:t> </w:t>
      </w:r>
      <w:r>
        <w:rPr>
          <w:sz w:val="24"/>
        </w:rPr>
        <w:t>to purchase additional individual or family benefit options.</w:t>
      </w:r>
    </w:p>
    <w:p>
      <w:pPr>
        <w:pStyle w:val="ListParagraph"/>
        <w:numPr>
          <w:ilvl w:val="0"/>
          <w:numId w:val="330"/>
        </w:numPr>
        <w:tabs>
          <w:tab w:pos="706" w:val="left" w:leader="none"/>
        </w:tabs>
        <w:spacing w:line="208" w:lineRule="auto" w:before="240" w:after="0"/>
        <w:ind w:left="360" w:right="846" w:firstLine="0"/>
        <w:jc w:val="left"/>
        <w:rPr>
          <w:sz w:val="24"/>
        </w:rPr>
      </w:pPr>
      <w:r>
        <w:rPr>
          <w:sz w:val="24"/>
        </w:rPr>
        <w:t>Retirement. Contracted instructional personnel employed before July 1, 1995 may continue</w:t>
      </w:r>
      <w:r>
        <w:rPr>
          <w:spacing w:val="-4"/>
          <w:sz w:val="24"/>
        </w:rPr>
        <w:t> </w:t>
      </w:r>
      <w:r>
        <w:rPr>
          <w:sz w:val="24"/>
        </w:rPr>
        <w:t>participation</w:t>
      </w:r>
      <w:r>
        <w:rPr>
          <w:spacing w:val="-3"/>
          <w:sz w:val="24"/>
        </w:rPr>
        <w:t> </w:t>
      </w:r>
      <w:r>
        <w:rPr>
          <w:sz w:val="24"/>
        </w:rPr>
        <w:t>in</w:t>
      </w:r>
      <w:r>
        <w:rPr>
          <w:spacing w:val="-4"/>
          <w:sz w:val="24"/>
        </w:rPr>
        <w:t> </w:t>
      </w:r>
      <w:r>
        <w:rPr>
          <w:sz w:val="24"/>
        </w:rPr>
        <w:t>either</w:t>
      </w:r>
      <w:r>
        <w:rPr>
          <w:spacing w:val="-3"/>
          <w:sz w:val="24"/>
        </w:rPr>
        <w:t> </w:t>
      </w:r>
      <w:r>
        <w:rPr>
          <w:sz w:val="24"/>
        </w:rPr>
        <w:t>the</w:t>
      </w:r>
      <w:r>
        <w:rPr>
          <w:spacing w:val="-4"/>
          <w:sz w:val="24"/>
        </w:rPr>
        <w:t> </w:t>
      </w:r>
      <w:r>
        <w:rPr>
          <w:sz w:val="24"/>
        </w:rPr>
        <w:t>State</w:t>
      </w:r>
      <w:r>
        <w:rPr>
          <w:spacing w:val="-4"/>
          <w:sz w:val="24"/>
        </w:rPr>
        <w:t> </w:t>
      </w:r>
      <w:r>
        <w:rPr>
          <w:sz w:val="24"/>
        </w:rPr>
        <w:t>Teachers</w:t>
      </w:r>
      <w:r>
        <w:rPr>
          <w:spacing w:val="-4"/>
          <w:sz w:val="24"/>
        </w:rPr>
        <w:t> </w:t>
      </w:r>
      <w:r>
        <w:rPr>
          <w:sz w:val="24"/>
        </w:rPr>
        <w:t>Retirement</w:t>
      </w:r>
      <w:r>
        <w:rPr>
          <w:spacing w:val="-3"/>
          <w:sz w:val="24"/>
        </w:rPr>
        <w:t> </w:t>
      </w:r>
      <w:r>
        <w:rPr>
          <w:sz w:val="24"/>
        </w:rPr>
        <w:t>System</w:t>
      </w:r>
      <w:r>
        <w:rPr>
          <w:spacing w:val="-3"/>
          <w:sz w:val="24"/>
        </w:rPr>
        <w:t> </w:t>
      </w:r>
      <w:r>
        <w:rPr>
          <w:sz w:val="24"/>
        </w:rPr>
        <w:t>or</w:t>
      </w:r>
      <w:r>
        <w:rPr>
          <w:spacing w:val="-5"/>
          <w:sz w:val="24"/>
        </w:rPr>
        <w:t> </w:t>
      </w:r>
      <w:r>
        <w:rPr>
          <w:sz w:val="24"/>
        </w:rPr>
        <w:t>the</w:t>
      </w:r>
      <w:r>
        <w:rPr>
          <w:spacing w:val="-5"/>
          <w:sz w:val="24"/>
        </w:rPr>
        <w:t> </w:t>
      </w:r>
      <w:r>
        <w:rPr>
          <w:sz w:val="24"/>
        </w:rPr>
        <w:t>Oklahoma Public</w:t>
      </w:r>
      <w:r>
        <w:rPr>
          <w:spacing w:val="-5"/>
          <w:sz w:val="24"/>
        </w:rPr>
        <w:t> </w:t>
      </w:r>
      <w:r>
        <w:rPr>
          <w:sz w:val="24"/>
        </w:rPr>
        <w:t>Employees</w:t>
      </w:r>
      <w:r>
        <w:rPr>
          <w:spacing w:val="-5"/>
          <w:sz w:val="24"/>
        </w:rPr>
        <w:t> </w:t>
      </w:r>
      <w:r>
        <w:rPr>
          <w:sz w:val="24"/>
        </w:rPr>
        <w:t>Retirement</w:t>
      </w:r>
      <w:r>
        <w:rPr>
          <w:spacing w:val="-4"/>
          <w:sz w:val="24"/>
        </w:rPr>
        <w:t> </w:t>
      </w:r>
      <w:r>
        <w:rPr>
          <w:sz w:val="24"/>
        </w:rPr>
        <w:t>System.</w:t>
      </w:r>
      <w:r>
        <w:rPr>
          <w:spacing w:val="-4"/>
          <w:sz w:val="24"/>
        </w:rPr>
        <w:t> </w:t>
      </w:r>
      <w:r>
        <w:rPr>
          <w:sz w:val="24"/>
        </w:rPr>
        <w:t>Contracted</w:t>
      </w:r>
      <w:r>
        <w:rPr>
          <w:spacing w:val="-5"/>
          <w:sz w:val="24"/>
        </w:rPr>
        <w:t> </w:t>
      </w:r>
      <w:r>
        <w:rPr>
          <w:sz w:val="24"/>
        </w:rPr>
        <w:t>instructional</w:t>
      </w:r>
      <w:r>
        <w:rPr>
          <w:spacing w:val="-5"/>
          <w:sz w:val="24"/>
        </w:rPr>
        <w:t> </w:t>
      </w:r>
      <w:r>
        <w:rPr>
          <w:sz w:val="24"/>
        </w:rPr>
        <w:t>personnel</w:t>
      </w:r>
      <w:r>
        <w:rPr>
          <w:spacing w:val="-5"/>
          <w:sz w:val="24"/>
        </w:rPr>
        <w:t> </w:t>
      </w:r>
      <w:r>
        <w:rPr>
          <w:sz w:val="24"/>
        </w:rPr>
        <w:t>employed</w:t>
      </w:r>
      <w:r>
        <w:rPr>
          <w:spacing w:val="-5"/>
          <w:sz w:val="24"/>
        </w:rPr>
        <w:t> </w:t>
      </w:r>
      <w:r>
        <w:rPr>
          <w:sz w:val="24"/>
        </w:rPr>
        <w:t>on or after July 1, 1995 will be enrolled in the State Teachers Retirement System. The employee and employer will contribute the amount prescribed by statute.</w:t>
      </w:r>
    </w:p>
    <w:p>
      <w:pPr>
        <w:pStyle w:val="ListParagraph"/>
        <w:numPr>
          <w:ilvl w:val="0"/>
          <w:numId w:val="330"/>
        </w:numPr>
        <w:tabs>
          <w:tab w:pos="773" w:val="left" w:leader="none"/>
        </w:tabs>
        <w:spacing w:line="208" w:lineRule="auto" w:before="239" w:after="0"/>
        <w:ind w:left="360" w:right="741" w:firstLine="0"/>
        <w:jc w:val="left"/>
        <w:rPr>
          <w:sz w:val="24"/>
        </w:rPr>
      </w:pPr>
      <w:r>
        <w:rPr>
          <w:sz w:val="24"/>
        </w:rPr>
        <w:t>Longevity. Contracted instructional personnel hired prior to July 1, 1995 will retain longevity</w:t>
      </w:r>
      <w:r>
        <w:rPr>
          <w:spacing w:val="-3"/>
          <w:sz w:val="24"/>
        </w:rPr>
        <w:t> </w:t>
      </w:r>
      <w:r>
        <w:rPr>
          <w:sz w:val="24"/>
        </w:rPr>
        <w:t>as</w:t>
      </w:r>
      <w:r>
        <w:rPr>
          <w:spacing w:val="-3"/>
          <w:sz w:val="24"/>
        </w:rPr>
        <w:t> </w:t>
      </w:r>
      <w:r>
        <w:rPr>
          <w:sz w:val="24"/>
        </w:rPr>
        <w:t>long</w:t>
      </w:r>
      <w:r>
        <w:rPr>
          <w:spacing w:val="-3"/>
          <w:sz w:val="24"/>
        </w:rPr>
        <w:t> </w:t>
      </w:r>
      <w:r>
        <w:rPr>
          <w:sz w:val="24"/>
        </w:rPr>
        <w:t>as</w:t>
      </w:r>
      <w:r>
        <w:rPr>
          <w:spacing w:val="-3"/>
          <w:sz w:val="24"/>
        </w:rPr>
        <w:t> </w:t>
      </w:r>
      <w:r>
        <w:rPr>
          <w:sz w:val="24"/>
        </w:rPr>
        <w:t>they</w:t>
      </w:r>
      <w:r>
        <w:rPr>
          <w:spacing w:val="-3"/>
          <w:sz w:val="24"/>
        </w:rPr>
        <w:t> </w:t>
      </w:r>
      <w:r>
        <w:rPr>
          <w:sz w:val="24"/>
        </w:rPr>
        <w:t>remain</w:t>
      </w:r>
      <w:r>
        <w:rPr>
          <w:spacing w:val="-3"/>
          <w:sz w:val="24"/>
        </w:rPr>
        <w:t> </w:t>
      </w:r>
      <w:r>
        <w:rPr>
          <w:sz w:val="24"/>
        </w:rPr>
        <w:t>in</w:t>
      </w:r>
      <w:r>
        <w:rPr>
          <w:spacing w:val="-3"/>
          <w:sz w:val="24"/>
        </w:rPr>
        <w:t> </w:t>
      </w:r>
      <w:r>
        <w:rPr>
          <w:sz w:val="24"/>
        </w:rPr>
        <w:t>continuous</w:t>
      </w:r>
      <w:r>
        <w:rPr>
          <w:spacing w:val="-3"/>
          <w:sz w:val="24"/>
        </w:rPr>
        <w:t> </w:t>
      </w:r>
      <w:r>
        <w:rPr>
          <w:sz w:val="24"/>
        </w:rPr>
        <w:t>service.</w:t>
      </w:r>
      <w:r>
        <w:rPr>
          <w:spacing w:val="-4"/>
          <w:sz w:val="24"/>
        </w:rPr>
        <w:t> </w:t>
      </w:r>
      <w:r>
        <w:rPr>
          <w:sz w:val="24"/>
        </w:rPr>
        <w:t>Any</w:t>
      </w:r>
      <w:r>
        <w:rPr>
          <w:spacing w:val="-3"/>
          <w:sz w:val="24"/>
        </w:rPr>
        <w:t> </w:t>
      </w:r>
      <w:r>
        <w:rPr>
          <w:sz w:val="24"/>
        </w:rPr>
        <w:t>break</w:t>
      </w:r>
      <w:r>
        <w:rPr>
          <w:spacing w:val="-3"/>
          <w:sz w:val="24"/>
        </w:rPr>
        <w:t> </w:t>
      </w:r>
      <w:r>
        <w:rPr>
          <w:sz w:val="24"/>
        </w:rPr>
        <w:t>in</w:t>
      </w:r>
      <w:r>
        <w:rPr>
          <w:spacing w:val="-3"/>
          <w:sz w:val="24"/>
        </w:rPr>
        <w:t> </w:t>
      </w:r>
      <w:r>
        <w:rPr>
          <w:sz w:val="24"/>
        </w:rPr>
        <w:t>service</w:t>
      </w:r>
      <w:r>
        <w:rPr>
          <w:spacing w:val="-3"/>
          <w:sz w:val="24"/>
        </w:rPr>
        <w:t> </w:t>
      </w:r>
      <w:r>
        <w:rPr>
          <w:sz w:val="24"/>
        </w:rPr>
        <w:t>will</w:t>
      </w:r>
      <w:r>
        <w:rPr>
          <w:spacing w:val="-3"/>
          <w:sz w:val="24"/>
        </w:rPr>
        <w:t> </w:t>
      </w:r>
      <w:r>
        <w:rPr>
          <w:sz w:val="24"/>
        </w:rPr>
        <w:t>result</w:t>
      </w:r>
      <w:r>
        <w:rPr>
          <w:spacing w:val="-2"/>
          <w:sz w:val="24"/>
        </w:rPr>
        <w:t> </w:t>
      </w:r>
      <w:r>
        <w:rPr>
          <w:sz w:val="24"/>
        </w:rPr>
        <w:t>in the loss of longevity. New hires after July 1, 1995 will not be entitled to longevity unless provided by law.</w:t>
      </w:r>
    </w:p>
    <w:p>
      <w:pPr>
        <w:pStyle w:val="BodyText"/>
        <w:spacing w:before="210"/>
      </w:pPr>
      <w:r>
        <w:rPr/>
        <w:t>INSTRUCTIONS</w:t>
      </w:r>
      <w:r>
        <w:rPr>
          <w:spacing w:val="-3"/>
        </w:rPr>
        <w:t> </w:t>
      </w:r>
      <w:r>
        <w:rPr/>
        <w:t>TO</w:t>
      </w:r>
      <w:r>
        <w:rPr>
          <w:spacing w:val="-2"/>
        </w:rPr>
        <w:t> </w:t>
      </w:r>
      <w:r>
        <w:rPr>
          <w:spacing w:val="-4"/>
        </w:rPr>
        <w:t>STAFF</w:t>
      </w:r>
    </w:p>
    <w:p>
      <w:pPr>
        <w:pStyle w:val="BodyText"/>
        <w:spacing w:before="204"/>
        <w:ind w:left="791"/>
      </w:pPr>
      <w:r>
        <w:rPr/>
        <w:t>1.</w:t>
      </w:r>
      <w:r>
        <w:rPr>
          <w:spacing w:val="15"/>
        </w:rPr>
        <w:t> </w:t>
      </w:r>
      <w:hyperlink r:id="rId87">
        <w:r>
          <w:rPr>
            <w:color w:val="0000FF"/>
            <w:u w:val="single" w:color="0000FF"/>
          </w:rPr>
          <w:t>DRS:3-3-</w:t>
        </w:r>
        <w:r>
          <w:rPr>
            <w:color w:val="0000FF"/>
            <w:spacing w:val="-5"/>
            <w:u w:val="single" w:color="0000FF"/>
          </w:rPr>
          <w:t>11</w:t>
        </w:r>
      </w:hyperlink>
    </w:p>
    <w:p>
      <w:pPr>
        <w:spacing w:before="238"/>
        <w:ind w:left="360" w:right="0" w:firstLine="0"/>
        <w:jc w:val="left"/>
        <w:rPr>
          <w:sz w:val="22"/>
        </w:rPr>
      </w:pPr>
      <w:r>
        <w:rPr>
          <w:sz w:val="22"/>
        </w:rPr>
        <w:t>Section</w:t>
      </w:r>
      <w:r>
        <w:rPr>
          <w:spacing w:val="-9"/>
          <w:sz w:val="22"/>
        </w:rPr>
        <w:t> </w:t>
      </w:r>
      <w:r>
        <w:rPr>
          <w:spacing w:val="-2"/>
          <w:sz w:val="22"/>
        </w:rPr>
        <w:t>History</w:t>
      </w:r>
    </w:p>
    <w:p>
      <w:pPr>
        <w:spacing w:line="253" w:lineRule="exact" w:before="0"/>
        <w:ind w:left="360" w:right="0" w:firstLine="0"/>
        <w:jc w:val="left"/>
        <w:rPr>
          <w:sz w:val="22"/>
        </w:rPr>
      </w:pPr>
      <w:r>
        <w:rPr>
          <w:sz w:val="22"/>
        </w:rPr>
        <w:t>10-12-95</w:t>
      </w:r>
      <w:r>
        <w:rPr>
          <w:spacing w:val="30"/>
          <w:sz w:val="22"/>
        </w:rPr>
        <w:t>  </w:t>
      </w:r>
      <w:r>
        <w:rPr>
          <w:sz w:val="22"/>
        </w:rPr>
        <w:t>PT</w:t>
      </w:r>
      <w:r>
        <w:rPr>
          <w:spacing w:val="-3"/>
          <w:sz w:val="22"/>
        </w:rPr>
        <w:t> </w:t>
      </w:r>
      <w:r>
        <w:rPr>
          <w:sz w:val="22"/>
        </w:rPr>
        <w:t>Memo</w:t>
      </w:r>
      <w:r>
        <w:rPr>
          <w:spacing w:val="-5"/>
          <w:sz w:val="22"/>
        </w:rPr>
        <w:t> </w:t>
      </w:r>
      <w:r>
        <w:rPr>
          <w:sz w:val="22"/>
        </w:rPr>
        <w:t>#95-</w:t>
      </w:r>
      <w:r>
        <w:rPr>
          <w:spacing w:val="-10"/>
          <w:sz w:val="22"/>
        </w:rPr>
        <w:t>3</w:t>
      </w:r>
    </w:p>
    <w:p>
      <w:pPr>
        <w:tabs>
          <w:tab w:pos="1439" w:val="left" w:leader="none"/>
        </w:tabs>
        <w:spacing w:before="0"/>
        <w:ind w:left="359" w:right="6564" w:firstLine="1080"/>
        <w:jc w:val="left"/>
        <w:rPr>
          <w:sz w:val="22"/>
        </w:rPr>
      </w:pPr>
      <w:r>
        <w:rPr>
          <w:sz w:val="22"/>
        </w:rPr>
        <w:t>Emergency,</w:t>
      </w:r>
      <w:r>
        <w:rPr>
          <w:spacing w:val="-16"/>
          <w:sz w:val="22"/>
        </w:rPr>
        <w:t> </w:t>
      </w:r>
      <w:r>
        <w:rPr>
          <w:sz w:val="22"/>
        </w:rPr>
        <w:t>new</w:t>
      </w:r>
      <w:r>
        <w:rPr>
          <w:spacing w:val="-15"/>
          <w:sz w:val="22"/>
        </w:rPr>
        <w:t> </w:t>
      </w:r>
      <w:r>
        <w:rPr>
          <w:sz w:val="22"/>
        </w:rPr>
        <w:t>Section </w:t>
      </w:r>
      <w:r>
        <w:rPr>
          <w:spacing w:val="-2"/>
          <w:sz w:val="22"/>
        </w:rPr>
        <w:t>8-1-96</w:t>
      </w:r>
      <w:r>
        <w:rPr>
          <w:sz w:val="22"/>
        </w:rPr>
        <w:tab/>
        <w:t>PT Memo #97-2</w:t>
      </w:r>
    </w:p>
    <w:p>
      <w:pPr>
        <w:spacing w:line="246" w:lineRule="exact" w:before="0"/>
        <w:ind w:left="1439" w:right="0" w:firstLine="0"/>
        <w:jc w:val="left"/>
        <w:rPr>
          <w:sz w:val="22"/>
        </w:rPr>
      </w:pPr>
      <w:r>
        <w:rPr>
          <w:sz w:val="22"/>
        </w:rPr>
        <w:t>Permanent</w:t>
      </w:r>
      <w:r>
        <w:rPr>
          <w:spacing w:val="-11"/>
          <w:sz w:val="22"/>
        </w:rPr>
        <w:t> </w:t>
      </w:r>
      <w:r>
        <w:rPr>
          <w:sz w:val="22"/>
        </w:rPr>
        <w:t>rules</w:t>
      </w:r>
      <w:r>
        <w:rPr>
          <w:spacing w:val="-10"/>
          <w:sz w:val="22"/>
        </w:rPr>
        <w:t> </w:t>
      </w:r>
      <w:r>
        <w:rPr>
          <w:sz w:val="22"/>
        </w:rPr>
        <w:t>supersede</w:t>
      </w:r>
      <w:r>
        <w:rPr>
          <w:spacing w:val="-10"/>
          <w:sz w:val="22"/>
        </w:rPr>
        <w:t> </w:t>
      </w:r>
      <w:r>
        <w:rPr>
          <w:sz w:val="22"/>
        </w:rPr>
        <w:t>Emergency</w:t>
      </w:r>
      <w:r>
        <w:rPr>
          <w:spacing w:val="-10"/>
          <w:sz w:val="22"/>
        </w:rPr>
        <w:t> </w:t>
      </w:r>
      <w:r>
        <w:rPr>
          <w:sz w:val="22"/>
        </w:rPr>
        <w:t>rules</w:t>
      </w:r>
      <w:r>
        <w:rPr>
          <w:spacing w:val="-11"/>
          <w:sz w:val="22"/>
        </w:rPr>
        <w:t> </w:t>
      </w:r>
      <w:r>
        <w:rPr>
          <w:sz w:val="22"/>
        </w:rPr>
        <w:t>issued</w:t>
      </w:r>
      <w:r>
        <w:rPr>
          <w:spacing w:val="-10"/>
          <w:sz w:val="22"/>
        </w:rPr>
        <w:t> </w:t>
      </w:r>
      <w:r>
        <w:rPr>
          <w:sz w:val="22"/>
        </w:rPr>
        <w:t>10-12-</w:t>
      </w:r>
      <w:r>
        <w:rPr>
          <w:spacing w:val="-5"/>
          <w:sz w:val="22"/>
        </w:rPr>
        <w:t>95</w:t>
      </w:r>
    </w:p>
    <w:p>
      <w:pPr>
        <w:tabs>
          <w:tab w:pos="1439" w:val="left" w:leader="none"/>
        </w:tabs>
        <w:spacing w:line="228" w:lineRule="auto" w:before="3"/>
        <w:ind w:left="1440" w:right="843" w:hanging="1081"/>
        <w:jc w:val="left"/>
        <w:rPr>
          <w:sz w:val="22"/>
        </w:rPr>
      </w:pPr>
      <w:r>
        <w:rPr>
          <w:spacing w:val="-2"/>
          <w:sz w:val="22"/>
        </w:rPr>
        <w:t>12-1-20</w:t>
      </w:r>
      <w:r>
        <w:rPr>
          <w:sz w:val="22"/>
        </w:rPr>
        <w:tab/>
        <w:t>Emergency, revision allows instructional staff to receive a rate of $75 for each full day</w:t>
      </w:r>
      <w:r>
        <w:rPr>
          <w:spacing w:val="-3"/>
          <w:sz w:val="22"/>
        </w:rPr>
        <w:t> </w:t>
      </w:r>
      <w:r>
        <w:rPr>
          <w:sz w:val="22"/>
        </w:rPr>
        <w:t>of</w:t>
      </w:r>
      <w:r>
        <w:rPr>
          <w:spacing w:val="-3"/>
          <w:sz w:val="22"/>
        </w:rPr>
        <w:t> </w:t>
      </w:r>
      <w:r>
        <w:rPr>
          <w:sz w:val="22"/>
        </w:rPr>
        <w:t>unused</w:t>
      </w:r>
      <w:r>
        <w:rPr>
          <w:spacing w:val="-3"/>
          <w:sz w:val="22"/>
        </w:rPr>
        <w:t> </w:t>
      </w:r>
      <w:r>
        <w:rPr>
          <w:sz w:val="22"/>
        </w:rPr>
        <w:t>personal</w:t>
      </w:r>
      <w:r>
        <w:rPr>
          <w:spacing w:val="-4"/>
          <w:sz w:val="22"/>
        </w:rPr>
        <w:t> </w:t>
      </w:r>
      <w:r>
        <w:rPr>
          <w:sz w:val="22"/>
        </w:rPr>
        <w:t>leave</w:t>
      </w:r>
      <w:r>
        <w:rPr>
          <w:spacing w:val="-3"/>
          <w:sz w:val="22"/>
        </w:rPr>
        <w:t> </w:t>
      </w:r>
      <w:r>
        <w:rPr>
          <w:sz w:val="22"/>
        </w:rPr>
        <w:t>at</w:t>
      </w:r>
      <w:r>
        <w:rPr>
          <w:spacing w:val="-3"/>
          <w:sz w:val="22"/>
        </w:rPr>
        <w:t> </w:t>
      </w:r>
      <w:r>
        <w:rPr>
          <w:sz w:val="22"/>
        </w:rPr>
        <w:t>the</w:t>
      </w:r>
      <w:r>
        <w:rPr>
          <w:spacing w:val="-4"/>
          <w:sz w:val="22"/>
        </w:rPr>
        <w:t> </w:t>
      </w:r>
      <w:r>
        <w:rPr>
          <w:sz w:val="22"/>
        </w:rPr>
        <w:t>end</w:t>
      </w:r>
      <w:r>
        <w:rPr>
          <w:spacing w:val="-3"/>
          <w:sz w:val="22"/>
        </w:rPr>
        <w:t> </w:t>
      </w:r>
      <w:r>
        <w:rPr>
          <w:sz w:val="22"/>
        </w:rPr>
        <w:t>of</w:t>
      </w:r>
      <w:r>
        <w:rPr>
          <w:spacing w:val="-3"/>
          <w:sz w:val="22"/>
        </w:rPr>
        <w:t> </w:t>
      </w:r>
      <w:r>
        <w:rPr>
          <w:sz w:val="22"/>
        </w:rPr>
        <w:t>each</w:t>
      </w:r>
      <w:r>
        <w:rPr>
          <w:spacing w:val="-4"/>
          <w:sz w:val="22"/>
        </w:rPr>
        <w:t> </w:t>
      </w:r>
      <w:r>
        <w:rPr>
          <w:sz w:val="22"/>
        </w:rPr>
        <w:t>academic</w:t>
      </w:r>
      <w:r>
        <w:rPr>
          <w:spacing w:val="-3"/>
          <w:sz w:val="22"/>
        </w:rPr>
        <w:t> </w:t>
      </w:r>
      <w:r>
        <w:rPr>
          <w:sz w:val="22"/>
        </w:rPr>
        <w:t>year.</w:t>
      </w:r>
      <w:r>
        <w:rPr>
          <w:spacing w:val="-3"/>
          <w:sz w:val="22"/>
        </w:rPr>
        <w:t> </w:t>
      </w:r>
      <w:r>
        <w:rPr>
          <w:sz w:val="22"/>
        </w:rPr>
        <w:t>Oklahoma</w:t>
      </w:r>
      <w:r>
        <w:rPr>
          <w:spacing w:val="-3"/>
          <w:sz w:val="22"/>
        </w:rPr>
        <w:t> </w:t>
      </w:r>
      <w:r>
        <w:rPr>
          <w:sz w:val="22"/>
        </w:rPr>
        <w:t>Session Laws 2019, ch. 159 (SB 77) amended 10 O.S. § 1419.</w:t>
      </w:r>
    </w:p>
    <w:p>
      <w:pPr>
        <w:tabs>
          <w:tab w:pos="1440" w:val="left" w:leader="none"/>
        </w:tabs>
        <w:spacing w:line="228" w:lineRule="auto" w:before="0"/>
        <w:ind w:left="1440" w:right="769" w:hanging="1080"/>
        <w:jc w:val="left"/>
        <w:rPr>
          <w:sz w:val="22"/>
        </w:rPr>
      </w:pPr>
      <w:r>
        <w:rPr>
          <w:spacing w:val="-2"/>
          <w:sz w:val="22"/>
        </w:rPr>
        <w:t>8-26-21</w:t>
      </w:r>
      <w:r>
        <w:rPr>
          <w:sz w:val="22"/>
        </w:rPr>
        <w:tab/>
        <w:t>Revised</w:t>
      </w:r>
      <w:r>
        <w:rPr>
          <w:spacing w:val="-3"/>
          <w:sz w:val="22"/>
        </w:rPr>
        <w:t> </w:t>
      </w:r>
      <w:r>
        <w:rPr>
          <w:sz w:val="22"/>
        </w:rPr>
        <w:t>to</w:t>
      </w:r>
      <w:r>
        <w:rPr>
          <w:spacing w:val="-3"/>
          <w:sz w:val="22"/>
        </w:rPr>
        <w:t> </w:t>
      </w:r>
      <w:r>
        <w:rPr>
          <w:sz w:val="22"/>
        </w:rPr>
        <w:t>allow</w:t>
      </w:r>
      <w:r>
        <w:rPr>
          <w:spacing w:val="-4"/>
          <w:sz w:val="22"/>
        </w:rPr>
        <w:t> </w:t>
      </w:r>
      <w:r>
        <w:rPr>
          <w:sz w:val="22"/>
        </w:rPr>
        <w:t>instructional</w:t>
      </w:r>
      <w:r>
        <w:rPr>
          <w:spacing w:val="-3"/>
          <w:sz w:val="22"/>
        </w:rPr>
        <w:t> </w:t>
      </w:r>
      <w:r>
        <w:rPr>
          <w:sz w:val="22"/>
        </w:rPr>
        <w:t>staff</w:t>
      </w:r>
      <w:r>
        <w:rPr>
          <w:spacing w:val="-3"/>
          <w:sz w:val="22"/>
        </w:rPr>
        <w:t> </w:t>
      </w:r>
      <w:r>
        <w:rPr>
          <w:sz w:val="22"/>
        </w:rPr>
        <w:t>to</w:t>
      </w:r>
      <w:r>
        <w:rPr>
          <w:spacing w:val="-4"/>
          <w:sz w:val="22"/>
        </w:rPr>
        <w:t> </w:t>
      </w:r>
      <w:r>
        <w:rPr>
          <w:sz w:val="22"/>
        </w:rPr>
        <w:t>be</w:t>
      </w:r>
      <w:r>
        <w:rPr>
          <w:spacing w:val="-3"/>
          <w:sz w:val="22"/>
        </w:rPr>
        <w:t> </w:t>
      </w:r>
      <w:r>
        <w:rPr>
          <w:sz w:val="22"/>
        </w:rPr>
        <w:t>paid</w:t>
      </w:r>
      <w:r>
        <w:rPr>
          <w:spacing w:val="-3"/>
          <w:sz w:val="22"/>
        </w:rPr>
        <w:t> </w:t>
      </w:r>
      <w:r>
        <w:rPr>
          <w:sz w:val="22"/>
        </w:rPr>
        <w:t>$75</w:t>
      </w:r>
      <w:r>
        <w:rPr>
          <w:spacing w:val="-4"/>
          <w:sz w:val="22"/>
        </w:rPr>
        <w:t> </w:t>
      </w:r>
      <w:r>
        <w:rPr>
          <w:sz w:val="22"/>
        </w:rPr>
        <w:t>for</w:t>
      </w:r>
      <w:r>
        <w:rPr>
          <w:spacing w:val="-3"/>
          <w:sz w:val="22"/>
        </w:rPr>
        <w:t> </w:t>
      </w:r>
      <w:r>
        <w:rPr>
          <w:sz w:val="22"/>
        </w:rPr>
        <w:t>each</w:t>
      </w:r>
      <w:r>
        <w:rPr>
          <w:spacing w:val="-3"/>
          <w:sz w:val="22"/>
        </w:rPr>
        <w:t> </w:t>
      </w:r>
      <w:r>
        <w:rPr>
          <w:sz w:val="22"/>
        </w:rPr>
        <w:t>full</w:t>
      </w:r>
      <w:r>
        <w:rPr>
          <w:spacing w:val="-4"/>
          <w:sz w:val="22"/>
        </w:rPr>
        <w:t> </w:t>
      </w:r>
      <w:r>
        <w:rPr>
          <w:sz w:val="22"/>
        </w:rPr>
        <w:t>day</w:t>
      </w:r>
      <w:r>
        <w:rPr>
          <w:spacing w:val="-3"/>
          <w:sz w:val="22"/>
        </w:rPr>
        <w:t> </w:t>
      </w:r>
      <w:r>
        <w:rPr>
          <w:sz w:val="22"/>
        </w:rPr>
        <w:t>of</w:t>
      </w:r>
      <w:r>
        <w:rPr>
          <w:spacing w:val="-3"/>
          <w:sz w:val="22"/>
        </w:rPr>
        <w:t> </w:t>
      </w:r>
      <w:r>
        <w:rPr>
          <w:sz w:val="22"/>
        </w:rPr>
        <w:t>unused</w:t>
      </w:r>
      <w:r>
        <w:rPr>
          <w:spacing w:val="-3"/>
          <w:sz w:val="22"/>
        </w:rPr>
        <w:t> </w:t>
      </w:r>
      <w:r>
        <w:rPr>
          <w:sz w:val="22"/>
        </w:rPr>
        <w:t>leave</w:t>
      </w:r>
      <w:r>
        <w:rPr>
          <w:spacing w:val="-3"/>
          <w:sz w:val="22"/>
        </w:rPr>
        <w:t> </w:t>
      </w:r>
      <w:r>
        <w:rPr>
          <w:sz w:val="22"/>
        </w:rPr>
        <w:t>at the end of each academic year.</w:t>
      </w:r>
    </w:p>
    <w:p>
      <w:pPr>
        <w:spacing w:after="0" w:line="228" w:lineRule="auto"/>
        <w:jc w:val="left"/>
        <w:rPr>
          <w:sz w:val="22"/>
        </w:rPr>
        <w:sectPr>
          <w:pgSz w:w="12240" w:h="15840"/>
          <w:pgMar w:top="1340" w:bottom="280" w:left="1080" w:right="720"/>
        </w:sectPr>
      </w:pPr>
    </w:p>
    <w:p>
      <w:pPr>
        <w:pStyle w:val="Heading2"/>
      </w:pPr>
      <w:bookmarkStart w:name="612:20-2-8.  Standards of conduct and pe" w:id="327"/>
      <w:bookmarkEnd w:id="327"/>
      <w:r>
        <w:rPr>
          <w:b w:val="0"/>
        </w:rPr>
      </w:r>
      <w:r>
        <w:rPr/>
        <w:t>612:20-2-8.</w:t>
      </w:r>
      <w:r>
        <w:rPr>
          <w:spacing w:val="59"/>
        </w:rPr>
        <w:t> </w:t>
      </w:r>
      <w:r>
        <w:rPr/>
        <w:t>Standards</w:t>
      </w:r>
      <w:r>
        <w:rPr>
          <w:spacing w:val="-4"/>
        </w:rPr>
        <w:t> </w:t>
      </w:r>
      <w:r>
        <w:rPr/>
        <w:t>of</w:t>
      </w:r>
      <w:r>
        <w:rPr>
          <w:spacing w:val="-3"/>
        </w:rPr>
        <w:t> </w:t>
      </w:r>
      <w:r>
        <w:rPr/>
        <w:t>conduct</w:t>
      </w:r>
      <w:r>
        <w:rPr>
          <w:spacing w:val="-2"/>
        </w:rPr>
        <w:t> </w:t>
      </w:r>
      <w:r>
        <w:rPr/>
        <w:t>and</w:t>
      </w:r>
      <w:r>
        <w:rPr>
          <w:spacing w:val="-4"/>
        </w:rPr>
        <w:t> </w:t>
      </w:r>
      <w:r>
        <w:rPr/>
        <w:t>performance</w:t>
      </w:r>
      <w:r>
        <w:rPr>
          <w:spacing w:val="-4"/>
        </w:rPr>
        <w:t> </w:t>
      </w:r>
      <w:r>
        <w:rPr/>
        <w:t>for</w:t>
      </w:r>
      <w:r>
        <w:rPr>
          <w:spacing w:val="-4"/>
        </w:rPr>
        <w:t> </w:t>
      </w:r>
      <w:r>
        <w:rPr>
          <w:spacing w:val="-2"/>
        </w:rPr>
        <w:t>teachers</w:t>
      </w:r>
    </w:p>
    <w:p>
      <w:pPr>
        <w:pStyle w:val="BodyText"/>
        <w:spacing w:line="208" w:lineRule="auto" w:before="233"/>
        <w:ind w:right="855" w:firstLine="432"/>
        <w:rPr>
          <w:b/>
        </w:rPr>
      </w:pPr>
      <w:r>
        <w:rPr/>
        <w:t>Teachers</w:t>
      </w:r>
      <w:r>
        <w:rPr>
          <w:spacing w:val="-1"/>
        </w:rPr>
        <w:t> </w:t>
      </w:r>
      <w:r>
        <w:rPr/>
        <w:t>at the</w:t>
      </w:r>
      <w:r>
        <w:rPr>
          <w:spacing w:val="-2"/>
        </w:rPr>
        <w:t> </w:t>
      </w:r>
      <w:r>
        <w:rPr/>
        <w:t>Oklahoma</w:t>
      </w:r>
      <w:r>
        <w:rPr>
          <w:spacing w:val="-1"/>
        </w:rPr>
        <w:t> </w:t>
      </w:r>
      <w:r>
        <w:rPr/>
        <w:t>School</w:t>
      </w:r>
      <w:r>
        <w:rPr>
          <w:spacing w:val="-1"/>
        </w:rPr>
        <w:t> </w:t>
      </w:r>
      <w:r>
        <w:rPr/>
        <w:t>for the</w:t>
      </w:r>
      <w:r>
        <w:rPr>
          <w:spacing w:val="-1"/>
        </w:rPr>
        <w:t> </w:t>
      </w:r>
      <w:r>
        <w:rPr/>
        <w:t>Deaf and</w:t>
      </w:r>
      <w:r>
        <w:rPr>
          <w:spacing w:val="-1"/>
        </w:rPr>
        <w:t> </w:t>
      </w:r>
      <w:r>
        <w:rPr/>
        <w:t>Oklahoma</w:t>
      </w:r>
      <w:r>
        <w:rPr>
          <w:spacing w:val="-1"/>
        </w:rPr>
        <w:t> </w:t>
      </w:r>
      <w:r>
        <w:rPr/>
        <w:t>School</w:t>
      </w:r>
      <w:r>
        <w:rPr>
          <w:spacing w:val="-1"/>
        </w:rPr>
        <w:t> </w:t>
      </w:r>
      <w:r>
        <w:rPr/>
        <w:t>for the</w:t>
      </w:r>
      <w:r>
        <w:rPr>
          <w:spacing w:val="-1"/>
        </w:rPr>
        <w:t> </w:t>
      </w:r>
      <w:r>
        <w:rPr/>
        <w:t>Blind are charged with the education of their students. In order to perform effectively, teachers must demonstrate a belief in the worth and dignity of each human being, recognizing</w:t>
      </w:r>
      <w:r>
        <w:rPr>
          <w:spacing w:val="-3"/>
        </w:rPr>
        <w:t> </w:t>
      </w:r>
      <w:r>
        <w:rPr/>
        <w:t>the</w:t>
      </w:r>
      <w:r>
        <w:rPr>
          <w:spacing w:val="-4"/>
        </w:rPr>
        <w:t> </w:t>
      </w:r>
      <w:r>
        <w:rPr/>
        <w:t>supreme</w:t>
      </w:r>
      <w:r>
        <w:rPr>
          <w:spacing w:val="-4"/>
        </w:rPr>
        <w:t> </w:t>
      </w:r>
      <w:r>
        <w:rPr/>
        <w:t>importance</w:t>
      </w:r>
      <w:r>
        <w:rPr>
          <w:spacing w:val="-4"/>
        </w:rPr>
        <w:t> </w:t>
      </w:r>
      <w:r>
        <w:rPr/>
        <w:t>of</w:t>
      </w:r>
      <w:r>
        <w:rPr>
          <w:spacing w:val="-3"/>
        </w:rPr>
        <w:t> </w:t>
      </w:r>
      <w:r>
        <w:rPr/>
        <w:t>the</w:t>
      </w:r>
      <w:r>
        <w:rPr>
          <w:spacing w:val="-5"/>
        </w:rPr>
        <w:t> </w:t>
      </w:r>
      <w:r>
        <w:rPr/>
        <w:t>pursuit</w:t>
      </w:r>
      <w:r>
        <w:rPr>
          <w:spacing w:val="-3"/>
        </w:rPr>
        <w:t> </w:t>
      </w:r>
      <w:r>
        <w:rPr/>
        <w:t>of</w:t>
      </w:r>
      <w:r>
        <w:rPr>
          <w:spacing w:val="-3"/>
        </w:rPr>
        <w:t> </w:t>
      </w:r>
      <w:r>
        <w:rPr/>
        <w:t>truth,</w:t>
      </w:r>
      <w:r>
        <w:rPr>
          <w:spacing w:val="-3"/>
        </w:rPr>
        <w:t> </w:t>
      </w:r>
      <w:r>
        <w:rPr/>
        <w:t>devotion</w:t>
      </w:r>
      <w:r>
        <w:rPr>
          <w:spacing w:val="-4"/>
        </w:rPr>
        <w:t> </w:t>
      </w:r>
      <w:r>
        <w:rPr/>
        <w:t>to</w:t>
      </w:r>
      <w:r>
        <w:rPr>
          <w:spacing w:val="-4"/>
        </w:rPr>
        <w:t> </w:t>
      </w:r>
      <w:r>
        <w:rPr/>
        <w:t>excellence,</w:t>
      </w:r>
      <w:r>
        <w:rPr>
          <w:spacing w:val="-3"/>
        </w:rPr>
        <w:t> </w:t>
      </w:r>
      <w:r>
        <w:rPr/>
        <w:t>and the nurture of democratic principles. </w:t>
      </w:r>
      <w:r>
        <w:rPr>
          <w:b/>
        </w:rPr>
        <w:t>1</w:t>
      </w:r>
    </w:p>
    <w:p>
      <w:pPr>
        <w:pStyle w:val="ListParagraph"/>
        <w:numPr>
          <w:ilvl w:val="0"/>
          <w:numId w:val="331"/>
        </w:numPr>
        <w:tabs>
          <w:tab w:pos="1218" w:val="left" w:leader="none"/>
        </w:tabs>
        <w:spacing w:line="208" w:lineRule="auto" w:before="239" w:after="0"/>
        <w:ind w:left="792" w:right="748" w:firstLine="0"/>
        <w:jc w:val="left"/>
        <w:rPr>
          <w:sz w:val="24"/>
        </w:rPr>
      </w:pPr>
      <w:r>
        <w:rPr>
          <w:sz w:val="24"/>
        </w:rPr>
        <w:t>Principle I - commitment to the students. The teacher must strive to help each student</w:t>
      </w:r>
      <w:r>
        <w:rPr>
          <w:spacing w:val="-3"/>
          <w:sz w:val="24"/>
        </w:rPr>
        <w:t> </w:t>
      </w:r>
      <w:r>
        <w:rPr>
          <w:sz w:val="24"/>
        </w:rPr>
        <w:t>realize</w:t>
      </w:r>
      <w:r>
        <w:rPr>
          <w:spacing w:val="-4"/>
          <w:sz w:val="24"/>
        </w:rPr>
        <w:t> </w:t>
      </w:r>
      <w:r>
        <w:rPr>
          <w:sz w:val="24"/>
        </w:rPr>
        <w:t>his</w:t>
      </w:r>
      <w:r>
        <w:rPr>
          <w:spacing w:val="-4"/>
          <w:sz w:val="24"/>
        </w:rPr>
        <w:t> </w:t>
      </w:r>
      <w:r>
        <w:rPr>
          <w:sz w:val="24"/>
        </w:rPr>
        <w:t>or</w:t>
      </w:r>
      <w:r>
        <w:rPr>
          <w:spacing w:val="-3"/>
          <w:sz w:val="24"/>
        </w:rPr>
        <w:t> </w:t>
      </w:r>
      <w:r>
        <w:rPr>
          <w:sz w:val="24"/>
        </w:rPr>
        <w:t>her</w:t>
      </w:r>
      <w:r>
        <w:rPr>
          <w:spacing w:val="-3"/>
          <w:sz w:val="24"/>
        </w:rPr>
        <w:t> </w:t>
      </w:r>
      <w:r>
        <w:rPr>
          <w:sz w:val="24"/>
        </w:rPr>
        <w:t>potential</w:t>
      </w:r>
      <w:r>
        <w:rPr>
          <w:spacing w:val="-3"/>
          <w:sz w:val="24"/>
        </w:rPr>
        <w:t> </w:t>
      </w:r>
      <w:r>
        <w:rPr>
          <w:sz w:val="24"/>
        </w:rPr>
        <w:t>as</w:t>
      </w:r>
      <w:r>
        <w:rPr>
          <w:spacing w:val="-4"/>
          <w:sz w:val="24"/>
        </w:rPr>
        <w:t> </w:t>
      </w:r>
      <w:r>
        <w:rPr>
          <w:sz w:val="24"/>
        </w:rPr>
        <w:t>a</w:t>
      </w:r>
      <w:r>
        <w:rPr>
          <w:spacing w:val="-4"/>
          <w:sz w:val="24"/>
        </w:rPr>
        <w:t> </w:t>
      </w:r>
      <w:r>
        <w:rPr>
          <w:sz w:val="24"/>
        </w:rPr>
        <w:t>worthy</w:t>
      </w:r>
      <w:r>
        <w:rPr>
          <w:spacing w:val="-4"/>
          <w:sz w:val="24"/>
        </w:rPr>
        <w:t> </w:t>
      </w:r>
      <w:r>
        <w:rPr>
          <w:sz w:val="24"/>
        </w:rPr>
        <w:t>and</w:t>
      </w:r>
      <w:r>
        <w:rPr>
          <w:spacing w:val="-4"/>
          <w:sz w:val="24"/>
        </w:rPr>
        <w:t> </w:t>
      </w:r>
      <w:r>
        <w:rPr>
          <w:sz w:val="24"/>
        </w:rPr>
        <w:t>effective</w:t>
      </w:r>
      <w:r>
        <w:rPr>
          <w:spacing w:val="-4"/>
          <w:sz w:val="24"/>
        </w:rPr>
        <w:t> </w:t>
      </w:r>
      <w:r>
        <w:rPr>
          <w:sz w:val="24"/>
        </w:rPr>
        <w:t>member</w:t>
      </w:r>
      <w:r>
        <w:rPr>
          <w:spacing w:val="-3"/>
          <w:sz w:val="24"/>
        </w:rPr>
        <w:t> </w:t>
      </w:r>
      <w:r>
        <w:rPr>
          <w:sz w:val="24"/>
        </w:rPr>
        <w:t>of</w:t>
      </w:r>
      <w:r>
        <w:rPr>
          <w:spacing w:val="-3"/>
          <w:sz w:val="24"/>
        </w:rPr>
        <w:t> </w:t>
      </w:r>
      <w:r>
        <w:rPr>
          <w:sz w:val="24"/>
        </w:rPr>
        <w:t>society.</w:t>
      </w:r>
      <w:r>
        <w:rPr>
          <w:spacing w:val="-3"/>
          <w:sz w:val="24"/>
        </w:rPr>
        <w:t> </w:t>
      </w:r>
      <w:r>
        <w:rPr>
          <w:sz w:val="24"/>
        </w:rPr>
        <w:t>The teacher</w:t>
      </w:r>
      <w:r>
        <w:rPr>
          <w:spacing w:val="-2"/>
          <w:sz w:val="24"/>
        </w:rPr>
        <w:t> </w:t>
      </w:r>
      <w:r>
        <w:rPr>
          <w:sz w:val="24"/>
        </w:rPr>
        <w:t>must</w:t>
      </w:r>
      <w:r>
        <w:rPr>
          <w:spacing w:val="-2"/>
          <w:sz w:val="24"/>
        </w:rPr>
        <w:t> </w:t>
      </w:r>
      <w:r>
        <w:rPr>
          <w:sz w:val="24"/>
        </w:rPr>
        <w:t>work</w:t>
      </w:r>
      <w:r>
        <w:rPr>
          <w:spacing w:val="-3"/>
          <w:sz w:val="24"/>
        </w:rPr>
        <w:t> </w:t>
      </w:r>
      <w:r>
        <w:rPr>
          <w:sz w:val="24"/>
        </w:rPr>
        <w:t>to</w:t>
      </w:r>
      <w:r>
        <w:rPr>
          <w:spacing w:val="-4"/>
          <w:sz w:val="24"/>
        </w:rPr>
        <w:t> </w:t>
      </w:r>
      <w:r>
        <w:rPr>
          <w:sz w:val="24"/>
        </w:rPr>
        <w:t>stimulate</w:t>
      </w:r>
      <w:r>
        <w:rPr>
          <w:spacing w:val="-3"/>
          <w:sz w:val="24"/>
        </w:rPr>
        <w:t> </w:t>
      </w:r>
      <w:r>
        <w:rPr>
          <w:sz w:val="24"/>
        </w:rPr>
        <w:t>the</w:t>
      </w:r>
      <w:r>
        <w:rPr>
          <w:spacing w:val="-3"/>
          <w:sz w:val="24"/>
        </w:rPr>
        <w:t> </w:t>
      </w:r>
      <w:r>
        <w:rPr>
          <w:sz w:val="24"/>
        </w:rPr>
        <w:t>spirit</w:t>
      </w:r>
      <w:r>
        <w:rPr>
          <w:spacing w:val="-2"/>
          <w:sz w:val="24"/>
        </w:rPr>
        <w:t> </w:t>
      </w:r>
      <w:r>
        <w:rPr>
          <w:sz w:val="24"/>
        </w:rPr>
        <w:t>of</w:t>
      </w:r>
      <w:r>
        <w:rPr>
          <w:spacing w:val="-2"/>
          <w:sz w:val="24"/>
        </w:rPr>
        <w:t> </w:t>
      </w:r>
      <w:r>
        <w:rPr>
          <w:sz w:val="24"/>
        </w:rPr>
        <w:t>inquiry,</w:t>
      </w:r>
      <w:r>
        <w:rPr>
          <w:spacing w:val="-2"/>
          <w:sz w:val="24"/>
        </w:rPr>
        <w:t> </w:t>
      </w:r>
      <w:r>
        <w:rPr>
          <w:sz w:val="24"/>
        </w:rPr>
        <w:t>the</w:t>
      </w:r>
      <w:r>
        <w:rPr>
          <w:spacing w:val="-3"/>
          <w:sz w:val="24"/>
        </w:rPr>
        <w:t> </w:t>
      </w:r>
      <w:r>
        <w:rPr>
          <w:sz w:val="24"/>
        </w:rPr>
        <w:t>acquisition</w:t>
      </w:r>
      <w:r>
        <w:rPr>
          <w:spacing w:val="-3"/>
          <w:sz w:val="24"/>
        </w:rPr>
        <w:t> </w:t>
      </w:r>
      <w:r>
        <w:rPr>
          <w:sz w:val="24"/>
        </w:rPr>
        <w:t>of</w:t>
      </w:r>
      <w:r>
        <w:rPr>
          <w:spacing w:val="-2"/>
          <w:sz w:val="24"/>
        </w:rPr>
        <w:t> </w:t>
      </w:r>
      <w:r>
        <w:rPr>
          <w:sz w:val="24"/>
        </w:rPr>
        <w:t>knowledge</w:t>
      </w:r>
      <w:r>
        <w:rPr>
          <w:spacing w:val="-3"/>
          <w:sz w:val="24"/>
        </w:rPr>
        <w:t> </w:t>
      </w:r>
      <w:r>
        <w:rPr>
          <w:sz w:val="24"/>
        </w:rPr>
        <w:t>and understanding, and the thoughtful formulation of worthy goals. In fulfillment of the obligation to the student, the teacher:</w:t>
      </w:r>
    </w:p>
    <w:p>
      <w:pPr>
        <w:pStyle w:val="ListParagraph"/>
        <w:numPr>
          <w:ilvl w:val="1"/>
          <w:numId w:val="331"/>
        </w:numPr>
        <w:tabs>
          <w:tab w:pos="1677" w:val="left" w:leader="none"/>
        </w:tabs>
        <w:spacing w:line="208" w:lineRule="auto" w:before="240" w:after="0"/>
        <w:ind w:left="1224" w:right="941" w:firstLine="0"/>
        <w:jc w:val="left"/>
        <w:rPr>
          <w:sz w:val="24"/>
        </w:rPr>
      </w:pPr>
      <w:r>
        <w:rPr>
          <w:sz w:val="24"/>
        </w:rPr>
        <w:t>shall</w:t>
      </w:r>
      <w:r>
        <w:rPr>
          <w:spacing w:val="-4"/>
          <w:sz w:val="24"/>
        </w:rPr>
        <w:t> </w:t>
      </w:r>
      <w:r>
        <w:rPr>
          <w:sz w:val="24"/>
        </w:rPr>
        <w:t>not</w:t>
      </w:r>
      <w:r>
        <w:rPr>
          <w:spacing w:val="-3"/>
          <w:sz w:val="24"/>
        </w:rPr>
        <w:t> </w:t>
      </w:r>
      <w:r>
        <w:rPr>
          <w:sz w:val="24"/>
        </w:rPr>
        <w:t>unreasonably</w:t>
      </w:r>
      <w:r>
        <w:rPr>
          <w:spacing w:val="-4"/>
          <w:sz w:val="24"/>
        </w:rPr>
        <w:t> </w:t>
      </w:r>
      <w:r>
        <w:rPr>
          <w:sz w:val="24"/>
        </w:rPr>
        <w:t>restrain</w:t>
      </w:r>
      <w:r>
        <w:rPr>
          <w:spacing w:val="-4"/>
          <w:sz w:val="24"/>
        </w:rPr>
        <w:t> </w:t>
      </w:r>
      <w:r>
        <w:rPr>
          <w:sz w:val="24"/>
        </w:rPr>
        <w:t>the</w:t>
      </w:r>
      <w:r>
        <w:rPr>
          <w:spacing w:val="-4"/>
          <w:sz w:val="24"/>
        </w:rPr>
        <w:t> </w:t>
      </w:r>
      <w:r>
        <w:rPr>
          <w:sz w:val="24"/>
        </w:rPr>
        <w:t>student</w:t>
      </w:r>
      <w:r>
        <w:rPr>
          <w:spacing w:val="-3"/>
          <w:sz w:val="24"/>
        </w:rPr>
        <w:t> </w:t>
      </w:r>
      <w:r>
        <w:rPr>
          <w:sz w:val="24"/>
        </w:rPr>
        <w:t>from</w:t>
      </w:r>
      <w:r>
        <w:rPr>
          <w:spacing w:val="-5"/>
          <w:sz w:val="24"/>
        </w:rPr>
        <w:t> </w:t>
      </w:r>
      <w:r>
        <w:rPr>
          <w:sz w:val="24"/>
        </w:rPr>
        <w:t>independent</w:t>
      </w:r>
      <w:r>
        <w:rPr>
          <w:spacing w:val="-3"/>
          <w:sz w:val="24"/>
        </w:rPr>
        <w:t> </w:t>
      </w:r>
      <w:r>
        <w:rPr>
          <w:sz w:val="24"/>
        </w:rPr>
        <w:t>action</w:t>
      </w:r>
      <w:r>
        <w:rPr>
          <w:spacing w:val="-4"/>
          <w:sz w:val="24"/>
        </w:rPr>
        <w:t> </w:t>
      </w:r>
      <w:r>
        <w:rPr>
          <w:sz w:val="24"/>
        </w:rPr>
        <w:t>in</w:t>
      </w:r>
      <w:r>
        <w:rPr>
          <w:spacing w:val="-4"/>
          <w:sz w:val="24"/>
        </w:rPr>
        <w:t> </w:t>
      </w:r>
      <w:r>
        <w:rPr>
          <w:sz w:val="24"/>
        </w:rPr>
        <w:t>the pursuit of learning;</w:t>
      </w:r>
    </w:p>
    <w:p>
      <w:pPr>
        <w:pStyle w:val="ListParagraph"/>
        <w:numPr>
          <w:ilvl w:val="1"/>
          <w:numId w:val="331"/>
        </w:numPr>
        <w:tabs>
          <w:tab w:pos="1677" w:val="left" w:leader="none"/>
        </w:tabs>
        <w:spacing w:line="240" w:lineRule="auto" w:before="210" w:after="0"/>
        <w:ind w:left="1677" w:right="0" w:hanging="453"/>
        <w:jc w:val="left"/>
        <w:rPr>
          <w:sz w:val="24"/>
        </w:rPr>
      </w:pPr>
      <w:r>
        <w:rPr>
          <w:sz w:val="24"/>
        </w:rPr>
        <w:t>shall</w:t>
      </w:r>
      <w:r>
        <w:rPr>
          <w:spacing w:val="-5"/>
          <w:sz w:val="24"/>
        </w:rPr>
        <w:t> </w:t>
      </w:r>
      <w:r>
        <w:rPr>
          <w:sz w:val="24"/>
        </w:rPr>
        <w:t>not</w:t>
      </w:r>
      <w:r>
        <w:rPr>
          <w:spacing w:val="-2"/>
          <w:sz w:val="24"/>
        </w:rPr>
        <w:t> </w:t>
      </w:r>
      <w:r>
        <w:rPr>
          <w:sz w:val="24"/>
        </w:rPr>
        <w:t>unreasonably</w:t>
      </w:r>
      <w:r>
        <w:rPr>
          <w:spacing w:val="-3"/>
          <w:sz w:val="24"/>
        </w:rPr>
        <w:t> </w:t>
      </w:r>
      <w:r>
        <w:rPr>
          <w:sz w:val="24"/>
        </w:rPr>
        <w:t>deny</w:t>
      </w:r>
      <w:r>
        <w:rPr>
          <w:spacing w:val="-2"/>
          <w:sz w:val="24"/>
        </w:rPr>
        <w:t> </w:t>
      </w:r>
      <w:r>
        <w:rPr>
          <w:sz w:val="24"/>
        </w:rPr>
        <w:t>the</w:t>
      </w:r>
      <w:r>
        <w:rPr>
          <w:spacing w:val="-3"/>
          <w:sz w:val="24"/>
        </w:rPr>
        <w:t> </w:t>
      </w:r>
      <w:r>
        <w:rPr>
          <w:sz w:val="24"/>
        </w:rPr>
        <w:t>student</w:t>
      </w:r>
      <w:r>
        <w:rPr>
          <w:spacing w:val="-1"/>
          <w:sz w:val="24"/>
        </w:rPr>
        <w:t> </w:t>
      </w:r>
      <w:r>
        <w:rPr>
          <w:sz w:val="24"/>
        </w:rPr>
        <w:t>access</w:t>
      </w:r>
      <w:r>
        <w:rPr>
          <w:spacing w:val="-3"/>
          <w:sz w:val="24"/>
        </w:rPr>
        <w:t> </w:t>
      </w:r>
      <w:r>
        <w:rPr>
          <w:sz w:val="24"/>
        </w:rPr>
        <w:t>to</w:t>
      </w:r>
      <w:r>
        <w:rPr>
          <w:spacing w:val="-4"/>
          <w:sz w:val="24"/>
        </w:rPr>
        <w:t> </w:t>
      </w:r>
      <w:r>
        <w:rPr>
          <w:sz w:val="24"/>
        </w:rPr>
        <w:t>varying</w:t>
      </w:r>
      <w:r>
        <w:rPr>
          <w:spacing w:val="-3"/>
          <w:sz w:val="24"/>
        </w:rPr>
        <w:t> </w:t>
      </w:r>
      <w:r>
        <w:rPr>
          <w:sz w:val="24"/>
        </w:rPr>
        <w:t>points</w:t>
      </w:r>
      <w:r>
        <w:rPr>
          <w:spacing w:val="-3"/>
          <w:sz w:val="24"/>
        </w:rPr>
        <w:t> </w:t>
      </w:r>
      <w:r>
        <w:rPr>
          <w:sz w:val="24"/>
        </w:rPr>
        <w:t>of</w:t>
      </w:r>
      <w:r>
        <w:rPr>
          <w:spacing w:val="-1"/>
          <w:sz w:val="24"/>
        </w:rPr>
        <w:t> </w:t>
      </w:r>
      <w:r>
        <w:rPr>
          <w:spacing w:val="-2"/>
          <w:sz w:val="24"/>
        </w:rPr>
        <w:t>view;</w:t>
      </w:r>
    </w:p>
    <w:p>
      <w:pPr>
        <w:pStyle w:val="ListParagraph"/>
        <w:numPr>
          <w:ilvl w:val="1"/>
          <w:numId w:val="331"/>
        </w:numPr>
        <w:tabs>
          <w:tab w:pos="1690" w:val="left" w:leader="none"/>
        </w:tabs>
        <w:spacing w:line="208" w:lineRule="auto" w:before="234" w:after="0"/>
        <w:ind w:left="1224" w:right="1355" w:firstLine="0"/>
        <w:jc w:val="left"/>
        <w:rPr>
          <w:sz w:val="24"/>
        </w:rPr>
      </w:pPr>
      <w:r>
        <w:rPr>
          <w:sz w:val="24"/>
        </w:rPr>
        <w:t>shall</w:t>
      </w:r>
      <w:r>
        <w:rPr>
          <w:spacing w:val="-4"/>
          <w:sz w:val="24"/>
        </w:rPr>
        <w:t> </w:t>
      </w:r>
      <w:r>
        <w:rPr>
          <w:sz w:val="24"/>
        </w:rPr>
        <w:t>not</w:t>
      </w:r>
      <w:r>
        <w:rPr>
          <w:spacing w:val="-3"/>
          <w:sz w:val="24"/>
        </w:rPr>
        <w:t> </w:t>
      </w:r>
      <w:r>
        <w:rPr>
          <w:sz w:val="24"/>
        </w:rPr>
        <w:t>deliberately</w:t>
      </w:r>
      <w:r>
        <w:rPr>
          <w:spacing w:val="-4"/>
          <w:sz w:val="24"/>
        </w:rPr>
        <w:t> </w:t>
      </w:r>
      <w:r>
        <w:rPr>
          <w:sz w:val="24"/>
        </w:rPr>
        <w:t>suppress</w:t>
      </w:r>
      <w:r>
        <w:rPr>
          <w:spacing w:val="-4"/>
          <w:sz w:val="24"/>
        </w:rPr>
        <w:t> </w:t>
      </w:r>
      <w:r>
        <w:rPr>
          <w:sz w:val="24"/>
        </w:rPr>
        <w:t>or</w:t>
      </w:r>
      <w:r>
        <w:rPr>
          <w:spacing w:val="-3"/>
          <w:sz w:val="24"/>
        </w:rPr>
        <w:t> </w:t>
      </w:r>
      <w:r>
        <w:rPr>
          <w:sz w:val="24"/>
        </w:rPr>
        <w:t>distort</w:t>
      </w:r>
      <w:r>
        <w:rPr>
          <w:spacing w:val="-6"/>
          <w:sz w:val="24"/>
        </w:rPr>
        <w:t> </w:t>
      </w:r>
      <w:r>
        <w:rPr>
          <w:sz w:val="24"/>
        </w:rPr>
        <w:t>subject</w:t>
      </w:r>
      <w:r>
        <w:rPr>
          <w:spacing w:val="-3"/>
          <w:sz w:val="24"/>
        </w:rPr>
        <w:t> </w:t>
      </w:r>
      <w:r>
        <w:rPr>
          <w:sz w:val="24"/>
        </w:rPr>
        <w:t>matter</w:t>
      </w:r>
      <w:r>
        <w:rPr>
          <w:spacing w:val="-3"/>
          <w:sz w:val="24"/>
        </w:rPr>
        <w:t> </w:t>
      </w:r>
      <w:r>
        <w:rPr>
          <w:sz w:val="24"/>
        </w:rPr>
        <w:t>relevant</w:t>
      </w:r>
      <w:r>
        <w:rPr>
          <w:spacing w:val="-5"/>
          <w:sz w:val="24"/>
        </w:rPr>
        <w:t> </w:t>
      </w:r>
      <w:r>
        <w:rPr>
          <w:sz w:val="24"/>
        </w:rPr>
        <w:t>to</w:t>
      </w:r>
      <w:r>
        <w:rPr>
          <w:spacing w:val="-5"/>
          <w:sz w:val="24"/>
        </w:rPr>
        <w:t> </w:t>
      </w:r>
      <w:r>
        <w:rPr>
          <w:sz w:val="24"/>
        </w:rPr>
        <w:t>the student's progress;</w:t>
      </w:r>
    </w:p>
    <w:p>
      <w:pPr>
        <w:pStyle w:val="ListParagraph"/>
        <w:numPr>
          <w:ilvl w:val="1"/>
          <w:numId w:val="331"/>
        </w:numPr>
        <w:tabs>
          <w:tab w:pos="1690" w:val="left" w:leader="none"/>
        </w:tabs>
        <w:spacing w:line="208" w:lineRule="auto" w:before="240" w:after="0"/>
        <w:ind w:left="1224" w:right="862" w:firstLine="0"/>
        <w:jc w:val="left"/>
        <w:rPr>
          <w:sz w:val="24"/>
        </w:rPr>
      </w:pPr>
      <w:r>
        <w:rPr>
          <w:sz w:val="24"/>
        </w:rPr>
        <w:t>shall</w:t>
      </w:r>
      <w:r>
        <w:rPr>
          <w:spacing w:val="-4"/>
          <w:sz w:val="24"/>
        </w:rPr>
        <w:t> </w:t>
      </w:r>
      <w:r>
        <w:rPr>
          <w:sz w:val="24"/>
        </w:rPr>
        <w:t>make</w:t>
      </w:r>
      <w:r>
        <w:rPr>
          <w:spacing w:val="-4"/>
          <w:sz w:val="24"/>
        </w:rPr>
        <w:t> </w:t>
      </w:r>
      <w:r>
        <w:rPr>
          <w:sz w:val="24"/>
        </w:rPr>
        <w:t>reasonable</w:t>
      </w:r>
      <w:r>
        <w:rPr>
          <w:spacing w:val="-4"/>
          <w:sz w:val="24"/>
        </w:rPr>
        <w:t> </w:t>
      </w:r>
      <w:r>
        <w:rPr>
          <w:sz w:val="24"/>
        </w:rPr>
        <w:t>effort</w:t>
      </w:r>
      <w:r>
        <w:rPr>
          <w:spacing w:val="-3"/>
          <w:sz w:val="24"/>
        </w:rPr>
        <w:t> </w:t>
      </w:r>
      <w:r>
        <w:rPr>
          <w:sz w:val="24"/>
        </w:rPr>
        <w:t>to</w:t>
      </w:r>
      <w:r>
        <w:rPr>
          <w:spacing w:val="-4"/>
          <w:sz w:val="24"/>
        </w:rPr>
        <w:t> </w:t>
      </w:r>
      <w:r>
        <w:rPr>
          <w:sz w:val="24"/>
        </w:rPr>
        <w:t>protect</w:t>
      </w:r>
      <w:r>
        <w:rPr>
          <w:spacing w:val="-3"/>
          <w:sz w:val="24"/>
        </w:rPr>
        <w:t> </w:t>
      </w:r>
      <w:r>
        <w:rPr>
          <w:sz w:val="24"/>
        </w:rPr>
        <w:t>students</w:t>
      </w:r>
      <w:r>
        <w:rPr>
          <w:spacing w:val="-4"/>
          <w:sz w:val="24"/>
        </w:rPr>
        <w:t> </w:t>
      </w:r>
      <w:r>
        <w:rPr>
          <w:sz w:val="24"/>
        </w:rPr>
        <w:t>from</w:t>
      </w:r>
      <w:r>
        <w:rPr>
          <w:spacing w:val="-3"/>
          <w:sz w:val="24"/>
        </w:rPr>
        <w:t> </w:t>
      </w:r>
      <w:r>
        <w:rPr>
          <w:sz w:val="24"/>
        </w:rPr>
        <w:t>conditions</w:t>
      </w:r>
      <w:r>
        <w:rPr>
          <w:spacing w:val="-4"/>
          <w:sz w:val="24"/>
        </w:rPr>
        <w:t> </w:t>
      </w:r>
      <w:r>
        <w:rPr>
          <w:sz w:val="24"/>
        </w:rPr>
        <w:t>harmful</w:t>
      </w:r>
      <w:r>
        <w:rPr>
          <w:spacing w:val="-4"/>
          <w:sz w:val="24"/>
        </w:rPr>
        <w:t> </w:t>
      </w:r>
      <w:r>
        <w:rPr>
          <w:sz w:val="24"/>
        </w:rPr>
        <w:t>to learning or to health and safety;</w:t>
      </w:r>
    </w:p>
    <w:p>
      <w:pPr>
        <w:pStyle w:val="ListParagraph"/>
        <w:numPr>
          <w:ilvl w:val="1"/>
          <w:numId w:val="331"/>
        </w:numPr>
        <w:tabs>
          <w:tab w:pos="1677" w:val="left" w:leader="none"/>
        </w:tabs>
        <w:spacing w:line="208" w:lineRule="auto" w:before="239" w:after="0"/>
        <w:ind w:left="1224" w:right="2155" w:firstLine="0"/>
        <w:jc w:val="left"/>
        <w:rPr>
          <w:sz w:val="24"/>
        </w:rPr>
      </w:pPr>
      <w:r>
        <w:rPr>
          <w:sz w:val="24"/>
        </w:rPr>
        <w:t>shall</w:t>
      </w:r>
      <w:r>
        <w:rPr>
          <w:spacing w:val="-5"/>
          <w:sz w:val="24"/>
        </w:rPr>
        <w:t> </w:t>
      </w:r>
      <w:r>
        <w:rPr>
          <w:sz w:val="24"/>
        </w:rPr>
        <w:t>not</w:t>
      </w:r>
      <w:r>
        <w:rPr>
          <w:spacing w:val="-4"/>
          <w:sz w:val="24"/>
        </w:rPr>
        <w:t> </w:t>
      </w:r>
      <w:r>
        <w:rPr>
          <w:sz w:val="24"/>
        </w:rPr>
        <w:t>intentionally</w:t>
      </w:r>
      <w:r>
        <w:rPr>
          <w:spacing w:val="-5"/>
          <w:sz w:val="24"/>
        </w:rPr>
        <w:t> </w:t>
      </w:r>
      <w:r>
        <w:rPr>
          <w:sz w:val="24"/>
        </w:rPr>
        <w:t>expose</w:t>
      </w:r>
      <w:r>
        <w:rPr>
          <w:spacing w:val="-4"/>
          <w:sz w:val="24"/>
        </w:rPr>
        <w:t> </w:t>
      </w:r>
      <w:r>
        <w:rPr>
          <w:sz w:val="24"/>
        </w:rPr>
        <w:t>the</w:t>
      </w:r>
      <w:r>
        <w:rPr>
          <w:spacing w:val="-5"/>
          <w:sz w:val="24"/>
        </w:rPr>
        <w:t> </w:t>
      </w:r>
      <w:r>
        <w:rPr>
          <w:sz w:val="24"/>
        </w:rPr>
        <w:t>student</w:t>
      </w:r>
      <w:r>
        <w:rPr>
          <w:spacing w:val="-4"/>
          <w:sz w:val="24"/>
        </w:rPr>
        <w:t> </w:t>
      </w:r>
      <w:r>
        <w:rPr>
          <w:sz w:val="24"/>
        </w:rPr>
        <w:t>to</w:t>
      </w:r>
      <w:r>
        <w:rPr>
          <w:spacing w:val="-6"/>
          <w:sz w:val="24"/>
        </w:rPr>
        <w:t> </w:t>
      </w:r>
      <w:r>
        <w:rPr>
          <w:sz w:val="24"/>
        </w:rPr>
        <w:t>embarrassment</w:t>
      </w:r>
      <w:r>
        <w:rPr>
          <w:spacing w:val="-4"/>
          <w:sz w:val="24"/>
        </w:rPr>
        <w:t> </w:t>
      </w:r>
      <w:r>
        <w:rPr>
          <w:sz w:val="24"/>
        </w:rPr>
        <w:t>or </w:t>
      </w:r>
      <w:r>
        <w:rPr>
          <w:spacing w:val="-2"/>
          <w:sz w:val="24"/>
        </w:rPr>
        <w:t>disparagement;</w:t>
      </w:r>
    </w:p>
    <w:p>
      <w:pPr>
        <w:pStyle w:val="ListParagraph"/>
        <w:numPr>
          <w:ilvl w:val="1"/>
          <w:numId w:val="331"/>
        </w:numPr>
        <w:tabs>
          <w:tab w:pos="1662" w:val="left" w:leader="none"/>
        </w:tabs>
        <w:spacing w:line="208" w:lineRule="auto" w:before="240" w:after="0"/>
        <w:ind w:left="1224" w:right="1341" w:firstLine="0"/>
        <w:jc w:val="left"/>
        <w:rPr>
          <w:sz w:val="24"/>
        </w:rPr>
      </w:pPr>
      <w:r>
        <w:rPr>
          <w:sz w:val="24"/>
        </w:rPr>
        <w:t>shall</w:t>
      </w:r>
      <w:r>
        <w:rPr>
          <w:spacing w:val="-4"/>
          <w:sz w:val="24"/>
        </w:rPr>
        <w:t> </w:t>
      </w:r>
      <w:r>
        <w:rPr>
          <w:sz w:val="24"/>
        </w:rPr>
        <w:t>not</w:t>
      </w:r>
      <w:r>
        <w:rPr>
          <w:spacing w:val="-3"/>
          <w:sz w:val="24"/>
        </w:rPr>
        <w:t> </w:t>
      </w:r>
      <w:r>
        <w:rPr>
          <w:sz w:val="24"/>
        </w:rPr>
        <w:t>on</w:t>
      </w:r>
      <w:r>
        <w:rPr>
          <w:spacing w:val="-4"/>
          <w:sz w:val="24"/>
        </w:rPr>
        <w:t> </w:t>
      </w:r>
      <w:r>
        <w:rPr>
          <w:sz w:val="24"/>
        </w:rPr>
        <w:t>the</w:t>
      </w:r>
      <w:r>
        <w:rPr>
          <w:spacing w:val="-4"/>
          <w:sz w:val="24"/>
        </w:rPr>
        <w:t> </w:t>
      </w:r>
      <w:r>
        <w:rPr>
          <w:sz w:val="24"/>
        </w:rPr>
        <w:t>basis</w:t>
      </w:r>
      <w:r>
        <w:rPr>
          <w:spacing w:val="-4"/>
          <w:sz w:val="24"/>
        </w:rPr>
        <w:t> </w:t>
      </w:r>
      <w:r>
        <w:rPr>
          <w:sz w:val="24"/>
        </w:rPr>
        <w:t>of</w:t>
      </w:r>
      <w:r>
        <w:rPr>
          <w:spacing w:val="-3"/>
          <w:sz w:val="24"/>
        </w:rPr>
        <w:t> </w:t>
      </w:r>
      <w:r>
        <w:rPr>
          <w:sz w:val="24"/>
        </w:rPr>
        <w:t>race,</w:t>
      </w:r>
      <w:r>
        <w:rPr>
          <w:spacing w:val="-3"/>
          <w:sz w:val="24"/>
        </w:rPr>
        <w:t> </w:t>
      </w:r>
      <w:r>
        <w:rPr>
          <w:sz w:val="24"/>
        </w:rPr>
        <w:t>color,</w:t>
      </w:r>
      <w:r>
        <w:rPr>
          <w:spacing w:val="-3"/>
          <w:sz w:val="24"/>
        </w:rPr>
        <w:t> </w:t>
      </w:r>
      <w:r>
        <w:rPr>
          <w:sz w:val="24"/>
        </w:rPr>
        <w:t>creed,</w:t>
      </w:r>
      <w:r>
        <w:rPr>
          <w:spacing w:val="-3"/>
          <w:sz w:val="24"/>
        </w:rPr>
        <w:t> </w:t>
      </w:r>
      <w:r>
        <w:rPr>
          <w:sz w:val="24"/>
        </w:rPr>
        <w:t>sex,</w:t>
      </w:r>
      <w:r>
        <w:rPr>
          <w:spacing w:val="-3"/>
          <w:sz w:val="24"/>
        </w:rPr>
        <w:t> </w:t>
      </w:r>
      <w:r>
        <w:rPr>
          <w:sz w:val="24"/>
        </w:rPr>
        <w:t>national</w:t>
      </w:r>
      <w:r>
        <w:rPr>
          <w:spacing w:val="-4"/>
          <w:sz w:val="24"/>
        </w:rPr>
        <w:t> </w:t>
      </w:r>
      <w:r>
        <w:rPr>
          <w:sz w:val="24"/>
        </w:rPr>
        <w:t>origin,</w:t>
      </w:r>
      <w:r>
        <w:rPr>
          <w:spacing w:val="-3"/>
          <w:sz w:val="24"/>
        </w:rPr>
        <w:t> </w:t>
      </w:r>
      <w:r>
        <w:rPr>
          <w:sz w:val="24"/>
        </w:rPr>
        <w:t>marital status, disability, political or religious beliefs, family, social or cultural background, or sexual orientation, unfairly:</w:t>
      </w:r>
    </w:p>
    <w:p>
      <w:pPr>
        <w:pStyle w:val="ListParagraph"/>
        <w:numPr>
          <w:ilvl w:val="2"/>
          <w:numId w:val="331"/>
        </w:numPr>
        <w:tabs>
          <w:tab w:pos="2002" w:val="left" w:leader="none"/>
        </w:tabs>
        <w:spacing w:line="240" w:lineRule="auto" w:before="211" w:after="0"/>
        <w:ind w:left="2002" w:right="0" w:hanging="346"/>
        <w:jc w:val="left"/>
        <w:rPr>
          <w:sz w:val="24"/>
        </w:rPr>
      </w:pPr>
      <w:r>
        <w:rPr>
          <w:sz w:val="24"/>
        </w:rPr>
        <w:t>exclude</w:t>
      </w:r>
      <w:r>
        <w:rPr>
          <w:spacing w:val="-4"/>
          <w:sz w:val="24"/>
        </w:rPr>
        <w:t> </w:t>
      </w:r>
      <w:r>
        <w:rPr>
          <w:sz w:val="24"/>
        </w:rPr>
        <w:t>any</w:t>
      </w:r>
      <w:r>
        <w:rPr>
          <w:spacing w:val="-3"/>
          <w:sz w:val="24"/>
        </w:rPr>
        <w:t> </w:t>
      </w:r>
      <w:r>
        <w:rPr>
          <w:sz w:val="24"/>
        </w:rPr>
        <w:t>student</w:t>
      </w:r>
      <w:r>
        <w:rPr>
          <w:spacing w:val="-2"/>
          <w:sz w:val="24"/>
        </w:rPr>
        <w:t> </w:t>
      </w:r>
      <w:r>
        <w:rPr>
          <w:sz w:val="24"/>
        </w:rPr>
        <w:t>from</w:t>
      </w:r>
      <w:r>
        <w:rPr>
          <w:spacing w:val="-3"/>
          <w:sz w:val="24"/>
        </w:rPr>
        <w:t> </w:t>
      </w:r>
      <w:r>
        <w:rPr>
          <w:sz w:val="24"/>
        </w:rPr>
        <w:t>participation</w:t>
      </w:r>
      <w:r>
        <w:rPr>
          <w:spacing w:val="-3"/>
          <w:sz w:val="24"/>
        </w:rPr>
        <w:t> </w:t>
      </w:r>
      <w:r>
        <w:rPr>
          <w:sz w:val="24"/>
        </w:rPr>
        <w:t>in</w:t>
      </w:r>
      <w:r>
        <w:rPr>
          <w:spacing w:val="-2"/>
          <w:sz w:val="24"/>
        </w:rPr>
        <w:t> </w:t>
      </w:r>
      <w:r>
        <w:rPr>
          <w:sz w:val="24"/>
        </w:rPr>
        <w:t>any</w:t>
      </w:r>
      <w:r>
        <w:rPr>
          <w:spacing w:val="-3"/>
          <w:sz w:val="24"/>
        </w:rPr>
        <w:t> </w:t>
      </w:r>
      <w:r>
        <w:rPr>
          <w:spacing w:val="-2"/>
          <w:sz w:val="24"/>
        </w:rPr>
        <w:t>program;</w:t>
      </w:r>
    </w:p>
    <w:p>
      <w:pPr>
        <w:pStyle w:val="ListParagraph"/>
        <w:numPr>
          <w:ilvl w:val="2"/>
          <w:numId w:val="331"/>
        </w:numPr>
        <w:tabs>
          <w:tab w:pos="2054" w:val="left" w:leader="none"/>
        </w:tabs>
        <w:spacing w:line="240" w:lineRule="auto" w:before="204" w:after="0"/>
        <w:ind w:left="2054" w:right="0" w:hanging="398"/>
        <w:jc w:val="left"/>
        <w:rPr>
          <w:sz w:val="24"/>
        </w:rPr>
      </w:pPr>
      <w:r>
        <w:rPr>
          <w:sz w:val="24"/>
        </w:rPr>
        <w:t>deny</w:t>
      </w:r>
      <w:r>
        <w:rPr>
          <w:spacing w:val="-3"/>
          <w:sz w:val="24"/>
        </w:rPr>
        <w:t> </w:t>
      </w:r>
      <w:r>
        <w:rPr>
          <w:sz w:val="24"/>
        </w:rPr>
        <w:t>benefits</w:t>
      </w:r>
      <w:r>
        <w:rPr>
          <w:spacing w:val="-3"/>
          <w:sz w:val="24"/>
        </w:rPr>
        <w:t> </w:t>
      </w:r>
      <w:r>
        <w:rPr>
          <w:sz w:val="24"/>
        </w:rPr>
        <w:t>to</w:t>
      </w:r>
      <w:r>
        <w:rPr>
          <w:spacing w:val="-3"/>
          <w:sz w:val="24"/>
        </w:rPr>
        <w:t> </w:t>
      </w:r>
      <w:r>
        <w:rPr>
          <w:sz w:val="24"/>
        </w:rPr>
        <w:t>any</w:t>
      </w:r>
      <w:r>
        <w:rPr>
          <w:spacing w:val="-3"/>
          <w:sz w:val="24"/>
        </w:rPr>
        <w:t> </w:t>
      </w:r>
      <w:r>
        <w:rPr>
          <w:sz w:val="24"/>
        </w:rPr>
        <w:t>students;</w:t>
      </w:r>
      <w:r>
        <w:rPr>
          <w:spacing w:val="-2"/>
          <w:sz w:val="24"/>
        </w:rPr>
        <w:t> </w:t>
      </w:r>
      <w:r>
        <w:rPr>
          <w:spacing w:val="-5"/>
          <w:sz w:val="24"/>
        </w:rPr>
        <w:t>or</w:t>
      </w:r>
    </w:p>
    <w:p>
      <w:pPr>
        <w:pStyle w:val="ListParagraph"/>
        <w:numPr>
          <w:ilvl w:val="2"/>
          <w:numId w:val="331"/>
        </w:numPr>
        <w:tabs>
          <w:tab w:pos="2040" w:val="left" w:leader="none"/>
        </w:tabs>
        <w:spacing w:line="240" w:lineRule="auto" w:before="204" w:after="0"/>
        <w:ind w:left="2040" w:right="0" w:hanging="384"/>
        <w:jc w:val="left"/>
        <w:rPr>
          <w:sz w:val="24"/>
        </w:rPr>
      </w:pPr>
      <w:r>
        <w:rPr>
          <w:sz w:val="24"/>
        </w:rPr>
        <w:t>grant</w:t>
      </w:r>
      <w:r>
        <w:rPr>
          <w:spacing w:val="-2"/>
          <w:sz w:val="24"/>
        </w:rPr>
        <w:t> </w:t>
      </w:r>
      <w:r>
        <w:rPr>
          <w:sz w:val="24"/>
        </w:rPr>
        <w:t>any</w:t>
      </w:r>
      <w:r>
        <w:rPr>
          <w:spacing w:val="-3"/>
          <w:sz w:val="24"/>
        </w:rPr>
        <w:t> </w:t>
      </w:r>
      <w:r>
        <w:rPr>
          <w:sz w:val="24"/>
        </w:rPr>
        <w:t>advantage</w:t>
      </w:r>
      <w:r>
        <w:rPr>
          <w:spacing w:val="-2"/>
          <w:sz w:val="24"/>
        </w:rPr>
        <w:t> </w:t>
      </w:r>
      <w:r>
        <w:rPr>
          <w:sz w:val="24"/>
        </w:rPr>
        <w:t>to</w:t>
      </w:r>
      <w:r>
        <w:rPr>
          <w:spacing w:val="-3"/>
          <w:sz w:val="24"/>
        </w:rPr>
        <w:t> </w:t>
      </w:r>
      <w:r>
        <w:rPr>
          <w:sz w:val="24"/>
        </w:rPr>
        <w:t>any</w:t>
      </w:r>
      <w:r>
        <w:rPr>
          <w:spacing w:val="-2"/>
          <w:sz w:val="24"/>
        </w:rPr>
        <w:t> student;</w:t>
      </w:r>
    </w:p>
    <w:p>
      <w:pPr>
        <w:pStyle w:val="ListParagraph"/>
        <w:numPr>
          <w:ilvl w:val="1"/>
          <w:numId w:val="331"/>
        </w:numPr>
        <w:tabs>
          <w:tab w:pos="1703" w:val="left" w:leader="none"/>
        </w:tabs>
        <w:spacing w:line="208" w:lineRule="auto" w:before="233" w:after="0"/>
        <w:ind w:left="1224" w:right="754" w:firstLine="0"/>
        <w:jc w:val="left"/>
        <w:rPr>
          <w:sz w:val="24"/>
        </w:rPr>
      </w:pPr>
      <w:r>
        <w:rPr>
          <w:sz w:val="24"/>
        </w:rPr>
        <w:t>shall</w:t>
      </w:r>
      <w:r>
        <w:rPr>
          <w:spacing w:val="-4"/>
          <w:sz w:val="24"/>
        </w:rPr>
        <w:t> </w:t>
      </w:r>
      <w:r>
        <w:rPr>
          <w:sz w:val="24"/>
        </w:rPr>
        <w:t>not</w:t>
      </w:r>
      <w:r>
        <w:rPr>
          <w:spacing w:val="-3"/>
          <w:sz w:val="24"/>
        </w:rPr>
        <w:t> </w:t>
      </w:r>
      <w:r>
        <w:rPr>
          <w:sz w:val="24"/>
        </w:rPr>
        <w:t>use</w:t>
      </w:r>
      <w:r>
        <w:rPr>
          <w:spacing w:val="-4"/>
          <w:sz w:val="24"/>
        </w:rPr>
        <w:t> </w:t>
      </w:r>
      <w:r>
        <w:rPr>
          <w:sz w:val="24"/>
        </w:rPr>
        <w:t>professional</w:t>
      </w:r>
      <w:r>
        <w:rPr>
          <w:spacing w:val="-4"/>
          <w:sz w:val="24"/>
        </w:rPr>
        <w:t> </w:t>
      </w:r>
      <w:r>
        <w:rPr>
          <w:sz w:val="24"/>
        </w:rPr>
        <w:t>relationships</w:t>
      </w:r>
      <w:r>
        <w:rPr>
          <w:spacing w:val="-4"/>
          <w:sz w:val="24"/>
        </w:rPr>
        <w:t> </w:t>
      </w:r>
      <w:r>
        <w:rPr>
          <w:sz w:val="24"/>
        </w:rPr>
        <w:t>with</w:t>
      </w:r>
      <w:r>
        <w:rPr>
          <w:spacing w:val="-4"/>
          <w:sz w:val="24"/>
        </w:rPr>
        <w:t> </w:t>
      </w:r>
      <w:r>
        <w:rPr>
          <w:sz w:val="24"/>
        </w:rPr>
        <w:t>students</w:t>
      </w:r>
      <w:r>
        <w:rPr>
          <w:spacing w:val="-4"/>
          <w:sz w:val="24"/>
        </w:rPr>
        <w:t> </w:t>
      </w:r>
      <w:r>
        <w:rPr>
          <w:sz w:val="24"/>
        </w:rPr>
        <w:t>for</w:t>
      </w:r>
      <w:r>
        <w:rPr>
          <w:spacing w:val="-5"/>
          <w:sz w:val="24"/>
        </w:rPr>
        <w:t> </w:t>
      </w:r>
      <w:r>
        <w:rPr>
          <w:sz w:val="24"/>
        </w:rPr>
        <w:t>private</w:t>
      </w:r>
      <w:r>
        <w:rPr>
          <w:spacing w:val="-4"/>
          <w:sz w:val="24"/>
        </w:rPr>
        <w:t> </w:t>
      </w:r>
      <w:r>
        <w:rPr>
          <w:sz w:val="24"/>
        </w:rPr>
        <w:t>advantage; </w:t>
      </w:r>
      <w:r>
        <w:rPr>
          <w:spacing w:val="-4"/>
          <w:sz w:val="24"/>
        </w:rPr>
        <w:t>and</w:t>
      </w:r>
    </w:p>
    <w:p>
      <w:pPr>
        <w:pStyle w:val="ListParagraph"/>
        <w:numPr>
          <w:ilvl w:val="1"/>
          <w:numId w:val="331"/>
        </w:numPr>
        <w:tabs>
          <w:tab w:pos="1690" w:val="left" w:leader="none"/>
        </w:tabs>
        <w:spacing w:line="208" w:lineRule="auto" w:before="240" w:after="0"/>
        <w:ind w:left="1224" w:right="1329" w:firstLine="0"/>
        <w:jc w:val="left"/>
        <w:rPr>
          <w:sz w:val="24"/>
        </w:rPr>
      </w:pPr>
      <w:r>
        <w:rPr>
          <w:sz w:val="24"/>
        </w:rPr>
        <w:t>shall</w:t>
      </w:r>
      <w:r>
        <w:rPr>
          <w:spacing w:val="-4"/>
          <w:sz w:val="24"/>
        </w:rPr>
        <w:t> </w:t>
      </w:r>
      <w:r>
        <w:rPr>
          <w:sz w:val="24"/>
        </w:rPr>
        <w:t>not</w:t>
      </w:r>
      <w:r>
        <w:rPr>
          <w:spacing w:val="-3"/>
          <w:sz w:val="24"/>
        </w:rPr>
        <w:t> </w:t>
      </w:r>
      <w:r>
        <w:rPr>
          <w:sz w:val="24"/>
        </w:rPr>
        <w:t>disclose</w:t>
      </w:r>
      <w:r>
        <w:rPr>
          <w:spacing w:val="-4"/>
          <w:sz w:val="24"/>
        </w:rPr>
        <w:t> </w:t>
      </w:r>
      <w:r>
        <w:rPr>
          <w:sz w:val="24"/>
        </w:rPr>
        <w:t>information</w:t>
      </w:r>
      <w:r>
        <w:rPr>
          <w:spacing w:val="-4"/>
          <w:sz w:val="24"/>
        </w:rPr>
        <w:t> </w:t>
      </w:r>
      <w:r>
        <w:rPr>
          <w:sz w:val="24"/>
        </w:rPr>
        <w:t>about</w:t>
      </w:r>
      <w:r>
        <w:rPr>
          <w:spacing w:val="-3"/>
          <w:sz w:val="24"/>
        </w:rPr>
        <w:t> </w:t>
      </w:r>
      <w:r>
        <w:rPr>
          <w:sz w:val="24"/>
        </w:rPr>
        <w:t>students</w:t>
      </w:r>
      <w:r>
        <w:rPr>
          <w:spacing w:val="-4"/>
          <w:sz w:val="24"/>
        </w:rPr>
        <w:t> </w:t>
      </w:r>
      <w:r>
        <w:rPr>
          <w:sz w:val="24"/>
        </w:rPr>
        <w:t>obtained</w:t>
      </w:r>
      <w:r>
        <w:rPr>
          <w:spacing w:val="-4"/>
          <w:sz w:val="24"/>
        </w:rPr>
        <w:t> </w:t>
      </w:r>
      <w:r>
        <w:rPr>
          <w:sz w:val="24"/>
        </w:rPr>
        <w:t>in</w:t>
      </w:r>
      <w:r>
        <w:rPr>
          <w:spacing w:val="-4"/>
          <w:sz w:val="24"/>
        </w:rPr>
        <w:t> </w:t>
      </w:r>
      <w:r>
        <w:rPr>
          <w:sz w:val="24"/>
        </w:rPr>
        <w:t>the</w:t>
      </w:r>
      <w:r>
        <w:rPr>
          <w:spacing w:val="-4"/>
          <w:sz w:val="24"/>
        </w:rPr>
        <w:t> </w:t>
      </w:r>
      <w:r>
        <w:rPr>
          <w:sz w:val="24"/>
        </w:rPr>
        <w:t>course</w:t>
      </w:r>
      <w:r>
        <w:rPr>
          <w:spacing w:val="-4"/>
          <w:sz w:val="24"/>
        </w:rPr>
        <w:t> </w:t>
      </w:r>
      <w:r>
        <w:rPr>
          <w:sz w:val="24"/>
        </w:rPr>
        <w:t>of professional service, unless disclosure serves a compelling professional purpose and is permitted or required by law.</w:t>
      </w:r>
    </w:p>
    <w:p>
      <w:pPr>
        <w:pStyle w:val="ListParagraph"/>
        <w:numPr>
          <w:ilvl w:val="0"/>
          <w:numId w:val="331"/>
        </w:numPr>
        <w:tabs>
          <w:tab w:pos="1218" w:val="left" w:leader="none"/>
        </w:tabs>
        <w:spacing w:line="208" w:lineRule="auto" w:before="239" w:after="0"/>
        <w:ind w:left="792" w:right="761" w:firstLine="0"/>
        <w:jc w:val="left"/>
        <w:rPr>
          <w:sz w:val="24"/>
        </w:rPr>
      </w:pPr>
      <w:r>
        <w:rPr>
          <w:sz w:val="24"/>
        </w:rPr>
        <w:t>Principle II - commitment to the profession. The teaching profession is vested by the public with a trust and responsibility requiring the highest ideals of professional service. In order to assure that the quality of the services of the teaching</w:t>
      </w:r>
      <w:r>
        <w:rPr>
          <w:spacing w:val="-4"/>
          <w:sz w:val="24"/>
        </w:rPr>
        <w:t> </w:t>
      </w:r>
      <w:r>
        <w:rPr>
          <w:sz w:val="24"/>
        </w:rPr>
        <w:t>profession</w:t>
      </w:r>
      <w:r>
        <w:rPr>
          <w:spacing w:val="-4"/>
          <w:sz w:val="24"/>
        </w:rPr>
        <w:t> </w:t>
      </w:r>
      <w:r>
        <w:rPr>
          <w:sz w:val="24"/>
        </w:rPr>
        <w:t>meets</w:t>
      </w:r>
      <w:r>
        <w:rPr>
          <w:spacing w:val="-4"/>
          <w:sz w:val="24"/>
        </w:rPr>
        <w:t> </w:t>
      </w:r>
      <w:r>
        <w:rPr>
          <w:sz w:val="24"/>
        </w:rPr>
        <w:t>the</w:t>
      </w:r>
      <w:r>
        <w:rPr>
          <w:spacing w:val="-4"/>
          <w:sz w:val="24"/>
        </w:rPr>
        <w:t> </w:t>
      </w:r>
      <w:r>
        <w:rPr>
          <w:sz w:val="24"/>
        </w:rPr>
        <w:t>expectations</w:t>
      </w:r>
      <w:r>
        <w:rPr>
          <w:spacing w:val="-4"/>
          <w:sz w:val="24"/>
        </w:rPr>
        <w:t> </w:t>
      </w:r>
      <w:r>
        <w:rPr>
          <w:sz w:val="24"/>
        </w:rPr>
        <w:t>of</w:t>
      </w:r>
      <w:r>
        <w:rPr>
          <w:spacing w:val="-3"/>
          <w:sz w:val="24"/>
        </w:rPr>
        <w:t> </w:t>
      </w:r>
      <w:r>
        <w:rPr>
          <w:sz w:val="24"/>
        </w:rPr>
        <w:t>the</w:t>
      </w:r>
      <w:r>
        <w:rPr>
          <w:spacing w:val="-4"/>
          <w:sz w:val="24"/>
        </w:rPr>
        <w:t> </w:t>
      </w:r>
      <w:r>
        <w:rPr>
          <w:sz w:val="24"/>
        </w:rPr>
        <w:t>State</w:t>
      </w:r>
      <w:r>
        <w:rPr>
          <w:spacing w:val="-5"/>
          <w:sz w:val="24"/>
        </w:rPr>
        <w:t> </w:t>
      </w:r>
      <w:r>
        <w:rPr>
          <w:sz w:val="24"/>
        </w:rPr>
        <w:t>and</w:t>
      </w:r>
      <w:r>
        <w:rPr>
          <w:spacing w:val="-4"/>
          <w:sz w:val="24"/>
        </w:rPr>
        <w:t> </w:t>
      </w:r>
      <w:r>
        <w:rPr>
          <w:sz w:val="24"/>
        </w:rPr>
        <w:t>its</w:t>
      </w:r>
      <w:r>
        <w:rPr>
          <w:spacing w:val="-4"/>
          <w:sz w:val="24"/>
        </w:rPr>
        <w:t> </w:t>
      </w:r>
      <w:r>
        <w:rPr>
          <w:sz w:val="24"/>
        </w:rPr>
        <w:t>citizens,</w:t>
      </w:r>
      <w:r>
        <w:rPr>
          <w:spacing w:val="-3"/>
          <w:sz w:val="24"/>
        </w:rPr>
        <w:t> </w:t>
      </w:r>
      <w:r>
        <w:rPr>
          <w:sz w:val="24"/>
        </w:rPr>
        <w:t>the</w:t>
      </w:r>
      <w:r>
        <w:rPr>
          <w:spacing w:val="-4"/>
          <w:sz w:val="24"/>
        </w:rPr>
        <w:t> </w:t>
      </w:r>
      <w:r>
        <w:rPr>
          <w:sz w:val="24"/>
        </w:rPr>
        <w:t>teacher shall exert every effort to raise professional standards, fulfill professional responsibilities with honor and integrity, promote a climate that encourages the exercise of professional judgment, achieve conditions which attract persons worthy of the trust to careers in education, and assist in preventing the practice of the</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791" w:right="775"/>
      </w:pPr>
      <w:r>
        <w:rPr/>
        <w:t>profession</w:t>
      </w:r>
      <w:r>
        <w:rPr>
          <w:spacing w:val="-4"/>
        </w:rPr>
        <w:t> </w:t>
      </w:r>
      <w:r>
        <w:rPr/>
        <w:t>by</w:t>
      </w:r>
      <w:r>
        <w:rPr>
          <w:spacing w:val="-4"/>
        </w:rPr>
        <w:t> </w:t>
      </w:r>
      <w:r>
        <w:rPr/>
        <w:t>unqualified</w:t>
      </w:r>
      <w:r>
        <w:rPr>
          <w:spacing w:val="-4"/>
        </w:rPr>
        <w:t> </w:t>
      </w:r>
      <w:r>
        <w:rPr/>
        <w:t>persons.</w:t>
      </w:r>
      <w:r>
        <w:rPr>
          <w:spacing w:val="-3"/>
        </w:rPr>
        <w:t> </w:t>
      </w:r>
      <w:r>
        <w:rPr/>
        <w:t>In</w:t>
      </w:r>
      <w:r>
        <w:rPr>
          <w:spacing w:val="-5"/>
        </w:rPr>
        <w:t> </w:t>
      </w:r>
      <w:r>
        <w:rPr/>
        <w:t>fulfillment</w:t>
      </w:r>
      <w:r>
        <w:rPr>
          <w:spacing w:val="-3"/>
        </w:rPr>
        <w:t> </w:t>
      </w:r>
      <w:r>
        <w:rPr/>
        <w:t>of</w:t>
      </w:r>
      <w:r>
        <w:rPr>
          <w:spacing w:val="-5"/>
        </w:rPr>
        <w:t> </w:t>
      </w:r>
      <w:r>
        <w:rPr/>
        <w:t>the</w:t>
      </w:r>
      <w:r>
        <w:rPr>
          <w:spacing w:val="-4"/>
        </w:rPr>
        <w:t> </w:t>
      </w:r>
      <w:r>
        <w:rPr/>
        <w:t>obligation</w:t>
      </w:r>
      <w:r>
        <w:rPr>
          <w:spacing w:val="-4"/>
        </w:rPr>
        <w:t> </w:t>
      </w:r>
      <w:r>
        <w:rPr/>
        <w:t>to</w:t>
      </w:r>
      <w:r>
        <w:rPr>
          <w:spacing w:val="-4"/>
        </w:rPr>
        <w:t> </w:t>
      </w:r>
      <w:r>
        <w:rPr/>
        <w:t>the</w:t>
      </w:r>
      <w:r>
        <w:rPr>
          <w:spacing w:val="-4"/>
        </w:rPr>
        <w:t> </w:t>
      </w:r>
      <w:r>
        <w:rPr/>
        <w:t>profession, the educator:</w:t>
      </w:r>
    </w:p>
    <w:p>
      <w:pPr>
        <w:pStyle w:val="ListParagraph"/>
        <w:numPr>
          <w:ilvl w:val="1"/>
          <w:numId w:val="331"/>
        </w:numPr>
        <w:tabs>
          <w:tab w:pos="1677" w:val="left" w:leader="none"/>
        </w:tabs>
        <w:spacing w:line="208" w:lineRule="auto" w:before="240" w:after="0"/>
        <w:ind w:left="1224" w:right="1114" w:firstLine="0"/>
        <w:jc w:val="left"/>
        <w:rPr>
          <w:sz w:val="24"/>
        </w:rPr>
      </w:pPr>
      <w:r>
        <w:rPr>
          <w:sz w:val="24"/>
        </w:rPr>
        <w:t>shall</w:t>
      </w:r>
      <w:r>
        <w:rPr>
          <w:spacing w:val="-4"/>
          <w:sz w:val="24"/>
        </w:rPr>
        <w:t> </w:t>
      </w:r>
      <w:r>
        <w:rPr>
          <w:sz w:val="24"/>
        </w:rPr>
        <w:t>not</w:t>
      </w:r>
      <w:r>
        <w:rPr>
          <w:spacing w:val="-3"/>
          <w:sz w:val="24"/>
        </w:rPr>
        <w:t> </w:t>
      </w:r>
      <w:r>
        <w:rPr>
          <w:sz w:val="24"/>
        </w:rPr>
        <w:t>in</w:t>
      </w:r>
      <w:r>
        <w:rPr>
          <w:spacing w:val="-4"/>
          <w:sz w:val="24"/>
        </w:rPr>
        <w:t> </w:t>
      </w:r>
      <w:r>
        <w:rPr>
          <w:sz w:val="24"/>
        </w:rPr>
        <w:t>an</w:t>
      </w:r>
      <w:r>
        <w:rPr>
          <w:spacing w:val="-4"/>
          <w:sz w:val="24"/>
        </w:rPr>
        <w:t> </w:t>
      </w:r>
      <w:r>
        <w:rPr>
          <w:sz w:val="24"/>
        </w:rPr>
        <w:t>application</w:t>
      </w:r>
      <w:r>
        <w:rPr>
          <w:spacing w:val="-4"/>
          <w:sz w:val="24"/>
        </w:rPr>
        <w:t> </w:t>
      </w:r>
      <w:r>
        <w:rPr>
          <w:sz w:val="24"/>
        </w:rPr>
        <w:t>for</w:t>
      </w:r>
      <w:r>
        <w:rPr>
          <w:spacing w:val="-3"/>
          <w:sz w:val="24"/>
        </w:rPr>
        <w:t> </w:t>
      </w:r>
      <w:r>
        <w:rPr>
          <w:sz w:val="24"/>
        </w:rPr>
        <w:t>a</w:t>
      </w:r>
      <w:r>
        <w:rPr>
          <w:spacing w:val="-4"/>
          <w:sz w:val="24"/>
        </w:rPr>
        <w:t> </w:t>
      </w:r>
      <w:r>
        <w:rPr>
          <w:sz w:val="24"/>
        </w:rPr>
        <w:t>professional</w:t>
      </w:r>
      <w:r>
        <w:rPr>
          <w:spacing w:val="-4"/>
          <w:sz w:val="24"/>
        </w:rPr>
        <w:t> </w:t>
      </w:r>
      <w:r>
        <w:rPr>
          <w:sz w:val="24"/>
        </w:rPr>
        <w:t>position</w:t>
      </w:r>
      <w:r>
        <w:rPr>
          <w:spacing w:val="-4"/>
          <w:sz w:val="24"/>
        </w:rPr>
        <w:t> </w:t>
      </w:r>
      <w:r>
        <w:rPr>
          <w:sz w:val="24"/>
        </w:rPr>
        <w:t>deliberately</w:t>
      </w:r>
      <w:r>
        <w:rPr>
          <w:spacing w:val="-4"/>
          <w:sz w:val="24"/>
        </w:rPr>
        <w:t> </w:t>
      </w:r>
      <w:r>
        <w:rPr>
          <w:sz w:val="24"/>
        </w:rPr>
        <w:t>make</w:t>
      </w:r>
      <w:r>
        <w:rPr>
          <w:spacing w:val="-4"/>
          <w:sz w:val="24"/>
        </w:rPr>
        <w:t> </w:t>
      </w:r>
      <w:r>
        <w:rPr>
          <w:sz w:val="24"/>
        </w:rPr>
        <w:t>a false statement or fail to disclose a material fact related to competency and </w:t>
      </w:r>
      <w:r>
        <w:rPr>
          <w:spacing w:val="-2"/>
          <w:sz w:val="24"/>
        </w:rPr>
        <w:t>qualifications;</w:t>
      </w:r>
    </w:p>
    <w:p>
      <w:pPr>
        <w:pStyle w:val="ListParagraph"/>
        <w:numPr>
          <w:ilvl w:val="1"/>
          <w:numId w:val="331"/>
        </w:numPr>
        <w:tabs>
          <w:tab w:pos="1677" w:val="left" w:leader="none"/>
        </w:tabs>
        <w:spacing w:line="240" w:lineRule="auto" w:before="210" w:after="0"/>
        <w:ind w:left="1677" w:right="0" w:hanging="453"/>
        <w:jc w:val="left"/>
        <w:rPr>
          <w:sz w:val="24"/>
        </w:rPr>
      </w:pPr>
      <w:r>
        <w:rPr>
          <w:sz w:val="24"/>
        </w:rPr>
        <w:t>shall</w:t>
      </w:r>
      <w:r>
        <w:rPr>
          <w:spacing w:val="-5"/>
          <w:sz w:val="24"/>
        </w:rPr>
        <w:t> </w:t>
      </w:r>
      <w:r>
        <w:rPr>
          <w:sz w:val="24"/>
        </w:rPr>
        <w:t>not</w:t>
      </w:r>
      <w:r>
        <w:rPr>
          <w:spacing w:val="-4"/>
          <w:sz w:val="24"/>
        </w:rPr>
        <w:t> </w:t>
      </w:r>
      <w:r>
        <w:rPr>
          <w:sz w:val="24"/>
        </w:rPr>
        <w:t>misrepresent</w:t>
      </w:r>
      <w:r>
        <w:rPr>
          <w:spacing w:val="-3"/>
          <w:sz w:val="24"/>
        </w:rPr>
        <w:t> </w:t>
      </w:r>
      <w:r>
        <w:rPr>
          <w:sz w:val="24"/>
        </w:rPr>
        <w:t>his/her</w:t>
      </w:r>
      <w:r>
        <w:rPr>
          <w:spacing w:val="-4"/>
          <w:sz w:val="24"/>
        </w:rPr>
        <w:t> </w:t>
      </w:r>
      <w:r>
        <w:rPr>
          <w:sz w:val="24"/>
        </w:rPr>
        <w:t>professional</w:t>
      </w:r>
      <w:r>
        <w:rPr>
          <w:spacing w:val="-4"/>
          <w:sz w:val="24"/>
        </w:rPr>
        <w:t> </w:t>
      </w:r>
      <w:r>
        <w:rPr>
          <w:spacing w:val="-2"/>
          <w:sz w:val="24"/>
        </w:rPr>
        <w:t>qualifications;</w:t>
      </w:r>
    </w:p>
    <w:p>
      <w:pPr>
        <w:pStyle w:val="ListParagraph"/>
        <w:numPr>
          <w:ilvl w:val="1"/>
          <w:numId w:val="331"/>
        </w:numPr>
        <w:tabs>
          <w:tab w:pos="1689" w:val="left" w:leader="none"/>
        </w:tabs>
        <w:spacing w:line="208" w:lineRule="auto" w:before="233" w:after="0"/>
        <w:ind w:left="1223" w:right="1461" w:firstLine="0"/>
        <w:jc w:val="left"/>
        <w:rPr>
          <w:sz w:val="24"/>
        </w:rPr>
      </w:pPr>
      <w:r>
        <w:rPr>
          <w:sz w:val="24"/>
        </w:rPr>
        <w:t>shall</w:t>
      </w:r>
      <w:r>
        <w:rPr>
          <w:spacing w:val="-3"/>
          <w:sz w:val="24"/>
        </w:rPr>
        <w:t> </w:t>
      </w:r>
      <w:r>
        <w:rPr>
          <w:sz w:val="24"/>
        </w:rPr>
        <w:t>not</w:t>
      </w:r>
      <w:r>
        <w:rPr>
          <w:spacing w:val="-2"/>
          <w:sz w:val="24"/>
        </w:rPr>
        <w:t> </w:t>
      </w:r>
      <w:r>
        <w:rPr>
          <w:sz w:val="24"/>
        </w:rPr>
        <w:t>assist</w:t>
      </w:r>
      <w:r>
        <w:rPr>
          <w:spacing w:val="-2"/>
          <w:sz w:val="24"/>
        </w:rPr>
        <w:t> </w:t>
      </w:r>
      <w:r>
        <w:rPr>
          <w:sz w:val="24"/>
        </w:rPr>
        <w:t>any</w:t>
      </w:r>
      <w:r>
        <w:rPr>
          <w:spacing w:val="-3"/>
          <w:sz w:val="24"/>
        </w:rPr>
        <w:t> </w:t>
      </w:r>
      <w:r>
        <w:rPr>
          <w:sz w:val="24"/>
        </w:rPr>
        <w:t>entry</w:t>
      </w:r>
      <w:r>
        <w:rPr>
          <w:spacing w:val="-3"/>
          <w:sz w:val="24"/>
        </w:rPr>
        <w:t> </w:t>
      </w:r>
      <w:r>
        <w:rPr>
          <w:sz w:val="24"/>
        </w:rPr>
        <w:t>into</w:t>
      </w:r>
      <w:r>
        <w:rPr>
          <w:spacing w:val="-4"/>
          <w:sz w:val="24"/>
        </w:rPr>
        <w:t> </w:t>
      </w:r>
      <w:r>
        <w:rPr>
          <w:sz w:val="24"/>
        </w:rPr>
        <w:t>the</w:t>
      </w:r>
      <w:r>
        <w:rPr>
          <w:spacing w:val="-3"/>
          <w:sz w:val="24"/>
        </w:rPr>
        <w:t> </w:t>
      </w:r>
      <w:r>
        <w:rPr>
          <w:sz w:val="24"/>
        </w:rPr>
        <w:t>profession</w:t>
      </w:r>
      <w:r>
        <w:rPr>
          <w:spacing w:val="-3"/>
          <w:sz w:val="24"/>
        </w:rPr>
        <w:t> </w:t>
      </w:r>
      <w:r>
        <w:rPr>
          <w:sz w:val="24"/>
        </w:rPr>
        <w:t>of</w:t>
      </w:r>
      <w:r>
        <w:rPr>
          <w:spacing w:val="-2"/>
          <w:sz w:val="24"/>
        </w:rPr>
        <w:t> </w:t>
      </w:r>
      <w:r>
        <w:rPr>
          <w:sz w:val="24"/>
        </w:rPr>
        <w:t>a</w:t>
      </w:r>
      <w:r>
        <w:rPr>
          <w:spacing w:val="-3"/>
          <w:sz w:val="24"/>
        </w:rPr>
        <w:t> </w:t>
      </w:r>
      <w:r>
        <w:rPr>
          <w:sz w:val="24"/>
        </w:rPr>
        <w:t>person</w:t>
      </w:r>
      <w:r>
        <w:rPr>
          <w:spacing w:val="-3"/>
          <w:sz w:val="24"/>
        </w:rPr>
        <w:t> </w:t>
      </w:r>
      <w:r>
        <w:rPr>
          <w:sz w:val="24"/>
        </w:rPr>
        <w:t>known</w:t>
      </w:r>
      <w:r>
        <w:rPr>
          <w:spacing w:val="-3"/>
          <w:sz w:val="24"/>
        </w:rPr>
        <w:t> </w:t>
      </w:r>
      <w:r>
        <w:rPr>
          <w:sz w:val="24"/>
        </w:rPr>
        <w:t>to</w:t>
      </w:r>
      <w:r>
        <w:rPr>
          <w:spacing w:val="-3"/>
          <w:sz w:val="24"/>
        </w:rPr>
        <w:t> </w:t>
      </w:r>
      <w:r>
        <w:rPr>
          <w:sz w:val="24"/>
        </w:rPr>
        <w:t>be unqualified in respect to character, education, or other relevant attribute;</w:t>
      </w:r>
    </w:p>
    <w:p>
      <w:pPr>
        <w:pStyle w:val="ListParagraph"/>
        <w:numPr>
          <w:ilvl w:val="1"/>
          <w:numId w:val="331"/>
        </w:numPr>
        <w:tabs>
          <w:tab w:pos="1689" w:val="left" w:leader="none"/>
        </w:tabs>
        <w:spacing w:line="208" w:lineRule="auto" w:before="240" w:after="0"/>
        <w:ind w:left="1223" w:right="821" w:firstLine="0"/>
        <w:jc w:val="left"/>
        <w:rPr>
          <w:sz w:val="24"/>
        </w:rPr>
      </w:pPr>
      <w:r>
        <w:rPr>
          <w:sz w:val="24"/>
        </w:rPr>
        <w:t>shall</w:t>
      </w:r>
      <w:r>
        <w:rPr>
          <w:spacing w:val="-4"/>
          <w:sz w:val="24"/>
        </w:rPr>
        <w:t> </w:t>
      </w:r>
      <w:r>
        <w:rPr>
          <w:sz w:val="24"/>
        </w:rPr>
        <w:t>not</w:t>
      </w:r>
      <w:r>
        <w:rPr>
          <w:spacing w:val="-3"/>
          <w:sz w:val="24"/>
        </w:rPr>
        <w:t> </w:t>
      </w:r>
      <w:r>
        <w:rPr>
          <w:sz w:val="24"/>
        </w:rPr>
        <w:t>knowingly</w:t>
      </w:r>
      <w:r>
        <w:rPr>
          <w:spacing w:val="-4"/>
          <w:sz w:val="24"/>
        </w:rPr>
        <w:t> </w:t>
      </w:r>
      <w:r>
        <w:rPr>
          <w:sz w:val="24"/>
        </w:rPr>
        <w:t>make</w:t>
      </w:r>
      <w:r>
        <w:rPr>
          <w:spacing w:val="-4"/>
          <w:sz w:val="24"/>
        </w:rPr>
        <w:t> </w:t>
      </w:r>
      <w:r>
        <w:rPr>
          <w:sz w:val="24"/>
        </w:rPr>
        <w:t>a</w:t>
      </w:r>
      <w:r>
        <w:rPr>
          <w:spacing w:val="-4"/>
          <w:sz w:val="24"/>
        </w:rPr>
        <w:t> </w:t>
      </w:r>
      <w:r>
        <w:rPr>
          <w:sz w:val="24"/>
        </w:rPr>
        <w:t>false</w:t>
      </w:r>
      <w:r>
        <w:rPr>
          <w:spacing w:val="-4"/>
          <w:sz w:val="24"/>
        </w:rPr>
        <w:t> </w:t>
      </w:r>
      <w:r>
        <w:rPr>
          <w:sz w:val="24"/>
        </w:rPr>
        <w:t>statement</w:t>
      </w:r>
      <w:r>
        <w:rPr>
          <w:spacing w:val="-3"/>
          <w:sz w:val="24"/>
        </w:rPr>
        <w:t> </w:t>
      </w:r>
      <w:r>
        <w:rPr>
          <w:sz w:val="24"/>
        </w:rPr>
        <w:t>concerning</w:t>
      </w:r>
      <w:r>
        <w:rPr>
          <w:spacing w:val="-4"/>
          <w:sz w:val="24"/>
        </w:rPr>
        <w:t> </w:t>
      </w:r>
      <w:r>
        <w:rPr>
          <w:sz w:val="24"/>
        </w:rPr>
        <w:t>the</w:t>
      </w:r>
      <w:r>
        <w:rPr>
          <w:spacing w:val="-4"/>
          <w:sz w:val="24"/>
        </w:rPr>
        <w:t> </w:t>
      </w:r>
      <w:r>
        <w:rPr>
          <w:sz w:val="24"/>
        </w:rPr>
        <w:t>qualifications</w:t>
      </w:r>
      <w:r>
        <w:rPr>
          <w:spacing w:val="-4"/>
          <w:sz w:val="24"/>
        </w:rPr>
        <w:t> </w:t>
      </w:r>
      <w:r>
        <w:rPr>
          <w:sz w:val="24"/>
        </w:rPr>
        <w:t>of a candidate for a professional position;</w:t>
      </w:r>
    </w:p>
    <w:p>
      <w:pPr>
        <w:pStyle w:val="ListParagraph"/>
        <w:numPr>
          <w:ilvl w:val="1"/>
          <w:numId w:val="331"/>
        </w:numPr>
        <w:tabs>
          <w:tab w:pos="1676" w:val="left" w:leader="none"/>
        </w:tabs>
        <w:spacing w:line="208" w:lineRule="auto" w:before="240" w:after="0"/>
        <w:ind w:left="1223" w:right="1541" w:firstLine="0"/>
        <w:jc w:val="left"/>
        <w:rPr>
          <w:sz w:val="24"/>
        </w:rPr>
      </w:pPr>
      <w:r>
        <w:rPr>
          <w:sz w:val="24"/>
        </w:rPr>
        <w:t>shall</w:t>
      </w:r>
      <w:r>
        <w:rPr>
          <w:spacing w:val="-4"/>
          <w:sz w:val="24"/>
        </w:rPr>
        <w:t> </w:t>
      </w:r>
      <w:r>
        <w:rPr>
          <w:sz w:val="24"/>
        </w:rPr>
        <w:t>not</w:t>
      </w:r>
      <w:r>
        <w:rPr>
          <w:spacing w:val="-3"/>
          <w:sz w:val="24"/>
        </w:rPr>
        <w:t> </w:t>
      </w:r>
      <w:r>
        <w:rPr>
          <w:sz w:val="24"/>
        </w:rPr>
        <w:t>assist</w:t>
      </w:r>
      <w:r>
        <w:rPr>
          <w:spacing w:val="-3"/>
          <w:sz w:val="24"/>
        </w:rPr>
        <w:t> </w:t>
      </w:r>
      <w:r>
        <w:rPr>
          <w:sz w:val="24"/>
        </w:rPr>
        <w:t>an</w:t>
      </w:r>
      <w:r>
        <w:rPr>
          <w:spacing w:val="-4"/>
          <w:sz w:val="24"/>
        </w:rPr>
        <w:t> </w:t>
      </w:r>
      <w:r>
        <w:rPr>
          <w:sz w:val="24"/>
        </w:rPr>
        <w:t>unqualified</w:t>
      </w:r>
      <w:r>
        <w:rPr>
          <w:spacing w:val="-3"/>
          <w:sz w:val="24"/>
        </w:rPr>
        <w:t> </w:t>
      </w:r>
      <w:r>
        <w:rPr>
          <w:sz w:val="24"/>
        </w:rPr>
        <w:t>person</w:t>
      </w:r>
      <w:r>
        <w:rPr>
          <w:spacing w:val="-4"/>
          <w:sz w:val="24"/>
        </w:rPr>
        <w:t> </w:t>
      </w:r>
      <w:r>
        <w:rPr>
          <w:sz w:val="24"/>
        </w:rPr>
        <w:t>in</w:t>
      </w:r>
      <w:r>
        <w:rPr>
          <w:spacing w:val="-4"/>
          <w:sz w:val="24"/>
        </w:rPr>
        <w:t> </w:t>
      </w:r>
      <w:r>
        <w:rPr>
          <w:sz w:val="24"/>
        </w:rPr>
        <w:t>unauthorized</w:t>
      </w:r>
      <w:r>
        <w:rPr>
          <w:spacing w:val="-4"/>
          <w:sz w:val="24"/>
        </w:rPr>
        <w:t> </w:t>
      </w:r>
      <w:r>
        <w:rPr>
          <w:sz w:val="24"/>
        </w:rPr>
        <w:t>practice</w:t>
      </w:r>
      <w:r>
        <w:rPr>
          <w:spacing w:val="-4"/>
          <w:sz w:val="24"/>
        </w:rPr>
        <w:t> </w:t>
      </w:r>
      <w:r>
        <w:rPr>
          <w:sz w:val="24"/>
        </w:rPr>
        <w:t>of</w:t>
      </w:r>
      <w:r>
        <w:rPr>
          <w:spacing w:val="-5"/>
          <w:sz w:val="24"/>
        </w:rPr>
        <w:t> </w:t>
      </w:r>
      <w:r>
        <w:rPr>
          <w:sz w:val="24"/>
        </w:rPr>
        <w:t>the </w:t>
      </w:r>
      <w:r>
        <w:rPr>
          <w:spacing w:val="-2"/>
          <w:sz w:val="24"/>
        </w:rPr>
        <w:t>profession;</w:t>
      </w:r>
    </w:p>
    <w:p>
      <w:pPr>
        <w:pStyle w:val="ListParagraph"/>
        <w:numPr>
          <w:ilvl w:val="1"/>
          <w:numId w:val="331"/>
        </w:numPr>
        <w:tabs>
          <w:tab w:pos="1662" w:val="left" w:leader="none"/>
        </w:tabs>
        <w:spacing w:line="208" w:lineRule="auto" w:before="240" w:after="0"/>
        <w:ind w:left="1224" w:right="1116" w:firstLine="0"/>
        <w:jc w:val="left"/>
        <w:rPr>
          <w:sz w:val="24"/>
        </w:rPr>
      </w:pPr>
      <w:r>
        <w:rPr>
          <w:sz w:val="24"/>
        </w:rPr>
        <w:t>shall</w:t>
      </w:r>
      <w:r>
        <w:rPr>
          <w:spacing w:val="-4"/>
          <w:sz w:val="24"/>
        </w:rPr>
        <w:t> </w:t>
      </w:r>
      <w:r>
        <w:rPr>
          <w:sz w:val="24"/>
        </w:rPr>
        <w:t>not</w:t>
      </w:r>
      <w:r>
        <w:rPr>
          <w:spacing w:val="-3"/>
          <w:sz w:val="24"/>
        </w:rPr>
        <w:t> </w:t>
      </w:r>
      <w:r>
        <w:rPr>
          <w:sz w:val="24"/>
        </w:rPr>
        <w:t>disclose</w:t>
      </w:r>
      <w:r>
        <w:rPr>
          <w:spacing w:val="-4"/>
          <w:sz w:val="24"/>
        </w:rPr>
        <w:t> </w:t>
      </w:r>
      <w:r>
        <w:rPr>
          <w:sz w:val="24"/>
        </w:rPr>
        <w:t>information</w:t>
      </w:r>
      <w:r>
        <w:rPr>
          <w:spacing w:val="-4"/>
          <w:sz w:val="24"/>
        </w:rPr>
        <w:t> </w:t>
      </w:r>
      <w:r>
        <w:rPr>
          <w:sz w:val="24"/>
        </w:rPr>
        <w:t>about</w:t>
      </w:r>
      <w:r>
        <w:rPr>
          <w:spacing w:val="-3"/>
          <w:sz w:val="24"/>
        </w:rPr>
        <w:t> </w:t>
      </w:r>
      <w:r>
        <w:rPr>
          <w:sz w:val="24"/>
        </w:rPr>
        <w:t>colleagues</w:t>
      </w:r>
      <w:r>
        <w:rPr>
          <w:spacing w:val="-4"/>
          <w:sz w:val="24"/>
        </w:rPr>
        <w:t> </w:t>
      </w:r>
      <w:r>
        <w:rPr>
          <w:sz w:val="24"/>
        </w:rPr>
        <w:t>obtained</w:t>
      </w:r>
      <w:r>
        <w:rPr>
          <w:spacing w:val="-4"/>
          <w:sz w:val="24"/>
        </w:rPr>
        <w:t> </w:t>
      </w:r>
      <w:r>
        <w:rPr>
          <w:sz w:val="24"/>
        </w:rPr>
        <w:t>in</w:t>
      </w:r>
      <w:r>
        <w:rPr>
          <w:spacing w:val="-4"/>
          <w:sz w:val="24"/>
        </w:rPr>
        <w:t> </w:t>
      </w:r>
      <w:r>
        <w:rPr>
          <w:sz w:val="24"/>
        </w:rPr>
        <w:t>the</w:t>
      </w:r>
      <w:r>
        <w:rPr>
          <w:spacing w:val="-4"/>
          <w:sz w:val="24"/>
        </w:rPr>
        <w:t> </w:t>
      </w:r>
      <w:r>
        <w:rPr>
          <w:sz w:val="24"/>
        </w:rPr>
        <w:t>course</w:t>
      </w:r>
      <w:r>
        <w:rPr>
          <w:spacing w:val="-4"/>
          <w:sz w:val="24"/>
        </w:rPr>
        <w:t> </w:t>
      </w:r>
      <w:r>
        <w:rPr>
          <w:sz w:val="24"/>
        </w:rPr>
        <w:t>of professional service unless disclosure serves a compelling professional purpose or is required by law;</w:t>
      </w:r>
    </w:p>
    <w:p>
      <w:pPr>
        <w:pStyle w:val="ListParagraph"/>
        <w:numPr>
          <w:ilvl w:val="1"/>
          <w:numId w:val="331"/>
        </w:numPr>
        <w:tabs>
          <w:tab w:pos="1702" w:val="left" w:leader="none"/>
        </w:tabs>
        <w:spacing w:line="208" w:lineRule="auto" w:before="239" w:after="0"/>
        <w:ind w:left="1223" w:right="876" w:firstLine="0"/>
        <w:jc w:val="left"/>
        <w:rPr>
          <w:sz w:val="24"/>
        </w:rPr>
      </w:pPr>
      <w:r>
        <w:rPr>
          <w:sz w:val="24"/>
        </w:rPr>
        <w:t>shall</w:t>
      </w:r>
      <w:r>
        <w:rPr>
          <w:spacing w:val="-4"/>
          <w:sz w:val="24"/>
        </w:rPr>
        <w:t> </w:t>
      </w:r>
      <w:r>
        <w:rPr>
          <w:sz w:val="24"/>
        </w:rPr>
        <w:t>not</w:t>
      </w:r>
      <w:r>
        <w:rPr>
          <w:spacing w:val="-3"/>
          <w:sz w:val="24"/>
        </w:rPr>
        <w:t> </w:t>
      </w:r>
      <w:r>
        <w:rPr>
          <w:sz w:val="24"/>
        </w:rPr>
        <w:t>knowingly</w:t>
      </w:r>
      <w:r>
        <w:rPr>
          <w:spacing w:val="-4"/>
          <w:sz w:val="24"/>
        </w:rPr>
        <w:t> </w:t>
      </w:r>
      <w:r>
        <w:rPr>
          <w:sz w:val="24"/>
        </w:rPr>
        <w:t>make</w:t>
      </w:r>
      <w:r>
        <w:rPr>
          <w:spacing w:val="-4"/>
          <w:sz w:val="24"/>
        </w:rPr>
        <w:t> </w:t>
      </w:r>
      <w:r>
        <w:rPr>
          <w:sz w:val="24"/>
        </w:rPr>
        <w:t>false</w:t>
      </w:r>
      <w:r>
        <w:rPr>
          <w:spacing w:val="-4"/>
          <w:sz w:val="24"/>
        </w:rPr>
        <w:t> </w:t>
      </w:r>
      <w:r>
        <w:rPr>
          <w:sz w:val="24"/>
        </w:rPr>
        <w:t>or</w:t>
      </w:r>
      <w:r>
        <w:rPr>
          <w:spacing w:val="-3"/>
          <w:sz w:val="24"/>
        </w:rPr>
        <w:t> </w:t>
      </w:r>
      <w:r>
        <w:rPr>
          <w:sz w:val="24"/>
        </w:rPr>
        <w:t>malicious</w:t>
      </w:r>
      <w:r>
        <w:rPr>
          <w:spacing w:val="-4"/>
          <w:sz w:val="24"/>
        </w:rPr>
        <w:t> </w:t>
      </w:r>
      <w:r>
        <w:rPr>
          <w:sz w:val="24"/>
        </w:rPr>
        <w:t>statements</w:t>
      </w:r>
      <w:r>
        <w:rPr>
          <w:spacing w:val="-4"/>
          <w:sz w:val="24"/>
        </w:rPr>
        <w:t> </w:t>
      </w:r>
      <w:r>
        <w:rPr>
          <w:sz w:val="24"/>
        </w:rPr>
        <w:t>about</w:t>
      </w:r>
      <w:r>
        <w:rPr>
          <w:spacing w:val="-3"/>
          <w:sz w:val="24"/>
        </w:rPr>
        <w:t> </w:t>
      </w:r>
      <w:r>
        <w:rPr>
          <w:sz w:val="24"/>
        </w:rPr>
        <w:t>a</w:t>
      </w:r>
      <w:r>
        <w:rPr>
          <w:spacing w:val="-4"/>
          <w:sz w:val="24"/>
        </w:rPr>
        <w:t> </w:t>
      </w:r>
      <w:r>
        <w:rPr>
          <w:sz w:val="24"/>
        </w:rPr>
        <w:t>colleague; </w:t>
      </w:r>
      <w:r>
        <w:rPr>
          <w:spacing w:val="-4"/>
          <w:sz w:val="24"/>
        </w:rPr>
        <w:t>and</w:t>
      </w:r>
    </w:p>
    <w:p>
      <w:pPr>
        <w:pStyle w:val="ListParagraph"/>
        <w:numPr>
          <w:ilvl w:val="1"/>
          <w:numId w:val="331"/>
        </w:numPr>
        <w:tabs>
          <w:tab w:pos="1689" w:val="left" w:leader="none"/>
        </w:tabs>
        <w:spacing w:line="208" w:lineRule="auto" w:before="240" w:after="0"/>
        <w:ind w:left="1223" w:right="1237" w:firstLine="0"/>
        <w:jc w:val="left"/>
        <w:rPr>
          <w:sz w:val="24"/>
        </w:rPr>
      </w:pPr>
      <w:r>
        <w:rPr>
          <w:sz w:val="24"/>
        </w:rPr>
        <w:t>shall</w:t>
      </w:r>
      <w:r>
        <w:rPr>
          <w:spacing w:val="-4"/>
          <w:sz w:val="24"/>
        </w:rPr>
        <w:t> </w:t>
      </w:r>
      <w:r>
        <w:rPr>
          <w:sz w:val="24"/>
        </w:rPr>
        <w:t>not</w:t>
      </w:r>
      <w:r>
        <w:rPr>
          <w:spacing w:val="-3"/>
          <w:sz w:val="24"/>
        </w:rPr>
        <w:t> </w:t>
      </w:r>
      <w:r>
        <w:rPr>
          <w:sz w:val="24"/>
        </w:rPr>
        <w:t>accept</w:t>
      </w:r>
      <w:r>
        <w:rPr>
          <w:spacing w:val="-3"/>
          <w:sz w:val="24"/>
        </w:rPr>
        <w:t> </w:t>
      </w:r>
      <w:r>
        <w:rPr>
          <w:sz w:val="24"/>
        </w:rPr>
        <w:t>any</w:t>
      </w:r>
      <w:r>
        <w:rPr>
          <w:spacing w:val="-4"/>
          <w:sz w:val="24"/>
        </w:rPr>
        <w:t> </w:t>
      </w:r>
      <w:r>
        <w:rPr>
          <w:sz w:val="24"/>
        </w:rPr>
        <w:t>gratuity,</w:t>
      </w:r>
      <w:r>
        <w:rPr>
          <w:spacing w:val="-4"/>
          <w:sz w:val="24"/>
        </w:rPr>
        <w:t> </w:t>
      </w:r>
      <w:r>
        <w:rPr>
          <w:sz w:val="24"/>
        </w:rPr>
        <w:t>gift</w:t>
      </w:r>
      <w:r>
        <w:rPr>
          <w:spacing w:val="-3"/>
          <w:sz w:val="24"/>
        </w:rPr>
        <w:t> </w:t>
      </w:r>
      <w:r>
        <w:rPr>
          <w:sz w:val="24"/>
        </w:rPr>
        <w:t>or</w:t>
      </w:r>
      <w:r>
        <w:rPr>
          <w:spacing w:val="-4"/>
          <w:sz w:val="24"/>
        </w:rPr>
        <w:t> </w:t>
      </w:r>
      <w:r>
        <w:rPr>
          <w:sz w:val="24"/>
        </w:rPr>
        <w:t>favor</w:t>
      </w:r>
      <w:r>
        <w:rPr>
          <w:spacing w:val="-3"/>
          <w:sz w:val="24"/>
        </w:rPr>
        <w:t> </w:t>
      </w:r>
      <w:r>
        <w:rPr>
          <w:sz w:val="24"/>
        </w:rPr>
        <w:t>that</w:t>
      </w:r>
      <w:r>
        <w:rPr>
          <w:spacing w:val="-4"/>
          <w:sz w:val="24"/>
        </w:rPr>
        <w:t> </w:t>
      </w:r>
      <w:r>
        <w:rPr>
          <w:sz w:val="24"/>
        </w:rPr>
        <w:t>might</w:t>
      </w:r>
      <w:r>
        <w:rPr>
          <w:spacing w:val="-4"/>
          <w:sz w:val="24"/>
        </w:rPr>
        <w:t> </w:t>
      </w:r>
      <w:r>
        <w:rPr>
          <w:sz w:val="24"/>
        </w:rPr>
        <w:t>impair</w:t>
      </w:r>
      <w:r>
        <w:rPr>
          <w:spacing w:val="-3"/>
          <w:sz w:val="24"/>
        </w:rPr>
        <w:t> </w:t>
      </w:r>
      <w:r>
        <w:rPr>
          <w:sz w:val="24"/>
        </w:rPr>
        <w:t>or</w:t>
      </w:r>
      <w:r>
        <w:rPr>
          <w:spacing w:val="-3"/>
          <w:sz w:val="24"/>
        </w:rPr>
        <w:t> </w:t>
      </w:r>
      <w:r>
        <w:rPr>
          <w:sz w:val="24"/>
        </w:rPr>
        <w:t>appear</w:t>
      </w:r>
      <w:r>
        <w:rPr>
          <w:spacing w:val="-3"/>
          <w:sz w:val="24"/>
        </w:rPr>
        <w:t> </w:t>
      </w:r>
      <w:r>
        <w:rPr>
          <w:sz w:val="24"/>
        </w:rPr>
        <w:t>to influence professional decisions or actions.</w:t>
      </w:r>
    </w:p>
    <w:p>
      <w:pPr>
        <w:pStyle w:val="ListParagraph"/>
        <w:numPr>
          <w:ilvl w:val="0"/>
          <w:numId w:val="331"/>
        </w:numPr>
        <w:tabs>
          <w:tab w:pos="1218" w:val="left" w:leader="none"/>
        </w:tabs>
        <w:spacing w:line="240" w:lineRule="auto" w:before="211" w:after="0"/>
        <w:ind w:left="1218" w:right="0" w:hanging="426"/>
        <w:jc w:val="left"/>
        <w:rPr>
          <w:sz w:val="24"/>
        </w:rPr>
      </w:pPr>
      <w:r>
        <w:rPr>
          <w:sz w:val="24"/>
        </w:rPr>
        <w:t>Principle</w:t>
      </w:r>
      <w:r>
        <w:rPr>
          <w:spacing w:val="-8"/>
          <w:sz w:val="24"/>
        </w:rPr>
        <w:t> </w:t>
      </w:r>
      <w:r>
        <w:rPr>
          <w:spacing w:val="-4"/>
          <w:sz w:val="24"/>
        </w:rPr>
        <w:t>III.</w:t>
      </w:r>
    </w:p>
    <w:p>
      <w:pPr>
        <w:pStyle w:val="ListParagraph"/>
        <w:numPr>
          <w:ilvl w:val="1"/>
          <w:numId w:val="331"/>
        </w:numPr>
        <w:tabs>
          <w:tab w:pos="1677" w:val="left" w:leader="none"/>
        </w:tabs>
        <w:spacing w:line="240" w:lineRule="auto" w:before="204" w:after="0"/>
        <w:ind w:left="1677" w:right="0" w:hanging="453"/>
        <w:jc w:val="left"/>
        <w:rPr>
          <w:sz w:val="24"/>
        </w:rPr>
      </w:pPr>
      <w:r>
        <w:rPr>
          <w:sz w:val="24"/>
        </w:rPr>
        <w:t>A</w:t>
      </w:r>
      <w:r>
        <w:rPr>
          <w:spacing w:val="-3"/>
          <w:sz w:val="24"/>
        </w:rPr>
        <w:t> </w:t>
      </w:r>
      <w:r>
        <w:rPr>
          <w:sz w:val="24"/>
        </w:rPr>
        <w:t>career</w:t>
      </w:r>
      <w:r>
        <w:rPr>
          <w:spacing w:val="-2"/>
          <w:sz w:val="24"/>
        </w:rPr>
        <w:t> </w:t>
      </w:r>
      <w:r>
        <w:rPr>
          <w:sz w:val="24"/>
        </w:rPr>
        <w:t>teacher</w:t>
      </w:r>
      <w:r>
        <w:rPr>
          <w:spacing w:val="-3"/>
          <w:sz w:val="24"/>
        </w:rPr>
        <w:t> </w:t>
      </w:r>
      <w:r>
        <w:rPr>
          <w:sz w:val="24"/>
        </w:rPr>
        <w:t>may</w:t>
      </w:r>
      <w:r>
        <w:rPr>
          <w:spacing w:val="-3"/>
          <w:sz w:val="24"/>
        </w:rPr>
        <w:t> </w:t>
      </w:r>
      <w:r>
        <w:rPr>
          <w:sz w:val="24"/>
        </w:rPr>
        <w:t>be</w:t>
      </w:r>
      <w:r>
        <w:rPr>
          <w:spacing w:val="-3"/>
          <w:sz w:val="24"/>
        </w:rPr>
        <w:t> </w:t>
      </w:r>
      <w:r>
        <w:rPr>
          <w:sz w:val="24"/>
        </w:rPr>
        <w:t>dismissed</w:t>
      </w:r>
      <w:r>
        <w:rPr>
          <w:spacing w:val="-2"/>
          <w:sz w:val="24"/>
        </w:rPr>
        <w:t> </w:t>
      </w:r>
      <w:r>
        <w:rPr>
          <w:sz w:val="24"/>
        </w:rPr>
        <w:t>or</w:t>
      </w:r>
      <w:r>
        <w:rPr>
          <w:spacing w:val="-4"/>
          <w:sz w:val="24"/>
        </w:rPr>
        <w:t> </w:t>
      </w:r>
      <w:r>
        <w:rPr>
          <w:sz w:val="24"/>
        </w:rPr>
        <w:t>not</w:t>
      </w:r>
      <w:r>
        <w:rPr>
          <w:spacing w:val="-2"/>
          <w:sz w:val="24"/>
        </w:rPr>
        <w:t> </w:t>
      </w:r>
      <w:r>
        <w:rPr>
          <w:sz w:val="24"/>
        </w:rPr>
        <w:t>re-employed</w:t>
      </w:r>
      <w:r>
        <w:rPr>
          <w:spacing w:val="-2"/>
          <w:sz w:val="24"/>
        </w:rPr>
        <w:t> </w:t>
      </w:r>
      <w:r>
        <w:rPr>
          <w:spacing w:val="-4"/>
          <w:sz w:val="24"/>
        </w:rPr>
        <w:t>for:</w:t>
      </w:r>
    </w:p>
    <w:p>
      <w:pPr>
        <w:pStyle w:val="ListParagraph"/>
        <w:numPr>
          <w:ilvl w:val="2"/>
          <w:numId w:val="331"/>
        </w:numPr>
        <w:tabs>
          <w:tab w:pos="2002" w:val="left" w:leader="none"/>
        </w:tabs>
        <w:spacing w:line="240" w:lineRule="auto" w:before="204" w:after="0"/>
        <w:ind w:left="2002" w:right="0" w:hanging="346"/>
        <w:jc w:val="left"/>
        <w:rPr>
          <w:sz w:val="24"/>
        </w:rPr>
      </w:pPr>
      <w:r>
        <w:rPr>
          <w:sz w:val="24"/>
        </w:rPr>
        <w:t>willful</w:t>
      </w:r>
      <w:r>
        <w:rPr>
          <w:spacing w:val="-4"/>
          <w:sz w:val="24"/>
        </w:rPr>
        <w:t> </w:t>
      </w:r>
      <w:r>
        <w:rPr>
          <w:sz w:val="24"/>
        </w:rPr>
        <w:t>neglect</w:t>
      </w:r>
      <w:r>
        <w:rPr>
          <w:spacing w:val="-3"/>
          <w:sz w:val="24"/>
        </w:rPr>
        <w:t> </w:t>
      </w:r>
      <w:r>
        <w:rPr>
          <w:sz w:val="24"/>
        </w:rPr>
        <w:t>of</w:t>
      </w:r>
      <w:r>
        <w:rPr>
          <w:spacing w:val="-2"/>
          <w:sz w:val="24"/>
        </w:rPr>
        <w:t> duty;</w:t>
      </w:r>
    </w:p>
    <w:p>
      <w:pPr>
        <w:pStyle w:val="ListParagraph"/>
        <w:numPr>
          <w:ilvl w:val="2"/>
          <w:numId w:val="331"/>
        </w:numPr>
        <w:tabs>
          <w:tab w:pos="2054" w:val="left" w:leader="none"/>
        </w:tabs>
        <w:spacing w:line="240" w:lineRule="auto" w:before="204" w:after="0"/>
        <w:ind w:left="2054" w:right="0" w:hanging="398"/>
        <w:jc w:val="left"/>
        <w:rPr>
          <w:sz w:val="24"/>
        </w:rPr>
      </w:pPr>
      <w:r>
        <w:rPr>
          <w:sz w:val="24"/>
        </w:rPr>
        <w:t>repeated</w:t>
      </w:r>
      <w:r>
        <w:rPr>
          <w:spacing w:val="-4"/>
          <w:sz w:val="24"/>
        </w:rPr>
        <w:t> </w:t>
      </w:r>
      <w:r>
        <w:rPr>
          <w:sz w:val="24"/>
        </w:rPr>
        <w:t>negligence</w:t>
      </w:r>
      <w:r>
        <w:rPr>
          <w:spacing w:val="-4"/>
          <w:sz w:val="24"/>
        </w:rPr>
        <w:t> </w:t>
      </w:r>
      <w:r>
        <w:rPr>
          <w:sz w:val="24"/>
        </w:rPr>
        <w:t>in</w:t>
      </w:r>
      <w:r>
        <w:rPr>
          <w:spacing w:val="-4"/>
          <w:sz w:val="24"/>
        </w:rPr>
        <w:t> </w:t>
      </w:r>
      <w:r>
        <w:rPr>
          <w:sz w:val="24"/>
        </w:rPr>
        <w:t>performance</w:t>
      </w:r>
      <w:r>
        <w:rPr>
          <w:spacing w:val="-4"/>
          <w:sz w:val="24"/>
        </w:rPr>
        <w:t> </w:t>
      </w:r>
      <w:r>
        <w:rPr>
          <w:sz w:val="24"/>
        </w:rPr>
        <w:t>of</w:t>
      </w:r>
      <w:r>
        <w:rPr>
          <w:spacing w:val="-3"/>
          <w:sz w:val="24"/>
        </w:rPr>
        <w:t> </w:t>
      </w:r>
      <w:r>
        <w:rPr>
          <w:spacing w:val="-2"/>
          <w:sz w:val="24"/>
        </w:rPr>
        <w:t>duty;</w:t>
      </w:r>
    </w:p>
    <w:p>
      <w:pPr>
        <w:pStyle w:val="ListParagraph"/>
        <w:numPr>
          <w:ilvl w:val="2"/>
          <w:numId w:val="331"/>
        </w:numPr>
        <w:tabs>
          <w:tab w:pos="2107" w:val="left" w:leader="none"/>
        </w:tabs>
        <w:spacing w:line="240" w:lineRule="auto" w:before="204" w:after="0"/>
        <w:ind w:left="2107" w:right="0" w:hanging="451"/>
        <w:jc w:val="left"/>
        <w:rPr>
          <w:sz w:val="24"/>
        </w:rPr>
      </w:pPr>
      <w:r>
        <w:rPr>
          <w:sz w:val="24"/>
        </w:rPr>
        <w:t>mental</w:t>
      </w:r>
      <w:r>
        <w:rPr>
          <w:spacing w:val="-2"/>
          <w:sz w:val="24"/>
        </w:rPr>
        <w:t> </w:t>
      </w:r>
      <w:r>
        <w:rPr>
          <w:sz w:val="24"/>
        </w:rPr>
        <w:t>or</w:t>
      </w:r>
      <w:r>
        <w:rPr>
          <w:spacing w:val="-1"/>
          <w:sz w:val="24"/>
        </w:rPr>
        <w:t> </w:t>
      </w:r>
      <w:r>
        <w:rPr>
          <w:sz w:val="24"/>
        </w:rPr>
        <w:t>physical</w:t>
      </w:r>
      <w:r>
        <w:rPr>
          <w:spacing w:val="-2"/>
          <w:sz w:val="24"/>
        </w:rPr>
        <w:t> </w:t>
      </w:r>
      <w:r>
        <w:rPr>
          <w:sz w:val="24"/>
        </w:rPr>
        <w:t>abuse</w:t>
      </w:r>
      <w:r>
        <w:rPr>
          <w:spacing w:val="-2"/>
          <w:sz w:val="24"/>
        </w:rPr>
        <w:t> </w:t>
      </w:r>
      <w:r>
        <w:rPr>
          <w:sz w:val="24"/>
        </w:rPr>
        <w:t>to</w:t>
      </w:r>
      <w:r>
        <w:rPr>
          <w:spacing w:val="-2"/>
          <w:sz w:val="24"/>
        </w:rPr>
        <w:t> </w:t>
      </w:r>
      <w:r>
        <w:rPr>
          <w:sz w:val="24"/>
        </w:rPr>
        <w:t>a</w:t>
      </w:r>
      <w:r>
        <w:rPr>
          <w:spacing w:val="-1"/>
          <w:sz w:val="24"/>
        </w:rPr>
        <w:t> </w:t>
      </w:r>
      <w:r>
        <w:rPr>
          <w:spacing w:val="-2"/>
          <w:sz w:val="24"/>
        </w:rPr>
        <w:t>child;</w:t>
      </w:r>
    </w:p>
    <w:p>
      <w:pPr>
        <w:pStyle w:val="ListParagraph"/>
        <w:numPr>
          <w:ilvl w:val="2"/>
          <w:numId w:val="331"/>
        </w:numPr>
        <w:tabs>
          <w:tab w:pos="2122" w:val="left" w:leader="none"/>
        </w:tabs>
        <w:spacing w:line="240" w:lineRule="auto" w:before="204" w:after="0"/>
        <w:ind w:left="2122" w:right="0" w:hanging="466"/>
        <w:jc w:val="left"/>
        <w:rPr>
          <w:sz w:val="24"/>
        </w:rPr>
      </w:pPr>
      <w:r>
        <w:rPr>
          <w:spacing w:val="-2"/>
          <w:sz w:val="24"/>
        </w:rPr>
        <w:t>incompetency;</w:t>
      </w:r>
    </w:p>
    <w:p>
      <w:pPr>
        <w:pStyle w:val="ListParagraph"/>
        <w:numPr>
          <w:ilvl w:val="2"/>
          <w:numId w:val="331"/>
        </w:numPr>
        <w:tabs>
          <w:tab w:pos="2069" w:val="left" w:leader="none"/>
        </w:tabs>
        <w:spacing w:line="240" w:lineRule="auto" w:before="204" w:after="0"/>
        <w:ind w:left="2069" w:right="0" w:hanging="413"/>
        <w:jc w:val="left"/>
        <w:rPr>
          <w:sz w:val="24"/>
        </w:rPr>
      </w:pPr>
      <w:r>
        <w:rPr>
          <w:sz w:val="24"/>
        </w:rPr>
        <w:t>instructional</w:t>
      </w:r>
      <w:r>
        <w:rPr>
          <w:spacing w:val="-7"/>
          <w:sz w:val="24"/>
        </w:rPr>
        <w:t> </w:t>
      </w:r>
      <w:r>
        <w:rPr>
          <w:spacing w:val="-2"/>
          <w:sz w:val="24"/>
        </w:rPr>
        <w:t>ineffectiveness;</w:t>
      </w:r>
    </w:p>
    <w:p>
      <w:pPr>
        <w:pStyle w:val="ListParagraph"/>
        <w:numPr>
          <w:ilvl w:val="2"/>
          <w:numId w:val="331"/>
        </w:numPr>
        <w:tabs>
          <w:tab w:pos="2122" w:val="left" w:leader="none"/>
        </w:tabs>
        <w:spacing w:line="240" w:lineRule="auto" w:before="204" w:after="0"/>
        <w:ind w:left="2122" w:right="0" w:hanging="466"/>
        <w:jc w:val="left"/>
        <w:rPr>
          <w:sz w:val="24"/>
        </w:rPr>
      </w:pPr>
      <w:r>
        <w:rPr>
          <w:sz w:val="24"/>
        </w:rPr>
        <w:t>unsatisfactory</w:t>
      </w:r>
      <w:r>
        <w:rPr>
          <w:spacing w:val="-7"/>
          <w:sz w:val="24"/>
        </w:rPr>
        <w:t> </w:t>
      </w:r>
      <w:r>
        <w:rPr>
          <w:sz w:val="24"/>
        </w:rPr>
        <w:t>teaching</w:t>
      </w:r>
      <w:r>
        <w:rPr>
          <w:spacing w:val="-6"/>
          <w:sz w:val="24"/>
        </w:rPr>
        <w:t> </w:t>
      </w:r>
      <w:r>
        <w:rPr>
          <w:sz w:val="24"/>
        </w:rPr>
        <w:t>performance;</w:t>
      </w:r>
      <w:r>
        <w:rPr>
          <w:spacing w:val="-5"/>
          <w:sz w:val="24"/>
        </w:rPr>
        <w:t> or</w:t>
      </w:r>
    </w:p>
    <w:p>
      <w:pPr>
        <w:pStyle w:val="ListParagraph"/>
        <w:numPr>
          <w:ilvl w:val="2"/>
          <w:numId w:val="331"/>
        </w:numPr>
        <w:tabs>
          <w:tab w:pos="2174" w:val="left" w:leader="none"/>
        </w:tabs>
        <w:spacing w:line="240" w:lineRule="auto" w:before="204" w:after="0"/>
        <w:ind w:left="2174" w:right="0" w:hanging="518"/>
        <w:jc w:val="left"/>
        <w:rPr>
          <w:sz w:val="24"/>
        </w:rPr>
      </w:pPr>
      <w:r>
        <w:rPr>
          <w:sz w:val="24"/>
        </w:rPr>
        <w:t>any</w:t>
      </w:r>
      <w:r>
        <w:rPr>
          <w:spacing w:val="-3"/>
          <w:sz w:val="24"/>
        </w:rPr>
        <w:t> </w:t>
      </w:r>
      <w:r>
        <w:rPr>
          <w:sz w:val="24"/>
        </w:rPr>
        <w:t>reason</w:t>
      </w:r>
      <w:r>
        <w:rPr>
          <w:spacing w:val="-3"/>
          <w:sz w:val="24"/>
        </w:rPr>
        <w:t> </w:t>
      </w:r>
      <w:r>
        <w:rPr>
          <w:sz w:val="24"/>
        </w:rPr>
        <w:t>involving</w:t>
      </w:r>
      <w:r>
        <w:rPr>
          <w:spacing w:val="-3"/>
          <w:sz w:val="24"/>
        </w:rPr>
        <w:t> </w:t>
      </w:r>
      <w:r>
        <w:rPr>
          <w:sz w:val="24"/>
        </w:rPr>
        <w:t>moral</w:t>
      </w:r>
      <w:r>
        <w:rPr>
          <w:spacing w:val="-3"/>
          <w:sz w:val="24"/>
        </w:rPr>
        <w:t> </w:t>
      </w:r>
      <w:r>
        <w:rPr>
          <w:spacing w:val="-2"/>
          <w:sz w:val="24"/>
        </w:rPr>
        <w:t>turpitude.</w:t>
      </w:r>
    </w:p>
    <w:p>
      <w:pPr>
        <w:pStyle w:val="ListParagraph"/>
        <w:numPr>
          <w:ilvl w:val="1"/>
          <w:numId w:val="331"/>
        </w:numPr>
        <w:tabs>
          <w:tab w:pos="1677" w:val="left" w:leader="none"/>
        </w:tabs>
        <w:spacing w:line="240" w:lineRule="auto" w:before="204" w:after="0"/>
        <w:ind w:left="1677" w:right="0" w:hanging="453"/>
        <w:jc w:val="left"/>
        <w:rPr>
          <w:sz w:val="24"/>
        </w:rPr>
      </w:pPr>
      <w:r>
        <w:rPr>
          <w:sz w:val="24"/>
        </w:rPr>
        <w:t>A</w:t>
      </w:r>
      <w:r>
        <w:rPr>
          <w:spacing w:val="-3"/>
          <w:sz w:val="24"/>
        </w:rPr>
        <w:t> </w:t>
      </w:r>
      <w:r>
        <w:rPr>
          <w:sz w:val="24"/>
        </w:rPr>
        <w:t>probationary</w:t>
      </w:r>
      <w:r>
        <w:rPr>
          <w:spacing w:val="-3"/>
          <w:sz w:val="24"/>
        </w:rPr>
        <w:t> </w:t>
      </w:r>
      <w:r>
        <w:rPr>
          <w:sz w:val="24"/>
        </w:rPr>
        <w:t>teacher</w:t>
      </w:r>
      <w:r>
        <w:rPr>
          <w:spacing w:val="-2"/>
          <w:sz w:val="24"/>
        </w:rPr>
        <w:t> </w:t>
      </w:r>
      <w:r>
        <w:rPr>
          <w:sz w:val="24"/>
        </w:rPr>
        <w:t>may</w:t>
      </w:r>
      <w:r>
        <w:rPr>
          <w:spacing w:val="-4"/>
          <w:sz w:val="24"/>
        </w:rPr>
        <w:t> </w:t>
      </w:r>
      <w:r>
        <w:rPr>
          <w:sz w:val="24"/>
        </w:rPr>
        <w:t>be</w:t>
      </w:r>
      <w:r>
        <w:rPr>
          <w:spacing w:val="-3"/>
          <w:sz w:val="24"/>
        </w:rPr>
        <w:t> </w:t>
      </w:r>
      <w:r>
        <w:rPr>
          <w:sz w:val="24"/>
        </w:rPr>
        <w:t>dismissed</w:t>
      </w:r>
      <w:r>
        <w:rPr>
          <w:spacing w:val="-3"/>
          <w:sz w:val="24"/>
        </w:rPr>
        <w:t> </w:t>
      </w:r>
      <w:r>
        <w:rPr>
          <w:sz w:val="24"/>
        </w:rPr>
        <w:t>or</w:t>
      </w:r>
      <w:r>
        <w:rPr>
          <w:spacing w:val="-2"/>
          <w:sz w:val="24"/>
        </w:rPr>
        <w:t> </w:t>
      </w:r>
      <w:r>
        <w:rPr>
          <w:sz w:val="24"/>
        </w:rPr>
        <w:t>not</w:t>
      </w:r>
      <w:r>
        <w:rPr>
          <w:spacing w:val="-2"/>
          <w:sz w:val="24"/>
        </w:rPr>
        <w:t> </w:t>
      </w:r>
      <w:r>
        <w:rPr>
          <w:sz w:val="24"/>
        </w:rPr>
        <w:t>re-employed</w:t>
      </w:r>
      <w:r>
        <w:rPr>
          <w:spacing w:val="-3"/>
          <w:sz w:val="24"/>
        </w:rPr>
        <w:t> </w:t>
      </w:r>
      <w:r>
        <w:rPr>
          <w:sz w:val="24"/>
        </w:rPr>
        <w:t>for</w:t>
      </w:r>
      <w:r>
        <w:rPr>
          <w:spacing w:val="-2"/>
          <w:sz w:val="24"/>
        </w:rPr>
        <w:t> cause.</w:t>
      </w:r>
    </w:p>
    <w:p>
      <w:pPr>
        <w:pStyle w:val="ListParagraph"/>
        <w:numPr>
          <w:ilvl w:val="1"/>
          <w:numId w:val="331"/>
        </w:numPr>
        <w:tabs>
          <w:tab w:pos="1690" w:val="left" w:leader="none"/>
        </w:tabs>
        <w:spacing w:line="208" w:lineRule="auto" w:before="233" w:after="0"/>
        <w:ind w:left="1224" w:right="1009" w:firstLine="0"/>
        <w:jc w:val="both"/>
        <w:rPr>
          <w:sz w:val="24"/>
        </w:rPr>
      </w:pPr>
      <w:r>
        <w:rPr>
          <w:sz w:val="24"/>
        </w:rPr>
        <w:t>A</w:t>
      </w:r>
      <w:r>
        <w:rPr>
          <w:spacing w:val="-6"/>
          <w:sz w:val="24"/>
        </w:rPr>
        <w:t> </w:t>
      </w:r>
      <w:r>
        <w:rPr>
          <w:sz w:val="24"/>
        </w:rPr>
        <w:t>teacher</w:t>
      </w:r>
      <w:r>
        <w:rPr>
          <w:spacing w:val="-3"/>
          <w:sz w:val="24"/>
        </w:rPr>
        <w:t> </w:t>
      </w:r>
      <w:r>
        <w:rPr>
          <w:sz w:val="24"/>
        </w:rPr>
        <w:t>shall</w:t>
      </w:r>
      <w:r>
        <w:rPr>
          <w:spacing w:val="-4"/>
          <w:sz w:val="24"/>
        </w:rPr>
        <w:t> </w:t>
      </w:r>
      <w:r>
        <w:rPr>
          <w:sz w:val="24"/>
        </w:rPr>
        <w:t>be</w:t>
      </w:r>
      <w:r>
        <w:rPr>
          <w:spacing w:val="-4"/>
          <w:sz w:val="24"/>
        </w:rPr>
        <w:t> </w:t>
      </w:r>
      <w:r>
        <w:rPr>
          <w:sz w:val="24"/>
        </w:rPr>
        <w:t>dismissed</w:t>
      </w:r>
      <w:r>
        <w:rPr>
          <w:spacing w:val="-4"/>
          <w:sz w:val="24"/>
        </w:rPr>
        <w:t> </w:t>
      </w:r>
      <w:r>
        <w:rPr>
          <w:sz w:val="24"/>
        </w:rPr>
        <w:t>or</w:t>
      </w:r>
      <w:r>
        <w:rPr>
          <w:spacing w:val="-3"/>
          <w:sz w:val="24"/>
        </w:rPr>
        <w:t> </w:t>
      </w:r>
      <w:r>
        <w:rPr>
          <w:sz w:val="24"/>
        </w:rPr>
        <w:t>not</w:t>
      </w:r>
      <w:r>
        <w:rPr>
          <w:spacing w:val="-5"/>
          <w:sz w:val="24"/>
        </w:rPr>
        <w:t> </w:t>
      </w:r>
      <w:r>
        <w:rPr>
          <w:sz w:val="24"/>
        </w:rPr>
        <w:t>re-employed,</w:t>
      </w:r>
      <w:r>
        <w:rPr>
          <w:spacing w:val="-3"/>
          <w:sz w:val="24"/>
        </w:rPr>
        <w:t> </w:t>
      </w:r>
      <w:r>
        <w:rPr>
          <w:sz w:val="24"/>
        </w:rPr>
        <w:t>unless</w:t>
      </w:r>
      <w:r>
        <w:rPr>
          <w:spacing w:val="-4"/>
          <w:sz w:val="24"/>
        </w:rPr>
        <w:t> </w:t>
      </w:r>
      <w:r>
        <w:rPr>
          <w:sz w:val="24"/>
        </w:rPr>
        <w:t>a</w:t>
      </w:r>
      <w:r>
        <w:rPr>
          <w:spacing w:val="-4"/>
          <w:sz w:val="24"/>
        </w:rPr>
        <w:t> </w:t>
      </w:r>
      <w:r>
        <w:rPr>
          <w:sz w:val="24"/>
        </w:rPr>
        <w:t>presidential</w:t>
      </w:r>
      <w:r>
        <w:rPr>
          <w:spacing w:val="-4"/>
          <w:sz w:val="24"/>
        </w:rPr>
        <w:t> </w:t>
      </w:r>
      <w:r>
        <w:rPr>
          <w:sz w:val="24"/>
        </w:rPr>
        <w:t>or gubernatorial</w:t>
      </w:r>
      <w:r>
        <w:rPr>
          <w:spacing w:val="-2"/>
          <w:sz w:val="24"/>
        </w:rPr>
        <w:t> </w:t>
      </w:r>
      <w:r>
        <w:rPr>
          <w:sz w:val="24"/>
        </w:rPr>
        <w:t>pardon</w:t>
      </w:r>
      <w:r>
        <w:rPr>
          <w:spacing w:val="-2"/>
          <w:sz w:val="24"/>
        </w:rPr>
        <w:t> </w:t>
      </w:r>
      <w:r>
        <w:rPr>
          <w:sz w:val="24"/>
        </w:rPr>
        <w:t>has</w:t>
      </w:r>
      <w:r>
        <w:rPr>
          <w:spacing w:val="-2"/>
          <w:sz w:val="24"/>
        </w:rPr>
        <w:t> </w:t>
      </w:r>
      <w:r>
        <w:rPr>
          <w:sz w:val="24"/>
        </w:rPr>
        <w:t>been</w:t>
      </w:r>
      <w:r>
        <w:rPr>
          <w:spacing w:val="-2"/>
          <w:sz w:val="24"/>
        </w:rPr>
        <w:t> </w:t>
      </w:r>
      <w:r>
        <w:rPr>
          <w:sz w:val="24"/>
        </w:rPr>
        <w:t>issued,</w:t>
      </w:r>
      <w:r>
        <w:rPr>
          <w:spacing w:val="-1"/>
          <w:sz w:val="24"/>
        </w:rPr>
        <w:t> </w:t>
      </w:r>
      <w:r>
        <w:rPr>
          <w:sz w:val="24"/>
        </w:rPr>
        <w:t>if</w:t>
      </w:r>
      <w:r>
        <w:rPr>
          <w:spacing w:val="-1"/>
          <w:sz w:val="24"/>
        </w:rPr>
        <w:t> </w:t>
      </w:r>
      <w:r>
        <w:rPr>
          <w:sz w:val="24"/>
        </w:rPr>
        <w:t>during</w:t>
      </w:r>
      <w:r>
        <w:rPr>
          <w:spacing w:val="-2"/>
          <w:sz w:val="24"/>
        </w:rPr>
        <w:t> </w:t>
      </w:r>
      <w:r>
        <w:rPr>
          <w:sz w:val="24"/>
        </w:rPr>
        <w:t>the</w:t>
      </w:r>
      <w:r>
        <w:rPr>
          <w:spacing w:val="-2"/>
          <w:sz w:val="24"/>
        </w:rPr>
        <w:t> </w:t>
      </w:r>
      <w:r>
        <w:rPr>
          <w:sz w:val="24"/>
        </w:rPr>
        <w:t>term</w:t>
      </w:r>
      <w:r>
        <w:rPr>
          <w:spacing w:val="-3"/>
          <w:sz w:val="24"/>
        </w:rPr>
        <w:t> </w:t>
      </w:r>
      <w:r>
        <w:rPr>
          <w:sz w:val="24"/>
        </w:rPr>
        <w:t>of</w:t>
      </w:r>
      <w:r>
        <w:rPr>
          <w:spacing w:val="-1"/>
          <w:sz w:val="24"/>
        </w:rPr>
        <w:t> </w:t>
      </w:r>
      <w:r>
        <w:rPr>
          <w:sz w:val="24"/>
        </w:rPr>
        <w:t>employment</w:t>
      </w:r>
      <w:r>
        <w:rPr>
          <w:spacing w:val="-1"/>
          <w:sz w:val="24"/>
        </w:rPr>
        <w:t> </w:t>
      </w:r>
      <w:r>
        <w:rPr>
          <w:sz w:val="24"/>
        </w:rPr>
        <w:t>such teacher is convicted in this state, the United States or another state of:</w:t>
      </w:r>
    </w:p>
    <w:p>
      <w:pPr>
        <w:pStyle w:val="ListParagraph"/>
        <w:spacing w:after="0" w:line="208" w:lineRule="auto"/>
        <w:jc w:val="both"/>
        <w:rPr>
          <w:sz w:val="24"/>
        </w:rPr>
        <w:sectPr>
          <w:pgSz w:w="12240" w:h="15840"/>
          <w:pgMar w:top="1340" w:bottom="280" w:left="1080" w:right="720"/>
        </w:sectPr>
      </w:pPr>
    </w:p>
    <w:p>
      <w:pPr>
        <w:pStyle w:val="ListParagraph"/>
        <w:numPr>
          <w:ilvl w:val="2"/>
          <w:numId w:val="331"/>
        </w:numPr>
        <w:tabs>
          <w:tab w:pos="2002" w:val="left" w:leader="none"/>
        </w:tabs>
        <w:spacing w:line="208" w:lineRule="auto" w:before="96" w:after="0"/>
        <w:ind w:left="1656" w:right="1129" w:firstLine="0"/>
        <w:jc w:val="both"/>
        <w:rPr>
          <w:sz w:val="24"/>
        </w:rPr>
      </w:pPr>
      <w:r>
        <w:rPr>
          <w:sz w:val="24"/>
        </w:rPr>
        <w:t>Any sex offense subject to the Sex Offenders Registration Act in this state</w:t>
      </w:r>
      <w:r>
        <w:rPr>
          <w:spacing w:val="-4"/>
          <w:sz w:val="24"/>
        </w:rPr>
        <w:t> </w:t>
      </w:r>
      <w:r>
        <w:rPr>
          <w:sz w:val="24"/>
        </w:rPr>
        <w:t>or</w:t>
      </w:r>
      <w:r>
        <w:rPr>
          <w:spacing w:val="-3"/>
          <w:sz w:val="24"/>
        </w:rPr>
        <w:t> </w:t>
      </w:r>
      <w:r>
        <w:rPr>
          <w:sz w:val="24"/>
        </w:rPr>
        <w:t>subject</w:t>
      </w:r>
      <w:r>
        <w:rPr>
          <w:spacing w:val="-3"/>
          <w:sz w:val="24"/>
        </w:rPr>
        <w:t> </w:t>
      </w:r>
      <w:r>
        <w:rPr>
          <w:sz w:val="24"/>
        </w:rPr>
        <w:t>to</w:t>
      </w:r>
      <w:r>
        <w:rPr>
          <w:spacing w:val="-4"/>
          <w:sz w:val="24"/>
        </w:rPr>
        <w:t> </w:t>
      </w:r>
      <w:r>
        <w:rPr>
          <w:sz w:val="24"/>
        </w:rPr>
        <w:t>another</w:t>
      </w:r>
      <w:r>
        <w:rPr>
          <w:spacing w:val="-3"/>
          <w:sz w:val="24"/>
        </w:rPr>
        <w:t> </w:t>
      </w:r>
      <w:r>
        <w:rPr>
          <w:sz w:val="24"/>
        </w:rPr>
        <w:t>state's</w:t>
      </w:r>
      <w:r>
        <w:rPr>
          <w:spacing w:val="-4"/>
          <w:sz w:val="24"/>
        </w:rPr>
        <w:t> </w:t>
      </w:r>
      <w:r>
        <w:rPr>
          <w:sz w:val="24"/>
        </w:rPr>
        <w:t>or</w:t>
      </w:r>
      <w:r>
        <w:rPr>
          <w:spacing w:val="-3"/>
          <w:sz w:val="24"/>
        </w:rPr>
        <w:t> </w:t>
      </w:r>
      <w:r>
        <w:rPr>
          <w:sz w:val="24"/>
        </w:rPr>
        <w:t>the</w:t>
      </w:r>
      <w:r>
        <w:rPr>
          <w:spacing w:val="-5"/>
          <w:sz w:val="24"/>
        </w:rPr>
        <w:t> </w:t>
      </w:r>
      <w:r>
        <w:rPr>
          <w:sz w:val="24"/>
        </w:rPr>
        <w:t>federal</w:t>
      </w:r>
      <w:r>
        <w:rPr>
          <w:spacing w:val="-4"/>
          <w:sz w:val="24"/>
        </w:rPr>
        <w:t> </w:t>
      </w:r>
      <w:r>
        <w:rPr>
          <w:sz w:val="24"/>
        </w:rPr>
        <w:t>sex</w:t>
      </w:r>
      <w:r>
        <w:rPr>
          <w:spacing w:val="-4"/>
          <w:sz w:val="24"/>
        </w:rPr>
        <w:t> </w:t>
      </w:r>
      <w:r>
        <w:rPr>
          <w:sz w:val="24"/>
        </w:rPr>
        <w:t>offender</w:t>
      </w:r>
      <w:r>
        <w:rPr>
          <w:spacing w:val="-3"/>
          <w:sz w:val="24"/>
        </w:rPr>
        <w:t> </w:t>
      </w:r>
      <w:r>
        <w:rPr>
          <w:sz w:val="24"/>
        </w:rPr>
        <w:t>registration provisions; or</w:t>
      </w:r>
    </w:p>
    <w:p>
      <w:pPr>
        <w:pStyle w:val="ListParagraph"/>
        <w:numPr>
          <w:ilvl w:val="2"/>
          <w:numId w:val="331"/>
        </w:numPr>
        <w:tabs>
          <w:tab w:pos="2054" w:val="left" w:leader="none"/>
        </w:tabs>
        <w:spacing w:line="240" w:lineRule="auto" w:before="210" w:after="0"/>
        <w:ind w:left="2054" w:right="0" w:hanging="398"/>
        <w:jc w:val="both"/>
        <w:rPr>
          <w:sz w:val="24"/>
        </w:rPr>
      </w:pPr>
      <w:r>
        <w:rPr>
          <w:sz w:val="24"/>
        </w:rPr>
        <w:t>Any</w:t>
      </w:r>
      <w:r>
        <w:rPr>
          <w:spacing w:val="-3"/>
          <w:sz w:val="24"/>
        </w:rPr>
        <w:t> </w:t>
      </w:r>
      <w:r>
        <w:rPr>
          <w:sz w:val="24"/>
        </w:rPr>
        <w:t>felony</w:t>
      </w:r>
      <w:r>
        <w:rPr>
          <w:spacing w:val="-3"/>
          <w:sz w:val="24"/>
        </w:rPr>
        <w:t> </w:t>
      </w:r>
      <w:r>
        <w:rPr>
          <w:spacing w:val="-2"/>
          <w:sz w:val="24"/>
        </w:rPr>
        <w:t>offense.</w:t>
      </w:r>
    </w:p>
    <w:p>
      <w:pPr>
        <w:pStyle w:val="ListParagraph"/>
        <w:numPr>
          <w:ilvl w:val="1"/>
          <w:numId w:val="331"/>
        </w:numPr>
        <w:tabs>
          <w:tab w:pos="1690" w:val="left" w:leader="none"/>
        </w:tabs>
        <w:spacing w:line="208" w:lineRule="auto" w:before="234" w:after="0"/>
        <w:ind w:left="1224" w:right="877" w:firstLine="0"/>
        <w:jc w:val="left"/>
        <w:rPr>
          <w:sz w:val="24"/>
        </w:rPr>
      </w:pPr>
      <w:r>
        <w:rPr>
          <w:sz w:val="24"/>
        </w:rPr>
        <w:t>A</w:t>
      </w:r>
      <w:r>
        <w:rPr>
          <w:spacing w:val="-6"/>
          <w:sz w:val="24"/>
        </w:rPr>
        <w:t> </w:t>
      </w:r>
      <w:r>
        <w:rPr>
          <w:sz w:val="24"/>
        </w:rPr>
        <w:t>teacher</w:t>
      </w:r>
      <w:r>
        <w:rPr>
          <w:spacing w:val="-3"/>
          <w:sz w:val="24"/>
        </w:rPr>
        <w:t> </w:t>
      </w:r>
      <w:r>
        <w:rPr>
          <w:sz w:val="24"/>
        </w:rPr>
        <w:t>may</w:t>
      </w:r>
      <w:r>
        <w:rPr>
          <w:spacing w:val="-4"/>
          <w:sz w:val="24"/>
        </w:rPr>
        <w:t> </w:t>
      </w:r>
      <w:r>
        <w:rPr>
          <w:sz w:val="24"/>
        </w:rPr>
        <w:t>be</w:t>
      </w:r>
      <w:r>
        <w:rPr>
          <w:spacing w:val="-5"/>
          <w:sz w:val="24"/>
        </w:rPr>
        <w:t> </w:t>
      </w:r>
      <w:r>
        <w:rPr>
          <w:sz w:val="24"/>
        </w:rPr>
        <w:t>dismissed,</w:t>
      </w:r>
      <w:r>
        <w:rPr>
          <w:spacing w:val="-3"/>
          <w:sz w:val="24"/>
        </w:rPr>
        <w:t> </w:t>
      </w:r>
      <w:r>
        <w:rPr>
          <w:sz w:val="24"/>
        </w:rPr>
        <w:t>refused</w:t>
      </w:r>
      <w:r>
        <w:rPr>
          <w:spacing w:val="-4"/>
          <w:sz w:val="24"/>
        </w:rPr>
        <w:t> </w:t>
      </w:r>
      <w:r>
        <w:rPr>
          <w:sz w:val="24"/>
        </w:rPr>
        <w:t>employment</w:t>
      </w:r>
      <w:r>
        <w:rPr>
          <w:spacing w:val="-3"/>
          <w:sz w:val="24"/>
        </w:rPr>
        <w:t> </w:t>
      </w:r>
      <w:r>
        <w:rPr>
          <w:sz w:val="24"/>
        </w:rPr>
        <w:t>or</w:t>
      </w:r>
      <w:r>
        <w:rPr>
          <w:spacing w:val="-3"/>
          <w:sz w:val="24"/>
        </w:rPr>
        <w:t> </w:t>
      </w:r>
      <w:r>
        <w:rPr>
          <w:sz w:val="24"/>
        </w:rPr>
        <w:t>not</w:t>
      </w:r>
      <w:r>
        <w:rPr>
          <w:spacing w:val="-5"/>
          <w:sz w:val="24"/>
        </w:rPr>
        <w:t> </w:t>
      </w:r>
      <w:r>
        <w:rPr>
          <w:sz w:val="24"/>
        </w:rPr>
        <w:t>reemployed</w:t>
      </w:r>
      <w:r>
        <w:rPr>
          <w:spacing w:val="-4"/>
          <w:sz w:val="24"/>
        </w:rPr>
        <w:t> </w:t>
      </w:r>
      <w:r>
        <w:rPr>
          <w:sz w:val="24"/>
        </w:rPr>
        <w:t>after a finding that such person has engaged in criminal sexual activity or sexual misconduct that has</w:t>
      </w:r>
      <w:r>
        <w:rPr>
          <w:spacing w:val="-1"/>
          <w:sz w:val="24"/>
        </w:rPr>
        <w:t> </w:t>
      </w:r>
      <w:r>
        <w:rPr>
          <w:sz w:val="24"/>
        </w:rPr>
        <w:t>impeded</w:t>
      </w:r>
      <w:r>
        <w:rPr>
          <w:spacing w:val="-1"/>
          <w:sz w:val="24"/>
        </w:rPr>
        <w:t> </w:t>
      </w:r>
      <w:r>
        <w:rPr>
          <w:sz w:val="24"/>
        </w:rPr>
        <w:t>the</w:t>
      </w:r>
      <w:r>
        <w:rPr>
          <w:spacing w:val="-1"/>
          <w:sz w:val="24"/>
        </w:rPr>
        <w:t> </w:t>
      </w:r>
      <w:r>
        <w:rPr>
          <w:sz w:val="24"/>
        </w:rPr>
        <w:t>effectiveness</w:t>
      </w:r>
      <w:r>
        <w:rPr>
          <w:spacing w:val="-1"/>
          <w:sz w:val="24"/>
        </w:rPr>
        <w:t> </w:t>
      </w:r>
      <w:r>
        <w:rPr>
          <w:sz w:val="24"/>
        </w:rPr>
        <w:t>of the</w:t>
      </w:r>
      <w:r>
        <w:rPr>
          <w:spacing w:val="-1"/>
          <w:sz w:val="24"/>
        </w:rPr>
        <w:t> </w:t>
      </w:r>
      <w:r>
        <w:rPr>
          <w:sz w:val="24"/>
        </w:rPr>
        <w:t>individual's</w:t>
      </w:r>
      <w:r>
        <w:rPr>
          <w:spacing w:val="-1"/>
          <w:sz w:val="24"/>
        </w:rPr>
        <w:t> </w:t>
      </w:r>
      <w:r>
        <w:rPr>
          <w:sz w:val="24"/>
        </w:rPr>
        <w:t>performance of school duties.</w:t>
      </w:r>
      <w:r>
        <w:rPr>
          <w:spacing w:val="40"/>
          <w:sz w:val="24"/>
        </w:rPr>
        <w:t> </w:t>
      </w:r>
      <w:r>
        <w:rPr>
          <w:sz w:val="24"/>
        </w:rPr>
        <w:t>As used in this subsection:</w:t>
      </w:r>
    </w:p>
    <w:p>
      <w:pPr>
        <w:pStyle w:val="ListParagraph"/>
        <w:numPr>
          <w:ilvl w:val="2"/>
          <w:numId w:val="331"/>
        </w:numPr>
        <w:tabs>
          <w:tab w:pos="2002" w:val="left" w:leader="none"/>
        </w:tabs>
        <w:spacing w:line="208" w:lineRule="auto" w:before="239" w:after="0"/>
        <w:ind w:left="1656" w:right="890" w:firstLine="0"/>
        <w:jc w:val="left"/>
        <w:rPr>
          <w:sz w:val="24"/>
        </w:rPr>
      </w:pPr>
      <w:r>
        <w:rPr>
          <w:sz w:val="24"/>
        </w:rPr>
        <w:t>"Criminal</w:t>
      </w:r>
      <w:r>
        <w:rPr>
          <w:spacing w:val="-4"/>
          <w:sz w:val="24"/>
        </w:rPr>
        <w:t> </w:t>
      </w:r>
      <w:r>
        <w:rPr>
          <w:sz w:val="24"/>
        </w:rPr>
        <w:t>sexual</w:t>
      </w:r>
      <w:r>
        <w:rPr>
          <w:spacing w:val="-4"/>
          <w:sz w:val="24"/>
        </w:rPr>
        <w:t> </w:t>
      </w:r>
      <w:r>
        <w:rPr>
          <w:sz w:val="24"/>
        </w:rPr>
        <w:t>activity"</w:t>
      </w:r>
      <w:r>
        <w:rPr>
          <w:spacing w:val="-4"/>
          <w:sz w:val="24"/>
        </w:rPr>
        <w:t> </w:t>
      </w:r>
      <w:r>
        <w:rPr>
          <w:sz w:val="24"/>
        </w:rPr>
        <w:t>means</w:t>
      </w:r>
      <w:r>
        <w:rPr>
          <w:spacing w:val="-4"/>
          <w:sz w:val="24"/>
        </w:rPr>
        <w:t> </w:t>
      </w:r>
      <w:r>
        <w:rPr>
          <w:sz w:val="24"/>
        </w:rPr>
        <w:t>the</w:t>
      </w:r>
      <w:r>
        <w:rPr>
          <w:spacing w:val="-4"/>
          <w:sz w:val="24"/>
        </w:rPr>
        <w:t> </w:t>
      </w:r>
      <w:r>
        <w:rPr>
          <w:sz w:val="24"/>
        </w:rPr>
        <w:t>commission</w:t>
      </w:r>
      <w:r>
        <w:rPr>
          <w:spacing w:val="-4"/>
          <w:sz w:val="24"/>
        </w:rPr>
        <w:t> </w:t>
      </w:r>
      <w:r>
        <w:rPr>
          <w:sz w:val="24"/>
        </w:rPr>
        <w:t>of</w:t>
      </w:r>
      <w:r>
        <w:rPr>
          <w:spacing w:val="-3"/>
          <w:sz w:val="24"/>
        </w:rPr>
        <w:t> </w:t>
      </w:r>
      <w:r>
        <w:rPr>
          <w:sz w:val="24"/>
        </w:rPr>
        <w:t>an</w:t>
      </w:r>
      <w:r>
        <w:rPr>
          <w:spacing w:val="-4"/>
          <w:sz w:val="24"/>
        </w:rPr>
        <w:t> </w:t>
      </w:r>
      <w:r>
        <w:rPr>
          <w:sz w:val="24"/>
        </w:rPr>
        <w:t>act</w:t>
      </w:r>
      <w:r>
        <w:rPr>
          <w:spacing w:val="-3"/>
          <w:sz w:val="24"/>
        </w:rPr>
        <w:t> </w:t>
      </w:r>
      <w:r>
        <w:rPr>
          <w:sz w:val="24"/>
        </w:rPr>
        <w:t>as</w:t>
      </w:r>
      <w:r>
        <w:rPr>
          <w:spacing w:val="-4"/>
          <w:sz w:val="24"/>
        </w:rPr>
        <w:t> </w:t>
      </w:r>
      <w:r>
        <w:rPr>
          <w:sz w:val="24"/>
        </w:rPr>
        <w:t>defined</w:t>
      </w:r>
      <w:r>
        <w:rPr>
          <w:spacing w:val="-4"/>
          <w:sz w:val="24"/>
        </w:rPr>
        <w:t> </w:t>
      </w:r>
      <w:r>
        <w:rPr>
          <w:sz w:val="24"/>
        </w:rPr>
        <w:t>in 21 O.S. § 886, which is the act of sodomy; and</w:t>
      </w:r>
    </w:p>
    <w:p>
      <w:pPr>
        <w:pStyle w:val="ListParagraph"/>
        <w:numPr>
          <w:ilvl w:val="2"/>
          <w:numId w:val="331"/>
        </w:numPr>
        <w:tabs>
          <w:tab w:pos="2054" w:val="left" w:leader="none"/>
        </w:tabs>
        <w:spacing w:line="208" w:lineRule="auto" w:before="240" w:after="0"/>
        <w:ind w:left="1656" w:right="796" w:firstLine="0"/>
        <w:jc w:val="left"/>
        <w:rPr>
          <w:sz w:val="24"/>
        </w:rPr>
      </w:pPr>
      <w:r>
        <w:rPr>
          <w:sz w:val="24"/>
        </w:rPr>
        <w:t>"Sexual</w:t>
      </w:r>
      <w:r>
        <w:rPr>
          <w:spacing w:val="-4"/>
          <w:sz w:val="24"/>
        </w:rPr>
        <w:t> </w:t>
      </w:r>
      <w:r>
        <w:rPr>
          <w:sz w:val="24"/>
        </w:rPr>
        <w:t>misconduct"</w:t>
      </w:r>
      <w:r>
        <w:rPr>
          <w:spacing w:val="-5"/>
          <w:sz w:val="24"/>
        </w:rPr>
        <w:t> </w:t>
      </w:r>
      <w:r>
        <w:rPr>
          <w:sz w:val="24"/>
        </w:rPr>
        <w:t>means</w:t>
      </w:r>
      <w:r>
        <w:rPr>
          <w:spacing w:val="-5"/>
          <w:sz w:val="24"/>
        </w:rPr>
        <w:t> </w:t>
      </w:r>
      <w:r>
        <w:rPr>
          <w:sz w:val="24"/>
        </w:rPr>
        <w:t>the</w:t>
      </w:r>
      <w:r>
        <w:rPr>
          <w:spacing w:val="-5"/>
          <w:sz w:val="24"/>
        </w:rPr>
        <w:t> </w:t>
      </w:r>
      <w:r>
        <w:rPr>
          <w:sz w:val="24"/>
        </w:rPr>
        <w:t>soliciting</w:t>
      </w:r>
      <w:r>
        <w:rPr>
          <w:spacing w:val="-5"/>
          <w:sz w:val="24"/>
        </w:rPr>
        <w:t> </w:t>
      </w:r>
      <w:r>
        <w:rPr>
          <w:sz w:val="24"/>
        </w:rPr>
        <w:t>or</w:t>
      </w:r>
      <w:r>
        <w:rPr>
          <w:spacing w:val="-4"/>
          <w:sz w:val="24"/>
        </w:rPr>
        <w:t> </w:t>
      </w:r>
      <w:r>
        <w:rPr>
          <w:sz w:val="24"/>
        </w:rPr>
        <w:t>imposing</w:t>
      </w:r>
      <w:r>
        <w:rPr>
          <w:spacing w:val="-5"/>
          <w:sz w:val="24"/>
        </w:rPr>
        <w:t> </w:t>
      </w:r>
      <w:r>
        <w:rPr>
          <w:sz w:val="24"/>
        </w:rPr>
        <w:t>of</w:t>
      </w:r>
      <w:r>
        <w:rPr>
          <w:spacing w:val="-4"/>
          <w:sz w:val="24"/>
        </w:rPr>
        <w:t> </w:t>
      </w:r>
      <w:r>
        <w:rPr>
          <w:sz w:val="24"/>
        </w:rPr>
        <w:t>criminal</w:t>
      </w:r>
      <w:r>
        <w:rPr>
          <w:spacing w:val="-5"/>
          <w:sz w:val="24"/>
        </w:rPr>
        <w:t> </w:t>
      </w:r>
      <w:r>
        <w:rPr>
          <w:sz w:val="24"/>
        </w:rPr>
        <w:t>sexual </w:t>
      </w:r>
      <w:r>
        <w:rPr>
          <w:spacing w:val="-2"/>
          <w:sz w:val="24"/>
        </w:rPr>
        <w:t>activity.</w:t>
      </w:r>
    </w:p>
    <w:p>
      <w:pPr>
        <w:pStyle w:val="BodyText"/>
        <w:spacing w:before="211"/>
      </w:pPr>
      <w:r>
        <w:rPr/>
        <w:t>INSTRUCTIONS</w:t>
      </w:r>
      <w:r>
        <w:rPr>
          <w:spacing w:val="-3"/>
        </w:rPr>
        <w:t> </w:t>
      </w:r>
      <w:r>
        <w:rPr/>
        <w:t>TO</w:t>
      </w:r>
      <w:r>
        <w:rPr>
          <w:spacing w:val="-2"/>
        </w:rPr>
        <w:t> </w:t>
      </w:r>
      <w:r>
        <w:rPr>
          <w:spacing w:val="-4"/>
        </w:rPr>
        <w:t>STAFF</w:t>
      </w:r>
    </w:p>
    <w:p>
      <w:pPr>
        <w:pStyle w:val="BodyText"/>
        <w:spacing w:before="204"/>
        <w:ind w:left="792"/>
      </w:pPr>
      <w:r>
        <w:rPr/>
        <w:t>1.</w:t>
      </w:r>
      <w:r>
        <w:rPr>
          <w:spacing w:val="15"/>
        </w:rPr>
        <w:t> </w:t>
      </w:r>
      <w:r>
        <w:rPr/>
        <w:t>Title</w:t>
      </w:r>
      <w:r>
        <w:rPr>
          <w:spacing w:val="-2"/>
        </w:rPr>
        <w:t> </w:t>
      </w:r>
      <w:r>
        <w:rPr/>
        <w:t>70,</w:t>
      </w:r>
      <w:r>
        <w:rPr>
          <w:spacing w:val="-2"/>
        </w:rPr>
        <w:t> </w:t>
      </w:r>
      <w:r>
        <w:rPr/>
        <w:t>O.S.</w:t>
      </w:r>
      <w:r>
        <w:rPr>
          <w:spacing w:val="-2"/>
        </w:rPr>
        <w:t> </w:t>
      </w:r>
      <w:r>
        <w:rPr/>
        <w:t>1990</w:t>
      </w:r>
      <w:r>
        <w:rPr>
          <w:spacing w:val="-2"/>
        </w:rPr>
        <w:t> </w:t>
      </w:r>
      <w:r>
        <w:rPr/>
        <w:t>6-101.21</w:t>
      </w:r>
      <w:r>
        <w:rPr>
          <w:spacing w:val="-3"/>
        </w:rPr>
        <w:t> </w:t>
      </w:r>
      <w:r>
        <w:rPr/>
        <w:t>and</w:t>
      </w:r>
      <w:r>
        <w:rPr>
          <w:spacing w:val="-1"/>
        </w:rPr>
        <w:t> </w:t>
      </w:r>
      <w:r>
        <w:rPr/>
        <w:t>6-</w:t>
      </w:r>
      <w:r>
        <w:rPr>
          <w:spacing w:val="-2"/>
        </w:rPr>
        <w:t>101.22.</w:t>
      </w:r>
    </w:p>
    <w:p>
      <w:pPr>
        <w:spacing w:before="237"/>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20"/>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#98-</w:t>
      </w:r>
      <w:r>
        <w:rPr>
          <w:spacing w:val="-5"/>
          <w:sz w:val="22"/>
        </w:rPr>
        <w:t>15</w:t>
      </w:r>
    </w:p>
    <w:p>
      <w:pPr>
        <w:tabs>
          <w:tab w:pos="1439" w:val="left" w:leader="none"/>
        </w:tabs>
        <w:spacing w:before="0"/>
        <w:ind w:left="360"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7-1-02</w:t>
      </w:r>
      <w:r>
        <w:rPr>
          <w:sz w:val="22"/>
        </w:rPr>
        <w:tab/>
        <w:t>PT Memo #02-02</w:t>
      </w:r>
    </w:p>
    <w:p>
      <w:pPr>
        <w:spacing w:before="0"/>
        <w:ind w:left="1439" w:right="775" w:firstLine="0"/>
        <w:jc w:val="left"/>
        <w:rPr>
          <w:sz w:val="22"/>
        </w:rPr>
      </w:pPr>
      <w:r>
        <w:rPr>
          <w:sz w:val="22"/>
        </w:rPr>
        <w:t>Permanent,</w:t>
      </w:r>
      <w:r>
        <w:rPr>
          <w:spacing w:val="-3"/>
          <w:sz w:val="22"/>
        </w:rPr>
        <w:t> </w:t>
      </w:r>
      <w:r>
        <w:rPr>
          <w:sz w:val="22"/>
        </w:rPr>
        <w:t>removed</w:t>
      </w:r>
      <w:r>
        <w:rPr>
          <w:spacing w:val="-4"/>
          <w:sz w:val="22"/>
        </w:rPr>
        <w:t> </w:t>
      </w:r>
      <w:r>
        <w:rPr>
          <w:sz w:val="22"/>
        </w:rPr>
        <w:t>"Teacher</w:t>
      </w:r>
      <w:r>
        <w:rPr>
          <w:spacing w:val="-4"/>
          <w:sz w:val="22"/>
        </w:rPr>
        <w:t> </w:t>
      </w:r>
      <w:r>
        <w:rPr>
          <w:sz w:val="22"/>
        </w:rPr>
        <w:t>Due</w:t>
      </w:r>
      <w:r>
        <w:rPr>
          <w:spacing w:val="-4"/>
          <w:sz w:val="22"/>
        </w:rPr>
        <w:t> </w:t>
      </w:r>
      <w:r>
        <w:rPr>
          <w:sz w:val="22"/>
        </w:rPr>
        <w:t>Process"</w:t>
      </w:r>
      <w:r>
        <w:rPr>
          <w:spacing w:val="-4"/>
          <w:sz w:val="22"/>
        </w:rPr>
        <w:t> </w:t>
      </w:r>
      <w:r>
        <w:rPr>
          <w:sz w:val="22"/>
        </w:rPr>
        <w:t>reference.</w:t>
      </w:r>
      <w:r>
        <w:rPr>
          <w:spacing w:val="40"/>
          <w:sz w:val="22"/>
        </w:rPr>
        <w:t> </w:t>
      </w:r>
      <w:r>
        <w:rPr>
          <w:sz w:val="22"/>
        </w:rPr>
        <w:t>DRS</w:t>
      </w:r>
      <w:r>
        <w:rPr>
          <w:spacing w:val="-4"/>
          <w:sz w:val="22"/>
        </w:rPr>
        <w:t> </w:t>
      </w:r>
      <w:r>
        <w:rPr>
          <w:sz w:val="22"/>
        </w:rPr>
        <w:t>policy</w:t>
      </w:r>
      <w:r>
        <w:rPr>
          <w:spacing w:val="-4"/>
          <w:sz w:val="22"/>
        </w:rPr>
        <w:t> </w:t>
      </w:r>
      <w:r>
        <w:rPr>
          <w:sz w:val="22"/>
        </w:rPr>
        <w:t>now</w:t>
      </w:r>
      <w:r>
        <w:rPr>
          <w:spacing w:val="-5"/>
          <w:sz w:val="22"/>
        </w:rPr>
        <w:t> </w:t>
      </w:r>
      <w:r>
        <w:rPr>
          <w:sz w:val="22"/>
        </w:rPr>
        <w:t>contains teacher due process.</w:t>
      </w:r>
    </w:p>
    <w:p>
      <w:pPr>
        <w:spacing w:after="0"/>
        <w:jc w:val="left"/>
        <w:rPr>
          <w:sz w:val="22"/>
        </w:rPr>
        <w:sectPr>
          <w:pgSz w:w="12240" w:h="15840"/>
          <w:pgMar w:top="1340" w:bottom="280" w:left="1080" w:right="720"/>
        </w:sectPr>
      </w:pPr>
    </w:p>
    <w:p>
      <w:pPr>
        <w:pStyle w:val="Heading2"/>
      </w:pPr>
      <w:bookmarkStart w:name="612:20-2-9.  Staff development  [RESERVE" w:id="328"/>
      <w:bookmarkEnd w:id="328"/>
      <w:r>
        <w:rPr>
          <w:b w:val="0"/>
        </w:rPr>
      </w:r>
      <w:r>
        <w:rPr/>
        <w:t>612:20-2-9.</w:t>
      </w:r>
      <w:r>
        <w:rPr>
          <w:spacing w:val="59"/>
        </w:rPr>
        <w:t> </w:t>
      </w:r>
      <w:r>
        <w:rPr/>
        <w:t>Staff</w:t>
      </w:r>
      <w:r>
        <w:rPr>
          <w:spacing w:val="-3"/>
        </w:rPr>
        <w:t> </w:t>
      </w:r>
      <w:r>
        <w:rPr/>
        <w:t>development</w:t>
      </w:r>
      <w:r>
        <w:rPr>
          <w:spacing w:val="59"/>
        </w:rPr>
        <w:t> </w:t>
      </w:r>
      <w:r>
        <w:rPr>
          <w:spacing w:val="-2"/>
        </w:rPr>
        <w:t>[RESERVED]</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02</w:t>
      </w:r>
      <w:r>
        <w:rPr>
          <w:sz w:val="22"/>
        </w:rPr>
        <w:tab/>
        <w:t>POL</w:t>
      </w:r>
      <w:r>
        <w:rPr>
          <w:spacing w:val="-9"/>
          <w:sz w:val="22"/>
        </w:rPr>
        <w:t> </w:t>
      </w:r>
      <w:r>
        <w:rPr>
          <w:sz w:val="22"/>
        </w:rPr>
        <w:t>Memo</w:t>
      </w:r>
      <w:r>
        <w:rPr>
          <w:spacing w:val="-8"/>
          <w:sz w:val="22"/>
        </w:rPr>
        <w:t> </w:t>
      </w:r>
      <w:r>
        <w:rPr>
          <w:sz w:val="22"/>
        </w:rPr>
        <w:t>#02-</w:t>
      </w:r>
      <w:r>
        <w:rPr>
          <w:spacing w:val="-5"/>
          <w:sz w:val="22"/>
        </w:rPr>
        <w:t>02</w:t>
      </w:r>
    </w:p>
    <w:p>
      <w:pPr>
        <w:spacing w:line="253" w:lineRule="exact" w:before="0"/>
        <w:ind w:left="1439" w:right="0" w:firstLine="0"/>
        <w:jc w:val="left"/>
        <w:rPr>
          <w:sz w:val="22"/>
        </w:rPr>
      </w:pPr>
      <w:r>
        <w:rPr>
          <w:sz w:val="22"/>
        </w:rPr>
        <w:t>Permanent,</w:t>
      </w:r>
      <w:r>
        <w:rPr>
          <w:spacing w:val="-13"/>
          <w:sz w:val="22"/>
        </w:rPr>
        <w:t> </w:t>
      </w:r>
      <w:r>
        <w:rPr>
          <w:spacing w:val="-2"/>
          <w:sz w:val="22"/>
        </w:rPr>
        <w:t>Reserved</w:t>
      </w:r>
    </w:p>
    <w:p>
      <w:pPr>
        <w:spacing w:after="0" w:line="253" w:lineRule="exact"/>
        <w:jc w:val="left"/>
        <w:rPr>
          <w:sz w:val="22"/>
        </w:rPr>
        <w:sectPr>
          <w:pgSz w:w="12240" w:h="15840"/>
          <w:pgMar w:top="1340" w:bottom="280" w:left="1080" w:right="720"/>
        </w:sectPr>
      </w:pPr>
    </w:p>
    <w:p>
      <w:pPr>
        <w:pStyle w:val="Heading2"/>
      </w:pPr>
      <w:bookmarkStart w:name="612:20-2-10.  Performance evaluation  [R" w:id="329"/>
      <w:bookmarkEnd w:id="329"/>
      <w:r>
        <w:rPr>
          <w:b w:val="0"/>
        </w:rPr>
      </w:r>
      <w:r>
        <w:rPr/>
        <w:t>612:20-2-10.</w:t>
      </w:r>
      <w:r>
        <w:rPr>
          <w:spacing w:val="58"/>
        </w:rPr>
        <w:t> </w:t>
      </w:r>
      <w:r>
        <w:rPr/>
        <w:t>Performance</w:t>
      </w:r>
      <w:r>
        <w:rPr>
          <w:spacing w:val="-4"/>
        </w:rPr>
        <w:t> </w:t>
      </w:r>
      <w:r>
        <w:rPr/>
        <w:t>evaluation</w:t>
      </w:r>
      <w:r>
        <w:rPr>
          <w:spacing w:val="58"/>
        </w:rPr>
        <w:t> </w:t>
      </w:r>
      <w:r>
        <w:rPr>
          <w:spacing w:val="-2"/>
        </w:rPr>
        <w:t>[RESERVED]</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02</w:t>
      </w:r>
      <w:r>
        <w:rPr>
          <w:sz w:val="22"/>
        </w:rPr>
        <w:tab/>
        <w:t>POL</w:t>
      </w:r>
      <w:r>
        <w:rPr>
          <w:spacing w:val="-9"/>
          <w:sz w:val="22"/>
        </w:rPr>
        <w:t> </w:t>
      </w:r>
      <w:r>
        <w:rPr>
          <w:sz w:val="22"/>
        </w:rPr>
        <w:t>Memo</w:t>
      </w:r>
      <w:r>
        <w:rPr>
          <w:spacing w:val="-8"/>
          <w:sz w:val="22"/>
        </w:rPr>
        <w:t> </w:t>
      </w:r>
      <w:r>
        <w:rPr>
          <w:sz w:val="22"/>
        </w:rPr>
        <w:t>#02-</w:t>
      </w:r>
      <w:r>
        <w:rPr>
          <w:spacing w:val="-5"/>
          <w:sz w:val="22"/>
        </w:rPr>
        <w:t>02</w:t>
      </w:r>
    </w:p>
    <w:p>
      <w:pPr>
        <w:spacing w:line="253" w:lineRule="exact" w:before="0"/>
        <w:ind w:left="1439" w:right="0" w:firstLine="0"/>
        <w:jc w:val="left"/>
        <w:rPr>
          <w:sz w:val="22"/>
        </w:rPr>
      </w:pPr>
      <w:r>
        <w:rPr>
          <w:sz w:val="22"/>
        </w:rPr>
        <w:t>Permanent,</w:t>
      </w:r>
      <w:r>
        <w:rPr>
          <w:spacing w:val="-13"/>
          <w:sz w:val="22"/>
        </w:rPr>
        <w:t> </w:t>
      </w:r>
      <w:r>
        <w:rPr>
          <w:spacing w:val="-2"/>
          <w:sz w:val="22"/>
        </w:rPr>
        <w:t>Reserved</w:t>
      </w:r>
    </w:p>
    <w:p>
      <w:pPr>
        <w:spacing w:after="0" w:line="253" w:lineRule="exact"/>
        <w:jc w:val="left"/>
        <w:rPr>
          <w:sz w:val="22"/>
        </w:rPr>
        <w:sectPr>
          <w:pgSz w:w="12240" w:h="15840"/>
          <w:pgMar w:top="1340" w:bottom="280" w:left="1080" w:right="720"/>
        </w:sectPr>
      </w:pPr>
    </w:p>
    <w:p>
      <w:pPr>
        <w:pStyle w:val="Heading2"/>
      </w:pPr>
      <w:bookmarkStart w:name="612:20-2-11.  Admonishment" w:id="330"/>
      <w:bookmarkEnd w:id="330"/>
      <w:r>
        <w:rPr>
          <w:b w:val="0"/>
        </w:rPr>
      </w:r>
      <w:r>
        <w:rPr/>
        <w:t>612:20-2-11.</w:t>
      </w:r>
      <w:r>
        <w:rPr>
          <w:spacing w:val="58"/>
        </w:rPr>
        <w:t> </w:t>
      </w:r>
      <w:r>
        <w:rPr>
          <w:spacing w:val="-2"/>
        </w:rPr>
        <w:t>Admonishment</w:t>
      </w:r>
    </w:p>
    <w:p>
      <w:pPr>
        <w:pStyle w:val="ListParagraph"/>
        <w:numPr>
          <w:ilvl w:val="0"/>
          <w:numId w:val="332"/>
        </w:numPr>
        <w:tabs>
          <w:tab w:pos="785" w:val="left" w:leader="none"/>
        </w:tabs>
        <w:spacing w:line="208" w:lineRule="auto" w:before="233" w:after="0"/>
        <w:ind w:left="360" w:right="913" w:firstLine="0"/>
        <w:jc w:val="left"/>
        <w:rPr>
          <w:sz w:val="24"/>
        </w:rPr>
      </w:pPr>
      <w:r>
        <w:rPr>
          <w:sz w:val="24"/>
        </w:rPr>
        <w:t>When</w:t>
      </w:r>
      <w:r>
        <w:rPr>
          <w:spacing w:val="-4"/>
          <w:sz w:val="24"/>
        </w:rPr>
        <w:t> </w:t>
      </w:r>
      <w:r>
        <w:rPr>
          <w:sz w:val="24"/>
        </w:rPr>
        <w:t>an</w:t>
      </w:r>
      <w:r>
        <w:rPr>
          <w:spacing w:val="-4"/>
          <w:sz w:val="24"/>
        </w:rPr>
        <w:t> </w:t>
      </w:r>
      <w:r>
        <w:rPr>
          <w:sz w:val="24"/>
        </w:rPr>
        <w:t>administrator</w:t>
      </w:r>
      <w:r>
        <w:rPr>
          <w:spacing w:val="-3"/>
          <w:sz w:val="24"/>
        </w:rPr>
        <w:t> </w:t>
      </w:r>
      <w:r>
        <w:rPr>
          <w:sz w:val="24"/>
        </w:rPr>
        <w:t>who</w:t>
      </w:r>
      <w:r>
        <w:rPr>
          <w:spacing w:val="-4"/>
          <w:sz w:val="24"/>
        </w:rPr>
        <w:t> </w:t>
      </w:r>
      <w:r>
        <w:rPr>
          <w:sz w:val="24"/>
        </w:rPr>
        <w:t>has</w:t>
      </w:r>
      <w:r>
        <w:rPr>
          <w:spacing w:val="-4"/>
          <w:sz w:val="24"/>
        </w:rPr>
        <w:t> </w:t>
      </w:r>
      <w:r>
        <w:rPr>
          <w:sz w:val="24"/>
        </w:rPr>
        <w:t>the</w:t>
      </w:r>
      <w:r>
        <w:rPr>
          <w:spacing w:val="-4"/>
          <w:sz w:val="24"/>
        </w:rPr>
        <w:t> </w:t>
      </w:r>
      <w:r>
        <w:rPr>
          <w:sz w:val="24"/>
        </w:rPr>
        <w:t>responsibility</w:t>
      </w:r>
      <w:r>
        <w:rPr>
          <w:spacing w:val="-4"/>
          <w:sz w:val="24"/>
        </w:rPr>
        <w:t> </w:t>
      </w:r>
      <w:r>
        <w:rPr>
          <w:sz w:val="24"/>
        </w:rPr>
        <w:t>of</w:t>
      </w:r>
      <w:r>
        <w:rPr>
          <w:spacing w:val="-3"/>
          <w:sz w:val="24"/>
        </w:rPr>
        <w:t> </w:t>
      </w:r>
      <w:r>
        <w:rPr>
          <w:sz w:val="24"/>
        </w:rPr>
        <w:t>evaluating</w:t>
      </w:r>
      <w:r>
        <w:rPr>
          <w:spacing w:val="-3"/>
          <w:sz w:val="24"/>
        </w:rPr>
        <w:t> </w:t>
      </w:r>
      <w:r>
        <w:rPr>
          <w:sz w:val="24"/>
        </w:rPr>
        <w:t>a</w:t>
      </w:r>
      <w:r>
        <w:rPr>
          <w:spacing w:val="-4"/>
          <w:sz w:val="24"/>
        </w:rPr>
        <w:t> </w:t>
      </w:r>
      <w:r>
        <w:rPr>
          <w:sz w:val="24"/>
        </w:rPr>
        <w:t>teacher</w:t>
      </w:r>
      <w:r>
        <w:rPr>
          <w:spacing w:val="-3"/>
          <w:sz w:val="24"/>
        </w:rPr>
        <w:t> </w:t>
      </w:r>
      <w:r>
        <w:rPr>
          <w:sz w:val="24"/>
        </w:rPr>
        <w:t>identifies poor performance or conduct that the administrator believes may lead to a recommendation for the teacher’s dismissal or nonreemployment, the administrator shall, after consulting with the Superintendent:</w:t>
      </w:r>
    </w:p>
    <w:p>
      <w:pPr>
        <w:pStyle w:val="ListParagraph"/>
        <w:numPr>
          <w:ilvl w:val="1"/>
          <w:numId w:val="332"/>
        </w:numPr>
        <w:tabs>
          <w:tab w:pos="1218" w:val="left" w:leader="none"/>
        </w:tabs>
        <w:spacing w:line="208" w:lineRule="auto" w:before="239" w:after="0"/>
        <w:ind w:left="792" w:right="1200" w:firstLine="0"/>
        <w:jc w:val="left"/>
        <w:rPr>
          <w:sz w:val="24"/>
        </w:rPr>
      </w:pPr>
      <w:r>
        <w:rPr>
          <w:sz w:val="24"/>
        </w:rPr>
        <w:t>Admonish</w:t>
      </w:r>
      <w:r>
        <w:rPr>
          <w:spacing w:val="-4"/>
          <w:sz w:val="24"/>
        </w:rPr>
        <w:t> </w:t>
      </w:r>
      <w:r>
        <w:rPr>
          <w:sz w:val="24"/>
        </w:rPr>
        <w:t>the</w:t>
      </w:r>
      <w:r>
        <w:rPr>
          <w:spacing w:val="-4"/>
          <w:sz w:val="24"/>
        </w:rPr>
        <w:t> </w:t>
      </w:r>
      <w:r>
        <w:rPr>
          <w:sz w:val="24"/>
        </w:rPr>
        <w:t>teacher,</w:t>
      </w:r>
      <w:r>
        <w:rPr>
          <w:spacing w:val="-3"/>
          <w:sz w:val="24"/>
        </w:rPr>
        <w:t> </w:t>
      </w:r>
      <w:r>
        <w:rPr>
          <w:sz w:val="24"/>
        </w:rPr>
        <w:t>in</w:t>
      </w:r>
      <w:r>
        <w:rPr>
          <w:spacing w:val="-4"/>
          <w:sz w:val="24"/>
        </w:rPr>
        <w:t> </w:t>
      </w:r>
      <w:r>
        <w:rPr>
          <w:sz w:val="24"/>
        </w:rPr>
        <w:t>writing,</w:t>
      </w:r>
      <w:r>
        <w:rPr>
          <w:spacing w:val="-3"/>
          <w:sz w:val="24"/>
        </w:rPr>
        <w:t> </w:t>
      </w:r>
      <w:r>
        <w:rPr>
          <w:sz w:val="24"/>
        </w:rPr>
        <w:t>and</w:t>
      </w:r>
      <w:r>
        <w:rPr>
          <w:spacing w:val="-4"/>
          <w:sz w:val="24"/>
        </w:rPr>
        <w:t> </w:t>
      </w:r>
      <w:r>
        <w:rPr>
          <w:sz w:val="24"/>
        </w:rPr>
        <w:t>make</w:t>
      </w:r>
      <w:r>
        <w:rPr>
          <w:spacing w:val="-4"/>
          <w:sz w:val="24"/>
        </w:rPr>
        <w:t> </w:t>
      </w:r>
      <w:r>
        <w:rPr>
          <w:sz w:val="24"/>
        </w:rPr>
        <w:t>a</w:t>
      </w:r>
      <w:r>
        <w:rPr>
          <w:spacing w:val="-4"/>
          <w:sz w:val="24"/>
        </w:rPr>
        <w:t> </w:t>
      </w:r>
      <w:r>
        <w:rPr>
          <w:sz w:val="24"/>
        </w:rPr>
        <w:t>reasonable</w:t>
      </w:r>
      <w:r>
        <w:rPr>
          <w:spacing w:val="-4"/>
          <w:sz w:val="24"/>
        </w:rPr>
        <w:t> </w:t>
      </w:r>
      <w:r>
        <w:rPr>
          <w:sz w:val="24"/>
        </w:rPr>
        <w:t>effort</w:t>
      </w:r>
      <w:r>
        <w:rPr>
          <w:spacing w:val="-3"/>
          <w:sz w:val="24"/>
        </w:rPr>
        <w:t> </w:t>
      </w:r>
      <w:r>
        <w:rPr>
          <w:sz w:val="24"/>
        </w:rPr>
        <w:t>to</w:t>
      </w:r>
      <w:r>
        <w:rPr>
          <w:spacing w:val="-4"/>
          <w:sz w:val="24"/>
        </w:rPr>
        <w:t> </w:t>
      </w:r>
      <w:r>
        <w:rPr>
          <w:sz w:val="24"/>
        </w:rPr>
        <w:t>assist</w:t>
      </w:r>
      <w:r>
        <w:rPr>
          <w:spacing w:val="-5"/>
          <w:sz w:val="24"/>
        </w:rPr>
        <w:t> </w:t>
      </w:r>
      <w:r>
        <w:rPr>
          <w:sz w:val="24"/>
        </w:rPr>
        <w:t>the teacher in correcting the poor performance or conduct; and</w:t>
      </w:r>
    </w:p>
    <w:p>
      <w:pPr>
        <w:pStyle w:val="ListParagraph"/>
        <w:numPr>
          <w:ilvl w:val="1"/>
          <w:numId w:val="332"/>
        </w:numPr>
        <w:tabs>
          <w:tab w:pos="1218" w:val="left" w:leader="none"/>
        </w:tabs>
        <w:spacing w:line="208" w:lineRule="auto" w:before="240" w:after="0"/>
        <w:ind w:left="792" w:right="1175" w:firstLine="0"/>
        <w:jc w:val="left"/>
        <w:rPr>
          <w:sz w:val="24"/>
        </w:rPr>
      </w:pPr>
      <w:r>
        <w:rPr>
          <w:sz w:val="24"/>
        </w:rPr>
        <w:t>Establish</w:t>
      </w:r>
      <w:r>
        <w:rPr>
          <w:spacing w:val="-4"/>
          <w:sz w:val="24"/>
        </w:rPr>
        <w:t> </w:t>
      </w:r>
      <w:r>
        <w:rPr>
          <w:sz w:val="24"/>
        </w:rPr>
        <w:t>a</w:t>
      </w:r>
      <w:r>
        <w:rPr>
          <w:spacing w:val="-4"/>
          <w:sz w:val="24"/>
        </w:rPr>
        <w:t> </w:t>
      </w:r>
      <w:r>
        <w:rPr>
          <w:sz w:val="24"/>
        </w:rPr>
        <w:t>reasonable</w:t>
      </w:r>
      <w:r>
        <w:rPr>
          <w:spacing w:val="-4"/>
          <w:sz w:val="24"/>
        </w:rPr>
        <w:t> </w:t>
      </w:r>
      <w:r>
        <w:rPr>
          <w:sz w:val="24"/>
        </w:rPr>
        <w:t>time</w:t>
      </w:r>
      <w:r>
        <w:rPr>
          <w:spacing w:val="-4"/>
          <w:sz w:val="24"/>
        </w:rPr>
        <w:t> </w:t>
      </w:r>
      <w:r>
        <w:rPr>
          <w:sz w:val="24"/>
        </w:rPr>
        <w:t>for</w:t>
      </w:r>
      <w:r>
        <w:rPr>
          <w:spacing w:val="-3"/>
          <w:sz w:val="24"/>
        </w:rPr>
        <w:t> </w:t>
      </w:r>
      <w:r>
        <w:rPr>
          <w:sz w:val="24"/>
        </w:rPr>
        <w:t>improvement,</w:t>
      </w:r>
      <w:r>
        <w:rPr>
          <w:spacing w:val="-3"/>
          <w:sz w:val="24"/>
        </w:rPr>
        <w:t> </w:t>
      </w:r>
      <w:r>
        <w:rPr>
          <w:sz w:val="24"/>
        </w:rPr>
        <w:t>not</w:t>
      </w:r>
      <w:r>
        <w:rPr>
          <w:spacing w:val="-5"/>
          <w:sz w:val="24"/>
        </w:rPr>
        <w:t> </w:t>
      </w:r>
      <w:r>
        <w:rPr>
          <w:sz w:val="24"/>
        </w:rPr>
        <w:t>to</w:t>
      </w:r>
      <w:r>
        <w:rPr>
          <w:spacing w:val="-4"/>
          <w:sz w:val="24"/>
        </w:rPr>
        <w:t> </w:t>
      </w:r>
      <w:r>
        <w:rPr>
          <w:sz w:val="24"/>
        </w:rPr>
        <w:t>exceed</w:t>
      </w:r>
      <w:r>
        <w:rPr>
          <w:spacing w:val="-4"/>
          <w:sz w:val="24"/>
        </w:rPr>
        <w:t> </w:t>
      </w:r>
      <w:r>
        <w:rPr>
          <w:sz w:val="24"/>
        </w:rPr>
        <w:t>two</w:t>
      </w:r>
      <w:r>
        <w:rPr>
          <w:spacing w:val="-4"/>
          <w:sz w:val="24"/>
        </w:rPr>
        <w:t> </w:t>
      </w:r>
      <w:r>
        <w:rPr>
          <w:sz w:val="24"/>
        </w:rPr>
        <w:t>(2)</w:t>
      </w:r>
      <w:r>
        <w:rPr>
          <w:spacing w:val="-3"/>
          <w:sz w:val="24"/>
        </w:rPr>
        <w:t> </w:t>
      </w:r>
      <w:r>
        <w:rPr>
          <w:sz w:val="24"/>
        </w:rPr>
        <w:t>months, taking into consideration the nature and gravity of the teacher’s performance or </w:t>
      </w:r>
      <w:r>
        <w:rPr>
          <w:spacing w:val="-2"/>
          <w:sz w:val="24"/>
        </w:rPr>
        <w:t>conduct.</w:t>
      </w:r>
    </w:p>
    <w:p>
      <w:pPr>
        <w:pStyle w:val="ListParagraph"/>
        <w:numPr>
          <w:ilvl w:val="0"/>
          <w:numId w:val="332"/>
        </w:numPr>
        <w:tabs>
          <w:tab w:pos="785" w:val="left" w:leader="none"/>
        </w:tabs>
        <w:spacing w:line="208" w:lineRule="auto" w:before="240" w:after="0"/>
        <w:ind w:left="360" w:right="833" w:firstLine="0"/>
        <w:jc w:val="left"/>
        <w:rPr>
          <w:sz w:val="24"/>
        </w:rPr>
      </w:pPr>
      <w:r>
        <w:rPr>
          <w:sz w:val="24"/>
        </w:rPr>
        <w:t>If the teacher does not correct the poor performance or conduct cited in the admonition</w:t>
      </w:r>
      <w:r>
        <w:rPr>
          <w:spacing w:val="-3"/>
          <w:sz w:val="24"/>
        </w:rPr>
        <w:t> </w:t>
      </w:r>
      <w:r>
        <w:rPr>
          <w:sz w:val="24"/>
        </w:rPr>
        <w:t>within</w:t>
      </w:r>
      <w:r>
        <w:rPr>
          <w:spacing w:val="-4"/>
          <w:sz w:val="24"/>
        </w:rPr>
        <w:t> </w:t>
      </w:r>
      <w:r>
        <w:rPr>
          <w:sz w:val="24"/>
        </w:rPr>
        <w:t>the</w:t>
      </w:r>
      <w:r>
        <w:rPr>
          <w:spacing w:val="-4"/>
          <w:sz w:val="24"/>
        </w:rPr>
        <w:t> </w:t>
      </w:r>
      <w:r>
        <w:rPr>
          <w:sz w:val="24"/>
        </w:rPr>
        <w:t>time</w:t>
      </w:r>
      <w:r>
        <w:rPr>
          <w:spacing w:val="-4"/>
          <w:sz w:val="24"/>
        </w:rPr>
        <w:t> </w:t>
      </w:r>
      <w:r>
        <w:rPr>
          <w:sz w:val="24"/>
        </w:rPr>
        <w:t>specified,</w:t>
      </w:r>
      <w:r>
        <w:rPr>
          <w:spacing w:val="-3"/>
          <w:sz w:val="24"/>
        </w:rPr>
        <w:t> </w:t>
      </w:r>
      <w:r>
        <w:rPr>
          <w:sz w:val="24"/>
        </w:rPr>
        <w:t>the</w:t>
      </w:r>
      <w:r>
        <w:rPr>
          <w:spacing w:val="-4"/>
          <w:sz w:val="24"/>
        </w:rPr>
        <w:t> </w:t>
      </w:r>
      <w:r>
        <w:rPr>
          <w:sz w:val="24"/>
        </w:rPr>
        <w:t>administrator</w:t>
      </w:r>
      <w:r>
        <w:rPr>
          <w:spacing w:val="-5"/>
          <w:sz w:val="24"/>
        </w:rPr>
        <w:t> </w:t>
      </w:r>
      <w:r>
        <w:rPr>
          <w:sz w:val="24"/>
        </w:rPr>
        <w:t>shall</w:t>
      </w:r>
      <w:r>
        <w:rPr>
          <w:spacing w:val="-4"/>
          <w:sz w:val="24"/>
        </w:rPr>
        <w:t> </w:t>
      </w:r>
      <w:r>
        <w:rPr>
          <w:sz w:val="24"/>
        </w:rPr>
        <w:t>make</w:t>
      </w:r>
      <w:r>
        <w:rPr>
          <w:spacing w:val="-4"/>
          <w:sz w:val="24"/>
        </w:rPr>
        <w:t> </w:t>
      </w:r>
      <w:r>
        <w:rPr>
          <w:sz w:val="24"/>
        </w:rPr>
        <w:t>a</w:t>
      </w:r>
      <w:r>
        <w:rPr>
          <w:spacing w:val="-4"/>
          <w:sz w:val="24"/>
        </w:rPr>
        <w:t> </w:t>
      </w:r>
      <w:r>
        <w:rPr>
          <w:sz w:val="24"/>
        </w:rPr>
        <w:t>recommendation</w:t>
      </w:r>
      <w:r>
        <w:rPr>
          <w:spacing w:val="-4"/>
          <w:sz w:val="24"/>
        </w:rPr>
        <w:t> </w:t>
      </w:r>
      <w:r>
        <w:rPr>
          <w:sz w:val="24"/>
        </w:rPr>
        <w:t>to the Superintendent for the dismissal or nonreemployment of the teacher.</w:t>
      </w:r>
    </w:p>
    <w:p>
      <w:pPr>
        <w:pStyle w:val="ListParagraph"/>
        <w:numPr>
          <w:ilvl w:val="0"/>
          <w:numId w:val="332"/>
        </w:numPr>
        <w:tabs>
          <w:tab w:pos="773" w:val="left" w:leader="none"/>
        </w:tabs>
        <w:spacing w:line="208" w:lineRule="auto" w:before="240" w:after="0"/>
        <w:ind w:left="360" w:right="752" w:firstLine="0"/>
        <w:jc w:val="left"/>
        <w:rPr>
          <w:sz w:val="24"/>
        </w:rPr>
      </w:pPr>
      <w:r>
        <w:rPr>
          <w:sz w:val="24"/>
        </w:rPr>
        <w:t>Whenever the Director, Chief of Staff, Superintendent or a school administrator identifies</w:t>
      </w:r>
      <w:r>
        <w:rPr>
          <w:spacing w:val="-4"/>
          <w:sz w:val="24"/>
        </w:rPr>
        <w:t> </w:t>
      </w:r>
      <w:r>
        <w:rPr>
          <w:sz w:val="24"/>
        </w:rPr>
        <w:t>poor</w:t>
      </w:r>
      <w:r>
        <w:rPr>
          <w:spacing w:val="-3"/>
          <w:sz w:val="24"/>
        </w:rPr>
        <w:t> </w:t>
      </w:r>
      <w:r>
        <w:rPr>
          <w:sz w:val="24"/>
        </w:rPr>
        <w:t>performance</w:t>
      </w:r>
      <w:r>
        <w:rPr>
          <w:spacing w:val="-4"/>
          <w:sz w:val="24"/>
        </w:rPr>
        <w:t> </w:t>
      </w:r>
      <w:r>
        <w:rPr>
          <w:sz w:val="24"/>
        </w:rPr>
        <w:t>or</w:t>
      </w:r>
      <w:r>
        <w:rPr>
          <w:spacing w:val="-3"/>
          <w:sz w:val="24"/>
        </w:rPr>
        <w:t> </w:t>
      </w:r>
      <w:r>
        <w:rPr>
          <w:sz w:val="24"/>
        </w:rPr>
        <w:t>conduct</w:t>
      </w:r>
      <w:r>
        <w:rPr>
          <w:spacing w:val="-3"/>
          <w:sz w:val="24"/>
        </w:rPr>
        <w:t> </w:t>
      </w:r>
      <w:r>
        <w:rPr>
          <w:sz w:val="24"/>
        </w:rPr>
        <w:t>that</w:t>
      </w:r>
      <w:r>
        <w:rPr>
          <w:spacing w:val="-3"/>
          <w:sz w:val="24"/>
        </w:rPr>
        <w:t> </w:t>
      </w:r>
      <w:r>
        <w:rPr>
          <w:sz w:val="24"/>
        </w:rPr>
        <w:t>may</w:t>
      </w:r>
      <w:r>
        <w:rPr>
          <w:spacing w:val="-4"/>
          <w:sz w:val="24"/>
        </w:rPr>
        <w:t> </w:t>
      </w:r>
      <w:r>
        <w:rPr>
          <w:sz w:val="24"/>
        </w:rPr>
        <w:t>lead</w:t>
      </w:r>
      <w:r>
        <w:rPr>
          <w:spacing w:val="-4"/>
          <w:sz w:val="24"/>
        </w:rPr>
        <w:t> </w:t>
      </w:r>
      <w:r>
        <w:rPr>
          <w:sz w:val="24"/>
        </w:rPr>
        <w:t>to</w:t>
      </w:r>
      <w:r>
        <w:rPr>
          <w:spacing w:val="-4"/>
          <w:sz w:val="24"/>
        </w:rPr>
        <w:t> </w:t>
      </w:r>
      <w:r>
        <w:rPr>
          <w:sz w:val="24"/>
        </w:rPr>
        <w:t>a</w:t>
      </w:r>
      <w:r>
        <w:rPr>
          <w:spacing w:val="-4"/>
          <w:sz w:val="24"/>
        </w:rPr>
        <w:t> </w:t>
      </w:r>
      <w:r>
        <w:rPr>
          <w:sz w:val="24"/>
        </w:rPr>
        <w:t>recommendation</w:t>
      </w:r>
      <w:r>
        <w:rPr>
          <w:spacing w:val="-3"/>
          <w:sz w:val="24"/>
        </w:rPr>
        <w:t> </w:t>
      </w:r>
      <w:r>
        <w:rPr>
          <w:sz w:val="24"/>
        </w:rPr>
        <w:t>for</w:t>
      </w:r>
      <w:r>
        <w:rPr>
          <w:spacing w:val="-3"/>
          <w:sz w:val="24"/>
        </w:rPr>
        <w:t> </w:t>
      </w:r>
      <w:r>
        <w:rPr>
          <w:sz w:val="24"/>
        </w:rPr>
        <w:t>dismissal or nonreemployment of a teacher, the administrator who has responsibility for</w:t>
      </w:r>
      <w:r>
        <w:rPr>
          <w:sz w:val="24"/>
        </w:rPr>
        <w:t> evaluation of the teacher shall be informed, and that administrator shall comply with the procedures set forth in this section.</w:t>
      </w:r>
      <w:r>
        <w:rPr>
          <w:spacing w:val="40"/>
          <w:sz w:val="24"/>
        </w:rPr>
        <w:t> </w:t>
      </w:r>
      <w:r>
        <w:rPr>
          <w:sz w:val="24"/>
        </w:rPr>
        <w:t>If the administrator fails or refuses to admonish the teacher within ten (10) calendar days after being so informed by the Director, Chief of Staff, Superintendent or other school administrator, then the Superintendent shall admonish the teacher pursuant to the provisions of this section.</w:t>
      </w:r>
    </w:p>
    <w:p>
      <w:pPr>
        <w:pStyle w:val="ListParagraph"/>
        <w:numPr>
          <w:ilvl w:val="0"/>
          <w:numId w:val="332"/>
        </w:numPr>
        <w:tabs>
          <w:tab w:pos="786" w:val="left" w:leader="none"/>
        </w:tabs>
        <w:spacing w:line="208" w:lineRule="auto" w:before="239" w:after="0"/>
        <w:ind w:left="360" w:right="756" w:firstLine="0"/>
        <w:jc w:val="left"/>
        <w:rPr>
          <w:sz w:val="24"/>
        </w:rPr>
      </w:pPr>
      <w:r>
        <w:rPr>
          <w:sz w:val="24"/>
        </w:rPr>
        <w:t>Repeated negligence in performance of duty, willful neglect of duty, incompetency, instructional ineffectiveness or unsatisfactory teaching performance, for a career teacher, or any cause related to inadequate teaching performance for a probationary teacher,</w:t>
      </w:r>
      <w:r>
        <w:rPr>
          <w:spacing w:val="-2"/>
          <w:sz w:val="24"/>
        </w:rPr>
        <w:t> </w:t>
      </w:r>
      <w:r>
        <w:rPr>
          <w:sz w:val="24"/>
        </w:rPr>
        <w:t>shall</w:t>
      </w:r>
      <w:r>
        <w:rPr>
          <w:spacing w:val="-3"/>
          <w:sz w:val="24"/>
        </w:rPr>
        <w:t> </w:t>
      </w:r>
      <w:r>
        <w:rPr>
          <w:sz w:val="24"/>
        </w:rPr>
        <w:t>not</w:t>
      </w:r>
      <w:r>
        <w:rPr>
          <w:spacing w:val="-2"/>
          <w:sz w:val="24"/>
        </w:rPr>
        <w:t> </w:t>
      </w:r>
      <w:r>
        <w:rPr>
          <w:sz w:val="24"/>
        </w:rPr>
        <w:t>be</w:t>
      </w:r>
      <w:r>
        <w:rPr>
          <w:spacing w:val="-3"/>
          <w:sz w:val="24"/>
        </w:rPr>
        <w:t> </w:t>
      </w:r>
      <w:r>
        <w:rPr>
          <w:sz w:val="24"/>
        </w:rPr>
        <w:t>a</w:t>
      </w:r>
      <w:r>
        <w:rPr>
          <w:spacing w:val="-3"/>
          <w:sz w:val="24"/>
        </w:rPr>
        <w:t> </w:t>
      </w:r>
      <w:r>
        <w:rPr>
          <w:sz w:val="24"/>
        </w:rPr>
        <w:t>basis</w:t>
      </w:r>
      <w:r>
        <w:rPr>
          <w:spacing w:val="-3"/>
          <w:sz w:val="24"/>
        </w:rPr>
        <w:t> </w:t>
      </w:r>
      <w:r>
        <w:rPr>
          <w:sz w:val="24"/>
        </w:rPr>
        <w:t>for</w:t>
      </w:r>
      <w:r>
        <w:rPr>
          <w:spacing w:val="-2"/>
          <w:sz w:val="24"/>
        </w:rPr>
        <w:t> </w:t>
      </w:r>
      <w:r>
        <w:rPr>
          <w:sz w:val="24"/>
        </w:rPr>
        <w:t>a</w:t>
      </w:r>
      <w:r>
        <w:rPr>
          <w:spacing w:val="-4"/>
          <w:sz w:val="24"/>
        </w:rPr>
        <w:t> </w:t>
      </w:r>
      <w:r>
        <w:rPr>
          <w:sz w:val="24"/>
        </w:rPr>
        <w:t>recommendation</w:t>
      </w:r>
      <w:r>
        <w:rPr>
          <w:spacing w:val="-3"/>
          <w:sz w:val="24"/>
        </w:rPr>
        <w:t> </w:t>
      </w:r>
      <w:r>
        <w:rPr>
          <w:sz w:val="24"/>
        </w:rPr>
        <w:t>to</w:t>
      </w:r>
      <w:r>
        <w:rPr>
          <w:spacing w:val="-3"/>
          <w:sz w:val="24"/>
        </w:rPr>
        <w:t> </w:t>
      </w:r>
      <w:r>
        <w:rPr>
          <w:sz w:val="24"/>
        </w:rPr>
        <w:t>dismiss</w:t>
      </w:r>
      <w:r>
        <w:rPr>
          <w:spacing w:val="-3"/>
          <w:sz w:val="24"/>
        </w:rPr>
        <w:t> </w:t>
      </w:r>
      <w:r>
        <w:rPr>
          <w:sz w:val="24"/>
        </w:rPr>
        <w:t>or</w:t>
      </w:r>
      <w:r>
        <w:rPr>
          <w:spacing w:val="-2"/>
          <w:sz w:val="24"/>
        </w:rPr>
        <w:t> </w:t>
      </w:r>
      <w:r>
        <w:rPr>
          <w:sz w:val="24"/>
        </w:rPr>
        <w:t>not</w:t>
      </w:r>
      <w:r>
        <w:rPr>
          <w:spacing w:val="-2"/>
          <w:sz w:val="24"/>
        </w:rPr>
        <w:t> </w:t>
      </w:r>
      <w:r>
        <w:rPr>
          <w:sz w:val="24"/>
        </w:rPr>
        <w:t>reemploy</w:t>
      </w:r>
      <w:r>
        <w:rPr>
          <w:spacing w:val="-4"/>
          <w:sz w:val="24"/>
        </w:rPr>
        <w:t> </w:t>
      </w:r>
      <w:r>
        <w:rPr>
          <w:sz w:val="24"/>
        </w:rPr>
        <w:t>a</w:t>
      </w:r>
      <w:r>
        <w:rPr>
          <w:spacing w:val="-3"/>
          <w:sz w:val="24"/>
        </w:rPr>
        <w:t> </w:t>
      </w:r>
      <w:r>
        <w:rPr>
          <w:sz w:val="24"/>
        </w:rPr>
        <w:t>teacher unless and until the provisions of this section have been complied with.</w:t>
      </w:r>
    </w:p>
    <w:p>
      <w:pPr>
        <w:pStyle w:val="ListParagraph"/>
        <w:numPr>
          <w:ilvl w:val="0"/>
          <w:numId w:val="332"/>
        </w:numPr>
        <w:tabs>
          <w:tab w:pos="785" w:val="left" w:leader="none"/>
        </w:tabs>
        <w:spacing w:line="208" w:lineRule="auto" w:before="239" w:after="0"/>
        <w:ind w:left="360" w:right="887" w:firstLine="0"/>
        <w:jc w:val="left"/>
        <w:rPr>
          <w:sz w:val="24"/>
        </w:rPr>
      </w:pPr>
      <w:r>
        <w:rPr>
          <w:sz w:val="24"/>
        </w:rPr>
        <w:t>In determining whether or not the professional performance of a teacher is adequate,</w:t>
      </w:r>
      <w:r>
        <w:rPr>
          <w:spacing w:val="-2"/>
          <w:sz w:val="24"/>
        </w:rPr>
        <w:t> </w:t>
      </w:r>
      <w:r>
        <w:rPr>
          <w:sz w:val="24"/>
        </w:rPr>
        <w:t>the</w:t>
      </w:r>
      <w:r>
        <w:rPr>
          <w:spacing w:val="-3"/>
          <w:sz w:val="24"/>
        </w:rPr>
        <w:t> </w:t>
      </w:r>
      <w:r>
        <w:rPr>
          <w:sz w:val="24"/>
        </w:rPr>
        <w:t>standards</w:t>
      </w:r>
      <w:r>
        <w:rPr>
          <w:spacing w:val="-3"/>
          <w:sz w:val="24"/>
        </w:rPr>
        <w:t> </w:t>
      </w:r>
      <w:r>
        <w:rPr>
          <w:sz w:val="24"/>
        </w:rPr>
        <w:t>adopted</w:t>
      </w:r>
      <w:r>
        <w:rPr>
          <w:spacing w:val="-2"/>
          <w:sz w:val="24"/>
        </w:rPr>
        <w:t> </w:t>
      </w:r>
      <w:r>
        <w:rPr>
          <w:sz w:val="24"/>
        </w:rPr>
        <w:t>by</w:t>
      </w:r>
      <w:r>
        <w:rPr>
          <w:spacing w:val="-3"/>
          <w:sz w:val="24"/>
        </w:rPr>
        <w:t> </w:t>
      </w:r>
      <w:r>
        <w:rPr>
          <w:sz w:val="24"/>
        </w:rPr>
        <w:t>the</w:t>
      </w:r>
      <w:r>
        <w:rPr>
          <w:spacing w:val="-3"/>
          <w:sz w:val="24"/>
        </w:rPr>
        <w:t> </w:t>
      </w:r>
      <w:r>
        <w:rPr>
          <w:sz w:val="24"/>
        </w:rPr>
        <w:t>State</w:t>
      </w:r>
      <w:r>
        <w:rPr>
          <w:spacing w:val="-3"/>
          <w:sz w:val="24"/>
        </w:rPr>
        <w:t> </w:t>
      </w:r>
      <w:r>
        <w:rPr>
          <w:sz w:val="24"/>
        </w:rPr>
        <w:t>Board</w:t>
      </w:r>
      <w:r>
        <w:rPr>
          <w:spacing w:val="-3"/>
          <w:sz w:val="24"/>
        </w:rPr>
        <w:t> </w:t>
      </w:r>
      <w:r>
        <w:rPr>
          <w:sz w:val="24"/>
        </w:rPr>
        <w:t>of</w:t>
      </w:r>
      <w:r>
        <w:rPr>
          <w:spacing w:val="-4"/>
          <w:sz w:val="24"/>
        </w:rPr>
        <w:t> </w:t>
      </w:r>
      <w:r>
        <w:rPr>
          <w:sz w:val="24"/>
        </w:rPr>
        <w:t>Education</w:t>
      </w:r>
      <w:r>
        <w:rPr>
          <w:spacing w:val="-3"/>
          <w:sz w:val="24"/>
        </w:rPr>
        <w:t> </w:t>
      </w:r>
      <w:r>
        <w:rPr>
          <w:sz w:val="24"/>
        </w:rPr>
        <w:t>shall</w:t>
      </w:r>
      <w:r>
        <w:rPr>
          <w:spacing w:val="-3"/>
          <w:sz w:val="24"/>
        </w:rPr>
        <w:t> </w:t>
      </w:r>
      <w:r>
        <w:rPr>
          <w:sz w:val="24"/>
        </w:rPr>
        <w:t>be</w:t>
      </w:r>
      <w:r>
        <w:rPr>
          <w:spacing w:val="-3"/>
          <w:sz w:val="24"/>
        </w:rPr>
        <w:t> </w:t>
      </w:r>
      <w:r>
        <w:rPr>
          <w:sz w:val="24"/>
        </w:rPr>
        <w:t>considered. Consideration may be given to any written standards of performance which have been adopted by any other education-oriented organization or agency.</w:t>
      </w:r>
      <w:r>
        <w:rPr>
          <w:spacing w:val="40"/>
          <w:sz w:val="24"/>
        </w:rPr>
        <w:t> </w:t>
      </w:r>
      <w:r>
        <w:rPr>
          <w:sz w:val="24"/>
        </w:rPr>
        <w:t>Professional performance</w:t>
      </w:r>
      <w:r>
        <w:rPr>
          <w:spacing w:val="-4"/>
          <w:sz w:val="24"/>
        </w:rPr>
        <w:t> </w:t>
      </w:r>
      <w:r>
        <w:rPr>
          <w:sz w:val="24"/>
        </w:rPr>
        <w:t>or</w:t>
      </w:r>
      <w:r>
        <w:rPr>
          <w:spacing w:val="-3"/>
          <w:sz w:val="24"/>
        </w:rPr>
        <w:t> </w:t>
      </w:r>
      <w:r>
        <w:rPr>
          <w:sz w:val="24"/>
        </w:rPr>
        <w:t>conduct</w:t>
      </w:r>
      <w:r>
        <w:rPr>
          <w:spacing w:val="-3"/>
          <w:sz w:val="24"/>
        </w:rPr>
        <w:t> </w:t>
      </w:r>
      <w:r>
        <w:rPr>
          <w:sz w:val="24"/>
        </w:rPr>
        <w:t>of</w:t>
      </w:r>
      <w:r>
        <w:rPr>
          <w:spacing w:val="-5"/>
          <w:sz w:val="24"/>
        </w:rPr>
        <w:t> </w:t>
      </w:r>
      <w:r>
        <w:rPr>
          <w:sz w:val="24"/>
        </w:rPr>
        <w:t>a</w:t>
      </w:r>
      <w:r>
        <w:rPr>
          <w:spacing w:val="-4"/>
          <w:sz w:val="24"/>
        </w:rPr>
        <w:t> </w:t>
      </w:r>
      <w:r>
        <w:rPr>
          <w:sz w:val="24"/>
        </w:rPr>
        <w:t>teacher</w:t>
      </w:r>
      <w:r>
        <w:rPr>
          <w:spacing w:val="-3"/>
          <w:sz w:val="24"/>
        </w:rPr>
        <w:t> </w:t>
      </w:r>
      <w:r>
        <w:rPr>
          <w:sz w:val="24"/>
        </w:rPr>
        <w:t>which</w:t>
      </w:r>
      <w:r>
        <w:rPr>
          <w:spacing w:val="-4"/>
          <w:sz w:val="24"/>
        </w:rPr>
        <w:t> </w:t>
      </w:r>
      <w:r>
        <w:rPr>
          <w:sz w:val="24"/>
        </w:rPr>
        <w:t>is</w:t>
      </w:r>
      <w:r>
        <w:rPr>
          <w:spacing w:val="-4"/>
          <w:sz w:val="24"/>
        </w:rPr>
        <w:t> </w:t>
      </w:r>
      <w:r>
        <w:rPr>
          <w:sz w:val="24"/>
        </w:rPr>
        <w:t>in</w:t>
      </w:r>
      <w:r>
        <w:rPr>
          <w:spacing w:val="-4"/>
          <w:sz w:val="24"/>
        </w:rPr>
        <w:t> </w:t>
      </w:r>
      <w:r>
        <w:rPr>
          <w:sz w:val="24"/>
        </w:rPr>
        <w:t>compliance</w:t>
      </w:r>
      <w:r>
        <w:rPr>
          <w:spacing w:val="-4"/>
          <w:sz w:val="24"/>
        </w:rPr>
        <w:t> </w:t>
      </w:r>
      <w:r>
        <w:rPr>
          <w:sz w:val="24"/>
        </w:rPr>
        <w:t>with</w:t>
      </w:r>
      <w:r>
        <w:rPr>
          <w:spacing w:val="-4"/>
          <w:sz w:val="24"/>
        </w:rPr>
        <w:t> </w:t>
      </w:r>
      <w:r>
        <w:rPr>
          <w:sz w:val="24"/>
        </w:rPr>
        <w:t>standards</w:t>
      </w:r>
      <w:r>
        <w:rPr>
          <w:spacing w:val="-4"/>
          <w:sz w:val="24"/>
        </w:rPr>
        <w:t> </w:t>
      </w:r>
      <w:r>
        <w:rPr>
          <w:sz w:val="24"/>
        </w:rPr>
        <w:t>adopted</w:t>
      </w:r>
      <w:r>
        <w:rPr>
          <w:spacing w:val="-4"/>
          <w:sz w:val="24"/>
        </w:rPr>
        <w:t> </w:t>
      </w:r>
      <w:r>
        <w:rPr>
          <w:sz w:val="24"/>
        </w:rPr>
        <w:t>by the State Board of Education or the Department of Rehabilitation Services shall not be considered in support of any dismissal or nonreemployment against the teacher.</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02</w:t>
      </w:r>
      <w:r>
        <w:rPr>
          <w:sz w:val="22"/>
        </w:rPr>
        <w:tab/>
        <w:t>PT</w:t>
      </w:r>
      <w:r>
        <w:rPr>
          <w:spacing w:val="-8"/>
          <w:sz w:val="22"/>
        </w:rPr>
        <w:t> </w:t>
      </w:r>
      <w:r>
        <w:rPr>
          <w:sz w:val="22"/>
        </w:rPr>
        <w:t>Memo</w:t>
      </w:r>
      <w:r>
        <w:rPr>
          <w:spacing w:val="-8"/>
          <w:sz w:val="22"/>
        </w:rPr>
        <w:t> </w:t>
      </w:r>
      <w:r>
        <w:rPr>
          <w:sz w:val="22"/>
        </w:rPr>
        <w:t>#02-</w:t>
      </w:r>
      <w:r>
        <w:rPr>
          <w:spacing w:val="-5"/>
          <w:sz w:val="22"/>
        </w:rPr>
        <w:t>02</w:t>
      </w:r>
    </w:p>
    <w:p>
      <w:pPr>
        <w:tabs>
          <w:tab w:pos="1439" w:val="left" w:leader="none"/>
        </w:tabs>
        <w:spacing w:before="0"/>
        <w:ind w:left="359" w:right="7299" w:firstLine="1080"/>
        <w:jc w:val="left"/>
        <w:rPr>
          <w:sz w:val="22"/>
        </w:rPr>
      </w:pPr>
      <w:r>
        <w:rPr>
          <w:sz w:val="22"/>
        </w:rPr>
        <w:t>Permanent, New </w:t>
      </w:r>
      <w:r>
        <w:rPr>
          <w:spacing w:val="-2"/>
          <w:sz w:val="22"/>
        </w:rPr>
        <w:t>7-1-</w:t>
      </w:r>
      <w:r>
        <w:rPr>
          <w:spacing w:val="-5"/>
          <w:sz w:val="22"/>
        </w:rPr>
        <w:t>10</w:t>
      </w:r>
      <w:r>
        <w:rPr>
          <w:sz w:val="22"/>
        </w:rPr>
        <w:tab/>
        <w:t>PT</w:t>
      </w:r>
      <w:r>
        <w:rPr>
          <w:spacing w:val="-8"/>
          <w:sz w:val="22"/>
        </w:rPr>
        <w:t> </w:t>
      </w:r>
      <w:r>
        <w:rPr>
          <w:sz w:val="22"/>
        </w:rPr>
        <w:t>Memo</w:t>
      </w:r>
      <w:r>
        <w:rPr>
          <w:spacing w:val="-8"/>
          <w:sz w:val="22"/>
        </w:rPr>
        <w:t> </w:t>
      </w:r>
      <w:r>
        <w:rPr>
          <w:sz w:val="22"/>
        </w:rPr>
        <w:t>#10-</w:t>
      </w:r>
      <w:r>
        <w:rPr>
          <w:spacing w:val="-5"/>
          <w:sz w:val="22"/>
        </w:rPr>
        <w:t>02</w:t>
      </w:r>
    </w:p>
    <w:p>
      <w:pPr>
        <w:spacing w:before="0"/>
        <w:ind w:left="1439" w:right="0" w:firstLine="0"/>
        <w:jc w:val="left"/>
        <w:rPr>
          <w:sz w:val="22"/>
        </w:rPr>
      </w:pPr>
      <w:r>
        <w:rPr>
          <w:sz w:val="22"/>
        </w:rPr>
        <w:t>Permanent,</w:t>
      </w:r>
      <w:r>
        <w:rPr>
          <w:spacing w:val="-7"/>
          <w:sz w:val="22"/>
        </w:rPr>
        <w:t> </w:t>
      </w:r>
      <w:r>
        <w:rPr>
          <w:sz w:val="22"/>
        </w:rPr>
        <w:t>changed</w:t>
      </w:r>
      <w:r>
        <w:rPr>
          <w:spacing w:val="-7"/>
          <w:sz w:val="22"/>
        </w:rPr>
        <w:t> </w:t>
      </w:r>
      <w:r>
        <w:rPr>
          <w:sz w:val="22"/>
        </w:rPr>
        <w:t>Deputy</w:t>
      </w:r>
      <w:r>
        <w:rPr>
          <w:spacing w:val="-7"/>
          <w:sz w:val="22"/>
        </w:rPr>
        <w:t> </w:t>
      </w:r>
      <w:r>
        <w:rPr>
          <w:sz w:val="22"/>
        </w:rPr>
        <w:t>Director</w:t>
      </w:r>
      <w:r>
        <w:rPr>
          <w:spacing w:val="-7"/>
          <w:sz w:val="22"/>
        </w:rPr>
        <w:t> </w:t>
      </w:r>
      <w:r>
        <w:rPr>
          <w:sz w:val="22"/>
        </w:rPr>
        <w:t>to</w:t>
      </w:r>
      <w:r>
        <w:rPr>
          <w:spacing w:val="-7"/>
          <w:sz w:val="22"/>
        </w:rPr>
        <w:t> </w:t>
      </w:r>
      <w:r>
        <w:rPr>
          <w:sz w:val="22"/>
        </w:rPr>
        <w:t>Chief</w:t>
      </w:r>
      <w:r>
        <w:rPr>
          <w:spacing w:val="-7"/>
          <w:sz w:val="22"/>
        </w:rPr>
        <w:t> </w:t>
      </w:r>
      <w:r>
        <w:rPr>
          <w:sz w:val="22"/>
        </w:rPr>
        <w:t>of</w:t>
      </w:r>
      <w:r>
        <w:rPr>
          <w:spacing w:val="-7"/>
          <w:sz w:val="22"/>
        </w:rPr>
        <w:t> </w:t>
      </w:r>
      <w:r>
        <w:rPr>
          <w:spacing w:val="-2"/>
          <w:sz w:val="22"/>
        </w:rPr>
        <w:t>Staff</w:t>
      </w:r>
    </w:p>
    <w:p>
      <w:pPr>
        <w:spacing w:after="0"/>
        <w:jc w:val="left"/>
        <w:rPr>
          <w:sz w:val="22"/>
        </w:rPr>
        <w:sectPr>
          <w:pgSz w:w="12240" w:h="15840"/>
          <w:pgMar w:top="1340" w:bottom="280" w:left="1080" w:right="720"/>
        </w:sectPr>
      </w:pPr>
    </w:p>
    <w:p>
      <w:pPr>
        <w:pStyle w:val="Heading2"/>
      </w:pPr>
      <w:bookmarkStart w:name="612:20-2-12.  Dismissal or non-renewal o" w:id="331"/>
      <w:bookmarkEnd w:id="331"/>
      <w:r>
        <w:rPr>
          <w:b w:val="0"/>
        </w:rPr>
      </w:r>
      <w:r>
        <w:rPr/>
        <w:t>612:20-2-12.</w:t>
      </w:r>
      <w:r>
        <w:rPr>
          <w:spacing w:val="57"/>
        </w:rPr>
        <w:t> </w:t>
      </w:r>
      <w:r>
        <w:rPr/>
        <w:t>Dismissal</w:t>
      </w:r>
      <w:r>
        <w:rPr>
          <w:spacing w:val="-4"/>
        </w:rPr>
        <w:t> </w:t>
      </w:r>
      <w:r>
        <w:rPr/>
        <w:t>or</w:t>
      </w:r>
      <w:r>
        <w:rPr>
          <w:spacing w:val="-4"/>
        </w:rPr>
        <w:t> </w:t>
      </w:r>
      <w:r>
        <w:rPr/>
        <w:t>non-renewal</w:t>
      </w:r>
      <w:r>
        <w:rPr>
          <w:spacing w:val="-3"/>
        </w:rPr>
        <w:t> </w:t>
      </w:r>
      <w:r>
        <w:rPr/>
        <w:t>of</w:t>
      </w:r>
      <w:r>
        <w:rPr>
          <w:spacing w:val="-4"/>
        </w:rPr>
        <w:t> </w:t>
      </w:r>
      <w:r>
        <w:rPr>
          <w:spacing w:val="-2"/>
        </w:rPr>
        <w:t>contract</w:t>
      </w:r>
    </w:p>
    <w:p>
      <w:pPr>
        <w:pStyle w:val="BodyText"/>
        <w:spacing w:line="208" w:lineRule="auto" w:before="233"/>
        <w:ind w:right="855" w:firstLine="432"/>
      </w:pPr>
      <w:r>
        <w:rPr/>
        <w:t>The</w:t>
      </w:r>
      <w:r>
        <w:rPr>
          <w:spacing w:val="-4"/>
        </w:rPr>
        <w:t> </w:t>
      </w:r>
      <w:r>
        <w:rPr/>
        <w:t>provisions</w:t>
      </w:r>
      <w:r>
        <w:rPr>
          <w:spacing w:val="-4"/>
        </w:rPr>
        <w:t> </w:t>
      </w:r>
      <w:r>
        <w:rPr/>
        <w:t>of</w:t>
      </w:r>
      <w:r>
        <w:rPr>
          <w:spacing w:val="-3"/>
        </w:rPr>
        <w:t> </w:t>
      </w:r>
      <w:r>
        <w:rPr/>
        <w:t>the</w:t>
      </w:r>
      <w:r>
        <w:rPr>
          <w:spacing w:val="-5"/>
        </w:rPr>
        <w:t> </w:t>
      </w:r>
      <w:r>
        <w:rPr/>
        <w:t>section</w:t>
      </w:r>
      <w:r>
        <w:rPr>
          <w:spacing w:val="-4"/>
        </w:rPr>
        <w:t> </w:t>
      </w:r>
      <w:r>
        <w:rPr/>
        <w:t>shall</w:t>
      </w:r>
      <w:r>
        <w:rPr>
          <w:spacing w:val="-4"/>
        </w:rPr>
        <w:t> </w:t>
      </w:r>
      <w:r>
        <w:rPr/>
        <w:t>not</w:t>
      </w:r>
      <w:r>
        <w:rPr>
          <w:spacing w:val="-3"/>
        </w:rPr>
        <w:t> </w:t>
      </w:r>
      <w:r>
        <w:rPr/>
        <w:t>apply</w:t>
      </w:r>
      <w:r>
        <w:rPr>
          <w:spacing w:val="-3"/>
        </w:rPr>
        <w:t> </w:t>
      </w:r>
      <w:r>
        <w:rPr/>
        <w:t>to</w:t>
      </w:r>
      <w:r>
        <w:rPr>
          <w:spacing w:val="-4"/>
        </w:rPr>
        <w:t> </w:t>
      </w:r>
      <w:r>
        <w:rPr/>
        <w:t>substitute</w:t>
      </w:r>
      <w:r>
        <w:rPr>
          <w:spacing w:val="-4"/>
        </w:rPr>
        <w:t> </w:t>
      </w:r>
      <w:r>
        <w:rPr/>
        <w:t>teachers,</w:t>
      </w:r>
      <w:r>
        <w:rPr>
          <w:spacing w:val="-5"/>
        </w:rPr>
        <w:t> </w:t>
      </w:r>
      <w:r>
        <w:rPr/>
        <w:t>adult</w:t>
      </w:r>
      <w:r>
        <w:rPr>
          <w:spacing w:val="-3"/>
        </w:rPr>
        <w:t> </w:t>
      </w:r>
      <w:r>
        <w:rPr/>
        <w:t>education teachers or teachers who are employed on temporary contracts.</w:t>
      </w:r>
      <w:r>
        <w:rPr>
          <w:spacing w:val="40"/>
        </w:rPr>
        <w:t> </w:t>
      </w:r>
      <w:r>
        <w:rPr/>
        <w:t>However, the provisions regarding dismissal shall apply to teachers employed on a temporary contract for a complete school year.</w:t>
      </w:r>
    </w:p>
    <w:p>
      <w:pPr>
        <w:pStyle w:val="ListParagraph"/>
        <w:numPr>
          <w:ilvl w:val="0"/>
          <w:numId w:val="333"/>
        </w:numPr>
        <w:tabs>
          <w:tab w:pos="1217" w:val="left" w:leader="none"/>
        </w:tabs>
        <w:spacing w:line="208" w:lineRule="auto" w:before="239" w:after="0"/>
        <w:ind w:left="792" w:right="759" w:firstLine="0"/>
        <w:jc w:val="left"/>
        <w:rPr>
          <w:sz w:val="24"/>
        </w:rPr>
      </w:pPr>
      <w:r>
        <w:rPr>
          <w:sz w:val="24"/>
        </w:rPr>
        <w:t>Whenever the Superintendent decides to recommend that a teacher be dismissed</w:t>
      </w:r>
      <w:r>
        <w:rPr>
          <w:spacing w:val="-4"/>
          <w:sz w:val="24"/>
        </w:rPr>
        <w:t> </w:t>
      </w:r>
      <w:r>
        <w:rPr>
          <w:sz w:val="24"/>
        </w:rPr>
        <w:t>or</w:t>
      </w:r>
      <w:r>
        <w:rPr>
          <w:spacing w:val="-4"/>
          <w:sz w:val="24"/>
        </w:rPr>
        <w:t> </w:t>
      </w:r>
      <w:r>
        <w:rPr>
          <w:sz w:val="24"/>
        </w:rPr>
        <w:t>not</w:t>
      </w:r>
      <w:r>
        <w:rPr>
          <w:spacing w:val="-4"/>
          <w:sz w:val="24"/>
        </w:rPr>
        <w:t> </w:t>
      </w:r>
      <w:r>
        <w:rPr>
          <w:sz w:val="24"/>
        </w:rPr>
        <w:t>reemployed,</w:t>
      </w:r>
      <w:r>
        <w:rPr>
          <w:spacing w:val="-4"/>
          <w:sz w:val="24"/>
        </w:rPr>
        <w:t> </w:t>
      </w:r>
      <w:r>
        <w:rPr>
          <w:sz w:val="24"/>
        </w:rPr>
        <w:t>the</w:t>
      </w:r>
      <w:r>
        <w:rPr>
          <w:spacing w:val="-4"/>
          <w:sz w:val="24"/>
        </w:rPr>
        <w:t> </w:t>
      </w:r>
      <w:r>
        <w:rPr>
          <w:sz w:val="24"/>
        </w:rPr>
        <w:t>Superintendent</w:t>
      </w:r>
      <w:r>
        <w:rPr>
          <w:spacing w:val="-4"/>
          <w:sz w:val="24"/>
        </w:rPr>
        <w:t> </w:t>
      </w:r>
      <w:r>
        <w:rPr>
          <w:sz w:val="24"/>
        </w:rPr>
        <w:t>shall</w:t>
      </w:r>
      <w:r>
        <w:rPr>
          <w:spacing w:val="-4"/>
          <w:sz w:val="24"/>
        </w:rPr>
        <w:t> </w:t>
      </w:r>
      <w:r>
        <w:rPr>
          <w:sz w:val="24"/>
        </w:rPr>
        <w:t>state</w:t>
      </w:r>
      <w:r>
        <w:rPr>
          <w:spacing w:val="-4"/>
          <w:sz w:val="24"/>
        </w:rPr>
        <w:t> </w:t>
      </w:r>
      <w:r>
        <w:rPr>
          <w:sz w:val="24"/>
        </w:rPr>
        <w:t>the</w:t>
      </w:r>
      <w:r>
        <w:rPr>
          <w:spacing w:val="-5"/>
          <w:sz w:val="24"/>
        </w:rPr>
        <w:t> </w:t>
      </w:r>
      <w:r>
        <w:rPr>
          <w:sz w:val="24"/>
        </w:rPr>
        <w:t>recommendation</w:t>
      </w:r>
      <w:r>
        <w:rPr>
          <w:spacing w:val="-4"/>
          <w:sz w:val="24"/>
        </w:rPr>
        <w:t> </w:t>
      </w:r>
      <w:r>
        <w:rPr>
          <w:sz w:val="24"/>
        </w:rPr>
        <w:t>in writing,</w:t>
      </w:r>
      <w:r>
        <w:rPr>
          <w:spacing w:val="-3"/>
          <w:sz w:val="24"/>
        </w:rPr>
        <w:t> </w:t>
      </w:r>
      <w:r>
        <w:rPr>
          <w:sz w:val="24"/>
        </w:rPr>
        <w:t>setting</w:t>
      </w:r>
      <w:r>
        <w:rPr>
          <w:spacing w:val="-4"/>
          <w:sz w:val="24"/>
        </w:rPr>
        <w:t> </w:t>
      </w:r>
      <w:r>
        <w:rPr>
          <w:sz w:val="24"/>
        </w:rPr>
        <w:t>forth</w:t>
      </w:r>
      <w:r>
        <w:rPr>
          <w:spacing w:val="-4"/>
          <w:sz w:val="24"/>
        </w:rPr>
        <w:t> </w:t>
      </w:r>
      <w:r>
        <w:rPr>
          <w:sz w:val="24"/>
        </w:rPr>
        <w:t>the</w:t>
      </w:r>
      <w:r>
        <w:rPr>
          <w:spacing w:val="-4"/>
          <w:sz w:val="24"/>
        </w:rPr>
        <w:t> </w:t>
      </w:r>
      <w:r>
        <w:rPr>
          <w:sz w:val="24"/>
        </w:rPr>
        <w:t>basis</w:t>
      </w:r>
      <w:r>
        <w:rPr>
          <w:spacing w:val="-4"/>
          <w:sz w:val="24"/>
        </w:rPr>
        <w:t> </w:t>
      </w:r>
      <w:r>
        <w:rPr>
          <w:sz w:val="24"/>
        </w:rPr>
        <w:t>for</w:t>
      </w:r>
      <w:r>
        <w:rPr>
          <w:spacing w:val="-5"/>
          <w:sz w:val="24"/>
        </w:rPr>
        <w:t> </w:t>
      </w:r>
      <w:r>
        <w:rPr>
          <w:sz w:val="24"/>
        </w:rPr>
        <w:t>the</w:t>
      </w:r>
      <w:r>
        <w:rPr>
          <w:spacing w:val="-4"/>
          <w:sz w:val="24"/>
        </w:rPr>
        <w:t> </w:t>
      </w:r>
      <w:r>
        <w:rPr>
          <w:sz w:val="24"/>
        </w:rPr>
        <w:t>recommendation</w:t>
      </w:r>
      <w:r>
        <w:rPr>
          <w:spacing w:val="-3"/>
          <w:sz w:val="24"/>
        </w:rPr>
        <w:t> </w:t>
      </w:r>
      <w:r>
        <w:rPr>
          <w:sz w:val="24"/>
        </w:rPr>
        <w:t>and</w:t>
      </w:r>
      <w:r>
        <w:rPr>
          <w:spacing w:val="-4"/>
          <w:sz w:val="24"/>
        </w:rPr>
        <w:t> </w:t>
      </w:r>
      <w:r>
        <w:rPr>
          <w:sz w:val="24"/>
        </w:rPr>
        <w:t>specifying</w:t>
      </w:r>
      <w:r>
        <w:rPr>
          <w:spacing w:val="-4"/>
          <w:sz w:val="24"/>
        </w:rPr>
        <w:t> </w:t>
      </w:r>
      <w:r>
        <w:rPr>
          <w:sz w:val="24"/>
        </w:rPr>
        <w:t>the</w:t>
      </w:r>
      <w:r>
        <w:rPr>
          <w:spacing w:val="-4"/>
          <w:sz w:val="24"/>
        </w:rPr>
        <w:t> </w:t>
      </w:r>
      <w:r>
        <w:rPr>
          <w:sz w:val="24"/>
        </w:rPr>
        <w:t>underlying facts supporting the recommendation.</w:t>
      </w:r>
      <w:r>
        <w:rPr>
          <w:spacing w:val="40"/>
          <w:sz w:val="24"/>
        </w:rPr>
        <w:t> </w:t>
      </w:r>
      <w:r>
        <w:rPr>
          <w:sz w:val="24"/>
        </w:rPr>
        <w:t>The Superintendent shall submit the recommendation to the Director.</w:t>
      </w:r>
    </w:p>
    <w:p>
      <w:pPr>
        <w:pStyle w:val="ListParagraph"/>
        <w:numPr>
          <w:ilvl w:val="0"/>
          <w:numId w:val="333"/>
        </w:numPr>
        <w:tabs>
          <w:tab w:pos="1217" w:val="left" w:leader="none"/>
        </w:tabs>
        <w:spacing w:line="208" w:lineRule="auto" w:before="240" w:after="0"/>
        <w:ind w:left="792" w:right="759" w:firstLine="0"/>
        <w:jc w:val="left"/>
        <w:rPr>
          <w:sz w:val="24"/>
        </w:rPr>
      </w:pPr>
      <w:r>
        <w:rPr>
          <w:sz w:val="24"/>
        </w:rPr>
        <w:t>If the teacher subject to the recommendation is a career teacher, the recommendation</w:t>
      </w:r>
      <w:r>
        <w:rPr>
          <w:spacing w:val="-4"/>
          <w:sz w:val="24"/>
        </w:rPr>
        <w:t> </w:t>
      </w:r>
      <w:r>
        <w:rPr>
          <w:sz w:val="24"/>
        </w:rPr>
        <w:t>shall</w:t>
      </w:r>
      <w:r>
        <w:rPr>
          <w:spacing w:val="-3"/>
          <w:sz w:val="24"/>
        </w:rPr>
        <w:t> </w:t>
      </w:r>
      <w:r>
        <w:rPr>
          <w:sz w:val="24"/>
        </w:rPr>
        <w:t>specify</w:t>
      </w:r>
      <w:r>
        <w:rPr>
          <w:spacing w:val="-4"/>
          <w:sz w:val="24"/>
        </w:rPr>
        <w:t> </w:t>
      </w:r>
      <w:r>
        <w:rPr>
          <w:sz w:val="24"/>
        </w:rPr>
        <w:t>the</w:t>
      </w:r>
      <w:r>
        <w:rPr>
          <w:spacing w:val="-4"/>
          <w:sz w:val="24"/>
        </w:rPr>
        <w:t> </w:t>
      </w:r>
      <w:r>
        <w:rPr>
          <w:sz w:val="24"/>
        </w:rPr>
        <w:t>policy</w:t>
      </w:r>
      <w:r>
        <w:rPr>
          <w:spacing w:val="-4"/>
          <w:sz w:val="24"/>
        </w:rPr>
        <w:t> </w:t>
      </w:r>
      <w:r>
        <w:rPr>
          <w:sz w:val="24"/>
        </w:rPr>
        <w:t>grounds</w:t>
      </w:r>
      <w:r>
        <w:rPr>
          <w:spacing w:val="-4"/>
          <w:sz w:val="24"/>
        </w:rPr>
        <w:t> </w:t>
      </w:r>
      <w:r>
        <w:rPr>
          <w:sz w:val="24"/>
        </w:rPr>
        <w:t>provided</w:t>
      </w:r>
      <w:r>
        <w:rPr>
          <w:spacing w:val="-4"/>
          <w:sz w:val="24"/>
        </w:rPr>
        <w:t> </w:t>
      </w:r>
      <w:r>
        <w:rPr>
          <w:sz w:val="24"/>
        </w:rPr>
        <w:t>for</w:t>
      </w:r>
      <w:r>
        <w:rPr>
          <w:spacing w:val="-3"/>
          <w:sz w:val="24"/>
        </w:rPr>
        <w:t> </w:t>
      </w:r>
      <w:r>
        <w:rPr>
          <w:sz w:val="24"/>
        </w:rPr>
        <w:t>at</w:t>
      </w:r>
      <w:r>
        <w:rPr>
          <w:spacing w:val="-5"/>
          <w:sz w:val="24"/>
        </w:rPr>
        <w:t> </w:t>
      </w:r>
      <w:r>
        <w:rPr>
          <w:sz w:val="24"/>
        </w:rPr>
        <w:t>OAC</w:t>
      </w:r>
      <w:r>
        <w:rPr>
          <w:spacing w:val="-4"/>
          <w:sz w:val="24"/>
        </w:rPr>
        <w:t> </w:t>
      </w:r>
      <w:r>
        <w:rPr>
          <w:sz w:val="24"/>
        </w:rPr>
        <w:t>612:20-2-8(3) upon which the recommendation is based.</w:t>
      </w:r>
    </w:p>
    <w:p>
      <w:pPr>
        <w:pStyle w:val="ListParagraph"/>
        <w:numPr>
          <w:ilvl w:val="0"/>
          <w:numId w:val="333"/>
        </w:numPr>
        <w:tabs>
          <w:tab w:pos="1217" w:val="left" w:leader="none"/>
        </w:tabs>
        <w:spacing w:line="208" w:lineRule="auto" w:before="240" w:after="0"/>
        <w:ind w:left="792" w:right="813" w:firstLine="0"/>
        <w:jc w:val="left"/>
        <w:rPr>
          <w:sz w:val="24"/>
        </w:rPr>
      </w:pPr>
      <w:r>
        <w:rPr>
          <w:sz w:val="24"/>
        </w:rPr>
        <w:t>If the teacher subject to the recommendation is a probationary teacher, the recommendation</w:t>
      </w:r>
      <w:r>
        <w:rPr>
          <w:spacing w:val="-4"/>
          <w:sz w:val="24"/>
        </w:rPr>
        <w:t> </w:t>
      </w:r>
      <w:r>
        <w:rPr>
          <w:sz w:val="24"/>
        </w:rPr>
        <w:t>shall</w:t>
      </w:r>
      <w:r>
        <w:rPr>
          <w:spacing w:val="-3"/>
          <w:sz w:val="24"/>
        </w:rPr>
        <w:t> </w:t>
      </w:r>
      <w:r>
        <w:rPr>
          <w:sz w:val="24"/>
        </w:rPr>
        <w:t>specify</w:t>
      </w:r>
      <w:r>
        <w:rPr>
          <w:spacing w:val="-4"/>
          <w:sz w:val="24"/>
        </w:rPr>
        <w:t> </w:t>
      </w:r>
      <w:r>
        <w:rPr>
          <w:sz w:val="24"/>
        </w:rPr>
        <w:t>the</w:t>
      </w:r>
      <w:r>
        <w:rPr>
          <w:spacing w:val="-4"/>
          <w:sz w:val="24"/>
        </w:rPr>
        <w:t> </w:t>
      </w:r>
      <w:r>
        <w:rPr>
          <w:sz w:val="24"/>
        </w:rPr>
        <w:t>cause</w:t>
      </w:r>
      <w:r>
        <w:rPr>
          <w:spacing w:val="-4"/>
          <w:sz w:val="24"/>
        </w:rPr>
        <w:t> </w:t>
      </w:r>
      <w:r>
        <w:rPr>
          <w:sz w:val="24"/>
        </w:rPr>
        <w:t>upon</w:t>
      </w:r>
      <w:r>
        <w:rPr>
          <w:spacing w:val="-4"/>
          <w:sz w:val="24"/>
        </w:rPr>
        <w:t> </w:t>
      </w:r>
      <w:r>
        <w:rPr>
          <w:sz w:val="24"/>
        </w:rPr>
        <w:t>which</w:t>
      </w:r>
      <w:r>
        <w:rPr>
          <w:spacing w:val="-4"/>
          <w:sz w:val="24"/>
        </w:rPr>
        <w:t> </w:t>
      </w:r>
      <w:r>
        <w:rPr>
          <w:sz w:val="24"/>
        </w:rPr>
        <w:t>the</w:t>
      </w:r>
      <w:r>
        <w:rPr>
          <w:spacing w:val="-3"/>
          <w:sz w:val="24"/>
        </w:rPr>
        <w:t> </w:t>
      </w:r>
      <w:r>
        <w:rPr>
          <w:sz w:val="24"/>
        </w:rPr>
        <w:t>recommendation</w:t>
      </w:r>
      <w:r>
        <w:rPr>
          <w:spacing w:val="-4"/>
          <w:sz w:val="24"/>
        </w:rPr>
        <w:t> </w:t>
      </w:r>
      <w:r>
        <w:rPr>
          <w:sz w:val="24"/>
        </w:rPr>
        <w:t>is</w:t>
      </w:r>
      <w:r>
        <w:rPr>
          <w:spacing w:val="-4"/>
          <w:sz w:val="24"/>
        </w:rPr>
        <w:t> </w:t>
      </w:r>
      <w:r>
        <w:rPr>
          <w:sz w:val="24"/>
        </w:rPr>
        <w:t>based.</w:t>
      </w:r>
    </w:p>
    <w:p>
      <w:pPr>
        <w:spacing w:before="243"/>
        <w:ind w:left="360" w:right="0" w:firstLine="0"/>
        <w:jc w:val="left"/>
        <w:rPr>
          <w:sz w:val="22"/>
        </w:rPr>
      </w:pPr>
      <w:r>
        <w:rPr>
          <w:sz w:val="22"/>
        </w:rPr>
        <w:t>Section</w:t>
      </w:r>
      <w:r>
        <w:rPr>
          <w:spacing w:val="-9"/>
          <w:sz w:val="22"/>
        </w:rPr>
        <w:t> </w:t>
      </w:r>
      <w:r>
        <w:rPr>
          <w:spacing w:val="-2"/>
          <w:sz w:val="22"/>
        </w:rPr>
        <w:t>History</w:t>
      </w:r>
    </w:p>
    <w:p>
      <w:pPr>
        <w:tabs>
          <w:tab w:pos="1079" w:val="left" w:leader="none"/>
        </w:tabs>
        <w:spacing w:line="253" w:lineRule="exact" w:before="1"/>
        <w:ind w:left="0" w:right="7299" w:firstLine="0"/>
        <w:jc w:val="right"/>
        <w:rPr>
          <w:sz w:val="22"/>
        </w:rPr>
      </w:pPr>
      <w:r>
        <w:rPr>
          <w:spacing w:val="-2"/>
          <w:sz w:val="22"/>
        </w:rPr>
        <w:t>7-1-</w:t>
      </w:r>
      <w:r>
        <w:rPr>
          <w:spacing w:val="-5"/>
          <w:sz w:val="22"/>
        </w:rPr>
        <w:t>02</w:t>
      </w:r>
      <w:r>
        <w:rPr>
          <w:sz w:val="22"/>
        </w:rPr>
        <w:tab/>
        <w:t>PT</w:t>
      </w:r>
      <w:r>
        <w:rPr>
          <w:spacing w:val="-8"/>
          <w:sz w:val="22"/>
        </w:rPr>
        <w:t> </w:t>
      </w:r>
      <w:r>
        <w:rPr>
          <w:sz w:val="22"/>
        </w:rPr>
        <w:t>Memo</w:t>
      </w:r>
      <w:r>
        <w:rPr>
          <w:spacing w:val="-8"/>
          <w:sz w:val="22"/>
        </w:rPr>
        <w:t> </w:t>
      </w:r>
      <w:r>
        <w:rPr>
          <w:sz w:val="22"/>
        </w:rPr>
        <w:t>#02-</w:t>
      </w:r>
      <w:r>
        <w:rPr>
          <w:spacing w:val="-5"/>
          <w:sz w:val="22"/>
        </w:rPr>
        <w:t>02</w:t>
      </w:r>
    </w:p>
    <w:p>
      <w:pPr>
        <w:spacing w:line="253" w:lineRule="exact" w:before="0"/>
        <w:ind w:left="0" w:right="7359" w:firstLine="0"/>
        <w:jc w:val="right"/>
        <w:rPr>
          <w:sz w:val="22"/>
        </w:rPr>
      </w:pPr>
      <w:r>
        <w:rPr>
          <w:sz w:val="22"/>
        </w:rPr>
        <w:t>Permanent,</w:t>
      </w:r>
      <w:r>
        <w:rPr>
          <w:spacing w:val="-13"/>
          <w:sz w:val="22"/>
        </w:rPr>
        <w:t> </w:t>
      </w:r>
      <w:r>
        <w:rPr>
          <w:spacing w:val="-5"/>
          <w:sz w:val="22"/>
        </w:rPr>
        <w:t>New</w:t>
      </w:r>
    </w:p>
    <w:p>
      <w:pPr>
        <w:spacing w:after="0" w:line="253" w:lineRule="exact"/>
        <w:jc w:val="right"/>
        <w:rPr>
          <w:sz w:val="22"/>
        </w:rPr>
        <w:sectPr>
          <w:pgSz w:w="12240" w:h="15840"/>
          <w:pgMar w:top="1340" w:bottom="280" w:left="1080" w:right="720"/>
        </w:sectPr>
      </w:pPr>
    </w:p>
    <w:p>
      <w:pPr>
        <w:pStyle w:val="Heading2"/>
      </w:pPr>
      <w:bookmarkStart w:name="612:20-2-13.  Dismissal/Nonreemployment " w:id="332"/>
      <w:bookmarkEnd w:id="332"/>
      <w:r>
        <w:rPr>
          <w:b w:val="0"/>
        </w:rPr>
      </w:r>
      <w:r>
        <w:rPr/>
        <w:t>612:20-2-13.</w:t>
      </w:r>
      <w:r>
        <w:rPr>
          <w:spacing w:val="51"/>
        </w:rPr>
        <w:t> </w:t>
      </w:r>
      <w:r>
        <w:rPr/>
        <w:t>Dismissal/Nonreemployment</w:t>
      </w:r>
      <w:r>
        <w:rPr>
          <w:spacing w:val="-6"/>
        </w:rPr>
        <w:t> </w:t>
      </w:r>
      <w:r>
        <w:rPr>
          <w:spacing w:val="-2"/>
        </w:rPr>
        <w:t>Hearing</w:t>
      </w:r>
    </w:p>
    <w:p>
      <w:pPr>
        <w:pStyle w:val="ListParagraph"/>
        <w:numPr>
          <w:ilvl w:val="0"/>
          <w:numId w:val="334"/>
        </w:numPr>
        <w:tabs>
          <w:tab w:pos="785" w:val="left" w:leader="none"/>
        </w:tabs>
        <w:spacing w:line="208" w:lineRule="auto" w:before="233" w:after="0"/>
        <w:ind w:left="360" w:right="900" w:firstLine="0"/>
        <w:jc w:val="left"/>
        <w:rPr>
          <w:sz w:val="24"/>
        </w:rPr>
      </w:pPr>
      <w:r>
        <w:rPr>
          <w:sz w:val="24"/>
        </w:rPr>
        <w:t>When the Director receives a recommendation from the Superintendent that a teacher be dismissed or not reemployed pursuant to OAC 612:20-2-12, the Director shall</w:t>
      </w:r>
      <w:r>
        <w:rPr>
          <w:spacing w:val="-4"/>
          <w:sz w:val="24"/>
        </w:rPr>
        <w:t> </w:t>
      </w:r>
      <w:r>
        <w:rPr>
          <w:sz w:val="24"/>
        </w:rPr>
        <w:t>send</w:t>
      </w:r>
      <w:r>
        <w:rPr>
          <w:spacing w:val="-4"/>
          <w:sz w:val="24"/>
        </w:rPr>
        <w:t> </w:t>
      </w:r>
      <w:r>
        <w:rPr>
          <w:sz w:val="24"/>
        </w:rPr>
        <w:t>a</w:t>
      </w:r>
      <w:r>
        <w:rPr>
          <w:spacing w:val="-4"/>
          <w:sz w:val="24"/>
        </w:rPr>
        <w:t> </w:t>
      </w:r>
      <w:r>
        <w:rPr>
          <w:sz w:val="24"/>
        </w:rPr>
        <w:t>Notice</w:t>
      </w:r>
      <w:r>
        <w:rPr>
          <w:spacing w:val="-4"/>
          <w:sz w:val="24"/>
        </w:rPr>
        <w:t> </w:t>
      </w:r>
      <w:r>
        <w:rPr>
          <w:sz w:val="24"/>
        </w:rPr>
        <w:t>of</w:t>
      </w:r>
      <w:r>
        <w:rPr>
          <w:spacing w:val="-3"/>
          <w:sz w:val="24"/>
        </w:rPr>
        <w:t> </w:t>
      </w:r>
      <w:r>
        <w:rPr>
          <w:sz w:val="24"/>
        </w:rPr>
        <w:t>Dismissal/Nonreemployment</w:t>
      </w:r>
      <w:r>
        <w:rPr>
          <w:spacing w:val="-3"/>
          <w:sz w:val="24"/>
        </w:rPr>
        <w:t> </w:t>
      </w:r>
      <w:r>
        <w:rPr>
          <w:sz w:val="24"/>
        </w:rPr>
        <w:t>Hearing</w:t>
      </w:r>
      <w:r>
        <w:rPr>
          <w:spacing w:val="-4"/>
          <w:sz w:val="24"/>
        </w:rPr>
        <w:t> </w:t>
      </w:r>
      <w:r>
        <w:rPr>
          <w:sz w:val="24"/>
        </w:rPr>
        <w:t>to</w:t>
      </w:r>
      <w:r>
        <w:rPr>
          <w:spacing w:val="-4"/>
          <w:sz w:val="24"/>
        </w:rPr>
        <w:t> </w:t>
      </w:r>
      <w:r>
        <w:rPr>
          <w:sz w:val="24"/>
        </w:rPr>
        <w:t>the</w:t>
      </w:r>
      <w:r>
        <w:rPr>
          <w:spacing w:val="-4"/>
          <w:sz w:val="24"/>
        </w:rPr>
        <w:t> </w:t>
      </w:r>
      <w:r>
        <w:rPr>
          <w:sz w:val="24"/>
        </w:rPr>
        <w:t>teacher.</w:t>
      </w:r>
      <w:r>
        <w:rPr>
          <w:spacing w:val="40"/>
          <w:sz w:val="24"/>
        </w:rPr>
        <w:t> </w:t>
      </w:r>
      <w:r>
        <w:rPr>
          <w:sz w:val="24"/>
        </w:rPr>
        <w:t>The</w:t>
      </w:r>
      <w:r>
        <w:rPr>
          <w:spacing w:val="-4"/>
          <w:sz w:val="24"/>
        </w:rPr>
        <w:t> </w:t>
      </w:r>
      <w:r>
        <w:rPr>
          <w:sz w:val="24"/>
        </w:rPr>
        <w:t>notice shall be sent by certified mail, restricted delivery, return receipt requested, or by substitute process as provided for by law.</w:t>
      </w:r>
    </w:p>
    <w:p>
      <w:pPr>
        <w:pStyle w:val="ListParagraph"/>
        <w:numPr>
          <w:ilvl w:val="1"/>
          <w:numId w:val="334"/>
        </w:numPr>
        <w:tabs>
          <w:tab w:pos="1218" w:val="left" w:leader="none"/>
        </w:tabs>
        <w:spacing w:line="208" w:lineRule="auto" w:before="239" w:after="0"/>
        <w:ind w:left="792" w:right="838" w:firstLine="0"/>
        <w:jc w:val="left"/>
        <w:rPr>
          <w:sz w:val="24"/>
        </w:rPr>
      </w:pPr>
      <w:r>
        <w:rPr>
          <w:sz w:val="24"/>
        </w:rPr>
        <w:t>The notice shall include a copy of the Superintendent’s recommendation and the</w:t>
      </w:r>
      <w:r>
        <w:rPr>
          <w:spacing w:val="-3"/>
          <w:sz w:val="24"/>
        </w:rPr>
        <w:t> </w:t>
      </w:r>
      <w:r>
        <w:rPr>
          <w:sz w:val="24"/>
        </w:rPr>
        <w:t>date,</w:t>
      </w:r>
      <w:r>
        <w:rPr>
          <w:spacing w:val="-2"/>
          <w:sz w:val="24"/>
        </w:rPr>
        <w:t> </w:t>
      </w:r>
      <w:r>
        <w:rPr>
          <w:sz w:val="24"/>
        </w:rPr>
        <w:t>time</w:t>
      </w:r>
      <w:r>
        <w:rPr>
          <w:spacing w:val="-3"/>
          <w:sz w:val="24"/>
        </w:rPr>
        <w:t> </w:t>
      </w:r>
      <w:r>
        <w:rPr>
          <w:sz w:val="24"/>
        </w:rPr>
        <w:t>and</w:t>
      </w:r>
      <w:r>
        <w:rPr>
          <w:spacing w:val="-3"/>
          <w:sz w:val="24"/>
        </w:rPr>
        <w:t> </w:t>
      </w:r>
      <w:r>
        <w:rPr>
          <w:sz w:val="24"/>
        </w:rPr>
        <w:t>place</w:t>
      </w:r>
      <w:r>
        <w:rPr>
          <w:spacing w:val="-3"/>
          <w:sz w:val="24"/>
        </w:rPr>
        <w:t> </w:t>
      </w:r>
      <w:r>
        <w:rPr>
          <w:sz w:val="24"/>
        </w:rPr>
        <w:t>of</w:t>
      </w:r>
      <w:r>
        <w:rPr>
          <w:spacing w:val="-2"/>
          <w:sz w:val="24"/>
        </w:rPr>
        <w:t> </w:t>
      </w:r>
      <w:r>
        <w:rPr>
          <w:sz w:val="24"/>
        </w:rPr>
        <w:t>the</w:t>
      </w:r>
      <w:r>
        <w:rPr>
          <w:spacing w:val="-3"/>
          <w:sz w:val="24"/>
        </w:rPr>
        <w:t> </w:t>
      </w:r>
      <w:r>
        <w:rPr>
          <w:sz w:val="24"/>
        </w:rPr>
        <w:t>hearing.</w:t>
      </w:r>
      <w:r>
        <w:rPr>
          <w:spacing w:val="40"/>
          <w:sz w:val="24"/>
        </w:rPr>
        <w:t> </w:t>
      </w:r>
      <w:r>
        <w:rPr>
          <w:sz w:val="24"/>
        </w:rPr>
        <w:t>The</w:t>
      </w:r>
      <w:r>
        <w:rPr>
          <w:spacing w:val="-3"/>
          <w:sz w:val="24"/>
        </w:rPr>
        <w:t> </w:t>
      </w:r>
      <w:r>
        <w:rPr>
          <w:sz w:val="24"/>
        </w:rPr>
        <w:t>date</w:t>
      </w:r>
      <w:r>
        <w:rPr>
          <w:spacing w:val="-3"/>
          <w:sz w:val="24"/>
        </w:rPr>
        <w:t> </w:t>
      </w:r>
      <w:r>
        <w:rPr>
          <w:sz w:val="24"/>
        </w:rPr>
        <w:t>of</w:t>
      </w:r>
      <w:r>
        <w:rPr>
          <w:spacing w:val="-2"/>
          <w:sz w:val="24"/>
        </w:rPr>
        <w:t> </w:t>
      </w:r>
      <w:r>
        <w:rPr>
          <w:sz w:val="24"/>
        </w:rPr>
        <w:t>the</w:t>
      </w:r>
      <w:r>
        <w:rPr>
          <w:spacing w:val="-3"/>
          <w:sz w:val="24"/>
        </w:rPr>
        <w:t> </w:t>
      </w:r>
      <w:r>
        <w:rPr>
          <w:sz w:val="24"/>
        </w:rPr>
        <w:t>hearing</w:t>
      </w:r>
      <w:r>
        <w:rPr>
          <w:spacing w:val="-3"/>
          <w:sz w:val="24"/>
        </w:rPr>
        <w:t> </w:t>
      </w:r>
      <w:r>
        <w:rPr>
          <w:sz w:val="24"/>
        </w:rPr>
        <w:t>shall</w:t>
      </w:r>
      <w:r>
        <w:rPr>
          <w:spacing w:val="-3"/>
          <w:sz w:val="24"/>
        </w:rPr>
        <w:t> </w:t>
      </w:r>
      <w:r>
        <w:rPr>
          <w:sz w:val="24"/>
        </w:rPr>
        <w:t>be</w:t>
      </w:r>
      <w:r>
        <w:rPr>
          <w:spacing w:val="-3"/>
          <w:sz w:val="24"/>
        </w:rPr>
        <w:t> </w:t>
      </w:r>
      <w:r>
        <w:rPr>
          <w:sz w:val="24"/>
        </w:rPr>
        <w:t>no</w:t>
      </w:r>
      <w:r>
        <w:rPr>
          <w:spacing w:val="-3"/>
          <w:sz w:val="24"/>
        </w:rPr>
        <w:t> </w:t>
      </w:r>
      <w:r>
        <w:rPr>
          <w:sz w:val="24"/>
        </w:rPr>
        <w:t>sooner than twenty (20) days or no later than sixty (60) days after the teacher’s receipt of the notice.</w:t>
      </w:r>
    </w:p>
    <w:p>
      <w:pPr>
        <w:pStyle w:val="ListParagraph"/>
        <w:numPr>
          <w:ilvl w:val="1"/>
          <w:numId w:val="334"/>
        </w:numPr>
        <w:tabs>
          <w:tab w:pos="1218" w:val="left" w:leader="none"/>
        </w:tabs>
        <w:spacing w:line="208" w:lineRule="auto" w:before="240" w:after="0"/>
        <w:ind w:left="792" w:right="1067" w:firstLine="0"/>
        <w:jc w:val="left"/>
        <w:rPr>
          <w:sz w:val="24"/>
        </w:rPr>
      </w:pPr>
      <w:r>
        <w:rPr>
          <w:sz w:val="24"/>
        </w:rPr>
        <w:t>The notice shall specify the policy grounds as provided for at</w:t>
      </w:r>
      <w:r>
        <w:rPr>
          <w:spacing w:val="-1"/>
          <w:sz w:val="24"/>
        </w:rPr>
        <w:t> </w:t>
      </w:r>
      <w:r>
        <w:rPr>
          <w:sz w:val="24"/>
        </w:rPr>
        <w:t>OAC 612:20-2- 8(3)</w:t>
      </w:r>
      <w:r>
        <w:rPr>
          <w:spacing w:val="-3"/>
          <w:sz w:val="24"/>
        </w:rPr>
        <w:t> </w:t>
      </w:r>
      <w:r>
        <w:rPr>
          <w:sz w:val="24"/>
        </w:rPr>
        <w:t>upon</w:t>
      </w:r>
      <w:r>
        <w:rPr>
          <w:spacing w:val="-4"/>
          <w:sz w:val="24"/>
        </w:rPr>
        <w:t> </w:t>
      </w:r>
      <w:r>
        <w:rPr>
          <w:sz w:val="24"/>
        </w:rPr>
        <w:t>which</w:t>
      </w:r>
      <w:r>
        <w:rPr>
          <w:spacing w:val="-4"/>
          <w:sz w:val="24"/>
        </w:rPr>
        <w:t> </w:t>
      </w:r>
      <w:r>
        <w:rPr>
          <w:sz w:val="24"/>
        </w:rPr>
        <w:t>the</w:t>
      </w:r>
      <w:r>
        <w:rPr>
          <w:spacing w:val="-4"/>
          <w:sz w:val="24"/>
        </w:rPr>
        <w:t> </w:t>
      </w:r>
      <w:r>
        <w:rPr>
          <w:sz w:val="24"/>
        </w:rPr>
        <w:t>recommendation</w:t>
      </w:r>
      <w:r>
        <w:rPr>
          <w:spacing w:val="-4"/>
          <w:sz w:val="24"/>
        </w:rPr>
        <w:t> </w:t>
      </w:r>
      <w:r>
        <w:rPr>
          <w:sz w:val="24"/>
        </w:rPr>
        <w:t>is</w:t>
      </w:r>
      <w:r>
        <w:rPr>
          <w:spacing w:val="-4"/>
          <w:sz w:val="24"/>
        </w:rPr>
        <w:t> </w:t>
      </w:r>
      <w:r>
        <w:rPr>
          <w:sz w:val="24"/>
        </w:rPr>
        <w:t>based</w:t>
      </w:r>
      <w:r>
        <w:rPr>
          <w:spacing w:val="-4"/>
          <w:sz w:val="24"/>
        </w:rPr>
        <w:t> </w:t>
      </w:r>
      <w:r>
        <w:rPr>
          <w:sz w:val="24"/>
        </w:rPr>
        <w:t>for</w:t>
      </w:r>
      <w:r>
        <w:rPr>
          <w:spacing w:val="-3"/>
          <w:sz w:val="24"/>
        </w:rPr>
        <w:t> </w:t>
      </w:r>
      <w:r>
        <w:rPr>
          <w:sz w:val="24"/>
        </w:rPr>
        <w:t>career</w:t>
      </w:r>
      <w:r>
        <w:rPr>
          <w:spacing w:val="-3"/>
          <w:sz w:val="24"/>
        </w:rPr>
        <w:t> </w:t>
      </w:r>
      <w:r>
        <w:rPr>
          <w:sz w:val="24"/>
        </w:rPr>
        <w:t>teachers</w:t>
      </w:r>
      <w:r>
        <w:rPr>
          <w:spacing w:val="-5"/>
          <w:sz w:val="24"/>
        </w:rPr>
        <w:t> </w:t>
      </w:r>
      <w:r>
        <w:rPr>
          <w:sz w:val="24"/>
        </w:rPr>
        <w:t>and</w:t>
      </w:r>
      <w:r>
        <w:rPr>
          <w:spacing w:val="-4"/>
          <w:sz w:val="24"/>
        </w:rPr>
        <w:t> </w:t>
      </w:r>
      <w:r>
        <w:rPr>
          <w:sz w:val="24"/>
        </w:rPr>
        <w:t>the</w:t>
      </w:r>
      <w:r>
        <w:rPr>
          <w:spacing w:val="-4"/>
          <w:sz w:val="24"/>
        </w:rPr>
        <w:t> </w:t>
      </w:r>
      <w:r>
        <w:rPr>
          <w:sz w:val="24"/>
        </w:rPr>
        <w:t>cause upon which the recommendation is based for probationary teachers.</w:t>
      </w:r>
      <w:r>
        <w:rPr>
          <w:spacing w:val="40"/>
          <w:sz w:val="24"/>
        </w:rPr>
        <w:t> </w:t>
      </w:r>
      <w:r>
        <w:rPr>
          <w:sz w:val="24"/>
        </w:rPr>
        <w:t>The notice shall also specify the underlying facts supporting the recommendation.</w:t>
      </w:r>
    </w:p>
    <w:p>
      <w:pPr>
        <w:pStyle w:val="ListParagraph"/>
        <w:numPr>
          <w:ilvl w:val="0"/>
          <w:numId w:val="334"/>
        </w:numPr>
        <w:tabs>
          <w:tab w:pos="786" w:val="left" w:leader="none"/>
        </w:tabs>
        <w:spacing w:line="208" w:lineRule="auto" w:before="240" w:after="0"/>
        <w:ind w:left="360" w:right="1404" w:firstLine="0"/>
        <w:jc w:val="both"/>
        <w:rPr>
          <w:sz w:val="24"/>
        </w:rPr>
      </w:pPr>
      <w:r>
        <w:rPr>
          <w:sz w:val="24"/>
        </w:rPr>
        <w:t>The Director shall assign the hearing to an independent Hearing Officer.</w:t>
      </w:r>
      <w:r>
        <w:rPr>
          <w:spacing w:val="40"/>
          <w:sz w:val="24"/>
        </w:rPr>
        <w:t> </w:t>
      </w:r>
      <w:r>
        <w:rPr>
          <w:sz w:val="24"/>
        </w:rPr>
        <w:t>The hearing</w:t>
      </w:r>
      <w:r>
        <w:rPr>
          <w:spacing w:val="-4"/>
          <w:sz w:val="24"/>
        </w:rPr>
        <w:t> </w:t>
      </w:r>
      <w:r>
        <w:rPr>
          <w:sz w:val="24"/>
        </w:rPr>
        <w:t>shall</w:t>
      </w:r>
      <w:r>
        <w:rPr>
          <w:spacing w:val="-4"/>
          <w:sz w:val="24"/>
        </w:rPr>
        <w:t> </w:t>
      </w:r>
      <w:r>
        <w:rPr>
          <w:sz w:val="24"/>
        </w:rPr>
        <w:t>be</w:t>
      </w:r>
      <w:r>
        <w:rPr>
          <w:spacing w:val="-4"/>
          <w:sz w:val="24"/>
        </w:rPr>
        <w:t> </w:t>
      </w:r>
      <w:r>
        <w:rPr>
          <w:sz w:val="24"/>
        </w:rPr>
        <w:t>conducted</w:t>
      </w:r>
      <w:r>
        <w:rPr>
          <w:spacing w:val="-4"/>
          <w:sz w:val="24"/>
        </w:rPr>
        <w:t> </w:t>
      </w:r>
      <w:r>
        <w:rPr>
          <w:sz w:val="24"/>
        </w:rPr>
        <w:t>as</w:t>
      </w:r>
      <w:r>
        <w:rPr>
          <w:spacing w:val="-4"/>
          <w:sz w:val="24"/>
        </w:rPr>
        <w:t> </w:t>
      </w:r>
      <w:r>
        <w:rPr>
          <w:sz w:val="24"/>
        </w:rPr>
        <w:t>an</w:t>
      </w:r>
      <w:r>
        <w:rPr>
          <w:spacing w:val="-4"/>
          <w:sz w:val="24"/>
        </w:rPr>
        <w:t> </w:t>
      </w:r>
      <w:r>
        <w:rPr>
          <w:sz w:val="24"/>
        </w:rPr>
        <w:t>individual</w:t>
      </w:r>
      <w:r>
        <w:rPr>
          <w:spacing w:val="-3"/>
          <w:sz w:val="24"/>
        </w:rPr>
        <w:t> </w:t>
      </w:r>
      <w:r>
        <w:rPr>
          <w:sz w:val="24"/>
        </w:rPr>
        <w:t>proceeding</w:t>
      </w:r>
      <w:r>
        <w:rPr>
          <w:spacing w:val="-4"/>
          <w:sz w:val="24"/>
        </w:rPr>
        <w:t> </w:t>
      </w:r>
      <w:r>
        <w:rPr>
          <w:sz w:val="24"/>
        </w:rPr>
        <w:t>pursuant</w:t>
      </w:r>
      <w:r>
        <w:rPr>
          <w:spacing w:val="-3"/>
          <w:sz w:val="24"/>
        </w:rPr>
        <w:t> </w:t>
      </w:r>
      <w:r>
        <w:rPr>
          <w:sz w:val="24"/>
        </w:rPr>
        <w:t>to</w:t>
      </w:r>
      <w:r>
        <w:rPr>
          <w:spacing w:val="-4"/>
          <w:sz w:val="24"/>
        </w:rPr>
        <w:t> </w:t>
      </w:r>
      <w:r>
        <w:rPr>
          <w:sz w:val="24"/>
        </w:rPr>
        <w:t>the</w:t>
      </w:r>
      <w:r>
        <w:rPr>
          <w:spacing w:val="-5"/>
          <w:sz w:val="24"/>
        </w:rPr>
        <w:t> </w:t>
      </w:r>
      <w:r>
        <w:rPr>
          <w:sz w:val="24"/>
        </w:rPr>
        <w:t>Oklahoma Administrative Procedures Act (75 O.S. § 250 et seq.).</w:t>
      </w:r>
    </w:p>
    <w:p>
      <w:pPr>
        <w:pStyle w:val="ListParagraph"/>
        <w:numPr>
          <w:ilvl w:val="0"/>
          <w:numId w:val="334"/>
        </w:numPr>
        <w:tabs>
          <w:tab w:pos="773" w:val="left" w:leader="none"/>
        </w:tabs>
        <w:spacing w:line="208" w:lineRule="auto" w:before="239" w:after="0"/>
        <w:ind w:left="360" w:right="1152" w:firstLine="0"/>
        <w:jc w:val="left"/>
        <w:rPr>
          <w:sz w:val="24"/>
        </w:rPr>
      </w:pPr>
      <w:r>
        <w:rPr>
          <w:sz w:val="24"/>
        </w:rPr>
        <w:t>The</w:t>
      </w:r>
      <w:r>
        <w:rPr>
          <w:spacing w:val="-4"/>
          <w:sz w:val="24"/>
        </w:rPr>
        <w:t> </w:t>
      </w:r>
      <w:r>
        <w:rPr>
          <w:sz w:val="24"/>
        </w:rPr>
        <w:t>Director</w:t>
      </w:r>
      <w:r>
        <w:rPr>
          <w:spacing w:val="-3"/>
          <w:sz w:val="24"/>
        </w:rPr>
        <w:t> </w:t>
      </w:r>
      <w:r>
        <w:rPr>
          <w:sz w:val="24"/>
        </w:rPr>
        <w:t>shall</w:t>
      </w:r>
      <w:r>
        <w:rPr>
          <w:spacing w:val="-4"/>
          <w:sz w:val="24"/>
        </w:rPr>
        <w:t> </w:t>
      </w:r>
      <w:r>
        <w:rPr>
          <w:sz w:val="24"/>
        </w:rPr>
        <w:t>also</w:t>
      </w:r>
      <w:r>
        <w:rPr>
          <w:spacing w:val="-4"/>
          <w:sz w:val="24"/>
        </w:rPr>
        <w:t> </w:t>
      </w:r>
      <w:r>
        <w:rPr>
          <w:sz w:val="24"/>
        </w:rPr>
        <w:t>designate</w:t>
      </w:r>
      <w:r>
        <w:rPr>
          <w:spacing w:val="-4"/>
          <w:sz w:val="24"/>
        </w:rPr>
        <w:t> </w:t>
      </w:r>
      <w:r>
        <w:rPr>
          <w:sz w:val="24"/>
        </w:rPr>
        <w:t>a</w:t>
      </w:r>
      <w:r>
        <w:rPr>
          <w:spacing w:val="-4"/>
          <w:sz w:val="24"/>
        </w:rPr>
        <w:t> </w:t>
      </w:r>
      <w:r>
        <w:rPr>
          <w:sz w:val="24"/>
        </w:rPr>
        <w:t>person</w:t>
      </w:r>
      <w:r>
        <w:rPr>
          <w:spacing w:val="-4"/>
          <w:sz w:val="24"/>
        </w:rPr>
        <w:t> </w:t>
      </w:r>
      <w:r>
        <w:rPr>
          <w:sz w:val="24"/>
        </w:rPr>
        <w:t>as</w:t>
      </w:r>
      <w:r>
        <w:rPr>
          <w:spacing w:val="-4"/>
          <w:sz w:val="24"/>
        </w:rPr>
        <w:t> </w:t>
      </w:r>
      <w:r>
        <w:rPr>
          <w:sz w:val="24"/>
        </w:rPr>
        <w:t>the</w:t>
      </w:r>
      <w:r>
        <w:rPr>
          <w:spacing w:val="-4"/>
          <w:sz w:val="24"/>
        </w:rPr>
        <w:t> </w:t>
      </w:r>
      <w:r>
        <w:rPr>
          <w:sz w:val="24"/>
        </w:rPr>
        <w:t>Hearing</w:t>
      </w:r>
      <w:r>
        <w:rPr>
          <w:spacing w:val="-4"/>
          <w:sz w:val="24"/>
        </w:rPr>
        <w:t> </w:t>
      </w:r>
      <w:r>
        <w:rPr>
          <w:sz w:val="24"/>
        </w:rPr>
        <w:t>Coordinator</w:t>
      </w:r>
      <w:r>
        <w:rPr>
          <w:spacing w:val="-4"/>
          <w:sz w:val="24"/>
        </w:rPr>
        <w:t> </w:t>
      </w:r>
      <w:r>
        <w:rPr>
          <w:sz w:val="24"/>
        </w:rPr>
        <w:t>who</w:t>
      </w:r>
      <w:r>
        <w:rPr>
          <w:spacing w:val="-4"/>
          <w:sz w:val="24"/>
        </w:rPr>
        <w:t> </w:t>
      </w:r>
      <w:r>
        <w:rPr>
          <w:sz w:val="24"/>
        </w:rPr>
        <w:t>shall facilitate communication between the parties and the Hearing Officer.</w:t>
      </w:r>
    </w:p>
    <w:p>
      <w:pPr>
        <w:pStyle w:val="ListParagraph"/>
        <w:numPr>
          <w:ilvl w:val="0"/>
          <w:numId w:val="334"/>
        </w:numPr>
        <w:tabs>
          <w:tab w:pos="786" w:val="left" w:leader="none"/>
        </w:tabs>
        <w:spacing w:line="208" w:lineRule="auto" w:before="240" w:after="0"/>
        <w:ind w:left="360" w:right="900" w:firstLine="0"/>
        <w:jc w:val="left"/>
        <w:rPr>
          <w:sz w:val="24"/>
        </w:rPr>
      </w:pPr>
      <w:r>
        <w:rPr>
          <w:sz w:val="24"/>
        </w:rPr>
        <w:t>The</w:t>
      </w:r>
      <w:r>
        <w:rPr>
          <w:spacing w:val="-4"/>
          <w:sz w:val="24"/>
        </w:rPr>
        <w:t> </w:t>
      </w:r>
      <w:r>
        <w:rPr>
          <w:sz w:val="24"/>
        </w:rPr>
        <w:t>parties</w:t>
      </w:r>
      <w:r>
        <w:rPr>
          <w:spacing w:val="-4"/>
          <w:sz w:val="24"/>
        </w:rPr>
        <w:t> </w:t>
      </w:r>
      <w:r>
        <w:rPr>
          <w:sz w:val="24"/>
        </w:rPr>
        <w:t>may</w:t>
      </w:r>
      <w:r>
        <w:rPr>
          <w:spacing w:val="-4"/>
          <w:sz w:val="24"/>
        </w:rPr>
        <w:t> </w:t>
      </w:r>
      <w:r>
        <w:rPr>
          <w:sz w:val="24"/>
        </w:rPr>
        <w:t>conduct</w:t>
      </w:r>
      <w:r>
        <w:rPr>
          <w:spacing w:val="-3"/>
          <w:sz w:val="24"/>
        </w:rPr>
        <w:t> </w:t>
      </w:r>
      <w:r>
        <w:rPr>
          <w:sz w:val="24"/>
        </w:rPr>
        <w:t>discovery</w:t>
      </w:r>
      <w:r>
        <w:rPr>
          <w:spacing w:val="-4"/>
          <w:sz w:val="24"/>
        </w:rPr>
        <w:t> </w:t>
      </w:r>
      <w:r>
        <w:rPr>
          <w:sz w:val="24"/>
        </w:rPr>
        <w:t>as</w:t>
      </w:r>
      <w:r>
        <w:rPr>
          <w:spacing w:val="-4"/>
          <w:sz w:val="24"/>
        </w:rPr>
        <w:t> </w:t>
      </w:r>
      <w:r>
        <w:rPr>
          <w:sz w:val="24"/>
        </w:rPr>
        <w:t>provided</w:t>
      </w:r>
      <w:r>
        <w:rPr>
          <w:spacing w:val="-4"/>
          <w:sz w:val="24"/>
        </w:rPr>
        <w:t> </w:t>
      </w:r>
      <w:r>
        <w:rPr>
          <w:sz w:val="24"/>
        </w:rPr>
        <w:t>for</w:t>
      </w:r>
      <w:r>
        <w:rPr>
          <w:spacing w:val="-3"/>
          <w:sz w:val="24"/>
        </w:rPr>
        <w:t> </w:t>
      </w:r>
      <w:r>
        <w:rPr>
          <w:sz w:val="24"/>
        </w:rPr>
        <w:t>in</w:t>
      </w:r>
      <w:r>
        <w:rPr>
          <w:spacing w:val="-4"/>
          <w:sz w:val="24"/>
        </w:rPr>
        <w:t> </w:t>
      </w:r>
      <w:r>
        <w:rPr>
          <w:sz w:val="24"/>
        </w:rPr>
        <w:t>the</w:t>
      </w:r>
      <w:r>
        <w:rPr>
          <w:spacing w:val="-4"/>
          <w:sz w:val="24"/>
        </w:rPr>
        <w:t> </w:t>
      </w:r>
      <w:r>
        <w:rPr>
          <w:sz w:val="24"/>
        </w:rPr>
        <w:t>Oklahoma</w:t>
      </w:r>
      <w:r>
        <w:rPr>
          <w:spacing w:val="-4"/>
          <w:sz w:val="24"/>
        </w:rPr>
        <w:t> </w:t>
      </w:r>
      <w:r>
        <w:rPr>
          <w:sz w:val="24"/>
        </w:rPr>
        <w:t>Administrative Procedures Act.</w:t>
      </w:r>
      <w:r>
        <w:rPr>
          <w:spacing w:val="40"/>
          <w:sz w:val="24"/>
        </w:rPr>
        <w:t> </w:t>
      </w:r>
      <w:r>
        <w:rPr>
          <w:sz w:val="24"/>
        </w:rPr>
        <w:t>Such discovery may include written interrogatories, document requests, depositions and any other discovery device permitted by law.</w:t>
      </w:r>
    </w:p>
    <w:p>
      <w:pPr>
        <w:pStyle w:val="ListParagraph"/>
        <w:numPr>
          <w:ilvl w:val="0"/>
          <w:numId w:val="334"/>
        </w:numPr>
        <w:tabs>
          <w:tab w:pos="786" w:val="left" w:leader="none"/>
        </w:tabs>
        <w:spacing w:line="208" w:lineRule="auto" w:before="240" w:after="0"/>
        <w:ind w:left="360" w:right="723" w:firstLine="0"/>
        <w:jc w:val="left"/>
        <w:rPr>
          <w:sz w:val="24"/>
        </w:rPr>
      </w:pPr>
      <w:r>
        <w:rPr>
          <w:sz w:val="24"/>
        </w:rPr>
        <w:t>The Hearing Coordinator shall schedule a pre-hearing conference between the parties and the Hearing Officer at which time the parties shall submit witness lists and any</w:t>
      </w:r>
      <w:r>
        <w:rPr>
          <w:spacing w:val="-3"/>
          <w:sz w:val="24"/>
        </w:rPr>
        <w:t> </w:t>
      </w:r>
      <w:r>
        <w:rPr>
          <w:sz w:val="24"/>
        </w:rPr>
        <w:t>requests</w:t>
      </w:r>
      <w:r>
        <w:rPr>
          <w:spacing w:val="-3"/>
          <w:sz w:val="24"/>
        </w:rPr>
        <w:t> </w:t>
      </w:r>
      <w:r>
        <w:rPr>
          <w:sz w:val="24"/>
        </w:rPr>
        <w:t>for</w:t>
      </w:r>
      <w:r>
        <w:rPr>
          <w:spacing w:val="-4"/>
          <w:sz w:val="24"/>
        </w:rPr>
        <w:t> </w:t>
      </w:r>
      <w:r>
        <w:rPr>
          <w:sz w:val="24"/>
        </w:rPr>
        <w:t>subpoenas.</w:t>
      </w:r>
      <w:r>
        <w:rPr>
          <w:spacing w:val="40"/>
          <w:sz w:val="24"/>
        </w:rPr>
        <w:t> </w:t>
      </w:r>
      <w:r>
        <w:rPr>
          <w:sz w:val="24"/>
        </w:rPr>
        <w:t>The</w:t>
      </w:r>
      <w:r>
        <w:rPr>
          <w:spacing w:val="-3"/>
          <w:sz w:val="24"/>
        </w:rPr>
        <w:t> </w:t>
      </w:r>
      <w:r>
        <w:rPr>
          <w:sz w:val="24"/>
        </w:rPr>
        <w:t>Hearing</w:t>
      </w:r>
      <w:r>
        <w:rPr>
          <w:spacing w:val="-2"/>
          <w:sz w:val="24"/>
        </w:rPr>
        <w:t> </w:t>
      </w:r>
      <w:r>
        <w:rPr>
          <w:sz w:val="24"/>
        </w:rPr>
        <w:t>Officer</w:t>
      </w:r>
      <w:r>
        <w:rPr>
          <w:spacing w:val="-2"/>
          <w:sz w:val="24"/>
        </w:rPr>
        <w:t> </w:t>
      </w:r>
      <w:r>
        <w:rPr>
          <w:sz w:val="24"/>
        </w:rPr>
        <w:t>shall</w:t>
      </w:r>
      <w:r>
        <w:rPr>
          <w:spacing w:val="-3"/>
          <w:sz w:val="24"/>
        </w:rPr>
        <w:t> </w:t>
      </w:r>
      <w:r>
        <w:rPr>
          <w:sz w:val="24"/>
        </w:rPr>
        <w:t>issue</w:t>
      </w:r>
      <w:r>
        <w:rPr>
          <w:spacing w:val="-3"/>
          <w:sz w:val="24"/>
        </w:rPr>
        <w:t> </w:t>
      </w:r>
      <w:r>
        <w:rPr>
          <w:sz w:val="24"/>
        </w:rPr>
        <w:t>subpoenas</w:t>
      </w:r>
      <w:r>
        <w:rPr>
          <w:spacing w:val="-3"/>
          <w:sz w:val="24"/>
        </w:rPr>
        <w:t> </w:t>
      </w:r>
      <w:r>
        <w:rPr>
          <w:sz w:val="24"/>
        </w:rPr>
        <w:t>pursuant</w:t>
      </w:r>
      <w:r>
        <w:rPr>
          <w:spacing w:val="-2"/>
          <w:sz w:val="24"/>
        </w:rPr>
        <w:t> </w:t>
      </w:r>
      <w:r>
        <w:rPr>
          <w:sz w:val="24"/>
        </w:rPr>
        <w:t>to</w:t>
      </w:r>
      <w:r>
        <w:rPr>
          <w:spacing w:val="-3"/>
          <w:sz w:val="24"/>
        </w:rPr>
        <w:t> </w:t>
      </w:r>
      <w:r>
        <w:rPr>
          <w:sz w:val="24"/>
        </w:rPr>
        <w:t>the Oklahoma Administrative Procedures Act.</w:t>
      </w:r>
      <w:r>
        <w:rPr>
          <w:spacing w:val="40"/>
          <w:sz w:val="24"/>
        </w:rPr>
        <w:t> </w:t>
      </w:r>
      <w:r>
        <w:rPr>
          <w:sz w:val="24"/>
        </w:rPr>
        <w:t>If a party fails to obey a subpoena, the Hearing Officer may apply to the district or superior court of the county of such person’s residence or to any judge thereof for an order to compel compliance with the subpoena or the furnishing of information or the giving of testimony.</w:t>
      </w:r>
    </w:p>
    <w:p>
      <w:pPr>
        <w:pStyle w:val="ListParagraph"/>
        <w:numPr>
          <w:ilvl w:val="0"/>
          <w:numId w:val="334"/>
        </w:numPr>
        <w:tabs>
          <w:tab w:pos="719" w:val="left" w:leader="none"/>
        </w:tabs>
        <w:spacing w:line="208" w:lineRule="auto" w:before="239" w:after="0"/>
        <w:ind w:left="360" w:right="884" w:firstLine="0"/>
        <w:jc w:val="left"/>
        <w:rPr>
          <w:sz w:val="24"/>
        </w:rPr>
      </w:pPr>
      <w:r>
        <w:rPr>
          <w:sz w:val="24"/>
        </w:rPr>
        <w:t>At</w:t>
      </w:r>
      <w:r>
        <w:rPr>
          <w:spacing w:val="-4"/>
          <w:sz w:val="24"/>
        </w:rPr>
        <w:t> </w:t>
      </w:r>
      <w:r>
        <w:rPr>
          <w:sz w:val="24"/>
        </w:rPr>
        <w:t>the</w:t>
      </w:r>
      <w:r>
        <w:rPr>
          <w:spacing w:val="-3"/>
          <w:sz w:val="24"/>
        </w:rPr>
        <w:t> </w:t>
      </w:r>
      <w:r>
        <w:rPr>
          <w:sz w:val="24"/>
        </w:rPr>
        <w:t>hearing,</w:t>
      </w:r>
      <w:r>
        <w:rPr>
          <w:spacing w:val="-2"/>
          <w:sz w:val="24"/>
        </w:rPr>
        <w:t> </w:t>
      </w:r>
      <w:r>
        <w:rPr>
          <w:sz w:val="24"/>
        </w:rPr>
        <w:t>the</w:t>
      </w:r>
      <w:r>
        <w:rPr>
          <w:spacing w:val="-3"/>
          <w:sz w:val="24"/>
        </w:rPr>
        <w:t> </w:t>
      </w:r>
      <w:r>
        <w:rPr>
          <w:sz w:val="24"/>
        </w:rPr>
        <w:t>standard</w:t>
      </w:r>
      <w:r>
        <w:rPr>
          <w:spacing w:val="-3"/>
          <w:sz w:val="24"/>
        </w:rPr>
        <w:t> </w:t>
      </w:r>
      <w:r>
        <w:rPr>
          <w:sz w:val="24"/>
        </w:rPr>
        <w:t>of</w:t>
      </w:r>
      <w:r>
        <w:rPr>
          <w:spacing w:val="-2"/>
          <w:sz w:val="24"/>
        </w:rPr>
        <w:t> </w:t>
      </w:r>
      <w:r>
        <w:rPr>
          <w:sz w:val="24"/>
        </w:rPr>
        <w:t>proof</w:t>
      </w:r>
      <w:r>
        <w:rPr>
          <w:spacing w:val="-2"/>
          <w:sz w:val="24"/>
        </w:rPr>
        <w:t> </w:t>
      </w:r>
      <w:r>
        <w:rPr>
          <w:sz w:val="24"/>
        </w:rPr>
        <w:t>shall</w:t>
      </w:r>
      <w:r>
        <w:rPr>
          <w:spacing w:val="-3"/>
          <w:sz w:val="24"/>
        </w:rPr>
        <w:t> </w:t>
      </w:r>
      <w:r>
        <w:rPr>
          <w:sz w:val="24"/>
        </w:rPr>
        <w:t>be</w:t>
      </w:r>
      <w:r>
        <w:rPr>
          <w:spacing w:val="-3"/>
          <w:sz w:val="24"/>
        </w:rPr>
        <w:t> </w:t>
      </w:r>
      <w:r>
        <w:rPr>
          <w:sz w:val="24"/>
        </w:rPr>
        <w:t>by</w:t>
      </w:r>
      <w:r>
        <w:rPr>
          <w:spacing w:val="-3"/>
          <w:sz w:val="24"/>
        </w:rPr>
        <w:t> </w:t>
      </w:r>
      <w:r>
        <w:rPr>
          <w:sz w:val="24"/>
        </w:rPr>
        <w:t>the</w:t>
      </w:r>
      <w:r>
        <w:rPr>
          <w:spacing w:val="-4"/>
          <w:sz w:val="24"/>
        </w:rPr>
        <w:t> </w:t>
      </w:r>
      <w:r>
        <w:rPr>
          <w:sz w:val="24"/>
        </w:rPr>
        <w:t>preponderance</w:t>
      </w:r>
      <w:r>
        <w:rPr>
          <w:spacing w:val="-3"/>
          <w:sz w:val="24"/>
        </w:rPr>
        <w:t> </w:t>
      </w:r>
      <w:r>
        <w:rPr>
          <w:sz w:val="24"/>
        </w:rPr>
        <w:t>of</w:t>
      </w:r>
      <w:r>
        <w:rPr>
          <w:spacing w:val="-2"/>
          <w:sz w:val="24"/>
        </w:rPr>
        <w:t> </w:t>
      </w:r>
      <w:r>
        <w:rPr>
          <w:sz w:val="24"/>
        </w:rPr>
        <w:t>the</w:t>
      </w:r>
      <w:r>
        <w:rPr>
          <w:spacing w:val="-4"/>
          <w:sz w:val="24"/>
        </w:rPr>
        <w:t> </w:t>
      </w:r>
      <w:r>
        <w:rPr>
          <w:sz w:val="24"/>
        </w:rPr>
        <w:t>evidence and the burden of proof shall be on DRS to establish that the teacher’s dismissal or nonreemployment is warranted.</w:t>
      </w:r>
    </w:p>
    <w:p>
      <w:pPr>
        <w:pStyle w:val="ListParagraph"/>
        <w:numPr>
          <w:ilvl w:val="0"/>
          <w:numId w:val="334"/>
        </w:numPr>
        <w:tabs>
          <w:tab w:pos="786" w:val="left" w:leader="none"/>
        </w:tabs>
        <w:spacing w:line="208" w:lineRule="auto" w:before="240" w:after="0"/>
        <w:ind w:left="360" w:right="937" w:firstLine="0"/>
        <w:jc w:val="left"/>
        <w:rPr>
          <w:sz w:val="24"/>
        </w:rPr>
      </w:pPr>
      <w:r>
        <w:rPr>
          <w:sz w:val="24"/>
        </w:rPr>
        <w:t>At</w:t>
      </w:r>
      <w:r>
        <w:rPr>
          <w:spacing w:val="-4"/>
          <w:sz w:val="24"/>
        </w:rPr>
        <w:t> </w:t>
      </w:r>
      <w:r>
        <w:rPr>
          <w:sz w:val="24"/>
        </w:rPr>
        <w:t>the</w:t>
      </w:r>
      <w:r>
        <w:rPr>
          <w:spacing w:val="-4"/>
          <w:sz w:val="24"/>
        </w:rPr>
        <w:t> </w:t>
      </w:r>
      <w:r>
        <w:rPr>
          <w:sz w:val="24"/>
        </w:rPr>
        <w:t>hearing,</w:t>
      </w:r>
      <w:r>
        <w:rPr>
          <w:spacing w:val="-2"/>
          <w:sz w:val="24"/>
        </w:rPr>
        <w:t> </w:t>
      </w:r>
      <w:r>
        <w:rPr>
          <w:sz w:val="24"/>
        </w:rPr>
        <w:t>in</w:t>
      </w:r>
      <w:r>
        <w:rPr>
          <w:spacing w:val="-2"/>
          <w:sz w:val="24"/>
        </w:rPr>
        <w:t> </w:t>
      </w:r>
      <w:r>
        <w:rPr>
          <w:sz w:val="24"/>
        </w:rPr>
        <w:t>the</w:t>
      </w:r>
      <w:r>
        <w:rPr>
          <w:spacing w:val="-3"/>
          <w:sz w:val="24"/>
        </w:rPr>
        <w:t> </w:t>
      </w:r>
      <w:r>
        <w:rPr>
          <w:sz w:val="24"/>
        </w:rPr>
        <w:t>absence</w:t>
      </w:r>
      <w:r>
        <w:rPr>
          <w:spacing w:val="-3"/>
          <w:sz w:val="24"/>
        </w:rPr>
        <w:t> </w:t>
      </w:r>
      <w:r>
        <w:rPr>
          <w:sz w:val="24"/>
        </w:rPr>
        <w:t>of</w:t>
      </w:r>
      <w:r>
        <w:rPr>
          <w:spacing w:val="-2"/>
          <w:sz w:val="24"/>
        </w:rPr>
        <w:t> </w:t>
      </w:r>
      <w:r>
        <w:rPr>
          <w:sz w:val="24"/>
        </w:rPr>
        <w:t>any</w:t>
      </w:r>
      <w:r>
        <w:rPr>
          <w:spacing w:val="-3"/>
          <w:sz w:val="24"/>
        </w:rPr>
        <w:t> </w:t>
      </w:r>
      <w:r>
        <w:rPr>
          <w:sz w:val="24"/>
        </w:rPr>
        <w:t>other</w:t>
      </w:r>
      <w:r>
        <w:rPr>
          <w:spacing w:val="-2"/>
          <w:sz w:val="24"/>
        </w:rPr>
        <w:t> </w:t>
      </w:r>
      <w:r>
        <w:rPr>
          <w:sz w:val="24"/>
        </w:rPr>
        <w:t>arrangements</w:t>
      </w:r>
      <w:r>
        <w:rPr>
          <w:spacing w:val="-3"/>
          <w:sz w:val="24"/>
        </w:rPr>
        <w:t> </w:t>
      </w:r>
      <w:r>
        <w:rPr>
          <w:sz w:val="24"/>
        </w:rPr>
        <w:t>made</w:t>
      </w:r>
      <w:r>
        <w:rPr>
          <w:spacing w:val="-3"/>
          <w:sz w:val="24"/>
        </w:rPr>
        <w:t> </w:t>
      </w:r>
      <w:r>
        <w:rPr>
          <w:sz w:val="24"/>
        </w:rPr>
        <w:t>by</w:t>
      </w:r>
      <w:r>
        <w:rPr>
          <w:spacing w:val="-3"/>
          <w:sz w:val="24"/>
        </w:rPr>
        <w:t> </w:t>
      </w:r>
      <w:r>
        <w:rPr>
          <w:sz w:val="24"/>
        </w:rPr>
        <w:t>the</w:t>
      </w:r>
      <w:r>
        <w:rPr>
          <w:spacing w:val="-3"/>
          <w:sz w:val="24"/>
        </w:rPr>
        <w:t> </w:t>
      </w:r>
      <w:r>
        <w:rPr>
          <w:sz w:val="24"/>
        </w:rPr>
        <w:t>parties</w:t>
      </w:r>
      <w:r>
        <w:rPr>
          <w:spacing w:val="-3"/>
          <w:sz w:val="24"/>
        </w:rPr>
        <w:t> </w:t>
      </w:r>
      <w:r>
        <w:rPr>
          <w:sz w:val="24"/>
        </w:rPr>
        <w:t>and the Hearing Officer, the order of the proceedings shall be as follows:</w:t>
      </w:r>
    </w:p>
    <w:p>
      <w:pPr>
        <w:pStyle w:val="ListParagraph"/>
        <w:numPr>
          <w:ilvl w:val="1"/>
          <w:numId w:val="334"/>
        </w:numPr>
        <w:tabs>
          <w:tab w:pos="1217" w:val="left" w:leader="none"/>
        </w:tabs>
        <w:spacing w:line="240" w:lineRule="auto" w:before="210" w:after="0"/>
        <w:ind w:left="1217" w:right="0" w:hanging="425"/>
        <w:jc w:val="left"/>
        <w:rPr>
          <w:sz w:val="24"/>
        </w:rPr>
      </w:pPr>
      <w:r>
        <w:rPr>
          <w:sz w:val="24"/>
        </w:rPr>
        <w:t>Opening</w:t>
      </w:r>
      <w:r>
        <w:rPr>
          <w:spacing w:val="-4"/>
          <w:sz w:val="24"/>
        </w:rPr>
        <w:t> </w:t>
      </w:r>
      <w:r>
        <w:rPr>
          <w:sz w:val="24"/>
        </w:rPr>
        <w:t>statement</w:t>
      </w:r>
      <w:r>
        <w:rPr>
          <w:spacing w:val="-3"/>
          <w:sz w:val="24"/>
        </w:rPr>
        <w:t> </w:t>
      </w:r>
      <w:r>
        <w:rPr>
          <w:sz w:val="24"/>
        </w:rPr>
        <w:t>by</w:t>
      </w:r>
      <w:r>
        <w:rPr>
          <w:spacing w:val="-3"/>
          <w:sz w:val="24"/>
        </w:rPr>
        <w:t> </w:t>
      </w:r>
      <w:r>
        <w:rPr>
          <w:spacing w:val="-4"/>
          <w:sz w:val="24"/>
        </w:rPr>
        <w:t>DRS.</w:t>
      </w:r>
    </w:p>
    <w:p>
      <w:pPr>
        <w:pStyle w:val="ListParagraph"/>
        <w:numPr>
          <w:ilvl w:val="1"/>
          <w:numId w:val="334"/>
        </w:numPr>
        <w:tabs>
          <w:tab w:pos="1217" w:val="left" w:leader="none"/>
        </w:tabs>
        <w:spacing w:line="240" w:lineRule="auto" w:before="204" w:after="0"/>
        <w:ind w:left="1217" w:right="0" w:hanging="425"/>
        <w:jc w:val="left"/>
        <w:rPr>
          <w:sz w:val="24"/>
        </w:rPr>
      </w:pPr>
      <w:r>
        <w:rPr>
          <w:sz w:val="24"/>
        </w:rPr>
        <w:t>Opening</w:t>
      </w:r>
      <w:r>
        <w:rPr>
          <w:spacing w:val="-3"/>
          <w:sz w:val="24"/>
        </w:rPr>
        <w:t> </w:t>
      </w:r>
      <w:r>
        <w:rPr>
          <w:sz w:val="24"/>
        </w:rPr>
        <w:t>statement</w:t>
      </w:r>
      <w:r>
        <w:rPr>
          <w:spacing w:val="-3"/>
          <w:sz w:val="24"/>
        </w:rPr>
        <w:t> </w:t>
      </w:r>
      <w:r>
        <w:rPr>
          <w:sz w:val="24"/>
        </w:rPr>
        <w:t>by</w:t>
      </w:r>
      <w:r>
        <w:rPr>
          <w:spacing w:val="-3"/>
          <w:sz w:val="24"/>
        </w:rPr>
        <w:t> </w:t>
      </w:r>
      <w:r>
        <w:rPr>
          <w:sz w:val="24"/>
        </w:rPr>
        <w:t>the</w:t>
      </w:r>
      <w:r>
        <w:rPr>
          <w:spacing w:val="-3"/>
          <w:sz w:val="24"/>
        </w:rPr>
        <w:t> </w:t>
      </w:r>
      <w:r>
        <w:rPr>
          <w:spacing w:val="-2"/>
          <w:sz w:val="24"/>
        </w:rPr>
        <w:t>teacher.</w:t>
      </w:r>
    </w:p>
    <w:p>
      <w:pPr>
        <w:pStyle w:val="ListParagraph"/>
        <w:numPr>
          <w:ilvl w:val="1"/>
          <w:numId w:val="334"/>
        </w:numPr>
        <w:tabs>
          <w:tab w:pos="1218" w:val="left" w:leader="none"/>
        </w:tabs>
        <w:spacing w:line="208" w:lineRule="auto" w:before="234" w:after="0"/>
        <w:ind w:left="792" w:right="1708" w:firstLine="0"/>
        <w:jc w:val="left"/>
        <w:rPr>
          <w:sz w:val="24"/>
        </w:rPr>
      </w:pPr>
      <w:r>
        <w:rPr>
          <w:sz w:val="24"/>
        </w:rPr>
        <w:t>Presentation</w:t>
      </w:r>
      <w:r>
        <w:rPr>
          <w:spacing w:val="-4"/>
          <w:sz w:val="24"/>
        </w:rPr>
        <w:t> </w:t>
      </w:r>
      <w:r>
        <w:rPr>
          <w:sz w:val="24"/>
        </w:rPr>
        <w:t>of</w:t>
      </w:r>
      <w:r>
        <w:rPr>
          <w:spacing w:val="-4"/>
          <w:sz w:val="24"/>
        </w:rPr>
        <w:t> </w:t>
      </w:r>
      <w:r>
        <w:rPr>
          <w:sz w:val="24"/>
        </w:rPr>
        <w:t>the</w:t>
      </w:r>
      <w:r>
        <w:rPr>
          <w:spacing w:val="-4"/>
          <w:sz w:val="24"/>
        </w:rPr>
        <w:t> </w:t>
      </w:r>
      <w:r>
        <w:rPr>
          <w:sz w:val="24"/>
        </w:rPr>
        <w:t>case</w:t>
      </w:r>
      <w:r>
        <w:rPr>
          <w:spacing w:val="-4"/>
          <w:sz w:val="24"/>
        </w:rPr>
        <w:t> </w:t>
      </w:r>
      <w:r>
        <w:rPr>
          <w:sz w:val="24"/>
        </w:rPr>
        <w:t>by</w:t>
      </w:r>
      <w:r>
        <w:rPr>
          <w:spacing w:val="-4"/>
          <w:sz w:val="24"/>
        </w:rPr>
        <w:t> </w:t>
      </w:r>
      <w:r>
        <w:rPr>
          <w:sz w:val="24"/>
        </w:rPr>
        <w:t>DRS,</w:t>
      </w:r>
      <w:r>
        <w:rPr>
          <w:spacing w:val="-4"/>
          <w:sz w:val="24"/>
        </w:rPr>
        <w:t> </w:t>
      </w:r>
      <w:r>
        <w:rPr>
          <w:sz w:val="24"/>
        </w:rPr>
        <w:t>including</w:t>
      </w:r>
      <w:r>
        <w:rPr>
          <w:spacing w:val="-4"/>
          <w:sz w:val="24"/>
        </w:rPr>
        <w:t> </w:t>
      </w:r>
      <w:r>
        <w:rPr>
          <w:sz w:val="24"/>
        </w:rPr>
        <w:t>the</w:t>
      </w:r>
      <w:r>
        <w:rPr>
          <w:spacing w:val="-4"/>
          <w:sz w:val="24"/>
        </w:rPr>
        <w:t> </w:t>
      </w:r>
      <w:r>
        <w:rPr>
          <w:sz w:val="24"/>
        </w:rPr>
        <w:t>examination</w:t>
      </w:r>
      <w:r>
        <w:rPr>
          <w:spacing w:val="-4"/>
          <w:sz w:val="24"/>
        </w:rPr>
        <w:t> </w:t>
      </w:r>
      <w:r>
        <w:rPr>
          <w:sz w:val="24"/>
        </w:rPr>
        <w:t>and</w:t>
      </w:r>
      <w:r>
        <w:rPr>
          <w:spacing w:val="-4"/>
          <w:sz w:val="24"/>
        </w:rPr>
        <w:t> </w:t>
      </w:r>
      <w:r>
        <w:rPr>
          <w:sz w:val="24"/>
        </w:rPr>
        <w:t>cross- examination of witnesses.</w:t>
      </w:r>
    </w:p>
    <w:p>
      <w:pPr>
        <w:pStyle w:val="ListParagraph"/>
        <w:numPr>
          <w:ilvl w:val="1"/>
          <w:numId w:val="334"/>
        </w:numPr>
        <w:tabs>
          <w:tab w:pos="1218" w:val="left" w:leader="none"/>
        </w:tabs>
        <w:spacing w:line="208" w:lineRule="auto" w:before="239" w:after="0"/>
        <w:ind w:left="792" w:right="1014" w:firstLine="0"/>
        <w:jc w:val="left"/>
        <w:rPr>
          <w:sz w:val="24"/>
        </w:rPr>
      </w:pPr>
      <w:r>
        <w:rPr>
          <w:sz w:val="24"/>
        </w:rPr>
        <w:t>Presentation</w:t>
      </w:r>
      <w:r>
        <w:rPr>
          <w:spacing w:val="-4"/>
          <w:sz w:val="24"/>
        </w:rPr>
        <w:t> </w:t>
      </w:r>
      <w:r>
        <w:rPr>
          <w:sz w:val="24"/>
        </w:rPr>
        <w:t>of</w:t>
      </w:r>
      <w:r>
        <w:rPr>
          <w:spacing w:val="-3"/>
          <w:sz w:val="24"/>
        </w:rPr>
        <w:t> </w:t>
      </w:r>
      <w:r>
        <w:rPr>
          <w:sz w:val="24"/>
        </w:rPr>
        <w:t>the</w:t>
      </w:r>
      <w:r>
        <w:rPr>
          <w:spacing w:val="-4"/>
          <w:sz w:val="24"/>
        </w:rPr>
        <w:t> </w:t>
      </w:r>
      <w:r>
        <w:rPr>
          <w:sz w:val="24"/>
        </w:rPr>
        <w:t>case</w:t>
      </w:r>
      <w:r>
        <w:rPr>
          <w:spacing w:val="-4"/>
          <w:sz w:val="24"/>
        </w:rPr>
        <w:t> </w:t>
      </w:r>
      <w:r>
        <w:rPr>
          <w:sz w:val="24"/>
        </w:rPr>
        <w:t>by</w:t>
      </w:r>
      <w:r>
        <w:rPr>
          <w:spacing w:val="-4"/>
          <w:sz w:val="24"/>
        </w:rPr>
        <w:t> </w:t>
      </w:r>
      <w:r>
        <w:rPr>
          <w:sz w:val="24"/>
        </w:rPr>
        <w:t>the</w:t>
      </w:r>
      <w:r>
        <w:rPr>
          <w:spacing w:val="-4"/>
          <w:sz w:val="24"/>
        </w:rPr>
        <w:t> </w:t>
      </w:r>
      <w:r>
        <w:rPr>
          <w:sz w:val="24"/>
        </w:rPr>
        <w:t>teacher,</w:t>
      </w:r>
      <w:r>
        <w:rPr>
          <w:spacing w:val="-3"/>
          <w:sz w:val="24"/>
        </w:rPr>
        <w:t> </w:t>
      </w:r>
      <w:r>
        <w:rPr>
          <w:sz w:val="24"/>
        </w:rPr>
        <w:t>including</w:t>
      </w:r>
      <w:r>
        <w:rPr>
          <w:spacing w:val="-4"/>
          <w:sz w:val="24"/>
        </w:rPr>
        <w:t> </w:t>
      </w:r>
      <w:r>
        <w:rPr>
          <w:sz w:val="24"/>
        </w:rPr>
        <w:t>the</w:t>
      </w:r>
      <w:r>
        <w:rPr>
          <w:spacing w:val="-4"/>
          <w:sz w:val="24"/>
        </w:rPr>
        <w:t> </w:t>
      </w:r>
      <w:r>
        <w:rPr>
          <w:sz w:val="24"/>
        </w:rPr>
        <w:t>examination</w:t>
      </w:r>
      <w:r>
        <w:rPr>
          <w:spacing w:val="-4"/>
          <w:sz w:val="24"/>
        </w:rPr>
        <w:t> </w:t>
      </w:r>
      <w:r>
        <w:rPr>
          <w:sz w:val="24"/>
        </w:rPr>
        <w:t>and</w:t>
      </w:r>
      <w:r>
        <w:rPr>
          <w:spacing w:val="-4"/>
          <w:sz w:val="24"/>
        </w:rPr>
        <w:t> </w:t>
      </w:r>
      <w:r>
        <w:rPr>
          <w:sz w:val="24"/>
        </w:rPr>
        <w:t>cross- examination of witnesses called by the teacher.</w:t>
      </w:r>
    </w:p>
    <w:p>
      <w:pPr>
        <w:pStyle w:val="ListParagraph"/>
        <w:spacing w:after="0" w:line="208" w:lineRule="auto"/>
        <w:jc w:val="left"/>
        <w:rPr>
          <w:sz w:val="24"/>
        </w:rPr>
        <w:sectPr>
          <w:pgSz w:w="12240" w:h="15840"/>
          <w:pgMar w:top="1340" w:bottom="280" w:left="1080" w:right="720"/>
        </w:sectPr>
      </w:pPr>
    </w:p>
    <w:p>
      <w:pPr>
        <w:pStyle w:val="ListParagraph"/>
        <w:numPr>
          <w:ilvl w:val="1"/>
          <w:numId w:val="334"/>
        </w:numPr>
        <w:tabs>
          <w:tab w:pos="1217" w:val="left" w:leader="none"/>
        </w:tabs>
        <w:spacing w:line="240" w:lineRule="auto" w:before="67" w:after="0"/>
        <w:ind w:left="1217" w:right="0" w:hanging="426"/>
        <w:jc w:val="left"/>
        <w:rPr>
          <w:sz w:val="24"/>
        </w:rPr>
      </w:pPr>
      <w:r>
        <w:rPr>
          <w:sz w:val="24"/>
        </w:rPr>
        <w:t>Closing</w:t>
      </w:r>
      <w:r>
        <w:rPr>
          <w:spacing w:val="-3"/>
          <w:sz w:val="24"/>
        </w:rPr>
        <w:t> </w:t>
      </w:r>
      <w:r>
        <w:rPr>
          <w:sz w:val="24"/>
        </w:rPr>
        <w:t>statement</w:t>
      </w:r>
      <w:r>
        <w:rPr>
          <w:spacing w:val="-5"/>
          <w:sz w:val="24"/>
        </w:rPr>
        <w:t> </w:t>
      </w:r>
      <w:r>
        <w:rPr>
          <w:sz w:val="24"/>
        </w:rPr>
        <w:t>by</w:t>
      </w:r>
      <w:r>
        <w:rPr>
          <w:spacing w:val="-3"/>
          <w:sz w:val="24"/>
        </w:rPr>
        <w:t> </w:t>
      </w:r>
      <w:r>
        <w:rPr>
          <w:spacing w:val="-4"/>
          <w:sz w:val="24"/>
        </w:rPr>
        <w:t>DRS.</w:t>
      </w:r>
    </w:p>
    <w:p>
      <w:pPr>
        <w:pStyle w:val="ListParagraph"/>
        <w:numPr>
          <w:ilvl w:val="1"/>
          <w:numId w:val="334"/>
        </w:numPr>
        <w:tabs>
          <w:tab w:pos="1217" w:val="left" w:leader="none"/>
        </w:tabs>
        <w:spacing w:line="240" w:lineRule="auto" w:before="204" w:after="0"/>
        <w:ind w:left="1217" w:right="0" w:hanging="426"/>
        <w:jc w:val="left"/>
        <w:rPr>
          <w:sz w:val="24"/>
        </w:rPr>
      </w:pPr>
      <w:r>
        <w:rPr>
          <w:sz w:val="24"/>
        </w:rPr>
        <w:t>Closing</w:t>
      </w:r>
      <w:r>
        <w:rPr>
          <w:spacing w:val="-2"/>
          <w:sz w:val="24"/>
        </w:rPr>
        <w:t> </w:t>
      </w:r>
      <w:r>
        <w:rPr>
          <w:sz w:val="24"/>
        </w:rPr>
        <w:t>statement</w:t>
      </w:r>
      <w:r>
        <w:rPr>
          <w:spacing w:val="-5"/>
          <w:sz w:val="24"/>
        </w:rPr>
        <w:t> </w:t>
      </w:r>
      <w:r>
        <w:rPr>
          <w:sz w:val="24"/>
        </w:rPr>
        <w:t>by</w:t>
      </w:r>
      <w:r>
        <w:rPr>
          <w:spacing w:val="-3"/>
          <w:sz w:val="24"/>
        </w:rPr>
        <w:t> </w:t>
      </w:r>
      <w:r>
        <w:rPr>
          <w:sz w:val="24"/>
        </w:rPr>
        <w:t>the</w:t>
      </w:r>
      <w:r>
        <w:rPr>
          <w:spacing w:val="-2"/>
          <w:sz w:val="24"/>
        </w:rPr>
        <w:t> teacher.</w:t>
      </w:r>
    </w:p>
    <w:p>
      <w:pPr>
        <w:pStyle w:val="ListParagraph"/>
        <w:numPr>
          <w:ilvl w:val="0"/>
          <w:numId w:val="334"/>
        </w:numPr>
        <w:tabs>
          <w:tab w:pos="785" w:val="left" w:leader="none"/>
        </w:tabs>
        <w:spacing w:line="208" w:lineRule="auto" w:before="233" w:after="0"/>
        <w:ind w:left="359" w:right="1192" w:firstLine="0"/>
        <w:jc w:val="left"/>
        <w:rPr>
          <w:sz w:val="24"/>
        </w:rPr>
      </w:pPr>
      <w:r>
        <w:rPr>
          <w:sz w:val="24"/>
        </w:rPr>
        <w:t>The</w:t>
      </w:r>
      <w:r>
        <w:rPr>
          <w:spacing w:val="-3"/>
          <w:sz w:val="24"/>
        </w:rPr>
        <w:t> </w:t>
      </w:r>
      <w:r>
        <w:rPr>
          <w:sz w:val="24"/>
        </w:rPr>
        <w:t>hearing</w:t>
      </w:r>
      <w:r>
        <w:rPr>
          <w:spacing w:val="-3"/>
          <w:sz w:val="24"/>
        </w:rPr>
        <w:t> </w:t>
      </w:r>
      <w:r>
        <w:rPr>
          <w:sz w:val="24"/>
        </w:rPr>
        <w:t>shall</w:t>
      </w:r>
      <w:r>
        <w:rPr>
          <w:spacing w:val="-3"/>
          <w:sz w:val="24"/>
        </w:rPr>
        <w:t> </w:t>
      </w:r>
      <w:r>
        <w:rPr>
          <w:sz w:val="24"/>
        </w:rPr>
        <w:t>be</w:t>
      </w:r>
      <w:r>
        <w:rPr>
          <w:spacing w:val="-3"/>
          <w:sz w:val="24"/>
        </w:rPr>
        <w:t> </w:t>
      </w:r>
      <w:r>
        <w:rPr>
          <w:sz w:val="24"/>
        </w:rPr>
        <w:t>tape-recorded</w:t>
      </w:r>
      <w:r>
        <w:rPr>
          <w:spacing w:val="-3"/>
          <w:sz w:val="24"/>
        </w:rPr>
        <w:t> </w:t>
      </w:r>
      <w:r>
        <w:rPr>
          <w:sz w:val="24"/>
        </w:rPr>
        <w:t>and</w:t>
      </w:r>
      <w:r>
        <w:rPr>
          <w:spacing w:val="-3"/>
          <w:sz w:val="24"/>
        </w:rPr>
        <w:t> </w:t>
      </w:r>
      <w:r>
        <w:rPr>
          <w:sz w:val="24"/>
        </w:rPr>
        <w:t>a</w:t>
      </w:r>
      <w:r>
        <w:rPr>
          <w:spacing w:val="-3"/>
          <w:sz w:val="24"/>
        </w:rPr>
        <w:t> </w:t>
      </w:r>
      <w:r>
        <w:rPr>
          <w:sz w:val="24"/>
        </w:rPr>
        <w:t>copy</w:t>
      </w:r>
      <w:r>
        <w:rPr>
          <w:spacing w:val="-3"/>
          <w:sz w:val="24"/>
        </w:rPr>
        <w:t> </w:t>
      </w:r>
      <w:r>
        <w:rPr>
          <w:sz w:val="24"/>
        </w:rPr>
        <w:t>of</w:t>
      </w:r>
      <w:r>
        <w:rPr>
          <w:spacing w:val="-2"/>
          <w:sz w:val="24"/>
        </w:rPr>
        <w:t> </w:t>
      </w:r>
      <w:r>
        <w:rPr>
          <w:sz w:val="24"/>
        </w:rPr>
        <w:t>the</w:t>
      </w:r>
      <w:r>
        <w:rPr>
          <w:spacing w:val="-3"/>
          <w:sz w:val="24"/>
        </w:rPr>
        <w:t> </w:t>
      </w:r>
      <w:r>
        <w:rPr>
          <w:sz w:val="24"/>
        </w:rPr>
        <w:t>tape</w:t>
      </w:r>
      <w:r>
        <w:rPr>
          <w:spacing w:val="-3"/>
          <w:sz w:val="24"/>
        </w:rPr>
        <w:t> </w:t>
      </w:r>
      <w:r>
        <w:rPr>
          <w:sz w:val="24"/>
        </w:rPr>
        <w:t>shall</w:t>
      </w:r>
      <w:r>
        <w:rPr>
          <w:spacing w:val="-3"/>
          <w:sz w:val="24"/>
        </w:rPr>
        <w:t> </w:t>
      </w:r>
      <w:r>
        <w:rPr>
          <w:sz w:val="24"/>
        </w:rPr>
        <w:t>be</w:t>
      </w:r>
      <w:r>
        <w:rPr>
          <w:spacing w:val="-3"/>
          <w:sz w:val="24"/>
        </w:rPr>
        <w:t> </w:t>
      </w:r>
      <w:r>
        <w:rPr>
          <w:sz w:val="24"/>
        </w:rPr>
        <w:t>provided</w:t>
      </w:r>
      <w:r>
        <w:rPr>
          <w:spacing w:val="-3"/>
          <w:sz w:val="24"/>
        </w:rPr>
        <w:t> </w:t>
      </w:r>
      <w:r>
        <w:rPr>
          <w:sz w:val="24"/>
        </w:rPr>
        <w:t>the teacher upon request.</w:t>
      </w:r>
    </w:p>
    <w:p>
      <w:pPr>
        <w:pStyle w:val="ListParagraph"/>
        <w:numPr>
          <w:ilvl w:val="0"/>
          <w:numId w:val="334"/>
        </w:numPr>
        <w:tabs>
          <w:tab w:pos="705" w:val="left" w:leader="none"/>
        </w:tabs>
        <w:spacing w:line="208" w:lineRule="auto" w:before="240" w:after="0"/>
        <w:ind w:left="359" w:right="845" w:firstLine="0"/>
        <w:jc w:val="left"/>
        <w:rPr>
          <w:sz w:val="24"/>
        </w:rPr>
      </w:pPr>
      <w:r>
        <w:rPr>
          <w:sz w:val="24"/>
        </w:rPr>
        <w:t>Within seven (7) calendar days following the conclusion of the hearing, the Hearing Officer shall prepare written findings of fact and conclusions of law separately stated and</w:t>
      </w:r>
      <w:r>
        <w:rPr>
          <w:spacing w:val="-3"/>
          <w:sz w:val="24"/>
        </w:rPr>
        <w:t> </w:t>
      </w:r>
      <w:r>
        <w:rPr>
          <w:sz w:val="24"/>
        </w:rPr>
        <w:t>shall</w:t>
      </w:r>
      <w:r>
        <w:rPr>
          <w:spacing w:val="-3"/>
          <w:sz w:val="24"/>
        </w:rPr>
        <w:t> </w:t>
      </w:r>
      <w:r>
        <w:rPr>
          <w:sz w:val="24"/>
        </w:rPr>
        <w:t>issue</w:t>
      </w:r>
      <w:r>
        <w:rPr>
          <w:spacing w:val="-3"/>
          <w:sz w:val="24"/>
        </w:rPr>
        <w:t> </w:t>
      </w:r>
      <w:r>
        <w:rPr>
          <w:sz w:val="24"/>
        </w:rPr>
        <w:t>a</w:t>
      </w:r>
      <w:r>
        <w:rPr>
          <w:spacing w:val="-3"/>
          <w:sz w:val="24"/>
        </w:rPr>
        <w:t> </w:t>
      </w:r>
      <w:r>
        <w:rPr>
          <w:sz w:val="24"/>
        </w:rPr>
        <w:t>decision</w:t>
      </w:r>
      <w:r>
        <w:rPr>
          <w:spacing w:val="-3"/>
          <w:sz w:val="24"/>
        </w:rPr>
        <w:t> </w:t>
      </w:r>
      <w:r>
        <w:rPr>
          <w:sz w:val="24"/>
        </w:rPr>
        <w:t>as</w:t>
      </w:r>
      <w:r>
        <w:rPr>
          <w:spacing w:val="-3"/>
          <w:sz w:val="24"/>
        </w:rPr>
        <w:t> </w:t>
      </w:r>
      <w:r>
        <w:rPr>
          <w:sz w:val="24"/>
        </w:rPr>
        <w:t>to</w:t>
      </w:r>
      <w:r>
        <w:rPr>
          <w:spacing w:val="-3"/>
          <w:sz w:val="24"/>
        </w:rPr>
        <w:t> </w:t>
      </w:r>
      <w:r>
        <w:rPr>
          <w:sz w:val="24"/>
        </w:rPr>
        <w:t>whether</w:t>
      </w:r>
      <w:r>
        <w:rPr>
          <w:spacing w:val="-2"/>
          <w:sz w:val="24"/>
        </w:rPr>
        <w:t> </w:t>
      </w:r>
      <w:r>
        <w:rPr>
          <w:sz w:val="24"/>
        </w:rPr>
        <w:t>the</w:t>
      </w:r>
      <w:r>
        <w:rPr>
          <w:spacing w:val="-4"/>
          <w:sz w:val="24"/>
        </w:rPr>
        <w:t> </w:t>
      </w:r>
      <w:r>
        <w:rPr>
          <w:sz w:val="24"/>
        </w:rPr>
        <w:t>dismissal</w:t>
      </w:r>
      <w:r>
        <w:rPr>
          <w:spacing w:val="-3"/>
          <w:sz w:val="24"/>
        </w:rPr>
        <w:t> </w:t>
      </w:r>
      <w:r>
        <w:rPr>
          <w:sz w:val="24"/>
        </w:rPr>
        <w:t>or</w:t>
      </w:r>
      <w:r>
        <w:rPr>
          <w:spacing w:val="-2"/>
          <w:sz w:val="24"/>
        </w:rPr>
        <w:t> </w:t>
      </w:r>
      <w:r>
        <w:rPr>
          <w:sz w:val="24"/>
        </w:rPr>
        <w:t>nonreemployment</w:t>
      </w:r>
      <w:r>
        <w:rPr>
          <w:spacing w:val="-2"/>
          <w:sz w:val="24"/>
        </w:rPr>
        <w:t> </w:t>
      </w:r>
      <w:r>
        <w:rPr>
          <w:sz w:val="24"/>
        </w:rPr>
        <w:t>be</w:t>
      </w:r>
      <w:r>
        <w:rPr>
          <w:spacing w:val="-3"/>
          <w:sz w:val="24"/>
        </w:rPr>
        <w:t> </w:t>
      </w:r>
      <w:r>
        <w:rPr>
          <w:sz w:val="24"/>
        </w:rPr>
        <w:t>affirmed or denied.</w:t>
      </w:r>
      <w:r>
        <w:rPr>
          <w:spacing w:val="40"/>
          <w:sz w:val="24"/>
        </w:rPr>
        <w:t> </w:t>
      </w:r>
      <w:r>
        <w:rPr>
          <w:sz w:val="24"/>
        </w:rPr>
        <w:t>The findings of fact shall be accompanied by a concise and explicit statement of the underlying facts supporting the findings.</w:t>
      </w:r>
    </w:p>
    <w:p>
      <w:pPr>
        <w:pStyle w:val="ListParagraph"/>
        <w:numPr>
          <w:ilvl w:val="0"/>
          <w:numId w:val="334"/>
        </w:numPr>
        <w:tabs>
          <w:tab w:pos="706" w:val="left" w:leader="none"/>
        </w:tabs>
        <w:spacing w:line="208" w:lineRule="auto" w:before="239" w:after="0"/>
        <w:ind w:left="360" w:right="939" w:firstLine="0"/>
        <w:jc w:val="both"/>
        <w:rPr>
          <w:sz w:val="24"/>
        </w:rPr>
      </w:pPr>
      <w:r>
        <w:rPr>
          <w:sz w:val="24"/>
        </w:rPr>
        <w:t>The</w:t>
      </w:r>
      <w:r>
        <w:rPr>
          <w:spacing w:val="-2"/>
          <w:sz w:val="24"/>
        </w:rPr>
        <w:t> </w:t>
      </w:r>
      <w:r>
        <w:rPr>
          <w:sz w:val="24"/>
        </w:rPr>
        <w:t>Director</w:t>
      </w:r>
      <w:r>
        <w:rPr>
          <w:spacing w:val="-1"/>
          <w:sz w:val="24"/>
        </w:rPr>
        <w:t> </w:t>
      </w:r>
      <w:r>
        <w:rPr>
          <w:sz w:val="24"/>
        </w:rPr>
        <w:t>shall</w:t>
      </w:r>
      <w:r>
        <w:rPr>
          <w:spacing w:val="-2"/>
          <w:sz w:val="24"/>
        </w:rPr>
        <w:t> </w:t>
      </w:r>
      <w:r>
        <w:rPr>
          <w:sz w:val="24"/>
        </w:rPr>
        <w:t>review</w:t>
      </w:r>
      <w:r>
        <w:rPr>
          <w:spacing w:val="-2"/>
          <w:sz w:val="24"/>
        </w:rPr>
        <w:t> </w:t>
      </w:r>
      <w:r>
        <w:rPr>
          <w:sz w:val="24"/>
        </w:rPr>
        <w:t>the</w:t>
      </w:r>
      <w:r>
        <w:rPr>
          <w:spacing w:val="-2"/>
          <w:sz w:val="24"/>
        </w:rPr>
        <w:t> </w:t>
      </w:r>
      <w:r>
        <w:rPr>
          <w:sz w:val="24"/>
        </w:rPr>
        <w:t>Hearing</w:t>
      </w:r>
      <w:r>
        <w:rPr>
          <w:spacing w:val="-2"/>
          <w:sz w:val="24"/>
        </w:rPr>
        <w:t> </w:t>
      </w:r>
      <w:r>
        <w:rPr>
          <w:sz w:val="24"/>
        </w:rPr>
        <w:t>Officer’s</w:t>
      </w:r>
      <w:r>
        <w:rPr>
          <w:spacing w:val="-2"/>
          <w:sz w:val="24"/>
        </w:rPr>
        <w:t> </w:t>
      </w:r>
      <w:r>
        <w:rPr>
          <w:sz w:val="24"/>
        </w:rPr>
        <w:t>decision</w:t>
      </w:r>
      <w:r>
        <w:rPr>
          <w:spacing w:val="-2"/>
          <w:sz w:val="24"/>
        </w:rPr>
        <w:t> </w:t>
      </w:r>
      <w:r>
        <w:rPr>
          <w:sz w:val="24"/>
        </w:rPr>
        <w:t>as</w:t>
      </w:r>
      <w:r>
        <w:rPr>
          <w:spacing w:val="-2"/>
          <w:sz w:val="24"/>
        </w:rPr>
        <w:t> </w:t>
      </w:r>
      <w:r>
        <w:rPr>
          <w:sz w:val="24"/>
        </w:rPr>
        <w:t>well</w:t>
      </w:r>
      <w:r>
        <w:rPr>
          <w:spacing w:val="-2"/>
          <w:sz w:val="24"/>
        </w:rPr>
        <w:t> </w:t>
      </w:r>
      <w:r>
        <w:rPr>
          <w:sz w:val="24"/>
        </w:rPr>
        <w:t>as</w:t>
      </w:r>
      <w:r>
        <w:rPr>
          <w:spacing w:val="-2"/>
          <w:sz w:val="24"/>
        </w:rPr>
        <w:t> </w:t>
      </w:r>
      <w:r>
        <w:rPr>
          <w:sz w:val="24"/>
        </w:rPr>
        <w:t>the</w:t>
      </w:r>
      <w:r>
        <w:rPr>
          <w:spacing w:val="-2"/>
          <w:sz w:val="24"/>
        </w:rPr>
        <w:t> </w:t>
      </w:r>
      <w:r>
        <w:rPr>
          <w:sz w:val="24"/>
        </w:rPr>
        <w:t>record</w:t>
      </w:r>
      <w:r>
        <w:rPr>
          <w:spacing w:val="-2"/>
          <w:sz w:val="24"/>
        </w:rPr>
        <w:t> </w:t>
      </w:r>
      <w:r>
        <w:rPr>
          <w:sz w:val="24"/>
        </w:rPr>
        <w:t>of</w:t>
      </w:r>
      <w:r>
        <w:rPr>
          <w:spacing w:val="-3"/>
          <w:sz w:val="24"/>
        </w:rPr>
        <w:t> </w:t>
      </w:r>
      <w:r>
        <w:rPr>
          <w:sz w:val="24"/>
        </w:rPr>
        <w:t>the case</w:t>
      </w:r>
      <w:r>
        <w:rPr>
          <w:spacing w:val="-4"/>
          <w:sz w:val="24"/>
        </w:rPr>
        <w:t> </w:t>
      </w:r>
      <w:r>
        <w:rPr>
          <w:sz w:val="24"/>
        </w:rPr>
        <w:t>and</w:t>
      </w:r>
      <w:r>
        <w:rPr>
          <w:spacing w:val="-4"/>
          <w:sz w:val="24"/>
        </w:rPr>
        <w:t> </w:t>
      </w:r>
      <w:r>
        <w:rPr>
          <w:sz w:val="24"/>
        </w:rPr>
        <w:t>shall</w:t>
      </w:r>
      <w:r>
        <w:rPr>
          <w:spacing w:val="-4"/>
          <w:sz w:val="24"/>
        </w:rPr>
        <w:t> </w:t>
      </w:r>
      <w:r>
        <w:rPr>
          <w:sz w:val="24"/>
        </w:rPr>
        <w:t>issue</w:t>
      </w:r>
      <w:r>
        <w:rPr>
          <w:spacing w:val="-4"/>
          <w:sz w:val="24"/>
        </w:rPr>
        <w:t> </w:t>
      </w:r>
      <w:r>
        <w:rPr>
          <w:sz w:val="24"/>
        </w:rPr>
        <w:t>a</w:t>
      </w:r>
      <w:r>
        <w:rPr>
          <w:spacing w:val="-3"/>
          <w:sz w:val="24"/>
        </w:rPr>
        <w:t> </w:t>
      </w:r>
      <w:r>
        <w:rPr>
          <w:sz w:val="24"/>
        </w:rPr>
        <w:t>final</w:t>
      </w:r>
      <w:r>
        <w:rPr>
          <w:spacing w:val="-4"/>
          <w:sz w:val="24"/>
        </w:rPr>
        <w:t> </w:t>
      </w:r>
      <w:r>
        <w:rPr>
          <w:sz w:val="24"/>
        </w:rPr>
        <w:t>agency</w:t>
      </w:r>
      <w:r>
        <w:rPr>
          <w:spacing w:val="-4"/>
          <w:sz w:val="24"/>
        </w:rPr>
        <w:t> </w:t>
      </w:r>
      <w:r>
        <w:rPr>
          <w:sz w:val="24"/>
        </w:rPr>
        <w:t>order</w:t>
      </w:r>
      <w:r>
        <w:rPr>
          <w:spacing w:val="-3"/>
          <w:sz w:val="24"/>
        </w:rPr>
        <w:t> </w:t>
      </w:r>
      <w:r>
        <w:rPr>
          <w:sz w:val="24"/>
        </w:rPr>
        <w:t>regarding</w:t>
      </w:r>
      <w:r>
        <w:rPr>
          <w:spacing w:val="-4"/>
          <w:sz w:val="24"/>
        </w:rPr>
        <w:t> </w:t>
      </w:r>
      <w:r>
        <w:rPr>
          <w:sz w:val="24"/>
        </w:rPr>
        <w:t>the</w:t>
      </w:r>
      <w:r>
        <w:rPr>
          <w:spacing w:val="-4"/>
          <w:sz w:val="24"/>
        </w:rPr>
        <w:t> </w:t>
      </w:r>
      <w:r>
        <w:rPr>
          <w:sz w:val="24"/>
        </w:rPr>
        <w:t>dismissal</w:t>
      </w:r>
      <w:r>
        <w:rPr>
          <w:spacing w:val="-4"/>
          <w:sz w:val="24"/>
        </w:rPr>
        <w:t> </w:t>
      </w:r>
      <w:r>
        <w:rPr>
          <w:sz w:val="24"/>
        </w:rPr>
        <w:t>or</w:t>
      </w:r>
      <w:r>
        <w:rPr>
          <w:spacing w:val="-3"/>
          <w:sz w:val="24"/>
        </w:rPr>
        <w:t> </w:t>
      </w:r>
      <w:r>
        <w:rPr>
          <w:sz w:val="24"/>
        </w:rPr>
        <w:t>nonreemployment of the teacher.</w:t>
      </w:r>
    </w:p>
    <w:p>
      <w:pPr>
        <w:pStyle w:val="ListParagraph"/>
        <w:numPr>
          <w:ilvl w:val="0"/>
          <w:numId w:val="334"/>
        </w:numPr>
        <w:tabs>
          <w:tab w:pos="773" w:val="left" w:leader="none"/>
        </w:tabs>
        <w:spacing w:line="208" w:lineRule="auto" w:before="240" w:after="0"/>
        <w:ind w:left="360" w:right="1020" w:firstLine="0"/>
        <w:jc w:val="both"/>
        <w:rPr>
          <w:sz w:val="24"/>
        </w:rPr>
      </w:pPr>
      <w:r>
        <w:rPr>
          <w:sz w:val="24"/>
        </w:rPr>
        <w:t>The</w:t>
      </w:r>
      <w:r>
        <w:rPr>
          <w:spacing w:val="-4"/>
          <w:sz w:val="24"/>
        </w:rPr>
        <w:t> </w:t>
      </w:r>
      <w:r>
        <w:rPr>
          <w:sz w:val="24"/>
        </w:rPr>
        <w:t>teacher</w:t>
      </w:r>
      <w:r>
        <w:rPr>
          <w:spacing w:val="-3"/>
          <w:sz w:val="24"/>
        </w:rPr>
        <w:t> </w:t>
      </w:r>
      <w:r>
        <w:rPr>
          <w:sz w:val="24"/>
        </w:rPr>
        <w:t>may</w:t>
      </w:r>
      <w:r>
        <w:rPr>
          <w:spacing w:val="-4"/>
          <w:sz w:val="24"/>
        </w:rPr>
        <w:t> </w:t>
      </w:r>
      <w:r>
        <w:rPr>
          <w:sz w:val="24"/>
        </w:rPr>
        <w:t>seek</w:t>
      </w:r>
      <w:r>
        <w:rPr>
          <w:spacing w:val="-4"/>
          <w:sz w:val="24"/>
        </w:rPr>
        <w:t> </w:t>
      </w:r>
      <w:r>
        <w:rPr>
          <w:sz w:val="24"/>
        </w:rPr>
        <w:t>a</w:t>
      </w:r>
      <w:r>
        <w:rPr>
          <w:spacing w:val="-4"/>
          <w:sz w:val="24"/>
        </w:rPr>
        <w:t> </w:t>
      </w:r>
      <w:r>
        <w:rPr>
          <w:sz w:val="24"/>
        </w:rPr>
        <w:t>rehearing,</w:t>
      </w:r>
      <w:r>
        <w:rPr>
          <w:spacing w:val="-3"/>
          <w:sz w:val="24"/>
        </w:rPr>
        <w:t> </w:t>
      </w:r>
      <w:r>
        <w:rPr>
          <w:sz w:val="24"/>
        </w:rPr>
        <w:t>reopening</w:t>
      </w:r>
      <w:r>
        <w:rPr>
          <w:spacing w:val="-4"/>
          <w:sz w:val="24"/>
        </w:rPr>
        <w:t> </w:t>
      </w:r>
      <w:r>
        <w:rPr>
          <w:sz w:val="24"/>
        </w:rPr>
        <w:t>or</w:t>
      </w:r>
      <w:r>
        <w:rPr>
          <w:spacing w:val="-3"/>
          <w:sz w:val="24"/>
        </w:rPr>
        <w:t> </w:t>
      </w:r>
      <w:r>
        <w:rPr>
          <w:sz w:val="24"/>
        </w:rPr>
        <w:t>reconsideration</w:t>
      </w:r>
      <w:r>
        <w:rPr>
          <w:spacing w:val="-4"/>
          <w:sz w:val="24"/>
        </w:rPr>
        <w:t> </w:t>
      </w:r>
      <w:r>
        <w:rPr>
          <w:sz w:val="24"/>
        </w:rPr>
        <w:t>of</w:t>
      </w:r>
      <w:r>
        <w:rPr>
          <w:spacing w:val="-3"/>
          <w:sz w:val="24"/>
        </w:rPr>
        <w:t> </w:t>
      </w:r>
      <w:r>
        <w:rPr>
          <w:sz w:val="24"/>
        </w:rPr>
        <w:t>the</w:t>
      </w:r>
      <w:r>
        <w:rPr>
          <w:spacing w:val="-4"/>
          <w:sz w:val="24"/>
        </w:rPr>
        <w:t> </w:t>
      </w:r>
      <w:r>
        <w:rPr>
          <w:sz w:val="24"/>
        </w:rPr>
        <w:t>final</w:t>
      </w:r>
      <w:r>
        <w:rPr>
          <w:spacing w:val="-4"/>
          <w:sz w:val="24"/>
        </w:rPr>
        <w:t> </w:t>
      </w:r>
      <w:r>
        <w:rPr>
          <w:sz w:val="24"/>
        </w:rPr>
        <w:t>order pursuant to the Oklahoma Administrative Procedures Act at 75 O.S. § 317.</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02</w:t>
      </w:r>
      <w:r>
        <w:rPr>
          <w:sz w:val="22"/>
        </w:rPr>
        <w:tab/>
        <w:t>PT</w:t>
      </w:r>
      <w:r>
        <w:rPr>
          <w:spacing w:val="-8"/>
          <w:sz w:val="22"/>
        </w:rPr>
        <w:t> </w:t>
      </w:r>
      <w:r>
        <w:rPr>
          <w:sz w:val="22"/>
        </w:rPr>
        <w:t>Memo</w:t>
      </w:r>
      <w:r>
        <w:rPr>
          <w:spacing w:val="-8"/>
          <w:sz w:val="22"/>
        </w:rPr>
        <w:t> </w:t>
      </w:r>
      <w:r>
        <w:rPr>
          <w:sz w:val="22"/>
        </w:rPr>
        <w:t>#02-</w:t>
      </w:r>
      <w:r>
        <w:rPr>
          <w:spacing w:val="-5"/>
          <w:sz w:val="22"/>
        </w:rPr>
        <w:t>02</w:t>
      </w:r>
    </w:p>
    <w:p>
      <w:pPr>
        <w:tabs>
          <w:tab w:pos="1439" w:val="left" w:leader="none"/>
        </w:tabs>
        <w:spacing w:before="0"/>
        <w:ind w:left="359" w:right="7299" w:firstLine="1080"/>
        <w:jc w:val="left"/>
        <w:rPr>
          <w:sz w:val="22"/>
        </w:rPr>
      </w:pPr>
      <w:r>
        <w:rPr>
          <w:sz w:val="22"/>
        </w:rPr>
        <w:t>Permanent, New </w:t>
      </w:r>
      <w:r>
        <w:rPr>
          <w:spacing w:val="-2"/>
          <w:sz w:val="22"/>
        </w:rPr>
        <w:t>7-1-</w:t>
      </w:r>
      <w:r>
        <w:rPr>
          <w:spacing w:val="-5"/>
          <w:sz w:val="22"/>
        </w:rPr>
        <w:t>03</w:t>
      </w:r>
      <w:r>
        <w:rPr>
          <w:sz w:val="22"/>
        </w:rPr>
        <w:tab/>
        <w:t>PT</w:t>
      </w:r>
      <w:r>
        <w:rPr>
          <w:spacing w:val="-8"/>
          <w:sz w:val="22"/>
        </w:rPr>
        <w:t> </w:t>
      </w:r>
      <w:r>
        <w:rPr>
          <w:sz w:val="22"/>
        </w:rPr>
        <w:t>Memo</w:t>
      </w:r>
      <w:r>
        <w:rPr>
          <w:spacing w:val="-8"/>
          <w:sz w:val="22"/>
        </w:rPr>
        <w:t> </w:t>
      </w:r>
      <w:r>
        <w:rPr>
          <w:sz w:val="22"/>
        </w:rPr>
        <w:t>#03-</w:t>
      </w:r>
      <w:r>
        <w:rPr>
          <w:spacing w:val="-5"/>
          <w:sz w:val="22"/>
        </w:rPr>
        <w:t>07</w:t>
      </w:r>
    </w:p>
    <w:p>
      <w:pPr>
        <w:tabs>
          <w:tab w:pos="1439" w:val="left" w:leader="none"/>
        </w:tabs>
        <w:spacing w:before="0"/>
        <w:ind w:left="359" w:right="2994" w:firstLine="1080"/>
        <w:jc w:val="left"/>
        <w:rPr>
          <w:sz w:val="22"/>
        </w:rPr>
      </w:pPr>
      <w:r>
        <w:rPr>
          <w:sz w:val="22"/>
        </w:rPr>
        <w:t>Permanent,</w:t>
      </w:r>
      <w:r>
        <w:rPr>
          <w:spacing w:val="-5"/>
          <w:sz w:val="22"/>
        </w:rPr>
        <w:t> </w:t>
      </w:r>
      <w:r>
        <w:rPr>
          <w:sz w:val="22"/>
        </w:rPr>
        <w:t>changed</w:t>
      </w:r>
      <w:r>
        <w:rPr>
          <w:spacing w:val="-6"/>
          <w:sz w:val="22"/>
        </w:rPr>
        <w:t> </w:t>
      </w:r>
      <w:r>
        <w:rPr>
          <w:sz w:val="22"/>
        </w:rPr>
        <w:t>tagline</w:t>
      </w:r>
      <w:r>
        <w:rPr>
          <w:spacing w:val="-6"/>
          <w:sz w:val="22"/>
        </w:rPr>
        <w:t> </w:t>
      </w:r>
      <w:r>
        <w:rPr>
          <w:sz w:val="22"/>
        </w:rPr>
        <w:t>to</w:t>
      </w:r>
      <w:r>
        <w:rPr>
          <w:spacing w:val="-6"/>
          <w:sz w:val="22"/>
        </w:rPr>
        <w:t> </w:t>
      </w:r>
      <w:r>
        <w:rPr>
          <w:sz w:val="22"/>
        </w:rPr>
        <w:t>reflect</w:t>
      </w:r>
      <w:r>
        <w:rPr>
          <w:spacing w:val="-6"/>
          <w:sz w:val="22"/>
        </w:rPr>
        <w:t> </w:t>
      </w:r>
      <w:r>
        <w:rPr>
          <w:sz w:val="22"/>
        </w:rPr>
        <w:t>accurate</w:t>
      </w:r>
      <w:r>
        <w:rPr>
          <w:spacing w:val="-6"/>
          <w:sz w:val="22"/>
        </w:rPr>
        <w:t> </w:t>
      </w:r>
      <w:r>
        <w:rPr>
          <w:sz w:val="22"/>
        </w:rPr>
        <w:t>subject</w:t>
      </w:r>
      <w:r>
        <w:rPr>
          <w:spacing w:val="-6"/>
          <w:sz w:val="22"/>
        </w:rPr>
        <w:t> </w:t>
      </w:r>
      <w:r>
        <w:rPr>
          <w:sz w:val="22"/>
        </w:rPr>
        <w:t>matter </w:t>
      </w:r>
      <w:r>
        <w:rPr>
          <w:spacing w:val="-2"/>
          <w:sz w:val="22"/>
        </w:rPr>
        <w:t>7-1-04</w:t>
      </w:r>
      <w:r>
        <w:rPr>
          <w:sz w:val="22"/>
        </w:rPr>
        <w:tab/>
        <w:t>PT Memo #05-01</w:t>
      </w:r>
    </w:p>
    <w:p>
      <w:pPr>
        <w:spacing w:before="0"/>
        <w:ind w:left="1439" w:right="0" w:firstLine="0"/>
        <w:jc w:val="left"/>
        <w:rPr>
          <w:sz w:val="22"/>
        </w:rPr>
      </w:pPr>
      <w:r>
        <w:rPr>
          <w:sz w:val="22"/>
        </w:rPr>
        <w:t>Permanent,</w:t>
      </w:r>
      <w:r>
        <w:rPr>
          <w:spacing w:val="-5"/>
          <w:sz w:val="22"/>
        </w:rPr>
        <w:t> </w:t>
      </w:r>
      <w:r>
        <w:rPr>
          <w:sz w:val="22"/>
        </w:rPr>
        <w:t>added</w:t>
      </w:r>
      <w:r>
        <w:rPr>
          <w:spacing w:val="-5"/>
          <w:sz w:val="22"/>
        </w:rPr>
        <w:t> </w:t>
      </w:r>
      <w:r>
        <w:rPr>
          <w:sz w:val="22"/>
        </w:rPr>
        <w:t>right</w:t>
      </w:r>
      <w:r>
        <w:rPr>
          <w:spacing w:val="-6"/>
          <w:sz w:val="22"/>
        </w:rPr>
        <w:t> </w:t>
      </w:r>
      <w:r>
        <w:rPr>
          <w:sz w:val="22"/>
        </w:rPr>
        <w:t>to</w:t>
      </w:r>
      <w:r>
        <w:rPr>
          <w:spacing w:val="-5"/>
          <w:sz w:val="22"/>
        </w:rPr>
        <w:t> </w:t>
      </w:r>
      <w:r>
        <w:rPr>
          <w:sz w:val="22"/>
        </w:rPr>
        <w:t>trial</w:t>
      </w:r>
      <w:r>
        <w:rPr>
          <w:spacing w:val="-6"/>
          <w:sz w:val="22"/>
        </w:rPr>
        <w:t> </w:t>
      </w:r>
      <w:r>
        <w:rPr>
          <w:sz w:val="22"/>
        </w:rPr>
        <w:t>de</w:t>
      </w:r>
      <w:r>
        <w:rPr>
          <w:spacing w:val="-5"/>
          <w:sz w:val="22"/>
        </w:rPr>
        <w:t> </w:t>
      </w:r>
      <w:r>
        <w:rPr>
          <w:spacing w:val="-4"/>
          <w:sz w:val="22"/>
        </w:rPr>
        <w:t>novo</w:t>
      </w:r>
    </w:p>
    <w:p>
      <w:pPr>
        <w:pStyle w:val="ListParagraph"/>
        <w:numPr>
          <w:ilvl w:val="2"/>
          <w:numId w:val="321"/>
        </w:numPr>
        <w:tabs>
          <w:tab w:pos="1439" w:val="left" w:leader="none"/>
        </w:tabs>
        <w:spacing w:line="240" w:lineRule="auto" w:before="0" w:after="0"/>
        <w:ind w:left="1439" w:right="0" w:hanging="1080"/>
        <w:jc w:val="left"/>
        <w:rPr>
          <w:sz w:val="22"/>
        </w:rPr>
      </w:pPr>
      <w:r>
        <w:rPr>
          <w:sz w:val="22"/>
        </w:rPr>
        <w:t>Permanent,</w:t>
      </w:r>
      <w:r>
        <w:rPr>
          <w:spacing w:val="-5"/>
          <w:sz w:val="22"/>
        </w:rPr>
        <w:t> </w:t>
      </w:r>
      <w:r>
        <w:rPr>
          <w:sz w:val="22"/>
        </w:rPr>
        <w:t>removed</w:t>
      </w:r>
      <w:r>
        <w:rPr>
          <w:spacing w:val="-6"/>
          <w:sz w:val="22"/>
        </w:rPr>
        <w:t> </w:t>
      </w:r>
      <w:r>
        <w:rPr>
          <w:sz w:val="22"/>
        </w:rPr>
        <w:t>right</w:t>
      </w:r>
      <w:r>
        <w:rPr>
          <w:spacing w:val="-6"/>
          <w:sz w:val="22"/>
        </w:rPr>
        <w:t> </w:t>
      </w:r>
      <w:r>
        <w:rPr>
          <w:sz w:val="22"/>
        </w:rPr>
        <w:t>to</w:t>
      </w:r>
      <w:r>
        <w:rPr>
          <w:spacing w:val="-6"/>
          <w:sz w:val="22"/>
        </w:rPr>
        <w:t> </w:t>
      </w:r>
      <w:r>
        <w:rPr>
          <w:sz w:val="22"/>
        </w:rPr>
        <w:t>trial</w:t>
      </w:r>
      <w:r>
        <w:rPr>
          <w:spacing w:val="-6"/>
          <w:sz w:val="22"/>
        </w:rPr>
        <w:t> </w:t>
      </w:r>
      <w:r>
        <w:rPr>
          <w:sz w:val="22"/>
        </w:rPr>
        <w:t>de</w:t>
      </w:r>
      <w:r>
        <w:rPr>
          <w:spacing w:val="-7"/>
          <w:sz w:val="22"/>
        </w:rPr>
        <w:t> </w:t>
      </w:r>
      <w:r>
        <w:rPr>
          <w:spacing w:val="-4"/>
          <w:sz w:val="22"/>
        </w:rPr>
        <w:t>novo</w:t>
      </w:r>
    </w:p>
    <w:p>
      <w:pPr>
        <w:pStyle w:val="ListParagraph"/>
        <w:spacing w:after="0" w:line="240" w:lineRule="auto"/>
        <w:jc w:val="left"/>
        <w:rPr>
          <w:sz w:val="22"/>
        </w:rPr>
        <w:sectPr>
          <w:pgSz w:w="12240" w:h="15840"/>
          <w:pgMar w:top="1340" w:bottom="280" w:left="1080" w:right="720"/>
        </w:sectPr>
      </w:pPr>
    </w:p>
    <w:p>
      <w:pPr>
        <w:pStyle w:val="Heading2"/>
      </w:pPr>
      <w:bookmarkStart w:name="612:20-2-14.  Immediate suspension of a " w:id="333"/>
      <w:bookmarkEnd w:id="333"/>
      <w:r>
        <w:rPr>
          <w:b w:val="0"/>
        </w:rPr>
      </w:r>
      <w:r>
        <w:rPr/>
        <w:t>612:20-2-14.</w:t>
      </w:r>
      <w:r>
        <w:rPr>
          <w:spacing w:val="60"/>
        </w:rPr>
        <w:t> </w:t>
      </w:r>
      <w:r>
        <w:rPr/>
        <w:t>Immediate</w:t>
      </w:r>
      <w:r>
        <w:rPr>
          <w:spacing w:val="-4"/>
        </w:rPr>
        <w:t> </w:t>
      </w:r>
      <w:r>
        <w:rPr/>
        <w:t>suspension</w:t>
      </w:r>
      <w:r>
        <w:rPr>
          <w:spacing w:val="-3"/>
        </w:rPr>
        <w:t> </w:t>
      </w:r>
      <w:r>
        <w:rPr/>
        <w:t>of</w:t>
      </w:r>
      <w:r>
        <w:rPr>
          <w:spacing w:val="-3"/>
        </w:rPr>
        <w:t> </w:t>
      </w:r>
      <w:r>
        <w:rPr/>
        <w:t>a</w:t>
      </w:r>
      <w:r>
        <w:rPr>
          <w:spacing w:val="-5"/>
        </w:rPr>
        <w:t> </w:t>
      </w:r>
      <w:r>
        <w:rPr>
          <w:spacing w:val="-2"/>
        </w:rPr>
        <w:t>teacher</w:t>
      </w:r>
    </w:p>
    <w:p>
      <w:pPr>
        <w:pStyle w:val="ListParagraph"/>
        <w:numPr>
          <w:ilvl w:val="0"/>
          <w:numId w:val="335"/>
        </w:numPr>
        <w:tabs>
          <w:tab w:pos="786" w:val="left" w:leader="none"/>
        </w:tabs>
        <w:spacing w:line="240" w:lineRule="auto" w:before="204" w:after="0"/>
        <w:ind w:left="786" w:right="0" w:hanging="426"/>
        <w:jc w:val="left"/>
        <w:rPr>
          <w:b/>
          <w:sz w:val="24"/>
        </w:rPr>
      </w:pPr>
      <w:r>
        <w:rPr>
          <w:b/>
          <w:sz w:val="24"/>
        </w:rPr>
        <w:t>Cause</w:t>
      </w:r>
      <w:r>
        <w:rPr>
          <w:b/>
          <w:spacing w:val="-4"/>
          <w:sz w:val="24"/>
        </w:rPr>
        <w:t> </w:t>
      </w:r>
      <w:r>
        <w:rPr>
          <w:b/>
          <w:sz w:val="24"/>
        </w:rPr>
        <w:t>unrelated</w:t>
      </w:r>
      <w:r>
        <w:rPr>
          <w:b/>
          <w:spacing w:val="-3"/>
          <w:sz w:val="24"/>
        </w:rPr>
        <w:t> </w:t>
      </w:r>
      <w:r>
        <w:rPr>
          <w:b/>
          <w:sz w:val="24"/>
        </w:rPr>
        <w:t>to</w:t>
      </w:r>
      <w:r>
        <w:rPr>
          <w:b/>
          <w:spacing w:val="-3"/>
          <w:sz w:val="24"/>
        </w:rPr>
        <w:t> </w:t>
      </w:r>
      <w:r>
        <w:rPr>
          <w:b/>
          <w:sz w:val="24"/>
        </w:rPr>
        <w:t>a</w:t>
      </w:r>
      <w:r>
        <w:rPr>
          <w:b/>
          <w:spacing w:val="-2"/>
          <w:sz w:val="24"/>
        </w:rPr>
        <w:t> </w:t>
      </w:r>
      <w:r>
        <w:rPr>
          <w:b/>
          <w:sz w:val="24"/>
        </w:rPr>
        <w:t>criminal</w:t>
      </w:r>
      <w:r>
        <w:rPr>
          <w:b/>
          <w:spacing w:val="-2"/>
          <w:sz w:val="24"/>
        </w:rPr>
        <w:t> </w:t>
      </w:r>
      <w:r>
        <w:rPr>
          <w:b/>
          <w:sz w:val="24"/>
        </w:rPr>
        <w:t>charge</w:t>
      </w:r>
      <w:r>
        <w:rPr>
          <w:b/>
          <w:spacing w:val="-3"/>
          <w:sz w:val="24"/>
        </w:rPr>
        <w:t> </w:t>
      </w:r>
      <w:r>
        <w:rPr>
          <w:b/>
          <w:sz w:val="24"/>
        </w:rPr>
        <w:t>or</w:t>
      </w:r>
      <w:r>
        <w:rPr>
          <w:b/>
          <w:spacing w:val="-2"/>
          <w:sz w:val="24"/>
        </w:rPr>
        <w:t> indictment.</w:t>
      </w:r>
    </w:p>
    <w:p>
      <w:pPr>
        <w:pStyle w:val="ListParagraph"/>
        <w:numPr>
          <w:ilvl w:val="1"/>
          <w:numId w:val="335"/>
        </w:numPr>
        <w:tabs>
          <w:tab w:pos="1217" w:val="left" w:leader="none"/>
        </w:tabs>
        <w:spacing w:line="208" w:lineRule="auto" w:before="233" w:after="0"/>
        <w:ind w:left="792" w:right="1107" w:firstLine="0"/>
        <w:jc w:val="left"/>
        <w:rPr>
          <w:sz w:val="24"/>
        </w:rPr>
      </w:pPr>
      <w:r>
        <w:rPr>
          <w:sz w:val="24"/>
        </w:rPr>
        <w:t>Whenever</w:t>
      </w:r>
      <w:r>
        <w:rPr>
          <w:spacing w:val="-2"/>
          <w:sz w:val="24"/>
        </w:rPr>
        <w:t> </w:t>
      </w:r>
      <w:r>
        <w:rPr>
          <w:sz w:val="24"/>
        </w:rPr>
        <w:t>the</w:t>
      </w:r>
      <w:r>
        <w:rPr>
          <w:spacing w:val="-3"/>
          <w:sz w:val="24"/>
        </w:rPr>
        <w:t> </w:t>
      </w:r>
      <w:r>
        <w:rPr>
          <w:sz w:val="24"/>
        </w:rPr>
        <w:t>superintendent</w:t>
      </w:r>
      <w:r>
        <w:rPr>
          <w:spacing w:val="-1"/>
          <w:sz w:val="24"/>
        </w:rPr>
        <w:t> </w:t>
      </w:r>
      <w:r>
        <w:rPr>
          <w:sz w:val="24"/>
        </w:rPr>
        <w:t>has</w:t>
      </w:r>
      <w:r>
        <w:rPr>
          <w:spacing w:val="-3"/>
          <w:sz w:val="24"/>
        </w:rPr>
        <w:t> </w:t>
      </w:r>
      <w:r>
        <w:rPr>
          <w:sz w:val="24"/>
        </w:rPr>
        <w:t>reason</w:t>
      </w:r>
      <w:r>
        <w:rPr>
          <w:spacing w:val="-3"/>
          <w:sz w:val="24"/>
        </w:rPr>
        <w:t> </w:t>
      </w:r>
      <w:r>
        <w:rPr>
          <w:sz w:val="24"/>
        </w:rPr>
        <w:t>to</w:t>
      </w:r>
      <w:r>
        <w:rPr>
          <w:spacing w:val="-3"/>
          <w:sz w:val="24"/>
        </w:rPr>
        <w:t> </w:t>
      </w:r>
      <w:r>
        <w:rPr>
          <w:sz w:val="24"/>
        </w:rPr>
        <w:t>believe</w:t>
      </w:r>
      <w:r>
        <w:rPr>
          <w:spacing w:val="-2"/>
          <w:sz w:val="24"/>
        </w:rPr>
        <w:t> </w:t>
      </w:r>
      <w:r>
        <w:rPr>
          <w:sz w:val="24"/>
        </w:rPr>
        <w:t>that</w:t>
      </w:r>
      <w:r>
        <w:rPr>
          <w:spacing w:val="-2"/>
          <w:sz w:val="24"/>
        </w:rPr>
        <w:t> </w:t>
      </w:r>
      <w:r>
        <w:rPr>
          <w:sz w:val="24"/>
        </w:rPr>
        <w:t>cause</w:t>
      </w:r>
      <w:r>
        <w:rPr>
          <w:spacing w:val="-4"/>
          <w:sz w:val="24"/>
        </w:rPr>
        <w:t> </w:t>
      </w:r>
      <w:r>
        <w:rPr>
          <w:sz w:val="24"/>
        </w:rPr>
        <w:t>exists</w:t>
      </w:r>
      <w:r>
        <w:rPr>
          <w:spacing w:val="-3"/>
          <w:sz w:val="24"/>
        </w:rPr>
        <w:t> </w:t>
      </w:r>
      <w:r>
        <w:rPr>
          <w:sz w:val="24"/>
        </w:rPr>
        <w:t>for</w:t>
      </w:r>
      <w:r>
        <w:rPr>
          <w:spacing w:val="-4"/>
          <w:sz w:val="24"/>
        </w:rPr>
        <w:t> </w:t>
      </w:r>
      <w:r>
        <w:rPr>
          <w:sz w:val="24"/>
        </w:rPr>
        <w:t>the dismissal</w:t>
      </w:r>
      <w:r>
        <w:rPr>
          <w:spacing w:val="-2"/>
          <w:sz w:val="24"/>
        </w:rPr>
        <w:t> </w:t>
      </w:r>
      <w:r>
        <w:rPr>
          <w:sz w:val="24"/>
        </w:rPr>
        <w:t>of</w:t>
      </w:r>
      <w:r>
        <w:rPr>
          <w:spacing w:val="-2"/>
          <w:sz w:val="24"/>
        </w:rPr>
        <w:t> </w:t>
      </w:r>
      <w:r>
        <w:rPr>
          <w:sz w:val="24"/>
        </w:rPr>
        <w:t>a</w:t>
      </w:r>
      <w:r>
        <w:rPr>
          <w:spacing w:val="-3"/>
          <w:sz w:val="24"/>
        </w:rPr>
        <w:t> </w:t>
      </w:r>
      <w:r>
        <w:rPr>
          <w:sz w:val="24"/>
        </w:rPr>
        <w:t>teacher</w:t>
      </w:r>
      <w:r>
        <w:rPr>
          <w:spacing w:val="-2"/>
          <w:sz w:val="24"/>
        </w:rPr>
        <w:t> </w:t>
      </w:r>
      <w:r>
        <w:rPr>
          <w:sz w:val="24"/>
        </w:rPr>
        <w:t>and</w:t>
      </w:r>
      <w:r>
        <w:rPr>
          <w:spacing w:val="-2"/>
          <w:sz w:val="24"/>
        </w:rPr>
        <w:t> </w:t>
      </w:r>
      <w:r>
        <w:rPr>
          <w:sz w:val="24"/>
        </w:rPr>
        <w:t>is</w:t>
      </w:r>
      <w:r>
        <w:rPr>
          <w:spacing w:val="-3"/>
          <w:sz w:val="24"/>
        </w:rPr>
        <w:t> </w:t>
      </w:r>
      <w:r>
        <w:rPr>
          <w:sz w:val="24"/>
        </w:rPr>
        <w:t>of</w:t>
      </w:r>
      <w:r>
        <w:rPr>
          <w:spacing w:val="-2"/>
          <w:sz w:val="24"/>
        </w:rPr>
        <w:t> </w:t>
      </w:r>
      <w:r>
        <w:rPr>
          <w:sz w:val="24"/>
        </w:rPr>
        <w:t>the</w:t>
      </w:r>
      <w:r>
        <w:rPr>
          <w:spacing w:val="-2"/>
          <w:sz w:val="24"/>
        </w:rPr>
        <w:t> </w:t>
      </w:r>
      <w:r>
        <w:rPr>
          <w:sz w:val="24"/>
        </w:rPr>
        <w:t>opinion</w:t>
      </w:r>
      <w:r>
        <w:rPr>
          <w:spacing w:val="-3"/>
          <w:sz w:val="24"/>
        </w:rPr>
        <w:t> </w:t>
      </w:r>
      <w:r>
        <w:rPr>
          <w:sz w:val="24"/>
        </w:rPr>
        <w:t>that</w:t>
      </w:r>
      <w:r>
        <w:rPr>
          <w:spacing w:val="-2"/>
          <w:sz w:val="24"/>
        </w:rPr>
        <w:t> </w:t>
      </w:r>
      <w:r>
        <w:rPr>
          <w:sz w:val="24"/>
        </w:rPr>
        <w:t>the</w:t>
      </w:r>
      <w:r>
        <w:rPr>
          <w:spacing w:val="-2"/>
          <w:sz w:val="24"/>
        </w:rPr>
        <w:t> </w:t>
      </w:r>
      <w:r>
        <w:rPr>
          <w:sz w:val="24"/>
        </w:rPr>
        <w:t>immediate</w:t>
      </w:r>
      <w:r>
        <w:rPr>
          <w:spacing w:val="-3"/>
          <w:sz w:val="24"/>
        </w:rPr>
        <w:t> </w:t>
      </w:r>
      <w:r>
        <w:rPr>
          <w:sz w:val="24"/>
        </w:rPr>
        <w:t>suspension</w:t>
      </w:r>
      <w:r>
        <w:rPr>
          <w:spacing w:val="-2"/>
          <w:sz w:val="24"/>
        </w:rPr>
        <w:t> </w:t>
      </w:r>
      <w:r>
        <w:rPr>
          <w:sz w:val="24"/>
        </w:rPr>
        <w:t>of</w:t>
      </w:r>
      <w:r>
        <w:rPr>
          <w:spacing w:val="-2"/>
          <w:sz w:val="24"/>
        </w:rPr>
        <w:t> </w:t>
      </w:r>
      <w:r>
        <w:rPr>
          <w:sz w:val="24"/>
        </w:rPr>
        <w:t>the teacher would be in the best interests of the children in the school, the superintendent,</w:t>
      </w:r>
      <w:r>
        <w:rPr>
          <w:spacing w:val="-4"/>
          <w:sz w:val="24"/>
        </w:rPr>
        <w:t> </w:t>
      </w:r>
      <w:r>
        <w:rPr>
          <w:sz w:val="24"/>
        </w:rPr>
        <w:t>Chief</w:t>
      </w:r>
      <w:r>
        <w:rPr>
          <w:spacing w:val="-4"/>
          <w:sz w:val="24"/>
        </w:rPr>
        <w:t> </w:t>
      </w:r>
      <w:r>
        <w:rPr>
          <w:sz w:val="24"/>
        </w:rPr>
        <w:t>of</w:t>
      </w:r>
      <w:r>
        <w:rPr>
          <w:spacing w:val="-4"/>
          <w:sz w:val="24"/>
        </w:rPr>
        <w:t> </w:t>
      </w:r>
      <w:r>
        <w:rPr>
          <w:sz w:val="24"/>
        </w:rPr>
        <w:t>Staff</w:t>
      </w:r>
      <w:r>
        <w:rPr>
          <w:spacing w:val="-5"/>
          <w:sz w:val="24"/>
        </w:rPr>
        <w:t> </w:t>
      </w:r>
      <w:r>
        <w:rPr>
          <w:sz w:val="24"/>
        </w:rPr>
        <w:t>or</w:t>
      </w:r>
      <w:r>
        <w:rPr>
          <w:spacing w:val="-5"/>
          <w:sz w:val="24"/>
        </w:rPr>
        <w:t> </w:t>
      </w:r>
      <w:r>
        <w:rPr>
          <w:sz w:val="24"/>
        </w:rPr>
        <w:t>Director,</w:t>
      </w:r>
      <w:r>
        <w:rPr>
          <w:spacing w:val="-4"/>
          <w:sz w:val="24"/>
        </w:rPr>
        <w:t> </w:t>
      </w:r>
      <w:r>
        <w:rPr>
          <w:sz w:val="24"/>
        </w:rPr>
        <w:t>after</w:t>
      </w:r>
      <w:r>
        <w:rPr>
          <w:spacing w:val="-4"/>
          <w:sz w:val="24"/>
        </w:rPr>
        <w:t> </w:t>
      </w:r>
      <w:r>
        <w:rPr>
          <w:sz w:val="24"/>
        </w:rPr>
        <w:t>receiving</w:t>
      </w:r>
      <w:r>
        <w:rPr>
          <w:spacing w:val="-4"/>
          <w:sz w:val="24"/>
        </w:rPr>
        <w:t> </w:t>
      </w:r>
      <w:r>
        <w:rPr>
          <w:sz w:val="24"/>
        </w:rPr>
        <w:t>the</w:t>
      </w:r>
      <w:r>
        <w:rPr>
          <w:spacing w:val="-4"/>
          <w:sz w:val="24"/>
        </w:rPr>
        <w:t> </w:t>
      </w:r>
      <w:r>
        <w:rPr>
          <w:sz w:val="24"/>
        </w:rPr>
        <w:t>recommendation</w:t>
      </w:r>
      <w:r>
        <w:rPr>
          <w:spacing w:val="-4"/>
          <w:sz w:val="24"/>
        </w:rPr>
        <w:t> </w:t>
      </w:r>
      <w:r>
        <w:rPr>
          <w:sz w:val="24"/>
        </w:rPr>
        <w:t>for suspension from the superintendent, may suspend the teacher without notice or hearing.</w:t>
      </w:r>
      <w:r>
        <w:rPr>
          <w:spacing w:val="40"/>
          <w:sz w:val="24"/>
        </w:rPr>
        <w:t> </w:t>
      </w:r>
      <w:r>
        <w:rPr>
          <w:sz w:val="24"/>
        </w:rPr>
        <w:t>However, the suspension shall not deprive the teacher of any compensation or other benefits to which the teacher is otherwise entitled.</w:t>
      </w:r>
    </w:p>
    <w:p>
      <w:pPr>
        <w:pStyle w:val="ListParagraph"/>
        <w:numPr>
          <w:ilvl w:val="1"/>
          <w:numId w:val="335"/>
        </w:numPr>
        <w:tabs>
          <w:tab w:pos="1218" w:val="left" w:leader="none"/>
        </w:tabs>
        <w:spacing w:line="208" w:lineRule="auto" w:before="239" w:after="0"/>
        <w:ind w:left="792" w:right="881" w:firstLine="0"/>
        <w:jc w:val="left"/>
        <w:rPr>
          <w:sz w:val="24"/>
        </w:rPr>
      </w:pPr>
      <w:r>
        <w:rPr>
          <w:sz w:val="24"/>
        </w:rPr>
        <w:t>The</w:t>
      </w:r>
      <w:r>
        <w:rPr>
          <w:spacing w:val="-3"/>
          <w:sz w:val="24"/>
        </w:rPr>
        <w:t> </w:t>
      </w:r>
      <w:r>
        <w:rPr>
          <w:sz w:val="24"/>
        </w:rPr>
        <w:t>suspension</w:t>
      </w:r>
      <w:r>
        <w:rPr>
          <w:spacing w:val="-3"/>
          <w:sz w:val="24"/>
        </w:rPr>
        <w:t> </w:t>
      </w:r>
      <w:r>
        <w:rPr>
          <w:sz w:val="24"/>
        </w:rPr>
        <w:t>shall</w:t>
      </w:r>
      <w:r>
        <w:rPr>
          <w:spacing w:val="-4"/>
          <w:sz w:val="24"/>
        </w:rPr>
        <w:t> </w:t>
      </w:r>
      <w:r>
        <w:rPr>
          <w:sz w:val="24"/>
        </w:rPr>
        <w:t>extend</w:t>
      </w:r>
      <w:r>
        <w:rPr>
          <w:spacing w:val="-2"/>
          <w:sz w:val="24"/>
        </w:rPr>
        <w:t> </w:t>
      </w:r>
      <w:r>
        <w:rPr>
          <w:sz w:val="24"/>
        </w:rPr>
        <w:t>to</w:t>
      </w:r>
      <w:r>
        <w:rPr>
          <w:spacing w:val="-3"/>
          <w:sz w:val="24"/>
        </w:rPr>
        <w:t> </w:t>
      </w:r>
      <w:r>
        <w:rPr>
          <w:sz w:val="24"/>
        </w:rPr>
        <w:t>such</w:t>
      </w:r>
      <w:r>
        <w:rPr>
          <w:spacing w:val="-3"/>
          <w:sz w:val="24"/>
        </w:rPr>
        <w:t> </w:t>
      </w:r>
      <w:r>
        <w:rPr>
          <w:sz w:val="24"/>
        </w:rPr>
        <w:t>time</w:t>
      </w:r>
      <w:r>
        <w:rPr>
          <w:spacing w:val="-3"/>
          <w:sz w:val="24"/>
        </w:rPr>
        <w:t> </w:t>
      </w:r>
      <w:r>
        <w:rPr>
          <w:sz w:val="24"/>
        </w:rPr>
        <w:t>as</w:t>
      </w:r>
      <w:r>
        <w:rPr>
          <w:spacing w:val="-3"/>
          <w:sz w:val="24"/>
        </w:rPr>
        <w:t> </w:t>
      </w:r>
      <w:r>
        <w:rPr>
          <w:sz w:val="24"/>
        </w:rPr>
        <w:t>the</w:t>
      </w:r>
      <w:r>
        <w:rPr>
          <w:spacing w:val="-3"/>
          <w:sz w:val="24"/>
        </w:rPr>
        <w:t> </w:t>
      </w:r>
      <w:r>
        <w:rPr>
          <w:sz w:val="24"/>
        </w:rPr>
        <w:t>teacher’s</w:t>
      </w:r>
      <w:r>
        <w:rPr>
          <w:spacing w:val="-3"/>
          <w:sz w:val="24"/>
        </w:rPr>
        <w:t> </w:t>
      </w:r>
      <w:r>
        <w:rPr>
          <w:sz w:val="24"/>
        </w:rPr>
        <w:t>case</w:t>
      </w:r>
      <w:r>
        <w:rPr>
          <w:spacing w:val="-3"/>
          <w:sz w:val="24"/>
        </w:rPr>
        <w:t> </w:t>
      </w:r>
      <w:r>
        <w:rPr>
          <w:sz w:val="24"/>
        </w:rPr>
        <w:t>is</w:t>
      </w:r>
      <w:r>
        <w:rPr>
          <w:spacing w:val="-3"/>
          <w:sz w:val="24"/>
        </w:rPr>
        <w:t> </w:t>
      </w:r>
      <w:r>
        <w:rPr>
          <w:sz w:val="24"/>
        </w:rPr>
        <w:t>decided</w:t>
      </w:r>
      <w:r>
        <w:rPr>
          <w:spacing w:val="-3"/>
          <w:sz w:val="24"/>
        </w:rPr>
        <w:t> </w:t>
      </w:r>
      <w:r>
        <w:rPr>
          <w:sz w:val="24"/>
        </w:rPr>
        <w:t>in</w:t>
      </w:r>
      <w:r>
        <w:rPr>
          <w:spacing w:val="-3"/>
          <w:sz w:val="24"/>
        </w:rPr>
        <w:t> </w:t>
      </w:r>
      <w:r>
        <w:rPr>
          <w:sz w:val="24"/>
        </w:rPr>
        <w:t>a hearing as provided for at OAC 612:20-2-13.</w:t>
      </w:r>
      <w:r>
        <w:rPr>
          <w:spacing w:val="40"/>
          <w:sz w:val="24"/>
        </w:rPr>
        <w:t> </w:t>
      </w:r>
      <w:r>
        <w:rPr>
          <w:sz w:val="24"/>
        </w:rPr>
        <w:t>However, such extension shall not include time for judicial review or any other appeal process.</w:t>
      </w:r>
    </w:p>
    <w:p>
      <w:pPr>
        <w:pStyle w:val="ListParagraph"/>
        <w:numPr>
          <w:ilvl w:val="1"/>
          <w:numId w:val="335"/>
        </w:numPr>
        <w:tabs>
          <w:tab w:pos="1217" w:val="left" w:leader="none"/>
        </w:tabs>
        <w:spacing w:line="208" w:lineRule="auto" w:before="240" w:after="0"/>
        <w:ind w:left="792" w:right="1160" w:firstLine="0"/>
        <w:jc w:val="both"/>
        <w:rPr>
          <w:sz w:val="24"/>
        </w:rPr>
      </w:pPr>
      <w:r>
        <w:rPr>
          <w:sz w:val="24"/>
        </w:rPr>
        <w:t>Within</w:t>
      </w:r>
      <w:r>
        <w:rPr>
          <w:spacing w:val="-4"/>
          <w:sz w:val="24"/>
        </w:rPr>
        <w:t> </w:t>
      </w:r>
      <w:r>
        <w:rPr>
          <w:sz w:val="24"/>
        </w:rPr>
        <w:t>ten</w:t>
      </w:r>
      <w:r>
        <w:rPr>
          <w:spacing w:val="-4"/>
          <w:sz w:val="24"/>
        </w:rPr>
        <w:t> </w:t>
      </w:r>
      <w:r>
        <w:rPr>
          <w:sz w:val="24"/>
        </w:rPr>
        <w:t>(10)</w:t>
      </w:r>
      <w:r>
        <w:rPr>
          <w:spacing w:val="-3"/>
          <w:sz w:val="24"/>
        </w:rPr>
        <w:t> </w:t>
      </w:r>
      <w:r>
        <w:rPr>
          <w:sz w:val="24"/>
        </w:rPr>
        <w:t>calendar</w:t>
      </w:r>
      <w:r>
        <w:rPr>
          <w:spacing w:val="-3"/>
          <w:sz w:val="24"/>
        </w:rPr>
        <w:t> </w:t>
      </w:r>
      <w:r>
        <w:rPr>
          <w:sz w:val="24"/>
        </w:rPr>
        <w:t>days</w:t>
      </w:r>
      <w:r>
        <w:rPr>
          <w:spacing w:val="-3"/>
          <w:sz w:val="24"/>
        </w:rPr>
        <w:t> </w:t>
      </w:r>
      <w:r>
        <w:rPr>
          <w:sz w:val="24"/>
        </w:rPr>
        <w:t>after</w:t>
      </w:r>
      <w:r>
        <w:rPr>
          <w:spacing w:val="-5"/>
          <w:sz w:val="24"/>
        </w:rPr>
        <w:t> </w:t>
      </w:r>
      <w:r>
        <w:rPr>
          <w:sz w:val="24"/>
        </w:rPr>
        <w:t>the</w:t>
      </w:r>
      <w:r>
        <w:rPr>
          <w:spacing w:val="-4"/>
          <w:sz w:val="24"/>
        </w:rPr>
        <w:t> </w:t>
      </w:r>
      <w:r>
        <w:rPr>
          <w:sz w:val="24"/>
        </w:rPr>
        <w:t>suspension</w:t>
      </w:r>
      <w:r>
        <w:rPr>
          <w:spacing w:val="-4"/>
          <w:sz w:val="24"/>
        </w:rPr>
        <w:t> </w:t>
      </w:r>
      <w:r>
        <w:rPr>
          <w:sz w:val="24"/>
        </w:rPr>
        <w:t>of</w:t>
      </w:r>
      <w:r>
        <w:rPr>
          <w:spacing w:val="-3"/>
          <w:sz w:val="24"/>
        </w:rPr>
        <w:t> </w:t>
      </w:r>
      <w:r>
        <w:rPr>
          <w:sz w:val="24"/>
        </w:rPr>
        <w:t>a</w:t>
      </w:r>
      <w:r>
        <w:rPr>
          <w:spacing w:val="-4"/>
          <w:sz w:val="24"/>
        </w:rPr>
        <w:t> </w:t>
      </w:r>
      <w:r>
        <w:rPr>
          <w:sz w:val="24"/>
        </w:rPr>
        <w:t>teacher,</w:t>
      </w:r>
      <w:r>
        <w:rPr>
          <w:spacing w:val="-5"/>
          <w:sz w:val="24"/>
        </w:rPr>
        <w:t> </w:t>
      </w:r>
      <w:r>
        <w:rPr>
          <w:sz w:val="24"/>
        </w:rPr>
        <w:t>the</w:t>
      </w:r>
      <w:r>
        <w:rPr>
          <w:spacing w:val="-4"/>
          <w:sz w:val="24"/>
        </w:rPr>
        <w:t> </w:t>
      </w:r>
      <w:r>
        <w:rPr>
          <w:sz w:val="24"/>
        </w:rPr>
        <w:t>Director shall</w:t>
      </w:r>
      <w:r>
        <w:rPr>
          <w:spacing w:val="-3"/>
          <w:sz w:val="24"/>
        </w:rPr>
        <w:t> </w:t>
      </w:r>
      <w:r>
        <w:rPr>
          <w:sz w:val="24"/>
        </w:rPr>
        <w:t>initiate</w:t>
      </w:r>
      <w:r>
        <w:rPr>
          <w:spacing w:val="-3"/>
          <w:sz w:val="24"/>
        </w:rPr>
        <w:t> </w:t>
      </w:r>
      <w:r>
        <w:rPr>
          <w:sz w:val="24"/>
        </w:rPr>
        <w:t>proceedings</w:t>
      </w:r>
      <w:r>
        <w:rPr>
          <w:spacing w:val="-3"/>
          <w:sz w:val="24"/>
        </w:rPr>
        <w:t> </w:t>
      </w:r>
      <w:r>
        <w:rPr>
          <w:sz w:val="24"/>
        </w:rPr>
        <w:t>for</w:t>
      </w:r>
      <w:r>
        <w:rPr>
          <w:spacing w:val="-2"/>
          <w:sz w:val="24"/>
        </w:rPr>
        <w:t> </w:t>
      </w:r>
      <w:r>
        <w:rPr>
          <w:sz w:val="24"/>
        </w:rPr>
        <w:t>dismissal</w:t>
      </w:r>
      <w:r>
        <w:rPr>
          <w:spacing w:val="-3"/>
          <w:sz w:val="24"/>
        </w:rPr>
        <w:t> </w:t>
      </w:r>
      <w:r>
        <w:rPr>
          <w:sz w:val="24"/>
        </w:rPr>
        <w:t>pursuant</w:t>
      </w:r>
      <w:r>
        <w:rPr>
          <w:spacing w:val="-2"/>
          <w:sz w:val="24"/>
        </w:rPr>
        <w:t> </w:t>
      </w:r>
      <w:r>
        <w:rPr>
          <w:sz w:val="24"/>
        </w:rPr>
        <w:t>to</w:t>
      </w:r>
      <w:r>
        <w:rPr>
          <w:spacing w:val="-3"/>
          <w:sz w:val="24"/>
        </w:rPr>
        <w:t> </w:t>
      </w:r>
      <w:r>
        <w:rPr>
          <w:sz w:val="24"/>
        </w:rPr>
        <w:t>the</w:t>
      </w:r>
      <w:r>
        <w:rPr>
          <w:spacing w:val="-4"/>
          <w:sz w:val="24"/>
        </w:rPr>
        <w:t> </w:t>
      </w:r>
      <w:r>
        <w:rPr>
          <w:sz w:val="24"/>
        </w:rPr>
        <w:t>relevant</w:t>
      </w:r>
      <w:r>
        <w:rPr>
          <w:spacing w:val="-2"/>
          <w:sz w:val="24"/>
        </w:rPr>
        <w:t> </w:t>
      </w:r>
      <w:r>
        <w:rPr>
          <w:sz w:val="24"/>
        </w:rPr>
        <w:t>provisions</w:t>
      </w:r>
      <w:r>
        <w:rPr>
          <w:spacing w:val="-3"/>
          <w:sz w:val="24"/>
        </w:rPr>
        <w:t> </w:t>
      </w:r>
      <w:r>
        <w:rPr>
          <w:sz w:val="24"/>
        </w:rPr>
        <w:t>of</w:t>
      </w:r>
      <w:r>
        <w:rPr>
          <w:spacing w:val="-4"/>
          <w:sz w:val="24"/>
        </w:rPr>
        <w:t> </w:t>
      </w:r>
      <w:r>
        <w:rPr>
          <w:sz w:val="24"/>
        </w:rPr>
        <w:t>this </w:t>
      </w:r>
      <w:r>
        <w:rPr>
          <w:spacing w:val="-2"/>
          <w:sz w:val="24"/>
        </w:rPr>
        <w:t>subchapter.</w:t>
      </w:r>
    </w:p>
    <w:p>
      <w:pPr>
        <w:pStyle w:val="Heading2"/>
        <w:numPr>
          <w:ilvl w:val="0"/>
          <w:numId w:val="335"/>
        </w:numPr>
        <w:tabs>
          <w:tab w:pos="786" w:val="left" w:leader="none"/>
        </w:tabs>
        <w:spacing w:line="240" w:lineRule="auto" w:before="210" w:after="0"/>
        <w:ind w:left="786" w:right="0" w:hanging="426"/>
        <w:jc w:val="left"/>
      </w:pPr>
      <w:r>
        <w:rPr/>
        <w:t>Cause</w:t>
      </w:r>
      <w:r>
        <w:rPr>
          <w:spacing w:val="-4"/>
        </w:rPr>
        <w:t> </w:t>
      </w:r>
      <w:r>
        <w:rPr/>
        <w:t>related</w:t>
      </w:r>
      <w:r>
        <w:rPr>
          <w:spacing w:val="-2"/>
        </w:rPr>
        <w:t> </w:t>
      </w:r>
      <w:r>
        <w:rPr/>
        <w:t>to</w:t>
      </w:r>
      <w:r>
        <w:rPr>
          <w:spacing w:val="-3"/>
        </w:rPr>
        <w:t> </w:t>
      </w:r>
      <w:r>
        <w:rPr/>
        <w:t>a</w:t>
      </w:r>
      <w:r>
        <w:rPr>
          <w:spacing w:val="-2"/>
        </w:rPr>
        <w:t> </w:t>
      </w:r>
      <w:r>
        <w:rPr/>
        <w:t>criminal</w:t>
      </w:r>
      <w:r>
        <w:rPr>
          <w:spacing w:val="-4"/>
        </w:rPr>
        <w:t> </w:t>
      </w:r>
      <w:r>
        <w:rPr/>
        <w:t>charge</w:t>
      </w:r>
      <w:r>
        <w:rPr>
          <w:spacing w:val="-2"/>
        </w:rPr>
        <w:t> </w:t>
      </w:r>
      <w:r>
        <w:rPr/>
        <w:t>or</w:t>
      </w:r>
      <w:r>
        <w:rPr>
          <w:spacing w:val="-2"/>
        </w:rPr>
        <w:t> indictment.</w:t>
      </w:r>
    </w:p>
    <w:p>
      <w:pPr>
        <w:pStyle w:val="ListParagraph"/>
        <w:numPr>
          <w:ilvl w:val="1"/>
          <w:numId w:val="335"/>
        </w:numPr>
        <w:tabs>
          <w:tab w:pos="1217" w:val="left" w:leader="none"/>
        </w:tabs>
        <w:spacing w:line="208" w:lineRule="auto" w:before="234" w:after="0"/>
        <w:ind w:left="792" w:right="812" w:firstLine="0"/>
        <w:jc w:val="left"/>
        <w:rPr>
          <w:sz w:val="24"/>
        </w:rPr>
      </w:pPr>
      <w:r>
        <w:rPr>
          <w:sz w:val="24"/>
        </w:rPr>
        <w:t>If the cause for dismissal is related to a criminal charge or indictment against the teacher, the suspension may extend to such time as the criminal case is finally adjudicated</w:t>
      </w:r>
      <w:r>
        <w:rPr>
          <w:spacing w:val="-3"/>
          <w:sz w:val="24"/>
        </w:rPr>
        <w:t> </w:t>
      </w:r>
      <w:r>
        <w:rPr>
          <w:sz w:val="24"/>
        </w:rPr>
        <w:t>at</w:t>
      </w:r>
      <w:r>
        <w:rPr>
          <w:spacing w:val="-5"/>
          <w:sz w:val="24"/>
        </w:rPr>
        <w:t> </w:t>
      </w:r>
      <w:r>
        <w:rPr>
          <w:sz w:val="24"/>
        </w:rPr>
        <w:t>trial.</w:t>
      </w:r>
      <w:r>
        <w:rPr>
          <w:spacing w:val="40"/>
          <w:sz w:val="24"/>
        </w:rPr>
        <w:t> </w:t>
      </w:r>
      <w:r>
        <w:rPr>
          <w:sz w:val="24"/>
        </w:rPr>
        <w:t>However,</w:t>
      </w:r>
      <w:r>
        <w:rPr>
          <w:spacing w:val="-3"/>
          <w:sz w:val="24"/>
        </w:rPr>
        <w:t> </w:t>
      </w:r>
      <w:r>
        <w:rPr>
          <w:sz w:val="24"/>
        </w:rPr>
        <w:t>such</w:t>
      </w:r>
      <w:r>
        <w:rPr>
          <w:spacing w:val="-4"/>
          <w:sz w:val="24"/>
        </w:rPr>
        <w:t> </w:t>
      </w:r>
      <w:r>
        <w:rPr>
          <w:sz w:val="24"/>
        </w:rPr>
        <w:t>extension</w:t>
      </w:r>
      <w:r>
        <w:rPr>
          <w:spacing w:val="-3"/>
          <w:sz w:val="24"/>
        </w:rPr>
        <w:t> </w:t>
      </w:r>
      <w:r>
        <w:rPr>
          <w:sz w:val="24"/>
        </w:rPr>
        <w:t>shall</w:t>
      </w:r>
      <w:r>
        <w:rPr>
          <w:spacing w:val="-4"/>
          <w:sz w:val="24"/>
        </w:rPr>
        <w:t> </w:t>
      </w:r>
      <w:r>
        <w:rPr>
          <w:sz w:val="24"/>
        </w:rPr>
        <w:t>not</w:t>
      </w:r>
      <w:r>
        <w:rPr>
          <w:spacing w:val="-3"/>
          <w:sz w:val="24"/>
        </w:rPr>
        <w:t> </w:t>
      </w:r>
      <w:r>
        <w:rPr>
          <w:sz w:val="24"/>
        </w:rPr>
        <w:t>include</w:t>
      </w:r>
      <w:r>
        <w:rPr>
          <w:spacing w:val="-4"/>
          <w:sz w:val="24"/>
        </w:rPr>
        <w:t> </w:t>
      </w:r>
      <w:r>
        <w:rPr>
          <w:sz w:val="24"/>
        </w:rPr>
        <w:t>any</w:t>
      </w:r>
      <w:r>
        <w:rPr>
          <w:spacing w:val="-4"/>
          <w:sz w:val="24"/>
        </w:rPr>
        <w:t> </w:t>
      </w:r>
      <w:r>
        <w:rPr>
          <w:sz w:val="24"/>
        </w:rPr>
        <w:t>appeal</w:t>
      </w:r>
      <w:r>
        <w:rPr>
          <w:spacing w:val="-4"/>
          <w:sz w:val="24"/>
        </w:rPr>
        <w:t> </w:t>
      </w:r>
      <w:r>
        <w:rPr>
          <w:sz w:val="24"/>
        </w:rPr>
        <w:t>process.</w:t>
      </w:r>
    </w:p>
    <w:p>
      <w:pPr>
        <w:pStyle w:val="ListParagraph"/>
        <w:numPr>
          <w:ilvl w:val="1"/>
          <w:numId w:val="335"/>
        </w:numPr>
        <w:tabs>
          <w:tab w:pos="1217" w:val="left" w:leader="none"/>
        </w:tabs>
        <w:spacing w:line="208" w:lineRule="auto" w:before="239" w:after="0"/>
        <w:ind w:left="792" w:right="776" w:firstLine="0"/>
        <w:jc w:val="left"/>
        <w:rPr>
          <w:sz w:val="24"/>
        </w:rPr>
      </w:pPr>
      <w:r>
        <w:rPr>
          <w:sz w:val="24"/>
        </w:rPr>
        <w:t>If the cause for dismissal is related to a criminal charge or indictment against the</w:t>
      </w:r>
      <w:r>
        <w:rPr>
          <w:spacing w:val="-4"/>
          <w:sz w:val="24"/>
        </w:rPr>
        <w:t> </w:t>
      </w:r>
      <w:r>
        <w:rPr>
          <w:sz w:val="24"/>
        </w:rPr>
        <w:t>teacher,</w:t>
      </w:r>
      <w:r>
        <w:rPr>
          <w:spacing w:val="-3"/>
          <w:sz w:val="24"/>
        </w:rPr>
        <w:t> </w:t>
      </w:r>
      <w:r>
        <w:rPr>
          <w:sz w:val="24"/>
        </w:rPr>
        <w:t>the</w:t>
      </w:r>
      <w:r>
        <w:rPr>
          <w:spacing w:val="-4"/>
          <w:sz w:val="24"/>
        </w:rPr>
        <w:t> </w:t>
      </w:r>
      <w:r>
        <w:rPr>
          <w:sz w:val="24"/>
        </w:rPr>
        <w:t>Director</w:t>
      </w:r>
      <w:r>
        <w:rPr>
          <w:spacing w:val="-3"/>
          <w:sz w:val="24"/>
        </w:rPr>
        <w:t> </w:t>
      </w:r>
      <w:r>
        <w:rPr>
          <w:sz w:val="24"/>
        </w:rPr>
        <w:t>may</w:t>
      </w:r>
      <w:r>
        <w:rPr>
          <w:spacing w:val="-4"/>
          <w:sz w:val="24"/>
        </w:rPr>
        <w:t> </w:t>
      </w:r>
      <w:r>
        <w:rPr>
          <w:sz w:val="24"/>
        </w:rPr>
        <w:t>at</w:t>
      </w:r>
      <w:r>
        <w:rPr>
          <w:spacing w:val="-5"/>
          <w:sz w:val="24"/>
        </w:rPr>
        <w:t> </w:t>
      </w:r>
      <w:r>
        <w:rPr>
          <w:sz w:val="24"/>
        </w:rPr>
        <w:t>any</w:t>
      </w:r>
      <w:r>
        <w:rPr>
          <w:spacing w:val="-4"/>
          <w:sz w:val="24"/>
        </w:rPr>
        <w:t> </w:t>
      </w:r>
      <w:r>
        <w:rPr>
          <w:sz w:val="24"/>
        </w:rPr>
        <w:t>time</w:t>
      </w:r>
      <w:r>
        <w:rPr>
          <w:spacing w:val="-4"/>
          <w:sz w:val="24"/>
        </w:rPr>
        <w:t> </w:t>
      </w:r>
      <w:r>
        <w:rPr>
          <w:sz w:val="24"/>
        </w:rPr>
        <w:t>initiate</w:t>
      </w:r>
      <w:r>
        <w:rPr>
          <w:spacing w:val="-4"/>
          <w:sz w:val="24"/>
        </w:rPr>
        <w:t> </w:t>
      </w:r>
      <w:r>
        <w:rPr>
          <w:sz w:val="24"/>
        </w:rPr>
        <w:t>proceedings</w:t>
      </w:r>
      <w:r>
        <w:rPr>
          <w:spacing w:val="-4"/>
          <w:sz w:val="24"/>
        </w:rPr>
        <w:t> </w:t>
      </w:r>
      <w:r>
        <w:rPr>
          <w:sz w:val="24"/>
        </w:rPr>
        <w:t>for</w:t>
      </w:r>
      <w:r>
        <w:rPr>
          <w:spacing w:val="-3"/>
          <w:sz w:val="24"/>
        </w:rPr>
        <w:t> </w:t>
      </w:r>
      <w:r>
        <w:rPr>
          <w:sz w:val="24"/>
        </w:rPr>
        <w:t>dismissal</w:t>
      </w:r>
      <w:r>
        <w:rPr>
          <w:spacing w:val="-4"/>
          <w:sz w:val="24"/>
        </w:rPr>
        <w:t> </w:t>
      </w:r>
      <w:r>
        <w:rPr>
          <w:sz w:val="24"/>
        </w:rPr>
        <w:t>pursuant to the relevant provisions of this subchapter.</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02</w:t>
      </w:r>
      <w:r>
        <w:rPr>
          <w:sz w:val="22"/>
        </w:rPr>
        <w:tab/>
        <w:t>PT</w:t>
      </w:r>
      <w:r>
        <w:rPr>
          <w:spacing w:val="-8"/>
          <w:sz w:val="22"/>
        </w:rPr>
        <w:t> </w:t>
      </w:r>
      <w:r>
        <w:rPr>
          <w:sz w:val="22"/>
        </w:rPr>
        <w:t>Memo</w:t>
      </w:r>
      <w:r>
        <w:rPr>
          <w:spacing w:val="-8"/>
          <w:sz w:val="22"/>
        </w:rPr>
        <w:t> </w:t>
      </w:r>
      <w:r>
        <w:rPr>
          <w:sz w:val="22"/>
        </w:rPr>
        <w:t>#02-</w:t>
      </w:r>
      <w:r>
        <w:rPr>
          <w:spacing w:val="-5"/>
          <w:sz w:val="22"/>
        </w:rPr>
        <w:t>02</w:t>
      </w:r>
    </w:p>
    <w:p>
      <w:pPr>
        <w:tabs>
          <w:tab w:pos="1439" w:val="left" w:leader="none"/>
        </w:tabs>
        <w:spacing w:before="0"/>
        <w:ind w:left="359" w:right="7299" w:firstLine="1080"/>
        <w:jc w:val="left"/>
        <w:rPr>
          <w:sz w:val="22"/>
        </w:rPr>
      </w:pPr>
      <w:r>
        <w:rPr>
          <w:sz w:val="22"/>
        </w:rPr>
        <w:t>Permanent, New </w:t>
      </w:r>
      <w:r>
        <w:rPr>
          <w:spacing w:val="-2"/>
          <w:sz w:val="22"/>
        </w:rPr>
        <w:t>7-1-</w:t>
      </w:r>
      <w:r>
        <w:rPr>
          <w:spacing w:val="-5"/>
          <w:sz w:val="22"/>
        </w:rPr>
        <w:t>10</w:t>
      </w:r>
      <w:r>
        <w:rPr>
          <w:sz w:val="22"/>
        </w:rPr>
        <w:tab/>
        <w:t>PT</w:t>
      </w:r>
      <w:r>
        <w:rPr>
          <w:spacing w:val="-8"/>
          <w:sz w:val="22"/>
        </w:rPr>
        <w:t> </w:t>
      </w:r>
      <w:r>
        <w:rPr>
          <w:sz w:val="22"/>
        </w:rPr>
        <w:t>Memo</w:t>
      </w:r>
      <w:r>
        <w:rPr>
          <w:spacing w:val="-8"/>
          <w:sz w:val="22"/>
        </w:rPr>
        <w:t> </w:t>
      </w:r>
      <w:r>
        <w:rPr>
          <w:sz w:val="22"/>
        </w:rPr>
        <w:t>#10-</w:t>
      </w:r>
      <w:r>
        <w:rPr>
          <w:spacing w:val="-5"/>
          <w:sz w:val="22"/>
        </w:rPr>
        <w:t>02</w:t>
      </w:r>
    </w:p>
    <w:p>
      <w:pPr>
        <w:spacing w:before="0"/>
        <w:ind w:left="1439" w:right="0" w:firstLine="0"/>
        <w:jc w:val="left"/>
        <w:rPr>
          <w:sz w:val="22"/>
        </w:rPr>
      </w:pPr>
      <w:r>
        <w:rPr>
          <w:sz w:val="22"/>
        </w:rPr>
        <w:t>Permanent,</w:t>
      </w:r>
      <w:r>
        <w:rPr>
          <w:spacing w:val="-7"/>
          <w:sz w:val="22"/>
        </w:rPr>
        <w:t> </w:t>
      </w:r>
      <w:r>
        <w:rPr>
          <w:sz w:val="22"/>
        </w:rPr>
        <w:t>changed</w:t>
      </w:r>
      <w:r>
        <w:rPr>
          <w:spacing w:val="-7"/>
          <w:sz w:val="22"/>
        </w:rPr>
        <w:t> </w:t>
      </w:r>
      <w:r>
        <w:rPr>
          <w:sz w:val="22"/>
        </w:rPr>
        <w:t>Deputy</w:t>
      </w:r>
      <w:r>
        <w:rPr>
          <w:spacing w:val="-7"/>
          <w:sz w:val="22"/>
        </w:rPr>
        <w:t> </w:t>
      </w:r>
      <w:r>
        <w:rPr>
          <w:sz w:val="22"/>
        </w:rPr>
        <w:t>Director</w:t>
      </w:r>
      <w:r>
        <w:rPr>
          <w:spacing w:val="-7"/>
          <w:sz w:val="22"/>
        </w:rPr>
        <w:t> </w:t>
      </w:r>
      <w:r>
        <w:rPr>
          <w:sz w:val="22"/>
        </w:rPr>
        <w:t>to</w:t>
      </w:r>
      <w:r>
        <w:rPr>
          <w:spacing w:val="-7"/>
          <w:sz w:val="22"/>
        </w:rPr>
        <w:t> </w:t>
      </w:r>
      <w:r>
        <w:rPr>
          <w:sz w:val="22"/>
        </w:rPr>
        <w:t>Chief</w:t>
      </w:r>
      <w:r>
        <w:rPr>
          <w:spacing w:val="-7"/>
          <w:sz w:val="22"/>
        </w:rPr>
        <w:t> </w:t>
      </w:r>
      <w:r>
        <w:rPr>
          <w:sz w:val="22"/>
        </w:rPr>
        <w:t>of</w:t>
      </w:r>
      <w:r>
        <w:rPr>
          <w:spacing w:val="-7"/>
          <w:sz w:val="22"/>
        </w:rPr>
        <w:t> </w:t>
      </w:r>
      <w:r>
        <w:rPr>
          <w:spacing w:val="-2"/>
          <w:sz w:val="22"/>
        </w:rPr>
        <w:t>Staff</w:t>
      </w:r>
    </w:p>
    <w:p>
      <w:pPr>
        <w:spacing w:after="0"/>
        <w:jc w:val="left"/>
        <w:rPr>
          <w:sz w:val="22"/>
        </w:rPr>
        <w:sectPr>
          <w:pgSz w:w="12240" w:h="15840"/>
          <w:pgMar w:top="1340" w:bottom="280" w:left="1080" w:right="720"/>
        </w:sectPr>
      </w:pPr>
    </w:p>
    <w:p>
      <w:pPr>
        <w:pStyle w:val="Heading2"/>
        <w:spacing w:line="208" w:lineRule="auto" w:before="96"/>
        <w:ind w:right="1036"/>
      </w:pPr>
      <w:bookmarkStart w:name="612:20-2-15.  Full-time administrators; " w:id="334"/>
      <w:bookmarkEnd w:id="334"/>
      <w:r>
        <w:rPr>
          <w:b w:val="0"/>
        </w:rPr>
      </w:r>
      <w:r>
        <w:rPr/>
        <w:t>612:20-2-15.</w:t>
      </w:r>
      <w:r>
        <w:rPr>
          <w:spacing w:val="40"/>
        </w:rPr>
        <w:t> </w:t>
      </w:r>
      <w:r>
        <w:rPr/>
        <w:t>Full-time</w:t>
      </w:r>
      <w:r>
        <w:rPr>
          <w:spacing w:val="-6"/>
        </w:rPr>
        <w:t> </w:t>
      </w:r>
      <w:r>
        <w:rPr/>
        <w:t>administrators;</w:t>
      </w:r>
      <w:r>
        <w:rPr>
          <w:spacing w:val="-5"/>
        </w:rPr>
        <w:t> </w:t>
      </w:r>
      <w:r>
        <w:rPr/>
        <w:t>conviction</w:t>
      </w:r>
      <w:r>
        <w:rPr>
          <w:spacing w:val="-6"/>
        </w:rPr>
        <w:t> </w:t>
      </w:r>
      <w:r>
        <w:rPr/>
        <w:t>of</w:t>
      </w:r>
      <w:r>
        <w:rPr>
          <w:spacing w:val="-7"/>
        </w:rPr>
        <w:t> </w:t>
      </w:r>
      <w:r>
        <w:rPr/>
        <w:t>felony;</w:t>
      </w:r>
      <w:r>
        <w:rPr>
          <w:spacing w:val="-5"/>
        </w:rPr>
        <w:t> </w:t>
      </w:r>
      <w:r>
        <w:rPr/>
        <w:t>criminal</w:t>
      </w:r>
      <w:r>
        <w:rPr>
          <w:spacing w:val="-5"/>
        </w:rPr>
        <w:t> </w:t>
      </w:r>
      <w:r>
        <w:rPr/>
        <w:t>sexual activity or sexual misconduct</w:t>
      </w:r>
    </w:p>
    <w:p>
      <w:pPr>
        <w:pStyle w:val="ListParagraph"/>
        <w:numPr>
          <w:ilvl w:val="0"/>
          <w:numId w:val="336"/>
        </w:numPr>
        <w:tabs>
          <w:tab w:pos="786" w:val="left" w:leader="none"/>
        </w:tabs>
        <w:spacing w:line="208" w:lineRule="auto" w:before="240" w:after="0"/>
        <w:ind w:left="360" w:right="1274" w:firstLine="0"/>
        <w:jc w:val="left"/>
        <w:rPr>
          <w:sz w:val="24"/>
        </w:rPr>
      </w:pPr>
      <w:r>
        <w:rPr>
          <w:sz w:val="24"/>
        </w:rPr>
        <w:t>An</w:t>
      </w:r>
      <w:r>
        <w:rPr>
          <w:spacing w:val="-4"/>
          <w:sz w:val="24"/>
        </w:rPr>
        <w:t> </w:t>
      </w:r>
      <w:r>
        <w:rPr>
          <w:sz w:val="24"/>
        </w:rPr>
        <w:t>administrator</w:t>
      </w:r>
      <w:r>
        <w:rPr>
          <w:spacing w:val="-5"/>
          <w:sz w:val="24"/>
        </w:rPr>
        <w:t> </w:t>
      </w:r>
      <w:r>
        <w:rPr>
          <w:sz w:val="24"/>
        </w:rPr>
        <w:t>shall</w:t>
      </w:r>
      <w:r>
        <w:rPr>
          <w:spacing w:val="-4"/>
          <w:sz w:val="24"/>
        </w:rPr>
        <w:t> </w:t>
      </w:r>
      <w:r>
        <w:rPr>
          <w:sz w:val="24"/>
        </w:rPr>
        <w:t>be</w:t>
      </w:r>
      <w:r>
        <w:rPr>
          <w:spacing w:val="-4"/>
          <w:sz w:val="24"/>
        </w:rPr>
        <w:t> </w:t>
      </w:r>
      <w:r>
        <w:rPr>
          <w:sz w:val="24"/>
        </w:rPr>
        <w:t>dismissed</w:t>
      </w:r>
      <w:r>
        <w:rPr>
          <w:spacing w:val="-4"/>
          <w:sz w:val="24"/>
        </w:rPr>
        <w:t> </w:t>
      </w:r>
      <w:r>
        <w:rPr>
          <w:sz w:val="24"/>
        </w:rPr>
        <w:t>or</w:t>
      </w:r>
      <w:r>
        <w:rPr>
          <w:spacing w:val="-5"/>
          <w:sz w:val="24"/>
        </w:rPr>
        <w:t> </w:t>
      </w:r>
      <w:r>
        <w:rPr>
          <w:sz w:val="24"/>
        </w:rPr>
        <w:t>not</w:t>
      </w:r>
      <w:r>
        <w:rPr>
          <w:spacing w:val="-3"/>
          <w:sz w:val="24"/>
        </w:rPr>
        <w:t> </w:t>
      </w:r>
      <w:r>
        <w:rPr>
          <w:sz w:val="24"/>
        </w:rPr>
        <w:t>reemployed,</w:t>
      </w:r>
      <w:r>
        <w:rPr>
          <w:spacing w:val="-3"/>
          <w:sz w:val="24"/>
        </w:rPr>
        <w:t> </w:t>
      </w:r>
      <w:r>
        <w:rPr>
          <w:sz w:val="24"/>
        </w:rPr>
        <w:t>unless</w:t>
      </w:r>
      <w:r>
        <w:rPr>
          <w:spacing w:val="-4"/>
          <w:sz w:val="24"/>
        </w:rPr>
        <w:t> </w:t>
      </w:r>
      <w:r>
        <w:rPr>
          <w:sz w:val="24"/>
        </w:rPr>
        <w:t>a</w:t>
      </w:r>
      <w:r>
        <w:rPr>
          <w:spacing w:val="-4"/>
          <w:sz w:val="24"/>
        </w:rPr>
        <w:t> </w:t>
      </w:r>
      <w:r>
        <w:rPr>
          <w:sz w:val="24"/>
        </w:rPr>
        <w:t>presidential</w:t>
      </w:r>
      <w:r>
        <w:rPr>
          <w:spacing w:val="-4"/>
          <w:sz w:val="24"/>
        </w:rPr>
        <w:t> </w:t>
      </w:r>
      <w:r>
        <w:rPr>
          <w:sz w:val="24"/>
        </w:rPr>
        <w:t>or gubernatorial pardon has been issued, if during the term of employment such administrator is convicted in this state, the United States or another state of:</w:t>
      </w:r>
    </w:p>
    <w:p>
      <w:pPr>
        <w:pStyle w:val="ListParagraph"/>
        <w:numPr>
          <w:ilvl w:val="1"/>
          <w:numId w:val="336"/>
        </w:numPr>
        <w:tabs>
          <w:tab w:pos="1218" w:val="left" w:leader="none"/>
        </w:tabs>
        <w:spacing w:line="208" w:lineRule="auto" w:before="239" w:after="0"/>
        <w:ind w:left="792" w:right="1096" w:firstLine="0"/>
        <w:jc w:val="left"/>
        <w:rPr>
          <w:sz w:val="24"/>
        </w:rPr>
      </w:pPr>
      <w:r>
        <w:rPr>
          <w:sz w:val="24"/>
        </w:rPr>
        <w:t>Any</w:t>
      </w:r>
      <w:r>
        <w:rPr>
          <w:spacing w:val="-3"/>
          <w:sz w:val="24"/>
        </w:rPr>
        <w:t> </w:t>
      </w:r>
      <w:r>
        <w:rPr>
          <w:sz w:val="24"/>
        </w:rPr>
        <w:t>sex</w:t>
      </w:r>
      <w:r>
        <w:rPr>
          <w:spacing w:val="-3"/>
          <w:sz w:val="24"/>
        </w:rPr>
        <w:t> </w:t>
      </w:r>
      <w:r>
        <w:rPr>
          <w:sz w:val="24"/>
        </w:rPr>
        <w:t>offense</w:t>
      </w:r>
      <w:r>
        <w:rPr>
          <w:spacing w:val="-3"/>
          <w:sz w:val="24"/>
        </w:rPr>
        <w:t> </w:t>
      </w:r>
      <w:r>
        <w:rPr>
          <w:sz w:val="24"/>
        </w:rPr>
        <w:t>subject</w:t>
      </w:r>
      <w:r>
        <w:rPr>
          <w:spacing w:val="-2"/>
          <w:sz w:val="24"/>
        </w:rPr>
        <w:t> </w:t>
      </w:r>
      <w:r>
        <w:rPr>
          <w:sz w:val="24"/>
        </w:rPr>
        <w:t>to</w:t>
      </w:r>
      <w:r>
        <w:rPr>
          <w:spacing w:val="-3"/>
          <w:sz w:val="24"/>
        </w:rPr>
        <w:t> </w:t>
      </w:r>
      <w:r>
        <w:rPr>
          <w:sz w:val="24"/>
        </w:rPr>
        <w:t>the</w:t>
      </w:r>
      <w:r>
        <w:rPr>
          <w:spacing w:val="-3"/>
          <w:sz w:val="24"/>
        </w:rPr>
        <w:t> </w:t>
      </w:r>
      <w:r>
        <w:rPr>
          <w:sz w:val="24"/>
        </w:rPr>
        <w:t>Sex</w:t>
      </w:r>
      <w:r>
        <w:rPr>
          <w:spacing w:val="-3"/>
          <w:sz w:val="24"/>
        </w:rPr>
        <w:t> </w:t>
      </w:r>
      <w:r>
        <w:rPr>
          <w:sz w:val="24"/>
        </w:rPr>
        <w:t>Offenders</w:t>
      </w:r>
      <w:r>
        <w:rPr>
          <w:spacing w:val="-3"/>
          <w:sz w:val="24"/>
        </w:rPr>
        <w:t> </w:t>
      </w:r>
      <w:r>
        <w:rPr>
          <w:sz w:val="24"/>
        </w:rPr>
        <w:t>Registration</w:t>
      </w:r>
      <w:r>
        <w:rPr>
          <w:spacing w:val="-3"/>
          <w:sz w:val="24"/>
        </w:rPr>
        <w:t> </w:t>
      </w:r>
      <w:r>
        <w:rPr>
          <w:sz w:val="24"/>
        </w:rPr>
        <w:t>Act</w:t>
      </w:r>
      <w:r>
        <w:rPr>
          <w:spacing w:val="-4"/>
          <w:sz w:val="24"/>
        </w:rPr>
        <w:t> </w:t>
      </w:r>
      <w:r>
        <w:rPr>
          <w:sz w:val="24"/>
        </w:rPr>
        <w:t>in</w:t>
      </w:r>
      <w:r>
        <w:rPr>
          <w:spacing w:val="-3"/>
          <w:sz w:val="24"/>
        </w:rPr>
        <w:t> </w:t>
      </w:r>
      <w:r>
        <w:rPr>
          <w:sz w:val="24"/>
        </w:rPr>
        <w:t>this</w:t>
      </w:r>
      <w:r>
        <w:rPr>
          <w:spacing w:val="-3"/>
          <w:sz w:val="24"/>
        </w:rPr>
        <w:t> </w:t>
      </w:r>
      <w:r>
        <w:rPr>
          <w:sz w:val="24"/>
        </w:rPr>
        <w:t>state</w:t>
      </w:r>
      <w:r>
        <w:rPr>
          <w:spacing w:val="-3"/>
          <w:sz w:val="24"/>
        </w:rPr>
        <w:t> </w:t>
      </w:r>
      <w:r>
        <w:rPr>
          <w:sz w:val="24"/>
        </w:rPr>
        <w:t>or subject to another state's or the federal sex offender registration provisions; or</w:t>
      </w:r>
    </w:p>
    <w:p>
      <w:pPr>
        <w:pStyle w:val="ListParagraph"/>
        <w:numPr>
          <w:ilvl w:val="1"/>
          <w:numId w:val="336"/>
        </w:numPr>
        <w:tabs>
          <w:tab w:pos="1218" w:val="left" w:leader="none"/>
        </w:tabs>
        <w:spacing w:line="240" w:lineRule="auto" w:before="211" w:after="0"/>
        <w:ind w:left="1218" w:right="0" w:hanging="426"/>
        <w:jc w:val="left"/>
        <w:rPr>
          <w:sz w:val="24"/>
        </w:rPr>
      </w:pPr>
      <w:r>
        <w:rPr>
          <w:sz w:val="24"/>
        </w:rPr>
        <w:t>Any</w:t>
      </w:r>
      <w:r>
        <w:rPr>
          <w:spacing w:val="-4"/>
          <w:sz w:val="24"/>
        </w:rPr>
        <w:t> </w:t>
      </w:r>
      <w:r>
        <w:rPr>
          <w:sz w:val="24"/>
        </w:rPr>
        <w:t>felony</w:t>
      </w:r>
      <w:r>
        <w:rPr>
          <w:spacing w:val="-3"/>
          <w:sz w:val="24"/>
        </w:rPr>
        <w:t> </w:t>
      </w:r>
      <w:r>
        <w:rPr>
          <w:spacing w:val="-2"/>
          <w:sz w:val="24"/>
        </w:rPr>
        <w:t>offense.</w:t>
      </w:r>
    </w:p>
    <w:p>
      <w:pPr>
        <w:pStyle w:val="ListParagraph"/>
        <w:numPr>
          <w:ilvl w:val="0"/>
          <w:numId w:val="336"/>
        </w:numPr>
        <w:tabs>
          <w:tab w:pos="786" w:val="left" w:leader="none"/>
        </w:tabs>
        <w:spacing w:line="208" w:lineRule="auto" w:before="233" w:after="0"/>
        <w:ind w:left="360" w:right="842" w:firstLine="0"/>
        <w:jc w:val="left"/>
        <w:rPr>
          <w:sz w:val="24"/>
        </w:rPr>
      </w:pPr>
      <w:r>
        <w:rPr>
          <w:sz w:val="24"/>
        </w:rPr>
        <w:t>An</w:t>
      </w:r>
      <w:r>
        <w:rPr>
          <w:spacing w:val="-2"/>
          <w:sz w:val="24"/>
        </w:rPr>
        <w:t> </w:t>
      </w:r>
      <w:r>
        <w:rPr>
          <w:sz w:val="24"/>
        </w:rPr>
        <w:t>administrator</w:t>
      </w:r>
      <w:r>
        <w:rPr>
          <w:spacing w:val="-3"/>
          <w:sz w:val="24"/>
        </w:rPr>
        <w:t> </w:t>
      </w:r>
      <w:r>
        <w:rPr>
          <w:sz w:val="24"/>
        </w:rPr>
        <w:t>may</w:t>
      </w:r>
      <w:r>
        <w:rPr>
          <w:spacing w:val="-2"/>
          <w:sz w:val="24"/>
        </w:rPr>
        <w:t> </w:t>
      </w:r>
      <w:r>
        <w:rPr>
          <w:sz w:val="24"/>
        </w:rPr>
        <w:t>be</w:t>
      </w:r>
      <w:r>
        <w:rPr>
          <w:spacing w:val="-2"/>
          <w:sz w:val="24"/>
        </w:rPr>
        <w:t> </w:t>
      </w:r>
      <w:r>
        <w:rPr>
          <w:sz w:val="24"/>
        </w:rPr>
        <w:t>dismissed,</w:t>
      </w:r>
      <w:r>
        <w:rPr>
          <w:spacing w:val="-1"/>
          <w:sz w:val="24"/>
        </w:rPr>
        <w:t> </w:t>
      </w:r>
      <w:r>
        <w:rPr>
          <w:sz w:val="24"/>
        </w:rPr>
        <w:t>refused</w:t>
      </w:r>
      <w:r>
        <w:rPr>
          <w:spacing w:val="-2"/>
          <w:sz w:val="24"/>
        </w:rPr>
        <w:t> </w:t>
      </w:r>
      <w:r>
        <w:rPr>
          <w:sz w:val="24"/>
        </w:rPr>
        <w:t>employment</w:t>
      </w:r>
      <w:r>
        <w:rPr>
          <w:spacing w:val="-1"/>
          <w:sz w:val="24"/>
        </w:rPr>
        <w:t> </w:t>
      </w:r>
      <w:r>
        <w:rPr>
          <w:sz w:val="24"/>
        </w:rPr>
        <w:t>or</w:t>
      </w:r>
      <w:r>
        <w:rPr>
          <w:spacing w:val="-3"/>
          <w:sz w:val="24"/>
        </w:rPr>
        <w:t> </w:t>
      </w:r>
      <w:r>
        <w:rPr>
          <w:sz w:val="24"/>
        </w:rPr>
        <w:t>not</w:t>
      </w:r>
      <w:r>
        <w:rPr>
          <w:spacing w:val="-1"/>
          <w:sz w:val="24"/>
        </w:rPr>
        <w:t> </w:t>
      </w:r>
      <w:r>
        <w:rPr>
          <w:sz w:val="24"/>
        </w:rPr>
        <w:t>reemployed</w:t>
      </w:r>
      <w:r>
        <w:rPr>
          <w:spacing w:val="-2"/>
          <w:sz w:val="24"/>
        </w:rPr>
        <w:t> </w:t>
      </w:r>
      <w:r>
        <w:rPr>
          <w:sz w:val="24"/>
        </w:rPr>
        <w:t>after</w:t>
      </w:r>
      <w:r>
        <w:rPr>
          <w:spacing w:val="-3"/>
          <w:sz w:val="24"/>
        </w:rPr>
        <w:t> </w:t>
      </w:r>
      <w:r>
        <w:rPr>
          <w:sz w:val="24"/>
        </w:rPr>
        <w:t>a finding that such person has engaged in criminal sexual activity or sexual misconduct that</w:t>
      </w:r>
      <w:r>
        <w:rPr>
          <w:spacing w:val="-3"/>
          <w:sz w:val="24"/>
        </w:rPr>
        <w:t> </w:t>
      </w:r>
      <w:r>
        <w:rPr>
          <w:sz w:val="24"/>
        </w:rPr>
        <w:t>has</w:t>
      </w:r>
      <w:r>
        <w:rPr>
          <w:spacing w:val="-4"/>
          <w:sz w:val="24"/>
        </w:rPr>
        <w:t> </w:t>
      </w:r>
      <w:r>
        <w:rPr>
          <w:sz w:val="24"/>
        </w:rPr>
        <w:t>impeded</w:t>
      </w:r>
      <w:r>
        <w:rPr>
          <w:spacing w:val="-4"/>
          <w:sz w:val="24"/>
        </w:rPr>
        <w:t> </w:t>
      </w:r>
      <w:r>
        <w:rPr>
          <w:sz w:val="24"/>
        </w:rPr>
        <w:t>the</w:t>
      </w:r>
      <w:r>
        <w:rPr>
          <w:spacing w:val="-4"/>
          <w:sz w:val="24"/>
        </w:rPr>
        <w:t> </w:t>
      </w:r>
      <w:r>
        <w:rPr>
          <w:sz w:val="24"/>
        </w:rPr>
        <w:t>effectiveness</w:t>
      </w:r>
      <w:r>
        <w:rPr>
          <w:spacing w:val="-4"/>
          <w:sz w:val="24"/>
        </w:rPr>
        <w:t> </w:t>
      </w:r>
      <w:r>
        <w:rPr>
          <w:sz w:val="24"/>
        </w:rPr>
        <w:t>of</w:t>
      </w:r>
      <w:r>
        <w:rPr>
          <w:spacing w:val="-5"/>
          <w:sz w:val="24"/>
        </w:rPr>
        <w:t> </w:t>
      </w:r>
      <w:r>
        <w:rPr>
          <w:sz w:val="24"/>
        </w:rPr>
        <w:t>the</w:t>
      </w:r>
      <w:r>
        <w:rPr>
          <w:spacing w:val="-4"/>
          <w:sz w:val="24"/>
        </w:rPr>
        <w:t> </w:t>
      </w:r>
      <w:r>
        <w:rPr>
          <w:sz w:val="24"/>
        </w:rPr>
        <w:t>individual's</w:t>
      </w:r>
      <w:r>
        <w:rPr>
          <w:spacing w:val="-4"/>
          <w:sz w:val="24"/>
        </w:rPr>
        <w:t> </w:t>
      </w:r>
      <w:r>
        <w:rPr>
          <w:sz w:val="24"/>
        </w:rPr>
        <w:t>performance</w:t>
      </w:r>
      <w:r>
        <w:rPr>
          <w:spacing w:val="-5"/>
          <w:sz w:val="24"/>
        </w:rPr>
        <w:t> </w:t>
      </w:r>
      <w:r>
        <w:rPr>
          <w:sz w:val="24"/>
        </w:rPr>
        <w:t>of</w:t>
      </w:r>
      <w:r>
        <w:rPr>
          <w:spacing w:val="-3"/>
          <w:sz w:val="24"/>
        </w:rPr>
        <w:t> </w:t>
      </w:r>
      <w:r>
        <w:rPr>
          <w:sz w:val="24"/>
        </w:rPr>
        <w:t>school</w:t>
      </w:r>
      <w:r>
        <w:rPr>
          <w:spacing w:val="-4"/>
          <w:sz w:val="24"/>
        </w:rPr>
        <w:t> </w:t>
      </w:r>
      <w:r>
        <w:rPr>
          <w:sz w:val="24"/>
        </w:rPr>
        <w:t>duties.</w:t>
      </w:r>
      <w:r>
        <w:rPr>
          <w:spacing w:val="40"/>
          <w:sz w:val="24"/>
        </w:rPr>
        <w:t> </w:t>
      </w:r>
      <w:r>
        <w:rPr>
          <w:sz w:val="24"/>
        </w:rPr>
        <w:t>As used in this subsection:</w:t>
      </w:r>
    </w:p>
    <w:p>
      <w:pPr>
        <w:pStyle w:val="ListParagraph"/>
        <w:numPr>
          <w:ilvl w:val="1"/>
          <w:numId w:val="336"/>
        </w:numPr>
        <w:tabs>
          <w:tab w:pos="1217" w:val="left" w:leader="none"/>
        </w:tabs>
        <w:spacing w:line="258" w:lineRule="exact" w:before="211" w:after="0"/>
        <w:ind w:left="1217" w:right="0" w:hanging="425"/>
        <w:jc w:val="left"/>
        <w:rPr>
          <w:sz w:val="24"/>
        </w:rPr>
      </w:pPr>
      <w:r>
        <w:rPr>
          <w:b/>
          <w:sz w:val="24"/>
        </w:rPr>
        <w:t>"Criminal</w:t>
      </w:r>
      <w:r>
        <w:rPr>
          <w:b/>
          <w:spacing w:val="-4"/>
          <w:sz w:val="24"/>
        </w:rPr>
        <w:t> </w:t>
      </w:r>
      <w:r>
        <w:rPr>
          <w:b/>
          <w:sz w:val="24"/>
        </w:rPr>
        <w:t>sexual</w:t>
      </w:r>
      <w:r>
        <w:rPr>
          <w:b/>
          <w:spacing w:val="-2"/>
          <w:sz w:val="24"/>
        </w:rPr>
        <w:t> </w:t>
      </w:r>
      <w:r>
        <w:rPr>
          <w:b/>
          <w:sz w:val="24"/>
        </w:rPr>
        <w:t>activity"</w:t>
      </w:r>
      <w:r>
        <w:rPr>
          <w:b/>
          <w:spacing w:val="-5"/>
          <w:sz w:val="24"/>
        </w:rPr>
        <w:t> </w:t>
      </w:r>
      <w:r>
        <w:rPr>
          <w:sz w:val="24"/>
        </w:rPr>
        <w:t>means</w:t>
      </w:r>
      <w:r>
        <w:rPr>
          <w:spacing w:val="-2"/>
          <w:sz w:val="24"/>
        </w:rPr>
        <w:t> </w:t>
      </w:r>
      <w:r>
        <w:rPr>
          <w:sz w:val="24"/>
        </w:rPr>
        <w:t>the</w:t>
      </w:r>
      <w:r>
        <w:rPr>
          <w:spacing w:val="-3"/>
          <w:sz w:val="24"/>
        </w:rPr>
        <w:t> </w:t>
      </w:r>
      <w:r>
        <w:rPr>
          <w:sz w:val="24"/>
        </w:rPr>
        <w:t>commission</w:t>
      </w:r>
      <w:r>
        <w:rPr>
          <w:spacing w:val="-3"/>
          <w:sz w:val="24"/>
        </w:rPr>
        <w:t> </w:t>
      </w:r>
      <w:r>
        <w:rPr>
          <w:sz w:val="24"/>
        </w:rPr>
        <w:t>of</w:t>
      </w:r>
      <w:r>
        <w:rPr>
          <w:spacing w:val="-2"/>
          <w:sz w:val="24"/>
        </w:rPr>
        <w:t> </w:t>
      </w:r>
      <w:r>
        <w:rPr>
          <w:sz w:val="24"/>
        </w:rPr>
        <w:t>an</w:t>
      </w:r>
      <w:r>
        <w:rPr>
          <w:spacing w:val="-2"/>
          <w:sz w:val="24"/>
        </w:rPr>
        <w:t> </w:t>
      </w:r>
      <w:r>
        <w:rPr>
          <w:sz w:val="24"/>
        </w:rPr>
        <w:t>act</w:t>
      </w:r>
      <w:r>
        <w:rPr>
          <w:spacing w:val="-2"/>
          <w:sz w:val="24"/>
        </w:rPr>
        <w:t> </w:t>
      </w:r>
      <w:r>
        <w:rPr>
          <w:sz w:val="24"/>
        </w:rPr>
        <w:t>as</w:t>
      </w:r>
      <w:r>
        <w:rPr>
          <w:spacing w:val="-3"/>
          <w:sz w:val="24"/>
        </w:rPr>
        <w:t> </w:t>
      </w:r>
      <w:r>
        <w:rPr>
          <w:sz w:val="24"/>
        </w:rPr>
        <w:t>defined</w:t>
      </w:r>
      <w:r>
        <w:rPr>
          <w:spacing w:val="-3"/>
          <w:sz w:val="24"/>
        </w:rPr>
        <w:t> </w:t>
      </w:r>
      <w:r>
        <w:rPr>
          <w:sz w:val="24"/>
        </w:rPr>
        <w:t>in</w:t>
      </w:r>
      <w:r>
        <w:rPr>
          <w:spacing w:val="-1"/>
          <w:sz w:val="24"/>
        </w:rPr>
        <w:t> </w:t>
      </w:r>
      <w:r>
        <w:rPr>
          <w:spacing w:val="-5"/>
          <w:sz w:val="24"/>
        </w:rPr>
        <w:t>21</w:t>
      </w:r>
    </w:p>
    <w:p>
      <w:pPr>
        <w:pStyle w:val="BodyText"/>
        <w:spacing w:line="258" w:lineRule="exact" w:before="0"/>
        <w:ind w:left="792"/>
      </w:pPr>
      <w:r>
        <w:rPr/>
        <w:t>O.S.</w:t>
      </w:r>
      <w:r>
        <w:rPr>
          <w:spacing w:val="-1"/>
        </w:rPr>
        <w:t> </w:t>
      </w:r>
      <w:r>
        <w:rPr/>
        <w:t>§</w:t>
      </w:r>
      <w:r>
        <w:rPr>
          <w:spacing w:val="-3"/>
        </w:rPr>
        <w:t> </w:t>
      </w:r>
      <w:r>
        <w:rPr/>
        <w:t>886, which</w:t>
      </w:r>
      <w:r>
        <w:rPr>
          <w:spacing w:val="-2"/>
        </w:rPr>
        <w:t> </w:t>
      </w:r>
      <w:r>
        <w:rPr/>
        <w:t>is</w:t>
      </w:r>
      <w:r>
        <w:rPr>
          <w:spacing w:val="-1"/>
        </w:rPr>
        <w:t> </w:t>
      </w:r>
      <w:r>
        <w:rPr/>
        <w:t>the</w:t>
      </w:r>
      <w:r>
        <w:rPr>
          <w:spacing w:val="-2"/>
        </w:rPr>
        <w:t> </w:t>
      </w:r>
      <w:r>
        <w:rPr/>
        <w:t>act of</w:t>
      </w:r>
      <w:r>
        <w:rPr>
          <w:spacing w:val="-3"/>
        </w:rPr>
        <w:t> </w:t>
      </w:r>
      <w:r>
        <w:rPr/>
        <w:t>sodomy; </w:t>
      </w:r>
      <w:r>
        <w:rPr>
          <w:spacing w:val="-5"/>
        </w:rPr>
        <w:t>and</w:t>
      </w:r>
    </w:p>
    <w:p>
      <w:pPr>
        <w:pStyle w:val="ListParagraph"/>
        <w:numPr>
          <w:ilvl w:val="1"/>
          <w:numId w:val="336"/>
        </w:numPr>
        <w:tabs>
          <w:tab w:pos="1217" w:val="left" w:leader="none"/>
        </w:tabs>
        <w:spacing w:line="208" w:lineRule="auto" w:before="233" w:after="0"/>
        <w:ind w:left="792" w:right="1402" w:firstLine="0"/>
        <w:jc w:val="left"/>
        <w:rPr>
          <w:sz w:val="24"/>
        </w:rPr>
      </w:pPr>
      <w:r>
        <w:rPr>
          <w:b/>
          <w:sz w:val="24"/>
        </w:rPr>
        <w:t>"Sexual</w:t>
      </w:r>
      <w:r>
        <w:rPr>
          <w:b/>
          <w:spacing w:val="-4"/>
          <w:sz w:val="24"/>
        </w:rPr>
        <w:t> </w:t>
      </w:r>
      <w:r>
        <w:rPr>
          <w:b/>
          <w:sz w:val="24"/>
        </w:rPr>
        <w:t>misconduct"</w:t>
      </w:r>
      <w:r>
        <w:rPr>
          <w:b/>
          <w:spacing w:val="-5"/>
          <w:sz w:val="24"/>
        </w:rPr>
        <w:t> </w:t>
      </w:r>
      <w:r>
        <w:rPr>
          <w:sz w:val="24"/>
        </w:rPr>
        <w:t>means</w:t>
      </w:r>
      <w:r>
        <w:rPr>
          <w:spacing w:val="-5"/>
          <w:sz w:val="24"/>
        </w:rPr>
        <w:t> </w:t>
      </w:r>
      <w:r>
        <w:rPr>
          <w:sz w:val="24"/>
        </w:rPr>
        <w:t>the</w:t>
      </w:r>
      <w:r>
        <w:rPr>
          <w:spacing w:val="-5"/>
          <w:sz w:val="24"/>
        </w:rPr>
        <w:t> </w:t>
      </w:r>
      <w:r>
        <w:rPr>
          <w:sz w:val="24"/>
        </w:rPr>
        <w:t>soliciting</w:t>
      </w:r>
      <w:r>
        <w:rPr>
          <w:spacing w:val="-5"/>
          <w:sz w:val="24"/>
        </w:rPr>
        <w:t> </w:t>
      </w:r>
      <w:r>
        <w:rPr>
          <w:sz w:val="24"/>
        </w:rPr>
        <w:t>or</w:t>
      </w:r>
      <w:r>
        <w:rPr>
          <w:spacing w:val="-4"/>
          <w:sz w:val="24"/>
        </w:rPr>
        <w:t> </w:t>
      </w:r>
      <w:r>
        <w:rPr>
          <w:sz w:val="24"/>
        </w:rPr>
        <w:t>imposing</w:t>
      </w:r>
      <w:r>
        <w:rPr>
          <w:spacing w:val="-5"/>
          <w:sz w:val="24"/>
        </w:rPr>
        <w:t> </w:t>
      </w:r>
      <w:r>
        <w:rPr>
          <w:sz w:val="24"/>
        </w:rPr>
        <w:t>of</w:t>
      </w:r>
      <w:r>
        <w:rPr>
          <w:spacing w:val="-4"/>
          <w:sz w:val="24"/>
        </w:rPr>
        <w:t> </w:t>
      </w:r>
      <w:r>
        <w:rPr>
          <w:sz w:val="24"/>
        </w:rPr>
        <w:t>criminal</w:t>
      </w:r>
      <w:r>
        <w:rPr>
          <w:spacing w:val="-5"/>
          <w:sz w:val="24"/>
        </w:rPr>
        <w:t> </w:t>
      </w:r>
      <w:r>
        <w:rPr>
          <w:sz w:val="24"/>
        </w:rPr>
        <w:t>sexual </w:t>
      </w:r>
      <w:r>
        <w:rPr>
          <w:spacing w:val="-2"/>
          <w:sz w:val="24"/>
        </w:rPr>
        <w:t>activity.</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0" w:right="6939" w:firstLine="0"/>
        <w:jc w:val="right"/>
        <w:rPr>
          <w:sz w:val="22"/>
        </w:rPr>
      </w:pPr>
      <w:r>
        <w:rPr>
          <w:spacing w:val="-2"/>
          <w:sz w:val="22"/>
        </w:rPr>
        <w:t>7-1-</w:t>
      </w:r>
      <w:r>
        <w:rPr>
          <w:spacing w:val="-4"/>
          <w:sz w:val="22"/>
        </w:rPr>
        <w:t>2002</w:t>
      </w:r>
      <w:r>
        <w:rPr>
          <w:sz w:val="22"/>
        </w:rPr>
        <w:tab/>
        <w:t>PT</w:t>
      </w:r>
      <w:r>
        <w:rPr>
          <w:spacing w:val="-8"/>
          <w:sz w:val="22"/>
        </w:rPr>
        <w:t> </w:t>
      </w:r>
      <w:r>
        <w:rPr>
          <w:sz w:val="22"/>
        </w:rPr>
        <w:t>Memo</w:t>
      </w:r>
      <w:r>
        <w:rPr>
          <w:spacing w:val="-8"/>
          <w:sz w:val="22"/>
        </w:rPr>
        <w:t> </w:t>
      </w:r>
      <w:r>
        <w:rPr>
          <w:sz w:val="22"/>
        </w:rPr>
        <w:t>#02-</w:t>
      </w:r>
      <w:r>
        <w:rPr>
          <w:spacing w:val="-5"/>
          <w:sz w:val="22"/>
        </w:rPr>
        <w:t>02</w:t>
      </w:r>
    </w:p>
    <w:p>
      <w:pPr>
        <w:spacing w:line="253" w:lineRule="exact" w:before="0"/>
        <w:ind w:left="0" w:right="6999" w:firstLine="0"/>
        <w:jc w:val="right"/>
        <w:rPr>
          <w:sz w:val="22"/>
        </w:rPr>
      </w:pPr>
      <w:r>
        <w:rPr>
          <w:sz w:val="22"/>
        </w:rPr>
        <w:t>Permanent,</w:t>
      </w:r>
      <w:r>
        <w:rPr>
          <w:spacing w:val="-13"/>
          <w:sz w:val="22"/>
        </w:rPr>
        <w:t> </w:t>
      </w:r>
      <w:r>
        <w:rPr>
          <w:spacing w:val="-5"/>
          <w:sz w:val="22"/>
        </w:rPr>
        <w:t>New</w:t>
      </w:r>
    </w:p>
    <w:p>
      <w:pPr>
        <w:spacing w:after="0" w:line="253" w:lineRule="exact"/>
        <w:jc w:val="right"/>
        <w:rPr>
          <w:sz w:val="22"/>
        </w:rPr>
        <w:sectPr>
          <w:pgSz w:w="12240" w:h="15840"/>
          <w:pgMar w:top="1340" w:bottom="280" w:left="1080" w:right="720"/>
        </w:sectPr>
      </w:pPr>
    </w:p>
    <w:p>
      <w:pPr>
        <w:pStyle w:val="Heading2"/>
      </w:pPr>
      <w:bookmarkStart w:name="612: 20-2-16.  Administrators; suspensio" w:id="335"/>
      <w:bookmarkEnd w:id="335"/>
      <w:r>
        <w:rPr>
          <w:b w:val="0"/>
        </w:rPr>
      </w:r>
      <w:r>
        <w:rPr/>
        <w:t>612:</w:t>
      </w:r>
      <w:r>
        <w:rPr>
          <w:spacing w:val="-4"/>
        </w:rPr>
        <w:t> </w:t>
      </w:r>
      <w:r>
        <w:rPr/>
        <w:t>20-2-16.</w:t>
      </w:r>
      <w:r>
        <w:rPr>
          <w:spacing w:val="59"/>
        </w:rPr>
        <w:t> </w:t>
      </w:r>
      <w:r>
        <w:rPr/>
        <w:t>Administrators;</w:t>
      </w:r>
      <w:r>
        <w:rPr>
          <w:spacing w:val="-5"/>
        </w:rPr>
        <w:t> </w:t>
      </w:r>
      <w:r>
        <w:rPr>
          <w:spacing w:val="-2"/>
        </w:rPr>
        <w:t>suspension</w:t>
      </w:r>
    </w:p>
    <w:p>
      <w:pPr>
        <w:pStyle w:val="ListParagraph"/>
        <w:numPr>
          <w:ilvl w:val="0"/>
          <w:numId w:val="337"/>
        </w:numPr>
        <w:tabs>
          <w:tab w:pos="786" w:val="left" w:leader="none"/>
        </w:tabs>
        <w:spacing w:line="240" w:lineRule="auto" w:before="204" w:after="0"/>
        <w:ind w:left="786" w:right="0" w:hanging="426"/>
        <w:jc w:val="left"/>
        <w:rPr>
          <w:b/>
          <w:sz w:val="24"/>
        </w:rPr>
      </w:pPr>
      <w:r>
        <w:rPr>
          <w:b/>
          <w:sz w:val="24"/>
        </w:rPr>
        <w:t>Cause</w:t>
      </w:r>
      <w:r>
        <w:rPr>
          <w:b/>
          <w:spacing w:val="-4"/>
          <w:sz w:val="24"/>
        </w:rPr>
        <w:t> </w:t>
      </w:r>
      <w:r>
        <w:rPr>
          <w:b/>
          <w:sz w:val="24"/>
        </w:rPr>
        <w:t>unrelated</w:t>
      </w:r>
      <w:r>
        <w:rPr>
          <w:b/>
          <w:spacing w:val="-3"/>
          <w:sz w:val="24"/>
        </w:rPr>
        <w:t> </w:t>
      </w:r>
      <w:r>
        <w:rPr>
          <w:b/>
          <w:sz w:val="24"/>
        </w:rPr>
        <w:t>to</w:t>
      </w:r>
      <w:r>
        <w:rPr>
          <w:b/>
          <w:spacing w:val="-3"/>
          <w:sz w:val="24"/>
        </w:rPr>
        <w:t> </w:t>
      </w:r>
      <w:r>
        <w:rPr>
          <w:b/>
          <w:sz w:val="24"/>
        </w:rPr>
        <w:t>a</w:t>
      </w:r>
      <w:r>
        <w:rPr>
          <w:b/>
          <w:spacing w:val="-2"/>
          <w:sz w:val="24"/>
        </w:rPr>
        <w:t> </w:t>
      </w:r>
      <w:r>
        <w:rPr>
          <w:b/>
          <w:sz w:val="24"/>
        </w:rPr>
        <w:t>criminal</w:t>
      </w:r>
      <w:r>
        <w:rPr>
          <w:b/>
          <w:spacing w:val="-2"/>
          <w:sz w:val="24"/>
        </w:rPr>
        <w:t> </w:t>
      </w:r>
      <w:r>
        <w:rPr>
          <w:b/>
          <w:sz w:val="24"/>
        </w:rPr>
        <w:t>charge</w:t>
      </w:r>
      <w:r>
        <w:rPr>
          <w:b/>
          <w:spacing w:val="-3"/>
          <w:sz w:val="24"/>
        </w:rPr>
        <w:t> </w:t>
      </w:r>
      <w:r>
        <w:rPr>
          <w:b/>
          <w:sz w:val="24"/>
        </w:rPr>
        <w:t>or</w:t>
      </w:r>
      <w:r>
        <w:rPr>
          <w:b/>
          <w:spacing w:val="-2"/>
          <w:sz w:val="24"/>
        </w:rPr>
        <w:t> indictment.</w:t>
      </w:r>
    </w:p>
    <w:p>
      <w:pPr>
        <w:pStyle w:val="ListParagraph"/>
        <w:numPr>
          <w:ilvl w:val="1"/>
          <w:numId w:val="337"/>
        </w:numPr>
        <w:tabs>
          <w:tab w:pos="1217" w:val="left" w:leader="none"/>
        </w:tabs>
        <w:spacing w:line="208" w:lineRule="auto" w:before="233" w:after="0"/>
        <w:ind w:left="792" w:right="720" w:firstLine="0"/>
        <w:jc w:val="left"/>
        <w:rPr>
          <w:sz w:val="24"/>
        </w:rPr>
      </w:pPr>
      <w:r>
        <w:rPr>
          <w:sz w:val="24"/>
        </w:rPr>
        <w:t>Whenever the Director, Chief of Staff or Superintendent believes that a reason exists</w:t>
      </w:r>
      <w:r>
        <w:rPr>
          <w:spacing w:val="-3"/>
          <w:sz w:val="24"/>
        </w:rPr>
        <w:t> </w:t>
      </w:r>
      <w:r>
        <w:rPr>
          <w:sz w:val="24"/>
        </w:rPr>
        <w:t>for</w:t>
      </w:r>
      <w:r>
        <w:rPr>
          <w:spacing w:val="-4"/>
          <w:sz w:val="24"/>
        </w:rPr>
        <w:t> </w:t>
      </w:r>
      <w:r>
        <w:rPr>
          <w:sz w:val="24"/>
        </w:rPr>
        <w:t>the</w:t>
      </w:r>
      <w:r>
        <w:rPr>
          <w:spacing w:val="-3"/>
          <w:sz w:val="24"/>
        </w:rPr>
        <w:t> </w:t>
      </w:r>
      <w:r>
        <w:rPr>
          <w:sz w:val="24"/>
        </w:rPr>
        <w:t>dismissal</w:t>
      </w:r>
      <w:r>
        <w:rPr>
          <w:spacing w:val="-2"/>
          <w:sz w:val="24"/>
        </w:rPr>
        <w:t> </w:t>
      </w:r>
      <w:r>
        <w:rPr>
          <w:sz w:val="24"/>
        </w:rPr>
        <w:t>of</w:t>
      </w:r>
      <w:r>
        <w:rPr>
          <w:spacing w:val="-2"/>
          <w:sz w:val="24"/>
        </w:rPr>
        <w:t> </w:t>
      </w:r>
      <w:r>
        <w:rPr>
          <w:sz w:val="24"/>
        </w:rPr>
        <w:t>an</w:t>
      </w:r>
      <w:r>
        <w:rPr>
          <w:spacing w:val="-3"/>
          <w:sz w:val="24"/>
        </w:rPr>
        <w:t> </w:t>
      </w:r>
      <w:r>
        <w:rPr>
          <w:sz w:val="24"/>
        </w:rPr>
        <w:t>administrator</w:t>
      </w:r>
      <w:r>
        <w:rPr>
          <w:spacing w:val="-2"/>
          <w:sz w:val="24"/>
        </w:rPr>
        <w:t> </w:t>
      </w:r>
      <w:r>
        <w:rPr>
          <w:sz w:val="24"/>
        </w:rPr>
        <w:t>and</w:t>
      </w:r>
      <w:r>
        <w:rPr>
          <w:spacing w:val="-3"/>
          <w:sz w:val="24"/>
        </w:rPr>
        <w:t> </w:t>
      </w:r>
      <w:r>
        <w:rPr>
          <w:sz w:val="24"/>
        </w:rPr>
        <w:t>that</w:t>
      </w:r>
      <w:r>
        <w:rPr>
          <w:spacing w:val="-4"/>
          <w:sz w:val="24"/>
        </w:rPr>
        <w:t> </w:t>
      </w:r>
      <w:r>
        <w:rPr>
          <w:sz w:val="24"/>
        </w:rPr>
        <w:t>the</w:t>
      </w:r>
      <w:r>
        <w:rPr>
          <w:spacing w:val="-3"/>
          <w:sz w:val="24"/>
        </w:rPr>
        <w:t> </w:t>
      </w:r>
      <w:r>
        <w:rPr>
          <w:sz w:val="24"/>
        </w:rPr>
        <w:t>immediate</w:t>
      </w:r>
      <w:r>
        <w:rPr>
          <w:spacing w:val="-3"/>
          <w:sz w:val="24"/>
        </w:rPr>
        <w:t> </w:t>
      </w:r>
      <w:r>
        <w:rPr>
          <w:sz w:val="24"/>
        </w:rPr>
        <w:t>suspension</w:t>
      </w:r>
      <w:r>
        <w:rPr>
          <w:spacing w:val="-2"/>
          <w:sz w:val="24"/>
        </w:rPr>
        <w:t> </w:t>
      </w:r>
      <w:r>
        <w:rPr>
          <w:sz w:val="24"/>
        </w:rPr>
        <w:t>of</w:t>
      </w:r>
      <w:r>
        <w:rPr>
          <w:spacing w:val="-4"/>
          <w:sz w:val="24"/>
        </w:rPr>
        <w:t> </w:t>
      </w:r>
      <w:r>
        <w:rPr>
          <w:sz w:val="24"/>
        </w:rPr>
        <w:t>the administrator would be in the best interests of the children in the school, the Superintendent, Chief of Staff or Director may suspend the administrator without notice or hearing.</w:t>
      </w:r>
      <w:r>
        <w:rPr>
          <w:spacing w:val="40"/>
          <w:sz w:val="24"/>
        </w:rPr>
        <w:t> </w:t>
      </w:r>
      <w:r>
        <w:rPr>
          <w:sz w:val="24"/>
        </w:rPr>
        <w:t>However, the suspension shall not deprive the administrator of any compensation or other benefits to which he or she would otherwise be entitled under his or her contract pursuant to law.</w:t>
      </w:r>
    </w:p>
    <w:p>
      <w:pPr>
        <w:pStyle w:val="ListParagraph"/>
        <w:numPr>
          <w:ilvl w:val="1"/>
          <w:numId w:val="337"/>
        </w:numPr>
        <w:tabs>
          <w:tab w:pos="1217" w:val="left" w:leader="none"/>
        </w:tabs>
        <w:spacing w:line="208" w:lineRule="auto" w:before="239" w:after="0"/>
        <w:ind w:left="792" w:right="1401" w:firstLine="0"/>
        <w:jc w:val="left"/>
        <w:rPr>
          <w:sz w:val="24"/>
        </w:rPr>
      </w:pPr>
      <w:r>
        <w:rPr>
          <w:sz w:val="24"/>
        </w:rPr>
        <w:t>Within</w:t>
      </w:r>
      <w:r>
        <w:rPr>
          <w:spacing w:val="-4"/>
          <w:sz w:val="24"/>
        </w:rPr>
        <w:t> </w:t>
      </w:r>
      <w:r>
        <w:rPr>
          <w:sz w:val="24"/>
        </w:rPr>
        <w:t>ten</w:t>
      </w:r>
      <w:r>
        <w:rPr>
          <w:spacing w:val="-4"/>
          <w:sz w:val="24"/>
        </w:rPr>
        <w:t> </w:t>
      </w:r>
      <w:r>
        <w:rPr>
          <w:sz w:val="24"/>
        </w:rPr>
        <w:t>(10)</w:t>
      </w:r>
      <w:r>
        <w:rPr>
          <w:spacing w:val="-3"/>
          <w:sz w:val="24"/>
        </w:rPr>
        <w:t> </w:t>
      </w:r>
      <w:r>
        <w:rPr>
          <w:sz w:val="24"/>
        </w:rPr>
        <w:t>calendar</w:t>
      </w:r>
      <w:r>
        <w:rPr>
          <w:spacing w:val="-3"/>
          <w:sz w:val="24"/>
        </w:rPr>
        <w:t> </w:t>
      </w:r>
      <w:r>
        <w:rPr>
          <w:sz w:val="24"/>
        </w:rPr>
        <w:t>days</w:t>
      </w:r>
      <w:r>
        <w:rPr>
          <w:spacing w:val="-3"/>
          <w:sz w:val="24"/>
        </w:rPr>
        <w:t> </w:t>
      </w:r>
      <w:r>
        <w:rPr>
          <w:sz w:val="24"/>
        </w:rPr>
        <w:t>after</w:t>
      </w:r>
      <w:r>
        <w:rPr>
          <w:spacing w:val="-5"/>
          <w:sz w:val="24"/>
        </w:rPr>
        <w:t> </w:t>
      </w:r>
      <w:r>
        <w:rPr>
          <w:sz w:val="24"/>
        </w:rPr>
        <w:t>the</w:t>
      </w:r>
      <w:r>
        <w:rPr>
          <w:spacing w:val="-4"/>
          <w:sz w:val="24"/>
        </w:rPr>
        <w:t> </w:t>
      </w:r>
      <w:r>
        <w:rPr>
          <w:sz w:val="24"/>
        </w:rPr>
        <w:t>suspension</w:t>
      </w:r>
      <w:r>
        <w:rPr>
          <w:spacing w:val="-4"/>
          <w:sz w:val="24"/>
        </w:rPr>
        <w:t> </w:t>
      </w:r>
      <w:r>
        <w:rPr>
          <w:sz w:val="24"/>
        </w:rPr>
        <w:t>becomes</w:t>
      </w:r>
      <w:r>
        <w:rPr>
          <w:spacing w:val="-4"/>
          <w:sz w:val="24"/>
        </w:rPr>
        <w:t> </w:t>
      </w:r>
      <w:r>
        <w:rPr>
          <w:sz w:val="24"/>
        </w:rPr>
        <w:t>effective,</w:t>
      </w:r>
      <w:r>
        <w:rPr>
          <w:spacing w:val="-5"/>
          <w:sz w:val="24"/>
        </w:rPr>
        <w:t> </w:t>
      </w:r>
      <w:r>
        <w:rPr>
          <w:sz w:val="24"/>
        </w:rPr>
        <w:t>the Director shall initiate proceedings pursuant to the relevant provisions of this subchapter to have the administrator dismissed.</w:t>
      </w:r>
    </w:p>
    <w:p>
      <w:pPr>
        <w:pStyle w:val="Heading2"/>
        <w:numPr>
          <w:ilvl w:val="0"/>
          <w:numId w:val="337"/>
        </w:numPr>
        <w:tabs>
          <w:tab w:pos="786" w:val="left" w:leader="none"/>
        </w:tabs>
        <w:spacing w:line="240" w:lineRule="auto" w:before="211" w:after="0"/>
        <w:ind w:left="786" w:right="0" w:hanging="426"/>
        <w:jc w:val="left"/>
      </w:pPr>
      <w:r>
        <w:rPr/>
        <w:t>Cause</w:t>
      </w:r>
      <w:r>
        <w:rPr>
          <w:spacing w:val="-4"/>
        </w:rPr>
        <w:t> </w:t>
      </w:r>
      <w:r>
        <w:rPr/>
        <w:t>related</w:t>
      </w:r>
      <w:r>
        <w:rPr>
          <w:spacing w:val="-2"/>
        </w:rPr>
        <w:t> </w:t>
      </w:r>
      <w:r>
        <w:rPr/>
        <w:t>to</w:t>
      </w:r>
      <w:r>
        <w:rPr>
          <w:spacing w:val="-3"/>
        </w:rPr>
        <w:t> </w:t>
      </w:r>
      <w:r>
        <w:rPr/>
        <w:t>a</w:t>
      </w:r>
      <w:r>
        <w:rPr>
          <w:spacing w:val="-2"/>
        </w:rPr>
        <w:t> </w:t>
      </w:r>
      <w:r>
        <w:rPr/>
        <w:t>criminal</w:t>
      </w:r>
      <w:r>
        <w:rPr>
          <w:spacing w:val="-4"/>
        </w:rPr>
        <w:t> </w:t>
      </w:r>
      <w:r>
        <w:rPr/>
        <w:t>charge</w:t>
      </w:r>
      <w:r>
        <w:rPr>
          <w:spacing w:val="-2"/>
        </w:rPr>
        <w:t> </w:t>
      </w:r>
      <w:r>
        <w:rPr/>
        <w:t>or</w:t>
      </w:r>
      <w:r>
        <w:rPr>
          <w:spacing w:val="-2"/>
        </w:rPr>
        <w:t> indictment.</w:t>
      </w:r>
    </w:p>
    <w:p>
      <w:pPr>
        <w:pStyle w:val="ListParagraph"/>
        <w:numPr>
          <w:ilvl w:val="1"/>
          <w:numId w:val="337"/>
        </w:numPr>
        <w:tabs>
          <w:tab w:pos="1217" w:val="left" w:leader="none"/>
        </w:tabs>
        <w:spacing w:line="208" w:lineRule="auto" w:before="233" w:after="0"/>
        <w:ind w:left="792" w:right="828" w:firstLine="0"/>
        <w:jc w:val="left"/>
        <w:rPr>
          <w:sz w:val="24"/>
        </w:rPr>
      </w:pPr>
      <w:r>
        <w:rPr>
          <w:sz w:val="24"/>
        </w:rPr>
        <w:t>If the reason for dismissing the administrator is related to a criminal charge or indictment</w:t>
      </w:r>
      <w:r>
        <w:rPr>
          <w:spacing w:val="-3"/>
          <w:sz w:val="24"/>
        </w:rPr>
        <w:t> </w:t>
      </w:r>
      <w:r>
        <w:rPr>
          <w:sz w:val="24"/>
        </w:rPr>
        <w:t>against</w:t>
      </w:r>
      <w:r>
        <w:rPr>
          <w:spacing w:val="-3"/>
          <w:sz w:val="24"/>
        </w:rPr>
        <w:t> </w:t>
      </w:r>
      <w:r>
        <w:rPr>
          <w:sz w:val="24"/>
        </w:rPr>
        <w:t>the</w:t>
      </w:r>
      <w:r>
        <w:rPr>
          <w:spacing w:val="-4"/>
          <w:sz w:val="24"/>
        </w:rPr>
        <w:t> </w:t>
      </w:r>
      <w:r>
        <w:rPr>
          <w:sz w:val="24"/>
        </w:rPr>
        <w:t>administrator,</w:t>
      </w:r>
      <w:r>
        <w:rPr>
          <w:spacing w:val="-5"/>
          <w:sz w:val="24"/>
        </w:rPr>
        <w:t> </w:t>
      </w:r>
      <w:r>
        <w:rPr>
          <w:sz w:val="24"/>
        </w:rPr>
        <w:t>then</w:t>
      </w:r>
      <w:r>
        <w:rPr>
          <w:spacing w:val="-4"/>
          <w:sz w:val="24"/>
        </w:rPr>
        <w:t> </w:t>
      </w:r>
      <w:r>
        <w:rPr>
          <w:sz w:val="24"/>
        </w:rPr>
        <w:t>the</w:t>
      </w:r>
      <w:r>
        <w:rPr>
          <w:spacing w:val="-4"/>
          <w:sz w:val="24"/>
        </w:rPr>
        <w:t> </w:t>
      </w:r>
      <w:r>
        <w:rPr>
          <w:sz w:val="24"/>
        </w:rPr>
        <w:t>suspension</w:t>
      </w:r>
      <w:r>
        <w:rPr>
          <w:spacing w:val="-4"/>
          <w:sz w:val="24"/>
        </w:rPr>
        <w:t> </w:t>
      </w:r>
      <w:r>
        <w:rPr>
          <w:sz w:val="24"/>
        </w:rPr>
        <w:t>may</w:t>
      </w:r>
      <w:r>
        <w:rPr>
          <w:spacing w:val="-4"/>
          <w:sz w:val="24"/>
        </w:rPr>
        <w:t> </w:t>
      </w:r>
      <w:r>
        <w:rPr>
          <w:sz w:val="24"/>
        </w:rPr>
        <w:t>be</w:t>
      </w:r>
      <w:r>
        <w:rPr>
          <w:spacing w:val="-5"/>
          <w:sz w:val="24"/>
        </w:rPr>
        <w:t> </w:t>
      </w:r>
      <w:r>
        <w:rPr>
          <w:sz w:val="24"/>
        </w:rPr>
        <w:t>extended</w:t>
      </w:r>
      <w:r>
        <w:rPr>
          <w:spacing w:val="-4"/>
          <w:sz w:val="24"/>
        </w:rPr>
        <w:t> </w:t>
      </w:r>
      <w:r>
        <w:rPr>
          <w:sz w:val="24"/>
        </w:rPr>
        <w:t>to</w:t>
      </w:r>
      <w:r>
        <w:rPr>
          <w:spacing w:val="-4"/>
          <w:sz w:val="24"/>
        </w:rPr>
        <w:t> </w:t>
      </w:r>
      <w:r>
        <w:rPr>
          <w:sz w:val="24"/>
        </w:rPr>
        <w:t>such time</w:t>
      </w:r>
      <w:r>
        <w:rPr>
          <w:spacing w:val="-1"/>
          <w:sz w:val="24"/>
        </w:rPr>
        <w:t> </w:t>
      </w:r>
      <w:r>
        <w:rPr>
          <w:sz w:val="24"/>
        </w:rPr>
        <w:t>as</w:t>
      </w:r>
      <w:r>
        <w:rPr>
          <w:spacing w:val="-1"/>
          <w:sz w:val="24"/>
        </w:rPr>
        <w:t> </w:t>
      </w:r>
      <w:r>
        <w:rPr>
          <w:sz w:val="24"/>
        </w:rPr>
        <w:t>the</w:t>
      </w:r>
      <w:r>
        <w:rPr>
          <w:spacing w:val="-2"/>
          <w:sz w:val="24"/>
        </w:rPr>
        <w:t> </w:t>
      </w:r>
      <w:r>
        <w:rPr>
          <w:sz w:val="24"/>
        </w:rPr>
        <w:t>criminal</w:t>
      </w:r>
      <w:r>
        <w:rPr>
          <w:spacing w:val="-1"/>
          <w:sz w:val="24"/>
        </w:rPr>
        <w:t> </w:t>
      </w:r>
      <w:r>
        <w:rPr>
          <w:sz w:val="24"/>
        </w:rPr>
        <w:t>case</w:t>
      </w:r>
      <w:r>
        <w:rPr>
          <w:spacing w:val="-1"/>
          <w:sz w:val="24"/>
        </w:rPr>
        <w:t> </w:t>
      </w:r>
      <w:r>
        <w:rPr>
          <w:sz w:val="24"/>
        </w:rPr>
        <w:t>is</w:t>
      </w:r>
      <w:r>
        <w:rPr>
          <w:spacing w:val="-1"/>
          <w:sz w:val="24"/>
        </w:rPr>
        <w:t> </w:t>
      </w:r>
      <w:r>
        <w:rPr>
          <w:sz w:val="24"/>
        </w:rPr>
        <w:t>finally adjudicated</w:t>
      </w:r>
      <w:r>
        <w:rPr>
          <w:spacing w:val="-1"/>
          <w:sz w:val="24"/>
        </w:rPr>
        <w:t> </w:t>
      </w:r>
      <w:r>
        <w:rPr>
          <w:sz w:val="24"/>
        </w:rPr>
        <w:t>at trial. However, the</w:t>
      </w:r>
      <w:r>
        <w:rPr>
          <w:spacing w:val="-1"/>
          <w:sz w:val="24"/>
        </w:rPr>
        <w:t> </w:t>
      </w:r>
      <w:r>
        <w:rPr>
          <w:sz w:val="24"/>
        </w:rPr>
        <w:t>extension shall not include any appeal process.</w:t>
      </w:r>
    </w:p>
    <w:p>
      <w:pPr>
        <w:pStyle w:val="ListParagraph"/>
        <w:numPr>
          <w:ilvl w:val="1"/>
          <w:numId w:val="337"/>
        </w:numPr>
        <w:tabs>
          <w:tab w:pos="1217" w:val="left" w:leader="none"/>
        </w:tabs>
        <w:spacing w:line="208" w:lineRule="auto" w:before="240" w:after="0"/>
        <w:ind w:left="792" w:right="1015" w:firstLine="0"/>
        <w:jc w:val="left"/>
        <w:rPr>
          <w:sz w:val="24"/>
        </w:rPr>
      </w:pPr>
      <w:r>
        <w:rPr>
          <w:sz w:val="24"/>
        </w:rPr>
        <w:t>If</w:t>
      </w:r>
      <w:r>
        <w:rPr>
          <w:spacing w:val="-4"/>
          <w:sz w:val="24"/>
        </w:rPr>
        <w:t> </w:t>
      </w:r>
      <w:r>
        <w:rPr>
          <w:sz w:val="24"/>
        </w:rPr>
        <w:t>the</w:t>
      </w:r>
      <w:r>
        <w:rPr>
          <w:spacing w:val="-4"/>
          <w:sz w:val="24"/>
        </w:rPr>
        <w:t> </w:t>
      </w:r>
      <w:r>
        <w:rPr>
          <w:sz w:val="24"/>
        </w:rPr>
        <w:t>reason</w:t>
      </w:r>
      <w:r>
        <w:rPr>
          <w:spacing w:val="-3"/>
          <w:sz w:val="24"/>
        </w:rPr>
        <w:t> </w:t>
      </w:r>
      <w:r>
        <w:rPr>
          <w:sz w:val="24"/>
        </w:rPr>
        <w:t>for</w:t>
      </w:r>
      <w:r>
        <w:rPr>
          <w:spacing w:val="-2"/>
          <w:sz w:val="24"/>
        </w:rPr>
        <w:t> </w:t>
      </w:r>
      <w:r>
        <w:rPr>
          <w:sz w:val="24"/>
        </w:rPr>
        <w:t>dismissing</w:t>
      </w:r>
      <w:r>
        <w:rPr>
          <w:spacing w:val="-3"/>
          <w:sz w:val="24"/>
        </w:rPr>
        <w:t> </w:t>
      </w:r>
      <w:r>
        <w:rPr>
          <w:sz w:val="24"/>
        </w:rPr>
        <w:t>the</w:t>
      </w:r>
      <w:r>
        <w:rPr>
          <w:spacing w:val="-3"/>
          <w:sz w:val="24"/>
        </w:rPr>
        <w:t> </w:t>
      </w:r>
      <w:r>
        <w:rPr>
          <w:sz w:val="24"/>
        </w:rPr>
        <w:t>administrator</w:t>
      </w:r>
      <w:r>
        <w:rPr>
          <w:spacing w:val="-2"/>
          <w:sz w:val="24"/>
        </w:rPr>
        <w:t> </w:t>
      </w:r>
      <w:r>
        <w:rPr>
          <w:sz w:val="24"/>
        </w:rPr>
        <w:t>is</w:t>
      </w:r>
      <w:r>
        <w:rPr>
          <w:spacing w:val="-4"/>
          <w:sz w:val="24"/>
        </w:rPr>
        <w:t> </w:t>
      </w:r>
      <w:r>
        <w:rPr>
          <w:sz w:val="24"/>
        </w:rPr>
        <w:t>related</w:t>
      </w:r>
      <w:r>
        <w:rPr>
          <w:spacing w:val="-3"/>
          <w:sz w:val="24"/>
        </w:rPr>
        <w:t> </w:t>
      </w:r>
      <w:r>
        <w:rPr>
          <w:sz w:val="24"/>
        </w:rPr>
        <w:t>to</w:t>
      </w:r>
      <w:r>
        <w:rPr>
          <w:spacing w:val="-3"/>
          <w:sz w:val="24"/>
        </w:rPr>
        <w:t> </w:t>
      </w:r>
      <w:r>
        <w:rPr>
          <w:sz w:val="24"/>
        </w:rPr>
        <w:t>a</w:t>
      </w:r>
      <w:r>
        <w:rPr>
          <w:spacing w:val="-3"/>
          <w:sz w:val="24"/>
        </w:rPr>
        <w:t> </w:t>
      </w:r>
      <w:r>
        <w:rPr>
          <w:sz w:val="24"/>
        </w:rPr>
        <w:t>criminal</w:t>
      </w:r>
      <w:r>
        <w:rPr>
          <w:spacing w:val="-3"/>
          <w:sz w:val="24"/>
        </w:rPr>
        <w:t> </w:t>
      </w:r>
      <w:r>
        <w:rPr>
          <w:sz w:val="24"/>
        </w:rPr>
        <w:t>charge</w:t>
      </w:r>
      <w:r>
        <w:rPr>
          <w:spacing w:val="-3"/>
          <w:sz w:val="24"/>
        </w:rPr>
        <w:t> </w:t>
      </w:r>
      <w:r>
        <w:rPr>
          <w:sz w:val="24"/>
        </w:rPr>
        <w:t>or indictment against the administrator, then the Director may at any time initiate proceedings pursuant to the relevant provisions of this subchapter to have the administrator dismissed.</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02</w:t>
      </w:r>
      <w:r>
        <w:rPr>
          <w:sz w:val="22"/>
        </w:rPr>
        <w:tab/>
        <w:t>PT</w:t>
      </w:r>
      <w:r>
        <w:rPr>
          <w:spacing w:val="-8"/>
          <w:sz w:val="22"/>
        </w:rPr>
        <w:t> </w:t>
      </w:r>
      <w:r>
        <w:rPr>
          <w:sz w:val="22"/>
        </w:rPr>
        <w:t>Memo</w:t>
      </w:r>
      <w:r>
        <w:rPr>
          <w:spacing w:val="-7"/>
          <w:sz w:val="22"/>
        </w:rPr>
        <w:t> </w:t>
      </w:r>
      <w:r>
        <w:rPr>
          <w:sz w:val="22"/>
        </w:rPr>
        <w:t>02-</w:t>
      </w:r>
      <w:r>
        <w:rPr>
          <w:spacing w:val="-5"/>
          <w:sz w:val="22"/>
        </w:rPr>
        <w:t>02</w:t>
      </w:r>
    </w:p>
    <w:p>
      <w:pPr>
        <w:tabs>
          <w:tab w:pos="1439" w:val="left" w:leader="none"/>
        </w:tabs>
        <w:spacing w:before="0"/>
        <w:ind w:left="359" w:right="7299" w:firstLine="1080"/>
        <w:jc w:val="left"/>
        <w:rPr>
          <w:sz w:val="22"/>
        </w:rPr>
      </w:pPr>
      <w:r>
        <w:rPr>
          <w:sz w:val="22"/>
        </w:rPr>
        <w:t>Permanent, New </w:t>
      </w:r>
      <w:r>
        <w:rPr>
          <w:spacing w:val="-2"/>
          <w:sz w:val="22"/>
        </w:rPr>
        <w:t>7-1-</w:t>
      </w:r>
      <w:r>
        <w:rPr>
          <w:spacing w:val="-5"/>
          <w:sz w:val="22"/>
        </w:rPr>
        <w:t>10</w:t>
      </w:r>
      <w:r>
        <w:rPr>
          <w:sz w:val="22"/>
        </w:rPr>
        <w:tab/>
        <w:t>PT</w:t>
      </w:r>
      <w:r>
        <w:rPr>
          <w:spacing w:val="-8"/>
          <w:sz w:val="22"/>
        </w:rPr>
        <w:t> </w:t>
      </w:r>
      <w:r>
        <w:rPr>
          <w:sz w:val="22"/>
        </w:rPr>
        <w:t>Memo</w:t>
      </w:r>
      <w:r>
        <w:rPr>
          <w:spacing w:val="-8"/>
          <w:sz w:val="22"/>
        </w:rPr>
        <w:t> </w:t>
      </w:r>
      <w:r>
        <w:rPr>
          <w:sz w:val="22"/>
        </w:rPr>
        <w:t>#10-</w:t>
      </w:r>
      <w:r>
        <w:rPr>
          <w:spacing w:val="-5"/>
          <w:sz w:val="22"/>
        </w:rPr>
        <w:t>02</w:t>
      </w:r>
    </w:p>
    <w:p>
      <w:pPr>
        <w:spacing w:before="0"/>
        <w:ind w:left="1439" w:right="0" w:firstLine="0"/>
        <w:jc w:val="left"/>
        <w:rPr>
          <w:sz w:val="22"/>
        </w:rPr>
      </w:pPr>
      <w:r>
        <w:rPr>
          <w:sz w:val="22"/>
        </w:rPr>
        <w:t>Permanent,</w:t>
      </w:r>
      <w:r>
        <w:rPr>
          <w:spacing w:val="-7"/>
          <w:sz w:val="22"/>
        </w:rPr>
        <w:t> </w:t>
      </w:r>
      <w:r>
        <w:rPr>
          <w:sz w:val="22"/>
        </w:rPr>
        <w:t>changed</w:t>
      </w:r>
      <w:r>
        <w:rPr>
          <w:spacing w:val="-7"/>
          <w:sz w:val="22"/>
        </w:rPr>
        <w:t> </w:t>
      </w:r>
      <w:r>
        <w:rPr>
          <w:sz w:val="22"/>
        </w:rPr>
        <w:t>Deputy</w:t>
      </w:r>
      <w:r>
        <w:rPr>
          <w:spacing w:val="-7"/>
          <w:sz w:val="22"/>
        </w:rPr>
        <w:t> </w:t>
      </w:r>
      <w:r>
        <w:rPr>
          <w:sz w:val="22"/>
        </w:rPr>
        <w:t>Director</w:t>
      </w:r>
      <w:r>
        <w:rPr>
          <w:spacing w:val="-7"/>
          <w:sz w:val="22"/>
        </w:rPr>
        <w:t> </w:t>
      </w:r>
      <w:r>
        <w:rPr>
          <w:sz w:val="22"/>
        </w:rPr>
        <w:t>to</w:t>
      </w:r>
      <w:r>
        <w:rPr>
          <w:spacing w:val="-7"/>
          <w:sz w:val="22"/>
        </w:rPr>
        <w:t> </w:t>
      </w:r>
      <w:r>
        <w:rPr>
          <w:sz w:val="22"/>
        </w:rPr>
        <w:t>Chief</w:t>
      </w:r>
      <w:r>
        <w:rPr>
          <w:spacing w:val="-7"/>
          <w:sz w:val="22"/>
        </w:rPr>
        <w:t> </w:t>
      </w:r>
      <w:r>
        <w:rPr>
          <w:sz w:val="22"/>
        </w:rPr>
        <w:t>of</w:t>
      </w:r>
      <w:r>
        <w:rPr>
          <w:spacing w:val="-7"/>
          <w:sz w:val="22"/>
        </w:rPr>
        <w:t> </w:t>
      </w:r>
      <w:r>
        <w:rPr>
          <w:spacing w:val="-2"/>
          <w:sz w:val="22"/>
        </w:rPr>
        <w:t>Staff</w:t>
      </w:r>
    </w:p>
    <w:p>
      <w:pPr>
        <w:spacing w:after="0"/>
        <w:jc w:val="left"/>
        <w:rPr>
          <w:sz w:val="22"/>
        </w:rPr>
        <w:sectPr>
          <w:pgSz w:w="12240" w:h="15840"/>
          <w:pgMar w:top="1340" w:bottom="280" w:left="1080" w:right="720"/>
        </w:sectPr>
      </w:pPr>
    </w:p>
    <w:p>
      <w:pPr>
        <w:pStyle w:val="Heading2"/>
      </w:pPr>
      <w:bookmarkStart w:name="612:20-2-17.  Full-time administrators; " w:id="336"/>
      <w:bookmarkEnd w:id="336"/>
      <w:r>
        <w:rPr>
          <w:b w:val="0"/>
        </w:rPr>
      </w:r>
      <w:r>
        <w:rPr/>
        <w:t>612:20-2-17.</w:t>
      </w:r>
      <w:r>
        <w:rPr>
          <w:spacing w:val="56"/>
        </w:rPr>
        <w:t> </w:t>
      </w:r>
      <w:r>
        <w:rPr/>
        <w:t>Full-time</w:t>
      </w:r>
      <w:r>
        <w:rPr>
          <w:spacing w:val="-4"/>
        </w:rPr>
        <w:t> </w:t>
      </w:r>
      <w:r>
        <w:rPr/>
        <w:t>administrators;</w:t>
      </w:r>
      <w:r>
        <w:rPr>
          <w:spacing w:val="-5"/>
        </w:rPr>
        <w:t> </w:t>
      </w:r>
      <w:r>
        <w:rPr/>
        <w:t>Appeal</w:t>
      </w:r>
      <w:r>
        <w:rPr>
          <w:spacing w:val="-3"/>
        </w:rPr>
        <w:t> </w:t>
      </w:r>
      <w:r>
        <w:rPr/>
        <w:t>of</w:t>
      </w:r>
      <w:r>
        <w:rPr>
          <w:spacing w:val="-3"/>
        </w:rPr>
        <w:t> </w:t>
      </w:r>
      <w:r>
        <w:rPr/>
        <w:t>dismissal</w:t>
      </w:r>
      <w:r>
        <w:rPr>
          <w:spacing w:val="-3"/>
        </w:rPr>
        <w:t> </w:t>
      </w:r>
      <w:r>
        <w:rPr/>
        <w:t>or</w:t>
      </w:r>
      <w:r>
        <w:rPr>
          <w:spacing w:val="-5"/>
        </w:rPr>
        <w:t> </w:t>
      </w:r>
      <w:r>
        <w:rPr>
          <w:spacing w:val="-2"/>
        </w:rPr>
        <w:t>nonreemployment</w:t>
      </w:r>
    </w:p>
    <w:p>
      <w:pPr>
        <w:pStyle w:val="ListParagraph"/>
        <w:numPr>
          <w:ilvl w:val="0"/>
          <w:numId w:val="338"/>
        </w:numPr>
        <w:tabs>
          <w:tab w:pos="785" w:val="left" w:leader="none"/>
        </w:tabs>
        <w:spacing w:line="208" w:lineRule="auto" w:before="233" w:after="0"/>
        <w:ind w:left="360" w:right="912" w:firstLine="0"/>
        <w:jc w:val="left"/>
        <w:rPr>
          <w:sz w:val="24"/>
        </w:rPr>
      </w:pPr>
      <w:r>
        <w:rPr>
          <w:sz w:val="24"/>
        </w:rPr>
        <w:t>Whenever the Director, Chief of Staff or Superintendent shall determine that the dismissal or nonreemployment of an administrator from his/her administrative position should</w:t>
      </w:r>
      <w:r>
        <w:rPr>
          <w:spacing w:val="-2"/>
          <w:sz w:val="24"/>
        </w:rPr>
        <w:t> </w:t>
      </w:r>
      <w:r>
        <w:rPr>
          <w:sz w:val="24"/>
        </w:rPr>
        <w:t>be</w:t>
      </w:r>
      <w:r>
        <w:rPr>
          <w:spacing w:val="-1"/>
          <w:sz w:val="24"/>
        </w:rPr>
        <w:t> </w:t>
      </w:r>
      <w:r>
        <w:rPr>
          <w:sz w:val="24"/>
        </w:rPr>
        <w:t>effected,</w:t>
      </w:r>
      <w:r>
        <w:rPr>
          <w:spacing w:val="-3"/>
          <w:sz w:val="24"/>
        </w:rPr>
        <w:t> </w:t>
      </w:r>
      <w:r>
        <w:rPr>
          <w:sz w:val="24"/>
        </w:rPr>
        <w:t>the</w:t>
      </w:r>
      <w:r>
        <w:rPr>
          <w:spacing w:val="-2"/>
          <w:sz w:val="24"/>
        </w:rPr>
        <w:t> </w:t>
      </w:r>
      <w:r>
        <w:rPr>
          <w:sz w:val="24"/>
        </w:rPr>
        <w:t>administrator</w:t>
      </w:r>
      <w:r>
        <w:rPr>
          <w:spacing w:val="-1"/>
          <w:sz w:val="24"/>
        </w:rPr>
        <w:t> </w:t>
      </w:r>
      <w:r>
        <w:rPr>
          <w:sz w:val="24"/>
        </w:rPr>
        <w:t>shall</w:t>
      </w:r>
      <w:r>
        <w:rPr>
          <w:spacing w:val="-2"/>
          <w:sz w:val="24"/>
        </w:rPr>
        <w:t> </w:t>
      </w:r>
      <w:r>
        <w:rPr>
          <w:sz w:val="24"/>
        </w:rPr>
        <w:t>be</w:t>
      </w:r>
      <w:r>
        <w:rPr>
          <w:spacing w:val="-2"/>
          <w:sz w:val="24"/>
        </w:rPr>
        <w:t> </w:t>
      </w:r>
      <w:r>
        <w:rPr>
          <w:sz w:val="24"/>
        </w:rPr>
        <w:t>notified</w:t>
      </w:r>
      <w:r>
        <w:rPr>
          <w:spacing w:val="-2"/>
          <w:sz w:val="24"/>
        </w:rPr>
        <w:t> </w:t>
      </w:r>
      <w:r>
        <w:rPr>
          <w:sz w:val="24"/>
        </w:rPr>
        <w:t>in</w:t>
      </w:r>
      <w:r>
        <w:rPr>
          <w:spacing w:val="-1"/>
          <w:sz w:val="24"/>
        </w:rPr>
        <w:t> </w:t>
      </w:r>
      <w:r>
        <w:rPr>
          <w:sz w:val="24"/>
        </w:rPr>
        <w:t>writing</w:t>
      </w:r>
      <w:r>
        <w:rPr>
          <w:spacing w:val="-2"/>
          <w:sz w:val="24"/>
        </w:rPr>
        <w:t> </w:t>
      </w:r>
      <w:r>
        <w:rPr>
          <w:sz w:val="24"/>
        </w:rPr>
        <w:t>of</w:t>
      </w:r>
      <w:r>
        <w:rPr>
          <w:spacing w:val="-1"/>
          <w:sz w:val="24"/>
        </w:rPr>
        <w:t> </w:t>
      </w:r>
      <w:r>
        <w:rPr>
          <w:sz w:val="24"/>
        </w:rPr>
        <w:t>the</w:t>
      </w:r>
      <w:r>
        <w:rPr>
          <w:spacing w:val="-2"/>
          <w:sz w:val="24"/>
        </w:rPr>
        <w:t> </w:t>
      </w:r>
      <w:r>
        <w:rPr>
          <w:sz w:val="24"/>
        </w:rPr>
        <w:t>proposed</w:t>
      </w:r>
      <w:r>
        <w:rPr>
          <w:spacing w:val="-2"/>
          <w:sz w:val="24"/>
        </w:rPr>
        <w:t> </w:t>
      </w:r>
      <w:r>
        <w:rPr>
          <w:sz w:val="24"/>
        </w:rPr>
        <w:t>action. The notice shall state the reason(s) for taking the action and shall inform the administrator</w:t>
      </w:r>
      <w:r>
        <w:rPr>
          <w:spacing w:val="-2"/>
          <w:sz w:val="24"/>
        </w:rPr>
        <w:t> </w:t>
      </w:r>
      <w:r>
        <w:rPr>
          <w:sz w:val="24"/>
        </w:rPr>
        <w:t>of</w:t>
      </w:r>
      <w:r>
        <w:rPr>
          <w:spacing w:val="-2"/>
          <w:sz w:val="24"/>
        </w:rPr>
        <w:t> </w:t>
      </w:r>
      <w:r>
        <w:rPr>
          <w:sz w:val="24"/>
        </w:rPr>
        <w:t>his/her</w:t>
      </w:r>
      <w:r>
        <w:rPr>
          <w:spacing w:val="-2"/>
          <w:sz w:val="24"/>
        </w:rPr>
        <w:t> </w:t>
      </w:r>
      <w:r>
        <w:rPr>
          <w:sz w:val="24"/>
        </w:rPr>
        <w:t>right</w:t>
      </w:r>
      <w:r>
        <w:rPr>
          <w:spacing w:val="-4"/>
          <w:sz w:val="24"/>
        </w:rPr>
        <w:t> </w:t>
      </w:r>
      <w:r>
        <w:rPr>
          <w:sz w:val="24"/>
        </w:rPr>
        <w:t>to</w:t>
      </w:r>
      <w:r>
        <w:rPr>
          <w:spacing w:val="-3"/>
          <w:sz w:val="24"/>
        </w:rPr>
        <w:t> </w:t>
      </w:r>
      <w:r>
        <w:rPr>
          <w:sz w:val="24"/>
        </w:rPr>
        <w:t>a</w:t>
      </w:r>
      <w:r>
        <w:rPr>
          <w:spacing w:val="-4"/>
          <w:sz w:val="24"/>
        </w:rPr>
        <w:t> </w:t>
      </w:r>
      <w:r>
        <w:rPr>
          <w:sz w:val="24"/>
        </w:rPr>
        <w:t>hearing</w:t>
      </w:r>
      <w:r>
        <w:rPr>
          <w:spacing w:val="-3"/>
          <w:sz w:val="24"/>
        </w:rPr>
        <w:t> </w:t>
      </w:r>
      <w:r>
        <w:rPr>
          <w:sz w:val="24"/>
        </w:rPr>
        <w:t>before</w:t>
      </w:r>
      <w:r>
        <w:rPr>
          <w:spacing w:val="-3"/>
          <w:sz w:val="24"/>
        </w:rPr>
        <w:t> </w:t>
      </w:r>
      <w:r>
        <w:rPr>
          <w:sz w:val="24"/>
        </w:rPr>
        <w:t>the</w:t>
      </w:r>
      <w:r>
        <w:rPr>
          <w:spacing w:val="-3"/>
          <w:sz w:val="24"/>
        </w:rPr>
        <w:t> </w:t>
      </w:r>
      <w:r>
        <w:rPr>
          <w:sz w:val="24"/>
        </w:rPr>
        <w:t>Director</w:t>
      </w:r>
      <w:r>
        <w:rPr>
          <w:spacing w:val="-2"/>
          <w:sz w:val="24"/>
        </w:rPr>
        <w:t> </w:t>
      </w:r>
      <w:r>
        <w:rPr>
          <w:sz w:val="24"/>
        </w:rPr>
        <w:t>or</w:t>
      </w:r>
      <w:r>
        <w:rPr>
          <w:spacing w:val="-4"/>
          <w:sz w:val="24"/>
        </w:rPr>
        <w:t> </w:t>
      </w:r>
      <w:r>
        <w:rPr>
          <w:sz w:val="24"/>
        </w:rPr>
        <w:t>the</w:t>
      </w:r>
      <w:r>
        <w:rPr>
          <w:spacing w:val="-3"/>
          <w:sz w:val="24"/>
        </w:rPr>
        <w:t> </w:t>
      </w:r>
      <w:r>
        <w:rPr>
          <w:sz w:val="24"/>
        </w:rPr>
        <w:t>Director’s</w:t>
      </w:r>
      <w:r>
        <w:rPr>
          <w:spacing w:val="-3"/>
          <w:sz w:val="24"/>
        </w:rPr>
        <w:t> </w:t>
      </w:r>
      <w:r>
        <w:rPr>
          <w:sz w:val="24"/>
        </w:rPr>
        <w:t>designee prior to the dismissal or nonreemployment.</w:t>
      </w:r>
    </w:p>
    <w:p>
      <w:pPr>
        <w:pStyle w:val="ListParagraph"/>
        <w:numPr>
          <w:ilvl w:val="0"/>
          <w:numId w:val="338"/>
        </w:numPr>
        <w:tabs>
          <w:tab w:pos="785" w:val="left" w:leader="none"/>
        </w:tabs>
        <w:spacing w:line="208" w:lineRule="auto" w:before="239" w:after="0"/>
        <w:ind w:left="359" w:right="846" w:firstLine="0"/>
        <w:jc w:val="left"/>
        <w:rPr>
          <w:sz w:val="24"/>
        </w:rPr>
      </w:pPr>
      <w:r>
        <w:rPr>
          <w:sz w:val="24"/>
        </w:rPr>
        <w:t>The</w:t>
      </w:r>
      <w:r>
        <w:rPr>
          <w:spacing w:val="-3"/>
          <w:sz w:val="24"/>
        </w:rPr>
        <w:t> </w:t>
      </w:r>
      <w:r>
        <w:rPr>
          <w:sz w:val="24"/>
        </w:rPr>
        <w:t>administrator</w:t>
      </w:r>
      <w:r>
        <w:rPr>
          <w:spacing w:val="-4"/>
          <w:sz w:val="24"/>
        </w:rPr>
        <w:t> </w:t>
      </w:r>
      <w:r>
        <w:rPr>
          <w:sz w:val="24"/>
        </w:rPr>
        <w:t>may</w:t>
      </w:r>
      <w:r>
        <w:rPr>
          <w:spacing w:val="-3"/>
          <w:sz w:val="24"/>
        </w:rPr>
        <w:t> </w:t>
      </w:r>
      <w:r>
        <w:rPr>
          <w:sz w:val="24"/>
        </w:rPr>
        <w:t>request</w:t>
      </w:r>
      <w:r>
        <w:rPr>
          <w:spacing w:val="-2"/>
          <w:sz w:val="24"/>
        </w:rPr>
        <w:t> </w:t>
      </w:r>
      <w:r>
        <w:rPr>
          <w:sz w:val="24"/>
        </w:rPr>
        <w:t>a</w:t>
      </w:r>
      <w:r>
        <w:rPr>
          <w:spacing w:val="-3"/>
          <w:sz w:val="24"/>
        </w:rPr>
        <w:t> </w:t>
      </w:r>
      <w:r>
        <w:rPr>
          <w:sz w:val="24"/>
        </w:rPr>
        <w:t>hearing</w:t>
      </w:r>
      <w:r>
        <w:rPr>
          <w:spacing w:val="-3"/>
          <w:sz w:val="24"/>
        </w:rPr>
        <w:t> </w:t>
      </w:r>
      <w:r>
        <w:rPr>
          <w:sz w:val="24"/>
        </w:rPr>
        <w:t>within</w:t>
      </w:r>
      <w:r>
        <w:rPr>
          <w:spacing w:val="-3"/>
          <w:sz w:val="24"/>
        </w:rPr>
        <w:t> </w:t>
      </w:r>
      <w:r>
        <w:rPr>
          <w:sz w:val="24"/>
        </w:rPr>
        <w:t>ten</w:t>
      </w:r>
      <w:r>
        <w:rPr>
          <w:spacing w:val="-2"/>
          <w:sz w:val="24"/>
        </w:rPr>
        <w:t> </w:t>
      </w:r>
      <w:r>
        <w:rPr>
          <w:sz w:val="24"/>
        </w:rPr>
        <w:t>(10)</w:t>
      </w:r>
      <w:r>
        <w:rPr>
          <w:spacing w:val="-2"/>
          <w:sz w:val="24"/>
        </w:rPr>
        <w:t> </w:t>
      </w:r>
      <w:r>
        <w:rPr>
          <w:sz w:val="24"/>
        </w:rPr>
        <w:t>calendar</w:t>
      </w:r>
      <w:r>
        <w:rPr>
          <w:spacing w:val="-2"/>
          <w:sz w:val="24"/>
        </w:rPr>
        <w:t> </w:t>
      </w:r>
      <w:r>
        <w:rPr>
          <w:sz w:val="24"/>
        </w:rPr>
        <w:t>days</w:t>
      </w:r>
      <w:r>
        <w:rPr>
          <w:spacing w:val="-3"/>
          <w:sz w:val="24"/>
        </w:rPr>
        <w:t> </w:t>
      </w:r>
      <w:r>
        <w:rPr>
          <w:sz w:val="24"/>
        </w:rPr>
        <w:t>after</w:t>
      </w:r>
      <w:r>
        <w:rPr>
          <w:spacing w:val="-2"/>
          <w:sz w:val="24"/>
        </w:rPr>
        <w:t> </w:t>
      </w:r>
      <w:r>
        <w:rPr>
          <w:sz w:val="24"/>
        </w:rPr>
        <w:t>receipt of the notice of proposed dismissal or nonreemployment.</w:t>
      </w:r>
      <w:r>
        <w:rPr>
          <w:spacing w:val="40"/>
          <w:sz w:val="24"/>
        </w:rPr>
        <w:t> </w:t>
      </w:r>
      <w:r>
        <w:rPr>
          <w:sz w:val="24"/>
        </w:rPr>
        <w:t>If the administrator fails to request a</w:t>
      </w:r>
      <w:r>
        <w:rPr>
          <w:spacing w:val="-1"/>
          <w:sz w:val="24"/>
        </w:rPr>
        <w:t> </w:t>
      </w:r>
      <w:r>
        <w:rPr>
          <w:sz w:val="24"/>
        </w:rPr>
        <w:t>hearing</w:t>
      </w:r>
      <w:r>
        <w:rPr>
          <w:spacing w:val="-1"/>
          <w:sz w:val="24"/>
        </w:rPr>
        <w:t> </w:t>
      </w:r>
      <w:r>
        <w:rPr>
          <w:sz w:val="24"/>
        </w:rPr>
        <w:t>within</w:t>
      </w:r>
      <w:r>
        <w:rPr>
          <w:spacing w:val="-1"/>
          <w:sz w:val="24"/>
        </w:rPr>
        <w:t> </w:t>
      </w:r>
      <w:r>
        <w:rPr>
          <w:sz w:val="24"/>
        </w:rPr>
        <w:t>the</w:t>
      </w:r>
      <w:r>
        <w:rPr>
          <w:spacing w:val="-1"/>
          <w:sz w:val="24"/>
        </w:rPr>
        <w:t> </w:t>
      </w:r>
      <w:r>
        <w:rPr>
          <w:sz w:val="24"/>
        </w:rPr>
        <w:t>ten-day</w:t>
      </w:r>
      <w:r>
        <w:rPr>
          <w:spacing w:val="-1"/>
          <w:sz w:val="24"/>
        </w:rPr>
        <w:t> </w:t>
      </w:r>
      <w:r>
        <w:rPr>
          <w:sz w:val="24"/>
        </w:rPr>
        <w:t>period, then</w:t>
      </w:r>
      <w:r>
        <w:rPr>
          <w:spacing w:val="-1"/>
          <w:sz w:val="24"/>
        </w:rPr>
        <w:t> </w:t>
      </w:r>
      <w:r>
        <w:rPr>
          <w:sz w:val="24"/>
        </w:rPr>
        <w:t>the</w:t>
      </w:r>
      <w:r>
        <w:rPr>
          <w:spacing w:val="-1"/>
          <w:sz w:val="24"/>
        </w:rPr>
        <w:t> </w:t>
      </w:r>
      <w:r>
        <w:rPr>
          <w:sz w:val="24"/>
        </w:rPr>
        <w:t>administrator</w:t>
      </w:r>
      <w:r>
        <w:rPr>
          <w:spacing w:val="-2"/>
          <w:sz w:val="24"/>
        </w:rPr>
        <w:t> </w:t>
      </w:r>
      <w:r>
        <w:rPr>
          <w:sz w:val="24"/>
        </w:rPr>
        <w:t>will</w:t>
      </w:r>
      <w:r>
        <w:rPr>
          <w:spacing w:val="-1"/>
          <w:sz w:val="24"/>
        </w:rPr>
        <w:t> </w:t>
      </w:r>
      <w:r>
        <w:rPr>
          <w:sz w:val="24"/>
        </w:rPr>
        <w:t>have</w:t>
      </w:r>
      <w:r>
        <w:rPr>
          <w:spacing w:val="-1"/>
          <w:sz w:val="24"/>
        </w:rPr>
        <w:t> </w:t>
      </w:r>
      <w:r>
        <w:rPr>
          <w:sz w:val="24"/>
        </w:rPr>
        <w:t>waived</w:t>
      </w:r>
      <w:r>
        <w:rPr>
          <w:spacing w:val="-1"/>
          <w:sz w:val="24"/>
        </w:rPr>
        <w:t> </w:t>
      </w:r>
      <w:r>
        <w:rPr>
          <w:sz w:val="24"/>
        </w:rPr>
        <w:t>the right to such a hearing.</w:t>
      </w:r>
      <w:r>
        <w:rPr>
          <w:spacing w:val="40"/>
          <w:sz w:val="24"/>
        </w:rPr>
        <w:t> </w:t>
      </w:r>
      <w:r>
        <w:rPr>
          <w:sz w:val="24"/>
        </w:rPr>
        <w:t>The request for a hearing shall be made in writing to the Director</w:t>
      </w:r>
      <w:r>
        <w:rPr>
          <w:spacing w:val="-3"/>
          <w:sz w:val="24"/>
        </w:rPr>
        <w:t> </w:t>
      </w:r>
      <w:r>
        <w:rPr>
          <w:sz w:val="24"/>
        </w:rPr>
        <w:t>and</w:t>
      </w:r>
      <w:r>
        <w:rPr>
          <w:spacing w:val="-4"/>
          <w:sz w:val="24"/>
        </w:rPr>
        <w:t> </w:t>
      </w:r>
      <w:r>
        <w:rPr>
          <w:sz w:val="24"/>
        </w:rPr>
        <w:t>sent</w:t>
      </w:r>
      <w:r>
        <w:rPr>
          <w:spacing w:val="-3"/>
          <w:sz w:val="24"/>
        </w:rPr>
        <w:t> </w:t>
      </w:r>
      <w:r>
        <w:rPr>
          <w:sz w:val="24"/>
        </w:rPr>
        <w:t>by</w:t>
      </w:r>
      <w:r>
        <w:rPr>
          <w:spacing w:val="-4"/>
          <w:sz w:val="24"/>
        </w:rPr>
        <w:t> </w:t>
      </w:r>
      <w:r>
        <w:rPr>
          <w:sz w:val="24"/>
        </w:rPr>
        <w:t>certified</w:t>
      </w:r>
      <w:r>
        <w:rPr>
          <w:spacing w:val="-4"/>
          <w:sz w:val="24"/>
        </w:rPr>
        <w:t> </w:t>
      </w:r>
      <w:r>
        <w:rPr>
          <w:sz w:val="24"/>
        </w:rPr>
        <w:t>mail,</w:t>
      </w:r>
      <w:r>
        <w:rPr>
          <w:spacing w:val="-3"/>
          <w:sz w:val="24"/>
        </w:rPr>
        <w:t> </w:t>
      </w:r>
      <w:r>
        <w:rPr>
          <w:sz w:val="24"/>
        </w:rPr>
        <w:t>return</w:t>
      </w:r>
      <w:r>
        <w:rPr>
          <w:spacing w:val="-4"/>
          <w:sz w:val="24"/>
        </w:rPr>
        <w:t> </w:t>
      </w:r>
      <w:r>
        <w:rPr>
          <w:sz w:val="24"/>
        </w:rPr>
        <w:t>receipt</w:t>
      </w:r>
      <w:r>
        <w:rPr>
          <w:spacing w:val="-3"/>
          <w:sz w:val="24"/>
        </w:rPr>
        <w:t> </w:t>
      </w:r>
      <w:r>
        <w:rPr>
          <w:sz w:val="24"/>
        </w:rPr>
        <w:t>requested,</w:t>
      </w:r>
      <w:r>
        <w:rPr>
          <w:spacing w:val="-3"/>
          <w:sz w:val="24"/>
        </w:rPr>
        <w:t> </w:t>
      </w:r>
      <w:r>
        <w:rPr>
          <w:sz w:val="24"/>
        </w:rPr>
        <w:t>or</w:t>
      </w:r>
      <w:r>
        <w:rPr>
          <w:spacing w:val="-3"/>
          <w:sz w:val="24"/>
        </w:rPr>
        <w:t> </w:t>
      </w:r>
      <w:r>
        <w:rPr>
          <w:sz w:val="24"/>
        </w:rPr>
        <w:t>by</w:t>
      </w:r>
      <w:r>
        <w:rPr>
          <w:spacing w:val="-5"/>
          <w:sz w:val="24"/>
        </w:rPr>
        <w:t> </w:t>
      </w:r>
      <w:r>
        <w:rPr>
          <w:sz w:val="24"/>
        </w:rPr>
        <w:t>substitute</w:t>
      </w:r>
      <w:r>
        <w:rPr>
          <w:spacing w:val="-4"/>
          <w:sz w:val="24"/>
        </w:rPr>
        <w:t> </w:t>
      </w:r>
      <w:r>
        <w:rPr>
          <w:sz w:val="24"/>
        </w:rPr>
        <w:t>process</w:t>
      </w:r>
      <w:r>
        <w:rPr>
          <w:spacing w:val="-4"/>
          <w:sz w:val="24"/>
        </w:rPr>
        <w:t> </w:t>
      </w:r>
      <w:r>
        <w:rPr>
          <w:sz w:val="24"/>
        </w:rPr>
        <w:t>as provided for by law.</w:t>
      </w:r>
    </w:p>
    <w:p>
      <w:pPr>
        <w:pStyle w:val="ListParagraph"/>
        <w:numPr>
          <w:ilvl w:val="0"/>
          <w:numId w:val="338"/>
        </w:numPr>
        <w:tabs>
          <w:tab w:pos="772" w:val="left" w:leader="none"/>
        </w:tabs>
        <w:spacing w:line="208" w:lineRule="auto" w:before="240" w:after="0"/>
        <w:ind w:left="359" w:right="723" w:firstLine="0"/>
        <w:jc w:val="left"/>
        <w:rPr>
          <w:sz w:val="24"/>
        </w:rPr>
      </w:pPr>
      <w:r>
        <w:rPr>
          <w:sz w:val="24"/>
        </w:rPr>
        <w:t>Upon the receipt of a timely request, the Director shall schedule a hearing to take place no more than ten (10) calendar days after receipt of the request.</w:t>
      </w:r>
      <w:r>
        <w:rPr>
          <w:spacing w:val="80"/>
          <w:sz w:val="24"/>
        </w:rPr>
        <w:t> </w:t>
      </w:r>
      <w:r>
        <w:rPr>
          <w:sz w:val="24"/>
        </w:rPr>
        <w:t>The Director shall notify the administrator of the hearing by certified mail, return receipt requested, or by</w:t>
      </w:r>
      <w:r>
        <w:rPr>
          <w:spacing w:val="-3"/>
          <w:sz w:val="24"/>
        </w:rPr>
        <w:t> </w:t>
      </w:r>
      <w:r>
        <w:rPr>
          <w:sz w:val="24"/>
        </w:rPr>
        <w:t>substitute</w:t>
      </w:r>
      <w:r>
        <w:rPr>
          <w:spacing w:val="-3"/>
          <w:sz w:val="24"/>
        </w:rPr>
        <w:t> </w:t>
      </w:r>
      <w:r>
        <w:rPr>
          <w:sz w:val="24"/>
        </w:rPr>
        <w:t>process</w:t>
      </w:r>
      <w:r>
        <w:rPr>
          <w:spacing w:val="-3"/>
          <w:sz w:val="24"/>
        </w:rPr>
        <w:t> </w:t>
      </w:r>
      <w:r>
        <w:rPr>
          <w:sz w:val="24"/>
        </w:rPr>
        <w:t>as</w:t>
      </w:r>
      <w:r>
        <w:rPr>
          <w:spacing w:val="-3"/>
          <w:sz w:val="24"/>
        </w:rPr>
        <w:t> </w:t>
      </w:r>
      <w:r>
        <w:rPr>
          <w:sz w:val="24"/>
        </w:rPr>
        <w:t>provided</w:t>
      </w:r>
      <w:r>
        <w:rPr>
          <w:spacing w:val="-3"/>
          <w:sz w:val="24"/>
        </w:rPr>
        <w:t> </w:t>
      </w:r>
      <w:r>
        <w:rPr>
          <w:sz w:val="24"/>
        </w:rPr>
        <w:t>for</w:t>
      </w:r>
      <w:r>
        <w:rPr>
          <w:spacing w:val="-2"/>
          <w:sz w:val="24"/>
        </w:rPr>
        <w:t> </w:t>
      </w:r>
      <w:r>
        <w:rPr>
          <w:sz w:val="24"/>
        </w:rPr>
        <w:t>by</w:t>
      </w:r>
      <w:r>
        <w:rPr>
          <w:spacing w:val="-3"/>
          <w:sz w:val="24"/>
        </w:rPr>
        <w:t> </w:t>
      </w:r>
      <w:r>
        <w:rPr>
          <w:sz w:val="24"/>
        </w:rPr>
        <w:t>law.</w:t>
      </w:r>
      <w:r>
        <w:rPr>
          <w:spacing w:val="40"/>
          <w:sz w:val="24"/>
        </w:rPr>
        <w:t> </w:t>
      </w:r>
      <w:r>
        <w:rPr>
          <w:sz w:val="24"/>
        </w:rPr>
        <w:t>The</w:t>
      </w:r>
      <w:r>
        <w:rPr>
          <w:spacing w:val="-3"/>
          <w:sz w:val="24"/>
        </w:rPr>
        <w:t> </w:t>
      </w:r>
      <w:r>
        <w:rPr>
          <w:sz w:val="24"/>
        </w:rPr>
        <w:t>notice</w:t>
      </w:r>
      <w:r>
        <w:rPr>
          <w:spacing w:val="-3"/>
          <w:sz w:val="24"/>
        </w:rPr>
        <w:t> </w:t>
      </w:r>
      <w:r>
        <w:rPr>
          <w:sz w:val="24"/>
        </w:rPr>
        <w:t>shall</w:t>
      </w:r>
      <w:r>
        <w:rPr>
          <w:spacing w:val="-3"/>
          <w:sz w:val="24"/>
        </w:rPr>
        <w:t> </w:t>
      </w:r>
      <w:r>
        <w:rPr>
          <w:sz w:val="24"/>
        </w:rPr>
        <w:t>include</w:t>
      </w:r>
      <w:r>
        <w:rPr>
          <w:spacing w:val="-3"/>
          <w:sz w:val="24"/>
        </w:rPr>
        <w:t> </w:t>
      </w:r>
      <w:r>
        <w:rPr>
          <w:sz w:val="24"/>
        </w:rPr>
        <w:t>a</w:t>
      </w:r>
      <w:r>
        <w:rPr>
          <w:spacing w:val="-3"/>
          <w:sz w:val="24"/>
        </w:rPr>
        <w:t> </w:t>
      </w:r>
      <w:r>
        <w:rPr>
          <w:sz w:val="24"/>
        </w:rPr>
        <w:t>statement</w:t>
      </w:r>
      <w:r>
        <w:rPr>
          <w:spacing w:val="-2"/>
          <w:sz w:val="24"/>
        </w:rPr>
        <w:t> </w:t>
      </w:r>
      <w:r>
        <w:rPr>
          <w:sz w:val="24"/>
        </w:rPr>
        <w:t>of</w:t>
      </w:r>
      <w:r>
        <w:rPr>
          <w:spacing w:val="-4"/>
          <w:sz w:val="24"/>
        </w:rPr>
        <w:t> </w:t>
      </w:r>
      <w:r>
        <w:rPr>
          <w:sz w:val="24"/>
        </w:rPr>
        <w:t>the reasons</w:t>
      </w:r>
      <w:r>
        <w:rPr>
          <w:spacing w:val="-3"/>
          <w:sz w:val="24"/>
        </w:rPr>
        <w:t> </w:t>
      </w:r>
      <w:r>
        <w:rPr>
          <w:sz w:val="24"/>
        </w:rPr>
        <w:t>for</w:t>
      </w:r>
      <w:r>
        <w:rPr>
          <w:spacing w:val="-4"/>
          <w:sz w:val="24"/>
        </w:rPr>
        <w:t> </w:t>
      </w:r>
      <w:r>
        <w:rPr>
          <w:sz w:val="24"/>
        </w:rPr>
        <w:t>the</w:t>
      </w:r>
      <w:r>
        <w:rPr>
          <w:spacing w:val="-3"/>
          <w:sz w:val="24"/>
        </w:rPr>
        <w:t> </w:t>
      </w:r>
      <w:r>
        <w:rPr>
          <w:sz w:val="24"/>
        </w:rPr>
        <w:t>recommendation</w:t>
      </w:r>
      <w:r>
        <w:rPr>
          <w:spacing w:val="-2"/>
          <w:sz w:val="24"/>
        </w:rPr>
        <w:t> </w:t>
      </w:r>
      <w:r>
        <w:rPr>
          <w:sz w:val="24"/>
        </w:rPr>
        <w:t>for</w:t>
      </w:r>
      <w:r>
        <w:rPr>
          <w:spacing w:val="-2"/>
          <w:sz w:val="24"/>
        </w:rPr>
        <w:t> </w:t>
      </w:r>
      <w:r>
        <w:rPr>
          <w:sz w:val="24"/>
        </w:rPr>
        <w:t>dismissal</w:t>
      </w:r>
      <w:r>
        <w:rPr>
          <w:spacing w:val="-3"/>
          <w:sz w:val="24"/>
        </w:rPr>
        <w:t> </w:t>
      </w:r>
      <w:r>
        <w:rPr>
          <w:sz w:val="24"/>
        </w:rPr>
        <w:t>or</w:t>
      </w:r>
      <w:r>
        <w:rPr>
          <w:spacing w:val="-2"/>
          <w:sz w:val="24"/>
        </w:rPr>
        <w:t> </w:t>
      </w:r>
      <w:r>
        <w:rPr>
          <w:sz w:val="24"/>
        </w:rPr>
        <w:t>nonreemployment,</w:t>
      </w:r>
      <w:r>
        <w:rPr>
          <w:spacing w:val="-4"/>
          <w:sz w:val="24"/>
        </w:rPr>
        <w:t> </w:t>
      </w:r>
      <w:r>
        <w:rPr>
          <w:sz w:val="24"/>
        </w:rPr>
        <w:t>the</w:t>
      </w:r>
      <w:r>
        <w:rPr>
          <w:spacing w:val="-3"/>
          <w:sz w:val="24"/>
        </w:rPr>
        <w:t> </w:t>
      </w:r>
      <w:r>
        <w:rPr>
          <w:sz w:val="24"/>
        </w:rPr>
        <w:t>facts</w:t>
      </w:r>
      <w:r>
        <w:rPr>
          <w:spacing w:val="-3"/>
          <w:sz w:val="24"/>
        </w:rPr>
        <w:t> </w:t>
      </w:r>
      <w:r>
        <w:rPr>
          <w:sz w:val="24"/>
        </w:rPr>
        <w:t>underlying the recommendation, and a statement of the legal authority and jurisdiction under which the hearing is to be held.</w:t>
      </w:r>
    </w:p>
    <w:p>
      <w:pPr>
        <w:pStyle w:val="ListParagraph"/>
        <w:numPr>
          <w:ilvl w:val="0"/>
          <w:numId w:val="338"/>
        </w:numPr>
        <w:tabs>
          <w:tab w:pos="785" w:val="left" w:leader="none"/>
        </w:tabs>
        <w:spacing w:line="208" w:lineRule="auto" w:before="239" w:after="0"/>
        <w:ind w:left="359" w:right="940" w:firstLine="0"/>
        <w:jc w:val="left"/>
        <w:rPr>
          <w:sz w:val="24"/>
        </w:rPr>
      </w:pPr>
      <w:r>
        <w:rPr>
          <w:sz w:val="24"/>
        </w:rPr>
        <w:t>The Director or the Director’s designee shall serve as the hearing officer.</w:t>
      </w:r>
      <w:r>
        <w:rPr>
          <w:spacing w:val="40"/>
          <w:sz w:val="24"/>
        </w:rPr>
        <w:t> </w:t>
      </w:r>
      <w:r>
        <w:rPr>
          <w:sz w:val="24"/>
        </w:rPr>
        <w:t>The hearing shall be an individual proceeding pursuant to the Oklahoma Administrative Procedures Act (70 O.S. § 250 et seq).</w:t>
      </w:r>
      <w:r>
        <w:rPr>
          <w:spacing w:val="40"/>
          <w:sz w:val="24"/>
        </w:rPr>
        <w:t> </w:t>
      </w:r>
      <w:r>
        <w:rPr>
          <w:sz w:val="24"/>
        </w:rPr>
        <w:t>Discovery may be conducted by the parties pursuant</w:t>
      </w:r>
      <w:r>
        <w:rPr>
          <w:spacing w:val="-3"/>
          <w:sz w:val="24"/>
        </w:rPr>
        <w:t> </w:t>
      </w:r>
      <w:r>
        <w:rPr>
          <w:sz w:val="24"/>
        </w:rPr>
        <w:t>to</w:t>
      </w:r>
      <w:r>
        <w:rPr>
          <w:spacing w:val="-4"/>
          <w:sz w:val="24"/>
        </w:rPr>
        <w:t> </w:t>
      </w:r>
      <w:r>
        <w:rPr>
          <w:sz w:val="24"/>
        </w:rPr>
        <w:t>the</w:t>
      </w:r>
      <w:r>
        <w:rPr>
          <w:spacing w:val="-4"/>
          <w:sz w:val="24"/>
        </w:rPr>
        <w:t> </w:t>
      </w:r>
      <w:r>
        <w:rPr>
          <w:sz w:val="24"/>
        </w:rPr>
        <w:t>Oklahoma</w:t>
      </w:r>
      <w:r>
        <w:rPr>
          <w:spacing w:val="-4"/>
          <w:sz w:val="24"/>
        </w:rPr>
        <w:t> </w:t>
      </w:r>
      <w:r>
        <w:rPr>
          <w:sz w:val="24"/>
        </w:rPr>
        <w:t>Administrative</w:t>
      </w:r>
      <w:r>
        <w:rPr>
          <w:spacing w:val="-4"/>
          <w:sz w:val="24"/>
        </w:rPr>
        <w:t> </w:t>
      </w:r>
      <w:r>
        <w:rPr>
          <w:sz w:val="24"/>
        </w:rPr>
        <w:t>Procedures</w:t>
      </w:r>
      <w:r>
        <w:rPr>
          <w:spacing w:val="-4"/>
          <w:sz w:val="24"/>
        </w:rPr>
        <w:t> </w:t>
      </w:r>
      <w:r>
        <w:rPr>
          <w:sz w:val="24"/>
        </w:rPr>
        <w:t>Act.</w:t>
      </w:r>
      <w:r>
        <w:rPr>
          <w:spacing w:val="40"/>
          <w:sz w:val="24"/>
        </w:rPr>
        <w:t> </w:t>
      </w:r>
      <w:r>
        <w:rPr>
          <w:sz w:val="24"/>
        </w:rPr>
        <w:t>The</w:t>
      </w:r>
      <w:r>
        <w:rPr>
          <w:spacing w:val="-4"/>
          <w:sz w:val="24"/>
        </w:rPr>
        <w:t> </w:t>
      </w:r>
      <w:r>
        <w:rPr>
          <w:sz w:val="24"/>
        </w:rPr>
        <w:t>hearing</w:t>
      </w:r>
      <w:r>
        <w:rPr>
          <w:spacing w:val="-4"/>
          <w:sz w:val="24"/>
        </w:rPr>
        <w:t> </w:t>
      </w:r>
      <w:r>
        <w:rPr>
          <w:sz w:val="24"/>
        </w:rPr>
        <w:t>officer</w:t>
      </w:r>
      <w:r>
        <w:rPr>
          <w:spacing w:val="-3"/>
          <w:sz w:val="24"/>
        </w:rPr>
        <w:t> </w:t>
      </w:r>
      <w:r>
        <w:rPr>
          <w:sz w:val="24"/>
        </w:rPr>
        <w:t>shall</w:t>
      </w:r>
      <w:r>
        <w:rPr>
          <w:spacing w:val="-4"/>
          <w:sz w:val="24"/>
        </w:rPr>
        <w:t> </w:t>
      </w:r>
      <w:r>
        <w:rPr>
          <w:sz w:val="24"/>
        </w:rPr>
        <w:t>be authorized to issue subpoenas pursuant to 75 O.S. § 315.</w:t>
      </w:r>
    </w:p>
    <w:p>
      <w:pPr>
        <w:pStyle w:val="ListParagraph"/>
        <w:numPr>
          <w:ilvl w:val="0"/>
          <w:numId w:val="338"/>
        </w:numPr>
        <w:tabs>
          <w:tab w:pos="785" w:val="left" w:leader="none"/>
        </w:tabs>
        <w:spacing w:line="208" w:lineRule="auto" w:before="239" w:after="0"/>
        <w:ind w:left="359" w:right="1192" w:firstLine="0"/>
        <w:jc w:val="left"/>
        <w:rPr>
          <w:sz w:val="24"/>
        </w:rPr>
      </w:pPr>
      <w:r>
        <w:rPr>
          <w:sz w:val="24"/>
        </w:rPr>
        <w:t>The</w:t>
      </w:r>
      <w:r>
        <w:rPr>
          <w:spacing w:val="-3"/>
          <w:sz w:val="24"/>
        </w:rPr>
        <w:t> </w:t>
      </w:r>
      <w:r>
        <w:rPr>
          <w:sz w:val="24"/>
        </w:rPr>
        <w:t>hearing</w:t>
      </w:r>
      <w:r>
        <w:rPr>
          <w:spacing w:val="-3"/>
          <w:sz w:val="24"/>
        </w:rPr>
        <w:t> </w:t>
      </w:r>
      <w:r>
        <w:rPr>
          <w:sz w:val="24"/>
        </w:rPr>
        <w:t>shall</w:t>
      </w:r>
      <w:r>
        <w:rPr>
          <w:spacing w:val="-3"/>
          <w:sz w:val="24"/>
        </w:rPr>
        <w:t> </w:t>
      </w:r>
      <w:r>
        <w:rPr>
          <w:sz w:val="24"/>
        </w:rPr>
        <w:t>be</w:t>
      </w:r>
      <w:r>
        <w:rPr>
          <w:spacing w:val="-3"/>
          <w:sz w:val="24"/>
        </w:rPr>
        <w:t> </w:t>
      </w:r>
      <w:r>
        <w:rPr>
          <w:sz w:val="24"/>
        </w:rPr>
        <w:t>tape-recorded</w:t>
      </w:r>
      <w:r>
        <w:rPr>
          <w:spacing w:val="-3"/>
          <w:sz w:val="24"/>
        </w:rPr>
        <w:t> </w:t>
      </w:r>
      <w:r>
        <w:rPr>
          <w:sz w:val="24"/>
        </w:rPr>
        <w:t>and</w:t>
      </w:r>
      <w:r>
        <w:rPr>
          <w:spacing w:val="-3"/>
          <w:sz w:val="24"/>
        </w:rPr>
        <w:t> </w:t>
      </w:r>
      <w:r>
        <w:rPr>
          <w:sz w:val="24"/>
        </w:rPr>
        <w:t>a</w:t>
      </w:r>
      <w:r>
        <w:rPr>
          <w:spacing w:val="-3"/>
          <w:sz w:val="24"/>
        </w:rPr>
        <w:t> </w:t>
      </w:r>
      <w:r>
        <w:rPr>
          <w:sz w:val="24"/>
        </w:rPr>
        <w:t>copy</w:t>
      </w:r>
      <w:r>
        <w:rPr>
          <w:spacing w:val="-3"/>
          <w:sz w:val="24"/>
        </w:rPr>
        <w:t> </w:t>
      </w:r>
      <w:r>
        <w:rPr>
          <w:sz w:val="24"/>
        </w:rPr>
        <w:t>of</w:t>
      </w:r>
      <w:r>
        <w:rPr>
          <w:spacing w:val="-2"/>
          <w:sz w:val="24"/>
        </w:rPr>
        <w:t> </w:t>
      </w:r>
      <w:r>
        <w:rPr>
          <w:sz w:val="24"/>
        </w:rPr>
        <w:t>the</w:t>
      </w:r>
      <w:r>
        <w:rPr>
          <w:spacing w:val="-3"/>
          <w:sz w:val="24"/>
        </w:rPr>
        <w:t> </w:t>
      </w:r>
      <w:r>
        <w:rPr>
          <w:sz w:val="24"/>
        </w:rPr>
        <w:t>tape</w:t>
      </w:r>
      <w:r>
        <w:rPr>
          <w:spacing w:val="-3"/>
          <w:sz w:val="24"/>
        </w:rPr>
        <w:t> </w:t>
      </w:r>
      <w:r>
        <w:rPr>
          <w:sz w:val="24"/>
        </w:rPr>
        <w:t>shall</w:t>
      </w:r>
      <w:r>
        <w:rPr>
          <w:spacing w:val="-3"/>
          <w:sz w:val="24"/>
        </w:rPr>
        <w:t> </w:t>
      </w:r>
      <w:r>
        <w:rPr>
          <w:sz w:val="24"/>
        </w:rPr>
        <w:t>be</w:t>
      </w:r>
      <w:r>
        <w:rPr>
          <w:spacing w:val="-3"/>
          <w:sz w:val="24"/>
        </w:rPr>
        <w:t> </w:t>
      </w:r>
      <w:r>
        <w:rPr>
          <w:sz w:val="24"/>
        </w:rPr>
        <w:t>provided</w:t>
      </w:r>
      <w:r>
        <w:rPr>
          <w:spacing w:val="-3"/>
          <w:sz w:val="24"/>
        </w:rPr>
        <w:t> </w:t>
      </w:r>
      <w:r>
        <w:rPr>
          <w:sz w:val="24"/>
        </w:rPr>
        <w:t>the administrator upon request.</w:t>
      </w:r>
    </w:p>
    <w:p>
      <w:pPr>
        <w:pStyle w:val="ListParagraph"/>
        <w:numPr>
          <w:ilvl w:val="0"/>
          <w:numId w:val="338"/>
        </w:numPr>
        <w:tabs>
          <w:tab w:pos="717" w:val="left" w:leader="none"/>
        </w:tabs>
        <w:spacing w:line="240" w:lineRule="auto" w:before="211" w:after="0"/>
        <w:ind w:left="717" w:right="0" w:hanging="358"/>
        <w:jc w:val="left"/>
        <w:rPr>
          <w:sz w:val="24"/>
        </w:rPr>
      </w:pPr>
      <w:r>
        <w:rPr>
          <w:sz w:val="24"/>
        </w:rPr>
        <w:t>If</w:t>
      </w:r>
      <w:r>
        <w:rPr>
          <w:spacing w:val="-4"/>
          <w:sz w:val="24"/>
        </w:rPr>
        <w:t> </w:t>
      </w:r>
      <w:r>
        <w:rPr>
          <w:sz w:val="24"/>
        </w:rPr>
        <w:t>the</w:t>
      </w:r>
      <w:r>
        <w:rPr>
          <w:spacing w:val="-2"/>
          <w:sz w:val="24"/>
        </w:rPr>
        <w:t> </w:t>
      </w:r>
      <w:r>
        <w:rPr>
          <w:sz w:val="24"/>
        </w:rPr>
        <w:t>hearing</w:t>
      </w:r>
      <w:r>
        <w:rPr>
          <w:spacing w:val="-3"/>
          <w:sz w:val="24"/>
        </w:rPr>
        <w:t> </w:t>
      </w:r>
      <w:r>
        <w:rPr>
          <w:sz w:val="24"/>
        </w:rPr>
        <w:t>officer</w:t>
      </w:r>
      <w:r>
        <w:rPr>
          <w:spacing w:val="-1"/>
          <w:sz w:val="24"/>
        </w:rPr>
        <w:t> </w:t>
      </w:r>
      <w:r>
        <w:rPr>
          <w:sz w:val="24"/>
        </w:rPr>
        <w:t>is</w:t>
      </w:r>
      <w:r>
        <w:rPr>
          <w:spacing w:val="-3"/>
          <w:sz w:val="24"/>
        </w:rPr>
        <w:t> </w:t>
      </w:r>
      <w:r>
        <w:rPr>
          <w:sz w:val="24"/>
        </w:rPr>
        <w:t>the</w:t>
      </w:r>
      <w:r>
        <w:rPr>
          <w:spacing w:val="-2"/>
          <w:sz w:val="24"/>
        </w:rPr>
        <w:t> </w:t>
      </w:r>
      <w:r>
        <w:rPr>
          <w:sz w:val="24"/>
        </w:rPr>
        <w:t>Director’s</w:t>
      </w:r>
      <w:r>
        <w:rPr>
          <w:spacing w:val="-2"/>
          <w:sz w:val="24"/>
        </w:rPr>
        <w:t> designee:</w:t>
      </w:r>
    </w:p>
    <w:p>
      <w:pPr>
        <w:pStyle w:val="ListParagraph"/>
        <w:numPr>
          <w:ilvl w:val="1"/>
          <w:numId w:val="338"/>
        </w:numPr>
        <w:tabs>
          <w:tab w:pos="1217" w:val="left" w:leader="none"/>
        </w:tabs>
        <w:spacing w:line="208" w:lineRule="auto" w:before="233" w:after="0"/>
        <w:ind w:left="791" w:right="758" w:firstLine="0"/>
        <w:jc w:val="left"/>
        <w:rPr>
          <w:sz w:val="24"/>
        </w:rPr>
      </w:pPr>
      <w:r>
        <w:rPr>
          <w:sz w:val="24"/>
        </w:rPr>
        <w:t>The hearing officer shall deliver to the Director a decision within three (3) workdays after the conclusion of the hearing.</w:t>
      </w:r>
      <w:r>
        <w:rPr>
          <w:spacing w:val="40"/>
          <w:sz w:val="24"/>
        </w:rPr>
        <w:t> </w:t>
      </w:r>
      <w:r>
        <w:rPr>
          <w:sz w:val="24"/>
        </w:rPr>
        <w:t>The decision shall include findings of fact</w:t>
      </w:r>
      <w:r>
        <w:rPr>
          <w:spacing w:val="-2"/>
          <w:sz w:val="24"/>
        </w:rPr>
        <w:t> </w:t>
      </w:r>
      <w:r>
        <w:rPr>
          <w:sz w:val="24"/>
        </w:rPr>
        <w:t>and</w:t>
      </w:r>
      <w:r>
        <w:rPr>
          <w:spacing w:val="-3"/>
          <w:sz w:val="24"/>
        </w:rPr>
        <w:t> </w:t>
      </w:r>
      <w:r>
        <w:rPr>
          <w:sz w:val="24"/>
        </w:rPr>
        <w:t>conclusions</w:t>
      </w:r>
      <w:r>
        <w:rPr>
          <w:spacing w:val="-3"/>
          <w:sz w:val="24"/>
        </w:rPr>
        <w:t> </w:t>
      </w:r>
      <w:r>
        <w:rPr>
          <w:sz w:val="24"/>
        </w:rPr>
        <w:t>of</w:t>
      </w:r>
      <w:r>
        <w:rPr>
          <w:spacing w:val="-2"/>
          <w:sz w:val="24"/>
        </w:rPr>
        <w:t> </w:t>
      </w:r>
      <w:r>
        <w:rPr>
          <w:sz w:val="24"/>
        </w:rPr>
        <w:t>law,</w:t>
      </w:r>
      <w:r>
        <w:rPr>
          <w:spacing w:val="-2"/>
          <w:sz w:val="24"/>
        </w:rPr>
        <w:t> </w:t>
      </w:r>
      <w:r>
        <w:rPr>
          <w:sz w:val="24"/>
        </w:rPr>
        <w:t>separately</w:t>
      </w:r>
      <w:r>
        <w:rPr>
          <w:spacing w:val="-3"/>
          <w:sz w:val="24"/>
        </w:rPr>
        <w:t> </w:t>
      </w:r>
      <w:r>
        <w:rPr>
          <w:sz w:val="24"/>
        </w:rPr>
        <w:t>stated.</w:t>
      </w:r>
      <w:r>
        <w:rPr>
          <w:spacing w:val="40"/>
          <w:sz w:val="24"/>
        </w:rPr>
        <w:t> </w:t>
      </w:r>
      <w:r>
        <w:rPr>
          <w:sz w:val="24"/>
        </w:rPr>
        <w:t>The</w:t>
      </w:r>
      <w:r>
        <w:rPr>
          <w:spacing w:val="-3"/>
          <w:sz w:val="24"/>
        </w:rPr>
        <w:t> </w:t>
      </w:r>
      <w:r>
        <w:rPr>
          <w:sz w:val="24"/>
        </w:rPr>
        <w:t>hearing</w:t>
      </w:r>
      <w:r>
        <w:rPr>
          <w:spacing w:val="-3"/>
          <w:sz w:val="24"/>
        </w:rPr>
        <w:t> </w:t>
      </w:r>
      <w:r>
        <w:rPr>
          <w:sz w:val="24"/>
        </w:rPr>
        <w:t>officer</w:t>
      </w:r>
      <w:r>
        <w:rPr>
          <w:spacing w:val="-2"/>
          <w:sz w:val="24"/>
        </w:rPr>
        <w:t> </w:t>
      </w:r>
      <w:r>
        <w:rPr>
          <w:sz w:val="24"/>
        </w:rPr>
        <w:t>shall</w:t>
      </w:r>
      <w:r>
        <w:rPr>
          <w:spacing w:val="-3"/>
          <w:sz w:val="24"/>
        </w:rPr>
        <w:t> </w:t>
      </w:r>
      <w:r>
        <w:rPr>
          <w:sz w:val="24"/>
        </w:rPr>
        <w:t>decide</w:t>
      </w:r>
      <w:r>
        <w:rPr>
          <w:spacing w:val="-2"/>
          <w:sz w:val="24"/>
        </w:rPr>
        <w:t> </w:t>
      </w:r>
      <w:r>
        <w:rPr>
          <w:sz w:val="24"/>
        </w:rPr>
        <w:t>by</w:t>
      </w:r>
      <w:r>
        <w:rPr>
          <w:spacing w:val="-3"/>
          <w:sz w:val="24"/>
        </w:rPr>
        <w:t> </w:t>
      </w:r>
      <w:r>
        <w:rPr>
          <w:sz w:val="24"/>
        </w:rPr>
        <w:t>a preponderance of the evidence whether reason(s) exist for the dismissal or nonreemployment of the administrator.</w:t>
      </w:r>
    </w:p>
    <w:p>
      <w:pPr>
        <w:pStyle w:val="ListParagraph"/>
        <w:numPr>
          <w:ilvl w:val="1"/>
          <w:numId w:val="338"/>
        </w:numPr>
        <w:tabs>
          <w:tab w:pos="1216" w:val="left" w:leader="none"/>
        </w:tabs>
        <w:spacing w:line="208" w:lineRule="auto" w:before="240" w:after="0"/>
        <w:ind w:left="791" w:right="776" w:firstLine="0"/>
        <w:jc w:val="left"/>
        <w:rPr>
          <w:sz w:val="24"/>
        </w:rPr>
      </w:pPr>
      <w:r>
        <w:rPr>
          <w:sz w:val="24"/>
        </w:rPr>
        <w:t>In</w:t>
      </w:r>
      <w:r>
        <w:rPr>
          <w:spacing w:val="-3"/>
          <w:sz w:val="24"/>
        </w:rPr>
        <w:t> </w:t>
      </w:r>
      <w:r>
        <w:rPr>
          <w:sz w:val="24"/>
        </w:rPr>
        <w:t>deciding</w:t>
      </w:r>
      <w:r>
        <w:rPr>
          <w:spacing w:val="-3"/>
          <w:sz w:val="24"/>
        </w:rPr>
        <w:t> </w:t>
      </w:r>
      <w:r>
        <w:rPr>
          <w:sz w:val="24"/>
        </w:rPr>
        <w:t>whether</w:t>
      </w:r>
      <w:r>
        <w:rPr>
          <w:spacing w:val="-2"/>
          <w:sz w:val="24"/>
        </w:rPr>
        <w:t> </w:t>
      </w:r>
      <w:r>
        <w:rPr>
          <w:sz w:val="24"/>
        </w:rPr>
        <w:t>to</w:t>
      </w:r>
      <w:r>
        <w:rPr>
          <w:spacing w:val="-3"/>
          <w:sz w:val="24"/>
        </w:rPr>
        <w:t> </w:t>
      </w:r>
      <w:r>
        <w:rPr>
          <w:sz w:val="24"/>
        </w:rPr>
        <w:t>dismiss</w:t>
      </w:r>
      <w:r>
        <w:rPr>
          <w:spacing w:val="-3"/>
          <w:sz w:val="24"/>
        </w:rPr>
        <w:t> </w:t>
      </w:r>
      <w:r>
        <w:rPr>
          <w:sz w:val="24"/>
        </w:rPr>
        <w:t>or</w:t>
      </w:r>
      <w:r>
        <w:rPr>
          <w:spacing w:val="-2"/>
          <w:sz w:val="24"/>
        </w:rPr>
        <w:t> </w:t>
      </w:r>
      <w:r>
        <w:rPr>
          <w:sz w:val="24"/>
        </w:rPr>
        <w:t>to</w:t>
      </w:r>
      <w:r>
        <w:rPr>
          <w:spacing w:val="-4"/>
          <w:sz w:val="24"/>
        </w:rPr>
        <w:t> </w:t>
      </w:r>
      <w:r>
        <w:rPr>
          <w:sz w:val="24"/>
        </w:rPr>
        <w:t>not</w:t>
      </w:r>
      <w:r>
        <w:rPr>
          <w:spacing w:val="-4"/>
          <w:sz w:val="24"/>
        </w:rPr>
        <w:t> </w:t>
      </w:r>
      <w:r>
        <w:rPr>
          <w:sz w:val="24"/>
        </w:rPr>
        <w:t>reemploy</w:t>
      </w:r>
      <w:r>
        <w:rPr>
          <w:spacing w:val="-3"/>
          <w:sz w:val="24"/>
        </w:rPr>
        <w:t> </w:t>
      </w:r>
      <w:r>
        <w:rPr>
          <w:sz w:val="24"/>
        </w:rPr>
        <w:t>the</w:t>
      </w:r>
      <w:r>
        <w:rPr>
          <w:spacing w:val="-3"/>
          <w:sz w:val="24"/>
        </w:rPr>
        <w:t> </w:t>
      </w:r>
      <w:r>
        <w:rPr>
          <w:sz w:val="24"/>
        </w:rPr>
        <w:t>administrator,</w:t>
      </w:r>
      <w:r>
        <w:rPr>
          <w:spacing w:val="-4"/>
          <w:sz w:val="24"/>
        </w:rPr>
        <w:t> </w:t>
      </w:r>
      <w:r>
        <w:rPr>
          <w:sz w:val="24"/>
        </w:rPr>
        <w:t>the</w:t>
      </w:r>
      <w:r>
        <w:rPr>
          <w:spacing w:val="-3"/>
          <w:sz w:val="24"/>
        </w:rPr>
        <w:t> </w:t>
      </w:r>
      <w:r>
        <w:rPr>
          <w:sz w:val="24"/>
        </w:rPr>
        <w:t>Director shall take the hearing officer’s decision into consideration and shall independently review the record of the case.</w:t>
      </w:r>
      <w:r>
        <w:rPr>
          <w:spacing w:val="40"/>
          <w:sz w:val="24"/>
        </w:rPr>
        <w:t> </w:t>
      </w:r>
      <w:r>
        <w:rPr>
          <w:sz w:val="24"/>
        </w:rPr>
        <w:t>The Director shall issue a final agency order regarding the dismissal or nonreemployment of the administrator within five (5) workdays after the date of the hearing officer’s decision.</w:t>
      </w:r>
      <w:r>
        <w:rPr>
          <w:spacing w:val="80"/>
          <w:sz w:val="24"/>
        </w:rPr>
        <w:t> </w:t>
      </w:r>
      <w:r>
        <w:rPr>
          <w:sz w:val="24"/>
        </w:rPr>
        <w:t>The Director shall notify the administrator of the order by certified mail, return receipt requested, or by substitute process as provided for by law.</w:t>
      </w:r>
      <w:r>
        <w:rPr>
          <w:spacing w:val="40"/>
          <w:sz w:val="24"/>
        </w:rPr>
        <w:t> </w:t>
      </w:r>
      <w:r>
        <w:rPr>
          <w:sz w:val="24"/>
        </w:rPr>
        <w:t>The order shall include findings of fact and conclusions of law separately stated.</w:t>
      </w:r>
    </w:p>
    <w:p>
      <w:pPr>
        <w:pStyle w:val="ListParagraph"/>
        <w:numPr>
          <w:ilvl w:val="0"/>
          <w:numId w:val="338"/>
        </w:numPr>
        <w:tabs>
          <w:tab w:pos="784" w:val="left" w:leader="none"/>
        </w:tabs>
        <w:spacing w:line="208" w:lineRule="auto" w:before="239" w:after="0"/>
        <w:ind w:left="359" w:right="1023" w:firstLine="0"/>
        <w:jc w:val="left"/>
        <w:rPr>
          <w:sz w:val="24"/>
        </w:rPr>
      </w:pPr>
      <w:r>
        <w:rPr>
          <w:sz w:val="24"/>
        </w:rPr>
        <w:t>If</w:t>
      </w:r>
      <w:r>
        <w:rPr>
          <w:spacing w:val="-4"/>
          <w:sz w:val="24"/>
        </w:rPr>
        <w:t> </w:t>
      </w:r>
      <w:r>
        <w:rPr>
          <w:sz w:val="24"/>
        </w:rPr>
        <w:t>the</w:t>
      </w:r>
      <w:r>
        <w:rPr>
          <w:spacing w:val="-3"/>
          <w:sz w:val="24"/>
        </w:rPr>
        <w:t> </w:t>
      </w:r>
      <w:r>
        <w:rPr>
          <w:sz w:val="24"/>
        </w:rPr>
        <w:t>Director</w:t>
      </w:r>
      <w:r>
        <w:rPr>
          <w:spacing w:val="-2"/>
          <w:sz w:val="24"/>
        </w:rPr>
        <w:t> </w:t>
      </w:r>
      <w:r>
        <w:rPr>
          <w:sz w:val="24"/>
        </w:rPr>
        <w:t>serves</w:t>
      </w:r>
      <w:r>
        <w:rPr>
          <w:spacing w:val="-3"/>
          <w:sz w:val="24"/>
        </w:rPr>
        <w:t> </w:t>
      </w:r>
      <w:r>
        <w:rPr>
          <w:sz w:val="24"/>
        </w:rPr>
        <w:t>as</w:t>
      </w:r>
      <w:r>
        <w:rPr>
          <w:spacing w:val="-3"/>
          <w:sz w:val="24"/>
        </w:rPr>
        <w:t> </w:t>
      </w:r>
      <w:r>
        <w:rPr>
          <w:sz w:val="24"/>
        </w:rPr>
        <w:t>the</w:t>
      </w:r>
      <w:r>
        <w:rPr>
          <w:spacing w:val="-3"/>
          <w:sz w:val="24"/>
        </w:rPr>
        <w:t> </w:t>
      </w:r>
      <w:r>
        <w:rPr>
          <w:sz w:val="24"/>
        </w:rPr>
        <w:t>hearing</w:t>
      </w:r>
      <w:r>
        <w:rPr>
          <w:spacing w:val="-3"/>
          <w:sz w:val="24"/>
        </w:rPr>
        <w:t> </w:t>
      </w:r>
      <w:r>
        <w:rPr>
          <w:sz w:val="24"/>
        </w:rPr>
        <w:t>officer,</w:t>
      </w:r>
      <w:r>
        <w:rPr>
          <w:spacing w:val="-2"/>
          <w:sz w:val="24"/>
        </w:rPr>
        <w:t> </w:t>
      </w:r>
      <w:r>
        <w:rPr>
          <w:sz w:val="24"/>
        </w:rPr>
        <w:t>the</w:t>
      </w:r>
      <w:r>
        <w:rPr>
          <w:spacing w:val="-3"/>
          <w:sz w:val="24"/>
        </w:rPr>
        <w:t> </w:t>
      </w:r>
      <w:r>
        <w:rPr>
          <w:sz w:val="24"/>
        </w:rPr>
        <w:t>Director</w:t>
      </w:r>
      <w:r>
        <w:rPr>
          <w:spacing w:val="-2"/>
          <w:sz w:val="24"/>
        </w:rPr>
        <w:t> </w:t>
      </w:r>
      <w:r>
        <w:rPr>
          <w:sz w:val="24"/>
        </w:rPr>
        <w:t>shall</w:t>
      </w:r>
      <w:r>
        <w:rPr>
          <w:spacing w:val="-3"/>
          <w:sz w:val="24"/>
        </w:rPr>
        <w:t> </w:t>
      </w:r>
      <w:r>
        <w:rPr>
          <w:sz w:val="24"/>
        </w:rPr>
        <w:t>issue</w:t>
      </w:r>
      <w:r>
        <w:rPr>
          <w:spacing w:val="-3"/>
          <w:sz w:val="24"/>
        </w:rPr>
        <w:t> </w:t>
      </w:r>
      <w:r>
        <w:rPr>
          <w:sz w:val="24"/>
        </w:rPr>
        <w:t>a</w:t>
      </w:r>
      <w:r>
        <w:rPr>
          <w:spacing w:val="-3"/>
          <w:sz w:val="24"/>
        </w:rPr>
        <w:t> </w:t>
      </w:r>
      <w:r>
        <w:rPr>
          <w:sz w:val="24"/>
        </w:rPr>
        <w:t>final</w:t>
      </w:r>
      <w:r>
        <w:rPr>
          <w:spacing w:val="-3"/>
          <w:sz w:val="24"/>
        </w:rPr>
        <w:t> </w:t>
      </w:r>
      <w:r>
        <w:rPr>
          <w:sz w:val="24"/>
        </w:rPr>
        <w:t>agency order regarding the dismissal or nonreemployment of the administrator within five (5) workdays following the conclusion of the hearing.</w:t>
      </w:r>
      <w:r>
        <w:rPr>
          <w:spacing w:val="40"/>
          <w:sz w:val="24"/>
        </w:rPr>
        <w:t> </w:t>
      </w:r>
      <w:r>
        <w:rPr>
          <w:sz w:val="24"/>
        </w:rPr>
        <w:t>The Director shall notify the administrator of the order by certified mail, return receipt requested, or by substitute</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right="775"/>
      </w:pPr>
      <w:r>
        <w:rPr/>
        <w:t>process</w:t>
      </w:r>
      <w:r>
        <w:rPr>
          <w:spacing w:val="-3"/>
        </w:rPr>
        <w:t> </w:t>
      </w:r>
      <w:r>
        <w:rPr/>
        <w:t>as</w:t>
      </w:r>
      <w:r>
        <w:rPr>
          <w:spacing w:val="-3"/>
        </w:rPr>
        <w:t> </w:t>
      </w:r>
      <w:r>
        <w:rPr/>
        <w:t>provided</w:t>
      </w:r>
      <w:r>
        <w:rPr>
          <w:spacing w:val="-3"/>
        </w:rPr>
        <w:t> </w:t>
      </w:r>
      <w:r>
        <w:rPr/>
        <w:t>for</w:t>
      </w:r>
      <w:r>
        <w:rPr>
          <w:spacing w:val="-2"/>
        </w:rPr>
        <w:t> </w:t>
      </w:r>
      <w:r>
        <w:rPr/>
        <w:t>by</w:t>
      </w:r>
      <w:r>
        <w:rPr>
          <w:spacing w:val="-3"/>
        </w:rPr>
        <w:t> </w:t>
      </w:r>
      <w:r>
        <w:rPr/>
        <w:t>law.</w:t>
      </w:r>
      <w:r>
        <w:rPr>
          <w:spacing w:val="40"/>
        </w:rPr>
        <w:t> </w:t>
      </w:r>
      <w:r>
        <w:rPr/>
        <w:t>The</w:t>
      </w:r>
      <w:r>
        <w:rPr>
          <w:spacing w:val="-3"/>
        </w:rPr>
        <w:t> </w:t>
      </w:r>
      <w:r>
        <w:rPr/>
        <w:t>order</w:t>
      </w:r>
      <w:r>
        <w:rPr>
          <w:spacing w:val="-2"/>
        </w:rPr>
        <w:t> </w:t>
      </w:r>
      <w:r>
        <w:rPr/>
        <w:t>shall</w:t>
      </w:r>
      <w:r>
        <w:rPr>
          <w:spacing w:val="-3"/>
        </w:rPr>
        <w:t> </w:t>
      </w:r>
      <w:r>
        <w:rPr/>
        <w:t>include</w:t>
      </w:r>
      <w:r>
        <w:rPr>
          <w:spacing w:val="-3"/>
        </w:rPr>
        <w:t> </w:t>
      </w:r>
      <w:r>
        <w:rPr/>
        <w:t>findings</w:t>
      </w:r>
      <w:r>
        <w:rPr>
          <w:spacing w:val="-3"/>
        </w:rPr>
        <w:t> </w:t>
      </w:r>
      <w:r>
        <w:rPr/>
        <w:t>of</w:t>
      </w:r>
      <w:r>
        <w:rPr>
          <w:spacing w:val="-2"/>
        </w:rPr>
        <w:t> </w:t>
      </w:r>
      <w:r>
        <w:rPr/>
        <w:t>fact</w:t>
      </w:r>
      <w:r>
        <w:rPr>
          <w:spacing w:val="-2"/>
        </w:rPr>
        <w:t> </w:t>
      </w:r>
      <w:r>
        <w:rPr/>
        <w:t>and</w:t>
      </w:r>
      <w:r>
        <w:rPr>
          <w:spacing w:val="-3"/>
        </w:rPr>
        <w:t> </w:t>
      </w:r>
      <w:r>
        <w:rPr/>
        <w:t>conclusions of law separately stated.</w:t>
      </w:r>
    </w:p>
    <w:p>
      <w:pPr>
        <w:pStyle w:val="ListParagraph"/>
        <w:numPr>
          <w:ilvl w:val="0"/>
          <w:numId w:val="338"/>
        </w:numPr>
        <w:tabs>
          <w:tab w:pos="786" w:val="left" w:leader="none"/>
        </w:tabs>
        <w:spacing w:line="208" w:lineRule="auto" w:before="240" w:after="0"/>
        <w:ind w:left="360" w:right="1046" w:firstLine="0"/>
        <w:jc w:val="left"/>
        <w:rPr>
          <w:sz w:val="24"/>
        </w:rPr>
      </w:pPr>
      <w:r>
        <w:rPr>
          <w:sz w:val="24"/>
        </w:rPr>
        <w:t>The</w:t>
      </w:r>
      <w:r>
        <w:rPr>
          <w:spacing w:val="-4"/>
          <w:sz w:val="24"/>
        </w:rPr>
        <w:t> </w:t>
      </w:r>
      <w:r>
        <w:rPr>
          <w:sz w:val="24"/>
        </w:rPr>
        <w:t>administrator</w:t>
      </w:r>
      <w:r>
        <w:rPr>
          <w:spacing w:val="-5"/>
          <w:sz w:val="24"/>
        </w:rPr>
        <w:t> </w:t>
      </w:r>
      <w:r>
        <w:rPr>
          <w:sz w:val="24"/>
        </w:rPr>
        <w:t>may</w:t>
      </w:r>
      <w:r>
        <w:rPr>
          <w:spacing w:val="-4"/>
          <w:sz w:val="24"/>
        </w:rPr>
        <w:t> </w:t>
      </w:r>
      <w:r>
        <w:rPr>
          <w:sz w:val="24"/>
        </w:rPr>
        <w:t>seek</w:t>
      </w:r>
      <w:r>
        <w:rPr>
          <w:spacing w:val="-4"/>
          <w:sz w:val="24"/>
        </w:rPr>
        <w:t> </w:t>
      </w:r>
      <w:r>
        <w:rPr>
          <w:sz w:val="24"/>
        </w:rPr>
        <w:t>a</w:t>
      </w:r>
      <w:r>
        <w:rPr>
          <w:spacing w:val="-4"/>
          <w:sz w:val="24"/>
        </w:rPr>
        <w:t> </w:t>
      </w:r>
      <w:r>
        <w:rPr>
          <w:sz w:val="24"/>
        </w:rPr>
        <w:t>rehearing,</w:t>
      </w:r>
      <w:r>
        <w:rPr>
          <w:spacing w:val="-3"/>
          <w:sz w:val="24"/>
        </w:rPr>
        <w:t> </w:t>
      </w:r>
      <w:r>
        <w:rPr>
          <w:sz w:val="24"/>
        </w:rPr>
        <w:t>reopening</w:t>
      </w:r>
      <w:r>
        <w:rPr>
          <w:spacing w:val="-4"/>
          <w:sz w:val="24"/>
        </w:rPr>
        <w:t> </w:t>
      </w:r>
      <w:r>
        <w:rPr>
          <w:sz w:val="24"/>
        </w:rPr>
        <w:t>or</w:t>
      </w:r>
      <w:r>
        <w:rPr>
          <w:spacing w:val="-3"/>
          <w:sz w:val="24"/>
        </w:rPr>
        <w:t> </w:t>
      </w:r>
      <w:r>
        <w:rPr>
          <w:sz w:val="24"/>
        </w:rPr>
        <w:t>reconsideration</w:t>
      </w:r>
      <w:r>
        <w:rPr>
          <w:spacing w:val="-4"/>
          <w:sz w:val="24"/>
        </w:rPr>
        <w:t> </w:t>
      </w:r>
      <w:r>
        <w:rPr>
          <w:sz w:val="24"/>
        </w:rPr>
        <w:t>of</w:t>
      </w:r>
      <w:r>
        <w:rPr>
          <w:spacing w:val="-3"/>
          <w:sz w:val="24"/>
        </w:rPr>
        <w:t> </w:t>
      </w:r>
      <w:r>
        <w:rPr>
          <w:sz w:val="24"/>
        </w:rPr>
        <w:t>the</w:t>
      </w:r>
      <w:r>
        <w:rPr>
          <w:spacing w:val="-4"/>
          <w:sz w:val="24"/>
        </w:rPr>
        <w:t> </w:t>
      </w:r>
      <w:r>
        <w:rPr>
          <w:sz w:val="24"/>
        </w:rPr>
        <w:t>final order pursuant to the Oklahoma Administrative Procedures Act at 75 O.S. § 317.</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7-1-</w:t>
      </w:r>
      <w:r>
        <w:rPr>
          <w:spacing w:val="-5"/>
          <w:sz w:val="22"/>
        </w:rPr>
        <w:t>02</w:t>
      </w:r>
      <w:r>
        <w:rPr>
          <w:sz w:val="22"/>
        </w:rPr>
        <w:tab/>
        <w:t>PT</w:t>
      </w:r>
      <w:r>
        <w:rPr>
          <w:spacing w:val="-8"/>
          <w:sz w:val="22"/>
        </w:rPr>
        <w:t> </w:t>
      </w:r>
      <w:r>
        <w:rPr>
          <w:sz w:val="22"/>
        </w:rPr>
        <w:t>Memo</w:t>
      </w:r>
      <w:r>
        <w:rPr>
          <w:spacing w:val="-7"/>
          <w:sz w:val="22"/>
        </w:rPr>
        <w:t> </w:t>
      </w:r>
      <w:r>
        <w:rPr>
          <w:sz w:val="22"/>
        </w:rPr>
        <w:t>#02-</w:t>
      </w:r>
      <w:r>
        <w:rPr>
          <w:spacing w:val="-5"/>
          <w:sz w:val="22"/>
        </w:rPr>
        <w:t>02</w:t>
      </w:r>
    </w:p>
    <w:p>
      <w:pPr>
        <w:tabs>
          <w:tab w:pos="1439" w:val="left" w:leader="none"/>
        </w:tabs>
        <w:spacing w:before="0"/>
        <w:ind w:left="359" w:right="7299" w:firstLine="1080"/>
        <w:jc w:val="left"/>
        <w:rPr>
          <w:sz w:val="22"/>
        </w:rPr>
      </w:pPr>
      <w:r>
        <w:rPr>
          <w:sz w:val="22"/>
        </w:rPr>
        <w:t>Permanent, New </w:t>
      </w:r>
      <w:r>
        <w:rPr>
          <w:spacing w:val="-2"/>
          <w:sz w:val="22"/>
        </w:rPr>
        <w:t>7-1-</w:t>
      </w:r>
      <w:r>
        <w:rPr>
          <w:spacing w:val="-5"/>
          <w:sz w:val="22"/>
        </w:rPr>
        <w:t>03</w:t>
      </w:r>
      <w:r>
        <w:rPr>
          <w:sz w:val="22"/>
        </w:rPr>
        <w:tab/>
        <w:t>PT</w:t>
      </w:r>
      <w:r>
        <w:rPr>
          <w:spacing w:val="-8"/>
          <w:sz w:val="22"/>
        </w:rPr>
        <w:t> </w:t>
      </w:r>
      <w:r>
        <w:rPr>
          <w:sz w:val="22"/>
        </w:rPr>
        <w:t>Memo</w:t>
      </w:r>
      <w:r>
        <w:rPr>
          <w:spacing w:val="-8"/>
          <w:sz w:val="22"/>
        </w:rPr>
        <w:t> </w:t>
      </w:r>
      <w:r>
        <w:rPr>
          <w:sz w:val="22"/>
        </w:rPr>
        <w:t>#03-</w:t>
      </w:r>
      <w:r>
        <w:rPr>
          <w:spacing w:val="-5"/>
          <w:sz w:val="22"/>
        </w:rPr>
        <w:t>07</w:t>
      </w:r>
    </w:p>
    <w:p>
      <w:pPr>
        <w:tabs>
          <w:tab w:pos="1439" w:val="left" w:leader="none"/>
        </w:tabs>
        <w:spacing w:before="0"/>
        <w:ind w:left="359" w:right="5573" w:firstLine="1080"/>
        <w:jc w:val="left"/>
        <w:rPr>
          <w:sz w:val="22"/>
        </w:rPr>
      </w:pPr>
      <w:r>
        <w:rPr>
          <w:sz w:val="22"/>
        </w:rPr>
        <w:t>Permanent,</w:t>
      </w:r>
      <w:r>
        <w:rPr>
          <w:spacing w:val="-16"/>
          <w:sz w:val="22"/>
        </w:rPr>
        <w:t> </w:t>
      </w:r>
      <w:r>
        <w:rPr>
          <w:sz w:val="22"/>
        </w:rPr>
        <w:t>grammatical</w:t>
      </w:r>
      <w:r>
        <w:rPr>
          <w:spacing w:val="-15"/>
          <w:sz w:val="22"/>
        </w:rPr>
        <w:t> </w:t>
      </w:r>
      <w:r>
        <w:rPr>
          <w:sz w:val="22"/>
        </w:rPr>
        <w:t>correction </w:t>
      </w:r>
      <w:r>
        <w:rPr>
          <w:spacing w:val="-2"/>
          <w:sz w:val="22"/>
        </w:rPr>
        <w:t>7-1-04</w:t>
      </w:r>
      <w:r>
        <w:rPr>
          <w:sz w:val="22"/>
        </w:rPr>
        <w:tab/>
        <w:t>PT Memo #05-01</w:t>
      </w:r>
    </w:p>
    <w:p>
      <w:pPr>
        <w:tabs>
          <w:tab w:pos="1439" w:val="left" w:leader="none"/>
        </w:tabs>
        <w:spacing w:before="0"/>
        <w:ind w:left="359" w:right="5194" w:firstLine="1080"/>
        <w:jc w:val="left"/>
        <w:rPr>
          <w:sz w:val="22"/>
        </w:rPr>
      </w:pPr>
      <w:r>
        <w:rPr>
          <w:sz w:val="22"/>
        </w:rPr>
        <w:t>Permanent,</w:t>
      </w:r>
      <w:r>
        <w:rPr>
          <w:spacing w:val="-6"/>
          <w:sz w:val="22"/>
        </w:rPr>
        <w:t> </w:t>
      </w:r>
      <w:r>
        <w:rPr>
          <w:sz w:val="22"/>
        </w:rPr>
        <w:t>added</w:t>
      </w:r>
      <w:r>
        <w:rPr>
          <w:spacing w:val="-7"/>
          <w:sz w:val="22"/>
        </w:rPr>
        <w:t> </w:t>
      </w:r>
      <w:r>
        <w:rPr>
          <w:sz w:val="22"/>
        </w:rPr>
        <w:t>right</w:t>
      </w:r>
      <w:r>
        <w:rPr>
          <w:spacing w:val="-7"/>
          <w:sz w:val="22"/>
        </w:rPr>
        <w:t> </w:t>
      </w:r>
      <w:r>
        <w:rPr>
          <w:sz w:val="22"/>
        </w:rPr>
        <w:t>to</w:t>
      </w:r>
      <w:r>
        <w:rPr>
          <w:spacing w:val="-7"/>
          <w:sz w:val="22"/>
        </w:rPr>
        <w:t> </w:t>
      </w:r>
      <w:r>
        <w:rPr>
          <w:sz w:val="22"/>
        </w:rPr>
        <w:t>trial</w:t>
      </w:r>
      <w:r>
        <w:rPr>
          <w:spacing w:val="-7"/>
          <w:sz w:val="22"/>
        </w:rPr>
        <w:t> </w:t>
      </w:r>
      <w:r>
        <w:rPr>
          <w:sz w:val="22"/>
        </w:rPr>
        <w:t>de</w:t>
      </w:r>
      <w:r>
        <w:rPr>
          <w:spacing w:val="-7"/>
          <w:sz w:val="22"/>
        </w:rPr>
        <w:t> </w:t>
      </w:r>
      <w:r>
        <w:rPr>
          <w:sz w:val="22"/>
        </w:rPr>
        <w:t>novo </w:t>
      </w:r>
      <w:r>
        <w:rPr>
          <w:spacing w:val="-2"/>
          <w:sz w:val="22"/>
        </w:rPr>
        <w:t>7-1-10</w:t>
      </w:r>
      <w:r>
        <w:rPr>
          <w:sz w:val="22"/>
        </w:rPr>
        <w:tab/>
        <w:t>PT Memo #10-02</w:t>
      </w:r>
    </w:p>
    <w:p>
      <w:pPr>
        <w:tabs>
          <w:tab w:pos="1439" w:val="left" w:leader="none"/>
        </w:tabs>
        <w:spacing w:before="0"/>
        <w:ind w:left="359" w:right="3787" w:firstLine="1080"/>
        <w:jc w:val="left"/>
        <w:rPr>
          <w:sz w:val="22"/>
        </w:rPr>
      </w:pPr>
      <w:r>
        <w:rPr>
          <w:sz w:val="22"/>
        </w:rPr>
        <w:t>Permanent,</w:t>
      </w:r>
      <w:r>
        <w:rPr>
          <w:spacing w:val="-5"/>
          <w:sz w:val="22"/>
        </w:rPr>
        <w:t> </w:t>
      </w:r>
      <w:r>
        <w:rPr>
          <w:sz w:val="22"/>
        </w:rPr>
        <w:t>changed</w:t>
      </w:r>
      <w:r>
        <w:rPr>
          <w:spacing w:val="-6"/>
          <w:sz w:val="22"/>
        </w:rPr>
        <w:t> </w:t>
      </w:r>
      <w:r>
        <w:rPr>
          <w:sz w:val="22"/>
        </w:rPr>
        <w:t>Deputy</w:t>
      </w:r>
      <w:r>
        <w:rPr>
          <w:spacing w:val="-6"/>
          <w:sz w:val="22"/>
        </w:rPr>
        <w:t> </w:t>
      </w:r>
      <w:r>
        <w:rPr>
          <w:sz w:val="22"/>
        </w:rPr>
        <w:t>Director</w:t>
      </w:r>
      <w:r>
        <w:rPr>
          <w:spacing w:val="-6"/>
          <w:sz w:val="22"/>
        </w:rPr>
        <w:t> </w:t>
      </w:r>
      <w:r>
        <w:rPr>
          <w:sz w:val="22"/>
        </w:rPr>
        <w:t>to</w:t>
      </w:r>
      <w:r>
        <w:rPr>
          <w:spacing w:val="-6"/>
          <w:sz w:val="22"/>
        </w:rPr>
        <w:t> </w:t>
      </w:r>
      <w:r>
        <w:rPr>
          <w:sz w:val="22"/>
        </w:rPr>
        <w:t>Chief</w:t>
      </w:r>
      <w:r>
        <w:rPr>
          <w:spacing w:val="-6"/>
          <w:sz w:val="22"/>
        </w:rPr>
        <w:t> </w:t>
      </w:r>
      <w:r>
        <w:rPr>
          <w:sz w:val="22"/>
        </w:rPr>
        <w:t>of</w:t>
      </w:r>
      <w:r>
        <w:rPr>
          <w:spacing w:val="-6"/>
          <w:sz w:val="22"/>
        </w:rPr>
        <w:t> </w:t>
      </w:r>
      <w:r>
        <w:rPr>
          <w:sz w:val="22"/>
        </w:rPr>
        <w:t>Staff </w:t>
      </w:r>
      <w:r>
        <w:rPr>
          <w:spacing w:val="-2"/>
          <w:sz w:val="22"/>
        </w:rPr>
        <w:t>7-1-12</w:t>
      </w:r>
      <w:r>
        <w:rPr>
          <w:sz w:val="22"/>
        </w:rPr>
        <w:tab/>
        <w:t>Permanent, removed right to trial de novo</w:t>
      </w:r>
    </w:p>
    <w:p>
      <w:pPr>
        <w:spacing w:after="0"/>
        <w:jc w:val="left"/>
        <w:rPr>
          <w:sz w:val="22"/>
        </w:rPr>
        <w:sectPr>
          <w:pgSz w:w="12240" w:h="15840"/>
          <w:pgMar w:top="1340" w:bottom="280" w:left="1080" w:right="720"/>
        </w:sectPr>
      </w:pPr>
    </w:p>
    <w:p>
      <w:pPr>
        <w:pStyle w:val="Heading2"/>
      </w:pPr>
      <w:bookmarkStart w:name="612:20-2-31.  Reduction in Force for Con" w:id="337"/>
      <w:bookmarkEnd w:id="337"/>
      <w:r>
        <w:rPr>
          <w:b w:val="0"/>
        </w:rPr>
      </w:r>
      <w:r>
        <w:rPr/>
        <w:t>612:20-2-31.</w:t>
      </w:r>
      <w:r>
        <w:rPr>
          <w:spacing w:val="56"/>
        </w:rPr>
        <w:t> </w:t>
      </w:r>
      <w:r>
        <w:rPr/>
        <w:t>Reduction</w:t>
      </w:r>
      <w:r>
        <w:rPr>
          <w:spacing w:val="-4"/>
        </w:rPr>
        <w:t> </w:t>
      </w:r>
      <w:r>
        <w:rPr/>
        <w:t>in</w:t>
      </w:r>
      <w:r>
        <w:rPr>
          <w:spacing w:val="-4"/>
        </w:rPr>
        <w:t> </w:t>
      </w:r>
      <w:r>
        <w:rPr/>
        <w:t>Force</w:t>
      </w:r>
      <w:r>
        <w:rPr>
          <w:spacing w:val="-5"/>
        </w:rPr>
        <w:t> </w:t>
      </w:r>
      <w:r>
        <w:rPr/>
        <w:t>for</w:t>
      </w:r>
      <w:r>
        <w:rPr>
          <w:spacing w:val="-4"/>
        </w:rPr>
        <w:t> </w:t>
      </w:r>
      <w:r>
        <w:rPr/>
        <w:t>Contracted</w:t>
      </w:r>
      <w:r>
        <w:rPr>
          <w:spacing w:val="-4"/>
        </w:rPr>
        <w:t> </w:t>
      </w:r>
      <w:r>
        <w:rPr/>
        <w:t>Instructional</w:t>
      </w:r>
      <w:r>
        <w:rPr>
          <w:spacing w:val="-3"/>
        </w:rPr>
        <w:t> </w:t>
      </w:r>
      <w:r>
        <w:rPr>
          <w:spacing w:val="-2"/>
        </w:rPr>
        <w:t>Personnel</w:t>
      </w:r>
    </w:p>
    <w:p>
      <w:pPr>
        <w:pStyle w:val="ListParagraph"/>
        <w:numPr>
          <w:ilvl w:val="0"/>
          <w:numId w:val="339"/>
        </w:numPr>
        <w:tabs>
          <w:tab w:pos="785" w:val="left" w:leader="none"/>
        </w:tabs>
        <w:spacing w:line="208" w:lineRule="auto" w:before="233" w:after="0"/>
        <w:ind w:left="359" w:right="938" w:firstLine="0"/>
        <w:jc w:val="left"/>
        <w:rPr>
          <w:sz w:val="24"/>
        </w:rPr>
      </w:pPr>
      <w:r>
        <w:rPr>
          <w:b/>
          <w:sz w:val="24"/>
        </w:rPr>
        <w:t>Declining Enrollment.</w:t>
      </w:r>
      <w:r>
        <w:rPr>
          <w:b/>
          <w:spacing w:val="40"/>
          <w:sz w:val="24"/>
        </w:rPr>
        <w:t> </w:t>
      </w:r>
      <w:r>
        <w:rPr>
          <w:sz w:val="24"/>
        </w:rPr>
        <w:t>If</w:t>
      </w:r>
      <w:r>
        <w:rPr>
          <w:spacing w:val="-1"/>
          <w:sz w:val="24"/>
        </w:rPr>
        <w:t> </w:t>
      </w:r>
      <w:r>
        <w:rPr>
          <w:sz w:val="24"/>
        </w:rPr>
        <w:t>declining student enrollment in a given program area or serious</w:t>
      </w:r>
      <w:r>
        <w:rPr>
          <w:spacing w:val="-4"/>
          <w:sz w:val="24"/>
        </w:rPr>
        <w:t> </w:t>
      </w:r>
      <w:r>
        <w:rPr>
          <w:sz w:val="24"/>
        </w:rPr>
        <w:t>financial</w:t>
      </w:r>
      <w:r>
        <w:rPr>
          <w:spacing w:val="-4"/>
          <w:sz w:val="24"/>
        </w:rPr>
        <w:t> </w:t>
      </w:r>
      <w:r>
        <w:rPr>
          <w:sz w:val="24"/>
        </w:rPr>
        <w:t>shortfall</w:t>
      </w:r>
      <w:r>
        <w:rPr>
          <w:spacing w:val="-4"/>
          <w:sz w:val="24"/>
        </w:rPr>
        <w:t> </w:t>
      </w:r>
      <w:r>
        <w:rPr>
          <w:sz w:val="24"/>
        </w:rPr>
        <w:t>makes</w:t>
      </w:r>
      <w:r>
        <w:rPr>
          <w:spacing w:val="-4"/>
          <w:sz w:val="24"/>
        </w:rPr>
        <w:t> </w:t>
      </w:r>
      <w:r>
        <w:rPr>
          <w:sz w:val="24"/>
        </w:rPr>
        <w:t>it</w:t>
      </w:r>
      <w:r>
        <w:rPr>
          <w:spacing w:val="-3"/>
          <w:sz w:val="24"/>
        </w:rPr>
        <w:t> </w:t>
      </w:r>
      <w:r>
        <w:rPr>
          <w:sz w:val="24"/>
        </w:rPr>
        <w:t>necessary</w:t>
      </w:r>
      <w:r>
        <w:rPr>
          <w:spacing w:val="-4"/>
          <w:sz w:val="24"/>
        </w:rPr>
        <w:t> </w:t>
      </w:r>
      <w:r>
        <w:rPr>
          <w:sz w:val="24"/>
        </w:rPr>
        <w:t>to</w:t>
      </w:r>
      <w:r>
        <w:rPr>
          <w:spacing w:val="-4"/>
          <w:sz w:val="24"/>
        </w:rPr>
        <w:t> </w:t>
      </w:r>
      <w:r>
        <w:rPr>
          <w:sz w:val="24"/>
        </w:rPr>
        <w:t>eliminate</w:t>
      </w:r>
      <w:r>
        <w:rPr>
          <w:spacing w:val="-3"/>
          <w:sz w:val="24"/>
        </w:rPr>
        <w:t> </w:t>
      </w:r>
      <w:r>
        <w:rPr>
          <w:sz w:val="24"/>
        </w:rPr>
        <w:t>or</w:t>
      </w:r>
      <w:r>
        <w:rPr>
          <w:spacing w:val="-3"/>
          <w:sz w:val="24"/>
        </w:rPr>
        <w:t> </w:t>
      </w:r>
      <w:r>
        <w:rPr>
          <w:sz w:val="24"/>
        </w:rPr>
        <w:t>consolidate</w:t>
      </w:r>
      <w:r>
        <w:rPr>
          <w:spacing w:val="-4"/>
          <w:sz w:val="24"/>
        </w:rPr>
        <w:t> </w:t>
      </w:r>
      <w:r>
        <w:rPr>
          <w:sz w:val="24"/>
        </w:rPr>
        <w:t>positions</w:t>
      </w:r>
      <w:r>
        <w:rPr>
          <w:spacing w:val="-4"/>
          <w:sz w:val="24"/>
        </w:rPr>
        <w:t> </w:t>
      </w:r>
      <w:r>
        <w:rPr>
          <w:sz w:val="24"/>
        </w:rPr>
        <w:t>held by contracted instructional personnel, the Department will follow the following </w:t>
      </w:r>
      <w:r>
        <w:rPr>
          <w:spacing w:val="-2"/>
          <w:sz w:val="24"/>
        </w:rPr>
        <w:t>procedure:</w:t>
      </w:r>
    </w:p>
    <w:p>
      <w:pPr>
        <w:pStyle w:val="ListParagraph"/>
        <w:numPr>
          <w:ilvl w:val="1"/>
          <w:numId w:val="339"/>
        </w:numPr>
        <w:tabs>
          <w:tab w:pos="1217" w:val="left" w:leader="none"/>
        </w:tabs>
        <w:spacing w:line="208" w:lineRule="auto" w:before="239" w:after="0"/>
        <w:ind w:left="791" w:right="880" w:firstLine="0"/>
        <w:jc w:val="left"/>
        <w:rPr>
          <w:sz w:val="24"/>
        </w:rPr>
      </w:pPr>
      <w:r>
        <w:rPr>
          <w:sz w:val="24"/>
        </w:rPr>
        <w:t>Any necessary reduction in staff will to the extent possible be handled through normal attrition by voluntary retirements or resignations.</w:t>
      </w:r>
      <w:r>
        <w:rPr>
          <w:spacing w:val="40"/>
          <w:sz w:val="24"/>
        </w:rPr>
        <w:t> </w:t>
      </w:r>
      <w:r>
        <w:rPr>
          <w:sz w:val="24"/>
        </w:rPr>
        <w:t>In the event that a teacher’s</w:t>
      </w:r>
      <w:r>
        <w:rPr>
          <w:spacing w:val="-4"/>
          <w:sz w:val="24"/>
        </w:rPr>
        <w:t> </w:t>
      </w:r>
      <w:r>
        <w:rPr>
          <w:sz w:val="24"/>
        </w:rPr>
        <w:t>position</w:t>
      </w:r>
      <w:r>
        <w:rPr>
          <w:spacing w:val="-4"/>
          <w:sz w:val="24"/>
        </w:rPr>
        <w:t> </w:t>
      </w:r>
      <w:r>
        <w:rPr>
          <w:sz w:val="24"/>
        </w:rPr>
        <w:t>is</w:t>
      </w:r>
      <w:r>
        <w:rPr>
          <w:spacing w:val="-4"/>
          <w:sz w:val="24"/>
        </w:rPr>
        <w:t> </w:t>
      </w:r>
      <w:r>
        <w:rPr>
          <w:sz w:val="24"/>
        </w:rPr>
        <w:t>eliminated,</w:t>
      </w:r>
      <w:r>
        <w:rPr>
          <w:spacing w:val="-3"/>
          <w:sz w:val="24"/>
        </w:rPr>
        <w:t> </w:t>
      </w:r>
      <w:r>
        <w:rPr>
          <w:sz w:val="24"/>
        </w:rPr>
        <w:t>the</w:t>
      </w:r>
      <w:r>
        <w:rPr>
          <w:spacing w:val="-4"/>
          <w:sz w:val="24"/>
        </w:rPr>
        <w:t> </w:t>
      </w:r>
      <w:r>
        <w:rPr>
          <w:sz w:val="24"/>
        </w:rPr>
        <w:t>teacher</w:t>
      </w:r>
      <w:r>
        <w:rPr>
          <w:spacing w:val="-3"/>
          <w:sz w:val="24"/>
        </w:rPr>
        <w:t> </w:t>
      </w:r>
      <w:r>
        <w:rPr>
          <w:sz w:val="24"/>
        </w:rPr>
        <w:t>will</w:t>
      </w:r>
      <w:r>
        <w:rPr>
          <w:spacing w:val="-4"/>
          <w:sz w:val="24"/>
        </w:rPr>
        <w:t> </w:t>
      </w:r>
      <w:r>
        <w:rPr>
          <w:sz w:val="24"/>
        </w:rPr>
        <w:t>be</w:t>
      </w:r>
      <w:r>
        <w:rPr>
          <w:spacing w:val="-4"/>
          <w:sz w:val="24"/>
        </w:rPr>
        <w:t> </w:t>
      </w:r>
      <w:r>
        <w:rPr>
          <w:sz w:val="24"/>
        </w:rPr>
        <w:t>transferred</w:t>
      </w:r>
      <w:r>
        <w:rPr>
          <w:spacing w:val="-4"/>
          <w:sz w:val="24"/>
        </w:rPr>
        <w:t> </w:t>
      </w:r>
      <w:r>
        <w:rPr>
          <w:sz w:val="24"/>
        </w:rPr>
        <w:t>to</w:t>
      </w:r>
      <w:r>
        <w:rPr>
          <w:spacing w:val="-5"/>
          <w:sz w:val="24"/>
        </w:rPr>
        <w:t> </w:t>
      </w:r>
      <w:r>
        <w:rPr>
          <w:sz w:val="24"/>
        </w:rPr>
        <w:t>a</w:t>
      </w:r>
      <w:r>
        <w:rPr>
          <w:spacing w:val="-4"/>
          <w:sz w:val="24"/>
        </w:rPr>
        <w:t> </w:t>
      </w:r>
      <w:r>
        <w:rPr>
          <w:sz w:val="24"/>
        </w:rPr>
        <w:t>vacant</w:t>
      </w:r>
      <w:r>
        <w:rPr>
          <w:spacing w:val="-3"/>
          <w:sz w:val="24"/>
        </w:rPr>
        <w:t> </w:t>
      </w:r>
      <w:r>
        <w:rPr>
          <w:sz w:val="24"/>
        </w:rPr>
        <w:t>position, if any, which he or she is certified to teach.</w:t>
      </w:r>
    </w:p>
    <w:p>
      <w:pPr>
        <w:pStyle w:val="ListParagraph"/>
        <w:numPr>
          <w:ilvl w:val="1"/>
          <w:numId w:val="339"/>
        </w:numPr>
        <w:tabs>
          <w:tab w:pos="1217" w:val="left" w:leader="none"/>
        </w:tabs>
        <w:spacing w:line="208" w:lineRule="auto" w:before="240" w:after="0"/>
        <w:ind w:left="791" w:right="1374" w:firstLine="0"/>
        <w:jc w:val="left"/>
        <w:rPr>
          <w:sz w:val="24"/>
        </w:rPr>
      </w:pPr>
      <w:r>
        <w:rPr>
          <w:sz w:val="24"/>
        </w:rPr>
        <w:t>Probationary</w:t>
      </w:r>
      <w:r>
        <w:rPr>
          <w:spacing w:val="-4"/>
          <w:sz w:val="24"/>
        </w:rPr>
        <w:t> </w:t>
      </w:r>
      <w:r>
        <w:rPr>
          <w:sz w:val="24"/>
        </w:rPr>
        <w:t>teachers</w:t>
      </w:r>
      <w:r>
        <w:rPr>
          <w:spacing w:val="-4"/>
          <w:sz w:val="24"/>
        </w:rPr>
        <w:t> </w:t>
      </w:r>
      <w:r>
        <w:rPr>
          <w:sz w:val="24"/>
        </w:rPr>
        <w:t>will</w:t>
      </w:r>
      <w:r>
        <w:rPr>
          <w:spacing w:val="-4"/>
          <w:sz w:val="24"/>
        </w:rPr>
        <w:t> </w:t>
      </w:r>
      <w:r>
        <w:rPr>
          <w:sz w:val="24"/>
        </w:rPr>
        <w:t>be</w:t>
      </w:r>
      <w:r>
        <w:rPr>
          <w:spacing w:val="-3"/>
          <w:sz w:val="24"/>
        </w:rPr>
        <w:t> </w:t>
      </w:r>
      <w:r>
        <w:rPr>
          <w:sz w:val="24"/>
        </w:rPr>
        <w:t>released</w:t>
      </w:r>
      <w:r>
        <w:rPr>
          <w:spacing w:val="-4"/>
          <w:sz w:val="24"/>
        </w:rPr>
        <w:t> </w:t>
      </w:r>
      <w:r>
        <w:rPr>
          <w:sz w:val="24"/>
        </w:rPr>
        <w:t>based</w:t>
      </w:r>
      <w:r>
        <w:rPr>
          <w:spacing w:val="-4"/>
          <w:sz w:val="24"/>
        </w:rPr>
        <w:t> </w:t>
      </w:r>
      <w:r>
        <w:rPr>
          <w:sz w:val="24"/>
        </w:rPr>
        <w:t>on</w:t>
      </w:r>
      <w:r>
        <w:rPr>
          <w:spacing w:val="-4"/>
          <w:sz w:val="24"/>
        </w:rPr>
        <w:t> </w:t>
      </w:r>
      <w:r>
        <w:rPr>
          <w:sz w:val="24"/>
        </w:rPr>
        <w:t>reverse</w:t>
      </w:r>
      <w:r>
        <w:rPr>
          <w:spacing w:val="-4"/>
          <w:sz w:val="24"/>
        </w:rPr>
        <w:t> </w:t>
      </w:r>
      <w:r>
        <w:rPr>
          <w:sz w:val="24"/>
        </w:rPr>
        <w:t>order</w:t>
      </w:r>
      <w:r>
        <w:rPr>
          <w:spacing w:val="-5"/>
          <w:sz w:val="24"/>
        </w:rPr>
        <w:t> </w:t>
      </w:r>
      <w:r>
        <w:rPr>
          <w:sz w:val="24"/>
        </w:rPr>
        <w:t>of</w:t>
      </w:r>
      <w:r>
        <w:rPr>
          <w:spacing w:val="-3"/>
          <w:sz w:val="24"/>
        </w:rPr>
        <w:t> </w:t>
      </w:r>
      <w:r>
        <w:rPr>
          <w:sz w:val="24"/>
        </w:rPr>
        <w:t>seniority before career teachers who are qualified to hold positions currently held by probationary teachers.</w:t>
      </w:r>
    </w:p>
    <w:p>
      <w:pPr>
        <w:pStyle w:val="ListParagraph"/>
        <w:numPr>
          <w:ilvl w:val="1"/>
          <w:numId w:val="339"/>
        </w:numPr>
        <w:tabs>
          <w:tab w:pos="1216" w:val="left" w:leader="none"/>
        </w:tabs>
        <w:spacing w:line="208" w:lineRule="auto" w:before="240" w:after="0"/>
        <w:ind w:left="791" w:right="1013" w:firstLine="0"/>
        <w:jc w:val="left"/>
        <w:rPr>
          <w:sz w:val="24"/>
        </w:rPr>
      </w:pPr>
      <w:r>
        <w:rPr>
          <w:sz w:val="24"/>
        </w:rPr>
        <w:t>If</w:t>
      </w:r>
      <w:r>
        <w:rPr>
          <w:spacing w:val="-5"/>
          <w:sz w:val="24"/>
        </w:rPr>
        <w:t> </w:t>
      </w:r>
      <w:r>
        <w:rPr>
          <w:sz w:val="24"/>
        </w:rPr>
        <w:t>normal</w:t>
      </w:r>
      <w:r>
        <w:rPr>
          <w:spacing w:val="-4"/>
          <w:sz w:val="24"/>
        </w:rPr>
        <w:t> </w:t>
      </w:r>
      <w:r>
        <w:rPr>
          <w:sz w:val="24"/>
        </w:rPr>
        <w:t>attrition</w:t>
      </w:r>
      <w:r>
        <w:rPr>
          <w:spacing w:val="-4"/>
          <w:sz w:val="24"/>
        </w:rPr>
        <w:t> </w:t>
      </w:r>
      <w:r>
        <w:rPr>
          <w:sz w:val="24"/>
        </w:rPr>
        <w:t>and</w:t>
      </w:r>
      <w:r>
        <w:rPr>
          <w:spacing w:val="-4"/>
          <w:sz w:val="24"/>
        </w:rPr>
        <w:t> </w:t>
      </w:r>
      <w:r>
        <w:rPr>
          <w:sz w:val="24"/>
        </w:rPr>
        <w:t>the</w:t>
      </w:r>
      <w:r>
        <w:rPr>
          <w:spacing w:val="-4"/>
          <w:sz w:val="24"/>
        </w:rPr>
        <w:t> </w:t>
      </w:r>
      <w:r>
        <w:rPr>
          <w:sz w:val="24"/>
        </w:rPr>
        <w:t>release</w:t>
      </w:r>
      <w:r>
        <w:rPr>
          <w:spacing w:val="-4"/>
          <w:sz w:val="24"/>
        </w:rPr>
        <w:t> </w:t>
      </w:r>
      <w:r>
        <w:rPr>
          <w:sz w:val="24"/>
        </w:rPr>
        <w:t>of</w:t>
      </w:r>
      <w:r>
        <w:rPr>
          <w:spacing w:val="-3"/>
          <w:sz w:val="24"/>
        </w:rPr>
        <w:t> </w:t>
      </w:r>
      <w:r>
        <w:rPr>
          <w:sz w:val="24"/>
        </w:rPr>
        <w:t>probationary</w:t>
      </w:r>
      <w:r>
        <w:rPr>
          <w:spacing w:val="-4"/>
          <w:sz w:val="24"/>
        </w:rPr>
        <w:t> </w:t>
      </w:r>
      <w:r>
        <w:rPr>
          <w:sz w:val="24"/>
        </w:rPr>
        <w:t>teachers</w:t>
      </w:r>
      <w:r>
        <w:rPr>
          <w:spacing w:val="-4"/>
          <w:sz w:val="24"/>
        </w:rPr>
        <w:t> </w:t>
      </w:r>
      <w:r>
        <w:rPr>
          <w:sz w:val="24"/>
        </w:rPr>
        <w:t>who</w:t>
      </w:r>
      <w:r>
        <w:rPr>
          <w:spacing w:val="-4"/>
          <w:sz w:val="24"/>
        </w:rPr>
        <w:t> </w:t>
      </w:r>
      <w:r>
        <w:rPr>
          <w:sz w:val="24"/>
        </w:rPr>
        <w:t>hold</w:t>
      </w:r>
      <w:r>
        <w:rPr>
          <w:spacing w:val="-4"/>
          <w:sz w:val="24"/>
        </w:rPr>
        <w:t> </w:t>
      </w:r>
      <w:r>
        <w:rPr>
          <w:sz w:val="24"/>
        </w:rPr>
        <w:t>positions that career teachers are qualified to teach do not sufficiently reduce the certified staff, the following criteria will be considered in the reduction process in the order they are listed:</w:t>
      </w:r>
    </w:p>
    <w:p>
      <w:pPr>
        <w:pStyle w:val="ListParagraph"/>
        <w:numPr>
          <w:ilvl w:val="2"/>
          <w:numId w:val="339"/>
        </w:numPr>
        <w:tabs>
          <w:tab w:pos="1676" w:val="left" w:leader="none"/>
        </w:tabs>
        <w:spacing w:line="240" w:lineRule="auto" w:before="210" w:after="0"/>
        <w:ind w:left="1676" w:right="0" w:hanging="453"/>
        <w:jc w:val="left"/>
        <w:rPr>
          <w:sz w:val="24"/>
        </w:rPr>
      </w:pPr>
      <w:r>
        <w:rPr>
          <w:sz w:val="24"/>
        </w:rPr>
        <w:t>Seniority</w:t>
      </w:r>
      <w:r>
        <w:rPr>
          <w:spacing w:val="-3"/>
          <w:sz w:val="24"/>
        </w:rPr>
        <w:t> </w:t>
      </w:r>
      <w:r>
        <w:rPr>
          <w:sz w:val="24"/>
        </w:rPr>
        <w:t>at</w:t>
      </w:r>
      <w:r>
        <w:rPr>
          <w:spacing w:val="-4"/>
          <w:sz w:val="24"/>
        </w:rPr>
        <w:t> </w:t>
      </w:r>
      <w:r>
        <w:rPr>
          <w:sz w:val="24"/>
        </w:rPr>
        <w:t>the</w:t>
      </w:r>
      <w:r>
        <w:rPr>
          <w:spacing w:val="-2"/>
          <w:sz w:val="24"/>
        </w:rPr>
        <w:t> School.</w:t>
      </w:r>
    </w:p>
    <w:p>
      <w:pPr>
        <w:pStyle w:val="ListParagraph"/>
        <w:numPr>
          <w:ilvl w:val="2"/>
          <w:numId w:val="339"/>
        </w:numPr>
        <w:tabs>
          <w:tab w:pos="1676" w:val="left" w:leader="none"/>
        </w:tabs>
        <w:spacing w:line="240" w:lineRule="auto" w:before="204" w:after="0"/>
        <w:ind w:left="1676" w:right="0" w:hanging="453"/>
        <w:jc w:val="left"/>
        <w:rPr>
          <w:sz w:val="24"/>
        </w:rPr>
      </w:pPr>
      <w:r>
        <w:rPr>
          <w:sz w:val="24"/>
        </w:rPr>
        <w:t>Length</w:t>
      </w:r>
      <w:r>
        <w:rPr>
          <w:spacing w:val="-4"/>
          <w:sz w:val="24"/>
        </w:rPr>
        <w:t> </w:t>
      </w:r>
      <w:r>
        <w:rPr>
          <w:sz w:val="24"/>
        </w:rPr>
        <w:t>of</w:t>
      </w:r>
      <w:r>
        <w:rPr>
          <w:spacing w:val="-1"/>
          <w:sz w:val="24"/>
        </w:rPr>
        <w:t> </w:t>
      </w:r>
      <w:r>
        <w:rPr>
          <w:sz w:val="24"/>
        </w:rPr>
        <w:t>service</w:t>
      </w:r>
      <w:r>
        <w:rPr>
          <w:spacing w:val="-3"/>
          <w:sz w:val="24"/>
        </w:rPr>
        <w:t> </w:t>
      </w:r>
      <w:r>
        <w:rPr>
          <w:sz w:val="24"/>
        </w:rPr>
        <w:t>in</w:t>
      </w:r>
      <w:r>
        <w:rPr>
          <w:spacing w:val="-2"/>
          <w:sz w:val="24"/>
        </w:rPr>
        <w:t> </w:t>
      </w:r>
      <w:r>
        <w:rPr>
          <w:sz w:val="24"/>
        </w:rPr>
        <w:t>current</w:t>
      </w:r>
      <w:r>
        <w:rPr>
          <w:spacing w:val="-1"/>
          <w:sz w:val="24"/>
        </w:rPr>
        <w:t> </w:t>
      </w:r>
      <w:r>
        <w:rPr>
          <w:spacing w:val="-2"/>
          <w:sz w:val="24"/>
        </w:rPr>
        <w:t>assignment</w:t>
      </w:r>
    </w:p>
    <w:p>
      <w:pPr>
        <w:pStyle w:val="ListParagraph"/>
        <w:numPr>
          <w:ilvl w:val="2"/>
          <w:numId w:val="339"/>
        </w:numPr>
        <w:tabs>
          <w:tab w:pos="1689" w:val="left" w:leader="none"/>
        </w:tabs>
        <w:spacing w:line="208" w:lineRule="auto" w:before="233" w:after="0"/>
        <w:ind w:left="1223" w:right="1410" w:firstLine="0"/>
        <w:jc w:val="left"/>
        <w:rPr>
          <w:sz w:val="24"/>
        </w:rPr>
      </w:pPr>
      <w:r>
        <w:rPr>
          <w:sz w:val="24"/>
        </w:rPr>
        <w:t>Academic</w:t>
      </w:r>
      <w:r>
        <w:rPr>
          <w:spacing w:val="-7"/>
          <w:sz w:val="24"/>
        </w:rPr>
        <w:t> </w:t>
      </w:r>
      <w:r>
        <w:rPr>
          <w:sz w:val="24"/>
        </w:rPr>
        <w:t>and</w:t>
      </w:r>
      <w:r>
        <w:rPr>
          <w:spacing w:val="-7"/>
          <w:sz w:val="24"/>
        </w:rPr>
        <w:t> </w:t>
      </w:r>
      <w:r>
        <w:rPr>
          <w:sz w:val="24"/>
        </w:rPr>
        <w:t>professional</w:t>
      </w:r>
      <w:r>
        <w:rPr>
          <w:spacing w:val="-7"/>
          <w:sz w:val="24"/>
        </w:rPr>
        <w:t> </w:t>
      </w:r>
      <w:r>
        <w:rPr>
          <w:sz w:val="24"/>
        </w:rPr>
        <w:t>preparation</w:t>
      </w:r>
      <w:r>
        <w:rPr>
          <w:spacing w:val="-6"/>
          <w:sz w:val="24"/>
        </w:rPr>
        <w:t> </w:t>
      </w:r>
      <w:r>
        <w:rPr>
          <w:sz w:val="24"/>
        </w:rPr>
        <w:t>beyond</w:t>
      </w:r>
      <w:r>
        <w:rPr>
          <w:spacing w:val="-7"/>
          <w:sz w:val="24"/>
        </w:rPr>
        <w:t> </w:t>
      </w:r>
      <w:r>
        <w:rPr>
          <w:sz w:val="24"/>
        </w:rPr>
        <w:t>minimum</w:t>
      </w:r>
      <w:r>
        <w:rPr>
          <w:spacing w:val="-6"/>
          <w:sz w:val="24"/>
        </w:rPr>
        <w:t> </w:t>
      </w:r>
      <w:r>
        <w:rPr>
          <w:sz w:val="24"/>
        </w:rPr>
        <w:t>certification </w:t>
      </w:r>
      <w:r>
        <w:rPr>
          <w:spacing w:val="-2"/>
          <w:sz w:val="24"/>
        </w:rPr>
        <w:t>requirements</w:t>
      </w:r>
    </w:p>
    <w:p>
      <w:pPr>
        <w:pStyle w:val="ListParagraph"/>
        <w:numPr>
          <w:ilvl w:val="2"/>
          <w:numId w:val="339"/>
        </w:numPr>
        <w:tabs>
          <w:tab w:pos="1689" w:val="left" w:leader="none"/>
        </w:tabs>
        <w:spacing w:line="240" w:lineRule="auto" w:before="211" w:after="0"/>
        <w:ind w:left="1689" w:right="0" w:hanging="466"/>
        <w:jc w:val="left"/>
        <w:rPr>
          <w:sz w:val="24"/>
        </w:rPr>
      </w:pPr>
      <w:r>
        <w:rPr>
          <w:sz w:val="24"/>
        </w:rPr>
        <w:t>Total</w:t>
      </w:r>
      <w:r>
        <w:rPr>
          <w:spacing w:val="-4"/>
          <w:sz w:val="24"/>
        </w:rPr>
        <w:t> </w:t>
      </w:r>
      <w:r>
        <w:rPr>
          <w:sz w:val="24"/>
        </w:rPr>
        <w:t>number</w:t>
      </w:r>
      <w:r>
        <w:rPr>
          <w:spacing w:val="-3"/>
          <w:sz w:val="24"/>
        </w:rPr>
        <w:t> </w:t>
      </w:r>
      <w:r>
        <w:rPr>
          <w:sz w:val="24"/>
        </w:rPr>
        <w:t>of</w:t>
      </w:r>
      <w:r>
        <w:rPr>
          <w:spacing w:val="-2"/>
          <w:sz w:val="24"/>
        </w:rPr>
        <w:t> </w:t>
      </w:r>
      <w:r>
        <w:rPr>
          <w:sz w:val="24"/>
        </w:rPr>
        <w:t>years</w:t>
      </w:r>
      <w:r>
        <w:rPr>
          <w:spacing w:val="-4"/>
          <w:sz w:val="24"/>
        </w:rPr>
        <w:t> </w:t>
      </w:r>
      <w:r>
        <w:rPr>
          <w:sz w:val="24"/>
        </w:rPr>
        <w:t>teaching</w:t>
      </w:r>
      <w:r>
        <w:rPr>
          <w:spacing w:val="-3"/>
          <w:sz w:val="24"/>
        </w:rPr>
        <w:t> </w:t>
      </w:r>
      <w:r>
        <w:rPr>
          <w:spacing w:val="-2"/>
          <w:sz w:val="24"/>
        </w:rPr>
        <w:t>experience</w:t>
      </w:r>
    </w:p>
    <w:p>
      <w:pPr>
        <w:pStyle w:val="ListParagraph"/>
        <w:numPr>
          <w:ilvl w:val="0"/>
          <w:numId w:val="339"/>
        </w:numPr>
        <w:tabs>
          <w:tab w:pos="785" w:val="left" w:leader="none"/>
        </w:tabs>
        <w:spacing w:line="208" w:lineRule="auto" w:before="233" w:after="0"/>
        <w:ind w:left="359" w:right="806" w:firstLine="0"/>
        <w:jc w:val="left"/>
        <w:rPr>
          <w:sz w:val="24"/>
        </w:rPr>
      </w:pPr>
      <w:r>
        <w:rPr>
          <w:b/>
          <w:sz w:val="24"/>
        </w:rPr>
        <w:t>Recall. </w:t>
      </w:r>
      <w:r>
        <w:rPr>
          <w:sz w:val="24"/>
        </w:rPr>
        <w:t>Staff will be recalled in reverse order of layoff.</w:t>
      </w:r>
      <w:r>
        <w:rPr>
          <w:spacing w:val="40"/>
          <w:sz w:val="24"/>
        </w:rPr>
        <w:t> </w:t>
      </w:r>
      <w:r>
        <w:rPr>
          <w:sz w:val="24"/>
        </w:rPr>
        <w:t>For one year after the effective date of termination pursuant to this procedure’s provisions, the Department shall offer to a teacher who has been terminated all positions that become available for which</w:t>
      </w:r>
      <w:r>
        <w:rPr>
          <w:spacing w:val="-3"/>
          <w:sz w:val="24"/>
        </w:rPr>
        <w:t> </w:t>
      </w:r>
      <w:r>
        <w:rPr>
          <w:sz w:val="24"/>
        </w:rPr>
        <w:t>he</w:t>
      </w:r>
      <w:r>
        <w:rPr>
          <w:spacing w:val="-3"/>
          <w:sz w:val="24"/>
        </w:rPr>
        <w:t> </w:t>
      </w:r>
      <w:r>
        <w:rPr>
          <w:sz w:val="24"/>
        </w:rPr>
        <w:t>or</w:t>
      </w:r>
      <w:r>
        <w:rPr>
          <w:spacing w:val="-1"/>
          <w:sz w:val="24"/>
        </w:rPr>
        <w:t> </w:t>
      </w:r>
      <w:r>
        <w:rPr>
          <w:sz w:val="24"/>
        </w:rPr>
        <w:t>she</w:t>
      </w:r>
      <w:r>
        <w:rPr>
          <w:spacing w:val="-3"/>
          <w:sz w:val="24"/>
        </w:rPr>
        <w:t> </w:t>
      </w:r>
      <w:r>
        <w:rPr>
          <w:sz w:val="24"/>
        </w:rPr>
        <w:t>is</w:t>
      </w:r>
      <w:r>
        <w:rPr>
          <w:spacing w:val="-3"/>
          <w:sz w:val="24"/>
        </w:rPr>
        <w:t> </w:t>
      </w:r>
      <w:r>
        <w:rPr>
          <w:sz w:val="24"/>
        </w:rPr>
        <w:t>certified</w:t>
      </w:r>
      <w:r>
        <w:rPr>
          <w:spacing w:val="-3"/>
          <w:sz w:val="24"/>
        </w:rPr>
        <w:t> </w:t>
      </w:r>
      <w:r>
        <w:rPr>
          <w:sz w:val="24"/>
        </w:rPr>
        <w:t>in</w:t>
      </w:r>
      <w:r>
        <w:rPr>
          <w:spacing w:val="-3"/>
          <w:sz w:val="24"/>
        </w:rPr>
        <w:t> </w:t>
      </w:r>
      <w:r>
        <w:rPr>
          <w:sz w:val="24"/>
        </w:rPr>
        <w:t>reverse</w:t>
      </w:r>
      <w:r>
        <w:rPr>
          <w:spacing w:val="-3"/>
          <w:sz w:val="24"/>
        </w:rPr>
        <w:t> </w:t>
      </w:r>
      <w:r>
        <w:rPr>
          <w:sz w:val="24"/>
        </w:rPr>
        <w:t>order</w:t>
      </w:r>
      <w:r>
        <w:rPr>
          <w:spacing w:val="-2"/>
          <w:sz w:val="24"/>
        </w:rPr>
        <w:t> </w:t>
      </w:r>
      <w:r>
        <w:rPr>
          <w:sz w:val="24"/>
        </w:rPr>
        <w:t>of</w:t>
      </w:r>
      <w:r>
        <w:rPr>
          <w:spacing w:val="-4"/>
          <w:sz w:val="24"/>
        </w:rPr>
        <w:t> </w:t>
      </w:r>
      <w:r>
        <w:rPr>
          <w:sz w:val="24"/>
        </w:rPr>
        <w:t>layoff.</w:t>
      </w:r>
      <w:r>
        <w:rPr>
          <w:spacing w:val="40"/>
          <w:sz w:val="24"/>
        </w:rPr>
        <w:t> </w:t>
      </w:r>
      <w:r>
        <w:rPr>
          <w:sz w:val="24"/>
        </w:rPr>
        <w:t>The</w:t>
      </w:r>
      <w:r>
        <w:rPr>
          <w:spacing w:val="-3"/>
          <w:sz w:val="24"/>
        </w:rPr>
        <w:t> </w:t>
      </w:r>
      <w:r>
        <w:rPr>
          <w:sz w:val="24"/>
        </w:rPr>
        <w:t>offer</w:t>
      </w:r>
      <w:r>
        <w:rPr>
          <w:spacing w:val="-2"/>
          <w:sz w:val="24"/>
        </w:rPr>
        <w:t> </w:t>
      </w:r>
      <w:r>
        <w:rPr>
          <w:sz w:val="24"/>
        </w:rPr>
        <w:t>will</w:t>
      </w:r>
      <w:r>
        <w:rPr>
          <w:spacing w:val="-3"/>
          <w:sz w:val="24"/>
        </w:rPr>
        <w:t> </w:t>
      </w:r>
      <w:r>
        <w:rPr>
          <w:sz w:val="24"/>
        </w:rPr>
        <w:t>be</w:t>
      </w:r>
      <w:r>
        <w:rPr>
          <w:spacing w:val="-3"/>
          <w:sz w:val="24"/>
        </w:rPr>
        <w:t> </w:t>
      </w:r>
      <w:r>
        <w:rPr>
          <w:sz w:val="24"/>
        </w:rPr>
        <w:t>made</w:t>
      </w:r>
      <w:r>
        <w:rPr>
          <w:spacing w:val="-3"/>
          <w:sz w:val="24"/>
        </w:rPr>
        <w:t> </w:t>
      </w:r>
      <w:r>
        <w:rPr>
          <w:sz w:val="24"/>
        </w:rPr>
        <w:t>by</w:t>
      </w:r>
      <w:r>
        <w:rPr>
          <w:spacing w:val="-3"/>
          <w:sz w:val="24"/>
        </w:rPr>
        <w:t> </w:t>
      </w:r>
      <w:r>
        <w:rPr>
          <w:sz w:val="24"/>
        </w:rPr>
        <w:t>certified mail, return receipt requested, and the teacher will be notified that he or she must submit written acceptance within ten calendar days.</w:t>
      </w:r>
      <w:r>
        <w:rPr>
          <w:spacing w:val="40"/>
          <w:sz w:val="24"/>
        </w:rPr>
        <w:t> </w:t>
      </w:r>
      <w:r>
        <w:rPr>
          <w:sz w:val="24"/>
        </w:rPr>
        <w:t>No new teachers will be hired in a subject area or grade level until all laid off teachers qualified for the position have been recalled or decline the opening.</w:t>
      </w:r>
    </w:p>
    <w:p>
      <w:pPr>
        <w:spacing w:before="243"/>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340"/>
        </w:numPr>
        <w:tabs>
          <w:tab w:pos="1079" w:val="left" w:leader="none"/>
        </w:tabs>
        <w:spacing w:line="253" w:lineRule="exact" w:before="1" w:after="0"/>
        <w:ind w:left="1079" w:right="7299" w:hanging="1079"/>
        <w:jc w:val="right"/>
        <w:rPr>
          <w:sz w:val="22"/>
        </w:rPr>
      </w:pPr>
      <w:r>
        <w:rPr>
          <w:sz w:val="22"/>
        </w:rPr>
        <w:t>PT</w:t>
      </w:r>
      <w:r>
        <w:rPr>
          <w:spacing w:val="-8"/>
          <w:sz w:val="22"/>
        </w:rPr>
        <w:t> </w:t>
      </w:r>
      <w:r>
        <w:rPr>
          <w:sz w:val="22"/>
        </w:rPr>
        <w:t>Memo</w:t>
      </w:r>
      <w:r>
        <w:rPr>
          <w:spacing w:val="-8"/>
          <w:sz w:val="22"/>
        </w:rPr>
        <w:t> </w:t>
      </w:r>
      <w:r>
        <w:rPr>
          <w:sz w:val="22"/>
        </w:rPr>
        <w:t>#05-</w:t>
      </w:r>
      <w:r>
        <w:rPr>
          <w:spacing w:val="-5"/>
          <w:sz w:val="22"/>
        </w:rPr>
        <w:t>01</w:t>
      </w:r>
    </w:p>
    <w:p>
      <w:pPr>
        <w:spacing w:line="253" w:lineRule="exact" w:before="0"/>
        <w:ind w:left="0" w:right="7395" w:firstLine="0"/>
        <w:jc w:val="right"/>
        <w:rPr>
          <w:sz w:val="22"/>
        </w:rPr>
      </w:pPr>
      <w:r>
        <w:rPr>
          <w:sz w:val="22"/>
        </w:rPr>
        <w:t>Permanent,</w:t>
      </w:r>
      <w:r>
        <w:rPr>
          <w:spacing w:val="-13"/>
          <w:sz w:val="22"/>
        </w:rPr>
        <w:t> </w:t>
      </w:r>
      <w:r>
        <w:rPr>
          <w:spacing w:val="-5"/>
          <w:sz w:val="22"/>
        </w:rPr>
        <w:t>new</w:t>
      </w:r>
    </w:p>
    <w:p>
      <w:pPr>
        <w:spacing w:after="0" w:line="253" w:lineRule="exact"/>
        <w:jc w:val="right"/>
        <w:rPr>
          <w:sz w:val="22"/>
        </w:rPr>
        <w:sectPr>
          <w:pgSz w:w="12240" w:h="15840"/>
          <w:pgMar w:top="1340" w:bottom="280" w:left="1080" w:right="720"/>
        </w:sectPr>
      </w:pPr>
    </w:p>
    <w:p>
      <w:pPr>
        <w:pStyle w:val="Heading1"/>
        <w:spacing w:line="417" w:lineRule="auto"/>
        <w:ind w:left="2460" w:right="775" w:hanging="1854"/>
        <w:jc w:val="left"/>
      </w:pPr>
      <w:bookmarkStart w:name="SUBCHAPTER 3.  GENERAL OPERATING PROCEDU" w:id="338"/>
      <w:bookmarkEnd w:id="338"/>
      <w:r>
        <w:rPr>
          <w:b w:val="0"/>
        </w:rPr>
      </w:r>
      <w:r>
        <w:rPr/>
        <w:t>SUBCHAPTER</w:t>
      </w:r>
      <w:r>
        <w:rPr>
          <w:spacing w:val="-5"/>
        </w:rPr>
        <w:t> </w:t>
      </w:r>
      <w:r>
        <w:rPr/>
        <w:t>3.</w:t>
      </w:r>
      <w:r>
        <w:rPr>
          <w:spacing w:val="40"/>
        </w:rPr>
        <w:t> </w:t>
      </w:r>
      <w:r>
        <w:rPr/>
        <w:t>GENERAL</w:t>
      </w:r>
      <w:r>
        <w:rPr>
          <w:spacing w:val="-5"/>
        </w:rPr>
        <w:t> </w:t>
      </w:r>
      <w:r>
        <w:rPr/>
        <w:t>OPERATING</w:t>
      </w:r>
      <w:r>
        <w:rPr>
          <w:spacing w:val="-5"/>
        </w:rPr>
        <w:t> </w:t>
      </w:r>
      <w:r>
        <w:rPr/>
        <w:t>PROCEDURES</w:t>
      </w:r>
      <w:r>
        <w:rPr>
          <w:spacing w:val="-5"/>
        </w:rPr>
        <w:t> </w:t>
      </w:r>
      <w:r>
        <w:rPr/>
        <w:t>FOR</w:t>
      </w:r>
      <w:r>
        <w:rPr>
          <w:spacing w:val="-5"/>
        </w:rPr>
        <w:t> </w:t>
      </w:r>
      <w:r>
        <w:rPr/>
        <w:t>THE</w:t>
      </w:r>
      <w:r>
        <w:rPr>
          <w:spacing w:val="-5"/>
        </w:rPr>
        <w:t> </w:t>
      </w:r>
      <w:r>
        <w:rPr/>
        <w:t>SCHOOLS PART 1. GENERAL EDUCATIONAL POLICIES</w:t>
      </w:r>
    </w:p>
    <w:p>
      <w:pPr>
        <w:pStyle w:val="BodyText"/>
        <w:spacing w:line="275" w:lineRule="exact" w:before="0"/>
      </w:pPr>
      <w:r>
        <w:rPr>
          <w:spacing w:val="-2"/>
        </w:rPr>
        <w:t>Section</w:t>
      </w:r>
    </w:p>
    <w:p>
      <w:pPr>
        <w:pStyle w:val="BodyText"/>
        <w:tabs>
          <w:tab w:pos="2519" w:val="left" w:leader="none"/>
        </w:tabs>
        <w:spacing w:before="204"/>
      </w:pPr>
      <w:r>
        <w:rPr>
          <w:spacing w:val="-2"/>
        </w:rPr>
        <w:t>612:20-3-</w:t>
      </w:r>
      <w:r>
        <w:rPr>
          <w:spacing w:val="-5"/>
        </w:rPr>
        <w:t>1.</w:t>
      </w:r>
      <w:r>
        <w:rPr/>
        <w:tab/>
        <w:t>The</w:t>
      </w:r>
      <w:r>
        <w:rPr>
          <w:spacing w:val="-3"/>
        </w:rPr>
        <w:t> </w:t>
      </w:r>
      <w:r>
        <w:rPr/>
        <w:t>special</w:t>
      </w:r>
      <w:r>
        <w:rPr>
          <w:spacing w:val="-1"/>
        </w:rPr>
        <w:t> </w:t>
      </w:r>
      <w:r>
        <w:rPr>
          <w:spacing w:val="-2"/>
        </w:rPr>
        <w:t>schools</w:t>
      </w:r>
    </w:p>
    <w:p>
      <w:pPr>
        <w:pStyle w:val="BodyText"/>
        <w:tabs>
          <w:tab w:pos="2519" w:val="left" w:leader="none"/>
        </w:tabs>
        <w:spacing w:before="204"/>
      </w:pPr>
      <w:r>
        <w:rPr>
          <w:spacing w:val="-2"/>
        </w:rPr>
        <w:t>612:20-3-</w:t>
      </w:r>
      <w:r>
        <w:rPr>
          <w:spacing w:val="-5"/>
        </w:rPr>
        <w:t>2.</w:t>
      </w:r>
      <w:r>
        <w:rPr/>
        <w:tab/>
        <w:t>Administrative</w:t>
      </w:r>
      <w:r>
        <w:rPr>
          <w:spacing w:val="-7"/>
        </w:rPr>
        <w:t> </w:t>
      </w:r>
      <w:r>
        <w:rPr>
          <w:spacing w:val="-2"/>
        </w:rPr>
        <w:t>responsibility</w:t>
      </w:r>
    </w:p>
    <w:p>
      <w:pPr>
        <w:pStyle w:val="BodyText"/>
        <w:tabs>
          <w:tab w:pos="2519" w:val="left" w:leader="none"/>
        </w:tabs>
        <w:spacing w:line="417" w:lineRule="auto" w:before="204"/>
        <w:ind w:right="2756"/>
      </w:pPr>
      <w:r>
        <w:rPr>
          <w:spacing w:val="-2"/>
        </w:rPr>
        <w:t>612:20-3-3.</w:t>
      </w:r>
      <w:r>
        <w:rPr/>
        <w:tab/>
        <w:t>Comprehensive</w:t>
      </w:r>
      <w:r>
        <w:rPr>
          <w:spacing w:val="-8"/>
        </w:rPr>
        <w:t> </w:t>
      </w:r>
      <w:r>
        <w:rPr/>
        <w:t>programming</w:t>
      </w:r>
      <w:r>
        <w:rPr>
          <w:spacing w:val="-8"/>
        </w:rPr>
        <w:t> </w:t>
      </w:r>
      <w:r>
        <w:rPr/>
        <w:t>for</w:t>
      </w:r>
      <w:r>
        <w:rPr>
          <w:spacing w:val="-9"/>
        </w:rPr>
        <w:t> </w:t>
      </w:r>
      <w:r>
        <w:rPr/>
        <w:t>all</w:t>
      </w:r>
      <w:r>
        <w:rPr>
          <w:spacing w:val="-8"/>
        </w:rPr>
        <w:t> </w:t>
      </w:r>
      <w:r>
        <w:rPr/>
        <w:t>basic</w:t>
      </w:r>
      <w:r>
        <w:rPr>
          <w:spacing w:val="-8"/>
        </w:rPr>
        <w:t> </w:t>
      </w:r>
      <w:r>
        <w:rPr/>
        <w:t>needs </w:t>
      </w:r>
      <w:r>
        <w:rPr>
          <w:spacing w:val="-2"/>
        </w:rPr>
        <w:t>612:20-3-4.</w:t>
      </w:r>
      <w:r>
        <w:rPr/>
        <w:tab/>
      </w:r>
      <w:r>
        <w:rPr>
          <w:spacing w:val="-2"/>
        </w:rPr>
        <w:t>Records</w:t>
      </w:r>
    </w:p>
    <w:p>
      <w:pPr>
        <w:pStyle w:val="BodyText"/>
        <w:tabs>
          <w:tab w:pos="2519" w:val="left" w:leader="none"/>
        </w:tabs>
        <w:spacing w:line="417" w:lineRule="auto" w:before="0"/>
        <w:ind w:left="359" w:right="4916"/>
      </w:pPr>
      <w:r>
        <w:rPr>
          <w:spacing w:val="-2"/>
        </w:rPr>
        <w:t>612:20-3-5.</w:t>
      </w:r>
      <w:r>
        <w:rPr/>
        <w:tab/>
        <w:t>Departmental resources </w:t>
      </w:r>
      <w:r>
        <w:rPr>
          <w:spacing w:val="-2"/>
        </w:rPr>
        <w:t>612:20-3-6.</w:t>
      </w:r>
      <w:r>
        <w:rPr/>
        <w:tab/>
        <w:t>Admission</w:t>
      </w:r>
      <w:r>
        <w:rPr>
          <w:spacing w:val="-10"/>
        </w:rPr>
        <w:t> </w:t>
      </w:r>
      <w:r>
        <w:rPr/>
        <w:t>to</w:t>
      </w:r>
      <w:r>
        <w:rPr>
          <w:spacing w:val="-10"/>
        </w:rPr>
        <w:t> </w:t>
      </w:r>
      <w:r>
        <w:rPr/>
        <w:t>OSB</w:t>
      </w:r>
      <w:r>
        <w:rPr>
          <w:spacing w:val="-10"/>
        </w:rPr>
        <w:t> </w:t>
      </w:r>
      <w:r>
        <w:rPr/>
        <w:t>and</w:t>
      </w:r>
      <w:r>
        <w:rPr>
          <w:spacing w:val="-10"/>
        </w:rPr>
        <w:t> </w:t>
      </w:r>
      <w:r>
        <w:rPr/>
        <w:t>OSD </w:t>
      </w:r>
      <w:r>
        <w:rPr>
          <w:spacing w:val="-2"/>
        </w:rPr>
        <w:t>612:20-3-7.</w:t>
      </w:r>
      <w:r>
        <w:rPr/>
        <w:tab/>
      </w:r>
      <w:r>
        <w:rPr>
          <w:spacing w:val="-2"/>
        </w:rPr>
        <w:t>Discipline</w:t>
      </w:r>
    </w:p>
    <w:p>
      <w:pPr>
        <w:pStyle w:val="BodyText"/>
        <w:tabs>
          <w:tab w:pos="2519" w:val="left" w:leader="none"/>
        </w:tabs>
        <w:spacing w:line="417" w:lineRule="auto" w:before="0"/>
        <w:ind w:right="3022"/>
      </w:pPr>
      <w:r>
        <w:rPr>
          <w:spacing w:val="-2"/>
        </w:rPr>
        <w:t>612:20-3-8.</w:t>
      </w:r>
      <w:r>
        <w:rPr/>
        <w:tab/>
        <w:t>Elementary and Secondary Education Act </w:t>
      </w:r>
      <w:r>
        <w:rPr>
          <w:spacing w:val="-2"/>
        </w:rPr>
        <w:t>612:20-3-9.</w:t>
      </w:r>
      <w:r>
        <w:rPr/>
        <w:tab/>
        <w:t>Regional</w:t>
      </w:r>
      <w:r>
        <w:rPr>
          <w:spacing w:val="-10"/>
        </w:rPr>
        <w:t> </w:t>
      </w:r>
      <w:r>
        <w:rPr/>
        <w:t>preschool</w:t>
      </w:r>
      <w:r>
        <w:rPr>
          <w:spacing w:val="-10"/>
        </w:rPr>
        <w:t> </w:t>
      </w:r>
      <w:r>
        <w:rPr/>
        <w:t>satellite</w:t>
      </w:r>
      <w:r>
        <w:rPr>
          <w:spacing w:val="-10"/>
        </w:rPr>
        <w:t> </w:t>
      </w:r>
      <w:r>
        <w:rPr/>
        <w:t>programs</w:t>
      </w:r>
      <w:r>
        <w:rPr>
          <w:spacing w:val="-10"/>
        </w:rPr>
        <w:t> </w:t>
      </w:r>
      <w:r>
        <w:rPr/>
        <w:t>(RPSP)</w:t>
      </w:r>
    </w:p>
    <w:p>
      <w:pPr>
        <w:pStyle w:val="Heading1"/>
        <w:spacing w:line="276" w:lineRule="exact" w:before="0"/>
        <w:ind w:left="1138" w:right="0"/>
        <w:jc w:val="left"/>
      </w:pPr>
      <w:r>
        <w:rPr/>
        <w:t>PART</w:t>
      </w:r>
      <w:r>
        <w:rPr>
          <w:spacing w:val="-4"/>
        </w:rPr>
        <w:t> </w:t>
      </w:r>
      <w:r>
        <w:rPr/>
        <w:t>3.</w:t>
      </w:r>
      <w:r>
        <w:rPr>
          <w:spacing w:val="-4"/>
        </w:rPr>
        <w:t> </w:t>
      </w:r>
      <w:r>
        <w:rPr/>
        <w:t>ABUSE,</w:t>
      </w:r>
      <w:r>
        <w:rPr>
          <w:spacing w:val="-2"/>
        </w:rPr>
        <w:t> </w:t>
      </w:r>
      <w:r>
        <w:rPr/>
        <w:t>NEGLECT,</w:t>
      </w:r>
      <w:r>
        <w:rPr>
          <w:spacing w:val="-4"/>
        </w:rPr>
        <w:t> </w:t>
      </w:r>
      <w:r>
        <w:rPr/>
        <w:t>AND</w:t>
      </w:r>
      <w:r>
        <w:rPr>
          <w:spacing w:val="-3"/>
        </w:rPr>
        <w:t> </w:t>
      </w:r>
      <w:r>
        <w:rPr/>
        <w:t>INAPPROPRIATE</w:t>
      </w:r>
      <w:r>
        <w:rPr>
          <w:spacing w:val="-3"/>
        </w:rPr>
        <w:t> </w:t>
      </w:r>
      <w:r>
        <w:rPr/>
        <w:t>BODY</w:t>
      </w:r>
      <w:r>
        <w:rPr>
          <w:spacing w:val="-2"/>
        </w:rPr>
        <w:t> CONTACT</w:t>
      </w:r>
    </w:p>
    <w:p>
      <w:pPr>
        <w:pStyle w:val="BodyText"/>
        <w:spacing w:before="203"/>
      </w:pPr>
      <w:r>
        <w:rPr>
          <w:spacing w:val="-2"/>
        </w:rPr>
        <w:t>Section</w:t>
      </w:r>
    </w:p>
    <w:p>
      <w:pPr>
        <w:pStyle w:val="BodyText"/>
        <w:tabs>
          <w:tab w:pos="2519" w:val="left" w:leader="none"/>
        </w:tabs>
        <w:spacing w:before="204"/>
      </w:pPr>
      <w:r>
        <w:rPr>
          <w:spacing w:val="-2"/>
        </w:rPr>
        <w:t>612:20-3-</w:t>
      </w:r>
      <w:r>
        <w:rPr>
          <w:spacing w:val="-5"/>
        </w:rPr>
        <w:t>19.</w:t>
      </w:r>
      <w:r>
        <w:rPr/>
        <w:tab/>
        <w:t>General</w:t>
      </w:r>
      <w:r>
        <w:rPr>
          <w:spacing w:val="-4"/>
        </w:rPr>
        <w:t> </w:t>
      </w:r>
      <w:r>
        <w:rPr>
          <w:spacing w:val="-2"/>
        </w:rPr>
        <w:t>requirements</w:t>
      </w:r>
    </w:p>
    <w:p>
      <w:pPr>
        <w:pStyle w:val="BodyText"/>
        <w:tabs>
          <w:tab w:pos="2519" w:val="left" w:leader="none"/>
        </w:tabs>
        <w:spacing w:before="204"/>
        <w:ind w:left="359"/>
      </w:pPr>
      <w:r>
        <w:rPr>
          <w:spacing w:val="-2"/>
        </w:rPr>
        <w:t>612:20-3-</w:t>
      </w:r>
      <w:r>
        <w:rPr>
          <w:spacing w:val="-5"/>
        </w:rPr>
        <w:t>20.</w:t>
      </w:r>
      <w:r>
        <w:rPr/>
        <w:tab/>
        <w:t>Reporting</w:t>
      </w:r>
      <w:r>
        <w:rPr>
          <w:spacing w:val="-6"/>
        </w:rPr>
        <w:t> </w:t>
      </w:r>
      <w:r>
        <w:rPr>
          <w:spacing w:val="-2"/>
        </w:rPr>
        <w:t>requirements</w:t>
      </w:r>
    </w:p>
    <w:p>
      <w:pPr>
        <w:pStyle w:val="BodyText"/>
        <w:tabs>
          <w:tab w:pos="2519" w:val="left" w:leader="none"/>
        </w:tabs>
        <w:spacing w:line="417" w:lineRule="auto" w:before="204"/>
        <w:ind w:left="2519" w:right="1261" w:hanging="2160"/>
      </w:pPr>
      <w:r>
        <w:rPr>
          <w:spacing w:val="-2"/>
        </w:rPr>
        <w:t>612:20-3-21.</w:t>
      </w:r>
      <w:r>
        <w:rPr/>
        <w:tab/>
        <w:t>Protocol</w:t>
      </w:r>
      <w:r>
        <w:rPr>
          <w:spacing w:val="-4"/>
        </w:rPr>
        <w:t> </w:t>
      </w:r>
      <w:r>
        <w:rPr/>
        <w:t>for</w:t>
      </w:r>
      <w:r>
        <w:rPr>
          <w:spacing w:val="-3"/>
        </w:rPr>
        <w:t> </w:t>
      </w:r>
      <w:r>
        <w:rPr/>
        <w:t>abuse</w:t>
      </w:r>
      <w:r>
        <w:rPr>
          <w:spacing w:val="-4"/>
        </w:rPr>
        <w:t> </w:t>
      </w:r>
      <w:r>
        <w:rPr/>
        <w:t>or</w:t>
      </w:r>
      <w:r>
        <w:rPr>
          <w:spacing w:val="-3"/>
        </w:rPr>
        <w:t> </w:t>
      </w:r>
      <w:r>
        <w:rPr/>
        <w:t>neglect</w:t>
      </w:r>
      <w:r>
        <w:rPr>
          <w:spacing w:val="-3"/>
        </w:rPr>
        <w:t> </w:t>
      </w:r>
      <w:r>
        <w:rPr/>
        <w:t>of</w:t>
      </w:r>
      <w:r>
        <w:rPr>
          <w:spacing w:val="-3"/>
        </w:rPr>
        <w:t> </w:t>
      </w:r>
      <w:r>
        <w:rPr/>
        <w:t>a</w:t>
      </w:r>
      <w:r>
        <w:rPr>
          <w:spacing w:val="-5"/>
        </w:rPr>
        <w:t> </w:t>
      </w:r>
      <w:r>
        <w:rPr/>
        <w:t>student</w:t>
      </w:r>
      <w:r>
        <w:rPr>
          <w:spacing w:val="-3"/>
        </w:rPr>
        <w:t> </w:t>
      </w:r>
      <w:r>
        <w:rPr/>
        <w:t>by</w:t>
      </w:r>
      <w:r>
        <w:rPr>
          <w:spacing w:val="-5"/>
        </w:rPr>
        <w:t> </w:t>
      </w:r>
      <w:r>
        <w:rPr/>
        <w:t>a</w:t>
      </w:r>
      <w:r>
        <w:rPr>
          <w:spacing w:val="-4"/>
        </w:rPr>
        <w:t> </w:t>
      </w:r>
      <w:r>
        <w:rPr/>
        <w:t>staff</w:t>
      </w:r>
      <w:r>
        <w:rPr>
          <w:spacing w:val="-5"/>
        </w:rPr>
        <w:t> </w:t>
      </w:r>
      <w:r>
        <w:rPr/>
        <w:t>member</w:t>
      </w:r>
      <w:r>
        <w:rPr>
          <w:spacing w:val="-3"/>
        </w:rPr>
        <w:t> </w:t>
      </w:r>
      <w:r>
        <w:rPr/>
        <w:t>or </w:t>
      </w:r>
      <w:r>
        <w:rPr>
          <w:spacing w:val="-2"/>
        </w:rPr>
        <w:t>volunteer</w:t>
      </w:r>
    </w:p>
    <w:p>
      <w:pPr>
        <w:pStyle w:val="BodyText"/>
        <w:tabs>
          <w:tab w:pos="2519" w:val="left" w:leader="none"/>
        </w:tabs>
        <w:spacing w:line="276" w:lineRule="exact" w:before="0"/>
        <w:ind w:left="359"/>
      </w:pPr>
      <w:r>
        <w:rPr>
          <w:spacing w:val="-2"/>
        </w:rPr>
        <w:t>612:20-3-</w:t>
      </w:r>
      <w:r>
        <w:rPr>
          <w:spacing w:val="-5"/>
        </w:rPr>
        <w:t>22.</w:t>
      </w:r>
      <w:r>
        <w:rPr/>
        <w:tab/>
        <w:t>Protocol</w:t>
      </w:r>
      <w:r>
        <w:rPr>
          <w:spacing w:val="-5"/>
        </w:rPr>
        <w:t> </w:t>
      </w:r>
      <w:r>
        <w:rPr/>
        <w:t>for</w:t>
      </w:r>
      <w:r>
        <w:rPr>
          <w:spacing w:val="-1"/>
        </w:rPr>
        <w:t> </w:t>
      </w:r>
      <w:r>
        <w:rPr/>
        <w:t>abuse</w:t>
      </w:r>
      <w:r>
        <w:rPr>
          <w:spacing w:val="-3"/>
        </w:rPr>
        <w:t> </w:t>
      </w:r>
      <w:r>
        <w:rPr/>
        <w:t>of</w:t>
      </w:r>
      <w:r>
        <w:rPr>
          <w:spacing w:val="-1"/>
        </w:rPr>
        <w:t> </w:t>
      </w:r>
      <w:r>
        <w:rPr/>
        <w:t>a</w:t>
      </w:r>
      <w:r>
        <w:rPr>
          <w:spacing w:val="-2"/>
        </w:rPr>
        <w:t> </w:t>
      </w:r>
      <w:r>
        <w:rPr/>
        <w:t>student</w:t>
      </w:r>
      <w:r>
        <w:rPr>
          <w:spacing w:val="-2"/>
        </w:rPr>
        <w:t> </w:t>
      </w:r>
      <w:r>
        <w:rPr/>
        <w:t>by</w:t>
      </w:r>
      <w:r>
        <w:rPr>
          <w:spacing w:val="-3"/>
        </w:rPr>
        <w:t> </w:t>
      </w:r>
      <w:r>
        <w:rPr/>
        <w:t>another</w:t>
      </w:r>
      <w:r>
        <w:rPr>
          <w:spacing w:val="-1"/>
        </w:rPr>
        <w:t> </w:t>
      </w:r>
      <w:r>
        <w:rPr>
          <w:spacing w:val="-2"/>
        </w:rPr>
        <w:t>student</w:t>
      </w:r>
    </w:p>
    <w:p>
      <w:pPr>
        <w:pStyle w:val="BodyText"/>
        <w:tabs>
          <w:tab w:pos="2519" w:val="left" w:leader="none"/>
        </w:tabs>
        <w:spacing w:line="208" w:lineRule="auto" w:before="233"/>
        <w:ind w:left="359" w:right="2018"/>
      </w:pPr>
      <w:r>
        <w:rPr>
          <w:spacing w:val="-2"/>
        </w:rPr>
        <w:t>612:20-3-23.</w:t>
      </w:r>
      <w:r>
        <w:rPr/>
        <w:tab/>
        <w:t>Protocol</w:t>
      </w:r>
      <w:r>
        <w:rPr>
          <w:spacing w:val="-4"/>
        </w:rPr>
        <w:t> </w:t>
      </w:r>
      <w:r>
        <w:rPr/>
        <w:t>for</w:t>
      </w:r>
      <w:r>
        <w:rPr>
          <w:spacing w:val="-3"/>
        </w:rPr>
        <w:t> </w:t>
      </w:r>
      <w:r>
        <w:rPr/>
        <w:t>abuse</w:t>
      </w:r>
      <w:r>
        <w:rPr>
          <w:spacing w:val="-4"/>
        </w:rPr>
        <w:t> </w:t>
      </w:r>
      <w:r>
        <w:rPr/>
        <w:t>and</w:t>
      </w:r>
      <w:r>
        <w:rPr>
          <w:spacing w:val="-3"/>
        </w:rPr>
        <w:t> </w:t>
      </w:r>
      <w:r>
        <w:rPr/>
        <w:t>neglect</w:t>
      </w:r>
      <w:r>
        <w:rPr>
          <w:spacing w:val="-3"/>
        </w:rPr>
        <w:t> </w:t>
      </w:r>
      <w:r>
        <w:rPr/>
        <w:t>of</w:t>
      </w:r>
      <w:r>
        <w:rPr>
          <w:spacing w:val="-5"/>
        </w:rPr>
        <w:t> </w:t>
      </w:r>
      <w:r>
        <w:rPr/>
        <w:t>a</w:t>
      </w:r>
      <w:r>
        <w:rPr>
          <w:spacing w:val="-4"/>
        </w:rPr>
        <w:t> </w:t>
      </w:r>
      <w:r>
        <w:rPr/>
        <w:t>student</w:t>
      </w:r>
      <w:r>
        <w:rPr>
          <w:spacing w:val="-3"/>
        </w:rPr>
        <w:t> </w:t>
      </w:r>
      <w:r>
        <w:rPr/>
        <w:t>in</w:t>
      </w:r>
      <w:r>
        <w:rPr>
          <w:spacing w:val="-4"/>
        </w:rPr>
        <w:t> </w:t>
      </w:r>
      <w:r>
        <w:rPr/>
        <w:t>the</w:t>
      </w:r>
      <w:r>
        <w:rPr>
          <w:spacing w:val="-4"/>
        </w:rPr>
        <w:t> </w:t>
      </w:r>
      <w:r>
        <w:rPr/>
        <w:t>home </w:t>
      </w:r>
      <w:r>
        <w:rPr>
          <w:spacing w:val="-2"/>
        </w:rPr>
        <w:t>environment</w:t>
      </w:r>
    </w:p>
    <w:p>
      <w:pPr>
        <w:pStyle w:val="BodyText"/>
        <w:tabs>
          <w:tab w:pos="2519" w:val="left" w:leader="none"/>
        </w:tabs>
        <w:spacing w:line="417" w:lineRule="auto" w:before="211"/>
        <w:ind w:right="977"/>
      </w:pPr>
      <w:r>
        <w:rPr>
          <w:spacing w:val="-2"/>
        </w:rPr>
        <w:t>612:20-3-24.</w:t>
      </w:r>
      <w:r>
        <w:rPr/>
        <w:tab/>
        <w:t>Protocol</w:t>
      </w:r>
      <w:r>
        <w:rPr>
          <w:spacing w:val="-5"/>
        </w:rPr>
        <w:t> </w:t>
      </w:r>
      <w:r>
        <w:rPr/>
        <w:t>for</w:t>
      </w:r>
      <w:r>
        <w:rPr>
          <w:spacing w:val="-4"/>
        </w:rPr>
        <w:t> </w:t>
      </w:r>
      <w:r>
        <w:rPr/>
        <w:t>inappropriate</w:t>
      </w:r>
      <w:r>
        <w:rPr>
          <w:spacing w:val="-5"/>
        </w:rPr>
        <w:t> </w:t>
      </w:r>
      <w:r>
        <w:rPr/>
        <w:t>body</w:t>
      </w:r>
      <w:r>
        <w:rPr>
          <w:spacing w:val="-5"/>
        </w:rPr>
        <w:t> </w:t>
      </w:r>
      <w:r>
        <w:rPr/>
        <w:t>contact</w:t>
      </w:r>
      <w:r>
        <w:rPr>
          <w:spacing w:val="-4"/>
        </w:rPr>
        <w:t> </w:t>
      </w:r>
      <w:r>
        <w:rPr/>
        <w:t>between</w:t>
      </w:r>
      <w:r>
        <w:rPr>
          <w:spacing w:val="-5"/>
        </w:rPr>
        <w:t> </w:t>
      </w:r>
      <w:r>
        <w:rPr/>
        <w:t>student</w:t>
      </w:r>
      <w:r>
        <w:rPr>
          <w:spacing w:val="-4"/>
        </w:rPr>
        <w:t> </w:t>
      </w:r>
      <w:r>
        <w:rPr/>
        <w:t>and</w:t>
      </w:r>
      <w:r>
        <w:rPr>
          <w:spacing w:val="-5"/>
        </w:rPr>
        <w:t> </w:t>
      </w:r>
      <w:r>
        <w:rPr/>
        <w:t>staff </w:t>
      </w:r>
      <w:r>
        <w:rPr>
          <w:spacing w:val="-2"/>
        </w:rPr>
        <w:t>612:20-3-25.</w:t>
      </w:r>
      <w:r>
        <w:rPr/>
        <w:tab/>
        <w:t>Protocol for inappropriate body contact between students</w:t>
      </w:r>
    </w:p>
    <w:p>
      <w:pPr>
        <w:pStyle w:val="BodyText"/>
        <w:tabs>
          <w:tab w:pos="2519" w:val="left" w:leader="none"/>
          <w:tab w:pos="3959" w:val="left" w:leader="none"/>
        </w:tabs>
        <w:spacing w:line="208" w:lineRule="auto" w:before="29"/>
        <w:ind w:right="1900"/>
      </w:pPr>
      <w:r>
        <w:rPr>
          <w:spacing w:val="-2"/>
        </w:rPr>
        <w:t>612:20-3-26.</w:t>
      </w:r>
      <w:r>
        <w:rPr/>
        <w:tab/>
        <w:t>Special</w:t>
      </w:r>
      <w:r>
        <w:rPr>
          <w:spacing w:val="-6"/>
        </w:rPr>
        <w:t> </w:t>
      </w:r>
      <w:r>
        <w:rPr/>
        <w:t>procedures</w:t>
      </w:r>
      <w:r>
        <w:rPr>
          <w:spacing w:val="-6"/>
        </w:rPr>
        <w:t> </w:t>
      </w:r>
      <w:r>
        <w:rPr/>
        <w:t>for</w:t>
      </w:r>
      <w:r>
        <w:rPr>
          <w:spacing w:val="-7"/>
        </w:rPr>
        <w:t> </w:t>
      </w:r>
      <w:r>
        <w:rPr/>
        <w:t>prevention</w:t>
      </w:r>
      <w:r>
        <w:rPr>
          <w:spacing w:val="-5"/>
        </w:rPr>
        <w:t> </w:t>
      </w:r>
      <w:r>
        <w:rPr/>
        <w:t>of</w:t>
      </w:r>
      <w:r>
        <w:rPr>
          <w:spacing w:val="-5"/>
        </w:rPr>
        <w:t> </w:t>
      </w:r>
      <w:r>
        <w:rPr/>
        <w:t>abuse,</w:t>
      </w:r>
      <w:r>
        <w:rPr>
          <w:spacing w:val="-7"/>
        </w:rPr>
        <w:t> </w:t>
      </w:r>
      <w:r>
        <w:rPr/>
        <w:t>neglect,</w:t>
      </w:r>
      <w:r>
        <w:rPr>
          <w:spacing w:val="-5"/>
        </w:rPr>
        <w:t> </w:t>
      </w:r>
      <w:r>
        <w:rPr/>
        <w:t>and </w:t>
      </w:r>
      <w:r>
        <w:rPr>
          <w:spacing w:val="-2"/>
        </w:rPr>
        <w:t>inappropriate</w:t>
      </w:r>
      <w:r>
        <w:rPr/>
        <w:tab/>
        <w:tab/>
        <w:t>body contact</w:t>
      </w:r>
    </w:p>
    <w:p>
      <w:pPr>
        <w:pStyle w:val="BodyText"/>
        <w:tabs>
          <w:tab w:pos="2519" w:val="left" w:leader="none"/>
        </w:tabs>
        <w:spacing w:before="210"/>
      </w:pPr>
      <w:r>
        <w:rPr>
          <w:spacing w:val="-2"/>
        </w:rPr>
        <w:t>612:20-3-</w:t>
      </w:r>
      <w:r>
        <w:rPr>
          <w:spacing w:val="-5"/>
        </w:rPr>
        <w:t>27.</w:t>
      </w:r>
      <w:r>
        <w:rPr/>
        <w:tab/>
        <w:t>Harassment</w:t>
      </w:r>
      <w:r>
        <w:rPr>
          <w:spacing w:val="-4"/>
        </w:rPr>
        <w:t> </w:t>
      </w:r>
      <w:r>
        <w:rPr/>
        <w:t>of</w:t>
      </w:r>
      <w:r>
        <w:rPr>
          <w:spacing w:val="-3"/>
        </w:rPr>
        <w:t> </w:t>
      </w:r>
      <w:r>
        <w:rPr>
          <w:spacing w:val="-2"/>
        </w:rPr>
        <w:t>students</w:t>
      </w:r>
    </w:p>
    <w:p>
      <w:pPr>
        <w:pStyle w:val="Heading1"/>
        <w:spacing w:before="204"/>
        <w:ind w:left="1078" w:right="0"/>
        <w:jc w:val="left"/>
      </w:pPr>
      <w:r>
        <w:rPr/>
        <w:t>PART</w:t>
      </w:r>
      <w:r>
        <w:rPr>
          <w:spacing w:val="-2"/>
        </w:rPr>
        <w:t> </w:t>
      </w:r>
      <w:r>
        <w:rPr/>
        <w:t>5.</w:t>
      </w:r>
      <w:r>
        <w:rPr>
          <w:spacing w:val="-3"/>
        </w:rPr>
        <w:t> </w:t>
      </w:r>
      <w:r>
        <w:rPr/>
        <w:t>STANDARDS</w:t>
      </w:r>
      <w:r>
        <w:rPr>
          <w:spacing w:val="-2"/>
        </w:rPr>
        <w:t> </w:t>
      </w:r>
      <w:r>
        <w:rPr/>
        <w:t>OF</w:t>
      </w:r>
      <w:r>
        <w:rPr>
          <w:spacing w:val="-2"/>
        </w:rPr>
        <w:t> </w:t>
      </w:r>
      <w:r>
        <w:rPr/>
        <w:t>CONDUCT</w:t>
      </w:r>
      <w:r>
        <w:rPr>
          <w:spacing w:val="-1"/>
        </w:rPr>
        <w:t> </w:t>
      </w:r>
      <w:r>
        <w:rPr/>
        <w:t>FOR</w:t>
      </w:r>
      <w:r>
        <w:rPr>
          <w:spacing w:val="-2"/>
        </w:rPr>
        <w:t> </w:t>
      </w:r>
      <w:r>
        <w:rPr/>
        <w:t>ALL</w:t>
      </w:r>
      <w:r>
        <w:rPr>
          <w:spacing w:val="-2"/>
        </w:rPr>
        <w:t> </w:t>
      </w:r>
      <w:r>
        <w:rPr/>
        <w:t>SCHOOL</w:t>
      </w:r>
      <w:r>
        <w:rPr>
          <w:spacing w:val="-2"/>
        </w:rPr>
        <w:t> PERSONNEL</w:t>
      </w:r>
    </w:p>
    <w:p>
      <w:pPr>
        <w:pStyle w:val="BodyText"/>
        <w:spacing w:before="204"/>
      </w:pPr>
      <w:r>
        <w:rPr>
          <w:spacing w:val="-2"/>
        </w:rPr>
        <w:t>Section</w:t>
      </w:r>
    </w:p>
    <w:p>
      <w:pPr>
        <w:pStyle w:val="BodyText"/>
        <w:spacing w:after="0"/>
        <w:sectPr>
          <w:pgSz w:w="12240" w:h="15840"/>
          <w:pgMar w:top="1340" w:bottom="280" w:left="1080" w:right="720"/>
        </w:sectPr>
      </w:pPr>
    </w:p>
    <w:p>
      <w:pPr>
        <w:pStyle w:val="BodyText"/>
        <w:tabs>
          <w:tab w:pos="2519" w:val="left" w:leader="none"/>
        </w:tabs>
        <w:spacing w:before="67"/>
      </w:pPr>
      <w:r>
        <w:rPr>
          <w:spacing w:val="-2"/>
        </w:rPr>
        <w:t>612:20-3-</w:t>
      </w:r>
      <w:r>
        <w:rPr>
          <w:spacing w:val="-5"/>
        </w:rPr>
        <w:t>37.</w:t>
      </w:r>
      <w:r>
        <w:rPr/>
        <w:tab/>
      </w:r>
      <w:r>
        <w:rPr>
          <w:spacing w:val="-2"/>
        </w:rPr>
        <w:t>Purpose</w:t>
      </w:r>
    </w:p>
    <w:p>
      <w:pPr>
        <w:pStyle w:val="BodyText"/>
        <w:tabs>
          <w:tab w:pos="2519" w:val="left" w:leader="none"/>
        </w:tabs>
        <w:spacing w:line="208" w:lineRule="auto" w:before="233"/>
        <w:ind w:left="2520" w:right="1261" w:hanging="2160"/>
      </w:pPr>
      <w:r>
        <w:rPr>
          <w:spacing w:val="-2"/>
        </w:rPr>
        <w:t>612:20-3-38.</w:t>
      </w:r>
      <w:r>
        <w:rPr/>
        <w:tab/>
        <w:t>Use</w:t>
      </w:r>
      <w:r>
        <w:rPr>
          <w:spacing w:val="-5"/>
        </w:rPr>
        <w:t> </w:t>
      </w:r>
      <w:r>
        <w:rPr/>
        <w:t>of</w:t>
      </w:r>
      <w:r>
        <w:rPr>
          <w:spacing w:val="-4"/>
        </w:rPr>
        <w:t> </w:t>
      </w:r>
      <w:r>
        <w:rPr/>
        <w:t>alcohol,</w:t>
      </w:r>
      <w:r>
        <w:rPr>
          <w:spacing w:val="-4"/>
        </w:rPr>
        <w:t> </w:t>
      </w:r>
      <w:r>
        <w:rPr/>
        <w:t>drugs</w:t>
      </w:r>
      <w:r>
        <w:rPr>
          <w:spacing w:val="-5"/>
        </w:rPr>
        <w:t> </w:t>
      </w:r>
      <w:r>
        <w:rPr/>
        <w:t>and</w:t>
      </w:r>
      <w:r>
        <w:rPr>
          <w:spacing w:val="-5"/>
        </w:rPr>
        <w:t> </w:t>
      </w:r>
      <w:r>
        <w:rPr/>
        <w:t>controlled</w:t>
      </w:r>
      <w:r>
        <w:rPr>
          <w:spacing w:val="-5"/>
        </w:rPr>
        <w:t> </w:t>
      </w:r>
      <w:r>
        <w:rPr/>
        <w:t>substances</w:t>
      </w:r>
      <w:r>
        <w:rPr>
          <w:spacing w:val="-5"/>
        </w:rPr>
        <w:t> </w:t>
      </w:r>
      <w:r>
        <w:rPr/>
        <w:t>by</w:t>
      </w:r>
      <w:r>
        <w:rPr>
          <w:spacing w:val="-5"/>
        </w:rPr>
        <w:t> </w:t>
      </w:r>
      <w:r>
        <w:rPr/>
        <w:t>employees (Drug-Free Workplace)</w:t>
      </w:r>
    </w:p>
    <w:p>
      <w:pPr>
        <w:pStyle w:val="BodyText"/>
        <w:tabs>
          <w:tab w:pos="2519" w:val="left" w:leader="none"/>
        </w:tabs>
        <w:spacing w:before="210"/>
        <w:ind w:left="359"/>
      </w:pPr>
      <w:r>
        <w:rPr>
          <w:spacing w:val="-2"/>
        </w:rPr>
        <w:t>612:20-3-</w:t>
      </w:r>
      <w:r>
        <w:rPr>
          <w:spacing w:val="-5"/>
        </w:rPr>
        <w:t>39.</w:t>
      </w:r>
      <w:r>
        <w:rPr/>
        <w:tab/>
        <w:t>Felony</w:t>
      </w:r>
      <w:r>
        <w:rPr>
          <w:spacing w:val="-3"/>
        </w:rPr>
        <w:t> </w:t>
      </w:r>
      <w:r>
        <w:rPr/>
        <w:t>record</w:t>
      </w:r>
      <w:r>
        <w:rPr>
          <w:spacing w:val="-3"/>
        </w:rPr>
        <w:t> </w:t>
      </w:r>
      <w:r>
        <w:rPr>
          <w:spacing w:val="-2"/>
        </w:rPr>
        <w:t>search</w:t>
      </w:r>
    </w:p>
    <w:p>
      <w:pPr>
        <w:pStyle w:val="Heading1"/>
        <w:spacing w:before="204"/>
        <w:ind w:right="777"/>
      </w:pPr>
      <w:r>
        <w:rPr/>
        <w:t>PART</w:t>
      </w:r>
      <w:r>
        <w:rPr>
          <w:spacing w:val="-2"/>
        </w:rPr>
        <w:t> </w:t>
      </w:r>
      <w:r>
        <w:rPr/>
        <w:t>7.</w:t>
      </w:r>
      <w:r>
        <w:rPr>
          <w:spacing w:val="63"/>
        </w:rPr>
        <w:t> </w:t>
      </w:r>
      <w:r>
        <w:rPr/>
        <w:t>STUDENT</w:t>
      </w:r>
      <w:r>
        <w:rPr>
          <w:spacing w:val="-1"/>
        </w:rPr>
        <w:t> </w:t>
      </w:r>
      <w:r>
        <w:rPr>
          <w:spacing w:val="-2"/>
        </w:rPr>
        <w:t>RIGHTS</w:t>
      </w:r>
    </w:p>
    <w:p>
      <w:pPr>
        <w:pStyle w:val="BodyText"/>
        <w:spacing w:before="204"/>
        <w:ind w:left="359"/>
      </w:pPr>
      <w:r>
        <w:rPr>
          <w:spacing w:val="-2"/>
        </w:rPr>
        <w:t>Section</w:t>
      </w:r>
    </w:p>
    <w:p>
      <w:pPr>
        <w:pStyle w:val="BodyText"/>
        <w:tabs>
          <w:tab w:pos="2519" w:val="left" w:leader="none"/>
        </w:tabs>
        <w:spacing w:before="204"/>
        <w:ind w:left="359"/>
      </w:pPr>
      <w:r>
        <w:rPr>
          <w:spacing w:val="-2"/>
        </w:rPr>
        <w:t>612:20-3-</w:t>
      </w:r>
      <w:r>
        <w:rPr>
          <w:spacing w:val="-5"/>
        </w:rPr>
        <w:t>49</w:t>
      </w:r>
      <w:r>
        <w:rPr/>
        <w:tab/>
        <w:t>Residential</w:t>
      </w:r>
      <w:r>
        <w:rPr>
          <w:spacing w:val="-6"/>
        </w:rPr>
        <w:t> </w:t>
      </w:r>
      <w:r>
        <w:rPr>
          <w:spacing w:val="-4"/>
        </w:rPr>
        <w:t>Life</w:t>
      </w:r>
    </w:p>
    <w:p>
      <w:pPr>
        <w:spacing w:before="238"/>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7-1-95</w:t>
      </w:r>
      <w:r>
        <w:rPr>
          <w:sz w:val="22"/>
        </w:rPr>
        <w:tab/>
        <w:t>PT Memo #95-2</w:t>
      </w:r>
    </w:p>
    <w:p>
      <w:pPr>
        <w:spacing w:before="0"/>
        <w:ind w:left="359" w:right="779" w:firstLine="1080"/>
        <w:jc w:val="left"/>
        <w:rPr>
          <w:sz w:val="22"/>
        </w:rPr>
      </w:pPr>
      <w:r>
        <w:rPr>
          <w:sz w:val="22"/>
        </w:rPr>
        <w:t>Permanent,</w:t>
      </w:r>
      <w:r>
        <w:rPr>
          <w:spacing w:val="-3"/>
          <w:sz w:val="22"/>
        </w:rPr>
        <w:t> </w:t>
      </w:r>
      <w:r>
        <w:rPr>
          <w:sz w:val="22"/>
        </w:rPr>
        <w:t>added</w:t>
      </w:r>
      <w:r>
        <w:rPr>
          <w:spacing w:val="-4"/>
          <w:sz w:val="22"/>
        </w:rPr>
        <w:t> </w:t>
      </w:r>
      <w:r>
        <w:rPr>
          <w:sz w:val="22"/>
        </w:rPr>
        <w:t>entries</w:t>
      </w:r>
      <w:r>
        <w:rPr>
          <w:spacing w:val="-4"/>
          <w:sz w:val="22"/>
        </w:rPr>
        <w:t> </w:t>
      </w:r>
      <w:r>
        <w:rPr>
          <w:sz w:val="22"/>
        </w:rPr>
        <w:t>for</w:t>
      </w:r>
      <w:r>
        <w:rPr>
          <w:spacing w:val="-4"/>
          <w:sz w:val="22"/>
        </w:rPr>
        <w:t> </w:t>
      </w:r>
      <w:r>
        <w:rPr>
          <w:sz w:val="22"/>
        </w:rPr>
        <w:t>new</w:t>
      </w:r>
      <w:r>
        <w:rPr>
          <w:spacing w:val="-5"/>
          <w:sz w:val="22"/>
        </w:rPr>
        <w:t> </w:t>
      </w:r>
      <w:r>
        <w:rPr>
          <w:sz w:val="22"/>
        </w:rPr>
        <w:t>Sections</w:t>
      </w:r>
      <w:r>
        <w:rPr>
          <w:spacing w:val="-4"/>
          <w:sz w:val="22"/>
        </w:rPr>
        <w:t> </w:t>
      </w:r>
      <w:r>
        <w:rPr>
          <w:sz w:val="22"/>
        </w:rPr>
        <w:t>and</w:t>
      </w:r>
      <w:r>
        <w:rPr>
          <w:spacing w:val="-4"/>
          <w:sz w:val="22"/>
        </w:rPr>
        <w:t> </w:t>
      </w:r>
      <w:r>
        <w:rPr>
          <w:sz w:val="22"/>
        </w:rPr>
        <w:t>deleted</w:t>
      </w:r>
      <w:r>
        <w:rPr>
          <w:spacing w:val="-4"/>
          <w:sz w:val="22"/>
        </w:rPr>
        <w:t> </w:t>
      </w:r>
      <w:r>
        <w:rPr>
          <w:sz w:val="22"/>
        </w:rPr>
        <w:t>entries</w:t>
      </w:r>
      <w:r>
        <w:rPr>
          <w:spacing w:val="-4"/>
          <w:sz w:val="22"/>
        </w:rPr>
        <w:t> </w:t>
      </w:r>
      <w:r>
        <w:rPr>
          <w:sz w:val="22"/>
        </w:rPr>
        <w:t>for</w:t>
      </w:r>
      <w:r>
        <w:rPr>
          <w:spacing w:val="-4"/>
          <w:sz w:val="22"/>
        </w:rPr>
        <w:t> </w:t>
      </w:r>
      <w:r>
        <w:rPr>
          <w:sz w:val="22"/>
        </w:rPr>
        <w:t>revoked</w:t>
      </w:r>
      <w:r>
        <w:rPr>
          <w:spacing w:val="-4"/>
          <w:sz w:val="22"/>
        </w:rPr>
        <w:t> </w:t>
      </w:r>
      <w:r>
        <w:rPr>
          <w:sz w:val="22"/>
        </w:rPr>
        <w:t>Sections 10-12-95</w:t>
      </w:r>
      <w:r>
        <w:rPr>
          <w:spacing w:val="80"/>
          <w:sz w:val="22"/>
        </w:rPr>
        <w:t> </w:t>
      </w:r>
      <w:r>
        <w:rPr>
          <w:sz w:val="22"/>
        </w:rPr>
        <w:t>PT Memo #95-3</w:t>
      </w:r>
    </w:p>
    <w:p>
      <w:pPr>
        <w:tabs>
          <w:tab w:pos="1439" w:val="left" w:leader="none"/>
        </w:tabs>
        <w:spacing w:before="0"/>
        <w:ind w:left="359" w:right="3874" w:firstLine="1080"/>
        <w:jc w:val="left"/>
        <w:rPr>
          <w:sz w:val="22"/>
        </w:rPr>
      </w:pPr>
      <w:r>
        <w:rPr>
          <w:sz w:val="22"/>
        </w:rPr>
        <w:t>Emergency,</w:t>
      </w:r>
      <w:r>
        <w:rPr>
          <w:spacing w:val="-7"/>
          <w:sz w:val="22"/>
        </w:rPr>
        <w:t> </w:t>
      </w:r>
      <w:r>
        <w:rPr>
          <w:sz w:val="22"/>
        </w:rPr>
        <w:t>revised</w:t>
      </w:r>
      <w:r>
        <w:rPr>
          <w:spacing w:val="-7"/>
          <w:sz w:val="22"/>
        </w:rPr>
        <w:t> </w:t>
      </w:r>
      <w:r>
        <w:rPr>
          <w:sz w:val="22"/>
        </w:rPr>
        <w:t>to</w:t>
      </w:r>
      <w:r>
        <w:rPr>
          <w:spacing w:val="-7"/>
          <w:sz w:val="22"/>
        </w:rPr>
        <w:t> </w:t>
      </w:r>
      <w:r>
        <w:rPr>
          <w:sz w:val="22"/>
        </w:rPr>
        <w:t>add</w:t>
      </w:r>
      <w:r>
        <w:rPr>
          <w:spacing w:val="-7"/>
          <w:sz w:val="22"/>
        </w:rPr>
        <w:t> </w:t>
      </w:r>
      <w:r>
        <w:rPr>
          <w:sz w:val="22"/>
        </w:rPr>
        <w:t>new</w:t>
      </w:r>
      <w:r>
        <w:rPr>
          <w:spacing w:val="-7"/>
          <w:sz w:val="22"/>
        </w:rPr>
        <w:t> </w:t>
      </w:r>
      <w:r>
        <w:rPr>
          <w:sz w:val="22"/>
        </w:rPr>
        <w:t>Section</w:t>
      </w:r>
      <w:r>
        <w:rPr>
          <w:spacing w:val="-7"/>
          <w:sz w:val="22"/>
        </w:rPr>
        <w:t> </w:t>
      </w:r>
      <w:r>
        <w:rPr>
          <w:sz w:val="22"/>
        </w:rPr>
        <w:t>612:20-3-20 </w:t>
      </w:r>
      <w:r>
        <w:rPr>
          <w:spacing w:val="-2"/>
          <w:sz w:val="22"/>
        </w:rPr>
        <w:t>8-1-96</w:t>
      </w:r>
      <w:r>
        <w:rPr>
          <w:sz w:val="22"/>
        </w:rPr>
        <w:tab/>
        <w:t>PT Memo #97-2</w:t>
      </w:r>
    </w:p>
    <w:p>
      <w:pPr>
        <w:tabs>
          <w:tab w:pos="1439" w:val="left" w:leader="none"/>
        </w:tabs>
        <w:spacing w:before="0"/>
        <w:ind w:left="359" w:right="2945" w:firstLine="1080"/>
        <w:jc w:val="left"/>
        <w:rPr>
          <w:sz w:val="22"/>
        </w:rPr>
      </w:pPr>
      <w:r>
        <w:rPr>
          <w:sz w:val="22"/>
        </w:rPr>
        <w:t>Permanent</w:t>
      </w:r>
      <w:r>
        <w:rPr>
          <w:spacing w:val="-7"/>
          <w:sz w:val="22"/>
        </w:rPr>
        <w:t> </w:t>
      </w:r>
      <w:r>
        <w:rPr>
          <w:sz w:val="22"/>
        </w:rPr>
        <w:t>rules</w:t>
      </w:r>
      <w:r>
        <w:rPr>
          <w:spacing w:val="-7"/>
          <w:sz w:val="22"/>
        </w:rPr>
        <w:t> </w:t>
      </w:r>
      <w:r>
        <w:rPr>
          <w:sz w:val="22"/>
        </w:rPr>
        <w:t>supersede</w:t>
      </w:r>
      <w:r>
        <w:rPr>
          <w:spacing w:val="-7"/>
          <w:sz w:val="22"/>
        </w:rPr>
        <w:t> </w:t>
      </w:r>
      <w:r>
        <w:rPr>
          <w:sz w:val="22"/>
        </w:rPr>
        <w:t>Emergency</w:t>
      </w:r>
      <w:r>
        <w:rPr>
          <w:spacing w:val="-7"/>
          <w:sz w:val="22"/>
        </w:rPr>
        <w:t> </w:t>
      </w:r>
      <w:r>
        <w:rPr>
          <w:sz w:val="22"/>
        </w:rPr>
        <w:t>rules</w:t>
      </w:r>
      <w:r>
        <w:rPr>
          <w:spacing w:val="-7"/>
          <w:sz w:val="22"/>
        </w:rPr>
        <w:t> </w:t>
      </w:r>
      <w:r>
        <w:rPr>
          <w:sz w:val="22"/>
        </w:rPr>
        <w:t>issued</w:t>
      </w:r>
      <w:r>
        <w:rPr>
          <w:spacing w:val="-7"/>
          <w:sz w:val="22"/>
        </w:rPr>
        <w:t> </w:t>
      </w:r>
      <w:r>
        <w:rPr>
          <w:sz w:val="22"/>
        </w:rPr>
        <w:t>10-12-95 </w:t>
      </w:r>
      <w:r>
        <w:rPr>
          <w:spacing w:val="-2"/>
          <w:sz w:val="22"/>
        </w:rPr>
        <w:t>7-30-97</w:t>
      </w:r>
      <w:r>
        <w:rPr>
          <w:sz w:val="22"/>
        </w:rPr>
        <w:tab/>
        <w:t>PT Memo #98-2</w:t>
      </w:r>
    </w:p>
    <w:p>
      <w:pPr>
        <w:spacing w:line="253" w:lineRule="exact" w:before="1"/>
        <w:ind w:left="1439" w:right="0" w:firstLine="0"/>
        <w:jc w:val="left"/>
        <w:rPr>
          <w:sz w:val="22"/>
        </w:rPr>
      </w:pPr>
      <w:r>
        <w:rPr>
          <w:sz w:val="22"/>
        </w:rPr>
        <w:t>Added</w:t>
      </w:r>
      <w:r>
        <w:rPr>
          <w:spacing w:val="-7"/>
          <w:sz w:val="22"/>
        </w:rPr>
        <w:t> </w:t>
      </w:r>
      <w:r>
        <w:rPr>
          <w:sz w:val="22"/>
        </w:rPr>
        <w:t>Part</w:t>
      </w:r>
      <w:r>
        <w:rPr>
          <w:spacing w:val="-6"/>
          <w:sz w:val="22"/>
        </w:rPr>
        <w:t> </w:t>
      </w:r>
      <w:r>
        <w:rPr>
          <w:spacing w:val="-10"/>
          <w:sz w:val="22"/>
        </w:rPr>
        <w:t>5</w:t>
      </w:r>
    </w:p>
    <w:p>
      <w:pPr>
        <w:tabs>
          <w:tab w:pos="1439" w:val="left" w:leader="none"/>
        </w:tabs>
        <w:spacing w:line="253" w:lineRule="exact" w:before="0"/>
        <w:ind w:left="359" w:right="0" w:firstLine="0"/>
        <w:jc w:val="left"/>
        <w:rPr>
          <w:sz w:val="22"/>
        </w:rPr>
      </w:pPr>
      <w:r>
        <w:rPr>
          <w:spacing w:val="-2"/>
          <w:sz w:val="22"/>
        </w:rPr>
        <w:t>7-1-</w:t>
      </w:r>
      <w:r>
        <w:rPr>
          <w:spacing w:val="-5"/>
          <w:sz w:val="22"/>
        </w:rPr>
        <w:t>98</w:t>
      </w:r>
      <w:r>
        <w:rPr>
          <w:sz w:val="22"/>
        </w:rPr>
        <w:tab/>
        <w:t>PT</w:t>
      </w:r>
      <w:r>
        <w:rPr>
          <w:spacing w:val="-8"/>
          <w:sz w:val="22"/>
        </w:rPr>
        <w:t> </w:t>
      </w:r>
      <w:r>
        <w:rPr>
          <w:sz w:val="22"/>
        </w:rPr>
        <w:t>Memo</w:t>
      </w:r>
      <w:r>
        <w:rPr>
          <w:spacing w:val="-8"/>
          <w:sz w:val="22"/>
        </w:rPr>
        <w:t> </w:t>
      </w:r>
      <w:r>
        <w:rPr>
          <w:sz w:val="22"/>
        </w:rPr>
        <w:t>#98-</w:t>
      </w:r>
      <w:r>
        <w:rPr>
          <w:spacing w:val="-5"/>
          <w:sz w:val="22"/>
        </w:rPr>
        <w:t>15</w:t>
      </w:r>
    </w:p>
    <w:p>
      <w:pPr>
        <w:tabs>
          <w:tab w:pos="1439" w:val="left" w:leader="none"/>
        </w:tabs>
        <w:spacing w:before="0"/>
        <w:ind w:left="359" w:right="2284" w:firstLine="1080"/>
        <w:jc w:val="left"/>
        <w:rPr>
          <w:sz w:val="22"/>
        </w:rPr>
      </w:pPr>
      <w:r>
        <w:rPr>
          <w:sz w:val="22"/>
        </w:rPr>
        <w:t>Permanent,</w:t>
      </w:r>
      <w:r>
        <w:rPr>
          <w:spacing w:val="-4"/>
          <w:sz w:val="22"/>
        </w:rPr>
        <w:t> </w:t>
      </w:r>
      <w:r>
        <w:rPr>
          <w:sz w:val="22"/>
        </w:rPr>
        <w:t>added</w:t>
      </w:r>
      <w:r>
        <w:rPr>
          <w:spacing w:val="-5"/>
          <w:sz w:val="22"/>
        </w:rPr>
        <w:t> </w:t>
      </w:r>
      <w:r>
        <w:rPr>
          <w:sz w:val="22"/>
        </w:rPr>
        <w:t>new</w:t>
      </w:r>
      <w:r>
        <w:rPr>
          <w:spacing w:val="-6"/>
          <w:sz w:val="22"/>
        </w:rPr>
        <w:t> </w:t>
      </w:r>
      <w:r>
        <w:rPr>
          <w:sz w:val="22"/>
        </w:rPr>
        <w:t>Sections;</w:t>
      </w:r>
      <w:r>
        <w:rPr>
          <w:spacing w:val="-5"/>
          <w:sz w:val="22"/>
        </w:rPr>
        <w:t> </w:t>
      </w:r>
      <w:r>
        <w:rPr>
          <w:sz w:val="22"/>
        </w:rPr>
        <w:t>removed</w:t>
      </w:r>
      <w:r>
        <w:rPr>
          <w:spacing w:val="-5"/>
          <w:sz w:val="22"/>
        </w:rPr>
        <w:t> </w:t>
      </w:r>
      <w:r>
        <w:rPr>
          <w:sz w:val="22"/>
        </w:rPr>
        <w:t>listing</w:t>
      </w:r>
      <w:r>
        <w:rPr>
          <w:spacing w:val="-5"/>
          <w:sz w:val="22"/>
        </w:rPr>
        <w:t> </w:t>
      </w:r>
      <w:r>
        <w:rPr>
          <w:sz w:val="22"/>
        </w:rPr>
        <w:t>for</w:t>
      </w:r>
      <w:r>
        <w:rPr>
          <w:spacing w:val="-5"/>
          <w:sz w:val="22"/>
        </w:rPr>
        <w:t> </w:t>
      </w:r>
      <w:r>
        <w:rPr>
          <w:sz w:val="22"/>
        </w:rPr>
        <w:t>Section</w:t>
      </w:r>
      <w:r>
        <w:rPr>
          <w:spacing w:val="-5"/>
          <w:sz w:val="22"/>
        </w:rPr>
        <w:t> </w:t>
      </w:r>
      <w:r>
        <w:rPr>
          <w:sz w:val="22"/>
        </w:rPr>
        <w:t>20-3-44 </w:t>
      </w:r>
      <w:r>
        <w:rPr>
          <w:spacing w:val="-2"/>
          <w:sz w:val="22"/>
        </w:rPr>
        <w:t>7-1-05</w:t>
      </w:r>
      <w:r>
        <w:rPr>
          <w:sz w:val="22"/>
        </w:rPr>
        <w:tab/>
        <w:t>PT Memo #06-01</w:t>
      </w:r>
    </w:p>
    <w:p>
      <w:pPr>
        <w:spacing w:before="0"/>
        <w:ind w:left="1439" w:right="0" w:firstLine="0"/>
        <w:jc w:val="left"/>
        <w:rPr>
          <w:sz w:val="22"/>
        </w:rPr>
      </w:pPr>
      <w:r>
        <w:rPr>
          <w:sz w:val="22"/>
        </w:rPr>
        <w:t>Permanent,</w:t>
      </w:r>
      <w:r>
        <w:rPr>
          <w:spacing w:val="-8"/>
          <w:sz w:val="22"/>
        </w:rPr>
        <w:t> </w:t>
      </w:r>
      <w:r>
        <w:rPr>
          <w:sz w:val="22"/>
        </w:rPr>
        <w:t>added</w:t>
      </w:r>
      <w:r>
        <w:rPr>
          <w:spacing w:val="-9"/>
          <w:sz w:val="22"/>
        </w:rPr>
        <w:t> </w:t>
      </w:r>
      <w:r>
        <w:rPr>
          <w:sz w:val="22"/>
        </w:rPr>
        <w:t>new</w:t>
      </w:r>
      <w:r>
        <w:rPr>
          <w:spacing w:val="-9"/>
          <w:sz w:val="22"/>
        </w:rPr>
        <w:t> </w:t>
      </w:r>
      <w:r>
        <w:rPr>
          <w:sz w:val="22"/>
        </w:rPr>
        <w:t>section,</w:t>
      </w:r>
      <w:r>
        <w:rPr>
          <w:spacing w:val="-9"/>
          <w:sz w:val="22"/>
        </w:rPr>
        <w:t> </w:t>
      </w:r>
      <w:r>
        <w:rPr>
          <w:sz w:val="22"/>
        </w:rPr>
        <w:t>residential</w:t>
      </w:r>
      <w:r>
        <w:rPr>
          <w:spacing w:val="-9"/>
          <w:sz w:val="22"/>
        </w:rPr>
        <w:t> </w:t>
      </w:r>
      <w:r>
        <w:rPr>
          <w:spacing w:val="-4"/>
          <w:sz w:val="22"/>
        </w:rPr>
        <w:t>life</w:t>
      </w:r>
    </w:p>
    <w:p>
      <w:pPr>
        <w:spacing w:after="0"/>
        <w:jc w:val="left"/>
        <w:rPr>
          <w:sz w:val="22"/>
        </w:rPr>
        <w:sectPr>
          <w:pgSz w:w="12240" w:h="15840"/>
          <w:pgMar w:top="1340" w:bottom="280" w:left="1080" w:right="720"/>
        </w:sectPr>
      </w:pPr>
    </w:p>
    <w:p>
      <w:pPr>
        <w:pStyle w:val="Heading1"/>
      </w:pPr>
      <w:bookmarkStart w:name="PART 1. GENERAL EDUCATIONAL POLICIES" w:id="339"/>
      <w:bookmarkEnd w:id="339"/>
      <w:r>
        <w:rPr>
          <w:b w:val="0"/>
        </w:rPr>
      </w:r>
      <w:r>
        <w:rPr/>
        <w:t>PART</w:t>
      </w:r>
      <w:r>
        <w:rPr>
          <w:spacing w:val="-3"/>
        </w:rPr>
        <w:t> </w:t>
      </w:r>
      <w:r>
        <w:rPr/>
        <w:t>1.</w:t>
      </w:r>
      <w:r>
        <w:rPr>
          <w:spacing w:val="-3"/>
        </w:rPr>
        <w:t> </w:t>
      </w:r>
      <w:r>
        <w:rPr/>
        <w:t>GENERAL</w:t>
      </w:r>
      <w:r>
        <w:rPr>
          <w:spacing w:val="-3"/>
        </w:rPr>
        <w:t> </w:t>
      </w:r>
      <w:r>
        <w:rPr/>
        <w:t>EDUCATIONAL</w:t>
      </w:r>
      <w:r>
        <w:rPr>
          <w:spacing w:val="-3"/>
        </w:rPr>
        <w:t> </w:t>
      </w:r>
      <w:r>
        <w:rPr>
          <w:spacing w:val="-2"/>
        </w:rPr>
        <w:t>POLICIES</w:t>
      </w:r>
    </w:p>
    <w:p>
      <w:pPr>
        <w:pStyle w:val="BodyText"/>
        <w:spacing w:before="204"/>
      </w:pPr>
      <w:r>
        <w:rPr>
          <w:spacing w:val="-2"/>
        </w:rPr>
        <w:t>Section</w:t>
      </w:r>
    </w:p>
    <w:p>
      <w:pPr>
        <w:pStyle w:val="BodyText"/>
        <w:tabs>
          <w:tab w:pos="2519" w:val="left" w:leader="none"/>
        </w:tabs>
        <w:spacing w:before="204"/>
      </w:pPr>
      <w:r>
        <w:rPr>
          <w:spacing w:val="-2"/>
        </w:rPr>
        <w:t>612:20-3-</w:t>
      </w:r>
      <w:r>
        <w:rPr>
          <w:spacing w:val="-5"/>
        </w:rPr>
        <w:t>1.</w:t>
      </w:r>
      <w:r>
        <w:rPr/>
        <w:tab/>
        <w:t>The</w:t>
      </w:r>
      <w:r>
        <w:rPr>
          <w:spacing w:val="-3"/>
        </w:rPr>
        <w:t> </w:t>
      </w:r>
      <w:r>
        <w:rPr/>
        <w:t>special</w:t>
      </w:r>
      <w:r>
        <w:rPr>
          <w:spacing w:val="-1"/>
        </w:rPr>
        <w:t> </w:t>
      </w:r>
      <w:r>
        <w:rPr>
          <w:spacing w:val="-2"/>
        </w:rPr>
        <w:t>schools</w:t>
      </w:r>
    </w:p>
    <w:p>
      <w:pPr>
        <w:pStyle w:val="BodyText"/>
        <w:tabs>
          <w:tab w:pos="2519" w:val="left" w:leader="none"/>
        </w:tabs>
        <w:spacing w:before="204"/>
      </w:pPr>
      <w:r>
        <w:rPr>
          <w:spacing w:val="-2"/>
        </w:rPr>
        <w:t>612:20-3-</w:t>
      </w:r>
      <w:r>
        <w:rPr>
          <w:spacing w:val="-5"/>
        </w:rPr>
        <w:t>2.</w:t>
      </w:r>
      <w:r>
        <w:rPr/>
        <w:tab/>
        <w:t>Administrative</w:t>
      </w:r>
      <w:r>
        <w:rPr>
          <w:spacing w:val="-7"/>
        </w:rPr>
        <w:t> </w:t>
      </w:r>
      <w:r>
        <w:rPr>
          <w:spacing w:val="-2"/>
        </w:rPr>
        <w:t>responsibility</w:t>
      </w:r>
    </w:p>
    <w:p>
      <w:pPr>
        <w:pStyle w:val="BodyText"/>
        <w:tabs>
          <w:tab w:pos="2519" w:val="left" w:leader="none"/>
        </w:tabs>
        <w:spacing w:line="417" w:lineRule="auto" w:before="204"/>
        <w:ind w:right="2756"/>
      </w:pPr>
      <w:r>
        <w:rPr>
          <w:spacing w:val="-2"/>
        </w:rPr>
        <w:t>612:20-3-3.</w:t>
      </w:r>
      <w:r>
        <w:rPr/>
        <w:tab/>
        <w:t>Comprehensive</w:t>
      </w:r>
      <w:r>
        <w:rPr>
          <w:spacing w:val="-8"/>
        </w:rPr>
        <w:t> </w:t>
      </w:r>
      <w:r>
        <w:rPr/>
        <w:t>programming</w:t>
      </w:r>
      <w:r>
        <w:rPr>
          <w:spacing w:val="-8"/>
        </w:rPr>
        <w:t> </w:t>
      </w:r>
      <w:r>
        <w:rPr/>
        <w:t>for</w:t>
      </w:r>
      <w:r>
        <w:rPr>
          <w:spacing w:val="-9"/>
        </w:rPr>
        <w:t> </w:t>
      </w:r>
      <w:r>
        <w:rPr/>
        <w:t>all</w:t>
      </w:r>
      <w:r>
        <w:rPr>
          <w:spacing w:val="-8"/>
        </w:rPr>
        <w:t> </w:t>
      </w:r>
      <w:r>
        <w:rPr/>
        <w:t>basic</w:t>
      </w:r>
      <w:r>
        <w:rPr>
          <w:spacing w:val="-8"/>
        </w:rPr>
        <w:t> </w:t>
      </w:r>
      <w:r>
        <w:rPr/>
        <w:t>needs </w:t>
      </w:r>
      <w:r>
        <w:rPr>
          <w:spacing w:val="-2"/>
        </w:rPr>
        <w:t>612:20-3-4.</w:t>
      </w:r>
      <w:r>
        <w:rPr/>
        <w:tab/>
      </w:r>
      <w:r>
        <w:rPr>
          <w:spacing w:val="-2"/>
        </w:rPr>
        <w:t>Records</w:t>
      </w:r>
    </w:p>
    <w:p>
      <w:pPr>
        <w:pStyle w:val="BodyText"/>
        <w:tabs>
          <w:tab w:pos="2519" w:val="left" w:leader="none"/>
        </w:tabs>
        <w:spacing w:line="417" w:lineRule="auto" w:before="0"/>
        <w:ind w:left="359" w:right="4916"/>
      </w:pPr>
      <w:r>
        <w:rPr>
          <w:spacing w:val="-2"/>
        </w:rPr>
        <w:t>612:20-3-5.</w:t>
      </w:r>
      <w:r>
        <w:rPr/>
        <w:tab/>
        <w:t>Departmental resources </w:t>
      </w:r>
      <w:r>
        <w:rPr>
          <w:spacing w:val="-2"/>
        </w:rPr>
        <w:t>612:20-3-6.</w:t>
      </w:r>
      <w:r>
        <w:rPr/>
        <w:tab/>
        <w:t>Admission</w:t>
      </w:r>
      <w:r>
        <w:rPr>
          <w:spacing w:val="-10"/>
        </w:rPr>
        <w:t> </w:t>
      </w:r>
      <w:r>
        <w:rPr/>
        <w:t>to</w:t>
      </w:r>
      <w:r>
        <w:rPr>
          <w:spacing w:val="-10"/>
        </w:rPr>
        <w:t> </w:t>
      </w:r>
      <w:r>
        <w:rPr/>
        <w:t>OSB</w:t>
      </w:r>
      <w:r>
        <w:rPr>
          <w:spacing w:val="-10"/>
        </w:rPr>
        <w:t> </w:t>
      </w:r>
      <w:r>
        <w:rPr/>
        <w:t>and</w:t>
      </w:r>
      <w:r>
        <w:rPr>
          <w:spacing w:val="-10"/>
        </w:rPr>
        <w:t> </w:t>
      </w:r>
      <w:r>
        <w:rPr/>
        <w:t>OSD </w:t>
      </w:r>
      <w:r>
        <w:rPr>
          <w:spacing w:val="-2"/>
        </w:rPr>
        <w:t>612:20-3-7.</w:t>
      </w:r>
      <w:r>
        <w:rPr/>
        <w:tab/>
      </w:r>
      <w:r>
        <w:rPr>
          <w:spacing w:val="-2"/>
        </w:rPr>
        <w:t>Discipline</w:t>
      </w:r>
    </w:p>
    <w:p>
      <w:pPr>
        <w:pStyle w:val="BodyText"/>
        <w:tabs>
          <w:tab w:pos="2519" w:val="left" w:leader="none"/>
        </w:tabs>
        <w:spacing w:line="417" w:lineRule="auto" w:before="0"/>
        <w:ind w:right="3022"/>
      </w:pPr>
      <w:r>
        <w:rPr>
          <w:spacing w:val="-2"/>
        </w:rPr>
        <w:t>612:20-3-8.</w:t>
      </w:r>
      <w:r>
        <w:rPr/>
        <w:tab/>
        <w:t>Elementary and Secondary Education Act </w:t>
      </w:r>
      <w:r>
        <w:rPr>
          <w:spacing w:val="-2"/>
        </w:rPr>
        <w:t>612:20-3-9.</w:t>
      </w:r>
      <w:r>
        <w:rPr/>
        <w:tab/>
        <w:t>Regional</w:t>
      </w:r>
      <w:r>
        <w:rPr>
          <w:spacing w:val="-10"/>
        </w:rPr>
        <w:t> </w:t>
      </w:r>
      <w:r>
        <w:rPr/>
        <w:t>preschool</w:t>
      </w:r>
      <w:r>
        <w:rPr>
          <w:spacing w:val="-10"/>
        </w:rPr>
        <w:t> </w:t>
      </w:r>
      <w:r>
        <w:rPr/>
        <w:t>satellite</w:t>
      </w:r>
      <w:r>
        <w:rPr>
          <w:spacing w:val="-10"/>
        </w:rPr>
        <w:t> </w:t>
      </w:r>
      <w:r>
        <w:rPr/>
        <w:t>programs</w:t>
      </w:r>
      <w:r>
        <w:rPr>
          <w:spacing w:val="-10"/>
        </w:rPr>
        <w:t> </w:t>
      </w:r>
      <w:r>
        <w:rPr/>
        <w:t>(RPSP)</w:t>
      </w:r>
    </w:p>
    <w:p>
      <w:pPr>
        <w:pStyle w:val="BodyText"/>
        <w:spacing w:after="0" w:line="417" w:lineRule="auto"/>
        <w:sectPr>
          <w:pgSz w:w="12240" w:h="15840"/>
          <w:pgMar w:top="1340" w:bottom="280" w:left="1080" w:right="720"/>
        </w:sectPr>
      </w:pPr>
    </w:p>
    <w:p>
      <w:pPr>
        <w:pStyle w:val="Heading2"/>
      </w:pPr>
      <w:bookmarkStart w:name="612:20-3-1. The special schools" w:id="340"/>
      <w:bookmarkEnd w:id="340"/>
      <w:r>
        <w:rPr>
          <w:b w:val="0"/>
        </w:rPr>
      </w:r>
      <w:r>
        <w:rPr/>
        <w:t>612:20-3-1.</w:t>
      </w:r>
      <w:r>
        <w:rPr>
          <w:spacing w:val="29"/>
        </w:rPr>
        <w:t>  </w:t>
      </w:r>
      <w:r>
        <w:rPr/>
        <w:t>The</w:t>
      </w:r>
      <w:r>
        <w:rPr>
          <w:spacing w:val="-3"/>
        </w:rPr>
        <w:t> </w:t>
      </w:r>
      <w:r>
        <w:rPr/>
        <w:t>special</w:t>
      </w:r>
      <w:r>
        <w:rPr>
          <w:spacing w:val="-1"/>
        </w:rPr>
        <w:t> </w:t>
      </w:r>
      <w:r>
        <w:rPr>
          <w:spacing w:val="-2"/>
        </w:rPr>
        <w:t>schools</w:t>
      </w:r>
    </w:p>
    <w:p>
      <w:pPr>
        <w:pStyle w:val="ListParagraph"/>
        <w:numPr>
          <w:ilvl w:val="0"/>
          <w:numId w:val="341"/>
        </w:numPr>
        <w:tabs>
          <w:tab w:pos="786" w:val="left" w:leader="none"/>
        </w:tabs>
        <w:spacing w:line="208" w:lineRule="auto" w:before="233" w:after="0"/>
        <w:ind w:left="360" w:right="741" w:firstLine="0"/>
        <w:jc w:val="left"/>
        <w:rPr>
          <w:sz w:val="24"/>
        </w:rPr>
      </w:pPr>
      <w:r>
        <w:rPr>
          <w:b/>
          <w:sz w:val="24"/>
        </w:rPr>
        <w:t>Legal base and Department responsibility.</w:t>
      </w:r>
      <w:r>
        <w:rPr>
          <w:b/>
          <w:spacing w:val="80"/>
          <w:sz w:val="24"/>
        </w:rPr>
        <w:t> </w:t>
      </w:r>
      <w:r>
        <w:rPr>
          <w:sz w:val="24"/>
        </w:rPr>
        <w:t>The special schools were</w:t>
      </w:r>
      <w:r>
        <w:rPr>
          <w:spacing w:val="40"/>
          <w:sz w:val="24"/>
        </w:rPr>
        <w:t> </w:t>
      </w:r>
      <w:r>
        <w:rPr>
          <w:sz w:val="24"/>
        </w:rPr>
        <w:t>established under the authority of Article XIII, Section 2 of the Oklahoma State Constitution.</w:t>
      </w:r>
      <w:r>
        <w:rPr>
          <w:spacing w:val="-4"/>
          <w:sz w:val="24"/>
        </w:rPr>
        <w:t> </w:t>
      </w:r>
      <w:r>
        <w:rPr>
          <w:sz w:val="24"/>
        </w:rPr>
        <w:t>The</w:t>
      </w:r>
      <w:r>
        <w:rPr>
          <w:spacing w:val="-5"/>
          <w:sz w:val="24"/>
        </w:rPr>
        <w:t> </w:t>
      </w:r>
      <w:r>
        <w:rPr>
          <w:sz w:val="24"/>
        </w:rPr>
        <w:t>Department</w:t>
      </w:r>
      <w:r>
        <w:rPr>
          <w:spacing w:val="-4"/>
          <w:sz w:val="24"/>
        </w:rPr>
        <w:t> </w:t>
      </w:r>
      <w:r>
        <w:rPr>
          <w:sz w:val="24"/>
        </w:rPr>
        <w:t>of</w:t>
      </w:r>
      <w:r>
        <w:rPr>
          <w:spacing w:val="-6"/>
          <w:sz w:val="24"/>
        </w:rPr>
        <w:t> </w:t>
      </w:r>
      <w:r>
        <w:rPr>
          <w:sz w:val="24"/>
        </w:rPr>
        <w:t>Rehabilitation</w:t>
      </w:r>
      <w:r>
        <w:rPr>
          <w:spacing w:val="-5"/>
          <w:sz w:val="24"/>
        </w:rPr>
        <w:t> </w:t>
      </w:r>
      <w:r>
        <w:rPr>
          <w:sz w:val="24"/>
        </w:rPr>
        <w:t>Services</w:t>
      </w:r>
      <w:r>
        <w:rPr>
          <w:spacing w:val="-5"/>
          <w:sz w:val="24"/>
        </w:rPr>
        <w:t> </w:t>
      </w:r>
      <w:r>
        <w:rPr>
          <w:sz w:val="24"/>
        </w:rPr>
        <w:t>is</w:t>
      </w:r>
      <w:r>
        <w:rPr>
          <w:spacing w:val="-5"/>
          <w:sz w:val="24"/>
        </w:rPr>
        <w:t> </w:t>
      </w:r>
      <w:r>
        <w:rPr>
          <w:sz w:val="24"/>
        </w:rPr>
        <w:t>responsible</w:t>
      </w:r>
      <w:r>
        <w:rPr>
          <w:spacing w:val="-5"/>
          <w:sz w:val="24"/>
        </w:rPr>
        <w:t> </w:t>
      </w:r>
      <w:r>
        <w:rPr>
          <w:sz w:val="24"/>
        </w:rPr>
        <w:t>for</w:t>
      </w:r>
      <w:r>
        <w:rPr>
          <w:spacing w:val="-4"/>
          <w:sz w:val="24"/>
        </w:rPr>
        <w:t> </w:t>
      </w:r>
      <w:r>
        <w:rPr>
          <w:sz w:val="24"/>
        </w:rPr>
        <w:t>supervision</w:t>
      </w:r>
      <w:r>
        <w:rPr>
          <w:spacing w:val="-5"/>
          <w:sz w:val="24"/>
        </w:rPr>
        <w:t> </w:t>
      </w:r>
      <w:r>
        <w:rPr>
          <w:sz w:val="24"/>
        </w:rPr>
        <w:t>of services provided in the Oklahoma School for the Blind (OSB) and the Oklahoma School for the Deaf (OSD).</w:t>
      </w:r>
      <w:r>
        <w:rPr>
          <w:spacing w:val="80"/>
          <w:sz w:val="24"/>
        </w:rPr>
        <w:t> </w:t>
      </w:r>
      <w:r>
        <w:rPr>
          <w:sz w:val="24"/>
        </w:rPr>
        <w:t>The powers and duties of the Department in relation to</w:t>
      </w:r>
      <w:r>
        <w:rPr>
          <w:spacing w:val="40"/>
          <w:sz w:val="24"/>
        </w:rPr>
        <w:t> </w:t>
      </w:r>
      <w:r>
        <w:rPr>
          <w:sz w:val="24"/>
        </w:rPr>
        <w:t>OSB and OSD are set forth in Title 10, Oklahoma Statutes, Section 1418, 1419, and </w:t>
      </w:r>
      <w:r>
        <w:rPr>
          <w:spacing w:val="-2"/>
          <w:sz w:val="24"/>
        </w:rPr>
        <w:t>1420.</w:t>
      </w:r>
    </w:p>
    <w:p>
      <w:pPr>
        <w:pStyle w:val="Heading2"/>
        <w:numPr>
          <w:ilvl w:val="0"/>
          <w:numId w:val="341"/>
        </w:numPr>
        <w:tabs>
          <w:tab w:pos="786" w:val="left" w:leader="none"/>
        </w:tabs>
        <w:spacing w:line="208" w:lineRule="auto" w:before="239" w:after="0"/>
        <w:ind w:left="360" w:right="1477" w:firstLine="0"/>
        <w:jc w:val="left"/>
      </w:pPr>
      <w:r>
        <w:rPr/>
        <w:t>Purpose,</w:t>
      </w:r>
      <w:r>
        <w:rPr>
          <w:spacing w:val="-5"/>
        </w:rPr>
        <w:t> </w:t>
      </w:r>
      <w:r>
        <w:rPr/>
        <w:t>nature</w:t>
      </w:r>
      <w:r>
        <w:rPr>
          <w:spacing w:val="-7"/>
        </w:rPr>
        <w:t> </w:t>
      </w:r>
      <w:r>
        <w:rPr/>
        <w:t>of</w:t>
      </w:r>
      <w:r>
        <w:rPr>
          <w:spacing w:val="-5"/>
        </w:rPr>
        <w:t> </w:t>
      </w:r>
      <w:r>
        <w:rPr/>
        <w:t>services</w:t>
      </w:r>
      <w:r>
        <w:rPr>
          <w:spacing w:val="-6"/>
        </w:rPr>
        <w:t> </w:t>
      </w:r>
      <w:r>
        <w:rPr/>
        <w:t>provided,</w:t>
      </w:r>
      <w:r>
        <w:rPr>
          <w:spacing w:val="-5"/>
        </w:rPr>
        <w:t> </w:t>
      </w:r>
      <w:r>
        <w:rPr/>
        <w:t>approach</w:t>
      </w:r>
      <w:r>
        <w:rPr>
          <w:spacing w:val="-6"/>
        </w:rPr>
        <w:t> </w:t>
      </w:r>
      <w:r>
        <w:rPr/>
        <w:t>and</w:t>
      </w:r>
      <w:r>
        <w:rPr>
          <w:spacing w:val="-6"/>
        </w:rPr>
        <w:t> </w:t>
      </w:r>
      <w:r>
        <w:rPr/>
        <w:t>non-discriminatory </w:t>
      </w:r>
      <w:r>
        <w:rPr>
          <w:spacing w:val="-2"/>
        </w:rPr>
        <w:t>practices.</w:t>
      </w:r>
    </w:p>
    <w:p>
      <w:pPr>
        <w:pStyle w:val="ListParagraph"/>
        <w:numPr>
          <w:ilvl w:val="1"/>
          <w:numId w:val="341"/>
        </w:numPr>
        <w:tabs>
          <w:tab w:pos="1217" w:val="left" w:leader="none"/>
        </w:tabs>
        <w:spacing w:line="208" w:lineRule="auto" w:before="240" w:after="0"/>
        <w:ind w:left="791" w:right="909" w:firstLine="0"/>
        <w:jc w:val="left"/>
        <w:rPr>
          <w:sz w:val="24"/>
        </w:rPr>
      </w:pPr>
      <w:r>
        <w:rPr>
          <w:b/>
          <w:sz w:val="24"/>
        </w:rPr>
        <w:t>Purpose.</w:t>
      </w:r>
      <w:r>
        <w:rPr>
          <w:b/>
          <w:spacing w:val="40"/>
          <w:sz w:val="24"/>
        </w:rPr>
        <w:t> </w:t>
      </w:r>
      <w:r>
        <w:rPr>
          <w:sz w:val="24"/>
        </w:rPr>
        <w:t>The schools for the blind and deaf exist for the purpose of meeting the educational, social, and emotional needs of the youth charged to their care. This includes provisions for a quality educational program that builds on individual strengths,</w:t>
      </w:r>
      <w:r>
        <w:rPr>
          <w:spacing w:val="-2"/>
          <w:sz w:val="24"/>
        </w:rPr>
        <w:t> </w:t>
      </w:r>
      <w:r>
        <w:rPr>
          <w:sz w:val="24"/>
        </w:rPr>
        <w:t>addresses</w:t>
      </w:r>
      <w:r>
        <w:rPr>
          <w:spacing w:val="-1"/>
          <w:sz w:val="24"/>
        </w:rPr>
        <w:t> </w:t>
      </w:r>
      <w:r>
        <w:rPr>
          <w:sz w:val="24"/>
        </w:rPr>
        <w:t>individual</w:t>
      </w:r>
      <w:r>
        <w:rPr>
          <w:spacing w:val="-1"/>
          <w:sz w:val="24"/>
        </w:rPr>
        <w:t> </w:t>
      </w:r>
      <w:r>
        <w:rPr>
          <w:sz w:val="24"/>
        </w:rPr>
        <w:t>needs</w:t>
      </w:r>
      <w:r>
        <w:rPr>
          <w:spacing w:val="-1"/>
          <w:sz w:val="24"/>
        </w:rPr>
        <w:t> </w:t>
      </w:r>
      <w:r>
        <w:rPr>
          <w:sz w:val="24"/>
        </w:rPr>
        <w:t>and</w:t>
      </w:r>
      <w:r>
        <w:rPr>
          <w:spacing w:val="-1"/>
          <w:sz w:val="24"/>
        </w:rPr>
        <w:t> </w:t>
      </w:r>
      <w:r>
        <w:rPr>
          <w:sz w:val="24"/>
        </w:rPr>
        <w:t>weaknesses, and</w:t>
      </w:r>
      <w:r>
        <w:rPr>
          <w:spacing w:val="-1"/>
          <w:sz w:val="24"/>
        </w:rPr>
        <w:t> </w:t>
      </w:r>
      <w:r>
        <w:rPr>
          <w:sz w:val="24"/>
        </w:rPr>
        <w:t>encourages</w:t>
      </w:r>
      <w:r>
        <w:rPr>
          <w:spacing w:val="-1"/>
          <w:sz w:val="24"/>
        </w:rPr>
        <w:t> </w:t>
      </w:r>
      <w:r>
        <w:rPr>
          <w:sz w:val="24"/>
        </w:rPr>
        <w:t>students to</w:t>
      </w:r>
      <w:r>
        <w:rPr>
          <w:spacing w:val="-4"/>
          <w:sz w:val="24"/>
        </w:rPr>
        <w:t> </w:t>
      </w:r>
      <w:r>
        <w:rPr>
          <w:sz w:val="24"/>
        </w:rPr>
        <w:t>develop</w:t>
      </w:r>
      <w:r>
        <w:rPr>
          <w:spacing w:val="-4"/>
          <w:sz w:val="24"/>
        </w:rPr>
        <w:t> </w:t>
      </w:r>
      <w:r>
        <w:rPr>
          <w:sz w:val="24"/>
        </w:rPr>
        <w:t>and</w:t>
      </w:r>
      <w:r>
        <w:rPr>
          <w:spacing w:val="-4"/>
          <w:sz w:val="24"/>
        </w:rPr>
        <w:t> </w:t>
      </w:r>
      <w:r>
        <w:rPr>
          <w:sz w:val="24"/>
        </w:rPr>
        <w:t>grow</w:t>
      </w:r>
      <w:r>
        <w:rPr>
          <w:spacing w:val="-4"/>
          <w:sz w:val="24"/>
        </w:rPr>
        <w:t> </w:t>
      </w:r>
      <w:r>
        <w:rPr>
          <w:sz w:val="24"/>
        </w:rPr>
        <w:t>toward</w:t>
      </w:r>
      <w:r>
        <w:rPr>
          <w:spacing w:val="-4"/>
          <w:sz w:val="24"/>
        </w:rPr>
        <w:t> </w:t>
      </w:r>
      <w:r>
        <w:rPr>
          <w:sz w:val="24"/>
        </w:rPr>
        <w:t>their</w:t>
      </w:r>
      <w:r>
        <w:rPr>
          <w:spacing w:val="-3"/>
          <w:sz w:val="24"/>
        </w:rPr>
        <w:t> </w:t>
      </w:r>
      <w:r>
        <w:rPr>
          <w:sz w:val="24"/>
        </w:rPr>
        <w:t>maximum</w:t>
      </w:r>
      <w:r>
        <w:rPr>
          <w:spacing w:val="-4"/>
          <w:sz w:val="24"/>
        </w:rPr>
        <w:t> </w:t>
      </w:r>
      <w:r>
        <w:rPr>
          <w:sz w:val="24"/>
        </w:rPr>
        <w:t>potential.</w:t>
      </w:r>
      <w:r>
        <w:rPr>
          <w:spacing w:val="40"/>
          <w:sz w:val="24"/>
        </w:rPr>
        <w:t> </w:t>
      </w:r>
      <w:r>
        <w:rPr>
          <w:sz w:val="24"/>
        </w:rPr>
        <w:t>It</w:t>
      </w:r>
      <w:r>
        <w:rPr>
          <w:spacing w:val="-3"/>
          <w:sz w:val="24"/>
        </w:rPr>
        <w:t> </w:t>
      </w:r>
      <w:r>
        <w:rPr>
          <w:sz w:val="24"/>
        </w:rPr>
        <w:t>also</w:t>
      </w:r>
      <w:r>
        <w:rPr>
          <w:spacing w:val="-4"/>
          <w:sz w:val="24"/>
        </w:rPr>
        <w:t> </w:t>
      </w:r>
      <w:r>
        <w:rPr>
          <w:sz w:val="24"/>
        </w:rPr>
        <w:t>includes</w:t>
      </w:r>
      <w:r>
        <w:rPr>
          <w:spacing w:val="-4"/>
          <w:sz w:val="24"/>
        </w:rPr>
        <w:t> </w:t>
      </w:r>
      <w:r>
        <w:rPr>
          <w:sz w:val="24"/>
        </w:rPr>
        <w:t>the</w:t>
      </w:r>
      <w:r>
        <w:rPr>
          <w:spacing w:val="-4"/>
          <w:sz w:val="24"/>
        </w:rPr>
        <w:t> </w:t>
      </w:r>
      <w:r>
        <w:rPr>
          <w:sz w:val="24"/>
        </w:rPr>
        <w:t>fostering in the children of positive feelings toward themselves, toward others, and toward their school.</w:t>
      </w:r>
    </w:p>
    <w:p>
      <w:pPr>
        <w:pStyle w:val="ListParagraph"/>
        <w:numPr>
          <w:ilvl w:val="1"/>
          <w:numId w:val="341"/>
        </w:numPr>
        <w:tabs>
          <w:tab w:pos="1217" w:val="left" w:leader="none"/>
        </w:tabs>
        <w:spacing w:line="208" w:lineRule="auto" w:before="239" w:after="0"/>
        <w:ind w:left="791" w:right="773" w:firstLine="0"/>
        <w:jc w:val="left"/>
        <w:rPr>
          <w:sz w:val="24"/>
        </w:rPr>
      </w:pPr>
      <w:r>
        <w:rPr>
          <w:b/>
          <w:sz w:val="24"/>
        </w:rPr>
        <w:t>Nature of services provided.</w:t>
      </w:r>
      <w:r>
        <w:rPr>
          <w:b/>
          <w:spacing w:val="40"/>
          <w:sz w:val="24"/>
        </w:rPr>
        <w:t> </w:t>
      </w:r>
      <w:r>
        <w:rPr>
          <w:sz w:val="24"/>
        </w:rPr>
        <w:t>OSB and OSD are both elementary and secondary</w:t>
      </w:r>
      <w:r>
        <w:rPr>
          <w:spacing w:val="-4"/>
          <w:sz w:val="24"/>
        </w:rPr>
        <w:t> </w:t>
      </w:r>
      <w:r>
        <w:rPr>
          <w:sz w:val="24"/>
        </w:rPr>
        <w:t>schools</w:t>
      </w:r>
      <w:r>
        <w:rPr>
          <w:spacing w:val="-4"/>
          <w:sz w:val="24"/>
        </w:rPr>
        <w:t> </w:t>
      </w:r>
      <w:r>
        <w:rPr>
          <w:sz w:val="24"/>
        </w:rPr>
        <w:t>accredited</w:t>
      </w:r>
      <w:r>
        <w:rPr>
          <w:spacing w:val="-4"/>
          <w:sz w:val="24"/>
        </w:rPr>
        <w:t> </w:t>
      </w:r>
      <w:r>
        <w:rPr>
          <w:sz w:val="24"/>
        </w:rPr>
        <w:t>by</w:t>
      </w:r>
      <w:r>
        <w:rPr>
          <w:spacing w:val="-4"/>
          <w:sz w:val="24"/>
        </w:rPr>
        <w:t> </w:t>
      </w:r>
      <w:r>
        <w:rPr>
          <w:sz w:val="24"/>
        </w:rPr>
        <w:t>the</w:t>
      </w:r>
      <w:r>
        <w:rPr>
          <w:spacing w:val="-4"/>
          <w:sz w:val="24"/>
        </w:rPr>
        <w:t> </w:t>
      </w:r>
      <w:r>
        <w:rPr>
          <w:sz w:val="24"/>
        </w:rPr>
        <w:t>Oklahoma</w:t>
      </w:r>
      <w:r>
        <w:rPr>
          <w:spacing w:val="-4"/>
          <w:sz w:val="24"/>
        </w:rPr>
        <w:t> </w:t>
      </w:r>
      <w:r>
        <w:rPr>
          <w:sz w:val="24"/>
        </w:rPr>
        <w:t>State</w:t>
      </w:r>
      <w:r>
        <w:rPr>
          <w:spacing w:val="-4"/>
          <w:sz w:val="24"/>
        </w:rPr>
        <w:t> </w:t>
      </w:r>
      <w:r>
        <w:rPr>
          <w:sz w:val="24"/>
        </w:rPr>
        <w:t>Department</w:t>
      </w:r>
      <w:r>
        <w:rPr>
          <w:spacing w:val="-5"/>
          <w:sz w:val="24"/>
        </w:rPr>
        <w:t> </w:t>
      </w:r>
      <w:r>
        <w:rPr>
          <w:sz w:val="24"/>
        </w:rPr>
        <w:t>of</w:t>
      </w:r>
      <w:r>
        <w:rPr>
          <w:spacing w:val="-3"/>
          <w:sz w:val="24"/>
        </w:rPr>
        <w:t> </w:t>
      </w:r>
      <w:r>
        <w:rPr>
          <w:sz w:val="24"/>
        </w:rPr>
        <w:t>Education.</w:t>
      </w:r>
      <w:r>
        <w:rPr>
          <w:spacing w:val="40"/>
          <w:sz w:val="24"/>
        </w:rPr>
        <w:t> </w:t>
      </w:r>
      <w:r>
        <w:rPr>
          <w:sz w:val="24"/>
        </w:rPr>
        <w:t>As such, they meet all programming and course requirements of public schools in the state of Oklahoma.</w:t>
      </w:r>
      <w:r>
        <w:rPr>
          <w:spacing w:val="40"/>
          <w:sz w:val="24"/>
        </w:rPr>
        <w:t> </w:t>
      </w:r>
      <w:r>
        <w:rPr>
          <w:sz w:val="24"/>
        </w:rPr>
        <w:t>OSB and OSD will not provide services which are mandated of another agency. In addition, the comprehensive services given in (A) - (I) of this paragraph are provided.</w:t>
      </w:r>
    </w:p>
    <w:p>
      <w:pPr>
        <w:pStyle w:val="ListParagraph"/>
        <w:numPr>
          <w:ilvl w:val="2"/>
          <w:numId w:val="341"/>
        </w:numPr>
        <w:tabs>
          <w:tab w:pos="1677" w:val="left" w:leader="none"/>
        </w:tabs>
        <w:spacing w:line="208" w:lineRule="auto" w:before="240" w:after="0"/>
        <w:ind w:left="1224" w:right="768" w:firstLine="0"/>
        <w:jc w:val="left"/>
        <w:rPr>
          <w:sz w:val="24"/>
        </w:rPr>
      </w:pPr>
      <w:r>
        <w:rPr>
          <w:sz w:val="24"/>
        </w:rPr>
        <w:t>Assessment</w:t>
      </w:r>
      <w:r>
        <w:rPr>
          <w:spacing w:val="-4"/>
          <w:sz w:val="24"/>
        </w:rPr>
        <w:t> </w:t>
      </w:r>
      <w:r>
        <w:rPr>
          <w:sz w:val="24"/>
        </w:rPr>
        <w:t>and</w:t>
      </w:r>
      <w:r>
        <w:rPr>
          <w:spacing w:val="-5"/>
          <w:sz w:val="24"/>
        </w:rPr>
        <w:t> </w:t>
      </w:r>
      <w:r>
        <w:rPr>
          <w:sz w:val="24"/>
        </w:rPr>
        <w:t>evaluation</w:t>
      </w:r>
      <w:r>
        <w:rPr>
          <w:spacing w:val="-5"/>
          <w:sz w:val="24"/>
        </w:rPr>
        <w:t> </w:t>
      </w:r>
      <w:r>
        <w:rPr>
          <w:sz w:val="24"/>
        </w:rPr>
        <w:t>of</w:t>
      </w:r>
      <w:r>
        <w:rPr>
          <w:spacing w:val="-4"/>
          <w:sz w:val="24"/>
        </w:rPr>
        <w:t> </w:t>
      </w:r>
      <w:r>
        <w:rPr>
          <w:sz w:val="24"/>
        </w:rPr>
        <w:t>blind</w:t>
      </w:r>
      <w:r>
        <w:rPr>
          <w:spacing w:val="-5"/>
          <w:sz w:val="24"/>
        </w:rPr>
        <w:t> </w:t>
      </w:r>
      <w:r>
        <w:rPr>
          <w:sz w:val="24"/>
        </w:rPr>
        <w:t>and/or</w:t>
      </w:r>
      <w:r>
        <w:rPr>
          <w:spacing w:val="-4"/>
          <w:sz w:val="24"/>
        </w:rPr>
        <w:t> </w:t>
      </w:r>
      <w:r>
        <w:rPr>
          <w:sz w:val="24"/>
        </w:rPr>
        <w:t>deaf</w:t>
      </w:r>
      <w:r>
        <w:rPr>
          <w:spacing w:val="-4"/>
          <w:sz w:val="24"/>
        </w:rPr>
        <w:t> </w:t>
      </w:r>
      <w:r>
        <w:rPr>
          <w:sz w:val="24"/>
        </w:rPr>
        <w:t>students</w:t>
      </w:r>
      <w:r>
        <w:rPr>
          <w:spacing w:val="-5"/>
          <w:sz w:val="24"/>
        </w:rPr>
        <w:t> </w:t>
      </w:r>
      <w:r>
        <w:rPr>
          <w:sz w:val="24"/>
        </w:rPr>
        <w:t>within</w:t>
      </w:r>
      <w:r>
        <w:rPr>
          <w:spacing w:val="-5"/>
          <w:sz w:val="24"/>
        </w:rPr>
        <w:t> </w:t>
      </w:r>
      <w:r>
        <w:rPr>
          <w:sz w:val="24"/>
        </w:rPr>
        <w:t>the</w:t>
      </w:r>
      <w:r>
        <w:rPr>
          <w:spacing w:val="-5"/>
          <w:sz w:val="24"/>
        </w:rPr>
        <w:t> </w:t>
      </w:r>
      <w:r>
        <w:rPr>
          <w:sz w:val="24"/>
        </w:rPr>
        <w:t>schools and by referral from throughout the state.</w:t>
      </w:r>
    </w:p>
    <w:p>
      <w:pPr>
        <w:pStyle w:val="ListParagraph"/>
        <w:numPr>
          <w:ilvl w:val="2"/>
          <w:numId w:val="341"/>
        </w:numPr>
        <w:tabs>
          <w:tab w:pos="1677" w:val="left" w:leader="none"/>
        </w:tabs>
        <w:spacing w:line="240" w:lineRule="auto" w:before="210" w:after="0"/>
        <w:ind w:left="1677" w:right="0" w:hanging="453"/>
        <w:jc w:val="left"/>
        <w:rPr>
          <w:sz w:val="24"/>
        </w:rPr>
      </w:pPr>
      <w:r>
        <w:rPr>
          <w:sz w:val="24"/>
        </w:rPr>
        <w:t>Special</w:t>
      </w:r>
      <w:r>
        <w:rPr>
          <w:spacing w:val="-5"/>
          <w:sz w:val="24"/>
        </w:rPr>
        <w:t> </w:t>
      </w:r>
      <w:r>
        <w:rPr>
          <w:sz w:val="24"/>
        </w:rPr>
        <w:t>programming</w:t>
      </w:r>
      <w:r>
        <w:rPr>
          <w:spacing w:val="-4"/>
          <w:sz w:val="24"/>
        </w:rPr>
        <w:t> </w:t>
      </w:r>
      <w:r>
        <w:rPr>
          <w:sz w:val="24"/>
        </w:rPr>
        <w:t>for</w:t>
      </w:r>
      <w:r>
        <w:rPr>
          <w:spacing w:val="-4"/>
          <w:sz w:val="24"/>
        </w:rPr>
        <w:t> </w:t>
      </w:r>
      <w:r>
        <w:rPr>
          <w:sz w:val="24"/>
        </w:rPr>
        <w:t>pre-school</w:t>
      </w:r>
      <w:r>
        <w:rPr>
          <w:spacing w:val="-4"/>
          <w:sz w:val="24"/>
        </w:rPr>
        <w:t> </w:t>
      </w:r>
      <w:r>
        <w:rPr>
          <w:sz w:val="24"/>
        </w:rPr>
        <w:t>age</w:t>
      </w:r>
      <w:r>
        <w:rPr>
          <w:spacing w:val="-3"/>
          <w:sz w:val="24"/>
        </w:rPr>
        <w:t> </w:t>
      </w:r>
      <w:r>
        <w:rPr>
          <w:spacing w:val="-2"/>
          <w:sz w:val="24"/>
        </w:rPr>
        <w:t>children.</w:t>
      </w:r>
    </w:p>
    <w:p>
      <w:pPr>
        <w:pStyle w:val="ListParagraph"/>
        <w:numPr>
          <w:ilvl w:val="2"/>
          <w:numId w:val="341"/>
        </w:numPr>
        <w:tabs>
          <w:tab w:pos="1690" w:val="left" w:leader="none"/>
        </w:tabs>
        <w:spacing w:line="240" w:lineRule="auto" w:before="204" w:after="0"/>
        <w:ind w:left="1690" w:right="0" w:hanging="466"/>
        <w:jc w:val="left"/>
        <w:rPr>
          <w:sz w:val="24"/>
        </w:rPr>
      </w:pPr>
      <w:r>
        <w:rPr>
          <w:sz w:val="24"/>
        </w:rPr>
        <w:t>Special</w:t>
      </w:r>
      <w:r>
        <w:rPr>
          <w:spacing w:val="-6"/>
          <w:sz w:val="24"/>
        </w:rPr>
        <w:t> </w:t>
      </w:r>
      <w:r>
        <w:rPr>
          <w:sz w:val="24"/>
        </w:rPr>
        <w:t>programming</w:t>
      </w:r>
      <w:r>
        <w:rPr>
          <w:spacing w:val="-6"/>
          <w:sz w:val="24"/>
        </w:rPr>
        <w:t> </w:t>
      </w:r>
      <w:r>
        <w:rPr>
          <w:sz w:val="24"/>
        </w:rPr>
        <w:t>for</w:t>
      </w:r>
      <w:r>
        <w:rPr>
          <w:spacing w:val="-4"/>
          <w:sz w:val="24"/>
        </w:rPr>
        <w:t> </w:t>
      </w:r>
      <w:r>
        <w:rPr>
          <w:sz w:val="24"/>
        </w:rPr>
        <w:t>multidisability/special</w:t>
      </w:r>
      <w:r>
        <w:rPr>
          <w:spacing w:val="-6"/>
          <w:sz w:val="24"/>
        </w:rPr>
        <w:t> </w:t>
      </w:r>
      <w:r>
        <w:rPr>
          <w:sz w:val="24"/>
        </w:rPr>
        <w:t>needs</w:t>
      </w:r>
      <w:r>
        <w:rPr>
          <w:spacing w:val="-5"/>
          <w:sz w:val="24"/>
        </w:rPr>
        <w:t> </w:t>
      </w:r>
      <w:r>
        <w:rPr>
          <w:spacing w:val="-2"/>
          <w:sz w:val="24"/>
        </w:rPr>
        <w:t>students.</w:t>
      </w:r>
    </w:p>
    <w:p>
      <w:pPr>
        <w:pStyle w:val="ListParagraph"/>
        <w:numPr>
          <w:ilvl w:val="2"/>
          <w:numId w:val="341"/>
        </w:numPr>
        <w:tabs>
          <w:tab w:pos="1690" w:val="left" w:leader="none"/>
        </w:tabs>
        <w:spacing w:line="240" w:lineRule="auto" w:before="204" w:after="0"/>
        <w:ind w:left="1690" w:right="0" w:hanging="466"/>
        <w:jc w:val="left"/>
        <w:rPr>
          <w:sz w:val="24"/>
        </w:rPr>
      </w:pPr>
      <w:r>
        <w:rPr>
          <w:sz w:val="24"/>
        </w:rPr>
        <w:t>Physical</w:t>
      </w:r>
      <w:r>
        <w:rPr>
          <w:spacing w:val="-6"/>
          <w:sz w:val="24"/>
        </w:rPr>
        <w:t> </w:t>
      </w:r>
      <w:r>
        <w:rPr>
          <w:sz w:val="24"/>
        </w:rPr>
        <w:t>education</w:t>
      </w:r>
      <w:r>
        <w:rPr>
          <w:spacing w:val="-4"/>
          <w:sz w:val="24"/>
        </w:rPr>
        <w:t> </w:t>
      </w:r>
      <w:r>
        <w:rPr>
          <w:sz w:val="24"/>
        </w:rPr>
        <w:t>and</w:t>
      </w:r>
      <w:r>
        <w:rPr>
          <w:spacing w:val="-4"/>
          <w:sz w:val="24"/>
        </w:rPr>
        <w:t> </w:t>
      </w:r>
      <w:r>
        <w:rPr>
          <w:sz w:val="24"/>
        </w:rPr>
        <w:t>competitive</w:t>
      </w:r>
      <w:r>
        <w:rPr>
          <w:spacing w:val="-4"/>
          <w:sz w:val="24"/>
        </w:rPr>
        <w:t> </w:t>
      </w:r>
      <w:r>
        <w:rPr>
          <w:sz w:val="24"/>
        </w:rPr>
        <w:t>athletic</w:t>
      </w:r>
      <w:r>
        <w:rPr>
          <w:spacing w:val="-4"/>
          <w:sz w:val="24"/>
        </w:rPr>
        <w:t> </w:t>
      </w:r>
      <w:r>
        <w:rPr>
          <w:spacing w:val="-2"/>
          <w:sz w:val="24"/>
        </w:rPr>
        <w:t>opportunities.</w:t>
      </w:r>
    </w:p>
    <w:p>
      <w:pPr>
        <w:pStyle w:val="ListParagraph"/>
        <w:numPr>
          <w:ilvl w:val="2"/>
          <w:numId w:val="341"/>
        </w:numPr>
        <w:tabs>
          <w:tab w:pos="1677" w:val="left" w:leader="none"/>
        </w:tabs>
        <w:spacing w:line="240" w:lineRule="auto" w:before="204" w:after="0"/>
        <w:ind w:left="1677" w:right="0" w:hanging="453"/>
        <w:jc w:val="left"/>
        <w:rPr>
          <w:sz w:val="24"/>
        </w:rPr>
      </w:pPr>
      <w:r>
        <w:rPr>
          <w:sz w:val="24"/>
        </w:rPr>
        <w:t>Related</w:t>
      </w:r>
      <w:r>
        <w:rPr>
          <w:spacing w:val="-7"/>
          <w:sz w:val="24"/>
        </w:rPr>
        <w:t> </w:t>
      </w:r>
      <w:r>
        <w:rPr>
          <w:sz w:val="24"/>
        </w:rPr>
        <w:t>support</w:t>
      </w:r>
      <w:r>
        <w:rPr>
          <w:spacing w:val="-3"/>
          <w:sz w:val="24"/>
        </w:rPr>
        <w:t> </w:t>
      </w:r>
      <w:r>
        <w:rPr>
          <w:sz w:val="24"/>
        </w:rPr>
        <w:t>services,</w:t>
      </w:r>
      <w:r>
        <w:rPr>
          <w:spacing w:val="-3"/>
          <w:sz w:val="24"/>
        </w:rPr>
        <w:t> </w:t>
      </w:r>
      <w:r>
        <w:rPr>
          <w:sz w:val="24"/>
        </w:rPr>
        <w:t>e.g.,</w:t>
      </w:r>
      <w:r>
        <w:rPr>
          <w:spacing w:val="-4"/>
          <w:sz w:val="24"/>
        </w:rPr>
        <w:t> </w:t>
      </w:r>
      <w:r>
        <w:rPr>
          <w:sz w:val="24"/>
        </w:rPr>
        <w:t>speech,</w:t>
      </w:r>
      <w:r>
        <w:rPr>
          <w:spacing w:val="-5"/>
          <w:sz w:val="24"/>
        </w:rPr>
        <w:t> </w:t>
      </w:r>
      <w:r>
        <w:rPr>
          <w:sz w:val="24"/>
        </w:rPr>
        <w:t>physical</w:t>
      </w:r>
      <w:r>
        <w:rPr>
          <w:spacing w:val="-4"/>
          <w:sz w:val="24"/>
        </w:rPr>
        <w:t> </w:t>
      </w:r>
      <w:r>
        <w:rPr>
          <w:sz w:val="24"/>
        </w:rPr>
        <w:t>therapy,</w:t>
      </w:r>
      <w:r>
        <w:rPr>
          <w:spacing w:val="-3"/>
          <w:sz w:val="24"/>
        </w:rPr>
        <w:t> </w:t>
      </w:r>
      <w:r>
        <w:rPr>
          <w:sz w:val="24"/>
        </w:rPr>
        <w:t>audiology,</w:t>
      </w:r>
      <w:r>
        <w:rPr>
          <w:spacing w:val="-3"/>
          <w:sz w:val="24"/>
        </w:rPr>
        <w:t> </w:t>
      </w:r>
      <w:r>
        <w:rPr>
          <w:spacing w:val="-4"/>
          <w:sz w:val="24"/>
        </w:rPr>
        <w:t>etc.</w:t>
      </w:r>
    </w:p>
    <w:p>
      <w:pPr>
        <w:pStyle w:val="ListParagraph"/>
        <w:numPr>
          <w:ilvl w:val="2"/>
          <w:numId w:val="341"/>
        </w:numPr>
        <w:tabs>
          <w:tab w:pos="1662" w:val="left" w:leader="none"/>
        </w:tabs>
        <w:spacing w:line="208" w:lineRule="auto" w:before="234" w:after="0"/>
        <w:ind w:left="1224" w:right="1342" w:firstLine="0"/>
        <w:jc w:val="left"/>
        <w:rPr>
          <w:sz w:val="24"/>
        </w:rPr>
      </w:pPr>
      <w:r>
        <w:rPr>
          <w:sz w:val="24"/>
        </w:rPr>
        <w:t>Residential</w:t>
      </w:r>
      <w:r>
        <w:rPr>
          <w:spacing w:val="-5"/>
          <w:sz w:val="24"/>
        </w:rPr>
        <w:t> </w:t>
      </w:r>
      <w:r>
        <w:rPr>
          <w:sz w:val="24"/>
        </w:rPr>
        <w:t>placement</w:t>
      </w:r>
      <w:r>
        <w:rPr>
          <w:spacing w:val="-4"/>
          <w:sz w:val="24"/>
        </w:rPr>
        <w:t> </w:t>
      </w:r>
      <w:r>
        <w:rPr>
          <w:sz w:val="24"/>
        </w:rPr>
        <w:t>in</w:t>
      </w:r>
      <w:r>
        <w:rPr>
          <w:spacing w:val="-5"/>
          <w:sz w:val="24"/>
        </w:rPr>
        <w:t> </w:t>
      </w:r>
      <w:r>
        <w:rPr>
          <w:sz w:val="24"/>
        </w:rPr>
        <w:t>a</w:t>
      </w:r>
      <w:r>
        <w:rPr>
          <w:spacing w:val="-5"/>
          <w:sz w:val="24"/>
        </w:rPr>
        <w:t> </w:t>
      </w:r>
      <w:r>
        <w:rPr>
          <w:sz w:val="24"/>
        </w:rPr>
        <w:t>warm,</w:t>
      </w:r>
      <w:r>
        <w:rPr>
          <w:spacing w:val="-4"/>
          <w:sz w:val="24"/>
        </w:rPr>
        <w:t> </w:t>
      </w:r>
      <w:r>
        <w:rPr>
          <w:sz w:val="24"/>
        </w:rPr>
        <w:t>positive,</w:t>
      </w:r>
      <w:r>
        <w:rPr>
          <w:spacing w:val="-4"/>
          <w:sz w:val="24"/>
        </w:rPr>
        <w:t> </w:t>
      </w:r>
      <w:r>
        <w:rPr>
          <w:sz w:val="24"/>
        </w:rPr>
        <w:t>accepting</w:t>
      </w:r>
      <w:r>
        <w:rPr>
          <w:spacing w:val="-5"/>
          <w:sz w:val="24"/>
        </w:rPr>
        <w:t> </w:t>
      </w:r>
      <w:r>
        <w:rPr>
          <w:sz w:val="24"/>
        </w:rPr>
        <w:t>environment</w:t>
      </w:r>
      <w:r>
        <w:rPr>
          <w:spacing w:val="-4"/>
          <w:sz w:val="24"/>
        </w:rPr>
        <w:t> </w:t>
      </w:r>
      <w:r>
        <w:rPr>
          <w:sz w:val="24"/>
        </w:rPr>
        <w:t>that fosters a positive self-image and facilitates acquisition of self-help and independent living skills.</w:t>
      </w:r>
    </w:p>
    <w:p>
      <w:pPr>
        <w:pStyle w:val="ListParagraph"/>
        <w:numPr>
          <w:ilvl w:val="2"/>
          <w:numId w:val="341"/>
        </w:numPr>
        <w:tabs>
          <w:tab w:pos="1703" w:val="left" w:leader="none"/>
        </w:tabs>
        <w:spacing w:line="240" w:lineRule="auto" w:before="210" w:after="0"/>
        <w:ind w:left="1703" w:right="0" w:hanging="479"/>
        <w:jc w:val="left"/>
        <w:rPr>
          <w:sz w:val="24"/>
        </w:rPr>
      </w:pPr>
      <w:r>
        <w:rPr>
          <w:sz w:val="24"/>
        </w:rPr>
        <w:t>Recreation</w:t>
      </w:r>
      <w:r>
        <w:rPr>
          <w:spacing w:val="-4"/>
          <w:sz w:val="24"/>
        </w:rPr>
        <w:t> </w:t>
      </w:r>
      <w:r>
        <w:rPr>
          <w:sz w:val="24"/>
        </w:rPr>
        <w:t>and</w:t>
      </w:r>
      <w:r>
        <w:rPr>
          <w:spacing w:val="-3"/>
          <w:sz w:val="24"/>
        </w:rPr>
        <w:t> </w:t>
      </w:r>
      <w:r>
        <w:rPr>
          <w:sz w:val="24"/>
        </w:rPr>
        <w:t>leisure</w:t>
      </w:r>
      <w:r>
        <w:rPr>
          <w:spacing w:val="-3"/>
          <w:sz w:val="24"/>
        </w:rPr>
        <w:t> </w:t>
      </w:r>
      <w:r>
        <w:rPr>
          <w:sz w:val="24"/>
        </w:rPr>
        <w:t>time</w:t>
      </w:r>
      <w:r>
        <w:rPr>
          <w:spacing w:val="-3"/>
          <w:sz w:val="24"/>
        </w:rPr>
        <w:t> </w:t>
      </w:r>
      <w:r>
        <w:rPr>
          <w:spacing w:val="-2"/>
          <w:sz w:val="24"/>
        </w:rPr>
        <w:t>activities.</w:t>
      </w:r>
    </w:p>
    <w:p>
      <w:pPr>
        <w:pStyle w:val="ListParagraph"/>
        <w:numPr>
          <w:ilvl w:val="2"/>
          <w:numId w:val="341"/>
        </w:numPr>
        <w:tabs>
          <w:tab w:pos="1690" w:val="left" w:leader="none"/>
        </w:tabs>
        <w:spacing w:line="240" w:lineRule="auto" w:before="204" w:after="0"/>
        <w:ind w:left="1690" w:right="0" w:hanging="466"/>
        <w:jc w:val="left"/>
        <w:rPr>
          <w:sz w:val="24"/>
        </w:rPr>
      </w:pPr>
      <w:r>
        <w:rPr>
          <w:sz w:val="24"/>
        </w:rPr>
        <w:t>Pre-vocational</w:t>
      </w:r>
      <w:r>
        <w:rPr>
          <w:spacing w:val="-5"/>
          <w:sz w:val="24"/>
        </w:rPr>
        <w:t> </w:t>
      </w:r>
      <w:r>
        <w:rPr>
          <w:sz w:val="24"/>
        </w:rPr>
        <w:t>and</w:t>
      </w:r>
      <w:r>
        <w:rPr>
          <w:spacing w:val="-5"/>
          <w:sz w:val="24"/>
        </w:rPr>
        <w:t> </w:t>
      </w:r>
      <w:r>
        <w:rPr>
          <w:sz w:val="24"/>
        </w:rPr>
        <w:t>vocational</w:t>
      </w:r>
      <w:r>
        <w:rPr>
          <w:spacing w:val="-5"/>
          <w:sz w:val="24"/>
        </w:rPr>
        <w:t> </w:t>
      </w:r>
      <w:r>
        <w:rPr>
          <w:spacing w:val="-2"/>
          <w:sz w:val="24"/>
        </w:rPr>
        <w:t>programming.</w:t>
      </w:r>
    </w:p>
    <w:p>
      <w:pPr>
        <w:pStyle w:val="ListParagraph"/>
        <w:numPr>
          <w:ilvl w:val="2"/>
          <w:numId w:val="341"/>
        </w:numPr>
        <w:tabs>
          <w:tab w:pos="1583" w:val="left" w:leader="none"/>
        </w:tabs>
        <w:spacing w:line="208" w:lineRule="auto" w:before="233" w:after="0"/>
        <w:ind w:left="1224" w:right="1183" w:firstLine="0"/>
        <w:jc w:val="left"/>
        <w:rPr>
          <w:sz w:val="24"/>
        </w:rPr>
      </w:pPr>
      <w:r>
        <w:rPr>
          <w:sz w:val="24"/>
        </w:rPr>
        <w:t>Further,</w:t>
      </w:r>
      <w:r>
        <w:rPr>
          <w:spacing w:val="-5"/>
          <w:sz w:val="24"/>
        </w:rPr>
        <w:t> </w:t>
      </w:r>
      <w:r>
        <w:rPr>
          <w:sz w:val="24"/>
        </w:rPr>
        <w:t>OSD</w:t>
      </w:r>
      <w:r>
        <w:rPr>
          <w:spacing w:val="-4"/>
          <w:sz w:val="24"/>
        </w:rPr>
        <w:t> </w:t>
      </w:r>
      <w:r>
        <w:rPr>
          <w:sz w:val="24"/>
        </w:rPr>
        <w:t>is</w:t>
      </w:r>
      <w:r>
        <w:rPr>
          <w:spacing w:val="-4"/>
          <w:sz w:val="24"/>
        </w:rPr>
        <w:t> </w:t>
      </w:r>
      <w:r>
        <w:rPr>
          <w:sz w:val="24"/>
        </w:rPr>
        <w:t>authorized</w:t>
      </w:r>
      <w:r>
        <w:rPr>
          <w:spacing w:val="-4"/>
          <w:sz w:val="24"/>
        </w:rPr>
        <w:t> </w:t>
      </w:r>
      <w:r>
        <w:rPr>
          <w:sz w:val="24"/>
        </w:rPr>
        <w:t>to</w:t>
      </w:r>
      <w:r>
        <w:rPr>
          <w:spacing w:val="-4"/>
          <w:sz w:val="24"/>
        </w:rPr>
        <w:t> </w:t>
      </w:r>
      <w:r>
        <w:rPr>
          <w:sz w:val="24"/>
        </w:rPr>
        <w:t>establish</w:t>
      </w:r>
      <w:r>
        <w:rPr>
          <w:spacing w:val="-4"/>
          <w:sz w:val="24"/>
        </w:rPr>
        <w:t> </w:t>
      </w:r>
      <w:r>
        <w:rPr>
          <w:sz w:val="24"/>
        </w:rPr>
        <w:t>a</w:t>
      </w:r>
      <w:r>
        <w:rPr>
          <w:spacing w:val="-3"/>
          <w:sz w:val="24"/>
        </w:rPr>
        <w:t> </w:t>
      </w:r>
      <w:r>
        <w:rPr>
          <w:sz w:val="24"/>
        </w:rPr>
        <w:t>regional</w:t>
      </w:r>
      <w:r>
        <w:rPr>
          <w:spacing w:val="-4"/>
          <w:sz w:val="24"/>
        </w:rPr>
        <w:t> </w:t>
      </w:r>
      <w:r>
        <w:rPr>
          <w:sz w:val="24"/>
        </w:rPr>
        <w:t>pre-school</w:t>
      </w:r>
      <w:r>
        <w:rPr>
          <w:spacing w:val="-4"/>
          <w:sz w:val="24"/>
        </w:rPr>
        <w:t> </w:t>
      </w:r>
      <w:r>
        <w:rPr>
          <w:sz w:val="24"/>
        </w:rPr>
        <w:t>program</w:t>
      </w:r>
      <w:r>
        <w:rPr>
          <w:spacing w:val="-3"/>
          <w:sz w:val="24"/>
        </w:rPr>
        <w:t> </w:t>
      </w:r>
      <w:r>
        <w:rPr>
          <w:sz w:val="24"/>
        </w:rPr>
        <w:t>to provide services to the pre-school deaf population.</w:t>
      </w:r>
    </w:p>
    <w:p>
      <w:pPr>
        <w:pStyle w:val="ListParagraph"/>
        <w:numPr>
          <w:ilvl w:val="1"/>
          <w:numId w:val="341"/>
        </w:numPr>
        <w:tabs>
          <w:tab w:pos="1217" w:val="left" w:leader="none"/>
        </w:tabs>
        <w:spacing w:line="208" w:lineRule="auto" w:before="240" w:after="0"/>
        <w:ind w:left="792" w:right="774" w:firstLine="0"/>
        <w:jc w:val="left"/>
        <w:rPr>
          <w:sz w:val="24"/>
        </w:rPr>
      </w:pPr>
      <w:r>
        <w:rPr>
          <w:b/>
          <w:sz w:val="24"/>
        </w:rPr>
        <w:t>Approach.</w:t>
      </w:r>
      <w:r>
        <w:rPr>
          <w:b/>
          <w:spacing w:val="40"/>
          <w:sz w:val="24"/>
        </w:rPr>
        <w:t> </w:t>
      </w:r>
      <w:r>
        <w:rPr>
          <w:sz w:val="24"/>
        </w:rPr>
        <w:t>A</w:t>
      </w:r>
      <w:r>
        <w:rPr>
          <w:spacing w:val="-1"/>
          <w:sz w:val="24"/>
        </w:rPr>
        <w:t> </w:t>
      </w:r>
      <w:r>
        <w:rPr>
          <w:sz w:val="24"/>
        </w:rPr>
        <w:t>multi-disciplinary</w:t>
      </w:r>
      <w:r>
        <w:rPr>
          <w:spacing w:val="-1"/>
          <w:sz w:val="24"/>
        </w:rPr>
        <w:t> </w:t>
      </w:r>
      <w:r>
        <w:rPr>
          <w:sz w:val="24"/>
        </w:rPr>
        <w:t>approach</w:t>
      </w:r>
      <w:r>
        <w:rPr>
          <w:spacing w:val="-1"/>
          <w:sz w:val="24"/>
        </w:rPr>
        <w:t> </w:t>
      </w:r>
      <w:r>
        <w:rPr>
          <w:sz w:val="24"/>
        </w:rPr>
        <w:t>is</w:t>
      </w:r>
      <w:r>
        <w:rPr>
          <w:spacing w:val="-1"/>
          <w:sz w:val="24"/>
        </w:rPr>
        <w:t> </w:t>
      </w:r>
      <w:r>
        <w:rPr>
          <w:sz w:val="24"/>
        </w:rPr>
        <w:t>used</w:t>
      </w:r>
      <w:r>
        <w:rPr>
          <w:spacing w:val="-1"/>
          <w:sz w:val="24"/>
        </w:rPr>
        <w:t> </w:t>
      </w:r>
      <w:r>
        <w:rPr>
          <w:sz w:val="24"/>
        </w:rPr>
        <w:t>to</w:t>
      </w:r>
      <w:r>
        <w:rPr>
          <w:spacing w:val="-1"/>
          <w:sz w:val="24"/>
        </w:rPr>
        <w:t> </w:t>
      </w:r>
      <w:r>
        <w:rPr>
          <w:sz w:val="24"/>
        </w:rPr>
        <w:t>accomplish</w:t>
      </w:r>
      <w:r>
        <w:rPr>
          <w:spacing w:val="-1"/>
          <w:sz w:val="24"/>
        </w:rPr>
        <w:t> </w:t>
      </w:r>
      <w:r>
        <w:rPr>
          <w:sz w:val="24"/>
        </w:rPr>
        <w:t>the</w:t>
      </w:r>
      <w:r>
        <w:rPr>
          <w:spacing w:val="40"/>
          <w:sz w:val="24"/>
        </w:rPr>
        <w:t> </w:t>
      </w:r>
      <w:r>
        <w:rPr>
          <w:sz w:val="24"/>
        </w:rPr>
        <w:t>purpose</w:t>
      </w:r>
      <w:r>
        <w:rPr>
          <w:spacing w:val="-1"/>
          <w:sz w:val="24"/>
        </w:rPr>
        <w:t> </w:t>
      </w:r>
      <w:r>
        <w:rPr>
          <w:sz w:val="24"/>
        </w:rPr>
        <w:t>of the school.</w:t>
      </w:r>
      <w:r>
        <w:rPr>
          <w:spacing w:val="40"/>
          <w:sz w:val="24"/>
        </w:rPr>
        <w:t> </w:t>
      </w:r>
      <w:r>
        <w:rPr>
          <w:sz w:val="24"/>
        </w:rPr>
        <w:t>This includes casework, psychology, health, education, and child care staff functioning in accordance with their designated responsibilities and expertise. All</w:t>
      </w:r>
      <w:r>
        <w:rPr>
          <w:spacing w:val="-5"/>
          <w:sz w:val="24"/>
        </w:rPr>
        <w:t> </w:t>
      </w:r>
      <w:r>
        <w:rPr>
          <w:sz w:val="24"/>
        </w:rPr>
        <w:t>employees</w:t>
      </w:r>
      <w:r>
        <w:rPr>
          <w:spacing w:val="-5"/>
          <w:sz w:val="24"/>
        </w:rPr>
        <w:t> </w:t>
      </w:r>
      <w:r>
        <w:rPr>
          <w:sz w:val="24"/>
        </w:rPr>
        <w:t>of</w:t>
      </w:r>
      <w:r>
        <w:rPr>
          <w:spacing w:val="-5"/>
          <w:sz w:val="24"/>
        </w:rPr>
        <w:t> </w:t>
      </w:r>
      <w:r>
        <w:rPr>
          <w:sz w:val="24"/>
        </w:rPr>
        <w:t>the</w:t>
      </w:r>
      <w:r>
        <w:rPr>
          <w:spacing w:val="-6"/>
          <w:sz w:val="24"/>
        </w:rPr>
        <w:t> </w:t>
      </w:r>
      <w:r>
        <w:rPr>
          <w:sz w:val="24"/>
        </w:rPr>
        <w:t>schools,</w:t>
      </w:r>
      <w:r>
        <w:rPr>
          <w:spacing w:val="-4"/>
          <w:sz w:val="24"/>
        </w:rPr>
        <w:t> </w:t>
      </w:r>
      <w:r>
        <w:rPr>
          <w:sz w:val="24"/>
        </w:rPr>
        <w:t>whether</w:t>
      </w:r>
      <w:r>
        <w:rPr>
          <w:spacing w:val="-4"/>
          <w:sz w:val="24"/>
        </w:rPr>
        <w:t> </w:t>
      </w:r>
      <w:r>
        <w:rPr>
          <w:sz w:val="24"/>
        </w:rPr>
        <w:t>houseparents,</w:t>
      </w:r>
      <w:r>
        <w:rPr>
          <w:spacing w:val="-6"/>
          <w:sz w:val="24"/>
        </w:rPr>
        <w:t> </w:t>
      </w:r>
      <w:r>
        <w:rPr>
          <w:sz w:val="24"/>
        </w:rPr>
        <w:t>cooks,</w:t>
      </w:r>
      <w:r>
        <w:rPr>
          <w:spacing w:val="-4"/>
          <w:sz w:val="24"/>
        </w:rPr>
        <w:t> </w:t>
      </w:r>
      <w:r>
        <w:rPr>
          <w:sz w:val="24"/>
        </w:rPr>
        <w:t>teachers,</w:t>
      </w:r>
      <w:r>
        <w:rPr>
          <w:spacing w:val="-4"/>
          <w:sz w:val="24"/>
        </w:rPr>
        <w:t> </w:t>
      </w:r>
      <w:r>
        <w:rPr>
          <w:sz w:val="24"/>
        </w:rPr>
        <w:t>maintenance</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792" w:right="775"/>
      </w:pPr>
      <w:r>
        <w:rPr/>
        <w:t>personnel,</w:t>
      </w:r>
      <w:r>
        <w:rPr>
          <w:spacing w:val="-2"/>
        </w:rPr>
        <w:t> </w:t>
      </w:r>
      <w:r>
        <w:rPr/>
        <w:t>or</w:t>
      </w:r>
      <w:r>
        <w:rPr>
          <w:spacing w:val="-3"/>
        </w:rPr>
        <w:t> </w:t>
      </w:r>
      <w:r>
        <w:rPr/>
        <w:t>others</w:t>
      </w:r>
      <w:r>
        <w:rPr>
          <w:spacing w:val="-4"/>
        </w:rPr>
        <w:t> </w:t>
      </w:r>
      <w:r>
        <w:rPr/>
        <w:t>have</w:t>
      </w:r>
      <w:r>
        <w:rPr>
          <w:spacing w:val="-4"/>
        </w:rPr>
        <w:t> </w:t>
      </w:r>
      <w:r>
        <w:rPr/>
        <w:t>a</w:t>
      </w:r>
      <w:r>
        <w:rPr>
          <w:spacing w:val="-4"/>
        </w:rPr>
        <w:t> </w:t>
      </w:r>
      <w:r>
        <w:rPr/>
        <w:t>responsibility</w:t>
      </w:r>
      <w:r>
        <w:rPr>
          <w:spacing w:val="-4"/>
        </w:rPr>
        <w:t> </w:t>
      </w:r>
      <w:r>
        <w:rPr/>
        <w:t>for</w:t>
      </w:r>
      <w:r>
        <w:rPr>
          <w:spacing w:val="-3"/>
        </w:rPr>
        <w:t> </w:t>
      </w:r>
      <w:r>
        <w:rPr/>
        <w:t>the</w:t>
      </w:r>
      <w:r>
        <w:rPr>
          <w:spacing w:val="-4"/>
        </w:rPr>
        <w:t> </w:t>
      </w:r>
      <w:r>
        <w:rPr/>
        <w:t>well-being</w:t>
      </w:r>
      <w:r>
        <w:rPr>
          <w:spacing w:val="-4"/>
        </w:rPr>
        <w:t> </w:t>
      </w:r>
      <w:r>
        <w:rPr/>
        <w:t>and</w:t>
      </w:r>
      <w:r>
        <w:rPr>
          <w:spacing w:val="-4"/>
        </w:rPr>
        <w:t> </w:t>
      </w:r>
      <w:r>
        <w:rPr/>
        <w:t>growth</w:t>
      </w:r>
      <w:r>
        <w:rPr>
          <w:spacing w:val="-4"/>
        </w:rPr>
        <w:t> </w:t>
      </w:r>
      <w:r>
        <w:rPr/>
        <w:t>of</w:t>
      </w:r>
      <w:r>
        <w:rPr>
          <w:spacing w:val="-3"/>
        </w:rPr>
        <w:t> </w:t>
      </w:r>
      <w:r>
        <w:rPr/>
        <w:t>the children with whom they work.</w:t>
      </w:r>
    </w:p>
    <w:p>
      <w:pPr>
        <w:pStyle w:val="ListParagraph"/>
        <w:numPr>
          <w:ilvl w:val="1"/>
          <w:numId w:val="341"/>
        </w:numPr>
        <w:tabs>
          <w:tab w:pos="1218" w:val="left" w:leader="none"/>
        </w:tabs>
        <w:spacing w:line="208" w:lineRule="auto" w:before="240" w:after="0"/>
        <w:ind w:left="792" w:right="1028" w:firstLine="0"/>
        <w:jc w:val="left"/>
        <w:rPr>
          <w:sz w:val="24"/>
        </w:rPr>
      </w:pPr>
      <w:r>
        <w:rPr>
          <w:b/>
          <w:sz w:val="24"/>
        </w:rPr>
        <w:t>Non-discriminatory practices.</w:t>
      </w:r>
      <w:r>
        <w:rPr>
          <w:b/>
          <w:spacing w:val="40"/>
          <w:sz w:val="24"/>
        </w:rPr>
        <w:t> </w:t>
      </w:r>
      <w:r>
        <w:rPr>
          <w:sz w:val="24"/>
        </w:rPr>
        <w:t>OSB and OSD abide by the Equal Employment Opportunity Affirmative Action Plan adopted by the Department of Rehabilitation</w:t>
      </w:r>
      <w:r>
        <w:rPr>
          <w:spacing w:val="-4"/>
          <w:sz w:val="24"/>
        </w:rPr>
        <w:t> </w:t>
      </w:r>
      <w:r>
        <w:rPr>
          <w:sz w:val="24"/>
        </w:rPr>
        <w:t>Services.</w:t>
      </w:r>
      <w:r>
        <w:rPr>
          <w:spacing w:val="40"/>
          <w:sz w:val="24"/>
        </w:rPr>
        <w:t> </w:t>
      </w:r>
      <w:r>
        <w:rPr>
          <w:sz w:val="24"/>
        </w:rPr>
        <w:t>Specific</w:t>
      </w:r>
      <w:r>
        <w:rPr>
          <w:spacing w:val="-4"/>
          <w:sz w:val="24"/>
        </w:rPr>
        <w:t> </w:t>
      </w:r>
      <w:r>
        <w:rPr>
          <w:sz w:val="24"/>
        </w:rPr>
        <w:t>information</w:t>
      </w:r>
      <w:r>
        <w:rPr>
          <w:spacing w:val="-4"/>
          <w:sz w:val="24"/>
        </w:rPr>
        <w:t> </w:t>
      </w:r>
      <w:r>
        <w:rPr>
          <w:sz w:val="24"/>
        </w:rPr>
        <w:t>regarding</w:t>
      </w:r>
      <w:r>
        <w:rPr>
          <w:spacing w:val="-4"/>
          <w:sz w:val="24"/>
        </w:rPr>
        <w:t> </w:t>
      </w:r>
      <w:r>
        <w:rPr>
          <w:sz w:val="24"/>
        </w:rPr>
        <w:t>this</w:t>
      </w:r>
      <w:r>
        <w:rPr>
          <w:spacing w:val="-4"/>
          <w:sz w:val="24"/>
        </w:rPr>
        <w:t> </w:t>
      </w:r>
      <w:r>
        <w:rPr>
          <w:sz w:val="24"/>
        </w:rPr>
        <w:t>plan</w:t>
      </w:r>
      <w:r>
        <w:rPr>
          <w:spacing w:val="-4"/>
          <w:sz w:val="24"/>
        </w:rPr>
        <w:t> </w:t>
      </w:r>
      <w:r>
        <w:rPr>
          <w:sz w:val="24"/>
        </w:rPr>
        <w:t>may</w:t>
      </w:r>
      <w:r>
        <w:rPr>
          <w:spacing w:val="-4"/>
          <w:sz w:val="24"/>
        </w:rPr>
        <w:t> </w:t>
      </w:r>
      <w:r>
        <w:rPr>
          <w:sz w:val="24"/>
        </w:rPr>
        <w:t>be</w:t>
      </w:r>
      <w:r>
        <w:rPr>
          <w:spacing w:val="-4"/>
          <w:sz w:val="24"/>
        </w:rPr>
        <w:t> </w:t>
      </w:r>
      <w:r>
        <w:rPr>
          <w:sz w:val="24"/>
        </w:rPr>
        <w:t>obtained from the superintendent's office at either school.</w:t>
      </w:r>
    </w:p>
    <w:p>
      <w:pPr>
        <w:pStyle w:val="ListParagraph"/>
        <w:numPr>
          <w:ilvl w:val="1"/>
          <w:numId w:val="341"/>
        </w:numPr>
        <w:tabs>
          <w:tab w:pos="1218" w:val="left" w:leader="none"/>
        </w:tabs>
        <w:spacing w:line="208" w:lineRule="auto" w:before="239" w:after="0"/>
        <w:ind w:left="792" w:right="813" w:firstLine="0"/>
        <w:jc w:val="left"/>
        <w:rPr>
          <w:sz w:val="24"/>
        </w:rPr>
      </w:pPr>
      <w:r>
        <w:rPr>
          <w:b/>
          <w:sz w:val="24"/>
        </w:rPr>
        <w:t>Rehabilitation Act of 1973 and ADA.</w:t>
      </w:r>
      <w:r>
        <w:rPr>
          <w:b/>
          <w:spacing w:val="40"/>
          <w:sz w:val="24"/>
        </w:rPr>
        <w:t> </w:t>
      </w:r>
      <w:r>
        <w:rPr>
          <w:sz w:val="24"/>
        </w:rPr>
        <w:t>In compliance with Section 504 of the Rehabilitation Act of 1973 and the Americans with Disabilities Act (ADA), the Department's</w:t>
      </w:r>
      <w:r>
        <w:rPr>
          <w:spacing w:val="-2"/>
          <w:sz w:val="24"/>
        </w:rPr>
        <w:t> </w:t>
      </w:r>
      <w:r>
        <w:rPr>
          <w:sz w:val="24"/>
        </w:rPr>
        <w:t>policy</w:t>
      </w:r>
      <w:r>
        <w:rPr>
          <w:spacing w:val="-2"/>
          <w:sz w:val="24"/>
        </w:rPr>
        <w:t> </w:t>
      </w:r>
      <w:r>
        <w:rPr>
          <w:sz w:val="24"/>
        </w:rPr>
        <w:t>is</w:t>
      </w:r>
      <w:r>
        <w:rPr>
          <w:spacing w:val="-2"/>
          <w:sz w:val="24"/>
        </w:rPr>
        <w:t> </w:t>
      </w:r>
      <w:r>
        <w:rPr>
          <w:sz w:val="24"/>
        </w:rPr>
        <w:t>that</w:t>
      </w:r>
      <w:r>
        <w:rPr>
          <w:spacing w:val="-1"/>
          <w:sz w:val="24"/>
        </w:rPr>
        <w:t> </w:t>
      </w:r>
      <w:r>
        <w:rPr>
          <w:sz w:val="24"/>
        </w:rPr>
        <w:t>no</w:t>
      </w:r>
      <w:r>
        <w:rPr>
          <w:spacing w:val="-2"/>
          <w:sz w:val="24"/>
        </w:rPr>
        <w:t> </w:t>
      </w:r>
      <w:r>
        <w:rPr>
          <w:sz w:val="24"/>
        </w:rPr>
        <w:t>student</w:t>
      </w:r>
      <w:r>
        <w:rPr>
          <w:spacing w:val="-1"/>
          <w:sz w:val="24"/>
        </w:rPr>
        <w:t> </w:t>
      </w:r>
      <w:r>
        <w:rPr>
          <w:sz w:val="24"/>
        </w:rPr>
        <w:t>shall</w:t>
      </w:r>
      <w:r>
        <w:rPr>
          <w:spacing w:val="-2"/>
          <w:sz w:val="24"/>
        </w:rPr>
        <w:t> </w:t>
      </w:r>
      <w:r>
        <w:rPr>
          <w:sz w:val="24"/>
        </w:rPr>
        <w:t>be</w:t>
      </w:r>
      <w:r>
        <w:rPr>
          <w:spacing w:val="-2"/>
          <w:sz w:val="24"/>
        </w:rPr>
        <w:t> </w:t>
      </w:r>
      <w:r>
        <w:rPr>
          <w:sz w:val="24"/>
        </w:rPr>
        <w:t>excluded</w:t>
      </w:r>
      <w:r>
        <w:rPr>
          <w:spacing w:val="-1"/>
          <w:sz w:val="24"/>
        </w:rPr>
        <w:t> </w:t>
      </w:r>
      <w:r>
        <w:rPr>
          <w:sz w:val="24"/>
        </w:rPr>
        <w:t>from</w:t>
      </w:r>
      <w:r>
        <w:rPr>
          <w:spacing w:val="-1"/>
          <w:sz w:val="24"/>
        </w:rPr>
        <w:t> </w:t>
      </w:r>
      <w:r>
        <w:rPr>
          <w:sz w:val="24"/>
        </w:rPr>
        <w:t>any</w:t>
      </w:r>
      <w:r>
        <w:rPr>
          <w:spacing w:val="-2"/>
          <w:sz w:val="24"/>
        </w:rPr>
        <w:t> </w:t>
      </w:r>
      <w:r>
        <w:rPr>
          <w:sz w:val="24"/>
        </w:rPr>
        <w:t>program,</w:t>
      </w:r>
      <w:r>
        <w:rPr>
          <w:spacing w:val="-1"/>
          <w:sz w:val="24"/>
        </w:rPr>
        <w:t> </w:t>
      </w:r>
      <w:r>
        <w:rPr>
          <w:sz w:val="24"/>
        </w:rPr>
        <w:t>activity, or</w:t>
      </w:r>
      <w:r>
        <w:rPr>
          <w:spacing w:val="-3"/>
          <w:sz w:val="24"/>
        </w:rPr>
        <w:t> </w:t>
      </w:r>
      <w:r>
        <w:rPr>
          <w:sz w:val="24"/>
        </w:rPr>
        <w:t>educational</w:t>
      </w:r>
      <w:r>
        <w:rPr>
          <w:spacing w:val="-4"/>
          <w:sz w:val="24"/>
        </w:rPr>
        <w:t> </w:t>
      </w:r>
      <w:r>
        <w:rPr>
          <w:sz w:val="24"/>
        </w:rPr>
        <w:t>endeavor</w:t>
      </w:r>
      <w:r>
        <w:rPr>
          <w:spacing w:val="-3"/>
          <w:sz w:val="24"/>
        </w:rPr>
        <w:t> </w:t>
      </w:r>
      <w:r>
        <w:rPr>
          <w:sz w:val="24"/>
        </w:rPr>
        <w:t>based</w:t>
      </w:r>
      <w:r>
        <w:rPr>
          <w:spacing w:val="-4"/>
          <w:sz w:val="24"/>
        </w:rPr>
        <w:t> </w:t>
      </w:r>
      <w:r>
        <w:rPr>
          <w:sz w:val="24"/>
        </w:rPr>
        <w:t>on</w:t>
      </w:r>
      <w:r>
        <w:rPr>
          <w:spacing w:val="-4"/>
          <w:sz w:val="24"/>
        </w:rPr>
        <w:t> </w:t>
      </w:r>
      <w:r>
        <w:rPr>
          <w:sz w:val="24"/>
        </w:rPr>
        <w:t>disability.</w:t>
      </w:r>
      <w:r>
        <w:rPr>
          <w:spacing w:val="40"/>
          <w:sz w:val="24"/>
        </w:rPr>
        <w:t> </w:t>
      </w:r>
      <w:r>
        <w:rPr>
          <w:sz w:val="24"/>
        </w:rPr>
        <w:t>The</w:t>
      </w:r>
      <w:r>
        <w:rPr>
          <w:spacing w:val="-4"/>
          <w:sz w:val="24"/>
        </w:rPr>
        <w:t> </w:t>
      </w:r>
      <w:r>
        <w:rPr>
          <w:sz w:val="24"/>
        </w:rPr>
        <w:t>Department</w:t>
      </w:r>
      <w:r>
        <w:rPr>
          <w:spacing w:val="-5"/>
          <w:sz w:val="24"/>
        </w:rPr>
        <w:t> </w:t>
      </w:r>
      <w:r>
        <w:rPr>
          <w:sz w:val="24"/>
        </w:rPr>
        <w:t>is</w:t>
      </w:r>
      <w:r>
        <w:rPr>
          <w:spacing w:val="-4"/>
          <w:sz w:val="24"/>
        </w:rPr>
        <w:t> </w:t>
      </w:r>
      <w:r>
        <w:rPr>
          <w:sz w:val="24"/>
        </w:rPr>
        <w:t>responsible</w:t>
      </w:r>
      <w:r>
        <w:rPr>
          <w:spacing w:val="-4"/>
          <w:sz w:val="24"/>
        </w:rPr>
        <w:t> </w:t>
      </w:r>
      <w:r>
        <w:rPr>
          <w:sz w:val="24"/>
        </w:rPr>
        <w:t>for</w:t>
      </w:r>
      <w:r>
        <w:rPr>
          <w:spacing w:val="-3"/>
          <w:sz w:val="24"/>
        </w:rPr>
        <w:t> </w:t>
      </w:r>
      <w:r>
        <w:rPr>
          <w:sz w:val="24"/>
        </w:rPr>
        <w:t>fair employment</w:t>
      </w:r>
      <w:r>
        <w:rPr>
          <w:spacing w:val="-4"/>
          <w:sz w:val="24"/>
        </w:rPr>
        <w:t> </w:t>
      </w:r>
      <w:r>
        <w:rPr>
          <w:sz w:val="24"/>
        </w:rPr>
        <w:t>practices</w:t>
      </w:r>
      <w:r>
        <w:rPr>
          <w:spacing w:val="-5"/>
          <w:sz w:val="24"/>
        </w:rPr>
        <w:t> </w:t>
      </w:r>
      <w:r>
        <w:rPr>
          <w:sz w:val="24"/>
        </w:rPr>
        <w:t>which</w:t>
      </w:r>
      <w:r>
        <w:rPr>
          <w:spacing w:val="-5"/>
          <w:sz w:val="24"/>
        </w:rPr>
        <w:t> </w:t>
      </w:r>
      <w:r>
        <w:rPr>
          <w:sz w:val="24"/>
        </w:rPr>
        <w:t>assure</w:t>
      </w:r>
      <w:r>
        <w:rPr>
          <w:spacing w:val="-5"/>
          <w:sz w:val="24"/>
        </w:rPr>
        <w:t> </w:t>
      </w:r>
      <w:r>
        <w:rPr>
          <w:sz w:val="24"/>
        </w:rPr>
        <w:t>that</w:t>
      </w:r>
      <w:r>
        <w:rPr>
          <w:spacing w:val="-4"/>
          <w:sz w:val="24"/>
        </w:rPr>
        <w:t> </w:t>
      </w:r>
      <w:r>
        <w:rPr>
          <w:sz w:val="24"/>
        </w:rPr>
        <w:t>employees</w:t>
      </w:r>
      <w:r>
        <w:rPr>
          <w:spacing w:val="-5"/>
          <w:sz w:val="24"/>
        </w:rPr>
        <w:t> </w:t>
      </w:r>
      <w:r>
        <w:rPr>
          <w:sz w:val="24"/>
        </w:rPr>
        <w:t>and</w:t>
      </w:r>
      <w:r>
        <w:rPr>
          <w:spacing w:val="-5"/>
          <w:sz w:val="24"/>
        </w:rPr>
        <w:t> </w:t>
      </w:r>
      <w:r>
        <w:rPr>
          <w:sz w:val="24"/>
        </w:rPr>
        <w:t>applicants</w:t>
      </w:r>
      <w:r>
        <w:rPr>
          <w:spacing w:val="-5"/>
          <w:sz w:val="24"/>
        </w:rPr>
        <w:t> </w:t>
      </w:r>
      <w:r>
        <w:rPr>
          <w:sz w:val="24"/>
        </w:rPr>
        <w:t>for</w:t>
      </w:r>
      <w:r>
        <w:rPr>
          <w:spacing w:val="-4"/>
          <w:sz w:val="24"/>
        </w:rPr>
        <w:t> </w:t>
      </w:r>
      <w:r>
        <w:rPr>
          <w:sz w:val="24"/>
        </w:rPr>
        <w:t>employment are not discriminated against on the grounds of disability.</w:t>
      </w:r>
      <w:r>
        <w:rPr>
          <w:spacing w:val="40"/>
          <w:sz w:val="24"/>
        </w:rPr>
        <w:t> </w:t>
      </w:r>
      <w:r>
        <w:rPr>
          <w:sz w:val="24"/>
        </w:rPr>
        <w:t>The Principal/Education Director at</w:t>
      </w:r>
      <w:r>
        <w:rPr>
          <w:spacing w:val="-1"/>
          <w:sz w:val="24"/>
        </w:rPr>
        <w:t> </w:t>
      </w:r>
      <w:r>
        <w:rPr>
          <w:sz w:val="24"/>
        </w:rPr>
        <w:t>the Schools for</w:t>
      </w:r>
      <w:r>
        <w:rPr>
          <w:spacing w:val="-1"/>
          <w:sz w:val="24"/>
        </w:rPr>
        <w:t> </w:t>
      </w:r>
      <w:r>
        <w:rPr>
          <w:sz w:val="24"/>
        </w:rPr>
        <w:t>the Blind and Deaf are designated to coordinate Section 504 and ADA compliance efforts, including the processing of parent/student and employee complaints alleging discrimination on the basis of disability.</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7-1-95</w:t>
      </w:r>
      <w:r>
        <w:rPr>
          <w:sz w:val="22"/>
        </w:rPr>
        <w:tab/>
        <w:t>PT Memo #95-2</w:t>
      </w:r>
    </w:p>
    <w:p>
      <w:pPr>
        <w:spacing w:before="1"/>
        <w:ind w:left="1439" w:right="775" w:firstLine="0"/>
        <w:jc w:val="left"/>
        <w:rPr>
          <w:sz w:val="22"/>
        </w:rPr>
      </w:pPr>
      <w:r>
        <w:rPr>
          <w:sz w:val="22"/>
        </w:rPr>
        <w:t>Permanent,</w:t>
      </w:r>
      <w:r>
        <w:rPr>
          <w:spacing w:val="-3"/>
          <w:sz w:val="22"/>
        </w:rPr>
        <w:t> </w:t>
      </w:r>
      <w:r>
        <w:rPr>
          <w:sz w:val="22"/>
        </w:rPr>
        <w:t>establishment</w:t>
      </w:r>
      <w:r>
        <w:rPr>
          <w:spacing w:val="-4"/>
          <w:sz w:val="22"/>
        </w:rPr>
        <w:t> </w:t>
      </w:r>
      <w:r>
        <w:rPr>
          <w:sz w:val="22"/>
        </w:rPr>
        <w:t>of</w:t>
      </w:r>
      <w:r>
        <w:rPr>
          <w:spacing w:val="-4"/>
          <w:sz w:val="22"/>
        </w:rPr>
        <w:t> </w:t>
      </w:r>
      <w:r>
        <w:rPr>
          <w:sz w:val="22"/>
        </w:rPr>
        <w:t>OSB</w:t>
      </w:r>
      <w:r>
        <w:rPr>
          <w:spacing w:val="-4"/>
          <w:sz w:val="22"/>
        </w:rPr>
        <w:t> </w:t>
      </w:r>
      <w:r>
        <w:rPr>
          <w:sz w:val="22"/>
        </w:rPr>
        <w:t>&amp;</w:t>
      </w:r>
      <w:r>
        <w:rPr>
          <w:spacing w:val="-3"/>
          <w:sz w:val="22"/>
        </w:rPr>
        <w:t> </w:t>
      </w:r>
      <w:r>
        <w:rPr>
          <w:sz w:val="22"/>
        </w:rPr>
        <w:t>OSD</w:t>
      </w:r>
      <w:r>
        <w:rPr>
          <w:spacing w:val="-5"/>
          <w:sz w:val="22"/>
        </w:rPr>
        <w:t> </w:t>
      </w:r>
      <w:r>
        <w:rPr>
          <w:sz w:val="22"/>
        </w:rPr>
        <w:t>under</w:t>
      </w:r>
      <w:r>
        <w:rPr>
          <w:spacing w:val="-3"/>
          <w:sz w:val="22"/>
        </w:rPr>
        <w:t> </w:t>
      </w:r>
      <w:r>
        <w:rPr>
          <w:sz w:val="22"/>
        </w:rPr>
        <w:t>State</w:t>
      </w:r>
      <w:r>
        <w:rPr>
          <w:spacing w:val="-4"/>
          <w:sz w:val="22"/>
        </w:rPr>
        <w:t> </w:t>
      </w:r>
      <w:r>
        <w:rPr>
          <w:sz w:val="22"/>
        </w:rPr>
        <w:t>Constitution</w:t>
      </w:r>
      <w:r>
        <w:rPr>
          <w:spacing w:val="-4"/>
          <w:sz w:val="22"/>
        </w:rPr>
        <w:t> </w:t>
      </w:r>
      <w:r>
        <w:rPr>
          <w:sz w:val="22"/>
        </w:rPr>
        <w:t>cited;</w:t>
      </w:r>
      <w:r>
        <w:rPr>
          <w:spacing w:val="-5"/>
          <w:sz w:val="22"/>
        </w:rPr>
        <w:t> </w:t>
      </w:r>
      <w:r>
        <w:rPr>
          <w:sz w:val="22"/>
        </w:rPr>
        <w:t>the provision of services mandated of other agencies prohibited</w:t>
      </w:r>
    </w:p>
    <w:p>
      <w:pPr>
        <w:spacing w:after="0"/>
        <w:jc w:val="left"/>
        <w:rPr>
          <w:sz w:val="22"/>
        </w:rPr>
        <w:sectPr>
          <w:pgSz w:w="12240" w:h="15840"/>
          <w:pgMar w:top="1340" w:bottom="280" w:left="1080" w:right="720"/>
        </w:sectPr>
      </w:pPr>
    </w:p>
    <w:p>
      <w:pPr>
        <w:pStyle w:val="Heading2"/>
      </w:pPr>
      <w:bookmarkStart w:name="612:20-3-2.  Administrative responsibili" w:id="341"/>
      <w:bookmarkEnd w:id="341"/>
      <w:r>
        <w:rPr>
          <w:b w:val="0"/>
        </w:rPr>
      </w:r>
      <w:r>
        <w:rPr/>
        <w:t>612:20-3-2.</w:t>
      </w:r>
      <w:r>
        <w:rPr>
          <w:spacing w:val="57"/>
        </w:rPr>
        <w:t> </w:t>
      </w:r>
      <w:r>
        <w:rPr/>
        <w:t>Administrative</w:t>
      </w:r>
      <w:r>
        <w:rPr>
          <w:spacing w:val="-5"/>
        </w:rPr>
        <w:t> </w:t>
      </w:r>
      <w:r>
        <w:rPr>
          <w:spacing w:val="-2"/>
        </w:rPr>
        <w:t>responsibility</w:t>
      </w:r>
    </w:p>
    <w:p>
      <w:pPr>
        <w:pStyle w:val="BodyText"/>
        <w:spacing w:line="208" w:lineRule="auto" w:before="233"/>
        <w:ind w:left="359" w:right="759" w:firstLine="432"/>
      </w:pPr>
      <w:r>
        <w:rPr/>
        <w:t>The superintendent is responsible for the operation of the school.</w:t>
      </w:r>
      <w:r>
        <w:rPr>
          <w:spacing w:val="40"/>
        </w:rPr>
        <w:t> </w:t>
      </w:r>
      <w:r>
        <w:rPr/>
        <w:t>It is the responsibility of the superintendent to designate and assign an administrator in charge in</w:t>
      </w:r>
      <w:r>
        <w:rPr>
          <w:spacing w:val="-4"/>
        </w:rPr>
        <w:t> </w:t>
      </w:r>
      <w:r>
        <w:rPr/>
        <w:t>the</w:t>
      </w:r>
      <w:r>
        <w:rPr>
          <w:spacing w:val="-4"/>
        </w:rPr>
        <w:t> </w:t>
      </w:r>
      <w:r>
        <w:rPr/>
        <w:t>superintendent's</w:t>
      </w:r>
      <w:r>
        <w:rPr>
          <w:spacing w:val="-4"/>
        </w:rPr>
        <w:t> </w:t>
      </w:r>
      <w:r>
        <w:rPr/>
        <w:t>absence.</w:t>
      </w:r>
      <w:r>
        <w:rPr>
          <w:spacing w:val="40"/>
        </w:rPr>
        <w:t> </w:t>
      </w:r>
      <w:r>
        <w:rPr/>
        <w:t>The</w:t>
      </w:r>
      <w:r>
        <w:rPr>
          <w:spacing w:val="-4"/>
        </w:rPr>
        <w:t> </w:t>
      </w:r>
      <w:r>
        <w:rPr/>
        <w:t>person</w:t>
      </w:r>
      <w:r>
        <w:rPr>
          <w:spacing w:val="-4"/>
        </w:rPr>
        <w:t> </w:t>
      </w:r>
      <w:r>
        <w:rPr/>
        <w:t>so</w:t>
      </w:r>
      <w:r>
        <w:rPr>
          <w:spacing w:val="-4"/>
        </w:rPr>
        <w:t> </w:t>
      </w:r>
      <w:r>
        <w:rPr/>
        <w:t>designated</w:t>
      </w:r>
      <w:r>
        <w:rPr>
          <w:spacing w:val="-4"/>
        </w:rPr>
        <w:t> </w:t>
      </w:r>
      <w:r>
        <w:rPr/>
        <w:t>will</w:t>
      </w:r>
      <w:r>
        <w:rPr>
          <w:spacing w:val="-4"/>
        </w:rPr>
        <w:t> </w:t>
      </w:r>
      <w:r>
        <w:rPr/>
        <w:t>fulfill</w:t>
      </w:r>
      <w:r>
        <w:rPr>
          <w:spacing w:val="-4"/>
        </w:rPr>
        <w:t> </w:t>
      </w:r>
      <w:r>
        <w:rPr/>
        <w:t>the</w:t>
      </w:r>
      <w:r>
        <w:rPr>
          <w:spacing w:val="-4"/>
        </w:rPr>
        <w:t> </w:t>
      </w:r>
      <w:r>
        <w:rPr/>
        <w:t>responsibilities of the superintendent until his or her return.</w:t>
      </w:r>
    </w:p>
    <w:p>
      <w:pPr>
        <w:pStyle w:val="ListParagraph"/>
        <w:numPr>
          <w:ilvl w:val="0"/>
          <w:numId w:val="342"/>
        </w:numPr>
        <w:tabs>
          <w:tab w:pos="1217" w:val="left" w:leader="none"/>
        </w:tabs>
        <w:spacing w:line="208" w:lineRule="auto" w:before="239" w:after="0"/>
        <w:ind w:left="791" w:right="748" w:firstLine="0"/>
        <w:jc w:val="left"/>
        <w:rPr>
          <w:sz w:val="24"/>
        </w:rPr>
      </w:pPr>
      <w:r>
        <w:rPr>
          <w:b/>
          <w:sz w:val="24"/>
        </w:rPr>
        <w:t>Staff attitudes and conduct.</w:t>
      </w:r>
      <w:r>
        <w:rPr>
          <w:b/>
          <w:spacing w:val="40"/>
          <w:sz w:val="24"/>
        </w:rPr>
        <w:t> </w:t>
      </w:r>
      <w:r>
        <w:rPr>
          <w:sz w:val="24"/>
        </w:rPr>
        <w:t>Because positive staff attitudes are essential to constructive work with any child, staff members in the schools are required to demonstrate genuine interest and concern in the growth and development of each child, and possess the willingness and ability to take risks of becoming effectively involved with children in a positive and meaningful relationship.</w:t>
      </w:r>
      <w:r>
        <w:rPr>
          <w:spacing w:val="40"/>
          <w:sz w:val="24"/>
        </w:rPr>
        <w:t> </w:t>
      </w:r>
      <w:r>
        <w:rPr>
          <w:sz w:val="24"/>
        </w:rPr>
        <w:t>There must, regardless</w:t>
      </w:r>
      <w:r>
        <w:rPr>
          <w:spacing w:val="-4"/>
          <w:sz w:val="24"/>
        </w:rPr>
        <w:t> </w:t>
      </w:r>
      <w:r>
        <w:rPr>
          <w:sz w:val="24"/>
        </w:rPr>
        <w:t>of</w:t>
      </w:r>
      <w:r>
        <w:rPr>
          <w:spacing w:val="-3"/>
          <w:sz w:val="24"/>
        </w:rPr>
        <w:t> </w:t>
      </w:r>
      <w:r>
        <w:rPr>
          <w:sz w:val="24"/>
        </w:rPr>
        <w:t>position,</w:t>
      </w:r>
      <w:r>
        <w:rPr>
          <w:spacing w:val="-3"/>
          <w:sz w:val="24"/>
        </w:rPr>
        <w:t> </w:t>
      </w:r>
      <w:r>
        <w:rPr>
          <w:sz w:val="24"/>
        </w:rPr>
        <w:t>be</w:t>
      </w:r>
      <w:r>
        <w:rPr>
          <w:spacing w:val="-4"/>
          <w:sz w:val="24"/>
        </w:rPr>
        <w:t> </w:t>
      </w:r>
      <w:r>
        <w:rPr>
          <w:sz w:val="24"/>
        </w:rPr>
        <w:t>a</w:t>
      </w:r>
      <w:r>
        <w:rPr>
          <w:spacing w:val="-4"/>
          <w:sz w:val="24"/>
        </w:rPr>
        <w:t> </w:t>
      </w:r>
      <w:r>
        <w:rPr>
          <w:sz w:val="24"/>
        </w:rPr>
        <w:t>willingness</w:t>
      </w:r>
      <w:r>
        <w:rPr>
          <w:spacing w:val="-4"/>
          <w:sz w:val="24"/>
        </w:rPr>
        <w:t> </w:t>
      </w:r>
      <w:r>
        <w:rPr>
          <w:sz w:val="24"/>
        </w:rPr>
        <w:t>to</w:t>
      </w:r>
      <w:r>
        <w:rPr>
          <w:spacing w:val="-4"/>
          <w:sz w:val="24"/>
        </w:rPr>
        <w:t> </w:t>
      </w:r>
      <w:r>
        <w:rPr>
          <w:sz w:val="24"/>
        </w:rPr>
        <w:t>communicate</w:t>
      </w:r>
      <w:r>
        <w:rPr>
          <w:spacing w:val="-4"/>
          <w:sz w:val="24"/>
        </w:rPr>
        <w:t> </w:t>
      </w:r>
      <w:r>
        <w:rPr>
          <w:sz w:val="24"/>
        </w:rPr>
        <w:t>with</w:t>
      </w:r>
      <w:r>
        <w:rPr>
          <w:spacing w:val="-4"/>
          <w:sz w:val="24"/>
        </w:rPr>
        <w:t> </w:t>
      </w:r>
      <w:r>
        <w:rPr>
          <w:sz w:val="24"/>
        </w:rPr>
        <w:t>other</w:t>
      </w:r>
      <w:r>
        <w:rPr>
          <w:spacing w:val="-5"/>
          <w:sz w:val="24"/>
        </w:rPr>
        <w:t> </w:t>
      </w:r>
      <w:r>
        <w:rPr>
          <w:sz w:val="24"/>
        </w:rPr>
        <w:t>staff</w:t>
      </w:r>
      <w:r>
        <w:rPr>
          <w:spacing w:val="-5"/>
          <w:sz w:val="24"/>
        </w:rPr>
        <w:t> </w:t>
      </w:r>
      <w:r>
        <w:rPr>
          <w:sz w:val="24"/>
        </w:rPr>
        <w:t>members</w:t>
      </w:r>
      <w:r>
        <w:rPr>
          <w:spacing w:val="-4"/>
          <w:sz w:val="24"/>
        </w:rPr>
        <w:t> </w:t>
      </w:r>
      <w:r>
        <w:rPr>
          <w:sz w:val="24"/>
        </w:rPr>
        <w:t>on a cooperative basis which allows for self-criticism without personal threat.</w:t>
      </w:r>
      <w:r>
        <w:rPr>
          <w:spacing w:val="40"/>
          <w:sz w:val="24"/>
        </w:rPr>
        <w:t> </w:t>
      </w:r>
      <w:r>
        <w:rPr>
          <w:sz w:val="24"/>
        </w:rPr>
        <w:t>Staff members are required to conduct themselves, at all times, in such a way as not to bring discredit on themselves, the institution, or the Department. Decorum with the children with whom they work shall be warm, friendly, and understanding, and professional in quality.</w:t>
      </w:r>
      <w:r>
        <w:rPr>
          <w:spacing w:val="40"/>
          <w:sz w:val="24"/>
        </w:rPr>
        <w:t> </w:t>
      </w:r>
      <w:r>
        <w:rPr>
          <w:sz w:val="24"/>
        </w:rPr>
        <w:t>They shall be able to set appropriate limits for children and accept responsibility for the propriety with which it is done.</w:t>
      </w:r>
      <w:r>
        <w:rPr>
          <w:spacing w:val="40"/>
          <w:sz w:val="24"/>
        </w:rPr>
        <w:t> </w:t>
      </w:r>
      <w:r>
        <w:rPr>
          <w:sz w:val="24"/>
        </w:rPr>
        <w:t>Except in line of duty, staff members shall not discuss confidential matters of personnel or students.</w:t>
      </w:r>
    </w:p>
    <w:p>
      <w:pPr>
        <w:pStyle w:val="ListParagraph"/>
        <w:numPr>
          <w:ilvl w:val="0"/>
          <w:numId w:val="342"/>
        </w:numPr>
        <w:tabs>
          <w:tab w:pos="1216" w:val="left" w:leader="none"/>
        </w:tabs>
        <w:spacing w:line="208" w:lineRule="auto" w:before="239" w:after="0"/>
        <w:ind w:left="791" w:right="919" w:firstLine="0"/>
        <w:jc w:val="both"/>
        <w:rPr>
          <w:sz w:val="24"/>
        </w:rPr>
      </w:pPr>
      <w:r>
        <w:rPr>
          <w:b/>
          <w:sz w:val="24"/>
        </w:rPr>
        <w:t>In-service</w:t>
      </w:r>
      <w:r>
        <w:rPr>
          <w:b/>
          <w:spacing w:val="-4"/>
          <w:sz w:val="24"/>
        </w:rPr>
        <w:t> </w:t>
      </w:r>
      <w:r>
        <w:rPr>
          <w:b/>
          <w:sz w:val="24"/>
        </w:rPr>
        <w:t>training.</w:t>
      </w:r>
      <w:r>
        <w:rPr>
          <w:b/>
          <w:spacing w:val="40"/>
          <w:sz w:val="24"/>
        </w:rPr>
        <w:t> </w:t>
      </w:r>
      <w:r>
        <w:rPr>
          <w:sz w:val="24"/>
        </w:rPr>
        <w:t>The</w:t>
      </w:r>
      <w:r>
        <w:rPr>
          <w:spacing w:val="-4"/>
          <w:sz w:val="24"/>
        </w:rPr>
        <w:t> </w:t>
      </w:r>
      <w:r>
        <w:rPr>
          <w:sz w:val="24"/>
        </w:rPr>
        <w:t>administrative/teaching</w:t>
      </w:r>
      <w:r>
        <w:rPr>
          <w:spacing w:val="-4"/>
          <w:sz w:val="24"/>
        </w:rPr>
        <w:t> </w:t>
      </w:r>
      <w:r>
        <w:rPr>
          <w:sz w:val="24"/>
        </w:rPr>
        <w:t>staff</w:t>
      </w:r>
      <w:r>
        <w:rPr>
          <w:spacing w:val="-3"/>
          <w:sz w:val="24"/>
        </w:rPr>
        <w:t> </w:t>
      </w:r>
      <w:r>
        <w:rPr>
          <w:sz w:val="24"/>
        </w:rPr>
        <w:t>will</w:t>
      </w:r>
      <w:r>
        <w:rPr>
          <w:spacing w:val="-4"/>
          <w:sz w:val="24"/>
        </w:rPr>
        <w:t> </w:t>
      </w:r>
      <w:r>
        <w:rPr>
          <w:sz w:val="24"/>
        </w:rPr>
        <w:t>abide</w:t>
      </w:r>
      <w:r>
        <w:rPr>
          <w:spacing w:val="-4"/>
          <w:sz w:val="24"/>
        </w:rPr>
        <w:t> </w:t>
      </w:r>
      <w:r>
        <w:rPr>
          <w:sz w:val="24"/>
        </w:rPr>
        <w:t>by</w:t>
      </w:r>
      <w:r>
        <w:rPr>
          <w:spacing w:val="-4"/>
          <w:sz w:val="24"/>
        </w:rPr>
        <w:t> </w:t>
      </w:r>
      <w:r>
        <w:rPr>
          <w:sz w:val="24"/>
        </w:rPr>
        <w:t>H.B.</w:t>
      </w:r>
      <w:r>
        <w:rPr>
          <w:spacing w:val="-3"/>
          <w:sz w:val="24"/>
        </w:rPr>
        <w:t> </w:t>
      </w:r>
      <w:r>
        <w:rPr>
          <w:sz w:val="24"/>
        </w:rPr>
        <w:t>1706, 1981,</w:t>
      </w:r>
      <w:r>
        <w:rPr>
          <w:spacing w:val="-2"/>
          <w:sz w:val="24"/>
        </w:rPr>
        <w:t> </w:t>
      </w:r>
      <w:r>
        <w:rPr>
          <w:sz w:val="24"/>
        </w:rPr>
        <w:t>which</w:t>
      </w:r>
      <w:r>
        <w:rPr>
          <w:spacing w:val="-3"/>
          <w:sz w:val="24"/>
        </w:rPr>
        <w:t> </w:t>
      </w:r>
      <w:r>
        <w:rPr>
          <w:sz w:val="24"/>
        </w:rPr>
        <w:t>provides</w:t>
      </w:r>
      <w:r>
        <w:rPr>
          <w:spacing w:val="-3"/>
          <w:sz w:val="24"/>
        </w:rPr>
        <w:t> </w:t>
      </w:r>
      <w:r>
        <w:rPr>
          <w:sz w:val="24"/>
        </w:rPr>
        <w:t>for</w:t>
      </w:r>
      <w:r>
        <w:rPr>
          <w:spacing w:val="-2"/>
          <w:sz w:val="24"/>
        </w:rPr>
        <w:t> </w:t>
      </w:r>
      <w:r>
        <w:rPr>
          <w:sz w:val="24"/>
        </w:rPr>
        <w:t>the</w:t>
      </w:r>
      <w:r>
        <w:rPr>
          <w:spacing w:val="-4"/>
          <w:sz w:val="24"/>
        </w:rPr>
        <w:t> </w:t>
      </w:r>
      <w:r>
        <w:rPr>
          <w:sz w:val="24"/>
        </w:rPr>
        <w:t>formation</w:t>
      </w:r>
      <w:r>
        <w:rPr>
          <w:spacing w:val="-3"/>
          <w:sz w:val="24"/>
        </w:rPr>
        <w:t> </w:t>
      </w:r>
      <w:r>
        <w:rPr>
          <w:sz w:val="24"/>
        </w:rPr>
        <w:t>of</w:t>
      </w:r>
      <w:r>
        <w:rPr>
          <w:spacing w:val="-2"/>
          <w:sz w:val="24"/>
        </w:rPr>
        <w:t> </w:t>
      </w:r>
      <w:r>
        <w:rPr>
          <w:sz w:val="24"/>
        </w:rPr>
        <w:t>a</w:t>
      </w:r>
      <w:r>
        <w:rPr>
          <w:spacing w:val="-3"/>
          <w:sz w:val="24"/>
        </w:rPr>
        <w:t> </w:t>
      </w:r>
      <w:r>
        <w:rPr>
          <w:sz w:val="24"/>
        </w:rPr>
        <w:t>staff</w:t>
      </w:r>
      <w:r>
        <w:rPr>
          <w:spacing w:val="-4"/>
          <w:sz w:val="24"/>
        </w:rPr>
        <w:t> </w:t>
      </w:r>
      <w:r>
        <w:rPr>
          <w:sz w:val="24"/>
        </w:rPr>
        <w:t>development</w:t>
      </w:r>
      <w:r>
        <w:rPr>
          <w:spacing w:val="-2"/>
          <w:sz w:val="24"/>
        </w:rPr>
        <w:t> </w:t>
      </w:r>
      <w:r>
        <w:rPr>
          <w:sz w:val="24"/>
        </w:rPr>
        <w:t>plan</w:t>
      </w:r>
      <w:r>
        <w:rPr>
          <w:spacing w:val="-2"/>
          <w:sz w:val="24"/>
        </w:rPr>
        <w:t> </w:t>
      </w:r>
      <w:r>
        <w:rPr>
          <w:sz w:val="24"/>
        </w:rPr>
        <w:t>to</w:t>
      </w:r>
      <w:r>
        <w:rPr>
          <w:spacing w:val="-3"/>
          <w:sz w:val="24"/>
        </w:rPr>
        <w:t> </w:t>
      </w:r>
      <w:r>
        <w:rPr>
          <w:sz w:val="24"/>
        </w:rPr>
        <w:t>be</w:t>
      </w:r>
      <w:r>
        <w:rPr>
          <w:spacing w:val="-3"/>
          <w:sz w:val="24"/>
        </w:rPr>
        <w:t> </w:t>
      </w:r>
      <w:r>
        <w:rPr>
          <w:sz w:val="24"/>
        </w:rPr>
        <w:t>submitted and approved annually by the State Department of Education.</w:t>
      </w:r>
    </w:p>
    <w:p>
      <w:pPr>
        <w:pStyle w:val="ListParagraph"/>
        <w:numPr>
          <w:ilvl w:val="0"/>
          <w:numId w:val="342"/>
        </w:numPr>
        <w:tabs>
          <w:tab w:pos="1216" w:val="left" w:leader="none"/>
        </w:tabs>
        <w:spacing w:line="208" w:lineRule="auto" w:before="240" w:after="0"/>
        <w:ind w:left="791" w:right="774" w:firstLine="0"/>
        <w:jc w:val="left"/>
        <w:rPr>
          <w:sz w:val="24"/>
        </w:rPr>
      </w:pPr>
      <w:r>
        <w:rPr>
          <w:b/>
          <w:sz w:val="24"/>
        </w:rPr>
        <w:t>Transportation of children.</w:t>
      </w:r>
      <w:r>
        <w:rPr>
          <w:b/>
          <w:spacing w:val="40"/>
          <w:sz w:val="24"/>
        </w:rPr>
        <w:t> </w:t>
      </w:r>
      <w:r>
        <w:rPr>
          <w:sz w:val="24"/>
        </w:rPr>
        <w:t>Transportation needs may range from weekly trips home to occasional trips to doctor's offices, local stores, etc.</w:t>
      </w:r>
      <w:r>
        <w:rPr>
          <w:spacing w:val="40"/>
          <w:sz w:val="24"/>
        </w:rPr>
        <w:t> </w:t>
      </w:r>
      <w:r>
        <w:rPr>
          <w:sz w:val="24"/>
        </w:rPr>
        <w:t>The superintendent of each school shall designate an individual to coordinate transportation needs and arrange for the safe, appropriately chaperoned transport of students locally and throughout the state as needs arise.</w:t>
      </w:r>
      <w:r>
        <w:rPr>
          <w:spacing w:val="40"/>
          <w:sz w:val="24"/>
        </w:rPr>
        <w:t> </w:t>
      </w:r>
      <w:r>
        <w:rPr>
          <w:sz w:val="24"/>
        </w:rPr>
        <w:t>Close cooperative efforts</w:t>
      </w:r>
      <w:r>
        <w:rPr>
          <w:spacing w:val="-4"/>
          <w:sz w:val="24"/>
        </w:rPr>
        <w:t> </w:t>
      </w:r>
      <w:r>
        <w:rPr>
          <w:sz w:val="24"/>
        </w:rPr>
        <w:t>in</w:t>
      </w:r>
      <w:r>
        <w:rPr>
          <w:spacing w:val="-3"/>
          <w:sz w:val="24"/>
        </w:rPr>
        <w:t> </w:t>
      </w:r>
      <w:r>
        <w:rPr>
          <w:sz w:val="24"/>
        </w:rPr>
        <w:t>transporting</w:t>
      </w:r>
      <w:r>
        <w:rPr>
          <w:spacing w:val="-2"/>
          <w:sz w:val="24"/>
        </w:rPr>
        <w:t> </w:t>
      </w:r>
      <w:r>
        <w:rPr>
          <w:sz w:val="24"/>
        </w:rPr>
        <w:t>students</w:t>
      </w:r>
      <w:r>
        <w:rPr>
          <w:spacing w:val="-3"/>
          <w:sz w:val="24"/>
        </w:rPr>
        <w:t> </w:t>
      </w:r>
      <w:r>
        <w:rPr>
          <w:sz w:val="24"/>
        </w:rPr>
        <w:t>to</w:t>
      </w:r>
      <w:r>
        <w:rPr>
          <w:spacing w:val="-4"/>
          <w:sz w:val="24"/>
        </w:rPr>
        <w:t> </w:t>
      </w:r>
      <w:r>
        <w:rPr>
          <w:sz w:val="24"/>
        </w:rPr>
        <w:t>and</w:t>
      </w:r>
      <w:r>
        <w:rPr>
          <w:spacing w:val="-3"/>
          <w:sz w:val="24"/>
        </w:rPr>
        <w:t> </w:t>
      </w:r>
      <w:r>
        <w:rPr>
          <w:sz w:val="24"/>
        </w:rPr>
        <w:t>from</w:t>
      </w:r>
      <w:r>
        <w:rPr>
          <w:spacing w:val="-4"/>
          <w:sz w:val="24"/>
        </w:rPr>
        <w:t> </w:t>
      </w:r>
      <w:r>
        <w:rPr>
          <w:sz w:val="24"/>
        </w:rPr>
        <w:t>school</w:t>
      </w:r>
      <w:r>
        <w:rPr>
          <w:spacing w:val="-3"/>
          <w:sz w:val="24"/>
        </w:rPr>
        <w:t> </w:t>
      </w:r>
      <w:r>
        <w:rPr>
          <w:sz w:val="24"/>
        </w:rPr>
        <w:t>and</w:t>
      </w:r>
      <w:r>
        <w:rPr>
          <w:spacing w:val="-2"/>
          <w:sz w:val="24"/>
        </w:rPr>
        <w:t> </w:t>
      </w:r>
      <w:r>
        <w:rPr>
          <w:sz w:val="24"/>
        </w:rPr>
        <w:t>home</w:t>
      </w:r>
      <w:r>
        <w:rPr>
          <w:spacing w:val="-3"/>
          <w:sz w:val="24"/>
        </w:rPr>
        <w:t> </w:t>
      </w:r>
      <w:r>
        <w:rPr>
          <w:sz w:val="24"/>
        </w:rPr>
        <w:t>will</w:t>
      </w:r>
      <w:r>
        <w:rPr>
          <w:spacing w:val="-3"/>
          <w:sz w:val="24"/>
        </w:rPr>
        <w:t> </w:t>
      </w:r>
      <w:r>
        <w:rPr>
          <w:sz w:val="24"/>
        </w:rPr>
        <w:t>be</w:t>
      </w:r>
      <w:r>
        <w:rPr>
          <w:spacing w:val="-3"/>
          <w:sz w:val="24"/>
        </w:rPr>
        <w:t> </w:t>
      </w:r>
      <w:r>
        <w:rPr>
          <w:sz w:val="24"/>
        </w:rPr>
        <w:t>maintained</w:t>
      </w:r>
      <w:r>
        <w:rPr>
          <w:spacing w:val="-3"/>
          <w:sz w:val="24"/>
        </w:rPr>
        <w:t> </w:t>
      </w:r>
      <w:r>
        <w:rPr>
          <w:sz w:val="24"/>
        </w:rPr>
        <w:t>with parents and local education agencies.</w:t>
      </w:r>
    </w:p>
    <w:p>
      <w:pPr>
        <w:pStyle w:val="ListParagraph"/>
        <w:numPr>
          <w:ilvl w:val="1"/>
          <w:numId w:val="342"/>
        </w:numPr>
        <w:tabs>
          <w:tab w:pos="1676" w:val="left" w:leader="none"/>
        </w:tabs>
        <w:spacing w:line="208" w:lineRule="auto" w:before="239" w:after="0"/>
        <w:ind w:left="1223" w:right="836" w:firstLine="0"/>
        <w:jc w:val="left"/>
        <w:rPr>
          <w:sz w:val="24"/>
        </w:rPr>
      </w:pPr>
      <w:r>
        <w:rPr>
          <w:b/>
          <w:sz w:val="24"/>
        </w:rPr>
        <w:t>School</w:t>
      </w:r>
      <w:r>
        <w:rPr>
          <w:b/>
          <w:spacing w:val="-5"/>
          <w:sz w:val="24"/>
        </w:rPr>
        <w:t> </w:t>
      </w:r>
      <w:r>
        <w:rPr>
          <w:b/>
          <w:sz w:val="24"/>
        </w:rPr>
        <w:t>responsibility.</w:t>
      </w:r>
      <w:r>
        <w:rPr>
          <w:b/>
          <w:spacing w:val="40"/>
          <w:sz w:val="24"/>
        </w:rPr>
        <w:t> </w:t>
      </w:r>
      <w:r>
        <w:rPr>
          <w:sz w:val="24"/>
        </w:rPr>
        <w:t>Employees</w:t>
      </w:r>
      <w:r>
        <w:rPr>
          <w:spacing w:val="-5"/>
          <w:sz w:val="24"/>
        </w:rPr>
        <w:t> </w:t>
      </w:r>
      <w:r>
        <w:rPr>
          <w:sz w:val="24"/>
        </w:rPr>
        <w:t>provide</w:t>
      </w:r>
      <w:r>
        <w:rPr>
          <w:spacing w:val="-5"/>
          <w:sz w:val="24"/>
        </w:rPr>
        <w:t> </w:t>
      </w:r>
      <w:r>
        <w:rPr>
          <w:sz w:val="24"/>
        </w:rPr>
        <w:t>transportation</w:t>
      </w:r>
      <w:r>
        <w:rPr>
          <w:spacing w:val="-5"/>
          <w:sz w:val="24"/>
        </w:rPr>
        <w:t> </w:t>
      </w:r>
      <w:r>
        <w:rPr>
          <w:sz w:val="24"/>
        </w:rPr>
        <w:t>originating</w:t>
      </w:r>
      <w:r>
        <w:rPr>
          <w:spacing w:val="-5"/>
          <w:sz w:val="24"/>
        </w:rPr>
        <w:t> </w:t>
      </w:r>
      <w:r>
        <w:rPr>
          <w:sz w:val="24"/>
        </w:rPr>
        <w:t>from the campus for home going and field trips.</w:t>
      </w:r>
    </w:p>
    <w:p>
      <w:pPr>
        <w:pStyle w:val="ListParagraph"/>
        <w:numPr>
          <w:ilvl w:val="2"/>
          <w:numId w:val="342"/>
        </w:numPr>
        <w:tabs>
          <w:tab w:pos="2001" w:val="left" w:leader="none"/>
        </w:tabs>
        <w:spacing w:line="208" w:lineRule="auto" w:before="240" w:after="0"/>
        <w:ind w:left="1655" w:right="776" w:firstLine="0"/>
        <w:jc w:val="left"/>
        <w:rPr>
          <w:sz w:val="24"/>
        </w:rPr>
      </w:pPr>
      <w:r>
        <w:rPr>
          <w:sz w:val="24"/>
        </w:rPr>
        <w:t>The vehicle and operator of a vehicle used to transport children are in compliance with all applicable state laws.</w:t>
      </w:r>
      <w:r>
        <w:rPr>
          <w:spacing w:val="40"/>
          <w:sz w:val="24"/>
        </w:rPr>
        <w:t> </w:t>
      </w:r>
      <w:r>
        <w:rPr>
          <w:sz w:val="24"/>
        </w:rPr>
        <w:t>School buses used to transport students</w:t>
      </w:r>
      <w:r>
        <w:rPr>
          <w:spacing w:val="-4"/>
          <w:sz w:val="24"/>
        </w:rPr>
        <w:t> </w:t>
      </w:r>
      <w:r>
        <w:rPr>
          <w:sz w:val="24"/>
        </w:rPr>
        <w:t>must</w:t>
      </w:r>
      <w:r>
        <w:rPr>
          <w:spacing w:val="-3"/>
          <w:sz w:val="24"/>
        </w:rPr>
        <w:t> </w:t>
      </w:r>
      <w:r>
        <w:rPr>
          <w:sz w:val="24"/>
        </w:rPr>
        <w:t>meet</w:t>
      </w:r>
      <w:r>
        <w:rPr>
          <w:spacing w:val="-5"/>
          <w:sz w:val="24"/>
        </w:rPr>
        <w:t> </w:t>
      </w:r>
      <w:r>
        <w:rPr>
          <w:sz w:val="24"/>
        </w:rPr>
        <w:t>the</w:t>
      </w:r>
      <w:r>
        <w:rPr>
          <w:spacing w:val="-4"/>
          <w:sz w:val="24"/>
        </w:rPr>
        <w:t> </w:t>
      </w:r>
      <w:r>
        <w:rPr>
          <w:sz w:val="24"/>
        </w:rPr>
        <w:t>requirements</w:t>
      </w:r>
      <w:r>
        <w:rPr>
          <w:spacing w:val="-4"/>
          <w:sz w:val="24"/>
        </w:rPr>
        <w:t> </w:t>
      </w:r>
      <w:r>
        <w:rPr>
          <w:sz w:val="24"/>
        </w:rPr>
        <w:t>of</w:t>
      </w:r>
      <w:r>
        <w:rPr>
          <w:spacing w:val="-5"/>
          <w:sz w:val="24"/>
        </w:rPr>
        <w:t> </w:t>
      </w:r>
      <w:r>
        <w:rPr>
          <w:sz w:val="24"/>
        </w:rPr>
        <w:t>the</w:t>
      </w:r>
      <w:r>
        <w:rPr>
          <w:spacing w:val="-4"/>
          <w:sz w:val="24"/>
        </w:rPr>
        <w:t> </w:t>
      </w:r>
      <w:r>
        <w:rPr>
          <w:sz w:val="24"/>
        </w:rPr>
        <w:t>Oklahoma</w:t>
      </w:r>
      <w:r>
        <w:rPr>
          <w:spacing w:val="-4"/>
          <w:sz w:val="24"/>
        </w:rPr>
        <w:t> </w:t>
      </w:r>
      <w:r>
        <w:rPr>
          <w:sz w:val="24"/>
        </w:rPr>
        <w:t>State</w:t>
      </w:r>
      <w:r>
        <w:rPr>
          <w:spacing w:val="-4"/>
          <w:sz w:val="24"/>
        </w:rPr>
        <w:t> </w:t>
      </w:r>
      <w:r>
        <w:rPr>
          <w:sz w:val="24"/>
        </w:rPr>
        <w:t>Department</w:t>
      </w:r>
      <w:r>
        <w:rPr>
          <w:spacing w:val="-5"/>
          <w:sz w:val="24"/>
        </w:rPr>
        <w:t> </w:t>
      </w:r>
      <w:r>
        <w:rPr>
          <w:sz w:val="24"/>
        </w:rPr>
        <w:t>of </w:t>
      </w:r>
      <w:r>
        <w:rPr>
          <w:spacing w:val="-2"/>
          <w:sz w:val="24"/>
        </w:rPr>
        <w:t>Education.</w:t>
      </w:r>
    </w:p>
    <w:p>
      <w:pPr>
        <w:pStyle w:val="ListParagraph"/>
        <w:numPr>
          <w:ilvl w:val="2"/>
          <w:numId w:val="342"/>
        </w:numPr>
        <w:tabs>
          <w:tab w:pos="2053" w:val="left" w:leader="none"/>
        </w:tabs>
        <w:spacing w:line="208" w:lineRule="auto" w:before="240" w:after="0"/>
        <w:ind w:left="1655" w:right="1016" w:firstLine="0"/>
        <w:jc w:val="left"/>
        <w:rPr>
          <w:sz w:val="24"/>
        </w:rPr>
      </w:pPr>
      <w:r>
        <w:rPr>
          <w:sz w:val="24"/>
        </w:rPr>
        <w:t>Written</w:t>
      </w:r>
      <w:r>
        <w:rPr>
          <w:spacing w:val="-5"/>
          <w:sz w:val="24"/>
        </w:rPr>
        <w:t> </w:t>
      </w:r>
      <w:r>
        <w:rPr>
          <w:sz w:val="24"/>
        </w:rPr>
        <w:t>permission</w:t>
      </w:r>
      <w:r>
        <w:rPr>
          <w:spacing w:val="-4"/>
          <w:sz w:val="24"/>
        </w:rPr>
        <w:t> </w:t>
      </w:r>
      <w:r>
        <w:rPr>
          <w:sz w:val="24"/>
        </w:rPr>
        <w:t>from</w:t>
      </w:r>
      <w:r>
        <w:rPr>
          <w:spacing w:val="-4"/>
          <w:sz w:val="24"/>
        </w:rPr>
        <w:t> </w:t>
      </w:r>
      <w:r>
        <w:rPr>
          <w:sz w:val="24"/>
        </w:rPr>
        <w:t>parents</w:t>
      </w:r>
      <w:r>
        <w:rPr>
          <w:spacing w:val="-5"/>
          <w:sz w:val="24"/>
        </w:rPr>
        <w:t> </w:t>
      </w:r>
      <w:r>
        <w:rPr>
          <w:sz w:val="24"/>
        </w:rPr>
        <w:t>or</w:t>
      </w:r>
      <w:r>
        <w:rPr>
          <w:spacing w:val="-4"/>
          <w:sz w:val="24"/>
        </w:rPr>
        <w:t> </w:t>
      </w:r>
      <w:r>
        <w:rPr>
          <w:sz w:val="24"/>
        </w:rPr>
        <w:t>guardian</w:t>
      </w:r>
      <w:r>
        <w:rPr>
          <w:spacing w:val="-5"/>
          <w:sz w:val="24"/>
        </w:rPr>
        <w:t> </w:t>
      </w:r>
      <w:r>
        <w:rPr>
          <w:sz w:val="24"/>
        </w:rPr>
        <w:t>for</w:t>
      </w:r>
      <w:r>
        <w:rPr>
          <w:spacing w:val="-4"/>
          <w:sz w:val="24"/>
        </w:rPr>
        <w:t> </w:t>
      </w:r>
      <w:r>
        <w:rPr>
          <w:sz w:val="24"/>
        </w:rPr>
        <w:t>transportation</w:t>
      </w:r>
      <w:r>
        <w:rPr>
          <w:spacing w:val="-5"/>
          <w:sz w:val="24"/>
        </w:rPr>
        <w:t> </w:t>
      </w:r>
      <w:r>
        <w:rPr>
          <w:sz w:val="24"/>
        </w:rPr>
        <w:t>of</w:t>
      </w:r>
      <w:r>
        <w:rPr>
          <w:spacing w:val="-4"/>
          <w:sz w:val="24"/>
        </w:rPr>
        <w:t> </w:t>
      </w:r>
      <w:r>
        <w:rPr>
          <w:sz w:val="24"/>
        </w:rPr>
        <w:t>their child is on file at the school.</w:t>
      </w:r>
    </w:p>
    <w:p>
      <w:pPr>
        <w:pStyle w:val="ListParagraph"/>
        <w:numPr>
          <w:ilvl w:val="2"/>
          <w:numId w:val="342"/>
        </w:numPr>
        <w:tabs>
          <w:tab w:pos="2106" w:val="left" w:leader="none"/>
        </w:tabs>
        <w:spacing w:line="240" w:lineRule="auto" w:before="210" w:after="0"/>
        <w:ind w:left="2106" w:right="0" w:hanging="451"/>
        <w:jc w:val="left"/>
        <w:rPr>
          <w:sz w:val="24"/>
        </w:rPr>
      </w:pPr>
      <w:r>
        <w:rPr>
          <w:sz w:val="24"/>
        </w:rPr>
        <w:t>Supervision</w:t>
      </w:r>
      <w:r>
        <w:rPr>
          <w:spacing w:val="-6"/>
          <w:sz w:val="24"/>
        </w:rPr>
        <w:t> </w:t>
      </w:r>
      <w:r>
        <w:rPr>
          <w:sz w:val="24"/>
        </w:rPr>
        <w:t>of</w:t>
      </w:r>
      <w:r>
        <w:rPr>
          <w:spacing w:val="-2"/>
          <w:sz w:val="24"/>
        </w:rPr>
        <w:t> </w:t>
      </w:r>
      <w:r>
        <w:rPr>
          <w:sz w:val="24"/>
        </w:rPr>
        <w:t>the</w:t>
      </w:r>
      <w:r>
        <w:rPr>
          <w:spacing w:val="-4"/>
          <w:sz w:val="24"/>
        </w:rPr>
        <w:t> </w:t>
      </w:r>
      <w:r>
        <w:rPr>
          <w:sz w:val="24"/>
        </w:rPr>
        <w:t>children</w:t>
      </w:r>
      <w:r>
        <w:rPr>
          <w:spacing w:val="-3"/>
          <w:sz w:val="24"/>
        </w:rPr>
        <w:t> </w:t>
      </w:r>
      <w:r>
        <w:rPr>
          <w:sz w:val="24"/>
        </w:rPr>
        <w:t>begins</w:t>
      </w:r>
      <w:r>
        <w:rPr>
          <w:spacing w:val="-3"/>
          <w:sz w:val="24"/>
        </w:rPr>
        <w:t> </w:t>
      </w:r>
      <w:r>
        <w:rPr>
          <w:sz w:val="24"/>
        </w:rPr>
        <w:t>at</w:t>
      </w:r>
      <w:r>
        <w:rPr>
          <w:spacing w:val="-3"/>
          <w:sz w:val="24"/>
        </w:rPr>
        <w:t> </w:t>
      </w:r>
      <w:r>
        <w:rPr>
          <w:sz w:val="24"/>
        </w:rPr>
        <w:t>the</w:t>
      </w:r>
      <w:r>
        <w:rPr>
          <w:spacing w:val="-4"/>
          <w:sz w:val="24"/>
        </w:rPr>
        <w:t> </w:t>
      </w:r>
      <w:r>
        <w:rPr>
          <w:sz w:val="24"/>
        </w:rPr>
        <w:t>designated</w:t>
      </w:r>
      <w:r>
        <w:rPr>
          <w:spacing w:val="-2"/>
          <w:sz w:val="24"/>
        </w:rPr>
        <w:t> </w:t>
      </w:r>
      <w:r>
        <w:rPr>
          <w:sz w:val="24"/>
        </w:rPr>
        <w:t>pick-up</w:t>
      </w:r>
      <w:r>
        <w:rPr>
          <w:spacing w:val="-3"/>
          <w:sz w:val="24"/>
        </w:rPr>
        <w:t> </w:t>
      </w:r>
      <w:r>
        <w:rPr>
          <w:spacing w:val="-2"/>
          <w:sz w:val="24"/>
        </w:rPr>
        <w:t>locations.</w:t>
      </w:r>
    </w:p>
    <w:p>
      <w:pPr>
        <w:pStyle w:val="ListParagraph"/>
        <w:numPr>
          <w:ilvl w:val="2"/>
          <w:numId w:val="342"/>
        </w:numPr>
        <w:tabs>
          <w:tab w:pos="2121" w:val="left" w:leader="none"/>
        </w:tabs>
        <w:spacing w:line="208" w:lineRule="auto" w:before="233" w:after="0"/>
        <w:ind w:left="1655" w:right="735" w:firstLine="0"/>
        <w:jc w:val="left"/>
        <w:rPr>
          <w:sz w:val="24"/>
        </w:rPr>
      </w:pPr>
      <w:r>
        <w:rPr>
          <w:sz w:val="24"/>
        </w:rPr>
        <w:t>The driver is responsible for leaving the child only with the person or school</w:t>
      </w:r>
      <w:r>
        <w:rPr>
          <w:spacing w:val="-4"/>
          <w:sz w:val="24"/>
        </w:rPr>
        <w:t> </w:t>
      </w:r>
      <w:r>
        <w:rPr>
          <w:sz w:val="24"/>
        </w:rPr>
        <w:t>designated</w:t>
      </w:r>
      <w:r>
        <w:rPr>
          <w:spacing w:val="-4"/>
          <w:sz w:val="24"/>
        </w:rPr>
        <w:t> </w:t>
      </w:r>
      <w:r>
        <w:rPr>
          <w:sz w:val="24"/>
        </w:rPr>
        <w:t>by</w:t>
      </w:r>
      <w:r>
        <w:rPr>
          <w:spacing w:val="-4"/>
          <w:sz w:val="24"/>
        </w:rPr>
        <w:t> </w:t>
      </w:r>
      <w:r>
        <w:rPr>
          <w:sz w:val="24"/>
        </w:rPr>
        <w:t>the</w:t>
      </w:r>
      <w:r>
        <w:rPr>
          <w:spacing w:val="-4"/>
          <w:sz w:val="24"/>
        </w:rPr>
        <w:t> </w:t>
      </w:r>
      <w:r>
        <w:rPr>
          <w:sz w:val="24"/>
        </w:rPr>
        <w:t>parent.</w:t>
      </w:r>
      <w:r>
        <w:rPr>
          <w:spacing w:val="40"/>
          <w:sz w:val="24"/>
        </w:rPr>
        <w:t> </w:t>
      </w:r>
      <w:r>
        <w:rPr>
          <w:sz w:val="24"/>
        </w:rPr>
        <w:t>Written</w:t>
      </w:r>
      <w:r>
        <w:rPr>
          <w:spacing w:val="-4"/>
          <w:sz w:val="24"/>
        </w:rPr>
        <w:t> </w:t>
      </w:r>
      <w:r>
        <w:rPr>
          <w:sz w:val="24"/>
        </w:rPr>
        <w:t>instructions</w:t>
      </w:r>
      <w:r>
        <w:rPr>
          <w:spacing w:val="-4"/>
          <w:sz w:val="24"/>
        </w:rPr>
        <w:t> </w:t>
      </w:r>
      <w:r>
        <w:rPr>
          <w:sz w:val="24"/>
        </w:rPr>
        <w:t>and</w:t>
      </w:r>
      <w:r>
        <w:rPr>
          <w:spacing w:val="-4"/>
          <w:sz w:val="24"/>
        </w:rPr>
        <w:t> </w:t>
      </w:r>
      <w:r>
        <w:rPr>
          <w:sz w:val="24"/>
        </w:rPr>
        <w:t>approval</w:t>
      </w:r>
      <w:r>
        <w:rPr>
          <w:spacing w:val="-3"/>
          <w:sz w:val="24"/>
        </w:rPr>
        <w:t> </w:t>
      </w:r>
      <w:r>
        <w:rPr>
          <w:sz w:val="24"/>
        </w:rPr>
        <w:t>from</w:t>
      </w:r>
      <w:r>
        <w:rPr>
          <w:spacing w:val="-5"/>
          <w:sz w:val="24"/>
        </w:rPr>
        <w:t> </w:t>
      </w:r>
      <w:r>
        <w:rPr>
          <w:sz w:val="24"/>
        </w:rPr>
        <w:t>the parent for such a plan is required.</w:t>
      </w:r>
      <w:r>
        <w:rPr>
          <w:spacing w:val="40"/>
          <w:sz w:val="24"/>
        </w:rPr>
        <w:t> </w:t>
      </w:r>
      <w:r>
        <w:rPr>
          <w:sz w:val="24"/>
        </w:rPr>
        <w:t>Changes to these instructions from the parent are required.</w:t>
      </w:r>
    </w:p>
    <w:p>
      <w:pPr>
        <w:pStyle w:val="Heading2"/>
        <w:numPr>
          <w:ilvl w:val="1"/>
          <w:numId w:val="342"/>
        </w:numPr>
        <w:tabs>
          <w:tab w:pos="1676" w:val="left" w:leader="none"/>
        </w:tabs>
        <w:spacing w:line="240" w:lineRule="auto" w:before="211" w:after="0"/>
        <w:ind w:left="1676" w:right="0" w:hanging="453"/>
        <w:jc w:val="left"/>
      </w:pPr>
      <w:r>
        <w:rPr/>
        <w:t>Driver</w:t>
      </w:r>
      <w:r>
        <w:rPr>
          <w:spacing w:val="-5"/>
        </w:rPr>
        <w:t> </w:t>
      </w:r>
      <w:r>
        <w:rPr>
          <w:spacing w:val="-2"/>
        </w:rPr>
        <w:t>qualifications.</w:t>
      </w:r>
    </w:p>
    <w:p>
      <w:pPr>
        <w:pStyle w:val="Heading2"/>
        <w:spacing w:after="0" w:line="240" w:lineRule="auto"/>
        <w:jc w:val="left"/>
        <w:sectPr>
          <w:pgSz w:w="12240" w:h="15840"/>
          <w:pgMar w:top="1340" w:bottom="280" w:left="1080" w:right="720"/>
        </w:sectPr>
      </w:pPr>
    </w:p>
    <w:p>
      <w:pPr>
        <w:pStyle w:val="ListParagraph"/>
        <w:numPr>
          <w:ilvl w:val="2"/>
          <w:numId w:val="342"/>
        </w:numPr>
        <w:tabs>
          <w:tab w:pos="2002" w:val="left" w:leader="none"/>
        </w:tabs>
        <w:spacing w:line="208" w:lineRule="auto" w:before="96" w:after="0"/>
        <w:ind w:left="1656" w:right="895" w:firstLine="0"/>
        <w:jc w:val="left"/>
        <w:rPr>
          <w:sz w:val="24"/>
        </w:rPr>
      </w:pPr>
      <w:r>
        <w:rPr>
          <w:sz w:val="24"/>
        </w:rPr>
        <w:t>All</w:t>
      </w:r>
      <w:r>
        <w:rPr>
          <w:spacing w:val="-4"/>
          <w:sz w:val="24"/>
        </w:rPr>
        <w:t> </w:t>
      </w:r>
      <w:r>
        <w:rPr>
          <w:sz w:val="24"/>
        </w:rPr>
        <w:t>drivers</w:t>
      </w:r>
      <w:r>
        <w:rPr>
          <w:spacing w:val="-4"/>
          <w:sz w:val="24"/>
        </w:rPr>
        <w:t> </w:t>
      </w:r>
      <w:r>
        <w:rPr>
          <w:sz w:val="24"/>
        </w:rPr>
        <w:t>will</w:t>
      </w:r>
      <w:r>
        <w:rPr>
          <w:spacing w:val="-4"/>
          <w:sz w:val="24"/>
        </w:rPr>
        <w:t> </w:t>
      </w:r>
      <w:r>
        <w:rPr>
          <w:sz w:val="24"/>
        </w:rPr>
        <w:t>have</w:t>
      </w:r>
      <w:r>
        <w:rPr>
          <w:spacing w:val="-3"/>
          <w:sz w:val="24"/>
        </w:rPr>
        <w:t> </w:t>
      </w:r>
      <w:r>
        <w:rPr>
          <w:sz w:val="24"/>
        </w:rPr>
        <w:t>an</w:t>
      </w:r>
      <w:r>
        <w:rPr>
          <w:spacing w:val="-4"/>
          <w:sz w:val="24"/>
        </w:rPr>
        <w:t> </w:t>
      </w:r>
      <w:r>
        <w:rPr>
          <w:sz w:val="24"/>
        </w:rPr>
        <w:t>operator’s</w:t>
      </w:r>
      <w:r>
        <w:rPr>
          <w:spacing w:val="-4"/>
          <w:sz w:val="24"/>
        </w:rPr>
        <w:t> </w:t>
      </w:r>
      <w:r>
        <w:rPr>
          <w:sz w:val="24"/>
        </w:rPr>
        <w:t>license</w:t>
      </w:r>
      <w:r>
        <w:rPr>
          <w:spacing w:val="-3"/>
          <w:sz w:val="24"/>
        </w:rPr>
        <w:t> </w:t>
      </w:r>
      <w:r>
        <w:rPr>
          <w:sz w:val="24"/>
        </w:rPr>
        <w:t>of</w:t>
      </w:r>
      <w:r>
        <w:rPr>
          <w:spacing w:val="-3"/>
          <w:sz w:val="24"/>
        </w:rPr>
        <w:t> </w:t>
      </w:r>
      <w:r>
        <w:rPr>
          <w:sz w:val="24"/>
        </w:rPr>
        <w:t>the</w:t>
      </w:r>
      <w:r>
        <w:rPr>
          <w:spacing w:val="-4"/>
          <w:sz w:val="24"/>
        </w:rPr>
        <w:t> </w:t>
      </w:r>
      <w:r>
        <w:rPr>
          <w:sz w:val="24"/>
        </w:rPr>
        <w:t>type</w:t>
      </w:r>
      <w:r>
        <w:rPr>
          <w:spacing w:val="-4"/>
          <w:sz w:val="24"/>
        </w:rPr>
        <w:t> </w:t>
      </w:r>
      <w:r>
        <w:rPr>
          <w:sz w:val="24"/>
        </w:rPr>
        <w:t>appropriate</w:t>
      </w:r>
      <w:r>
        <w:rPr>
          <w:spacing w:val="-3"/>
          <w:sz w:val="24"/>
        </w:rPr>
        <w:t> </w:t>
      </w:r>
      <w:r>
        <w:rPr>
          <w:sz w:val="24"/>
        </w:rPr>
        <w:t>for</w:t>
      </w:r>
      <w:r>
        <w:rPr>
          <w:spacing w:val="-4"/>
          <w:sz w:val="24"/>
        </w:rPr>
        <w:t> </w:t>
      </w:r>
      <w:r>
        <w:rPr>
          <w:sz w:val="24"/>
        </w:rPr>
        <w:t>the vehicle that is valid in the driver’s state of residence.</w:t>
      </w:r>
    </w:p>
    <w:p>
      <w:pPr>
        <w:pStyle w:val="ListParagraph"/>
        <w:numPr>
          <w:ilvl w:val="2"/>
          <w:numId w:val="342"/>
        </w:numPr>
        <w:tabs>
          <w:tab w:pos="2054" w:val="left" w:leader="none"/>
        </w:tabs>
        <w:spacing w:line="208" w:lineRule="auto" w:before="240" w:after="0"/>
        <w:ind w:left="1656" w:right="1550" w:firstLine="0"/>
        <w:jc w:val="left"/>
        <w:rPr>
          <w:sz w:val="24"/>
        </w:rPr>
      </w:pPr>
      <w:r>
        <w:rPr>
          <w:sz w:val="24"/>
        </w:rPr>
        <w:t>All staff/drivers must notify the Superintendent in writing of any conviction of driving under the influence of alcohol or drugs or other impaired</w:t>
      </w:r>
      <w:r>
        <w:rPr>
          <w:spacing w:val="-4"/>
          <w:sz w:val="24"/>
        </w:rPr>
        <w:t> </w:t>
      </w:r>
      <w:r>
        <w:rPr>
          <w:sz w:val="24"/>
        </w:rPr>
        <w:t>driving</w:t>
      </w:r>
      <w:r>
        <w:rPr>
          <w:spacing w:val="-4"/>
          <w:sz w:val="24"/>
        </w:rPr>
        <w:t> </w:t>
      </w:r>
      <w:r>
        <w:rPr>
          <w:sz w:val="24"/>
        </w:rPr>
        <w:t>offense</w:t>
      </w:r>
      <w:r>
        <w:rPr>
          <w:spacing w:val="-4"/>
          <w:sz w:val="24"/>
        </w:rPr>
        <w:t> </w:t>
      </w:r>
      <w:r>
        <w:rPr>
          <w:sz w:val="24"/>
        </w:rPr>
        <w:t>or</w:t>
      </w:r>
      <w:r>
        <w:rPr>
          <w:spacing w:val="-3"/>
          <w:sz w:val="24"/>
        </w:rPr>
        <w:t> </w:t>
      </w:r>
      <w:r>
        <w:rPr>
          <w:sz w:val="24"/>
        </w:rPr>
        <w:t>reckless</w:t>
      </w:r>
      <w:r>
        <w:rPr>
          <w:spacing w:val="-4"/>
          <w:sz w:val="24"/>
        </w:rPr>
        <w:t> </w:t>
      </w:r>
      <w:r>
        <w:rPr>
          <w:sz w:val="24"/>
        </w:rPr>
        <w:t>driving</w:t>
      </w:r>
      <w:r>
        <w:rPr>
          <w:spacing w:val="-4"/>
          <w:sz w:val="24"/>
        </w:rPr>
        <w:t> </w:t>
      </w:r>
      <w:r>
        <w:rPr>
          <w:sz w:val="24"/>
        </w:rPr>
        <w:t>within</w:t>
      </w:r>
      <w:r>
        <w:rPr>
          <w:spacing w:val="-4"/>
          <w:sz w:val="24"/>
        </w:rPr>
        <w:t> </w:t>
      </w:r>
      <w:r>
        <w:rPr>
          <w:sz w:val="24"/>
        </w:rPr>
        <w:t>the</w:t>
      </w:r>
      <w:r>
        <w:rPr>
          <w:spacing w:val="-4"/>
          <w:sz w:val="24"/>
        </w:rPr>
        <w:t> </w:t>
      </w:r>
      <w:r>
        <w:rPr>
          <w:sz w:val="24"/>
        </w:rPr>
        <w:t>last</w:t>
      </w:r>
      <w:r>
        <w:rPr>
          <w:spacing w:val="-3"/>
          <w:sz w:val="24"/>
        </w:rPr>
        <w:t> </w:t>
      </w:r>
      <w:r>
        <w:rPr>
          <w:sz w:val="24"/>
        </w:rPr>
        <w:t>five</w:t>
      </w:r>
      <w:r>
        <w:rPr>
          <w:spacing w:val="-4"/>
          <w:sz w:val="24"/>
        </w:rPr>
        <w:t> </w:t>
      </w:r>
      <w:r>
        <w:rPr>
          <w:sz w:val="24"/>
        </w:rPr>
        <w:t>years.</w:t>
      </w:r>
    </w:p>
    <w:p>
      <w:pPr>
        <w:pStyle w:val="ListParagraph"/>
        <w:numPr>
          <w:ilvl w:val="1"/>
          <w:numId w:val="342"/>
        </w:numPr>
        <w:tabs>
          <w:tab w:pos="1689" w:val="left" w:leader="none"/>
        </w:tabs>
        <w:spacing w:line="208" w:lineRule="auto" w:before="239" w:after="0"/>
        <w:ind w:left="1223" w:right="770" w:firstLine="0"/>
        <w:jc w:val="left"/>
        <w:rPr>
          <w:sz w:val="24"/>
        </w:rPr>
      </w:pPr>
      <w:r>
        <w:rPr>
          <w:b/>
          <w:sz w:val="24"/>
        </w:rPr>
        <w:t>Staff-child</w:t>
      </w:r>
      <w:r>
        <w:rPr>
          <w:b/>
          <w:spacing w:val="-4"/>
          <w:sz w:val="24"/>
        </w:rPr>
        <w:t> </w:t>
      </w:r>
      <w:r>
        <w:rPr>
          <w:b/>
          <w:sz w:val="24"/>
        </w:rPr>
        <w:t>ratios.</w:t>
      </w:r>
      <w:r>
        <w:rPr>
          <w:b/>
          <w:spacing w:val="40"/>
          <w:sz w:val="24"/>
        </w:rPr>
        <w:t> </w:t>
      </w:r>
      <w:r>
        <w:rPr>
          <w:sz w:val="24"/>
        </w:rPr>
        <w:t>Staff-student</w:t>
      </w:r>
      <w:r>
        <w:rPr>
          <w:spacing w:val="-3"/>
          <w:sz w:val="24"/>
        </w:rPr>
        <w:t> </w:t>
      </w:r>
      <w:r>
        <w:rPr>
          <w:sz w:val="24"/>
        </w:rPr>
        <w:t>ratios</w:t>
      </w:r>
      <w:r>
        <w:rPr>
          <w:spacing w:val="-4"/>
          <w:sz w:val="24"/>
        </w:rPr>
        <w:t> </w:t>
      </w:r>
      <w:r>
        <w:rPr>
          <w:sz w:val="24"/>
        </w:rPr>
        <w:t>are</w:t>
      </w:r>
      <w:r>
        <w:rPr>
          <w:spacing w:val="-4"/>
          <w:sz w:val="24"/>
        </w:rPr>
        <w:t> </w:t>
      </w:r>
      <w:r>
        <w:rPr>
          <w:sz w:val="24"/>
        </w:rPr>
        <w:t>appropriate</w:t>
      </w:r>
      <w:r>
        <w:rPr>
          <w:spacing w:val="-4"/>
          <w:sz w:val="24"/>
        </w:rPr>
        <w:t> </w:t>
      </w:r>
      <w:r>
        <w:rPr>
          <w:sz w:val="24"/>
        </w:rPr>
        <w:t>to</w:t>
      </w:r>
      <w:r>
        <w:rPr>
          <w:spacing w:val="-4"/>
          <w:sz w:val="24"/>
        </w:rPr>
        <w:t> </w:t>
      </w:r>
      <w:r>
        <w:rPr>
          <w:sz w:val="24"/>
        </w:rPr>
        <w:t>ensure</w:t>
      </w:r>
      <w:r>
        <w:rPr>
          <w:spacing w:val="-4"/>
          <w:sz w:val="24"/>
        </w:rPr>
        <w:t> </w:t>
      </w:r>
      <w:r>
        <w:rPr>
          <w:sz w:val="24"/>
        </w:rPr>
        <w:t>the</w:t>
      </w:r>
      <w:r>
        <w:rPr>
          <w:spacing w:val="-4"/>
          <w:sz w:val="24"/>
        </w:rPr>
        <w:t> </w:t>
      </w:r>
      <w:r>
        <w:rPr>
          <w:sz w:val="24"/>
        </w:rPr>
        <w:t>safety and welfare of the children being transported.</w:t>
      </w:r>
    </w:p>
    <w:p>
      <w:pPr>
        <w:pStyle w:val="ListParagraph"/>
        <w:numPr>
          <w:ilvl w:val="1"/>
          <w:numId w:val="342"/>
        </w:numPr>
        <w:tabs>
          <w:tab w:pos="1689" w:val="left" w:leader="none"/>
        </w:tabs>
        <w:spacing w:line="208" w:lineRule="auto" w:before="240" w:after="0"/>
        <w:ind w:left="1223" w:right="754" w:firstLine="0"/>
        <w:jc w:val="left"/>
        <w:rPr>
          <w:sz w:val="24"/>
        </w:rPr>
      </w:pPr>
      <w:r>
        <w:rPr>
          <w:b/>
          <w:sz w:val="24"/>
        </w:rPr>
        <w:t>Procedure.</w:t>
      </w:r>
      <w:r>
        <w:rPr>
          <w:b/>
          <w:spacing w:val="40"/>
          <w:sz w:val="24"/>
        </w:rPr>
        <w:t> </w:t>
      </w:r>
      <w:r>
        <w:rPr>
          <w:sz w:val="24"/>
        </w:rPr>
        <w:t>Requirements</w:t>
      </w:r>
      <w:r>
        <w:rPr>
          <w:spacing w:val="-5"/>
          <w:sz w:val="24"/>
        </w:rPr>
        <w:t> </w:t>
      </w:r>
      <w:r>
        <w:rPr>
          <w:sz w:val="24"/>
        </w:rPr>
        <w:t>pertaining</w:t>
      </w:r>
      <w:r>
        <w:rPr>
          <w:spacing w:val="-5"/>
          <w:sz w:val="24"/>
        </w:rPr>
        <w:t> </w:t>
      </w:r>
      <w:r>
        <w:rPr>
          <w:sz w:val="24"/>
        </w:rPr>
        <w:t>to</w:t>
      </w:r>
      <w:r>
        <w:rPr>
          <w:spacing w:val="-5"/>
          <w:sz w:val="24"/>
        </w:rPr>
        <w:t> </w:t>
      </w:r>
      <w:r>
        <w:rPr>
          <w:sz w:val="24"/>
        </w:rPr>
        <w:t>transportation</w:t>
      </w:r>
      <w:r>
        <w:rPr>
          <w:spacing w:val="-5"/>
          <w:sz w:val="24"/>
        </w:rPr>
        <w:t> </w:t>
      </w:r>
      <w:r>
        <w:rPr>
          <w:sz w:val="24"/>
        </w:rPr>
        <w:t>procedure</w:t>
      </w:r>
      <w:r>
        <w:rPr>
          <w:spacing w:val="-5"/>
          <w:sz w:val="24"/>
        </w:rPr>
        <w:t> </w:t>
      </w:r>
      <w:r>
        <w:rPr>
          <w:sz w:val="24"/>
        </w:rPr>
        <w:t>are</w:t>
      </w:r>
      <w:r>
        <w:rPr>
          <w:spacing w:val="-5"/>
          <w:sz w:val="24"/>
        </w:rPr>
        <w:t> </w:t>
      </w:r>
      <w:r>
        <w:rPr>
          <w:sz w:val="24"/>
        </w:rPr>
        <w:t>listed in this subsection.</w:t>
      </w:r>
    </w:p>
    <w:p>
      <w:pPr>
        <w:pStyle w:val="ListParagraph"/>
        <w:numPr>
          <w:ilvl w:val="2"/>
          <w:numId w:val="342"/>
        </w:numPr>
        <w:tabs>
          <w:tab w:pos="2001" w:val="left" w:leader="none"/>
        </w:tabs>
        <w:spacing w:line="208" w:lineRule="auto" w:before="240" w:after="0"/>
        <w:ind w:left="1655" w:right="831" w:firstLine="0"/>
        <w:jc w:val="left"/>
        <w:rPr>
          <w:sz w:val="24"/>
        </w:rPr>
      </w:pPr>
      <w:r>
        <w:rPr>
          <w:sz w:val="24"/>
        </w:rPr>
        <w:t>A schedule showing accurate route and itinerary is planned and kept at OSB/OSD to show approximately where the vehicle is at all times.</w:t>
      </w:r>
      <w:r>
        <w:rPr>
          <w:spacing w:val="40"/>
          <w:sz w:val="24"/>
        </w:rPr>
        <w:t> </w:t>
      </w:r>
      <w:r>
        <w:rPr>
          <w:sz w:val="24"/>
        </w:rPr>
        <w:t>If the vehicle</w:t>
      </w:r>
      <w:r>
        <w:rPr>
          <w:spacing w:val="-5"/>
          <w:sz w:val="24"/>
        </w:rPr>
        <w:t> </w:t>
      </w:r>
      <w:r>
        <w:rPr>
          <w:sz w:val="24"/>
        </w:rPr>
        <w:t>is</w:t>
      </w:r>
      <w:r>
        <w:rPr>
          <w:spacing w:val="-5"/>
          <w:sz w:val="24"/>
        </w:rPr>
        <w:t> </w:t>
      </w:r>
      <w:r>
        <w:rPr>
          <w:sz w:val="24"/>
        </w:rPr>
        <w:t>equipped</w:t>
      </w:r>
      <w:r>
        <w:rPr>
          <w:spacing w:val="-5"/>
          <w:sz w:val="24"/>
        </w:rPr>
        <w:t> </w:t>
      </w:r>
      <w:r>
        <w:rPr>
          <w:sz w:val="24"/>
        </w:rPr>
        <w:t>with</w:t>
      </w:r>
      <w:r>
        <w:rPr>
          <w:spacing w:val="-5"/>
          <w:sz w:val="24"/>
        </w:rPr>
        <w:t> </w:t>
      </w:r>
      <w:r>
        <w:rPr>
          <w:sz w:val="24"/>
        </w:rPr>
        <w:t>a</w:t>
      </w:r>
      <w:r>
        <w:rPr>
          <w:spacing w:val="-5"/>
          <w:sz w:val="24"/>
        </w:rPr>
        <w:t> </w:t>
      </w:r>
      <w:r>
        <w:rPr>
          <w:sz w:val="24"/>
        </w:rPr>
        <w:t>mobile</w:t>
      </w:r>
      <w:r>
        <w:rPr>
          <w:spacing w:val="-5"/>
          <w:sz w:val="24"/>
        </w:rPr>
        <w:t> </w:t>
      </w:r>
      <w:r>
        <w:rPr>
          <w:sz w:val="24"/>
        </w:rPr>
        <w:t>communication</w:t>
      </w:r>
      <w:r>
        <w:rPr>
          <w:spacing w:val="-5"/>
          <w:sz w:val="24"/>
        </w:rPr>
        <w:t> </w:t>
      </w:r>
      <w:r>
        <w:rPr>
          <w:sz w:val="24"/>
        </w:rPr>
        <w:t>system,</w:t>
      </w:r>
      <w:r>
        <w:rPr>
          <w:spacing w:val="-4"/>
          <w:sz w:val="24"/>
        </w:rPr>
        <w:t> </w:t>
      </w:r>
      <w:r>
        <w:rPr>
          <w:sz w:val="24"/>
        </w:rPr>
        <w:t>route</w:t>
      </w:r>
      <w:r>
        <w:rPr>
          <w:spacing w:val="-5"/>
          <w:sz w:val="24"/>
        </w:rPr>
        <w:t> </w:t>
      </w:r>
      <w:r>
        <w:rPr>
          <w:sz w:val="24"/>
        </w:rPr>
        <w:t>information is not required.</w:t>
      </w:r>
    </w:p>
    <w:p>
      <w:pPr>
        <w:pStyle w:val="ListParagraph"/>
        <w:numPr>
          <w:ilvl w:val="2"/>
          <w:numId w:val="342"/>
        </w:numPr>
        <w:tabs>
          <w:tab w:pos="2053" w:val="left" w:leader="none"/>
        </w:tabs>
        <w:spacing w:line="240" w:lineRule="auto" w:before="210" w:after="0"/>
        <w:ind w:left="2053" w:right="0" w:hanging="398"/>
        <w:jc w:val="left"/>
        <w:rPr>
          <w:sz w:val="24"/>
        </w:rPr>
      </w:pPr>
      <w:r>
        <w:rPr>
          <w:sz w:val="24"/>
        </w:rPr>
        <w:t>The</w:t>
      </w:r>
      <w:r>
        <w:rPr>
          <w:spacing w:val="-3"/>
          <w:sz w:val="24"/>
        </w:rPr>
        <w:t> </w:t>
      </w:r>
      <w:r>
        <w:rPr>
          <w:sz w:val="24"/>
        </w:rPr>
        <w:t>driver</w:t>
      </w:r>
      <w:r>
        <w:rPr>
          <w:spacing w:val="-2"/>
          <w:sz w:val="24"/>
        </w:rPr>
        <w:t> </w:t>
      </w:r>
      <w:r>
        <w:rPr>
          <w:sz w:val="24"/>
        </w:rPr>
        <w:t>is</w:t>
      </w:r>
      <w:r>
        <w:rPr>
          <w:spacing w:val="-3"/>
          <w:sz w:val="24"/>
        </w:rPr>
        <w:t> </w:t>
      </w:r>
      <w:r>
        <w:rPr>
          <w:sz w:val="24"/>
        </w:rPr>
        <w:t>provided</w:t>
      </w:r>
      <w:r>
        <w:rPr>
          <w:spacing w:val="-2"/>
          <w:sz w:val="24"/>
        </w:rPr>
        <w:t> with:</w:t>
      </w:r>
    </w:p>
    <w:p>
      <w:pPr>
        <w:pStyle w:val="ListParagraph"/>
        <w:numPr>
          <w:ilvl w:val="3"/>
          <w:numId w:val="342"/>
        </w:numPr>
        <w:tabs>
          <w:tab w:pos="2446" w:val="left" w:leader="none"/>
        </w:tabs>
        <w:spacing w:line="240" w:lineRule="auto" w:before="204" w:after="0"/>
        <w:ind w:left="2446" w:right="0" w:hanging="359"/>
        <w:jc w:val="left"/>
        <w:rPr>
          <w:sz w:val="24"/>
        </w:rPr>
      </w:pPr>
      <w:r>
        <w:rPr>
          <w:sz w:val="24"/>
        </w:rPr>
        <w:t>A</w:t>
      </w:r>
      <w:r>
        <w:rPr>
          <w:spacing w:val="-3"/>
          <w:sz w:val="24"/>
        </w:rPr>
        <w:t> </w:t>
      </w:r>
      <w:r>
        <w:rPr>
          <w:sz w:val="24"/>
        </w:rPr>
        <w:t>copy</w:t>
      </w:r>
      <w:r>
        <w:rPr>
          <w:spacing w:val="-3"/>
          <w:sz w:val="24"/>
        </w:rPr>
        <w:t> </w:t>
      </w:r>
      <w:r>
        <w:rPr>
          <w:sz w:val="24"/>
        </w:rPr>
        <w:t>of</w:t>
      </w:r>
      <w:r>
        <w:rPr>
          <w:spacing w:val="-1"/>
          <w:sz w:val="24"/>
        </w:rPr>
        <w:t> </w:t>
      </w:r>
      <w:r>
        <w:rPr>
          <w:sz w:val="24"/>
        </w:rPr>
        <w:t>the</w:t>
      </w:r>
      <w:r>
        <w:rPr>
          <w:spacing w:val="-2"/>
          <w:sz w:val="24"/>
        </w:rPr>
        <w:t> </w:t>
      </w:r>
      <w:r>
        <w:rPr>
          <w:sz w:val="24"/>
        </w:rPr>
        <w:t>scheduled</w:t>
      </w:r>
      <w:r>
        <w:rPr>
          <w:spacing w:val="-2"/>
          <w:sz w:val="24"/>
        </w:rPr>
        <w:t> route;</w:t>
      </w:r>
    </w:p>
    <w:p>
      <w:pPr>
        <w:pStyle w:val="ListParagraph"/>
        <w:numPr>
          <w:ilvl w:val="3"/>
          <w:numId w:val="342"/>
        </w:numPr>
        <w:tabs>
          <w:tab w:pos="2512" w:val="left" w:leader="none"/>
        </w:tabs>
        <w:spacing w:line="240" w:lineRule="auto" w:before="204" w:after="0"/>
        <w:ind w:left="2512" w:right="0" w:hanging="425"/>
        <w:jc w:val="left"/>
        <w:rPr>
          <w:sz w:val="24"/>
        </w:rPr>
      </w:pPr>
      <w:r>
        <w:rPr>
          <w:sz w:val="24"/>
        </w:rPr>
        <w:t>The</w:t>
      </w:r>
      <w:r>
        <w:rPr>
          <w:spacing w:val="-6"/>
          <w:sz w:val="24"/>
        </w:rPr>
        <w:t> </w:t>
      </w:r>
      <w:r>
        <w:rPr>
          <w:sz w:val="24"/>
        </w:rPr>
        <w:t>name,</w:t>
      </w:r>
      <w:r>
        <w:rPr>
          <w:spacing w:val="-2"/>
          <w:sz w:val="24"/>
        </w:rPr>
        <w:t> </w:t>
      </w:r>
      <w:r>
        <w:rPr>
          <w:sz w:val="24"/>
        </w:rPr>
        <w:t>address,</w:t>
      </w:r>
      <w:r>
        <w:rPr>
          <w:spacing w:val="-2"/>
          <w:sz w:val="24"/>
        </w:rPr>
        <w:t> </w:t>
      </w:r>
      <w:r>
        <w:rPr>
          <w:sz w:val="24"/>
        </w:rPr>
        <w:t>and</w:t>
      </w:r>
      <w:r>
        <w:rPr>
          <w:spacing w:val="-3"/>
          <w:sz w:val="24"/>
        </w:rPr>
        <w:t> </w:t>
      </w:r>
      <w:r>
        <w:rPr>
          <w:sz w:val="24"/>
        </w:rPr>
        <w:t>telephone</w:t>
      </w:r>
      <w:r>
        <w:rPr>
          <w:spacing w:val="-3"/>
          <w:sz w:val="24"/>
        </w:rPr>
        <w:t> </w:t>
      </w:r>
      <w:r>
        <w:rPr>
          <w:sz w:val="24"/>
        </w:rPr>
        <w:t>number</w:t>
      </w:r>
      <w:r>
        <w:rPr>
          <w:spacing w:val="-2"/>
          <w:sz w:val="24"/>
        </w:rPr>
        <w:t> </w:t>
      </w:r>
      <w:r>
        <w:rPr>
          <w:sz w:val="24"/>
        </w:rPr>
        <w:t>of</w:t>
      </w:r>
      <w:r>
        <w:rPr>
          <w:spacing w:val="-2"/>
          <w:sz w:val="24"/>
        </w:rPr>
        <w:t> </w:t>
      </w:r>
      <w:r>
        <w:rPr>
          <w:sz w:val="24"/>
        </w:rPr>
        <w:t>the</w:t>
      </w:r>
      <w:r>
        <w:rPr>
          <w:spacing w:val="-3"/>
          <w:sz w:val="24"/>
        </w:rPr>
        <w:t> </w:t>
      </w:r>
      <w:r>
        <w:rPr>
          <w:sz w:val="24"/>
        </w:rPr>
        <w:t>child</w:t>
      </w:r>
      <w:r>
        <w:rPr>
          <w:spacing w:val="-3"/>
          <w:sz w:val="24"/>
        </w:rPr>
        <w:t> </w:t>
      </w:r>
      <w:r>
        <w:rPr>
          <w:sz w:val="24"/>
        </w:rPr>
        <w:t>care</w:t>
      </w:r>
      <w:r>
        <w:rPr>
          <w:spacing w:val="-3"/>
          <w:sz w:val="24"/>
        </w:rPr>
        <w:t> </w:t>
      </w:r>
      <w:r>
        <w:rPr>
          <w:spacing w:val="-2"/>
          <w:sz w:val="24"/>
        </w:rPr>
        <w:t>center;</w:t>
      </w:r>
    </w:p>
    <w:p>
      <w:pPr>
        <w:pStyle w:val="ListParagraph"/>
        <w:numPr>
          <w:ilvl w:val="3"/>
          <w:numId w:val="342"/>
        </w:numPr>
        <w:tabs>
          <w:tab w:pos="2580" w:val="left" w:leader="none"/>
        </w:tabs>
        <w:spacing w:line="240" w:lineRule="auto" w:before="204" w:after="0"/>
        <w:ind w:left="2580" w:right="0" w:hanging="492"/>
        <w:jc w:val="left"/>
        <w:rPr>
          <w:sz w:val="24"/>
        </w:rPr>
      </w:pPr>
      <w:r>
        <w:rPr>
          <w:sz w:val="24"/>
        </w:rPr>
        <w:t>Names</w:t>
      </w:r>
      <w:r>
        <w:rPr>
          <w:spacing w:val="-4"/>
          <w:sz w:val="24"/>
        </w:rPr>
        <w:t> </w:t>
      </w:r>
      <w:r>
        <w:rPr>
          <w:sz w:val="24"/>
        </w:rPr>
        <w:t>of</w:t>
      </w:r>
      <w:r>
        <w:rPr>
          <w:spacing w:val="-4"/>
          <w:sz w:val="24"/>
        </w:rPr>
        <w:t> </w:t>
      </w:r>
      <w:r>
        <w:rPr>
          <w:sz w:val="24"/>
        </w:rPr>
        <w:t>children</w:t>
      </w:r>
      <w:r>
        <w:rPr>
          <w:spacing w:val="-3"/>
          <w:sz w:val="24"/>
        </w:rPr>
        <w:t> </w:t>
      </w:r>
      <w:r>
        <w:rPr>
          <w:sz w:val="24"/>
        </w:rPr>
        <w:t>being</w:t>
      </w:r>
      <w:r>
        <w:rPr>
          <w:spacing w:val="-4"/>
          <w:sz w:val="24"/>
        </w:rPr>
        <w:t> </w:t>
      </w:r>
      <w:r>
        <w:rPr>
          <w:sz w:val="24"/>
        </w:rPr>
        <w:t>transported;</w:t>
      </w:r>
      <w:r>
        <w:rPr>
          <w:spacing w:val="-3"/>
          <w:sz w:val="24"/>
        </w:rPr>
        <w:t> </w:t>
      </w:r>
      <w:r>
        <w:rPr>
          <w:spacing w:val="-5"/>
          <w:sz w:val="24"/>
        </w:rPr>
        <w:t>and</w:t>
      </w:r>
    </w:p>
    <w:p>
      <w:pPr>
        <w:pStyle w:val="ListParagraph"/>
        <w:numPr>
          <w:ilvl w:val="3"/>
          <w:numId w:val="342"/>
        </w:numPr>
        <w:tabs>
          <w:tab w:pos="2606" w:val="left" w:leader="none"/>
        </w:tabs>
        <w:spacing w:line="240" w:lineRule="auto" w:before="204" w:after="0"/>
        <w:ind w:left="2606" w:right="0" w:hanging="518"/>
        <w:jc w:val="left"/>
        <w:rPr>
          <w:sz w:val="24"/>
        </w:rPr>
      </w:pPr>
      <w:r>
        <w:rPr>
          <w:sz w:val="24"/>
        </w:rPr>
        <w:t>A</w:t>
      </w:r>
      <w:r>
        <w:rPr>
          <w:spacing w:val="-5"/>
          <w:sz w:val="24"/>
        </w:rPr>
        <w:t> </w:t>
      </w:r>
      <w:r>
        <w:rPr>
          <w:sz w:val="24"/>
        </w:rPr>
        <w:t>method</w:t>
      </w:r>
      <w:r>
        <w:rPr>
          <w:spacing w:val="-2"/>
          <w:sz w:val="24"/>
        </w:rPr>
        <w:t> </w:t>
      </w:r>
      <w:r>
        <w:rPr>
          <w:sz w:val="24"/>
        </w:rPr>
        <w:t>to</w:t>
      </w:r>
      <w:r>
        <w:rPr>
          <w:spacing w:val="-2"/>
          <w:sz w:val="24"/>
        </w:rPr>
        <w:t> </w:t>
      </w:r>
      <w:r>
        <w:rPr>
          <w:sz w:val="24"/>
        </w:rPr>
        <w:t>contact</w:t>
      </w:r>
      <w:r>
        <w:rPr>
          <w:spacing w:val="-1"/>
          <w:sz w:val="24"/>
        </w:rPr>
        <w:t> </w:t>
      </w:r>
      <w:r>
        <w:rPr>
          <w:sz w:val="24"/>
        </w:rPr>
        <w:t>the</w:t>
      </w:r>
      <w:r>
        <w:rPr>
          <w:spacing w:val="-2"/>
          <w:sz w:val="24"/>
        </w:rPr>
        <w:t> </w:t>
      </w:r>
      <w:r>
        <w:rPr>
          <w:sz w:val="24"/>
        </w:rPr>
        <w:t>children’s</w:t>
      </w:r>
      <w:r>
        <w:rPr>
          <w:spacing w:val="-2"/>
          <w:sz w:val="24"/>
        </w:rPr>
        <w:t> </w:t>
      </w:r>
      <w:r>
        <w:rPr>
          <w:sz w:val="24"/>
        </w:rPr>
        <w:t>parents</w:t>
      </w:r>
      <w:r>
        <w:rPr>
          <w:spacing w:val="-2"/>
          <w:sz w:val="24"/>
        </w:rPr>
        <w:t> </w:t>
      </w:r>
      <w:r>
        <w:rPr>
          <w:sz w:val="24"/>
        </w:rPr>
        <w:t>in</w:t>
      </w:r>
      <w:r>
        <w:rPr>
          <w:spacing w:val="-2"/>
          <w:sz w:val="24"/>
        </w:rPr>
        <w:t> </w:t>
      </w:r>
      <w:r>
        <w:rPr>
          <w:sz w:val="24"/>
        </w:rPr>
        <w:t>case</w:t>
      </w:r>
      <w:r>
        <w:rPr>
          <w:spacing w:val="-2"/>
          <w:sz w:val="24"/>
        </w:rPr>
        <w:t> </w:t>
      </w:r>
      <w:r>
        <w:rPr>
          <w:sz w:val="24"/>
        </w:rPr>
        <w:t>of</w:t>
      </w:r>
      <w:r>
        <w:rPr>
          <w:spacing w:val="-1"/>
          <w:sz w:val="24"/>
        </w:rPr>
        <w:t> </w:t>
      </w:r>
      <w:r>
        <w:rPr>
          <w:spacing w:val="-2"/>
          <w:sz w:val="24"/>
        </w:rPr>
        <w:t>emergency.</w:t>
      </w:r>
    </w:p>
    <w:p>
      <w:pPr>
        <w:pStyle w:val="ListParagraph"/>
        <w:numPr>
          <w:ilvl w:val="2"/>
          <w:numId w:val="342"/>
        </w:numPr>
        <w:tabs>
          <w:tab w:pos="2107" w:val="left" w:leader="none"/>
        </w:tabs>
        <w:spacing w:line="208" w:lineRule="auto" w:before="234" w:after="0"/>
        <w:ind w:left="1656" w:right="856" w:firstLine="0"/>
        <w:jc w:val="left"/>
        <w:rPr>
          <w:sz w:val="24"/>
        </w:rPr>
      </w:pPr>
      <w:r>
        <w:rPr>
          <w:sz w:val="24"/>
        </w:rPr>
        <w:t>Safe</w:t>
      </w:r>
      <w:r>
        <w:rPr>
          <w:spacing w:val="-4"/>
          <w:sz w:val="24"/>
        </w:rPr>
        <w:t> </w:t>
      </w:r>
      <w:r>
        <w:rPr>
          <w:sz w:val="24"/>
        </w:rPr>
        <w:t>conduct</w:t>
      </w:r>
      <w:r>
        <w:rPr>
          <w:spacing w:val="-3"/>
          <w:sz w:val="24"/>
        </w:rPr>
        <w:t> </w:t>
      </w:r>
      <w:r>
        <w:rPr>
          <w:sz w:val="24"/>
        </w:rPr>
        <w:t>to</w:t>
      </w:r>
      <w:r>
        <w:rPr>
          <w:spacing w:val="-4"/>
          <w:sz w:val="24"/>
        </w:rPr>
        <w:t> </w:t>
      </w:r>
      <w:r>
        <w:rPr>
          <w:sz w:val="24"/>
        </w:rPr>
        <w:t>and</w:t>
      </w:r>
      <w:r>
        <w:rPr>
          <w:spacing w:val="-4"/>
          <w:sz w:val="24"/>
        </w:rPr>
        <w:t> </w:t>
      </w:r>
      <w:r>
        <w:rPr>
          <w:sz w:val="24"/>
        </w:rPr>
        <w:t>from</w:t>
      </w:r>
      <w:r>
        <w:rPr>
          <w:spacing w:val="-3"/>
          <w:sz w:val="24"/>
        </w:rPr>
        <w:t> </w:t>
      </w:r>
      <w:r>
        <w:rPr>
          <w:sz w:val="24"/>
        </w:rPr>
        <w:t>all</w:t>
      </w:r>
      <w:r>
        <w:rPr>
          <w:spacing w:val="-6"/>
          <w:sz w:val="24"/>
        </w:rPr>
        <w:t> </w:t>
      </w:r>
      <w:r>
        <w:rPr>
          <w:sz w:val="24"/>
        </w:rPr>
        <w:t>vehicles</w:t>
      </w:r>
      <w:r>
        <w:rPr>
          <w:spacing w:val="-4"/>
          <w:sz w:val="24"/>
        </w:rPr>
        <w:t> </w:t>
      </w:r>
      <w:r>
        <w:rPr>
          <w:sz w:val="24"/>
        </w:rPr>
        <w:t>and</w:t>
      </w:r>
      <w:r>
        <w:rPr>
          <w:spacing w:val="-4"/>
          <w:sz w:val="24"/>
        </w:rPr>
        <w:t> </w:t>
      </w:r>
      <w:r>
        <w:rPr>
          <w:sz w:val="24"/>
        </w:rPr>
        <w:t>safe</w:t>
      </w:r>
      <w:r>
        <w:rPr>
          <w:spacing w:val="-4"/>
          <w:sz w:val="24"/>
        </w:rPr>
        <w:t> </w:t>
      </w:r>
      <w:r>
        <w:rPr>
          <w:sz w:val="24"/>
        </w:rPr>
        <w:t>off-street</w:t>
      </w:r>
      <w:r>
        <w:rPr>
          <w:spacing w:val="-3"/>
          <w:sz w:val="24"/>
        </w:rPr>
        <w:t> </w:t>
      </w:r>
      <w:r>
        <w:rPr>
          <w:sz w:val="24"/>
        </w:rPr>
        <w:t>loading</w:t>
      </w:r>
      <w:r>
        <w:rPr>
          <w:spacing w:val="-4"/>
          <w:sz w:val="24"/>
        </w:rPr>
        <w:t> </w:t>
      </w:r>
      <w:r>
        <w:rPr>
          <w:sz w:val="24"/>
        </w:rPr>
        <w:t>space is provided to protect children from backing vehicles, from being between vehicles, and from all traffic hazards.</w:t>
      </w:r>
    </w:p>
    <w:p>
      <w:pPr>
        <w:pStyle w:val="ListParagraph"/>
        <w:numPr>
          <w:ilvl w:val="2"/>
          <w:numId w:val="342"/>
        </w:numPr>
        <w:tabs>
          <w:tab w:pos="2122" w:val="left" w:leader="none"/>
        </w:tabs>
        <w:spacing w:line="240" w:lineRule="auto" w:before="210" w:after="0"/>
        <w:ind w:left="2122" w:right="0" w:hanging="466"/>
        <w:jc w:val="left"/>
        <w:rPr>
          <w:sz w:val="24"/>
        </w:rPr>
      </w:pPr>
      <w:r>
        <w:rPr>
          <w:sz w:val="24"/>
        </w:rPr>
        <w:t>Attendance</w:t>
      </w:r>
      <w:r>
        <w:rPr>
          <w:spacing w:val="-3"/>
          <w:sz w:val="24"/>
        </w:rPr>
        <w:t> </w:t>
      </w:r>
      <w:r>
        <w:rPr>
          <w:sz w:val="24"/>
        </w:rPr>
        <w:t>is</w:t>
      </w:r>
      <w:r>
        <w:rPr>
          <w:spacing w:val="-2"/>
          <w:sz w:val="24"/>
        </w:rPr>
        <w:t> </w:t>
      </w:r>
      <w:r>
        <w:rPr>
          <w:sz w:val="24"/>
        </w:rPr>
        <w:t>checked</w:t>
      </w:r>
      <w:r>
        <w:rPr>
          <w:spacing w:val="-3"/>
          <w:sz w:val="24"/>
        </w:rPr>
        <w:t> </w:t>
      </w:r>
      <w:r>
        <w:rPr>
          <w:sz w:val="24"/>
        </w:rPr>
        <w:t>each</w:t>
      </w:r>
      <w:r>
        <w:rPr>
          <w:spacing w:val="-2"/>
          <w:sz w:val="24"/>
        </w:rPr>
        <w:t> </w:t>
      </w:r>
      <w:r>
        <w:rPr>
          <w:sz w:val="24"/>
        </w:rPr>
        <w:t>time</w:t>
      </w:r>
      <w:r>
        <w:rPr>
          <w:spacing w:val="-3"/>
          <w:sz w:val="24"/>
        </w:rPr>
        <w:t> </w:t>
      </w:r>
      <w:r>
        <w:rPr>
          <w:sz w:val="24"/>
        </w:rPr>
        <w:t>children</w:t>
      </w:r>
      <w:r>
        <w:rPr>
          <w:spacing w:val="-2"/>
          <w:sz w:val="24"/>
        </w:rPr>
        <w:t> </w:t>
      </w:r>
      <w:r>
        <w:rPr>
          <w:sz w:val="24"/>
        </w:rPr>
        <w:t>board</w:t>
      </w:r>
      <w:r>
        <w:rPr>
          <w:spacing w:val="-3"/>
          <w:sz w:val="24"/>
        </w:rPr>
        <w:t> </w:t>
      </w:r>
      <w:r>
        <w:rPr>
          <w:sz w:val="24"/>
        </w:rPr>
        <w:t>and</w:t>
      </w:r>
      <w:r>
        <w:rPr>
          <w:spacing w:val="-2"/>
          <w:sz w:val="24"/>
        </w:rPr>
        <w:t> </w:t>
      </w:r>
      <w:r>
        <w:rPr>
          <w:sz w:val="24"/>
        </w:rPr>
        <w:t>exit</w:t>
      </w:r>
      <w:r>
        <w:rPr>
          <w:spacing w:val="-2"/>
          <w:sz w:val="24"/>
        </w:rPr>
        <w:t> </w:t>
      </w:r>
      <w:r>
        <w:rPr>
          <w:sz w:val="24"/>
        </w:rPr>
        <w:t>the</w:t>
      </w:r>
      <w:r>
        <w:rPr>
          <w:spacing w:val="-2"/>
          <w:sz w:val="24"/>
        </w:rPr>
        <w:t> vehicle.</w:t>
      </w:r>
    </w:p>
    <w:p>
      <w:pPr>
        <w:pStyle w:val="ListParagraph"/>
        <w:numPr>
          <w:ilvl w:val="2"/>
          <w:numId w:val="342"/>
        </w:numPr>
        <w:tabs>
          <w:tab w:pos="2069" w:val="left" w:leader="none"/>
        </w:tabs>
        <w:spacing w:line="208" w:lineRule="auto" w:before="233" w:after="0"/>
        <w:ind w:left="1656" w:right="961" w:firstLine="0"/>
        <w:jc w:val="left"/>
        <w:rPr>
          <w:sz w:val="24"/>
        </w:rPr>
      </w:pPr>
      <w:r>
        <w:rPr>
          <w:sz w:val="24"/>
        </w:rPr>
        <w:t>Children</w:t>
      </w:r>
      <w:r>
        <w:rPr>
          <w:spacing w:val="-3"/>
          <w:sz w:val="24"/>
        </w:rPr>
        <w:t> </w:t>
      </w:r>
      <w:r>
        <w:rPr>
          <w:sz w:val="24"/>
        </w:rPr>
        <w:t>remain</w:t>
      </w:r>
      <w:r>
        <w:rPr>
          <w:spacing w:val="-3"/>
          <w:sz w:val="24"/>
        </w:rPr>
        <w:t> </w:t>
      </w:r>
      <w:r>
        <w:rPr>
          <w:sz w:val="24"/>
        </w:rPr>
        <w:t>seated</w:t>
      </w:r>
      <w:r>
        <w:rPr>
          <w:spacing w:val="-3"/>
          <w:sz w:val="24"/>
        </w:rPr>
        <w:t> </w:t>
      </w:r>
      <w:r>
        <w:rPr>
          <w:sz w:val="24"/>
        </w:rPr>
        <w:t>while</w:t>
      </w:r>
      <w:r>
        <w:rPr>
          <w:spacing w:val="-2"/>
          <w:sz w:val="24"/>
        </w:rPr>
        <w:t> </w:t>
      </w:r>
      <w:r>
        <w:rPr>
          <w:sz w:val="24"/>
        </w:rPr>
        <w:t>the</w:t>
      </w:r>
      <w:r>
        <w:rPr>
          <w:spacing w:val="-3"/>
          <w:sz w:val="24"/>
        </w:rPr>
        <w:t> </w:t>
      </w:r>
      <w:r>
        <w:rPr>
          <w:sz w:val="24"/>
        </w:rPr>
        <w:t>vehicle</w:t>
      </w:r>
      <w:r>
        <w:rPr>
          <w:spacing w:val="-2"/>
          <w:sz w:val="24"/>
        </w:rPr>
        <w:t> </w:t>
      </w:r>
      <w:r>
        <w:rPr>
          <w:sz w:val="24"/>
        </w:rPr>
        <w:t>is</w:t>
      </w:r>
      <w:r>
        <w:rPr>
          <w:spacing w:val="-3"/>
          <w:sz w:val="24"/>
        </w:rPr>
        <w:t> </w:t>
      </w:r>
      <w:r>
        <w:rPr>
          <w:sz w:val="24"/>
        </w:rPr>
        <w:t>in</w:t>
      </w:r>
      <w:r>
        <w:rPr>
          <w:spacing w:val="-3"/>
          <w:sz w:val="24"/>
        </w:rPr>
        <w:t> </w:t>
      </w:r>
      <w:r>
        <w:rPr>
          <w:sz w:val="24"/>
        </w:rPr>
        <w:t>motion,</w:t>
      </w:r>
      <w:r>
        <w:rPr>
          <w:spacing w:val="-2"/>
          <w:sz w:val="24"/>
        </w:rPr>
        <w:t> </w:t>
      </w:r>
      <w:r>
        <w:rPr>
          <w:sz w:val="24"/>
        </w:rPr>
        <w:t>and</w:t>
      </w:r>
      <w:r>
        <w:rPr>
          <w:spacing w:val="-3"/>
          <w:sz w:val="24"/>
        </w:rPr>
        <w:t> </w:t>
      </w:r>
      <w:r>
        <w:rPr>
          <w:sz w:val="24"/>
        </w:rPr>
        <w:t>no</w:t>
      </w:r>
      <w:r>
        <w:rPr>
          <w:spacing w:val="-3"/>
          <w:sz w:val="24"/>
        </w:rPr>
        <w:t> </w:t>
      </w:r>
      <w:r>
        <w:rPr>
          <w:sz w:val="24"/>
        </w:rPr>
        <w:t>part</w:t>
      </w:r>
      <w:r>
        <w:rPr>
          <w:spacing w:val="-2"/>
          <w:sz w:val="24"/>
        </w:rPr>
        <w:t> </w:t>
      </w:r>
      <w:r>
        <w:rPr>
          <w:sz w:val="24"/>
        </w:rPr>
        <w:t>of</w:t>
      </w:r>
      <w:r>
        <w:rPr>
          <w:spacing w:val="-4"/>
          <w:sz w:val="24"/>
        </w:rPr>
        <w:t> </w:t>
      </w:r>
      <w:r>
        <w:rPr>
          <w:sz w:val="24"/>
        </w:rPr>
        <w:t>a child’s body extends from windows.</w:t>
      </w:r>
    </w:p>
    <w:p>
      <w:pPr>
        <w:pStyle w:val="ListParagraph"/>
        <w:numPr>
          <w:ilvl w:val="2"/>
          <w:numId w:val="342"/>
        </w:numPr>
        <w:tabs>
          <w:tab w:pos="2122" w:val="left" w:leader="none"/>
        </w:tabs>
        <w:spacing w:line="240" w:lineRule="auto" w:before="211" w:after="0"/>
        <w:ind w:left="2122" w:right="0" w:hanging="466"/>
        <w:jc w:val="left"/>
        <w:rPr>
          <w:sz w:val="24"/>
        </w:rPr>
      </w:pPr>
      <w:r>
        <w:rPr>
          <w:sz w:val="24"/>
        </w:rPr>
        <w:t>Vehicles</w:t>
      </w:r>
      <w:r>
        <w:rPr>
          <w:spacing w:val="-4"/>
          <w:sz w:val="24"/>
        </w:rPr>
        <w:t> </w:t>
      </w:r>
      <w:r>
        <w:rPr>
          <w:sz w:val="24"/>
        </w:rPr>
        <w:t>containing</w:t>
      </w:r>
      <w:r>
        <w:rPr>
          <w:spacing w:val="-4"/>
          <w:sz w:val="24"/>
        </w:rPr>
        <w:t> </w:t>
      </w:r>
      <w:r>
        <w:rPr>
          <w:sz w:val="24"/>
        </w:rPr>
        <w:t>children</w:t>
      </w:r>
      <w:r>
        <w:rPr>
          <w:spacing w:val="-3"/>
          <w:sz w:val="24"/>
        </w:rPr>
        <w:t> </w:t>
      </w:r>
      <w:r>
        <w:rPr>
          <w:sz w:val="24"/>
        </w:rPr>
        <w:t>are</w:t>
      </w:r>
      <w:r>
        <w:rPr>
          <w:spacing w:val="-4"/>
          <w:sz w:val="24"/>
        </w:rPr>
        <w:t> </w:t>
      </w:r>
      <w:r>
        <w:rPr>
          <w:sz w:val="24"/>
        </w:rPr>
        <w:t>never</w:t>
      </w:r>
      <w:r>
        <w:rPr>
          <w:spacing w:val="-3"/>
          <w:sz w:val="24"/>
        </w:rPr>
        <w:t> </w:t>
      </w:r>
      <w:r>
        <w:rPr>
          <w:sz w:val="24"/>
        </w:rPr>
        <w:t>left</w:t>
      </w:r>
      <w:r>
        <w:rPr>
          <w:spacing w:val="-3"/>
          <w:sz w:val="24"/>
        </w:rPr>
        <w:t> </w:t>
      </w:r>
      <w:r>
        <w:rPr>
          <w:spacing w:val="-2"/>
          <w:sz w:val="24"/>
        </w:rPr>
        <w:t>unattended.</w:t>
      </w:r>
    </w:p>
    <w:p>
      <w:pPr>
        <w:pStyle w:val="ListParagraph"/>
        <w:numPr>
          <w:ilvl w:val="2"/>
          <w:numId w:val="342"/>
        </w:numPr>
        <w:tabs>
          <w:tab w:pos="2174" w:val="left" w:leader="none"/>
        </w:tabs>
        <w:spacing w:line="208" w:lineRule="auto" w:before="233" w:after="0"/>
        <w:ind w:left="1656" w:right="1285" w:firstLine="0"/>
        <w:jc w:val="left"/>
        <w:rPr>
          <w:sz w:val="24"/>
        </w:rPr>
      </w:pPr>
      <w:r>
        <w:rPr>
          <w:sz w:val="24"/>
        </w:rPr>
        <w:t>The</w:t>
      </w:r>
      <w:r>
        <w:rPr>
          <w:spacing w:val="-4"/>
          <w:sz w:val="24"/>
        </w:rPr>
        <w:t> </w:t>
      </w:r>
      <w:r>
        <w:rPr>
          <w:sz w:val="24"/>
        </w:rPr>
        <w:t>use</w:t>
      </w:r>
      <w:r>
        <w:rPr>
          <w:spacing w:val="-4"/>
          <w:sz w:val="24"/>
        </w:rPr>
        <w:t> </w:t>
      </w:r>
      <w:r>
        <w:rPr>
          <w:sz w:val="24"/>
        </w:rPr>
        <w:t>of</w:t>
      </w:r>
      <w:r>
        <w:rPr>
          <w:spacing w:val="-3"/>
          <w:sz w:val="24"/>
        </w:rPr>
        <w:t> </w:t>
      </w:r>
      <w:r>
        <w:rPr>
          <w:sz w:val="24"/>
        </w:rPr>
        <w:t>tobacco</w:t>
      </w:r>
      <w:r>
        <w:rPr>
          <w:spacing w:val="-4"/>
          <w:sz w:val="24"/>
        </w:rPr>
        <w:t> </w:t>
      </w:r>
      <w:r>
        <w:rPr>
          <w:sz w:val="24"/>
        </w:rPr>
        <w:t>products</w:t>
      </w:r>
      <w:r>
        <w:rPr>
          <w:spacing w:val="-4"/>
          <w:sz w:val="24"/>
        </w:rPr>
        <w:t> </w:t>
      </w:r>
      <w:r>
        <w:rPr>
          <w:sz w:val="24"/>
        </w:rPr>
        <w:t>is</w:t>
      </w:r>
      <w:r>
        <w:rPr>
          <w:spacing w:val="-4"/>
          <w:sz w:val="24"/>
        </w:rPr>
        <w:t> </w:t>
      </w:r>
      <w:r>
        <w:rPr>
          <w:sz w:val="24"/>
        </w:rPr>
        <w:t>prohibited</w:t>
      </w:r>
      <w:r>
        <w:rPr>
          <w:spacing w:val="-4"/>
          <w:sz w:val="24"/>
        </w:rPr>
        <w:t> </w:t>
      </w:r>
      <w:r>
        <w:rPr>
          <w:sz w:val="24"/>
        </w:rPr>
        <w:t>while</w:t>
      </w:r>
      <w:r>
        <w:rPr>
          <w:spacing w:val="-4"/>
          <w:sz w:val="24"/>
        </w:rPr>
        <w:t> </w:t>
      </w:r>
      <w:r>
        <w:rPr>
          <w:sz w:val="24"/>
        </w:rPr>
        <w:t>children</w:t>
      </w:r>
      <w:r>
        <w:rPr>
          <w:spacing w:val="-4"/>
          <w:sz w:val="24"/>
        </w:rPr>
        <w:t> </w:t>
      </w:r>
      <w:r>
        <w:rPr>
          <w:sz w:val="24"/>
        </w:rPr>
        <w:t>are</w:t>
      </w:r>
      <w:r>
        <w:rPr>
          <w:spacing w:val="-4"/>
          <w:sz w:val="24"/>
        </w:rPr>
        <w:t> </w:t>
      </w:r>
      <w:r>
        <w:rPr>
          <w:sz w:val="24"/>
        </w:rPr>
        <w:t>being </w:t>
      </w:r>
      <w:r>
        <w:rPr>
          <w:spacing w:val="-2"/>
          <w:sz w:val="24"/>
        </w:rPr>
        <w:t>transported.</w:t>
      </w:r>
    </w:p>
    <w:p>
      <w:pPr>
        <w:pStyle w:val="ListParagraph"/>
        <w:numPr>
          <w:ilvl w:val="1"/>
          <w:numId w:val="342"/>
        </w:numPr>
        <w:tabs>
          <w:tab w:pos="1677" w:val="left" w:leader="none"/>
        </w:tabs>
        <w:spacing w:line="208" w:lineRule="auto" w:before="240" w:after="0"/>
        <w:ind w:left="1224" w:right="795" w:firstLine="0"/>
        <w:jc w:val="left"/>
        <w:rPr>
          <w:sz w:val="24"/>
        </w:rPr>
      </w:pPr>
      <w:r>
        <w:rPr>
          <w:b/>
          <w:sz w:val="24"/>
        </w:rPr>
        <w:t>Passenger</w:t>
      </w:r>
      <w:r>
        <w:rPr>
          <w:b/>
          <w:spacing w:val="-4"/>
          <w:sz w:val="24"/>
        </w:rPr>
        <w:t> </w:t>
      </w:r>
      <w:r>
        <w:rPr>
          <w:b/>
          <w:sz w:val="24"/>
        </w:rPr>
        <w:t>restraints.</w:t>
      </w:r>
      <w:r>
        <w:rPr>
          <w:b/>
          <w:spacing w:val="40"/>
          <w:sz w:val="24"/>
        </w:rPr>
        <w:t> </w:t>
      </w:r>
      <w:r>
        <w:rPr>
          <w:sz w:val="24"/>
        </w:rPr>
        <w:t>Children</w:t>
      </w:r>
      <w:r>
        <w:rPr>
          <w:spacing w:val="-4"/>
          <w:sz w:val="24"/>
        </w:rPr>
        <w:t> </w:t>
      </w:r>
      <w:r>
        <w:rPr>
          <w:sz w:val="24"/>
        </w:rPr>
        <w:t>who</w:t>
      </w:r>
      <w:r>
        <w:rPr>
          <w:spacing w:val="-4"/>
          <w:sz w:val="24"/>
        </w:rPr>
        <w:t> </w:t>
      </w:r>
      <w:r>
        <w:rPr>
          <w:sz w:val="24"/>
        </w:rPr>
        <w:t>are</w:t>
      </w:r>
      <w:r>
        <w:rPr>
          <w:spacing w:val="-4"/>
          <w:sz w:val="24"/>
        </w:rPr>
        <w:t> </w:t>
      </w:r>
      <w:r>
        <w:rPr>
          <w:sz w:val="24"/>
        </w:rPr>
        <w:t>being</w:t>
      </w:r>
      <w:r>
        <w:rPr>
          <w:spacing w:val="-4"/>
          <w:sz w:val="24"/>
        </w:rPr>
        <w:t> </w:t>
      </w:r>
      <w:r>
        <w:rPr>
          <w:sz w:val="24"/>
        </w:rPr>
        <w:t>transported</w:t>
      </w:r>
      <w:r>
        <w:rPr>
          <w:spacing w:val="-4"/>
          <w:sz w:val="24"/>
        </w:rPr>
        <w:t> </w:t>
      </w:r>
      <w:r>
        <w:rPr>
          <w:sz w:val="24"/>
        </w:rPr>
        <w:t>in</w:t>
      </w:r>
      <w:r>
        <w:rPr>
          <w:spacing w:val="-3"/>
          <w:sz w:val="24"/>
        </w:rPr>
        <w:t> </w:t>
      </w:r>
      <w:r>
        <w:rPr>
          <w:sz w:val="24"/>
        </w:rPr>
        <w:t>a</w:t>
      </w:r>
      <w:r>
        <w:rPr>
          <w:spacing w:val="-4"/>
          <w:sz w:val="24"/>
        </w:rPr>
        <w:t> </w:t>
      </w:r>
      <w:r>
        <w:rPr>
          <w:sz w:val="24"/>
        </w:rPr>
        <w:t>passenger car,</w:t>
      </w:r>
      <w:r>
        <w:rPr>
          <w:spacing w:val="-1"/>
          <w:sz w:val="24"/>
        </w:rPr>
        <w:t> </w:t>
      </w:r>
      <w:r>
        <w:rPr>
          <w:sz w:val="24"/>
        </w:rPr>
        <w:t>station</w:t>
      </w:r>
      <w:r>
        <w:rPr>
          <w:spacing w:val="-2"/>
          <w:sz w:val="24"/>
        </w:rPr>
        <w:t> </w:t>
      </w:r>
      <w:r>
        <w:rPr>
          <w:sz w:val="24"/>
        </w:rPr>
        <w:t>wagon,</w:t>
      </w:r>
      <w:r>
        <w:rPr>
          <w:spacing w:val="-1"/>
          <w:sz w:val="24"/>
        </w:rPr>
        <w:t> </w:t>
      </w:r>
      <w:r>
        <w:rPr>
          <w:sz w:val="24"/>
        </w:rPr>
        <w:t>van,</w:t>
      </w:r>
      <w:r>
        <w:rPr>
          <w:spacing w:val="-1"/>
          <w:sz w:val="24"/>
        </w:rPr>
        <w:t> </w:t>
      </w:r>
      <w:r>
        <w:rPr>
          <w:sz w:val="24"/>
        </w:rPr>
        <w:t>bus,</w:t>
      </w:r>
      <w:r>
        <w:rPr>
          <w:spacing w:val="-1"/>
          <w:sz w:val="24"/>
        </w:rPr>
        <w:t> </w:t>
      </w:r>
      <w:r>
        <w:rPr>
          <w:sz w:val="24"/>
        </w:rPr>
        <w:t>or</w:t>
      </w:r>
      <w:r>
        <w:rPr>
          <w:spacing w:val="-2"/>
          <w:sz w:val="24"/>
        </w:rPr>
        <w:t> </w:t>
      </w:r>
      <w:r>
        <w:rPr>
          <w:sz w:val="24"/>
        </w:rPr>
        <w:t>truck</w:t>
      </w:r>
      <w:r>
        <w:rPr>
          <w:spacing w:val="-2"/>
          <w:sz w:val="24"/>
        </w:rPr>
        <w:t> </w:t>
      </w:r>
      <w:r>
        <w:rPr>
          <w:sz w:val="24"/>
        </w:rPr>
        <w:t>are</w:t>
      </w:r>
      <w:r>
        <w:rPr>
          <w:spacing w:val="-2"/>
          <w:sz w:val="24"/>
        </w:rPr>
        <w:t> </w:t>
      </w:r>
      <w:r>
        <w:rPr>
          <w:sz w:val="24"/>
        </w:rPr>
        <w:t>properly</w:t>
      </w:r>
      <w:r>
        <w:rPr>
          <w:spacing w:val="-2"/>
          <w:sz w:val="24"/>
        </w:rPr>
        <w:t> </w:t>
      </w:r>
      <w:r>
        <w:rPr>
          <w:sz w:val="24"/>
        </w:rPr>
        <w:t>secured</w:t>
      </w:r>
      <w:r>
        <w:rPr>
          <w:spacing w:val="-2"/>
          <w:sz w:val="24"/>
        </w:rPr>
        <w:t> </w:t>
      </w:r>
      <w:r>
        <w:rPr>
          <w:sz w:val="24"/>
        </w:rPr>
        <w:t>in</w:t>
      </w:r>
      <w:r>
        <w:rPr>
          <w:spacing w:val="-2"/>
          <w:sz w:val="24"/>
        </w:rPr>
        <w:t> </w:t>
      </w:r>
      <w:r>
        <w:rPr>
          <w:sz w:val="24"/>
        </w:rPr>
        <w:t>a</w:t>
      </w:r>
      <w:r>
        <w:rPr>
          <w:spacing w:val="-2"/>
          <w:sz w:val="24"/>
        </w:rPr>
        <w:t> </w:t>
      </w:r>
      <w:r>
        <w:rPr>
          <w:sz w:val="24"/>
        </w:rPr>
        <w:t>child</w:t>
      </w:r>
      <w:r>
        <w:rPr>
          <w:spacing w:val="-2"/>
          <w:sz w:val="24"/>
        </w:rPr>
        <w:t> </w:t>
      </w:r>
      <w:r>
        <w:rPr>
          <w:sz w:val="24"/>
        </w:rPr>
        <w:t>passenger restraint system (car seat) or individual seat belt.</w:t>
      </w:r>
      <w:r>
        <w:rPr>
          <w:spacing w:val="80"/>
          <w:sz w:val="24"/>
        </w:rPr>
        <w:t> </w:t>
      </w:r>
      <w:r>
        <w:rPr>
          <w:sz w:val="24"/>
        </w:rPr>
        <w:t>Buses with a capacity of ten or more passengers that meet state and federal requirements for school buses are exempt from this requirement.</w:t>
      </w:r>
      <w:r>
        <w:rPr>
          <w:spacing w:val="40"/>
          <w:sz w:val="24"/>
        </w:rPr>
        <w:t> </w:t>
      </w:r>
      <w:r>
        <w:rPr>
          <w:sz w:val="24"/>
        </w:rPr>
        <w:t>Schools may, at their discretion, require students to be secured with seat belts during their transport.</w:t>
      </w:r>
    </w:p>
    <w:p>
      <w:pPr>
        <w:pStyle w:val="ListParagraph"/>
        <w:numPr>
          <w:ilvl w:val="2"/>
          <w:numId w:val="342"/>
        </w:numPr>
        <w:tabs>
          <w:tab w:pos="2002" w:val="left" w:leader="none"/>
        </w:tabs>
        <w:spacing w:line="208" w:lineRule="auto" w:before="239" w:after="0"/>
        <w:ind w:left="1656" w:right="738" w:firstLine="0"/>
        <w:jc w:val="left"/>
        <w:rPr>
          <w:sz w:val="24"/>
        </w:rPr>
      </w:pPr>
      <w:r>
        <w:rPr>
          <w:sz w:val="24"/>
        </w:rPr>
        <w:t>When transported in a seat equipped with a shoulder belt, children who have not entered kindergarten and weigh less than 60 pounds are properly secured</w:t>
      </w:r>
      <w:r>
        <w:rPr>
          <w:spacing w:val="-4"/>
          <w:sz w:val="24"/>
        </w:rPr>
        <w:t> </w:t>
      </w:r>
      <w:r>
        <w:rPr>
          <w:sz w:val="24"/>
        </w:rPr>
        <w:t>in</w:t>
      </w:r>
      <w:r>
        <w:rPr>
          <w:spacing w:val="-4"/>
          <w:sz w:val="24"/>
        </w:rPr>
        <w:t> </w:t>
      </w:r>
      <w:r>
        <w:rPr>
          <w:sz w:val="24"/>
        </w:rPr>
        <w:t>a</w:t>
      </w:r>
      <w:r>
        <w:rPr>
          <w:spacing w:val="-4"/>
          <w:sz w:val="24"/>
        </w:rPr>
        <w:t> </w:t>
      </w:r>
      <w:r>
        <w:rPr>
          <w:sz w:val="24"/>
        </w:rPr>
        <w:t>child</w:t>
      </w:r>
      <w:r>
        <w:rPr>
          <w:spacing w:val="-4"/>
          <w:sz w:val="24"/>
        </w:rPr>
        <w:t> </w:t>
      </w:r>
      <w:r>
        <w:rPr>
          <w:sz w:val="24"/>
        </w:rPr>
        <w:t>passenger</w:t>
      </w:r>
      <w:r>
        <w:rPr>
          <w:spacing w:val="-3"/>
          <w:sz w:val="24"/>
        </w:rPr>
        <w:t> </w:t>
      </w:r>
      <w:r>
        <w:rPr>
          <w:sz w:val="24"/>
        </w:rPr>
        <w:t>restraint</w:t>
      </w:r>
      <w:r>
        <w:rPr>
          <w:spacing w:val="-3"/>
          <w:sz w:val="24"/>
        </w:rPr>
        <w:t> </w:t>
      </w:r>
      <w:r>
        <w:rPr>
          <w:sz w:val="24"/>
        </w:rPr>
        <w:t>system,</w:t>
      </w:r>
      <w:r>
        <w:rPr>
          <w:spacing w:val="-3"/>
          <w:sz w:val="24"/>
        </w:rPr>
        <w:t> </w:t>
      </w:r>
      <w:r>
        <w:rPr>
          <w:sz w:val="24"/>
        </w:rPr>
        <w:t>such</w:t>
      </w:r>
      <w:r>
        <w:rPr>
          <w:spacing w:val="-4"/>
          <w:sz w:val="24"/>
        </w:rPr>
        <w:t> </w:t>
      </w:r>
      <w:r>
        <w:rPr>
          <w:sz w:val="24"/>
        </w:rPr>
        <w:t>as</w:t>
      </w:r>
      <w:r>
        <w:rPr>
          <w:spacing w:val="-5"/>
          <w:sz w:val="24"/>
        </w:rPr>
        <w:t> </w:t>
      </w:r>
      <w:r>
        <w:rPr>
          <w:sz w:val="24"/>
        </w:rPr>
        <w:t>a</w:t>
      </w:r>
      <w:r>
        <w:rPr>
          <w:spacing w:val="-4"/>
          <w:sz w:val="24"/>
        </w:rPr>
        <w:t> </w:t>
      </w:r>
      <w:r>
        <w:rPr>
          <w:sz w:val="24"/>
        </w:rPr>
        <w:t>car</w:t>
      </w:r>
      <w:r>
        <w:rPr>
          <w:spacing w:val="-3"/>
          <w:sz w:val="24"/>
        </w:rPr>
        <w:t> </w:t>
      </w:r>
      <w:r>
        <w:rPr>
          <w:sz w:val="24"/>
        </w:rPr>
        <w:t>seat</w:t>
      </w:r>
      <w:r>
        <w:rPr>
          <w:spacing w:val="-5"/>
          <w:sz w:val="24"/>
        </w:rPr>
        <w:t> </w:t>
      </w:r>
      <w:r>
        <w:rPr>
          <w:sz w:val="24"/>
        </w:rPr>
        <w:t>or</w:t>
      </w:r>
      <w:r>
        <w:rPr>
          <w:spacing w:val="-3"/>
          <w:sz w:val="24"/>
        </w:rPr>
        <w:t> </w:t>
      </w:r>
      <w:r>
        <w:rPr>
          <w:sz w:val="24"/>
        </w:rPr>
        <w:t>booster seat.</w:t>
      </w:r>
      <w:r>
        <w:rPr>
          <w:spacing w:val="40"/>
          <w:sz w:val="24"/>
        </w:rPr>
        <w:t> </w:t>
      </w:r>
      <w:r>
        <w:rPr>
          <w:sz w:val="24"/>
        </w:rPr>
        <w:t>Children who have entered kindergarten and older are protected by use of a car seat, booster seat, or individual seat belt.</w:t>
      </w:r>
    </w:p>
    <w:p>
      <w:pPr>
        <w:pStyle w:val="ListParagraph"/>
        <w:spacing w:after="0" w:line="208" w:lineRule="auto"/>
        <w:jc w:val="left"/>
        <w:rPr>
          <w:sz w:val="24"/>
        </w:rPr>
        <w:sectPr>
          <w:pgSz w:w="12240" w:h="15840"/>
          <w:pgMar w:top="1340" w:bottom="280" w:left="1080" w:right="720"/>
        </w:sectPr>
      </w:pPr>
    </w:p>
    <w:p>
      <w:pPr>
        <w:pStyle w:val="ListParagraph"/>
        <w:numPr>
          <w:ilvl w:val="2"/>
          <w:numId w:val="342"/>
        </w:numPr>
        <w:tabs>
          <w:tab w:pos="2054" w:val="left" w:leader="none"/>
        </w:tabs>
        <w:spacing w:line="240" w:lineRule="auto" w:before="67" w:after="0"/>
        <w:ind w:left="2054" w:right="0" w:hanging="398"/>
        <w:jc w:val="left"/>
        <w:rPr>
          <w:sz w:val="24"/>
        </w:rPr>
      </w:pPr>
      <w:r>
        <w:rPr>
          <w:sz w:val="24"/>
        </w:rPr>
        <w:t>The</w:t>
      </w:r>
      <w:r>
        <w:rPr>
          <w:spacing w:val="-2"/>
          <w:sz w:val="24"/>
        </w:rPr>
        <w:t> </w:t>
      </w:r>
      <w:r>
        <w:rPr>
          <w:sz w:val="24"/>
        </w:rPr>
        <w:t>car</w:t>
      </w:r>
      <w:r>
        <w:rPr>
          <w:spacing w:val="-3"/>
          <w:sz w:val="24"/>
        </w:rPr>
        <w:t> </w:t>
      </w:r>
      <w:r>
        <w:rPr>
          <w:sz w:val="24"/>
        </w:rPr>
        <w:t>seat </w:t>
      </w:r>
      <w:r>
        <w:rPr>
          <w:spacing w:val="-5"/>
          <w:sz w:val="24"/>
        </w:rPr>
        <w:t>is:</w:t>
      </w:r>
    </w:p>
    <w:p>
      <w:pPr>
        <w:pStyle w:val="ListParagraph"/>
        <w:numPr>
          <w:ilvl w:val="3"/>
          <w:numId w:val="342"/>
        </w:numPr>
        <w:tabs>
          <w:tab w:pos="2447" w:val="left" w:leader="none"/>
        </w:tabs>
        <w:spacing w:line="240" w:lineRule="auto" w:before="204" w:after="0"/>
        <w:ind w:left="2447" w:right="0" w:hanging="359"/>
        <w:jc w:val="left"/>
        <w:rPr>
          <w:sz w:val="24"/>
        </w:rPr>
      </w:pPr>
      <w:r>
        <w:rPr>
          <w:sz w:val="24"/>
        </w:rPr>
        <w:t>Federally</w:t>
      </w:r>
      <w:r>
        <w:rPr>
          <w:spacing w:val="-7"/>
          <w:sz w:val="24"/>
        </w:rPr>
        <w:t> </w:t>
      </w:r>
      <w:r>
        <w:rPr>
          <w:spacing w:val="-2"/>
          <w:sz w:val="24"/>
        </w:rPr>
        <w:t>approved;</w:t>
      </w:r>
    </w:p>
    <w:p>
      <w:pPr>
        <w:pStyle w:val="ListParagraph"/>
        <w:numPr>
          <w:ilvl w:val="3"/>
          <w:numId w:val="342"/>
        </w:numPr>
        <w:tabs>
          <w:tab w:pos="2513" w:val="left" w:leader="none"/>
        </w:tabs>
        <w:spacing w:line="240" w:lineRule="auto" w:before="204" w:after="0"/>
        <w:ind w:left="2513" w:right="0" w:hanging="425"/>
        <w:jc w:val="left"/>
        <w:rPr>
          <w:sz w:val="24"/>
        </w:rPr>
      </w:pPr>
      <w:r>
        <w:rPr>
          <w:sz w:val="24"/>
        </w:rPr>
        <w:t>Installed</w:t>
      </w:r>
      <w:r>
        <w:rPr>
          <w:spacing w:val="-6"/>
          <w:sz w:val="24"/>
        </w:rPr>
        <w:t> </w:t>
      </w:r>
      <w:r>
        <w:rPr>
          <w:sz w:val="24"/>
        </w:rPr>
        <w:t>according</w:t>
      </w:r>
      <w:r>
        <w:rPr>
          <w:spacing w:val="-3"/>
          <w:sz w:val="24"/>
        </w:rPr>
        <w:t> </w:t>
      </w:r>
      <w:r>
        <w:rPr>
          <w:sz w:val="24"/>
        </w:rPr>
        <w:t>to</w:t>
      </w:r>
      <w:r>
        <w:rPr>
          <w:spacing w:val="-4"/>
          <w:sz w:val="24"/>
        </w:rPr>
        <w:t> </w:t>
      </w:r>
      <w:r>
        <w:rPr>
          <w:sz w:val="24"/>
        </w:rPr>
        <w:t>the</w:t>
      </w:r>
      <w:r>
        <w:rPr>
          <w:spacing w:val="-4"/>
          <w:sz w:val="24"/>
        </w:rPr>
        <w:t> </w:t>
      </w:r>
      <w:r>
        <w:rPr>
          <w:sz w:val="24"/>
        </w:rPr>
        <w:t>manufacturer’s</w:t>
      </w:r>
      <w:r>
        <w:rPr>
          <w:spacing w:val="-3"/>
          <w:sz w:val="24"/>
        </w:rPr>
        <w:t> </w:t>
      </w:r>
      <w:r>
        <w:rPr>
          <w:spacing w:val="-2"/>
          <w:sz w:val="24"/>
        </w:rPr>
        <w:t>instructions;</w:t>
      </w:r>
    </w:p>
    <w:p>
      <w:pPr>
        <w:pStyle w:val="ListParagraph"/>
        <w:numPr>
          <w:ilvl w:val="3"/>
          <w:numId w:val="342"/>
        </w:numPr>
        <w:tabs>
          <w:tab w:pos="2580" w:val="left" w:leader="none"/>
        </w:tabs>
        <w:spacing w:line="208" w:lineRule="auto" w:before="233" w:after="0"/>
        <w:ind w:left="2088" w:right="1239" w:firstLine="0"/>
        <w:jc w:val="left"/>
        <w:rPr>
          <w:sz w:val="24"/>
        </w:rPr>
      </w:pPr>
      <w:r>
        <w:rPr>
          <w:sz w:val="24"/>
        </w:rPr>
        <w:t>Appropriate</w:t>
      </w:r>
      <w:r>
        <w:rPr>
          <w:spacing w:val="-5"/>
          <w:sz w:val="24"/>
        </w:rPr>
        <w:t> </w:t>
      </w:r>
      <w:r>
        <w:rPr>
          <w:sz w:val="24"/>
        </w:rPr>
        <w:t>to</w:t>
      </w:r>
      <w:r>
        <w:rPr>
          <w:spacing w:val="-5"/>
          <w:sz w:val="24"/>
        </w:rPr>
        <w:t> </w:t>
      </w:r>
      <w:r>
        <w:rPr>
          <w:sz w:val="24"/>
        </w:rPr>
        <w:t>the</w:t>
      </w:r>
      <w:r>
        <w:rPr>
          <w:spacing w:val="-5"/>
          <w:sz w:val="24"/>
        </w:rPr>
        <w:t> </w:t>
      </w:r>
      <w:r>
        <w:rPr>
          <w:sz w:val="24"/>
        </w:rPr>
        <w:t>height,</w:t>
      </w:r>
      <w:r>
        <w:rPr>
          <w:spacing w:val="-4"/>
          <w:sz w:val="24"/>
        </w:rPr>
        <w:t> </w:t>
      </w:r>
      <w:r>
        <w:rPr>
          <w:sz w:val="24"/>
        </w:rPr>
        <w:t>weight,</w:t>
      </w:r>
      <w:r>
        <w:rPr>
          <w:spacing w:val="-4"/>
          <w:sz w:val="24"/>
        </w:rPr>
        <w:t> </w:t>
      </w:r>
      <w:r>
        <w:rPr>
          <w:sz w:val="24"/>
        </w:rPr>
        <w:t>and</w:t>
      </w:r>
      <w:r>
        <w:rPr>
          <w:spacing w:val="-5"/>
          <w:sz w:val="24"/>
        </w:rPr>
        <w:t> </w:t>
      </w:r>
      <w:r>
        <w:rPr>
          <w:sz w:val="24"/>
        </w:rPr>
        <w:t>physical</w:t>
      </w:r>
      <w:r>
        <w:rPr>
          <w:spacing w:val="-5"/>
          <w:sz w:val="24"/>
        </w:rPr>
        <w:t> </w:t>
      </w:r>
      <w:r>
        <w:rPr>
          <w:sz w:val="24"/>
        </w:rPr>
        <w:t>condition</w:t>
      </w:r>
      <w:r>
        <w:rPr>
          <w:spacing w:val="-5"/>
          <w:sz w:val="24"/>
        </w:rPr>
        <w:t> </w:t>
      </w:r>
      <w:r>
        <w:rPr>
          <w:sz w:val="24"/>
        </w:rPr>
        <w:t>of</w:t>
      </w:r>
      <w:r>
        <w:rPr>
          <w:spacing w:val="-4"/>
          <w:sz w:val="24"/>
        </w:rPr>
        <w:t> </w:t>
      </w:r>
      <w:r>
        <w:rPr>
          <w:sz w:val="24"/>
        </w:rPr>
        <w:t>the child, according to the manufacturer’s instructions; and</w:t>
      </w:r>
    </w:p>
    <w:p>
      <w:pPr>
        <w:pStyle w:val="ListParagraph"/>
        <w:numPr>
          <w:ilvl w:val="3"/>
          <w:numId w:val="342"/>
        </w:numPr>
        <w:tabs>
          <w:tab w:pos="2606" w:val="left" w:leader="none"/>
        </w:tabs>
        <w:spacing w:line="240" w:lineRule="auto" w:before="210" w:after="0"/>
        <w:ind w:left="2606" w:right="0" w:hanging="518"/>
        <w:jc w:val="left"/>
        <w:rPr>
          <w:sz w:val="24"/>
        </w:rPr>
      </w:pPr>
      <w:r>
        <w:rPr>
          <w:sz w:val="24"/>
        </w:rPr>
        <w:t>Properly</w:t>
      </w:r>
      <w:r>
        <w:rPr>
          <w:spacing w:val="-5"/>
          <w:sz w:val="24"/>
        </w:rPr>
        <w:t> </w:t>
      </w:r>
      <w:r>
        <w:rPr>
          <w:spacing w:val="-2"/>
          <w:sz w:val="24"/>
        </w:rPr>
        <w:t>maintained.</w:t>
      </w:r>
    </w:p>
    <w:p>
      <w:pPr>
        <w:pStyle w:val="ListParagraph"/>
        <w:numPr>
          <w:ilvl w:val="2"/>
          <w:numId w:val="342"/>
        </w:numPr>
        <w:tabs>
          <w:tab w:pos="2107" w:val="left" w:leader="none"/>
        </w:tabs>
        <w:spacing w:line="208" w:lineRule="auto" w:before="234" w:after="0"/>
        <w:ind w:left="1656" w:right="1485" w:firstLine="0"/>
        <w:jc w:val="left"/>
        <w:rPr>
          <w:sz w:val="24"/>
        </w:rPr>
      </w:pPr>
      <w:r>
        <w:rPr>
          <w:sz w:val="24"/>
        </w:rPr>
        <w:t>Each</w:t>
      </w:r>
      <w:r>
        <w:rPr>
          <w:spacing w:val="-4"/>
          <w:sz w:val="24"/>
        </w:rPr>
        <w:t> </w:t>
      </w:r>
      <w:r>
        <w:rPr>
          <w:sz w:val="24"/>
        </w:rPr>
        <w:t>seat</w:t>
      </w:r>
      <w:r>
        <w:rPr>
          <w:spacing w:val="-3"/>
          <w:sz w:val="24"/>
        </w:rPr>
        <w:t> </w:t>
      </w:r>
      <w:r>
        <w:rPr>
          <w:sz w:val="24"/>
        </w:rPr>
        <w:t>belt</w:t>
      </w:r>
      <w:r>
        <w:rPr>
          <w:spacing w:val="-3"/>
          <w:sz w:val="24"/>
        </w:rPr>
        <w:t> </w:t>
      </w:r>
      <w:r>
        <w:rPr>
          <w:sz w:val="24"/>
        </w:rPr>
        <w:t>is</w:t>
      </w:r>
      <w:r>
        <w:rPr>
          <w:spacing w:val="-4"/>
          <w:sz w:val="24"/>
        </w:rPr>
        <w:t> </w:t>
      </w:r>
      <w:r>
        <w:rPr>
          <w:sz w:val="24"/>
        </w:rPr>
        <w:t>properly</w:t>
      </w:r>
      <w:r>
        <w:rPr>
          <w:spacing w:val="-4"/>
          <w:sz w:val="24"/>
        </w:rPr>
        <w:t> </w:t>
      </w:r>
      <w:r>
        <w:rPr>
          <w:sz w:val="24"/>
        </w:rPr>
        <w:t>anchored</w:t>
      </w:r>
      <w:r>
        <w:rPr>
          <w:spacing w:val="-4"/>
          <w:sz w:val="24"/>
        </w:rPr>
        <w:t> </w:t>
      </w:r>
      <w:r>
        <w:rPr>
          <w:sz w:val="24"/>
        </w:rPr>
        <w:t>to</w:t>
      </w:r>
      <w:r>
        <w:rPr>
          <w:spacing w:val="-4"/>
          <w:sz w:val="24"/>
        </w:rPr>
        <w:t> </w:t>
      </w:r>
      <w:r>
        <w:rPr>
          <w:sz w:val="24"/>
        </w:rPr>
        <w:t>the</w:t>
      </w:r>
      <w:r>
        <w:rPr>
          <w:spacing w:val="-4"/>
          <w:sz w:val="24"/>
        </w:rPr>
        <w:t> </w:t>
      </w:r>
      <w:r>
        <w:rPr>
          <w:sz w:val="24"/>
        </w:rPr>
        <w:t>vehicle</w:t>
      </w:r>
      <w:r>
        <w:rPr>
          <w:spacing w:val="-4"/>
          <w:sz w:val="24"/>
        </w:rPr>
        <w:t> </w:t>
      </w:r>
      <w:r>
        <w:rPr>
          <w:sz w:val="24"/>
        </w:rPr>
        <w:t>and</w:t>
      </w:r>
      <w:r>
        <w:rPr>
          <w:spacing w:val="-4"/>
          <w:sz w:val="24"/>
        </w:rPr>
        <w:t> </w:t>
      </w:r>
      <w:r>
        <w:rPr>
          <w:sz w:val="24"/>
        </w:rPr>
        <w:t>fits</w:t>
      </w:r>
      <w:r>
        <w:rPr>
          <w:spacing w:val="-4"/>
          <w:sz w:val="24"/>
        </w:rPr>
        <w:t> </w:t>
      </w:r>
      <w:r>
        <w:rPr>
          <w:sz w:val="24"/>
        </w:rPr>
        <w:t>snugly across children’s hips or securely anchors the car seat.</w:t>
      </w:r>
    </w:p>
    <w:p>
      <w:pPr>
        <w:pStyle w:val="ListParagraph"/>
        <w:numPr>
          <w:ilvl w:val="2"/>
          <w:numId w:val="342"/>
        </w:numPr>
        <w:tabs>
          <w:tab w:pos="2122" w:val="left" w:leader="none"/>
        </w:tabs>
        <w:spacing w:line="208" w:lineRule="auto" w:before="240" w:after="0"/>
        <w:ind w:left="1656" w:right="752" w:firstLine="0"/>
        <w:jc w:val="left"/>
        <w:rPr>
          <w:sz w:val="24"/>
        </w:rPr>
      </w:pPr>
      <w:r>
        <w:rPr>
          <w:sz w:val="24"/>
        </w:rPr>
        <w:t>All adult passengers, except those in a full-size school bus, and the driver</w:t>
      </w:r>
      <w:r>
        <w:rPr>
          <w:spacing w:val="-3"/>
          <w:sz w:val="24"/>
        </w:rPr>
        <w:t> </w:t>
      </w:r>
      <w:r>
        <w:rPr>
          <w:sz w:val="24"/>
        </w:rPr>
        <w:t>are</w:t>
      </w:r>
      <w:r>
        <w:rPr>
          <w:spacing w:val="-4"/>
          <w:sz w:val="24"/>
        </w:rPr>
        <w:t> </w:t>
      </w:r>
      <w:r>
        <w:rPr>
          <w:sz w:val="24"/>
        </w:rPr>
        <w:t>properly</w:t>
      </w:r>
      <w:r>
        <w:rPr>
          <w:spacing w:val="-4"/>
          <w:sz w:val="24"/>
        </w:rPr>
        <w:t> </w:t>
      </w:r>
      <w:r>
        <w:rPr>
          <w:sz w:val="24"/>
        </w:rPr>
        <w:t>secured</w:t>
      </w:r>
      <w:r>
        <w:rPr>
          <w:spacing w:val="-4"/>
          <w:sz w:val="24"/>
        </w:rPr>
        <w:t> </w:t>
      </w:r>
      <w:r>
        <w:rPr>
          <w:sz w:val="24"/>
        </w:rPr>
        <w:t>by</w:t>
      </w:r>
      <w:r>
        <w:rPr>
          <w:spacing w:val="-4"/>
          <w:sz w:val="24"/>
        </w:rPr>
        <w:t> </w:t>
      </w:r>
      <w:r>
        <w:rPr>
          <w:sz w:val="24"/>
        </w:rPr>
        <w:t>seat</w:t>
      </w:r>
      <w:r>
        <w:rPr>
          <w:spacing w:val="-3"/>
          <w:sz w:val="24"/>
        </w:rPr>
        <w:t> </w:t>
      </w:r>
      <w:r>
        <w:rPr>
          <w:sz w:val="24"/>
        </w:rPr>
        <w:t>belts</w:t>
      </w:r>
      <w:r>
        <w:rPr>
          <w:spacing w:val="-4"/>
          <w:sz w:val="24"/>
        </w:rPr>
        <w:t> </w:t>
      </w:r>
      <w:r>
        <w:rPr>
          <w:sz w:val="24"/>
        </w:rPr>
        <w:t>unless</w:t>
      </w:r>
      <w:r>
        <w:rPr>
          <w:spacing w:val="-4"/>
          <w:sz w:val="24"/>
        </w:rPr>
        <w:t> </w:t>
      </w:r>
      <w:r>
        <w:rPr>
          <w:sz w:val="24"/>
        </w:rPr>
        <w:t>the</w:t>
      </w:r>
      <w:r>
        <w:rPr>
          <w:spacing w:val="-4"/>
          <w:sz w:val="24"/>
        </w:rPr>
        <w:t> </w:t>
      </w:r>
      <w:r>
        <w:rPr>
          <w:sz w:val="24"/>
        </w:rPr>
        <w:t>driver</w:t>
      </w:r>
      <w:r>
        <w:rPr>
          <w:spacing w:val="-3"/>
          <w:sz w:val="24"/>
        </w:rPr>
        <w:t> </w:t>
      </w:r>
      <w:r>
        <w:rPr>
          <w:sz w:val="24"/>
        </w:rPr>
        <w:t>or</w:t>
      </w:r>
      <w:r>
        <w:rPr>
          <w:spacing w:val="-3"/>
          <w:sz w:val="24"/>
        </w:rPr>
        <w:t> </w:t>
      </w:r>
      <w:r>
        <w:rPr>
          <w:sz w:val="24"/>
        </w:rPr>
        <w:t>passenger</w:t>
      </w:r>
      <w:r>
        <w:rPr>
          <w:spacing w:val="-3"/>
          <w:sz w:val="24"/>
        </w:rPr>
        <w:t> </w:t>
      </w:r>
      <w:r>
        <w:rPr>
          <w:sz w:val="24"/>
        </w:rPr>
        <w:t>has written verification from a doctor licensed in Oklahoma that the individual is unable to use a seat belt for medical reasons.</w:t>
      </w:r>
      <w:r>
        <w:rPr>
          <w:spacing w:val="40"/>
          <w:sz w:val="24"/>
        </w:rPr>
        <w:t> </w:t>
      </w:r>
      <w:r>
        <w:rPr>
          <w:sz w:val="24"/>
        </w:rPr>
        <w:t>The school bus driver must always use a seat belt.</w:t>
      </w:r>
    </w:p>
    <w:p>
      <w:pPr>
        <w:pStyle w:val="ListParagraph"/>
        <w:numPr>
          <w:ilvl w:val="2"/>
          <w:numId w:val="342"/>
        </w:numPr>
        <w:tabs>
          <w:tab w:pos="2069" w:val="left" w:leader="none"/>
        </w:tabs>
        <w:spacing w:line="208" w:lineRule="auto" w:before="239" w:after="0"/>
        <w:ind w:left="1656" w:right="762" w:firstLine="0"/>
        <w:jc w:val="left"/>
        <w:rPr>
          <w:sz w:val="24"/>
        </w:rPr>
      </w:pPr>
      <w:r>
        <w:rPr>
          <w:sz w:val="24"/>
        </w:rPr>
        <w:t>Children</w:t>
      </w:r>
      <w:r>
        <w:rPr>
          <w:spacing w:val="-4"/>
          <w:sz w:val="24"/>
        </w:rPr>
        <w:t> </w:t>
      </w:r>
      <w:r>
        <w:rPr>
          <w:sz w:val="24"/>
        </w:rPr>
        <w:t>under</w:t>
      </w:r>
      <w:r>
        <w:rPr>
          <w:spacing w:val="-3"/>
          <w:sz w:val="24"/>
        </w:rPr>
        <w:t> </w:t>
      </w:r>
      <w:r>
        <w:rPr>
          <w:sz w:val="24"/>
        </w:rPr>
        <w:t>50</w:t>
      </w:r>
      <w:r>
        <w:rPr>
          <w:spacing w:val="-4"/>
          <w:sz w:val="24"/>
        </w:rPr>
        <w:t> </w:t>
      </w:r>
      <w:r>
        <w:rPr>
          <w:sz w:val="24"/>
        </w:rPr>
        <w:t>pounds</w:t>
      </w:r>
      <w:r>
        <w:rPr>
          <w:spacing w:val="-4"/>
          <w:sz w:val="24"/>
        </w:rPr>
        <w:t> </w:t>
      </w:r>
      <w:r>
        <w:rPr>
          <w:sz w:val="24"/>
        </w:rPr>
        <w:t>and/or</w:t>
      </w:r>
      <w:r>
        <w:rPr>
          <w:spacing w:val="-3"/>
          <w:sz w:val="24"/>
        </w:rPr>
        <w:t> </w:t>
      </w:r>
      <w:r>
        <w:rPr>
          <w:sz w:val="24"/>
        </w:rPr>
        <w:t>under</w:t>
      </w:r>
      <w:r>
        <w:rPr>
          <w:spacing w:val="-3"/>
          <w:sz w:val="24"/>
        </w:rPr>
        <w:t> </w:t>
      </w:r>
      <w:r>
        <w:rPr>
          <w:sz w:val="24"/>
        </w:rPr>
        <w:t>five</w:t>
      </w:r>
      <w:r>
        <w:rPr>
          <w:spacing w:val="-4"/>
          <w:sz w:val="24"/>
        </w:rPr>
        <w:t> </w:t>
      </w:r>
      <w:r>
        <w:rPr>
          <w:sz w:val="24"/>
        </w:rPr>
        <w:t>feet</w:t>
      </w:r>
      <w:r>
        <w:rPr>
          <w:spacing w:val="-3"/>
          <w:sz w:val="24"/>
        </w:rPr>
        <w:t> </w:t>
      </w:r>
      <w:r>
        <w:rPr>
          <w:sz w:val="24"/>
        </w:rPr>
        <w:t>in</w:t>
      </w:r>
      <w:r>
        <w:rPr>
          <w:spacing w:val="-4"/>
          <w:sz w:val="24"/>
        </w:rPr>
        <w:t> </w:t>
      </w:r>
      <w:r>
        <w:rPr>
          <w:sz w:val="24"/>
        </w:rPr>
        <w:t>height</w:t>
      </w:r>
      <w:r>
        <w:rPr>
          <w:spacing w:val="-3"/>
          <w:sz w:val="24"/>
        </w:rPr>
        <w:t> </w:t>
      </w:r>
      <w:r>
        <w:rPr>
          <w:sz w:val="24"/>
        </w:rPr>
        <w:t>are</w:t>
      </w:r>
      <w:r>
        <w:rPr>
          <w:spacing w:val="-4"/>
          <w:sz w:val="24"/>
        </w:rPr>
        <w:t> </w:t>
      </w:r>
      <w:r>
        <w:rPr>
          <w:sz w:val="24"/>
        </w:rPr>
        <w:t>prohibited from sitting in the front seat of a passenger vehicle equipped with air bags.</w:t>
      </w:r>
    </w:p>
    <w:p>
      <w:pPr>
        <w:pStyle w:val="ListParagraph"/>
        <w:numPr>
          <w:ilvl w:val="1"/>
          <w:numId w:val="342"/>
        </w:numPr>
        <w:tabs>
          <w:tab w:pos="1662" w:val="left" w:leader="none"/>
        </w:tabs>
        <w:spacing w:line="208" w:lineRule="auto" w:before="240" w:after="0"/>
        <w:ind w:left="1224" w:right="1130" w:firstLine="0"/>
        <w:jc w:val="left"/>
        <w:rPr>
          <w:sz w:val="24"/>
        </w:rPr>
      </w:pPr>
      <w:r>
        <w:rPr>
          <w:b/>
          <w:sz w:val="24"/>
        </w:rPr>
        <w:t>Vehicle</w:t>
      </w:r>
      <w:r>
        <w:rPr>
          <w:b/>
          <w:spacing w:val="-4"/>
          <w:sz w:val="24"/>
        </w:rPr>
        <w:t> </w:t>
      </w:r>
      <w:r>
        <w:rPr>
          <w:b/>
          <w:sz w:val="24"/>
        </w:rPr>
        <w:t>requirements.</w:t>
      </w:r>
      <w:r>
        <w:rPr>
          <w:b/>
          <w:spacing w:val="40"/>
          <w:sz w:val="24"/>
        </w:rPr>
        <w:t> </w:t>
      </w:r>
      <w:r>
        <w:rPr>
          <w:sz w:val="24"/>
        </w:rPr>
        <w:t>Any</w:t>
      </w:r>
      <w:r>
        <w:rPr>
          <w:spacing w:val="-5"/>
          <w:sz w:val="24"/>
        </w:rPr>
        <w:t> </w:t>
      </w:r>
      <w:r>
        <w:rPr>
          <w:sz w:val="24"/>
        </w:rPr>
        <w:t>vehicle</w:t>
      </w:r>
      <w:r>
        <w:rPr>
          <w:spacing w:val="-4"/>
          <w:sz w:val="24"/>
        </w:rPr>
        <w:t> </w:t>
      </w:r>
      <w:r>
        <w:rPr>
          <w:sz w:val="24"/>
        </w:rPr>
        <w:t>used</w:t>
      </w:r>
      <w:r>
        <w:rPr>
          <w:spacing w:val="-5"/>
          <w:sz w:val="24"/>
        </w:rPr>
        <w:t> </w:t>
      </w:r>
      <w:r>
        <w:rPr>
          <w:sz w:val="24"/>
        </w:rPr>
        <w:t>to</w:t>
      </w:r>
      <w:r>
        <w:rPr>
          <w:spacing w:val="-4"/>
          <w:sz w:val="24"/>
        </w:rPr>
        <w:t> </w:t>
      </w:r>
      <w:r>
        <w:rPr>
          <w:sz w:val="24"/>
        </w:rPr>
        <w:t>transport</w:t>
      </w:r>
      <w:r>
        <w:rPr>
          <w:spacing w:val="-4"/>
          <w:sz w:val="24"/>
        </w:rPr>
        <w:t> </w:t>
      </w:r>
      <w:r>
        <w:rPr>
          <w:sz w:val="24"/>
        </w:rPr>
        <w:t>children</w:t>
      </w:r>
      <w:r>
        <w:rPr>
          <w:spacing w:val="-4"/>
          <w:sz w:val="24"/>
        </w:rPr>
        <w:t> </w:t>
      </w:r>
      <w:r>
        <w:rPr>
          <w:sz w:val="24"/>
        </w:rPr>
        <w:t>complies with the requirements listed in this subsection.</w:t>
      </w:r>
    </w:p>
    <w:p>
      <w:pPr>
        <w:pStyle w:val="ListParagraph"/>
        <w:numPr>
          <w:ilvl w:val="2"/>
          <w:numId w:val="342"/>
        </w:numPr>
        <w:tabs>
          <w:tab w:pos="2002" w:val="left" w:leader="none"/>
        </w:tabs>
        <w:spacing w:line="208" w:lineRule="auto" w:before="240" w:after="0"/>
        <w:ind w:left="1656" w:right="776" w:firstLine="0"/>
        <w:jc w:val="left"/>
        <w:rPr>
          <w:sz w:val="24"/>
        </w:rPr>
      </w:pPr>
      <w:r>
        <w:rPr>
          <w:sz w:val="24"/>
        </w:rPr>
        <w:t>The vehicle’s maximum seating capacity is not exceeded.</w:t>
      </w:r>
      <w:r>
        <w:rPr>
          <w:spacing w:val="40"/>
          <w:sz w:val="24"/>
        </w:rPr>
        <w:t> </w:t>
      </w:r>
      <w:r>
        <w:rPr>
          <w:sz w:val="24"/>
        </w:rPr>
        <w:t>Maximum seating capacity of the vehicle is based on the manufacturer’s designated seating</w:t>
      </w:r>
      <w:r>
        <w:rPr>
          <w:spacing w:val="-4"/>
          <w:sz w:val="24"/>
        </w:rPr>
        <w:t> </w:t>
      </w:r>
      <w:r>
        <w:rPr>
          <w:sz w:val="24"/>
        </w:rPr>
        <w:t>capacity</w:t>
      </w:r>
      <w:r>
        <w:rPr>
          <w:spacing w:val="-4"/>
          <w:sz w:val="24"/>
        </w:rPr>
        <w:t> </w:t>
      </w:r>
      <w:r>
        <w:rPr>
          <w:sz w:val="24"/>
        </w:rPr>
        <w:t>for</w:t>
      </w:r>
      <w:r>
        <w:rPr>
          <w:spacing w:val="-3"/>
          <w:sz w:val="24"/>
        </w:rPr>
        <w:t> </w:t>
      </w:r>
      <w:r>
        <w:rPr>
          <w:sz w:val="24"/>
        </w:rPr>
        <w:t>children</w:t>
      </w:r>
      <w:r>
        <w:rPr>
          <w:spacing w:val="-4"/>
          <w:sz w:val="24"/>
        </w:rPr>
        <w:t> </w:t>
      </w:r>
      <w:r>
        <w:rPr>
          <w:sz w:val="24"/>
        </w:rPr>
        <w:t>or</w:t>
      </w:r>
      <w:r>
        <w:rPr>
          <w:spacing w:val="-3"/>
          <w:sz w:val="24"/>
        </w:rPr>
        <w:t> </w:t>
      </w:r>
      <w:r>
        <w:rPr>
          <w:sz w:val="24"/>
        </w:rPr>
        <w:t>on</w:t>
      </w:r>
      <w:r>
        <w:rPr>
          <w:spacing w:val="-4"/>
          <w:sz w:val="24"/>
        </w:rPr>
        <w:t> </w:t>
      </w:r>
      <w:r>
        <w:rPr>
          <w:sz w:val="24"/>
        </w:rPr>
        <w:t>a</w:t>
      </w:r>
      <w:r>
        <w:rPr>
          <w:spacing w:val="-4"/>
          <w:sz w:val="24"/>
        </w:rPr>
        <w:t> </w:t>
      </w:r>
      <w:r>
        <w:rPr>
          <w:sz w:val="24"/>
        </w:rPr>
        <w:t>minimum</w:t>
      </w:r>
      <w:r>
        <w:rPr>
          <w:spacing w:val="-3"/>
          <w:sz w:val="24"/>
        </w:rPr>
        <w:t> </w:t>
      </w:r>
      <w:r>
        <w:rPr>
          <w:sz w:val="24"/>
        </w:rPr>
        <w:t>of</w:t>
      </w:r>
      <w:r>
        <w:rPr>
          <w:spacing w:val="-3"/>
          <w:sz w:val="24"/>
        </w:rPr>
        <w:t> </w:t>
      </w:r>
      <w:r>
        <w:rPr>
          <w:sz w:val="24"/>
        </w:rPr>
        <w:t>13</w:t>
      </w:r>
      <w:r>
        <w:rPr>
          <w:spacing w:val="-4"/>
          <w:sz w:val="24"/>
        </w:rPr>
        <w:t> </w:t>
      </w:r>
      <w:r>
        <w:rPr>
          <w:sz w:val="24"/>
        </w:rPr>
        <w:t>inches</w:t>
      </w:r>
      <w:r>
        <w:rPr>
          <w:spacing w:val="-4"/>
          <w:sz w:val="24"/>
        </w:rPr>
        <w:t> </w:t>
      </w:r>
      <w:r>
        <w:rPr>
          <w:sz w:val="24"/>
        </w:rPr>
        <w:t>of</w:t>
      </w:r>
      <w:r>
        <w:rPr>
          <w:spacing w:val="-3"/>
          <w:sz w:val="24"/>
        </w:rPr>
        <w:t> </w:t>
      </w:r>
      <w:r>
        <w:rPr>
          <w:sz w:val="24"/>
        </w:rPr>
        <w:t>seating</w:t>
      </w:r>
      <w:r>
        <w:rPr>
          <w:spacing w:val="-4"/>
          <w:sz w:val="24"/>
        </w:rPr>
        <w:t> </w:t>
      </w:r>
      <w:r>
        <w:rPr>
          <w:sz w:val="24"/>
        </w:rPr>
        <w:t>space per child.</w:t>
      </w:r>
    </w:p>
    <w:p>
      <w:pPr>
        <w:pStyle w:val="ListParagraph"/>
        <w:numPr>
          <w:ilvl w:val="2"/>
          <w:numId w:val="342"/>
        </w:numPr>
        <w:tabs>
          <w:tab w:pos="2054" w:val="left" w:leader="none"/>
        </w:tabs>
        <w:spacing w:line="208" w:lineRule="auto" w:before="239" w:after="0"/>
        <w:ind w:left="1656" w:right="1044" w:firstLine="0"/>
        <w:jc w:val="left"/>
        <w:rPr>
          <w:sz w:val="24"/>
        </w:rPr>
      </w:pPr>
      <w:r>
        <w:rPr>
          <w:sz w:val="24"/>
        </w:rPr>
        <w:t>All</w:t>
      </w:r>
      <w:r>
        <w:rPr>
          <w:spacing w:val="-4"/>
          <w:sz w:val="24"/>
        </w:rPr>
        <w:t> </w:t>
      </w:r>
      <w:r>
        <w:rPr>
          <w:sz w:val="24"/>
        </w:rPr>
        <w:t>passengers</w:t>
      </w:r>
      <w:r>
        <w:rPr>
          <w:spacing w:val="-4"/>
          <w:sz w:val="24"/>
        </w:rPr>
        <w:t> </w:t>
      </w:r>
      <w:r>
        <w:rPr>
          <w:sz w:val="24"/>
        </w:rPr>
        <w:t>are</w:t>
      </w:r>
      <w:r>
        <w:rPr>
          <w:spacing w:val="-4"/>
          <w:sz w:val="24"/>
        </w:rPr>
        <w:t> </w:t>
      </w:r>
      <w:r>
        <w:rPr>
          <w:sz w:val="24"/>
        </w:rPr>
        <w:t>able</w:t>
      </w:r>
      <w:r>
        <w:rPr>
          <w:spacing w:val="-4"/>
          <w:sz w:val="24"/>
        </w:rPr>
        <w:t> </w:t>
      </w:r>
      <w:r>
        <w:rPr>
          <w:sz w:val="24"/>
        </w:rPr>
        <w:t>to</w:t>
      </w:r>
      <w:r>
        <w:rPr>
          <w:spacing w:val="-4"/>
          <w:sz w:val="24"/>
        </w:rPr>
        <w:t> </w:t>
      </w:r>
      <w:r>
        <w:rPr>
          <w:sz w:val="24"/>
        </w:rPr>
        <w:t>sit</w:t>
      </w:r>
      <w:r>
        <w:rPr>
          <w:spacing w:val="-3"/>
          <w:sz w:val="24"/>
        </w:rPr>
        <w:t> </w:t>
      </w:r>
      <w:r>
        <w:rPr>
          <w:sz w:val="24"/>
        </w:rPr>
        <w:t>comfortably</w:t>
      </w:r>
      <w:r>
        <w:rPr>
          <w:spacing w:val="-4"/>
          <w:sz w:val="24"/>
        </w:rPr>
        <w:t> </w:t>
      </w:r>
      <w:r>
        <w:rPr>
          <w:sz w:val="24"/>
        </w:rPr>
        <w:t>in</w:t>
      </w:r>
      <w:r>
        <w:rPr>
          <w:spacing w:val="-4"/>
          <w:sz w:val="24"/>
        </w:rPr>
        <w:t> </w:t>
      </w:r>
      <w:r>
        <w:rPr>
          <w:sz w:val="24"/>
        </w:rPr>
        <w:t>a</w:t>
      </w:r>
      <w:r>
        <w:rPr>
          <w:spacing w:val="-4"/>
          <w:sz w:val="24"/>
        </w:rPr>
        <w:t> </w:t>
      </w:r>
      <w:r>
        <w:rPr>
          <w:sz w:val="24"/>
        </w:rPr>
        <w:t>stationary</w:t>
      </w:r>
      <w:r>
        <w:rPr>
          <w:spacing w:val="-4"/>
          <w:sz w:val="24"/>
        </w:rPr>
        <w:t> </w:t>
      </w:r>
      <w:r>
        <w:rPr>
          <w:sz w:val="24"/>
        </w:rPr>
        <w:t>padded</w:t>
      </w:r>
      <w:r>
        <w:rPr>
          <w:spacing w:val="-4"/>
          <w:sz w:val="24"/>
        </w:rPr>
        <w:t> </w:t>
      </w:r>
      <w:r>
        <w:rPr>
          <w:sz w:val="24"/>
        </w:rPr>
        <w:t>seat with a back that is properly anchored to the vehicle.</w:t>
      </w:r>
    </w:p>
    <w:p>
      <w:pPr>
        <w:pStyle w:val="ListParagraph"/>
        <w:numPr>
          <w:ilvl w:val="2"/>
          <w:numId w:val="342"/>
        </w:numPr>
        <w:tabs>
          <w:tab w:pos="2107" w:val="left" w:leader="none"/>
        </w:tabs>
        <w:spacing w:line="208" w:lineRule="auto" w:before="240" w:after="0"/>
        <w:ind w:left="1656" w:right="973" w:firstLine="0"/>
        <w:jc w:val="left"/>
        <w:rPr>
          <w:sz w:val="24"/>
        </w:rPr>
      </w:pPr>
      <w:r>
        <w:rPr>
          <w:sz w:val="24"/>
        </w:rPr>
        <w:t>Vehicles used to transport children are maintained in a clean, safe operating</w:t>
      </w:r>
      <w:r>
        <w:rPr>
          <w:spacing w:val="-5"/>
          <w:sz w:val="24"/>
        </w:rPr>
        <w:t> </w:t>
      </w:r>
      <w:r>
        <w:rPr>
          <w:sz w:val="24"/>
        </w:rPr>
        <w:t>condition,</w:t>
      </w:r>
      <w:r>
        <w:rPr>
          <w:spacing w:val="-4"/>
          <w:sz w:val="24"/>
        </w:rPr>
        <w:t> </w:t>
      </w:r>
      <w:r>
        <w:rPr>
          <w:sz w:val="24"/>
        </w:rPr>
        <w:t>free</w:t>
      </w:r>
      <w:r>
        <w:rPr>
          <w:spacing w:val="-5"/>
          <w:sz w:val="24"/>
        </w:rPr>
        <w:t> </w:t>
      </w:r>
      <w:r>
        <w:rPr>
          <w:sz w:val="24"/>
        </w:rPr>
        <w:t>of</w:t>
      </w:r>
      <w:r>
        <w:rPr>
          <w:spacing w:val="-4"/>
          <w:sz w:val="24"/>
        </w:rPr>
        <w:t> </w:t>
      </w:r>
      <w:r>
        <w:rPr>
          <w:sz w:val="24"/>
        </w:rPr>
        <w:t>hazardous</w:t>
      </w:r>
      <w:r>
        <w:rPr>
          <w:spacing w:val="-5"/>
          <w:sz w:val="24"/>
        </w:rPr>
        <w:t> </w:t>
      </w:r>
      <w:r>
        <w:rPr>
          <w:sz w:val="24"/>
        </w:rPr>
        <w:t>objects</w:t>
      </w:r>
      <w:r>
        <w:rPr>
          <w:spacing w:val="-5"/>
          <w:sz w:val="24"/>
        </w:rPr>
        <w:t> </w:t>
      </w:r>
      <w:r>
        <w:rPr>
          <w:sz w:val="24"/>
        </w:rPr>
        <w:t>or</w:t>
      </w:r>
      <w:r>
        <w:rPr>
          <w:spacing w:val="-4"/>
          <w:sz w:val="24"/>
        </w:rPr>
        <w:t> </w:t>
      </w:r>
      <w:r>
        <w:rPr>
          <w:sz w:val="24"/>
        </w:rPr>
        <w:t>other</w:t>
      </w:r>
      <w:r>
        <w:rPr>
          <w:spacing w:val="-6"/>
          <w:sz w:val="24"/>
        </w:rPr>
        <w:t> </w:t>
      </w:r>
      <w:r>
        <w:rPr>
          <w:sz w:val="24"/>
        </w:rPr>
        <w:t>nonessential</w:t>
      </w:r>
      <w:r>
        <w:rPr>
          <w:spacing w:val="-4"/>
          <w:sz w:val="24"/>
        </w:rPr>
        <w:t> </w:t>
      </w:r>
      <w:r>
        <w:rPr>
          <w:sz w:val="24"/>
        </w:rPr>
        <w:t>items that could injure children.</w:t>
      </w:r>
    </w:p>
    <w:p>
      <w:pPr>
        <w:pStyle w:val="ListParagraph"/>
        <w:numPr>
          <w:ilvl w:val="2"/>
          <w:numId w:val="342"/>
        </w:numPr>
        <w:tabs>
          <w:tab w:pos="2122" w:val="left" w:leader="none"/>
        </w:tabs>
        <w:spacing w:line="208" w:lineRule="auto" w:before="240" w:after="0"/>
        <w:ind w:left="1656" w:right="725" w:firstLine="0"/>
        <w:jc w:val="left"/>
        <w:rPr>
          <w:sz w:val="24"/>
        </w:rPr>
      </w:pPr>
      <w:r>
        <w:rPr>
          <w:sz w:val="24"/>
        </w:rPr>
        <w:t>Children</w:t>
      </w:r>
      <w:r>
        <w:rPr>
          <w:spacing w:val="-4"/>
          <w:sz w:val="24"/>
        </w:rPr>
        <w:t> </w:t>
      </w:r>
      <w:r>
        <w:rPr>
          <w:sz w:val="24"/>
        </w:rPr>
        <w:t>are</w:t>
      </w:r>
      <w:r>
        <w:rPr>
          <w:spacing w:val="-4"/>
          <w:sz w:val="24"/>
        </w:rPr>
        <w:t> </w:t>
      </w:r>
      <w:r>
        <w:rPr>
          <w:sz w:val="24"/>
        </w:rPr>
        <w:t>not</w:t>
      </w:r>
      <w:r>
        <w:rPr>
          <w:spacing w:val="-3"/>
          <w:sz w:val="24"/>
        </w:rPr>
        <w:t> </w:t>
      </w:r>
      <w:r>
        <w:rPr>
          <w:sz w:val="24"/>
        </w:rPr>
        <w:t>transported</w:t>
      </w:r>
      <w:r>
        <w:rPr>
          <w:spacing w:val="-4"/>
          <w:sz w:val="24"/>
        </w:rPr>
        <w:t> </w:t>
      </w:r>
      <w:r>
        <w:rPr>
          <w:sz w:val="24"/>
        </w:rPr>
        <w:t>in</w:t>
      </w:r>
      <w:r>
        <w:rPr>
          <w:spacing w:val="-4"/>
          <w:sz w:val="24"/>
        </w:rPr>
        <w:t> </w:t>
      </w:r>
      <w:r>
        <w:rPr>
          <w:sz w:val="24"/>
        </w:rPr>
        <w:t>vehicles</w:t>
      </w:r>
      <w:r>
        <w:rPr>
          <w:spacing w:val="-3"/>
          <w:sz w:val="24"/>
        </w:rPr>
        <w:t> </w:t>
      </w:r>
      <w:r>
        <w:rPr>
          <w:sz w:val="24"/>
        </w:rPr>
        <w:t>or</w:t>
      </w:r>
      <w:r>
        <w:rPr>
          <w:spacing w:val="-3"/>
          <w:sz w:val="24"/>
        </w:rPr>
        <w:t> </w:t>
      </w:r>
      <w:r>
        <w:rPr>
          <w:sz w:val="24"/>
        </w:rPr>
        <w:t>parts</w:t>
      </w:r>
      <w:r>
        <w:rPr>
          <w:spacing w:val="-4"/>
          <w:sz w:val="24"/>
        </w:rPr>
        <w:t> </w:t>
      </w:r>
      <w:r>
        <w:rPr>
          <w:sz w:val="24"/>
        </w:rPr>
        <w:t>of</w:t>
      </w:r>
      <w:r>
        <w:rPr>
          <w:spacing w:val="-5"/>
          <w:sz w:val="24"/>
        </w:rPr>
        <w:t> </w:t>
      </w:r>
      <w:r>
        <w:rPr>
          <w:sz w:val="24"/>
        </w:rPr>
        <w:t>vehicles,</w:t>
      </w:r>
      <w:r>
        <w:rPr>
          <w:spacing w:val="-3"/>
          <w:sz w:val="24"/>
        </w:rPr>
        <w:t> </w:t>
      </w:r>
      <w:r>
        <w:rPr>
          <w:sz w:val="24"/>
        </w:rPr>
        <w:t>which</w:t>
      </w:r>
      <w:r>
        <w:rPr>
          <w:spacing w:val="-4"/>
          <w:sz w:val="24"/>
        </w:rPr>
        <w:t> </w:t>
      </w:r>
      <w:r>
        <w:rPr>
          <w:sz w:val="24"/>
        </w:rPr>
        <w:t>were not designed for the purpose of transporting people, for example, truck beds, campers, and trailers.</w:t>
      </w:r>
    </w:p>
    <w:p>
      <w:pPr>
        <w:pStyle w:val="ListParagraph"/>
        <w:numPr>
          <w:ilvl w:val="2"/>
          <w:numId w:val="342"/>
        </w:numPr>
        <w:tabs>
          <w:tab w:pos="2069" w:val="left" w:leader="none"/>
        </w:tabs>
        <w:spacing w:line="208" w:lineRule="auto" w:before="239" w:after="0"/>
        <w:ind w:left="1656" w:right="1512" w:firstLine="0"/>
        <w:jc w:val="left"/>
        <w:rPr>
          <w:sz w:val="24"/>
        </w:rPr>
      </w:pPr>
      <w:r>
        <w:rPr>
          <w:sz w:val="24"/>
        </w:rPr>
        <w:t>Each</w:t>
      </w:r>
      <w:r>
        <w:rPr>
          <w:spacing w:val="-4"/>
          <w:sz w:val="24"/>
        </w:rPr>
        <w:t> </w:t>
      </w:r>
      <w:r>
        <w:rPr>
          <w:sz w:val="24"/>
        </w:rPr>
        <w:t>vehicle</w:t>
      </w:r>
      <w:r>
        <w:rPr>
          <w:spacing w:val="-4"/>
          <w:sz w:val="24"/>
        </w:rPr>
        <w:t> </w:t>
      </w:r>
      <w:r>
        <w:rPr>
          <w:sz w:val="24"/>
        </w:rPr>
        <w:t>must</w:t>
      </w:r>
      <w:r>
        <w:rPr>
          <w:spacing w:val="-5"/>
          <w:sz w:val="24"/>
        </w:rPr>
        <w:t> </w:t>
      </w:r>
      <w:r>
        <w:rPr>
          <w:sz w:val="24"/>
        </w:rPr>
        <w:t>have</w:t>
      </w:r>
      <w:r>
        <w:rPr>
          <w:spacing w:val="-4"/>
          <w:sz w:val="24"/>
        </w:rPr>
        <w:t> </w:t>
      </w:r>
      <w:r>
        <w:rPr>
          <w:sz w:val="24"/>
        </w:rPr>
        <w:t>door</w:t>
      </w:r>
      <w:r>
        <w:rPr>
          <w:spacing w:val="-3"/>
          <w:sz w:val="24"/>
        </w:rPr>
        <w:t> </w:t>
      </w:r>
      <w:r>
        <w:rPr>
          <w:sz w:val="24"/>
        </w:rPr>
        <w:t>locks.</w:t>
      </w:r>
      <w:r>
        <w:rPr>
          <w:spacing w:val="40"/>
          <w:sz w:val="24"/>
        </w:rPr>
        <w:t> </w:t>
      </w:r>
      <w:r>
        <w:rPr>
          <w:sz w:val="24"/>
        </w:rPr>
        <w:t>The</w:t>
      </w:r>
      <w:r>
        <w:rPr>
          <w:spacing w:val="-4"/>
          <w:sz w:val="24"/>
        </w:rPr>
        <w:t> </w:t>
      </w:r>
      <w:r>
        <w:rPr>
          <w:sz w:val="24"/>
        </w:rPr>
        <w:t>driver</w:t>
      </w:r>
      <w:r>
        <w:rPr>
          <w:spacing w:val="-3"/>
          <w:sz w:val="24"/>
        </w:rPr>
        <w:t> </w:t>
      </w:r>
      <w:r>
        <w:rPr>
          <w:sz w:val="24"/>
        </w:rPr>
        <w:t>is</w:t>
      </w:r>
      <w:r>
        <w:rPr>
          <w:spacing w:val="-4"/>
          <w:sz w:val="24"/>
        </w:rPr>
        <w:t> </w:t>
      </w:r>
      <w:r>
        <w:rPr>
          <w:sz w:val="24"/>
        </w:rPr>
        <w:t>responsible</w:t>
      </w:r>
      <w:r>
        <w:rPr>
          <w:spacing w:val="-4"/>
          <w:sz w:val="24"/>
        </w:rPr>
        <w:t> </w:t>
      </w:r>
      <w:r>
        <w:rPr>
          <w:sz w:val="24"/>
        </w:rPr>
        <w:t>for keeping the doors locked when the vehicle is moving.</w:t>
      </w:r>
    </w:p>
    <w:p>
      <w:pPr>
        <w:pStyle w:val="ListParagraph"/>
        <w:numPr>
          <w:ilvl w:val="2"/>
          <w:numId w:val="342"/>
        </w:numPr>
        <w:tabs>
          <w:tab w:pos="2122" w:val="left" w:leader="none"/>
        </w:tabs>
        <w:spacing w:line="208" w:lineRule="auto" w:before="240" w:after="0"/>
        <w:ind w:left="1656" w:right="1019" w:firstLine="0"/>
        <w:jc w:val="left"/>
        <w:rPr>
          <w:sz w:val="24"/>
        </w:rPr>
      </w:pPr>
      <w:r>
        <w:rPr>
          <w:sz w:val="24"/>
        </w:rPr>
        <w:t>The</w:t>
      </w:r>
      <w:r>
        <w:rPr>
          <w:spacing w:val="-6"/>
          <w:sz w:val="24"/>
        </w:rPr>
        <w:t> </w:t>
      </w:r>
      <w:r>
        <w:rPr>
          <w:sz w:val="24"/>
        </w:rPr>
        <w:t>transporting</w:t>
      </w:r>
      <w:r>
        <w:rPr>
          <w:spacing w:val="-5"/>
          <w:sz w:val="24"/>
        </w:rPr>
        <w:t> </w:t>
      </w:r>
      <w:r>
        <w:rPr>
          <w:sz w:val="24"/>
        </w:rPr>
        <w:t>vehicle</w:t>
      </w:r>
      <w:r>
        <w:rPr>
          <w:spacing w:val="-5"/>
          <w:sz w:val="24"/>
        </w:rPr>
        <w:t> </w:t>
      </w:r>
      <w:r>
        <w:rPr>
          <w:sz w:val="24"/>
        </w:rPr>
        <w:t>is</w:t>
      </w:r>
      <w:r>
        <w:rPr>
          <w:spacing w:val="-5"/>
          <w:sz w:val="24"/>
        </w:rPr>
        <w:t> </w:t>
      </w:r>
      <w:r>
        <w:rPr>
          <w:sz w:val="24"/>
        </w:rPr>
        <w:t>covered</w:t>
      </w:r>
      <w:r>
        <w:rPr>
          <w:spacing w:val="-5"/>
          <w:sz w:val="24"/>
        </w:rPr>
        <w:t> </w:t>
      </w:r>
      <w:r>
        <w:rPr>
          <w:sz w:val="24"/>
        </w:rPr>
        <w:t>by</w:t>
      </w:r>
      <w:r>
        <w:rPr>
          <w:spacing w:val="-5"/>
          <w:sz w:val="24"/>
        </w:rPr>
        <w:t> </w:t>
      </w:r>
      <w:r>
        <w:rPr>
          <w:sz w:val="24"/>
        </w:rPr>
        <w:t>medical</w:t>
      </w:r>
      <w:r>
        <w:rPr>
          <w:spacing w:val="-5"/>
          <w:sz w:val="24"/>
        </w:rPr>
        <w:t> </w:t>
      </w:r>
      <w:r>
        <w:rPr>
          <w:sz w:val="24"/>
        </w:rPr>
        <w:t>and</w:t>
      </w:r>
      <w:r>
        <w:rPr>
          <w:spacing w:val="-5"/>
          <w:sz w:val="24"/>
        </w:rPr>
        <w:t> </w:t>
      </w:r>
      <w:r>
        <w:rPr>
          <w:sz w:val="24"/>
        </w:rPr>
        <w:t>liability</w:t>
      </w:r>
      <w:r>
        <w:rPr>
          <w:spacing w:val="-5"/>
          <w:sz w:val="24"/>
        </w:rPr>
        <w:t> </w:t>
      </w:r>
      <w:r>
        <w:rPr>
          <w:sz w:val="24"/>
        </w:rPr>
        <w:t>insurance as required by Oklahoma laws.</w:t>
      </w:r>
    </w:p>
    <w:p>
      <w:pPr>
        <w:pStyle w:val="ListParagraph"/>
        <w:numPr>
          <w:ilvl w:val="2"/>
          <w:numId w:val="342"/>
        </w:numPr>
        <w:tabs>
          <w:tab w:pos="2174" w:val="left" w:leader="none"/>
        </w:tabs>
        <w:spacing w:line="208" w:lineRule="auto" w:before="240" w:after="0"/>
        <w:ind w:left="1656" w:right="1176" w:firstLine="0"/>
        <w:jc w:val="left"/>
        <w:rPr>
          <w:sz w:val="24"/>
        </w:rPr>
      </w:pPr>
      <w:r>
        <w:rPr>
          <w:sz w:val="24"/>
        </w:rPr>
        <w:t>A</w:t>
      </w:r>
      <w:r>
        <w:rPr>
          <w:spacing w:val="-4"/>
          <w:sz w:val="24"/>
        </w:rPr>
        <w:t> </w:t>
      </w:r>
      <w:r>
        <w:rPr>
          <w:sz w:val="24"/>
        </w:rPr>
        <w:t>vehicle</w:t>
      </w:r>
      <w:r>
        <w:rPr>
          <w:spacing w:val="-4"/>
          <w:sz w:val="24"/>
        </w:rPr>
        <w:t> </w:t>
      </w:r>
      <w:r>
        <w:rPr>
          <w:sz w:val="24"/>
        </w:rPr>
        <w:t>used</w:t>
      </w:r>
      <w:r>
        <w:rPr>
          <w:spacing w:val="-4"/>
          <w:sz w:val="24"/>
        </w:rPr>
        <w:t> </w:t>
      </w:r>
      <w:r>
        <w:rPr>
          <w:sz w:val="24"/>
        </w:rPr>
        <w:t>to</w:t>
      </w:r>
      <w:r>
        <w:rPr>
          <w:spacing w:val="-4"/>
          <w:sz w:val="24"/>
        </w:rPr>
        <w:t> </w:t>
      </w:r>
      <w:r>
        <w:rPr>
          <w:sz w:val="24"/>
        </w:rPr>
        <w:t>transport</w:t>
      </w:r>
      <w:r>
        <w:rPr>
          <w:spacing w:val="-3"/>
          <w:sz w:val="24"/>
        </w:rPr>
        <w:t> </w:t>
      </w:r>
      <w:r>
        <w:rPr>
          <w:sz w:val="24"/>
        </w:rPr>
        <w:t>children</w:t>
      </w:r>
      <w:r>
        <w:rPr>
          <w:spacing w:val="-4"/>
          <w:sz w:val="24"/>
        </w:rPr>
        <w:t> </w:t>
      </w:r>
      <w:r>
        <w:rPr>
          <w:sz w:val="24"/>
        </w:rPr>
        <w:t>has</w:t>
      </w:r>
      <w:r>
        <w:rPr>
          <w:spacing w:val="-3"/>
          <w:sz w:val="24"/>
        </w:rPr>
        <w:t> </w:t>
      </w:r>
      <w:r>
        <w:rPr>
          <w:sz w:val="24"/>
        </w:rPr>
        <w:t>an</w:t>
      </w:r>
      <w:r>
        <w:rPr>
          <w:spacing w:val="-4"/>
          <w:sz w:val="24"/>
        </w:rPr>
        <w:t> </w:t>
      </w:r>
      <w:r>
        <w:rPr>
          <w:sz w:val="24"/>
        </w:rPr>
        <w:t>operable</w:t>
      </w:r>
      <w:r>
        <w:rPr>
          <w:spacing w:val="-4"/>
          <w:sz w:val="24"/>
        </w:rPr>
        <w:t> </w:t>
      </w:r>
      <w:r>
        <w:rPr>
          <w:sz w:val="24"/>
        </w:rPr>
        <w:t>heater</w:t>
      </w:r>
      <w:r>
        <w:rPr>
          <w:spacing w:val="-3"/>
          <w:sz w:val="24"/>
        </w:rPr>
        <w:t> </w:t>
      </w:r>
      <w:r>
        <w:rPr>
          <w:sz w:val="24"/>
        </w:rPr>
        <w:t>and</w:t>
      </w:r>
      <w:r>
        <w:rPr>
          <w:spacing w:val="-4"/>
          <w:sz w:val="24"/>
        </w:rPr>
        <w:t> </w:t>
      </w:r>
      <w:r>
        <w:rPr>
          <w:sz w:val="24"/>
        </w:rPr>
        <w:t>an adequate ventilation system.</w:t>
      </w:r>
    </w:p>
    <w:p>
      <w:pPr>
        <w:pStyle w:val="ListParagraph"/>
        <w:numPr>
          <w:ilvl w:val="2"/>
          <w:numId w:val="342"/>
        </w:numPr>
        <w:tabs>
          <w:tab w:pos="2227" w:val="left" w:leader="none"/>
        </w:tabs>
        <w:spacing w:line="240" w:lineRule="auto" w:before="211" w:after="0"/>
        <w:ind w:left="2227" w:right="0" w:hanging="571"/>
        <w:jc w:val="left"/>
        <w:rPr>
          <w:sz w:val="24"/>
        </w:rPr>
      </w:pPr>
      <w:r>
        <w:rPr>
          <w:sz w:val="24"/>
        </w:rPr>
        <w:t>A</w:t>
      </w:r>
      <w:r>
        <w:rPr>
          <w:spacing w:val="-2"/>
          <w:sz w:val="24"/>
        </w:rPr>
        <w:t> </w:t>
      </w:r>
      <w:r>
        <w:rPr>
          <w:sz w:val="24"/>
        </w:rPr>
        <w:t>first</w:t>
      </w:r>
      <w:r>
        <w:rPr>
          <w:spacing w:val="-2"/>
          <w:sz w:val="24"/>
        </w:rPr>
        <w:t> </w:t>
      </w:r>
      <w:r>
        <w:rPr>
          <w:sz w:val="24"/>
        </w:rPr>
        <w:t>aid</w:t>
      </w:r>
      <w:r>
        <w:rPr>
          <w:spacing w:val="-2"/>
          <w:sz w:val="24"/>
        </w:rPr>
        <w:t> </w:t>
      </w:r>
      <w:r>
        <w:rPr>
          <w:sz w:val="24"/>
        </w:rPr>
        <w:t>kit is</w:t>
      </w:r>
      <w:r>
        <w:rPr>
          <w:spacing w:val="-1"/>
          <w:sz w:val="24"/>
        </w:rPr>
        <w:t> </w:t>
      </w:r>
      <w:r>
        <w:rPr>
          <w:sz w:val="24"/>
        </w:rPr>
        <w:t>placed</w:t>
      </w:r>
      <w:r>
        <w:rPr>
          <w:spacing w:val="-2"/>
          <w:sz w:val="24"/>
        </w:rPr>
        <w:t> </w:t>
      </w:r>
      <w:r>
        <w:rPr>
          <w:sz w:val="24"/>
        </w:rPr>
        <w:t>on</w:t>
      </w:r>
      <w:r>
        <w:rPr>
          <w:spacing w:val="-1"/>
          <w:sz w:val="24"/>
        </w:rPr>
        <w:t> </w:t>
      </w:r>
      <w:r>
        <w:rPr>
          <w:sz w:val="24"/>
        </w:rPr>
        <w:t>each</w:t>
      </w:r>
      <w:r>
        <w:rPr>
          <w:spacing w:val="-1"/>
          <w:sz w:val="24"/>
        </w:rPr>
        <w:t> </w:t>
      </w:r>
      <w:r>
        <w:rPr>
          <w:spacing w:val="-4"/>
          <w:sz w:val="24"/>
        </w:rPr>
        <w:t>bus.</w:t>
      </w:r>
    </w:p>
    <w:p>
      <w:pPr>
        <w:pStyle w:val="ListParagraph"/>
        <w:spacing w:after="0" w:line="240" w:lineRule="auto"/>
        <w:jc w:val="left"/>
        <w:rPr>
          <w:sz w:val="24"/>
        </w:rPr>
        <w:sectPr>
          <w:pgSz w:w="12240" w:h="15840"/>
          <w:pgMar w:top="1340" w:bottom="280" w:left="1080" w:right="720"/>
        </w:sectPr>
      </w:pPr>
    </w:p>
    <w:p>
      <w:pPr>
        <w:pStyle w:val="ListParagraph"/>
        <w:numPr>
          <w:ilvl w:val="0"/>
          <w:numId w:val="342"/>
        </w:numPr>
        <w:tabs>
          <w:tab w:pos="1217" w:val="left" w:leader="none"/>
        </w:tabs>
        <w:spacing w:line="208" w:lineRule="auto" w:before="96" w:after="0"/>
        <w:ind w:left="791" w:right="949" w:firstLine="0"/>
        <w:jc w:val="left"/>
        <w:rPr>
          <w:sz w:val="24"/>
        </w:rPr>
      </w:pPr>
      <w:r>
        <w:rPr>
          <w:b/>
          <w:sz w:val="24"/>
        </w:rPr>
        <w:t>Report of injuries, fires, assaults, etc.</w:t>
      </w:r>
      <w:r>
        <w:rPr>
          <w:b/>
          <w:spacing w:val="40"/>
          <w:sz w:val="24"/>
        </w:rPr>
        <w:t> </w:t>
      </w:r>
      <w:r>
        <w:rPr>
          <w:sz w:val="24"/>
        </w:rPr>
        <w:t>Should a child be injured in an incident</w:t>
      </w:r>
      <w:r>
        <w:rPr>
          <w:spacing w:val="-3"/>
          <w:sz w:val="24"/>
        </w:rPr>
        <w:t> </w:t>
      </w:r>
      <w:r>
        <w:rPr>
          <w:sz w:val="24"/>
        </w:rPr>
        <w:t>or</w:t>
      </w:r>
      <w:r>
        <w:rPr>
          <w:spacing w:val="-5"/>
          <w:sz w:val="24"/>
        </w:rPr>
        <w:t> </w:t>
      </w:r>
      <w:r>
        <w:rPr>
          <w:sz w:val="24"/>
        </w:rPr>
        <w:t>accident,</w:t>
      </w:r>
      <w:r>
        <w:rPr>
          <w:spacing w:val="-3"/>
          <w:sz w:val="24"/>
        </w:rPr>
        <w:t> </w:t>
      </w:r>
      <w:r>
        <w:rPr>
          <w:sz w:val="24"/>
        </w:rPr>
        <w:t>an</w:t>
      </w:r>
      <w:r>
        <w:rPr>
          <w:spacing w:val="-4"/>
          <w:sz w:val="24"/>
        </w:rPr>
        <w:t> </w:t>
      </w:r>
      <w:r>
        <w:rPr>
          <w:sz w:val="24"/>
        </w:rPr>
        <w:t>accident</w:t>
      </w:r>
      <w:r>
        <w:rPr>
          <w:spacing w:val="-3"/>
          <w:sz w:val="24"/>
        </w:rPr>
        <w:t> </w:t>
      </w:r>
      <w:r>
        <w:rPr>
          <w:sz w:val="24"/>
        </w:rPr>
        <w:t>report</w:t>
      </w:r>
      <w:r>
        <w:rPr>
          <w:spacing w:val="-3"/>
          <w:sz w:val="24"/>
        </w:rPr>
        <w:t> </w:t>
      </w:r>
      <w:r>
        <w:rPr>
          <w:sz w:val="24"/>
        </w:rPr>
        <w:t>is</w:t>
      </w:r>
      <w:r>
        <w:rPr>
          <w:spacing w:val="-4"/>
          <w:sz w:val="24"/>
        </w:rPr>
        <w:t> </w:t>
      </w:r>
      <w:r>
        <w:rPr>
          <w:sz w:val="24"/>
        </w:rPr>
        <w:t>completed.</w:t>
      </w:r>
      <w:r>
        <w:rPr>
          <w:spacing w:val="40"/>
          <w:sz w:val="24"/>
        </w:rPr>
        <w:t> </w:t>
      </w:r>
      <w:r>
        <w:rPr>
          <w:sz w:val="24"/>
        </w:rPr>
        <w:t>The</w:t>
      </w:r>
      <w:r>
        <w:rPr>
          <w:spacing w:val="-4"/>
          <w:sz w:val="24"/>
        </w:rPr>
        <w:t> </w:t>
      </w:r>
      <w:r>
        <w:rPr>
          <w:sz w:val="24"/>
        </w:rPr>
        <w:t>parents</w:t>
      </w:r>
      <w:r>
        <w:rPr>
          <w:spacing w:val="-4"/>
          <w:sz w:val="24"/>
        </w:rPr>
        <w:t> </w:t>
      </w:r>
      <w:r>
        <w:rPr>
          <w:sz w:val="24"/>
        </w:rPr>
        <w:t>or</w:t>
      </w:r>
      <w:r>
        <w:rPr>
          <w:spacing w:val="-3"/>
          <w:sz w:val="24"/>
        </w:rPr>
        <w:t> </w:t>
      </w:r>
      <w:r>
        <w:rPr>
          <w:sz w:val="24"/>
        </w:rPr>
        <w:t>the</w:t>
      </w:r>
      <w:r>
        <w:rPr>
          <w:spacing w:val="-4"/>
          <w:sz w:val="24"/>
        </w:rPr>
        <w:t> </w:t>
      </w:r>
      <w:r>
        <w:rPr>
          <w:sz w:val="24"/>
        </w:rPr>
        <w:t>guardian are</w:t>
      </w:r>
      <w:r>
        <w:rPr>
          <w:spacing w:val="-2"/>
          <w:sz w:val="24"/>
        </w:rPr>
        <w:t> </w:t>
      </w:r>
      <w:r>
        <w:rPr>
          <w:sz w:val="24"/>
        </w:rPr>
        <w:t>to</w:t>
      </w:r>
      <w:r>
        <w:rPr>
          <w:spacing w:val="-2"/>
          <w:sz w:val="24"/>
        </w:rPr>
        <w:t> </w:t>
      </w:r>
      <w:r>
        <w:rPr>
          <w:sz w:val="24"/>
        </w:rPr>
        <w:t>be</w:t>
      </w:r>
      <w:r>
        <w:rPr>
          <w:spacing w:val="-2"/>
          <w:sz w:val="24"/>
        </w:rPr>
        <w:t> </w:t>
      </w:r>
      <w:r>
        <w:rPr>
          <w:sz w:val="24"/>
        </w:rPr>
        <w:t>notified</w:t>
      </w:r>
      <w:r>
        <w:rPr>
          <w:spacing w:val="-2"/>
          <w:sz w:val="24"/>
        </w:rPr>
        <w:t> </w:t>
      </w:r>
      <w:r>
        <w:rPr>
          <w:sz w:val="24"/>
        </w:rPr>
        <w:t>of</w:t>
      </w:r>
      <w:r>
        <w:rPr>
          <w:spacing w:val="-1"/>
          <w:sz w:val="24"/>
        </w:rPr>
        <w:t> </w:t>
      </w:r>
      <w:r>
        <w:rPr>
          <w:sz w:val="24"/>
        </w:rPr>
        <w:t>the</w:t>
      </w:r>
      <w:r>
        <w:rPr>
          <w:spacing w:val="-2"/>
          <w:sz w:val="24"/>
        </w:rPr>
        <w:t> </w:t>
      </w:r>
      <w:r>
        <w:rPr>
          <w:sz w:val="24"/>
        </w:rPr>
        <w:t>child's</w:t>
      </w:r>
      <w:r>
        <w:rPr>
          <w:spacing w:val="-2"/>
          <w:sz w:val="24"/>
        </w:rPr>
        <w:t> </w:t>
      </w:r>
      <w:r>
        <w:rPr>
          <w:sz w:val="24"/>
        </w:rPr>
        <w:t>accident</w:t>
      </w:r>
      <w:r>
        <w:rPr>
          <w:spacing w:val="-1"/>
          <w:sz w:val="24"/>
        </w:rPr>
        <w:t> </w:t>
      </w:r>
      <w:r>
        <w:rPr>
          <w:sz w:val="24"/>
        </w:rPr>
        <w:t>and</w:t>
      </w:r>
      <w:r>
        <w:rPr>
          <w:spacing w:val="-2"/>
          <w:sz w:val="24"/>
        </w:rPr>
        <w:t> </w:t>
      </w:r>
      <w:r>
        <w:rPr>
          <w:sz w:val="24"/>
        </w:rPr>
        <w:t>given</w:t>
      </w:r>
      <w:r>
        <w:rPr>
          <w:spacing w:val="-2"/>
          <w:sz w:val="24"/>
        </w:rPr>
        <w:t> </w:t>
      </w:r>
      <w:r>
        <w:rPr>
          <w:sz w:val="24"/>
        </w:rPr>
        <w:t>complete</w:t>
      </w:r>
      <w:r>
        <w:rPr>
          <w:spacing w:val="-2"/>
          <w:sz w:val="24"/>
        </w:rPr>
        <w:t> </w:t>
      </w:r>
      <w:r>
        <w:rPr>
          <w:sz w:val="24"/>
        </w:rPr>
        <w:t>details</w:t>
      </w:r>
      <w:r>
        <w:rPr>
          <w:spacing w:val="-1"/>
          <w:sz w:val="24"/>
        </w:rPr>
        <w:t> </w:t>
      </w:r>
      <w:r>
        <w:rPr>
          <w:sz w:val="24"/>
        </w:rPr>
        <w:t>and</w:t>
      </w:r>
      <w:r>
        <w:rPr>
          <w:spacing w:val="-2"/>
          <w:sz w:val="24"/>
        </w:rPr>
        <w:t> </w:t>
      </w:r>
      <w:r>
        <w:rPr>
          <w:sz w:val="24"/>
        </w:rPr>
        <w:t>a</w:t>
      </w:r>
      <w:r>
        <w:rPr>
          <w:spacing w:val="-2"/>
          <w:sz w:val="24"/>
        </w:rPr>
        <w:t> </w:t>
      </w:r>
      <w:r>
        <w:rPr>
          <w:sz w:val="24"/>
        </w:rPr>
        <w:t>report</w:t>
      </w:r>
      <w:r>
        <w:rPr>
          <w:spacing w:val="-1"/>
          <w:sz w:val="24"/>
        </w:rPr>
        <w:t> </w:t>
      </w:r>
      <w:r>
        <w:rPr>
          <w:sz w:val="24"/>
        </w:rPr>
        <w:t>of the child's condition at the time.</w:t>
      </w:r>
    </w:p>
    <w:p>
      <w:pPr>
        <w:pStyle w:val="ListParagraph"/>
        <w:numPr>
          <w:ilvl w:val="0"/>
          <w:numId w:val="342"/>
        </w:numPr>
        <w:tabs>
          <w:tab w:pos="1217" w:val="left" w:leader="none"/>
        </w:tabs>
        <w:spacing w:line="208" w:lineRule="auto" w:before="239" w:after="0"/>
        <w:ind w:left="791" w:right="760" w:firstLine="0"/>
        <w:jc w:val="left"/>
        <w:rPr>
          <w:sz w:val="24"/>
        </w:rPr>
      </w:pPr>
      <w:r>
        <w:rPr>
          <w:b/>
          <w:sz w:val="24"/>
        </w:rPr>
        <w:t>Fire and safety.</w:t>
      </w:r>
      <w:r>
        <w:rPr>
          <w:b/>
          <w:spacing w:val="40"/>
          <w:sz w:val="24"/>
        </w:rPr>
        <w:t> </w:t>
      </w:r>
      <w:r>
        <w:rPr>
          <w:sz w:val="24"/>
        </w:rPr>
        <w:t>The superintendents and their staffs at OSB and OSD have a responsibility to observe fire and safety regulations and to comply with official inspections.</w:t>
      </w:r>
      <w:r>
        <w:rPr>
          <w:spacing w:val="40"/>
          <w:sz w:val="24"/>
        </w:rPr>
        <w:t> </w:t>
      </w:r>
      <w:r>
        <w:rPr>
          <w:sz w:val="24"/>
        </w:rPr>
        <w:t>Buildings and premises will be maintained in a safe condition and free from fire hazards.</w:t>
      </w:r>
      <w:r>
        <w:rPr>
          <w:spacing w:val="40"/>
          <w:sz w:val="24"/>
        </w:rPr>
        <w:t> </w:t>
      </w:r>
      <w:r>
        <w:rPr>
          <w:sz w:val="24"/>
        </w:rPr>
        <w:t>From time to time, inspections are made by the State Fire Marshall to determine fire and safety precautions taken by the school and the school is expected to correct any deficiencies noted.</w:t>
      </w:r>
      <w:r>
        <w:rPr>
          <w:spacing w:val="40"/>
          <w:sz w:val="24"/>
        </w:rPr>
        <w:t> </w:t>
      </w:r>
      <w:r>
        <w:rPr>
          <w:sz w:val="24"/>
        </w:rPr>
        <w:t>Fire drills shall be conducted on</w:t>
      </w:r>
      <w:r>
        <w:rPr>
          <w:spacing w:val="-3"/>
          <w:sz w:val="24"/>
        </w:rPr>
        <w:t> </w:t>
      </w:r>
      <w:r>
        <w:rPr>
          <w:sz w:val="24"/>
        </w:rPr>
        <w:t>a</w:t>
      </w:r>
      <w:r>
        <w:rPr>
          <w:spacing w:val="-3"/>
          <w:sz w:val="24"/>
        </w:rPr>
        <w:t> </w:t>
      </w:r>
      <w:r>
        <w:rPr>
          <w:sz w:val="24"/>
        </w:rPr>
        <w:t>regular</w:t>
      </w:r>
      <w:r>
        <w:rPr>
          <w:spacing w:val="-2"/>
          <w:sz w:val="24"/>
        </w:rPr>
        <w:t> </w:t>
      </w:r>
      <w:r>
        <w:rPr>
          <w:sz w:val="24"/>
        </w:rPr>
        <w:t>basis</w:t>
      </w:r>
      <w:r>
        <w:rPr>
          <w:spacing w:val="-3"/>
          <w:sz w:val="24"/>
        </w:rPr>
        <w:t> </w:t>
      </w:r>
      <w:r>
        <w:rPr>
          <w:sz w:val="24"/>
        </w:rPr>
        <w:t>in</w:t>
      </w:r>
      <w:r>
        <w:rPr>
          <w:spacing w:val="-3"/>
          <w:sz w:val="24"/>
        </w:rPr>
        <w:t> </w:t>
      </w:r>
      <w:r>
        <w:rPr>
          <w:sz w:val="24"/>
        </w:rPr>
        <w:t>all</w:t>
      </w:r>
      <w:r>
        <w:rPr>
          <w:spacing w:val="-3"/>
          <w:sz w:val="24"/>
        </w:rPr>
        <w:t> </w:t>
      </w:r>
      <w:r>
        <w:rPr>
          <w:sz w:val="24"/>
        </w:rPr>
        <w:t>occupied</w:t>
      </w:r>
      <w:r>
        <w:rPr>
          <w:spacing w:val="-3"/>
          <w:sz w:val="24"/>
        </w:rPr>
        <w:t> </w:t>
      </w:r>
      <w:r>
        <w:rPr>
          <w:sz w:val="24"/>
        </w:rPr>
        <w:t>buildings,</w:t>
      </w:r>
      <w:r>
        <w:rPr>
          <w:spacing w:val="-2"/>
          <w:sz w:val="24"/>
        </w:rPr>
        <w:t> </w:t>
      </w:r>
      <w:r>
        <w:rPr>
          <w:sz w:val="24"/>
        </w:rPr>
        <w:t>and</w:t>
      </w:r>
      <w:r>
        <w:rPr>
          <w:spacing w:val="-3"/>
          <w:sz w:val="24"/>
        </w:rPr>
        <w:t> </w:t>
      </w:r>
      <w:r>
        <w:rPr>
          <w:sz w:val="24"/>
        </w:rPr>
        <w:t>a</w:t>
      </w:r>
      <w:r>
        <w:rPr>
          <w:spacing w:val="-3"/>
          <w:sz w:val="24"/>
        </w:rPr>
        <w:t> </w:t>
      </w:r>
      <w:r>
        <w:rPr>
          <w:sz w:val="24"/>
        </w:rPr>
        <w:t>record</w:t>
      </w:r>
      <w:r>
        <w:rPr>
          <w:spacing w:val="-3"/>
          <w:sz w:val="24"/>
        </w:rPr>
        <w:t> </w:t>
      </w:r>
      <w:r>
        <w:rPr>
          <w:sz w:val="24"/>
        </w:rPr>
        <w:t>of</w:t>
      </w:r>
      <w:r>
        <w:rPr>
          <w:spacing w:val="-2"/>
          <w:sz w:val="24"/>
        </w:rPr>
        <w:t> </w:t>
      </w:r>
      <w:r>
        <w:rPr>
          <w:sz w:val="24"/>
        </w:rPr>
        <w:t>such</w:t>
      </w:r>
      <w:r>
        <w:rPr>
          <w:spacing w:val="-3"/>
          <w:sz w:val="24"/>
        </w:rPr>
        <w:t> </w:t>
      </w:r>
      <w:r>
        <w:rPr>
          <w:sz w:val="24"/>
        </w:rPr>
        <w:t>drills</w:t>
      </w:r>
      <w:r>
        <w:rPr>
          <w:spacing w:val="-3"/>
          <w:sz w:val="24"/>
        </w:rPr>
        <w:t> </w:t>
      </w:r>
      <w:r>
        <w:rPr>
          <w:sz w:val="24"/>
        </w:rPr>
        <w:t>maintained</w:t>
      </w:r>
      <w:r>
        <w:rPr>
          <w:spacing w:val="-3"/>
          <w:sz w:val="24"/>
        </w:rPr>
        <w:t> </w:t>
      </w:r>
      <w:r>
        <w:rPr>
          <w:sz w:val="24"/>
        </w:rPr>
        <w:t>in the superintendent's office.</w:t>
      </w:r>
    </w:p>
    <w:p>
      <w:pPr>
        <w:pStyle w:val="ListParagraph"/>
        <w:numPr>
          <w:ilvl w:val="0"/>
          <w:numId w:val="342"/>
        </w:numPr>
        <w:tabs>
          <w:tab w:pos="1217" w:val="left" w:leader="none"/>
        </w:tabs>
        <w:spacing w:line="208" w:lineRule="auto" w:before="240" w:after="0"/>
        <w:ind w:left="791" w:right="776" w:firstLine="0"/>
        <w:jc w:val="left"/>
        <w:rPr>
          <w:sz w:val="24"/>
        </w:rPr>
      </w:pPr>
      <w:r>
        <w:rPr>
          <w:b/>
          <w:sz w:val="24"/>
        </w:rPr>
        <w:t>Sanitation.</w:t>
      </w:r>
      <w:r>
        <w:rPr>
          <w:b/>
          <w:spacing w:val="40"/>
          <w:sz w:val="24"/>
        </w:rPr>
        <w:t> </w:t>
      </w:r>
      <w:r>
        <w:rPr>
          <w:sz w:val="24"/>
        </w:rPr>
        <w:t>The superintendents and their staffs at OSB and OSD have a responsibility to see that sanitary conditions at the schools meet acceptable standards</w:t>
      </w:r>
      <w:r>
        <w:rPr>
          <w:spacing w:val="-4"/>
          <w:sz w:val="24"/>
        </w:rPr>
        <w:t> </w:t>
      </w:r>
      <w:r>
        <w:rPr>
          <w:sz w:val="24"/>
        </w:rPr>
        <w:t>as</w:t>
      </w:r>
      <w:r>
        <w:rPr>
          <w:spacing w:val="-4"/>
          <w:sz w:val="24"/>
        </w:rPr>
        <w:t> </w:t>
      </w:r>
      <w:r>
        <w:rPr>
          <w:sz w:val="24"/>
        </w:rPr>
        <w:t>prescribed</w:t>
      </w:r>
      <w:r>
        <w:rPr>
          <w:spacing w:val="-4"/>
          <w:sz w:val="24"/>
        </w:rPr>
        <w:t> </w:t>
      </w:r>
      <w:r>
        <w:rPr>
          <w:sz w:val="24"/>
        </w:rPr>
        <w:t>by</w:t>
      </w:r>
      <w:r>
        <w:rPr>
          <w:spacing w:val="-4"/>
          <w:sz w:val="24"/>
        </w:rPr>
        <w:t> </w:t>
      </w:r>
      <w:r>
        <w:rPr>
          <w:sz w:val="24"/>
        </w:rPr>
        <w:t>public</w:t>
      </w:r>
      <w:r>
        <w:rPr>
          <w:spacing w:val="-4"/>
          <w:sz w:val="24"/>
        </w:rPr>
        <w:t> </w:t>
      </w:r>
      <w:r>
        <w:rPr>
          <w:sz w:val="24"/>
        </w:rPr>
        <w:t>health</w:t>
      </w:r>
      <w:r>
        <w:rPr>
          <w:spacing w:val="-4"/>
          <w:sz w:val="24"/>
        </w:rPr>
        <w:t> </w:t>
      </w:r>
      <w:r>
        <w:rPr>
          <w:sz w:val="24"/>
        </w:rPr>
        <w:t>authorities.</w:t>
      </w:r>
      <w:r>
        <w:rPr>
          <w:spacing w:val="40"/>
          <w:sz w:val="24"/>
        </w:rPr>
        <w:t> </w:t>
      </w:r>
      <w:r>
        <w:rPr>
          <w:sz w:val="24"/>
        </w:rPr>
        <w:t>From</w:t>
      </w:r>
      <w:r>
        <w:rPr>
          <w:spacing w:val="-3"/>
          <w:sz w:val="24"/>
        </w:rPr>
        <w:t> </w:t>
      </w:r>
      <w:r>
        <w:rPr>
          <w:sz w:val="24"/>
        </w:rPr>
        <w:t>time</w:t>
      </w:r>
      <w:r>
        <w:rPr>
          <w:spacing w:val="-5"/>
          <w:sz w:val="24"/>
        </w:rPr>
        <w:t> </w:t>
      </w:r>
      <w:r>
        <w:rPr>
          <w:sz w:val="24"/>
        </w:rPr>
        <w:t>to</w:t>
      </w:r>
      <w:r>
        <w:rPr>
          <w:spacing w:val="-5"/>
          <w:sz w:val="24"/>
        </w:rPr>
        <w:t> </w:t>
      </w:r>
      <w:r>
        <w:rPr>
          <w:sz w:val="24"/>
        </w:rPr>
        <w:t>time,</w:t>
      </w:r>
      <w:r>
        <w:rPr>
          <w:spacing w:val="-3"/>
          <w:sz w:val="24"/>
        </w:rPr>
        <w:t> </w:t>
      </w:r>
      <w:r>
        <w:rPr>
          <w:sz w:val="24"/>
        </w:rPr>
        <w:t>inspections are made of such matters under the direction of the State Department of Health, and the school is expected to correct any deficiencies found.</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7-1-05</w:t>
      </w:r>
      <w:r>
        <w:rPr>
          <w:sz w:val="22"/>
        </w:rPr>
        <w:tab/>
        <w:t>PT Memo #06-01</w:t>
      </w:r>
    </w:p>
    <w:p>
      <w:pPr>
        <w:spacing w:before="1"/>
        <w:ind w:left="1439" w:right="775" w:firstLine="0"/>
        <w:jc w:val="left"/>
        <w:rPr>
          <w:sz w:val="22"/>
        </w:rPr>
      </w:pPr>
      <w:r>
        <w:rPr>
          <w:sz w:val="22"/>
        </w:rPr>
        <w:t>Permanent,</w:t>
      </w:r>
      <w:r>
        <w:rPr>
          <w:spacing w:val="-6"/>
          <w:sz w:val="22"/>
        </w:rPr>
        <w:t> </w:t>
      </w:r>
      <w:r>
        <w:rPr>
          <w:sz w:val="22"/>
        </w:rPr>
        <w:t>clarifying</w:t>
      </w:r>
      <w:r>
        <w:rPr>
          <w:spacing w:val="-7"/>
          <w:sz w:val="22"/>
        </w:rPr>
        <w:t> </w:t>
      </w:r>
      <w:r>
        <w:rPr>
          <w:sz w:val="22"/>
        </w:rPr>
        <w:t>school</w:t>
      </w:r>
      <w:r>
        <w:rPr>
          <w:spacing w:val="-7"/>
          <w:sz w:val="22"/>
        </w:rPr>
        <w:t> </w:t>
      </w:r>
      <w:r>
        <w:rPr>
          <w:sz w:val="22"/>
        </w:rPr>
        <w:t>responsibility,</w:t>
      </w:r>
      <w:r>
        <w:rPr>
          <w:spacing w:val="-7"/>
          <w:sz w:val="22"/>
        </w:rPr>
        <w:t> </w:t>
      </w:r>
      <w:r>
        <w:rPr>
          <w:sz w:val="22"/>
        </w:rPr>
        <w:t>driver</w:t>
      </w:r>
      <w:r>
        <w:rPr>
          <w:spacing w:val="-7"/>
          <w:sz w:val="22"/>
        </w:rPr>
        <w:t> </w:t>
      </w:r>
      <w:r>
        <w:rPr>
          <w:sz w:val="22"/>
        </w:rPr>
        <w:t>qualifications,</w:t>
      </w:r>
      <w:r>
        <w:rPr>
          <w:spacing w:val="-7"/>
          <w:sz w:val="22"/>
        </w:rPr>
        <w:t> </w:t>
      </w:r>
      <w:r>
        <w:rPr>
          <w:sz w:val="22"/>
        </w:rPr>
        <w:t>procedures, passenger restraints and vehicle requirements</w:t>
      </w:r>
    </w:p>
    <w:p>
      <w:pPr>
        <w:spacing w:after="0"/>
        <w:jc w:val="left"/>
        <w:rPr>
          <w:sz w:val="22"/>
        </w:rPr>
        <w:sectPr>
          <w:pgSz w:w="12240" w:h="15840"/>
          <w:pgMar w:top="1340" w:bottom="280" w:left="1080" w:right="720"/>
        </w:sectPr>
      </w:pPr>
    </w:p>
    <w:p>
      <w:pPr>
        <w:pStyle w:val="Heading2"/>
      </w:pPr>
      <w:bookmarkStart w:name="612:20-3-3.  Comprehensive programming f" w:id="342"/>
      <w:bookmarkEnd w:id="342"/>
      <w:r>
        <w:rPr>
          <w:b w:val="0"/>
        </w:rPr>
      </w:r>
      <w:r>
        <w:rPr/>
        <w:t>612:20-3-3.</w:t>
      </w:r>
      <w:r>
        <w:rPr>
          <w:spacing w:val="56"/>
        </w:rPr>
        <w:t> </w:t>
      </w:r>
      <w:r>
        <w:rPr/>
        <w:t>Comprehensive</w:t>
      </w:r>
      <w:r>
        <w:rPr>
          <w:spacing w:val="-4"/>
        </w:rPr>
        <w:t> </w:t>
      </w:r>
      <w:r>
        <w:rPr/>
        <w:t>programming</w:t>
      </w:r>
      <w:r>
        <w:rPr>
          <w:spacing w:val="-4"/>
        </w:rPr>
        <w:t> </w:t>
      </w:r>
      <w:r>
        <w:rPr/>
        <w:t>for</w:t>
      </w:r>
      <w:r>
        <w:rPr>
          <w:spacing w:val="-4"/>
        </w:rPr>
        <w:t> </w:t>
      </w:r>
      <w:r>
        <w:rPr/>
        <w:t>all</w:t>
      </w:r>
      <w:r>
        <w:rPr>
          <w:spacing w:val="-3"/>
        </w:rPr>
        <w:t> </w:t>
      </w:r>
      <w:r>
        <w:rPr/>
        <w:t>basic</w:t>
      </w:r>
      <w:r>
        <w:rPr>
          <w:spacing w:val="-4"/>
        </w:rPr>
        <w:t> </w:t>
      </w:r>
      <w:r>
        <w:rPr>
          <w:spacing w:val="-2"/>
        </w:rPr>
        <w:t>needs</w:t>
      </w:r>
    </w:p>
    <w:p>
      <w:pPr>
        <w:pStyle w:val="BodyText"/>
        <w:spacing w:line="208" w:lineRule="auto" w:before="233"/>
        <w:ind w:right="855" w:firstLine="432"/>
      </w:pPr>
      <w:r>
        <w:rPr/>
        <w:t>Each student's educational needs will be addressed in an Individualized Educational Plan (IEP) developed in a manner consistent with 20 U.S.C., 1400-1485 and</w:t>
      </w:r>
      <w:r>
        <w:rPr>
          <w:spacing w:val="-4"/>
        </w:rPr>
        <w:t> </w:t>
      </w:r>
      <w:r>
        <w:rPr/>
        <w:t>State</w:t>
      </w:r>
      <w:r>
        <w:rPr>
          <w:spacing w:val="-4"/>
        </w:rPr>
        <w:t> </w:t>
      </w:r>
      <w:r>
        <w:rPr/>
        <w:t>Department</w:t>
      </w:r>
      <w:r>
        <w:rPr>
          <w:spacing w:val="-3"/>
        </w:rPr>
        <w:t> </w:t>
      </w:r>
      <w:r>
        <w:rPr/>
        <w:t>of</w:t>
      </w:r>
      <w:r>
        <w:rPr>
          <w:spacing w:val="-5"/>
        </w:rPr>
        <w:t> </w:t>
      </w:r>
      <w:r>
        <w:rPr/>
        <w:t>Education</w:t>
      </w:r>
      <w:r>
        <w:rPr>
          <w:spacing w:val="-4"/>
        </w:rPr>
        <w:t> </w:t>
      </w:r>
      <w:r>
        <w:rPr/>
        <w:t>guidelines.</w:t>
      </w:r>
      <w:r>
        <w:rPr>
          <w:spacing w:val="40"/>
        </w:rPr>
        <w:t> </w:t>
      </w:r>
      <w:r>
        <w:rPr/>
        <w:t>More</w:t>
      </w:r>
      <w:r>
        <w:rPr>
          <w:spacing w:val="-4"/>
        </w:rPr>
        <w:t> </w:t>
      </w:r>
      <w:r>
        <w:rPr/>
        <w:t>specific</w:t>
      </w:r>
      <w:r>
        <w:rPr>
          <w:spacing w:val="-4"/>
        </w:rPr>
        <w:t> </w:t>
      </w:r>
      <w:r>
        <w:rPr/>
        <w:t>information</w:t>
      </w:r>
      <w:r>
        <w:rPr>
          <w:spacing w:val="-4"/>
        </w:rPr>
        <w:t> </w:t>
      </w:r>
      <w:r>
        <w:rPr/>
        <w:t>regarding</w:t>
      </w:r>
      <w:r>
        <w:rPr>
          <w:spacing w:val="-4"/>
        </w:rPr>
        <w:t> </w:t>
      </w:r>
      <w:r>
        <w:rPr/>
        <w:t>the IEP may be requested from the superintendent's office.</w:t>
      </w:r>
    </w:p>
    <w:p>
      <w:pPr>
        <w:pStyle w:val="Heading2"/>
        <w:numPr>
          <w:ilvl w:val="0"/>
          <w:numId w:val="343"/>
        </w:numPr>
        <w:tabs>
          <w:tab w:pos="1217" w:val="left" w:leader="none"/>
        </w:tabs>
        <w:spacing w:line="240" w:lineRule="auto" w:before="210" w:after="0"/>
        <w:ind w:left="1217" w:right="0" w:hanging="425"/>
        <w:jc w:val="left"/>
      </w:pPr>
      <w:r>
        <w:rPr/>
        <w:t>Meeting</w:t>
      </w:r>
      <w:r>
        <w:rPr>
          <w:spacing w:val="-5"/>
        </w:rPr>
        <w:t> </w:t>
      </w:r>
      <w:r>
        <w:rPr/>
        <w:t>physical</w:t>
      </w:r>
      <w:r>
        <w:rPr>
          <w:spacing w:val="-4"/>
        </w:rPr>
        <w:t> </w:t>
      </w:r>
      <w:r>
        <w:rPr>
          <w:spacing w:val="-2"/>
        </w:rPr>
        <w:t>needs.</w:t>
      </w:r>
    </w:p>
    <w:p>
      <w:pPr>
        <w:pStyle w:val="ListParagraph"/>
        <w:numPr>
          <w:ilvl w:val="1"/>
          <w:numId w:val="343"/>
        </w:numPr>
        <w:tabs>
          <w:tab w:pos="1677" w:val="left" w:leader="none"/>
        </w:tabs>
        <w:spacing w:line="208" w:lineRule="auto" w:before="233" w:after="0"/>
        <w:ind w:left="1224" w:right="809" w:firstLine="0"/>
        <w:jc w:val="left"/>
        <w:rPr>
          <w:sz w:val="24"/>
        </w:rPr>
      </w:pPr>
      <w:r>
        <w:rPr>
          <w:b/>
          <w:sz w:val="24"/>
        </w:rPr>
        <w:t>Food</w:t>
      </w:r>
      <w:r>
        <w:rPr>
          <w:b/>
          <w:spacing w:val="-4"/>
          <w:sz w:val="24"/>
        </w:rPr>
        <w:t> </w:t>
      </w:r>
      <w:r>
        <w:rPr>
          <w:b/>
          <w:sz w:val="24"/>
        </w:rPr>
        <w:t>service.</w:t>
      </w:r>
      <w:r>
        <w:rPr>
          <w:b/>
          <w:spacing w:val="40"/>
          <w:sz w:val="24"/>
        </w:rPr>
        <w:t> </w:t>
      </w:r>
      <w:r>
        <w:rPr>
          <w:sz w:val="24"/>
        </w:rPr>
        <w:t>Food</w:t>
      </w:r>
      <w:r>
        <w:rPr>
          <w:spacing w:val="-4"/>
          <w:sz w:val="24"/>
        </w:rPr>
        <w:t> </w:t>
      </w:r>
      <w:r>
        <w:rPr>
          <w:sz w:val="24"/>
        </w:rPr>
        <w:t>must</w:t>
      </w:r>
      <w:r>
        <w:rPr>
          <w:spacing w:val="-3"/>
          <w:sz w:val="24"/>
        </w:rPr>
        <w:t> </w:t>
      </w:r>
      <w:r>
        <w:rPr>
          <w:sz w:val="24"/>
        </w:rPr>
        <w:t>be</w:t>
      </w:r>
      <w:r>
        <w:rPr>
          <w:spacing w:val="-4"/>
          <w:sz w:val="24"/>
        </w:rPr>
        <w:t> </w:t>
      </w:r>
      <w:r>
        <w:rPr>
          <w:sz w:val="24"/>
        </w:rPr>
        <w:t>plentiful</w:t>
      </w:r>
      <w:r>
        <w:rPr>
          <w:spacing w:val="-4"/>
          <w:sz w:val="24"/>
        </w:rPr>
        <w:t> </w:t>
      </w:r>
      <w:r>
        <w:rPr>
          <w:sz w:val="24"/>
        </w:rPr>
        <w:t>to</w:t>
      </w:r>
      <w:r>
        <w:rPr>
          <w:spacing w:val="-4"/>
          <w:sz w:val="24"/>
        </w:rPr>
        <w:t> </w:t>
      </w:r>
      <w:r>
        <w:rPr>
          <w:sz w:val="24"/>
        </w:rPr>
        <w:t>meet</w:t>
      </w:r>
      <w:r>
        <w:rPr>
          <w:spacing w:val="-3"/>
          <w:sz w:val="24"/>
        </w:rPr>
        <w:t> </w:t>
      </w:r>
      <w:r>
        <w:rPr>
          <w:sz w:val="24"/>
        </w:rPr>
        <w:t>the</w:t>
      </w:r>
      <w:r>
        <w:rPr>
          <w:spacing w:val="-4"/>
          <w:sz w:val="24"/>
        </w:rPr>
        <w:t> </w:t>
      </w:r>
      <w:r>
        <w:rPr>
          <w:sz w:val="24"/>
        </w:rPr>
        <w:t>requirements</w:t>
      </w:r>
      <w:r>
        <w:rPr>
          <w:spacing w:val="-4"/>
          <w:sz w:val="24"/>
        </w:rPr>
        <w:t> </w:t>
      </w:r>
      <w:r>
        <w:rPr>
          <w:sz w:val="24"/>
        </w:rPr>
        <w:t>of</w:t>
      </w:r>
      <w:r>
        <w:rPr>
          <w:spacing w:val="-4"/>
          <w:sz w:val="24"/>
        </w:rPr>
        <w:t> </w:t>
      </w:r>
      <w:r>
        <w:rPr>
          <w:sz w:val="24"/>
        </w:rPr>
        <w:t>growing children.</w:t>
      </w:r>
      <w:r>
        <w:rPr>
          <w:spacing w:val="40"/>
          <w:sz w:val="24"/>
        </w:rPr>
        <w:t> </w:t>
      </w:r>
      <w:r>
        <w:rPr>
          <w:sz w:val="24"/>
        </w:rPr>
        <w:t>It must be sanitary, nutritious, attractively served in a pleasant atmosphere, and palatable.</w:t>
      </w:r>
      <w:r>
        <w:rPr>
          <w:spacing w:val="40"/>
          <w:sz w:val="24"/>
        </w:rPr>
        <w:t> </w:t>
      </w:r>
      <w:r>
        <w:rPr>
          <w:sz w:val="24"/>
        </w:rPr>
        <w:t>Menus should vary and reflect sensitive planning by food service staff.</w:t>
      </w:r>
      <w:r>
        <w:rPr>
          <w:spacing w:val="40"/>
          <w:sz w:val="24"/>
        </w:rPr>
        <w:t> </w:t>
      </w:r>
      <w:r>
        <w:rPr>
          <w:sz w:val="24"/>
        </w:rPr>
        <w:t>Employees in direct supervision of children at mealtime should encourage proper eating, both in terms of good manners and adequate diet, stressing the need to eat nutritious foods.</w:t>
      </w:r>
    </w:p>
    <w:p>
      <w:pPr>
        <w:pStyle w:val="ListParagraph"/>
        <w:numPr>
          <w:ilvl w:val="2"/>
          <w:numId w:val="343"/>
        </w:numPr>
        <w:tabs>
          <w:tab w:pos="2001" w:val="left" w:leader="none"/>
        </w:tabs>
        <w:spacing w:line="208" w:lineRule="auto" w:before="240" w:after="0"/>
        <w:ind w:left="1656" w:right="1003" w:firstLine="0"/>
        <w:jc w:val="left"/>
        <w:rPr>
          <w:sz w:val="24"/>
        </w:rPr>
      </w:pPr>
      <w:r>
        <w:rPr>
          <w:sz w:val="24"/>
        </w:rPr>
        <w:t>Menu Planning.</w:t>
      </w:r>
      <w:r>
        <w:rPr>
          <w:spacing w:val="40"/>
          <w:sz w:val="24"/>
        </w:rPr>
        <w:t> </w:t>
      </w:r>
      <w:r>
        <w:rPr>
          <w:sz w:val="24"/>
        </w:rPr>
        <w:t>Menus are planned at least one week in advance. Menus</w:t>
      </w:r>
      <w:r>
        <w:rPr>
          <w:spacing w:val="-4"/>
          <w:sz w:val="24"/>
        </w:rPr>
        <w:t> </w:t>
      </w:r>
      <w:r>
        <w:rPr>
          <w:sz w:val="24"/>
        </w:rPr>
        <w:t>are</w:t>
      </w:r>
      <w:r>
        <w:rPr>
          <w:spacing w:val="-5"/>
          <w:sz w:val="24"/>
        </w:rPr>
        <w:t> </w:t>
      </w:r>
      <w:r>
        <w:rPr>
          <w:sz w:val="24"/>
        </w:rPr>
        <w:t>dated,</w:t>
      </w:r>
      <w:r>
        <w:rPr>
          <w:spacing w:val="-3"/>
          <w:sz w:val="24"/>
        </w:rPr>
        <w:t> </w:t>
      </w:r>
      <w:r>
        <w:rPr>
          <w:sz w:val="24"/>
        </w:rPr>
        <w:t>posted,</w:t>
      </w:r>
      <w:r>
        <w:rPr>
          <w:spacing w:val="-3"/>
          <w:sz w:val="24"/>
        </w:rPr>
        <w:t> </w:t>
      </w:r>
      <w:r>
        <w:rPr>
          <w:sz w:val="24"/>
        </w:rPr>
        <w:t>and</w:t>
      </w:r>
      <w:r>
        <w:rPr>
          <w:spacing w:val="-4"/>
          <w:sz w:val="24"/>
        </w:rPr>
        <w:t> </w:t>
      </w:r>
      <w:r>
        <w:rPr>
          <w:sz w:val="24"/>
        </w:rPr>
        <w:t>kept</w:t>
      </w:r>
      <w:r>
        <w:rPr>
          <w:spacing w:val="-3"/>
          <w:sz w:val="24"/>
        </w:rPr>
        <w:t> </w:t>
      </w:r>
      <w:r>
        <w:rPr>
          <w:sz w:val="24"/>
        </w:rPr>
        <w:t>on</w:t>
      </w:r>
      <w:r>
        <w:rPr>
          <w:spacing w:val="-4"/>
          <w:sz w:val="24"/>
        </w:rPr>
        <w:t> </w:t>
      </w:r>
      <w:r>
        <w:rPr>
          <w:sz w:val="24"/>
        </w:rPr>
        <w:t>file</w:t>
      </w:r>
      <w:r>
        <w:rPr>
          <w:spacing w:val="-4"/>
          <w:sz w:val="24"/>
        </w:rPr>
        <w:t> </w:t>
      </w:r>
      <w:r>
        <w:rPr>
          <w:sz w:val="24"/>
        </w:rPr>
        <w:t>for</w:t>
      </w:r>
      <w:r>
        <w:rPr>
          <w:spacing w:val="-3"/>
          <w:sz w:val="24"/>
        </w:rPr>
        <w:t> </w:t>
      </w:r>
      <w:r>
        <w:rPr>
          <w:sz w:val="24"/>
        </w:rPr>
        <w:t>one</w:t>
      </w:r>
      <w:r>
        <w:rPr>
          <w:spacing w:val="-4"/>
          <w:sz w:val="24"/>
        </w:rPr>
        <w:t> </w:t>
      </w:r>
      <w:r>
        <w:rPr>
          <w:sz w:val="24"/>
        </w:rPr>
        <w:t>year.</w:t>
      </w:r>
      <w:r>
        <w:rPr>
          <w:spacing w:val="40"/>
          <w:sz w:val="24"/>
        </w:rPr>
        <w:t> </w:t>
      </w:r>
      <w:r>
        <w:rPr>
          <w:sz w:val="24"/>
        </w:rPr>
        <w:t>Any</w:t>
      </w:r>
      <w:r>
        <w:rPr>
          <w:spacing w:val="-4"/>
          <w:sz w:val="24"/>
        </w:rPr>
        <w:t> </w:t>
      </w:r>
      <w:r>
        <w:rPr>
          <w:sz w:val="24"/>
        </w:rPr>
        <w:t>substitutions are noted on the menu.</w:t>
      </w:r>
      <w:r>
        <w:rPr>
          <w:spacing w:val="40"/>
          <w:sz w:val="24"/>
        </w:rPr>
        <w:t> </w:t>
      </w:r>
      <w:r>
        <w:rPr>
          <w:sz w:val="24"/>
        </w:rPr>
        <w:t>Food services are directed by a nutritionist or licensed dietitian and/or facilities consult annually with a qualified </w:t>
      </w:r>
      <w:r>
        <w:rPr>
          <w:spacing w:val="-2"/>
          <w:sz w:val="24"/>
        </w:rPr>
        <w:t>nutritionist.</w:t>
      </w:r>
    </w:p>
    <w:p>
      <w:pPr>
        <w:pStyle w:val="ListParagraph"/>
        <w:numPr>
          <w:ilvl w:val="2"/>
          <w:numId w:val="343"/>
        </w:numPr>
        <w:tabs>
          <w:tab w:pos="2054" w:val="left" w:leader="none"/>
        </w:tabs>
        <w:spacing w:line="208" w:lineRule="auto" w:before="239" w:after="0"/>
        <w:ind w:left="1656" w:right="991" w:firstLine="0"/>
        <w:jc w:val="left"/>
        <w:rPr>
          <w:sz w:val="24"/>
        </w:rPr>
      </w:pPr>
      <w:r>
        <w:rPr>
          <w:sz w:val="24"/>
        </w:rPr>
        <w:t>Frequency</w:t>
      </w:r>
      <w:r>
        <w:rPr>
          <w:spacing w:val="-4"/>
          <w:sz w:val="24"/>
        </w:rPr>
        <w:t> </w:t>
      </w:r>
      <w:r>
        <w:rPr>
          <w:sz w:val="24"/>
        </w:rPr>
        <w:t>and</w:t>
      </w:r>
      <w:r>
        <w:rPr>
          <w:spacing w:val="-4"/>
          <w:sz w:val="24"/>
        </w:rPr>
        <w:t> </w:t>
      </w:r>
      <w:r>
        <w:rPr>
          <w:sz w:val="24"/>
        </w:rPr>
        <w:t>quality</w:t>
      </w:r>
      <w:r>
        <w:rPr>
          <w:spacing w:val="-4"/>
          <w:sz w:val="24"/>
        </w:rPr>
        <w:t> </w:t>
      </w:r>
      <w:r>
        <w:rPr>
          <w:sz w:val="24"/>
        </w:rPr>
        <w:t>of</w:t>
      </w:r>
      <w:r>
        <w:rPr>
          <w:spacing w:val="-3"/>
          <w:sz w:val="24"/>
        </w:rPr>
        <w:t> </w:t>
      </w:r>
      <w:r>
        <w:rPr>
          <w:sz w:val="24"/>
        </w:rPr>
        <w:t>meals.</w:t>
      </w:r>
      <w:r>
        <w:rPr>
          <w:spacing w:val="40"/>
          <w:sz w:val="24"/>
        </w:rPr>
        <w:t> </w:t>
      </w:r>
      <w:r>
        <w:rPr>
          <w:sz w:val="24"/>
        </w:rPr>
        <w:t>All</w:t>
      </w:r>
      <w:r>
        <w:rPr>
          <w:spacing w:val="-4"/>
          <w:sz w:val="24"/>
        </w:rPr>
        <w:t> </w:t>
      </w:r>
      <w:r>
        <w:rPr>
          <w:sz w:val="24"/>
        </w:rPr>
        <w:t>meals</w:t>
      </w:r>
      <w:r>
        <w:rPr>
          <w:spacing w:val="-4"/>
          <w:sz w:val="24"/>
        </w:rPr>
        <w:t> </w:t>
      </w:r>
      <w:r>
        <w:rPr>
          <w:sz w:val="24"/>
        </w:rPr>
        <w:t>should</w:t>
      </w:r>
      <w:r>
        <w:rPr>
          <w:spacing w:val="-4"/>
          <w:sz w:val="24"/>
        </w:rPr>
        <w:t> </w:t>
      </w:r>
      <w:r>
        <w:rPr>
          <w:sz w:val="24"/>
        </w:rPr>
        <w:t>meet</w:t>
      </w:r>
      <w:r>
        <w:rPr>
          <w:spacing w:val="-3"/>
          <w:sz w:val="24"/>
        </w:rPr>
        <w:t> </w:t>
      </w:r>
      <w:r>
        <w:rPr>
          <w:sz w:val="24"/>
        </w:rPr>
        <w:t>the</w:t>
      </w:r>
      <w:r>
        <w:rPr>
          <w:spacing w:val="-4"/>
          <w:sz w:val="24"/>
        </w:rPr>
        <w:t> </w:t>
      </w:r>
      <w:r>
        <w:rPr>
          <w:sz w:val="24"/>
        </w:rPr>
        <w:t>nutritional guidelines of the students.</w:t>
      </w:r>
    </w:p>
    <w:p>
      <w:pPr>
        <w:pStyle w:val="ListParagraph"/>
        <w:numPr>
          <w:ilvl w:val="3"/>
          <w:numId w:val="343"/>
        </w:numPr>
        <w:tabs>
          <w:tab w:pos="2447" w:val="left" w:leader="none"/>
        </w:tabs>
        <w:spacing w:line="208" w:lineRule="auto" w:before="240" w:after="0"/>
        <w:ind w:left="2088" w:right="1052" w:firstLine="0"/>
        <w:jc w:val="left"/>
        <w:rPr>
          <w:sz w:val="24"/>
        </w:rPr>
      </w:pPr>
      <w:r>
        <w:rPr>
          <w:sz w:val="24"/>
        </w:rPr>
        <w:t>The facility provides or arranges for the provision of breakfast, lunch,</w:t>
      </w:r>
      <w:r>
        <w:rPr>
          <w:spacing w:val="-3"/>
          <w:sz w:val="24"/>
        </w:rPr>
        <w:t> </w:t>
      </w:r>
      <w:r>
        <w:rPr>
          <w:sz w:val="24"/>
        </w:rPr>
        <w:t>and</w:t>
      </w:r>
      <w:r>
        <w:rPr>
          <w:spacing w:val="-4"/>
          <w:sz w:val="24"/>
        </w:rPr>
        <w:t> </w:t>
      </w:r>
      <w:r>
        <w:rPr>
          <w:sz w:val="24"/>
        </w:rPr>
        <w:t>dinner</w:t>
      </w:r>
      <w:r>
        <w:rPr>
          <w:spacing w:val="-3"/>
          <w:sz w:val="24"/>
        </w:rPr>
        <w:t> </w:t>
      </w:r>
      <w:r>
        <w:rPr>
          <w:sz w:val="24"/>
        </w:rPr>
        <w:t>and</w:t>
      </w:r>
      <w:r>
        <w:rPr>
          <w:spacing w:val="-3"/>
          <w:sz w:val="24"/>
        </w:rPr>
        <w:t> </w:t>
      </w:r>
      <w:r>
        <w:rPr>
          <w:sz w:val="24"/>
        </w:rPr>
        <w:t>one</w:t>
      </w:r>
      <w:r>
        <w:rPr>
          <w:spacing w:val="-4"/>
          <w:sz w:val="24"/>
        </w:rPr>
        <w:t> </w:t>
      </w:r>
      <w:r>
        <w:rPr>
          <w:sz w:val="24"/>
        </w:rPr>
        <w:t>or</w:t>
      </w:r>
      <w:r>
        <w:rPr>
          <w:spacing w:val="-3"/>
          <w:sz w:val="24"/>
        </w:rPr>
        <w:t> </w:t>
      </w:r>
      <w:r>
        <w:rPr>
          <w:sz w:val="24"/>
        </w:rPr>
        <w:t>more</w:t>
      </w:r>
      <w:r>
        <w:rPr>
          <w:spacing w:val="-4"/>
          <w:sz w:val="24"/>
        </w:rPr>
        <w:t> </w:t>
      </w:r>
      <w:r>
        <w:rPr>
          <w:sz w:val="24"/>
        </w:rPr>
        <w:t>snacks</w:t>
      </w:r>
      <w:r>
        <w:rPr>
          <w:spacing w:val="-4"/>
          <w:sz w:val="24"/>
        </w:rPr>
        <w:t> </w:t>
      </w:r>
      <w:r>
        <w:rPr>
          <w:sz w:val="24"/>
        </w:rPr>
        <w:t>from</w:t>
      </w:r>
      <w:r>
        <w:rPr>
          <w:spacing w:val="-3"/>
          <w:sz w:val="24"/>
        </w:rPr>
        <w:t> </w:t>
      </w:r>
      <w:r>
        <w:rPr>
          <w:sz w:val="24"/>
        </w:rPr>
        <w:t>food</w:t>
      </w:r>
      <w:r>
        <w:rPr>
          <w:spacing w:val="-4"/>
          <w:sz w:val="24"/>
        </w:rPr>
        <w:t> </w:t>
      </w:r>
      <w:r>
        <w:rPr>
          <w:sz w:val="24"/>
        </w:rPr>
        <w:t>that</w:t>
      </w:r>
      <w:r>
        <w:rPr>
          <w:spacing w:val="-3"/>
          <w:sz w:val="24"/>
        </w:rPr>
        <w:t> </w:t>
      </w:r>
      <w:r>
        <w:rPr>
          <w:sz w:val="24"/>
        </w:rPr>
        <w:t>is</w:t>
      </w:r>
      <w:r>
        <w:rPr>
          <w:spacing w:val="-4"/>
          <w:sz w:val="24"/>
        </w:rPr>
        <w:t> </w:t>
      </w:r>
      <w:r>
        <w:rPr>
          <w:sz w:val="24"/>
        </w:rPr>
        <w:t>selected, stored, prepared, and served in a sanitary and palatable manner. Brunch</w:t>
      </w:r>
      <w:r>
        <w:rPr>
          <w:spacing w:val="-2"/>
          <w:sz w:val="24"/>
        </w:rPr>
        <w:t> </w:t>
      </w:r>
      <w:r>
        <w:rPr>
          <w:sz w:val="24"/>
        </w:rPr>
        <w:t>and</w:t>
      </w:r>
      <w:r>
        <w:rPr>
          <w:spacing w:val="-1"/>
          <w:sz w:val="24"/>
        </w:rPr>
        <w:t> </w:t>
      </w:r>
      <w:r>
        <w:rPr>
          <w:sz w:val="24"/>
        </w:rPr>
        <w:t>dinner</w:t>
      </w:r>
      <w:r>
        <w:rPr>
          <w:spacing w:val="-1"/>
          <w:sz w:val="24"/>
        </w:rPr>
        <w:t> </w:t>
      </w:r>
      <w:r>
        <w:rPr>
          <w:sz w:val="24"/>
        </w:rPr>
        <w:t>may</w:t>
      </w:r>
      <w:r>
        <w:rPr>
          <w:spacing w:val="-2"/>
          <w:sz w:val="24"/>
        </w:rPr>
        <w:t> </w:t>
      </w:r>
      <w:r>
        <w:rPr>
          <w:sz w:val="24"/>
        </w:rPr>
        <w:t>be</w:t>
      </w:r>
      <w:r>
        <w:rPr>
          <w:spacing w:val="-2"/>
          <w:sz w:val="24"/>
        </w:rPr>
        <w:t> </w:t>
      </w:r>
      <w:r>
        <w:rPr>
          <w:sz w:val="24"/>
        </w:rPr>
        <w:t>provided</w:t>
      </w:r>
      <w:r>
        <w:rPr>
          <w:spacing w:val="-2"/>
          <w:sz w:val="24"/>
        </w:rPr>
        <w:t> </w:t>
      </w:r>
      <w:r>
        <w:rPr>
          <w:sz w:val="24"/>
        </w:rPr>
        <w:t>on</w:t>
      </w:r>
      <w:r>
        <w:rPr>
          <w:spacing w:val="-2"/>
          <w:sz w:val="24"/>
        </w:rPr>
        <w:t> </w:t>
      </w:r>
      <w:r>
        <w:rPr>
          <w:sz w:val="24"/>
        </w:rPr>
        <w:t>weekends</w:t>
      </w:r>
      <w:r>
        <w:rPr>
          <w:spacing w:val="-2"/>
          <w:sz w:val="24"/>
        </w:rPr>
        <w:t> </w:t>
      </w:r>
      <w:r>
        <w:rPr>
          <w:sz w:val="24"/>
        </w:rPr>
        <w:t>and</w:t>
      </w:r>
      <w:r>
        <w:rPr>
          <w:spacing w:val="-2"/>
          <w:sz w:val="24"/>
        </w:rPr>
        <w:t> </w:t>
      </w:r>
      <w:r>
        <w:rPr>
          <w:sz w:val="24"/>
        </w:rPr>
        <w:t>holidays</w:t>
      </w:r>
      <w:r>
        <w:rPr>
          <w:spacing w:val="-2"/>
          <w:sz w:val="24"/>
        </w:rPr>
        <w:t> </w:t>
      </w:r>
      <w:r>
        <w:rPr>
          <w:sz w:val="24"/>
        </w:rPr>
        <w:t>only.</w:t>
      </w:r>
    </w:p>
    <w:p>
      <w:pPr>
        <w:pStyle w:val="ListParagraph"/>
        <w:numPr>
          <w:ilvl w:val="3"/>
          <w:numId w:val="343"/>
        </w:numPr>
        <w:tabs>
          <w:tab w:pos="2513" w:val="left" w:leader="none"/>
        </w:tabs>
        <w:spacing w:line="208" w:lineRule="auto" w:before="240" w:after="0"/>
        <w:ind w:left="2088" w:right="1090" w:firstLine="0"/>
        <w:jc w:val="left"/>
        <w:rPr>
          <w:sz w:val="24"/>
        </w:rPr>
      </w:pPr>
      <w:r>
        <w:rPr>
          <w:sz w:val="24"/>
        </w:rPr>
        <w:t>Each</w:t>
      </w:r>
      <w:r>
        <w:rPr>
          <w:spacing w:val="-4"/>
          <w:sz w:val="24"/>
        </w:rPr>
        <w:t> </w:t>
      </w:r>
      <w:r>
        <w:rPr>
          <w:sz w:val="24"/>
        </w:rPr>
        <w:t>meal</w:t>
      </w:r>
      <w:r>
        <w:rPr>
          <w:spacing w:val="-4"/>
          <w:sz w:val="24"/>
        </w:rPr>
        <w:t> </w:t>
      </w:r>
      <w:r>
        <w:rPr>
          <w:sz w:val="24"/>
        </w:rPr>
        <w:t>contains</w:t>
      </w:r>
      <w:r>
        <w:rPr>
          <w:spacing w:val="-4"/>
          <w:sz w:val="24"/>
        </w:rPr>
        <w:t> </w:t>
      </w:r>
      <w:r>
        <w:rPr>
          <w:sz w:val="24"/>
        </w:rPr>
        <w:t>a</w:t>
      </w:r>
      <w:r>
        <w:rPr>
          <w:spacing w:val="-4"/>
          <w:sz w:val="24"/>
        </w:rPr>
        <w:t> </w:t>
      </w:r>
      <w:r>
        <w:rPr>
          <w:sz w:val="24"/>
        </w:rPr>
        <w:t>sufficient</w:t>
      </w:r>
      <w:r>
        <w:rPr>
          <w:spacing w:val="-3"/>
          <w:sz w:val="24"/>
        </w:rPr>
        <w:t> </w:t>
      </w:r>
      <w:r>
        <w:rPr>
          <w:sz w:val="24"/>
        </w:rPr>
        <w:t>amount</w:t>
      </w:r>
      <w:r>
        <w:rPr>
          <w:spacing w:val="-3"/>
          <w:sz w:val="24"/>
        </w:rPr>
        <w:t> </w:t>
      </w:r>
      <w:r>
        <w:rPr>
          <w:sz w:val="24"/>
        </w:rPr>
        <w:t>of</w:t>
      </w:r>
      <w:r>
        <w:rPr>
          <w:spacing w:val="-5"/>
          <w:sz w:val="24"/>
        </w:rPr>
        <w:t> </w:t>
      </w:r>
      <w:r>
        <w:rPr>
          <w:sz w:val="24"/>
        </w:rPr>
        <w:t>food</w:t>
      </w:r>
      <w:r>
        <w:rPr>
          <w:spacing w:val="-4"/>
          <w:sz w:val="24"/>
        </w:rPr>
        <w:t> </w:t>
      </w:r>
      <w:r>
        <w:rPr>
          <w:sz w:val="24"/>
        </w:rPr>
        <w:t>for</w:t>
      </w:r>
      <w:r>
        <w:rPr>
          <w:spacing w:val="-5"/>
          <w:sz w:val="24"/>
        </w:rPr>
        <w:t> </w:t>
      </w:r>
      <w:r>
        <w:rPr>
          <w:sz w:val="24"/>
        </w:rPr>
        <w:t>every</w:t>
      </w:r>
      <w:r>
        <w:rPr>
          <w:spacing w:val="-4"/>
          <w:sz w:val="24"/>
        </w:rPr>
        <w:t> </w:t>
      </w:r>
      <w:r>
        <w:rPr>
          <w:sz w:val="24"/>
        </w:rPr>
        <w:t>student and additional servings are available and permitted.</w:t>
      </w:r>
    </w:p>
    <w:p>
      <w:pPr>
        <w:pStyle w:val="ListParagraph"/>
        <w:numPr>
          <w:ilvl w:val="3"/>
          <w:numId w:val="343"/>
        </w:numPr>
        <w:tabs>
          <w:tab w:pos="2580" w:val="left" w:leader="none"/>
        </w:tabs>
        <w:spacing w:line="240" w:lineRule="auto" w:before="210" w:after="0"/>
        <w:ind w:left="2580" w:right="0" w:hanging="492"/>
        <w:jc w:val="left"/>
        <w:rPr>
          <w:sz w:val="24"/>
        </w:rPr>
      </w:pPr>
      <w:r>
        <w:rPr>
          <w:sz w:val="24"/>
        </w:rPr>
        <w:t>Cool,</w:t>
      </w:r>
      <w:r>
        <w:rPr>
          <w:spacing w:val="-7"/>
          <w:sz w:val="24"/>
        </w:rPr>
        <w:t> </w:t>
      </w:r>
      <w:r>
        <w:rPr>
          <w:sz w:val="24"/>
        </w:rPr>
        <w:t>potable</w:t>
      </w:r>
      <w:r>
        <w:rPr>
          <w:spacing w:val="-3"/>
          <w:sz w:val="24"/>
        </w:rPr>
        <w:t> </w:t>
      </w:r>
      <w:r>
        <w:rPr>
          <w:sz w:val="24"/>
        </w:rPr>
        <w:t>drinking</w:t>
      </w:r>
      <w:r>
        <w:rPr>
          <w:spacing w:val="-3"/>
          <w:sz w:val="24"/>
        </w:rPr>
        <w:t> </w:t>
      </w:r>
      <w:r>
        <w:rPr>
          <w:sz w:val="24"/>
        </w:rPr>
        <w:t>water</w:t>
      </w:r>
      <w:r>
        <w:rPr>
          <w:spacing w:val="-1"/>
          <w:sz w:val="24"/>
        </w:rPr>
        <w:t> </w:t>
      </w:r>
      <w:r>
        <w:rPr>
          <w:sz w:val="24"/>
        </w:rPr>
        <w:t>is</w:t>
      </w:r>
      <w:r>
        <w:rPr>
          <w:spacing w:val="-3"/>
          <w:sz w:val="24"/>
        </w:rPr>
        <w:t> </w:t>
      </w:r>
      <w:r>
        <w:rPr>
          <w:sz w:val="24"/>
        </w:rPr>
        <w:t>available</w:t>
      </w:r>
      <w:r>
        <w:rPr>
          <w:spacing w:val="-4"/>
          <w:sz w:val="24"/>
        </w:rPr>
        <w:t> </w:t>
      </w:r>
      <w:r>
        <w:rPr>
          <w:sz w:val="24"/>
        </w:rPr>
        <w:t>for</w:t>
      </w:r>
      <w:r>
        <w:rPr>
          <w:spacing w:val="-2"/>
          <w:sz w:val="24"/>
        </w:rPr>
        <w:t> </w:t>
      </w:r>
      <w:r>
        <w:rPr>
          <w:sz w:val="24"/>
        </w:rPr>
        <w:t>students</w:t>
      </w:r>
      <w:r>
        <w:rPr>
          <w:spacing w:val="-3"/>
          <w:sz w:val="24"/>
        </w:rPr>
        <w:t> </w:t>
      </w:r>
      <w:r>
        <w:rPr>
          <w:sz w:val="24"/>
        </w:rPr>
        <w:t>at</w:t>
      </w:r>
      <w:r>
        <w:rPr>
          <w:spacing w:val="-2"/>
          <w:sz w:val="24"/>
        </w:rPr>
        <w:t> </w:t>
      </w:r>
      <w:r>
        <w:rPr>
          <w:sz w:val="24"/>
        </w:rPr>
        <w:t>all</w:t>
      </w:r>
      <w:r>
        <w:rPr>
          <w:spacing w:val="-3"/>
          <w:sz w:val="24"/>
        </w:rPr>
        <w:t> </w:t>
      </w:r>
      <w:r>
        <w:rPr>
          <w:spacing w:val="-2"/>
          <w:sz w:val="24"/>
        </w:rPr>
        <w:t>times.</w:t>
      </w:r>
    </w:p>
    <w:p>
      <w:pPr>
        <w:pStyle w:val="ListParagraph"/>
        <w:numPr>
          <w:ilvl w:val="2"/>
          <w:numId w:val="343"/>
        </w:numPr>
        <w:tabs>
          <w:tab w:pos="2107" w:val="left" w:leader="none"/>
        </w:tabs>
        <w:spacing w:line="208" w:lineRule="auto" w:before="234" w:after="0"/>
        <w:ind w:left="1656" w:right="1204" w:firstLine="0"/>
        <w:jc w:val="left"/>
        <w:rPr>
          <w:sz w:val="24"/>
        </w:rPr>
      </w:pPr>
      <w:r>
        <w:rPr>
          <w:sz w:val="24"/>
        </w:rPr>
        <w:t>Special</w:t>
      </w:r>
      <w:r>
        <w:rPr>
          <w:spacing w:val="-5"/>
          <w:sz w:val="24"/>
        </w:rPr>
        <w:t> </w:t>
      </w:r>
      <w:r>
        <w:rPr>
          <w:sz w:val="24"/>
        </w:rPr>
        <w:t>diets.</w:t>
      </w:r>
      <w:r>
        <w:rPr>
          <w:spacing w:val="40"/>
          <w:sz w:val="24"/>
        </w:rPr>
        <w:t> </w:t>
      </w:r>
      <w:r>
        <w:rPr>
          <w:sz w:val="24"/>
        </w:rPr>
        <w:t>Facilities</w:t>
      </w:r>
      <w:r>
        <w:rPr>
          <w:spacing w:val="-5"/>
          <w:sz w:val="24"/>
        </w:rPr>
        <w:t> </w:t>
      </w:r>
      <w:r>
        <w:rPr>
          <w:sz w:val="24"/>
        </w:rPr>
        <w:t>recognize</w:t>
      </w:r>
      <w:r>
        <w:rPr>
          <w:spacing w:val="-5"/>
          <w:sz w:val="24"/>
        </w:rPr>
        <w:t> </w:t>
      </w:r>
      <w:r>
        <w:rPr>
          <w:sz w:val="24"/>
        </w:rPr>
        <w:t>the</w:t>
      </w:r>
      <w:r>
        <w:rPr>
          <w:spacing w:val="-5"/>
          <w:sz w:val="24"/>
        </w:rPr>
        <w:t> </w:t>
      </w:r>
      <w:r>
        <w:rPr>
          <w:sz w:val="24"/>
        </w:rPr>
        <w:t>religious,</w:t>
      </w:r>
      <w:r>
        <w:rPr>
          <w:spacing w:val="-4"/>
          <w:sz w:val="24"/>
        </w:rPr>
        <w:t> </w:t>
      </w:r>
      <w:r>
        <w:rPr>
          <w:sz w:val="24"/>
        </w:rPr>
        <w:t>cultural,</w:t>
      </w:r>
      <w:r>
        <w:rPr>
          <w:spacing w:val="-4"/>
          <w:sz w:val="24"/>
        </w:rPr>
        <w:t> </w:t>
      </w:r>
      <w:r>
        <w:rPr>
          <w:sz w:val="24"/>
        </w:rPr>
        <w:t>and</w:t>
      </w:r>
      <w:r>
        <w:rPr>
          <w:spacing w:val="-5"/>
          <w:sz w:val="24"/>
        </w:rPr>
        <w:t> </w:t>
      </w:r>
      <w:r>
        <w:rPr>
          <w:sz w:val="24"/>
        </w:rPr>
        <w:t>health needs of students when planning, preparing, and serving food.</w:t>
      </w:r>
    </w:p>
    <w:p>
      <w:pPr>
        <w:pStyle w:val="ListParagraph"/>
        <w:numPr>
          <w:ilvl w:val="3"/>
          <w:numId w:val="343"/>
        </w:numPr>
        <w:tabs>
          <w:tab w:pos="2447" w:val="left" w:leader="none"/>
        </w:tabs>
        <w:spacing w:line="208" w:lineRule="auto" w:before="239" w:after="0"/>
        <w:ind w:left="2088" w:right="1080" w:firstLine="0"/>
        <w:jc w:val="left"/>
        <w:rPr>
          <w:sz w:val="24"/>
        </w:rPr>
      </w:pPr>
      <w:r>
        <w:rPr>
          <w:sz w:val="24"/>
        </w:rPr>
        <w:t>The</w:t>
      </w:r>
      <w:r>
        <w:rPr>
          <w:spacing w:val="-5"/>
          <w:sz w:val="24"/>
        </w:rPr>
        <w:t> </w:t>
      </w:r>
      <w:r>
        <w:rPr>
          <w:sz w:val="24"/>
        </w:rPr>
        <w:t>facility</w:t>
      </w:r>
      <w:r>
        <w:rPr>
          <w:spacing w:val="-5"/>
          <w:sz w:val="24"/>
        </w:rPr>
        <w:t> </w:t>
      </w:r>
      <w:r>
        <w:rPr>
          <w:sz w:val="24"/>
        </w:rPr>
        <w:t>makes</w:t>
      </w:r>
      <w:r>
        <w:rPr>
          <w:spacing w:val="-5"/>
          <w:sz w:val="24"/>
        </w:rPr>
        <w:t> </w:t>
      </w:r>
      <w:r>
        <w:rPr>
          <w:sz w:val="24"/>
        </w:rPr>
        <w:t>available,</w:t>
      </w:r>
      <w:r>
        <w:rPr>
          <w:spacing w:val="-4"/>
          <w:sz w:val="24"/>
        </w:rPr>
        <w:t> </w:t>
      </w:r>
      <w:r>
        <w:rPr>
          <w:sz w:val="24"/>
        </w:rPr>
        <w:t>as</w:t>
      </w:r>
      <w:r>
        <w:rPr>
          <w:spacing w:val="-5"/>
          <w:sz w:val="24"/>
        </w:rPr>
        <w:t> </w:t>
      </w:r>
      <w:r>
        <w:rPr>
          <w:sz w:val="24"/>
        </w:rPr>
        <w:t>necessary,</w:t>
      </w:r>
      <w:r>
        <w:rPr>
          <w:spacing w:val="-4"/>
          <w:sz w:val="24"/>
        </w:rPr>
        <w:t> </w:t>
      </w:r>
      <w:r>
        <w:rPr>
          <w:sz w:val="24"/>
        </w:rPr>
        <w:t>an</w:t>
      </w:r>
      <w:r>
        <w:rPr>
          <w:spacing w:val="-5"/>
          <w:sz w:val="24"/>
        </w:rPr>
        <w:t> </w:t>
      </w:r>
      <w:r>
        <w:rPr>
          <w:sz w:val="24"/>
        </w:rPr>
        <w:t>alternate</w:t>
      </w:r>
      <w:r>
        <w:rPr>
          <w:spacing w:val="-5"/>
          <w:sz w:val="24"/>
        </w:rPr>
        <w:t> </w:t>
      </w:r>
      <w:r>
        <w:rPr>
          <w:sz w:val="24"/>
        </w:rPr>
        <w:t>choice</w:t>
      </w:r>
      <w:r>
        <w:rPr>
          <w:spacing w:val="-5"/>
          <w:sz w:val="24"/>
        </w:rPr>
        <w:t> </w:t>
      </w:r>
      <w:r>
        <w:rPr>
          <w:sz w:val="24"/>
        </w:rPr>
        <w:t>of food for each meal served for students on special diets or residents who, because of religious beliefs, cannot eat particular foods.</w:t>
      </w:r>
    </w:p>
    <w:p>
      <w:pPr>
        <w:pStyle w:val="ListParagraph"/>
        <w:numPr>
          <w:ilvl w:val="3"/>
          <w:numId w:val="343"/>
        </w:numPr>
        <w:tabs>
          <w:tab w:pos="2513" w:val="left" w:leader="none"/>
        </w:tabs>
        <w:spacing w:line="208" w:lineRule="auto" w:before="240" w:after="0"/>
        <w:ind w:left="2088" w:right="962" w:firstLine="0"/>
        <w:jc w:val="left"/>
        <w:rPr>
          <w:sz w:val="24"/>
        </w:rPr>
      </w:pPr>
      <w:r>
        <w:rPr>
          <w:sz w:val="24"/>
        </w:rPr>
        <w:t>The</w:t>
      </w:r>
      <w:r>
        <w:rPr>
          <w:spacing w:val="-5"/>
          <w:sz w:val="24"/>
        </w:rPr>
        <w:t> </w:t>
      </w:r>
      <w:r>
        <w:rPr>
          <w:sz w:val="24"/>
        </w:rPr>
        <w:t>facility</w:t>
      </w:r>
      <w:r>
        <w:rPr>
          <w:spacing w:val="-5"/>
          <w:sz w:val="24"/>
        </w:rPr>
        <w:t> </w:t>
      </w:r>
      <w:r>
        <w:rPr>
          <w:sz w:val="24"/>
        </w:rPr>
        <w:t>follows</w:t>
      </w:r>
      <w:r>
        <w:rPr>
          <w:spacing w:val="-5"/>
          <w:sz w:val="24"/>
        </w:rPr>
        <w:t> </w:t>
      </w:r>
      <w:r>
        <w:rPr>
          <w:sz w:val="24"/>
        </w:rPr>
        <w:t>individualized</w:t>
      </w:r>
      <w:r>
        <w:rPr>
          <w:spacing w:val="-5"/>
          <w:sz w:val="24"/>
        </w:rPr>
        <w:t> </w:t>
      </w:r>
      <w:r>
        <w:rPr>
          <w:sz w:val="24"/>
        </w:rPr>
        <w:t>diets</w:t>
      </w:r>
      <w:r>
        <w:rPr>
          <w:spacing w:val="-5"/>
          <w:sz w:val="24"/>
        </w:rPr>
        <w:t> </w:t>
      </w:r>
      <w:r>
        <w:rPr>
          <w:sz w:val="24"/>
        </w:rPr>
        <w:t>and</w:t>
      </w:r>
      <w:r>
        <w:rPr>
          <w:spacing w:val="-5"/>
          <w:sz w:val="24"/>
        </w:rPr>
        <w:t> </w:t>
      </w:r>
      <w:r>
        <w:rPr>
          <w:sz w:val="24"/>
        </w:rPr>
        <w:t>feeding</w:t>
      </w:r>
      <w:r>
        <w:rPr>
          <w:spacing w:val="-5"/>
          <w:sz w:val="24"/>
        </w:rPr>
        <w:t> </w:t>
      </w:r>
      <w:r>
        <w:rPr>
          <w:sz w:val="24"/>
        </w:rPr>
        <w:t>schedules</w:t>
      </w:r>
      <w:r>
        <w:rPr>
          <w:spacing w:val="-5"/>
          <w:sz w:val="24"/>
        </w:rPr>
        <w:t> </w:t>
      </w:r>
      <w:r>
        <w:rPr>
          <w:sz w:val="24"/>
        </w:rPr>
        <w:t>that are prescribed by the student's physician.</w:t>
      </w:r>
    </w:p>
    <w:p>
      <w:pPr>
        <w:pStyle w:val="ListParagraph"/>
        <w:numPr>
          <w:ilvl w:val="2"/>
          <w:numId w:val="343"/>
        </w:numPr>
        <w:tabs>
          <w:tab w:pos="2121" w:val="left" w:leader="none"/>
        </w:tabs>
        <w:spacing w:line="208" w:lineRule="auto" w:before="240" w:after="0"/>
        <w:ind w:left="1656" w:right="752" w:firstLine="0"/>
        <w:jc w:val="left"/>
        <w:rPr>
          <w:sz w:val="24"/>
        </w:rPr>
      </w:pPr>
      <w:r>
        <w:rPr>
          <w:sz w:val="24"/>
        </w:rPr>
        <w:t>Meals.</w:t>
      </w:r>
      <w:r>
        <w:rPr>
          <w:spacing w:val="40"/>
          <w:sz w:val="24"/>
        </w:rPr>
        <w:t> </w:t>
      </w:r>
      <w:r>
        <w:rPr>
          <w:sz w:val="24"/>
        </w:rPr>
        <w:t>Facilities</w:t>
      </w:r>
      <w:r>
        <w:rPr>
          <w:spacing w:val="-4"/>
          <w:sz w:val="24"/>
        </w:rPr>
        <w:t> </w:t>
      </w:r>
      <w:r>
        <w:rPr>
          <w:sz w:val="24"/>
        </w:rPr>
        <w:t>recognize</w:t>
      </w:r>
      <w:r>
        <w:rPr>
          <w:spacing w:val="-4"/>
          <w:sz w:val="24"/>
        </w:rPr>
        <w:t> </w:t>
      </w:r>
      <w:r>
        <w:rPr>
          <w:sz w:val="24"/>
        </w:rPr>
        <w:t>the</w:t>
      </w:r>
      <w:r>
        <w:rPr>
          <w:spacing w:val="-4"/>
          <w:sz w:val="24"/>
        </w:rPr>
        <w:t> </w:t>
      </w:r>
      <w:r>
        <w:rPr>
          <w:sz w:val="24"/>
        </w:rPr>
        <w:t>social</w:t>
      </w:r>
      <w:r>
        <w:rPr>
          <w:spacing w:val="-4"/>
          <w:sz w:val="24"/>
        </w:rPr>
        <w:t> </w:t>
      </w:r>
      <w:r>
        <w:rPr>
          <w:sz w:val="24"/>
        </w:rPr>
        <w:t>and</w:t>
      </w:r>
      <w:r>
        <w:rPr>
          <w:spacing w:val="-4"/>
          <w:sz w:val="24"/>
        </w:rPr>
        <w:t> </w:t>
      </w:r>
      <w:r>
        <w:rPr>
          <w:sz w:val="24"/>
        </w:rPr>
        <w:t>emotional</w:t>
      </w:r>
      <w:r>
        <w:rPr>
          <w:spacing w:val="-4"/>
          <w:sz w:val="24"/>
        </w:rPr>
        <w:t> </w:t>
      </w:r>
      <w:r>
        <w:rPr>
          <w:sz w:val="24"/>
        </w:rPr>
        <w:t>needs</w:t>
      </w:r>
      <w:r>
        <w:rPr>
          <w:spacing w:val="-4"/>
          <w:sz w:val="24"/>
        </w:rPr>
        <w:t> </w:t>
      </w:r>
      <w:r>
        <w:rPr>
          <w:sz w:val="24"/>
        </w:rPr>
        <w:t>of</w:t>
      </w:r>
      <w:r>
        <w:rPr>
          <w:spacing w:val="-3"/>
          <w:sz w:val="24"/>
        </w:rPr>
        <w:t> </w:t>
      </w:r>
      <w:r>
        <w:rPr>
          <w:sz w:val="24"/>
        </w:rPr>
        <w:t>residents during mealtime.</w:t>
      </w:r>
    </w:p>
    <w:p>
      <w:pPr>
        <w:pStyle w:val="ListParagraph"/>
        <w:numPr>
          <w:ilvl w:val="3"/>
          <w:numId w:val="343"/>
        </w:numPr>
        <w:tabs>
          <w:tab w:pos="2447" w:val="left" w:leader="none"/>
        </w:tabs>
        <w:spacing w:line="208" w:lineRule="auto" w:before="240" w:after="0"/>
        <w:ind w:left="2088" w:right="1092" w:firstLine="0"/>
        <w:jc w:val="left"/>
        <w:rPr>
          <w:sz w:val="24"/>
        </w:rPr>
      </w:pPr>
      <w:r>
        <w:rPr>
          <w:sz w:val="24"/>
        </w:rPr>
        <w:t>Students and the staff who eat with them are served the same menu,</w:t>
      </w:r>
      <w:r>
        <w:rPr>
          <w:spacing w:val="-3"/>
          <w:sz w:val="24"/>
        </w:rPr>
        <w:t> </w:t>
      </w:r>
      <w:r>
        <w:rPr>
          <w:sz w:val="24"/>
        </w:rPr>
        <w:t>except</w:t>
      </w:r>
      <w:r>
        <w:rPr>
          <w:spacing w:val="-3"/>
          <w:sz w:val="24"/>
        </w:rPr>
        <w:t> </w:t>
      </w:r>
      <w:r>
        <w:rPr>
          <w:sz w:val="24"/>
        </w:rPr>
        <w:t>for</w:t>
      </w:r>
      <w:r>
        <w:rPr>
          <w:spacing w:val="-5"/>
          <w:sz w:val="24"/>
        </w:rPr>
        <w:t> </w:t>
      </w:r>
      <w:r>
        <w:rPr>
          <w:sz w:val="24"/>
        </w:rPr>
        <w:t>tea</w:t>
      </w:r>
      <w:r>
        <w:rPr>
          <w:spacing w:val="-5"/>
          <w:sz w:val="24"/>
        </w:rPr>
        <w:t> </w:t>
      </w:r>
      <w:r>
        <w:rPr>
          <w:sz w:val="24"/>
        </w:rPr>
        <w:t>and</w:t>
      </w:r>
      <w:r>
        <w:rPr>
          <w:spacing w:val="-4"/>
          <w:sz w:val="24"/>
        </w:rPr>
        <w:t> </w:t>
      </w:r>
      <w:r>
        <w:rPr>
          <w:sz w:val="24"/>
        </w:rPr>
        <w:t>coffee,</w:t>
      </w:r>
      <w:r>
        <w:rPr>
          <w:spacing w:val="-3"/>
          <w:sz w:val="24"/>
        </w:rPr>
        <w:t> </w:t>
      </w:r>
      <w:r>
        <w:rPr>
          <w:sz w:val="24"/>
        </w:rPr>
        <w:t>unless</w:t>
      </w:r>
      <w:r>
        <w:rPr>
          <w:spacing w:val="-4"/>
          <w:sz w:val="24"/>
        </w:rPr>
        <w:t> </w:t>
      </w:r>
      <w:r>
        <w:rPr>
          <w:sz w:val="24"/>
        </w:rPr>
        <w:t>differences</w:t>
      </w:r>
      <w:r>
        <w:rPr>
          <w:spacing w:val="-4"/>
          <w:sz w:val="24"/>
        </w:rPr>
        <w:t> </w:t>
      </w:r>
      <w:r>
        <w:rPr>
          <w:sz w:val="24"/>
        </w:rPr>
        <w:t>in</w:t>
      </w:r>
      <w:r>
        <w:rPr>
          <w:spacing w:val="-4"/>
          <w:sz w:val="24"/>
        </w:rPr>
        <w:t> </w:t>
      </w:r>
      <w:r>
        <w:rPr>
          <w:sz w:val="24"/>
        </w:rPr>
        <w:t>age</w:t>
      </w:r>
      <w:r>
        <w:rPr>
          <w:spacing w:val="-4"/>
          <w:sz w:val="24"/>
        </w:rPr>
        <w:t> </w:t>
      </w:r>
      <w:r>
        <w:rPr>
          <w:sz w:val="24"/>
        </w:rPr>
        <w:t>or</w:t>
      </w:r>
      <w:r>
        <w:rPr>
          <w:spacing w:val="-3"/>
          <w:sz w:val="24"/>
        </w:rPr>
        <w:t> </w:t>
      </w:r>
      <w:r>
        <w:rPr>
          <w:sz w:val="24"/>
        </w:rPr>
        <w:t>special dietary needs are factors.</w:t>
      </w:r>
    </w:p>
    <w:p>
      <w:pPr>
        <w:pStyle w:val="ListParagraph"/>
        <w:spacing w:after="0" w:line="208" w:lineRule="auto"/>
        <w:jc w:val="left"/>
        <w:rPr>
          <w:sz w:val="24"/>
        </w:rPr>
        <w:sectPr>
          <w:pgSz w:w="12240" w:h="15840"/>
          <w:pgMar w:top="1340" w:bottom="280" w:left="1080" w:right="720"/>
        </w:sectPr>
      </w:pPr>
    </w:p>
    <w:p>
      <w:pPr>
        <w:pStyle w:val="ListParagraph"/>
        <w:numPr>
          <w:ilvl w:val="3"/>
          <w:numId w:val="343"/>
        </w:numPr>
        <w:tabs>
          <w:tab w:pos="2513" w:val="left" w:leader="none"/>
        </w:tabs>
        <w:spacing w:line="208" w:lineRule="auto" w:before="96" w:after="0"/>
        <w:ind w:left="2088" w:right="945" w:firstLine="0"/>
        <w:jc w:val="left"/>
        <w:rPr>
          <w:sz w:val="24"/>
        </w:rPr>
      </w:pPr>
      <w:r>
        <w:rPr>
          <w:sz w:val="24"/>
        </w:rPr>
        <w:t>Students who have not had opportunities to learn how to handle food</w:t>
      </w:r>
      <w:r>
        <w:rPr>
          <w:spacing w:val="-3"/>
          <w:sz w:val="24"/>
        </w:rPr>
        <w:t> </w:t>
      </w:r>
      <w:r>
        <w:rPr>
          <w:sz w:val="24"/>
        </w:rPr>
        <w:t>with</w:t>
      </w:r>
      <w:r>
        <w:rPr>
          <w:spacing w:val="-3"/>
          <w:sz w:val="24"/>
        </w:rPr>
        <w:t> </w:t>
      </w:r>
      <w:r>
        <w:rPr>
          <w:sz w:val="24"/>
        </w:rPr>
        <w:t>the</w:t>
      </w:r>
      <w:r>
        <w:rPr>
          <w:spacing w:val="-3"/>
          <w:sz w:val="24"/>
        </w:rPr>
        <w:t> </w:t>
      </w:r>
      <w:r>
        <w:rPr>
          <w:sz w:val="24"/>
        </w:rPr>
        <w:t>usual</w:t>
      </w:r>
      <w:r>
        <w:rPr>
          <w:spacing w:val="-3"/>
          <w:sz w:val="24"/>
        </w:rPr>
        <w:t> </w:t>
      </w:r>
      <w:r>
        <w:rPr>
          <w:sz w:val="24"/>
        </w:rPr>
        <w:t>table</w:t>
      </w:r>
      <w:r>
        <w:rPr>
          <w:spacing w:val="-3"/>
          <w:sz w:val="24"/>
        </w:rPr>
        <w:t> </w:t>
      </w:r>
      <w:r>
        <w:rPr>
          <w:sz w:val="24"/>
        </w:rPr>
        <w:t>service</w:t>
      </w:r>
      <w:r>
        <w:rPr>
          <w:spacing w:val="-3"/>
          <w:sz w:val="24"/>
        </w:rPr>
        <w:t> </w:t>
      </w:r>
      <w:r>
        <w:rPr>
          <w:sz w:val="24"/>
        </w:rPr>
        <w:t>are</w:t>
      </w:r>
      <w:r>
        <w:rPr>
          <w:spacing w:val="-3"/>
          <w:sz w:val="24"/>
        </w:rPr>
        <w:t> </w:t>
      </w:r>
      <w:r>
        <w:rPr>
          <w:sz w:val="24"/>
        </w:rPr>
        <w:t>managed</w:t>
      </w:r>
      <w:r>
        <w:rPr>
          <w:spacing w:val="-3"/>
          <w:sz w:val="24"/>
        </w:rPr>
        <w:t> </w:t>
      </w:r>
      <w:r>
        <w:rPr>
          <w:sz w:val="24"/>
        </w:rPr>
        <w:t>in</w:t>
      </w:r>
      <w:r>
        <w:rPr>
          <w:spacing w:val="-3"/>
          <w:sz w:val="24"/>
        </w:rPr>
        <w:t> </w:t>
      </w:r>
      <w:r>
        <w:rPr>
          <w:sz w:val="24"/>
        </w:rPr>
        <w:t>such</w:t>
      </w:r>
      <w:r>
        <w:rPr>
          <w:spacing w:val="-3"/>
          <w:sz w:val="24"/>
        </w:rPr>
        <w:t> </w:t>
      </w:r>
      <w:r>
        <w:rPr>
          <w:sz w:val="24"/>
        </w:rPr>
        <w:t>a</w:t>
      </w:r>
      <w:r>
        <w:rPr>
          <w:spacing w:val="-3"/>
          <w:sz w:val="24"/>
        </w:rPr>
        <w:t> </w:t>
      </w:r>
      <w:r>
        <w:rPr>
          <w:sz w:val="24"/>
        </w:rPr>
        <w:t>way</w:t>
      </w:r>
      <w:r>
        <w:rPr>
          <w:spacing w:val="-3"/>
          <w:sz w:val="24"/>
        </w:rPr>
        <w:t> </w:t>
      </w:r>
      <w:r>
        <w:rPr>
          <w:sz w:val="24"/>
        </w:rPr>
        <w:t>that</w:t>
      </w:r>
      <w:r>
        <w:rPr>
          <w:spacing w:val="-2"/>
          <w:sz w:val="24"/>
        </w:rPr>
        <w:t> </w:t>
      </w:r>
      <w:r>
        <w:rPr>
          <w:sz w:val="24"/>
        </w:rPr>
        <w:t>they are not embarrassed or subject to the ridicule of other students.</w:t>
      </w:r>
    </w:p>
    <w:p>
      <w:pPr>
        <w:pStyle w:val="ListParagraph"/>
        <w:numPr>
          <w:ilvl w:val="1"/>
          <w:numId w:val="343"/>
        </w:numPr>
        <w:tabs>
          <w:tab w:pos="1676" w:val="left" w:leader="none"/>
        </w:tabs>
        <w:spacing w:line="208" w:lineRule="auto" w:before="240" w:after="0"/>
        <w:ind w:left="1223" w:right="726" w:firstLine="0"/>
        <w:jc w:val="left"/>
        <w:rPr>
          <w:sz w:val="24"/>
        </w:rPr>
      </w:pPr>
      <w:r>
        <w:rPr>
          <w:b/>
          <w:sz w:val="24"/>
        </w:rPr>
        <w:t>Student housing.</w:t>
      </w:r>
      <w:r>
        <w:rPr>
          <w:b/>
          <w:spacing w:val="40"/>
          <w:sz w:val="24"/>
        </w:rPr>
        <w:t> </w:t>
      </w:r>
      <w:r>
        <w:rPr>
          <w:sz w:val="24"/>
        </w:rPr>
        <w:t>Ample living quarters in a pleasant setting are considered essential to the growth of any child. Some degree of privacy, adequate bedding, suitable space for clothing and personal effects, recreation areas, clean and ample bath and toilet facilities, and</w:t>
      </w:r>
      <w:r>
        <w:rPr>
          <w:spacing w:val="-1"/>
          <w:sz w:val="24"/>
        </w:rPr>
        <w:t> </w:t>
      </w:r>
      <w:r>
        <w:rPr>
          <w:sz w:val="24"/>
        </w:rPr>
        <w:t>a pleasant atmosphere are all basic to this provision.</w:t>
      </w:r>
      <w:r>
        <w:rPr>
          <w:spacing w:val="40"/>
          <w:sz w:val="24"/>
        </w:rPr>
        <w:t> </w:t>
      </w:r>
      <w:r>
        <w:rPr>
          <w:sz w:val="24"/>
        </w:rPr>
        <w:t>In planning residential quarters in the schools, consideration should be given to color schemes, housekeeping possibilities, whether</w:t>
      </w:r>
      <w:r>
        <w:rPr>
          <w:spacing w:val="-3"/>
          <w:sz w:val="24"/>
        </w:rPr>
        <w:t> </w:t>
      </w:r>
      <w:r>
        <w:rPr>
          <w:sz w:val="24"/>
        </w:rPr>
        <w:t>the</w:t>
      </w:r>
      <w:r>
        <w:rPr>
          <w:spacing w:val="-4"/>
          <w:sz w:val="24"/>
        </w:rPr>
        <w:t> </w:t>
      </w:r>
      <w:r>
        <w:rPr>
          <w:sz w:val="24"/>
        </w:rPr>
        <w:t>area</w:t>
      </w:r>
      <w:r>
        <w:rPr>
          <w:spacing w:val="-4"/>
          <w:sz w:val="24"/>
        </w:rPr>
        <w:t> </w:t>
      </w:r>
      <w:r>
        <w:rPr>
          <w:sz w:val="24"/>
        </w:rPr>
        <w:t>lends</w:t>
      </w:r>
      <w:r>
        <w:rPr>
          <w:spacing w:val="-4"/>
          <w:sz w:val="24"/>
        </w:rPr>
        <w:t> </w:t>
      </w:r>
      <w:r>
        <w:rPr>
          <w:sz w:val="24"/>
        </w:rPr>
        <w:t>itself</w:t>
      </w:r>
      <w:r>
        <w:rPr>
          <w:spacing w:val="-3"/>
          <w:sz w:val="24"/>
        </w:rPr>
        <w:t> </w:t>
      </w:r>
      <w:r>
        <w:rPr>
          <w:sz w:val="24"/>
        </w:rPr>
        <w:t>to</w:t>
      </w:r>
      <w:r>
        <w:rPr>
          <w:spacing w:val="-4"/>
          <w:sz w:val="24"/>
        </w:rPr>
        <w:t> </w:t>
      </w:r>
      <w:r>
        <w:rPr>
          <w:sz w:val="24"/>
        </w:rPr>
        <w:t>proper</w:t>
      </w:r>
      <w:r>
        <w:rPr>
          <w:spacing w:val="-3"/>
          <w:sz w:val="24"/>
        </w:rPr>
        <w:t> </w:t>
      </w:r>
      <w:r>
        <w:rPr>
          <w:sz w:val="24"/>
        </w:rPr>
        <w:t>supervision,</w:t>
      </w:r>
      <w:r>
        <w:rPr>
          <w:spacing w:val="-3"/>
          <w:sz w:val="24"/>
        </w:rPr>
        <w:t> </w:t>
      </w:r>
      <w:r>
        <w:rPr>
          <w:sz w:val="24"/>
        </w:rPr>
        <w:t>heating,</w:t>
      </w:r>
      <w:r>
        <w:rPr>
          <w:spacing w:val="-3"/>
          <w:sz w:val="24"/>
        </w:rPr>
        <w:t> </w:t>
      </w:r>
      <w:r>
        <w:rPr>
          <w:sz w:val="24"/>
        </w:rPr>
        <w:t>cooling</w:t>
      </w:r>
      <w:r>
        <w:rPr>
          <w:spacing w:val="-3"/>
          <w:sz w:val="24"/>
        </w:rPr>
        <w:t> </w:t>
      </w:r>
      <w:r>
        <w:rPr>
          <w:sz w:val="24"/>
        </w:rPr>
        <w:t>and</w:t>
      </w:r>
      <w:r>
        <w:rPr>
          <w:spacing w:val="-4"/>
          <w:sz w:val="24"/>
        </w:rPr>
        <w:t> </w:t>
      </w:r>
      <w:r>
        <w:rPr>
          <w:sz w:val="24"/>
        </w:rPr>
        <w:t>lighting.</w:t>
      </w:r>
    </w:p>
    <w:p>
      <w:pPr>
        <w:pStyle w:val="ListParagraph"/>
        <w:numPr>
          <w:ilvl w:val="1"/>
          <w:numId w:val="343"/>
        </w:numPr>
        <w:tabs>
          <w:tab w:pos="1689" w:val="left" w:leader="none"/>
        </w:tabs>
        <w:spacing w:line="208" w:lineRule="auto" w:before="239" w:after="0"/>
        <w:ind w:left="1223" w:right="1536" w:firstLine="0"/>
        <w:jc w:val="left"/>
        <w:rPr>
          <w:sz w:val="24"/>
        </w:rPr>
      </w:pPr>
      <w:r>
        <w:rPr>
          <w:b/>
          <w:sz w:val="24"/>
        </w:rPr>
        <w:t>Clothing.</w:t>
      </w:r>
      <w:r>
        <w:rPr>
          <w:b/>
          <w:spacing w:val="40"/>
          <w:sz w:val="24"/>
        </w:rPr>
        <w:t> </w:t>
      </w:r>
      <w:r>
        <w:rPr>
          <w:sz w:val="24"/>
        </w:rPr>
        <w:t>Provision for appropriate student clothing is a parental responsibility.</w:t>
      </w:r>
      <w:r>
        <w:rPr>
          <w:spacing w:val="40"/>
          <w:sz w:val="24"/>
        </w:rPr>
        <w:t> </w:t>
      </w:r>
      <w:r>
        <w:rPr>
          <w:sz w:val="24"/>
        </w:rPr>
        <w:t>If</w:t>
      </w:r>
      <w:r>
        <w:rPr>
          <w:spacing w:val="-3"/>
          <w:sz w:val="24"/>
        </w:rPr>
        <w:t> </w:t>
      </w:r>
      <w:r>
        <w:rPr>
          <w:sz w:val="24"/>
        </w:rPr>
        <w:t>the</w:t>
      </w:r>
      <w:r>
        <w:rPr>
          <w:spacing w:val="-4"/>
          <w:sz w:val="24"/>
        </w:rPr>
        <w:t> </w:t>
      </w:r>
      <w:r>
        <w:rPr>
          <w:sz w:val="24"/>
        </w:rPr>
        <w:t>child's</w:t>
      </w:r>
      <w:r>
        <w:rPr>
          <w:spacing w:val="-4"/>
          <w:sz w:val="24"/>
        </w:rPr>
        <w:t> </w:t>
      </w:r>
      <w:r>
        <w:rPr>
          <w:sz w:val="24"/>
        </w:rPr>
        <w:t>parents</w:t>
      </w:r>
      <w:r>
        <w:rPr>
          <w:spacing w:val="-4"/>
          <w:sz w:val="24"/>
        </w:rPr>
        <w:t> </w:t>
      </w:r>
      <w:r>
        <w:rPr>
          <w:sz w:val="24"/>
        </w:rPr>
        <w:t>are</w:t>
      </w:r>
      <w:r>
        <w:rPr>
          <w:spacing w:val="-4"/>
          <w:sz w:val="24"/>
        </w:rPr>
        <w:t> </w:t>
      </w:r>
      <w:r>
        <w:rPr>
          <w:sz w:val="24"/>
        </w:rPr>
        <w:t>unable</w:t>
      </w:r>
      <w:r>
        <w:rPr>
          <w:spacing w:val="-4"/>
          <w:sz w:val="24"/>
        </w:rPr>
        <w:t> </w:t>
      </w:r>
      <w:r>
        <w:rPr>
          <w:sz w:val="24"/>
        </w:rPr>
        <w:t>or</w:t>
      </w:r>
      <w:r>
        <w:rPr>
          <w:spacing w:val="-3"/>
          <w:sz w:val="24"/>
        </w:rPr>
        <w:t> </w:t>
      </w:r>
      <w:r>
        <w:rPr>
          <w:sz w:val="24"/>
        </w:rPr>
        <w:t>unwilling</w:t>
      </w:r>
      <w:r>
        <w:rPr>
          <w:spacing w:val="-4"/>
          <w:sz w:val="24"/>
        </w:rPr>
        <w:t> </w:t>
      </w:r>
      <w:r>
        <w:rPr>
          <w:sz w:val="24"/>
        </w:rPr>
        <w:t>to</w:t>
      </w:r>
      <w:r>
        <w:rPr>
          <w:spacing w:val="-4"/>
          <w:sz w:val="24"/>
        </w:rPr>
        <w:t> </w:t>
      </w:r>
      <w:r>
        <w:rPr>
          <w:sz w:val="24"/>
        </w:rPr>
        <w:t>make</w:t>
      </w:r>
      <w:r>
        <w:rPr>
          <w:spacing w:val="-4"/>
          <w:sz w:val="24"/>
        </w:rPr>
        <w:t> </w:t>
      </w:r>
      <w:r>
        <w:rPr>
          <w:sz w:val="24"/>
        </w:rPr>
        <w:t>such provision, other resources will be sought.</w:t>
      </w:r>
      <w:r>
        <w:rPr>
          <w:spacing w:val="40"/>
          <w:sz w:val="24"/>
        </w:rPr>
        <w:t> </w:t>
      </w:r>
      <w:r>
        <w:rPr>
          <w:sz w:val="24"/>
        </w:rPr>
        <w:t>Care should be taken to label clothing and personal items.</w:t>
      </w:r>
    </w:p>
    <w:p>
      <w:pPr>
        <w:pStyle w:val="ListParagraph"/>
        <w:numPr>
          <w:ilvl w:val="1"/>
          <w:numId w:val="343"/>
        </w:numPr>
        <w:tabs>
          <w:tab w:pos="1689" w:val="left" w:leader="none"/>
        </w:tabs>
        <w:spacing w:line="208" w:lineRule="auto" w:before="239" w:after="0"/>
        <w:ind w:left="1223" w:right="729" w:firstLine="0"/>
        <w:jc w:val="left"/>
        <w:rPr>
          <w:sz w:val="24"/>
        </w:rPr>
      </w:pPr>
      <w:r>
        <w:rPr>
          <w:b/>
          <w:sz w:val="24"/>
        </w:rPr>
        <w:t>Health and medical services.</w:t>
      </w:r>
      <w:r>
        <w:rPr>
          <w:b/>
          <w:spacing w:val="40"/>
          <w:sz w:val="24"/>
        </w:rPr>
        <w:t> </w:t>
      </w:r>
      <w:r>
        <w:rPr>
          <w:sz w:val="24"/>
        </w:rPr>
        <w:t>Emergency and routine health care of students</w:t>
      </w:r>
      <w:r>
        <w:rPr>
          <w:spacing w:val="-3"/>
          <w:sz w:val="24"/>
        </w:rPr>
        <w:t> </w:t>
      </w:r>
      <w:r>
        <w:rPr>
          <w:sz w:val="24"/>
        </w:rPr>
        <w:t>is</w:t>
      </w:r>
      <w:r>
        <w:rPr>
          <w:spacing w:val="-3"/>
          <w:sz w:val="24"/>
        </w:rPr>
        <w:t> </w:t>
      </w:r>
      <w:r>
        <w:rPr>
          <w:sz w:val="24"/>
        </w:rPr>
        <w:t>provided</w:t>
      </w:r>
      <w:r>
        <w:rPr>
          <w:spacing w:val="-3"/>
          <w:sz w:val="24"/>
        </w:rPr>
        <w:t> </w:t>
      </w:r>
      <w:r>
        <w:rPr>
          <w:sz w:val="24"/>
        </w:rPr>
        <w:t>by</w:t>
      </w:r>
      <w:r>
        <w:rPr>
          <w:spacing w:val="-3"/>
          <w:sz w:val="24"/>
        </w:rPr>
        <w:t> </w:t>
      </w:r>
      <w:r>
        <w:rPr>
          <w:sz w:val="24"/>
        </w:rPr>
        <w:t>a</w:t>
      </w:r>
      <w:r>
        <w:rPr>
          <w:spacing w:val="-3"/>
          <w:sz w:val="24"/>
        </w:rPr>
        <w:t> </w:t>
      </w:r>
      <w:r>
        <w:rPr>
          <w:sz w:val="24"/>
        </w:rPr>
        <w:t>staff</w:t>
      </w:r>
      <w:r>
        <w:rPr>
          <w:spacing w:val="-2"/>
          <w:sz w:val="24"/>
        </w:rPr>
        <w:t> </w:t>
      </w:r>
      <w:r>
        <w:rPr>
          <w:sz w:val="24"/>
        </w:rPr>
        <w:t>of</w:t>
      </w:r>
      <w:r>
        <w:rPr>
          <w:spacing w:val="-4"/>
          <w:sz w:val="24"/>
        </w:rPr>
        <w:t> </w:t>
      </w:r>
      <w:r>
        <w:rPr>
          <w:sz w:val="24"/>
        </w:rPr>
        <w:t>licensed</w:t>
      </w:r>
      <w:r>
        <w:rPr>
          <w:spacing w:val="-3"/>
          <w:sz w:val="24"/>
        </w:rPr>
        <w:t> </w:t>
      </w:r>
      <w:r>
        <w:rPr>
          <w:sz w:val="24"/>
        </w:rPr>
        <w:t>nurses,</w:t>
      </w:r>
      <w:r>
        <w:rPr>
          <w:spacing w:val="-2"/>
          <w:sz w:val="24"/>
        </w:rPr>
        <w:t> </w:t>
      </w:r>
      <w:r>
        <w:rPr>
          <w:sz w:val="24"/>
        </w:rPr>
        <w:t>and</w:t>
      </w:r>
      <w:r>
        <w:rPr>
          <w:spacing w:val="-3"/>
          <w:sz w:val="24"/>
        </w:rPr>
        <w:t> </w:t>
      </w:r>
      <w:r>
        <w:rPr>
          <w:sz w:val="24"/>
        </w:rPr>
        <w:t>a</w:t>
      </w:r>
      <w:r>
        <w:rPr>
          <w:spacing w:val="-4"/>
          <w:sz w:val="24"/>
        </w:rPr>
        <w:t> </w:t>
      </w:r>
      <w:r>
        <w:rPr>
          <w:sz w:val="24"/>
        </w:rPr>
        <w:t>physician</w:t>
      </w:r>
      <w:r>
        <w:rPr>
          <w:spacing w:val="-2"/>
          <w:sz w:val="24"/>
        </w:rPr>
        <w:t> </w:t>
      </w:r>
      <w:r>
        <w:rPr>
          <w:sz w:val="24"/>
        </w:rPr>
        <w:t>contracted</w:t>
      </w:r>
      <w:r>
        <w:rPr>
          <w:spacing w:val="-4"/>
          <w:sz w:val="24"/>
        </w:rPr>
        <w:t> </w:t>
      </w:r>
      <w:r>
        <w:rPr>
          <w:sz w:val="24"/>
        </w:rPr>
        <w:t>by the Department.</w:t>
      </w:r>
      <w:r>
        <w:rPr>
          <w:spacing w:val="80"/>
          <w:sz w:val="24"/>
        </w:rPr>
        <w:t> </w:t>
      </w:r>
      <w:r>
        <w:rPr>
          <w:sz w:val="24"/>
        </w:rPr>
        <w:t>Minor medical and health needs will be addressed in the school clinic. Illnesses not amenable to recovery within a one to two day period will be referred to parents for care and follow-up. All medication administered will be prescribed by a physician. The cost of such prescriptions shall be borne by the parents. All medication is kept under lock and key in the school clinic. Dispensing of medication is supervised by nursing personnel.</w:t>
      </w:r>
      <w:r>
        <w:rPr>
          <w:spacing w:val="40"/>
          <w:sz w:val="24"/>
        </w:rPr>
        <w:t> </w:t>
      </w:r>
      <w:r>
        <w:rPr>
          <w:sz w:val="24"/>
        </w:rPr>
        <w:t>Parents will be notified immediately of any serious illness or injury, and the situation will be addressed in a manner mutually agreed upon.</w:t>
      </w:r>
    </w:p>
    <w:p>
      <w:pPr>
        <w:pStyle w:val="ListParagraph"/>
        <w:numPr>
          <w:ilvl w:val="2"/>
          <w:numId w:val="343"/>
        </w:numPr>
        <w:tabs>
          <w:tab w:pos="2000" w:val="left" w:leader="none"/>
        </w:tabs>
        <w:spacing w:line="208" w:lineRule="auto" w:before="239" w:after="0"/>
        <w:ind w:left="1655" w:right="1016" w:firstLine="0"/>
        <w:jc w:val="left"/>
        <w:rPr>
          <w:sz w:val="24"/>
        </w:rPr>
      </w:pPr>
      <w:r>
        <w:rPr>
          <w:sz w:val="24"/>
        </w:rPr>
        <w:t>Medical</w:t>
      </w:r>
      <w:r>
        <w:rPr>
          <w:spacing w:val="-3"/>
          <w:sz w:val="24"/>
        </w:rPr>
        <w:t> </w:t>
      </w:r>
      <w:r>
        <w:rPr>
          <w:sz w:val="24"/>
        </w:rPr>
        <w:t>plan.</w:t>
      </w:r>
      <w:r>
        <w:rPr>
          <w:spacing w:val="40"/>
          <w:sz w:val="24"/>
        </w:rPr>
        <w:t> </w:t>
      </w:r>
      <w:r>
        <w:rPr>
          <w:sz w:val="24"/>
        </w:rPr>
        <w:t>The</w:t>
      </w:r>
      <w:r>
        <w:rPr>
          <w:spacing w:val="-4"/>
          <w:sz w:val="24"/>
        </w:rPr>
        <w:t> </w:t>
      </w:r>
      <w:r>
        <w:rPr>
          <w:sz w:val="24"/>
        </w:rPr>
        <w:t>facility</w:t>
      </w:r>
      <w:r>
        <w:rPr>
          <w:spacing w:val="-4"/>
          <w:sz w:val="24"/>
        </w:rPr>
        <w:t> </w:t>
      </w:r>
      <w:r>
        <w:rPr>
          <w:sz w:val="24"/>
        </w:rPr>
        <w:t>has</w:t>
      </w:r>
      <w:r>
        <w:rPr>
          <w:spacing w:val="-4"/>
          <w:sz w:val="24"/>
        </w:rPr>
        <w:t> </w:t>
      </w:r>
      <w:r>
        <w:rPr>
          <w:sz w:val="24"/>
        </w:rPr>
        <w:t>an</w:t>
      </w:r>
      <w:r>
        <w:rPr>
          <w:spacing w:val="-4"/>
          <w:sz w:val="24"/>
        </w:rPr>
        <w:t> </w:t>
      </w:r>
      <w:r>
        <w:rPr>
          <w:sz w:val="24"/>
        </w:rPr>
        <w:t>operational</w:t>
      </w:r>
      <w:r>
        <w:rPr>
          <w:spacing w:val="-4"/>
          <w:sz w:val="24"/>
        </w:rPr>
        <w:t> </w:t>
      </w:r>
      <w:r>
        <w:rPr>
          <w:sz w:val="24"/>
        </w:rPr>
        <w:t>medical</w:t>
      </w:r>
      <w:r>
        <w:rPr>
          <w:spacing w:val="-3"/>
          <w:sz w:val="24"/>
        </w:rPr>
        <w:t> </w:t>
      </w:r>
      <w:r>
        <w:rPr>
          <w:sz w:val="24"/>
        </w:rPr>
        <w:t>plan</w:t>
      </w:r>
      <w:r>
        <w:rPr>
          <w:spacing w:val="-4"/>
          <w:sz w:val="24"/>
        </w:rPr>
        <w:t> </w:t>
      </w:r>
      <w:r>
        <w:rPr>
          <w:sz w:val="24"/>
        </w:rPr>
        <w:t>to</w:t>
      </w:r>
      <w:r>
        <w:rPr>
          <w:spacing w:val="-4"/>
          <w:sz w:val="24"/>
        </w:rPr>
        <w:t> </w:t>
      </w:r>
      <w:r>
        <w:rPr>
          <w:sz w:val="24"/>
        </w:rPr>
        <w:t>meet</w:t>
      </w:r>
      <w:r>
        <w:rPr>
          <w:spacing w:val="-3"/>
          <w:sz w:val="24"/>
        </w:rPr>
        <w:t> </w:t>
      </w:r>
      <w:r>
        <w:rPr>
          <w:sz w:val="24"/>
        </w:rPr>
        <w:t>the medical needs of the students.</w:t>
      </w:r>
    </w:p>
    <w:p>
      <w:pPr>
        <w:pStyle w:val="ListParagraph"/>
        <w:numPr>
          <w:ilvl w:val="2"/>
          <w:numId w:val="343"/>
        </w:numPr>
        <w:tabs>
          <w:tab w:pos="2053" w:val="left" w:leader="none"/>
        </w:tabs>
        <w:spacing w:line="208" w:lineRule="auto" w:before="240" w:after="0"/>
        <w:ind w:left="1655" w:right="978" w:firstLine="0"/>
        <w:jc w:val="left"/>
        <w:rPr>
          <w:sz w:val="24"/>
        </w:rPr>
      </w:pPr>
      <w:r>
        <w:rPr>
          <w:sz w:val="24"/>
        </w:rPr>
        <w:t>Physical</w:t>
      </w:r>
      <w:r>
        <w:rPr>
          <w:spacing w:val="-5"/>
          <w:sz w:val="24"/>
        </w:rPr>
        <w:t> </w:t>
      </w:r>
      <w:r>
        <w:rPr>
          <w:sz w:val="24"/>
        </w:rPr>
        <w:t>examination.</w:t>
      </w:r>
      <w:r>
        <w:rPr>
          <w:spacing w:val="40"/>
          <w:sz w:val="24"/>
        </w:rPr>
        <w:t> </w:t>
      </w:r>
      <w:r>
        <w:rPr>
          <w:sz w:val="24"/>
        </w:rPr>
        <w:t>Each</w:t>
      </w:r>
      <w:r>
        <w:rPr>
          <w:spacing w:val="-5"/>
          <w:sz w:val="24"/>
        </w:rPr>
        <w:t> </w:t>
      </w:r>
      <w:r>
        <w:rPr>
          <w:sz w:val="24"/>
        </w:rPr>
        <w:t>student</w:t>
      </w:r>
      <w:r>
        <w:rPr>
          <w:spacing w:val="-4"/>
          <w:sz w:val="24"/>
        </w:rPr>
        <w:t> </w:t>
      </w:r>
      <w:r>
        <w:rPr>
          <w:sz w:val="24"/>
        </w:rPr>
        <w:t>is</w:t>
      </w:r>
      <w:r>
        <w:rPr>
          <w:spacing w:val="-5"/>
          <w:sz w:val="24"/>
        </w:rPr>
        <w:t> </w:t>
      </w:r>
      <w:r>
        <w:rPr>
          <w:sz w:val="24"/>
        </w:rPr>
        <w:t>offered</w:t>
      </w:r>
      <w:r>
        <w:rPr>
          <w:spacing w:val="-5"/>
          <w:sz w:val="24"/>
        </w:rPr>
        <w:t> </w:t>
      </w:r>
      <w:r>
        <w:rPr>
          <w:sz w:val="24"/>
        </w:rPr>
        <w:t>a</w:t>
      </w:r>
      <w:r>
        <w:rPr>
          <w:spacing w:val="-5"/>
          <w:sz w:val="24"/>
        </w:rPr>
        <w:t> </w:t>
      </w:r>
      <w:r>
        <w:rPr>
          <w:sz w:val="24"/>
        </w:rPr>
        <w:t>physical</w:t>
      </w:r>
      <w:r>
        <w:rPr>
          <w:spacing w:val="-5"/>
          <w:sz w:val="24"/>
        </w:rPr>
        <w:t> </w:t>
      </w:r>
      <w:r>
        <w:rPr>
          <w:sz w:val="24"/>
        </w:rPr>
        <w:t>examination annually, or at more frequent intervals as recommended by a health care </w:t>
      </w:r>
      <w:r>
        <w:rPr>
          <w:spacing w:val="-2"/>
          <w:sz w:val="24"/>
        </w:rPr>
        <w:t>professional.</w:t>
      </w:r>
    </w:p>
    <w:p>
      <w:pPr>
        <w:pStyle w:val="ListParagraph"/>
        <w:numPr>
          <w:ilvl w:val="2"/>
          <w:numId w:val="343"/>
        </w:numPr>
        <w:tabs>
          <w:tab w:pos="2106" w:val="left" w:leader="none"/>
        </w:tabs>
        <w:spacing w:line="208" w:lineRule="auto" w:before="240" w:after="0"/>
        <w:ind w:left="1655" w:right="751" w:firstLine="0"/>
        <w:jc w:val="left"/>
        <w:rPr>
          <w:sz w:val="24"/>
        </w:rPr>
      </w:pPr>
      <w:r>
        <w:rPr>
          <w:sz w:val="24"/>
        </w:rPr>
        <w:t>Medical care.</w:t>
      </w:r>
      <w:r>
        <w:rPr>
          <w:spacing w:val="80"/>
          <w:sz w:val="24"/>
        </w:rPr>
        <w:t> </w:t>
      </w:r>
      <w:r>
        <w:rPr>
          <w:sz w:val="24"/>
        </w:rPr>
        <w:t>Each student receives proper medical and/or dental care.</w:t>
      </w:r>
      <w:r>
        <w:rPr>
          <w:spacing w:val="40"/>
          <w:sz w:val="24"/>
        </w:rPr>
        <w:t> </w:t>
      </w:r>
      <w:r>
        <w:rPr>
          <w:sz w:val="24"/>
        </w:rPr>
        <w:t>When a serious accident or illness occurs to a student, the facility takes</w:t>
      </w:r>
      <w:r>
        <w:rPr>
          <w:spacing w:val="-4"/>
          <w:sz w:val="24"/>
        </w:rPr>
        <w:t> </w:t>
      </w:r>
      <w:r>
        <w:rPr>
          <w:sz w:val="24"/>
        </w:rPr>
        <w:t>the</w:t>
      </w:r>
      <w:r>
        <w:rPr>
          <w:spacing w:val="-4"/>
          <w:sz w:val="24"/>
        </w:rPr>
        <w:t> </w:t>
      </w:r>
      <w:r>
        <w:rPr>
          <w:sz w:val="24"/>
        </w:rPr>
        <w:t>necessary</w:t>
      </w:r>
      <w:r>
        <w:rPr>
          <w:spacing w:val="-4"/>
          <w:sz w:val="24"/>
        </w:rPr>
        <w:t> </w:t>
      </w:r>
      <w:r>
        <w:rPr>
          <w:sz w:val="24"/>
        </w:rPr>
        <w:t>emergency</w:t>
      </w:r>
      <w:r>
        <w:rPr>
          <w:spacing w:val="-4"/>
          <w:sz w:val="24"/>
        </w:rPr>
        <w:t> </w:t>
      </w:r>
      <w:r>
        <w:rPr>
          <w:sz w:val="24"/>
        </w:rPr>
        <w:t>action</w:t>
      </w:r>
      <w:r>
        <w:rPr>
          <w:spacing w:val="-4"/>
          <w:sz w:val="24"/>
        </w:rPr>
        <w:t> </w:t>
      </w:r>
      <w:r>
        <w:rPr>
          <w:sz w:val="24"/>
        </w:rPr>
        <w:t>and</w:t>
      </w:r>
      <w:r>
        <w:rPr>
          <w:spacing w:val="-4"/>
          <w:sz w:val="24"/>
        </w:rPr>
        <w:t> </w:t>
      </w:r>
      <w:r>
        <w:rPr>
          <w:sz w:val="24"/>
        </w:rPr>
        <w:t>notifies</w:t>
      </w:r>
      <w:r>
        <w:rPr>
          <w:spacing w:val="-4"/>
          <w:sz w:val="24"/>
        </w:rPr>
        <w:t> </w:t>
      </w:r>
      <w:r>
        <w:rPr>
          <w:sz w:val="24"/>
        </w:rPr>
        <w:t>the</w:t>
      </w:r>
      <w:r>
        <w:rPr>
          <w:spacing w:val="-4"/>
          <w:sz w:val="24"/>
        </w:rPr>
        <w:t> </w:t>
      </w:r>
      <w:r>
        <w:rPr>
          <w:sz w:val="24"/>
        </w:rPr>
        <w:t>parents</w:t>
      </w:r>
      <w:r>
        <w:rPr>
          <w:spacing w:val="-4"/>
          <w:sz w:val="24"/>
        </w:rPr>
        <w:t> </w:t>
      </w:r>
      <w:r>
        <w:rPr>
          <w:sz w:val="24"/>
        </w:rPr>
        <w:t>or</w:t>
      </w:r>
      <w:r>
        <w:rPr>
          <w:spacing w:val="-5"/>
          <w:sz w:val="24"/>
        </w:rPr>
        <w:t> </w:t>
      </w:r>
      <w:r>
        <w:rPr>
          <w:sz w:val="24"/>
        </w:rPr>
        <w:t>custodian </w:t>
      </w:r>
      <w:r>
        <w:rPr>
          <w:spacing w:val="-2"/>
          <w:sz w:val="24"/>
        </w:rPr>
        <w:t>immediately.</w:t>
      </w:r>
    </w:p>
    <w:p>
      <w:pPr>
        <w:pStyle w:val="ListParagraph"/>
        <w:numPr>
          <w:ilvl w:val="2"/>
          <w:numId w:val="343"/>
        </w:numPr>
        <w:tabs>
          <w:tab w:pos="2120" w:val="left" w:leader="none"/>
        </w:tabs>
        <w:spacing w:line="208" w:lineRule="auto" w:before="240" w:after="0"/>
        <w:ind w:left="1655" w:right="801" w:firstLine="0"/>
        <w:jc w:val="left"/>
        <w:rPr>
          <w:sz w:val="24"/>
        </w:rPr>
      </w:pPr>
      <w:r>
        <w:rPr>
          <w:sz w:val="24"/>
        </w:rPr>
        <w:t>Immunizations.</w:t>
      </w:r>
      <w:r>
        <w:rPr>
          <w:spacing w:val="40"/>
          <w:sz w:val="24"/>
        </w:rPr>
        <w:t> </w:t>
      </w:r>
      <w:r>
        <w:rPr>
          <w:sz w:val="24"/>
        </w:rPr>
        <w:t>Students are required to have immunizations against communicable</w:t>
      </w:r>
      <w:r>
        <w:rPr>
          <w:spacing w:val="-4"/>
          <w:sz w:val="24"/>
        </w:rPr>
        <w:t> </w:t>
      </w:r>
      <w:r>
        <w:rPr>
          <w:sz w:val="24"/>
        </w:rPr>
        <w:t>diseases</w:t>
      </w:r>
      <w:r>
        <w:rPr>
          <w:spacing w:val="-4"/>
          <w:sz w:val="24"/>
        </w:rPr>
        <w:t> </w:t>
      </w:r>
      <w:r>
        <w:rPr>
          <w:sz w:val="24"/>
        </w:rPr>
        <w:t>in</w:t>
      </w:r>
      <w:r>
        <w:rPr>
          <w:spacing w:val="-4"/>
          <w:sz w:val="24"/>
        </w:rPr>
        <w:t> </w:t>
      </w:r>
      <w:r>
        <w:rPr>
          <w:sz w:val="24"/>
        </w:rPr>
        <w:t>accordance</w:t>
      </w:r>
      <w:r>
        <w:rPr>
          <w:spacing w:val="-4"/>
          <w:sz w:val="24"/>
        </w:rPr>
        <w:t> </w:t>
      </w:r>
      <w:r>
        <w:rPr>
          <w:sz w:val="24"/>
        </w:rPr>
        <w:t>with</w:t>
      </w:r>
      <w:r>
        <w:rPr>
          <w:spacing w:val="-4"/>
          <w:sz w:val="24"/>
        </w:rPr>
        <w:t> </w:t>
      </w:r>
      <w:r>
        <w:rPr>
          <w:sz w:val="24"/>
        </w:rPr>
        <w:t>the</w:t>
      </w:r>
      <w:r>
        <w:rPr>
          <w:spacing w:val="-4"/>
          <w:sz w:val="24"/>
        </w:rPr>
        <w:t> </w:t>
      </w:r>
      <w:r>
        <w:rPr>
          <w:sz w:val="24"/>
        </w:rPr>
        <w:t>rules</w:t>
      </w:r>
      <w:r>
        <w:rPr>
          <w:spacing w:val="-4"/>
          <w:sz w:val="24"/>
        </w:rPr>
        <w:t> </w:t>
      </w:r>
      <w:r>
        <w:rPr>
          <w:sz w:val="24"/>
        </w:rPr>
        <w:t>and</w:t>
      </w:r>
      <w:r>
        <w:rPr>
          <w:spacing w:val="-4"/>
          <w:sz w:val="24"/>
        </w:rPr>
        <w:t> </w:t>
      </w:r>
      <w:r>
        <w:rPr>
          <w:sz w:val="24"/>
        </w:rPr>
        <w:t>regulations</w:t>
      </w:r>
      <w:r>
        <w:rPr>
          <w:spacing w:val="-4"/>
          <w:sz w:val="24"/>
        </w:rPr>
        <w:t> </w:t>
      </w:r>
      <w:r>
        <w:rPr>
          <w:sz w:val="24"/>
        </w:rPr>
        <w:t>of</w:t>
      </w:r>
      <w:r>
        <w:rPr>
          <w:spacing w:val="-3"/>
          <w:sz w:val="24"/>
        </w:rPr>
        <w:t> </w:t>
      </w:r>
      <w:r>
        <w:rPr>
          <w:sz w:val="24"/>
        </w:rPr>
        <w:t>the State Department of Health and the Oklahoma State Department of </w:t>
      </w:r>
      <w:r>
        <w:rPr>
          <w:spacing w:val="-2"/>
          <w:sz w:val="24"/>
        </w:rPr>
        <w:t>Education.</w:t>
      </w:r>
    </w:p>
    <w:p>
      <w:pPr>
        <w:pStyle w:val="ListParagraph"/>
        <w:numPr>
          <w:ilvl w:val="2"/>
          <w:numId w:val="343"/>
        </w:numPr>
        <w:tabs>
          <w:tab w:pos="2068" w:val="left" w:leader="none"/>
        </w:tabs>
        <w:spacing w:line="240" w:lineRule="auto" w:before="210" w:after="0"/>
        <w:ind w:left="2068" w:right="0" w:hanging="413"/>
        <w:jc w:val="left"/>
        <w:rPr>
          <w:b/>
          <w:sz w:val="24"/>
        </w:rPr>
      </w:pPr>
      <w:r>
        <w:rPr>
          <w:sz w:val="24"/>
        </w:rPr>
        <w:t>Medication.</w:t>
      </w:r>
      <w:r>
        <w:rPr>
          <w:spacing w:val="58"/>
          <w:sz w:val="24"/>
        </w:rPr>
        <w:t> </w:t>
      </w:r>
      <w:r>
        <w:rPr>
          <w:sz w:val="24"/>
        </w:rPr>
        <w:t>The</w:t>
      </w:r>
      <w:r>
        <w:rPr>
          <w:spacing w:val="-3"/>
          <w:sz w:val="24"/>
        </w:rPr>
        <w:t> </w:t>
      </w:r>
      <w:r>
        <w:rPr>
          <w:sz w:val="24"/>
        </w:rPr>
        <w:t>facility</w:t>
      </w:r>
      <w:r>
        <w:rPr>
          <w:spacing w:val="-4"/>
          <w:sz w:val="24"/>
        </w:rPr>
        <w:t> </w:t>
      </w:r>
      <w:r>
        <w:rPr>
          <w:sz w:val="24"/>
        </w:rPr>
        <w:t>has</w:t>
      </w:r>
      <w:r>
        <w:rPr>
          <w:spacing w:val="-3"/>
          <w:sz w:val="24"/>
        </w:rPr>
        <w:t> </w:t>
      </w:r>
      <w:r>
        <w:rPr>
          <w:sz w:val="24"/>
        </w:rPr>
        <w:t>current,</w:t>
      </w:r>
      <w:r>
        <w:rPr>
          <w:spacing w:val="-2"/>
          <w:sz w:val="24"/>
        </w:rPr>
        <w:t> </w:t>
      </w:r>
      <w:r>
        <w:rPr>
          <w:sz w:val="24"/>
        </w:rPr>
        <w:t>written</w:t>
      </w:r>
      <w:r>
        <w:rPr>
          <w:spacing w:val="-4"/>
          <w:sz w:val="24"/>
        </w:rPr>
        <w:t> </w:t>
      </w:r>
      <w:r>
        <w:rPr>
          <w:sz w:val="24"/>
        </w:rPr>
        <w:t>medication</w:t>
      </w:r>
      <w:r>
        <w:rPr>
          <w:spacing w:val="-3"/>
          <w:sz w:val="24"/>
        </w:rPr>
        <w:t> </w:t>
      </w:r>
      <w:r>
        <w:rPr>
          <w:sz w:val="24"/>
        </w:rPr>
        <w:t>procedures</w:t>
      </w:r>
      <w:r>
        <w:rPr>
          <w:spacing w:val="61"/>
          <w:sz w:val="24"/>
        </w:rPr>
        <w:t> </w:t>
      </w:r>
      <w:r>
        <w:rPr>
          <w:b/>
          <w:spacing w:val="-10"/>
          <w:sz w:val="24"/>
        </w:rPr>
        <w:t>1</w:t>
      </w:r>
    </w:p>
    <w:p>
      <w:pPr>
        <w:pStyle w:val="ListParagraph"/>
        <w:numPr>
          <w:ilvl w:val="3"/>
          <w:numId w:val="343"/>
        </w:numPr>
        <w:tabs>
          <w:tab w:pos="2446" w:val="left" w:leader="none"/>
        </w:tabs>
        <w:spacing w:line="208" w:lineRule="auto" w:before="233" w:after="0"/>
        <w:ind w:left="2087" w:right="718" w:firstLine="0"/>
        <w:jc w:val="left"/>
        <w:rPr>
          <w:sz w:val="24"/>
        </w:rPr>
      </w:pPr>
      <w:r>
        <w:rPr>
          <w:sz w:val="24"/>
        </w:rPr>
        <w:t>When any medication is administered to a student, a precise record is kept with the student's name, the name of the medication, the dosage, date and time given, and the signature of the person who administered it.</w:t>
      </w:r>
      <w:r>
        <w:rPr>
          <w:spacing w:val="80"/>
          <w:sz w:val="24"/>
        </w:rPr>
        <w:t> </w:t>
      </w:r>
      <w:r>
        <w:rPr>
          <w:sz w:val="24"/>
        </w:rPr>
        <w:t>The reason for the medication is noted and any unusual</w:t>
      </w:r>
      <w:r>
        <w:rPr>
          <w:spacing w:val="-4"/>
          <w:sz w:val="24"/>
        </w:rPr>
        <w:t> </w:t>
      </w:r>
      <w:r>
        <w:rPr>
          <w:sz w:val="24"/>
        </w:rPr>
        <w:t>reaction</w:t>
      </w:r>
      <w:r>
        <w:rPr>
          <w:spacing w:val="-4"/>
          <w:sz w:val="24"/>
        </w:rPr>
        <w:t> </w:t>
      </w:r>
      <w:r>
        <w:rPr>
          <w:sz w:val="24"/>
        </w:rPr>
        <w:t>is</w:t>
      </w:r>
      <w:r>
        <w:rPr>
          <w:spacing w:val="-4"/>
          <w:sz w:val="24"/>
        </w:rPr>
        <w:t> </w:t>
      </w:r>
      <w:r>
        <w:rPr>
          <w:sz w:val="24"/>
        </w:rPr>
        <w:t>documented.</w:t>
      </w:r>
      <w:r>
        <w:rPr>
          <w:spacing w:val="40"/>
          <w:sz w:val="24"/>
        </w:rPr>
        <w:t> </w:t>
      </w:r>
      <w:r>
        <w:rPr>
          <w:sz w:val="24"/>
        </w:rPr>
        <w:t>The</w:t>
      </w:r>
      <w:r>
        <w:rPr>
          <w:spacing w:val="-4"/>
          <w:sz w:val="24"/>
        </w:rPr>
        <w:t> </w:t>
      </w:r>
      <w:r>
        <w:rPr>
          <w:sz w:val="24"/>
        </w:rPr>
        <w:t>student,</w:t>
      </w:r>
      <w:r>
        <w:rPr>
          <w:spacing w:val="-5"/>
          <w:sz w:val="24"/>
        </w:rPr>
        <w:t> </w:t>
      </w:r>
      <w:r>
        <w:rPr>
          <w:sz w:val="24"/>
        </w:rPr>
        <w:t>the</w:t>
      </w:r>
      <w:r>
        <w:rPr>
          <w:spacing w:val="-4"/>
          <w:sz w:val="24"/>
        </w:rPr>
        <w:t> </w:t>
      </w:r>
      <w:r>
        <w:rPr>
          <w:sz w:val="24"/>
        </w:rPr>
        <w:t>parents</w:t>
      </w:r>
      <w:r>
        <w:rPr>
          <w:spacing w:val="-4"/>
          <w:sz w:val="24"/>
        </w:rPr>
        <w:t> </w:t>
      </w:r>
      <w:r>
        <w:rPr>
          <w:sz w:val="24"/>
        </w:rPr>
        <w:t>or</w:t>
      </w:r>
      <w:r>
        <w:rPr>
          <w:spacing w:val="-3"/>
          <w:sz w:val="24"/>
        </w:rPr>
        <w:t> </w:t>
      </w:r>
      <w:r>
        <w:rPr>
          <w:sz w:val="24"/>
        </w:rPr>
        <w:t>custodian, and all staff members responsible for the student are informed of the side effects of the medication prescribed for the student.</w:t>
      </w:r>
    </w:p>
    <w:p>
      <w:pPr>
        <w:pStyle w:val="ListParagraph"/>
        <w:spacing w:after="0" w:line="208" w:lineRule="auto"/>
        <w:jc w:val="left"/>
        <w:rPr>
          <w:sz w:val="24"/>
        </w:rPr>
        <w:sectPr>
          <w:pgSz w:w="12240" w:h="15840"/>
          <w:pgMar w:top="1340" w:bottom="280" w:left="1080" w:right="720"/>
        </w:sectPr>
      </w:pPr>
    </w:p>
    <w:p>
      <w:pPr>
        <w:pStyle w:val="ListParagraph"/>
        <w:numPr>
          <w:ilvl w:val="3"/>
          <w:numId w:val="343"/>
        </w:numPr>
        <w:tabs>
          <w:tab w:pos="2513" w:val="left" w:leader="none"/>
        </w:tabs>
        <w:spacing w:line="208" w:lineRule="auto" w:before="96" w:after="0"/>
        <w:ind w:left="2088" w:right="969" w:firstLine="0"/>
        <w:jc w:val="left"/>
        <w:rPr>
          <w:sz w:val="24"/>
        </w:rPr>
      </w:pPr>
      <w:r>
        <w:rPr>
          <w:sz w:val="24"/>
        </w:rPr>
        <w:t>Prescription</w:t>
      </w:r>
      <w:r>
        <w:rPr>
          <w:spacing w:val="-5"/>
          <w:sz w:val="24"/>
        </w:rPr>
        <w:t> </w:t>
      </w:r>
      <w:r>
        <w:rPr>
          <w:sz w:val="24"/>
        </w:rPr>
        <w:t>medications</w:t>
      </w:r>
      <w:r>
        <w:rPr>
          <w:spacing w:val="-5"/>
          <w:sz w:val="24"/>
        </w:rPr>
        <w:t> </w:t>
      </w:r>
      <w:r>
        <w:rPr>
          <w:sz w:val="24"/>
        </w:rPr>
        <w:t>are</w:t>
      </w:r>
      <w:r>
        <w:rPr>
          <w:spacing w:val="-5"/>
          <w:sz w:val="24"/>
        </w:rPr>
        <w:t> </w:t>
      </w:r>
      <w:r>
        <w:rPr>
          <w:sz w:val="24"/>
        </w:rPr>
        <w:t>administered</w:t>
      </w:r>
      <w:r>
        <w:rPr>
          <w:spacing w:val="-5"/>
          <w:sz w:val="24"/>
        </w:rPr>
        <w:t> </w:t>
      </w:r>
      <w:r>
        <w:rPr>
          <w:sz w:val="24"/>
        </w:rPr>
        <w:t>by</w:t>
      </w:r>
      <w:r>
        <w:rPr>
          <w:spacing w:val="-5"/>
          <w:sz w:val="24"/>
        </w:rPr>
        <w:t> </w:t>
      </w:r>
      <w:r>
        <w:rPr>
          <w:sz w:val="24"/>
        </w:rPr>
        <w:t>the</w:t>
      </w:r>
      <w:r>
        <w:rPr>
          <w:spacing w:val="-5"/>
          <w:sz w:val="24"/>
        </w:rPr>
        <w:t> </w:t>
      </w:r>
      <w:r>
        <w:rPr>
          <w:sz w:val="24"/>
        </w:rPr>
        <w:t>designated</w:t>
      </w:r>
      <w:r>
        <w:rPr>
          <w:spacing w:val="-5"/>
          <w:sz w:val="24"/>
        </w:rPr>
        <w:t> </w:t>
      </w:r>
      <w:r>
        <w:rPr>
          <w:sz w:val="24"/>
        </w:rPr>
        <w:t>staff member only as part of a prescribed therapeutic treatment as prescribed by a medical doctor.</w:t>
      </w:r>
    </w:p>
    <w:p>
      <w:pPr>
        <w:pStyle w:val="ListParagraph"/>
        <w:numPr>
          <w:ilvl w:val="3"/>
          <w:numId w:val="343"/>
        </w:numPr>
        <w:tabs>
          <w:tab w:pos="2579" w:val="left" w:leader="none"/>
        </w:tabs>
        <w:spacing w:line="208" w:lineRule="auto" w:before="240" w:after="0"/>
        <w:ind w:left="2087" w:right="1491" w:firstLine="0"/>
        <w:jc w:val="left"/>
        <w:rPr>
          <w:sz w:val="24"/>
        </w:rPr>
      </w:pPr>
      <w:r>
        <w:rPr>
          <w:sz w:val="24"/>
        </w:rPr>
        <w:t>All</w:t>
      </w:r>
      <w:r>
        <w:rPr>
          <w:spacing w:val="-4"/>
          <w:sz w:val="24"/>
        </w:rPr>
        <w:t> </w:t>
      </w:r>
      <w:r>
        <w:rPr>
          <w:sz w:val="24"/>
        </w:rPr>
        <w:t>medications</w:t>
      </w:r>
      <w:r>
        <w:rPr>
          <w:spacing w:val="-4"/>
          <w:sz w:val="24"/>
        </w:rPr>
        <w:t> </w:t>
      </w:r>
      <w:r>
        <w:rPr>
          <w:sz w:val="24"/>
        </w:rPr>
        <w:t>are</w:t>
      </w:r>
      <w:r>
        <w:rPr>
          <w:spacing w:val="-4"/>
          <w:sz w:val="24"/>
        </w:rPr>
        <w:t> </w:t>
      </w:r>
      <w:r>
        <w:rPr>
          <w:sz w:val="24"/>
        </w:rPr>
        <w:t>kept</w:t>
      </w:r>
      <w:r>
        <w:rPr>
          <w:spacing w:val="-3"/>
          <w:sz w:val="24"/>
        </w:rPr>
        <w:t> </w:t>
      </w:r>
      <w:r>
        <w:rPr>
          <w:sz w:val="24"/>
        </w:rPr>
        <w:t>in</w:t>
      </w:r>
      <w:r>
        <w:rPr>
          <w:spacing w:val="-4"/>
          <w:sz w:val="24"/>
        </w:rPr>
        <w:t> </w:t>
      </w:r>
      <w:r>
        <w:rPr>
          <w:sz w:val="24"/>
        </w:rPr>
        <w:t>a</w:t>
      </w:r>
      <w:r>
        <w:rPr>
          <w:spacing w:val="-4"/>
          <w:sz w:val="24"/>
        </w:rPr>
        <w:t> </w:t>
      </w:r>
      <w:r>
        <w:rPr>
          <w:sz w:val="24"/>
        </w:rPr>
        <w:t>locked</w:t>
      </w:r>
      <w:r>
        <w:rPr>
          <w:spacing w:val="-4"/>
          <w:sz w:val="24"/>
        </w:rPr>
        <w:t> </w:t>
      </w:r>
      <w:r>
        <w:rPr>
          <w:sz w:val="24"/>
        </w:rPr>
        <w:t>container</w:t>
      </w:r>
      <w:r>
        <w:rPr>
          <w:spacing w:val="-3"/>
          <w:sz w:val="24"/>
        </w:rPr>
        <w:t> </w:t>
      </w:r>
      <w:r>
        <w:rPr>
          <w:sz w:val="24"/>
        </w:rPr>
        <w:t>and</w:t>
      </w:r>
      <w:r>
        <w:rPr>
          <w:spacing w:val="-4"/>
          <w:sz w:val="24"/>
        </w:rPr>
        <w:t> </w:t>
      </w:r>
      <w:r>
        <w:rPr>
          <w:sz w:val="24"/>
        </w:rPr>
        <w:t>under</w:t>
      </w:r>
      <w:r>
        <w:rPr>
          <w:spacing w:val="-3"/>
          <w:sz w:val="24"/>
        </w:rPr>
        <w:t> </w:t>
      </w:r>
      <w:r>
        <w:rPr>
          <w:sz w:val="24"/>
        </w:rPr>
        <w:t>the supervision of the designated staff member.</w:t>
      </w:r>
    </w:p>
    <w:p>
      <w:pPr>
        <w:pStyle w:val="ListParagraph"/>
        <w:numPr>
          <w:ilvl w:val="2"/>
          <w:numId w:val="343"/>
        </w:numPr>
        <w:tabs>
          <w:tab w:pos="2121" w:val="left" w:leader="none"/>
        </w:tabs>
        <w:spacing w:line="240" w:lineRule="auto" w:before="210" w:after="0"/>
        <w:ind w:left="2121" w:right="0" w:hanging="466"/>
        <w:jc w:val="left"/>
        <w:rPr>
          <w:sz w:val="24"/>
        </w:rPr>
      </w:pPr>
      <w:r>
        <w:rPr>
          <w:sz w:val="24"/>
        </w:rPr>
        <w:t>First</w:t>
      </w:r>
      <w:r>
        <w:rPr>
          <w:spacing w:val="-4"/>
          <w:sz w:val="24"/>
        </w:rPr>
        <w:t> </w:t>
      </w:r>
      <w:r>
        <w:rPr>
          <w:sz w:val="24"/>
        </w:rPr>
        <w:t>aid</w:t>
      </w:r>
      <w:r>
        <w:rPr>
          <w:spacing w:val="-3"/>
          <w:sz w:val="24"/>
        </w:rPr>
        <w:t> </w:t>
      </w:r>
      <w:r>
        <w:rPr>
          <w:sz w:val="24"/>
        </w:rPr>
        <w:t>supplies.</w:t>
      </w:r>
      <w:r>
        <w:rPr>
          <w:spacing w:val="62"/>
          <w:sz w:val="24"/>
        </w:rPr>
        <w:t> </w:t>
      </w:r>
      <w:r>
        <w:rPr>
          <w:sz w:val="24"/>
        </w:rPr>
        <w:t>The</w:t>
      </w:r>
      <w:r>
        <w:rPr>
          <w:spacing w:val="-3"/>
          <w:sz w:val="24"/>
        </w:rPr>
        <w:t> </w:t>
      </w:r>
      <w:r>
        <w:rPr>
          <w:sz w:val="24"/>
        </w:rPr>
        <w:t>facility</w:t>
      </w:r>
      <w:r>
        <w:rPr>
          <w:spacing w:val="-2"/>
          <w:sz w:val="24"/>
        </w:rPr>
        <w:t> </w:t>
      </w:r>
      <w:r>
        <w:rPr>
          <w:sz w:val="24"/>
        </w:rPr>
        <w:t>maintains</w:t>
      </w:r>
      <w:r>
        <w:rPr>
          <w:spacing w:val="-3"/>
          <w:sz w:val="24"/>
        </w:rPr>
        <w:t> </w:t>
      </w:r>
      <w:r>
        <w:rPr>
          <w:sz w:val="24"/>
        </w:rPr>
        <w:t>first</w:t>
      </w:r>
      <w:r>
        <w:rPr>
          <w:spacing w:val="-2"/>
          <w:sz w:val="24"/>
        </w:rPr>
        <w:t> </w:t>
      </w:r>
      <w:r>
        <w:rPr>
          <w:sz w:val="24"/>
        </w:rPr>
        <w:t>aid</w:t>
      </w:r>
      <w:r>
        <w:rPr>
          <w:spacing w:val="-2"/>
          <w:sz w:val="24"/>
        </w:rPr>
        <w:t> supplies.</w:t>
      </w:r>
    </w:p>
    <w:p>
      <w:pPr>
        <w:pStyle w:val="ListParagraph"/>
        <w:numPr>
          <w:ilvl w:val="2"/>
          <w:numId w:val="343"/>
        </w:numPr>
        <w:tabs>
          <w:tab w:pos="2173" w:val="left" w:leader="none"/>
        </w:tabs>
        <w:spacing w:line="240" w:lineRule="auto" w:before="204" w:after="0"/>
        <w:ind w:left="2173" w:right="0" w:hanging="518"/>
        <w:jc w:val="left"/>
        <w:rPr>
          <w:sz w:val="24"/>
        </w:rPr>
      </w:pPr>
      <w:r>
        <w:rPr>
          <w:sz w:val="24"/>
        </w:rPr>
        <w:t>Tobacco</w:t>
      </w:r>
      <w:r>
        <w:rPr>
          <w:spacing w:val="-5"/>
          <w:sz w:val="24"/>
        </w:rPr>
        <w:t> </w:t>
      </w:r>
      <w:r>
        <w:rPr>
          <w:sz w:val="24"/>
        </w:rPr>
        <w:t>use.</w:t>
      </w:r>
      <w:r>
        <w:rPr>
          <w:spacing w:val="63"/>
          <w:sz w:val="24"/>
        </w:rPr>
        <w:t> </w:t>
      </w:r>
      <w:r>
        <w:rPr>
          <w:sz w:val="24"/>
        </w:rPr>
        <w:t>The</w:t>
      </w:r>
      <w:r>
        <w:rPr>
          <w:spacing w:val="-3"/>
          <w:sz w:val="24"/>
        </w:rPr>
        <w:t> </w:t>
      </w:r>
      <w:r>
        <w:rPr>
          <w:sz w:val="24"/>
        </w:rPr>
        <w:t>facility</w:t>
      </w:r>
      <w:r>
        <w:rPr>
          <w:spacing w:val="-2"/>
          <w:sz w:val="24"/>
        </w:rPr>
        <w:t> </w:t>
      </w:r>
      <w:r>
        <w:rPr>
          <w:sz w:val="24"/>
        </w:rPr>
        <w:t>prohibits</w:t>
      </w:r>
      <w:r>
        <w:rPr>
          <w:spacing w:val="-2"/>
          <w:sz w:val="24"/>
        </w:rPr>
        <w:t> </w:t>
      </w:r>
      <w:r>
        <w:rPr>
          <w:sz w:val="24"/>
        </w:rPr>
        <w:t>the</w:t>
      </w:r>
      <w:r>
        <w:rPr>
          <w:spacing w:val="-3"/>
          <w:sz w:val="24"/>
        </w:rPr>
        <w:t> </w:t>
      </w:r>
      <w:r>
        <w:rPr>
          <w:sz w:val="24"/>
        </w:rPr>
        <w:t>use</w:t>
      </w:r>
      <w:r>
        <w:rPr>
          <w:spacing w:val="-2"/>
          <w:sz w:val="24"/>
        </w:rPr>
        <w:t> </w:t>
      </w:r>
      <w:r>
        <w:rPr>
          <w:sz w:val="24"/>
        </w:rPr>
        <w:t>of</w:t>
      </w:r>
      <w:r>
        <w:rPr>
          <w:spacing w:val="-2"/>
          <w:sz w:val="24"/>
        </w:rPr>
        <w:t> </w:t>
      </w:r>
      <w:r>
        <w:rPr>
          <w:sz w:val="24"/>
        </w:rPr>
        <w:t>any</w:t>
      </w:r>
      <w:r>
        <w:rPr>
          <w:spacing w:val="-3"/>
          <w:sz w:val="24"/>
        </w:rPr>
        <w:t> </w:t>
      </w:r>
      <w:r>
        <w:rPr>
          <w:sz w:val="24"/>
        </w:rPr>
        <w:t>tobacco</w:t>
      </w:r>
      <w:r>
        <w:rPr>
          <w:spacing w:val="-2"/>
          <w:sz w:val="24"/>
        </w:rPr>
        <w:t> </w:t>
      </w:r>
      <w:r>
        <w:rPr>
          <w:sz w:val="24"/>
        </w:rPr>
        <w:t>on</w:t>
      </w:r>
      <w:r>
        <w:rPr>
          <w:spacing w:val="-2"/>
          <w:sz w:val="24"/>
        </w:rPr>
        <w:t> campus.</w:t>
      </w:r>
    </w:p>
    <w:p>
      <w:pPr>
        <w:pStyle w:val="Heading2"/>
        <w:numPr>
          <w:ilvl w:val="0"/>
          <w:numId w:val="343"/>
        </w:numPr>
        <w:tabs>
          <w:tab w:pos="1217" w:val="left" w:leader="none"/>
        </w:tabs>
        <w:spacing w:line="240" w:lineRule="auto" w:before="204" w:after="0"/>
        <w:ind w:left="1217" w:right="0" w:hanging="425"/>
        <w:jc w:val="left"/>
      </w:pPr>
      <w:r>
        <w:rPr/>
        <w:t>Meeting</w:t>
      </w:r>
      <w:r>
        <w:rPr>
          <w:spacing w:val="-5"/>
        </w:rPr>
        <w:t> </w:t>
      </w:r>
      <w:r>
        <w:rPr/>
        <w:t>emotional</w:t>
      </w:r>
      <w:r>
        <w:rPr>
          <w:spacing w:val="-4"/>
        </w:rPr>
        <w:t> </w:t>
      </w:r>
      <w:r>
        <w:rPr>
          <w:spacing w:val="-2"/>
        </w:rPr>
        <w:t>needs.</w:t>
      </w:r>
    </w:p>
    <w:p>
      <w:pPr>
        <w:pStyle w:val="ListParagraph"/>
        <w:numPr>
          <w:ilvl w:val="1"/>
          <w:numId w:val="343"/>
        </w:numPr>
        <w:tabs>
          <w:tab w:pos="1677" w:val="left" w:leader="none"/>
        </w:tabs>
        <w:spacing w:line="208" w:lineRule="auto" w:before="233" w:after="0"/>
        <w:ind w:left="1224" w:right="727" w:firstLine="0"/>
        <w:jc w:val="left"/>
        <w:rPr>
          <w:sz w:val="24"/>
        </w:rPr>
      </w:pPr>
      <w:r>
        <w:rPr>
          <w:b/>
          <w:sz w:val="24"/>
        </w:rPr>
        <w:t>Staff-child relationships.</w:t>
      </w:r>
      <w:r>
        <w:rPr>
          <w:b/>
          <w:spacing w:val="40"/>
          <w:sz w:val="24"/>
        </w:rPr>
        <w:t> </w:t>
      </w:r>
      <w:r>
        <w:rPr>
          <w:sz w:val="24"/>
        </w:rPr>
        <w:t>Positive relationships with adults are vital to the growth and development of any child. To permit such relationships to occur,</w:t>
      </w:r>
      <w:r>
        <w:rPr>
          <w:spacing w:val="-1"/>
          <w:sz w:val="24"/>
        </w:rPr>
        <w:t> </w:t>
      </w:r>
      <w:r>
        <w:rPr>
          <w:sz w:val="24"/>
        </w:rPr>
        <w:t>the adult must be able to express an involved interest in the child, be willing to accept the risk of being rebuffed by the child, and be sensitive to the reason the child behaves as he does. Moreover, he must respect the child as an individual worthy</w:t>
      </w:r>
      <w:r>
        <w:rPr>
          <w:spacing w:val="-3"/>
          <w:sz w:val="24"/>
        </w:rPr>
        <w:t> </w:t>
      </w:r>
      <w:r>
        <w:rPr>
          <w:sz w:val="24"/>
        </w:rPr>
        <w:t>of</w:t>
      </w:r>
      <w:r>
        <w:rPr>
          <w:spacing w:val="-2"/>
          <w:sz w:val="24"/>
        </w:rPr>
        <w:t> </w:t>
      </w:r>
      <w:r>
        <w:rPr>
          <w:sz w:val="24"/>
        </w:rPr>
        <w:t>being</w:t>
      </w:r>
      <w:r>
        <w:rPr>
          <w:spacing w:val="-3"/>
          <w:sz w:val="24"/>
        </w:rPr>
        <w:t> </w:t>
      </w:r>
      <w:r>
        <w:rPr>
          <w:sz w:val="24"/>
        </w:rPr>
        <w:t>heard,</w:t>
      </w:r>
      <w:r>
        <w:rPr>
          <w:spacing w:val="-2"/>
          <w:sz w:val="24"/>
        </w:rPr>
        <w:t> </w:t>
      </w:r>
      <w:r>
        <w:rPr>
          <w:sz w:val="24"/>
        </w:rPr>
        <w:t>and</w:t>
      </w:r>
      <w:r>
        <w:rPr>
          <w:spacing w:val="-3"/>
          <w:sz w:val="24"/>
        </w:rPr>
        <w:t> </w:t>
      </w:r>
      <w:r>
        <w:rPr>
          <w:sz w:val="24"/>
        </w:rPr>
        <w:t>recognize</w:t>
      </w:r>
      <w:r>
        <w:rPr>
          <w:spacing w:val="-3"/>
          <w:sz w:val="24"/>
        </w:rPr>
        <w:t> </w:t>
      </w:r>
      <w:r>
        <w:rPr>
          <w:sz w:val="24"/>
        </w:rPr>
        <w:t>his</w:t>
      </w:r>
      <w:r>
        <w:rPr>
          <w:spacing w:val="-3"/>
          <w:sz w:val="24"/>
        </w:rPr>
        <w:t> </w:t>
      </w:r>
      <w:r>
        <w:rPr>
          <w:sz w:val="24"/>
        </w:rPr>
        <w:t>strengths.</w:t>
      </w:r>
      <w:r>
        <w:rPr>
          <w:spacing w:val="40"/>
          <w:sz w:val="24"/>
        </w:rPr>
        <w:t> </w:t>
      </w:r>
      <w:r>
        <w:rPr>
          <w:sz w:val="24"/>
        </w:rPr>
        <w:t>He</w:t>
      </w:r>
      <w:r>
        <w:rPr>
          <w:spacing w:val="-3"/>
          <w:sz w:val="24"/>
        </w:rPr>
        <w:t> </w:t>
      </w:r>
      <w:r>
        <w:rPr>
          <w:sz w:val="24"/>
        </w:rPr>
        <w:t>must</w:t>
      </w:r>
      <w:r>
        <w:rPr>
          <w:spacing w:val="-2"/>
          <w:sz w:val="24"/>
        </w:rPr>
        <w:t> </w:t>
      </w:r>
      <w:r>
        <w:rPr>
          <w:sz w:val="24"/>
        </w:rPr>
        <w:t>be</w:t>
      </w:r>
      <w:r>
        <w:rPr>
          <w:spacing w:val="-3"/>
          <w:sz w:val="24"/>
        </w:rPr>
        <w:t> </w:t>
      </w:r>
      <w:r>
        <w:rPr>
          <w:sz w:val="24"/>
        </w:rPr>
        <w:t>honest</w:t>
      </w:r>
      <w:r>
        <w:rPr>
          <w:spacing w:val="-2"/>
          <w:sz w:val="24"/>
        </w:rPr>
        <w:t> </w:t>
      </w:r>
      <w:r>
        <w:rPr>
          <w:sz w:val="24"/>
        </w:rPr>
        <w:t>with</w:t>
      </w:r>
      <w:r>
        <w:rPr>
          <w:spacing w:val="-3"/>
          <w:sz w:val="24"/>
        </w:rPr>
        <w:t> </w:t>
      </w:r>
      <w:r>
        <w:rPr>
          <w:sz w:val="24"/>
        </w:rPr>
        <w:t>the child and, above all, be willing to listen to him. His concern should be to meet the needs of the child, rather than his own, so his involvement will be of a professional nature.</w:t>
      </w:r>
    </w:p>
    <w:p>
      <w:pPr>
        <w:pStyle w:val="ListParagraph"/>
        <w:numPr>
          <w:ilvl w:val="1"/>
          <w:numId w:val="343"/>
        </w:numPr>
        <w:tabs>
          <w:tab w:pos="1676" w:val="left" w:leader="none"/>
        </w:tabs>
        <w:spacing w:line="208" w:lineRule="auto" w:before="240" w:after="0"/>
        <w:ind w:left="1223" w:right="863" w:firstLine="0"/>
        <w:jc w:val="left"/>
        <w:rPr>
          <w:sz w:val="24"/>
        </w:rPr>
      </w:pPr>
      <w:r>
        <w:rPr>
          <w:b/>
          <w:sz w:val="24"/>
        </w:rPr>
        <w:t>Counseling.</w:t>
      </w:r>
      <w:r>
        <w:rPr>
          <w:b/>
          <w:spacing w:val="40"/>
          <w:sz w:val="24"/>
        </w:rPr>
        <w:t> </w:t>
      </w:r>
      <w:r>
        <w:rPr>
          <w:sz w:val="24"/>
        </w:rPr>
        <w:t>While some children may require only the structure of the school</w:t>
      </w:r>
      <w:r>
        <w:rPr>
          <w:spacing w:val="-4"/>
          <w:sz w:val="24"/>
        </w:rPr>
        <w:t> </w:t>
      </w:r>
      <w:r>
        <w:rPr>
          <w:sz w:val="24"/>
        </w:rPr>
        <w:t>and</w:t>
      </w:r>
      <w:r>
        <w:rPr>
          <w:spacing w:val="-3"/>
          <w:sz w:val="24"/>
        </w:rPr>
        <w:t> </w:t>
      </w:r>
      <w:r>
        <w:rPr>
          <w:sz w:val="24"/>
        </w:rPr>
        <w:t>the</w:t>
      </w:r>
      <w:r>
        <w:rPr>
          <w:spacing w:val="-4"/>
          <w:sz w:val="24"/>
        </w:rPr>
        <w:t> </w:t>
      </w:r>
      <w:r>
        <w:rPr>
          <w:sz w:val="24"/>
        </w:rPr>
        <w:t>relationships</w:t>
      </w:r>
      <w:r>
        <w:rPr>
          <w:spacing w:val="-4"/>
          <w:sz w:val="24"/>
        </w:rPr>
        <w:t> </w:t>
      </w:r>
      <w:r>
        <w:rPr>
          <w:sz w:val="24"/>
        </w:rPr>
        <w:t>formed</w:t>
      </w:r>
      <w:r>
        <w:rPr>
          <w:spacing w:val="-4"/>
          <w:sz w:val="24"/>
        </w:rPr>
        <w:t> </w:t>
      </w:r>
      <w:r>
        <w:rPr>
          <w:sz w:val="24"/>
        </w:rPr>
        <w:t>in</w:t>
      </w:r>
      <w:r>
        <w:rPr>
          <w:spacing w:val="-4"/>
          <w:sz w:val="24"/>
        </w:rPr>
        <w:t> </w:t>
      </w:r>
      <w:r>
        <w:rPr>
          <w:sz w:val="24"/>
        </w:rPr>
        <w:t>the</w:t>
      </w:r>
      <w:r>
        <w:rPr>
          <w:spacing w:val="-4"/>
          <w:sz w:val="24"/>
        </w:rPr>
        <w:t> </w:t>
      </w:r>
      <w:r>
        <w:rPr>
          <w:sz w:val="24"/>
        </w:rPr>
        <w:t>day-to-day</w:t>
      </w:r>
      <w:r>
        <w:rPr>
          <w:spacing w:val="-4"/>
          <w:sz w:val="24"/>
        </w:rPr>
        <w:t> </w:t>
      </w:r>
      <w:r>
        <w:rPr>
          <w:sz w:val="24"/>
        </w:rPr>
        <w:t>environment,</w:t>
      </w:r>
      <w:r>
        <w:rPr>
          <w:spacing w:val="-3"/>
          <w:sz w:val="24"/>
        </w:rPr>
        <w:t> </w:t>
      </w:r>
      <w:r>
        <w:rPr>
          <w:sz w:val="24"/>
        </w:rPr>
        <w:t>others</w:t>
      </w:r>
      <w:r>
        <w:rPr>
          <w:spacing w:val="-5"/>
          <w:sz w:val="24"/>
        </w:rPr>
        <w:t> </w:t>
      </w:r>
      <w:r>
        <w:rPr>
          <w:sz w:val="24"/>
        </w:rPr>
        <w:t>may require special attention. Students with special problems will be referred to the school psychologist.</w:t>
      </w:r>
    </w:p>
    <w:p>
      <w:pPr>
        <w:pStyle w:val="ListParagraph"/>
        <w:numPr>
          <w:ilvl w:val="1"/>
          <w:numId w:val="343"/>
        </w:numPr>
        <w:tabs>
          <w:tab w:pos="1689" w:val="left" w:leader="none"/>
        </w:tabs>
        <w:spacing w:line="208" w:lineRule="auto" w:before="239" w:after="0"/>
        <w:ind w:left="1223" w:right="864" w:firstLine="0"/>
        <w:jc w:val="left"/>
        <w:rPr>
          <w:sz w:val="24"/>
        </w:rPr>
      </w:pPr>
      <w:r>
        <w:rPr>
          <w:b/>
          <w:sz w:val="24"/>
        </w:rPr>
        <w:t>Location</w:t>
      </w:r>
      <w:r>
        <w:rPr>
          <w:b/>
          <w:spacing w:val="-4"/>
          <w:sz w:val="24"/>
        </w:rPr>
        <w:t> </w:t>
      </w:r>
      <w:r>
        <w:rPr>
          <w:b/>
          <w:sz w:val="24"/>
        </w:rPr>
        <w:t>of</w:t>
      </w:r>
      <w:r>
        <w:rPr>
          <w:b/>
          <w:spacing w:val="-3"/>
          <w:sz w:val="24"/>
        </w:rPr>
        <w:t> </w:t>
      </w:r>
      <w:r>
        <w:rPr>
          <w:b/>
          <w:sz w:val="24"/>
        </w:rPr>
        <w:t>authority.</w:t>
      </w:r>
      <w:r>
        <w:rPr>
          <w:b/>
          <w:spacing w:val="40"/>
          <w:sz w:val="24"/>
        </w:rPr>
        <w:t> </w:t>
      </w:r>
      <w:r>
        <w:rPr>
          <w:sz w:val="24"/>
        </w:rPr>
        <w:t>To</w:t>
      </w:r>
      <w:r>
        <w:rPr>
          <w:spacing w:val="-4"/>
          <w:sz w:val="24"/>
        </w:rPr>
        <w:t> </w:t>
      </w:r>
      <w:r>
        <w:rPr>
          <w:sz w:val="24"/>
        </w:rPr>
        <w:t>achieve</w:t>
      </w:r>
      <w:r>
        <w:rPr>
          <w:spacing w:val="-4"/>
          <w:sz w:val="24"/>
        </w:rPr>
        <w:t> </w:t>
      </w:r>
      <w:r>
        <w:rPr>
          <w:sz w:val="24"/>
        </w:rPr>
        <w:t>fairness</w:t>
      </w:r>
      <w:r>
        <w:rPr>
          <w:spacing w:val="-4"/>
          <w:sz w:val="24"/>
        </w:rPr>
        <w:t> </w:t>
      </w:r>
      <w:r>
        <w:rPr>
          <w:sz w:val="24"/>
        </w:rPr>
        <w:t>and</w:t>
      </w:r>
      <w:r>
        <w:rPr>
          <w:spacing w:val="-4"/>
          <w:sz w:val="24"/>
        </w:rPr>
        <w:t> </w:t>
      </w:r>
      <w:r>
        <w:rPr>
          <w:sz w:val="24"/>
        </w:rPr>
        <w:t>consistency</w:t>
      </w:r>
      <w:r>
        <w:rPr>
          <w:spacing w:val="-4"/>
          <w:sz w:val="24"/>
        </w:rPr>
        <w:t> </w:t>
      </w:r>
      <w:r>
        <w:rPr>
          <w:sz w:val="24"/>
        </w:rPr>
        <w:t>of</w:t>
      </w:r>
      <w:r>
        <w:rPr>
          <w:spacing w:val="-3"/>
          <w:sz w:val="24"/>
        </w:rPr>
        <w:t> </w:t>
      </w:r>
      <w:r>
        <w:rPr>
          <w:sz w:val="24"/>
        </w:rPr>
        <w:t>controls</w:t>
      </w:r>
      <w:r>
        <w:rPr>
          <w:spacing w:val="-4"/>
          <w:sz w:val="24"/>
        </w:rPr>
        <w:t> </w:t>
      </w:r>
      <w:r>
        <w:rPr>
          <w:sz w:val="24"/>
        </w:rPr>
        <w:t>in the school, authority and responsibility for proper limit setting must be established. Such authority rests</w:t>
      </w:r>
      <w:r>
        <w:rPr>
          <w:spacing w:val="-1"/>
          <w:sz w:val="24"/>
        </w:rPr>
        <w:t> </w:t>
      </w:r>
      <w:r>
        <w:rPr>
          <w:sz w:val="24"/>
        </w:rPr>
        <w:t>finally with the superintendent.</w:t>
      </w:r>
      <w:r>
        <w:rPr>
          <w:spacing w:val="40"/>
          <w:sz w:val="24"/>
        </w:rPr>
        <w:t> </w:t>
      </w:r>
      <w:r>
        <w:rPr>
          <w:sz w:val="24"/>
        </w:rPr>
        <w:t>Minor day-to- day behavior problems may be handled routinely by the youth guidance specialist on duty when the incident occurs, but is subject to review by the administration.</w:t>
      </w:r>
      <w:r>
        <w:rPr>
          <w:spacing w:val="40"/>
          <w:sz w:val="24"/>
        </w:rPr>
        <w:t> </w:t>
      </w:r>
      <w:r>
        <w:rPr>
          <w:sz w:val="24"/>
        </w:rPr>
        <w:t>In no case should any individual staff member impose disciplinary action upon a child which is not within the scope of authorized </w:t>
      </w:r>
      <w:r>
        <w:rPr>
          <w:spacing w:val="-2"/>
          <w:sz w:val="24"/>
        </w:rPr>
        <w:t>policy.</w:t>
      </w:r>
    </w:p>
    <w:p>
      <w:pPr>
        <w:pStyle w:val="ListParagraph"/>
        <w:numPr>
          <w:ilvl w:val="1"/>
          <w:numId w:val="343"/>
        </w:numPr>
        <w:tabs>
          <w:tab w:pos="1688" w:val="left" w:leader="none"/>
        </w:tabs>
        <w:spacing w:line="208" w:lineRule="auto" w:before="239" w:after="0"/>
        <w:ind w:left="1223" w:right="1021" w:firstLine="0"/>
        <w:jc w:val="left"/>
        <w:rPr>
          <w:sz w:val="24"/>
        </w:rPr>
      </w:pPr>
      <w:r>
        <w:rPr>
          <w:b/>
          <w:sz w:val="24"/>
        </w:rPr>
        <w:t>Appropriate methods of discipline and control.</w:t>
      </w:r>
      <w:r>
        <w:rPr>
          <w:b/>
          <w:spacing w:val="40"/>
          <w:sz w:val="24"/>
        </w:rPr>
        <w:t> </w:t>
      </w:r>
      <w:r>
        <w:rPr>
          <w:sz w:val="24"/>
        </w:rPr>
        <w:t>Control of children through</w:t>
      </w:r>
      <w:r>
        <w:rPr>
          <w:spacing w:val="-4"/>
          <w:sz w:val="24"/>
        </w:rPr>
        <w:t> </w:t>
      </w:r>
      <w:r>
        <w:rPr>
          <w:sz w:val="24"/>
        </w:rPr>
        <w:t>consistent</w:t>
      </w:r>
      <w:r>
        <w:rPr>
          <w:spacing w:val="-3"/>
          <w:sz w:val="24"/>
        </w:rPr>
        <w:t> </w:t>
      </w:r>
      <w:r>
        <w:rPr>
          <w:sz w:val="24"/>
        </w:rPr>
        <w:t>but</w:t>
      </w:r>
      <w:r>
        <w:rPr>
          <w:spacing w:val="-3"/>
          <w:sz w:val="24"/>
        </w:rPr>
        <w:t> </w:t>
      </w:r>
      <w:r>
        <w:rPr>
          <w:sz w:val="24"/>
        </w:rPr>
        <w:t>reasonable</w:t>
      </w:r>
      <w:r>
        <w:rPr>
          <w:spacing w:val="-4"/>
          <w:sz w:val="24"/>
        </w:rPr>
        <w:t> </w:t>
      </w:r>
      <w:r>
        <w:rPr>
          <w:sz w:val="24"/>
        </w:rPr>
        <w:t>limit</w:t>
      </w:r>
      <w:r>
        <w:rPr>
          <w:spacing w:val="-3"/>
          <w:sz w:val="24"/>
        </w:rPr>
        <w:t> </w:t>
      </w:r>
      <w:r>
        <w:rPr>
          <w:sz w:val="24"/>
        </w:rPr>
        <w:t>setting</w:t>
      </w:r>
      <w:r>
        <w:rPr>
          <w:spacing w:val="-4"/>
          <w:sz w:val="24"/>
        </w:rPr>
        <w:t> </w:t>
      </w:r>
      <w:r>
        <w:rPr>
          <w:sz w:val="24"/>
        </w:rPr>
        <w:t>is</w:t>
      </w:r>
      <w:r>
        <w:rPr>
          <w:spacing w:val="-4"/>
          <w:sz w:val="24"/>
        </w:rPr>
        <w:t> </w:t>
      </w:r>
      <w:r>
        <w:rPr>
          <w:sz w:val="24"/>
        </w:rPr>
        <w:t>viewed</w:t>
      </w:r>
      <w:r>
        <w:rPr>
          <w:spacing w:val="-4"/>
          <w:sz w:val="24"/>
        </w:rPr>
        <w:t> </w:t>
      </w:r>
      <w:r>
        <w:rPr>
          <w:sz w:val="24"/>
        </w:rPr>
        <w:t>as</w:t>
      </w:r>
      <w:r>
        <w:rPr>
          <w:spacing w:val="-4"/>
          <w:sz w:val="24"/>
        </w:rPr>
        <w:t> </w:t>
      </w:r>
      <w:r>
        <w:rPr>
          <w:sz w:val="24"/>
        </w:rPr>
        <w:t>an</w:t>
      </w:r>
      <w:r>
        <w:rPr>
          <w:spacing w:val="-4"/>
          <w:sz w:val="24"/>
        </w:rPr>
        <w:t> </w:t>
      </w:r>
      <w:r>
        <w:rPr>
          <w:sz w:val="24"/>
        </w:rPr>
        <w:t>integral</w:t>
      </w:r>
      <w:r>
        <w:rPr>
          <w:spacing w:val="-4"/>
          <w:sz w:val="24"/>
        </w:rPr>
        <w:t> </w:t>
      </w:r>
      <w:r>
        <w:rPr>
          <w:sz w:val="24"/>
        </w:rPr>
        <w:t>part</w:t>
      </w:r>
      <w:r>
        <w:rPr>
          <w:spacing w:val="-3"/>
          <w:sz w:val="24"/>
        </w:rPr>
        <w:t> </w:t>
      </w:r>
      <w:r>
        <w:rPr>
          <w:sz w:val="24"/>
        </w:rPr>
        <w:t>of the school program.</w:t>
      </w:r>
      <w:r>
        <w:rPr>
          <w:spacing w:val="40"/>
          <w:sz w:val="24"/>
        </w:rPr>
        <w:t> </w:t>
      </w:r>
      <w:r>
        <w:rPr>
          <w:sz w:val="24"/>
        </w:rPr>
        <w:t>One objective for emotional growth of children is self- control. This can develop only when children are availed of opportunities to make choices for themselves.</w:t>
      </w:r>
      <w:r>
        <w:rPr>
          <w:spacing w:val="40"/>
          <w:sz w:val="24"/>
        </w:rPr>
        <w:t> </w:t>
      </w:r>
      <w:r>
        <w:rPr>
          <w:sz w:val="24"/>
        </w:rPr>
        <w:t>Controls should be applied only when a child demonstrates an inability to control himself, and then only to the degree necessary to the situation.</w:t>
      </w:r>
    </w:p>
    <w:p>
      <w:pPr>
        <w:pStyle w:val="ListParagraph"/>
        <w:numPr>
          <w:ilvl w:val="2"/>
          <w:numId w:val="343"/>
        </w:numPr>
        <w:tabs>
          <w:tab w:pos="2000" w:val="left" w:leader="none"/>
        </w:tabs>
        <w:spacing w:line="208" w:lineRule="auto" w:before="240" w:after="0"/>
        <w:ind w:left="1655" w:right="885" w:firstLine="0"/>
        <w:jc w:val="left"/>
        <w:rPr>
          <w:sz w:val="24"/>
        </w:rPr>
      </w:pPr>
      <w:r>
        <w:rPr>
          <w:sz w:val="24"/>
        </w:rPr>
        <w:t>Good</w:t>
      </w:r>
      <w:r>
        <w:rPr>
          <w:spacing w:val="-4"/>
          <w:sz w:val="24"/>
        </w:rPr>
        <w:t> </w:t>
      </w:r>
      <w:r>
        <w:rPr>
          <w:sz w:val="24"/>
        </w:rPr>
        <w:t>supervision</w:t>
      </w:r>
      <w:r>
        <w:rPr>
          <w:spacing w:val="-4"/>
          <w:sz w:val="24"/>
        </w:rPr>
        <w:t> </w:t>
      </w:r>
      <w:r>
        <w:rPr>
          <w:sz w:val="24"/>
        </w:rPr>
        <w:t>of</w:t>
      </w:r>
      <w:r>
        <w:rPr>
          <w:spacing w:val="-3"/>
          <w:sz w:val="24"/>
        </w:rPr>
        <w:t> </w:t>
      </w:r>
      <w:r>
        <w:rPr>
          <w:sz w:val="24"/>
        </w:rPr>
        <w:t>children</w:t>
      </w:r>
      <w:r>
        <w:rPr>
          <w:spacing w:val="-4"/>
          <w:sz w:val="24"/>
        </w:rPr>
        <w:t> </w:t>
      </w:r>
      <w:r>
        <w:rPr>
          <w:sz w:val="24"/>
        </w:rPr>
        <w:t>will</w:t>
      </w:r>
      <w:r>
        <w:rPr>
          <w:spacing w:val="-4"/>
          <w:sz w:val="24"/>
        </w:rPr>
        <w:t> </w:t>
      </w:r>
      <w:r>
        <w:rPr>
          <w:sz w:val="24"/>
        </w:rPr>
        <w:t>reduce</w:t>
      </w:r>
      <w:r>
        <w:rPr>
          <w:spacing w:val="-4"/>
          <w:sz w:val="24"/>
        </w:rPr>
        <w:t> </w:t>
      </w:r>
      <w:r>
        <w:rPr>
          <w:sz w:val="24"/>
        </w:rPr>
        <w:t>the</w:t>
      </w:r>
      <w:r>
        <w:rPr>
          <w:spacing w:val="-4"/>
          <w:sz w:val="24"/>
        </w:rPr>
        <w:t> </w:t>
      </w:r>
      <w:r>
        <w:rPr>
          <w:sz w:val="24"/>
        </w:rPr>
        <w:t>need</w:t>
      </w:r>
      <w:r>
        <w:rPr>
          <w:spacing w:val="-4"/>
          <w:sz w:val="24"/>
        </w:rPr>
        <w:t> </w:t>
      </w:r>
      <w:r>
        <w:rPr>
          <w:sz w:val="24"/>
        </w:rPr>
        <w:t>for</w:t>
      </w:r>
      <w:r>
        <w:rPr>
          <w:spacing w:val="-3"/>
          <w:sz w:val="24"/>
        </w:rPr>
        <w:t> </w:t>
      </w:r>
      <w:r>
        <w:rPr>
          <w:sz w:val="24"/>
        </w:rPr>
        <w:t>drastic</w:t>
      </w:r>
      <w:r>
        <w:rPr>
          <w:spacing w:val="-5"/>
          <w:sz w:val="24"/>
        </w:rPr>
        <w:t> </w:t>
      </w:r>
      <w:r>
        <w:rPr>
          <w:sz w:val="24"/>
        </w:rPr>
        <w:t>measures. Verbal or visual controls, written reports, loss of privilege, and many other such methods can be used effectively, if the person relating to the child is sensitive to the needs of the child and the part controls play in his </w:t>
      </w:r>
      <w:r>
        <w:rPr>
          <w:spacing w:val="-2"/>
          <w:sz w:val="24"/>
        </w:rPr>
        <w:t>development.</w:t>
      </w:r>
    </w:p>
    <w:p>
      <w:pPr>
        <w:pStyle w:val="ListParagraph"/>
        <w:numPr>
          <w:ilvl w:val="2"/>
          <w:numId w:val="343"/>
        </w:numPr>
        <w:tabs>
          <w:tab w:pos="2053" w:val="left" w:leader="none"/>
        </w:tabs>
        <w:spacing w:line="208" w:lineRule="auto" w:before="239" w:after="0"/>
        <w:ind w:left="1655" w:right="923" w:firstLine="0"/>
        <w:jc w:val="left"/>
        <w:rPr>
          <w:sz w:val="24"/>
        </w:rPr>
      </w:pPr>
      <w:r>
        <w:rPr>
          <w:sz w:val="24"/>
        </w:rPr>
        <w:t>Discipline</w:t>
      </w:r>
      <w:r>
        <w:rPr>
          <w:spacing w:val="-4"/>
          <w:sz w:val="24"/>
        </w:rPr>
        <w:t> </w:t>
      </w:r>
      <w:r>
        <w:rPr>
          <w:sz w:val="24"/>
        </w:rPr>
        <w:t>when</w:t>
      </w:r>
      <w:r>
        <w:rPr>
          <w:spacing w:val="-4"/>
          <w:sz w:val="24"/>
        </w:rPr>
        <w:t> </w:t>
      </w:r>
      <w:r>
        <w:rPr>
          <w:sz w:val="24"/>
        </w:rPr>
        <w:t>used</w:t>
      </w:r>
      <w:r>
        <w:rPr>
          <w:spacing w:val="-4"/>
          <w:sz w:val="24"/>
        </w:rPr>
        <w:t> </w:t>
      </w:r>
      <w:r>
        <w:rPr>
          <w:sz w:val="24"/>
        </w:rPr>
        <w:t>with</w:t>
      </w:r>
      <w:r>
        <w:rPr>
          <w:spacing w:val="-4"/>
          <w:sz w:val="24"/>
        </w:rPr>
        <w:t> </w:t>
      </w:r>
      <w:r>
        <w:rPr>
          <w:sz w:val="24"/>
        </w:rPr>
        <w:t>children</w:t>
      </w:r>
      <w:r>
        <w:rPr>
          <w:spacing w:val="-4"/>
          <w:sz w:val="24"/>
        </w:rPr>
        <w:t> </w:t>
      </w:r>
      <w:r>
        <w:rPr>
          <w:sz w:val="24"/>
        </w:rPr>
        <w:t>shall</w:t>
      </w:r>
      <w:r>
        <w:rPr>
          <w:spacing w:val="-3"/>
          <w:sz w:val="24"/>
        </w:rPr>
        <w:t> </w:t>
      </w:r>
      <w:r>
        <w:rPr>
          <w:sz w:val="24"/>
        </w:rPr>
        <w:t>be</w:t>
      </w:r>
      <w:r>
        <w:rPr>
          <w:spacing w:val="-4"/>
          <w:sz w:val="24"/>
        </w:rPr>
        <w:t> </w:t>
      </w:r>
      <w:r>
        <w:rPr>
          <w:sz w:val="24"/>
        </w:rPr>
        <w:t>appropriate</w:t>
      </w:r>
      <w:r>
        <w:rPr>
          <w:spacing w:val="-4"/>
          <w:sz w:val="24"/>
        </w:rPr>
        <w:t> </w:t>
      </w:r>
      <w:r>
        <w:rPr>
          <w:sz w:val="24"/>
        </w:rPr>
        <w:t>to</w:t>
      </w:r>
      <w:r>
        <w:rPr>
          <w:spacing w:val="-5"/>
          <w:sz w:val="24"/>
        </w:rPr>
        <w:t> </w:t>
      </w:r>
      <w:r>
        <w:rPr>
          <w:sz w:val="24"/>
        </w:rPr>
        <w:t>the</w:t>
      </w:r>
      <w:r>
        <w:rPr>
          <w:spacing w:val="-4"/>
          <w:sz w:val="24"/>
        </w:rPr>
        <w:t> </w:t>
      </w:r>
      <w:r>
        <w:rPr>
          <w:sz w:val="24"/>
        </w:rPr>
        <w:t>situation and designed to contribute to student well being.</w:t>
      </w:r>
      <w:r>
        <w:rPr>
          <w:spacing w:val="40"/>
          <w:sz w:val="24"/>
        </w:rPr>
        <w:t> </w:t>
      </w:r>
      <w:r>
        <w:rPr>
          <w:sz w:val="24"/>
        </w:rPr>
        <w:t>An example of an appropriate method of control might be withdrawal of privileges.</w:t>
      </w:r>
      <w:r>
        <w:rPr>
          <w:spacing w:val="40"/>
          <w:sz w:val="24"/>
        </w:rPr>
        <w:t> </w:t>
      </w:r>
      <w:r>
        <w:rPr>
          <w:sz w:val="24"/>
        </w:rPr>
        <w:t>Children</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1656" w:right="775"/>
      </w:pPr>
      <w:r>
        <w:rPr/>
        <w:t>also</w:t>
      </w:r>
      <w:r>
        <w:rPr>
          <w:spacing w:val="-4"/>
        </w:rPr>
        <w:t> </w:t>
      </w:r>
      <w:r>
        <w:rPr/>
        <w:t>may</w:t>
      </w:r>
      <w:r>
        <w:rPr>
          <w:spacing w:val="-4"/>
        </w:rPr>
        <w:t> </w:t>
      </w:r>
      <w:r>
        <w:rPr/>
        <w:t>be</w:t>
      </w:r>
      <w:r>
        <w:rPr>
          <w:spacing w:val="-4"/>
        </w:rPr>
        <w:t> </w:t>
      </w:r>
      <w:r>
        <w:rPr/>
        <w:t>required</w:t>
      </w:r>
      <w:r>
        <w:rPr>
          <w:spacing w:val="-4"/>
        </w:rPr>
        <w:t> </w:t>
      </w:r>
      <w:r>
        <w:rPr/>
        <w:t>to</w:t>
      </w:r>
      <w:r>
        <w:rPr>
          <w:spacing w:val="-4"/>
        </w:rPr>
        <w:t> </w:t>
      </w:r>
      <w:r>
        <w:rPr/>
        <w:t>reimburse</w:t>
      </w:r>
      <w:r>
        <w:rPr>
          <w:spacing w:val="-4"/>
        </w:rPr>
        <w:t> </w:t>
      </w:r>
      <w:r>
        <w:rPr/>
        <w:t>the</w:t>
      </w:r>
      <w:r>
        <w:rPr>
          <w:spacing w:val="-4"/>
        </w:rPr>
        <w:t> </w:t>
      </w:r>
      <w:r>
        <w:rPr/>
        <w:t>school</w:t>
      </w:r>
      <w:r>
        <w:rPr>
          <w:spacing w:val="-4"/>
        </w:rPr>
        <w:t> </w:t>
      </w:r>
      <w:r>
        <w:rPr/>
        <w:t>for</w:t>
      </w:r>
      <w:r>
        <w:rPr>
          <w:spacing w:val="-3"/>
        </w:rPr>
        <w:t> </w:t>
      </w:r>
      <w:r>
        <w:rPr/>
        <w:t>damage</w:t>
      </w:r>
      <w:r>
        <w:rPr>
          <w:spacing w:val="-4"/>
        </w:rPr>
        <w:t> </w:t>
      </w:r>
      <w:r>
        <w:rPr/>
        <w:t>of</w:t>
      </w:r>
      <w:r>
        <w:rPr>
          <w:spacing w:val="-3"/>
        </w:rPr>
        <w:t> </w:t>
      </w:r>
      <w:r>
        <w:rPr/>
        <w:t>property through negligence or intent.</w:t>
      </w:r>
    </w:p>
    <w:p>
      <w:pPr>
        <w:pStyle w:val="ListParagraph"/>
        <w:numPr>
          <w:ilvl w:val="2"/>
          <w:numId w:val="343"/>
        </w:numPr>
        <w:tabs>
          <w:tab w:pos="2107" w:val="left" w:leader="none"/>
        </w:tabs>
        <w:spacing w:line="208" w:lineRule="auto" w:before="240" w:after="0"/>
        <w:ind w:left="1656" w:right="819" w:firstLine="0"/>
        <w:jc w:val="left"/>
        <w:rPr>
          <w:sz w:val="24"/>
        </w:rPr>
      </w:pPr>
      <w:r>
        <w:rPr>
          <w:sz w:val="24"/>
        </w:rPr>
        <w:t>Reasonable</w:t>
      </w:r>
      <w:r>
        <w:rPr>
          <w:spacing w:val="-4"/>
          <w:sz w:val="24"/>
        </w:rPr>
        <w:t> </w:t>
      </w:r>
      <w:r>
        <w:rPr>
          <w:sz w:val="24"/>
        </w:rPr>
        <w:t>restraint</w:t>
      </w:r>
      <w:r>
        <w:rPr>
          <w:spacing w:val="-3"/>
          <w:sz w:val="24"/>
        </w:rPr>
        <w:t> </w:t>
      </w:r>
      <w:r>
        <w:rPr>
          <w:sz w:val="24"/>
        </w:rPr>
        <w:t>may</w:t>
      </w:r>
      <w:r>
        <w:rPr>
          <w:spacing w:val="-4"/>
          <w:sz w:val="24"/>
        </w:rPr>
        <w:t> </w:t>
      </w:r>
      <w:r>
        <w:rPr>
          <w:sz w:val="24"/>
        </w:rPr>
        <w:t>be</w:t>
      </w:r>
      <w:r>
        <w:rPr>
          <w:spacing w:val="-4"/>
          <w:sz w:val="24"/>
        </w:rPr>
        <w:t> </w:t>
      </w:r>
      <w:r>
        <w:rPr>
          <w:sz w:val="24"/>
        </w:rPr>
        <w:t>necessary</w:t>
      </w:r>
      <w:r>
        <w:rPr>
          <w:spacing w:val="-4"/>
          <w:sz w:val="24"/>
        </w:rPr>
        <w:t> </w:t>
      </w:r>
      <w:r>
        <w:rPr>
          <w:sz w:val="24"/>
        </w:rPr>
        <w:t>to</w:t>
      </w:r>
      <w:r>
        <w:rPr>
          <w:spacing w:val="-4"/>
          <w:sz w:val="24"/>
        </w:rPr>
        <w:t> </w:t>
      </w:r>
      <w:r>
        <w:rPr>
          <w:sz w:val="24"/>
        </w:rPr>
        <w:t>prevent</w:t>
      </w:r>
      <w:r>
        <w:rPr>
          <w:spacing w:val="-3"/>
          <w:sz w:val="24"/>
        </w:rPr>
        <w:t> </w:t>
      </w:r>
      <w:r>
        <w:rPr>
          <w:sz w:val="24"/>
        </w:rPr>
        <w:t>a</w:t>
      </w:r>
      <w:r>
        <w:rPr>
          <w:spacing w:val="-4"/>
          <w:sz w:val="24"/>
        </w:rPr>
        <w:t> </w:t>
      </w:r>
      <w:r>
        <w:rPr>
          <w:sz w:val="24"/>
        </w:rPr>
        <w:t>child</w:t>
      </w:r>
      <w:r>
        <w:rPr>
          <w:spacing w:val="-4"/>
          <w:sz w:val="24"/>
        </w:rPr>
        <w:t> </w:t>
      </w:r>
      <w:r>
        <w:rPr>
          <w:sz w:val="24"/>
        </w:rPr>
        <w:t>from</w:t>
      </w:r>
      <w:r>
        <w:rPr>
          <w:spacing w:val="-3"/>
          <w:sz w:val="24"/>
        </w:rPr>
        <w:t> </w:t>
      </w:r>
      <w:r>
        <w:rPr>
          <w:sz w:val="24"/>
        </w:rPr>
        <w:t>injuring himself or others.</w:t>
      </w:r>
    </w:p>
    <w:p>
      <w:pPr>
        <w:pStyle w:val="ListParagraph"/>
        <w:numPr>
          <w:ilvl w:val="2"/>
          <w:numId w:val="343"/>
        </w:numPr>
        <w:tabs>
          <w:tab w:pos="2122" w:val="left" w:leader="none"/>
        </w:tabs>
        <w:spacing w:line="208" w:lineRule="auto" w:before="239" w:after="0"/>
        <w:ind w:left="1656" w:right="751" w:firstLine="0"/>
        <w:jc w:val="left"/>
        <w:rPr>
          <w:sz w:val="24"/>
        </w:rPr>
      </w:pPr>
      <w:r>
        <w:rPr>
          <w:sz w:val="24"/>
        </w:rPr>
        <w:t>No</w:t>
      </w:r>
      <w:r>
        <w:rPr>
          <w:spacing w:val="-4"/>
          <w:sz w:val="24"/>
        </w:rPr>
        <w:t> </w:t>
      </w:r>
      <w:r>
        <w:rPr>
          <w:sz w:val="24"/>
        </w:rPr>
        <w:t>procedures</w:t>
      </w:r>
      <w:r>
        <w:rPr>
          <w:spacing w:val="-4"/>
          <w:sz w:val="24"/>
        </w:rPr>
        <w:t> </w:t>
      </w:r>
      <w:r>
        <w:rPr>
          <w:sz w:val="24"/>
        </w:rPr>
        <w:t>will</w:t>
      </w:r>
      <w:r>
        <w:rPr>
          <w:spacing w:val="-4"/>
          <w:sz w:val="24"/>
        </w:rPr>
        <w:t> </w:t>
      </w:r>
      <w:r>
        <w:rPr>
          <w:sz w:val="24"/>
        </w:rPr>
        <w:t>be</w:t>
      </w:r>
      <w:r>
        <w:rPr>
          <w:spacing w:val="-4"/>
          <w:sz w:val="24"/>
        </w:rPr>
        <w:t> </w:t>
      </w:r>
      <w:r>
        <w:rPr>
          <w:sz w:val="24"/>
        </w:rPr>
        <w:t>implemented</w:t>
      </w:r>
      <w:r>
        <w:rPr>
          <w:spacing w:val="-4"/>
          <w:sz w:val="24"/>
        </w:rPr>
        <w:t> </w:t>
      </w:r>
      <w:r>
        <w:rPr>
          <w:sz w:val="24"/>
        </w:rPr>
        <w:t>which</w:t>
      </w:r>
      <w:r>
        <w:rPr>
          <w:spacing w:val="-4"/>
          <w:sz w:val="24"/>
        </w:rPr>
        <w:t> </w:t>
      </w:r>
      <w:r>
        <w:rPr>
          <w:sz w:val="24"/>
        </w:rPr>
        <w:t>could</w:t>
      </w:r>
      <w:r>
        <w:rPr>
          <w:spacing w:val="-4"/>
          <w:sz w:val="24"/>
        </w:rPr>
        <w:t> </w:t>
      </w:r>
      <w:r>
        <w:rPr>
          <w:sz w:val="24"/>
        </w:rPr>
        <w:t>be</w:t>
      </w:r>
      <w:r>
        <w:rPr>
          <w:spacing w:val="-4"/>
          <w:sz w:val="24"/>
        </w:rPr>
        <w:t> </w:t>
      </w:r>
      <w:r>
        <w:rPr>
          <w:sz w:val="24"/>
        </w:rPr>
        <w:t>construed</w:t>
      </w:r>
      <w:r>
        <w:rPr>
          <w:spacing w:val="-4"/>
          <w:sz w:val="24"/>
        </w:rPr>
        <w:t> </w:t>
      </w:r>
      <w:r>
        <w:rPr>
          <w:sz w:val="24"/>
        </w:rPr>
        <w:t>as</w:t>
      </w:r>
      <w:r>
        <w:rPr>
          <w:spacing w:val="-4"/>
          <w:sz w:val="24"/>
        </w:rPr>
        <w:t> </w:t>
      </w:r>
      <w:r>
        <w:rPr>
          <w:sz w:val="24"/>
        </w:rPr>
        <w:t>abuse or</w:t>
      </w:r>
      <w:r>
        <w:rPr>
          <w:spacing w:val="-3"/>
          <w:sz w:val="24"/>
        </w:rPr>
        <w:t> </w:t>
      </w:r>
      <w:r>
        <w:rPr>
          <w:sz w:val="24"/>
        </w:rPr>
        <w:t>neglect</w:t>
      </w:r>
      <w:r>
        <w:rPr>
          <w:spacing w:val="-3"/>
          <w:sz w:val="24"/>
        </w:rPr>
        <w:t> </w:t>
      </w:r>
      <w:r>
        <w:rPr>
          <w:sz w:val="24"/>
        </w:rPr>
        <w:t>according</w:t>
      </w:r>
      <w:r>
        <w:rPr>
          <w:spacing w:val="-4"/>
          <w:sz w:val="24"/>
        </w:rPr>
        <w:t> </w:t>
      </w:r>
      <w:r>
        <w:rPr>
          <w:sz w:val="24"/>
        </w:rPr>
        <w:t>to</w:t>
      </w:r>
      <w:r>
        <w:rPr>
          <w:spacing w:val="-4"/>
          <w:sz w:val="24"/>
        </w:rPr>
        <w:t> </w:t>
      </w:r>
      <w:r>
        <w:rPr>
          <w:sz w:val="24"/>
        </w:rPr>
        <w:t>the</w:t>
      </w:r>
      <w:r>
        <w:rPr>
          <w:spacing w:val="-4"/>
          <w:sz w:val="24"/>
        </w:rPr>
        <w:t> </w:t>
      </w:r>
      <w:r>
        <w:rPr>
          <w:sz w:val="24"/>
        </w:rPr>
        <w:t>Department</w:t>
      </w:r>
      <w:r>
        <w:rPr>
          <w:spacing w:val="-4"/>
          <w:sz w:val="24"/>
        </w:rPr>
        <w:t> </w:t>
      </w:r>
      <w:r>
        <w:rPr>
          <w:sz w:val="24"/>
        </w:rPr>
        <w:t>of</w:t>
      </w:r>
      <w:r>
        <w:rPr>
          <w:spacing w:val="-3"/>
          <w:sz w:val="24"/>
        </w:rPr>
        <w:t> </w:t>
      </w:r>
      <w:r>
        <w:rPr>
          <w:sz w:val="24"/>
        </w:rPr>
        <w:t>Human</w:t>
      </w:r>
      <w:r>
        <w:rPr>
          <w:spacing w:val="-4"/>
          <w:sz w:val="24"/>
        </w:rPr>
        <w:t> </w:t>
      </w:r>
      <w:r>
        <w:rPr>
          <w:sz w:val="24"/>
        </w:rPr>
        <w:t>Services'</w:t>
      </w:r>
      <w:r>
        <w:rPr>
          <w:spacing w:val="-4"/>
          <w:sz w:val="24"/>
        </w:rPr>
        <w:t> </w:t>
      </w:r>
      <w:r>
        <w:rPr>
          <w:sz w:val="24"/>
        </w:rPr>
        <w:t>policy</w:t>
      </w:r>
      <w:r>
        <w:rPr>
          <w:spacing w:val="-3"/>
          <w:sz w:val="24"/>
        </w:rPr>
        <w:t> </w:t>
      </w:r>
      <w:r>
        <w:rPr>
          <w:sz w:val="24"/>
        </w:rPr>
        <w:t>on</w:t>
      </w:r>
      <w:r>
        <w:rPr>
          <w:spacing w:val="-4"/>
          <w:sz w:val="24"/>
        </w:rPr>
        <w:t> </w:t>
      </w:r>
      <w:r>
        <w:rPr>
          <w:sz w:val="24"/>
        </w:rPr>
        <w:t>abuse and/or neglect of clients in residential facilities.</w:t>
      </w:r>
      <w:r>
        <w:rPr>
          <w:spacing w:val="40"/>
          <w:sz w:val="24"/>
        </w:rPr>
        <w:t> </w:t>
      </w:r>
      <w:r>
        <w:rPr>
          <w:sz w:val="24"/>
        </w:rPr>
        <w:t>A copy of this policy is available from the superintendent's office.</w:t>
      </w:r>
    </w:p>
    <w:p>
      <w:pPr>
        <w:pStyle w:val="ListParagraph"/>
        <w:numPr>
          <w:ilvl w:val="1"/>
          <w:numId w:val="343"/>
        </w:numPr>
        <w:tabs>
          <w:tab w:pos="1676" w:val="left" w:leader="none"/>
        </w:tabs>
        <w:spacing w:line="208" w:lineRule="auto" w:before="240" w:after="0"/>
        <w:ind w:left="1224" w:right="835" w:firstLine="0"/>
        <w:jc w:val="left"/>
        <w:rPr>
          <w:sz w:val="24"/>
        </w:rPr>
      </w:pPr>
      <w:r>
        <w:rPr>
          <w:b/>
          <w:sz w:val="24"/>
        </w:rPr>
        <w:t>Abuse</w:t>
      </w:r>
      <w:r>
        <w:rPr>
          <w:b/>
          <w:spacing w:val="-3"/>
          <w:sz w:val="24"/>
        </w:rPr>
        <w:t> </w:t>
      </w:r>
      <w:r>
        <w:rPr>
          <w:b/>
          <w:sz w:val="24"/>
        </w:rPr>
        <w:t>complaint</w:t>
      </w:r>
      <w:r>
        <w:rPr>
          <w:b/>
          <w:spacing w:val="-4"/>
          <w:sz w:val="24"/>
        </w:rPr>
        <w:t> </w:t>
      </w:r>
      <w:r>
        <w:rPr>
          <w:b/>
          <w:sz w:val="24"/>
        </w:rPr>
        <w:t>referral.</w:t>
      </w:r>
      <w:r>
        <w:rPr>
          <w:b/>
          <w:spacing w:val="40"/>
          <w:sz w:val="24"/>
        </w:rPr>
        <w:t> </w:t>
      </w:r>
      <w:r>
        <w:rPr>
          <w:sz w:val="24"/>
        </w:rPr>
        <w:t>Alleged</w:t>
      </w:r>
      <w:r>
        <w:rPr>
          <w:spacing w:val="-3"/>
          <w:sz w:val="24"/>
        </w:rPr>
        <w:t> </w:t>
      </w:r>
      <w:r>
        <w:rPr>
          <w:sz w:val="24"/>
        </w:rPr>
        <w:t>abuse</w:t>
      </w:r>
      <w:r>
        <w:rPr>
          <w:spacing w:val="-3"/>
          <w:sz w:val="24"/>
        </w:rPr>
        <w:t> </w:t>
      </w:r>
      <w:r>
        <w:rPr>
          <w:sz w:val="24"/>
        </w:rPr>
        <w:t>of</w:t>
      </w:r>
      <w:r>
        <w:rPr>
          <w:spacing w:val="-2"/>
          <w:sz w:val="24"/>
        </w:rPr>
        <w:t> </w:t>
      </w:r>
      <w:r>
        <w:rPr>
          <w:sz w:val="24"/>
        </w:rPr>
        <w:t>a</w:t>
      </w:r>
      <w:r>
        <w:rPr>
          <w:spacing w:val="-3"/>
          <w:sz w:val="24"/>
        </w:rPr>
        <w:t> </w:t>
      </w:r>
      <w:r>
        <w:rPr>
          <w:sz w:val="24"/>
        </w:rPr>
        <w:t>student</w:t>
      </w:r>
      <w:r>
        <w:rPr>
          <w:spacing w:val="-2"/>
          <w:sz w:val="24"/>
        </w:rPr>
        <w:t> </w:t>
      </w:r>
      <w:r>
        <w:rPr>
          <w:sz w:val="24"/>
        </w:rPr>
        <w:t>by</w:t>
      </w:r>
      <w:r>
        <w:rPr>
          <w:spacing w:val="-3"/>
          <w:sz w:val="24"/>
        </w:rPr>
        <w:t> </w:t>
      </w:r>
      <w:r>
        <w:rPr>
          <w:sz w:val="24"/>
        </w:rPr>
        <w:t>a</w:t>
      </w:r>
      <w:r>
        <w:rPr>
          <w:spacing w:val="-3"/>
          <w:sz w:val="24"/>
        </w:rPr>
        <w:t> </w:t>
      </w:r>
      <w:r>
        <w:rPr>
          <w:sz w:val="24"/>
        </w:rPr>
        <w:t>staff</w:t>
      </w:r>
      <w:r>
        <w:rPr>
          <w:spacing w:val="-4"/>
          <w:sz w:val="24"/>
        </w:rPr>
        <w:t> </w:t>
      </w:r>
      <w:r>
        <w:rPr>
          <w:sz w:val="24"/>
        </w:rPr>
        <w:t>member, substantiated by investigation, may constitute cause for referral to the District Attorney.</w:t>
      </w:r>
      <w:r>
        <w:rPr>
          <w:spacing w:val="40"/>
          <w:sz w:val="24"/>
        </w:rPr>
        <w:t> </w:t>
      </w:r>
      <w:r>
        <w:rPr>
          <w:sz w:val="24"/>
        </w:rPr>
        <w:t>Refer to 612:20-3-19 through 612:20-3-27 for specific information.</w:t>
      </w:r>
    </w:p>
    <w:p>
      <w:pPr>
        <w:pStyle w:val="ListParagraph"/>
        <w:numPr>
          <w:ilvl w:val="1"/>
          <w:numId w:val="343"/>
        </w:numPr>
        <w:tabs>
          <w:tab w:pos="1662" w:val="left" w:leader="none"/>
        </w:tabs>
        <w:spacing w:line="208" w:lineRule="auto" w:before="240" w:after="0"/>
        <w:ind w:left="1224" w:right="742" w:firstLine="0"/>
        <w:jc w:val="left"/>
        <w:rPr>
          <w:sz w:val="24"/>
        </w:rPr>
      </w:pPr>
      <w:r>
        <w:rPr>
          <w:b/>
          <w:sz w:val="24"/>
        </w:rPr>
        <w:t>Disciplinary review.</w:t>
      </w:r>
      <w:r>
        <w:rPr>
          <w:b/>
          <w:spacing w:val="40"/>
          <w:sz w:val="24"/>
        </w:rPr>
        <w:t> </w:t>
      </w:r>
      <w:r>
        <w:rPr>
          <w:sz w:val="24"/>
        </w:rPr>
        <w:t>The superintendent of each school shall establish procedures</w:t>
      </w:r>
      <w:r>
        <w:rPr>
          <w:spacing w:val="-3"/>
          <w:sz w:val="24"/>
        </w:rPr>
        <w:t> </w:t>
      </w:r>
      <w:r>
        <w:rPr>
          <w:sz w:val="24"/>
        </w:rPr>
        <w:t>for</w:t>
      </w:r>
      <w:r>
        <w:rPr>
          <w:spacing w:val="-5"/>
          <w:sz w:val="24"/>
        </w:rPr>
        <w:t> </w:t>
      </w:r>
      <w:r>
        <w:rPr>
          <w:sz w:val="24"/>
        </w:rPr>
        <w:t>review</w:t>
      </w:r>
      <w:r>
        <w:rPr>
          <w:spacing w:val="-4"/>
          <w:sz w:val="24"/>
        </w:rPr>
        <w:t> </w:t>
      </w:r>
      <w:r>
        <w:rPr>
          <w:sz w:val="24"/>
        </w:rPr>
        <w:t>of</w:t>
      </w:r>
      <w:r>
        <w:rPr>
          <w:spacing w:val="-3"/>
          <w:sz w:val="24"/>
        </w:rPr>
        <w:t> </w:t>
      </w:r>
      <w:r>
        <w:rPr>
          <w:sz w:val="24"/>
        </w:rPr>
        <w:t>disciplinary</w:t>
      </w:r>
      <w:r>
        <w:rPr>
          <w:spacing w:val="-4"/>
          <w:sz w:val="24"/>
        </w:rPr>
        <w:t> </w:t>
      </w:r>
      <w:r>
        <w:rPr>
          <w:sz w:val="24"/>
        </w:rPr>
        <w:t>measures</w:t>
      </w:r>
      <w:r>
        <w:rPr>
          <w:spacing w:val="-4"/>
          <w:sz w:val="24"/>
        </w:rPr>
        <w:t> </w:t>
      </w:r>
      <w:r>
        <w:rPr>
          <w:sz w:val="24"/>
        </w:rPr>
        <w:t>when</w:t>
      </w:r>
      <w:r>
        <w:rPr>
          <w:spacing w:val="-4"/>
          <w:sz w:val="24"/>
        </w:rPr>
        <w:t> </w:t>
      </w:r>
      <w:r>
        <w:rPr>
          <w:sz w:val="24"/>
        </w:rPr>
        <w:t>infractions</w:t>
      </w:r>
      <w:r>
        <w:rPr>
          <w:spacing w:val="-4"/>
          <w:sz w:val="24"/>
        </w:rPr>
        <w:t> </w:t>
      </w:r>
      <w:r>
        <w:rPr>
          <w:sz w:val="24"/>
        </w:rPr>
        <w:t>are</w:t>
      </w:r>
      <w:r>
        <w:rPr>
          <w:spacing w:val="-4"/>
          <w:sz w:val="24"/>
        </w:rPr>
        <w:t> </w:t>
      </w:r>
      <w:r>
        <w:rPr>
          <w:sz w:val="24"/>
        </w:rPr>
        <w:t>of</w:t>
      </w:r>
      <w:r>
        <w:rPr>
          <w:spacing w:val="-3"/>
          <w:sz w:val="24"/>
        </w:rPr>
        <w:t> </w:t>
      </w:r>
      <w:r>
        <w:rPr>
          <w:sz w:val="24"/>
        </w:rPr>
        <w:t>a</w:t>
      </w:r>
      <w:r>
        <w:rPr>
          <w:spacing w:val="-4"/>
          <w:sz w:val="24"/>
        </w:rPr>
        <w:t> </w:t>
      </w:r>
      <w:r>
        <w:rPr>
          <w:sz w:val="24"/>
        </w:rPr>
        <w:t>chronic or serious nature and may result in suspension.</w:t>
      </w:r>
      <w:r>
        <w:rPr>
          <w:spacing w:val="40"/>
          <w:sz w:val="24"/>
        </w:rPr>
        <w:t> </w:t>
      </w:r>
      <w:r>
        <w:rPr>
          <w:sz w:val="24"/>
        </w:rPr>
        <w:t>Such procedures will include appropriate opportunity for students to have their view heard and considered. Parents and students will be apprised of their right to appeal decisions made.</w:t>
      </w:r>
    </w:p>
    <w:p>
      <w:pPr>
        <w:pStyle w:val="Heading2"/>
        <w:numPr>
          <w:ilvl w:val="0"/>
          <w:numId w:val="343"/>
        </w:numPr>
        <w:tabs>
          <w:tab w:pos="1217" w:val="left" w:leader="none"/>
        </w:tabs>
        <w:spacing w:line="240" w:lineRule="auto" w:before="210" w:after="0"/>
        <w:ind w:left="1217" w:right="0" w:hanging="425"/>
        <w:jc w:val="left"/>
      </w:pPr>
      <w:r>
        <w:rPr/>
        <w:t>Meeting</w:t>
      </w:r>
      <w:r>
        <w:rPr>
          <w:spacing w:val="-4"/>
        </w:rPr>
        <w:t> </w:t>
      </w:r>
      <w:r>
        <w:rPr/>
        <w:t>social</w:t>
      </w:r>
      <w:r>
        <w:rPr>
          <w:spacing w:val="-3"/>
        </w:rPr>
        <w:t> </w:t>
      </w:r>
      <w:r>
        <w:rPr>
          <w:spacing w:val="-2"/>
        </w:rPr>
        <w:t>needs.</w:t>
      </w:r>
    </w:p>
    <w:p>
      <w:pPr>
        <w:pStyle w:val="ListParagraph"/>
        <w:numPr>
          <w:ilvl w:val="1"/>
          <w:numId w:val="343"/>
        </w:numPr>
        <w:tabs>
          <w:tab w:pos="1677" w:val="left" w:leader="none"/>
        </w:tabs>
        <w:spacing w:line="208" w:lineRule="auto" w:before="233" w:after="0"/>
        <w:ind w:left="1224" w:right="864" w:firstLine="0"/>
        <w:jc w:val="left"/>
        <w:rPr>
          <w:sz w:val="24"/>
        </w:rPr>
      </w:pPr>
      <w:r>
        <w:rPr>
          <w:b/>
          <w:sz w:val="24"/>
        </w:rPr>
        <w:t>Education.</w:t>
      </w:r>
      <w:r>
        <w:rPr>
          <w:b/>
          <w:spacing w:val="40"/>
          <w:sz w:val="24"/>
        </w:rPr>
        <w:t> </w:t>
      </w:r>
      <w:r>
        <w:rPr>
          <w:sz w:val="24"/>
        </w:rPr>
        <w:t>Opportunities will be provided in the school area for student involvement</w:t>
      </w:r>
      <w:r>
        <w:rPr>
          <w:spacing w:val="-5"/>
          <w:sz w:val="24"/>
        </w:rPr>
        <w:t> </w:t>
      </w:r>
      <w:r>
        <w:rPr>
          <w:sz w:val="24"/>
        </w:rPr>
        <w:t>in</w:t>
      </w:r>
      <w:r>
        <w:rPr>
          <w:spacing w:val="-6"/>
          <w:sz w:val="24"/>
        </w:rPr>
        <w:t> </w:t>
      </w:r>
      <w:r>
        <w:rPr>
          <w:sz w:val="24"/>
        </w:rPr>
        <w:t>class</w:t>
      </w:r>
      <w:r>
        <w:rPr>
          <w:spacing w:val="-6"/>
          <w:sz w:val="24"/>
        </w:rPr>
        <w:t> </w:t>
      </w:r>
      <w:r>
        <w:rPr>
          <w:sz w:val="24"/>
        </w:rPr>
        <w:t>activities,</w:t>
      </w:r>
      <w:r>
        <w:rPr>
          <w:spacing w:val="-5"/>
          <w:sz w:val="24"/>
        </w:rPr>
        <w:t> </w:t>
      </w:r>
      <w:r>
        <w:rPr>
          <w:sz w:val="24"/>
        </w:rPr>
        <w:t>clubs,</w:t>
      </w:r>
      <w:r>
        <w:rPr>
          <w:spacing w:val="-5"/>
          <w:sz w:val="24"/>
        </w:rPr>
        <w:t> </w:t>
      </w:r>
      <w:r>
        <w:rPr>
          <w:sz w:val="24"/>
        </w:rPr>
        <w:t>organizations,</w:t>
      </w:r>
      <w:r>
        <w:rPr>
          <w:spacing w:val="-5"/>
          <w:sz w:val="24"/>
        </w:rPr>
        <w:t> </w:t>
      </w:r>
      <w:r>
        <w:rPr>
          <w:sz w:val="24"/>
        </w:rPr>
        <w:t>and</w:t>
      </w:r>
      <w:r>
        <w:rPr>
          <w:spacing w:val="-6"/>
          <w:sz w:val="24"/>
        </w:rPr>
        <w:t> </w:t>
      </w:r>
      <w:r>
        <w:rPr>
          <w:sz w:val="24"/>
        </w:rPr>
        <w:t>various</w:t>
      </w:r>
      <w:r>
        <w:rPr>
          <w:spacing w:val="-6"/>
          <w:sz w:val="24"/>
        </w:rPr>
        <w:t> </w:t>
      </w:r>
      <w:r>
        <w:rPr>
          <w:sz w:val="24"/>
        </w:rPr>
        <w:t>extracurricular activities designed to foster personal responsibility and healthy interpersonal </w:t>
      </w:r>
      <w:r>
        <w:rPr>
          <w:spacing w:val="-2"/>
          <w:sz w:val="24"/>
        </w:rPr>
        <w:t>relationships.</w:t>
      </w:r>
    </w:p>
    <w:p>
      <w:pPr>
        <w:pStyle w:val="ListParagraph"/>
        <w:numPr>
          <w:ilvl w:val="1"/>
          <w:numId w:val="343"/>
        </w:numPr>
        <w:tabs>
          <w:tab w:pos="1677" w:val="left" w:leader="none"/>
        </w:tabs>
        <w:spacing w:line="208" w:lineRule="auto" w:before="240" w:after="0"/>
        <w:ind w:left="1224" w:right="1036" w:firstLine="0"/>
        <w:jc w:val="left"/>
        <w:rPr>
          <w:sz w:val="24"/>
        </w:rPr>
      </w:pPr>
      <w:r>
        <w:rPr>
          <w:b/>
          <w:sz w:val="24"/>
        </w:rPr>
        <w:t>Religious services.</w:t>
      </w:r>
      <w:r>
        <w:rPr>
          <w:b/>
          <w:spacing w:val="40"/>
          <w:sz w:val="24"/>
        </w:rPr>
        <w:t> </w:t>
      </w:r>
      <w:r>
        <w:rPr>
          <w:sz w:val="24"/>
        </w:rPr>
        <w:t>Opportunity is provided for resident children at the School</w:t>
      </w:r>
      <w:r>
        <w:rPr>
          <w:spacing w:val="-4"/>
          <w:sz w:val="24"/>
        </w:rPr>
        <w:t> </w:t>
      </w:r>
      <w:r>
        <w:rPr>
          <w:sz w:val="24"/>
        </w:rPr>
        <w:t>for</w:t>
      </w:r>
      <w:r>
        <w:rPr>
          <w:spacing w:val="-2"/>
          <w:sz w:val="24"/>
        </w:rPr>
        <w:t> </w:t>
      </w:r>
      <w:r>
        <w:rPr>
          <w:sz w:val="24"/>
        </w:rPr>
        <w:t>the</w:t>
      </w:r>
      <w:r>
        <w:rPr>
          <w:spacing w:val="-3"/>
          <w:sz w:val="24"/>
        </w:rPr>
        <w:t> </w:t>
      </w:r>
      <w:r>
        <w:rPr>
          <w:sz w:val="24"/>
        </w:rPr>
        <w:t>Blind</w:t>
      </w:r>
      <w:r>
        <w:rPr>
          <w:spacing w:val="-3"/>
          <w:sz w:val="24"/>
        </w:rPr>
        <w:t> </w:t>
      </w:r>
      <w:r>
        <w:rPr>
          <w:sz w:val="24"/>
        </w:rPr>
        <w:t>and</w:t>
      </w:r>
      <w:r>
        <w:rPr>
          <w:spacing w:val="-3"/>
          <w:sz w:val="24"/>
        </w:rPr>
        <w:t> </w:t>
      </w:r>
      <w:r>
        <w:rPr>
          <w:sz w:val="24"/>
        </w:rPr>
        <w:t>the</w:t>
      </w:r>
      <w:r>
        <w:rPr>
          <w:spacing w:val="-3"/>
          <w:sz w:val="24"/>
        </w:rPr>
        <w:t> </w:t>
      </w:r>
      <w:r>
        <w:rPr>
          <w:sz w:val="24"/>
        </w:rPr>
        <w:t>School</w:t>
      </w:r>
      <w:r>
        <w:rPr>
          <w:spacing w:val="-3"/>
          <w:sz w:val="24"/>
        </w:rPr>
        <w:t> </w:t>
      </w:r>
      <w:r>
        <w:rPr>
          <w:sz w:val="24"/>
        </w:rPr>
        <w:t>for</w:t>
      </w:r>
      <w:r>
        <w:rPr>
          <w:spacing w:val="-2"/>
          <w:sz w:val="24"/>
        </w:rPr>
        <w:t> </w:t>
      </w:r>
      <w:r>
        <w:rPr>
          <w:sz w:val="24"/>
        </w:rPr>
        <w:t>the</w:t>
      </w:r>
      <w:r>
        <w:rPr>
          <w:spacing w:val="-3"/>
          <w:sz w:val="24"/>
        </w:rPr>
        <w:t> </w:t>
      </w:r>
      <w:r>
        <w:rPr>
          <w:sz w:val="24"/>
        </w:rPr>
        <w:t>Deaf</w:t>
      </w:r>
      <w:r>
        <w:rPr>
          <w:spacing w:val="-2"/>
          <w:sz w:val="24"/>
        </w:rPr>
        <w:t> </w:t>
      </w:r>
      <w:r>
        <w:rPr>
          <w:sz w:val="24"/>
        </w:rPr>
        <w:t>to</w:t>
      </w:r>
      <w:r>
        <w:rPr>
          <w:spacing w:val="-3"/>
          <w:sz w:val="24"/>
        </w:rPr>
        <w:t> </w:t>
      </w:r>
      <w:r>
        <w:rPr>
          <w:sz w:val="24"/>
        </w:rPr>
        <w:t>attend</w:t>
      </w:r>
      <w:r>
        <w:rPr>
          <w:spacing w:val="-3"/>
          <w:sz w:val="24"/>
        </w:rPr>
        <w:t> </w:t>
      </w:r>
      <w:r>
        <w:rPr>
          <w:sz w:val="24"/>
        </w:rPr>
        <w:t>worship</w:t>
      </w:r>
      <w:r>
        <w:rPr>
          <w:spacing w:val="-3"/>
          <w:sz w:val="24"/>
        </w:rPr>
        <w:t> </w:t>
      </w:r>
      <w:r>
        <w:rPr>
          <w:sz w:val="24"/>
        </w:rPr>
        <w:t>services</w:t>
      </w:r>
      <w:r>
        <w:rPr>
          <w:spacing w:val="-3"/>
          <w:sz w:val="24"/>
        </w:rPr>
        <w:t> </w:t>
      </w:r>
      <w:r>
        <w:rPr>
          <w:sz w:val="24"/>
        </w:rPr>
        <w:t>of their choice.</w:t>
      </w:r>
    </w:p>
    <w:p>
      <w:pPr>
        <w:pStyle w:val="ListParagraph"/>
        <w:numPr>
          <w:ilvl w:val="1"/>
          <w:numId w:val="343"/>
        </w:numPr>
        <w:tabs>
          <w:tab w:pos="1690" w:val="left" w:leader="none"/>
        </w:tabs>
        <w:spacing w:line="208" w:lineRule="auto" w:before="240" w:after="0"/>
        <w:ind w:left="1224" w:right="847" w:firstLine="0"/>
        <w:jc w:val="left"/>
        <w:rPr>
          <w:sz w:val="24"/>
        </w:rPr>
      </w:pPr>
      <w:r>
        <w:rPr>
          <w:b/>
          <w:sz w:val="24"/>
        </w:rPr>
        <w:t>Recreation.</w:t>
      </w:r>
      <w:r>
        <w:rPr>
          <w:b/>
          <w:spacing w:val="40"/>
          <w:sz w:val="24"/>
        </w:rPr>
        <w:t> </w:t>
      </w:r>
      <w:r>
        <w:rPr>
          <w:sz w:val="24"/>
        </w:rPr>
        <w:t>Recreation for children embodies a wide range of activities, from sedentary recreation to competitive sports.</w:t>
      </w:r>
      <w:r>
        <w:rPr>
          <w:spacing w:val="40"/>
          <w:sz w:val="24"/>
        </w:rPr>
        <w:t> </w:t>
      </w:r>
      <w:r>
        <w:rPr>
          <w:sz w:val="24"/>
        </w:rPr>
        <w:t>In programming for meeting the recreation needs of children, consideration is given to their interests, their abilities, their need for successful experiences, and their need to learn team play.</w:t>
      </w:r>
      <w:r>
        <w:rPr>
          <w:spacing w:val="40"/>
          <w:sz w:val="24"/>
        </w:rPr>
        <w:t> </w:t>
      </w:r>
      <w:r>
        <w:rPr>
          <w:sz w:val="24"/>
        </w:rPr>
        <w:t>Consideration also is given to the use of hobbies and cultural exposures as opportunities for social and personal growth.</w:t>
      </w:r>
      <w:r>
        <w:rPr>
          <w:spacing w:val="40"/>
          <w:sz w:val="24"/>
        </w:rPr>
        <w:t> </w:t>
      </w:r>
      <w:r>
        <w:rPr>
          <w:sz w:val="24"/>
        </w:rPr>
        <w:t>Off-campus activities are programmed</w:t>
      </w:r>
      <w:r>
        <w:rPr>
          <w:spacing w:val="-4"/>
          <w:sz w:val="24"/>
        </w:rPr>
        <w:t> </w:t>
      </w:r>
      <w:r>
        <w:rPr>
          <w:sz w:val="24"/>
        </w:rPr>
        <w:t>within</w:t>
      </w:r>
      <w:r>
        <w:rPr>
          <w:spacing w:val="-4"/>
          <w:sz w:val="24"/>
        </w:rPr>
        <w:t> </w:t>
      </w:r>
      <w:r>
        <w:rPr>
          <w:sz w:val="24"/>
        </w:rPr>
        <w:t>the</w:t>
      </w:r>
      <w:r>
        <w:rPr>
          <w:spacing w:val="-3"/>
          <w:sz w:val="24"/>
        </w:rPr>
        <w:t> </w:t>
      </w:r>
      <w:r>
        <w:rPr>
          <w:sz w:val="24"/>
        </w:rPr>
        <w:t>limits</w:t>
      </w:r>
      <w:r>
        <w:rPr>
          <w:spacing w:val="-4"/>
          <w:sz w:val="24"/>
        </w:rPr>
        <w:t> </w:t>
      </w:r>
      <w:r>
        <w:rPr>
          <w:sz w:val="24"/>
        </w:rPr>
        <w:t>of</w:t>
      </w:r>
      <w:r>
        <w:rPr>
          <w:spacing w:val="-3"/>
          <w:sz w:val="24"/>
        </w:rPr>
        <w:t> </w:t>
      </w:r>
      <w:r>
        <w:rPr>
          <w:sz w:val="24"/>
        </w:rPr>
        <w:t>good</w:t>
      </w:r>
      <w:r>
        <w:rPr>
          <w:spacing w:val="-4"/>
          <w:sz w:val="24"/>
        </w:rPr>
        <w:t> </w:t>
      </w:r>
      <w:r>
        <w:rPr>
          <w:sz w:val="24"/>
        </w:rPr>
        <w:t>judgement,</w:t>
      </w:r>
      <w:r>
        <w:rPr>
          <w:spacing w:val="-3"/>
          <w:sz w:val="24"/>
        </w:rPr>
        <w:t> </w:t>
      </w:r>
      <w:r>
        <w:rPr>
          <w:sz w:val="24"/>
        </w:rPr>
        <w:t>and</w:t>
      </w:r>
      <w:r>
        <w:rPr>
          <w:spacing w:val="-4"/>
          <w:sz w:val="24"/>
        </w:rPr>
        <w:t> </w:t>
      </w:r>
      <w:r>
        <w:rPr>
          <w:sz w:val="24"/>
        </w:rPr>
        <w:t>with</w:t>
      </w:r>
      <w:r>
        <w:rPr>
          <w:spacing w:val="-4"/>
          <w:sz w:val="24"/>
        </w:rPr>
        <w:t> </w:t>
      </w:r>
      <w:r>
        <w:rPr>
          <w:sz w:val="24"/>
        </w:rPr>
        <w:t>an</w:t>
      </w:r>
      <w:r>
        <w:rPr>
          <w:spacing w:val="-4"/>
          <w:sz w:val="24"/>
        </w:rPr>
        <w:t> </w:t>
      </w:r>
      <w:r>
        <w:rPr>
          <w:sz w:val="24"/>
        </w:rPr>
        <w:t>awareness</w:t>
      </w:r>
      <w:r>
        <w:rPr>
          <w:spacing w:val="-4"/>
          <w:sz w:val="24"/>
        </w:rPr>
        <w:t> </w:t>
      </w:r>
      <w:r>
        <w:rPr>
          <w:sz w:val="24"/>
        </w:rPr>
        <w:t>of</w:t>
      </w:r>
      <w:r>
        <w:rPr>
          <w:spacing w:val="-3"/>
          <w:sz w:val="24"/>
        </w:rPr>
        <w:t> </w:t>
      </w:r>
      <w:r>
        <w:rPr>
          <w:sz w:val="24"/>
        </w:rPr>
        <w:t>the child's interests.</w:t>
      </w:r>
    </w:p>
    <w:p>
      <w:pPr>
        <w:pStyle w:val="ListParagraph"/>
        <w:numPr>
          <w:ilvl w:val="1"/>
          <w:numId w:val="343"/>
        </w:numPr>
        <w:tabs>
          <w:tab w:pos="1690" w:val="left" w:leader="none"/>
        </w:tabs>
        <w:spacing w:line="208" w:lineRule="auto" w:before="239" w:after="0"/>
        <w:ind w:left="1224" w:right="755" w:firstLine="0"/>
        <w:jc w:val="left"/>
        <w:rPr>
          <w:sz w:val="24"/>
        </w:rPr>
      </w:pPr>
      <w:r>
        <w:rPr>
          <w:b/>
          <w:sz w:val="24"/>
        </w:rPr>
        <w:t>Children's</w:t>
      </w:r>
      <w:r>
        <w:rPr>
          <w:b/>
          <w:spacing w:val="-5"/>
          <w:sz w:val="24"/>
        </w:rPr>
        <w:t> </w:t>
      </w:r>
      <w:r>
        <w:rPr>
          <w:b/>
          <w:sz w:val="24"/>
        </w:rPr>
        <w:t>correspondence.</w:t>
      </w:r>
      <w:r>
        <w:rPr>
          <w:b/>
          <w:spacing w:val="40"/>
          <w:sz w:val="24"/>
        </w:rPr>
        <w:t> </w:t>
      </w:r>
      <w:r>
        <w:rPr>
          <w:sz w:val="24"/>
        </w:rPr>
        <w:t>Correspondence</w:t>
      </w:r>
      <w:r>
        <w:rPr>
          <w:spacing w:val="-5"/>
          <w:sz w:val="24"/>
        </w:rPr>
        <w:t> </w:t>
      </w:r>
      <w:r>
        <w:rPr>
          <w:sz w:val="24"/>
        </w:rPr>
        <w:t>provides</w:t>
      </w:r>
      <w:r>
        <w:rPr>
          <w:spacing w:val="-5"/>
          <w:sz w:val="24"/>
        </w:rPr>
        <w:t> </w:t>
      </w:r>
      <w:r>
        <w:rPr>
          <w:sz w:val="24"/>
        </w:rPr>
        <w:t>a</w:t>
      </w:r>
      <w:r>
        <w:rPr>
          <w:spacing w:val="-5"/>
          <w:sz w:val="24"/>
        </w:rPr>
        <w:t> </w:t>
      </w:r>
      <w:r>
        <w:rPr>
          <w:sz w:val="24"/>
        </w:rPr>
        <w:t>means</w:t>
      </w:r>
      <w:r>
        <w:rPr>
          <w:spacing w:val="-5"/>
          <w:sz w:val="24"/>
        </w:rPr>
        <w:t> </w:t>
      </w:r>
      <w:r>
        <w:rPr>
          <w:sz w:val="24"/>
        </w:rPr>
        <w:t>of</w:t>
      </w:r>
      <w:r>
        <w:rPr>
          <w:spacing w:val="-5"/>
          <w:sz w:val="24"/>
        </w:rPr>
        <w:t> </w:t>
      </w:r>
      <w:r>
        <w:rPr>
          <w:sz w:val="24"/>
        </w:rPr>
        <w:t>family and social contact for children.</w:t>
      </w:r>
      <w:r>
        <w:rPr>
          <w:spacing w:val="40"/>
          <w:sz w:val="24"/>
        </w:rPr>
        <w:t> </w:t>
      </w:r>
      <w:r>
        <w:rPr>
          <w:sz w:val="24"/>
        </w:rPr>
        <w:t>It can be a definite factor in meeting social needs;</w:t>
      </w:r>
      <w:r>
        <w:rPr>
          <w:spacing w:val="-3"/>
          <w:sz w:val="24"/>
        </w:rPr>
        <w:t> </w:t>
      </w:r>
      <w:r>
        <w:rPr>
          <w:sz w:val="24"/>
        </w:rPr>
        <w:t>therefore,</w:t>
      </w:r>
      <w:r>
        <w:rPr>
          <w:spacing w:val="-3"/>
          <w:sz w:val="24"/>
        </w:rPr>
        <w:t> </w:t>
      </w:r>
      <w:r>
        <w:rPr>
          <w:sz w:val="24"/>
        </w:rPr>
        <w:t>correspondence</w:t>
      </w:r>
      <w:r>
        <w:rPr>
          <w:spacing w:val="-3"/>
          <w:sz w:val="24"/>
        </w:rPr>
        <w:t> </w:t>
      </w:r>
      <w:r>
        <w:rPr>
          <w:sz w:val="24"/>
        </w:rPr>
        <w:t>between</w:t>
      </w:r>
      <w:r>
        <w:rPr>
          <w:spacing w:val="-4"/>
          <w:sz w:val="24"/>
        </w:rPr>
        <w:t> </w:t>
      </w:r>
      <w:r>
        <w:rPr>
          <w:sz w:val="24"/>
        </w:rPr>
        <w:t>children</w:t>
      </w:r>
      <w:r>
        <w:rPr>
          <w:spacing w:val="-4"/>
          <w:sz w:val="24"/>
        </w:rPr>
        <w:t> </w:t>
      </w:r>
      <w:r>
        <w:rPr>
          <w:sz w:val="24"/>
        </w:rPr>
        <w:t>and</w:t>
      </w:r>
      <w:r>
        <w:rPr>
          <w:spacing w:val="-3"/>
          <w:sz w:val="24"/>
        </w:rPr>
        <w:t> </w:t>
      </w:r>
      <w:r>
        <w:rPr>
          <w:sz w:val="24"/>
        </w:rPr>
        <w:t>their</w:t>
      </w:r>
      <w:r>
        <w:rPr>
          <w:spacing w:val="-3"/>
          <w:sz w:val="24"/>
        </w:rPr>
        <w:t> </w:t>
      </w:r>
      <w:r>
        <w:rPr>
          <w:sz w:val="24"/>
        </w:rPr>
        <w:t>parents,</w:t>
      </w:r>
      <w:r>
        <w:rPr>
          <w:spacing w:val="-5"/>
          <w:sz w:val="24"/>
        </w:rPr>
        <w:t> </w:t>
      </w:r>
      <w:r>
        <w:rPr>
          <w:sz w:val="24"/>
        </w:rPr>
        <w:t>relatives, and close friends is encouraged insofar as it appears to be in the best interest of the child.</w:t>
      </w:r>
      <w:r>
        <w:rPr>
          <w:spacing w:val="40"/>
          <w:sz w:val="24"/>
        </w:rPr>
        <w:t> </w:t>
      </w:r>
      <w:r>
        <w:rPr>
          <w:sz w:val="24"/>
        </w:rPr>
        <w:t>Incoming or outgoing mail is not to be inspected or censored.</w:t>
      </w:r>
    </w:p>
    <w:p>
      <w:pPr>
        <w:pStyle w:val="ListParagraph"/>
        <w:numPr>
          <w:ilvl w:val="1"/>
          <w:numId w:val="343"/>
        </w:numPr>
        <w:tabs>
          <w:tab w:pos="1677" w:val="left" w:leader="none"/>
        </w:tabs>
        <w:spacing w:line="208" w:lineRule="auto" w:before="239" w:after="0"/>
        <w:ind w:left="1224" w:right="1650" w:firstLine="0"/>
        <w:jc w:val="left"/>
        <w:rPr>
          <w:sz w:val="24"/>
        </w:rPr>
      </w:pPr>
      <w:r>
        <w:rPr>
          <w:b/>
          <w:sz w:val="24"/>
        </w:rPr>
        <w:t>Visitation</w:t>
      </w:r>
      <w:r>
        <w:rPr>
          <w:b/>
          <w:spacing w:val="-4"/>
          <w:sz w:val="24"/>
        </w:rPr>
        <w:t> </w:t>
      </w:r>
      <w:r>
        <w:rPr>
          <w:b/>
          <w:sz w:val="24"/>
        </w:rPr>
        <w:t>on</w:t>
      </w:r>
      <w:r>
        <w:rPr>
          <w:b/>
          <w:spacing w:val="-4"/>
          <w:sz w:val="24"/>
        </w:rPr>
        <w:t> </w:t>
      </w:r>
      <w:r>
        <w:rPr>
          <w:b/>
          <w:sz w:val="24"/>
        </w:rPr>
        <w:t>campus.</w:t>
      </w:r>
      <w:r>
        <w:rPr>
          <w:b/>
          <w:spacing w:val="40"/>
          <w:sz w:val="24"/>
        </w:rPr>
        <w:t> </w:t>
      </w:r>
      <w:r>
        <w:rPr>
          <w:sz w:val="24"/>
        </w:rPr>
        <w:t>Visits</w:t>
      </w:r>
      <w:r>
        <w:rPr>
          <w:spacing w:val="-4"/>
          <w:sz w:val="24"/>
        </w:rPr>
        <w:t> </w:t>
      </w:r>
      <w:r>
        <w:rPr>
          <w:sz w:val="24"/>
        </w:rPr>
        <w:t>by</w:t>
      </w:r>
      <w:r>
        <w:rPr>
          <w:spacing w:val="-5"/>
          <w:sz w:val="24"/>
        </w:rPr>
        <w:t> </w:t>
      </w:r>
      <w:r>
        <w:rPr>
          <w:sz w:val="24"/>
        </w:rPr>
        <w:t>family</w:t>
      </w:r>
      <w:r>
        <w:rPr>
          <w:spacing w:val="-4"/>
          <w:sz w:val="24"/>
        </w:rPr>
        <w:t> </w:t>
      </w:r>
      <w:r>
        <w:rPr>
          <w:sz w:val="24"/>
        </w:rPr>
        <w:t>and</w:t>
      </w:r>
      <w:r>
        <w:rPr>
          <w:spacing w:val="-4"/>
          <w:sz w:val="24"/>
        </w:rPr>
        <w:t> </w:t>
      </w:r>
      <w:r>
        <w:rPr>
          <w:sz w:val="24"/>
        </w:rPr>
        <w:t>friends</w:t>
      </w:r>
      <w:r>
        <w:rPr>
          <w:spacing w:val="-4"/>
          <w:sz w:val="24"/>
        </w:rPr>
        <w:t> </w:t>
      </w:r>
      <w:r>
        <w:rPr>
          <w:sz w:val="24"/>
        </w:rPr>
        <w:t>of</w:t>
      </w:r>
      <w:r>
        <w:rPr>
          <w:spacing w:val="-3"/>
          <w:sz w:val="24"/>
        </w:rPr>
        <w:t> </w:t>
      </w:r>
      <w:r>
        <w:rPr>
          <w:sz w:val="24"/>
        </w:rPr>
        <w:t>students</w:t>
      </w:r>
      <w:r>
        <w:rPr>
          <w:spacing w:val="-4"/>
          <w:sz w:val="24"/>
        </w:rPr>
        <w:t> </w:t>
      </w:r>
      <w:r>
        <w:rPr>
          <w:sz w:val="24"/>
        </w:rPr>
        <w:t>are encouraged.</w:t>
      </w:r>
      <w:r>
        <w:rPr>
          <w:spacing w:val="40"/>
          <w:sz w:val="24"/>
        </w:rPr>
        <w:t> </w:t>
      </w:r>
      <w:r>
        <w:rPr>
          <w:sz w:val="24"/>
        </w:rPr>
        <w:t>Visitors are expected to abide by all school rules.</w:t>
      </w:r>
    </w:p>
    <w:p>
      <w:pPr>
        <w:pStyle w:val="ListParagraph"/>
        <w:numPr>
          <w:ilvl w:val="1"/>
          <w:numId w:val="343"/>
        </w:numPr>
        <w:tabs>
          <w:tab w:pos="1662" w:val="left" w:leader="none"/>
        </w:tabs>
        <w:spacing w:line="208" w:lineRule="auto" w:before="240" w:after="0"/>
        <w:ind w:left="1224" w:right="822" w:firstLine="0"/>
        <w:jc w:val="left"/>
        <w:rPr>
          <w:sz w:val="24"/>
        </w:rPr>
      </w:pPr>
      <w:r>
        <w:rPr>
          <w:b/>
          <w:sz w:val="24"/>
        </w:rPr>
        <w:t>Dormitory living.</w:t>
      </w:r>
      <w:r>
        <w:rPr>
          <w:b/>
          <w:spacing w:val="40"/>
          <w:sz w:val="24"/>
        </w:rPr>
        <w:t> </w:t>
      </w:r>
      <w:r>
        <w:rPr>
          <w:sz w:val="24"/>
        </w:rPr>
        <w:t>Social needs of children can be met also in group living where an atmosphere of mutual respect is essential.</w:t>
      </w:r>
      <w:r>
        <w:rPr>
          <w:spacing w:val="40"/>
          <w:sz w:val="24"/>
        </w:rPr>
        <w:t> </w:t>
      </w:r>
      <w:r>
        <w:rPr>
          <w:sz w:val="24"/>
        </w:rPr>
        <w:t>Sharing of work, participation</w:t>
      </w:r>
      <w:r>
        <w:rPr>
          <w:spacing w:val="-4"/>
          <w:sz w:val="24"/>
        </w:rPr>
        <w:t> </w:t>
      </w:r>
      <w:r>
        <w:rPr>
          <w:sz w:val="24"/>
        </w:rPr>
        <w:t>in</w:t>
      </w:r>
      <w:r>
        <w:rPr>
          <w:spacing w:val="-4"/>
          <w:sz w:val="24"/>
        </w:rPr>
        <w:t> </w:t>
      </w:r>
      <w:r>
        <w:rPr>
          <w:sz w:val="24"/>
        </w:rPr>
        <w:t>dormitory</w:t>
      </w:r>
      <w:r>
        <w:rPr>
          <w:spacing w:val="-4"/>
          <w:sz w:val="24"/>
        </w:rPr>
        <w:t> </w:t>
      </w:r>
      <w:r>
        <w:rPr>
          <w:sz w:val="24"/>
        </w:rPr>
        <w:t>activities,</w:t>
      </w:r>
      <w:r>
        <w:rPr>
          <w:spacing w:val="-3"/>
          <w:sz w:val="24"/>
        </w:rPr>
        <w:t> </w:t>
      </w:r>
      <w:r>
        <w:rPr>
          <w:sz w:val="24"/>
        </w:rPr>
        <w:t>and</w:t>
      </w:r>
      <w:r>
        <w:rPr>
          <w:spacing w:val="-4"/>
          <w:sz w:val="24"/>
        </w:rPr>
        <w:t> </w:t>
      </w:r>
      <w:r>
        <w:rPr>
          <w:sz w:val="24"/>
        </w:rPr>
        <w:t>identifying</w:t>
      </w:r>
      <w:r>
        <w:rPr>
          <w:spacing w:val="-4"/>
          <w:sz w:val="24"/>
        </w:rPr>
        <w:t> </w:t>
      </w:r>
      <w:r>
        <w:rPr>
          <w:sz w:val="24"/>
        </w:rPr>
        <w:t>with</w:t>
      </w:r>
      <w:r>
        <w:rPr>
          <w:spacing w:val="-4"/>
          <w:sz w:val="24"/>
        </w:rPr>
        <w:t> </w:t>
      </w:r>
      <w:r>
        <w:rPr>
          <w:sz w:val="24"/>
        </w:rPr>
        <w:t>the</w:t>
      </w:r>
      <w:r>
        <w:rPr>
          <w:spacing w:val="-4"/>
          <w:sz w:val="24"/>
        </w:rPr>
        <w:t> </w:t>
      </w:r>
      <w:r>
        <w:rPr>
          <w:sz w:val="24"/>
        </w:rPr>
        <w:t>group</w:t>
      </w:r>
      <w:r>
        <w:rPr>
          <w:spacing w:val="-4"/>
          <w:sz w:val="24"/>
        </w:rPr>
        <w:t> </w:t>
      </w:r>
      <w:r>
        <w:rPr>
          <w:sz w:val="24"/>
        </w:rPr>
        <w:t>can</w:t>
      </w:r>
      <w:r>
        <w:rPr>
          <w:spacing w:val="-4"/>
          <w:sz w:val="24"/>
        </w:rPr>
        <w:t> </w:t>
      </w:r>
      <w:r>
        <w:rPr>
          <w:sz w:val="24"/>
        </w:rPr>
        <w:t>be</w:t>
      </w:r>
      <w:r>
        <w:rPr>
          <w:spacing w:val="-4"/>
          <w:sz w:val="24"/>
        </w:rPr>
        <w:t> </w:t>
      </w:r>
      <w:r>
        <w:rPr>
          <w:sz w:val="24"/>
        </w:rPr>
        <w:t>vital</w:t>
      </w:r>
      <w:r>
        <w:rPr>
          <w:spacing w:val="-4"/>
          <w:sz w:val="24"/>
        </w:rPr>
        <w:t> </w:t>
      </w:r>
      <w:r>
        <w:rPr>
          <w:sz w:val="24"/>
        </w:rPr>
        <w:t>in the growth and development of the child.</w:t>
      </w:r>
      <w:r>
        <w:rPr>
          <w:spacing w:val="40"/>
          <w:sz w:val="24"/>
        </w:rPr>
        <w:t> </w:t>
      </w:r>
      <w:r>
        <w:rPr>
          <w:sz w:val="24"/>
        </w:rPr>
        <w:t>Moreover, in his association with the</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1224"/>
      </w:pPr>
      <w:r>
        <w:rPr/>
        <w:t>Direct</w:t>
      </w:r>
      <w:r>
        <w:rPr>
          <w:spacing w:val="-2"/>
        </w:rPr>
        <w:t> </w:t>
      </w:r>
      <w:r>
        <w:rPr/>
        <w:t>Care</w:t>
      </w:r>
      <w:r>
        <w:rPr>
          <w:spacing w:val="-3"/>
        </w:rPr>
        <w:t> </w:t>
      </w:r>
      <w:r>
        <w:rPr/>
        <w:t>Specialist,</w:t>
      </w:r>
      <w:r>
        <w:rPr>
          <w:spacing w:val="-2"/>
        </w:rPr>
        <w:t> </w:t>
      </w:r>
      <w:r>
        <w:rPr/>
        <w:t>the</w:t>
      </w:r>
      <w:r>
        <w:rPr>
          <w:spacing w:val="-3"/>
        </w:rPr>
        <w:t> </w:t>
      </w:r>
      <w:r>
        <w:rPr/>
        <w:t>child</w:t>
      </w:r>
      <w:r>
        <w:rPr>
          <w:spacing w:val="-3"/>
        </w:rPr>
        <w:t> </w:t>
      </w:r>
      <w:r>
        <w:rPr/>
        <w:t>is</w:t>
      </w:r>
      <w:r>
        <w:rPr>
          <w:spacing w:val="-3"/>
        </w:rPr>
        <w:t> </w:t>
      </w:r>
      <w:r>
        <w:rPr/>
        <w:t>given</w:t>
      </w:r>
      <w:r>
        <w:rPr>
          <w:spacing w:val="-3"/>
        </w:rPr>
        <w:t> </w:t>
      </w:r>
      <w:r>
        <w:rPr/>
        <w:t>an</w:t>
      </w:r>
      <w:r>
        <w:rPr>
          <w:spacing w:val="-3"/>
        </w:rPr>
        <w:t> </w:t>
      </w:r>
      <w:r>
        <w:rPr/>
        <w:t>opportunity</w:t>
      </w:r>
      <w:r>
        <w:rPr>
          <w:spacing w:val="-3"/>
        </w:rPr>
        <w:t> </w:t>
      </w:r>
      <w:r>
        <w:rPr/>
        <w:t>to</w:t>
      </w:r>
      <w:r>
        <w:rPr>
          <w:spacing w:val="-3"/>
        </w:rPr>
        <w:t> </w:t>
      </w:r>
      <w:r>
        <w:rPr/>
        <w:t>come</w:t>
      </w:r>
      <w:r>
        <w:rPr>
          <w:spacing w:val="-3"/>
        </w:rPr>
        <w:t> </w:t>
      </w:r>
      <w:r>
        <w:rPr/>
        <w:t>to</w:t>
      </w:r>
      <w:r>
        <w:rPr>
          <w:spacing w:val="-4"/>
        </w:rPr>
        <w:t> </w:t>
      </w:r>
      <w:r>
        <w:rPr/>
        <w:t>terms</w:t>
      </w:r>
      <w:r>
        <w:rPr>
          <w:spacing w:val="-3"/>
        </w:rPr>
        <w:t> </w:t>
      </w:r>
      <w:r>
        <w:rPr/>
        <w:t>with</w:t>
      </w:r>
      <w:r>
        <w:rPr>
          <w:spacing w:val="-3"/>
        </w:rPr>
        <w:t> </w:t>
      </w:r>
      <w:r>
        <w:rPr/>
        <w:t>an authority figure and to form a positive relationship with an adult.</w:t>
      </w:r>
      <w:r>
        <w:rPr>
          <w:spacing w:val="40"/>
        </w:rPr>
        <w:t> </w:t>
      </w:r>
      <w:r>
        <w:rPr/>
        <w:t>Still another opportunity for growth is provided by participation in group decision making, as practiced in varied degrees by the dormitories in the schools.</w:t>
      </w:r>
    </w:p>
    <w:p>
      <w:pPr>
        <w:pStyle w:val="ListParagraph"/>
        <w:numPr>
          <w:ilvl w:val="1"/>
          <w:numId w:val="343"/>
        </w:numPr>
        <w:tabs>
          <w:tab w:pos="1703" w:val="left" w:leader="none"/>
        </w:tabs>
        <w:spacing w:line="208" w:lineRule="auto" w:before="239" w:after="0"/>
        <w:ind w:left="1224" w:right="794" w:firstLine="0"/>
        <w:jc w:val="left"/>
        <w:rPr>
          <w:sz w:val="24"/>
        </w:rPr>
      </w:pPr>
      <w:r>
        <w:rPr>
          <w:b/>
          <w:sz w:val="24"/>
        </w:rPr>
        <w:t>Student allowances.</w:t>
      </w:r>
      <w:r>
        <w:rPr>
          <w:b/>
          <w:spacing w:val="40"/>
          <w:sz w:val="24"/>
        </w:rPr>
        <w:t> </w:t>
      </w:r>
      <w:r>
        <w:rPr>
          <w:sz w:val="24"/>
        </w:rPr>
        <w:t>Disbursement of allowances to students may be done</w:t>
      </w:r>
      <w:r>
        <w:rPr>
          <w:spacing w:val="-4"/>
          <w:sz w:val="24"/>
        </w:rPr>
        <w:t> </w:t>
      </w:r>
      <w:r>
        <w:rPr>
          <w:sz w:val="24"/>
        </w:rPr>
        <w:t>weekly</w:t>
      </w:r>
      <w:r>
        <w:rPr>
          <w:spacing w:val="-4"/>
          <w:sz w:val="24"/>
        </w:rPr>
        <w:t> </w:t>
      </w:r>
      <w:r>
        <w:rPr>
          <w:sz w:val="24"/>
        </w:rPr>
        <w:t>subject</w:t>
      </w:r>
      <w:r>
        <w:rPr>
          <w:spacing w:val="-3"/>
          <w:sz w:val="24"/>
        </w:rPr>
        <w:t> </w:t>
      </w:r>
      <w:r>
        <w:rPr>
          <w:sz w:val="24"/>
        </w:rPr>
        <w:t>to</w:t>
      </w:r>
      <w:r>
        <w:rPr>
          <w:spacing w:val="-4"/>
          <w:sz w:val="24"/>
        </w:rPr>
        <w:t> </w:t>
      </w:r>
      <w:r>
        <w:rPr>
          <w:sz w:val="24"/>
        </w:rPr>
        <w:t>arrangements</w:t>
      </w:r>
      <w:r>
        <w:rPr>
          <w:spacing w:val="-4"/>
          <w:sz w:val="24"/>
        </w:rPr>
        <w:t> </w:t>
      </w:r>
      <w:r>
        <w:rPr>
          <w:sz w:val="24"/>
        </w:rPr>
        <w:t>made</w:t>
      </w:r>
      <w:r>
        <w:rPr>
          <w:spacing w:val="-4"/>
          <w:sz w:val="24"/>
        </w:rPr>
        <w:t> </w:t>
      </w:r>
      <w:r>
        <w:rPr>
          <w:sz w:val="24"/>
        </w:rPr>
        <w:t>by</w:t>
      </w:r>
      <w:r>
        <w:rPr>
          <w:spacing w:val="-4"/>
          <w:sz w:val="24"/>
        </w:rPr>
        <w:t> </w:t>
      </w:r>
      <w:r>
        <w:rPr>
          <w:sz w:val="24"/>
        </w:rPr>
        <w:t>parents</w:t>
      </w:r>
      <w:r>
        <w:rPr>
          <w:spacing w:val="-4"/>
          <w:sz w:val="24"/>
        </w:rPr>
        <w:t> </w:t>
      </w:r>
      <w:r>
        <w:rPr>
          <w:sz w:val="24"/>
        </w:rPr>
        <w:t>with</w:t>
      </w:r>
      <w:r>
        <w:rPr>
          <w:spacing w:val="-4"/>
          <w:sz w:val="24"/>
        </w:rPr>
        <w:t> </w:t>
      </w:r>
      <w:r>
        <w:rPr>
          <w:sz w:val="24"/>
        </w:rPr>
        <w:t>the</w:t>
      </w:r>
      <w:r>
        <w:rPr>
          <w:spacing w:val="-4"/>
          <w:sz w:val="24"/>
        </w:rPr>
        <w:t> </w:t>
      </w:r>
      <w:r>
        <w:rPr>
          <w:sz w:val="24"/>
        </w:rPr>
        <w:t>student</w:t>
      </w:r>
      <w:r>
        <w:rPr>
          <w:spacing w:val="-3"/>
          <w:sz w:val="24"/>
        </w:rPr>
        <w:t> </w:t>
      </w:r>
      <w:r>
        <w:rPr>
          <w:sz w:val="24"/>
        </w:rPr>
        <w:t>finance office.</w:t>
      </w:r>
      <w:r>
        <w:rPr>
          <w:spacing w:val="40"/>
          <w:sz w:val="24"/>
        </w:rPr>
        <w:t> </w:t>
      </w:r>
      <w:r>
        <w:rPr>
          <w:sz w:val="24"/>
        </w:rPr>
        <w:t>The Department does not provide for routine allowances except for certain children in custody of the Department of Human Services who are attending</w:t>
      </w:r>
      <w:r>
        <w:rPr>
          <w:spacing w:val="-4"/>
          <w:sz w:val="24"/>
        </w:rPr>
        <w:t> </w:t>
      </w:r>
      <w:r>
        <w:rPr>
          <w:sz w:val="24"/>
        </w:rPr>
        <w:t>OSB</w:t>
      </w:r>
      <w:r>
        <w:rPr>
          <w:spacing w:val="-4"/>
          <w:sz w:val="24"/>
        </w:rPr>
        <w:t> </w:t>
      </w:r>
      <w:r>
        <w:rPr>
          <w:sz w:val="24"/>
        </w:rPr>
        <w:t>or</w:t>
      </w:r>
      <w:r>
        <w:rPr>
          <w:spacing w:val="-3"/>
          <w:sz w:val="24"/>
        </w:rPr>
        <w:t> </w:t>
      </w:r>
      <w:r>
        <w:rPr>
          <w:sz w:val="24"/>
        </w:rPr>
        <w:t>OSD.</w:t>
      </w:r>
      <w:r>
        <w:rPr>
          <w:spacing w:val="40"/>
          <w:sz w:val="24"/>
        </w:rPr>
        <w:t> </w:t>
      </w:r>
      <w:r>
        <w:rPr>
          <w:sz w:val="24"/>
        </w:rPr>
        <w:t>For</w:t>
      </w:r>
      <w:r>
        <w:rPr>
          <w:spacing w:val="-3"/>
          <w:sz w:val="24"/>
        </w:rPr>
        <w:t> </w:t>
      </w:r>
      <w:r>
        <w:rPr>
          <w:sz w:val="24"/>
        </w:rPr>
        <w:t>any</w:t>
      </w:r>
      <w:r>
        <w:rPr>
          <w:spacing w:val="-5"/>
          <w:sz w:val="24"/>
        </w:rPr>
        <w:t> </w:t>
      </w:r>
      <w:r>
        <w:rPr>
          <w:sz w:val="24"/>
        </w:rPr>
        <w:t>financially</w:t>
      </w:r>
      <w:r>
        <w:rPr>
          <w:spacing w:val="-4"/>
          <w:sz w:val="24"/>
        </w:rPr>
        <w:t> </w:t>
      </w:r>
      <w:r>
        <w:rPr>
          <w:sz w:val="24"/>
        </w:rPr>
        <w:t>needy</w:t>
      </w:r>
      <w:r>
        <w:rPr>
          <w:spacing w:val="-4"/>
          <w:sz w:val="24"/>
        </w:rPr>
        <w:t> </w:t>
      </w:r>
      <w:r>
        <w:rPr>
          <w:sz w:val="24"/>
        </w:rPr>
        <w:t>children,</w:t>
      </w:r>
      <w:r>
        <w:rPr>
          <w:spacing w:val="-3"/>
          <w:sz w:val="24"/>
        </w:rPr>
        <w:t> </w:t>
      </w:r>
      <w:r>
        <w:rPr>
          <w:sz w:val="24"/>
        </w:rPr>
        <w:t>monthly</w:t>
      </w:r>
      <w:r>
        <w:rPr>
          <w:spacing w:val="-4"/>
          <w:sz w:val="24"/>
        </w:rPr>
        <w:t> </w:t>
      </w:r>
      <w:r>
        <w:rPr>
          <w:sz w:val="24"/>
        </w:rPr>
        <w:t>allowances can be arranged in accordance with the needs of the individual child.</w:t>
      </w:r>
    </w:p>
    <w:p>
      <w:pPr>
        <w:pStyle w:val="BodyText"/>
        <w:spacing w:before="211"/>
      </w:pPr>
      <w:r>
        <w:rPr/>
        <w:t>INSTRUCTIONS</w:t>
      </w:r>
      <w:r>
        <w:rPr>
          <w:spacing w:val="-3"/>
        </w:rPr>
        <w:t> </w:t>
      </w:r>
      <w:r>
        <w:rPr/>
        <w:t>TO</w:t>
      </w:r>
      <w:r>
        <w:rPr>
          <w:spacing w:val="-2"/>
        </w:rPr>
        <w:t> STAFF:</w:t>
      </w:r>
    </w:p>
    <w:p>
      <w:pPr>
        <w:pStyle w:val="BodyText"/>
        <w:spacing w:line="208" w:lineRule="auto" w:before="233"/>
        <w:ind w:left="792" w:right="775"/>
      </w:pPr>
      <w:r>
        <w:rPr/>
        <w:t>1. Medication</w:t>
      </w:r>
      <w:r>
        <w:rPr>
          <w:spacing w:val="-3"/>
        </w:rPr>
        <w:t> </w:t>
      </w:r>
      <w:r>
        <w:rPr/>
        <w:t>procedures</w:t>
      </w:r>
      <w:r>
        <w:rPr>
          <w:spacing w:val="-3"/>
        </w:rPr>
        <w:t> </w:t>
      </w:r>
      <w:r>
        <w:rPr/>
        <w:t>may</w:t>
      </w:r>
      <w:r>
        <w:rPr>
          <w:spacing w:val="-4"/>
        </w:rPr>
        <w:t> </w:t>
      </w:r>
      <w:r>
        <w:rPr/>
        <w:t>be</w:t>
      </w:r>
      <w:r>
        <w:rPr>
          <w:spacing w:val="-4"/>
        </w:rPr>
        <w:t> </w:t>
      </w:r>
      <w:r>
        <w:rPr/>
        <w:t>obtained</w:t>
      </w:r>
      <w:r>
        <w:rPr>
          <w:spacing w:val="-4"/>
        </w:rPr>
        <w:t> </w:t>
      </w:r>
      <w:r>
        <w:rPr/>
        <w:t>by</w:t>
      </w:r>
      <w:r>
        <w:rPr>
          <w:spacing w:val="-4"/>
        </w:rPr>
        <w:t> </w:t>
      </w:r>
      <w:r>
        <w:rPr/>
        <w:t>contacting</w:t>
      </w:r>
      <w:r>
        <w:rPr>
          <w:spacing w:val="-4"/>
        </w:rPr>
        <w:t> </w:t>
      </w:r>
      <w:r>
        <w:rPr/>
        <w:t>the</w:t>
      </w:r>
      <w:r>
        <w:rPr>
          <w:spacing w:val="-4"/>
        </w:rPr>
        <w:t> </w:t>
      </w:r>
      <w:r>
        <w:rPr/>
        <w:t>schools</w:t>
      </w:r>
      <w:r>
        <w:rPr>
          <w:spacing w:val="-3"/>
        </w:rPr>
        <w:t> </w:t>
      </w:r>
      <w:r>
        <w:rPr/>
        <w:t>Medical Services Supervisor.</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7-1-95</w:t>
      </w:r>
      <w:r>
        <w:rPr>
          <w:sz w:val="22"/>
        </w:rPr>
        <w:tab/>
        <w:t>PT Memo #95-2</w:t>
      </w:r>
    </w:p>
    <w:p>
      <w:pPr>
        <w:tabs>
          <w:tab w:pos="1439" w:val="left" w:leader="none"/>
        </w:tabs>
        <w:spacing w:before="0"/>
        <w:ind w:left="359" w:right="2479" w:firstLine="1080"/>
        <w:jc w:val="left"/>
        <w:rPr>
          <w:sz w:val="22"/>
        </w:rPr>
      </w:pPr>
      <w:r>
        <w:rPr>
          <w:sz w:val="22"/>
        </w:rPr>
        <w:t>Permanent,</w:t>
      </w:r>
      <w:r>
        <w:rPr>
          <w:spacing w:val="-4"/>
          <w:sz w:val="22"/>
        </w:rPr>
        <w:t> </w:t>
      </w:r>
      <w:r>
        <w:rPr>
          <w:sz w:val="22"/>
        </w:rPr>
        <w:t>removed</w:t>
      </w:r>
      <w:r>
        <w:rPr>
          <w:spacing w:val="-5"/>
          <w:sz w:val="22"/>
        </w:rPr>
        <w:t> </w:t>
      </w:r>
      <w:r>
        <w:rPr>
          <w:sz w:val="22"/>
        </w:rPr>
        <w:t>reference</w:t>
      </w:r>
      <w:r>
        <w:rPr>
          <w:spacing w:val="-5"/>
          <w:sz w:val="22"/>
        </w:rPr>
        <w:t> </w:t>
      </w:r>
      <w:r>
        <w:rPr>
          <w:sz w:val="22"/>
        </w:rPr>
        <w:t>to</w:t>
      </w:r>
      <w:r>
        <w:rPr>
          <w:spacing w:val="-5"/>
          <w:sz w:val="22"/>
        </w:rPr>
        <w:t> </w:t>
      </w:r>
      <w:r>
        <w:rPr>
          <w:sz w:val="22"/>
        </w:rPr>
        <w:t>DHS</w:t>
      </w:r>
      <w:r>
        <w:rPr>
          <w:spacing w:val="-5"/>
          <w:sz w:val="22"/>
        </w:rPr>
        <w:t> </w:t>
      </w:r>
      <w:r>
        <w:rPr>
          <w:sz w:val="22"/>
        </w:rPr>
        <w:t>rules</w:t>
      </w:r>
      <w:r>
        <w:rPr>
          <w:spacing w:val="-5"/>
          <w:sz w:val="22"/>
        </w:rPr>
        <w:t> </w:t>
      </w:r>
      <w:r>
        <w:rPr>
          <w:sz w:val="22"/>
        </w:rPr>
        <w:t>on</w:t>
      </w:r>
      <w:r>
        <w:rPr>
          <w:spacing w:val="-5"/>
          <w:sz w:val="22"/>
        </w:rPr>
        <w:t> </w:t>
      </w:r>
      <w:r>
        <w:rPr>
          <w:sz w:val="22"/>
        </w:rPr>
        <w:t>abuse</w:t>
      </w:r>
      <w:r>
        <w:rPr>
          <w:spacing w:val="-5"/>
          <w:sz w:val="22"/>
        </w:rPr>
        <w:t> </w:t>
      </w:r>
      <w:r>
        <w:rPr>
          <w:sz w:val="22"/>
        </w:rPr>
        <w:t>and</w:t>
      </w:r>
      <w:r>
        <w:rPr>
          <w:spacing w:val="-5"/>
          <w:sz w:val="22"/>
        </w:rPr>
        <w:t> </w:t>
      </w:r>
      <w:r>
        <w:rPr>
          <w:sz w:val="22"/>
        </w:rPr>
        <w:t>neglect </w:t>
      </w:r>
      <w:r>
        <w:rPr>
          <w:spacing w:val="-2"/>
          <w:sz w:val="22"/>
        </w:rPr>
        <w:t>7-1-05</w:t>
      </w:r>
      <w:r>
        <w:rPr>
          <w:sz w:val="22"/>
        </w:rPr>
        <w:tab/>
        <w:t>PT Memo #06-01</w:t>
      </w:r>
    </w:p>
    <w:p>
      <w:pPr>
        <w:spacing w:line="252" w:lineRule="exact" w:before="0"/>
        <w:ind w:left="1439" w:right="0" w:firstLine="0"/>
        <w:jc w:val="left"/>
        <w:rPr>
          <w:sz w:val="22"/>
        </w:rPr>
      </w:pPr>
      <w:r>
        <w:rPr>
          <w:sz w:val="22"/>
        </w:rPr>
        <w:t>Permanent,</w:t>
      </w:r>
      <w:r>
        <w:rPr>
          <w:spacing w:val="-8"/>
          <w:sz w:val="22"/>
        </w:rPr>
        <w:t> </w:t>
      </w:r>
      <w:r>
        <w:rPr>
          <w:sz w:val="22"/>
        </w:rPr>
        <w:t>clarifying</w:t>
      </w:r>
      <w:r>
        <w:rPr>
          <w:spacing w:val="-9"/>
          <w:sz w:val="22"/>
        </w:rPr>
        <w:t> </w:t>
      </w:r>
      <w:r>
        <w:rPr>
          <w:sz w:val="22"/>
        </w:rPr>
        <w:t>policy</w:t>
      </w:r>
      <w:r>
        <w:rPr>
          <w:spacing w:val="-8"/>
          <w:sz w:val="22"/>
        </w:rPr>
        <w:t> </w:t>
      </w:r>
      <w:r>
        <w:rPr>
          <w:sz w:val="22"/>
        </w:rPr>
        <w:t>regarding</w:t>
      </w:r>
      <w:r>
        <w:rPr>
          <w:spacing w:val="-9"/>
          <w:sz w:val="22"/>
        </w:rPr>
        <w:t> </w:t>
      </w:r>
      <w:r>
        <w:rPr>
          <w:sz w:val="22"/>
        </w:rPr>
        <w:t>physical</w:t>
      </w:r>
      <w:r>
        <w:rPr>
          <w:spacing w:val="-8"/>
          <w:sz w:val="22"/>
        </w:rPr>
        <w:t> </w:t>
      </w:r>
      <w:r>
        <w:rPr>
          <w:sz w:val="22"/>
        </w:rPr>
        <w:t>needs</w:t>
      </w:r>
      <w:r>
        <w:rPr>
          <w:spacing w:val="-9"/>
          <w:sz w:val="22"/>
        </w:rPr>
        <w:t> </w:t>
      </w:r>
      <w:r>
        <w:rPr>
          <w:sz w:val="22"/>
        </w:rPr>
        <w:t>and</w:t>
      </w:r>
      <w:r>
        <w:rPr>
          <w:spacing w:val="-8"/>
          <w:sz w:val="22"/>
        </w:rPr>
        <w:t> </w:t>
      </w:r>
      <w:r>
        <w:rPr>
          <w:sz w:val="22"/>
        </w:rPr>
        <w:t>medical</w:t>
      </w:r>
      <w:r>
        <w:rPr>
          <w:spacing w:val="-9"/>
          <w:sz w:val="22"/>
        </w:rPr>
        <w:t> </w:t>
      </w:r>
      <w:r>
        <w:rPr>
          <w:spacing w:val="-2"/>
          <w:sz w:val="22"/>
        </w:rPr>
        <w:t>services</w:t>
      </w:r>
    </w:p>
    <w:p>
      <w:pPr>
        <w:spacing w:after="0" w:line="252" w:lineRule="exact"/>
        <w:jc w:val="left"/>
        <w:rPr>
          <w:sz w:val="22"/>
        </w:rPr>
        <w:sectPr>
          <w:pgSz w:w="12240" w:h="15840"/>
          <w:pgMar w:top="1340" w:bottom="280" w:left="1080" w:right="720"/>
        </w:sectPr>
      </w:pPr>
    </w:p>
    <w:p>
      <w:pPr>
        <w:pStyle w:val="Heading2"/>
      </w:pPr>
      <w:bookmarkStart w:name="612:20-3-4.  Records" w:id="343"/>
      <w:bookmarkEnd w:id="343"/>
      <w:r>
        <w:rPr>
          <w:b w:val="0"/>
        </w:rPr>
      </w:r>
      <w:r>
        <w:rPr/>
        <w:t>612:20-3-4.</w:t>
      </w:r>
      <w:r>
        <w:rPr>
          <w:spacing w:val="60"/>
        </w:rPr>
        <w:t> </w:t>
      </w:r>
      <w:r>
        <w:rPr>
          <w:spacing w:val="-2"/>
        </w:rPr>
        <w:t>Records</w:t>
      </w:r>
    </w:p>
    <w:p>
      <w:pPr>
        <w:pStyle w:val="ListParagraph"/>
        <w:numPr>
          <w:ilvl w:val="0"/>
          <w:numId w:val="344"/>
        </w:numPr>
        <w:tabs>
          <w:tab w:pos="785" w:val="left" w:leader="none"/>
        </w:tabs>
        <w:spacing w:line="208" w:lineRule="auto" w:before="233" w:after="0"/>
        <w:ind w:left="359" w:right="737" w:firstLine="0"/>
        <w:jc w:val="left"/>
        <w:rPr>
          <w:sz w:val="24"/>
        </w:rPr>
      </w:pPr>
      <w:r>
        <w:rPr>
          <w:b/>
          <w:sz w:val="24"/>
        </w:rPr>
        <w:t>Confidential nature of records.</w:t>
      </w:r>
      <w:r>
        <w:rPr>
          <w:b/>
          <w:spacing w:val="40"/>
          <w:sz w:val="24"/>
        </w:rPr>
        <w:t> </w:t>
      </w:r>
      <w:r>
        <w:rPr>
          <w:sz w:val="24"/>
        </w:rPr>
        <w:t>School records are considered confidential and contents are not divulged except for purposes directly related to the program for the particular child. Information to be safeguarded includes, but is not limited to, transcripts; reports of medical examinations; psychological reports; progress reports; correspondence; and other records covering the condition or circumstances of any person</w:t>
      </w:r>
      <w:r>
        <w:rPr>
          <w:spacing w:val="-3"/>
          <w:sz w:val="24"/>
        </w:rPr>
        <w:t> </w:t>
      </w:r>
      <w:r>
        <w:rPr>
          <w:sz w:val="24"/>
        </w:rPr>
        <w:t>from</w:t>
      </w:r>
      <w:r>
        <w:rPr>
          <w:spacing w:val="-2"/>
          <w:sz w:val="24"/>
        </w:rPr>
        <w:t> </w:t>
      </w:r>
      <w:r>
        <w:rPr>
          <w:sz w:val="24"/>
        </w:rPr>
        <w:t>whom,</w:t>
      </w:r>
      <w:r>
        <w:rPr>
          <w:spacing w:val="-2"/>
          <w:sz w:val="24"/>
        </w:rPr>
        <w:t> </w:t>
      </w:r>
      <w:r>
        <w:rPr>
          <w:sz w:val="24"/>
        </w:rPr>
        <w:t>or</w:t>
      </w:r>
      <w:r>
        <w:rPr>
          <w:spacing w:val="-2"/>
          <w:sz w:val="24"/>
        </w:rPr>
        <w:t> </w:t>
      </w:r>
      <w:r>
        <w:rPr>
          <w:sz w:val="24"/>
        </w:rPr>
        <w:t>about</w:t>
      </w:r>
      <w:r>
        <w:rPr>
          <w:spacing w:val="-2"/>
          <w:sz w:val="24"/>
        </w:rPr>
        <w:t> </w:t>
      </w:r>
      <w:r>
        <w:rPr>
          <w:sz w:val="24"/>
        </w:rPr>
        <w:t>whom,</w:t>
      </w:r>
      <w:r>
        <w:rPr>
          <w:spacing w:val="-2"/>
          <w:sz w:val="24"/>
        </w:rPr>
        <w:t> </w:t>
      </w:r>
      <w:r>
        <w:rPr>
          <w:sz w:val="24"/>
        </w:rPr>
        <w:t>information</w:t>
      </w:r>
      <w:r>
        <w:rPr>
          <w:spacing w:val="-3"/>
          <w:sz w:val="24"/>
        </w:rPr>
        <w:t> </w:t>
      </w:r>
      <w:r>
        <w:rPr>
          <w:sz w:val="24"/>
        </w:rPr>
        <w:t>is</w:t>
      </w:r>
      <w:r>
        <w:rPr>
          <w:spacing w:val="-3"/>
          <w:sz w:val="24"/>
        </w:rPr>
        <w:t> </w:t>
      </w:r>
      <w:r>
        <w:rPr>
          <w:sz w:val="24"/>
        </w:rPr>
        <w:t>obtained.</w:t>
      </w:r>
      <w:r>
        <w:rPr>
          <w:spacing w:val="40"/>
          <w:sz w:val="24"/>
        </w:rPr>
        <w:t> </w:t>
      </w:r>
      <w:r>
        <w:rPr>
          <w:sz w:val="24"/>
        </w:rPr>
        <w:t>Also</w:t>
      </w:r>
      <w:r>
        <w:rPr>
          <w:spacing w:val="-3"/>
          <w:sz w:val="24"/>
        </w:rPr>
        <w:t> </w:t>
      </w:r>
      <w:r>
        <w:rPr>
          <w:sz w:val="24"/>
        </w:rPr>
        <w:t>to</w:t>
      </w:r>
      <w:r>
        <w:rPr>
          <w:spacing w:val="-3"/>
          <w:sz w:val="24"/>
        </w:rPr>
        <w:t> </w:t>
      </w:r>
      <w:r>
        <w:rPr>
          <w:sz w:val="24"/>
        </w:rPr>
        <w:t>be</w:t>
      </w:r>
      <w:r>
        <w:rPr>
          <w:spacing w:val="-3"/>
          <w:sz w:val="24"/>
        </w:rPr>
        <w:t> </w:t>
      </w:r>
      <w:r>
        <w:rPr>
          <w:sz w:val="24"/>
        </w:rPr>
        <w:t>safeguarded</w:t>
      </w:r>
      <w:r>
        <w:rPr>
          <w:spacing w:val="-3"/>
          <w:sz w:val="24"/>
        </w:rPr>
        <w:t> </w:t>
      </w:r>
      <w:r>
        <w:rPr>
          <w:sz w:val="24"/>
        </w:rPr>
        <w:t>are records of any evaluations made by Department staff members.</w:t>
      </w:r>
    </w:p>
    <w:p>
      <w:pPr>
        <w:pStyle w:val="ListParagraph"/>
        <w:numPr>
          <w:ilvl w:val="1"/>
          <w:numId w:val="344"/>
        </w:numPr>
        <w:tabs>
          <w:tab w:pos="1216" w:val="left" w:leader="none"/>
        </w:tabs>
        <w:spacing w:line="208" w:lineRule="auto" w:before="239" w:after="0"/>
        <w:ind w:left="791" w:right="939" w:firstLine="0"/>
        <w:jc w:val="left"/>
        <w:rPr>
          <w:sz w:val="24"/>
        </w:rPr>
      </w:pPr>
      <w:r>
        <w:rPr>
          <w:sz w:val="24"/>
        </w:rPr>
        <w:t>Information of an intimate and personal nature about the child or the child's parents</w:t>
      </w:r>
      <w:r>
        <w:rPr>
          <w:spacing w:val="-3"/>
          <w:sz w:val="24"/>
        </w:rPr>
        <w:t> </w:t>
      </w:r>
      <w:r>
        <w:rPr>
          <w:sz w:val="24"/>
        </w:rPr>
        <w:t>is</w:t>
      </w:r>
      <w:r>
        <w:rPr>
          <w:spacing w:val="-4"/>
          <w:sz w:val="24"/>
        </w:rPr>
        <w:t> </w:t>
      </w:r>
      <w:r>
        <w:rPr>
          <w:sz w:val="24"/>
        </w:rPr>
        <w:t>not</w:t>
      </w:r>
      <w:r>
        <w:rPr>
          <w:spacing w:val="-3"/>
          <w:sz w:val="24"/>
        </w:rPr>
        <w:t> </w:t>
      </w:r>
      <w:r>
        <w:rPr>
          <w:sz w:val="24"/>
        </w:rPr>
        <w:t>discussed</w:t>
      </w:r>
      <w:r>
        <w:rPr>
          <w:spacing w:val="-3"/>
          <w:sz w:val="24"/>
        </w:rPr>
        <w:t> </w:t>
      </w:r>
      <w:r>
        <w:rPr>
          <w:sz w:val="24"/>
        </w:rPr>
        <w:t>orally</w:t>
      </w:r>
      <w:r>
        <w:rPr>
          <w:spacing w:val="-4"/>
          <w:sz w:val="24"/>
        </w:rPr>
        <w:t> </w:t>
      </w:r>
      <w:r>
        <w:rPr>
          <w:sz w:val="24"/>
        </w:rPr>
        <w:t>except</w:t>
      </w:r>
      <w:r>
        <w:rPr>
          <w:spacing w:val="-3"/>
          <w:sz w:val="24"/>
        </w:rPr>
        <w:t> </w:t>
      </w:r>
      <w:r>
        <w:rPr>
          <w:sz w:val="24"/>
        </w:rPr>
        <w:t>in</w:t>
      </w:r>
      <w:r>
        <w:rPr>
          <w:spacing w:val="-3"/>
          <w:sz w:val="24"/>
        </w:rPr>
        <w:t> </w:t>
      </w:r>
      <w:r>
        <w:rPr>
          <w:sz w:val="24"/>
        </w:rPr>
        <w:t>furtherance</w:t>
      </w:r>
      <w:r>
        <w:rPr>
          <w:spacing w:val="-4"/>
          <w:sz w:val="24"/>
        </w:rPr>
        <w:t> </w:t>
      </w:r>
      <w:r>
        <w:rPr>
          <w:sz w:val="24"/>
        </w:rPr>
        <w:t>of</w:t>
      </w:r>
      <w:r>
        <w:rPr>
          <w:spacing w:val="-3"/>
          <w:sz w:val="24"/>
        </w:rPr>
        <w:t> </w:t>
      </w:r>
      <w:r>
        <w:rPr>
          <w:sz w:val="24"/>
        </w:rPr>
        <w:t>the</w:t>
      </w:r>
      <w:r>
        <w:rPr>
          <w:spacing w:val="-3"/>
          <w:sz w:val="24"/>
        </w:rPr>
        <w:t> </w:t>
      </w:r>
      <w:r>
        <w:rPr>
          <w:sz w:val="24"/>
        </w:rPr>
        <w:t>student's</w:t>
      </w:r>
      <w:r>
        <w:rPr>
          <w:spacing w:val="-4"/>
          <w:sz w:val="24"/>
        </w:rPr>
        <w:t> </w:t>
      </w:r>
      <w:r>
        <w:rPr>
          <w:sz w:val="24"/>
        </w:rPr>
        <w:t>program,</w:t>
      </w:r>
      <w:r>
        <w:rPr>
          <w:spacing w:val="-4"/>
          <w:sz w:val="24"/>
        </w:rPr>
        <w:t> </w:t>
      </w:r>
      <w:r>
        <w:rPr>
          <w:sz w:val="24"/>
        </w:rPr>
        <w:t>and then only to personnel who have responsibility for carrying out that program.</w:t>
      </w:r>
      <w:r>
        <w:rPr>
          <w:spacing w:val="40"/>
          <w:sz w:val="24"/>
        </w:rPr>
        <w:t> </w:t>
      </w:r>
      <w:r>
        <w:rPr>
          <w:sz w:val="24"/>
        </w:rPr>
        <w:t>The same principle applies to information disclosed or opinions expressed at conferences.</w:t>
      </w:r>
      <w:r>
        <w:rPr>
          <w:spacing w:val="40"/>
          <w:sz w:val="24"/>
        </w:rPr>
        <w:t> </w:t>
      </w:r>
      <w:r>
        <w:rPr>
          <w:sz w:val="24"/>
        </w:rPr>
        <w:t>School records are made available at conferences for reference </w:t>
      </w:r>
      <w:r>
        <w:rPr>
          <w:spacing w:val="-2"/>
          <w:sz w:val="24"/>
        </w:rPr>
        <w:t>purposes.</w:t>
      </w:r>
    </w:p>
    <w:p>
      <w:pPr>
        <w:pStyle w:val="ListParagraph"/>
        <w:numPr>
          <w:ilvl w:val="1"/>
          <w:numId w:val="344"/>
        </w:numPr>
        <w:tabs>
          <w:tab w:pos="1217" w:val="left" w:leader="none"/>
        </w:tabs>
        <w:spacing w:line="208" w:lineRule="auto" w:before="240" w:after="0"/>
        <w:ind w:left="791" w:right="1189" w:firstLine="0"/>
        <w:jc w:val="left"/>
        <w:rPr>
          <w:sz w:val="24"/>
        </w:rPr>
      </w:pPr>
      <w:r>
        <w:rPr>
          <w:sz w:val="24"/>
        </w:rPr>
        <w:t>Access</w:t>
      </w:r>
      <w:r>
        <w:rPr>
          <w:spacing w:val="-5"/>
          <w:sz w:val="24"/>
        </w:rPr>
        <w:t> </w:t>
      </w:r>
      <w:r>
        <w:rPr>
          <w:sz w:val="24"/>
        </w:rPr>
        <w:t>to</w:t>
      </w:r>
      <w:r>
        <w:rPr>
          <w:spacing w:val="-4"/>
          <w:sz w:val="24"/>
        </w:rPr>
        <w:t> </w:t>
      </w:r>
      <w:r>
        <w:rPr>
          <w:sz w:val="24"/>
        </w:rPr>
        <w:t>school</w:t>
      </w:r>
      <w:r>
        <w:rPr>
          <w:spacing w:val="-4"/>
          <w:sz w:val="24"/>
        </w:rPr>
        <w:t> </w:t>
      </w:r>
      <w:r>
        <w:rPr>
          <w:sz w:val="24"/>
        </w:rPr>
        <w:t>records</w:t>
      </w:r>
      <w:r>
        <w:rPr>
          <w:spacing w:val="-4"/>
          <w:sz w:val="24"/>
        </w:rPr>
        <w:t> </w:t>
      </w:r>
      <w:r>
        <w:rPr>
          <w:sz w:val="24"/>
        </w:rPr>
        <w:t>are</w:t>
      </w:r>
      <w:r>
        <w:rPr>
          <w:spacing w:val="-5"/>
          <w:sz w:val="24"/>
        </w:rPr>
        <w:t> </w:t>
      </w:r>
      <w:r>
        <w:rPr>
          <w:sz w:val="24"/>
        </w:rPr>
        <w:t>subject</w:t>
      </w:r>
      <w:r>
        <w:rPr>
          <w:spacing w:val="-3"/>
          <w:sz w:val="24"/>
        </w:rPr>
        <w:t> </w:t>
      </w:r>
      <w:r>
        <w:rPr>
          <w:sz w:val="24"/>
        </w:rPr>
        <w:t>to</w:t>
      </w:r>
      <w:r>
        <w:rPr>
          <w:spacing w:val="-4"/>
          <w:sz w:val="24"/>
        </w:rPr>
        <w:t> </w:t>
      </w:r>
      <w:r>
        <w:rPr>
          <w:sz w:val="24"/>
        </w:rPr>
        <w:t>the</w:t>
      </w:r>
      <w:r>
        <w:rPr>
          <w:spacing w:val="-4"/>
          <w:sz w:val="24"/>
        </w:rPr>
        <w:t> </w:t>
      </w:r>
      <w:r>
        <w:rPr>
          <w:sz w:val="24"/>
        </w:rPr>
        <w:t>confidentiality</w:t>
      </w:r>
      <w:r>
        <w:rPr>
          <w:spacing w:val="-4"/>
          <w:sz w:val="24"/>
        </w:rPr>
        <w:t> </w:t>
      </w:r>
      <w:r>
        <w:rPr>
          <w:sz w:val="24"/>
        </w:rPr>
        <w:t>procedures</w:t>
      </w:r>
      <w:r>
        <w:rPr>
          <w:spacing w:val="-4"/>
          <w:sz w:val="24"/>
        </w:rPr>
        <w:t> </w:t>
      </w:r>
      <w:r>
        <w:rPr>
          <w:sz w:val="24"/>
        </w:rPr>
        <w:t>of</w:t>
      </w:r>
      <w:r>
        <w:rPr>
          <w:spacing w:val="-3"/>
          <w:sz w:val="24"/>
        </w:rPr>
        <w:t> </w:t>
      </w:r>
      <w:r>
        <w:rPr>
          <w:sz w:val="24"/>
        </w:rPr>
        <w:t>the State Department of Education.</w:t>
      </w:r>
    </w:p>
    <w:p>
      <w:pPr>
        <w:pStyle w:val="ListParagraph"/>
        <w:numPr>
          <w:ilvl w:val="0"/>
          <w:numId w:val="344"/>
        </w:numPr>
        <w:tabs>
          <w:tab w:pos="786" w:val="left" w:leader="none"/>
        </w:tabs>
        <w:spacing w:line="208" w:lineRule="auto" w:before="239" w:after="0"/>
        <w:ind w:left="360" w:right="859" w:firstLine="0"/>
        <w:jc w:val="left"/>
        <w:rPr>
          <w:sz w:val="24"/>
        </w:rPr>
      </w:pPr>
      <w:r>
        <w:rPr>
          <w:b/>
          <w:sz w:val="24"/>
        </w:rPr>
        <w:t>Statement</w:t>
      </w:r>
      <w:r>
        <w:rPr>
          <w:b/>
          <w:spacing w:val="-3"/>
          <w:sz w:val="24"/>
        </w:rPr>
        <w:t> </w:t>
      </w:r>
      <w:r>
        <w:rPr>
          <w:b/>
          <w:sz w:val="24"/>
        </w:rPr>
        <w:t>of</w:t>
      </w:r>
      <w:r>
        <w:rPr>
          <w:b/>
          <w:spacing w:val="-3"/>
          <w:sz w:val="24"/>
        </w:rPr>
        <w:t> </w:t>
      </w:r>
      <w:r>
        <w:rPr>
          <w:b/>
          <w:sz w:val="24"/>
        </w:rPr>
        <w:t>rights.</w:t>
      </w:r>
      <w:r>
        <w:rPr>
          <w:b/>
          <w:spacing w:val="40"/>
          <w:sz w:val="24"/>
        </w:rPr>
        <w:t> </w:t>
      </w:r>
      <w:r>
        <w:rPr>
          <w:sz w:val="24"/>
        </w:rPr>
        <w:t>Parents</w:t>
      </w:r>
      <w:r>
        <w:rPr>
          <w:spacing w:val="-4"/>
          <w:sz w:val="24"/>
        </w:rPr>
        <w:t> </w:t>
      </w:r>
      <w:r>
        <w:rPr>
          <w:sz w:val="24"/>
        </w:rPr>
        <w:t>and</w:t>
      </w:r>
      <w:r>
        <w:rPr>
          <w:spacing w:val="-4"/>
          <w:sz w:val="24"/>
        </w:rPr>
        <w:t> </w:t>
      </w:r>
      <w:r>
        <w:rPr>
          <w:sz w:val="24"/>
        </w:rPr>
        <w:t>eligible</w:t>
      </w:r>
      <w:r>
        <w:rPr>
          <w:spacing w:val="-4"/>
          <w:sz w:val="24"/>
        </w:rPr>
        <w:t> </w:t>
      </w:r>
      <w:r>
        <w:rPr>
          <w:sz w:val="24"/>
        </w:rPr>
        <w:t>students</w:t>
      </w:r>
      <w:r>
        <w:rPr>
          <w:spacing w:val="-4"/>
          <w:sz w:val="24"/>
        </w:rPr>
        <w:t> </w:t>
      </w:r>
      <w:r>
        <w:rPr>
          <w:sz w:val="24"/>
        </w:rPr>
        <w:t>have</w:t>
      </w:r>
      <w:r>
        <w:rPr>
          <w:spacing w:val="-4"/>
          <w:sz w:val="24"/>
        </w:rPr>
        <w:t> </w:t>
      </w:r>
      <w:r>
        <w:rPr>
          <w:sz w:val="24"/>
        </w:rPr>
        <w:t>the</w:t>
      </w:r>
      <w:r>
        <w:rPr>
          <w:spacing w:val="-4"/>
          <w:sz w:val="24"/>
        </w:rPr>
        <w:t> </w:t>
      </w:r>
      <w:r>
        <w:rPr>
          <w:sz w:val="24"/>
        </w:rPr>
        <w:t>following</w:t>
      </w:r>
      <w:r>
        <w:rPr>
          <w:spacing w:val="-4"/>
          <w:sz w:val="24"/>
        </w:rPr>
        <w:t> </w:t>
      </w:r>
      <w:r>
        <w:rPr>
          <w:sz w:val="24"/>
        </w:rPr>
        <w:t>rights</w:t>
      </w:r>
      <w:r>
        <w:rPr>
          <w:spacing w:val="-4"/>
          <w:sz w:val="24"/>
        </w:rPr>
        <w:t> </w:t>
      </w:r>
      <w:r>
        <w:rPr>
          <w:sz w:val="24"/>
        </w:rPr>
        <w:t>under the Family Educational Rights and Privacy Act and rules of this Subchapter.</w:t>
      </w:r>
    </w:p>
    <w:p>
      <w:pPr>
        <w:pStyle w:val="Heading2"/>
        <w:numPr>
          <w:ilvl w:val="1"/>
          <w:numId w:val="344"/>
        </w:numPr>
        <w:tabs>
          <w:tab w:pos="1216" w:val="left" w:leader="none"/>
        </w:tabs>
        <w:spacing w:line="240" w:lineRule="auto" w:before="211" w:after="0"/>
        <w:ind w:left="1216" w:right="0" w:hanging="425"/>
        <w:jc w:val="left"/>
      </w:pPr>
      <w:r>
        <w:rPr>
          <w:spacing w:val="-2"/>
        </w:rPr>
        <w:t>General.</w:t>
      </w:r>
    </w:p>
    <w:p>
      <w:pPr>
        <w:pStyle w:val="ListParagraph"/>
        <w:numPr>
          <w:ilvl w:val="2"/>
          <w:numId w:val="344"/>
        </w:numPr>
        <w:tabs>
          <w:tab w:pos="1676" w:val="left" w:leader="none"/>
        </w:tabs>
        <w:spacing w:line="240" w:lineRule="auto" w:before="204" w:after="0"/>
        <w:ind w:left="1676" w:right="0" w:hanging="453"/>
        <w:jc w:val="left"/>
        <w:rPr>
          <w:sz w:val="24"/>
        </w:rPr>
      </w:pPr>
      <w:r>
        <w:rPr>
          <w:sz w:val="24"/>
        </w:rPr>
        <w:t>The</w:t>
      </w:r>
      <w:r>
        <w:rPr>
          <w:spacing w:val="-6"/>
          <w:sz w:val="24"/>
        </w:rPr>
        <w:t> </w:t>
      </w:r>
      <w:r>
        <w:rPr>
          <w:sz w:val="24"/>
        </w:rPr>
        <w:t>right</w:t>
      </w:r>
      <w:r>
        <w:rPr>
          <w:spacing w:val="-2"/>
          <w:sz w:val="24"/>
        </w:rPr>
        <w:t> </w:t>
      </w:r>
      <w:r>
        <w:rPr>
          <w:sz w:val="24"/>
        </w:rPr>
        <w:t>to</w:t>
      </w:r>
      <w:r>
        <w:rPr>
          <w:spacing w:val="-3"/>
          <w:sz w:val="24"/>
        </w:rPr>
        <w:t> </w:t>
      </w:r>
      <w:r>
        <w:rPr>
          <w:sz w:val="24"/>
        </w:rPr>
        <w:t>inspect</w:t>
      </w:r>
      <w:r>
        <w:rPr>
          <w:spacing w:val="-2"/>
          <w:sz w:val="24"/>
        </w:rPr>
        <w:t> </w:t>
      </w:r>
      <w:r>
        <w:rPr>
          <w:sz w:val="24"/>
        </w:rPr>
        <w:t>and</w:t>
      </w:r>
      <w:r>
        <w:rPr>
          <w:spacing w:val="-3"/>
          <w:sz w:val="24"/>
        </w:rPr>
        <w:t> </w:t>
      </w:r>
      <w:r>
        <w:rPr>
          <w:sz w:val="24"/>
        </w:rPr>
        <w:t>review</w:t>
      </w:r>
      <w:r>
        <w:rPr>
          <w:spacing w:val="-3"/>
          <w:sz w:val="24"/>
        </w:rPr>
        <w:t> </w:t>
      </w:r>
      <w:r>
        <w:rPr>
          <w:sz w:val="24"/>
        </w:rPr>
        <w:t>the</w:t>
      </w:r>
      <w:r>
        <w:rPr>
          <w:spacing w:val="-3"/>
          <w:sz w:val="24"/>
        </w:rPr>
        <w:t> </w:t>
      </w:r>
      <w:r>
        <w:rPr>
          <w:sz w:val="24"/>
        </w:rPr>
        <w:t>student's</w:t>
      </w:r>
      <w:r>
        <w:rPr>
          <w:spacing w:val="-3"/>
          <w:sz w:val="24"/>
        </w:rPr>
        <w:t> </w:t>
      </w:r>
      <w:r>
        <w:rPr>
          <w:sz w:val="24"/>
        </w:rPr>
        <w:t>education</w:t>
      </w:r>
      <w:r>
        <w:rPr>
          <w:spacing w:val="-2"/>
          <w:sz w:val="24"/>
        </w:rPr>
        <w:t> record.</w:t>
      </w:r>
    </w:p>
    <w:p>
      <w:pPr>
        <w:pStyle w:val="ListParagraph"/>
        <w:numPr>
          <w:ilvl w:val="2"/>
          <w:numId w:val="344"/>
        </w:numPr>
        <w:tabs>
          <w:tab w:pos="1676" w:val="left" w:leader="none"/>
        </w:tabs>
        <w:spacing w:line="208" w:lineRule="auto" w:before="233" w:after="0"/>
        <w:ind w:left="1223" w:right="1258" w:firstLine="0"/>
        <w:jc w:val="left"/>
        <w:rPr>
          <w:sz w:val="24"/>
        </w:rPr>
      </w:pPr>
      <w:r>
        <w:rPr>
          <w:sz w:val="24"/>
        </w:rPr>
        <w:t>The</w:t>
      </w:r>
      <w:r>
        <w:rPr>
          <w:spacing w:val="-5"/>
          <w:sz w:val="24"/>
        </w:rPr>
        <w:t> </w:t>
      </w:r>
      <w:r>
        <w:rPr>
          <w:sz w:val="24"/>
        </w:rPr>
        <w:t>right</w:t>
      </w:r>
      <w:r>
        <w:rPr>
          <w:spacing w:val="-3"/>
          <w:sz w:val="24"/>
        </w:rPr>
        <w:t> </w:t>
      </w:r>
      <w:r>
        <w:rPr>
          <w:sz w:val="24"/>
        </w:rPr>
        <w:t>to</w:t>
      </w:r>
      <w:r>
        <w:rPr>
          <w:spacing w:val="-4"/>
          <w:sz w:val="24"/>
        </w:rPr>
        <w:t> </w:t>
      </w:r>
      <w:r>
        <w:rPr>
          <w:sz w:val="24"/>
        </w:rPr>
        <w:t>exercise</w:t>
      </w:r>
      <w:r>
        <w:rPr>
          <w:spacing w:val="-4"/>
          <w:sz w:val="24"/>
        </w:rPr>
        <w:t> </w:t>
      </w:r>
      <w:r>
        <w:rPr>
          <w:sz w:val="24"/>
        </w:rPr>
        <w:t>a</w:t>
      </w:r>
      <w:r>
        <w:rPr>
          <w:spacing w:val="-4"/>
          <w:sz w:val="24"/>
        </w:rPr>
        <w:t> </w:t>
      </w:r>
      <w:r>
        <w:rPr>
          <w:sz w:val="24"/>
        </w:rPr>
        <w:t>limited</w:t>
      </w:r>
      <w:r>
        <w:rPr>
          <w:spacing w:val="-4"/>
          <w:sz w:val="24"/>
        </w:rPr>
        <w:t> </w:t>
      </w:r>
      <w:r>
        <w:rPr>
          <w:sz w:val="24"/>
        </w:rPr>
        <w:t>control</w:t>
      </w:r>
      <w:r>
        <w:rPr>
          <w:spacing w:val="-4"/>
          <w:sz w:val="24"/>
        </w:rPr>
        <w:t> </w:t>
      </w:r>
      <w:r>
        <w:rPr>
          <w:sz w:val="24"/>
        </w:rPr>
        <w:t>over</w:t>
      </w:r>
      <w:r>
        <w:rPr>
          <w:spacing w:val="-3"/>
          <w:sz w:val="24"/>
        </w:rPr>
        <w:t> </w:t>
      </w:r>
      <w:r>
        <w:rPr>
          <w:sz w:val="24"/>
        </w:rPr>
        <w:t>other</w:t>
      </w:r>
      <w:r>
        <w:rPr>
          <w:spacing w:val="-3"/>
          <w:sz w:val="24"/>
        </w:rPr>
        <w:t> </w:t>
      </w:r>
      <w:r>
        <w:rPr>
          <w:sz w:val="24"/>
        </w:rPr>
        <w:t>people's</w:t>
      </w:r>
      <w:r>
        <w:rPr>
          <w:spacing w:val="-4"/>
          <w:sz w:val="24"/>
        </w:rPr>
        <w:t> </w:t>
      </w:r>
      <w:r>
        <w:rPr>
          <w:sz w:val="24"/>
        </w:rPr>
        <w:t>access</w:t>
      </w:r>
      <w:r>
        <w:rPr>
          <w:spacing w:val="-4"/>
          <w:sz w:val="24"/>
        </w:rPr>
        <w:t> </w:t>
      </w:r>
      <w:r>
        <w:rPr>
          <w:sz w:val="24"/>
        </w:rPr>
        <w:t>to</w:t>
      </w:r>
      <w:r>
        <w:rPr>
          <w:spacing w:val="-5"/>
          <w:sz w:val="24"/>
        </w:rPr>
        <w:t> </w:t>
      </w:r>
      <w:r>
        <w:rPr>
          <w:sz w:val="24"/>
        </w:rPr>
        <w:t>the student's education record.</w:t>
      </w:r>
    </w:p>
    <w:p>
      <w:pPr>
        <w:pStyle w:val="ListParagraph"/>
        <w:numPr>
          <w:ilvl w:val="2"/>
          <w:numId w:val="344"/>
        </w:numPr>
        <w:tabs>
          <w:tab w:pos="1689" w:val="left" w:leader="none"/>
        </w:tabs>
        <w:spacing w:line="208" w:lineRule="auto" w:before="240" w:after="0"/>
        <w:ind w:left="1223" w:right="924" w:firstLine="0"/>
        <w:jc w:val="left"/>
        <w:rPr>
          <w:sz w:val="24"/>
        </w:rPr>
      </w:pPr>
      <w:r>
        <w:rPr>
          <w:sz w:val="24"/>
        </w:rPr>
        <w:t>The</w:t>
      </w:r>
      <w:r>
        <w:rPr>
          <w:spacing w:val="-3"/>
          <w:sz w:val="24"/>
        </w:rPr>
        <w:t> </w:t>
      </w:r>
      <w:r>
        <w:rPr>
          <w:sz w:val="24"/>
        </w:rPr>
        <w:t>right</w:t>
      </w:r>
      <w:r>
        <w:rPr>
          <w:spacing w:val="-2"/>
          <w:sz w:val="24"/>
        </w:rPr>
        <w:t> </w:t>
      </w:r>
      <w:r>
        <w:rPr>
          <w:sz w:val="24"/>
        </w:rPr>
        <w:t>to</w:t>
      </w:r>
      <w:r>
        <w:rPr>
          <w:spacing w:val="-3"/>
          <w:sz w:val="24"/>
        </w:rPr>
        <w:t> </w:t>
      </w:r>
      <w:r>
        <w:rPr>
          <w:sz w:val="24"/>
        </w:rPr>
        <w:t>seek</w:t>
      </w:r>
      <w:r>
        <w:rPr>
          <w:spacing w:val="-4"/>
          <w:sz w:val="24"/>
        </w:rPr>
        <w:t> </w:t>
      </w:r>
      <w:r>
        <w:rPr>
          <w:sz w:val="24"/>
        </w:rPr>
        <w:t>to</w:t>
      </w:r>
      <w:r>
        <w:rPr>
          <w:spacing w:val="-3"/>
          <w:sz w:val="24"/>
        </w:rPr>
        <w:t> </w:t>
      </w:r>
      <w:r>
        <w:rPr>
          <w:sz w:val="24"/>
        </w:rPr>
        <w:t>correct</w:t>
      </w:r>
      <w:r>
        <w:rPr>
          <w:spacing w:val="-4"/>
          <w:sz w:val="24"/>
        </w:rPr>
        <w:t> </w:t>
      </w:r>
      <w:r>
        <w:rPr>
          <w:sz w:val="24"/>
        </w:rPr>
        <w:t>the</w:t>
      </w:r>
      <w:r>
        <w:rPr>
          <w:spacing w:val="-3"/>
          <w:sz w:val="24"/>
        </w:rPr>
        <w:t> </w:t>
      </w:r>
      <w:r>
        <w:rPr>
          <w:sz w:val="24"/>
        </w:rPr>
        <w:t>student's</w:t>
      </w:r>
      <w:r>
        <w:rPr>
          <w:spacing w:val="-3"/>
          <w:sz w:val="24"/>
        </w:rPr>
        <w:t> </w:t>
      </w:r>
      <w:r>
        <w:rPr>
          <w:sz w:val="24"/>
        </w:rPr>
        <w:t>education</w:t>
      </w:r>
      <w:r>
        <w:rPr>
          <w:spacing w:val="-3"/>
          <w:sz w:val="24"/>
        </w:rPr>
        <w:t> </w:t>
      </w:r>
      <w:r>
        <w:rPr>
          <w:sz w:val="24"/>
        </w:rPr>
        <w:t>records;</w:t>
      </w:r>
      <w:r>
        <w:rPr>
          <w:spacing w:val="-2"/>
          <w:sz w:val="24"/>
        </w:rPr>
        <w:t> </w:t>
      </w:r>
      <w:r>
        <w:rPr>
          <w:sz w:val="24"/>
        </w:rPr>
        <w:t>in</w:t>
      </w:r>
      <w:r>
        <w:rPr>
          <w:spacing w:val="-3"/>
          <w:sz w:val="24"/>
        </w:rPr>
        <w:t> </w:t>
      </w:r>
      <w:r>
        <w:rPr>
          <w:sz w:val="24"/>
        </w:rPr>
        <w:t>a</w:t>
      </w:r>
      <w:r>
        <w:rPr>
          <w:spacing w:val="-3"/>
          <w:sz w:val="24"/>
        </w:rPr>
        <w:t> </w:t>
      </w:r>
      <w:r>
        <w:rPr>
          <w:sz w:val="24"/>
        </w:rPr>
        <w:t>hearing</w:t>
      </w:r>
      <w:r>
        <w:rPr>
          <w:spacing w:val="-3"/>
          <w:sz w:val="24"/>
        </w:rPr>
        <w:t> </w:t>
      </w:r>
      <w:r>
        <w:rPr>
          <w:sz w:val="24"/>
        </w:rPr>
        <w:t>if </w:t>
      </w:r>
      <w:r>
        <w:rPr>
          <w:spacing w:val="-2"/>
          <w:sz w:val="24"/>
        </w:rPr>
        <w:t>necessary.</w:t>
      </w:r>
    </w:p>
    <w:p>
      <w:pPr>
        <w:pStyle w:val="ListParagraph"/>
        <w:numPr>
          <w:ilvl w:val="2"/>
          <w:numId w:val="344"/>
        </w:numPr>
        <w:tabs>
          <w:tab w:pos="1689" w:val="left" w:leader="none"/>
        </w:tabs>
        <w:spacing w:line="208" w:lineRule="auto" w:before="240" w:after="0"/>
        <w:ind w:left="1223" w:right="1450" w:firstLine="0"/>
        <w:jc w:val="left"/>
        <w:rPr>
          <w:sz w:val="24"/>
        </w:rPr>
      </w:pPr>
      <w:r>
        <w:rPr>
          <w:sz w:val="24"/>
        </w:rPr>
        <w:t>The</w:t>
      </w:r>
      <w:r>
        <w:rPr>
          <w:spacing w:val="-4"/>
          <w:sz w:val="24"/>
        </w:rPr>
        <w:t> </w:t>
      </w:r>
      <w:r>
        <w:rPr>
          <w:sz w:val="24"/>
        </w:rPr>
        <w:t>right</w:t>
      </w:r>
      <w:r>
        <w:rPr>
          <w:spacing w:val="-3"/>
          <w:sz w:val="24"/>
        </w:rPr>
        <w:t> </w:t>
      </w:r>
      <w:r>
        <w:rPr>
          <w:sz w:val="24"/>
        </w:rPr>
        <w:t>to</w:t>
      </w:r>
      <w:r>
        <w:rPr>
          <w:spacing w:val="-5"/>
          <w:sz w:val="24"/>
        </w:rPr>
        <w:t> </w:t>
      </w:r>
      <w:r>
        <w:rPr>
          <w:sz w:val="24"/>
        </w:rPr>
        <w:t>report</w:t>
      </w:r>
      <w:r>
        <w:rPr>
          <w:spacing w:val="-5"/>
          <w:sz w:val="24"/>
        </w:rPr>
        <w:t> </w:t>
      </w:r>
      <w:r>
        <w:rPr>
          <w:sz w:val="24"/>
        </w:rPr>
        <w:t>violations</w:t>
      </w:r>
      <w:r>
        <w:rPr>
          <w:spacing w:val="-4"/>
          <w:sz w:val="24"/>
        </w:rPr>
        <w:t> </w:t>
      </w:r>
      <w:r>
        <w:rPr>
          <w:sz w:val="24"/>
        </w:rPr>
        <w:t>of</w:t>
      </w:r>
      <w:r>
        <w:rPr>
          <w:spacing w:val="-3"/>
          <w:sz w:val="24"/>
        </w:rPr>
        <w:t> </w:t>
      </w:r>
      <w:r>
        <w:rPr>
          <w:sz w:val="24"/>
        </w:rPr>
        <w:t>the</w:t>
      </w:r>
      <w:r>
        <w:rPr>
          <w:spacing w:val="-4"/>
          <w:sz w:val="24"/>
        </w:rPr>
        <w:t> </w:t>
      </w:r>
      <w:r>
        <w:rPr>
          <w:sz w:val="24"/>
        </w:rPr>
        <w:t>FERPA</w:t>
      </w:r>
      <w:r>
        <w:rPr>
          <w:spacing w:val="-4"/>
          <w:sz w:val="24"/>
        </w:rPr>
        <w:t> </w:t>
      </w:r>
      <w:r>
        <w:rPr>
          <w:sz w:val="24"/>
        </w:rPr>
        <w:t>to</w:t>
      </w:r>
      <w:r>
        <w:rPr>
          <w:spacing w:val="-4"/>
          <w:sz w:val="24"/>
        </w:rPr>
        <w:t> </w:t>
      </w:r>
      <w:r>
        <w:rPr>
          <w:sz w:val="24"/>
        </w:rPr>
        <w:t>the</w:t>
      </w:r>
      <w:r>
        <w:rPr>
          <w:spacing w:val="-4"/>
          <w:sz w:val="24"/>
        </w:rPr>
        <w:t> </w:t>
      </w:r>
      <w:r>
        <w:rPr>
          <w:sz w:val="24"/>
        </w:rPr>
        <w:t>U.S.</w:t>
      </w:r>
      <w:r>
        <w:rPr>
          <w:spacing w:val="-3"/>
          <w:sz w:val="24"/>
        </w:rPr>
        <w:t> </w:t>
      </w:r>
      <w:r>
        <w:rPr>
          <w:sz w:val="24"/>
        </w:rPr>
        <w:t>Department</w:t>
      </w:r>
      <w:r>
        <w:rPr>
          <w:spacing w:val="-3"/>
          <w:sz w:val="24"/>
        </w:rPr>
        <w:t> </w:t>
      </w:r>
      <w:r>
        <w:rPr>
          <w:sz w:val="24"/>
        </w:rPr>
        <w:t>of </w:t>
      </w:r>
      <w:r>
        <w:rPr>
          <w:spacing w:val="-2"/>
          <w:sz w:val="24"/>
        </w:rPr>
        <w:t>Education.</w:t>
      </w:r>
    </w:p>
    <w:p>
      <w:pPr>
        <w:pStyle w:val="ListParagraph"/>
        <w:numPr>
          <w:ilvl w:val="2"/>
          <w:numId w:val="344"/>
        </w:numPr>
        <w:tabs>
          <w:tab w:pos="1676" w:val="left" w:leader="none"/>
        </w:tabs>
        <w:spacing w:line="240" w:lineRule="auto" w:before="210" w:after="0"/>
        <w:ind w:left="1676" w:right="0" w:hanging="453"/>
        <w:jc w:val="left"/>
        <w:rPr>
          <w:sz w:val="24"/>
        </w:rPr>
      </w:pPr>
      <w:r>
        <w:rPr>
          <w:sz w:val="24"/>
        </w:rPr>
        <w:t>The</w:t>
      </w:r>
      <w:r>
        <w:rPr>
          <w:spacing w:val="-6"/>
          <w:sz w:val="24"/>
        </w:rPr>
        <w:t> </w:t>
      </w:r>
      <w:r>
        <w:rPr>
          <w:sz w:val="24"/>
        </w:rPr>
        <w:t>right</w:t>
      </w:r>
      <w:r>
        <w:rPr>
          <w:spacing w:val="-2"/>
          <w:sz w:val="24"/>
        </w:rPr>
        <w:t> </w:t>
      </w:r>
      <w:r>
        <w:rPr>
          <w:sz w:val="24"/>
        </w:rPr>
        <w:t>to</w:t>
      </w:r>
      <w:r>
        <w:rPr>
          <w:spacing w:val="-3"/>
          <w:sz w:val="24"/>
        </w:rPr>
        <w:t> </w:t>
      </w:r>
      <w:r>
        <w:rPr>
          <w:sz w:val="24"/>
        </w:rPr>
        <w:t>be</w:t>
      </w:r>
      <w:r>
        <w:rPr>
          <w:spacing w:val="-2"/>
          <w:sz w:val="24"/>
        </w:rPr>
        <w:t> </w:t>
      </w:r>
      <w:r>
        <w:rPr>
          <w:sz w:val="24"/>
        </w:rPr>
        <w:t>informed</w:t>
      </w:r>
      <w:r>
        <w:rPr>
          <w:spacing w:val="-3"/>
          <w:sz w:val="24"/>
        </w:rPr>
        <w:t> </w:t>
      </w:r>
      <w:r>
        <w:rPr>
          <w:sz w:val="24"/>
        </w:rPr>
        <w:t>about</w:t>
      </w:r>
      <w:r>
        <w:rPr>
          <w:spacing w:val="-2"/>
          <w:sz w:val="24"/>
        </w:rPr>
        <w:t> </w:t>
      </w:r>
      <w:r>
        <w:rPr>
          <w:sz w:val="24"/>
        </w:rPr>
        <w:t>FERPA</w:t>
      </w:r>
      <w:r>
        <w:rPr>
          <w:spacing w:val="-2"/>
          <w:sz w:val="24"/>
        </w:rPr>
        <w:t> rights.</w:t>
      </w:r>
    </w:p>
    <w:p>
      <w:pPr>
        <w:pStyle w:val="ListParagraph"/>
        <w:numPr>
          <w:ilvl w:val="1"/>
          <w:numId w:val="344"/>
        </w:numPr>
        <w:tabs>
          <w:tab w:pos="1216" w:val="left" w:leader="none"/>
        </w:tabs>
        <w:spacing w:line="208" w:lineRule="auto" w:before="234" w:after="0"/>
        <w:ind w:left="791" w:right="1147" w:firstLine="0"/>
        <w:jc w:val="left"/>
        <w:rPr>
          <w:sz w:val="24"/>
        </w:rPr>
      </w:pPr>
      <w:r>
        <w:rPr>
          <w:b/>
          <w:sz w:val="24"/>
        </w:rPr>
        <w:t>When student becomes age 18.</w:t>
      </w:r>
      <w:r>
        <w:rPr>
          <w:b/>
          <w:spacing w:val="40"/>
          <w:sz w:val="24"/>
        </w:rPr>
        <w:t> </w:t>
      </w:r>
      <w:r>
        <w:rPr>
          <w:sz w:val="24"/>
        </w:rPr>
        <w:t>All rights and protections given parents under</w:t>
      </w:r>
      <w:r>
        <w:rPr>
          <w:spacing w:val="-2"/>
          <w:sz w:val="24"/>
        </w:rPr>
        <w:t> </w:t>
      </w:r>
      <w:r>
        <w:rPr>
          <w:sz w:val="24"/>
        </w:rPr>
        <w:t>the</w:t>
      </w:r>
      <w:r>
        <w:rPr>
          <w:spacing w:val="-3"/>
          <w:sz w:val="24"/>
        </w:rPr>
        <w:t> </w:t>
      </w:r>
      <w:r>
        <w:rPr>
          <w:sz w:val="24"/>
        </w:rPr>
        <w:t>FERPA</w:t>
      </w:r>
      <w:r>
        <w:rPr>
          <w:spacing w:val="-3"/>
          <w:sz w:val="24"/>
        </w:rPr>
        <w:t> </w:t>
      </w:r>
      <w:r>
        <w:rPr>
          <w:sz w:val="24"/>
        </w:rPr>
        <w:t>and</w:t>
      </w:r>
      <w:r>
        <w:rPr>
          <w:spacing w:val="-3"/>
          <w:sz w:val="24"/>
        </w:rPr>
        <w:t> </w:t>
      </w:r>
      <w:r>
        <w:rPr>
          <w:sz w:val="24"/>
        </w:rPr>
        <w:t>this</w:t>
      </w:r>
      <w:r>
        <w:rPr>
          <w:spacing w:val="-3"/>
          <w:sz w:val="24"/>
        </w:rPr>
        <w:t> </w:t>
      </w:r>
      <w:r>
        <w:rPr>
          <w:sz w:val="24"/>
        </w:rPr>
        <w:t>policy</w:t>
      </w:r>
      <w:r>
        <w:rPr>
          <w:spacing w:val="-3"/>
          <w:sz w:val="24"/>
        </w:rPr>
        <w:t> </w:t>
      </w:r>
      <w:r>
        <w:rPr>
          <w:sz w:val="24"/>
        </w:rPr>
        <w:t>transfer</w:t>
      </w:r>
      <w:r>
        <w:rPr>
          <w:spacing w:val="-2"/>
          <w:sz w:val="24"/>
        </w:rPr>
        <w:t> </w:t>
      </w:r>
      <w:r>
        <w:rPr>
          <w:sz w:val="24"/>
        </w:rPr>
        <w:t>to</w:t>
      </w:r>
      <w:r>
        <w:rPr>
          <w:spacing w:val="-4"/>
          <w:sz w:val="24"/>
        </w:rPr>
        <w:t> </w:t>
      </w:r>
      <w:r>
        <w:rPr>
          <w:sz w:val="24"/>
        </w:rPr>
        <w:t>the</w:t>
      </w:r>
      <w:r>
        <w:rPr>
          <w:spacing w:val="-3"/>
          <w:sz w:val="24"/>
        </w:rPr>
        <w:t> </w:t>
      </w:r>
      <w:r>
        <w:rPr>
          <w:sz w:val="24"/>
        </w:rPr>
        <w:t>student</w:t>
      </w:r>
      <w:r>
        <w:rPr>
          <w:spacing w:val="-2"/>
          <w:sz w:val="24"/>
        </w:rPr>
        <w:t> </w:t>
      </w:r>
      <w:r>
        <w:rPr>
          <w:sz w:val="24"/>
        </w:rPr>
        <w:t>when</w:t>
      </w:r>
      <w:r>
        <w:rPr>
          <w:spacing w:val="-3"/>
          <w:sz w:val="24"/>
        </w:rPr>
        <w:t> </w:t>
      </w:r>
      <w:r>
        <w:rPr>
          <w:sz w:val="24"/>
        </w:rPr>
        <w:t>he</w:t>
      </w:r>
      <w:r>
        <w:rPr>
          <w:spacing w:val="-3"/>
          <w:sz w:val="24"/>
        </w:rPr>
        <w:t> </w:t>
      </w:r>
      <w:r>
        <w:rPr>
          <w:sz w:val="24"/>
        </w:rPr>
        <w:t>or</w:t>
      </w:r>
      <w:r>
        <w:rPr>
          <w:spacing w:val="-1"/>
          <w:sz w:val="24"/>
        </w:rPr>
        <w:t> </w:t>
      </w:r>
      <w:r>
        <w:rPr>
          <w:sz w:val="24"/>
        </w:rPr>
        <w:t>she</w:t>
      </w:r>
      <w:r>
        <w:rPr>
          <w:spacing w:val="-3"/>
          <w:sz w:val="24"/>
        </w:rPr>
        <w:t> </w:t>
      </w:r>
      <w:r>
        <w:rPr>
          <w:sz w:val="24"/>
        </w:rPr>
        <w:t>reaches age 18 or enrolls in a post secondary school.</w:t>
      </w:r>
      <w:r>
        <w:rPr>
          <w:spacing w:val="40"/>
          <w:sz w:val="24"/>
        </w:rPr>
        <w:t> </w:t>
      </w:r>
      <w:r>
        <w:rPr>
          <w:sz w:val="24"/>
        </w:rPr>
        <w:t>The student then becomes an "eligible student".</w:t>
      </w:r>
    </w:p>
    <w:p>
      <w:pPr>
        <w:pStyle w:val="ListParagraph"/>
        <w:numPr>
          <w:ilvl w:val="0"/>
          <w:numId w:val="344"/>
        </w:numPr>
        <w:tabs>
          <w:tab w:pos="772" w:val="left" w:leader="none"/>
        </w:tabs>
        <w:spacing w:line="208" w:lineRule="auto" w:before="239" w:after="0"/>
        <w:ind w:left="359" w:right="861" w:firstLine="0"/>
        <w:jc w:val="left"/>
        <w:rPr>
          <w:sz w:val="24"/>
        </w:rPr>
      </w:pPr>
      <w:r>
        <w:rPr>
          <w:b/>
          <w:sz w:val="24"/>
        </w:rPr>
        <w:t>Records of requests for access and disclosures made from education records.</w:t>
      </w:r>
      <w:r>
        <w:rPr>
          <w:b/>
          <w:spacing w:val="40"/>
          <w:sz w:val="24"/>
        </w:rPr>
        <w:t> </w:t>
      </w:r>
      <w:r>
        <w:rPr>
          <w:sz w:val="24"/>
        </w:rPr>
        <w:t>Oklahoma School for the blind (OSB) and Oklahoma School for the Deaf (OSD)</w:t>
      </w:r>
      <w:r>
        <w:rPr>
          <w:spacing w:val="-2"/>
          <w:sz w:val="24"/>
        </w:rPr>
        <w:t> </w:t>
      </w:r>
      <w:r>
        <w:rPr>
          <w:sz w:val="24"/>
        </w:rPr>
        <w:t>will</w:t>
      </w:r>
      <w:r>
        <w:rPr>
          <w:spacing w:val="-3"/>
          <w:sz w:val="24"/>
        </w:rPr>
        <w:t> </w:t>
      </w:r>
      <w:r>
        <w:rPr>
          <w:sz w:val="24"/>
        </w:rPr>
        <w:t>maintain</w:t>
      </w:r>
      <w:r>
        <w:rPr>
          <w:spacing w:val="-3"/>
          <w:sz w:val="24"/>
        </w:rPr>
        <w:t> </w:t>
      </w:r>
      <w:r>
        <w:rPr>
          <w:sz w:val="24"/>
        </w:rPr>
        <w:t>an</w:t>
      </w:r>
      <w:r>
        <w:rPr>
          <w:spacing w:val="-3"/>
          <w:sz w:val="24"/>
        </w:rPr>
        <w:t> </w:t>
      </w:r>
      <w:r>
        <w:rPr>
          <w:sz w:val="24"/>
        </w:rPr>
        <w:t>accurate</w:t>
      </w:r>
      <w:r>
        <w:rPr>
          <w:spacing w:val="-4"/>
          <w:sz w:val="24"/>
        </w:rPr>
        <w:t> </w:t>
      </w:r>
      <w:r>
        <w:rPr>
          <w:sz w:val="24"/>
        </w:rPr>
        <w:t>record</w:t>
      </w:r>
      <w:r>
        <w:rPr>
          <w:spacing w:val="-3"/>
          <w:sz w:val="24"/>
        </w:rPr>
        <w:t> </w:t>
      </w:r>
      <w:r>
        <w:rPr>
          <w:sz w:val="24"/>
        </w:rPr>
        <w:t>of</w:t>
      </w:r>
      <w:r>
        <w:rPr>
          <w:spacing w:val="-2"/>
          <w:sz w:val="24"/>
        </w:rPr>
        <w:t> </w:t>
      </w:r>
      <w:r>
        <w:rPr>
          <w:sz w:val="24"/>
        </w:rPr>
        <w:t>all</w:t>
      </w:r>
      <w:r>
        <w:rPr>
          <w:spacing w:val="-3"/>
          <w:sz w:val="24"/>
        </w:rPr>
        <w:t> </w:t>
      </w:r>
      <w:r>
        <w:rPr>
          <w:sz w:val="24"/>
        </w:rPr>
        <w:t>requests</w:t>
      </w:r>
      <w:r>
        <w:rPr>
          <w:spacing w:val="-3"/>
          <w:sz w:val="24"/>
        </w:rPr>
        <w:t> </w:t>
      </w:r>
      <w:r>
        <w:rPr>
          <w:sz w:val="24"/>
        </w:rPr>
        <w:t>for</w:t>
      </w:r>
      <w:r>
        <w:rPr>
          <w:spacing w:val="-2"/>
          <w:sz w:val="24"/>
        </w:rPr>
        <w:t> </w:t>
      </w:r>
      <w:r>
        <w:rPr>
          <w:sz w:val="24"/>
        </w:rPr>
        <w:t>it</w:t>
      </w:r>
      <w:r>
        <w:rPr>
          <w:spacing w:val="-2"/>
          <w:sz w:val="24"/>
        </w:rPr>
        <w:t> </w:t>
      </w:r>
      <w:r>
        <w:rPr>
          <w:sz w:val="24"/>
        </w:rPr>
        <w:t>to</w:t>
      </w:r>
      <w:r>
        <w:rPr>
          <w:spacing w:val="-4"/>
          <w:sz w:val="24"/>
        </w:rPr>
        <w:t> </w:t>
      </w:r>
      <w:r>
        <w:rPr>
          <w:sz w:val="24"/>
        </w:rPr>
        <w:t>disclose</w:t>
      </w:r>
      <w:r>
        <w:rPr>
          <w:spacing w:val="-3"/>
          <w:sz w:val="24"/>
        </w:rPr>
        <w:t> </w:t>
      </w:r>
      <w:r>
        <w:rPr>
          <w:sz w:val="24"/>
        </w:rPr>
        <w:t>information</w:t>
      </w:r>
      <w:r>
        <w:rPr>
          <w:spacing w:val="-3"/>
          <w:sz w:val="24"/>
        </w:rPr>
        <w:t> </w:t>
      </w:r>
      <w:r>
        <w:rPr>
          <w:sz w:val="24"/>
        </w:rPr>
        <w:t>from or to</w:t>
      </w:r>
      <w:r>
        <w:rPr>
          <w:spacing w:val="-1"/>
          <w:sz w:val="24"/>
        </w:rPr>
        <w:t> </w:t>
      </w:r>
      <w:r>
        <w:rPr>
          <w:sz w:val="24"/>
        </w:rPr>
        <w:t>permit</w:t>
      </w:r>
      <w:r>
        <w:rPr>
          <w:spacing w:val="-2"/>
          <w:sz w:val="24"/>
        </w:rPr>
        <w:t> </w:t>
      </w:r>
      <w:r>
        <w:rPr>
          <w:sz w:val="24"/>
        </w:rPr>
        <w:t>access</w:t>
      </w:r>
      <w:r>
        <w:rPr>
          <w:spacing w:val="-1"/>
          <w:sz w:val="24"/>
        </w:rPr>
        <w:t> </w:t>
      </w:r>
      <w:r>
        <w:rPr>
          <w:sz w:val="24"/>
        </w:rPr>
        <w:t>to</w:t>
      </w:r>
      <w:r>
        <w:rPr>
          <w:spacing w:val="-2"/>
          <w:sz w:val="24"/>
        </w:rPr>
        <w:t> </w:t>
      </w:r>
      <w:r>
        <w:rPr>
          <w:sz w:val="24"/>
        </w:rPr>
        <w:t>a</w:t>
      </w:r>
      <w:r>
        <w:rPr>
          <w:spacing w:val="-1"/>
          <w:sz w:val="24"/>
        </w:rPr>
        <w:t> </w:t>
      </w:r>
      <w:r>
        <w:rPr>
          <w:sz w:val="24"/>
        </w:rPr>
        <w:t>student's</w:t>
      </w:r>
      <w:r>
        <w:rPr>
          <w:spacing w:val="-1"/>
          <w:sz w:val="24"/>
        </w:rPr>
        <w:t> </w:t>
      </w:r>
      <w:r>
        <w:rPr>
          <w:sz w:val="24"/>
        </w:rPr>
        <w:t>education</w:t>
      </w:r>
      <w:r>
        <w:rPr>
          <w:spacing w:val="-1"/>
          <w:sz w:val="24"/>
        </w:rPr>
        <w:t> </w:t>
      </w:r>
      <w:r>
        <w:rPr>
          <w:sz w:val="24"/>
        </w:rPr>
        <w:t>records</w:t>
      </w:r>
      <w:r>
        <w:rPr>
          <w:spacing w:val="-1"/>
          <w:sz w:val="24"/>
        </w:rPr>
        <w:t> </w:t>
      </w:r>
      <w:r>
        <w:rPr>
          <w:sz w:val="24"/>
        </w:rPr>
        <w:t>and of information</w:t>
      </w:r>
      <w:r>
        <w:rPr>
          <w:spacing w:val="-1"/>
          <w:sz w:val="24"/>
        </w:rPr>
        <w:t> </w:t>
      </w:r>
      <w:r>
        <w:rPr>
          <w:sz w:val="24"/>
        </w:rPr>
        <w:t>it discloses</w:t>
      </w:r>
      <w:r>
        <w:rPr>
          <w:spacing w:val="-1"/>
          <w:sz w:val="24"/>
        </w:rPr>
        <w:t> </w:t>
      </w:r>
      <w:r>
        <w:rPr>
          <w:sz w:val="24"/>
        </w:rPr>
        <w:t>and access it permits with some exceptions listed below. This record will be kept with, but will not be a part of, each student's cumulative school records.</w:t>
      </w:r>
      <w:r>
        <w:rPr>
          <w:spacing w:val="40"/>
          <w:sz w:val="24"/>
        </w:rPr>
        <w:t> </w:t>
      </w:r>
      <w:r>
        <w:rPr>
          <w:sz w:val="24"/>
        </w:rPr>
        <w:t>It will be available only to the record custodian, the eligible student, the parent of the student, or to federal, state, or local officials for the purpose of auditing or enforcing federally supported educational programs.</w:t>
      </w:r>
    </w:p>
    <w:p>
      <w:pPr>
        <w:pStyle w:val="ListParagraph"/>
        <w:numPr>
          <w:ilvl w:val="1"/>
          <w:numId w:val="344"/>
        </w:numPr>
        <w:tabs>
          <w:tab w:pos="1217" w:val="left" w:leader="none"/>
        </w:tabs>
        <w:spacing w:line="240" w:lineRule="auto" w:before="210" w:after="0"/>
        <w:ind w:left="1217" w:right="0" w:hanging="426"/>
        <w:jc w:val="left"/>
        <w:rPr>
          <w:sz w:val="24"/>
        </w:rPr>
      </w:pPr>
      <w:r>
        <w:rPr>
          <w:sz w:val="24"/>
        </w:rPr>
        <w:t>The</w:t>
      </w:r>
      <w:r>
        <w:rPr>
          <w:spacing w:val="-4"/>
          <w:sz w:val="24"/>
        </w:rPr>
        <w:t> </w:t>
      </w:r>
      <w:r>
        <w:rPr>
          <w:sz w:val="24"/>
        </w:rPr>
        <w:t>record</w:t>
      </w:r>
      <w:r>
        <w:rPr>
          <w:spacing w:val="-2"/>
          <w:sz w:val="24"/>
        </w:rPr>
        <w:t> </w:t>
      </w:r>
      <w:r>
        <w:rPr>
          <w:sz w:val="24"/>
        </w:rPr>
        <w:t>will</w:t>
      </w:r>
      <w:r>
        <w:rPr>
          <w:spacing w:val="-2"/>
          <w:sz w:val="24"/>
        </w:rPr>
        <w:t> </w:t>
      </w:r>
      <w:r>
        <w:rPr>
          <w:sz w:val="24"/>
        </w:rPr>
        <w:t>include</w:t>
      </w:r>
      <w:r>
        <w:rPr>
          <w:spacing w:val="-2"/>
          <w:sz w:val="24"/>
        </w:rPr>
        <w:t> </w:t>
      </w:r>
      <w:r>
        <w:rPr>
          <w:sz w:val="24"/>
        </w:rPr>
        <w:t>at</w:t>
      </w:r>
      <w:r>
        <w:rPr>
          <w:spacing w:val="-1"/>
          <w:sz w:val="24"/>
        </w:rPr>
        <w:t> </w:t>
      </w:r>
      <w:r>
        <w:rPr>
          <w:spacing w:val="-2"/>
          <w:sz w:val="24"/>
        </w:rPr>
        <w:t>least:</w:t>
      </w:r>
    </w:p>
    <w:p>
      <w:pPr>
        <w:pStyle w:val="ListParagraph"/>
        <w:spacing w:after="0" w:line="240" w:lineRule="auto"/>
        <w:jc w:val="left"/>
        <w:rPr>
          <w:sz w:val="24"/>
        </w:rPr>
        <w:sectPr>
          <w:pgSz w:w="12240" w:h="15840"/>
          <w:pgMar w:top="1340" w:bottom="280" w:left="1080" w:right="720"/>
        </w:sectPr>
      </w:pPr>
    </w:p>
    <w:p>
      <w:pPr>
        <w:pStyle w:val="ListParagraph"/>
        <w:numPr>
          <w:ilvl w:val="2"/>
          <w:numId w:val="344"/>
        </w:numPr>
        <w:tabs>
          <w:tab w:pos="1677" w:val="left" w:leader="none"/>
        </w:tabs>
        <w:spacing w:line="240" w:lineRule="auto" w:before="67" w:after="0"/>
        <w:ind w:left="1677" w:right="0" w:hanging="453"/>
        <w:jc w:val="left"/>
        <w:rPr>
          <w:sz w:val="24"/>
        </w:rPr>
      </w:pPr>
      <w:r>
        <w:rPr>
          <w:sz w:val="24"/>
        </w:rPr>
        <w:t>The</w:t>
      </w:r>
      <w:r>
        <w:rPr>
          <w:spacing w:val="-2"/>
          <w:sz w:val="24"/>
        </w:rPr>
        <w:t> </w:t>
      </w:r>
      <w:r>
        <w:rPr>
          <w:sz w:val="24"/>
        </w:rPr>
        <w:t>name</w:t>
      </w:r>
      <w:r>
        <w:rPr>
          <w:spacing w:val="-2"/>
          <w:sz w:val="24"/>
        </w:rPr>
        <w:t> </w:t>
      </w:r>
      <w:r>
        <w:rPr>
          <w:sz w:val="24"/>
        </w:rPr>
        <w:t>of</w:t>
      </w:r>
      <w:r>
        <w:rPr>
          <w:spacing w:val="-3"/>
          <w:sz w:val="24"/>
        </w:rPr>
        <w:t> </w:t>
      </w:r>
      <w:r>
        <w:rPr>
          <w:sz w:val="24"/>
        </w:rPr>
        <w:t>the</w:t>
      </w:r>
      <w:r>
        <w:rPr>
          <w:spacing w:val="-2"/>
          <w:sz w:val="24"/>
        </w:rPr>
        <w:t> </w:t>
      </w:r>
      <w:r>
        <w:rPr>
          <w:sz w:val="24"/>
        </w:rPr>
        <w:t>person</w:t>
      </w:r>
      <w:r>
        <w:rPr>
          <w:spacing w:val="-2"/>
          <w:sz w:val="24"/>
        </w:rPr>
        <w:t> </w:t>
      </w:r>
      <w:r>
        <w:rPr>
          <w:sz w:val="24"/>
        </w:rPr>
        <w:t>or</w:t>
      </w:r>
      <w:r>
        <w:rPr>
          <w:spacing w:val="-2"/>
          <w:sz w:val="24"/>
        </w:rPr>
        <w:t> </w:t>
      </w:r>
      <w:r>
        <w:rPr>
          <w:sz w:val="24"/>
        </w:rPr>
        <w:t>agency</w:t>
      </w:r>
      <w:r>
        <w:rPr>
          <w:spacing w:val="-2"/>
          <w:sz w:val="24"/>
        </w:rPr>
        <w:t> </w:t>
      </w:r>
      <w:r>
        <w:rPr>
          <w:sz w:val="24"/>
        </w:rPr>
        <w:t>that</w:t>
      </w:r>
      <w:r>
        <w:rPr>
          <w:spacing w:val="-2"/>
          <w:sz w:val="24"/>
        </w:rPr>
        <w:t> </w:t>
      </w:r>
      <w:r>
        <w:rPr>
          <w:sz w:val="24"/>
        </w:rPr>
        <w:t>made</w:t>
      </w:r>
      <w:r>
        <w:rPr>
          <w:spacing w:val="-2"/>
          <w:sz w:val="24"/>
        </w:rPr>
        <w:t> </w:t>
      </w:r>
      <w:r>
        <w:rPr>
          <w:sz w:val="24"/>
        </w:rPr>
        <w:t>the</w:t>
      </w:r>
      <w:r>
        <w:rPr>
          <w:spacing w:val="-2"/>
          <w:sz w:val="24"/>
        </w:rPr>
        <w:t> request.</w:t>
      </w:r>
    </w:p>
    <w:p>
      <w:pPr>
        <w:pStyle w:val="ListParagraph"/>
        <w:numPr>
          <w:ilvl w:val="2"/>
          <w:numId w:val="344"/>
        </w:numPr>
        <w:tabs>
          <w:tab w:pos="1676" w:val="left" w:leader="none"/>
        </w:tabs>
        <w:spacing w:line="240" w:lineRule="auto" w:before="204" w:after="0"/>
        <w:ind w:left="1676" w:right="0" w:hanging="453"/>
        <w:jc w:val="left"/>
        <w:rPr>
          <w:sz w:val="24"/>
        </w:rPr>
      </w:pPr>
      <w:r>
        <w:rPr>
          <w:sz w:val="24"/>
        </w:rPr>
        <w:t>The</w:t>
      </w:r>
      <w:r>
        <w:rPr>
          <w:spacing w:val="-3"/>
          <w:sz w:val="24"/>
        </w:rPr>
        <w:t> </w:t>
      </w:r>
      <w:r>
        <w:rPr>
          <w:sz w:val="24"/>
        </w:rPr>
        <w:t>interest</w:t>
      </w:r>
      <w:r>
        <w:rPr>
          <w:spacing w:val="-1"/>
          <w:sz w:val="24"/>
        </w:rPr>
        <w:t> </w:t>
      </w:r>
      <w:r>
        <w:rPr>
          <w:sz w:val="24"/>
        </w:rPr>
        <w:t>the</w:t>
      </w:r>
      <w:r>
        <w:rPr>
          <w:spacing w:val="-2"/>
          <w:sz w:val="24"/>
        </w:rPr>
        <w:t> </w:t>
      </w:r>
      <w:r>
        <w:rPr>
          <w:sz w:val="24"/>
        </w:rPr>
        <w:t>person</w:t>
      </w:r>
      <w:r>
        <w:rPr>
          <w:spacing w:val="-3"/>
          <w:sz w:val="24"/>
        </w:rPr>
        <w:t> </w:t>
      </w:r>
      <w:r>
        <w:rPr>
          <w:sz w:val="24"/>
        </w:rPr>
        <w:t>or</w:t>
      </w:r>
      <w:r>
        <w:rPr>
          <w:spacing w:val="-1"/>
          <w:sz w:val="24"/>
        </w:rPr>
        <w:t> </w:t>
      </w:r>
      <w:r>
        <w:rPr>
          <w:sz w:val="24"/>
        </w:rPr>
        <w:t>agency</w:t>
      </w:r>
      <w:r>
        <w:rPr>
          <w:spacing w:val="-2"/>
          <w:sz w:val="24"/>
        </w:rPr>
        <w:t> </w:t>
      </w:r>
      <w:r>
        <w:rPr>
          <w:sz w:val="24"/>
        </w:rPr>
        <w:t>had</w:t>
      </w:r>
      <w:r>
        <w:rPr>
          <w:spacing w:val="-3"/>
          <w:sz w:val="24"/>
        </w:rPr>
        <w:t> </w:t>
      </w:r>
      <w:r>
        <w:rPr>
          <w:sz w:val="24"/>
        </w:rPr>
        <w:t>in</w:t>
      </w:r>
      <w:r>
        <w:rPr>
          <w:spacing w:val="-1"/>
          <w:sz w:val="24"/>
        </w:rPr>
        <w:t> </w:t>
      </w:r>
      <w:r>
        <w:rPr>
          <w:sz w:val="24"/>
        </w:rPr>
        <w:t>the</w:t>
      </w:r>
      <w:r>
        <w:rPr>
          <w:spacing w:val="-2"/>
          <w:sz w:val="24"/>
        </w:rPr>
        <w:t> information.</w:t>
      </w:r>
    </w:p>
    <w:p>
      <w:pPr>
        <w:pStyle w:val="ListParagraph"/>
        <w:numPr>
          <w:ilvl w:val="2"/>
          <w:numId w:val="344"/>
        </w:numPr>
        <w:tabs>
          <w:tab w:pos="1689" w:val="left" w:leader="none"/>
        </w:tabs>
        <w:spacing w:line="240" w:lineRule="auto" w:before="204" w:after="0"/>
        <w:ind w:left="1689" w:right="0" w:hanging="466"/>
        <w:jc w:val="left"/>
        <w:rPr>
          <w:sz w:val="24"/>
        </w:rPr>
      </w:pPr>
      <w:r>
        <w:rPr>
          <w:sz w:val="24"/>
        </w:rPr>
        <w:t>The</w:t>
      </w:r>
      <w:r>
        <w:rPr>
          <w:spacing w:val="-3"/>
          <w:sz w:val="24"/>
        </w:rPr>
        <w:t> </w:t>
      </w:r>
      <w:r>
        <w:rPr>
          <w:sz w:val="24"/>
        </w:rPr>
        <w:t>date</w:t>
      </w:r>
      <w:r>
        <w:rPr>
          <w:spacing w:val="-2"/>
          <w:sz w:val="24"/>
        </w:rPr>
        <w:t> </w:t>
      </w:r>
      <w:r>
        <w:rPr>
          <w:sz w:val="24"/>
        </w:rPr>
        <w:t>the</w:t>
      </w:r>
      <w:r>
        <w:rPr>
          <w:spacing w:val="-3"/>
          <w:sz w:val="24"/>
        </w:rPr>
        <w:t> </w:t>
      </w:r>
      <w:r>
        <w:rPr>
          <w:sz w:val="24"/>
        </w:rPr>
        <w:t>person</w:t>
      </w:r>
      <w:r>
        <w:rPr>
          <w:spacing w:val="-2"/>
          <w:sz w:val="24"/>
        </w:rPr>
        <w:t> </w:t>
      </w:r>
      <w:r>
        <w:rPr>
          <w:sz w:val="24"/>
        </w:rPr>
        <w:t>or</w:t>
      </w:r>
      <w:r>
        <w:rPr>
          <w:spacing w:val="-2"/>
          <w:sz w:val="24"/>
        </w:rPr>
        <w:t> </w:t>
      </w:r>
      <w:r>
        <w:rPr>
          <w:sz w:val="24"/>
        </w:rPr>
        <w:t>agency</w:t>
      </w:r>
      <w:r>
        <w:rPr>
          <w:spacing w:val="-2"/>
          <w:sz w:val="24"/>
        </w:rPr>
        <w:t> </w:t>
      </w:r>
      <w:r>
        <w:rPr>
          <w:sz w:val="24"/>
        </w:rPr>
        <w:t>made</w:t>
      </w:r>
      <w:r>
        <w:rPr>
          <w:spacing w:val="-3"/>
          <w:sz w:val="24"/>
        </w:rPr>
        <w:t> </w:t>
      </w:r>
      <w:r>
        <w:rPr>
          <w:sz w:val="24"/>
        </w:rPr>
        <w:t>the</w:t>
      </w:r>
      <w:r>
        <w:rPr>
          <w:spacing w:val="-2"/>
          <w:sz w:val="24"/>
        </w:rPr>
        <w:t> request.</w:t>
      </w:r>
    </w:p>
    <w:p>
      <w:pPr>
        <w:pStyle w:val="ListParagraph"/>
        <w:numPr>
          <w:ilvl w:val="2"/>
          <w:numId w:val="344"/>
        </w:numPr>
        <w:tabs>
          <w:tab w:pos="1689" w:val="left" w:leader="none"/>
        </w:tabs>
        <w:spacing w:line="208" w:lineRule="auto" w:before="233" w:after="0"/>
        <w:ind w:left="1223" w:right="1489" w:firstLine="0"/>
        <w:jc w:val="left"/>
        <w:rPr>
          <w:sz w:val="24"/>
        </w:rPr>
      </w:pPr>
      <w:r>
        <w:rPr>
          <w:sz w:val="24"/>
        </w:rPr>
        <w:t>Whether</w:t>
      </w:r>
      <w:r>
        <w:rPr>
          <w:spacing w:val="-3"/>
          <w:sz w:val="24"/>
        </w:rPr>
        <w:t> </w:t>
      </w:r>
      <w:r>
        <w:rPr>
          <w:sz w:val="24"/>
        </w:rPr>
        <w:t>the</w:t>
      </w:r>
      <w:r>
        <w:rPr>
          <w:spacing w:val="-4"/>
          <w:sz w:val="24"/>
        </w:rPr>
        <w:t> </w:t>
      </w:r>
      <w:r>
        <w:rPr>
          <w:sz w:val="24"/>
        </w:rPr>
        <w:t>request</w:t>
      </w:r>
      <w:r>
        <w:rPr>
          <w:spacing w:val="-3"/>
          <w:sz w:val="24"/>
        </w:rPr>
        <w:t> </w:t>
      </w:r>
      <w:r>
        <w:rPr>
          <w:sz w:val="24"/>
        </w:rPr>
        <w:t>was</w:t>
      </w:r>
      <w:r>
        <w:rPr>
          <w:spacing w:val="-4"/>
          <w:sz w:val="24"/>
        </w:rPr>
        <w:t> </w:t>
      </w:r>
      <w:r>
        <w:rPr>
          <w:sz w:val="24"/>
        </w:rPr>
        <w:t>granted</w:t>
      </w:r>
      <w:r>
        <w:rPr>
          <w:spacing w:val="-4"/>
          <w:sz w:val="24"/>
        </w:rPr>
        <w:t> </w:t>
      </w:r>
      <w:r>
        <w:rPr>
          <w:sz w:val="24"/>
        </w:rPr>
        <w:t>and,</w:t>
      </w:r>
      <w:r>
        <w:rPr>
          <w:spacing w:val="-3"/>
          <w:sz w:val="24"/>
        </w:rPr>
        <w:t> </w:t>
      </w:r>
      <w:r>
        <w:rPr>
          <w:sz w:val="24"/>
        </w:rPr>
        <w:t>if</w:t>
      </w:r>
      <w:r>
        <w:rPr>
          <w:spacing w:val="-3"/>
          <w:sz w:val="24"/>
        </w:rPr>
        <w:t> </w:t>
      </w:r>
      <w:r>
        <w:rPr>
          <w:sz w:val="24"/>
        </w:rPr>
        <w:t>it</w:t>
      </w:r>
      <w:r>
        <w:rPr>
          <w:spacing w:val="-3"/>
          <w:sz w:val="24"/>
        </w:rPr>
        <w:t> </w:t>
      </w:r>
      <w:r>
        <w:rPr>
          <w:sz w:val="24"/>
        </w:rPr>
        <w:t>was,</w:t>
      </w:r>
      <w:r>
        <w:rPr>
          <w:spacing w:val="-5"/>
          <w:sz w:val="24"/>
        </w:rPr>
        <w:t> </w:t>
      </w:r>
      <w:r>
        <w:rPr>
          <w:sz w:val="24"/>
        </w:rPr>
        <w:t>the</w:t>
      </w:r>
      <w:r>
        <w:rPr>
          <w:spacing w:val="-5"/>
          <w:sz w:val="24"/>
        </w:rPr>
        <w:t> </w:t>
      </w:r>
      <w:r>
        <w:rPr>
          <w:sz w:val="24"/>
        </w:rPr>
        <w:t>date</w:t>
      </w:r>
      <w:r>
        <w:rPr>
          <w:spacing w:val="-4"/>
          <w:sz w:val="24"/>
        </w:rPr>
        <w:t> </w:t>
      </w:r>
      <w:r>
        <w:rPr>
          <w:sz w:val="24"/>
        </w:rPr>
        <w:t>access</w:t>
      </w:r>
      <w:r>
        <w:rPr>
          <w:spacing w:val="-4"/>
          <w:sz w:val="24"/>
        </w:rPr>
        <w:t> </w:t>
      </w:r>
      <w:r>
        <w:rPr>
          <w:sz w:val="24"/>
        </w:rPr>
        <w:t>was permitted or the disclosure was made.</w:t>
      </w:r>
    </w:p>
    <w:p>
      <w:pPr>
        <w:pStyle w:val="ListParagraph"/>
        <w:numPr>
          <w:ilvl w:val="1"/>
          <w:numId w:val="344"/>
        </w:numPr>
        <w:tabs>
          <w:tab w:pos="1217" w:val="left" w:leader="none"/>
        </w:tabs>
        <w:spacing w:line="208" w:lineRule="auto" w:before="240" w:after="0"/>
        <w:ind w:left="791" w:right="1623" w:firstLine="0"/>
        <w:jc w:val="left"/>
        <w:rPr>
          <w:sz w:val="24"/>
        </w:rPr>
      </w:pPr>
      <w:r>
        <w:rPr>
          <w:sz w:val="24"/>
        </w:rPr>
        <w:t>The</w:t>
      </w:r>
      <w:r>
        <w:rPr>
          <w:spacing w:val="-4"/>
          <w:sz w:val="24"/>
        </w:rPr>
        <w:t> </w:t>
      </w:r>
      <w:r>
        <w:rPr>
          <w:sz w:val="24"/>
        </w:rPr>
        <w:t>district</w:t>
      </w:r>
      <w:r>
        <w:rPr>
          <w:spacing w:val="-3"/>
          <w:sz w:val="24"/>
        </w:rPr>
        <w:t> </w:t>
      </w:r>
      <w:r>
        <w:rPr>
          <w:sz w:val="24"/>
        </w:rPr>
        <w:t>will</w:t>
      </w:r>
      <w:r>
        <w:rPr>
          <w:spacing w:val="-4"/>
          <w:sz w:val="24"/>
        </w:rPr>
        <w:t> </w:t>
      </w:r>
      <w:r>
        <w:rPr>
          <w:sz w:val="24"/>
        </w:rPr>
        <w:t>maintain</w:t>
      </w:r>
      <w:r>
        <w:rPr>
          <w:spacing w:val="-4"/>
          <w:sz w:val="24"/>
        </w:rPr>
        <w:t> </w:t>
      </w:r>
      <w:r>
        <w:rPr>
          <w:sz w:val="24"/>
        </w:rPr>
        <w:t>this</w:t>
      </w:r>
      <w:r>
        <w:rPr>
          <w:spacing w:val="-4"/>
          <w:sz w:val="24"/>
        </w:rPr>
        <w:t> </w:t>
      </w:r>
      <w:r>
        <w:rPr>
          <w:sz w:val="24"/>
        </w:rPr>
        <w:t>record</w:t>
      </w:r>
      <w:r>
        <w:rPr>
          <w:spacing w:val="-4"/>
          <w:sz w:val="24"/>
        </w:rPr>
        <w:t> </w:t>
      </w:r>
      <w:r>
        <w:rPr>
          <w:sz w:val="24"/>
        </w:rPr>
        <w:t>as</w:t>
      </w:r>
      <w:r>
        <w:rPr>
          <w:spacing w:val="-4"/>
          <w:sz w:val="24"/>
        </w:rPr>
        <w:t> </w:t>
      </w:r>
      <w:r>
        <w:rPr>
          <w:sz w:val="24"/>
        </w:rPr>
        <w:t>long</w:t>
      </w:r>
      <w:r>
        <w:rPr>
          <w:spacing w:val="-4"/>
          <w:sz w:val="24"/>
        </w:rPr>
        <w:t> </w:t>
      </w:r>
      <w:r>
        <w:rPr>
          <w:sz w:val="24"/>
        </w:rPr>
        <w:t>as</w:t>
      </w:r>
      <w:r>
        <w:rPr>
          <w:spacing w:val="-4"/>
          <w:sz w:val="24"/>
        </w:rPr>
        <w:t> </w:t>
      </w:r>
      <w:r>
        <w:rPr>
          <w:sz w:val="24"/>
        </w:rPr>
        <w:t>it</w:t>
      </w:r>
      <w:r>
        <w:rPr>
          <w:spacing w:val="-3"/>
          <w:sz w:val="24"/>
        </w:rPr>
        <w:t> </w:t>
      </w:r>
      <w:r>
        <w:rPr>
          <w:sz w:val="24"/>
        </w:rPr>
        <w:t>maintains</w:t>
      </w:r>
      <w:r>
        <w:rPr>
          <w:spacing w:val="-4"/>
          <w:sz w:val="24"/>
        </w:rPr>
        <w:t> </w:t>
      </w:r>
      <w:r>
        <w:rPr>
          <w:sz w:val="24"/>
        </w:rPr>
        <w:t>the</w:t>
      </w:r>
      <w:r>
        <w:rPr>
          <w:spacing w:val="-4"/>
          <w:sz w:val="24"/>
        </w:rPr>
        <w:t> </w:t>
      </w:r>
      <w:r>
        <w:rPr>
          <w:sz w:val="24"/>
        </w:rPr>
        <w:t>student's education record.</w:t>
      </w:r>
    </w:p>
    <w:p>
      <w:pPr>
        <w:pStyle w:val="ListParagraph"/>
        <w:numPr>
          <w:ilvl w:val="1"/>
          <w:numId w:val="344"/>
        </w:numPr>
        <w:tabs>
          <w:tab w:pos="1217" w:val="left" w:leader="none"/>
        </w:tabs>
        <w:spacing w:line="208" w:lineRule="auto" w:before="240" w:after="0"/>
        <w:ind w:left="791" w:right="773" w:firstLine="0"/>
        <w:jc w:val="left"/>
        <w:rPr>
          <w:sz w:val="24"/>
        </w:rPr>
      </w:pPr>
      <w:r>
        <w:rPr>
          <w:sz w:val="24"/>
        </w:rPr>
        <w:t>The record will not include requests for access or access granted to parents of the student or to an eligible student, request for access or access granted to officials of OSB or OSD who have a legitimate education interest in the student, requests for or disclosures of information contained in the student's education record if the request is accompanied by the prior written consent of a parent of the student or the eligible student or the disclosure is authorized by such prior consent, or</w:t>
      </w:r>
      <w:r>
        <w:rPr>
          <w:spacing w:val="-2"/>
          <w:sz w:val="24"/>
        </w:rPr>
        <w:t> </w:t>
      </w:r>
      <w:r>
        <w:rPr>
          <w:sz w:val="24"/>
        </w:rPr>
        <w:t>for</w:t>
      </w:r>
      <w:r>
        <w:rPr>
          <w:spacing w:val="-4"/>
          <w:sz w:val="24"/>
        </w:rPr>
        <w:t> </w:t>
      </w:r>
      <w:r>
        <w:rPr>
          <w:sz w:val="24"/>
        </w:rPr>
        <w:t>requests</w:t>
      </w:r>
      <w:r>
        <w:rPr>
          <w:spacing w:val="-3"/>
          <w:sz w:val="24"/>
        </w:rPr>
        <w:t> </w:t>
      </w:r>
      <w:r>
        <w:rPr>
          <w:sz w:val="24"/>
        </w:rPr>
        <w:t>for,</w:t>
      </w:r>
      <w:r>
        <w:rPr>
          <w:spacing w:val="-2"/>
          <w:sz w:val="24"/>
        </w:rPr>
        <w:t> </w:t>
      </w:r>
      <w:r>
        <w:rPr>
          <w:sz w:val="24"/>
        </w:rPr>
        <w:t>or</w:t>
      </w:r>
      <w:r>
        <w:rPr>
          <w:spacing w:val="-5"/>
          <w:sz w:val="24"/>
        </w:rPr>
        <w:t> </w:t>
      </w:r>
      <w:r>
        <w:rPr>
          <w:sz w:val="24"/>
        </w:rPr>
        <w:t>disclosure</w:t>
      </w:r>
      <w:r>
        <w:rPr>
          <w:spacing w:val="-3"/>
          <w:sz w:val="24"/>
        </w:rPr>
        <w:t> </w:t>
      </w:r>
      <w:r>
        <w:rPr>
          <w:sz w:val="24"/>
        </w:rPr>
        <w:t>of</w:t>
      </w:r>
      <w:r>
        <w:rPr>
          <w:spacing w:val="-2"/>
          <w:sz w:val="24"/>
        </w:rPr>
        <w:t> </w:t>
      </w:r>
      <w:r>
        <w:rPr>
          <w:sz w:val="24"/>
        </w:rPr>
        <w:t>directory</w:t>
      </w:r>
      <w:r>
        <w:rPr>
          <w:spacing w:val="-4"/>
          <w:sz w:val="24"/>
        </w:rPr>
        <w:t> </w:t>
      </w:r>
      <w:r>
        <w:rPr>
          <w:sz w:val="24"/>
        </w:rPr>
        <w:t>information</w:t>
      </w:r>
      <w:r>
        <w:rPr>
          <w:spacing w:val="-3"/>
          <w:sz w:val="24"/>
        </w:rPr>
        <w:t> </w:t>
      </w:r>
      <w:r>
        <w:rPr>
          <w:sz w:val="24"/>
        </w:rPr>
        <w:t>designated</w:t>
      </w:r>
      <w:r>
        <w:rPr>
          <w:spacing w:val="-3"/>
          <w:sz w:val="24"/>
        </w:rPr>
        <w:t> </w:t>
      </w:r>
      <w:r>
        <w:rPr>
          <w:sz w:val="24"/>
        </w:rPr>
        <w:t>for</w:t>
      </w:r>
      <w:r>
        <w:rPr>
          <w:spacing w:val="-2"/>
          <w:sz w:val="24"/>
        </w:rPr>
        <w:t> </w:t>
      </w:r>
      <w:r>
        <w:rPr>
          <w:sz w:val="24"/>
        </w:rPr>
        <w:t>that</w:t>
      </w:r>
      <w:r>
        <w:rPr>
          <w:spacing w:val="-5"/>
          <w:sz w:val="24"/>
        </w:rPr>
        <w:t> </w:t>
      </w:r>
      <w:r>
        <w:rPr>
          <w:sz w:val="24"/>
        </w:rPr>
        <w:t>student.</w:t>
      </w:r>
    </w:p>
    <w:p>
      <w:pPr>
        <w:pStyle w:val="ListParagraph"/>
        <w:numPr>
          <w:ilvl w:val="0"/>
          <w:numId w:val="344"/>
        </w:numPr>
        <w:tabs>
          <w:tab w:pos="785" w:val="left" w:leader="none"/>
        </w:tabs>
        <w:spacing w:line="208" w:lineRule="auto" w:before="239" w:after="0"/>
        <w:ind w:left="359" w:right="1127" w:firstLine="0"/>
        <w:jc w:val="left"/>
        <w:rPr>
          <w:sz w:val="24"/>
        </w:rPr>
      </w:pPr>
      <w:r>
        <w:rPr>
          <w:b/>
          <w:sz w:val="24"/>
        </w:rPr>
        <w:t>Procedure to inspect education records.</w:t>
      </w:r>
      <w:r>
        <w:rPr>
          <w:b/>
          <w:spacing w:val="40"/>
          <w:sz w:val="24"/>
        </w:rPr>
        <w:t> </w:t>
      </w:r>
      <w:r>
        <w:rPr>
          <w:sz w:val="24"/>
        </w:rPr>
        <w:t>Parents of students and eligible students may inspect and review the student's education records upon request.</w:t>
      </w:r>
      <w:r>
        <w:rPr>
          <w:spacing w:val="40"/>
          <w:sz w:val="24"/>
        </w:rPr>
        <w:t> </w:t>
      </w:r>
      <w:r>
        <w:rPr>
          <w:sz w:val="24"/>
        </w:rPr>
        <w:t>In some</w:t>
      </w:r>
      <w:r>
        <w:rPr>
          <w:spacing w:val="-4"/>
          <w:sz w:val="24"/>
        </w:rPr>
        <w:t> </w:t>
      </w:r>
      <w:r>
        <w:rPr>
          <w:sz w:val="24"/>
        </w:rPr>
        <w:t>circumstances,</w:t>
      </w:r>
      <w:r>
        <w:rPr>
          <w:spacing w:val="-3"/>
          <w:sz w:val="24"/>
        </w:rPr>
        <w:t> </w:t>
      </w:r>
      <w:r>
        <w:rPr>
          <w:sz w:val="24"/>
        </w:rPr>
        <w:t>it</w:t>
      </w:r>
      <w:r>
        <w:rPr>
          <w:spacing w:val="-3"/>
          <w:sz w:val="24"/>
        </w:rPr>
        <w:t> </w:t>
      </w:r>
      <w:r>
        <w:rPr>
          <w:sz w:val="24"/>
        </w:rPr>
        <w:t>may</w:t>
      </w:r>
      <w:r>
        <w:rPr>
          <w:spacing w:val="-4"/>
          <w:sz w:val="24"/>
        </w:rPr>
        <w:t> </w:t>
      </w:r>
      <w:r>
        <w:rPr>
          <w:sz w:val="24"/>
        </w:rPr>
        <w:t>be</w:t>
      </w:r>
      <w:r>
        <w:rPr>
          <w:spacing w:val="-5"/>
          <w:sz w:val="24"/>
        </w:rPr>
        <w:t> </w:t>
      </w:r>
      <w:r>
        <w:rPr>
          <w:sz w:val="24"/>
        </w:rPr>
        <w:t>mutually</w:t>
      </w:r>
      <w:r>
        <w:rPr>
          <w:spacing w:val="-4"/>
          <w:sz w:val="24"/>
        </w:rPr>
        <w:t> </w:t>
      </w:r>
      <w:r>
        <w:rPr>
          <w:sz w:val="24"/>
        </w:rPr>
        <w:t>more</w:t>
      </w:r>
      <w:r>
        <w:rPr>
          <w:spacing w:val="-4"/>
          <w:sz w:val="24"/>
        </w:rPr>
        <w:t> </w:t>
      </w:r>
      <w:r>
        <w:rPr>
          <w:sz w:val="24"/>
        </w:rPr>
        <w:t>convenient</w:t>
      </w:r>
      <w:r>
        <w:rPr>
          <w:spacing w:val="-3"/>
          <w:sz w:val="24"/>
        </w:rPr>
        <w:t> </w:t>
      </w:r>
      <w:r>
        <w:rPr>
          <w:sz w:val="24"/>
        </w:rPr>
        <w:t>for</w:t>
      </w:r>
      <w:r>
        <w:rPr>
          <w:spacing w:val="-5"/>
          <w:sz w:val="24"/>
        </w:rPr>
        <w:t> </w:t>
      </w:r>
      <w:r>
        <w:rPr>
          <w:sz w:val="24"/>
        </w:rPr>
        <w:t>the</w:t>
      </w:r>
      <w:r>
        <w:rPr>
          <w:spacing w:val="-5"/>
          <w:sz w:val="24"/>
        </w:rPr>
        <w:t> </w:t>
      </w:r>
      <w:r>
        <w:rPr>
          <w:sz w:val="24"/>
        </w:rPr>
        <w:t>record</w:t>
      </w:r>
      <w:r>
        <w:rPr>
          <w:spacing w:val="-4"/>
          <w:sz w:val="24"/>
        </w:rPr>
        <w:t> </w:t>
      </w:r>
      <w:r>
        <w:rPr>
          <w:sz w:val="24"/>
        </w:rPr>
        <w:t>custodian</w:t>
      </w:r>
      <w:r>
        <w:rPr>
          <w:spacing w:val="-4"/>
          <w:sz w:val="24"/>
        </w:rPr>
        <w:t> </w:t>
      </w:r>
      <w:r>
        <w:rPr>
          <w:sz w:val="24"/>
        </w:rPr>
        <w:t>to provide copies of records.</w:t>
      </w:r>
    </w:p>
    <w:p>
      <w:pPr>
        <w:pStyle w:val="ListParagraph"/>
        <w:numPr>
          <w:ilvl w:val="1"/>
          <w:numId w:val="344"/>
        </w:numPr>
        <w:tabs>
          <w:tab w:pos="1217" w:val="left" w:leader="none"/>
        </w:tabs>
        <w:spacing w:line="208" w:lineRule="auto" w:before="239" w:after="0"/>
        <w:ind w:left="791" w:right="719" w:firstLine="0"/>
        <w:jc w:val="left"/>
        <w:rPr>
          <w:sz w:val="24"/>
        </w:rPr>
      </w:pPr>
      <w:r>
        <w:rPr>
          <w:sz w:val="24"/>
        </w:rPr>
        <w:t>Since a student's records may be maintained in several locations at the school, the school superintendent will offer to collect copies of records or the records themselves from locations so they can be inspected at one site.</w:t>
      </w:r>
      <w:r>
        <w:rPr>
          <w:spacing w:val="80"/>
          <w:sz w:val="24"/>
        </w:rPr>
        <w:t> </w:t>
      </w:r>
      <w:r>
        <w:rPr>
          <w:sz w:val="24"/>
        </w:rPr>
        <w:t>However, if</w:t>
      </w:r>
      <w:r>
        <w:rPr>
          <w:spacing w:val="40"/>
          <w:sz w:val="24"/>
        </w:rPr>
        <w:t> </w:t>
      </w:r>
      <w:r>
        <w:rPr>
          <w:sz w:val="24"/>
        </w:rPr>
        <w:t>parents</w:t>
      </w:r>
      <w:r>
        <w:rPr>
          <w:spacing w:val="-4"/>
          <w:sz w:val="24"/>
        </w:rPr>
        <w:t> </w:t>
      </w:r>
      <w:r>
        <w:rPr>
          <w:sz w:val="24"/>
        </w:rPr>
        <w:t>and</w:t>
      </w:r>
      <w:r>
        <w:rPr>
          <w:spacing w:val="-4"/>
          <w:sz w:val="24"/>
        </w:rPr>
        <w:t> </w:t>
      </w:r>
      <w:r>
        <w:rPr>
          <w:sz w:val="24"/>
        </w:rPr>
        <w:t>eligible</w:t>
      </w:r>
      <w:r>
        <w:rPr>
          <w:spacing w:val="-4"/>
          <w:sz w:val="24"/>
        </w:rPr>
        <w:t> </w:t>
      </w:r>
      <w:r>
        <w:rPr>
          <w:sz w:val="24"/>
        </w:rPr>
        <w:t>students</w:t>
      </w:r>
      <w:r>
        <w:rPr>
          <w:spacing w:val="-4"/>
          <w:sz w:val="24"/>
        </w:rPr>
        <w:t> </w:t>
      </w:r>
      <w:r>
        <w:rPr>
          <w:sz w:val="24"/>
        </w:rPr>
        <w:t>wish</w:t>
      </w:r>
      <w:r>
        <w:rPr>
          <w:spacing w:val="-4"/>
          <w:sz w:val="24"/>
        </w:rPr>
        <w:t> </w:t>
      </w:r>
      <w:r>
        <w:rPr>
          <w:sz w:val="24"/>
        </w:rPr>
        <w:t>to</w:t>
      </w:r>
      <w:r>
        <w:rPr>
          <w:spacing w:val="-4"/>
          <w:sz w:val="24"/>
        </w:rPr>
        <w:t> </w:t>
      </w:r>
      <w:r>
        <w:rPr>
          <w:sz w:val="24"/>
        </w:rPr>
        <w:t>inspect</w:t>
      </w:r>
      <w:r>
        <w:rPr>
          <w:spacing w:val="-3"/>
          <w:sz w:val="24"/>
        </w:rPr>
        <w:t> </w:t>
      </w:r>
      <w:r>
        <w:rPr>
          <w:sz w:val="24"/>
        </w:rPr>
        <w:t>records</w:t>
      </w:r>
      <w:r>
        <w:rPr>
          <w:spacing w:val="-4"/>
          <w:sz w:val="24"/>
        </w:rPr>
        <w:t> </w:t>
      </w:r>
      <w:r>
        <w:rPr>
          <w:sz w:val="24"/>
        </w:rPr>
        <w:t>where</w:t>
      </w:r>
      <w:r>
        <w:rPr>
          <w:spacing w:val="-4"/>
          <w:sz w:val="24"/>
        </w:rPr>
        <w:t> </w:t>
      </w:r>
      <w:r>
        <w:rPr>
          <w:sz w:val="24"/>
        </w:rPr>
        <w:t>they</w:t>
      </w:r>
      <w:r>
        <w:rPr>
          <w:spacing w:val="-4"/>
          <w:sz w:val="24"/>
        </w:rPr>
        <w:t> </w:t>
      </w:r>
      <w:r>
        <w:rPr>
          <w:sz w:val="24"/>
        </w:rPr>
        <w:t>are</w:t>
      </w:r>
      <w:r>
        <w:rPr>
          <w:spacing w:val="-4"/>
          <w:sz w:val="24"/>
        </w:rPr>
        <w:t> </w:t>
      </w:r>
      <w:r>
        <w:rPr>
          <w:sz w:val="24"/>
        </w:rPr>
        <w:t>maintained,</w:t>
      </w:r>
      <w:r>
        <w:rPr>
          <w:spacing w:val="-3"/>
          <w:sz w:val="24"/>
        </w:rPr>
        <w:t> </w:t>
      </w:r>
      <w:r>
        <w:rPr>
          <w:sz w:val="24"/>
        </w:rPr>
        <w:t>the school superintendent will make every effort to accommodate their wishes.</w:t>
      </w:r>
    </w:p>
    <w:p>
      <w:pPr>
        <w:pStyle w:val="ListParagraph"/>
        <w:numPr>
          <w:ilvl w:val="1"/>
          <w:numId w:val="344"/>
        </w:numPr>
        <w:tabs>
          <w:tab w:pos="1217" w:val="left" w:leader="none"/>
        </w:tabs>
        <w:spacing w:line="208" w:lineRule="auto" w:before="240" w:after="0"/>
        <w:ind w:left="791" w:right="720" w:firstLine="0"/>
        <w:jc w:val="left"/>
        <w:rPr>
          <w:sz w:val="24"/>
        </w:rPr>
      </w:pPr>
      <w:r>
        <w:rPr>
          <w:sz w:val="24"/>
        </w:rPr>
        <w:t>Parents</w:t>
      </w:r>
      <w:r>
        <w:rPr>
          <w:spacing w:val="-4"/>
          <w:sz w:val="24"/>
        </w:rPr>
        <w:t> </w:t>
      </w:r>
      <w:r>
        <w:rPr>
          <w:sz w:val="24"/>
        </w:rPr>
        <w:t>or</w:t>
      </w:r>
      <w:r>
        <w:rPr>
          <w:spacing w:val="-3"/>
          <w:sz w:val="24"/>
        </w:rPr>
        <w:t> </w:t>
      </w:r>
      <w:r>
        <w:rPr>
          <w:sz w:val="24"/>
        </w:rPr>
        <w:t>eligible</w:t>
      </w:r>
      <w:r>
        <w:rPr>
          <w:spacing w:val="-3"/>
          <w:sz w:val="24"/>
        </w:rPr>
        <w:t> </w:t>
      </w:r>
      <w:r>
        <w:rPr>
          <w:sz w:val="24"/>
        </w:rPr>
        <w:t>students</w:t>
      </w:r>
      <w:r>
        <w:rPr>
          <w:spacing w:val="-4"/>
          <w:sz w:val="24"/>
        </w:rPr>
        <w:t> </w:t>
      </w:r>
      <w:r>
        <w:rPr>
          <w:sz w:val="24"/>
        </w:rPr>
        <w:t>should</w:t>
      </w:r>
      <w:r>
        <w:rPr>
          <w:spacing w:val="-4"/>
          <w:sz w:val="24"/>
        </w:rPr>
        <w:t> </w:t>
      </w:r>
      <w:r>
        <w:rPr>
          <w:sz w:val="24"/>
        </w:rPr>
        <w:t>submit</w:t>
      </w:r>
      <w:r>
        <w:rPr>
          <w:spacing w:val="-3"/>
          <w:sz w:val="24"/>
        </w:rPr>
        <w:t> </w:t>
      </w:r>
      <w:r>
        <w:rPr>
          <w:sz w:val="24"/>
        </w:rPr>
        <w:t>to</w:t>
      </w:r>
      <w:r>
        <w:rPr>
          <w:spacing w:val="-5"/>
          <w:sz w:val="24"/>
        </w:rPr>
        <w:t> </w:t>
      </w:r>
      <w:r>
        <w:rPr>
          <w:sz w:val="24"/>
        </w:rPr>
        <w:t>the</w:t>
      </w:r>
      <w:r>
        <w:rPr>
          <w:spacing w:val="-4"/>
          <w:sz w:val="24"/>
        </w:rPr>
        <w:t> </w:t>
      </w:r>
      <w:r>
        <w:rPr>
          <w:sz w:val="24"/>
        </w:rPr>
        <w:t>school</w:t>
      </w:r>
      <w:r>
        <w:rPr>
          <w:spacing w:val="-4"/>
          <w:sz w:val="24"/>
        </w:rPr>
        <w:t> </w:t>
      </w:r>
      <w:r>
        <w:rPr>
          <w:sz w:val="24"/>
        </w:rPr>
        <w:t>superintendent</w:t>
      </w:r>
      <w:r>
        <w:rPr>
          <w:spacing w:val="-3"/>
          <w:sz w:val="24"/>
        </w:rPr>
        <w:t> </w:t>
      </w:r>
      <w:r>
        <w:rPr>
          <w:sz w:val="24"/>
        </w:rPr>
        <w:t>a</w:t>
      </w:r>
      <w:r>
        <w:rPr>
          <w:spacing w:val="-4"/>
          <w:sz w:val="24"/>
        </w:rPr>
        <w:t> </w:t>
      </w:r>
      <w:r>
        <w:rPr>
          <w:sz w:val="24"/>
        </w:rPr>
        <w:t>written request which identifies as precisely as possible the record or records he or she wishes to inspect.</w:t>
      </w:r>
    </w:p>
    <w:p>
      <w:pPr>
        <w:pStyle w:val="ListParagraph"/>
        <w:numPr>
          <w:ilvl w:val="1"/>
          <w:numId w:val="344"/>
        </w:numPr>
        <w:tabs>
          <w:tab w:pos="1217" w:val="left" w:leader="none"/>
        </w:tabs>
        <w:spacing w:line="208" w:lineRule="auto" w:before="240" w:after="0"/>
        <w:ind w:left="791" w:right="879" w:firstLine="0"/>
        <w:jc w:val="both"/>
        <w:rPr>
          <w:sz w:val="24"/>
        </w:rPr>
      </w:pPr>
      <w:r>
        <w:rPr>
          <w:sz w:val="24"/>
        </w:rPr>
        <w:t>The superintendent, assistant superintendent, (or other records custodian) will contact the parent of the student or the eligible student to discuss how access will be</w:t>
      </w:r>
      <w:r>
        <w:rPr>
          <w:spacing w:val="-3"/>
          <w:sz w:val="24"/>
        </w:rPr>
        <w:t> </w:t>
      </w:r>
      <w:r>
        <w:rPr>
          <w:sz w:val="24"/>
        </w:rPr>
        <w:t>best</w:t>
      </w:r>
      <w:r>
        <w:rPr>
          <w:spacing w:val="-2"/>
          <w:sz w:val="24"/>
        </w:rPr>
        <w:t> </w:t>
      </w:r>
      <w:r>
        <w:rPr>
          <w:sz w:val="24"/>
        </w:rPr>
        <w:t>arranged</w:t>
      </w:r>
      <w:r>
        <w:rPr>
          <w:spacing w:val="-2"/>
          <w:sz w:val="24"/>
        </w:rPr>
        <w:t> </w:t>
      </w:r>
      <w:r>
        <w:rPr>
          <w:sz w:val="24"/>
        </w:rPr>
        <w:t>(copies,</w:t>
      </w:r>
      <w:r>
        <w:rPr>
          <w:spacing w:val="-2"/>
          <w:sz w:val="24"/>
        </w:rPr>
        <w:t> </w:t>
      </w:r>
      <w:r>
        <w:rPr>
          <w:sz w:val="24"/>
        </w:rPr>
        <w:t>at</w:t>
      </w:r>
      <w:r>
        <w:rPr>
          <w:spacing w:val="-1"/>
          <w:sz w:val="24"/>
        </w:rPr>
        <w:t> </w:t>
      </w:r>
      <w:r>
        <w:rPr>
          <w:sz w:val="24"/>
        </w:rPr>
        <w:t>the</w:t>
      </w:r>
      <w:r>
        <w:rPr>
          <w:spacing w:val="-4"/>
          <w:sz w:val="24"/>
        </w:rPr>
        <w:t> </w:t>
      </w:r>
      <w:r>
        <w:rPr>
          <w:sz w:val="24"/>
        </w:rPr>
        <w:t>exact</w:t>
      </w:r>
      <w:r>
        <w:rPr>
          <w:spacing w:val="-1"/>
          <w:sz w:val="24"/>
        </w:rPr>
        <w:t> </w:t>
      </w:r>
      <w:r>
        <w:rPr>
          <w:sz w:val="24"/>
        </w:rPr>
        <w:t>location,</w:t>
      </w:r>
      <w:r>
        <w:rPr>
          <w:spacing w:val="-2"/>
          <w:sz w:val="24"/>
        </w:rPr>
        <w:t> </w:t>
      </w:r>
      <w:r>
        <w:rPr>
          <w:sz w:val="24"/>
        </w:rPr>
        <w:t>or</w:t>
      </w:r>
      <w:r>
        <w:rPr>
          <w:spacing w:val="-2"/>
          <w:sz w:val="24"/>
        </w:rPr>
        <w:t> </w:t>
      </w:r>
      <w:r>
        <w:rPr>
          <w:sz w:val="24"/>
        </w:rPr>
        <w:t>records</w:t>
      </w:r>
      <w:r>
        <w:rPr>
          <w:spacing w:val="-2"/>
          <w:sz w:val="24"/>
        </w:rPr>
        <w:t> </w:t>
      </w:r>
      <w:r>
        <w:rPr>
          <w:sz w:val="24"/>
        </w:rPr>
        <w:t>brought</w:t>
      </w:r>
      <w:r>
        <w:rPr>
          <w:spacing w:val="-2"/>
          <w:sz w:val="24"/>
        </w:rPr>
        <w:t> </w:t>
      </w:r>
      <w:r>
        <w:rPr>
          <w:sz w:val="24"/>
        </w:rPr>
        <w:t>to</w:t>
      </w:r>
      <w:r>
        <w:rPr>
          <w:spacing w:val="-2"/>
          <w:sz w:val="24"/>
        </w:rPr>
        <w:t> </w:t>
      </w:r>
      <w:r>
        <w:rPr>
          <w:sz w:val="24"/>
        </w:rPr>
        <w:t>a</w:t>
      </w:r>
      <w:r>
        <w:rPr>
          <w:spacing w:val="-3"/>
          <w:sz w:val="24"/>
        </w:rPr>
        <w:t> </w:t>
      </w:r>
      <w:r>
        <w:rPr>
          <w:sz w:val="24"/>
        </w:rPr>
        <w:t>single</w:t>
      </w:r>
      <w:r>
        <w:rPr>
          <w:spacing w:val="-2"/>
          <w:sz w:val="24"/>
        </w:rPr>
        <w:t> site).</w:t>
      </w:r>
    </w:p>
    <w:p>
      <w:pPr>
        <w:pStyle w:val="ListParagraph"/>
        <w:numPr>
          <w:ilvl w:val="1"/>
          <w:numId w:val="344"/>
        </w:numPr>
        <w:tabs>
          <w:tab w:pos="1218" w:val="left" w:leader="none"/>
        </w:tabs>
        <w:spacing w:line="208" w:lineRule="auto" w:before="239" w:after="0"/>
        <w:ind w:left="792" w:right="746" w:firstLine="0"/>
        <w:jc w:val="left"/>
        <w:rPr>
          <w:sz w:val="24"/>
        </w:rPr>
      </w:pPr>
      <w:r>
        <w:rPr>
          <w:sz w:val="24"/>
        </w:rPr>
        <w:t>The</w:t>
      </w:r>
      <w:r>
        <w:rPr>
          <w:spacing w:val="-5"/>
          <w:sz w:val="24"/>
        </w:rPr>
        <w:t> </w:t>
      </w:r>
      <w:r>
        <w:rPr>
          <w:sz w:val="24"/>
        </w:rPr>
        <w:t>superintendent,</w:t>
      </w:r>
      <w:r>
        <w:rPr>
          <w:spacing w:val="-4"/>
          <w:sz w:val="24"/>
        </w:rPr>
        <w:t> </w:t>
      </w:r>
      <w:r>
        <w:rPr>
          <w:sz w:val="24"/>
        </w:rPr>
        <w:t>assistant</w:t>
      </w:r>
      <w:r>
        <w:rPr>
          <w:spacing w:val="-4"/>
          <w:sz w:val="24"/>
        </w:rPr>
        <w:t> </w:t>
      </w:r>
      <w:r>
        <w:rPr>
          <w:sz w:val="24"/>
        </w:rPr>
        <w:t>superintendent,</w:t>
      </w:r>
      <w:r>
        <w:rPr>
          <w:spacing w:val="-4"/>
          <w:sz w:val="24"/>
        </w:rPr>
        <w:t> </w:t>
      </w:r>
      <w:r>
        <w:rPr>
          <w:sz w:val="24"/>
        </w:rPr>
        <w:t>(or</w:t>
      </w:r>
      <w:r>
        <w:rPr>
          <w:spacing w:val="-4"/>
          <w:sz w:val="24"/>
        </w:rPr>
        <w:t> </w:t>
      </w:r>
      <w:r>
        <w:rPr>
          <w:sz w:val="24"/>
        </w:rPr>
        <w:t>other</w:t>
      </w:r>
      <w:r>
        <w:rPr>
          <w:spacing w:val="-4"/>
          <w:sz w:val="24"/>
        </w:rPr>
        <w:t> </w:t>
      </w:r>
      <w:r>
        <w:rPr>
          <w:sz w:val="24"/>
        </w:rPr>
        <w:t>custodian)</w:t>
      </w:r>
      <w:r>
        <w:rPr>
          <w:spacing w:val="-4"/>
          <w:sz w:val="24"/>
        </w:rPr>
        <w:t> </w:t>
      </w:r>
      <w:r>
        <w:rPr>
          <w:sz w:val="24"/>
        </w:rPr>
        <w:t>will</w:t>
      </w:r>
      <w:r>
        <w:rPr>
          <w:spacing w:val="-5"/>
          <w:sz w:val="24"/>
        </w:rPr>
        <w:t> </w:t>
      </w:r>
      <w:r>
        <w:rPr>
          <w:sz w:val="24"/>
        </w:rPr>
        <w:t>make</w:t>
      </w:r>
      <w:r>
        <w:rPr>
          <w:spacing w:val="-5"/>
          <w:sz w:val="24"/>
        </w:rPr>
        <w:t> </w:t>
      </w:r>
      <w:r>
        <w:rPr>
          <w:sz w:val="24"/>
        </w:rPr>
        <w:t>the needed arrangements as promptly as possible and notify the parent or eligible student of the time and place where the records may be inspected.</w:t>
      </w:r>
      <w:r>
        <w:rPr>
          <w:spacing w:val="40"/>
          <w:sz w:val="24"/>
        </w:rPr>
        <w:t> </w:t>
      </w:r>
      <w:r>
        <w:rPr>
          <w:sz w:val="24"/>
        </w:rPr>
        <w:t>This procedure must be completed in 45 days or less from the receipt of the request for access.</w:t>
      </w:r>
    </w:p>
    <w:p>
      <w:pPr>
        <w:pStyle w:val="ListParagraph"/>
        <w:numPr>
          <w:ilvl w:val="1"/>
          <w:numId w:val="344"/>
        </w:numPr>
        <w:tabs>
          <w:tab w:pos="1217" w:val="left" w:leader="none"/>
        </w:tabs>
        <w:spacing w:line="208" w:lineRule="auto" w:before="240" w:after="0"/>
        <w:ind w:left="792" w:right="775" w:firstLine="0"/>
        <w:jc w:val="left"/>
        <w:rPr>
          <w:sz w:val="24"/>
        </w:rPr>
      </w:pPr>
      <w:r>
        <w:rPr>
          <w:sz w:val="24"/>
        </w:rPr>
        <w:t>If</w:t>
      </w:r>
      <w:r>
        <w:rPr>
          <w:spacing w:val="-4"/>
          <w:sz w:val="24"/>
        </w:rPr>
        <w:t> </w:t>
      </w:r>
      <w:r>
        <w:rPr>
          <w:sz w:val="24"/>
        </w:rPr>
        <w:t>for</w:t>
      </w:r>
      <w:r>
        <w:rPr>
          <w:spacing w:val="-4"/>
          <w:sz w:val="24"/>
        </w:rPr>
        <w:t> </w:t>
      </w:r>
      <w:r>
        <w:rPr>
          <w:sz w:val="24"/>
        </w:rPr>
        <w:t>any</w:t>
      </w:r>
      <w:r>
        <w:rPr>
          <w:spacing w:val="-3"/>
          <w:sz w:val="24"/>
        </w:rPr>
        <w:t> </w:t>
      </w:r>
      <w:r>
        <w:rPr>
          <w:sz w:val="24"/>
        </w:rPr>
        <w:t>valid</w:t>
      </w:r>
      <w:r>
        <w:rPr>
          <w:spacing w:val="-3"/>
          <w:sz w:val="24"/>
        </w:rPr>
        <w:t> </w:t>
      </w:r>
      <w:r>
        <w:rPr>
          <w:sz w:val="24"/>
        </w:rPr>
        <w:t>reason</w:t>
      </w:r>
      <w:r>
        <w:rPr>
          <w:spacing w:val="-3"/>
          <w:sz w:val="24"/>
        </w:rPr>
        <w:t> </w:t>
      </w:r>
      <w:r>
        <w:rPr>
          <w:sz w:val="24"/>
        </w:rPr>
        <w:t>as</w:t>
      </w:r>
      <w:r>
        <w:rPr>
          <w:spacing w:val="-3"/>
          <w:sz w:val="24"/>
        </w:rPr>
        <w:t> </w:t>
      </w:r>
      <w:r>
        <w:rPr>
          <w:sz w:val="24"/>
        </w:rPr>
        <w:t>working</w:t>
      </w:r>
      <w:r>
        <w:rPr>
          <w:spacing w:val="-3"/>
          <w:sz w:val="24"/>
        </w:rPr>
        <w:t> </w:t>
      </w:r>
      <w:r>
        <w:rPr>
          <w:sz w:val="24"/>
        </w:rPr>
        <w:t>hours,</w:t>
      </w:r>
      <w:r>
        <w:rPr>
          <w:spacing w:val="-3"/>
          <w:sz w:val="24"/>
        </w:rPr>
        <w:t> </w:t>
      </w:r>
      <w:r>
        <w:rPr>
          <w:sz w:val="24"/>
        </w:rPr>
        <w:t>distance</w:t>
      </w:r>
      <w:r>
        <w:rPr>
          <w:spacing w:val="-3"/>
          <w:sz w:val="24"/>
        </w:rPr>
        <w:t> </w:t>
      </w:r>
      <w:r>
        <w:rPr>
          <w:sz w:val="24"/>
        </w:rPr>
        <w:t>between</w:t>
      </w:r>
      <w:r>
        <w:rPr>
          <w:spacing w:val="-3"/>
          <w:sz w:val="24"/>
        </w:rPr>
        <w:t> </w:t>
      </w:r>
      <w:r>
        <w:rPr>
          <w:sz w:val="24"/>
        </w:rPr>
        <w:t>record</w:t>
      </w:r>
      <w:r>
        <w:rPr>
          <w:spacing w:val="-3"/>
          <w:sz w:val="24"/>
        </w:rPr>
        <w:t> </w:t>
      </w:r>
      <w:r>
        <w:rPr>
          <w:sz w:val="24"/>
        </w:rPr>
        <w:t>location</w:t>
      </w:r>
      <w:r>
        <w:rPr>
          <w:spacing w:val="-3"/>
          <w:sz w:val="24"/>
        </w:rPr>
        <w:t> </w:t>
      </w:r>
      <w:r>
        <w:rPr>
          <w:sz w:val="24"/>
        </w:rPr>
        <w:t>sites, or health, a parent or eligible student cannot personally inspect and review a student's education record, the school will arrange for the parent or eligible student to obtain copies of the record.</w:t>
      </w:r>
      <w:r>
        <w:rPr>
          <w:spacing w:val="40"/>
          <w:sz w:val="24"/>
        </w:rPr>
        <w:t> </w:t>
      </w:r>
      <w:r>
        <w:rPr>
          <w:sz w:val="24"/>
        </w:rPr>
        <w:t>There may be a nominal fee for copies (up to ten cents per page) plus postage if required.</w:t>
      </w:r>
      <w:r>
        <w:rPr>
          <w:spacing w:val="40"/>
          <w:sz w:val="24"/>
        </w:rPr>
        <w:t> </w:t>
      </w:r>
      <w:r>
        <w:rPr>
          <w:sz w:val="24"/>
        </w:rPr>
        <w:t>Notification will be given of any fees prior to copying.</w:t>
      </w:r>
    </w:p>
    <w:p>
      <w:pPr>
        <w:pStyle w:val="ListParagraph"/>
        <w:numPr>
          <w:ilvl w:val="1"/>
          <w:numId w:val="344"/>
        </w:numPr>
        <w:tabs>
          <w:tab w:pos="1217" w:val="left" w:leader="none"/>
        </w:tabs>
        <w:spacing w:line="208" w:lineRule="auto" w:before="239" w:after="0"/>
        <w:ind w:left="792" w:right="827" w:firstLine="0"/>
        <w:jc w:val="left"/>
        <w:rPr>
          <w:sz w:val="24"/>
        </w:rPr>
      </w:pPr>
      <w:r>
        <w:rPr>
          <w:sz w:val="24"/>
        </w:rPr>
        <w:t>When a record contains information about students other than a parent's child or</w:t>
      </w:r>
      <w:r>
        <w:rPr>
          <w:spacing w:val="-3"/>
          <w:sz w:val="24"/>
        </w:rPr>
        <w:t> </w:t>
      </w:r>
      <w:r>
        <w:rPr>
          <w:sz w:val="24"/>
        </w:rPr>
        <w:t>the</w:t>
      </w:r>
      <w:r>
        <w:rPr>
          <w:spacing w:val="-4"/>
          <w:sz w:val="24"/>
        </w:rPr>
        <w:t> </w:t>
      </w:r>
      <w:r>
        <w:rPr>
          <w:sz w:val="24"/>
        </w:rPr>
        <w:t>eligible</w:t>
      </w:r>
      <w:r>
        <w:rPr>
          <w:spacing w:val="-4"/>
          <w:sz w:val="24"/>
        </w:rPr>
        <w:t> </w:t>
      </w:r>
      <w:r>
        <w:rPr>
          <w:sz w:val="24"/>
        </w:rPr>
        <w:t>student,</w:t>
      </w:r>
      <w:r>
        <w:rPr>
          <w:spacing w:val="-3"/>
          <w:sz w:val="24"/>
        </w:rPr>
        <w:t> </w:t>
      </w:r>
      <w:r>
        <w:rPr>
          <w:sz w:val="24"/>
        </w:rPr>
        <w:t>the</w:t>
      </w:r>
      <w:r>
        <w:rPr>
          <w:spacing w:val="-4"/>
          <w:sz w:val="24"/>
        </w:rPr>
        <w:t> </w:t>
      </w:r>
      <w:r>
        <w:rPr>
          <w:sz w:val="24"/>
        </w:rPr>
        <w:t>parent</w:t>
      </w:r>
      <w:r>
        <w:rPr>
          <w:spacing w:val="-4"/>
          <w:sz w:val="24"/>
        </w:rPr>
        <w:t> </w:t>
      </w:r>
      <w:r>
        <w:rPr>
          <w:sz w:val="24"/>
        </w:rPr>
        <w:t>or</w:t>
      </w:r>
      <w:r>
        <w:rPr>
          <w:spacing w:val="-3"/>
          <w:sz w:val="24"/>
        </w:rPr>
        <w:t> </w:t>
      </w:r>
      <w:r>
        <w:rPr>
          <w:sz w:val="24"/>
        </w:rPr>
        <w:t>eligible</w:t>
      </w:r>
      <w:r>
        <w:rPr>
          <w:spacing w:val="-4"/>
          <w:sz w:val="24"/>
        </w:rPr>
        <w:t> </w:t>
      </w:r>
      <w:r>
        <w:rPr>
          <w:sz w:val="24"/>
        </w:rPr>
        <w:t>student</w:t>
      </w:r>
      <w:r>
        <w:rPr>
          <w:spacing w:val="-3"/>
          <w:sz w:val="24"/>
        </w:rPr>
        <w:t> </w:t>
      </w:r>
      <w:r>
        <w:rPr>
          <w:sz w:val="24"/>
        </w:rPr>
        <w:t>may</w:t>
      </w:r>
      <w:r>
        <w:rPr>
          <w:spacing w:val="-4"/>
          <w:sz w:val="24"/>
        </w:rPr>
        <w:t> </w:t>
      </w:r>
      <w:r>
        <w:rPr>
          <w:sz w:val="24"/>
        </w:rPr>
        <w:t>not</w:t>
      </w:r>
      <w:r>
        <w:rPr>
          <w:spacing w:val="-3"/>
          <w:sz w:val="24"/>
        </w:rPr>
        <w:t> </w:t>
      </w:r>
      <w:r>
        <w:rPr>
          <w:sz w:val="24"/>
        </w:rPr>
        <w:t>inspect</w:t>
      </w:r>
      <w:r>
        <w:rPr>
          <w:spacing w:val="-3"/>
          <w:sz w:val="24"/>
        </w:rPr>
        <w:t> </w:t>
      </w:r>
      <w:r>
        <w:rPr>
          <w:sz w:val="24"/>
        </w:rPr>
        <w:t>and</w:t>
      </w:r>
      <w:r>
        <w:rPr>
          <w:spacing w:val="-4"/>
          <w:sz w:val="24"/>
        </w:rPr>
        <w:t> </w:t>
      </w:r>
      <w:r>
        <w:rPr>
          <w:sz w:val="24"/>
        </w:rPr>
        <w:t>review</w:t>
      </w:r>
      <w:r>
        <w:rPr>
          <w:spacing w:val="-4"/>
          <w:sz w:val="24"/>
        </w:rPr>
        <w:t> </w:t>
      </w:r>
      <w:r>
        <w:rPr>
          <w:sz w:val="24"/>
        </w:rPr>
        <w:t>the records of the other students.</w:t>
      </w:r>
    </w:p>
    <w:p>
      <w:pPr>
        <w:pStyle w:val="ListParagraph"/>
        <w:spacing w:after="0" w:line="208" w:lineRule="auto"/>
        <w:jc w:val="left"/>
        <w:rPr>
          <w:sz w:val="24"/>
        </w:rPr>
        <w:sectPr>
          <w:pgSz w:w="12240" w:h="15840"/>
          <w:pgMar w:top="1340" w:bottom="280" w:left="1080" w:right="720"/>
        </w:sectPr>
      </w:pPr>
    </w:p>
    <w:p>
      <w:pPr>
        <w:pStyle w:val="ListParagraph"/>
        <w:numPr>
          <w:ilvl w:val="0"/>
          <w:numId w:val="344"/>
        </w:numPr>
        <w:tabs>
          <w:tab w:pos="786" w:val="left" w:leader="none"/>
        </w:tabs>
        <w:spacing w:line="240" w:lineRule="auto" w:before="67" w:after="0"/>
        <w:ind w:left="786" w:right="0" w:hanging="426"/>
        <w:jc w:val="left"/>
        <w:rPr>
          <w:sz w:val="24"/>
        </w:rPr>
      </w:pPr>
      <w:r>
        <w:rPr>
          <w:b/>
          <w:sz w:val="24"/>
        </w:rPr>
        <w:t>Locations</w:t>
      </w:r>
      <w:r>
        <w:rPr>
          <w:b/>
          <w:spacing w:val="-4"/>
          <w:sz w:val="24"/>
        </w:rPr>
        <w:t> </w:t>
      </w:r>
      <w:r>
        <w:rPr>
          <w:b/>
          <w:sz w:val="24"/>
        </w:rPr>
        <w:t>of</w:t>
      </w:r>
      <w:r>
        <w:rPr>
          <w:b/>
          <w:spacing w:val="-4"/>
          <w:sz w:val="24"/>
        </w:rPr>
        <w:t> </w:t>
      </w:r>
      <w:r>
        <w:rPr>
          <w:b/>
          <w:sz w:val="24"/>
        </w:rPr>
        <w:t>education</w:t>
      </w:r>
      <w:r>
        <w:rPr>
          <w:b/>
          <w:spacing w:val="-3"/>
          <w:sz w:val="24"/>
        </w:rPr>
        <w:t> </w:t>
      </w:r>
      <w:r>
        <w:rPr>
          <w:b/>
          <w:sz w:val="24"/>
        </w:rPr>
        <w:t>records.</w:t>
      </w:r>
      <w:r>
        <w:rPr>
          <w:b/>
          <w:spacing w:val="59"/>
          <w:sz w:val="24"/>
        </w:rPr>
        <w:t> </w:t>
      </w:r>
      <w:r>
        <w:rPr>
          <w:sz w:val="24"/>
        </w:rPr>
        <w:t>Records,</w:t>
      </w:r>
      <w:r>
        <w:rPr>
          <w:spacing w:val="-4"/>
          <w:sz w:val="24"/>
        </w:rPr>
        <w:t> </w:t>
      </w:r>
      <w:r>
        <w:rPr>
          <w:sz w:val="24"/>
        </w:rPr>
        <w:t>their</w:t>
      </w:r>
      <w:r>
        <w:rPr>
          <w:spacing w:val="-3"/>
          <w:sz w:val="24"/>
        </w:rPr>
        <w:t> </w:t>
      </w:r>
      <w:r>
        <w:rPr>
          <w:sz w:val="24"/>
        </w:rPr>
        <w:t>locations</w:t>
      </w:r>
      <w:r>
        <w:rPr>
          <w:spacing w:val="-4"/>
          <w:sz w:val="24"/>
        </w:rPr>
        <w:t> </w:t>
      </w:r>
      <w:r>
        <w:rPr>
          <w:sz w:val="24"/>
        </w:rPr>
        <w:t>and</w:t>
      </w:r>
      <w:r>
        <w:rPr>
          <w:spacing w:val="-4"/>
          <w:sz w:val="24"/>
        </w:rPr>
        <w:t> </w:t>
      </w:r>
      <w:r>
        <w:rPr>
          <w:sz w:val="24"/>
        </w:rPr>
        <w:t>custodians</w:t>
      </w:r>
      <w:r>
        <w:rPr>
          <w:spacing w:val="-3"/>
          <w:sz w:val="24"/>
        </w:rPr>
        <w:t> </w:t>
      </w:r>
      <w:r>
        <w:rPr>
          <w:spacing w:val="-4"/>
          <w:sz w:val="24"/>
        </w:rPr>
        <w:t>are:</w:t>
      </w:r>
    </w:p>
    <w:p>
      <w:pPr>
        <w:pStyle w:val="ListParagraph"/>
        <w:numPr>
          <w:ilvl w:val="1"/>
          <w:numId w:val="344"/>
        </w:numPr>
        <w:tabs>
          <w:tab w:pos="1218" w:val="left" w:leader="none"/>
        </w:tabs>
        <w:spacing w:line="208" w:lineRule="auto" w:before="233" w:after="0"/>
        <w:ind w:left="792" w:right="840" w:firstLine="0"/>
        <w:jc w:val="left"/>
        <w:rPr>
          <w:sz w:val="24"/>
        </w:rPr>
      </w:pPr>
      <w:r>
        <w:rPr>
          <w:b/>
          <w:sz w:val="24"/>
        </w:rPr>
        <w:t>Parkview School. </w:t>
      </w:r>
      <w:r>
        <w:rPr>
          <w:sz w:val="24"/>
        </w:rPr>
        <w:t>Cumulative school records for current students, including health and special test records, will be maintained by the School Principal in the School Principal's office. Cumulative school records for former students will be maintained by the School Superintendent in the Superintendent's office. Speech therapy</w:t>
      </w:r>
      <w:r>
        <w:rPr>
          <w:spacing w:val="-3"/>
          <w:sz w:val="24"/>
        </w:rPr>
        <w:t> </w:t>
      </w:r>
      <w:r>
        <w:rPr>
          <w:sz w:val="24"/>
        </w:rPr>
        <w:t>records</w:t>
      </w:r>
      <w:r>
        <w:rPr>
          <w:spacing w:val="-3"/>
          <w:sz w:val="24"/>
        </w:rPr>
        <w:t> </w:t>
      </w:r>
      <w:r>
        <w:rPr>
          <w:sz w:val="24"/>
        </w:rPr>
        <w:t>will</w:t>
      </w:r>
      <w:r>
        <w:rPr>
          <w:spacing w:val="-3"/>
          <w:sz w:val="24"/>
        </w:rPr>
        <w:t> </w:t>
      </w:r>
      <w:r>
        <w:rPr>
          <w:sz w:val="24"/>
        </w:rPr>
        <w:t>be</w:t>
      </w:r>
      <w:r>
        <w:rPr>
          <w:spacing w:val="-2"/>
          <w:sz w:val="24"/>
        </w:rPr>
        <w:t> </w:t>
      </w:r>
      <w:r>
        <w:rPr>
          <w:sz w:val="24"/>
        </w:rPr>
        <w:t>maintained</w:t>
      </w:r>
      <w:r>
        <w:rPr>
          <w:spacing w:val="-3"/>
          <w:sz w:val="24"/>
        </w:rPr>
        <w:t> </w:t>
      </w:r>
      <w:r>
        <w:rPr>
          <w:sz w:val="24"/>
        </w:rPr>
        <w:t>by</w:t>
      </w:r>
      <w:r>
        <w:rPr>
          <w:spacing w:val="-3"/>
          <w:sz w:val="24"/>
        </w:rPr>
        <w:t> </w:t>
      </w:r>
      <w:r>
        <w:rPr>
          <w:sz w:val="24"/>
        </w:rPr>
        <w:t>the</w:t>
      </w:r>
      <w:r>
        <w:rPr>
          <w:spacing w:val="-3"/>
          <w:sz w:val="24"/>
        </w:rPr>
        <w:t> </w:t>
      </w:r>
      <w:r>
        <w:rPr>
          <w:sz w:val="24"/>
        </w:rPr>
        <w:t>Speech</w:t>
      </w:r>
      <w:r>
        <w:rPr>
          <w:spacing w:val="-3"/>
          <w:sz w:val="24"/>
        </w:rPr>
        <w:t> </w:t>
      </w:r>
      <w:r>
        <w:rPr>
          <w:sz w:val="24"/>
        </w:rPr>
        <w:t>Therapist</w:t>
      </w:r>
      <w:r>
        <w:rPr>
          <w:spacing w:val="-2"/>
          <w:sz w:val="24"/>
        </w:rPr>
        <w:t> </w:t>
      </w:r>
      <w:r>
        <w:rPr>
          <w:sz w:val="24"/>
        </w:rPr>
        <w:t>in</w:t>
      </w:r>
      <w:r>
        <w:rPr>
          <w:spacing w:val="-3"/>
          <w:sz w:val="24"/>
        </w:rPr>
        <w:t> </w:t>
      </w:r>
      <w:r>
        <w:rPr>
          <w:sz w:val="24"/>
        </w:rPr>
        <w:t>the</w:t>
      </w:r>
      <w:r>
        <w:rPr>
          <w:spacing w:val="-3"/>
          <w:sz w:val="24"/>
        </w:rPr>
        <w:t> </w:t>
      </w:r>
      <w:r>
        <w:rPr>
          <w:sz w:val="24"/>
        </w:rPr>
        <w:t>Office</w:t>
      </w:r>
      <w:r>
        <w:rPr>
          <w:spacing w:val="-3"/>
          <w:sz w:val="24"/>
        </w:rPr>
        <w:t> </w:t>
      </w:r>
      <w:r>
        <w:rPr>
          <w:sz w:val="24"/>
        </w:rPr>
        <w:t>of</w:t>
      </w:r>
      <w:r>
        <w:rPr>
          <w:spacing w:val="-4"/>
          <w:sz w:val="24"/>
        </w:rPr>
        <w:t> </w:t>
      </w:r>
      <w:r>
        <w:rPr>
          <w:sz w:val="24"/>
        </w:rPr>
        <w:t>Speech </w:t>
      </w:r>
      <w:r>
        <w:rPr>
          <w:spacing w:val="-2"/>
          <w:sz w:val="24"/>
        </w:rPr>
        <w:t>Therapy.</w:t>
      </w:r>
    </w:p>
    <w:p>
      <w:pPr>
        <w:pStyle w:val="ListParagraph"/>
        <w:numPr>
          <w:ilvl w:val="1"/>
          <w:numId w:val="344"/>
        </w:numPr>
        <w:tabs>
          <w:tab w:pos="1217" w:val="left" w:leader="none"/>
        </w:tabs>
        <w:spacing w:line="208" w:lineRule="auto" w:before="239" w:after="0"/>
        <w:ind w:left="792" w:right="881" w:firstLine="0"/>
        <w:jc w:val="left"/>
        <w:rPr>
          <w:sz w:val="24"/>
        </w:rPr>
      </w:pPr>
      <w:r>
        <w:rPr>
          <w:b/>
          <w:sz w:val="24"/>
        </w:rPr>
        <w:t>Oklahoma School for the Deaf. </w:t>
      </w:r>
      <w:r>
        <w:rPr>
          <w:sz w:val="24"/>
        </w:rPr>
        <w:t>Cumulative school records, transcripts, and Individualized Education Programs for current students will be maintained by the Assistant</w:t>
      </w:r>
      <w:r>
        <w:rPr>
          <w:spacing w:val="-4"/>
          <w:sz w:val="24"/>
        </w:rPr>
        <w:t> </w:t>
      </w:r>
      <w:r>
        <w:rPr>
          <w:sz w:val="24"/>
        </w:rPr>
        <w:t>Superintendent</w:t>
      </w:r>
      <w:r>
        <w:rPr>
          <w:spacing w:val="-4"/>
          <w:sz w:val="24"/>
        </w:rPr>
        <w:t> </w:t>
      </w:r>
      <w:r>
        <w:rPr>
          <w:sz w:val="24"/>
        </w:rPr>
        <w:t>in</w:t>
      </w:r>
      <w:r>
        <w:rPr>
          <w:spacing w:val="-5"/>
          <w:sz w:val="24"/>
        </w:rPr>
        <w:t> </w:t>
      </w:r>
      <w:r>
        <w:rPr>
          <w:sz w:val="24"/>
        </w:rPr>
        <w:t>the</w:t>
      </w:r>
      <w:r>
        <w:rPr>
          <w:spacing w:val="-5"/>
          <w:sz w:val="24"/>
        </w:rPr>
        <w:t> </w:t>
      </w:r>
      <w:r>
        <w:rPr>
          <w:sz w:val="24"/>
        </w:rPr>
        <w:t>office</w:t>
      </w:r>
      <w:r>
        <w:rPr>
          <w:spacing w:val="-5"/>
          <w:sz w:val="24"/>
        </w:rPr>
        <w:t> </w:t>
      </w:r>
      <w:r>
        <w:rPr>
          <w:sz w:val="24"/>
        </w:rPr>
        <w:t>of</w:t>
      </w:r>
      <w:r>
        <w:rPr>
          <w:spacing w:val="-6"/>
          <w:sz w:val="24"/>
        </w:rPr>
        <w:t> </w:t>
      </w:r>
      <w:r>
        <w:rPr>
          <w:sz w:val="24"/>
        </w:rPr>
        <w:t>the</w:t>
      </w:r>
      <w:r>
        <w:rPr>
          <w:spacing w:val="-6"/>
          <w:sz w:val="24"/>
        </w:rPr>
        <w:t> </w:t>
      </w:r>
      <w:r>
        <w:rPr>
          <w:sz w:val="24"/>
        </w:rPr>
        <w:t>Assistant</w:t>
      </w:r>
      <w:r>
        <w:rPr>
          <w:spacing w:val="-4"/>
          <w:sz w:val="24"/>
        </w:rPr>
        <w:t> </w:t>
      </w:r>
      <w:r>
        <w:rPr>
          <w:sz w:val="24"/>
        </w:rPr>
        <w:t>Superintendent.</w:t>
      </w:r>
      <w:r>
        <w:rPr>
          <w:spacing w:val="-4"/>
          <w:sz w:val="24"/>
        </w:rPr>
        <w:t> </w:t>
      </w:r>
      <w:r>
        <w:rPr>
          <w:sz w:val="24"/>
        </w:rPr>
        <w:t>Confidential files including assessment and admissions information for current students, and cumulative files for former students, will be maintained by the Director of the Student</w:t>
      </w:r>
      <w:r>
        <w:rPr>
          <w:spacing w:val="-2"/>
          <w:sz w:val="24"/>
        </w:rPr>
        <w:t> </w:t>
      </w:r>
      <w:r>
        <w:rPr>
          <w:sz w:val="24"/>
        </w:rPr>
        <w:t>Assessment</w:t>
      </w:r>
      <w:r>
        <w:rPr>
          <w:spacing w:val="-4"/>
          <w:sz w:val="24"/>
        </w:rPr>
        <w:t> </w:t>
      </w:r>
      <w:r>
        <w:rPr>
          <w:sz w:val="24"/>
        </w:rPr>
        <w:t>Center</w:t>
      </w:r>
      <w:r>
        <w:rPr>
          <w:spacing w:val="-2"/>
          <w:sz w:val="24"/>
        </w:rPr>
        <w:t> </w:t>
      </w:r>
      <w:r>
        <w:rPr>
          <w:sz w:val="24"/>
        </w:rPr>
        <w:t>at</w:t>
      </w:r>
      <w:r>
        <w:rPr>
          <w:spacing w:val="-2"/>
          <w:sz w:val="24"/>
        </w:rPr>
        <w:t> </w:t>
      </w:r>
      <w:r>
        <w:rPr>
          <w:sz w:val="24"/>
        </w:rPr>
        <w:t>the</w:t>
      </w:r>
      <w:r>
        <w:rPr>
          <w:spacing w:val="-3"/>
          <w:sz w:val="24"/>
        </w:rPr>
        <w:t> </w:t>
      </w:r>
      <w:r>
        <w:rPr>
          <w:sz w:val="24"/>
        </w:rPr>
        <w:t>Student</w:t>
      </w:r>
      <w:r>
        <w:rPr>
          <w:spacing w:val="-2"/>
          <w:sz w:val="24"/>
        </w:rPr>
        <w:t> </w:t>
      </w:r>
      <w:r>
        <w:rPr>
          <w:sz w:val="24"/>
        </w:rPr>
        <w:t>Assessment</w:t>
      </w:r>
      <w:r>
        <w:rPr>
          <w:spacing w:val="-2"/>
          <w:sz w:val="24"/>
        </w:rPr>
        <w:t> </w:t>
      </w:r>
      <w:r>
        <w:rPr>
          <w:sz w:val="24"/>
        </w:rPr>
        <w:t>Center.</w:t>
      </w:r>
      <w:r>
        <w:rPr>
          <w:spacing w:val="-4"/>
          <w:sz w:val="24"/>
        </w:rPr>
        <w:t> </w:t>
      </w:r>
      <w:r>
        <w:rPr>
          <w:sz w:val="24"/>
        </w:rPr>
        <w:t>Health</w:t>
      </w:r>
      <w:r>
        <w:rPr>
          <w:spacing w:val="-3"/>
          <w:sz w:val="24"/>
        </w:rPr>
        <w:t> </w:t>
      </w:r>
      <w:r>
        <w:rPr>
          <w:sz w:val="24"/>
        </w:rPr>
        <w:t>records</w:t>
      </w:r>
      <w:r>
        <w:rPr>
          <w:spacing w:val="-3"/>
          <w:sz w:val="24"/>
        </w:rPr>
        <w:t> </w:t>
      </w:r>
      <w:r>
        <w:rPr>
          <w:sz w:val="24"/>
        </w:rPr>
        <w:t>for current students will be maintained by the Head Nurse in the OSD Clinic.</w:t>
      </w:r>
    </w:p>
    <w:p>
      <w:pPr>
        <w:pStyle w:val="ListParagraph"/>
        <w:numPr>
          <w:ilvl w:val="0"/>
          <w:numId w:val="344"/>
        </w:numPr>
        <w:tabs>
          <w:tab w:pos="718" w:val="left" w:leader="none"/>
        </w:tabs>
        <w:spacing w:line="208" w:lineRule="auto" w:before="240" w:after="0"/>
        <w:ind w:left="360" w:right="805" w:firstLine="0"/>
        <w:jc w:val="left"/>
        <w:rPr>
          <w:sz w:val="24"/>
        </w:rPr>
      </w:pPr>
      <w:r>
        <w:rPr>
          <w:b/>
          <w:sz w:val="24"/>
        </w:rPr>
        <w:t>Annual notification.</w:t>
      </w:r>
      <w:r>
        <w:rPr>
          <w:b/>
          <w:spacing w:val="40"/>
          <w:sz w:val="24"/>
        </w:rPr>
        <w:t> </w:t>
      </w:r>
      <w:r>
        <w:rPr>
          <w:sz w:val="24"/>
        </w:rPr>
        <w:t>At the beginning of each school year Parkview School (OSB) and Oklahoma School for the Deaf (OSD) will send a notice to parents and eligible students of their rights under the FERPA and this policy.</w:t>
      </w:r>
      <w:r>
        <w:rPr>
          <w:spacing w:val="40"/>
          <w:sz w:val="24"/>
        </w:rPr>
        <w:t> </w:t>
      </w:r>
      <w:r>
        <w:rPr>
          <w:sz w:val="24"/>
        </w:rPr>
        <w:t>OSB and OSD will send to parents</w:t>
      </w:r>
      <w:r>
        <w:rPr>
          <w:spacing w:val="-3"/>
          <w:sz w:val="24"/>
        </w:rPr>
        <w:t> </w:t>
      </w:r>
      <w:r>
        <w:rPr>
          <w:sz w:val="24"/>
        </w:rPr>
        <w:t>or</w:t>
      </w:r>
      <w:r>
        <w:rPr>
          <w:spacing w:val="-4"/>
          <w:sz w:val="24"/>
        </w:rPr>
        <w:t> </w:t>
      </w:r>
      <w:r>
        <w:rPr>
          <w:sz w:val="24"/>
        </w:rPr>
        <w:t>eligible</w:t>
      </w:r>
      <w:r>
        <w:rPr>
          <w:spacing w:val="-3"/>
          <w:sz w:val="24"/>
        </w:rPr>
        <w:t> </w:t>
      </w:r>
      <w:r>
        <w:rPr>
          <w:sz w:val="24"/>
        </w:rPr>
        <w:t>students</w:t>
      </w:r>
      <w:r>
        <w:rPr>
          <w:spacing w:val="-3"/>
          <w:sz w:val="24"/>
        </w:rPr>
        <w:t> </w:t>
      </w:r>
      <w:r>
        <w:rPr>
          <w:sz w:val="24"/>
        </w:rPr>
        <w:t>a</w:t>
      </w:r>
      <w:r>
        <w:rPr>
          <w:spacing w:val="-3"/>
          <w:sz w:val="24"/>
        </w:rPr>
        <w:t> </w:t>
      </w:r>
      <w:r>
        <w:rPr>
          <w:sz w:val="24"/>
        </w:rPr>
        <w:t>bulletin</w:t>
      </w:r>
      <w:r>
        <w:rPr>
          <w:spacing w:val="-3"/>
          <w:sz w:val="24"/>
        </w:rPr>
        <w:t> </w:t>
      </w:r>
      <w:r>
        <w:rPr>
          <w:sz w:val="24"/>
        </w:rPr>
        <w:t>listing</w:t>
      </w:r>
      <w:r>
        <w:rPr>
          <w:spacing w:val="-3"/>
          <w:sz w:val="24"/>
        </w:rPr>
        <w:t> </w:t>
      </w:r>
      <w:r>
        <w:rPr>
          <w:sz w:val="24"/>
        </w:rPr>
        <w:t>these</w:t>
      </w:r>
      <w:r>
        <w:rPr>
          <w:spacing w:val="-3"/>
          <w:sz w:val="24"/>
        </w:rPr>
        <w:t> </w:t>
      </w:r>
      <w:r>
        <w:rPr>
          <w:sz w:val="24"/>
        </w:rPr>
        <w:t>rights</w:t>
      </w:r>
      <w:r>
        <w:rPr>
          <w:spacing w:val="-3"/>
          <w:sz w:val="24"/>
        </w:rPr>
        <w:t> </w:t>
      </w:r>
      <w:r>
        <w:rPr>
          <w:sz w:val="24"/>
        </w:rPr>
        <w:t>and</w:t>
      </w:r>
      <w:r>
        <w:rPr>
          <w:spacing w:val="-3"/>
          <w:sz w:val="24"/>
        </w:rPr>
        <w:t> </w:t>
      </w:r>
      <w:r>
        <w:rPr>
          <w:sz w:val="24"/>
        </w:rPr>
        <w:t>the</w:t>
      </w:r>
      <w:r>
        <w:rPr>
          <w:spacing w:val="-3"/>
          <w:sz w:val="24"/>
        </w:rPr>
        <w:t> </w:t>
      </w:r>
      <w:r>
        <w:rPr>
          <w:sz w:val="24"/>
        </w:rPr>
        <w:t>bulletin</w:t>
      </w:r>
      <w:r>
        <w:rPr>
          <w:spacing w:val="-3"/>
          <w:sz w:val="24"/>
        </w:rPr>
        <w:t> </w:t>
      </w:r>
      <w:r>
        <w:rPr>
          <w:sz w:val="24"/>
        </w:rPr>
        <w:t>will</w:t>
      </w:r>
      <w:r>
        <w:rPr>
          <w:spacing w:val="-3"/>
          <w:sz w:val="24"/>
        </w:rPr>
        <w:t> </w:t>
      </w:r>
      <w:r>
        <w:rPr>
          <w:sz w:val="24"/>
        </w:rPr>
        <w:t>be</w:t>
      </w:r>
      <w:r>
        <w:rPr>
          <w:spacing w:val="-2"/>
          <w:sz w:val="24"/>
        </w:rPr>
        <w:t> </w:t>
      </w:r>
      <w:r>
        <w:rPr>
          <w:sz w:val="24"/>
        </w:rPr>
        <w:t>included with a packet of material provided parents or an eligible student when the student enrolls during the school year.</w:t>
      </w:r>
    </w:p>
    <w:p>
      <w:pPr>
        <w:pStyle w:val="ListParagraph"/>
        <w:numPr>
          <w:ilvl w:val="1"/>
          <w:numId w:val="344"/>
        </w:numPr>
        <w:tabs>
          <w:tab w:pos="1218" w:val="left" w:leader="none"/>
        </w:tabs>
        <w:spacing w:line="240" w:lineRule="auto" w:before="210" w:after="0"/>
        <w:ind w:left="1218" w:right="0" w:hanging="426"/>
        <w:jc w:val="left"/>
        <w:rPr>
          <w:sz w:val="24"/>
        </w:rPr>
      </w:pPr>
      <w:r>
        <w:rPr>
          <w:sz w:val="24"/>
        </w:rPr>
        <w:t>The</w:t>
      </w:r>
      <w:r>
        <w:rPr>
          <w:spacing w:val="-5"/>
          <w:sz w:val="24"/>
        </w:rPr>
        <w:t> </w:t>
      </w:r>
      <w:r>
        <w:rPr>
          <w:sz w:val="24"/>
        </w:rPr>
        <w:t>notice</w:t>
      </w:r>
      <w:r>
        <w:rPr>
          <w:spacing w:val="-3"/>
          <w:sz w:val="24"/>
        </w:rPr>
        <w:t> </w:t>
      </w:r>
      <w:r>
        <w:rPr>
          <w:sz w:val="24"/>
        </w:rPr>
        <w:t>will</w:t>
      </w:r>
      <w:r>
        <w:rPr>
          <w:spacing w:val="-2"/>
          <w:sz w:val="24"/>
        </w:rPr>
        <w:t> include:</w:t>
      </w:r>
    </w:p>
    <w:p>
      <w:pPr>
        <w:pStyle w:val="ListParagraph"/>
        <w:numPr>
          <w:ilvl w:val="2"/>
          <w:numId w:val="344"/>
        </w:numPr>
        <w:tabs>
          <w:tab w:pos="1677" w:val="left" w:leader="none"/>
        </w:tabs>
        <w:spacing w:line="208" w:lineRule="auto" w:before="233" w:after="0"/>
        <w:ind w:left="1224" w:right="883" w:firstLine="0"/>
        <w:jc w:val="left"/>
        <w:rPr>
          <w:sz w:val="24"/>
        </w:rPr>
      </w:pPr>
      <w:r>
        <w:rPr>
          <w:sz w:val="24"/>
        </w:rPr>
        <w:t>The</w:t>
      </w:r>
      <w:r>
        <w:rPr>
          <w:spacing w:val="-5"/>
          <w:sz w:val="24"/>
        </w:rPr>
        <w:t> </w:t>
      </w:r>
      <w:r>
        <w:rPr>
          <w:sz w:val="24"/>
        </w:rPr>
        <w:t>right</w:t>
      </w:r>
      <w:r>
        <w:rPr>
          <w:spacing w:val="-3"/>
          <w:sz w:val="24"/>
        </w:rPr>
        <w:t> </w:t>
      </w:r>
      <w:r>
        <w:rPr>
          <w:sz w:val="24"/>
        </w:rPr>
        <w:t>of</w:t>
      </w:r>
      <w:r>
        <w:rPr>
          <w:spacing w:val="-3"/>
          <w:sz w:val="24"/>
        </w:rPr>
        <w:t> </w:t>
      </w:r>
      <w:r>
        <w:rPr>
          <w:sz w:val="24"/>
        </w:rPr>
        <w:t>a</w:t>
      </w:r>
      <w:r>
        <w:rPr>
          <w:spacing w:val="-5"/>
          <w:sz w:val="24"/>
        </w:rPr>
        <w:t> </w:t>
      </w:r>
      <w:r>
        <w:rPr>
          <w:sz w:val="24"/>
        </w:rPr>
        <w:t>student's</w:t>
      </w:r>
      <w:r>
        <w:rPr>
          <w:spacing w:val="-4"/>
          <w:sz w:val="24"/>
        </w:rPr>
        <w:t> </w:t>
      </w:r>
      <w:r>
        <w:rPr>
          <w:sz w:val="24"/>
        </w:rPr>
        <w:t>parents</w:t>
      </w:r>
      <w:r>
        <w:rPr>
          <w:spacing w:val="-4"/>
          <w:sz w:val="24"/>
        </w:rPr>
        <w:t> </w:t>
      </w:r>
      <w:r>
        <w:rPr>
          <w:sz w:val="24"/>
        </w:rPr>
        <w:t>and</w:t>
      </w:r>
      <w:r>
        <w:rPr>
          <w:spacing w:val="-4"/>
          <w:sz w:val="24"/>
        </w:rPr>
        <w:t> </w:t>
      </w:r>
      <w:r>
        <w:rPr>
          <w:sz w:val="24"/>
        </w:rPr>
        <w:t>eligible</w:t>
      </w:r>
      <w:r>
        <w:rPr>
          <w:spacing w:val="-4"/>
          <w:sz w:val="24"/>
        </w:rPr>
        <w:t> </w:t>
      </w:r>
      <w:r>
        <w:rPr>
          <w:sz w:val="24"/>
        </w:rPr>
        <w:t>students</w:t>
      </w:r>
      <w:r>
        <w:rPr>
          <w:spacing w:val="-4"/>
          <w:sz w:val="24"/>
        </w:rPr>
        <w:t> </w:t>
      </w:r>
      <w:r>
        <w:rPr>
          <w:sz w:val="24"/>
        </w:rPr>
        <w:t>to</w:t>
      </w:r>
      <w:r>
        <w:rPr>
          <w:spacing w:val="-4"/>
          <w:sz w:val="24"/>
        </w:rPr>
        <w:t> </w:t>
      </w:r>
      <w:r>
        <w:rPr>
          <w:sz w:val="24"/>
        </w:rPr>
        <w:t>inspect</w:t>
      </w:r>
      <w:r>
        <w:rPr>
          <w:spacing w:val="-3"/>
          <w:sz w:val="24"/>
        </w:rPr>
        <w:t> </w:t>
      </w:r>
      <w:r>
        <w:rPr>
          <w:sz w:val="24"/>
        </w:rPr>
        <w:t>and</w:t>
      </w:r>
      <w:r>
        <w:rPr>
          <w:spacing w:val="-4"/>
          <w:sz w:val="24"/>
        </w:rPr>
        <w:t> </w:t>
      </w:r>
      <w:r>
        <w:rPr>
          <w:sz w:val="24"/>
        </w:rPr>
        <w:t>review the student's education records.</w:t>
      </w:r>
    </w:p>
    <w:p>
      <w:pPr>
        <w:pStyle w:val="ListParagraph"/>
        <w:numPr>
          <w:ilvl w:val="2"/>
          <w:numId w:val="344"/>
        </w:numPr>
        <w:tabs>
          <w:tab w:pos="1677" w:val="left" w:leader="none"/>
        </w:tabs>
        <w:spacing w:line="208" w:lineRule="auto" w:before="240" w:after="0"/>
        <w:ind w:left="1224" w:right="863" w:firstLine="0"/>
        <w:jc w:val="left"/>
        <w:rPr>
          <w:sz w:val="24"/>
        </w:rPr>
      </w:pPr>
      <w:r>
        <w:rPr>
          <w:sz w:val="24"/>
        </w:rPr>
        <w:t>The</w:t>
      </w:r>
      <w:r>
        <w:rPr>
          <w:spacing w:val="-4"/>
          <w:sz w:val="24"/>
        </w:rPr>
        <w:t> </w:t>
      </w:r>
      <w:r>
        <w:rPr>
          <w:sz w:val="24"/>
        </w:rPr>
        <w:t>intent</w:t>
      </w:r>
      <w:r>
        <w:rPr>
          <w:spacing w:val="-3"/>
          <w:sz w:val="24"/>
        </w:rPr>
        <w:t> </w:t>
      </w:r>
      <w:r>
        <w:rPr>
          <w:sz w:val="24"/>
        </w:rPr>
        <w:t>of</w:t>
      </w:r>
      <w:r>
        <w:rPr>
          <w:spacing w:val="-5"/>
          <w:sz w:val="24"/>
        </w:rPr>
        <w:t> </w:t>
      </w:r>
      <w:r>
        <w:rPr>
          <w:sz w:val="24"/>
        </w:rPr>
        <w:t>OSB</w:t>
      </w:r>
      <w:r>
        <w:rPr>
          <w:spacing w:val="-4"/>
          <w:sz w:val="24"/>
        </w:rPr>
        <w:t> </w:t>
      </w:r>
      <w:r>
        <w:rPr>
          <w:sz w:val="24"/>
        </w:rPr>
        <w:t>and</w:t>
      </w:r>
      <w:r>
        <w:rPr>
          <w:spacing w:val="-4"/>
          <w:sz w:val="24"/>
        </w:rPr>
        <w:t> </w:t>
      </w:r>
      <w:r>
        <w:rPr>
          <w:sz w:val="24"/>
        </w:rPr>
        <w:t>OSD</w:t>
      </w:r>
      <w:r>
        <w:rPr>
          <w:spacing w:val="-4"/>
          <w:sz w:val="24"/>
        </w:rPr>
        <w:t> </w:t>
      </w:r>
      <w:r>
        <w:rPr>
          <w:sz w:val="24"/>
        </w:rPr>
        <w:t>to</w:t>
      </w:r>
      <w:r>
        <w:rPr>
          <w:spacing w:val="-4"/>
          <w:sz w:val="24"/>
        </w:rPr>
        <w:t> </w:t>
      </w:r>
      <w:r>
        <w:rPr>
          <w:sz w:val="24"/>
        </w:rPr>
        <w:t>limit</w:t>
      </w:r>
      <w:r>
        <w:rPr>
          <w:spacing w:val="-3"/>
          <w:sz w:val="24"/>
        </w:rPr>
        <w:t> </w:t>
      </w:r>
      <w:r>
        <w:rPr>
          <w:sz w:val="24"/>
        </w:rPr>
        <w:t>the</w:t>
      </w:r>
      <w:r>
        <w:rPr>
          <w:spacing w:val="-4"/>
          <w:sz w:val="24"/>
        </w:rPr>
        <w:t> </w:t>
      </w:r>
      <w:r>
        <w:rPr>
          <w:sz w:val="24"/>
        </w:rPr>
        <w:t>disclosure</w:t>
      </w:r>
      <w:r>
        <w:rPr>
          <w:spacing w:val="-4"/>
          <w:sz w:val="24"/>
        </w:rPr>
        <w:t> </w:t>
      </w:r>
      <w:r>
        <w:rPr>
          <w:sz w:val="24"/>
        </w:rPr>
        <w:t>of</w:t>
      </w:r>
      <w:r>
        <w:rPr>
          <w:spacing w:val="-3"/>
          <w:sz w:val="24"/>
        </w:rPr>
        <w:t> </w:t>
      </w:r>
      <w:r>
        <w:rPr>
          <w:sz w:val="24"/>
        </w:rPr>
        <w:t>information</w:t>
      </w:r>
      <w:r>
        <w:rPr>
          <w:spacing w:val="-4"/>
          <w:sz w:val="24"/>
        </w:rPr>
        <w:t> </w:t>
      </w:r>
      <w:r>
        <w:rPr>
          <w:sz w:val="24"/>
        </w:rPr>
        <w:t>contained in a student's records except:</w:t>
      </w:r>
    </w:p>
    <w:p>
      <w:pPr>
        <w:pStyle w:val="ListParagraph"/>
        <w:numPr>
          <w:ilvl w:val="3"/>
          <w:numId w:val="344"/>
        </w:numPr>
        <w:tabs>
          <w:tab w:pos="2002" w:val="left" w:leader="none"/>
        </w:tabs>
        <w:spacing w:line="208" w:lineRule="auto" w:before="240" w:after="0"/>
        <w:ind w:left="1656" w:right="1598" w:firstLine="0"/>
        <w:jc w:val="left"/>
        <w:rPr>
          <w:sz w:val="24"/>
        </w:rPr>
      </w:pPr>
      <w:r>
        <w:rPr>
          <w:sz w:val="24"/>
        </w:rPr>
        <w:t>By</w:t>
      </w:r>
      <w:r>
        <w:rPr>
          <w:spacing w:val="-5"/>
          <w:sz w:val="24"/>
        </w:rPr>
        <w:t> </w:t>
      </w:r>
      <w:r>
        <w:rPr>
          <w:sz w:val="24"/>
        </w:rPr>
        <w:t>the</w:t>
      </w:r>
      <w:r>
        <w:rPr>
          <w:spacing w:val="-4"/>
          <w:sz w:val="24"/>
        </w:rPr>
        <w:t> </w:t>
      </w:r>
      <w:r>
        <w:rPr>
          <w:sz w:val="24"/>
        </w:rPr>
        <w:t>prior</w:t>
      </w:r>
      <w:r>
        <w:rPr>
          <w:spacing w:val="-3"/>
          <w:sz w:val="24"/>
        </w:rPr>
        <w:t> </w:t>
      </w:r>
      <w:r>
        <w:rPr>
          <w:sz w:val="24"/>
        </w:rPr>
        <w:t>written</w:t>
      </w:r>
      <w:r>
        <w:rPr>
          <w:spacing w:val="-5"/>
          <w:sz w:val="24"/>
        </w:rPr>
        <w:t> </w:t>
      </w:r>
      <w:r>
        <w:rPr>
          <w:sz w:val="24"/>
        </w:rPr>
        <w:t>consent</w:t>
      </w:r>
      <w:r>
        <w:rPr>
          <w:spacing w:val="-3"/>
          <w:sz w:val="24"/>
        </w:rPr>
        <w:t> </w:t>
      </w:r>
      <w:r>
        <w:rPr>
          <w:sz w:val="24"/>
        </w:rPr>
        <w:t>of</w:t>
      </w:r>
      <w:r>
        <w:rPr>
          <w:spacing w:val="-5"/>
          <w:sz w:val="24"/>
        </w:rPr>
        <w:t> </w:t>
      </w:r>
      <w:r>
        <w:rPr>
          <w:sz w:val="24"/>
        </w:rPr>
        <w:t>the</w:t>
      </w:r>
      <w:r>
        <w:rPr>
          <w:spacing w:val="-4"/>
          <w:sz w:val="24"/>
        </w:rPr>
        <w:t> </w:t>
      </w:r>
      <w:r>
        <w:rPr>
          <w:sz w:val="24"/>
        </w:rPr>
        <w:t>student's</w:t>
      </w:r>
      <w:r>
        <w:rPr>
          <w:spacing w:val="-4"/>
          <w:sz w:val="24"/>
        </w:rPr>
        <w:t> </w:t>
      </w:r>
      <w:r>
        <w:rPr>
          <w:sz w:val="24"/>
        </w:rPr>
        <w:t>parent</w:t>
      </w:r>
      <w:r>
        <w:rPr>
          <w:spacing w:val="-3"/>
          <w:sz w:val="24"/>
        </w:rPr>
        <w:t> </w:t>
      </w:r>
      <w:r>
        <w:rPr>
          <w:sz w:val="24"/>
        </w:rPr>
        <w:t>or</w:t>
      </w:r>
      <w:r>
        <w:rPr>
          <w:spacing w:val="-5"/>
          <w:sz w:val="24"/>
        </w:rPr>
        <w:t> </w:t>
      </w:r>
      <w:r>
        <w:rPr>
          <w:sz w:val="24"/>
        </w:rPr>
        <w:t>the</w:t>
      </w:r>
      <w:r>
        <w:rPr>
          <w:spacing w:val="-4"/>
          <w:sz w:val="24"/>
        </w:rPr>
        <w:t> </w:t>
      </w:r>
      <w:r>
        <w:rPr>
          <w:sz w:val="24"/>
        </w:rPr>
        <w:t>eligible </w:t>
      </w:r>
      <w:r>
        <w:rPr>
          <w:spacing w:val="-2"/>
          <w:sz w:val="24"/>
        </w:rPr>
        <w:t>student;</w:t>
      </w:r>
    </w:p>
    <w:p>
      <w:pPr>
        <w:pStyle w:val="ListParagraph"/>
        <w:numPr>
          <w:ilvl w:val="3"/>
          <w:numId w:val="344"/>
        </w:numPr>
        <w:tabs>
          <w:tab w:pos="2054" w:val="left" w:leader="none"/>
        </w:tabs>
        <w:spacing w:line="240" w:lineRule="auto" w:before="210" w:after="0"/>
        <w:ind w:left="2054" w:right="0" w:hanging="398"/>
        <w:jc w:val="left"/>
        <w:rPr>
          <w:sz w:val="24"/>
        </w:rPr>
      </w:pPr>
      <w:r>
        <w:rPr>
          <w:sz w:val="24"/>
        </w:rPr>
        <w:t>As</w:t>
      </w:r>
      <w:r>
        <w:rPr>
          <w:spacing w:val="-5"/>
          <w:sz w:val="24"/>
        </w:rPr>
        <w:t> </w:t>
      </w:r>
      <w:r>
        <w:rPr>
          <w:sz w:val="24"/>
        </w:rPr>
        <w:t>directory</w:t>
      </w:r>
      <w:r>
        <w:rPr>
          <w:spacing w:val="-4"/>
          <w:sz w:val="24"/>
        </w:rPr>
        <w:t> </w:t>
      </w:r>
      <w:r>
        <w:rPr>
          <w:sz w:val="24"/>
        </w:rPr>
        <w:t>information;</w:t>
      </w:r>
      <w:r>
        <w:rPr>
          <w:spacing w:val="-3"/>
          <w:sz w:val="24"/>
        </w:rPr>
        <w:t> </w:t>
      </w:r>
      <w:r>
        <w:rPr>
          <w:spacing w:val="-5"/>
          <w:sz w:val="24"/>
        </w:rPr>
        <w:t>or</w:t>
      </w:r>
    </w:p>
    <w:p>
      <w:pPr>
        <w:pStyle w:val="ListParagraph"/>
        <w:numPr>
          <w:ilvl w:val="3"/>
          <w:numId w:val="344"/>
        </w:numPr>
        <w:tabs>
          <w:tab w:pos="2107" w:val="left" w:leader="none"/>
        </w:tabs>
        <w:spacing w:line="240" w:lineRule="auto" w:before="204" w:after="0"/>
        <w:ind w:left="2107" w:right="0" w:hanging="451"/>
        <w:jc w:val="left"/>
        <w:rPr>
          <w:sz w:val="24"/>
        </w:rPr>
      </w:pPr>
      <w:r>
        <w:rPr>
          <w:sz w:val="24"/>
        </w:rPr>
        <w:t>Under</w:t>
      </w:r>
      <w:r>
        <w:rPr>
          <w:spacing w:val="-5"/>
          <w:sz w:val="24"/>
        </w:rPr>
        <w:t> </w:t>
      </w:r>
      <w:r>
        <w:rPr>
          <w:sz w:val="24"/>
        </w:rPr>
        <w:t>certain</w:t>
      </w:r>
      <w:r>
        <w:rPr>
          <w:spacing w:val="-3"/>
          <w:sz w:val="24"/>
        </w:rPr>
        <w:t> </w:t>
      </w:r>
      <w:r>
        <w:rPr>
          <w:sz w:val="24"/>
        </w:rPr>
        <w:t>limited</w:t>
      </w:r>
      <w:r>
        <w:rPr>
          <w:spacing w:val="-3"/>
          <w:sz w:val="24"/>
        </w:rPr>
        <w:t> </w:t>
      </w:r>
      <w:r>
        <w:rPr>
          <w:sz w:val="24"/>
        </w:rPr>
        <w:t>circumstances,</w:t>
      </w:r>
      <w:r>
        <w:rPr>
          <w:spacing w:val="-2"/>
          <w:sz w:val="24"/>
        </w:rPr>
        <w:t> </w:t>
      </w:r>
      <w:r>
        <w:rPr>
          <w:sz w:val="24"/>
        </w:rPr>
        <w:t>as</w:t>
      </w:r>
      <w:r>
        <w:rPr>
          <w:spacing w:val="-3"/>
          <w:sz w:val="24"/>
        </w:rPr>
        <w:t> </w:t>
      </w:r>
      <w:r>
        <w:rPr>
          <w:sz w:val="24"/>
        </w:rPr>
        <w:t>permitted</w:t>
      </w:r>
      <w:r>
        <w:rPr>
          <w:spacing w:val="-3"/>
          <w:sz w:val="24"/>
        </w:rPr>
        <w:t> </w:t>
      </w:r>
      <w:r>
        <w:rPr>
          <w:sz w:val="24"/>
        </w:rPr>
        <w:t>by</w:t>
      </w:r>
      <w:r>
        <w:rPr>
          <w:spacing w:val="-3"/>
          <w:sz w:val="24"/>
        </w:rPr>
        <w:t> </w:t>
      </w:r>
      <w:r>
        <w:rPr>
          <w:sz w:val="24"/>
        </w:rPr>
        <w:t>the</w:t>
      </w:r>
      <w:r>
        <w:rPr>
          <w:spacing w:val="-3"/>
          <w:sz w:val="24"/>
        </w:rPr>
        <w:t> </w:t>
      </w:r>
      <w:r>
        <w:rPr>
          <w:spacing w:val="-2"/>
          <w:sz w:val="24"/>
        </w:rPr>
        <w:t>FERPA.</w:t>
      </w:r>
    </w:p>
    <w:p>
      <w:pPr>
        <w:pStyle w:val="ListParagraph"/>
        <w:numPr>
          <w:ilvl w:val="2"/>
          <w:numId w:val="344"/>
        </w:numPr>
        <w:tabs>
          <w:tab w:pos="1689" w:val="left" w:leader="none"/>
        </w:tabs>
        <w:spacing w:line="208" w:lineRule="auto" w:before="233" w:after="0"/>
        <w:ind w:left="1223" w:right="778" w:firstLine="0"/>
        <w:jc w:val="left"/>
        <w:rPr>
          <w:sz w:val="24"/>
        </w:rPr>
      </w:pPr>
      <w:r>
        <w:rPr>
          <w:sz w:val="24"/>
        </w:rPr>
        <w:t>The</w:t>
      </w:r>
      <w:r>
        <w:rPr>
          <w:spacing w:val="-3"/>
          <w:sz w:val="24"/>
        </w:rPr>
        <w:t> </w:t>
      </w:r>
      <w:r>
        <w:rPr>
          <w:sz w:val="24"/>
        </w:rPr>
        <w:t>right</w:t>
      </w:r>
      <w:r>
        <w:rPr>
          <w:spacing w:val="-2"/>
          <w:sz w:val="24"/>
        </w:rPr>
        <w:t> </w:t>
      </w:r>
      <w:r>
        <w:rPr>
          <w:sz w:val="24"/>
        </w:rPr>
        <w:t>of</w:t>
      </w:r>
      <w:r>
        <w:rPr>
          <w:spacing w:val="-2"/>
          <w:sz w:val="24"/>
        </w:rPr>
        <w:t> </w:t>
      </w:r>
      <w:r>
        <w:rPr>
          <w:sz w:val="24"/>
        </w:rPr>
        <w:t>a</w:t>
      </w:r>
      <w:r>
        <w:rPr>
          <w:spacing w:val="-4"/>
          <w:sz w:val="24"/>
        </w:rPr>
        <w:t> </w:t>
      </w:r>
      <w:r>
        <w:rPr>
          <w:sz w:val="24"/>
        </w:rPr>
        <w:t>student's</w:t>
      </w:r>
      <w:r>
        <w:rPr>
          <w:spacing w:val="-3"/>
          <w:sz w:val="24"/>
        </w:rPr>
        <w:t> </w:t>
      </w:r>
      <w:r>
        <w:rPr>
          <w:sz w:val="24"/>
        </w:rPr>
        <w:t>parent</w:t>
      </w:r>
      <w:r>
        <w:rPr>
          <w:spacing w:val="-2"/>
          <w:sz w:val="24"/>
        </w:rPr>
        <w:t> </w:t>
      </w:r>
      <w:r>
        <w:rPr>
          <w:sz w:val="24"/>
        </w:rPr>
        <w:t>or</w:t>
      </w:r>
      <w:r>
        <w:rPr>
          <w:spacing w:val="-2"/>
          <w:sz w:val="24"/>
        </w:rPr>
        <w:t> </w:t>
      </w:r>
      <w:r>
        <w:rPr>
          <w:sz w:val="24"/>
        </w:rPr>
        <w:t>an</w:t>
      </w:r>
      <w:r>
        <w:rPr>
          <w:spacing w:val="-3"/>
          <w:sz w:val="24"/>
        </w:rPr>
        <w:t> </w:t>
      </w:r>
      <w:r>
        <w:rPr>
          <w:sz w:val="24"/>
        </w:rPr>
        <w:t>eligible</w:t>
      </w:r>
      <w:r>
        <w:rPr>
          <w:spacing w:val="-3"/>
          <w:sz w:val="24"/>
        </w:rPr>
        <w:t> </w:t>
      </w:r>
      <w:r>
        <w:rPr>
          <w:sz w:val="24"/>
        </w:rPr>
        <w:t>student</w:t>
      </w:r>
      <w:r>
        <w:rPr>
          <w:spacing w:val="-2"/>
          <w:sz w:val="24"/>
        </w:rPr>
        <w:t> </w:t>
      </w:r>
      <w:r>
        <w:rPr>
          <w:sz w:val="24"/>
        </w:rPr>
        <w:t>to</w:t>
      </w:r>
      <w:r>
        <w:rPr>
          <w:spacing w:val="-3"/>
          <w:sz w:val="24"/>
        </w:rPr>
        <w:t> </w:t>
      </w:r>
      <w:r>
        <w:rPr>
          <w:sz w:val="24"/>
        </w:rPr>
        <w:t>seek</w:t>
      </w:r>
      <w:r>
        <w:rPr>
          <w:spacing w:val="-4"/>
          <w:sz w:val="24"/>
        </w:rPr>
        <w:t> </w:t>
      </w:r>
      <w:r>
        <w:rPr>
          <w:sz w:val="24"/>
        </w:rPr>
        <w:t>to</w:t>
      </w:r>
      <w:r>
        <w:rPr>
          <w:spacing w:val="-4"/>
          <w:sz w:val="24"/>
        </w:rPr>
        <w:t> </w:t>
      </w:r>
      <w:r>
        <w:rPr>
          <w:sz w:val="24"/>
        </w:rPr>
        <w:t>correct</w:t>
      </w:r>
      <w:r>
        <w:rPr>
          <w:spacing w:val="-2"/>
          <w:sz w:val="24"/>
        </w:rPr>
        <w:t> </w:t>
      </w:r>
      <w:r>
        <w:rPr>
          <w:sz w:val="24"/>
        </w:rPr>
        <w:t>parts of the student's education record which he or she believes to be inaccurate, misleading or in violation of student rights.</w:t>
      </w:r>
      <w:r>
        <w:rPr>
          <w:spacing w:val="40"/>
          <w:sz w:val="24"/>
        </w:rPr>
        <w:t> </w:t>
      </w:r>
      <w:r>
        <w:rPr>
          <w:sz w:val="24"/>
        </w:rPr>
        <w:t>This right includes the right to a hearing to present evidence that the record should be changed if the district decides not to alter it according to the parent or eligible student's request.</w:t>
      </w:r>
    </w:p>
    <w:p>
      <w:pPr>
        <w:pStyle w:val="ListParagraph"/>
        <w:numPr>
          <w:ilvl w:val="2"/>
          <w:numId w:val="344"/>
        </w:numPr>
        <w:tabs>
          <w:tab w:pos="1689" w:val="left" w:leader="none"/>
        </w:tabs>
        <w:spacing w:line="208" w:lineRule="auto" w:before="240" w:after="0"/>
        <w:ind w:left="1223" w:right="1328" w:firstLine="0"/>
        <w:jc w:val="left"/>
        <w:rPr>
          <w:sz w:val="24"/>
        </w:rPr>
      </w:pPr>
      <w:r>
        <w:rPr>
          <w:sz w:val="24"/>
        </w:rPr>
        <w:t>The</w:t>
      </w:r>
      <w:r>
        <w:rPr>
          <w:spacing w:val="-3"/>
          <w:sz w:val="24"/>
        </w:rPr>
        <w:t> </w:t>
      </w:r>
      <w:r>
        <w:rPr>
          <w:sz w:val="24"/>
        </w:rPr>
        <w:t>right</w:t>
      </w:r>
      <w:r>
        <w:rPr>
          <w:spacing w:val="-2"/>
          <w:sz w:val="24"/>
        </w:rPr>
        <w:t> </w:t>
      </w:r>
      <w:r>
        <w:rPr>
          <w:sz w:val="24"/>
        </w:rPr>
        <w:t>of</w:t>
      </w:r>
      <w:r>
        <w:rPr>
          <w:spacing w:val="-2"/>
          <w:sz w:val="24"/>
        </w:rPr>
        <w:t> </w:t>
      </w:r>
      <w:r>
        <w:rPr>
          <w:sz w:val="24"/>
        </w:rPr>
        <w:t>any</w:t>
      </w:r>
      <w:r>
        <w:rPr>
          <w:spacing w:val="-3"/>
          <w:sz w:val="24"/>
        </w:rPr>
        <w:t> </w:t>
      </w:r>
      <w:r>
        <w:rPr>
          <w:sz w:val="24"/>
        </w:rPr>
        <w:t>person</w:t>
      </w:r>
      <w:r>
        <w:rPr>
          <w:spacing w:val="-3"/>
          <w:sz w:val="24"/>
        </w:rPr>
        <w:t> </w:t>
      </w:r>
      <w:r>
        <w:rPr>
          <w:sz w:val="24"/>
        </w:rPr>
        <w:t>to</w:t>
      </w:r>
      <w:r>
        <w:rPr>
          <w:spacing w:val="-3"/>
          <w:sz w:val="24"/>
        </w:rPr>
        <w:t> </w:t>
      </w:r>
      <w:r>
        <w:rPr>
          <w:sz w:val="24"/>
        </w:rPr>
        <w:t>file</w:t>
      </w:r>
      <w:r>
        <w:rPr>
          <w:spacing w:val="-3"/>
          <w:sz w:val="24"/>
        </w:rPr>
        <w:t> </w:t>
      </w:r>
      <w:r>
        <w:rPr>
          <w:sz w:val="24"/>
        </w:rPr>
        <w:t>a</w:t>
      </w:r>
      <w:r>
        <w:rPr>
          <w:spacing w:val="-3"/>
          <w:sz w:val="24"/>
        </w:rPr>
        <w:t> </w:t>
      </w:r>
      <w:r>
        <w:rPr>
          <w:sz w:val="24"/>
        </w:rPr>
        <w:t>complaint</w:t>
      </w:r>
      <w:r>
        <w:rPr>
          <w:spacing w:val="-2"/>
          <w:sz w:val="24"/>
        </w:rPr>
        <w:t> </w:t>
      </w:r>
      <w:r>
        <w:rPr>
          <w:sz w:val="24"/>
        </w:rPr>
        <w:t>with</w:t>
      </w:r>
      <w:r>
        <w:rPr>
          <w:spacing w:val="-3"/>
          <w:sz w:val="24"/>
        </w:rPr>
        <w:t> </w:t>
      </w:r>
      <w:r>
        <w:rPr>
          <w:sz w:val="24"/>
        </w:rPr>
        <w:t>the</w:t>
      </w:r>
      <w:r>
        <w:rPr>
          <w:spacing w:val="-4"/>
          <w:sz w:val="24"/>
        </w:rPr>
        <w:t> </w:t>
      </w:r>
      <w:r>
        <w:rPr>
          <w:sz w:val="24"/>
        </w:rPr>
        <w:t>U.S.</w:t>
      </w:r>
      <w:r>
        <w:rPr>
          <w:spacing w:val="-2"/>
          <w:sz w:val="24"/>
        </w:rPr>
        <w:t> </w:t>
      </w:r>
      <w:r>
        <w:rPr>
          <w:sz w:val="24"/>
        </w:rPr>
        <w:t>Department</w:t>
      </w:r>
      <w:r>
        <w:rPr>
          <w:spacing w:val="-2"/>
          <w:sz w:val="24"/>
        </w:rPr>
        <w:t> </w:t>
      </w:r>
      <w:r>
        <w:rPr>
          <w:sz w:val="24"/>
        </w:rPr>
        <w:t>of Education, if OSB or OSD violates the FERPA.</w:t>
      </w:r>
    </w:p>
    <w:p>
      <w:pPr>
        <w:pStyle w:val="ListParagraph"/>
        <w:numPr>
          <w:ilvl w:val="2"/>
          <w:numId w:val="344"/>
        </w:numPr>
        <w:tabs>
          <w:tab w:pos="1676" w:val="left" w:leader="none"/>
        </w:tabs>
        <w:spacing w:line="208" w:lineRule="auto" w:before="240" w:after="0"/>
        <w:ind w:left="1223" w:right="760" w:firstLine="0"/>
        <w:jc w:val="left"/>
        <w:rPr>
          <w:sz w:val="24"/>
        </w:rPr>
      </w:pPr>
      <w:r>
        <w:rPr>
          <w:sz w:val="24"/>
        </w:rPr>
        <w:t>The</w:t>
      </w:r>
      <w:r>
        <w:rPr>
          <w:spacing w:val="-4"/>
          <w:sz w:val="24"/>
        </w:rPr>
        <w:t> </w:t>
      </w:r>
      <w:r>
        <w:rPr>
          <w:sz w:val="24"/>
        </w:rPr>
        <w:t>procedure</w:t>
      </w:r>
      <w:r>
        <w:rPr>
          <w:spacing w:val="-4"/>
          <w:sz w:val="24"/>
        </w:rPr>
        <w:t> </w:t>
      </w:r>
      <w:r>
        <w:rPr>
          <w:sz w:val="24"/>
        </w:rPr>
        <w:t>that</w:t>
      </w:r>
      <w:r>
        <w:rPr>
          <w:spacing w:val="-3"/>
          <w:sz w:val="24"/>
        </w:rPr>
        <w:t> </w:t>
      </w:r>
      <w:r>
        <w:rPr>
          <w:sz w:val="24"/>
        </w:rPr>
        <w:t>a</w:t>
      </w:r>
      <w:r>
        <w:rPr>
          <w:spacing w:val="-4"/>
          <w:sz w:val="24"/>
        </w:rPr>
        <w:t> </w:t>
      </w:r>
      <w:r>
        <w:rPr>
          <w:sz w:val="24"/>
        </w:rPr>
        <w:t>student's</w:t>
      </w:r>
      <w:r>
        <w:rPr>
          <w:spacing w:val="-4"/>
          <w:sz w:val="24"/>
        </w:rPr>
        <w:t> </w:t>
      </w:r>
      <w:r>
        <w:rPr>
          <w:sz w:val="24"/>
        </w:rPr>
        <w:t>parent</w:t>
      </w:r>
      <w:r>
        <w:rPr>
          <w:spacing w:val="-3"/>
          <w:sz w:val="24"/>
        </w:rPr>
        <w:t> </w:t>
      </w:r>
      <w:r>
        <w:rPr>
          <w:sz w:val="24"/>
        </w:rPr>
        <w:t>or</w:t>
      </w:r>
      <w:r>
        <w:rPr>
          <w:spacing w:val="-3"/>
          <w:sz w:val="24"/>
        </w:rPr>
        <w:t> </w:t>
      </w:r>
      <w:r>
        <w:rPr>
          <w:sz w:val="24"/>
        </w:rPr>
        <w:t>an</w:t>
      </w:r>
      <w:r>
        <w:rPr>
          <w:spacing w:val="-4"/>
          <w:sz w:val="24"/>
        </w:rPr>
        <w:t> </w:t>
      </w:r>
      <w:r>
        <w:rPr>
          <w:sz w:val="24"/>
        </w:rPr>
        <w:t>eligible</w:t>
      </w:r>
      <w:r>
        <w:rPr>
          <w:spacing w:val="-3"/>
          <w:sz w:val="24"/>
        </w:rPr>
        <w:t> </w:t>
      </w:r>
      <w:r>
        <w:rPr>
          <w:sz w:val="24"/>
        </w:rPr>
        <w:t>student</w:t>
      </w:r>
      <w:r>
        <w:rPr>
          <w:spacing w:val="-3"/>
          <w:sz w:val="24"/>
        </w:rPr>
        <w:t> </w:t>
      </w:r>
      <w:r>
        <w:rPr>
          <w:sz w:val="24"/>
        </w:rPr>
        <w:t>should</w:t>
      </w:r>
      <w:r>
        <w:rPr>
          <w:spacing w:val="-4"/>
          <w:sz w:val="24"/>
        </w:rPr>
        <w:t> </w:t>
      </w:r>
      <w:r>
        <w:rPr>
          <w:sz w:val="24"/>
        </w:rPr>
        <w:t>follow</w:t>
      </w:r>
      <w:r>
        <w:rPr>
          <w:spacing w:val="-3"/>
          <w:sz w:val="24"/>
        </w:rPr>
        <w:t> </w:t>
      </w:r>
      <w:r>
        <w:rPr>
          <w:sz w:val="24"/>
        </w:rPr>
        <w:t>to obtain copies of this policy and the locations where copies may be obtained.</w:t>
      </w:r>
    </w:p>
    <w:p>
      <w:pPr>
        <w:pStyle w:val="ListParagraph"/>
        <w:numPr>
          <w:ilvl w:val="1"/>
          <w:numId w:val="344"/>
        </w:numPr>
        <w:tabs>
          <w:tab w:pos="1218" w:val="left" w:leader="none"/>
        </w:tabs>
        <w:spacing w:line="208" w:lineRule="auto" w:before="240" w:after="0"/>
        <w:ind w:left="792" w:right="1256" w:firstLine="0"/>
        <w:jc w:val="left"/>
        <w:rPr>
          <w:sz w:val="24"/>
        </w:rPr>
      </w:pPr>
      <w:r>
        <w:rPr>
          <w:sz w:val="24"/>
        </w:rPr>
        <w:t>The</w:t>
      </w:r>
      <w:r>
        <w:rPr>
          <w:spacing w:val="-4"/>
          <w:sz w:val="24"/>
        </w:rPr>
        <w:t> </w:t>
      </w:r>
      <w:r>
        <w:rPr>
          <w:sz w:val="24"/>
        </w:rPr>
        <w:t>district</w:t>
      </w:r>
      <w:r>
        <w:rPr>
          <w:spacing w:val="-3"/>
          <w:sz w:val="24"/>
        </w:rPr>
        <w:t> </w:t>
      </w:r>
      <w:r>
        <w:rPr>
          <w:sz w:val="24"/>
        </w:rPr>
        <w:t>will</w:t>
      </w:r>
      <w:r>
        <w:rPr>
          <w:spacing w:val="-4"/>
          <w:sz w:val="24"/>
        </w:rPr>
        <w:t> </w:t>
      </w:r>
      <w:r>
        <w:rPr>
          <w:sz w:val="24"/>
        </w:rPr>
        <w:t>arrange</w:t>
      </w:r>
      <w:r>
        <w:rPr>
          <w:spacing w:val="-4"/>
          <w:sz w:val="24"/>
        </w:rPr>
        <w:t> </w:t>
      </w:r>
      <w:r>
        <w:rPr>
          <w:sz w:val="24"/>
        </w:rPr>
        <w:t>to</w:t>
      </w:r>
      <w:r>
        <w:rPr>
          <w:spacing w:val="-4"/>
          <w:sz w:val="24"/>
        </w:rPr>
        <w:t> </w:t>
      </w:r>
      <w:r>
        <w:rPr>
          <w:sz w:val="24"/>
        </w:rPr>
        <w:t>provide</w:t>
      </w:r>
      <w:r>
        <w:rPr>
          <w:spacing w:val="-4"/>
          <w:sz w:val="24"/>
        </w:rPr>
        <w:t> </w:t>
      </w:r>
      <w:r>
        <w:rPr>
          <w:sz w:val="24"/>
        </w:rPr>
        <w:t>translations</w:t>
      </w:r>
      <w:r>
        <w:rPr>
          <w:spacing w:val="-4"/>
          <w:sz w:val="24"/>
        </w:rPr>
        <w:t> </w:t>
      </w:r>
      <w:r>
        <w:rPr>
          <w:sz w:val="24"/>
        </w:rPr>
        <w:t>of</w:t>
      </w:r>
      <w:r>
        <w:rPr>
          <w:spacing w:val="-3"/>
          <w:sz w:val="24"/>
        </w:rPr>
        <w:t> </w:t>
      </w:r>
      <w:r>
        <w:rPr>
          <w:sz w:val="24"/>
        </w:rPr>
        <w:t>this</w:t>
      </w:r>
      <w:r>
        <w:rPr>
          <w:spacing w:val="-4"/>
          <w:sz w:val="24"/>
        </w:rPr>
        <w:t> </w:t>
      </w:r>
      <w:r>
        <w:rPr>
          <w:sz w:val="24"/>
        </w:rPr>
        <w:t>notice</w:t>
      </w:r>
      <w:r>
        <w:rPr>
          <w:spacing w:val="-4"/>
          <w:sz w:val="24"/>
        </w:rPr>
        <w:t> </w:t>
      </w:r>
      <w:r>
        <w:rPr>
          <w:sz w:val="24"/>
        </w:rPr>
        <w:t>to</w:t>
      </w:r>
      <w:r>
        <w:rPr>
          <w:spacing w:val="-4"/>
          <w:sz w:val="24"/>
        </w:rPr>
        <w:t> </w:t>
      </w:r>
      <w:r>
        <w:rPr>
          <w:sz w:val="24"/>
        </w:rPr>
        <w:t>non-</w:t>
      </w:r>
      <w:r>
        <w:rPr>
          <w:spacing w:val="-4"/>
          <w:sz w:val="24"/>
        </w:rPr>
        <w:t> </w:t>
      </w:r>
      <w:r>
        <w:rPr>
          <w:sz w:val="24"/>
        </w:rPr>
        <w:t>English speaking parents in their native language to the extent possible including explanations using sign language if necessary.</w:t>
      </w:r>
    </w:p>
    <w:p>
      <w:pPr>
        <w:pStyle w:val="ListParagraph"/>
        <w:spacing w:after="0" w:line="208" w:lineRule="auto"/>
        <w:jc w:val="left"/>
        <w:rPr>
          <w:sz w:val="24"/>
        </w:rPr>
        <w:sectPr>
          <w:pgSz w:w="12240" w:h="15840"/>
          <w:pgMar w:top="1340" w:bottom="280" w:left="1080" w:right="720"/>
        </w:sectPr>
      </w:pPr>
    </w:p>
    <w:p>
      <w:pPr>
        <w:pStyle w:val="ListParagraph"/>
        <w:numPr>
          <w:ilvl w:val="0"/>
          <w:numId w:val="344"/>
        </w:numPr>
        <w:tabs>
          <w:tab w:pos="785" w:val="left" w:leader="none"/>
        </w:tabs>
        <w:spacing w:line="208" w:lineRule="auto" w:before="96" w:after="0"/>
        <w:ind w:left="360" w:right="941" w:firstLine="0"/>
        <w:jc w:val="left"/>
        <w:rPr>
          <w:sz w:val="24"/>
        </w:rPr>
      </w:pPr>
      <w:r>
        <w:rPr>
          <w:b/>
          <w:sz w:val="24"/>
        </w:rPr>
        <w:t>Access to school records for research purposes.</w:t>
      </w:r>
      <w:r>
        <w:rPr>
          <w:b/>
          <w:spacing w:val="40"/>
          <w:sz w:val="24"/>
        </w:rPr>
        <w:t> </w:t>
      </w:r>
      <w:r>
        <w:rPr>
          <w:sz w:val="24"/>
        </w:rPr>
        <w:t>The Commission for Rehabilitation</w:t>
      </w:r>
      <w:r>
        <w:rPr>
          <w:spacing w:val="-5"/>
          <w:sz w:val="24"/>
        </w:rPr>
        <w:t> </w:t>
      </w:r>
      <w:r>
        <w:rPr>
          <w:sz w:val="24"/>
        </w:rPr>
        <w:t>Services</w:t>
      </w:r>
      <w:r>
        <w:rPr>
          <w:spacing w:val="-5"/>
          <w:sz w:val="24"/>
        </w:rPr>
        <w:t> </w:t>
      </w:r>
      <w:r>
        <w:rPr>
          <w:sz w:val="24"/>
        </w:rPr>
        <w:t>has</w:t>
      </w:r>
      <w:r>
        <w:rPr>
          <w:spacing w:val="-5"/>
          <w:sz w:val="24"/>
        </w:rPr>
        <w:t> </w:t>
      </w:r>
      <w:r>
        <w:rPr>
          <w:sz w:val="24"/>
        </w:rPr>
        <w:t>supervision</w:t>
      </w:r>
      <w:r>
        <w:rPr>
          <w:spacing w:val="-5"/>
          <w:sz w:val="24"/>
        </w:rPr>
        <w:t> </w:t>
      </w:r>
      <w:r>
        <w:rPr>
          <w:sz w:val="24"/>
        </w:rPr>
        <w:t>over</w:t>
      </w:r>
      <w:r>
        <w:rPr>
          <w:spacing w:val="-3"/>
          <w:sz w:val="24"/>
        </w:rPr>
        <w:t> </w:t>
      </w:r>
      <w:r>
        <w:rPr>
          <w:sz w:val="24"/>
        </w:rPr>
        <w:t>all</w:t>
      </w:r>
      <w:r>
        <w:rPr>
          <w:spacing w:val="-5"/>
          <w:sz w:val="24"/>
        </w:rPr>
        <w:t> </w:t>
      </w:r>
      <w:r>
        <w:rPr>
          <w:sz w:val="24"/>
        </w:rPr>
        <w:t>personal</w:t>
      </w:r>
      <w:r>
        <w:rPr>
          <w:spacing w:val="-5"/>
          <w:sz w:val="24"/>
        </w:rPr>
        <w:t> </w:t>
      </w:r>
      <w:r>
        <w:rPr>
          <w:sz w:val="24"/>
        </w:rPr>
        <w:t>property,</w:t>
      </w:r>
      <w:r>
        <w:rPr>
          <w:spacing w:val="-6"/>
          <w:sz w:val="24"/>
        </w:rPr>
        <w:t> </w:t>
      </w:r>
      <w:r>
        <w:rPr>
          <w:sz w:val="24"/>
        </w:rPr>
        <w:t>records,</w:t>
      </w:r>
      <w:r>
        <w:rPr>
          <w:spacing w:val="-4"/>
          <w:sz w:val="24"/>
        </w:rPr>
        <w:t> </w:t>
      </w:r>
      <w:r>
        <w:rPr>
          <w:sz w:val="24"/>
        </w:rPr>
        <w:t>equipment and supplies used by OSB and OSD.</w:t>
      </w:r>
      <w:r>
        <w:rPr>
          <w:spacing w:val="40"/>
          <w:sz w:val="24"/>
        </w:rPr>
        <w:t> </w:t>
      </w:r>
      <w:r>
        <w:rPr>
          <w:sz w:val="24"/>
        </w:rPr>
        <w:t>Any records which a researcher may wish to inspect and copy are in the custody of the Commission.</w:t>
      </w:r>
      <w:r>
        <w:rPr>
          <w:spacing w:val="40"/>
          <w:sz w:val="24"/>
        </w:rPr>
        <w:t> </w:t>
      </w:r>
      <w:r>
        <w:rPr>
          <w:sz w:val="24"/>
        </w:rPr>
        <w:t>Requests to examine school records</w:t>
      </w:r>
      <w:r>
        <w:rPr>
          <w:spacing w:val="-1"/>
          <w:sz w:val="24"/>
        </w:rPr>
        <w:t> </w:t>
      </w:r>
      <w:r>
        <w:rPr>
          <w:sz w:val="24"/>
        </w:rPr>
        <w:t>will be</w:t>
      </w:r>
      <w:r>
        <w:rPr>
          <w:spacing w:val="-1"/>
          <w:sz w:val="24"/>
        </w:rPr>
        <w:t> </w:t>
      </w:r>
      <w:r>
        <w:rPr>
          <w:sz w:val="24"/>
        </w:rPr>
        <w:t>processed</w:t>
      </w:r>
      <w:r>
        <w:rPr>
          <w:spacing w:val="-1"/>
          <w:sz w:val="24"/>
        </w:rPr>
        <w:t> </w:t>
      </w:r>
      <w:r>
        <w:rPr>
          <w:sz w:val="24"/>
        </w:rPr>
        <w:t>through</w:t>
      </w:r>
      <w:r>
        <w:rPr>
          <w:spacing w:val="-1"/>
          <w:sz w:val="24"/>
        </w:rPr>
        <w:t> </w:t>
      </w:r>
      <w:r>
        <w:rPr>
          <w:sz w:val="24"/>
        </w:rPr>
        <w:t>the</w:t>
      </w:r>
      <w:r>
        <w:rPr>
          <w:spacing w:val="-1"/>
          <w:sz w:val="24"/>
        </w:rPr>
        <w:t> </w:t>
      </w:r>
      <w:r>
        <w:rPr>
          <w:sz w:val="24"/>
        </w:rPr>
        <w:t>school</w:t>
      </w:r>
      <w:r>
        <w:rPr>
          <w:spacing w:val="-1"/>
          <w:sz w:val="24"/>
        </w:rPr>
        <w:t> </w:t>
      </w:r>
      <w:r>
        <w:rPr>
          <w:sz w:val="24"/>
        </w:rPr>
        <w:t>superintendent's</w:t>
      </w:r>
      <w:r>
        <w:rPr>
          <w:spacing w:val="-1"/>
          <w:sz w:val="24"/>
        </w:rPr>
        <w:t> </w:t>
      </w:r>
      <w:r>
        <w:rPr>
          <w:sz w:val="24"/>
        </w:rPr>
        <w:t>office</w:t>
      </w:r>
      <w:r>
        <w:rPr>
          <w:spacing w:val="-1"/>
          <w:sz w:val="24"/>
        </w:rPr>
        <w:t> </w:t>
      </w:r>
      <w:r>
        <w:rPr>
          <w:sz w:val="24"/>
        </w:rPr>
        <w:t>and</w:t>
      </w:r>
      <w:r>
        <w:rPr>
          <w:spacing w:val="-1"/>
          <w:sz w:val="24"/>
        </w:rPr>
        <w:t> </w:t>
      </w:r>
      <w:r>
        <w:rPr>
          <w:sz w:val="24"/>
        </w:rPr>
        <w:t>be</w:t>
      </w:r>
      <w:r>
        <w:rPr>
          <w:spacing w:val="-1"/>
          <w:sz w:val="24"/>
        </w:rPr>
        <w:t> </w:t>
      </w:r>
      <w:r>
        <w:rPr>
          <w:sz w:val="24"/>
        </w:rPr>
        <w:t>subject to parental approval.</w:t>
      </w:r>
    </w:p>
    <w:p>
      <w:pPr>
        <w:pStyle w:val="ListParagraph"/>
        <w:numPr>
          <w:ilvl w:val="0"/>
          <w:numId w:val="344"/>
        </w:numPr>
        <w:tabs>
          <w:tab w:pos="786" w:val="left" w:leader="none"/>
        </w:tabs>
        <w:spacing w:line="208" w:lineRule="auto" w:before="239" w:after="0"/>
        <w:ind w:left="360" w:right="833" w:firstLine="0"/>
        <w:jc w:val="left"/>
        <w:rPr>
          <w:sz w:val="24"/>
        </w:rPr>
      </w:pPr>
      <w:r>
        <w:rPr>
          <w:b/>
          <w:sz w:val="24"/>
        </w:rPr>
        <w:t>Release of medical information.</w:t>
      </w:r>
      <w:r>
        <w:rPr>
          <w:b/>
          <w:spacing w:val="40"/>
          <w:sz w:val="24"/>
        </w:rPr>
        <w:t> </w:t>
      </w:r>
      <w:r>
        <w:rPr>
          <w:sz w:val="24"/>
        </w:rPr>
        <w:t>Medical information contained in a child's case record is confidential.</w:t>
      </w:r>
      <w:r>
        <w:rPr>
          <w:spacing w:val="40"/>
          <w:sz w:val="24"/>
        </w:rPr>
        <w:t> </w:t>
      </w:r>
      <w:r>
        <w:rPr>
          <w:sz w:val="24"/>
        </w:rPr>
        <w:t>Employees are not to release medical information except for purposes directly relating to the program for particular child or except in the administration of the school's programs.</w:t>
      </w:r>
      <w:r>
        <w:rPr>
          <w:spacing w:val="40"/>
          <w:sz w:val="24"/>
        </w:rPr>
        <w:t> </w:t>
      </w:r>
      <w:r>
        <w:rPr>
          <w:sz w:val="24"/>
        </w:rPr>
        <w:t>Various units or divisions within the Department may request medical information regarding persons receiving services. This</w:t>
      </w:r>
      <w:r>
        <w:rPr>
          <w:spacing w:val="-3"/>
          <w:sz w:val="24"/>
        </w:rPr>
        <w:t> </w:t>
      </w:r>
      <w:r>
        <w:rPr>
          <w:sz w:val="24"/>
        </w:rPr>
        <w:t>medical</w:t>
      </w:r>
      <w:r>
        <w:rPr>
          <w:spacing w:val="-3"/>
          <w:sz w:val="24"/>
        </w:rPr>
        <w:t> </w:t>
      </w:r>
      <w:r>
        <w:rPr>
          <w:sz w:val="24"/>
        </w:rPr>
        <w:t>information</w:t>
      </w:r>
      <w:r>
        <w:rPr>
          <w:spacing w:val="-3"/>
          <w:sz w:val="24"/>
        </w:rPr>
        <w:t> </w:t>
      </w:r>
      <w:r>
        <w:rPr>
          <w:sz w:val="24"/>
        </w:rPr>
        <w:t>may</w:t>
      </w:r>
      <w:r>
        <w:rPr>
          <w:spacing w:val="-3"/>
          <w:sz w:val="24"/>
        </w:rPr>
        <w:t> </w:t>
      </w:r>
      <w:r>
        <w:rPr>
          <w:sz w:val="24"/>
        </w:rPr>
        <w:t>be</w:t>
      </w:r>
      <w:r>
        <w:rPr>
          <w:spacing w:val="-4"/>
          <w:sz w:val="24"/>
        </w:rPr>
        <w:t> </w:t>
      </w:r>
      <w:r>
        <w:rPr>
          <w:sz w:val="24"/>
        </w:rPr>
        <w:t>shared</w:t>
      </w:r>
      <w:r>
        <w:rPr>
          <w:spacing w:val="-3"/>
          <w:sz w:val="24"/>
        </w:rPr>
        <w:t> </w:t>
      </w:r>
      <w:r>
        <w:rPr>
          <w:sz w:val="24"/>
        </w:rPr>
        <w:t>in</w:t>
      </w:r>
      <w:r>
        <w:rPr>
          <w:spacing w:val="-3"/>
          <w:sz w:val="24"/>
        </w:rPr>
        <w:t> </w:t>
      </w:r>
      <w:r>
        <w:rPr>
          <w:sz w:val="24"/>
        </w:rPr>
        <w:t>order</w:t>
      </w:r>
      <w:r>
        <w:rPr>
          <w:spacing w:val="-2"/>
          <w:sz w:val="24"/>
        </w:rPr>
        <w:t> </w:t>
      </w:r>
      <w:r>
        <w:rPr>
          <w:sz w:val="24"/>
        </w:rPr>
        <w:t>to</w:t>
      </w:r>
      <w:r>
        <w:rPr>
          <w:spacing w:val="-3"/>
          <w:sz w:val="24"/>
        </w:rPr>
        <w:t> </w:t>
      </w:r>
      <w:r>
        <w:rPr>
          <w:sz w:val="24"/>
        </w:rPr>
        <w:t>expedite</w:t>
      </w:r>
      <w:r>
        <w:rPr>
          <w:spacing w:val="-3"/>
          <w:sz w:val="24"/>
        </w:rPr>
        <w:t> </w:t>
      </w:r>
      <w:r>
        <w:rPr>
          <w:sz w:val="24"/>
        </w:rPr>
        <w:t>services</w:t>
      </w:r>
      <w:r>
        <w:rPr>
          <w:spacing w:val="-3"/>
          <w:sz w:val="24"/>
        </w:rPr>
        <w:t> </w:t>
      </w:r>
      <w:r>
        <w:rPr>
          <w:sz w:val="24"/>
        </w:rPr>
        <w:t>for</w:t>
      </w:r>
      <w:r>
        <w:rPr>
          <w:spacing w:val="-4"/>
          <w:sz w:val="24"/>
        </w:rPr>
        <w:t> </w:t>
      </w:r>
      <w:r>
        <w:rPr>
          <w:sz w:val="24"/>
        </w:rPr>
        <w:t>those</w:t>
      </w:r>
      <w:r>
        <w:rPr>
          <w:spacing w:val="-3"/>
          <w:sz w:val="24"/>
        </w:rPr>
        <w:t> </w:t>
      </w:r>
      <w:r>
        <w:rPr>
          <w:sz w:val="24"/>
        </w:rPr>
        <w:t>persons in the administration of our own programs.</w:t>
      </w:r>
    </w:p>
    <w:p>
      <w:pPr>
        <w:pStyle w:val="ListParagraph"/>
        <w:numPr>
          <w:ilvl w:val="0"/>
          <w:numId w:val="344"/>
        </w:numPr>
        <w:tabs>
          <w:tab w:pos="705" w:val="left" w:leader="none"/>
        </w:tabs>
        <w:spacing w:line="208" w:lineRule="auto" w:before="240" w:after="0"/>
        <w:ind w:left="360" w:right="791" w:firstLine="0"/>
        <w:jc w:val="left"/>
        <w:rPr>
          <w:sz w:val="24"/>
        </w:rPr>
      </w:pPr>
      <w:r>
        <w:rPr>
          <w:b/>
          <w:sz w:val="24"/>
        </w:rPr>
        <w:t>Medical</w:t>
      </w:r>
      <w:r>
        <w:rPr>
          <w:b/>
          <w:spacing w:val="-3"/>
          <w:sz w:val="24"/>
        </w:rPr>
        <w:t> </w:t>
      </w:r>
      <w:r>
        <w:rPr>
          <w:b/>
          <w:sz w:val="24"/>
        </w:rPr>
        <w:t>emergency.</w:t>
      </w:r>
      <w:r>
        <w:rPr>
          <w:b/>
          <w:spacing w:val="40"/>
          <w:sz w:val="24"/>
        </w:rPr>
        <w:t> </w:t>
      </w:r>
      <w:r>
        <w:rPr>
          <w:sz w:val="24"/>
        </w:rPr>
        <w:t>In</w:t>
      </w:r>
      <w:r>
        <w:rPr>
          <w:spacing w:val="-2"/>
          <w:sz w:val="24"/>
        </w:rPr>
        <w:t> </w:t>
      </w:r>
      <w:r>
        <w:rPr>
          <w:sz w:val="24"/>
        </w:rPr>
        <w:t>the</w:t>
      </w:r>
      <w:r>
        <w:rPr>
          <w:spacing w:val="-2"/>
          <w:sz w:val="24"/>
        </w:rPr>
        <w:t> </w:t>
      </w:r>
      <w:r>
        <w:rPr>
          <w:sz w:val="24"/>
        </w:rPr>
        <w:t>event</w:t>
      </w:r>
      <w:r>
        <w:rPr>
          <w:spacing w:val="-1"/>
          <w:sz w:val="24"/>
        </w:rPr>
        <w:t> </w:t>
      </w:r>
      <w:r>
        <w:rPr>
          <w:sz w:val="24"/>
        </w:rPr>
        <w:t>of</w:t>
      </w:r>
      <w:r>
        <w:rPr>
          <w:spacing w:val="-1"/>
          <w:sz w:val="24"/>
        </w:rPr>
        <w:t> </w:t>
      </w:r>
      <w:r>
        <w:rPr>
          <w:sz w:val="24"/>
        </w:rPr>
        <w:t>a</w:t>
      </w:r>
      <w:r>
        <w:rPr>
          <w:spacing w:val="-3"/>
          <w:sz w:val="24"/>
        </w:rPr>
        <w:t> </w:t>
      </w:r>
      <w:r>
        <w:rPr>
          <w:sz w:val="24"/>
        </w:rPr>
        <w:t>medical</w:t>
      </w:r>
      <w:r>
        <w:rPr>
          <w:spacing w:val="-2"/>
          <w:sz w:val="24"/>
        </w:rPr>
        <w:t> </w:t>
      </w:r>
      <w:r>
        <w:rPr>
          <w:sz w:val="24"/>
        </w:rPr>
        <w:t>emergency,</w:t>
      </w:r>
      <w:r>
        <w:rPr>
          <w:spacing w:val="-1"/>
          <w:sz w:val="24"/>
        </w:rPr>
        <w:t> </w:t>
      </w:r>
      <w:r>
        <w:rPr>
          <w:sz w:val="24"/>
        </w:rPr>
        <w:t>the</w:t>
      </w:r>
      <w:r>
        <w:rPr>
          <w:spacing w:val="-3"/>
          <w:sz w:val="24"/>
        </w:rPr>
        <w:t> </w:t>
      </w:r>
      <w:r>
        <w:rPr>
          <w:sz w:val="24"/>
        </w:rPr>
        <w:t>superintendent</w:t>
      </w:r>
      <w:r>
        <w:rPr>
          <w:spacing w:val="-1"/>
          <w:sz w:val="24"/>
        </w:rPr>
        <w:t> </w:t>
      </w:r>
      <w:r>
        <w:rPr>
          <w:sz w:val="24"/>
        </w:rPr>
        <w:t>may release to physicians information from the medical record that has a direct bearing on the</w:t>
      </w:r>
      <w:r>
        <w:rPr>
          <w:spacing w:val="-3"/>
          <w:sz w:val="24"/>
        </w:rPr>
        <w:t> </w:t>
      </w:r>
      <w:r>
        <w:rPr>
          <w:sz w:val="24"/>
        </w:rPr>
        <w:t>medical</w:t>
      </w:r>
      <w:r>
        <w:rPr>
          <w:spacing w:val="-3"/>
          <w:sz w:val="24"/>
        </w:rPr>
        <w:t> </w:t>
      </w:r>
      <w:r>
        <w:rPr>
          <w:sz w:val="24"/>
        </w:rPr>
        <w:t>emergency.</w:t>
      </w:r>
      <w:r>
        <w:rPr>
          <w:spacing w:val="-3"/>
          <w:sz w:val="24"/>
        </w:rPr>
        <w:t> </w:t>
      </w:r>
      <w:r>
        <w:rPr>
          <w:sz w:val="24"/>
        </w:rPr>
        <w:t>The</w:t>
      </w:r>
      <w:r>
        <w:rPr>
          <w:spacing w:val="-3"/>
          <w:sz w:val="24"/>
        </w:rPr>
        <w:t> </w:t>
      </w:r>
      <w:r>
        <w:rPr>
          <w:sz w:val="24"/>
        </w:rPr>
        <w:t>superintendent</w:t>
      </w:r>
      <w:r>
        <w:rPr>
          <w:spacing w:val="-2"/>
          <w:sz w:val="24"/>
        </w:rPr>
        <w:t> </w:t>
      </w:r>
      <w:r>
        <w:rPr>
          <w:sz w:val="24"/>
        </w:rPr>
        <w:t>will</w:t>
      </w:r>
      <w:r>
        <w:rPr>
          <w:spacing w:val="-3"/>
          <w:sz w:val="24"/>
        </w:rPr>
        <w:t> </w:t>
      </w:r>
      <w:r>
        <w:rPr>
          <w:sz w:val="24"/>
        </w:rPr>
        <w:t>use</w:t>
      </w:r>
      <w:r>
        <w:rPr>
          <w:spacing w:val="-3"/>
          <w:sz w:val="24"/>
        </w:rPr>
        <w:t> </w:t>
      </w:r>
      <w:r>
        <w:rPr>
          <w:sz w:val="24"/>
        </w:rPr>
        <w:t>her</w:t>
      </w:r>
      <w:r>
        <w:rPr>
          <w:spacing w:val="-3"/>
          <w:sz w:val="24"/>
        </w:rPr>
        <w:t> </w:t>
      </w:r>
      <w:r>
        <w:rPr>
          <w:sz w:val="24"/>
        </w:rPr>
        <w:t>or</w:t>
      </w:r>
      <w:r>
        <w:rPr>
          <w:spacing w:val="-3"/>
          <w:sz w:val="24"/>
        </w:rPr>
        <w:t> </w:t>
      </w:r>
      <w:r>
        <w:rPr>
          <w:sz w:val="24"/>
        </w:rPr>
        <w:t>his</w:t>
      </w:r>
      <w:r>
        <w:rPr>
          <w:spacing w:val="-3"/>
          <w:sz w:val="24"/>
        </w:rPr>
        <w:t> </w:t>
      </w:r>
      <w:r>
        <w:rPr>
          <w:sz w:val="24"/>
        </w:rPr>
        <w:t>own</w:t>
      </w:r>
      <w:r>
        <w:rPr>
          <w:spacing w:val="-3"/>
          <w:sz w:val="24"/>
        </w:rPr>
        <w:t> </w:t>
      </w:r>
      <w:r>
        <w:rPr>
          <w:sz w:val="24"/>
        </w:rPr>
        <w:t>judgement</w:t>
      </w:r>
      <w:r>
        <w:rPr>
          <w:spacing w:val="-3"/>
          <w:sz w:val="24"/>
        </w:rPr>
        <w:t> </w:t>
      </w:r>
      <w:r>
        <w:rPr>
          <w:sz w:val="24"/>
        </w:rPr>
        <w:t>as</w:t>
      </w:r>
      <w:r>
        <w:rPr>
          <w:spacing w:val="-3"/>
          <w:sz w:val="24"/>
        </w:rPr>
        <w:t> </w:t>
      </w:r>
      <w:r>
        <w:rPr>
          <w:sz w:val="24"/>
        </w:rPr>
        <w:t>to</w:t>
      </w:r>
      <w:r>
        <w:rPr>
          <w:spacing w:val="-4"/>
          <w:sz w:val="24"/>
        </w:rPr>
        <w:t> </w:t>
      </w:r>
      <w:r>
        <w:rPr>
          <w:sz w:val="24"/>
        </w:rPr>
        <w:t>the extent of the information releases.</w:t>
      </w:r>
      <w:r>
        <w:rPr>
          <w:spacing w:val="40"/>
          <w:sz w:val="24"/>
        </w:rPr>
        <w:t> </w:t>
      </w:r>
      <w:r>
        <w:rPr>
          <w:sz w:val="24"/>
        </w:rPr>
        <w:t>The superintendent has the authority to act in the best interest of the child in an emergency when parents/guardian cannot be reached.</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7-1-95</w:t>
      </w:r>
      <w:r>
        <w:rPr>
          <w:sz w:val="22"/>
        </w:rPr>
        <w:tab/>
        <w:t>PT Memo #95-2</w:t>
      </w:r>
    </w:p>
    <w:p>
      <w:pPr>
        <w:spacing w:before="1"/>
        <w:ind w:left="1439" w:right="0" w:firstLine="0"/>
        <w:jc w:val="left"/>
        <w:rPr>
          <w:sz w:val="22"/>
        </w:rPr>
      </w:pPr>
      <w:r>
        <w:rPr>
          <w:sz w:val="22"/>
        </w:rPr>
        <w:t>Permanent,</w:t>
      </w:r>
      <w:r>
        <w:rPr>
          <w:spacing w:val="-6"/>
          <w:sz w:val="22"/>
        </w:rPr>
        <w:t> </w:t>
      </w:r>
      <w:r>
        <w:rPr>
          <w:sz w:val="22"/>
        </w:rPr>
        <w:t>changed</w:t>
      </w:r>
      <w:r>
        <w:rPr>
          <w:spacing w:val="-7"/>
          <w:sz w:val="22"/>
        </w:rPr>
        <w:t> </w:t>
      </w:r>
      <w:r>
        <w:rPr>
          <w:sz w:val="22"/>
        </w:rPr>
        <w:t>tabular</w:t>
      </w:r>
      <w:r>
        <w:rPr>
          <w:spacing w:val="-7"/>
          <w:sz w:val="22"/>
        </w:rPr>
        <w:t> </w:t>
      </w:r>
      <w:r>
        <w:rPr>
          <w:sz w:val="22"/>
        </w:rPr>
        <w:t>format</w:t>
      </w:r>
      <w:r>
        <w:rPr>
          <w:spacing w:val="-7"/>
          <w:sz w:val="22"/>
        </w:rPr>
        <w:t> </w:t>
      </w:r>
      <w:r>
        <w:rPr>
          <w:sz w:val="22"/>
        </w:rPr>
        <w:t>in</w:t>
      </w:r>
      <w:r>
        <w:rPr>
          <w:spacing w:val="-6"/>
          <w:sz w:val="22"/>
        </w:rPr>
        <w:t> </w:t>
      </w:r>
      <w:r>
        <w:rPr>
          <w:sz w:val="22"/>
        </w:rPr>
        <w:t>(e)</w:t>
      </w:r>
      <w:r>
        <w:rPr>
          <w:spacing w:val="-7"/>
          <w:sz w:val="22"/>
        </w:rPr>
        <w:t> </w:t>
      </w:r>
      <w:r>
        <w:rPr>
          <w:sz w:val="22"/>
        </w:rPr>
        <w:t>to</w:t>
      </w:r>
      <w:r>
        <w:rPr>
          <w:spacing w:val="-7"/>
          <w:sz w:val="22"/>
        </w:rPr>
        <w:t> </w:t>
      </w:r>
      <w:r>
        <w:rPr>
          <w:sz w:val="22"/>
        </w:rPr>
        <w:t>acceptable</w:t>
      </w:r>
      <w:r>
        <w:rPr>
          <w:spacing w:val="-7"/>
          <w:sz w:val="22"/>
        </w:rPr>
        <w:t> </w:t>
      </w:r>
      <w:r>
        <w:rPr>
          <w:sz w:val="22"/>
        </w:rPr>
        <w:t>APA</w:t>
      </w:r>
      <w:r>
        <w:rPr>
          <w:spacing w:val="-7"/>
          <w:sz w:val="22"/>
        </w:rPr>
        <w:t> </w:t>
      </w:r>
      <w:r>
        <w:rPr>
          <w:spacing w:val="-2"/>
          <w:sz w:val="22"/>
        </w:rPr>
        <w:t>format</w:t>
      </w:r>
    </w:p>
    <w:p>
      <w:pPr>
        <w:spacing w:after="0"/>
        <w:jc w:val="left"/>
        <w:rPr>
          <w:sz w:val="22"/>
        </w:rPr>
        <w:sectPr>
          <w:pgSz w:w="12240" w:h="15840"/>
          <w:pgMar w:top="1340" w:bottom="280" w:left="1080" w:right="720"/>
        </w:sectPr>
      </w:pPr>
    </w:p>
    <w:p>
      <w:pPr>
        <w:pStyle w:val="Heading2"/>
      </w:pPr>
      <w:bookmarkStart w:name="612:20-3-5.  Departmental resources" w:id="344"/>
      <w:bookmarkEnd w:id="344"/>
      <w:r>
        <w:rPr>
          <w:b w:val="0"/>
        </w:rPr>
      </w:r>
      <w:r>
        <w:rPr/>
        <w:t>612:20-3-5.</w:t>
      </w:r>
      <w:r>
        <w:rPr>
          <w:spacing w:val="57"/>
        </w:rPr>
        <w:t> </w:t>
      </w:r>
      <w:r>
        <w:rPr/>
        <w:t>Departmental</w:t>
      </w:r>
      <w:r>
        <w:rPr>
          <w:spacing w:val="-4"/>
        </w:rPr>
        <w:t> </w:t>
      </w:r>
      <w:r>
        <w:rPr>
          <w:spacing w:val="-2"/>
        </w:rPr>
        <w:t>resources</w:t>
      </w:r>
    </w:p>
    <w:p>
      <w:pPr>
        <w:pStyle w:val="ListParagraph"/>
        <w:numPr>
          <w:ilvl w:val="0"/>
          <w:numId w:val="345"/>
        </w:numPr>
        <w:tabs>
          <w:tab w:pos="785" w:val="left" w:leader="none"/>
        </w:tabs>
        <w:spacing w:line="208" w:lineRule="auto" w:before="233" w:after="0"/>
        <w:ind w:left="360" w:right="819" w:firstLine="0"/>
        <w:jc w:val="left"/>
        <w:rPr>
          <w:sz w:val="24"/>
        </w:rPr>
      </w:pPr>
      <w:r>
        <w:rPr>
          <w:b/>
          <w:sz w:val="24"/>
        </w:rPr>
        <w:t>In-service training.</w:t>
      </w:r>
      <w:r>
        <w:rPr>
          <w:b/>
          <w:spacing w:val="40"/>
          <w:sz w:val="24"/>
        </w:rPr>
        <w:t> </w:t>
      </w:r>
      <w:r>
        <w:rPr>
          <w:sz w:val="24"/>
        </w:rPr>
        <w:t>State Office staff are available as resource persons through the Staff Development Unit.</w:t>
      </w:r>
      <w:r>
        <w:rPr>
          <w:spacing w:val="40"/>
          <w:sz w:val="24"/>
        </w:rPr>
        <w:t> </w:t>
      </w:r>
      <w:r>
        <w:rPr>
          <w:sz w:val="24"/>
        </w:rPr>
        <w:t>They are charged by the director with the responsibility of assisting</w:t>
      </w:r>
      <w:r>
        <w:rPr>
          <w:spacing w:val="-2"/>
          <w:sz w:val="24"/>
        </w:rPr>
        <w:t> </w:t>
      </w:r>
      <w:r>
        <w:rPr>
          <w:sz w:val="24"/>
        </w:rPr>
        <w:t>the</w:t>
      </w:r>
      <w:r>
        <w:rPr>
          <w:spacing w:val="-2"/>
          <w:sz w:val="24"/>
        </w:rPr>
        <w:t> </w:t>
      </w:r>
      <w:r>
        <w:rPr>
          <w:sz w:val="24"/>
        </w:rPr>
        <w:t>superintendents</w:t>
      </w:r>
      <w:r>
        <w:rPr>
          <w:spacing w:val="-2"/>
          <w:sz w:val="24"/>
        </w:rPr>
        <w:t> </w:t>
      </w:r>
      <w:r>
        <w:rPr>
          <w:sz w:val="24"/>
        </w:rPr>
        <w:t>with</w:t>
      </w:r>
      <w:r>
        <w:rPr>
          <w:spacing w:val="-1"/>
          <w:sz w:val="24"/>
        </w:rPr>
        <w:t> </w:t>
      </w:r>
      <w:r>
        <w:rPr>
          <w:sz w:val="24"/>
        </w:rPr>
        <w:t>the</w:t>
      </w:r>
      <w:r>
        <w:rPr>
          <w:spacing w:val="-2"/>
          <w:sz w:val="24"/>
        </w:rPr>
        <w:t> </w:t>
      </w:r>
      <w:r>
        <w:rPr>
          <w:sz w:val="24"/>
        </w:rPr>
        <w:t>development</w:t>
      </w:r>
      <w:r>
        <w:rPr>
          <w:spacing w:val="-1"/>
          <w:sz w:val="24"/>
        </w:rPr>
        <w:t> </w:t>
      </w:r>
      <w:r>
        <w:rPr>
          <w:sz w:val="24"/>
        </w:rPr>
        <w:t>of</w:t>
      </w:r>
      <w:r>
        <w:rPr>
          <w:spacing w:val="-1"/>
          <w:sz w:val="24"/>
        </w:rPr>
        <w:t> </w:t>
      </w:r>
      <w:r>
        <w:rPr>
          <w:sz w:val="24"/>
        </w:rPr>
        <w:t>a</w:t>
      </w:r>
      <w:r>
        <w:rPr>
          <w:spacing w:val="-3"/>
          <w:sz w:val="24"/>
        </w:rPr>
        <w:t> </w:t>
      </w:r>
      <w:r>
        <w:rPr>
          <w:sz w:val="24"/>
        </w:rPr>
        <w:t>meaningful,</w:t>
      </w:r>
      <w:r>
        <w:rPr>
          <w:spacing w:val="-1"/>
          <w:sz w:val="24"/>
        </w:rPr>
        <w:t> </w:t>
      </w:r>
      <w:r>
        <w:rPr>
          <w:sz w:val="24"/>
        </w:rPr>
        <w:t>ongoing</w:t>
      </w:r>
      <w:r>
        <w:rPr>
          <w:spacing w:val="-2"/>
          <w:sz w:val="24"/>
        </w:rPr>
        <w:t> </w:t>
      </w:r>
      <w:r>
        <w:rPr>
          <w:sz w:val="24"/>
        </w:rPr>
        <w:t>in-service training</w:t>
      </w:r>
      <w:r>
        <w:rPr>
          <w:spacing w:val="-4"/>
          <w:sz w:val="24"/>
        </w:rPr>
        <w:t> </w:t>
      </w:r>
      <w:r>
        <w:rPr>
          <w:sz w:val="24"/>
        </w:rPr>
        <w:t>program</w:t>
      </w:r>
      <w:r>
        <w:rPr>
          <w:spacing w:val="-3"/>
          <w:sz w:val="24"/>
        </w:rPr>
        <w:t> </w:t>
      </w:r>
      <w:r>
        <w:rPr>
          <w:sz w:val="24"/>
        </w:rPr>
        <w:t>patterned</w:t>
      </w:r>
      <w:r>
        <w:rPr>
          <w:spacing w:val="-4"/>
          <w:sz w:val="24"/>
        </w:rPr>
        <w:t> </w:t>
      </w:r>
      <w:r>
        <w:rPr>
          <w:sz w:val="24"/>
        </w:rPr>
        <w:t>to</w:t>
      </w:r>
      <w:r>
        <w:rPr>
          <w:spacing w:val="-4"/>
          <w:sz w:val="24"/>
        </w:rPr>
        <w:t> </w:t>
      </w:r>
      <w:r>
        <w:rPr>
          <w:sz w:val="24"/>
        </w:rPr>
        <w:t>serve</w:t>
      </w:r>
      <w:r>
        <w:rPr>
          <w:spacing w:val="-4"/>
          <w:sz w:val="24"/>
        </w:rPr>
        <w:t> </w:t>
      </w:r>
      <w:r>
        <w:rPr>
          <w:sz w:val="24"/>
        </w:rPr>
        <w:t>the</w:t>
      </w:r>
      <w:r>
        <w:rPr>
          <w:spacing w:val="-4"/>
          <w:sz w:val="24"/>
        </w:rPr>
        <w:t> </w:t>
      </w:r>
      <w:r>
        <w:rPr>
          <w:sz w:val="24"/>
        </w:rPr>
        <w:t>individual</w:t>
      </w:r>
      <w:r>
        <w:rPr>
          <w:spacing w:val="-4"/>
          <w:sz w:val="24"/>
        </w:rPr>
        <w:t> </w:t>
      </w:r>
      <w:r>
        <w:rPr>
          <w:sz w:val="24"/>
        </w:rPr>
        <w:t>needs</w:t>
      </w:r>
      <w:r>
        <w:rPr>
          <w:spacing w:val="-3"/>
          <w:sz w:val="24"/>
        </w:rPr>
        <w:t> </w:t>
      </w:r>
      <w:r>
        <w:rPr>
          <w:sz w:val="24"/>
        </w:rPr>
        <w:t>of</w:t>
      </w:r>
      <w:r>
        <w:rPr>
          <w:spacing w:val="-3"/>
          <w:sz w:val="24"/>
        </w:rPr>
        <w:t> </w:t>
      </w:r>
      <w:r>
        <w:rPr>
          <w:sz w:val="24"/>
        </w:rPr>
        <w:t>each</w:t>
      </w:r>
      <w:r>
        <w:rPr>
          <w:spacing w:val="-4"/>
          <w:sz w:val="24"/>
        </w:rPr>
        <w:t> </w:t>
      </w:r>
      <w:r>
        <w:rPr>
          <w:sz w:val="24"/>
        </w:rPr>
        <w:t>school</w:t>
      </w:r>
      <w:r>
        <w:rPr>
          <w:spacing w:val="-4"/>
          <w:sz w:val="24"/>
        </w:rPr>
        <w:t> </w:t>
      </w:r>
      <w:r>
        <w:rPr>
          <w:sz w:val="24"/>
        </w:rPr>
        <w:t>and</w:t>
      </w:r>
      <w:r>
        <w:rPr>
          <w:spacing w:val="-4"/>
          <w:sz w:val="24"/>
        </w:rPr>
        <w:t> </w:t>
      </w:r>
      <w:r>
        <w:rPr>
          <w:sz w:val="24"/>
        </w:rPr>
        <w:t>embodying the Department's school goals.</w:t>
      </w:r>
    </w:p>
    <w:p>
      <w:pPr>
        <w:pStyle w:val="ListParagraph"/>
        <w:numPr>
          <w:ilvl w:val="0"/>
          <w:numId w:val="345"/>
        </w:numPr>
        <w:tabs>
          <w:tab w:pos="786" w:val="left" w:leader="none"/>
        </w:tabs>
        <w:spacing w:line="208" w:lineRule="auto" w:before="239" w:after="0"/>
        <w:ind w:left="360" w:right="806" w:firstLine="0"/>
        <w:jc w:val="left"/>
        <w:rPr>
          <w:sz w:val="24"/>
        </w:rPr>
      </w:pPr>
      <w:r>
        <w:rPr>
          <w:b/>
          <w:sz w:val="24"/>
        </w:rPr>
        <w:t>Rehabilitative and Services for the Blind and Visually Impaired.</w:t>
      </w:r>
      <w:r>
        <w:rPr>
          <w:b/>
          <w:spacing w:val="40"/>
          <w:sz w:val="24"/>
        </w:rPr>
        <w:t> </w:t>
      </w:r>
      <w:r>
        <w:rPr>
          <w:sz w:val="24"/>
        </w:rPr>
        <w:t>Coordination of efforts to make a smooth transition from secondary school to employment or further training</w:t>
      </w:r>
      <w:r>
        <w:rPr>
          <w:spacing w:val="-3"/>
          <w:sz w:val="24"/>
        </w:rPr>
        <w:t> </w:t>
      </w:r>
      <w:r>
        <w:rPr>
          <w:sz w:val="24"/>
        </w:rPr>
        <w:t>will</w:t>
      </w:r>
      <w:r>
        <w:rPr>
          <w:spacing w:val="-2"/>
          <w:sz w:val="24"/>
        </w:rPr>
        <w:t> </w:t>
      </w:r>
      <w:r>
        <w:rPr>
          <w:sz w:val="24"/>
        </w:rPr>
        <w:t>be</w:t>
      </w:r>
      <w:r>
        <w:rPr>
          <w:spacing w:val="-3"/>
          <w:sz w:val="24"/>
        </w:rPr>
        <w:t> </w:t>
      </w:r>
      <w:r>
        <w:rPr>
          <w:sz w:val="24"/>
        </w:rPr>
        <w:t>facilitated</w:t>
      </w:r>
      <w:r>
        <w:rPr>
          <w:spacing w:val="-3"/>
          <w:sz w:val="24"/>
        </w:rPr>
        <w:t> </w:t>
      </w:r>
      <w:r>
        <w:rPr>
          <w:sz w:val="24"/>
        </w:rPr>
        <w:t>by</w:t>
      </w:r>
      <w:r>
        <w:rPr>
          <w:spacing w:val="-3"/>
          <w:sz w:val="24"/>
        </w:rPr>
        <w:t> </w:t>
      </w:r>
      <w:r>
        <w:rPr>
          <w:sz w:val="24"/>
        </w:rPr>
        <w:t>VR</w:t>
      </w:r>
      <w:r>
        <w:rPr>
          <w:spacing w:val="-3"/>
          <w:sz w:val="24"/>
        </w:rPr>
        <w:t> </w:t>
      </w:r>
      <w:r>
        <w:rPr>
          <w:sz w:val="24"/>
        </w:rPr>
        <w:t>counselors</w:t>
      </w:r>
      <w:r>
        <w:rPr>
          <w:spacing w:val="-3"/>
          <w:sz w:val="24"/>
        </w:rPr>
        <w:t> </w:t>
      </w:r>
      <w:r>
        <w:rPr>
          <w:sz w:val="24"/>
        </w:rPr>
        <w:t>trained</w:t>
      </w:r>
      <w:r>
        <w:rPr>
          <w:spacing w:val="-3"/>
          <w:sz w:val="24"/>
        </w:rPr>
        <w:t> </w:t>
      </w:r>
      <w:r>
        <w:rPr>
          <w:sz w:val="24"/>
        </w:rPr>
        <w:t>to</w:t>
      </w:r>
      <w:r>
        <w:rPr>
          <w:spacing w:val="-3"/>
          <w:sz w:val="24"/>
        </w:rPr>
        <w:t> </w:t>
      </w:r>
      <w:r>
        <w:rPr>
          <w:sz w:val="24"/>
        </w:rPr>
        <w:t>work</w:t>
      </w:r>
      <w:r>
        <w:rPr>
          <w:spacing w:val="-3"/>
          <w:sz w:val="24"/>
        </w:rPr>
        <w:t> </w:t>
      </w:r>
      <w:r>
        <w:rPr>
          <w:sz w:val="24"/>
        </w:rPr>
        <w:t>with</w:t>
      </w:r>
      <w:r>
        <w:rPr>
          <w:spacing w:val="-3"/>
          <w:sz w:val="24"/>
        </w:rPr>
        <w:t> </w:t>
      </w:r>
      <w:r>
        <w:rPr>
          <w:sz w:val="24"/>
        </w:rPr>
        <w:t>the</w:t>
      </w:r>
      <w:r>
        <w:rPr>
          <w:spacing w:val="-3"/>
          <w:sz w:val="24"/>
        </w:rPr>
        <w:t> </w:t>
      </w:r>
      <w:r>
        <w:rPr>
          <w:sz w:val="24"/>
        </w:rPr>
        <w:t>blind</w:t>
      </w:r>
      <w:r>
        <w:rPr>
          <w:spacing w:val="-3"/>
          <w:sz w:val="24"/>
        </w:rPr>
        <w:t> </w:t>
      </w:r>
      <w:r>
        <w:rPr>
          <w:sz w:val="24"/>
        </w:rPr>
        <w:t>and</w:t>
      </w:r>
      <w:r>
        <w:rPr>
          <w:spacing w:val="-2"/>
          <w:sz w:val="24"/>
        </w:rPr>
        <w:t> </w:t>
      </w:r>
      <w:r>
        <w:rPr>
          <w:sz w:val="24"/>
        </w:rPr>
        <w:t>deaf.</w:t>
      </w:r>
      <w:r>
        <w:rPr>
          <w:spacing w:val="40"/>
          <w:sz w:val="24"/>
        </w:rPr>
        <w:t> </w:t>
      </w:r>
      <w:r>
        <w:rPr>
          <w:sz w:val="24"/>
        </w:rPr>
        <w:t>The Department of Rehabilitation Services will encourage and support efforts to enhance communication and cooperation between school and rehabilitation personnel.</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1"/>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1439" w:right="892" w:hanging="1080"/>
        <w:jc w:val="left"/>
        <w:rPr>
          <w:sz w:val="22"/>
        </w:rPr>
      </w:pPr>
      <w:r>
        <w:rPr>
          <w:spacing w:val="-2"/>
          <w:sz w:val="22"/>
        </w:rPr>
        <w:t>9-11-20</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(VS)</w:t>
      </w:r>
      <w:r>
        <w:rPr>
          <w:spacing w:val="-3"/>
          <w:sz w:val="22"/>
        </w:rPr>
        <w:t> </w:t>
      </w:r>
      <w:r>
        <w:rPr>
          <w:sz w:val="22"/>
        </w:rPr>
        <w:t>to</w:t>
      </w:r>
      <w:r>
        <w:rPr>
          <w:spacing w:val="-3"/>
          <w:sz w:val="22"/>
        </w:rPr>
        <w:t> </w:t>
      </w:r>
      <w:r>
        <w:rPr>
          <w:sz w:val="22"/>
        </w:rPr>
        <w:t>Services</w:t>
      </w:r>
      <w:r>
        <w:rPr>
          <w:spacing w:val="-3"/>
          <w:sz w:val="22"/>
        </w:rPr>
        <w:t> </w:t>
      </w:r>
      <w:r>
        <w:rPr>
          <w:sz w:val="22"/>
        </w:rPr>
        <w:t>for</w:t>
      </w:r>
      <w:r>
        <w:rPr>
          <w:spacing w:val="-3"/>
          <w:sz w:val="22"/>
        </w:rPr>
        <w:t> </w:t>
      </w:r>
      <w:r>
        <w:rPr>
          <w:sz w:val="22"/>
        </w:rPr>
        <w:t>the</w:t>
      </w:r>
      <w:r>
        <w:rPr>
          <w:spacing w:val="-3"/>
          <w:sz w:val="22"/>
        </w:rPr>
        <w:t> </w:t>
      </w:r>
      <w:r>
        <w:rPr>
          <w:sz w:val="22"/>
        </w:rPr>
        <w:t>Blind</w:t>
      </w:r>
      <w:r>
        <w:rPr>
          <w:spacing w:val="-4"/>
          <w:sz w:val="22"/>
        </w:rPr>
        <w:t> </w:t>
      </w:r>
      <w:r>
        <w:rPr>
          <w:sz w:val="22"/>
        </w:rPr>
        <w:t>and</w:t>
      </w:r>
      <w:r>
        <w:rPr>
          <w:spacing w:val="-3"/>
          <w:sz w:val="22"/>
        </w:rPr>
        <w:t> </w:t>
      </w:r>
      <w:r>
        <w:rPr>
          <w:sz w:val="22"/>
        </w:rPr>
        <w:t>Visually Impaired (SBVI).</w:t>
      </w:r>
    </w:p>
    <w:p>
      <w:pPr>
        <w:spacing w:after="0"/>
        <w:jc w:val="left"/>
        <w:rPr>
          <w:sz w:val="22"/>
        </w:rPr>
        <w:sectPr>
          <w:pgSz w:w="12240" w:h="15840"/>
          <w:pgMar w:top="1340" w:bottom="280" w:left="1080" w:right="720"/>
        </w:sectPr>
      </w:pPr>
    </w:p>
    <w:p>
      <w:pPr>
        <w:pStyle w:val="Heading2"/>
      </w:pPr>
      <w:bookmarkStart w:name="612:20-3-6.  Admission to OSB and OSD" w:id="345"/>
      <w:bookmarkEnd w:id="345"/>
      <w:r>
        <w:rPr>
          <w:b w:val="0"/>
        </w:rPr>
      </w:r>
      <w:r>
        <w:rPr/>
        <w:t>612:20-3-6.</w:t>
      </w:r>
      <w:r>
        <w:rPr>
          <w:spacing w:val="61"/>
        </w:rPr>
        <w:t> </w:t>
      </w:r>
      <w:r>
        <w:rPr/>
        <w:t>Admission</w:t>
      </w:r>
      <w:r>
        <w:rPr>
          <w:spacing w:val="-2"/>
        </w:rPr>
        <w:t> </w:t>
      </w:r>
      <w:r>
        <w:rPr/>
        <w:t>to</w:t>
      </w:r>
      <w:r>
        <w:rPr>
          <w:spacing w:val="-3"/>
        </w:rPr>
        <w:t> </w:t>
      </w:r>
      <w:r>
        <w:rPr/>
        <w:t>OSB</w:t>
      </w:r>
      <w:r>
        <w:rPr>
          <w:spacing w:val="-2"/>
        </w:rPr>
        <w:t> </w:t>
      </w:r>
      <w:r>
        <w:rPr/>
        <w:t>and</w:t>
      </w:r>
      <w:r>
        <w:rPr>
          <w:spacing w:val="-3"/>
        </w:rPr>
        <w:t> </w:t>
      </w:r>
      <w:r>
        <w:rPr>
          <w:spacing w:val="-5"/>
        </w:rPr>
        <w:t>OSD</w:t>
      </w:r>
    </w:p>
    <w:p>
      <w:pPr>
        <w:pStyle w:val="ListParagraph"/>
        <w:numPr>
          <w:ilvl w:val="0"/>
          <w:numId w:val="346"/>
        </w:numPr>
        <w:tabs>
          <w:tab w:pos="785" w:val="left" w:leader="none"/>
        </w:tabs>
        <w:spacing w:line="208" w:lineRule="auto" w:before="233" w:after="0"/>
        <w:ind w:left="359" w:right="898" w:firstLine="0"/>
        <w:jc w:val="left"/>
        <w:rPr>
          <w:sz w:val="24"/>
        </w:rPr>
      </w:pPr>
      <w:r>
        <w:rPr>
          <w:b/>
          <w:sz w:val="24"/>
        </w:rPr>
        <w:t>Eligibility to OSB.</w:t>
      </w:r>
      <w:r>
        <w:rPr>
          <w:b/>
          <w:spacing w:val="40"/>
          <w:sz w:val="24"/>
        </w:rPr>
        <w:t> </w:t>
      </w:r>
      <w:r>
        <w:rPr>
          <w:sz w:val="24"/>
        </w:rPr>
        <w:t>Title 70 O.S. Supp. 1978, Sec. 1733 states:</w:t>
      </w:r>
      <w:r>
        <w:rPr>
          <w:spacing w:val="40"/>
          <w:sz w:val="24"/>
        </w:rPr>
        <w:t> </w:t>
      </w:r>
      <w:r>
        <w:rPr>
          <w:sz w:val="24"/>
        </w:rPr>
        <w:t>"All persons, residing in the State of Oklahoma, between the ages of six and twenty-one years, whose vision is so defective as to prevent them attending the public schools... are eligible,</w:t>
      </w:r>
      <w:r>
        <w:rPr>
          <w:spacing w:val="-2"/>
          <w:sz w:val="24"/>
        </w:rPr>
        <w:t> </w:t>
      </w:r>
      <w:r>
        <w:rPr>
          <w:sz w:val="24"/>
        </w:rPr>
        <w:t>provided</w:t>
      </w:r>
      <w:r>
        <w:rPr>
          <w:spacing w:val="-3"/>
          <w:sz w:val="24"/>
        </w:rPr>
        <w:t> </w:t>
      </w:r>
      <w:r>
        <w:rPr>
          <w:sz w:val="24"/>
        </w:rPr>
        <w:t>persons</w:t>
      </w:r>
      <w:r>
        <w:rPr>
          <w:spacing w:val="-3"/>
          <w:sz w:val="24"/>
        </w:rPr>
        <w:t> </w:t>
      </w:r>
      <w:r>
        <w:rPr>
          <w:sz w:val="24"/>
        </w:rPr>
        <w:t>may</w:t>
      </w:r>
      <w:r>
        <w:rPr>
          <w:spacing w:val="-3"/>
          <w:sz w:val="24"/>
        </w:rPr>
        <w:t> </w:t>
      </w:r>
      <w:r>
        <w:rPr>
          <w:sz w:val="24"/>
        </w:rPr>
        <w:t>be</w:t>
      </w:r>
      <w:r>
        <w:rPr>
          <w:spacing w:val="-3"/>
          <w:sz w:val="24"/>
        </w:rPr>
        <w:t> </w:t>
      </w:r>
      <w:r>
        <w:rPr>
          <w:sz w:val="24"/>
        </w:rPr>
        <w:t>continued</w:t>
      </w:r>
      <w:r>
        <w:rPr>
          <w:spacing w:val="-3"/>
          <w:sz w:val="24"/>
        </w:rPr>
        <w:t> </w:t>
      </w:r>
      <w:r>
        <w:rPr>
          <w:sz w:val="24"/>
        </w:rPr>
        <w:t>in</w:t>
      </w:r>
      <w:r>
        <w:rPr>
          <w:spacing w:val="-3"/>
          <w:sz w:val="24"/>
        </w:rPr>
        <w:t> </w:t>
      </w:r>
      <w:r>
        <w:rPr>
          <w:sz w:val="24"/>
        </w:rPr>
        <w:t>said</w:t>
      </w:r>
      <w:r>
        <w:rPr>
          <w:spacing w:val="-3"/>
          <w:sz w:val="24"/>
        </w:rPr>
        <w:t> </w:t>
      </w:r>
      <w:r>
        <w:rPr>
          <w:sz w:val="24"/>
        </w:rPr>
        <w:t>school</w:t>
      </w:r>
      <w:r>
        <w:rPr>
          <w:spacing w:val="-3"/>
          <w:sz w:val="24"/>
        </w:rPr>
        <w:t> </w:t>
      </w:r>
      <w:r>
        <w:rPr>
          <w:sz w:val="24"/>
        </w:rPr>
        <w:t>after</w:t>
      </w:r>
      <w:r>
        <w:rPr>
          <w:spacing w:val="-2"/>
          <w:sz w:val="24"/>
        </w:rPr>
        <w:t> </w:t>
      </w:r>
      <w:r>
        <w:rPr>
          <w:sz w:val="24"/>
        </w:rPr>
        <w:t>passing</w:t>
      </w:r>
      <w:r>
        <w:rPr>
          <w:spacing w:val="-3"/>
          <w:sz w:val="24"/>
        </w:rPr>
        <w:t> </w:t>
      </w:r>
      <w:r>
        <w:rPr>
          <w:sz w:val="24"/>
        </w:rPr>
        <w:t>the</w:t>
      </w:r>
      <w:r>
        <w:rPr>
          <w:spacing w:val="-3"/>
          <w:sz w:val="24"/>
        </w:rPr>
        <w:t> </w:t>
      </w:r>
      <w:r>
        <w:rPr>
          <w:sz w:val="24"/>
        </w:rPr>
        <w:t>age</w:t>
      </w:r>
      <w:r>
        <w:rPr>
          <w:spacing w:val="-3"/>
          <w:sz w:val="24"/>
        </w:rPr>
        <w:t> </w:t>
      </w:r>
      <w:r>
        <w:rPr>
          <w:sz w:val="24"/>
        </w:rPr>
        <w:t>of</w:t>
      </w:r>
      <w:r>
        <w:rPr>
          <w:spacing w:val="-2"/>
          <w:sz w:val="24"/>
        </w:rPr>
        <w:t> </w:t>
      </w:r>
      <w:r>
        <w:rPr>
          <w:sz w:val="24"/>
        </w:rPr>
        <w:t>21, or persons under six and over 21, may be admitted as pupils in said school at the discretion of the superintendent and faculty."</w:t>
      </w:r>
    </w:p>
    <w:p>
      <w:pPr>
        <w:pStyle w:val="ListParagraph"/>
        <w:numPr>
          <w:ilvl w:val="0"/>
          <w:numId w:val="346"/>
        </w:numPr>
        <w:tabs>
          <w:tab w:pos="786" w:val="left" w:leader="none"/>
        </w:tabs>
        <w:spacing w:line="208" w:lineRule="auto" w:before="239" w:after="0"/>
        <w:ind w:left="360" w:right="829" w:firstLine="0"/>
        <w:jc w:val="left"/>
        <w:rPr>
          <w:sz w:val="24"/>
        </w:rPr>
      </w:pPr>
      <w:r>
        <w:rPr>
          <w:b/>
          <w:sz w:val="24"/>
        </w:rPr>
        <w:t>Eligibility</w:t>
      </w:r>
      <w:r>
        <w:rPr>
          <w:b/>
          <w:spacing w:val="-3"/>
          <w:sz w:val="24"/>
        </w:rPr>
        <w:t> </w:t>
      </w:r>
      <w:r>
        <w:rPr>
          <w:b/>
          <w:sz w:val="24"/>
        </w:rPr>
        <w:t>to</w:t>
      </w:r>
      <w:r>
        <w:rPr>
          <w:b/>
          <w:spacing w:val="-4"/>
          <w:sz w:val="24"/>
        </w:rPr>
        <w:t> </w:t>
      </w:r>
      <w:r>
        <w:rPr>
          <w:b/>
          <w:sz w:val="24"/>
        </w:rPr>
        <w:t>OSD.</w:t>
      </w:r>
      <w:r>
        <w:rPr>
          <w:b/>
          <w:spacing w:val="40"/>
          <w:sz w:val="24"/>
        </w:rPr>
        <w:t> </w:t>
      </w:r>
      <w:r>
        <w:rPr>
          <w:sz w:val="24"/>
        </w:rPr>
        <w:t>Title</w:t>
      </w:r>
      <w:r>
        <w:rPr>
          <w:spacing w:val="-3"/>
          <w:sz w:val="24"/>
        </w:rPr>
        <w:t> </w:t>
      </w:r>
      <w:r>
        <w:rPr>
          <w:sz w:val="24"/>
        </w:rPr>
        <w:t>70</w:t>
      </w:r>
      <w:r>
        <w:rPr>
          <w:spacing w:val="-3"/>
          <w:sz w:val="24"/>
        </w:rPr>
        <w:t> </w:t>
      </w:r>
      <w:r>
        <w:rPr>
          <w:sz w:val="24"/>
        </w:rPr>
        <w:t>O.S.</w:t>
      </w:r>
      <w:r>
        <w:rPr>
          <w:spacing w:val="-2"/>
          <w:sz w:val="24"/>
        </w:rPr>
        <w:t> </w:t>
      </w:r>
      <w:r>
        <w:rPr>
          <w:sz w:val="24"/>
        </w:rPr>
        <w:t>Supp.</w:t>
      </w:r>
      <w:r>
        <w:rPr>
          <w:spacing w:val="-2"/>
          <w:sz w:val="24"/>
        </w:rPr>
        <w:t> </w:t>
      </w:r>
      <w:r>
        <w:rPr>
          <w:sz w:val="24"/>
        </w:rPr>
        <w:t>1978,</w:t>
      </w:r>
      <w:r>
        <w:rPr>
          <w:spacing w:val="-2"/>
          <w:sz w:val="24"/>
        </w:rPr>
        <w:t> </w:t>
      </w:r>
      <w:r>
        <w:rPr>
          <w:sz w:val="24"/>
        </w:rPr>
        <w:t>Sec.</w:t>
      </w:r>
      <w:r>
        <w:rPr>
          <w:spacing w:val="-2"/>
          <w:sz w:val="24"/>
        </w:rPr>
        <w:t> </w:t>
      </w:r>
      <w:r>
        <w:rPr>
          <w:sz w:val="24"/>
        </w:rPr>
        <w:t>1733</w:t>
      </w:r>
      <w:r>
        <w:rPr>
          <w:spacing w:val="-3"/>
          <w:sz w:val="24"/>
        </w:rPr>
        <w:t> </w:t>
      </w:r>
      <w:r>
        <w:rPr>
          <w:sz w:val="24"/>
        </w:rPr>
        <w:t>states:</w:t>
      </w:r>
      <w:r>
        <w:rPr>
          <w:spacing w:val="40"/>
          <w:sz w:val="24"/>
        </w:rPr>
        <w:t> </w:t>
      </w:r>
      <w:r>
        <w:rPr>
          <w:sz w:val="24"/>
        </w:rPr>
        <w:t>"All</w:t>
      </w:r>
      <w:r>
        <w:rPr>
          <w:spacing w:val="-3"/>
          <w:sz w:val="24"/>
        </w:rPr>
        <w:t> </w:t>
      </w:r>
      <w:r>
        <w:rPr>
          <w:sz w:val="24"/>
        </w:rPr>
        <w:t>deaf</w:t>
      </w:r>
      <w:r>
        <w:rPr>
          <w:spacing w:val="-2"/>
          <w:sz w:val="24"/>
        </w:rPr>
        <w:t> </w:t>
      </w:r>
      <w:r>
        <w:rPr>
          <w:sz w:val="24"/>
        </w:rPr>
        <w:t>residents of this State, and those deaf and mute to such an extent that they cannot acquire an education in the common schools of the State, of suitable age and capacity... shall be entitled to an education in the school for the deaf, without charge."</w:t>
      </w:r>
      <w:r>
        <w:rPr>
          <w:spacing w:val="40"/>
          <w:sz w:val="24"/>
        </w:rPr>
        <w:t> </w:t>
      </w:r>
      <w:r>
        <w:rPr>
          <w:sz w:val="24"/>
        </w:rPr>
        <w:t>Title 70 O.S., Sec. 1734 (1971) states:</w:t>
      </w:r>
      <w:r>
        <w:rPr>
          <w:spacing w:val="40"/>
          <w:sz w:val="24"/>
        </w:rPr>
        <w:t> </w:t>
      </w:r>
      <w:r>
        <w:rPr>
          <w:sz w:val="24"/>
        </w:rPr>
        <w:t>"The purpose of said school shall be the physical, and moral and intellectual culture and training of the deaf to the end that pupils may be returned to society, capable of becoming self-sustaining and useful citizens."</w:t>
      </w:r>
    </w:p>
    <w:p>
      <w:pPr>
        <w:pStyle w:val="ListParagraph"/>
        <w:numPr>
          <w:ilvl w:val="0"/>
          <w:numId w:val="346"/>
        </w:numPr>
        <w:tabs>
          <w:tab w:pos="773" w:val="left" w:leader="none"/>
        </w:tabs>
        <w:spacing w:line="208" w:lineRule="auto" w:before="240" w:after="0"/>
        <w:ind w:left="360" w:right="739" w:firstLine="0"/>
        <w:jc w:val="left"/>
        <w:rPr>
          <w:sz w:val="24"/>
        </w:rPr>
      </w:pPr>
      <w:r>
        <w:rPr>
          <w:b/>
          <w:sz w:val="24"/>
        </w:rPr>
        <w:t>Authority for admission and discharge.</w:t>
      </w:r>
      <w:r>
        <w:rPr>
          <w:b/>
          <w:spacing w:val="80"/>
          <w:sz w:val="24"/>
        </w:rPr>
        <w:t> </w:t>
      </w:r>
      <w:r>
        <w:rPr>
          <w:sz w:val="24"/>
        </w:rPr>
        <w:t>Title 56 O.S. Sec. 321 (1971) provides for the transfer of the Schools for the Blind and the Deaf, and states in part:</w:t>
      </w:r>
      <w:r>
        <w:rPr>
          <w:spacing w:val="40"/>
          <w:sz w:val="24"/>
        </w:rPr>
        <w:t> </w:t>
      </w:r>
      <w:r>
        <w:rPr>
          <w:sz w:val="24"/>
        </w:rPr>
        <w:t>"The Oklahoma Public Welfare Commission shall have the supervision, management and control of the Oklahoma School for the Blind and the Oklahoma School for the Deaf, and, in addition to the</w:t>
      </w:r>
      <w:r>
        <w:rPr>
          <w:spacing w:val="-1"/>
          <w:sz w:val="24"/>
        </w:rPr>
        <w:t> </w:t>
      </w:r>
      <w:r>
        <w:rPr>
          <w:sz w:val="24"/>
        </w:rPr>
        <w:t>powers and duties now vested in the State</w:t>
      </w:r>
      <w:r>
        <w:rPr>
          <w:spacing w:val="-1"/>
          <w:sz w:val="24"/>
        </w:rPr>
        <w:t> </w:t>
      </w:r>
      <w:r>
        <w:rPr>
          <w:sz w:val="24"/>
        </w:rPr>
        <w:t>Board of Education as to</w:t>
      </w:r>
      <w:r>
        <w:rPr>
          <w:spacing w:val="-3"/>
          <w:sz w:val="24"/>
        </w:rPr>
        <w:t> </w:t>
      </w:r>
      <w:r>
        <w:rPr>
          <w:sz w:val="24"/>
        </w:rPr>
        <w:t>each</w:t>
      </w:r>
      <w:r>
        <w:rPr>
          <w:spacing w:val="-3"/>
          <w:sz w:val="24"/>
        </w:rPr>
        <w:t> </w:t>
      </w:r>
      <w:r>
        <w:rPr>
          <w:sz w:val="24"/>
        </w:rPr>
        <w:t>of</w:t>
      </w:r>
      <w:r>
        <w:rPr>
          <w:spacing w:val="-4"/>
          <w:sz w:val="24"/>
        </w:rPr>
        <w:t> </w:t>
      </w:r>
      <w:r>
        <w:rPr>
          <w:sz w:val="24"/>
        </w:rPr>
        <w:t>such</w:t>
      </w:r>
      <w:r>
        <w:rPr>
          <w:spacing w:val="-3"/>
          <w:sz w:val="24"/>
        </w:rPr>
        <w:t> </w:t>
      </w:r>
      <w:r>
        <w:rPr>
          <w:sz w:val="24"/>
        </w:rPr>
        <w:t>institutions,</w:t>
      </w:r>
      <w:r>
        <w:rPr>
          <w:spacing w:val="-2"/>
          <w:sz w:val="24"/>
        </w:rPr>
        <w:t> </w:t>
      </w:r>
      <w:r>
        <w:rPr>
          <w:sz w:val="24"/>
        </w:rPr>
        <w:t>shall</w:t>
      </w:r>
      <w:r>
        <w:rPr>
          <w:spacing w:val="-3"/>
          <w:sz w:val="24"/>
        </w:rPr>
        <w:t> </w:t>
      </w:r>
      <w:r>
        <w:rPr>
          <w:sz w:val="24"/>
        </w:rPr>
        <w:t>have</w:t>
      </w:r>
      <w:r>
        <w:rPr>
          <w:spacing w:val="-3"/>
          <w:sz w:val="24"/>
        </w:rPr>
        <w:t> </w:t>
      </w:r>
      <w:r>
        <w:rPr>
          <w:sz w:val="24"/>
        </w:rPr>
        <w:t>authority</w:t>
      </w:r>
      <w:r>
        <w:rPr>
          <w:spacing w:val="-3"/>
          <w:sz w:val="24"/>
        </w:rPr>
        <w:t> </w:t>
      </w:r>
      <w:r>
        <w:rPr>
          <w:sz w:val="24"/>
        </w:rPr>
        <w:t>to</w:t>
      </w:r>
      <w:r>
        <w:rPr>
          <w:spacing w:val="-3"/>
          <w:sz w:val="24"/>
        </w:rPr>
        <w:t> </w:t>
      </w:r>
      <w:r>
        <w:rPr>
          <w:sz w:val="24"/>
        </w:rPr>
        <w:t>adopt</w:t>
      </w:r>
      <w:r>
        <w:rPr>
          <w:spacing w:val="-2"/>
          <w:sz w:val="24"/>
        </w:rPr>
        <w:t> </w:t>
      </w:r>
      <w:r>
        <w:rPr>
          <w:sz w:val="24"/>
        </w:rPr>
        <w:t>such</w:t>
      </w:r>
      <w:r>
        <w:rPr>
          <w:spacing w:val="-3"/>
          <w:sz w:val="24"/>
        </w:rPr>
        <w:t> </w:t>
      </w:r>
      <w:r>
        <w:rPr>
          <w:sz w:val="24"/>
        </w:rPr>
        <w:t>rules</w:t>
      </w:r>
      <w:r>
        <w:rPr>
          <w:spacing w:val="-3"/>
          <w:sz w:val="24"/>
        </w:rPr>
        <w:t> </w:t>
      </w:r>
      <w:r>
        <w:rPr>
          <w:sz w:val="24"/>
        </w:rPr>
        <w:t>and</w:t>
      </w:r>
      <w:r>
        <w:rPr>
          <w:spacing w:val="-3"/>
          <w:sz w:val="24"/>
        </w:rPr>
        <w:t> </w:t>
      </w:r>
      <w:r>
        <w:rPr>
          <w:sz w:val="24"/>
        </w:rPr>
        <w:t>regulations</w:t>
      </w:r>
      <w:r>
        <w:rPr>
          <w:spacing w:val="-3"/>
          <w:sz w:val="24"/>
        </w:rPr>
        <w:t> </w:t>
      </w:r>
      <w:r>
        <w:rPr>
          <w:sz w:val="24"/>
        </w:rPr>
        <w:t>as</w:t>
      </w:r>
      <w:r>
        <w:rPr>
          <w:spacing w:val="-3"/>
          <w:sz w:val="24"/>
        </w:rPr>
        <w:t> </w:t>
      </w:r>
      <w:r>
        <w:rPr>
          <w:sz w:val="24"/>
        </w:rPr>
        <w:t>it deems necessary for the government and operation of each institution, and for the admission and discharge of pupils at each institution."</w:t>
      </w:r>
      <w:r>
        <w:rPr>
          <w:spacing w:val="40"/>
          <w:sz w:val="24"/>
        </w:rPr>
        <w:t> </w:t>
      </w:r>
      <w:r>
        <w:rPr>
          <w:sz w:val="24"/>
        </w:rPr>
        <w:t>Title 74 O.S. Sec. 1418 (1993) transferred the supervision, management, and control of the Oklahoma School for the Blind and Oklahoma School for the Deaf to the newly created Department of Rehabilitation Services.</w:t>
      </w:r>
    </w:p>
    <w:p>
      <w:pPr>
        <w:pStyle w:val="ListParagraph"/>
        <w:numPr>
          <w:ilvl w:val="0"/>
          <w:numId w:val="346"/>
        </w:numPr>
        <w:tabs>
          <w:tab w:pos="786" w:val="left" w:leader="none"/>
        </w:tabs>
        <w:spacing w:line="208" w:lineRule="auto" w:before="238" w:after="0"/>
        <w:ind w:left="360" w:right="725" w:firstLine="0"/>
        <w:jc w:val="left"/>
        <w:rPr>
          <w:sz w:val="24"/>
        </w:rPr>
      </w:pPr>
      <w:r>
        <w:rPr>
          <w:b/>
          <w:sz w:val="24"/>
        </w:rPr>
        <w:t>Procedure for admission.</w:t>
      </w:r>
      <w:r>
        <w:rPr>
          <w:b/>
          <w:spacing w:val="40"/>
          <w:sz w:val="24"/>
        </w:rPr>
        <w:t> </w:t>
      </w:r>
      <w:r>
        <w:rPr>
          <w:sz w:val="24"/>
        </w:rPr>
        <w:t>Application is made to the schools by the parent or guardian of the child.</w:t>
      </w:r>
      <w:r>
        <w:rPr>
          <w:spacing w:val="80"/>
          <w:sz w:val="24"/>
        </w:rPr>
        <w:t> </w:t>
      </w:r>
      <w:r>
        <w:rPr>
          <w:sz w:val="24"/>
        </w:rPr>
        <w:t>Forms for this purpose may be obtained from the schools.</w:t>
      </w:r>
      <w:r>
        <w:rPr>
          <w:spacing w:val="80"/>
          <w:sz w:val="24"/>
        </w:rPr>
        <w:t> </w:t>
      </w:r>
      <w:r>
        <w:rPr>
          <w:sz w:val="24"/>
        </w:rPr>
        <w:t>Prior to admission, an appointment will be made for the prospective student to be assessed. Information from the assessment plus previous school records will assist the Admission/Assessment Review Committee in determining appropriate programming. Parents will be informed by the superintendent of their child's acceptance or denial of admission.</w:t>
      </w:r>
      <w:r>
        <w:rPr>
          <w:spacing w:val="40"/>
          <w:sz w:val="24"/>
        </w:rPr>
        <w:t> </w:t>
      </w:r>
      <w:r>
        <w:rPr>
          <w:sz w:val="24"/>
        </w:rPr>
        <w:t>All</w:t>
      </w:r>
      <w:r>
        <w:rPr>
          <w:spacing w:val="-3"/>
          <w:sz w:val="24"/>
        </w:rPr>
        <w:t> </w:t>
      </w:r>
      <w:r>
        <w:rPr>
          <w:sz w:val="24"/>
        </w:rPr>
        <w:t>new</w:t>
      </w:r>
      <w:r>
        <w:rPr>
          <w:spacing w:val="-3"/>
          <w:sz w:val="24"/>
        </w:rPr>
        <w:t> </w:t>
      </w:r>
      <w:r>
        <w:rPr>
          <w:sz w:val="24"/>
        </w:rPr>
        <w:t>students</w:t>
      </w:r>
      <w:r>
        <w:rPr>
          <w:spacing w:val="-3"/>
          <w:sz w:val="24"/>
        </w:rPr>
        <w:t> </w:t>
      </w:r>
      <w:r>
        <w:rPr>
          <w:sz w:val="24"/>
        </w:rPr>
        <w:t>are</w:t>
      </w:r>
      <w:r>
        <w:rPr>
          <w:spacing w:val="-3"/>
          <w:sz w:val="24"/>
        </w:rPr>
        <w:t> </w:t>
      </w:r>
      <w:r>
        <w:rPr>
          <w:sz w:val="24"/>
        </w:rPr>
        <w:t>accepted</w:t>
      </w:r>
      <w:r>
        <w:rPr>
          <w:spacing w:val="-3"/>
          <w:sz w:val="24"/>
        </w:rPr>
        <w:t> </w:t>
      </w:r>
      <w:r>
        <w:rPr>
          <w:sz w:val="24"/>
        </w:rPr>
        <w:t>on</w:t>
      </w:r>
      <w:r>
        <w:rPr>
          <w:spacing w:val="-3"/>
          <w:sz w:val="24"/>
        </w:rPr>
        <w:t> </w:t>
      </w:r>
      <w:r>
        <w:rPr>
          <w:sz w:val="24"/>
        </w:rPr>
        <w:t>a</w:t>
      </w:r>
      <w:r>
        <w:rPr>
          <w:spacing w:val="-3"/>
          <w:sz w:val="24"/>
        </w:rPr>
        <w:t> </w:t>
      </w:r>
      <w:r>
        <w:rPr>
          <w:sz w:val="24"/>
        </w:rPr>
        <w:t>six</w:t>
      </w:r>
      <w:r>
        <w:rPr>
          <w:spacing w:val="-3"/>
          <w:sz w:val="24"/>
        </w:rPr>
        <w:t> </w:t>
      </w:r>
      <w:r>
        <w:rPr>
          <w:sz w:val="24"/>
        </w:rPr>
        <w:t>week</w:t>
      </w:r>
      <w:r>
        <w:rPr>
          <w:spacing w:val="-3"/>
          <w:sz w:val="24"/>
        </w:rPr>
        <w:t> </w:t>
      </w:r>
      <w:r>
        <w:rPr>
          <w:sz w:val="24"/>
        </w:rPr>
        <w:t>trial</w:t>
      </w:r>
      <w:r>
        <w:rPr>
          <w:spacing w:val="-3"/>
          <w:sz w:val="24"/>
        </w:rPr>
        <w:t> </w:t>
      </w:r>
      <w:r>
        <w:rPr>
          <w:sz w:val="24"/>
        </w:rPr>
        <w:t>basis</w:t>
      </w:r>
      <w:r>
        <w:rPr>
          <w:spacing w:val="-3"/>
          <w:sz w:val="24"/>
        </w:rPr>
        <w:t> </w:t>
      </w:r>
      <w:r>
        <w:rPr>
          <w:sz w:val="24"/>
        </w:rPr>
        <w:t>during</w:t>
      </w:r>
      <w:r>
        <w:rPr>
          <w:spacing w:val="-3"/>
          <w:sz w:val="24"/>
        </w:rPr>
        <w:t> </w:t>
      </w:r>
      <w:r>
        <w:rPr>
          <w:sz w:val="24"/>
        </w:rPr>
        <w:t>which</w:t>
      </w:r>
      <w:r>
        <w:rPr>
          <w:spacing w:val="-3"/>
          <w:sz w:val="24"/>
        </w:rPr>
        <w:t> </w:t>
      </w:r>
      <w:r>
        <w:rPr>
          <w:sz w:val="24"/>
        </w:rPr>
        <w:t>time</w:t>
      </w:r>
      <w:r>
        <w:rPr>
          <w:spacing w:val="-3"/>
          <w:sz w:val="24"/>
        </w:rPr>
        <w:t> </w:t>
      </w:r>
      <w:r>
        <w:rPr>
          <w:sz w:val="24"/>
        </w:rPr>
        <w:t>an extended evaluation is conducted.</w:t>
      </w:r>
    </w:p>
    <w:p>
      <w:pPr>
        <w:pStyle w:val="ListParagraph"/>
        <w:numPr>
          <w:ilvl w:val="0"/>
          <w:numId w:val="346"/>
        </w:numPr>
        <w:tabs>
          <w:tab w:pos="785" w:val="left" w:leader="none"/>
        </w:tabs>
        <w:spacing w:line="208" w:lineRule="auto" w:before="240" w:after="0"/>
        <w:ind w:left="360" w:right="739" w:firstLine="0"/>
        <w:jc w:val="left"/>
        <w:rPr>
          <w:sz w:val="24"/>
        </w:rPr>
      </w:pPr>
      <w:r>
        <w:rPr>
          <w:b/>
          <w:sz w:val="24"/>
        </w:rPr>
        <w:t>Assessment and I.E.P. development.</w:t>
      </w:r>
      <w:r>
        <w:rPr>
          <w:b/>
          <w:spacing w:val="80"/>
          <w:sz w:val="24"/>
        </w:rPr>
        <w:t> </w:t>
      </w:r>
      <w:r>
        <w:rPr>
          <w:sz w:val="24"/>
        </w:rPr>
        <w:t>No later than six weeks after admission,</w:t>
      </w:r>
      <w:r>
        <w:rPr>
          <w:sz w:val="24"/>
        </w:rPr>
        <w:t> the Admissions/Assessment Review Committee at each school makes an assessment of the child to determine if continued enrollment of the child is appropriate and in the child's best interest and develops a goal-oriented plan for each child.</w:t>
      </w:r>
      <w:r>
        <w:rPr>
          <w:spacing w:val="40"/>
          <w:sz w:val="24"/>
        </w:rPr>
        <w:t> </w:t>
      </w:r>
      <w:r>
        <w:rPr>
          <w:sz w:val="24"/>
        </w:rPr>
        <w:t>Medical, social, educational, psychological, ophthalmological or audiological needs and assessment of ability to benefit from the total program of the school should be included in this assessment and plan.</w:t>
      </w:r>
      <w:r>
        <w:rPr>
          <w:spacing w:val="40"/>
          <w:sz w:val="24"/>
        </w:rPr>
        <w:t> </w:t>
      </w:r>
      <w:r>
        <w:rPr>
          <w:sz w:val="24"/>
        </w:rPr>
        <w:t>Particular attention should be given to the child's potential to adjust in group living situations.</w:t>
      </w:r>
      <w:r>
        <w:rPr>
          <w:spacing w:val="40"/>
          <w:sz w:val="24"/>
        </w:rPr>
        <w:t> </w:t>
      </w:r>
      <w:r>
        <w:rPr>
          <w:sz w:val="24"/>
        </w:rPr>
        <w:t>Observations of all personnel having contact with the child should be considered in the evaluation process. Based upon the assessment, the Evaluation</w:t>
      </w:r>
      <w:r>
        <w:rPr>
          <w:spacing w:val="-5"/>
          <w:sz w:val="24"/>
        </w:rPr>
        <w:t> </w:t>
      </w:r>
      <w:r>
        <w:rPr>
          <w:sz w:val="24"/>
        </w:rPr>
        <w:t>Committee</w:t>
      </w:r>
      <w:r>
        <w:rPr>
          <w:spacing w:val="-6"/>
          <w:sz w:val="24"/>
        </w:rPr>
        <w:t> </w:t>
      </w:r>
      <w:r>
        <w:rPr>
          <w:sz w:val="24"/>
        </w:rPr>
        <w:t>recommends</w:t>
      </w:r>
      <w:r>
        <w:rPr>
          <w:spacing w:val="-5"/>
          <w:sz w:val="24"/>
        </w:rPr>
        <w:t> </w:t>
      </w:r>
      <w:r>
        <w:rPr>
          <w:sz w:val="24"/>
        </w:rPr>
        <w:t>to</w:t>
      </w:r>
      <w:r>
        <w:rPr>
          <w:spacing w:val="-5"/>
          <w:sz w:val="24"/>
        </w:rPr>
        <w:t> </w:t>
      </w:r>
      <w:r>
        <w:rPr>
          <w:sz w:val="24"/>
        </w:rPr>
        <w:t>the</w:t>
      </w:r>
      <w:r>
        <w:rPr>
          <w:spacing w:val="-6"/>
          <w:sz w:val="24"/>
        </w:rPr>
        <w:t> </w:t>
      </w:r>
      <w:r>
        <w:rPr>
          <w:sz w:val="24"/>
        </w:rPr>
        <w:t>superintendent</w:t>
      </w:r>
      <w:r>
        <w:rPr>
          <w:spacing w:val="-5"/>
          <w:sz w:val="24"/>
        </w:rPr>
        <w:t> </w:t>
      </w:r>
      <w:r>
        <w:rPr>
          <w:sz w:val="24"/>
        </w:rPr>
        <w:t>whether</w:t>
      </w:r>
      <w:r>
        <w:rPr>
          <w:spacing w:val="-5"/>
          <w:sz w:val="24"/>
        </w:rPr>
        <w:t> </w:t>
      </w:r>
      <w:r>
        <w:rPr>
          <w:sz w:val="24"/>
        </w:rPr>
        <w:t>continued</w:t>
      </w:r>
      <w:r>
        <w:rPr>
          <w:spacing w:val="-5"/>
          <w:sz w:val="24"/>
        </w:rPr>
        <w:t> </w:t>
      </w:r>
      <w:r>
        <w:rPr>
          <w:sz w:val="24"/>
        </w:rPr>
        <w:t>enrollment in the school seems appropriate.</w:t>
      </w:r>
      <w:r>
        <w:rPr>
          <w:spacing w:val="80"/>
          <w:sz w:val="24"/>
        </w:rPr>
        <w:t> </w:t>
      </w:r>
      <w:r>
        <w:rPr>
          <w:sz w:val="24"/>
        </w:rPr>
        <w:t>The Individuals with Disabilities Education Act requires that an Individualized Education Plan (IEP) be developed for each child.</w:t>
      </w:r>
      <w:r>
        <w:rPr>
          <w:spacing w:val="40"/>
          <w:sz w:val="24"/>
        </w:rPr>
        <w:t> </w:t>
      </w:r>
      <w:r>
        <w:rPr>
          <w:sz w:val="24"/>
        </w:rPr>
        <w:t>The IEP will be developed and implemented for each child at the Schools for the Blind and Deaf according to guidelines as specified in 20 U.S.C., 1400-1485 regulations.</w:t>
      </w:r>
    </w:p>
    <w:p>
      <w:pPr>
        <w:pStyle w:val="BodyText"/>
        <w:spacing w:line="208" w:lineRule="auto" w:before="0"/>
        <w:ind w:right="775"/>
      </w:pPr>
      <w:r>
        <w:rPr/>
        <w:t>Students</w:t>
      </w:r>
      <w:r>
        <w:rPr>
          <w:spacing w:val="-4"/>
        </w:rPr>
        <w:t> </w:t>
      </w:r>
      <w:r>
        <w:rPr/>
        <w:t>not</w:t>
      </w:r>
      <w:r>
        <w:rPr>
          <w:spacing w:val="-3"/>
        </w:rPr>
        <w:t> </w:t>
      </w:r>
      <w:r>
        <w:rPr/>
        <w:t>accepted</w:t>
      </w:r>
      <w:r>
        <w:rPr>
          <w:spacing w:val="-4"/>
        </w:rPr>
        <w:t> </w:t>
      </w:r>
      <w:r>
        <w:rPr/>
        <w:t>for</w:t>
      </w:r>
      <w:r>
        <w:rPr>
          <w:spacing w:val="-3"/>
        </w:rPr>
        <w:t> </w:t>
      </w:r>
      <w:r>
        <w:rPr/>
        <w:t>admission</w:t>
      </w:r>
      <w:r>
        <w:rPr>
          <w:spacing w:val="-4"/>
        </w:rPr>
        <w:t> </w:t>
      </w:r>
      <w:r>
        <w:rPr/>
        <w:t>will</w:t>
      </w:r>
      <w:r>
        <w:rPr>
          <w:spacing w:val="-4"/>
        </w:rPr>
        <w:t> </w:t>
      </w:r>
      <w:r>
        <w:rPr/>
        <w:t>be</w:t>
      </w:r>
      <w:r>
        <w:rPr>
          <w:spacing w:val="-3"/>
        </w:rPr>
        <w:t> </w:t>
      </w:r>
      <w:r>
        <w:rPr/>
        <w:t>referred</w:t>
      </w:r>
      <w:r>
        <w:rPr>
          <w:spacing w:val="-4"/>
        </w:rPr>
        <w:t> </w:t>
      </w:r>
      <w:r>
        <w:rPr/>
        <w:t>to</w:t>
      </w:r>
      <w:r>
        <w:rPr>
          <w:spacing w:val="-5"/>
        </w:rPr>
        <w:t> </w:t>
      </w:r>
      <w:r>
        <w:rPr/>
        <w:t>the</w:t>
      </w:r>
      <w:r>
        <w:rPr>
          <w:spacing w:val="-4"/>
        </w:rPr>
        <w:t> </w:t>
      </w:r>
      <w:r>
        <w:rPr/>
        <w:t>school</w:t>
      </w:r>
      <w:r>
        <w:rPr>
          <w:spacing w:val="-4"/>
        </w:rPr>
        <w:t> </w:t>
      </w:r>
      <w:r>
        <w:rPr/>
        <w:t>district</w:t>
      </w:r>
      <w:r>
        <w:rPr>
          <w:spacing w:val="-3"/>
        </w:rPr>
        <w:t> </w:t>
      </w:r>
      <w:r>
        <w:rPr/>
        <w:t>of</w:t>
      </w:r>
      <w:r>
        <w:rPr>
          <w:spacing w:val="-5"/>
        </w:rPr>
        <w:t> </w:t>
      </w:r>
      <w:r>
        <w:rPr/>
        <w:t>residence, and assistance provided in determining a more appropriate placement.</w:t>
      </w:r>
    </w:p>
    <w:p>
      <w:pPr>
        <w:pStyle w:val="BodyText"/>
        <w:spacing w:after="0" w:line="208" w:lineRule="auto"/>
        <w:sectPr>
          <w:pgSz w:w="12240" w:h="15840"/>
          <w:pgMar w:top="1340" w:bottom="280" w:left="1080" w:right="720"/>
        </w:sectPr>
      </w:pPr>
    </w:p>
    <w:p>
      <w:pPr>
        <w:pStyle w:val="ListParagraph"/>
        <w:numPr>
          <w:ilvl w:val="0"/>
          <w:numId w:val="346"/>
        </w:numPr>
        <w:tabs>
          <w:tab w:pos="718" w:val="left" w:leader="none"/>
        </w:tabs>
        <w:spacing w:line="208" w:lineRule="auto" w:before="96" w:after="0"/>
        <w:ind w:left="360" w:right="738" w:firstLine="0"/>
        <w:jc w:val="left"/>
        <w:rPr>
          <w:sz w:val="24"/>
        </w:rPr>
      </w:pPr>
      <w:r>
        <w:rPr>
          <w:b/>
          <w:sz w:val="24"/>
        </w:rPr>
        <w:t>Appeal of denial of admission or discharge.</w:t>
      </w:r>
      <w:r>
        <w:rPr>
          <w:b/>
          <w:spacing w:val="40"/>
          <w:sz w:val="24"/>
        </w:rPr>
        <w:t> </w:t>
      </w:r>
      <w:r>
        <w:rPr>
          <w:sz w:val="24"/>
        </w:rPr>
        <w:t>If as a result of screening a child is denied admission or is discharged as a result of no longer meeting visual or hearing eligibility requirements or having attained the age of 21, the decision may be administratively</w:t>
      </w:r>
      <w:r>
        <w:rPr>
          <w:spacing w:val="-3"/>
          <w:sz w:val="24"/>
        </w:rPr>
        <w:t> </w:t>
      </w:r>
      <w:r>
        <w:rPr>
          <w:sz w:val="24"/>
        </w:rPr>
        <w:t>appealed.</w:t>
      </w:r>
      <w:r>
        <w:rPr>
          <w:spacing w:val="40"/>
          <w:sz w:val="24"/>
        </w:rPr>
        <w:t> </w:t>
      </w:r>
      <w:r>
        <w:rPr>
          <w:sz w:val="24"/>
        </w:rPr>
        <w:t>When</w:t>
      </w:r>
      <w:r>
        <w:rPr>
          <w:spacing w:val="-4"/>
          <w:sz w:val="24"/>
        </w:rPr>
        <w:t> </w:t>
      </w:r>
      <w:r>
        <w:rPr>
          <w:sz w:val="24"/>
        </w:rPr>
        <w:t>a</w:t>
      </w:r>
      <w:r>
        <w:rPr>
          <w:spacing w:val="-3"/>
          <w:sz w:val="24"/>
        </w:rPr>
        <w:t> </w:t>
      </w:r>
      <w:r>
        <w:rPr>
          <w:sz w:val="24"/>
        </w:rPr>
        <w:t>child</w:t>
      </w:r>
      <w:r>
        <w:rPr>
          <w:spacing w:val="-3"/>
          <w:sz w:val="24"/>
        </w:rPr>
        <w:t> </w:t>
      </w:r>
      <w:r>
        <w:rPr>
          <w:sz w:val="24"/>
        </w:rPr>
        <w:t>is</w:t>
      </w:r>
      <w:r>
        <w:rPr>
          <w:spacing w:val="-3"/>
          <w:sz w:val="24"/>
        </w:rPr>
        <w:t> </w:t>
      </w:r>
      <w:r>
        <w:rPr>
          <w:sz w:val="24"/>
        </w:rPr>
        <w:t>denied</w:t>
      </w:r>
      <w:r>
        <w:rPr>
          <w:spacing w:val="-3"/>
          <w:sz w:val="24"/>
        </w:rPr>
        <w:t> </w:t>
      </w:r>
      <w:r>
        <w:rPr>
          <w:sz w:val="24"/>
        </w:rPr>
        <w:t>admission</w:t>
      </w:r>
      <w:r>
        <w:rPr>
          <w:spacing w:val="-3"/>
          <w:sz w:val="24"/>
        </w:rPr>
        <w:t> </w:t>
      </w:r>
      <w:r>
        <w:rPr>
          <w:sz w:val="24"/>
        </w:rPr>
        <w:t>or</w:t>
      </w:r>
      <w:r>
        <w:rPr>
          <w:spacing w:val="-2"/>
          <w:sz w:val="24"/>
        </w:rPr>
        <w:t> </w:t>
      </w:r>
      <w:r>
        <w:rPr>
          <w:sz w:val="24"/>
        </w:rPr>
        <w:t>is</w:t>
      </w:r>
      <w:r>
        <w:rPr>
          <w:spacing w:val="-3"/>
          <w:sz w:val="24"/>
        </w:rPr>
        <w:t> </w:t>
      </w:r>
      <w:r>
        <w:rPr>
          <w:sz w:val="24"/>
        </w:rPr>
        <w:t>discharged,</w:t>
      </w:r>
      <w:r>
        <w:rPr>
          <w:spacing w:val="-2"/>
          <w:sz w:val="24"/>
        </w:rPr>
        <w:t> </w:t>
      </w:r>
      <w:r>
        <w:rPr>
          <w:sz w:val="24"/>
        </w:rPr>
        <w:t>a</w:t>
      </w:r>
      <w:r>
        <w:rPr>
          <w:spacing w:val="-3"/>
          <w:sz w:val="24"/>
        </w:rPr>
        <w:t> </w:t>
      </w:r>
      <w:r>
        <w:rPr>
          <w:sz w:val="24"/>
        </w:rPr>
        <w:t>letter</w:t>
      </w:r>
      <w:r>
        <w:rPr>
          <w:spacing w:val="-4"/>
          <w:sz w:val="24"/>
        </w:rPr>
        <w:t> </w:t>
      </w:r>
      <w:r>
        <w:rPr>
          <w:sz w:val="24"/>
        </w:rPr>
        <w:t>is sent from the superintendent to the parents/guardians advising them of the denial/discharge, the specific eligibility factors not met by the child, and of the right to appeal by written request to the Director within 30 days.</w:t>
      </w:r>
    </w:p>
    <w:p>
      <w:pPr>
        <w:pStyle w:val="ListParagraph"/>
        <w:numPr>
          <w:ilvl w:val="0"/>
          <w:numId w:val="346"/>
        </w:numPr>
        <w:tabs>
          <w:tab w:pos="786" w:val="left" w:leader="none"/>
        </w:tabs>
        <w:spacing w:line="208" w:lineRule="auto" w:before="239" w:after="0"/>
        <w:ind w:left="360" w:right="792" w:firstLine="0"/>
        <w:jc w:val="left"/>
        <w:rPr>
          <w:sz w:val="24"/>
        </w:rPr>
      </w:pPr>
      <w:r>
        <w:rPr>
          <w:b/>
          <w:sz w:val="24"/>
        </w:rPr>
        <w:t>Suspension.</w:t>
      </w:r>
      <w:r>
        <w:rPr>
          <w:b/>
          <w:spacing w:val="40"/>
          <w:sz w:val="24"/>
        </w:rPr>
        <w:t> </w:t>
      </w:r>
      <w:r>
        <w:rPr>
          <w:sz w:val="24"/>
        </w:rPr>
        <w:t>Should</w:t>
      </w:r>
      <w:r>
        <w:rPr>
          <w:spacing w:val="-4"/>
          <w:sz w:val="24"/>
        </w:rPr>
        <w:t> </w:t>
      </w:r>
      <w:r>
        <w:rPr>
          <w:sz w:val="24"/>
        </w:rPr>
        <w:t>the</w:t>
      </w:r>
      <w:r>
        <w:rPr>
          <w:spacing w:val="-4"/>
          <w:sz w:val="24"/>
        </w:rPr>
        <w:t> </w:t>
      </w:r>
      <w:r>
        <w:rPr>
          <w:sz w:val="24"/>
        </w:rPr>
        <w:t>superintendent</w:t>
      </w:r>
      <w:r>
        <w:rPr>
          <w:spacing w:val="-3"/>
          <w:sz w:val="24"/>
        </w:rPr>
        <w:t> </w:t>
      </w:r>
      <w:r>
        <w:rPr>
          <w:sz w:val="24"/>
        </w:rPr>
        <w:t>approve,</w:t>
      </w:r>
      <w:r>
        <w:rPr>
          <w:spacing w:val="-3"/>
          <w:sz w:val="24"/>
        </w:rPr>
        <w:t> </w:t>
      </w:r>
      <w:r>
        <w:rPr>
          <w:sz w:val="24"/>
        </w:rPr>
        <w:t>a</w:t>
      </w:r>
      <w:r>
        <w:rPr>
          <w:spacing w:val="-4"/>
          <w:sz w:val="24"/>
        </w:rPr>
        <w:t> </w:t>
      </w:r>
      <w:r>
        <w:rPr>
          <w:sz w:val="24"/>
        </w:rPr>
        <w:t>student</w:t>
      </w:r>
      <w:r>
        <w:rPr>
          <w:spacing w:val="-5"/>
          <w:sz w:val="24"/>
        </w:rPr>
        <w:t> </w:t>
      </w:r>
      <w:r>
        <w:rPr>
          <w:sz w:val="24"/>
        </w:rPr>
        <w:t>may</w:t>
      </w:r>
      <w:r>
        <w:rPr>
          <w:spacing w:val="-4"/>
          <w:sz w:val="24"/>
        </w:rPr>
        <w:t> </w:t>
      </w:r>
      <w:r>
        <w:rPr>
          <w:sz w:val="24"/>
        </w:rPr>
        <w:t>be</w:t>
      </w:r>
      <w:r>
        <w:rPr>
          <w:spacing w:val="-4"/>
          <w:sz w:val="24"/>
        </w:rPr>
        <w:t> </w:t>
      </w:r>
      <w:r>
        <w:rPr>
          <w:sz w:val="24"/>
        </w:rPr>
        <w:t>suspended</w:t>
      </w:r>
      <w:r>
        <w:rPr>
          <w:spacing w:val="-4"/>
          <w:sz w:val="24"/>
        </w:rPr>
        <w:t> </w:t>
      </w:r>
      <w:r>
        <w:rPr>
          <w:sz w:val="24"/>
        </w:rPr>
        <w:t>for conduct violating a specific rule, and previously identified and published as being of a type for which suspension may be imposed.</w:t>
      </w:r>
    </w:p>
    <w:p>
      <w:pPr>
        <w:pStyle w:val="ListParagraph"/>
        <w:numPr>
          <w:ilvl w:val="1"/>
          <w:numId w:val="346"/>
        </w:numPr>
        <w:tabs>
          <w:tab w:pos="1217" w:val="left" w:leader="none"/>
        </w:tabs>
        <w:spacing w:line="208" w:lineRule="auto" w:before="240" w:after="0"/>
        <w:ind w:left="791" w:right="880" w:firstLine="0"/>
        <w:jc w:val="left"/>
        <w:rPr>
          <w:sz w:val="24"/>
        </w:rPr>
      </w:pPr>
      <w:r>
        <w:rPr>
          <w:b/>
          <w:sz w:val="24"/>
        </w:rPr>
        <w:t>Summary suspension and appeal.</w:t>
      </w:r>
      <w:r>
        <w:rPr>
          <w:b/>
          <w:spacing w:val="40"/>
          <w:sz w:val="24"/>
        </w:rPr>
        <w:t> </w:t>
      </w:r>
      <w:r>
        <w:rPr>
          <w:sz w:val="24"/>
        </w:rPr>
        <w:t>Summary suspension is defined as a suspension</w:t>
      </w:r>
      <w:r>
        <w:rPr>
          <w:spacing w:val="-2"/>
          <w:sz w:val="24"/>
        </w:rPr>
        <w:t> </w:t>
      </w:r>
      <w:r>
        <w:rPr>
          <w:sz w:val="24"/>
        </w:rPr>
        <w:t>of</w:t>
      </w:r>
      <w:r>
        <w:rPr>
          <w:spacing w:val="-4"/>
          <w:sz w:val="24"/>
        </w:rPr>
        <w:t> </w:t>
      </w:r>
      <w:r>
        <w:rPr>
          <w:sz w:val="24"/>
        </w:rPr>
        <w:t>ten</w:t>
      </w:r>
      <w:r>
        <w:rPr>
          <w:spacing w:val="-3"/>
          <w:sz w:val="24"/>
        </w:rPr>
        <w:t> </w:t>
      </w:r>
      <w:r>
        <w:rPr>
          <w:sz w:val="24"/>
        </w:rPr>
        <w:t>days</w:t>
      </w:r>
      <w:r>
        <w:rPr>
          <w:spacing w:val="-3"/>
          <w:sz w:val="24"/>
        </w:rPr>
        <w:t> </w:t>
      </w:r>
      <w:r>
        <w:rPr>
          <w:sz w:val="24"/>
        </w:rPr>
        <w:t>or</w:t>
      </w:r>
      <w:r>
        <w:rPr>
          <w:spacing w:val="-2"/>
          <w:sz w:val="24"/>
        </w:rPr>
        <w:t> </w:t>
      </w:r>
      <w:r>
        <w:rPr>
          <w:sz w:val="24"/>
        </w:rPr>
        <w:t>less.</w:t>
      </w:r>
      <w:r>
        <w:rPr>
          <w:spacing w:val="40"/>
          <w:sz w:val="24"/>
        </w:rPr>
        <w:t> </w:t>
      </w:r>
      <w:r>
        <w:rPr>
          <w:sz w:val="24"/>
        </w:rPr>
        <w:t>For</w:t>
      </w:r>
      <w:r>
        <w:rPr>
          <w:spacing w:val="-2"/>
          <w:sz w:val="24"/>
        </w:rPr>
        <w:t> </w:t>
      </w:r>
      <w:r>
        <w:rPr>
          <w:sz w:val="24"/>
        </w:rPr>
        <w:t>infractions</w:t>
      </w:r>
      <w:r>
        <w:rPr>
          <w:spacing w:val="-3"/>
          <w:sz w:val="24"/>
        </w:rPr>
        <w:t> </w:t>
      </w:r>
      <w:r>
        <w:rPr>
          <w:sz w:val="24"/>
        </w:rPr>
        <w:t>occurring</w:t>
      </w:r>
      <w:r>
        <w:rPr>
          <w:spacing w:val="-3"/>
          <w:sz w:val="24"/>
        </w:rPr>
        <w:t> </w:t>
      </w:r>
      <w:r>
        <w:rPr>
          <w:sz w:val="24"/>
        </w:rPr>
        <w:t>in</w:t>
      </w:r>
      <w:r>
        <w:rPr>
          <w:spacing w:val="-3"/>
          <w:sz w:val="24"/>
        </w:rPr>
        <w:t> </w:t>
      </w:r>
      <w:r>
        <w:rPr>
          <w:sz w:val="24"/>
        </w:rPr>
        <w:t>the</w:t>
      </w:r>
      <w:r>
        <w:rPr>
          <w:spacing w:val="-3"/>
          <w:sz w:val="24"/>
        </w:rPr>
        <w:t> </w:t>
      </w:r>
      <w:r>
        <w:rPr>
          <w:sz w:val="24"/>
        </w:rPr>
        <w:t>academic</w:t>
      </w:r>
      <w:r>
        <w:rPr>
          <w:spacing w:val="-3"/>
          <w:sz w:val="24"/>
        </w:rPr>
        <w:t> </w:t>
      </w:r>
      <w:r>
        <w:rPr>
          <w:sz w:val="24"/>
        </w:rPr>
        <w:t>area,</w:t>
      </w:r>
      <w:r>
        <w:rPr>
          <w:spacing w:val="-2"/>
          <w:sz w:val="24"/>
        </w:rPr>
        <w:t> </w:t>
      </w:r>
      <w:r>
        <w:rPr>
          <w:sz w:val="24"/>
        </w:rPr>
        <w:t>the suspension could be only from attending classes but not from the campus. Summary suspension is imposed using the following process:</w:t>
      </w:r>
    </w:p>
    <w:p>
      <w:pPr>
        <w:pStyle w:val="ListParagraph"/>
        <w:numPr>
          <w:ilvl w:val="2"/>
          <w:numId w:val="346"/>
        </w:numPr>
        <w:tabs>
          <w:tab w:pos="1676" w:val="left" w:leader="none"/>
        </w:tabs>
        <w:spacing w:line="208" w:lineRule="auto" w:before="239" w:after="0"/>
        <w:ind w:left="1223" w:right="822" w:firstLine="0"/>
        <w:jc w:val="left"/>
        <w:rPr>
          <w:sz w:val="24"/>
        </w:rPr>
      </w:pPr>
      <w:r>
        <w:rPr>
          <w:sz w:val="24"/>
        </w:rPr>
        <w:t>An</w:t>
      </w:r>
      <w:r>
        <w:rPr>
          <w:spacing w:val="-3"/>
          <w:sz w:val="24"/>
        </w:rPr>
        <w:t> </w:t>
      </w:r>
      <w:r>
        <w:rPr>
          <w:sz w:val="24"/>
        </w:rPr>
        <w:t>oral</w:t>
      </w:r>
      <w:r>
        <w:rPr>
          <w:spacing w:val="-5"/>
          <w:sz w:val="24"/>
        </w:rPr>
        <w:t> </w:t>
      </w:r>
      <w:r>
        <w:rPr>
          <w:sz w:val="24"/>
        </w:rPr>
        <w:t>or</w:t>
      </w:r>
      <w:r>
        <w:rPr>
          <w:spacing w:val="-2"/>
          <w:sz w:val="24"/>
        </w:rPr>
        <w:t> </w:t>
      </w:r>
      <w:r>
        <w:rPr>
          <w:sz w:val="24"/>
        </w:rPr>
        <w:t>written</w:t>
      </w:r>
      <w:r>
        <w:rPr>
          <w:spacing w:val="-4"/>
          <w:sz w:val="24"/>
        </w:rPr>
        <w:t> </w:t>
      </w:r>
      <w:r>
        <w:rPr>
          <w:sz w:val="24"/>
        </w:rPr>
        <w:t>report</w:t>
      </w:r>
      <w:r>
        <w:rPr>
          <w:spacing w:val="-2"/>
          <w:sz w:val="24"/>
        </w:rPr>
        <w:t> </w:t>
      </w:r>
      <w:r>
        <w:rPr>
          <w:sz w:val="24"/>
        </w:rPr>
        <w:t>of</w:t>
      </w:r>
      <w:r>
        <w:rPr>
          <w:spacing w:val="-4"/>
          <w:sz w:val="24"/>
        </w:rPr>
        <w:t> </w:t>
      </w:r>
      <w:r>
        <w:rPr>
          <w:sz w:val="24"/>
        </w:rPr>
        <w:t>the</w:t>
      </w:r>
      <w:r>
        <w:rPr>
          <w:spacing w:val="-3"/>
          <w:sz w:val="24"/>
        </w:rPr>
        <w:t> </w:t>
      </w:r>
      <w:r>
        <w:rPr>
          <w:sz w:val="24"/>
        </w:rPr>
        <w:t>conduct</w:t>
      </w:r>
      <w:r>
        <w:rPr>
          <w:spacing w:val="-2"/>
          <w:sz w:val="24"/>
        </w:rPr>
        <w:t> </w:t>
      </w:r>
      <w:r>
        <w:rPr>
          <w:sz w:val="24"/>
        </w:rPr>
        <w:t>and</w:t>
      </w:r>
      <w:r>
        <w:rPr>
          <w:spacing w:val="-3"/>
          <w:sz w:val="24"/>
        </w:rPr>
        <w:t> </w:t>
      </w:r>
      <w:r>
        <w:rPr>
          <w:sz w:val="24"/>
        </w:rPr>
        <w:t>rule</w:t>
      </w:r>
      <w:r>
        <w:rPr>
          <w:spacing w:val="-3"/>
          <w:sz w:val="24"/>
        </w:rPr>
        <w:t> </w:t>
      </w:r>
      <w:r>
        <w:rPr>
          <w:sz w:val="24"/>
        </w:rPr>
        <w:t>violated</w:t>
      </w:r>
      <w:r>
        <w:rPr>
          <w:spacing w:val="-3"/>
          <w:sz w:val="24"/>
        </w:rPr>
        <w:t> </w:t>
      </w:r>
      <w:r>
        <w:rPr>
          <w:sz w:val="24"/>
        </w:rPr>
        <w:t>must</w:t>
      </w:r>
      <w:r>
        <w:rPr>
          <w:spacing w:val="-4"/>
          <w:sz w:val="24"/>
        </w:rPr>
        <w:t> </w:t>
      </w:r>
      <w:r>
        <w:rPr>
          <w:sz w:val="24"/>
        </w:rPr>
        <w:t>be</w:t>
      </w:r>
      <w:r>
        <w:rPr>
          <w:spacing w:val="-3"/>
          <w:sz w:val="24"/>
        </w:rPr>
        <w:t> </w:t>
      </w:r>
      <w:r>
        <w:rPr>
          <w:sz w:val="24"/>
        </w:rPr>
        <w:t>submitted to the discipline committee;</w:t>
      </w:r>
    </w:p>
    <w:p>
      <w:pPr>
        <w:pStyle w:val="ListParagraph"/>
        <w:numPr>
          <w:ilvl w:val="2"/>
          <w:numId w:val="346"/>
        </w:numPr>
        <w:tabs>
          <w:tab w:pos="1676" w:val="left" w:leader="none"/>
        </w:tabs>
        <w:spacing w:line="208" w:lineRule="auto" w:before="240" w:after="0"/>
        <w:ind w:left="1223" w:right="981" w:firstLine="0"/>
        <w:jc w:val="both"/>
        <w:rPr>
          <w:sz w:val="24"/>
        </w:rPr>
      </w:pPr>
      <w:r>
        <w:rPr>
          <w:sz w:val="24"/>
        </w:rPr>
        <w:t>The student is called before the committee, who gives the student oral or written</w:t>
      </w:r>
      <w:r>
        <w:rPr>
          <w:spacing w:val="-4"/>
          <w:sz w:val="24"/>
        </w:rPr>
        <w:t> </w:t>
      </w:r>
      <w:r>
        <w:rPr>
          <w:sz w:val="24"/>
        </w:rPr>
        <w:t>notice</w:t>
      </w:r>
      <w:r>
        <w:rPr>
          <w:spacing w:val="-4"/>
          <w:sz w:val="24"/>
        </w:rPr>
        <w:t> </w:t>
      </w:r>
      <w:r>
        <w:rPr>
          <w:sz w:val="24"/>
        </w:rPr>
        <w:t>of</w:t>
      </w:r>
      <w:r>
        <w:rPr>
          <w:spacing w:val="-3"/>
          <w:sz w:val="24"/>
        </w:rPr>
        <w:t> </w:t>
      </w:r>
      <w:r>
        <w:rPr>
          <w:sz w:val="24"/>
        </w:rPr>
        <w:t>the</w:t>
      </w:r>
      <w:r>
        <w:rPr>
          <w:spacing w:val="-4"/>
          <w:sz w:val="24"/>
        </w:rPr>
        <w:t> </w:t>
      </w:r>
      <w:r>
        <w:rPr>
          <w:sz w:val="24"/>
        </w:rPr>
        <w:t>charge,</w:t>
      </w:r>
      <w:r>
        <w:rPr>
          <w:spacing w:val="-3"/>
          <w:sz w:val="24"/>
        </w:rPr>
        <w:t> </w:t>
      </w:r>
      <w:r>
        <w:rPr>
          <w:sz w:val="24"/>
        </w:rPr>
        <w:t>basis</w:t>
      </w:r>
      <w:r>
        <w:rPr>
          <w:spacing w:val="-4"/>
          <w:sz w:val="24"/>
        </w:rPr>
        <w:t> </w:t>
      </w:r>
      <w:r>
        <w:rPr>
          <w:sz w:val="24"/>
        </w:rPr>
        <w:t>for</w:t>
      </w:r>
      <w:r>
        <w:rPr>
          <w:spacing w:val="-5"/>
          <w:sz w:val="24"/>
        </w:rPr>
        <w:t> </w:t>
      </w:r>
      <w:r>
        <w:rPr>
          <w:sz w:val="24"/>
        </w:rPr>
        <w:t>the</w:t>
      </w:r>
      <w:r>
        <w:rPr>
          <w:spacing w:val="-4"/>
          <w:sz w:val="24"/>
        </w:rPr>
        <w:t> </w:t>
      </w:r>
      <w:r>
        <w:rPr>
          <w:sz w:val="24"/>
        </w:rPr>
        <w:t>charge,</w:t>
      </w:r>
      <w:r>
        <w:rPr>
          <w:spacing w:val="-3"/>
          <w:sz w:val="24"/>
        </w:rPr>
        <w:t> </w:t>
      </w:r>
      <w:r>
        <w:rPr>
          <w:sz w:val="24"/>
        </w:rPr>
        <w:t>and</w:t>
      </w:r>
      <w:r>
        <w:rPr>
          <w:spacing w:val="-4"/>
          <w:sz w:val="24"/>
        </w:rPr>
        <w:t> </w:t>
      </w:r>
      <w:r>
        <w:rPr>
          <w:sz w:val="24"/>
        </w:rPr>
        <w:t>proposed</w:t>
      </w:r>
      <w:r>
        <w:rPr>
          <w:spacing w:val="-4"/>
          <w:sz w:val="24"/>
        </w:rPr>
        <w:t> </w:t>
      </w:r>
      <w:r>
        <w:rPr>
          <w:sz w:val="24"/>
        </w:rPr>
        <w:t>sanction</w:t>
      </w:r>
      <w:r>
        <w:rPr>
          <w:spacing w:val="-4"/>
          <w:sz w:val="24"/>
        </w:rPr>
        <w:t> </w:t>
      </w:r>
      <w:r>
        <w:rPr>
          <w:sz w:val="24"/>
        </w:rPr>
        <w:t>(one to ten days suspension);</w:t>
      </w:r>
    </w:p>
    <w:p>
      <w:pPr>
        <w:pStyle w:val="ListParagraph"/>
        <w:numPr>
          <w:ilvl w:val="2"/>
          <w:numId w:val="346"/>
        </w:numPr>
        <w:tabs>
          <w:tab w:pos="1688" w:val="left" w:leader="none"/>
        </w:tabs>
        <w:spacing w:line="208" w:lineRule="auto" w:before="240" w:after="0"/>
        <w:ind w:left="1223" w:right="1021" w:firstLine="0"/>
        <w:jc w:val="both"/>
        <w:rPr>
          <w:sz w:val="24"/>
        </w:rPr>
      </w:pPr>
      <w:r>
        <w:rPr>
          <w:sz w:val="24"/>
        </w:rPr>
        <w:t>If</w:t>
      </w:r>
      <w:r>
        <w:rPr>
          <w:spacing w:val="-4"/>
          <w:sz w:val="24"/>
        </w:rPr>
        <w:t> </w:t>
      </w:r>
      <w:r>
        <w:rPr>
          <w:sz w:val="24"/>
        </w:rPr>
        <w:t>the</w:t>
      </w:r>
      <w:r>
        <w:rPr>
          <w:spacing w:val="-3"/>
          <w:sz w:val="24"/>
        </w:rPr>
        <w:t> </w:t>
      </w:r>
      <w:r>
        <w:rPr>
          <w:sz w:val="24"/>
        </w:rPr>
        <w:t>student</w:t>
      </w:r>
      <w:r>
        <w:rPr>
          <w:spacing w:val="-2"/>
          <w:sz w:val="24"/>
        </w:rPr>
        <w:t> </w:t>
      </w:r>
      <w:r>
        <w:rPr>
          <w:sz w:val="24"/>
        </w:rPr>
        <w:t>denies</w:t>
      </w:r>
      <w:r>
        <w:rPr>
          <w:spacing w:val="-3"/>
          <w:sz w:val="24"/>
        </w:rPr>
        <w:t> </w:t>
      </w:r>
      <w:r>
        <w:rPr>
          <w:sz w:val="24"/>
        </w:rPr>
        <w:t>the</w:t>
      </w:r>
      <w:r>
        <w:rPr>
          <w:spacing w:val="-3"/>
          <w:sz w:val="24"/>
        </w:rPr>
        <w:t> </w:t>
      </w:r>
      <w:r>
        <w:rPr>
          <w:sz w:val="24"/>
        </w:rPr>
        <w:t>charge</w:t>
      </w:r>
      <w:r>
        <w:rPr>
          <w:spacing w:val="-3"/>
          <w:sz w:val="24"/>
        </w:rPr>
        <w:t> </w:t>
      </w:r>
      <w:r>
        <w:rPr>
          <w:sz w:val="24"/>
        </w:rPr>
        <w:t>at</w:t>
      </w:r>
      <w:r>
        <w:rPr>
          <w:spacing w:val="-2"/>
          <w:sz w:val="24"/>
        </w:rPr>
        <w:t> </w:t>
      </w:r>
      <w:r>
        <w:rPr>
          <w:sz w:val="24"/>
        </w:rPr>
        <w:t>this</w:t>
      </w:r>
      <w:r>
        <w:rPr>
          <w:spacing w:val="-3"/>
          <w:sz w:val="24"/>
        </w:rPr>
        <w:t> </w:t>
      </w:r>
      <w:r>
        <w:rPr>
          <w:sz w:val="24"/>
        </w:rPr>
        <w:t>discussion,</w:t>
      </w:r>
      <w:r>
        <w:rPr>
          <w:spacing w:val="-2"/>
          <w:sz w:val="24"/>
        </w:rPr>
        <w:t> </w:t>
      </w:r>
      <w:r>
        <w:rPr>
          <w:sz w:val="24"/>
        </w:rPr>
        <w:t>he</w:t>
      </w:r>
      <w:r>
        <w:rPr>
          <w:spacing w:val="-3"/>
          <w:sz w:val="24"/>
        </w:rPr>
        <w:t> </w:t>
      </w:r>
      <w:r>
        <w:rPr>
          <w:sz w:val="24"/>
        </w:rPr>
        <w:t>will</w:t>
      </w:r>
      <w:r>
        <w:rPr>
          <w:spacing w:val="-3"/>
          <w:sz w:val="24"/>
        </w:rPr>
        <w:t> </w:t>
      </w:r>
      <w:r>
        <w:rPr>
          <w:sz w:val="24"/>
        </w:rPr>
        <w:t>be</w:t>
      </w:r>
      <w:r>
        <w:rPr>
          <w:spacing w:val="-3"/>
          <w:sz w:val="24"/>
        </w:rPr>
        <w:t> </w:t>
      </w:r>
      <w:r>
        <w:rPr>
          <w:sz w:val="24"/>
        </w:rPr>
        <w:t>permitted</w:t>
      </w:r>
      <w:r>
        <w:rPr>
          <w:spacing w:val="-4"/>
          <w:sz w:val="24"/>
        </w:rPr>
        <w:t> </w:t>
      </w:r>
      <w:r>
        <w:rPr>
          <w:sz w:val="24"/>
        </w:rPr>
        <w:t>to present openly and fully his version of the facts;</w:t>
      </w:r>
    </w:p>
    <w:p>
      <w:pPr>
        <w:pStyle w:val="ListParagraph"/>
        <w:numPr>
          <w:ilvl w:val="2"/>
          <w:numId w:val="346"/>
        </w:numPr>
        <w:tabs>
          <w:tab w:pos="1688" w:val="left" w:leader="none"/>
        </w:tabs>
        <w:spacing w:line="208" w:lineRule="auto" w:before="240" w:after="0"/>
        <w:ind w:left="1223" w:right="1223" w:firstLine="0"/>
        <w:jc w:val="left"/>
        <w:rPr>
          <w:sz w:val="24"/>
        </w:rPr>
      </w:pPr>
      <w:r>
        <w:rPr>
          <w:sz w:val="24"/>
        </w:rPr>
        <w:t>If</w:t>
      </w:r>
      <w:r>
        <w:rPr>
          <w:spacing w:val="-5"/>
          <w:sz w:val="24"/>
        </w:rPr>
        <w:t> </w:t>
      </w:r>
      <w:r>
        <w:rPr>
          <w:sz w:val="24"/>
        </w:rPr>
        <w:t>the</w:t>
      </w:r>
      <w:r>
        <w:rPr>
          <w:spacing w:val="-4"/>
          <w:sz w:val="24"/>
        </w:rPr>
        <w:t> </w:t>
      </w:r>
      <w:r>
        <w:rPr>
          <w:sz w:val="24"/>
        </w:rPr>
        <w:t>committee</w:t>
      </w:r>
      <w:r>
        <w:rPr>
          <w:spacing w:val="-4"/>
          <w:sz w:val="24"/>
        </w:rPr>
        <w:t> </w:t>
      </w:r>
      <w:r>
        <w:rPr>
          <w:sz w:val="24"/>
        </w:rPr>
        <w:t>decides</w:t>
      </w:r>
      <w:r>
        <w:rPr>
          <w:spacing w:val="-4"/>
          <w:sz w:val="24"/>
        </w:rPr>
        <w:t> </w:t>
      </w:r>
      <w:r>
        <w:rPr>
          <w:sz w:val="24"/>
        </w:rPr>
        <w:t>to</w:t>
      </w:r>
      <w:r>
        <w:rPr>
          <w:spacing w:val="-4"/>
          <w:sz w:val="24"/>
        </w:rPr>
        <w:t> </w:t>
      </w:r>
      <w:r>
        <w:rPr>
          <w:sz w:val="24"/>
        </w:rPr>
        <w:t>suspend,</w:t>
      </w:r>
      <w:r>
        <w:rPr>
          <w:spacing w:val="-3"/>
          <w:sz w:val="24"/>
        </w:rPr>
        <w:t> </w:t>
      </w:r>
      <w:r>
        <w:rPr>
          <w:sz w:val="24"/>
        </w:rPr>
        <w:t>inform</w:t>
      </w:r>
      <w:r>
        <w:rPr>
          <w:spacing w:val="-3"/>
          <w:sz w:val="24"/>
        </w:rPr>
        <w:t> </w:t>
      </w:r>
      <w:r>
        <w:rPr>
          <w:sz w:val="24"/>
        </w:rPr>
        <w:t>the</w:t>
      </w:r>
      <w:r>
        <w:rPr>
          <w:spacing w:val="-4"/>
          <w:sz w:val="24"/>
        </w:rPr>
        <w:t> </w:t>
      </w:r>
      <w:r>
        <w:rPr>
          <w:sz w:val="24"/>
        </w:rPr>
        <w:t>student</w:t>
      </w:r>
      <w:r>
        <w:rPr>
          <w:spacing w:val="-3"/>
          <w:sz w:val="24"/>
        </w:rPr>
        <w:t> </w:t>
      </w:r>
      <w:r>
        <w:rPr>
          <w:sz w:val="24"/>
        </w:rPr>
        <w:t>and</w:t>
      </w:r>
      <w:r>
        <w:rPr>
          <w:spacing w:val="-4"/>
          <w:sz w:val="24"/>
        </w:rPr>
        <w:t> </w:t>
      </w:r>
      <w:r>
        <w:rPr>
          <w:sz w:val="24"/>
        </w:rPr>
        <w:t>invoke</w:t>
      </w:r>
      <w:r>
        <w:rPr>
          <w:spacing w:val="-4"/>
          <w:sz w:val="24"/>
        </w:rPr>
        <w:t> </w:t>
      </w:r>
      <w:r>
        <w:rPr>
          <w:sz w:val="24"/>
        </w:rPr>
        <w:t>the </w:t>
      </w:r>
      <w:r>
        <w:rPr>
          <w:spacing w:val="-2"/>
          <w:sz w:val="24"/>
        </w:rPr>
        <w:t>penalty;</w:t>
      </w:r>
    </w:p>
    <w:p>
      <w:pPr>
        <w:pStyle w:val="ListParagraph"/>
        <w:numPr>
          <w:ilvl w:val="2"/>
          <w:numId w:val="346"/>
        </w:numPr>
        <w:tabs>
          <w:tab w:pos="1676" w:val="left" w:leader="none"/>
        </w:tabs>
        <w:spacing w:line="208" w:lineRule="auto" w:before="240" w:after="0"/>
        <w:ind w:left="1223" w:right="982" w:firstLine="0"/>
        <w:jc w:val="both"/>
        <w:rPr>
          <w:sz w:val="24"/>
        </w:rPr>
      </w:pPr>
      <w:r>
        <w:rPr>
          <w:sz w:val="24"/>
        </w:rPr>
        <w:t>A</w:t>
      </w:r>
      <w:r>
        <w:rPr>
          <w:spacing w:val="-5"/>
          <w:sz w:val="24"/>
        </w:rPr>
        <w:t> </w:t>
      </w:r>
      <w:r>
        <w:rPr>
          <w:sz w:val="24"/>
        </w:rPr>
        <w:t>full</w:t>
      </w:r>
      <w:r>
        <w:rPr>
          <w:spacing w:val="-4"/>
          <w:sz w:val="24"/>
        </w:rPr>
        <w:t> </w:t>
      </w:r>
      <w:r>
        <w:rPr>
          <w:sz w:val="24"/>
        </w:rPr>
        <w:t>report</w:t>
      </w:r>
      <w:r>
        <w:rPr>
          <w:spacing w:val="-3"/>
          <w:sz w:val="24"/>
        </w:rPr>
        <w:t> </w:t>
      </w:r>
      <w:r>
        <w:rPr>
          <w:sz w:val="24"/>
        </w:rPr>
        <w:t>is</w:t>
      </w:r>
      <w:r>
        <w:rPr>
          <w:spacing w:val="-4"/>
          <w:sz w:val="24"/>
        </w:rPr>
        <w:t> </w:t>
      </w:r>
      <w:r>
        <w:rPr>
          <w:sz w:val="24"/>
        </w:rPr>
        <w:t>then</w:t>
      </w:r>
      <w:r>
        <w:rPr>
          <w:spacing w:val="-4"/>
          <w:sz w:val="24"/>
        </w:rPr>
        <w:t> </w:t>
      </w:r>
      <w:r>
        <w:rPr>
          <w:sz w:val="24"/>
        </w:rPr>
        <w:t>submitted</w:t>
      </w:r>
      <w:r>
        <w:rPr>
          <w:spacing w:val="-4"/>
          <w:sz w:val="24"/>
        </w:rPr>
        <w:t> </w:t>
      </w:r>
      <w:r>
        <w:rPr>
          <w:sz w:val="24"/>
        </w:rPr>
        <w:t>to</w:t>
      </w:r>
      <w:r>
        <w:rPr>
          <w:spacing w:val="-4"/>
          <w:sz w:val="24"/>
        </w:rPr>
        <w:t> </w:t>
      </w:r>
      <w:r>
        <w:rPr>
          <w:sz w:val="24"/>
        </w:rPr>
        <w:t>the</w:t>
      </w:r>
      <w:r>
        <w:rPr>
          <w:spacing w:val="-4"/>
          <w:sz w:val="24"/>
        </w:rPr>
        <w:t> </w:t>
      </w:r>
      <w:r>
        <w:rPr>
          <w:sz w:val="24"/>
        </w:rPr>
        <w:t>superintendent</w:t>
      </w:r>
      <w:r>
        <w:rPr>
          <w:spacing w:val="-3"/>
          <w:sz w:val="24"/>
        </w:rPr>
        <w:t> </w:t>
      </w:r>
      <w:r>
        <w:rPr>
          <w:sz w:val="24"/>
        </w:rPr>
        <w:t>who</w:t>
      </w:r>
      <w:r>
        <w:rPr>
          <w:spacing w:val="-4"/>
          <w:sz w:val="24"/>
        </w:rPr>
        <w:t> </w:t>
      </w:r>
      <w:r>
        <w:rPr>
          <w:sz w:val="24"/>
        </w:rPr>
        <w:t>has</w:t>
      </w:r>
      <w:r>
        <w:rPr>
          <w:spacing w:val="-4"/>
          <w:sz w:val="24"/>
        </w:rPr>
        <w:t> </w:t>
      </w:r>
      <w:r>
        <w:rPr>
          <w:sz w:val="24"/>
        </w:rPr>
        <w:t>the</w:t>
      </w:r>
      <w:r>
        <w:rPr>
          <w:spacing w:val="-4"/>
          <w:sz w:val="24"/>
        </w:rPr>
        <w:t> </w:t>
      </w:r>
      <w:r>
        <w:rPr>
          <w:sz w:val="24"/>
        </w:rPr>
        <w:t>authority to affirm, modify, or reverse the decision;</w:t>
      </w:r>
    </w:p>
    <w:p>
      <w:pPr>
        <w:pStyle w:val="ListParagraph"/>
        <w:numPr>
          <w:ilvl w:val="2"/>
          <w:numId w:val="346"/>
        </w:numPr>
        <w:tabs>
          <w:tab w:pos="1661" w:val="left" w:leader="none"/>
        </w:tabs>
        <w:spacing w:line="208" w:lineRule="auto" w:before="239" w:after="0"/>
        <w:ind w:left="1223" w:right="2022" w:firstLine="0"/>
        <w:jc w:val="left"/>
        <w:rPr>
          <w:sz w:val="24"/>
        </w:rPr>
      </w:pPr>
      <w:r>
        <w:rPr>
          <w:sz w:val="24"/>
        </w:rPr>
        <w:t>The</w:t>
      </w:r>
      <w:r>
        <w:rPr>
          <w:spacing w:val="-4"/>
          <w:sz w:val="24"/>
        </w:rPr>
        <w:t> </w:t>
      </w:r>
      <w:r>
        <w:rPr>
          <w:sz w:val="24"/>
        </w:rPr>
        <w:t>superintendent</w:t>
      </w:r>
      <w:r>
        <w:rPr>
          <w:spacing w:val="-3"/>
          <w:sz w:val="24"/>
        </w:rPr>
        <w:t> </w:t>
      </w:r>
      <w:r>
        <w:rPr>
          <w:sz w:val="24"/>
        </w:rPr>
        <w:t>submits</w:t>
      </w:r>
      <w:r>
        <w:rPr>
          <w:spacing w:val="-5"/>
          <w:sz w:val="24"/>
        </w:rPr>
        <w:t> </w:t>
      </w:r>
      <w:r>
        <w:rPr>
          <w:sz w:val="24"/>
        </w:rPr>
        <w:t>a</w:t>
      </w:r>
      <w:r>
        <w:rPr>
          <w:spacing w:val="-4"/>
          <w:sz w:val="24"/>
        </w:rPr>
        <w:t> </w:t>
      </w:r>
      <w:r>
        <w:rPr>
          <w:sz w:val="24"/>
        </w:rPr>
        <w:t>report</w:t>
      </w:r>
      <w:r>
        <w:rPr>
          <w:spacing w:val="-3"/>
          <w:sz w:val="24"/>
        </w:rPr>
        <w:t> </w:t>
      </w:r>
      <w:r>
        <w:rPr>
          <w:sz w:val="24"/>
        </w:rPr>
        <w:t>of</w:t>
      </w:r>
      <w:r>
        <w:rPr>
          <w:spacing w:val="-5"/>
          <w:sz w:val="24"/>
        </w:rPr>
        <w:t> </w:t>
      </w:r>
      <w:r>
        <w:rPr>
          <w:sz w:val="24"/>
        </w:rPr>
        <w:t>the</w:t>
      </w:r>
      <w:r>
        <w:rPr>
          <w:spacing w:val="-4"/>
          <w:sz w:val="24"/>
        </w:rPr>
        <w:t> </w:t>
      </w:r>
      <w:r>
        <w:rPr>
          <w:sz w:val="24"/>
        </w:rPr>
        <w:t>entire</w:t>
      </w:r>
      <w:r>
        <w:rPr>
          <w:spacing w:val="-4"/>
          <w:sz w:val="24"/>
        </w:rPr>
        <w:t> </w:t>
      </w:r>
      <w:r>
        <w:rPr>
          <w:sz w:val="24"/>
        </w:rPr>
        <w:t>incident</w:t>
      </w:r>
      <w:r>
        <w:rPr>
          <w:spacing w:val="-3"/>
          <w:sz w:val="24"/>
        </w:rPr>
        <w:t> </w:t>
      </w:r>
      <w:r>
        <w:rPr>
          <w:sz w:val="24"/>
        </w:rPr>
        <w:t>to</w:t>
      </w:r>
      <w:r>
        <w:rPr>
          <w:spacing w:val="-4"/>
          <w:sz w:val="24"/>
        </w:rPr>
        <w:t> </w:t>
      </w:r>
      <w:r>
        <w:rPr>
          <w:sz w:val="24"/>
        </w:rPr>
        <w:t>the parents/guardian of the student and to the Director, Department of Rehabilitation Services; and</w:t>
      </w:r>
    </w:p>
    <w:p>
      <w:pPr>
        <w:pStyle w:val="ListParagraph"/>
        <w:numPr>
          <w:ilvl w:val="2"/>
          <w:numId w:val="346"/>
        </w:numPr>
        <w:tabs>
          <w:tab w:pos="1702" w:val="left" w:leader="none"/>
        </w:tabs>
        <w:spacing w:line="208" w:lineRule="auto" w:before="240" w:after="0"/>
        <w:ind w:left="1223" w:right="907" w:firstLine="0"/>
        <w:jc w:val="left"/>
        <w:rPr>
          <w:sz w:val="24"/>
        </w:rPr>
      </w:pPr>
      <w:r>
        <w:rPr>
          <w:sz w:val="24"/>
        </w:rPr>
        <w:t>The</w:t>
      </w:r>
      <w:r>
        <w:rPr>
          <w:spacing w:val="-5"/>
          <w:sz w:val="24"/>
        </w:rPr>
        <w:t> </w:t>
      </w:r>
      <w:r>
        <w:rPr>
          <w:sz w:val="24"/>
        </w:rPr>
        <w:t>student</w:t>
      </w:r>
      <w:r>
        <w:rPr>
          <w:spacing w:val="-4"/>
          <w:sz w:val="24"/>
        </w:rPr>
        <w:t> </w:t>
      </w:r>
      <w:r>
        <w:rPr>
          <w:sz w:val="24"/>
        </w:rPr>
        <w:t>and/or</w:t>
      </w:r>
      <w:r>
        <w:rPr>
          <w:spacing w:val="-4"/>
          <w:sz w:val="24"/>
        </w:rPr>
        <w:t> </w:t>
      </w:r>
      <w:r>
        <w:rPr>
          <w:sz w:val="24"/>
        </w:rPr>
        <w:t>his</w:t>
      </w:r>
      <w:r>
        <w:rPr>
          <w:spacing w:val="-5"/>
          <w:sz w:val="24"/>
        </w:rPr>
        <w:t> </w:t>
      </w:r>
      <w:r>
        <w:rPr>
          <w:sz w:val="24"/>
        </w:rPr>
        <w:t>parents/guardian</w:t>
      </w:r>
      <w:r>
        <w:rPr>
          <w:spacing w:val="-5"/>
          <w:sz w:val="24"/>
        </w:rPr>
        <w:t> </w:t>
      </w:r>
      <w:r>
        <w:rPr>
          <w:sz w:val="24"/>
        </w:rPr>
        <w:t>may</w:t>
      </w:r>
      <w:r>
        <w:rPr>
          <w:spacing w:val="-5"/>
          <w:sz w:val="24"/>
        </w:rPr>
        <w:t> </w:t>
      </w:r>
      <w:r>
        <w:rPr>
          <w:sz w:val="24"/>
        </w:rPr>
        <w:t>appeal</w:t>
      </w:r>
      <w:r>
        <w:rPr>
          <w:spacing w:val="-5"/>
          <w:sz w:val="24"/>
        </w:rPr>
        <w:t> </w:t>
      </w:r>
      <w:r>
        <w:rPr>
          <w:sz w:val="24"/>
        </w:rPr>
        <w:t>the</w:t>
      </w:r>
      <w:r>
        <w:rPr>
          <w:spacing w:val="-5"/>
          <w:sz w:val="24"/>
        </w:rPr>
        <w:t> </w:t>
      </w:r>
      <w:r>
        <w:rPr>
          <w:sz w:val="24"/>
        </w:rPr>
        <w:t>Superintendent's decision to the Director by letter.</w:t>
      </w:r>
      <w:r>
        <w:rPr>
          <w:spacing w:val="40"/>
          <w:sz w:val="24"/>
        </w:rPr>
        <w:t> </w:t>
      </w:r>
      <w:r>
        <w:rPr>
          <w:sz w:val="24"/>
        </w:rPr>
        <w:t>No hearing is granted, but after full investigation, the Director may affirm, modify, expunge the record, reverse, or order such action as is deemed necessary to assure fairness.</w:t>
      </w:r>
    </w:p>
    <w:p>
      <w:pPr>
        <w:pStyle w:val="ListParagraph"/>
        <w:numPr>
          <w:ilvl w:val="1"/>
          <w:numId w:val="346"/>
        </w:numPr>
        <w:tabs>
          <w:tab w:pos="1217" w:val="left" w:leader="none"/>
        </w:tabs>
        <w:spacing w:line="208" w:lineRule="auto" w:before="240" w:after="0"/>
        <w:ind w:left="791" w:right="802" w:firstLine="0"/>
        <w:jc w:val="left"/>
        <w:rPr>
          <w:sz w:val="24"/>
        </w:rPr>
      </w:pPr>
      <w:r>
        <w:rPr>
          <w:b/>
          <w:sz w:val="24"/>
        </w:rPr>
        <w:t>Lengthy</w:t>
      </w:r>
      <w:r>
        <w:rPr>
          <w:b/>
          <w:spacing w:val="-4"/>
          <w:sz w:val="24"/>
        </w:rPr>
        <w:t> </w:t>
      </w:r>
      <w:r>
        <w:rPr>
          <w:b/>
          <w:sz w:val="24"/>
        </w:rPr>
        <w:t>suspension</w:t>
      </w:r>
      <w:r>
        <w:rPr>
          <w:b/>
          <w:spacing w:val="-4"/>
          <w:sz w:val="24"/>
        </w:rPr>
        <w:t> </w:t>
      </w:r>
      <w:r>
        <w:rPr>
          <w:b/>
          <w:sz w:val="24"/>
        </w:rPr>
        <w:t>and</w:t>
      </w:r>
      <w:r>
        <w:rPr>
          <w:b/>
          <w:spacing w:val="-4"/>
          <w:sz w:val="24"/>
        </w:rPr>
        <w:t> </w:t>
      </w:r>
      <w:r>
        <w:rPr>
          <w:b/>
          <w:sz w:val="24"/>
        </w:rPr>
        <w:t>appeal.</w:t>
      </w:r>
      <w:r>
        <w:rPr>
          <w:b/>
          <w:spacing w:val="40"/>
          <w:sz w:val="24"/>
        </w:rPr>
        <w:t> </w:t>
      </w:r>
      <w:r>
        <w:rPr>
          <w:sz w:val="24"/>
        </w:rPr>
        <w:t>A</w:t>
      </w:r>
      <w:r>
        <w:rPr>
          <w:spacing w:val="-4"/>
          <w:sz w:val="24"/>
        </w:rPr>
        <w:t> </w:t>
      </w:r>
      <w:r>
        <w:rPr>
          <w:sz w:val="24"/>
        </w:rPr>
        <w:t>lengthy</w:t>
      </w:r>
      <w:r>
        <w:rPr>
          <w:spacing w:val="-4"/>
          <w:sz w:val="24"/>
        </w:rPr>
        <w:t> </w:t>
      </w:r>
      <w:r>
        <w:rPr>
          <w:sz w:val="24"/>
        </w:rPr>
        <w:t>suspension</w:t>
      </w:r>
      <w:r>
        <w:rPr>
          <w:spacing w:val="-4"/>
          <w:sz w:val="24"/>
        </w:rPr>
        <w:t> </w:t>
      </w:r>
      <w:r>
        <w:rPr>
          <w:sz w:val="24"/>
        </w:rPr>
        <w:t>is</w:t>
      </w:r>
      <w:r>
        <w:rPr>
          <w:spacing w:val="-4"/>
          <w:sz w:val="24"/>
        </w:rPr>
        <w:t> </w:t>
      </w:r>
      <w:r>
        <w:rPr>
          <w:sz w:val="24"/>
        </w:rPr>
        <w:t>anything</w:t>
      </w:r>
      <w:r>
        <w:rPr>
          <w:spacing w:val="-4"/>
          <w:sz w:val="24"/>
        </w:rPr>
        <w:t> </w:t>
      </w:r>
      <w:r>
        <w:rPr>
          <w:sz w:val="24"/>
        </w:rPr>
        <w:t>in</w:t>
      </w:r>
      <w:r>
        <w:rPr>
          <w:spacing w:val="-4"/>
          <w:sz w:val="24"/>
        </w:rPr>
        <w:t> </w:t>
      </w:r>
      <w:r>
        <w:rPr>
          <w:sz w:val="24"/>
        </w:rPr>
        <w:t>excess of ten days up to the statutory maximum of the current semester and the succeeding semester which could be imposed.</w:t>
      </w:r>
      <w:r>
        <w:rPr>
          <w:spacing w:val="40"/>
          <w:sz w:val="24"/>
        </w:rPr>
        <w:t> </w:t>
      </w:r>
      <w:r>
        <w:rPr>
          <w:sz w:val="24"/>
        </w:rPr>
        <w:t>The procedure is analogous to the above with the additional notification of the school district of residence that educational programming for one of their students has been temporarily discontinued.</w:t>
      </w:r>
      <w:r>
        <w:rPr>
          <w:spacing w:val="40"/>
          <w:sz w:val="24"/>
        </w:rPr>
        <w:t> </w:t>
      </w:r>
      <w:r>
        <w:rPr>
          <w:sz w:val="24"/>
        </w:rPr>
        <w:t>This will enable the student and the local school district to consider alternative programming.</w:t>
      </w:r>
    </w:p>
    <w:p>
      <w:pPr>
        <w:pStyle w:val="ListParagraph"/>
        <w:numPr>
          <w:ilvl w:val="1"/>
          <w:numId w:val="346"/>
        </w:numPr>
        <w:tabs>
          <w:tab w:pos="1217" w:val="left" w:leader="none"/>
        </w:tabs>
        <w:spacing w:line="208" w:lineRule="auto" w:before="239" w:after="0"/>
        <w:ind w:left="791" w:right="732" w:firstLine="0"/>
        <w:jc w:val="left"/>
        <w:rPr>
          <w:sz w:val="24"/>
        </w:rPr>
      </w:pPr>
      <w:r>
        <w:rPr>
          <w:b/>
          <w:sz w:val="24"/>
        </w:rPr>
        <w:t>Return from discharge or suspension.</w:t>
      </w:r>
      <w:r>
        <w:rPr>
          <w:b/>
          <w:spacing w:val="40"/>
          <w:sz w:val="24"/>
        </w:rPr>
        <w:t> </w:t>
      </w:r>
      <w:r>
        <w:rPr>
          <w:sz w:val="24"/>
        </w:rPr>
        <w:t>Failure of a student to return to the school after a summary suspension, without reasonable cause, will result in discharge</w:t>
      </w:r>
      <w:r>
        <w:rPr>
          <w:spacing w:val="-3"/>
          <w:sz w:val="24"/>
        </w:rPr>
        <w:t> </w:t>
      </w:r>
      <w:r>
        <w:rPr>
          <w:sz w:val="24"/>
        </w:rPr>
        <w:t>of</w:t>
      </w:r>
      <w:r>
        <w:rPr>
          <w:spacing w:val="-3"/>
          <w:sz w:val="24"/>
        </w:rPr>
        <w:t> </w:t>
      </w:r>
      <w:r>
        <w:rPr>
          <w:sz w:val="24"/>
        </w:rPr>
        <w:t>the</w:t>
      </w:r>
      <w:r>
        <w:rPr>
          <w:spacing w:val="-4"/>
          <w:sz w:val="24"/>
        </w:rPr>
        <w:t> </w:t>
      </w:r>
      <w:r>
        <w:rPr>
          <w:sz w:val="24"/>
        </w:rPr>
        <w:t>student.</w:t>
      </w:r>
      <w:r>
        <w:rPr>
          <w:spacing w:val="-3"/>
          <w:sz w:val="24"/>
        </w:rPr>
        <w:t> </w:t>
      </w:r>
      <w:r>
        <w:rPr>
          <w:sz w:val="24"/>
        </w:rPr>
        <w:t>Return</w:t>
      </w:r>
      <w:r>
        <w:rPr>
          <w:spacing w:val="-5"/>
          <w:sz w:val="24"/>
        </w:rPr>
        <w:t> </w:t>
      </w:r>
      <w:r>
        <w:rPr>
          <w:sz w:val="24"/>
        </w:rPr>
        <w:t>of</w:t>
      </w:r>
      <w:r>
        <w:rPr>
          <w:spacing w:val="-3"/>
          <w:sz w:val="24"/>
        </w:rPr>
        <w:t> </w:t>
      </w:r>
      <w:r>
        <w:rPr>
          <w:sz w:val="24"/>
        </w:rPr>
        <w:t>students</w:t>
      </w:r>
      <w:r>
        <w:rPr>
          <w:spacing w:val="-4"/>
          <w:sz w:val="24"/>
        </w:rPr>
        <w:t> </w:t>
      </w:r>
      <w:r>
        <w:rPr>
          <w:sz w:val="24"/>
        </w:rPr>
        <w:t>after</w:t>
      </w:r>
      <w:r>
        <w:rPr>
          <w:spacing w:val="-5"/>
          <w:sz w:val="24"/>
        </w:rPr>
        <w:t> </w:t>
      </w:r>
      <w:r>
        <w:rPr>
          <w:sz w:val="24"/>
        </w:rPr>
        <w:t>discharge</w:t>
      </w:r>
      <w:r>
        <w:rPr>
          <w:spacing w:val="-4"/>
          <w:sz w:val="24"/>
        </w:rPr>
        <w:t> </w:t>
      </w:r>
      <w:r>
        <w:rPr>
          <w:sz w:val="24"/>
        </w:rPr>
        <w:t>or</w:t>
      </w:r>
      <w:r>
        <w:rPr>
          <w:spacing w:val="-3"/>
          <w:sz w:val="24"/>
        </w:rPr>
        <w:t> </w:t>
      </w:r>
      <w:r>
        <w:rPr>
          <w:sz w:val="24"/>
        </w:rPr>
        <w:t>a</w:t>
      </w:r>
      <w:r>
        <w:rPr>
          <w:spacing w:val="-4"/>
          <w:sz w:val="24"/>
        </w:rPr>
        <w:t> </w:t>
      </w:r>
      <w:r>
        <w:rPr>
          <w:sz w:val="24"/>
        </w:rPr>
        <w:t>lengthy</w:t>
      </w:r>
      <w:r>
        <w:rPr>
          <w:spacing w:val="-4"/>
          <w:sz w:val="24"/>
        </w:rPr>
        <w:t> </w:t>
      </w:r>
      <w:r>
        <w:rPr>
          <w:sz w:val="24"/>
        </w:rPr>
        <w:t>suspension will be handled as a regular application for admission.</w:t>
      </w:r>
    </w:p>
    <w:p>
      <w:pPr>
        <w:pStyle w:val="ListParagraph"/>
        <w:spacing w:after="0" w:line="208" w:lineRule="auto"/>
        <w:jc w:val="left"/>
        <w:rPr>
          <w:sz w:val="24"/>
        </w:rPr>
        <w:sectPr>
          <w:pgSz w:w="12240" w:h="15840"/>
          <w:pgMar w:top="1340" w:bottom="280" w:left="1080" w:right="720"/>
        </w:sectPr>
      </w:pPr>
    </w:p>
    <w:p>
      <w:pPr>
        <w:spacing w:before="80"/>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60" w:bottom="280" w:left="1080" w:right="720"/>
        </w:sectPr>
      </w:pPr>
    </w:p>
    <w:p>
      <w:pPr>
        <w:pStyle w:val="Heading2"/>
      </w:pPr>
      <w:bookmarkStart w:name="612:20-3-7.  Discipline" w:id="346"/>
      <w:bookmarkEnd w:id="346"/>
      <w:r>
        <w:rPr>
          <w:b w:val="0"/>
        </w:rPr>
      </w:r>
      <w:r>
        <w:rPr/>
        <w:t>612:20-3-7.</w:t>
      </w:r>
      <w:r>
        <w:rPr>
          <w:spacing w:val="60"/>
        </w:rPr>
        <w:t> </w:t>
      </w:r>
      <w:r>
        <w:rPr>
          <w:spacing w:val="-2"/>
        </w:rPr>
        <w:t>Discipline</w:t>
      </w:r>
    </w:p>
    <w:p>
      <w:pPr>
        <w:pStyle w:val="ListParagraph"/>
        <w:numPr>
          <w:ilvl w:val="0"/>
          <w:numId w:val="347"/>
        </w:numPr>
        <w:tabs>
          <w:tab w:pos="786" w:val="left" w:leader="none"/>
        </w:tabs>
        <w:spacing w:line="208" w:lineRule="auto" w:before="233" w:after="0"/>
        <w:ind w:left="360" w:right="1354" w:firstLine="0"/>
        <w:jc w:val="left"/>
        <w:rPr>
          <w:sz w:val="24"/>
        </w:rPr>
      </w:pPr>
      <w:r>
        <w:rPr>
          <w:sz w:val="24"/>
        </w:rPr>
        <w:t>Disciplinary measures at the OSB and OSD will be consistent with Oklahoma Statutes,</w:t>
      </w:r>
      <w:r>
        <w:rPr>
          <w:spacing w:val="-4"/>
          <w:sz w:val="24"/>
        </w:rPr>
        <w:t> </w:t>
      </w:r>
      <w:r>
        <w:rPr>
          <w:sz w:val="24"/>
        </w:rPr>
        <w:t>policy</w:t>
      </w:r>
      <w:r>
        <w:rPr>
          <w:spacing w:val="-5"/>
          <w:sz w:val="24"/>
        </w:rPr>
        <w:t> </w:t>
      </w:r>
      <w:r>
        <w:rPr>
          <w:sz w:val="24"/>
        </w:rPr>
        <w:t>as</w:t>
      </w:r>
      <w:r>
        <w:rPr>
          <w:spacing w:val="-5"/>
          <w:sz w:val="24"/>
        </w:rPr>
        <w:t> </w:t>
      </w:r>
      <w:r>
        <w:rPr>
          <w:sz w:val="24"/>
        </w:rPr>
        <w:t>established</w:t>
      </w:r>
      <w:r>
        <w:rPr>
          <w:spacing w:val="-5"/>
          <w:sz w:val="24"/>
        </w:rPr>
        <w:t> </w:t>
      </w:r>
      <w:r>
        <w:rPr>
          <w:sz w:val="24"/>
        </w:rPr>
        <w:t>by</w:t>
      </w:r>
      <w:r>
        <w:rPr>
          <w:spacing w:val="-4"/>
          <w:sz w:val="24"/>
        </w:rPr>
        <w:t> </w:t>
      </w:r>
      <w:r>
        <w:rPr>
          <w:sz w:val="24"/>
        </w:rPr>
        <w:t>the</w:t>
      </w:r>
      <w:r>
        <w:rPr>
          <w:spacing w:val="-5"/>
          <w:sz w:val="24"/>
        </w:rPr>
        <w:t> </w:t>
      </w:r>
      <w:r>
        <w:rPr>
          <w:sz w:val="24"/>
        </w:rPr>
        <w:t>Commission</w:t>
      </w:r>
      <w:r>
        <w:rPr>
          <w:spacing w:val="-5"/>
          <w:sz w:val="24"/>
        </w:rPr>
        <w:t> </w:t>
      </w:r>
      <w:r>
        <w:rPr>
          <w:sz w:val="24"/>
        </w:rPr>
        <w:t>for</w:t>
      </w:r>
      <w:r>
        <w:rPr>
          <w:spacing w:val="-4"/>
          <w:sz w:val="24"/>
        </w:rPr>
        <w:t> </w:t>
      </w:r>
      <w:r>
        <w:rPr>
          <w:sz w:val="24"/>
        </w:rPr>
        <w:t>Rehabilitation</w:t>
      </w:r>
      <w:r>
        <w:rPr>
          <w:spacing w:val="-5"/>
          <w:sz w:val="24"/>
        </w:rPr>
        <w:t> </w:t>
      </w:r>
      <w:r>
        <w:rPr>
          <w:sz w:val="24"/>
        </w:rPr>
        <w:t>Services,</w:t>
      </w:r>
      <w:r>
        <w:rPr>
          <w:spacing w:val="-4"/>
          <w:sz w:val="24"/>
        </w:rPr>
        <w:t> </w:t>
      </w:r>
      <w:r>
        <w:rPr>
          <w:sz w:val="24"/>
        </w:rPr>
        <w:t>and regulations of publicly supported schools in the state of Oklahoma.</w:t>
      </w:r>
    </w:p>
    <w:p>
      <w:pPr>
        <w:pStyle w:val="ListParagraph"/>
        <w:numPr>
          <w:ilvl w:val="0"/>
          <w:numId w:val="347"/>
        </w:numPr>
        <w:tabs>
          <w:tab w:pos="786" w:val="left" w:leader="none"/>
        </w:tabs>
        <w:spacing w:line="240" w:lineRule="auto" w:before="210" w:after="0"/>
        <w:ind w:left="786" w:right="0" w:hanging="426"/>
        <w:jc w:val="left"/>
        <w:rPr>
          <w:sz w:val="24"/>
        </w:rPr>
      </w:pPr>
      <w:r>
        <w:rPr>
          <w:b/>
          <w:sz w:val="24"/>
        </w:rPr>
        <w:t>Prohibitions.</w:t>
      </w:r>
      <w:r>
        <w:rPr>
          <w:b/>
          <w:spacing w:val="58"/>
          <w:sz w:val="24"/>
        </w:rPr>
        <w:t> </w:t>
      </w:r>
      <w:r>
        <w:rPr>
          <w:sz w:val="24"/>
        </w:rPr>
        <w:t>Facility</w:t>
      </w:r>
      <w:r>
        <w:rPr>
          <w:spacing w:val="-5"/>
          <w:sz w:val="24"/>
        </w:rPr>
        <w:t> </w:t>
      </w:r>
      <w:r>
        <w:rPr>
          <w:sz w:val="24"/>
        </w:rPr>
        <w:t>policy</w:t>
      </w:r>
      <w:r>
        <w:rPr>
          <w:spacing w:val="-4"/>
          <w:sz w:val="24"/>
        </w:rPr>
        <w:t> </w:t>
      </w:r>
      <w:r>
        <w:rPr>
          <w:spacing w:val="-2"/>
          <w:sz w:val="24"/>
        </w:rPr>
        <w:t>prohibits:</w:t>
      </w:r>
    </w:p>
    <w:p>
      <w:pPr>
        <w:pStyle w:val="ListParagraph"/>
        <w:numPr>
          <w:ilvl w:val="1"/>
          <w:numId w:val="347"/>
        </w:numPr>
        <w:tabs>
          <w:tab w:pos="1217" w:val="left" w:leader="none"/>
        </w:tabs>
        <w:spacing w:line="240" w:lineRule="auto" w:before="204" w:after="0"/>
        <w:ind w:left="1217" w:right="0" w:hanging="426"/>
        <w:jc w:val="left"/>
        <w:rPr>
          <w:sz w:val="24"/>
        </w:rPr>
      </w:pPr>
      <w:r>
        <w:rPr>
          <w:sz w:val="24"/>
        </w:rPr>
        <w:t>Shaking,</w:t>
      </w:r>
      <w:r>
        <w:rPr>
          <w:spacing w:val="-3"/>
          <w:sz w:val="24"/>
        </w:rPr>
        <w:t> </w:t>
      </w:r>
      <w:r>
        <w:rPr>
          <w:sz w:val="24"/>
        </w:rPr>
        <w:t>striking,</w:t>
      </w:r>
      <w:r>
        <w:rPr>
          <w:spacing w:val="-5"/>
          <w:sz w:val="24"/>
        </w:rPr>
        <w:t> </w:t>
      </w:r>
      <w:r>
        <w:rPr>
          <w:sz w:val="24"/>
        </w:rPr>
        <w:t>spanking,</w:t>
      </w:r>
      <w:r>
        <w:rPr>
          <w:spacing w:val="-3"/>
          <w:sz w:val="24"/>
        </w:rPr>
        <w:t> </w:t>
      </w:r>
      <w:r>
        <w:rPr>
          <w:sz w:val="24"/>
        </w:rPr>
        <w:t>or</w:t>
      </w:r>
      <w:r>
        <w:rPr>
          <w:spacing w:val="-3"/>
          <w:sz w:val="24"/>
        </w:rPr>
        <w:t> </w:t>
      </w:r>
      <w:r>
        <w:rPr>
          <w:sz w:val="24"/>
        </w:rPr>
        <w:t>other</w:t>
      </w:r>
      <w:r>
        <w:rPr>
          <w:spacing w:val="-3"/>
          <w:sz w:val="24"/>
        </w:rPr>
        <w:t> </w:t>
      </w:r>
      <w:r>
        <w:rPr>
          <w:sz w:val="24"/>
        </w:rPr>
        <w:t>cruel</w:t>
      </w:r>
      <w:r>
        <w:rPr>
          <w:spacing w:val="-3"/>
          <w:sz w:val="24"/>
        </w:rPr>
        <w:t> </w:t>
      </w:r>
      <w:r>
        <w:rPr>
          <w:spacing w:val="-2"/>
          <w:sz w:val="24"/>
        </w:rPr>
        <w:t>treatment;</w:t>
      </w:r>
    </w:p>
    <w:p>
      <w:pPr>
        <w:pStyle w:val="ListParagraph"/>
        <w:numPr>
          <w:ilvl w:val="1"/>
          <w:numId w:val="347"/>
        </w:numPr>
        <w:tabs>
          <w:tab w:pos="1217" w:val="left" w:leader="none"/>
        </w:tabs>
        <w:spacing w:line="240" w:lineRule="auto" w:before="204" w:after="0"/>
        <w:ind w:left="1217" w:right="0" w:hanging="426"/>
        <w:jc w:val="left"/>
        <w:rPr>
          <w:sz w:val="24"/>
        </w:rPr>
      </w:pPr>
      <w:r>
        <w:rPr>
          <w:sz w:val="24"/>
        </w:rPr>
        <w:t>Harsh,</w:t>
      </w:r>
      <w:r>
        <w:rPr>
          <w:spacing w:val="-9"/>
          <w:sz w:val="24"/>
        </w:rPr>
        <w:t> </w:t>
      </w:r>
      <w:r>
        <w:rPr>
          <w:sz w:val="24"/>
        </w:rPr>
        <w:t>humiliating,</w:t>
      </w:r>
      <w:r>
        <w:rPr>
          <w:spacing w:val="-2"/>
          <w:sz w:val="24"/>
        </w:rPr>
        <w:t> </w:t>
      </w:r>
      <w:r>
        <w:rPr>
          <w:sz w:val="24"/>
        </w:rPr>
        <w:t>cruel,</w:t>
      </w:r>
      <w:r>
        <w:rPr>
          <w:spacing w:val="-3"/>
          <w:sz w:val="24"/>
        </w:rPr>
        <w:t> </w:t>
      </w:r>
      <w:r>
        <w:rPr>
          <w:sz w:val="24"/>
        </w:rPr>
        <w:t>abusive</w:t>
      </w:r>
      <w:r>
        <w:rPr>
          <w:spacing w:val="-5"/>
          <w:sz w:val="24"/>
        </w:rPr>
        <w:t> </w:t>
      </w:r>
      <w:r>
        <w:rPr>
          <w:sz w:val="24"/>
        </w:rPr>
        <w:t>or</w:t>
      </w:r>
      <w:r>
        <w:rPr>
          <w:spacing w:val="-3"/>
          <w:sz w:val="24"/>
        </w:rPr>
        <w:t> </w:t>
      </w:r>
      <w:r>
        <w:rPr>
          <w:sz w:val="24"/>
        </w:rPr>
        <w:t>degrading</w:t>
      </w:r>
      <w:r>
        <w:rPr>
          <w:spacing w:val="-4"/>
          <w:sz w:val="24"/>
        </w:rPr>
        <w:t> </w:t>
      </w:r>
      <w:r>
        <w:rPr>
          <w:spacing w:val="-2"/>
          <w:sz w:val="24"/>
        </w:rPr>
        <w:t>language;</w:t>
      </w:r>
    </w:p>
    <w:p>
      <w:pPr>
        <w:pStyle w:val="ListParagraph"/>
        <w:numPr>
          <w:ilvl w:val="1"/>
          <w:numId w:val="347"/>
        </w:numPr>
        <w:tabs>
          <w:tab w:pos="1217" w:val="left" w:leader="none"/>
        </w:tabs>
        <w:spacing w:line="240" w:lineRule="auto" w:before="204" w:after="0"/>
        <w:ind w:left="1217" w:right="0" w:hanging="426"/>
        <w:jc w:val="left"/>
        <w:rPr>
          <w:sz w:val="24"/>
        </w:rPr>
      </w:pPr>
      <w:r>
        <w:rPr>
          <w:sz w:val="24"/>
        </w:rPr>
        <w:t>Denial</w:t>
      </w:r>
      <w:r>
        <w:rPr>
          <w:spacing w:val="-3"/>
          <w:sz w:val="24"/>
        </w:rPr>
        <w:t> </w:t>
      </w:r>
      <w:r>
        <w:rPr>
          <w:sz w:val="24"/>
        </w:rPr>
        <w:t>of</w:t>
      </w:r>
      <w:r>
        <w:rPr>
          <w:spacing w:val="-1"/>
          <w:sz w:val="24"/>
        </w:rPr>
        <w:t> </w:t>
      </w:r>
      <w:r>
        <w:rPr>
          <w:sz w:val="24"/>
        </w:rPr>
        <w:t>food</w:t>
      </w:r>
      <w:r>
        <w:rPr>
          <w:spacing w:val="-2"/>
          <w:sz w:val="24"/>
        </w:rPr>
        <w:t> </w:t>
      </w:r>
      <w:r>
        <w:rPr>
          <w:sz w:val="24"/>
        </w:rPr>
        <w:t>or</w:t>
      </w:r>
      <w:r>
        <w:rPr>
          <w:spacing w:val="-1"/>
          <w:sz w:val="24"/>
        </w:rPr>
        <w:t> </w:t>
      </w:r>
      <w:r>
        <w:rPr>
          <w:spacing w:val="-2"/>
          <w:sz w:val="24"/>
        </w:rPr>
        <w:t>sleep;</w:t>
      </w:r>
    </w:p>
    <w:p>
      <w:pPr>
        <w:pStyle w:val="ListParagraph"/>
        <w:numPr>
          <w:ilvl w:val="1"/>
          <w:numId w:val="347"/>
        </w:numPr>
        <w:tabs>
          <w:tab w:pos="1216" w:val="left" w:leader="none"/>
        </w:tabs>
        <w:spacing w:line="208" w:lineRule="auto" w:before="234" w:after="0"/>
        <w:ind w:left="791" w:right="1708" w:firstLine="0"/>
        <w:jc w:val="left"/>
        <w:rPr>
          <w:sz w:val="24"/>
        </w:rPr>
      </w:pPr>
      <w:r>
        <w:rPr>
          <w:sz w:val="24"/>
        </w:rPr>
        <w:t>Work</w:t>
      </w:r>
      <w:r>
        <w:rPr>
          <w:spacing w:val="-5"/>
          <w:sz w:val="24"/>
        </w:rPr>
        <w:t> </w:t>
      </w:r>
      <w:r>
        <w:rPr>
          <w:sz w:val="24"/>
        </w:rPr>
        <w:t>tasks</w:t>
      </w:r>
      <w:r>
        <w:rPr>
          <w:spacing w:val="-4"/>
          <w:sz w:val="24"/>
        </w:rPr>
        <w:t> </w:t>
      </w:r>
      <w:r>
        <w:rPr>
          <w:sz w:val="24"/>
        </w:rPr>
        <w:t>that</w:t>
      </w:r>
      <w:r>
        <w:rPr>
          <w:spacing w:val="-3"/>
          <w:sz w:val="24"/>
        </w:rPr>
        <w:t> </w:t>
      </w:r>
      <w:r>
        <w:rPr>
          <w:sz w:val="24"/>
        </w:rPr>
        <w:t>are</w:t>
      </w:r>
      <w:r>
        <w:rPr>
          <w:spacing w:val="-4"/>
          <w:sz w:val="24"/>
        </w:rPr>
        <w:t> </w:t>
      </w:r>
      <w:r>
        <w:rPr>
          <w:sz w:val="24"/>
        </w:rPr>
        <w:t>degrading</w:t>
      </w:r>
      <w:r>
        <w:rPr>
          <w:spacing w:val="-4"/>
          <w:sz w:val="24"/>
        </w:rPr>
        <w:t> </w:t>
      </w:r>
      <w:r>
        <w:rPr>
          <w:sz w:val="24"/>
        </w:rPr>
        <w:t>or</w:t>
      </w:r>
      <w:r>
        <w:rPr>
          <w:spacing w:val="-3"/>
          <w:sz w:val="24"/>
        </w:rPr>
        <w:t> </w:t>
      </w:r>
      <w:r>
        <w:rPr>
          <w:sz w:val="24"/>
        </w:rPr>
        <w:t>unnecessary</w:t>
      </w:r>
      <w:r>
        <w:rPr>
          <w:spacing w:val="-4"/>
          <w:sz w:val="24"/>
        </w:rPr>
        <w:t> </w:t>
      </w:r>
      <w:r>
        <w:rPr>
          <w:sz w:val="24"/>
        </w:rPr>
        <w:t>and</w:t>
      </w:r>
      <w:r>
        <w:rPr>
          <w:spacing w:val="-4"/>
          <w:sz w:val="24"/>
        </w:rPr>
        <w:t> </w:t>
      </w:r>
      <w:r>
        <w:rPr>
          <w:sz w:val="24"/>
        </w:rPr>
        <w:t>inappropriate</w:t>
      </w:r>
      <w:r>
        <w:rPr>
          <w:spacing w:val="-4"/>
          <w:sz w:val="24"/>
        </w:rPr>
        <w:t> </w:t>
      </w:r>
      <w:r>
        <w:rPr>
          <w:sz w:val="24"/>
        </w:rPr>
        <w:t>to</w:t>
      </w:r>
      <w:r>
        <w:rPr>
          <w:spacing w:val="-5"/>
          <w:sz w:val="24"/>
        </w:rPr>
        <w:t> </w:t>
      </w:r>
      <w:r>
        <w:rPr>
          <w:sz w:val="24"/>
        </w:rPr>
        <w:t>the residential student's age and ability;</w:t>
      </w:r>
    </w:p>
    <w:p>
      <w:pPr>
        <w:pStyle w:val="ListParagraph"/>
        <w:numPr>
          <w:ilvl w:val="1"/>
          <w:numId w:val="347"/>
        </w:numPr>
        <w:tabs>
          <w:tab w:pos="1217" w:val="left" w:leader="none"/>
        </w:tabs>
        <w:spacing w:line="208" w:lineRule="auto" w:before="239" w:after="0"/>
        <w:ind w:left="791" w:right="1133" w:firstLine="0"/>
        <w:jc w:val="left"/>
        <w:rPr>
          <w:sz w:val="24"/>
        </w:rPr>
      </w:pPr>
      <w:r>
        <w:rPr>
          <w:sz w:val="24"/>
        </w:rPr>
        <w:t>Denial</w:t>
      </w:r>
      <w:r>
        <w:rPr>
          <w:spacing w:val="-5"/>
          <w:sz w:val="24"/>
        </w:rPr>
        <w:t> </w:t>
      </w:r>
      <w:r>
        <w:rPr>
          <w:sz w:val="24"/>
        </w:rPr>
        <w:t>of</w:t>
      </w:r>
      <w:r>
        <w:rPr>
          <w:spacing w:val="-4"/>
          <w:sz w:val="24"/>
        </w:rPr>
        <w:t> </w:t>
      </w:r>
      <w:r>
        <w:rPr>
          <w:sz w:val="24"/>
        </w:rPr>
        <w:t>private</w:t>
      </w:r>
      <w:r>
        <w:rPr>
          <w:spacing w:val="-5"/>
          <w:sz w:val="24"/>
        </w:rPr>
        <w:t> </w:t>
      </w:r>
      <w:r>
        <w:rPr>
          <w:sz w:val="24"/>
        </w:rPr>
        <w:t>familial</w:t>
      </w:r>
      <w:r>
        <w:rPr>
          <w:spacing w:val="-5"/>
          <w:sz w:val="24"/>
        </w:rPr>
        <w:t> </w:t>
      </w:r>
      <w:r>
        <w:rPr>
          <w:sz w:val="24"/>
        </w:rPr>
        <w:t>and</w:t>
      </w:r>
      <w:r>
        <w:rPr>
          <w:spacing w:val="-4"/>
          <w:sz w:val="24"/>
        </w:rPr>
        <w:t> </w:t>
      </w:r>
      <w:r>
        <w:rPr>
          <w:sz w:val="24"/>
        </w:rPr>
        <w:t>significant</w:t>
      </w:r>
      <w:r>
        <w:rPr>
          <w:spacing w:val="-4"/>
          <w:sz w:val="24"/>
        </w:rPr>
        <w:t> </w:t>
      </w:r>
      <w:r>
        <w:rPr>
          <w:sz w:val="24"/>
        </w:rPr>
        <w:t>other</w:t>
      </w:r>
      <w:r>
        <w:rPr>
          <w:spacing w:val="-4"/>
          <w:sz w:val="24"/>
        </w:rPr>
        <w:t> </w:t>
      </w:r>
      <w:r>
        <w:rPr>
          <w:sz w:val="24"/>
        </w:rPr>
        <w:t>contact,</w:t>
      </w:r>
      <w:r>
        <w:rPr>
          <w:spacing w:val="-4"/>
          <w:sz w:val="24"/>
        </w:rPr>
        <w:t> </w:t>
      </w:r>
      <w:r>
        <w:rPr>
          <w:sz w:val="24"/>
        </w:rPr>
        <w:t>including</w:t>
      </w:r>
      <w:r>
        <w:rPr>
          <w:spacing w:val="-5"/>
          <w:sz w:val="24"/>
        </w:rPr>
        <w:t> </w:t>
      </w:r>
      <w:r>
        <w:rPr>
          <w:sz w:val="24"/>
        </w:rPr>
        <w:t>visits,</w:t>
      </w:r>
      <w:r>
        <w:rPr>
          <w:spacing w:val="-4"/>
          <w:sz w:val="24"/>
        </w:rPr>
        <w:t> </w:t>
      </w:r>
      <w:r>
        <w:rPr>
          <w:sz w:val="24"/>
        </w:rPr>
        <w:t>phone calls, and mail, as a means of punishment;</w:t>
      </w:r>
    </w:p>
    <w:p>
      <w:pPr>
        <w:pStyle w:val="ListParagraph"/>
        <w:numPr>
          <w:ilvl w:val="1"/>
          <w:numId w:val="347"/>
        </w:numPr>
        <w:tabs>
          <w:tab w:pos="1217" w:val="left" w:leader="none"/>
        </w:tabs>
        <w:spacing w:line="240" w:lineRule="auto" w:before="211" w:after="0"/>
        <w:ind w:left="1217" w:right="0" w:hanging="426"/>
        <w:jc w:val="left"/>
        <w:rPr>
          <w:sz w:val="24"/>
        </w:rPr>
      </w:pPr>
      <w:r>
        <w:rPr>
          <w:sz w:val="24"/>
        </w:rPr>
        <w:t>Use</w:t>
      </w:r>
      <w:r>
        <w:rPr>
          <w:spacing w:val="-3"/>
          <w:sz w:val="24"/>
        </w:rPr>
        <w:t> </w:t>
      </w:r>
      <w:r>
        <w:rPr>
          <w:sz w:val="24"/>
        </w:rPr>
        <w:t>of</w:t>
      </w:r>
      <w:r>
        <w:rPr>
          <w:spacing w:val="-5"/>
          <w:sz w:val="24"/>
        </w:rPr>
        <w:t> </w:t>
      </w:r>
      <w:r>
        <w:rPr>
          <w:sz w:val="24"/>
        </w:rPr>
        <w:t>chemical</w:t>
      </w:r>
      <w:r>
        <w:rPr>
          <w:spacing w:val="-2"/>
          <w:sz w:val="24"/>
        </w:rPr>
        <w:t> </w:t>
      </w:r>
      <w:r>
        <w:rPr>
          <w:sz w:val="24"/>
        </w:rPr>
        <w:t>agents,</w:t>
      </w:r>
      <w:r>
        <w:rPr>
          <w:spacing w:val="-2"/>
          <w:sz w:val="24"/>
        </w:rPr>
        <w:t> </w:t>
      </w:r>
      <w:r>
        <w:rPr>
          <w:sz w:val="24"/>
        </w:rPr>
        <w:t>including</w:t>
      </w:r>
      <w:r>
        <w:rPr>
          <w:spacing w:val="-2"/>
          <w:sz w:val="24"/>
        </w:rPr>
        <w:t> </w:t>
      </w:r>
      <w:r>
        <w:rPr>
          <w:sz w:val="24"/>
        </w:rPr>
        <w:t>tear</w:t>
      </w:r>
      <w:r>
        <w:rPr>
          <w:spacing w:val="-2"/>
          <w:sz w:val="24"/>
        </w:rPr>
        <w:t> </w:t>
      </w:r>
      <w:r>
        <w:rPr>
          <w:sz w:val="24"/>
        </w:rPr>
        <w:t>gas,</w:t>
      </w:r>
      <w:r>
        <w:rPr>
          <w:spacing w:val="-2"/>
          <w:sz w:val="24"/>
        </w:rPr>
        <w:t> </w:t>
      </w:r>
      <w:r>
        <w:rPr>
          <w:sz w:val="24"/>
        </w:rPr>
        <w:t>mace,</w:t>
      </w:r>
      <w:r>
        <w:rPr>
          <w:spacing w:val="-3"/>
          <w:sz w:val="24"/>
        </w:rPr>
        <w:t> </w:t>
      </w:r>
      <w:r>
        <w:rPr>
          <w:sz w:val="24"/>
        </w:rPr>
        <w:t>or</w:t>
      </w:r>
      <w:r>
        <w:rPr>
          <w:spacing w:val="-2"/>
          <w:sz w:val="24"/>
        </w:rPr>
        <w:t> </w:t>
      </w:r>
      <w:r>
        <w:rPr>
          <w:sz w:val="24"/>
        </w:rPr>
        <w:t>similar</w:t>
      </w:r>
      <w:r>
        <w:rPr>
          <w:spacing w:val="-1"/>
          <w:sz w:val="24"/>
        </w:rPr>
        <w:t> </w:t>
      </w:r>
      <w:r>
        <w:rPr>
          <w:spacing w:val="-2"/>
          <w:sz w:val="24"/>
        </w:rPr>
        <w:t>agents;</w:t>
      </w:r>
    </w:p>
    <w:p>
      <w:pPr>
        <w:pStyle w:val="ListParagraph"/>
        <w:numPr>
          <w:ilvl w:val="1"/>
          <w:numId w:val="347"/>
        </w:numPr>
        <w:tabs>
          <w:tab w:pos="1217" w:val="left" w:leader="none"/>
        </w:tabs>
        <w:spacing w:line="240" w:lineRule="auto" w:before="204" w:after="0"/>
        <w:ind w:left="1217" w:right="0" w:hanging="426"/>
        <w:jc w:val="left"/>
        <w:rPr>
          <w:sz w:val="24"/>
        </w:rPr>
      </w:pPr>
      <w:r>
        <w:rPr>
          <w:spacing w:val="-2"/>
          <w:sz w:val="24"/>
        </w:rPr>
        <w:t>Seclusion;</w:t>
      </w:r>
    </w:p>
    <w:p>
      <w:pPr>
        <w:pStyle w:val="ListParagraph"/>
        <w:numPr>
          <w:ilvl w:val="1"/>
          <w:numId w:val="347"/>
        </w:numPr>
        <w:tabs>
          <w:tab w:pos="1217" w:val="left" w:leader="none"/>
        </w:tabs>
        <w:spacing w:line="240" w:lineRule="auto" w:before="204" w:after="0"/>
        <w:ind w:left="1217" w:right="0" w:hanging="426"/>
        <w:jc w:val="left"/>
        <w:rPr>
          <w:sz w:val="24"/>
        </w:rPr>
      </w:pPr>
      <w:r>
        <w:rPr>
          <w:sz w:val="24"/>
        </w:rPr>
        <w:t>Extreme</w:t>
      </w:r>
      <w:r>
        <w:rPr>
          <w:spacing w:val="-4"/>
          <w:sz w:val="24"/>
        </w:rPr>
        <w:t> </w:t>
      </w:r>
      <w:r>
        <w:rPr>
          <w:sz w:val="24"/>
        </w:rPr>
        <w:t>physical</w:t>
      </w:r>
      <w:r>
        <w:rPr>
          <w:spacing w:val="-3"/>
          <w:sz w:val="24"/>
        </w:rPr>
        <w:t> </w:t>
      </w:r>
      <w:r>
        <w:rPr>
          <w:spacing w:val="-2"/>
          <w:sz w:val="24"/>
        </w:rPr>
        <w:t>exercise;</w:t>
      </w:r>
    </w:p>
    <w:p>
      <w:pPr>
        <w:pStyle w:val="ListParagraph"/>
        <w:numPr>
          <w:ilvl w:val="1"/>
          <w:numId w:val="347"/>
        </w:numPr>
        <w:tabs>
          <w:tab w:pos="1216" w:val="left" w:leader="none"/>
        </w:tabs>
        <w:spacing w:line="240" w:lineRule="auto" w:before="204" w:after="0"/>
        <w:ind w:left="1216" w:right="0" w:hanging="425"/>
        <w:jc w:val="left"/>
        <w:rPr>
          <w:sz w:val="24"/>
        </w:rPr>
      </w:pPr>
      <w:r>
        <w:rPr>
          <w:sz w:val="24"/>
        </w:rPr>
        <w:t>One</w:t>
      </w:r>
      <w:r>
        <w:rPr>
          <w:spacing w:val="-5"/>
          <w:sz w:val="24"/>
        </w:rPr>
        <w:t> </w:t>
      </w:r>
      <w:r>
        <w:rPr>
          <w:sz w:val="24"/>
        </w:rPr>
        <w:t>resident</w:t>
      </w:r>
      <w:r>
        <w:rPr>
          <w:spacing w:val="-3"/>
          <w:sz w:val="24"/>
        </w:rPr>
        <w:t> </w:t>
      </w:r>
      <w:r>
        <w:rPr>
          <w:sz w:val="24"/>
        </w:rPr>
        <w:t>punishing</w:t>
      </w:r>
      <w:r>
        <w:rPr>
          <w:spacing w:val="-4"/>
          <w:sz w:val="24"/>
        </w:rPr>
        <w:t> </w:t>
      </w:r>
      <w:r>
        <w:rPr>
          <w:sz w:val="24"/>
        </w:rPr>
        <w:t>another</w:t>
      </w:r>
      <w:r>
        <w:rPr>
          <w:spacing w:val="-3"/>
          <w:sz w:val="24"/>
        </w:rPr>
        <w:t> </w:t>
      </w:r>
      <w:r>
        <w:rPr>
          <w:spacing w:val="-2"/>
          <w:sz w:val="24"/>
        </w:rPr>
        <w:t>resident:</w:t>
      </w:r>
    </w:p>
    <w:p>
      <w:pPr>
        <w:pStyle w:val="ListParagraph"/>
        <w:numPr>
          <w:ilvl w:val="1"/>
          <w:numId w:val="347"/>
        </w:numPr>
        <w:tabs>
          <w:tab w:pos="1351" w:val="left" w:leader="none"/>
        </w:tabs>
        <w:spacing w:line="240" w:lineRule="auto" w:before="204" w:after="0"/>
        <w:ind w:left="1351" w:right="0" w:hanging="559"/>
        <w:jc w:val="left"/>
        <w:rPr>
          <w:sz w:val="24"/>
        </w:rPr>
      </w:pPr>
      <w:r>
        <w:rPr>
          <w:sz w:val="24"/>
        </w:rPr>
        <w:t>Chemical</w:t>
      </w:r>
      <w:r>
        <w:rPr>
          <w:spacing w:val="-6"/>
          <w:sz w:val="24"/>
        </w:rPr>
        <w:t> </w:t>
      </w:r>
      <w:r>
        <w:rPr>
          <w:spacing w:val="-2"/>
          <w:sz w:val="24"/>
        </w:rPr>
        <w:t>restraint;</w:t>
      </w:r>
    </w:p>
    <w:p>
      <w:pPr>
        <w:pStyle w:val="ListParagraph"/>
        <w:numPr>
          <w:ilvl w:val="1"/>
          <w:numId w:val="347"/>
        </w:numPr>
        <w:tabs>
          <w:tab w:pos="1350" w:val="left" w:leader="none"/>
        </w:tabs>
        <w:spacing w:line="240" w:lineRule="auto" w:before="204" w:after="0"/>
        <w:ind w:left="1350" w:right="0" w:hanging="558"/>
        <w:jc w:val="left"/>
        <w:rPr>
          <w:sz w:val="24"/>
        </w:rPr>
      </w:pPr>
      <w:r>
        <w:rPr>
          <w:sz w:val="24"/>
        </w:rPr>
        <w:t>Mechanical</w:t>
      </w:r>
      <w:r>
        <w:rPr>
          <w:spacing w:val="-5"/>
          <w:sz w:val="24"/>
        </w:rPr>
        <w:t> </w:t>
      </w:r>
      <w:r>
        <w:rPr>
          <w:sz w:val="24"/>
        </w:rPr>
        <w:t>restraint;</w:t>
      </w:r>
      <w:r>
        <w:rPr>
          <w:spacing w:val="-4"/>
          <w:sz w:val="24"/>
        </w:rPr>
        <w:t> </w:t>
      </w:r>
      <w:r>
        <w:rPr>
          <w:spacing w:val="-5"/>
          <w:sz w:val="24"/>
        </w:rPr>
        <w:t>and</w:t>
      </w:r>
    </w:p>
    <w:p>
      <w:pPr>
        <w:pStyle w:val="ListParagraph"/>
        <w:numPr>
          <w:ilvl w:val="1"/>
          <w:numId w:val="347"/>
        </w:numPr>
        <w:tabs>
          <w:tab w:pos="1351" w:val="left" w:leader="none"/>
        </w:tabs>
        <w:spacing w:line="240" w:lineRule="auto" w:before="204" w:after="0"/>
        <w:ind w:left="1351" w:right="0" w:hanging="559"/>
        <w:jc w:val="left"/>
        <w:rPr>
          <w:sz w:val="24"/>
        </w:rPr>
      </w:pPr>
      <w:r>
        <w:rPr>
          <w:sz w:val="24"/>
        </w:rPr>
        <w:t>Violating</w:t>
      </w:r>
      <w:r>
        <w:rPr>
          <w:spacing w:val="-8"/>
          <w:sz w:val="24"/>
        </w:rPr>
        <w:t> </w:t>
      </w:r>
      <w:r>
        <w:rPr>
          <w:sz w:val="24"/>
        </w:rPr>
        <w:t>residential</w:t>
      </w:r>
      <w:r>
        <w:rPr>
          <w:spacing w:val="-6"/>
          <w:sz w:val="24"/>
        </w:rPr>
        <w:t> </w:t>
      </w:r>
      <w:r>
        <w:rPr>
          <w:sz w:val="24"/>
        </w:rPr>
        <w:t>student's</w:t>
      </w:r>
      <w:r>
        <w:rPr>
          <w:spacing w:val="-5"/>
          <w:sz w:val="24"/>
        </w:rPr>
        <w:t> </w:t>
      </w:r>
      <w:r>
        <w:rPr>
          <w:spacing w:val="-2"/>
          <w:sz w:val="24"/>
        </w:rPr>
        <w:t>rights.</w:t>
      </w:r>
    </w:p>
    <w:p>
      <w:pPr>
        <w:pStyle w:val="ListParagraph"/>
        <w:numPr>
          <w:ilvl w:val="0"/>
          <w:numId w:val="347"/>
        </w:numPr>
        <w:tabs>
          <w:tab w:pos="773" w:val="left" w:leader="none"/>
        </w:tabs>
        <w:spacing w:line="208" w:lineRule="auto" w:before="233" w:after="0"/>
        <w:ind w:left="360" w:right="779" w:firstLine="0"/>
        <w:jc w:val="left"/>
        <w:rPr>
          <w:sz w:val="24"/>
        </w:rPr>
      </w:pPr>
      <w:r>
        <w:rPr>
          <w:b/>
          <w:sz w:val="24"/>
        </w:rPr>
        <w:t>Separation.</w:t>
      </w:r>
      <w:r>
        <w:rPr>
          <w:b/>
          <w:spacing w:val="40"/>
          <w:sz w:val="24"/>
        </w:rPr>
        <w:t> </w:t>
      </w:r>
      <w:r>
        <w:rPr>
          <w:sz w:val="24"/>
        </w:rPr>
        <w:t>A resident may be removed from the group or group activity as a method</w:t>
      </w:r>
      <w:r>
        <w:rPr>
          <w:spacing w:val="-3"/>
          <w:sz w:val="24"/>
        </w:rPr>
        <w:t> </w:t>
      </w:r>
      <w:r>
        <w:rPr>
          <w:sz w:val="24"/>
        </w:rPr>
        <w:t>of</w:t>
      </w:r>
      <w:r>
        <w:rPr>
          <w:spacing w:val="-4"/>
          <w:sz w:val="24"/>
        </w:rPr>
        <w:t> </w:t>
      </w:r>
      <w:r>
        <w:rPr>
          <w:sz w:val="24"/>
        </w:rPr>
        <w:t>behavior</w:t>
      </w:r>
      <w:r>
        <w:rPr>
          <w:spacing w:val="-2"/>
          <w:sz w:val="24"/>
        </w:rPr>
        <w:t> </w:t>
      </w:r>
      <w:r>
        <w:rPr>
          <w:sz w:val="24"/>
        </w:rPr>
        <w:t>management.</w:t>
      </w:r>
      <w:r>
        <w:rPr>
          <w:spacing w:val="40"/>
          <w:sz w:val="24"/>
        </w:rPr>
        <w:t> </w:t>
      </w:r>
      <w:r>
        <w:rPr>
          <w:sz w:val="24"/>
        </w:rPr>
        <w:t>The</w:t>
      </w:r>
      <w:r>
        <w:rPr>
          <w:spacing w:val="-4"/>
          <w:sz w:val="24"/>
        </w:rPr>
        <w:t> </w:t>
      </w:r>
      <w:r>
        <w:rPr>
          <w:sz w:val="24"/>
        </w:rPr>
        <w:t>resident</w:t>
      </w:r>
      <w:r>
        <w:rPr>
          <w:spacing w:val="-2"/>
          <w:sz w:val="24"/>
        </w:rPr>
        <w:t> </w:t>
      </w:r>
      <w:r>
        <w:rPr>
          <w:sz w:val="24"/>
        </w:rPr>
        <w:t>remains</w:t>
      </w:r>
      <w:r>
        <w:rPr>
          <w:spacing w:val="-3"/>
          <w:sz w:val="24"/>
        </w:rPr>
        <w:t> </w:t>
      </w:r>
      <w:r>
        <w:rPr>
          <w:sz w:val="24"/>
        </w:rPr>
        <w:t>within</w:t>
      </w:r>
      <w:r>
        <w:rPr>
          <w:spacing w:val="-3"/>
          <w:sz w:val="24"/>
        </w:rPr>
        <w:t> </w:t>
      </w:r>
      <w:r>
        <w:rPr>
          <w:sz w:val="24"/>
        </w:rPr>
        <w:t>hearing</w:t>
      </w:r>
      <w:r>
        <w:rPr>
          <w:spacing w:val="-3"/>
          <w:sz w:val="24"/>
        </w:rPr>
        <w:t> </w:t>
      </w:r>
      <w:r>
        <w:rPr>
          <w:sz w:val="24"/>
        </w:rPr>
        <w:t>of</w:t>
      </w:r>
      <w:r>
        <w:rPr>
          <w:spacing w:val="-2"/>
          <w:sz w:val="24"/>
        </w:rPr>
        <w:t> </w:t>
      </w:r>
      <w:r>
        <w:rPr>
          <w:sz w:val="24"/>
        </w:rPr>
        <w:t>an</w:t>
      </w:r>
      <w:r>
        <w:rPr>
          <w:spacing w:val="-3"/>
          <w:sz w:val="24"/>
        </w:rPr>
        <w:t> </w:t>
      </w:r>
      <w:r>
        <w:rPr>
          <w:sz w:val="24"/>
        </w:rPr>
        <w:t>adult</w:t>
      </w:r>
      <w:r>
        <w:rPr>
          <w:spacing w:val="-2"/>
          <w:sz w:val="24"/>
        </w:rPr>
        <w:t> </w:t>
      </w:r>
      <w:r>
        <w:rPr>
          <w:sz w:val="24"/>
        </w:rPr>
        <w:t>in</w:t>
      </w:r>
      <w:r>
        <w:rPr>
          <w:spacing w:val="-3"/>
          <w:sz w:val="24"/>
        </w:rPr>
        <w:t> </w:t>
      </w:r>
      <w:r>
        <w:rPr>
          <w:sz w:val="24"/>
        </w:rPr>
        <w:t>an unlocked, safe, clean, well-lit, well-ventilated area.</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7-1-05</w:t>
      </w:r>
      <w:r>
        <w:rPr>
          <w:sz w:val="22"/>
        </w:rPr>
        <w:tab/>
        <w:t>PT Memo #06-01</w:t>
      </w:r>
    </w:p>
    <w:p>
      <w:pPr>
        <w:spacing w:before="1"/>
        <w:ind w:left="1439" w:right="0" w:firstLine="0"/>
        <w:jc w:val="left"/>
        <w:rPr>
          <w:sz w:val="22"/>
        </w:rPr>
      </w:pPr>
      <w:r>
        <w:rPr>
          <w:sz w:val="22"/>
        </w:rPr>
        <w:t>Permanent,</w:t>
      </w:r>
      <w:r>
        <w:rPr>
          <w:spacing w:val="-7"/>
          <w:sz w:val="22"/>
        </w:rPr>
        <w:t> </w:t>
      </w:r>
      <w:r>
        <w:rPr>
          <w:sz w:val="22"/>
        </w:rPr>
        <w:t>clarifying</w:t>
      </w:r>
      <w:r>
        <w:rPr>
          <w:spacing w:val="-7"/>
          <w:sz w:val="22"/>
        </w:rPr>
        <w:t> </w:t>
      </w:r>
      <w:r>
        <w:rPr>
          <w:sz w:val="22"/>
        </w:rPr>
        <w:t>policy</w:t>
      </w:r>
      <w:r>
        <w:rPr>
          <w:spacing w:val="-7"/>
          <w:sz w:val="22"/>
        </w:rPr>
        <w:t> </w:t>
      </w:r>
      <w:r>
        <w:rPr>
          <w:sz w:val="22"/>
        </w:rPr>
        <w:t>in</w:t>
      </w:r>
      <w:r>
        <w:rPr>
          <w:spacing w:val="-7"/>
          <w:sz w:val="22"/>
        </w:rPr>
        <w:t> </w:t>
      </w:r>
      <w:r>
        <w:rPr>
          <w:sz w:val="22"/>
        </w:rPr>
        <w:t>regards</w:t>
      </w:r>
      <w:r>
        <w:rPr>
          <w:spacing w:val="-8"/>
          <w:sz w:val="22"/>
        </w:rPr>
        <w:t> </w:t>
      </w:r>
      <w:r>
        <w:rPr>
          <w:sz w:val="22"/>
        </w:rPr>
        <w:t>to</w:t>
      </w:r>
      <w:r>
        <w:rPr>
          <w:spacing w:val="-7"/>
          <w:sz w:val="22"/>
        </w:rPr>
        <w:t> </w:t>
      </w:r>
      <w:r>
        <w:rPr>
          <w:sz w:val="22"/>
        </w:rPr>
        <w:t>prohibitions</w:t>
      </w:r>
      <w:r>
        <w:rPr>
          <w:spacing w:val="-7"/>
          <w:sz w:val="22"/>
        </w:rPr>
        <w:t> </w:t>
      </w:r>
      <w:r>
        <w:rPr>
          <w:sz w:val="22"/>
        </w:rPr>
        <w:t>to</w:t>
      </w:r>
      <w:r>
        <w:rPr>
          <w:spacing w:val="-7"/>
          <w:sz w:val="22"/>
        </w:rPr>
        <w:t> </w:t>
      </w:r>
      <w:r>
        <w:rPr>
          <w:spacing w:val="-2"/>
          <w:sz w:val="22"/>
        </w:rPr>
        <w:t>discipline</w:t>
      </w:r>
    </w:p>
    <w:p>
      <w:pPr>
        <w:spacing w:after="0"/>
        <w:jc w:val="left"/>
        <w:rPr>
          <w:sz w:val="22"/>
        </w:rPr>
        <w:sectPr>
          <w:pgSz w:w="12240" w:h="15840"/>
          <w:pgMar w:top="1340" w:bottom="280" w:left="1080" w:right="720"/>
        </w:sectPr>
      </w:pPr>
    </w:p>
    <w:p>
      <w:pPr>
        <w:pStyle w:val="Heading2"/>
      </w:pPr>
      <w:bookmarkStart w:name="612:20-3-8.  Elementary and Secondary Ed" w:id="347"/>
      <w:bookmarkEnd w:id="347"/>
      <w:r>
        <w:rPr>
          <w:b w:val="0"/>
        </w:rPr>
      </w:r>
      <w:r>
        <w:rPr/>
        <w:t>612:20-3-8.</w:t>
      </w:r>
      <w:r>
        <w:rPr>
          <w:spacing w:val="56"/>
        </w:rPr>
        <w:t> </w:t>
      </w:r>
      <w:r>
        <w:rPr/>
        <w:t>Elementary</w:t>
      </w:r>
      <w:r>
        <w:rPr>
          <w:spacing w:val="-5"/>
        </w:rPr>
        <w:t> </w:t>
      </w:r>
      <w:r>
        <w:rPr/>
        <w:t>and</w:t>
      </w:r>
      <w:r>
        <w:rPr>
          <w:spacing w:val="-4"/>
        </w:rPr>
        <w:t> </w:t>
      </w:r>
      <w:r>
        <w:rPr/>
        <w:t>Secondary</w:t>
      </w:r>
      <w:r>
        <w:rPr>
          <w:spacing w:val="-4"/>
        </w:rPr>
        <w:t> </w:t>
      </w:r>
      <w:r>
        <w:rPr/>
        <w:t>Education</w:t>
      </w:r>
      <w:r>
        <w:rPr>
          <w:spacing w:val="-4"/>
        </w:rPr>
        <w:t> </w:t>
      </w:r>
      <w:r>
        <w:rPr>
          <w:spacing w:val="-5"/>
        </w:rPr>
        <w:t>Act</w:t>
      </w:r>
    </w:p>
    <w:p>
      <w:pPr>
        <w:pStyle w:val="BodyText"/>
        <w:spacing w:line="208" w:lineRule="auto" w:before="233"/>
        <w:ind w:left="359" w:right="775" w:firstLine="432"/>
      </w:pPr>
      <w:r>
        <w:rPr/>
        <w:t>The OSB and OSD come under the provisions of the Federal Elementary and Secondary</w:t>
      </w:r>
      <w:r>
        <w:rPr>
          <w:spacing w:val="-3"/>
        </w:rPr>
        <w:t> </w:t>
      </w:r>
      <w:r>
        <w:rPr/>
        <w:t>Education</w:t>
      </w:r>
      <w:r>
        <w:rPr>
          <w:spacing w:val="-3"/>
        </w:rPr>
        <w:t> </w:t>
      </w:r>
      <w:r>
        <w:rPr/>
        <w:t>Act.</w:t>
      </w:r>
      <w:r>
        <w:rPr>
          <w:spacing w:val="40"/>
        </w:rPr>
        <w:t> </w:t>
      </w:r>
      <w:r>
        <w:rPr/>
        <w:t>In</w:t>
      </w:r>
      <w:r>
        <w:rPr>
          <w:spacing w:val="-3"/>
        </w:rPr>
        <w:t> </w:t>
      </w:r>
      <w:r>
        <w:rPr/>
        <w:t>compliance</w:t>
      </w:r>
      <w:r>
        <w:rPr>
          <w:spacing w:val="-3"/>
        </w:rPr>
        <w:t> </w:t>
      </w:r>
      <w:r>
        <w:rPr/>
        <w:t>with</w:t>
      </w:r>
      <w:r>
        <w:rPr>
          <w:spacing w:val="-3"/>
        </w:rPr>
        <w:t> </w:t>
      </w:r>
      <w:r>
        <w:rPr/>
        <w:t>Title</w:t>
      </w:r>
      <w:r>
        <w:rPr>
          <w:spacing w:val="-3"/>
        </w:rPr>
        <w:t> </w:t>
      </w:r>
      <w:r>
        <w:rPr/>
        <w:t>IX</w:t>
      </w:r>
      <w:r>
        <w:rPr>
          <w:spacing w:val="-3"/>
        </w:rPr>
        <w:t> </w:t>
      </w:r>
      <w:r>
        <w:rPr/>
        <w:t>of</w:t>
      </w:r>
      <w:r>
        <w:rPr>
          <w:spacing w:val="-2"/>
        </w:rPr>
        <w:t> </w:t>
      </w:r>
      <w:r>
        <w:rPr/>
        <w:t>the</w:t>
      </w:r>
      <w:r>
        <w:rPr>
          <w:spacing w:val="-3"/>
        </w:rPr>
        <w:t> </w:t>
      </w:r>
      <w:r>
        <w:rPr/>
        <w:t>Education</w:t>
      </w:r>
      <w:r>
        <w:rPr>
          <w:spacing w:val="-3"/>
        </w:rPr>
        <w:t> </w:t>
      </w:r>
      <w:r>
        <w:rPr/>
        <w:t>Amendments</w:t>
      </w:r>
      <w:r>
        <w:rPr>
          <w:spacing w:val="-3"/>
        </w:rPr>
        <w:t> </w:t>
      </w:r>
      <w:r>
        <w:rPr/>
        <w:t>of 1972, the Department's policy is that no student or employee at the OSB or OSD shall be</w:t>
      </w:r>
      <w:r>
        <w:rPr>
          <w:spacing w:val="-3"/>
        </w:rPr>
        <w:t> </w:t>
      </w:r>
      <w:r>
        <w:rPr/>
        <w:t>excluded</w:t>
      </w:r>
      <w:r>
        <w:rPr>
          <w:spacing w:val="-3"/>
        </w:rPr>
        <w:t> </w:t>
      </w:r>
      <w:r>
        <w:rPr/>
        <w:t>on</w:t>
      </w:r>
      <w:r>
        <w:rPr>
          <w:spacing w:val="-3"/>
        </w:rPr>
        <w:t> </w:t>
      </w:r>
      <w:r>
        <w:rPr/>
        <w:t>the</w:t>
      </w:r>
      <w:r>
        <w:rPr>
          <w:spacing w:val="-3"/>
        </w:rPr>
        <w:t> </w:t>
      </w:r>
      <w:r>
        <w:rPr/>
        <w:t>basis</w:t>
      </w:r>
      <w:r>
        <w:rPr>
          <w:spacing w:val="-3"/>
        </w:rPr>
        <w:t> </w:t>
      </w:r>
      <w:r>
        <w:rPr/>
        <w:t>of</w:t>
      </w:r>
      <w:r>
        <w:rPr>
          <w:spacing w:val="-2"/>
        </w:rPr>
        <w:t> </w:t>
      </w:r>
      <w:r>
        <w:rPr/>
        <w:t>sex</w:t>
      </w:r>
      <w:r>
        <w:rPr>
          <w:spacing w:val="-3"/>
        </w:rPr>
        <w:t> </w:t>
      </w:r>
      <w:r>
        <w:rPr/>
        <w:t>from</w:t>
      </w:r>
      <w:r>
        <w:rPr>
          <w:spacing w:val="-2"/>
        </w:rPr>
        <w:t> </w:t>
      </w:r>
      <w:r>
        <w:rPr/>
        <w:t>participation</w:t>
      </w:r>
      <w:r>
        <w:rPr>
          <w:spacing w:val="-3"/>
        </w:rPr>
        <w:t> </w:t>
      </w:r>
      <w:r>
        <w:rPr/>
        <w:t>in</w:t>
      </w:r>
      <w:r>
        <w:rPr>
          <w:spacing w:val="-3"/>
        </w:rPr>
        <w:t> </w:t>
      </w:r>
      <w:r>
        <w:rPr/>
        <w:t>any</w:t>
      </w:r>
      <w:r>
        <w:rPr>
          <w:spacing w:val="-2"/>
        </w:rPr>
        <w:t> </w:t>
      </w:r>
      <w:r>
        <w:rPr/>
        <w:t>educational</w:t>
      </w:r>
      <w:r>
        <w:rPr>
          <w:spacing w:val="-3"/>
        </w:rPr>
        <w:t> </w:t>
      </w:r>
      <w:r>
        <w:rPr/>
        <w:t>endeavor</w:t>
      </w:r>
      <w:r>
        <w:rPr>
          <w:spacing w:val="-2"/>
        </w:rPr>
        <w:t> </w:t>
      </w:r>
      <w:r>
        <w:rPr/>
        <w:t>or</w:t>
      </w:r>
      <w:r>
        <w:rPr>
          <w:spacing w:val="-2"/>
        </w:rPr>
        <w:t> </w:t>
      </w:r>
      <w:r>
        <w:rPr/>
        <w:t>other activity sponsored by the OSB or OSD. The Principal/Education Director of each of these two schools has been designated to coordinate the local Title IX compliance efforts, including the processing of parent/student or employee complaints alleging sex discrimination.</w:t>
      </w:r>
      <w:r>
        <w:rPr>
          <w:spacing w:val="40"/>
        </w:rPr>
        <w:t> </w:t>
      </w:r>
      <w:r>
        <w:rPr/>
        <w:t>Any</w:t>
      </w:r>
      <w:r>
        <w:rPr>
          <w:spacing w:val="-2"/>
        </w:rPr>
        <w:t> </w:t>
      </w:r>
      <w:r>
        <w:rPr/>
        <w:t>parent,</w:t>
      </w:r>
      <w:r>
        <w:rPr>
          <w:spacing w:val="-1"/>
        </w:rPr>
        <w:t> </w:t>
      </w:r>
      <w:r>
        <w:rPr/>
        <w:t>student,</w:t>
      </w:r>
      <w:r>
        <w:rPr>
          <w:spacing w:val="-1"/>
        </w:rPr>
        <w:t> </w:t>
      </w:r>
      <w:r>
        <w:rPr/>
        <w:t>or</w:t>
      </w:r>
      <w:r>
        <w:rPr>
          <w:spacing w:val="-3"/>
        </w:rPr>
        <w:t> </w:t>
      </w:r>
      <w:r>
        <w:rPr/>
        <w:t>employee</w:t>
      </w:r>
      <w:r>
        <w:rPr>
          <w:spacing w:val="-2"/>
        </w:rPr>
        <w:t> </w:t>
      </w:r>
      <w:r>
        <w:rPr/>
        <w:t>aware</w:t>
      </w:r>
      <w:r>
        <w:rPr>
          <w:spacing w:val="-2"/>
        </w:rPr>
        <w:t> </w:t>
      </w:r>
      <w:r>
        <w:rPr/>
        <w:t>of</w:t>
      </w:r>
      <w:r>
        <w:rPr>
          <w:spacing w:val="-1"/>
        </w:rPr>
        <w:t> </w:t>
      </w:r>
      <w:r>
        <w:rPr/>
        <w:t>discrimination</w:t>
      </w:r>
      <w:r>
        <w:rPr>
          <w:spacing w:val="-2"/>
        </w:rPr>
        <w:t> </w:t>
      </w:r>
      <w:r>
        <w:rPr/>
        <w:t>based</w:t>
      </w:r>
      <w:r>
        <w:rPr>
          <w:spacing w:val="-2"/>
        </w:rPr>
        <w:t> </w:t>
      </w:r>
      <w:r>
        <w:rPr/>
        <w:t>on</w:t>
      </w:r>
      <w:r>
        <w:rPr>
          <w:spacing w:val="-2"/>
        </w:rPr>
        <w:t> </w:t>
      </w:r>
      <w:r>
        <w:rPr/>
        <w:t>sex may obtain details on how to pursue a complaint from the Title IX coordinator.</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7-1-03</w:t>
      </w:r>
      <w:r>
        <w:rPr>
          <w:sz w:val="22"/>
        </w:rPr>
        <w:tab/>
        <w:t>PT Memo #03-07</w:t>
      </w:r>
    </w:p>
    <w:p>
      <w:pPr>
        <w:spacing w:before="1"/>
        <w:ind w:left="1439" w:right="0" w:firstLine="0"/>
        <w:jc w:val="left"/>
        <w:rPr>
          <w:sz w:val="22"/>
        </w:rPr>
      </w:pPr>
      <w:r>
        <w:rPr>
          <w:sz w:val="22"/>
        </w:rPr>
        <w:t>Permanent,</w:t>
      </w:r>
      <w:r>
        <w:rPr>
          <w:spacing w:val="-13"/>
          <w:sz w:val="22"/>
        </w:rPr>
        <w:t> </w:t>
      </w:r>
      <w:r>
        <w:rPr>
          <w:sz w:val="22"/>
        </w:rPr>
        <w:t>grammatical</w:t>
      </w:r>
      <w:r>
        <w:rPr>
          <w:spacing w:val="-14"/>
          <w:sz w:val="22"/>
        </w:rPr>
        <w:t> </w:t>
      </w:r>
      <w:r>
        <w:rPr>
          <w:spacing w:val="-2"/>
          <w:sz w:val="22"/>
        </w:rPr>
        <w:t>correction</w:t>
      </w:r>
    </w:p>
    <w:p>
      <w:pPr>
        <w:spacing w:after="0"/>
        <w:jc w:val="left"/>
        <w:rPr>
          <w:sz w:val="22"/>
        </w:rPr>
        <w:sectPr>
          <w:pgSz w:w="12240" w:h="15840"/>
          <w:pgMar w:top="1340" w:bottom="280" w:left="1080" w:right="720"/>
        </w:sectPr>
      </w:pPr>
    </w:p>
    <w:p>
      <w:pPr>
        <w:pStyle w:val="Heading2"/>
      </w:pPr>
      <w:bookmarkStart w:name="612:20-3-9.  Regional preschool satellit" w:id="348"/>
      <w:bookmarkEnd w:id="348"/>
      <w:r>
        <w:rPr>
          <w:b w:val="0"/>
        </w:rPr>
      </w:r>
      <w:r>
        <w:rPr/>
        <w:t>612:20-3-9.</w:t>
      </w:r>
      <w:r>
        <w:rPr>
          <w:spacing w:val="55"/>
        </w:rPr>
        <w:t> </w:t>
      </w:r>
      <w:r>
        <w:rPr/>
        <w:t>Regional</w:t>
      </w:r>
      <w:r>
        <w:rPr>
          <w:spacing w:val="-6"/>
        </w:rPr>
        <w:t> </w:t>
      </w:r>
      <w:r>
        <w:rPr/>
        <w:t>preschool</w:t>
      </w:r>
      <w:r>
        <w:rPr>
          <w:spacing w:val="-4"/>
        </w:rPr>
        <w:t> </w:t>
      </w:r>
      <w:r>
        <w:rPr/>
        <w:t>satellite</w:t>
      </w:r>
      <w:r>
        <w:rPr>
          <w:spacing w:val="-5"/>
        </w:rPr>
        <w:t> </w:t>
      </w:r>
      <w:r>
        <w:rPr/>
        <w:t>programs</w:t>
      </w:r>
      <w:r>
        <w:rPr>
          <w:spacing w:val="-4"/>
        </w:rPr>
        <w:t> </w:t>
      </w:r>
      <w:r>
        <w:rPr>
          <w:spacing w:val="-2"/>
        </w:rPr>
        <w:t>(RPSP)</w:t>
      </w:r>
    </w:p>
    <w:p>
      <w:pPr>
        <w:pStyle w:val="ListParagraph"/>
        <w:numPr>
          <w:ilvl w:val="0"/>
          <w:numId w:val="348"/>
        </w:numPr>
        <w:tabs>
          <w:tab w:pos="786" w:val="left" w:leader="none"/>
        </w:tabs>
        <w:spacing w:line="208" w:lineRule="auto" w:before="233" w:after="0"/>
        <w:ind w:left="360" w:right="764" w:firstLine="0"/>
        <w:jc w:val="left"/>
        <w:rPr>
          <w:sz w:val="24"/>
        </w:rPr>
      </w:pPr>
      <w:r>
        <w:rPr>
          <w:b/>
          <w:sz w:val="24"/>
        </w:rPr>
        <w:t>Definition.</w:t>
      </w:r>
      <w:r>
        <w:rPr>
          <w:b/>
          <w:spacing w:val="40"/>
          <w:sz w:val="24"/>
        </w:rPr>
        <w:t> </w:t>
      </w:r>
      <w:r>
        <w:rPr>
          <w:sz w:val="24"/>
        </w:rPr>
        <w:t>The</w:t>
      </w:r>
      <w:r>
        <w:rPr>
          <w:spacing w:val="-1"/>
          <w:sz w:val="24"/>
        </w:rPr>
        <w:t> </w:t>
      </w:r>
      <w:r>
        <w:rPr>
          <w:sz w:val="24"/>
        </w:rPr>
        <w:t>Oklahoma School for the Deaf will develop and implement RPSP's to provide services to the hearing impaired as resources allow.</w:t>
      </w:r>
      <w:r>
        <w:rPr>
          <w:spacing w:val="80"/>
          <w:sz w:val="24"/>
        </w:rPr>
        <w:t> </w:t>
      </w:r>
      <w:r>
        <w:rPr>
          <w:sz w:val="24"/>
        </w:rPr>
        <w:t>Programs will be located</w:t>
      </w:r>
      <w:r>
        <w:rPr>
          <w:spacing w:val="-3"/>
          <w:sz w:val="24"/>
        </w:rPr>
        <w:t> </w:t>
      </w:r>
      <w:r>
        <w:rPr>
          <w:sz w:val="24"/>
        </w:rPr>
        <w:t>in</w:t>
      </w:r>
      <w:r>
        <w:rPr>
          <w:spacing w:val="-3"/>
          <w:sz w:val="24"/>
        </w:rPr>
        <w:t> </w:t>
      </w:r>
      <w:r>
        <w:rPr>
          <w:sz w:val="24"/>
        </w:rPr>
        <w:t>areas</w:t>
      </w:r>
      <w:r>
        <w:rPr>
          <w:spacing w:val="-3"/>
          <w:sz w:val="24"/>
        </w:rPr>
        <w:t> </w:t>
      </w:r>
      <w:r>
        <w:rPr>
          <w:sz w:val="24"/>
        </w:rPr>
        <w:t>with</w:t>
      </w:r>
      <w:r>
        <w:rPr>
          <w:spacing w:val="-3"/>
          <w:sz w:val="24"/>
        </w:rPr>
        <w:t> </w:t>
      </w:r>
      <w:r>
        <w:rPr>
          <w:sz w:val="24"/>
        </w:rPr>
        <w:t>the</w:t>
      </w:r>
      <w:r>
        <w:rPr>
          <w:spacing w:val="-3"/>
          <w:sz w:val="24"/>
        </w:rPr>
        <w:t> </w:t>
      </w:r>
      <w:r>
        <w:rPr>
          <w:sz w:val="24"/>
        </w:rPr>
        <w:t>greatest</w:t>
      </w:r>
      <w:r>
        <w:rPr>
          <w:spacing w:val="-4"/>
          <w:sz w:val="24"/>
        </w:rPr>
        <w:t> </w:t>
      </w:r>
      <w:r>
        <w:rPr>
          <w:sz w:val="24"/>
        </w:rPr>
        <w:t>need</w:t>
      </w:r>
      <w:r>
        <w:rPr>
          <w:spacing w:val="-3"/>
          <w:sz w:val="24"/>
        </w:rPr>
        <w:t> </w:t>
      </w:r>
      <w:r>
        <w:rPr>
          <w:sz w:val="24"/>
        </w:rPr>
        <w:t>for</w:t>
      </w:r>
      <w:r>
        <w:rPr>
          <w:spacing w:val="-2"/>
          <w:sz w:val="24"/>
        </w:rPr>
        <w:t> </w:t>
      </w:r>
      <w:r>
        <w:rPr>
          <w:sz w:val="24"/>
        </w:rPr>
        <w:t>service</w:t>
      </w:r>
      <w:r>
        <w:rPr>
          <w:spacing w:val="-3"/>
          <w:sz w:val="24"/>
        </w:rPr>
        <w:t> </w:t>
      </w:r>
      <w:r>
        <w:rPr>
          <w:sz w:val="24"/>
        </w:rPr>
        <w:t>as</w:t>
      </w:r>
      <w:r>
        <w:rPr>
          <w:spacing w:val="-3"/>
          <w:sz w:val="24"/>
        </w:rPr>
        <w:t> </w:t>
      </w:r>
      <w:r>
        <w:rPr>
          <w:sz w:val="24"/>
        </w:rPr>
        <w:t>indicated</w:t>
      </w:r>
      <w:r>
        <w:rPr>
          <w:spacing w:val="-3"/>
          <w:sz w:val="24"/>
        </w:rPr>
        <w:t> </w:t>
      </w:r>
      <w:r>
        <w:rPr>
          <w:sz w:val="24"/>
        </w:rPr>
        <w:t>by</w:t>
      </w:r>
      <w:r>
        <w:rPr>
          <w:spacing w:val="-3"/>
          <w:sz w:val="24"/>
        </w:rPr>
        <w:t> </w:t>
      </w:r>
      <w:r>
        <w:rPr>
          <w:sz w:val="24"/>
        </w:rPr>
        <w:t>the</w:t>
      </w:r>
      <w:r>
        <w:rPr>
          <w:spacing w:val="-3"/>
          <w:sz w:val="24"/>
        </w:rPr>
        <w:t> </w:t>
      </w:r>
      <w:r>
        <w:rPr>
          <w:sz w:val="24"/>
        </w:rPr>
        <w:t>State</w:t>
      </w:r>
      <w:r>
        <w:rPr>
          <w:spacing w:val="-3"/>
          <w:sz w:val="24"/>
        </w:rPr>
        <w:t> </w:t>
      </w:r>
      <w:r>
        <w:rPr>
          <w:sz w:val="24"/>
        </w:rPr>
        <w:t>Department of Education, child count and OSD.</w:t>
      </w:r>
      <w:r>
        <w:rPr>
          <w:spacing w:val="40"/>
          <w:sz w:val="24"/>
        </w:rPr>
        <w:t> </w:t>
      </w:r>
      <w:r>
        <w:rPr>
          <w:sz w:val="24"/>
        </w:rPr>
        <w:t>Each satellite preschool will serve children within a 35 mile radius of the program's location. RPSP provides preschool classroom instruction and a course of instruction for parents (70 O.S., 1210.171).</w:t>
      </w:r>
      <w:r>
        <w:rPr>
          <w:spacing w:val="40"/>
          <w:sz w:val="24"/>
        </w:rPr>
        <w:t> </w:t>
      </w:r>
      <w:r>
        <w:rPr>
          <w:sz w:val="24"/>
        </w:rPr>
        <w:t>The preschool teacher will provide a half day of classroom instruction using OSD Early Childhood Curriculum and a half day of home visitation using SKI-HI home intervention curriculum (Project ECHO).</w:t>
      </w:r>
      <w:r>
        <w:rPr>
          <w:spacing w:val="40"/>
          <w:sz w:val="24"/>
        </w:rPr>
        <w:t> </w:t>
      </w:r>
      <w:r>
        <w:rPr>
          <w:sz w:val="24"/>
        </w:rPr>
        <w:t>The OSD Early Childhood Curriculum is a developmental curriculum based on child development.</w:t>
      </w:r>
    </w:p>
    <w:p>
      <w:pPr>
        <w:pStyle w:val="ListParagraph"/>
        <w:numPr>
          <w:ilvl w:val="0"/>
          <w:numId w:val="348"/>
        </w:numPr>
        <w:tabs>
          <w:tab w:pos="786" w:val="left" w:leader="none"/>
        </w:tabs>
        <w:spacing w:line="208" w:lineRule="auto" w:before="239" w:after="0"/>
        <w:ind w:left="360" w:right="807" w:firstLine="0"/>
        <w:jc w:val="left"/>
        <w:rPr>
          <w:sz w:val="24"/>
        </w:rPr>
      </w:pPr>
      <w:r>
        <w:rPr>
          <w:b/>
          <w:sz w:val="24"/>
        </w:rPr>
        <w:t>Referrals.</w:t>
      </w:r>
      <w:r>
        <w:rPr>
          <w:b/>
          <w:spacing w:val="40"/>
          <w:sz w:val="24"/>
        </w:rPr>
        <w:t> </w:t>
      </w:r>
      <w:r>
        <w:rPr>
          <w:sz w:val="24"/>
        </w:rPr>
        <w:t>Referrals can be made by parents, pediatricians, audiologists, social workers, etc., to the school district in which the child resides or directly to OSD.</w:t>
      </w:r>
      <w:r>
        <w:rPr>
          <w:spacing w:val="40"/>
          <w:sz w:val="24"/>
        </w:rPr>
        <w:t> </w:t>
      </w:r>
      <w:r>
        <w:rPr>
          <w:sz w:val="24"/>
        </w:rPr>
        <w:t>It is preferable</w:t>
      </w:r>
      <w:r>
        <w:rPr>
          <w:spacing w:val="-3"/>
          <w:sz w:val="24"/>
        </w:rPr>
        <w:t> </w:t>
      </w:r>
      <w:r>
        <w:rPr>
          <w:sz w:val="24"/>
        </w:rPr>
        <w:t>that</w:t>
      </w:r>
      <w:r>
        <w:rPr>
          <w:spacing w:val="-2"/>
          <w:sz w:val="24"/>
        </w:rPr>
        <w:t> </w:t>
      </w:r>
      <w:r>
        <w:rPr>
          <w:sz w:val="24"/>
        </w:rPr>
        <w:t>referrals</w:t>
      </w:r>
      <w:r>
        <w:rPr>
          <w:spacing w:val="-3"/>
          <w:sz w:val="24"/>
        </w:rPr>
        <w:t> </w:t>
      </w:r>
      <w:r>
        <w:rPr>
          <w:sz w:val="24"/>
        </w:rPr>
        <w:t>are</w:t>
      </w:r>
      <w:r>
        <w:rPr>
          <w:spacing w:val="-3"/>
          <w:sz w:val="24"/>
        </w:rPr>
        <w:t> </w:t>
      </w:r>
      <w:r>
        <w:rPr>
          <w:sz w:val="24"/>
        </w:rPr>
        <w:t>made</w:t>
      </w:r>
      <w:r>
        <w:rPr>
          <w:spacing w:val="-4"/>
          <w:sz w:val="24"/>
        </w:rPr>
        <w:t> </w:t>
      </w:r>
      <w:r>
        <w:rPr>
          <w:sz w:val="24"/>
        </w:rPr>
        <w:t>to</w:t>
      </w:r>
      <w:r>
        <w:rPr>
          <w:spacing w:val="-4"/>
          <w:sz w:val="24"/>
        </w:rPr>
        <w:t> </w:t>
      </w:r>
      <w:r>
        <w:rPr>
          <w:sz w:val="24"/>
        </w:rPr>
        <w:t>the</w:t>
      </w:r>
      <w:r>
        <w:rPr>
          <w:spacing w:val="-3"/>
          <w:sz w:val="24"/>
        </w:rPr>
        <w:t> </w:t>
      </w:r>
      <w:r>
        <w:rPr>
          <w:sz w:val="24"/>
        </w:rPr>
        <w:t>local</w:t>
      </w:r>
      <w:r>
        <w:rPr>
          <w:spacing w:val="-2"/>
          <w:sz w:val="24"/>
        </w:rPr>
        <w:t> </w:t>
      </w:r>
      <w:r>
        <w:rPr>
          <w:sz w:val="24"/>
        </w:rPr>
        <w:t>school</w:t>
      </w:r>
      <w:r>
        <w:rPr>
          <w:spacing w:val="-3"/>
          <w:sz w:val="24"/>
        </w:rPr>
        <w:t> </w:t>
      </w:r>
      <w:r>
        <w:rPr>
          <w:sz w:val="24"/>
        </w:rPr>
        <w:t>district.</w:t>
      </w:r>
      <w:r>
        <w:rPr>
          <w:spacing w:val="40"/>
          <w:sz w:val="24"/>
        </w:rPr>
        <w:t> </w:t>
      </w:r>
      <w:r>
        <w:rPr>
          <w:sz w:val="24"/>
        </w:rPr>
        <w:t>Referrals</w:t>
      </w:r>
      <w:r>
        <w:rPr>
          <w:spacing w:val="-3"/>
          <w:sz w:val="24"/>
        </w:rPr>
        <w:t> </w:t>
      </w:r>
      <w:r>
        <w:rPr>
          <w:sz w:val="24"/>
        </w:rPr>
        <w:t>can</w:t>
      </w:r>
      <w:r>
        <w:rPr>
          <w:spacing w:val="-3"/>
          <w:sz w:val="24"/>
        </w:rPr>
        <w:t> </w:t>
      </w:r>
      <w:r>
        <w:rPr>
          <w:sz w:val="24"/>
        </w:rPr>
        <w:t>be</w:t>
      </w:r>
      <w:r>
        <w:rPr>
          <w:spacing w:val="-3"/>
          <w:sz w:val="24"/>
        </w:rPr>
        <w:t> </w:t>
      </w:r>
      <w:r>
        <w:rPr>
          <w:sz w:val="24"/>
        </w:rPr>
        <w:t>made</w:t>
      </w:r>
      <w:r>
        <w:rPr>
          <w:spacing w:val="-3"/>
          <w:sz w:val="24"/>
        </w:rPr>
        <w:t> </w:t>
      </w:r>
      <w:r>
        <w:rPr>
          <w:sz w:val="24"/>
        </w:rPr>
        <w:t>by telephone.</w:t>
      </w:r>
      <w:r>
        <w:rPr>
          <w:spacing w:val="40"/>
          <w:sz w:val="24"/>
        </w:rPr>
        <w:t> </w:t>
      </w:r>
      <w:r>
        <w:rPr>
          <w:sz w:val="24"/>
        </w:rPr>
        <w:t>OSD or the sending district (district in which the child lives) will provide the screening of the child and complete a categorical eligibility statement.</w:t>
      </w:r>
      <w:r>
        <w:rPr>
          <w:spacing w:val="40"/>
          <w:sz w:val="24"/>
        </w:rPr>
        <w:t> </w:t>
      </w:r>
      <w:r>
        <w:rPr>
          <w:sz w:val="24"/>
        </w:rPr>
        <w:t>Evaluation data required for eligibility and placement may be provided by the sending school district or the OSD student assessment center.</w:t>
      </w:r>
    </w:p>
    <w:p>
      <w:pPr>
        <w:pStyle w:val="ListParagraph"/>
        <w:numPr>
          <w:ilvl w:val="0"/>
          <w:numId w:val="348"/>
        </w:numPr>
        <w:tabs>
          <w:tab w:pos="773" w:val="left" w:leader="none"/>
        </w:tabs>
        <w:spacing w:line="208" w:lineRule="auto" w:before="239" w:after="0"/>
        <w:ind w:left="360" w:right="754" w:firstLine="0"/>
        <w:jc w:val="left"/>
        <w:rPr>
          <w:sz w:val="24"/>
        </w:rPr>
      </w:pPr>
      <w:r>
        <w:rPr>
          <w:b/>
          <w:sz w:val="24"/>
        </w:rPr>
        <w:t>Eligibility.</w:t>
      </w:r>
      <w:r>
        <w:rPr>
          <w:b/>
          <w:spacing w:val="40"/>
          <w:sz w:val="24"/>
        </w:rPr>
        <w:t> </w:t>
      </w:r>
      <w:r>
        <w:rPr>
          <w:sz w:val="24"/>
        </w:rPr>
        <w:t>Preschool</w:t>
      </w:r>
      <w:r>
        <w:rPr>
          <w:spacing w:val="-2"/>
          <w:sz w:val="24"/>
        </w:rPr>
        <w:t> </w:t>
      </w:r>
      <w:r>
        <w:rPr>
          <w:sz w:val="24"/>
        </w:rPr>
        <w:t>Satellites</w:t>
      </w:r>
      <w:r>
        <w:rPr>
          <w:spacing w:val="-2"/>
          <w:sz w:val="24"/>
        </w:rPr>
        <w:t> </w:t>
      </w:r>
      <w:r>
        <w:rPr>
          <w:sz w:val="24"/>
        </w:rPr>
        <w:t>will</w:t>
      </w:r>
      <w:r>
        <w:rPr>
          <w:spacing w:val="-2"/>
          <w:sz w:val="24"/>
        </w:rPr>
        <w:t> </w:t>
      </w:r>
      <w:r>
        <w:rPr>
          <w:sz w:val="24"/>
        </w:rPr>
        <w:t>serve</w:t>
      </w:r>
      <w:r>
        <w:rPr>
          <w:spacing w:val="-2"/>
          <w:sz w:val="24"/>
        </w:rPr>
        <w:t> </w:t>
      </w:r>
      <w:r>
        <w:rPr>
          <w:sz w:val="24"/>
        </w:rPr>
        <w:t>students</w:t>
      </w:r>
      <w:r>
        <w:rPr>
          <w:spacing w:val="-3"/>
          <w:sz w:val="24"/>
        </w:rPr>
        <w:t> </w:t>
      </w:r>
      <w:r>
        <w:rPr>
          <w:sz w:val="24"/>
        </w:rPr>
        <w:t>from</w:t>
      </w:r>
      <w:r>
        <w:rPr>
          <w:spacing w:val="-3"/>
          <w:sz w:val="24"/>
        </w:rPr>
        <w:t> </w:t>
      </w:r>
      <w:r>
        <w:rPr>
          <w:sz w:val="24"/>
        </w:rPr>
        <w:t>the</w:t>
      </w:r>
      <w:r>
        <w:rPr>
          <w:spacing w:val="-2"/>
          <w:sz w:val="24"/>
        </w:rPr>
        <w:t> </w:t>
      </w:r>
      <w:r>
        <w:rPr>
          <w:sz w:val="24"/>
        </w:rPr>
        <w:t>age</w:t>
      </w:r>
      <w:r>
        <w:rPr>
          <w:spacing w:val="-2"/>
          <w:sz w:val="24"/>
        </w:rPr>
        <w:t> </w:t>
      </w:r>
      <w:r>
        <w:rPr>
          <w:sz w:val="24"/>
        </w:rPr>
        <w:t>of</w:t>
      </w:r>
      <w:r>
        <w:rPr>
          <w:spacing w:val="-1"/>
          <w:sz w:val="24"/>
        </w:rPr>
        <w:t> </w:t>
      </w:r>
      <w:r>
        <w:rPr>
          <w:sz w:val="24"/>
        </w:rPr>
        <w:t>identification</w:t>
      </w:r>
      <w:r>
        <w:rPr>
          <w:spacing w:val="-2"/>
          <w:sz w:val="24"/>
        </w:rPr>
        <w:t> </w:t>
      </w:r>
      <w:r>
        <w:rPr>
          <w:sz w:val="24"/>
        </w:rPr>
        <w:t>(no minimum age) to age five. Eligibility standards are those established by the Oklahoma Department of Education for Deaf/Hard-of-hearing placement.</w:t>
      </w:r>
      <w:r>
        <w:rPr>
          <w:spacing w:val="40"/>
          <w:sz w:val="24"/>
        </w:rPr>
        <w:t> </w:t>
      </w:r>
      <w:r>
        <w:rPr>
          <w:sz w:val="24"/>
        </w:rPr>
        <w:t>The primary eligibility standard is that a child have a 40 decibel minimum loss or hearing impairment which with</w:t>
      </w:r>
      <w:r>
        <w:rPr>
          <w:spacing w:val="-3"/>
          <w:sz w:val="24"/>
        </w:rPr>
        <w:t> </w:t>
      </w:r>
      <w:r>
        <w:rPr>
          <w:sz w:val="24"/>
        </w:rPr>
        <w:t>best</w:t>
      </w:r>
      <w:r>
        <w:rPr>
          <w:spacing w:val="-2"/>
          <w:sz w:val="24"/>
        </w:rPr>
        <w:t> </w:t>
      </w:r>
      <w:r>
        <w:rPr>
          <w:sz w:val="24"/>
        </w:rPr>
        <w:t>correction</w:t>
      </w:r>
      <w:r>
        <w:rPr>
          <w:spacing w:val="-3"/>
          <w:sz w:val="24"/>
        </w:rPr>
        <w:t> </w:t>
      </w:r>
      <w:r>
        <w:rPr>
          <w:sz w:val="24"/>
        </w:rPr>
        <w:t>adversely</w:t>
      </w:r>
      <w:r>
        <w:rPr>
          <w:spacing w:val="-3"/>
          <w:sz w:val="24"/>
        </w:rPr>
        <w:t> </w:t>
      </w:r>
      <w:r>
        <w:rPr>
          <w:sz w:val="24"/>
        </w:rPr>
        <w:t>affects</w:t>
      </w:r>
      <w:r>
        <w:rPr>
          <w:spacing w:val="-3"/>
          <w:sz w:val="24"/>
        </w:rPr>
        <w:t> </w:t>
      </w:r>
      <w:r>
        <w:rPr>
          <w:sz w:val="24"/>
        </w:rPr>
        <w:t>performance</w:t>
      </w:r>
      <w:r>
        <w:rPr>
          <w:spacing w:val="-3"/>
          <w:sz w:val="24"/>
        </w:rPr>
        <w:t> </w:t>
      </w:r>
      <w:r>
        <w:rPr>
          <w:sz w:val="24"/>
        </w:rPr>
        <w:t>in</w:t>
      </w:r>
      <w:r>
        <w:rPr>
          <w:spacing w:val="-3"/>
          <w:sz w:val="24"/>
        </w:rPr>
        <w:t> </w:t>
      </w:r>
      <w:r>
        <w:rPr>
          <w:sz w:val="24"/>
        </w:rPr>
        <w:t>a</w:t>
      </w:r>
      <w:r>
        <w:rPr>
          <w:spacing w:val="-3"/>
          <w:sz w:val="24"/>
        </w:rPr>
        <w:t> </w:t>
      </w:r>
      <w:r>
        <w:rPr>
          <w:sz w:val="24"/>
        </w:rPr>
        <w:t>regular</w:t>
      </w:r>
      <w:r>
        <w:rPr>
          <w:spacing w:val="-2"/>
          <w:sz w:val="24"/>
        </w:rPr>
        <w:t> </w:t>
      </w:r>
      <w:r>
        <w:rPr>
          <w:sz w:val="24"/>
        </w:rPr>
        <w:t>class.</w:t>
      </w:r>
      <w:r>
        <w:rPr>
          <w:spacing w:val="40"/>
          <w:sz w:val="24"/>
        </w:rPr>
        <w:t> </w:t>
      </w:r>
      <w:r>
        <w:rPr>
          <w:sz w:val="24"/>
        </w:rPr>
        <w:t>A</w:t>
      </w:r>
      <w:r>
        <w:rPr>
          <w:spacing w:val="-5"/>
          <w:sz w:val="24"/>
        </w:rPr>
        <w:t> </w:t>
      </w:r>
      <w:r>
        <w:rPr>
          <w:sz w:val="24"/>
        </w:rPr>
        <w:t>team</w:t>
      </w:r>
      <w:r>
        <w:rPr>
          <w:spacing w:val="-4"/>
          <w:sz w:val="24"/>
        </w:rPr>
        <w:t> </w:t>
      </w:r>
      <w:r>
        <w:rPr>
          <w:sz w:val="24"/>
        </w:rPr>
        <w:t>consisting of the parent(s), the school administrator, regular teacher, special teacher, and other appropriate persons will determine eligibility and appropriateness of the program for the </w:t>
      </w:r>
      <w:r>
        <w:rPr>
          <w:spacing w:val="-2"/>
          <w:sz w:val="24"/>
        </w:rPr>
        <w:t>child.</w:t>
      </w:r>
    </w:p>
    <w:p>
      <w:pPr>
        <w:pStyle w:val="ListParagraph"/>
        <w:numPr>
          <w:ilvl w:val="0"/>
          <w:numId w:val="348"/>
        </w:numPr>
        <w:tabs>
          <w:tab w:pos="786" w:val="left" w:leader="none"/>
        </w:tabs>
        <w:spacing w:line="208" w:lineRule="auto" w:before="239" w:after="0"/>
        <w:ind w:left="360" w:right="832" w:firstLine="0"/>
        <w:jc w:val="left"/>
        <w:rPr>
          <w:sz w:val="24"/>
        </w:rPr>
      </w:pPr>
      <w:r>
        <w:rPr>
          <w:b/>
          <w:sz w:val="24"/>
        </w:rPr>
        <w:t>Placement.</w:t>
      </w:r>
      <w:r>
        <w:rPr>
          <w:b/>
          <w:spacing w:val="40"/>
          <w:sz w:val="24"/>
        </w:rPr>
        <w:t> </w:t>
      </w:r>
      <w:r>
        <w:rPr>
          <w:sz w:val="24"/>
        </w:rPr>
        <w:t>Students will be placed according to procedures and timeliness established by the Oklahoma State Department of Education as stated in the policies and procedures manual for Special Education in Oklahoma.</w:t>
      </w:r>
      <w:r>
        <w:rPr>
          <w:spacing w:val="40"/>
          <w:sz w:val="24"/>
        </w:rPr>
        <w:t> </w:t>
      </w:r>
      <w:r>
        <w:rPr>
          <w:sz w:val="24"/>
        </w:rPr>
        <w:t>The placement team will include</w:t>
      </w:r>
      <w:r>
        <w:rPr>
          <w:spacing w:val="-3"/>
          <w:sz w:val="24"/>
        </w:rPr>
        <w:t> </w:t>
      </w:r>
      <w:r>
        <w:rPr>
          <w:sz w:val="24"/>
        </w:rPr>
        <w:t>staff</w:t>
      </w:r>
      <w:r>
        <w:rPr>
          <w:spacing w:val="-2"/>
          <w:sz w:val="24"/>
        </w:rPr>
        <w:t> </w:t>
      </w:r>
      <w:r>
        <w:rPr>
          <w:sz w:val="24"/>
        </w:rPr>
        <w:t>from</w:t>
      </w:r>
      <w:r>
        <w:rPr>
          <w:spacing w:val="-2"/>
          <w:sz w:val="24"/>
        </w:rPr>
        <w:t> </w:t>
      </w:r>
      <w:r>
        <w:rPr>
          <w:sz w:val="24"/>
        </w:rPr>
        <w:t>both</w:t>
      </w:r>
      <w:r>
        <w:rPr>
          <w:spacing w:val="-6"/>
          <w:sz w:val="24"/>
        </w:rPr>
        <w:t> </w:t>
      </w:r>
      <w:r>
        <w:rPr>
          <w:sz w:val="24"/>
        </w:rPr>
        <w:t>OSD</w:t>
      </w:r>
      <w:r>
        <w:rPr>
          <w:spacing w:val="-3"/>
          <w:sz w:val="24"/>
        </w:rPr>
        <w:t> </w:t>
      </w:r>
      <w:r>
        <w:rPr>
          <w:sz w:val="24"/>
        </w:rPr>
        <w:t>and</w:t>
      </w:r>
      <w:r>
        <w:rPr>
          <w:spacing w:val="-3"/>
          <w:sz w:val="24"/>
        </w:rPr>
        <w:t> </w:t>
      </w:r>
      <w:r>
        <w:rPr>
          <w:sz w:val="24"/>
        </w:rPr>
        <w:t>the</w:t>
      </w:r>
      <w:r>
        <w:rPr>
          <w:spacing w:val="-3"/>
          <w:sz w:val="24"/>
        </w:rPr>
        <w:t> </w:t>
      </w:r>
      <w:r>
        <w:rPr>
          <w:sz w:val="24"/>
        </w:rPr>
        <w:t>sending</w:t>
      </w:r>
      <w:r>
        <w:rPr>
          <w:spacing w:val="-2"/>
          <w:sz w:val="24"/>
        </w:rPr>
        <w:t> </w:t>
      </w:r>
      <w:r>
        <w:rPr>
          <w:sz w:val="24"/>
        </w:rPr>
        <w:t>district.</w:t>
      </w:r>
      <w:r>
        <w:rPr>
          <w:spacing w:val="40"/>
          <w:sz w:val="24"/>
        </w:rPr>
        <w:t> </w:t>
      </w:r>
      <w:r>
        <w:rPr>
          <w:sz w:val="24"/>
        </w:rPr>
        <w:t>The</w:t>
      </w:r>
      <w:r>
        <w:rPr>
          <w:spacing w:val="-3"/>
          <w:sz w:val="24"/>
        </w:rPr>
        <w:t> </w:t>
      </w:r>
      <w:r>
        <w:rPr>
          <w:sz w:val="24"/>
        </w:rPr>
        <w:t>placement</w:t>
      </w:r>
      <w:r>
        <w:rPr>
          <w:spacing w:val="-2"/>
          <w:sz w:val="24"/>
        </w:rPr>
        <w:t> </w:t>
      </w:r>
      <w:r>
        <w:rPr>
          <w:sz w:val="24"/>
        </w:rPr>
        <w:t>team</w:t>
      </w:r>
      <w:r>
        <w:rPr>
          <w:spacing w:val="-2"/>
          <w:sz w:val="24"/>
        </w:rPr>
        <w:t> </w:t>
      </w:r>
      <w:r>
        <w:rPr>
          <w:sz w:val="24"/>
        </w:rPr>
        <w:t>will</w:t>
      </w:r>
      <w:r>
        <w:rPr>
          <w:spacing w:val="-3"/>
          <w:sz w:val="24"/>
        </w:rPr>
        <w:t> </w:t>
      </w:r>
      <w:r>
        <w:rPr>
          <w:sz w:val="24"/>
        </w:rPr>
        <w:t>write</w:t>
      </w:r>
      <w:r>
        <w:rPr>
          <w:spacing w:val="-3"/>
          <w:sz w:val="24"/>
        </w:rPr>
        <w:t> </w:t>
      </w:r>
      <w:r>
        <w:rPr>
          <w:sz w:val="24"/>
        </w:rPr>
        <w:t>the Individual Education Plan (IEP).</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1"/>
        <w:ind w:left="1138" w:right="0"/>
        <w:jc w:val="left"/>
      </w:pPr>
      <w:bookmarkStart w:name="PART 3. ABUSE, NEGLECT, AND INAPPROPRIAT" w:id="349"/>
      <w:bookmarkEnd w:id="349"/>
      <w:r>
        <w:rPr>
          <w:b w:val="0"/>
        </w:rPr>
      </w:r>
      <w:r>
        <w:rPr/>
        <w:t>PART</w:t>
      </w:r>
      <w:r>
        <w:rPr>
          <w:spacing w:val="-4"/>
        </w:rPr>
        <w:t> </w:t>
      </w:r>
      <w:r>
        <w:rPr/>
        <w:t>3.</w:t>
      </w:r>
      <w:r>
        <w:rPr>
          <w:spacing w:val="-4"/>
        </w:rPr>
        <w:t> </w:t>
      </w:r>
      <w:r>
        <w:rPr/>
        <w:t>ABUSE,</w:t>
      </w:r>
      <w:r>
        <w:rPr>
          <w:spacing w:val="-2"/>
        </w:rPr>
        <w:t> </w:t>
      </w:r>
      <w:r>
        <w:rPr/>
        <w:t>NEGLECT,</w:t>
      </w:r>
      <w:r>
        <w:rPr>
          <w:spacing w:val="-4"/>
        </w:rPr>
        <w:t> </w:t>
      </w:r>
      <w:r>
        <w:rPr/>
        <w:t>AND</w:t>
      </w:r>
      <w:r>
        <w:rPr>
          <w:spacing w:val="-3"/>
        </w:rPr>
        <w:t> </w:t>
      </w:r>
      <w:r>
        <w:rPr/>
        <w:t>INAPPROPRIATE</w:t>
      </w:r>
      <w:r>
        <w:rPr>
          <w:spacing w:val="-3"/>
        </w:rPr>
        <w:t> </w:t>
      </w:r>
      <w:r>
        <w:rPr/>
        <w:t>BODY</w:t>
      </w:r>
      <w:r>
        <w:rPr>
          <w:spacing w:val="-2"/>
        </w:rPr>
        <w:t> CONTACT</w:t>
      </w:r>
    </w:p>
    <w:p>
      <w:pPr>
        <w:pStyle w:val="BodyText"/>
        <w:spacing w:before="204"/>
      </w:pPr>
      <w:r>
        <w:rPr>
          <w:spacing w:val="-2"/>
        </w:rPr>
        <w:t>Section</w:t>
      </w:r>
    </w:p>
    <w:p>
      <w:pPr>
        <w:pStyle w:val="BodyText"/>
        <w:tabs>
          <w:tab w:pos="2519" w:val="left" w:leader="none"/>
        </w:tabs>
        <w:spacing w:before="204"/>
      </w:pPr>
      <w:r>
        <w:rPr>
          <w:spacing w:val="-2"/>
        </w:rPr>
        <w:t>612:20-3-</w:t>
      </w:r>
      <w:r>
        <w:rPr>
          <w:spacing w:val="-5"/>
        </w:rPr>
        <w:t>19.</w:t>
      </w:r>
      <w:r>
        <w:rPr/>
        <w:tab/>
        <w:t>General</w:t>
      </w:r>
      <w:r>
        <w:rPr>
          <w:spacing w:val="-4"/>
        </w:rPr>
        <w:t> </w:t>
      </w:r>
      <w:r>
        <w:rPr>
          <w:spacing w:val="-2"/>
        </w:rPr>
        <w:t>requirements</w:t>
      </w:r>
    </w:p>
    <w:p>
      <w:pPr>
        <w:pStyle w:val="BodyText"/>
        <w:tabs>
          <w:tab w:pos="2519" w:val="left" w:leader="none"/>
        </w:tabs>
        <w:spacing w:before="204"/>
      </w:pPr>
      <w:r>
        <w:rPr>
          <w:spacing w:val="-2"/>
        </w:rPr>
        <w:t>612:20-3-</w:t>
      </w:r>
      <w:r>
        <w:rPr>
          <w:spacing w:val="-5"/>
        </w:rPr>
        <w:t>20.</w:t>
      </w:r>
      <w:r>
        <w:rPr/>
        <w:tab/>
        <w:t>Reporting</w:t>
      </w:r>
      <w:r>
        <w:rPr>
          <w:spacing w:val="-6"/>
        </w:rPr>
        <w:t> </w:t>
      </w:r>
      <w:r>
        <w:rPr>
          <w:spacing w:val="-2"/>
        </w:rPr>
        <w:t>requirements</w:t>
      </w:r>
    </w:p>
    <w:p>
      <w:pPr>
        <w:pStyle w:val="BodyText"/>
        <w:tabs>
          <w:tab w:pos="2519" w:val="left" w:leader="none"/>
        </w:tabs>
        <w:spacing w:line="417" w:lineRule="auto" w:before="204"/>
        <w:ind w:left="2520" w:right="1261" w:hanging="2160"/>
      </w:pPr>
      <w:r>
        <w:rPr>
          <w:spacing w:val="-2"/>
        </w:rPr>
        <w:t>612:20-3-21.</w:t>
      </w:r>
      <w:r>
        <w:rPr/>
        <w:tab/>
        <w:t>Protocol</w:t>
      </w:r>
      <w:r>
        <w:rPr>
          <w:spacing w:val="-4"/>
        </w:rPr>
        <w:t> </w:t>
      </w:r>
      <w:r>
        <w:rPr/>
        <w:t>for</w:t>
      </w:r>
      <w:r>
        <w:rPr>
          <w:spacing w:val="-3"/>
        </w:rPr>
        <w:t> </w:t>
      </w:r>
      <w:r>
        <w:rPr/>
        <w:t>abuse</w:t>
      </w:r>
      <w:r>
        <w:rPr>
          <w:spacing w:val="-4"/>
        </w:rPr>
        <w:t> </w:t>
      </w:r>
      <w:r>
        <w:rPr/>
        <w:t>or</w:t>
      </w:r>
      <w:r>
        <w:rPr>
          <w:spacing w:val="-3"/>
        </w:rPr>
        <w:t> </w:t>
      </w:r>
      <w:r>
        <w:rPr/>
        <w:t>neglect</w:t>
      </w:r>
      <w:r>
        <w:rPr>
          <w:spacing w:val="-3"/>
        </w:rPr>
        <w:t> </w:t>
      </w:r>
      <w:r>
        <w:rPr/>
        <w:t>of</w:t>
      </w:r>
      <w:r>
        <w:rPr>
          <w:spacing w:val="-3"/>
        </w:rPr>
        <w:t> </w:t>
      </w:r>
      <w:r>
        <w:rPr/>
        <w:t>a</w:t>
      </w:r>
      <w:r>
        <w:rPr>
          <w:spacing w:val="-5"/>
        </w:rPr>
        <w:t> </w:t>
      </w:r>
      <w:r>
        <w:rPr/>
        <w:t>student</w:t>
      </w:r>
      <w:r>
        <w:rPr>
          <w:spacing w:val="-3"/>
        </w:rPr>
        <w:t> </w:t>
      </w:r>
      <w:r>
        <w:rPr/>
        <w:t>by</w:t>
      </w:r>
      <w:r>
        <w:rPr>
          <w:spacing w:val="-5"/>
        </w:rPr>
        <w:t> </w:t>
      </w:r>
      <w:r>
        <w:rPr/>
        <w:t>a</w:t>
      </w:r>
      <w:r>
        <w:rPr>
          <w:spacing w:val="-4"/>
        </w:rPr>
        <w:t> </w:t>
      </w:r>
      <w:r>
        <w:rPr/>
        <w:t>staff</w:t>
      </w:r>
      <w:r>
        <w:rPr>
          <w:spacing w:val="-5"/>
        </w:rPr>
        <w:t> </w:t>
      </w:r>
      <w:r>
        <w:rPr/>
        <w:t>member</w:t>
      </w:r>
      <w:r>
        <w:rPr>
          <w:spacing w:val="-3"/>
        </w:rPr>
        <w:t> </w:t>
      </w:r>
      <w:r>
        <w:rPr/>
        <w:t>or </w:t>
      </w:r>
      <w:r>
        <w:rPr>
          <w:spacing w:val="-2"/>
        </w:rPr>
        <w:t>volunteer</w:t>
      </w:r>
    </w:p>
    <w:p>
      <w:pPr>
        <w:pStyle w:val="BodyText"/>
        <w:tabs>
          <w:tab w:pos="2519" w:val="left" w:leader="none"/>
        </w:tabs>
        <w:spacing w:line="276" w:lineRule="exact" w:before="0"/>
      </w:pPr>
      <w:r>
        <w:rPr>
          <w:spacing w:val="-2"/>
        </w:rPr>
        <w:t>612:20-3-</w:t>
      </w:r>
      <w:r>
        <w:rPr>
          <w:spacing w:val="-5"/>
        </w:rPr>
        <w:t>22.</w:t>
      </w:r>
      <w:r>
        <w:rPr/>
        <w:tab/>
        <w:t>Protocol</w:t>
      </w:r>
      <w:r>
        <w:rPr>
          <w:spacing w:val="-5"/>
        </w:rPr>
        <w:t> </w:t>
      </w:r>
      <w:r>
        <w:rPr/>
        <w:t>for</w:t>
      </w:r>
      <w:r>
        <w:rPr>
          <w:spacing w:val="-1"/>
        </w:rPr>
        <w:t> </w:t>
      </w:r>
      <w:r>
        <w:rPr/>
        <w:t>abuse</w:t>
      </w:r>
      <w:r>
        <w:rPr>
          <w:spacing w:val="-3"/>
        </w:rPr>
        <w:t> </w:t>
      </w:r>
      <w:r>
        <w:rPr/>
        <w:t>of</w:t>
      </w:r>
      <w:r>
        <w:rPr>
          <w:spacing w:val="-1"/>
        </w:rPr>
        <w:t> </w:t>
      </w:r>
      <w:r>
        <w:rPr/>
        <w:t>a</w:t>
      </w:r>
      <w:r>
        <w:rPr>
          <w:spacing w:val="-2"/>
        </w:rPr>
        <w:t> </w:t>
      </w:r>
      <w:r>
        <w:rPr/>
        <w:t>student</w:t>
      </w:r>
      <w:r>
        <w:rPr>
          <w:spacing w:val="-2"/>
        </w:rPr>
        <w:t> </w:t>
      </w:r>
      <w:r>
        <w:rPr/>
        <w:t>by</w:t>
      </w:r>
      <w:r>
        <w:rPr>
          <w:spacing w:val="-3"/>
        </w:rPr>
        <w:t> </w:t>
      </w:r>
      <w:r>
        <w:rPr/>
        <w:t>another</w:t>
      </w:r>
      <w:r>
        <w:rPr>
          <w:spacing w:val="-1"/>
        </w:rPr>
        <w:t> </w:t>
      </w:r>
      <w:r>
        <w:rPr>
          <w:spacing w:val="-2"/>
        </w:rPr>
        <w:t>student</w:t>
      </w:r>
    </w:p>
    <w:p>
      <w:pPr>
        <w:pStyle w:val="BodyText"/>
        <w:tabs>
          <w:tab w:pos="2519" w:val="left" w:leader="none"/>
        </w:tabs>
        <w:spacing w:line="208" w:lineRule="auto" w:before="233"/>
        <w:ind w:right="2018"/>
      </w:pPr>
      <w:r>
        <w:rPr>
          <w:spacing w:val="-2"/>
        </w:rPr>
        <w:t>612:20-3-23.</w:t>
      </w:r>
      <w:r>
        <w:rPr/>
        <w:tab/>
        <w:t>Protocol</w:t>
      </w:r>
      <w:r>
        <w:rPr>
          <w:spacing w:val="-4"/>
        </w:rPr>
        <w:t> </w:t>
      </w:r>
      <w:r>
        <w:rPr/>
        <w:t>for</w:t>
      </w:r>
      <w:r>
        <w:rPr>
          <w:spacing w:val="-3"/>
        </w:rPr>
        <w:t> </w:t>
      </w:r>
      <w:r>
        <w:rPr/>
        <w:t>abuse</w:t>
      </w:r>
      <w:r>
        <w:rPr>
          <w:spacing w:val="-4"/>
        </w:rPr>
        <w:t> </w:t>
      </w:r>
      <w:r>
        <w:rPr/>
        <w:t>and</w:t>
      </w:r>
      <w:r>
        <w:rPr>
          <w:spacing w:val="-3"/>
        </w:rPr>
        <w:t> </w:t>
      </w:r>
      <w:r>
        <w:rPr/>
        <w:t>neglect</w:t>
      </w:r>
      <w:r>
        <w:rPr>
          <w:spacing w:val="-3"/>
        </w:rPr>
        <w:t> </w:t>
      </w:r>
      <w:r>
        <w:rPr/>
        <w:t>of</w:t>
      </w:r>
      <w:r>
        <w:rPr>
          <w:spacing w:val="-5"/>
        </w:rPr>
        <w:t> </w:t>
      </w:r>
      <w:r>
        <w:rPr/>
        <w:t>a</w:t>
      </w:r>
      <w:r>
        <w:rPr>
          <w:spacing w:val="-4"/>
        </w:rPr>
        <w:t> </w:t>
      </w:r>
      <w:r>
        <w:rPr/>
        <w:t>student</w:t>
      </w:r>
      <w:r>
        <w:rPr>
          <w:spacing w:val="-3"/>
        </w:rPr>
        <w:t> </w:t>
      </w:r>
      <w:r>
        <w:rPr/>
        <w:t>in</w:t>
      </w:r>
      <w:r>
        <w:rPr>
          <w:spacing w:val="-4"/>
        </w:rPr>
        <w:t> </w:t>
      </w:r>
      <w:r>
        <w:rPr/>
        <w:t>the</w:t>
      </w:r>
      <w:r>
        <w:rPr>
          <w:spacing w:val="-4"/>
        </w:rPr>
        <w:t> </w:t>
      </w:r>
      <w:r>
        <w:rPr/>
        <w:t>home </w:t>
      </w:r>
      <w:r>
        <w:rPr>
          <w:spacing w:val="-2"/>
        </w:rPr>
        <w:t>environment</w:t>
      </w:r>
    </w:p>
    <w:p>
      <w:pPr>
        <w:pStyle w:val="BodyText"/>
        <w:tabs>
          <w:tab w:pos="2519" w:val="left" w:leader="none"/>
        </w:tabs>
        <w:spacing w:line="417" w:lineRule="auto" w:before="211"/>
        <w:ind w:right="977"/>
      </w:pPr>
      <w:r>
        <w:rPr>
          <w:spacing w:val="-2"/>
        </w:rPr>
        <w:t>612:20-3-24.</w:t>
      </w:r>
      <w:r>
        <w:rPr/>
        <w:tab/>
        <w:t>Protocol</w:t>
      </w:r>
      <w:r>
        <w:rPr>
          <w:spacing w:val="-5"/>
        </w:rPr>
        <w:t> </w:t>
      </w:r>
      <w:r>
        <w:rPr/>
        <w:t>for</w:t>
      </w:r>
      <w:r>
        <w:rPr>
          <w:spacing w:val="-4"/>
        </w:rPr>
        <w:t> </w:t>
      </w:r>
      <w:r>
        <w:rPr/>
        <w:t>inappropriate</w:t>
      </w:r>
      <w:r>
        <w:rPr>
          <w:spacing w:val="-5"/>
        </w:rPr>
        <w:t> </w:t>
      </w:r>
      <w:r>
        <w:rPr/>
        <w:t>body</w:t>
      </w:r>
      <w:r>
        <w:rPr>
          <w:spacing w:val="-5"/>
        </w:rPr>
        <w:t> </w:t>
      </w:r>
      <w:r>
        <w:rPr/>
        <w:t>contact</w:t>
      </w:r>
      <w:r>
        <w:rPr>
          <w:spacing w:val="-4"/>
        </w:rPr>
        <w:t> </w:t>
      </w:r>
      <w:r>
        <w:rPr/>
        <w:t>between</w:t>
      </w:r>
      <w:r>
        <w:rPr>
          <w:spacing w:val="-5"/>
        </w:rPr>
        <w:t> </w:t>
      </w:r>
      <w:r>
        <w:rPr/>
        <w:t>student</w:t>
      </w:r>
      <w:r>
        <w:rPr>
          <w:spacing w:val="-4"/>
        </w:rPr>
        <w:t> </w:t>
      </w:r>
      <w:r>
        <w:rPr/>
        <w:t>and</w:t>
      </w:r>
      <w:r>
        <w:rPr>
          <w:spacing w:val="-5"/>
        </w:rPr>
        <w:t> </w:t>
      </w:r>
      <w:r>
        <w:rPr/>
        <w:t>staff </w:t>
      </w:r>
      <w:r>
        <w:rPr>
          <w:spacing w:val="-2"/>
        </w:rPr>
        <w:t>612:20-3-25.</w:t>
      </w:r>
      <w:r>
        <w:rPr/>
        <w:tab/>
        <w:t>Protocol for inappropriate body contact between students</w:t>
      </w:r>
    </w:p>
    <w:p>
      <w:pPr>
        <w:pStyle w:val="BodyText"/>
        <w:tabs>
          <w:tab w:pos="2519" w:val="left" w:leader="none"/>
          <w:tab w:pos="3959" w:val="left" w:leader="none"/>
        </w:tabs>
        <w:spacing w:line="208" w:lineRule="auto" w:before="28"/>
        <w:ind w:right="1900"/>
      </w:pPr>
      <w:r>
        <w:rPr>
          <w:spacing w:val="-2"/>
        </w:rPr>
        <w:t>612:20-3-26.</w:t>
      </w:r>
      <w:r>
        <w:rPr/>
        <w:tab/>
        <w:t>Special</w:t>
      </w:r>
      <w:r>
        <w:rPr>
          <w:spacing w:val="-6"/>
        </w:rPr>
        <w:t> </w:t>
      </w:r>
      <w:r>
        <w:rPr/>
        <w:t>procedures</w:t>
      </w:r>
      <w:r>
        <w:rPr>
          <w:spacing w:val="-6"/>
        </w:rPr>
        <w:t> </w:t>
      </w:r>
      <w:r>
        <w:rPr/>
        <w:t>for</w:t>
      </w:r>
      <w:r>
        <w:rPr>
          <w:spacing w:val="-7"/>
        </w:rPr>
        <w:t> </w:t>
      </w:r>
      <w:r>
        <w:rPr/>
        <w:t>prevention</w:t>
      </w:r>
      <w:r>
        <w:rPr>
          <w:spacing w:val="-5"/>
        </w:rPr>
        <w:t> </w:t>
      </w:r>
      <w:r>
        <w:rPr/>
        <w:t>of</w:t>
      </w:r>
      <w:r>
        <w:rPr>
          <w:spacing w:val="-5"/>
        </w:rPr>
        <w:t> </w:t>
      </w:r>
      <w:r>
        <w:rPr/>
        <w:t>abuse,</w:t>
      </w:r>
      <w:r>
        <w:rPr>
          <w:spacing w:val="-7"/>
        </w:rPr>
        <w:t> </w:t>
      </w:r>
      <w:r>
        <w:rPr/>
        <w:t>neglect,</w:t>
      </w:r>
      <w:r>
        <w:rPr>
          <w:spacing w:val="-5"/>
        </w:rPr>
        <w:t> </w:t>
      </w:r>
      <w:r>
        <w:rPr/>
        <w:t>and </w:t>
      </w:r>
      <w:r>
        <w:rPr>
          <w:spacing w:val="-2"/>
        </w:rPr>
        <w:t>inappropriate</w:t>
      </w:r>
      <w:r>
        <w:rPr/>
        <w:tab/>
        <w:tab/>
        <w:t>body contact</w:t>
      </w:r>
    </w:p>
    <w:p>
      <w:pPr>
        <w:pStyle w:val="BodyText"/>
        <w:tabs>
          <w:tab w:pos="2519" w:val="left" w:leader="none"/>
        </w:tabs>
        <w:spacing w:before="211"/>
      </w:pPr>
      <w:r>
        <w:rPr>
          <w:spacing w:val="-2"/>
        </w:rPr>
        <w:t>612:20-3-</w:t>
      </w:r>
      <w:r>
        <w:rPr>
          <w:spacing w:val="-5"/>
        </w:rPr>
        <w:t>27.</w:t>
      </w:r>
      <w:r>
        <w:rPr/>
        <w:tab/>
        <w:t>Harassment</w:t>
      </w:r>
      <w:r>
        <w:rPr>
          <w:spacing w:val="-4"/>
        </w:rPr>
        <w:t> </w:t>
      </w:r>
      <w:r>
        <w:rPr/>
        <w:t>of</w:t>
      </w:r>
      <w:r>
        <w:rPr>
          <w:spacing w:val="-3"/>
        </w:rPr>
        <w:t> </w:t>
      </w:r>
      <w:r>
        <w:rPr>
          <w:spacing w:val="-2"/>
        </w:rPr>
        <w:t>students</w:t>
      </w:r>
    </w:p>
    <w:p>
      <w:pPr>
        <w:pStyle w:val="BodyText"/>
        <w:spacing w:after="0"/>
        <w:sectPr>
          <w:pgSz w:w="12240" w:h="15840"/>
          <w:pgMar w:top="1340" w:bottom="280" w:left="1080" w:right="720"/>
        </w:sectPr>
      </w:pPr>
    </w:p>
    <w:p>
      <w:pPr>
        <w:pStyle w:val="Heading2"/>
      </w:pPr>
      <w:bookmarkStart w:name="612:20-3-19.  General requirements" w:id="350"/>
      <w:bookmarkEnd w:id="350"/>
      <w:r>
        <w:rPr>
          <w:b w:val="0"/>
        </w:rPr>
      </w:r>
      <w:r>
        <w:rPr/>
        <w:t>612:20-3-19.</w:t>
      </w:r>
      <w:r>
        <w:rPr>
          <w:spacing w:val="58"/>
        </w:rPr>
        <w:t> </w:t>
      </w:r>
      <w:r>
        <w:rPr/>
        <w:t>General</w:t>
      </w:r>
      <w:r>
        <w:rPr>
          <w:spacing w:val="-3"/>
        </w:rPr>
        <w:t> </w:t>
      </w:r>
      <w:r>
        <w:rPr>
          <w:spacing w:val="-2"/>
        </w:rPr>
        <w:t>requirements</w:t>
      </w:r>
    </w:p>
    <w:p>
      <w:pPr>
        <w:pStyle w:val="ListParagraph"/>
        <w:numPr>
          <w:ilvl w:val="0"/>
          <w:numId w:val="349"/>
        </w:numPr>
        <w:tabs>
          <w:tab w:pos="786" w:val="left" w:leader="none"/>
        </w:tabs>
        <w:spacing w:line="208" w:lineRule="auto" w:before="233" w:after="0"/>
        <w:ind w:left="360" w:right="1003" w:firstLine="0"/>
        <w:jc w:val="left"/>
        <w:rPr>
          <w:sz w:val="24"/>
        </w:rPr>
      </w:pPr>
      <w:r>
        <w:rPr>
          <w:sz w:val="24"/>
        </w:rPr>
        <w:t>All school employees and volunteers have responsibility for reporting suspected abuse,</w:t>
      </w:r>
      <w:r>
        <w:rPr>
          <w:spacing w:val="-3"/>
          <w:sz w:val="24"/>
        </w:rPr>
        <w:t> </w:t>
      </w:r>
      <w:r>
        <w:rPr>
          <w:sz w:val="24"/>
        </w:rPr>
        <w:t>neglect,</w:t>
      </w:r>
      <w:r>
        <w:rPr>
          <w:spacing w:val="-3"/>
          <w:sz w:val="24"/>
        </w:rPr>
        <w:t> </w:t>
      </w:r>
      <w:r>
        <w:rPr>
          <w:sz w:val="24"/>
        </w:rPr>
        <w:t>and</w:t>
      </w:r>
      <w:r>
        <w:rPr>
          <w:spacing w:val="-4"/>
          <w:sz w:val="24"/>
        </w:rPr>
        <w:t> </w:t>
      </w:r>
      <w:r>
        <w:rPr>
          <w:sz w:val="24"/>
        </w:rPr>
        <w:t>inappropriate</w:t>
      </w:r>
      <w:r>
        <w:rPr>
          <w:spacing w:val="-3"/>
          <w:sz w:val="24"/>
        </w:rPr>
        <w:t> </w:t>
      </w:r>
      <w:r>
        <w:rPr>
          <w:sz w:val="24"/>
        </w:rPr>
        <w:t>body</w:t>
      </w:r>
      <w:r>
        <w:rPr>
          <w:spacing w:val="-4"/>
          <w:sz w:val="24"/>
        </w:rPr>
        <w:t> </w:t>
      </w:r>
      <w:r>
        <w:rPr>
          <w:sz w:val="24"/>
        </w:rPr>
        <w:t>contact.</w:t>
      </w:r>
      <w:r>
        <w:rPr>
          <w:spacing w:val="-5"/>
          <w:sz w:val="24"/>
        </w:rPr>
        <w:t> </w:t>
      </w:r>
      <w:r>
        <w:rPr>
          <w:sz w:val="24"/>
        </w:rPr>
        <w:t>General</w:t>
      </w:r>
      <w:r>
        <w:rPr>
          <w:spacing w:val="-4"/>
          <w:sz w:val="24"/>
        </w:rPr>
        <w:t> </w:t>
      </w:r>
      <w:r>
        <w:rPr>
          <w:sz w:val="24"/>
        </w:rPr>
        <w:t>guidelines</w:t>
      </w:r>
      <w:r>
        <w:rPr>
          <w:spacing w:val="-4"/>
          <w:sz w:val="24"/>
        </w:rPr>
        <w:t> </w:t>
      </w:r>
      <w:r>
        <w:rPr>
          <w:sz w:val="24"/>
        </w:rPr>
        <w:t>for</w:t>
      </w:r>
      <w:r>
        <w:rPr>
          <w:spacing w:val="-3"/>
          <w:sz w:val="24"/>
        </w:rPr>
        <w:t> </w:t>
      </w:r>
      <w:r>
        <w:rPr>
          <w:sz w:val="24"/>
        </w:rPr>
        <w:t>when</w:t>
      </w:r>
      <w:r>
        <w:rPr>
          <w:spacing w:val="-5"/>
          <w:sz w:val="24"/>
        </w:rPr>
        <w:t> </w:t>
      </w:r>
      <w:r>
        <w:rPr>
          <w:sz w:val="24"/>
        </w:rPr>
        <w:t>to</w:t>
      </w:r>
      <w:r>
        <w:rPr>
          <w:spacing w:val="-4"/>
          <w:sz w:val="24"/>
        </w:rPr>
        <w:t> </w:t>
      </w:r>
      <w:r>
        <w:rPr>
          <w:sz w:val="24"/>
        </w:rPr>
        <w:t>report possible abuse, neglect, or inappropriate body contact are given in Paragraphs (1) through (4).</w:t>
      </w:r>
    </w:p>
    <w:p>
      <w:pPr>
        <w:pStyle w:val="ListParagraph"/>
        <w:numPr>
          <w:ilvl w:val="1"/>
          <w:numId w:val="349"/>
        </w:numPr>
        <w:tabs>
          <w:tab w:pos="1216" w:val="left" w:leader="none"/>
        </w:tabs>
        <w:spacing w:line="240" w:lineRule="auto" w:before="210" w:after="0"/>
        <w:ind w:left="1216" w:right="0" w:hanging="425"/>
        <w:jc w:val="left"/>
        <w:rPr>
          <w:sz w:val="24"/>
        </w:rPr>
      </w:pPr>
      <w:r>
        <w:rPr>
          <w:sz w:val="24"/>
        </w:rPr>
        <w:t>When</w:t>
      </w:r>
      <w:r>
        <w:rPr>
          <w:spacing w:val="-3"/>
          <w:sz w:val="24"/>
        </w:rPr>
        <w:t> </w:t>
      </w:r>
      <w:r>
        <w:rPr>
          <w:sz w:val="24"/>
        </w:rPr>
        <w:t>a</w:t>
      </w:r>
      <w:r>
        <w:rPr>
          <w:spacing w:val="-2"/>
          <w:sz w:val="24"/>
        </w:rPr>
        <w:t> </w:t>
      </w:r>
      <w:r>
        <w:rPr>
          <w:sz w:val="24"/>
        </w:rPr>
        <w:t>student</w:t>
      </w:r>
      <w:r>
        <w:rPr>
          <w:spacing w:val="-2"/>
          <w:sz w:val="24"/>
        </w:rPr>
        <w:t> </w:t>
      </w:r>
      <w:r>
        <w:rPr>
          <w:sz w:val="24"/>
        </w:rPr>
        <w:t>reports</w:t>
      </w:r>
      <w:r>
        <w:rPr>
          <w:spacing w:val="-2"/>
          <w:sz w:val="24"/>
        </w:rPr>
        <w:t> </w:t>
      </w:r>
      <w:r>
        <w:rPr>
          <w:sz w:val="24"/>
        </w:rPr>
        <w:t>an</w:t>
      </w:r>
      <w:r>
        <w:rPr>
          <w:spacing w:val="-2"/>
          <w:sz w:val="24"/>
        </w:rPr>
        <w:t> </w:t>
      </w:r>
      <w:r>
        <w:rPr>
          <w:sz w:val="24"/>
        </w:rPr>
        <w:t>incident</w:t>
      </w:r>
      <w:r>
        <w:rPr>
          <w:spacing w:val="-2"/>
          <w:sz w:val="24"/>
        </w:rPr>
        <w:t> </w:t>
      </w:r>
      <w:r>
        <w:rPr>
          <w:sz w:val="24"/>
        </w:rPr>
        <w:t>to</w:t>
      </w:r>
      <w:r>
        <w:rPr>
          <w:spacing w:val="-2"/>
          <w:sz w:val="24"/>
        </w:rPr>
        <w:t> </w:t>
      </w:r>
      <w:r>
        <w:rPr>
          <w:sz w:val="24"/>
        </w:rPr>
        <w:t>the</w:t>
      </w:r>
      <w:r>
        <w:rPr>
          <w:spacing w:val="-2"/>
          <w:sz w:val="24"/>
        </w:rPr>
        <w:t> employee/volunteer;</w:t>
      </w:r>
    </w:p>
    <w:p>
      <w:pPr>
        <w:pStyle w:val="ListParagraph"/>
        <w:numPr>
          <w:ilvl w:val="1"/>
          <w:numId w:val="349"/>
        </w:numPr>
        <w:tabs>
          <w:tab w:pos="1218" w:val="left" w:leader="none"/>
        </w:tabs>
        <w:spacing w:line="240" w:lineRule="auto" w:before="204" w:after="0"/>
        <w:ind w:left="1218" w:right="0" w:hanging="426"/>
        <w:jc w:val="left"/>
        <w:rPr>
          <w:sz w:val="24"/>
        </w:rPr>
      </w:pPr>
      <w:r>
        <w:rPr>
          <w:sz w:val="24"/>
        </w:rPr>
        <w:t>someone</w:t>
      </w:r>
      <w:r>
        <w:rPr>
          <w:spacing w:val="-4"/>
          <w:sz w:val="24"/>
        </w:rPr>
        <w:t> </w:t>
      </w:r>
      <w:r>
        <w:rPr>
          <w:sz w:val="24"/>
        </w:rPr>
        <w:t>other</w:t>
      </w:r>
      <w:r>
        <w:rPr>
          <w:spacing w:val="-2"/>
          <w:sz w:val="24"/>
        </w:rPr>
        <w:t> </w:t>
      </w:r>
      <w:r>
        <w:rPr>
          <w:sz w:val="24"/>
        </w:rPr>
        <w:t>than</w:t>
      </w:r>
      <w:r>
        <w:rPr>
          <w:spacing w:val="-3"/>
          <w:sz w:val="24"/>
        </w:rPr>
        <w:t> </w:t>
      </w:r>
      <w:r>
        <w:rPr>
          <w:sz w:val="24"/>
        </w:rPr>
        <w:t>the</w:t>
      </w:r>
      <w:r>
        <w:rPr>
          <w:spacing w:val="-4"/>
          <w:sz w:val="24"/>
        </w:rPr>
        <w:t> </w:t>
      </w:r>
      <w:r>
        <w:rPr>
          <w:sz w:val="24"/>
        </w:rPr>
        <w:t>student</w:t>
      </w:r>
      <w:r>
        <w:rPr>
          <w:spacing w:val="-2"/>
          <w:sz w:val="24"/>
        </w:rPr>
        <w:t> </w:t>
      </w:r>
      <w:r>
        <w:rPr>
          <w:sz w:val="24"/>
        </w:rPr>
        <w:t>reports</w:t>
      </w:r>
      <w:r>
        <w:rPr>
          <w:spacing w:val="-4"/>
          <w:sz w:val="24"/>
        </w:rPr>
        <w:t> </w:t>
      </w:r>
      <w:r>
        <w:rPr>
          <w:sz w:val="24"/>
        </w:rPr>
        <w:t>suspected</w:t>
      </w:r>
      <w:r>
        <w:rPr>
          <w:spacing w:val="-3"/>
          <w:sz w:val="24"/>
        </w:rPr>
        <w:t> </w:t>
      </w:r>
      <w:r>
        <w:rPr>
          <w:spacing w:val="-2"/>
          <w:sz w:val="24"/>
        </w:rPr>
        <w:t>behaviors;</w:t>
      </w:r>
    </w:p>
    <w:p>
      <w:pPr>
        <w:pStyle w:val="ListParagraph"/>
        <w:numPr>
          <w:ilvl w:val="1"/>
          <w:numId w:val="349"/>
        </w:numPr>
        <w:tabs>
          <w:tab w:pos="1217" w:val="left" w:leader="none"/>
        </w:tabs>
        <w:spacing w:line="240" w:lineRule="auto" w:before="204" w:after="0"/>
        <w:ind w:left="1217" w:right="0" w:hanging="425"/>
        <w:jc w:val="left"/>
        <w:rPr>
          <w:sz w:val="24"/>
        </w:rPr>
      </w:pPr>
      <w:r>
        <w:rPr>
          <w:sz w:val="24"/>
        </w:rPr>
        <w:t>there</w:t>
      </w:r>
      <w:r>
        <w:rPr>
          <w:spacing w:val="-3"/>
          <w:sz w:val="24"/>
        </w:rPr>
        <w:t> </w:t>
      </w:r>
      <w:r>
        <w:rPr>
          <w:sz w:val="24"/>
        </w:rPr>
        <w:t>is</w:t>
      </w:r>
      <w:r>
        <w:rPr>
          <w:spacing w:val="-4"/>
          <w:sz w:val="24"/>
        </w:rPr>
        <w:t> </w:t>
      </w:r>
      <w:r>
        <w:rPr>
          <w:sz w:val="24"/>
        </w:rPr>
        <w:t>physical</w:t>
      </w:r>
      <w:r>
        <w:rPr>
          <w:spacing w:val="-3"/>
          <w:sz w:val="24"/>
        </w:rPr>
        <w:t> </w:t>
      </w:r>
      <w:r>
        <w:rPr>
          <w:sz w:val="24"/>
        </w:rPr>
        <w:t>evidence;</w:t>
      </w:r>
      <w:r>
        <w:rPr>
          <w:spacing w:val="-2"/>
          <w:sz w:val="24"/>
        </w:rPr>
        <w:t> </w:t>
      </w:r>
      <w:r>
        <w:rPr>
          <w:spacing w:val="-5"/>
          <w:sz w:val="24"/>
        </w:rPr>
        <w:t>or</w:t>
      </w:r>
    </w:p>
    <w:p>
      <w:pPr>
        <w:pStyle w:val="ListParagraph"/>
        <w:numPr>
          <w:ilvl w:val="1"/>
          <w:numId w:val="349"/>
        </w:numPr>
        <w:tabs>
          <w:tab w:pos="1216" w:val="left" w:leader="none"/>
        </w:tabs>
        <w:spacing w:line="240" w:lineRule="auto" w:before="204" w:after="0"/>
        <w:ind w:left="1216" w:right="0" w:hanging="425"/>
        <w:jc w:val="left"/>
        <w:rPr>
          <w:sz w:val="24"/>
        </w:rPr>
      </w:pPr>
      <w:r>
        <w:rPr>
          <w:sz w:val="24"/>
        </w:rPr>
        <w:t>there</w:t>
      </w:r>
      <w:r>
        <w:rPr>
          <w:spacing w:val="-3"/>
          <w:sz w:val="24"/>
        </w:rPr>
        <w:t> </w:t>
      </w:r>
      <w:r>
        <w:rPr>
          <w:sz w:val="24"/>
        </w:rPr>
        <w:t>is</w:t>
      </w:r>
      <w:r>
        <w:rPr>
          <w:spacing w:val="-4"/>
          <w:sz w:val="24"/>
        </w:rPr>
        <w:t> </w:t>
      </w:r>
      <w:r>
        <w:rPr>
          <w:sz w:val="24"/>
        </w:rPr>
        <w:t>first</w:t>
      </w:r>
      <w:r>
        <w:rPr>
          <w:spacing w:val="-4"/>
          <w:sz w:val="24"/>
        </w:rPr>
        <w:t> </w:t>
      </w:r>
      <w:r>
        <w:rPr>
          <w:sz w:val="24"/>
        </w:rPr>
        <w:t>hand</w:t>
      </w:r>
      <w:r>
        <w:rPr>
          <w:spacing w:val="-3"/>
          <w:sz w:val="24"/>
        </w:rPr>
        <w:t> </w:t>
      </w:r>
      <w:r>
        <w:rPr>
          <w:sz w:val="24"/>
        </w:rPr>
        <w:t>observation</w:t>
      </w:r>
      <w:r>
        <w:rPr>
          <w:spacing w:val="-2"/>
          <w:sz w:val="24"/>
        </w:rPr>
        <w:t> </w:t>
      </w:r>
      <w:r>
        <w:rPr>
          <w:sz w:val="24"/>
        </w:rPr>
        <w:t>by</w:t>
      </w:r>
      <w:r>
        <w:rPr>
          <w:spacing w:val="-3"/>
          <w:sz w:val="24"/>
        </w:rPr>
        <w:t> </w:t>
      </w:r>
      <w:r>
        <w:rPr>
          <w:sz w:val="24"/>
        </w:rPr>
        <w:t>an</w:t>
      </w:r>
      <w:r>
        <w:rPr>
          <w:spacing w:val="-3"/>
          <w:sz w:val="24"/>
        </w:rPr>
        <w:t> </w:t>
      </w:r>
      <w:r>
        <w:rPr>
          <w:sz w:val="24"/>
        </w:rPr>
        <w:t>employee/volunteer</w:t>
      </w:r>
      <w:r>
        <w:rPr>
          <w:spacing w:val="-2"/>
          <w:sz w:val="24"/>
        </w:rPr>
        <w:t> </w:t>
      </w:r>
      <w:r>
        <w:rPr>
          <w:sz w:val="24"/>
        </w:rPr>
        <w:t>of</w:t>
      </w:r>
      <w:r>
        <w:rPr>
          <w:spacing w:val="-2"/>
          <w:sz w:val="24"/>
        </w:rPr>
        <w:t> </w:t>
      </w:r>
      <w:r>
        <w:rPr>
          <w:sz w:val="24"/>
        </w:rPr>
        <w:t>a</w:t>
      </w:r>
      <w:r>
        <w:rPr>
          <w:spacing w:val="-3"/>
          <w:sz w:val="24"/>
        </w:rPr>
        <w:t> </w:t>
      </w:r>
      <w:r>
        <w:rPr>
          <w:sz w:val="24"/>
        </w:rPr>
        <w:t>suspect</w:t>
      </w:r>
      <w:r>
        <w:rPr>
          <w:spacing w:val="-1"/>
          <w:sz w:val="24"/>
        </w:rPr>
        <w:t> </w:t>
      </w:r>
      <w:r>
        <w:rPr>
          <w:spacing w:val="-2"/>
          <w:sz w:val="24"/>
        </w:rPr>
        <w:t>incident.</w:t>
      </w:r>
    </w:p>
    <w:p>
      <w:pPr>
        <w:pStyle w:val="ListParagraph"/>
        <w:numPr>
          <w:ilvl w:val="0"/>
          <w:numId w:val="349"/>
        </w:numPr>
        <w:tabs>
          <w:tab w:pos="785" w:val="left" w:leader="none"/>
        </w:tabs>
        <w:spacing w:line="208" w:lineRule="auto" w:before="234" w:after="0"/>
        <w:ind w:left="359" w:right="1754" w:firstLine="0"/>
        <w:jc w:val="left"/>
        <w:rPr>
          <w:sz w:val="24"/>
        </w:rPr>
      </w:pPr>
      <w:r>
        <w:rPr>
          <w:sz w:val="24"/>
        </w:rPr>
        <w:t>For</w:t>
      </w:r>
      <w:r>
        <w:rPr>
          <w:spacing w:val="-5"/>
          <w:sz w:val="24"/>
        </w:rPr>
        <w:t> </w:t>
      </w:r>
      <w:r>
        <w:rPr>
          <w:sz w:val="24"/>
        </w:rPr>
        <w:t>the</w:t>
      </w:r>
      <w:r>
        <w:rPr>
          <w:spacing w:val="-5"/>
          <w:sz w:val="24"/>
        </w:rPr>
        <w:t> </w:t>
      </w:r>
      <w:r>
        <w:rPr>
          <w:sz w:val="24"/>
        </w:rPr>
        <w:t>purposes</w:t>
      </w:r>
      <w:r>
        <w:rPr>
          <w:spacing w:val="-4"/>
          <w:sz w:val="24"/>
        </w:rPr>
        <w:t> </w:t>
      </w:r>
      <w:r>
        <w:rPr>
          <w:sz w:val="24"/>
        </w:rPr>
        <w:t>of</w:t>
      </w:r>
      <w:r>
        <w:rPr>
          <w:spacing w:val="-3"/>
          <w:sz w:val="24"/>
        </w:rPr>
        <w:t> </w:t>
      </w:r>
      <w:r>
        <w:rPr>
          <w:sz w:val="24"/>
        </w:rPr>
        <w:t>this</w:t>
      </w:r>
      <w:r>
        <w:rPr>
          <w:spacing w:val="-4"/>
          <w:sz w:val="24"/>
        </w:rPr>
        <w:t> </w:t>
      </w:r>
      <w:r>
        <w:rPr>
          <w:sz w:val="24"/>
        </w:rPr>
        <w:t>Section,</w:t>
      </w:r>
      <w:r>
        <w:rPr>
          <w:spacing w:val="-3"/>
          <w:sz w:val="24"/>
        </w:rPr>
        <w:t> </w:t>
      </w:r>
      <w:r>
        <w:rPr>
          <w:sz w:val="24"/>
        </w:rPr>
        <w:t>abuse</w:t>
      </w:r>
      <w:r>
        <w:rPr>
          <w:spacing w:val="-4"/>
          <w:sz w:val="24"/>
        </w:rPr>
        <w:t> </w:t>
      </w:r>
      <w:r>
        <w:rPr>
          <w:sz w:val="24"/>
        </w:rPr>
        <w:t>or</w:t>
      </w:r>
      <w:r>
        <w:rPr>
          <w:spacing w:val="-3"/>
          <w:sz w:val="24"/>
        </w:rPr>
        <w:t> </w:t>
      </w:r>
      <w:r>
        <w:rPr>
          <w:sz w:val="24"/>
        </w:rPr>
        <w:t>neglect</w:t>
      </w:r>
      <w:r>
        <w:rPr>
          <w:spacing w:val="-3"/>
          <w:sz w:val="24"/>
        </w:rPr>
        <w:t> </w:t>
      </w:r>
      <w:r>
        <w:rPr>
          <w:sz w:val="24"/>
        </w:rPr>
        <w:t>is</w:t>
      </w:r>
      <w:r>
        <w:rPr>
          <w:spacing w:val="-4"/>
          <w:sz w:val="24"/>
        </w:rPr>
        <w:t> </w:t>
      </w:r>
      <w:r>
        <w:rPr>
          <w:sz w:val="24"/>
        </w:rPr>
        <w:t>defined</w:t>
      </w:r>
      <w:r>
        <w:rPr>
          <w:spacing w:val="-4"/>
          <w:sz w:val="24"/>
        </w:rPr>
        <w:t> </w:t>
      </w:r>
      <w:r>
        <w:rPr>
          <w:sz w:val="24"/>
        </w:rPr>
        <w:t>as</w:t>
      </w:r>
      <w:r>
        <w:rPr>
          <w:spacing w:val="-4"/>
          <w:sz w:val="24"/>
        </w:rPr>
        <w:t> </w:t>
      </w:r>
      <w:r>
        <w:rPr>
          <w:sz w:val="24"/>
        </w:rPr>
        <w:t>knowingly, intentionally, or negligently causing or permitting an enrolled child to be:</w:t>
      </w:r>
    </w:p>
    <w:p>
      <w:pPr>
        <w:pStyle w:val="ListParagraph"/>
        <w:numPr>
          <w:ilvl w:val="1"/>
          <w:numId w:val="349"/>
        </w:numPr>
        <w:tabs>
          <w:tab w:pos="1217" w:val="left" w:leader="none"/>
        </w:tabs>
        <w:spacing w:line="240" w:lineRule="auto" w:before="210" w:after="0"/>
        <w:ind w:left="1217" w:right="0" w:hanging="426"/>
        <w:jc w:val="left"/>
        <w:rPr>
          <w:sz w:val="24"/>
        </w:rPr>
      </w:pPr>
      <w:r>
        <w:rPr>
          <w:sz w:val="24"/>
        </w:rPr>
        <w:t>placed</w:t>
      </w:r>
      <w:r>
        <w:rPr>
          <w:spacing w:val="-6"/>
          <w:sz w:val="24"/>
        </w:rPr>
        <w:t> </w:t>
      </w:r>
      <w:r>
        <w:rPr>
          <w:sz w:val="24"/>
        </w:rPr>
        <w:t>in</w:t>
      </w:r>
      <w:r>
        <w:rPr>
          <w:spacing w:val="-2"/>
          <w:sz w:val="24"/>
        </w:rPr>
        <w:t> </w:t>
      </w:r>
      <w:r>
        <w:rPr>
          <w:sz w:val="24"/>
        </w:rPr>
        <w:t>a</w:t>
      </w:r>
      <w:r>
        <w:rPr>
          <w:spacing w:val="-3"/>
          <w:sz w:val="24"/>
        </w:rPr>
        <w:t> </w:t>
      </w:r>
      <w:r>
        <w:rPr>
          <w:sz w:val="24"/>
        </w:rPr>
        <w:t>situation</w:t>
      </w:r>
      <w:r>
        <w:rPr>
          <w:spacing w:val="-2"/>
          <w:sz w:val="24"/>
        </w:rPr>
        <w:t> </w:t>
      </w:r>
      <w:r>
        <w:rPr>
          <w:sz w:val="24"/>
        </w:rPr>
        <w:t>that</w:t>
      </w:r>
      <w:r>
        <w:rPr>
          <w:spacing w:val="-1"/>
          <w:sz w:val="24"/>
        </w:rPr>
        <w:t> </w:t>
      </w:r>
      <w:r>
        <w:rPr>
          <w:sz w:val="24"/>
        </w:rPr>
        <w:t>endangers</w:t>
      </w:r>
      <w:r>
        <w:rPr>
          <w:spacing w:val="-3"/>
          <w:sz w:val="24"/>
        </w:rPr>
        <w:t> </w:t>
      </w:r>
      <w:r>
        <w:rPr>
          <w:sz w:val="24"/>
        </w:rPr>
        <w:t>his</w:t>
      </w:r>
      <w:r>
        <w:rPr>
          <w:spacing w:val="-2"/>
          <w:sz w:val="24"/>
        </w:rPr>
        <w:t> </w:t>
      </w:r>
      <w:r>
        <w:rPr>
          <w:sz w:val="24"/>
        </w:rPr>
        <w:t>or</w:t>
      </w:r>
      <w:r>
        <w:rPr>
          <w:spacing w:val="-1"/>
          <w:sz w:val="24"/>
        </w:rPr>
        <w:t> </w:t>
      </w:r>
      <w:r>
        <w:rPr>
          <w:sz w:val="24"/>
        </w:rPr>
        <w:t>her</w:t>
      </w:r>
      <w:r>
        <w:rPr>
          <w:spacing w:val="-2"/>
          <w:sz w:val="24"/>
        </w:rPr>
        <w:t> </w:t>
      </w:r>
      <w:r>
        <w:rPr>
          <w:sz w:val="24"/>
        </w:rPr>
        <w:t>life</w:t>
      </w:r>
      <w:r>
        <w:rPr>
          <w:spacing w:val="-2"/>
          <w:sz w:val="24"/>
        </w:rPr>
        <w:t> </w:t>
      </w:r>
      <w:r>
        <w:rPr>
          <w:sz w:val="24"/>
        </w:rPr>
        <w:t>or</w:t>
      </w:r>
      <w:r>
        <w:rPr>
          <w:spacing w:val="-4"/>
          <w:sz w:val="24"/>
        </w:rPr>
        <w:t> </w:t>
      </w:r>
      <w:r>
        <w:rPr>
          <w:sz w:val="24"/>
        </w:rPr>
        <w:t>physical</w:t>
      </w:r>
      <w:r>
        <w:rPr>
          <w:spacing w:val="-3"/>
          <w:sz w:val="24"/>
        </w:rPr>
        <w:t> </w:t>
      </w:r>
      <w:r>
        <w:rPr>
          <w:sz w:val="24"/>
        </w:rPr>
        <w:t>or</w:t>
      </w:r>
      <w:r>
        <w:rPr>
          <w:spacing w:val="-3"/>
          <w:sz w:val="24"/>
        </w:rPr>
        <w:t> </w:t>
      </w:r>
      <w:r>
        <w:rPr>
          <w:sz w:val="24"/>
        </w:rPr>
        <w:t>mental</w:t>
      </w:r>
      <w:r>
        <w:rPr>
          <w:spacing w:val="-2"/>
          <w:sz w:val="24"/>
        </w:rPr>
        <w:t> health;</w:t>
      </w:r>
    </w:p>
    <w:p>
      <w:pPr>
        <w:pStyle w:val="ListParagraph"/>
        <w:numPr>
          <w:ilvl w:val="1"/>
          <w:numId w:val="349"/>
        </w:numPr>
        <w:tabs>
          <w:tab w:pos="1217" w:val="left" w:leader="none"/>
        </w:tabs>
        <w:spacing w:line="240" w:lineRule="auto" w:before="204" w:after="0"/>
        <w:ind w:left="1217" w:right="0" w:hanging="426"/>
        <w:jc w:val="left"/>
        <w:rPr>
          <w:sz w:val="24"/>
        </w:rPr>
      </w:pPr>
      <w:r>
        <w:rPr>
          <w:sz w:val="24"/>
        </w:rPr>
        <w:t>cruelly</w:t>
      </w:r>
      <w:r>
        <w:rPr>
          <w:spacing w:val="-4"/>
          <w:sz w:val="24"/>
        </w:rPr>
        <w:t> </w:t>
      </w:r>
      <w:r>
        <w:rPr>
          <w:sz w:val="24"/>
        </w:rPr>
        <w:t>confined</w:t>
      </w:r>
      <w:r>
        <w:rPr>
          <w:spacing w:val="-4"/>
          <w:sz w:val="24"/>
        </w:rPr>
        <w:t> </w:t>
      </w:r>
      <w:r>
        <w:rPr>
          <w:sz w:val="24"/>
        </w:rPr>
        <w:t>or</w:t>
      </w:r>
      <w:r>
        <w:rPr>
          <w:spacing w:val="-3"/>
          <w:sz w:val="24"/>
        </w:rPr>
        <w:t> </w:t>
      </w:r>
      <w:r>
        <w:rPr>
          <w:sz w:val="24"/>
        </w:rPr>
        <w:t>cruelly</w:t>
      </w:r>
      <w:r>
        <w:rPr>
          <w:spacing w:val="-3"/>
          <w:sz w:val="24"/>
        </w:rPr>
        <w:t> </w:t>
      </w:r>
      <w:r>
        <w:rPr>
          <w:spacing w:val="-2"/>
          <w:sz w:val="24"/>
        </w:rPr>
        <w:t>punished;</w:t>
      </w:r>
    </w:p>
    <w:p>
      <w:pPr>
        <w:pStyle w:val="ListParagraph"/>
        <w:numPr>
          <w:ilvl w:val="1"/>
          <w:numId w:val="349"/>
        </w:numPr>
        <w:tabs>
          <w:tab w:pos="1217" w:val="left" w:leader="none"/>
        </w:tabs>
        <w:spacing w:line="240" w:lineRule="auto" w:before="204" w:after="0"/>
        <w:ind w:left="1217" w:right="0" w:hanging="426"/>
        <w:jc w:val="left"/>
        <w:rPr>
          <w:sz w:val="24"/>
        </w:rPr>
      </w:pPr>
      <w:r>
        <w:rPr>
          <w:sz w:val="24"/>
        </w:rPr>
        <w:t>deprived</w:t>
      </w:r>
      <w:r>
        <w:rPr>
          <w:spacing w:val="-4"/>
          <w:sz w:val="24"/>
        </w:rPr>
        <w:t> </w:t>
      </w:r>
      <w:r>
        <w:rPr>
          <w:sz w:val="24"/>
        </w:rPr>
        <w:t>of</w:t>
      </w:r>
      <w:r>
        <w:rPr>
          <w:spacing w:val="-3"/>
          <w:sz w:val="24"/>
        </w:rPr>
        <w:t> </w:t>
      </w:r>
      <w:r>
        <w:rPr>
          <w:sz w:val="24"/>
        </w:rPr>
        <w:t>necessary</w:t>
      </w:r>
      <w:r>
        <w:rPr>
          <w:spacing w:val="-4"/>
          <w:sz w:val="24"/>
        </w:rPr>
        <w:t> </w:t>
      </w:r>
      <w:r>
        <w:rPr>
          <w:sz w:val="24"/>
        </w:rPr>
        <w:t>food,</w:t>
      </w:r>
      <w:r>
        <w:rPr>
          <w:spacing w:val="-2"/>
          <w:sz w:val="24"/>
        </w:rPr>
        <w:t> </w:t>
      </w:r>
      <w:r>
        <w:rPr>
          <w:sz w:val="24"/>
        </w:rPr>
        <w:t>clothing,</w:t>
      </w:r>
      <w:r>
        <w:rPr>
          <w:spacing w:val="-3"/>
          <w:sz w:val="24"/>
        </w:rPr>
        <w:t> </w:t>
      </w:r>
      <w:r>
        <w:rPr>
          <w:sz w:val="24"/>
        </w:rPr>
        <w:t>shelter,</w:t>
      </w:r>
      <w:r>
        <w:rPr>
          <w:spacing w:val="-3"/>
          <w:sz w:val="24"/>
        </w:rPr>
        <w:t> </w:t>
      </w:r>
      <w:r>
        <w:rPr>
          <w:sz w:val="24"/>
        </w:rPr>
        <w:t>or</w:t>
      </w:r>
      <w:r>
        <w:rPr>
          <w:spacing w:val="-2"/>
          <w:sz w:val="24"/>
        </w:rPr>
        <w:t> care;</w:t>
      </w:r>
    </w:p>
    <w:p>
      <w:pPr>
        <w:pStyle w:val="ListParagraph"/>
        <w:numPr>
          <w:ilvl w:val="1"/>
          <w:numId w:val="349"/>
        </w:numPr>
        <w:tabs>
          <w:tab w:pos="1217" w:val="left" w:leader="none"/>
        </w:tabs>
        <w:spacing w:line="240" w:lineRule="auto" w:before="204" w:after="0"/>
        <w:ind w:left="1217" w:right="0" w:hanging="426"/>
        <w:jc w:val="left"/>
        <w:rPr>
          <w:sz w:val="24"/>
        </w:rPr>
      </w:pPr>
      <w:r>
        <w:rPr>
          <w:sz w:val="24"/>
        </w:rPr>
        <w:t>left</w:t>
      </w:r>
      <w:r>
        <w:rPr>
          <w:spacing w:val="-2"/>
          <w:sz w:val="24"/>
        </w:rPr>
        <w:t> unattended;</w:t>
      </w:r>
    </w:p>
    <w:p>
      <w:pPr>
        <w:pStyle w:val="ListParagraph"/>
        <w:numPr>
          <w:ilvl w:val="1"/>
          <w:numId w:val="349"/>
        </w:numPr>
        <w:tabs>
          <w:tab w:pos="1217" w:val="left" w:leader="none"/>
        </w:tabs>
        <w:spacing w:line="240" w:lineRule="auto" w:before="204" w:after="0"/>
        <w:ind w:left="1217" w:right="0" w:hanging="426"/>
        <w:jc w:val="left"/>
        <w:rPr>
          <w:sz w:val="24"/>
        </w:rPr>
      </w:pPr>
      <w:r>
        <w:rPr>
          <w:sz w:val="24"/>
        </w:rPr>
        <w:t>physically</w:t>
      </w:r>
      <w:r>
        <w:rPr>
          <w:spacing w:val="-7"/>
          <w:sz w:val="24"/>
        </w:rPr>
        <w:t> </w:t>
      </w:r>
      <w:r>
        <w:rPr>
          <w:sz w:val="24"/>
        </w:rPr>
        <w:t>manhandled</w:t>
      </w:r>
      <w:r>
        <w:rPr>
          <w:spacing w:val="-5"/>
          <w:sz w:val="24"/>
        </w:rPr>
        <w:t> </w:t>
      </w:r>
      <w:r>
        <w:rPr>
          <w:sz w:val="24"/>
        </w:rPr>
        <w:t>resulting</w:t>
      </w:r>
      <w:r>
        <w:rPr>
          <w:spacing w:val="-4"/>
          <w:sz w:val="24"/>
        </w:rPr>
        <w:t> </w:t>
      </w:r>
      <w:r>
        <w:rPr>
          <w:sz w:val="24"/>
        </w:rPr>
        <w:t>in</w:t>
      </w:r>
      <w:r>
        <w:rPr>
          <w:spacing w:val="-5"/>
          <w:sz w:val="24"/>
        </w:rPr>
        <w:t> </w:t>
      </w:r>
      <w:r>
        <w:rPr>
          <w:sz w:val="24"/>
        </w:rPr>
        <w:t>bruises;</w:t>
      </w:r>
      <w:r>
        <w:rPr>
          <w:spacing w:val="-3"/>
          <w:sz w:val="24"/>
        </w:rPr>
        <w:t> </w:t>
      </w:r>
      <w:r>
        <w:rPr>
          <w:spacing w:val="-5"/>
          <w:sz w:val="24"/>
        </w:rPr>
        <w:t>or</w:t>
      </w:r>
    </w:p>
    <w:p>
      <w:pPr>
        <w:pStyle w:val="ListParagraph"/>
        <w:numPr>
          <w:ilvl w:val="1"/>
          <w:numId w:val="349"/>
        </w:numPr>
        <w:tabs>
          <w:tab w:pos="1217" w:val="left" w:leader="none"/>
        </w:tabs>
        <w:spacing w:line="240" w:lineRule="auto" w:before="204" w:after="0"/>
        <w:ind w:left="1217" w:right="0" w:hanging="426"/>
        <w:jc w:val="left"/>
        <w:rPr>
          <w:sz w:val="24"/>
        </w:rPr>
      </w:pPr>
      <w:r>
        <w:rPr>
          <w:sz w:val="24"/>
        </w:rPr>
        <w:t>sexually</w:t>
      </w:r>
      <w:r>
        <w:rPr>
          <w:spacing w:val="-5"/>
          <w:sz w:val="24"/>
        </w:rPr>
        <w:t> </w:t>
      </w:r>
      <w:r>
        <w:rPr>
          <w:spacing w:val="-2"/>
          <w:sz w:val="24"/>
        </w:rPr>
        <w:t>abused.</w:t>
      </w:r>
    </w:p>
    <w:p>
      <w:pPr>
        <w:pStyle w:val="ListParagraph"/>
        <w:numPr>
          <w:ilvl w:val="0"/>
          <w:numId w:val="349"/>
        </w:numPr>
        <w:tabs>
          <w:tab w:pos="772" w:val="left" w:leader="none"/>
        </w:tabs>
        <w:spacing w:line="208" w:lineRule="auto" w:before="234" w:after="0"/>
        <w:ind w:left="359" w:right="751" w:firstLine="0"/>
        <w:jc w:val="left"/>
        <w:rPr>
          <w:sz w:val="24"/>
        </w:rPr>
      </w:pPr>
      <w:r>
        <w:rPr>
          <w:sz w:val="24"/>
        </w:rPr>
        <w:t>Inappropriate body contact may be defined as sexual contact such as fondling of sexual</w:t>
      </w:r>
      <w:r>
        <w:rPr>
          <w:spacing w:val="-4"/>
          <w:sz w:val="24"/>
        </w:rPr>
        <w:t> </w:t>
      </w:r>
      <w:r>
        <w:rPr>
          <w:sz w:val="24"/>
        </w:rPr>
        <w:t>body</w:t>
      </w:r>
      <w:r>
        <w:rPr>
          <w:spacing w:val="-4"/>
          <w:sz w:val="24"/>
        </w:rPr>
        <w:t> </w:t>
      </w:r>
      <w:r>
        <w:rPr>
          <w:sz w:val="24"/>
        </w:rPr>
        <w:t>parts</w:t>
      </w:r>
      <w:r>
        <w:rPr>
          <w:spacing w:val="-4"/>
          <w:sz w:val="24"/>
        </w:rPr>
        <w:t> </w:t>
      </w:r>
      <w:r>
        <w:rPr>
          <w:sz w:val="24"/>
        </w:rPr>
        <w:t>and</w:t>
      </w:r>
      <w:r>
        <w:rPr>
          <w:spacing w:val="-5"/>
          <w:sz w:val="24"/>
        </w:rPr>
        <w:t> </w:t>
      </w:r>
      <w:r>
        <w:rPr>
          <w:sz w:val="24"/>
        </w:rPr>
        <w:t>sexual</w:t>
      </w:r>
      <w:r>
        <w:rPr>
          <w:spacing w:val="-4"/>
          <w:sz w:val="24"/>
        </w:rPr>
        <w:t> </w:t>
      </w:r>
      <w:r>
        <w:rPr>
          <w:sz w:val="24"/>
        </w:rPr>
        <w:t>relations.</w:t>
      </w:r>
      <w:r>
        <w:rPr>
          <w:spacing w:val="-3"/>
          <w:sz w:val="24"/>
        </w:rPr>
        <w:t> </w:t>
      </w:r>
      <w:r>
        <w:rPr>
          <w:sz w:val="24"/>
        </w:rPr>
        <w:t>Inappropriate</w:t>
      </w:r>
      <w:r>
        <w:rPr>
          <w:spacing w:val="-4"/>
          <w:sz w:val="24"/>
        </w:rPr>
        <w:t> </w:t>
      </w:r>
      <w:r>
        <w:rPr>
          <w:sz w:val="24"/>
        </w:rPr>
        <w:t>body</w:t>
      </w:r>
      <w:r>
        <w:rPr>
          <w:spacing w:val="-4"/>
          <w:sz w:val="24"/>
        </w:rPr>
        <w:t> </w:t>
      </w:r>
      <w:r>
        <w:rPr>
          <w:sz w:val="24"/>
        </w:rPr>
        <w:t>contact</w:t>
      </w:r>
      <w:r>
        <w:rPr>
          <w:spacing w:val="-3"/>
          <w:sz w:val="24"/>
        </w:rPr>
        <w:t> </w:t>
      </w:r>
      <w:r>
        <w:rPr>
          <w:sz w:val="24"/>
        </w:rPr>
        <w:t>could</w:t>
      </w:r>
      <w:r>
        <w:rPr>
          <w:spacing w:val="-4"/>
          <w:sz w:val="24"/>
        </w:rPr>
        <w:t> </w:t>
      </w:r>
      <w:r>
        <w:rPr>
          <w:sz w:val="24"/>
        </w:rPr>
        <w:t>occur</w:t>
      </w:r>
      <w:r>
        <w:rPr>
          <w:spacing w:val="-3"/>
          <w:sz w:val="24"/>
        </w:rPr>
        <w:t> </w:t>
      </w:r>
      <w:r>
        <w:rPr>
          <w:sz w:val="24"/>
        </w:rPr>
        <w:t>between a child and adult, between two children of similar age, or between a younger and an older child with a three or more year age difference.</w:t>
      </w:r>
    </w:p>
    <w:p>
      <w:pPr>
        <w:pStyle w:val="ListParagraph"/>
        <w:numPr>
          <w:ilvl w:val="0"/>
          <w:numId w:val="349"/>
        </w:numPr>
        <w:tabs>
          <w:tab w:pos="785" w:val="left" w:leader="none"/>
        </w:tabs>
        <w:spacing w:line="208" w:lineRule="auto" w:before="239" w:after="0"/>
        <w:ind w:left="359" w:right="724" w:firstLine="0"/>
        <w:jc w:val="left"/>
        <w:rPr>
          <w:sz w:val="24"/>
        </w:rPr>
      </w:pPr>
      <w:r>
        <w:rPr>
          <w:sz w:val="24"/>
        </w:rPr>
        <w:t>Recognizing signs of possible abuse, neglect or inappropriate body contact is a matter of degree. Many of the examples given in this Subsection can be observed to some</w:t>
      </w:r>
      <w:r>
        <w:rPr>
          <w:spacing w:val="-4"/>
          <w:sz w:val="24"/>
        </w:rPr>
        <w:t> </w:t>
      </w:r>
      <w:r>
        <w:rPr>
          <w:sz w:val="24"/>
        </w:rPr>
        <w:t>degree</w:t>
      </w:r>
      <w:r>
        <w:rPr>
          <w:spacing w:val="-4"/>
          <w:sz w:val="24"/>
        </w:rPr>
        <w:t> </w:t>
      </w:r>
      <w:r>
        <w:rPr>
          <w:sz w:val="24"/>
        </w:rPr>
        <w:t>in</w:t>
      </w:r>
      <w:r>
        <w:rPr>
          <w:spacing w:val="-4"/>
          <w:sz w:val="24"/>
        </w:rPr>
        <w:t> </w:t>
      </w:r>
      <w:r>
        <w:rPr>
          <w:sz w:val="24"/>
        </w:rPr>
        <w:t>persons</w:t>
      </w:r>
      <w:r>
        <w:rPr>
          <w:spacing w:val="-4"/>
          <w:sz w:val="24"/>
        </w:rPr>
        <w:t> </w:t>
      </w:r>
      <w:r>
        <w:rPr>
          <w:sz w:val="24"/>
        </w:rPr>
        <w:t>who</w:t>
      </w:r>
      <w:r>
        <w:rPr>
          <w:spacing w:val="-4"/>
          <w:sz w:val="24"/>
        </w:rPr>
        <w:t> </w:t>
      </w:r>
      <w:r>
        <w:rPr>
          <w:sz w:val="24"/>
        </w:rPr>
        <w:t>are</w:t>
      </w:r>
      <w:r>
        <w:rPr>
          <w:spacing w:val="-4"/>
          <w:sz w:val="24"/>
        </w:rPr>
        <w:t> </w:t>
      </w:r>
      <w:r>
        <w:rPr>
          <w:sz w:val="24"/>
        </w:rPr>
        <w:t>not</w:t>
      </w:r>
      <w:r>
        <w:rPr>
          <w:spacing w:val="-3"/>
          <w:sz w:val="24"/>
        </w:rPr>
        <w:t> </w:t>
      </w:r>
      <w:r>
        <w:rPr>
          <w:sz w:val="24"/>
        </w:rPr>
        <w:t>experiencing</w:t>
      </w:r>
      <w:r>
        <w:rPr>
          <w:spacing w:val="-4"/>
          <w:sz w:val="24"/>
        </w:rPr>
        <w:t> </w:t>
      </w:r>
      <w:r>
        <w:rPr>
          <w:sz w:val="24"/>
        </w:rPr>
        <w:t>abuse,</w:t>
      </w:r>
      <w:r>
        <w:rPr>
          <w:spacing w:val="-3"/>
          <w:sz w:val="24"/>
        </w:rPr>
        <w:t> </w:t>
      </w:r>
      <w:r>
        <w:rPr>
          <w:sz w:val="24"/>
        </w:rPr>
        <w:t>neglect,</w:t>
      </w:r>
      <w:r>
        <w:rPr>
          <w:spacing w:val="-3"/>
          <w:sz w:val="24"/>
        </w:rPr>
        <w:t> </w:t>
      </w:r>
      <w:r>
        <w:rPr>
          <w:sz w:val="24"/>
        </w:rPr>
        <w:t>or</w:t>
      </w:r>
      <w:r>
        <w:rPr>
          <w:spacing w:val="-3"/>
          <w:sz w:val="24"/>
        </w:rPr>
        <w:t> </w:t>
      </w:r>
      <w:r>
        <w:rPr>
          <w:sz w:val="24"/>
        </w:rPr>
        <w:t>inappropriate</w:t>
      </w:r>
      <w:r>
        <w:rPr>
          <w:spacing w:val="-4"/>
          <w:sz w:val="24"/>
        </w:rPr>
        <w:t> </w:t>
      </w:r>
      <w:r>
        <w:rPr>
          <w:sz w:val="24"/>
        </w:rPr>
        <w:t>body contact. Indications of possible abuse, neglect, or inappropriate body contact are strongest when such signs make up a prevailing pattern, or represent a sudden</w:t>
      </w:r>
      <w:r>
        <w:rPr>
          <w:spacing w:val="40"/>
          <w:sz w:val="24"/>
        </w:rPr>
        <w:t> </w:t>
      </w:r>
      <w:r>
        <w:rPr>
          <w:sz w:val="24"/>
        </w:rPr>
        <w:t>dramatic change in a student's condition or behavior.</w:t>
      </w:r>
      <w:r>
        <w:rPr>
          <w:spacing w:val="40"/>
          <w:sz w:val="24"/>
        </w:rPr>
        <w:t> </w:t>
      </w:r>
      <w:r>
        <w:rPr>
          <w:sz w:val="24"/>
        </w:rPr>
        <w:t>Examples of signs of abuse, neglect, or inappropriate body contact are given in Paragraphs (1) through (17):</w:t>
      </w:r>
    </w:p>
    <w:p>
      <w:pPr>
        <w:pStyle w:val="ListParagraph"/>
        <w:numPr>
          <w:ilvl w:val="1"/>
          <w:numId w:val="349"/>
        </w:numPr>
        <w:tabs>
          <w:tab w:pos="1217" w:val="left" w:leader="none"/>
        </w:tabs>
        <w:spacing w:line="240" w:lineRule="auto" w:before="210" w:after="0"/>
        <w:ind w:left="1217" w:right="0" w:hanging="426"/>
        <w:jc w:val="left"/>
        <w:rPr>
          <w:sz w:val="24"/>
        </w:rPr>
      </w:pPr>
      <w:r>
        <w:rPr>
          <w:spacing w:val="-2"/>
          <w:sz w:val="24"/>
        </w:rPr>
        <w:t>bruises;</w:t>
      </w:r>
    </w:p>
    <w:p>
      <w:pPr>
        <w:pStyle w:val="ListParagraph"/>
        <w:numPr>
          <w:ilvl w:val="1"/>
          <w:numId w:val="349"/>
        </w:numPr>
        <w:tabs>
          <w:tab w:pos="1217" w:val="left" w:leader="none"/>
        </w:tabs>
        <w:spacing w:line="240" w:lineRule="auto" w:before="204" w:after="0"/>
        <w:ind w:left="1217" w:right="0" w:hanging="426"/>
        <w:jc w:val="left"/>
        <w:rPr>
          <w:sz w:val="24"/>
        </w:rPr>
      </w:pPr>
      <w:r>
        <w:rPr>
          <w:sz w:val="24"/>
        </w:rPr>
        <w:t>sudden</w:t>
      </w:r>
      <w:r>
        <w:rPr>
          <w:spacing w:val="-3"/>
          <w:sz w:val="24"/>
        </w:rPr>
        <w:t> </w:t>
      </w:r>
      <w:r>
        <w:rPr>
          <w:sz w:val="24"/>
        </w:rPr>
        <w:t>change</w:t>
      </w:r>
      <w:r>
        <w:rPr>
          <w:spacing w:val="-2"/>
          <w:sz w:val="24"/>
        </w:rPr>
        <w:t> </w:t>
      </w:r>
      <w:r>
        <w:rPr>
          <w:sz w:val="24"/>
        </w:rPr>
        <w:t>in</w:t>
      </w:r>
      <w:r>
        <w:rPr>
          <w:spacing w:val="-3"/>
          <w:sz w:val="24"/>
        </w:rPr>
        <w:t> </w:t>
      </w:r>
      <w:r>
        <w:rPr>
          <w:sz w:val="24"/>
        </w:rPr>
        <w:t>mood</w:t>
      </w:r>
      <w:r>
        <w:rPr>
          <w:spacing w:val="-2"/>
          <w:sz w:val="24"/>
        </w:rPr>
        <w:t> </w:t>
      </w:r>
      <w:r>
        <w:rPr>
          <w:sz w:val="24"/>
        </w:rPr>
        <w:t>or</w:t>
      </w:r>
      <w:r>
        <w:rPr>
          <w:spacing w:val="-1"/>
          <w:sz w:val="24"/>
        </w:rPr>
        <w:t> </w:t>
      </w:r>
      <w:r>
        <w:rPr>
          <w:spacing w:val="-2"/>
          <w:sz w:val="24"/>
        </w:rPr>
        <w:t>personality;</w:t>
      </w:r>
    </w:p>
    <w:p>
      <w:pPr>
        <w:pStyle w:val="ListParagraph"/>
        <w:numPr>
          <w:ilvl w:val="1"/>
          <w:numId w:val="349"/>
        </w:numPr>
        <w:tabs>
          <w:tab w:pos="1217" w:val="left" w:leader="none"/>
        </w:tabs>
        <w:spacing w:line="240" w:lineRule="auto" w:before="204" w:after="0"/>
        <w:ind w:left="1217" w:right="0" w:hanging="426"/>
        <w:jc w:val="left"/>
        <w:rPr>
          <w:sz w:val="24"/>
        </w:rPr>
      </w:pPr>
      <w:r>
        <w:rPr>
          <w:sz w:val="24"/>
        </w:rPr>
        <w:t>sudden</w:t>
      </w:r>
      <w:r>
        <w:rPr>
          <w:spacing w:val="-3"/>
          <w:sz w:val="24"/>
        </w:rPr>
        <w:t> </w:t>
      </w:r>
      <w:r>
        <w:rPr>
          <w:sz w:val="24"/>
        </w:rPr>
        <w:t>change</w:t>
      </w:r>
      <w:r>
        <w:rPr>
          <w:spacing w:val="-3"/>
          <w:sz w:val="24"/>
        </w:rPr>
        <w:t> </w:t>
      </w:r>
      <w:r>
        <w:rPr>
          <w:sz w:val="24"/>
        </w:rPr>
        <w:t>in</w:t>
      </w:r>
      <w:r>
        <w:rPr>
          <w:spacing w:val="-3"/>
          <w:sz w:val="24"/>
        </w:rPr>
        <w:t> </w:t>
      </w:r>
      <w:r>
        <w:rPr>
          <w:sz w:val="24"/>
        </w:rPr>
        <w:t>school</w:t>
      </w:r>
      <w:r>
        <w:rPr>
          <w:spacing w:val="-3"/>
          <w:sz w:val="24"/>
        </w:rPr>
        <w:t> </w:t>
      </w:r>
      <w:r>
        <w:rPr>
          <w:spacing w:val="-2"/>
          <w:sz w:val="24"/>
        </w:rPr>
        <w:t>performance;</w:t>
      </w:r>
    </w:p>
    <w:p>
      <w:pPr>
        <w:pStyle w:val="ListParagraph"/>
        <w:numPr>
          <w:ilvl w:val="1"/>
          <w:numId w:val="349"/>
        </w:numPr>
        <w:tabs>
          <w:tab w:pos="1217" w:val="left" w:leader="none"/>
        </w:tabs>
        <w:spacing w:line="240" w:lineRule="auto" w:before="204" w:after="0"/>
        <w:ind w:left="1217" w:right="0" w:hanging="426"/>
        <w:jc w:val="left"/>
        <w:rPr>
          <w:sz w:val="24"/>
        </w:rPr>
      </w:pPr>
      <w:r>
        <w:rPr>
          <w:sz w:val="24"/>
        </w:rPr>
        <w:t>withdrawal</w:t>
      </w:r>
      <w:r>
        <w:rPr>
          <w:spacing w:val="-6"/>
          <w:sz w:val="24"/>
        </w:rPr>
        <w:t> </w:t>
      </w:r>
      <w:r>
        <w:rPr>
          <w:sz w:val="24"/>
        </w:rPr>
        <w:t>from</w:t>
      </w:r>
      <w:r>
        <w:rPr>
          <w:spacing w:val="-2"/>
          <w:sz w:val="24"/>
        </w:rPr>
        <w:t> </w:t>
      </w:r>
      <w:r>
        <w:rPr>
          <w:sz w:val="24"/>
        </w:rPr>
        <w:t>social</w:t>
      </w:r>
      <w:r>
        <w:rPr>
          <w:spacing w:val="-3"/>
          <w:sz w:val="24"/>
        </w:rPr>
        <w:t> </w:t>
      </w:r>
      <w:r>
        <w:rPr>
          <w:sz w:val="24"/>
        </w:rPr>
        <w:t>contact</w:t>
      </w:r>
      <w:r>
        <w:rPr>
          <w:spacing w:val="-2"/>
          <w:sz w:val="24"/>
        </w:rPr>
        <w:t> </w:t>
      </w:r>
      <w:r>
        <w:rPr>
          <w:sz w:val="24"/>
        </w:rPr>
        <w:t>with</w:t>
      </w:r>
      <w:r>
        <w:rPr>
          <w:spacing w:val="-3"/>
          <w:sz w:val="24"/>
        </w:rPr>
        <w:t> </w:t>
      </w:r>
      <w:r>
        <w:rPr>
          <w:sz w:val="24"/>
        </w:rPr>
        <w:t>peers</w:t>
      </w:r>
      <w:r>
        <w:rPr>
          <w:spacing w:val="-3"/>
          <w:sz w:val="24"/>
        </w:rPr>
        <w:t> </w:t>
      </w:r>
      <w:r>
        <w:rPr>
          <w:sz w:val="24"/>
        </w:rPr>
        <w:t>or</w:t>
      </w:r>
      <w:r>
        <w:rPr>
          <w:spacing w:val="-2"/>
          <w:sz w:val="24"/>
        </w:rPr>
        <w:t> </w:t>
      </w:r>
      <w:r>
        <w:rPr>
          <w:sz w:val="24"/>
        </w:rPr>
        <w:t>adult</w:t>
      </w:r>
      <w:r>
        <w:rPr>
          <w:spacing w:val="-2"/>
          <w:sz w:val="24"/>
        </w:rPr>
        <w:t> </w:t>
      </w:r>
      <w:r>
        <w:rPr>
          <w:sz w:val="24"/>
        </w:rPr>
        <w:t>care</w:t>
      </w:r>
      <w:r>
        <w:rPr>
          <w:spacing w:val="-3"/>
          <w:sz w:val="24"/>
        </w:rPr>
        <w:t> </w:t>
      </w:r>
      <w:r>
        <w:rPr>
          <w:spacing w:val="-2"/>
          <w:sz w:val="24"/>
        </w:rPr>
        <w:t>takers;</w:t>
      </w:r>
    </w:p>
    <w:p>
      <w:pPr>
        <w:pStyle w:val="ListParagraph"/>
        <w:numPr>
          <w:ilvl w:val="1"/>
          <w:numId w:val="349"/>
        </w:numPr>
        <w:tabs>
          <w:tab w:pos="1217" w:val="left" w:leader="none"/>
        </w:tabs>
        <w:spacing w:line="240" w:lineRule="auto" w:before="204" w:after="0"/>
        <w:ind w:left="1217" w:right="0" w:hanging="426"/>
        <w:jc w:val="left"/>
        <w:rPr>
          <w:sz w:val="24"/>
        </w:rPr>
      </w:pPr>
      <w:r>
        <w:rPr>
          <w:sz w:val="24"/>
        </w:rPr>
        <w:t>acting</w:t>
      </w:r>
      <w:r>
        <w:rPr>
          <w:spacing w:val="-6"/>
          <w:sz w:val="24"/>
        </w:rPr>
        <w:t> </w:t>
      </w:r>
      <w:r>
        <w:rPr>
          <w:sz w:val="24"/>
        </w:rPr>
        <w:t>out</w:t>
      </w:r>
      <w:r>
        <w:rPr>
          <w:spacing w:val="-3"/>
          <w:sz w:val="24"/>
        </w:rPr>
        <w:t> </w:t>
      </w:r>
      <w:r>
        <w:rPr>
          <w:sz w:val="24"/>
        </w:rPr>
        <w:t>behaviors</w:t>
      </w:r>
      <w:r>
        <w:rPr>
          <w:spacing w:val="-4"/>
          <w:sz w:val="24"/>
        </w:rPr>
        <w:t> </w:t>
      </w:r>
      <w:r>
        <w:rPr>
          <w:sz w:val="24"/>
        </w:rPr>
        <w:t>such</w:t>
      </w:r>
      <w:r>
        <w:rPr>
          <w:spacing w:val="-4"/>
          <w:sz w:val="24"/>
        </w:rPr>
        <w:t> </w:t>
      </w:r>
      <w:r>
        <w:rPr>
          <w:sz w:val="24"/>
        </w:rPr>
        <w:t>as</w:t>
      </w:r>
      <w:r>
        <w:rPr>
          <w:spacing w:val="-4"/>
          <w:sz w:val="24"/>
        </w:rPr>
        <w:t> </w:t>
      </w:r>
      <w:r>
        <w:rPr>
          <w:sz w:val="24"/>
        </w:rPr>
        <w:t>fighting,</w:t>
      </w:r>
      <w:r>
        <w:rPr>
          <w:spacing w:val="-3"/>
          <w:sz w:val="24"/>
        </w:rPr>
        <w:t> </w:t>
      </w:r>
      <w:r>
        <w:rPr>
          <w:sz w:val="24"/>
        </w:rPr>
        <w:t>exhibitionism,</w:t>
      </w:r>
      <w:r>
        <w:rPr>
          <w:spacing w:val="-3"/>
          <w:sz w:val="24"/>
        </w:rPr>
        <w:t> </w:t>
      </w:r>
      <w:r>
        <w:rPr>
          <w:sz w:val="24"/>
        </w:rPr>
        <w:t>drug</w:t>
      </w:r>
      <w:r>
        <w:rPr>
          <w:spacing w:val="-4"/>
          <w:sz w:val="24"/>
        </w:rPr>
        <w:t> </w:t>
      </w:r>
      <w:r>
        <w:rPr>
          <w:sz w:val="24"/>
        </w:rPr>
        <w:t>usage,</w:t>
      </w:r>
      <w:r>
        <w:rPr>
          <w:spacing w:val="-3"/>
          <w:sz w:val="24"/>
        </w:rPr>
        <w:t> </w:t>
      </w:r>
      <w:r>
        <w:rPr>
          <w:sz w:val="24"/>
        </w:rPr>
        <w:t>running</w:t>
      </w:r>
      <w:r>
        <w:rPr>
          <w:spacing w:val="-3"/>
          <w:sz w:val="24"/>
        </w:rPr>
        <w:t> </w:t>
      </w:r>
      <w:r>
        <w:rPr>
          <w:spacing w:val="-2"/>
          <w:sz w:val="24"/>
        </w:rPr>
        <w:t>away;</w:t>
      </w:r>
    </w:p>
    <w:p>
      <w:pPr>
        <w:pStyle w:val="ListParagraph"/>
        <w:numPr>
          <w:ilvl w:val="1"/>
          <w:numId w:val="349"/>
        </w:numPr>
        <w:tabs>
          <w:tab w:pos="1218" w:val="left" w:leader="none"/>
        </w:tabs>
        <w:spacing w:line="240" w:lineRule="auto" w:before="204" w:after="0"/>
        <w:ind w:left="1218" w:right="0" w:hanging="426"/>
        <w:jc w:val="left"/>
        <w:rPr>
          <w:sz w:val="24"/>
        </w:rPr>
      </w:pPr>
      <w:r>
        <w:rPr>
          <w:sz w:val="24"/>
        </w:rPr>
        <w:t>seductive</w:t>
      </w:r>
      <w:r>
        <w:rPr>
          <w:spacing w:val="-7"/>
          <w:sz w:val="24"/>
        </w:rPr>
        <w:t> </w:t>
      </w:r>
      <w:r>
        <w:rPr>
          <w:sz w:val="24"/>
        </w:rPr>
        <w:t>behaviors</w:t>
      </w:r>
      <w:r>
        <w:rPr>
          <w:spacing w:val="-4"/>
          <w:sz w:val="24"/>
        </w:rPr>
        <w:t> </w:t>
      </w:r>
      <w:r>
        <w:rPr>
          <w:sz w:val="24"/>
        </w:rPr>
        <w:t>learned</w:t>
      </w:r>
      <w:r>
        <w:rPr>
          <w:spacing w:val="-4"/>
          <w:sz w:val="24"/>
        </w:rPr>
        <w:t> </w:t>
      </w:r>
      <w:r>
        <w:rPr>
          <w:sz w:val="24"/>
        </w:rPr>
        <w:t>from</w:t>
      </w:r>
      <w:r>
        <w:rPr>
          <w:spacing w:val="-3"/>
          <w:sz w:val="24"/>
        </w:rPr>
        <w:t> </w:t>
      </w:r>
      <w:r>
        <w:rPr>
          <w:sz w:val="24"/>
        </w:rPr>
        <w:t>being</w:t>
      </w:r>
      <w:r>
        <w:rPr>
          <w:spacing w:val="-4"/>
          <w:sz w:val="24"/>
        </w:rPr>
        <w:t> </w:t>
      </w:r>
      <w:r>
        <w:rPr>
          <w:sz w:val="24"/>
        </w:rPr>
        <w:t>sexually</w:t>
      </w:r>
      <w:r>
        <w:rPr>
          <w:spacing w:val="-4"/>
          <w:sz w:val="24"/>
        </w:rPr>
        <w:t> </w:t>
      </w:r>
      <w:r>
        <w:rPr>
          <w:spacing w:val="-2"/>
          <w:sz w:val="24"/>
        </w:rPr>
        <w:t>abused;</w:t>
      </w:r>
    </w:p>
    <w:p>
      <w:pPr>
        <w:pStyle w:val="ListParagraph"/>
        <w:spacing w:after="0" w:line="240" w:lineRule="auto"/>
        <w:jc w:val="left"/>
        <w:rPr>
          <w:sz w:val="24"/>
        </w:rPr>
        <w:sectPr>
          <w:pgSz w:w="12240" w:h="15840"/>
          <w:pgMar w:top="1340" w:bottom="280" w:left="1080" w:right="720"/>
        </w:sectPr>
      </w:pPr>
    </w:p>
    <w:p>
      <w:pPr>
        <w:pStyle w:val="ListParagraph"/>
        <w:numPr>
          <w:ilvl w:val="1"/>
          <w:numId w:val="349"/>
        </w:numPr>
        <w:tabs>
          <w:tab w:pos="1217" w:val="left" w:leader="none"/>
        </w:tabs>
        <w:spacing w:line="240" w:lineRule="auto" w:before="67" w:after="0"/>
        <w:ind w:left="1217" w:right="0" w:hanging="426"/>
        <w:jc w:val="left"/>
        <w:rPr>
          <w:sz w:val="24"/>
        </w:rPr>
      </w:pPr>
      <w:r>
        <w:rPr>
          <w:sz w:val="24"/>
        </w:rPr>
        <w:t>aversion</w:t>
      </w:r>
      <w:r>
        <w:rPr>
          <w:spacing w:val="-4"/>
          <w:sz w:val="24"/>
        </w:rPr>
        <w:t> </w:t>
      </w:r>
      <w:r>
        <w:rPr>
          <w:sz w:val="24"/>
        </w:rPr>
        <w:t>to</w:t>
      </w:r>
      <w:r>
        <w:rPr>
          <w:spacing w:val="-4"/>
          <w:sz w:val="24"/>
        </w:rPr>
        <w:t> </w:t>
      </w:r>
      <w:r>
        <w:rPr>
          <w:sz w:val="24"/>
        </w:rPr>
        <w:t>appropriate</w:t>
      </w:r>
      <w:r>
        <w:rPr>
          <w:spacing w:val="-3"/>
          <w:sz w:val="24"/>
        </w:rPr>
        <w:t> </w:t>
      </w:r>
      <w:r>
        <w:rPr>
          <w:sz w:val="24"/>
        </w:rPr>
        <w:t>touching</w:t>
      </w:r>
      <w:r>
        <w:rPr>
          <w:spacing w:val="-4"/>
          <w:sz w:val="24"/>
        </w:rPr>
        <w:t> </w:t>
      </w:r>
      <w:r>
        <w:rPr>
          <w:sz w:val="24"/>
        </w:rPr>
        <w:t>or</w:t>
      </w:r>
      <w:r>
        <w:rPr>
          <w:spacing w:val="-2"/>
          <w:sz w:val="24"/>
        </w:rPr>
        <w:t> closeness;</w:t>
      </w:r>
    </w:p>
    <w:p>
      <w:pPr>
        <w:pStyle w:val="ListParagraph"/>
        <w:numPr>
          <w:ilvl w:val="1"/>
          <w:numId w:val="349"/>
        </w:numPr>
        <w:tabs>
          <w:tab w:pos="1218" w:val="left" w:leader="none"/>
        </w:tabs>
        <w:spacing w:line="240" w:lineRule="auto" w:before="204" w:after="0"/>
        <w:ind w:left="1218" w:right="0" w:hanging="426"/>
        <w:jc w:val="left"/>
        <w:rPr>
          <w:sz w:val="24"/>
        </w:rPr>
      </w:pPr>
      <w:r>
        <w:rPr>
          <w:spacing w:val="-2"/>
          <w:sz w:val="24"/>
        </w:rPr>
        <w:t>listlessness;</w:t>
      </w:r>
    </w:p>
    <w:p>
      <w:pPr>
        <w:pStyle w:val="ListParagraph"/>
        <w:numPr>
          <w:ilvl w:val="1"/>
          <w:numId w:val="349"/>
        </w:numPr>
        <w:tabs>
          <w:tab w:pos="1218" w:val="left" w:leader="none"/>
        </w:tabs>
        <w:spacing w:line="240" w:lineRule="auto" w:before="204" w:after="0"/>
        <w:ind w:left="1218" w:right="0" w:hanging="426"/>
        <w:jc w:val="left"/>
        <w:rPr>
          <w:sz w:val="24"/>
        </w:rPr>
      </w:pPr>
      <w:r>
        <w:rPr>
          <w:sz w:val="24"/>
        </w:rPr>
        <w:t>psychosomatic</w:t>
      </w:r>
      <w:r>
        <w:rPr>
          <w:spacing w:val="-11"/>
          <w:sz w:val="24"/>
        </w:rPr>
        <w:t> </w:t>
      </w:r>
      <w:r>
        <w:rPr>
          <w:spacing w:val="-2"/>
          <w:sz w:val="24"/>
        </w:rPr>
        <w:t>illnesses;</w:t>
      </w:r>
    </w:p>
    <w:p>
      <w:pPr>
        <w:pStyle w:val="ListParagraph"/>
        <w:numPr>
          <w:ilvl w:val="1"/>
          <w:numId w:val="349"/>
        </w:numPr>
        <w:tabs>
          <w:tab w:pos="1351" w:val="left" w:leader="none"/>
        </w:tabs>
        <w:spacing w:line="240" w:lineRule="auto" w:before="204" w:after="0"/>
        <w:ind w:left="1351" w:right="0" w:hanging="559"/>
        <w:jc w:val="left"/>
        <w:rPr>
          <w:sz w:val="24"/>
        </w:rPr>
      </w:pPr>
      <w:r>
        <w:rPr>
          <w:sz w:val="24"/>
        </w:rPr>
        <w:t>unusually</w:t>
      </w:r>
      <w:r>
        <w:rPr>
          <w:spacing w:val="-4"/>
          <w:sz w:val="24"/>
        </w:rPr>
        <w:t> </w:t>
      </w:r>
      <w:r>
        <w:rPr>
          <w:sz w:val="24"/>
        </w:rPr>
        <w:t>fearful</w:t>
      </w:r>
      <w:r>
        <w:rPr>
          <w:spacing w:val="-3"/>
          <w:sz w:val="24"/>
        </w:rPr>
        <w:t> </w:t>
      </w:r>
      <w:r>
        <w:rPr>
          <w:sz w:val="24"/>
        </w:rPr>
        <w:t>and</w:t>
      </w:r>
      <w:r>
        <w:rPr>
          <w:spacing w:val="-4"/>
          <w:sz w:val="24"/>
        </w:rPr>
        <w:t> </w:t>
      </w:r>
      <w:r>
        <w:rPr>
          <w:sz w:val="24"/>
        </w:rPr>
        <w:t>distrustful</w:t>
      </w:r>
      <w:r>
        <w:rPr>
          <w:spacing w:val="-3"/>
          <w:sz w:val="24"/>
        </w:rPr>
        <w:t> </w:t>
      </w:r>
      <w:r>
        <w:rPr>
          <w:sz w:val="24"/>
        </w:rPr>
        <w:t>of</w:t>
      </w:r>
      <w:r>
        <w:rPr>
          <w:spacing w:val="-2"/>
          <w:sz w:val="24"/>
        </w:rPr>
        <w:t> adults;</w:t>
      </w:r>
    </w:p>
    <w:p>
      <w:pPr>
        <w:pStyle w:val="ListParagraph"/>
        <w:numPr>
          <w:ilvl w:val="1"/>
          <w:numId w:val="349"/>
        </w:numPr>
        <w:tabs>
          <w:tab w:pos="1351" w:val="left" w:leader="none"/>
        </w:tabs>
        <w:spacing w:line="240" w:lineRule="auto" w:before="204" w:after="0"/>
        <w:ind w:left="1351" w:right="0" w:hanging="559"/>
        <w:jc w:val="left"/>
        <w:rPr>
          <w:sz w:val="24"/>
        </w:rPr>
      </w:pPr>
      <w:r>
        <w:rPr>
          <w:sz w:val="24"/>
        </w:rPr>
        <w:t>overly</w:t>
      </w:r>
      <w:r>
        <w:rPr>
          <w:spacing w:val="-6"/>
          <w:sz w:val="24"/>
        </w:rPr>
        <w:t> </w:t>
      </w:r>
      <w:r>
        <w:rPr>
          <w:sz w:val="24"/>
        </w:rPr>
        <w:t>complimentary</w:t>
      </w:r>
      <w:r>
        <w:rPr>
          <w:spacing w:val="-3"/>
          <w:sz w:val="24"/>
        </w:rPr>
        <w:t> </w:t>
      </w:r>
      <w:r>
        <w:rPr>
          <w:sz w:val="24"/>
        </w:rPr>
        <w:t>in</w:t>
      </w:r>
      <w:r>
        <w:rPr>
          <w:spacing w:val="-3"/>
          <w:sz w:val="24"/>
        </w:rPr>
        <w:t> </w:t>
      </w:r>
      <w:r>
        <w:rPr>
          <w:sz w:val="24"/>
        </w:rPr>
        <w:t>attempts</w:t>
      </w:r>
      <w:r>
        <w:rPr>
          <w:spacing w:val="-4"/>
          <w:sz w:val="24"/>
        </w:rPr>
        <w:t> </w:t>
      </w:r>
      <w:r>
        <w:rPr>
          <w:sz w:val="24"/>
        </w:rPr>
        <w:t>to</w:t>
      </w:r>
      <w:r>
        <w:rPr>
          <w:spacing w:val="-3"/>
          <w:sz w:val="24"/>
        </w:rPr>
        <w:t> </w:t>
      </w:r>
      <w:r>
        <w:rPr>
          <w:sz w:val="24"/>
        </w:rPr>
        <w:t>please</w:t>
      </w:r>
      <w:r>
        <w:rPr>
          <w:spacing w:val="-3"/>
          <w:sz w:val="24"/>
        </w:rPr>
        <w:t> </w:t>
      </w:r>
      <w:r>
        <w:rPr>
          <w:spacing w:val="-2"/>
          <w:sz w:val="24"/>
        </w:rPr>
        <w:t>adults;</w:t>
      </w:r>
    </w:p>
    <w:p>
      <w:pPr>
        <w:pStyle w:val="ListParagraph"/>
        <w:numPr>
          <w:ilvl w:val="1"/>
          <w:numId w:val="349"/>
        </w:numPr>
        <w:tabs>
          <w:tab w:pos="1351" w:val="left" w:leader="none"/>
        </w:tabs>
        <w:spacing w:line="240" w:lineRule="auto" w:before="204" w:after="0"/>
        <w:ind w:left="1351" w:right="0" w:hanging="559"/>
        <w:jc w:val="left"/>
        <w:rPr>
          <w:sz w:val="24"/>
        </w:rPr>
      </w:pPr>
      <w:r>
        <w:rPr>
          <w:sz w:val="24"/>
        </w:rPr>
        <w:t>lying</w:t>
      </w:r>
      <w:r>
        <w:rPr>
          <w:spacing w:val="-4"/>
          <w:sz w:val="24"/>
        </w:rPr>
        <w:t> </w:t>
      </w:r>
      <w:r>
        <w:rPr>
          <w:sz w:val="24"/>
        </w:rPr>
        <w:t>and/or</w:t>
      </w:r>
      <w:r>
        <w:rPr>
          <w:spacing w:val="-2"/>
          <w:sz w:val="24"/>
        </w:rPr>
        <w:t> stealing;</w:t>
      </w:r>
    </w:p>
    <w:p>
      <w:pPr>
        <w:pStyle w:val="ListParagraph"/>
        <w:numPr>
          <w:ilvl w:val="1"/>
          <w:numId w:val="349"/>
        </w:numPr>
        <w:tabs>
          <w:tab w:pos="1351" w:val="left" w:leader="none"/>
        </w:tabs>
        <w:spacing w:line="240" w:lineRule="auto" w:before="204" w:after="0"/>
        <w:ind w:left="1351" w:right="0" w:hanging="559"/>
        <w:jc w:val="left"/>
        <w:rPr>
          <w:sz w:val="24"/>
        </w:rPr>
      </w:pPr>
      <w:r>
        <w:rPr>
          <w:sz w:val="24"/>
        </w:rPr>
        <w:t>insomnia,</w:t>
      </w:r>
      <w:r>
        <w:rPr>
          <w:spacing w:val="-5"/>
          <w:sz w:val="24"/>
        </w:rPr>
        <w:t> </w:t>
      </w:r>
      <w:r>
        <w:rPr>
          <w:sz w:val="24"/>
        </w:rPr>
        <w:t>nightmares,</w:t>
      </w:r>
      <w:r>
        <w:rPr>
          <w:spacing w:val="-4"/>
          <w:sz w:val="24"/>
        </w:rPr>
        <w:t> </w:t>
      </w:r>
      <w:r>
        <w:rPr>
          <w:sz w:val="24"/>
        </w:rPr>
        <w:t>bed</w:t>
      </w:r>
      <w:r>
        <w:rPr>
          <w:spacing w:val="-5"/>
          <w:sz w:val="24"/>
        </w:rPr>
        <w:t> </w:t>
      </w:r>
      <w:r>
        <w:rPr>
          <w:spacing w:val="-2"/>
          <w:sz w:val="24"/>
        </w:rPr>
        <w:t>wetting;</w:t>
      </w:r>
    </w:p>
    <w:p>
      <w:pPr>
        <w:pStyle w:val="ListParagraph"/>
        <w:numPr>
          <w:ilvl w:val="1"/>
          <w:numId w:val="349"/>
        </w:numPr>
        <w:tabs>
          <w:tab w:pos="1351" w:val="left" w:leader="none"/>
        </w:tabs>
        <w:spacing w:line="240" w:lineRule="auto" w:before="204" w:after="0"/>
        <w:ind w:left="1351" w:right="0" w:hanging="559"/>
        <w:jc w:val="left"/>
        <w:rPr>
          <w:sz w:val="24"/>
        </w:rPr>
      </w:pPr>
      <w:r>
        <w:rPr>
          <w:sz w:val="24"/>
        </w:rPr>
        <w:t>drawing</w:t>
      </w:r>
      <w:r>
        <w:rPr>
          <w:spacing w:val="-3"/>
          <w:sz w:val="24"/>
        </w:rPr>
        <w:t> </w:t>
      </w:r>
      <w:r>
        <w:rPr>
          <w:sz w:val="24"/>
        </w:rPr>
        <w:t>of</w:t>
      </w:r>
      <w:r>
        <w:rPr>
          <w:spacing w:val="-2"/>
          <w:sz w:val="24"/>
        </w:rPr>
        <w:t> genitals;</w:t>
      </w:r>
    </w:p>
    <w:p>
      <w:pPr>
        <w:pStyle w:val="ListParagraph"/>
        <w:numPr>
          <w:ilvl w:val="1"/>
          <w:numId w:val="349"/>
        </w:numPr>
        <w:tabs>
          <w:tab w:pos="1351" w:val="left" w:leader="none"/>
        </w:tabs>
        <w:spacing w:line="240" w:lineRule="auto" w:before="204" w:after="0"/>
        <w:ind w:left="1351" w:right="0" w:hanging="559"/>
        <w:jc w:val="left"/>
        <w:rPr>
          <w:sz w:val="24"/>
        </w:rPr>
      </w:pPr>
      <w:r>
        <w:rPr>
          <w:sz w:val="24"/>
        </w:rPr>
        <w:t>dirty,</w:t>
      </w:r>
      <w:r>
        <w:rPr>
          <w:spacing w:val="-5"/>
          <w:sz w:val="24"/>
        </w:rPr>
        <w:t> </w:t>
      </w:r>
      <w:r>
        <w:rPr>
          <w:sz w:val="24"/>
        </w:rPr>
        <w:t>hungry,</w:t>
      </w:r>
      <w:r>
        <w:rPr>
          <w:spacing w:val="-2"/>
          <w:sz w:val="24"/>
        </w:rPr>
        <w:t> </w:t>
      </w:r>
      <w:r>
        <w:rPr>
          <w:sz w:val="24"/>
        </w:rPr>
        <w:t>presence</w:t>
      </w:r>
      <w:r>
        <w:rPr>
          <w:spacing w:val="-3"/>
          <w:sz w:val="24"/>
        </w:rPr>
        <w:t> </w:t>
      </w:r>
      <w:r>
        <w:rPr>
          <w:sz w:val="24"/>
        </w:rPr>
        <w:t>of</w:t>
      </w:r>
      <w:r>
        <w:rPr>
          <w:spacing w:val="-2"/>
          <w:sz w:val="24"/>
        </w:rPr>
        <w:t> sores;</w:t>
      </w:r>
    </w:p>
    <w:p>
      <w:pPr>
        <w:pStyle w:val="ListParagraph"/>
        <w:numPr>
          <w:ilvl w:val="1"/>
          <w:numId w:val="349"/>
        </w:numPr>
        <w:tabs>
          <w:tab w:pos="1351" w:val="left" w:leader="none"/>
        </w:tabs>
        <w:spacing w:line="240" w:lineRule="auto" w:before="204" w:after="0"/>
        <w:ind w:left="1351" w:right="0" w:hanging="559"/>
        <w:jc w:val="left"/>
        <w:rPr>
          <w:sz w:val="24"/>
        </w:rPr>
      </w:pPr>
      <w:r>
        <w:rPr>
          <w:sz w:val="24"/>
        </w:rPr>
        <w:t>lack</w:t>
      </w:r>
      <w:r>
        <w:rPr>
          <w:spacing w:val="-4"/>
          <w:sz w:val="24"/>
        </w:rPr>
        <w:t> </w:t>
      </w:r>
      <w:r>
        <w:rPr>
          <w:sz w:val="24"/>
        </w:rPr>
        <w:t>of</w:t>
      </w:r>
      <w:r>
        <w:rPr>
          <w:spacing w:val="-3"/>
          <w:sz w:val="24"/>
        </w:rPr>
        <w:t> </w:t>
      </w:r>
      <w:r>
        <w:rPr>
          <w:sz w:val="24"/>
        </w:rPr>
        <w:t>proper</w:t>
      </w:r>
      <w:r>
        <w:rPr>
          <w:spacing w:val="-3"/>
          <w:sz w:val="24"/>
        </w:rPr>
        <w:t> </w:t>
      </w:r>
      <w:r>
        <w:rPr>
          <w:sz w:val="24"/>
        </w:rPr>
        <w:t>clothing;</w:t>
      </w:r>
      <w:r>
        <w:rPr>
          <w:spacing w:val="-2"/>
          <w:sz w:val="24"/>
        </w:rPr>
        <w:t> </w:t>
      </w:r>
      <w:r>
        <w:rPr>
          <w:spacing w:val="-5"/>
          <w:sz w:val="24"/>
        </w:rPr>
        <w:t>or</w:t>
      </w:r>
    </w:p>
    <w:p>
      <w:pPr>
        <w:pStyle w:val="ListParagraph"/>
        <w:numPr>
          <w:ilvl w:val="1"/>
          <w:numId w:val="349"/>
        </w:numPr>
        <w:tabs>
          <w:tab w:pos="1351" w:val="left" w:leader="none"/>
        </w:tabs>
        <w:spacing w:line="240" w:lineRule="auto" w:before="204" w:after="0"/>
        <w:ind w:left="1351" w:right="0" w:hanging="559"/>
        <w:jc w:val="left"/>
        <w:rPr>
          <w:sz w:val="24"/>
        </w:rPr>
      </w:pPr>
      <w:r>
        <w:rPr>
          <w:sz w:val="24"/>
        </w:rPr>
        <w:t>shows</w:t>
      </w:r>
      <w:r>
        <w:rPr>
          <w:spacing w:val="-3"/>
          <w:sz w:val="24"/>
        </w:rPr>
        <w:t> </w:t>
      </w:r>
      <w:r>
        <w:rPr>
          <w:sz w:val="24"/>
        </w:rPr>
        <w:t>need</w:t>
      </w:r>
      <w:r>
        <w:rPr>
          <w:spacing w:val="-3"/>
          <w:sz w:val="24"/>
        </w:rPr>
        <w:t> </w:t>
      </w:r>
      <w:r>
        <w:rPr>
          <w:sz w:val="24"/>
        </w:rPr>
        <w:t>for</w:t>
      </w:r>
      <w:r>
        <w:rPr>
          <w:spacing w:val="-4"/>
          <w:sz w:val="24"/>
        </w:rPr>
        <w:t> </w:t>
      </w:r>
      <w:r>
        <w:rPr>
          <w:sz w:val="24"/>
        </w:rPr>
        <w:t>medical</w:t>
      </w:r>
      <w:r>
        <w:rPr>
          <w:spacing w:val="-2"/>
          <w:sz w:val="24"/>
        </w:rPr>
        <w:t> attention.</w:t>
      </w:r>
    </w:p>
    <w:p>
      <w:pPr>
        <w:spacing w:before="237"/>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305"/>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7"/>
          <w:sz w:val="22"/>
        </w:rPr>
        <w:t> </w:t>
      </w:r>
      <w:r>
        <w:rPr>
          <w:sz w:val="22"/>
        </w:rPr>
        <w:t>#95-</w:t>
      </w:r>
      <w:r>
        <w:rPr>
          <w:spacing w:val="-10"/>
          <w:sz w:val="22"/>
        </w:rPr>
        <w:t>2</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spacing w:after="0" w:line="253" w:lineRule="exact"/>
        <w:jc w:val="left"/>
        <w:rPr>
          <w:sz w:val="22"/>
        </w:rPr>
        <w:sectPr>
          <w:pgSz w:w="12240" w:h="15840"/>
          <w:pgMar w:top="1340" w:bottom="280" w:left="1080" w:right="720"/>
        </w:sectPr>
      </w:pPr>
    </w:p>
    <w:p>
      <w:pPr>
        <w:pStyle w:val="Heading2"/>
      </w:pPr>
      <w:bookmarkStart w:name="612:20-3-20.  Reporting requirements" w:id="351"/>
      <w:bookmarkEnd w:id="351"/>
      <w:r>
        <w:rPr>
          <w:b w:val="0"/>
        </w:rPr>
      </w:r>
      <w:r>
        <w:rPr/>
        <w:t>612:20-3-20.</w:t>
      </w:r>
      <w:r>
        <w:rPr>
          <w:spacing w:val="57"/>
        </w:rPr>
        <w:t> </w:t>
      </w:r>
      <w:r>
        <w:rPr/>
        <w:t>Reporting</w:t>
      </w:r>
      <w:r>
        <w:rPr>
          <w:spacing w:val="-4"/>
        </w:rPr>
        <w:t> </w:t>
      </w:r>
      <w:r>
        <w:rPr>
          <w:spacing w:val="-2"/>
        </w:rPr>
        <w:t>requirements</w:t>
      </w:r>
    </w:p>
    <w:p>
      <w:pPr>
        <w:pStyle w:val="ListParagraph"/>
        <w:numPr>
          <w:ilvl w:val="0"/>
          <w:numId w:val="350"/>
        </w:numPr>
        <w:tabs>
          <w:tab w:pos="785" w:val="left" w:leader="none"/>
        </w:tabs>
        <w:spacing w:line="208" w:lineRule="auto" w:before="233" w:after="0"/>
        <w:ind w:left="359" w:right="726" w:firstLine="0"/>
        <w:jc w:val="left"/>
        <w:rPr>
          <w:sz w:val="24"/>
        </w:rPr>
      </w:pPr>
      <w:r>
        <w:rPr>
          <w:sz w:val="24"/>
        </w:rPr>
        <w:t>Any staff member or volunteer who suspects that a child under the age of 18 years has been abused or neglected by any person, including parent, shall make an immediate report to Child Welfare and/or the Office of Client Advocacy in the Department of Human Services, or to the police as appropriate. A written report shall also be made by the end of his or her shift to his or her supervisor. The supervisor will report the incident to the school social worker or designee as soon as he or she</w:t>
      </w:r>
      <w:r>
        <w:rPr>
          <w:spacing w:val="40"/>
          <w:sz w:val="24"/>
        </w:rPr>
        <w:t> </w:t>
      </w:r>
      <w:r>
        <w:rPr>
          <w:sz w:val="24"/>
        </w:rPr>
        <w:t>receives the report. The social worker or designee will be the contact person for the police, Child Welfare and/or the Office of Client Advocacy in the Department of Human Services</w:t>
      </w:r>
      <w:r>
        <w:rPr>
          <w:spacing w:val="-4"/>
          <w:sz w:val="24"/>
        </w:rPr>
        <w:t> </w:t>
      </w:r>
      <w:r>
        <w:rPr>
          <w:sz w:val="24"/>
        </w:rPr>
        <w:t>as</w:t>
      </w:r>
      <w:r>
        <w:rPr>
          <w:spacing w:val="-4"/>
          <w:sz w:val="24"/>
        </w:rPr>
        <w:t> </w:t>
      </w:r>
      <w:r>
        <w:rPr>
          <w:sz w:val="24"/>
        </w:rPr>
        <w:t>appropriate.</w:t>
      </w:r>
      <w:r>
        <w:rPr>
          <w:spacing w:val="-3"/>
          <w:sz w:val="24"/>
        </w:rPr>
        <w:t> </w:t>
      </w:r>
      <w:r>
        <w:rPr>
          <w:sz w:val="24"/>
        </w:rPr>
        <w:t>The</w:t>
      </w:r>
      <w:r>
        <w:rPr>
          <w:spacing w:val="-4"/>
          <w:sz w:val="24"/>
        </w:rPr>
        <w:t> </w:t>
      </w:r>
      <w:r>
        <w:rPr>
          <w:sz w:val="24"/>
        </w:rPr>
        <w:t>school</w:t>
      </w:r>
      <w:r>
        <w:rPr>
          <w:spacing w:val="-4"/>
          <w:sz w:val="24"/>
        </w:rPr>
        <w:t> </w:t>
      </w:r>
      <w:r>
        <w:rPr>
          <w:sz w:val="24"/>
        </w:rPr>
        <w:t>social</w:t>
      </w:r>
      <w:r>
        <w:rPr>
          <w:spacing w:val="-4"/>
          <w:sz w:val="24"/>
        </w:rPr>
        <w:t> </w:t>
      </w:r>
      <w:r>
        <w:rPr>
          <w:sz w:val="24"/>
        </w:rPr>
        <w:t>worker</w:t>
      </w:r>
      <w:r>
        <w:rPr>
          <w:spacing w:val="-3"/>
          <w:sz w:val="24"/>
        </w:rPr>
        <w:t> </w:t>
      </w:r>
      <w:r>
        <w:rPr>
          <w:sz w:val="24"/>
        </w:rPr>
        <w:t>or</w:t>
      </w:r>
      <w:r>
        <w:rPr>
          <w:spacing w:val="-3"/>
          <w:sz w:val="24"/>
        </w:rPr>
        <w:t> </w:t>
      </w:r>
      <w:r>
        <w:rPr>
          <w:sz w:val="24"/>
        </w:rPr>
        <w:t>designee</w:t>
      </w:r>
      <w:r>
        <w:rPr>
          <w:spacing w:val="-4"/>
          <w:sz w:val="24"/>
        </w:rPr>
        <w:t> </w:t>
      </w:r>
      <w:r>
        <w:rPr>
          <w:sz w:val="24"/>
        </w:rPr>
        <w:t>shall</w:t>
      </w:r>
      <w:r>
        <w:rPr>
          <w:spacing w:val="-4"/>
          <w:sz w:val="24"/>
        </w:rPr>
        <w:t> </w:t>
      </w:r>
      <w:r>
        <w:rPr>
          <w:sz w:val="24"/>
        </w:rPr>
        <w:t>also</w:t>
      </w:r>
      <w:r>
        <w:rPr>
          <w:spacing w:val="-4"/>
          <w:sz w:val="24"/>
        </w:rPr>
        <w:t> </w:t>
      </w:r>
      <w:r>
        <w:rPr>
          <w:sz w:val="24"/>
        </w:rPr>
        <w:t>submit</w:t>
      </w:r>
      <w:r>
        <w:rPr>
          <w:spacing w:val="-3"/>
          <w:sz w:val="24"/>
        </w:rPr>
        <w:t> </w:t>
      </w:r>
      <w:r>
        <w:rPr>
          <w:sz w:val="24"/>
        </w:rPr>
        <w:t>a</w:t>
      </w:r>
      <w:r>
        <w:rPr>
          <w:spacing w:val="-4"/>
          <w:sz w:val="24"/>
        </w:rPr>
        <w:t> </w:t>
      </w:r>
      <w:r>
        <w:rPr>
          <w:sz w:val="24"/>
        </w:rPr>
        <w:t>report to the Superintendent within 24 hours of receiving notice of the incident. Parents will be contacted unless the home environment is suspect.</w:t>
      </w:r>
    </w:p>
    <w:p>
      <w:pPr>
        <w:pStyle w:val="ListParagraph"/>
        <w:numPr>
          <w:ilvl w:val="0"/>
          <w:numId w:val="350"/>
        </w:numPr>
        <w:tabs>
          <w:tab w:pos="786" w:val="left" w:leader="none"/>
        </w:tabs>
        <w:spacing w:line="208" w:lineRule="auto" w:before="239" w:after="0"/>
        <w:ind w:left="360" w:right="741" w:firstLine="0"/>
        <w:jc w:val="left"/>
        <w:rPr>
          <w:sz w:val="24"/>
        </w:rPr>
      </w:pPr>
      <w:r>
        <w:rPr>
          <w:sz w:val="24"/>
        </w:rPr>
        <w:t>Anyone making a report in accordance with this policy, State statute, and in good faith</w:t>
      </w:r>
      <w:r>
        <w:rPr>
          <w:spacing w:val="-3"/>
          <w:sz w:val="24"/>
        </w:rPr>
        <w:t> </w:t>
      </w:r>
      <w:r>
        <w:rPr>
          <w:sz w:val="24"/>
        </w:rPr>
        <w:t>is</w:t>
      </w:r>
      <w:r>
        <w:rPr>
          <w:spacing w:val="-3"/>
          <w:sz w:val="24"/>
        </w:rPr>
        <w:t> </w:t>
      </w:r>
      <w:r>
        <w:rPr>
          <w:sz w:val="24"/>
        </w:rPr>
        <w:t>immune</w:t>
      </w:r>
      <w:r>
        <w:rPr>
          <w:spacing w:val="-3"/>
          <w:sz w:val="24"/>
        </w:rPr>
        <w:t> </w:t>
      </w:r>
      <w:r>
        <w:rPr>
          <w:sz w:val="24"/>
        </w:rPr>
        <w:t>from</w:t>
      </w:r>
      <w:r>
        <w:rPr>
          <w:spacing w:val="-2"/>
          <w:sz w:val="24"/>
        </w:rPr>
        <w:t> </w:t>
      </w:r>
      <w:r>
        <w:rPr>
          <w:sz w:val="24"/>
        </w:rPr>
        <w:t>any</w:t>
      </w:r>
      <w:r>
        <w:rPr>
          <w:spacing w:val="-3"/>
          <w:sz w:val="24"/>
        </w:rPr>
        <w:t> </w:t>
      </w:r>
      <w:r>
        <w:rPr>
          <w:sz w:val="24"/>
        </w:rPr>
        <w:t>civil</w:t>
      </w:r>
      <w:r>
        <w:rPr>
          <w:spacing w:val="-3"/>
          <w:sz w:val="24"/>
        </w:rPr>
        <w:t> </w:t>
      </w:r>
      <w:r>
        <w:rPr>
          <w:sz w:val="24"/>
        </w:rPr>
        <w:t>or</w:t>
      </w:r>
      <w:r>
        <w:rPr>
          <w:spacing w:val="-2"/>
          <w:sz w:val="24"/>
        </w:rPr>
        <w:t> </w:t>
      </w:r>
      <w:r>
        <w:rPr>
          <w:sz w:val="24"/>
        </w:rPr>
        <w:t>criminal</w:t>
      </w:r>
      <w:r>
        <w:rPr>
          <w:spacing w:val="-3"/>
          <w:sz w:val="24"/>
        </w:rPr>
        <w:t> </w:t>
      </w:r>
      <w:r>
        <w:rPr>
          <w:sz w:val="24"/>
        </w:rPr>
        <w:t>liability</w:t>
      </w:r>
      <w:r>
        <w:rPr>
          <w:spacing w:val="-3"/>
          <w:sz w:val="24"/>
        </w:rPr>
        <w:t> </w:t>
      </w:r>
      <w:r>
        <w:rPr>
          <w:sz w:val="24"/>
        </w:rPr>
        <w:t>that</w:t>
      </w:r>
      <w:r>
        <w:rPr>
          <w:spacing w:val="-2"/>
          <w:sz w:val="24"/>
        </w:rPr>
        <w:t> </w:t>
      </w:r>
      <w:r>
        <w:rPr>
          <w:sz w:val="24"/>
        </w:rPr>
        <w:t>otherwise</w:t>
      </w:r>
      <w:r>
        <w:rPr>
          <w:spacing w:val="-3"/>
          <w:sz w:val="24"/>
        </w:rPr>
        <w:t> </w:t>
      </w:r>
      <w:r>
        <w:rPr>
          <w:sz w:val="24"/>
        </w:rPr>
        <w:t>results</w:t>
      </w:r>
      <w:r>
        <w:rPr>
          <w:spacing w:val="-3"/>
          <w:sz w:val="24"/>
        </w:rPr>
        <w:t> </w:t>
      </w:r>
      <w:r>
        <w:rPr>
          <w:sz w:val="24"/>
        </w:rPr>
        <w:t>from</w:t>
      </w:r>
      <w:r>
        <w:rPr>
          <w:spacing w:val="-4"/>
          <w:sz w:val="24"/>
        </w:rPr>
        <w:t> </w:t>
      </w:r>
      <w:r>
        <w:rPr>
          <w:sz w:val="24"/>
        </w:rPr>
        <w:t>reporting</w:t>
      </w:r>
      <w:r>
        <w:rPr>
          <w:spacing w:val="-3"/>
          <w:sz w:val="24"/>
        </w:rPr>
        <w:t> </w:t>
      </w:r>
      <w:r>
        <w:rPr>
          <w:sz w:val="24"/>
        </w:rPr>
        <w:t>the incident, or from any resulting judicial proceeding, even if the suspicion is proven to be </w:t>
      </w:r>
      <w:r>
        <w:rPr>
          <w:spacing w:val="-2"/>
          <w:sz w:val="24"/>
        </w:rPr>
        <w:t>unfounded.</w:t>
      </w:r>
    </w:p>
    <w:p>
      <w:pPr>
        <w:pStyle w:val="ListParagraph"/>
        <w:numPr>
          <w:ilvl w:val="0"/>
          <w:numId w:val="350"/>
        </w:numPr>
        <w:tabs>
          <w:tab w:pos="773" w:val="left" w:leader="none"/>
        </w:tabs>
        <w:spacing w:line="208" w:lineRule="auto" w:before="239" w:after="0"/>
        <w:ind w:left="360" w:right="834" w:firstLine="0"/>
        <w:jc w:val="left"/>
        <w:rPr>
          <w:sz w:val="24"/>
        </w:rPr>
      </w:pPr>
      <w:r>
        <w:rPr>
          <w:sz w:val="24"/>
        </w:rPr>
        <w:t>Reports</w:t>
      </w:r>
      <w:r>
        <w:rPr>
          <w:spacing w:val="-4"/>
          <w:sz w:val="24"/>
        </w:rPr>
        <w:t> </w:t>
      </w:r>
      <w:r>
        <w:rPr>
          <w:sz w:val="24"/>
        </w:rPr>
        <w:t>submitted</w:t>
      </w:r>
      <w:r>
        <w:rPr>
          <w:spacing w:val="-4"/>
          <w:sz w:val="24"/>
        </w:rPr>
        <w:t> </w:t>
      </w:r>
      <w:r>
        <w:rPr>
          <w:sz w:val="24"/>
        </w:rPr>
        <w:t>to</w:t>
      </w:r>
      <w:r>
        <w:rPr>
          <w:spacing w:val="-5"/>
          <w:sz w:val="24"/>
        </w:rPr>
        <w:t> </w:t>
      </w:r>
      <w:r>
        <w:rPr>
          <w:sz w:val="24"/>
        </w:rPr>
        <w:t>the</w:t>
      </w:r>
      <w:r>
        <w:rPr>
          <w:spacing w:val="-4"/>
          <w:sz w:val="24"/>
        </w:rPr>
        <w:t> </w:t>
      </w:r>
      <w:r>
        <w:rPr>
          <w:sz w:val="24"/>
        </w:rPr>
        <w:t>supervisor</w:t>
      </w:r>
      <w:r>
        <w:rPr>
          <w:spacing w:val="-3"/>
          <w:sz w:val="24"/>
        </w:rPr>
        <w:t> </w:t>
      </w:r>
      <w:r>
        <w:rPr>
          <w:sz w:val="24"/>
        </w:rPr>
        <w:t>and</w:t>
      </w:r>
      <w:r>
        <w:rPr>
          <w:spacing w:val="-4"/>
          <w:sz w:val="24"/>
        </w:rPr>
        <w:t> </w:t>
      </w:r>
      <w:r>
        <w:rPr>
          <w:sz w:val="24"/>
        </w:rPr>
        <w:t>the</w:t>
      </w:r>
      <w:r>
        <w:rPr>
          <w:spacing w:val="-4"/>
          <w:sz w:val="24"/>
        </w:rPr>
        <w:t> </w:t>
      </w:r>
      <w:r>
        <w:rPr>
          <w:sz w:val="24"/>
        </w:rPr>
        <w:t>social</w:t>
      </w:r>
      <w:r>
        <w:rPr>
          <w:spacing w:val="-4"/>
          <w:sz w:val="24"/>
        </w:rPr>
        <w:t> </w:t>
      </w:r>
      <w:r>
        <w:rPr>
          <w:sz w:val="24"/>
        </w:rPr>
        <w:t>worker</w:t>
      </w:r>
      <w:r>
        <w:rPr>
          <w:spacing w:val="-3"/>
          <w:sz w:val="24"/>
        </w:rPr>
        <w:t> </w:t>
      </w:r>
      <w:r>
        <w:rPr>
          <w:sz w:val="24"/>
        </w:rPr>
        <w:t>or</w:t>
      </w:r>
      <w:r>
        <w:rPr>
          <w:spacing w:val="-3"/>
          <w:sz w:val="24"/>
        </w:rPr>
        <w:t> </w:t>
      </w:r>
      <w:r>
        <w:rPr>
          <w:sz w:val="24"/>
        </w:rPr>
        <w:t>designee</w:t>
      </w:r>
      <w:r>
        <w:rPr>
          <w:spacing w:val="-4"/>
          <w:sz w:val="24"/>
        </w:rPr>
        <w:t> </w:t>
      </w:r>
      <w:r>
        <w:rPr>
          <w:sz w:val="24"/>
        </w:rPr>
        <w:t>shall</w:t>
      </w:r>
      <w:r>
        <w:rPr>
          <w:spacing w:val="-4"/>
          <w:sz w:val="24"/>
        </w:rPr>
        <w:t> </w:t>
      </w:r>
      <w:r>
        <w:rPr>
          <w:sz w:val="24"/>
        </w:rPr>
        <w:t>include the information given in Paragraphs (1) through (6).</w:t>
      </w:r>
    </w:p>
    <w:p>
      <w:pPr>
        <w:pStyle w:val="ListParagraph"/>
        <w:numPr>
          <w:ilvl w:val="1"/>
          <w:numId w:val="350"/>
        </w:numPr>
        <w:tabs>
          <w:tab w:pos="1218" w:val="left" w:leader="none"/>
        </w:tabs>
        <w:spacing w:line="240" w:lineRule="auto" w:before="211" w:after="0"/>
        <w:ind w:left="1218" w:right="0" w:hanging="426"/>
        <w:jc w:val="left"/>
        <w:rPr>
          <w:sz w:val="24"/>
        </w:rPr>
      </w:pPr>
      <w:r>
        <w:rPr>
          <w:sz w:val="24"/>
        </w:rPr>
        <w:t>Name</w:t>
      </w:r>
      <w:r>
        <w:rPr>
          <w:spacing w:val="-4"/>
          <w:sz w:val="24"/>
        </w:rPr>
        <w:t> </w:t>
      </w:r>
      <w:r>
        <w:rPr>
          <w:sz w:val="24"/>
        </w:rPr>
        <w:t>of</w:t>
      </w:r>
      <w:r>
        <w:rPr>
          <w:spacing w:val="-2"/>
          <w:sz w:val="24"/>
        </w:rPr>
        <w:t> </w:t>
      </w:r>
      <w:r>
        <w:rPr>
          <w:sz w:val="24"/>
        </w:rPr>
        <w:t>student(s)</w:t>
      </w:r>
      <w:r>
        <w:rPr>
          <w:spacing w:val="-1"/>
          <w:sz w:val="24"/>
        </w:rPr>
        <w:t> </w:t>
      </w:r>
      <w:r>
        <w:rPr>
          <w:spacing w:val="-2"/>
          <w:sz w:val="24"/>
        </w:rPr>
        <w:t>involved;</w:t>
      </w:r>
    </w:p>
    <w:p>
      <w:pPr>
        <w:pStyle w:val="ListParagraph"/>
        <w:numPr>
          <w:ilvl w:val="1"/>
          <w:numId w:val="350"/>
        </w:numPr>
        <w:tabs>
          <w:tab w:pos="1218" w:val="left" w:leader="none"/>
        </w:tabs>
        <w:spacing w:line="240" w:lineRule="auto" w:before="204" w:after="0"/>
        <w:ind w:left="1218" w:right="0" w:hanging="426"/>
        <w:jc w:val="left"/>
        <w:rPr>
          <w:sz w:val="24"/>
        </w:rPr>
      </w:pPr>
      <w:r>
        <w:rPr>
          <w:sz w:val="24"/>
        </w:rPr>
        <w:t>name</w:t>
      </w:r>
      <w:r>
        <w:rPr>
          <w:spacing w:val="-3"/>
          <w:sz w:val="24"/>
        </w:rPr>
        <w:t> </w:t>
      </w:r>
      <w:r>
        <w:rPr>
          <w:sz w:val="24"/>
        </w:rPr>
        <w:t>of</w:t>
      </w:r>
      <w:r>
        <w:rPr>
          <w:spacing w:val="-1"/>
          <w:sz w:val="24"/>
        </w:rPr>
        <w:t> </w:t>
      </w:r>
      <w:r>
        <w:rPr>
          <w:sz w:val="24"/>
        </w:rPr>
        <w:t>any</w:t>
      </w:r>
      <w:r>
        <w:rPr>
          <w:spacing w:val="-2"/>
          <w:sz w:val="24"/>
        </w:rPr>
        <w:t> </w:t>
      </w:r>
      <w:r>
        <w:rPr>
          <w:sz w:val="24"/>
        </w:rPr>
        <w:t>staff </w:t>
      </w:r>
      <w:r>
        <w:rPr>
          <w:spacing w:val="-2"/>
          <w:sz w:val="24"/>
        </w:rPr>
        <w:t>involved;</w:t>
      </w:r>
    </w:p>
    <w:p>
      <w:pPr>
        <w:pStyle w:val="ListParagraph"/>
        <w:numPr>
          <w:ilvl w:val="1"/>
          <w:numId w:val="350"/>
        </w:numPr>
        <w:tabs>
          <w:tab w:pos="1218" w:val="left" w:leader="none"/>
        </w:tabs>
        <w:spacing w:line="240" w:lineRule="auto" w:before="204" w:after="0"/>
        <w:ind w:left="1218" w:right="0" w:hanging="426"/>
        <w:jc w:val="left"/>
        <w:rPr>
          <w:sz w:val="24"/>
        </w:rPr>
      </w:pPr>
      <w:r>
        <w:rPr>
          <w:sz w:val="24"/>
        </w:rPr>
        <w:t>age</w:t>
      </w:r>
      <w:r>
        <w:rPr>
          <w:spacing w:val="-2"/>
          <w:sz w:val="24"/>
        </w:rPr>
        <w:t> </w:t>
      </w:r>
      <w:r>
        <w:rPr>
          <w:sz w:val="24"/>
        </w:rPr>
        <w:t>of</w:t>
      </w:r>
      <w:r>
        <w:rPr>
          <w:spacing w:val="-3"/>
          <w:sz w:val="24"/>
        </w:rPr>
        <w:t> </w:t>
      </w:r>
      <w:r>
        <w:rPr>
          <w:spacing w:val="-2"/>
          <w:sz w:val="24"/>
        </w:rPr>
        <w:t>student(s);</w:t>
      </w:r>
    </w:p>
    <w:p>
      <w:pPr>
        <w:pStyle w:val="ListParagraph"/>
        <w:numPr>
          <w:ilvl w:val="1"/>
          <w:numId w:val="350"/>
        </w:numPr>
        <w:tabs>
          <w:tab w:pos="1218" w:val="left" w:leader="none"/>
        </w:tabs>
        <w:spacing w:line="240" w:lineRule="auto" w:before="204" w:after="0"/>
        <w:ind w:left="1218" w:right="0" w:hanging="426"/>
        <w:jc w:val="left"/>
        <w:rPr>
          <w:sz w:val="24"/>
        </w:rPr>
      </w:pPr>
      <w:r>
        <w:rPr>
          <w:sz w:val="24"/>
        </w:rPr>
        <w:t>location</w:t>
      </w:r>
      <w:r>
        <w:rPr>
          <w:spacing w:val="-3"/>
          <w:sz w:val="24"/>
        </w:rPr>
        <w:t> </w:t>
      </w:r>
      <w:r>
        <w:rPr>
          <w:sz w:val="24"/>
        </w:rPr>
        <w:t>of</w:t>
      </w:r>
      <w:r>
        <w:rPr>
          <w:spacing w:val="-2"/>
          <w:sz w:val="24"/>
        </w:rPr>
        <w:t> incident;</w:t>
      </w:r>
    </w:p>
    <w:p>
      <w:pPr>
        <w:pStyle w:val="ListParagraph"/>
        <w:numPr>
          <w:ilvl w:val="1"/>
          <w:numId w:val="350"/>
        </w:numPr>
        <w:tabs>
          <w:tab w:pos="1218" w:val="left" w:leader="none"/>
        </w:tabs>
        <w:spacing w:line="208" w:lineRule="auto" w:before="233" w:after="0"/>
        <w:ind w:left="792" w:right="1039" w:firstLine="0"/>
        <w:jc w:val="left"/>
        <w:rPr>
          <w:sz w:val="24"/>
        </w:rPr>
      </w:pPr>
      <w:r>
        <w:rPr>
          <w:sz w:val="24"/>
        </w:rPr>
        <w:t>nature</w:t>
      </w:r>
      <w:r>
        <w:rPr>
          <w:spacing w:val="-5"/>
          <w:sz w:val="24"/>
        </w:rPr>
        <w:t> </w:t>
      </w:r>
      <w:r>
        <w:rPr>
          <w:sz w:val="24"/>
        </w:rPr>
        <w:t>and</w:t>
      </w:r>
      <w:r>
        <w:rPr>
          <w:spacing w:val="-4"/>
          <w:sz w:val="24"/>
        </w:rPr>
        <w:t> </w:t>
      </w:r>
      <w:r>
        <w:rPr>
          <w:sz w:val="24"/>
        </w:rPr>
        <w:t>extent</w:t>
      </w:r>
      <w:r>
        <w:rPr>
          <w:spacing w:val="-3"/>
          <w:sz w:val="24"/>
        </w:rPr>
        <w:t> </w:t>
      </w:r>
      <w:r>
        <w:rPr>
          <w:sz w:val="24"/>
        </w:rPr>
        <w:t>of</w:t>
      </w:r>
      <w:r>
        <w:rPr>
          <w:spacing w:val="-3"/>
          <w:sz w:val="24"/>
        </w:rPr>
        <w:t> </w:t>
      </w:r>
      <w:r>
        <w:rPr>
          <w:sz w:val="24"/>
        </w:rPr>
        <w:t>injuries</w:t>
      </w:r>
      <w:r>
        <w:rPr>
          <w:spacing w:val="-4"/>
          <w:sz w:val="24"/>
        </w:rPr>
        <w:t> </w:t>
      </w:r>
      <w:r>
        <w:rPr>
          <w:sz w:val="24"/>
        </w:rPr>
        <w:t>or</w:t>
      </w:r>
      <w:r>
        <w:rPr>
          <w:spacing w:val="-3"/>
          <w:sz w:val="24"/>
        </w:rPr>
        <w:t> </w:t>
      </w:r>
      <w:r>
        <w:rPr>
          <w:sz w:val="24"/>
        </w:rPr>
        <w:t>description</w:t>
      </w:r>
      <w:r>
        <w:rPr>
          <w:spacing w:val="-4"/>
          <w:sz w:val="24"/>
        </w:rPr>
        <w:t> </w:t>
      </w:r>
      <w:r>
        <w:rPr>
          <w:sz w:val="24"/>
        </w:rPr>
        <w:t>of</w:t>
      </w:r>
      <w:r>
        <w:rPr>
          <w:spacing w:val="-3"/>
          <w:sz w:val="24"/>
        </w:rPr>
        <w:t> </w:t>
      </w:r>
      <w:r>
        <w:rPr>
          <w:sz w:val="24"/>
        </w:rPr>
        <w:t>abuse,</w:t>
      </w:r>
      <w:r>
        <w:rPr>
          <w:spacing w:val="-3"/>
          <w:sz w:val="24"/>
        </w:rPr>
        <w:t> </w:t>
      </w:r>
      <w:r>
        <w:rPr>
          <w:sz w:val="24"/>
        </w:rPr>
        <w:t>neglect,</w:t>
      </w:r>
      <w:r>
        <w:rPr>
          <w:spacing w:val="-3"/>
          <w:sz w:val="24"/>
        </w:rPr>
        <w:t> </w:t>
      </w:r>
      <w:r>
        <w:rPr>
          <w:sz w:val="24"/>
        </w:rPr>
        <w:t>or</w:t>
      </w:r>
      <w:r>
        <w:rPr>
          <w:spacing w:val="-5"/>
          <w:sz w:val="24"/>
        </w:rPr>
        <w:t> </w:t>
      </w:r>
      <w:r>
        <w:rPr>
          <w:sz w:val="24"/>
        </w:rPr>
        <w:t>inappropriate body contact; and</w:t>
      </w:r>
    </w:p>
    <w:p>
      <w:pPr>
        <w:pStyle w:val="ListParagraph"/>
        <w:numPr>
          <w:ilvl w:val="1"/>
          <w:numId w:val="350"/>
        </w:numPr>
        <w:tabs>
          <w:tab w:pos="1218" w:val="left" w:leader="none"/>
        </w:tabs>
        <w:spacing w:line="240" w:lineRule="auto" w:before="211" w:after="0"/>
        <w:ind w:left="1218" w:right="0" w:hanging="426"/>
        <w:jc w:val="left"/>
        <w:rPr>
          <w:sz w:val="24"/>
        </w:rPr>
      </w:pPr>
      <w:r>
        <w:rPr>
          <w:sz w:val="24"/>
        </w:rPr>
        <w:t>other</w:t>
      </w:r>
      <w:r>
        <w:rPr>
          <w:spacing w:val="-3"/>
          <w:sz w:val="24"/>
        </w:rPr>
        <w:t> </w:t>
      </w:r>
      <w:r>
        <w:rPr>
          <w:sz w:val="24"/>
        </w:rPr>
        <w:t>information</w:t>
      </w:r>
      <w:r>
        <w:rPr>
          <w:spacing w:val="-3"/>
          <w:sz w:val="24"/>
        </w:rPr>
        <w:t> </w:t>
      </w:r>
      <w:r>
        <w:rPr>
          <w:sz w:val="24"/>
        </w:rPr>
        <w:t>that</w:t>
      </w:r>
      <w:r>
        <w:rPr>
          <w:spacing w:val="-2"/>
          <w:sz w:val="24"/>
        </w:rPr>
        <w:t> </w:t>
      </w:r>
      <w:r>
        <w:rPr>
          <w:sz w:val="24"/>
        </w:rPr>
        <w:t>might</w:t>
      </w:r>
      <w:r>
        <w:rPr>
          <w:spacing w:val="-2"/>
          <w:sz w:val="24"/>
        </w:rPr>
        <w:t> </w:t>
      </w:r>
      <w:r>
        <w:rPr>
          <w:sz w:val="24"/>
        </w:rPr>
        <w:t>be</w:t>
      </w:r>
      <w:r>
        <w:rPr>
          <w:spacing w:val="-3"/>
          <w:sz w:val="24"/>
        </w:rPr>
        <w:t> </w:t>
      </w:r>
      <w:r>
        <w:rPr>
          <w:sz w:val="24"/>
        </w:rPr>
        <w:t>pertinent</w:t>
      </w:r>
      <w:r>
        <w:rPr>
          <w:spacing w:val="-2"/>
          <w:sz w:val="24"/>
        </w:rPr>
        <w:t> </w:t>
      </w:r>
      <w:r>
        <w:rPr>
          <w:sz w:val="24"/>
        </w:rPr>
        <w:t>to</w:t>
      </w:r>
      <w:r>
        <w:rPr>
          <w:spacing w:val="-3"/>
          <w:sz w:val="24"/>
        </w:rPr>
        <w:t> </w:t>
      </w:r>
      <w:r>
        <w:rPr>
          <w:sz w:val="24"/>
        </w:rPr>
        <w:t>the</w:t>
      </w:r>
      <w:r>
        <w:rPr>
          <w:spacing w:val="-3"/>
          <w:sz w:val="24"/>
        </w:rPr>
        <w:t> </w:t>
      </w:r>
      <w:r>
        <w:rPr>
          <w:spacing w:val="-2"/>
          <w:sz w:val="24"/>
        </w:rPr>
        <w:t>situation.</w:t>
      </w:r>
    </w:p>
    <w:p>
      <w:pPr>
        <w:pStyle w:val="ListParagraph"/>
        <w:numPr>
          <w:ilvl w:val="0"/>
          <w:numId w:val="350"/>
        </w:numPr>
        <w:tabs>
          <w:tab w:pos="1218" w:val="left" w:leader="none"/>
        </w:tabs>
        <w:spacing w:line="208" w:lineRule="auto" w:before="233" w:after="0"/>
        <w:ind w:left="792" w:right="1587" w:firstLine="0"/>
        <w:jc w:val="left"/>
        <w:rPr>
          <w:sz w:val="24"/>
        </w:rPr>
      </w:pPr>
      <w:r>
        <w:rPr>
          <w:sz w:val="24"/>
        </w:rPr>
        <w:t>Final</w:t>
      </w:r>
      <w:r>
        <w:rPr>
          <w:spacing w:val="-4"/>
          <w:sz w:val="24"/>
        </w:rPr>
        <w:t> </w:t>
      </w:r>
      <w:r>
        <w:rPr>
          <w:sz w:val="24"/>
        </w:rPr>
        <w:t>reports</w:t>
      </w:r>
      <w:r>
        <w:rPr>
          <w:spacing w:val="-4"/>
          <w:sz w:val="24"/>
        </w:rPr>
        <w:t> </w:t>
      </w:r>
      <w:r>
        <w:rPr>
          <w:sz w:val="24"/>
        </w:rPr>
        <w:t>submitted</w:t>
      </w:r>
      <w:r>
        <w:rPr>
          <w:spacing w:val="-4"/>
          <w:sz w:val="24"/>
        </w:rPr>
        <w:t> </w:t>
      </w:r>
      <w:r>
        <w:rPr>
          <w:sz w:val="24"/>
        </w:rPr>
        <w:t>to</w:t>
      </w:r>
      <w:r>
        <w:rPr>
          <w:spacing w:val="-4"/>
          <w:sz w:val="24"/>
        </w:rPr>
        <w:t> </w:t>
      </w:r>
      <w:r>
        <w:rPr>
          <w:sz w:val="24"/>
        </w:rPr>
        <w:t>appropriate</w:t>
      </w:r>
      <w:r>
        <w:rPr>
          <w:spacing w:val="-4"/>
          <w:sz w:val="24"/>
        </w:rPr>
        <w:t> </w:t>
      </w:r>
      <w:r>
        <w:rPr>
          <w:sz w:val="24"/>
        </w:rPr>
        <w:t>authorities</w:t>
      </w:r>
      <w:r>
        <w:rPr>
          <w:spacing w:val="-4"/>
          <w:sz w:val="24"/>
        </w:rPr>
        <w:t> </w:t>
      </w:r>
      <w:r>
        <w:rPr>
          <w:sz w:val="24"/>
        </w:rPr>
        <w:t>by</w:t>
      </w:r>
      <w:r>
        <w:rPr>
          <w:spacing w:val="-4"/>
          <w:sz w:val="24"/>
        </w:rPr>
        <w:t> </w:t>
      </w:r>
      <w:r>
        <w:rPr>
          <w:sz w:val="24"/>
        </w:rPr>
        <w:t>the</w:t>
      </w:r>
      <w:r>
        <w:rPr>
          <w:spacing w:val="-4"/>
          <w:sz w:val="24"/>
        </w:rPr>
        <w:t> </w:t>
      </w:r>
      <w:r>
        <w:rPr>
          <w:sz w:val="24"/>
        </w:rPr>
        <w:t>social</w:t>
      </w:r>
      <w:r>
        <w:rPr>
          <w:spacing w:val="-4"/>
          <w:sz w:val="24"/>
        </w:rPr>
        <w:t> </w:t>
      </w:r>
      <w:r>
        <w:rPr>
          <w:sz w:val="24"/>
        </w:rPr>
        <w:t>worker</w:t>
      </w:r>
      <w:r>
        <w:rPr>
          <w:spacing w:val="-3"/>
          <w:sz w:val="24"/>
        </w:rPr>
        <w:t> </w:t>
      </w:r>
      <w:r>
        <w:rPr>
          <w:sz w:val="24"/>
        </w:rPr>
        <w:t>or designee will include:</w:t>
      </w:r>
    </w:p>
    <w:p>
      <w:pPr>
        <w:pStyle w:val="ListParagraph"/>
        <w:numPr>
          <w:ilvl w:val="1"/>
          <w:numId w:val="350"/>
        </w:numPr>
        <w:tabs>
          <w:tab w:pos="1218" w:val="left" w:leader="none"/>
        </w:tabs>
        <w:spacing w:line="240" w:lineRule="auto" w:before="211" w:after="0"/>
        <w:ind w:left="1218" w:right="0" w:hanging="426"/>
        <w:jc w:val="left"/>
        <w:rPr>
          <w:sz w:val="24"/>
        </w:rPr>
      </w:pPr>
      <w:r>
        <w:rPr>
          <w:sz w:val="24"/>
        </w:rPr>
        <w:t>name</w:t>
      </w:r>
      <w:r>
        <w:rPr>
          <w:spacing w:val="-4"/>
          <w:sz w:val="24"/>
        </w:rPr>
        <w:t> </w:t>
      </w:r>
      <w:r>
        <w:rPr>
          <w:sz w:val="24"/>
        </w:rPr>
        <w:t>of</w:t>
      </w:r>
      <w:r>
        <w:rPr>
          <w:spacing w:val="-3"/>
          <w:sz w:val="24"/>
        </w:rPr>
        <w:t> </w:t>
      </w:r>
      <w:r>
        <w:rPr>
          <w:sz w:val="24"/>
        </w:rPr>
        <w:t>student(s)</w:t>
      </w:r>
      <w:r>
        <w:rPr>
          <w:spacing w:val="-3"/>
          <w:sz w:val="24"/>
        </w:rPr>
        <w:t> </w:t>
      </w:r>
      <w:r>
        <w:rPr>
          <w:spacing w:val="-2"/>
          <w:sz w:val="24"/>
        </w:rPr>
        <w:t>involved;</w:t>
      </w:r>
    </w:p>
    <w:p>
      <w:pPr>
        <w:pStyle w:val="ListParagraph"/>
        <w:numPr>
          <w:ilvl w:val="1"/>
          <w:numId w:val="350"/>
        </w:numPr>
        <w:tabs>
          <w:tab w:pos="1218" w:val="left" w:leader="none"/>
        </w:tabs>
        <w:spacing w:line="240" w:lineRule="auto" w:before="204" w:after="0"/>
        <w:ind w:left="1218" w:right="0" w:hanging="426"/>
        <w:jc w:val="left"/>
        <w:rPr>
          <w:sz w:val="24"/>
        </w:rPr>
      </w:pPr>
      <w:r>
        <w:rPr>
          <w:sz w:val="24"/>
        </w:rPr>
        <w:t>location</w:t>
      </w:r>
      <w:r>
        <w:rPr>
          <w:spacing w:val="-3"/>
          <w:sz w:val="24"/>
        </w:rPr>
        <w:t> </w:t>
      </w:r>
      <w:r>
        <w:rPr>
          <w:sz w:val="24"/>
        </w:rPr>
        <w:t>of</w:t>
      </w:r>
      <w:r>
        <w:rPr>
          <w:spacing w:val="-2"/>
          <w:sz w:val="24"/>
        </w:rPr>
        <w:t> incident;</w:t>
      </w:r>
    </w:p>
    <w:p>
      <w:pPr>
        <w:pStyle w:val="ListParagraph"/>
        <w:numPr>
          <w:ilvl w:val="1"/>
          <w:numId w:val="350"/>
        </w:numPr>
        <w:tabs>
          <w:tab w:pos="1218" w:val="left" w:leader="none"/>
        </w:tabs>
        <w:spacing w:line="240" w:lineRule="auto" w:before="204" w:after="0"/>
        <w:ind w:left="1218" w:right="0" w:hanging="426"/>
        <w:jc w:val="left"/>
        <w:rPr>
          <w:sz w:val="24"/>
        </w:rPr>
      </w:pPr>
      <w:r>
        <w:rPr>
          <w:sz w:val="24"/>
        </w:rPr>
        <w:t>name</w:t>
      </w:r>
      <w:r>
        <w:rPr>
          <w:spacing w:val="-3"/>
          <w:sz w:val="24"/>
        </w:rPr>
        <w:t> </w:t>
      </w:r>
      <w:r>
        <w:rPr>
          <w:sz w:val="24"/>
        </w:rPr>
        <w:t>of</w:t>
      </w:r>
      <w:r>
        <w:rPr>
          <w:spacing w:val="-1"/>
          <w:sz w:val="24"/>
        </w:rPr>
        <w:t> </w:t>
      </w:r>
      <w:r>
        <w:rPr>
          <w:sz w:val="24"/>
        </w:rPr>
        <w:t>any</w:t>
      </w:r>
      <w:r>
        <w:rPr>
          <w:spacing w:val="-2"/>
          <w:sz w:val="24"/>
        </w:rPr>
        <w:t> </w:t>
      </w:r>
      <w:r>
        <w:rPr>
          <w:sz w:val="24"/>
        </w:rPr>
        <w:t>staff </w:t>
      </w:r>
      <w:r>
        <w:rPr>
          <w:spacing w:val="-2"/>
          <w:sz w:val="24"/>
        </w:rPr>
        <w:t>involved;</w:t>
      </w:r>
    </w:p>
    <w:p>
      <w:pPr>
        <w:pStyle w:val="ListParagraph"/>
        <w:numPr>
          <w:ilvl w:val="1"/>
          <w:numId w:val="350"/>
        </w:numPr>
        <w:tabs>
          <w:tab w:pos="1218" w:val="left" w:leader="none"/>
        </w:tabs>
        <w:spacing w:line="240" w:lineRule="auto" w:before="204" w:after="0"/>
        <w:ind w:left="1218" w:right="0" w:hanging="426"/>
        <w:jc w:val="left"/>
        <w:rPr>
          <w:sz w:val="24"/>
        </w:rPr>
      </w:pPr>
      <w:r>
        <w:rPr>
          <w:sz w:val="24"/>
        </w:rPr>
        <w:t>date(s)</w:t>
      </w:r>
      <w:r>
        <w:rPr>
          <w:spacing w:val="-4"/>
          <w:sz w:val="24"/>
        </w:rPr>
        <w:t> </w:t>
      </w:r>
      <w:r>
        <w:rPr>
          <w:sz w:val="24"/>
        </w:rPr>
        <w:t>of</w:t>
      </w:r>
      <w:r>
        <w:rPr>
          <w:spacing w:val="-1"/>
          <w:sz w:val="24"/>
        </w:rPr>
        <w:t> </w:t>
      </w:r>
      <w:r>
        <w:rPr>
          <w:sz w:val="24"/>
        </w:rPr>
        <w:t>birth</w:t>
      </w:r>
      <w:r>
        <w:rPr>
          <w:spacing w:val="-2"/>
          <w:sz w:val="24"/>
        </w:rPr>
        <w:t> </w:t>
      </w:r>
      <w:r>
        <w:rPr>
          <w:sz w:val="24"/>
        </w:rPr>
        <w:t>of</w:t>
      </w:r>
      <w:r>
        <w:rPr>
          <w:spacing w:val="-3"/>
          <w:sz w:val="24"/>
        </w:rPr>
        <w:t> </w:t>
      </w:r>
      <w:r>
        <w:rPr>
          <w:spacing w:val="-2"/>
          <w:sz w:val="24"/>
        </w:rPr>
        <w:t>student(s);</w:t>
      </w:r>
    </w:p>
    <w:p>
      <w:pPr>
        <w:pStyle w:val="ListParagraph"/>
        <w:numPr>
          <w:ilvl w:val="1"/>
          <w:numId w:val="350"/>
        </w:numPr>
        <w:tabs>
          <w:tab w:pos="1218" w:val="left" w:leader="none"/>
        </w:tabs>
        <w:spacing w:line="240" w:lineRule="auto" w:before="204" w:after="0"/>
        <w:ind w:left="1218" w:right="0" w:hanging="426"/>
        <w:jc w:val="left"/>
        <w:rPr>
          <w:sz w:val="24"/>
        </w:rPr>
      </w:pPr>
      <w:r>
        <w:rPr>
          <w:sz w:val="24"/>
        </w:rPr>
        <w:t>parent</w:t>
      </w:r>
      <w:r>
        <w:rPr>
          <w:spacing w:val="-6"/>
          <w:sz w:val="24"/>
        </w:rPr>
        <w:t> </w:t>
      </w:r>
      <w:r>
        <w:rPr>
          <w:sz w:val="24"/>
        </w:rPr>
        <w:t>names,</w:t>
      </w:r>
      <w:r>
        <w:rPr>
          <w:spacing w:val="-3"/>
          <w:sz w:val="24"/>
        </w:rPr>
        <w:t> </w:t>
      </w:r>
      <w:r>
        <w:rPr>
          <w:sz w:val="24"/>
        </w:rPr>
        <w:t>addresses,</w:t>
      </w:r>
      <w:r>
        <w:rPr>
          <w:spacing w:val="-2"/>
          <w:sz w:val="24"/>
        </w:rPr>
        <w:t> </w:t>
      </w:r>
      <w:r>
        <w:rPr>
          <w:sz w:val="24"/>
        </w:rPr>
        <w:t>and</w:t>
      </w:r>
      <w:r>
        <w:rPr>
          <w:spacing w:val="-4"/>
          <w:sz w:val="24"/>
        </w:rPr>
        <w:t> </w:t>
      </w:r>
      <w:r>
        <w:rPr>
          <w:sz w:val="24"/>
        </w:rPr>
        <w:t>phone</w:t>
      </w:r>
      <w:r>
        <w:rPr>
          <w:spacing w:val="-3"/>
          <w:sz w:val="24"/>
        </w:rPr>
        <w:t> </w:t>
      </w:r>
      <w:r>
        <w:rPr>
          <w:spacing w:val="-2"/>
          <w:sz w:val="24"/>
        </w:rPr>
        <w:t>numbers;</w:t>
      </w:r>
    </w:p>
    <w:p>
      <w:pPr>
        <w:pStyle w:val="ListParagraph"/>
        <w:numPr>
          <w:ilvl w:val="1"/>
          <w:numId w:val="350"/>
        </w:numPr>
        <w:tabs>
          <w:tab w:pos="1218" w:val="left" w:leader="none"/>
        </w:tabs>
        <w:spacing w:line="208" w:lineRule="auto" w:before="233" w:after="0"/>
        <w:ind w:left="792" w:right="1039" w:firstLine="0"/>
        <w:jc w:val="left"/>
        <w:rPr>
          <w:sz w:val="24"/>
        </w:rPr>
      </w:pPr>
      <w:r>
        <w:rPr>
          <w:sz w:val="24"/>
        </w:rPr>
        <w:t>nature</w:t>
      </w:r>
      <w:r>
        <w:rPr>
          <w:spacing w:val="-5"/>
          <w:sz w:val="24"/>
        </w:rPr>
        <w:t> </w:t>
      </w:r>
      <w:r>
        <w:rPr>
          <w:sz w:val="24"/>
        </w:rPr>
        <w:t>and</w:t>
      </w:r>
      <w:r>
        <w:rPr>
          <w:spacing w:val="-4"/>
          <w:sz w:val="24"/>
        </w:rPr>
        <w:t> </w:t>
      </w:r>
      <w:r>
        <w:rPr>
          <w:sz w:val="24"/>
        </w:rPr>
        <w:t>extent</w:t>
      </w:r>
      <w:r>
        <w:rPr>
          <w:spacing w:val="-3"/>
          <w:sz w:val="24"/>
        </w:rPr>
        <w:t> </w:t>
      </w:r>
      <w:r>
        <w:rPr>
          <w:sz w:val="24"/>
        </w:rPr>
        <w:t>of</w:t>
      </w:r>
      <w:r>
        <w:rPr>
          <w:spacing w:val="-3"/>
          <w:sz w:val="24"/>
        </w:rPr>
        <w:t> </w:t>
      </w:r>
      <w:r>
        <w:rPr>
          <w:sz w:val="24"/>
        </w:rPr>
        <w:t>injuries</w:t>
      </w:r>
      <w:r>
        <w:rPr>
          <w:spacing w:val="-4"/>
          <w:sz w:val="24"/>
        </w:rPr>
        <w:t> </w:t>
      </w:r>
      <w:r>
        <w:rPr>
          <w:sz w:val="24"/>
        </w:rPr>
        <w:t>or</w:t>
      </w:r>
      <w:r>
        <w:rPr>
          <w:spacing w:val="-3"/>
          <w:sz w:val="24"/>
        </w:rPr>
        <w:t> </w:t>
      </w:r>
      <w:r>
        <w:rPr>
          <w:sz w:val="24"/>
        </w:rPr>
        <w:t>description</w:t>
      </w:r>
      <w:r>
        <w:rPr>
          <w:spacing w:val="-4"/>
          <w:sz w:val="24"/>
        </w:rPr>
        <w:t> </w:t>
      </w:r>
      <w:r>
        <w:rPr>
          <w:sz w:val="24"/>
        </w:rPr>
        <w:t>of</w:t>
      </w:r>
      <w:r>
        <w:rPr>
          <w:spacing w:val="-3"/>
          <w:sz w:val="24"/>
        </w:rPr>
        <w:t> </w:t>
      </w:r>
      <w:r>
        <w:rPr>
          <w:sz w:val="24"/>
        </w:rPr>
        <w:t>abuse,</w:t>
      </w:r>
      <w:r>
        <w:rPr>
          <w:spacing w:val="-3"/>
          <w:sz w:val="24"/>
        </w:rPr>
        <w:t> </w:t>
      </w:r>
      <w:r>
        <w:rPr>
          <w:sz w:val="24"/>
        </w:rPr>
        <w:t>neglect,</w:t>
      </w:r>
      <w:r>
        <w:rPr>
          <w:spacing w:val="-3"/>
          <w:sz w:val="24"/>
        </w:rPr>
        <w:t> </w:t>
      </w:r>
      <w:r>
        <w:rPr>
          <w:sz w:val="24"/>
        </w:rPr>
        <w:t>or</w:t>
      </w:r>
      <w:r>
        <w:rPr>
          <w:spacing w:val="-5"/>
          <w:sz w:val="24"/>
        </w:rPr>
        <w:t> </w:t>
      </w:r>
      <w:r>
        <w:rPr>
          <w:sz w:val="24"/>
        </w:rPr>
        <w:t>inappropriate body contact; and</w:t>
      </w:r>
    </w:p>
    <w:p>
      <w:pPr>
        <w:pStyle w:val="ListParagraph"/>
        <w:numPr>
          <w:ilvl w:val="1"/>
          <w:numId w:val="350"/>
        </w:numPr>
        <w:tabs>
          <w:tab w:pos="1218" w:val="left" w:leader="none"/>
        </w:tabs>
        <w:spacing w:line="240" w:lineRule="auto" w:before="211" w:after="0"/>
        <w:ind w:left="1218" w:right="0" w:hanging="426"/>
        <w:jc w:val="left"/>
        <w:rPr>
          <w:sz w:val="24"/>
        </w:rPr>
      </w:pPr>
      <w:r>
        <w:rPr>
          <w:sz w:val="24"/>
        </w:rPr>
        <w:t>other</w:t>
      </w:r>
      <w:r>
        <w:rPr>
          <w:spacing w:val="-3"/>
          <w:sz w:val="24"/>
        </w:rPr>
        <w:t> </w:t>
      </w:r>
      <w:r>
        <w:rPr>
          <w:sz w:val="24"/>
        </w:rPr>
        <w:t>information</w:t>
      </w:r>
      <w:r>
        <w:rPr>
          <w:spacing w:val="-3"/>
          <w:sz w:val="24"/>
        </w:rPr>
        <w:t> </w:t>
      </w:r>
      <w:r>
        <w:rPr>
          <w:sz w:val="24"/>
        </w:rPr>
        <w:t>that</w:t>
      </w:r>
      <w:r>
        <w:rPr>
          <w:spacing w:val="-2"/>
          <w:sz w:val="24"/>
        </w:rPr>
        <w:t> </w:t>
      </w:r>
      <w:r>
        <w:rPr>
          <w:sz w:val="24"/>
        </w:rPr>
        <w:t>might</w:t>
      </w:r>
      <w:r>
        <w:rPr>
          <w:spacing w:val="-2"/>
          <w:sz w:val="24"/>
        </w:rPr>
        <w:t> </w:t>
      </w:r>
      <w:r>
        <w:rPr>
          <w:sz w:val="24"/>
        </w:rPr>
        <w:t>be</w:t>
      </w:r>
      <w:r>
        <w:rPr>
          <w:spacing w:val="-3"/>
          <w:sz w:val="24"/>
        </w:rPr>
        <w:t> </w:t>
      </w:r>
      <w:r>
        <w:rPr>
          <w:sz w:val="24"/>
        </w:rPr>
        <w:t>pertinent</w:t>
      </w:r>
      <w:r>
        <w:rPr>
          <w:spacing w:val="-2"/>
          <w:sz w:val="24"/>
        </w:rPr>
        <w:t> </w:t>
      </w:r>
      <w:r>
        <w:rPr>
          <w:sz w:val="24"/>
        </w:rPr>
        <w:t>to</w:t>
      </w:r>
      <w:r>
        <w:rPr>
          <w:spacing w:val="-3"/>
          <w:sz w:val="24"/>
        </w:rPr>
        <w:t> </w:t>
      </w:r>
      <w:r>
        <w:rPr>
          <w:sz w:val="24"/>
        </w:rPr>
        <w:t>the</w:t>
      </w:r>
      <w:r>
        <w:rPr>
          <w:spacing w:val="-3"/>
          <w:sz w:val="24"/>
        </w:rPr>
        <w:t> </w:t>
      </w:r>
      <w:r>
        <w:rPr>
          <w:spacing w:val="-2"/>
          <w:sz w:val="24"/>
        </w:rPr>
        <w:t>situation.</w:t>
      </w:r>
    </w:p>
    <w:p>
      <w:pPr>
        <w:pStyle w:val="ListParagraph"/>
        <w:spacing w:after="0" w:line="240" w:lineRule="auto"/>
        <w:jc w:val="left"/>
        <w:rPr>
          <w:sz w:val="24"/>
        </w:rPr>
        <w:sectPr>
          <w:pgSz w:w="12240" w:h="15840"/>
          <w:pgMar w:top="1340" w:bottom="280" w:left="1080" w:right="720"/>
        </w:sectPr>
      </w:pPr>
    </w:p>
    <w:p>
      <w:pPr>
        <w:pStyle w:val="ListParagraph"/>
        <w:numPr>
          <w:ilvl w:val="0"/>
          <w:numId w:val="349"/>
        </w:numPr>
        <w:tabs>
          <w:tab w:pos="786" w:val="left" w:leader="none"/>
        </w:tabs>
        <w:spacing w:line="258" w:lineRule="exact" w:before="67" w:after="0"/>
        <w:ind w:left="786" w:right="0" w:hanging="426"/>
        <w:jc w:val="left"/>
        <w:rPr>
          <w:sz w:val="24"/>
        </w:rPr>
      </w:pPr>
      <w:r>
        <w:rPr>
          <w:sz w:val="24"/>
        </w:rPr>
        <w:t>The</w:t>
      </w:r>
      <w:r>
        <w:rPr>
          <w:spacing w:val="-6"/>
          <w:sz w:val="24"/>
        </w:rPr>
        <w:t> </w:t>
      </w:r>
      <w:r>
        <w:rPr>
          <w:sz w:val="24"/>
        </w:rPr>
        <w:t>school</w:t>
      </w:r>
      <w:r>
        <w:rPr>
          <w:spacing w:val="-3"/>
          <w:sz w:val="24"/>
        </w:rPr>
        <w:t> </w:t>
      </w:r>
      <w:r>
        <w:rPr>
          <w:sz w:val="24"/>
        </w:rPr>
        <w:t>social</w:t>
      </w:r>
      <w:r>
        <w:rPr>
          <w:spacing w:val="-2"/>
          <w:sz w:val="24"/>
        </w:rPr>
        <w:t> </w:t>
      </w:r>
      <w:r>
        <w:rPr>
          <w:sz w:val="24"/>
        </w:rPr>
        <w:t>worker</w:t>
      </w:r>
      <w:r>
        <w:rPr>
          <w:spacing w:val="-2"/>
          <w:sz w:val="24"/>
        </w:rPr>
        <w:t> </w:t>
      </w:r>
      <w:r>
        <w:rPr>
          <w:sz w:val="24"/>
        </w:rPr>
        <w:t>or</w:t>
      </w:r>
      <w:r>
        <w:rPr>
          <w:spacing w:val="-2"/>
          <w:sz w:val="24"/>
        </w:rPr>
        <w:t> </w:t>
      </w:r>
      <w:r>
        <w:rPr>
          <w:sz w:val="24"/>
        </w:rPr>
        <w:t>designee</w:t>
      </w:r>
      <w:r>
        <w:rPr>
          <w:spacing w:val="-4"/>
          <w:sz w:val="24"/>
        </w:rPr>
        <w:t> </w:t>
      </w:r>
      <w:r>
        <w:rPr>
          <w:sz w:val="24"/>
        </w:rPr>
        <w:t>will</w:t>
      </w:r>
      <w:r>
        <w:rPr>
          <w:spacing w:val="-3"/>
          <w:sz w:val="24"/>
        </w:rPr>
        <w:t> </w:t>
      </w:r>
      <w:r>
        <w:rPr>
          <w:sz w:val="24"/>
        </w:rPr>
        <w:t>document</w:t>
      </w:r>
      <w:r>
        <w:rPr>
          <w:spacing w:val="-2"/>
          <w:sz w:val="24"/>
        </w:rPr>
        <w:t> </w:t>
      </w:r>
      <w:r>
        <w:rPr>
          <w:sz w:val="24"/>
        </w:rPr>
        <w:t>the</w:t>
      </w:r>
      <w:r>
        <w:rPr>
          <w:spacing w:val="-3"/>
          <w:sz w:val="24"/>
        </w:rPr>
        <w:t> </w:t>
      </w:r>
      <w:r>
        <w:rPr>
          <w:sz w:val="24"/>
        </w:rPr>
        <w:t>information</w:t>
      </w:r>
      <w:r>
        <w:rPr>
          <w:spacing w:val="-3"/>
          <w:sz w:val="24"/>
        </w:rPr>
        <w:t> </w:t>
      </w:r>
      <w:r>
        <w:rPr>
          <w:sz w:val="24"/>
        </w:rPr>
        <w:t>in</w:t>
      </w:r>
      <w:r>
        <w:rPr>
          <w:spacing w:val="-3"/>
          <w:sz w:val="24"/>
        </w:rPr>
        <w:t> </w:t>
      </w:r>
      <w:r>
        <w:rPr>
          <w:spacing w:val="-2"/>
          <w:sz w:val="24"/>
        </w:rPr>
        <w:t>Paragraphs</w:t>
      </w:r>
    </w:p>
    <w:p>
      <w:pPr>
        <w:pStyle w:val="ListParagraph"/>
        <w:numPr>
          <w:ilvl w:val="1"/>
          <w:numId w:val="349"/>
        </w:numPr>
        <w:tabs>
          <w:tab w:pos="720" w:val="left" w:leader="none"/>
        </w:tabs>
        <w:spacing w:line="208" w:lineRule="auto" w:before="11" w:after="0"/>
        <w:ind w:left="360" w:right="1165" w:firstLine="0"/>
        <w:jc w:val="left"/>
        <w:rPr>
          <w:sz w:val="24"/>
        </w:rPr>
      </w:pPr>
      <w:r>
        <w:rPr>
          <w:sz w:val="24"/>
        </w:rPr>
        <w:t>through</w:t>
      </w:r>
      <w:r>
        <w:rPr>
          <w:spacing w:val="-3"/>
          <w:sz w:val="24"/>
        </w:rPr>
        <w:t> </w:t>
      </w:r>
      <w:r>
        <w:rPr>
          <w:sz w:val="24"/>
        </w:rPr>
        <w:t>(7)</w:t>
      </w:r>
      <w:r>
        <w:rPr>
          <w:spacing w:val="-4"/>
          <w:sz w:val="24"/>
        </w:rPr>
        <w:t> </w:t>
      </w:r>
      <w:r>
        <w:rPr>
          <w:sz w:val="24"/>
        </w:rPr>
        <w:t>for</w:t>
      </w:r>
      <w:r>
        <w:rPr>
          <w:spacing w:val="-2"/>
          <w:sz w:val="24"/>
        </w:rPr>
        <w:t> </w:t>
      </w:r>
      <w:r>
        <w:rPr>
          <w:sz w:val="24"/>
        </w:rPr>
        <w:t>each</w:t>
      </w:r>
      <w:r>
        <w:rPr>
          <w:spacing w:val="-3"/>
          <w:sz w:val="24"/>
        </w:rPr>
        <w:t> </w:t>
      </w:r>
      <w:r>
        <w:rPr>
          <w:sz w:val="24"/>
        </w:rPr>
        <w:t>incident</w:t>
      </w:r>
      <w:r>
        <w:rPr>
          <w:spacing w:val="-2"/>
          <w:sz w:val="24"/>
        </w:rPr>
        <w:t> </w:t>
      </w:r>
      <w:r>
        <w:rPr>
          <w:sz w:val="24"/>
        </w:rPr>
        <w:t>reported</w:t>
      </w:r>
      <w:r>
        <w:rPr>
          <w:spacing w:val="-3"/>
          <w:sz w:val="24"/>
        </w:rPr>
        <w:t> </w:t>
      </w:r>
      <w:r>
        <w:rPr>
          <w:sz w:val="24"/>
        </w:rPr>
        <w:t>in</w:t>
      </w:r>
      <w:r>
        <w:rPr>
          <w:spacing w:val="-3"/>
          <w:sz w:val="24"/>
        </w:rPr>
        <w:t> </w:t>
      </w:r>
      <w:r>
        <w:rPr>
          <w:sz w:val="24"/>
        </w:rPr>
        <w:t>a</w:t>
      </w:r>
      <w:r>
        <w:rPr>
          <w:spacing w:val="-3"/>
          <w:sz w:val="24"/>
        </w:rPr>
        <w:t> </w:t>
      </w:r>
      <w:r>
        <w:rPr>
          <w:sz w:val="24"/>
        </w:rPr>
        <w:t>separate</w:t>
      </w:r>
      <w:r>
        <w:rPr>
          <w:spacing w:val="-3"/>
          <w:sz w:val="24"/>
        </w:rPr>
        <w:t> </w:t>
      </w:r>
      <w:r>
        <w:rPr>
          <w:sz w:val="24"/>
        </w:rPr>
        <w:t>record</w:t>
      </w:r>
      <w:r>
        <w:rPr>
          <w:spacing w:val="-3"/>
          <w:sz w:val="24"/>
        </w:rPr>
        <w:t> </w:t>
      </w:r>
      <w:r>
        <w:rPr>
          <w:sz w:val="24"/>
        </w:rPr>
        <w:t>which</w:t>
      </w:r>
      <w:r>
        <w:rPr>
          <w:spacing w:val="-3"/>
          <w:sz w:val="24"/>
        </w:rPr>
        <w:t> </w:t>
      </w:r>
      <w:r>
        <w:rPr>
          <w:sz w:val="24"/>
        </w:rPr>
        <w:t>will</w:t>
      </w:r>
      <w:r>
        <w:rPr>
          <w:spacing w:val="-3"/>
          <w:sz w:val="24"/>
        </w:rPr>
        <w:t> </w:t>
      </w:r>
      <w:r>
        <w:rPr>
          <w:sz w:val="24"/>
        </w:rPr>
        <w:t>be</w:t>
      </w:r>
      <w:r>
        <w:rPr>
          <w:spacing w:val="-3"/>
          <w:sz w:val="24"/>
        </w:rPr>
        <w:t> </w:t>
      </w:r>
      <w:r>
        <w:rPr>
          <w:sz w:val="24"/>
        </w:rPr>
        <w:t>kept</w:t>
      </w:r>
      <w:r>
        <w:rPr>
          <w:spacing w:val="-2"/>
          <w:sz w:val="24"/>
        </w:rPr>
        <w:t> </w:t>
      </w:r>
      <w:r>
        <w:rPr>
          <w:sz w:val="24"/>
        </w:rPr>
        <w:t>in</w:t>
      </w:r>
      <w:r>
        <w:rPr>
          <w:spacing w:val="-3"/>
          <w:sz w:val="24"/>
        </w:rPr>
        <w:t> </w:t>
      </w:r>
      <w:r>
        <w:rPr>
          <w:sz w:val="24"/>
        </w:rPr>
        <w:t>a locked file:</w:t>
      </w:r>
    </w:p>
    <w:p>
      <w:pPr>
        <w:pStyle w:val="ListParagraph"/>
        <w:numPr>
          <w:ilvl w:val="2"/>
          <w:numId w:val="349"/>
        </w:numPr>
        <w:tabs>
          <w:tab w:pos="1217" w:val="left" w:leader="none"/>
        </w:tabs>
        <w:spacing w:line="240" w:lineRule="auto" w:before="210" w:after="0"/>
        <w:ind w:left="1217" w:right="0" w:hanging="426"/>
        <w:jc w:val="left"/>
        <w:rPr>
          <w:sz w:val="24"/>
        </w:rPr>
      </w:pPr>
      <w:r>
        <w:rPr>
          <w:sz w:val="24"/>
        </w:rPr>
        <w:t>date</w:t>
      </w:r>
      <w:r>
        <w:rPr>
          <w:spacing w:val="-4"/>
          <w:sz w:val="24"/>
        </w:rPr>
        <w:t> </w:t>
      </w:r>
      <w:r>
        <w:rPr>
          <w:sz w:val="24"/>
        </w:rPr>
        <w:t>the</w:t>
      </w:r>
      <w:r>
        <w:rPr>
          <w:spacing w:val="-2"/>
          <w:sz w:val="24"/>
        </w:rPr>
        <w:t> </w:t>
      </w:r>
      <w:r>
        <w:rPr>
          <w:sz w:val="24"/>
        </w:rPr>
        <w:t>report</w:t>
      </w:r>
      <w:r>
        <w:rPr>
          <w:spacing w:val="-2"/>
          <w:sz w:val="24"/>
        </w:rPr>
        <w:t> </w:t>
      </w:r>
      <w:r>
        <w:rPr>
          <w:sz w:val="24"/>
        </w:rPr>
        <w:t>was</w:t>
      </w:r>
      <w:r>
        <w:rPr>
          <w:spacing w:val="-2"/>
          <w:sz w:val="24"/>
        </w:rPr>
        <w:t> received;</w:t>
      </w:r>
    </w:p>
    <w:p>
      <w:pPr>
        <w:pStyle w:val="ListParagraph"/>
        <w:numPr>
          <w:ilvl w:val="2"/>
          <w:numId w:val="349"/>
        </w:numPr>
        <w:tabs>
          <w:tab w:pos="1217" w:val="left" w:leader="none"/>
        </w:tabs>
        <w:spacing w:line="208" w:lineRule="auto" w:before="234" w:after="0"/>
        <w:ind w:left="791" w:right="986" w:firstLine="0"/>
        <w:jc w:val="left"/>
        <w:rPr>
          <w:sz w:val="24"/>
        </w:rPr>
      </w:pPr>
      <w:r>
        <w:rPr>
          <w:sz w:val="24"/>
        </w:rPr>
        <w:t>person</w:t>
      </w:r>
      <w:r>
        <w:rPr>
          <w:spacing w:val="-5"/>
          <w:sz w:val="24"/>
        </w:rPr>
        <w:t> </w:t>
      </w:r>
      <w:r>
        <w:rPr>
          <w:sz w:val="24"/>
        </w:rPr>
        <w:t>contacted,</w:t>
      </w:r>
      <w:r>
        <w:rPr>
          <w:spacing w:val="-5"/>
          <w:sz w:val="24"/>
        </w:rPr>
        <w:t> </w:t>
      </w:r>
      <w:r>
        <w:rPr>
          <w:sz w:val="24"/>
        </w:rPr>
        <w:t>and</w:t>
      </w:r>
      <w:r>
        <w:rPr>
          <w:spacing w:val="-4"/>
          <w:sz w:val="24"/>
        </w:rPr>
        <w:t> </w:t>
      </w:r>
      <w:r>
        <w:rPr>
          <w:sz w:val="24"/>
        </w:rPr>
        <w:t>date/time</w:t>
      </w:r>
      <w:r>
        <w:rPr>
          <w:spacing w:val="-4"/>
          <w:sz w:val="24"/>
        </w:rPr>
        <w:t> </w:t>
      </w:r>
      <w:r>
        <w:rPr>
          <w:sz w:val="24"/>
        </w:rPr>
        <w:t>of</w:t>
      </w:r>
      <w:r>
        <w:rPr>
          <w:spacing w:val="-3"/>
          <w:sz w:val="24"/>
        </w:rPr>
        <w:t> </w:t>
      </w:r>
      <w:r>
        <w:rPr>
          <w:sz w:val="24"/>
        </w:rPr>
        <w:t>contact,</w:t>
      </w:r>
      <w:r>
        <w:rPr>
          <w:spacing w:val="-3"/>
          <w:sz w:val="24"/>
        </w:rPr>
        <w:t> </w:t>
      </w:r>
      <w:r>
        <w:rPr>
          <w:sz w:val="24"/>
        </w:rPr>
        <w:t>when</w:t>
      </w:r>
      <w:r>
        <w:rPr>
          <w:spacing w:val="-4"/>
          <w:sz w:val="24"/>
        </w:rPr>
        <w:t> </w:t>
      </w:r>
      <w:r>
        <w:rPr>
          <w:sz w:val="24"/>
        </w:rPr>
        <w:t>report</w:t>
      </w:r>
      <w:r>
        <w:rPr>
          <w:spacing w:val="-3"/>
          <w:sz w:val="24"/>
        </w:rPr>
        <w:t> </w:t>
      </w:r>
      <w:r>
        <w:rPr>
          <w:sz w:val="24"/>
        </w:rPr>
        <w:t>was</w:t>
      </w:r>
      <w:r>
        <w:rPr>
          <w:spacing w:val="-4"/>
          <w:sz w:val="24"/>
        </w:rPr>
        <w:t> </w:t>
      </w:r>
      <w:r>
        <w:rPr>
          <w:sz w:val="24"/>
        </w:rPr>
        <w:t>forwarded</w:t>
      </w:r>
      <w:r>
        <w:rPr>
          <w:spacing w:val="-4"/>
          <w:sz w:val="24"/>
        </w:rPr>
        <w:t> </w:t>
      </w:r>
      <w:r>
        <w:rPr>
          <w:sz w:val="24"/>
        </w:rPr>
        <w:t>to</w:t>
      </w:r>
      <w:r>
        <w:rPr>
          <w:spacing w:val="-4"/>
          <w:sz w:val="24"/>
        </w:rPr>
        <w:t> </w:t>
      </w:r>
      <w:r>
        <w:rPr>
          <w:sz w:val="24"/>
        </w:rPr>
        <w:t>the appropriate authorities;</w:t>
      </w:r>
    </w:p>
    <w:p>
      <w:pPr>
        <w:pStyle w:val="ListParagraph"/>
        <w:numPr>
          <w:ilvl w:val="2"/>
          <w:numId w:val="349"/>
        </w:numPr>
        <w:tabs>
          <w:tab w:pos="1218" w:val="left" w:leader="none"/>
        </w:tabs>
        <w:spacing w:line="240" w:lineRule="auto" w:before="210" w:after="0"/>
        <w:ind w:left="1218" w:right="0" w:hanging="426"/>
        <w:jc w:val="left"/>
        <w:rPr>
          <w:sz w:val="24"/>
        </w:rPr>
      </w:pPr>
      <w:r>
        <w:rPr>
          <w:sz w:val="24"/>
        </w:rPr>
        <w:t>date</w:t>
      </w:r>
      <w:r>
        <w:rPr>
          <w:spacing w:val="-6"/>
          <w:sz w:val="24"/>
        </w:rPr>
        <w:t> </w:t>
      </w:r>
      <w:r>
        <w:rPr>
          <w:sz w:val="24"/>
        </w:rPr>
        <w:t>and</w:t>
      </w:r>
      <w:r>
        <w:rPr>
          <w:spacing w:val="-2"/>
          <w:sz w:val="24"/>
        </w:rPr>
        <w:t> </w:t>
      </w:r>
      <w:r>
        <w:rPr>
          <w:sz w:val="24"/>
        </w:rPr>
        <w:t>time</w:t>
      </w:r>
      <w:r>
        <w:rPr>
          <w:spacing w:val="-3"/>
          <w:sz w:val="24"/>
        </w:rPr>
        <w:t> </w:t>
      </w:r>
      <w:r>
        <w:rPr>
          <w:sz w:val="24"/>
        </w:rPr>
        <w:t>parent</w:t>
      </w:r>
      <w:r>
        <w:rPr>
          <w:spacing w:val="-1"/>
          <w:sz w:val="24"/>
        </w:rPr>
        <w:t> </w:t>
      </w:r>
      <w:r>
        <w:rPr>
          <w:sz w:val="24"/>
        </w:rPr>
        <w:t>was</w:t>
      </w:r>
      <w:r>
        <w:rPr>
          <w:spacing w:val="-3"/>
          <w:sz w:val="24"/>
        </w:rPr>
        <w:t> </w:t>
      </w:r>
      <w:r>
        <w:rPr>
          <w:sz w:val="24"/>
        </w:rPr>
        <w:t>contacted</w:t>
      </w:r>
      <w:r>
        <w:rPr>
          <w:spacing w:val="-2"/>
          <w:sz w:val="24"/>
        </w:rPr>
        <w:t> </w:t>
      </w:r>
      <w:r>
        <w:rPr>
          <w:sz w:val="24"/>
        </w:rPr>
        <w:t>(as</w:t>
      </w:r>
      <w:r>
        <w:rPr>
          <w:spacing w:val="-2"/>
          <w:sz w:val="24"/>
        </w:rPr>
        <w:t> appropriate);</w:t>
      </w:r>
    </w:p>
    <w:p>
      <w:pPr>
        <w:pStyle w:val="ListParagraph"/>
        <w:numPr>
          <w:ilvl w:val="2"/>
          <w:numId w:val="349"/>
        </w:numPr>
        <w:tabs>
          <w:tab w:pos="1217" w:val="left" w:leader="none"/>
        </w:tabs>
        <w:spacing w:line="208" w:lineRule="auto" w:before="234" w:after="0"/>
        <w:ind w:left="792" w:right="799" w:firstLine="0"/>
        <w:jc w:val="left"/>
        <w:rPr>
          <w:sz w:val="24"/>
        </w:rPr>
      </w:pPr>
      <w:r>
        <w:rPr>
          <w:sz w:val="24"/>
        </w:rPr>
        <w:t>response</w:t>
      </w:r>
      <w:r>
        <w:rPr>
          <w:spacing w:val="-3"/>
          <w:sz w:val="24"/>
        </w:rPr>
        <w:t> </w:t>
      </w:r>
      <w:r>
        <w:rPr>
          <w:sz w:val="24"/>
        </w:rPr>
        <w:t>of</w:t>
      </w:r>
      <w:r>
        <w:rPr>
          <w:spacing w:val="-2"/>
          <w:sz w:val="24"/>
        </w:rPr>
        <w:t> </w:t>
      </w:r>
      <w:r>
        <w:rPr>
          <w:sz w:val="24"/>
        </w:rPr>
        <w:t>authorities</w:t>
      </w:r>
      <w:r>
        <w:rPr>
          <w:spacing w:val="-3"/>
          <w:sz w:val="24"/>
        </w:rPr>
        <w:t> </w:t>
      </w:r>
      <w:r>
        <w:rPr>
          <w:sz w:val="24"/>
        </w:rPr>
        <w:t>to</w:t>
      </w:r>
      <w:r>
        <w:rPr>
          <w:spacing w:val="-3"/>
          <w:sz w:val="24"/>
        </w:rPr>
        <w:t> </w:t>
      </w:r>
      <w:r>
        <w:rPr>
          <w:sz w:val="24"/>
        </w:rPr>
        <w:t>include</w:t>
      </w:r>
      <w:r>
        <w:rPr>
          <w:spacing w:val="-3"/>
          <w:sz w:val="24"/>
        </w:rPr>
        <w:t> </w:t>
      </w:r>
      <w:r>
        <w:rPr>
          <w:sz w:val="24"/>
        </w:rPr>
        <w:t>date,</w:t>
      </w:r>
      <w:r>
        <w:rPr>
          <w:spacing w:val="-2"/>
          <w:sz w:val="24"/>
        </w:rPr>
        <w:t> </w:t>
      </w:r>
      <w:r>
        <w:rPr>
          <w:sz w:val="24"/>
        </w:rPr>
        <w:t>time,</w:t>
      </w:r>
      <w:r>
        <w:rPr>
          <w:spacing w:val="-2"/>
          <w:sz w:val="24"/>
        </w:rPr>
        <w:t> </w:t>
      </w:r>
      <w:r>
        <w:rPr>
          <w:sz w:val="24"/>
        </w:rPr>
        <w:t>and</w:t>
      </w:r>
      <w:r>
        <w:rPr>
          <w:spacing w:val="-3"/>
          <w:sz w:val="24"/>
        </w:rPr>
        <w:t> </w:t>
      </w:r>
      <w:r>
        <w:rPr>
          <w:sz w:val="24"/>
        </w:rPr>
        <w:t>time</w:t>
      </w:r>
      <w:r>
        <w:rPr>
          <w:spacing w:val="-3"/>
          <w:sz w:val="24"/>
        </w:rPr>
        <w:t> </w:t>
      </w:r>
      <w:r>
        <w:rPr>
          <w:sz w:val="24"/>
        </w:rPr>
        <w:t>of</w:t>
      </w:r>
      <w:r>
        <w:rPr>
          <w:spacing w:val="-4"/>
          <w:sz w:val="24"/>
        </w:rPr>
        <w:t> </w:t>
      </w:r>
      <w:r>
        <w:rPr>
          <w:sz w:val="24"/>
        </w:rPr>
        <w:t>response</w:t>
      </w:r>
      <w:r>
        <w:rPr>
          <w:spacing w:val="-3"/>
          <w:sz w:val="24"/>
        </w:rPr>
        <w:t> </w:t>
      </w:r>
      <w:r>
        <w:rPr>
          <w:sz w:val="24"/>
        </w:rPr>
        <w:t>and</w:t>
      </w:r>
      <w:r>
        <w:rPr>
          <w:spacing w:val="-3"/>
          <w:sz w:val="24"/>
        </w:rPr>
        <w:t> </w:t>
      </w:r>
      <w:r>
        <w:rPr>
          <w:sz w:val="24"/>
        </w:rPr>
        <w:t>name</w:t>
      </w:r>
      <w:r>
        <w:rPr>
          <w:spacing w:val="-3"/>
          <w:sz w:val="24"/>
        </w:rPr>
        <w:t> </w:t>
      </w:r>
      <w:r>
        <w:rPr>
          <w:sz w:val="24"/>
        </w:rPr>
        <w:t>of contact person;</w:t>
      </w:r>
    </w:p>
    <w:p>
      <w:pPr>
        <w:pStyle w:val="ListParagraph"/>
        <w:numPr>
          <w:ilvl w:val="2"/>
          <w:numId w:val="349"/>
        </w:numPr>
        <w:tabs>
          <w:tab w:pos="1218" w:val="left" w:leader="none"/>
        </w:tabs>
        <w:spacing w:line="240" w:lineRule="auto" w:before="210" w:after="0"/>
        <w:ind w:left="1218" w:right="0" w:hanging="426"/>
        <w:jc w:val="left"/>
        <w:rPr>
          <w:sz w:val="24"/>
        </w:rPr>
      </w:pPr>
      <w:r>
        <w:rPr>
          <w:sz w:val="24"/>
        </w:rPr>
        <w:t>investigative</w:t>
      </w:r>
      <w:r>
        <w:rPr>
          <w:spacing w:val="-6"/>
          <w:sz w:val="24"/>
        </w:rPr>
        <w:t> </w:t>
      </w:r>
      <w:r>
        <w:rPr>
          <w:sz w:val="24"/>
        </w:rPr>
        <w:t>reports</w:t>
      </w:r>
      <w:r>
        <w:rPr>
          <w:spacing w:val="-5"/>
          <w:sz w:val="24"/>
        </w:rPr>
        <w:t> </w:t>
      </w:r>
      <w:r>
        <w:rPr>
          <w:sz w:val="24"/>
        </w:rPr>
        <w:t>from</w:t>
      </w:r>
      <w:r>
        <w:rPr>
          <w:spacing w:val="-4"/>
          <w:sz w:val="24"/>
        </w:rPr>
        <w:t> </w:t>
      </w:r>
      <w:r>
        <w:rPr>
          <w:spacing w:val="-2"/>
          <w:sz w:val="24"/>
        </w:rPr>
        <w:t>staff;</w:t>
      </w:r>
    </w:p>
    <w:p>
      <w:pPr>
        <w:pStyle w:val="ListParagraph"/>
        <w:numPr>
          <w:ilvl w:val="2"/>
          <w:numId w:val="349"/>
        </w:numPr>
        <w:tabs>
          <w:tab w:pos="1218" w:val="left" w:leader="none"/>
        </w:tabs>
        <w:spacing w:line="240" w:lineRule="auto" w:before="204" w:after="0"/>
        <w:ind w:left="1218" w:right="0" w:hanging="426"/>
        <w:jc w:val="left"/>
        <w:rPr>
          <w:sz w:val="24"/>
        </w:rPr>
      </w:pPr>
      <w:r>
        <w:rPr>
          <w:sz w:val="24"/>
        </w:rPr>
        <w:t>investigative</w:t>
      </w:r>
      <w:r>
        <w:rPr>
          <w:spacing w:val="-4"/>
          <w:sz w:val="24"/>
        </w:rPr>
        <w:t> </w:t>
      </w:r>
      <w:r>
        <w:rPr>
          <w:sz w:val="24"/>
        </w:rPr>
        <w:t>summary</w:t>
      </w:r>
      <w:r>
        <w:rPr>
          <w:spacing w:val="-4"/>
          <w:sz w:val="24"/>
        </w:rPr>
        <w:t> </w:t>
      </w:r>
      <w:r>
        <w:rPr>
          <w:sz w:val="24"/>
        </w:rPr>
        <w:t>by</w:t>
      </w:r>
      <w:r>
        <w:rPr>
          <w:spacing w:val="-3"/>
          <w:sz w:val="24"/>
        </w:rPr>
        <w:t> </w:t>
      </w:r>
      <w:r>
        <w:rPr>
          <w:sz w:val="24"/>
        </w:rPr>
        <w:t>school</w:t>
      </w:r>
      <w:r>
        <w:rPr>
          <w:spacing w:val="-4"/>
          <w:sz w:val="24"/>
        </w:rPr>
        <w:t> </w:t>
      </w:r>
      <w:r>
        <w:rPr>
          <w:sz w:val="24"/>
        </w:rPr>
        <w:t>social</w:t>
      </w:r>
      <w:r>
        <w:rPr>
          <w:spacing w:val="-3"/>
          <w:sz w:val="24"/>
        </w:rPr>
        <w:t> </w:t>
      </w:r>
      <w:r>
        <w:rPr>
          <w:sz w:val="24"/>
        </w:rPr>
        <w:t>worker</w:t>
      </w:r>
      <w:r>
        <w:rPr>
          <w:spacing w:val="-2"/>
          <w:sz w:val="24"/>
        </w:rPr>
        <w:t> </w:t>
      </w:r>
      <w:r>
        <w:rPr>
          <w:sz w:val="24"/>
        </w:rPr>
        <w:t>or</w:t>
      </w:r>
      <w:r>
        <w:rPr>
          <w:spacing w:val="-3"/>
          <w:sz w:val="24"/>
        </w:rPr>
        <w:t> </w:t>
      </w:r>
      <w:r>
        <w:rPr>
          <w:sz w:val="24"/>
        </w:rPr>
        <w:t>designee;</w:t>
      </w:r>
      <w:r>
        <w:rPr>
          <w:spacing w:val="-2"/>
          <w:sz w:val="24"/>
        </w:rPr>
        <w:t> </w:t>
      </w:r>
      <w:r>
        <w:rPr>
          <w:spacing w:val="-5"/>
          <w:sz w:val="24"/>
        </w:rPr>
        <w:t>and</w:t>
      </w:r>
    </w:p>
    <w:p>
      <w:pPr>
        <w:pStyle w:val="ListParagraph"/>
        <w:numPr>
          <w:ilvl w:val="2"/>
          <w:numId w:val="349"/>
        </w:numPr>
        <w:tabs>
          <w:tab w:pos="1218" w:val="left" w:leader="none"/>
        </w:tabs>
        <w:spacing w:line="240" w:lineRule="auto" w:before="204" w:after="0"/>
        <w:ind w:left="1218" w:right="0" w:hanging="426"/>
        <w:jc w:val="left"/>
        <w:rPr>
          <w:sz w:val="24"/>
        </w:rPr>
      </w:pPr>
      <w:r>
        <w:rPr>
          <w:sz w:val="24"/>
        </w:rPr>
        <w:t>parent</w:t>
      </w:r>
      <w:r>
        <w:rPr>
          <w:spacing w:val="-5"/>
          <w:sz w:val="24"/>
        </w:rPr>
        <w:t> </w:t>
      </w:r>
      <w:r>
        <w:rPr>
          <w:sz w:val="24"/>
        </w:rPr>
        <w:t>contacts</w:t>
      </w:r>
      <w:r>
        <w:rPr>
          <w:spacing w:val="-2"/>
          <w:sz w:val="24"/>
        </w:rPr>
        <w:t> </w:t>
      </w:r>
      <w:r>
        <w:rPr>
          <w:sz w:val="24"/>
        </w:rPr>
        <w:t>with</w:t>
      </w:r>
      <w:r>
        <w:rPr>
          <w:spacing w:val="-3"/>
          <w:sz w:val="24"/>
        </w:rPr>
        <w:t> </w:t>
      </w:r>
      <w:r>
        <w:rPr>
          <w:sz w:val="24"/>
        </w:rPr>
        <w:t>the</w:t>
      </w:r>
      <w:r>
        <w:rPr>
          <w:spacing w:val="-2"/>
          <w:sz w:val="24"/>
        </w:rPr>
        <w:t> school.</w:t>
      </w:r>
    </w:p>
    <w:p>
      <w:pPr>
        <w:pStyle w:val="ListParagraph"/>
        <w:numPr>
          <w:ilvl w:val="0"/>
          <w:numId w:val="349"/>
        </w:numPr>
        <w:tabs>
          <w:tab w:pos="719" w:val="left" w:leader="none"/>
        </w:tabs>
        <w:spacing w:line="208" w:lineRule="auto" w:before="233" w:after="0"/>
        <w:ind w:left="360" w:right="1820" w:firstLine="0"/>
        <w:jc w:val="left"/>
        <w:rPr>
          <w:sz w:val="24"/>
        </w:rPr>
      </w:pPr>
      <w:r>
        <w:rPr>
          <w:sz w:val="24"/>
        </w:rPr>
        <w:t>Procedure</w:t>
      </w:r>
      <w:r>
        <w:rPr>
          <w:spacing w:val="-5"/>
          <w:sz w:val="24"/>
        </w:rPr>
        <w:t> </w:t>
      </w:r>
      <w:r>
        <w:rPr>
          <w:sz w:val="24"/>
        </w:rPr>
        <w:t>for</w:t>
      </w:r>
      <w:r>
        <w:rPr>
          <w:spacing w:val="-6"/>
          <w:sz w:val="24"/>
        </w:rPr>
        <w:t> </w:t>
      </w:r>
      <w:r>
        <w:rPr>
          <w:sz w:val="24"/>
        </w:rPr>
        <w:t>reporting</w:t>
      </w:r>
      <w:r>
        <w:rPr>
          <w:spacing w:val="-5"/>
          <w:sz w:val="24"/>
        </w:rPr>
        <w:t> </w:t>
      </w:r>
      <w:r>
        <w:rPr>
          <w:sz w:val="24"/>
        </w:rPr>
        <w:t>suspected</w:t>
      </w:r>
      <w:r>
        <w:rPr>
          <w:spacing w:val="-5"/>
          <w:sz w:val="24"/>
        </w:rPr>
        <w:t> </w:t>
      </w:r>
      <w:r>
        <w:rPr>
          <w:sz w:val="24"/>
        </w:rPr>
        <w:t>abuse,</w:t>
      </w:r>
      <w:r>
        <w:rPr>
          <w:spacing w:val="-4"/>
          <w:sz w:val="24"/>
        </w:rPr>
        <w:t> </w:t>
      </w:r>
      <w:r>
        <w:rPr>
          <w:sz w:val="24"/>
        </w:rPr>
        <w:t>neglect,</w:t>
      </w:r>
      <w:r>
        <w:rPr>
          <w:spacing w:val="-6"/>
          <w:sz w:val="24"/>
        </w:rPr>
        <w:t> </w:t>
      </w:r>
      <w:r>
        <w:rPr>
          <w:sz w:val="24"/>
        </w:rPr>
        <w:t>verbal</w:t>
      </w:r>
      <w:r>
        <w:rPr>
          <w:spacing w:val="-5"/>
          <w:sz w:val="24"/>
        </w:rPr>
        <w:t> </w:t>
      </w:r>
      <w:r>
        <w:rPr>
          <w:sz w:val="24"/>
        </w:rPr>
        <w:t>abuse,</w:t>
      </w:r>
      <w:r>
        <w:rPr>
          <w:spacing w:val="-4"/>
          <w:sz w:val="24"/>
        </w:rPr>
        <w:t> </w:t>
      </w:r>
      <w:r>
        <w:rPr>
          <w:sz w:val="24"/>
        </w:rPr>
        <w:t>caretaker misconduct and exploitation</w:t>
      </w:r>
    </w:p>
    <w:p>
      <w:pPr>
        <w:pStyle w:val="Heading2"/>
        <w:numPr>
          <w:ilvl w:val="1"/>
          <w:numId w:val="349"/>
        </w:numPr>
        <w:tabs>
          <w:tab w:pos="1218" w:val="left" w:leader="none"/>
        </w:tabs>
        <w:spacing w:line="240" w:lineRule="auto" w:before="211" w:after="0"/>
        <w:ind w:left="1218" w:right="0" w:hanging="426"/>
        <w:jc w:val="left"/>
      </w:pPr>
      <w:r>
        <w:rPr/>
        <w:t>Reporting</w:t>
      </w:r>
      <w:r>
        <w:rPr>
          <w:spacing w:val="-5"/>
        </w:rPr>
        <w:t> </w:t>
      </w:r>
      <w:r>
        <w:rPr/>
        <w:t>requirements</w:t>
      </w:r>
      <w:r>
        <w:rPr>
          <w:spacing w:val="-5"/>
        </w:rPr>
        <w:t> </w:t>
      </w:r>
      <w:r>
        <w:rPr/>
        <w:t>and</w:t>
      </w:r>
      <w:r>
        <w:rPr>
          <w:spacing w:val="-5"/>
        </w:rPr>
        <w:t> </w:t>
      </w:r>
      <w:r>
        <w:rPr/>
        <w:t>reportable</w:t>
      </w:r>
      <w:r>
        <w:rPr>
          <w:spacing w:val="-5"/>
        </w:rPr>
        <w:t> </w:t>
      </w:r>
      <w:r>
        <w:rPr>
          <w:spacing w:val="-2"/>
        </w:rPr>
        <w:t>incidents.</w:t>
      </w:r>
    </w:p>
    <w:p>
      <w:pPr>
        <w:pStyle w:val="ListParagraph"/>
        <w:numPr>
          <w:ilvl w:val="0"/>
          <w:numId w:val="351"/>
        </w:numPr>
        <w:tabs>
          <w:tab w:pos="1677" w:val="left" w:leader="none"/>
        </w:tabs>
        <w:spacing w:line="208" w:lineRule="auto" w:before="233" w:after="0"/>
        <w:ind w:left="1224" w:right="1023" w:firstLine="0"/>
        <w:jc w:val="left"/>
        <w:rPr>
          <w:sz w:val="24"/>
        </w:rPr>
      </w:pPr>
      <w:r>
        <w:rPr>
          <w:sz w:val="24"/>
        </w:rPr>
        <w:t>Persons having reason to believe that a minor is a victim of abuse or neglect are required by Section 7103 of Title 10 of the Oklahoma Statutes to promptly</w:t>
      </w:r>
      <w:r>
        <w:rPr>
          <w:spacing w:val="-4"/>
          <w:sz w:val="24"/>
        </w:rPr>
        <w:t> </w:t>
      </w:r>
      <w:r>
        <w:rPr>
          <w:sz w:val="24"/>
        </w:rPr>
        <w:t>report</w:t>
      </w:r>
      <w:r>
        <w:rPr>
          <w:spacing w:val="-3"/>
          <w:sz w:val="24"/>
        </w:rPr>
        <w:t> </w:t>
      </w:r>
      <w:r>
        <w:rPr>
          <w:sz w:val="24"/>
        </w:rPr>
        <w:t>it</w:t>
      </w:r>
      <w:r>
        <w:rPr>
          <w:spacing w:val="-5"/>
          <w:sz w:val="24"/>
        </w:rPr>
        <w:t> </w:t>
      </w:r>
      <w:r>
        <w:rPr>
          <w:sz w:val="24"/>
        </w:rPr>
        <w:t>to</w:t>
      </w:r>
      <w:r>
        <w:rPr>
          <w:spacing w:val="-4"/>
          <w:sz w:val="24"/>
        </w:rPr>
        <w:t> </w:t>
      </w:r>
      <w:r>
        <w:rPr>
          <w:sz w:val="24"/>
        </w:rPr>
        <w:t>the</w:t>
      </w:r>
      <w:r>
        <w:rPr>
          <w:spacing w:val="-4"/>
          <w:sz w:val="24"/>
        </w:rPr>
        <w:t> </w:t>
      </w:r>
      <w:r>
        <w:rPr>
          <w:sz w:val="24"/>
        </w:rPr>
        <w:t>Oklahoma</w:t>
      </w:r>
      <w:r>
        <w:rPr>
          <w:spacing w:val="-4"/>
          <w:sz w:val="24"/>
        </w:rPr>
        <w:t> </w:t>
      </w:r>
      <w:r>
        <w:rPr>
          <w:sz w:val="24"/>
        </w:rPr>
        <w:t>Department</w:t>
      </w:r>
      <w:r>
        <w:rPr>
          <w:spacing w:val="-3"/>
          <w:sz w:val="24"/>
        </w:rPr>
        <w:t> </w:t>
      </w:r>
      <w:r>
        <w:rPr>
          <w:sz w:val="24"/>
        </w:rPr>
        <w:t>of</w:t>
      </w:r>
      <w:r>
        <w:rPr>
          <w:spacing w:val="-3"/>
          <w:sz w:val="24"/>
        </w:rPr>
        <w:t> </w:t>
      </w:r>
      <w:r>
        <w:rPr>
          <w:sz w:val="24"/>
        </w:rPr>
        <w:t>Human</w:t>
      </w:r>
      <w:r>
        <w:rPr>
          <w:spacing w:val="-4"/>
          <w:sz w:val="24"/>
        </w:rPr>
        <w:t> </w:t>
      </w:r>
      <w:r>
        <w:rPr>
          <w:sz w:val="24"/>
        </w:rPr>
        <w:t>Services</w:t>
      </w:r>
      <w:r>
        <w:rPr>
          <w:spacing w:val="-4"/>
          <w:sz w:val="24"/>
        </w:rPr>
        <w:t> </w:t>
      </w:r>
      <w:r>
        <w:rPr>
          <w:sz w:val="24"/>
        </w:rPr>
        <w:t>(OKDHS).</w:t>
      </w:r>
    </w:p>
    <w:p>
      <w:pPr>
        <w:pStyle w:val="ListParagraph"/>
        <w:numPr>
          <w:ilvl w:val="0"/>
          <w:numId w:val="351"/>
        </w:numPr>
        <w:tabs>
          <w:tab w:pos="1677" w:val="left" w:leader="none"/>
        </w:tabs>
        <w:spacing w:line="208" w:lineRule="auto" w:before="240" w:after="0"/>
        <w:ind w:left="1224" w:right="1116" w:firstLine="0"/>
        <w:jc w:val="left"/>
        <w:rPr>
          <w:sz w:val="24"/>
        </w:rPr>
      </w:pPr>
      <w:r>
        <w:rPr>
          <w:sz w:val="24"/>
        </w:rPr>
        <w:t>Persons having reason to believe that a minor or vulnerable adult is a victim</w:t>
      </w:r>
      <w:r>
        <w:rPr>
          <w:spacing w:val="-1"/>
          <w:sz w:val="24"/>
        </w:rPr>
        <w:t> </w:t>
      </w:r>
      <w:r>
        <w:rPr>
          <w:sz w:val="24"/>
        </w:rPr>
        <w:t>of</w:t>
      </w:r>
      <w:r>
        <w:rPr>
          <w:spacing w:val="-1"/>
          <w:sz w:val="24"/>
        </w:rPr>
        <w:t> </w:t>
      </w:r>
      <w:r>
        <w:rPr>
          <w:sz w:val="24"/>
        </w:rPr>
        <w:t>abuse,</w:t>
      </w:r>
      <w:r>
        <w:rPr>
          <w:spacing w:val="-1"/>
          <w:sz w:val="24"/>
        </w:rPr>
        <w:t> </w:t>
      </w:r>
      <w:r>
        <w:rPr>
          <w:sz w:val="24"/>
        </w:rPr>
        <w:t>neglect,</w:t>
      </w:r>
      <w:r>
        <w:rPr>
          <w:spacing w:val="-1"/>
          <w:sz w:val="24"/>
        </w:rPr>
        <w:t> </w:t>
      </w:r>
      <w:r>
        <w:rPr>
          <w:sz w:val="24"/>
        </w:rPr>
        <w:t>verbal</w:t>
      </w:r>
      <w:r>
        <w:rPr>
          <w:spacing w:val="-2"/>
          <w:sz w:val="24"/>
        </w:rPr>
        <w:t> </w:t>
      </w:r>
      <w:r>
        <w:rPr>
          <w:sz w:val="24"/>
        </w:rPr>
        <w:t>abuse,</w:t>
      </w:r>
      <w:r>
        <w:rPr>
          <w:spacing w:val="-1"/>
          <w:sz w:val="24"/>
        </w:rPr>
        <w:t> </w:t>
      </w:r>
      <w:r>
        <w:rPr>
          <w:sz w:val="24"/>
        </w:rPr>
        <w:t>threat,</w:t>
      </w:r>
      <w:r>
        <w:rPr>
          <w:spacing w:val="-3"/>
          <w:sz w:val="24"/>
        </w:rPr>
        <w:t> </w:t>
      </w:r>
      <w:r>
        <w:rPr>
          <w:sz w:val="24"/>
        </w:rPr>
        <w:t>or</w:t>
      </w:r>
      <w:r>
        <w:rPr>
          <w:spacing w:val="-1"/>
          <w:sz w:val="24"/>
        </w:rPr>
        <w:t> </w:t>
      </w:r>
      <w:r>
        <w:rPr>
          <w:sz w:val="24"/>
        </w:rPr>
        <w:t>exploitation</w:t>
      </w:r>
      <w:r>
        <w:rPr>
          <w:spacing w:val="-2"/>
          <w:sz w:val="24"/>
        </w:rPr>
        <w:t> </w:t>
      </w:r>
      <w:r>
        <w:rPr>
          <w:sz w:val="24"/>
        </w:rPr>
        <w:t>are</w:t>
      </w:r>
      <w:r>
        <w:rPr>
          <w:spacing w:val="-2"/>
          <w:sz w:val="24"/>
        </w:rPr>
        <w:t> </w:t>
      </w:r>
      <w:r>
        <w:rPr>
          <w:sz w:val="24"/>
        </w:rPr>
        <w:t>required</w:t>
      </w:r>
      <w:r>
        <w:rPr>
          <w:spacing w:val="-2"/>
          <w:sz w:val="24"/>
        </w:rPr>
        <w:t> </w:t>
      </w:r>
      <w:r>
        <w:rPr>
          <w:sz w:val="24"/>
        </w:rPr>
        <w:t>by Section</w:t>
      </w:r>
      <w:r>
        <w:rPr>
          <w:spacing w:val="-1"/>
          <w:sz w:val="24"/>
        </w:rPr>
        <w:t> </w:t>
      </w:r>
      <w:r>
        <w:rPr>
          <w:sz w:val="24"/>
        </w:rPr>
        <w:t>10-104</w:t>
      </w:r>
      <w:r>
        <w:rPr>
          <w:spacing w:val="-1"/>
          <w:sz w:val="24"/>
        </w:rPr>
        <w:t> </w:t>
      </w:r>
      <w:r>
        <w:rPr>
          <w:sz w:val="24"/>
        </w:rPr>
        <w:t>of Title</w:t>
      </w:r>
      <w:r>
        <w:rPr>
          <w:spacing w:val="-1"/>
          <w:sz w:val="24"/>
        </w:rPr>
        <w:t> </w:t>
      </w:r>
      <w:r>
        <w:rPr>
          <w:sz w:val="24"/>
        </w:rPr>
        <w:t>43A</w:t>
      </w:r>
      <w:r>
        <w:rPr>
          <w:spacing w:val="-1"/>
          <w:sz w:val="24"/>
        </w:rPr>
        <w:t> </w:t>
      </w:r>
      <w:r>
        <w:rPr>
          <w:sz w:val="24"/>
        </w:rPr>
        <w:t>of the</w:t>
      </w:r>
      <w:r>
        <w:rPr>
          <w:spacing w:val="-2"/>
          <w:sz w:val="24"/>
        </w:rPr>
        <w:t> </w:t>
      </w:r>
      <w:r>
        <w:rPr>
          <w:sz w:val="24"/>
        </w:rPr>
        <w:t>Oklahoma</w:t>
      </w:r>
      <w:r>
        <w:rPr>
          <w:spacing w:val="-1"/>
          <w:sz w:val="24"/>
        </w:rPr>
        <w:t> </w:t>
      </w:r>
      <w:r>
        <w:rPr>
          <w:sz w:val="24"/>
        </w:rPr>
        <w:t>Statutes</w:t>
      </w:r>
      <w:r>
        <w:rPr>
          <w:spacing w:val="-1"/>
          <w:sz w:val="24"/>
        </w:rPr>
        <w:t> </w:t>
      </w:r>
      <w:r>
        <w:rPr>
          <w:sz w:val="24"/>
        </w:rPr>
        <w:t>to</w:t>
      </w:r>
      <w:r>
        <w:rPr>
          <w:spacing w:val="-2"/>
          <w:sz w:val="24"/>
        </w:rPr>
        <w:t> </w:t>
      </w:r>
      <w:r>
        <w:rPr>
          <w:sz w:val="24"/>
        </w:rPr>
        <w:t>promptly</w:t>
      </w:r>
      <w:r>
        <w:rPr>
          <w:spacing w:val="-1"/>
          <w:sz w:val="24"/>
        </w:rPr>
        <w:t> </w:t>
      </w:r>
      <w:r>
        <w:rPr>
          <w:sz w:val="24"/>
        </w:rPr>
        <w:t>report it</w:t>
      </w:r>
      <w:r>
        <w:rPr>
          <w:spacing w:val="-2"/>
          <w:sz w:val="24"/>
        </w:rPr>
        <w:t> </w:t>
      </w:r>
      <w:r>
        <w:rPr>
          <w:sz w:val="24"/>
        </w:rPr>
        <w:t>to OKDHS.</w:t>
      </w:r>
      <w:r>
        <w:rPr>
          <w:spacing w:val="40"/>
          <w:sz w:val="24"/>
        </w:rPr>
        <w:t> </w:t>
      </w:r>
      <w:r>
        <w:rPr>
          <w:sz w:val="24"/>
        </w:rPr>
        <w:t>This</w:t>
      </w:r>
      <w:r>
        <w:rPr>
          <w:spacing w:val="-4"/>
          <w:sz w:val="24"/>
        </w:rPr>
        <w:t> </w:t>
      </w:r>
      <w:r>
        <w:rPr>
          <w:sz w:val="24"/>
        </w:rPr>
        <w:t>reporting</w:t>
      </w:r>
      <w:r>
        <w:rPr>
          <w:spacing w:val="-5"/>
          <w:sz w:val="24"/>
        </w:rPr>
        <w:t> </w:t>
      </w:r>
      <w:r>
        <w:rPr>
          <w:sz w:val="24"/>
        </w:rPr>
        <w:t>requirement</w:t>
      </w:r>
      <w:r>
        <w:rPr>
          <w:spacing w:val="-3"/>
          <w:sz w:val="24"/>
        </w:rPr>
        <w:t> </w:t>
      </w:r>
      <w:r>
        <w:rPr>
          <w:sz w:val="24"/>
        </w:rPr>
        <w:t>applies</w:t>
      </w:r>
      <w:r>
        <w:rPr>
          <w:spacing w:val="-3"/>
          <w:sz w:val="24"/>
        </w:rPr>
        <w:t> </w:t>
      </w:r>
      <w:r>
        <w:rPr>
          <w:sz w:val="24"/>
        </w:rPr>
        <w:t>to</w:t>
      </w:r>
      <w:r>
        <w:rPr>
          <w:spacing w:val="-4"/>
          <w:sz w:val="24"/>
        </w:rPr>
        <w:t> </w:t>
      </w:r>
      <w:r>
        <w:rPr>
          <w:sz w:val="24"/>
        </w:rPr>
        <w:t>providers,</w:t>
      </w:r>
      <w:r>
        <w:rPr>
          <w:spacing w:val="-3"/>
          <w:sz w:val="24"/>
        </w:rPr>
        <w:t> </w:t>
      </w:r>
      <w:r>
        <w:rPr>
          <w:sz w:val="24"/>
        </w:rPr>
        <w:t>as</w:t>
      </w:r>
      <w:r>
        <w:rPr>
          <w:spacing w:val="-4"/>
          <w:sz w:val="24"/>
        </w:rPr>
        <w:t> </w:t>
      </w:r>
      <w:r>
        <w:rPr>
          <w:sz w:val="24"/>
        </w:rPr>
        <w:t>defined</w:t>
      </w:r>
      <w:r>
        <w:rPr>
          <w:spacing w:val="-4"/>
          <w:sz w:val="24"/>
        </w:rPr>
        <w:t> </w:t>
      </w:r>
      <w:r>
        <w:rPr>
          <w:sz w:val="24"/>
        </w:rPr>
        <w:t>in</w:t>
      </w:r>
      <w:r>
        <w:rPr>
          <w:spacing w:val="-4"/>
          <w:sz w:val="24"/>
        </w:rPr>
        <w:t> </w:t>
      </w:r>
      <w:r>
        <w:rPr>
          <w:sz w:val="24"/>
        </w:rPr>
        <w:t>OAC 340:2-3-2, and their employees and agents.</w:t>
      </w:r>
    </w:p>
    <w:p>
      <w:pPr>
        <w:pStyle w:val="ListParagraph"/>
        <w:numPr>
          <w:ilvl w:val="0"/>
          <w:numId w:val="351"/>
        </w:numPr>
        <w:tabs>
          <w:tab w:pos="1689" w:val="left" w:leader="none"/>
        </w:tabs>
        <w:spacing w:line="208" w:lineRule="auto" w:before="239" w:after="0"/>
        <w:ind w:left="1224" w:right="862" w:firstLine="0"/>
        <w:jc w:val="left"/>
        <w:rPr>
          <w:sz w:val="24"/>
        </w:rPr>
      </w:pPr>
      <w:r>
        <w:rPr>
          <w:sz w:val="24"/>
        </w:rPr>
        <w:t>In addition, employees of the Oklahoma School for the Blind and the Oklahoma School for the Deaf, who have reason to believe that caretaker misconduct,</w:t>
      </w:r>
      <w:r>
        <w:rPr>
          <w:spacing w:val="-3"/>
          <w:sz w:val="24"/>
        </w:rPr>
        <w:t> </w:t>
      </w:r>
      <w:r>
        <w:rPr>
          <w:sz w:val="24"/>
        </w:rPr>
        <w:t>according</w:t>
      </w:r>
      <w:r>
        <w:rPr>
          <w:spacing w:val="-4"/>
          <w:sz w:val="24"/>
        </w:rPr>
        <w:t> </w:t>
      </w:r>
      <w:r>
        <w:rPr>
          <w:sz w:val="24"/>
        </w:rPr>
        <w:t>to</w:t>
      </w:r>
      <w:r>
        <w:rPr>
          <w:spacing w:val="-4"/>
          <w:sz w:val="24"/>
        </w:rPr>
        <w:t> </w:t>
      </w:r>
      <w:r>
        <w:rPr>
          <w:sz w:val="24"/>
        </w:rPr>
        <w:t>State</w:t>
      </w:r>
      <w:r>
        <w:rPr>
          <w:spacing w:val="-5"/>
          <w:sz w:val="24"/>
        </w:rPr>
        <w:t> </w:t>
      </w:r>
      <w:r>
        <w:rPr>
          <w:sz w:val="24"/>
        </w:rPr>
        <w:t>Statutes</w:t>
      </w:r>
      <w:r>
        <w:rPr>
          <w:spacing w:val="-4"/>
          <w:sz w:val="24"/>
        </w:rPr>
        <w:t> </w:t>
      </w:r>
      <w:r>
        <w:rPr>
          <w:sz w:val="24"/>
        </w:rPr>
        <w:t>(amendable),</w:t>
      </w:r>
      <w:r>
        <w:rPr>
          <w:spacing w:val="-3"/>
          <w:sz w:val="24"/>
        </w:rPr>
        <w:t> </w:t>
      </w:r>
      <w:r>
        <w:rPr>
          <w:sz w:val="24"/>
        </w:rPr>
        <w:t>with</w:t>
      </w:r>
      <w:r>
        <w:rPr>
          <w:spacing w:val="-4"/>
          <w:sz w:val="24"/>
        </w:rPr>
        <w:t> </w:t>
      </w:r>
      <w:r>
        <w:rPr>
          <w:sz w:val="24"/>
        </w:rPr>
        <w:t>regard</w:t>
      </w:r>
      <w:r>
        <w:rPr>
          <w:spacing w:val="-4"/>
          <w:sz w:val="24"/>
        </w:rPr>
        <w:t> </w:t>
      </w:r>
      <w:r>
        <w:rPr>
          <w:sz w:val="24"/>
        </w:rPr>
        <w:t>to</w:t>
      </w:r>
      <w:r>
        <w:rPr>
          <w:spacing w:val="-4"/>
          <w:sz w:val="24"/>
        </w:rPr>
        <w:t> </w:t>
      </w:r>
      <w:r>
        <w:rPr>
          <w:sz w:val="24"/>
        </w:rPr>
        <w:t>a</w:t>
      </w:r>
      <w:r>
        <w:rPr>
          <w:spacing w:val="-4"/>
          <w:sz w:val="24"/>
        </w:rPr>
        <w:t> </w:t>
      </w:r>
      <w:r>
        <w:rPr>
          <w:sz w:val="24"/>
        </w:rPr>
        <w:t>student, has occurred, promptly report it to OCA intake, to their immediate supervisor and to the school social services department.</w:t>
      </w:r>
    </w:p>
    <w:p>
      <w:pPr>
        <w:pStyle w:val="ListParagraph"/>
        <w:numPr>
          <w:ilvl w:val="0"/>
          <w:numId w:val="351"/>
        </w:numPr>
        <w:tabs>
          <w:tab w:pos="1690" w:val="left" w:leader="none"/>
        </w:tabs>
        <w:spacing w:line="208" w:lineRule="auto" w:before="240" w:after="0"/>
        <w:ind w:left="1224" w:right="742" w:firstLine="0"/>
        <w:jc w:val="left"/>
        <w:rPr>
          <w:sz w:val="24"/>
        </w:rPr>
      </w:pPr>
      <w:r>
        <w:rPr>
          <w:sz w:val="24"/>
        </w:rPr>
        <w:t>A</w:t>
      </w:r>
      <w:r>
        <w:rPr>
          <w:spacing w:val="-4"/>
          <w:sz w:val="24"/>
        </w:rPr>
        <w:t> </w:t>
      </w:r>
      <w:r>
        <w:rPr>
          <w:sz w:val="24"/>
        </w:rPr>
        <w:t>person</w:t>
      </w:r>
      <w:r>
        <w:rPr>
          <w:spacing w:val="-4"/>
          <w:sz w:val="24"/>
        </w:rPr>
        <w:t> </w:t>
      </w:r>
      <w:r>
        <w:rPr>
          <w:sz w:val="24"/>
        </w:rPr>
        <w:t>can</w:t>
      </w:r>
      <w:r>
        <w:rPr>
          <w:spacing w:val="-4"/>
          <w:sz w:val="24"/>
        </w:rPr>
        <w:t> </w:t>
      </w:r>
      <w:r>
        <w:rPr>
          <w:sz w:val="24"/>
        </w:rPr>
        <w:t>have</w:t>
      </w:r>
      <w:r>
        <w:rPr>
          <w:spacing w:val="-4"/>
          <w:sz w:val="24"/>
        </w:rPr>
        <w:t> </w:t>
      </w:r>
      <w:r>
        <w:rPr>
          <w:sz w:val="24"/>
        </w:rPr>
        <w:t>reason</w:t>
      </w:r>
      <w:r>
        <w:rPr>
          <w:spacing w:val="-4"/>
          <w:sz w:val="24"/>
        </w:rPr>
        <w:t> </w:t>
      </w:r>
      <w:r>
        <w:rPr>
          <w:sz w:val="24"/>
        </w:rPr>
        <w:t>to</w:t>
      </w:r>
      <w:r>
        <w:rPr>
          <w:spacing w:val="-4"/>
          <w:sz w:val="24"/>
        </w:rPr>
        <w:t> </w:t>
      </w:r>
      <w:r>
        <w:rPr>
          <w:sz w:val="24"/>
        </w:rPr>
        <w:t>believe</w:t>
      </w:r>
      <w:r>
        <w:rPr>
          <w:spacing w:val="-4"/>
          <w:sz w:val="24"/>
        </w:rPr>
        <w:t> </w:t>
      </w:r>
      <w:r>
        <w:rPr>
          <w:sz w:val="24"/>
        </w:rPr>
        <w:t>that</w:t>
      </w:r>
      <w:r>
        <w:rPr>
          <w:spacing w:val="-3"/>
          <w:sz w:val="24"/>
        </w:rPr>
        <w:t> </w:t>
      </w:r>
      <w:r>
        <w:rPr>
          <w:sz w:val="24"/>
        </w:rPr>
        <w:t>maltreatment</w:t>
      </w:r>
      <w:r>
        <w:rPr>
          <w:spacing w:val="-3"/>
          <w:sz w:val="24"/>
        </w:rPr>
        <w:t> </w:t>
      </w:r>
      <w:r>
        <w:rPr>
          <w:sz w:val="24"/>
        </w:rPr>
        <w:t>has</w:t>
      </w:r>
      <w:r>
        <w:rPr>
          <w:spacing w:val="-4"/>
          <w:sz w:val="24"/>
        </w:rPr>
        <w:t> </w:t>
      </w:r>
      <w:r>
        <w:rPr>
          <w:sz w:val="24"/>
        </w:rPr>
        <w:t>occurred</w:t>
      </w:r>
      <w:r>
        <w:rPr>
          <w:spacing w:val="-4"/>
          <w:sz w:val="24"/>
        </w:rPr>
        <w:t> </w:t>
      </w:r>
      <w:r>
        <w:rPr>
          <w:sz w:val="24"/>
        </w:rPr>
        <w:t>based on information they have learned directly or indirectly, including information provided by the alleged victim or witnesses to an incident.</w:t>
      </w:r>
      <w:r>
        <w:rPr>
          <w:spacing w:val="80"/>
          <w:sz w:val="24"/>
        </w:rPr>
        <w:t> </w:t>
      </w:r>
      <w:r>
        <w:rPr>
          <w:sz w:val="24"/>
        </w:rPr>
        <w:t>When an allegation of maltreatment is made by the alleged victim or the guardian or parent of the alleged victim, it is reported to OCA intake.</w:t>
      </w:r>
      <w:r>
        <w:rPr>
          <w:spacing w:val="80"/>
          <w:sz w:val="24"/>
        </w:rPr>
        <w:t> </w:t>
      </w:r>
      <w:r>
        <w:rPr>
          <w:sz w:val="24"/>
        </w:rPr>
        <w:t>Persons unsure of what to report call OCA intake (1-800-522-8014) during business hours, and after hours call the Abuse Hotline (1-800-522-3511).</w:t>
      </w:r>
    </w:p>
    <w:p>
      <w:pPr>
        <w:pStyle w:val="ListParagraph"/>
        <w:numPr>
          <w:ilvl w:val="0"/>
          <w:numId w:val="351"/>
        </w:numPr>
        <w:tabs>
          <w:tab w:pos="1677" w:val="left" w:leader="none"/>
        </w:tabs>
        <w:spacing w:line="208" w:lineRule="auto" w:before="239" w:after="0"/>
        <w:ind w:left="1224" w:right="743" w:firstLine="0"/>
        <w:jc w:val="left"/>
        <w:rPr>
          <w:sz w:val="24"/>
        </w:rPr>
      </w:pPr>
      <w:r>
        <w:rPr>
          <w:sz w:val="24"/>
        </w:rPr>
        <w:t>Knowledge</w:t>
      </w:r>
      <w:r>
        <w:rPr>
          <w:spacing w:val="-5"/>
          <w:sz w:val="24"/>
        </w:rPr>
        <w:t> </w:t>
      </w:r>
      <w:r>
        <w:rPr>
          <w:sz w:val="24"/>
        </w:rPr>
        <w:t>of</w:t>
      </w:r>
      <w:r>
        <w:rPr>
          <w:spacing w:val="-4"/>
          <w:sz w:val="24"/>
        </w:rPr>
        <w:t> </w:t>
      </w:r>
      <w:r>
        <w:rPr>
          <w:sz w:val="24"/>
        </w:rPr>
        <w:t>circumstances</w:t>
      </w:r>
      <w:r>
        <w:rPr>
          <w:spacing w:val="-5"/>
          <w:sz w:val="24"/>
        </w:rPr>
        <w:t> </w:t>
      </w:r>
      <w:r>
        <w:rPr>
          <w:sz w:val="24"/>
        </w:rPr>
        <w:t>which</w:t>
      </w:r>
      <w:r>
        <w:rPr>
          <w:spacing w:val="-5"/>
          <w:sz w:val="24"/>
        </w:rPr>
        <w:t> </w:t>
      </w:r>
      <w:r>
        <w:rPr>
          <w:sz w:val="24"/>
        </w:rPr>
        <w:t>may</w:t>
      </w:r>
      <w:r>
        <w:rPr>
          <w:spacing w:val="-5"/>
          <w:sz w:val="24"/>
        </w:rPr>
        <w:t> </w:t>
      </w:r>
      <w:r>
        <w:rPr>
          <w:sz w:val="24"/>
        </w:rPr>
        <w:t>constitute</w:t>
      </w:r>
      <w:r>
        <w:rPr>
          <w:spacing w:val="-5"/>
          <w:sz w:val="24"/>
        </w:rPr>
        <w:t> </w:t>
      </w:r>
      <w:r>
        <w:rPr>
          <w:sz w:val="24"/>
        </w:rPr>
        <w:t>maltreatment</w:t>
      </w:r>
      <w:r>
        <w:rPr>
          <w:spacing w:val="-4"/>
          <w:sz w:val="24"/>
        </w:rPr>
        <w:t> </w:t>
      </w:r>
      <w:r>
        <w:rPr>
          <w:sz w:val="24"/>
        </w:rPr>
        <w:t>is</w:t>
      </w:r>
      <w:r>
        <w:rPr>
          <w:spacing w:val="-5"/>
          <w:sz w:val="24"/>
        </w:rPr>
        <w:t> </w:t>
      </w:r>
      <w:r>
        <w:rPr>
          <w:sz w:val="24"/>
        </w:rPr>
        <w:t>reported even if the person reporting it cannot substantiate the information.</w:t>
      </w:r>
    </w:p>
    <w:p>
      <w:pPr>
        <w:pStyle w:val="ListParagraph"/>
        <w:numPr>
          <w:ilvl w:val="0"/>
          <w:numId w:val="351"/>
        </w:numPr>
        <w:tabs>
          <w:tab w:pos="1662" w:val="left" w:leader="none"/>
        </w:tabs>
        <w:spacing w:line="208" w:lineRule="auto" w:before="240" w:after="0"/>
        <w:ind w:left="1224" w:right="914" w:firstLine="0"/>
        <w:jc w:val="left"/>
        <w:rPr>
          <w:sz w:val="24"/>
        </w:rPr>
      </w:pPr>
      <w:r>
        <w:rPr>
          <w:sz w:val="24"/>
        </w:rPr>
        <w:t>In</w:t>
      </w:r>
      <w:r>
        <w:rPr>
          <w:spacing w:val="-3"/>
          <w:sz w:val="24"/>
        </w:rPr>
        <w:t> </w:t>
      </w:r>
      <w:r>
        <w:rPr>
          <w:sz w:val="24"/>
        </w:rPr>
        <w:t>addition</w:t>
      </w:r>
      <w:r>
        <w:rPr>
          <w:spacing w:val="-3"/>
          <w:sz w:val="24"/>
        </w:rPr>
        <w:t> </w:t>
      </w:r>
      <w:r>
        <w:rPr>
          <w:sz w:val="24"/>
        </w:rPr>
        <w:t>to</w:t>
      </w:r>
      <w:r>
        <w:rPr>
          <w:spacing w:val="-3"/>
          <w:sz w:val="24"/>
        </w:rPr>
        <w:t> </w:t>
      </w:r>
      <w:r>
        <w:rPr>
          <w:sz w:val="24"/>
        </w:rPr>
        <w:t>the</w:t>
      </w:r>
      <w:r>
        <w:rPr>
          <w:spacing w:val="-3"/>
          <w:sz w:val="24"/>
        </w:rPr>
        <w:t> </w:t>
      </w:r>
      <w:r>
        <w:rPr>
          <w:sz w:val="24"/>
        </w:rPr>
        <w:t>reportable</w:t>
      </w:r>
      <w:r>
        <w:rPr>
          <w:spacing w:val="-3"/>
          <w:sz w:val="24"/>
        </w:rPr>
        <w:t> </w:t>
      </w:r>
      <w:r>
        <w:rPr>
          <w:sz w:val="24"/>
        </w:rPr>
        <w:t>incidents</w:t>
      </w:r>
      <w:r>
        <w:rPr>
          <w:spacing w:val="-3"/>
          <w:sz w:val="24"/>
        </w:rPr>
        <w:t> </w:t>
      </w:r>
      <w:r>
        <w:rPr>
          <w:sz w:val="24"/>
        </w:rPr>
        <w:t>in</w:t>
      </w:r>
      <w:r>
        <w:rPr>
          <w:spacing w:val="-2"/>
          <w:sz w:val="24"/>
        </w:rPr>
        <w:t> </w:t>
      </w:r>
      <w:r>
        <w:rPr>
          <w:sz w:val="24"/>
        </w:rPr>
        <w:t>paragraphs</w:t>
      </w:r>
      <w:r>
        <w:rPr>
          <w:spacing w:val="-2"/>
          <w:sz w:val="24"/>
        </w:rPr>
        <w:t> </w:t>
      </w:r>
      <w:r>
        <w:rPr>
          <w:sz w:val="24"/>
        </w:rPr>
        <w:t>(1),</w:t>
      </w:r>
      <w:r>
        <w:rPr>
          <w:spacing w:val="-4"/>
          <w:sz w:val="24"/>
        </w:rPr>
        <w:t> </w:t>
      </w:r>
      <w:r>
        <w:rPr>
          <w:sz w:val="24"/>
        </w:rPr>
        <w:t>(2),</w:t>
      </w:r>
      <w:r>
        <w:rPr>
          <w:spacing w:val="-2"/>
          <w:sz w:val="24"/>
        </w:rPr>
        <w:t> </w:t>
      </w:r>
      <w:r>
        <w:rPr>
          <w:sz w:val="24"/>
        </w:rPr>
        <w:t>and</w:t>
      </w:r>
      <w:r>
        <w:rPr>
          <w:spacing w:val="-3"/>
          <w:sz w:val="24"/>
        </w:rPr>
        <w:t> </w:t>
      </w:r>
      <w:r>
        <w:rPr>
          <w:sz w:val="24"/>
        </w:rPr>
        <w:t>(3)</w:t>
      </w:r>
      <w:r>
        <w:rPr>
          <w:spacing w:val="-2"/>
          <w:sz w:val="24"/>
        </w:rPr>
        <w:t> </w:t>
      </w:r>
      <w:r>
        <w:rPr>
          <w:sz w:val="24"/>
        </w:rPr>
        <w:t>of</w:t>
      </w:r>
      <w:r>
        <w:rPr>
          <w:spacing w:val="-4"/>
          <w:sz w:val="24"/>
        </w:rPr>
        <w:t> </w:t>
      </w:r>
      <w:r>
        <w:rPr>
          <w:sz w:val="24"/>
        </w:rPr>
        <w:t>this subsection, Oklahoma</w:t>
      </w:r>
      <w:r>
        <w:rPr>
          <w:spacing w:val="-2"/>
          <w:sz w:val="24"/>
        </w:rPr>
        <w:t> </w:t>
      </w:r>
      <w:r>
        <w:rPr>
          <w:sz w:val="24"/>
        </w:rPr>
        <w:t>School</w:t>
      </w:r>
      <w:r>
        <w:rPr>
          <w:spacing w:val="-2"/>
          <w:sz w:val="24"/>
        </w:rPr>
        <w:t> </w:t>
      </w:r>
      <w:r>
        <w:rPr>
          <w:sz w:val="24"/>
        </w:rPr>
        <w:t>for</w:t>
      </w:r>
      <w:r>
        <w:rPr>
          <w:spacing w:val="-1"/>
          <w:sz w:val="24"/>
        </w:rPr>
        <w:t> </w:t>
      </w:r>
      <w:r>
        <w:rPr>
          <w:sz w:val="24"/>
        </w:rPr>
        <w:t>the</w:t>
      </w:r>
      <w:r>
        <w:rPr>
          <w:spacing w:val="-2"/>
          <w:sz w:val="24"/>
        </w:rPr>
        <w:t> </w:t>
      </w:r>
      <w:r>
        <w:rPr>
          <w:sz w:val="24"/>
        </w:rPr>
        <w:t>Blind</w:t>
      </w:r>
      <w:r>
        <w:rPr>
          <w:spacing w:val="-2"/>
          <w:sz w:val="24"/>
        </w:rPr>
        <w:t> </w:t>
      </w:r>
      <w:r>
        <w:rPr>
          <w:sz w:val="24"/>
        </w:rPr>
        <w:t>and</w:t>
      </w:r>
      <w:r>
        <w:rPr>
          <w:spacing w:val="-2"/>
          <w:sz w:val="24"/>
        </w:rPr>
        <w:t> </w:t>
      </w:r>
      <w:r>
        <w:rPr>
          <w:sz w:val="24"/>
        </w:rPr>
        <w:t>Oklahoma</w:t>
      </w:r>
      <w:r>
        <w:rPr>
          <w:spacing w:val="-2"/>
          <w:sz w:val="24"/>
        </w:rPr>
        <w:t> </w:t>
      </w:r>
      <w:r>
        <w:rPr>
          <w:sz w:val="24"/>
        </w:rPr>
        <w:t>School</w:t>
      </w:r>
      <w:r>
        <w:rPr>
          <w:spacing w:val="-2"/>
          <w:sz w:val="24"/>
        </w:rPr>
        <w:t> </w:t>
      </w:r>
      <w:r>
        <w:rPr>
          <w:sz w:val="24"/>
        </w:rPr>
        <w:t>for</w:t>
      </w:r>
      <w:r>
        <w:rPr>
          <w:spacing w:val="-1"/>
          <w:sz w:val="24"/>
        </w:rPr>
        <w:t> </w:t>
      </w:r>
      <w:r>
        <w:rPr>
          <w:sz w:val="24"/>
        </w:rPr>
        <w:t>the</w:t>
      </w:r>
      <w:r>
        <w:rPr>
          <w:spacing w:val="-2"/>
          <w:sz w:val="24"/>
        </w:rPr>
        <w:t> </w:t>
      </w:r>
      <w:r>
        <w:rPr>
          <w:sz w:val="24"/>
        </w:rPr>
        <w:t>Deaf</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1224" w:right="775"/>
      </w:pPr>
      <w:r>
        <w:rPr/>
        <w:t>employees</w:t>
      </w:r>
      <w:r>
        <w:rPr>
          <w:spacing w:val="-2"/>
        </w:rPr>
        <w:t> </w:t>
      </w:r>
      <w:r>
        <w:rPr/>
        <w:t>and</w:t>
      </w:r>
      <w:r>
        <w:rPr>
          <w:spacing w:val="-3"/>
        </w:rPr>
        <w:t> </w:t>
      </w:r>
      <w:r>
        <w:rPr/>
        <w:t>schools</w:t>
      </w:r>
      <w:r>
        <w:rPr>
          <w:spacing w:val="-3"/>
        </w:rPr>
        <w:t> </w:t>
      </w:r>
      <w:r>
        <w:rPr/>
        <w:t>report</w:t>
      </w:r>
      <w:r>
        <w:rPr>
          <w:spacing w:val="-4"/>
        </w:rPr>
        <w:t> </w:t>
      </w:r>
      <w:r>
        <w:rPr/>
        <w:t>to</w:t>
      </w:r>
      <w:r>
        <w:rPr>
          <w:spacing w:val="-4"/>
        </w:rPr>
        <w:t> </w:t>
      </w:r>
      <w:r>
        <w:rPr/>
        <w:t>OCA</w:t>
      </w:r>
      <w:r>
        <w:rPr>
          <w:spacing w:val="-3"/>
        </w:rPr>
        <w:t> </w:t>
      </w:r>
      <w:r>
        <w:rPr/>
        <w:t>events</w:t>
      </w:r>
      <w:r>
        <w:rPr>
          <w:spacing w:val="-3"/>
        </w:rPr>
        <w:t> </w:t>
      </w:r>
      <w:r>
        <w:rPr/>
        <w:t>listed</w:t>
      </w:r>
      <w:r>
        <w:rPr>
          <w:spacing w:val="-3"/>
        </w:rPr>
        <w:t> </w:t>
      </w:r>
      <w:r>
        <w:rPr/>
        <w:t>in</w:t>
      </w:r>
      <w:r>
        <w:rPr>
          <w:spacing w:val="-3"/>
        </w:rPr>
        <w:t> </w:t>
      </w:r>
      <w:r>
        <w:rPr/>
        <w:t>(a)</w:t>
      </w:r>
      <w:r>
        <w:rPr>
          <w:spacing w:val="-2"/>
        </w:rPr>
        <w:t> </w:t>
      </w:r>
      <w:r>
        <w:rPr/>
        <w:t>through</w:t>
      </w:r>
      <w:r>
        <w:rPr>
          <w:spacing w:val="-4"/>
        </w:rPr>
        <w:t> </w:t>
      </w:r>
      <w:r>
        <w:rPr/>
        <w:t>(c)</w:t>
      </w:r>
      <w:r>
        <w:rPr>
          <w:spacing w:val="-2"/>
        </w:rPr>
        <w:t> </w:t>
      </w:r>
      <w:r>
        <w:rPr/>
        <w:t>of</w:t>
      </w:r>
      <w:r>
        <w:rPr>
          <w:spacing w:val="-4"/>
        </w:rPr>
        <w:t> </w:t>
      </w:r>
      <w:r>
        <w:rPr/>
        <w:t>this paragraph involving a person listed in OAC 340:2-3-32(a)(2) are:</w:t>
      </w:r>
    </w:p>
    <w:p>
      <w:pPr>
        <w:pStyle w:val="ListParagraph"/>
        <w:numPr>
          <w:ilvl w:val="1"/>
          <w:numId w:val="351"/>
        </w:numPr>
        <w:tabs>
          <w:tab w:pos="2001" w:val="left" w:leader="none"/>
        </w:tabs>
        <w:spacing w:line="240" w:lineRule="auto" w:before="210" w:after="0"/>
        <w:ind w:left="2001" w:right="0" w:hanging="346"/>
        <w:jc w:val="left"/>
        <w:rPr>
          <w:sz w:val="24"/>
        </w:rPr>
      </w:pPr>
      <w:r>
        <w:rPr>
          <w:sz w:val="24"/>
        </w:rPr>
        <w:t>a </w:t>
      </w:r>
      <w:r>
        <w:rPr>
          <w:spacing w:val="-2"/>
          <w:sz w:val="24"/>
        </w:rPr>
        <w:t>death;</w:t>
      </w:r>
    </w:p>
    <w:p>
      <w:pPr>
        <w:pStyle w:val="ListParagraph"/>
        <w:numPr>
          <w:ilvl w:val="1"/>
          <w:numId w:val="351"/>
        </w:numPr>
        <w:tabs>
          <w:tab w:pos="2053" w:val="left" w:leader="none"/>
        </w:tabs>
        <w:spacing w:line="208" w:lineRule="auto" w:before="234" w:after="0"/>
        <w:ind w:left="1655" w:right="1245" w:firstLine="0"/>
        <w:jc w:val="left"/>
        <w:rPr>
          <w:sz w:val="24"/>
        </w:rPr>
      </w:pPr>
      <w:r>
        <w:rPr>
          <w:sz w:val="24"/>
        </w:rPr>
        <w:t>a</w:t>
      </w:r>
      <w:r>
        <w:rPr>
          <w:spacing w:val="-4"/>
          <w:sz w:val="24"/>
        </w:rPr>
        <w:t> </w:t>
      </w:r>
      <w:r>
        <w:rPr>
          <w:sz w:val="24"/>
        </w:rPr>
        <w:t>suspicious</w:t>
      </w:r>
      <w:r>
        <w:rPr>
          <w:spacing w:val="-4"/>
          <w:sz w:val="24"/>
        </w:rPr>
        <w:t> </w:t>
      </w:r>
      <w:r>
        <w:rPr>
          <w:sz w:val="24"/>
        </w:rPr>
        <w:t>or</w:t>
      </w:r>
      <w:r>
        <w:rPr>
          <w:spacing w:val="-3"/>
          <w:sz w:val="24"/>
        </w:rPr>
        <w:t> </w:t>
      </w:r>
      <w:r>
        <w:rPr>
          <w:sz w:val="24"/>
        </w:rPr>
        <w:t>unexplained</w:t>
      </w:r>
      <w:r>
        <w:rPr>
          <w:spacing w:val="-4"/>
          <w:sz w:val="24"/>
        </w:rPr>
        <w:t> </w:t>
      </w:r>
      <w:r>
        <w:rPr>
          <w:sz w:val="24"/>
        </w:rPr>
        <w:t>assault</w:t>
      </w:r>
      <w:r>
        <w:rPr>
          <w:spacing w:val="-3"/>
          <w:sz w:val="24"/>
        </w:rPr>
        <w:t> </w:t>
      </w:r>
      <w:r>
        <w:rPr>
          <w:sz w:val="24"/>
        </w:rPr>
        <w:t>or</w:t>
      </w:r>
      <w:r>
        <w:rPr>
          <w:spacing w:val="-3"/>
          <w:sz w:val="24"/>
        </w:rPr>
        <w:t> </w:t>
      </w:r>
      <w:r>
        <w:rPr>
          <w:sz w:val="24"/>
        </w:rPr>
        <w:t>physical</w:t>
      </w:r>
      <w:r>
        <w:rPr>
          <w:spacing w:val="-4"/>
          <w:sz w:val="24"/>
        </w:rPr>
        <w:t> </w:t>
      </w:r>
      <w:r>
        <w:rPr>
          <w:sz w:val="24"/>
        </w:rPr>
        <w:t>injury,</w:t>
      </w:r>
      <w:r>
        <w:rPr>
          <w:spacing w:val="-3"/>
          <w:sz w:val="24"/>
        </w:rPr>
        <w:t> </w:t>
      </w:r>
      <w:r>
        <w:rPr>
          <w:sz w:val="24"/>
        </w:rPr>
        <w:t>as</w:t>
      </w:r>
      <w:r>
        <w:rPr>
          <w:spacing w:val="-4"/>
          <w:sz w:val="24"/>
        </w:rPr>
        <w:t> </w:t>
      </w:r>
      <w:r>
        <w:rPr>
          <w:sz w:val="24"/>
        </w:rPr>
        <w:t>defined</w:t>
      </w:r>
      <w:r>
        <w:rPr>
          <w:spacing w:val="-4"/>
          <w:sz w:val="24"/>
        </w:rPr>
        <w:t> </w:t>
      </w:r>
      <w:r>
        <w:rPr>
          <w:sz w:val="24"/>
        </w:rPr>
        <w:t>in OAC 340:2-3-2;</w:t>
      </w:r>
    </w:p>
    <w:p>
      <w:pPr>
        <w:pStyle w:val="ListParagraph"/>
        <w:numPr>
          <w:ilvl w:val="1"/>
          <w:numId w:val="351"/>
        </w:numPr>
        <w:tabs>
          <w:tab w:pos="2106" w:val="left" w:leader="none"/>
        </w:tabs>
        <w:spacing w:line="240" w:lineRule="auto" w:before="210" w:after="0"/>
        <w:ind w:left="2106" w:right="0" w:hanging="451"/>
        <w:jc w:val="left"/>
        <w:rPr>
          <w:sz w:val="24"/>
        </w:rPr>
      </w:pPr>
      <w:r>
        <w:rPr>
          <w:sz w:val="24"/>
        </w:rPr>
        <w:t>a</w:t>
      </w:r>
      <w:r>
        <w:rPr>
          <w:spacing w:val="-5"/>
          <w:sz w:val="24"/>
        </w:rPr>
        <w:t> </w:t>
      </w:r>
      <w:r>
        <w:rPr>
          <w:sz w:val="24"/>
        </w:rPr>
        <w:t>rape,</w:t>
      </w:r>
      <w:r>
        <w:rPr>
          <w:spacing w:val="-4"/>
          <w:sz w:val="24"/>
        </w:rPr>
        <w:t> </w:t>
      </w:r>
      <w:r>
        <w:rPr>
          <w:sz w:val="24"/>
        </w:rPr>
        <w:t>sodomy,</w:t>
      </w:r>
      <w:r>
        <w:rPr>
          <w:spacing w:val="-2"/>
          <w:sz w:val="24"/>
        </w:rPr>
        <w:t> </w:t>
      </w:r>
      <w:r>
        <w:rPr>
          <w:sz w:val="24"/>
        </w:rPr>
        <w:t>or</w:t>
      </w:r>
      <w:r>
        <w:rPr>
          <w:spacing w:val="-2"/>
          <w:sz w:val="24"/>
        </w:rPr>
        <w:t> </w:t>
      </w:r>
      <w:r>
        <w:rPr>
          <w:sz w:val="24"/>
        </w:rPr>
        <w:t>other</w:t>
      </w:r>
      <w:r>
        <w:rPr>
          <w:spacing w:val="-2"/>
          <w:sz w:val="24"/>
        </w:rPr>
        <w:t> </w:t>
      </w:r>
      <w:r>
        <w:rPr>
          <w:sz w:val="24"/>
        </w:rPr>
        <w:t>sexual</w:t>
      </w:r>
      <w:r>
        <w:rPr>
          <w:spacing w:val="-2"/>
          <w:sz w:val="24"/>
        </w:rPr>
        <w:t> </w:t>
      </w:r>
      <w:r>
        <w:rPr>
          <w:sz w:val="24"/>
        </w:rPr>
        <w:t>activity</w:t>
      </w:r>
      <w:r>
        <w:rPr>
          <w:spacing w:val="-3"/>
          <w:sz w:val="24"/>
        </w:rPr>
        <w:t> </w:t>
      </w:r>
      <w:r>
        <w:rPr>
          <w:sz w:val="24"/>
        </w:rPr>
        <w:t>prohibited</w:t>
      </w:r>
      <w:r>
        <w:rPr>
          <w:spacing w:val="-2"/>
          <w:sz w:val="24"/>
        </w:rPr>
        <w:t> </w:t>
      </w:r>
      <w:r>
        <w:rPr>
          <w:sz w:val="24"/>
        </w:rPr>
        <w:t>by</w:t>
      </w:r>
      <w:r>
        <w:rPr>
          <w:spacing w:val="-3"/>
          <w:sz w:val="24"/>
        </w:rPr>
        <w:t> </w:t>
      </w:r>
      <w:r>
        <w:rPr>
          <w:sz w:val="24"/>
        </w:rPr>
        <w:t>state</w:t>
      </w:r>
      <w:r>
        <w:rPr>
          <w:spacing w:val="-2"/>
          <w:sz w:val="24"/>
        </w:rPr>
        <w:t> </w:t>
      </w:r>
      <w:r>
        <w:rPr>
          <w:spacing w:val="-4"/>
          <w:sz w:val="24"/>
        </w:rPr>
        <w:t>law.</w:t>
      </w:r>
    </w:p>
    <w:p>
      <w:pPr>
        <w:pStyle w:val="ListParagraph"/>
        <w:numPr>
          <w:ilvl w:val="0"/>
          <w:numId w:val="351"/>
        </w:numPr>
        <w:tabs>
          <w:tab w:pos="1702" w:val="left" w:leader="none"/>
        </w:tabs>
        <w:spacing w:line="240" w:lineRule="auto" w:before="204" w:after="0"/>
        <w:ind w:left="1702" w:right="0" w:hanging="479"/>
        <w:jc w:val="left"/>
        <w:rPr>
          <w:sz w:val="24"/>
        </w:rPr>
      </w:pPr>
      <w:r>
        <w:rPr>
          <w:sz w:val="24"/>
        </w:rPr>
        <w:t>Such</w:t>
      </w:r>
      <w:r>
        <w:rPr>
          <w:spacing w:val="-3"/>
          <w:sz w:val="24"/>
        </w:rPr>
        <w:t> </w:t>
      </w:r>
      <w:r>
        <w:rPr>
          <w:sz w:val="24"/>
        </w:rPr>
        <w:t>incidents</w:t>
      </w:r>
      <w:r>
        <w:rPr>
          <w:spacing w:val="-3"/>
          <w:sz w:val="24"/>
        </w:rPr>
        <w:t> </w:t>
      </w:r>
      <w:r>
        <w:rPr>
          <w:sz w:val="24"/>
        </w:rPr>
        <w:t>must</w:t>
      </w:r>
      <w:r>
        <w:rPr>
          <w:spacing w:val="-2"/>
          <w:sz w:val="24"/>
        </w:rPr>
        <w:t> </w:t>
      </w:r>
      <w:r>
        <w:rPr>
          <w:sz w:val="24"/>
        </w:rPr>
        <w:t>be</w:t>
      </w:r>
      <w:r>
        <w:rPr>
          <w:spacing w:val="-2"/>
          <w:sz w:val="24"/>
        </w:rPr>
        <w:t> </w:t>
      </w:r>
      <w:r>
        <w:rPr>
          <w:sz w:val="24"/>
        </w:rPr>
        <w:t>reported</w:t>
      </w:r>
      <w:r>
        <w:rPr>
          <w:spacing w:val="-3"/>
          <w:sz w:val="24"/>
        </w:rPr>
        <w:t> </w:t>
      </w:r>
      <w:r>
        <w:rPr>
          <w:sz w:val="24"/>
        </w:rPr>
        <w:t>within</w:t>
      </w:r>
      <w:r>
        <w:rPr>
          <w:spacing w:val="-3"/>
          <w:sz w:val="24"/>
        </w:rPr>
        <w:t> </w:t>
      </w:r>
      <w:r>
        <w:rPr>
          <w:sz w:val="24"/>
        </w:rPr>
        <w:t>24</w:t>
      </w:r>
      <w:r>
        <w:rPr>
          <w:spacing w:val="-2"/>
          <w:sz w:val="24"/>
        </w:rPr>
        <w:t> hours.</w:t>
      </w:r>
    </w:p>
    <w:p>
      <w:pPr>
        <w:pStyle w:val="ListParagraph"/>
        <w:numPr>
          <w:ilvl w:val="0"/>
          <w:numId w:val="351"/>
        </w:numPr>
        <w:tabs>
          <w:tab w:pos="1689" w:val="left" w:leader="none"/>
        </w:tabs>
        <w:spacing w:line="208" w:lineRule="auto" w:before="234" w:after="0"/>
        <w:ind w:left="1223" w:right="958" w:firstLine="0"/>
        <w:jc w:val="left"/>
        <w:rPr>
          <w:sz w:val="24"/>
        </w:rPr>
      </w:pPr>
      <w:r>
        <w:rPr>
          <w:sz w:val="24"/>
        </w:rPr>
        <w:t>The reporting obligations under this section are individual.</w:t>
      </w:r>
      <w:r>
        <w:rPr>
          <w:spacing w:val="40"/>
          <w:sz w:val="24"/>
        </w:rPr>
        <w:t> </w:t>
      </w:r>
      <w:r>
        <w:rPr>
          <w:sz w:val="24"/>
        </w:rPr>
        <w:t>Employers, supervisors, and administrators do not impede or inhibit the reporting obligations of any employee or other person; however, employees must also report any reasonable suspicions of child abuse or neglect involving any student</w:t>
      </w:r>
      <w:r>
        <w:rPr>
          <w:spacing w:val="-3"/>
          <w:sz w:val="24"/>
        </w:rPr>
        <w:t> </w:t>
      </w:r>
      <w:r>
        <w:rPr>
          <w:sz w:val="24"/>
        </w:rPr>
        <w:t>or</w:t>
      </w:r>
      <w:r>
        <w:rPr>
          <w:spacing w:val="-4"/>
          <w:sz w:val="24"/>
        </w:rPr>
        <w:t> </w:t>
      </w:r>
      <w:r>
        <w:rPr>
          <w:sz w:val="24"/>
        </w:rPr>
        <w:t>staff</w:t>
      </w:r>
      <w:r>
        <w:rPr>
          <w:spacing w:val="-4"/>
          <w:sz w:val="24"/>
        </w:rPr>
        <w:t> </w:t>
      </w:r>
      <w:r>
        <w:rPr>
          <w:sz w:val="24"/>
        </w:rPr>
        <w:t>to</w:t>
      </w:r>
      <w:r>
        <w:rPr>
          <w:spacing w:val="-4"/>
          <w:sz w:val="24"/>
        </w:rPr>
        <w:t> </w:t>
      </w:r>
      <w:r>
        <w:rPr>
          <w:sz w:val="24"/>
        </w:rPr>
        <w:t>their</w:t>
      </w:r>
      <w:r>
        <w:rPr>
          <w:spacing w:val="-4"/>
          <w:sz w:val="24"/>
        </w:rPr>
        <w:t> </w:t>
      </w:r>
      <w:r>
        <w:rPr>
          <w:sz w:val="24"/>
        </w:rPr>
        <w:t>immediate</w:t>
      </w:r>
      <w:r>
        <w:rPr>
          <w:spacing w:val="-4"/>
          <w:sz w:val="24"/>
        </w:rPr>
        <w:t> </w:t>
      </w:r>
      <w:r>
        <w:rPr>
          <w:sz w:val="24"/>
        </w:rPr>
        <w:t>supervisor</w:t>
      </w:r>
      <w:r>
        <w:rPr>
          <w:spacing w:val="-3"/>
          <w:sz w:val="24"/>
        </w:rPr>
        <w:t> </w:t>
      </w:r>
      <w:r>
        <w:rPr>
          <w:sz w:val="24"/>
        </w:rPr>
        <w:t>and</w:t>
      </w:r>
      <w:r>
        <w:rPr>
          <w:spacing w:val="-4"/>
          <w:sz w:val="24"/>
        </w:rPr>
        <w:t> </w:t>
      </w:r>
      <w:r>
        <w:rPr>
          <w:sz w:val="24"/>
        </w:rPr>
        <w:t>to</w:t>
      </w:r>
      <w:r>
        <w:rPr>
          <w:spacing w:val="-4"/>
          <w:sz w:val="24"/>
        </w:rPr>
        <w:t> </w:t>
      </w:r>
      <w:r>
        <w:rPr>
          <w:sz w:val="24"/>
        </w:rPr>
        <w:t>the</w:t>
      </w:r>
      <w:r>
        <w:rPr>
          <w:spacing w:val="-4"/>
          <w:sz w:val="24"/>
        </w:rPr>
        <w:t> </w:t>
      </w:r>
      <w:r>
        <w:rPr>
          <w:sz w:val="24"/>
        </w:rPr>
        <w:t>school</w:t>
      </w:r>
      <w:r>
        <w:rPr>
          <w:spacing w:val="-4"/>
          <w:sz w:val="24"/>
        </w:rPr>
        <w:t> </w:t>
      </w:r>
      <w:r>
        <w:rPr>
          <w:sz w:val="24"/>
        </w:rPr>
        <w:t>social</w:t>
      </w:r>
      <w:r>
        <w:rPr>
          <w:spacing w:val="-4"/>
          <w:sz w:val="24"/>
        </w:rPr>
        <w:t> </w:t>
      </w:r>
      <w:r>
        <w:rPr>
          <w:sz w:val="24"/>
        </w:rPr>
        <w:t>services </w:t>
      </w:r>
      <w:r>
        <w:rPr>
          <w:spacing w:val="-2"/>
          <w:sz w:val="24"/>
        </w:rPr>
        <w:t>department.</w:t>
      </w:r>
    </w:p>
    <w:p>
      <w:pPr>
        <w:pStyle w:val="ListParagraph"/>
        <w:numPr>
          <w:ilvl w:val="0"/>
          <w:numId w:val="351"/>
        </w:numPr>
        <w:tabs>
          <w:tab w:pos="1582" w:val="left" w:leader="none"/>
        </w:tabs>
        <w:spacing w:line="208" w:lineRule="auto" w:before="239" w:after="0"/>
        <w:ind w:left="1223" w:right="1073" w:firstLine="0"/>
        <w:jc w:val="left"/>
        <w:rPr>
          <w:sz w:val="24"/>
        </w:rPr>
      </w:pPr>
      <w:r>
        <w:rPr>
          <w:sz w:val="24"/>
        </w:rPr>
        <w:t>Any incidents involving criminal activities will be reported to local law enforcement</w:t>
      </w:r>
      <w:r>
        <w:rPr>
          <w:spacing w:val="-3"/>
          <w:sz w:val="24"/>
        </w:rPr>
        <w:t> </w:t>
      </w:r>
      <w:r>
        <w:rPr>
          <w:sz w:val="24"/>
        </w:rPr>
        <w:t>by</w:t>
      </w:r>
      <w:r>
        <w:rPr>
          <w:spacing w:val="-4"/>
          <w:sz w:val="24"/>
        </w:rPr>
        <w:t> </w:t>
      </w:r>
      <w:r>
        <w:rPr>
          <w:sz w:val="24"/>
        </w:rPr>
        <w:t>Oklahoma</w:t>
      </w:r>
      <w:r>
        <w:rPr>
          <w:spacing w:val="-4"/>
          <w:sz w:val="24"/>
        </w:rPr>
        <w:t> </w:t>
      </w:r>
      <w:r>
        <w:rPr>
          <w:sz w:val="24"/>
        </w:rPr>
        <w:t>School</w:t>
      </w:r>
      <w:r>
        <w:rPr>
          <w:spacing w:val="-4"/>
          <w:sz w:val="24"/>
        </w:rPr>
        <w:t> </w:t>
      </w:r>
      <w:r>
        <w:rPr>
          <w:sz w:val="24"/>
        </w:rPr>
        <w:t>for</w:t>
      </w:r>
      <w:r>
        <w:rPr>
          <w:spacing w:val="-3"/>
          <w:sz w:val="24"/>
        </w:rPr>
        <w:t> </w:t>
      </w:r>
      <w:r>
        <w:rPr>
          <w:sz w:val="24"/>
        </w:rPr>
        <w:t>the</w:t>
      </w:r>
      <w:r>
        <w:rPr>
          <w:spacing w:val="-4"/>
          <w:sz w:val="24"/>
        </w:rPr>
        <w:t> </w:t>
      </w:r>
      <w:r>
        <w:rPr>
          <w:sz w:val="24"/>
        </w:rPr>
        <w:t>Blind</w:t>
      </w:r>
      <w:r>
        <w:rPr>
          <w:spacing w:val="-4"/>
          <w:sz w:val="24"/>
        </w:rPr>
        <w:t> </w:t>
      </w:r>
      <w:r>
        <w:rPr>
          <w:sz w:val="24"/>
        </w:rPr>
        <w:t>and</w:t>
      </w:r>
      <w:r>
        <w:rPr>
          <w:spacing w:val="-4"/>
          <w:sz w:val="24"/>
        </w:rPr>
        <w:t> </w:t>
      </w:r>
      <w:r>
        <w:rPr>
          <w:sz w:val="24"/>
        </w:rPr>
        <w:t>Oklahoma</w:t>
      </w:r>
      <w:r>
        <w:rPr>
          <w:spacing w:val="-4"/>
          <w:sz w:val="24"/>
        </w:rPr>
        <w:t> </w:t>
      </w:r>
      <w:r>
        <w:rPr>
          <w:sz w:val="24"/>
        </w:rPr>
        <w:t>School</w:t>
      </w:r>
      <w:r>
        <w:rPr>
          <w:spacing w:val="-4"/>
          <w:sz w:val="24"/>
        </w:rPr>
        <w:t> </w:t>
      </w:r>
      <w:r>
        <w:rPr>
          <w:sz w:val="24"/>
        </w:rPr>
        <w:t>for</w:t>
      </w:r>
      <w:r>
        <w:rPr>
          <w:spacing w:val="-3"/>
          <w:sz w:val="24"/>
        </w:rPr>
        <w:t> </w:t>
      </w:r>
      <w:r>
        <w:rPr>
          <w:sz w:val="24"/>
        </w:rPr>
        <w:t>the Deaf administration.</w:t>
      </w:r>
    </w:p>
    <w:p>
      <w:pPr>
        <w:pStyle w:val="Heading2"/>
        <w:numPr>
          <w:ilvl w:val="1"/>
          <w:numId w:val="349"/>
        </w:numPr>
        <w:tabs>
          <w:tab w:pos="1217" w:val="left" w:leader="none"/>
        </w:tabs>
        <w:spacing w:line="240" w:lineRule="auto" w:before="210" w:after="0"/>
        <w:ind w:left="1217" w:right="0" w:hanging="426"/>
        <w:jc w:val="left"/>
      </w:pPr>
      <w:r>
        <w:rPr/>
        <w:t>Reporting</w:t>
      </w:r>
      <w:r>
        <w:rPr>
          <w:spacing w:val="-6"/>
        </w:rPr>
        <w:t> </w:t>
      </w:r>
      <w:r>
        <w:rPr>
          <w:spacing w:val="-2"/>
        </w:rPr>
        <w:t>responsibilities.</w:t>
      </w:r>
    </w:p>
    <w:p>
      <w:pPr>
        <w:pStyle w:val="ListParagraph"/>
        <w:numPr>
          <w:ilvl w:val="0"/>
          <w:numId w:val="352"/>
        </w:numPr>
        <w:tabs>
          <w:tab w:pos="1677" w:val="left" w:leader="none"/>
        </w:tabs>
        <w:spacing w:line="208" w:lineRule="auto" w:before="234" w:after="0"/>
        <w:ind w:left="1224" w:right="904" w:firstLine="0"/>
        <w:jc w:val="left"/>
        <w:rPr>
          <w:sz w:val="24"/>
        </w:rPr>
      </w:pPr>
      <w:r>
        <w:rPr>
          <w:b/>
          <w:sz w:val="24"/>
        </w:rPr>
        <w:t>Reportable</w:t>
      </w:r>
      <w:r>
        <w:rPr>
          <w:b/>
          <w:spacing w:val="-5"/>
          <w:sz w:val="24"/>
        </w:rPr>
        <w:t> </w:t>
      </w:r>
      <w:r>
        <w:rPr>
          <w:b/>
          <w:sz w:val="24"/>
        </w:rPr>
        <w:t>incidents.</w:t>
      </w:r>
      <w:r>
        <w:rPr>
          <w:b/>
          <w:spacing w:val="40"/>
          <w:sz w:val="24"/>
        </w:rPr>
        <w:t> </w:t>
      </w:r>
      <w:r>
        <w:rPr>
          <w:sz w:val="24"/>
        </w:rPr>
        <w:t>Reportable</w:t>
      </w:r>
      <w:r>
        <w:rPr>
          <w:spacing w:val="-5"/>
          <w:sz w:val="24"/>
        </w:rPr>
        <w:t> </w:t>
      </w:r>
      <w:r>
        <w:rPr>
          <w:sz w:val="24"/>
        </w:rPr>
        <w:t>incidents</w:t>
      </w:r>
      <w:r>
        <w:rPr>
          <w:spacing w:val="-5"/>
          <w:sz w:val="24"/>
        </w:rPr>
        <w:t> </w:t>
      </w:r>
      <w:r>
        <w:rPr>
          <w:sz w:val="24"/>
        </w:rPr>
        <w:t>are</w:t>
      </w:r>
      <w:r>
        <w:rPr>
          <w:spacing w:val="-5"/>
          <w:sz w:val="24"/>
        </w:rPr>
        <w:t> </w:t>
      </w:r>
      <w:r>
        <w:rPr>
          <w:sz w:val="24"/>
        </w:rPr>
        <w:t>defined</w:t>
      </w:r>
      <w:r>
        <w:rPr>
          <w:spacing w:val="-5"/>
          <w:sz w:val="24"/>
        </w:rPr>
        <w:t> </w:t>
      </w:r>
      <w:r>
        <w:rPr>
          <w:sz w:val="24"/>
        </w:rPr>
        <w:t>in</w:t>
      </w:r>
      <w:r>
        <w:rPr>
          <w:spacing w:val="-5"/>
          <w:sz w:val="24"/>
        </w:rPr>
        <w:t> </w:t>
      </w:r>
      <w:r>
        <w:rPr>
          <w:sz w:val="24"/>
        </w:rPr>
        <w:t>subsection</w:t>
      </w:r>
      <w:r>
        <w:rPr>
          <w:spacing w:val="-5"/>
          <w:sz w:val="24"/>
        </w:rPr>
        <w:t> </w:t>
      </w:r>
      <w:r>
        <w:rPr>
          <w:sz w:val="24"/>
        </w:rPr>
        <w:t>(a) of this Section.</w:t>
      </w:r>
    </w:p>
    <w:p>
      <w:pPr>
        <w:pStyle w:val="ListParagraph"/>
        <w:numPr>
          <w:ilvl w:val="0"/>
          <w:numId w:val="352"/>
        </w:numPr>
        <w:tabs>
          <w:tab w:pos="1675" w:val="left" w:leader="none"/>
        </w:tabs>
        <w:spacing w:line="208" w:lineRule="auto" w:before="239" w:after="0"/>
        <w:ind w:left="1223" w:right="754" w:firstLine="0"/>
        <w:jc w:val="left"/>
        <w:rPr>
          <w:sz w:val="24"/>
        </w:rPr>
      </w:pPr>
      <w:r>
        <w:rPr>
          <w:b/>
          <w:sz w:val="24"/>
        </w:rPr>
        <w:t>Immunity from liability.</w:t>
      </w:r>
      <w:r>
        <w:rPr>
          <w:b/>
          <w:spacing w:val="40"/>
          <w:sz w:val="24"/>
        </w:rPr>
        <w:t> </w:t>
      </w:r>
      <w:r>
        <w:rPr>
          <w:sz w:val="24"/>
        </w:rPr>
        <w:t>Oklahoma law provides that any person exercising</w:t>
      </w:r>
      <w:r>
        <w:rPr>
          <w:spacing w:val="-3"/>
          <w:sz w:val="24"/>
        </w:rPr>
        <w:t> </w:t>
      </w:r>
      <w:r>
        <w:rPr>
          <w:sz w:val="24"/>
        </w:rPr>
        <w:t>good</w:t>
      </w:r>
      <w:r>
        <w:rPr>
          <w:spacing w:val="-4"/>
          <w:sz w:val="24"/>
        </w:rPr>
        <w:t> </w:t>
      </w:r>
      <w:r>
        <w:rPr>
          <w:sz w:val="24"/>
        </w:rPr>
        <w:t>faith</w:t>
      </w:r>
      <w:r>
        <w:rPr>
          <w:spacing w:val="-4"/>
          <w:sz w:val="24"/>
        </w:rPr>
        <w:t> </w:t>
      </w:r>
      <w:r>
        <w:rPr>
          <w:sz w:val="24"/>
        </w:rPr>
        <w:t>and</w:t>
      </w:r>
      <w:r>
        <w:rPr>
          <w:spacing w:val="-4"/>
          <w:sz w:val="24"/>
        </w:rPr>
        <w:t> </w:t>
      </w:r>
      <w:r>
        <w:rPr>
          <w:sz w:val="24"/>
        </w:rPr>
        <w:t>due</w:t>
      </w:r>
      <w:r>
        <w:rPr>
          <w:spacing w:val="-4"/>
          <w:sz w:val="24"/>
        </w:rPr>
        <w:t> </w:t>
      </w:r>
      <w:r>
        <w:rPr>
          <w:sz w:val="24"/>
        </w:rPr>
        <w:t>care</w:t>
      </w:r>
      <w:r>
        <w:rPr>
          <w:spacing w:val="-4"/>
          <w:sz w:val="24"/>
        </w:rPr>
        <w:t> </w:t>
      </w:r>
      <w:r>
        <w:rPr>
          <w:sz w:val="24"/>
        </w:rPr>
        <w:t>in</w:t>
      </w:r>
      <w:r>
        <w:rPr>
          <w:spacing w:val="-4"/>
          <w:sz w:val="24"/>
        </w:rPr>
        <w:t> </w:t>
      </w:r>
      <w:r>
        <w:rPr>
          <w:sz w:val="24"/>
        </w:rPr>
        <w:t>making</w:t>
      </w:r>
      <w:r>
        <w:rPr>
          <w:spacing w:val="-4"/>
          <w:sz w:val="24"/>
        </w:rPr>
        <w:t> </w:t>
      </w:r>
      <w:r>
        <w:rPr>
          <w:sz w:val="24"/>
        </w:rPr>
        <w:t>a</w:t>
      </w:r>
      <w:r>
        <w:rPr>
          <w:spacing w:val="-4"/>
          <w:sz w:val="24"/>
        </w:rPr>
        <w:t> </w:t>
      </w:r>
      <w:r>
        <w:rPr>
          <w:sz w:val="24"/>
        </w:rPr>
        <w:t>report</w:t>
      </w:r>
      <w:r>
        <w:rPr>
          <w:spacing w:val="-3"/>
          <w:sz w:val="24"/>
        </w:rPr>
        <w:t> </w:t>
      </w:r>
      <w:r>
        <w:rPr>
          <w:sz w:val="24"/>
        </w:rPr>
        <w:t>of</w:t>
      </w:r>
      <w:r>
        <w:rPr>
          <w:spacing w:val="-3"/>
          <w:sz w:val="24"/>
        </w:rPr>
        <w:t> </w:t>
      </w:r>
      <w:r>
        <w:rPr>
          <w:sz w:val="24"/>
        </w:rPr>
        <w:t>alleged</w:t>
      </w:r>
      <w:r>
        <w:rPr>
          <w:spacing w:val="-4"/>
          <w:sz w:val="24"/>
        </w:rPr>
        <w:t> </w:t>
      </w:r>
      <w:r>
        <w:rPr>
          <w:sz w:val="24"/>
        </w:rPr>
        <w:t>abuse,</w:t>
      </w:r>
      <w:r>
        <w:rPr>
          <w:spacing w:val="-3"/>
          <w:sz w:val="24"/>
        </w:rPr>
        <w:t> </w:t>
      </w:r>
      <w:r>
        <w:rPr>
          <w:sz w:val="24"/>
        </w:rPr>
        <w:t>neglect, verbal abuse, or exploitation pursuant to the Oklahoma Child Abuse Reporting and Prevention Act or the Oklahoma Protective Services for Vulnerable Adults Act shall have immunity from any civil or criminal liability the person might otherwise incur.</w:t>
      </w:r>
    </w:p>
    <w:p>
      <w:pPr>
        <w:pStyle w:val="ListParagraph"/>
        <w:numPr>
          <w:ilvl w:val="0"/>
          <w:numId w:val="352"/>
        </w:numPr>
        <w:tabs>
          <w:tab w:pos="1689" w:val="left" w:leader="none"/>
        </w:tabs>
        <w:spacing w:line="208" w:lineRule="auto" w:before="240" w:after="0"/>
        <w:ind w:left="1224" w:right="1064" w:firstLine="0"/>
        <w:jc w:val="left"/>
        <w:rPr>
          <w:sz w:val="24"/>
        </w:rPr>
      </w:pPr>
      <w:r>
        <w:rPr>
          <w:b/>
          <w:sz w:val="24"/>
        </w:rPr>
        <w:t>Questions about reporting.</w:t>
      </w:r>
      <w:r>
        <w:rPr>
          <w:b/>
          <w:spacing w:val="40"/>
          <w:sz w:val="24"/>
        </w:rPr>
        <w:t> </w:t>
      </w:r>
      <w:r>
        <w:rPr>
          <w:sz w:val="24"/>
        </w:rPr>
        <w:t>A person who is uncertain if a particular incident</w:t>
      </w:r>
      <w:r>
        <w:rPr>
          <w:spacing w:val="-5"/>
          <w:sz w:val="24"/>
        </w:rPr>
        <w:t> </w:t>
      </w:r>
      <w:r>
        <w:rPr>
          <w:sz w:val="24"/>
        </w:rPr>
        <w:t>is</w:t>
      </w:r>
      <w:r>
        <w:rPr>
          <w:spacing w:val="-6"/>
          <w:sz w:val="24"/>
        </w:rPr>
        <w:t> </w:t>
      </w:r>
      <w:r>
        <w:rPr>
          <w:sz w:val="24"/>
        </w:rPr>
        <w:t>reportable</w:t>
      </w:r>
      <w:r>
        <w:rPr>
          <w:spacing w:val="-6"/>
          <w:sz w:val="24"/>
        </w:rPr>
        <w:t> </w:t>
      </w:r>
      <w:r>
        <w:rPr>
          <w:sz w:val="24"/>
        </w:rPr>
        <w:t>contacts</w:t>
      </w:r>
      <w:r>
        <w:rPr>
          <w:spacing w:val="-6"/>
          <w:sz w:val="24"/>
        </w:rPr>
        <w:t> </w:t>
      </w:r>
      <w:r>
        <w:rPr>
          <w:sz w:val="24"/>
        </w:rPr>
        <w:t>OCA</w:t>
      </w:r>
      <w:r>
        <w:rPr>
          <w:spacing w:val="-6"/>
          <w:sz w:val="24"/>
        </w:rPr>
        <w:t> </w:t>
      </w:r>
      <w:r>
        <w:rPr>
          <w:sz w:val="24"/>
        </w:rPr>
        <w:t>intake</w:t>
      </w:r>
      <w:r>
        <w:rPr>
          <w:spacing w:val="-6"/>
          <w:sz w:val="24"/>
        </w:rPr>
        <w:t> </w:t>
      </w:r>
      <w:r>
        <w:rPr>
          <w:sz w:val="24"/>
        </w:rPr>
        <w:t>(1-800-522-8014)</w:t>
      </w:r>
      <w:r>
        <w:rPr>
          <w:spacing w:val="-5"/>
          <w:sz w:val="24"/>
        </w:rPr>
        <w:t> </w:t>
      </w:r>
      <w:r>
        <w:rPr>
          <w:sz w:val="24"/>
        </w:rPr>
        <w:t>during</w:t>
      </w:r>
      <w:r>
        <w:rPr>
          <w:spacing w:val="-6"/>
          <w:sz w:val="24"/>
        </w:rPr>
        <w:t> </w:t>
      </w:r>
      <w:r>
        <w:rPr>
          <w:sz w:val="24"/>
        </w:rPr>
        <w:t>business hours, and after hours calls the Abuse Hotline (1-800-522-3511).</w:t>
      </w:r>
    </w:p>
    <w:p>
      <w:pPr>
        <w:pStyle w:val="ListParagraph"/>
        <w:numPr>
          <w:ilvl w:val="1"/>
          <w:numId w:val="349"/>
        </w:numPr>
        <w:tabs>
          <w:tab w:pos="1218" w:val="left" w:leader="none"/>
        </w:tabs>
        <w:spacing w:line="208" w:lineRule="auto" w:before="240" w:after="0"/>
        <w:ind w:left="792" w:right="721" w:firstLine="0"/>
        <w:jc w:val="left"/>
        <w:rPr>
          <w:sz w:val="24"/>
        </w:rPr>
      </w:pPr>
      <w:r>
        <w:rPr>
          <w:b/>
          <w:sz w:val="24"/>
        </w:rPr>
        <w:t>Failure to report.</w:t>
      </w:r>
      <w:r>
        <w:rPr>
          <w:b/>
          <w:spacing w:val="40"/>
          <w:sz w:val="24"/>
        </w:rPr>
        <w:t> </w:t>
      </w:r>
      <w:r>
        <w:rPr>
          <w:sz w:val="24"/>
        </w:rPr>
        <w:t>Any person who knowingly and willfully fails to promptly report a reportable incident as provided for in this Section may be subject to administrative action or criminal sanctions.</w:t>
      </w:r>
      <w:r>
        <w:rPr>
          <w:spacing w:val="40"/>
          <w:sz w:val="24"/>
        </w:rPr>
        <w:t> </w:t>
      </w:r>
      <w:r>
        <w:rPr>
          <w:sz w:val="24"/>
        </w:rPr>
        <w:t>Section 10-104(C) of Title 43A and Section 7103(C) of Title 10 of the Oklahoma Statutes makes failure to report a misdemeanor,</w:t>
      </w:r>
      <w:r>
        <w:rPr>
          <w:spacing w:val="-3"/>
          <w:sz w:val="24"/>
        </w:rPr>
        <w:t> </w:t>
      </w:r>
      <w:r>
        <w:rPr>
          <w:sz w:val="24"/>
        </w:rPr>
        <w:t>upon</w:t>
      </w:r>
      <w:r>
        <w:rPr>
          <w:spacing w:val="-4"/>
          <w:sz w:val="24"/>
        </w:rPr>
        <w:t> </w:t>
      </w:r>
      <w:r>
        <w:rPr>
          <w:sz w:val="24"/>
        </w:rPr>
        <w:t>conviction.</w:t>
      </w:r>
      <w:r>
        <w:rPr>
          <w:spacing w:val="40"/>
          <w:sz w:val="24"/>
        </w:rPr>
        <w:t> </w:t>
      </w:r>
      <w:r>
        <w:rPr>
          <w:sz w:val="24"/>
        </w:rPr>
        <w:t>In</w:t>
      </w:r>
      <w:r>
        <w:rPr>
          <w:spacing w:val="-4"/>
          <w:sz w:val="24"/>
        </w:rPr>
        <w:t> </w:t>
      </w:r>
      <w:r>
        <w:rPr>
          <w:sz w:val="24"/>
        </w:rPr>
        <w:t>addition,</w:t>
      </w:r>
      <w:r>
        <w:rPr>
          <w:spacing w:val="-3"/>
          <w:sz w:val="24"/>
        </w:rPr>
        <w:t> </w:t>
      </w:r>
      <w:r>
        <w:rPr>
          <w:sz w:val="24"/>
        </w:rPr>
        <w:t>failure</w:t>
      </w:r>
      <w:r>
        <w:rPr>
          <w:spacing w:val="-4"/>
          <w:sz w:val="24"/>
        </w:rPr>
        <w:t> </w:t>
      </w:r>
      <w:r>
        <w:rPr>
          <w:sz w:val="24"/>
        </w:rPr>
        <w:t>to</w:t>
      </w:r>
      <w:r>
        <w:rPr>
          <w:spacing w:val="-4"/>
          <w:sz w:val="24"/>
        </w:rPr>
        <w:t> </w:t>
      </w:r>
      <w:r>
        <w:rPr>
          <w:sz w:val="24"/>
        </w:rPr>
        <w:t>report</w:t>
      </w:r>
      <w:r>
        <w:rPr>
          <w:spacing w:val="-3"/>
          <w:sz w:val="24"/>
        </w:rPr>
        <w:t> </w:t>
      </w:r>
      <w:r>
        <w:rPr>
          <w:sz w:val="24"/>
        </w:rPr>
        <w:t>by</w:t>
      </w:r>
      <w:r>
        <w:rPr>
          <w:spacing w:val="-4"/>
          <w:sz w:val="24"/>
        </w:rPr>
        <w:t> </w:t>
      </w:r>
      <w:r>
        <w:rPr>
          <w:sz w:val="24"/>
        </w:rPr>
        <w:t>an</w:t>
      </w:r>
      <w:r>
        <w:rPr>
          <w:spacing w:val="-5"/>
          <w:sz w:val="24"/>
        </w:rPr>
        <w:t> </w:t>
      </w:r>
      <w:r>
        <w:rPr>
          <w:sz w:val="24"/>
        </w:rPr>
        <w:t>Oklahoma</w:t>
      </w:r>
      <w:r>
        <w:rPr>
          <w:spacing w:val="-4"/>
          <w:sz w:val="24"/>
        </w:rPr>
        <w:t> </w:t>
      </w:r>
      <w:r>
        <w:rPr>
          <w:sz w:val="24"/>
        </w:rPr>
        <w:t>School for the Blind or Oklahoma School for the Deaf employee can result in disciplinary </w:t>
      </w:r>
      <w:r>
        <w:rPr>
          <w:spacing w:val="-2"/>
          <w:sz w:val="24"/>
        </w:rPr>
        <w:t>action.</w:t>
      </w:r>
    </w:p>
    <w:p>
      <w:pPr>
        <w:pStyle w:val="Heading2"/>
        <w:numPr>
          <w:ilvl w:val="1"/>
          <w:numId w:val="349"/>
        </w:numPr>
        <w:tabs>
          <w:tab w:pos="1218" w:val="left" w:leader="none"/>
        </w:tabs>
        <w:spacing w:line="240" w:lineRule="auto" w:before="210" w:after="0"/>
        <w:ind w:left="1218" w:right="0" w:hanging="426"/>
        <w:jc w:val="left"/>
      </w:pPr>
      <w:r>
        <w:rPr/>
        <w:t>False</w:t>
      </w:r>
      <w:r>
        <w:rPr>
          <w:spacing w:val="-4"/>
        </w:rPr>
        <w:t> </w:t>
      </w:r>
      <w:r>
        <w:rPr>
          <w:spacing w:val="-2"/>
        </w:rPr>
        <w:t>reporting.</w:t>
      </w:r>
    </w:p>
    <w:p>
      <w:pPr>
        <w:pStyle w:val="ListParagraph"/>
        <w:numPr>
          <w:ilvl w:val="0"/>
          <w:numId w:val="353"/>
        </w:numPr>
        <w:tabs>
          <w:tab w:pos="1677" w:val="left" w:leader="none"/>
        </w:tabs>
        <w:spacing w:line="208" w:lineRule="auto" w:before="233" w:after="0"/>
        <w:ind w:left="1224" w:right="796" w:firstLine="0"/>
        <w:jc w:val="left"/>
        <w:rPr>
          <w:sz w:val="24"/>
        </w:rPr>
      </w:pPr>
      <w:r>
        <w:rPr>
          <w:sz w:val="24"/>
        </w:rPr>
        <w:t>Any person who knowingly and willfully makes a false report regarding alleged</w:t>
      </w:r>
      <w:r>
        <w:rPr>
          <w:spacing w:val="-4"/>
          <w:sz w:val="24"/>
        </w:rPr>
        <w:t> </w:t>
      </w:r>
      <w:r>
        <w:rPr>
          <w:sz w:val="24"/>
        </w:rPr>
        <w:t>maltreatment</w:t>
      </w:r>
      <w:r>
        <w:rPr>
          <w:spacing w:val="-4"/>
          <w:sz w:val="24"/>
        </w:rPr>
        <w:t> </w:t>
      </w:r>
      <w:r>
        <w:rPr>
          <w:sz w:val="24"/>
        </w:rPr>
        <w:t>of</w:t>
      </w:r>
      <w:r>
        <w:rPr>
          <w:spacing w:val="-3"/>
          <w:sz w:val="24"/>
        </w:rPr>
        <w:t> </w:t>
      </w:r>
      <w:r>
        <w:rPr>
          <w:sz w:val="24"/>
        </w:rPr>
        <w:t>a</w:t>
      </w:r>
      <w:r>
        <w:rPr>
          <w:spacing w:val="-4"/>
          <w:sz w:val="24"/>
        </w:rPr>
        <w:t> </w:t>
      </w:r>
      <w:r>
        <w:rPr>
          <w:sz w:val="24"/>
        </w:rPr>
        <w:t>minor,</w:t>
      </w:r>
      <w:r>
        <w:rPr>
          <w:spacing w:val="-4"/>
          <w:sz w:val="24"/>
        </w:rPr>
        <w:t> </w:t>
      </w:r>
      <w:r>
        <w:rPr>
          <w:sz w:val="24"/>
        </w:rPr>
        <w:t>or</w:t>
      </w:r>
      <w:r>
        <w:rPr>
          <w:spacing w:val="-3"/>
          <w:sz w:val="24"/>
        </w:rPr>
        <w:t> </w:t>
      </w:r>
      <w:r>
        <w:rPr>
          <w:sz w:val="24"/>
        </w:rPr>
        <w:t>a</w:t>
      </w:r>
      <w:r>
        <w:rPr>
          <w:spacing w:val="-4"/>
          <w:sz w:val="24"/>
        </w:rPr>
        <w:t> </w:t>
      </w:r>
      <w:r>
        <w:rPr>
          <w:sz w:val="24"/>
        </w:rPr>
        <w:t>report</w:t>
      </w:r>
      <w:r>
        <w:rPr>
          <w:spacing w:val="-3"/>
          <w:sz w:val="24"/>
        </w:rPr>
        <w:t> </w:t>
      </w:r>
      <w:r>
        <w:rPr>
          <w:sz w:val="24"/>
        </w:rPr>
        <w:t>that</w:t>
      </w:r>
      <w:r>
        <w:rPr>
          <w:spacing w:val="-3"/>
          <w:sz w:val="24"/>
        </w:rPr>
        <w:t> </w:t>
      </w:r>
      <w:r>
        <w:rPr>
          <w:sz w:val="24"/>
        </w:rPr>
        <w:t>the</w:t>
      </w:r>
      <w:r>
        <w:rPr>
          <w:spacing w:val="-4"/>
          <w:sz w:val="24"/>
        </w:rPr>
        <w:t> </w:t>
      </w:r>
      <w:r>
        <w:rPr>
          <w:sz w:val="24"/>
        </w:rPr>
        <w:t>person</w:t>
      </w:r>
      <w:r>
        <w:rPr>
          <w:spacing w:val="-4"/>
          <w:sz w:val="24"/>
        </w:rPr>
        <w:t> </w:t>
      </w:r>
      <w:r>
        <w:rPr>
          <w:sz w:val="24"/>
        </w:rPr>
        <w:t>knows</w:t>
      </w:r>
      <w:r>
        <w:rPr>
          <w:spacing w:val="-4"/>
          <w:sz w:val="24"/>
        </w:rPr>
        <w:t> </w:t>
      </w:r>
      <w:r>
        <w:rPr>
          <w:sz w:val="24"/>
        </w:rPr>
        <w:t>lacks</w:t>
      </w:r>
      <w:r>
        <w:rPr>
          <w:spacing w:val="-4"/>
          <w:sz w:val="24"/>
        </w:rPr>
        <w:t> </w:t>
      </w:r>
      <w:r>
        <w:rPr>
          <w:sz w:val="24"/>
        </w:rPr>
        <w:t>factual foundation, may be reported to local law enforcement for criminal investigation and, upon conviction, is guilty of a misdemeanor.</w:t>
      </w:r>
    </w:p>
    <w:p>
      <w:pPr>
        <w:pStyle w:val="ListParagraph"/>
        <w:spacing w:after="0" w:line="208" w:lineRule="auto"/>
        <w:jc w:val="left"/>
        <w:rPr>
          <w:sz w:val="24"/>
        </w:rPr>
        <w:sectPr>
          <w:pgSz w:w="12240" w:h="15840"/>
          <w:pgMar w:top="1340" w:bottom="280" w:left="1080" w:right="720"/>
        </w:sectPr>
      </w:pPr>
    </w:p>
    <w:p>
      <w:pPr>
        <w:pStyle w:val="ListParagraph"/>
        <w:numPr>
          <w:ilvl w:val="0"/>
          <w:numId w:val="353"/>
        </w:numPr>
        <w:tabs>
          <w:tab w:pos="1676" w:val="left" w:leader="none"/>
        </w:tabs>
        <w:spacing w:line="208" w:lineRule="auto" w:before="96" w:after="0"/>
        <w:ind w:left="1224" w:right="1007" w:firstLine="0"/>
        <w:jc w:val="left"/>
        <w:rPr>
          <w:sz w:val="24"/>
        </w:rPr>
      </w:pPr>
      <w:r>
        <w:rPr>
          <w:sz w:val="24"/>
        </w:rPr>
        <w:t>With regard to vulnerable adults, any person who willfully or recklessly makes a false report may be liable in a civil action for any actual damages suffered</w:t>
      </w:r>
      <w:r>
        <w:rPr>
          <w:spacing w:val="-4"/>
          <w:sz w:val="24"/>
        </w:rPr>
        <w:t> </w:t>
      </w:r>
      <w:r>
        <w:rPr>
          <w:sz w:val="24"/>
        </w:rPr>
        <w:t>by</w:t>
      </w:r>
      <w:r>
        <w:rPr>
          <w:spacing w:val="-5"/>
          <w:sz w:val="24"/>
        </w:rPr>
        <w:t> </w:t>
      </w:r>
      <w:r>
        <w:rPr>
          <w:sz w:val="24"/>
        </w:rPr>
        <w:t>the</w:t>
      </w:r>
      <w:r>
        <w:rPr>
          <w:spacing w:val="-4"/>
          <w:sz w:val="24"/>
        </w:rPr>
        <w:t> </w:t>
      </w:r>
      <w:r>
        <w:rPr>
          <w:sz w:val="24"/>
        </w:rPr>
        <w:t>person(s)</w:t>
      </w:r>
      <w:r>
        <w:rPr>
          <w:spacing w:val="-3"/>
          <w:sz w:val="24"/>
        </w:rPr>
        <w:t> </w:t>
      </w:r>
      <w:r>
        <w:rPr>
          <w:sz w:val="24"/>
        </w:rPr>
        <w:t>being</w:t>
      </w:r>
      <w:r>
        <w:rPr>
          <w:spacing w:val="-4"/>
          <w:sz w:val="24"/>
        </w:rPr>
        <w:t> </w:t>
      </w:r>
      <w:r>
        <w:rPr>
          <w:sz w:val="24"/>
        </w:rPr>
        <w:t>reported</w:t>
      </w:r>
      <w:r>
        <w:rPr>
          <w:spacing w:val="-4"/>
          <w:sz w:val="24"/>
        </w:rPr>
        <w:t> </w:t>
      </w:r>
      <w:r>
        <w:rPr>
          <w:sz w:val="24"/>
        </w:rPr>
        <w:t>and</w:t>
      </w:r>
      <w:r>
        <w:rPr>
          <w:spacing w:val="-4"/>
          <w:sz w:val="24"/>
        </w:rPr>
        <w:t> </w:t>
      </w:r>
      <w:r>
        <w:rPr>
          <w:sz w:val="24"/>
        </w:rPr>
        <w:t>for</w:t>
      </w:r>
      <w:r>
        <w:rPr>
          <w:spacing w:val="-3"/>
          <w:sz w:val="24"/>
        </w:rPr>
        <w:t> </w:t>
      </w:r>
      <w:r>
        <w:rPr>
          <w:sz w:val="24"/>
        </w:rPr>
        <w:t>any</w:t>
      </w:r>
      <w:r>
        <w:rPr>
          <w:spacing w:val="-4"/>
          <w:sz w:val="24"/>
        </w:rPr>
        <w:t> </w:t>
      </w:r>
      <w:r>
        <w:rPr>
          <w:sz w:val="24"/>
        </w:rPr>
        <w:t>punitive</w:t>
      </w:r>
      <w:r>
        <w:rPr>
          <w:spacing w:val="-4"/>
          <w:sz w:val="24"/>
        </w:rPr>
        <w:t> </w:t>
      </w:r>
      <w:r>
        <w:rPr>
          <w:sz w:val="24"/>
        </w:rPr>
        <w:t>damages</w:t>
      </w:r>
      <w:r>
        <w:rPr>
          <w:spacing w:val="-4"/>
          <w:sz w:val="24"/>
        </w:rPr>
        <w:t> </w:t>
      </w:r>
      <w:r>
        <w:rPr>
          <w:sz w:val="24"/>
        </w:rPr>
        <w:t>set</w:t>
      </w:r>
      <w:r>
        <w:rPr>
          <w:spacing w:val="-3"/>
          <w:sz w:val="24"/>
        </w:rPr>
        <w:t> </w:t>
      </w:r>
      <w:r>
        <w:rPr>
          <w:sz w:val="24"/>
        </w:rPr>
        <w:t>by the court or jury.</w:t>
      </w:r>
    </w:p>
    <w:p>
      <w:pPr>
        <w:pStyle w:val="Heading2"/>
        <w:numPr>
          <w:ilvl w:val="1"/>
          <w:numId w:val="349"/>
        </w:numPr>
        <w:tabs>
          <w:tab w:pos="1216" w:val="left" w:leader="none"/>
        </w:tabs>
        <w:spacing w:line="240" w:lineRule="auto" w:before="210" w:after="0"/>
        <w:ind w:left="1216" w:right="0" w:hanging="425"/>
        <w:jc w:val="left"/>
      </w:pPr>
      <w:r>
        <w:rPr/>
        <w:t>Method</w:t>
      </w:r>
      <w:r>
        <w:rPr>
          <w:spacing w:val="-3"/>
        </w:rPr>
        <w:t> </w:t>
      </w:r>
      <w:r>
        <w:rPr/>
        <w:t>of</w:t>
      </w:r>
      <w:r>
        <w:rPr>
          <w:spacing w:val="-1"/>
        </w:rPr>
        <w:t> </w:t>
      </w:r>
      <w:r>
        <w:rPr>
          <w:spacing w:val="-2"/>
        </w:rPr>
        <w:t>reporting.</w:t>
      </w:r>
    </w:p>
    <w:p>
      <w:pPr>
        <w:pStyle w:val="ListParagraph"/>
        <w:numPr>
          <w:ilvl w:val="0"/>
          <w:numId w:val="354"/>
        </w:numPr>
        <w:tabs>
          <w:tab w:pos="1676" w:val="left" w:leader="none"/>
        </w:tabs>
        <w:spacing w:line="208" w:lineRule="auto" w:before="233" w:after="0"/>
        <w:ind w:left="1223" w:right="809" w:firstLine="0"/>
        <w:jc w:val="left"/>
        <w:rPr>
          <w:b/>
          <w:sz w:val="24"/>
        </w:rPr>
      </w:pPr>
      <w:r>
        <w:rPr>
          <w:sz w:val="24"/>
        </w:rPr>
        <w:t>Any person obligated to report an allegation of suspected abuse, neglect, verbal</w:t>
      </w:r>
      <w:r>
        <w:rPr>
          <w:spacing w:val="-5"/>
          <w:sz w:val="24"/>
        </w:rPr>
        <w:t> </w:t>
      </w:r>
      <w:r>
        <w:rPr>
          <w:sz w:val="24"/>
        </w:rPr>
        <w:t>abuse,</w:t>
      </w:r>
      <w:r>
        <w:rPr>
          <w:spacing w:val="-4"/>
          <w:sz w:val="24"/>
        </w:rPr>
        <w:t> </w:t>
      </w:r>
      <w:r>
        <w:rPr>
          <w:sz w:val="24"/>
        </w:rPr>
        <w:t>exploitation,</w:t>
      </w:r>
      <w:r>
        <w:rPr>
          <w:spacing w:val="-4"/>
          <w:sz w:val="24"/>
        </w:rPr>
        <w:t> </w:t>
      </w:r>
      <w:r>
        <w:rPr>
          <w:sz w:val="24"/>
        </w:rPr>
        <w:t>or</w:t>
      </w:r>
      <w:r>
        <w:rPr>
          <w:spacing w:val="-4"/>
          <w:sz w:val="24"/>
        </w:rPr>
        <w:t> </w:t>
      </w:r>
      <w:r>
        <w:rPr>
          <w:sz w:val="24"/>
        </w:rPr>
        <w:t>caretaker</w:t>
      </w:r>
      <w:r>
        <w:rPr>
          <w:spacing w:val="-4"/>
          <w:sz w:val="24"/>
        </w:rPr>
        <w:t> </w:t>
      </w:r>
      <w:r>
        <w:rPr>
          <w:sz w:val="24"/>
        </w:rPr>
        <w:t>misconduct</w:t>
      </w:r>
      <w:r>
        <w:rPr>
          <w:spacing w:val="-4"/>
          <w:sz w:val="24"/>
        </w:rPr>
        <w:t> </w:t>
      </w:r>
      <w:r>
        <w:rPr>
          <w:sz w:val="24"/>
        </w:rPr>
        <w:t>towards</w:t>
      </w:r>
      <w:r>
        <w:rPr>
          <w:spacing w:val="-5"/>
          <w:sz w:val="24"/>
        </w:rPr>
        <w:t> </w:t>
      </w:r>
      <w:r>
        <w:rPr>
          <w:sz w:val="24"/>
        </w:rPr>
        <w:t>a</w:t>
      </w:r>
      <w:r>
        <w:rPr>
          <w:spacing w:val="-5"/>
          <w:sz w:val="24"/>
        </w:rPr>
        <w:t> </w:t>
      </w:r>
      <w:r>
        <w:rPr>
          <w:sz w:val="24"/>
        </w:rPr>
        <w:t>student,</w:t>
      </w:r>
      <w:r>
        <w:rPr>
          <w:spacing w:val="-4"/>
          <w:sz w:val="24"/>
        </w:rPr>
        <w:t> </w:t>
      </w:r>
      <w:r>
        <w:rPr>
          <w:sz w:val="24"/>
        </w:rPr>
        <w:t>contacts OCA intake in Oklahoma City. </w:t>
      </w:r>
      <w:r>
        <w:rPr>
          <w:b/>
          <w:sz w:val="24"/>
        </w:rPr>
        <w:t>1</w:t>
      </w:r>
    </w:p>
    <w:p>
      <w:pPr>
        <w:pStyle w:val="ListParagraph"/>
        <w:numPr>
          <w:ilvl w:val="0"/>
          <w:numId w:val="354"/>
        </w:numPr>
        <w:tabs>
          <w:tab w:pos="1676" w:val="left" w:leader="none"/>
        </w:tabs>
        <w:spacing w:line="208" w:lineRule="auto" w:before="240" w:after="0"/>
        <w:ind w:left="1223" w:right="1223" w:firstLine="0"/>
        <w:jc w:val="left"/>
        <w:rPr>
          <w:sz w:val="24"/>
        </w:rPr>
      </w:pPr>
      <w:r>
        <w:rPr>
          <w:sz w:val="24"/>
        </w:rPr>
        <w:t>Allegations</w:t>
      </w:r>
      <w:r>
        <w:rPr>
          <w:spacing w:val="-4"/>
          <w:sz w:val="24"/>
        </w:rPr>
        <w:t> </w:t>
      </w:r>
      <w:r>
        <w:rPr>
          <w:sz w:val="24"/>
        </w:rPr>
        <w:t>of</w:t>
      </w:r>
      <w:r>
        <w:rPr>
          <w:spacing w:val="-3"/>
          <w:sz w:val="24"/>
        </w:rPr>
        <w:t> </w:t>
      </w:r>
      <w:r>
        <w:rPr>
          <w:sz w:val="24"/>
        </w:rPr>
        <w:t>abuse</w:t>
      </w:r>
      <w:r>
        <w:rPr>
          <w:spacing w:val="-4"/>
          <w:sz w:val="24"/>
        </w:rPr>
        <w:t> </w:t>
      </w:r>
      <w:r>
        <w:rPr>
          <w:sz w:val="24"/>
        </w:rPr>
        <w:t>or</w:t>
      </w:r>
      <w:r>
        <w:rPr>
          <w:spacing w:val="-3"/>
          <w:sz w:val="24"/>
        </w:rPr>
        <w:t> </w:t>
      </w:r>
      <w:r>
        <w:rPr>
          <w:sz w:val="24"/>
        </w:rPr>
        <w:t>neglect</w:t>
      </w:r>
      <w:r>
        <w:rPr>
          <w:spacing w:val="-3"/>
          <w:sz w:val="24"/>
        </w:rPr>
        <w:t> </w:t>
      </w:r>
      <w:r>
        <w:rPr>
          <w:sz w:val="24"/>
        </w:rPr>
        <w:t>at</w:t>
      </w:r>
      <w:r>
        <w:rPr>
          <w:spacing w:val="-5"/>
          <w:sz w:val="24"/>
        </w:rPr>
        <w:t> </w:t>
      </w:r>
      <w:r>
        <w:rPr>
          <w:sz w:val="24"/>
        </w:rPr>
        <w:t>the</w:t>
      </w:r>
      <w:r>
        <w:rPr>
          <w:spacing w:val="-4"/>
          <w:sz w:val="24"/>
        </w:rPr>
        <w:t> </w:t>
      </w:r>
      <w:r>
        <w:rPr>
          <w:sz w:val="24"/>
        </w:rPr>
        <w:t>Oklahoma</w:t>
      </w:r>
      <w:r>
        <w:rPr>
          <w:spacing w:val="-4"/>
          <w:sz w:val="24"/>
        </w:rPr>
        <w:t> </w:t>
      </w:r>
      <w:r>
        <w:rPr>
          <w:sz w:val="24"/>
        </w:rPr>
        <w:t>School</w:t>
      </w:r>
      <w:r>
        <w:rPr>
          <w:spacing w:val="-4"/>
          <w:sz w:val="24"/>
        </w:rPr>
        <w:t> </w:t>
      </w:r>
      <w:r>
        <w:rPr>
          <w:sz w:val="24"/>
        </w:rPr>
        <w:t>for</w:t>
      </w:r>
      <w:r>
        <w:rPr>
          <w:spacing w:val="-3"/>
          <w:sz w:val="24"/>
        </w:rPr>
        <w:t> </w:t>
      </w:r>
      <w:r>
        <w:rPr>
          <w:sz w:val="24"/>
        </w:rPr>
        <w:t>the</w:t>
      </w:r>
      <w:r>
        <w:rPr>
          <w:spacing w:val="-4"/>
          <w:sz w:val="24"/>
        </w:rPr>
        <w:t> </w:t>
      </w:r>
      <w:r>
        <w:rPr>
          <w:sz w:val="24"/>
        </w:rPr>
        <w:t>Blind</w:t>
      </w:r>
      <w:r>
        <w:rPr>
          <w:spacing w:val="-4"/>
          <w:sz w:val="24"/>
        </w:rPr>
        <w:t> </w:t>
      </w:r>
      <w:r>
        <w:rPr>
          <w:sz w:val="24"/>
        </w:rPr>
        <w:t>or Oklahoma School for the Deaf should be reported to the social services department or to the superintendent of the respective school.</w:t>
      </w:r>
    </w:p>
    <w:p>
      <w:pPr>
        <w:pStyle w:val="ListParagraph"/>
        <w:numPr>
          <w:ilvl w:val="1"/>
          <w:numId w:val="349"/>
        </w:numPr>
        <w:tabs>
          <w:tab w:pos="1217" w:val="left" w:leader="none"/>
        </w:tabs>
        <w:spacing w:line="208" w:lineRule="auto" w:before="240" w:after="0"/>
        <w:ind w:left="791" w:right="733" w:firstLine="0"/>
        <w:jc w:val="left"/>
        <w:rPr>
          <w:sz w:val="24"/>
        </w:rPr>
      </w:pPr>
      <w:r>
        <w:rPr>
          <w:b/>
          <w:sz w:val="24"/>
        </w:rPr>
        <w:t>Retaliation prohibited.</w:t>
      </w:r>
      <w:r>
        <w:rPr>
          <w:b/>
          <w:spacing w:val="40"/>
          <w:sz w:val="24"/>
        </w:rPr>
        <w:t> </w:t>
      </w:r>
      <w:r>
        <w:rPr>
          <w:sz w:val="24"/>
        </w:rPr>
        <w:t>Oklahoma Statutes state that an employer shall not terminate</w:t>
      </w:r>
      <w:r>
        <w:rPr>
          <w:spacing w:val="-4"/>
          <w:sz w:val="24"/>
        </w:rPr>
        <w:t> </w:t>
      </w:r>
      <w:r>
        <w:rPr>
          <w:sz w:val="24"/>
        </w:rPr>
        <w:t>the</w:t>
      </w:r>
      <w:r>
        <w:rPr>
          <w:spacing w:val="-4"/>
          <w:sz w:val="24"/>
        </w:rPr>
        <w:t> </w:t>
      </w:r>
      <w:r>
        <w:rPr>
          <w:sz w:val="24"/>
        </w:rPr>
        <w:t>employment,</w:t>
      </w:r>
      <w:r>
        <w:rPr>
          <w:spacing w:val="-3"/>
          <w:sz w:val="24"/>
        </w:rPr>
        <w:t> </w:t>
      </w:r>
      <w:r>
        <w:rPr>
          <w:sz w:val="24"/>
        </w:rPr>
        <w:t>prevent</w:t>
      </w:r>
      <w:r>
        <w:rPr>
          <w:spacing w:val="-3"/>
          <w:sz w:val="24"/>
        </w:rPr>
        <w:t> </w:t>
      </w:r>
      <w:r>
        <w:rPr>
          <w:sz w:val="24"/>
        </w:rPr>
        <w:t>or</w:t>
      </w:r>
      <w:r>
        <w:rPr>
          <w:spacing w:val="-3"/>
          <w:sz w:val="24"/>
        </w:rPr>
        <w:t> </w:t>
      </w:r>
      <w:r>
        <w:rPr>
          <w:sz w:val="24"/>
        </w:rPr>
        <w:t>impair</w:t>
      </w:r>
      <w:r>
        <w:rPr>
          <w:spacing w:val="-3"/>
          <w:sz w:val="24"/>
        </w:rPr>
        <w:t> </w:t>
      </w:r>
      <w:r>
        <w:rPr>
          <w:sz w:val="24"/>
        </w:rPr>
        <w:t>the</w:t>
      </w:r>
      <w:r>
        <w:rPr>
          <w:spacing w:val="-4"/>
          <w:sz w:val="24"/>
        </w:rPr>
        <w:t> </w:t>
      </w:r>
      <w:r>
        <w:rPr>
          <w:sz w:val="24"/>
        </w:rPr>
        <w:t>practice</w:t>
      </w:r>
      <w:r>
        <w:rPr>
          <w:spacing w:val="-4"/>
          <w:sz w:val="24"/>
        </w:rPr>
        <w:t> </w:t>
      </w:r>
      <w:r>
        <w:rPr>
          <w:sz w:val="24"/>
        </w:rPr>
        <w:t>or</w:t>
      </w:r>
      <w:r>
        <w:rPr>
          <w:spacing w:val="-3"/>
          <w:sz w:val="24"/>
        </w:rPr>
        <w:t> </w:t>
      </w:r>
      <w:r>
        <w:rPr>
          <w:sz w:val="24"/>
        </w:rPr>
        <w:t>occupation</w:t>
      </w:r>
      <w:r>
        <w:rPr>
          <w:spacing w:val="-4"/>
          <w:sz w:val="24"/>
        </w:rPr>
        <w:t> </w:t>
      </w:r>
      <w:r>
        <w:rPr>
          <w:sz w:val="24"/>
        </w:rPr>
        <w:t>of</w:t>
      </w:r>
      <w:r>
        <w:rPr>
          <w:spacing w:val="-3"/>
          <w:sz w:val="24"/>
        </w:rPr>
        <w:t> </w:t>
      </w:r>
      <w:r>
        <w:rPr>
          <w:sz w:val="24"/>
        </w:rPr>
        <w:t>or</w:t>
      </w:r>
      <w:r>
        <w:rPr>
          <w:spacing w:val="-3"/>
          <w:sz w:val="24"/>
        </w:rPr>
        <w:t> </w:t>
      </w:r>
      <w:r>
        <w:rPr>
          <w:sz w:val="24"/>
        </w:rPr>
        <w:t>impose any other sanction on any employee solely for the reason that the employee made or caused to be made a report or cooperated with an investigation pursuant to the Vulnerable Adults Act.</w:t>
      </w:r>
    </w:p>
    <w:p>
      <w:pPr>
        <w:pStyle w:val="ListParagraph"/>
        <w:numPr>
          <w:ilvl w:val="1"/>
          <w:numId w:val="349"/>
        </w:numPr>
        <w:tabs>
          <w:tab w:pos="1217" w:val="left" w:leader="none"/>
        </w:tabs>
        <w:spacing w:line="208" w:lineRule="auto" w:before="239" w:after="0"/>
        <w:ind w:left="791" w:right="734" w:firstLine="0"/>
        <w:jc w:val="left"/>
        <w:rPr>
          <w:sz w:val="24"/>
        </w:rPr>
      </w:pPr>
      <w:r>
        <w:rPr>
          <w:b/>
          <w:sz w:val="24"/>
        </w:rPr>
        <w:t>Staff training.</w:t>
      </w:r>
      <w:r>
        <w:rPr>
          <w:b/>
          <w:spacing w:val="40"/>
          <w:sz w:val="24"/>
        </w:rPr>
        <w:t> </w:t>
      </w:r>
      <w:r>
        <w:rPr>
          <w:sz w:val="24"/>
        </w:rPr>
        <w:t>All administrators ensure their employees receive relevant training</w:t>
      </w:r>
      <w:r>
        <w:rPr>
          <w:spacing w:val="-4"/>
          <w:sz w:val="24"/>
        </w:rPr>
        <w:t> </w:t>
      </w:r>
      <w:r>
        <w:rPr>
          <w:sz w:val="24"/>
        </w:rPr>
        <w:t>regarding</w:t>
      </w:r>
      <w:r>
        <w:rPr>
          <w:spacing w:val="-4"/>
          <w:sz w:val="24"/>
        </w:rPr>
        <w:t> </w:t>
      </w:r>
      <w:r>
        <w:rPr>
          <w:sz w:val="24"/>
        </w:rPr>
        <w:t>their</w:t>
      </w:r>
      <w:r>
        <w:rPr>
          <w:spacing w:val="-3"/>
          <w:sz w:val="24"/>
        </w:rPr>
        <w:t> </w:t>
      </w:r>
      <w:r>
        <w:rPr>
          <w:sz w:val="24"/>
        </w:rPr>
        <w:t>reporting</w:t>
      </w:r>
      <w:r>
        <w:rPr>
          <w:spacing w:val="-4"/>
          <w:sz w:val="24"/>
        </w:rPr>
        <w:t> </w:t>
      </w:r>
      <w:r>
        <w:rPr>
          <w:sz w:val="24"/>
        </w:rPr>
        <w:t>responsibilities</w:t>
      </w:r>
      <w:r>
        <w:rPr>
          <w:spacing w:val="-4"/>
          <w:sz w:val="24"/>
        </w:rPr>
        <w:t> </w:t>
      </w:r>
      <w:r>
        <w:rPr>
          <w:sz w:val="24"/>
        </w:rPr>
        <w:t>detailed</w:t>
      </w:r>
      <w:r>
        <w:rPr>
          <w:spacing w:val="-4"/>
          <w:sz w:val="24"/>
        </w:rPr>
        <w:t> </w:t>
      </w:r>
      <w:r>
        <w:rPr>
          <w:sz w:val="24"/>
        </w:rPr>
        <w:t>in</w:t>
      </w:r>
      <w:r>
        <w:rPr>
          <w:spacing w:val="-4"/>
          <w:sz w:val="24"/>
        </w:rPr>
        <w:t> </w:t>
      </w:r>
      <w:r>
        <w:rPr>
          <w:sz w:val="24"/>
        </w:rPr>
        <w:t>this</w:t>
      </w:r>
      <w:r>
        <w:rPr>
          <w:spacing w:val="-4"/>
          <w:sz w:val="24"/>
        </w:rPr>
        <w:t> </w:t>
      </w:r>
      <w:r>
        <w:rPr>
          <w:sz w:val="24"/>
        </w:rPr>
        <w:t>Section.</w:t>
      </w:r>
      <w:r>
        <w:rPr>
          <w:spacing w:val="40"/>
          <w:sz w:val="24"/>
        </w:rPr>
        <w:t> </w:t>
      </w:r>
      <w:r>
        <w:rPr>
          <w:sz w:val="24"/>
        </w:rPr>
        <w:t>Employees receive this training within 30 calendar days of initial employment and subsequent training annually.</w:t>
      </w:r>
    </w:p>
    <w:p>
      <w:pPr>
        <w:pStyle w:val="BodyText"/>
        <w:spacing w:before="211"/>
        <w:ind w:left="359"/>
      </w:pPr>
      <w:r>
        <w:rPr/>
        <w:t>INSTRUCTIONS</w:t>
      </w:r>
      <w:r>
        <w:rPr>
          <w:spacing w:val="-3"/>
        </w:rPr>
        <w:t> </w:t>
      </w:r>
      <w:r>
        <w:rPr/>
        <w:t>TO</w:t>
      </w:r>
      <w:r>
        <w:rPr>
          <w:spacing w:val="-2"/>
        </w:rPr>
        <w:t> STAFF:</w:t>
      </w:r>
    </w:p>
    <w:p>
      <w:pPr>
        <w:pStyle w:val="BodyText"/>
        <w:spacing w:line="208" w:lineRule="auto" w:before="233"/>
        <w:ind w:left="791" w:right="725"/>
      </w:pPr>
      <w:r>
        <w:rPr/>
        <w:t>1. (1-405-522-4850</w:t>
      </w:r>
      <w:r>
        <w:rPr>
          <w:spacing w:val="-4"/>
        </w:rPr>
        <w:t> </w:t>
      </w:r>
      <w:r>
        <w:rPr/>
        <w:t>or</w:t>
      </w:r>
      <w:r>
        <w:rPr>
          <w:spacing w:val="-3"/>
        </w:rPr>
        <w:t> </w:t>
      </w:r>
      <w:r>
        <w:rPr/>
        <w:t>1-800-522-8014)</w:t>
      </w:r>
      <w:r>
        <w:rPr>
          <w:spacing w:val="-3"/>
        </w:rPr>
        <w:t> </w:t>
      </w:r>
      <w:r>
        <w:rPr/>
        <w:t>between</w:t>
      </w:r>
      <w:r>
        <w:rPr>
          <w:spacing w:val="-4"/>
        </w:rPr>
        <w:t> </w:t>
      </w:r>
      <w:r>
        <w:rPr/>
        <w:t>8:00</w:t>
      </w:r>
      <w:r>
        <w:rPr>
          <w:spacing w:val="-4"/>
        </w:rPr>
        <w:t> </w:t>
      </w:r>
      <w:r>
        <w:rPr/>
        <w:t>a.m.</w:t>
      </w:r>
      <w:r>
        <w:rPr>
          <w:spacing w:val="-5"/>
        </w:rPr>
        <w:t> </w:t>
      </w:r>
      <w:r>
        <w:rPr/>
        <w:t>and</w:t>
      </w:r>
      <w:r>
        <w:rPr>
          <w:spacing w:val="-4"/>
        </w:rPr>
        <w:t> </w:t>
      </w:r>
      <w:r>
        <w:rPr/>
        <w:t>5:00</w:t>
      </w:r>
      <w:r>
        <w:rPr>
          <w:spacing w:val="-4"/>
        </w:rPr>
        <w:t> </w:t>
      </w:r>
      <w:r>
        <w:rPr/>
        <w:t>p.m.</w:t>
      </w:r>
      <w:r>
        <w:rPr>
          <w:spacing w:val="-5"/>
        </w:rPr>
        <w:t> </w:t>
      </w:r>
      <w:r>
        <w:rPr/>
        <w:t>on</w:t>
      </w:r>
      <w:r>
        <w:rPr>
          <w:spacing w:val="-4"/>
        </w:rPr>
        <w:t> </w:t>
      </w:r>
      <w:r>
        <w:rPr/>
        <w:t>normal business days.</w:t>
      </w:r>
      <w:r>
        <w:rPr>
          <w:spacing w:val="40"/>
        </w:rPr>
        <w:t> </w:t>
      </w:r>
      <w:r>
        <w:rPr/>
        <w:t>At all other times, the Statewide Abuse Hotline (1-800-522-3511) accepts referrals on behalf of OCA.</w:t>
      </w:r>
      <w:r>
        <w:rPr>
          <w:spacing w:val="40"/>
        </w:rPr>
        <w:t> </w:t>
      </w:r>
      <w:r>
        <w:rPr/>
        <w:t>Referrals also are made by completing Form OCA-1, Office of Client Advocacy Intake Referral, and transmitting it by fax (1-405- 525-4855) to OCA, Attn: OCA intake.</w:t>
      </w:r>
    </w:p>
    <w:p>
      <w:pPr>
        <w:spacing w:before="243"/>
        <w:ind w:left="360" w:right="0" w:firstLine="0"/>
        <w:jc w:val="left"/>
        <w:rPr>
          <w:sz w:val="22"/>
        </w:rPr>
      </w:pPr>
      <w:r>
        <w:rPr>
          <w:sz w:val="22"/>
        </w:rPr>
        <w:t>Section</w:t>
      </w:r>
      <w:r>
        <w:rPr>
          <w:spacing w:val="-9"/>
          <w:sz w:val="22"/>
        </w:rPr>
        <w:t> </w:t>
      </w:r>
      <w:r>
        <w:rPr>
          <w:spacing w:val="-2"/>
          <w:sz w:val="22"/>
        </w:rPr>
        <w:t>History</w:t>
      </w:r>
    </w:p>
    <w:p>
      <w:pPr>
        <w:spacing w:line="253" w:lineRule="exact" w:before="1"/>
        <w:ind w:left="360" w:right="0" w:firstLine="0"/>
        <w:jc w:val="left"/>
        <w:rPr>
          <w:sz w:val="22"/>
        </w:rPr>
      </w:pPr>
      <w:r>
        <w:rPr>
          <w:sz w:val="22"/>
        </w:rPr>
        <w:t>10-12-95</w:t>
      </w:r>
      <w:r>
        <w:rPr>
          <w:spacing w:val="30"/>
          <w:sz w:val="22"/>
        </w:rPr>
        <w:t>  </w:t>
      </w:r>
      <w:r>
        <w:rPr>
          <w:sz w:val="22"/>
        </w:rPr>
        <w:t>PT</w:t>
      </w:r>
      <w:r>
        <w:rPr>
          <w:spacing w:val="-3"/>
          <w:sz w:val="22"/>
        </w:rPr>
        <w:t> </w:t>
      </w:r>
      <w:r>
        <w:rPr>
          <w:sz w:val="22"/>
        </w:rPr>
        <w:t>Memo</w:t>
      </w:r>
      <w:r>
        <w:rPr>
          <w:spacing w:val="-5"/>
          <w:sz w:val="22"/>
        </w:rPr>
        <w:t> </w:t>
      </w:r>
      <w:r>
        <w:rPr>
          <w:sz w:val="22"/>
        </w:rPr>
        <w:t>#95-</w:t>
      </w:r>
      <w:r>
        <w:rPr>
          <w:spacing w:val="-10"/>
          <w:sz w:val="22"/>
        </w:rPr>
        <w:t>3</w:t>
      </w:r>
    </w:p>
    <w:p>
      <w:pPr>
        <w:tabs>
          <w:tab w:pos="1439" w:val="left" w:leader="none"/>
        </w:tabs>
        <w:spacing w:before="0"/>
        <w:ind w:left="359" w:right="6564" w:firstLine="1080"/>
        <w:jc w:val="left"/>
        <w:rPr>
          <w:sz w:val="22"/>
        </w:rPr>
      </w:pPr>
      <w:r>
        <w:rPr>
          <w:sz w:val="22"/>
        </w:rPr>
        <w:t>Emergency,</w:t>
      </w:r>
      <w:r>
        <w:rPr>
          <w:spacing w:val="-16"/>
          <w:sz w:val="22"/>
        </w:rPr>
        <w:t> </w:t>
      </w:r>
      <w:r>
        <w:rPr>
          <w:sz w:val="22"/>
        </w:rPr>
        <w:t>new</w:t>
      </w:r>
      <w:r>
        <w:rPr>
          <w:spacing w:val="-15"/>
          <w:sz w:val="22"/>
        </w:rPr>
        <w:t> </w:t>
      </w:r>
      <w:r>
        <w:rPr>
          <w:sz w:val="22"/>
        </w:rPr>
        <w:t>Section </w:t>
      </w:r>
      <w:r>
        <w:rPr>
          <w:spacing w:val="-2"/>
          <w:sz w:val="22"/>
        </w:rPr>
        <w:t>8-1-96</w:t>
      </w:r>
      <w:r>
        <w:rPr>
          <w:sz w:val="22"/>
        </w:rPr>
        <w:tab/>
        <w:t>PT Memo #97-2</w:t>
      </w:r>
    </w:p>
    <w:p>
      <w:pPr>
        <w:tabs>
          <w:tab w:pos="1439" w:val="left" w:leader="none"/>
        </w:tabs>
        <w:spacing w:before="0"/>
        <w:ind w:left="359" w:right="2945" w:firstLine="1080"/>
        <w:jc w:val="left"/>
        <w:rPr>
          <w:sz w:val="22"/>
        </w:rPr>
      </w:pPr>
      <w:r>
        <w:rPr>
          <w:sz w:val="22"/>
        </w:rPr>
        <w:t>Permanent</w:t>
      </w:r>
      <w:r>
        <w:rPr>
          <w:spacing w:val="-7"/>
          <w:sz w:val="22"/>
        </w:rPr>
        <w:t> </w:t>
      </w:r>
      <w:r>
        <w:rPr>
          <w:sz w:val="22"/>
        </w:rPr>
        <w:t>rules</w:t>
      </w:r>
      <w:r>
        <w:rPr>
          <w:spacing w:val="-7"/>
          <w:sz w:val="22"/>
        </w:rPr>
        <w:t> </w:t>
      </w:r>
      <w:r>
        <w:rPr>
          <w:sz w:val="22"/>
        </w:rPr>
        <w:t>supersede</w:t>
      </w:r>
      <w:r>
        <w:rPr>
          <w:spacing w:val="-7"/>
          <w:sz w:val="22"/>
        </w:rPr>
        <w:t> </w:t>
      </w:r>
      <w:r>
        <w:rPr>
          <w:sz w:val="22"/>
        </w:rPr>
        <w:t>Emergency</w:t>
      </w:r>
      <w:r>
        <w:rPr>
          <w:spacing w:val="-7"/>
          <w:sz w:val="22"/>
        </w:rPr>
        <w:t> </w:t>
      </w:r>
      <w:r>
        <w:rPr>
          <w:sz w:val="22"/>
        </w:rPr>
        <w:t>rules</w:t>
      </w:r>
      <w:r>
        <w:rPr>
          <w:spacing w:val="-7"/>
          <w:sz w:val="22"/>
        </w:rPr>
        <w:t> </w:t>
      </w:r>
      <w:r>
        <w:rPr>
          <w:sz w:val="22"/>
        </w:rPr>
        <w:t>issued</w:t>
      </w:r>
      <w:r>
        <w:rPr>
          <w:spacing w:val="-7"/>
          <w:sz w:val="22"/>
        </w:rPr>
        <w:t> </w:t>
      </w:r>
      <w:r>
        <w:rPr>
          <w:sz w:val="22"/>
        </w:rPr>
        <w:t>10-12-95 </w:t>
      </w:r>
      <w:r>
        <w:rPr>
          <w:spacing w:val="-2"/>
          <w:sz w:val="22"/>
        </w:rPr>
        <w:t>7-1-05</w:t>
      </w:r>
      <w:r>
        <w:rPr>
          <w:sz w:val="22"/>
        </w:rPr>
        <w:tab/>
        <w:t>PT Memo #06-01</w:t>
      </w:r>
    </w:p>
    <w:p>
      <w:pPr>
        <w:spacing w:before="0"/>
        <w:ind w:left="1439" w:right="775" w:firstLine="0"/>
        <w:jc w:val="left"/>
        <w:rPr>
          <w:sz w:val="22"/>
        </w:rPr>
      </w:pPr>
      <w:r>
        <w:rPr>
          <w:sz w:val="22"/>
        </w:rPr>
        <w:t>Permanent,</w:t>
      </w:r>
      <w:r>
        <w:rPr>
          <w:spacing w:val="-4"/>
          <w:sz w:val="22"/>
        </w:rPr>
        <w:t> </w:t>
      </w:r>
      <w:r>
        <w:rPr>
          <w:sz w:val="22"/>
        </w:rPr>
        <w:t>clarifying</w:t>
      </w:r>
      <w:r>
        <w:rPr>
          <w:spacing w:val="-5"/>
          <w:sz w:val="22"/>
        </w:rPr>
        <w:t> </w:t>
      </w:r>
      <w:r>
        <w:rPr>
          <w:sz w:val="22"/>
        </w:rPr>
        <w:t>procedures</w:t>
      </w:r>
      <w:r>
        <w:rPr>
          <w:spacing w:val="-5"/>
          <w:sz w:val="22"/>
        </w:rPr>
        <w:t> </w:t>
      </w:r>
      <w:r>
        <w:rPr>
          <w:sz w:val="22"/>
        </w:rPr>
        <w:t>for</w:t>
      </w:r>
      <w:r>
        <w:rPr>
          <w:spacing w:val="-6"/>
          <w:sz w:val="22"/>
        </w:rPr>
        <w:t> </w:t>
      </w:r>
      <w:r>
        <w:rPr>
          <w:sz w:val="22"/>
        </w:rPr>
        <w:t>reporting</w:t>
      </w:r>
      <w:r>
        <w:rPr>
          <w:spacing w:val="-5"/>
          <w:sz w:val="22"/>
        </w:rPr>
        <w:t> </w:t>
      </w:r>
      <w:r>
        <w:rPr>
          <w:sz w:val="22"/>
        </w:rPr>
        <w:t>suspected</w:t>
      </w:r>
      <w:r>
        <w:rPr>
          <w:spacing w:val="-5"/>
          <w:sz w:val="22"/>
        </w:rPr>
        <w:t> </w:t>
      </w:r>
      <w:r>
        <w:rPr>
          <w:sz w:val="22"/>
        </w:rPr>
        <w:t>abuse,</w:t>
      </w:r>
      <w:r>
        <w:rPr>
          <w:spacing w:val="-5"/>
          <w:sz w:val="22"/>
        </w:rPr>
        <w:t> </w:t>
      </w:r>
      <w:r>
        <w:rPr>
          <w:sz w:val="22"/>
        </w:rPr>
        <w:t>neglect,</w:t>
      </w:r>
      <w:r>
        <w:rPr>
          <w:spacing w:val="-6"/>
          <w:sz w:val="22"/>
        </w:rPr>
        <w:t> </w:t>
      </w:r>
      <w:r>
        <w:rPr>
          <w:sz w:val="22"/>
        </w:rPr>
        <w:t>verbal abuse, caretaker misconduct and exploitation</w:t>
      </w:r>
    </w:p>
    <w:p>
      <w:pPr>
        <w:spacing w:after="0"/>
        <w:jc w:val="left"/>
        <w:rPr>
          <w:sz w:val="22"/>
        </w:rPr>
        <w:sectPr>
          <w:pgSz w:w="12240" w:h="15840"/>
          <w:pgMar w:top="1340" w:bottom="280" w:left="1080" w:right="720"/>
        </w:sectPr>
      </w:pPr>
    </w:p>
    <w:p>
      <w:pPr>
        <w:pStyle w:val="Heading2"/>
        <w:spacing w:line="208" w:lineRule="auto" w:before="96"/>
        <w:ind w:right="775"/>
      </w:pPr>
      <w:bookmarkStart w:name="612:20-3-21.  Protocol for abuse or negl" w:id="352"/>
      <w:bookmarkEnd w:id="352"/>
      <w:r>
        <w:rPr>
          <w:b w:val="0"/>
        </w:rPr>
      </w:r>
      <w:r>
        <w:rPr/>
        <w:t>612:20-3-21.</w:t>
      </w:r>
      <w:r>
        <w:rPr>
          <w:spacing w:val="40"/>
        </w:rPr>
        <w:t> </w:t>
      </w:r>
      <w:r>
        <w:rPr/>
        <w:t>Protocol</w:t>
      </w:r>
      <w:r>
        <w:rPr>
          <w:spacing w:val="-3"/>
        </w:rPr>
        <w:t> </w:t>
      </w:r>
      <w:r>
        <w:rPr/>
        <w:t>for</w:t>
      </w:r>
      <w:r>
        <w:rPr>
          <w:spacing w:val="-5"/>
        </w:rPr>
        <w:t> </w:t>
      </w:r>
      <w:r>
        <w:rPr/>
        <w:t>abuse</w:t>
      </w:r>
      <w:r>
        <w:rPr>
          <w:spacing w:val="-4"/>
        </w:rPr>
        <w:t> </w:t>
      </w:r>
      <w:r>
        <w:rPr/>
        <w:t>or</w:t>
      </w:r>
      <w:r>
        <w:rPr>
          <w:spacing w:val="-4"/>
        </w:rPr>
        <w:t> </w:t>
      </w:r>
      <w:r>
        <w:rPr/>
        <w:t>neglect</w:t>
      </w:r>
      <w:r>
        <w:rPr>
          <w:spacing w:val="-3"/>
        </w:rPr>
        <w:t> </w:t>
      </w:r>
      <w:r>
        <w:rPr/>
        <w:t>of</w:t>
      </w:r>
      <w:r>
        <w:rPr>
          <w:spacing w:val="-3"/>
        </w:rPr>
        <w:t> </w:t>
      </w:r>
      <w:r>
        <w:rPr/>
        <w:t>a</w:t>
      </w:r>
      <w:r>
        <w:rPr>
          <w:spacing w:val="-4"/>
        </w:rPr>
        <w:t> </w:t>
      </w:r>
      <w:r>
        <w:rPr/>
        <w:t>student</w:t>
      </w:r>
      <w:r>
        <w:rPr>
          <w:spacing w:val="-3"/>
        </w:rPr>
        <w:t> </w:t>
      </w:r>
      <w:r>
        <w:rPr/>
        <w:t>by</w:t>
      </w:r>
      <w:r>
        <w:rPr>
          <w:spacing w:val="-4"/>
        </w:rPr>
        <w:t> </w:t>
      </w:r>
      <w:r>
        <w:rPr/>
        <w:t>a</w:t>
      </w:r>
      <w:r>
        <w:rPr>
          <w:spacing w:val="-5"/>
        </w:rPr>
        <w:t> </w:t>
      </w:r>
      <w:r>
        <w:rPr/>
        <w:t>staff</w:t>
      </w:r>
      <w:r>
        <w:rPr>
          <w:spacing w:val="-3"/>
        </w:rPr>
        <w:t> </w:t>
      </w:r>
      <w:r>
        <w:rPr/>
        <w:t>member</w:t>
      </w:r>
      <w:r>
        <w:rPr>
          <w:spacing w:val="-4"/>
        </w:rPr>
        <w:t> </w:t>
      </w:r>
      <w:r>
        <w:rPr/>
        <w:t>or </w:t>
      </w:r>
      <w:r>
        <w:rPr>
          <w:spacing w:val="-2"/>
        </w:rPr>
        <w:t>volunteer</w:t>
      </w:r>
    </w:p>
    <w:p>
      <w:pPr>
        <w:pStyle w:val="ListParagraph"/>
        <w:numPr>
          <w:ilvl w:val="0"/>
          <w:numId w:val="355"/>
        </w:numPr>
        <w:tabs>
          <w:tab w:pos="785" w:val="left" w:leader="none"/>
        </w:tabs>
        <w:spacing w:line="208" w:lineRule="auto" w:before="240" w:after="0"/>
        <w:ind w:left="360" w:right="767" w:firstLine="0"/>
        <w:jc w:val="left"/>
        <w:rPr>
          <w:sz w:val="24"/>
        </w:rPr>
      </w:pPr>
      <w:r>
        <w:rPr>
          <w:sz w:val="24"/>
        </w:rPr>
        <w:t>Investigation of a reported incident will be conducted by the school social worker, a designee, the appropriate principal, dorm coordinator (YGSIV), or counselor. Students named</w:t>
      </w:r>
      <w:r>
        <w:rPr>
          <w:spacing w:val="-4"/>
          <w:sz w:val="24"/>
        </w:rPr>
        <w:t> </w:t>
      </w:r>
      <w:r>
        <w:rPr>
          <w:sz w:val="24"/>
        </w:rPr>
        <w:t>in</w:t>
      </w:r>
      <w:r>
        <w:rPr>
          <w:spacing w:val="-4"/>
          <w:sz w:val="24"/>
        </w:rPr>
        <w:t> </w:t>
      </w:r>
      <w:r>
        <w:rPr>
          <w:sz w:val="24"/>
        </w:rPr>
        <w:t>the</w:t>
      </w:r>
      <w:r>
        <w:rPr>
          <w:spacing w:val="-4"/>
          <w:sz w:val="24"/>
        </w:rPr>
        <w:t> </w:t>
      </w:r>
      <w:r>
        <w:rPr>
          <w:sz w:val="24"/>
        </w:rPr>
        <w:t>report</w:t>
      </w:r>
      <w:r>
        <w:rPr>
          <w:spacing w:val="-3"/>
          <w:sz w:val="24"/>
        </w:rPr>
        <w:t> </w:t>
      </w:r>
      <w:r>
        <w:rPr>
          <w:sz w:val="24"/>
        </w:rPr>
        <w:t>will</w:t>
      </w:r>
      <w:r>
        <w:rPr>
          <w:spacing w:val="-4"/>
          <w:sz w:val="24"/>
        </w:rPr>
        <w:t> </w:t>
      </w:r>
      <w:r>
        <w:rPr>
          <w:sz w:val="24"/>
        </w:rPr>
        <w:t>be</w:t>
      </w:r>
      <w:r>
        <w:rPr>
          <w:spacing w:val="-4"/>
          <w:sz w:val="24"/>
        </w:rPr>
        <w:t> </w:t>
      </w:r>
      <w:r>
        <w:rPr>
          <w:sz w:val="24"/>
        </w:rPr>
        <w:t>interviewed.</w:t>
      </w:r>
      <w:r>
        <w:rPr>
          <w:spacing w:val="-3"/>
          <w:sz w:val="24"/>
        </w:rPr>
        <w:t> </w:t>
      </w:r>
      <w:r>
        <w:rPr>
          <w:sz w:val="24"/>
        </w:rPr>
        <w:t>The</w:t>
      </w:r>
      <w:r>
        <w:rPr>
          <w:spacing w:val="-4"/>
          <w:sz w:val="24"/>
        </w:rPr>
        <w:t> </w:t>
      </w:r>
      <w:r>
        <w:rPr>
          <w:sz w:val="24"/>
        </w:rPr>
        <w:t>interview</w:t>
      </w:r>
      <w:r>
        <w:rPr>
          <w:spacing w:val="-4"/>
          <w:sz w:val="24"/>
        </w:rPr>
        <w:t> </w:t>
      </w:r>
      <w:r>
        <w:rPr>
          <w:sz w:val="24"/>
        </w:rPr>
        <w:t>will</w:t>
      </w:r>
      <w:r>
        <w:rPr>
          <w:spacing w:val="-4"/>
          <w:sz w:val="24"/>
        </w:rPr>
        <w:t> </w:t>
      </w:r>
      <w:r>
        <w:rPr>
          <w:sz w:val="24"/>
        </w:rPr>
        <w:t>be</w:t>
      </w:r>
      <w:r>
        <w:rPr>
          <w:spacing w:val="-4"/>
          <w:sz w:val="24"/>
        </w:rPr>
        <w:t> </w:t>
      </w:r>
      <w:r>
        <w:rPr>
          <w:sz w:val="24"/>
        </w:rPr>
        <w:t>documented.</w:t>
      </w:r>
      <w:r>
        <w:rPr>
          <w:spacing w:val="-3"/>
          <w:sz w:val="24"/>
        </w:rPr>
        <w:t> </w:t>
      </w:r>
      <w:r>
        <w:rPr>
          <w:sz w:val="24"/>
        </w:rPr>
        <w:t>Any</w:t>
      </w:r>
      <w:r>
        <w:rPr>
          <w:spacing w:val="-4"/>
          <w:sz w:val="24"/>
        </w:rPr>
        <w:t> </w:t>
      </w:r>
      <w:r>
        <w:rPr>
          <w:sz w:val="24"/>
        </w:rPr>
        <w:t>personal interview or physical inspection of the child will be conducted in a considerate, professional manner. Student health services staff and a counselor will participate as appropriate. Other than reports from staff, information shall not be gathered from staff until the Office of Client Advocacy has made a preliminary determination.</w:t>
      </w:r>
    </w:p>
    <w:p>
      <w:pPr>
        <w:pStyle w:val="ListParagraph"/>
        <w:numPr>
          <w:ilvl w:val="0"/>
          <w:numId w:val="355"/>
        </w:numPr>
        <w:tabs>
          <w:tab w:pos="786" w:val="left" w:leader="none"/>
        </w:tabs>
        <w:spacing w:line="208" w:lineRule="auto" w:before="239" w:after="0"/>
        <w:ind w:left="360" w:right="726" w:firstLine="0"/>
        <w:jc w:val="left"/>
        <w:rPr>
          <w:sz w:val="24"/>
        </w:rPr>
      </w:pPr>
      <w:r>
        <w:rPr>
          <w:sz w:val="24"/>
        </w:rPr>
        <w:t>The reported incident will be called into the DHS Office of Client Advocacy regardless of final results of student interviews. The Office of Client Advocacy will determine</w:t>
      </w:r>
      <w:r>
        <w:rPr>
          <w:spacing w:val="-3"/>
          <w:sz w:val="24"/>
        </w:rPr>
        <w:t> </w:t>
      </w:r>
      <w:r>
        <w:rPr>
          <w:sz w:val="24"/>
        </w:rPr>
        <w:t>whether</w:t>
      </w:r>
      <w:r>
        <w:rPr>
          <w:spacing w:val="-2"/>
          <w:sz w:val="24"/>
        </w:rPr>
        <w:t> </w:t>
      </w:r>
      <w:r>
        <w:rPr>
          <w:sz w:val="24"/>
        </w:rPr>
        <w:t>the</w:t>
      </w:r>
      <w:r>
        <w:rPr>
          <w:spacing w:val="-3"/>
          <w:sz w:val="24"/>
        </w:rPr>
        <w:t> </w:t>
      </w:r>
      <w:r>
        <w:rPr>
          <w:sz w:val="24"/>
        </w:rPr>
        <w:t>incident</w:t>
      </w:r>
      <w:r>
        <w:rPr>
          <w:spacing w:val="-2"/>
          <w:sz w:val="24"/>
        </w:rPr>
        <w:t> </w:t>
      </w:r>
      <w:r>
        <w:rPr>
          <w:sz w:val="24"/>
        </w:rPr>
        <w:t>will</w:t>
      </w:r>
      <w:r>
        <w:rPr>
          <w:spacing w:val="-3"/>
          <w:sz w:val="24"/>
        </w:rPr>
        <w:t> </w:t>
      </w:r>
      <w:r>
        <w:rPr>
          <w:sz w:val="24"/>
        </w:rPr>
        <w:t>be</w:t>
      </w:r>
      <w:r>
        <w:rPr>
          <w:spacing w:val="-3"/>
          <w:sz w:val="24"/>
        </w:rPr>
        <w:t> </w:t>
      </w:r>
      <w:r>
        <w:rPr>
          <w:sz w:val="24"/>
        </w:rPr>
        <w:t>investigated</w:t>
      </w:r>
      <w:r>
        <w:rPr>
          <w:spacing w:val="-3"/>
          <w:sz w:val="24"/>
        </w:rPr>
        <w:t> </w:t>
      </w:r>
      <w:r>
        <w:rPr>
          <w:sz w:val="24"/>
        </w:rPr>
        <w:t>by</w:t>
      </w:r>
      <w:r>
        <w:rPr>
          <w:spacing w:val="-3"/>
          <w:sz w:val="24"/>
        </w:rPr>
        <w:t> </w:t>
      </w:r>
      <w:r>
        <w:rPr>
          <w:sz w:val="24"/>
        </w:rPr>
        <w:t>their</w:t>
      </w:r>
      <w:r>
        <w:rPr>
          <w:spacing w:val="-2"/>
          <w:sz w:val="24"/>
        </w:rPr>
        <w:t> </w:t>
      </w:r>
      <w:r>
        <w:rPr>
          <w:sz w:val="24"/>
        </w:rPr>
        <w:t>office,</w:t>
      </w:r>
      <w:r>
        <w:rPr>
          <w:spacing w:val="-4"/>
          <w:sz w:val="24"/>
        </w:rPr>
        <w:t> </w:t>
      </w:r>
      <w:r>
        <w:rPr>
          <w:sz w:val="24"/>
        </w:rPr>
        <w:t>or</w:t>
      </w:r>
      <w:r>
        <w:rPr>
          <w:spacing w:val="-2"/>
          <w:sz w:val="24"/>
        </w:rPr>
        <w:t> </w:t>
      </w:r>
      <w:r>
        <w:rPr>
          <w:sz w:val="24"/>
        </w:rPr>
        <w:t>referred</w:t>
      </w:r>
      <w:r>
        <w:rPr>
          <w:spacing w:val="-4"/>
          <w:sz w:val="24"/>
        </w:rPr>
        <w:t> </w:t>
      </w:r>
      <w:r>
        <w:rPr>
          <w:sz w:val="24"/>
        </w:rPr>
        <w:t>back</w:t>
      </w:r>
      <w:r>
        <w:rPr>
          <w:spacing w:val="-3"/>
          <w:sz w:val="24"/>
        </w:rPr>
        <w:t> </w:t>
      </w:r>
      <w:r>
        <w:rPr>
          <w:sz w:val="24"/>
        </w:rPr>
        <w:t>to</w:t>
      </w:r>
      <w:r>
        <w:rPr>
          <w:spacing w:val="-6"/>
          <w:sz w:val="24"/>
        </w:rPr>
        <w:t> </w:t>
      </w:r>
      <w:r>
        <w:rPr>
          <w:sz w:val="24"/>
        </w:rPr>
        <w:t>the school to be processed as a mistreatment grievance.</w:t>
      </w:r>
    </w:p>
    <w:p>
      <w:pPr>
        <w:pStyle w:val="ListParagraph"/>
        <w:numPr>
          <w:ilvl w:val="0"/>
          <w:numId w:val="355"/>
        </w:numPr>
        <w:tabs>
          <w:tab w:pos="773" w:val="left" w:leader="none"/>
        </w:tabs>
        <w:spacing w:line="208" w:lineRule="auto" w:before="240" w:after="0"/>
        <w:ind w:left="360" w:right="798" w:firstLine="0"/>
        <w:jc w:val="left"/>
        <w:rPr>
          <w:sz w:val="24"/>
        </w:rPr>
      </w:pPr>
      <w:r>
        <w:rPr>
          <w:sz w:val="24"/>
        </w:rPr>
        <w:t>The</w:t>
      </w:r>
      <w:r>
        <w:rPr>
          <w:spacing w:val="-4"/>
          <w:sz w:val="24"/>
        </w:rPr>
        <w:t> </w:t>
      </w:r>
      <w:r>
        <w:rPr>
          <w:sz w:val="24"/>
        </w:rPr>
        <w:t>Superintendent</w:t>
      </w:r>
      <w:r>
        <w:rPr>
          <w:spacing w:val="-3"/>
          <w:sz w:val="24"/>
        </w:rPr>
        <w:t> </w:t>
      </w:r>
      <w:r>
        <w:rPr>
          <w:sz w:val="24"/>
        </w:rPr>
        <w:t>or</w:t>
      </w:r>
      <w:r>
        <w:rPr>
          <w:spacing w:val="-5"/>
          <w:sz w:val="24"/>
        </w:rPr>
        <w:t> </w:t>
      </w:r>
      <w:r>
        <w:rPr>
          <w:sz w:val="24"/>
        </w:rPr>
        <w:t>the</w:t>
      </w:r>
      <w:r>
        <w:rPr>
          <w:spacing w:val="-4"/>
          <w:sz w:val="24"/>
        </w:rPr>
        <w:t> </w:t>
      </w:r>
      <w:r>
        <w:rPr>
          <w:sz w:val="24"/>
        </w:rPr>
        <w:t>employee's</w:t>
      </w:r>
      <w:r>
        <w:rPr>
          <w:spacing w:val="-3"/>
          <w:sz w:val="24"/>
        </w:rPr>
        <w:t> </w:t>
      </w:r>
      <w:r>
        <w:rPr>
          <w:sz w:val="24"/>
        </w:rPr>
        <w:t>supervisor</w:t>
      </w:r>
      <w:r>
        <w:rPr>
          <w:spacing w:val="-3"/>
          <w:sz w:val="24"/>
        </w:rPr>
        <w:t> </w:t>
      </w:r>
      <w:r>
        <w:rPr>
          <w:sz w:val="24"/>
        </w:rPr>
        <w:t>will</w:t>
      </w:r>
      <w:r>
        <w:rPr>
          <w:spacing w:val="-4"/>
          <w:sz w:val="24"/>
        </w:rPr>
        <w:t> </w:t>
      </w:r>
      <w:r>
        <w:rPr>
          <w:sz w:val="24"/>
        </w:rPr>
        <w:t>immediately</w:t>
      </w:r>
      <w:r>
        <w:rPr>
          <w:spacing w:val="-4"/>
          <w:sz w:val="24"/>
        </w:rPr>
        <w:t> </w:t>
      </w:r>
      <w:r>
        <w:rPr>
          <w:sz w:val="24"/>
        </w:rPr>
        <w:t>take</w:t>
      </w:r>
      <w:r>
        <w:rPr>
          <w:spacing w:val="-4"/>
          <w:sz w:val="24"/>
        </w:rPr>
        <w:t> </w:t>
      </w:r>
      <w:r>
        <w:rPr>
          <w:sz w:val="24"/>
        </w:rPr>
        <w:t>one</w:t>
      </w:r>
      <w:r>
        <w:rPr>
          <w:spacing w:val="-4"/>
          <w:sz w:val="24"/>
        </w:rPr>
        <w:t> </w:t>
      </w:r>
      <w:r>
        <w:rPr>
          <w:sz w:val="24"/>
        </w:rPr>
        <w:t>or</w:t>
      </w:r>
      <w:r>
        <w:rPr>
          <w:spacing w:val="-3"/>
          <w:sz w:val="24"/>
        </w:rPr>
        <w:t> </w:t>
      </w:r>
      <w:r>
        <w:rPr>
          <w:sz w:val="24"/>
        </w:rPr>
        <w:t>more of the actions in Paragraphs (1) through (4) for the safety of the student(s) believed to be in imminent danger from continued contact with the school employee or volunteer:</w:t>
      </w:r>
    </w:p>
    <w:p>
      <w:pPr>
        <w:pStyle w:val="ListParagraph"/>
        <w:numPr>
          <w:ilvl w:val="1"/>
          <w:numId w:val="355"/>
        </w:numPr>
        <w:tabs>
          <w:tab w:pos="1218" w:val="left" w:leader="none"/>
        </w:tabs>
        <w:spacing w:line="240" w:lineRule="auto" w:before="210" w:after="0"/>
        <w:ind w:left="1218" w:right="0" w:hanging="426"/>
        <w:jc w:val="left"/>
        <w:rPr>
          <w:sz w:val="24"/>
        </w:rPr>
      </w:pPr>
      <w:r>
        <w:rPr>
          <w:sz w:val="24"/>
        </w:rPr>
        <w:t>call</w:t>
      </w:r>
      <w:r>
        <w:rPr>
          <w:spacing w:val="-3"/>
          <w:sz w:val="24"/>
        </w:rPr>
        <w:t> </w:t>
      </w:r>
      <w:r>
        <w:rPr>
          <w:sz w:val="24"/>
        </w:rPr>
        <w:t>to</w:t>
      </w:r>
      <w:r>
        <w:rPr>
          <w:spacing w:val="-4"/>
          <w:sz w:val="24"/>
        </w:rPr>
        <w:t> </w:t>
      </w:r>
      <w:r>
        <w:rPr>
          <w:sz w:val="24"/>
        </w:rPr>
        <w:t>proper</w:t>
      </w:r>
      <w:r>
        <w:rPr>
          <w:spacing w:val="-1"/>
          <w:sz w:val="24"/>
        </w:rPr>
        <w:t> </w:t>
      </w:r>
      <w:r>
        <w:rPr>
          <w:sz w:val="24"/>
        </w:rPr>
        <w:t>authorities</w:t>
      </w:r>
      <w:r>
        <w:rPr>
          <w:spacing w:val="-3"/>
          <w:sz w:val="24"/>
        </w:rPr>
        <w:t> </w:t>
      </w:r>
      <w:r>
        <w:rPr>
          <w:sz w:val="24"/>
        </w:rPr>
        <w:t>to</w:t>
      </w:r>
      <w:r>
        <w:rPr>
          <w:spacing w:val="-2"/>
          <w:sz w:val="24"/>
        </w:rPr>
        <w:t> </w:t>
      </w:r>
      <w:r>
        <w:rPr>
          <w:sz w:val="24"/>
        </w:rPr>
        <w:t>report</w:t>
      </w:r>
      <w:r>
        <w:rPr>
          <w:spacing w:val="-2"/>
          <w:sz w:val="24"/>
        </w:rPr>
        <w:t> </w:t>
      </w:r>
      <w:r>
        <w:rPr>
          <w:sz w:val="24"/>
        </w:rPr>
        <w:t>the</w:t>
      </w:r>
      <w:r>
        <w:rPr>
          <w:spacing w:val="-2"/>
          <w:sz w:val="24"/>
        </w:rPr>
        <w:t> incident;</w:t>
      </w:r>
    </w:p>
    <w:p>
      <w:pPr>
        <w:pStyle w:val="ListParagraph"/>
        <w:numPr>
          <w:ilvl w:val="1"/>
          <w:numId w:val="355"/>
        </w:numPr>
        <w:tabs>
          <w:tab w:pos="1217" w:val="left" w:leader="none"/>
        </w:tabs>
        <w:spacing w:line="240" w:lineRule="auto" w:before="204" w:after="0"/>
        <w:ind w:left="1217" w:right="0" w:hanging="425"/>
        <w:jc w:val="left"/>
        <w:rPr>
          <w:sz w:val="24"/>
        </w:rPr>
      </w:pPr>
      <w:r>
        <w:rPr>
          <w:sz w:val="24"/>
        </w:rPr>
        <w:t>temporarily</w:t>
      </w:r>
      <w:r>
        <w:rPr>
          <w:spacing w:val="-4"/>
          <w:sz w:val="24"/>
        </w:rPr>
        <w:t> </w:t>
      </w:r>
      <w:r>
        <w:rPr>
          <w:sz w:val="24"/>
        </w:rPr>
        <w:t>stop</w:t>
      </w:r>
      <w:r>
        <w:rPr>
          <w:spacing w:val="-3"/>
          <w:sz w:val="24"/>
        </w:rPr>
        <w:t> </w:t>
      </w:r>
      <w:r>
        <w:rPr>
          <w:sz w:val="24"/>
        </w:rPr>
        <w:t>all</w:t>
      </w:r>
      <w:r>
        <w:rPr>
          <w:spacing w:val="-4"/>
          <w:sz w:val="24"/>
        </w:rPr>
        <w:t> </w:t>
      </w:r>
      <w:r>
        <w:rPr>
          <w:sz w:val="24"/>
        </w:rPr>
        <w:t>contact</w:t>
      </w:r>
      <w:r>
        <w:rPr>
          <w:spacing w:val="-2"/>
          <w:sz w:val="24"/>
        </w:rPr>
        <w:t> </w:t>
      </w:r>
      <w:r>
        <w:rPr>
          <w:sz w:val="24"/>
        </w:rPr>
        <w:t>between</w:t>
      </w:r>
      <w:r>
        <w:rPr>
          <w:spacing w:val="-3"/>
          <w:sz w:val="24"/>
        </w:rPr>
        <w:t> </w:t>
      </w:r>
      <w:r>
        <w:rPr>
          <w:sz w:val="24"/>
        </w:rPr>
        <w:t>the</w:t>
      </w:r>
      <w:r>
        <w:rPr>
          <w:spacing w:val="-3"/>
          <w:sz w:val="24"/>
        </w:rPr>
        <w:t> </w:t>
      </w:r>
      <w:r>
        <w:rPr>
          <w:sz w:val="24"/>
        </w:rPr>
        <w:t>student</w:t>
      </w:r>
      <w:r>
        <w:rPr>
          <w:spacing w:val="-2"/>
          <w:sz w:val="24"/>
        </w:rPr>
        <w:t> </w:t>
      </w:r>
      <w:r>
        <w:rPr>
          <w:sz w:val="24"/>
        </w:rPr>
        <w:t>and</w:t>
      </w:r>
      <w:r>
        <w:rPr>
          <w:spacing w:val="-3"/>
          <w:sz w:val="24"/>
        </w:rPr>
        <w:t> </w:t>
      </w:r>
      <w:r>
        <w:rPr>
          <w:sz w:val="24"/>
        </w:rPr>
        <w:t>employee</w:t>
      </w:r>
      <w:r>
        <w:rPr>
          <w:spacing w:val="-2"/>
          <w:sz w:val="24"/>
        </w:rPr>
        <w:t> </w:t>
      </w:r>
      <w:r>
        <w:rPr>
          <w:sz w:val="24"/>
        </w:rPr>
        <w:t>or</w:t>
      </w:r>
      <w:r>
        <w:rPr>
          <w:spacing w:val="-2"/>
          <w:sz w:val="24"/>
        </w:rPr>
        <w:t> volunteer;</w:t>
      </w:r>
    </w:p>
    <w:p>
      <w:pPr>
        <w:pStyle w:val="ListParagraph"/>
        <w:numPr>
          <w:ilvl w:val="1"/>
          <w:numId w:val="355"/>
        </w:numPr>
        <w:tabs>
          <w:tab w:pos="1217" w:val="left" w:leader="none"/>
        </w:tabs>
        <w:spacing w:line="208" w:lineRule="auto" w:before="233" w:after="0"/>
        <w:ind w:left="792" w:right="735" w:firstLine="0"/>
        <w:jc w:val="left"/>
        <w:rPr>
          <w:sz w:val="24"/>
        </w:rPr>
      </w:pPr>
      <w:r>
        <w:rPr>
          <w:sz w:val="24"/>
        </w:rPr>
        <w:t>temporarily</w:t>
      </w:r>
      <w:r>
        <w:rPr>
          <w:spacing w:val="-4"/>
          <w:sz w:val="24"/>
        </w:rPr>
        <w:t> </w:t>
      </w:r>
      <w:r>
        <w:rPr>
          <w:sz w:val="24"/>
        </w:rPr>
        <w:t>remove</w:t>
      </w:r>
      <w:r>
        <w:rPr>
          <w:spacing w:val="-4"/>
          <w:sz w:val="24"/>
        </w:rPr>
        <w:t> </w:t>
      </w:r>
      <w:r>
        <w:rPr>
          <w:sz w:val="24"/>
        </w:rPr>
        <w:t>the</w:t>
      </w:r>
      <w:r>
        <w:rPr>
          <w:spacing w:val="-4"/>
          <w:sz w:val="24"/>
        </w:rPr>
        <w:t> </w:t>
      </w:r>
      <w:r>
        <w:rPr>
          <w:sz w:val="24"/>
        </w:rPr>
        <w:t>school</w:t>
      </w:r>
      <w:r>
        <w:rPr>
          <w:spacing w:val="-4"/>
          <w:sz w:val="24"/>
        </w:rPr>
        <w:t> </w:t>
      </w:r>
      <w:r>
        <w:rPr>
          <w:sz w:val="24"/>
        </w:rPr>
        <w:t>employee</w:t>
      </w:r>
      <w:r>
        <w:rPr>
          <w:spacing w:val="-4"/>
          <w:sz w:val="24"/>
        </w:rPr>
        <w:t> </w:t>
      </w:r>
      <w:r>
        <w:rPr>
          <w:sz w:val="24"/>
        </w:rPr>
        <w:t>from</w:t>
      </w:r>
      <w:r>
        <w:rPr>
          <w:spacing w:val="-5"/>
          <w:sz w:val="24"/>
        </w:rPr>
        <w:t> </w:t>
      </w:r>
      <w:r>
        <w:rPr>
          <w:sz w:val="24"/>
        </w:rPr>
        <w:t>assignment</w:t>
      </w:r>
      <w:r>
        <w:rPr>
          <w:spacing w:val="-3"/>
          <w:sz w:val="24"/>
        </w:rPr>
        <w:t> </w:t>
      </w:r>
      <w:r>
        <w:rPr>
          <w:sz w:val="24"/>
        </w:rPr>
        <w:t>or</w:t>
      </w:r>
      <w:r>
        <w:rPr>
          <w:spacing w:val="-5"/>
          <w:sz w:val="24"/>
        </w:rPr>
        <w:t> </w:t>
      </w:r>
      <w:r>
        <w:rPr>
          <w:sz w:val="24"/>
        </w:rPr>
        <w:t>service</w:t>
      </w:r>
      <w:r>
        <w:rPr>
          <w:spacing w:val="-4"/>
          <w:sz w:val="24"/>
        </w:rPr>
        <w:t> </w:t>
      </w:r>
      <w:r>
        <w:rPr>
          <w:sz w:val="24"/>
        </w:rPr>
        <w:t>(leave</w:t>
      </w:r>
      <w:r>
        <w:rPr>
          <w:spacing w:val="-4"/>
          <w:sz w:val="24"/>
        </w:rPr>
        <w:t> </w:t>
      </w:r>
      <w:r>
        <w:rPr>
          <w:sz w:val="24"/>
        </w:rPr>
        <w:t>with pay); or</w:t>
      </w:r>
    </w:p>
    <w:p>
      <w:pPr>
        <w:pStyle w:val="ListParagraph"/>
        <w:numPr>
          <w:ilvl w:val="1"/>
          <w:numId w:val="355"/>
        </w:numPr>
        <w:tabs>
          <w:tab w:pos="1217" w:val="left" w:leader="none"/>
        </w:tabs>
        <w:spacing w:line="240" w:lineRule="auto" w:before="211" w:after="0"/>
        <w:ind w:left="1217" w:right="0" w:hanging="425"/>
        <w:jc w:val="left"/>
        <w:rPr>
          <w:sz w:val="24"/>
        </w:rPr>
      </w:pPr>
      <w:r>
        <w:rPr>
          <w:sz w:val="24"/>
        </w:rPr>
        <w:t>temporarily</w:t>
      </w:r>
      <w:r>
        <w:rPr>
          <w:spacing w:val="-4"/>
          <w:sz w:val="24"/>
        </w:rPr>
        <w:t> </w:t>
      </w:r>
      <w:r>
        <w:rPr>
          <w:sz w:val="24"/>
        </w:rPr>
        <w:t>remove</w:t>
      </w:r>
      <w:r>
        <w:rPr>
          <w:spacing w:val="-3"/>
          <w:sz w:val="24"/>
        </w:rPr>
        <w:t> </w:t>
      </w:r>
      <w:r>
        <w:rPr>
          <w:sz w:val="24"/>
        </w:rPr>
        <w:t>the</w:t>
      </w:r>
      <w:r>
        <w:rPr>
          <w:spacing w:val="-3"/>
          <w:sz w:val="24"/>
        </w:rPr>
        <w:t> </w:t>
      </w:r>
      <w:r>
        <w:rPr>
          <w:sz w:val="24"/>
        </w:rPr>
        <w:t>volunteer</w:t>
      </w:r>
      <w:r>
        <w:rPr>
          <w:spacing w:val="-2"/>
          <w:sz w:val="24"/>
        </w:rPr>
        <w:t> </w:t>
      </w:r>
      <w:r>
        <w:rPr>
          <w:sz w:val="24"/>
        </w:rPr>
        <w:t>from</w:t>
      </w:r>
      <w:r>
        <w:rPr>
          <w:spacing w:val="-4"/>
          <w:sz w:val="24"/>
        </w:rPr>
        <w:t> </w:t>
      </w:r>
      <w:r>
        <w:rPr>
          <w:sz w:val="24"/>
        </w:rPr>
        <w:t>the</w:t>
      </w:r>
      <w:r>
        <w:rPr>
          <w:spacing w:val="-3"/>
          <w:sz w:val="24"/>
        </w:rPr>
        <w:t> </w:t>
      </w:r>
      <w:r>
        <w:rPr>
          <w:spacing w:val="-2"/>
          <w:sz w:val="24"/>
        </w:rPr>
        <w:t>program.</w:t>
      </w:r>
    </w:p>
    <w:p>
      <w:pPr>
        <w:pStyle w:val="ListParagraph"/>
        <w:numPr>
          <w:ilvl w:val="0"/>
          <w:numId w:val="355"/>
        </w:numPr>
        <w:tabs>
          <w:tab w:pos="786" w:val="left" w:leader="none"/>
        </w:tabs>
        <w:spacing w:line="208" w:lineRule="auto" w:before="233" w:after="0"/>
        <w:ind w:left="360" w:right="725" w:firstLine="0"/>
        <w:jc w:val="left"/>
        <w:rPr>
          <w:sz w:val="24"/>
        </w:rPr>
      </w:pPr>
      <w:r>
        <w:rPr>
          <w:sz w:val="24"/>
        </w:rPr>
        <w:t>Parents will be contacted by the school social worker or designee to report the incident</w:t>
      </w:r>
      <w:r>
        <w:rPr>
          <w:spacing w:val="-2"/>
          <w:sz w:val="24"/>
        </w:rPr>
        <w:t> </w:t>
      </w:r>
      <w:r>
        <w:rPr>
          <w:sz w:val="24"/>
        </w:rPr>
        <w:t>and</w:t>
      </w:r>
      <w:r>
        <w:rPr>
          <w:spacing w:val="-3"/>
          <w:sz w:val="24"/>
        </w:rPr>
        <w:t> </w:t>
      </w:r>
      <w:r>
        <w:rPr>
          <w:sz w:val="24"/>
        </w:rPr>
        <w:t>the</w:t>
      </w:r>
      <w:r>
        <w:rPr>
          <w:spacing w:val="-3"/>
          <w:sz w:val="24"/>
        </w:rPr>
        <w:t> </w:t>
      </w:r>
      <w:r>
        <w:rPr>
          <w:sz w:val="24"/>
        </w:rPr>
        <w:t>actions</w:t>
      </w:r>
      <w:r>
        <w:rPr>
          <w:spacing w:val="-3"/>
          <w:sz w:val="24"/>
        </w:rPr>
        <w:t> </w:t>
      </w:r>
      <w:r>
        <w:rPr>
          <w:sz w:val="24"/>
        </w:rPr>
        <w:t>taken</w:t>
      </w:r>
      <w:r>
        <w:rPr>
          <w:spacing w:val="-3"/>
          <w:sz w:val="24"/>
        </w:rPr>
        <w:t> </w:t>
      </w:r>
      <w:r>
        <w:rPr>
          <w:sz w:val="24"/>
        </w:rPr>
        <w:t>by</w:t>
      </w:r>
      <w:r>
        <w:rPr>
          <w:spacing w:val="-3"/>
          <w:sz w:val="24"/>
        </w:rPr>
        <w:t> </w:t>
      </w:r>
      <w:r>
        <w:rPr>
          <w:sz w:val="24"/>
        </w:rPr>
        <w:t>the</w:t>
      </w:r>
      <w:r>
        <w:rPr>
          <w:spacing w:val="-3"/>
          <w:sz w:val="24"/>
        </w:rPr>
        <w:t> </w:t>
      </w:r>
      <w:r>
        <w:rPr>
          <w:sz w:val="24"/>
        </w:rPr>
        <w:t>school</w:t>
      </w:r>
      <w:r>
        <w:rPr>
          <w:spacing w:val="-3"/>
          <w:sz w:val="24"/>
        </w:rPr>
        <w:t> </w:t>
      </w:r>
      <w:r>
        <w:rPr>
          <w:sz w:val="24"/>
        </w:rPr>
        <w:t>as</w:t>
      </w:r>
      <w:r>
        <w:rPr>
          <w:spacing w:val="-3"/>
          <w:sz w:val="24"/>
        </w:rPr>
        <w:t> </w:t>
      </w:r>
      <w:r>
        <w:rPr>
          <w:sz w:val="24"/>
        </w:rPr>
        <w:t>of</w:t>
      </w:r>
      <w:r>
        <w:rPr>
          <w:spacing w:val="-2"/>
          <w:sz w:val="24"/>
        </w:rPr>
        <w:t> </w:t>
      </w:r>
      <w:r>
        <w:rPr>
          <w:sz w:val="24"/>
        </w:rPr>
        <w:t>the</w:t>
      </w:r>
      <w:r>
        <w:rPr>
          <w:spacing w:val="-3"/>
          <w:sz w:val="24"/>
        </w:rPr>
        <w:t> </w:t>
      </w:r>
      <w:r>
        <w:rPr>
          <w:sz w:val="24"/>
        </w:rPr>
        <w:t>contact</w:t>
      </w:r>
      <w:r>
        <w:rPr>
          <w:spacing w:val="-2"/>
          <w:sz w:val="24"/>
        </w:rPr>
        <w:t> </w:t>
      </w:r>
      <w:r>
        <w:rPr>
          <w:sz w:val="24"/>
        </w:rPr>
        <w:t>date.</w:t>
      </w:r>
      <w:r>
        <w:rPr>
          <w:spacing w:val="-2"/>
          <w:sz w:val="24"/>
        </w:rPr>
        <w:t> </w:t>
      </w:r>
      <w:r>
        <w:rPr>
          <w:sz w:val="24"/>
        </w:rPr>
        <w:t>Parents</w:t>
      </w:r>
      <w:r>
        <w:rPr>
          <w:spacing w:val="-3"/>
          <w:sz w:val="24"/>
        </w:rPr>
        <w:t> </w:t>
      </w:r>
      <w:r>
        <w:rPr>
          <w:sz w:val="24"/>
        </w:rPr>
        <w:t>will</w:t>
      </w:r>
      <w:r>
        <w:rPr>
          <w:spacing w:val="-3"/>
          <w:sz w:val="24"/>
        </w:rPr>
        <w:t> </w:t>
      </w:r>
      <w:r>
        <w:rPr>
          <w:sz w:val="24"/>
        </w:rPr>
        <w:t>be</w:t>
      </w:r>
      <w:r>
        <w:rPr>
          <w:spacing w:val="-3"/>
          <w:sz w:val="24"/>
        </w:rPr>
        <w:t> </w:t>
      </w:r>
      <w:r>
        <w:rPr>
          <w:sz w:val="24"/>
        </w:rPr>
        <w:t>given timely progress reports.</w:t>
      </w:r>
    </w:p>
    <w:p>
      <w:pPr>
        <w:pStyle w:val="ListParagraph"/>
        <w:numPr>
          <w:ilvl w:val="0"/>
          <w:numId w:val="355"/>
        </w:numPr>
        <w:tabs>
          <w:tab w:pos="785" w:val="left" w:leader="none"/>
        </w:tabs>
        <w:spacing w:line="208" w:lineRule="auto" w:before="240" w:after="0"/>
        <w:ind w:left="360" w:right="1110" w:firstLine="0"/>
        <w:jc w:val="left"/>
        <w:rPr>
          <w:sz w:val="24"/>
        </w:rPr>
      </w:pPr>
      <w:r>
        <w:rPr>
          <w:sz w:val="24"/>
        </w:rPr>
        <w:t>Incidents returned to the school by the DHS Office of Client Advocacy to be processed as mistreatment grievances will be referred to the Superintendent. The Superintendent will require the appropriate supervisor to address the issue with all involved parties and to correct the situation within established policy on corrective discipline.</w:t>
      </w:r>
      <w:r>
        <w:rPr>
          <w:spacing w:val="-3"/>
          <w:sz w:val="24"/>
        </w:rPr>
        <w:t> </w:t>
      </w:r>
      <w:r>
        <w:rPr>
          <w:sz w:val="24"/>
        </w:rPr>
        <w:t>Documentation</w:t>
      </w:r>
      <w:r>
        <w:rPr>
          <w:spacing w:val="-4"/>
          <w:sz w:val="24"/>
        </w:rPr>
        <w:t> </w:t>
      </w:r>
      <w:r>
        <w:rPr>
          <w:sz w:val="24"/>
        </w:rPr>
        <w:t>of</w:t>
      </w:r>
      <w:r>
        <w:rPr>
          <w:spacing w:val="-3"/>
          <w:sz w:val="24"/>
        </w:rPr>
        <w:t> </w:t>
      </w:r>
      <w:r>
        <w:rPr>
          <w:sz w:val="24"/>
        </w:rPr>
        <w:t>the</w:t>
      </w:r>
      <w:r>
        <w:rPr>
          <w:spacing w:val="-4"/>
          <w:sz w:val="24"/>
        </w:rPr>
        <w:t> </w:t>
      </w:r>
      <w:r>
        <w:rPr>
          <w:sz w:val="24"/>
        </w:rPr>
        <w:t>resolution</w:t>
      </w:r>
      <w:r>
        <w:rPr>
          <w:spacing w:val="-4"/>
          <w:sz w:val="24"/>
        </w:rPr>
        <w:t> </w:t>
      </w:r>
      <w:r>
        <w:rPr>
          <w:sz w:val="24"/>
        </w:rPr>
        <w:t>shall</w:t>
      </w:r>
      <w:r>
        <w:rPr>
          <w:spacing w:val="-4"/>
          <w:sz w:val="24"/>
        </w:rPr>
        <w:t> </w:t>
      </w:r>
      <w:r>
        <w:rPr>
          <w:sz w:val="24"/>
        </w:rPr>
        <w:t>be</w:t>
      </w:r>
      <w:r>
        <w:rPr>
          <w:spacing w:val="-4"/>
          <w:sz w:val="24"/>
        </w:rPr>
        <w:t> </w:t>
      </w:r>
      <w:r>
        <w:rPr>
          <w:sz w:val="24"/>
        </w:rPr>
        <w:t>filed</w:t>
      </w:r>
      <w:r>
        <w:rPr>
          <w:spacing w:val="-3"/>
          <w:sz w:val="24"/>
        </w:rPr>
        <w:t> </w:t>
      </w:r>
      <w:r>
        <w:rPr>
          <w:sz w:val="24"/>
        </w:rPr>
        <w:t>with</w:t>
      </w:r>
      <w:r>
        <w:rPr>
          <w:spacing w:val="-4"/>
          <w:sz w:val="24"/>
        </w:rPr>
        <w:t> </w:t>
      </w:r>
      <w:r>
        <w:rPr>
          <w:sz w:val="24"/>
        </w:rPr>
        <w:t>the</w:t>
      </w:r>
      <w:r>
        <w:rPr>
          <w:spacing w:val="-4"/>
          <w:sz w:val="24"/>
        </w:rPr>
        <w:t> </w:t>
      </w:r>
      <w:r>
        <w:rPr>
          <w:sz w:val="24"/>
        </w:rPr>
        <w:t>Superintendent</w:t>
      </w:r>
      <w:r>
        <w:rPr>
          <w:spacing w:val="-3"/>
          <w:sz w:val="24"/>
        </w:rPr>
        <w:t> </w:t>
      </w:r>
      <w:r>
        <w:rPr>
          <w:sz w:val="24"/>
        </w:rPr>
        <w:t>and the school social worker.</w:t>
      </w:r>
    </w:p>
    <w:p>
      <w:pPr>
        <w:spacing w:before="243"/>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302"/>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#95-</w:t>
      </w:r>
      <w:r>
        <w:rPr>
          <w:spacing w:val="-10"/>
          <w:sz w:val="22"/>
        </w:rPr>
        <w:t>2</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spacing w:after="0" w:line="253" w:lineRule="exact"/>
        <w:jc w:val="left"/>
        <w:rPr>
          <w:sz w:val="22"/>
        </w:rPr>
        <w:sectPr>
          <w:pgSz w:w="12240" w:h="15840"/>
          <w:pgMar w:top="1340" w:bottom="280" w:left="1080" w:right="720"/>
        </w:sectPr>
      </w:pPr>
    </w:p>
    <w:p>
      <w:pPr>
        <w:pStyle w:val="Heading2"/>
      </w:pPr>
      <w:bookmarkStart w:name="612:20-3-22.  Protocol for abuse of a st" w:id="353"/>
      <w:bookmarkEnd w:id="353"/>
      <w:r>
        <w:rPr>
          <w:b w:val="0"/>
        </w:rPr>
      </w:r>
      <w:r>
        <w:rPr/>
        <w:t>612:20-3-22.</w:t>
      </w:r>
      <w:r>
        <w:rPr>
          <w:spacing w:val="58"/>
        </w:rPr>
        <w:t> </w:t>
      </w:r>
      <w:r>
        <w:rPr/>
        <w:t>Protocol</w:t>
      </w:r>
      <w:r>
        <w:rPr>
          <w:spacing w:val="-2"/>
        </w:rPr>
        <w:t> </w:t>
      </w:r>
      <w:r>
        <w:rPr/>
        <w:t>for</w:t>
      </w:r>
      <w:r>
        <w:rPr>
          <w:spacing w:val="-4"/>
        </w:rPr>
        <w:t> </w:t>
      </w:r>
      <w:r>
        <w:rPr/>
        <w:t>abuse</w:t>
      </w:r>
      <w:r>
        <w:rPr>
          <w:spacing w:val="-3"/>
        </w:rPr>
        <w:t> </w:t>
      </w:r>
      <w:r>
        <w:rPr/>
        <w:t>of</w:t>
      </w:r>
      <w:r>
        <w:rPr>
          <w:spacing w:val="-3"/>
        </w:rPr>
        <w:t> </w:t>
      </w:r>
      <w:r>
        <w:rPr/>
        <w:t>a</w:t>
      </w:r>
      <w:r>
        <w:rPr>
          <w:spacing w:val="-3"/>
        </w:rPr>
        <w:t> </w:t>
      </w:r>
      <w:r>
        <w:rPr/>
        <w:t>student</w:t>
      </w:r>
      <w:r>
        <w:rPr>
          <w:spacing w:val="-2"/>
        </w:rPr>
        <w:t> </w:t>
      </w:r>
      <w:r>
        <w:rPr/>
        <w:t>by</w:t>
      </w:r>
      <w:r>
        <w:rPr>
          <w:spacing w:val="-3"/>
        </w:rPr>
        <w:t> </w:t>
      </w:r>
      <w:r>
        <w:rPr/>
        <w:t>another</w:t>
      </w:r>
      <w:r>
        <w:rPr>
          <w:spacing w:val="-3"/>
        </w:rPr>
        <w:t> </w:t>
      </w:r>
      <w:r>
        <w:rPr>
          <w:spacing w:val="-2"/>
        </w:rPr>
        <w:t>student</w:t>
      </w:r>
    </w:p>
    <w:p>
      <w:pPr>
        <w:pStyle w:val="ListParagraph"/>
        <w:numPr>
          <w:ilvl w:val="0"/>
          <w:numId w:val="356"/>
        </w:numPr>
        <w:tabs>
          <w:tab w:pos="785" w:val="left" w:leader="none"/>
        </w:tabs>
        <w:spacing w:line="208" w:lineRule="auto" w:before="233" w:after="0"/>
        <w:ind w:left="360" w:right="821" w:firstLine="0"/>
        <w:jc w:val="left"/>
        <w:rPr>
          <w:sz w:val="24"/>
        </w:rPr>
      </w:pPr>
      <w:r>
        <w:rPr>
          <w:sz w:val="24"/>
        </w:rPr>
        <w:t>Investigation</w:t>
      </w:r>
      <w:r>
        <w:rPr>
          <w:spacing w:val="-1"/>
          <w:sz w:val="24"/>
        </w:rPr>
        <w:t> </w:t>
      </w:r>
      <w:r>
        <w:rPr>
          <w:sz w:val="24"/>
        </w:rPr>
        <w:t>of a</w:t>
      </w:r>
      <w:r>
        <w:rPr>
          <w:spacing w:val="-1"/>
          <w:sz w:val="24"/>
        </w:rPr>
        <w:t> </w:t>
      </w:r>
      <w:r>
        <w:rPr>
          <w:sz w:val="24"/>
        </w:rPr>
        <w:t>reported</w:t>
      </w:r>
      <w:r>
        <w:rPr>
          <w:spacing w:val="-1"/>
          <w:sz w:val="24"/>
        </w:rPr>
        <w:t> </w:t>
      </w:r>
      <w:r>
        <w:rPr>
          <w:sz w:val="24"/>
        </w:rPr>
        <w:t>incident will be</w:t>
      </w:r>
      <w:r>
        <w:rPr>
          <w:spacing w:val="-1"/>
          <w:sz w:val="24"/>
        </w:rPr>
        <w:t> </w:t>
      </w:r>
      <w:r>
        <w:rPr>
          <w:sz w:val="24"/>
        </w:rPr>
        <w:t>conducted</w:t>
      </w:r>
      <w:r>
        <w:rPr>
          <w:spacing w:val="-1"/>
          <w:sz w:val="24"/>
        </w:rPr>
        <w:t> </w:t>
      </w:r>
      <w:r>
        <w:rPr>
          <w:sz w:val="24"/>
        </w:rPr>
        <w:t>by</w:t>
      </w:r>
      <w:r>
        <w:rPr>
          <w:spacing w:val="-1"/>
          <w:sz w:val="24"/>
        </w:rPr>
        <w:t> </w:t>
      </w:r>
      <w:r>
        <w:rPr>
          <w:sz w:val="24"/>
        </w:rPr>
        <w:t>the</w:t>
      </w:r>
      <w:r>
        <w:rPr>
          <w:spacing w:val="-1"/>
          <w:sz w:val="24"/>
        </w:rPr>
        <w:t> </w:t>
      </w:r>
      <w:r>
        <w:rPr>
          <w:sz w:val="24"/>
        </w:rPr>
        <w:t>school</w:t>
      </w:r>
      <w:r>
        <w:rPr>
          <w:spacing w:val="-1"/>
          <w:sz w:val="24"/>
        </w:rPr>
        <w:t> </w:t>
      </w:r>
      <w:r>
        <w:rPr>
          <w:sz w:val="24"/>
        </w:rPr>
        <w:t>social</w:t>
      </w:r>
      <w:r>
        <w:rPr>
          <w:spacing w:val="-1"/>
          <w:sz w:val="24"/>
        </w:rPr>
        <w:t> </w:t>
      </w:r>
      <w:r>
        <w:rPr>
          <w:sz w:val="24"/>
        </w:rPr>
        <w:t>worker, a designee,</w:t>
      </w:r>
      <w:r>
        <w:rPr>
          <w:spacing w:val="-4"/>
          <w:sz w:val="24"/>
        </w:rPr>
        <w:t> </w:t>
      </w:r>
      <w:r>
        <w:rPr>
          <w:sz w:val="24"/>
        </w:rPr>
        <w:t>the</w:t>
      </w:r>
      <w:r>
        <w:rPr>
          <w:spacing w:val="-5"/>
          <w:sz w:val="24"/>
        </w:rPr>
        <w:t> </w:t>
      </w:r>
      <w:r>
        <w:rPr>
          <w:sz w:val="24"/>
        </w:rPr>
        <w:t>appropriate</w:t>
      </w:r>
      <w:r>
        <w:rPr>
          <w:spacing w:val="-5"/>
          <w:sz w:val="24"/>
        </w:rPr>
        <w:t> </w:t>
      </w:r>
      <w:r>
        <w:rPr>
          <w:sz w:val="24"/>
        </w:rPr>
        <w:t>principal,</w:t>
      </w:r>
      <w:r>
        <w:rPr>
          <w:spacing w:val="-4"/>
          <w:sz w:val="24"/>
        </w:rPr>
        <w:t> </w:t>
      </w:r>
      <w:r>
        <w:rPr>
          <w:sz w:val="24"/>
        </w:rPr>
        <w:t>dorm</w:t>
      </w:r>
      <w:r>
        <w:rPr>
          <w:spacing w:val="-4"/>
          <w:sz w:val="24"/>
        </w:rPr>
        <w:t> </w:t>
      </w:r>
      <w:r>
        <w:rPr>
          <w:sz w:val="24"/>
        </w:rPr>
        <w:t>coordinator</w:t>
      </w:r>
      <w:r>
        <w:rPr>
          <w:spacing w:val="-4"/>
          <w:sz w:val="24"/>
        </w:rPr>
        <w:t> </w:t>
      </w:r>
      <w:r>
        <w:rPr>
          <w:sz w:val="24"/>
        </w:rPr>
        <w:t>(YGSIV),</w:t>
      </w:r>
      <w:r>
        <w:rPr>
          <w:spacing w:val="-4"/>
          <w:sz w:val="24"/>
        </w:rPr>
        <w:t> </w:t>
      </w:r>
      <w:r>
        <w:rPr>
          <w:sz w:val="24"/>
        </w:rPr>
        <w:t>or</w:t>
      </w:r>
      <w:r>
        <w:rPr>
          <w:spacing w:val="-7"/>
          <w:sz w:val="24"/>
        </w:rPr>
        <w:t> </w:t>
      </w:r>
      <w:r>
        <w:rPr>
          <w:sz w:val="24"/>
        </w:rPr>
        <w:t>counselor.</w:t>
      </w:r>
      <w:r>
        <w:rPr>
          <w:spacing w:val="-6"/>
          <w:sz w:val="24"/>
        </w:rPr>
        <w:t> </w:t>
      </w:r>
      <w:r>
        <w:rPr>
          <w:sz w:val="24"/>
        </w:rPr>
        <w:t>Interviews with students named in the report will be conducted and documented. Any personal interview or physical inspection of a student will be conducted in a considerate, professional manner. Student Health Services staff and a counselor will be included as </w:t>
      </w:r>
      <w:r>
        <w:rPr>
          <w:spacing w:val="-2"/>
          <w:sz w:val="24"/>
        </w:rPr>
        <w:t>appropriate.</w:t>
      </w:r>
    </w:p>
    <w:p>
      <w:pPr>
        <w:pStyle w:val="ListParagraph"/>
        <w:numPr>
          <w:ilvl w:val="0"/>
          <w:numId w:val="356"/>
        </w:numPr>
        <w:tabs>
          <w:tab w:pos="785" w:val="left" w:leader="none"/>
        </w:tabs>
        <w:spacing w:line="208" w:lineRule="auto" w:before="239" w:after="0"/>
        <w:ind w:left="359" w:right="807" w:firstLine="0"/>
        <w:jc w:val="left"/>
        <w:rPr>
          <w:sz w:val="24"/>
        </w:rPr>
      </w:pPr>
      <w:r>
        <w:rPr>
          <w:sz w:val="24"/>
        </w:rPr>
        <w:t>All reported incidents will be called into the DHS Office of Client Advocacy regardless</w:t>
      </w:r>
      <w:r>
        <w:rPr>
          <w:spacing w:val="-3"/>
          <w:sz w:val="24"/>
        </w:rPr>
        <w:t> </w:t>
      </w:r>
      <w:r>
        <w:rPr>
          <w:sz w:val="24"/>
        </w:rPr>
        <w:t>of</w:t>
      </w:r>
      <w:r>
        <w:rPr>
          <w:spacing w:val="-2"/>
          <w:sz w:val="24"/>
        </w:rPr>
        <w:t> </w:t>
      </w:r>
      <w:r>
        <w:rPr>
          <w:sz w:val="24"/>
        </w:rPr>
        <w:t>interview</w:t>
      </w:r>
      <w:r>
        <w:rPr>
          <w:spacing w:val="-3"/>
          <w:sz w:val="24"/>
        </w:rPr>
        <w:t> </w:t>
      </w:r>
      <w:r>
        <w:rPr>
          <w:sz w:val="24"/>
        </w:rPr>
        <w:t>results.</w:t>
      </w:r>
      <w:r>
        <w:rPr>
          <w:spacing w:val="-2"/>
          <w:sz w:val="24"/>
        </w:rPr>
        <w:t> </w:t>
      </w:r>
      <w:r>
        <w:rPr>
          <w:sz w:val="24"/>
        </w:rPr>
        <w:t>The</w:t>
      </w:r>
      <w:r>
        <w:rPr>
          <w:spacing w:val="-3"/>
          <w:sz w:val="24"/>
        </w:rPr>
        <w:t> </w:t>
      </w:r>
      <w:r>
        <w:rPr>
          <w:sz w:val="24"/>
        </w:rPr>
        <w:t>Office</w:t>
      </w:r>
      <w:r>
        <w:rPr>
          <w:spacing w:val="-3"/>
          <w:sz w:val="24"/>
        </w:rPr>
        <w:t> </w:t>
      </w:r>
      <w:r>
        <w:rPr>
          <w:sz w:val="24"/>
        </w:rPr>
        <w:t>of</w:t>
      </w:r>
      <w:r>
        <w:rPr>
          <w:spacing w:val="-4"/>
          <w:sz w:val="24"/>
        </w:rPr>
        <w:t> </w:t>
      </w:r>
      <w:r>
        <w:rPr>
          <w:sz w:val="24"/>
        </w:rPr>
        <w:t>Client</w:t>
      </w:r>
      <w:r>
        <w:rPr>
          <w:spacing w:val="-2"/>
          <w:sz w:val="24"/>
        </w:rPr>
        <w:t> </w:t>
      </w:r>
      <w:r>
        <w:rPr>
          <w:sz w:val="24"/>
        </w:rPr>
        <w:t>Advocacy</w:t>
      </w:r>
      <w:r>
        <w:rPr>
          <w:spacing w:val="-3"/>
          <w:sz w:val="24"/>
        </w:rPr>
        <w:t> </w:t>
      </w:r>
      <w:r>
        <w:rPr>
          <w:sz w:val="24"/>
        </w:rPr>
        <w:t>will</w:t>
      </w:r>
      <w:r>
        <w:rPr>
          <w:spacing w:val="-3"/>
          <w:sz w:val="24"/>
        </w:rPr>
        <w:t> </w:t>
      </w:r>
      <w:r>
        <w:rPr>
          <w:sz w:val="24"/>
        </w:rPr>
        <w:t>determine</w:t>
      </w:r>
      <w:r>
        <w:rPr>
          <w:spacing w:val="-3"/>
          <w:sz w:val="24"/>
        </w:rPr>
        <w:t> </w:t>
      </w:r>
      <w:r>
        <w:rPr>
          <w:sz w:val="24"/>
        </w:rPr>
        <w:t>the</w:t>
      </w:r>
      <w:r>
        <w:rPr>
          <w:spacing w:val="-4"/>
          <w:sz w:val="24"/>
        </w:rPr>
        <w:t> </w:t>
      </w:r>
      <w:r>
        <w:rPr>
          <w:sz w:val="24"/>
        </w:rPr>
        <w:t>need</w:t>
      </w:r>
      <w:r>
        <w:rPr>
          <w:spacing w:val="-3"/>
          <w:sz w:val="24"/>
        </w:rPr>
        <w:t> </w:t>
      </w:r>
      <w:r>
        <w:rPr>
          <w:sz w:val="24"/>
        </w:rPr>
        <w:t>to investigate the incident for staff neglect.</w:t>
      </w:r>
    </w:p>
    <w:p>
      <w:pPr>
        <w:pStyle w:val="ListParagraph"/>
        <w:numPr>
          <w:ilvl w:val="0"/>
          <w:numId w:val="356"/>
        </w:numPr>
        <w:tabs>
          <w:tab w:pos="773" w:val="left" w:leader="none"/>
        </w:tabs>
        <w:spacing w:line="208" w:lineRule="auto" w:before="240" w:after="0"/>
        <w:ind w:left="360" w:right="739" w:firstLine="0"/>
        <w:jc w:val="both"/>
        <w:rPr>
          <w:sz w:val="24"/>
        </w:rPr>
      </w:pPr>
      <w:r>
        <w:rPr>
          <w:sz w:val="24"/>
        </w:rPr>
        <w:t>Parents</w:t>
      </w:r>
      <w:r>
        <w:rPr>
          <w:spacing w:val="-3"/>
          <w:sz w:val="24"/>
        </w:rPr>
        <w:t> </w:t>
      </w:r>
      <w:r>
        <w:rPr>
          <w:sz w:val="24"/>
        </w:rPr>
        <w:t>will</w:t>
      </w:r>
      <w:r>
        <w:rPr>
          <w:spacing w:val="-3"/>
          <w:sz w:val="24"/>
        </w:rPr>
        <w:t> </w:t>
      </w:r>
      <w:r>
        <w:rPr>
          <w:sz w:val="24"/>
        </w:rPr>
        <w:t>be</w:t>
      </w:r>
      <w:r>
        <w:rPr>
          <w:spacing w:val="-3"/>
          <w:sz w:val="24"/>
        </w:rPr>
        <w:t> </w:t>
      </w:r>
      <w:r>
        <w:rPr>
          <w:sz w:val="24"/>
        </w:rPr>
        <w:t>notified</w:t>
      </w:r>
      <w:r>
        <w:rPr>
          <w:spacing w:val="-3"/>
          <w:sz w:val="24"/>
        </w:rPr>
        <w:t> </w:t>
      </w:r>
      <w:r>
        <w:rPr>
          <w:sz w:val="24"/>
        </w:rPr>
        <w:t>by</w:t>
      </w:r>
      <w:r>
        <w:rPr>
          <w:spacing w:val="-3"/>
          <w:sz w:val="24"/>
        </w:rPr>
        <w:t> </w:t>
      </w:r>
      <w:r>
        <w:rPr>
          <w:sz w:val="24"/>
        </w:rPr>
        <w:t>the</w:t>
      </w:r>
      <w:r>
        <w:rPr>
          <w:spacing w:val="-3"/>
          <w:sz w:val="24"/>
        </w:rPr>
        <w:t> </w:t>
      </w:r>
      <w:r>
        <w:rPr>
          <w:sz w:val="24"/>
        </w:rPr>
        <w:t>school</w:t>
      </w:r>
      <w:r>
        <w:rPr>
          <w:spacing w:val="-3"/>
          <w:sz w:val="24"/>
        </w:rPr>
        <w:t> </w:t>
      </w:r>
      <w:r>
        <w:rPr>
          <w:sz w:val="24"/>
        </w:rPr>
        <w:t>social</w:t>
      </w:r>
      <w:r>
        <w:rPr>
          <w:spacing w:val="-3"/>
          <w:sz w:val="24"/>
        </w:rPr>
        <w:t> </w:t>
      </w:r>
      <w:r>
        <w:rPr>
          <w:sz w:val="24"/>
        </w:rPr>
        <w:t>worker</w:t>
      </w:r>
      <w:r>
        <w:rPr>
          <w:spacing w:val="-2"/>
          <w:sz w:val="24"/>
        </w:rPr>
        <w:t> </w:t>
      </w:r>
      <w:r>
        <w:rPr>
          <w:sz w:val="24"/>
        </w:rPr>
        <w:t>or</w:t>
      </w:r>
      <w:r>
        <w:rPr>
          <w:spacing w:val="-2"/>
          <w:sz w:val="24"/>
        </w:rPr>
        <w:t> </w:t>
      </w:r>
      <w:r>
        <w:rPr>
          <w:sz w:val="24"/>
        </w:rPr>
        <w:t>designee</w:t>
      </w:r>
      <w:r>
        <w:rPr>
          <w:spacing w:val="-2"/>
          <w:sz w:val="24"/>
        </w:rPr>
        <w:t> </w:t>
      </w:r>
      <w:r>
        <w:rPr>
          <w:sz w:val="24"/>
        </w:rPr>
        <w:t>to</w:t>
      </w:r>
      <w:r>
        <w:rPr>
          <w:spacing w:val="-3"/>
          <w:sz w:val="24"/>
        </w:rPr>
        <w:t> </w:t>
      </w:r>
      <w:r>
        <w:rPr>
          <w:sz w:val="24"/>
        </w:rPr>
        <w:t>report</w:t>
      </w:r>
      <w:r>
        <w:rPr>
          <w:spacing w:val="-4"/>
          <w:sz w:val="24"/>
        </w:rPr>
        <w:t> </w:t>
      </w:r>
      <w:r>
        <w:rPr>
          <w:sz w:val="24"/>
        </w:rPr>
        <w:t>the</w:t>
      </w:r>
      <w:r>
        <w:rPr>
          <w:spacing w:val="-3"/>
          <w:sz w:val="24"/>
        </w:rPr>
        <w:t> </w:t>
      </w:r>
      <w:r>
        <w:rPr>
          <w:sz w:val="24"/>
        </w:rPr>
        <w:t>incident and</w:t>
      </w:r>
      <w:r>
        <w:rPr>
          <w:spacing w:val="-1"/>
          <w:sz w:val="24"/>
        </w:rPr>
        <w:t> </w:t>
      </w:r>
      <w:r>
        <w:rPr>
          <w:sz w:val="24"/>
        </w:rPr>
        <w:t>the</w:t>
      </w:r>
      <w:r>
        <w:rPr>
          <w:spacing w:val="-1"/>
          <w:sz w:val="24"/>
        </w:rPr>
        <w:t> </w:t>
      </w:r>
      <w:r>
        <w:rPr>
          <w:sz w:val="24"/>
        </w:rPr>
        <w:t>actions</w:t>
      </w:r>
      <w:r>
        <w:rPr>
          <w:spacing w:val="-1"/>
          <w:sz w:val="24"/>
        </w:rPr>
        <w:t> </w:t>
      </w:r>
      <w:r>
        <w:rPr>
          <w:sz w:val="24"/>
        </w:rPr>
        <w:t>taken</w:t>
      </w:r>
      <w:r>
        <w:rPr>
          <w:spacing w:val="-1"/>
          <w:sz w:val="24"/>
        </w:rPr>
        <w:t> </w:t>
      </w:r>
      <w:r>
        <w:rPr>
          <w:sz w:val="24"/>
        </w:rPr>
        <w:t>as</w:t>
      </w:r>
      <w:r>
        <w:rPr>
          <w:spacing w:val="-1"/>
          <w:sz w:val="24"/>
        </w:rPr>
        <w:t> </w:t>
      </w:r>
      <w:r>
        <w:rPr>
          <w:sz w:val="24"/>
        </w:rPr>
        <w:t>of the</w:t>
      </w:r>
      <w:r>
        <w:rPr>
          <w:spacing w:val="-1"/>
          <w:sz w:val="24"/>
        </w:rPr>
        <w:t> </w:t>
      </w:r>
      <w:r>
        <w:rPr>
          <w:sz w:val="24"/>
        </w:rPr>
        <w:t>date</w:t>
      </w:r>
      <w:r>
        <w:rPr>
          <w:spacing w:val="-1"/>
          <w:sz w:val="24"/>
        </w:rPr>
        <w:t> </w:t>
      </w:r>
      <w:r>
        <w:rPr>
          <w:sz w:val="24"/>
        </w:rPr>
        <w:t>of contact. Parents</w:t>
      </w:r>
      <w:r>
        <w:rPr>
          <w:spacing w:val="-1"/>
          <w:sz w:val="24"/>
        </w:rPr>
        <w:t> </w:t>
      </w:r>
      <w:r>
        <w:rPr>
          <w:sz w:val="24"/>
        </w:rPr>
        <w:t>will</w:t>
      </w:r>
      <w:r>
        <w:rPr>
          <w:spacing w:val="-1"/>
          <w:sz w:val="24"/>
        </w:rPr>
        <w:t> </w:t>
      </w:r>
      <w:r>
        <w:rPr>
          <w:sz w:val="24"/>
        </w:rPr>
        <w:t>be</w:t>
      </w:r>
      <w:r>
        <w:rPr>
          <w:spacing w:val="-1"/>
          <w:sz w:val="24"/>
        </w:rPr>
        <w:t> </w:t>
      </w:r>
      <w:r>
        <w:rPr>
          <w:sz w:val="24"/>
        </w:rPr>
        <w:t>given</w:t>
      </w:r>
      <w:r>
        <w:rPr>
          <w:spacing w:val="-1"/>
          <w:sz w:val="24"/>
        </w:rPr>
        <w:t> </w:t>
      </w:r>
      <w:r>
        <w:rPr>
          <w:sz w:val="24"/>
        </w:rPr>
        <w:t>progress</w:t>
      </w:r>
      <w:r>
        <w:rPr>
          <w:spacing w:val="-1"/>
          <w:sz w:val="24"/>
        </w:rPr>
        <w:t> </w:t>
      </w:r>
      <w:r>
        <w:rPr>
          <w:sz w:val="24"/>
        </w:rPr>
        <w:t>reports</w:t>
      </w:r>
      <w:r>
        <w:rPr>
          <w:spacing w:val="-1"/>
          <w:sz w:val="24"/>
        </w:rPr>
        <w:t> </w:t>
      </w:r>
      <w:r>
        <w:rPr>
          <w:sz w:val="24"/>
        </w:rPr>
        <w:t>in a timely fashion.</w:t>
      </w:r>
    </w:p>
    <w:p>
      <w:pPr>
        <w:pStyle w:val="ListParagraph"/>
        <w:numPr>
          <w:ilvl w:val="0"/>
          <w:numId w:val="356"/>
        </w:numPr>
        <w:tabs>
          <w:tab w:pos="786" w:val="left" w:leader="none"/>
        </w:tabs>
        <w:spacing w:line="208" w:lineRule="auto" w:before="240" w:after="0"/>
        <w:ind w:left="360" w:right="913" w:firstLine="0"/>
        <w:jc w:val="left"/>
        <w:rPr>
          <w:sz w:val="24"/>
        </w:rPr>
      </w:pPr>
      <w:r>
        <w:rPr>
          <w:sz w:val="24"/>
        </w:rPr>
        <w:t>The</w:t>
      </w:r>
      <w:r>
        <w:rPr>
          <w:spacing w:val="-5"/>
          <w:sz w:val="24"/>
        </w:rPr>
        <w:t> </w:t>
      </w:r>
      <w:r>
        <w:rPr>
          <w:sz w:val="24"/>
        </w:rPr>
        <w:t>Superintendent</w:t>
      </w:r>
      <w:r>
        <w:rPr>
          <w:spacing w:val="-4"/>
          <w:sz w:val="24"/>
        </w:rPr>
        <w:t> </w:t>
      </w:r>
      <w:r>
        <w:rPr>
          <w:sz w:val="24"/>
        </w:rPr>
        <w:t>and/or</w:t>
      </w:r>
      <w:r>
        <w:rPr>
          <w:spacing w:val="-4"/>
          <w:sz w:val="24"/>
        </w:rPr>
        <w:t> </w:t>
      </w:r>
      <w:r>
        <w:rPr>
          <w:sz w:val="24"/>
        </w:rPr>
        <w:t>program</w:t>
      </w:r>
      <w:r>
        <w:rPr>
          <w:spacing w:val="-4"/>
          <w:sz w:val="24"/>
        </w:rPr>
        <w:t> </w:t>
      </w:r>
      <w:r>
        <w:rPr>
          <w:sz w:val="24"/>
        </w:rPr>
        <w:t>supervisor</w:t>
      </w:r>
      <w:r>
        <w:rPr>
          <w:spacing w:val="-4"/>
          <w:sz w:val="24"/>
        </w:rPr>
        <w:t> </w:t>
      </w:r>
      <w:r>
        <w:rPr>
          <w:sz w:val="24"/>
        </w:rPr>
        <w:t>will</w:t>
      </w:r>
      <w:r>
        <w:rPr>
          <w:spacing w:val="-4"/>
          <w:sz w:val="24"/>
        </w:rPr>
        <w:t> </w:t>
      </w:r>
      <w:r>
        <w:rPr>
          <w:sz w:val="24"/>
        </w:rPr>
        <w:t>immediately</w:t>
      </w:r>
      <w:r>
        <w:rPr>
          <w:spacing w:val="-5"/>
          <w:sz w:val="24"/>
        </w:rPr>
        <w:t> </w:t>
      </w:r>
      <w:r>
        <w:rPr>
          <w:sz w:val="24"/>
        </w:rPr>
        <w:t>contact</w:t>
      </w:r>
      <w:r>
        <w:rPr>
          <w:spacing w:val="-6"/>
          <w:sz w:val="24"/>
        </w:rPr>
        <w:t> </w:t>
      </w:r>
      <w:r>
        <w:rPr>
          <w:sz w:val="24"/>
        </w:rPr>
        <w:t>the</w:t>
      </w:r>
      <w:r>
        <w:rPr>
          <w:spacing w:val="-5"/>
          <w:sz w:val="24"/>
        </w:rPr>
        <w:t> </w:t>
      </w:r>
      <w:r>
        <w:rPr>
          <w:sz w:val="24"/>
        </w:rPr>
        <w:t>proper authorities and temporarily separate involved students for the safety of the student(s) believed</w:t>
      </w:r>
      <w:r>
        <w:rPr>
          <w:spacing w:val="-4"/>
          <w:sz w:val="24"/>
        </w:rPr>
        <w:t> </w:t>
      </w:r>
      <w:r>
        <w:rPr>
          <w:sz w:val="24"/>
        </w:rPr>
        <w:t>to</w:t>
      </w:r>
      <w:r>
        <w:rPr>
          <w:spacing w:val="-4"/>
          <w:sz w:val="24"/>
        </w:rPr>
        <w:t> </w:t>
      </w:r>
      <w:r>
        <w:rPr>
          <w:sz w:val="24"/>
        </w:rPr>
        <w:t>be</w:t>
      </w:r>
      <w:r>
        <w:rPr>
          <w:spacing w:val="-4"/>
          <w:sz w:val="24"/>
        </w:rPr>
        <w:t> </w:t>
      </w:r>
      <w:r>
        <w:rPr>
          <w:sz w:val="24"/>
        </w:rPr>
        <w:t>in</w:t>
      </w:r>
      <w:r>
        <w:rPr>
          <w:spacing w:val="-4"/>
          <w:sz w:val="24"/>
        </w:rPr>
        <w:t> </w:t>
      </w:r>
      <w:r>
        <w:rPr>
          <w:sz w:val="24"/>
        </w:rPr>
        <w:t>danger</w:t>
      </w:r>
      <w:r>
        <w:rPr>
          <w:spacing w:val="-3"/>
          <w:sz w:val="24"/>
        </w:rPr>
        <w:t> </w:t>
      </w:r>
      <w:r>
        <w:rPr>
          <w:sz w:val="24"/>
        </w:rPr>
        <w:t>from</w:t>
      </w:r>
      <w:r>
        <w:rPr>
          <w:spacing w:val="-3"/>
          <w:sz w:val="24"/>
        </w:rPr>
        <w:t> </w:t>
      </w:r>
      <w:r>
        <w:rPr>
          <w:sz w:val="24"/>
        </w:rPr>
        <w:t>continued</w:t>
      </w:r>
      <w:r>
        <w:rPr>
          <w:spacing w:val="-4"/>
          <w:sz w:val="24"/>
        </w:rPr>
        <w:t> </w:t>
      </w:r>
      <w:r>
        <w:rPr>
          <w:sz w:val="24"/>
        </w:rPr>
        <w:t>contact.</w:t>
      </w:r>
      <w:r>
        <w:rPr>
          <w:spacing w:val="-3"/>
          <w:sz w:val="24"/>
        </w:rPr>
        <w:t> </w:t>
      </w:r>
      <w:r>
        <w:rPr>
          <w:sz w:val="24"/>
        </w:rPr>
        <w:t>A</w:t>
      </w:r>
      <w:r>
        <w:rPr>
          <w:spacing w:val="-6"/>
          <w:sz w:val="24"/>
        </w:rPr>
        <w:t> </w:t>
      </w:r>
      <w:r>
        <w:rPr>
          <w:sz w:val="24"/>
        </w:rPr>
        <w:t>reported</w:t>
      </w:r>
      <w:r>
        <w:rPr>
          <w:spacing w:val="-4"/>
          <w:sz w:val="24"/>
        </w:rPr>
        <w:t> </w:t>
      </w:r>
      <w:r>
        <w:rPr>
          <w:sz w:val="24"/>
        </w:rPr>
        <w:t>incident</w:t>
      </w:r>
      <w:r>
        <w:rPr>
          <w:spacing w:val="-3"/>
          <w:sz w:val="24"/>
        </w:rPr>
        <w:t> </w:t>
      </w:r>
      <w:r>
        <w:rPr>
          <w:sz w:val="24"/>
        </w:rPr>
        <w:t>of</w:t>
      </w:r>
      <w:r>
        <w:rPr>
          <w:spacing w:val="-3"/>
          <w:sz w:val="24"/>
        </w:rPr>
        <w:t> </w:t>
      </w:r>
      <w:r>
        <w:rPr>
          <w:sz w:val="24"/>
        </w:rPr>
        <w:t>abuse</w:t>
      </w:r>
      <w:r>
        <w:rPr>
          <w:spacing w:val="-4"/>
          <w:sz w:val="24"/>
        </w:rPr>
        <w:t> </w:t>
      </w:r>
      <w:r>
        <w:rPr>
          <w:sz w:val="24"/>
        </w:rPr>
        <w:t>between students with an age difference of three or more years will be reported to DHS Child Welfare and/or the police as appropriate. A reported incident of abuse to a minor child by a student who is 18 years of age or above will be reported to the police. The methods in (1) through (5) will be used as appropriate to deal with incident and its </w:t>
      </w:r>
      <w:r>
        <w:rPr>
          <w:spacing w:val="-2"/>
          <w:sz w:val="24"/>
        </w:rPr>
        <w:t>effects:</w:t>
      </w:r>
    </w:p>
    <w:p>
      <w:pPr>
        <w:pStyle w:val="ListParagraph"/>
        <w:numPr>
          <w:ilvl w:val="1"/>
          <w:numId w:val="356"/>
        </w:numPr>
        <w:tabs>
          <w:tab w:pos="1217" w:val="left" w:leader="none"/>
        </w:tabs>
        <w:spacing w:line="240" w:lineRule="auto" w:before="210" w:after="0"/>
        <w:ind w:left="1217" w:right="0" w:hanging="426"/>
        <w:jc w:val="left"/>
        <w:rPr>
          <w:sz w:val="24"/>
        </w:rPr>
      </w:pPr>
      <w:r>
        <w:rPr>
          <w:sz w:val="24"/>
        </w:rPr>
        <w:t>separation</w:t>
      </w:r>
      <w:r>
        <w:rPr>
          <w:spacing w:val="-4"/>
          <w:sz w:val="24"/>
        </w:rPr>
        <w:t> </w:t>
      </w:r>
      <w:r>
        <w:rPr>
          <w:sz w:val="24"/>
        </w:rPr>
        <w:t>of</w:t>
      </w:r>
      <w:r>
        <w:rPr>
          <w:spacing w:val="-3"/>
          <w:sz w:val="24"/>
        </w:rPr>
        <w:t> </w:t>
      </w:r>
      <w:r>
        <w:rPr>
          <w:sz w:val="24"/>
        </w:rPr>
        <w:t>the</w:t>
      </w:r>
      <w:r>
        <w:rPr>
          <w:spacing w:val="-4"/>
          <w:sz w:val="24"/>
        </w:rPr>
        <w:t> </w:t>
      </w:r>
      <w:r>
        <w:rPr>
          <w:sz w:val="24"/>
        </w:rPr>
        <w:t>students</w:t>
      </w:r>
      <w:r>
        <w:rPr>
          <w:spacing w:val="-3"/>
          <w:sz w:val="24"/>
        </w:rPr>
        <w:t> </w:t>
      </w:r>
      <w:r>
        <w:rPr>
          <w:spacing w:val="-2"/>
          <w:sz w:val="24"/>
        </w:rPr>
        <w:t>involved;</w:t>
      </w:r>
    </w:p>
    <w:p>
      <w:pPr>
        <w:pStyle w:val="ListParagraph"/>
        <w:numPr>
          <w:ilvl w:val="1"/>
          <w:numId w:val="356"/>
        </w:numPr>
        <w:tabs>
          <w:tab w:pos="1218" w:val="left" w:leader="none"/>
        </w:tabs>
        <w:spacing w:line="240" w:lineRule="auto" w:before="204" w:after="0"/>
        <w:ind w:left="1218" w:right="0" w:hanging="426"/>
        <w:jc w:val="left"/>
        <w:rPr>
          <w:sz w:val="24"/>
        </w:rPr>
      </w:pPr>
      <w:r>
        <w:rPr>
          <w:spacing w:val="-2"/>
          <w:sz w:val="24"/>
        </w:rPr>
        <w:t>counseling;</w:t>
      </w:r>
    </w:p>
    <w:p>
      <w:pPr>
        <w:pStyle w:val="ListParagraph"/>
        <w:numPr>
          <w:ilvl w:val="1"/>
          <w:numId w:val="356"/>
        </w:numPr>
        <w:tabs>
          <w:tab w:pos="1217" w:val="left" w:leader="none"/>
        </w:tabs>
        <w:spacing w:line="240" w:lineRule="auto" w:before="204" w:after="0"/>
        <w:ind w:left="1217" w:right="0" w:hanging="425"/>
        <w:jc w:val="left"/>
        <w:rPr>
          <w:sz w:val="24"/>
        </w:rPr>
      </w:pPr>
      <w:r>
        <w:rPr>
          <w:sz w:val="24"/>
        </w:rPr>
        <w:t>restriction</w:t>
      </w:r>
      <w:r>
        <w:rPr>
          <w:spacing w:val="-4"/>
          <w:sz w:val="24"/>
        </w:rPr>
        <w:t> </w:t>
      </w:r>
      <w:r>
        <w:rPr>
          <w:sz w:val="24"/>
        </w:rPr>
        <w:t>of</w:t>
      </w:r>
      <w:r>
        <w:rPr>
          <w:spacing w:val="-3"/>
          <w:sz w:val="24"/>
        </w:rPr>
        <w:t> </w:t>
      </w:r>
      <w:r>
        <w:rPr>
          <w:sz w:val="24"/>
        </w:rPr>
        <w:t>student's</w:t>
      </w:r>
      <w:r>
        <w:rPr>
          <w:spacing w:val="-3"/>
          <w:sz w:val="24"/>
        </w:rPr>
        <w:t> </w:t>
      </w:r>
      <w:r>
        <w:rPr>
          <w:spacing w:val="-2"/>
          <w:sz w:val="24"/>
        </w:rPr>
        <w:t>activities;</w:t>
      </w:r>
    </w:p>
    <w:p>
      <w:pPr>
        <w:pStyle w:val="ListParagraph"/>
        <w:numPr>
          <w:ilvl w:val="1"/>
          <w:numId w:val="356"/>
        </w:numPr>
        <w:tabs>
          <w:tab w:pos="1217" w:val="left" w:leader="none"/>
        </w:tabs>
        <w:spacing w:line="240" w:lineRule="auto" w:before="204" w:after="0"/>
        <w:ind w:left="1217" w:right="0" w:hanging="425"/>
        <w:jc w:val="left"/>
        <w:rPr>
          <w:sz w:val="24"/>
        </w:rPr>
      </w:pPr>
      <w:r>
        <w:rPr>
          <w:sz w:val="24"/>
        </w:rPr>
        <w:t>referral</w:t>
      </w:r>
      <w:r>
        <w:rPr>
          <w:spacing w:val="-3"/>
          <w:sz w:val="24"/>
        </w:rPr>
        <w:t> </w:t>
      </w:r>
      <w:r>
        <w:rPr>
          <w:sz w:val="24"/>
        </w:rPr>
        <w:t>to</w:t>
      </w:r>
      <w:r>
        <w:rPr>
          <w:spacing w:val="-4"/>
          <w:sz w:val="24"/>
        </w:rPr>
        <w:t> </w:t>
      </w:r>
      <w:r>
        <w:rPr>
          <w:sz w:val="24"/>
        </w:rPr>
        <w:t>the</w:t>
      </w:r>
      <w:r>
        <w:rPr>
          <w:spacing w:val="-3"/>
          <w:sz w:val="24"/>
        </w:rPr>
        <w:t> </w:t>
      </w:r>
      <w:r>
        <w:rPr>
          <w:sz w:val="24"/>
        </w:rPr>
        <w:t>Discipline</w:t>
      </w:r>
      <w:r>
        <w:rPr>
          <w:spacing w:val="-3"/>
          <w:sz w:val="24"/>
        </w:rPr>
        <w:t> </w:t>
      </w:r>
      <w:r>
        <w:rPr>
          <w:sz w:val="24"/>
        </w:rPr>
        <w:t>Committee;</w:t>
      </w:r>
      <w:r>
        <w:rPr>
          <w:spacing w:val="-2"/>
          <w:sz w:val="24"/>
        </w:rPr>
        <w:t> and/or</w:t>
      </w:r>
    </w:p>
    <w:p>
      <w:pPr>
        <w:pStyle w:val="ListParagraph"/>
        <w:numPr>
          <w:ilvl w:val="1"/>
          <w:numId w:val="356"/>
        </w:numPr>
        <w:tabs>
          <w:tab w:pos="1217" w:val="left" w:leader="none"/>
        </w:tabs>
        <w:spacing w:line="240" w:lineRule="auto" w:before="204" w:after="0"/>
        <w:ind w:left="1217" w:right="0" w:hanging="425"/>
        <w:jc w:val="left"/>
        <w:rPr>
          <w:sz w:val="24"/>
        </w:rPr>
      </w:pPr>
      <w:r>
        <w:rPr>
          <w:sz w:val="24"/>
        </w:rPr>
        <w:t>review</w:t>
      </w:r>
      <w:r>
        <w:rPr>
          <w:spacing w:val="-2"/>
          <w:sz w:val="24"/>
        </w:rPr>
        <w:t> </w:t>
      </w:r>
      <w:r>
        <w:rPr>
          <w:sz w:val="24"/>
        </w:rPr>
        <w:t>of</w:t>
      </w:r>
      <w:r>
        <w:rPr>
          <w:spacing w:val="-1"/>
          <w:sz w:val="24"/>
        </w:rPr>
        <w:t> </w:t>
      </w:r>
      <w:r>
        <w:rPr>
          <w:spacing w:val="-2"/>
          <w:sz w:val="24"/>
        </w:rPr>
        <w:t>placement.</w:t>
      </w:r>
    </w:p>
    <w:p>
      <w:pPr>
        <w:spacing w:before="237"/>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300"/>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#95-</w:t>
      </w:r>
      <w:r>
        <w:rPr>
          <w:spacing w:val="-10"/>
          <w:sz w:val="22"/>
        </w:rPr>
        <w:t>2</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spacing w:after="0" w:line="253" w:lineRule="exact"/>
        <w:jc w:val="left"/>
        <w:rPr>
          <w:sz w:val="22"/>
        </w:rPr>
        <w:sectPr>
          <w:pgSz w:w="12240" w:h="15840"/>
          <w:pgMar w:top="1340" w:bottom="280" w:left="1080" w:right="720"/>
        </w:sectPr>
      </w:pPr>
    </w:p>
    <w:p>
      <w:pPr>
        <w:pStyle w:val="Heading2"/>
        <w:spacing w:line="208" w:lineRule="auto" w:before="96"/>
        <w:ind w:right="1673"/>
      </w:pPr>
      <w:bookmarkStart w:name="612:20-3-23.  Protocol for abuse and neg" w:id="354"/>
      <w:bookmarkEnd w:id="354"/>
      <w:r>
        <w:rPr>
          <w:b w:val="0"/>
        </w:rPr>
      </w:r>
      <w:r>
        <w:rPr/>
        <w:t>612:20-3-23.</w:t>
      </w:r>
      <w:r>
        <w:rPr>
          <w:spacing w:val="40"/>
        </w:rPr>
        <w:t> </w:t>
      </w:r>
      <w:r>
        <w:rPr/>
        <w:t>Protocol</w:t>
      </w:r>
      <w:r>
        <w:rPr>
          <w:spacing w:val="-3"/>
        </w:rPr>
        <w:t> </w:t>
      </w:r>
      <w:r>
        <w:rPr/>
        <w:t>for</w:t>
      </w:r>
      <w:r>
        <w:rPr>
          <w:spacing w:val="-5"/>
        </w:rPr>
        <w:t> </w:t>
      </w:r>
      <w:r>
        <w:rPr/>
        <w:t>abuse</w:t>
      </w:r>
      <w:r>
        <w:rPr>
          <w:spacing w:val="-4"/>
        </w:rPr>
        <w:t> </w:t>
      </w:r>
      <w:r>
        <w:rPr/>
        <w:t>and</w:t>
      </w:r>
      <w:r>
        <w:rPr>
          <w:spacing w:val="-4"/>
        </w:rPr>
        <w:t> </w:t>
      </w:r>
      <w:r>
        <w:rPr/>
        <w:t>neglect</w:t>
      </w:r>
      <w:r>
        <w:rPr>
          <w:spacing w:val="-3"/>
        </w:rPr>
        <w:t> </w:t>
      </w:r>
      <w:r>
        <w:rPr/>
        <w:t>of</w:t>
      </w:r>
      <w:r>
        <w:rPr>
          <w:spacing w:val="-3"/>
        </w:rPr>
        <w:t> </w:t>
      </w:r>
      <w:r>
        <w:rPr/>
        <w:t>a</w:t>
      </w:r>
      <w:r>
        <w:rPr>
          <w:spacing w:val="-4"/>
        </w:rPr>
        <w:t> </w:t>
      </w:r>
      <w:r>
        <w:rPr/>
        <w:t>student</w:t>
      </w:r>
      <w:r>
        <w:rPr>
          <w:spacing w:val="-3"/>
        </w:rPr>
        <w:t> </w:t>
      </w:r>
      <w:r>
        <w:rPr/>
        <w:t>in</w:t>
      </w:r>
      <w:r>
        <w:rPr>
          <w:spacing w:val="-4"/>
        </w:rPr>
        <w:t> </w:t>
      </w:r>
      <w:r>
        <w:rPr/>
        <w:t>the</w:t>
      </w:r>
      <w:r>
        <w:rPr>
          <w:spacing w:val="-4"/>
        </w:rPr>
        <w:t> </w:t>
      </w:r>
      <w:r>
        <w:rPr/>
        <w:t>home </w:t>
      </w:r>
      <w:r>
        <w:rPr>
          <w:spacing w:val="-2"/>
        </w:rPr>
        <w:t>environment</w:t>
      </w:r>
    </w:p>
    <w:p>
      <w:pPr>
        <w:pStyle w:val="BodyText"/>
        <w:spacing w:line="208" w:lineRule="auto"/>
        <w:ind w:right="855" w:firstLine="432"/>
      </w:pPr>
      <w:r>
        <w:rPr/>
        <w:t>Staff</w:t>
      </w:r>
      <w:r>
        <w:rPr>
          <w:spacing w:val="-3"/>
        </w:rPr>
        <w:t> </w:t>
      </w:r>
      <w:r>
        <w:rPr/>
        <w:t>suspecting</w:t>
      </w:r>
      <w:r>
        <w:rPr>
          <w:spacing w:val="-4"/>
        </w:rPr>
        <w:t> </w:t>
      </w:r>
      <w:r>
        <w:rPr/>
        <w:t>abuse</w:t>
      </w:r>
      <w:r>
        <w:rPr>
          <w:spacing w:val="-3"/>
        </w:rPr>
        <w:t> </w:t>
      </w:r>
      <w:r>
        <w:rPr/>
        <w:t>or</w:t>
      </w:r>
      <w:r>
        <w:rPr>
          <w:spacing w:val="-3"/>
        </w:rPr>
        <w:t> </w:t>
      </w:r>
      <w:r>
        <w:rPr/>
        <w:t>neglect</w:t>
      </w:r>
      <w:r>
        <w:rPr>
          <w:spacing w:val="-5"/>
        </w:rPr>
        <w:t> </w:t>
      </w:r>
      <w:r>
        <w:rPr/>
        <w:t>in</w:t>
      </w:r>
      <w:r>
        <w:rPr>
          <w:spacing w:val="-4"/>
        </w:rPr>
        <w:t> </w:t>
      </w:r>
      <w:r>
        <w:rPr/>
        <w:t>a</w:t>
      </w:r>
      <w:r>
        <w:rPr>
          <w:spacing w:val="-4"/>
        </w:rPr>
        <w:t> </w:t>
      </w:r>
      <w:r>
        <w:rPr/>
        <w:t>student's</w:t>
      </w:r>
      <w:r>
        <w:rPr>
          <w:spacing w:val="-4"/>
        </w:rPr>
        <w:t> </w:t>
      </w:r>
      <w:r>
        <w:rPr/>
        <w:t>home</w:t>
      </w:r>
      <w:r>
        <w:rPr>
          <w:spacing w:val="-4"/>
        </w:rPr>
        <w:t> </w:t>
      </w:r>
      <w:r>
        <w:rPr/>
        <w:t>environment</w:t>
      </w:r>
      <w:r>
        <w:rPr>
          <w:spacing w:val="-3"/>
        </w:rPr>
        <w:t> </w:t>
      </w:r>
      <w:r>
        <w:rPr/>
        <w:t>must</w:t>
      </w:r>
      <w:r>
        <w:rPr>
          <w:spacing w:val="-5"/>
        </w:rPr>
        <w:t> </w:t>
      </w:r>
      <w:r>
        <w:rPr/>
        <w:t>report</w:t>
      </w:r>
      <w:r>
        <w:rPr>
          <w:spacing w:val="-3"/>
        </w:rPr>
        <w:t> </w:t>
      </w:r>
      <w:r>
        <w:rPr/>
        <w:t>the suspect incident in accordance with policy. The school social worker or designee will report the suspected incident to the Child Welfare office in the student's home county. Parents will not be notified unless circumstances indicate abuse or neglect from persons outside the home.</w:t>
      </w:r>
    </w:p>
    <w:p>
      <w:pPr>
        <w:spacing w:before="243"/>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298"/>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#95-</w:t>
      </w:r>
      <w:r>
        <w:rPr>
          <w:spacing w:val="-10"/>
          <w:sz w:val="22"/>
        </w:rPr>
        <w:t>2</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spacing w:after="0" w:line="253" w:lineRule="exact"/>
        <w:jc w:val="left"/>
        <w:rPr>
          <w:sz w:val="22"/>
        </w:rPr>
        <w:sectPr>
          <w:pgSz w:w="12240" w:h="15840"/>
          <w:pgMar w:top="1340" w:bottom="280" w:left="1080" w:right="720"/>
        </w:sectPr>
      </w:pPr>
    </w:p>
    <w:p>
      <w:pPr>
        <w:pStyle w:val="Heading2"/>
      </w:pPr>
      <w:bookmarkStart w:name="612:20-3-24.  Protocol for inappropriate" w:id="355"/>
      <w:bookmarkEnd w:id="355"/>
      <w:r>
        <w:rPr>
          <w:b w:val="0"/>
        </w:rPr>
      </w:r>
      <w:r>
        <w:rPr/>
        <w:t>612:20-3-24.</w:t>
      </w:r>
      <w:r>
        <w:rPr>
          <w:spacing w:val="56"/>
        </w:rPr>
        <w:t> </w:t>
      </w:r>
      <w:r>
        <w:rPr/>
        <w:t>Protocol</w:t>
      </w:r>
      <w:r>
        <w:rPr>
          <w:spacing w:val="-3"/>
        </w:rPr>
        <w:t> </w:t>
      </w:r>
      <w:r>
        <w:rPr/>
        <w:t>for</w:t>
      </w:r>
      <w:r>
        <w:rPr>
          <w:spacing w:val="-5"/>
        </w:rPr>
        <w:t> </w:t>
      </w:r>
      <w:r>
        <w:rPr/>
        <w:t>inappropriate</w:t>
      </w:r>
      <w:r>
        <w:rPr>
          <w:spacing w:val="-5"/>
        </w:rPr>
        <w:t> </w:t>
      </w:r>
      <w:r>
        <w:rPr/>
        <w:t>body</w:t>
      </w:r>
      <w:r>
        <w:rPr>
          <w:spacing w:val="-4"/>
        </w:rPr>
        <w:t> </w:t>
      </w:r>
      <w:r>
        <w:rPr/>
        <w:t>contact</w:t>
      </w:r>
      <w:r>
        <w:rPr>
          <w:spacing w:val="-3"/>
        </w:rPr>
        <w:t> </w:t>
      </w:r>
      <w:r>
        <w:rPr/>
        <w:t>between</w:t>
      </w:r>
      <w:r>
        <w:rPr>
          <w:spacing w:val="-4"/>
        </w:rPr>
        <w:t> </w:t>
      </w:r>
      <w:r>
        <w:rPr/>
        <w:t>student</w:t>
      </w:r>
      <w:r>
        <w:rPr>
          <w:spacing w:val="-5"/>
        </w:rPr>
        <w:t> </w:t>
      </w:r>
      <w:r>
        <w:rPr/>
        <w:t>and</w:t>
      </w:r>
      <w:r>
        <w:rPr>
          <w:spacing w:val="-4"/>
        </w:rPr>
        <w:t> </w:t>
      </w:r>
      <w:r>
        <w:rPr>
          <w:spacing w:val="-2"/>
        </w:rPr>
        <w:t>staff</w:t>
      </w:r>
    </w:p>
    <w:p>
      <w:pPr>
        <w:pStyle w:val="ListParagraph"/>
        <w:numPr>
          <w:ilvl w:val="0"/>
          <w:numId w:val="357"/>
        </w:numPr>
        <w:tabs>
          <w:tab w:pos="786" w:val="left" w:leader="none"/>
        </w:tabs>
        <w:spacing w:line="208" w:lineRule="auto" w:before="233" w:after="0"/>
        <w:ind w:left="360" w:right="791" w:firstLine="0"/>
        <w:jc w:val="left"/>
        <w:rPr>
          <w:sz w:val="24"/>
        </w:rPr>
      </w:pPr>
      <w:r>
        <w:rPr>
          <w:sz w:val="24"/>
        </w:rPr>
        <w:t>The incident will be reported to the school social worker or designee. Once the school social worker or designee receives the report,</w:t>
      </w:r>
      <w:r>
        <w:rPr>
          <w:spacing w:val="-1"/>
          <w:sz w:val="24"/>
        </w:rPr>
        <w:t> </w:t>
      </w:r>
      <w:r>
        <w:rPr>
          <w:sz w:val="24"/>
        </w:rPr>
        <w:t>an investigation will be conducted by the social worker, appropriate principal, dorm coordinator (YGSIV), or counselor. Students named will be interviewed and documentation of the interviews noted. Any personal interview or physical inspection of the student will be conducted in a considerate,</w:t>
      </w:r>
      <w:r>
        <w:rPr>
          <w:spacing w:val="-3"/>
          <w:sz w:val="24"/>
        </w:rPr>
        <w:t> </w:t>
      </w:r>
      <w:r>
        <w:rPr>
          <w:sz w:val="24"/>
        </w:rPr>
        <w:t>professional</w:t>
      </w:r>
      <w:r>
        <w:rPr>
          <w:spacing w:val="-4"/>
          <w:sz w:val="24"/>
        </w:rPr>
        <w:t> </w:t>
      </w:r>
      <w:r>
        <w:rPr>
          <w:sz w:val="24"/>
        </w:rPr>
        <w:t>manner.</w:t>
      </w:r>
      <w:r>
        <w:rPr>
          <w:spacing w:val="-3"/>
          <w:sz w:val="24"/>
        </w:rPr>
        <w:t> </w:t>
      </w:r>
      <w:r>
        <w:rPr>
          <w:sz w:val="24"/>
        </w:rPr>
        <w:t>Student</w:t>
      </w:r>
      <w:r>
        <w:rPr>
          <w:spacing w:val="-5"/>
          <w:sz w:val="24"/>
        </w:rPr>
        <w:t> </w:t>
      </w:r>
      <w:r>
        <w:rPr>
          <w:sz w:val="24"/>
        </w:rPr>
        <w:t>Health</w:t>
      </w:r>
      <w:r>
        <w:rPr>
          <w:spacing w:val="-4"/>
          <w:sz w:val="24"/>
        </w:rPr>
        <w:t> </w:t>
      </w:r>
      <w:r>
        <w:rPr>
          <w:sz w:val="24"/>
        </w:rPr>
        <w:t>Services</w:t>
      </w:r>
      <w:r>
        <w:rPr>
          <w:spacing w:val="-4"/>
          <w:sz w:val="24"/>
        </w:rPr>
        <w:t> </w:t>
      </w:r>
      <w:r>
        <w:rPr>
          <w:sz w:val="24"/>
        </w:rPr>
        <w:t>staff</w:t>
      </w:r>
      <w:r>
        <w:rPr>
          <w:spacing w:val="-5"/>
          <w:sz w:val="24"/>
        </w:rPr>
        <w:t> </w:t>
      </w:r>
      <w:r>
        <w:rPr>
          <w:sz w:val="24"/>
        </w:rPr>
        <w:t>and</w:t>
      </w:r>
      <w:r>
        <w:rPr>
          <w:spacing w:val="-4"/>
          <w:sz w:val="24"/>
        </w:rPr>
        <w:t> </w:t>
      </w:r>
      <w:r>
        <w:rPr>
          <w:sz w:val="24"/>
        </w:rPr>
        <w:t>a</w:t>
      </w:r>
      <w:r>
        <w:rPr>
          <w:spacing w:val="-4"/>
          <w:sz w:val="24"/>
        </w:rPr>
        <w:t> </w:t>
      </w:r>
      <w:r>
        <w:rPr>
          <w:sz w:val="24"/>
        </w:rPr>
        <w:t>counselor</w:t>
      </w:r>
      <w:r>
        <w:rPr>
          <w:spacing w:val="-3"/>
          <w:sz w:val="24"/>
        </w:rPr>
        <w:t> </w:t>
      </w:r>
      <w:r>
        <w:rPr>
          <w:sz w:val="24"/>
        </w:rPr>
        <w:t>will</w:t>
      </w:r>
      <w:r>
        <w:rPr>
          <w:spacing w:val="-4"/>
          <w:sz w:val="24"/>
        </w:rPr>
        <w:t> </w:t>
      </w:r>
      <w:r>
        <w:rPr>
          <w:sz w:val="24"/>
        </w:rPr>
        <w:t>be included as appropriate.</w:t>
      </w:r>
    </w:p>
    <w:p>
      <w:pPr>
        <w:pStyle w:val="ListParagraph"/>
        <w:numPr>
          <w:ilvl w:val="0"/>
          <w:numId w:val="357"/>
        </w:numPr>
        <w:tabs>
          <w:tab w:pos="786" w:val="left" w:leader="none"/>
        </w:tabs>
        <w:spacing w:line="208" w:lineRule="auto" w:before="239" w:after="0"/>
        <w:ind w:left="360" w:right="781" w:firstLine="0"/>
        <w:jc w:val="left"/>
        <w:rPr>
          <w:sz w:val="24"/>
        </w:rPr>
      </w:pPr>
      <w:r>
        <w:rPr>
          <w:sz w:val="24"/>
        </w:rPr>
        <w:t>A</w:t>
      </w:r>
      <w:r>
        <w:rPr>
          <w:spacing w:val="-4"/>
          <w:sz w:val="24"/>
        </w:rPr>
        <w:t> </w:t>
      </w:r>
      <w:r>
        <w:rPr>
          <w:sz w:val="24"/>
        </w:rPr>
        <w:t>final</w:t>
      </w:r>
      <w:r>
        <w:rPr>
          <w:spacing w:val="-2"/>
          <w:sz w:val="24"/>
        </w:rPr>
        <w:t> </w:t>
      </w:r>
      <w:r>
        <w:rPr>
          <w:sz w:val="24"/>
        </w:rPr>
        <w:t>report</w:t>
      </w:r>
      <w:r>
        <w:rPr>
          <w:spacing w:val="-1"/>
          <w:sz w:val="24"/>
        </w:rPr>
        <w:t> </w:t>
      </w:r>
      <w:r>
        <w:rPr>
          <w:sz w:val="24"/>
        </w:rPr>
        <w:t>will</w:t>
      </w:r>
      <w:r>
        <w:rPr>
          <w:spacing w:val="-2"/>
          <w:sz w:val="24"/>
        </w:rPr>
        <w:t> </w:t>
      </w:r>
      <w:r>
        <w:rPr>
          <w:sz w:val="24"/>
        </w:rPr>
        <w:t>be</w:t>
      </w:r>
      <w:r>
        <w:rPr>
          <w:spacing w:val="-2"/>
          <w:sz w:val="24"/>
        </w:rPr>
        <w:t> </w:t>
      </w:r>
      <w:r>
        <w:rPr>
          <w:sz w:val="24"/>
        </w:rPr>
        <w:t>called</w:t>
      </w:r>
      <w:r>
        <w:rPr>
          <w:spacing w:val="-2"/>
          <w:sz w:val="24"/>
        </w:rPr>
        <w:t> </w:t>
      </w:r>
      <w:r>
        <w:rPr>
          <w:sz w:val="24"/>
        </w:rPr>
        <w:t>into</w:t>
      </w:r>
      <w:r>
        <w:rPr>
          <w:spacing w:val="-2"/>
          <w:sz w:val="24"/>
        </w:rPr>
        <w:t> </w:t>
      </w:r>
      <w:r>
        <w:rPr>
          <w:sz w:val="24"/>
        </w:rPr>
        <w:t>the</w:t>
      </w:r>
      <w:r>
        <w:rPr>
          <w:spacing w:val="-2"/>
          <w:sz w:val="24"/>
        </w:rPr>
        <w:t> </w:t>
      </w:r>
      <w:r>
        <w:rPr>
          <w:sz w:val="24"/>
        </w:rPr>
        <w:t>DHS</w:t>
      </w:r>
      <w:r>
        <w:rPr>
          <w:spacing w:val="-2"/>
          <w:sz w:val="24"/>
        </w:rPr>
        <w:t> </w:t>
      </w:r>
      <w:r>
        <w:rPr>
          <w:sz w:val="24"/>
        </w:rPr>
        <w:t>Office</w:t>
      </w:r>
      <w:r>
        <w:rPr>
          <w:spacing w:val="-2"/>
          <w:sz w:val="24"/>
        </w:rPr>
        <w:t> </w:t>
      </w:r>
      <w:r>
        <w:rPr>
          <w:sz w:val="24"/>
        </w:rPr>
        <w:t>of</w:t>
      </w:r>
      <w:r>
        <w:rPr>
          <w:spacing w:val="-3"/>
          <w:sz w:val="24"/>
        </w:rPr>
        <w:t> </w:t>
      </w:r>
      <w:r>
        <w:rPr>
          <w:sz w:val="24"/>
        </w:rPr>
        <w:t>Child</w:t>
      </w:r>
      <w:r>
        <w:rPr>
          <w:spacing w:val="-2"/>
          <w:sz w:val="24"/>
        </w:rPr>
        <w:t> </w:t>
      </w:r>
      <w:r>
        <w:rPr>
          <w:sz w:val="24"/>
        </w:rPr>
        <w:t>Advocacy</w:t>
      </w:r>
      <w:r>
        <w:rPr>
          <w:spacing w:val="-2"/>
          <w:sz w:val="24"/>
        </w:rPr>
        <w:t> </w:t>
      </w:r>
      <w:r>
        <w:rPr>
          <w:sz w:val="24"/>
        </w:rPr>
        <w:t>regardless</w:t>
      </w:r>
      <w:r>
        <w:rPr>
          <w:spacing w:val="-2"/>
          <w:sz w:val="24"/>
        </w:rPr>
        <w:t> </w:t>
      </w:r>
      <w:r>
        <w:rPr>
          <w:sz w:val="24"/>
        </w:rPr>
        <w:t>of</w:t>
      </w:r>
      <w:r>
        <w:rPr>
          <w:spacing w:val="-1"/>
          <w:sz w:val="24"/>
        </w:rPr>
        <w:t> </w:t>
      </w:r>
      <w:r>
        <w:rPr>
          <w:sz w:val="24"/>
        </w:rPr>
        <w:t>final results of student interviews. Local police will also be contacted at the time a report is made</w:t>
      </w:r>
      <w:r>
        <w:rPr>
          <w:spacing w:val="-4"/>
          <w:sz w:val="24"/>
        </w:rPr>
        <w:t> </w:t>
      </w:r>
      <w:r>
        <w:rPr>
          <w:sz w:val="24"/>
        </w:rPr>
        <w:t>to</w:t>
      </w:r>
      <w:r>
        <w:rPr>
          <w:spacing w:val="-4"/>
          <w:sz w:val="24"/>
        </w:rPr>
        <w:t> </w:t>
      </w:r>
      <w:r>
        <w:rPr>
          <w:sz w:val="24"/>
        </w:rPr>
        <w:t>the</w:t>
      </w:r>
      <w:r>
        <w:rPr>
          <w:spacing w:val="-4"/>
          <w:sz w:val="24"/>
        </w:rPr>
        <w:t> </w:t>
      </w:r>
      <w:r>
        <w:rPr>
          <w:sz w:val="24"/>
        </w:rPr>
        <w:t>DHS</w:t>
      </w:r>
      <w:r>
        <w:rPr>
          <w:spacing w:val="-4"/>
          <w:sz w:val="24"/>
        </w:rPr>
        <w:t> </w:t>
      </w:r>
      <w:r>
        <w:rPr>
          <w:sz w:val="24"/>
        </w:rPr>
        <w:t>Office</w:t>
      </w:r>
      <w:r>
        <w:rPr>
          <w:spacing w:val="-4"/>
          <w:sz w:val="24"/>
        </w:rPr>
        <w:t> </w:t>
      </w:r>
      <w:r>
        <w:rPr>
          <w:sz w:val="24"/>
        </w:rPr>
        <w:t>of</w:t>
      </w:r>
      <w:r>
        <w:rPr>
          <w:spacing w:val="-3"/>
          <w:sz w:val="24"/>
        </w:rPr>
        <w:t> </w:t>
      </w:r>
      <w:r>
        <w:rPr>
          <w:sz w:val="24"/>
        </w:rPr>
        <w:t>Client</w:t>
      </w:r>
      <w:r>
        <w:rPr>
          <w:spacing w:val="-3"/>
          <w:sz w:val="24"/>
        </w:rPr>
        <w:t> </w:t>
      </w:r>
      <w:r>
        <w:rPr>
          <w:sz w:val="24"/>
        </w:rPr>
        <w:t>Advocacy,</w:t>
      </w:r>
      <w:r>
        <w:rPr>
          <w:spacing w:val="-3"/>
          <w:sz w:val="24"/>
        </w:rPr>
        <w:t> </w:t>
      </w:r>
      <w:r>
        <w:rPr>
          <w:sz w:val="24"/>
        </w:rPr>
        <w:t>and</w:t>
      </w:r>
      <w:r>
        <w:rPr>
          <w:spacing w:val="-4"/>
          <w:sz w:val="24"/>
        </w:rPr>
        <w:t> </w:t>
      </w:r>
      <w:r>
        <w:rPr>
          <w:sz w:val="24"/>
        </w:rPr>
        <w:t>the</w:t>
      </w:r>
      <w:r>
        <w:rPr>
          <w:spacing w:val="-4"/>
          <w:sz w:val="24"/>
        </w:rPr>
        <w:t> </w:t>
      </w:r>
      <w:r>
        <w:rPr>
          <w:sz w:val="24"/>
        </w:rPr>
        <w:t>suspected</w:t>
      </w:r>
      <w:r>
        <w:rPr>
          <w:spacing w:val="-4"/>
          <w:sz w:val="24"/>
        </w:rPr>
        <w:t> </w:t>
      </w:r>
      <w:r>
        <w:rPr>
          <w:sz w:val="24"/>
        </w:rPr>
        <w:t>employee</w:t>
      </w:r>
      <w:r>
        <w:rPr>
          <w:spacing w:val="-4"/>
          <w:sz w:val="24"/>
        </w:rPr>
        <w:t> </w:t>
      </w:r>
      <w:r>
        <w:rPr>
          <w:sz w:val="24"/>
        </w:rPr>
        <w:t>will</w:t>
      </w:r>
      <w:r>
        <w:rPr>
          <w:spacing w:val="-4"/>
          <w:sz w:val="24"/>
        </w:rPr>
        <w:t> </w:t>
      </w:r>
      <w:r>
        <w:rPr>
          <w:sz w:val="24"/>
        </w:rPr>
        <w:t>be</w:t>
      </w:r>
      <w:r>
        <w:rPr>
          <w:spacing w:val="-4"/>
          <w:sz w:val="24"/>
        </w:rPr>
        <w:t> </w:t>
      </w:r>
      <w:r>
        <w:rPr>
          <w:sz w:val="24"/>
        </w:rPr>
        <w:t>placed on leave with pay until the situation is resolved.</w:t>
      </w:r>
    </w:p>
    <w:p>
      <w:pPr>
        <w:pStyle w:val="ListParagraph"/>
        <w:numPr>
          <w:ilvl w:val="0"/>
          <w:numId w:val="357"/>
        </w:numPr>
        <w:tabs>
          <w:tab w:pos="773" w:val="left" w:leader="none"/>
        </w:tabs>
        <w:spacing w:line="208" w:lineRule="auto" w:before="240" w:after="0"/>
        <w:ind w:left="360" w:right="964" w:firstLine="0"/>
        <w:jc w:val="left"/>
        <w:rPr>
          <w:sz w:val="24"/>
        </w:rPr>
      </w:pPr>
      <w:r>
        <w:rPr>
          <w:sz w:val="24"/>
        </w:rPr>
        <w:t>For the safety of the student(s) believed to be in imminent danger if continued contact is permitted between a school employee or volunteer and a student, one or more</w:t>
      </w:r>
      <w:r>
        <w:rPr>
          <w:spacing w:val="-3"/>
          <w:sz w:val="24"/>
        </w:rPr>
        <w:t> </w:t>
      </w:r>
      <w:r>
        <w:rPr>
          <w:sz w:val="24"/>
        </w:rPr>
        <w:t>of</w:t>
      </w:r>
      <w:r>
        <w:rPr>
          <w:spacing w:val="-4"/>
          <w:sz w:val="24"/>
        </w:rPr>
        <w:t> </w:t>
      </w:r>
      <w:r>
        <w:rPr>
          <w:sz w:val="24"/>
        </w:rPr>
        <w:t>the</w:t>
      </w:r>
      <w:r>
        <w:rPr>
          <w:spacing w:val="-3"/>
          <w:sz w:val="24"/>
        </w:rPr>
        <w:t> </w:t>
      </w:r>
      <w:r>
        <w:rPr>
          <w:sz w:val="24"/>
        </w:rPr>
        <w:t>options</w:t>
      </w:r>
      <w:r>
        <w:rPr>
          <w:spacing w:val="-3"/>
          <w:sz w:val="24"/>
        </w:rPr>
        <w:t> </w:t>
      </w:r>
      <w:r>
        <w:rPr>
          <w:sz w:val="24"/>
        </w:rPr>
        <w:t>in</w:t>
      </w:r>
      <w:r>
        <w:rPr>
          <w:spacing w:val="-3"/>
          <w:sz w:val="24"/>
        </w:rPr>
        <w:t> </w:t>
      </w:r>
      <w:r>
        <w:rPr>
          <w:sz w:val="24"/>
        </w:rPr>
        <w:t>Paragraphs</w:t>
      </w:r>
      <w:r>
        <w:rPr>
          <w:spacing w:val="-3"/>
          <w:sz w:val="24"/>
        </w:rPr>
        <w:t> </w:t>
      </w:r>
      <w:r>
        <w:rPr>
          <w:sz w:val="24"/>
        </w:rPr>
        <w:t>(1)</w:t>
      </w:r>
      <w:r>
        <w:rPr>
          <w:spacing w:val="-4"/>
          <w:sz w:val="24"/>
        </w:rPr>
        <w:t> </w:t>
      </w:r>
      <w:r>
        <w:rPr>
          <w:sz w:val="24"/>
        </w:rPr>
        <w:t>through</w:t>
      </w:r>
      <w:r>
        <w:rPr>
          <w:spacing w:val="-3"/>
          <w:sz w:val="24"/>
        </w:rPr>
        <w:t> </w:t>
      </w:r>
      <w:r>
        <w:rPr>
          <w:sz w:val="24"/>
        </w:rPr>
        <w:t>(4)</w:t>
      </w:r>
      <w:r>
        <w:rPr>
          <w:spacing w:val="-2"/>
          <w:sz w:val="24"/>
        </w:rPr>
        <w:t> </w:t>
      </w:r>
      <w:r>
        <w:rPr>
          <w:sz w:val="24"/>
        </w:rPr>
        <w:t>will</w:t>
      </w:r>
      <w:r>
        <w:rPr>
          <w:spacing w:val="-3"/>
          <w:sz w:val="24"/>
        </w:rPr>
        <w:t> </w:t>
      </w:r>
      <w:r>
        <w:rPr>
          <w:sz w:val="24"/>
        </w:rPr>
        <w:t>be</w:t>
      </w:r>
      <w:r>
        <w:rPr>
          <w:spacing w:val="-2"/>
          <w:sz w:val="24"/>
        </w:rPr>
        <w:t> </w:t>
      </w:r>
      <w:r>
        <w:rPr>
          <w:sz w:val="24"/>
        </w:rPr>
        <w:t>exercised</w:t>
      </w:r>
      <w:r>
        <w:rPr>
          <w:spacing w:val="-3"/>
          <w:sz w:val="24"/>
        </w:rPr>
        <w:t> </w:t>
      </w:r>
      <w:r>
        <w:rPr>
          <w:sz w:val="24"/>
        </w:rPr>
        <w:t>immediately</w:t>
      </w:r>
      <w:r>
        <w:rPr>
          <w:spacing w:val="-2"/>
          <w:sz w:val="24"/>
        </w:rPr>
        <w:t> </w:t>
      </w:r>
      <w:r>
        <w:rPr>
          <w:sz w:val="24"/>
        </w:rPr>
        <w:t>by</w:t>
      </w:r>
      <w:r>
        <w:rPr>
          <w:spacing w:val="-3"/>
          <w:sz w:val="24"/>
        </w:rPr>
        <w:t> </w:t>
      </w:r>
      <w:r>
        <w:rPr>
          <w:sz w:val="24"/>
        </w:rPr>
        <w:t>the Superintendent or Program Supervisor:</w:t>
      </w:r>
    </w:p>
    <w:p>
      <w:pPr>
        <w:pStyle w:val="ListParagraph"/>
        <w:numPr>
          <w:ilvl w:val="1"/>
          <w:numId w:val="357"/>
        </w:numPr>
        <w:tabs>
          <w:tab w:pos="1218" w:val="left" w:leader="none"/>
        </w:tabs>
        <w:spacing w:line="240" w:lineRule="auto" w:before="210" w:after="0"/>
        <w:ind w:left="1218" w:right="0" w:hanging="426"/>
        <w:jc w:val="left"/>
        <w:rPr>
          <w:sz w:val="24"/>
        </w:rPr>
      </w:pPr>
      <w:r>
        <w:rPr>
          <w:sz w:val="24"/>
        </w:rPr>
        <w:t>call</w:t>
      </w:r>
      <w:r>
        <w:rPr>
          <w:spacing w:val="-1"/>
          <w:sz w:val="24"/>
        </w:rPr>
        <w:t> </w:t>
      </w:r>
      <w:r>
        <w:rPr>
          <w:sz w:val="24"/>
        </w:rPr>
        <w:t>to</w:t>
      </w:r>
      <w:r>
        <w:rPr>
          <w:spacing w:val="-2"/>
          <w:sz w:val="24"/>
        </w:rPr>
        <w:t> authorities;</w:t>
      </w:r>
    </w:p>
    <w:p>
      <w:pPr>
        <w:pStyle w:val="ListParagraph"/>
        <w:numPr>
          <w:ilvl w:val="1"/>
          <w:numId w:val="357"/>
        </w:numPr>
        <w:tabs>
          <w:tab w:pos="1217" w:val="left" w:leader="none"/>
        </w:tabs>
        <w:spacing w:line="208" w:lineRule="auto" w:before="233" w:after="0"/>
        <w:ind w:left="792" w:right="908" w:firstLine="0"/>
        <w:jc w:val="left"/>
        <w:rPr>
          <w:sz w:val="24"/>
        </w:rPr>
      </w:pPr>
      <w:r>
        <w:rPr>
          <w:sz w:val="24"/>
        </w:rPr>
        <w:t>temporary</w:t>
      </w:r>
      <w:r>
        <w:rPr>
          <w:spacing w:val="-4"/>
          <w:sz w:val="24"/>
        </w:rPr>
        <w:t> </w:t>
      </w:r>
      <w:r>
        <w:rPr>
          <w:sz w:val="24"/>
        </w:rPr>
        <w:t>removal</w:t>
      </w:r>
      <w:r>
        <w:rPr>
          <w:spacing w:val="-4"/>
          <w:sz w:val="24"/>
        </w:rPr>
        <w:t> </w:t>
      </w:r>
      <w:r>
        <w:rPr>
          <w:sz w:val="24"/>
        </w:rPr>
        <w:t>of</w:t>
      </w:r>
      <w:r>
        <w:rPr>
          <w:spacing w:val="-3"/>
          <w:sz w:val="24"/>
        </w:rPr>
        <w:t> </w:t>
      </w:r>
      <w:r>
        <w:rPr>
          <w:sz w:val="24"/>
        </w:rPr>
        <w:t>the</w:t>
      </w:r>
      <w:r>
        <w:rPr>
          <w:spacing w:val="-4"/>
          <w:sz w:val="24"/>
        </w:rPr>
        <w:t> </w:t>
      </w:r>
      <w:r>
        <w:rPr>
          <w:sz w:val="24"/>
        </w:rPr>
        <w:t>student</w:t>
      </w:r>
      <w:r>
        <w:rPr>
          <w:spacing w:val="-3"/>
          <w:sz w:val="24"/>
        </w:rPr>
        <w:t> </w:t>
      </w:r>
      <w:r>
        <w:rPr>
          <w:sz w:val="24"/>
        </w:rPr>
        <w:t>and</w:t>
      </w:r>
      <w:r>
        <w:rPr>
          <w:spacing w:val="-4"/>
          <w:sz w:val="24"/>
        </w:rPr>
        <w:t> </w:t>
      </w:r>
      <w:r>
        <w:rPr>
          <w:sz w:val="24"/>
        </w:rPr>
        <w:t>employee</w:t>
      </w:r>
      <w:r>
        <w:rPr>
          <w:spacing w:val="-4"/>
          <w:sz w:val="24"/>
        </w:rPr>
        <w:t> </w:t>
      </w:r>
      <w:r>
        <w:rPr>
          <w:sz w:val="24"/>
        </w:rPr>
        <w:t>or</w:t>
      </w:r>
      <w:r>
        <w:rPr>
          <w:spacing w:val="-3"/>
          <w:sz w:val="24"/>
        </w:rPr>
        <w:t> </w:t>
      </w:r>
      <w:r>
        <w:rPr>
          <w:sz w:val="24"/>
        </w:rPr>
        <w:t>volunteer</w:t>
      </w:r>
      <w:r>
        <w:rPr>
          <w:spacing w:val="-3"/>
          <w:sz w:val="24"/>
        </w:rPr>
        <w:t> </w:t>
      </w:r>
      <w:r>
        <w:rPr>
          <w:sz w:val="24"/>
        </w:rPr>
        <w:t>from</w:t>
      </w:r>
      <w:r>
        <w:rPr>
          <w:spacing w:val="-3"/>
          <w:sz w:val="24"/>
        </w:rPr>
        <w:t> </w:t>
      </w:r>
      <w:r>
        <w:rPr>
          <w:sz w:val="24"/>
        </w:rPr>
        <w:t>contact</w:t>
      </w:r>
      <w:r>
        <w:rPr>
          <w:spacing w:val="-3"/>
          <w:sz w:val="24"/>
        </w:rPr>
        <w:t> </w:t>
      </w:r>
      <w:r>
        <w:rPr>
          <w:sz w:val="24"/>
        </w:rPr>
        <w:t>with each other;</w:t>
      </w:r>
    </w:p>
    <w:p>
      <w:pPr>
        <w:pStyle w:val="ListParagraph"/>
        <w:numPr>
          <w:ilvl w:val="1"/>
          <w:numId w:val="357"/>
        </w:numPr>
        <w:tabs>
          <w:tab w:pos="1217" w:val="left" w:leader="none"/>
        </w:tabs>
        <w:spacing w:line="208" w:lineRule="auto" w:before="240" w:after="0"/>
        <w:ind w:left="792" w:right="1016" w:firstLine="0"/>
        <w:jc w:val="left"/>
        <w:rPr>
          <w:sz w:val="24"/>
        </w:rPr>
      </w:pPr>
      <w:r>
        <w:rPr>
          <w:sz w:val="24"/>
        </w:rPr>
        <w:t>temporary</w:t>
      </w:r>
      <w:r>
        <w:rPr>
          <w:spacing w:val="-5"/>
          <w:sz w:val="24"/>
        </w:rPr>
        <w:t> </w:t>
      </w:r>
      <w:r>
        <w:rPr>
          <w:sz w:val="24"/>
        </w:rPr>
        <w:t>removal</w:t>
      </w:r>
      <w:r>
        <w:rPr>
          <w:spacing w:val="-5"/>
          <w:sz w:val="24"/>
        </w:rPr>
        <w:t> </w:t>
      </w:r>
      <w:r>
        <w:rPr>
          <w:sz w:val="24"/>
        </w:rPr>
        <w:t>of</w:t>
      </w:r>
      <w:r>
        <w:rPr>
          <w:spacing w:val="-4"/>
          <w:sz w:val="24"/>
        </w:rPr>
        <w:t> </w:t>
      </w:r>
      <w:r>
        <w:rPr>
          <w:sz w:val="24"/>
        </w:rPr>
        <w:t>the</w:t>
      </w:r>
      <w:r>
        <w:rPr>
          <w:spacing w:val="-5"/>
          <w:sz w:val="24"/>
        </w:rPr>
        <w:t> </w:t>
      </w:r>
      <w:r>
        <w:rPr>
          <w:sz w:val="24"/>
        </w:rPr>
        <w:t>school</w:t>
      </w:r>
      <w:r>
        <w:rPr>
          <w:spacing w:val="-5"/>
          <w:sz w:val="24"/>
        </w:rPr>
        <w:t> </w:t>
      </w:r>
      <w:r>
        <w:rPr>
          <w:sz w:val="24"/>
        </w:rPr>
        <w:t>employee</w:t>
      </w:r>
      <w:r>
        <w:rPr>
          <w:spacing w:val="-5"/>
          <w:sz w:val="24"/>
        </w:rPr>
        <w:t> </w:t>
      </w:r>
      <w:r>
        <w:rPr>
          <w:sz w:val="24"/>
        </w:rPr>
        <w:t>from</w:t>
      </w:r>
      <w:r>
        <w:rPr>
          <w:spacing w:val="-4"/>
          <w:sz w:val="24"/>
        </w:rPr>
        <w:t> </w:t>
      </w:r>
      <w:r>
        <w:rPr>
          <w:sz w:val="24"/>
        </w:rPr>
        <w:t>assignment</w:t>
      </w:r>
      <w:r>
        <w:rPr>
          <w:spacing w:val="-4"/>
          <w:sz w:val="24"/>
        </w:rPr>
        <w:t> </w:t>
      </w:r>
      <w:r>
        <w:rPr>
          <w:sz w:val="24"/>
        </w:rPr>
        <w:t>or</w:t>
      </w:r>
      <w:r>
        <w:rPr>
          <w:spacing w:val="-4"/>
          <w:sz w:val="24"/>
        </w:rPr>
        <w:t> </w:t>
      </w:r>
      <w:r>
        <w:rPr>
          <w:sz w:val="24"/>
        </w:rPr>
        <w:t>service</w:t>
      </w:r>
      <w:r>
        <w:rPr>
          <w:spacing w:val="-5"/>
          <w:sz w:val="24"/>
        </w:rPr>
        <w:t> </w:t>
      </w:r>
      <w:r>
        <w:rPr>
          <w:sz w:val="24"/>
        </w:rPr>
        <w:t>(leave without pay); and/or</w:t>
      </w:r>
    </w:p>
    <w:p>
      <w:pPr>
        <w:pStyle w:val="ListParagraph"/>
        <w:numPr>
          <w:ilvl w:val="1"/>
          <w:numId w:val="357"/>
        </w:numPr>
        <w:tabs>
          <w:tab w:pos="1217" w:val="left" w:leader="none"/>
        </w:tabs>
        <w:spacing w:line="240" w:lineRule="auto" w:before="211" w:after="0"/>
        <w:ind w:left="1217" w:right="0" w:hanging="425"/>
        <w:jc w:val="left"/>
        <w:rPr>
          <w:sz w:val="24"/>
        </w:rPr>
      </w:pPr>
      <w:r>
        <w:rPr>
          <w:sz w:val="24"/>
        </w:rPr>
        <w:t>temporary</w:t>
      </w:r>
      <w:r>
        <w:rPr>
          <w:spacing w:val="-4"/>
          <w:sz w:val="24"/>
        </w:rPr>
        <w:t> </w:t>
      </w:r>
      <w:r>
        <w:rPr>
          <w:sz w:val="24"/>
        </w:rPr>
        <w:t>removal</w:t>
      </w:r>
      <w:r>
        <w:rPr>
          <w:spacing w:val="-4"/>
          <w:sz w:val="24"/>
        </w:rPr>
        <w:t> </w:t>
      </w:r>
      <w:r>
        <w:rPr>
          <w:sz w:val="24"/>
        </w:rPr>
        <w:t>of</w:t>
      </w:r>
      <w:r>
        <w:rPr>
          <w:spacing w:val="-2"/>
          <w:sz w:val="24"/>
        </w:rPr>
        <w:t> </w:t>
      </w:r>
      <w:r>
        <w:rPr>
          <w:sz w:val="24"/>
        </w:rPr>
        <w:t>volunteer</w:t>
      </w:r>
      <w:r>
        <w:rPr>
          <w:spacing w:val="-3"/>
          <w:sz w:val="24"/>
        </w:rPr>
        <w:t> </w:t>
      </w:r>
      <w:r>
        <w:rPr>
          <w:sz w:val="24"/>
        </w:rPr>
        <w:t>from</w:t>
      </w:r>
      <w:r>
        <w:rPr>
          <w:spacing w:val="-2"/>
          <w:sz w:val="24"/>
        </w:rPr>
        <w:t> program.</w:t>
      </w:r>
    </w:p>
    <w:p>
      <w:pPr>
        <w:pStyle w:val="ListParagraph"/>
        <w:numPr>
          <w:ilvl w:val="0"/>
          <w:numId w:val="357"/>
        </w:numPr>
        <w:tabs>
          <w:tab w:pos="786" w:val="left" w:leader="none"/>
        </w:tabs>
        <w:spacing w:line="208" w:lineRule="auto" w:before="233" w:after="0"/>
        <w:ind w:left="360" w:right="846" w:firstLine="0"/>
        <w:jc w:val="left"/>
        <w:rPr>
          <w:sz w:val="24"/>
        </w:rPr>
      </w:pPr>
      <w:r>
        <w:rPr>
          <w:sz w:val="24"/>
        </w:rPr>
        <w:t>Parents</w:t>
      </w:r>
      <w:r>
        <w:rPr>
          <w:spacing w:val="-3"/>
          <w:sz w:val="24"/>
        </w:rPr>
        <w:t> </w:t>
      </w:r>
      <w:r>
        <w:rPr>
          <w:sz w:val="24"/>
        </w:rPr>
        <w:t>will</w:t>
      </w:r>
      <w:r>
        <w:rPr>
          <w:spacing w:val="-3"/>
          <w:sz w:val="24"/>
        </w:rPr>
        <w:t> </w:t>
      </w:r>
      <w:r>
        <w:rPr>
          <w:sz w:val="24"/>
        </w:rPr>
        <w:t>be</w:t>
      </w:r>
      <w:r>
        <w:rPr>
          <w:spacing w:val="-3"/>
          <w:sz w:val="24"/>
        </w:rPr>
        <w:t> </w:t>
      </w:r>
      <w:r>
        <w:rPr>
          <w:sz w:val="24"/>
        </w:rPr>
        <w:t>contacted</w:t>
      </w:r>
      <w:r>
        <w:rPr>
          <w:spacing w:val="-3"/>
          <w:sz w:val="24"/>
        </w:rPr>
        <w:t> </w:t>
      </w:r>
      <w:r>
        <w:rPr>
          <w:sz w:val="24"/>
        </w:rPr>
        <w:t>by</w:t>
      </w:r>
      <w:r>
        <w:rPr>
          <w:spacing w:val="-4"/>
          <w:sz w:val="24"/>
        </w:rPr>
        <w:t> </w:t>
      </w:r>
      <w:r>
        <w:rPr>
          <w:sz w:val="24"/>
        </w:rPr>
        <w:t>the</w:t>
      </w:r>
      <w:r>
        <w:rPr>
          <w:spacing w:val="-3"/>
          <w:sz w:val="24"/>
        </w:rPr>
        <w:t> </w:t>
      </w:r>
      <w:r>
        <w:rPr>
          <w:sz w:val="24"/>
        </w:rPr>
        <w:t>school</w:t>
      </w:r>
      <w:r>
        <w:rPr>
          <w:spacing w:val="-3"/>
          <w:sz w:val="24"/>
        </w:rPr>
        <w:t> </w:t>
      </w:r>
      <w:r>
        <w:rPr>
          <w:sz w:val="24"/>
        </w:rPr>
        <w:t>social</w:t>
      </w:r>
      <w:r>
        <w:rPr>
          <w:spacing w:val="-3"/>
          <w:sz w:val="24"/>
        </w:rPr>
        <w:t> </w:t>
      </w:r>
      <w:r>
        <w:rPr>
          <w:sz w:val="24"/>
        </w:rPr>
        <w:t>worker</w:t>
      </w:r>
      <w:r>
        <w:rPr>
          <w:spacing w:val="-2"/>
          <w:sz w:val="24"/>
        </w:rPr>
        <w:t> </w:t>
      </w:r>
      <w:r>
        <w:rPr>
          <w:sz w:val="24"/>
        </w:rPr>
        <w:t>or</w:t>
      </w:r>
      <w:r>
        <w:rPr>
          <w:spacing w:val="-2"/>
          <w:sz w:val="24"/>
        </w:rPr>
        <w:t> </w:t>
      </w:r>
      <w:r>
        <w:rPr>
          <w:sz w:val="24"/>
        </w:rPr>
        <w:t>designee</w:t>
      </w:r>
      <w:r>
        <w:rPr>
          <w:spacing w:val="-3"/>
          <w:sz w:val="24"/>
        </w:rPr>
        <w:t> </w:t>
      </w:r>
      <w:r>
        <w:rPr>
          <w:sz w:val="24"/>
        </w:rPr>
        <w:t>to</w:t>
      </w:r>
      <w:r>
        <w:rPr>
          <w:spacing w:val="-3"/>
          <w:sz w:val="24"/>
        </w:rPr>
        <w:t> </w:t>
      </w:r>
      <w:r>
        <w:rPr>
          <w:sz w:val="24"/>
        </w:rPr>
        <w:t>inform</w:t>
      </w:r>
      <w:r>
        <w:rPr>
          <w:spacing w:val="-2"/>
          <w:sz w:val="24"/>
        </w:rPr>
        <w:t> </w:t>
      </w:r>
      <w:r>
        <w:rPr>
          <w:sz w:val="24"/>
        </w:rPr>
        <w:t>them</w:t>
      </w:r>
      <w:r>
        <w:rPr>
          <w:spacing w:val="-4"/>
          <w:sz w:val="24"/>
        </w:rPr>
        <w:t> </w:t>
      </w:r>
      <w:r>
        <w:rPr>
          <w:sz w:val="24"/>
        </w:rPr>
        <w:t>of the suspect incident and the actions taken. Parents will be given progress reports in a timely fashion.</w:t>
      </w:r>
    </w:p>
    <w:p>
      <w:pPr>
        <w:spacing w:before="244"/>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294"/>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#95-</w:t>
      </w:r>
      <w:r>
        <w:rPr>
          <w:spacing w:val="-10"/>
          <w:sz w:val="22"/>
        </w:rPr>
        <w:t>2</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spacing w:after="0" w:line="253" w:lineRule="exact"/>
        <w:jc w:val="left"/>
        <w:rPr>
          <w:sz w:val="22"/>
        </w:rPr>
        <w:sectPr>
          <w:pgSz w:w="12240" w:h="15840"/>
          <w:pgMar w:top="1340" w:bottom="280" w:left="1080" w:right="720"/>
        </w:sectPr>
      </w:pPr>
    </w:p>
    <w:p>
      <w:pPr>
        <w:pStyle w:val="Heading2"/>
      </w:pPr>
      <w:bookmarkStart w:name="612:20-3-25.  Protocol for inappropriate" w:id="356"/>
      <w:bookmarkEnd w:id="356"/>
      <w:r>
        <w:rPr>
          <w:b w:val="0"/>
        </w:rPr>
      </w:r>
      <w:r>
        <w:rPr/>
        <w:t>612:20-3-25.</w:t>
      </w:r>
      <w:r>
        <w:rPr>
          <w:spacing w:val="56"/>
        </w:rPr>
        <w:t> </w:t>
      </w:r>
      <w:r>
        <w:rPr/>
        <w:t>Protocol</w:t>
      </w:r>
      <w:r>
        <w:rPr>
          <w:spacing w:val="-3"/>
        </w:rPr>
        <w:t> </w:t>
      </w:r>
      <w:r>
        <w:rPr/>
        <w:t>for</w:t>
      </w:r>
      <w:r>
        <w:rPr>
          <w:spacing w:val="-6"/>
        </w:rPr>
        <w:t> </w:t>
      </w:r>
      <w:r>
        <w:rPr/>
        <w:t>inappropriate</w:t>
      </w:r>
      <w:r>
        <w:rPr>
          <w:spacing w:val="-5"/>
        </w:rPr>
        <w:t> </w:t>
      </w:r>
      <w:r>
        <w:rPr/>
        <w:t>body</w:t>
      </w:r>
      <w:r>
        <w:rPr>
          <w:spacing w:val="-4"/>
        </w:rPr>
        <w:t> </w:t>
      </w:r>
      <w:r>
        <w:rPr/>
        <w:t>contact</w:t>
      </w:r>
      <w:r>
        <w:rPr>
          <w:spacing w:val="-3"/>
        </w:rPr>
        <w:t> </w:t>
      </w:r>
      <w:r>
        <w:rPr/>
        <w:t>between</w:t>
      </w:r>
      <w:r>
        <w:rPr>
          <w:spacing w:val="-4"/>
        </w:rPr>
        <w:t> </w:t>
      </w:r>
      <w:r>
        <w:rPr>
          <w:spacing w:val="-2"/>
        </w:rPr>
        <w:t>students</w:t>
      </w:r>
    </w:p>
    <w:p>
      <w:pPr>
        <w:pStyle w:val="ListParagraph"/>
        <w:numPr>
          <w:ilvl w:val="0"/>
          <w:numId w:val="358"/>
        </w:numPr>
        <w:tabs>
          <w:tab w:pos="786" w:val="left" w:leader="none"/>
        </w:tabs>
        <w:spacing w:line="208" w:lineRule="auto" w:before="233" w:after="0"/>
        <w:ind w:left="360" w:right="738" w:firstLine="0"/>
        <w:jc w:val="left"/>
        <w:rPr>
          <w:sz w:val="24"/>
        </w:rPr>
      </w:pPr>
      <w:r>
        <w:rPr>
          <w:sz w:val="24"/>
        </w:rPr>
        <w:t>The incident will be reported to the school social worker or designee. Upon</w:t>
      </w:r>
      <w:r>
        <w:rPr>
          <w:spacing w:val="40"/>
          <w:sz w:val="24"/>
        </w:rPr>
        <w:t> </w:t>
      </w:r>
      <w:r>
        <w:rPr>
          <w:sz w:val="24"/>
        </w:rPr>
        <w:t>receiving</w:t>
      </w:r>
      <w:r>
        <w:rPr>
          <w:spacing w:val="-3"/>
          <w:sz w:val="24"/>
        </w:rPr>
        <w:t> </w:t>
      </w:r>
      <w:r>
        <w:rPr>
          <w:sz w:val="24"/>
        </w:rPr>
        <w:t>the</w:t>
      </w:r>
      <w:r>
        <w:rPr>
          <w:spacing w:val="-3"/>
          <w:sz w:val="24"/>
        </w:rPr>
        <w:t> </w:t>
      </w:r>
      <w:r>
        <w:rPr>
          <w:sz w:val="24"/>
        </w:rPr>
        <w:t>report,</w:t>
      </w:r>
      <w:r>
        <w:rPr>
          <w:spacing w:val="-4"/>
          <w:sz w:val="24"/>
        </w:rPr>
        <w:t> </w:t>
      </w:r>
      <w:r>
        <w:rPr>
          <w:sz w:val="24"/>
        </w:rPr>
        <w:t>the</w:t>
      </w:r>
      <w:r>
        <w:rPr>
          <w:spacing w:val="-3"/>
          <w:sz w:val="24"/>
        </w:rPr>
        <w:t> </w:t>
      </w:r>
      <w:r>
        <w:rPr>
          <w:sz w:val="24"/>
        </w:rPr>
        <w:t>social</w:t>
      </w:r>
      <w:r>
        <w:rPr>
          <w:spacing w:val="-3"/>
          <w:sz w:val="24"/>
        </w:rPr>
        <w:t> </w:t>
      </w:r>
      <w:r>
        <w:rPr>
          <w:sz w:val="24"/>
        </w:rPr>
        <w:t>worker</w:t>
      </w:r>
      <w:r>
        <w:rPr>
          <w:spacing w:val="-2"/>
          <w:sz w:val="24"/>
        </w:rPr>
        <w:t> </w:t>
      </w:r>
      <w:r>
        <w:rPr>
          <w:sz w:val="24"/>
        </w:rPr>
        <w:t>or</w:t>
      </w:r>
      <w:r>
        <w:rPr>
          <w:spacing w:val="-4"/>
          <w:sz w:val="24"/>
        </w:rPr>
        <w:t> </w:t>
      </w:r>
      <w:r>
        <w:rPr>
          <w:sz w:val="24"/>
        </w:rPr>
        <w:t>designee,</w:t>
      </w:r>
      <w:r>
        <w:rPr>
          <w:spacing w:val="-2"/>
          <w:sz w:val="24"/>
        </w:rPr>
        <w:t> </w:t>
      </w:r>
      <w:r>
        <w:rPr>
          <w:sz w:val="24"/>
        </w:rPr>
        <w:t>an</w:t>
      </w:r>
      <w:r>
        <w:rPr>
          <w:spacing w:val="-3"/>
          <w:sz w:val="24"/>
        </w:rPr>
        <w:t> </w:t>
      </w:r>
      <w:r>
        <w:rPr>
          <w:sz w:val="24"/>
        </w:rPr>
        <w:t>investigation</w:t>
      </w:r>
      <w:r>
        <w:rPr>
          <w:spacing w:val="-2"/>
          <w:sz w:val="24"/>
        </w:rPr>
        <w:t> </w:t>
      </w:r>
      <w:r>
        <w:rPr>
          <w:sz w:val="24"/>
        </w:rPr>
        <w:t>will</w:t>
      </w:r>
      <w:r>
        <w:rPr>
          <w:spacing w:val="-3"/>
          <w:sz w:val="24"/>
        </w:rPr>
        <w:t> </w:t>
      </w:r>
      <w:r>
        <w:rPr>
          <w:sz w:val="24"/>
        </w:rPr>
        <w:t>be</w:t>
      </w:r>
      <w:r>
        <w:rPr>
          <w:spacing w:val="-3"/>
          <w:sz w:val="24"/>
        </w:rPr>
        <w:t> </w:t>
      </w:r>
      <w:r>
        <w:rPr>
          <w:sz w:val="24"/>
        </w:rPr>
        <w:t>conducted</w:t>
      </w:r>
      <w:r>
        <w:rPr>
          <w:spacing w:val="-3"/>
          <w:sz w:val="24"/>
        </w:rPr>
        <w:t> </w:t>
      </w:r>
      <w:r>
        <w:rPr>
          <w:sz w:val="24"/>
        </w:rPr>
        <w:t>by the social worker, designee, appropriate principal, dorm coordinator (YGSIV), or counselor. Students named will be interviewed and documentation of interviews noted. Any personal interview or physical inspection of the student will be conducted in a considerate, professional manner. Student Health Services staff and a counselor will be included as appropriate.</w:t>
      </w:r>
    </w:p>
    <w:p>
      <w:pPr>
        <w:pStyle w:val="ListParagraph"/>
        <w:numPr>
          <w:ilvl w:val="0"/>
          <w:numId w:val="358"/>
        </w:numPr>
        <w:tabs>
          <w:tab w:pos="786" w:val="left" w:leader="none"/>
        </w:tabs>
        <w:spacing w:line="208" w:lineRule="auto" w:before="239" w:after="0"/>
        <w:ind w:left="360" w:right="1099" w:firstLine="0"/>
        <w:jc w:val="left"/>
        <w:rPr>
          <w:sz w:val="24"/>
        </w:rPr>
      </w:pPr>
      <w:r>
        <w:rPr>
          <w:sz w:val="24"/>
        </w:rPr>
        <w:t>All</w:t>
      </w:r>
      <w:r>
        <w:rPr>
          <w:spacing w:val="-2"/>
          <w:sz w:val="24"/>
        </w:rPr>
        <w:t> </w:t>
      </w:r>
      <w:r>
        <w:rPr>
          <w:sz w:val="24"/>
        </w:rPr>
        <w:t>reports</w:t>
      </w:r>
      <w:r>
        <w:rPr>
          <w:spacing w:val="-2"/>
          <w:sz w:val="24"/>
        </w:rPr>
        <w:t> </w:t>
      </w:r>
      <w:r>
        <w:rPr>
          <w:sz w:val="24"/>
        </w:rPr>
        <w:t>will</w:t>
      </w:r>
      <w:r>
        <w:rPr>
          <w:spacing w:val="-2"/>
          <w:sz w:val="24"/>
        </w:rPr>
        <w:t> </w:t>
      </w:r>
      <w:r>
        <w:rPr>
          <w:sz w:val="24"/>
        </w:rPr>
        <w:t>be</w:t>
      </w:r>
      <w:r>
        <w:rPr>
          <w:spacing w:val="-2"/>
          <w:sz w:val="24"/>
        </w:rPr>
        <w:t> </w:t>
      </w:r>
      <w:r>
        <w:rPr>
          <w:sz w:val="24"/>
        </w:rPr>
        <w:t>called</w:t>
      </w:r>
      <w:r>
        <w:rPr>
          <w:spacing w:val="-2"/>
          <w:sz w:val="24"/>
        </w:rPr>
        <w:t> </w:t>
      </w:r>
      <w:r>
        <w:rPr>
          <w:sz w:val="24"/>
        </w:rPr>
        <w:t>into</w:t>
      </w:r>
      <w:r>
        <w:rPr>
          <w:spacing w:val="-2"/>
          <w:sz w:val="24"/>
        </w:rPr>
        <w:t> </w:t>
      </w:r>
      <w:r>
        <w:rPr>
          <w:sz w:val="24"/>
        </w:rPr>
        <w:t>the</w:t>
      </w:r>
      <w:r>
        <w:rPr>
          <w:spacing w:val="-2"/>
          <w:sz w:val="24"/>
        </w:rPr>
        <w:t> </w:t>
      </w:r>
      <w:r>
        <w:rPr>
          <w:sz w:val="24"/>
        </w:rPr>
        <w:t>DHS</w:t>
      </w:r>
      <w:r>
        <w:rPr>
          <w:spacing w:val="-2"/>
          <w:sz w:val="24"/>
        </w:rPr>
        <w:t> </w:t>
      </w:r>
      <w:r>
        <w:rPr>
          <w:sz w:val="24"/>
        </w:rPr>
        <w:t>Office</w:t>
      </w:r>
      <w:r>
        <w:rPr>
          <w:spacing w:val="-2"/>
          <w:sz w:val="24"/>
        </w:rPr>
        <w:t> </w:t>
      </w:r>
      <w:r>
        <w:rPr>
          <w:sz w:val="24"/>
        </w:rPr>
        <w:t>of</w:t>
      </w:r>
      <w:r>
        <w:rPr>
          <w:spacing w:val="-1"/>
          <w:sz w:val="24"/>
        </w:rPr>
        <w:t> </w:t>
      </w:r>
      <w:r>
        <w:rPr>
          <w:sz w:val="24"/>
        </w:rPr>
        <w:t>Client</w:t>
      </w:r>
      <w:r>
        <w:rPr>
          <w:spacing w:val="-1"/>
          <w:sz w:val="24"/>
        </w:rPr>
        <w:t> </w:t>
      </w:r>
      <w:r>
        <w:rPr>
          <w:sz w:val="24"/>
        </w:rPr>
        <w:t>Advocacy</w:t>
      </w:r>
      <w:r>
        <w:rPr>
          <w:spacing w:val="-2"/>
          <w:sz w:val="24"/>
        </w:rPr>
        <w:t> </w:t>
      </w:r>
      <w:r>
        <w:rPr>
          <w:sz w:val="24"/>
        </w:rPr>
        <w:t>regardless</w:t>
      </w:r>
      <w:r>
        <w:rPr>
          <w:spacing w:val="-2"/>
          <w:sz w:val="24"/>
        </w:rPr>
        <w:t> </w:t>
      </w:r>
      <w:r>
        <w:rPr>
          <w:sz w:val="24"/>
        </w:rPr>
        <w:t>of</w:t>
      </w:r>
      <w:r>
        <w:rPr>
          <w:spacing w:val="-3"/>
          <w:sz w:val="24"/>
        </w:rPr>
        <w:t> </w:t>
      </w:r>
      <w:r>
        <w:rPr>
          <w:sz w:val="24"/>
        </w:rPr>
        <w:t>the interview results. The Office of Client Advocacy will determine whether they need to investigate the incident for staff neglect. Parents will be notified by the school social worker</w:t>
      </w:r>
      <w:r>
        <w:rPr>
          <w:spacing w:val="-3"/>
          <w:sz w:val="24"/>
        </w:rPr>
        <w:t> </w:t>
      </w:r>
      <w:r>
        <w:rPr>
          <w:sz w:val="24"/>
        </w:rPr>
        <w:t>or</w:t>
      </w:r>
      <w:r>
        <w:rPr>
          <w:spacing w:val="-3"/>
          <w:sz w:val="24"/>
        </w:rPr>
        <w:t> </w:t>
      </w:r>
      <w:r>
        <w:rPr>
          <w:sz w:val="24"/>
        </w:rPr>
        <w:t>designee</w:t>
      </w:r>
      <w:r>
        <w:rPr>
          <w:spacing w:val="-4"/>
          <w:sz w:val="24"/>
        </w:rPr>
        <w:t> </w:t>
      </w:r>
      <w:r>
        <w:rPr>
          <w:sz w:val="24"/>
        </w:rPr>
        <w:t>to</w:t>
      </w:r>
      <w:r>
        <w:rPr>
          <w:spacing w:val="-4"/>
          <w:sz w:val="24"/>
        </w:rPr>
        <w:t> </w:t>
      </w:r>
      <w:r>
        <w:rPr>
          <w:sz w:val="24"/>
        </w:rPr>
        <w:t>report</w:t>
      </w:r>
      <w:r>
        <w:rPr>
          <w:spacing w:val="-3"/>
          <w:sz w:val="24"/>
        </w:rPr>
        <w:t> </w:t>
      </w:r>
      <w:r>
        <w:rPr>
          <w:sz w:val="24"/>
        </w:rPr>
        <w:t>the</w:t>
      </w:r>
      <w:r>
        <w:rPr>
          <w:spacing w:val="-4"/>
          <w:sz w:val="24"/>
        </w:rPr>
        <w:t> </w:t>
      </w:r>
      <w:r>
        <w:rPr>
          <w:sz w:val="24"/>
        </w:rPr>
        <w:t>incident</w:t>
      </w:r>
      <w:r>
        <w:rPr>
          <w:spacing w:val="-3"/>
          <w:sz w:val="24"/>
        </w:rPr>
        <w:t> </w:t>
      </w:r>
      <w:r>
        <w:rPr>
          <w:sz w:val="24"/>
        </w:rPr>
        <w:t>and</w:t>
      </w:r>
      <w:r>
        <w:rPr>
          <w:spacing w:val="-4"/>
          <w:sz w:val="24"/>
        </w:rPr>
        <w:t> </w:t>
      </w:r>
      <w:r>
        <w:rPr>
          <w:sz w:val="24"/>
        </w:rPr>
        <w:t>the</w:t>
      </w:r>
      <w:r>
        <w:rPr>
          <w:spacing w:val="-4"/>
          <w:sz w:val="24"/>
        </w:rPr>
        <w:t> </w:t>
      </w:r>
      <w:r>
        <w:rPr>
          <w:sz w:val="24"/>
        </w:rPr>
        <w:t>actions</w:t>
      </w:r>
      <w:r>
        <w:rPr>
          <w:spacing w:val="-4"/>
          <w:sz w:val="24"/>
        </w:rPr>
        <w:t> </w:t>
      </w:r>
      <w:r>
        <w:rPr>
          <w:sz w:val="24"/>
        </w:rPr>
        <w:t>taken.</w:t>
      </w:r>
      <w:r>
        <w:rPr>
          <w:spacing w:val="-3"/>
          <w:sz w:val="24"/>
        </w:rPr>
        <w:t> </w:t>
      </w:r>
      <w:r>
        <w:rPr>
          <w:sz w:val="24"/>
        </w:rPr>
        <w:t>Parents</w:t>
      </w:r>
      <w:r>
        <w:rPr>
          <w:spacing w:val="-4"/>
          <w:sz w:val="24"/>
        </w:rPr>
        <w:t> </w:t>
      </w:r>
      <w:r>
        <w:rPr>
          <w:sz w:val="24"/>
        </w:rPr>
        <w:t>will</w:t>
      </w:r>
      <w:r>
        <w:rPr>
          <w:spacing w:val="-3"/>
          <w:sz w:val="24"/>
        </w:rPr>
        <w:t> </w:t>
      </w:r>
      <w:r>
        <w:rPr>
          <w:sz w:val="24"/>
        </w:rPr>
        <w:t>be</w:t>
      </w:r>
      <w:r>
        <w:rPr>
          <w:spacing w:val="-4"/>
          <w:sz w:val="24"/>
        </w:rPr>
        <w:t> </w:t>
      </w:r>
      <w:r>
        <w:rPr>
          <w:sz w:val="24"/>
        </w:rPr>
        <w:t>given progress reports in a timely fashion.</w:t>
      </w:r>
    </w:p>
    <w:p>
      <w:pPr>
        <w:pStyle w:val="ListParagraph"/>
        <w:numPr>
          <w:ilvl w:val="0"/>
          <w:numId w:val="358"/>
        </w:numPr>
        <w:tabs>
          <w:tab w:pos="772" w:val="left" w:leader="none"/>
        </w:tabs>
        <w:spacing w:line="208" w:lineRule="auto" w:before="240" w:after="0"/>
        <w:ind w:left="359" w:right="924" w:firstLine="0"/>
        <w:jc w:val="left"/>
        <w:rPr>
          <w:sz w:val="24"/>
        </w:rPr>
      </w:pPr>
      <w:r>
        <w:rPr>
          <w:sz w:val="24"/>
        </w:rPr>
        <w:t>The</w:t>
      </w:r>
      <w:r>
        <w:rPr>
          <w:spacing w:val="-5"/>
          <w:sz w:val="24"/>
        </w:rPr>
        <w:t> </w:t>
      </w:r>
      <w:r>
        <w:rPr>
          <w:sz w:val="24"/>
        </w:rPr>
        <w:t>Superintendent</w:t>
      </w:r>
      <w:r>
        <w:rPr>
          <w:spacing w:val="-4"/>
          <w:sz w:val="24"/>
        </w:rPr>
        <w:t> </w:t>
      </w:r>
      <w:r>
        <w:rPr>
          <w:sz w:val="24"/>
        </w:rPr>
        <w:t>and/or</w:t>
      </w:r>
      <w:r>
        <w:rPr>
          <w:spacing w:val="-4"/>
          <w:sz w:val="24"/>
        </w:rPr>
        <w:t> </w:t>
      </w:r>
      <w:r>
        <w:rPr>
          <w:sz w:val="24"/>
        </w:rPr>
        <w:t>program</w:t>
      </w:r>
      <w:r>
        <w:rPr>
          <w:spacing w:val="-4"/>
          <w:sz w:val="24"/>
        </w:rPr>
        <w:t> </w:t>
      </w:r>
      <w:r>
        <w:rPr>
          <w:sz w:val="24"/>
        </w:rPr>
        <w:t>supervisor</w:t>
      </w:r>
      <w:r>
        <w:rPr>
          <w:spacing w:val="-4"/>
          <w:sz w:val="24"/>
        </w:rPr>
        <w:t> </w:t>
      </w:r>
      <w:r>
        <w:rPr>
          <w:sz w:val="24"/>
        </w:rPr>
        <w:t>will</w:t>
      </w:r>
      <w:r>
        <w:rPr>
          <w:spacing w:val="-4"/>
          <w:sz w:val="24"/>
        </w:rPr>
        <w:t> </w:t>
      </w:r>
      <w:r>
        <w:rPr>
          <w:sz w:val="24"/>
        </w:rPr>
        <w:t>immediately</w:t>
      </w:r>
      <w:r>
        <w:rPr>
          <w:spacing w:val="-5"/>
          <w:sz w:val="24"/>
        </w:rPr>
        <w:t> </w:t>
      </w:r>
      <w:r>
        <w:rPr>
          <w:sz w:val="24"/>
        </w:rPr>
        <w:t>contact</w:t>
      </w:r>
      <w:r>
        <w:rPr>
          <w:spacing w:val="-6"/>
          <w:sz w:val="24"/>
        </w:rPr>
        <w:t> </w:t>
      </w:r>
      <w:r>
        <w:rPr>
          <w:sz w:val="24"/>
        </w:rPr>
        <w:t>the</w:t>
      </w:r>
      <w:r>
        <w:rPr>
          <w:spacing w:val="-5"/>
          <w:sz w:val="24"/>
        </w:rPr>
        <w:t> </w:t>
      </w:r>
      <w:r>
        <w:rPr>
          <w:sz w:val="24"/>
        </w:rPr>
        <w:t>proper authorities and temporarily separate involved students for the safety of the student(s) believed to be in danger from continued contact. A reported incident of inappropriate body contact between students with an age difference of three or more years will be reported to DHS Child Welfare and/or the police as appropriate. A reported incident of abuse</w:t>
      </w:r>
      <w:r>
        <w:rPr>
          <w:spacing w:val="-2"/>
          <w:sz w:val="24"/>
        </w:rPr>
        <w:t> </w:t>
      </w:r>
      <w:r>
        <w:rPr>
          <w:sz w:val="24"/>
        </w:rPr>
        <w:t>to</w:t>
      </w:r>
      <w:r>
        <w:rPr>
          <w:spacing w:val="-3"/>
          <w:sz w:val="24"/>
        </w:rPr>
        <w:t> </w:t>
      </w:r>
      <w:r>
        <w:rPr>
          <w:sz w:val="24"/>
        </w:rPr>
        <w:t>a</w:t>
      </w:r>
      <w:r>
        <w:rPr>
          <w:spacing w:val="-2"/>
          <w:sz w:val="24"/>
        </w:rPr>
        <w:t> </w:t>
      </w:r>
      <w:r>
        <w:rPr>
          <w:sz w:val="24"/>
        </w:rPr>
        <w:t>minor</w:t>
      </w:r>
      <w:r>
        <w:rPr>
          <w:spacing w:val="-2"/>
          <w:sz w:val="24"/>
        </w:rPr>
        <w:t> </w:t>
      </w:r>
      <w:r>
        <w:rPr>
          <w:sz w:val="24"/>
        </w:rPr>
        <w:t>child</w:t>
      </w:r>
      <w:r>
        <w:rPr>
          <w:spacing w:val="-2"/>
          <w:sz w:val="24"/>
        </w:rPr>
        <w:t> </w:t>
      </w:r>
      <w:r>
        <w:rPr>
          <w:sz w:val="24"/>
        </w:rPr>
        <w:t>by</w:t>
      </w:r>
      <w:r>
        <w:rPr>
          <w:spacing w:val="-2"/>
          <w:sz w:val="24"/>
        </w:rPr>
        <w:t> </w:t>
      </w:r>
      <w:r>
        <w:rPr>
          <w:sz w:val="24"/>
        </w:rPr>
        <w:t>a</w:t>
      </w:r>
      <w:r>
        <w:rPr>
          <w:spacing w:val="-3"/>
          <w:sz w:val="24"/>
        </w:rPr>
        <w:t> </w:t>
      </w:r>
      <w:r>
        <w:rPr>
          <w:sz w:val="24"/>
        </w:rPr>
        <w:t>student</w:t>
      </w:r>
      <w:r>
        <w:rPr>
          <w:spacing w:val="-2"/>
          <w:sz w:val="24"/>
        </w:rPr>
        <w:t> </w:t>
      </w:r>
      <w:r>
        <w:rPr>
          <w:sz w:val="24"/>
        </w:rPr>
        <w:t>who</w:t>
      </w:r>
      <w:r>
        <w:rPr>
          <w:spacing w:val="-2"/>
          <w:sz w:val="24"/>
        </w:rPr>
        <w:t> </w:t>
      </w:r>
      <w:r>
        <w:rPr>
          <w:sz w:val="24"/>
        </w:rPr>
        <w:t>is</w:t>
      </w:r>
      <w:r>
        <w:rPr>
          <w:spacing w:val="-3"/>
          <w:sz w:val="24"/>
        </w:rPr>
        <w:t> </w:t>
      </w:r>
      <w:r>
        <w:rPr>
          <w:sz w:val="24"/>
        </w:rPr>
        <w:t>18</w:t>
      </w:r>
      <w:r>
        <w:rPr>
          <w:spacing w:val="-2"/>
          <w:sz w:val="24"/>
        </w:rPr>
        <w:t> </w:t>
      </w:r>
      <w:r>
        <w:rPr>
          <w:sz w:val="24"/>
        </w:rPr>
        <w:t>years</w:t>
      </w:r>
      <w:r>
        <w:rPr>
          <w:spacing w:val="-3"/>
          <w:sz w:val="24"/>
        </w:rPr>
        <w:t> </w:t>
      </w:r>
      <w:r>
        <w:rPr>
          <w:sz w:val="24"/>
        </w:rPr>
        <w:t>of</w:t>
      </w:r>
      <w:r>
        <w:rPr>
          <w:spacing w:val="-3"/>
          <w:sz w:val="24"/>
        </w:rPr>
        <w:t> </w:t>
      </w:r>
      <w:r>
        <w:rPr>
          <w:sz w:val="24"/>
        </w:rPr>
        <w:t>age</w:t>
      </w:r>
      <w:r>
        <w:rPr>
          <w:spacing w:val="-2"/>
          <w:sz w:val="24"/>
        </w:rPr>
        <w:t> </w:t>
      </w:r>
      <w:r>
        <w:rPr>
          <w:sz w:val="24"/>
        </w:rPr>
        <w:t>or</w:t>
      </w:r>
      <w:r>
        <w:rPr>
          <w:spacing w:val="-2"/>
          <w:sz w:val="24"/>
        </w:rPr>
        <w:t> </w:t>
      </w:r>
      <w:r>
        <w:rPr>
          <w:sz w:val="24"/>
        </w:rPr>
        <w:t>above</w:t>
      </w:r>
      <w:r>
        <w:rPr>
          <w:spacing w:val="-2"/>
          <w:sz w:val="24"/>
        </w:rPr>
        <w:t> </w:t>
      </w:r>
      <w:r>
        <w:rPr>
          <w:sz w:val="24"/>
        </w:rPr>
        <w:t>will</w:t>
      </w:r>
      <w:r>
        <w:rPr>
          <w:spacing w:val="-3"/>
          <w:sz w:val="24"/>
        </w:rPr>
        <w:t> </w:t>
      </w:r>
      <w:r>
        <w:rPr>
          <w:sz w:val="24"/>
        </w:rPr>
        <w:t>be</w:t>
      </w:r>
      <w:r>
        <w:rPr>
          <w:spacing w:val="-2"/>
          <w:sz w:val="24"/>
        </w:rPr>
        <w:t> </w:t>
      </w:r>
      <w:r>
        <w:rPr>
          <w:sz w:val="24"/>
        </w:rPr>
        <w:t>reported</w:t>
      </w:r>
      <w:r>
        <w:rPr>
          <w:spacing w:val="-3"/>
          <w:sz w:val="24"/>
        </w:rPr>
        <w:t> </w:t>
      </w:r>
      <w:r>
        <w:rPr>
          <w:sz w:val="24"/>
        </w:rPr>
        <w:t>to the police. The methods in (1) through (7) will be used as appropriate to deal with incident and its effects:</w:t>
      </w:r>
    </w:p>
    <w:p>
      <w:pPr>
        <w:pStyle w:val="ListParagraph"/>
        <w:numPr>
          <w:ilvl w:val="1"/>
          <w:numId w:val="358"/>
        </w:numPr>
        <w:tabs>
          <w:tab w:pos="1217" w:val="left" w:leader="none"/>
        </w:tabs>
        <w:spacing w:line="240" w:lineRule="auto" w:before="210" w:after="0"/>
        <w:ind w:left="1217" w:right="0" w:hanging="426"/>
        <w:jc w:val="left"/>
        <w:rPr>
          <w:sz w:val="24"/>
        </w:rPr>
      </w:pPr>
      <w:r>
        <w:rPr>
          <w:sz w:val="24"/>
        </w:rPr>
        <w:t>separation</w:t>
      </w:r>
      <w:r>
        <w:rPr>
          <w:spacing w:val="-4"/>
          <w:sz w:val="24"/>
        </w:rPr>
        <w:t> </w:t>
      </w:r>
      <w:r>
        <w:rPr>
          <w:sz w:val="24"/>
        </w:rPr>
        <w:t>of</w:t>
      </w:r>
      <w:r>
        <w:rPr>
          <w:spacing w:val="-3"/>
          <w:sz w:val="24"/>
        </w:rPr>
        <w:t> </w:t>
      </w:r>
      <w:r>
        <w:rPr>
          <w:sz w:val="24"/>
        </w:rPr>
        <w:t>the</w:t>
      </w:r>
      <w:r>
        <w:rPr>
          <w:spacing w:val="-4"/>
          <w:sz w:val="24"/>
        </w:rPr>
        <w:t> </w:t>
      </w:r>
      <w:r>
        <w:rPr>
          <w:sz w:val="24"/>
        </w:rPr>
        <w:t>students</w:t>
      </w:r>
      <w:r>
        <w:rPr>
          <w:spacing w:val="-3"/>
          <w:sz w:val="24"/>
        </w:rPr>
        <w:t> </w:t>
      </w:r>
      <w:r>
        <w:rPr>
          <w:spacing w:val="-2"/>
          <w:sz w:val="24"/>
        </w:rPr>
        <w:t>involved;</w:t>
      </w:r>
    </w:p>
    <w:p>
      <w:pPr>
        <w:pStyle w:val="ListParagraph"/>
        <w:numPr>
          <w:ilvl w:val="1"/>
          <w:numId w:val="358"/>
        </w:numPr>
        <w:tabs>
          <w:tab w:pos="1218" w:val="left" w:leader="none"/>
        </w:tabs>
        <w:spacing w:line="240" w:lineRule="auto" w:before="204" w:after="0"/>
        <w:ind w:left="1218" w:right="0" w:hanging="426"/>
        <w:jc w:val="left"/>
        <w:rPr>
          <w:sz w:val="24"/>
        </w:rPr>
      </w:pPr>
      <w:r>
        <w:rPr>
          <w:spacing w:val="-2"/>
          <w:sz w:val="24"/>
        </w:rPr>
        <w:t>counseling;</w:t>
      </w:r>
    </w:p>
    <w:p>
      <w:pPr>
        <w:pStyle w:val="ListParagraph"/>
        <w:numPr>
          <w:ilvl w:val="1"/>
          <w:numId w:val="358"/>
        </w:numPr>
        <w:tabs>
          <w:tab w:pos="1217" w:val="left" w:leader="none"/>
        </w:tabs>
        <w:spacing w:line="240" w:lineRule="auto" w:before="204" w:after="0"/>
        <w:ind w:left="1217" w:right="0" w:hanging="425"/>
        <w:jc w:val="left"/>
        <w:rPr>
          <w:sz w:val="24"/>
        </w:rPr>
      </w:pPr>
      <w:r>
        <w:rPr>
          <w:sz w:val="24"/>
        </w:rPr>
        <w:t>restriction</w:t>
      </w:r>
      <w:r>
        <w:rPr>
          <w:spacing w:val="-4"/>
          <w:sz w:val="24"/>
        </w:rPr>
        <w:t> </w:t>
      </w:r>
      <w:r>
        <w:rPr>
          <w:sz w:val="24"/>
        </w:rPr>
        <w:t>of</w:t>
      </w:r>
      <w:r>
        <w:rPr>
          <w:spacing w:val="-3"/>
          <w:sz w:val="24"/>
        </w:rPr>
        <w:t> </w:t>
      </w:r>
      <w:r>
        <w:rPr>
          <w:sz w:val="24"/>
        </w:rPr>
        <w:t>student's</w:t>
      </w:r>
      <w:r>
        <w:rPr>
          <w:spacing w:val="-3"/>
          <w:sz w:val="24"/>
        </w:rPr>
        <w:t> </w:t>
      </w:r>
      <w:r>
        <w:rPr>
          <w:spacing w:val="-2"/>
          <w:sz w:val="24"/>
        </w:rPr>
        <w:t>activities;</w:t>
      </w:r>
    </w:p>
    <w:p>
      <w:pPr>
        <w:pStyle w:val="ListParagraph"/>
        <w:numPr>
          <w:ilvl w:val="1"/>
          <w:numId w:val="358"/>
        </w:numPr>
        <w:tabs>
          <w:tab w:pos="1218" w:val="left" w:leader="none"/>
        </w:tabs>
        <w:spacing w:line="240" w:lineRule="auto" w:before="204" w:after="0"/>
        <w:ind w:left="1218" w:right="0" w:hanging="426"/>
        <w:jc w:val="left"/>
        <w:rPr>
          <w:sz w:val="24"/>
        </w:rPr>
      </w:pPr>
      <w:r>
        <w:rPr>
          <w:sz w:val="24"/>
        </w:rPr>
        <w:t>parent</w:t>
      </w:r>
      <w:r>
        <w:rPr>
          <w:spacing w:val="-8"/>
          <w:sz w:val="24"/>
        </w:rPr>
        <w:t> </w:t>
      </w:r>
      <w:r>
        <w:rPr>
          <w:spacing w:val="-2"/>
          <w:sz w:val="24"/>
        </w:rPr>
        <w:t>conference;</w:t>
      </w:r>
    </w:p>
    <w:p>
      <w:pPr>
        <w:pStyle w:val="ListParagraph"/>
        <w:numPr>
          <w:ilvl w:val="1"/>
          <w:numId w:val="358"/>
        </w:numPr>
        <w:tabs>
          <w:tab w:pos="1217" w:val="left" w:leader="none"/>
        </w:tabs>
        <w:spacing w:line="240" w:lineRule="auto" w:before="204" w:after="0"/>
        <w:ind w:left="1217" w:right="0" w:hanging="425"/>
        <w:jc w:val="left"/>
        <w:rPr>
          <w:sz w:val="24"/>
        </w:rPr>
      </w:pPr>
      <w:r>
        <w:rPr>
          <w:sz w:val="24"/>
        </w:rPr>
        <w:t>referral</w:t>
      </w:r>
      <w:r>
        <w:rPr>
          <w:spacing w:val="-3"/>
          <w:sz w:val="24"/>
        </w:rPr>
        <w:t> </w:t>
      </w:r>
      <w:r>
        <w:rPr>
          <w:sz w:val="24"/>
        </w:rPr>
        <w:t>to</w:t>
      </w:r>
      <w:r>
        <w:rPr>
          <w:spacing w:val="-4"/>
          <w:sz w:val="24"/>
        </w:rPr>
        <w:t> </w:t>
      </w:r>
      <w:r>
        <w:rPr>
          <w:sz w:val="24"/>
        </w:rPr>
        <w:t>the</w:t>
      </w:r>
      <w:r>
        <w:rPr>
          <w:spacing w:val="-3"/>
          <w:sz w:val="24"/>
        </w:rPr>
        <w:t> </w:t>
      </w:r>
      <w:r>
        <w:rPr>
          <w:sz w:val="24"/>
        </w:rPr>
        <w:t>Discipline</w:t>
      </w:r>
      <w:r>
        <w:rPr>
          <w:spacing w:val="-2"/>
          <w:sz w:val="24"/>
        </w:rPr>
        <w:t> Committee;</w:t>
      </w:r>
    </w:p>
    <w:p>
      <w:pPr>
        <w:pStyle w:val="ListParagraph"/>
        <w:numPr>
          <w:ilvl w:val="1"/>
          <w:numId w:val="358"/>
        </w:numPr>
        <w:tabs>
          <w:tab w:pos="1217" w:val="left" w:leader="none"/>
        </w:tabs>
        <w:spacing w:line="240" w:lineRule="auto" w:before="204" w:after="0"/>
        <w:ind w:left="1217" w:right="0" w:hanging="425"/>
        <w:jc w:val="left"/>
        <w:rPr>
          <w:sz w:val="24"/>
        </w:rPr>
      </w:pPr>
      <w:r>
        <w:rPr>
          <w:sz w:val="24"/>
        </w:rPr>
        <w:t>referral</w:t>
      </w:r>
      <w:r>
        <w:rPr>
          <w:spacing w:val="-3"/>
          <w:sz w:val="24"/>
        </w:rPr>
        <w:t> </w:t>
      </w:r>
      <w:r>
        <w:rPr>
          <w:sz w:val="24"/>
        </w:rPr>
        <w:t>to</w:t>
      </w:r>
      <w:r>
        <w:rPr>
          <w:spacing w:val="-3"/>
          <w:sz w:val="24"/>
        </w:rPr>
        <w:t> </w:t>
      </w:r>
      <w:r>
        <w:rPr>
          <w:sz w:val="24"/>
        </w:rPr>
        <w:t>outside</w:t>
      </w:r>
      <w:r>
        <w:rPr>
          <w:spacing w:val="-3"/>
          <w:sz w:val="24"/>
        </w:rPr>
        <w:t> </w:t>
      </w:r>
      <w:r>
        <w:rPr>
          <w:spacing w:val="-2"/>
          <w:sz w:val="24"/>
        </w:rPr>
        <w:t>counseling;</w:t>
      </w:r>
    </w:p>
    <w:p>
      <w:pPr>
        <w:pStyle w:val="ListParagraph"/>
        <w:numPr>
          <w:ilvl w:val="1"/>
          <w:numId w:val="358"/>
        </w:numPr>
        <w:tabs>
          <w:tab w:pos="1217" w:val="left" w:leader="none"/>
        </w:tabs>
        <w:spacing w:line="240" w:lineRule="auto" w:before="204" w:after="0"/>
        <w:ind w:left="1217" w:right="0" w:hanging="425"/>
        <w:jc w:val="left"/>
        <w:rPr>
          <w:sz w:val="24"/>
        </w:rPr>
      </w:pPr>
      <w:r>
        <w:rPr>
          <w:sz w:val="24"/>
        </w:rPr>
        <w:t>review</w:t>
      </w:r>
      <w:r>
        <w:rPr>
          <w:spacing w:val="-2"/>
          <w:sz w:val="24"/>
        </w:rPr>
        <w:t> </w:t>
      </w:r>
      <w:r>
        <w:rPr>
          <w:sz w:val="24"/>
        </w:rPr>
        <w:t>of</w:t>
      </w:r>
      <w:r>
        <w:rPr>
          <w:spacing w:val="-1"/>
          <w:sz w:val="24"/>
        </w:rPr>
        <w:t> </w:t>
      </w:r>
      <w:r>
        <w:rPr>
          <w:spacing w:val="-2"/>
          <w:sz w:val="24"/>
        </w:rPr>
        <w:t>placement.</w:t>
      </w:r>
    </w:p>
    <w:p>
      <w:pPr>
        <w:spacing w:before="237"/>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292"/>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#95-</w:t>
      </w:r>
      <w:r>
        <w:rPr>
          <w:spacing w:val="-10"/>
          <w:sz w:val="22"/>
        </w:rPr>
        <w:t>2</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spacing w:after="0" w:line="253" w:lineRule="exact"/>
        <w:jc w:val="left"/>
        <w:rPr>
          <w:sz w:val="22"/>
        </w:rPr>
        <w:sectPr>
          <w:pgSz w:w="12240" w:h="15840"/>
          <w:pgMar w:top="1340" w:bottom="280" w:left="1080" w:right="720"/>
        </w:sectPr>
      </w:pPr>
    </w:p>
    <w:p>
      <w:pPr>
        <w:pStyle w:val="Heading2"/>
        <w:spacing w:line="208" w:lineRule="auto" w:before="96"/>
        <w:ind w:right="775"/>
      </w:pPr>
      <w:bookmarkStart w:name="612:20-3-26.  Special procedures for pre" w:id="357"/>
      <w:bookmarkEnd w:id="357"/>
      <w:r>
        <w:rPr>
          <w:b w:val="0"/>
        </w:rPr>
      </w:r>
      <w:r>
        <w:rPr/>
        <w:t>612:20-3-26.</w:t>
      </w:r>
      <w:r>
        <w:rPr>
          <w:spacing w:val="40"/>
        </w:rPr>
        <w:t> </w:t>
      </w:r>
      <w:r>
        <w:rPr/>
        <w:t>Special</w:t>
      </w:r>
      <w:r>
        <w:rPr>
          <w:spacing w:val="-6"/>
        </w:rPr>
        <w:t> </w:t>
      </w:r>
      <w:r>
        <w:rPr/>
        <w:t>procedures</w:t>
      </w:r>
      <w:r>
        <w:rPr>
          <w:spacing w:val="-5"/>
        </w:rPr>
        <w:t> </w:t>
      </w:r>
      <w:r>
        <w:rPr/>
        <w:t>for</w:t>
      </w:r>
      <w:r>
        <w:rPr>
          <w:spacing w:val="-5"/>
        </w:rPr>
        <w:t> </w:t>
      </w:r>
      <w:r>
        <w:rPr/>
        <w:t>prevention</w:t>
      </w:r>
      <w:r>
        <w:rPr>
          <w:spacing w:val="-5"/>
        </w:rPr>
        <w:t> </w:t>
      </w:r>
      <w:r>
        <w:rPr/>
        <w:t>of</w:t>
      </w:r>
      <w:r>
        <w:rPr>
          <w:spacing w:val="-4"/>
        </w:rPr>
        <w:t> </w:t>
      </w:r>
      <w:r>
        <w:rPr/>
        <w:t>abuse,</w:t>
      </w:r>
      <w:r>
        <w:rPr>
          <w:spacing w:val="-4"/>
        </w:rPr>
        <w:t> </w:t>
      </w:r>
      <w:r>
        <w:rPr/>
        <w:t>neglect,</w:t>
      </w:r>
      <w:r>
        <w:rPr>
          <w:spacing w:val="-4"/>
        </w:rPr>
        <w:t> </w:t>
      </w:r>
      <w:r>
        <w:rPr/>
        <w:t>and inappropriate body contact</w:t>
      </w:r>
    </w:p>
    <w:p>
      <w:pPr>
        <w:pStyle w:val="ListParagraph"/>
        <w:numPr>
          <w:ilvl w:val="0"/>
          <w:numId w:val="359"/>
        </w:numPr>
        <w:tabs>
          <w:tab w:pos="786" w:val="left" w:leader="none"/>
        </w:tabs>
        <w:spacing w:line="208" w:lineRule="auto" w:before="240" w:after="0"/>
        <w:ind w:left="360" w:right="1124" w:firstLine="0"/>
        <w:jc w:val="both"/>
        <w:rPr>
          <w:sz w:val="24"/>
        </w:rPr>
      </w:pPr>
      <w:r>
        <w:rPr>
          <w:sz w:val="24"/>
        </w:rPr>
        <w:t>Students</w:t>
      </w:r>
      <w:r>
        <w:rPr>
          <w:spacing w:val="-4"/>
          <w:sz w:val="24"/>
        </w:rPr>
        <w:t> </w:t>
      </w:r>
      <w:r>
        <w:rPr>
          <w:sz w:val="24"/>
        </w:rPr>
        <w:t>will</w:t>
      </w:r>
      <w:r>
        <w:rPr>
          <w:spacing w:val="-4"/>
          <w:sz w:val="24"/>
        </w:rPr>
        <w:t> </w:t>
      </w:r>
      <w:r>
        <w:rPr>
          <w:sz w:val="24"/>
        </w:rPr>
        <w:t>receive</w:t>
      </w:r>
      <w:r>
        <w:rPr>
          <w:spacing w:val="-4"/>
          <w:sz w:val="24"/>
        </w:rPr>
        <w:t> </w:t>
      </w:r>
      <w:r>
        <w:rPr>
          <w:sz w:val="24"/>
        </w:rPr>
        <w:t>group</w:t>
      </w:r>
      <w:r>
        <w:rPr>
          <w:spacing w:val="-4"/>
          <w:sz w:val="24"/>
        </w:rPr>
        <w:t> </w:t>
      </w:r>
      <w:r>
        <w:rPr>
          <w:sz w:val="24"/>
        </w:rPr>
        <w:t>instruction</w:t>
      </w:r>
      <w:r>
        <w:rPr>
          <w:spacing w:val="-4"/>
          <w:sz w:val="24"/>
        </w:rPr>
        <w:t> </w:t>
      </w:r>
      <w:r>
        <w:rPr>
          <w:sz w:val="24"/>
        </w:rPr>
        <w:t>on</w:t>
      </w:r>
      <w:r>
        <w:rPr>
          <w:spacing w:val="-4"/>
          <w:sz w:val="24"/>
        </w:rPr>
        <w:t> </w:t>
      </w:r>
      <w:r>
        <w:rPr>
          <w:sz w:val="24"/>
        </w:rPr>
        <w:t>the</w:t>
      </w:r>
      <w:r>
        <w:rPr>
          <w:spacing w:val="-4"/>
          <w:sz w:val="24"/>
        </w:rPr>
        <w:t> </w:t>
      </w:r>
      <w:r>
        <w:rPr>
          <w:sz w:val="24"/>
        </w:rPr>
        <w:t>meaning</w:t>
      </w:r>
      <w:r>
        <w:rPr>
          <w:spacing w:val="-4"/>
          <w:sz w:val="24"/>
        </w:rPr>
        <w:t> </w:t>
      </w:r>
      <w:r>
        <w:rPr>
          <w:sz w:val="24"/>
        </w:rPr>
        <w:t>of</w:t>
      </w:r>
      <w:r>
        <w:rPr>
          <w:spacing w:val="-3"/>
          <w:sz w:val="24"/>
        </w:rPr>
        <w:t> </w:t>
      </w:r>
      <w:r>
        <w:rPr>
          <w:sz w:val="24"/>
        </w:rPr>
        <w:t>improper</w:t>
      </w:r>
      <w:r>
        <w:rPr>
          <w:spacing w:val="-3"/>
          <w:sz w:val="24"/>
        </w:rPr>
        <w:t> </w:t>
      </w:r>
      <w:r>
        <w:rPr>
          <w:sz w:val="24"/>
        </w:rPr>
        <w:t>body</w:t>
      </w:r>
      <w:r>
        <w:rPr>
          <w:spacing w:val="-4"/>
          <w:sz w:val="24"/>
        </w:rPr>
        <w:t> </w:t>
      </w:r>
      <w:r>
        <w:rPr>
          <w:sz w:val="24"/>
        </w:rPr>
        <w:t>contact, abuse and neglect. Instruction will include risk factors</w:t>
      </w:r>
      <w:r>
        <w:rPr>
          <w:spacing w:val="-1"/>
          <w:sz w:val="24"/>
        </w:rPr>
        <w:t> </w:t>
      </w:r>
      <w:r>
        <w:rPr>
          <w:sz w:val="24"/>
        </w:rPr>
        <w:t>and how to keep oneself safe. This safety instruction will be conducted at least once annually.</w:t>
      </w:r>
    </w:p>
    <w:p>
      <w:pPr>
        <w:pStyle w:val="ListParagraph"/>
        <w:numPr>
          <w:ilvl w:val="0"/>
          <w:numId w:val="359"/>
        </w:numPr>
        <w:tabs>
          <w:tab w:pos="786" w:val="left" w:leader="none"/>
        </w:tabs>
        <w:spacing w:line="208" w:lineRule="auto" w:before="239" w:after="0"/>
        <w:ind w:left="360" w:right="1400" w:firstLine="0"/>
        <w:jc w:val="left"/>
        <w:rPr>
          <w:sz w:val="24"/>
        </w:rPr>
      </w:pPr>
      <w:r>
        <w:rPr>
          <w:sz w:val="24"/>
        </w:rPr>
        <w:t>All</w:t>
      </w:r>
      <w:r>
        <w:rPr>
          <w:spacing w:val="-4"/>
          <w:sz w:val="24"/>
        </w:rPr>
        <w:t> </w:t>
      </w:r>
      <w:r>
        <w:rPr>
          <w:sz w:val="24"/>
        </w:rPr>
        <w:t>staff</w:t>
      </w:r>
      <w:r>
        <w:rPr>
          <w:spacing w:val="-4"/>
          <w:sz w:val="24"/>
        </w:rPr>
        <w:t> </w:t>
      </w:r>
      <w:r>
        <w:rPr>
          <w:sz w:val="24"/>
        </w:rPr>
        <w:t>will</w:t>
      </w:r>
      <w:r>
        <w:rPr>
          <w:spacing w:val="-4"/>
          <w:sz w:val="24"/>
        </w:rPr>
        <w:t> </w:t>
      </w:r>
      <w:r>
        <w:rPr>
          <w:sz w:val="24"/>
        </w:rPr>
        <w:t>receive</w:t>
      </w:r>
      <w:r>
        <w:rPr>
          <w:spacing w:val="-4"/>
          <w:sz w:val="24"/>
        </w:rPr>
        <w:t> </w:t>
      </w:r>
      <w:r>
        <w:rPr>
          <w:sz w:val="24"/>
        </w:rPr>
        <w:t>information</w:t>
      </w:r>
      <w:r>
        <w:rPr>
          <w:spacing w:val="-4"/>
          <w:sz w:val="24"/>
        </w:rPr>
        <w:t> </w:t>
      </w:r>
      <w:r>
        <w:rPr>
          <w:sz w:val="24"/>
        </w:rPr>
        <w:t>and</w:t>
      </w:r>
      <w:r>
        <w:rPr>
          <w:spacing w:val="-4"/>
          <w:sz w:val="24"/>
        </w:rPr>
        <w:t> </w:t>
      </w:r>
      <w:r>
        <w:rPr>
          <w:sz w:val="24"/>
        </w:rPr>
        <w:t>training</w:t>
      </w:r>
      <w:r>
        <w:rPr>
          <w:spacing w:val="-4"/>
          <w:sz w:val="24"/>
        </w:rPr>
        <w:t> </w:t>
      </w:r>
      <w:r>
        <w:rPr>
          <w:sz w:val="24"/>
        </w:rPr>
        <w:t>on</w:t>
      </w:r>
      <w:r>
        <w:rPr>
          <w:spacing w:val="-4"/>
          <w:sz w:val="24"/>
        </w:rPr>
        <w:t> </w:t>
      </w:r>
      <w:r>
        <w:rPr>
          <w:sz w:val="24"/>
        </w:rPr>
        <w:t>the</w:t>
      </w:r>
      <w:r>
        <w:rPr>
          <w:spacing w:val="-3"/>
          <w:sz w:val="24"/>
        </w:rPr>
        <w:t> </w:t>
      </w:r>
      <w:r>
        <w:rPr>
          <w:sz w:val="24"/>
        </w:rPr>
        <w:t>schools'</w:t>
      </w:r>
      <w:r>
        <w:rPr>
          <w:spacing w:val="-4"/>
          <w:sz w:val="24"/>
        </w:rPr>
        <w:t> </w:t>
      </w:r>
      <w:r>
        <w:rPr>
          <w:sz w:val="24"/>
        </w:rPr>
        <w:t>policies</w:t>
      </w:r>
      <w:r>
        <w:rPr>
          <w:spacing w:val="-4"/>
          <w:sz w:val="24"/>
        </w:rPr>
        <w:t> </w:t>
      </w:r>
      <w:r>
        <w:rPr>
          <w:sz w:val="24"/>
        </w:rPr>
        <w:t>on</w:t>
      </w:r>
      <w:r>
        <w:rPr>
          <w:spacing w:val="-4"/>
          <w:sz w:val="24"/>
        </w:rPr>
        <w:t> </w:t>
      </w:r>
      <w:r>
        <w:rPr>
          <w:sz w:val="24"/>
        </w:rPr>
        <w:t>abuse, neglect, and inappropriate body contact at least once annually.</w:t>
      </w:r>
    </w:p>
    <w:p>
      <w:pPr>
        <w:pStyle w:val="ListParagraph"/>
        <w:numPr>
          <w:ilvl w:val="0"/>
          <w:numId w:val="359"/>
        </w:numPr>
        <w:tabs>
          <w:tab w:pos="773" w:val="left" w:leader="none"/>
        </w:tabs>
        <w:spacing w:line="208" w:lineRule="auto" w:before="240" w:after="0"/>
        <w:ind w:left="360" w:right="979" w:firstLine="0"/>
        <w:jc w:val="left"/>
        <w:rPr>
          <w:sz w:val="24"/>
        </w:rPr>
      </w:pPr>
      <w:r>
        <w:rPr>
          <w:sz w:val="24"/>
        </w:rPr>
        <w:t>Residential</w:t>
      </w:r>
      <w:r>
        <w:rPr>
          <w:spacing w:val="-4"/>
          <w:sz w:val="24"/>
        </w:rPr>
        <w:t> </w:t>
      </w:r>
      <w:r>
        <w:rPr>
          <w:sz w:val="24"/>
        </w:rPr>
        <w:t>staff</w:t>
      </w:r>
      <w:r>
        <w:rPr>
          <w:spacing w:val="-3"/>
          <w:sz w:val="24"/>
        </w:rPr>
        <w:t> </w:t>
      </w:r>
      <w:r>
        <w:rPr>
          <w:sz w:val="24"/>
        </w:rPr>
        <w:t>are</w:t>
      </w:r>
      <w:r>
        <w:rPr>
          <w:spacing w:val="-4"/>
          <w:sz w:val="24"/>
        </w:rPr>
        <w:t> </w:t>
      </w:r>
      <w:r>
        <w:rPr>
          <w:sz w:val="24"/>
        </w:rPr>
        <w:t>expected</w:t>
      </w:r>
      <w:r>
        <w:rPr>
          <w:spacing w:val="-4"/>
          <w:sz w:val="24"/>
        </w:rPr>
        <w:t> </w:t>
      </w:r>
      <w:r>
        <w:rPr>
          <w:sz w:val="24"/>
        </w:rPr>
        <w:t>to</w:t>
      </w:r>
      <w:r>
        <w:rPr>
          <w:spacing w:val="-4"/>
          <w:sz w:val="24"/>
        </w:rPr>
        <w:t> </w:t>
      </w:r>
      <w:r>
        <w:rPr>
          <w:sz w:val="24"/>
        </w:rPr>
        <w:t>know</w:t>
      </w:r>
      <w:r>
        <w:rPr>
          <w:spacing w:val="-4"/>
          <w:sz w:val="24"/>
        </w:rPr>
        <w:t> </w:t>
      </w:r>
      <w:r>
        <w:rPr>
          <w:sz w:val="24"/>
        </w:rPr>
        <w:t>the</w:t>
      </w:r>
      <w:r>
        <w:rPr>
          <w:spacing w:val="-4"/>
          <w:sz w:val="24"/>
        </w:rPr>
        <w:t> </w:t>
      </w:r>
      <w:r>
        <w:rPr>
          <w:sz w:val="24"/>
        </w:rPr>
        <w:t>whereabouts</w:t>
      </w:r>
      <w:r>
        <w:rPr>
          <w:spacing w:val="-4"/>
          <w:sz w:val="24"/>
        </w:rPr>
        <w:t> </w:t>
      </w:r>
      <w:r>
        <w:rPr>
          <w:sz w:val="24"/>
        </w:rPr>
        <w:t>of</w:t>
      </w:r>
      <w:r>
        <w:rPr>
          <w:spacing w:val="-3"/>
          <w:sz w:val="24"/>
        </w:rPr>
        <w:t> </w:t>
      </w:r>
      <w:r>
        <w:rPr>
          <w:sz w:val="24"/>
        </w:rPr>
        <w:t>students</w:t>
      </w:r>
      <w:r>
        <w:rPr>
          <w:spacing w:val="-4"/>
          <w:sz w:val="24"/>
        </w:rPr>
        <w:t> </w:t>
      </w:r>
      <w:r>
        <w:rPr>
          <w:sz w:val="24"/>
        </w:rPr>
        <w:t>for</w:t>
      </w:r>
      <w:r>
        <w:rPr>
          <w:spacing w:val="-5"/>
          <w:sz w:val="24"/>
        </w:rPr>
        <w:t> </w:t>
      </w:r>
      <w:r>
        <w:rPr>
          <w:sz w:val="24"/>
        </w:rPr>
        <w:t>which</w:t>
      </w:r>
      <w:r>
        <w:rPr>
          <w:spacing w:val="-4"/>
          <w:sz w:val="24"/>
        </w:rPr>
        <w:t> </w:t>
      </w:r>
      <w:r>
        <w:rPr>
          <w:sz w:val="24"/>
        </w:rPr>
        <w:t>they have responsibility. Residential staff will conduct student checks a minimum of once every fifteen minutes from the time the students start morning bathing until they leave for school in the mornings. Residential students will be expected to sign in and out of the dorm, when allowed, for evening activities.</w:t>
      </w:r>
    </w:p>
    <w:p>
      <w:pPr>
        <w:pStyle w:val="ListParagraph"/>
        <w:numPr>
          <w:ilvl w:val="0"/>
          <w:numId w:val="359"/>
        </w:numPr>
        <w:tabs>
          <w:tab w:pos="786" w:val="left" w:leader="none"/>
        </w:tabs>
        <w:spacing w:line="208" w:lineRule="auto" w:before="240" w:after="0"/>
        <w:ind w:left="360" w:right="1098" w:firstLine="0"/>
        <w:jc w:val="left"/>
        <w:rPr>
          <w:sz w:val="24"/>
        </w:rPr>
      </w:pPr>
      <w:r>
        <w:rPr>
          <w:sz w:val="24"/>
        </w:rPr>
        <w:t>Educational</w:t>
      </w:r>
      <w:r>
        <w:rPr>
          <w:spacing w:val="-4"/>
          <w:sz w:val="24"/>
        </w:rPr>
        <w:t> </w:t>
      </w:r>
      <w:r>
        <w:rPr>
          <w:sz w:val="24"/>
        </w:rPr>
        <w:t>staff</w:t>
      </w:r>
      <w:r>
        <w:rPr>
          <w:spacing w:val="-3"/>
          <w:sz w:val="24"/>
        </w:rPr>
        <w:t> </w:t>
      </w:r>
      <w:r>
        <w:rPr>
          <w:sz w:val="24"/>
        </w:rPr>
        <w:t>will</w:t>
      </w:r>
      <w:r>
        <w:rPr>
          <w:spacing w:val="-4"/>
          <w:sz w:val="24"/>
        </w:rPr>
        <w:t> </w:t>
      </w:r>
      <w:r>
        <w:rPr>
          <w:sz w:val="24"/>
        </w:rPr>
        <w:t>be</w:t>
      </w:r>
      <w:r>
        <w:rPr>
          <w:spacing w:val="-4"/>
          <w:sz w:val="24"/>
        </w:rPr>
        <w:t> </w:t>
      </w:r>
      <w:r>
        <w:rPr>
          <w:sz w:val="24"/>
        </w:rPr>
        <w:t>expected</w:t>
      </w:r>
      <w:r>
        <w:rPr>
          <w:spacing w:val="-4"/>
          <w:sz w:val="24"/>
        </w:rPr>
        <w:t> </w:t>
      </w:r>
      <w:r>
        <w:rPr>
          <w:sz w:val="24"/>
        </w:rPr>
        <w:t>to</w:t>
      </w:r>
      <w:r>
        <w:rPr>
          <w:spacing w:val="-4"/>
          <w:sz w:val="24"/>
        </w:rPr>
        <w:t> </w:t>
      </w:r>
      <w:r>
        <w:rPr>
          <w:sz w:val="24"/>
        </w:rPr>
        <w:t>know</w:t>
      </w:r>
      <w:r>
        <w:rPr>
          <w:spacing w:val="-4"/>
          <w:sz w:val="24"/>
        </w:rPr>
        <w:t> </w:t>
      </w:r>
      <w:r>
        <w:rPr>
          <w:sz w:val="24"/>
        </w:rPr>
        <w:t>the</w:t>
      </w:r>
      <w:r>
        <w:rPr>
          <w:spacing w:val="-4"/>
          <w:sz w:val="24"/>
        </w:rPr>
        <w:t> </w:t>
      </w:r>
      <w:r>
        <w:rPr>
          <w:sz w:val="24"/>
        </w:rPr>
        <w:t>whereabouts</w:t>
      </w:r>
      <w:r>
        <w:rPr>
          <w:spacing w:val="-4"/>
          <w:sz w:val="24"/>
        </w:rPr>
        <w:t> </w:t>
      </w:r>
      <w:r>
        <w:rPr>
          <w:sz w:val="24"/>
        </w:rPr>
        <w:t>of</w:t>
      </w:r>
      <w:r>
        <w:rPr>
          <w:spacing w:val="-3"/>
          <w:sz w:val="24"/>
        </w:rPr>
        <w:t> </w:t>
      </w:r>
      <w:r>
        <w:rPr>
          <w:sz w:val="24"/>
        </w:rPr>
        <w:t>students</w:t>
      </w:r>
      <w:r>
        <w:rPr>
          <w:spacing w:val="-4"/>
          <w:sz w:val="24"/>
        </w:rPr>
        <w:t> </w:t>
      </w:r>
      <w:r>
        <w:rPr>
          <w:sz w:val="24"/>
        </w:rPr>
        <w:t>for</w:t>
      </w:r>
      <w:r>
        <w:rPr>
          <w:spacing w:val="-5"/>
          <w:sz w:val="24"/>
        </w:rPr>
        <w:t> </w:t>
      </w:r>
      <w:r>
        <w:rPr>
          <w:sz w:val="24"/>
        </w:rPr>
        <w:t>which they have responsibility at all times. Students suspected of prohibited activity will be given close supervision.</w:t>
      </w:r>
    </w:p>
    <w:p>
      <w:pPr>
        <w:pStyle w:val="ListParagraph"/>
        <w:numPr>
          <w:ilvl w:val="0"/>
          <w:numId w:val="359"/>
        </w:numPr>
        <w:tabs>
          <w:tab w:pos="786" w:val="left" w:leader="none"/>
        </w:tabs>
        <w:spacing w:line="208" w:lineRule="auto" w:before="239" w:after="0"/>
        <w:ind w:left="360" w:right="1218" w:firstLine="0"/>
        <w:jc w:val="left"/>
        <w:rPr>
          <w:sz w:val="24"/>
        </w:rPr>
      </w:pPr>
      <w:r>
        <w:rPr>
          <w:sz w:val="24"/>
        </w:rPr>
        <w:t>The Superintendent may, at any time, request that the school social worker or designee</w:t>
      </w:r>
      <w:r>
        <w:rPr>
          <w:spacing w:val="-4"/>
          <w:sz w:val="24"/>
        </w:rPr>
        <w:t> </w:t>
      </w:r>
      <w:r>
        <w:rPr>
          <w:sz w:val="24"/>
        </w:rPr>
        <w:t>conduct</w:t>
      </w:r>
      <w:r>
        <w:rPr>
          <w:spacing w:val="-3"/>
          <w:sz w:val="24"/>
        </w:rPr>
        <w:t> </w:t>
      </w:r>
      <w:r>
        <w:rPr>
          <w:sz w:val="24"/>
        </w:rPr>
        <w:t>confidential</w:t>
      </w:r>
      <w:r>
        <w:rPr>
          <w:spacing w:val="-4"/>
          <w:sz w:val="24"/>
        </w:rPr>
        <w:t> </w:t>
      </w:r>
      <w:r>
        <w:rPr>
          <w:sz w:val="24"/>
        </w:rPr>
        <w:t>interviews</w:t>
      </w:r>
      <w:r>
        <w:rPr>
          <w:spacing w:val="-4"/>
          <w:sz w:val="24"/>
        </w:rPr>
        <w:t> </w:t>
      </w:r>
      <w:r>
        <w:rPr>
          <w:sz w:val="24"/>
        </w:rPr>
        <w:t>of</w:t>
      </w:r>
      <w:r>
        <w:rPr>
          <w:spacing w:val="-3"/>
          <w:sz w:val="24"/>
        </w:rPr>
        <w:t> </w:t>
      </w:r>
      <w:r>
        <w:rPr>
          <w:sz w:val="24"/>
        </w:rPr>
        <w:t>students</w:t>
      </w:r>
      <w:r>
        <w:rPr>
          <w:spacing w:val="-4"/>
          <w:sz w:val="24"/>
        </w:rPr>
        <w:t> </w:t>
      </w:r>
      <w:r>
        <w:rPr>
          <w:sz w:val="24"/>
        </w:rPr>
        <w:t>in</w:t>
      </w:r>
      <w:r>
        <w:rPr>
          <w:spacing w:val="-4"/>
          <w:sz w:val="24"/>
        </w:rPr>
        <w:t> </w:t>
      </w:r>
      <w:r>
        <w:rPr>
          <w:sz w:val="24"/>
        </w:rPr>
        <w:t>the</w:t>
      </w:r>
      <w:r>
        <w:rPr>
          <w:spacing w:val="-4"/>
          <w:sz w:val="24"/>
        </w:rPr>
        <w:t> </w:t>
      </w:r>
      <w:r>
        <w:rPr>
          <w:sz w:val="24"/>
        </w:rPr>
        <w:t>residential</w:t>
      </w:r>
      <w:r>
        <w:rPr>
          <w:spacing w:val="-4"/>
          <w:sz w:val="24"/>
        </w:rPr>
        <w:t> </w:t>
      </w:r>
      <w:r>
        <w:rPr>
          <w:sz w:val="24"/>
        </w:rPr>
        <w:t>program.</w:t>
      </w:r>
      <w:r>
        <w:rPr>
          <w:spacing w:val="-3"/>
          <w:sz w:val="24"/>
        </w:rPr>
        <w:t> </w:t>
      </w:r>
      <w:r>
        <w:rPr>
          <w:sz w:val="24"/>
        </w:rPr>
        <w:t>The interview shall be generalized to cover all forms of potential abuse.</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spacing w:after="0" w:line="253" w:lineRule="exact"/>
        <w:jc w:val="left"/>
        <w:rPr>
          <w:sz w:val="22"/>
        </w:rPr>
        <w:sectPr>
          <w:pgSz w:w="12240" w:h="15840"/>
          <w:pgMar w:top="1340" w:bottom="280" w:left="1080" w:right="720"/>
        </w:sectPr>
      </w:pPr>
    </w:p>
    <w:p>
      <w:pPr>
        <w:pStyle w:val="Heading2"/>
      </w:pPr>
      <w:bookmarkStart w:name="612:20-3-27.  Harassment of students" w:id="358"/>
      <w:bookmarkEnd w:id="358"/>
      <w:r>
        <w:rPr>
          <w:b w:val="0"/>
        </w:rPr>
      </w:r>
      <w:r>
        <w:rPr/>
        <w:t>612:20-3-27.</w:t>
      </w:r>
      <w:r>
        <w:rPr>
          <w:spacing w:val="59"/>
        </w:rPr>
        <w:t> </w:t>
      </w:r>
      <w:r>
        <w:rPr/>
        <w:t>Harassment</w:t>
      </w:r>
      <w:r>
        <w:rPr>
          <w:spacing w:val="-3"/>
        </w:rPr>
        <w:t> </w:t>
      </w:r>
      <w:r>
        <w:rPr/>
        <w:t>of</w:t>
      </w:r>
      <w:r>
        <w:rPr>
          <w:spacing w:val="-3"/>
        </w:rPr>
        <w:t> </w:t>
      </w:r>
      <w:r>
        <w:rPr>
          <w:spacing w:val="-2"/>
        </w:rPr>
        <w:t>students</w:t>
      </w:r>
    </w:p>
    <w:p>
      <w:pPr>
        <w:pStyle w:val="BodyText"/>
        <w:spacing w:line="208" w:lineRule="auto" w:before="233"/>
        <w:ind w:left="359" w:right="749" w:firstLine="432"/>
      </w:pPr>
      <w:r>
        <w:rPr/>
        <w:t>The Oklahoma School for the Blind and the Oklahoma School for the Deaf affirm that all students are to be treated fairly, equally, with dignity and respect by their peers and school staff. Harassment of students, sexually or otherwise, will not be condoned</w:t>
      </w:r>
      <w:r>
        <w:rPr>
          <w:spacing w:val="40"/>
        </w:rPr>
        <w:t> </w:t>
      </w:r>
      <w:r>
        <w:rPr/>
        <w:t>on</w:t>
      </w:r>
      <w:r>
        <w:rPr>
          <w:spacing w:val="-3"/>
        </w:rPr>
        <w:t> </w:t>
      </w:r>
      <w:r>
        <w:rPr/>
        <w:t>or</w:t>
      </w:r>
      <w:r>
        <w:rPr>
          <w:spacing w:val="-2"/>
        </w:rPr>
        <w:t> </w:t>
      </w:r>
      <w:r>
        <w:rPr/>
        <w:t>off</w:t>
      </w:r>
      <w:r>
        <w:rPr>
          <w:spacing w:val="-4"/>
        </w:rPr>
        <w:t> </w:t>
      </w:r>
      <w:r>
        <w:rPr/>
        <w:t>campus</w:t>
      </w:r>
      <w:r>
        <w:rPr>
          <w:spacing w:val="-3"/>
        </w:rPr>
        <w:t> </w:t>
      </w:r>
      <w:r>
        <w:rPr/>
        <w:t>during</w:t>
      </w:r>
      <w:r>
        <w:rPr>
          <w:spacing w:val="-3"/>
        </w:rPr>
        <w:t> </w:t>
      </w:r>
      <w:r>
        <w:rPr/>
        <w:t>school</w:t>
      </w:r>
      <w:r>
        <w:rPr>
          <w:spacing w:val="-3"/>
        </w:rPr>
        <w:t> </w:t>
      </w:r>
      <w:r>
        <w:rPr/>
        <w:t>endorsed</w:t>
      </w:r>
      <w:r>
        <w:rPr>
          <w:spacing w:val="-3"/>
        </w:rPr>
        <w:t> </w:t>
      </w:r>
      <w:r>
        <w:rPr/>
        <w:t>activities.</w:t>
      </w:r>
      <w:r>
        <w:rPr>
          <w:spacing w:val="-2"/>
        </w:rPr>
        <w:t> </w:t>
      </w:r>
      <w:r>
        <w:rPr/>
        <w:t>Any</w:t>
      </w:r>
      <w:r>
        <w:rPr>
          <w:spacing w:val="-3"/>
        </w:rPr>
        <w:t> </w:t>
      </w:r>
      <w:r>
        <w:rPr/>
        <w:t>student</w:t>
      </w:r>
      <w:r>
        <w:rPr>
          <w:spacing w:val="-2"/>
        </w:rPr>
        <w:t> </w:t>
      </w:r>
      <w:r>
        <w:rPr/>
        <w:t>who</w:t>
      </w:r>
      <w:r>
        <w:rPr>
          <w:spacing w:val="-3"/>
        </w:rPr>
        <w:t> </w:t>
      </w:r>
      <w:r>
        <w:rPr/>
        <w:t>feels</w:t>
      </w:r>
      <w:r>
        <w:rPr>
          <w:spacing w:val="-3"/>
        </w:rPr>
        <w:t> </w:t>
      </w:r>
      <w:r>
        <w:rPr/>
        <w:t>he</w:t>
      </w:r>
      <w:r>
        <w:rPr>
          <w:spacing w:val="-3"/>
        </w:rPr>
        <w:t> </w:t>
      </w:r>
      <w:r>
        <w:rPr/>
        <w:t>or</w:t>
      </w:r>
      <w:r>
        <w:rPr>
          <w:spacing w:val="-2"/>
        </w:rPr>
        <w:t> </w:t>
      </w:r>
      <w:r>
        <w:rPr/>
        <w:t>she</w:t>
      </w:r>
      <w:r>
        <w:rPr>
          <w:spacing w:val="-3"/>
        </w:rPr>
        <w:t> </w:t>
      </w:r>
      <w:r>
        <w:rPr/>
        <w:t>has been harassed has the right to file a grievance through the school's established grievance procedure.</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95</w:t>
      </w:r>
      <w:r>
        <w:rPr>
          <w:sz w:val="22"/>
        </w:rPr>
        <w:tab/>
        <w:t>PT</w:t>
      </w:r>
      <w:r>
        <w:rPr>
          <w:spacing w:val="-8"/>
          <w:sz w:val="22"/>
        </w:rPr>
        <w:t> </w:t>
      </w:r>
      <w:r>
        <w:rPr>
          <w:sz w:val="22"/>
        </w:rPr>
        <w:t>Memo</w:t>
      </w:r>
      <w:r>
        <w:rPr>
          <w:spacing w:val="-8"/>
          <w:sz w:val="22"/>
        </w:rPr>
        <w:t> </w:t>
      </w:r>
      <w:r>
        <w:rPr>
          <w:sz w:val="22"/>
        </w:rPr>
        <w:t>#95-</w:t>
      </w:r>
      <w:r>
        <w:rPr>
          <w:spacing w:val="-10"/>
          <w:sz w:val="22"/>
        </w:rPr>
        <w:t>2</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spacing w:after="0" w:line="253" w:lineRule="exact"/>
        <w:jc w:val="left"/>
        <w:rPr>
          <w:sz w:val="22"/>
        </w:rPr>
        <w:sectPr>
          <w:pgSz w:w="12240" w:h="15840"/>
          <w:pgMar w:top="1340" w:bottom="280" w:left="1080" w:right="720"/>
        </w:sectPr>
      </w:pPr>
    </w:p>
    <w:p>
      <w:pPr>
        <w:pStyle w:val="Heading1"/>
        <w:ind w:left="1078" w:right="0"/>
        <w:jc w:val="left"/>
      </w:pPr>
      <w:bookmarkStart w:name="PART 5. STANDARDS OF CONDUCT FOR ALL SCH" w:id="359"/>
      <w:bookmarkEnd w:id="359"/>
      <w:r>
        <w:rPr>
          <w:b w:val="0"/>
        </w:rPr>
      </w:r>
      <w:r>
        <w:rPr/>
        <w:t>PART</w:t>
      </w:r>
      <w:r>
        <w:rPr>
          <w:spacing w:val="-2"/>
        </w:rPr>
        <w:t> </w:t>
      </w:r>
      <w:r>
        <w:rPr/>
        <w:t>5.</w:t>
      </w:r>
      <w:r>
        <w:rPr>
          <w:spacing w:val="-3"/>
        </w:rPr>
        <w:t> </w:t>
      </w:r>
      <w:r>
        <w:rPr/>
        <w:t>STANDARDS</w:t>
      </w:r>
      <w:r>
        <w:rPr>
          <w:spacing w:val="-2"/>
        </w:rPr>
        <w:t> </w:t>
      </w:r>
      <w:r>
        <w:rPr/>
        <w:t>OF</w:t>
      </w:r>
      <w:r>
        <w:rPr>
          <w:spacing w:val="-2"/>
        </w:rPr>
        <w:t> </w:t>
      </w:r>
      <w:r>
        <w:rPr/>
        <w:t>CONDUCT</w:t>
      </w:r>
      <w:r>
        <w:rPr>
          <w:spacing w:val="-1"/>
        </w:rPr>
        <w:t> </w:t>
      </w:r>
      <w:r>
        <w:rPr/>
        <w:t>FOR</w:t>
      </w:r>
      <w:r>
        <w:rPr>
          <w:spacing w:val="-2"/>
        </w:rPr>
        <w:t> </w:t>
      </w:r>
      <w:r>
        <w:rPr/>
        <w:t>ALL</w:t>
      </w:r>
      <w:r>
        <w:rPr>
          <w:spacing w:val="-2"/>
        </w:rPr>
        <w:t> </w:t>
      </w:r>
      <w:r>
        <w:rPr/>
        <w:t>SCHOOL</w:t>
      </w:r>
      <w:r>
        <w:rPr>
          <w:spacing w:val="-2"/>
        </w:rPr>
        <w:t> PERSONNEL</w:t>
      </w:r>
    </w:p>
    <w:p>
      <w:pPr>
        <w:pStyle w:val="BodyText"/>
        <w:spacing w:before="204"/>
      </w:pPr>
      <w:r>
        <w:rPr>
          <w:spacing w:val="-2"/>
        </w:rPr>
        <w:t>Section</w:t>
      </w:r>
    </w:p>
    <w:p>
      <w:pPr>
        <w:pStyle w:val="BodyText"/>
        <w:tabs>
          <w:tab w:pos="2519" w:val="left" w:leader="none"/>
        </w:tabs>
        <w:spacing w:before="204"/>
      </w:pPr>
      <w:r>
        <w:rPr>
          <w:spacing w:val="-2"/>
        </w:rPr>
        <w:t>612:20-3-</w:t>
      </w:r>
      <w:r>
        <w:rPr>
          <w:spacing w:val="-5"/>
        </w:rPr>
        <w:t>37.</w:t>
      </w:r>
      <w:r>
        <w:rPr/>
        <w:tab/>
      </w:r>
      <w:r>
        <w:rPr>
          <w:spacing w:val="-2"/>
        </w:rPr>
        <w:t>Purpose</w:t>
      </w:r>
    </w:p>
    <w:p>
      <w:pPr>
        <w:pStyle w:val="BodyText"/>
        <w:tabs>
          <w:tab w:pos="2519" w:val="left" w:leader="none"/>
        </w:tabs>
        <w:spacing w:line="208" w:lineRule="auto" w:before="233"/>
        <w:ind w:left="2520" w:right="1261" w:hanging="2160"/>
      </w:pPr>
      <w:r>
        <w:rPr>
          <w:spacing w:val="-2"/>
        </w:rPr>
        <w:t>612:20-3-38.</w:t>
      </w:r>
      <w:r>
        <w:rPr/>
        <w:tab/>
        <w:t>Use</w:t>
      </w:r>
      <w:r>
        <w:rPr>
          <w:spacing w:val="-5"/>
        </w:rPr>
        <w:t> </w:t>
      </w:r>
      <w:r>
        <w:rPr/>
        <w:t>of</w:t>
      </w:r>
      <w:r>
        <w:rPr>
          <w:spacing w:val="-4"/>
        </w:rPr>
        <w:t> </w:t>
      </w:r>
      <w:r>
        <w:rPr/>
        <w:t>alcohol,</w:t>
      </w:r>
      <w:r>
        <w:rPr>
          <w:spacing w:val="-4"/>
        </w:rPr>
        <w:t> </w:t>
      </w:r>
      <w:r>
        <w:rPr/>
        <w:t>drugs</w:t>
      </w:r>
      <w:r>
        <w:rPr>
          <w:spacing w:val="-5"/>
        </w:rPr>
        <w:t> </w:t>
      </w:r>
      <w:r>
        <w:rPr/>
        <w:t>and</w:t>
      </w:r>
      <w:r>
        <w:rPr>
          <w:spacing w:val="-5"/>
        </w:rPr>
        <w:t> </w:t>
      </w:r>
      <w:r>
        <w:rPr/>
        <w:t>controlled</w:t>
      </w:r>
      <w:r>
        <w:rPr>
          <w:spacing w:val="-5"/>
        </w:rPr>
        <w:t> </w:t>
      </w:r>
      <w:r>
        <w:rPr/>
        <w:t>substances</w:t>
      </w:r>
      <w:r>
        <w:rPr>
          <w:spacing w:val="-5"/>
        </w:rPr>
        <w:t> </w:t>
      </w:r>
      <w:r>
        <w:rPr/>
        <w:t>by</w:t>
      </w:r>
      <w:r>
        <w:rPr>
          <w:spacing w:val="-5"/>
        </w:rPr>
        <w:t> </w:t>
      </w:r>
      <w:r>
        <w:rPr/>
        <w:t>employees (Drug-Free Workplace)</w:t>
      </w:r>
    </w:p>
    <w:p>
      <w:pPr>
        <w:pStyle w:val="BodyText"/>
        <w:tabs>
          <w:tab w:pos="2519" w:val="left" w:leader="none"/>
        </w:tabs>
        <w:spacing w:before="210"/>
        <w:ind w:left="359"/>
      </w:pPr>
      <w:r>
        <w:rPr>
          <w:spacing w:val="-2"/>
        </w:rPr>
        <w:t>612:20-3-</w:t>
      </w:r>
      <w:r>
        <w:rPr>
          <w:spacing w:val="-5"/>
        </w:rPr>
        <w:t>39.</w:t>
      </w:r>
      <w:r>
        <w:rPr/>
        <w:tab/>
        <w:t>Felony</w:t>
      </w:r>
      <w:r>
        <w:rPr>
          <w:spacing w:val="-3"/>
        </w:rPr>
        <w:t> </w:t>
      </w:r>
      <w:r>
        <w:rPr/>
        <w:t>record</w:t>
      </w:r>
      <w:r>
        <w:rPr>
          <w:spacing w:val="-3"/>
        </w:rPr>
        <w:t> </w:t>
      </w:r>
      <w:r>
        <w:rPr>
          <w:spacing w:val="-2"/>
        </w:rPr>
        <w:t>search</w:t>
      </w:r>
    </w:p>
    <w:p>
      <w:pPr>
        <w:pStyle w:val="BodyText"/>
        <w:spacing w:after="0"/>
        <w:sectPr>
          <w:pgSz w:w="12240" w:h="15840"/>
          <w:pgMar w:top="1340" w:bottom="280" w:left="1080" w:right="720"/>
        </w:sectPr>
      </w:pPr>
    </w:p>
    <w:p>
      <w:pPr>
        <w:pStyle w:val="Heading2"/>
      </w:pPr>
      <w:bookmarkStart w:name="612:20-3-37.  Purpose" w:id="360"/>
      <w:bookmarkEnd w:id="360"/>
      <w:r>
        <w:rPr>
          <w:b w:val="0"/>
        </w:rPr>
      </w:r>
      <w:r>
        <w:rPr/>
        <w:t>612:20-3-37.</w:t>
      </w:r>
      <w:r>
        <w:rPr>
          <w:spacing w:val="59"/>
        </w:rPr>
        <w:t> </w:t>
      </w:r>
      <w:r>
        <w:rPr>
          <w:spacing w:val="-2"/>
        </w:rPr>
        <w:t>Purpose</w:t>
      </w:r>
    </w:p>
    <w:p>
      <w:pPr>
        <w:pStyle w:val="BodyText"/>
        <w:spacing w:line="208" w:lineRule="auto" w:before="233"/>
        <w:ind w:right="855" w:firstLine="432"/>
      </w:pPr>
      <w:r>
        <w:rPr/>
        <w:t>The purpose of this Subchapter is to present standards of conduct and management</w:t>
      </w:r>
      <w:r>
        <w:rPr>
          <w:spacing w:val="-3"/>
        </w:rPr>
        <w:t> </w:t>
      </w:r>
      <w:r>
        <w:rPr/>
        <w:t>policies</w:t>
      </w:r>
      <w:r>
        <w:rPr>
          <w:spacing w:val="-4"/>
        </w:rPr>
        <w:t> </w:t>
      </w:r>
      <w:r>
        <w:rPr/>
        <w:t>for</w:t>
      </w:r>
      <w:r>
        <w:rPr>
          <w:spacing w:val="-3"/>
        </w:rPr>
        <w:t> </w:t>
      </w:r>
      <w:r>
        <w:rPr/>
        <w:t>staff</w:t>
      </w:r>
      <w:r>
        <w:rPr>
          <w:spacing w:val="-3"/>
        </w:rPr>
        <w:t> </w:t>
      </w:r>
      <w:r>
        <w:rPr/>
        <w:t>at</w:t>
      </w:r>
      <w:r>
        <w:rPr>
          <w:spacing w:val="-5"/>
        </w:rPr>
        <w:t> </w:t>
      </w:r>
      <w:r>
        <w:rPr/>
        <w:t>the</w:t>
      </w:r>
      <w:r>
        <w:rPr>
          <w:spacing w:val="-4"/>
        </w:rPr>
        <w:t> </w:t>
      </w:r>
      <w:r>
        <w:rPr/>
        <w:t>Oklahoma</w:t>
      </w:r>
      <w:r>
        <w:rPr>
          <w:spacing w:val="-4"/>
        </w:rPr>
        <w:t> </w:t>
      </w:r>
      <w:r>
        <w:rPr/>
        <w:t>School</w:t>
      </w:r>
      <w:r>
        <w:rPr>
          <w:spacing w:val="-4"/>
        </w:rPr>
        <w:t> </w:t>
      </w:r>
      <w:r>
        <w:rPr/>
        <w:t>for</w:t>
      </w:r>
      <w:r>
        <w:rPr>
          <w:spacing w:val="-3"/>
        </w:rPr>
        <w:t> </w:t>
      </w:r>
      <w:r>
        <w:rPr/>
        <w:t>the</w:t>
      </w:r>
      <w:r>
        <w:rPr>
          <w:spacing w:val="-4"/>
        </w:rPr>
        <w:t> </w:t>
      </w:r>
      <w:r>
        <w:rPr/>
        <w:t>Blind</w:t>
      </w:r>
      <w:r>
        <w:rPr>
          <w:spacing w:val="-4"/>
        </w:rPr>
        <w:t> </w:t>
      </w:r>
      <w:r>
        <w:rPr/>
        <w:t>and</w:t>
      </w:r>
      <w:r>
        <w:rPr>
          <w:spacing w:val="-4"/>
        </w:rPr>
        <w:t> </w:t>
      </w:r>
      <w:r>
        <w:rPr/>
        <w:t>the</w:t>
      </w:r>
      <w:r>
        <w:rPr>
          <w:spacing w:val="-4"/>
        </w:rPr>
        <w:t> </w:t>
      </w:r>
      <w:r>
        <w:rPr/>
        <w:t>Oklahoma School for the Deaf. Staff at the Special Schools are expected to comply with these standards of conduct and management policies.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7-1-</w:t>
      </w:r>
      <w:r>
        <w:rPr>
          <w:spacing w:val="-5"/>
          <w:sz w:val="22"/>
        </w:rPr>
        <w:t>98</w:t>
      </w:r>
      <w:r>
        <w:rPr>
          <w:sz w:val="22"/>
        </w:rPr>
        <w:tab/>
        <w:t>PT</w:t>
      </w:r>
      <w:r>
        <w:rPr>
          <w:spacing w:val="-8"/>
          <w:sz w:val="22"/>
        </w:rPr>
        <w:t> </w:t>
      </w:r>
      <w:r>
        <w:rPr>
          <w:sz w:val="22"/>
        </w:rPr>
        <w:t>Memo</w:t>
      </w:r>
      <w:r>
        <w:rPr>
          <w:spacing w:val="-8"/>
          <w:sz w:val="22"/>
        </w:rPr>
        <w:t> </w:t>
      </w:r>
      <w:r>
        <w:rPr>
          <w:sz w:val="22"/>
        </w:rPr>
        <w:t>#98-</w:t>
      </w:r>
      <w:r>
        <w:rPr>
          <w:spacing w:val="-5"/>
          <w:sz w:val="22"/>
        </w:rPr>
        <w:t>15</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spacing w:after="0" w:line="253" w:lineRule="exact"/>
        <w:jc w:val="left"/>
        <w:rPr>
          <w:sz w:val="22"/>
        </w:rPr>
        <w:sectPr>
          <w:pgSz w:w="12240" w:h="15840"/>
          <w:pgMar w:top="1340" w:bottom="280" w:left="1080" w:right="720"/>
        </w:sectPr>
      </w:pPr>
    </w:p>
    <w:p>
      <w:pPr>
        <w:pStyle w:val="Heading2"/>
        <w:spacing w:line="208" w:lineRule="auto" w:before="96"/>
        <w:ind w:right="1371"/>
      </w:pPr>
      <w:bookmarkStart w:name="612:20-3-38.  Use of alcohol, drugs and " w:id="361"/>
      <w:bookmarkEnd w:id="361"/>
      <w:r>
        <w:rPr>
          <w:b w:val="0"/>
        </w:rPr>
      </w:r>
      <w:r>
        <w:rPr/>
        <w:t>612:20-3-38.</w:t>
      </w:r>
      <w:r>
        <w:rPr>
          <w:spacing w:val="40"/>
        </w:rPr>
        <w:t> </w:t>
      </w:r>
      <w:r>
        <w:rPr/>
        <w:t>Use</w:t>
      </w:r>
      <w:r>
        <w:rPr>
          <w:spacing w:val="-5"/>
        </w:rPr>
        <w:t> </w:t>
      </w:r>
      <w:r>
        <w:rPr/>
        <w:t>of</w:t>
      </w:r>
      <w:r>
        <w:rPr>
          <w:spacing w:val="-6"/>
        </w:rPr>
        <w:t> </w:t>
      </w:r>
      <w:r>
        <w:rPr/>
        <w:t>alcohol,</w:t>
      </w:r>
      <w:r>
        <w:rPr>
          <w:spacing w:val="-4"/>
        </w:rPr>
        <w:t> </w:t>
      </w:r>
      <w:r>
        <w:rPr/>
        <w:t>drugs</w:t>
      </w:r>
      <w:r>
        <w:rPr>
          <w:spacing w:val="-5"/>
        </w:rPr>
        <w:t> </w:t>
      </w:r>
      <w:r>
        <w:rPr/>
        <w:t>and</w:t>
      </w:r>
      <w:r>
        <w:rPr>
          <w:spacing w:val="-5"/>
        </w:rPr>
        <w:t> </w:t>
      </w:r>
      <w:r>
        <w:rPr/>
        <w:t>controlled</w:t>
      </w:r>
      <w:r>
        <w:rPr>
          <w:spacing w:val="-5"/>
        </w:rPr>
        <w:t> </w:t>
      </w:r>
      <w:r>
        <w:rPr/>
        <w:t>substances</w:t>
      </w:r>
      <w:r>
        <w:rPr>
          <w:spacing w:val="-4"/>
        </w:rPr>
        <w:t> </w:t>
      </w:r>
      <w:r>
        <w:rPr/>
        <w:t>by</w:t>
      </w:r>
      <w:r>
        <w:rPr>
          <w:spacing w:val="-5"/>
        </w:rPr>
        <w:t> </w:t>
      </w:r>
      <w:r>
        <w:rPr/>
        <w:t>employees (Drug-Free Workplace)</w:t>
      </w:r>
    </w:p>
    <w:p>
      <w:pPr>
        <w:pStyle w:val="ListParagraph"/>
        <w:numPr>
          <w:ilvl w:val="0"/>
          <w:numId w:val="360"/>
        </w:numPr>
        <w:tabs>
          <w:tab w:pos="786" w:val="left" w:leader="none"/>
        </w:tabs>
        <w:spacing w:line="208" w:lineRule="auto" w:before="240" w:after="0"/>
        <w:ind w:left="360" w:right="727" w:firstLine="0"/>
        <w:jc w:val="left"/>
        <w:rPr>
          <w:sz w:val="24"/>
        </w:rPr>
      </w:pPr>
      <w:r>
        <w:rPr>
          <w:sz w:val="24"/>
        </w:rPr>
        <w:t>The</w:t>
      </w:r>
      <w:r>
        <w:rPr>
          <w:spacing w:val="-4"/>
          <w:sz w:val="24"/>
        </w:rPr>
        <w:t> </w:t>
      </w:r>
      <w:r>
        <w:rPr>
          <w:sz w:val="24"/>
        </w:rPr>
        <w:t>Department</w:t>
      </w:r>
      <w:r>
        <w:rPr>
          <w:spacing w:val="-3"/>
          <w:sz w:val="24"/>
        </w:rPr>
        <w:t> </w:t>
      </w:r>
      <w:r>
        <w:rPr>
          <w:sz w:val="24"/>
        </w:rPr>
        <w:t>of</w:t>
      </w:r>
      <w:r>
        <w:rPr>
          <w:spacing w:val="-5"/>
          <w:sz w:val="24"/>
        </w:rPr>
        <w:t> </w:t>
      </w:r>
      <w:r>
        <w:rPr>
          <w:sz w:val="24"/>
        </w:rPr>
        <w:t>Rehabilitation</w:t>
      </w:r>
      <w:r>
        <w:rPr>
          <w:spacing w:val="-4"/>
          <w:sz w:val="24"/>
        </w:rPr>
        <w:t> </w:t>
      </w:r>
      <w:r>
        <w:rPr>
          <w:sz w:val="24"/>
        </w:rPr>
        <w:t>Services</w:t>
      </w:r>
      <w:r>
        <w:rPr>
          <w:spacing w:val="-4"/>
          <w:sz w:val="24"/>
        </w:rPr>
        <w:t> </w:t>
      </w:r>
      <w:r>
        <w:rPr>
          <w:sz w:val="24"/>
        </w:rPr>
        <w:t>has</w:t>
      </w:r>
      <w:r>
        <w:rPr>
          <w:spacing w:val="-4"/>
          <w:sz w:val="24"/>
        </w:rPr>
        <w:t> </w:t>
      </w:r>
      <w:r>
        <w:rPr>
          <w:sz w:val="24"/>
        </w:rPr>
        <w:t>committed</w:t>
      </w:r>
      <w:r>
        <w:rPr>
          <w:spacing w:val="-4"/>
          <w:sz w:val="24"/>
        </w:rPr>
        <w:t> </w:t>
      </w:r>
      <w:r>
        <w:rPr>
          <w:sz w:val="24"/>
        </w:rPr>
        <w:t>itself</w:t>
      </w:r>
      <w:r>
        <w:rPr>
          <w:spacing w:val="-5"/>
          <w:sz w:val="24"/>
        </w:rPr>
        <w:t> </w:t>
      </w:r>
      <w:r>
        <w:rPr>
          <w:sz w:val="24"/>
        </w:rPr>
        <w:t>to</w:t>
      </w:r>
      <w:r>
        <w:rPr>
          <w:spacing w:val="-4"/>
          <w:sz w:val="24"/>
        </w:rPr>
        <w:t> </w:t>
      </w:r>
      <w:r>
        <w:rPr>
          <w:sz w:val="24"/>
        </w:rPr>
        <w:t>a</w:t>
      </w:r>
      <w:r>
        <w:rPr>
          <w:spacing w:val="-4"/>
          <w:sz w:val="24"/>
        </w:rPr>
        <w:t> </w:t>
      </w:r>
      <w:r>
        <w:rPr>
          <w:sz w:val="24"/>
        </w:rPr>
        <w:t>continuing</w:t>
      </w:r>
      <w:r>
        <w:rPr>
          <w:spacing w:val="-4"/>
          <w:sz w:val="24"/>
        </w:rPr>
        <w:t> </w:t>
      </w:r>
      <w:r>
        <w:rPr>
          <w:sz w:val="24"/>
        </w:rPr>
        <w:t>good faith effort to maintain a drug-free workplace. </w:t>
      </w:r>
      <w:r>
        <w:rPr>
          <w:b/>
          <w:sz w:val="24"/>
        </w:rPr>
        <w:t>1</w:t>
      </w:r>
      <w:r>
        <w:rPr>
          <w:b/>
          <w:spacing w:val="40"/>
          <w:sz w:val="24"/>
        </w:rPr>
        <w:t> </w:t>
      </w:r>
      <w:r>
        <w:rPr>
          <w:sz w:val="24"/>
        </w:rPr>
        <w:t>The Oklahoma School for the Blind and the Oklahoma School for the Deaf recognize that alcohol and drug abuse in the workplace has become a major concern. The object of the schools' alcohol and drug prevention program is to provide a safe and secure workplace to comply with federal and state health and safety regulations, and to prevent accidents.</w:t>
      </w:r>
    </w:p>
    <w:p>
      <w:pPr>
        <w:pStyle w:val="ListParagraph"/>
        <w:numPr>
          <w:ilvl w:val="0"/>
          <w:numId w:val="360"/>
        </w:numPr>
        <w:tabs>
          <w:tab w:pos="786" w:val="left" w:leader="none"/>
        </w:tabs>
        <w:spacing w:line="208" w:lineRule="auto" w:before="239" w:after="0"/>
        <w:ind w:left="360" w:right="825" w:firstLine="0"/>
        <w:jc w:val="left"/>
        <w:rPr>
          <w:sz w:val="24"/>
        </w:rPr>
      </w:pPr>
      <w:r>
        <w:rPr>
          <w:sz w:val="24"/>
        </w:rPr>
        <w:t>Staff development programs shall be conducted to inform each employee of the school's</w:t>
      </w:r>
      <w:r>
        <w:rPr>
          <w:spacing w:val="-4"/>
          <w:sz w:val="24"/>
        </w:rPr>
        <w:t> </w:t>
      </w:r>
      <w:r>
        <w:rPr>
          <w:sz w:val="24"/>
        </w:rPr>
        <w:t>drug-free</w:t>
      </w:r>
      <w:r>
        <w:rPr>
          <w:spacing w:val="-4"/>
          <w:sz w:val="24"/>
        </w:rPr>
        <w:t> </w:t>
      </w:r>
      <w:r>
        <w:rPr>
          <w:sz w:val="24"/>
        </w:rPr>
        <w:t>workplace</w:t>
      </w:r>
      <w:r>
        <w:rPr>
          <w:spacing w:val="-4"/>
          <w:sz w:val="24"/>
        </w:rPr>
        <w:t> </w:t>
      </w:r>
      <w:r>
        <w:rPr>
          <w:sz w:val="24"/>
        </w:rPr>
        <w:t>program;</w:t>
      </w:r>
      <w:r>
        <w:rPr>
          <w:spacing w:val="-5"/>
          <w:sz w:val="24"/>
        </w:rPr>
        <w:t> </w:t>
      </w:r>
      <w:r>
        <w:rPr>
          <w:sz w:val="24"/>
        </w:rPr>
        <w:t>the</w:t>
      </w:r>
      <w:r>
        <w:rPr>
          <w:spacing w:val="-4"/>
          <w:sz w:val="24"/>
        </w:rPr>
        <w:t> </w:t>
      </w:r>
      <w:r>
        <w:rPr>
          <w:sz w:val="24"/>
        </w:rPr>
        <w:t>dangers</w:t>
      </w:r>
      <w:r>
        <w:rPr>
          <w:spacing w:val="-4"/>
          <w:sz w:val="24"/>
        </w:rPr>
        <w:t> </w:t>
      </w:r>
      <w:r>
        <w:rPr>
          <w:sz w:val="24"/>
        </w:rPr>
        <w:t>of</w:t>
      </w:r>
      <w:r>
        <w:rPr>
          <w:spacing w:val="-3"/>
          <w:sz w:val="24"/>
        </w:rPr>
        <w:t> </w:t>
      </w:r>
      <w:r>
        <w:rPr>
          <w:sz w:val="24"/>
        </w:rPr>
        <w:t>drug</w:t>
      </w:r>
      <w:r>
        <w:rPr>
          <w:spacing w:val="-4"/>
          <w:sz w:val="24"/>
        </w:rPr>
        <w:t> </w:t>
      </w:r>
      <w:r>
        <w:rPr>
          <w:sz w:val="24"/>
        </w:rPr>
        <w:t>abuse</w:t>
      </w:r>
      <w:r>
        <w:rPr>
          <w:spacing w:val="-4"/>
          <w:sz w:val="24"/>
        </w:rPr>
        <w:t> </w:t>
      </w:r>
      <w:r>
        <w:rPr>
          <w:sz w:val="24"/>
        </w:rPr>
        <w:t>in</w:t>
      </w:r>
      <w:r>
        <w:rPr>
          <w:spacing w:val="-4"/>
          <w:sz w:val="24"/>
        </w:rPr>
        <w:t> </w:t>
      </w:r>
      <w:r>
        <w:rPr>
          <w:sz w:val="24"/>
        </w:rPr>
        <w:t>the</w:t>
      </w:r>
      <w:r>
        <w:rPr>
          <w:spacing w:val="-4"/>
          <w:sz w:val="24"/>
        </w:rPr>
        <w:t> </w:t>
      </w:r>
      <w:r>
        <w:rPr>
          <w:sz w:val="24"/>
        </w:rPr>
        <w:t>workplace;</w:t>
      </w:r>
      <w:r>
        <w:rPr>
          <w:spacing w:val="-3"/>
          <w:sz w:val="24"/>
        </w:rPr>
        <w:t> </w:t>
      </w:r>
      <w:r>
        <w:rPr>
          <w:sz w:val="24"/>
        </w:rPr>
        <w:t>this policy; available drug counseling and rehabilitation programs; and the penalties that may be imposed for drug abuse violations occurring in the workplace.</w:t>
      </w:r>
    </w:p>
    <w:p>
      <w:pPr>
        <w:pStyle w:val="ListParagraph"/>
        <w:numPr>
          <w:ilvl w:val="0"/>
          <w:numId w:val="360"/>
        </w:numPr>
        <w:tabs>
          <w:tab w:pos="773" w:val="left" w:leader="none"/>
        </w:tabs>
        <w:spacing w:line="208" w:lineRule="auto" w:before="240" w:after="0"/>
        <w:ind w:left="360" w:right="952" w:firstLine="0"/>
        <w:jc w:val="left"/>
        <w:rPr>
          <w:sz w:val="24"/>
        </w:rPr>
      </w:pPr>
      <w:r>
        <w:rPr>
          <w:sz w:val="24"/>
        </w:rPr>
        <w:t>The unlawful possession, sale, distribution, manufacture, or use of any drug, narcotic or controlled substance as defined in the Uniform Controlled Dangerous Substances Act and/or Title 63 O.S. 2-101 by any employee at any time on school premises</w:t>
      </w:r>
      <w:r>
        <w:rPr>
          <w:spacing w:val="-4"/>
          <w:sz w:val="24"/>
        </w:rPr>
        <w:t> </w:t>
      </w:r>
      <w:r>
        <w:rPr>
          <w:sz w:val="24"/>
        </w:rPr>
        <w:t>or</w:t>
      </w:r>
      <w:r>
        <w:rPr>
          <w:spacing w:val="-3"/>
          <w:sz w:val="24"/>
        </w:rPr>
        <w:t> </w:t>
      </w:r>
      <w:r>
        <w:rPr>
          <w:sz w:val="24"/>
        </w:rPr>
        <w:t>while</w:t>
      </w:r>
      <w:r>
        <w:rPr>
          <w:spacing w:val="-4"/>
          <w:sz w:val="24"/>
        </w:rPr>
        <w:t> </w:t>
      </w:r>
      <w:r>
        <w:rPr>
          <w:sz w:val="24"/>
        </w:rPr>
        <w:t>on</w:t>
      </w:r>
      <w:r>
        <w:rPr>
          <w:spacing w:val="-4"/>
          <w:sz w:val="24"/>
        </w:rPr>
        <w:t> </w:t>
      </w:r>
      <w:r>
        <w:rPr>
          <w:sz w:val="24"/>
        </w:rPr>
        <w:t>school</w:t>
      </w:r>
      <w:r>
        <w:rPr>
          <w:spacing w:val="-4"/>
          <w:sz w:val="24"/>
        </w:rPr>
        <w:t> </w:t>
      </w:r>
      <w:r>
        <w:rPr>
          <w:sz w:val="24"/>
        </w:rPr>
        <w:t>business</w:t>
      </w:r>
      <w:r>
        <w:rPr>
          <w:spacing w:val="-4"/>
          <w:sz w:val="24"/>
        </w:rPr>
        <w:t> </w:t>
      </w:r>
      <w:r>
        <w:rPr>
          <w:sz w:val="24"/>
        </w:rPr>
        <w:t>is</w:t>
      </w:r>
      <w:r>
        <w:rPr>
          <w:spacing w:val="-4"/>
          <w:sz w:val="24"/>
        </w:rPr>
        <w:t> </w:t>
      </w:r>
      <w:r>
        <w:rPr>
          <w:sz w:val="24"/>
        </w:rPr>
        <w:t>prohibited</w:t>
      </w:r>
      <w:r>
        <w:rPr>
          <w:spacing w:val="-4"/>
          <w:sz w:val="24"/>
        </w:rPr>
        <w:t> </w:t>
      </w:r>
      <w:r>
        <w:rPr>
          <w:sz w:val="24"/>
        </w:rPr>
        <w:t>and</w:t>
      </w:r>
      <w:r>
        <w:rPr>
          <w:spacing w:val="-4"/>
          <w:sz w:val="24"/>
        </w:rPr>
        <w:t> </w:t>
      </w:r>
      <w:r>
        <w:rPr>
          <w:sz w:val="24"/>
        </w:rPr>
        <w:t>will</w:t>
      </w:r>
      <w:r>
        <w:rPr>
          <w:spacing w:val="-4"/>
          <w:sz w:val="24"/>
        </w:rPr>
        <w:t> </w:t>
      </w:r>
      <w:r>
        <w:rPr>
          <w:sz w:val="24"/>
        </w:rPr>
        <w:t>not</w:t>
      </w:r>
      <w:r>
        <w:rPr>
          <w:spacing w:val="-3"/>
          <w:sz w:val="24"/>
        </w:rPr>
        <w:t> </w:t>
      </w:r>
      <w:r>
        <w:rPr>
          <w:sz w:val="24"/>
        </w:rPr>
        <w:t>be</w:t>
      </w:r>
      <w:r>
        <w:rPr>
          <w:spacing w:val="-4"/>
          <w:sz w:val="24"/>
        </w:rPr>
        <w:t> </w:t>
      </w:r>
      <w:r>
        <w:rPr>
          <w:sz w:val="24"/>
        </w:rPr>
        <w:t>tolerated.</w:t>
      </w:r>
      <w:r>
        <w:rPr>
          <w:spacing w:val="-3"/>
          <w:sz w:val="24"/>
        </w:rPr>
        <w:t> </w:t>
      </w:r>
      <w:r>
        <w:rPr>
          <w:sz w:val="24"/>
        </w:rPr>
        <w:t>Judgment regarding the use of such substances will be based upon behaviors related to being under the influence of such substances or having an adverse effect upon job performance. Any employee found to be in violation of this policy will be subject to disciplinary action which may include termination of employment or satisfactory participation, at the employee's expense, in a drug abuse assistance or rehabilitation program approved for such purposes by a Federal, State, or local health, law enforcement, or other appropriate agency.</w:t>
      </w:r>
    </w:p>
    <w:p>
      <w:pPr>
        <w:pStyle w:val="ListParagraph"/>
        <w:numPr>
          <w:ilvl w:val="0"/>
          <w:numId w:val="360"/>
        </w:numPr>
        <w:tabs>
          <w:tab w:pos="786" w:val="left" w:leader="none"/>
        </w:tabs>
        <w:spacing w:line="208" w:lineRule="auto" w:before="239" w:after="0"/>
        <w:ind w:left="360" w:right="725" w:firstLine="0"/>
        <w:jc w:val="left"/>
        <w:rPr>
          <w:sz w:val="24"/>
        </w:rPr>
      </w:pPr>
      <w:r>
        <w:rPr>
          <w:sz w:val="24"/>
        </w:rPr>
        <w:t>Each employee of the Oklahoma School for the Deaf or the Oklahoma School for the</w:t>
      </w:r>
      <w:r>
        <w:rPr>
          <w:spacing w:val="-3"/>
          <w:sz w:val="24"/>
        </w:rPr>
        <w:t> </w:t>
      </w:r>
      <w:r>
        <w:rPr>
          <w:sz w:val="24"/>
        </w:rPr>
        <w:t>Blind</w:t>
      </w:r>
      <w:r>
        <w:rPr>
          <w:spacing w:val="-3"/>
          <w:sz w:val="24"/>
        </w:rPr>
        <w:t> </w:t>
      </w:r>
      <w:r>
        <w:rPr>
          <w:sz w:val="24"/>
        </w:rPr>
        <w:t>is</w:t>
      </w:r>
      <w:r>
        <w:rPr>
          <w:spacing w:val="-2"/>
          <w:sz w:val="24"/>
        </w:rPr>
        <w:t> </w:t>
      </w:r>
      <w:r>
        <w:rPr>
          <w:sz w:val="24"/>
        </w:rPr>
        <w:t>hereby</w:t>
      </w:r>
      <w:r>
        <w:rPr>
          <w:spacing w:val="-3"/>
          <w:sz w:val="24"/>
        </w:rPr>
        <w:t> </w:t>
      </w:r>
      <w:r>
        <w:rPr>
          <w:sz w:val="24"/>
        </w:rPr>
        <w:t>notified</w:t>
      </w:r>
      <w:r>
        <w:rPr>
          <w:spacing w:val="-3"/>
          <w:sz w:val="24"/>
        </w:rPr>
        <w:t> </w:t>
      </w:r>
      <w:r>
        <w:rPr>
          <w:sz w:val="24"/>
        </w:rPr>
        <w:t>that,</w:t>
      </w:r>
      <w:r>
        <w:rPr>
          <w:spacing w:val="-2"/>
          <w:sz w:val="24"/>
        </w:rPr>
        <w:t> </w:t>
      </w:r>
      <w:r>
        <w:rPr>
          <w:sz w:val="24"/>
        </w:rPr>
        <w:t>as</w:t>
      </w:r>
      <w:r>
        <w:rPr>
          <w:spacing w:val="-3"/>
          <w:sz w:val="24"/>
        </w:rPr>
        <w:t> </w:t>
      </w:r>
      <w:r>
        <w:rPr>
          <w:sz w:val="24"/>
        </w:rPr>
        <w:t>a</w:t>
      </w:r>
      <w:r>
        <w:rPr>
          <w:spacing w:val="-3"/>
          <w:sz w:val="24"/>
        </w:rPr>
        <w:t> </w:t>
      </w:r>
      <w:r>
        <w:rPr>
          <w:sz w:val="24"/>
        </w:rPr>
        <w:t>condition</w:t>
      </w:r>
      <w:r>
        <w:rPr>
          <w:spacing w:val="-3"/>
          <w:sz w:val="24"/>
        </w:rPr>
        <w:t> </w:t>
      </w:r>
      <w:r>
        <w:rPr>
          <w:sz w:val="24"/>
        </w:rPr>
        <w:t>of</w:t>
      </w:r>
      <w:r>
        <w:rPr>
          <w:spacing w:val="-2"/>
          <w:sz w:val="24"/>
        </w:rPr>
        <w:t> </w:t>
      </w:r>
      <w:r>
        <w:rPr>
          <w:sz w:val="24"/>
        </w:rPr>
        <w:t>employment,</w:t>
      </w:r>
      <w:r>
        <w:rPr>
          <w:spacing w:val="-4"/>
          <w:sz w:val="24"/>
        </w:rPr>
        <w:t> </w:t>
      </w:r>
      <w:r>
        <w:rPr>
          <w:sz w:val="24"/>
        </w:rPr>
        <w:t>the</w:t>
      </w:r>
      <w:r>
        <w:rPr>
          <w:spacing w:val="-4"/>
          <w:sz w:val="24"/>
        </w:rPr>
        <w:t> </w:t>
      </w:r>
      <w:r>
        <w:rPr>
          <w:sz w:val="24"/>
        </w:rPr>
        <w:t>employee</w:t>
      </w:r>
      <w:r>
        <w:rPr>
          <w:spacing w:val="-2"/>
          <w:sz w:val="24"/>
        </w:rPr>
        <w:t> </w:t>
      </w:r>
      <w:r>
        <w:rPr>
          <w:sz w:val="24"/>
        </w:rPr>
        <w:t>must</w:t>
      </w:r>
      <w:r>
        <w:rPr>
          <w:spacing w:val="-2"/>
          <w:sz w:val="24"/>
        </w:rPr>
        <w:t> </w:t>
      </w:r>
      <w:r>
        <w:rPr>
          <w:sz w:val="24"/>
        </w:rPr>
        <w:t>abide by the terms of this policy. In addition, the employee must notify the Superintendent or his/her designee of any criminal drug statute conviction regardless of where it occurred. Such notification must be made to the Superintendent or his/her designee no later than five</w:t>
      </w:r>
      <w:r>
        <w:rPr>
          <w:spacing w:val="-1"/>
          <w:sz w:val="24"/>
        </w:rPr>
        <w:t> </w:t>
      </w:r>
      <w:r>
        <w:rPr>
          <w:sz w:val="24"/>
        </w:rPr>
        <w:t>(5) calendar days after</w:t>
      </w:r>
      <w:r>
        <w:rPr>
          <w:spacing w:val="-2"/>
          <w:sz w:val="24"/>
        </w:rPr>
        <w:t> </w:t>
      </w:r>
      <w:r>
        <w:rPr>
          <w:sz w:val="24"/>
        </w:rPr>
        <w:t>conviction. the</w:t>
      </w:r>
      <w:r>
        <w:rPr>
          <w:spacing w:val="-1"/>
          <w:sz w:val="24"/>
        </w:rPr>
        <w:t> </w:t>
      </w:r>
      <w:r>
        <w:rPr>
          <w:sz w:val="24"/>
        </w:rPr>
        <w:t>Drug-Free</w:t>
      </w:r>
      <w:r>
        <w:rPr>
          <w:spacing w:val="-1"/>
          <w:sz w:val="24"/>
        </w:rPr>
        <w:t> </w:t>
      </w:r>
      <w:r>
        <w:rPr>
          <w:sz w:val="24"/>
        </w:rPr>
        <w:t>Workplace</w:t>
      </w:r>
      <w:r>
        <w:rPr>
          <w:spacing w:val="-1"/>
          <w:sz w:val="24"/>
        </w:rPr>
        <w:t> </w:t>
      </w:r>
      <w:r>
        <w:rPr>
          <w:sz w:val="24"/>
        </w:rPr>
        <w:t>Act the</w:t>
      </w:r>
      <w:r>
        <w:rPr>
          <w:spacing w:val="-1"/>
          <w:sz w:val="24"/>
        </w:rPr>
        <w:t> </w:t>
      </w:r>
      <w:r>
        <w:rPr>
          <w:sz w:val="24"/>
        </w:rPr>
        <w:t>Superintendent shall provide notice of such violation to the Impact Aid Program, United States Department of Education, or other appropriate government agency within ten (10) calendar days after receiving such notice from the employee or otherwise receiving actual notice of such conviction. Within thirty (30) calendar days of receipt of the above notification, the School will take appropriate disciplinary action which may include termination of employment or require the employee to participate satisfactorily in a drug abuse assistance or rehabilitation program approved for such purposes by a Federal, State, or local health, law enforcement, or other appropriate agency at the employee's </w:t>
      </w:r>
      <w:r>
        <w:rPr>
          <w:spacing w:val="-2"/>
          <w:sz w:val="24"/>
        </w:rPr>
        <w:t>expense.</w:t>
      </w:r>
    </w:p>
    <w:p>
      <w:pPr>
        <w:pStyle w:val="ListParagraph"/>
        <w:numPr>
          <w:ilvl w:val="0"/>
          <w:numId w:val="360"/>
        </w:numPr>
        <w:tabs>
          <w:tab w:pos="786" w:val="left" w:leader="none"/>
        </w:tabs>
        <w:spacing w:line="208" w:lineRule="auto" w:before="238" w:after="0"/>
        <w:ind w:left="360" w:right="738" w:firstLine="0"/>
        <w:jc w:val="left"/>
        <w:rPr>
          <w:sz w:val="24"/>
        </w:rPr>
      </w:pPr>
      <w:r>
        <w:rPr>
          <w:sz w:val="24"/>
        </w:rPr>
        <w:t>The unlawful possession, sale, distribution, manufacture, or use of an intoxicating beverage as defined in 37A O.S. </w:t>
      </w:r>
      <w:r>
        <w:rPr>
          <w:color w:val="333333"/>
          <w:sz w:val="24"/>
        </w:rPr>
        <w:t>§ 1-103 </w:t>
      </w:r>
      <w:r>
        <w:rPr>
          <w:sz w:val="24"/>
        </w:rPr>
        <w:t>by any employee in the workplace will not be tolerated.</w:t>
      </w:r>
      <w:r>
        <w:rPr>
          <w:spacing w:val="-3"/>
          <w:sz w:val="24"/>
        </w:rPr>
        <w:t> </w:t>
      </w:r>
      <w:r>
        <w:rPr>
          <w:sz w:val="24"/>
        </w:rPr>
        <w:t>Judgment</w:t>
      </w:r>
      <w:r>
        <w:rPr>
          <w:spacing w:val="-3"/>
          <w:sz w:val="24"/>
        </w:rPr>
        <w:t> </w:t>
      </w:r>
      <w:r>
        <w:rPr>
          <w:sz w:val="24"/>
        </w:rPr>
        <w:t>regarding</w:t>
      </w:r>
      <w:r>
        <w:rPr>
          <w:spacing w:val="-4"/>
          <w:sz w:val="24"/>
        </w:rPr>
        <w:t> </w:t>
      </w:r>
      <w:r>
        <w:rPr>
          <w:sz w:val="24"/>
        </w:rPr>
        <w:t>the</w:t>
      </w:r>
      <w:r>
        <w:rPr>
          <w:spacing w:val="-3"/>
          <w:sz w:val="24"/>
        </w:rPr>
        <w:t> </w:t>
      </w:r>
      <w:r>
        <w:rPr>
          <w:sz w:val="24"/>
        </w:rPr>
        <w:t>use</w:t>
      </w:r>
      <w:r>
        <w:rPr>
          <w:spacing w:val="-4"/>
          <w:sz w:val="24"/>
        </w:rPr>
        <w:t> </w:t>
      </w:r>
      <w:r>
        <w:rPr>
          <w:sz w:val="24"/>
        </w:rPr>
        <w:t>of</w:t>
      </w:r>
      <w:r>
        <w:rPr>
          <w:spacing w:val="-3"/>
          <w:sz w:val="24"/>
        </w:rPr>
        <w:t> </w:t>
      </w:r>
      <w:r>
        <w:rPr>
          <w:sz w:val="24"/>
        </w:rPr>
        <w:t>such</w:t>
      </w:r>
      <w:r>
        <w:rPr>
          <w:spacing w:val="-4"/>
          <w:sz w:val="24"/>
        </w:rPr>
        <w:t> </w:t>
      </w:r>
      <w:r>
        <w:rPr>
          <w:sz w:val="24"/>
        </w:rPr>
        <w:t>substances</w:t>
      </w:r>
      <w:r>
        <w:rPr>
          <w:spacing w:val="-4"/>
          <w:sz w:val="24"/>
        </w:rPr>
        <w:t> </w:t>
      </w:r>
      <w:r>
        <w:rPr>
          <w:sz w:val="24"/>
        </w:rPr>
        <w:t>will</w:t>
      </w:r>
      <w:r>
        <w:rPr>
          <w:spacing w:val="-4"/>
          <w:sz w:val="24"/>
        </w:rPr>
        <w:t> </w:t>
      </w:r>
      <w:r>
        <w:rPr>
          <w:sz w:val="24"/>
        </w:rPr>
        <w:t>be</w:t>
      </w:r>
      <w:r>
        <w:rPr>
          <w:spacing w:val="-4"/>
          <w:sz w:val="24"/>
        </w:rPr>
        <w:t> </w:t>
      </w:r>
      <w:r>
        <w:rPr>
          <w:sz w:val="24"/>
        </w:rPr>
        <w:t>based</w:t>
      </w:r>
      <w:r>
        <w:rPr>
          <w:spacing w:val="-4"/>
          <w:sz w:val="24"/>
        </w:rPr>
        <w:t> </w:t>
      </w:r>
      <w:r>
        <w:rPr>
          <w:sz w:val="24"/>
        </w:rPr>
        <w:t>upon</w:t>
      </w:r>
      <w:r>
        <w:rPr>
          <w:spacing w:val="-3"/>
          <w:sz w:val="24"/>
        </w:rPr>
        <w:t> </w:t>
      </w:r>
      <w:r>
        <w:rPr>
          <w:sz w:val="24"/>
        </w:rPr>
        <w:t>behaviors related to being under the influence of such substances or having an adverse effect upon job performance. Any employee found to be in violation of this policy will be subject to disciplinary action which may include termination of employment or satisfactory participation in an alcohol abuse assistance or rehabilitation program at the employee's expense.</w:t>
      </w:r>
    </w:p>
    <w:p>
      <w:pPr>
        <w:pStyle w:val="BodyText"/>
        <w:spacing w:before="210"/>
      </w:pPr>
      <w:r>
        <w:rPr/>
        <w:t>INSTRUCTIONS</w:t>
      </w:r>
      <w:r>
        <w:rPr>
          <w:spacing w:val="-3"/>
        </w:rPr>
        <w:t> </w:t>
      </w:r>
      <w:r>
        <w:rPr/>
        <w:t>TO</w:t>
      </w:r>
      <w:r>
        <w:rPr>
          <w:spacing w:val="-2"/>
        </w:rPr>
        <w:t> </w:t>
      </w:r>
      <w:r>
        <w:rPr>
          <w:spacing w:val="-4"/>
        </w:rPr>
        <w:t>STAFF</w:t>
      </w:r>
    </w:p>
    <w:p>
      <w:pPr>
        <w:pStyle w:val="BodyText"/>
        <w:spacing w:after="0"/>
        <w:sectPr>
          <w:pgSz w:w="12240" w:h="15840"/>
          <w:pgMar w:top="1340" w:bottom="280" w:left="1080" w:right="720"/>
        </w:sectPr>
      </w:pPr>
    </w:p>
    <w:p>
      <w:pPr>
        <w:pStyle w:val="ListParagraph"/>
        <w:numPr>
          <w:ilvl w:val="1"/>
          <w:numId w:val="360"/>
        </w:numPr>
        <w:tabs>
          <w:tab w:pos="1077" w:val="left" w:leader="none"/>
        </w:tabs>
        <w:spacing w:line="240" w:lineRule="auto" w:before="67" w:after="0"/>
        <w:ind w:left="1077" w:right="0" w:hanging="286"/>
        <w:jc w:val="left"/>
        <w:rPr>
          <w:sz w:val="24"/>
        </w:rPr>
      </w:pPr>
      <w:r>
        <w:rPr>
          <w:sz w:val="24"/>
        </w:rPr>
        <w:t>Alcohol</w:t>
      </w:r>
      <w:r>
        <w:rPr>
          <w:spacing w:val="-3"/>
          <w:sz w:val="24"/>
        </w:rPr>
        <w:t> </w:t>
      </w:r>
      <w:r>
        <w:rPr>
          <w:sz w:val="24"/>
        </w:rPr>
        <w:t>and</w:t>
      </w:r>
      <w:r>
        <w:rPr>
          <w:spacing w:val="-2"/>
          <w:sz w:val="24"/>
        </w:rPr>
        <w:t> </w:t>
      </w:r>
      <w:r>
        <w:rPr>
          <w:sz w:val="24"/>
        </w:rPr>
        <w:t>drug</w:t>
      </w:r>
      <w:r>
        <w:rPr>
          <w:spacing w:val="-3"/>
          <w:sz w:val="24"/>
        </w:rPr>
        <w:t> </w:t>
      </w:r>
      <w:r>
        <w:rPr>
          <w:sz w:val="24"/>
        </w:rPr>
        <w:t>testing</w:t>
      </w:r>
      <w:r>
        <w:rPr>
          <w:spacing w:val="-2"/>
          <w:sz w:val="24"/>
        </w:rPr>
        <w:t> </w:t>
      </w:r>
      <w:r>
        <w:rPr>
          <w:sz w:val="24"/>
        </w:rPr>
        <w:t>for</w:t>
      </w:r>
      <w:r>
        <w:rPr>
          <w:spacing w:val="-1"/>
          <w:sz w:val="24"/>
        </w:rPr>
        <w:t> </w:t>
      </w:r>
      <w:r>
        <w:rPr>
          <w:spacing w:val="-2"/>
          <w:sz w:val="24"/>
        </w:rPr>
        <w:t>employees</w:t>
      </w:r>
    </w:p>
    <w:p>
      <w:pPr>
        <w:pStyle w:val="ListParagraph"/>
        <w:numPr>
          <w:ilvl w:val="2"/>
          <w:numId w:val="360"/>
        </w:numPr>
        <w:tabs>
          <w:tab w:pos="1650" w:val="left" w:leader="none"/>
        </w:tabs>
        <w:spacing w:line="208" w:lineRule="auto" w:before="233" w:after="0"/>
        <w:ind w:left="1224" w:right="742" w:firstLine="0"/>
        <w:jc w:val="left"/>
        <w:rPr>
          <w:sz w:val="24"/>
        </w:rPr>
      </w:pPr>
      <w:r>
        <w:rPr>
          <w:sz w:val="24"/>
        </w:rPr>
        <w:t>Purpose. Federal law (Omnibus Transportation Employee Testing Act of 1991)</w:t>
      </w:r>
      <w:r>
        <w:rPr>
          <w:spacing w:val="-3"/>
          <w:sz w:val="24"/>
        </w:rPr>
        <w:t> </w:t>
      </w:r>
      <w:r>
        <w:rPr>
          <w:sz w:val="24"/>
        </w:rPr>
        <w:t>and</w:t>
      </w:r>
      <w:r>
        <w:rPr>
          <w:spacing w:val="-4"/>
          <w:sz w:val="24"/>
        </w:rPr>
        <w:t> </w:t>
      </w:r>
      <w:r>
        <w:rPr>
          <w:sz w:val="24"/>
        </w:rPr>
        <w:t>rules</w:t>
      </w:r>
      <w:r>
        <w:rPr>
          <w:spacing w:val="-4"/>
          <w:sz w:val="24"/>
        </w:rPr>
        <w:t> </w:t>
      </w:r>
      <w:r>
        <w:rPr>
          <w:sz w:val="24"/>
        </w:rPr>
        <w:t>of</w:t>
      </w:r>
      <w:r>
        <w:rPr>
          <w:spacing w:val="-3"/>
          <w:sz w:val="24"/>
        </w:rPr>
        <w:t> </w:t>
      </w:r>
      <w:r>
        <w:rPr>
          <w:sz w:val="24"/>
        </w:rPr>
        <w:t>the</w:t>
      </w:r>
      <w:r>
        <w:rPr>
          <w:spacing w:val="-5"/>
          <w:sz w:val="24"/>
        </w:rPr>
        <w:t> </w:t>
      </w:r>
      <w:r>
        <w:rPr>
          <w:sz w:val="24"/>
        </w:rPr>
        <w:t>U.</w:t>
      </w:r>
      <w:r>
        <w:rPr>
          <w:spacing w:val="-3"/>
          <w:sz w:val="24"/>
        </w:rPr>
        <w:t> </w:t>
      </w:r>
      <w:r>
        <w:rPr>
          <w:sz w:val="24"/>
        </w:rPr>
        <w:t>S.</w:t>
      </w:r>
      <w:r>
        <w:rPr>
          <w:spacing w:val="-3"/>
          <w:sz w:val="24"/>
        </w:rPr>
        <w:t> </w:t>
      </w:r>
      <w:r>
        <w:rPr>
          <w:sz w:val="24"/>
        </w:rPr>
        <w:t>Department</w:t>
      </w:r>
      <w:r>
        <w:rPr>
          <w:spacing w:val="-5"/>
          <w:sz w:val="24"/>
        </w:rPr>
        <w:t> </w:t>
      </w:r>
      <w:r>
        <w:rPr>
          <w:sz w:val="24"/>
        </w:rPr>
        <w:t>of</w:t>
      </w:r>
      <w:r>
        <w:rPr>
          <w:spacing w:val="-3"/>
          <w:sz w:val="24"/>
        </w:rPr>
        <w:t> </w:t>
      </w:r>
      <w:r>
        <w:rPr>
          <w:sz w:val="24"/>
        </w:rPr>
        <w:t>Transportation,</w:t>
      </w:r>
      <w:r>
        <w:rPr>
          <w:spacing w:val="-3"/>
          <w:sz w:val="24"/>
        </w:rPr>
        <w:t> </w:t>
      </w:r>
      <w:r>
        <w:rPr>
          <w:sz w:val="24"/>
        </w:rPr>
        <w:t>the</w:t>
      </w:r>
      <w:r>
        <w:rPr>
          <w:spacing w:val="-4"/>
          <w:sz w:val="24"/>
        </w:rPr>
        <w:t> </w:t>
      </w:r>
      <w:r>
        <w:rPr>
          <w:sz w:val="24"/>
        </w:rPr>
        <w:t>Federal</w:t>
      </w:r>
      <w:r>
        <w:rPr>
          <w:spacing w:val="-4"/>
          <w:sz w:val="24"/>
        </w:rPr>
        <w:t> </w:t>
      </w:r>
      <w:r>
        <w:rPr>
          <w:sz w:val="24"/>
        </w:rPr>
        <w:t>Highway Administration and the Federal Transit Administration require alcohol and drug testing of all drivers who are required to have a commercial driver's license (CDL) and of all employees who perform safety sensitive transportation functions. This policy applies to bus drivers and those teachers and coaches who drive school buses with a capacity of 16 or more passengers including the driver as well as mechanics who do maintenance repair work on buses.</w:t>
      </w:r>
    </w:p>
    <w:p>
      <w:pPr>
        <w:pStyle w:val="ListParagraph"/>
        <w:numPr>
          <w:ilvl w:val="2"/>
          <w:numId w:val="360"/>
        </w:numPr>
        <w:tabs>
          <w:tab w:pos="1650" w:val="left" w:leader="none"/>
        </w:tabs>
        <w:spacing w:line="208" w:lineRule="auto" w:before="239" w:after="0"/>
        <w:ind w:left="1224" w:right="993" w:firstLine="0"/>
        <w:jc w:val="left"/>
        <w:rPr>
          <w:sz w:val="24"/>
        </w:rPr>
      </w:pPr>
      <w:r>
        <w:rPr>
          <w:sz w:val="24"/>
        </w:rPr>
        <w:t>Responsibility. The Superintendent or designee of each school is responsible</w:t>
      </w:r>
      <w:r>
        <w:rPr>
          <w:spacing w:val="-3"/>
          <w:sz w:val="24"/>
        </w:rPr>
        <w:t> </w:t>
      </w:r>
      <w:r>
        <w:rPr>
          <w:sz w:val="24"/>
        </w:rPr>
        <w:t>for</w:t>
      </w:r>
      <w:r>
        <w:rPr>
          <w:spacing w:val="-5"/>
          <w:sz w:val="24"/>
        </w:rPr>
        <w:t> </w:t>
      </w:r>
      <w:r>
        <w:rPr>
          <w:sz w:val="24"/>
        </w:rPr>
        <w:t>the</w:t>
      </w:r>
      <w:r>
        <w:rPr>
          <w:spacing w:val="-4"/>
          <w:sz w:val="24"/>
        </w:rPr>
        <w:t> </w:t>
      </w:r>
      <w:r>
        <w:rPr>
          <w:sz w:val="24"/>
        </w:rPr>
        <w:t>administration</w:t>
      </w:r>
      <w:r>
        <w:rPr>
          <w:spacing w:val="-3"/>
          <w:sz w:val="24"/>
        </w:rPr>
        <w:t> </w:t>
      </w:r>
      <w:r>
        <w:rPr>
          <w:sz w:val="24"/>
        </w:rPr>
        <w:t>of</w:t>
      </w:r>
      <w:r>
        <w:rPr>
          <w:spacing w:val="-5"/>
          <w:sz w:val="24"/>
        </w:rPr>
        <w:t> </w:t>
      </w:r>
      <w:r>
        <w:rPr>
          <w:sz w:val="24"/>
        </w:rPr>
        <w:t>the</w:t>
      </w:r>
      <w:r>
        <w:rPr>
          <w:spacing w:val="-4"/>
          <w:sz w:val="24"/>
        </w:rPr>
        <w:t> </w:t>
      </w:r>
      <w:r>
        <w:rPr>
          <w:sz w:val="24"/>
        </w:rPr>
        <w:t>program</w:t>
      </w:r>
      <w:r>
        <w:rPr>
          <w:spacing w:val="-3"/>
          <w:sz w:val="24"/>
        </w:rPr>
        <w:t> </w:t>
      </w:r>
      <w:r>
        <w:rPr>
          <w:sz w:val="24"/>
        </w:rPr>
        <w:t>of</w:t>
      </w:r>
      <w:r>
        <w:rPr>
          <w:spacing w:val="-5"/>
          <w:sz w:val="24"/>
        </w:rPr>
        <w:t> </w:t>
      </w:r>
      <w:r>
        <w:rPr>
          <w:sz w:val="24"/>
        </w:rPr>
        <w:t>required</w:t>
      </w:r>
      <w:r>
        <w:rPr>
          <w:spacing w:val="-4"/>
          <w:sz w:val="24"/>
        </w:rPr>
        <w:t> </w:t>
      </w:r>
      <w:r>
        <w:rPr>
          <w:sz w:val="24"/>
        </w:rPr>
        <w:t>alcohol</w:t>
      </w:r>
      <w:r>
        <w:rPr>
          <w:spacing w:val="-3"/>
          <w:sz w:val="24"/>
        </w:rPr>
        <w:t> </w:t>
      </w:r>
      <w:r>
        <w:rPr>
          <w:sz w:val="24"/>
        </w:rPr>
        <w:t>and</w:t>
      </w:r>
      <w:r>
        <w:rPr>
          <w:spacing w:val="-4"/>
          <w:sz w:val="24"/>
        </w:rPr>
        <w:t> </w:t>
      </w:r>
      <w:r>
        <w:rPr>
          <w:sz w:val="24"/>
        </w:rPr>
        <w:t>drug testing of employees who perform safety-sensitive transportation functions.</w:t>
      </w:r>
    </w:p>
    <w:p>
      <w:pPr>
        <w:pStyle w:val="ListParagraph"/>
        <w:numPr>
          <w:ilvl w:val="2"/>
          <w:numId w:val="360"/>
        </w:numPr>
        <w:tabs>
          <w:tab w:pos="1637" w:val="left" w:leader="none"/>
        </w:tabs>
        <w:spacing w:line="208" w:lineRule="auto" w:before="240" w:after="0"/>
        <w:ind w:left="1224" w:right="810" w:firstLine="0"/>
        <w:jc w:val="left"/>
        <w:rPr>
          <w:sz w:val="24"/>
        </w:rPr>
      </w:pPr>
      <w:r>
        <w:rPr>
          <w:sz w:val="24"/>
        </w:rPr>
        <w:t>Definitions.</w:t>
      </w:r>
      <w:r>
        <w:rPr>
          <w:spacing w:val="-3"/>
          <w:sz w:val="24"/>
        </w:rPr>
        <w:t> </w:t>
      </w:r>
      <w:r>
        <w:rPr>
          <w:sz w:val="24"/>
        </w:rPr>
        <w:t>The</w:t>
      </w:r>
      <w:r>
        <w:rPr>
          <w:spacing w:val="-4"/>
          <w:sz w:val="24"/>
        </w:rPr>
        <w:t> </w:t>
      </w:r>
      <w:r>
        <w:rPr>
          <w:sz w:val="24"/>
        </w:rPr>
        <w:t>following</w:t>
      </w:r>
      <w:r>
        <w:rPr>
          <w:spacing w:val="-4"/>
          <w:sz w:val="24"/>
        </w:rPr>
        <w:t> </w:t>
      </w:r>
      <w:r>
        <w:rPr>
          <w:sz w:val="24"/>
        </w:rPr>
        <w:t>words</w:t>
      </w:r>
      <w:r>
        <w:rPr>
          <w:spacing w:val="-4"/>
          <w:sz w:val="24"/>
        </w:rPr>
        <w:t> </w:t>
      </w:r>
      <w:r>
        <w:rPr>
          <w:sz w:val="24"/>
        </w:rPr>
        <w:t>and</w:t>
      </w:r>
      <w:r>
        <w:rPr>
          <w:spacing w:val="-4"/>
          <w:sz w:val="24"/>
        </w:rPr>
        <w:t> </w:t>
      </w:r>
      <w:r>
        <w:rPr>
          <w:sz w:val="24"/>
        </w:rPr>
        <w:t>terms,</w:t>
      </w:r>
      <w:r>
        <w:rPr>
          <w:spacing w:val="-3"/>
          <w:sz w:val="24"/>
        </w:rPr>
        <w:t> </w:t>
      </w:r>
      <w:r>
        <w:rPr>
          <w:sz w:val="24"/>
        </w:rPr>
        <w:t>when</w:t>
      </w:r>
      <w:r>
        <w:rPr>
          <w:spacing w:val="-4"/>
          <w:sz w:val="24"/>
        </w:rPr>
        <w:t> </w:t>
      </w:r>
      <w:r>
        <w:rPr>
          <w:sz w:val="24"/>
        </w:rPr>
        <w:t>used</w:t>
      </w:r>
      <w:r>
        <w:rPr>
          <w:spacing w:val="-4"/>
          <w:sz w:val="24"/>
        </w:rPr>
        <w:t> </w:t>
      </w:r>
      <w:r>
        <w:rPr>
          <w:sz w:val="24"/>
        </w:rPr>
        <w:t>in</w:t>
      </w:r>
      <w:r>
        <w:rPr>
          <w:spacing w:val="-4"/>
          <w:sz w:val="24"/>
        </w:rPr>
        <w:t> </w:t>
      </w:r>
      <w:r>
        <w:rPr>
          <w:sz w:val="24"/>
        </w:rPr>
        <w:t>this</w:t>
      </w:r>
      <w:r>
        <w:rPr>
          <w:spacing w:val="-4"/>
          <w:sz w:val="24"/>
        </w:rPr>
        <w:t> </w:t>
      </w:r>
      <w:r>
        <w:rPr>
          <w:sz w:val="24"/>
        </w:rPr>
        <w:t>Section,</w:t>
      </w:r>
      <w:r>
        <w:rPr>
          <w:spacing w:val="-3"/>
          <w:sz w:val="24"/>
        </w:rPr>
        <w:t> </w:t>
      </w:r>
      <w:r>
        <w:rPr>
          <w:sz w:val="24"/>
        </w:rPr>
        <w:t>shall have the following meaning unless the context clearly indicates otherwise:</w:t>
      </w:r>
    </w:p>
    <w:p>
      <w:pPr>
        <w:pStyle w:val="ListParagraph"/>
        <w:numPr>
          <w:ilvl w:val="3"/>
          <w:numId w:val="360"/>
        </w:numPr>
        <w:tabs>
          <w:tab w:pos="2082" w:val="left" w:leader="none"/>
        </w:tabs>
        <w:spacing w:line="208" w:lineRule="auto" w:before="240" w:after="0"/>
        <w:ind w:left="1656" w:right="1017" w:firstLine="0"/>
        <w:jc w:val="left"/>
        <w:rPr>
          <w:sz w:val="24"/>
        </w:rPr>
      </w:pPr>
      <w:r>
        <w:rPr>
          <w:sz w:val="24"/>
        </w:rPr>
        <w:t>"Driver" means those drivers regularly employed by the school and casual,</w:t>
      </w:r>
      <w:r>
        <w:rPr>
          <w:spacing w:val="-4"/>
          <w:sz w:val="24"/>
        </w:rPr>
        <w:t> </w:t>
      </w:r>
      <w:r>
        <w:rPr>
          <w:sz w:val="24"/>
        </w:rPr>
        <w:t>intermittent</w:t>
      </w:r>
      <w:r>
        <w:rPr>
          <w:spacing w:val="-6"/>
          <w:sz w:val="24"/>
        </w:rPr>
        <w:t> </w:t>
      </w:r>
      <w:r>
        <w:rPr>
          <w:sz w:val="24"/>
        </w:rPr>
        <w:t>or</w:t>
      </w:r>
      <w:r>
        <w:rPr>
          <w:spacing w:val="-6"/>
          <w:sz w:val="24"/>
        </w:rPr>
        <w:t> </w:t>
      </w:r>
      <w:r>
        <w:rPr>
          <w:sz w:val="24"/>
        </w:rPr>
        <w:t>occasional</w:t>
      </w:r>
      <w:r>
        <w:rPr>
          <w:spacing w:val="-4"/>
          <w:sz w:val="24"/>
        </w:rPr>
        <w:t> </w:t>
      </w:r>
      <w:r>
        <w:rPr>
          <w:sz w:val="24"/>
        </w:rPr>
        <w:t>drivers,</w:t>
      </w:r>
      <w:r>
        <w:rPr>
          <w:spacing w:val="-4"/>
          <w:sz w:val="24"/>
        </w:rPr>
        <w:t> </w:t>
      </w:r>
      <w:r>
        <w:rPr>
          <w:sz w:val="24"/>
        </w:rPr>
        <w:t>leased</w:t>
      </w:r>
      <w:r>
        <w:rPr>
          <w:spacing w:val="-5"/>
          <w:sz w:val="24"/>
        </w:rPr>
        <w:t> </w:t>
      </w:r>
      <w:r>
        <w:rPr>
          <w:sz w:val="24"/>
        </w:rPr>
        <w:t>drivers</w:t>
      </w:r>
      <w:r>
        <w:rPr>
          <w:spacing w:val="-5"/>
          <w:sz w:val="24"/>
        </w:rPr>
        <w:t> </w:t>
      </w:r>
      <w:r>
        <w:rPr>
          <w:sz w:val="24"/>
        </w:rPr>
        <w:t>and</w:t>
      </w:r>
      <w:r>
        <w:rPr>
          <w:spacing w:val="-5"/>
          <w:sz w:val="24"/>
        </w:rPr>
        <w:t> </w:t>
      </w:r>
      <w:r>
        <w:rPr>
          <w:sz w:val="24"/>
        </w:rPr>
        <w:t>independent owner-operator contractors who are either directly employed by or under lease to an employer who operates a commercial motor vehicle at the direction of or with the consent of an employer.</w:t>
      </w:r>
    </w:p>
    <w:p>
      <w:pPr>
        <w:pStyle w:val="ListParagraph"/>
        <w:numPr>
          <w:ilvl w:val="3"/>
          <w:numId w:val="360"/>
        </w:numPr>
        <w:tabs>
          <w:tab w:pos="2081" w:val="left" w:leader="none"/>
        </w:tabs>
        <w:spacing w:line="208" w:lineRule="auto" w:before="239" w:after="0"/>
        <w:ind w:left="1655" w:right="929" w:firstLine="0"/>
        <w:jc w:val="left"/>
        <w:rPr>
          <w:sz w:val="24"/>
        </w:rPr>
      </w:pPr>
      <w:r>
        <w:rPr>
          <w:sz w:val="24"/>
        </w:rPr>
        <w:t>"Commercial</w:t>
      </w:r>
      <w:r>
        <w:rPr>
          <w:spacing w:val="-5"/>
          <w:sz w:val="24"/>
        </w:rPr>
        <w:t> </w:t>
      </w:r>
      <w:r>
        <w:rPr>
          <w:sz w:val="24"/>
        </w:rPr>
        <w:t>vehicle"</w:t>
      </w:r>
      <w:r>
        <w:rPr>
          <w:spacing w:val="-5"/>
          <w:sz w:val="24"/>
        </w:rPr>
        <w:t> </w:t>
      </w:r>
      <w:r>
        <w:rPr>
          <w:sz w:val="24"/>
        </w:rPr>
        <w:t>means</w:t>
      </w:r>
      <w:r>
        <w:rPr>
          <w:spacing w:val="-5"/>
          <w:sz w:val="24"/>
        </w:rPr>
        <w:t> </w:t>
      </w:r>
      <w:r>
        <w:rPr>
          <w:sz w:val="24"/>
        </w:rPr>
        <w:t>a</w:t>
      </w:r>
      <w:r>
        <w:rPr>
          <w:spacing w:val="-5"/>
          <w:sz w:val="24"/>
        </w:rPr>
        <w:t> </w:t>
      </w:r>
      <w:r>
        <w:rPr>
          <w:sz w:val="24"/>
        </w:rPr>
        <w:t>vehicle</w:t>
      </w:r>
      <w:r>
        <w:rPr>
          <w:spacing w:val="-5"/>
          <w:sz w:val="24"/>
        </w:rPr>
        <w:t> </w:t>
      </w:r>
      <w:r>
        <w:rPr>
          <w:sz w:val="24"/>
        </w:rPr>
        <w:t>used</w:t>
      </w:r>
      <w:r>
        <w:rPr>
          <w:spacing w:val="-5"/>
          <w:sz w:val="24"/>
        </w:rPr>
        <w:t> </w:t>
      </w:r>
      <w:r>
        <w:rPr>
          <w:sz w:val="24"/>
        </w:rPr>
        <w:t>to</w:t>
      </w:r>
      <w:r>
        <w:rPr>
          <w:spacing w:val="-5"/>
          <w:sz w:val="24"/>
        </w:rPr>
        <w:t> </w:t>
      </w:r>
      <w:r>
        <w:rPr>
          <w:sz w:val="24"/>
        </w:rPr>
        <w:t>transport</w:t>
      </w:r>
      <w:r>
        <w:rPr>
          <w:spacing w:val="-4"/>
          <w:sz w:val="24"/>
        </w:rPr>
        <w:t> </w:t>
      </w:r>
      <w:r>
        <w:rPr>
          <w:sz w:val="24"/>
        </w:rPr>
        <w:t>passengers</w:t>
      </w:r>
      <w:r>
        <w:rPr>
          <w:spacing w:val="-5"/>
          <w:sz w:val="24"/>
        </w:rPr>
        <w:t> </w:t>
      </w:r>
      <w:r>
        <w:rPr>
          <w:sz w:val="24"/>
        </w:rPr>
        <w:t>if the vehicle is designed to transport 16 or more passengers, including the </w:t>
      </w:r>
      <w:r>
        <w:rPr>
          <w:spacing w:val="-2"/>
          <w:sz w:val="24"/>
        </w:rPr>
        <w:t>driver.</w:t>
      </w:r>
    </w:p>
    <w:p>
      <w:pPr>
        <w:pStyle w:val="ListParagraph"/>
        <w:numPr>
          <w:ilvl w:val="3"/>
          <w:numId w:val="360"/>
        </w:numPr>
        <w:tabs>
          <w:tab w:pos="2081" w:val="left" w:leader="none"/>
        </w:tabs>
        <w:spacing w:line="208" w:lineRule="auto" w:before="240" w:after="0"/>
        <w:ind w:left="1655" w:right="1140" w:firstLine="0"/>
        <w:jc w:val="left"/>
        <w:rPr>
          <w:sz w:val="24"/>
        </w:rPr>
      </w:pPr>
      <w:r>
        <w:rPr>
          <w:sz w:val="24"/>
        </w:rPr>
        <w:t>"Safety-sensitive</w:t>
      </w:r>
      <w:r>
        <w:rPr>
          <w:spacing w:val="-6"/>
          <w:sz w:val="24"/>
        </w:rPr>
        <w:t> </w:t>
      </w:r>
      <w:r>
        <w:rPr>
          <w:sz w:val="24"/>
        </w:rPr>
        <w:t>transit</w:t>
      </w:r>
      <w:r>
        <w:rPr>
          <w:spacing w:val="-5"/>
          <w:sz w:val="24"/>
        </w:rPr>
        <w:t> </w:t>
      </w:r>
      <w:r>
        <w:rPr>
          <w:sz w:val="24"/>
        </w:rPr>
        <w:t>employees"</w:t>
      </w:r>
      <w:r>
        <w:rPr>
          <w:spacing w:val="-6"/>
          <w:sz w:val="24"/>
        </w:rPr>
        <w:t> </w:t>
      </w:r>
      <w:r>
        <w:rPr>
          <w:sz w:val="24"/>
        </w:rPr>
        <w:t>means</w:t>
      </w:r>
      <w:r>
        <w:rPr>
          <w:spacing w:val="-6"/>
          <w:sz w:val="24"/>
        </w:rPr>
        <w:t> </w:t>
      </w:r>
      <w:r>
        <w:rPr>
          <w:sz w:val="24"/>
        </w:rPr>
        <w:t>mechanics</w:t>
      </w:r>
      <w:r>
        <w:rPr>
          <w:spacing w:val="-6"/>
          <w:sz w:val="24"/>
        </w:rPr>
        <w:t> </w:t>
      </w:r>
      <w:r>
        <w:rPr>
          <w:sz w:val="24"/>
        </w:rPr>
        <w:t>who</w:t>
      </w:r>
      <w:r>
        <w:rPr>
          <w:spacing w:val="-6"/>
          <w:sz w:val="24"/>
        </w:rPr>
        <w:t> </w:t>
      </w:r>
      <w:r>
        <w:rPr>
          <w:sz w:val="24"/>
        </w:rPr>
        <w:t>perform maintenance and repair on school vehicles.</w:t>
      </w:r>
    </w:p>
    <w:p>
      <w:pPr>
        <w:pStyle w:val="ListParagraph"/>
        <w:numPr>
          <w:ilvl w:val="3"/>
          <w:numId w:val="360"/>
        </w:numPr>
        <w:tabs>
          <w:tab w:pos="2081" w:val="left" w:leader="none"/>
        </w:tabs>
        <w:spacing w:line="208" w:lineRule="auto" w:before="240" w:after="0"/>
        <w:ind w:left="1655" w:right="981" w:firstLine="0"/>
        <w:jc w:val="left"/>
        <w:rPr>
          <w:sz w:val="24"/>
        </w:rPr>
      </w:pPr>
      <w:r>
        <w:rPr>
          <w:sz w:val="24"/>
        </w:rPr>
        <w:t>"Controlled</w:t>
      </w:r>
      <w:r>
        <w:rPr>
          <w:spacing w:val="-7"/>
          <w:sz w:val="24"/>
        </w:rPr>
        <w:t> </w:t>
      </w:r>
      <w:r>
        <w:rPr>
          <w:sz w:val="24"/>
        </w:rPr>
        <w:t>substances"</w:t>
      </w:r>
      <w:r>
        <w:rPr>
          <w:spacing w:val="-7"/>
          <w:sz w:val="24"/>
        </w:rPr>
        <w:t> </w:t>
      </w:r>
      <w:r>
        <w:rPr>
          <w:sz w:val="24"/>
        </w:rPr>
        <w:t>means</w:t>
      </w:r>
      <w:r>
        <w:rPr>
          <w:spacing w:val="-7"/>
          <w:sz w:val="24"/>
        </w:rPr>
        <w:t> </w:t>
      </w:r>
      <w:r>
        <w:rPr>
          <w:sz w:val="24"/>
        </w:rPr>
        <w:t>marijuana</w:t>
      </w:r>
      <w:r>
        <w:rPr>
          <w:spacing w:val="-7"/>
          <w:sz w:val="24"/>
        </w:rPr>
        <w:t> </w:t>
      </w:r>
      <w:r>
        <w:rPr>
          <w:sz w:val="24"/>
        </w:rPr>
        <w:t>(THC</w:t>
      </w:r>
      <w:r>
        <w:rPr>
          <w:spacing w:val="-7"/>
          <w:sz w:val="24"/>
        </w:rPr>
        <w:t> </w:t>
      </w:r>
      <w:r>
        <w:rPr>
          <w:sz w:val="24"/>
        </w:rPr>
        <w:t>metabolite),</w:t>
      </w:r>
      <w:r>
        <w:rPr>
          <w:spacing w:val="-6"/>
          <w:sz w:val="24"/>
        </w:rPr>
        <w:t> </w:t>
      </w:r>
      <w:r>
        <w:rPr>
          <w:sz w:val="24"/>
        </w:rPr>
        <w:t>cocaine, amphetamines, opiates (including heroin), and phencyclidine (PCP).</w:t>
      </w:r>
    </w:p>
    <w:p>
      <w:pPr>
        <w:pStyle w:val="ListParagraph"/>
        <w:numPr>
          <w:ilvl w:val="3"/>
          <w:numId w:val="360"/>
        </w:numPr>
        <w:tabs>
          <w:tab w:pos="2081" w:val="left" w:leader="none"/>
        </w:tabs>
        <w:spacing w:line="208" w:lineRule="auto" w:before="239" w:after="0"/>
        <w:ind w:left="1655" w:right="804" w:firstLine="0"/>
        <w:jc w:val="left"/>
        <w:rPr>
          <w:sz w:val="24"/>
        </w:rPr>
      </w:pPr>
      <w:r>
        <w:rPr>
          <w:sz w:val="24"/>
        </w:rPr>
        <w:t>"Substance abuse professional" means a licensed psychologist or social</w:t>
      </w:r>
      <w:r>
        <w:rPr>
          <w:spacing w:val="-3"/>
          <w:sz w:val="24"/>
        </w:rPr>
        <w:t> </w:t>
      </w:r>
      <w:r>
        <w:rPr>
          <w:sz w:val="24"/>
        </w:rPr>
        <w:t>worker,</w:t>
      </w:r>
      <w:r>
        <w:rPr>
          <w:spacing w:val="-2"/>
          <w:sz w:val="24"/>
        </w:rPr>
        <w:t> </w:t>
      </w:r>
      <w:r>
        <w:rPr>
          <w:sz w:val="24"/>
        </w:rPr>
        <w:t>a</w:t>
      </w:r>
      <w:r>
        <w:rPr>
          <w:spacing w:val="-3"/>
          <w:sz w:val="24"/>
        </w:rPr>
        <w:t> </w:t>
      </w:r>
      <w:r>
        <w:rPr>
          <w:sz w:val="24"/>
        </w:rPr>
        <w:t>D.O.</w:t>
      </w:r>
      <w:r>
        <w:rPr>
          <w:spacing w:val="-5"/>
          <w:sz w:val="24"/>
        </w:rPr>
        <w:t> </w:t>
      </w:r>
      <w:r>
        <w:rPr>
          <w:sz w:val="24"/>
        </w:rPr>
        <w:t>or</w:t>
      </w:r>
      <w:r>
        <w:rPr>
          <w:spacing w:val="-2"/>
          <w:sz w:val="24"/>
        </w:rPr>
        <w:t> </w:t>
      </w:r>
      <w:r>
        <w:rPr>
          <w:sz w:val="24"/>
        </w:rPr>
        <w:t>M.D.</w:t>
      </w:r>
      <w:r>
        <w:rPr>
          <w:spacing w:val="-4"/>
          <w:sz w:val="24"/>
        </w:rPr>
        <w:t> </w:t>
      </w:r>
      <w:r>
        <w:rPr>
          <w:sz w:val="24"/>
        </w:rPr>
        <w:t>with</w:t>
      </w:r>
      <w:r>
        <w:rPr>
          <w:spacing w:val="-3"/>
          <w:sz w:val="24"/>
        </w:rPr>
        <w:t> </w:t>
      </w:r>
      <w:r>
        <w:rPr>
          <w:sz w:val="24"/>
        </w:rPr>
        <w:t>training</w:t>
      </w:r>
      <w:r>
        <w:rPr>
          <w:spacing w:val="-3"/>
          <w:sz w:val="24"/>
        </w:rPr>
        <w:t> </w:t>
      </w:r>
      <w:r>
        <w:rPr>
          <w:sz w:val="24"/>
        </w:rPr>
        <w:t>in</w:t>
      </w:r>
      <w:r>
        <w:rPr>
          <w:spacing w:val="-3"/>
          <w:sz w:val="24"/>
        </w:rPr>
        <w:t> </w:t>
      </w:r>
      <w:r>
        <w:rPr>
          <w:sz w:val="24"/>
        </w:rPr>
        <w:t>assessing</w:t>
      </w:r>
      <w:r>
        <w:rPr>
          <w:spacing w:val="-3"/>
          <w:sz w:val="24"/>
        </w:rPr>
        <w:t> </w:t>
      </w:r>
      <w:r>
        <w:rPr>
          <w:sz w:val="24"/>
        </w:rPr>
        <w:t>and</w:t>
      </w:r>
      <w:r>
        <w:rPr>
          <w:spacing w:val="-3"/>
          <w:sz w:val="24"/>
        </w:rPr>
        <w:t> </w:t>
      </w:r>
      <w:r>
        <w:rPr>
          <w:sz w:val="24"/>
        </w:rPr>
        <w:t>treating</w:t>
      </w:r>
      <w:r>
        <w:rPr>
          <w:spacing w:val="-3"/>
          <w:sz w:val="24"/>
        </w:rPr>
        <w:t> </w:t>
      </w:r>
      <w:r>
        <w:rPr>
          <w:sz w:val="24"/>
        </w:rPr>
        <w:t>alcohol and controlled substances abuse, a Certified Employee Assistance Professional, or a certified National Association Alcohol and Drug Abuse </w:t>
      </w:r>
      <w:r>
        <w:rPr>
          <w:spacing w:val="-2"/>
          <w:sz w:val="24"/>
        </w:rPr>
        <w:t>Counselor.</w:t>
      </w:r>
    </w:p>
    <w:p>
      <w:pPr>
        <w:pStyle w:val="ListParagraph"/>
        <w:numPr>
          <w:ilvl w:val="2"/>
          <w:numId w:val="360"/>
        </w:numPr>
        <w:tabs>
          <w:tab w:pos="1649" w:val="left" w:leader="none"/>
        </w:tabs>
        <w:spacing w:line="240" w:lineRule="auto" w:before="211" w:after="0"/>
        <w:ind w:left="1649" w:right="0" w:hanging="426"/>
        <w:jc w:val="left"/>
        <w:rPr>
          <w:sz w:val="24"/>
        </w:rPr>
      </w:pPr>
      <w:r>
        <w:rPr>
          <w:sz w:val="24"/>
        </w:rPr>
        <w:t>Legal</w:t>
      </w:r>
      <w:r>
        <w:rPr>
          <w:spacing w:val="-4"/>
          <w:sz w:val="24"/>
        </w:rPr>
        <w:t> </w:t>
      </w:r>
      <w:r>
        <w:rPr>
          <w:spacing w:val="-2"/>
          <w:sz w:val="24"/>
        </w:rPr>
        <w:t>requirements.</w:t>
      </w:r>
    </w:p>
    <w:p>
      <w:pPr>
        <w:pStyle w:val="ListParagraph"/>
        <w:numPr>
          <w:ilvl w:val="3"/>
          <w:numId w:val="360"/>
        </w:numPr>
        <w:tabs>
          <w:tab w:pos="2081" w:val="left" w:leader="none"/>
        </w:tabs>
        <w:spacing w:line="208" w:lineRule="auto" w:before="233" w:after="0"/>
        <w:ind w:left="1655" w:right="1298" w:firstLine="0"/>
        <w:jc w:val="left"/>
        <w:rPr>
          <w:sz w:val="24"/>
        </w:rPr>
      </w:pPr>
      <w:r>
        <w:rPr>
          <w:sz w:val="24"/>
        </w:rPr>
        <w:t>Federal law. These policies are developed in accordance with the Omnibus Transportation Employee Testing Act of 1991, and rules promulgated</w:t>
      </w:r>
      <w:r>
        <w:rPr>
          <w:spacing w:val="-5"/>
          <w:sz w:val="24"/>
        </w:rPr>
        <w:t> </w:t>
      </w:r>
      <w:r>
        <w:rPr>
          <w:sz w:val="24"/>
        </w:rPr>
        <w:t>by</w:t>
      </w:r>
      <w:r>
        <w:rPr>
          <w:spacing w:val="-5"/>
          <w:sz w:val="24"/>
        </w:rPr>
        <w:t> </w:t>
      </w:r>
      <w:r>
        <w:rPr>
          <w:sz w:val="24"/>
        </w:rPr>
        <w:t>the</w:t>
      </w:r>
      <w:r>
        <w:rPr>
          <w:spacing w:val="-5"/>
          <w:sz w:val="24"/>
        </w:rPr>
        <w:t> </w:t>
      </w:r>
      <w:r>
        <w:rPr>
          <w:sz w:val="24"/>
        </w:rPr>
        <w:t>U.S.</w:t>
      </w:r>
      <w:r>
        <w:rPr>
          <w:spacing w:val="-4"/>
          <w:sz w:val="24"/>
        </w:rPr>
        <w:t> </w:t>
      </w:r>
      <w:r>
        <w:rPr>
          <w:sz w:val="24"/>
        </w:rPr>
        <w:t>Department</w:t>
      </w:r>
      <w:r>
        <w:rPr>
          <w:spacing w:val="-4"/>
          <w:sz w:val="24"/>
        </w:rPr>
        <w:t> </w:t>
      </w:r>
      <w:r>
        <w:rPr>
          <w:sz w:val="24"/>
        </w:rPr>
        <w:t>of</w:t>
      </w:r>
      <w:r>
        <w:rPr>
          <w:spacing w:val="-4"/>
          <w:sz w:val="24"/>
        </w:rPr>
        <w:t> </w:t>
      </w:r>
      <w:r>
        <w:rPr>
          <w:sz w:val="24"/>
        </w:rPr>
        <w:t>Transportation</w:t>
      </w:r>
      <w:r>
        <w:rPr>
          <w:spacing w:val="-5"/>
          <w:sz w:val="24"/>
        </w:rPr>
        <w:t> </w:t>
      </w:r>
      <w:r>
        <w:rPr>
          <w:sz w:val="24"/>
        </w:rPr>
        <w:t>at</w:t>
      </w:r>
      <w:r>
        <w:rPr>
          <w:spacing w:val="-4"/>
          <w:sz w:val="24"/>
        </w:rPr>
        <w:t> </w:t>
      </w:r>
      <w:r>
        <w:rPr>
          <w:sz w:val="24"/>
        </w:rPr>
        <w:t>49</w:t>
      </w:r>
      <w:r>
        <w:rPr>
          <w:spacing w:val="-5"/>
          <w:sz w:val="24"/>
        </w:rPr>
        <w:t> </w:t>
      </w:r>
      <w:r>
        <w:rPr>
          <w:sz w:val="24"/>
        </w:rPr>
        <w:t>CFR</w:t>
      </w:r>
      <w:r>
        <w:rPr>
          <w:spacing w:val="-5"/>
          <w:sz w:val="24"/>
        </w:rPr>
        <w:t> </w:t>
      </w:r>
      <w:r>
        <w:rPr>
          <w:sz w:val="24"/>
        </w:rPr>
        <w:t>383.</w:t>
      </w:r>
    </w:p>
    <w:p>
      <w:pPr>
        <w:pStyle w:val="ListParagraph"/>
        <w:numPr>
          <w:ilvl w:val="3"/>
          <w:numId w:val="360"/>
        </w:numPr>
        <w:tabs>
          <w:tab w:pos="2081" w:val="left" w:leader="none"/>
        </w:tabs>
        <w:spacing w:line="240" w:lineRule="auto" w:before="210" w:after="0"/>
        <w:ind w:left="2081" w:right="0" w:hanging="426"/>
        <w:jc w:val="left"/>
        <w:rPr>
          <w:sz w:val="24"/>
        </w:rPr>
      </w:pPr>
      <w:r>
        <w:rPr>
          <w:sz w:val="24"/>
        </w:rPr>
        <w:t>United</w:t>
      </w:r>
      <w:r>
        <w:rPr>
          <w:spacing w:val="-6"/>
          <w:sz w:val="24"/>
        </w:rPr>
        <w:t> </w:t>
      </w:r>
      <w:r>
        <w:rPr>
          <w:sz w:val="24"/>
        </w:rPr>
        <w:t>States</w:t>
      </w:r>
      <w:r>
        <w:rPr>
          <w:spacing w:val="-5"/>
          <w:sz w:val="24"/>
        </w:rPr>
        <w:t> </w:t>
      </w:r>
      <w:r>
        <w:rPr>
          <w:sz w:val="24"/>
        </w:rPr>
        <w:t>Department</w:t>
      </w:r>
      <w:r>
        <w:rPr>
          <w:spacing w:val="-3"/>
          <w:sz w:val="24"/>
        </w:rPr>
        <w:t> </w:t>
      </w:r>
      <w:r>
        <w:rPr>
          <w:sz w:val="24"/>
        </w:rPr>
        <w:t>of</w:t>
      </w:r>
      <w:r>
        <w:rPr>
          <w:spacing w:val="-6"/>
          <w:sz w:val="24"/>
        </w:rPr>
        <w:t> </w:t>
      </w:r>
      <w:r>
        <w:rPr>
          <w:sz w:val="24"/>
        </w:rPr>
        <w:t>Transportation</w:t>
      </w:r>
      <w:r>
        <w:rPr>
          <w:spacing w:val="-4"/>
          <w:sz w:val="24"/>
        </w:rPr>
        <w:t> </w:t>
      </w:r>
      <w:r>
        <w:rPr>
          <w:spacing w:val="-2"/>
          <w:sz w:val="24"/>
        </w:rPr>
        <w:t>rules.</w:t>
      </w:r>
    </w:p>
    <w:p>
      <w:pPr>
        <w:pStyle w:val="ListParagraph"/>
        <w:numPr>
          <w:ilvl w:val="4"/>
          <w:numId w:val="360"/>
        </w:numPr>
        <w:tabs>
          <w:tab w:pos="2540" w:val="left" w:leader="none"/>
        </w:tabs>
        <w:spacing w:line="208" w:lineRule="auto" w:before="234" w:after="0"/>
        <w:ind w:left="2087" w:right="878" w:firstLine="0"/>
        <w:jc w:val="left"/>
        <w:rPr>
          <w:sz w:val="24"/>
        </w:rPr>
      </w:pPr>
      <w:r>
        <w:rPr>
          <w:sz w:val="24"/>
        </w:rPr>
        <w:t>The Federal Highway Administration has issued an alcohol and controlled</w:t>
      </w:r>
      <w:r>
        <w:rPr>
          <w:spacing w:val="-6"/>
          <w:sz w:val="24"/>
        </w:rPr>
        <w:t> </w:t>
      </w:r>
      <w:r>
        <w:rPr>
          <w:sz w:val="24"/>
        </w:rPr>
        <w:t>substances</w:t>
      </w:r>
      <w:r>
        <w:rPr>
          <w:spacing w:val="-6"/>
          <w:sz w:val="24"/>
        </w:rPr>
        <w:t> </w:t>
      </w:r>
      <w:r>
        <w:rPr>
          <w:sz w:val="24"/>
        </w:rPr>
        <w:t>rule</w:t>
      </w:r>
      <w:r>
        <w:rPr>
          <w:spacing w:val="-6"/>
          <w:sz w:val="24"/>
        </w:rPr>
        <w:t> </w:t>
      </w:r>
      <w:r>
        <w:rPr>
          <w:sz w:val="24"/>
        </w:rPr>
        <w:t>requiring</w:t>
      </w:r>
      <w:r>
        <w:rPr>
          <w:spacing w:val="-6"/>
          <w:sz w:val="24"/>
        </w:rPr>
        <w:t> </w:t>
      </w:r>
      <w:r>
        <w:rPr>
          <w:sz w:val="24"/>
        </w:rPr>
        <w:t>alcohol</w:t>
      </w:r>
      <w:r>
        <w:rPr>
          <w:spacing w:val="-6"/>
          <w:sz w:val="24"/>
        </w:rPr>
        <w:t> </w:t>
      </w:r>
      <w:r>
        <w:rPr>
          <w:sz w:val="24"/>
        </w:rPr>
        <w:t>and</w:t>
      </w:r>
      <w:r>
        <w:rPr>
          <w:spacing w:val="-6"/>
          <w:sz w:val="24"/>
        </w:rPr>
        <w:t> </w:t>
      </w:r>
      <w:r>
        <w:rPr>
          <w:sz w:val="24"/>
        </w:rPr>
        <w:t>controlled</w:t>
      </w:r>
      <w:r>
        <w:rPr>
          <w:spacing w:val="-6"/>
          <w:sz w:val="24"/>
        </w:rPr>
        <w:t> </w:t>
      </w:r>
      <w:r>
        <w:rPr>
          <w:sz w:val="24"/>
        </w:rPr>
        <w:t>substances testing of drivers who are required to have a commercial driver's </w:t>
      </w:r>
      <w:r>
        <w:rPr>
          <w:spacing w:val="-2"/>
          <w:sz w:val="24"/>
        </w:rPr>
        <w:t>license.</w:t>
      </w:r>
    </w:p>
    <w:p>
      <w:pPr>
        <w:pStyle w:val="ListParagraph"/>
        <w:spacing w:after="0" w:line="208" w:lineRule="auto"/>
        <w:jc w:val="left"/>
        <w:rPr>
          <w:sz w:val="24"/>
        </w:rPr>
        <w:sectPr>
          <w:pgSz w:w="12240" w:h="15840"/>
          <w:pgMar w:top="1340" w:bottom="280" w:left="1080" w:right="720"/>
        </w:sectPr>
      </w:pPr>
    </w:p>
    <w:p>
      <w:pPr>
        <w:pStyle w:val="ListParagraph"/>
        <w:numPr>
          <w:ilvl w:val="4"/>
          <w:numId w:val="360"/>
        </w:numPr>
        <w:tabs>
          <w:tab w:pos="2541" w:val="left" w:leader="none"/>
        </w:tabs>
        <w:spacing w:line="208" w:lineRule="auto" w:before="96" w:after="0"/>
        <w:ind w:left="2088" w:right="1252" w:firstLine="0"/>
        <w:jc w:val="left"/>
        <w:rPr>
          <w:sz w:val="24"/>
        </w:rPr>
      </w:pPr>
      <w:r>
        <w:rPr>
          <w:sz w:val="24"/>
        </w:rPr>
        <w:t>The Federal Transit Administration has issued rules requiring alcohol</w:t>
      </w:r>
      <w:r>
        <w:rPr>
          <w:spacing w:val="-6"/>
          <w:sz w:val="24"/>
        </w:rPr>
        <w:t> </w:t>
      </w:r>
      <w:r>
        <w:rPr>
          <w:sz w:val="24"/>
        </w:rPr>
        <w:t>and</w:t>
      </w:r>
      <w:r>
        <w:rPr>
          <w:spacing w:val="-5"/>
          <w:sz w:val="24"/>
        </w:rPr>
        <w:t> </w:t>
      </w:r>
      <w:r>
        <w:rPr>
          <w:sz w:val="24"/>
        </w:rPr>
        <w:t>controlled</w:t>
      </w:r>
      <w:r>
        <w:rPr>
          <w:spacing w:val="-6"/>
          <w:sz w:val="24"/>
        </w:rPr>
        <w:t> </w:t>
      </w:r>
      <w:r>
        <w:rPr>
          <w:sz w:val="24"/>
        </w:rPr>
        <w:t>substances</w:t>
      </w:r>
      <w:r>
        <w:rPr>
          <w:spacing w:val="-5"/>
          <w:sz w:val="24"/>
        </w:rPr>
        <w:t> </w:t>
      </w:r>
      <w:r>
        <w:rPr>
          <w:sz w:val="24"/>
        </w:rPr>
        <w:t>testing</w:t>
      </w:r>
      <w:r>
        <w:rPr>
          <w:spacing w:val="-6"/>
          <w:sz w:val="24"/>
        </w:rPr>
        <w:t> </w:t>
      </w:r>
      <w:r>
        <w:rPr>
          <w:sz w:val="24"/>
        </w:rPr>
        <w:t>of</w:t>
      </w:r>
      <w:r>
        <w:rPr>
          <w:spacing w:val="-5"/>
          <w:sz w:val="24"/>
        </w:rPr>
        <w:t> </w:t>
      </w:r>
      <w:r>
        <w:rPr>
          <w:sz w:val="24"/>
        </w:rPr>
        <w:t>safety-sensitive</w:t>
      </w:r>
      <w:r>
        <w:rPr>
          <w:spacing w:val="-6"/>
          <w:sz w:val="24"/>
        </w:rPr>
        <w:t> </w:t>
      </w:r>
      <w:r>
        <w:rPr>
          <w:sz w:val="24"/>
        </w:rPr>
        <w:t>transit employees including mechanics.</w:t>
      </w:r>
    </w:p>
    <w:p>
      <w:pPr>
        <w:pStyle w:val="ListParagraph"/>
        <w:numPr>
          <w:ilvl w:val="4"/>
          <w:numId w:val="360"/>
        </w:numPr>
        <w:tabs>
          <w:tab w:pos="2554" w:val="left" w:leader="none"/>
        </w:tabs>
        <w:spacing w:line="208" w:lineRule="auto" w:before="240" w:after="0"/>
        <w:ind w:left="2088" w:right="760" w:firstLine="0"/>
        <w:jc w:val="left"/>
        <w:rPr>
          <w:sz w:val="24"/>
        </w:rPr>
      </w:pPr>
      <w:r>
        <w:rPr>
          <w:sz w:val="24"/>
        </w:rPr>
        <w:t>The U. S. Department of Transportation has issued a controlled substances</w:t>
      </w:r>
      <w:r>
        <w:rPr>
          <w:spacing w:val="-4"/>
          <w:sz w:val="24"/>
        </w:rPr>
        <w:t> </w:t>
      </w:r>
      <w:r>
        <w:rPr>
          <w:sz w:val="24"/>
        </w:rPr>
        <w:t>and</w:t>
      </w:r>
      <w:r>
        <w:rPr>
          <w:spacing w:val="-4"/>
          <w:sz w:val="24"/>
        </w:rPr>
        <w:t> </w:t>
      </w:r>
      <w:r>
        <w:rPr>
          <w:sz w:val="24"/>
        </w:rPr>
        <w:t>alcohol</w:t>
      </w:r>
      <w:r>
        <w:rPr>
          <w:spacing w:val="-4"/>
          <w:sz w:val="24"/>
        </w:rPr>
        <w:t> </w:t>
      </w:r>
      <w:r>
        <w:rPr>
          <w:sz w:val="24"/>
        </w:rPr>
        <w:t>testing</w:t>
      </w:r>
      <w:r>
        <w:rPr>
          <w:spacing w:val="-4"/>
          <w:sz w:val="24"/>
        </w:rPr>
        <w:t> </w:t>
      </w:r>
      <w:r>
        <w:rPr>
          <w:sz w:val="24"/>
        </w:rPr>
        <w:t>procedures</w:t>
      </w:r>
      <w:r>
        <w:rPr>
          <w:spacing w:val="-4"/>
          <w:sz w:val="24"/>
        </w:rPr>
        <w:t> </w:t>
      </w:r>
      <w:r>
        <w:rPr>
          <w:sz w:val="24"/>
        </w:rPr>
        <w:t>rule</w:t>
      </w:r>
      <w:r>
        <w:rPr>
          <w:spacing w:val="-4"/>
          <w:sz w:val="24"/>
        </w:rPr>
        <w:t> </w:t>
      </w:r>
      <w:r>
        <w:rPr>
          <w:sz w:val="24"/>
        </w:rPr>
        <w:t>(49</w:t>
      </w:r>
      <w:r>
        <w:rPr>
          <w:spacing w:val="-4"/>
          <w:sz w:val="24"/>
        </w:rPr>
        <w:t> </w:t>
      </w:r>
      <w:r>
        <w:rPr>
          <w:sz w:val="24"/>
        </w:rPr>
        <w:t>CFR</w:t>
      </w:r>
      <w:r>
        <w:rPr>
          <w:spacing w:val="-4"/>
          <w:sz w:val="24"/>
        </w:rPr>
        <w:t> </w:t>
      </w:r>
      <w:r>
        <w:rPr>
          <w:sz w:val="24"/>
        </w:rPr>
        <w:t>Part</w:t>
      </w:r>
      <w:r>
        <w:rPr>
          <w:spacing w:val="-4"/>
          <w:sz w:val="24"/>
        </w:rPr>
        <w:t> </w:t>
      </w:r>
      <w:r>
        <w:rPr>
          <w:sz w:val="24"/>
        </w:rPr>
        <w:t>40)</w:t>
      </w:r>
      <w:r>
        <w:rPr>
          <w:spacing w:val="-5"/>
          <w:sz w:val="24"/>
        </w:rPr>
        <w:t> </w:t>
      </w:r>
      <w:r>
        <w:rPr>
          <w:sz w:val="24"/>
        </w:rPr>
        <w:t>which establishes procedures for urine testing and breath alcohol testing.</w:t>
      </w:r>
    </w:p>
    <w:p>
      <w:pPr>
        <w:pStyle w:val="ListParagraph"/>
        <w:numPr>
          <w:ilvl w:val="3"/>
          <w:numId w:val="360"/>
        </w:numPr>
        <w:tabs>
          <w:tab w:pos="2082" w:val="left" w:leader="none"/>
        </w:tabs>
        <w:spacing w:line="208" w:lineRule="auto" w:before="239" w:after="0"/>
        <w:ind w:left="1656" w:right="924" w:firstLine="0"/>
        <w:jc w:val="left"/>
        <w:rPr>
          <w:sz w:val="24"/>
        </w:rPr>
      </w:pPr>
      <w:r>
        <w:rPr>
          <w:sz w:val="24"/>
        </w:rPr>
        <w:t>Notification required. Oklahoma School for the Blind and Oklahoma School for the Deaf shall distribute to drivers and safety sensitive employees a copy of these policies on alcohol and controlled substances testing.</w:t>
      </w:r>
      <w:r>
        <w:rPr>
          <w:spacing w:val="-3"/>
          <w:sz w:val="24"/>
        </w:rPr>
        <w:t> </w:t>
      </w:r>
      <w:r>
        <w:rPr>
          <w:sz w:val="24"/>
        </w:rPr>
        <w:t>(A)</w:t>
      </w:r>
      <w:r>
        <w:rPr>
          <w:spacing w:val="-5"/>
          <w:sz w:val="24"/>
        </w:rPr>
        <w:t> </w:t>
      </w:r>
      <w:r>
        <w:rPr>
          <w:sz w:val="24"/>
        </w:rPr>
        <w:t>through</w:t>
      </w:r>
      <w:r>
        <w:rPr>
          <w:spacing w:val="-4"/>
          <w:sz w:val="24"/>
        </w:rPr>
        <w:t> </w:t>
      </w:r>
      <w:r>
        <w:rPr>
          <w:sz w:val="24"/>
        </w:rPr>
        <w:t>(D)</w:t>
      </w:r>
      <w:r>
        <w:rPr>
          <w:spacing w:val="-5"/>
          <w:sz w:val="24"/>
        </w:rPr>
        <w:t> </w:t>
      </w:r>
      <w:r>
        <w:rPr>
          <w:sz w:val="24"/>
        </w:rPr>
        <w:t>of</w:t>
      </w:r>
      <w:r>
        <w:rPr>
          <w:spacing w:val="-5"/>
          <w:sz w:val="24"/>
        </w:rPr>
        <w:t> </w:t>
      </w:r>
      <w:r>
        <w:rPr>
          <w:sz w:val="24"/>
        </w:rPr>
        <w:t>this</w:t>
      </w:r>
      <w:r>
        <w:rPr>
          <w:spacing w:val="-4"/>
          <w:sz w:val="24"/>
        </w:rPr>
        <w:t> </w:t>
      </w:r>
      <w:r>
        <w:rPr>
          <w:sz w:val="24"/>
        </w:rPr>
        <w:t>Paragraph</w:t>
      </w:r>
      <w:r>
        <w:rPr>
          <w:spacing w:val="-4"/>
          <w:sz w:val="24"/>
        </w:rPr>
        <w:t> </w:t>
      </w:r>
      <w:r>
        <w:rPr>
          <w:sz w:val="24"/>
        </w:rPr>
        <w:t>establish</w:t>
      </w:r>
      <w:r>
        <w:rPr>
          <w:spacing w:val="-4"/>
          <w:sz w:val="24"/>
        </w:rPr>
        <w:t> </w:t>
      </w:r>
      <w:r>
        <w:rPr>
          <w:sz w:val="24"/>
        </w:rPr>
        <w:t>information</w:t>
      </w:r>
      <w:r>
        <w:rPr>
          <w:spacing w:val="-4"/>
          <w:sz w:val="24"/>
        </w:rPr>
        <w:t> </w:t>
      </w:r>
      <w:r>
        <w:rPr>
          <w:sz w:val="24"/>
        </w:rPr>
        <w:t>drivers</w:t>
      </w:r>
      <w:r>
        <w:rPr>
          <w:spacing w:val="-4"/>
          <w:sz w:val="24"/>
        </w:rPr>
        <w:t> </w:t>
      </w:r>
      <w:r>
        <w:rPr>
          <w:sz w:val="24"/>
        </w:rPr>
        <w:t>and other employees who perform safety sensitive functions must be given.</w:t>
      </w:r>
    </w:p>
    <w:p>
      <w:pPr>
        <w:pStyle w:val="ListParagraph"/>
        <w:numPr>
          <w:ilvl w:val="4"/>
          <w:numId w:val="360"/>
        </w:numPr>
        <w:tabs>
          <w:tab w:pos="2541" w:val="left" w:leader="none"/>
        </w:tabs>
        <w:spacing w:line="240" w:lineRule="auto" w:before="210" w:after="0"/>
        <w:ind w:left="2541" w:right="0" w:hanging="453"/>
        <w:jc w:val="left"/>
        <w:rPr>
          <w:sz w:val="24"/>
        </w:rPr>
      </w:pPr>
      <w:r>
        <w:rPr>
          <w:sz w:val="24"/>
        </w:rPr>
        <w:t>Alcohol</w:t>
      </w:r>
      <w:r>
        <w:rPr>
          <w:spacing w:val="-4"/>
          <w:sz w:val="24"/>
        </w:rPr>
        <w:t> </w:t>
      </w:r>
      <w:r>
        <w:rPr>
          <w:sz w:val="24"/>
        </w:rPr>
        <w:t>and</w:t>
      </w:r>
      <w:r>
        <w:rPr>
          <w:spacing w:val="-3"/>
          <w:sz w:val="24"/>
        </w:rPr>
        <w:t> </w:t>
      </w:r>
      <w:r>
        <w:rPr>
          <w:sz w:val="24"/>
        </w:rPr>
        <w:t>controlled</w:t>
      </w:r>
      <w:r>
        <w:rPr>
          <w:spacing w:val="-3"/>
          <w:sz w:val="24"/>
        </w:rPr>
        <w:t> </w:t>
      </w:r>
      <w:r>
        <w:rPr>
          <w:sz w:val="24"/>
        </w:rPr>
        <w:t>substances</w:t>
      </w:r>
      <w:r>
        <w:rPr>
          <w:spacing w:val="-3"/>
          <w:sz w:val="24"/>
        </w:rPr>
        <w:t> </w:t>
      </w:r>
      <w:r>
        <w:rPr>
          <w:sz w:val="24"/>
        </w:rPr>
        <w:t>tests</w:t>
      </w:r>
      <w:r>
        <w:rPr>
          <w:spacing w:val="-3"/>
          <w:sz w:val="24"/>
        </w:rPr>
        <w:t> </w:t>
      </w:r>
      <w:r>
        <w:rPr>
          <w:sz w:val="24"/>
        </w:rPr>
        <w:t>are</w:t>
      </w:r>
      <w:r>
        <w:rPr>
          <w:spacing w:val="-3"/>
          <w:sz w:val="24"/>
        </w:rPr>
        <w:t> </w:t>
      </w:r>
      <w:r>
        <w:rPr>
          <w:spacing w:val="-2"/>
          <w:sz w:val="24"/>
        </w:rPr>
        <w:t>required;</w:t>
      </w:r>
    </w:p>
    <w:p>
      <w:pPr>
        <w:pStyle w:val="ListParagraph"/>
        <w:numPr>
          <w:ilvl w:val="4"/>
          <w:numId w:val="360"/>
        </w:numPr>
        <w:tabs>
          <w:tab w:pos="2541" w:val="left" w:leader="none"/>
        </w:tabs>
        <w:spacing w:line="240" w:lineRule="auto" w:before="205" w:after="0"/>
        <w:ind w:left="2541" w:right="0" w:hanging="453"/>
        <w:jc w:val="left"/>
        <w:rPr>
          <w:sz w:val="24"/>
        </w:rPr>
      </w:pPr>
      <w:r>
        <w:rPr>
          <w:sz w:val="24"/>
        </w:rPr>
        <w:t>The</w:t>
      </w:r>
      <w:r>
        <w:rPr>
          <w:spacing w:val="-7"/>
          <w:sz w:val="24"/>
        </w:rPr>
        <w:t> </w:t>
      </w:r>
      <w:r>
        <w:rPr>
          <w:sz w:val="24"/>
        </w:rPr>
        <w:t>results</w:t>
      </w:r>
      <w:r>
        <w:rPr>
          <w:spacing w:val="-4"/>
          <w:sz w:val="24"/>
        </w:rPr>
        <w:t> </w:t>
      </w:r>
      <w:r>
        <w:rPr>
          <w:sz w:val="24"/>
        </w:rPr>
        <w:t>of</w:t>
      </w:r>
      <w:r>
        <w:rPr>
          <w:spacing w:val="-3"/>
          <w:sz w:val="24"/>
        </w:rPr>
        <w:t> </w:t>
      </w:r>
      <w:r>
        <w:rPr>
          <w:sz w:val="24"/>
        </w:rPr>
        <w:t>a</w:t>
      </w:r>
      <w:r>
        <w:rPr>
          <w:spacing w:val="-3"/>
          <w:sz w:val="24"/>
        </w:rPr>
        <w:t> </w:t>
      </w:r>
      <w:r>
        <w:rPr>
          <w:sz w:val="24"/>
        </w:rPr>
        <w:t>pre-employment</w:t>
      </w:r>
      <w:r>
        <w:rPr>
          <w:spacing w:val="-3"/>
          <w:sz w:val="24"/>
        </w:rPr>
        <w:t> </w:t>
      </w:r>
      <w:r>
        <w:rPr>
          <w:sz w:val="24"/>
        </w:rPr>
        <w:t>controlled</w:t>
      </w:r>
      <w:r>
        <w:rPr>
          <w:spacing w:val="-4"/>
          <w:sz w:val="24"/>
        </w:rPr>
        <w:t> </w:t>
      </w:r>
      <w:r>
        <w:rPr>
          <w:sz w:val="24"/>
        </w:rPr>
        <w:t>substances</w:t>
      </w:r>
      <w:r>
        <w:rPr>
          <w:spacing w:val="-3"/>
          <w:sz w:val="24"/>
        </w:rPr>
        <w:t> </w:t>
      </w:r>
      <w:r>
        <w:rPr>
          <w:spacing w:val="-2"/>
          <w:sz w:val="24"/>
        </w:rPr>
        <w:t>test;</w:t>
      </w:r>
    </w:p>
    <w:p>
      <w:pPr>
        <w:pStyle w:val="ListParagraph"/>
        <w:numPr>
          <w:ilvl w:val="4"/>
          <w:numId w:val="360"/>
        </w:numPr>
        <w:tabs>
          <w:tab w:pos="2554" w:val="left" w:leader="none"/>
        </w:tabs>
        <w:spacing w:line="208" w:lineRule="auto" w:before="233" w:after="0"/>
        <w:ind w:left="2088" w:right="1133" w:firstLine="0"/>
        <w:jc w:val="left"/>
        <w:rPr>
          <w:sz w:val="24"/>
        </w:rPr>
      </w:pPr>
      <w:r>
        <w:rPr>
          <w:sz w:val="24"/>
        </w:rPr>
        <w:t>The</w:t>
      </w:r>
      <w:r>
        <w:rPr>
          <w:spacing w:val="-6"/>
          <w:sz w:val="24"/>
        </w:rPr>
        <w:t> </w:t>
      </w:r>
      <w:r>
        <w:rPr>
          <w:sz w:val="24"/>
        </w:rPr>
        <w:t>results</w:t>
      </w:r>
      <w:r>
        <w:rPr>
          <w:spacing w:val="-6"/>
          <w:sz w:val="24"/>
        </w:rPr>
        <w:t> </w:t>
      </w:r>
      <w:r>
        <w:rPr>
          <w:sz w:val="24"/>
        </w:rPr>
        <w:t>of</w:t>
      </w:r>
      <w:r>
        <w:rPr>
          <w:spacing w:val="-5"/>
          <w:sz w:val="24"/>
        </w:rPr>
        <w:t> </w:t>
      </w:r>
      <w:r>
        <w:rPr>
          <w:sz w:val="24"/>
        </w:rPr>
        <w:t>random,</w:t>
      </w:r>
      <w:r>
        <w:rPr>
          <w:spacing w:val="-5"/>
          <w:sz w:val="24"/>
        </w:rPr>
        <w:t> </w:t>
      </w:r>
      <w:r>
        <w:rPr>
          <w:sz w:val="24"/>
        </w:rPr>
        <w:t>reasonable</w:t>
      </w:r>
      <w:r>
        <w:rPr>
          <w:spacing w:val="-6"/>
          <w:sz w:val="24"/>
        </w:rPr>
        <w:t> </w:t>
      </w:r>
      <w:r>
        <w:rPr>
          <w:sz w:val="24"/>
        </w:rPr>
        <w:t>suspicion,</w:t>
      </w:r>
      <w:r>
        <w:rPr>
          <w:spacing w:val="-5"/>
          <w:sz w:val="24"/>
        </w:rPr>
        <w:t> </w:t>
      </w:r>
      <w:r>
        <w:rPr>
          <w:sz w:val="24"/>
        </w:rPr>
        <w:t>and</w:t>
      </w:r>
      <w:r>
        <w:rPr>
          <w:spacing w:val="-6"/>
          <w:sz w:val="24"/>
        </w:rPr>
        <w:t> </w:t>
      </w:r>
      <w:r>
        <w:rPr>
          <w:sz w:val="24"/>
        </w:rPr>
        <w:t>post-accident tests that are positive for controlled substance(s); and</w:t>
      </w:r>
    </w:p>
    <w:p>
      <w:pPr>
        <w:pStyle w:val="ListParagraph"/>
        <w:numPr>
          <w:ilvl w:val="4"/>
          <w:numId w:val="360"/>
        </w:numPr>
        <w:tabs>
          <w:tab w:pos="2554" w:val="left" w:leader="none"/>
        </w:tabs>
        <w:spacing w:line="240" w:lineRule="auto" w:before="210" w:after="0"/>
        <w:ind w:left="2554" w:right="0" w:hanging="466"/>
        <w:jc w:val="left"/>
        <w:rPr>
          <w:sz w:val="24"/>
        </w:rPr>
      </w:pPr>
      <w:r>
        <w:rPr>
          <w:sz w:val="24"/>
        </w:rPr>
        <w:t>The</w:t>
      </w:r>
      <w:r>
        <w:rPr>
          <w:spacing w:val="-6"/>
          <w:sz w:val="24"/>
        </w:rPr>
        <w:t> </w:t>
      </w:r>
      <w:r>
        <w:rPr>
          <w:sz w:val="24"/>
        </w:rPr>
        <w:t>identity</w:t>
      </w:r>
      <w:r>
        <w:rPr>
          <w:spacing w:val="-3"/>
          <w:sz w:val="24"/>
        </w:rPr>
        <w:t> </w:t>
      </w:r>
      <w:r>
        <w:rPr>
          <w:sz w:val="24"/>
        </w:rPr>
        <w:t>of</w:t>
      </w:r>
      <w:r>
        <w:rPr>
          <w:spacing w:val="-4"/>
          <w:sz w:val="24"/>
        </w:rPr>
        <w:t> </w:t>
      </w:r>
      <w:r>
        <w:rPr>
          <w:sz w:val="24"/>
        </w:rPr>
        <w:t>the</w:t>
      </w:r>
      <w:r>
        <w:rPr>
          <w:spacing w:val="-3"/>
          <w:sz w:val="24"/>
        </w:rPr>
        <w:t> </w:t>
      </w:r>
      <w:r>
        <w:rPr>
          <w:sz w:val="24"/>
        </w:rPr>
        <w:t>controlled</w:t>
      </w:r>
      <w:r>
        <w:rPr>
          <w:spacing w:val="-3"/>
          <w:sz w:val="24"/>
        </w:rPr>
        <w:t> </w:t>
      </w:r>
      <w:r>
        <w:rPr>
          <w:sz w:val="24"/>
        </w:rPr>
        <w:t>substance(s)</w:t>
      </w:r>
      <w:r>
        <w:rPr>
          <w:spacing w:val="-2"/>
          <w:sz w:val="24"/>
        </w:rPr>
        <w:t> </w:t>
      </w:r>
      <w:r>
        <w:rPr>
          <w:sz w:val="24"/>
        </w:rPr>
        <w:t>verified</w:t>
      </w:r>
      <w:r>
        <w:rPr>
          <w:spacing w:val="-3"/>
          <w:sz w:val="24"/>
        </w:rPr>
        <w:t> </w:t>
      </w:r>
      <w:r>
        <w:rPr>
          <w:sz w:val="24"/>
        </w:rPr>
        <w:t>as</w:t>
      </w:r>
      <w:r>
        <w:rPr>
          <w:spacing w:val="-3"/>
          <w:sz w:val="24"/>
        </w:rPr>
        <w:t> </w:t>
      </w:r>
      <w:r>
        <w:rPr>
          <w:spacing w:val="-2"/>
          <w:sz w:val="24"/>
        </w:rPr>
        <w:t>positive.</w:t>
      </w:r>
    </w:p>
    <w:p>
      <w:pPr>
        <w:pStyle w:val="ListParagraph"/>
        <w:numPr>
          <w:ilvl w:val="2"/>
          <w:numId w:val="360"/>
        </w:numPr>
        <w:tabs>
          <w:tab w:pos="1650" w:val="left" w:leader="none"/>
        </w:tabs>
        <w:spacing w:line="240" w:lineRule="auto" w:before="204" w:after="0"/>
        <w:ind w:left="1650" w:right="0" w:hanging="426"/>
        <w:jc w:val="left"/>
        <w:rPr>
          <w:sz w:val="24"/>
        </w:rPr>
      </w:pPr>
      <w:r>
        <w:rPr>
          <w:sz w:val="24"/>
        </w:rPr>
        <w:t>Alcohol</w:t>
      </w:r>
      <w:r>
        <w:rPr>
          <w:spacing w:val="-5"/>
          <w:sz w:val="24"/>
        </w:rPr>
        <w:t> </w:t>
      </w:r>
      <w:r>
        <w:rPr>
          <w:spacing w:val="-2"/>
          <w:sz w:val="24"/>
        </w:rPr>
        <w:t>restrictions.</w:t>
      </w:r>
    </w:p>
    <w:p>
      <w:pPr>
        <w:pStyle w:val="ListParagraph"/>
        <w:numPr>
          <w:ilvl w:val="3"/>
          <w:numId w:val="360"/>
        </w:numPr>
        <w:tabs>
          <w:tab w:pos="2082" w:val="left" w:leader="none"/>
        </w:tabs>
        <w:spacing w:line="208" w:lineRule="auto" w:before="234" w:after="0"/>
        <w:ind w:left="1656" w:right="738" w:firstLine="0"/>
        <w:jc w:val="left"/>
        <w:rPr>
          <w:sz w:val="24"/>
        </w:rPr>
      </w:pPr>
      <w:r>
        <w:rPr>
          <w:sz w:val="24"/>
        </w:rPr>
        <w:t>Prohibited</w:t>
      </w:r>
      <w:r>
        <w:rPr>
          <w:spacing w:val="-5"/>
          <w:sz w:val="24"/>
        </w:rPr>
        <w:t> </w:t>
      </w:r>
      <w:r>
        <w:rPr>
          <w:sz w:val="24"/>
        </w:rPr>
        <w:t>alcohol</w:t>
      </w:r>
      <w:r>
        <w:rPr>
          <w:spacing w:val="-4"/>
          <w:sz w:val="24"/>
        </w:rPr>
        <w:t> </w:t>
      </w:r>
      <w:r>
        <w:rPr>
          <w:sz w:val="24"/>
        </w:rPr>
        <w:t>conduct</w:t>
      </w:r>
      <w:r>
        <w:rPr>
          <w:spacing w:val="-4"/>
          <w:sz w:val="24"/>
        </w:rPr>
        <w:t> </w:t>
      </w:r>
      <w:r>
        <w:rPr>
          <w:sz w:val="24"/>
        </w:rPr>
        <w:t>standards.</w:t>
      </w:r>
      <w:r>
        <w:rPr>
          <w:spacing w:val="-4"/>
          <w:sz w:val="24"/>
        </w:rPr>
        <w:t> </w:t>
      </w:r>
      <w:r>
        <w:rPr>
          <w:sz w:val="24"/>
        </w:rPr>
        <w:t>Performance</w:t>
      </w:r>
      <w:r>
        <w:rPr>
          <w:spacing w:val="-6"/>
          <w:sz w:val="24"/>
        </w:rPr>
        <w:t> </w:t>
      </w:r>
      <w:r>
        <w:rPr>
          <w:sz w:val="24"/>
        </w:rPr>
        <w:t>of</w:t>
      </w:r>
      <w:r>
        <w:rPr>
          <w:spacing w:val="-4"/>
          <w:sz w:val="24"/>
        </w:rPr>
        <w:t> </w:t>
      </w:r>
      <w:r>
        <w:rPr>
          <w:sz w:val="24"/>
        </w:rPr>
        <w:t>a</w:t>
      </w:r>
      <w:r>
        <w:rPr>
          <w:spacing w:val="-5"/>
          <w:sz w:val="24"/>
        </w:rPr>
        <w:t> </w:t>
      </w:r>
      <w:r>
        <w:rPr>
          <w:sz w:val="24"/>
        </w:rPr>
        <w:t>safety</w:t>
      </w:r>
      <w:r>
        <w:rPr>
          <w:spacing w:val="-7"/>
          <w:sz w:val="24"/>
        </w:rPr>
        <w:t> </w:t>
      </w:r>
      <w:r>
        <w:rPr>
          <w:sz w:val="24"/>
        </w:rPr>
        <w:t>sensitive function is prohibited if the employee:</w:t>
      </w:r>
    </w:p>
    <w:p>
      <w:pPr>
        <w:pStyle w:val="ListParagraph"/>
        <w:numPr>
          <w:ilvl w:val="4"/>
          <w:numId w:val="360"/>
        </w:numPr>
        <w:tabs>
          <w:tab w:pos="2541" w:val="left" w:leader="none"/>
        </w:tabs>
        <w:spacing w:line="208" w:lineRule="auto" w:before="239" w:after="0"/>
        <w:ind w:left="2088" w:right="1211" w:firstLine="0"/>
        <w:jc w:val="left"/>
        <w:rPr>
          <w:sz w:val="24"/>
        </w:rPr>
      </w:pPr>
      <w:r>
        <w:rPr>
          <w:sz w:val="24"/>
        </w:rPr>
        <w:t>has</w:t>
      </w:r>
      <w:r>
        <w:rPr>
          <w:spacing w:val="-4"/>
          <w:sz w:val="24"/>
        </w:rPr>
        <w:t> </w:t>
      </w:r>
      <w:r>
        <w:rPr>
          <w:sz w:val="24"/>
        </w:rPr>
        <w:t>an</w:t>
      </w:r>
      <w:r>
        <w:rPr>
          <w:spacing w:val="-5"/>
          <w:sz w:val="24"/>
        </w:rPr>
        <w:t> </w:t>
      </w:r>
      <w:r>
        <w:rPr>
          <w:sz w:val="24"/>
        </w:rPr>
        <w:t>alcohol</w:t>
      </w:r>
      <w:r>
        <w:rPr>
          <w:spacing w:val="-4"/>
          <w:sz w:val="24"/>
        </w:rPr>
        <w:t> </w:t>
      </w:r>
      <w:r>
        <w:rPr>
          <w:sz w:val="24"/>
        </w:rPr>
        <w:t>concentration</w:t>
      </w:r>
      <w:r>
        <w:rPr>
          <w:spacing w:val="-3"/>
          <w:sz w:val="24"/>
        </w:rPr>
        <w:t> </w:t>
      </w:r>
      <w:r>
        <w:rPr>
          <w:sz w:val="24"/>
        </w:rPr>
        <w:t>0.04</w:t>
      </w:r>
      <w:r>
        <w:rPr>
          <w:spacing w:val="-4"/>
          <w:sz w:val="24"/>
        </w:rPr>
        <w:t> </w:t>
      </w:r>
      <w:r>
        <w:rPr>
          <w:sz w:val="24"/>
        </w:rPr>
        <w:t>or</w:t>
      </w:r>
      <w:r>
        <w:rPr>
          <w:spacing w:val="-3"/>
          <w:sz w:val="24"/>
        </w:rPr>
        <w:t> </w:t>
      </w:r>
      <w:r>
        <w:rPr>
          <w:sz w:val="24"/>
        </w:rPr>
        <w:t>greater</w:t>
      </w:r>
      <w:r>
        <w:rPr>
          <w:spacing w:val="-3"/>
          <w:sz w:val="24"/>
        </w:rPr>
        <w:t> </w:t>
      </w:r>
      <w:r>
        <w:rPr>
          <w:sz w:val="24"/>
        </w:rPr>
        <w:t>as</w:t>
      </w:r>
      <w:r>
        <w:rPr>
          <w:spacing w:val="-4"/>
          <w:sz w:val="24"/>
        </w:rPr>
        <w:t> </w:t>
      </w:r>
      <w:r>
        <w:rPr>
          <w:sz w:val="24"/>
        </w:rPr>
        <w:t>measured</w:t>
      </w:r>
      <w:r>
        <w:rPr>
          <w:spacing w:val="-4"/>
          <w:sz w:val="24"/>
        </w:rPr>
        <w:t> </w:t>
      </w:r>
      <w:r>
        <w:rPr>
          <w:sz w:val="24"/>
        </w:rPr>
        <w:t>on</w:t>
      </w:r>
      <w:r>
        <w:rPr>
          <w:spacing w:val="-4"/>
          <w:sz w:val="24"/>
        </w:rPr>
        <w:t> </w:t>
      </w:r>
      <w:r>
        <w:rPr>
          <w:sz w:val="24"/>
        </w:rPr>
        <w:t>a breath test;</w:t>
      </w:r>
    </w:p>
    <w:p>
      <w:pPr>
        <w:pStyle w:val="ListParagraph"/>
        <w:numPr>
          <w:ilvl w:val="4"/>
          <w:numId w:val="360"/>
        </w:numPr>
        <w:tabs>
          <w:tab w:pos="2541" w:val="left" w:leader="none"/>
        </w:tabs>
        <w:spacing w:line="208" w:lineRule="auto" w:before="240" w:after="0"/>
        <w:ind w:left="2088" w:right="744" w:firstLine="0"/>
        <w:jc w:val="left"/>
        <w:rPr>
          <w:sz w:val="24"/>
        </w:rPr>
      </w:pPr>
      <w:r>
        <w:rPr>
          <w:sz w:val="24"/>
        </w:rPr>
        <w:t>after having tested at more than 0.04 concentration, possessing alcohol at work, using alcohol at work, using alcohol within four hours before the start of work, or using alcohol within eight hours of an accident,</w:t>
      </w:r>
      <w:r>
        <w:rPr>
          <w:spacing w:val="-3"/>
          <w:sz w:val="24"/>
        </w:rPr>
        <w:t> </w:t>
      </w:r>
      <w:r>
        <w:rPr>
          <w:sz w:val="24"/>
        </w:rPr>
        <w:t>has</w:t>
      </w:r>
      <w:r>
        <w:rPr>
          <w:spacing w:val="-4"/>
          <w:sz w:val="24"/>
        </w:rPr>
        <w:t> </w:t>
      </w:r>
      <w:r>
        <w:rPr>
          <w:sz w:val="24"/>
        </w:rPr>
        <w:t>not</w:t>
      </w:r>
      <w:r>
        <w:rPr>
          <w:spacing w:val="-3"/>
          <w:sz w:val="24"/>
        </w:rPr>
        <w:t> </w:t>
      </w:r>
      <w:r>
        <w:rPr>
          <w:sz w:val="24"/>
        </w:rPr>
        <w:t>been</w:t>
      </w:r>
      <w:r>
        <w:rPr>
          <w:spacing w:val="-4"/>
          <w:sz w:val="24"/>
        </w:rPr>
        <w:t> </w:t>
      </w:r>
      <w:r>
        <w:rPr>
          <w:sz w:val="24"/>
        </w:rPr>
        <w:t>retested</w:t>
      </w:r>
      <w:r>
        <w:rPr>
          <w:spacing w:val="-5"/>
          <w:sz w:val="24"/>
        </w:rPr>
        <w:t> </w:t>
      </w:r>
      <w:r>
        <w:rPr>
          <w:sz w:val="24"/>
        </w:rPr>
        <w:t>and</w:t>
      </w:r>
      <w:r>
        <w:rPr>
          <w:spacing w:val="-4"/>
          <w:sz w:val="24"/>
        </w:rPr>
        <w:t> </w:t>
      </w:r>
      <w:r>
        <w:rPr>
          <w:sz w:val="24"/>
        </w:rPr>
        <w:t>posted</w:t>
      </w:r>
      <w:r>
        <w:rPr>
          <w:spacing w:val="-3"/>
          <w:sz w:val="24"/>
        </w:rPr>
        <w:t> </w:t>
      </w:r>
      <w:r>
        <w:rPr>
          <w:sz w:val="24"/>
        </w:rPr>
        <w:t>a</w:t>
      </w:r>
      <w:r>
        <w:rPr>
          <w:spacing w:val="-4"/>
          <w:sz w:val="24"/>
        </w:rPr>
        <w:t> </w:t>
      </w:r>
      <w:r>
        <w:rPr>
          <w:sz w:val="24"/>
        </w:rPr>
        <w:t>concentration</w:t>
      </w:r>
      <w:r>
        <w:rPr>
          <w:spacing w:val="-4"/>
          <w:sz w:val="24"/>
        </w:rPr>
        <w:t> </w:t>
      </w:r>
      <w:r>
        <w:rPr>
          <w:sz w:val="24"/>
        </w:rPr>
        <w:t>of</w:t>
      </w:r>
      <w:r>
        <w:rPr>
          <w:spacing w:val="-3"/>
          <w:sz w:val="24"/>
        </w:rPr>
        <w:t> </w:t>
      </w:r>
      <w:r>
        <w:rPr>
          <w:sz w:val="24"/>
        </w:rPr>
        <w:t>less</w:t>
      </w:r>
      <w:r>
        <w:rPr>
          <w:spacing w:val="-4"/>
          <w:sz w:val="24"/>
        </w:rPr>
        <w:t> </w:t>
      </w:r>
      <w:r>
        <w:rPr>
          <w:sz w:val="24"/>
        </w:rPr>
        <w:t>than </w:t>
      </w:r>
      <w:r>
        <w:rPr>
          <w:spacing w:val="-2"/>
          <w:sz w:val="24"/>
        </w:rPr>
        <w:t>0.02;</w:t>
      </w:r>
    </w:p>
    <w:p>
      <w:pPr>
        <w:pStyle w:val="ListParagraph"/>
        <w:numPr>
          <w:ilvl w:val="4"/>
          <w:numId w:val="360"/>
        </w:numPr>
        <w:tabs>
          <w:tab w:pos="2554" w:val="left" w:leader="none"/>
        </w:tabs>
        <w:spacing w:line="208" w:lineRule="auto" w:before="240" w:after="0"/>
        <w:ind w:left="2088" w:right="1117" w:firstLine="0"/>
        <w:jc w:val="left"/>
        <w:rPr>
          <w:sz w:val="24"/>
        </w:rPr>
      </w:pPr>
      <w:r>
        <w:rPr>
          <w:sz w:val="24"/>
        </w:rPr>
        <w:t>after testing from 0.02 to 0.039 concentration during a pre- employment,</w:t>
      </w:r>
      <w:r>
        <w:rPr>
          <w:spacing w:val="-6"/>
          <w:sz w:val="24"/>
        </w:rPr>
        <w:t> </w:t>
      </w:r>
      <w:r>
        <w:rPr>
          <w:sz w:val="24"/>
        </w:rPr>
        <w:t>post-accident,</w:t>
      </w:r>
      <w:r>
        <w:rPr>
          <w:spacing w:val="-6"/>
          <w:sz w:val="24"/>
        </w:rPr>
        <w:t> </w:t>
      </w:r>
      <w:r>
        <w:rPr>
          <w:sz w:val="24"/>
        </w:rPr>
        <w:t>random,</w:t>
      </w:r>
      <w:r>
        <w:rPr>
          <w:spacing w:val="-6"/>
          <w:sz w:val="24"/>
        </w:rPr>
        <w:t> </w:t>
      </w:r>
      <w:r>
        <w:rPr>
          <w:sz w:val="24"/>
        </w:rPr>
        <w:t>reasonable</w:t>
      </w:r>
      <w:r>
        <w:rPr>
          <w:spacing w:val="-7"/>
          <w:sz w:val="24"/>
        </w:rPr>
        <w:t> </w:t>
      </w:r>
      <w:r>
        <w:rPr>
          <w:sz w:val="24"/>
        </w:rPr>
        <w:t>suspicion,</w:t>
      </w:r>
      <w:r>
        <w:rPr>
          <w:spacing w:val="-6"/>
          <w:sz w:val="24"/>
        </w:rPr>
        <w:t> </w:t>
      </w:r>
      <w:r>
        <w:rPr>
          <w:sz w:val="24"/>
        </w:rPr>
        <w:t>return</w:t>
      </w:r>
      <w:r>
        <w:rPr>
          <w:spacing w:val="-8"/>
          <w:sz w:val="24"/>
        </w:rPr>
        <w:t> </w:t>
      </w:r>
      <w:r>
        <w:rPr>
          <w:sz w:val="24"/>
        </w:rPr>
        <w:t>to work or follow-up test, has not been off work at least 24 hours;</w:t>
      </w:r>
    </w:p>
    <w:p>
      <w:pPr>
        <w:pStyle w:val="ListParagraph"/>
        <w:numPr>
          <w:ilvl w:val="4"/>
          <w:numId w:val="360"/>
        </w:numPr>
        <w:tabs>
          <w:tab w:pos="2554" w:val="left" w:leader="none"/>
        </w:tabs>
        <w:spacing w:line="208" w:lineRule="auto" w:before="239" w:after="0"/>
        <w:ind w:left="2088" w:right="1053" w:firstLine="0"/>
        <w:jc w:val="left"/>
        <w:rPr>
          <w:sz w:val="24"/>
        </w:rPr>
      </w:pPr>
      <w:r>
        <w:rPr>
          <w:sz w:val="24"/>
        </w:rPr>
        <w:t>is</w:t>
      </w:r>
      <w:r>
        <w:rPr>
          <w:spacing w:val="-4"/>
          <w:sz w:val="24"/>
        </w:rPr>
        <w:t> </w:t>
      </w:r>
      <w:r>
        <w:rPr>
          <w:sz w:val="24"/>
        </w:rPr>
        <w:t>under</w:t>
      </w:r>
      <w:r>
        <w:rPr>
          <w:spacing w:val="-3"/>
          <w:sz w:val="24"/>
        </w:rPr>
        <w:t> </w:t>
      </w:r>
      <w:r>
        <w:rPr>
          <w:sz w:val="24"/>
        </w:rPr>
        <w:t>the</w:t>
      </w:r>
      <w:r>
        <w:rPr>
          <w:spacing w:val="-4"/>
          <w:sz w:val="24"/>
        </w:rPr>
        <w:t> </w:t>
      </w:r>
      <w:r>
        <w:rPr>
          <w:sz w:val="24"/>
        </w:rPr>
        <w:t>influence</w:t>
      </w:r>
      <w:r>
        <w:rPr>
          <w:spacing w:val="-4"/>
          <w:sz w:val="24"/>
        </w:rPr>
        <w:t> </w:t>
      </w:r>
      <w:r>
        <w:rPr>
          <w:sz w:val="24"/>
        </w:rPr>
        <w:t>of</w:t>
      </w:r>
      <w:r>
        <w:rPr>
          <w:spacing w:val="-3"/>
          <w:sz w:val="24"/>
        </w:rPr>
        <w:t> </w:t>
      </w:r>
      <w:r>
        <w:rPr>
          <w:sz w:val="24"/>
        </w:rPr>
        <w:t>or</w:t>
      </w:r>
      <w:r>
        <w:rPr>
          <w:spacing w:val="-3"/>
          <w:sz w:val="24"/>
        </w:rPr>
        <w:t> </w:t>
      </w:r>
      <w:r>
        <w:rPr>
          <w:sz w:val="24"/>
        </w:rPr>
        <w:t>impaired</w:t>
      </w:r>
      <w:r>
        <w:rPr>
          <w:spacing w:val="-4"/>
          <w:sz w:val="24"/>
        </w:rPr>
        <w:t> </w:t>
      </w:r>
      <w:r>
        <w:rPr>
          <w:sz w:val="24"/>
        </w:rPr>
        <w:t>by</w:t>
      </w:r>
      <w:r>
        <w:rPr>
          <w:spacing w:val="-4"/>
          <w:sz w:val="24"/>
        </w:rPr>
        <w:t> </w:t>
      </w:r>
      <w:r>
        <w:rPr>
          <w:sz w:val="24"/>
        </w:rPr>
        <w:t>alcohol,</w:t>
      </w:r>
      <w:r>
        <w:rPr>
          <w:spacing w:val="-3"/>
          <w:sz w:val="24"/>
        </w:rPr>
        <w:t> </w:t>
      </w:r>
      <w:r>
        <w:rPr>
          <w:sz w:val="24"/>
        </w:rPr>
        <w:t>as</w:t>
      </w:r>
      <w:r>
        <w:rPr>
          <w:spacing w:val="-3"/>
          <w:sz w:val="24"/>
        </w:rPr>
        <w:t> </w:t>
      </w:r>
      <w:r>
        <w:rPr>
          <w:sz w:val="24"/>
        </w:rPr>
        <w:t>shown</w:t>
      </w:r>
      <w:r>
        <w:rPr>
          <w:spacing w:val="-4"/>
          <w:sz w:val="24"/>
        </w:rPr>
        <w:t> </w:t>
      </w:r>
      <w:r>
        <w:rPr>
          <w:sz w:val="24"/>
        </w:rPr>
        <w:t>by</w:t>
      </w:r>
      <w:r>
        <w:rPr>
          <w:spacing w:val="-4"/>
          <w:sz w:val="24"/>
        </w:rPr>
        <w:t> </w:t>
      </w:r>
      <w:r>
        <w:rPr>
          <w:sz w:val="24"/>
        </w:rPr>
        <w:t>the behavioral, speech and performance indicators of alcohol misuse;</w:t>
      </w:r>
    </w:p>
    <w:p>
      <w:pPr>
        <w:pStyle w:val="ListParagraph"/>
        <w:numPr>
          <w:ilvl w:val="4"/>
          <w:numId w:val="360"/>
        </w:numPr>
        <w:tabs>
          <w:tab w:pos="2541" w:val="left" w:leader="none"/>
        </w:tabs>
        <w:spacing w:line="240" w:lineRule="auto" w:before="211" w:after="0"/>
        <w:ind w:left="2541" w:right="0" w:hanging="453"/>
        <w:jc w:val="left"/>
        <w:rPr>
          <w:sz w:val="24"/>
        </w:rPr>
      </w:pPr>
      <w:r>
        <w:rPr>
          <w:sz w:val="24"/>
        </w:rPr>
        <w:t>is</w:t>
      </w:r>
      <w:r>
        <w:rPr>
          <w:spacing w:val="-2"/>
          <w:sz w:val="24"/>
        </w:rPr>
        <w:t> </w:t>
      </w:r>
      <w:r>
        <w:rPr>
          <w:sz w:val="24"/>
        </w:rPr>
        <w:t>known</w:t>
      </w:r>
      <w:r>
        <w:rPr>
          <w:spacing w:val="-2"/>
          <w:sz w:val="24"/>
        </w:rPr>
        <w:t> </w:t>
      </w:r>
      <w:r>
        <w:rPr>
          <w:sz w:val="24"/>
        </w:rPr>
        <w:t>to</w:t>
      </w:r>
      <w:r>
        <w:rPr>
          <w:spacing w:val="-2"/>
          <w:sz w:val="24"/>
        </w:rPr>
        <w:t> </w:t>
      </w:r>
      <w:r>
        <w:rPr>
          <w:sz w:val="24"/>
        </w:rPr>
        <w:t>possess</w:t>
      </w:r>
      <w:r>
        <w:rPr>
          <w:spacing w:val="-2"/>
          <w:sz w:val="24"/>
        </w:rPr>
        <w:t> </w:t>
      </w:r>
      <w:r>
        <w:rPr>
          <w:sz w:val="24"/>
        </w:rPr>
        <w:t>alcohol</w:t>
      </w:r>
      <w:r>
        <w:rPr>
          <w:spacing w:val="-2"/>
          <w:sz w:val="24"/>
        </w:rPr>
        <w:t> </w:t>
      </w:r>
      <w:r>
        <w:rPr>
          <w:sz w:val="24"/>
        </w:rPr>
        <w:t>at</w:t>
      </w:r>
      <w:r>
        <w:rPr>
          <w:spacing w:val="-2"/>
          <w:sz w:val="24"/>
        </w:rPr>
        <w:t> </w:t>
      </w:r>
      <w:r>
        <w:rPr>
          <w:sz w:val="24"/>
        </w:rPr>
        <w:t>the</w:t>
      </w:r>
      <w:r>
        <w:rPr>
          <w:spacing w:val="-2"/>
          <w:sz w:val="24"/>
        </w:rPr>
        <w:t> workplace;</w:t>
      </w:r>
    </w:p>
    <w:p>
      <w:pPr>
        <w:pStyle w:val="ListParagraph"/>
        <w:numPr>
          <w:ilvl w:val="4"/>
          <w:numId w:val="360"/>
        </w:numPr>
        <w:tabs>
          <w:tab w:pos="2526" w:val="left" w:leader="none"/>
        </w:tabs>
        <w:spacing w:line="240" w:lineRule="auto" w:before="204" w:after="0"/>
        <w:ind w:left="2526" w:right="0" w:hanging="438"/>
        <w:jc w:val="left"/>
        <w:rPr>
          <w:sz w:val="24"/>
        </w:rPr>
      </w:pPr>
      <w:r>
        <w:rPr>
          <w:sz w:val="24"/>
        </w:rPr>
        <w:t>is</w:t>
      </w:r>
      <w:r>
        <w:rPr>
          <w:spacing w:val="-2"/>
          <w:sz w:val="24"/>
        </w:rPr>
        <w:t> </w:t>
      </w:r>
      <w:r>
        <w:rPr>
          <w:sz w:val="24"/>
        </w:rPr>
        <w:t>known</w:t>
      </w:r>
      <w:r>
        <w:rPr>
          <w:spacing w:val="-2"/>
          <w:sz w:val="24"/>
        </w:rPr>
        <w:t> </w:t>
      </w:r>
      <w:r>
        <w:rPr>
          <w:sz w:val="24"/>
        </w:rPr>
        <w:t>to</w:t>
      </w:r>
      <w:r>
        <w:rPr>
          <w:spacing w:val="-2"/>
          <w:sz w:val="24"/>
        </w:rPr>
        <w:t> </w:t>
      </w:r>
      <w:r>
        <w:rPr>
          <w:sz w:val="24"/>
        </w:rPr>
        <w:t>use</w:t>
      </w:r>
      <w:r>
        <w:rPr>
          <w:spacing w:val="-2"/>
          <w:sz w:val="24"/>
        </w:rPr>
        <w:t> </w:t>
      </w:r>
      <w:r>
        <w:rPr>
          <w:sz w:val="24"/>
        </w:rPr>
        <w:t>alcohol</w:t>
      </w:r>
      <w:r>
        <w:rPr>
          <w:spacing w:val="-2"/>
          <w:sz w:val="24"/>
        </w:rPr>
        <w:t> </w:t>
      </w:r>
      <w:r>
        <w:rPr>
          <w:sz w:val="24"/>
        </w:rPr>
        <w:t>during</w:t>
      </w:r>
      <w:r>
        <w:rPr>
          <w:spacing w:val="-2"/>
          <w:sz w:val="24"/>
        </w:rPr>
        <w:t> </w:t>
      </w:r>
      <w:r>
        <w:rPr>
          <w:sz w:val="24"/>
        </w:rPr>
        <w:t>duty</w:t>
      </w:r>
      <w:r>
        <w:rPr>
          <w:spacing w:val="-2"/>
          <w:sz w:val="24"/>
        </w:rPr>
        <w:t> performance;</w:t>
      </w:r>
    </w:p>
    <w:p>
      <w:pPr>
        <w:pStyle w:val="ListParagraph"/>
        <w:numPr>
          <w:ilvl w:val="4"/>
          <w:numId w:val="360"/>
        </w:numPr>
        <w:tabs>
          <w:tab w:pos="2567" w:val="left" w:leader="none"/>
        </w:tabs>
        <w:spacing w:line="208" w:lineRule="auto" w:before="233" w:after="0"/>
        <w:ind w:left="2088" w:right="1199" w:firstLine="0"/>
        <w:jc w:val="left"/>
        <w:rPr>
          <w:sz w:val="24"/>
        </w:rPr>
      </w:pPr>
      <w:r>
        <w:rPr>
          <w:sz w:val="24"/>
        </w:rPr>
        <w:t>is</w:t>
      </w:r>
      <w:r>
        <w:rPr>
          <w:spacing w:val="-4"/>
          <w:sz w:val="24"/>
        </w:rPr>
        <w:t> </w:t>
      </w:r>
      <w:r>
        <w:rPr>
          <w:sz w:val="24"/>
        </w:rPr>
        <w:t>known</w:t>
      </w:r>
      <w:r>
        <w:rPr>
          <w:spacing w:val="-4"/>
          <w:sz w:val="24"/>
        </w:rPr>
        <w:t> </w:t>
      </w:r>
      <w:r>
        <w:rPr>
          <w:sz w:val="24"/>
        </w:rPr>
        <w:t>to</w:t>
      </w:r>
      <w:r>
        <w:rPr>
          <w:spacing w:val="-4"/>
          <w:sz w:val="24"/>
        </w:rPr>
        <w:t> </w:t>
      </w:r>
      <w:r>
        <w:rPr>
          <w:sz w:val="24"/>
        </w:rPr>
        <w:t>have</w:t>
      </w:r>
      <w:r>
        <w:rPr>
          <w:spacing w:val="-4"/>
          <w:sz w:val="24"/>
        </w:rPr>
        <w:t> </w:t>
      </w:r>
      <w:r>
        <w:rPr>
          <w:sz w:val="24"/>
        </w:rPr>
        <w:t>used</w:t>
      </w:r>
      <w:r>
        <w:rPr>
          <w:spacing w:val="-4"/>
          <w:sz w:val="24"/>
        </w:rPr>
        <w:t> </w:t>
      </w:r>
      <w:r>
        <w:rPr>
          <w:sz w:val="24"/>
        </w:rPr>
        <w:t>alcohol</w:t>
      </w:r>
      <w:r>
        <w:rPr>
          <w:spacing w:val="-4"/>
          <w:sz w:val="24"/>
        </w:rPr>
        <w:t> </w:t>
      </w:r>
      <w:r>
        <w:rPr>
          <w:sz w:val="24"/>
        </w:rPr>
        <w:t>within</w:t>
      </w:r>
      <w:r>
        <w:rPr>
          <w:spacing w:val="-4"/>
          <w:sz w:val="24"/>
        </w:rPr>
        <w:t> </w:t>
      </w:r>
      <w:r>
        <w:rPr>
          <w:sz w:val="24"/>
        </w:rPr>
        <w:t>the</w:t>
      </w:r>
      <w:r>
        <w:rPr>
          <w:spacing w:val="-4"/>
          <w:sz w:val="24"/>
        </w:rPr>
        <w:t> </w:t>
      </w:r>
      <w:r>
        <w:rPr>
          <w:sz w:val="24"/>
        </w:rPr>
        <w:t>four</w:t>
      </w:r>
      <w:r>
        <w:rPr>
          <w:spacing w:val="-3"/>
          <w:sz w:val="24"/>
        </w:rPr>
        <w:t> </w:t>
      </w:r>
      <w:r>
        <w:rPr>
          <w:sz w:val="24"/>
        </w:rPr>
        <w:t>hours</w:t>
      </w:r>
      <w:r>
        <w:rPr>
          <w:spacing w:val="-4"/>
          <w:sz w:val="24"/>
        </w:rPr>
        <w:t> </w:t>
      </w:r>
      <w:r>
        <w:rPr>
          <w:sz w:val="24"/>
        </w:rPr>
        <w:t>previous</w:t>
      </w:r>
      <w:r>
        <w:rPr>
          <w:spacing w:val="-4"/>
          <w:sz w:val="24"/>
        </w:rPr>
        <w:t> </w:t>
      </w:r>
      <w:r>
        <w:rPr>
          <w:sz w:val="24"/>
        </w:rPr>
        <w:t>to performing duties;</w:t>
      </w:r>
    </w:p>
    <w:p>
      <w:pPr>
        <w:pStyle w:val="ListParagraph"/>
        <w:numPr>
          <w:ilvl w:val="4"/>
          <w:numId w:val="360"/>
        </w:numPr>
        <w:tabs>
          <w:tab w:pos="2554" w:val="left" w:leader="none"/>
        </w:tabs>
        <w:spacing w:line="208" w:lineRule="auto" w:before="240" w:after="0"/>
        <w:ind w:left="2088" w:right="785" w:firstLine="0"/>
        <w:jc w:val="left"/>
        <w:rPr>
          <w:sz w:val="24"/>
        </w:rPr>
      </w:pPr>
      <w:r>
        <w:rPr>
          <w:sz w:val="24"/>
        </w:rPr>
        <w:t>has</w:t>
      </w:r>
      <w:r>
        <w:rPr>
          <w:spacing w:val="-4"/>
          <w:sz w:val="24"/>
        </w:rPr>
        <w:t> </w:t>
      </w:r>
      <w:r>
        <w:rPr>
          <w:sz w:val="24"/>
        </w:rPr>
        <w:t>had</w:t>
      </w:r>
      <w:r>
        <w:rPr>
          <w:spacing w:val="-4"/>
          <w:sz w:val="24"/>
        </w:rPr>
        <w:t> </w:t>
      </w:r>
      <w:r>
        <w:rPr>
          <w:sz w:val="24"/>
        </w:rPr>
        <w:t>an</w:t>
      </w:r>
      <w:r>
        <w:rPr>
          <w:spacing w:val="-4"/>
          <w:sz w:val="24"/>
        </w:rPr>
        <w:t> </w:t>
      </w:r>
      <w:r>
        <w:rPr>
          <w:sz w:val="24"/>
        </w:rPr>
        <w:t>accident</w:t>
      </w:r>
      <w:r>
        <w:rPr>
          <w:spacing w:val="-3"/>
          <w:sz w:val="24"/>
        </w:rPr>
        <w:t> </w:t>
      </w:r>
      <w:r>
        <w:rPr>
          <w:sz w:val="24"/>
        </w:rPr>
        <w:t>within</w:t>
      </w:r>
      <w:r>
        <w:rPr>
          <w:spacing w:val="-4"/>
          <w:sz w:val="24"/>
        </w:rPr>
        <w:t> </w:t>
      </w:r>
      <w:r>
        <w:rPr>
          <w:sz w:val="24"/>
        </w:rPr>
        <w:t>the</w:t>
      </w:r>
      <w:r>
        <w:rPr>
          <w:spacing w:val="-4"/>
          <w:sz w:val="24"/>
        </w:rPr>
        <w:t> </w:t>
      </w:r>
      <w:r>
        <w:rPr>
          <w:sz w:val="24"/>
        </w:rPr>
        <w:t>last</w:t>
      </w:r>
      <w:r>
        <w:rPr>
          <w:spacing w:val="-3"/>
          <w:sz w:val="24"/>
        </w:rPr>
        <w:t> </w:t>
      </w:r>
      <w:r>
        <w:rPr>
          <w:sz w:val="24"/>
        </w:rPr>
        <w:t>eight</w:t>
      </w:r>
      <w:r>
        <w:rPr>
          <w:spacing w:val="-3"/>
          <w:sz w:val="24"/>
        </w:rPr>
        <w:t> </w:t>
      </w:r>
      <w:r>
        <w:rPr>
          <w:sz w:val="24"/>
        </w:rPr>
        <w:t>hours</w:t>
      </w:r>
      <w:r>
        <w:rPr>
          <w:spacing w:val="-4"/>
          <w:sz w:val="24"/>
        </w:rPr>
        <w:t> </w:t>
      </w:r>
      <w:r>
        <w:rPr>
          <w:sz w:val="24"/>
        </w:rPr>
        <w:t>and</w:t>
      </w:r>
      <w:r>
        <w:rPr>
          <w:spacing w:val="-4"/>
          <w:sz w:val="24"/>
        </w:rPr>
        <w:t> </w:t>
      </w:r>
      <w:r>
        <w:rPr>
          <w:sz w:val="24"/>
        </w:rPr>
        <w:t>has</w:t>
      </w:r>
      <w:r>
        <w:rPr>
          <w:spacing w:val="-4"/>
          <w:sz w:val="24"/>
        </w:rPr>
        <w:t> </w:t>
      </w:r>
      <w:r>
        <w:rPr>
          <w:sz w:val="24"/>
        </w:rPr>
        <w:t>not</w:t>
      </w:r>
      <w:r>
        <w:rPr>
          <w:spacing w:val="-3"/>
          <w:sz w:val="24"/>
        </w:rPr>
        <w:t> </w:t>
      </w:r>
      <w:r>
        <w:rPr>
          <w:sz w:val="24"/>
        </w:rPr>
        <w:t>taken</w:t>
      </w:r>
      <w:r>
        <w:rPr>
          <w:spacing w:val="-4"/>
          <w:sz w:val="24"/>
        </w:rPr>
        <w:t> </w:t>
      </w:r>
      <w:r>
        <w:rPr>
          <w:sz w:val="24"/>
        </w:rPr>
        <w:t>a breath test showing clearance from banned alcohol levels; or</w:t>
      </w:r>
    </w:p>
    <w:p>
      <w:pPr>
        <w:pStyle w:val="ListParagraph"/>
        <w:spacing w:after="0" w:line="208" w:lineRule="auto"/>
        <w:jc w:val="left"/>
        <w:rPr>
          <w:sz w:val="24"/>
        </w:rPr>
        <w:sectPr>
          <w:pgSz w:w="12240" w:h="15840"/>
          <w:pgMar w:top="1340" w:bottom="280" w:left="1080" w:right="720"/>
        </w:sectPr>
      </w:pPr>
    </w:p>
    <w:p>
      <w:pPr>
        <w:pStyle w:val="ListParagraph"/>
        <w:numPr>
          <w:ilvl w:val="4"/>
          <w:numId w:val="360"/>
        </w:numPr>
        <w:tabs>
          <w:tab w:pos="2447" w:val="left" w:leader="none"/>
        </w:tabs>
        <w:spacing w:line="240" w:lineRule="auto" w:before="67" w:after="0"/>
        <w:ind w:left="2447" w:right="0" w:hanging="359"/>
        <w:jc w:val="left"/>
        <w:rPr>
          <w:sz w:val="24"/>
        </w:rPr>
      </w:pPr>
      <w:r>
        <w:rPr>
          <w:sz w:val="24"/>
        </w:rPr>
        <w:t>has</w:t>
      </w:r>
      <w:r>
        <w:rPr>
          <w:spacing w:val="-3"/>
          <w:sz w:val="24"/>
        </w:rPr>
        <w:t> </w:t>
      </w:r>
      <w:r>
        <w:rPr>
          <w:sz w:val="24"/>
        </w:rPr>
        <w:t>refused</w:t>
      </w:r>
      <w:r>
        <w:rPr>
          <w:spacing w:val="-2"/>
          <w:sz w:val="24"/>
        </w:rPr>
        <w:t> </w:t>
      </w:r>
      <w:r>
        <w:rPr>
          <w:sz w:val="24"/>
        </w:rPr>
        <w:t>to</w:t>
      </w:r>
      <w:r>
        <w:rPr>
          <w:spacing w:val="-2"/>
          <w:sz w:val="24"/>
        </w:rPr>
        <w:t> </w:t>
      </w:r>
      <w:r>
        <w:rPr>
          <w:sz w:val="24"/>
        </w:rPr>
        <w:t>take</w:t>
      </w:r>
      <w:r>
        <w:rPr>
          <w:spacing w:val="-3"/>
          <w:sz w:val="24"/>
        </w:rPr>
        <w:t> </w:t>
      </w:r>
      <w:r>
        <w:rPr>
          <w:sz w:val="24"/>
        </w:rPr>
        <w:t>an</w:t>
      </w:r>
      <w:r>
        <w:rPr>
          <w:spacing w:val="-2"/>
          <w:sz w:val="24"/>
        </w:rPr>
        <w:t> </w:t>
      </w:r>
      <w:r>
        <w:rPr>
          <w:sz w:val="24"/>
        </w:rPr>
        <w:t>alcohol</w:t>
      </w:r>
      <w:r>
        <w:rPr>
          <w:spacing w:val="-1"/>
          <w:sz w:val="24"/>
        </w:rPr>
        <w:t> </w:t>
      </w:r>
      <w:r>
        <w:rPr>
          <w:spacing w:val="-2"/>
          <w:sz w:val="24"/>
        </w:rPr>
        <w:t>test.</w:t>
      </w:r>
    </w:p>
    <w:p>
      <w:pPr>
        <w:pStyle w:val="ListParagraph"/>
        <w:numPr>
          <w:ilvl w:val="3"/>
          <w:numId w:val="360"/>
        </w:numPr>
        <w:tabs>
          <w:tab w:pos="2081" w:val="left" w:leader="none"/>
        </w:tabs>
        <w:spacing w:line="208" w:lineRule="auto" w:before="233" w:after="0"/>
        <w:ind w:left="1656" w:right="1098" w:firstLine="0"/>
        <w:jc w:val="left"/>
        <w:rPr>
          <w:sz w:val="24"/>
        </w:rPr>
      </w:pPr>
      <w:r>
        <w:rPr>
          <w:sz w:val="24"/>
        </w:rPr>
        <w:t>Medication.</w:t>
      </w:r>
      <w:r>
        <w:rPr>
          <w:spacing w:val="-4"/>
          <w:sz w:val="24"/>
        </w:rPr>
        <w:t> </w:t>
      </w:r>
      <w:r>
        <w:rPr>
          <w:sz w:val="24"/>
        </w:rPr>
        <w:t>Alcohol</w:t>
      </w:r>
      <w:r>
        <w:rPr>
          <w:spacing w:val="-5"/>
          <w:sz w:val="24"/>
        </w:rPr>
        <w:t> </w:t>
      </w:r>
      <w:r>
        <w:rPr>
          <w:sz w:val="24"/>
        </w:rPr>
        <w:t>use</w:t>
      </w:r>
      <w:r>
        <w:rPr>
          <w:spacing w:val="-5"/>
          <w:sz w:val="24"/>
        </w:rPr>
        <w:t> </w:t>
      </w:r>
      <w:r>
        <w:rPr>
          <w:sz w:val="24"/>
        </w:rPr>
        <w:t>includes</w:t>
      </w:r>
      <w:r>
        <w:rPr>
          <w:spacing w:val="-5"/>
          <w:sz w:val="24"/>
        </w:rPr>
        <w:t> </w:t>
      </w:r>
      <w:r>
        <w:rPr>
          <w:sz w:val="24"/>
        </w:rPr>
        <w:t>the</w:t>
      </w:r>
      <w:r>
        <w:rPr>
          <w:spacing w:val="-5"/>
          <w:sz w:val="24"/>
        </w:rPr>
        <w:t> </w:t>
      </w:r>
      <w:r>
        <w:rPr>
          <w:sz w:val="24"/>
        </w:rPr>
        <w:t>consumption</w:t>
      </w:r>
      <w:r>
        <w:rPr>
          <w:spacing w:val="-5"/>
          <w:sz w:val="24"/>
        </w:rPr>
        <w:t> </w:t>
      </w:r>
      <w:r>
        <w:rPr>
          <w:sz w:val="24"/>
        </w:rPr>
        <w:t>of</w:t>
      </w:r>
      <w:r>
        <w:rPr>
          <w:spacing w:val="-4"/>
          <w:sz w:val="24"/>
        </w:rPr>
        <w:t> </w:t>
      </w:r>
      <w:r>
        <w:rPr>
          <w:sz w:val="24"/>
        </w:rPr>
        <w:t>any</w:t>
      </w:r>
      <w:r>
        <w:rPr>
          <w:spacing w:val="-5"/>
          <w:sz w:val="24"/>
        </w:rPr>
        <w:t> </w:t>
      </w:r>
      <w:r>
        <w:rPr>
          <w:sz w:val="24"/>
        </w:rPr>
        <w:t>medication containing any amount of alcohol.</w:t>
      </w:r>
    </w:p>
    <w:p>
      <w:pPr>
        <w:pStyle w:val="ListParagraph"/>
        <w:numPr>
          <w:ilvl w:val="3"/>
          <w:numId w:val="360"/>
        </w:numPr>
        <w:tabs>
          <w:tab w:pos="2082" w:val="left" w:leader="none"/>
        </w:tabs>
        <w:spacing w:line="208" w:lineRule="auto" w:before="240" w:after="0"/>
        <w:ind w:left="1656" w:right="1832" w:firstLine="0"/>
        <w:jc w:val="left"/>
        <w:rPr>
          <w:sz w:val="24"/>
        </w:rPr>
      </w:pPr>
      <w:r>
        <w:rPr>
          <w:sz w:val="24"/>
        </w:rPr>
        <w:t>Required</w:t>
      </w:r>
      <w:r>
        <w:rPr>
          <w:spacing w:val="-5"/>
          <w:sz w:val="24"/>
        </w:rPr>
        <w:t> </w:t>
      </w:r>
      <w:r>
        <w:rPr>
          <w:sz w:val="24"/>
        </w:rPr>
        <w:t>alcohol</w:t>
      </w:r>
      <w:r>
        <w:rPr>
          <w:spacing w:val="-5"/>
          <w:sz w:val="24"/>
        </w:rPr>
        <w:t> </w:t>
      </w:r>
      <w:r>
        <w:rPr>
          <w:sz w:val="24"/>
        </w:rPr>
        <w:t>tests.</w:t>
      </w:r>
      <w:r>
        <w:rPr>
          <w:spacing w:val="-4"/>
          <w:sz w:val="24"/>
        </w:rPr>
        <w:t> </w:t>
      </w:r>
      <w:r>
        <w:rPr>
          <w:sz w:val="24"/>
        </w:rPr>
        <w:t>(A)</w:t>
      </w:r>
      <w:r>
        <w:rPr>
          <w:spacing w:val="-6"/>
          <w:sz w:val="24"/>
        </w:rPr>
        <w:t> </w:t>
      </w:r>
      <w:r>
        <w:rPr>
          <w:sz w:val="24"/>
        </w:rPr>
        <w:t>through</w:t>
      </w:r>
      <w:r>
        <w:rPr>
          <w:spacing w:val="-5"/>
          <w:sz w:val="24"/>
        </w:rPr>
        <w:t> </w:t>
      </w:r>
      <w:r>
        <w:rPr>
          <w:sz w:val="24"/>
        </w:rPr>
        <w:t>(F)</w:t>
      </w:r>
      <w:r>
        <w:rPr>
          <w:spacing w:val="-4"/>
          <w:sz w:val="24"/>
        </w:rPr>
        <w:t> </w:t>
      </w:r>
      <w:r>
        <w:rPr>
          <w:sz w:val="24"/>
        </w:rPr>
        <w:t>if</w:t>
      </w:r>
      <w:r>
        <w:rPr>
          <w:spacing w:val="-6"/>
          <w:sz w:val="24"/>
        </w:rPr>
        <w:t> </w:t>
      </w:r>
      <w:r>
        <w:rPr>
          <w:sz w:val="24"/>
        </w:rPr>
        <w:t>this</w:t>
      </w:r>
      <w:r>
        <w:rPr>
          <w:spacing w:val="-5"/>
          <w:sz w:val="24"/>
        </w:rPr>
        <w:t> </w:t>
      </w:r>
      <w:r>
        <w:rPr>
          <w:sz w:val="24"/>
        </w:rPr>
        <w:t>Paragraph</w:t>
      </w:r>
      <w:r>
        <w:rPr>
          <w:spacing w:val="-5"/>
          <w:sz w:val="24"/>
        </w:rPr>
        <w:t> </w:t>
      </w:r>
      <w:r>
        <w:rPr>
          <w:sz w:val="24"/>
        </w:rPr>
        <w:t>gives information as to when alcohol tests are required.</w:t>
      </w:r>
    </w:p>
    <w:p>
      <w:pPr>
        <w:pStyle w:val="ListParagraph"/>
        <w:numPr>
          <w:ilvl w:val="4"/>
          <w:numId w:val="360"/>
        </w:numPr>
        <w:tabs>
          <w:tab w:pos="2540" w:val="left" w:leader="none"/>
        </w:tabs>
        <w:spacing w:line="208" w:lineRule="auto" w:before="239" w:after="0"/>
        <w:ind w:left="2087" w:right="823" w:firstLine="0"/>
        <w:jc w:val="left"/>
        <w:rPr>
          <w:sz w:val="24"/>
        </w:rPr>
      </w:pPr>
      <w:r>
        <w:rPr>
          <w:sz w:val="24"/>
        </w:rPr>
        <w:t>Pre-employment tests are conducted after an offer to hire, but before</w:t>
      </w:r>
      <w:r>
        <w:rPr>
          <w:spacing w:val="-4"/>
          <w:sz w:val="24"/>
        </w:rPr>
        <w:t> </w:t>
      </w:r>
      <w:r>
        <w:rPr>
          <w:sz w:val="24"/>
        </w:rPr>
        <w:t>actually</w:t>
      </w:r>
      <w:r>
        <w:rPr>
          <w:spacing w:val="-4"/>
          <w:sz w:val="24"/>
        </w:rPr>
        <w:t> </w:t>
      </w:r>
      <w:r>
        <w:rPr>
          <w:sz w:val="24"/>
        </w:rPr>
        <w:t>performing</w:t>
      </w:r>
      <w:r>
        <w:rPr>
          <w:spacing w:val="-4"/>
          <w:sz w:val="24"/>
        </w:rPr>
        <w:t> </w:t>
      </w:r>
      <w:r>
        <w:rPr>
          <w:sz w:val="24"/>
        </w:rPr>
        <w:t>driving</w:t>
      </w:r>
      <w:r>
        <w:rPr>
          <w:spacing w:val="-4"/>
          <w:sz w:val="24"/>
        </w:rPr>
        <w:t> </w:t>
      </w:r>
      <w:r>
        <w:rPr>
          <w:sz w:val="24"/>
        </w:rPr>
        <w:t>or</w:t>
      </w:r>
      <w:r>
        <w:rPr>
          <w:spacing w:val="-4"/>
          <w:sz w:val="24"/>
        </w:rPr>
        <w:t> </w:t>
      </w:r>
      <w:r>
        <w:rPr>
          <w:sz w:val="24"/>
        </w:rPr>
        <w:t>other</w:t>
      </w:r>
      <w:r>
        <w:rPr>
          <w:spacing w:val="-4"/>
          <w:sz w:val="24"/>
        </w:rPr>
        <w:t> </w:t>
      </w:r>
      <w:r>
        <w:rPr>
          <w:sz w:val="24"/>
        </w:rPr>
        <w:t>safety</w:t>
      </w:r>
      <w:r>
        <w:rPr>
          <w:spacing w:val="-4"/>
          <w:sz w:val="24"/>
        </w:rPr>
        <w:t> </w:t>
      </w:r>
      <w:r>
        <w:rPr>
          <w:sz w:val="24"/>
        </w:rPr>
        <w:t>sensitive</w:t>
      </w:r>
      <w:r>
        <w:rPr>
          <w:spacing w:val="-4"/>
          <w:sz w:val="24"/>
        </w:rPr>
        <w:t> </w:t>
      </w:r>
      <w:r>
        <w:rPr>
          <w:sz w:val="24"/>
        </w:rPr>
        <w:t>functions</w:t>
      </w:r>
      <w:r>
        <w:rPr>
          <w:spacing w:val="-4"/>
          <w:sz w:val="24"/>
        </w:rPr>
        <w:t> </w:t>
      </w:r>
      <w:r>
        <w:rPr>
          <w:sz w:val="24"/>
        </w:rPr>
        <w:t>for the first time. It is also required when employees transfer to a safety sensitive position.</w:t>
      </w:r>
    </w:p>
    <w:p>
      <w:pPr>
        <w:pStyle w:val="ListParagraph"/>
        <w:numPr>
          <w:ilvl w:val="4"/>
          <w:numId w:val="360"/>
        </w:numPr>
        <w:tabs>
          <w:tab w:pos="2540" w:val="left" w:leader="none"/>
        </w:tabs>
        <w:spacing w:line="208" w:lineRule="auto" w:before="240" w:after="0"/>
        <w:ind w:left="2087" w:right="1118" w:firstLine="0"/>
        <w:jc w:val="left"/>
        <w:rPr>
          <w:sz w:val="24"/>
        </w:rPr>
      </w:pPr>
      <w:r>
        <w:rPr>
          <w:sz w:val="24"/>
        </w:rPr>
        <w:t>Random</w:t>
      </w:r>
      <w:r>
        <w:rPr>
          <w:spacing w:val="-2"/>
          <w:sz w:val="24"/>
        </w:rPr>
        <w:t> </w:t>
      </w:r>
      <w:r>
        <w:rPr>
          <w:sz w:val="24"/>
        </w:rPr>
        <w:t>tests</w:t>
      </w:r>
      <w:r>
        <w:rPr>
          <w:spacing w:val="-4"/>
          <w:sz w:val="24"/>
        </w:rPr>
        <w:t> </w:t>
      </w:r>
      <w:r>
        <w:rPr>
          <w:sz w:val="24"/>
        </w:rPr>
        <w:t>may</w:t>
      </w:r>
      <w:r>
        <w:rPr>
          <w:spacing w:val="-3"/>
          <w:sz w:val="24"/>
        </w:rPr>
        <w:t> </w:t>
      </w:r>
      <w:r>
        <w:rPr>
          <w:sz w:val="24"/>
        </w:rPr>
        <w:t>be</w:t>
      </w:r>
      <w:r>
        <w:rPr>
          <w:spacing w:val="-3"/>
          <w:sz w:val="24"/>
        </w:rPr>
        <w:t> </w:t>
      </w:r>
      <w:r>
        <w:rPr>
          <w:sz w:val="24"/>
        </w:rPr>
        <w:t>conducted</w:t>
      </w:r>
      <w:r>
        <w:rPr>
          <w:spacing w:val="-3"/>
          <w:sz w:val="24"/>
        </w:rPr>
        <w:t> </w:t>
      </w:r>
      <w:r>
        <w:rPr>
          <w:sz w:val="24"/>
        </w:rPr>
        <w:t>on</w:t>
      </w:r>
      <w:r>
        <w:rPr>
          <w:spacing w:val="-3"/>
          <w:sz w:val="24"/>
        </w:rPr>
        <w:t> </w:t>
      </w:r>
      <w:r>
        <w:rPr>
          <w:sz w:val="24"/>
        </w:rPr>
        <w:t>an</w:t>
      </w:r>
      <w:r>
        <w:rPr>
          <w:spacing w:val="-3"/>
          <w:sz w:val="24"/>
        </w:rPr>
        <w:t> </w:t>
      </w:r>
      <w:r>
        <w:rPr>
          <w:sz w:val="24"/>
        </w:rPr>
        <w:t>unannounced</w:t>
      </w:r>
      <w:r>
        <w:rPr>
          <w:spacing w:val="-3"/>
          <w:sz w:val="24"/>
        </w:rPr>
        <w:t> </w:t>
      </w:r>
      <w:r>
        <w:rPr>
          <w:sz w:val="24"/>
        </w:rPr>
        <w:t>basis</w:t>
      </w:r>
      <w:r>
        <w:rPr>
          <w:spacing w:val="-3"/>
          <w:sz w:val="24"/>
        </w:rPr>
        <w:t> </w:t>
      </w:r>
      <w:r>
        <w:rPr>
          <w:sz w:val="24"/>
        </w:rPr>
        <w:t>just before,</w:t>
      </w:r>
      <w:r>
        <w:rPr>
          <w:spacing w:val="-4"/>
          <w:sz w:val="24"/>
        </w:rPr>
        <w:t> </w:t>
      </w:r>
      <w:r>
        <w:rPr>
          <w:sz w:val="24"/>
        </w:rPr>
        <w:t>during</w:t>
      </w:r>
      <w:r>
        <w:rPr>
          <w:spacing w:val="-5"/>
          <w:sz w:val="24"/>
        </w:rPr>
        <w:t> </w:t>
      </w:r>
      <w:r>
        <w:rPr>
          <w:sz w:val="24"/>
        </w:rPr>
        <w:t>or</w:t>
      </w:r>
      <w:r>
        <w:rPr>
          <w:spacing w:val="-4"/>
          <w:sz w:val="24"/>
        </w:rPr>
        <w:t> </w:t>
      </w:r>
      <w:r>
        <w:rPr>
          <w:sz w:val="24"/>
        </w:rPr>
        <w:t>just</w:t>
      </w:r>
      <w:r>
        <w:rPr>
          <w:spacing w:val="-4"/>
          <w:sz w:val="24"/>
        </w:rPr>
        <w:t> </w:t>
      </w:r>
      <w:r>
        <w:rPr>
          <w:sz w:val="24"/>
        </w:rPr>
        <w:t>after</w:t>
      </w:r>
      <w:r>
        <w:rPr>
          <w:spacing w:val="-4"/>
          <w:sz w:val="24"/>
        </w:rPr>
        <w:t> </w:t>
      </w:r>
      <w:r>
        <w:rPr>
          <w:sz w:val="24"/>
        </w:rPr>
        <w:t>performance</w:t>
      </w:r>
      <w:r>
        <w:rPr>
          <w:spacing w:val="-5"/>
          <w:sz w:val="24"/>
        </w:rPr>
        <w:t> </w:t>
      </w:r>
      <w:r>
        <w:rPr>
          <w:sz w:val="24"/>
        </w:rPr>
        <w:t>of</w:t>
      </w:r>
      <w:r>
        <w:rPr>
          <w:spacing w:val="-4"/>
          <w:sz w:val="24"/>
        </w:rPr>
        <w:t> </w:t>
      </w:r>
      <w:r>
        <w:rPr>
          <w:sz w:val="24"/>
        </w:rPr>
        <w:t>safety</w:t>
      </w:r>
      <w:r>
        <w:rPr>
          <w:spacing w:val="-5"/>
          <w:sz w:val="24"/>
        </w:rPr>
        <w:t> </w:t>
      </w:r>
      <w:r>
        <w:rPr>
          <w:sz w:val="24"/>
        </w:rPr>
        <w:t>sensitive</w:t>
      </w:r>
      <w:r>
        <w:rPr>
          <w:spacing w:val="-5"/>
          <w:sz w:val="24"/>
        </w:rPr>
        <w:t> </w:t>
      </w:r>
      <w:r>
        <w:rPr>
          <w:sz w:val="24"/>
        </w:rPr>
        <w:t>functions.</w:t>
      </w:r>
    </w:p>
    <w:p>
      <w:pPr>
        <w:pStyle w:val="ListParagraph"/>
        <w:numPr>
          <w:ilvl w:val="4"/>
          <w:numId w:val="360"/>
        </w:numPr>
        <w:tabs>
          <w:tab w:pos="2554" w:val="left" w:leader="none"/>
        </w:tabs>
        <w:spacing w:line="208" w:lineRule="auto" w:before="240" w:after="0"/>
        <w:ind w:left="2088" w:right="946" w:firstLine="0"/>
        <w:jc w:val="left"/>
        <w:rPr>
          <w:sz w:val="24"/>
        </w:rPr>
      </w:pPr>
      <w:r>
        <w:rPr>
          <w:sz w:val="24"/>
        </w:rPr>
        <w:t>Reasonable suspicion tests are conducted when a trained supervisor observes behavior or appearance that is characteristic of alcohol</w:t>
      </w:r>
      <w:r>
        <w:rPr>
          <w:spacing w:val="-5"/>
          <w:sz w:val="24"/>
        </w:rPr>
        <w:t> </w:t>
      </w:r>
      <w:r>
        <w:rPr>
          <w:sz w:val="24"/>
        </w:rPr>
        <w:t>misuse.</w:t>
      </w:r>
      <w:r>
        <w:rPr>
          <w:spacing w:val="-4"/>
          <w:sz w:val="24"/>
        </w:rPr>
        <w:t> </w:t>
      </w:r>
      <w:r>
        <w:rPr>
          <w:sz w:val="24"/>
        </w:rPr>
        <w:t>Observation</w:t>
      </w:r>
      <w:r>
        <w:rPr>
          <w:spacing w:val="-5"/>
          <w:sz w:val="24"/>
        </w:rPr>
        <w:t> </w:t>
      </w:r>
      <w:r>
        <w:rPr>
          <w:sz w:val="24"/>
        </w:rPr>
        <w:t>must</w:t>
      </w:r>
      <w:r>
        <w:rPr>
          <w:spacing w:val="-4"/>
          <w:sz w:val="24"/>
        </w:rPr>
        <w:t> </w:t>
      </w:r>
      <w:r>
        <w:rPr>
          <w:sz w:val="24"/>
        </w:rPr>
        <w:t>occur</w:t>
      </w:r>
      <w:r>
        <w:rPr>
          <w:spacing w:val="-4"/>
          <w:sz w:val="24"/>
        </w:rPr>
        <w:t> </w:t>
      </w:r>
      <w:r>
        <w:rPr>
          <w:sz w:val="24"/>
        </w:rPr>
        <w:t>during,</w:t>
      </w:r>
      <w:r>
        <w:rPr>
          <w:spacing w:val="-4"/>
          <w:sz w:val="24"/>
        </w:rPr>
        <w:t> </w:t>
      </w:r>
      <w:r>
        <w:rPr>
          <w:sz w:val="24"/>
        </w:rPr>
        <w:t>just</w:t>
      </w:r>
      <w:r>
        <w:rPr>
          <w:spacing w:val="-4"/>
          <w:sz w:val="24"/>
        </w:rPr>
        <w:t> </w:t>
      </w:r>
      <w:r>
        <w:rPr>
          <w:sz w:val="24"/>
        </w:rPr>
        <w:t>preceding,</w:t>
      </w:r>
      <w:r>
        <w:rPr>
          <w:spacing w:val="-4"/>
          <w:sz w:val="24"/>
        </w:rPr>
        <w:t> </w:t>
      </w:r>
      <w:r>
        <w:rPr>
          <w:sz w:val="24"/>
        </w:rPr>
        <w:t>or</w:t>
      </w:r>
      <w:r>
        <w:rPr>
          <w:spacing w:val="-4"/>
          <w:sz w:val="24"/>
        </w:rPr>
        <w:t> </w:t>
      </w:r>
      <w:r>
        <w:rPr>
          <w:sz w:val="24"/>
        </w:rPr>
        <w:t>just after the period of the work day that the employee is required to be in compliance with the law.</w:t>
      </w:r>
    </w:p>
    <w:p>
      <w:pPr>
        <w:pStyle w:val="ListParagraph"/>
        <w:numPr>
          <w:ilvl w:val="4"/>
          <w:numId w:val="360"/>
        </w:numPr>
        <w:tabs>
          <w:tab w:pos="2554" w:val="left" w:leader="none"/>
        </w:tabs>
        <w:spacing w:line="208" w:lineRule="auto" w:before="239" w:after="0"/>
        <w:ind w:left="2088" w:right="716" w:firstLine="0"/>
        <w:jc w:val="left"/>
        <w:rPr>
          <w:sz w:val="24"/>
        </w:rPr>
      </w:pPr>
      <w:r>
        <w:rPr>
          <w:sz w:val="24"/>
        </w:rPr>
        <w:t>Post-accident tests are conducted after an accident involving an employee whose performance could have contributed to the accident,</w:t>
      </w:r>
      <w:r>
        <w:rPr>
          <w:spacing w:val="40"/>
          <w:sz w:val="24"/>
        </w:rPr>
        <w:t> </w:t>
      </w:r>
      <w:r>
        <w:rPr>
          <w:sz w:val="24"/>
        </w:rPr>
        <w:t>or when a driver receives a moving traffic violation arising from the accident. The driver must remain readily available for such testing. If</w:t>
      </w:r>
      <w:r>
        <w:rPr>
          <w:spacing w:val="40"/>
          <w:sz w:val="24"/>
        </w:rPr>
        <w:t> </w:t>
      </w:r>
      <w:r>
        <w:rPr>
          <w:sz w:val="24"/>
        </w:rPr>
        <w:t>the</w:t>
      </w:r>
      <w:r>
        <w:rPr>
          <w:spacing w:val="-4"/>
          <w:sz w:val="24"/>
        </w:rPr>
        <w:t> </w:t>
      </w:r>
      <w:r>
        <w:rPr>
          <w:sz w:val="24"/>
        </w:rPr>
        <w:t>driver</w:t>
      </w:r>
      <w:r>
        <w:rPr>
          <w:spacing w:val="-3"/>
          <w:sz w:val="24"/>
        </w:rPr>
        <w:t> </w:t>
      </w:r>
      <w:r>
        <w:rPr>
          <w:sz w:val="24"/>
        </w:rPr>
        <w:t>leaves</w:t>
      </w:r>
      <w:r>
        <w:rPr>
          <w:spacing w:val="-4"/>
          <w:sz w:val="24"/>
        </w:rPr>
        <w:t> </w:t>
      </w:r>
      <w:r>
        <w:rPr>
          <w:sz w:val="24"/>
        </w:rPr>
        <w:t>the</w:t>
      </w:r>
      <w:r>
        <w:rPr>
          <w:spacing w:val="-4"/>
          <w:sz w:val="24"/>
        </w:rPr>
        <w:t> </w:t>
      </w:r>
      <w:r>
        <w:rPr>
          <w:sz w:val="24"/>
        </w:rPr>
        <w:t>scene</w:t>
      </w:r>
      <w:r>
        <w:rPr>
          <w:spacing w:val="-4"/>
          <w:sz w:val="24"/>
        </w:rPr>
        <w:t> </w:t>
      </w:r>
      <w:r>
        <w:rPr>
          <w:sz w:val="24"/>
        </w:rPr>
        <w:t>of</w:t>
      </w:r>
      <w:r>
        <w:rPr>
          <w:spacing w:val="-3"/>
          <w:sz w:val="24"/>
        </w:rPr>
        <w:t> </w:t>
      </w:r>
      <w:r>
        <w:rPr>
          <w:sz w:val="24"/>
        </w:rPr>
        <w:t>an</w:t>
      </w:r>
      <w:r>
        <w:rPr>
          <w:spacing w:val="-4"/>
          <w:sz w:val="24"/>
        </w:rPr>
        <w:t> </w:t>
      </w:r>
      <w:r>
        <w:rPr>
          <w:sz w:val="24"/>
        </w:rPr>
        <w:t>accident</w:t>
      </w:r>
      <w:r>
        <w:rPr>
          <w:spacing w:val="-3"/>
          <w:sz w:val="24"/>
        </w:rPr>
        <w:t> </w:t>
      </w:r>
      <w:r>
        <w:rPr>
          <w:sz w:val="24"/>
        </w:rPr>
        <w:t>without</w:t>
      </w:r>
      <w:r>
        <w:rPr>
          <w:spacing w:val="-3"/>
          <w:sz w:val="24"/>
        </w:rPr>
        <w:t> </w:t>
      </w:r>
      <w:r>
        <w:rPr>
          <w:sz w:val="24"/>
        </w:rPr>
        <w:t>a</w:t>
      </w:r>
      <w:r>
        <w:rPr>
          <w:spacing w:val="-4"/>
          <w:sz w:val="24"/>
        </w:rPr>
        <w:t> </w:t>
      </w:r>
      <w:r>
        <w:rPr>
          <w:sz w:val="24"/>
        </w:rPr>
        <w:t>valid</w:t>
      </w:r>
      <w:r>
        <w:rPr>
          <w:spacing w:val="-4"/>
          <w:sz w:val="24"/>
        </w:rPr>
        <w:t> </w:t>
      </w:r>
      <w:r>
        <w:rPr>
          <w:sz w:val="24"/>
        </w:rPr>
        <w:t>reason</w:t>
      </w:r>
      <w:r>
        <w:rPr>
          <w:spacing w:val="-4"/>
          <w:sz w:val="24"/>
        </w:rPr>
        <w:t> </w:t>
      </w:r>
      <w:r>
        <w:rPr>
          <w:sz w:val="24"/>
        </w:rPr>
        <w:t>prior</w:t>
      </w:r>
      <w:r>
        <w:rPr>
          <w:spacing w:val="-3"/>
          <w:sz w:val="24"/>
        </w:rPr>
        <w:t> </w:t>
      </w:r>
      <w:r>
        <w:rPr>
          <w:sz w:val="24"/>
        </w:rPr>
        <w:t>to submission to such test, he or she may be deemed to have refused to submit to testing.</w:t>
      </w:r>
    </w:p>
    <w:p>
      <w:pPr>
        <w:pStyle w:val="ListParagraph"/>
        <w:numPr>
          <w:ilvl w:val="4"/>
          <w:numId w:val="360"/>
        </w:numPr>
        <w:tabs>
          <w:tab w:pos="2540" w:val="left" w:leader="none"/>
        </w:tabs>
        <w:spacing w:line="208" w:lineRule="auto" w:before="240" w:after="0"/>
        <w:ind w:left="2087" w:right="1000" w:firstLine="0"/>
        <w:jc w:val="left"/>
        <w:rPr>
          <w:sz w:val="24"/>
        </w:rPr>
      </w:pPr>
      <w:r>
        <w:rPr>
          <w:sz w:val="24"/>
        </w:rPr>
        <w:t>Return to duty and follow-up tests are conducted when an individual who has violated the prohibited alcohol conduct standards returns</w:t>
      </w:r>
      <w:r>
        <w:rPr>
          <w:spacing w:val="-5"/>
          <w:sz w:val="24"/>
        </w:rPr>
        <w:t> </w:t>
      </w:r>
      <w:r>
        <w:rPr>
          <w:sz w:val="24"/>
        </w:rPr>
        <w:t>prior</w:t>
      </w:r>
      <w:r>
        <w:rPr>
          <w:spacing w:val="-4"/>
          <w:sz w:val="24"/>
        </w:rPr>
        <w:t> </w:t>
      </w:r>
      <w:r>
        <w:rPr>
          <w:sz w:val="24"/>
        </w:rPr>
        <w:t>to</w:t>
      </w:r>
      <w:r>
        <w:rPr>
          <w:spacing w:val="-5"/>
          <w:sz w:val="24"/>
        </w:rPr>
        <w:t> </w:t>
      </w:r>
      <w:r>
        <w:rPr>
          <w:sz w:val="24"/>
        </w:rPr>
        <w:t>performing</w:t>
      </w:r>
      <w:r>
        <w:rPr>
          <w:spacing w:val="-5"/>
          <w:sz w:val="24"/>
        </w:rPr>
        <w:t> </w:t>
      </w:r>
      <w:r>
        <w:rPr>
          <w:sz w:val="24"/>
        </w:rPr>
        <w:t>safety</w:t>
      </w:r>
      <w:r>
        <w:rPr>
          <w:spacing w:val="-5"/>
          <w:sz w:val="24"/>
        </w:rPr>
        <w:t> </w:t>
      </w:r>
      <w:r>
        <w:rPr>
          <w:sz w:val="24"/>
        </w:rPr>
        <w:t>sensitive</w:t>
      </w:r>
      <w:r>
        <w:rPr>
          <w:spacing w:val="-5"/>
          <w:sz w:val="24"/>
        </w:rPr>
        <w:t> </w:t>
      </w:r>
      <w:r>
        <w:rPr>
          <w:sz w:val="24"/>
        </w:rPr>
        <w:t>duties.</w:t>
      </w:r>
      <w:r>
        <w:rPr>
          <w:spacing w:val="-4"/>
          <w:sz w:val="24"/>
        </w:rPr>
        <w:t> </w:t>
      </w:r>
      <w:r>
        <w:rPr>
          <w:sz w:val="24"/>
        </w:rPr>
        <w:t>Follow-up</w:t>
      </w:r>
      <w:r>
        <w:rPr>
          <w:spacing w:val="-5"/>
          <w:sz w:val="24"/>
        </w:rPr>
        <w:t> </w:t>
      </w:r>
      <w:r>
        <w:rPr>
          <w:sz w:val="24"/>
        </w:rPr>
        <w:t>tests</w:t>
      </w:r>
      <w:r>
        <w:rPr>
          <w:spacing w:val="-6"/>
          <w:sz w:val="24"/>
        </w:rPr>
        <w:t> </w:t>
      </w:r>
      <w:r>
        <w:rPr>
          <w:sz w:val="24"/>
        </w:rPr>
        <w:t>are unannounced, conducted at least six times in the first twelve months after an employee returns to duty, and may be extended for up to 60 months (five years) following return to duty.</w:t>
      </w:r>
    </w:p>
    <w:p>
      <w:pPr>
        <w:pStyle w:val="ListParagraph"/>
        <w:numPr>
          <w:ilvl w:val="3"/>
          <w:numId w:val="360"/>
        </w:numPr>
        <w:tabs>
          <w:tab w:pos="2081" w:val="left" w:leader="none"/>
        </w:tabs>
        <w:spacing w:line="208" w:lineRule="auto" w:before="239" w:after="0"/>
        <w:ind w:left="1655" w:right="832" w:firstLine="0"/>
        <w:jc w:val="left"/>
        <w:rPr>
          <w:sz w:val="24"/>
        </w:rPr>
      </w:pPr>
      <w:r>
        <w:rPr>
          <w:sz w:val="24"/>
        </w:rPr>
        <w:t>Test procedures. Alcohol testing procedures will be conducted in a manner</w:t>
      </w:r>
      <w:r>
        <w:rPr>
          <w:spacing w:val="-3"/>
          <w:sz w:val="24"/>
        </w:rPr>
        <w:t> </w:t>
      </w:r>
      <w:r>
        <w:rPr>
          <w:sz w:val="24"/>
        </w:rPr>
        <w:t>which</w:t>
      </w:r>
      <w:r>
        <w:rPr>
          <w:spacing w:val="-4"/>
          <w:sz w:val="24"/>
        </w:rPr>
        <w:t> </w:t>
      </w:r>
      <w:r>
        <w:rPr>
          <w:sz w:val="24"/>
        </w:rPr>
        <w:t>meets</w:t>
      </w:r>
      <w:r>
        <w:rPr>
          <w:spacing w:val="-4"/>
          <w:sz w:val="24"/>
        </w:rPr>
        <w:t> </w:t>
      </w:r>
      <w:r>
        <w:rPr>
          <w:sz w:val="24"/>
        </w:rPr>
        <w:t>the</w:t>
      </w:r>
      <w:r>
        <w:rPr>
          <w:spacing w:val="-4"/>
          <w:sz w:val="24"/>
        </w:rPr>
        <w:t> </w:t>
      </w:r>
      <w:r>
        <w:rPr>
          <w:sz w:val="24"/>
        </w:rPr>
        <w:t>requirements</w:t>
      </w:r>
      <w:r>
        <w:rPr>
          <w:spacing w:val="-4"/>
          <w:sz w:val="24"/>
        </w:rPr>
        <w:t> </w:t>
      </w:r>
      <w:r>
        <w:rPr>
          <w:sz w:val="24"/>
        </w:rPr>
        <w:t>of</w:t>
      </w:r>
      <w:r>
        <w:rPr>
          <w:spacing w:val="-3"/>
          <w:sz w:val="24"/>
        </w:rPr>
        <w:t> </w:t>
      </w:r>
      <w:r>
        <w:rPr>
          <w:sz w:val="24"/>
        </w:rPr>
        <w:t>49</w:t>
      </w:r>
      <w:r>
        <w:rPr>
          <w:spacing w:val="-4"/>
          <w:sz w:val="24"/>
        </w:rPr>
        <w:t> </w:t>
      </w:r>
      <w:r>
        <w:rPr>
          <w:sz w:val="24"/>
        </w:rPr>
        <w:t>CFR</w:t>
      </w:r>
      <w:r>
        <w:rPr>
          <w:spacing w:val="-4"/>
          <w:sz w:val="24"/>
        </w:rPr>
        <w:t> </w:t>
      </w:r>
      <w:r>
        <w:rPr>
          <w:sz w:val="24"/>
        </w:rPr>
        <w:t>40.</w:t>
      </w:r>
      <w:r>
        <w:rPr>
          <w:spacing w:val="-3"/>
          <w:sz w:val="24"/>
        </w:rPr>
        <w:t> </w:t>
      </w:r>
      <w:r>
        <w:rPr>
          <w:sz w:val="24"/>
        </w:rPr>
        <w:t>Oklahoma</w:t>
      </w:r>
      <w:r>
        <w:rPr>
          <w:spacing w:val="-4"/>
          <w:sz w:val="24"/>
        </w:rPr>
        <w:t> </w:t>
      </w:r>
      <w:r>
        <w:rPr>
          <w:sz w:val="24"/>
        </w:rPr>
        <w:t>School</w:t>
      </w:r>
      <w:r>
        <w:rPr>
          <w:spacing w:val="-4"/>
          <w:sz w:val="24"/>
        </w:rPr>
        <w:t> </w:t>
      </w:r>
      <w:r>
        <w:rPr>
          <w:sz w:val="24"/>
        </w:rPr>
        <w:t>for the Deaf and Oklahoma School for the Blind will pay for required pre- employment, random sample, reasonable suspicion, and post-accident testing. The employee will pay for return-to-duty and follow-up testing.</w:t>
      </w:r>
    </w:p>
    <w:p>
      <w:pPr>
        <w:pStyle w:val="ListParagraph"/>
        <w:numPr>
          <w:ilvl w:val="2"/>
          <w:numId w:val="360"/>
        </w:numPr>
        <w:tabs>
          <w:tab w:pos="1582" w:val="left" w:leader="none"/>
        </w:tabs>
        <w:spacing w:line="240" w:lineRule="auto" w:before="210" w:after="0"/>
        <w:ind w:left="1582" w:right="0" w:hanging="359"/>
        <w:jc w:val="left"/>
        <w:rPr>
          <w:sz w:val="24"/>
        </w:rPr>
      </w:pPr>
      <w:r>
        <w:rPr>
          <w:sz w:val="24"/>
        </w:rPr>
        <w:t>Controlled</w:t>
      </w:r>
      <w:r>
        <w:rPr>
          <w:spacing w:val="-6"/>
          <w:sz w:val="24"/>
        </w:rPr>
        <w:t> </w:t>
      </w:r>
      <w:r>
        <w:rPr>
          <w:sz w:val="24"/>
        </w:rPr>
        <w:t>substances</w:t>
      </w:r>
      <w:r>
        <w:rPr>
          <w:spacing w:val="-6"/>
          <w:sz w:val="24"/>
        </w:rPr>
        <w:t> </w:t>
      </w:r>
      <w:r>
        <w:rPr>
          <w:spacing w:val="-2"/>
          <w:sz w:val="24"/>
        </w:rPr>
        <w:t>restrictions.</w:t>
      </w:r>
    </w:p>
    <w:p>
      <w:pPr>
        <w:pStyle w:val="ListParagraph"/>
        <w:numPr>
          <w:ilvl w:val="3"/>
          <w:numId w:val="360"/>
        </w:numPr>
        <w:tabs>
          <w:tab w:pos="2082" w:val="left" w:leader="none"/>
        </w:tabs>
        <w:spacing w:line="208" w:lineRule="auto" w:before="234" w:after="0"/>
        <w:ind w:left="1656" w:right="752" w:firstLine="0"/>
        <w:jc w:val="both"/>
        <w:rPr>
          <w:sz w:val="24"/>
        </w:rPr>
      </w:pPr>
      <w:r>
        <w:rPr>
          <w:sz w:val="24"/>
        </w:rPr>
        <w:t>Prohibited</w:t>
      </w:r>
      <w:r>
        <w:rPr>
          <w:spacing w:val="-6"/>
          <w:sz w:val="24"/>
        </w:rPr>
        <w:t> </w:t>
      </w:r>
      <w:r>
        <w:rPr>
          <w:sz w:val="24"/>
        </w:rPr>
        <w:t>controlled</w:t>
      </w:r>
      <w:r>
        <w:rPr>
          <w:spacing w:val="-6"/>
          <w:sz w:val="24"/>
        </w:rPr>
        <w:t> </w:t>
      </w:r>
      <w:r>
        <w:rPr>
          <w:sz w:val="24"/>
        </w:rPr>
        <w:t>substances</w:t>
      </w:r>
      <w:r>
        <w:rPr>
          <w:spacing w:val="-6"/>
          <w:sz w:val="24"/>
        </w:rPr>
        <w:t> </w:t>
      </w:r>
      <w:r>
        <w:rPr>
          <w:sz w:val="24"/>
        </w:rPr>
        <w:t>conduct</w:t>
      </w:r>
      <w:r>
        <w:rPr>
          <w:spacing w:val="-5"/>
          <w:sz w:val="24"/>
        </w:rPr>
        <w:t> </w:t>
      </w:r>
      <w:r>
        <w:rPr>
          <w:sz w:val="24"/>
        </w:rPr>
        <w:t>standards.</w:t>
      </w:r>
      <w:r>
        <w:rPr>
          <w:spacing w:val="-5"/>
          <w:sz w:val="24"/>
        </w:rPr>
        <w:t> </w:t>
      </w:r>
      <w:r>
        <w:rPr>
          <w:sz w:val="24"/>
        </w:rPr>
        <w:t>No</w:t>
      </w:r>
      <w:r>
        <w:rPr>
          <w:spacing w:val="-6"/>
          <w:sz w:val="24"/>
        </w:rPr>
        <w:t> </w:t>
      </w:r>
      <w:r>
        <w:rPr>
          <w:sz w:val="24"/>
        </w:rPr>
        <w:t>employee</w:t>
      </w:r>
      <w:r>
        <w:rPr>
          <w:spacing w:val="-6"/>
          <w:sz w:val="24"/>
        </w:rPr>
        <w:t> </w:t>
      </w:r>
      <w:r>
        <w:rPr>
          <w:sz w:val="24"/>
        </w:rPr>
        <w:t>shall report to driving duty or remain on duty in jobs requiring the performance of other safety-sensitive functions when:</w:t>
      </w:r>
    </w:p>
    <w:p>
      <w:pPr>
        <w:pStyle w:val="ListParagraph"/>
        <w:numPr>
          <w:ilvl w:val="4"/>
          <w:numId w:val="360"/>
        </w:numPr>
        <w:tabs>
          <w:tab w:pos="2540" w:val="left" w:leader="none"/>
        </w:tabs>
        <w:spacing w:line="208" w:lineRule="auto" w:before="239" w:after="0"/>
        <w:ind w:left="2088" w:right="933" w:firstLine="0"/>
        <w:jc w:val="left"/>
        <w:rPr>
          <w:sz w:val="24"/>
        </w:rPr>
      </w:pPr>
      <w:r>
        <w:rPr>
          <w:sz w:val="24"/>
        </w:rPr>
        <w:t>the</w:t>
      </w:r>
      <w:r>
        <w:rPr>
          <w:spacing w:val="-4"/>
          <w:sz w:val="24"/>
        </w:rPr>
        <w:t> </w:t>
      </w:r>
      <w:r>
        <w:rPr>
          <w:sz w:val="24"/>
        </w:rPr>
        <w:t>employee</w:t>
      </w:r>
      <w:r>
        <w:rPr>
          <w:spacing w:val="-4"/>
          <w:sz w:val="24"/>
        </w:rPr>
        <w:t> </w:t>
      </w:r>
      <w:r>
        <w:rPr>
          <w:sz w:val="24"/>
        </w:rPr>
        <w:t>uses</w:t>
      </w:r>
      <w:r>
        <w:rPr>
          <w:spacing w:val="-4"/>
          <w:sz w:val="24"/>
        </w:rPr>
        <w:t> </w:t>
      </w:r>
      <w:r>
        <w:rPr>
          <w:sz w:val="24"/>
        </w:rPr>
        <w:t>any</w:t>
      </w:r>
      <w:r>
        <w:rPr>
          <w:spacing w:val="-4"/>
          <w:sz w:val="24"/>
        </w:rPr>
        <w:t> </w:t>
      </w:r>
      <w:r>
        <w:rPr>
          <w:sz w:val="24"/>
        </w:rPr>
        <w:t>controlled</w:t>
      </w:r>
      <w:r>
        <w:rPr>
          <w:spacing w:val="-4"/>
          <w:sz w:val="24"/>
        </w:rPr>
        <w:t> </w:t>
      </w:r>
      <w:r>
        <w:rPr>
          <w:sz w:val="24"/>
        </w:rPr>
        <w:t>substance</w:t>
      </w:r>
      <w:r>
        <w:rPr>
          <w:spacing w:val="-4"/>
          <w:sz w:val="24"/>
        </w:rPr>
        <w:t> </w:t>
      </w:r>
      <w:r>
        <w:rPr>
          <w:sz w:val="24"/>
        </w:rPr>
        <w:t>on</w:t>
      </w:r>
      <w:r>
        <w:rPr>
          <w:spacing w:val="-4"/>
          <w:sz w:val="24"/>
        </w:rPr>
        <w:t> </w:t>
      </w:r>
      <w:r>
        <w:rPr>
          <w:sz w:val="24"/>
        </w:rPr>
        <w:t>or</w:t>
      </w:r>
      <w:r>
        <w:rPr>
          <w:spacing w:val="-3"/>
          <w:sz w:val="24"/>
        </w:rPr>
        <w:t> </w:t>
      </w:r>
      <w:r>
        <w:rPr>
          <w:sz w:val="24"/>
        </w:rPr>
        <w:t>off</w:t>
      </w:r>
      <w:r>
        <w:rPr>
          <w:spacing w:val="-3"/>
          <w:sz w:val="24"/>
        </w:rPr>
        <w:t> </w:t>
      </w:r>
      <w:r>
        <w:rPr>
          <w:sz w:val="24"/>
        </w:rPr>
        <w:t>duty</w:t>
      </w:r>
      <w:r>
        <w:rPr>
          <w:spacing w:val="-5"/>
          <w:sz w:val="24"/>
        </w:rPr>
        <w:t> </w:t>
      </w:r>
      <w:r>
        <w:rPr>
          <w:sz w:val="24"/>
        </w:rPr>
        <w:t>unless use is pursuant to the instructions of a physician who has advised the employee the use does not adversely affect the ability to perform safety-sensitive functions (documentation to this effect from the physician will be required);</w:t>
      </w:r>
    </w:p>
    <w:p>
      <w:pPr>
        <w:pStyle w:val="ListParagraph"/>
        <w:spacing w:after="0" w:line="208" w:lineRule="auto"/>
        <w:jc w:val="left"/>
        <w:rPr>
          <w:sz w:val="24"/>
        </w:rPr>
        <w:sectPr>
          <w:pgSz w:w="12240" w:h="15840"/>
          <w:pgMar w:top="1340" w:bottom="280" w:left="1080" w:right="720"/>
        </w:sectPr>
      </w:pPr>
    </w:p>
    <w:p>
      <w:pPr>
        <w:pStyle w:val="ListParagraph"/>
        <w:numPr>
          <w:ilvl w:val="4"/>
          <w:numId w:val="360"/>
        </w:numPr>
        <w:tabs>
          <w:tab w:pos="2540" w:val="left" w:leader="none"/>
        </w:tabs>
        <w:spacing w:line="208" w:lineRule="auto" w:before="96" w:after="0"/>
        <w:ind w:left="2088" w:right="985" w:firstLine="0"/>
        <w:jc w:val="left"/>
        <w:rPr>
          <w:sz w:val="24"/>
        </w:rPr>
      </w:pPr>
      <w:r>
        <w:rPr>
          <w:sz w:val="24"/>
        </w:rPr>
        <w:t>the</w:t>
      </w:r>
      <w:r>
        <w:rPr>
          <w:spacing w:val="-4"/>
          <w:sz w:val="24"/>
        </w:rPr>
        <w:t> </w:t>
      </w:r>
      <w:r>
        <w:rPr>
          <w:sz w:val="24"/>
        </w:rPr>
        <w:t>employer</w:t>
      </w:r>
      <w:r>
        <w:rPr>
          <w:spacing w:val="-3"/>
          <w:sz w:val="24"/>
        </w:rPr>
        <w:t> </w:t>
      </w:r>
      <w:r>
        <w:rPr>
          <w:sz w:val="24"/>
        </w:rPr>
        <w:t>has</w:t>
      </w:r>
      <w:r>
        <w:rPr>
          <w:spacing w:val="-4"/>
          <w:sz w:val="24"/>
        </w:rPr>
        <w:t> </w:t>
      </w:r>
      <w:r>
        <w:rPr>
          <w:sz w:val="24"/>
        </w:rPr>
        <w:t>actual</w:t>
      </w:r>
      <w:r>
        <w:rPr>
          <w:spacing w:val="-4"/>
          <w:sz w:val="24"/>
        </w:rPr>
        <w:t> </w:t>
      </w:r>
      <w:r>
        <w:rPr>
          <w:sz w:val="24"/>
        </w:rPr>
        <w:t>knowledge</w:t>
      </w:r>
      <w:r>
        <w:rPr>
          <w:spacing w:val="-4"/>
          <w:sz w:val="24"/>
        </w:rPr>
        <w:t> </w:t>
      </w:r>
      <w:r>
        <w:rPr>
          <w:sz w:val="24"/>
        </w:rPr>
        <w:t>that</w:t>
      </w:r>
      <w:r>
        <w:rPr>
          <w:spacing w:val="-3"/>
          <w:sz w:val="24"/>
        </w:rPr>
        <w:t> </w:t>
      </w:r>
      <w:r>
        <w:rPr>
          <w:sz w:val="24"/>
        </w:rPr>
        <w:t>an</w:t>
      </w:r>
      <w:r>
        <w:rPr>
          <w:spacing w:val="-4"/>
          <w:sz w:val="24"/>
        </w:rPr>
        <w:t> </w:t>
      </w:r>
      <w:r>
        <w:rPr>
          <w:sz w:val="24"/>
        </w:rPr>
        <w:t>employee</w:t>
      </w:r>
      <w:r>
        <w:rPr>
          <w:spacing w:val="-4"/>
          <w:sz w:val="24"/>
        </w:rPr>
        <w:t> </w:t>
      </w:r>
      <w:r>
        <w:rPr>
          <w:sz w:val="24"/>
        </w:rPr>
        <w:t>has</w:t>
      </w:r>
      <w:r>
        <w:rPr>
          <w:spacing w:val="-4"/>
          <w:sz w:val="24"/>
        </w:rPr>
        <w:t> </w:t>
      </w:r>
      <w:r>
        <w:rPr>
          <w:sz w:val="24"/>
        </w:rPr>
        <w:t>used</w:t>
      </w:r>
      <w:r>
        <w:rPr>
          <w:spacing w:val="-4"/>
          <w:sz w:val="24"/>
        </w:rPr>
        <w:t> </w:t>
      </w:r>
      <w:r>
        <w:rPr>
          <w:sz w:val="24"/>
        </w:rPr>
        <w:t>a controlled substance;</w:t>
      </w:r>
    </w:p>
    <w:p>
      <w:pPr>
        <w:pStyle w:val="ListParagraph"/>
        <w:numPr>
          <w:ilvl w:val="4"/>
          <w:numId w:val="360"/>
        </w:numPr>
        <w:tabs>
          <w:tab w:pos="2553" w:val="left" w:leader="none"/>
        </w:tabs>
        <w:spacing w:line="240" w:lineRule="auto" w:before="210" w:after="0"/>
        <w:ind w:left="2553" w:right="0" w:hanging="465"/>
        <w:jc w:val="left"/>
        <w:rPr>
          <w:sz w:val="24"/>
        </w:rPr>
      </w:pPr>
      <w:r>
        <w:rPr>
          <w:sz w:val="24"/>
        </w:rPr>
        <w:t>the</w:t>
      </w:r>
      <w:r>
        <w:rPr>
          <w:spacing w:val="-3"/>
          <w:sz w:val="24"/>
        </w:rPr>
        <w:t> </w:t>
      </w:r>
      <w:r>
        <w:rPr>
          <w:sz w:val="24"/>
        </w:rPr>
        <w:t>employee</w:t>
      </w:r>
      <w:r>
        <w:rPr>
          <w:spacing w:val="-3"/>
          <w:sz w:val="24"/>
        </w:rPr>
        <w:t> </w:t>
      </w:r>
      <w:r>
        <w:rPr>
          <w:sz w:val="24"/>
        </w:rPr>
        <w:t>tests</w:t>
      </w:r>
      <w:r>
        <w:rPr>
          <w:spacing w:val="-3"/>
          <w:sz w:val="24"/>
        </w:rPr>
        <w:t> </w:t>
      </w:r>
      <w:r>
        <w:rPr>
          <w:sz w:val="24"/>
        </w:rPr>
        <w:t>positive</w:t>
      </w:r>
      <w:r>
        <w:rPr>
          <w:spacing w:val="-3"/>
          <w:sz w:val="24"/>
        </w:rPr>
        <w:t> </w:t>
      </w:r>
      <w:r>
        <w:rPr>
          <w:sz w:val="24"/>
        </w:rPr>
        <w:t>for</w:t>
      </w:r>
      <w:r>
        <w:rPr>
          <w:spacing w:val="-2"/>
          <w:sz w:val="24"/>
        </w:rPr>
        <w:t> </w:t>
      </w:r>
      <w:r>
        <w:rPr>
          <w:sz w:val="24"/>
        </w:rPr>
        <w:t>a</w:t>
      </w:r>
      <w:r>
        <w:rPr>
          <w:spacing w:val="-3"/>
          <w:sz w:val="24"/>
        </w:rPr>
        <w:t> </w:t>
      </w:r>
      <w:r>
        <w:rPr>
          <w:sz w:val="24"/>
        </w:rPr>
        <w:t>controlled</w:t>
      </w:r>
      <w:r>
        <w:rPr>
          <w:spacing w:val="-3"/>
          <w:sz w:val="24"/>
        </w:rPr>
        <w:t> </w:t>
      </w:r>
      <w:r>
        <w:rPr>
          <w:sz w:val="24"/>
        </w:rPr>
        <w:t>substance(s);</w:t>
      </w:r>
      <w:r>
        <w:rPr>
          <w:spacing w:val="-2"/>
          <w:sz w:val="24"/>
        </w:rPr>
        <w:t> </w:t>
      </w:r>
      <w:r>
        <w:rPr>
          <w:spacing w:val="-5"/>
          <w:sz w:val="24"/>
        </w:rPr>
        <w:t>or</w:t>
      </w:r>
    </w:p>
    <w:p>
      <w:pPr>
        <w:pStyle w:val="ListParagraph"/>
        <w:numPr>
          <w:ilvl w:val="4"/>
          <w:numId w:val="360"/>
        </w:numPr>
        <w:tabs>
          <w:tab w:pos="2553" w:val="left" w:leader="none"/>
        </w:tabs>
        <w:spacing w:line="240" w:lineRule="auto" w:before="204" w:after="0"/>
        <w:ind w:left="2553" w:right="0" w:hanging="465"/>
        <w:jc w:val="left"/>
        <w:rPr>
          <w:sz w:val="24"/>
        </w:rPr>
      </w:pPr>
      <w:r>
        <w:rPr>
          <w:sz w:val="24"/>
        </w:rPr>
        <w:t>the</w:t>
      </w:r>
      <w:r>
        <w:rPr>
          <w:spacing w:val="-3"/>
          <w:sz w:val="24"/>
        </w:rPr>
        <w:t> </w:t>
      </w:r>
      <w:r>
        <w:rPr>
          <w:sz w:val="24"/>
        </w:rPr>
        <w:t>employee</w:t>
      </w:r>
      <w:r>
        <w:rPr>
          <w:spacing w:val="-3"/>
          <w:sz w:val="24"/>
        </w:rPr>
        <w:t> </w:t>
      </w:r>
      <w:r>
        <w:rPr>
          <w:sz w:val="24"/>
        </w:rPr>
        <w:t>has</w:t>
      </w:r>
      <w:r>
        <w:rPr>
          <w:spacing w:val="-2"/>
          <w:sz w:val="24"/>
        </w:rPr>
        <w:t> </w:t>
      </w:r>
      <w:r>
        <w:rPr>
          <w:sz w:val="24"/>
        </w:rPr>
        <w:t>refused</w:t>
      </w:r>
      <w:r>
        <w:rPr>
          <w:spacing w:val="-3"/>
          <w:sz w:val="24"/>
        </w:rPr>
        <w:t> </w:t>
      </w:r>
      <w:r>
        <w:rPr>
          <w:sz w:val="24"/>
        </w:rPr>
        <w:t>to</w:t>
      </w:r>
      <w:r>
        <w:rPr>
          <w:spacing w:val="-2"/>
          <w:sz w:val="24"/>
        </w:rPr>
        <w:t> </w:t>
      </w:r>
      <w:r>
        <w:rPr>
          <w:sz w:val="24"/>
        </w:rPr>
        <w:t>take</w:t>
      </w:r>
      <w:r>
        <w:rPr>
          <w:spacing w:val="-3"/>
          <w:sz w:val="24"/>
        </w:rPr>
        <w:t> </w:t>
      </w:r>
      <w:r>
        <w:rPr>
          <w:sz w:val="24"/>
        </w:rPr>
        <w:t>a</w:t>
      </w:r>
      <w:r>
        <w:rPr>
          <w:spacing w:val="-3"/>
          <w:sz w:val="24"/>
        </w:rPr>
        <w:t> </w:t>
      </w:r>
      <w:r>
        <w:rPr>
          <w:sz w:val="24"/>
        </w:rPr>
        <w:t>controlled</w:t>
      </w:r>
      <w:r>
        <w:rPr>
          <w:spacing w:val="-3"/>
          <w:sz w:val="24"/>
        </w:rPr>
        <w:t> </w:t>
      </w:r>
      <w:r>
        <w:rPr>
          <w:sz w:val="24"/>
        </w:rPr>
        <w:t>substances</w:t>
      </w:r>
      <w:r>
        <w:rPr>
          <w:spacing w:val="-2"/>
          <w:sz w:val="24"/>
        </w:rPr>
        <w:t> test.</w:t>
      </w:r>
    </w:p>
    <w:p>
      <w:pPr>
        <w:pStyle w:val="ListParagraph"/>
        <w:numPr>
          <w:ilvl w:val="3"/>
          <w:numId w:val="360"/>
        </w:numPr>
        <w:tabs>
          <w:tab w:pos="2081" w:val="left" w:leader="none"/>
        </w:tabs>
        <w:spacing w:line="208" w:lineRule="auto" w:before="234" w:after="0"/>
        <w:ind w:left="1655" w:right="806" w:firstLine="0"/>
        <w:jc w:val="left"/>
        <w:rPr>
          <w:sz w:val="24"/>
        </w:rPr>
      </w:pPr>
      <w:r>
        <w:rPr>
          <w:sz w:val="24"/>
        </w:rPr>
        <w:t>Required</w:t>
      </w:r>
      <w:r>
        <w:rPr>
          <w:spacing w:val="-4"/>
          <w:sz w:val="24"/>
        </w:rPr>
        <w:t> </w:t>
      </w:r>
      <w:r>
        <w:rPr>
          <w:sz w:val="24"/>
        </w:rPr>
        <w:t>controlled</w:t>
      </w:r>
      <w:r>
        <w:rPr>
          <w:spacing w:val="-4"/>
          <w:sz w:val="24"/>
        </w:rPr>
        <w:t> </w:t>
      </w:r>
      <w:r>
        <w:rPr>
          <w:sz w:val="24"/>
        </w:rPr>
        <w:t>substances</w:t>
      </w:r>
      <w:r>
        <w:rPr>
          <w:spacing w:val="-4"/>
          <w:sz w:val="24"/>
        </w:rPr>
        <w:t> </w:t>
      </w:r>
      <w:r>
        <w:rPr>
          <w:sz w:val="24"/>
        </w:rPr>
        <w:t>tests.</w:t>
      </w:r>
      <w:r>
        <w:rPr>
          <w:spacing w:val="-5"/>
          <w:sz w:val="24"/>
        </w:rPr>
        <w:t> </w:t>
      </w:r>
      <w:r>
        <w:rPr>
          <w:sz w:val="24"/>
        </w:rPr>
        <w:t>(A)</w:t>
      </w:r>
      <w:r>
        <w:rPr>
          <w:spacing w:val="-4"/>
          <w:sz w:val="24"/>
        </w:rPr>
        <w:t> </w:t>
      </w:r>
      <w:r>
        <w:rPr>
          <w:sz w:val="24"/>
        </w:rPr>
        <w:t>through</w:t>
      </w:r>
      <w:r>
        <w:rPr>
          <w:spacing w:val="-5"/>
          <w:sz w:val="24"/>
        </w:rPr>
        <w:t> </w:t>
      </w:r>
      <w:r>
        <w:rPr>
          <w:sz w:val="24"/>
        </w:rPr>
        <w:t>(E)</w:t>
      </w:r>
      <w:r>
        <w:rPr>
          <w:spacing w:val="-4"/>
          <w:sz w:val="24"/>
        </w:rPr>
        <w:t> </w:t>
      </w:r>
      <w:r>
        <w:rPr>
          <w:sz w:val="24"/>
        </w:rPr>
        <w:t>of</w:t>
      </w:r>
      <w:r>
        <w:rPr>
          <w:spacing w:val="-5"/>
          <w:sz w:val="24"/>
        </w:rPr>
        <w:t> </w:t>
      </w:r>
      <w:r>
        <w:rPr>
          <w:sz w:val="24"/>
        </w:rPr>
        <w:t>this</w:t>
      </w:r>
      <w:r>
        <w:rPr>
          <w:spacing w:val="-5"/>
          <w:sz w:val="24"/>
        </w:rPr>
        <w:t> </w:t>
      </w:r>
      <w:r>
        <w:rPr>
          <w:sz w:val="24"/>
        </w:rPr>
        <w:t>Paragraph give information as to when alcohol tests are required.</w:t>
      </w:r>
    </w:p>
    <w:p>
      <w:pPr>
        <w:pStyle w:val="ListParagraph"/>
        <w:numPr>
          <w:ilvl w:val="4"/>
          <w:numId w:val="360"/>
        </w:numPr>
        <w:tabs>
          <w:tab w:pos="2540" w:val="left" w:leader="none"/>
        </w:tabs>
        <w:spacing w:line="208" w:lineRule="auto" w:before="239" w:after="0"/>
        <w:ind w:left="2087" w:right="839" w:firstLine="0"/>
        <w:jc w:val="left"/>
        <w:rPr>
          <w:sz w:val="24"/>
        </w:rPr>
      </w:pPr>
      <w:r>
        <w:rPr>
          <w:sz w:val="24"/>
        </w:rPr>
        <w:t>Pre-employment tests are conducted after an offer to hire, but before</w:t>
      </w:r>
      <w:r>
        <w:rPr>
          <w:spacing w:val="-3"/>
          <w:sz w:val="24"/>
        </w:rPr>
        <w:t> </w:t>
      </w:r>
      <w:r>
        <w:rPr>
          <w:sz w:val="24"/>
        </w:rPr>
        <w:t>actually</w:t>
      </w:r>
      <w:r>
        <w:rPr>
          <w:spacing w:val="-3"/>
          <w:sz w:val="24"/>
        </w:rPr>
        <w:t> </w:t>
      </w:r>
      <w:r>
        <w:rPr>
          <w:sz w:val="24"/>
        </w:rPr>
        <w:t>performing</w:t>
      </w:r>
      <w:r>
        <w:rPr>
          <w:spacing w:val="-3"/>
          <w:sz w:val="24"/>
        </w:rPr>
        <w:t> </w:t>
      </w:r>
      <w:r>
        <w:rPr>
          <w:sz w:val="24"/>
        </w:rPr>
        <w:t>safety</w:t>
      </w:r>
      <w:r>
        <w:rPr>
          <w:spacing w:val="-3"/>
          <w:sz w:val="24"/>
        </w:rPr>
        <w:t> </w:t>
      </w:r>
      <w:r>
        <w:rPr>
          <w:sz w:val="24"/>
        </w:rPr>
        <w:t>sensitive</w:t>
      </w:r>
      <w:r>
        <w:rPr>
          <w:spacing w:val="-3"/>
          <w:sz w:val="24"/>
        </w:rPr>
        <w:t> </w:t>
      </w:r>
      <w:r>
        <w:rPr>
          <w:sz w:val="24"/>
        </w:rPr>
        <w:t>functions</w:t>
      </w:r>
      <w:r>
        <w:rPr>
          <w:spacing w:val="-3"/>
          <w:sz w:val="24"/>
        </w:rPr>
        <w:t> </w:t>
      </w:r>
      <w:r>
        <w:rPr>
          <w:sz w:val="24"/>
        </w:rPr>
        <w:t>for</w:t>
      </w:r>
      <w:r>
        <w:rPr>
          <w:spacing w:val="-2"/>
          <w:sz w:val="24"/>
        </w:rPr>
        <w:t> </w:t>
      </w:r>
      <w:r>
        <w:rPr>
          <w:sz w:val="24"/>
        </w:rPr>
        <w:t>the</w:t>
      </w:r>
      <w:r>
        <w:rPr>
          <w:spacing w:val="-4"/>
          <w:sz w:val="24"/>
        </w:rPr>
        <w:t> </w:t>
      </w:r>
      <w:r>
        <w:rPr>
          <w:sz w:val="24"/>
        </w:rPr>
        <w:t>first</w:t>
      </w:r>
      <w:r>
        <w:rPr>
          <w:spacing w:val="-4"/>
          <w:sz w:val="24"/>
        </w:rPr>
        <w:t> </w:t>
      </w:r>
      <w:r>
        <w:rPr>
          <w:sz w:val="24"/>
        </w:rPr>
        <w:t>time.</w:t>
      </w:r>
      <w:r>
        <w:rPr>
          <w:spacing w:val="-2"/>
          <w:sz w:val="24"/>
        </w:rPr>
        <w:t> </w:t>
      </w:r>
      <w:r>
        <w:rPr>
          <w:sz w:val="24"/>
        </w:rPr>
        <w:t>It is</w:t>
      </w:r>
      <w:r>
        <w:rPr>
          <w:spacing w:val="-4"/>
          <w:sz w:val="24"/>
        </w:rPr>
        <w:t> </w:t>
      </w:r>
      <w:r>
        <w:rPr>
          <w:sz w:val="24"/>
        </w:rPr>
        <w:t>also</w:t>
      </w:r>
      <w:r>
        <w:rPr>
          <w:spacing w:val="-4"/>
          <w:sz w:val="24"/>
        </w:rPr>
        <w:t> </w:t>
      </w:r>
      <w:r>
        <w:rPr>
          <w:sz w:val="24"/>
        </w:rPr>
        <w:t>required</w:t>
      </w:r>
      <w:r>
        <w:rPr>
          <w:spacing w:val="-4"/>
          <w:sz w:val="24"/>
        </w:rPr>
        <w:t> </w:t>
      </w:r>
      <w:r>
        <w:rPr>
          <w:sz w:val="24"/>
        </w:rPr>
        <w:t>when</w:t>
      </w:r>
      <w:r>
        <w:rPr>
          <w:spacing w:val="-3"/>
          <w:sz w:val="24"/>
        </w:rPr>
        <w:t> </w:t>
      </w:r>
      <w:r>
        <w:rPr>
          <w:sz w:val="24"/>
        </w:rPr>
        <w:t>employees</w:t>
      </w:r>
      <w:r>
        <w:rPr>
          <w:spacing w:val="-3"/>
          <w:sz w:val="24"/>
        </w:rPr>
        <w:t> </w:t>
      </w:r>
      <w:r>
        <w:rPr>
          <w:sz w:val="24"/>
        </w:rPr>
        <w:t>transfer</w:t>
      </w:r>
      <w:r>
        <w:rPr>
          <w:spacing w:val="-5"/>
          <w:sz w:val="24"/>
        </w:rPr>
        <w:t> </w:t>
      </w:r>
      <w:r>
        <w:rPr>
          <w:sz w:val="24"/>
        </w:rPr>
        <w:t>to</w:t>
      </w:r>
      <w:r>
        <w:rPr>
          <w:spacing w:val="-5"/>
          <w:sz w:val="24"/>
        </w:rPr>
        <w:t> </w:t>
      </w:r>
      <w:r>
        <w:rPr>
          <w:sz w:val="24"/>
        </w:rPr>
        <w:t>a</w:t>
      </w:r>
      <w:r>
        <w:rPr>
          <w:spacing w:val="-4"/>
          <w:sz w:val="24"/>
        </w:rPr>
        <w:t> </w:t>
      </w:r>
      <w:r>
        <w:rPr>
          <w:sz w:val="24"/>
        </w:rPr>
        <w:t>safety</w:t>
      </w:r>
      <w:r>
        <w:rPr>
          <w:spacing w:val="-4"/>
          <w:sz w:val="24"/>
        </w:rPr>
        <w:t> </w:t>
      </w:r>
      <w:r>
        <w:rPr>
          <w:sz w:val="24"/>
        </w:rPr>
        <w:t>sensitive</w:t>
      </w:r>
      <w:r>
        <w:rPr>
          <w:spacing w:val="-4"/>
          <w:sz w:val="24"/>
        </w:rPr>
        <w:t> </w:t>
      </w:r>
      <w:r>
        <w:rPr>
          <w:sz w:val="24"/>
        </w:rPr>
        <w:t>position.</w:t>
      </w:r>
    </w:p>
    <w:p>
      <w:pPr>
        <w:pStyle w:val="ListParagraph"/>
        <w:numPr>
          <w:ilvl w:val="4"/>
          <w:numId w:val="360"/>
        </w:numPr>
        <w:tabs>
          <w:tab w:pos="2540" w:val="left" w:leader="none"/>
        </w:tabs>
        <w:spacing w:line="208" w:lineRule="auto" w:before="240" w:after="0"/>
        <w:ind w:left="2087" w:right="1118" w:firstLine="0"/>
        <w:jc w:val="left"/>
        <w:rPr>
          <w:sz w:val="24"/>
        </w:rPr>
      </w:pPr>
      <w:r>
        <w:rPr>
          <w:sz w:val="24"/>
        </w:rPr>
        <w:t>Random</w:t>
      </w:r>
      <w:r>
        <w:rPr>
          <w:spacing w:val="-2"/>
          <w:sz w:val="24"/>
        </w:rPr>
        <w:t> </w:t>
      </w:r>
      <w:r>
        <w:rPr>
          <w:sz w:val="24"/>
        </w:rPr>
        <w:t>tests</w:t>
      </w:r>
      <w:r>
        <w:rPr>
          <w:spacing w:val="-4"/>
          <w:sz w:val="24"/>
        </w:rPr>
        <w:t> </w:t>
      </w:r>
      <w:r>
        <w:rPr>
          <w:sz w:val="24"/>
        </w:rPr>
        <w:t>may</w:t>
      </w:r>
      <w:r>
        <w:rPr>
          <w:spacing w:val="-3"/>
          <w:sz w:val="24"/>
        </w:rPr>
        <w:t> </w:t>
      </w:r>
      <w:r>
        <w:rPr>
          <w:sz w:val="24"/>
        </w:rPr>
        <w:t>be</w:t>
      </w:r>
      <w:r>
        <w:rPr>
          <w:spacing w:val="-3"/>
          <w:sz w:val="24"/>
        </w:rPr>
        <w:t> </w:t>
      </w:r>
      <w:r>
        <w:rPr>
          <w:sz w:val="24"/>
        </w:rPr>
        <w:t>conducted</w:t>
      </w:r>
      <w:r>
        <w:rPr>
          <w:spacing w:val="-3"/>
          <w:sz w:val="24"/>
        </w:rPr>
        <w:t> </w:t>
      </w:r>
      <w:r>
        <w:rPr>
          <w:sz w:val="24"/>
        </w:rPr>
        <w:t>on</w:t>
      </w:r>
      <w:r>
        <w:rPr>
          <w:spacing w:val="-3"/>
          <w:sz w:val="24"/>
        </w:rPr>
        <w:t> </w:t>
      </w:r>
      <w:r>
        <w:rPr>
          <w:sz w:val="24"/>
        </w:rPr>
        <w:t>an</w:t>
      </w:r>
      <w:r>
        <w:rPr>
          <w:spacing w:val="-3"/>
          <w:sz w:val="24"/>
        </w:rPr>
        <w:t> </w:t>
      </w:r>
      <w:r>
        <w:rPr>
          <w:sz w:val="24"/>
        </w:rPr>
        <w:t>unannounced</w:t>
      </w:r>
      <w:r>
        <w:rPr>
          <w:spacing w:val="-3"/>
          <w:sz w:val="24"/>
        </w:rPr>
        <w:t> </w:t>
      </w:r>
      <w:r>
        <w:rPr>
          <w:sz w:val="24"/>
        </w:rPr>
        <w:t>basis</w:t>
      </w:r>
      <w:r>
        <w:rPr>
          <w:spacing w:val="-3"/>
          <w:sz w:val="24"/>
        </w:rPr>
        <w:t> </w:t>
      </w:r>
      <w:r>
        <w:rPr>
          <w:sz w:val="24"/>
        </w:rPr>
        <w:t>just before,</w:t>
      </w:r>
      <w:r>
        <w:rPr>
          <w:spacing w:val="-4"/>
          <w:sz w:val="24"/>
        </w:rPr>
        <w:t> </w:t>
      </w:r>
      <w:r>
        <w:rPr>
          <w:sz w:val="24"/>
        </w:rPr>
        <w:t>during</w:t>
      </w:r>
      <w:r>
        <w:rPr>
          <w:spacing w:val="-5"/>
          <w:sz w:val="24"/>
        </w:rPr>
        <w:t> </w:t>
      </w:r>
      <w:r>
        <w:rPr>
          <w:sz w:val="24"/>
        </w:rPr>
        <w:t>or</w:t>
      </w:r>
      <w:r>
        <w:rPr>
          <w:spacing w:val="-4"/>
          <w:sz w:val="24"/>
        </w:rPr>
        <w:t> </w:t>
      </w:r>
      <w:r>
        <w:rPr>
          <w:sz w:val="24"/>
        </w:rPr>
        <w:t>just</w:t>
      </w:r>
      <w:r>
        <w:rPr>
          <w:spacing w:val="-4"/>
          <w:sz w:val="24"/>
        </w:rPr>
        <w:t> </w:t>
      </w:r>
      <w:r>
        <w:rPr>
          <w:sz w:val="24"/>
        </w:rPr>
        <w:t>after</w:t>
      </w:r>
      <w:r>
        <w:rPr>
          <w:spacing w:val="-4"/>
          <w:sz w:val="24"/>
        </w:rPr>
        <w:t> </w:t>
      </w:r>
      <w:r>
        <w:rPr>
          <w:sz w:val="24"/>
        </w:rPr>
        <w:t>performance</w:t>
      </w:r>
      <w:r>
        <w:rPr>
          <w:spacing w:val="-5"/>
          <w:sz w:val="24"/>
        </w:rPr>
        <w:t> </w:t>
      </w:r>
      <w:r>
        <w:rPr>
          <w:sz w:val="24"/>
        </w:rPr>
        <w:t>of</w:t>
      </w:r>
      <w:r>
        <w:rPr>
          <w:spacing w:val="-4"/>
          <w:sz w:val="24"/>
        </w:rPr>
        <w:t> </w:t>
      </w:r>
      <w:r>
        <w:rPr>
          <w:sz w:val="24"/>
        </w:rPr>
        <w:t>safety</w:t>
      </w:r>
      <w:r>
        <w:rPr>
          <w:spacing w:val="-5"/>
          <w:sz w:val="24"/>
        </w:rPr>
        <w:t> </w:t>
      </w:r>
      <w:r>
        <w:rPr>
          <w:sz w:val="24"/>
        </w:rPr>
        <w:t>sensitive</w:t>
      </w:r>
      <w:r>
        <w:rPr>
          <w:spacing w:val="-5"/>
          <w:sz w:val="24"/>
        </w:rPr>
        <w:t> </w:t>
      </w:r>
      <w:r>
        <w:rPr>
          <w:sz w:val="24"/>
        </w:rPr>
        <w:t>functions.</w:t>
      </w:r>
    </w:p>
    <w:p>
      <w:pPr>
        <w:pStyle w:val="ListParagraph"/>
        <w:numPr>
          <w:ilvl w:val="4"/>
          <w:numId w:val="360"/>
        </w:numPr>
        <w:tabs>
          <w:tab w:pos="2553" w:val="left" w:leader="none"/>
        </w:tabs>
        <w:spacing w:line="208" w:lineRule="auto" w:before="240" w:after="0"/>
        <w:ind w:left="2087" w:right="917" w:firstLine="0"/>
        <w:jc w:val="left"/>
        <w:rPr>
          <w:sz w:val="24"/>
        </w:rPr>
      </w:pPr>
      <w:r>
        <w:rPr>
          <w:sz w:val="24"/>
        </w:rPr>
        <w:t>Reasonable suspicion tests are conducted when a trained supervisor observes behavior or appearance that is characteristic of controlled substance(s) abuse. Observation must occur during, just preceding,</w:t>
      </w:r>
      <w:r>
        <w:rPr>
          <w:spacing w:val="-1"/>
          <w:sz w:val="24"/>
        </w:rPr>
        <w:t> </w:t>
      </w:r>
      <w:r>
        <w:rPr>
          <w:sz w:val="24"/>
        </w:rPr>
        <w:t>or</w:t>
      </w:r>
      <w:r>
        <w:rPr>
          <w:spacing w:val="-2"/>
          <w:sz w:val="24"/>
        </w:rPr>
        <w:t> </w:t>
      </w:r>
      <w:r>
        <w:rPr>
          <w:sz w:val="24"/>
        </w:rPr>
        <w:t>just</w:t>
      </w:r>
      <w:r>
        <w:rPr>
          <w:spacing w:val="-2"/>
          <w:sz w:val="24"/>
        </w:rPr>
        <w:t> </w:t>
      </w:r>
      <w:r>
        <w:rPr>
          <w:sz w:val="24"/>
        </w:rPr>
        <w:t>after</w:t>
      </w:r>
      <w:r>
        <w:rPr>
          <w:spacing w:val="-4"/>
          <w:sz w:val="24"/>
        </w:rPr>
        <w:t> </w:t>
      </w:r>
      <w:r>
        <w:rPr>
          <w:sz w:val="24"/>
        </w:rPr>
        <w:t>the</w:t>
      </w:r>
      <w:r>
        <w:rPr>
          <w:spacing w:val="-3"/>
          <w:sz w:val="24"/>
        </w:rPr>
        <w:t> </w:t>
      </w:r>
      <w:r>
        <w:rPr>
          <w:sz w:val="24"/>
        </w:rPr>
        <w:t>period</w:t>
      </w:r>
      <w:r>
        <w:rPr>
          <w:spacing w:val="-3"/>
          <w:sz w:val="24"/>
        </w:rPr>
        <w:t> </w:t>
      </w:r>
      <w:r>
        <w:rPr>
          <w:sz w:val="24"/>
        </w:rPr>
        <w:t>of</w:t>
      </w:r>
      <w:r>
        <w:rPr>
          <w:spacing w:val="-2"/>
          <w:sz w:val="24"/>
        </w:rPr>
        <w:t> </w:t>
      </w:r>
      <w:r>
        <w:rPr>
          <w:sz w:val="24"/>
        </w:rPr>
        <w:t>the</w:t>
      </w:r>
      <w:r>
        <w:rPr>
          <w:spacing w:val="-3"/>
          <w:sz w:val="24"/>
        </w:rPr>
        <w:t> </w:t>
      </w:r>
      <w:r>
        <w:rPr>
          <w:sz w:val="24"/>
        </w:rPr>
        <w:t>work</w:t>
      </w:r>
      <w:r>
        <w:rPr>
          <w:spacing w:val="-4"/>
          <w:sz w:val="24"/>
        </w:rPr>
        <w:t> </w:t>
      </w:r>
      <w:r>
        <w:rPr>
          <w:sz w:val="24"/>
        </w:rPr>
        <w:t>day</w:t>
      </w:r>
      <w:r>
        <w:rPr>
          <w:spacing w:val="-3"/>
          <w:sz w:val="24"/>
        </w:rPr>
        <w:t> </w:t>
      </w:r>
      <w:r>
        <w:rPr>
          <w:sz w:val="24"/>
        </w:rPr>
        <w:t>that</w:t>
      </w:r>
      <w:r>
        <w:rPr>
          <w:spacing w:val="-4"/>
          <w:sz w:val="24"/>
        </w:rPr>
        <w:t> </w:t>
      </w:r>
      <w:r>
        <w:rPr>
          <w:sz w:val="24"/>
        </w:rPr>
        <w:t>the</w:t>
      </w:r>
      <w:r>
        <w:rPr>
          <w:spacing w:val="-3"/>
          <w:sz w:val="24"/>
        </w:rPr>
        <w:t> </w:t>
      </w:r>
      <w:r>
        <w:rPr>
          <w:sz w:val="24"/>
        </w:rPr>
        <w:t>employee</w:t>
      </w:r>
      <w:r>
        <w:rPr>
          <w:spacing w:val="-3"/>
          <w:sz w:val="24"/>
        </w:rPr>
        <w:t> </w:t>
      </w:r>
      <w:r>
        <w:rPr>
          <w:sz w:val="24"/>
        </w:rPr>
        <w:t>is required to be in compliance with the law.</w:t>
      </w:r>
    </w:p>
    <w:p>
      <w:pPr>
        <w:pStyle w:val="ListParagraph"/>
        <w:numPr>
          <w:ilvl w:val="4"/>
          <w:numId w:val="360"/>
        </w:numPr>
        <w:tabs>
          <w:tab w:pos="2553" w:val="left" w:leader="none"/>
        </w:tabs>
        <w:spacing w:line="208" w:lineRule="auto" w:before="240" w:after="0"/>
        <w:ind w:left="2087" w:right="716" w:firstLine="0"/>
        <w:jc w:val="left"/>
        <w:rPr>
          <w:sz w:val="24"/>
        </w:rPr>
      </w:pPr>
      <w:r>
        <w:rPr>
          <w:sz w:val="24"/>
        </w:rPr>
        <w:t>Post-accident tests are conducted after an accident involving an employee whose performance could have contributed to the accident,</w:t>
      </w:r>
      <w:r>
        <w:rPr>
          <w:spacing w:val="40"/>
          <w:sz w:val="24"/>
        </w:rPr>
        <w:t> </w:t>
      </w:r>
      <w:r>
        <w:rPr>
          <w:sz w:val="24"/>
        </w:rPr>
        <w:t>or when a driver receives a moving traffic violation arising from the accident. The driver must remain readily available for such testing. If</w:t>
      </w:r>
      <w:r>
        <w:rPr>
          <w:spacing w:val="40"/>
          <w:sz w:val="24"/>
        </w:rPr>
        <w:t> </w:t>
      </w:r>
      <w:r>
        <w:rPr>
          <w:sz w:val="24"/>
        </w:rPr>
        <w:t>the</w:t>
      </w:r>
      <w:r>
        <w:rPr>
          <w:spacing w:val="-3"/>
          <w:sz w:val="24"/>
        </w:rPr>
        <w:t> </w:t>
      </w:r>
      <w:r>
        <w:rPr>
          <w:sz w:val="24"/>
        </w:rPr>
        <w:t>driver</w:t>
      </w:r>
      <w:r>
        <w:rPr>
          <w:spacing w:val="-3"/>
          <w:sz w:val="24"/>
        </w:rPr>
        <w:t> </w:t>
      </w:r>
      <w:r>
        <w:rPr>
          <w:sz w:val="24"/>
        </w:rPr>
        <w:t>leaves</w:t>
      </w:r>
      <w:r>
        <w:rPr>
          <w:spacing w:val="-3"/>
          <w:sz w:val="24"/>
        </w:rPr>
        <w:t> </w:t>
      </w:r>
      <w:r>
        <w:rPr>
          <w:sz w:val="24"/>
        </w:rPr>
        <w:t>the</w:t>
      </w:r>
      <w:r>
        <w:rPr>
          <w:spacing w:val="-3"/>
          <w:sz w:val="24"/>
        </w:rPr>
        <w:t> </w:t>
      </w:r>
      <w:r>
        <w:rPr>
          <w:sz w:val="24"/>
        </w:rPr>
        <w:t>scene</w:t>
      </w:r>
      <w:r>
        <w:rPr>
          <w:spacing w:val="-3"/>
          <w:sz w:val="24"/>
        </w:rPr>
        <w:t> </w:t>
      </w:r>
      <w:r>
        <w:rPr>
          <w:sz w:val="24"/>
        </w:rPr>
        <w:t>of</w:t>
      </w:r>
      <w:r>
        <w:rPr>
          <w:spacing w:val="-3"/>
          <w:sz w:val="24"/>
        </w:rPr>
        <w:t> </w:t>
      </w:r>
      <w:r>
        <w:rPr>
          <w:sz w:val="24"/>
        </w:rPr>
        <w:t>an</w:t>
      </w:r>
      <w:r>
        <w:rPr>
          <w:spacing w:val="-3"/>
          <w:sz w:val="24"/>
        </w:rPr>
        <w:t> </w:t>
      </w:r>
      <w:r>
        <w:rPr>
          <w:sz w:val="24"/>
        </w:rPr>
        <w:t>accident</w:t>
      </w:r>
      <w:r>
        <w:rPr>
          <w:spacing w:val="-3"/>
          <w:sz w:val="24"/>
        </w:rPr>
        <w:t> </w:t>
      </w:r>
      <w:r>
        <w:rPr>
          <w:sz w:val="24"/>
        </w:rPr>
        <w:t>without</w:t>
      </w:r>
      <w:r>
        <w:rPr>
          <w:spacing w:val="-3"/>
          <w:sz w:val="24"/>
        </w:rPr>
        <w:t> </w:t>
      </w:r>
      <w:r>
        <w:rPr>
          <w:sz w:val="24"/>
        </w:rPr>
        <w:t>a</w:t>
      </w:r>
      <w:r>
        <w:rPr>
          <w:spacing w:val="-3"/>
          <w:sz w:val="24"/>
        </w:rPr>
        <w:t> </w:t>
      </w:r>
      <w:r>
        <w:rPr>
          <w:sz w:val="24"/>
        </w:rPr>
        <w:t>valid</w:t>
      </w:r>
      <w:r>
        <w:rPr>
          <w:spacing w:val="-3"/>
          <w:sz w:val="24"/>
        </w:rPr>
        <w:t> </w:t>
      </w:r>
      <w:r>
        <w:rPr>
          <w:sz w:val="24"/>
        </w:rPr>
        <w:t>reason</w:t>
      </w:r>
      <w:r>
        <w:rPr>
          <w:spacing w:val="-3"/>
          <w:sz w:val="24"/>
        </w:rPr>
        <w:t> </w:t>
      </w:r>
      <w:r>
        <w:rPr>
          <w:sz w:val="24"/>
        </w:rPr>
        <w:t>prior</w:t>
      </w:r>
      <w:r>
        <w:rPr>
          <w:spacing w:val="-3"/>
          <w:sz w:val="24"/>
        </w:rPr>
        <w:t> </w:t>
      </w:r>
      <w:r>
        <w:rPr>
          <w:sz w:val="24"/>
        </w:rPr>
        <w:t>to submission to such testing, he/she may be deemed to have refused to submit to testing.</w:t>
      </w:r>
    </w:p>
    <w:p>
      <w:pPr>
        <w:pStyle w:val="ListParagraph"/>
        <w:numPr>
          <w:ilvl w:val="4"/>
          <w:numId w:val="360"/>
        </w:numPr>
        <w:tabs>
          <w:tab w:pos="2540" w:val="left" w:leader="none"/>
        </w:tabs>
        <w:spacing w:line="208" w:lineRule="auto" w:before="239" w:after="0"/>
        <w:ind w:left="2087" w:right="732" w:firstLine="0"/>
        <w:jc w:val="left"/>
        <w:rPr>
          <w:sz w:val="24"/>
        </w:rPr>
      </w:pPr>
      <w:r>
        <w:rPr>
          <w:sz w:val="24"/>
        </w:rPr>
        <w:t>Return to duty and follow-up tests are conducted when an</w:t>
      </w:r>
      <w:r>
        <w:rPr>
          <w:spacing w:val="40"/>
          <w:sz w:val="24"/>
        </w:rPr>
        <w:t> </w:t>
      </w:r>
      <w:r>
        <w:rPr>
          <w:sz w:val="24"/>
        </w:rPr>
        <w:t>individual who has violated the prohibited controlled substance(s)</w:t>
      </w:r>
      <w:r>
        <w:rPr>
          <w:spacing w:val="40"/>
          <w:sz w:val="24"/>
        </w:rPr>
        <w:t> </w:t>
      </w:r>
      <w:r>
        <w:rPr>
          <w:sz w:val="24"/>
        </w:rPr>
        <w:t>abuse conduct standards returns prior to performing safety sensitive duties. Follow-up tests are unannounced; conducted at least six times</w:t>
      </w:r>
      <w:r>
        <w:rPr>
          <w:spacing w:val="40"/>
          <w:sz w:val="24"/>
        </w:rPr>
        <w:t> </w:t>
      </w:r>
      <w:r>
        <w:rPr>
          <w:sz w:val="24"/>
        </w:rPr>
        <w:t>in</w:t>
      </w:r>
      <w:r>
        <w:rPr>
          <w:spacing w:val="-3"/>
          <w:sz w:val="24"/>
        </w:rPr>
        <w:t> </w:t>
      </w:r>
      <w:r>
        <w:rPr>
          <w:sz w:val="24"/>
        </w:rPr>
        <w:t>the</w:t>
      </w:r>
      <w:r>
        <w:rPr>
          <w:spacing w:val="-3"/>
          <w:sz w:val="24"/>
        </w:rPr>
        <w:t> </w:t>
      </w:r>
      <w:r>
        <w:rPr>
          <w:sz w:val="24"/>
        </w:rPr>
        <w:t>first</w:t>
      </w:r>
      <w:r>
        <w:rPr>
          <w:spacing w:val="-4"/>
          <w:sz w:val="24"/>
        </w:rPr>
        <w:t> </w:t>
      </w:r>
      <w:r>
        <w:rPr>
          <w:sz w:val="24"/>
        </w:rPr>
        <w:t>twelve</w:t>
      </w:r>
      <w:r>
        <w:rPr>
          <w:spacing w:val="-3"/>
          <w:sz w:val="24"/>
        </w:rPr>
        <w:t> </w:t>
      </w:r>
      <w:r>
        <w:rPr>
          <w:sz w:val="24"/>
        </w:rPr>
        <w:t>months</w:t>
      </w:r>
      <w:r>
        <w:rPr>
          <w:spacing w:val="-3"/>
          <w:sz w:val="24"/>
        </w:rPr>
        <w:t> </w:t>
      </w:r>
      <w:r>
        <w:rPr>
          <w:sz w:val="24"/>
        </w:rPr>
        <w:t>after</w:t>
      </w:r>
      <w:r>
        <w:rPr>
          <w:spacing w:val="-2"/>
          <w:sz w:val="24"/>
        </w:rPr>
        <w:t> </w:t>
      </w:r>
      <w:r>
        <w:rPr>
          <w:sz w:val="24"/>
        </w:rPr>
        <w:t>an</w:t>
      </w:r>
      <w:r>
        <w:rPr>
          <w:spacing w:val="-4"/>
          <w:sz w:val="24"/>
        </w:rPr>
        <w:t> </w:t>
      </w:r>
      <w:r>
        <w:rPr>
          <w:sz w:val="24"/>
        </w:rPr>
        <w:t>employee</w:t>
      </w:r>
      <w:r>
        <w:rPr>
          <w:spacing w:val="-3"/>
          <w:sz w:val="24"/>
        </w:rPr>
        <w:t> </w:t>
      </w:r>
      <w:r>
        <w:rPr>
          <w:sz w:val="24"/>
        </w:rPr>
        <w:t>returns</w:t>
      </w:r>
      <w:r>
        <w:rPr>
          <w:spacing w:val="-3"/>
          <w:sz w:val="24"/>
        </w:rPr>
        <w:t> </w:t>
      </w:r>
      <w:r>
        <w:rPr>
          <w:sz w:val="24"/>
        </w:rPr>
        <w:t>to</w:t>
      </w:r>
      <w:r>
        <w:rPr>
          <w:spacing w:val="-3"/>
          <w:sz w:val="24"/>
        </w:rPr>
        <w:t> </w:t>
      </w:r>
      <w:r>
        <w:rPr>
          <w:sz w:val="24"/>
        </w:rPr>
        <w:t>duty,</w:t>
      </w:r>
      <w:r>
        <w:rPr>
          <w:spacing w:val="-2"/>
          <w:sz w:val="24"/>
        </w:rPr>
        <w:t> </w:t>
      </w:r>
      <w:r>
        <w:rPr>
          <w:sz w:val="24"/>
        </w:rPr>
        <w:t>and</w:t>
      </w:r>
      <w:r>
        <w:rPr>
          <w:spacing w:val="-3"/>
          <w:sz w:val="24"/>
        </w:rPr>
        <w:t> </w:t>
      </w:r>
      <w:r>
        <w:rPr>
          <w:sz w:val="24"/>
        </w:rPr>
        <w:t>may</w:t>
      </w:r>
      <w:r>
        <w:rPr>
          <w:spacing w:val="-3"/>
          <w:sz w:val="24"/>
        </w:rPr>
        <w:t> </w:t>
      </w:r>
      <w:r>
        <w:rPr>
          <w:sz w:val="24"/>
        </w:rPr>
        <w:t>be extended for up to 60 months (five years) following return to duty.</w:t>
      </w:r>
    </w:p>
    <w:p>
      <w:pPr>
        <w:pStyle w:val="ListParagraph"/>
        <w:numPr>
          <w:ilvl w:val="3"/>
          <w:numId w:val="360"/>
        </w:numPr>
        <w:tabs>
          <w:tab w:pos="2081" w:val="left" w:leader="none"/>
        </w:tabs>
        <w:spacing w:line="208" w:lineRule="auto" w:before="239" w:after="0"/>
        <w:ind w:left="1655" w:right="817" w:firstLine="0"/>
        <w:jc w:val="left"/>
        <w:rPr>
          <w:sz w:val="24"/>
        </w:rPr>
      </w:pPr>
      <w:r>
        <w:rPr>
          <w:sz w:val="24"/>
        </w:rPr>
        <w:t>Test procedures. The Oklahoma School for the Blind and Oklahoma School for the Deaf will have their drug testing done in a manner which meets</w:t>
      </w:r>
      <w:r>
        <w:rPr>
          <w:spacing w:val="-3"/>
          <w:sz w:val="24"/>
        </w:rPr>
        <w:t> </w:t>
      </w:r>
      <w:r>
        <w:rPr>
          <w:sz w:val="24"/>
        </w:rPr>
        <w:t>the</w:t>
      </w:r>
      <w:r>
        <w:rPr>
          <w:spacing w:val="-4"/>
          <w:sz w:val="24"/>
        </w:rPr>
        <w:t> </w:t>
      </w:r>
      <w:r>
        <w:rPr>
          <w:sz w:val="24"/>
        </w:rPr>
        <w:t>requirements</w:t>
      </w:r>
      <w:r>
        <w:rPr>
          <w:spacing w:val="-3"/>
          <w:sz w:val="24"/>
        </w:rPr>
        <w:t> </w:t>
      </w:r>
      <w:r>
        <w:rPr>
          <w:sz w:val="24"/>
        </w:rPr>
        <w:t>of</w:t>
      </w:r>
      <w:r>
        <w:rPr>
          <w:spacing w:val="-3"/>
          <w:sz w:val="24"/>
        </w:rPr>
        <w:t> </w:t>
      </w:r>
      <w:r>
        <w:rPr>
          <w:sz w:val="24"/>
        </w:rPr>
        <w:t>49</w:t>
      </w:r>
      <w:r>
        <w:rPr>
          <w:spacing w:val="-3"/>
          <w:sz w:val="24"/>
        </w:rPr>
        <w:t> </w:t>
      </w:r>
      <w:r>
        <w:rPr>
          <w:sz w:val="24"/>
        </w:rPr>
        <w:t>CFR</w:t>
      </w:r>
      <w:r>
        <w:rPr>
          <w:spacing w:val="-3"/>
          <w:sz w:val="24"/>
        </w:rPr>
        <w:t> </w:t>
      </w:r>
      <w:r>
        <w:rPr>
          <w:sz w:val="24"/>
        </w:rPr>
        <w:t>40.</w:t>
      </w:r>
      <w:r>
        <w:rPr>
          <w:spacing w:val="-3"/>
          <w:sz w:val="24"/>
        </w:rPr>
        <w:t> </w:t>
      </w:r>
      <w:r>
        <w:rPr>
          <w:sz w:val="24"/>
        </w:rPr>
        <w:t>The</w:t>
      </w:r>
      <w:r>
        <w:rPr>
          <w:spacing w:val="-3"/>
          <w:sz w:val="24"/>
        </w:rPr>
        <w:t> </w:t>
      </w:r>
      <w:r>
        <w:rPr>
          <w:sz w:val="24"/>
        </w:rPr>
        <w:t>school</w:t>
      </w:r>
      <w:r>
        <w:rPr>
          <w:spacing w:val="-3"/>
          <w:sz w:val="24"/>
        </w:rPr>
        <w:t> </w:t>
      </w:r>
      <w:r>
        <w:rPr>
          <w:sz w:val="24"/>
        </w:rPr>
        <w:t>will</w:t>
      </w:r>
      <w:r>
        <w:rPr>
          <w:spacing w:val="-3"/>
          <w:sz w:val="24"/>
        </w:rPr>
        <w:t> </w:t>
      </w:r>
      <w:r>
        <w:rPr>
          <w:sz w:val="24"/>
        </w:rPr>
        <w:t>pay</w:t>
      </w:r>
      <w:r>
        <w:rPr>
          <w:spacing w:val="-3"/>
          <w:sz w:val="24"/>
        </w:rPr>
        <w:t> </w:t>
      </w:r>
      <w:r>
        <w:rPr>
          <w:sz w:val="24"/>
        </w:rPr>
        <w:t>for</w:t>
      </w:r>
      <w:r>
        <w:rPr>
          <w:spacing w:val="-3"/>
          <w:sz w:val="24"/>
        </w:rPr>
        <w:t> </w:t>
      </w:r>
      <w:r>
        <w:rPr>
          <w:sz w:val="24"/>
        </w:rPr>
        <w:t>required</w:t>
      </w:r>
      <w:r>
        <w:rPr>
          <w:spacing w:val="-3"/>
          <w:sz w:val="24"/>
        </w:rPr>
        <w:t> </w:t>
      </w:r>
      <w:r>
        <w:rPr>
          <w:sz w:val="24"/>
        </w:rPr>
        <w:t>pre- employment, random sample, reasonable suspicion, and post-accident testing. The employee will pay for return to duty and follow-up testing.</w:t>
      </w:r>
    </w:p>
    <w:p>
      <w:pPr>
        <w:pStyle w:val="ListParagraph"/>
        <w:numPr>
          <w:ilvl w:val="2"/>
          <w:numId w:val="360"/>
        </w:numPr>
        <w:tabs>
          <w:tab w:pos="1649" w:val="left" w:leader="none"/>
        </w:tabs>
        <w:spacing w:line="208" w:lineRule="auto" w:before="240" w:after="0"/>
        <w:ind w:left="1223" w:right="782" w:firstLine="0"/>
        <w:jc w:val="left"/>
        <w:rPr>
          <w:sz w:val="24"/>
        </w:rPr>
      </w:pPr>
      <w:r>
        <w:rPr>
          <w:sz w:val="24"/>
        </w:rPr>
        <w:t>Consequences</w:t>
      </w:r>
      <w:r>
        <w:rPr>
          <w:spacing w:val="-4"/>
          <w:sz w:val="24"/>
        </w:rPr>
        <w:t> </w:t>
      </w:r>
      <w:r>
        <w:rPr>
          <w:sz w:val="24"/>
        </w:rPr>
        <w:t>of</w:t>
      </w:r>
      <w:r>
        <w:rPr>
          <w:spacing w:val="-3"/>
          <w:sz w:val="24"/>
        </w:rPr>
        <w:t> </w:t>
      </w:r>
      <w:r>
        <w:rPr>
          <w:sz w:val="24"/>
        </w:rPr>
        <w:t>refusing</w:t>
      </w:r>
      <w:r>
        <w:rPr>
          <w:spacing w:val="-4"/>
          <w:sz w:val="24"/>
        </w:rPr>
        <w:t> </w:t>
      </w:r>
      <w:r>
        <w:rPr>
          <w:sz w:val="24"/>
        </w:rPr>
        <w:t>to</w:t>
      </w:r>
      <w:r>
        <w:rPr>
          <w:spacing w:val="-5"/>
          <w:sz w:val="24"/>
        </w:rPr>
        <w:t> </w:t>
      </w:r>
      <w:r>
        <w:rPr>
          <w:sz w:val="24"/>
        </w:rPr>
        <w:t>submit</w:t>
      </w:r>
      <w:r>
        <w:rPr>
          <w:spacing w:val="-3"/>
          <w:sz w:val="24"/>
        </w:rPr>
        <w:t> </w:t>
      </w:r>
      <w:r>
        <w:rPr>
          <w:sz w:val="24"/>
        </w:rPr>
        <w:t>to</w:t>
      </w:r>
      <w:r>
        <w:rPr>
          <w:spacing w:val="-5"/>
          <w:sz w:val="24"/>
        </w:rPr>
        <w:t> </w:t>
      </w:r>
      <w:r>
        <w:rPr>
          <w:sz w:val="24"/>
        </w:rPr>
        <w:t>testing.</w:t>
      </w:r>
      <w:r>
        <w:rPr>
          <w:spacing w:val="-3"/>
          <w:sz w:val="24"/>
        </w:rPr>
        <w:t> </w:t>
      </w:r>
      <w:r>
        <w:rPr>
          <w:sz w:val="24"/>
        </w:rPr>
        <w:t>An</w:t>
      </w:r>
      <w:r>
        <w:rPr>
          <w:spacing w:val="-4"/>
          <w:sz w:val="24"/>
        </w:rPr>
        <w:t> </w:t>
      </w:r>
      <w:r>
        <w:rPr>
          <w:sz w:val="24"/>
        </w:rPr>
        <w:t>employee</w:t>
      </w:r>
      <w:r>
        <w:rPr>
          <w:spacing w:val="-4"/>
          <w:sz w:val="24"/>
        </w:rPr>
        <w:t> </w:t>
      </w:r>
      <w:r>
        <w:rPr>
          <w:sz w:val="24"/>
        </w:rPr>
        <w:t>covered</w:t>
      </w:r>
      <w:r>
        <w:rPr>
          <w:spacing w:val="-4"/>
          <w:sz w:val="24"/>
        </w:rPr>
        <w:t> </w:t>
      </w:r>
      <w:r>
        <w:rPr>
          <w:sz w:val="24"/>
        </w:rPr>
        <w:t>under this policy must submit to the required tests. Refusal to submit to alcohol concentration or controlled substances testing will result in the same disciplinary action as if the employee had tests of 0.04 or greater or had tested positive for use of controlled substance(s). Any of the instances shown in (1) through (7) of this Subsection will be considered as refusal to submit to testing:</w:t>
      </w:r>
    </w:p>
    <w:p>
      <w:pPr>
        <w:pStyle w:val="ListParagraph"/>
        <w:numPr>
          <w:ilvl w:val="3"/>
          <w:numId w:val="360"/>
        </w:numPr>
        <w:tabs>
          <w:tab w:pos="2080" w:val="left" w:leader="none"/>
        </w:tabs>
        <w:spacing w:line="208" w:lineRule="auto" w:before="239" w:after="0"/>
        <w:ind w:left="1655" w:right="1110" w:firstLine="0"/>
        <w:jc w:val="left"/>
        <w:rPr>
          <w:sz w:val="24"/>
        </w:rPr>
      </w:pPr>
      <w:r>
        <w:rPr>
          <w:sz w:val="24"/>
        </w:rPr>
        <w:t>failure</w:t>
      </w:r>
      <w:r>
        <w:rPr>
          <w:spacing w:val="-3"/>
          <w:sz w:val="24"/>
        </w:rPr>
        <w:t> </w:t>
      </w:r>
      <w:r>
        <w:rPr>
          <w:sz w:val="24"/>
        </w:rPr>
        <w:t>to</w:t>
      </w:r>
      <w:r>
        <w:rPr>
          <w:spacing w:val="-3"/>
          <w:sz w:val="24"/>
        </w:rPr>
        <w:t> </w:t>
      </w:r>
      <w:r>
        <w:rPr>
          <w:sz w:val="24"/>
        </w:rPr>
        <w:t>keep</w:t>
      </w:r>
      <w:r>
        <w:rPr>
          <w:spacing w:val="-3"/>
          <w:sz w:val="24"/>
        </w:rPr>
        <w:t> </w:t>
      </w:r>
      <w:r>
        <w:rPr>
          <w:sz w:val="24"/>
        </w:rPr>
        <w:t>an</w:t>
      </w:r>
      <w:r>
        <w:rPr>
          <w:spacing w:val="-3"/>
          <w:sz w:val="24"/>
        </w:rPr>
        <w:t> </w:t>
      </w:r>
      <w:r>
        <w:rPr>
          <w:sz w:val="24"/>
        </w:rPr>
        <w:t>appointment</w:t>
      </w:r>
      <w:r>
        <w:rPr>
          <w:spacing w:val="-2"/>
          <w:sz w:val="24"/>
        </w:rPr>
        <w:t> </w:t>
      </w:r>
      <w:r>
        <w:rPr>
          <w:sz w:val="24"/>
        </w:rPr>
        <w:t>for</w:t>
      </w:r>
      <w:r>
        <w:rPr>
          <w:spacing w:val="-4"/>
          <w:sz w:val="24"/>
        </w:rPr>
        <w:t> </w:t>
      </w:r>
      <w:r>
        <w:rPr>
          <w:sz w:val="24"/>
        </w:rPr>
        <w:t>any</w:t>
      </w:r>
      <w:r>
        <w:rPr>
          <w:spacing w:val="-3"/>
          <w:sz w:val="24"/>
        </w:rPr>
        <w:t> </w:t>
      </w:r>
      <w:r>
        <w:rPr>
          <w:sz w:val="24"/>
        </w:rPr>
        <w:t>of</w:t>
      </w:r>
      <w:r>
        <w:rPr>
          <w:spacing w:val="-2"/>
          <w:sz w:val="24"/>
        </w:rPr>
        <w:t> </w:t>
      </w:r>
      <w:r>
        <w:rPr>
          <w:sz w:val="24"/>
        </w:rPr>
        <w:t>the</w:t>
      </w:r>
      <w:r>
        <w:rPr>
          <w:spacing w:val="-4"/>
          <w:sz w:val="24"/>
        </w:rPr>
        <w:t> </w:t>
      </w:r>
      <w:r>
        <w:rPr>
          <w:sz w:val="24"/>
        </w:rPr>
        <w:t>required</w:t>
      </w:r>
      <w:r>
        <w:rPr>
          <w:spacing w:val="-3"/>
          <w:sz w:val="24"/>
        </w:rPr>
        <w:t> </w:t>
      </w:r>
      <w:r>
        <w:rPr>
          <w:sz w:val="24"/>
        </w:rPr>
        <w:t>tests</w:t>
      </w:r>
      <w:r>
        <w:rPr>
          <w:spacing w:val="-3"/>
          <w:sz w:val="24"/>
        </w:rPr>
        <w:t> </w:t>
      </w:r>
      <w:r>
        <w:rPr>
          <w:sz w:val="24"/>
        </w:rPr>
        <w:t>without</w:t>
      </w:r>
      <w:r>
        <w:rPr>
          <w:spacing w:val="-2"/>
          <w:sz w:val="24"/>
        </w:rPr>
        <w:t> </w:t>
      </w:r>
      <w:r>
        <w:rPr>
          <w:sz w:val="24"/>
        </w:rPr>
        <w:t>a valid reason and appropriate documentation;</w:t>
      </w:r>
    </w:p>
    <w:p>
      <w:pPr>
        <w:pStyle w:val="ListParagraph"/>
        <w:spacing w:after="0" w:line="208" w:lineRule="auto"/>
        <w:jc w:val="left"/>
        <w:rPr>
          <w:sz w:val="24"/>
        </w:rPr>
        <w:sectPr>
          <w:pgSz w:w="12240" w:h="15840"/>
          <w:pgMar w:top="1340" w:bottom="280" w:left="1080" w:right="720"/>
        </w:sectPr>
      </w:pPr>
    </w:p>
    <w:p>
      <w:pPr>
        <w:pStyle w:val="ListParagraph"/>
        <w:numPr>
          <w:ilvl w:val="3"/>
          <w:numId w:val="360"/>
        </w:numPr>
        <w:tabs>
          <w:tab w:pos="2082" w:val="left" w:leader="none"/>
        </w:tabs>
        <w:spacing w:line="208" w:lineRule="auto" w:before="96" w:after="0"/>
        <w:ind w:left="1656" w:right="1723" w:firstLine="0"/>
        <w:jc w:val="left"/>
        <w:rPr>
          <w:sz w:val="24"/>
        </w:rPr>
      </w:pPr>
      <w:r>
        <w:rPr>
          <w:sz w:val="24"/>
        </w:rPr>
        <w:t>leaving</w:t>
      </w:r>
      <w:r>
        <w:rPr>
          <w:spacing w:val="-4"/>
          <w:sz w:val="24"/>
        </w:rPr>
        <w:t> </w:t>
      </w:r>
      <w:r>
        <w:rPr>
          <w:sz w:val="24"/>
        </w:rPr>
        <w:t>the</w:t>
      </w:r>
      <w:r>
        <w:rPr>
          <w:spacing w:val="-4"/>
          <w:sz w:val="24"/>
        </w:rPr>
        <w:t> </w:t>
      </w:r>
      <w:r>
        <w:rPr>
          <w:sz w:val="24"/>
        </w:rPr>
        <w:t>scene</w:t>
      </w:r>
      <w:r>
        <w:rPr>
          <w:spacing w:val="-5"/>
          <w:sz w:val="24"/>
        </w:rPr>
        <w:t> </w:t>
      </w:r>
      <w:r>
        <w:rPr>
          <w:sz w:val="24"/>
        </w:rPr>
        <w:t>of</w:t>
      </w:r>
      <w:r>
        <w:rPr>
          <w:spacing w:val="-3"/>
          <w:sz w:val="24"/>
        </w:rPr>
        <w:t> </w:t>
      </w:r>
      <w:r>
        <w:rPr>
          <w:sz w:val="24"/>
        </w:rPr>
        <w:t>an</w:t>
      </w:r>
      <w:r>
        <w:rPr>
          <w:spacing w:val="-4"/>
          <w:sz w:val="24"/>
        </w:rPr>
        <w:t> </w:t>
      </w:r>
      <w:r>
        <w:rPr>
          <w:sz w:val="24"/>
        </w:rPr>
        <w:t>accident</w:t>
      </w:r>
      <w:r>
        <w:rPr>
          <w:spacing w:val="-3"/>
          <w:sz w:val="24"/>
        </w:rPr>
        <w:t> </w:t>
      </w:r>
      <w:r>
        <w:rPr>
          <w:sz w:val="24"/>
        </w:rPr>
        <w:t>without</w:t>
      </w:r>
      <w:r>
        <w:rPr>
          <w:spacing w:val="-3"/>
          <w:sz w:val="24"/>
        </w:rPr>
        <w:t> </w:t>
      </w:r>
      <w:r>
        <w:rPr>
          <w:sz w:val="24"/>
        </w:rPr>
        <w:t>a</w:t>
      </w:r>
      <w:r>
        <w:rPr>
          <w:spacing w:val="-4"/>
          <w:sz w:val="24"/>
        </w:rPr>
        <w:t> </w:t>
      </w:r>
      <w:r>
        <w:rPr>
          <w:sz w:val="24"/>
        </w:rPr>
        <w:t>valid</w:t>
      </w:r>
      <w:r>
        <w:rPr>
          <w:spacing w:val="-4"/>
          <w:sz w:val="24"/>
        </w:rPr>
        <w:t> </w:t>
      </w:r>
      <w:r>
        <w:rPr>
          <w:sz w:val="24"/>
        </w:rPr>
        <w:t>reason</w:t>
      </w:r>
      <w:r>
        <w:rPr>
          <w:spacing w:val="-4"/>
          <w:sz w:val="24"/>
        </w:rPr>
        <w:t> </w:t>
      </w:r>
      <w:r>
        <w:rPr>
          <w:sz w:val="24"/>
        </w:rPr>
        <w:t>prior</w:t>
      </w:r>
      <w:r>
        <w:rPr>
          <w:spacing w:val="-3"/>
          <w:sz w:val="24"/>
        </w:rPr>
        <w:t> </w:t>
      </w:r>
      <w:r>
        <w:rPr>
          <w:sz w:val="24"/>
        </w:rPr>
        <w:t>to submission to an alcohol concentration test;</w:t>
      </w:r>
    </w:p>
    <w:p>
      <w:pPr>
        <w:pStyle w:val="ListParagraph"/>
        <w:numPr>
          <w:ilvl w:val="3"/>
          <w:numId w:val="360"/>
        </w:numPr>
        <w:tabs>
          <w:tab w:pos="2081" w:val="left" w:leader="none"/>
        </w:tabs>
        <w:spacing w:line="208" w:lineRule="auto" w:before="240" w:after="0"/>
        <w:ind w:left="1656" w:right="1202" w:firstLine="0"/>
        <w:jc w:val="left"/>
        <w:rPr>
          <w:sz w:val="24"/>
        </w:rPr>
      </w:pPr>
      <w:r>
        <w:rPr>
          <w:sz w:val="24"/>
        </w:rPr>
        <w:t>failure</w:t>
      </w:r>
      <w:r>
        <w:rPr>
          <w:spacing w:val="-4"/>
          <w:sz w:val="24"/>
        </w:rPr>
        <w:t> </w:t>
      </w:r>
      <w:r>
        <w:rPr>
          <w:sz w:val="24"/>
        </w:rPr>
        <w:t>to</w:t>
      </w:r>
      <w:r>
        <w:rPr>
          <w:spacing w:val="-4"/>
          <w:sz w:val="24"/>
        </w:rPr>
        <w:t> </w:t>
      </w:r>
      <w:r>
        <w:rPr>
          <w:sz w:val="24"/>
        </w:rPr>
        <w:t>present</w:t>
      </w:r>
      <w:r>
        <w:rPr>
          <w:spacing w:val="-3"/>
          <w:sz w:val="24"/>
        </w:rPr>
        <w:t> </w:t>
      </w:r>
      <w:r>
        <w:rPr>
          <w:sz w:val="24"/>
        </w:rPr>
        <w:t>oneself</w:t>
      </w:r>
      <w:r>
        <w:rPr>
          <w:spacing w:val="-3"/>
          <w:sz w:val="24"/>
        </w:rPr>
        <w:t> </w:t>
      </w:r>
      <w:r>
        <w:rPr>
          <w:sz w:val="24"/>
        </w:rPr>
        <w:t>within</w:t>
      </w:r>
      <w:r>
        <w:rPr>
          <w:spacing w:val="-4"/>
          <w:sz w:val="24"/>
        </w:rPr>
        <w:t> </w:t>
      </w:r>
      <w:r>
        <w:rPr>
          <w:sz w:val="24"/>
        </w:rPr>
        <w:t>32</w:t>
      </w:r>
      <w:r>
        <w:rPr>
          <w:spacing w:val="-4"/>
          <w:sz w:val="24"/>
        </w:rPr>
        <w:t> </w:t>
      </w:r>
      <w:r>
        <w:rPr>
          <w:sz w:val="24"/>
        </w:rPr>
        <w:t>hours</w:t>
      </w:r>
      <w:r>
        <w:rPr>
          <w:spacing w:val="-4"/>
          <w:sz w:val="24"/>
        </w:rPr>
        <w:t> </w:t>
      </w:r>
      <w:r>
        <w:rPr>
          <w:sz w:val="24"/>
        </w:rPr>
        <w:t>following</w:t>
      </w:r>
      <w:r>
        <w:rPr>
          <w:spacing w:val="-4"/>
          <w:sz w:val="24"/>
        </w:rPr>
        <w:t> </w:t>
      </w:r>
      <w:r>
        <w:rPr>
          <w:sz w:val="24"/>
        </w:rPr>
        <w:t>an</w:t>
      </w:r>
      <w:r>
        <w:rPr>
          <w:spacing w:val="-4"/>
          <w:sz w:val="24"/>
        </w:rPr>
        <w:t> </w:t>
      </w:r>
      <w:r>
        <w:rPr>
          <w:sz w:val="24"/>
        </w:rPr>
        <w:t>accident</w:t>
      </w:r>
      <w:r>
        <w:rPr>
          <w:spacing w:val="-3"/>
          <w:sz w:val="24"/>
        </w:rPr>
        <w:t> </w:t>
      </w:r>
      <w:r>
        <w:rPr>
          <w:sz w:val="24"/>
        </w:rPr>
        <w:t>for</w:t>
      </w:r>
      <w:r>
        <w:rPr>
          <w:spacing w:val="-3"/>
          <w:sz w:val="24"/>
        </w:rPr>
        <w:t> </w:t>
      </w:r>
      <w:r>
        <w:rPr>
          <w:sz w:val="24"/>
        </w:rPr>
        <w:t>a controlled substances test;</w:t>
      </w:r>
    </w:p>
    <w:p>
      <w:pPr>
        <w:pStyle w:val="ListParagraph"/>
        <w:numPr>
          <w:ilvl w:val="3"/>
          <w:numId w:val="360"/>
        </w:numPr>
        <w:tabs>
          <w:tab w:pos="2081" w:val="left" w:leader="none"/>
        </w:tabs>
        <w:spacing w:line="208" w:lineRule="auto" w:before="239" w:after="0"/>
        <w:ind w:left="1656" w:right="1029" w:firstLine="0"/>
        <w:jc w:val="left"/>
        <w:rPr>
          <w:sz w:val="24"/>
        </w:rPr>
      </w:pPr>
      <w:r>
        <w:rPr>
          <w:sz w:val="24"/>
        </w:rPr>
        <w:t>failure</w:t>
      </w:r>
      <w:r>
        <w:rPr>
          <w:spacing w:val="-4"/>
          <w:sz w:val="24"/>
        </w:rPr>
        <w:t> </w:t>
      </w:r>
      <w:r>
        <w:rPr>
          <w:sz w:val="24"/>
        </w:rPr>
        <w:t>to</w:t>
      </w:r>
      <w:r>
        <w:rPr>
          <w:spacing w:val="-4"/>
          <w:sz w:val="24"/>
        </w:rPr>
        <w:t> </w:t>
      </w:r>
      <w:r>
        <w:rPr>
          <w:sz w:val="24"/>
        </w:rPr>
        <w:t>provide</w:t>
      </w:r>
      <w:r>
        <w:rPr>
          <w:spacing w:val="-4"/>
          <w:sz w:val="24"/>
        </w:rPr>
        <w:t> </w:t>
      </w:r>
      <w:r>
        <w:rPr>
          <w:sz w:val="24"/>
        </w:rPr>
        <w:t>adequate</w:t>
      </w:r>
      <w:r>
        <w:rPr>
          <w:spacing w:val="-4"/>
          <w:sz w:val="24"/>
        </w:rPr>
        <w:t> </w:t>
      </w:r>
      <w:r>
        <w:rPr>
          <w:sz w:val="24"/>
        </w:rPr>
        <w:t>breath</w:t>
      </w:r>
      <w:r>
        <w:rPr>
          <w:spacing w:val="-4"/>
          <w:sz w:val="24"/>
        </w:rPr>
        <w:t> </w:t>
      </w:r>
      <w:r>
        <w:rPr>
          <w:sz w:val="24"/>
        </w:rPr>
        <w:t>for</w:t>
      </w:r>
      <w:r>
        <w:rPr>
          <w:spacing w:val="-5"/>
          <w:sz w:val="24"/>
        </w:rPr>
        <w:t> </w:t>
      </w:r>
      <w:r>
        <w:rPr>
          <w:sz w:val="24"/>
        </w:rPr>
        <w:t>testing</w:t>
      </w:r>
      <w:r>
        <w:rPr>
          <w:spacing w:val="-4"/>
          <w:sz w:val="24"/>
        </w:rPr>
        <w:t> </w:t>
      </w:r>
      <w:r>
        <w:rPr>
          <w:sz w:val="24"/>
        </w:rPr>
        <w:t>when</w:t>
      </w:r>
      <w:r>
        <w:rPr>
          <w:spacing w:val="-4"/>
          <w:sz w:val="24"/>
        </w:rPr>
        <w:t> </w:t>
      </w:r>
      <w:r>
        <w:rPr>
          <w:sz w:val="24"/>
        </w:rPr>
        <w:t>required</w:t>
      </w:r>
      <w:r>
        <w:rPr>
          <w:spacing w:val="-4"/>
          <w:sz w:val="24"/>
        </w:rPr>
        <w:t> </w:t>
      </w:r>
      <w:r>
        <w:rPr>
          <w:sz w:val="24"/>
        </w:rPr>
        <w:t>without</w:t>
      </w:r>
      <w:r>
        <w:rPr>
          <w:spacing w:val="-3"/>
          <w:sz w:val="24"/>
        </w:rPr>
        <w:t> </w:t>
      </w:r>
      <w:r>
        <w:rPr>
          <w:sz w:val="24"/>
        </w:rPr>
        <w:t>a valid medical explanation;</w:t>
      </w:r>
    </w:p>
    <w:p>
      <w:pPr>
        <w:pStyle w:val="ListParagraph"/>
        <w:numPr>
          <w:ilvl w:val="3"/>
          <w:numId w:val="360"/>
        </w:numPr>
        <w:tabs>
          <w:tab w:pos="2082" w:val="left" w:leader="none"/>
        </w:tabs>
        <w:spacing w:line="240" w:lineRule="auto" w:before="211" w:after="0"/>
        <w:ind w:left="2082" w:right="0" w:hanging="426"/>
        <w:jc w:val="left"/>
        <w:rPr>
          <w:sz w:val="24"/>
        </w:rPr>
      </w:pPr>
      <w:r>
        <w:rPr>
          <w:sz w:val="24"/>
        </w:rPr>
        <w:t>engaging</w:t>
      </w:r>
      <w:r>
        <w:rPr>
          <w:spacing w:val="-6"/>
          <w:sz w:val="24"/>
        </w:rPr>
        <w:t> </w:t>
      </w:r>
      <w:r>
        <w:rPr>
          <w:sz w:val="24"/>
        </w:rPr>
        <w:t>in</w:t>
      </w:r>
      <w:r>
        <w:rPr>
          <w:spacing w:val="-3"/>
          <w:sz w:val="24"/>
        </w:rPr>
        <w:t> </w:t>
      </w:r>
      <w:r>
        <w:rPr>
          <w:sz w:val="24"/>
        </w:rPr>
        <w:t>conduct</w:t>
      </w:r>
      <w:r>
        <w:rPr>
          <w:spacing w:val="-2"/>
          <w:sz w:val="24"/>
        </w:rPr>
        <w:t> </w:t>
      </w:r>
      <w:r>
        <w:rPr>
          <w:sz w:val="24"/>
        </w:rPr>
        <w:t>which</w:t>
      </w:r>
      <w:r>
        <w:rPr>
          <w:spacing w:val="-3"/>
          <w:sz w:val="24"/>
        </w:rPr>
        <w:t> </w:t>
      </w:r>
      <w:r>
        <w:rPr>
          <w:sz w:val="24"/>
        </w:rPr>
        <w:t>clearly</w:t>
      </w:r>
      <w:r>
        <w:rPr>
          <w:spacing w:val="-3"/>
          <w:sz w:val="24"/>
        </w:rPr>
        <w:t> </w:t>
      </w:r>
      <w:r>
        <w:rPr>
          <w:sz w:val="24"/>
        </w:rPr>
        <w:t>obstructs</w:t>
      </w:r>
      <w:r>
        <w:rPr>
          <w:spacing w:val="-3"/>
          <w:sz w:val="24"/>
        </w:rPr>
        <w:t> </w:t>
      </w:r>
      <w:r>
        <w:rPr>
          <w:sz w:val="24"/>
        </w:rPr>
        <w:t>the</w:t>
      </w:r>
      <w:r>
        <w:rPr>
          <w:spacing w:val="-4"/>
          <w:sz w:val="24"/>
        </w:rPr>
        <w:t> </w:t>
      </w:r>
      <w:r>
        <w:rPr>
          <w:sz w:val="24"/>
        </w:rPr>
        <w:t>testing</w:t>
      </w:r>
      <w:r>
        <w:rPr>
          <w:spacing w:val="-3"/>
          <w:sz w:val="24"/>
        </w:rPr>
        <w:t> </w:t>
      </w:r>
      <w:r>
        <w:rPr>
          <w:spacing w:val="-2"/>
          <w:sz w:val="24"/>
        </w:rPr>
        <w:t>process;</w:t>
      </w:r>
    </w:p>
    <w:p>
      <w:pPr>
        <w:pStyle w:val="ListParagraph"/>
        <w:numPr>
          <w:ilvl w:val="3"/>
          <w:numId w:val="360"/>
        </w:numPr>
        <w:tabs>
          <w:tab w:pos="2081" w:val="left" w:leader="none"/>
        </w:tabs>
        <w:spacing w:line="208" w:lineRule="auto" w:before="233" w:after="0"/>
        <w:ind w:left="1656" w:right="1096" w:firstLine="0"/>
        <w:jc w:val="left"/>
        <w:rPr>
          <w:sz w:val="24"/>
        </w:rPr>
      </w:pPr>
      <w:r>
        <w:rPr>
          <w:sz w:val="24"/>
        </w:rPr>
        <w:t>failure</w:t>
      </w:r>
      <w:r>
        <w:rPr>
          <w:spacing w:val="-3"/>
          <w:sz w:val="24"/>
        </w:rPr>
        <w:t> </w:t>
      </w:r>
      <w:r>
        <w:rPr>
          <w:sz w:val="24"/>
        </w:rPr>
        <w:t>to</w:t>
      </w:r>
      <w:r>
        <w:rPr>
          <w:spacing w:val="-3"/>
          <w:sz w:val="24"/>
        </w:rPr>
        <w:t> </w:t>
      </w:r>
      <w:r>
        <w:rPr>
          <w:sz w:val="24"/>
        </w:rPr>
        <w:t>sign</w:t>
      </w:r>
      <w:r>
        <w:rPr>
          <w:spacing w:val="-3"/>
          <w:sz w:val="24"/>
        </w:rPr>
        <w:t> </w:t>
      </w:r>
      <w:r>
        <w:rPr>
          <w:sz w:val="24"/>
        </w:rPr>
        <w:t>the</w:t>
      </w:r>
      <w:r>
        <w:rPr>
          <w:spacing w:val="-3"/>
          <w:sz w:val="24"/>
        </w:rPr>
        <w:t> </w:t>
      </w:r>
      <w:r>
        <w:rPr>
          <w:sz w:val="24"/>
        </w:rPr>
        <w:t>alcohol</w:t>
      </w:r>
      <w:r>
        <w:rPr>
          <w:spacing w:val="-3"/>
          <w:sz w:val="24"/>
        </w:rPr>
        <w:t> </w:t>
      </w:r>
      <w:r>
        <w:rPr>
          <w:sz w:val="24"/>
        </w:rPr>
        <w:t>testing</w:t>
      </w:r>
      <w:r>
        <w:rPr>
          <w:spacing w:val="-3"/>
          <w:sz w:val="24"/>
        </w:rPr>
        <w:t> </w:t>
      </w:r>
      <w:r>
        <w:rPr>
          <w:sz w:val="24"/>
        </w:rPr>
        <w:t>form</w:t>
      </w:r>
      <w:r>
        <w:rPr>
          <w:spacing w:val="-2"/>
          <w:sz w:val="24"/>
        </w:rPr>
        <w:t> </w:t>
      </w:r>
      <w:r>
        <w:rPr>
          <w:sz w:val="24"/>
        </w:rPr>
        <w:t>(if</w:t>
      </w:r>
      <w:r>
        <w:rPr>
          <w:spacing w:val="-5"/>
          <w:sz w:val="24"/>
        </w:rPr>
        <w:t> </w:t>
      </w:r>
      <w:r>
        <w:rPr>
          <w:sz w:val="24"/>
        </w:rPr>
        <w:t>the</w:t>
      </w:r>
      <w:r>
        <w:rPr>
          <w:spacing w:val="-3"/>
          <w:sz w:val="24"/>
        </w:rPr>
        <w:t> </w:t>
      </w:r>
      <w:r>
        <w:rPr>
          <w:sz w:val="24"/>
        </w:rPr>
        <w:t>employee</w:t>
      </w:r>
      <w:r>
        <w:rPr>
          <w:spacing w:val="-3"/>
          <w:sz w:val="24"/>
        </w:rPr>
        <w:t> </w:t>
      </w:r>
      <w:r>
        <w:rPr>
          <w:sz w:val="24"/>
        </w:rPr>
        <w:t>does</w:t>
      </w:r>
      <w:r>
        <w:rPr>
          <w:spacing w:val="-3"/>
          <w:sz w:val="24"/>
        </w:rPr>
        <w:t> </w:t>
      </w:r>
      <w:r>
        <w:rPr>
          <w:sz w:val="24"/>
        </w:rPr>
        <w:t>not</w:t>
      </w:r>
      <w:r>
        <w:rPr>
          <w:spacing w:val="-2"/>
          <w:sz w:val="24"/>
        </w:rPr>
        <w:t> </w:t>
      </w:r>
      <w:r>
        <w:rPr>
          <w:sz w:val="24"/>
        </w:rPr>
        <w:t>take the tests); and/or</w:t>
      </w:r>
    </w:p>
    <w:p>
      <w:pPr>
        <w:pStyle w:val="ListParagraph"/>
        <w:numPr>
          <w:ilvl w:val="3"/>
          <w:numId w:val="360"/>
        </w:numPr>
        <w:tabs>
          <w:tab w:pos="2081" w:val="left" w:leader="none"/>
        </w:tabs>
        <w:spacing w:line="208" w:lineRule="auto" w:before="240" w:after="0"/>
        <w:ind w:left="1656" w:right="829" w:firstLine="0"/>
        <w:jc w:val="left"/>
        <w:rPr>
          <w:sz w:val="24"/>
        </w:rPr>
      </w:pPr>
      <w:r>
        <w:rPr>
          <w:sz w:val="24"/>
        </w:rPr>
        <w:t>refusing</w:t>
      </w:r>
      <w:r>
        <w:rPr>
          <w:spacing w:val="-4"/>
          <w:sz w:val="24"/>
        </w:rPr>
        <w:t> </w:t>
      </w:r>
      <w:r>
        <w:rPr>
          <w:sz w:val="24"/>
        </w:rPr>
        <w:t>to</w:t>
      </w:r>
      <w:r>
        <w:rPr>
          <w:spacing w:val="-4"/>
          <w:sz w:val="24"/>
        </w:rPr>
        <w:t> </w:t>
      </w:r>
      <w:r>
        <w:rPr>
          <w:sz w:val="24"/>
        </w:rPr>
        <w:t>submit</w:t>
      </w:r>
      <w:r>
        <w:rPr>
          <w:spacing w:val="-5"/>
          <w:sz w:val="24"/>
        </w:rPr>
        <w:t> </w:t>
      </w:r>
      <w:r>
        <w:rPr>
          <w:sz w:val="24"/>
        </w:rPr>
        <w:t>to</w:t>
      </w:r>
      <w:r>
        <w:rPr>
          <w:spacing w:val="-4"/>
          <w:sz w:val="24"/>
        </w:rPr>
        <w:t> </w:t>
      </w:r>
      <w:r>
        <w:rPr>
          <w:sz w:val="24"/>
        </w:rPr>
        <w:t>a</w:t>
      </w:r>
      <w:r>
        <w:rPr>
          <w:spacing w:val="-4"/>
          <w:sz w:val="24"/>
        </w:rPr>
        <w:t> </w:t>
      </w:r>
      <w:r>
        <w:rPr>
          <w:sz w:val="24"/>
        </w:rPr>
        <w:t>confirmation</w:t>
      </w:r>
      <w:r>
        <w:rPr>
          <w:spacing w:val="-4"/>
          <w:sz w:val="24"/>
        </w:rPr>
        <w:t> </w:t>
      </w:r>
      <w:r>
        <w:rPr>
          <w:sz w:val="24"/>
        </w:rPr>
        <w:t>test</w:t>
      </w:r>
      <w:r>
        <w:rPr>
          <w:spacing w:val="-5"/>
          <w:sz w:val="24"/>
        </w:rPr>
        <w:t> </w:t>
      </w:r>
      <w:r>
        <w:rPr>
          <w:sz w:val="24"/>
        </w:rPr>
        <w:t>for</w:t>
      </w:r>
      <w:r>
        <w:rPr>
          <w:spacing w:val="-3"/>
          <w:sz w:val="24"/>
        </w:rPr>
        <w:t> </w:t>
      </w:r>
      <w:r>
        <w:rPr>
          <w:sz w:val="24"/>
        </w:rPr>
        <w:t>blood</w:t>
      </w:r>
      <w:r>
        <w:rPr>
          <w:spacing w:val="-4"/>
          <w:sz w:val="24"/>
        </w:rPr>
        <w:t> </w:t>
      </w:r>
      <w:r>
        <w:rPr>
          <w:sz w:val="24"/>
        </w:rPr>
        <w:t>alcohol</w:t>
      </w:r>
      <w:r>
        <w:rPr>
          <w:spacing w:val="-4"/>
          <w:sz w:val="24"/>
        </w:rPr>
        <w:t> </w:t>
      </w:r>
      <w:r>
        <w:rPr>
          <w:sz w:val="24"/>
        </w:rPr>
        <w:t>concentration regardless of whether or not the employee admits alcohol misuse.</w:t>
      </w:r>
    </w:p>
    <w:p>
      <w:pPr>
        <w:pStyle w:val="ListParagraph"/>
        <w:numPr>
          <w:ilvl w:val="2"/>
          <w:numId w:val="360"/>
        </w:numPr>
        <w:tabs>
          <w:tab w:pos="1649" w:val="left" w:leader="none"/>
        </w:tabs>
        <w:spacing w:line="208" w:lineRule="auto" w:before="240" w:after="0"/>
        <w:ind w:left="1223" w:right="793" w:firstLine="0"/>
        <w:jc w:val="left"/>
        <w:rPr>
          <w:sz w:val="24"/>
        </w:rPr>
      </w:pPr>
      <w:r>
        <w:rPr>
          <w:sz w:val="24"/>
        </w:rPr>
        <w:t>Consequences for violation of alcohol and controlled substances policy. Consequences to employees in safety sensitive transportation functions who violate</w:t>
      </w:r>
      <w:r>
        <w:rPr>
          <w:spacing w:val="-4"/>
          <w:sz w:val="24"/>
        </w:rPr>
        <w:t> </w:t>
      </w:r>
      <w:r>
        <w:rPr>
          <w:sz w:val="24"/>
        </w:rPr>
        <w:t>alcohol</w:t>
      </w:r>
      <w:r>
        <w:rPr>
          <w:spacing w:val="-4"/>
          <w:sz w:val="24"/>
        </w:rPr>
        <w:t> </w:t>
      </w:r>
      <w:r>
        <w:rPr>
          <w:sz w:val="24"/>
        </w:rPr>
        <w:t>and</w:t>
      </w:r>
      <w:r>
        <w:rPr>
          <w:spacing w:val="-4"/>
          <w:sz w:val="24"/>
        </w:rPr>
        <w:t> </w:t>
      </w:r>
      <w:r>
        <w:rPr>
          <w:sz w:val="24"/>
        </w:rPr>
        <w:t>controlled</w:t>
      </w:r>
      <w:r>
        <w:rPr>
          <w:spacing w:val="-4"/>
          <w:sz w:val="24"/>
        </w:rPr>
        <w:t> </w:t>
      </w:r>
      <w:r>
        <w:rPr>
          <w:sz w:val="24"/>
        </w:rPr>
        <w:t>substances</w:t>
      </w:r>
      <w:r>
        <w:rPr>
          <w:spacing w:val="-4"/>
          <w:sz w:val="24"/>
        </w:rPr>
        <w:t> </w:t>
      </w:r>
      <w:r>
        <w:rPr>
          <w:sz w:val="24"/>
        </w:rPr>
        <w:t>standards</w:t>
      </w:r>
      <w:r>
        <w:rPr>
          <w:spacing w:val="-4"/>
          <w:sz w:val="24"/>
        </w:rPr>
        <w:t> </w:t>
      </w:r>
      <w:r>
        <w:rPr>
          <w:sz w:val="24"/>
        </w:rPr>
        <w:t>of</w:t>
      </w:r>
      <w:r>
        <w:rPr>
          <w:spacing w:val="-3"/>
          <w:sz w:val="24"/>
        </w:rPr>
        <w:t> </w:t>
      </w:r>
      <w:r>
        <w:rPr>
          <w:sz w:val="24"/>
        </w:rPr>
        <w:t>conduct</w:t>
      </w:r>
      <w:r>
        <w:rPr>
          <w:spacing w:val="-3"/>
          <w:sz w:val="24"/>
        </w:rPr>
        <w:t> </w:t>
      </w:r>
      <w:r>
        <w:rPr>
          <w:sz w:val="24"/>
        </w:rPr>
        <w:t>are</w:t>
      </w:r>
      <w:r>
        <w:rPr>
          <w:spacing w:val="-4"/>
          <w:sz w:val="24"/>
        </w:rPr>
        <w:t> </w:t>
      </w:r>
      <w:r>
        <w:rPr>
          <w:sz w:val="24"/>
        </w:rPr>
        <w:t>stated</w:t>
      </w:r>
      <w:r>
        <w:rPr>
          <w:spacing w:val="-4"/>
          <w:sz w:val="24"/>
        </w:rPr>
        <w:t> </w:t>
      </w:r>
      <w:r>
        <w:rPr>
          <w:sz w:val="24"/>
        </w:rPr>
        <w:t>in</w:t>
      </w:r>
      <w:r>
        <w:rPr>
          <w:spacing w:val="-5"/>
          <w:sz w:val="24"/>
        </w:rPr>
        <w:t> </w:t>
      </w:r>
      <w:r>
        <w:rPr>
          <w:sz w:val="24"/>
        </w:rPr>
        <w:t>(1) through (5) of this Subsection.</w:t>
      </w:r>
    </w:p>
    <w:p>
      <w:pPr>
        <w:pStyle w:val="ListParagraph"/>
        <w:numPr>
          <w:ilvl w:val="3"/>
          <w:numId w:val="360"/>
        </w:numPr>
        <w:tabs>
          <w:tab w:pos="2081" w:val="left" w:leader="none"/>
        </w:tabs>
        <w:spacing w:line="208" w:lineRule="auto" w:before="239" w:after="0"/>
        <w:ind w:left="1655" w:right="777" w:firstLine="0"/>
        <w:jc w:val="left"/>
        <w:rPr>
          <w:sz w:val="24"/>
        </w:rPr>
      </w:pPr>
      <w:r>
        <w:rPr>
          <w:sz w:val="24"/>
        </w:rPr>
        <w:t>Employees with alcohol levels of 0.02 to 0.039 as indicated by a confirmation test shall be off work for at least 24 hours following administration of the confirmation test. In</w:t>
      </w:r>
      <w:r>
        <w:rPr>
          <w:spacing w:val="-1"/>
          <w:sz w:val="24"/>
        </w:rPr>
        <w:t> </w:t>
      </w:r>
      <w:r>
        <w:rPr>
          <w:sz w:val="24"/>
        </w:rPr>
        <w:t>the</w:t>
      </w:r>
      <w:r>
        <w:rPr>
          <w:spacing w:val="-1"/>
          <w:sz w:val="24"/>
        </w:rPr>
        <w:t> </w:t>
      </w:r>
      <w:r>
        <w:rPr>
          <w:sz w:val="24"/>
        </w:rPr>
        <w:t>event an employee must miss work</w:t>
      </w:r>
      <w:r>
        <w:rPr>
          <w:spacing w:val="-4"/>
          <w:sz w:val="24"/>
        </w:rPr>
        <w:t> </w:t>
      </w:r>
      <w:r>
        <w:rPr>
          <w:sz w:val="24"/>
        </w:rPr>
        <w:t>due</w:t>
      </w:r>
      <w:r>
        <w:rPr>
          <w:spacing w:val="-4"/>
          <w:sz w:val="24"/>
        </w:rPr>
        <w:t> </w:t>
      </w:r>
      <w:r>
        <w:rPr>
          <w:sz w:val="24"/>
        </w:rPr>
        <w:t>to</w:t>
      </w:r>
      <w:r>
        <w:rPr>
          <w:spacing w:val="-4"/>
          <w:sz w:val="24"/>
        </w:rPr>
        <w:t> </w:t>
      </w:r>
      <w:r>
        <w:rPr>
          <w:sz w:val="24"/>
        </w:rPr>
        <w:t>such</w:t>
      </w:r>
      <w:r>
        <w:rPr>
          <w:spacing w:val="-4"/>
          <w:sz w:val="24"/>
        </w:rPr>
        <w:t> </w:t>
      </w:r>
      <w:r>
        <w:rPr>
          <w:sz w:val="24"/>
        </w:rPr>
        <w:t>violation</w:t>
      </w:r>
      <w:r>
        <w:rPr>
          <w:spacing w:val="-4"/>
          <w:sz w:val="24"/>
        </w:rPr>
        <w:t> </w:t>
      </w:r>
      <w:r>
        <w:rPr>
          <w:sz w:val="24"/>
        </w:rPr>
        <w:t>of</w:t>
      </w:r>
      <w:r>
        <w:rPr>
          <w:spacing w:val="-3"/>
          <w:sz w:val="24"/>
        </w:rPr>
        <w:t> </w:t>
      </w:r>
      <w:r>
        <w:rPr>
          <w:sz w:val="24"/>
        </w:rPr>
        <w:t>alcohol</w:t>
      </w:r>
      <w:r>
        <w:rPr>
          <w:spacing w:val="-4"/>
          <w:sz w:val="24"/>
        </w:rPr>
        <w:t> </w:t>
      </w:r>
      <w:r>
        <w:rPr>
          <w:sz w:val="24"/>
        </w:rPr>
        <w:t>standards,</w:t>
      </w:r>
      <w:r>
        <w:rPr>
          <w:spacing w:val="-3"/>
          <w:sz w:val="24"/>
        </w:rPr>
        <w:t> </w:t>
      </w:r>
      <w:r>
        <w:rPr>
          <w:sz w:val="24"/>
        </w:rPr>
        <w:t>the</w:t>
      </w:r>
      <w:r>
        <w:rPr>
          <w:spacing w:val="-4"/>
          <w:sz w:val="24"/>
        </w:rPr>
        <w:t> </w:t>
      </w:r>
      <w:r>
        <w:rPr>
          <w:sz w:val="24"/>
        </w:rPr>
        <w:t>employee</w:t>
      </w:r>
      <w:r>
        <w:rPr>
          <w:spacing w:val="-4"/>
          <w:sz w:val="24"/>
        </w:rPr>
        <w:t> </w:t>
      </w:r>
      <w:r>
        <w:rPr>
          <w:sz w:val="24"/>
        </w:rPr>
        <w:t>is</w:t>
      </w:r>
      <w:r>
        <w:rPr>
          <w:spacing w:val="-4"/>
          <w:sz w:val="24"/>
        </w:rPr>
        <w:t> </w:t>
      </w:r>
      <w:r>
        <w:rPr>
          <w:sz w:val="24"/>
        </w:rPr>
        <w:t>required</w:t>
      </w:r>
      <w:r>
        <w:rPr>
          <w:spacing w:val="-4"/>
          <w:sz w:val="24"/>
        </w:rPr>
        <w:t> </w:t>
      </w:r>
      <w:r>
        <w:rPr>
          <w:sz w:val="24"/>
        </w:rPr>
        <w:t>to take sick leave, annual leave (if applicable), compensatory leave or leave without pay for each day missed if no leave is available.</w:t>
      </w:r>
    </w:p>
    <w:p>
      <w:pPr>
        <w:pStyle w:val="ListParagraph"/>
        <w:numPr>
          <w:ilvl w:val="3"/>
          <w:numId w:val="360"/>
        </w:numPr>
        <w:tabs>
          <w:tab w:pos="2081" w:val="left" w:leader="none"/>
        </w:tabs>
        <w:spacing w:line="208" w:lineRule="auto" w:before="240" w:after="0"/>
        <w:ind w:left="1655" w:right="843" w:firstLine="0"/>
        <w:jc w:val="left"/>
        <w:rPr>
          <w:sz w:val="24"/>
        </w:rPr>
      </w:pPr>
      <w:r>
        <w:rPr>
          <w:sz w:val="24"/>
        </w:rPr>
        <w:t>Employees suspected of being under the influence of or impaired by alcohol may not perform safety sensitive functions until 24 hours have elapsed following a determination that there was reasonable suspicion to believe the employee had violated the law's prohibitions against alcohol use, or an alcohol test shows concentration of less than 0.02. If an employee must miss work due to a violation of alcohol or controlled substances standards, the employee is required to take sick leave, annual leave</w:t>
      </w:r>
      <w:r>
        <w:rPr>
          <w:spacing w:val="-4"/>
          <w:sz w:val="24"/>
        </w:rPr>
        <w:t> </w:t>
      </w:r>
      <w:r>
        <w:rPr>
          <w:sz w:val="24"/>
        </w:rPr>
        <w:t>(if</w:t>
      </w:r>
      <w:r>
        <w:rPr>
          <w:spacing w:val="-3"/>
          <w:sz w:val="24"/>
        </w:rPr>
        <w:t> </w:t>
      </w:r>
      <w:r>
        <w:rPr>
          <w:sz w:val="24"/>
        </w:rPr>
        <w:t>applicable),</w:t>
      </w:r>
      <w:r>
        <w:rPr>
          <w:spacing w:val="-3"/>
          <w:sz w:val="24"/>
        </w:rPr>
        <w:t> </w:t>
      </w:r>
      <w:r>
        <w:rPr>
          <w:sz w:val="24"/>
        </w:rPr>
        <w:t>compensatory</w:t>
      </w:r>
      <w:r>
        <w:rPr>
          <w:spacing w:val="-4"/>
          <w:sz w:val="24"/>
        </w:rPr>
        <w:t> </w:t>
      </w:r>
      <w:r>
        <w:rPr>
          <w:sz w:val="24"/>
        </w:rPr>
        <w:t>leave</w:t>
      </w:r>
      <w:r>
        <w:rPr>
          <w:spacing w:val="-4"/>
          <w:sz w:val="24"/>
        </w:rPr>
        <w:t> </w:t>
      </w:r>
      <w:r>
        <w:rPr>
          <w:sz w:val="24"/>
        </w:rPr>
        <w:t>or</w:t>
      </w:r>
      <w:r>
        <w:rPr>
          <w:spacing w:val="-5"/>
          <w:sz w:val="24"/>
        </w:rPr>
        <w:t> </w:t>
      </w:r>
      <w:r>
        <w:rPr>
          <w:sz w:val="24"/>
        </w:rPr>
        <w:t>leave</w:t>
      </w:r>
      <w:r>
        <w:rPr>
          <w:spacing w:val="-4"/>
          <w:sz w:val="24"/>
        </w:rPr>
        <w:t> </w:t>
      </w:r>
      <w:r>
        <w:rPr>
          <w:sz w:val="24"/>
        </w:rPr>
        <w:t>without</w:t>
      </w:r>
      <w:r>
        <w:rPr>
          <w:spacing w:val="-3"/>
          <w:sz w:val="24"/>
        </w:rPr>
        <w:t> </w:t>
      </w:r>
      <w:r>
        <w:rPr>
          <w:sz w:val="24"/>
        </w:rPr>
        <w:t>pay</w:t>
      </w:r>
      <w:r>
        <w:rPr>
          <w:spacing w:val="-4"/>
          <w:sz w:val="24"/>
        </w:rPr>
        <w:t> </w:t>
      </w:r>
      <w:r>
        <w:rPr>
          <w:sz w:val="24"/>
        </w:rPr>
        <w:t>for</w:t>
      </w:r>
      <w:r>
        <w:rPr>
          <w:spacing w:val="-5"/>
          <w:sz w:val="24"/>
        </w:rPr>
        <w:t> </w:t>
      </w:r>
      <w:r>
        <w:rPr>
          <w:sz w:val="24"/>
        </w:rPr>
        <w:t>each</w:t>
      </w:r>
      <w:r>
        <w:rPr>
          <w:spacing w:val="-4"/>
          <w:sz w:val="24"/>
        </w:rPr>
        <w:t> </w:t>
      </w:r>
      <w:r>
        <w:rPr>
          <w:sz w:val="24"/>
        </w:rPr>
        <w:t>day missed if no leave is available.</w:t>
      </w:r>
    </w:p>
    <w:p>
      <w:pPr>
        <w:pStyle w:val="ListParagraph"/>
        <w:numPr>
          <w:ilvl w:val="3"/>
          <w:numId w:val="360"/>
        </w:numPr>
        <w:tabs>
          <w:tab w:pos="2081" w:val="left" w:leader="none"/>
        </w:tabs>
        <w:spacing w:line="208" w:lineRule="auto" w:before="239" w:after="0"/>
        <w:ind w:left="1655" w:right="840" w:firstLine="0"/>
        <w:jc w:val="left"/>
        <w:rPr>
          <w:sz w:val="24"/>
        </w:rPr>
      </w:pPr>
      <w:r>
        <w:rPr>
          <w:sz w:val="24"/>
        </w:rPr>
        <w:t>Employees in safety sensitive functions testing more than 0.04 alcohol concentration, possessing alcohol at work, using alcohol at work, working within</w:t>
      </w:r>
      <w:r>
        <w:rPr>
          <w:spacing w:val="-3"/>
          <w:sz w:val="24"/>
        </w:rPr>
        <w:t> </w:t>
      </w:r>
      <w:r>
        <w:rPr>
          <w:sz w:val="24"/>
        </w:rPr>
        <w:t>four</w:t>
      </w:r>
      <w:r>
        <w:rPr>
          <w:spacing w:val="-3"/>
          <w:sz w:val="24"/>
        </w:rPr>
        <w:t> </w:t>
      </w:r>
      <w:r>
        <w:rPr>
          <w:sz w:val="24"/>
        </w:rPr>
        <w:t>hours</w:t>
      </w:r>
      <w:r>
        <w:rPr>
          <w:spacing w:val="-3"/>
          <w:sz w:val="24"/>
        </w:rPr>
        <w:t> </w:t>
      </w:r>
      <w:r>
        <w:rPr>
          <w:sz w:val="24"/>
        </w:rPr>
        <w:t>after</w:t>
      </w:r>
      <w:r>
        <w:rPr>
          <w:spacing w:val="-4"/>
          <w:sz w:val="24"/>
        </w:rPr>
        <w:t> </w:t>
      </w:r>
      <w:r>
        <w:rPr>
          <w:sz w:val="24"/>
        </w:rPr>
        <w:t>alcohol</w:t>
      </w:r>
      <w:r>
        <w:rPr>
          <w:spacing w:val="-3"/>
          <w:sz w:val="24"/>
        </w:rPr>
        <w:t> </w:t>
      </w:r>
      <w:r>
        <w:rPr>
          <w:sz w:val="24"/>
        </w:rPr>
        <w:t>use,</w:t>
      </w:r>
      <w:r>
        <w:rPr>
          <w:spacing w:val="-3"/>
          <w:sz w:val="24"/>
        </w:rPr>
        <w:t> </w:t>
      </w:r>
      <w:r>
        <w:rPr>
          <w:sz w:val="24"/>
        </w:rPr>
        <w:t>using</w:t>
      </w:r>
      <w:r>
        <w:rPr>
          <w:spacing w:val="-3"/>
          <w:sz w:val="24"/>
        </w:rPr>
        <w:t> </w:t>
      </w:r>
      <w:r>
        <w:rPr>
          <w:sz w:val="24"/>
        </w:rPr>
        <w:t>alcohol</w:t>
      </w:r>
      <w:r>
        <w:rPr>
          <w:spacing w:val="-3"/>
          <w:sz w:val="24"/>
        </w:rPr>
        <w:t> </w:t>
      </w:r>
      <w:r>
        <w:rPr>
          <w:sz w:val="24"/>
        </w:rPr>
        <w:t>within</w:t>
      </w:r>
      <w:r>
        <w:rPr>
          <w:spacing w:val="-3"/>
          <w:sz w:val="24"/>
        </w:rPr>
        <w:t> </w:t>
      </w:r>
      <w:r>
        <w:rPr>
          <w:sz w:val="24"/>
        </w:rPr>
        <w:t>eight</w:t>
      </w:r>
      <w:r>
        <w:rPr>
          <w:spacing w:val="-3"/>
          <w:sz w:val="24"/>
        </w:rPr>
        <w:t> </w:t>
      </w:r>
      <w:r>
        <w:rPr>
          <w:sz w:val="24"/>
        </w:rPr>
        <w:t>hours</w:t>
      </w:r>
      <w:r>
        <w:rPr>
          <w:spacing w:val="-3"/>
          <w:sz w:val="24"/>
        </w:rPr>
        <w:t> </w:t>
      </w:r>
      <w:r>
        <w:rPr>
          <w:sz w:val="24"/>
        </w:rPr>
        <w:t>after</w:t>
      </w:r>
      <w:r>
        <w:rPr>
          <w:spacing w:val="-3"/>
          <w:sz w:val="24"/>
        </w:rPr>
        <w:t> </w:t>
      </w:r>
      <w:r>
        <w:rPr>
          <w:sz w:val="24"/>
        </w:rPr>
        <w:t>an accident, or showing use of controlled substance(s), shall:</w:t>
      </w:r>
    </w:p>
    <w:p>
      <w:pPr>
        <w:pStyle w:val="ListParagraph"/>
        <w:numPr>
          <w:ilvl w:val="4"/>
          <w:numId w:val="360"/>
        </w:numPr>
        <w:tabs>
          <w:tab w:pos="2540" w:val="left" w:leader="none"/>
        </w:tabs>
        <w:spacing w:line="208" w:lineRule="auto" w:before="240" w:after="0"/>
        <w:ind w:left="2087" w:right="1145" w:firstLine="0"/>
        <w:jc w:val="left"/>
        <w:rPr>
          <w:sz w:val="24"/>
        </w:rPr>
      </w:pPr>
      <w:r>
        <w:rPr>
          <w:sz w:val="24"/>
        </w:rPr>
        <w:t>be</w:t>
      </w:r>
      <w:r>
        <w:rPr>
          <w:spacing w:val="-5"/>
          <w:sz w:val="24"/>
        </w:rPr>
        <w:t> </w:t>
      </w:r>
      <w:r>
        <w:rPr>
          <w:sz w:val="24"/>
        </w:rPr>
        <w:t>advised</w:t>
      </w:r>
      <w:r>
        <w:rPr>
          <w:spacing w:val="-5"/>
          <w:sz w:val="24"/>
        </w:rPr>
        <w:t> </w:t>
      </w:r>
      <w:r>
        <w:rPr>
          <w:sz w:val="24"/>
        </w:rPr>
        <w:t>of</w:t>
      </w:r>
      <w:r>
        <w:rPr>
          <w:spacing w:val="-4"/>
          <w:sz w:val="24"/>
        </w:rPr>
        <w:t> </w:t>
      </w:r>
      <w:r>
        <w:rPr>
          <w:sz w:val="24"/>
        </w:rPr>
        <w:t>resources</w:t>
      </w:r>
      <w:r>
        <w:rPr>
          <w:spacing w:val="-5"/>
          <w:sz w:val="24"/>
        </w:rPr>
        <w:t> </w:t>
      </w:r>
      <w:r>
        <w:rPr>
          <w:sz w:val="24"/>
        </w:rPr>
        <w:t>available</w:t>
      </w:r>
      <w:r>
        <w:rPr>
          <w:spacing w:val="-5"/>
          <w:sz w:val="24"/>
        </w:rPr>
        <w:t> </w:t>
      </w:r>
      <w:r>
        <w:rPr>
          <w:sz w:val="24"/>
        </w:rPr>
        <w:t>to</w:t>
      </w:r>
      <w:r>
        <w:rPr>
          <w:spacing w:val="-5"/>
          <w:sz w:val="24"/>
        </w:rPr>
        <w:t> </w:t>
      </w:r>
      <w:r>
        <w:rPr>
          <w:sz w:val="24"/>
        </w:rPr>
        <w:t>the</w:t>
      </w:r>
      <w:r>
        <w:rPr>
          <w:spacing w:val="-5"/>
          <w:sz w:val="24"/>
        </w:rPr>
        <w:t> </w:t>
      </w:r>
      <w:r>
        <w:rPr>
          <w:sz w:val="24"/>
        </w:rPr>
        <w:t>employee</w:t>
      </w:r>
      <w:r>
        <w:rPr>
          <w:spacing w:val="-5"/>
          <w:sz w:val="24"/>
        </w:rPr>
        <w:t> </w:t>
      </w:r>
      <w:r>
        <w:rPr>
          <w:sz w:val="24"/>
        </w:rPr>
        <w:t>in</w:t>
      </w:r>
      <w:r>
        <w:rPr>
          <w:spacing w:val="-5"/>
          <w:sz w:val="24"/>
        </w:rPr>
        <w:t> </w:t>
      </w:r>
      <w:r>
        <w:rPr>
          <w:sz w:val="24"/>
        </w:rPr>
        <w:t>evaluating and resolving problems associated with the misuse of alcohol and encouraged to use the Employee Assistance Program;</w:t>
      </w:r>
    </w:p>
    <w:p>
      <w:pPr>
        <w:pStyle w:val="ListParagraph"/>
        <w:numPr>
          <w:ilvl w:val="4"/>
          <w:numId w:val="360"/>
        </w:numPr>
        <w:tabs>
          <w:tab w:pos="2540" w:val="left" w:leader="none"/>
        </w:tabs>
        <w:spacing w:line="208" w:lineRule="auto" w:before="239" w:after="0"/>
        <w:ind w:left="2087" w:right="799" w:firstLine="0"/>
        <w:jc w:val="left"/>
        <w:rPr>
          <w:sz w:val="24"/>
        </w:rPr>
      </w:pPr>
      <w:r>
        <w:rPr>
          <w:sz w:val="24"/>
        </w:rPr>
        <w:t>be evaluated, at the school's expense, by a substance abuse professional</w:t>
      </w:r>
      <w:r>
        <w:rPr>
          <w:spacing w:val="-5"/>
          <w:sz w:val="24"/>
        </w:rPr>
        <w:t> </w:t>
      </w:r>
      <w:r>
        <w:rPr>
          <w:sz w:val="24"/>
        </w:rPr>
        <w:t>who</w:t>
      </w:r>
      <w:r>
        <w:rPr>
          <w:spacing w:val="-5"/>
          <w:sz w:val="24"/>
        </w:rPr>
        <w:t> </w:t>
      </w:r>
      <w:r>
        <w:rPr>
          <w:sz w:val="24"/>
        </w:rPr>
        <w:t>shall</w:t>
      </w:r>
      <w:r>
        <w:rPr>
          <w:spacing w:val="-5"/>
          <w:sz w:val="24"/>
        </w:rPr>
        <w:t> </w:t>
      </w:r>
      <w:r>
        <w:rPr>
          <w:sz w:val="24"/>
        </w:rPr>
        <w:t>determine</w:t>
      </w:r>
      <w:r>
        <w:rPr>
          <w:spacing w:val="-5"/>
          <w:sz w:val="24"/>
        </w:rPr>
        <w:t> </w:t>
      </w:r>
      <w:r>
        <w:rPr>
          <w:sz w:val="24"/>
        </w:rPr>
        <w:t>what</w:t>
      </w:r>
      <w:r>
        <w:rPr>
          <w:spacing w:val="-4"/>
          <w:sz w:val="24"/>
        </w:rPr>
        <w:t> </w:t>
      </w:r>
      <w:r>
        <w:rPr>
          <w:sz w:val="24"/>
        </w:rPr>
        <w:t>assistance,</w:t>
      </w:r>
      <w:r>
        <w:rPr>
          <w:spacing w:val="-4"/>
          <w:sz w:val="24"/>
        </w:rPr>
        <w:t> </w:t>
      </w:r>
      <w:r>
        <w:rPr>
          <w:sz w:val="24"/>
        </w:rPr>
        <w:t>if</w:t>
      </w:r>
      <w:r>
        <w:rPr>
          <w:spacing w:val="-4"/>
          <w:sz w:val="24"/>
        </w:rPr>
        <w:t> </w:t>
      </w:r>
      <w:r>
        <w:rPr>
          <w:sz w:val="24"/>
        </w:rPr>
        <w:t>any,</w:t>
      </w:r>
      <w:r>
        <w:rPr>
          <w:spacing w:val="-4"/>
          <w:sz w:val="24"/>
        </w:rPr>
        <w:t> </w:t>
      </w:r>
      <w:r>
        <w:rPr>
          <w:sz w:val="24"/>
        </w:rPr>
        <w:t>the</w:t>
      </w:r>
      <w:r>
        <w:rPr>
          <w:spacing w:val="-5"/>
          <w:sz w:val="24"/>
        </w:rPr>
        <w:t> </w:t>
      </w:r>
      <w:r>
        <w:rPr>
          <w:sz w:val="24"/>
        </w:rPr>
        <w:t>employee needs in resolving problems associated with alcohol misuse;</w:t>
      </w:r>
    </w:p>
    <w:p>
      <w:pPr>
        <w:pStyle w:val="ListParagraph"/>
        <w:numPr>
          <w:ilvl w:val="4"/>
          <w:numId w:val="360"/>
        </w:numPr>
        <w:tabs>
          <w:tab w:pos="2553" w:val="left" w:leader="none"/>
        </w:tabs>
        <w:spacing w:line="208" w:lineRule="auto" w:before="240" w:after="0"/>
        <w:ind w:left="2087" w:right="1158" w:firstLine="0"/>
        <w:jc w:val="left"/>
        <w:rPr>
          <w:sz w:val="24"/>
        </w:rPr>
      </w:pPr>
      <w:r>
        <w:rPr>
          <w:sz w:val="24"/>
        </w:rPr>
        <w:t>be barred from returning to work until testing for less than 0.02 alcohol</w:t>
      </w:r>
      <w:r>
        <w:rPr>
          <w:spacing w:val="-5"/>
          <w:sz w:val="24"/>
        </w:rPr>
        <w:t> </w:t>
      </w:r>
      <w:r>
        <w:rPr>
          <w:sz w:val="24"/>
        </w:rPr>
        <w:t>concentration</w:t>
      </w:r>
      <w:r>
        <w:rPr>
          <w:spacing w:val="-5"/>
          <w:sz w:val="24"/>
        </w:rPr>
        <w:t> </w:t>
      </w:r>
      <w:r>
        <w:rPr>
          <w:sz w:val="24"/>
        </w:rPr>
        <w:t>if</w:t>
      </w:r>
      <w:r>
        <w:rPr>
          <w:spacing w:val="-4"/>
          <w:sz w:val="24"/>
        </w:rPr>
        <w:t> </w:t>
      </w:r>
      <w:r>
        <w:rPr>
          <w:sz w:val="24"/>
        </w:rPr>
        <w:t>the</w:t>
      </w:r>
      <w:r>
        <w:rPr>
          <w:spacing w:val="-5"/>
          <w:sz w:val="24"/>
        </w:rPr>
        <w:t> </w:t>
      </w:r>
      <w:r>
        <w:rPr>
          <w:sz w:val="24"/>
        </w:rPr>
        <w:t>conduct</w:t>
      </w:r>
      <w:r>
        <w:rPr>
          <w:spacing w:val="-4"/>
          <w:sz w:val="24"/>
        </w:rPr>
        <w:t> </w:t>
      </w:r>
      <w:r>
        <w:rPr>
          <w:sz w:val="24"/>
        </w:rPr>
        <w:t>involved</w:t>
      </w:r>
      <w:r>
        <w:rPr>
          <w:spacing w:val="-5"/>
          <w:sz w:val="24"/>
        </w:rPr>
        <w:t> </w:t>
      </w:r>
      <w:r>
        <w:rPr>
          <w:sz w:val="24"/>
        </w:rPr>
        <w:t>alcohol,</w:t>
      </w:r>
      <w:r>
        <w:rPr>
          <w:spacing w:val="-4"/>
          <w:sz w:val="24"/>
        </w:rPr>
        <w:t> </w:t>
      </w:r>
      <w:r>
        <w:rPr>
          <w:sz w:val="24"/>
        </w:rPr>
        <w:t>or</w:t>
      </w:r>
      <w:r>
        <w:rPr>
          <w:spacing w:val="-6"/>
          <w:sz w:val="24"/>
        </w:rPr>
        <w:t> </w:t>
      </w:r>
      <w:r>
        <w:rPr>
          <w:sz w:val="24"/>
        </w:rPr>
        <w:t>a</w:t>
      </w:r>
      <w:r>
        <w:rPr>
          <w:spacing w:val="-5"/>
          <w:sz w:val="24"/>
        </w:rPr>
        <w:t> </w:t>
      </w:r>
      <w:r>
        <w:rPr>
          <w:sz w:val="24"/>
        </w:rPr>
        <w:t>controlled</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2088" w:right="775"/>
      </w:pPr>
      <w:r>
        <w:rPr/>
        <w:t>substances</w:t>
      </w:r>
      <w:r>
        <w:rPr>
          <w:spacing w:val="-3"/>
        </w:rPr>
        <w:t> </w:t>
      </w:r>
      <w:r>
        <w:rPr/>
        <w:t>test</w:t>
      </w:r>
      <w:r>
        <w:rPr>
          <w:spacing w:val="-5"/>
        </w:rPr>
        <w:t> </w:t>
      </w:r>
      <w:r>
        <w:rPr/>
        <w:t>with</w:t>
      </w:r>
      <w:r>
        <w:rPr>
          <w:spacing w:val="-4"/>
        </w:rPr>
        <w:t> </w:t>
      </w:r>
      <w:r>
        <w:rPr/>
        <w:t>a</w:t>
      </w:r>
      <w:r>
        <w:rPr>
          <w:spacing w:val="-5"/>
        </w:rPr>
        <w:t> </w:t>
      </w:r>
      <w:r>
        <w:rPr/>
        <w:t>verified</w:t>
      </w:r>
      <w:r>
        <w:rPr>
          <w:spacing w:val="-4"/>
        </w:rPr>
        <w:t> </w:t>
      </w:r>
      <w:r>
        <w:rPr/>
        <w:t>negative</w:t>
      </w:r>
      <w:r>
        <w:rPr>
          <w:spacing w:val="-4"/>
        </w:rPr>
        <w:t> </w:t>
      </w:r>
      <w:r>
        <w:rPr/>
        <w:t>result</w:t>
      </w:r>
      <w:r>
        <w:rPr>
          <w:spacing w:val="-3"/>
        </w:rPr>
        <w:t> </w:t>
      </w:r>
      <w:r>
        <w:rPr/>
        <w:t>if</w:t>
      </w:r>
      <w:r>
        <w:rPr>
          <w:spacing w:val="-5"/>
        </w:rPr>
        <w:t> </w:t>
      </w:r>
      <w:r>
        <w:rPr/>
        <w:t>the</w:t>
      </w:r>
      <w:r>
        <w:rPr>
          <w:spacing w:val="-4"/>
        </w:rPr>
        <w:t> </w:t>
      </w:r>
      <w:r>
        <w:rPr/>
        <w:t>conduct</w:t>
      </w:r>
      <w:r>
        <w:rPr>
          <w:spacing w:val="-3"/>
        </w:rPr>
        <w:t> </w:t>
      </w:r>
      <w:r>
        <w:rPr/>
        <w:t>involved</w:t>
      </w:r>
      <w:r>
        <w:rPr>
          <w:spacing w:val="-4"/>
        </w:rPr>
        <w:t> </w:t>
      </w:r>
      <w:r>
        <w:rPr/>
        <w:t>a controlled substance(s); and</w:t>
      </w:r>
    </w:p>
    <w:p>
      <w:pPr>
        <w:pStyle w:val="ListParagraph"/>
        <w:numPr>
          <w:ilvl w:val="4"/>
          <w:numId w:val="360"/>
        </w:numPr>
        <w:tabs>
          <w:tab w:pos="2554" w:val="left" w:leader="none"/>
        </w:tabs>
        <w:spacing w:line="208" w:lineRule="auto" w:before="240" w:after="0"/>
        <w:ind w:left="2088" w:right="1200" w:firstLine="0"/>
        <w:jc w:val="left"/>
        <w:rPr>
          <w:sz w:val="24"/>
        </w:rPr>
      </w:pPr>
      <w:r>
        <w:rPr>
          <w:sz w:val="24"/>
        </w:rPr>
        <w:t>be required to take sick leave, annual leave (if applicable) compensatory</w:t>
      </w:r>
      <w:r>
        <w:rPr>
          <w:spacing w:val="-4"/>
          <w:sz w:val="24"/>
        </w:rPr>
        <w:t> </w:t>
      </w:r>
      <w:r>
        <w:rPr>
          <w:sz w:val="24"/>
        </w:rPr>
        <w:t>leave</w:t>
      </w:r>
      <w:r>
        <w:rPr>
          <w:spacing w:val="-4"/>
          <w:sz w:val="24"/>
        </w:rPr>
        <w:t> </w:t>
      </w:r>
      <w:r>
        <w:rPr>
          <w:sz w:val="24"/>
        </w:rPr>
        <w:t>or</w:t>
      </w:r>
      <w:r>
        <w:rPr>
          <w:spacing w:val="-3"/>
          <w:sz w:val="24"/>
        </w:rPr>
        <w:t> </w:t>
      </w:r>
      <w:r>
        <w:rPr>
          <w:sz w:val="24"/>
        </w:rPr>
        <w:t>leave</w:t>
      </w:r>
      <w:r>
        <w:rPr>
          <w:spacing w:val="-4"/>
          <w:sz w:val="24"/>
        </w:rPr>
        <w:t> </w:t>
      </w:r>
      <w:r>
        <w:rPr>
          <w:sz w:val="24"/>
        </w:rPr>
        <w:t>without</w:t>
      </w:r>
      <w:r>
        <w:rPr>
          <w:spacing w:val="-3"/>
          <w:sz w:val="24"/>
        </w:rPr>
        <w:t> </w:t>
      </w:r>
      <w:r>
        <w:rPr>
          <w:sz w:val="24"/>
        </w:rPr>
        <w:t>pay</w:t>
      </w:r>
      <w:r>
        <w:rPr>
          <w:spacing w:val="-4"/>
          <w:sz w:val="24"/>
        </w:rPr>
        <w:t> </w:t>
      </w:r>
      <w:r>
        <w:rPr>
          <w:sz w:val="24"/>
        </w:rPr>
        <w:t>for</w:t>
      </w:r>
      <w:r>
        <w:rPr>
          <w:spacing w:val="-5"/>
          <w:sz w:val="24"/>
        </w:rPr>
        <w:t> </w:t>
      </w:r>
      <w:r>
        <w:rPr>
          <w:sz w:val="24"/>
        </w:rPr>
        <w:t>each</w:t>
      </w:r>
      <w:r>
        <w:rPr>
          <w:spacing w:val="-4"/>
          <w:sz w:val="24"/>
        </w:rPr>
        <w:t> </w:t>
      </w:r>
      <w:r>
        <w:rPr>
          <w:sz w:val="24"/>
        </w:rPr>
        <w:t>day</w:t>
      </w:r>
      <w:r>
        <w:rPr>
          <w:spacing w:val="-4"/>
          <w:sz w:val="24"/>
        </w:rPr>
        <w:t> </w:t>
      </w:r>
      <w:r>
        <w:rPr>
          <w:sz w:val="24"/>
        </w:rPr>
        <w:t>missed,</w:t>
      </w:r>
      <w:r>
        <w:rPr>
          <w:spacing w:val="-3"/>
          <w:sz w:val="24"/>
        </w:rPr>
        <w:t> </w:t>
      </w:r>
      <w:r>
        <w:rPr>
          <w:sz w:val="24"/>
        </w:rPr>
        <w:t>if</w:t>
      </w:r>
      <w:r>
        <w:rPr>
          <w:spacing w:val="-3"/>
          <w:sz w:val="24"/>
        </w:rPr>
        <w:t> </w:t>
      </w:r>
      <w:r>
        <w:rPr>
          <w:sz w:val="24"/>
        </w:rPr>
        <w:t>no leave is available, due to such violation of alcohol or controlled substances standards.</w:t>
      </w:r>
    </w:p>
    <w:p>
      <w:pPr>
        <w:pStyle w:val="ListParagraph"/>
        <w:numPr>
          <w:ilvl w:val="3"/>
          <w:numId w:val="360"/>
        </w:numPr>
        <w:tabs>
          <w:tab w:pos="2081" w:val="left" w:leader="none"/>
        </w:tabs>
        <w:spacing w:line="208" w:lineRule="auto" w:before="239" w:after="0"/>
        <w:ind w:left="1656" w:right="738" w:firstLine="0"/>
        <w:jc w:val="left"/>
        <w:rPr>
          <w:sz w:val="24"/>
        </w:rPr>
      </w:pPr>
      <w:r>
        <w:rPr>
          <w:sz w:val="24"/>
        </w:rPr>
        <w:t>If</w:t>
      </w:r>
      <w:r>
        <w:rPr>
          <w:spacing w:val="-5"/>
          <w:sz w:val="24"/>
        </w:rPr>
        <w:t> </w:t>
      </w:r>
      <w:r>
        <w:rPr>
          <w:sz w:val="24"/>
        </w:rPr>
        <w:t>an</w:t>
      </w:r>
      <w:r>
        <w:rPr>
          <w:spacing w:val="-4"/>
          <w:sz w:val="24"/>
        </w:rPr>
        <w:t> </w:t>
      </w:r>
      <w:r>
        <w:rPr>
          <w:sz w:val="24"/>
        </w:rPr>
        <w:t>employee</w:t>
      </w:r>
      <w:r>
        <w:rPr>
          <w:spacing w:val="-4"/>
          <w:sz w:val="24"/>
        </w:rPr>
        <w:t> </w:t>
      </w:r>
      <w:r>
        <w:rPr>
          <w:sz w:val="24"/>
        </w:rPr>
        <w:t>is</w:t>
      </w:r>
      <w:r>
        <w:rPr>
          <w:spacing w:val="-4"/>
          <w:sz w:val="24"/>
        </w:rPr>
        <w:t> </w:t>
      </w:r>
      <w:r>
        <w:rPr>
          <w:sz w:val="24"/>
        </w:rPr>
        <w:t>identified</w:t>
      </w:r>
      <w:r>
        <w:rPr>
          <w:spacing w:val="-4"/>
          <w:sz w:val="24"/>
        </w:rPr>
        <w:t> </w:t>
      </w:r>
      <w:r>
        <w:rPr>
          <w:sz w:val="24"/>
        </w:rPr>
        <w:t>as</w:t>
      </w:r>
      <w:r>
        <w:rPr>
          <w:spacing w:val="-4"/>
          <w:sz w:val="24"/>
        </w:rPr>
        <w:t> </w:t>
      </w:r>
      <w:r>
        <w:rPr>
          <w:sz w:val="24"/>
        </w:rPr>
        <w:t>needing</w:t>
      </w:r>
      <w:r>
        <w:rPr>
          <w:spacing w:val="-3"/>
          <w:sz w:val="24"/>
        </w:rPr>
        <w:t> </w:t>
      </w:r>
      <w:r>
        <w:rPr>
          <w:sz w:val="24"/>
        </w:rPr>
        <w:t>assistance</w:t>
      </w:r>
      <w:r>
        <w:rPr>
          <w:spacing w:val="-4"/>
          <w:sz w:val="24"/>
        </w:rPr>
        <w:t> </w:t>
      </w:r>
      <w:r>
        <w:rPr>
          <w:sz w:val="24"/>
        </w:rPr>
        <w:t>in</w:t>
      </w:r>
      <w:r>
        <w:rPr>
          <w:spacing w:val="-4"/>
          <w:sz w:val="24"/>
        </w:rPr>
        <w:t> </w:t>
      </w:r>
      <w:r>
        <w:rPr>
          <w:sz w:val="24"/>
        </w:rPr>
        <w:t>resolving</w:t>
      </w:r>
      <w:r>
        <w:rPr>
          <w:spacing w:val="-3"/>
          <w:sz w:val="24"/>
        </w:rPr>
        <w:t> </w:t>
      </w:r>
      <w:r>
        <w:rPr>
          <w:sz w:val="24"/>
        </w:rPr>
        <w:t>problems associated with alcohol misuse or controlled substances abuse, he or she </w:t>
      </w:r>
      <w:r>
        <w:rPr>
          <w:spacing w:val="-2"/>
          <w:sz w:val="24"/>
        </w:rPr>
        <w:t>must:</w:t>
      </w:r>
    </w:p>
    <w:p>
      <w:pPr>
        <w:pStyle w:val="ListParagraph"/>
        <w:numPr>
          <w:ilvl w:val="4"/>
          <w:numId w:val="360"/>
        </w:numPr>
        <w:tabs>
          <w:tab w:pos="2541" w:val="left" w:leader="none"/>
        </w:tabs>
        <w:spacing w:line="208" w:lineRule="auto" w:before="240" w:after="0"/>
        <w:ind w:left="2088" w:right="945" w:firstLine="0"/>
        <w:jc w:val="left"/>
        <w:rPr>
          <w:sz w:val="24"/>
        </w:rPr>
      </w:pPr>
      <w:r>
        <w:rPr>
          <w:sz w:val="24"/>
        </w:rPr>
        <w:t>be evaluated, at the employee's expense, by a substance abuse professional</w:t>
      </w:r>
      <w:r>
        <w:rPr>
          <w:spacing w:val="-5"/>
          <w:sz w:val="24"/>
        </w:rPr>
        <w:t> </w:t>
      </w:r>
      <w:r>
        <w:rPr>
          <w:sz w:val="24"/>
        </w:rPr>
        <w:t>to</w:t>
      </w:r>
      <w:r>
        <w:rPr>
          <w:spacing w:val="-5"/>
          <w:sz w:val="24"/>
        </w:rPr>
        <w:t> </w:t>
      </w:r>
      <w:r>
        <w:rPr>
          <w:sz w:val="24"/>
        </w:rPr>
        <w:t>determine</w:t>
      </w:r>
      <w:r>
        <w:rPr>
          <w:spacing w:val="-5"/>
          <w:sz w:val="24"/>
        </w:rPr>
        <w:t> </w:t>
      </w:r>
      <w:r>
        <w:rPr>
          <w:sz w:val="24"/>
        </w:rPr>
        <w:t>that</w:t>
      </w:r>
      <w:r>
        <w:rPr>
          <w:spacing w:val="-4"/>
          <w:sz w:val="24"/>
        </w:rPr>
        <w:t> </w:t>
      </w:r>
      <w:r>
        <w:rPr>
          <w:sz w:val="24"/>
        </w:rPr>
        <w:t>the</w:t>
      </w:r>
      <w:r>
        <w:rPr>
          <w:spacing w:val="-5"/>
          <w:sz w:val="24"/>
        </w:rPr>
        <w:t> </w:t>
      </w:r>
      <w:r>
        <w:rPr>
          <w:sz w:val="24"/>
        </w:rPr>
        <w:t>employee</w:t>
      </w:r>
      <w:r>
        <w:rPr>
          <w:spacing w:val="-5"/>
          <w:sz w:val="24"/>
        </w:rPr>
        <w:t> </w:t>
      </w:r>
      <w:r>
        <w:rPr>
          <w:sz w:val="24"/>
        </w:rPr>
        <w:t>has</w:t>
      </w:r>
      <w:r>
        <w:rPr>
          <w:spacing w:val="-5"/>
          <w:sz w:val="24"/>
        </w:rPr>
        <w:t> </w:t>
      </w:r>
      <w:r>
        <w:rPr>
          <w:sz w:val="24"/>
        </w:rPr>
        <w:t>properly</w:t>
      </w:r>
      <w:r>
        <w:rPr>
          <w:spacing w:val="-5"/>
          <w:sz w:val="24"/>
        </w:rPr>
        <w:t> </w:t>
      </w:r>
      <w:r>
        <w:rPr>
          <w:sz w:val="24"/>
        </w:rPr>
        <w:t>followed</w:t>
      </w:r>
      <w:r>
        <w:rPr>
          <w:spacing w:val="-5"/>
          <w:sz w:val="24"/>
        </w:rPr>
        <w:t> </w:t>
      </w:r>
      <w:r>
        <w:rPr>
          <w:sz w:val="24"/>
        </w:rPr>
        <w:t>the rehabilitation program prescribed; and</w:t>
      </w:r>
    </w:p>
    <w:p>
      <w:pPr>
        <w:pStyle w:val="ListParagraph"/>
        <w:numPr>
          <w:ilvl w:val="4"/>
          <w:numId w:val="360"/>
        </w:numPr>
        <w:tabs>
          <w:tab w:pos="2540" w:val="left" w:leader="none"/>
        </w:tabs>
        <w:spacing w:line="208" w:lineRule="auto" w:before="240" w:after="0"/>
        <w:ind w:left="2087" w:right="878" w:firstLine="0"/>
        <w:jc w:val="left"/>
        <w:rPr>
          <w:sz w:val="24"/>
        </w:rPr>
      </w:pPr>
      <w:r>
        <w:rPr>
          <w:sz w:val="24"/>
        </w:rPr>
        <w:t>be subjected to unannounced follow-up alcohol and controlled substances</w:t>
      </w:r>
      <w:r>
        <w:rPr>
          <w:spacing w:val="-2"/>
          <w:sz w:val="24"/>
        </w:rPr>
        <w:t> </w:t>
      </w:r>
      <w:r>
        <w:rPr>
          <w:sz w:val="24"/>
        </w:rPr>
        <w:t>tests</w:t>
      </w:r>
      <w:r>
        <w:rPr>
          <w:spacing w:val="-4"/>
          <w:sz w:val="24"/>
        </w:rPr>
        <w:t> </w:t>
      </w:r>
      <w:r>
        <w:rPr>
          <w:sz w:val="24"/>
        </w:rPr>
        <w:t>on</w:t>
      </w:r>
      <w:r>
        <w:rPr>
          <w:spacing w:val="-3"/>
          <w:sz w:val="24"/>
        </w:rPr>
        <w:t> </w:t>
      </w:r>
      <w:r>
        <w:rPr>
          <w:sz w:val="24"/>
        </w:rPr>
        <w:t>return</w:t>
      </w:r>
      <w:r>
        <w:rPr>
          <w:spacing w:val="-3"/>
          <w:sz w:val="24"/>
        </w:rPr>
        <w:t> </w:t>
      </w:r>
      <w:r>
        <w:rPr>
          <w:sz w:val="24"/>
        </w:rPr>
        <w:t>to</w:t>
      </w:r>
      <w:r>
        <w:rPr>
          <w:spacing w:val="-3"/>
          <w:sz w:val="24"/>
        </w:rPr>
        <w:t> </w:t>
      </w:r>
      <w:r>
        <w:rPr>
          <w:sz w:val="24"/>
        </w:rPr>
        <w:t>duty.</w:t>
      </w:r>
      <w:r>
        <w:rPr>
          <w:spacing w:val="-2"/>
          <w:sz w:val="24"/>
        </w:rPr>
        <w:t> </w:t>
      </w:r>
      <w:r>
        <w:rPr>
          <w:sz w:val="24"/>
        </w:rPr>
        <w:t>The</w:t>
      </w:r>
      <w:r>
        <w:rPr>
          <w:spacing w:val="-3"/>
          <w:sz w:val="24"/>
        </w:rPr>
        <w:t> </w:t>
      </w:r>
      <w:r>
        <w:rPr>
          <w:sz w:val="24"/>
        </w:rPr>
        <w:t>number</w:t>
      </w:r>
      <w:r>
        <w:rPr>
          <w:spacing w:val="-2"/>
          <w:sz w:val="24"/>
        </w:rPr>
        <w:t> </w:t>
      </w:r>
      <w:r>
        <w:rPr>
          <w:sz w:val="24"/>
        </w:rPr>
        <w:t>and</w:t>
      </w:r>
      <w:r>
        <w:rPr>
          <w:spacing w:val="-3"/>
          <w:sz w:val="24"/>
        </w:rPr>
        <w:t> </w:t>
      </w:r>
      <w:r>
        <w:rPr>
          <w:sz w:val="24"/>
        </w:rPr>
        <w:t>frequency</w:t>
      </w:r>
      <w:r>
        <w:rPr>
          <w:spacing w:val="-3"/>
          <w:sz w:val="24"/>
        </w:rPr>
        <w:t> </w:t>
      </w:r>
      <w:r>
        <w:rPr>
          <w:sz w:val="24"/>
        </w:rPr>
        <w:t>of</w:t>
      </w:r>
      <w:r>
        <w:rPr>
          <w:spacing w:val="-2"/>
          <w:sz w:val="24"/>
        </w:rPr>
        <w:t> </w:t>
      </w:r>
      <w:r>
        <w:rPr>
          <w:sz w:val="24"/>
        </w:rPr>
        <w:t>such follow-up testing shall be determined by a substance abuse professional,</w:t>
      </w:r>
      <w:r>
        <w:rPr>
          <w:spacing w:val="-2"/>
          <w:sz w:val="24"/>
        </w:rPr>
        <w:t> </w:t>
      </w:r>
      <w:r>
        <w:rPr>
          <w:sz w:val="24"/>
        </w:rPr>
        <w:t>but</w:t>
      </w:r>
      <w:r>
        <w:rPr>
          <w:spacing w:val="-2"/>
          <w:sz w:val="24"/>
        </w:rPr>
        <w:t> </w:t>
      </w:r>
      <w:r>
        <w:rPr>
          <w:sz w:val="24"/>
        </w:rPr>
        <w:t>shall</w:t>
      </w:r>
      <w:r>
        <w:rPr>
          <w:spacing w:val="-2"/>
          <w:sz w:val="24"/>
        </w:rPr>
        <w:t> </w:t>
      </w:r>
      <w:r>
        <w:rPr>
          <w:sz w:val="24"/>
        </w:rPr>
        <w:t>consist</w:t>
      </w:r>
      <w:r>
        <w:rPr>
          <w:spacing w:val="-2"/>
          <w:sz w:val="24"/>
        </w:rPr>
        <w:t> </w:t>
      </w:r>
      <w:r>
        <w:rPr>
          <w:sz w:val="24"/>
        </w:rPr>
        <w:t>of</w:t>
      </w:r>
      <w:r>
        <w:rPr>
          <w:spacing w:val="-4"/>
          <w:sz w:val="24"/>
        </w:rPr>
        <w:t> </w:t>
      </w:r>
      <w:r>
        <w:rPr>
          <w:sz w:val="24"/>
        </w:rPr>
        <w:t>at</w:t>
      </w:r>
      <w:r>
        <w:rPr>
          <w:spacing w:val="-2"/>
          <w:sz w:val="24"/>
        </w:rPr>
        <w:t> </w:t>
      </w:r>
      <w:r>
        <w:rPr>
          <w:sz w:val="24"/>
        </w:rPr>
        <w:t>least</w:t>
      </w:r>
      <w:r>
        <w:rPr>
          <w:spacing w:val="-2"/>
          <w:sz w:val="24"/>
        </w:rPr>
        <w:t> </w:t>
      </w:r>
      <w:r>
        <w:rPr>
          <w:sz w:val="24"/>
        </w:rPr>
        <w:t>six</w:t>
      </w:r>
      <w:r>
        <w:rPr>
          <w:spacing w:val="-4"/>
          <w:sz w:val="24"/>
        </w:rPr>
        <w:t> </w:t>
      </w:r>
      <w:r>
        <w:rPr>
          <w:sz w:val="24"/>
        </w:rPr>
        <w:t>tests</w:t>
      </w:r>
      <w:r>
        <w:rPr>
          <w:spacing w:val="-3"/>
          <w:sz w:val="24"/>
        </w:rPr>
        <w:t> </w:t>
      </w:r>
      <w:r>
        <w:rPr>
          <w:sz w:val="24"/>
        </w:rPr>
        <w:t>in</w:t>
      </w:r>
      <w:r>
        <w:rPr>
          <w:spacing w:val="-3"/>
          <w:sz w:val="24"/>
        </w:rPr>
        <w:t> </w:t>
      </w:r>
      <w:r>
        <w:rPr>
          <w:sz w:val="24"/>
        </w:rPr>
        <w:t>the</w:t>
      </w:r>
      <w:r>
        <w:rPr>
          <w:spacing w:val="-4"/>
          <w:sz w:val="24"/>
        </w:rPr>
        <w:t> </w:t>
      </w:r>
      <w:r>
        <w:rPr>
          <w:sz w:val="24"/>
        </w:rPr>
        <w:t>first</w:t>
      </w:r>
      <w:r>
        <w:rPr>
          <w:spacing w:val="-2"/>
          <w:sz w:val="24"/>
        </w:rPr>
        <w:t> </w:t>
      </w:r>
      <w:r>
        <w:rPr>
          <w:sz w:val="24"/>
        </w:rPr>
        <w:t>12</w:t>
      </w:r>
      <w:r>
        <w:rPr>
          <w:spacing w:val="-4"/>
          <w:sz w:val="24"/>
        </w:rPr>
        <w:t> </w:t>
      </w:r>
      <w:r>
        <w:rPr>
          <w:sz w:val="24"/>
        </w:rPr>
        <w:t>months following the employee's return to duty.</w:t>
      </w:r>
    </w:p>
    <w:p>
      <w:pPr>
        <w:pStyle w:val="ListParagraph"/>
        <w:numPr>
          <w:ilvl w:val="3"/>
          <w:numId w:val="360"/>
        </w:numPr>
        <w:tabs>
          <w:tab w:pos="2081" w:val="left" w:leader="none"/>
        </w:tabs>
        <w:spacing w:line="208" w:lineRule="auto" w:before="239" w:after="0"/>
        <w:ind w:left="1655" w:right="721" w:firstLine="0"/>
        <w:jc w:val="left"/>
        <w:rPr>
          <w:sz w:val="24"/>
        </w:rPr>
      </w:pPr>
      <w:r>
        <w:rPr>
          <w:sz w:val="24"/>
        </w:rPr>
        <w:t>These requirements do not apply to an applicant for employment refusing</w:t>
      </w:r>
      <w:r>
        <w:rPr>
          <w:spacing w:val="-3"/>
          <w:sz w:val="24"/>
        </w:rPr>
        <w:t> </w:t>
      </w:r>
      <w:r>
        <w:rPr>
          <w:sz w:val="24"/>
        </w:rPr>
        <w:t>to</w:t>
      </w:r>
      <w:r>
        <w:rPr>
          <w:spacing w:val="-4"/>
          <w:sz w:val="24"/>
        </w:rPr>
        <w:t> </w:t>
      </w:r>
      <w:r>
        <w:rPr>
          <w:sz w:val="24"/>
        </w:rPr>
        <w:t>be</w:t>
      </w:r>
      <w:r>
        <w:rPr>
          <w:spacing w:val="-3"/>
          <w:sz w:val="24"/>
        </w:rPr>
        <w:t> </w:t>
      </w:r>
      <w:r>
        <w:rPr>
          <w:sz w:val="24"/>
        </w:rPr>
        <w:t>tested</w:t>
      </w:r>
      <w:r>
        <w:rPr>
          <w:spacing w:val="-3"/>
          <w:sz w:val="24"/>
        </w:rPr>
        <w:t> </w:t>
      </w:r>
      <w:r>
        <w:rPr>
          <w:sz w:val="24"/>
        </w:rPr>
        <w:t>or</w:t>
      </w:r>
      <w:r>
        <w:rPr>
          <w:spacing w:val="-2"/>
          <w:sz w:val="24"/>
        </w:rPr>
        <w:t> </w:t>
      </w:r>
      <w:r>
        <w:rPr>
          <w:sz w:val="24"/>
        </w:rPr>
        <w:t>one</w:t>
      </w:r>
      <w:r>
        <w:rPr>
          <w:spacing w:val="-3"/>
          <w:sz w:val="24"/>
        </w:rPr>
        <w:t> </w:t>
      </w:r>
      <w:r>
        <w:rPr>
          <w:sz w:val="24"/>
        </w:rPr>
        <w:t>having</w:t>
      </w:r>
      <w:r>
        <w:rPr>
          <w:spacing w:val="-3"/>
          <w:sz w:val="24"/>
        </w:rPr>
        <w:t> </w:t>
      </w:r>
      <w:r>
        <w:rPr>
          <w:sz w:val="24"/>
        </w:rPr>
        <w:t>a</w:t>
      </w:r>
      <w:r>
        <w:rPr>
          <w:spacing w:val="-3"/>
          <w:sz w:val="24"/>
        </w:rPr>
        <w:t> </w:t>
      </w:r>
      <w:r>
        <w:rPr>
          <w:sz w:val="24"/>
        </w:rPr>
        <w:t>pre-employment</w:t>
      </w:r>
      <w:r>
        <w:rPr>
          <w:spacing w:val="-2"/>
          <w:sz w:val="24"/>
        </w:rPr>
        <w:t> </w:t>
      </w:r>
      <w:r>
        <w:rPr>
          <w:sz w:val="24"/>
        </w:rPr>
        <w:t>test</w:t>
      </w:r>
      <w:r>
        <w:rPr>
          <w:spacing w:val="-2"/>
          <w:sz w:val="24"/>
        </w:rPr>
        <w:t> </w:t>
      </w:r>
      <w:r>
        <w:rPr>
          <w:sz w:val="24"/>
        </w:rPr>
        <w:t>of</w:t>
      </w:r>
      <w:r>
        <w:rPr>
          <w:spacing w:val="-2"/>
          <w:sz w:val="24"/>
        </w:rPr>
        <w:t> </w:t>
      </w:r>
      <w:r>
        <w:rPr>
          <w:sz w:val="24"/>
        </w:rPr>
        <w:t>0.04</w:t>
      </w:r>
      <w:r>
        <w:rPr>
          <w:spacing w:val="-3"/>
          <w:sz w:val="24"/>
        </w:rPr>
        <w:t> </w:t>
      </w:r>
      <w:r>
        <w:rPr>
          <w:sz w:val="24"/>
        </w:rPr>
        <w:t>or</w:t>
      </w:r>
      <w:r>
        <w:rPr>
          <w:spacing w:val="-2"/>
          <w:sz w:val="24"/>
        </w:rPr>
        <w:t> </w:t>
      </w:r>
      <w:r>
        <w:rPr>
          <w:sz w:val="24"/>
        </w:rPr>
        <w:t>greater since such an applicant could not be hired. The requirements do not apply to an employee who refuses a return to duty test. This employee could not be returned to duty.</w:t>
      </w:r>
    </w:p>
    <w:p>
      <w:pPr>
        <w:pStyle w:val="ListParagraph"/>
        <w:numPr>
          <w:ilvl w:val="2"/>
          <w:numId w:val="360"/>
        </w:numPr>
        <w:tabs>
          <w:tab w:pos="1569" w:val="left" w:leader="none"/>
        </w:tabs>
        <w:spacing w:line="208" w:lineRule="auto" w:before="240" w:after="0"/>
        <w:ind w:left="1223" w:right="1114" w:firstLine="0"/>
        <w:jc w:val="left"/>
        <w:rPr>
          <w:sz w:val="24"/>
        </w:rPr>
      </w:pPr>
      <w:r>
        <w:rPr>
          <w:sz w:val="24"/>
        </w:rPr>
        <w:t>Training and certification requirements. Training and certification requirements</w:t>
      </w:r>
      <w:r>
        <w:rPr>
          <w:spacing w:val="-4"/>
          <w:sz w:val="24"/>
        </w:rPr>
        <w:t> </w:t>
      </w:r>
      <w:r>
        <w:rPr>
          <w:sz w:val="24"/>
        </w:rPr>
        <w:t>for</w:t>
      </w:r>
      <w:r>
        <w:rPr>
          <w:spacing w:val="-4"/>
          <w:sz w:val="24"/>
        </w:rPr>
        <w:t> </w:t>
      </w:r>
      <w:r>
        <w:rPr>
          <w:sz w:val="24"/>
        </w:rPr>
        <w:t>alcohol</w:t>
      </w:r>
      <w:r>
        <w:rPr>
          <w:spacing w:val="-4"/>
          <w:sz w:val="24"/>
        </w:rPr>
        <w:t> </w:t>
      </w:r>
      <w:r>
        <w:rPr>
          <w:sz w:val="24"/>
        </w:rPr>
        <w:t>testing</w:t>
      </w:r>
      <w:r>
        <w:rPr>
          <w:spacing w:val="-4"/>
          <w:sz w:val="24"/>
        </w:rPr>
        <w:t> </w:t>
      </w:r>
      <w:r>
        <w:rPr>
          <w:sz w:val="24"/>
        </w:rPr>
        <w:t>of</w:t>
      </w:r>
      <w:r>
        <w:rPr>
          <w:spacing w:val="-3"/>
          <w:sz w:val="24"/>
        </w:rPr>
        <w:t> </w:t>
      </w:r>
      <w:r>
        <w:rPr>
          <w:sz w:val="24"/>
        </w:rPr>
        <w:t>employees</w:t>
      </w:r>
      <w:r>
        <w:rPr>
          <w:spacing w:val="-3"/>
          <w:sz w:val="24"/>
        </w:rPr>
        <w:t> </w:t>
      </w:r>
      <w:r>
        <w:rPr>
          <w:sz w:val="24"/>
        </w:rPr>
        <w:t>are</w:t>
      </w:r>
      <w:r>
        <w:rPr>
          <w:spacing w:val="-4"/>
          <w:sz w:val="24"/>
        </w:rPr>
        <w:t> </w:t>
      </w:r>
      <w:r>
        <w:rPr>
          <w:sz w:val="24"/>
        </w:rPr>
        <w:t>stated</w:t>
      </w:r>
      <w:r>
        <w:rPr>
          <w:spacing w:val="-4"/>
          <w:sz w:val="24"/>
        </w:rPr>
        <w:t> </w:t>
      </w:r>
      <w:r>
        <w:rPr>
          <w:sz w:val="24"/>
        </w:rPr>
        <w:t>in</w:t>
      </w:r>
      <w:r>
        <w:rPr>
          <w:spacing w:val="-4"/>
          <w:sz w:val="24"/>
        </w:rPr>
        <w:t> </w:t>
      </w:r>
      <w:r>
        <w:rPr>
          <w:sz w:val="24"/>
        </w:rPr>
        <w:t>(1)</w:t>
      </w:r>
      <w:r>
        <w:rPr>
          <w:spacing w:val="-3"/>
          <w:sz w:val="24"/>
        </w:rPr>
        <w:t> </w:t>
      </w:r>
      <w:r>
        <w:rPr>
          <w:sz w:val="24"/>
        </w:rPr>
        <w:t>through</w:t>
      </w:r>
      <w:r>
        <w:rPr>
          <w:spacing w:val="-4"/>
          <w:sz w:val="24"/>
        </w:rPr>
        <w:t> </w:t>
      </w:r>
      <w:r>
        <w:rPr>
          <w:sz w:val="24"/>
        </w:rPr>
        <w:t>(2)</w:t>
      </w:r>
      <w:r>
        <w:rPr>
          <w:spacing w:val="-3"/>
          <w:sz w:val="24"/>
        </w:rPr>
        <w:t> </w:t>
      </w:r>
      <w:r>
        <w:rPr>
          <w:sz w:val="24"/>
        </w:rPr>
        <w:t>of this Subsection.</w:t>
      </w:r>
    </w:p>
    <w:p>
      <w:pPr>
        <w:pStyle w:val="ListParagraph"/>
        <w:numPr>
          <w:ilvl w:val="3"/>
          <w:numId w:val="360"/>
        </w:numPr>
        <w:tabs>
          <w:tab w:pos="2081" w:val="left" w:leader="none"/>
        </w:tabs>
        <w:spacing w:line="208" w:lineRule="auto" w:before="239" w:after="0"/>
        <w:ind w:left="1655" w:right="763" w:firstLine="0"/>
        <w:jc w:val="left"/>
        <w:rPr>
          <w:sz w:val="24"/>
        </w:rPr>
      </w:pPr>
      <w:r>
        <w:rPr>
          <w:sz w:val="24"/>
        </w:rPr>
        <w:t>The</w:t>
      </w:r>
      <w:r>
        <w:rPr>
          <w:spacing w:val="-5"/>
          <w:sz w:val="24"/>
        </w:rPr>
        <w:t> </w:t>
      </w:r>
      <w:r>
        <w:rPr>
          <w:sz w:val="24"/>
        </w:rPr>
        <w:t>required</w:t>
      </w:r>
      <w:r>
        <w:rPr>
          <w:spacing w:val="-4"/>
          <w:sz w:val="24"/>
        </w:rPr>
        <w:t> </w:t>
      </w:r>
      <w:r>
        <w:rPr>
          <w:sz w:val="24"/>
        </w:rPr>
        <w:t>observations</w:t>
      </w:r>
      <w:r>
        <w:rPr>
          <w:spacing w:val="-4"/>
          <w:sz w:val="24"/>
        </w:rPr>
        <w:t> </w:t>
      </w:r>
      <w:r>
        <w:rPr>
          <w:sz w:val="24"/>
        </w:rPr>
        <w:t>shall</w:t>
      </w:r>
      <w:r>
        <w:rPr>
          <w:spacing w:val="-4"/>
          <w:sz w:val="24"/>
        </w:rPr>
        <w:t> </w:t>
      </w:r>
      <w:r>
        <w:rPr>
          <w:sz w:val="24"/>
        </w:rPr>
        <w:t>be</w:t>
      </w:r>
      <w:r>
        <w:rPr>
          <w:spacing w:val="-4"/>
          <w:sz w:val="24"/>
        </w:rPr>
        <w:t> </w:t>
      </w:r>
      <w:r>
        <w:rPr>
          <w:sz w:val="24"/>
        </w:rPr>
        <w:t>made</w:t>
      </w:r>
      <w:r>
        <w:rPr>
          <w:spacing w:val="-4"/>
          <w:sz w:val="24"/>
        </w:rPr>
        <w:t> </w:t>
      </w:r>
      <w:r>
        <w:rPr>
          <w:sz w:val="24"/>
        </w:rPr>
        <w:t>by</w:t>
      </w:r>
      <w:r>
        <w:rPr>
          <w:spacing w:val="-4"/>
          <w:sz w:val="24"/>
        </w:rPr>
        <w:t> </w:t>
      </w:r>
      <w:r>
        <w:rPr>
          <w:sz w:val="24"/>
        </w:rPr>
        <w:t>a</w:t>
      </w:r>
      <w:r>
        <w:rPr>
          <w:spacing w:val="-4"/>
          <w:sz w:val="24"/>
        </w:rPr>
        <w:t> </w:t>
      </w:r>
      <w:r>
        <w:rPr>
          <w:sz w:val="24"/>
        </w:rPr>
        <w:t>supervisor</w:t>
      </w:r>
      <w:r>
        <w:rPr>
          <w:spacing w:val="-3"/>
          <w:sz w:val="24"/>
        </w:rPr>
        <w:t> </w:t>
      </w:r>
      <w:r>
        <w:rPr>
          <w:sz w:val="24"/>
        </w:rPr>
        <w:t>who</w:t>
      </w:r>
      <w:r>
        <w:rPr>
          <w:spacing w:val="-4"/>
          <w:sz w:val="24"/>
        </w:rPr>
        <w:t> </w:t>
      </w:r>
      <w:r>
        <w:rPr>
          <w:sz w:val="24"/>
        </w:rPr>
        <w:t>is</w:t>
      </w:r>
      <w:r>
        <w:rPr>
          <w:spacing w:val="-4"/>
          <w:sz w:val="24"/>
        </w:rPr>
        <w:t> </w:t>
      </w:r>
      <w:r>
        <w:rPr>
          <w:sz w:val="24"/>
        </w:rPr>
        <w:t>trained in detecting the symptoms of alcohol misuse and controlled substances use.</w:t>
      </w:r>
      <w:r>
        <w:rPr>
          <w:spacing w:val="-2"/>
          <w:sz w:val="24"/>
        </w:rPr>
        <w:t> </w:t>
      </w:r>
      <w:r>
        <w:rPr>
          <w:sz w:val="24"/>
        </w:rPr>
        <w:t>Training</w:t>
      </w:r>
      <w:r>
        <w:rPr>
          <w:spacing w:val="-3"/>
          <w:sz w:val="24"/>
        </w:rPr>
        <w:t> </w:t>
      </w:r>
      <w:r>
        <w:rPr>
          <w:sz w:val="24"/>
        </w:rPr>
        <w:t>must</w:t>
      </w:r>
      <w:r>
        <w:rPr>
          <w:spacing w:val="-2"/>
          <w:sz w:val="24"/>
        </w:rPr>
        <w:t> </w:t>
      </w:r>
      <w:r>
        <w:rPr>
          <w:sz w:val="24"/>
        </w:rPr>
        <w:t>include</w:t>
      </w:r>
      <w:r>
        <w:rPr>
          <w:spacing w:val="-3"/>
          <w:sz w:val="24"/>
        </w:rPr>
        <w:t> </w:t>
      </w:r>
      <w:r>
        <w:rPr>
          <w:sz w:val="24"/>
        </w:rPr>
        <w:t>at</w:t>
      </w:r>
      <w:r>
        <w:rPr>
          <w:spacing w:val="-2"/>
          <w:sz w:val="24"/>
        </w:rPr>
        <w:t> </w:t>
      </w:r>
      <w:r>
        <w:rPr>
          <w:sz w:val="24"/>
        </w:rPr>
        <w:t>least</w:t>
      </w:r>
      <w:r>
        <w:rPr>
          <w:spacing w:val="-2"/>
          <w:sz w:val="24"/>
        </w:rPr>
        <w:t> </w:t>
      </w:r>
      <w:r>
        <w:rPr>
          <w:sz w:val="24"/>
        </w:rPr>
        <w:t>60</w:t>
      </w:r>
      <w:r>
        <w:rPr>
          <w:spacing w:val="-3"/>
          <w:sz w:val="24"/>
        </w:rPr>
        <w:t> </w:t>
      </w:r>
      <w:r>
        <w:rPr>
          <w:sz w:val="24"/>
        </w:rPr>
        <w:t>minutes</w:t>
      </w:r>
      <w:r>
        <w:rPr>
          <w:spacing w:val="-3"/>
          <w:sz w:val="24"/>
        </w:rPr>
        <w:t> </w:t>
      </w:r>
      <w:r>
        <w:rPr>
          <w:sz w:val="24"/>
        </w:rPr>
        <w:t>of</w:t>
      </w:r>
      <w:r>
        <w:rPr>
          <w:spacing w:val="-4"/>
          <w:sz w:val="24"/>
        </w:rPr>
        <w:t> </w:t>
      </w:r>
      <w:r>
        <w:rPr>
          <w:sz w:val="24"/>
        </w:rPr>
        <w:t>training</w:t>
      </w:r>
      <w:r>
        <w:rPr>
          <w:spacing w:val="-3"/>
          <w:sz w:val="24"/>
        </w:rPr>
        <w:t> </w:t>
      </w:r>
      <w:r>
        <w:rPr>
          <w:sz w:val="24"/>
        </w:rPr>
        <w:t>for</w:t>
      </w:r>
      <w:r>
        <w:rPr>
          <w:spacing w:val="-2"/>
          <w:sz w:val="24"/>
        </w:rPr>
        <w:t> </w:t>
      </w:r>
      <w:r>
        <w:rPr>
          <w:sz w:val="24"/>
        </w:rPr>
        <w:t>alcohol</w:t>
      </w:r>
      <w:r>
        <w:rPr>
          <w:spacing w:val="-3"/>
          <w:sz w:val="24"/>
        </w:rPr>
        <w:t> </w:t>
      </w:r>
      <w:r>
        <w:rPr>
          <w:sz w:val="24"/>
        </w:rPr>
        <w:t>misuse and at least an additional 60 minutes of training for controlled substances use. Training shall cover the physical, behavioral, speech and performance indicators of probable alcohol misuse and use of controlled substances.</w:t>
      </w:r>
    </w:p>
    <w:p>
      <w:pPr>
        <w:pStyle w:val="ListParagraph"/>
        <w:numPr>
          <w:ilvl w:val="3"/>
          <w:numId w:val="360"/>
        </w:numPr>
        <w:tabs>
          <w:tab w:pos="2081" w:val="left" w:leader="none"/>
        </w:tabs>
        <w:spacing w:line="208" w:lineRule="auto" w:before="240" w:after="0"/>
        <w:ind w:left="1655" w:right="723" w:firstLine="0"/>
        <w:jc w:val="left"/>
        <w:rPr>
          <w:sz w:val="24"/>
        </w:rPr>
      </w:pPr>
      <w:r>
        <w:rPr>
          <w:sz w:val="24"/>
        </w:rPr>
        <w:t>The evidential breath testing device must be approved by the National Traffic Safety Administration. The breath alcohol technician must have successfully completed a course of instruction on EBT methodology, operation and calibration checks; the fundamentals of breath analysis for alcohol</w:t>
      </w:r>
      <w:r>
        <w:rPr>
          <w:spacing w:val="-4"/>
          <w:sz w:val="24"/>
        </w:rPr>
        <w:t> </w:t>
      </w:r>
      <w:r>
        <w:rPr>
          <w:sz w:val="24"/>
        </w:rPr>
        <w:t>content;</w:t>
      </w:r>
      <w:r>
        <w:rPr>
          <w:spacing w:val="-3"/>
          <w:sz w:val="24"/>
        </w:rPr>
        <w:t> </w:t>
      </w:r>
      <w:r>
        <w:rPr>
          <w:sz w:val="24"/>
        </w:rPr>
        <w:t>and</w:t>
      </w:r>
      <w:r>
        <w:rPr>
          <w:spacing w:val="-4"/>
          <w:sz w:val="24"/>
        </w:rPr>
        <w:t> </w:t>
      </w:r>
      <w:r>
        <w:rPr>
          <w:sz w:val="24"/>
        </w:rPr>
        <w:t>the</w:t>
      </w:r>
      <w:r>
        <w:rPr>
          <w:spacing w:val="-4"/>
          <w:sz w:val="24"/>
        </w:rPr>
        <w:t> </w:t>
      </w:r>
      <w:r>
        <w:rPr>
          <w:sz w:val="24"/>
        </w:rPr>
        <w:t>procedures</w:t>
      </w:r>
      <w:r>
        <w:rPr>
          <w:spacing w:val="-4"/>
          <w:sz w:val="24"/>
        </w:rPr>
        <w:t> </w:t>
      </w:r>
      <w:r>
        <w:rPr>
          <w:sz w:val="24"/>
        </w:rPr>
        <w:t>required</w:t>
      </w:r>
      <w:r>
        <w:rPr>
          <w:spacing w:val="-3"/>
          <w:sz w:val="24"/>
        </w:rPr>
        <w:t> </w:t>
      </w:r>
      <w:r>
        <w:rPr>
          <w:sz w:val="24"/>
        </w:rPr>
        <w:t>under</w:t>
      </w:r>
      <w:r>
        <w:rPr>
          <w:spacing w:val="-3"/>
          <w:sz w:val="24"/>
        </w:rPr>
        <w:t> </w:t>
      </w:r>
      <w:r>
        <w:rPr>
          <w:sz w:val="24"/>
        </w:rPr>
        <w:t>49</w:t>
      </w:r>
      <w:r>
        <w:rPr>
          <w:spacing w:val="-4"/>
          <w:sz w:val="24"/>
        </w:rPr>
        <w:t> </w:t>
      </w:r>
      <w:r>
        <w:rPr>
          <w:sz w:val="24"/>
        </w:rPr>
        <w:t>CFR</w:t>
      </w:r>
      <w:r>
        <w:rPr>
          <w:spacing w:val="-4"/>
          <w:sz w:val="24"/>
        </w:rPr>
        <w:t> </w:t>
      </w:r>
      <w:r>
        <w:rPr>
          <w:sz w:val="24"/>
        </w:rPr>
        <w:t>40</w:t>
      </w:r>
      <w:r>
        <w:rPr>
          <w:spacing w:val="-4"/>
          <w:sz w:val="24"/>
        </w:rPr>
        <w:t> </w:t>
      </w:r>
      <w:r>
        <w:rPr>
          <w:sz w:val="24"/>
        </w:rPr>
        <w:t>for</w:t>
      </w:r>
      <w:r>
        <w:rPr>
          <w:spacing w:val="-3"/>
          <w:sz w:val="24"/>
        </w:rPr>
        <w:t> </w:t>
      </w:r>
      <w:r>
        <w:rPr>
          <w:sz w:val="24"/>
        </w:rPr>
        <w:t>obtaining breath samples, interpreting and recording EBT results.</w:t>
      </w:r>
    </w:p>
    <w:p>
      <w:pPr>
        <w:pStyle w:val="ListParagraph"/>
        <w:numPr>
          <w:ilvl w:val="2"/>
          <w:numId w:val="360"/>
        </w:numPr>
        <w:tabs>
          <w:tab w:pos="1569" w:val="left" w:leader="none"/>
        </w:tabs>
        <w:spacing w:line="240" w:lineRule="auto" w:before="210" w:after="0"/>
        <w:ind w:left="1569" w:right="0" w:hanging="346"/>
        <w:jc w:val="left"/>
        <w:rPr>
          <w:sz w:val="24"/>
        </w:rPr>
      </w:pPr>
      <w:r>
        <w:rPr>
          <w:sz w:val="24"/>
        </w:rPr>
        <w:t>Release</w:t>
      </w:r>
      <w:r>
        <w:rPr>
          <w:spacing w:val="-2"/>
          <w:sz w:val="24"/>
        </w:rPr>
        <w:t> </w:t>
      </w:r>
      <w:r>
        <w:rPr>
          <w:sz w:val="24"/>
        </w:rPr>
        <w:t>of</w:t>
      </w:r>
      <w:r>
        <w:rPr>
          <w:spacing w:val="-2"/>
          <w:sz w:val="24"/>
        </w:rPr>
        <w:t> information.</w:t>
      </w:r>
    </w:p>
    <w:p>
      <w:pPr>
        <w:pStyle w:val="ListParagraph"/>
        <w:numPr>
          <w:ilvl w:val="3"/>
          <w:numId w:val="360"/>
        </w:numPr>
        <w:tabs>
          <w:tab w:pos="2081" w:val="left" w:leader="none"/>
        </w:tabs>
        <w:spacing w:line="208" w:lineRule="auto" w:before="233" w:after="0"/>
        <w:ind w:left="1655" w:right="871" w:firstLine="0"/>
        <w:jc w:val="left"/>
        <w:rPr>
          <w:sz w:val="24"/>
        </w:rPr>
      </w:pPr>
      <w:r>
        <w:rPr>
          <w:sz w:val="24"/>
        </w:rPr>
        <w:t>Alcohol test records. Employee alcohol test records are confidential. Test results and other confidential information may only be released to the school and the alcohol abuse professional. Any other release of this information is only with the employee's written consent. If an employee initiates</w:t>
      </w:r>
      <w:r>
        <w:rPr>
          <w:spacing w:val="-4"/>
          <w:sz w:val="24"/>
        </w:rPr>
        <w:t> </w:t>
      </w:r>
      <w:r>
        <w:rPr>
          <w:sz w:val="24"/>
        </w:rPr>
        <w:t>a</w:t>
      </w:r>
      <w:r>
        <w:rPr>
          <w:spacing w:val="-4"/>
          <w:sz w:val="24"/>
        </w:rPr>
        <w:t> </w:t>
      </w:r>
      <w:r>
        <w:rPr>
          <w:sz w:val="24"/>
        </w:rPr>
        <w:t>grievance,</w:t>
      </w:r>
      <w:r>
        <w:rPr>
          <w:spacing w:val="-3"/>
          <w:sz w:val="24"/>
        </w:rPr>
        <w:t> </w:t>
      </w:r>
      <w:r>
        <w:rPr>
          <w:sz w:val="24"/>
        </w:rPr>
        <w:t>hearing,</w:t>
      </w:r>
      <w:r>
        <w:rPr>
          <w:spacing w:val="-3"/>
          <w:sz w:val="24"/>
        </w:rPr>
        <w:t> </w:t>
      </w:r>
      <w:r>
        <w:rPr>
          <w:sz w:val="24"/>
        </w:rPr>
        <w:t>lawsuit</w:t>
      </w:r>
      <w:r>
        <w:rPr>
          <w:spacing w:val="-3"/>
          <w:sz w:val="24"/>
        </w:rPr>
        <w:t> </w:t>
      </w:r>
      <w:r>
        <w:rPr>
          <w:sz w:val="24"/>
        </w:rPr>
        <w:t>or</w:t>
      </w:r>
      <w:r>
        <w:rPr>
          <w:spacing w:val="-3"/>
          <w:sz w:val="24"/>
        </w:rPr>
        <w:t> </w:t>
      </w:r>
      <w:r>
        <w:rPr>
          <w:sz w:val="24"/>
        </w:rPr>
        <w:t>other</w:t>
      </w:r>
      <w:r>
        <w:rPr>
          <w:spacing w:val="-3"/>
          <w:sz w:val="24"/>
        </w:rPr>
        <w:t> </w:t>
      </w:r>
      <w:r>
        <w:rPr>
          <w:sz w:val="24"/>
        </w:rPr>
        <w:t>action</w:t>
      </w:r>
      <w:r>
        <w:rPr>
          <w:spacing w:val="-4"/>
          <w:sz w:val="24"/>
        </w:rPr>
        <w:t> </w:t>
      </w:r>
      <w:r>
        <w:rPr>
          <w:sz w:val="24"/>
        </w:rPr>
        <w:t>as</w:t>
      </w:r>
      <w:r>
        <w:rPr>
          <w:spacing w:val="-5"/>
          <w:sz w:val="24"/>
        </w:rPr>
        <w:t> </w:t>
      </w:r>
      <w:r>
        <w:rPr>
          <w:sz w:val="24"/>
        </w:rPr>
        <w:t>a</w:t>
      </w:r>
      <w:r>
        <w:rPr>
          <w:spacing w:val="-4"/>
          <w:sz w:val="24"/>
        </w:rPr>
        <w:t> </w:t>
      </w:r>
      <w:r>
        <w:rPr>
          <w:sz w:val="24"/>
        </w:rPr>
        <w:t>result</w:t>
      </w:r>
      <w:r>
        <w:rPr>
          <w:spacing w:val="-3"/>
          <w:sz w:val="24"/>
        </w:rPr>
        <w:t> </w:t>
      </w:r>
      <w:r>
        <w:rPr>
          <w:sz w:val="24"/>
        </w:rPr>
        <w:t>of</w:t>
      </w:r>
      <w:r>
        <w:rPr>
          <w:spacing w:val="-5"/>
          <w:sz w:val="24"/>
        </w:rPr>
        <w:t> </w:t>
      </w:r>
      <w:r>
        <w:rPr>
          <w:sz w:val="24"/>
        </w:rPr>
        <w:t>violation of these rules, the school may release relevant information to the decision</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1656" w:right="775"/>
      </w:pPr>
      <w:r>
        <w:rPr/>
        <w:t>maker. If an employee is licensed, documented, or certified by a DOT agency,</w:t>
      </w:r>
      <w:r>
        <w:rPr>
          <w:spacing w:val="-3"/>
        </w:rPr>
        <w:t> </w:t>
      </w:r>
      <w:r>
        <w:rPr/>
        <w:t>relevant</w:t>
      </w:r>
      <w:r>
        <w:rPr>
          <w:spacing w:val="-3"/>
        </w:rPr>
        <w:t> </w:t>
      </w:r>
      <w:r>
        <w:rPr/>
        <w:t>information</w:t>
      </w:r>
      <w:r>
        <w:rPr>
          <w:spacing w:val="-4"/>
        </w:rPr>
        <w:t> </w:t>
      </w:r>
      <w:r>
        <w:rPr/>
        <w:t>may</w:t>
      </w:r>
      <w:r>
        <w:rPr>
          <w:spacing w:val="-4"/>
        </w:rPr>
        <w:t> </w:t>
      </w:r>
      <w:r>
        <w:rPr/>
        <w:t>be</w:t>
      </w:r>
      <w:r>
        <w:rPr>
          <w:spacing w:val="-4"/>
        </w:rPr>
        <w:t> </w:t>
      </w:r>
      <w:r>
        <w:rPr/>
        <w:t>released</w:t>
      </w:r>
      <w:r>
        <w:rPr>
          <w:spacing w:val="-4"/>
        </w:rPr>
        <w:t> </w:t>
      </w:r>
      <w:r>
        <w:rPr/>
        <w:t>to</w:t>
      </w:r>
      <w:r>
        <w:rPr>
          <w:spacing w:val="-4"/>
        </w:rPr>
        <w:t> </w:t>
      </w:r>
      <w:r>
        <w:rPr/>
        <w:t>the</w:t>
      </w:r>
      <w:r>
        <w:rPr>
          <w:spacing w:val="-4"/>
        </w:rPr>
        <w:t> </w:t>
      </w:r>
      <w:r>
        <w:rPr/>
        <w:t>decision</w:t>
      </w:r>
      <w:r>
        <w:rPr>
          <w:spacing w:val="-4"/>
        </w:rPr>
        <w:t> </w:t>
      </w:r>
      <w:r>
        <w:rPr/>
        <w:t>maker</w:t>
      </w:r>
      <w:r>
        <w:rPr>
          <w:spacing w:val="-3"/>
        </w:rPr>
        <w:t> </w:t>
      </w:r>
      <w:r>
        <w:rPr/>
        <w:t>in</w:t>
      </w:r>
      <w:r>
        <w:rPr>
          <w:spacing w:val="-4"/>
        </w:rPr>
        <w:t> </w:t>
      </w:r>
      <w:r>
        <w:rPr/>
        <w:t>any DOT agency revocation or suspension action.</w:t>
      </w:r>
    </w:p>
    <w:p>
      <w:pPr>
        <w:pStyle w:val="ListParagraph"/>
        <w:numPr>
          <w:ilvl w:val="3"/>
          <w:numId w:val="360"/>
        </w:numPr>
        <w:tabs>
          <w:tab w:pos="2082" w:val="left" w:leader="none"/>
        </w:tabs>
        <w:spacing w:line="208" w:lineRule="auto" w:before="240" w:after="0"/>
        <w:ind w:left="1656" w:right="817" w:firstLine="0"/>
        <w:jc w:val="left"/>
        <w:rPr>
          <w:sz w:val="24"/>
        </w:rPr>
      </w:pPr>
      <w:r>
        <w:rPr>
          <w:sz w:val="24"/>
        </w:rPr>
        <w:t>Drug test results. A medical review officer may disclose drug test results to the school, and must disclose the results to the tested employee. Employee drug test results and records are maintained under strict confidentiality by the school, the drug testing laboratory, and the medical review officer. These records cannot be released to others without the written consent of the employee. Exceptions to these confidentiality provisions</w:t>
      </w:r>
      <w:r>
        <w:rPr>
          <w:spacing w:val="-4"/>
          <w:sz w:val="24"/>
        </w:rPr>
        <w:t> </w:t>
      </w:r>
      <w:r>
        <w:rPr>
          <w:sz w:val="24"/>
        </w:rPr>
        <w:t>are</w:t>
      </w:r>
      <w:r>
        <w:rPr>
          <w:spacing w:val="-4"/>
          <w:sz w:val="24"/>
        </w:rPr>
        <w:t> </w:t>
      </w:r>
      <w:r>
        <w:rPr>
          <w:sz w:val="24"/>
        </w:rPr>
        <w:t>limited</w:t>
      </w:r>
      <w:r>
        <w:rPr>
          <w:spacing w:val="-4"/>
          <w:sz w:val="24"/>
        </w:rPr>
        <w:t> </w:t>
      </w:r>
      <w:r>
        <w:rPr>
          <w:sz w:val="24"/>
        </w:rPr>
        <w:t>to</w:t>
      </w:r>
      <w:r>
        <w:rPr>
          <w:spacing w:val="-4"/>
          <w:sz w:val="24"/>
        </w:rPr>
        <w:t> </w:t>
      </w:r>
      <w:r>
        <w:rPr>
          <w:sz w:val="24"/>
        </w:rPr>
        <w:t>DOT</w:t>
      </w:r>
      <w:r>
        <w:rPr>
          <w:spacing w:val="-4"/>
          <w:sz w:val="24"/>
        </w:rPr>
        <w:t> </w:t>
      </w:r>
      <w:r>
        <w:rPr>
          <w:sz w:val="24"/>
        </w:rPr>
        <w:t>agencies</w:t>
      </w:r>
      <w:r>
        <w:rPr>
          <w:spacing w:val="-4"/>
          <w:sz w:val="24"/>
        </w:rPr>
        <w:t> </w:t>
      </w:r>
      <w:r>
        <w:rPr>
          <w:sz w:val="24"/>
        </w:rPr>
        <w:t>when</w:t>
      </w:r>
      <w:r>
        <w:rPr>
          <w:spacing w:val="-4"/>
          <w:sz w:val="24"/>
        </w:rPr>
        <w:t> </w:t>
      </w:r>
      <w:r>
        <w:rPr>
          <w:sz w:val="24"/>
        </w:rPr>
        <w:t>license</w:t>
      </w:r>
      <w:r>
        <w:rPr>
          <w:spacing w:val="-4"/>
          <w:sz w:val="24"/>
        </w:rPr>
        <w:t> </w:t>
      </w:r>
      <w:r>
        <w:rPr>
          <w:sz w:val="24"/>
        </w:rPr>
        <w:t>or</w:t>
      </w:r>
      <w:r>
        <w:rPr>
          <w:spacing w:val="-3"/>
          <w:sz w:val="24"/>
        </w:rPr>
        <w:t> </w:t>
      </w:r>
      <w:r>
        <w:rPr>
          <w:sz w:val="24"/>
        </w:rPr>
        <w:t>certification</w:t>
      </w:r>
      <w:r>
        <w:rPr>
          <w:spacing w:val="-4"/>
          <w:sz w:val="24"/>
        </w:rPr>
        <w:t> </w:t>
      </w:r>
      <w:r>
        <w:rPr>
          <w:sz w:val="24"/>
        </w:rPr>
        <w:t>actions are</w:t>
      </w:r>
      <w:r>
        <w:rPr>
          <w:spacing w:val="-3"/>
          <w:sz w:val="24"/>
        </w:rPr>
        <w:t> </w:t>
      </w:r>
      <w:r>
        <w:rPr>
          <w:sz w:val="24"/>
        </w:rPr>
        <w:t>required</w:t>
      </w:r>
      <w:r>
        <w:rPr>
          <w:spacing w:val="-3"/>
          <w:sz w:val="24"/>
        </w:rPr>
        <w:t> </w:t>
      </w:r>
      <w:r>
        <w:rPr>
          <w:sz w:val="24"/>
        </w:rPr>
        <w:t>or</w:t>
      </w:r>
      <w:r>
        <w:rPr>
          <w:spacing w:val="-2"/>
          <w:sz w:val="24"/>
        </w:rPr>
        <w:t> </w:t>
      </w:r>
      <w:r>
        <w:rPr>
          <w:sz w:val="24"/>
        </w:rPr>
        <w:t>to</w:t>
      </w:r>
      <w:r>
        <w:rPr>
          <w:spacing w:val="-3"/>
          <w:sz w:val="24"/>
        </w:rPr>
        <w:t> </w:t>
      </w:r>
      <w:r>
        <w:rPr>
          <w:sz w:val="24"/>
        </w:rPr>
        <w:t>a</w:t>
      </w:r>
      <w:r>
        <w:rPr>
          <w:spacing w:val="-4"/>
          <w:sz w:val="24"/>
        </w:rPr>
        <w:t> </w:t>
      </w:r>
      <w:r>
        <w:rPr>
          <w:sz w:val="24"/>
        </w:rPr>
        <w:t>decision</w:t>
      </w:r>
      <w:r>
        <w:rPr>
          <w:spacing w:val="-3"/>
          <w:sz w:val="24"/>
        </w:rPr>
        <w:t> </w:t>
      </w:r>
      <w:r>
        <w:rPr>
          <w:sz w:val="24"/>
        </w:rPr>
        <w:t>maker</w:t>
      </w:r>
      <w:r>
        <w:rPr>
          <w:spacing w:val="-2"/>
          <w:sz w:val="24"/>
        </w:rPr>
        <w:t> </w:t>
      </w:r>
      <w:r>
        <w:rPr>
          <w:sz w:val="24"/>
        </w:rPr>
        <w:t>in</w:t>
      </w:r>
      <w:r>
        <w:rPr>
          <w:spacing w:val="-3"/>
          <w:sz w:val="24"/>
        </w:rPr>
        <w:t> </w:t>
      </w:r>
      <w:r>
        <w:rPr>
          <w:sz w:val="24"/>
        </w:rPr>
        <w:t>arbitration,</w:t>
      </w:r>
      <w:r>
        <w:rPr>
          <w:spacing w:val="-2"/>
          <w:sz w:val="24"/>
        </w:rPr>
        <w:t> </w:t>
      </w:r>
      <w:r>
        <w:rPr>
          <w:sz w:val="24"/>
        </w:rPr>
        <w:t>litigation</w:t>
      </w:r>
      <w:r>
        <w:rPr>
          <w:spacing w:val="-3"/>
          <w:sz w:val="24"/>
        </w:rPr>
        <w:t> </w:t>
      </w:r>
      <w:r>
        <w:rPr>
          <w:sz w:val="24"/>
        </w:rPr>
        <w:t>or</w:t>
      </w:r>
      <w:r>
        <w:rPr>
          <w:spacing w:val="-2"/>
          <w:sz w:val="24"/>
        </w:rPr>
        <w:t> </w:t>
      </w:r>
      <w:r>
        <w:rPr>
          <w:sz w:val="24"/>
        </w:rPr>
        <w:t>administrative proceedings arising from a positive drug test.</w:t>
      </w:r>
    </w:p>
    <w:p>
      <w:pPr>
        <w:pStyle w:val="ListParagraph"/>
        <w:numPr>
          <w:ilvl w:val="2"/>
          <w:numId w:val="360"/>
        </w:numPr>
        <w:tabs>
          <w:tab w:pos="1636" w:val="left" w:leader="none"/>
        </w:tabs>
        <w:spacing w:line="208" w:lineRule="auto" w:before="239" w:after="0"/>
        <w:ind w:left="1223" w:right="967" w:firstLine="0"/>
        <w:jc w:val="left"/>
        <w:rPr>
          <w:sz w:val="24"/>
        </w:rPr>
      </w:pPr>
      <w:r>
        <w:rPr>
          <w:sz w:val="24"/>
        </w:rPr>
        <w:t>Annual</w:t>
      </w:r>
      <w:r>
        <w:rPr>
          <w:spacing w:val="-3"/>
          <w:sz w:val="24"/>
        </w:rPr>
        <w:t> </w:t>
      </w:r>
      <w:r>
        <w:rPr>
          <w:sz w:val="24"/>
        </w:rPr>
        <w:t>reports.</w:t>
      </w:r>
      <w:r>
        <w:rPr>
          <w:spacing w:val="-3"/>
          <w:sz w:val="24"/>
        </w:rPr>
        <w:t> </w:t>
      </w:r>
      <w:r>
        <w:rPr>
          <w:sz w:val="24"/>
        </w:rPr>
        <w:t>The</w:t>
      </w:r>
      <w:r>
        <w:rPr>
          <w:spacing w:val="-4"/>
          <w:sz w:val="24"/>
        </w:rPr>
        <w:t> </w:t>
      </w:r>
      <w:r>
        <w:rPr>
          <w:sz w:val="24"/>
        </w:rPr>
        <w:t>school</w:t>
      </w:r>
      <w:r>
        <w:rPr>
          <w:spacing w:val="-4"/>
          <w:sz w:val="24"/>
        </w:rPr>
        <w:t> </w:t>
      </w:r>
      <w:r>
        <w:rPr>
          <w:sz w:val="24"/>
        </w:rPr>
        <w:t>must</w:t>
      </w:r>
      <w:r>
        <w:rPr>
          <w:spacing w:val="-3"/>
          <w:sz w:val="24"/>
        </w:rPr>
        <w:t> </w:t>
      </w:r>
      <w:r>
        <w:rPr>
          <w:sz w:val="24"/>
        </w:rPr>
        <w:t>complete</w:t>
      </w:r>
      <w:r>
        <w:rPr>
          <w:spacing w:val="-4"/>
          <w:sz w:val="24"/>
        </w:rPr>
        <w:t> </w:t>
      </w:r>
      <w:r>
        <w:rPr>
          <w:sz w:val="24"/>
        </w:rPr>
        <w:t>an</w:t>
      </w:r>
      <w:r>
        <w:rPr>
          <w:spacing w:val="-4"/>
          <w:sz w:val="24"/>
        </w:rPr>
        <w:t> </w:t>
      </w:r>
      <w:r>
        <w:rPr>
          <w:sz w:val="24"/>
        </w:rPr>
        <w:t>annual</w:t>
      </w:r>
      <w:r>
        <w:rPr>
          <w:spacing w:val="-4"/>
          <w:sz w:val="24"/>
        </w:rPr>
        <w:t> </w:t>
      </w:r>
      <w:r>
        <w:rPr>
          <w:sz w:val="24"/>
        </w:rPr>
        <w:t>calendar</w:t>
      </w:r>
      <w:r>
        <w:rPr>
          <w:spacing w:val="-3"/>
          <w:sz w:val="24"/>
        </w:rPr>
        <w:t> </w:t>
      </w:r>
      <w:r>
        <w:rPr>
          <w:sz w:val="24"/>
        </w:rPr>
        <w:t>year</w:t>
      </w:r>
      <w:r>
        <w:rPr>
          <w:spacing w:val="-3"/>
          <w:sz w:val="24"/>
        </w:rPr>
        <w:t> </w:t>
      </w:r>
      <w:r>
        <w:rPr>
          <w:sz w:val="24"/>
        </w:rPr>
        <w:t>report that summarizes the results of its alcohol and controlled substances testing programs. Required contents of the report are stated in (1) through (2) of this </w:t>
      </w:r>
      <w:r>
        <w:rPr>
          <w:spacing w:val="-2"/>
          <w:sz w:val="24"/>
        </w:rPr>
        <w:t>Subsection.</w:t>
      </w:r>
    </w:p>
    <w:p>
      <w:pPr>
        <w:pStyle w:val="ListParagraph"/>
        <w:numPr>
          <w:ilvl w:val="3"/>
          <w:numId w:val="360"/>
        </w:numPr>
        <w:tabs>
          <w:tab w:pos="2081" w:val="left" w:leader="none"/>
        </w:tabs>
        <w:spacing w:line="208" w:lineRule="auto" w:before="239" w:after="0"/>
        <w:ind w:left="1655" w:right="1032" w:firstLine="0"/>
        <w:jc w:val="left"/>
        <w:rPr>
          <w:sz w:val="24"/>
        </w:rPr>
      </w:pPr>
      <w:r>
        <w:rPr>
          <w:sz w:val="24"/>
        </w:rPr>
        <w:t>Each</w:t>
      </w:r>
      <w:r>
        <w:rPr>
          <w:spacing w:val="-4"/>
          <w:sz w:val="24"/>
        </w:rPr>
        <w:t> </w:t>
      </w:r>
      <w:r>
        <w:rPr>
          <w:sz w:val="24"/>
        </w:rPr>
        <w:t>annual</w:t>
      </w:r>
      <w:r>
        <w:rPr>
          <w:spacing w:val="-4"/>
          <w:sz w:val="24"/>
        </w:rPr>
        <w:t> </w:t>
      </w:r>
      <w:r>
        <w:rPr>
          <w:sz w:val="24"/>
        </w:rPr>
        <w:t>summary</w:t>
      </w:r>
      <w:r>
        <w:rPr>
          <w:spacing w:val="-4"/>
          <w:sz w:val="24"/>
        </w:rPr>
        <w:t> </w:t>
      </w:r>
      <w:r>
        <w:rPr>
          <w:sz w:val="24"/>
        </w:rPr>
        <w:t>must</w:t>
      </w:r>
      <w:r>
        <w:rPr>
          <w:spacing w:val="-5"/>
          <w:sz w:val="24"/>
        </w:rPr>
        <w:t> </w:t>
      </w:r>
      <w:r>
        <w:rPr>
          <w:sz w:val="24"/>
        </w:rPr>
        <w:t>contain</w:t>
      </w:r>
      <w:r>
        <w:rPr>
          <w:spacing w:val="-4"/>
          <w:sz w:val="24"/>
        </w:rPr>
        <w:t> </w:t>
      </w:r>
      <w:r>
        <w:rPr>
          <w:sz w:val="24"/>
        </w:rPr>
        <w:t>information</w:t>
      </w:r>
      <w:r>
        <w:rPr>
          <w:spacing w:val="-4"/>
          <w:sz w:val="24"/>
        </w:rPr>
        <w:t> </w:t>
      </w:r>
      <w:r>
        <w:rPr>
          <w:sz w:val="24"/>
        </w:rPr>
        <w:t>on</w:t>
      </w:r>
      <w:r>
        <w:rPr>
          <w:spacing w:val="-5"/>
          <w:sz w:val="24"/>
        </w:rPr>
        <w:t> </w:t>
      </w:r>
      <w:r>
        <w:rPr>
          <w:sz w:val="24"/>
        </w:rPr>
        <w:t>a</w:t>
      </w:r>
      <w:r>
        <w:rPr>
          <w:spacing w:val="-4"/>
          <w:sz w:val="24"/>
        </w:rPr>
        <w:t> </w:t>
      </w:r>
      <w:r>
        <w:rPr>
          <w:sz w:val="24"/>
        </w:rPr>
        <w:t>verified</w:t>
      </w:r>
      <w:r>
        <w:rPr>
          <w:spacing w:val="-4"/>
          <w:sz w:val="24"/>
        </w:rPr>
        <w:t> </w:t>
      </w:r>
      <w:r>
        <w:rPr>
          <w:sz w:val="24"/>
        </w:rPr>
        <w:t>positive controlled substances test result, an alcohol screening test of 0.02 or greater, or any other alcohol misuse violation and shall include the:</w:t>
      </w:r>
    </w:p>
    <w:p>
      <w:pPr>
        <w:pStyle w:val="ListParagraph"/>
        <w:numPr>
          <w:ilvl w:val="4"/>
          <w:numId w:val="360"/>
        </w:numPr>
        <w:tabs>
          <w:tab w:pos="2540" w:val="left" w:leader="none"/>
        </w:tabs>
        <w:spacing w:line="240" w:lineRule="auto" w:before="211" w:after="0"/>
        <w:ind w:left="2540" w:right="0" w:hanging="453"/>
        <w:jc w:val="left"/>
        <w:rPr>
          <w:sz w:val="24"/>
        </w:rPr>
      </w:pPr>
      <w:r>
        <w:rPr>
          <w:sz w:val="24"/>
        </w:rPr>
        <w:t>number</w:t>
      </w:r>
      <w:r>
        <w:rPr>
          <w:spacing w:val="-3"/>
          <w:sz w:val="24"/>
        </w:rPr>
        <w:t> </w:t>
      </w:r>
      <w:r>
        <w:rPr>
          <w:sz w:val="24"/>
        </w:rPr>
        <w:t>of</w:t>
      </w:r>
      <w:r>
        <w:rPr>
          <w:spacing w:val="-2"/>
          <w:sz w:val="24"/>
        </w:rPr>
        <w:t> </w:t>
      </w:r>
      <w:r>
        <w:rPr>
          <w:sz w:val="24"/>
        </w:rPr>
        <w:t>employees</w:t>
      </w:r>
      <w:r>
        <w:rPr>
          <w:spacing w:val="-4"/>
          <w:sz w:val="24"/>
        </w:rPr>
        <w:t> </w:t>
      </w:r>
      <w:r>
        <w:rPr>
          <w:sz w:val="24"/>
        </w:rPr>
        <w:t>subject</w:t>
      </w:r>
      <w:r>
        <w:rPr>
          <w:spacing w:val="-1"/>
          <w:sz w:val="24"/>
        </w:rPr>
        <w:t> </w:t>
      </w:r>
      <w:r>
        <w:rPr>
          <w:sz w:val="24"/>
        </w:rPr>
        <w:t>to</w:t>
      </w:r>
      <w:r>
        <w:rPr>
          <w:spacing w:val="-4"/>
          <w:sz w:val="24"/>
        </w:rPr>
        <w:t> </w:t>
      </w:r>
      <w:r>
        <w:rPr>
          <w:spacing w:val="-2"/>
          <w:sz w:val="24"/>
        </w:rPr>
        <w:t>testing;</w:t>
      </w:r>
    </w:p>
    <w:p>
      <w:pPr>
        <w:pStyle w:val="ListParagraph"/>
        <w:numPr>
          <w:ilvl w:val="4"/>
          <w:numId w:val="360"/>
        </w:numPr>
        <w:tabs>
          <w:tab w:pos="2540" w:val="left" w:leader="none"/>
        </w:tabs>
        <w:spacing w:line="208" w:lineRule="auto" w:before="233" w:after="0"/>
        <w:ind w:left="2087" w:right="853" w:firstLine="0"/>
        <w:jc w:val="left"/>
        <w:rPr>
          <w:sz w:val="24"/>
        </w:rPr>
      </w:pPr>
      <w:r>
        <w:rPr>
          <w:sz w:val="24"/>
        </w:rPr>
        <w:t>number</w:t>
      </w:r>
      <w:r>
        <w:rPr>
          <w:spacing w:val="-5"/>
          <w:sz w:val="24"/>
        </w:rPr>
        <w:t> </w:t>
      </w:r>
      <w:r>
        <w:rPr>
          <w:sz w:val="24"/>
        </w:rPr>
        <w:t>of</w:t>
      </w:r>
      <w:r>
        <w:rPr>
          <w:spacing w:val="-5"/>
          <w:sz w:val="24"/>
        </w:rPr>
        <w:t> </w:t>
      </w:r>
      <w:r>
        <w:rPr>
          <w:sz w:val="24"/>
        </w:rPr>
        <w:t>urine</w:t>
      </w:r>
      <w:r>
        <w:rPr>
          <w:spacing w:val="-6"/>
          <w:sz w:val="24"/>
        </w:rPr>
        <w:t> </w:t>
      </w:r>
      <w:r>
        <w:rPr>
          <w:sz w:val="24"/>
        </w:rPr>
        <w:t>specimens</w:t>
      </w:r>
      <w:r>
        <w:rPr>
          <w:spacing w:val="-6"/>
          <w:sz w:val="24"/>
        </w:rPr>
        <w:t> </w:t>
      </w:r>
      <w:r>
        <w:rPr>
          <w:sz w:val="24"/>
        </w:rPr>
        <w:t>collected</w:t>
      </w:r>
      <w:r>
        <w:rPr>
          <w:spacing w:val="-6"/>
          <w:sz w:val="24"/>
        </w:rPr>
        <w:t> </w:t>
      </w:r>
      <w:r>
        <w:rPr>
          <w:sz w:val="24"/>
        </w:rPr>
        <w:t>by</w:t>
      </w:r>
      <w:r>
        <w:rPr>
          <w:spacing w:val="-5"/>
          <w:sz w:val="24"/>
        </w:rPr>
        <w:t> </w:t>
      </w:r>
      <w:r>
        <w:rPr>
          <w:sz w:val="24"/>
        </w:rPr>
        <w:t>pre-employment,</w:t>
      </w:r>
      <w:r>
        <w:rPr>
          <w:spacing w:val="-7"/>
          <w:sz w:val="24"/>
        </w:rPr>
        <w:t> </w:t>
      </w:r>
      <w:r>
        <w:rPr>
          <w:sz w:val="24"/>
        </w:rPr>
        <w:t>random, reasonable suspicion, and post-accident tests;</w:t>
      </w:r>
    </w:p>
    <w:p>
      <w:pPr>
        <w:pStyle w:val="ListParagraph"/>
        <w:numPr>
          <w:ilvl w:val="4"/>
          <w:numId w:val="360"/>
        </w:numPr>
        <w:tabs>
          <w:tab w:pos="2553" w:val="left" w:leader="none"/>
        </w:tabs>
        <w:spacing w:line="208" w:lineRule="auto" w:before="240" w:after="0"/>
        <w:ind w:left="2087" w:right="840" w:firstLine="0"/>
        <w:jc w:val="left"/>
        <w:rPr>
          <w:sz w:val="24"/>
        </w:rPr>
      </w:pPr>
      <w:r>
        <w:rPr>
          <w:sz w:val="24"/>
        </w:rPr>
        <w:t>number</w:t>
      </w:r>
      <w:r>
        <w:rPr>
          <w:spacing w:val="-3"/>
          <w:sz w:val="24"/>
        </w:rPr>
        <w:t> </w:t>
      </w:r>
      <w:r>
        <w:rPr>
          <w:sz w:val="24"/>
        </w:rPr>
        <w:t>of</w:t>
      </w:r>
      <w:r>
        <w:rPr>
          <w:spacing w:val="-3"/>
          <w:sz w:val="24"/>
        </w:rPr>
        <w:t> </w:t>
      </w:r>
      <w:r>
        <w:rPr>
          <w:sz w:val="24"/>
        </w:rPr>
        <w:t>positive</w:t>
      </w:r>
      <w:r>
        <w:rPr>
          <w:spacing w:val="-4"/>
          <w:sz w:val="24"/>
        </w:rPr>
        <w:t> </w:t>
      </w:r>
      <w:r>
        <w:rPr>
          <w:sz w:val="24"/>
        </w:rPr>
        <w:t>tests</w:t>
      </w:r>
      <w:r>
        <w:rPr>
          <w:spacing w:val="-5"/>
          <w:sz w:val="24"/>
        </w:rPr>
        <w:t> </w:t>
      </w:r>
      <w:r>
        <w:rPr>
          <w:sz w:val="24"/>
        </w:rPr>
        <w:t>verified</w:t>
      </w:r>
      <w:r>
        <w:rPr>
          <w:spacing w:val="-4"/>
          <w:sz w:val="24"/>
        </w:rPr>
        <w:t> </w:t>
      </w:r>
      <w:r>
        <w:rPr>
          <w:sz w:val="24"/>
        </w:rPr>
        <w:t>by</w:t>
      </w:r>
      <w:r>
        <w:rPr>
          <w:spacing w:val="-4"/>
          <w:sz w:val="24"/>
        </w:rPr>
        <w:t> </w:t>
      </w:r>
      <w:r>
        <w:rPr>
          <w:sz w:val="24"/>
        </w:rPr>
        <w:t>a</w:t>
      </w:r>
      <w:r>
        <w:rPr>
          <w:spacing w:val="-4"/>
          <w:sz w:val="24"/>
        </w:rPr>
        <w:t> </w:t>
      </w:r>
      <w:r>
        <w:rPr>
          <w:sz w:val="24"/>
        </w:rPr>
        <w:t>medical</w:t>
      </w:r>
      <w:r>
        <w:rPr>
          <w:spacing w:val="-4"/>
          <w:sz w:val="24"/>
        </w:rPr>
        <w:t> </w:t>
      </w:r>
      <w:r>
        <w:rPr>
          <w:sz w:val="24"/>
        </w:rPr>
        <w:t>review</w:t>
      </w:r>
      <w:r>
        <w:rPr>
          <w:spacing w:val="-4"/>
          <w:sz w:val="24"/>
        </w:rPr>
        <w:t> </w:t>
      </w:r>
      <w:r>
        <w:rPr>
          <w:sz w:val="24"/>
        </w:rPr>
        <w:t>officer</w:t>
      </w:r>
      <w:r>
        <w:rPr>
          <w:spacing w:val="-3"/>
          <w:sz w:val="24"/>
        </w:rPr>
        <w:t> </w:t>
      </w:r>
      <w:r>
        <w:rPr>
          <w:sz w:val="24"/>
        </w:rPr>
        <w:t>by</w:t>
      </w:r>
      <w:r>
        <w:rPr>
          <w:spacing w:val="-5"/>
          <w:sz w:val="24"/>
        </w:rPr>
        <w:t> </w:t>
      </w:r>
      <w:r>
        <w:rPr>
          <w:sz w:val="24"/>
        </w:rPr>
        <w:t>test and type of controlled substances;</w:t>
      </w:r>
    </w:p>
    <w:p>
      <w:pPr>
        <w:pStyle w:val="ListParagraph"/>
        <w:numPr>
          <w:ilvl w:val="4"/>
          <w:numId w:val="360"/>
        </w:numPr>
        <w:tabs>
          <w:tab w:pos="2553" w:val="left" w:leader="none"/>
        </w:tabs>
        <w:spacing w:line="208" w:lineRule="auto" w:before="240" w:after="0"/>
        <w:ind w:left="2087" w:right="1506" w:firstLine="0"/>
        <w:jc w:val="left"/>
        <w:rPr>
          <w:sz w:val="24"/>
        </w:rPr>
      </w:pPr>
      <w:r>
        <w:rPr>
          <w:sz w:val="24"/>
        </w:rPr>
        <w:t>number</w:t>
      </w:r>
      <w:r>
        <w:rPr>
          <w:spacing w:val="-4"/>
          <w:sz w:val="24"/>
        </w:rPr>
        <w:t> </w:t>
      </w:r>
      <w:r>
        <w:rPr>
          <w:sz w:val="24"/>
        </w:rPr>
        <w:t>of</w:t>
      </w:r>
      <w:r>
        <w:rPr>
          <w:spacing w:val="-4"/>
          <w:sz w:val="24"/>
        </w:rPr>
        <w:t> </w:t>
      </w:r>
      <w:r>
        <w:rPr>
          <w:sz w:val="24"/>
        </w:rPr>
        <w:t>negative</w:t>
      </w:r>
      <w:r>
        <w:rPr>
          <w:spacing w:val="-5"/>
          <w:sz w:val="24"/>
        </w:rPr>
        <w:t> </w:t>
      </w:r>
      <w:r>
        <w:rPr>
          <w:sz w:val="24"/>
        </w:rPr>
        <w:t>controlled</w:t>
      </w:r>
      <w:r>
        <w:rPr>
          <w:spacing w:val="-5"/>
          <w:sz w:val="24"/>
        </w:rPr>
        <w:t> </w:t>
      </w:r>
      <w:r>
        <w:rPr>
          <w:sz w:val="24"/>
        </w:rPr>
        <w:t>substances</w:t>
      </w:r>
      <w:r>
        <w:rPr>
          <w:spacing w:val="-5"/>
          <w:sz w:val="24"/>
        </w:rPr>
        <w:t> </w:t>
      </w:r>
      <w:r>
        <w:rPr>
          <w:sz w:val="24"/>
        </w:rPr>
        <w:t>tests</w:t>
      </w:r>
      <w:r>
        <w:rPr>
          <w:spacing w:val="-5"/>
          <w:sz w:val="24"/>
        </w:rPr>
        <w:t> </w:t>
      </w:r>
      <w:r>
        <w:rPr>
          <w:sz w:val="24"/>
        </w:rPr>
        <w:t>verified</w:t>
      </w:r>
      <w:r>
        <w:rPr>
          <w:spacing w:val="-5"/>
          <w:sz w:val="24"/>
        </w:rPr>
        <w:t> </w:t>
      </w:r>
      <w:r>
        <w:rPr>
          <w:sz w:val="24"/>
        </w:rPr>
        <w:t>by</w:t>
      </w:r>
      <w:r>
        <w:rPr>
          <w:spacing w:val="-5"/>
          <w:sz w:val="24"/>
        </w:rPr>
        <w:t> </w:t>
      </w:r>
      <w:r>
        <w:rPr>
          <w:sz w:val="24"/>
        </w:rPr>
        <w:t>a medical review officer by type of test;</w:t>
      </w:r>
    </w:p>
    <w:p>
      <w:pPr>
        <w:pStyle w:val="ListParagraph"/>
        <w:numPr>
          <w:ilvl w:val="4"/>
          <w:numId w:val="360"/>
        </w:numPr>
        <w:tabs>
          <w:tab w:pos="2540" w:val="left" w:leader="none"/>
        </w:tabs>
        <w:spacing w:line="208" w:lineRule="auto" w:before="239" w:after="0"/>
        <w:ind w:left="2087" w:right="1079" w:firstLine="0"/>
        <w:jc w:val="left"/>
        <w:rPr>
          <w:sz w:val="24"/>
        </w:rPr>
      </w:pPr>
      <w:r>
        <w:rPr>
          <w:sz w:val="24"/>
        </w:rPr>
        <w:t>number of those denied a position because of pre-employment testing</w:t>
      </w:r>
      <w:r>
        <w:rPr>
          <w:spacing w:val="-4"/>
          <w:sz w:val="24"/>
        </w:rPr>
        <w:t> </w:t>
      </w:r>
      <w:r>
        <w:rPr>
          <w:sz w:val="24"/>
        </w:rPr>
        <w:t>of</w:t>
      </w:r>
      <w:r>
        <w:rPr>
          <w:spacing w:val="-3"/>
          <w:sz w:val="24"/>
        </w:rPr>
        <w:t> </w:t>
      </w:r>
      <w:r>
        <w:rPr>
          <w:sz w:val="24"/>
        </w:rPr>
        <w:t>0.04</w:t>
      </w:r>
      <w:r>
        <w:rPr>
          <w:spacing w:val="-4"/>
          <w:sz w:val="24"/>
        </w:rPr>
        <w:t> </w:t>
      </w:r>
      <w:r>
        <w:rPr>
          <w:sz w:val="24"/>
        </w:rPr>
        <w:t>or</w:t>
      </w:r>
      <w:r>
        <w:rPr>
          <w:spacing w:val="-3"/>
          <w:sz w:val="24"/>
        </w:rPr>
        <w:t> </w:t>
      </w:r>
      <w:r>
        <w:rPr>
          <w:sz w:val="24"/>
        </w:rPr>
        <w:t>greater,</w:t>
      </w:r>
      <w:r>
        <w:rPr>
          <w:spacing w:val="-3"/>
          <w:sz w:val="24"/>
        </w:rPr>
        <w:t> </w:t>
      </w:r>
      <w:r>
        <w:rPr>
          <w:sz w:val="24"/>
        </w:rPr>
        <w:t>or</w:t>
      </w:r>
      <w:r>
        <w:rPr>
          <w:spacing w:val="-5"/>
          <w:sz w:val="24"/>
        </w:rPr>
        <w:t> </w:t>
      </w:r>
      <w:r>
        <w:rPr>
          <w:sz w:val="24"/>
        </w:rPr>
        <w:t>a</w:t>
      </w:r>
      <w:r>
        <w:rPr>
          <w:spacing w:val="-4"/>
          <w:sz w:val="24"/>
        </w:rPr>
        <w:t> </w:t>
      </w:r>
      <w:r>
        <w:rPr>
          <w:sz w:val="24"/>
        </w:rPr>
        <w:t>verified</w:t>
      </w:r>
      <w:r>
        <w:rPr>
          <w:spacing w:val="-4"/>
          <w:sz w:val="24"/>
        </w:rPr>
        <w:t> </w:t>
      </w:r>
      <w:r>
        <w:rPr>
          <w:sz w:val="24"/>
        </w:rPr>
        <w:t>positive</w:t>
      </w:r>
      <w:r>
        <w:rPr>
          <w:spacing w:val="-4"/>
          <w:sz w:val="24"/>
        </w:rPr>
        <w:t> </w:t>
      </w:r>
      <w:r>
        <w:rPr>
          <w:sz w:val="24"/>
        </w:rPr>
        <w:t>controlled</w:t>
      </w:r>
      <w:r>
        <w:rPr>
          <w:spacing w:val="-4"/>
          <w:sz w:val="24"/>
        </w:rPr>
        <w:t> </w:t>
      </w:r>
      <w:r>
        <w:rPr>
          <w:sz w:val="24"/>
        </w:rPr>
        <w:t>substances </w:t>
      </w:r>
      <w:r>
        <w:rPr>
          <w:spacing w:val="-2"/>
          <w:sz w:val="24"/>
        </w:rPr>
        <w:t>test;</w:t>
      </w:r>
    </w:p>
    <w:p>
      <w:pPr>
        <w:pStyle w:val="ListParagraph"/>
        <w:numPr>
          <w:ilvl w:val="4"/>
          <w:numId w:val="360"/>
        </w:numPr>
        <w:tabs>
          <w:tab w:pos="2525" w:val="left" w:leader="none"/>
        </w:tabs>
        <w:spacing w:line="208" w:lineRule="auto" w:before="240" w:after="0"/>
        <w:ind w:left="2087" w:right="1402" w:firstLine="0"/>
        <w:jc w:val="left"/>
        <w:rPr>
          <w:sz w:val="24"/>
        </w:rPr>
      </w:pPr>
      <w:r>
        <w:rPr>
          <w:sz w:val="24"/>
        </w:rPr>
        <w:t>number</w:t>
      </w:r>
      <w:r>
        <w:rPr>
          <w:spacing w:val="-4"/>
          <w:sz w:val="24"/>
        </w:rPr>
        <w:t> </w:t>
      </w:r>
      <w:r>
        <w:rPr>
          <w:sz w:val="24"/>
        </w:rPr>
        <w:t>of</w:t>
      </w:r>
      <w:r>
        <w:rPr>
          <w:spacing w:val="-4"/>
          <w:sz w:val="24"/>
        </w:rPr>
        <w:t> </w:t>
      </w:r>
      <w:r>
        <w:rPr>
          <w:sz w:val="24"/>
        </w:rPr>
        <w:t>employees</w:t>
      </w:r>
      <w:r>
        <w:rPr>
          <w:spacing w:val="-5"/>
          <w:sz w:val="24"/>
        </w:rPr>
        <w:t> </w:t>
      </w:r>
      <w:r>
        <w:rPr>
          <w:sz w:val="24"/>
        </w:rPr>
        <w:t>with</w:t>
      </w:r>
      <w:r>
        <w:rPr>
          <w:spacing w:val="-5"/>
          <w:sz w:val="24"/>
        </w:rPr>
        <w:t> </w:t>
      </w:r>
      <w:r>
        <w:rPr>
          <w:sz w:val="24"/>
        </w:rPr>
        <w:t>tests</w:t>
      </w:r>
      <w:r>
        <w:rPr>
          <w:spacing w:val="-5"/>
          <w:sz w:val="24"/>
        </w:rPr>
        <w:t> </w:t>
      </w:r>
      <w:r>
        <w:rPr>
          <w:sz w:val="24"/>
        </w:rPr>
        <w:t>verified</w:t>
      </w:r>
      <w:r>
        <w:rPr>
          <w:spacing w:val="-6"/>
          <w:sz w:val="24"/>
        </w:rPr>
        <w:t> </w:t>
      </w:r>
      <w:r>
        <w:rPr>
          <w:sz w:val="24"/>
        </w:rPr>
        <w:t>positive</w:t>
      </w:r>
      <w:r>
        <w:rPr>
          <w:spacing w:val="-5"/>
          <w:sz w:val="24"/>
        </w:rPr>
        <w:t> </w:t>
      </w:r>
      <w:r>
        <w:rPr>
          <w:sz w:val="24"/>
        </w:rPr>
        <w:t>by</w:t>
      </w:r>
      <w:r>
        <w:rPr>
          <w:spacing w:val="-5"/>
          <w:sz w:val="24"/>
        </w:rPr>
        <w:t> </w:t>
      </w:r>
      <w:r>
        <w:rPr>
          <w:sz w:val="24"/>
        </w:rPr>
        <w:t>a</w:t>
      </w:r>
      <w:r>
        <w:rPr>
          <w:spacing w:val="-5"/>
          <w:sz w:val="24"/>
        </w:rPr>
        <w:t> </w:t>
      </w:r>
      <w:r>
        <w:rPr>
          <w:sz w:val="24"/>
        </w:rPr>
        <w:t>medical review officer for multiple controlled substances;</w:t>
      </w:r>
    </w:p>
    <w:p>
      <w:pPr>
        <w:pStyle w:val="ListParagraph"/>
        <w:numPr>
          <w:ilvl w:val="4"/>
          <w:numId w:val="360"/>
        </w:numPr>
        <w:tabs>
          <w:tab w:pos="2566" w:val="left" w:leader="none"/>
        </w:tabs>
        <w:spacing w:line="240" w:lineRule="auto" w:before="211" w:after="0"/>
        <w:ind w:left="2566" w:right="0" w:hanging="479"/>
        <w:jc w:val="left"/>
        <w:rPr>
          <w:sz w:val="24"/>
        </w:rPr>
      </w:pPr>
      <w:r>
        <w:rPr>
          <w:sz w:val="24"/>
        </w:rPr>
        <w:t>number</w:t>
      </w:r>
      <w:r>
        <w:rPr>
          <w:spacing w:val="-2"/>
          <w:sz w:val="24"/>
        </w:rPr>
        <w:t> </w:t>
      </w:r>
      <w:r>
        <w:rPr>
          <w:sz w:val="24"/>
        </w:rPr>
        <w:t>of</w:t>
      </w:r>
      <w:r>
        <w:rPr>
          <w:spacing w:val="-2"/>
          <w:sz w:val="24"/>
        </w:rPr>
        <w:t> </w:t>
      </w:r>
      <w:r>
        <w:rPr>
          <w:sz w:val="24"/>
        </w:rPr>
        <w:t>employees</w:t>
      </w:r>
      <w:r>
        <w:rPr>
          <w:spacing w:val="-3"/>
          <w:sz w:val="24"/>
        </w:rPr>
        <w:t> </w:t>
      </w:r>
      <w:r>
        <w:rPr>
          <w:sz w:val="24"/>
        </w:rPr>
        <w:t>refusing</w:t>
      </w:r>
      <w:r>
        <w:rPr>
          <w:spacing w:val="-3"/>
          <w:sz w:val="24"/>
        </w:rPr>
        <w:t> </w:t>
      </w:r>
      <w:r>
        <w:rPr>
          <w:sz w:val="24"/>
        </w:rPr>
        <w:t>to</w:t>
      </w:r>
      <w:r>
        <w:rPr>
          <w:spacing w:val="-3"/>
          <w:sz w:val="24"/>
        </w:rPr>
        <w:t> </w:t>
      </w:r>
      <w:r>
        <w:rPr>
          <w:sz w:val="24"/>
        </w:rPr>
        <w:t>submit</w:t>
      </w:r>
      <w:r>
        <w:rPr>
          <w:spacing w:val="-4"/>
          <w:sz w:val="24"/>
        </w:rPr>
        <w:t> </w:t>
      </w:r>
      <w:r>
        <w:rPr>
          <w:sz w:val="24"/>
        </w:rPr>
        <w:t>to</w:t>
      </w:r>
      <w:r>
        <w:rPr>
          <w:spacing w:val="-3"/>
          <w:sz w:val="24"/>
        </w:rPr>
        <w:t> </w:t>
      </w:r>
      <w:r>
        <w:rPr>
          <w:spacing w:val="-2"/>
          <w:sz w:val="24"/>
        </w:rPr>
        <w:t>tests;</w:t>
      </w:r>
    </w:p>
    <w:p>
      <w:pPr>
        <w:pStyle w:val="ListParagraph"/>
        <w:numPr>
          <w:ilvl w:val="4"/>
          <w:numId w:val="360"/>
        </w:numPr>
        <w:tabs>
          <w:tab w:pos="2553" w:val="left" w:leader="none"/>
        </w:tabs>
        <w:spacing w:line="208" w:lineRule="auto" w:before="233" w:after="0"/>
        <w:ind w:left="2087" w:right="1040" w:firstLine="0"/>
        <w:jc w:val="left"/>
        <w:rPr>
          <w:sz w:val="24"/>
        </w:rPr>
      </w:pPr>
      <w:r>
        <w:rPr>
          <w:sz w:val="24"/>
        </w:rPr>
        <w:t>number</w:t>
      </w:r>
      <w:r>
        <w:rPr>
          <w:spacing w:val="-4"/>
          <w:sz w:val="24"/>
        </w:rPr>
        <w:t> </w:t>
      </w:r>
      <w:r>
        <w:rPr>
          <w:sz w:val="24"/>
        </w:rPr>
        <w:t>of</w:t>
      </w:r>
      <w:r>
        <w:rPr>
          <w:spacing w:val="-4"/>
          <w:sz w:val="24"/>
        </w:rPr>
        <w:t> </w:t>
      </w:r>
      <w:r>
        <w:rPr>
          <w:sz w:val="24"/>
        </w:rPr>
        <w:t>supervisors</w:t>
      </w:r>
      <w:r>
        <w:rPr>
          <w:spacing w:val="-5"/>
          <w:sz w:val="24"/>
        </w:rPr>
        <w:t> </w:t>
      </w:r>
      <w:r>
        <w:rPr>
          <w:sz w:val="24"/>
        </w:rPr>
        <w:t>who</w:t>
      </w:r>
      <w:r>
        <w:rPr>
          <w:spacing w:val="-5"/>
          <w:sz w:val="24"/>
        </w:rPr>
        <w:t> </w:t>
      </w:r>
      <w:r>
        <w:rPr>
          <w:sz w:val="24"/>
        </w:rPr>
        <w:t>have</w:t>
      </w:r>
      <w:r>
        <w:rPr>
          <w:spacing w:val="-5"/>
          <w:sz w:val="24"/>
        </w:rPr>
        <w:t> </w:t>
      </w:r>
      <w:r>
        <w:rPr>
          <w:sz w:val="24"/>
        </w:rPr>
        <w:t>received</w:t>
      </w:r>
      <w:r>
        <w:rPr>
          <w:spacing w:val="-5"/>
          <w:sz w:val="24"/>
        </w:rPr>
        <w:t> </w:t>
      </w:r>
      <w:r>
        <w:rPr>
          <w:sz w:val="24"/>
        </w:rPr>
        <w:t>alcohol</w:t>
      </w:r>
      <w:r>
        <w:rPr>
          <w:spacing w:val="-5"/>
          <w:sz w:val="24"/>
        </w:rPr>
        <w:t> </w:t>
      </w:r>
      <w:r>
        <w:rPr>
          <w:sz w:val="24"/>
        </w:rPr>
        <w:t>and</w:t>
      </w:r>
      <w:r>
        <w:rPr>
          <w:spacing w:val="-5"/>
          <w:sz w:val="24"/>
        </w:rPr>
        <w:t> </w:t>
      </w:r>
      <w:r>
        <w:rPr>
          <w:sz w:val="24"/>
        </w:rPr>
        <w:t>controlled substances training during the reporting period;</w:t>
      </w:r>
    </w:p>
    <w:p>
      <w:pPr>
        <w:pStyle w:val="ListParagraph"/>
        <w:numPr>
          <w:ilvl w:val="4"/>
          <w:numId w:val="360"/>
        </w:numPr>
        <w:tabs>
          <w:tab w:pos="2446" w:val="left" w:leader="none"/>
        </w:tabs>
        <w:spacing w:line="240" w:lineRule="auto" w:before="210" w:after="0"/>
        <w:ind w:left="2446" w:right="0" w:hanging="359"/>
        <w:jc w:val="left"/>
        <w:rPr>
          <w:sz w:val="24"/>
        </w:rPr>
      </w:pPr>
      <w:r>
        <w:rPr>
          <w:sz w:val="24"/>
        </w:rPr>
        <w:t>number</w:t>
      </w:r>
      <w:r>
        <w:rPr>
          <w:spacing w:val="-4"/>
          <w:sz w:val="24"/>
        </w:rPr>
        <w:t> </w:t>
      </w:r>
      <w:r>
        <w:rPr>
          <w:sz w:val="24"/>
        </w:rPr>
        <w:t>of</w:t>
      </w:r>
      <w:r>
        <w:rPr>
          <w:spacing w:val="-1"/>
          <w:sz w:val="24"/>
        </w:rPr>
        <w:t> </w:t>
      </w:r>
      <w:r>
        <w:rPr>
          <w:sz w:val="24"/>
        </w:rPr>
        <w:t>screening</w:t>
      </w:r>
      <w:r>
        <w:rPr>
          <w:spacing w:val="-3"/>
          <w:sz w:val="24"/>
        </w:rPr>
        <w:t> </w:t>
      </w:r>
      <w:r>
        <w:rPr>
          <w:sz w:val="24"/>
        </w:rPr>
        <w:t>alcohol</w:t>
      </w:r>
      <w:r>
        <w:rPr>
          <w:spacing w:val="-2"/>
          <w:sz w:val="24"/>
        </w:rPr>
        <w:t> </w:t>
      </w:r>
      <w:r>
        <w:rPr>
          <w:sz w:val="24"/>
        </w:rPr>
        <w:t>tests</w:t>
      </w:r>
      <w:r>
        <w:rPr>
          <w:spacing w:val="-2"/>
          <w:sz w:val="24"/>
        </w:rPr>
        <w:t> </w:t>
      </w:r>
      <w:r>
        <w:rPr>
          <w:sz w:val="24"/>
        </w:rPr>
        <w:t>by</w:t>
      </w:r>
      <w:r>
        <w:rPr>
          <w:spacing w:val="-3"/>
          <w:sz w:val="24"/>
        </w:rPr>
        <w:t> </w:t>
      </w:r>
      <w:r>
        <w:rPr>
          <w:sz w:val="24"/>
        </w:rPr>
        <w:t>type</w:t>
      </w:r>
      <w:r>
        <w:rPr>
          <w:spacing w:val="-2"/>
          <w:sz w:val="24"/>
        </w:rPr>
        <w:t> </w:t>
      </w:r>
      <w:r>
        <w:rPr>
          <w:sz w:val="24"/>
        </w:rPr>
        <w:t>of</w:t>
      </w:r>
      <w:r>
        <w:rPr>
          <w:spacing w:val="-1"/>
          <w:sz w:val="24"/>
        </w:rPr>
        <w:t> </w:t>
      </w:r>
      <w:r>
        <w:rPr>
          <w:spacing w:val="-2"/>
          <w:sz w:val="24"/>
        </w:rPr>
        <w:t>test;</w:t>
      </w:r>
    </w:p>
    <w:p>
      <w:pPr>
        <w:pStyle w:val="ListParagraph"/>
        <w:numPr>
          <w:ilvl w:val="4"/>
          <w:numId w:val="360"/>
        </w:numPr>
        <w:tabs>
          <w:tab w:pos="2500" w:val="left" w:leader="none"/>
        </w:tabs>
        <w:spacing w:line="240" w:lineRule="auto" w:before="204" w:after="0"/>
        <w:ind w:left="2500" w:right="0" w:hanging="413"/>
        <w:jc w:val="left"/>
        <w:rPr>
          <w:sz w:val="24"/>
        </w:rPr>
      </w:pPr>
      <w:r>
        <w:rPr>
          <w:sz w:val="24"/>
        </w:rPr>
        <w:t>number</w:t>
      </w:r>
      <w:r>
        <w:rPr>
          <w:spacing w:val="-6"/>
          <w:sz w:val="24"/>
        </w:rPr>
        <w:t> </w:t>
      </w:r>
      <w:r>
        <w:rPr>
          <w:sz w:val="24"/>
        </w:rPr>
        <w:t>of</w:t>
      </w:r>
      <w:r>
        <w:rPr>
          <w:spacing w:val="-2"/>
          <w:sz w:val="24"/>
        </w:rPr>
        <w:t> </w:t>
      </w:r>
      <w:r>
        <w:rPr>
          <w:sz w:val="24"/>
        </w:rPr>
        <w:t>confirmation</w:t>
      </w:r>
      <w:r>
        <w:rPr>
          <w:spacing w:val="-2"/>
          <w:sz w:val="24"/>
        </w:rPr>
        <w:t> </w:t>
      </w:r>
      <w:r>
        <w:rPr>
          <w:sz w:val="24"/>
        </w:rPr>
        <w:t>alcohol</w:t>
      </w:r>
      <w:r>
        <w:rPr>
          <w:spacing w:val="-3"/>
          <w:sz w:val="24"/>
        </w:rPr>
        <w:t> </w:t>
      </w:r>
      <w:r>
        <w:rPr>
          <w:sz w:val="24"/>
        </w:rPr>
        <w:t>tests</w:t>
      </w:r>
      <w:r>
        <w:rPr>
          <w:spacing w:val="-3"/>
          <w:sz w:val="24"/>
        </w:rPr>
        <w:t> </w:t>
      </w:r>
      <w:r>
        <w:rPr>
          <w:sz w:val="24"/>
        </w:rPr>
        <w:t>by</w:t>
      </w:r>
      <w:r>
        <w:rPr>
          <w:spacing w:val="-3"/>
          <w:sz w:val="24"/>
        </w:rPr>
        <w:t> </w:t>
      </w:r>
      <w:r>
        <w:rPr>
          <w:sz w:val="24"/>
        </w:rPr>
        <w:t>type</w:t>
      </w:r>
      <w:r>
        <w:rPr>
          <w:spacing w:val="-3"/>
          <w:sz w:val="24"/>
        </w:rPr>
        <w:t> </w:t>
      </w:r>
      <w:r>
        <w:rPr>
          <w:sz w:val="24"/>
        </w:rPr>
        <w:t>of</w:t>
      </w:r>
      <w:r>
        <w:rPr>
          <w:spacing w:val="-1"/>
          <w:sz w:val="24"/>
        </w:rPr>
        <w:t> </w:t>
      </w:r>
      <w:r>
        <w:rPr>
          <w:spacing w:val="-2"/>
          <w:sz w:val="24"/>
        </w:rPr>
        <w:t>test;</w:t>
      </w:r>
    </w:p>
    <w:p>
      <w:pPr>
        <w:pStyle w:val="ListParagraph"/>
        <w:numPr>
          <w:ilvl w:val="4"/>
          <w:numId w:val="360"/>
        </w:numPr>
        <w:tabs>
          <w:tab w:pos="2540" w:val="left" w:leader="none"/>
        </w:tabs>
        <w:spacing w:line="258" w:lineRule="exact" w:before="204" w:after="0"/>
        <w:ind w:left="2540" w:right="0" w:hanging="453"/>
        <w:jc w:val="left"/>
        <w:rPr>
          <w:sz w:val="24"/>
        </w:rPr>
      </w:pPr>
      <w:r>
        <w:rPr>
          <w:sz w:val="24"/>
        </w:rPr>
        <w:t>number</w:t>
      </w:r>
      <w:r>
        <w:rPr>
          <w:spacing w:val="-6"/>
          <w:sz w:val="24"/>
        </w:rPr>
        <w:t> </w:t>
      </w:r>
      <w:r>
        <w:rPr>
          <w:sz w:val="24"/>
        </w:rPr>
        <w:t>of</w:t>
      </w:r>
      <w:r>
        <w:rPr>
          <w:spacing w:val="-3"/>
          <w:sz w:val="24"/>
        </w:rPr>
        <w:t> </w:t>
      </w:r>
      <w:r>
        <w:rPr>
          <w:sz w:val="24"/>
        </w:rPr>
        <w:t>confirmation</w:t>
      </w:r>
      <w:r>
        <w:rPr>
          <w:spacing w:val="-4"/>
          <w:sz w:val="24"/>
        </w:rPr>
        <w:t> </w:t>
      </w:r>
      <w:r>
        <w:rPr>
          <w:sz w:val="24"/>
        </w:rPr>
        <w:t>alcohol</w:t>
      </w:r>
      <w:r>
        <w:rPr>
          <w:spacing w:val="-5"/>
          <w:sz w:val="24"/>
        </w:rPr>
        <w:t> </w:t>
      </w:r>
      <w:r>
        <w:rPr>
          <w:sz w:val="24"/>
        </w:rPr>
        <w:t>tests</w:t>
      </w:r>
      <w:r>
        <w:rPr>
          <w:spacing w:val="-4"/>
          <w:sz w:val="24"/>
        </w:rPr>
        <w:t> </w:t>
      </w:r>
      <w:r>
        <w:rPr>
          <w:sz w:val="24"/>
        </w:rPr>
        <w:t>showing</w:t>
      </w:r>
      <w:r>
        <w:rPr>
          <w:spacing w:val="-4"/>
          <w:sz w:val="24"/>
        </w:rPr>
        <w:t> </w:t>
      </w:r>
      <w:r>
        <w:rPr>
          <w:sz w:val="24"/>
        </w:rPr>
        <w:t>concentrations</w:t>
      </w:r>
      <w:r>
        <w:rPr>
          <w:spacing w:val="-4"/>
          <w:sz w:val="24"/>
        </w:rPr>
        <w:t> </w:t>
      </w:r>
      <w:r>
        <w:rPr>
          <w:spacing w:val="-5"/>
          <w:sz w:val="24"/>
        </w:rPr>
        <w:t>of</w:t>
      </w:r>
    </w:p>
    <w:p>
      <w:pPr>
        <w:pStyle w:val="BodyText"/>
        <w:spacing w:line="258" w:lineRule="exact" w:before="0"/>
        <w:ind w:left="2087"/>
      </w:pPr>
      <w:r>
        <w:rPr/>
        <w:t>0.02</w:t>
      </w:r>
      <w:r>
        <w:rPr>
          <w:spacing w:val="-5"/>
        </w:rPr>
        <w:t> </w:t>
      </w:r>
      <w:r>
        <w:rPr/>
        <w:t>or</w:t>
      </w:r>
      <w:r>
        <w:rPr>
          <w:spacing w:val="-1"/>
        </w:rPr>
        <w:t> </w:t>
      </w:r>
      <w:r>
        <w:rPr/>
        <w:t>greater</w:t>
      </w:r>
      <w:r>
        <w:rPr>
          <w:spacing w:val="-1"/>
        </w:rPr>
        <w:t> </w:t>
      </w:r>
      <w:r>
        <w:rPr/>
        <w:t>but</w:t>
      </w:r>
      <w:r>
        <w:rPr>
          <w:spacing w:val="-1"/>
        </w:rPr>
        <w:t> </w:t>
      </w:r>
      <w:r>
        <w:rPr/>
        <w:t>less</w:t>
      </w:r>
      <w:r>
        <w:rPr>
          <w:spacing w:val="-2"/>
        </w:rPr>
        <w:t> </w:t>
      </w:r>
      <w:r>
        <w:rPr/>
        <w:t>than</w:t>
      </w:r>
      <w:r>
        <w:rPr>
          <w:spacing w:val="-2"/>
        </w:rPr>
        <w:t> </w:t>
      </w:r>
      <w:r>
        <w:rPr/>
        <w:t>0.04</w:t>
      </w:r>
      <w:r>
        <w:rPr>
          <w:spacing w:val="-2"/>
        </w:rPr>
        <w:t> </w:t>
      </w:r>
      <w:r>
        <w:rPr/>
        <w:t>by</w:t>
      </w:r>
      <w:r>
        <w:rPr>
          <w:spacing w:val="-2"/>
        </w:rPr>
        <w:t> </w:t>
      </w:r>
      <w:r>
        <w:rPr/>
        <w:t>type</w:t>
      </w:r>
      <w:r>
        <w:rPr>
          <w:spacing w:val="-2"/>
        </w:rPr>
        <w:t> </w:t>
      </w:r>
      <w:r>
        <w:rPr/>
        <w:t>of</w:t>
      </w:r>
      <w:r>
        <w:rPr>
          <w:spacing w:val="-4"/>
        </w:rPr>
        <w:t> </w:t>
      </w:r>
      <w:r>
        <w:rPr>
          <w:spacing w:val="-2"/>
        </w:rPr>
        <w:t>test;</w:t>
      </w:r>
    </w:p>
    <w:p>
      <w:pPr>
        <w:pStyle w:val="BodyText"/>
        <w:spacing w:after="0" w:line="258" w:lineRule="exact"/>
        <w:sectPr>
          <w:pgSz w:w="12240" w:h="15840"/>
          <w:pgMar w:top="1340" w:bottom="280" w:left="1080" w:right="720"/>
        </w:sectPr>
      </w:pPr>
    </w:p>
    <w:p>
      <w:pPr>
        <w:pStyle w:val="ListParagraph"/>
        <w:numPr>
          <w:ilvl w:val="4"/>
          <w:numId w:val="360"/>
        </w:numPr>
        <w:tabs>
          <w:tab w:pos="2514" w:val="left" w:leader="none"/>
        </w:tabs>
        <w:spacing w:line="208" w:lineRule="auto" w:before="96" w:after="0"/>
        <w:ind w:left="2088" w:right="1120" w:firstLine="0"/>
        <w:jc w:val="left"/>
        <w:rPr>
          <w:sz w:val="24"/>
        </w:rPr>
      </w:pPr>
      <w:r>
        <w:rPr>
          <w:sz w:val="24"/>
        </w:rPr>
        <w:t>number of employees returned to duty after complying with recommendations of a substance abuse professional and after the driver</w:t>
      </w:r>
      <w:r>
        <w:rPr>
          <w:spacing w:val="-4"/>
          <w:sz w:val="24"/>
        </w:rPr>
        <w:t> </w:t>
      </w:r>
      <w:r>
        <w:rPr>
          <w:sz w:val="24"/>
        </w:rPr>
        <w:t>had</w:t>
      </w:r>
      <w:r>
        <w:rPr>
          <w:spacing w:val="-5"/>
          <w:sz w:val="24"/>
        </w:rPr>
        <w:t> </w:t>
      </w:r>
      <w:r>
        <w:rPr>
          <w:sz w:val="24"/>
        </w:rPr>
        <w:t>a</w:t>
      </w:r>
      <w:r>
        <w:rPr>
          <w:spacing w:val="-5"/>
          <w:sz w:val="24"/>
        </w:rPr>
        <w:t> </w:t>
      </w:r>
      <w:r>
        <w:rPr>
          <w:sz w:val="24"/>
        </w:rPr>
        <w:t>verified</w:t>
      </w:r>
      <w:r>
        <w:rPr>
          <w:spacing w:val="-5"/>
          <w:sz w:val="24"/>
        </w:rPr>
        <w:t> </w:t>
      </w:r>
      <w:r>
        <w:rPr>
          <w:sz w:val="24"/>
        </w:rPr>
        <w:t>positive</w:t>
      </w:r>
      <w:r>
        <w:rPr>
          <w:spacing w:val="-5"/>
          <w:sz w:val="24"/>
        </w:rPr>
        <w:t> </w:t>
      </w:r>
      <w:r>
        <w:rPr>
          <w:sz w:val="24"/>
        </w:rPr>
        <w:t>controlled</w:t>
      </w:r>
      <w:r>
        <w:rPr>
          <w:spacing w:val="-5"/>
          <w:sz w:val="24"/>
        </w:rPr>
        <w:t> </w:t>
      </w:r>
      <w:r>
        <w:rPr>
          <w:sz w:val="24"/>
        </w:rPr>
        <w:t>substances</w:t>
      </w:r>
      <w:r>
        <w:rPr>
          <w:spacing w:val="-5"/>
          <w:sz w:val="24"/>
        </w:rPr>
        <w:t> </w:t>
      </w:r>
      <w:r>
        <w:rPr>
          <w:sz w:val="24"/>
        </w:rPr>
        <w:t>test</w:t>
      </w:r>
      <w:r>
        <w:rPr>
          <w:spacing w:val="-5"/>
          <w:sz w:val="24"/>
        </w:rPr>
        <w:t> </w:t>
      </w:r>
      <w:r>
        <w:rPr>
          <w:sz w:val="24"/>
        </w:rPr>
        <w:t>result</w:t>
      </w:r>
      <w:r>
        <w:rPr>
          <w:spacing w:val="-4"/>
          <w:sz w:val="24"/>
        </w:rPr>
        <w:t> </w:t>
      </w:r>
      <w:r>
        <w:rPr>
          <w:sz w:val="24"/>
        </w:rPr>
        <w:t>or</w:t>
      </w:r>
      <w:r>
        <w:rPr>
          <w:spacing w:val="-4"/>
          <w:sz w:val="24"/>
        </w:rPr>
        <w:t> </w:t>
      </w:r>
      <w:r>
        <w:rPr>
          <w:sz w:val="24"/>
        </w:rPr>
        <w:t>had engaged in prohibited alcohol misuse;</w:t>
      </w:r>
    </w:p>
    <w:p>
      <w:pPr>
        <w:pStyle w:val="ListParagraph"/>
        <w:numPr>
          <w:ilvl w:val="4"/>
          <w:numId w:val="360"/>
        </w:numPr>
        <w:tabs>
          <w:tab w:pos="2581" w:val="left" w:leader="none"/>
        </w:tabs>
        <w:spacing w:line="208" w:lineRule="auto" w:before="239" w:after="0"/>
        <w:ind w:left="2088" w:right="1027" w:firstLine="0"/>
        <w:jc w:val="left"/>
        <w:rPr>
          <w:sz w:val="24"/>
        </w:rPr>
      </w:pPr>
      <w:r>
        <w:rPr>
          <w:sz w:val="24"/>
        </w:rPr>
        <w:t>number</w:t>
      </w:r>
      <w:r>
        <w:rPr>
          <w:spacing w:val="-4"/>
          <w:sz w:val="24"/>
        </w:rPr>
        <w:t> </w:t>
      </w:r>
      <w:r>
        <w:rPr>
          <w:sz w:val="24"/>
        </w:rPr>
        <w:t>of</w:t>
      </w:r>
      <w:r>
        <w:rPr>
          <w:spacing w:val="-4"/>
          <w:sz w:val="24"/>
        </w:rPr>
        <w:t> </w:t>
      </w:r>
      <w:r>
        <w:rPr>
          <w:sz w:val="24"/>
        </w:rPr>
        <w:t>employees</w:t>
      </w:r>
      <w:r>
        <w:rPr>
          <w:spacing w:val="-5"/>
          <w:sz w:val="24"/>
        </w:rPr>
        <w:t> </w:t>
      </w:r>
      <w:r>
        <w:rPr>
          <w:sz w:val="24"/>
        </w:rPr>
        <w:t>administered</w:t>
      </w:r>
      <w:r>
        <w:rPr>
          <w:spacing w:val="-5"/>
          <w:sz w:val="24"/>
        </w:rPr>
        <w:t> </w:t>
      </w:r>
      <w:r>
        <w:rPr>
          <w:sz w:val="24"/>
        </w:rPr>
        <w:t>alcohol</w:t>
      </w:r>
      <w:r>
        <w:rPr>
          <w:spacing w:val="-5"/>
          <w:sz w:val="24"/>
        </w:rPr>
        <w:t> </w:t>
      </w:r>
      <w:r>
        <w:rPr>
          <w:sz w:val="24"/>
        </w:rPr>
        <w:t>and</w:t>
      </w:r>
      <w:r>
        <w:rPr>
          <w:spacing w:val="-5"/>
          <w:sz w:val="24"/>
        </w:rPr>
        <w:t> </w:t>
      </w:r>
      <w:r>
        <w:rPr>
          <w:sz w:val="24"/>
        </w:rPr>
        <w:t>drug</w:t>
      </w:r>
      <w:r>
        <w:rPr>
          <w:spacing w:val="-5"/>
          <w:sz w:val="24"/>
        </w:rPr>
        <w:t> </w:t>
      </w:r>
      <w:r>
        <w:rPr>
          <w:sz w:val="24"/>
        </w:rPr>
        <w:t>tests</w:t>
      </w:r>
      <w:r>
        <w:rPr>
          <w:spacing w:val="-5"/>
          <w:sz w:val="24"/>
        </w:rPr>
        <w:t> </w:t>
      </w:r>
      <w:r>
        <w:rPr>
          <w:sz w:val="24"/>
        </w:rPr>
        <w:t>at</w:t>
      </w:r>
      <w:r>
        <w:rPr>
          <w:spacing w:val="-4"/>
          <w:sz w:val="24"/>
        </w:rPr>
        <w:t> </w:t>
      </w:r>
      <w:r>
        <w:rPr>
          <w:sz w:val="24"/>
        </w:rPr>
        <w:t>the same time, with both a positive drug test result and an alcohol test result showing a concentration of 0.04 or greater; and</w:t>
      </w:r>
    </w:p>
    <w:p>
      <w:pPr>
        <w:pStyle w:val="ListParagraph"/>
        <w:numPr>
          <w:ilvl w:val="4"/>
          <w:numId w:val="360"/>
        </w:numPr>
        <w:tabs>
          <w:tab w:pos="2553" w:val="left" w:leader="none"/>
        </w:tabs>
        <w:spacing w:line="208" w:lineRule="auto" w:before="240" w:after="0"/>
        <w:ind w:left="2087" w:right="1067" w:firstLine="0"/>
        <w:jc w:val="left"/>
        <w:rPr>
          <w:sz w:val="24"/>
        </w:rPr>
      </w:pPr>
      <w:r>
        <w:rPr>
          <w:sz w:val="24"/>
        </w:rPr>
        <w:t>number</w:t>
      </w:r>
      <w:r>
        <w:rPr>
          <w:spacing w:val="-4"/>
          <w:sz w:val="24"/>
        </w:rPr>
        <w:t> </w:t>
      </w:r>
      <w:r>
        <w:rPr>
          <w:sz w:val="24"/>
        </w:rPr>
        <w:t>of</w:t>
      </w:r>
      <w:r>
        <w:rPr>
          <w:spacing w:val="-4"/>
          <w:sz w:val="24"/>
        </w:rPr>
        <w:t> </w:t>
      </w:r>
      <w:r>
        <w:rPr>
          <w:sz w:val="24"/>
        </w:rPr>
        <w:t>employees</w:t>
      </w:r>
      <w:r>
        <w:rPr>
          <w:spacing w:val="-4"/>
          <w:sz w:val="24"/>
        </w:rPr>
        <w:t> </w:t>
      </w:r>
      <w:r>
        <w:rPr>
          <w:sz w:val="24"/>
        </w:rPr>
        <w:t>who</w:t>
      </w:r>
      <w:r>
        <w:rPr>
          <w:spacing w:val="-4"/>
          <w:sz w:val="24"/>
        </w:rPr>
        <w:t> </w:t>
      </w:r>
      <w:r>
        <w:rPr>
          <w:sz w:val="24"/>
        </w:rPr>
        <w:t>were</w:t>
      </w:r>
      <w:r>
        <w:rPr>
          <w:spacing w:val="-4"/>
          <w:sz w:val="24"/>
        </w:rPr>
        <w:t> </w:t>
      </w:r>
      <w:r>
        <w:rPr>
          <w:sz w:val="24"/>
        </w:rPr>
        <w:t>found</w:t>
      </w:r>
      <w:r>
        <w:rPr>
          <w:spacing w:val="-4"/>
          <w:sz w:val="24"/>
        </w:rPr>
        <w:t> </w:t>
      </w:r>
      <w:r>
        <w:rPr>
          <w:sz w:val="24"/>
        </w:rPr>
        <w:t>to</w:t>
      </w:r>
      <w:r>
        <w:rPr>
          <w:spacing w:val="-4"/>
          <w:sz w:val="24"/>
        </w:rPr>
        <w:t> </w:t>
      </w:r>
      <w:r>
        <w:rPr>
          <w:sz w:val="24"/>
        </w:rPr>
        <w:t>have</w:t>
      </w:r>
      <w:r>
        <w:rPr>
          <w:spacing w:val="-4"/>
          <w:sz w:val="24"/>
        </w:rPr>
        <w:t> </w:t>
      </w:r>
      <w:r>
        <w:rPr>
          <w:sz w:val="24"/>
        </w:rPr>
        <w:t>violated</w:t>
      </w:r>
      <w:r>
        <w:rPr>
          <w:spacing w:val="-4"/>
          <w:sz w:val="24"/>
        </w:rPr>
        <w:t> </w:t>
      </w:r>
      <w:r>
        <w:rPr>
          <w:sz w:val="24"/>
        </w:rPr>
        <w:t>any</w:t>
      </w:r>
      <w:r>
        <w:rPr>
          <w:spacing w:val="-4"/>
          <w:sz w:val="24"/>
        </w:rPr>
        <w:t> </w:t>
      </w:r>
      <w:r>
        <w:rPr>
          <w:sz w:val="24"/>
        </w:rPr>
        <w:t>non- testing</w:t>
      </w:r>
      <w:r>
        <w:rPr>
          <w:spacing w:val="-3"/>
          <w:sz w:val="24"/>
        </w:rPr>
        <w:t> </w:t>
      </w:r>
      <w:r>
        <w:rPr>
          <w:sz w:val="24"/>
        </w:rPr>
        <w:t>prohibitions</w:t>
      </w:r>
      <w:r>
        <w:rPr>
          <w:spacing w:val="-3"/>
          <w:sz w:val="24"/>
        </w:rPr>
        <w:t> </w:t>
      </w:r>
      <w:r>
        <w:rPr>
          <w:sz w:val="24"/>
        </w:rPr>
        <w:t>and</w:t>
      </w:r>
      <w:r>
        <w:rPr>
          <w:spacing w:val="-3"/>
          <w:sz w:val="24"/>
        </w:rPr>
        <w:t> </w:t>
      </w:r>
      <w:r>
        <w:rPr>
          <w:sz w:val="24"/>
        </w:rPr>
        <w:t>any</w:t>
      </w:r>
      <w:r>
        <w:rPr>
          <w:spacing w:val="-3"/>
          <w:sz w:val="24"/>
        </w:rPr>
        <w:t> </w:t>
      </w:r>
      <w:r>
        <w:rPr>
          <w:sz w:val="24"/>
        </w:rPr>
        <w:t>action</w:t>
      </w:r>
      <w:r>
        <w:rPr>
          <w:spacing w:val="-3"/>
          <w:sz w:val="24"/>
        </w:rPr>
        <w:t> </w:t>
      </w:r>
      <w:r>
        <w:rPr>
          <w:sz w:val="24"/>
        </w:rPr>
        <w:t>taken</w:t>
      </w:r>
      <w:r>
        <w:rPr>
          <w:spacing w:val="-3"/>
          <w:sz w:val="24"/>
        </w:rPr>
        <w:t> </w:t>
      </w:r>
      <w:r>
        <w:rPr>
          <w:sz w:val="24"/>
        </w:rPr>
        <w:t>in</w:t>
      </w:r>
      <w:r>
        <w:rPr>
          <w:spacing w:val="-3"/>
          <w:sz w:val="24"/>
        </w:rPr>
        <w:t> </w:t>
      </w:r>
      <w:r>
        <w:rPr>
          <w:sz w:val="24"/>
        </w:rPr>
        <w:t>response</w:t>
      </w:r>
      <w:r>
        <w:rPr>
          <w:spacing w:val="-3"/>
          <w:sz w:val="24"/>
        </w:rPr>
        <w:t> </w:t>
      </w:r>
      <w:r>
        <w:rPr>
          <w:sz w:val="24"/>
        </w:rPr>
        <w:t>to</w:t>
      </w:r>
      <w:r>
        <w:rPr>
          <w:spacing w:val="-3"/>
          <w:sz w:val="24"/>
        </w:rPr>
        <w:t> </w:t>
      </w:r>
      <w:r>
        <w:rPr>
          <w:sz w:val="24"/>
        </w:rPr>
        <w:t>the</w:t>
      </w:r>
      <w:r>
        <w:rPr>
          <w:spacing w:val="-3"/>
          <w:sz w:val="24"/>
        </w:rPr>
        <w:t> </w:t>
      </w:r>
      <w:r>
        <w:rPr>
          <w:sz w:val="24"/>
        </w:rPr>
        <w:t>violation.</w:t>
      </w:r>
    </w:p>
    <w:p>
      <w:pPr>
        <w:pStyle w:val="ListParagraph"/>
        <w:numPr>
          <w:ilvl w:val="3"/>
          <w:numId w:val="360"/>
        </w:numPr>
        <w:tabs>
          <w:tab w:pos="2082" w:val="left" w:leader="none"/>
        </w:tabs>
        <w:spacing w:line="208" w:lineRule="auto" w:before="240" w:after="0"/>
        <w:ind w:left="1656" w:right="736" w:firstLine="0"/>
        <w:jc w:val="left"/>
        <w:rPr>
          <w:sz w:val="24"/>
        </w:rPr>
      </w:pPr>
      <w:r>
        <w:rPr>
          <w:sz w:val="24"/>
        </w:rPr>
        <w:t>An</w:t>
      </w:r>
      <w:r>
        <w:rPr>
          <w:spacing w:val="-5"/>
          <w:sz w:val="24"/>
        </w:rPr>
        <w:t> </w:t>
      </w:r>
      <w:r>
        <w:rPr>
          <w:sz w:val="24"/>
        </w:rPr>
        <w:t>annual</w:t>
      </w:r>
      <w:r>
        <w:rPr>
          <w:spacing w:val="-5"/>
          <w:sz w:val="24"/>
        </w:rPr>
        <w:t> </w:t>
      </w:r>
      <w:r>
        <w:rPr>
          <w:sz w:val="24"/>
        </w:rPr>
        <w:t>summary</w:t>
      </w:r>
      <w:r>
        <w:rPr>
          <w:spacing w:val="-5"/>
          <w:sz w:val="24"/>
        </w:rPr>
        <w:t> </w:t>
      </w:r>
      <w:r>
        <w:rPr>
          <w:sz w:val="24"/>
        </w:rPr>
        <w:t>containing</w:t>
      </w:r>
      <w:r>
        <w:rPr>
          <w:spacing w:val="-5"/>
          <w:sz w:val="24"/>
        </w:rPr>
        <w:t> </w:t>
      </w:r>
      <w:r>
        <w:rPr>
          <w:sz w:val="24"/>
        </w:rPr>
        <w:t>only</w:t>
      </w:r>
      <w:r>
        <w:rPr>
          <w:spacing w:val="-5"/>
          <w:sz w:val="24"/>
        </w:rPr>
        <w:t> </w:t>
      </w:r>
      <w:r>
        <w:rPr>
          <w:sz w:val="24"/>
        </w:rPr>
        <w:t>negative</w:t>
      </w:r>
      <w:r>
        <w:rPr>
          <w:spacing w:val="-5"/>
          <w:sz w:val="24"/>
        </w:rPr>
        <w:t> </w:t>
      </w:r>
      <w:r>
        <w:rPr>
          <w:sz w:val="24"/>
        </w:rPr>
        <w:t>controlled</w:t>
      </w:r>
      <w:r>
        <w:rPr>
          <w:spacing w:val="-5"/>
          <w:sz w:val="24"/>
        </w:rPr>
        <w:t> </w:t>
      </w:r>
      <w:r>
        <w:rPr>
          <w:sz w:val="24"/>
        </w:rPr>
        <w:t>substances</w:t>
      </w:r>
      <w:r>
        <w:rPr>
          <w:spacing w:val="-5"/>
          <w:sz w:val="24"/>
        </w:rPr>
        <w:t> </w:t>
      </w:r>
      <w:r>
        <w:rPr>
          <w:sz w:val="24"/>
        </w:rPr>
        <w:t>test results, alcohol screening test results or less than 0.02, and not containing any other violations, shall include:</w:t>
      </w:r>
    </w:p>
    <w:p>
      <w:pPr>
        <w:pStyle w:val="ListParagraph"/>
        <w:numPr>
          <w:ilvl w:val="4"/>
          <w:numId w:val="360"/>
        </w:numPr>
        <w:tabs>
          <w:tab w:pos="2518" w:val="left" w:leader="none"/>
        </w:tabs>
        <w:spacing w:line="240" w:lineRule="auto" w:before="210" w:after="0"/>
        <w:ind w:left="2518" w:right="0" w:hanging="430"/>
        <w:jc w:val="left"/>
        <w:rPr>
          <w:sz w:val="24"/>
        </w:rPr>
      </w:pPr>
      <w:r>
        <w:rPr>
          <w:sz w:val="24"/>
        </w:rPr>
        <w:t>number</w:t>
      </w:r>
      <w:r>
        <w:rPr>
          <w:spacing w:val="-2"/>
          <w:sz w:val="24"/>
        </w:rPr>
        <w:t> </w:t>
      </w:r>
      <w:r>
        <w:rPr>
          <w:sz w:val="24"/>
        </w:rPr>
        <w:t>of</w:t>
      </w:r>
      <w:r>
        <w:rPr>
          <w:spacing w:val="-4"/>
          <w:sz w:val="24"/>
        </w:rPr>
        <w:t> </w:t>
      </w:r>
      <w:r>
        <w:rPr>
          <w:sz w:val="24"/>
        </w:rPr>
        <w:t>employees</w:t>
      </w:r>
      <w:r>
        <w:rPr>
          <w:spacing w:val="-2"/>
          <w:sz w:val="24"/>
        </w:rPr>
        <w:t> </w:t>
      </w:r>
      <w:r>
        <w:rPr>
          <w:sz w:val="24"/>
        </w:rPr>
        <w:t>subject</w:t>
      </w:r>
      <w:r>
        <w:rPr>
          <w:spacing w:val="-2"/>
          <w:sz w:val="24"/>
        </w:rPr>
        <w:t> </w:t>
      </w:r>
      <w:r>
        <w:rPr>
          <w:sz w:val="24"/>
        </w:rPr>
        <w:t>to</w:t>
      </w:r>
      <w:r>
        <w:rPr>
          <w:spacing w:val="-3"/>
          <w:sz w:val="24"/>
        </w:rPr>
        <w:t> </w:t>
      </w:r>
      <w:r>
        <w:rPr>
          <w:sz w:val="24"/>
        </w:rPr>
        <w:t>the</w:t>
      </w:r>
      <w:r>
        <w:rPr>
          <w:spacing w:val="-2"/>
          <w:sz w:val="24"/>
        </w:rPr>
        <w:t> </w:t>
      </w:r>
      <w:r>
        <w:rPr>
          <w:spacing w:val="-4"/>
          <w:sz w:val="24"/>
        </w:rPr>
        <w:t>law;</w:t>
      </w:r>
    </w:p>
    <w:p>
      <w:pPr>
        <w:pStyle w:val="ListParagraph"/>
        <w:numPr>
          <w:ilvl w:val="4"/>
          <w:numId w:val="360"/>
        </w:numPr>
        <w:tabs>
          <w:tab w:pos="2518" w:val="left" w:leader="none"/>
        </w:tabs>
        <w:spacing w:line="240" w:lineRule="auto" w:before="204" w:after="0"/>
        <w:ind w:left="2518" w:right="0" w:hanging="430"/>
        <w:jc w:val="left"/>
        <w:rPr>
          <w:sz w:val="24"/>
        </w:rPr>
      </w:pPr>
      <w:r>
        <w:rPr>
          <w:sz w:val="24"/>
        </w:rPr>
        <w:t>number</w:t>
      </w:r>
      <w:r>
        <w:rPr>
          <w:spacing w:val="-2"/>
          <w:sz w:val="24"/>
        </w:rPr>
        <w:t> </w:t>
      </w:r>
      <w:r>
        <w:rPr>
          <w:sz w:val="24"/>
        </w:rPr>
        <w:t>of</w:t>
      </w:r>
      <w:r>
        <w:rPr>
          <w:spacing w:val="-3"/>
          <w:sz w:val="24"/>
        </w:rPr>
        <w:t> </w:t>
      </w:r>
      <w:r>
        <w:rPr>
          <w:sz w:val="24"/>
        </w:rPr>
        <w:t>urine</w:t>
      </w:r>
      <w:r>
        <w:rPr>
          <w:spacing w:val="-3"/>
          <w:sz w:val="24"/>
        </w:rPr>
        <w:t> </w:t>
      </w:r>
      <w:r>
        <w:rPr>
          <w:sz w:val="24"/>
        </w:rPr>
        <w:t>specimens</w:t>
      </w:r>
      <w:r>
        <w:rPr>
          <w:spacing w:val="-2"/>
          <w:sz w:val="24"/>
        </w:rPr>
        <w:t> </w:t>
      </w:r>
      <w:r>
        <w:rPr>
          <w:sz w:val="24"/>
        </w:rPr>
        <w:t>collected</w:t>
      </w:r>
      <w:r>
        <w:rPr>
          <w:spacing w:val="-3"/>
          <w:sz w:val="24"/>
        </w:rPr>
        <w:t> </w:t>
      </w:r>
      <w:r>
        <w:rPr>
          <w:sz w:val="24"/>
        </w:rPr>
        <w:t>by</w:t>
      </w:r>
      <w:r>
        <w:rPr>
          <w:spacing w:val="-2"/>
          <w:sz w:val="24"/>
        </w:rPr>
        <w:t> </w:t>
      </w:r>
      <w:r>
        <w:rPr>
          <w:sz w:val="24"/>
        </w:rPr>
        <w:t>type</w:t>
      </w:r>
      <w:r>
        <w:rPr>
          <w:spacing w:val="-3"/>
          <w:sz w:val="24"/>
        </w:rPr>
        <w:t> </w:t>
      </w:r>
      <w:r>
        <w:rPr>
          <w:sz w:val="24"/>
        </w:rPr>
        <w:t>of</w:t>
      </w:r>
      <w:r>
        <w:rPr>
          <w:spacing w:val="-1"/>
          <w:sz w:val="24"/>
        </w:rPr>
        <w:t> </w:t>
      </w:r>
      <w:r>
        <w:rPr>
          <w:spacing w:val="-2"/>
          <w:sz w:val="24"/>
        </w:rPr>
        <w:t>test;</w:t>
      </w:r>
    </w:p>
    <w:p>
      <w:pPr>
        <w:pStyle w:val="ListParagraph"/>
        <w:numPr>
          <w:ilvl w:val="4"/>
          <w:numId w:val="360"/>
        </w:numPr>
        <w:tabs>
          <w:tab w:pos="2518" w:val="left" w:leader="none"/>
        </w:tabs>
        <w:spacing w:line="208" w:lineRule="auto" w:before="234" w:after="0"/>
        <w:ind w:left="2088" w:right="1540" w:firstLine="0"/>
        <w:jc w:val="left"/>
        <w:rPr>
          <w:sz w:val="24"/>
        </w:rPr>
      </w:pPr>
      <w:r>
        <w:rPr>
          <w:sz w:val="24"/>
        </w:rPr>
        <w:t>number</w:t>
      </w:r>
      <w:r>
        <w:rPr>
          <w:spacing w:val="-4"/>
          <w:sz w:val="24"/>
        </w:rPr>
        <w:t> </w:t>
      </w:r>
      <w:r>
        <w:rPr>
          <w:sz w:val="24"/>
        </w:rPr>
        <w:t>of</w:t>
      </w:r>
      <w:r>
        <w:rPr>
          <w:spacing w:val="-6"/>
          <w:sz w:val="24"/>
        </w:rPr>
        <w:t> </w:t>
      </w:r>
      <w:r>
        <w:rPr>
          <w:sz w:val="24"/>
        </w:rPr>
        <w:t>negative</w:t>
      </w:r>
      <w:r>
        <w:rPr>
          <w:spacing w:val="-5"/>
          <w:sz w:val="24"/>
        </w:rPr>
        <w:t> </w:t>
      </w:r>
      <w:r>
        <w:rPr>
          <w:sz w:val="24"/>
        </w:rPr>
        <w:t>controlled</w:t>
      </w:r>
      <w:r>
        <w:rPr>
          <w:spacing w:val="-5"/>
          <w:sz w:val="24"/>
        </w:rPr>
        <w:t> </w:t>
      </w:r>
      <w:r>
        <w:rPr>
          <w:sz w:val="24"/>
        </w:rPr>
        <w:t>substances</w:t>
      </w:r>
      <w:r>
        <w:rPr>
          <w:spacing w:val="-5"/>
          <w:sz w:val="24"/>
        </w:rPr>
        <w:t> </w:t>
      </w:r>
      <w:r>
        <w:rPr>
          <w:sz w:val="24"/>
        </w:rPr>
        <w:t>tests</w:t>
      </w:r>
      <w:r>
        <w:rPr>
          <w:spacing w:val="-5"/>
          <w:sz w:val="24"/>
        </w:rPr>
        <w:t> </w:t>
      </w:r>
      <w:r>
        <w:rPr>
          <w:sz w:val="24"/>
        </w:rPr>
        <w:t>verified</w:t>
      </w:r>
      <w:r>
        <w:rPr>
          <w:spacing w:val="-6"/>
          <w:sz w:val="24"/>
        </w:rPr>
        <w:t> </w:t>
      </w:r>
      <w:r>
        <w:rPr>
          <w:sz w:val="24"/>
        </w:rPr>
        <w:t>by</w:t>
      </w:r>
      <w:r>
        <w:rPr>
          <w:spacing w:val="-5"/>
          <w:sz w:val="24"/>
        </w:rPr>
        <w:t> </w:t>
      </w:r>
      <w:r>
        <w:rPr>
          <w:sz w:val="24"/>
        </w:rPr>
        <w:t>a medical review officer by type of test;</w:t>
      </w:r>
    </w:p>
    <w:p>
      <w:pPr>
        <w:pStyle w:val="ListParagraph"/>
        <w:numPr>
          <w:ilvl w:val="4"/>
          <w:numId w:val="360"/>
        </w:numPr>
        <w:tabs>
          <w:tab w:pos="2518" w:val="left" w:leader="none"/>
        </w:tabs>
        <w:spacing w:line="240" w:lineRule="auto" w:before="210" w:after="0"/>
        <w:ind w:left="2518" w:right="0" w:hanging="430"/>
        <w:jc w:val="left"/>
        <w:rPr>
          <w:sz w:val="24"/>
        </w:rPr>
      </w:pPr>
      <w:r>
        <w:rPr>
          <w:sz w:val="24"/>
        </w:rPr>
        <w:t>number</w:t>
      </w:r>
      <w:r>
        <w:rPr>
          <w:spacing w:val="-2"/>
          <w:sz w:val="24"/>
        </w:rPr>
        <w:t> </w:t>
      </w:r>
      <w:r>
        <w:rPr>
          <w:sz w:val="24"/>
        </w:rPr>
        <w:t>of</w:t>
      </w:r>
      <w:r>
        <w:rPr>
          <w:spacing w:val="-3"/>
          <w:sz w:val="24"/>
        </w:rPr>
        <w:t> </w:t>
      </w:r>
      <w:r>
        <w:rPr>
          <w:sz w:val="24"/>
        </w:rPr>
        <w:t>employees</w:t>
      </w:r>
      <w:r>
        <w:rPr>
          <w:spacing w:val="-1"/>
          <w:sz w:val="24"/>
        </w:rPr>
        <w:t> </w:t>
      </w:r>
      <w:r>
        <w:rPr>
          <w:sz w:val="24"/>
        </w:rPr>
        <w:t>refusing</w:t>
      </w:r>
      <w:r>
        <w:rPr>
          <w:spacing w:val="-3"/>
          <w:sz w:val="24"/>
        </w:rPr>
        <w:t> </w:t>
      </w:r>
      <w:r>
        <w:rPr>
          <w:sz w:val="24"/>
        </w:rPr>
        <w:t>to</w:t>
      </w:r>
      <w:r>
        <w:rPr>
          <w:spacing w:val="-3"/>
          <w:sz w:val="24"/>
        </w:rPr>
        <w:t> </w:t>
      </w:r>
      <w:r>
        <w:rPr>
          <w:sz w:val="24"/>
        </w:rPr>
        <w:t>submit</w:t>
      </w:r>
      <w:r>
        <w:rPr>
          <w:spacing w:val="-1"/>
          <w:sz w:val="24"/>
        </w:rPr>
        <w:t> </w:t>
      </w:r>
      <w:r>
        <w:rPr>
          <w:sz w:val="24"/>
        </w:rPr>
        <w:t>to</w:t>
      </w:r>
      <w:r>
        <w:rPr>
          <w:spacing w:val="-2"/>
          <w:sz w:val="24"/>
        </w:rPr>
        <w:t> </w:t>
      </w:r>
      <w:r>
        <w:rPr>
          <w:sz w:val="24"/>
        </w:rPr>
        <w:t>a</w:t>
      </w:r>
      <w:r>
        <w:rPr>
          <w:spacing w:val="-3"/>
          <w:sz w:val="24"/>
        </w:rPr>
        <w:t> </w:t>
      </w:r>
      <w:r>
        <w:rPr>
          <w:spacing w:val="-2"/>
          <w:sz w:val="24"/>
        </w:rPr>
        <w:t>test;</w:t>
      </w:r>
    </w:p>
    <w:p>
      <w:pPr>
        <w:pStyle w:val="ListParagraph"/>
        <w:numPr>
          <w:ilvl w:val="4"/>
          <w:numId w:val="360"/>
        </w:numPr>
        <w:tabs>
          <w:tab w:pos="2518" w:val="left" w:leader="none"/>
        </w:tabs>
        <w:spacing w:line="208" w:lineRule="auto" w:before="234" w:after="0"/>
        <w:ind w:left="2088" w:right="833" w:firstLine="0"/>
        <w:jc w:val="left"/>
        <w:rPr>
          <w:sz w:val="24"/>
        </w:rPr>
      </w:pPr>
      <w:r>
        <w:rPr>
          <w:sz w:val="24"/>
        </w:rPr>
        <w:t>number</w:t>
      </w:r>
      <w:r>
        <w:rPr>
          <w:spacing w:val="-5"/>
          <w:sz w:val="24"/>
        </w:rPr>
        <w:t> </w:t>
      </w:r>
      <w:r>
        <w:rPr>
          <w:sz w:val="24"/>
        </w:rPr>
        <w:t>of</w:t>
      </w:r>
      <w:r>
        <w:rPr>
          <w:spacing w:val="-7"/>
          <w:sz w:val="24"/>
        </w:rPr>
        <w:t> </w:t>
      </w:r>
      <w:r>
        <w:rPr>
          <w:sz w:val="24"/>
        </w:rPr>
        <w:t>supervisors</w:t>
      </w:r>
      <w:r>
        <w:rPr>
          <w:spacing w:val="-5"/>
          <w:sz w:val="24"/>
        </w:rPr>
        <w:t> </w:t>
      </w:r>
      <w:r>
        <w:rPr>
          <w:sz w:val="24"/>
        </w:rPr>
        <w:t>receiving</w:t>
      </w:r>
      <w:r>
        <w:rPr>
          <w:spacing w:val="-6"/>
          <w:sz w:val="24"/>
        </w:rPr>
        <w:t> </w:t>
      </w:r>
      <w:r>
        <w:rPr>
          <w:sz w:val="24"/>
        </w:rPr>
        <w:t>alcohol</w:t>
      </w:r>
      <w:r>
        <w:rPr>
          <w:spacing w:val="-6"/>
          <w:sz w:val="24"/>
        </w:rPr>
        <w:t> </w:t>
      </w:r>
      <w:r>
        <w:rPr>
          <w:sz w:val="24"/>
        </w:rPr>
        <w:t>and</w:t>
      </w:r>
      <w:r>
        <w:rPr>
          <w:spacing w:val="-6"/>
          <w:sz w:val="24"/>
        </w:rPr>
        <w:t> </w:t>
      </w:r>
      <w:r>
        <w:rPr>
          <w:sz w:val="24"/>
        </w:rPr>
        <w:t>controlled</w:t>
      </w:r>
      <w:r>
        <w:rPr>
          <w:spacing w:val="-6"/>
          <w:sz w:val="24"/>
        </w:rPr>
        <w:t> </w:t>
      </w:r>
      <w:r>
        <w:rPr>
          <w:sz w:val="24"/>
        </w:rPr>
        <w:t>substances </w:t>
      </w:r>
      <w:r>
        <w:rPr>
          <w:spacing w:val="-2"/>
          <w:sz w:val="24"/>
        </w:rPr>
        <w:t>training;</w:t>
      </w:r>
    </w:p>
    <w:p>
      <w:pPr>
        <w:pStyle w:val="ListParagraph"/>
        <w:numPr>
          <w:ilvl w:val="4"/>
          <w:numId w:val="360"/>
        </w:numPr>
        <w:tabs>
          <w:tab w:pos="2517" w:val="left" w:leader="none"/>
        </w:tabs>
        <w:spacing w:line="240" w:lineRule="auto" w:before="210" w:after="0"/>
        <w:ind w:left="2517" w:right="0" w:hanging="429"/>
        <w:jc w:val="left"/>
        <w:rPr>
          <w:sz w:val="24"/>
        </w:rPr>
      </w:pPr>
      <w:r>
        <w:rPr>
          <w:sz w:val="24"/>
        </w:rPr>
        <w:t>number</w:t>
      </w:r>
      <w:r>
        <w:rPr>
          <w:spacing w:val="-4"/>
          <w:sz w:val="24"/>
        </w:rPr>
        <w:t> </w:t>
      </w:r>
      <w:r>
        <w:rPr>
          <w:sz w:val="24"/>
        </w:rPr>
        <w:t>of</w:t>
      </w:r>
      <w:r>
        <w:rPr>
          <w:spacing w:val="-3"/>
          <w:sz w:val="24"/>
        </w:rPr>
        <w:t> </w:t>
      </w:r>
      <w:r>
        <w:rPr>
          <w:sz w:val="24"/>
        </w:rPr>
        <w:t>screening</w:t>
      </w:r>
      <w:r>
        <w:rPr>
          <w:spacing w:val="-1"/>
          <w:sz w:val="24"/>
        </w:rPr>
        <w:t> </w:t>
      </w:r>
      <w:r>
        <w:rPr>
          <w:sz w:val="24"/>
        </w:rPr>
        <w:t>alcohol</w:t>
      </w:r>
      <w:r>
        <w:rPr>
          <w:spacing w:val="-2"/>
          <w:sz w:val="24"/>
        </w:rPr>
        <w:t> </w:t>
      </w:r>
      <w:r>
        <w:rPr>
          <w:sz w:val="24"/>
        </w:rPr>
        <w:t>tests</w:t>
      </w:r>
      <w:r>
        <w:rPr>
          <w:spacing w:val="-3"/>
          <w:sz w:val="24"/>
        </w:rPr>
        <w:t> </w:t>
      </w:r>
      <w:r>
        <w:rPr>
          <w:sz w:val="24"/>
        </w:rPr>
        <w:t>by</w:t>
      </w:r>
      <w:r>
        <w:rPr>
          <w:spacing w:val="-2"/>
          <w:sz w:val="24"/>
        </w:rPr>
        <w:t> </w:t>
      </w:r>
      <w:r>
        <w:rPr>
          <w:sz w:val="24"/>
        </w:rPr>
        <w:t>type</w:t>
      </w:r>
      <w:r>
        <w:rPr>
          <w:spacing w:val="-2"/>
          <w:sz w:val="24"/>
        </w:rPr>
        <w:t> </w:t>
      </w:r>
      <w:r>
        <w:rPr>
          <w:sz w:val="24"/>
        </w:rPr>
        <w:t>of</w:t>
      </w:r>
      <w:r>
        <w:rPr>
          <w:spacing w:val="-3"/>
          <w:sz w:val="24"/>
        </w:rPr>
        <w:t> </w:t>
      </w:r>
      <w:r>
        <w:rPr>
          <w:sz w:val="24"/>
        </w:rPr>
        <w:t>test;</w:t>
      </w:r>
      <w:r>
        <w:rPr>
          <w:spacing w:val="-1"/>
          <w:sz w:val="24"/>
        </w:rPr>
        <w:t> </w:t>
      </w:r>
      <w:r>
        <w:rPr>
          <w:spacing w:val="-5"/>
          <w:sz w:val="24"/>
        </w:rPr>
        <w:t>and</w:t>
      </w:r>
    </w:p>
    <w:p>
      <w:pPr>
        <w:pStyle w:val="ListParagraph"/>
        <w:numPr>
          <w:ilvl w:val="4"/>
          <w:numId w:val="360"/>
        </w:numPr>
        <w:tabs>
          <w:tab w:pos="2518" w:val="left" w:leader="none"/>
        </w:tabs>
        <w:spacing w:line="208" w:lineRule="auto" w:before="233" w:after="0"/>
        <w:ind w:left="2088" w:right="1145" w:firstLine="0"/>
        <w:jc w:val="left"/>
        <w:rPr>
          <w:sz w:val="24"/>
        </w:rPr>
      </w:pPr>
      <w:r>
        <w:rPr>
          <w:sz w:val="24"/>
        </w:rPr>
        <w:t>number of employees returned to duty after complying with recommendations of a substance abuse professional after the employee</w:t>
      </w:r>
      <w:r>
        <w:rPr>
          <w:spacing w:val="-4"/>
          <w:sz w:val="24"/>
        </w:rPr>
        <w:t> </w:t>
      </w:r>
      <w:r>
        <w:rPr>
          <w:sz w:val="24"/>
        </w:rPr>
        <w:t>had</w:t>
      </w:r>
      <w:r>
        <w:rPr>
          <w:spacing w:val="-5"/>
          <w:sz w:val="24"/>
        </w:rPr>
        <w:t> </w:t>
      </w:r>
      <w:r>
        <w:rPr>
          <w:sz w:val="24"/>
        </w:rPr>
        <w:t>a</w:t>
      </w:r>
      <w:r>
        <w:rPr>
          <w:spacing w:val="-5"/>
          <w:sz w:val="24"/>
        </w:rPr>
        <w:t> </w:t>
      </w:r>
      <w:r>
        <w:rPr>
          <w:sz w:val="24"/>
        </w:rPr>
        <w:t>verified</w:t>
      </w:r>
      <w:r>
        <w:rPr>
          <w:spacing w:val="-5"/>
          <w:sz w:val="24"/>
        </w:rPr>
        <w:t> </w:t>
      </w:r>
      <w:r>
        <w:rPr>
          <w:sz w:val="24"/>
        </w:rPr>
        <w:t>positive</w:t>
      </w:r>
      <w:r>
        <w:rPr>
          <w:spacing w:val="-4"/>
          <w:sz w:val="24"/>
        </w:rPr>
        <w:t> </w:t>
      </w:r>
      <w:r>
        <w:rPr>
          <w:sz w:val="24"/>
        </w:rPr>
        <w:t>controlled</w:t>
      </w:r>
      <w:r>
        <w:rPr>
          <w:spacing w:val="-5"/>
          <w:sz w:val="24"/>
        </w:rPr>
        <w:t> </w:t>
      </w:r>
      <w:r>
        <w:rPr>
          <w:sz w:val="24"/>
        </w:rPr>
        <w:t>substances</w:t>
      </w:r>
      <w:r>
        <w:rPr>
          <w:spacing w:val="-5"/>
          <w:sz w:val="24"/>
        </w:rPr>
        <w:t> </w:t>
      </w:r>
      <w:r>
        <w:rPr>
          <w:sz w:val="24"/>
        </w:rPr>
        <w:t>test</w:t>
      </w:r>
      <w:r>
        <w:rPr>
          <w:spacing w:val="-4"/>
          <w:sz w:val="24"/>
        </w:rPr>
        <w:t> </w:t>
      </w:r>
      <w:r>
        <w:rPr>
          <w:sz w:val="24"/>
        </w:rPr>
        <w:t>result</w:t>
      </w:r>
      <w:r>
        <w:rPr>
          <w:spacing w:val="-4"/>
          <w:sz w:val="24"/>
        </w:rPr>
        <w:t> </w:t>
      </w:r>
      <w:r>
        <w:rPr>
          <w:sz w:val="24"/>
        </w:rPr>
        <w:t>or had engaged in prohibited alcohol misuse.</w:t>
      </w:r>
    </w:p>
    <w:p>
      <w:pPr>
        <w:pStyle w:val="ListParagraph"/>
        <w:numPr>
          <w:ilvl w:val="2"/>
          <w:numId w:val="360"/>
        </w:numPr>
        <w:tabs>
          <w:tab w:pos="1570" w:val="left" w:leader="none"/>
        </w:tabs>
        <w:spacing w:line="208" w:lineRule="auto" w:before="240" w:after="0"/>
        <w:ind w:left="1224" w:right="1558" w:firstLine="0"/>
        <w:jc w:val="left"/>
        <w:rPr>
          <w:sz w:val="24"/>
        </w:rPr>
      </w:pPr>
      <w:r>
        <w:rPr>
          <w:sz w:val="24"/>
        </w:rPr>
        <w:t>Records</w:t>
      </w:r>
      <w:r>
        <w:rPr>
          <w:spacing w:val="-4"/>
          <w:sz w:val="24"/>
        </w:rPr>
        <w:t> </w:t>
      </w:r>
      <w:r>
        <w:rPr>
          <w:sz w:val="24"/>
        </w:rPr>
        <w:t>required.</w:t>
      </w:r>
      <w:r>
        <w:rPr>
          <w:spacing w:val="-5"/>
          <w:sz w:val="24"/>
        </w:rPr>
        <w:t> </w:t>
      </w:r>
      <w:r>
        <w:rPr>
          <w:sz w:val="24"/>
        </w:rPr>
        <w:t>The</w:t>
      </w:r>
      <w:r>
        <w:rPr>
          <w:spacing w:val="-4"/>
          <w:sz w:val="24"/>
        </w:rPr>
        <w:t> </w:t>
      </w:r>
      <w:r>
        <w:rPr>
          <w:sz w:val="24"/>
        </w:rPr>
        <w:t>specific</w:t>
      </w:r>
      <w:r>
        <w:rPr>
          <w:spacing w:val="-4"/>
          <w:sz w:val="24"/>
        </w:rPr>
        <w:t> </w:t>
      </w:r>
      <w:r>
        <w:rPr>
          <w:sz w:val="24"/>
        </w:rPr>
        <w:t>records</w:t>
      </w:r>
      <w:r>
        <w:rPr>
          <w:spacing w:val="-4"/>
          <w:sz w:val="24"/>
        </w:rPr>
        <w:t> </w:t>
      </w:r>
      <w:r>
        <w:rPr>
          <w:sz w:val="24"/>
        </w:rPr>
        <w:t>listed</w:t>
      </w:r>
      <w:r>
        <w:rPr>
          <w:spacing w:val="-4"/>
          <w:sz w:val="24"/>
        </w:rPr>
        <w:t> </w:t>
      </w:r>
      <w:r>
        <w:rPr>
          <w:sz w:val="24"/>
        </w:rPr>
        <w:t>in</w:t>
      </w:r>
      <w:r>
        <w:rPr>
          <w:spacing w:val="-4"/>
          <w:sz w:val="24"/>
        </w:rPr>
        <w:t> </w:t>
      </w:r>
      <w:r>
        <w:rPr>
          <w:sz w:val="24"/>
        </w:rPr>
        <w:t>(1)</w:t>
      </w:r>
      <w:r>
        <w:rPr>
          <w:spacing w:val="-5"/>
          <w:sz w:val="24"/>
        </w:rPr>
        <w:t> </w:t>
      </w:r>
      <w:r>
        <w:rPr>
          <w:sz w:val="24"/>
        </w:rPr>
        <w:t>through</w:t>
      </w:r>
      <w:r>
        <w:rPr>
          <w:spacing w:val="-4"/>
          <w:sz w:val="24"/>
        </w:rPr>
        <w:t> </w:t>
      </w:r>
      <w:r>
        <w:rPr>
          <w:sz w:val="24"/>
        </w:rPr>
        <w:t>(6)</w:t>
      </w:r>
      <w:r>
        <w:rPr>
          <w:spacing w:val="-5"/>
          <w:sz w:val="24"/>
        </w:rPr>
        <w:t> </w:t>
      </w:r>
      <w:r>
        <w:rPr>
          <w:sz w:val="24"/>
        </w:rPr>
        <w:t>of</w:t>
      </w:r>
      <w:r>
        <w:rPr>
          <w:spacing w:val="-3"/>
          <w:sz w:val="24"/>
        </w:rPr>
        <w:t> </w:t>
      </w:r>
      <w:r>
        <w:rPr>
          <w:sz w:val="24"/>
        </w:rPr>
        <w:t>this Subsection must be collected and kept.</w:t>
      </w:r>
    </w:p>
    <w:p>
      <w:pPr>
        <w:pStyle w:val="ListParagraph"/>
        <w:numPr>
          <w:ilvl w:val="3"/>
          <w:numId w:val="360"/>
        </w:numPr>
        <w:tabs>
          <w:tab w:pos="2082" w:val="left" w:leader="none"/>
        </w:tabs>
        <w:spacing w:line="240" w:lineRule="auto" w:before="210" w:after="0"/>
        <w:ind w:left="2082" w:right="0" w:hanging="426"/>
        <w:jc w:val="left"/>
        <w:rPr>
          <w:sz w:val="24"/>
        </w:rPr>
      </w:pPr>
      <w:r>
        <w:rPr>
          <w:sz w:val="24"/>
        </w:rPr>
        <w:t>Collection</w:t>
      </w:r>
      <w:r>
        <w:rPr>
          <w:spacing w:val="-5"/>
          <w:sz w:val="24"/>
        </w:rPr>
        <w:t> </w:t>
      </w:r>
      <w:r>
        <w:rPr>
          <w:sz w:val="24"/>
        </w:rPr>
        <w:t>process</w:t>
      </w:r>
      <w:r>
        <w:rPr>
          <w:spacing w:val="-4"/>
          <w:sz w:val="24"/>
        </w:rPr>
        <w:t> </w:t>
      </w:r>
      <w:r>
        <w:rPr>
          <w:sz w:val="24"/>
        </w:rPr>
        <w:t>records,</w:t>
      </w:r>
      <w:r>
        <w:rPr>
          <w:spacing w:val="-3"/>
          <w:sz w:val="24"/>
        </w:rPr>
        <w:t> </w:t>
      </w:r>
      <w:r>
        <w:rPr>
          <w:spacing w:val="-2"/>
          <w:sz w:val="24"/>
        </w:rPr>
        <w:t>including:</w:t>
      </w:r>
    </w:p>
    <w:p>
      <w:pPr>
        <w:pStyle w:val="ListParagraph"/>
        <w:numPr>
          <w:ilvl w:val="4"/>
          <w:numId w:val="360"/>
        </w:numPr>
        <w:tabs>
          <w:tab w:pos="2518" w:val="left" w:leader="none"/>
        </w:tabs>
        <w:spacing w:line="240" w:lineRule="auto" w:before="205" w:after="0"/>
        <w:ind w:left="2518" w:right="0" w:hanging="430"/>
        <w:jc w:val="left"/>
        <w:rPr>
          <w:sz w:val="24"/>
        </w:rPr>
      </w:pPr>
      <w:r>
        <w:rPr>
          <w:sz w:val="24"/>
        </w:rPr>
        <w:t>logbooks,</w:t>
      </w:r>
      <w:r>
        <w:rPr>
          <w:spacing w:val="-2"/>
          <w:sz w:val="24"/>
        </w:rPr>
        <w:t> </w:t>
      </w:r>
      <w:r>
        <w:rPr>
          <w:sz w:val="24"/>
        </w:rPr>
        <w:t>if</w:t>
      </w:r>
      <w:r>
        <w:rPr>
          <w:spacing w:val="-2"/>
          <w:sz w:val="24"/>
        </w:rPr>
        <w:t> </w:t>
      </w:r>
      <w:r>
        <w:rPr>
          <w:spacing w:val="-4"/>
          <w:sz w:val="24"/>
        </w:rPr>
        <w:t>used;</w:t>
      </w:r>
    </w:p>
    <w:p>
      <w:pPr>
        <w:pStyle w:val="ListParagraph"/>
        <w:numPr>
          <w:ilvl w:val="4"/>
          <w:numId w:val="360"/>
        </w:numPr>
        <w:tabs>
          <w:tab w:pos="2518" w:val="left" w:leader="none"/>
        </w:tabs>
        <w:spacing w:line="240" w:lineRule="auto" w:before="204" w:after="0"/>
        <w:ind w:left="2518" w:right="0" w:hanging="430"/>
        <w:jc w:val="left"/>
        <w:rPr>
          <w:sz w:val="24"/>
        </w:rPr>
      </w:pPr>
      <w:r>
        <w:rPr>
          <w:sz w:val="24"/>
        </w:rPr>
        <w:t>documents</w:t>
      </w:r>
      <w:r>
        <w:rPr>
          <w:spacing w:val="-7"/>
          <w:sz w:val="24"/>
        </w:rPr>
        <w:t> </w:t>
      </w:r>
      <w:r>
        <w:rPr>
          <w:sz w:val="24"/>
        </w:rPr>
        <w:t>regarding</w:t>
      </w:r>
      <w:r>
        <w:rPr>
          <w:spacing w:val="-4"/>
          <w:sz w:val="24"/>
        </w:rPr>
        <w:t> </w:t>
      </w:r>
      <w:r>
        <w:rPr>
          <w:sz w:val="24"/>
        </w:rPr>
        <w:t>the</w:t>
      </w:r>
      <w:r>
        <w:rPr>
          <w:spacing w:val="-4"/>
          <w:sz w:val="24"/>
        </w:rPr>
        <w:t> </w:t>
      </w:r>
      <w:r>
        <w:rPr>
          <w:sz w:val="24"/>
        </w:rPr>
        <w:t>random</w:t>
      </w:r>
      <w:r>
        <w:rPr>
          <w:spacing w:val="-3"/>
          <w:sz w:val="24"/>
        </w:rPr>
        <w:t> </w:t>
      </w:r>
      <w:r>
        <w:rPr>
          <w:sz w:val="24"/>
        </w:rPr>
        <w:t>selection</w:t>
      </w:r>
      <w:r>
        <w:rPr>
          <w:spacing w:val="-4"/>
          <w:sz w:val="24"/>
        </w:rPr>
        <w:t> </w:t>
      </w:r>
      <w:r>
        <w:rPr>
          <w:spacing w:val="-2"/>
          <w:sz w:val="24"/>
        </w:rPr>
        <w:t>process;</w:t>
      </w:r>
    </w:p>
    <w:p>
      <w:pPr>
        <w:pStyle w:val="ListParagraph"/>
        <w:numPr>
          <w:ilvl w:val="4"/>
          <w:numId w:val="360"/>
        </w:numPr>
        <w:tabs>
          <w:tab w:pos="2518" w:val="left" w:leader="none"/>
        </w:tabs>
        <w:spacing w:line="240" w:lineRule="auto" w:before="204" w:after="0"/>
        <w:ind w:left="2518" w:right="0" w:hanging="430"/>
        <w:jc w:val="left"/>
        <w:rPr>
          <w:sz w:val="24"/>
        </w:rPr>
      </w:pPr>
      <w:r>
        <w:rPr>
          <w:sz w:val="24"/>
        </w:rPr>
        <w:t>Calibration</w:t>
      </w:r>
      <w:r>
        <w:rPr>
          <w:spacing w:val="-6"/>
          <w:sz w:val="24"/>
        </w:rPr>
        <w:t> </w:t>
      </w:r>
      <w:r>
        <w:rPr>
          <w:sz w:val="24"/>
        </w:rPr>
        <w:t>documents</w:t>
      </w:r>
      <w:r>
        <w:rPr>
          <w:spacing w:val="-5"/>
          <w:sz w:val="24"/>
        </w:rPr>
        <w:t> </w:t>
      </w:r>
      <w:r>
        <w:rPr>
          <w:sz w:val="24"/>
        </w:rPr>
        <w:t>for</w:t>
      </w:r>
      <w:r>
        <w:rPr>
          <w:spacing w:val="-3"/>
          <w:sz w:val="24"/>
        </w:rPr>
        <w:t> </w:t>
      </w:r>
      <w:r>
        <w:rPr>
          <w:sz w:val="24"/>
        </w:rPr>
        <w:t>evidential</w:t>
      </w:r>
      <w:r>
        <w:rPr>
          <w:spacing w:val="-5"/>
          <w:sz w:val="24"/>
        </w:rPr>
        <w:t> </w:t>
      </w:r>
      <w:r>
        <w:rPr>
          <w:sz w:val="24"/>
        </w:rPr>
        <w:t>breath</w:t>
      </w:r>
      <w:r>
        <w:rPr>
          <w:spacing w:val="-4"/>
          <w:sz w:val="24"/>
        </w:rPr>
        <w:t> </w:t>
      </w:r>
      <w:r>
        <w:rPr>
          <w:sz w:val="24"/>
        </w:rPr>
        <w:t>testing</w:t>
      </w:r>
      <w:r>
        <w:rPr>
          <w:spacing w:val="-4"/>
          <w:sz w:val="24"/>
        </w:rPr>
        <w:t> </w:t>
      </w:r>
      <w:r>
        <w:rPr>
          <w:spacing w:val="-2"/>
          <w:sz w:val="24"/>
        </w:rPr>
        <w:t>devices;</w:t>
      </w:r>
    </w:p>
    <w:p>
      <w:pPr>
        <w:pStyle w:val="ListParagraph"/>
        <w:numPr>
          <w:ilvl w:val="4"/>
          <w:numId w:val="360"/>
        </w:numPr>
        <w:tabs>
          <w:tab w:pos="2518" w:val="left" w:leader="none"/>
        </w:tabs>
        <w:spacing w:line="240" w:lineRule="auto" w:before="204" w:after="0"/>
        <w:ind w:left="2518" w:right="0" w:hanging="430"/>
        <w:jc w:val="left"/>
        <w:rPr>
          <w:sz w:val="24"/>
        </w:rPr>
      </w:pPr>
      <w:r>
        <w:rPr>
          <w:sz w:val="24"/>
        </w:rPr>
        <w:t>verification</w:t>
      </w:r>
      <w:r>
        <w:rPr>
          <w:spacing w:val="-4"/>
          <w:sz w:val="24"/>
        </w:rPr>
        <w:t> </w:t>
      </w:r>
      <w:r>
        <w:rPr>
          <w:sz w:val="24"/>
        </w:rPr>
        <w:t>of</w:t>
      </w:r>
      <w:r>
        <w:rPr>
          <w:spacing w:val="-4"/>
          <w:sz w:val="24"/>
        </w:rPr>
        <w:t> </w:t>
      </w:r>
      <w:r>
        <w:rPr>
          <w:sz w:val="24"/>
        </w:rPr>
        <w:t>breath</w:t>
      </w:r>
      <w:r>
        <w:rPr>
          <w:spacing w:val="-4"/>
          <w:sz w:val="24"/>
        </w:rPr>
        <w:t> </w:t>
      </w:r>
      <w:r>
        <w:rPr>
          <w:sz w:val="24"/>
        </w:rPr>
        <w:t>alcohol</w:t>
      </w:r>
      <w:r>
        <w:rPr>
          <w:spacing w:val="-4"/>
          <w:sz w:val="24"/>
        </w:rPr>
        <w:t> </w:t>
      </w:r>
      <w:r>
        <w:rPr>
          <w:sz w:val="24"/>
        </w:rPr>
        <w:t>technician</w:t>
      </w:r>
      <w:r>
        <w:rPr>
          <w:spacing w:val="-3"/>
          <w:sz w:val="24"/>
        </w:rPr>
        <w:t> </w:t>
      </w:r>
      <w:r>
        <w:rPr>
          <w:spacing w:val="-2"/>
          <w:sz w:val="24"/>
        </w:rPr>
        <w:t>training;</w:t>
      </w:r>
    </w:p>
    <w:p>
      <w:pPr>
        <w:pStyle w:val="ListParagraph"/>
        <w:numPr>
          <w:ilvl w:val="4"/>
          <w:numId w:val="360"/>
        </w:numPr>
        <w:tabs>
          <w:tab w:pos="2518" w:val="left" w:leader="none"/>
        </w:tabs>
        <w:spacing w:line="208" w:lineRule="auto" w:before="233" w:after="0"/>
        <w:ind w:left="2088" w:right="1128" w:firstLine="0"/>
        <w:jc w:val="left"/>
        <w:rPr>
          <w:sz w:val="24"/>
        </w:rPr>
      </w:pPr>
      <w:r>
        <w:rPr>
          <w:sz w:val="24"/>
        </w:rPr>
        <w:t>any</w:t>
      </w:r>
      <w:r>
        <w:rPr>
          <w:spacing w:val="-5"/>
          <w:sz w:val="24"/>
        </w:rPr>
        <w:t> </w:t>
      </w:r>
      <w:r>
        <w:rPr>
          <w:sz w:val="24"/>
        </w:rPr>
        <w:t>documents</w:t>
      </w:r>
      <w:r>
        <w:rPr>
          <w:spacing w:val="-5"/>
          <w:sz w:val="24"/>
        </w:rPr>
        <w:t> </w:t>
      </w:r>
      <w:r>
        <w:rPr>
          <w:sz w:val="24"/>
        </w:rPr>
        <w:t>made</w:t>
      </w:r>
      <w:r>
        <w:rPr>
          <w:spacing w:val="-6"/>
          <w:sz w:val="24"/>
        </w:rPr>
        <w:t> </w:t>
      </w:r>
      <w:r>
        <w:rPr>
          <w:sz w:val="24"/>
        </w:rPr>
        <w:t>when</w:t>
      </w:r>
      <w:r>
        <w:rPr>
          <w:spacing w:val="-5"/>
          <w:sz w:val="24"/>
        </w:rPr>
        <w:t> </w:t>
      </w:r>
      <w:r>
        <w:rPr>
          <w:sz w:val="24"/>
        </w:rPr>
        <w:t>deciding</w:t>
      </w:r>
      <w:r>
        <w:rPr>
          <w:spacing w:val="-5"/>
          <w:sz w:val="24"/>
        </w:rPr>
        <w:t> </w:t>
      </w:r>
      <w:r>
        <w:rPr>
          <w:sz w:val="24"/>
        </w:rPr>
        <w:t>to</w:t>
      </w:r>
      <w:r>
        <w:rPr>
          <w:spacing w:val="-5"/>
          <w:sz w:val="24"/>
        </w:rPr>
        <w:t> </w:t>
      </w:r>
      <w:r>
        <w:rPr>
          <w:sz w:val="24"/>
        </w:rPr>
        <w:t>administer</w:t>
      </w:r>
      <w:r>
        <w:rPr>
          <w:spacing w:val="-4"/>
          <w:sz w:val="24"/>
        </w:rPr>
        <w:t> </w:t>
      </w:r>
      <w:r>
        <w:rPr>
          <w:sz w:val="24"/>
        </w:rPr>
        <w:t>a</w:t>
      </w:r>
      <w:r>
        <w:rPr>
          <w:spacing w:val="-5"/>
          <w:sz w:val="24"/>
        </w:rPr>
        <w:t> </w:t>
      </w:r>
      <w:r>
        <w:rPr>
          <w:sz w:val="24"/>
        </w:rPr>
        <w:t>reasonable suspicion alcohol or controlled substances test;</w:t>
      </w:r>
    </w:p>
    <w:p>
      <w:pPr>
        <w:pStyle w:val="ListParagraph"/>
        <w:numPr>
          <w:ilvl w:val="4"/>
          <w:numId w:val="360"/>
        </w:numPr>
        <w:tabs>
          <w:tab w:pos="2517" w:val="left" w:leader="none"/>
        </w:tabs>
        <w:spacing w:line="240" w:lineRule="auto" w:before="210" w:after="0"/>
        <w:ind w:left="2517" w:right="0" w:hanging="429"/>
        <w:jc w:val="left"/>
        <w:rPr>
          <w:sz w:val="24"/>
        </w:rPr>
      </w:pPr>
      <w:r>
        <w:rPr>
          <w:sz w:val="24"/>
        </w:rPr>
        <w:t>any</w:t>
      </w:r>
      <w:r>
        <w:rPr>
          <w:spacing w:val="-6"/>
          <w:sz w:val="24"/>
        </w:rPr>
        <w:t> </w:t>
      </w:r>
      <w:r>
        <w:rPr>
          <w:sz w:val="24"/>
        </w:rPr>
        <w:t>documents</w:t>
      </w:r>
      <w:r>
        <w:rPr>
          <w:spacing w:val="-5"/>
          <w:sz w:val="24"/>
        </w:rPr>
        <w:t> </w:t>
      </w:r>
      <w:r>
        <w:rPr>
          <w:sz w:val="24"/>
        </w:rPr>
        <w:t>regarding</w:t>
      </w:r>
      <w:r>
        <w:rPr>
          <w:spacing w:val="-5"/>
          <w:sz w:val="24"/>
        </w:rPr>
        <w:t> </w:t>
      </w:r>
      <w:r>
        <w:rPr>
          <w:sz w:val="24"/>
        </w:rPr>
        <w:t>post-accident</w:t>
      </w:r>
      <w:r>
        <w:rPr>
          <w:spacing w:val="-4"/>
          <w:sz w:val="24"/>
        </w:rPr>
        <w:t> </w:t>
      </w:r>
      <w:r>
        <w:rPr>
          <w:spacing w:val="-2"/>
          <w:sz w:val="24"/>
        </w:rPr>
        <w:t>tests;</w:t>
      </w:r>
    </w:p>
    <w:p>
      <w:pPr>
        <w:pStyle w:val="ListParagraph"/>
        <w:spacing w:after="0" w:line="240" w:lineRule="auto"/>
        <w:jc w:val="left"/>
        <w:rPr>
          <w:sz w:val="24"/>
        </w:rPr>
        <w:sectPr>
          <w:pgSz w:w="12240" w:h="15840"/>
          <w:pgMar w:top="1340" w:bottom="280" w:left="1080" w:right="720"/>
        </w:sectPr>
      </w:pPr>
    </w:p>
    <w:p>
      <w:pPr>
        <w:pStyle w:val="ListParagraph"/>
        <w:numPr>
          <w:ilvl w:val="4"/>
          <w:numId w:val="360"/>
        </w:numPr>
        <w:tabs>
          <w:tab w:pos="2518" w:val="left" w:leader="none"/>
        </w:tabs>
        <w:spacing w:line="208" w:lineRule="auto" w:before="96" w:after="0"/>
        <w:ind w:left="2088" w:right="1007" w:firstLine="0"/>
        <w:jc w:val="left"/>
        <w:rPr>
          <w:sz w:val="24"/>
        </w:rPr>
      </w:pPr>
      <w:r>
        <w:rPr>
          <w:sz w:val="24"/>
        </w:rPr>
        <w:t>documents</w:t>
      </w:r>
      <w:r>
        <w:rPr>
          <w:spacing w:val="-5"/>
          <w:sz w:val="24"/>
        </w:rPr>
        <w:t> </w:t>
      </w:r>
      <w:r>
        <w:rPr>
          <w:sz w:val="24"/>
        </w:rPr>
        <w:t>verifying</w:t>
      </w:r>
      <w:r>
        <w:rPr>
          <w:spacing w:val="-5"/>
          <w:sz w:val="24"/>
        </w:rPr>
        <w:t> </w:t>
      </w:r>
      <w:r>
        <w:rPr>
          <w:sz w:val="24"/>
        </w:rPr>
        <w:t>any</w:t>
      </w:r>
      <w:r>
        <w:rPr>
          <w:spacing w:val="-5"/>
          <w:sz w:val="24"/>
        </w:rPr>
        <w:t> </w:t>
      </w:r>
      <w:r>
        <w:rPr>
          <w:sz w:val="24"/>
        </w:rPr>
        <w:t>medical</w:t>
      </w:r>
      <w:r>
        <w:rPr>
          <w:spacing w:val="-5"/>
          <w:sz w:val="24"/>
        </w:rPr>
        <w:t> </w:t>
      </w:r>
      <w:r>
        <w:rPr>
          <w:sz w:val="24"/>
        </w:rPr>
        <w:t>explanation</w:t>
      </w:r>
      <w:r>
        <w:rPr>
          <w:spacing w:val="-4"/>
          <w:sz w:val="24"/>
        </w:rPr>
        <w:t> </w:t>
      </w:r>
      <w:r>
        <w:rPr>
          <w:sz w:val="24"/>
        </w:rPr>
        <w:t>of</w:t>
      </w:r>
      <w:r>
        <w:rPr>
          <w:spacing w:val="-6"/>
          <w:sz w:val="24"/>
        </w:rPr>
        <w:t> </w:t>
      </w:r>
      <w:r>
        <w:rPr>
          <w:sz w:val="24"/>
        </w:rPr>
        <w:t>the</w:t>
      </w:r>
      <w:r>
        <w:rPr>
          <w:spacing w:val="-5"/>
          <w:sz w:val="24"/>
        </w:rPr>
        <w:t> </w:t>
      </w:r>
      <w:r>
        <w:rPr>
          <w:sz w:val="24"/>
        </w:rPr>
        <w:t>inability</w:t>
      </w:r>
      <w:r>
        <w:rPr>
          <w:spacing w:val="-5"/>
          <w:sz w:val="24"/>
        </w:rPr>
        <w:t> </w:t>
      </w:r>
      <w:r>
        <w:rPr>
          <w:sz w:val="24"/>
        </w:rPr>
        <w:t>of</w:t>
      </w:r>
      <w:r>
        <w:rPr>
          <w:spacing w:val="-4"/>
          <w:sz w:val="24"/>
        </w:rPr>
        <w:t> </w:t>
      </w:r>
      <w:r>
        <w:rPr>
          <w:sz w:val="24"/>
        </w:rPr>
        <w:t>an employee to provide an adequate breath sample for testing; and</w:t>
      </w:r>
    </w:p>
    <w:p>
      <w:pPr>
        <w:pStyle w:val="ListParagraph"/>
        <w:numPr>
          <w:ilvl w:val="4"/>
          <w:numId w:val="360"/>
        </w:numPr>
        <w:tabs>
          <w:tab w:pos="2518" w:val="left" w:leader="none"/>
        </w:tabs>
        <w:spacing w:line="240" w:lineRule="auto" w:before="210" w:after="0"/>
        <w:ind w:left="2518" w:right="0" w:hanging="430"/>
        <w:jc w:val="left"/>
        <w:rPr>
          <w:sz w:val="24"/>
        </w:rPr>
      </w:pPr>
      <w:r>
        <w:rPr>
          <w:sz w:val="24"/>
        </w:rPr>
        <w:t>annual</w:t>
      </w:r>
      <w:r>
        <w:rPr>
          <w:spacing w:val="-4"/>
          <w:sz w:val="24"/>
        </w:rPr>
        <w:t> </w:t>
      </w:r>
      <w:r>
        <w:rPr>
          <w:spacing w:val="-2"/>
          <w:sz w:val="24"/>
        </w:rPr>
        <w:t>reports.</w:t>
      </w:r>
    </w:p>
    <w:p>
      <w:pPr>
        <w:pStyle w:val="ListParagraph"/>
        <w:numPr>
          <w:ilvl w:val="3"/>
          <w:numId w:val="360"/>
        </w:numPr>
        <w:tabs>
          <w:tab w:pos="2082" w:val="left" w:leader="none"/>
        </w:tabs>
        <w:spacing w:line="240" w:lineRule="auto" w:before="204" w:after="0"/>
        <w:ind w:left="2082" w:right="0" w:hanging="426"/>
        <w:jc w:val="left"/>
        <w:rPr>
          <w:sz w:val="24"/>
        </w:rPr>
      </w:pPr>
      <w:r>
        <w:rPr>
          <w:sz w:val="24"/>
        </w:rPr>
        <w:t>Test</w:t>
      </w:r>
      <w:r>
        <w:rPr>
          <w:spacing w:val="-5"/>
          <w:sz w:val="24"/>
        </w:rPr>
        <w:t> </w:t>
      </w:r>
      <w:r>
        <w:rPr>
          <w:sz w:val="24"/>
        </w:rPr>
        <w:t>results</w:t>
      </w:r>
      <w:r>
        <w:rPr>
          <w:spacing w:val="-3"/>
          <w:sz w:val="24"/>
        </w:rPr>
        <w:t> </w:t>
      </w:r>
      <w:r>
        <w:rPr>
          <w:sz w:val="24"/>
        </w:rPr>
        <w:t>records,</w:t>
      </w:r>
      <w:r>
        <w:rPr>
          <w:spacing w:val="-2"/>
          <w:sz w:val="24"/>
        </w:rPr>
        <w:t> including:</w:t>
      </w:r>
    </w:p>
    <w:p>
      <w:pPr>
        <w:pStyle w:val="ListParagraph"/>
        <w:numPr>
          <w:ilvl w:val="4"/>
          <w:numId w:val="360"/>
        </w:numPr>
        <w:tabs>
          <w:tab w:pos="2518" w:val="left" w:leader="none"/>
        </w:tabs>
        <w:spacing w:line="240" w:lineRule="auto" w:before="204" w:after="0"/>
        <w:ind w:left="2518" w:right="0" w:hanging="430"/>
        <w:jc w:val="left"/>
        <w:rPr>
          <w:sz w:val="24"/>
        </w:rPr>
      </w:pPr>
      <w:r>
        <w:rPr>
          <w:sz w:val="24"/>
        </w:rPr>
        <w:t>copy</w:t>
      </w:r>
      <w:r>
        <w:rPr>
          <w:spacing w:val="-5"/>
          <w:sz w:val="24"/>
        </w:rPr>
        <w:t> </w:t>
      </w:r>
      <w:r>
        <w:rPr>
          <w:sz w:val="24"/>
        </w:rPr>
        <w:t>of</w:t>
      </w:r>
      <w:r>
        <w:rPr>
          <w:spacing w:val="-1"/>
          <w:sz w:val="24"/>
        </w:rPr>
        <w:t> </w:t>
      </w:r>
      <w:r>
        <w:rPr>
          <w:sz w:val="24"/>
        </w:rPr>
        <w:t>alcohol</w:t>
      </w:r>
      <w:r>
        <w:rPr>
          <w:spacing w:val="-3"/>
          <w:sz w:val="24"/>
        </w:rPr>
        <w:t> </w:t>
      </w:r>
      <w:r>
        <w:rPr>
          <w:sz w:val="24"/>
        </w:rPr>
        <w:t>test</w:t>
      </w:r>
      <w:r>
        <w:rPr>
          <w:spacing w:val="-1"/>
          <w:sz w:val="24"/>
        </w:rPr>
        <w:t> </w:t>
      </w:r>
      <w:r>
        <w:rPr>
          <w:sz w:val="24"/>
        </w:rPr>
        <w:t>form,</w:t>
      </w:r>
      <w:r>
        <w:rPr>
          <w:spacing w:val="-4"/>
          <w:sz w:val="24"/>
        </w:rPr>
        <w:t> </w:t>
      </w:r>
      <w:r>
        <w:rPr>
          <w:sz w:val="24"/>
        </w:rPr>
        <w:t>including</w:t>
      </w:r>
      <w:r>
        <w:rPr>
          <w:spacing w:val="-2"/>
          <w:sz w:val="24"/>
        </w:rPr>
        <w:t> </w:t>
      </w:r>
      <w:r>
        <w:rPr>
          <w:sz w:val="24"/>
        </w:rPr>
        <w:t>test</w:t>
      </w:r>
      <w:r>
        <w:rPr>
          <w:spacing w:val="-3"/>
          <w:sz w:val="24"/>
        </w:rPr>
        <w:t> </w:t>
      </w:r>
      <w:r>
        <w:rPr>
          <w:spacing w:val="-2"/>
          <w:sz w:val="24"/>
        </w:rPr>
        <w:t>results;</w:t>
      </w:r>
    </w:p>
    <w:p>
      <w:pPr>
        <w:pStyle w:val="ListParagraph"/>
        <w:numPr>
          <w:ilvl w:val="4"/>
          <w:numId w:val="360"/>
        </w:numPr>
        <w:tabs>
          <w:tab w:pos="2517" w:val="left" w:leader="none"/>
        </w:tabs>
        <w:spacing w:line="208" w:lineRule="auto" w:before="234" w:after="0"/>
        <w:ind w:left="2087" w:right="773" w:firstLine="0"/>
        <w:jc w:val="left"/>
        <w:rPr>
          <w:sz w:val="24"/>
        </w:rPr>
      </w:pPr>
      <w:r>
        <w:rPr>
          <w:sz w:val="24"/>
        </w:rPr>
        <w:t>the</w:t>
      </w:r>
      <w:r>
        <w:rPr>
          <w:spacing w:val="-4"/>
          <w:sz w:val="24"/>
        </w:rPr>
        <w:t> </w:t>
      </w:r>
      <w:r>
        <w:rPr>
          <w:sz w:val="24"/>
        </w:rPr>
        <w:t>school's</w:t>
      </w:r>
      <w:r>
        <w:rPr>
          <w:spacing w:val="-4"/>
          <w:sz w:val="24"/>
        </w:rPr>
        <w:t> </w:t>
      </w:r>
      <w:r>
        <w:rPr>
          <w:sz w:val="24"/>
        </w:rPr>
        <w:t>copy</w:t>
      </w:r>
      <w:r>
        <w:rPr>
          <w:spacing w:val="-4"/>
          <w:sz w:val="24"/>
        </w:rPr>
        <w:t> </w:t>
      </w:r>
      <w:r>
        <w:rPr>
          <w:sz w:val="24"/>
        </w:rPr>
        <w:t>of</w:t>
      </w:r>
      <w:r>
        <w:rPr>
          <w:spacing w:val="-5"/>
          <w:sz w:val="24"/>
        </w:rPr>
        <w:t> </w:t>
      </w:r>
      <w:r>
        <w:rPr>
          <w:sz w:val="24"/>
        </w:rPr>
        <w:t>the</w:t>
      </w:r>
      <w:r>
        <w:rPr>
          <w:spacing w:val="-4"/>
          <w:sz w:val="24"/>
        </w:rPr>
        <w:t> </w:t>
      </w:r>
      <w:r>
        <w:rPr>
          <w:sz w:val="24"/>
        </w:rPr>
        <w:t>controlled</w:t>
      </w:r>
      <w:r>
        <w:rPr>
          <w:spacing w:val="-4"/>
          <w:sz w:val="24"/>
        </w:rPr>
        <w:t> </w:t>
      </w:r>
      <w:r>
        <w:rPr>
          <w:sz w:val="24"/>
        </w:rPr>
        <w:t>substances</w:t>
      </w:r>
      <w:r>
        <w:rPr>
          <w:spacing w:val="-4"/>
          <w:sz w:val="24"/>
        </w:rPr>
        <w:t> </w:t>
      </w:r>
      <w:r>
        <w:rPr>
          <w:sz w:val="24"/>
        </w:rPr>
        <w:t>test</w:t>
      </w:r>
      <w:r>
        <w:rPr>
          <w:spacing w:val="-3"/>
          <w:sz w:val="24"/>
        </w:rPr>
        <w:t> </w:t>
      </w:r>
      <w:r>
        <w:rPr>
          <w:sz w:val="24"/>
        </w:rPr>
        <w:t>chain</w:t>
      </w:r>
      <w:r>
        <w:rPr>
          <w:spacing w:val="-4"/>
          <w:sz w:val="24"/>
        </w:rPr>
        <w:t> </w:t>
      </w:r>
      <w:r>
        <w:rPr>
          <w:sz w:val="24"/>
        </w:rPr>
        <w:t>of</w:t>
      </w:r>
      <w:r>
        <w:rPr>
          <w:spacing w:val="-3"/>
          <w:sz w:val="24"/>
        </w:rPr>
        <w:t> </w:t>
      </w:r>
      <w:r>
        <w:rPr>
          <w:sz w:val="24"/>
        </w:rPr>
        <w:t>custody and control form;</w:t>
      </w:r>
    </w:p>
    <w:p>
      <w:pPr>
        <w:pStyle w:val="ListParagraph"/>
        <w:numPr>
          <w:ilvl w:val="4"/>
          <w:numId w:val="360"/>
        </w:numPr>
        <w:tabs>
          <w:tab w:pos="2517" w:val="left" w:leader="none"/>
        </w:tabs>
        <w:spacing w:line="240" w:lineRule="auto" w:before="210" w:after="0"/>
        <w:ind w:left="2517" w:right="0" w:hanging="430"/>
        <w:jc w:val="left"/>
        <w:rPr>
          <w:sz w:val="24"/>
        </w:rPr>
      </w:pPr>
      <w:r>
        <w:rPr>
          <w:sz w:val="24"/>
        </w:rPr>
        <w:t>documents</w:t>
      </w:r>
      <w:r>
        <w:rPr>
          <w:spacing w:val="-5"/>
          <w:sz w:val="24"/>
        </w:rPr>
        <w:t> </w:t>
      </w:r>
      <w:r>
        <w:rPr>
          <w:sz w:val="24"/>
        </w:rPr>
        <w:t>sent</w:t>
      </w:r>
      <w:r>
        <w:rPr>
          <w:spacing w:val="-1"/>
          <w:sz w:val="24"/>
        </w:rPr>
        <w:t> </w:t>
      </w:r>
      <w:r>
        <w:rPr>
          <w:sz w:val="24"/>
        </w:rPr>
        <w:t>by</w:t>
      </w:r>
      <w:r>
        <w:rPr>
          <w:spacing w:val="-2"/>
          <w:sz w:val="24"/>
        </w:rPr>
        <w:t> </w:t>
      </w:r>
      <w:r>
        <w:rPr>
          <w:sz w:val="24"/>
        </w:rPr>
        <w:t>a</w:t>
      </w:r>
      <w:r>
        <w:rPr>
          <w:spacing w:val="-3"/>
          <w:sz w:val="24"/>
        </w:rPr>
        <w:t> </w:t>
      </w:r>
      <w:r>
        <w:rPr>
          <w:sz w:val="24"/>
        </w:rPr>
        <w:t>medical</w:t>
      </w:r>
      <w:r>
        <w:rPr>
          <w:spacing w:val="-3"/>
          <w:sz w:val="24"/>
        </w:rPr>
        <w:t> </w:t>
      </w:r>
      <w:r>
        <w:rPr>
          <w:sz w:val="24"/>
        </w:rPr>
        <w:t>review</w:t>
      </w:r>
      <w:r>
        <w:rPr>
          <w:spacing w:val="-2"/>
          <w:sz w:val="24"/>
        </w:rPr>
        <w:t> </w:t>
      </w:r>
      <w:r>
        <w:rPr>
          <w:sz w:val="24"/>
        </w:rPr>
        <w:t>officer</w:t>
      </w:r>
      <w:r>
        <w:rPr>
          <w:spacing w:val="-1"/>
          <w:sz w:val="24"/>
        </w:rPr>
        <w:t> </w:t>
      </w:r>
      <w:r>
        <w:rPr>
          <w:sz w:val="24"/>
        </w:rPr>
        <w:t>to</w:t>
      </w:r>
      <w:r>
        <w:rPr>
          <w:spacing w:val="-2"/>
          <w:sz w:val="24"/>
        </w:rPr>
        <w:t> </w:t>
      </w:r>
      <w:r>
        <w:rPr>
          <w:sz w:val="24"/>
        </w:rPr>
        <w:t>the</w:t>
      </w:r>
      <w:r>
        <w:rPr>
          <w:spacing w:val="-2"/>
          <w:sz w:val="24"/>
        </w:rPr>
        <w:t> employer;</w:t>
      </w:r>
    </w:p>
    <w:p>
      <w:pPr>
        <w:pStyle w:val="ListParagraph"/>
        <w:numPr>
          <w:ilvl w:val="4"/>
          <w:numId w:val="360"/>
        </w:numPr>
        <w:tabs>
          <w:tab w:pos="2518" w:val="left" w:leader="none"/>
        </w:tabs>
        <w:spacing w:line="208" w:lineRule="auto" w:before="234" w:after="0"/>
        <w:ind w:left="2088" w:right="1219" w:firstLine="0"/>
        <w:jc w:val="left"/>
        <w:rPr>
          <w:sz w:val="24"/>
        </w:rPr>
      </w:pPr>
      <w:r>
        <w:rPr>
          <w:sz w:val="24"/>
        </w:rPr>
        <w:t>documents</w:t>
      </w:r>
      <w:r>
        <w:rPr>
          <w:spacing w:val="-4"/>
          <w:sz w:val="24"/>
        </w:rPr>
        <w:t> </w:t>
      </w:r>
      <w:r>
        <w:rPr>
          <w:sz w:val="24"/>
        </w:rPr>
        <w:t>relating</w:t>
      </w:r>
      <w:r>
        <w:rPr>
          <w:spacing w:val="-4"/>
          <w:sz w:val="24"/>
        </w:rPr>
        <w:t> </w:t>
      </w:r>
      <w:r>
        <w:rPr>
          <w:sz w:val="24"/>
        </w:rPr>
        <w:t>to</w:t>
      </w:r>
      <w:r>
        <w:rPr>
          <w:spacing w:val="-4"/>
          <w:sz w:val="24"/>
        </w:rPr>
        <w:t> </w:t>
      </w:r>
      <w:r>
        <w:rPr>
          <w:sz w:val="24"/>
        </w:rPr>
        <w:t>the</w:t>
      </w:r>
      <w:r>
        <w:rPr>
          <w:spacing w:val="-4"/>
          <w:sz w:val="24"/>
        </w:rPr>
        <w:t> </w:t>
      </w:r>
      <w:r>
        <w:rPr>
          <w:sz w:val="24"/>
        </w:rPr>
        <w:t>refusal</w:t>
      </w:r>
      <w:r>
        <w:rPr>
          <w:spacing w:val="-5"/>
          <w:sz w:val="24"/>
        </w:rPr>
        <w:t> </w:t>
      </w:r>
      <w:r>
        <w:rPr>
          <w:sz w:val="24"/>
        </w:rPr>
        <w:t>of</w:t>
      </w:r>
      <w:r>
        <w:rPr>
          <w:spacing w:val="-3"/>
          <w:sz w:val="24"/>
        </w:rPr>
        <w:t> </w:t>
      </w:r>
      <w:r>
        <w:rPr>
          <w:sz w:val="24"/>
        </w:rPr>
        <w:t>an</w:t>
      </w:r>
      <w:r>
        <w:rPr>
          <w:spacing w:val="-4"/>
          <w:sz w:val="24"/>
        </w:rPr>
        <w:t> </w:t>
      </w:r>
      <w:r>
        <w:rPr>
          <w:sz w:val="24"/>
        </w:rPr>
        <w:t>employee</w:t>
      </w:r>
      <w:r>
        <w:rPr>
          <w:spacing w:val="-4"/>
          <w:sz w:val="24"/>
        </w:rPr>
        <w:t> </w:t>
      </w:r>
      <w:r>
        <w:rPr>
          <w:sz w:val="24"/>
        </w:rPr>
        <w:t>to</w:t>
      </w:r>
      <w:r>
        <w:rPr>
          <w:spacing w:val="-4"/>
          <w:sz w:val="24"/>
        </w:rPr>
        <w:t> </w:t>
      </w:r>
      <w:r>
        <w:rPr>
          <w:sz w:val="24"/>
        </w:rPr>
        <w:t>submit</w:t>
      </w:r>
      <w:r>
        <w:rPr>
          <w:spacing w:val="-3"/>
          <w:sz w:val="24"/>
        </w:rPr>
        <w:t> </w:t>
      </w:r>
      <w:r>
        <w:rPr>
          <w:sz w:val="24"/>
        </w:rPr>
        <w:t>to</w:t>
      </w:r>
      <w:r>
        <w:rPr>
          <w:spacing w:val="-4"/>
          <w:sz w:val="24"/>
        </w:rPr>
        <w:t> </w:t>
      </w:r>
      <w:r>
        <w:rPr>
          <w:sz w:val="24"/>
        </w:rPr>
        <w:t>a test; and</w:t>
      </w:r>
    </w:p>
    <w:p>
      <w:pPr>
        <w:pStyle w:val="ListParagraph"/>
        <w:numPr>
          <w:ilvl w:val="4"/>
          <w:numId w:val="360"/>
        </w:numPr>
        <w:tabs>
          <w:tab w:pos="2518" w:val="left" w:leader="none"/>
        </w:tabs>
        <w:spacing w:line="240" w:lineRule="auto" w:before="210" w:after="0"/>
        <w:ind w:left="2518" w:right="0" w:hanging="430"/>
        <w:jc w:val="left"/>
        <w:rPr>
          <w:sz w:val="24"/>
        </w:rPr>
      </w:pPr>
      <w:r>
        <w:rPr>
          <w:sz w:val="24"/>
        </w:rPr>
        <w:t>documents</w:t>
      </w:r>
      <w:r>
        <w:rPr>
          <w:spacing w:val="-5"/>
          <w:sz w:val="24"/>
        </w:rPr>
        <w:t> </w:t>
      </w:r>
      <w:r>
        <w:rPr>
          <w:sz w:val="24"/>
        </w:rPr>
        <w:t>presented</w:t>
      </w:r>
      <w:r>
        <w:rPr>
          <w:spacing w:val="-3"/>
          <w:sz w:val="24"/>
        </w:rPr>
        <w:t> </w:t>
      </w:r>
      <w:r>
        <w:rPr>
          <w:sz w:val="24"/>
        </w:rPr>
        <w:t>by</w:t>
      </w:r>
      <w:r>
        <w:rPr>
          <w:spacing w:val="-3"/>
          <w:sz w:val="24"/>
        </w:rPr>
        <w:t> </w:t>
      </w:r>
      <w:r>
        <w:rPr>
          <w:sz w:val="24"/>
        </w:rPr>
        <w:t>the</w:t>
      </w:r>
      <w:r>
        <w:rPr>
          <w:spacing w:val="-3"/>
          <w:sz w:val="24"/>
        </w:rPr>
        <w:t> </w:t>
      </w:r>
      <w:r>
        <w:rPr>
          <w:sz w:val="24"/>
        </w:rPr>
        <w:t>employee</w:t>
      </w:r>
      <w:r>
        <w:rPr>
          <w:spacing w:val="-2"/>
          <w:sz w:val="24"/>
        </w:rPr>
        <w:t> </w:t>
      </w:r>
      <w:r>
        <w:rPr>
          <w:sz w:val="24"/>
        </w:rPr>
        <w:t>to</w:t>
      </w:r>
      <w:r>
        <w:rPr>
          <w:spacing w:val="-3"/>
          <w:sz w:val="24"/>
        </w:rPr>
        <w:t> </w:t>
      </w:r>
      <w:r>
        <w:rPr>
          <w:sz w:val="24"/>
        </w:rPr>
        <w:t>dispute</w:t>
      </w:r>
      <w:r>
        <w:rPr>
          <w:spacing w:val="-3"/>
          <w:sz w:val="24"/>
        </w:rPr>
        <w:t> </w:t>
      </w:r>
      <w:r>
        <w:rPr>
          <w:sz w:val="24"/>
        </w:rPr>
        <w:t>test</w:t>
      </w:r>
      <w:r>
        <w:rPr>
          <w:spacing w:val="-3"/>
          <w:sz w:val="24"/>
        </w:rPr>
        <w:t> </w:t>
      </w:r>
      <w:r>
        <w:rPr>
          <w:spacing w:val="-2"/>
          <w:sz w:val="24"/>
        </w:rPr>
        <w:t>results.</w:t>
      </w:r>
    </w:p>
    <w:p>
      <w:pPr>
        <w:pStyle w:val="ListParagraph"/>
        <w:numPr>
          <w:ilvl w:val="3"/>
          <w:numId w:val="360"/>
        </w:numPr>
        <w:tabs>
          <w:tab w:pos="2082" w:val="left" w:leader="none"/>
        </w:tabs>
        <w:spacing w:line="240" w:lineRule="auto" w:before="204" w:after="0"/>
        <w:ind w:left="2082" w:right="0" w:hanging="426"/>
        <w:jc w:val="left"/>
        <w:rPr>
          <w:sz w:val="24"/>
        </w:rPr>
      </w:pPr>
      <w:r>
        <w:rPr>
          <w:sz w:val="24"/>
        </w:rPr>
        <w:t>Records</w:t>
      </w:r>
      <w:r>
        <w:rPr>
          <w:spacing w:val="-6"/>
          <w:sz w:val="24"/>
        </w:rPr>
        <w:t> </w:t>
      </w:r>
      <w:r>
        <w:rPr>
          <w:sz w:val="24"/>
        </w:rPr>
        <w:t>relating</w:t>
      </w:r>
      <w:r>
        <w:rPr>
          <w:spacing w:val="-3"/>
          <w:sz w:val="24"/>
        </w:rPr>
        <w:t> </w:t>
      </w:r>
      <w:r>
        <w:rPr>
          <w:sz w:val="24"/>
        </w:rPr>
        <w:t>to</w:t>
      </w:r>
      <w:r>
        <w:rPr>
          <w:spacing w:val="-4"/>
          <w:sz w:val="24"/>
        </w:rPr>
        <w:t> </w:t>
      </w:r>
      <w:r>
        <w:rPr>
          <w:sz w:val="24"/>
        </w:rPr>
        <w:t>other</w:t>
      </w:r>
      <w:r>
        <w:rPr>
          <w:spacing w:val="-2"/>
          <w:sz w:val="24"/>
        </w:rPr>
        <w:t> </w:t>
      </w:r>
      <w:r>
        <w:rPr>
          <w:sz w:val="24"/>
        </w:rPr>
        <w:t>violations</w:t>
      </w:r>
      <w:r>
        <w:rPr>
          <w:spacing w:val="-4"/>
          <w:sz w:val="24"/>
        </w:rPr>
        <w:t> </w:t>
      </w:r>
      <w:r>
        <w:rPr>
          <w:sz w:val="24"/>
        </w:rPr>
        <w:t>of</w:t>
      </w:r>
      <w:r>
        <w:rPr>
          <w:spacing w:val="-2"/>
          <w:sz w:val="24"/>
        </w:rPr>
        <w:t> </w:t>
      </w:r>
      <w:r>
        <w:rPr>
          <w:sz w:val="24"/>
        </w:rPr>
        <w:t>the</w:t>
      </w:r>
      <w:r>
        <w:rPr>
          <w:spacing w:val="-4"/>
          <w:sz w:val="24"/>
        </w:rPr>
        <w:t> </w:t>
      </w:r>
      <w:r>
        <w:rPr>
          <w:sz w:val="24"/>
        </w:rPr>
        <w:t>regulations</w:t>
      </w:r>
      <w:r>
        <w:rPr>
          <w:spacing w:val="-3"/>
          <w:sz w:val="24"/>
        </w:rPr>
        <w:t> </w:t>
      </w:r>
      <w:r>
        <w:rPr>
          <w:sz w:val="24"/>
        </w:rPr>
        <w:t>by</w:t>
      </w:r>
      <w:r>
        <w:rPr>
          <w:spacing w:val="-3"/>
          <w:sz w:val="24"/>
        </w:rPr>
        <w:t> </w:t>
      </w:r>
      <w:r>
        <w:rPr>
          <w:spacing w:val="-2"/>
          <w:sz w:val="24"/>
        </w:rPr>
        <w:t>employees.</w:t>
      </w:r>
    </w:p>
    <w:p>
      <w:pPr>
        <w:pStyle w:val="ListParagraph"/>
        <w:numPr>
          <w:ilvl w:val="3"/>
          <w:numId w:val="360"/>
        </w:numPr>
        <w:tabs>
          <w:tab w:pos="2082" w:val="left" w:leader="none"/>
        </w:tabs>
        <w:spacing w:line="208" w:lineRule="auto" w:before="233" w:after="0"/>
        <w:ind w:left="1656" w:right="851" w:firstLine="0"/>
        <w:jc w:val="left"/>
        <w:rPr>
          <w:sz w:val="24"/>
        </w:rPr>
      </w:pPr>
      <w:r>
        <w:rPr>
          <w:sz w:val="24"/>
        </w:rPr>
        <w:t>Records relating to evaluations and determinations by a substance abuse</w:t>
      </w:r>
      <w:r>
        <w:rPr>
          <w:spacing w:val="-5"/>
          <w:sz w:val="24"/>
        </w:rPr>
        <w:t> </w:t>
      </w:r>
      <w:r>
        <w:rPr>
          <w:sz w:val="24"/>
        </w:rPr>
        <w:t>professional</w:t>
      </w:r>
      <w:r>
        <w:rPr>
          <w:spacing w:val="-5"/>
          <w:sz w:val="24"/>
        </w:rPr>
        <w:t> </w:t>
      </w:r>
      <w:r>
        <w:rPr>
          <w:sz w:val="24"/>
        </w:rPr>
        <w:t>concerning</w:t>
      </w:r>
      <w:r>
        <w:rPr>
          <w:spacing w:val="-5"/>
          <w:sz w:val="24"/>
        </w:rPr>
        <w:t> </w:t>
      </w:r>
      <w:r>
        <w:rPr>
          <w:sz w:val="24"/>
        </w:rPr>
        <w:t>any</w:t>
      </w:r>
      <w:r>
        <w:rPr>
          <w:spacing w:val="-5"/>
          <w:sz w:val="24"/>
        </w:rPr>
        <w:t> </w:t>
      </w:r>
      <w:r>
        <w:rPr>
          <w:sz w:val="24"/>
        </w:rPr>
        <w:t>employee's</w:t>
      </w:r>
      <w:r>
        <w:rPr>
          <w:spacing w:val="-5"/>
          <w:sz w:val="24"/>
        </w:rPr>
        <w:t> </w:t>
      </w:r>
      <w:r>
        <w:rPr>
          <w:sz w:val="24"/>
        </w:rPr>
        <w:t>need</w:t>
      </w:r>
      <w:r>
        <w:rPr>
          <w:spacing w:val="-5"/>
          <w:sz w:val="24"/>
        </w:rPr>
        <w:t> </w:t>
      </w:r>
      <w:r>
        <w:rPr>
          <w:sz w:val="24"/>
        </w:rPr>
        <w:t>for</w:t>
      </w:r>
      <w:r>
        <w:rPr>
          <w:spacing w:val="-4"/>
          <w:sz w:val="24"/>
        </w:rPr>
        <w:t> </w:t>
      </w:r>
      <w:r>
        <w:rPr>
          <w:sz w:val="24"/>
        </w:rPr>
        <w:t>assistance</w:t>
      </w:r>
      <w:r>
        <w:rPr>
          <w:spacing w:val="-5"/>
          <w:sz w:val="24"/>
        </w:rPr>
        <w:t> </w:t>
      </w:r>
      <w:r>
        <w:rPr>
          <w:sz w:val="24"/>
        </w:rPr>
        <w:t>as</w:t>
      </w:r>
      <w:r>
        <w:rPr>
          <w:spacing w:val="-5"/>
          <w:sz w:val="24"/>
        </w:rPr>
        <w:t> </w:t>
      </w:r>
      <w:r>
        <w:rPr>
          <w:sz w:val="24"/>
        </w:rPr>
        <w:t>well as records concerning an employee's compliance with the recommendations of the substance abuse professional.</w:t>
      </w:r>
    </w:p>
    <w:p>
      <w:pPr>
        <w:pStyle w:val="ListParagraph"/>
        <w:numPr>
          <w:ilvl w:val="3"/>
          <w:numId w:val="360"/>
        </w:numPr>
        <w:tabs>
          <w:tab w:pos="2082" w:val="left" w:leader="none"/>
        </w:tabs>
        <w:spacing w:line="240" w:lineRule="auto" w:before="211" w:after="0"/>
        <w:ind w:left="2082" w:right="0" w:hanging="426"/>
        <w:jc w:val="left"/>
        <w:rPr>
          <w:sz w:val="24"/>
        </w:rPr>
      </w:pPr>
      <w:r>
        <w:rPr>
          <w:sz w:val="24"/>
        </w:rPr>
        <w:t>Education</w:t>
      </w:r>
      <w:r>
        <w:rPr>
          <w:spacing w:val="-5"/>
          <w:sz w:val="24"/>
        </w:rPr>
        <w:t> </w:t>
      </w:r>
      <w:r>
        <w:rPr>
          <w:sz w:val="24"/>
        </w:rPr>
        <w:t>and</w:t>
      </w:r>
      <w:r>
        <w:rPr>
          <w:spacing w:val="-5"/>
          <w:sz w:val="24"/>
        </w:rPr>
        <w:t> </w:t>
      </w:r>
      <w:r>
        <w:rPr>
          <w:sz w:val="24"/>
        </w:rPr>
        <w:t>training,</w:t>
      </w:r>
      <w:r>
        <w:rPr>
          <w:spacing w:val="-3"/>
          <w:sz w:val="24"/>
        </w:rPr>
        <w:t> </w:t>
      </w:r>
      <w:r>
        <w:rPr>
          <w:spacing w:val="-2"/>
          <w:sz w:val="24"/>
        </w:rPr>
        <w:t>including:</w:t>
      </w:r>
    </w:p>
    <w:p>
      <w:pPr>
        <w:pStyle w:val="ListParagraph"/>
        <w:numPr>
          <w:ilvl w:val="4"/>
          <w:numId w:val="360"/>
        </w:numPr>
        <w:tabs>
          <w:tab w:pos="2518" w:val="left" w:leader="none"/>
        </w:tabs>
        <w:spacing w:line="208" w:lineRule="auto" w:before="233" w:after="0"/>
        <w:ind w:left="2088" w:right="1607" w:firstLine="0"/>
        <w:jc w:val="left"/>
        <w:rPr>
          <w:sz w:val="24"/>
        </w:rPr>
      </w:pPr>
      <w:r>
        <w:rPr>
          <w:sz w:val="24"/>
        </w:rPr>
        <w:t>materials</w:t>
      </w:r>
      <w:r>
        <w:rPr>
          <w:spacing w:val="-5"/>
          <w:sz w:val="24"/>
        </w:rPr>
        <w:t> </w:t>
      </w:r>
      <w:r>
        <w:rPr>
          <w:sz w:val="24"/>
        </w:rPr>
        <w:t>on</w:t>
      </w:r>
      <w:r>
        <w:rPr>
          <w:spacing w:val="-5"/>
          <w:sz w:val="24"/>
        </w:rPr>
        <w:t> </w:t>
      </w:r>
      <w:r>
        <w:rPr>
          <w:sz w:val="24"/>
        </w:rPr>
        <w:t>alcohol</w:t>
      </w:r>
      <w:r>
        <w:rPr>
          <w:spacing w:val="-5"/>
          <w:sz w:val="24"/>
        </w:rPr>
        <w:t> </w:t>
      </w:r>
      <w:r>
        <w:rPr>
          <w:sz w:val="24"/>
        </w:rPr>
        <w:t>misuse</w:t>
      </w:r>
      <w:r>
        <w:rPr>
          <w:spacing w:val="-5"/>
          <w:sz w:val="24"/>
        </w:rPr>
        <w:t> </w:t>
      </w:r>
      <w:r>
        <w:rPr>
          <w:sz w:val="24"/>
        </w:rPr>
        <w:t>awareness,</w:t>
      </w:r>
      <w:r>
        <w:rPr>
          <w:spacing w:val="-4"/>
          <w:sz w:val="24"/>
        </w:rPr>
        <w:t> </w:t>
      </w:r>
      <w:r>
        <w:rPr>
          <w:sz w:val="24"/>
        </w:rPr>
        <w:t>including</w:t>
      </w:r>
      <w:r>
        <w:rPr>
          <w:spacing w:val="-5"/>
          <w:sz w:val="24"/>
        </w:rPr>
        <w:t> </w:t>
      </w:r>
      <w:r>
        <w:rPr>
          <w:sz w:val="24"/>
        </w:rPr>
        <w:t>a</w:t>
      </w:r>
      <w:r>
        <w:rPr>
          <w:spacing w:val="-5"/>
          <w:sz w:val="24"/>
        </w:rPr>
        <w:t> </w:t>
      </w:r>
      <w:r>
        <w:rPr>
          <w:sz w:val="24"/>
        </w:rPr>
        <w:t>copy</w:t>
      </w:r>
      <w:r>
        <w:rPr>
          <w:spacing w:val="-5"/>
          <w:sz w:val="24"/>
        </w:rPr>
        <w:t> </w:t>
      </w:r>
      <w:r>
        <w:rPr>
          <w:sz w:val="24"/>
        </w:rPr>
        <w:t>of school's policy on alcohol misuse;</w:t>
      </w:r>
    </w:p>
    <w:p>
      <w:pPr>
        <w:pStyle w:val="ListParagraph"/>
        <w:numPr>
          <w:ilvl w:val="4"/>
          <w:numId w:val="360"/>
        </w:numPr>
        <w:tabs>
          <w:tab w:pos="2518" w:val="left" w:leader="none"/>
        </w:tabs>
        <w:spacing w:line="240" w:lineRule="auto" w:before="211" w:after="0"/>
        <w:ind w:left="2518" w:right="0" w:hanging="430"/>
        <w:jc w:val="left"/>
        <w:rPr>
          <w:sz w:val="24"/>
        </w:rPr>
      </w:pPr>
      <w:r>
        <w:rPr>
          <w:sz w:val="24"/>
        </w:rPr>
        <w:t>documentation</w:t>
      </w:r>
      <w:r>
        <w:rPr>
          <w:spacing w:val="-4"/>
          <w:sz w:val="24"/>
        </w:rPr>
        <w:t> </w:t>
      </w:r>
      <w:r>
        <w:rPr>
          <w:sz w:val="24"/>
        </w:rPr>
        <w:t>of</w:t>
      </w:r>
      <w:r>
        <w:rPr>
          <w:spacing w:val="-3"/>
          <w:sz w:val="24"/>
        </w:rPr>
        <w:t> </w:t>
      </w:r>
      <w:r>
        <w:rPr>
          <w:sz w:val="24"/>
        </w:rPr>
        <w:t>compliance</w:t>
      </w:r>
      <w:r>
        <w:rPr>
          <w:spacing w:val="-4"/>
          <w:sz w:val="24"/>
        </w:rPr>
        <w:t> </w:t>
      </w:r>
      <w:r>
        <w:rPr>
          <w:sz w:val="24"/>
        </w:rPr>
        <w:t>with</w:t>
      </w:r>
      <w:r>
        <w:rPr>
          <w:spacing w:val="-3"/>
          <w:sz w:val="24"/>
        </w:rPr>
        <w:t> </w:t>
      </w:r>
      <w:r>
        <w:rPr>
          <w:spacing w:val="-2"/>
          <w:sz w:val="24"/>
        </w:rPr>
        <w:t>regulations;</w:t>
      </w:r>
    </w:p>
    <w:p>
      <w:pPr>
        <w:pStyle w:val="ListParagraph"/>
        <w:numPr>
          <w:ilvl w:val="4"/>
          <w:numId w:val="360"/>
        </w:numPr>
        <w:tabs>
          <w:tab w:pos="2518" w:val="left" w:leader="none"/>
        </w:tabs>
        <w:spacing w:line="208" w:lineRule="auto" w:before="233" w:after="0"/>
        <w:ind w:left="2088" w:right="1292" w:firstLine="0"/>
        <w:jc w:val="left"/>
        <w:rPr>
          <w:sz w:val="24"/>
        </w:rPr>
      </w:pPr>
      <w:r>
        <w:rPr>
          <w:sz w:val="24"/>
        </w:rPr>
        <w:t>documentation</w:t>
      </w:r>
      <w:r>
        <w:rPr>
          <w:spacing w:val="-4"/>
          <w:sz w:val="24"/>
        </w:rPr>
        <w:t> </w:t>
      </w:r>
      <w:r>
        <w:rPr>
          <w:sz w:val="24"/>
        </w:rPr>
        <w:t>of</w:t>
      </w:r>
      <w:r>
        <w:rPr>
          <w:spacing w:val="-3"/>
          <w:sz w:val="24"/>
        </w:rPr>
        <w:t> </w:t>
      </w:r>
      <w:r>
        <w:rPr>
          <w:sz w:val="24"/>
        </w:rPr>
        <w:t>training</w:t>
      </w:r>
      <w:r>
        <w:rPr>
          <w:spacing w:val="-4"/>
          <w:sz w:val="24"/>
        </w:rPr>
        <w:t> </w:t>
      </w:r>
      <w:r>
        <w:rPr>
          <w:sz w:val="24"/>
        </w:rPr>
        <w:t>provided</w:t>
      </w:r>
      <w:r>
        <w:rPr>
          <w:spacing w:val="-4"/>
          <w:sz w:val="24"/>
        </w:rPr>
        <w:t> </w:t>
      </w:r>
      <w:r>
        <w:rPr>
          <w:sz w:val="24"/>
        </w:rPr>
        <w:t>to</w:t>
      </w:r>
      <w:r>
        <w:rPr>
          <w:spacing w:val="-4"/>
          <w:sz w:val="24"/>
        </w:rPr>
        <w:t> </w:t>
      </w:r>
      <w:r>
        <w:rPr>
          <w:sz w:val="24"/>
        </w:rPr>
        <w:t>supervisors</w:t>
      </w:r>
      <w:r>
        <w:rPr>
          <w:spacing w:val="-4"/>
          <w:sz w:val="24"/>
        </w:rPr>
        <w:t> </w:t>
      </w:r>
      <w:r>
        <w:rPr>
          <w:sz w:val="24"/>
        </w:rPr>
        <w:t>to</w:t>
      </w:r>
      <w:r>
        <w:rPr>
          <w:spacing w:val="-4"/>
          <w:sz w:val="24"/>
        </w:rPr>
        <w:t> </w:t>
      </w:r>
      <w:r>
        <w:rPr>
          <w:sz w:val="24"/>
        </w:rPr>
        <w:t>qualify</w:t>
      </w:r>
      <w:r>
        <w:rPr>
          <w:spacing w:val="-4"/>
          <w:sz w:val="24"/>
        </w:rPr>
        <w:t> </w:t>
      </w:r>
      <w:r>
        <w:rPr>
          <w:sz w:val="24"/>
        </w:rPr>
        <w:t>for making</w:t>
      </w:r>
      <w:r>
        <w:rPr>
          <w:spacing w:val="-6"/>
          <w:sz w:val="24"/>
        </w:rPr>
        <w:t> </w:t>
      </w:r>
      <w:r>
        <w:rPr>
          <w:sz w:val="24"/>
        </w:rPr>
        <w:t>determinations</w:t>
      </w:r>
      <w:r>
        <w:rPr>
          <w:spacing w:val="-6"/>
          <w:sz w:val="24"/>
        </w:rPr>
        <w:t> </w:t>
      </w:r>
      <w:r>
        <w:rPr>
          <w:sz w:val="24"/>
        </w:rPr>
        <w:t>needed</w:t>
      </w:r>
      <w:r>
        <w:rPr>
          <w:spacing w:val="-6"/>
          <w:sz w:val="24"/>
        </w:rPr>
        <w:t> </w:t>
      </w:r>
      <w:r>
        <w:rPr>
          <w:sz w:val="24"/>
        </w:rPr>
        <w:t>for</w:t>
      </w:r>
      <w:r>
        <w:rPr>
          <w:spacing w:val="-5"/>
          <w:sz w:val="24"/>
        </w:rPr>
        <w:t> </w:t>
      </w:r>
      <w:r>
        <w:rPr>
          <w:sz w:val="24"/>
        </w:rPr>
        <w:t>reasonable</w:t>
      </w:r>
      <w:r>
        <w:rPr>
          <w:spacing w:val="-6"/>
          <w:sz w:val="24"/>
        </w:rPr>
        <w:t> </w:t>
      </w:r>
      <w:r>
        <w:rPr>
          <w:sz w:val="24"/>
        </w:rPr>
        <w:t>suspicion</w:t>
      </w:r>
      <w:r>
        <w:rPr>
          <w:spacing w:val="-6"/>
          <w:sz w:val="24"/>
        </w:rPr>
        <w:t> </w:t>
      </w:r>
      <w:r>
        <w:rPr>
          <w:sz w:val="24"/>
        </w:rPr>
        <w:t>tests;</w:t>
      </w:r>
      <w:r>
        <w:rPr>
          <w:spacing w:val="-7"/>
          <w:sz w:val="24"/>
        </w:rPr>
        <w:t> </w:t>
      </w:r>
      <w:r>
        <w:rPr>
          <w:sz w:val="24"/>
        </w:rPr>
        <w:t>and</w:t>
      </w:r>
    </w:p>
    <w:p>
      <w:pPr>
        <w:pStyle w:val="ListParagraph"/>
        <w:numPr>
          <w:ilvl w:val="4"/>
          <w:numId w:val="360"/>
        </w:numPr>
        <w:tabs>
          <w:tab w:pos="2487" w:val="left" w:leader="none"/>
        </w:tabs>
        <w:spacing w:line="208" w:lineRule="auto" w:before="240" w:after="0"/>
        <w:ind w:left="2088" w:right="1519" w:firstLine="0"/>
        <w:jc w:val="left"/>
        <w:rPr>
          <w:sz w:val="24"/>
        </w:rPr>
      </w:pPr>
      <w:r>
        <w:rPr>
          <w:sz w:val="24"/>
        </w:rPr>
        <w:t>certification</w:t>
      </w:r>
      <w:r>
        <w:rPr>
          <w:spacing w:val="-6"/>
          <w:sz w:val="24"/>
        </w:rPr>
        <w:t> </w:t>
      </w:r>
      <w:r>
        <w:rPr>
          <w:sz w:val="24"/>
        </w:rPr>
        <w:t>that</w:t>
      </w:r>
      <w:r>
        <w:rPr>
          <w:spacing w:val="-5"/>
          <w:sz w:val="24"/>
        </w:rPr>
        <w:t> </w:t>
      </w:r>
      <w:r>
        <w:rPr>
          <w:sz w:val="24"/>
        </w:rPr>
        <w:t>training</w:t>
      </w:r>
      <w:r>
        <w:rPr>
          <w:spacing w:val="-6"/>
          <w:sz w:val="24"/>
        </w:rPr>
        <w:t> </w:t>
      </w:r>
      <w:r>
        <w:rPr>
          <w:sz w:val="24"/>
        </w:rPr>
        <w:t>complies</w:t>
      </w:r>
      <w:r>
        <w:rPr>
          <w:spacing w:val="-6"/>
          <w:sz w:val="24"/>
        </w:rPr>
        <w:t> </w:t>
      </w:r>
      <w:r>
        <w:rPr>
          <w:sz w:val="24"/>
        </w:rPr>
        <w:t>with</w:t>
      </w:r>
      <w:r>
        <w:rPr>
          <w:spacing w:val="-6"/>
          <w:sz w:val="24"/>
        </w:rPr>
        <w:t> </w:t>
      </w:r>
      <w:r>
        <w:rPr>
          <w:sz w:val="24"/>
        </w:rPr>
        <w:t>requirements</w:t>
      </w:r>
      <w:r>
        <w:rPr>
          <w:spacing w:val="-6"/>
          <w:sz w:val="24"/>
        </w:rPr>
        <w:t> </w:t>
      </w:r>
      <w:r>
        <w:rPr>
          <w:sz w:val="24"/>
        </w:rPr>
        <w:t>for</w:t>
      </w:r>
      <w:r>
        <w:rPr>
          <w:spacing w:val="-5"/>
          <w:sz w:val="24"/>
        </w:rPr>
        <w:t> </w:t>
      </w:r>
      <w:r>
        <w:rPr>
          <w:sz w:val="24"/>
        </w:rPr>
        <w:t>such </w:t>
      </w:r>
      <w:r>
        <w:rPr>
          <w:spacing w:val="-2"/>
          <w:sz w:val="24"/>
        </w:rPr>
        <w:t>training.</w:t>
      </w:r>
    </w:p>
    <w:p>
      <w:pPr>
        <w:pStyle w:val="ListParagraph"/>
        <w:numPr>
          <w:ilvl w:val="3"/>
          <w:numId w:val="360"/>
        </w:numPr>
        <w:tabs>
          <w:tab w:pos="2082" w:val="left" w:leader="none"/>
        </w:tabs>
        <w:spacing w:line="240" w:lineRule="auto" w:before="210" w:after="0"/>
        <w:ind w:left="2082" w:right="0" w:hanging="426"/>
        <w:jc w:val="left"/>
        <w:rPr>
          <w:sz w:val="24"/>
        </w:rPr>
      </w:pPr>
      <w:r>
        <w:rPr>
          <w:sz w:val="24"/>
        </w:rPr>
        <w:t>Drug</w:t>
      </w:r>
      <w:r>
        <w:rPr>
          <w:spacing w:val="-4"/>
          <w:sz w:val="24"/>
        </w:rPr>
        <w:t> </w:t>
      </w:r>
      <w:r>
        <w:rPr>
          <w:sz w:val="24"/>
        </w:rPr>
        <w:t>testing</w:t>
      </w:r>
      <w:r>
        <w:rPr>
          <w:spacing w:val="-3"/>
          <w:sz w:val="24"/>
        </w:rPr>
        <w:t> </w:t>
      </w:r>
      <w:r>
        <w:rPr>
          <w:sz w:val="24"/>
        </w:rPr>
        <w:t>records,</w:t>
      </w:r>
      <w:r>
        <w:rPr>
          <w:spacing w:val="-2"/>
          <w:sz w:val="24"/>
        </w:rPr>
        <w:t> including:</w:t>
      </w:r>
    </w:p>
    <w:p>
      <w:pPr>
        <w:pStyle w:val="ListParagraph"/>
        <w:numPr>
          <w:ilvl w:val="4"/>
          <w:numId w:val="360"/>
        </w:numPr>
        <w:tabs>
          <w:tab w:pos="2518" w:val="left" w:leader="none"/>
        </w:tabs>
        <w:spacing w:line="208" w:lineRule="auto" w:before="233" w:after="0"/>
        <w:ind w:left="2088" w:right="1381" w:firstLine="0"/>
        <w:jc w:val="left"/>
        <w:rPr>
          <w:sz w:val="24"/>
        </w:rPr>
      </w:pPr>
      <w:r>
        <w:rPr>
          <w:sz w:val="24"/>
        </w:rPr>
        <w:t>agreements</w:t>
      </w:r>
      <w:r>
        <w:rPr>
          <w:spacing w:val="-6"/>
          <w:sz w:val="24"/>
        </w:rPr>
        <w:t> </w:t>
      </w:r>
      <w:r>
        <w:rPr>
          <w:sz w:val="24"/>
        </w:rPr>
        <w:t>with</w:t>
      </w:r>
      <w:r>
        <w:rPr>
          <w:spacing w:val="-6"/>
          <w:sz w:val="24"/>
        </w:rPr>
        <w:t> </w:t>
      </w:r>
      <w:r>
        <w:rPr>
          <w:sz w:val="24"/>
        </w:rPr>
        <w:t>collection</w:t>
      </w:r>
      <w:r>
        <w:rPr>
          <w:spacing w:val="-6"/>
          <w:sz w:val="24"/>
        </w:rPr>
        <w:t> </w:t>
      </w:r>
      <w:r>
        <w:rPr>
          <w:sz w:val="24"/>
        </w:rPr>
        <w:t>site</w:t>
      </w:r>
      <w:r>
        <w:rPr>
          <w:spacing w:val="-6"/>
          <w:sz w:val="24"/>
        </w:rPr>
        <w:t> </w:t>
      </w:r>
      <w:r>
        <w:rPr>
          <w:sz w:val="24"/>
        </w:rPr>
        <w:t>facilities,</w:t>
      </w:r>
      <w:r>
        <w:rPr>
          <w:spacing w:val="-5"/>
          <w:sz w:val="24"/>
        </w:rPr>
        <w:t> </w:t>
      </w:r>
      <w:r>
        <w:rPr>
          <w:sz w:val="24"/>
        </w:rPr>
        <w:t>laboratories,</w:t>
      </w:r>
      <w:r>
        <w:rPr>
          <w:spacing w:val="-7"/>
          <w:sz w:val="24"/>
        </w:rPr>
        <w:t> </w:t>
      </w:r>
      <w:r>
        <w:rPr>
          <w:sz w:val="24"/>
        </w:rPr>
        <w:t>medical review officers and consortia;</w:t>
      </w:r>
    </w:p>
    <w:p>
      <w:pPr>
        <w:pStyle w:val="ListParagraph"/>
        <w:numPr>
          <w:ilvl w:val="4"/>
          <w:numId w:val="360"/>
        </w:numPr>
        <w:tabs>
          <w:tab w:pos="2518" w:val="left" w:leader="none"/>
        </w:tabs>
        <w:spacing w:line="208" w:lineRule="auto" w:before="240" w:after="0"/>
        <w:ind w:left="2088" w:right="1535" w:firstLine="0"/>
        <w:jc w:val="left"/>
        <w:rPr>
          <w:sz w:val="24"/>
        </w:rPr>
      </w:pPr>
      <w:r>
        <w:rPr>
          <w:sz w:val="24"/>
        </w:rPr>
        <w:t>names</w:t>
      </w:r>
      <w:r>
        <w:rPr>
          <w:spacing w:val="-4"/>
          <w:sz w:val="24"/>
        </w:rPr>
        <w:t> </w:t>
      </w:r>
      <w:r>
        <w:rPr>
          <w:sz w:val="24"/>
        </w:rPr>
        <w:t>and</w:t>
      </w:r>
      <w:r>
        <w:rPr>
          <w:spacing w:val="-3"/>
          <w:sz w:val="24"/>
        </w:rPr>
        <w:t> </w:t>
      </w:r>
      <w:r>
        <w:rPr>
          <w:sz w:val="24"/>
        </w:rPr>
        <w:t>positions</w:t>
      </w:r>
      <w:r>
        <w:rPr>
          <w:spacing w:val="-4"/>
          <w:sz w:val="24"/>
        </w:rPr>
        <w:t> </w:t>
      </w:r>
      <w:r>
        <w:rPr>
          <w:sz w:val="24"/>
        </w:rPr>
        <w:t>of</w:t>
      </w:r>
      <w:r>
        <w:rPr>
          <w:spacing w:val="-3"/>
          <w:sz w:val="24"/>
        </w:rPr>
        <w:t> </w:t>
      </w:r>
      <w:r>
        <w:rPr>
          <w:sz w:val="24"/>
        </w:rPr>
        <w:t>officials</w:t>
      </w:r>
      <w:r>
        <w:rPr>
          <w:spacing w:val="-4"/>
          <w:sz w:val="24"/>
        </w:rPr>
        <w:t> </w:t>
      </w:r>
      <w:r>
        <w:rPr>
          <w:sz w:val="24"/>
        </w:rPr>
        <w:t>and</w:t>
      </w:r>
      <w:r>
        <w:rPr>
          <w:spacing w:val="-4"/>
          <w:sz w:val="24"/>
        </w:rPr>
        <w:t> </w:t>
      </w:r>
      <w:r>
        <w:rPr>
          <w:sz w:val="24"/>
        </w:rPr>
        <w:t>their</w:t>
      </w:r>
      <w:r>
        <w:rPr>
          <w:spacing w:val="-3"/>
          <w:sz w:val="24"/>
        </w:rPr>
        <w:t> </w:t>
      </w:r>
      <w:r>
        <w:rPr>
          <w:sz w:val="24"/>
        </w:rPr>
        <w:t>role</w:t>
      </w:r>
      <w:r>
        <w:rPr>
          <w:spacing w:val="-4"/>
          <w:sz w:val="24"/>
        </w:rPr>
        <w:t> </w:t>
      </w:r>
      <w:r>
        <w:rPr>
          <w:sz w:val="24"/>
        </w:rPr>
        <w:t>in</w:t>
      </w:r>
      <w:r>
        <w:rPr>
          <w:spacing w:val="-4"/>
          <w:sz w:val="24"/>
        </w:rPr>
        <w:t> </w:t>
      </w:r>
      <w:r>
        <w:rPr>
          <w:sz w:val="24"/>
        </w:rPr>
        <w:t>the</w:t>
      </w:r>
      <w:r>
        <w:rPr>
          <w:spacing w:val="-4"/>
          <w:sz w:val="24"/>
        </w:rPr>
        <w:t> </w:t>
      </w:r>
      <w:r>
        <w:rPr>
          <w:sz w:val="24"/>
        </w:rPr>
        <w:t>school's alcohol and controlled substances testing programs;</w:t>
      </w:r>
    </w:p>
    <w:p>
      <w:pPr>
        <w:pStyle w:val="ListParagraph"/>
        <w:numPr>
          <w:ilvl w:val="4"/>
          <w:numId w:val="360"/>
        </w:numPr>
        <w:tabs>
          <w:tab w:pos="2518" w:val="left" w:leader="none"/>
        </w:tabs>
        <w:spacing w:line="240" w:lineRule="auto" w:before="211" w:after="0"/>
        <w:ind w:left="2518" w:right="0" w:hanging="430"/>
        <w:jc w:val="left"/>
        <w:rPr>
          <w:sz w:val="24"/>
        </w:rPr>
      </w:pPr>
      <w:r>
        <w:rPr>
          <w:sz w:val="24"/>
        </w:rPr>
        <w:t>monthly</w:t>
      </w:r>
      <w:r>
        <w:rPr>
          <w:spacing w:val="-7"/>
          <w:sz w:val="24"/>
        </w:rPr>
        <w:t> </w:t>
      </w:r>
      <w:r>
        <w:rPr>
          <w:sz w:val="24"/>
        </w:rPr>
        <w:t>laboratory</w:t>
      </w:r>
      <w:r>
        <w:rPr>
          <w:spacing w:val="-4"/>
          <w:sz w:val="24"/>
        </w:rPr>
        <w:t> </w:t>
      </w:r>
      <w:r>
        <w:rPr>
          <w:sz w:val="24"/>
        </w:rPr>
        <w:t>statistical</w:t>
      </w:r>
      <w:r>
        <w:rPr>
          <w:spacing w:val="-5"/>
          <w:sz w:val="24"/>
        </w:rPr>
        <w:t> </w:t>
      </w:r>
      <w:r>
        <w:rPr>
          <w:sz w:val="24"/>
        </w:rPr>
        <w:t>summaries</w:t>
      </w:r>
      <w:r>
        <w:rPr>
          <w:spacing w:val="-4"/>
          <w:sz w:val="24"/>
        </w:rPr>
        <w:t> </w:t>
      </w:r>
      <w:r>
        <w:rPr>
          <w:sz w:val="24"/>
        </w:rPr>
        <w:t>of</w:t>
      </w:r>
      <w:r>
        <w:rPr>
          <w:spacing w:val="-4"/>
          <w:sz w:val="24"/>
        </w:rPr>
        <w:t> </w:t>
      </w:r>
      <w:r>
        <w:rPr>
          <w:sz w:val="24"/>
        </w:rPr>
        <w:t>urinalyses;</w:t>
      </w:r>
      <w:r>
        <w:rPr>
          <w:spacing w:val="-3"/>
          <w:sz w:val="24"/>
        </w:rPr>
        <w:t> </w:t>
      </w:r>
      <w:r>
        <w:rPr>
          <w:spacing w:val="-5"/>
          <w:sz w:val="24"/>
        </w:rPr>
        <w:t>and</w:t>
      </w:r>
    </w:p>
    <w:p>
      <w:pPr>
        <w:pStyle w:val="ListParagraph"/>
        <w:numPr>
          <w:ilvl w:val="4"/>
          <w:numId w:val="360"/>
        </w:numPr>
        <w:tabs>
          <w:tab w:pos="2518" w:val="left" w:leader="none"/>
        </w:tabs>
        <w:spacing w:line="240" w:lineRule="auto" w:before="204" w:after="0"/>
        <w:ind w:left="2518" w:right="0" w:hanging="430"/>
        <w:jc w:val="left"/>
        <w:rPr>
          <w:sz w:val="24"/>
        </w:rPr>
      </w:pPr>
      <w:r>
        <w:rPr>
          <w:sz w:val="24"/>
        </w:rPr>
        <w:t>the</w:t>
      </w:r>
      <w:r>
        <w:rPr>
          <w:spacing w:val="-3"/>
          <w:sz w:val="24"/>
        </w:rPr>
        <w:t> </w:t>
      </w:r>
      <w:r>
        <w:rPr>
          <w:sz w:val="24"/>
        </w:rPr>
        <w:t>school's</w:t>
      </w:r>
      <w:r>
        <w:rPr>
          <w:spacing w:val="-3"/>
          <w:sz w:val="24"/>
        </w:rPr>
        <w:t> </w:t>
      </w:r>
      <w:r>
        <w:rPr>
          <w:sz w:val="24"/>
        </w:rPr>
        <w:t>drug</w:t>
      </w:r>
      <w:r>
        <w:rPr>
          <w:spacing w:val="-2"/>
          <w:sz w:val="24"/>
        </w:rPr>
        <w:t> </w:t>
      </w:r>
      <w:r>
        <w:rPr>
          <w:sz w:val="24"/>
        </w:rPr>
        <w:t>testing</w:t>
      </w:r>
      <w:r>
        <w:rPr>
          <w:spacing w:val="-3"/>
          <w:sz w:val="24"/>
        </w:rPr>
        <w:t> </w:t>
      </w:r>
      <w:r>
        <w:rPr>
          <w:sz w:val="24"/>
        </w:rPr>
        <w:t>policy</w:t>
      </w:r>
      <w:r>
        <w:rPr>
          <w:spacing w:val="-3"/>
          <w:sz w:val="24"/>
        </w:rPr>
        <w:t> </w:t>
      </w:r>
      <w:r>
        <w:rPr>
          <w:sz w:val="24"/>
        </w:rPr>
        <w:t>and</w:t>
      </w:r>
      <w:r>
        <w:rPr>
          <w:spacing w:val="-2"/>
          <w:sz w:val="24"/>
        </w:rPr>
        <w:t> procedures.</w:t>
      </w:r>
    </w:p>
    <w:p>
      <w:pPr>
        <w:pStyle w:val="ListParagraph"/>
        <w:numPr>
          <w:ilvl w:val="2"/>
          <w:numId w:val="360"/>
        </w:numPr>
        <w:tabs>
          <w:tab w:pos="1717" w:val="left" w:leader="none"/>
        </w:tabs>
        <w:spacing w:line="208" w:lineRule="auto" w:before="233" w:after="0"/>
        <w:ind w:left="1224" w:right="1158" w:firstLine="0"/>
        <w:jc w:val="left"/>
        <w:rPr>
          <w:sz w:val="24"/>
        </w:rPr>
      </w:pPr>
      <w:r>
        <w:rPr>
          <w:sz w:val="24"/>
        </w:rPr>
        <w:t>Record</w:t>
      </w:r>
      <w:r>
        <w:rPr>
          <w:spacing w:val="-4"/>
          <w:sz w:val="24"/>
        </w:rPr>
        <w:t> </w:t>
      </w:r>
      <w:r>
        <w:rPr>
          <w:sz w:val="24"/>
        </w:rPr>
        <w:t>retention.</w:t>
      </w:r>
      <w:r>
        <w:rPr>
          <w:spacing w:val="-3"/>
          <w:sz w:val="24"/>
        </w:rPr>
        <w:t> </w:t>
      </w:r>
      <w:r>
        <w:rPr>
          <w:sz w:val="24"/>
        </w:rPr>
        <w:t>The</w:t>
      </w:r>
      <w:r>
        <w:rPr>
          <w:spacing w:val="-4"/>
          <w:sz w:val="24"/>
        </w:rPr>
        <w:t> </w:t>
      </w:r>
      <w:r>
        <w:rPr>
          <w:sz w:val="24"/>
        </w:rPr>
        <w:t>time</w:t>
      </w:r>
      <w:r>
        <w:rPr>
          <w:spacing w:val="-4"/>
          <w:sz w:val="24"/>
        </w:rPr>
        <w:t> </w:t>
      </w:r>
      <w:r>
        <w:rPr>
          <w:sz w:val="24"/>
        </w:rPr>
        <w:t>periods</w:t>
      </w:r>
      <w:r>
        <w:rPr>
          <w:spacing w:val="-4"/>
          <w:sz w:val="24"/>
        </w:rPr>
        <w:t> </w:t>
      </w:r>
      <w:r>
        <w:rPr>
          <w:sz w:val="24"/>
        </w:rPr>
        <w:t>for</w:t>
      </w:r>
      <w:r>
        <w:rPr>
          <w:spacing w:val="-3"/>
          <w:sz w:val="24"/>
        </w:rPr>
        <w:t> </w:t>
      </w:r>
      <w:r>
        <w:rPr>
          <w:sz w:val="24"/>
        </w:rPr>
        <w:t>retaining</w:t>
      </w:r>
      <w:r>
        <w:rPr>
          <w:spacing w:val="-4"/>
          <w:sz w:val="24"/>
        </w:rPr>
        <w:t> </w:t>
      </w:r>
      <w:r>
        <w:rPr>
          <w:sz w:val="24"/>
        </w:rPr>
        <w:t>records</w:t>
      </w:r>
      <w:r>
        <w:rPr>
          <w:spacing w:val="-4"/>
          <w:sz w:val="24"/>
        </w:rPr>
        <w:t> </w:t>
      </w:r>
      <w:r>
        <w:rPr>
          <w:sz w:val="24"/>
        </w:rPr>
        <w:t>are</w:t>
      </w:r>
      <w:r>
        <w:rPr>
          <w:spacing w:val="-4"/>
          <w:sz w:val="24"/>
        </w:rPr>
        <w:t> </w:t>
      </w:r>
      <w:r>
        <w:rPr>
          <w:sz w:val="24"/>
        </w:rPr>
        <w:t>given</w:t>
      </w:r>
      <w:r>
        <w:rPr>
          <w:spacing w:val="-4"/>
          <w:sz w:val="24"/>
        </w:rPr>
        <w:t> </w:t>
      </w:r>
      <w:r>
        <w:rPr>
          <w:sz w:val="24"/>
        </w:rPr>
        <w:t>in</w:t>
      </w:r>
      <w:r>
        <w:rPr>
          <w:spacing w:val="-4"/>
          <w:sz w:val="24"/>
        </w:rPr>
        <w:t> </w:t>
      </w:r>
      <w:r>
        <w:rPr>
          <w:sz w:val="24"/>
        </w:rPr>
        <w:t>(1) through (3) of this Subsection.</w:t>
      </w:r>
    </w:p>
    <w:p>
      <w:pPr>
        <w:pStyle w:val="ListParagraph"/>
        <w:spacing w:after="0" w:line="208" w:lineRule="auto"/>
        <w:jc w:val="left"/>
        <w:rPr>
          <w:sz w:val="24"/>
        </w:rPr>
        <w:sectPr>
          <w:pgSz w:w="12240" w:h="15840"/>
          <w:pgMar w:top="1340" w:bottom="280" w:left="1080" w:right="720"/>
        </w:sectPr>
      </w:pPr>
    </w:p>
    <w:p>
      <w:pPr>
        <w:pStyle w:val="ListParagraph"/>
        <w:numPr>
          <w:ilvl w:val="3"/>
          <w:numId w:val="360"/>
        </w:numPr>
        <w:tabs>
          <w:tab w:pos="2081" w:val="left" w:leader="none"/>
        </w:tabs>
        <w:spacing w:line="208" w:lineRule="auto" w:before="96" w:after="0"/>
        <w:ind w:left="1656" w:right="736" w:firstLine="0"/>
        <w:jc w:val="left"/>
        <w:rPr>
          <w:sz w:val="24"/>
        </w:rPr>
      </w:pPr>
      <w:r>
        <w:rPr>
          <w:sz w:val="24"/>
        </w:rPr>
        <w:t>Information</w:t>
      </w:r>
      <w:r>
        <w:rPr>
          <w:spacing w:val="-3"/>
          <w:sz w:val="24"/>
        </w:rPr>
        <w:t> </w:t>
      </w:r>
      <w:r>
        <w:rPr>
          <w:sz w:val="24"/>
        </w:rPr>
        <w:t>in</w:t>
      </w:r>
      <w:r>
        <w:rPr>
          <w:spacing w:val="-3"/>
          <w:sz w:val="24"/>
        </w:rPr>
        <w:t> </w:t>
      </w:r>
      <w:r>
        <w:rPr>
          <w:sz w:val="24"/>
        </w:rPr>
        <w:t>(A)</w:t>
      </w:r>
      <w:r>
        <w:rPr>
          <w:spacing w:val="-2"/>
          <w:sz w:val="24"/>
        </w:rPr>
        <w:t> </w:t>
      </w:r>
      <w:r>
        <w:rPr>
          <w:sz w:val="24"/>
        </w:rPr>
        <w:t>through</w:t>
      </w:r>
      <w:r>
        <w:rPr>
          <w:spacing w:val="-3"/>
          <w:sz w:val="24"/>
        </w:rPr>
        <w:t> </w:t>
      </w:r>
      <w:r>
        <w:rPr>
          <w:sz w:val="24"/>
        </w:rPr>
        <w:t>(E)</w:t>
      </w:r>
      <w:r>
        <w:rPr>
          <w:spacing w:val="-4"/>
          <w:sz w:val="24"/>
        </w:rPr>
        <w:t> </w:t>
      </w:r>
      <w:r>
        <w:rPr>
          <w:sz w:val="24"/>
        </w:rPr>
        <w:t>of</w:t>
      </w:r>
      <w:r>
        <w:rPr>
          <w:spacing w:val="-4"/>
          <w:sz w:val="24"/>
        </w:rPr>
        <w:t> </w:t>
      </w:r>
      <w:r>
        <w:rPr>
          <w:sz w:val="24"/>
        </w:rPr>
        <w:t>this</w:t>
      </w:r>
      <w:r>
        <w:rPr>
          <w:spacing w:val="-3"/>
          <w:sz w:val="24"/>
        </w:rPr>
        <w:t> </w:t>
      </w:r>
      <w:r>
        <w:rPr>
          <w:sz w:val="24"/>
        </w:rPr>
        <w:t>Paragraph</w:t>
      </w:r>
      <w:r>
        <w:rPr>
          <w:spacing w:val="-3"/>
          <w:sz w:val="24"/>
        </w:rPr>
        <w:t> </w:t>
      </w:r>
      <w:r>
        <w:rPr>
          <w:sz w:val="24"/>
        </w:rPr>
        <w:t>shall</w:t>
      </w:r>
      <w:r>
        <w:rPr>
          <w:spacing w:val="-3"/>
          <w:sz w:val="24"/>
        </w:rPr>
        <w:t> </w:t>
      </w:r>
      <w:r>
        <w:rPr>
          <w:sz w:val="24"/>
        </w:rPr>
        <w:t>be</w:t>
      </w:r>
      <w:r>
        <w:rPr>
          <w:spacing w:val="-3"/>
          <w:sz w:val="24"/>
        </w:rPr>
        <w:t> </w:t>
      </w:r>
      <w:r>
        <w:rPr>
          <w:sz w:val="24"/>
        </w:rPr>
        <w:t>retained</w:t>
      </w:r>
      <w:r>
        <w:rPr>
          <w:spacing w:val="-3"/>
          <w:sz w:val="24"/>
        </w:rPr>
        <w:t> </w:t>
      </w:r>
      <w:r>
        <w:rPr>
          <w:sz w:val="24"/>
        </w:rPr>
        <w:t>for</w:t>
      </w:r>
      <w:r>
        <w:rPr>
          <w:spacing w:val="-3"/>
          <w:sz w:val="24"/>
        </w:rPr>
        <w:t> </w:t>
      </w:r>
      <w:r>
        <w:rPr>
          <w:sz w:val="24"/>
        </w:rPr>
        <w:t>five </w:t>
      </w:r>
      <w:r>
        <w:rPr>
          <w:spacing w:val="-2"/>
          <w:sz w:val="24"/>
        </w:rPr>
        <w:t>years:</w:t>
      </w:r>
    </w:p>
    <w:p>
      <w:pPr>
        <w:pStyle w:val="ListParagraph"/>
        <w:numPr>
          <w:ilvl w:val="4"/>
          <w:numId w:val="360"/>
        </w:numPr>
        <w:tabs>
          <w:tab w:pos="2518" w:val="left" w:leader="none"/>
        </w:tabs>
        <w:spacing w:line="240" w:lineRule="auto" w:before="210" w:after="0"/>
        <w:ind w:left="2518" w:right="0" w:hanging="430"/>
        <w:jc w:val="left"/>
        <w:rPr>
          <w:sz w:val="24"/>
        </w:rPr>
      </w:pPr>
      <w:r>
        <w:rPr>
          <w:sz w:val="24"/>
        </w:rPr>
        <w:t>records</w:t>
      </w:r>
      <w:r>
        <w:rPr>
          <w:spacing w:val="-4"/>
          <w:sz w:val="24"/>
        </w:rPr>
        <w:t> </w:t>
      </w:r>
      <w:r>
        <w:rPr>
          <w:sz w:val="24"/>
        </w:rPr>
        <w:t>indicating</w:t>
      </w:r>
      <w:r>
        <w:rPr>
          <w:spacing w:val="-3"/>
          <w:sz w:val="24"/>
        </w:rPr>
        <w:t> </w:t>
      </w:r>
      <w:r>
        <w:rPr>
          <w:sz w:val="24"/>
        </w:rPr>
        <w:t>alcohol</w:t>
      </w:r>
      <w:r>
        <w:rPr>
          <w:spacing w:val="-4"/>
          <w:sz w:val="24"/>
        </w:rPr>
        <w:t> </w:t>
      </w:r>
      <w:r>
        <w:rPr>
          <w:sz w:val="24"/>
        </w:rPr>
        <w:t>concentration</w:t>
      </w:r>
      <w:r>
        <w:rPr>
          <w:spacing w:val="-3"/>
          <w:sz w:val="24"/>
        </w:rPr>
        <w:t> </w:t>
      </w:r>
      <w:r>
        <w:rPr>
          <w:sz w:val="24"/>
        </w:rPr>
        <w:t>of</w:t>
      </w:r>
      <w:r>
        <w:rPr>
          <w:spacing w:val="-3"/>
          <w:sz w:val="24"/>
        </w:rPr>
        <w:t> </w:t>
      </w:r>
      <w:r>
        <w:rPr>
          <w:sz w:val="24"/>
        </w:rPr>
        <w:t>0.02</w:t>
      </w:r>
      <w:r>
        <w:rPr>
          <w:spacing w:val="-3"/>
          <w:sz w:val="24"/>
        </w:rPr>
        <w:t> </w:t>
      </w:r>
      <w:r>
        <w:rPr>
          <w:sz w:val="24"/>
        </w:rPr>
        <w:t>or</w:t>
      </w:r>
      <w:r>
        <w:rPr>
          <w:spacing w:val="-2"/>
          <w:sz w:val="24"/>
        </w:rPr>
        <w:t> greater;</w:t>
      </w:r>
    </w:p>
    <w:p>
      <w:pPr>
        <w:pStyle w:val="ListParagraph"/>
        <w:numPr>
          <w:ilvl w:val="4"/>
          <w:numId w:val="360"/>
        </w:numPr>
        <w:tabs>
          <w:tab w:pos="2518" w:val="left" w:leader="none"/>
        </w:tabs>
        <w:spacing w:line="208" w:lineRule="auto" w:before="234" w:after="0"/>
        <w:ind w:left="2088" w:right="1015" w:firstLine="0"/>
        <w:jc w:val="left"/>
        <w:rPr>
          <w:sz w:val="24"/>
        </w:rPr>
      </w:pPr>
      <w:r>
        <w:rPr>
          <w:sz w:val="24"/>
        </w:rPr>
        <w:t>records</w:t>
      </w:r>
      <w:r>
        <w:rPr>
          <w:spacing w:val="-6"/>
          <w:sz w:val="24"/>
        </w:rPr>
        <w:t> </w:t>
      </w:r>
      <w:r>
        <w:rPr>
          <w:sz w:val="24"/>
        </w:rPr>
        <w:t>of</w:t>
      </w:r>
      <w:r>
        <w:rPr>
          <w:spacing w:val="-7"/>
          <w:sz w:val="24"/>
        </w:rPr>
        <w:t> </w:t>
      </w:r>
      <w:r>
        <w:rPr>
          <w:sz w:val="24"/>
        </w:rPr>
        <w:t>employees'</w:t>
      </w:r>
      <w:r>
        <w:rPr>
          <w:spacing w:val="-5"/>
          <w:sz w:val="24"/>
        </w:rPr>
        <w:t> </w:t>
      </w:r>
      <w:r>
        <w:rPr>
          <w:sz w:val="24"/>
        </w:rPr>
        <w:t>verified</w:t>
      </w:r>
      <w:r>
        <w:rPr>
          <w:spacing w:val="-6"/>
          <w:sz w:val="24"/>
        </w:rPr>
        <w:t> </w:t>
      </w:r>
      <w:r>
        <w:rPr>
          <w:sz w:val="24"/>
        </w:rPr>
        <w:t>positive</w:t>
      </w:r>
      <w:r>
        <w:rPr>
          <w:spacing w:val="-6"/>
          <w:sz w:val="24"/>
        </w:rPr>
        <w:t> </w:t>
      </w:r>
      <w:r>
        <w:rPr>
          <w:sz w:val="24"/>
        </w:rPr>
        <w:t>controlled</w:t>
      </w:r>
      <w:r>
        <w:rPr>
          <w:spacing w:val="-6"/>
          <w:sz w:val="24"/>
        </w:rPr>
        <w:t> </w:t>
      </w:r>
      <w:r>
        <w:rPr>
          <w:sz w:val="24"/>
        </w:rPr>
        <w:t>substances</w:t>
      </w:r>
      <w:r>
        <w:rPr>
          <w:spacing w:val="-6"/>
          <w:sz w:val="24"/>
        </w:rPr>
        <w:t> </w:t>
      </w:r>
      <w:r>
        <w:rPr>
          <w:sz w:val="24"/>
        </w:rPr>
        <w:t>test </w:t>
      </w:r>
      <w:r>
        <w:rPr>
          <w:spacing w:val="-2"/>
          <w:sz w:val="24"/>
        </w:rPr>
        <w:t>results;</w:t>
      </w:r>
    </w:p>
    <w:p>
      <w:pPr>
        <w:pStyle w:val="ListParagraph"/>
        <w:numPr>
          <w:ilvl w:val="4"/>
          <w:numId w:val="360"/>
        </w:numPr>
        <w:tabs>
          <w:tab w:pos="2518" w:val="left" w:leader="none"/>
        </w:tabs>
        <w:spacing w:line="240" w:lineRule="auto" w:before="210" w:after="0"/>
        <w:ind w:left="2518" w:right="0" w:hanging="430"/>
        <w:jc w:val="left"/>
        <w:rPr>
          <w:sz w:val="24"/>
        </w:rPr>
      </w:pPr>
      <w:r>
        <w:rPr>
          <w:sz w:val="24"/>
        </w:rPr>
        <w:t>documentation</w:t>
      </w:r>
      <w:r>
        <w:rPr>
          <w:spacing w:val="-4"/>
          <w:sz w:val="24"/>
        </w:rPr>
        <w:t> </w:t>
      </w:r>
      <w:r>
        <w:rPr>
          <w:sz w:val="24"/>
        </w:rPr>
        <w:t>of</w:t>
      </w:r>
      <w:r>
        <w:rPr>
          <w:spacing w:val="-2"/>
          <w:sz w:val="24"/>
        </w:rPr>
        <w:t> </w:t>
      </w:r>
      <w:r>
        <w:rPr>
          <w:sz w:val="24"/>
        </w:rPr>
        <w:t>refusals</w:t>
      </w:r>
      <w:r>
        <w:rPr>
          <w:spacing w:val="-3"/>
          <w:sz w:val="24"/>
        </w:rPr>
        <w:t> </w:t>
      </w:r>
      <w:r>
        <w:rPr>
          <w:sz w:val="24"/>
        </w:rPr>
        <w:t>to</w:t>
      </w:r>
      <w:r>
        <w:rPr>
          <w:spacing w:val="-4"/>
          <w:sz w:val="24"/>
        </w:rPr>
        <w:t> </w:t>
      </w:r>
      <w:r>
        <w:rPr>
          <w:sz w:val="24"/>
        </w:rPr>
        <w:t>take</w:t>
      </w:r>
      <w:r>
        <w:rPr>
          <w:spacing w:val="-3"/>
          <w:sz w:val="24"/>
        </w:rPr>
        <w:t> </w:t>
      </w:r>
      <w:r>
        <w:rPr>
          <w:sz w:val="24"/>
        </w:rPr>
        <w:t>required</w:t>
      </w:r>
      <w:r>
        <w:rPr>
          <w:spacing w:val="-3"/>
          <w:sz w:val="24"/>
        </w:rPr>
        <w:t> </w:t>
      </w:r>
      <w:r>
        <w:rPr>
          <w:sz w:val="24"/>
        </w:rPr>
        <w:t>alcohol</w:t>
      </w:r>
      <w:r>
        <w:rPr>
          <w:spacing w:val="-3"/>
          <w:sz w:val="24"/>
        </w:rPr>
        <w:t> </w:t>
      </w:r>
      <w:r>
        <w:rPr>
          <w:spacing w:val="-2"/>
          <w:sz w:val="24"/>
        </w:rPr>
        <w:t>tests;</w:t>
      </w:r>
    </w:p>
    <w:p>
      <w:pPr>
        <w:pStyle w:val="ListParagraph"/>
        <w:numPr>
          <w:ilvl w:val="4"/>
          <w:numId w:val="360"/>
        </w:numPr>
        <w:tabs>
          <w:tab w:pos="2517" w:val="left" w:leader="none"/>
        </w:tabs>
        <w:spacing w:line="240" w:lineRule="auto" w:before="204" w:after="0"/>
        <w:ind w:left="2517" w:right="0" w:hanging="430"/>
        <w:jc w:val="left"/>
        <w:rPr>
          <w:sz w:val="24"/>
        </w:rPr>
      </w:pPr>
      <w:r>
        <w:rPr>
          <w:sz w:val="24"/>
        </w:rPr>
        <w:t>calibration</w:t>
      </w:r>
      <w:r>
        <w:rPr>
          <w:spacing w:val="-7"/>
          <w:sz w:val="24"/>
        </w:rPr>
        <w:t> </w:t>
      </w:r>
      <w:r>
        <w:rPr>
          <w:sz w:val="24"/>
        </w:rPr>
        <w:t>documentation;</w:t>
      </w:r>
      <w:r>
        <w:rPr>
          <w:spacing w:val="-6"/>
          <w:sz w:val="24"/>
        </w:rPr>
        <w:t> </w:t>
      </w:r>
      <w:r>
        <w:rPr>
          <w:spacing w:val="-5"/>
          <w:sz w:val="24"/>
        </w:rPr>
        <w:t>and</w:t>
      </w:r>
    </w:p>
    <w:p>
      <w:pPr>
        <w:pStyle w:val="ListParagraph"/>
        <w:numPr>
          <w:ilvl w:val="4"/>
          <w:numId w:val="360"/>
        </w:numPr>
        <w:tabs>
          <w:tab w:pos="2517" w:val="left" w:leader="none"/>
        </w:tabs>
        <w:spacing w:line="240" w:lineRule="auto" w:before="204" w:after="0"/>
        <w:ind w:left="2517" w:right="0" w:hanging="430"/>
        <w:jc w:val="left"/>
        <w:rPr>
          <w:sz w:val="24"/>
        </w:rPr>
      </w:pPr>
      <w:r>
        <w:rPr>
          <w:sz w:val="24"/>
        </w:rPr>
        <w:t>employee</w:t>
      </w:r>
      <w:r>
        <w:rPr>
          <w:spacing w:val="-4"/>
          <w:sz w:val="24"/>
        </w:rPr>
        <w:t> </w:t>
      </w:r>
      <w:r>
        <w:rPr>
          <w:sz w:val="24"/>
        </w:rPr>
        <w:t>evaluation</w:t>
      </w:r>
      <w:r>
        <w:rPr>
          <w:spacing w:val="-4"/>
          <w:sz w:val="24"/>
        </w:rPr>
        <w:t> </w:t>
      </w:r>
      <w:r>
        <w:rPr>
          <w:sz w:val="24"/>
        </w:rPr>
        <w:t>and</w:t>
      </w:r>
      <w:r>
        <w:rPr>
          <w:spacing w:val="-4"/>
          <w:sz w:val="24"/>
        </w:rPr>
        <w:t> </w:t>
      </w:r>
      <w:r>
        <w:rPr>
          <w:spacing w:val="-2"/>
          <w:sz w:val="24"/>
        </w:rPr>
        <w:t>referrals.</w:t>
      </w:r>
    </w:p>
    <w:p>
      <w:pPr>
        <w:pStyle w:val="ListParagraph"/>
        <w:numPr>
          <w:ilvl w:val="3"/>
          <w:numId w:val="360"/>
        </w:numPr>
        <w:tabs>
          <w:tab w:pos="2080" w:val="left" w:leader="none"/>
        </w:tabs>
        <w:spacing w:line="208" w:lineRule="auto" w:before="234" w:after="0"/>
        <w:ind w:left="1655" w:right="736" w:firstLine="0"/>
        <w:jc w:val="left"/>
        <w:rPr>
          <w:sz w:val="24"/>
        </w:rPr>
      </w:pPr>
      <w:r>
        <w:rPr>
          <w:sz w:val="24"/>
        </w:rPr>
        <w:t>Information</w:t>
      </w:r>
      <w:r>
        <w:rPr>
          <w:spacing w:val="-3"/>
          <w:sz w:val="24"/>
        </w:rPr>
        <w:t> </w:t>
      </w:r>
      <w:r>
        <w:rPr>
          <w:sz w:val="24"/>
        </w:rPr>
        <w:t>in</w:t>
      </w:r>
      <w:r>
        <w:rPr>
          <w:spacing w:val="-3"/>
          <w:sz w:val="24"/>
        </w:rPr>
        <w:t> </w:t>
      </w:r>
      <w:r>
        <w:rPr>
          <w:sz w:val="24"/>
        </w:rPr>
        <w:t>(A)</w:t>
      </w:r>
      <w:r>
        <w:rPr>
          <w:spacing w:val="-2"/>
          <w:sz w:val="24"/>
        </w:rPr>
        <w:t> </w:t>
      </w:r>
      <w:r>
        <w:rPr>
          <w:sz w:val="24"/>
        </w:rPr>
        <w:t>through</w:t>
      </w:r>
      <w:r>
        <w:rPr>
          <w:spacing w:val="-3"/>
          <w:sz w:val="24"/>
        </w:rPr>
        <w:t> </w:t>
      </w:r>
      <w:r>
        <w:rPr>
          <w:sz w:val="24"/>
        </w:rPr>
        <w:t>(E)</w:t>
      </w:r>
      <w:r>
        <w:rPr>
          <w:spacing w:val="-4"/>
          <w:sz w:val="24"/>
        </w:rPr>
        <w:t> </w:t>
      </w:r>
      <w:r>
        <w:rPr>
          <w:sz w:val="24"/>
        </w:rPr>
        <w:t>of</w:t>
      </w:r>
      <w:r>
        <w:rPr>
          <w:spacing w:val="-4"/>
          <w:sz w:val="24"/>
        </w:rPr>
        <w:t> </w:t>
      </w:r>
      <w:r>
        <w:rPr>
          <w:sz w:val="24"/>
        </w:rPr>
        <w:t>this</w:t>
      </w:r>
      <w:r>
        <w:rPr>
          <w:spacing w:val="-3"/>
          <w:sz w:val="24"/>
        </w:rPr>
        <w:t> </w:t>
      </w:r>
      <w:r>
        <w:rPr>
          <w:sz w:val="24"/>
        </w:rPr>
        <w:t>Paragraph</w:t>
      </w:r>
      <w:r>
        <w:rPr>
          <w:spacing w:val="-3"/>
          <w:sz w:val="24"/>
        </w:rPr>
        <w:t> </w:t>
      </w:r>
      <w:r>
        <w:rPr>
          <w:sz w:val="24"/>
        </w:rPr>
        <w:t>shall</w:t>
      </w:r>
      <w:r>
        <w:rPr>
          <w:spacing w:val="-3"/>
          <w:sz w:val="24"/>
        </w:rPr>
        <w:t> </w:t>
      </w:r>
      <w:r>
        <w:rPr>
          <w:sz w:val="24"/>
        </w:rPr>
        <w:t>be</w:t>
      </w:r>
      <w:r>
        <w:rPr>
          <w:spacing w:val="-3"/>
          <w:sz w:val="24"/>
        </w:rPr>
        <w:t> </w:t>
      </w:r>
      <w:r>
        <w:rPr>
          <w:sz w:val="24"/>
        </w:rPr>
        <w:t>retained</w:t>
      </w:r>
      <w:r>
        <w:rPr>
          <w:spacing w:val="-3"/>
          <w:sz w:val="24"/>
        </w:rPr>
        <w:t> </w:t>
      </w:r>
      <w:r>
        <w:rPr>
          <w:sz w:val="24"/>
        </w:rPr>
        <w:t>for</w:t>
      </w:r>
      <w:r>
        <w:rPr>
          <w:spacing w:val="-3"/>
          <w:sz w:val="24"/>
        </w:rPr>
        <w:t> </w:t>
      </w:r>
      <w:r>
        <w:rPr>
          <w:sz w:val="24"/>
        </w:rPr>
        <w:t>two </w:t>
      </w:r>
      <w:r>
        <w:rPr>
          <w:spacing w:val="-2"/>
          <w:sz w:val="24"/>
        </w:rPr>
        <w:t>years:</w:t>
      </w:r>
    </w:p>
    <w:p>
      <w:pPr>
        <w:pStyle w:val="ListParagraph"/>
        <w:numPr>
          <w:ilvl w:val="4"/>
          <w:numId w:val="360"/>
        </w:numPr>
        <w:tabs>
          <w:tab w:pos="2518" w:val="left" w:leader="none"/>
        </w:tabs>
        <w:spacing w:line="208" w:lineRule="auto" w:before="239" w:after="0"/>
        <w:ind w:left="2088" w:right="859" w:firstLine="0"/>
        <w:jc w:val="left"/>
        <w:rPr>
          <w:sz w:val="24"/>
        </w:rPr>
      </w:pPr>
      <w:r>
        <w:rPr>
          <w:sz w:val="24"/>
        </w:rPr>
        <w:t>records</w:t>
      </w:r>
      <w:r>
        <w:rPr>
          <w:spacing w:val="-4"/>
          <w:sz w:val="24"/>
        </w:rPr>
        <w:t> </w:t>
      </w:r>
      <w:r>
        <w:rPr>
          <w:sz w:val="24"/>
        </w:rPr>
        <w:t>related</w:t>
      </w:r>
      <w:r>
        <w:rPr>
          <w:spacing w:val="-4"/>
          <w:sz w:val="24"/>
        </w:rPr>
        <w:t> </w:t>
      </w:r>
      <w:r>
        <w:rPr>
          <w:sz w:val="24"/>
        </w:rPr>
        <w:t>to</w:t>
      </w:r>
      <w:r>
        <w:rPr>
          <w:spacing w:val="-4"/>
          <w:sz w:val="24"/>
        </w:rPr>
        <w:t> </w:t>
      </w:r>
      <w:r>
        <w:rPr>
          <w:sz w:val="24"/>
        </w:rPr>
        <w:t>the</w:t>
      </w:r>
      <w:r>
        <w:rPr>
          <w:spacing w:val="-5"/>
          <w:sz w:val="24"/>
        </w:rPr>
        <w:t> </w:t>
      </w:r>
      <w:r>
        <w:rPr>
          <w:sz w:val="24"/>
        </w:rPr>
        <w:t>collection</w:t>
      </w:r>
      <w:r>
        <w:rPr>
          <w:spacing w:val="-4"/>
          <w:sz w:val="24"/>
        </w:rPr>
        <w:t> </w:t>
      </w:r>
      <w:r>
        <w:rPr>
          <w:sz w:val="24"/>
        </w:rPr>
        <w:t>process</w:t>
      </w:r>
      <w:r>
        <w:rPr>
          <w:spacing w:val="-4"/>
          <w:sz w:val="24"/>
        </w:rPr>
        <w:t> </w:t>
      </w:r>
      <w:r>
        <w:rPr>
          <w:sz w:val="24"/>
        </w:rPr>
        <w:t>(except</w:t>
      </w:r>
      <w:r>
        <w:rPr>
          <w:spacing w:val="-3"/>
          <w:sz w:val="24"/>
        </w:rPr>
        <w:t> </w:t>
      </w:r>
      <w:r>
        <w:rPr>
          <w:sz w:val="24"/>
        </w:rPr>
        <w:t>calibration</w:t>
      </w:r>
      <w:r>
        <w:rPr>
          <w:spacing w:val="-4"/>
          <w:sz w:val="24"/>
        </w:rPr>
        <w:t> </w:t>
      </w:r>
      <w:r>
        <w:rPr>
          <w:sz w:val="24"/>
        </w:rPr>
        <w:t>of</w:t>
      </w:r>
      <w:r>
        <w:rPr>
          <w:spacing w:val="-3"/>
          <w:sz w:val="24"/>
        </w:rPr>
        <w:t> </w:t>
      </w:r>
      <w:r>
        <w:rPr>
          <w:sz w:val="24"/>
        </w:rPr>
        <w:t>EBT devices) and training;</w:t>
      </w:r>
    </w:p>
    <w:p>
      <w:pPr>
        <w:pStyle w:val="ListParagraph"/>
        <w:numPr>
          <w:ilvl w:val="4"/>
          <w:numId w:val="360"/>
        </w:numPr>
        <w:tabs>
          <w:tab w:pos="2518" w:val="left" w:leader="none"/>
        </w:tabs>
        <w:spacing w:line="208" w:lineRule="auto" w:before="240" w:after="0"/>
        <w:ind w:left="2088" w:right="1167" w:firstLine="0"/>
        <w:jc w:val="left"/>
        <w:rPr>
          <w:sz w:val="24"/>
        </w:rPr>
      </w:pPr>
      <w:r>
        <w:rPr>
          <w:sz w:val="24"/>
        </w:rPr>
        <w:t>records</w:t>
      </w:r>
      <w:r>
        <w:rPr>
          <w:spacing w:val="-4"/>
          <w:sz w:val="24"/>
        </w:rPr>
        <w:t> </w:t>
      </w:r>
      <w:r>
        <w:rPr>
          <w:sz w:val="24"/>
        </w:rPr>
        <w:t>of</w:t>
      </w:r>
      <w:r>
        <w:rPr>
          <w:spacing w:val="-5"/>
          <w:sz w:val="24"/>
        </w:rPr>
        <w:t> </w:t>
      </w:r>
      <w:r>
        <w:rPr>
          <w:sz w:val="24"/>
        </w:rPr>
        <w:t>the</w:t>
      </w:r>
      <w:r>
        <w:rPr>
          <w:spacing w:val="-4"/>
          <w:sz w:val="24"/>
        </w:rPr>
        <w:t> </w:t>
      </w:r>
      <w:r>
        <w:rPr>
          <w:sz w:val="24"/>
        </w:rPr>
        <w:t>inspection</w:t>
      </w:r>
      <w:r>
        <w:rPr>
          <w:spacing w:val="-4"/>
          <w:sz w:val="24"/>
        </w:rPr>
        <w:t> </w:t>
      </w:r>
      <w:r>
        <w:rPr>
          <w:sz w:val="24"/>
        </w:rPr>
        <w:t>and</w:t>
      </w:r>
      <w:r>
        <w:rPr>
          <w:spacing w:val="-4"/>
          <w:sz w:val="24"/>
        </w:rPr>
        <w:t> </w:t>
      </w:r>
      <w:r>
        <w:rPr>
          <w:sz w:val="24"/>
        </w:rPr>
        <w:t>maintenance</w:t>
      </w:r>
      <w:r>
        <w:rPr>
          <w:spacing w:val="-4"/>
          <w:sz w:val="24"/>
        </w:rPr>
        <w:t> </w:t>
      </w:r>
      <w:r>
        <w:rPr>
          <w:sz w:val="24"/>
        </w:rPr>
        <w:t>of</w:t>
      </w:r>
      <w:r>
        <w:rPr>
          <w:spacing w:val="-3"/>
          <w:sz w:val="24"/>
        </w:rPr>
        <w:t> </w:t>
      </w:r>
      <w:r>
        <w:rPr>
          <w:sz w:val="24"/>
        </w:rPr>
        <w:t>each</w:t>
      </w:r>
      <w:r>
        <w:rPr>
          <w:spacing w:val="-4"/>
          <w:sz w:val="24"/>
        </w:rPr>
        <w:t> </w:t>
      </w:r>
      <w:r>
        <w:rPr>
          <w:sz w:val="24"/>
        </w:rPr>
        <w:t>EBT</w:t>
      </w:r>
      <w:r>
        <w:rPr>
          <w:spacing w:val="-4"/>
          <w:sz w:val="24"/>
        </w:rPr>
        <w:t> </w:t>
      </w:r>
      <w:r>
        <w:rPr>
          <w:sz w:val="24"/>
        </w:rPr>
        <w:t>used</w:t>
      </w:r>
      <w:r>
        <w:rPr>
          <w:spacing w:val="-4"/>
          <w:sz w:val="24"/>
        </w:rPr>
        <w:t> </w:t>
      </w:r>
      <w:r>
        <w:rPr>
          <w:sz w:val="24"/>
        </w:rPr>
        <w:t>in employee testing;</w:t>
      </w:r>
    </w:p>
    <w:p>
      <w:pPr>
        <w:pStyle w:val="ListParagraph"/>
        <w:numPr>
          <w:ilvl w:val="4"/>
          <w:numId w:val="360"/>
        </w:numPr>
        <w:tabs>
          <w:tab w:pos="2518" w:val="left" w:leader="none"/>
        </w:tabs>
        <w:spacing w:line="208" w:lineRule="auto" w:before="240" w:after="0"/>
        <w:ind w:left="2088" w:right="1112" w:firstLine="0"/>
        <w:jc w:val="left"/>
        <w:rPr>
          <w:sz w:val="24"/>
        </w:rPr>
      </w:pPr>
      <w:r>
        <w:rPr>
          <w:sz w:val="24"/>
        </w:rPr>
        <w:t>documentation</w:t>
      </w:r>
      <w:r>
        <w:rPr>
          <w:spacing w:val="-6"/>
          <w:sz w:val="24"/>
        </w:rPr>
        <w:t> </w:t>
      </w:r>
      <w:r>
        <w:rPr>
          <w:sz w:val="24"/>
        </w:rPr>
        <w:t>of</w:t>
      </w:r>
      <w:r>
        <w:rPr>
          <w:spacing w:val="-5"/>
          <w:sz w:val="24"/>
        </w:rPr>
        <w:t> </w:t>
      </w:r>
      <w:r>
        <w:rPr>
          <w:sz w:val="24"/>
        </w:rPr>
        <w:t>employer</w:t>
      </w:r>
      <w:r>
        <w:rPr>
          <w:spacing w:val="-5"/>
          <w:sz w:val="24"/>
        </w:rPr>
        <w:t> </w:t>
      </w:r>
      <w:r>
        <w:rPr>
          <w:sz w:val="24"/>
        </w:rPr>
        <w:t>compliance</w:t>
      </w:r>
      <w:r>
        <w:rPr>
          <w:spacing w:val="-6"/>
          <w:sz w:val="24"/>
        </w:rPr>
        <w:t> </w:t>
      </w:r>
      <w:r>
        <w:rPr>
          <w:sz w:val="24"/>
        </w:rPr>
        <w:t>with</w:t>
      </w:r>
      <w:r>
        <w:rPr>
          <w:spacing w:val="-6"/>
          <w:sz w:val="24"/>
        </w:rPr>
        <w:t> </w:t>
      </w:r>
      <w:r>
        <w:rPr>
          <w:sz w:val="24"/>
        </w:rPr>
        <w:t>a</w:t>
      </w:r>
      <w:r>
        <w:rPr>
          <w:spacing w:val="-6"/>
          <w:sz w:val="24"/>
        </w:rPr>
        <w:t> </w:t>
      </w:r>
      <w:r>
        <w:rPr>
          <w:sz w:val="24"/>
        </w:rPr>
        <w:t>quality</w:t>
      </w:r>
      <w:r>
        <w:rPr>
          <w:spacing w:val="-6"/>
          <w:sz w:val="24"/>
        </w:rPr>
        <w:t> </w:t>
      </w:r>
      <w:r>
        <w:rPr>
          <w:sz w:val="24"/>
        </w:rPr>
        <w:t>assurance plan developed by the manufacturer;</w:t>
      </w:r>
    </w:p>
    <w:p>
      <w:pPr>
        <w:pStyle w:val="ListParagraph"/>
        <w:numPr>
          <w:ilvl w:val="4"/>
          <w:numId w:val="360"/>
        </w:numPr>
        <w:tabs>
          <w:tab w:pos="2518" w:val="left" w:leader="none"/>
        </w:tabs>
        <w:spacing w:line="208" w:lineRule="auto" w:before="240" w:after="0"/>
        <w:ind w:left="2088" w:right="1538" w:firstLine="0"/>
        <w:jc w:val="left"/>
        <w:rPr>
          <w:sz w:val="24"/>
        </w:rPr>
      </w:pPr>
      <w:r>
        <w:rPr>
          <w:sz w:val="24"/>
        </w:rPr>
        <w:t>records</w:t>
      </w:r>
      <w:r>
        <w:rPr>
          <w:spacing w:val="-4"/>
          <w:sz w:val="24"/>
        </w:rPr>
        <w:t> </w:t>
      </w:r>
      <w:r>
        <w:rPr>
          <w:sz w:val="24"/>
        </w:rPr>
        <w:t>of</w:t>
      </w:r>
      <w:r>
        <w:rPr>
          <w:spacing w:val="-5"/>
          <w:sz w:val="24"/>
        </w:rPr>
        <w:t> </w:t>
      </w:r>
      <w:r>
        <w:rPr>
          <w:sz w:val="24"/>
        </w:rPr>
        <w:t>the</w:t>
      </w:r>
      <w:r>
        <w:rPr>
          <w:spacing w:val="-4"/>
          <w:sz w:val="24"/>
        </w:rPr>
        <w:t> </w:t>
      </w:r>
      <w:r>
        <w:rPr>
          <w:sz w:val="24"/>
        </w:rPr>
        <w:t>training</w:t>
      </w:r>
      <w:r>
        <w:rPr>
          <w:spacing w:val="-3"/>
          <w:sz w:val="24"/>
        </w:rPr>
        <w:t> </w:t>
      </w:r>
      <w:r>
        <w:rPr>
          <w:sz w:val="24"/>
        </w:rPr>
        <w:t>and</w:t>
      </w:r>
      <w:r>
        <w:rPr>
          <w:spacing w:val="-4"/>
          <w:sz w:val="24"/>
        </w:rPr>
        <w:t> </w:t>
      </w:r>
      <w:r>
        <w:rPr>
          <w:sz w:val="24"/>
        </w:rPr>
        <w:t>proficiency</w:t>
      </w:r>
      <w:r>
        <w:rPr>
          <w:spacing w:val="-4"/>
          <w:sz w:val="24"/>
        </w:rPr>
        <w:t> </w:t>
      </w:r>
      <w:r>
        <w:rPr>
          <w:sz w:val="24"/>
        </w:rPr>
        <w:t>testing</w:t>
      </w:r>
      <w:r>
        <w:rPr>
          <w:spacing w:val="-4"/>
          <w:sz w:val="24"/>
        </w:rPr>
        <w:t> </w:t>
      </w:r>
      <w:r>
        <w:rPr>
          <w:sz w:val="24"/>
        </w:rPr>
        <w:t>of</w:t>
      </w:r>
      <w:r>
        <w:rPr>
          <w:spacing w:val="-3"/>
          <w:sz w:val="24"/>
        </w:rPr>
        <w:t> </w:t>
      </w:r>
      <w:r>
        <w:rPr>
          <w:sz w:val="24"/>
        </w:rPr>
        <w:t>each</w:t>
      </w:r>
      <w:r>
        <w:rPr>
          <w:spacing w:val="-4"/>
          <w:sz w:val="24"/>
        </w:rPr>
        <w:t> </w:t>
      </w:r>
      <w:r>
        <w:rPr>
          <w:sz w:val="24"/>
        </w:rPr>
        <w:t>breath alcohol technician (BAT) used in employee testing; and</w:t>
      </w:r>
    </w:p>
    <w:p>
      <w:pPr>
        <w:pStyle w:val="ListParagraph"/>
        <w:numPr>
          <w:ilvl w:val="4"/>
          <w:numId w:val="360"/>
        </w:numPr>
        <w:tabs>
          <w:tab w:pos="2518" w:val="left" w:leader="none"/>
        </w:tabs>
        <w:spacing w:line="208" w:lineRule="auto" w:before="240" w:after="0"/>
        <w:ind w:left="2088" w:right="961" w:firstLine="0"/>
        <w:jc w:val="left"/>
        <w:rPr>
          <w:sz w:val="24"/>
        </w:rPr>
      </w:pPr>
      <w:r>
        <w:rPr>
          <w:sz w:val="24"/>
        </w:rPr>
        <w:t>log</w:t>
      </w:r>
      <w:r>
        <w:rPr>
          <w:spacing w:val="-4"/>
          <w:sz w:val="24"/>
        </w:rPr>
        <w:t> </w:t>
      </w:r>
      <w:r>
        <w:rPr>
          <w:sz w:val="24"/>
        </w:rPr>
        <w:t>books,</w:t>
      </w:r>
      <w:r>
        <w:rPr>
          <w:spacing w:val="-3"/>
          <w:sz w:val="24"/>
        </w:rPr>
        <w:t> </w:t>
      </w:r>
      <w:r>
        <w:rPr>
          <w:sz w:val="24"/>
        </w:rPr>
        <w:t>which</w:t>
      </w:r>
      <w:r>
        <w:rPr>
          <w:spacing w:val="-4"/>
          <w:sz w:val="24"/>
        </w:rPr>
        <w:t> </w:t>
      </w:r>
      <w:r>
        <w:rPr>
          <w:sz w:val="24"/>
        </w:rPr>
        <w:t>are</w:t>
      </w:r>
      <w:r>
        <w:rPr>
          <w:spacing w:val="-4"/>
          <w:sz w:val="24"/>
        </w:rPr>
        <w:t> </w:t>
      </w:r>
      <w:r>
        <w:rPr>
          <w:sz w:val="24"/>
        </w:rPr>
        <w:t>to</w:t>
      </w:r>
      <w:r>
        <w:rPr>
          <w:spacing w:val="-4"/>
          <w:sz w:val="24"/>
        </w:rPr>
        <w:t> </w:t>
      </w:r>
      <w:r>
        <w:rPr>
          <w:sz w:val="24"/>
        </w:rPr>
        <w:t>record</w:t>
      </w:r>
      <w:r>
        <w:rPr>
          <w:spacing w:val="-4"/>
          <w:sz w:val="24"/>
        </w:rPr>
        <w:t> </w:t>
      </w:r>
      <w:r>
        <w:rPr>
          <w:sz w:val="24"/>
        </w:rPr>
        <w:t>EBT's</w:t>
      </w:r>
      <w:r>
        <w:rPr>
          <w:spacing w:val="-4"/>
          <w:sz w:val="24"/>
        </w:rPr>
        <w:t> </w:t>
      </w:r>
      <w:r>
        <w:rPr>
          <w:sz w:val="24"/>
        </w:rPr>
        <w:t>not</w:t>
      </w:r>
      <w:r>
        <w:rPr>
          <w:spacing w:val="-3"/>
          <w:sz w:val="24"/>
        </w:rPr>
        <w:t> </w:t>
      </w:r>
      <w:r>
        <w:rPr>
          <w:sz w:val="24"/>
        </w:rPr>
        <w:t>meeting</w:t>
      </w:r>
      <w:r>
        <w:rPr>
          <w:spacing w:val="-4"/>
          <w:sz w:val="24"/>
        </w:rPr>
        <w:t> </w:t>
      </w:r>
      <w:r>
        <w:rPr>
          <w:sz w:val="24"/>
        </w:rPr>
        <w:t>requirements</w:t>
      </w:r>
      <w:r>
        <w:rPr>
          <w:spacing w:val="-4"/>
          <w:sz w:val="24"/>
        </w:rPr>
        <w:t> </w:t>
      </w:r>
      <w:r>
        <w:rPr>
          <w:sz w:val="24"/>
        </w:rPr>
        <w:t>of 49 CFR 40.53(b).</w:t>
      </w:r>
    </w:p>
    <w:p>
      <w:pPr>
        <w:pStyle w:val="ListParagraph"/>
        <w:numPr>
          <w:ilvl w:val="3"/>
          <w:numId w:val="360"/>
        </w:numPr>
        <w:tabs>
          <w:tab w:pos="2082" w:val="left" w:leader="none"/>
        </w:tabs>
        <w:spacing w:line="208" w:lineRule="auto" w:before="239" w:after="0"/>
        <w:ind w:left="1656" w:right="1017" w:firstLine="0"/>
        <w:jc w:val="left"/>
        <w:rPr>
          <w:sz w:val="24"/>
        </w:rPr>
      </w:pPr>
      <w:r>
        <w:rPr>
          <w:sz w:val="24"/>
        </w:rPr>
        <w:t>Records</w:t>
      </w:r>
      <w:r>
        <w:rPr>
          <w:spacing w:val="-4"/>
          <w:sz w:val="24"/>
        </w:rPr>
        <w:t> </w:t>
      </w:r>
      <w:r>
        <w:rPr>
          <w:sz w:val="24"/>
        </w:rPr>
        <w:t>of</w:t>
      </w:r>
      <w:r>
        <w:rPr>
          <w:spacing w:val="-3"/>
          <w:sz w:val="24"/>
        </w:rPr>
        <w:t> </w:t>
      </w:r>
      <w:r>
        <w:rPr>
          <w:sz w:val="24"/>
        </w:rPr>
        <w:t>negative</w:t>
      </w:r>
      <w:r>
        <w:rPr>
          <w:spacing w:val="-4"/>
          <w:sz w:val="24"/>
        </w:rPr>
        <w:t> </w:t>
      </w:r>
      <w:r>
        <w:rPr>
          <w:sz w:val="24"/>
        </w:rPr>
        <w:t>and</w:t>
      </w:r>
      <w:r>
        <w:rPr>
          <w:spacing w:val="-4"/>
          <w:sz w:val="24"/>
        </w:rPr>
        <w:t> </w:t>
      </w:r>
      <w:r>
        <w:rPr>
          <w:sz w:val="24"/>
        </w:rPr>
        <w:t>canceled</w:t>
      </w:r>
      <w:r>
        <w:rPr>
          <w:spacing w:val="-4"/>
          <w:sz w:val="24"/>
        </w:rPr>
        <w:t> </w:t>
      </w:r>
      <w:r>
        <w:rPr>
          <w:sz w:val="24"/>
        </w:rPr>
        <w:t>test</w:t>
      </w:r>
      <w:r>
        <w:rPr>
          <w:spacing w:val="-3"/>
          <w:sz w:val="24"/>
        </w:rPr>
        <w:t> </w:t>
      </w:r>
      <w:r>
        <w:rPr>
          <w:sz w:val="24"/>
        </w:rPr>
        <w:t>results</w:t>
      </w:r>
      <w:r>
        <w:rPr>
          <w:spacing w:val="-4"/>
          <w:sz w:val="24"/>
        </w:rPr>
        <w:t> </w:t>
      </w:r>
      <w:r>
        <w:rPr>
          <w:sz w:val="24"/>
        </w:rPr>
        <w:t>will</w:t>
      </w:r>
      <w:r>
        <w:rPr>
          <w:spacing w:val="-4"/>
          <w:sz w:val="24"/>
        </w:rPr>
        <w:t> </w:t>
      </w:r>
      <w:r>
        <w:rPr>
          <w:sz w:val="24"/>
        </w:rPr>
        <w:t>be</w:t>
      </w:r>
      <w:r>
        <w:rPr>
          <w:spacing w:val="-3"/>
          <w:sz w:val="24"/>
        </w:rPr>
        <w:t> </w:t>
      </w:r>
      <w:r>
        <w:rPr>
          <w:sz w:val="24"/>
        </w:rPr>
        <w:t>retained</w:t>
      </w:r>
      <w:r>
        <w:rPr>
          <w:spacing w:val="-4"/>
          <w:sz w:val="24"/>
        </w:rPr>
        <w:t> </w:t>
      </w:r>
      <w:r>
        <w:rPr>
          <w:sz w:val="24"/>
        </w:rPr>
        <w:t>for</w:t>
      </w:r>
      <w:r>
        <w:rPr>
          <w:spacing w:val="-3"/>
          <w:sz w:val="24"/>
        </w:rPr>
        <w:t> </w:t>
      </w:r>
      <w:r>
        <w:rPr>
          <w:sz w:val="24"/>
        </w:rPr>
        <w:t>one </w:t>
      </w:r>
      <w:r>
        <w:rPr>
          <w:spacing w:val="-4"/>
          <w:sz w:val="24"/>
        </w:rPr>
        <w:t>year.</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98</w:t>
      </w:r>
      <w:r>
        <w:rPr>
          <w:sz w:val="22"/>
        </w:rPr>
        <w:tab/>
        <w:t>PT</w:t>
      </w:r>
      <w:r>
        <w:rPr>
          <w:spacing w:val="-8"/>
          <w:sz w:val="22"/>
        </w:rPr>
        <w:t> </w:t>
      </w:r>
      <w:r>
        <w:rPr>
          <w:sz w:val="22"/>
        </w:rPr>
        <w:t>Memo</w:t>
      </w:r>
      <w:r>
        <w:rPr>
          <w:spacing w:val="-8"/>
          <w:sz w:val="22"/>
        </w:rPr>
        <w:t> </w:t>
      </w:r>
      <w:r>
        <w:rPr>
          <w:sz w:val="22"/>
        </w:rPr>
        <w:t>#98-</w:t>
      </w:r>
      <w:r>
        <w:rPr>
          <w:spacing w:val="-5"/>
          <w:sz w:val="22"/>
        </w:rPr>
        <w:t>15</w:t>
      </w:r>
    </w:p>
    <w:p>
      <w:pPr>
        <w:spacing w:before="0"/>
        <w:ind w:left="1439" w:right="775" w:firstLine="0"/>
        <w:jc w:val="left"/>
        <w:rPr>
          <w:sz w:val="22"/>
        </w:rPr>
      </w:pPr>
      <w:r>
        <w:rPr>
          <w:sz w:val="22"/>
        </w:rPr>
        <w:t>Permanent,</w:t>
      </w:r>
      <w:r>
        <w:rPr>
          <w:spacing w:val="-3"/>
          <w:sz w:val="22"/>
        </w:rPr>
        <w:t> </w:t>
      </w:r>
      <w:r>
        <w:rPr>
          <w:sz w:val="22"/>
        </w:rPr>
        <w:t>new</w:t>
      </w:r>
      <w:r>
        <w:rPr>
          <w:spacing w:val="-5"/>
          <w:sz w:val="22"/>
        </w:rPr>
        <w:t> </w:t>
      </w:r>
      <w:r>
        <w:rPr>
          <w:sz w:val="22"/>
        </w:rPr>
        <w:t>Section;</w:t>
      </w:r>
      <w:r>
        <w:rPr>
          <w:spacing w:val="-4"/>
          <w:sz w:val="22"/>
        </w:rPr>
        <w:t> </w:t>
      </w:r>
      <w:r>
        <w:rPr>
          <w:sz w:val="22"/>
        </w:rPr>
        <w:t>ITS</w:t>
      </w:r>
      <w:r>
        <w:rPr>
          <w:spacing w:val="-4"/>
          <w:sz w:val="22"/>
        </w:rPr>
        <w:t> </w:t>
      </w:r>
      <w:r>
        <w:rPr>
          <w:sz w:val="22"/>
        </w:rPr>
        <w:t>have</w:t>
      </w:r>
      <w:r>
        <w:rPr>
          <w:spacing w:val="-4"/>
          <w:sz w:val="22"/>
        </w:rPr>
        <w:t> </w:t>
      </w:r>
      <w:r>
        <w:rPr>
          <w:sz w:val="22"/>
        </w:rPr>
        <w:t>drug</w:t>
      </w:r>
      <w:r>
        <w:rPr>
          <w:spacing w:val="-4"/>
          <w:sz w:val="22"/>
        </w:rPr>
        <w:t> </w:t>
      </w:r>
      <w:r>
        <w:rPr>
          <w:sz w:val="22"/>
        </w:rPr>
        <w:t>testing</w:t>
      </w:r>
      <w:r>
        <w:rPr>
          <w:spacing w:val="-4"/>
          <w:sz w:val="22"/>
        </w:rPr>
        <w:t> </w:t>
      </w:r>
      <w:r>
        <w:rPr>
          <w:sz w:val="22"/>
        </w:rPr>
        <w:t>policy</w:t>
      </w:r>
      <w:r>
        <w:rPr>
          <w:spacing w:val="-4"/>
          <w:sz w:val="22"/>
        </w:rPr>
        <w:t> </w:t>
      </w:r>
      <w:r>
        <w:rPr>
          <w:sz w:val="22"/>
        </w:rPr>
        <w:t>for</w:t>
      </w:r>
      <w:r>
        <w:rPr>
          <w:spacing w:val="-4"/>
          <w:sz w:val="22"/>
        </w:rPr>
        <w:t> </w:t>
      </w:r>
      <w:r>
        <w:rPr>
          <w:sz w:val="22"/>
        </w:rPr>
        <w:t>drivers</w:t>
      </w:r>
      <w:r>
        <w:rPr>
          <w:spacing w:val="-4"/>
          <w:sz w:val="22"/>
        </w:rPr>
        <w:t> </w:t>
      </w:r>
      <w:r>
        <w:rPr>
          <w:sz w:val="22"/>
        </w:rPr>
        <w:t>and</w:t>
      </w:r>
      <w:r>
        <w:rPr>
          <w:spacing w:val="-4"/>
          <w:sz w:val="22"/>
        </w:rPr>
        <w:t> </w:t>
      </w:r>
      <w:r>
        <w:rPr>
          <w:sz w:val="22"/>
        </w:rPr>
        <w:t>other</w:t>
      </w:r>
      <w:r>
        <w:rPr>
          <w:spacing w:val="-4"/>
          <w:sz w:val="22"/>
        </w:rPr>
        <w:t> </w:t>
      </w:r>
      <w:r>
        <w:rPr>
          <w:sz w:val="22"/>
        </w:rPr>
        <w:t>safety critical jobs.</w:t>
      </w:r>
    </w:p>
    <w:p>
      <w:pPr>
        <w:tabs>
          <w:tab w:pos="1439" w:val="left" w:leader="none"/>
        </w:tabs>
        <w:spacing w:before="0"/>
        <w:ind w:left="359" w:right="0" w:firstLine="0"/>
        <w:jc w:val="left"/>
        <w:rPr>
          <w:sz w:val="22"/>
        </w:rPr>
      </w:pPr>
      <w:r>
        <w:rPr>
          <w:spacing w:val="-2"/>
          <w:sz w:val="22"/>
        </w:rPr>
        <w:t>9-11-</w:t>
      </w:r>
      <w:r>
        <w:rPr>
          <w:spacing w:val="-5"/>
          <w:sz w:val="22"/>
        </w:rPr>
        <w:t>20</w:t>
      </w:r>
      <w:r>
        <w:rPr>
          <w:sz w:val="22"/>
        </w:rPr>
        <w:tab/>
        <w:t>Revised</w:t>
      </w:r>
      <w:r>
        <w:rPr>
          <w:spacing w:val="-10"/>
          <w:sz w:val="22"/>
        </w:rPr>
        <w:t> </w:t>
      </w:r>
      <w:r>
        <w:rPr>
          <w:sz w:val="22"/>
        </w:rPr>
        <w:t>outdated</w:t>
      </w:r>
      <w:r>
        <w:rPr>
          <w:spacing w:val="-10"/>
          <w:sz w:val="22"/>
        </w:rPr>
        <w:t> </w:t>
      </w:r>
      <w:r>
        <w:rPr>
          <w:spacing w:val="-2"/>
          <w:sz w:val="22"/>
        </w:rPr>
        <w:t>citations.</w:t>
      </w:r>
    </w:p>
    <w:p>
      <w:pPr>
        <w:spacing w:after="0"/>
        <w:jc w:val="left"/>
        <w:rPr>
          <w:sz w:val="22"/>
        </w:rPr>
        <w:sectPr>
          <w:pgSz w:w="12240" w:h="15840"/>
          <w:pgMar w:top="1340" w:bottom="280" w:left="1080" w:right="720"/>
        </w:sectPr>
      </w:pPr>
    </w:p>
    <w:p>
      <w:pPr>
        <w:pStyle w:val="Heading2"/>
      </w:pPr>
      <w:bookmarkStart w:name="612:20-3-39.  Felony record search" w:id="362"/>
      <w:bookmarkEnd w:id="362"/>
      <w:r>
        <w:rPr>
          <w:b w:val="0"/>
        </w:rPr>
      </w:r>
      <w:r>
        <w:rPr/>
        <w:t>612:20-3-39.</w:t>
      </w:r>
      <w:r>
        <w:rPr>
          <w:spacing w:val="59"/>
        </w:rPr>
        <w:t> </w:t>
      </w:r>
      <w:r>
        <w:rPr/>
        <w:t>Felony</w:t>
      </w:r>
      <w:r>
        <w:rPr>
          <w:spacing w:val="-5"/>
        </w:rPr>
        <w:t> </w:t>
      </w:r>
      <w:r>
        <w:rPr/>
        <w:t>record</w:t>
      </w:r>
      <w:r>
        <w:rPr>
          <w:spacing w:val="-3"/>
        </w:rPr>
        <w:t> </w:t>
      </w:r>
      <w:r>
        <w:rPr>
          <w:spacing w:val="-2"/>
        </w:rPr>
        <w:t>search</w:t>
      </w:r>
    </w:p>
    <w:p>
      <w:pPr>
        <w:pStyle w:val="ListParagraph"/>
        <w:numPr>
          <w:ilvl w:val="0"/>
          <w:numId w:val="361"/>
        </w:numPr>
        <w:tabs>
          <w:tab w:pos="786" w:val="left" w:leader="none"/>
        </w:tabs>
        <w:spacing w:line="208" w:lineRule="auto" w:before="233" w:after="0"/>
        <w:ind w:left="360" w:right="1019" w:firstLine="0"/>
        <w:jc w:val="left"/>
        <w:rPr>
          <w:b/>
          <w:sz w:val="24"/>
        </w:rPr>
      </w:pPr>
      <w:r>
        <w:rPr>
          <w:sz w:val="24"/>
        </w:rPr>
        <w:t>The Oklahoma School for the Blind and the Oklahoma School for the Deaf policy requires a felony record search for the recommended applicant for employment including a search of local law enforcement records maintained pursuant to the Sex Offenders Registration Act. </w:t>
      </w:r>
      <w:r>
        <w:rPr>
          <w:b/>
          <w:sz w:val="24"/>
        </w:rPr>
        <w:t>1</w:t>
      </w:r>
      <w:r>
        <w:rPr>
          <w:b/>
          <w:spacing w:val="40"/>
          <w:sz w:val="24"/>
        </w:rPr>
        <w:t> </w:t>
      </w:r>
      <w:r>
        <w:rPr>
          <w:sz w:val="24"/>
        </w:rPr>
        <w:t>Either school may also require a national felony record search</w:t>
      </w:r>
      <w:r>
        <w:rPr>
          <w:spacing w:val="-3"/>
          <w:sz w:val="24"/>
        </w:rPr>
        <w:t> </w:t>
      </w:r>
      <w:r>
        <w:rPr>
          <w:sz w:val="24"/>
        </w:rPr>
        <w:t>based</w:t>
      </w:r>
      <w:r>
        <w:rPr>
          <w:spacing w:val="-2"/>
          <w:sz w:val="24"/>
        </w:rPr>
        <w:t> </w:t>
      </w:r>
      <w:r>
        <w:rPr>
          <w:sz w:val="24"/>
        </w:rPr>
        <w:t>upon</w:t>
      </w:r>
      <w:r>
        <w:rPr>
          <w:spacing w:val="-3"/>
          <w:sz w:val="24"/>
        </w:rPr>
        <w:t> </w:t>
      </w:r>
      <w:r>
        <w:rPr>
          <w:sz w:val="24"/>
        </w:rPr>
        <w:t>fingerprints.</w:t>
      </w:r>
      <w:r>
        <w:rPr>
          <w:spacing w:val="-1"/>
          <w:sz w:val="24"/>
        </w:rPr>
        <w:t> </w:t>
      </w:r>
      <w:r>
        <w:rPr>
          <w:sz w:val="24"/>
        </w:rPr>
        <w:t>The</w:t>
      </w:r>
      <w:r>
        <w:rPr>
          <w:spacing w:val="-3"/>
          <w:sz w:val="24"/>
        </w:rPr>
        <w:t> </w:t>
      </w:r>
      <w:r>
        <w:rPr>
          <w:sz w:val="24"/>
        </w:rPr>
        <w:t>cost</w:t>
      </w:r>
      <w:r>
        <w:rPr>
          <w:spacing w:val="-1"/>
          <w:sz w:val="24"/>
        </w:rPr>
        <w:t> </w:t>
      </w:r>
      <w:r>
        <w:rPr>
          <w:sz w:val="24"/>
        </w:rPr>
        <w:t>of</w:t>
      </w:r>
      <w:r>
        <w:rPr>
          <w:spacing w:val="-3"/>
          <w:sz w:val="24"/>
        </w:rPr>
        <w:t> </w:t>
      </w:r>
      <w:r>
        <w:rPr>
          <w:sz w:val="24"/>
        </w:rPr>
        <w:t>the</w:t>
      </w:r>
      <w:r>
        <w:rPr>
          <w:spacing w:val="-3"/>
          <w:sz w:val="24"/>
        </w:rPr>
        <w:t> </w:t>
      </w:r>
      <w:r>
        <w:rPr>
          <w:sz w:val="24"/>
        </w:rPr>
        <w:t>searches</w:t>
      </w:r>
      <w:r>
        <w:rPr>
          <w:spacing w:val="-2"/>
          <w:sz w:val="24"/>
        </w:rPr>
        <w:t> </w:t>
      </w:r>
      <w:r>
        <w:rPr>
          <w:sz w:val="24"/>
        </w:rPr>
        <w:t>will</w:t>
      </w:r>
      <w:r>
        <w:rPr>
          <w:spacing w:val="-2"/>
          <w:sz w:val="24"/>
        </w:rPr>
        <w:t> </w:t>
      </w:r>
      <w:r>
        <w:rPr>
          <w:sz w:val="24"/>
        </w:rPr>
        <w:t>be</w:t>
      </w:r>
      <w:r>
        <w:rPr>
          <w:spacing w:val="-3"/>
          <w:sz w:val="24"/>
        </w:rPr>
        <w:t> </w:t>
      </w:r>
      <w:r>
        <w:rPr>
          <w:sz w:val="24"/>
        </w:rPr>
        <w:t>paid</w:t>
      </w:r>
      <w:r>
        <w:rPr>
          <w:spacing w:val="-2"/>
          <w:sz w:val="24"/>
        </w:rPr>
        <w:t> </w:t>
      </w:r>
      <w:r>
        <w:rPr>
          <w:sz w:val="24"/>
        </w:rPr>
        <w:t>by</w:t>
      </w:r>
      <w:r>
        <w:rPr>
          <w:spacing w:val="-3"/>
          <w:sz w:val="24"/>
        </w:rPr>
        <w:t> </w:t>
      </w:r>
      <w:r>
        <w:rPr>
          <w:sz w:val="24"/>
        </w:rPr>
        <w:t>the</w:t>
      </w:r>
      <w:r>
        <w:rPr>
          <w:spacing w:val="-2"/>
          <w:sz w:val="24"/>
        </w:rPr>
        <w:t> </w:t>
      </w:r>
      <w:r>
        <w:rPr>
          <w:sz w:val="24"/>
        </w:rPr>
        <w:t>school.</w:t>
      </w:r>
      <w:r>
        <w:rPr>
          <w:spacing w:val="-1"/>
          <w:sz w:val="24"/>
        </w:rPr>
        <w:t> </w:t>
      </w:r>
      <w:r>
        <w:rPr>
          <w:b/>
          <w:spacing w:val="-10"/>
          <w:sz w:val="24"/>
        </w:rPr>
        <w:t>2</w:t>
      </w:r>
    </w:p>
    <w:p>
      <w:pPr>
        <w:pStyle w:val="ListParagraph"/>
        <w:numPr>
          <w:ilvl w:val="0"/>
          <w:numId w:val="361"/>
        </w:numPr>
        <w:tabs>
          <w:tab w:pos="786" w:val="left" w:leader="none"/>
        </w:tabs>
        <w:spacing w:line="208" w:lineRule="auto" w:before="239" w:after="0"/>
        <w:ind w:left="360" w:right="978" w:firstLine="0"/>
        <w:jc w:val="left"/>
        <w:rPr>
          <w:b/>
          <w:sz w:val="24"/>
        </w:rPr>
      </w:pPr>
      <w:r>
        <w:rPr>
          <w:sz w:val="24"/>
        </w:rPr>
        <w:t>An individual may be employed not to exceed sixty (60) calendar days pending receipt of the results of the search. The Superintendent shall review the background information and make the determination whether employment should be continued or terminated. All information contained on and generated from this application and fingerprint</w:t>
      </w:r>
      <w:r>
        <w:rPr>
          <w:spacing w:val="-3"/>
          <w:sz w:val="24"/>
        </w:rPr>
        <w:t> </w:t>
      </w:r>
      <w:r>
        <w:rPr>
          <w:sz w:val="24"/>
        </w:rPr>
        <w:t>cards</w:t>
      </w:r>
      <w:r>
        <w:rPr>
          <w:spacing w:val="-4"/>
          <w:sz w:val="24"/>
        </w:rPr>
        <w:t> </w:t>
      </w:r>
      <w:r>
        <w:rPr>
          <w:sz w:val="24"/>
        </w:rPr>
        <w:t>is</w:t>
      </w:r>
      <w:r>
        <w:rPr>
          <w:spacing w:val="-4"/>
          <w:sz w:val="24"/>
        </w:rPr>
        <w:t> </w:t>
      </w:r>
      <w:r>
        <w:rPr>
          <w:sz w:val="24"/>
        </w:rPr>
        <w:t>to</w:t>
      </w:r>
      <w:r>
        <w:rPr>
          <w:spacing w:val="-4"/>
          <w:sz w:val="24"/>
        </w:rPr>
        <w:t> </w:t>
      </w:r>
      <w:r>
        <w:rPr>
          <w:sz w:val="24"/>
        </w:rPr>
        <w:t>be</w:t>
      </w:r>
      <w:r>
        <w:rPr>
          <w:spacing w:val="-4"/>
          <w:sz w:val="24"/>
        </w:rPr>
        <w:t> </w:t>
      </w:r>
      <w:r>
        <w:rPr>
          <w:sz w:val="24"/>
        </w:rPr>
        <w:t>confidential</w:t>
      </w:r>
      <w:r>
        <w:rPr>
          <w:spacing w:val="-4"/>
          <w:sz w:val="24"/>
        </w:rPr>
        <w:t> </w:t>
      </w:r>
      <w:r>
        <w:rPr>
          <w:sz w:val="24"/>
        </w:rPr>
        <w:t>and</w:t>
      </w:r>
      <w:r>
        <w:rPr>
          <w:spacing w:val="-4"/>
          <w:sz w:val="24"/>
        </w:rPr>
        <w:t> </w:t>
      </w:r>
      <w:r>
        <w:rPr>
          <w:sz w:val="24"/>
        </w:rPr>
        <w:t>used</w:t>
      </w:r>
      <w:r>
        <w:rPr>
          <w:spacing w:val="-4"/>
          <w:sz w:val="24"/>
        </w:rPr>
        <w:t> </w:t>
      </w:r>
      <w:r>
        <w:rPr>
          <w:sz w:val="24"/>
        </w:rPr>
        <w:t>only</w:t>
      </w:r>
      <w:r>
        <w:rPr>
          <w:spacing w:val="-4"/>
          <w:sz w:val="24"/>
        </w:rPr>
        <w:t> </w:t>
      </w:r>
      <w:r>
        <w:rPr>
          <w:sz w:val="24"/>
        </w:rPr>
        <w:t>for</w:t>
      </w:r>
      <w:r>
        <w:rPr>
          <w:spacing w:val="-4"/>
          <w:sz w:val="24"/>
        </w:rPr>
        <w:t> </w:t>
      </w:r>
      <w:r>
        <w:rPr>
          <w:sz w:val="24"/>
        </w:rPr>
        <w:t>professional</w:t>
      </w:r>
      <w:r>
        <w:rPr>
          <w:spacing w:val="-4"/>
          <w:sz w:val="24"/>
        </w:rPr>
        <w:t> </w:t>
      </w:r>
      <w:r>
        <w:rPr>
          <w:sz w:val="24"/>
        </w:rPr>
        <w:t>purposes.</w:t>
      </w:r>
      <w:r>
        <w:rPr>
          <w:spacing w:val="-3"/>
          <w:sz w:val="24"/>
        </w:rPr>
        <w:t> </w:t>
      </w:r>
      <w:r>
        <w:rPr>
          <w:sz w:val="24"/>
        </w:rPr>
        <w:t>Results of the searches will remain the permanent property of the school. </w:t>
      </w:r>
      <w:r>
        <w:rPr>
          <w:b/>
          <w:sz w:val="24"/>
        </w:rPr>
        <w:t>3</w:t>
      </w:r>
    </w:p>
    <w:p>
      <w:pPr>
        <w:pStyle w:val="ListParagraph"/>
        <w:numPr>
          <w:ilvl w:val="0"/>
          <w:numId w:val="361"/>
        </w:numPr>
        <w:tabs>
          <w:tab w:pos="773" w:val="left" w:leader="none"/>
        </w:tabs>
        <w:spacing w:line="208" w:lineRule="auto" w:before="240" w:after="0"/>
        <w:ind w:left="360" w:right="925" w:firstLine="0"/>
        <w:jc w:val="left"/>
        <w:rPr>
          <w:sz w:val="24"/>
        </w:rPr>
      </w:pPr>
      <w:r>
        <w:rPr>
          <w:sz w:val="24"/>
        </w:rPr>
        <w:t>All</w:t>
      </w:r>
      <w:r>
        <w:rPr>
          <w:spacing w:val="-4"/>
          <w:sz w:val="24"/>
        </w:rPr>
        <w:t> </w:t>
      </w:r>
      <w:r>
        <w:rPr>
          <w:sz w:val="24"/>
        </w:rPr>
        <w:t>applicants</w:t>
      </w:r>
      <w:r>
        <w:rPr>
          <w:spacing w:val="-4"/>
          <w:sz w:val="24"/>
        </w:rPr>
        <w:t> </w:t>
      </w:r>
      <w:r>
        <w:rPr>
          <w:sz w:val="24"/>
        </w:rPr>
        <w:t>for</w:t>
      </w:r>
      <w:r>
        <w:rPr>
          <w:spacing w:val="-3"/>
          <w:sz w:val="24"/>
        </w:rPr>
        <w:t> </w:t>
      </w:r>
      <w:r>
        <w:rPr>
          <w:sz w:val="24"/>
        </w:rPr>
        <w:t>employment</w:t>
      </w:r>
      <w:r>
        <w:rPr>
          <w:spacing w:val="-3"/>
          <w:sz w:val="24"/>
        </w:rPr>
        <w:t> </w:t>
      </w:r>
      <w:r>
        <w:rPr>
          <w:sz w:val="24"/>
        </w:rPr>
        <w:t>at</w:t>
      </w:r>
      <w:r>
        <w:rPr>
          <w:spacing w:val="-5"/>
          <w:sz w:val="24"/>
        </w:rPr>
        <w:t> </w:t>
      </w:r>
      <w:r>
        <w:rPr>
          <w:sz w:val="24"/>
        </w:rPr>
        <w:t>the</w:t>
      </w:r>
      <w:r>
        <w:rPr>
          <w:spacing w:val="-4"/>
          <w:sz w:val="24"/>
        </w:rPr>
        <w:t> </w:t>
      </w:r>
      <w:r>
        <w:rPr>
          <w:sz w:val="24"/>
        </w:rPr>
        <w:t>Oklahoma</w:t>
      </w:r>
      <w:r>
        <w:rPr>
          <w:spacing w:val="-4"/>
          <w:sz w:val="24"/>
        </w:rPr>
        <w:t> </w:t>
      </w:r>
      <w:r>
        <w:rPr>
          <w:sz w:val="24"/>
        </w:rPr>
        <w:t>School</w:t>
      </w:r>
      <w:r>
        <w:rPr>
          <w:spacing w:val="-4"/>
          <w:sz w:val="24"/>
        </w:rPr>
        <w:t> </w:t>
      </w:r>
      <w:r>
        <w:rPr>
          <w:sz w:val="24"/>
        </w:rPr>
        <w:t>for</w:t>
      </w:r>
      <w:r>
        <w:rPr>
          <w:spacing w:val="-3"/>
          <w:sz w:val="24"/>
        </w:rPr>
        <w:t> </w:t>
      </w:r>
      <w:r>
        <w:rPr>
          <w:sz w:val="24"/>
        </w:rPr>
        <w:t>the</w:t>
      </w:r>
      <w:r>
        <w:rPr>
          <w:spacing w:val="-4"/>
          <w:sz w:val="24"/>
        </w:rPr>
        <w:t> </w:t>
      </w:r>
      <w:r>
        <w:rPr>
          <w:sz w:val="24"/>
        </w:rPr>
        <w:t>Blind</w:t>
      </w:r>
      <w:r>
        <w:rPr>
          <w:spacing w:val="-4"/>
          <w:sz w:val="24"/>
        </w:rPr>
        <w:t> </w:t>
      </w:r>
      <w:r>
        <w:rPr>
          <w:sz w:val="24"/>
        </w:rPr>
        <w:t>and</w:t>
      </w:r>
      <w:r>
        <w:rPr>
          <w:spacing w:val="-4"/>
          <w:sz w:val="24"/>
        </w:rPr>
        <w:t> </w:t>
      </w:r>
      <w:r>
        <w:rPr>
          <w:sz w:val="24"/>
        </w:rPr>
        <w:t>Oklahoma School for the Deaf shall be notified of this requirement.</w:t>
      </w:r>
    </w:p>
    <w:p>
      <w:pPr>
        <w:pStyle w:val="BodyText"/>
        <w:spacing w:before="210"/>
        <w:ind w:left="792"/>
      </w:pPr>
      <w:r>
        <w:rPr/>
        <w:t>INSTRUCTIONS</w:t>
      </w:r>
      <w:r>
        <w:rPr>
          <w:spacing w:val="-3"/>
        </w:rPr>
        <w:t> </w:t>
      </w:r>
      <w:r>
        <w:rPr/>
        <w:t>TO</w:t>
      </w:r>
      <w:r>
        <w:rPr>
          <w:spacing w:val="-2"/>
        </w:rPr>
        <w:t> </w:t>
      </w:r>
      <w:r>
        <w:rPr>
          <w:spacing w:val="-4"/>
        </w:rPr>
        <w:t>STAFF</w:t>
      </w:r>
    </w:p>
    <w:p>
      <w:pPr>
        <w:pStyle w:val="ListParagraph"/>
        <w:numPr>
          <w:ilvl w:val="1"/>
          <w:numId w:val="361"/>
        </w:numPr>
        <w:tabs>
          <w:tab w:pos="1078" w:val="left" w:leader="none"/>
        </w:tabs>
        <w:spacing w:line="240" w:lineRule="auto" w:before="204" w:after="0"/>
        <w:ind w:left="1078" w:right="0" w:hanging="286"/>
        <w:jc w:val="left"/>
        <w:rPr>
          <w:sz w:val="24"/>
        </w:rPr>
      </w:pPr>
      <w:r>
        <w:rPr>
          <w:sz w:val="24"/>
        </w:rPr>
        <w:t>Title</w:t>
      </w:r>
      <w:r>
        <w:rPr>
          <w:spacing w:val="-5"/>
          <w:sz w:val="24"/>
        </w:rPr>
        <w:t> </w:t>
      </w:r>
      <w:r>
        <w:rPr>
          <w:sz w:val="24"/>
        </w:rPr>
        <w:t>10,</w:t>
      </w:r>
      <w:r>
        <w:rPr>
          <w:spacing w:val="-1"/>
          <w:sz w:val="24"/>
        </w:rPr>
        <w:t> </w:t>
      </w:r>
      <w:r>
        <w:rPr>
          <w:sz w:val="24"/>
        </w:rPr>
        <w:t>O.S.</w:t>
      </w:r>
      <w:r>
        <w:rPr>
          <w:spacing w:val="-1"/>
          <w:sz w:val="24"/>
        </w:rPr>
        <w:t> </w:t>
      </w:r>
      <w:r>
        <w:rPr>
          <w:spacing w:val="-2"/>
          <w:sz w:val="24"/>
        </w:rPr>
        <w:t>404.1</w:t>
      </w:r>
    </w:p>
    <w:p>
      <w:pPr>
        <w:pStyle w:val="ListParagraph"/>
        <w:numPr>
          <w:ilvl w:val="1"/>
          <w:numId w:val="361"/>
        </w:numPr>
        <w:tabs>
          <w:tab w:pos="1078" w:val="left" w:leader="none"/>
        </w:tabs>
        <w:spacing w:line="208" w:lineRule="auto" w:before="234" w:after="0"/>
        <w:ind w:left="792" w:right="912" w:firstLine="0"/>
        <w:jc w:val="left"/>
        <w:rPr>
          <w:sz w:val="24"/>
        </w:rPr>
      </w:pPr>
      <w:r>
        <w:rPr>
          <w:sz w:val="24"/>
        </w:rPr>
        <w:t>Applications</w:t>
      </w:r>
      <w:r>
        <w:rPr>
          <w:spacing w:val="-5"/>
          <w:sz w:val="24"/>
        </w:rPr>
        <w:t> </w:t>
      </w:r>
      <w:r>
        <w:rPr>
          <w:sz w:val="24"/>
        </w:rPr>
        <w:t>for</w:t>
      </w:r>
      <w:r>
        <w:rPr>
          <w:spacing w:val="-4"/>
          <w:sz w:val="24"/>
        </w:rPr>
        <w:t> </w:t>
      </w:r>
      <w:r>
        <w:rPr>
          <w:sz w:val="24"/>
        </w:rPr>
        <w:t>Felony</w:t>
      </w:r>
      <w:r>
        <w:rPr>
          <w:spacing w:val="-5"/>
          <w:sz w:val="24"/>
        </w:rPr>
        <w:t> </w:t>
      </w:r>
      <w:r>
        <w:rPr>
          <w:sz w:val="24"/>
        </w:rPr>
        <w:t>Offense</w:t>
      </w:r>
      <w:r>
        <w:rPr>
          <w:spacing w:val="-6"/>
          <w:sz w:val="24"/>
        </w:rPr>
        <w:t> </w:t>
      </w:r>
      <w:r>
        <w:rPr>
          <w:sz w:val="24"/>
        </w:rPr>
        <w:t>Records</w:t>
      </w:r>
      <w:r>
        <w:rPr>
          <w:spacing w:val="-5"/>
          <w:sz w:val="24"/>
        </w:rPr>
        <w:t> </w:t>
      </w:r>
      <w:r>
        <w:rPr>
          <w:sz w:val="24"/>
        </w:rPr>
        <w:t>and/or</w:t>
      </w:r>
      <w:r>
        <w:rPr>
          <w:spacing w:val="-4"/>
          <w:sz w:val="24"/>
        </w:rPr>
        <w:t> </w:t>
      </w:r>
      <w:r>
        <w:rPr>
          <w:sz w:val="24"/>
        </w:rPr>
        <w:t>Federal</w:t>
      </w:r>
      <w:r>
        <w:rPr>
          <w:spacing w:val="-5"/>
          <w:sz w:val="24"/>
        </w:rPr>
        <w:t> </w:t>
      </w:r>
      <w:r>
        <w:rPr>
          <w:sz w:val="24"/>
        </w:rPr>
        <w:t>Bureau</w:t>
      </w:r>
      <w:r>
        <w:rPr>
          <w:spacing w:val="-5"/>
          <w:sz w:val="24"/>
        </w:rPr>
        <w:t> </w:t>
      </w:r>
      <w:r>
        <w:rPr>
          <w:sz w:val="24"/>
        </w:rPr>
        <w:t>of</w:t>
      </w:r>
      <w:r>
        <w:rPr>
          <w:spacing w:val="-4"/>
          <w:sz w:val="24"/>
        </w:rPr>
        <w:t> </w:t>
      </w:r>
      <w:r>
        <w:rPr>
          <w:sz w:val="24"/>
        </w:rPr>
        <w:t>Investigation fingerprinting cards shall be processed as in (a) through (c) of this Instruction.</w:t>
      </w:r>
    </w:p>
    <w:p>
      <w:pPr>
        <w:pStyle w:val="ListParagraph"/>
        <w:numPr>
          <w:ilvl w:val="2"/>
          <w:numId w:val="361"/>
        </w:numPr>
        <w:tabs>
          <w:tab w:pos="1650" w:val="left" w:leader="none"/>
        </w:tabs>
        <w:spacing w:line="208" w:lineRule="auto" w:before="239" w:after="0"/>
        <w:ind w:left="1224" w:right="1088" w:firstLine="0"/>
        <w:jc w:val="left"/>
        <w:rPr>
          <w:sz w:val="24"/>
        </w:rPr>
      </w:pPr>
      <w:r>
        <w:rPr>
          <w:sz w:val="24"/>
        </w:rPr>
        <w:t>The superintendent or designee shall process Applications for Felony Offense</w:t>
      </w:r>
      <w:r>
        <w:rPr>
          <w:spacing w:val="-7"/>
          <w:sz w:val="24"/>
        </w:rPr>
        <w:t> </w:t>
      </w:r>
      <w:r>
        <w:rPr>
          <w:sz w:val="24"/>
        </w:rPr>
        <w:t>Records</w:t>
      </w:r>
      <w:r>
        <w:rPr>
          <w:spacing w:val="-4"/>
          <w:sz w:val="24"/>
        </w:rPr>
        <w:t> </w:t>
      </w:r>
      <w:r>
        <w:rPr>
          <w:sz w:val="24"/>
        </w:rPr>
        <w:t>and/or</w:t>
      </w:r>
      <w:r>
        <w:rPr>
          <w:spacing w:val="-4"/>
          <w:sz w:val="24"/>
        </w:rPr>
        <w:t> </w:t>
      </w:r>
      <w:r>
        <w:rPr>
          <w:sz w:val="24"/>
        </w:rPr>
        <w:t>Federal</w:t>
      </w:r>
      <w:r>
        <w:rPr>
          <w:spacing w:val="-4"/>
          <w:sz w:val="24"/>
        </w:rPr>
        <w:t> </w:t>
      </w:r>
      <w:r>
        <w:rPr>
          <w:sz w:val="24"/>
        </w:rPr>
        <w:t>Bureau</w:t>
      </w:r>
      <w:r>
        <w:rPr>
          <w:spacing w:val="-4"/>
          <w:sz w:val="24"/>
        </w:rPr>
        <w:t> </w:t>
      </w:r>
      <w:r>
        <w:rPr>
          <w:sz w:val="24"/>
        </w:rPr>
        <w:t>of</w:t>
      </w:r>
      <w:r>
        <w:rPr>
          <w:spacing w:val="-4"/>
          <w:sz w:val="24"/>
        </w:rPr>
        <w:t> </w:t>
      </w:r>
      <w:r>
        <w:rPr>
          <w:sz w:val="24"/>
        </w:rPr>
        <w:t>Investigation</w:t>
      </w:r>
      <w:r>
        <w:rPr>
          <w:spacing w:val="-4"/>
          <w:sz w:val="24"/>
        </w:rPr>
        <w:t> </w:t>
      </w:r>
      <w:r>
        <w:rPr>
          <w:sz w:val="24"/>
        </w:rPr>
        <w:t>fingerprinting</w:t>
      </w:r>
      <w:r>
        <w:rPr>
          <w:spacing w:val="-4"/>
          <w:sz w:val="24"/>
        </w:rPr>
        <w:t> </w:t>
      </w:r>
      <w:r>
        <w:rPr>
          <w:spacing w:val="-2"/>
          <w:sz w:val="24"/>
        </w:rPr>
        <w:t>cards.</w:t>
      </w:r>
    </w:p>
    <w:p>
      <w:pPr>
        <w:pStyle w:val="ListParagraph"/>
        <w:numPr>
          <w:ilvl w:val="2"/>
          <w:numId w:val="361"/>
        </w:numPr>
        <w:tabs>
          <w:tab w:pos="1650" w:val="left" w:leader="none"/>
        </w:tabs>
        <w:spacing w:line="208" w:lineRule="auto" w:before="240" w:after="0"/>
        <w:ind w:left="1224" w:right="903" w:firstLine="0"/>
        <w:jc w:val="left"/>
        <w:rPr>
          <w:sz w:val="24"/>
        </w:rPr>
      </w:pPr>
      <w:r>
        <w:rPr>
          <w:sz w:val="24"/>
        </w:rPr>
        <w:t>The recommended applicant completes the Notification for Background investigation</w:t>
      </w:r>
      <w:r>
        <w:rPr>
          <w:spacing w:val="-4"/>
          <w:sz w:val="24"/>
        </w:rPr>
        <w:t> </w:t>
      </w:r>
      <w:r>
        <w:rPr>
          <w:sz w:val="24"/>
        </w:rPr>
        <w:t>form</w:t>
      </w:r>
      <w:r>
        <w:rPr>
          <w:spacing w:val="-5"/>
          <w:sz w:val="24"/>
        </w:rPr>
        <w:t> </w:t>
      </w:r>
      <w:r>
        <w:rPr>
          <w:sz w:val="24"/>
        </w:rPr>
        <w:t>(DRS-S-20)</w:t>
      </w:r>
      <w:r>
        <w:rPr>
          <w:spacing w:val="-3"/>
          <w:sz w:val="24"/>
        </w:rPr>
        <w:t> </w:t>
      </w:r>
      <w:r>
        <w:rPr>
          <w:sz w:val="24"/>
        </w:rPr>
        <w:t>which</w:t>
      </w:r>
      <w:r>
        <w:rPr>
          <w:spacing w:val="-4"/>
          <w:sz w:val="24"/>
        </w:rPr>
        <w:t> </w:t>
      </w:r>
      <w:r>
        <w:rPr>
          <w:sz w:val="24"/>
        </w:rPr>
        <w:t>serves</w:t>
      </w:r>
      <w:r>
        <w:rPr>
          <w:spacing w:val="-4"/>
          <w:sz w:val="24"/>
        </w:rPr>
        <w:t> </w:t>
      </w:r>
      <w:r>
        <w:rPr>
          <w:sz w:val="24"/>
        </w:rPr>
        <w:t>as</w:t>
      </w:r>
      <w:r>
        <w:rPr>
          <w:spacing w:val="-4"/>
          <w:sz w:val="24"/>
        </w:rPr>
        <w:t> </w:t>
      </w:r>
      <w:r>
        <w:rPr>
          <w:sz w:val="24"/>
        </w:rPr>
        <w:t>notification</w:t>
      </w:r>
      <w:r>
        <w:rPr>
          <w:spacing w:val="-4"/>
          <w:sz w:val="24"/>
        </w:rPr>
        <w:t> </w:t>
      </w:r>
      <w:r>
        <w:rPr>
          <w:sz w:val="24"/>
        </w:rPr>
        <w:t>of</w:t>
      </w:r>
      <w:r>
        <w:rPr>
          <w:spacing w:val="-3"/>
          <w:sz w:val="24"/>
        </w:rPr>
        <w:t> </w:t>
      </w:r>
      <w:r>
        <w:rPr>
          <w:sz w:val="24"/>
        </w:rPr>
        <w:t>the</w:t>
      </w:r>
      <w:r>
        <w:rPr>
          <w:spacing w:val="-4"/>
          <w:sz w:val="24"/>
        </w:rPr>
        <w:t> </w:t>
      </w:r>
      <w:r>
        <w:rPr>
          <w:sz w:val="24"/>
        </w:rPr>
        <w:t>felony</w:t>
      </w:r>
      <w:r>
        <w:rPr>
          <w:spacing w:val="-4"/>
          <w:sz w:val="24"/>
        </w:rPr>
        <w:t> </w:t>
      </w:r>
      <w:r>
        <w:rPr>
          <w:sz w:val="24"/>
        </w:rPr>
        <w:t>record </w:t>
      </w:r>
      <w:r>
        <w:rPr>
          <w:spacing w:val="-2"/>
          <w:sz w:val="24"/>
        </w:rPr>
        <w:t>search.</w:t>
      </w:r>
    </w:p>
    <w:p>
      <w:pPr>
        <w:pStyle w:val="ListParagraph"/>
        <w:numPr>
          <w:ilvl w:val="2"/>
          <w:numId w:val="361"/>
        </w:numPr>
        <w:tabs>
          <w:tab w:pos="1637" w:val="left" w:leader="none"/>
        </w:tabs>
        <w:spacing w:line="208" w:lineRule="auto" w:before="240" w:after="0"/>
        <w:ind w:left="1224" w:right="1330" w:firstLine="0"/>
        <w:jc w:val="left"/>
        <w:rPr>
          <w:sz w:val="24"/>
        </w:rPr>
      </w:pPr>
      <w:r>
        <w:rPr>
          <w:sz w:val="24"/>
        </w:rPr>
        <w:t>The</w:t>
      </w:r>
      <w:r>
        <w:rPr>
          <w:spacing w:val="-4"/>
          <w:sz w:val="24"/>
        </w:rPr>
        <w:t> </w:t>
      </w:r>
      <w:r>
        <w:rPr>
          <w:sz w:val="24"/>
        </w:rPr>
        <w:t>school</w:t>
      </w:r>
      <w:r>
        <w:rPr>
          <w:spacing w:val="-4"/>
          <w:sz w:val="24"/>
        </w:rPr>
        <w:t> </w:t>
      </w:r>
      <w:r>
        <w:rPr>
          <w:sz w:val="24"/>
        </w:rPr>
        <w:t>will</w:t>
      </w:r>
      <w:r>
        <w:rPr>
          <w:spacing w:val="-4"/>
          <w:sz w:val="24"/>
        </w:rPr>
        <w:t> </w:t>
      </w:r>
      <w:r>
        <w:rPr>
          <w:sz w:val="24"/>
        </w:rPr>
        <w:t>forward</w:t>
      </w:r>
      <w:r>
        <w:rPr>
          <w:spacing w:val="-4"/>
          <w:sz w:val="24"/>
        </w:rPr>
        <w:t> </w:t>
      </w:r>
      <w:r>
        <w:rPr>
          <w:sz w:val="24"/>
        </w:rPr>
        <w:t>all</w:t>
      </w:r>
      <w:r>
        <w:rPr>
          <w:spacing w:val="-4"/>
          <w:sz w:val="24"/>
        </w:rPr>
        <w:t> </w:t>
      </w:r>
      <w:r>
        <w:rPr>
          <w:sz w:val="24"/>
        </w:rPr>
        <w:t>collected</w:t>
      </w:r>
      <w:r>
        <w:rPr>
          <w:spacing w:val="-4"/>
          <w:sz w:val="24"/>
        </w:rPr>
        <w:t> </w:t>
      </w:r>
      <w:r>
        <w:rPr>
          <w:sz w:val="24"/>
        </w:rPr>
        <w:t>information</w:t>
      </w:r>
      <w:r>
        <w:rPr>
          <w:spacing w:val="-4"/>
          <w:sz w:val="24"/>
        </w:rPr>
        <w:t> </w:t>
      </w:r>
      <w:r>
        <w:rPr>
          <w:sz w:val="24"/>
        </w:rPr>
        <w:t>to</w:t>
      </w:r>
      <w:r>
        <w:rPr>
          <w:spacing w:val="-4"/>
          <w:sz w:val="24"/>
        </w:rPr>
        <w:t> </w:t>
      </w:r>
      <w:r>
        <w:rPr>
          <w:sz w:val="24"/>
        </w:rPr>
        <w:t>the</w:t>
      </w:r>
      <w:r>
        <w:rPr>
          <w:spacing w:val="-4"/>
          <w:sz w:val="24"/>
        </w:rPr>
        <w:t> </w:t>
      </w:r>
      <w:r>
        <w:rPr>
          <w:sz w:val="24"/>
        </w:rPr>
        <w:t>Oklahoma</w:t>
      </w:r>
      <w:r>
        <w:rPr>
          <w:spacing w:val="-4"/>
          <w:sz w:val="24"/>
        </w:rPr>
        <w:t> </w:t>
      </w:r>
      <w:r>
        <w:rPr>
          <w:sz w:val="24"/>
        </w:rPr>
        <w:t>State Bureau of Investigation, who forwards one fingerprint card to the Federal Bureau of Investigation for processing.</w:t>
      </w:r>
    </w:p>
    <w:p>
      <w:pPr>
        <w:pStyle w:val="ListParagraph"/>
        <w:numPr>
          <w:ilvl w:val="1"/>
          <w:numId w:val="361"/>
        </w:numPr>
        <w:tabs>
          <w:tab w:pos="1078" w:val="left" w:leader="none"/>
        </w:tabs>
        <w:spacing w:line="240" w:lineRule="auto" w:before="210" w:after="0"/>
        <w:ind w:left="1078" w:right="0" w:hanging="286"/>
        <w:jc w:val="left"/>
        <w:rPr>
          <w:sz w:val="24"/>
        </w:rPr>
      </w:pPr>
      <w:r>
        <w:rPr>
          <w:sz w:val="24"/>
        </w:rPr>
        <w:t>Title</w:t>
      </w:r>
      <w:r>
        <w:rPr>
          <w:spacing w:val="-2"/>
          <w:sz w:val="24"/>
        </w:rPr>
        <w:t> </w:t>
      </w:r>
      <w:r>
        <w:rPr>
          <w:sz w:val="24"/>
        </w:rPr>
        <w:t>70</w:t>
      </w:r>
      <w:r>
        <w:rPr>
          <w:spacing w:val="-2"/>
          <w:sz w:val="24"/>
        </w:rPr>
        <w:t> </w:t>
      </w:r>
      <w:r>
        <w:rPr>
          <w:sz w:val="24"/>
        </w:rPr>
        <w:t>O.S.</w:t>
      </w:r>
      <w:r>
        <w:rPr>
          <w:spacing w:val="-1"/>
          <w:sz w:val="24"/>
        </w:rPr>
        <w:t> </w:t>
      </w:r>
      <w:r>
        <w:rPr>
          <w:sz w:val="24"/>
        </w:rPr>
        <w:t>5-</w:t>
      </w:r>
      <w:r>
        <w:rPr>
          <w:spacing w:val="-5"/>
          <w:sz w:val="24"/>
        </w:rPr>
        <w:t>142</w:t>
      </w:r>
    </w:p>
    <w:p>
      <w:pPr>
        <w:spacing w:before="238"/>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98</w:t>
      </w:r>
      <w:r>
        <w:rPr>
          <w:sz w:val="22"/>
        </w:rPr>
        <w:tab/>
        <w:t>PT</w:t>
      </w:r>
      <w:r>
        <w:rPr>
          <w:spacing w:val="-8"/>
          <w:sz w:val="22"/>
        </w:rPr>
        <w:t> </w:t>
      </w:r>
      <w:r>
        <w:rPr>
          <w:sz w:val="22"/>
        </w:rPr>
        <w:t>Memo</w:t>
      </w:r>
      <w:r>
        <w:rPr>
          <w:spacing w:val="-8"/>
          <w:sz w:val="22"/>
        </w:rPr>
        <w:t> </w:t>
      </w:r>
      <w:r>
        <w:rPr>
          <w:sz w:val="22"/>
        </w:rPr>
        <w:t>#98-</w:t>
      </w:r>
      <w:r>
        <w:rPr>
          <w:spacing w:val="-5"/>
          <w:sz w:val="22"/>
        </w:rPr>
        <w:t>15</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spacing w:after="0" w:line="253" w:lineRule="exact"/>
        <w:jc w:val="left"/>
        <w:rPr>
          <w:sz w:val="22"/>
        </w:rPr>
        <w:sectPr>
          <w:pgSz w:w="12240" w:h="15840"/>
          <w:pgMar w:top="1340" w:bottom="280" w:left="1080" w:right="720"/>
        </w:sectPr>
      </w:pPr>
    </w:p>
    <w:p>
      <w:pPr>
        <w:pStyle w:val="Heading1"/>
        <w:ind w:right="777"/>
      </w:pPr>
      <w:bookmarkStart w:name="PART 7.  STUDENT RIGHTS" w:id="363"/>
      <w:bookmarkEnd w:id="363"/>
      <w:r>
        <w:rPr>
          <w:b w:val="0"/>
        </w:rPr>
      </w:r>
      <w:r>
        <w:rPr/>
        <w:t>PART</w:t>
      </w:r>
      <w:r>
        <w:rPr>
          <w:spacing w:val="-2"/>
        </w:rPr>
        <w:t> </w:t>
      </w:r>
      <w:r>
        <w:rPr/>
        <w:t>7.</w:t>
      </w:r>
      <w:r>
        <w:rPr>
          <w:spacing w:val="63"/>
        </w:rPr>
        <w:t> </w:t>
      </w:r>
      <w:r>
        <w:rPr/>
        <w:t>STUDENT</w:t>
      </w:r>
      <w:r>
        <w:rPr>
          <w:spacing w:val="-1"/>
        </w:rPr>
        <w:t> </w:t>
      </w:r>
      <w:r>
        <w:rPr>
          <w:spacing w:val="-2"/>
        </w:rPr>
        <w:t>RIGHTS</w:t>
      </w:r>
    </w:p>
    <w:p>
      <w:pPr>
        <w:pStyle w:val="BodyText"/>
        <w:spacing w:before="204"/>
      </w:pPr>
      <w:r>
        <w:rPr>
          <w:spacing w:val="-2"/>
        </w:rPr>
        <w:t>Section</w:t>
      </w:r>
    </w:p>
    <w:p>
      <w:pPr>
        <w:pStyle w:val="BodyText"/>
        <w:tabs>
          <w:tab w:pos="2519" w:val="left" w:leader="none"/>
        </w:tabs>
        <w:spacing w:before="204"/>
      </w:pPr>
      <w:r>
        <w:rPr>
          <w:spacing w:val="-2"/>
        </w:rPr>
        <w:t>612:20-3-</w:t>
      </w:r>
      <w:r>
        <w:rPr>
          <w:spacing w:val="-5"/>
        </w:rPr>
        <w:t>49</w:t>
      </w:r>
      <w:r>
        <w:rPr/>
        <w:tab/>
        <w:t>Residential</w:t>
      </w:r>
      <w:r>
        <w:rPr>
          <w:spacing w:val="-8"/>
        </w:rPr>
        <w:t> </w:t>
      </w:r>
      <w:r>
        <w:rPr>
          <w:spacing w:val="-4"/>
        </w:rPr>
        <w:t>Life</w:t>
      </w:r>
    </w:p>
    <w:p>
      <w:pPr>
        <w:pStyle w:val="BodyText"/>
        <w:spacing w:after="0"/>
        <w:sectPr>
          <w:pgSz w:w="12240" w:h="15840"/>
          <w:pgMar w:top="1340" w:bottom="280" w:left="1080" w:right="720"/>
        </w:sectPr>
      </w:pPr>
    </w:p>
    <w:p>
      <w:pPr>
        <w:pStyle w:val="Heading2"/>
      </w:pPr>
      <w:bookmarkStart w:name="612:20-3-49  Residential Life" w:id="364"/>
      <w:bookmarkEnd w:id="364"/>
      <w:r>
        <w:rPr>
          <w:b w:val="0"/>
        </w:rPr>
      </w:r>
      <w:r>
        <w:rPr/>
        <w:t>612:20-3-49</w:t>
      </w:r>
      <w:r>
        <w:rPr>
          <w:spacing w:val="57"/>
        </w:rPr>
        <w:t> </w:t>
      </w:r>
      <w:r>
        <w:rPr/>
        <w:t>Residential</w:t>
      </w:r>
      <w:r>
        <w:rPr>
          <w:spacing w:val="-4"/>
        </w:rPr>
        <w:t> Life</w:t>
      </w:r>
    </w:p>
    <w:p>
      <w:pPr>
        <w:pStyle w:val="ListParagraph"/>
        <w:numPr>
          <w:ilvl w:val="0"/>
          <w:numId w:val="362"/>
        </w:numPr>
        <w:tabs>
          <w:tab w:pos="786" w:val="left" w:leader="none"/>
        </w:tabs>
        <w:spacing w:line="208" w:lineRule="auto" w:before="233" w:after="0"/>
        <w:ind w:left="360" w:right="845" w:firstLine="0"/>
        <w:jc w:val="left"/>
        <w:rPr>
          <w:sz w:val="24"/>
        </w:rPr>
      </w:pPr>
      <w:r>
        <w:rPr>
          <w:b/>
          <w:sz w:val="24"/>
        </w:rPr>
        <w:t>Rights of students.</w:t>
      </w:r>
      <w:r>
        <w:rPr>
          <w:b/>
          <w:spacing w:val="40"/>
          <w:sz w:val="24"/>
        </w:rPr>
        <w:t> </w:t>
      </w:r>
      <w:r>
        <w:rPr>
          <w:sz w:val="24"/>
        </w:rPr>
        <w:t>Students and parents are provided a handbook.</w:t>
      </w:r>
      <w:r>
        <w:rPr>
          <w:spacing w:val="40"/>
          <w:sz w:val="24"/>
        </w:rPr>
        <w:t> </w:t>
      </w:r>
      <w:r>
        <w:rPr>
          <w:sz w:val="24"/>
        </w:rPr>
        <w:t>OSB/OSD has</w:t>
      </w:r>
      <w:r>
        <w:rPr>
          <w:spacing w:val="-3"/>
          <w:sz w:val="24"/>
        </w:rPr>
        <w:t> </w:t>
      </w:r>
      <w:r>
        <w:rPr>
          <w:sz w:val="24"/>
        </w:rPr>
        <w:t>current,</w:t>
      </w:r>
      <w:r>
        <w:rPr>
          <w:spacing w:val="-2"/>
          <w:sz w:val="24"/>
        </w:rPr>
        <w:t> </w:t>
      </w:r>
      <w:r>
        <w:rPr>
          <w:sz w:val="24"/>
        </w:rPr>
        <w:t>written</w:t>
      </w:r>
      <w:r>
        <w:rPr>
          <w:spacing w:val="-3"/>
          <w:sz w:val="24"/>
        </w:rPr>
        <w:t> </w:t>
      </w:r>
      <w:r>
        <w:rPr>
          <w:sz w:val="24"/>
        </w:rPr>
        <w:t>students’</w:t>
      </w:r>
      <w:r>
        <w:rPr>
          <w:spacing w:val="-3"/>
          <w:sz w:val="24"/>
        </w:rPr>
        <w:t> </w:t>
      </w:r>
      <w:r>
        <w:rPr>
          <w:sz w:val="24"/>
        </w:rPr>
        <w:t>rights</w:t>
      </w:r>
      <w:r>
        <w:rPr>
          <w:spacing w:val="-3"/>
          <w:sz w:val="24"/>
        </w:rPr>
        <w:t> </w:t>
      </w:r>
      <w:r>
        <w:rPr>
          <w:sz w:val="24"/>
        </w:rPr>
        <w:t>policy</w:t>
      </w:r>
      <w:r>
        <w:rPr>
          <w:spacing w:val="-3"/>
          <w:sz w:val="24"/>
        </w:rPr>
        <w:t> </w:t>
      </w:r>
      <w:r>
        <w:rPr>
          <w:sz w:val="24"/>
        </w:rPr>
        <w:t>that</w:t>
      </w:r>
      <w:r>
        <w:rPr>
          <w:spacing w:val="-2"/>
          <w:sz w:val="24"/>
        </w:rPr>
        <w:t> </w:t>
      </w:r>
      <w:r>
        <w:rPr>
          <w:sz w:val="24"/>
        </w:rPr>
        <w:t>supports</w:t>
      </w:r>
      <w:r>
        <w:rPr>
          <w:spacing w:val="-4"/>
          <w:sz w:val="24"/>
        </w:rPr>
        <w:t> </w:t>
      </w:r>
      <w:r>
        <w:rPr>
          <w:sz w:val="24"/>
        </w:rPr>
        <w:t>and</w:t>
      </w:r>
      <w:r>
        <w:rPr>
          <w:spacing w:val="-3"/>
          <w:sz w:val="24"/>
        </w:rPr>
        <w:t> </w:t>
      </w:r>
      <w:r>
        <w:rPr>
          <w:sz w:val="24"/>
        </w:rPr>
        <w:t>protects</w:t>
      </w:r>
      <w:r>
        <w:rPr>
          <w:spacing w:val="-3"/>
          <w:sz w:val="24"/>
        </w:rPr>
        <w:t> </w:t>
      </w:r>
      <w:r>
        <w:rPr>
          <w:sz w:val="24"/>
        </w:rPr>
        <w:t>all</w:t>
      </w:r>
      <w:r>
        <w:rPr>
          <w:spacing w:val="-3"/>
          <w:sz w:val="24"/>
        </w:rPr>
        <w:t> </w:t>
      </w:r>
      <w:r>
        <w:rPr>
          <w:sz w:val="24"/>
        </w:rPr>
        <w:t>students</w:t>
      </w:r>
      <w:r>
        <w:rPr>
          <w:spacing w:val="-3"/>
          <w:sz w:val="24"/>
        </w:rPr>
        <w:t> </w:t>
      </w:r>
      <w:r>
        <w:rPr>
          <w:sz w:val="24"/>
        </w:rPr>
        <w:t>and</w:t>
      </w:r>
      <w:r>
        <w:rPr>
          <w:spacing w:val="-3"/>
          <w:sz w:val="24"/>
        </w:rPr>
        <w:t> </w:t>
      </w:r>
      <w:r>
        <w:rPr>
          <w:sz w:val="24"/>
        </w:rPr>
        <w:t>is available for students, parents or custodians, and staff.</w:t>
      </w:r>
    </w:p>
    <w:p>
      <w:pPr>
        <w:pStyle w:val="ListParagraph"/>
        <w:numPr>
          <w:ilvl w:val="1"/>
          <w:numId w:val="362"/>
        </w:numPr>
        <w:tabs>
          <w:tab w:pos="1218" w:val="left" w:leader="none"/>
        </w:tabs>
        <w:spacing w:line="208" w:lineRule="auto" w:before="240" w:after="0"/>
        <w:ind w:left="792" w:right="759" w:firstLine="0"/>
        <w:jc w:val="left"/>
        <w:rPr>
          <w:sz w:val="24"/>
        </w:rPr>
      </w:pPr>
      <w:r>
        <w:rPr>
          <w:sz w:val="24"/>
        </w:rPr>
        <w:t>Students have individualized education plans that focus the services of the facility</w:t>
      </w:r>
      <w:r>
        <w:rPr>
          <w:spacing w:val="-3"/>
          <w:sz w:val="24"/>
        </w:rPr>
        <w:t> </w:t>
      </w:r>
      <w:r>
        <w:rPr>
          <w:sz w:val="24"/>
        </w:rPr>
        <w:t>toward</w:t>
      </w:r>
      <w:r>
        <w:rPr>
          <w:spacing w:val="-3"/>
          <w:sz w:val="24"/>
        </w:rPr>
        <w:t> </w:t>
      </w:r>
      <w:r>
        <w:rPr>
          <w:sz w:val="24"/>
        </w:rPr>
        <w:t>meeting</w:t>
      </w:r>
      <w:r>
        <w:rPr>
          <w:spacing w:val="-3"/>
          <w:sz w:val="24"/>
        </w:rPr>
        <w:t> </w:t>
      </w:r>
      <w:r>
        <w:rPr>
          <w:sz w:val="24"/>
        </w:rPr>
        <w:t>the</w:t>
      </w:r>
      <w:r>
        <w:rPr>
          <w:spacing w:val="-3"/>
          <w:sz w:val="24"/>
        </w:rPr>
        <w:t> </w:t>
      </w:r>
      <w:r>
        <w:rPr>
          <w:sz w:val="24"/>
        </w:rPr>
        <w:t>student’s</w:t>
      </w:r>
      <w:r>
        <w:rPr>
          <w:spacing w:val="-3"/>
          <w:sz w:val="24"/>
        </w:rPr>
        <w:t> </w:t>
      </w:r>
      <w:r>
        <w:rPr>
          <w:sz w:val="24"/>
        </w:rPr>
        <w:t>needs.</w:t>
      </w:r>
      <w:r>
        <w:rPr>
          <w:spacing w:val="40"/>
          <w:sz w:val="24"/>
        </w:rPr>
        <w:t> </w:t>
      </w:r>
      <w:r>
        <w:rPr>
          <w:sz w:val="24"/>
        </w:rPr>
        <w:t>Students</w:t>
      </w:r>
      <w:r>
        <w:rPr>
          <w:spacing w:val="-3"/>
          <w:sz w:val="24"/>
        </w:rPr>
        <w:t> </w:t>
      </w:r>
      <w:r>
        <w:rPr>
          <w:sz w:val="24"/>
        </w:rPr>
        <w:t>have</w:t>
      </w:r>
      <w:r>
        <w:rPr>
          <w:spacing w:val="-3"/>
          <w:sz w:val="24"/>
        </w:rPr>
        <w:t> </w:t>
      </w:r>
      <w:r>
        <w:rPr>
          <w:sz w:val="24"/>
        </w:rPr>
        <w:t>the</w:t>
      </w:r>
      <w:r>
        <w:rPr>
          <w:spacing w:val="-3"/>
          <w:sz w:val="24"/>
        </w:rPr>
        <w:t> </w:t>
      </w:r>
      <w:r>
        <w:rPr>
          <w:sz w:val="24"/>
        </w:rPr>
        <w:t>right</w:t>
      </w:r>
      <w:r>
        <w:rPr>
          <w:spacing w:val="-2"/>
          <w:sz w:val="24"/>
        </w:rPr>
        <w:t> </w:t>
      </w:r>
      <w:r>
        <w:rPr>
          <w:sz w:val="24"/>
        </w:rPr>
        <w:t>to</w:t>
      </w:r>
      <w:r>
        <w:rPr>
          <w:spacing w:val="-3"/>
          <w:sz w:val="24"/>
        </w:rPr>
        <w:t> </w:t>
      </w:r>
      <w:r>
        <w:rPr>
          <w:sz w:val="24"/>
        </w:rPr>
        <w:t>participate</w:t>
      </w:r>
      <w:r>
        <w:rPr>
          <w:spacing w:val="-3"/>
          <w:sz w:val="24"/>
        </w:rPr>
        <w:t> </w:t>
      </w:r>
      <w:r>
        <w:rPr>
          <w:sz w:val="24"/>
        </w:rPr>
        <w:t>in the development of their IEP.</w:t>
      </w:r>
    </w:p>
    <w:p>
      <w:pPr>
        <w:pStyle w:val="ListParagraph"/>
        <w:numPr>
          <w:ilvl w:val="1"/>
          <w:numId w:val="362"/>
        </w:numPr>
        <w:tabs>
          <w:tab w:pos="1218" w:val="left" w:leader="none"/>
        </w:tabs>
        <w:spacing w:line="208" w:lineRule="auto" w:before="239" w:after="0"/>
        <w:ind w:left="792" w:right="813" w:firstLine="0"/>
        <w:jc w:val="left"/>
        <w:rPr>
          <w:sz w:val="24"/>
        </w:rPr>
      </w:pPr>
      <w:r>
        <w:rPr>
          <w:sz w:val="24"/>
        </w:rPr>
        <w:t>Personal</w:t>
      </w:r>
      <w:r>
        <w:rPr>
          <w:spacing w:val="-4"/>
          <w:sz w:val="24"/>
        </w:rPr>
        <w:t> </w:t>
      </w:r>
      <w:r>
        <w:rPr>
          <w:sz w:val="24"/>
        </w:rPr>
        <w:t>finances.</w:t>
      </w:r>
      <w:r>
        <w:rPr>
          <w:spacing w:val="40"/>
          <w:sz w:val="24"/>
        </w:rPr>
        <w:t> </w:t>
      </w:r>
      <w:r>
        <w:rPr>
          <w:sz w:val="24"/>
        </w:rPr>
        <w:t>Students</w:t>
      </w:r>
      <w:r>
        <w:rPr>
          <w:spacing w:val="-5"/>
          <w:sz w:val="24"/>
        </w:rPr>
        <w:t> </w:t>
      </w:r>
      <w:r>
        <w:rPr>
          <w:sz w:val="24"/>
        </w:rPr>
        <w:t>are</w:t>
      </w:r>
      <w:r>
        <w:rPr>
          <w:spacing w:val="-4"/>
          <w:sz w:val="24"/>
        </w:rPr>
        <w:t> </w:t>
      </w:r>
      <w:r>
        <w:rPr>
          <w:sz w:val="24"/>
        </w:rPr>
        <w:t>given</w:t>
      </w:r>
      <w:r>
        <w:rPr>
          <w:spacing w:val="-4"/>
          <w:sz w:val="24"/>
        </w:rPr>
        <w:t> </w:t>
      </w:r>
      <w:r>
        <w:rPr>
          <w:sz w:val="24"/>
        </w:rPr>
        <w:t>the</w:t>
      </w:r>
      <w:r>
        <w:rPr>
          <w:spacing w:val="-4"/>
          <w:sz w:val="24"/>
        </w:rPr>
        <w:t> </w:t>
      </w:r>
      <w:r>
        <w:rPr>
          <w:sz w:val="24"/>
        </w:rPr>
        <w:t>opportunity</w:t>
      </w:r>
      <w:r>
        <w:rPr>
          <w:spacing w:val="-4"/>
          <w:sz w:val="24"/>
        </w:rPr>
        <w:t> </w:t>
      </w:r>
      <w:r>
        <w:rPr>
          <w:sz w:val="24"/>
        </w:rPr>
        <w:t>to</w:t>
      </w:r>
      <w:r>
        <w:rPr>
          <w:spacing w:val="-4"/>
          <w:sz w:val="24"/>
        </w:rPr>
        <w:t> </w:t>
      </w:r>
      <w:r>
        <w:rPr>
          <w:sz w:val="24"/>
        </w:rPr>
        <w:t>have</w:t>
      </w:r>
      <w:r>
        <w:rPr>
          <w:spacing w:val="-4"/>
          <w:sz w:val="24"/>
        </w:rPr>
        <w:t> </w:t>
      </w:r>
      <w:r>
        <w:rPr>
          <w:sz w:val="24"/>
        </w:rPr>
        <w:t>and</w:t>
      </w:r>
      <w:r>
        <w:rPr>
          <w:spacing w:val="-4"/>
          <w:sz w:val="24"/>
        </w:rPr>
        <w:t> </w:t>
      </w:r>
      <w:r>
        <w:rPr>
          <w:sz w:val="24"/>
        </w:rPr>
        <w:t>handle</w:t>
      </w:r>
      <w:r>
        <w:rPr>
          <w:spacing w:val="-4"/>
          <w:sz w:val="24"/>
        </w:rPr>
        <w:t> </w:t>
      </w:r>
      <w:r>
        <w:rPr>
          <w:sz w:val="24"/>
        </w:rPr>
        <w:t>their own money for personal use.</w:t>
      </w:r>
      <w:r>
        <w:rPr>
          <w:spacing w:val="40"/>
          <w:sz w:val="24"/>
        </w:rPr>
        <w:t> </w:t>
      </w:r>
      <w:r>
        <w:rPr>
          <w:sz w:val="24"/>
        </w:rPr>
        <w:t>For money in excess of their ability to manage, the schools provide student accounts</w:t>
      </w:r>
      <w:r>
        <w:rPr>
          <w:spacing w:val="-1"/>
          <w:sz w:val="24"/>
        </w:rPr>
        <w:t> </w:t>
      </w:r>
      <w:r>
        <w:rPr>
          <w:sz w:val="24"/>
        </w:rPr>
        <w:t>and a dorm safe box</w:t>
      </w:r>
      <w:r>
        <w:rPr>
          <w:spacing w:val="-1"/>
          <w:sz w:val="24"/>
        </w:rPr>
        <w:t> </w:t>
      </w:r>
      <w:r>
        <w:rPr>
          <w:sz w:val="24"/>
        </w:rPr>
        <w:t>managed by the dorm</w:t>
      </w:r>
      <w:r>
        <w:rPr>
          <w:spacing w:val="-2"/>
          <w:sz w:val="24"/>
        </w:rPr>
        <w:t> </w:t>
      </w:r>
      <w:r>
        <w:rPr>
          <w:sz w:val="24"/>
        </w:rPr>
        <w:t>staff.</w:t>
      </w:r>
    </w:p>
    <w:p>
      <w:pPr>
        <w:pStyle w:val="ListParagraph"/>
        <w:numPr>
          <w:ilvl w:val="1"/>
          <w:numId w:val="362"/>
        </w:numPr>
        <w:tabs>
          <w:tab w:pos="1218" w:val="left" w:leader="none"/>
        </w:tabs>
        <w:spacing w:line="208" w:lineRule="auto" w:before="240" w:after="0"/>
        <w:ind w:left="792" w:right="762" w:firstLine="0"/>
        <w:jc w:val="left"/>
        <w:rPr>
          <w:sz w:val="24"/>
        </w:rPr>
      </w:pPr>
      <w:r>
        <w:rPr>
          <w:sz w:val="24"/>
        </w:rPr>
        <w:t>Personal possessions.</w:t>
      </w:r>
      <w:r>
        <w:rPr>
          <w:spacing w:val="40"/>
          <w:sz w:val="24"/>
        </w:rPr>
        <w:t> </w:t>
      </w:r>
      <w:r>
        <w:rPr>
          <w:sz w:val="24"/>
        </w:rPr>
        <w:t>Students are allowed to bring personal possessions to the</w:t>
      </w:r>
      <w:r>
        <w:rPr>
          <w:spacing w:val="-4"/>
          <w:sz w:val="24"/>
        </w:rPr>
        <w:t> </w:t>
      </w:r>
      <w:r>
        <w:rPr>
          <w:sz w:val="24"/>
        </w:rPr>
        <w:t>facility</w:t>
      </w:r>
      <w:r>
        <w:rPr>
          <w:spacing w:val="-4"/>
          <w:sz w:val="24"/>
        </w:rPr>
        <w:t> </w:t>
      </w:r>
      <w:r>
        <w:rPr>
          <w:sz w:val="24"/>
        </w:rPr>
        <w:t>and</w:t>
      </w:r>
      <w:r>
        <w:rPr>
          <w:spacing w:val="-4"/>
          <w:sz w:val="24"/>
        </w:rPr>
        <w:t> </w:t>
      </w:r>
      <w:r>
        <w:rPr>
          <w:sz w:val="24"/>
        </w:rPr>
        <w:t>to</w:t>
      </w:r>
      <w:r>
        <w:rPr>
          <w:spacing w:val="-4"/>
          <w:sz w:val="24"/>
        </w:rPr>
        <w:t> </w:t>
      </w:r>
      <w:r>
        <w:rPr>
          <w:sz w:val="24"/>
        </w:rPr>
        <w:t>acquire</w:t>
      </w:r>
      <w:r>
        <w:rPr>
          <w:spacing w:val="-4"/>
          <w:sz w:val="24"/>
        </w:rPr>
        <w:t> </w:t>
      </w:r>
      <w:r>
        <w:rPr>
          <w:sz w:val="24"/>
        </w:rPr>
        <w:t>personal</w:t>
      </w:r>
      <w:r>
        <w:rPr>
          <w:spacing w:val="-4"/>
          <w:sz w:val="24"/>
        </w:rPr>
        <w:t> </w:t>
      </w:r>
      <w:r>
        <w:rPr>
          <w:sz w:val="24"/>
        </w:rPr>
        <w:t>belongings</w:t>
      </w:r>
      <w:r>
        <w:rPr>
          <w:spacing w:val="-4"/>
          <w:sz w:val="24"/>
        </w:rPr>
        <w:t> </w:t>
      </w:r>
      <w:r>
        <w:rPr>
          <w:sz w:val="24"/>
        </w:rPr>
        <w:t>as</w:t>
      </w:r>
      <w:r>
        <w:rPr>
          <w:spacing w:val="-4"/>
          <w:sz w:val="24"/>
        </w:rPr>
        <w:t> </w:t>
      </w:r>
      <w:r>
        <w:rPr>
          <w:sz w:val="24"/>
        </w:rPr>
        <w:t>permitted</w:t>
      </w:r>
      <w:r>
        <w:rPr>
          <w:spacing w:val="-4"/>
          <w:sz w:val="24"/>
        </w:rPr>
        <w:t> </w:t>
      </w:r>
      <w:r>
        <w:rPr>
          <w:sz w:val="24"/>
        </w:rPr>
        <w:t>by</w:t>
      </w:r>
      <w:r>
        <w:rPr>
          <w:spacing w:val="-4"/>
          <w:sz w:val="24"/>
        </w:rPr>
        <w:t> </w:t>
      </w:r>
      <w:r>
        <w:rPr>
          <w:sz w:val="24"/>
        </w:rPr>
        <w:t>OSB/OSD</w:t>
      </w:r>
      <w:r>
        <w:rPr>
          <w:spacing w:val="-4"/>
          <w:sz w:val="24"/>
        </w:rPr>
        <w:t> </w:t>
      </w:r>
      <w:r>
        <w:rPr>
          <w:sz w:val="24"/>
        </w:rPr>
        <w:t>policy</w:t>
      </w:r>
      <w:r>
        <w:rPr>
          <w:spacing w:val="-4"/>
          <w:sz w:val="24"/>
        </w:rPr>
        <w:t> </w:t>
      </w:r>
      <w:r>
        <w:rPr>
          <w:sz w:val="24"/>
        </w:rPr>
        <w:t>and </w:t>
      </w:r>
      <w:r>
        <w:rPr>
          <w:spacing w:val="-2"/>
          <w:sz w:val="24"/>
        </w:rPr>
        <w:t>procedure.</w:t>
      </w:r>
    </w:p>
    <w:p>
      <w:pPr>
        <w:pStyle w:val="ListParagraph"/>
        <w:numPr>
          <w:ilvl w:val="1"/>
          <w:numId w:val="362"/>
        </w:numPr>
        <w:tabs>
          <w:tab w:pos="1218" w:val="left" w:leader="none"/>
        </w:tabs>
        <w:spacing w:line="208" w:lineRule="auto" w:before="240" w:after="0"/>
        <w:ind w:left="792" w:right="1083" w:firstLine="0"/>
        <w:jc w:val="left"/>
        <w:rPr>
          <w:sz w:val="24"/>
        </w:rPr>
      </w:pPr>
      <w:r>
        <w:rPr>
          <w:sz w:val="24"/>
        </w:rPr>
        <w:t>Personal care and hygiene.</w:t>
      </w:r>
      <w:r>
        <w:rPr>
          <w:spacing w:val="40"/>
          <w:sz w:val="24"/>
        </w:rPr>
        <w:t> </w:t>
      </w:r>
      <w:r>
        <w:rPr>
          <w:sz w:val="24"/>
        </w:rPr>
        <w:t>Students are expected to provide their own personal</w:t>
      </w:r>
      <w:r>
        <w:rPr>
          <w:spacing w:val="-4"/>
          <w:sz w:val="24"/>
        </w:rPr>
        <w:t> </w:t>
      </w:r>
      <w:r>
        <w:rPr>
          <w:sz w:val="24"/>
        </w:rPr>
        <w:t>care</w:t>
      </w:r>
      <w:r>
        <w:rPr>
          <w:spacing w:val="-4"/>
          <w:sz w:val="24"/>
        </w:rPr>
        <w:t> </w:t>
      </w:r>
      <w:r>
        <w:rPr>
          <w:sz w:val="24"/>
        </w:rPr>
        <w:t>and</w:t>
      </w:r>
      <w:r>
        <w:rPr>
          <w:spacing w:val="-4"/>
          <w:sz w:val="24"/>
        </w:rPr>
        <w:t> </w:t>
      </w:r>
      <w:r>
        <w:rPr>
          <w:sz w:val="24"/>
        </w:rPr>
        <w:t>hygiene</w:t>
      </w:r>
      <w:r>
        <w:rPr>
          <w:spacing w:val="-4"/>
          <w:sz w:val="24"/>
        </w:rPr>
        <w:t> </w:t>
      </w:r>
      <w:r>
        <w:rPr>
          <w:sz w:val="24"/>
        </w:rPr>
        <w:t>products.</w:t>
      </w:r>
      <w:r>
        <w:rPr>
          <w:spacing w:val="40"/>
          <w:sz w:val="24"/>
        </w:rPr>
        <w:t> </w:t>
      </w:r>
      <w:r>
        <w:rPr>
          <w:sz w:val="24"/>
        </w:rPr>
        <w:t>For</w:t>
      </w:r>
      <w:r>
        <w:rPr>
          <w:spacing w:val="-3"/>
          <w:sz w:val="24"/>
        </w:rPr>
        <w:t> </w:t>
      </w:r>
      <w:r>
        <w:rPr>
          <w:sz w:val="24"/>
        </w:rPr>
        <w:t>needy</w:t>
      </w:r>
      <w:r>
        <w:rPr>
          <w:spacing w:val="-4"/>
          <w:sz w:val="24"/>
        </w:rPr>
        <w:t> </w:t>
      </w:r>
      <w:r>
        <w:rPr>
          <w:sz w:val="24"/>
        </w:rPr>
        <w:t>students,</w:t>
      </w:r>
      <w:r>
        <w:rPr>
          <w:spacing w:val="-3"/>
          <w:sz w:val="24"/>
        </w:rPr>
        <w:t> </w:t>
      </w:r>
      <w:r>
        <w:rPr>
          <w:sz w:val="24"/>
        </w:rPr>
        <w:t>assistance</w:t>
      </w:r>
      <w:r>
        <w:rPr>
          <w:spacing w:val="-4"/>
          <w:sz w:val="24"/>
        </w:rPr>
        <w:t> </w:t>
      </w:r>
      <w:r>
        <w:rPr>
          <w:sz w:val="24"/>
        </w:rPr>
        <w:t>is</w:t>
      </w:r>
      <w:r>
        <w:rPr>
          <w:spacing w:val="-4"/>
          <w:sz w:val="24"/>
        </w:rPr>
        <w:t> </w:t>
      </w:r>
      <w:r>
        <w:rPr>
          <w:sz w:val="24"/>
        </w:rPr>
        <w:t>provided through donations and the needy fund.</w:t>
      </w:r>
    </w:p>
    <w:p>
      <w:pPr>
        <w:pStyle w:val="ListParagraph"/>
        <w:numPr>
          <w:ilvl w:val="1"/>
          <w:numId w:val="362"/>
        </w:numPr>
        <w:tabs>
          <w:tab w:pos="1217" w:val="left" w:leader="none"/>
        </w:tabs>
        <w:spacing w:line="208" w:lineRule="auto" w:before="239" w:after="0"/>
        <w:ind w:left="791" w:right="1001" w:firstLine="0"/>
        <w:jc w:val="left"/>
        <w:rPr>
          <w:sz w:val="24"/>
        </w:rPr>
      </w:pPr>
      <w:r>
        <w:rPr>
          <w:sz w:val="24"/>
        </w:rPr>
        <w:t>Clothing.</w:t>
      </w:r>
      <w:r>
        <w:rPr>
          <w:spacing w:val="40"/>
          <w:sz w:val="24"/>
        </w:rPr>
        <w:t> </w:t>
      </w:r>
      <w:r>
        <w:rPr>
          <w:sz w:val="24"/>
        </w:rPr>
        <w:t>Students possess adequate, clean, well-fitting, and seasonable clothing</w:t>
      </w:r>
      <w:r>
        <w:rPr>
          <w:spacing w:val="-3"/>
          <w:sz w:val="24"/>
        </w:rPr>
        <w:t> </w:t>
      </w:r>
      <w:r>
        <w:rPr>
          <w:sz w:val="24"/>
        </w:rPr>
        <w:t>and</w:t>
      </w:r>
      <w:r>
        <w:rPr>
          <w:spacing w:val="-3"/>
          <w:sz w:val="24"/>
        </w:rPr>
        <w:t> </w:t>
      </w:r>
      <w:r>
        <w:rPr>
          <w:sz w:val="24"/>
        </w:rPr>
        <w:t>has</w:t>
      </w:r>
      <w:r>
        <w:rPr>
          <w:spacing w:val="-3"/>
          <w:sz w:val="24"/>
        </w:rPr>
        <w:t> </w:t>
      </w:r>
      <w:r>
        <w:rPr>
          <w:sz w:val="24"/>
        </w:rPr>
        <w:t>a</w:t>
      </w:r>
      <w:r>
        <w:rPr>
          <w:spacing w:val="-3"/>
          <w:sz w:val="24"/>
        </w:rPr>
        <w:t> </w:t>
      </w:r>
      <w:r>
        <w:rPr>
          <w:sz w:val="24"/>
        </w:rPr>
        <w:t>safe</w:t>
      </w:r>
      <w:r>
        <w:rPr>
          <w:spacing w:val="-3"/>
          <w:sz w:val="24"/>
        </w:rPr>
        <w:t> </w:t>
      </w:r>
      <w:r>
        <w:rPr>
          <w:sz w:val="24"/>
        </w:rPr>
        <w:t>place</w:t>
      </w:r>
      <w:r>
        <w:rPr>
          <w:spacing w:val="-3"/>
          <w:sz w:val="24"/>
        </w:rPr>
        <w:t> </w:t>
      </w:r>
      <w:r>
        <w:rPr>
          <w:sz w:val="24"/>
        </w:rPr>
        <w:t>to</w:t>
      </w:r>
      <w:r>
        <w:rPr>
          <w:spacing w:val="-3"/>
          <w:sz w:val="24"/>
        </w:rPr>
        <w:t> </w:t>
      </w:r>
      <w:r>
        <w:rPr>
          <w:sz w:val="24"/>
        </w:rPr>
        <w:t>keep</w:t>
      </w:r>
      <w:r>
        <w:rPr>
          <w:spacing w:val="-3"/>
          <w:sz w:val="24"/>
        </w:rPr>
        <w:t> </w:t>
      </w:r>
      <w:r>
        <w:rPr>
          <w:sz w:val="24"/>
        </w:rPr>
        <w:t>it.</w:t>
      </w:r>
      <w:r>
        <w:rPr>
          <w:spacing w:val="40"/>
          <w:sz w:val="24"/>
        </w:rPr>
        <w:t> </w:t>
      </w:r>
      <w:r>
        <w:rPr>
          <w:sz w:val="24"/>
        </w:rPr>
        <w:t>Each</w:t>
      </w:r>
      <w:r>
        <w:rPr>
          <w:spacing w:val="-3"/>
          <w:sz w:val="24"/>
        </w:rPr>
        <w:t> </w:t>
      </w:r>
      <w:r>
        <w:rPr>
          <w:sz w:val="24"/>
        </w:rPr>
        <w:t>dorm</w:t>
      </w:r>
      <w:r>
        <w:rPr>
          <w:spacing w:val="-2"/>
          <w:sz w:val="24"/>
        </w:rPr>
        <w:t> </w:t>
      </w:r>
      <w:r>
        <w:rPr>
          <w:sz w:val="24"/>
        </w:rPr>
        <w:t>provides</w:t>
      </w:r>
      <w:r>
        <w:rPr>
          <w:spacing w:val="-3"/>
          <w:sz w:val="24"/>
        </w:rPr>
        <w:t> </w:t>
      </w:r>
      <w:r>
        <w:rPr>
          <w:sz w:val="24"/>
        </w:rPr>
        <w:t>washers</w:t>
      </w:r>
      <w:r>
        <w:rPr>
          <w:spacing w:val="-3"/>
          <w:sz w:val="24"/>
        </w:rPr>
        <w:t> </w:t>
      </w:r>
      <w:r>
        <w:rPr>
          <w:sz w:val="24"/>
        </w:rPr>
        <w:t>and</w:t>
      </w:r>
      <w:r>
        <w:rPr>
          <w:spacing w:val="-3"/>
          <w:sz w:val="24"/>
        </w:rPr>
        <w:t> </w:t>
      </w:r>
      <w:r>
        <w:rPr>
          <w:sz w:val="24"/>
        </w:rPr>
        <w:t>dryers for the care of student clothing.</w:t>
      </w:r>
    </w:p>
    <w:p>
      <w:pPr>
        <w:pStyle w:val="ListParagraph"/>
        <w:numPr>
          <w:ilvl w:val="1"/>
          <w:numId w:val="362"/>
        </w:numPr>
        <w:tabs>
          <w:tab w:pos="1217" w:val="left" w:leader="none"/>
        </w:tabs>
        <w:spacing w:line="208" w:lineRule="auto" w:before="240" w:after="0"/>
        <w:ind w:left="791" w:right="1429" w:firstLine="0"/>
        <w:jc w:val="left"/>
        <w:rPr>
          <w:sz w:val="24"/>
        </w:rPr>
      </w:pPr>
      <w:r>
        <w:rPr>
          <w:sz w:val="24"/>
        </w:rPr>
        <w:t>Community</w:t>
      </w:r>
      <w:r>
        <w:rPr>
          <w:spacing w:val="-4"/>
          <w:sz w:val="24"/>
        </w:rPr>
        <w:t> </w:t>
      </w:r>
      <w:r>
        <w:rPr>
          <w:sz w:val="24"/>
        </w:rPr>
        <w:t>activities.</w:t>
      </w:r>
      <w:r>
        <w:rPr>
          <w:spacing w:val="40"/>
          <w:sz w:val="24"/>
        </w:rPr>
        <w:t> </w:t>
      </w:r>
      <w:r>
        <w:rPr>
          <w:sz w:val="24"/>
        </w:rPr>
        <w:t>Students</w:t>
      </w:r>
      <w:r>
        <w:rPr>
          <w:spacing w:val="-4"/>
          <w:sz w:val="24"/>
        </w:rPr>
        <w:t> </w:t>
      </w:r>
      <w:r>
        <w:rPr>
          <w:sz w:val="24"/>
        </w:rPr>
        <w:t>have</w:t>
      </w:r>
      <w:r>
        <w:rPr>
          <w:spacing w:val="-4"/>
          <w:sz w:val="24"/>
        </w:rPr>
        <w:t> </w:t>
      </w:r>
      <w:r>
        <w:rPr>
          <w:sz w:val="24"/>
        </w:rPr>
        <w:t>the</w:t>
      </w:r>
      <w:r>
        <w:rPr>
          <w:spacing w:val="-4"/>
          <w:sz w:val="24"/>
        </w:rPr>
        <w:t> </w:t>
      </w:r>
      <w:r>
        <w:rPr>
          <w:sz w:val="24"/>
        </w:rPr>
        <w:t>right</w:t>
      </w:r>
      <w:r>
        <w:rPr>
          <w:spacing w:val="-3"/>
          <w:sz w:val="24"/>
        </w:rPr>
        <w:t> </w:t>
      </w:r>
      <w:r>
        <w:rPr>
          <w:sz w:val="24"/>
        </w:rPr>
        <w:t>to</w:t>
      </w:r>
      <w:r>
        <w:rPr>
          <w:spacing w:val="-4"/>
          <w:sz w:val="24"/>
        </w:rPr>
        <w:t> </w:t>
      </w:r>
      <w:r>
        <w:rPr>
          <w:sz w:val="24"/>
        </w:rPr>
        <w:t>community</w:t>
      </w:r>
      <w:r>
        <w:rPr>
          <w:spacing w:val="-4"/>
          <w:sz w:val="24"/>
        </w:rPr>
        <w:t> </w:t>
      </w:r>
      <w:r>
        <w:rPr>
          <w:sz w:val="24"/>
        </w:rPr>
        <w:t>contacts</w:t>
      </w:r>
      <w:r>
        <w:rPr>
          <w:spacing w:val="-4"/>
          <w:sz w:val="24"/>
        </w:rPr>
        <w:t> </w:t>
      </w:r>
      <w:r>
        <w:rPr>
          <w:sz w:val="24"/>
        </w:rPr>
        <w:t>and opportunities for participation in the local community.</w:t>
      </w:r>
    </w:p>
    <w:p>
      <w:pPr>
        <w:pStyle w:val="ListParagraph"/>
        <w:numPr>
          <w:ilvl w:val="1"/>
          <w:numId w:val="362"/>
        </w:numPr>
        <w:tabs>
          <w:tab w:pos="1217" w:val="left" w:leader="none"/>
        </w:tabs>
        <w:spacing w:line="208" w:lineRule="auto" w:before="240" w:after="0"/>
        <w:ind w:left="791" w:right="1494" w:firstLine="0"/>
        <w:jc w:val="left"/>
        <w:rPr>
          <w:sz w:val="24"/>
        </w:rPr>
      </w:pPr>
      <w:r>
        <w:rPr>
          <w:sz w:val="24"/>
        </w:rPr>
        <w:t>Telephone</w:t>
      </w:r>
      <w:r>
        <w:rPr>
          <w:spacing w:val="-4"/>
          <w:sz w:val="24"/>
        </w:rPr>
        <w:t> </w:t>
      </w:r>
      <w:r>
        <w:rPr>
          <w:sz w:val="24"/>
        </w:rPr>
        <w:t>contacts.</w:t>
      </w:r>
      <w:r>
        <w:rPr>
          <w:spacing w:val="40"/>
          <w:sz w:val="24"/>
        </w:rPr>
        <w:t> </w:t>
      </w:r>
      <w:r>
        <w:rPr>
          <w:sz w:val="24"/>
        </w:rPr>
        <w:t>Students</w:t>
      </w:r>
      <w:r>
        <w:rPr>
          <w:spacing w:val="-4"/>
          <w:sz w:val="24"/>
        </w:rPr>
        <w:t> </w:t>
      </w:r>
      <w:r>
        <w:rPr>
          <w:sz w:val="24"/>
        </w:rPr>
        <w:t>have</w:t>
      </w:r>
      <w:r>
        <w:rPr>
          <w:spacing w:val="-4"/>
          <w:sz w:val="24"/>
        </w:rPr>
        <w:t> </w:t>
      </w:r>
      <w:r>
        <w:rPr>
          <w:sz w:val="24"/>
        </w:rPr>
        <w:t>access</w:t>
      </w:r>
      <w:r>
        <w:rPr>
          <w:spacing w:val="-4"/>
          <w:sz w:val="24"/>
        </w:rPr>
        <w:t> </w:t>
      </w:r>
      <w:r>
        <w:rPr>
          <w:sz w:val="24"/>
        </w:rPr>
        <w:t>to</w:t>
      </w:r>
      <w:r>
        <w:rPr>
          <w:spacing w:val="-4"/>
          <w:sz w:val="24"/>
        </w:rPr>
        <w:t> </w:t>
      </w:r>
      <w:r>
        <w:rPr>
          <w:sz w:val="24"/>
        </w:rPr>
        <w:t>a</w:t>
      </w:r>
      <w:r>
        <w:rPr>
          <w:spacing w:val="-5"/>
          <w:sz w:val="24"/>
        </w:rPr>
        <w:t> </w:t>
      </w:r>
      <w:r>
        <w:rPr>
          <w:sz w:val="24"/>
        </w:rPr>
        <w:t>telephone</w:t>
      </w:r>
      <w:r>
        <w:rPr>
          <w:spacing w:val="-4"/>
          <w:sz w:val="24"/>
        </w:rPr>
        <w:t> </w:t>
      </w:r>
      <w:r>
        <w:rPr>
          <w:sz w:val="24"/>
        </w:rPr>
        <w:t>to</w:t>
      </w:r>
      <w:r>
        <w:rPr>
          <w:spacing w:val="-4"/>
          <w:sz w:val="24"/>
        </w:rPr>
        <w:t> </w:t>
      </w:r>
      <w:r>
        <w:rPr>
          <w:sz w:val="24"/>
        </w:rPr>
        <w:t>initiate</w:t>
      </w:r>
      <w:r>
        <w:rPr>
          <w:spacing w:val="-4"/>
          <w:sz w:val="24"/>
        </w:rPr>
        <w:t> </w:t>
      </w:r>
      <w:r>
        <w:rPr>
          <w:sz w:val="24"/>
        </w:rPr>
        <w:t>and receive uncensored personal calls in accordance with OSB/OSD policy and </w:t>
      </w:r>
      <w:r>
        <w:rPr>
          <w:spacing w:val="-2"/>
          <w:sz w:val="24"/>
        </w:rPr>
        <w:t>procedure.</w:t>
      </w:r>
    </w:p>
    <w:p>
      <w:pPr>
        <w:pStyle w:val="ListParagraph"/>
        <w:numPr>
          <w:ilvl w:val="1"/>
          <w:numId w:val="362"/>
        </w:numPr>
        <w:tabs>
          <w:tab w:pos="1216" w:val="left" w:leader="none"/>
          <w:tab w:pos="4449" w:val="left" w:leader="none"/>
        </w:tabs>
        <w:spacing w:line="208" w:lineRule="auto" w:before="240" w:after="0"/>
        <w:ind w:left="791" w:right="1266" w:firstLine="0"/>
        <w:jc w:val="left"/>
        <w:rPr>
          <w:sz w:val="24"/>
        </w:rPr>
      </w:pPr>
      <w:r>
        <w:rPr>
          <w:sz w:val="24"/>
        </w:rPr>
        <w:t>Mail.</w:t>
      </w:r>
      <w:r>
        <w:rPr>
          <w:spacing w:val="40"/>
          <w:sz w:val="24"/>
        </w:rPr>
        <w:t> </w:t>
      </w:r>
      <w:r>
        <w:rPr>
          <w:sz w:val="24"/>
        </w:rPr>
        <w:t>Student’s</w:t>
      </w:r>
      <w:r>
        <w:rPr>
          <w:spacing w:val="-4"/>
          <w:sz w:val="24"/>
        </w:rPr>
        <w:t> </w:t>
      </w:r>
      <w:r>
        <w:rPr>
          <w:sz w:val="24"/>
        </w:rPr>
        <w:t>letters,</w:t>
      </w:r>
      <w:r>
        <w:rPr>
          <w:spacing w:val="-3"/>
          <w:sz w:val="24"/>
        </w:rPr>
        <w:t> </w:t>
      </w:r>
      <w:r>
        <w:rPr>
          <w:sz w:val="24"/>
        </w:rPr>
        <w:t>both</w:t>
      </w:r>
      <w:r>
        <w:rPr>
          <w:spacing w:val="-4"/>
          <w:sz w:val="24"/>
        </w:rPr>
        <w:t> </w:t>
      </w:r>
      <w:r>
        <w:rPr>
          <w:sz w:val="24"/>
        </w:rPr>
        <w:t>incoming</w:t>
      </w:r>
      <w:r>
        <w:rPr>
          <w:spacing w:val="-4"/>
          <w:sz w:val="24"/>
        </w:rPr>
        <w:t> </w:t>
      </w:r>
      <w:r>
        <w:rPr>
          <w:sz w:val="24"/>
        </w:rPr>
        <w:t>and</w:t>
      </w:r>
      <w:r>
        <w:rPr>
          <w:spacing w:val="-4"/>
          <w:sz w:val="24"/>
        </w:rPr>
        <w:t> </w:t>
      </w:r>
      <w:r>
        <w:rPr>
          <w:sz w:val="24"/>
        </w:rPr>
        <w:t>outgoing,</w:t>
      </w:r>
      <w:r>
        <w:rPr>
          <w:spacing w:val="-2"/>
          <w:sz w:val="24"/>
        </w:rPr>
        <w:t> </w:t>
      </w:r>
      <w:r>
        <w:rPr>
          <w:sz w:val="24"/>
        </w:rPr>
        <w:t>are</w:t>
      </w:r>
      <w:r>
        <w:rPr>
          <w:spacing w:val="-4"/>
          <w:sz w:val="24"/>
        </w:rPr>
        <w:t> </w:t>
      </w:r>
      <w:r>
        <w:rPr>
          <w:sz w:val="24"/>
        </w:rPr>
        <w:t>not</w:t>
      </w:r>
      <w:r>
        <w:rPr>
          <w:spacing w:val="-3"/>
          <w:sz w:val="24"/>
        </w:rPr>
        <w:t> </w:t>
      </w:r>
      <w:r>
        <w:rPr>
          <w:sz w:val="24"/>
        </w:rPr>
        <w:t>opened</w:t>
      </w:r>
      <w:r>
        <w:rPr>
          <w:spacing w:val="-4"/>
          <w:sz w:val="24"/>
        </w:rPr>
        <w:t> </w:t>
      </w:r>
      <w:r>
        <w:rPr>
          <w:sz w:val="24"/>
        </w:rPr>
        <w:t>unless there is suspicion of contraband.</w:t>
        <w:tab/>
        <w:t>If correspondence is opened, the student is informed in advance, and is present when the letter is opened.</w:t>
      </w:r>
      <w:r>
        <w:rPr>
          <w:spacing w:val="40"/>
          <w:sz w:val="24"/>
        </w:rPr>
        <w:t> </w:t>
      </w:r>
      <w:r>
        <w:rPr>
          <w:sz w:val="24"/>
        </w:rPr>
        <w:t>This action is </w:t>
      </w:r>
      <w:r>
        <w:rPr>
          <w:spacing w:val="-2"/>
          <w:sz w:val="24"/>
        </w:rPr>
        <w:t>documented.</w:t>
      </w:r>
    </w:p>
    <w:p>
      <w:pPr>
        <w:pStyle w:val="ListParagraph"/>
        <w:numPr>
          <w:ilvl w:val="1"/>
          <w:numId w:val="362"/>
        </w:numPr>
        <w:tabs>
          <w:tab w:pos="1217" w:val="left" w:leader="none"/>
        </w:tabs>
        <w:spacing w:line="208" w:lineRule="auto" w:before="239" w:after="0"/>
        <w:ind w:left="791" w:right="774" w:firstLine="0"/>
        <w:jc w:val="left"/>
        <w:rPr>
          <w:sz w:val="24"/>
        </w:rPr>
      </w:pPr>
      <w:r>
        <w:rPr>
          <w:sz w:val="24"/>
        </w:rPr>
        <w:t>Restrictions.</w:t>
      </w:r>
      <w:r>
        <w:rPr>
          <w:spacing w:val="40"/>
          <w:sz w:val="24"/>
        </w:rPr>
        <w:t> </w:t>
      </w:r>
      <w:r>
        <w:rPr>
          <w:sz w:val="24"/>
        </w:rPr>
        <w:t>Any restrictions placed on communications are explained to the student</w:t>
      </w:r>
      <w:r>
        <w:rPr>
          <w:spacing w:val="-3"/>
          <w:sz w:val="24"/>
        </w:rPr>
        <w:t> </w:t>
      </w:r>
      <w:r>
        <w:rPr>
          <w:sz w:val="24"/>
        </w:rPr>
        <w:t>and</w:t>
      </w:r>
      <w:r>
        <w:rPr>
          <w:spacing w:val="-4"/>
          <w:sz w:val="24"/>
        </w:rPr>
        <w:t> </w:t>
      </w:r>
      <w:r>
        <w:rPr>
          <w:sz w:val="24"/>
        </w:rPr>
        <w:t>clearly</w:t>
      </w:r>
      <w:r>
        <w:rPr>
          <w:spacing w:val="-4"/>
          <w:sz w:val="24"/>
        </w:rPr>
        <w:t> </w:t>
      </w:r>
      <w:r>
        <w:rPr>
          <w:sz w:val="24"/>
        </w:rPr>
        <w:t>documented.</w:t>
      </w:r>
      <w:r>
        <w:rPr>
          <w:spacing w:val="40"/>
          <w:sz w:val="24"/>
        </w:rPr>
        <w:t> </w:t>
      </w:r>
      <w:r>
        <w:rPr>
          <w:sz w:val="24"/>
        </w:rPr>
        <w:t>For</w:t>
      </w:r>
      <w:r>
        <w:rPr>
          <w:spacing w:val="-3"/>
          <w:sz w:val="24"/>
        </w:rPr>
        <w:t> </w:t>
      </w:r>
      <w:r>
        <w:rPr>
          <w:sz w:val="24"/>
        </w:rPr>
        <w:t>example,</w:t>
      </w:r>
      <w:r>
        <w:rPr>
          <w:spacing w:val="-3"/>
          <w:sz w:val="24"/>
        </w:rPr>
        <w:t> </w:t>
      </w:r>
      <w:r>
        <w:rPr>
          <w:sz w:val="24"/>
        </w:rPr>
        <w:t>if</w:t>
      </w:r>
      <w:r>
        <w:rPr>
          <w:spacing w:val="-3"/>
          <w:sz w:val="24"/>
        </w:rPr>
        <w:t> </w:t>
      </w:r>
      <w:r>
        <w:rPr>
          <w:sz w:val="24"/>
        </w:rPr>
        <w:t>the</w:t>
      </w:r>
      <w:r>
        <w:rPr>
          <w:spacing w:val="-4"/>
          <w:sz w:val="24"/>
        </w:rPr>
        <w:t> </w:t>
      </w:r>
      <w:r>
        <w:rPr>
          <w:sz w:val="24"/>
        </w:rPr>
        <w:t>student</w:t>
      </w:r>
      <w:r>
        <w:rPr>
          <w:spacing w:val="-3"/>
          <w:sz w:val="24"/>
        </w:rPr>
        <w:t> </w:t>
      </w:r>
      <w:r>
        <w:rPr>
          <w:sz w:val="24"/>
        </w:rPr>
        <w:t>has</w:t>
      </w:r>
      <w:r>
        <w:rPr>
          <w:spacing w:val="-4"/>
          <w:sz w:val="24"/>
        </w:rPr>
        <w:t> </w:t>
      </w:r>
      <w:r>
        <w:rPr>
          <w:sz w:val="24"/>
        </w:rPr>
        <w:t>abused</w:t>
      </w:r>
      <w:r>
        <w:rPr>
          <w:spacing w:val="-4"/>
          <w:sz w:val="24"/>
        </w:rPr>
        <w:t> </w:t>
      </w:r>
      <w:r>
        <w:rPr>
          <w:sz w:val="24"/>
        </w:rPr>
        <w:t>telephone privileges</w:t>
      </w:r>
      <w:r>
        <w:rPr>
          <w:spacing w:val="-2"/>
          <w:sz w:val="24"/>
        </w:rPr>
        <w:t> </w:t>
      </w:r>
      <w:r>
        <w:rPr>
          <w:sz w:val="24"/>
        </w:rPr>
        <w:t>by</w:t>
      </w:r>
      <w:r>
        <w:rPr>
          <w:spacing w:val="-2"/>
          <w:sz w:val="24"/>
        </w:rPr>
        <w:t> </w:t>
      </w:r>
      <w:r>
        <w:rPr>
          <w:sz w:val="24"/>
        </w:rPr>
        <w:t>making</w:t>
      </w:r>
      <w:r>
        <w:rPr>
          <w:spacing w:val="-2"/>
          <w:sz w:val="24"/>
        </w:rPr>
        <w:t> </w:t>
      </w:r>
      <w:r>
        <w:rPr>
          <w:sz w:val="24"/>
        </w:rPr>
        <w:t>prank</w:t>
      </w:r>
      <w:r>
        <w:rPr>
          <w:spacing w:val="-2"/>
          <w:sz w:val="24"/>
        </w:rPr>
        <w:t> </w:t>
      </w:r>
      <w:r>
        <w:rPr>
          <w:sz w:val="24"/>
        </w:rPr>
        <w:t>calls,</w:t>
      </w:r>
      <w:r>
        <w:rPr>
          <w:spacing w:val="-1"/>
          <w:sz w:val="24"/>
        </w:rPr>
        <w:t> </w:t>
      </w:r>
      <w:r>
        <w:rPr>
          <w:sz w:val="24"/>
        </w:rPr>
        <w:t>he/she</w:t>
      </w:r>
      <w:r>
        <w:rPr>
          <w:spacing w:val="-2"/>
          <w:sz w:val="24"/>
        </w:rPr>
        <w:t> </w:t>
      </w:r>
      <w:r>
        <w:rPr>
          <w:sz w:val="24"/>
        </w:rPr>
        <w:t>may</w:t>
      </w:r>
      <w:r>
        <w:rPr>
          <w:spacing w:val="-2"/>
          <w:sz w:val="24"/>
        </w:rPr>
        <w:t> </w:t>
      </w:r>
      <w:r>
        <w:rPr>
          <w:sz w:val="24"/>
        </w:rPr>
        <w:t>have</w:t>
      </w:r>
      <w:r>
        <w:rPr>
          <w:spacing w:val="-2"/>
          <w:sz w:val="24"/>
        </w:rPr>
        <w:t> </w:t>
      </w:r>
      <w:r>
        <w:rPr>
          <w:sz w:val="24"/>
        </w:rPr>
        <w:t>their</w:t>
      </w:r>
      <w:r>
        <w:rPr>
          <w:spacing w:val="-1"/>
          <w:sz w:val="24"/>
        </w:rPr>
        <w:t> </w:t>
      </w:r>
      <w:r>
        <w:rPr>
          <w:sz w:val="24"/>
        </w:rPr>
        <w:t>telephone</w:t>
      </w:r>
      <w:r>
        <w:rPr>
          <w:spacing w:val="-1"/>
          <w:sz w:val="24"/>
        </w:rPr>
        <w:t> </w:t>
      </w:r>
      <w:r>
        <w:rPr>
          <w:sz w:val="24"/>
        </w:rPr>
        <w:t>privileges</w:t>
      </w:r>
      <w:r>
        <w:rPr>
          <w:spacing w:val="-2"/>
          <w:sz w:val="24"/>
        </w:rPr>
        <w:t> </w:t>
      </w:r>
      <w:r>
        <w:rPr>
          <w:sz w:val="24"/>
        </w:rPr>
        <w:t>limited until the disciplinary period is over.</w:t>
      </w:r>
    </w:p>
    <w:p>
      <w:pPr>
        <w:pStyle w:val="ListParagraph"/>
        <w:numPr>
          <w:ilvl w:val="1"/>
          <w:numId w:val="362"/>
        </w:numPr>
        <w:tabs>
          <w:tab w:pos="1350" w:val="left" w:leader="none"/>
        </w:tabs>
        <w:spacing w:line="208" w:lineRule="auto" w:before="240" w:after="0"/>
        <w:ind w:left="791" w:right="1055" w:firstLine="0"/>
        <w:jc w:val="left"/>
        <w:rPr>
          <w:sz w:val="24"/>
        </w:rPr>
      </w:pPr>
      <w:r>
        <w:rPr>
          <w:sz w:val="24"/>
        </w:rPr>
        <w:t>Publicity.</w:t>
      </w:r>
      <w:r>
        <w:rPr>
          <w:spacing w:val="40"/>
          <w:sz w:val="24"/>
        </w:rPr>
        <w:t> </w:t>
      </w:r>
      <w:r>
        <w:rPr>
          <w:sz w:val="24"/>
        </w:rPr>
        <w:t>Consent</w:t>
      </w:r>
      <w:r>
        <w:rPr>
          <w:spacing w:val="-3"/>
          <w:sz w:val="24"/>
        </w:rPr>
        <w:t> </w:t>
      </w:r>
      <w:r>
        <w:rPr>
          <w:sz w:val="24"/>
        </w:rPr>
        <w:t>is</w:t>
      </w:r>
      <w:r>
        <w:rPr>
          <w:spacing w:val="-4"/>
          <w:sz w:val="24"/>
        </w:rPr>
        <w:t> </w:t>
      </w:r>
      <w:r>
        <w:rPr>
          <w:sz w:val="24"/>
        </w:rPr>
        <w:t>obtained</w:t>
      </w:r>
      <w:r>
        <w:rPr>
          <w:spacing w:val="-4"/>
          <w:sz w:val="24"/>
        </w:rPr>
        <w:t> </w:t>
      </w:r>
      <w:r>
        <w:rPr>
          <w:sz w:val="24"/>
        </w:rPr>
        <w:t>by</w:t>
      </w:r>
      <w:r>
        <w:rPr>
          <w:spacing w:val="-4"/>
          <w:sz w:val="24"/>
        </w:rPr>
        <w:t> </w:t>
      </w:r>
      <w:r>
        <w:rPr>
          <w:sz w:val="24"/>
        </w:rPr>
        <w:t>either</w:t>
      </w:r>
      <w:r>
        <w:rPr>
          <w:spacing w:val="-3"/>
          <w:sz w:val="24"/>
        </w:rPr>
        <w:t> </w:t>
      </w:r>
      <w:r>
        <w:rPr>
          <w:sz w:val="24"/>
        </w:rPr>
        <w:t>OSB/OSD</w:t>
      </w:r>
      <w:r>
        <w:rPr>
          <w:spacing w:val="-4"/>
          <w:sz w:val="24"/>
        </w:rPr>
        <w:t> </w:t>
      </w:r>
      <w:r>
        <w:rPr>
          <w:sz w:val="24"/>
        </w:rPr>
        <w:t>from</w:t>
      </w:r>
      <w:r>
        <w:rPr>
          <w:spacing w:val="-5"/>
          <w:sz w:val="24"/>
        </w:rPr>
        <w:t> </w:t>
      </w:r>
      <w:r>
        <w:rPr>
          <w:sz w:val="24"/>
        </w:rPr>
        <w:t>the</w:t>
      </w:r>
      <w:r>
        <w:rPr>
          <w:spacing w:val="-5"/>
          <w:sz w:val="24"/>
        </w:rPr>
        <w:t> </w:t>
      </w:r>
      <w:r>
        <w:rPr>
          <w:sz w:val="24"/>
        </w:rPr>
        <w:t>student</w:t>
      </w:r>
      <w:r>
        <w:rPr>
          <w:spacing w:val="-3"/>
          <w:sz w:val="24"/>
        </w:rPr>
        <w:t> </w:t>
      </w:r>
      <w:r>
        <w:rPr>
          <w:sz w:val="24"/>
        </w:rPr>
        <w:t>and</w:t>
      </w:r>
      <w:r>
        <w:rPr>
          <w:spacing w:val="-4"/>
          <w:sz w:val="24"/>
        </w:rPr>
        <w:t> </w:t>
      </w:r>
      <w:r>
        <w:rPr>
          <w:sz w:val="24"/>
        </w:rPr>
        <w:t>the student’s parents or custodian prior to the use of any publicity about or</w:t>
      </w:r>
      <w:r>
        <w:rPr>
          <w:spacing w:val="-1"/>
          <w:sz w:val="24"/>
        </w:rPr>
        <w:t> </w:t>
      </w:r>
      <w:r>
        <w:rPr>
          <w:sz w:val="24"/>
        </w:rPr>
        <w:t>related to the student.</w:t>
      </w:r>
      <w:r>
        <w:rPr>
          <w:spacing w:val="40"/>
          <w:sz w:val="24"/>
        </w:rPr>
        <w:t> </w:t>
      </w:r>
      <w:r>
        <w:rPr>
          <w:sz w:val="24"/>
        </w:rPr>
        <w:t>Students are not caused embarrassment by any publicity or promotional materials.</w:t>
      </w:r>
    </w:p>
    <w:p>
      <w:pPr>
        <w:pStyle w:val="ListParagraph"/>
        <w:numPr>
          <w:ilvl w:val="1"/>
          <w:numId w:val="362"/>
        </w:numPr>
        <w:tabs>
          <w:tab w:pos="1350" w:val="left" w:leader="none"/>
        </w:tabs>
        <w:spacing w:line="208" w:lineRule="auto" w:before="239" w:after="0"/>
        <w:ind w:left="792" w:right="1814" w:firstLine="0"/>
        <w:jc w:val="left"/>
        <w:rPr>
          <w:sz w:val="24"/>
        </w:rPr>
      </w:pPr>
      <w:r>
        <w:rPr>
          <w:sz w:val="24"/>
        </w:rPr>
        <w:t>Grievance.</w:t>
      </w:r>
      <w:r>
        <w:rPr>
          <w:spacing w:val="40"/>
          <w:sz w:val="24"/>
        </w:rPr>
        <w:t> </w:t>
      </w:r>
      <w:r>
        <w:rPr>
          <w:sz w:val="24"/>
        </w:rPr>
        <w:t>Residents</w:t>
      </w:r>
      <w:r>
        <w:rPr>
          <w:spacing w:val="-4"/>
          <w:sz w:val="24"/>
        </w:rPr>
        <w:t> </w:t>
      </w:r>
      <w:r>
        <w:rPr>
          <w:sz w:val="24"/>
        </w:rPr>
        <w:t>and</w:t>
      </w:r>
      <w:r>
        <w:rPr>
          <w:spacing w:val="-4"/>
          <w:sz w:val="24"/>
        </w:rPr>
        <w:t> </w:t>
      </w:r>
      <w:r>
        <w:rPr>
          <w:sz w:val="24"/>
        </w:rPr>
        <w:t>parents/custodians</w:t>
      </w:r>
      <w:r>
        <w:rPr>
          <w:spacing w:val="-4"/>
          <w:sz w:val="24"/>
        </w:rPr>
        <w:t> </w:t>
      </w:r>
      <w:r>
        <w:rPr>
          <w:sz w:val="24"/>
        </w:rPr>
        <w:t>have</w:t>
      </w:r>
      <w:r>
        <w:rPr>
          <w:spacing w:val="-4"/>
          <w:sz w:val="24"/>
        </w:rPr>
        <w:t> </w:t>
      </w:r>
      <w:r>
        <w:rPr>
          <w:sz w:val="24"/>
        </w:rPr>
        <w:t>the</w:t>
      </w:r>
      <w:r>
        <w:rPr>
          <w:spacing w:val="-4"/>
          <w:sz w:val="24"/>
        </w:rPr>
        <w:t> </w:t>
      </w:r>
      <w:r>
        <w:rPr>
          <w:sz w:val="24"/>
        </w:rPr>
        <w:t>right</w:t>
      </w:r>
      <w:r>
        <w:rPr>
          <w:spacing w:val="-5"/>
          <w:sz w:val="24"/>
        </w:rPr>
        <w:t> </w:t>
      </w:r>
      <w:r>
        <w:rPr>
          <w:sz w:val="24"/>
        </w:rPr>
        <w:t>to</w:t>
      </w:r>
      <w:r>
        <w:rPr>
          <w:spacing w:val="-5"/>
          <w:sz w:val="24"/>
        </w:rPr>
        <w:t> </w:t>
      </w:r>
      <w:r>
        <w:rPr>
          <w:sz w:val="24"/>
        </w:rPr>
        <w:t>file</w:t>
      </w:r>
      <w:r>
        <w:rPr>
          <w:spacing w:val="-4"/>
          <w:sz w:val="24"/>
        </w:rPr>
        <w:t> </w:t>
      </w:r>
      <w:r>
        <w:rPr>
          <w:sz w:val="24"/>
        </w:rPr>
        <w:t>a </w:t>
      </w:r>
      <w:r>
        <w:rPr>
          <w:spacing w:val="-2"/>
          <w:sz w:val="24"/>
        </w:rPr>
        <w:t>grievance.</w:t>
      </w:r>
    </w:p>
    <w:p>
      <w:pPr>
        <w:pStyle w:val="ListParagraph"/>
        <w:numPr>
          <w:ilvl w:val="1"/>
          <w:numId w:val="362"/>
        </w:numPr>
        <w:tabs>
          <w:tab w:pos="1351" w:val="left" w:leader="none"/>
        </w:tabs>
        <w:spacing w:line="208" w:lineRule="auto" w:before="240" w:after="0"/>
        <w:ind w:left="792" w:right="747" w:firstLine="0"/>
        <w:jc w:val="left"/>
        <w:rPr>
          <w:sz w:val="24"/>
        </w:rPr>
      </w:pPr>
      <w:r>
        <w:rPr>
          <w:sz w:val="24"/>
        </w:rPr>
        <w:t>Work.</w:t>
      </w:r>
      <w:r>
        <w:rPr>
          <w:spacing w:val="40"/>
          <w:sz w:val="24"/>
        </w:rPr>
        <w:t> </w:t>
      </w:r>
      <w:r>
        <w:rPr>
          <w:sz w:val="24"/>
        </w:rPr>
        <w:t>Students</w:t>
      </w:r>
      <w:r>
        <w:rPr>
          <w:spacing w:val="-4"/>
          <w:sz w:val="24"/>
        </w:rPr>
        <w:t> </w:t>
      </w:r>
      <w:r>
        <w:rPr>
          <w:sz w:val="24"/>
        </w:rPr>
        <w:t>are</w:t>
      </w:r>
      <w:r>
        <w:rPr>
          <w:spacing w:val="-3"/>
          <w:sz w:val="24"/>
        </w:rPr>
        <w:t> </w:t>
      </w:r>
      <w:r>
        <w:rPr>
          <w:sz w:val="24"/>
        </w:rPr>
        <w:t>taught</w:t>
      </w:r>
      <w:r>
        <w:rPr>
          <w:spacing w:val="-4"/>
          <w:sz w:val="24"/>
        </w:rPr>
        <w:t> </w:t>
      </w:r>
      <w:r>
        <w:rPr>
          <w:sz w:val="24"/>
        </w:rPr>
        <w:t>good</w:t>
      </w:r>
      <w:r>
        <w:rPr>
          <w:spacing w:val="-3"/>
          <w:sz w:val="24"/>
        </w:rPr>
        <w:t> </w:t>
      </w:r>
      <w:r>
        <w:rPr>
          <w:sz w:val="24"/>
        </w:rPr>
        <w:t>work</w:t>
      </w:r>
      <w:r>
        <w:rPr>
          <w:spacing w:val="-3"/>
          <w:sz w:val="24"/>
        </w:rPr>
        <w:t> </w:t>
      </w:r>
      <w:r>
        <w:rPr>
          <w:sz w:val="24"/>
        </w:rPr>
        <w:t>habits</w:t>
      </w:r>
      <w:r>
        <w:rPr>
          <w:spacing w:val="-3"/>
          <w:sz w:val="24"/>
        </w:rPr>
        <w:t> </w:t>
      </w:r>
      <w:r>
        <w:rPr>
          <w:sz w:val="24"/>
        </w:rPr>
        <w:t>and</w:t>
      </w:r>
      <w:r>
        <w:rPr>
          <w:spacing w:val="-3"/>
          <w:sz w:val="24"/>
        </w:rPr>
        <w:t> </w:t>
      </w:r>
      <w:r>
        <w:rPr>
          <w:sz w:val="24"/>
        </w:rPr>
        <w:t>are</w:t>
      </w:r>
      <w:r>
        <w:rPr>
          <w:spacing w:val="-3"/>
          <w:sz w:val="24"/>
        </w:rPr>
        <w:t> </w:t>
      </w:r>
      <w:r>
        <w:rPr>
          <w:sz w:val="24"/>
        </w:rPr>
        <w:t>provided</w:t>
      </w:r>
      <w:r>
        <w:rPr>
          <w:spacing w:val="-3"/>
          <w:sz w:val="24"/>
        </w:rPr>
        <w:t> </w:t>
      </w:r>
      <w:r>
        <w:rPr>
          <w:sz w:val="24"/>
        </w:rPr>
        <w:t>with</w:t>
      </w:r>
      <w:r>
        <w:rPr>
          <w:spacing w:val="-3"/>
          <w:sz w:val="24"/>
        </w:rPr>
        <w:t> </w:t>
      </w:r>
      <w:r>
        <w:rPr>
          <w:sz w:val="24"/>
        </w:rPr>
        <w:t>a</w:t>
      </w:r>
      <w:r>
        <w:rPr>
          <w:spacing w:val="-3"/>
          <w:sz w:val="24"/>
        </w:rPr>
        <w:t> </w:t>
      </w:r>
      <w:r>
        <w:rPr>
          <w:sz w:val="24"/>
        </w:rPr>
        <w:t>variety</w:t>
      </w:r>
      <w:r>
        <w:rPr>
          <w:spacing w:val="-3"/>
          <w:sz w:val="24"/>
        </w:rPr>
        <w:t> </w:t>
      </w:r>
      <w:r>
        <w:rPr>
          <w:sz w:val="24"/>
        </w:rPr>
        <w:t>of tasks.</w:t>
      </w:r>
      <w:r>
        <w:rPr>
          <w:spacing w:val="40"/>
          <w:sz w:val="24"/>
        </w:rPr>
        <w:t> </w:t>
      </w:r>
      <w:r>
        <w:rPr>
          <w:sz w:val="24"/>
        </w:rPr>
        <w:t>A student work program allows students to work and receive pay for performing work details.</w:t>
      </w:r>
    </w:p>
    <w:p>
      <w:pPr>
        <w:pStyle w:val="ListParagraph"/>
        <w:spacing w:after="0" w:line="208" w:lineRule="auto"/>
        <w:jc w:val="left"/>
        <w:rPr>
          <w:sz w:val="24"/>
        </w:rPr>
        <w:sectPr>
          <w:pgSz w:w="12240" w:h="15840"/>
          <w:pgMar w:top="1340" w:bottom="280" w:left="1080" w:right="720"/>
        </w:sectPr>
      </w:pPr>
    </w:p>
    <w:p>
      <w:pPr>
        <w:pStyle w:val="ListParagraph"/>
        <w:numPr>
          <w:ilvl w:val="1"/>
          <w:numId w:val="362"/>
        </w:numPr>
        <w:tabs>
          <w:tab w:pos="1350" w:val="left" w:leader="none"/>
        </w:tabs>
        <w:spacing w:line="208" w:lineRule="auto" w:before="96" w:after="0"/>
        <w:ind w:left="791" w:right="1399" w:firstLine="0"/>
        <w:jc w:val="left"/>
        <w:rPr>
          <w:sz w:val="24"/>
        </w:rPr>
      </w:pPr>
      <w:r>
        <w:rPr>
          <w:sz w:val="24"/>
        </w:rPr>
        <w:t>Safety.</w:t>
      </w:r>
      <w:r>
        <w:rPr>
          <w:spacing w:val="40"/>
          <w:sz w:val="24"/>
        </w:rPr>
        <w:t> </w:t>
      </w:r>
      <w:r>
        <w:rPr>
          <w:sz w:val="24"/>
        </w:rPr>
        <w:t>Adequate</w:t>
      </w:r>
      <w:r>
        <w:rPr>
          <w:spacing w:val="-3"/>
          <w:sz w:val="24"/>
        </w:rPr>
        <w:t> </w:t>
      </w:r>
      <w:r>
        <w:rPr>
          <w:sz w:val="24"/>
        </w:rPr>
        <w:t>measures</w:t>
      </w:r>
      <w:r>
        <w:rPr>
          <w:spacing w:val="-3"/>
          <w:sz w:val="24"/>
        </w:rPr>
        <w:t> </w:t>
      </w:r>
      <w:r>
        <w:rPr>
          <w:sz w:val="24"/>
        </w:rPr>
        <w:t>are</w:t>
      </w:r>
      <w:r>
        <w:rPr>
          <w:spacing w:val="-3"/>
          <w:sz w:val="24"/>
        </w:rPr>
        <w:t> </w:t>
      </w:r>
      <w:r>
        <w:rPr>
          <w:sz w:val="24"/>
        </w:rPr>
        <w:t>taken</w:t>
      </w:r>
      <w:r>
        <w:rPr>
          <w:spacing w:val="-4"/>
          <w:sz w:val="24"/>
        </w:rPr>
        <w:t> </w:t>
      </w:r>
      <w:r>
        <w:rPr>
          <w:sz w:val="24"/>
        </w:rPr>
        <w:t>to</w:t>
      </w:r>
      <w:r>
        <w:rPr>
          <w:spacing w:val="-3"/>
          <w:sz w:val="24"/>
        </w:rPr>
        <w:t> </w:t>
      </w:r>
      <w:r>
        <w:rPr>
          <w:sz w:val="24"/>
        </w:rPr>
        <w:t>prevent</w:t>
      </w:r>
      <w:r>
        <w:rPr>
          <w:spacing w:val="-4"/>
          <w:sz w:val="24"/>
        </w:rPr>
        <w:t> </w:t>
      </w:r>
      <w:r>
        <w:rPr>
          <w:sz w:val="24"/>
        </w:rPr>
        <w:t>accidents</w:t>
      </w:r>
      <w:r>
        <w:rPr>
          <w:spacing w:val="-3"/>
          <w:sz w:val="24"/>
        </w:rPr>
        <w:t> </w:t>
      </w:r>
      <w:r>
        <w:rPr>
          <w:sz w:val="24"/>
        </w:rPr>
        <w:t>and</w:t>
      </w:r>
      <w:r>
        <w:rPr>
          <w:spacing w:val="-3"/>
          <w:sz w:val="24"/>
        </w:rPr>
        <w:t> </w:t>
      </w:r>
      <w:r>
        <w:rPr>
          <w:sz w:val="24"/>
        </w:rPr>
        <w:t>to</w:t>
      </w:r>
      <w:r>
        <w:rPr>
          <w:spacing w:val="-3"/>
          <w:sz w:val="24"/>
        </w:rPr>
        <w:t> </w:t>
      </w:r>
      <w:r>
        <w:rPr>
          <w:sz w:val="24"/>
        </w:rPr>
        <w:t>avoid health and safety hazards.</w:t>
      </w:r>
    </w:p>
    <w:p>
      <w:pPr>
        <w:pStyle w:val="ListParagraph"/>
        <w:numPr>
          <w:ilvl w:val="2"/>
          <w:numId w:val="362"/>
        </w:numPr>
        <w:tabs>
          <w:tab w:pos="1676" w:val="left" w:leader="none"/>
        </w:tabs>
        <w:spacing w:line="208" w:lineRule="auto" w:before="240" w:after="0"/>
        <w:ind w:left="1223" w:right="1021" w:firstLine="0"/>
        <w:jc w:val="both"/>
        <w:rPr>
          <w:sz w:val="24"/>
        </w:rPr>
      </w:pPr>
      <w:r>
        <w:rPr>
          <w:sz w:val="24"/>
        </w:rPr>
        <w:t>Students</w:t>
      </w:r>
      <w:r>
        <w:rPr>
          <w:spacing w:val="-4"/>
          <w:sz w:val="24"/>
        </w:rPr>
        <w:t> </w:t>
      </w:r>
      <w:r>
        <w:rPr>
          <w:sz w:val="24"/>
        </w:rPr>
        <w:t>participate</w:t>
      </w:r>
      <w:r>
        <w:rPr>
          <w:spacing w:val="-4"/>
          <w:sz w:val="24"/>
        </w:rPr>
        <w:t> </w:t>
      </w:r>
      <w:r>
        <w:rPr>
          <w:sz w:val="24"/>
        </w:rPr>
        <w:t>in</w:t>
      </w:r>
      <w:r>
        <w:rPr>
          <w:spacing w:val="-4"/>
          <w:sz w:val="24"/>
        </w:rPr>
        <w:t> </w:t>
      </w:r>
      <w:r>
        <w:rPr>
          <w:sz w:val="24"/>
        </w:rPr>
        <w:t>fire</w:t>
      </w:r>
      <w:r>
        <w:rPr>
          <w:spacing w:val="-4"/>
          <w:sz w:val="24"/>
        </w:rPr>
        <w:t> </w:t>
      </w:r>
      <w:r>
        <w:rPr>
          <w:sz w:val="24"/>
        </w:rPr>
        <w:t>exit</w:t>
      </w:r>
      <w:r>
        <w:rPr>
          <w:spacing w:val="-3"/>
          <w:sz w:val="24"/>
        </w:rPr>
        <w:t> </w:t>
      </w:r>
      <w:r>
        <w:rPr>
          <w:sz w:val="24"/>
        </w:rPr>
        <w:t>drills</w:t>
      </w:r>
      <w:r>
        <w:rPr>
          <w:spacing w:val="-4"/>
          <w:sz w:val="24"/>
        </w:rPr>
        <w:t> </w:t>
      </w:r>
      <w:r>
        <w:rPr>
          <w:sz w:val="24"/>
        </w:rPr>
        <w:t>performed</w:t>
      </w:r>
      <w:r>
        <w:rPr>
          <w:spacing w:val="-4"/>
          <w:sz w:val="24"/>
        </w:rPr>
        <w:t> </w:t>
      </w:r>
      <w:r>
        <w:rPr>
          <w:sz w:val="24"/>
        </w:rPr>
        <w:t>by</w:t>
      </w:r>
      <w:r>
        <w:rPr>
          <w:spacing w:val="-4"/>
          <w:sz w:val="24"/>
        </w:rPr>
        <w:t> </w:t>
      </w:r>
      <w:r>
        <w:rPr>
          <w:sz w:val="24"/>
        </w:rPr>
        <w:t>OSB/OSD</w:t>
      </w:r>
      <w:r>
        <w:rPr>
          <w:spacing w:val="-4"/>
          <w:sz w:val="24"/>
        </w:rPr>
        <w:t> </w:t>
      </w:r>
      <w:r>
        <w:rPr>
          <w:sz w:val="24"/>
        </w:rPr>
        <w:t>at</w:t>
      </w:r>
      <w:r>
        <w:rPr>
          <w:spacing w:val="-3"/>
          <w:sz w:val="24"/>
        </w:rPr>
        <w:t> </w:t>
      </w:r>
      <w:r>
        <w:rPr>
          <w:sz w:val="24"/>
        </w:rPr>
        <w:t>least</w:t>
      </w:r>
      <w:r>
        <w:rPr>
          <w:spacing w:val="-3"/>
          <w:sz w:val="24"/>
        </w:rPr>
        <w:t> </w:t>
      </w:r>
      <w:r>
        <w:rPr>
          <w:sz w:val="24"/>
        </w:rPr>
        <w:t>four timers</w:t>
      </w:r>
      <w:r>
        <w:rPr>
          <w:spacing w:val="-1"/>
          <w:sz w:val="24"/>
        </w:rPr>
        <w:t> </w:t>
      </w:r>
      <w:r>
        <w:rPr>
          <w:sz w:val="24"/>
        </w:rPr>
        <w:t>per</w:t>
      </w:r>
      <w:r>
        <w:rPr>
          <w:spacing w:val="-2"/>
          <w:sz w:val="24"/>
        </w:rPr>
        <w:t> </w:t>
      </w:r>
      <w:r>
        <w:rPr>
          <w:sz w:val="24"/>
        </w:rPr>
        <w:t>year during a</w:t>
      </w:r>
      <w:r>
        <w:rPr>
          <w:spacing w:val="-1"/>
          <w:sz w:val="24"/>
        </w:rPr>
        <w:t> </w:t>
      </w:r>
      <w:r>
        <w:rPr>
          <w:sz w:val="24"/>
        </w:rPr>
        <w:t>school</w:t>
      </w:r>
      <w:r>
        <w:rPr>
          <w:spacing w:val="-1"/>
          <w:sz w:val="24"/>
        </w:rPr>
        <w:t> </w:t>
      </w:r>
      <w:r>
        <w:rPr>
          <w:sz w:val="24"/>
        </w:rPr>
        <w:t>day</w:t>
      </w:r>
      <w:r>
        <w:rPr>
          <w:spacing w:val="-1"/>
          <w:sz w:val="24"/>
        </w:rPr>
        <w:t> </w:t>
      </w:r>
      <w:r>
        <w:rPr>
          <w:sz w:val="24"/>
        </w:rPr>
        <w:t>and</w:t>
      </w:r>
      <w:r>
        <w:rPr>
          <w:spacing w:val="-1"/>
          <w:sz w:val="24"/>
        </w:rPr>
        <w:t> </w:t>
      </w:r>
      <w:r>
        <w:rPr>
          <w:sz w:val="24"/>
        </w:rPr>
        <w:t>a</w:t>
      </w:r>
      <w:r>
        <w:rPr>
          <w:spacing w:val="-1"/>
          <w:sz w:val="24"/>
        </w:rPr>
        <w:t> </w:t>
      </w:r>
      <w:r>
        <w:rPr>
          <w:sz w:val="24"/>
        </w:rPr>
        <w:t>minimum of two</w:t>
      </w:r>
      <w:r>
        <w:rPr>
          <w:spacing w:val="-1"/>
          <w:sz w:val="24"/>
        </w:rPr>
        <w:t> </w:t>
      </w:r>
      <w:r>
        <w:rPr>
          <w:sz w:val="24"/>
        </w:rPr>
        <w:t>drills</w:t>
      </w:r>
      <w:r>
        <w:rPr>
          <w:spacing w:val="-1"/>
          <w:sz w:val="24"/>
        </w:rPr>
        <w:t> </w:t>
      </w:r>
      <w:r>
        <w:rPr>
          <w:sz w:val="24"/>
        </w:rPr>
        <w:t>conducted</w:t>
      </w:r>
      <w:r>
        <w:rPr>
          <w:spacing w:val="-1"/>
          <w:sz w:val="24"/>
        </w:rPr>
        <w:t> </w:t>
      </w:r>
      <w:r>
        <w:rPr>
          <w:sz w:val="24"/>
        </w:rPr>
        <w:t>at </w:t>
      </w:r>
      <w:r>
        <w:rPr>
          <w:spacing w:val="-2"/>
          <w:sz w:val="24"/>
        </w:rPr>
        <w:t>night.</w:t>
      </w:r>
    </w:p>
    <w:p>
      <w:pPr>
        <w:pStyle w:val="ListParagraph"/>
        <w:numPr>
          <w:ilvl w:val="2"/>
          <w:numId w:val="362"/>
        </w:numPr>
        <w:tabs>
          <w:tab w:pos="1676" w:val="left" w:leader="none"/>
        </w:tabs>
        <w:spacing w:line="240" w:lineRule="auto" w:before="210" w:after="0"/>
        <w:ind w:left="1676" w:right="0" w:hanging="453"/>
        <w:jc w:val="both"/>
        <w:rPr>
          <w:sz w:val="24"/>
        </w:rPr>
      </w:pPr>
      <w:r>
        <w:rPr>
          <w:sz w:val="24"/>
        </w:rPr>
        <w:t>Students</w:t>
      </w:r>
      <w:r>
        <w:rPr>
          <w:spacing w:val="-6"/>
          <w:sz w:val="24"/>
        </w:rPr>
        <w:t> </w:t>
      </w:r>
      <w:r>
        <w:rPr>
          <w:sz w:val="24"/>
        </w:rPr>
        <w:t>participate</w:t>
      </w:r>
      <w:r>
        <w:rPr>
          <w:spacing w:val="-4"/>
          <w:sz w:val="24"/>
        </w:rPr>
        <w:t> </w:t>
      </w:r>
      <w:r>
        <w:rPr>
          <w:sz w:val="24"/>
        </w:rPr>
        <w:t>in</w:t>
      </w:r>
      <w:r>
        <w:rPr>
          <w:spacing w:val="-4"/>
          <w:sz w:val="24"/>
        </w:rPr>
        <w:t> </w:t>
      </w:r>
      <w:r>
        <w:rPr>
          <w:sz w:val="24"/>
        </w:rPr>
        <w:t>tornado</w:t>
      </w:r>
      <w:r>
        <w:rPr>
          <w:spacing w:val="-3"/>
          <w:sz w:val="24"/>
        </w:rPr>
        <w:t> </w:t>
      </w:r>
      <w:r>
        <w:rPr>
          <w:sz w:val="24"/>
        </w:rPr>
        <w:t>drills</w:t>
      </w:r>
      <w:r>
        <w:rPr>
          <w:spacing w:val="-4"/>
          <w:sz w:val="24"/>
        </w:rPr>
        <w:t> </w:t>
      </w:r>
      <w:r>
        <w:rPr>
          <w:sz w:val="24"/>
        </w:rPr>
        <w:t>conducted</w:t>
      </w:r>
      <w:r>
        <w:rPr>
          <w:spacing w:val="-4"/>
          <w:sz w:val="24"/>
        </w:rPr>
        <w:t> </w:t>
      </w:r>
      <w:r>
        <w:rPr>
          <w:sz w:val="24"/>
        </w:rPr>
        <w:t>each</w:t>
      </w:r>
      <w:r>
        <w:rPr>
          <w:spacing w:val="-3"/>
          <w:sz w:val="24"/>
        </w:rPr>
        <w:t> </w:t>
      </w:r>
      <w:r>
        <w:rPr>
          <w:spacing w:val="-2"/>
          <w:sz w:val="24"/>
        </w:rPr>
        <w:t>year.</w:t>
      </w:r>
    </w:p>
    <w:p>
      <w:pPr>
        <w:pStyle w:val="ListParagraph"/>
        <w:numPr>
          <w:ilvl w:val="2"/>
          <w:numId w:val="362"/>
        </w:numPr>
        <w:tabs>
          <w:tab w:pos="1689" w:val="left" w:leader="none"/>
        </w:tabs>
        <w:spacing w:line="240" w:lineRule="auto" w:before="204" w:after="0"/>
        <w:ind w:left="1689" w:right="0" w:hanging="466"/>
        <w:jc w:val="both"/>
        <w:rPr>
          <w:sz w:val="24"/>
        </w:rPr>
      </w:pPr>
      <w:r>
        <w:rPr>
          <w:sz w:val="24"/>
        </w:rPr>
        <w:t>Facilities</w:t>
      </w:r>
      <w:r>
        <w:rPr>
          <w:spacing w:val="-6"/>
          <w:sz w:val="24"/>
        </w:rPr>
        <w:t> </w:t>
      </w:r>
      <w:r>
        <w:rPr>
          <w:sz w:val="24"/>
        </w:rPr>
        <w:t>maintain</w:t>
      </w:r>
      <w:r>
        <w:rPr>
          <w:spacing w:val="-2"/>
          <w:sz w:val="24"/>
        </w:rPr>
        <w:t> </w:t>
      </w:r>
      <w:r>
        <w:rPr>
          <w:sz w:val="24"/>
        </w:rPr>
        <w:t>a</w:t>
      </w:r>
      <w:r>
        <w:rPr>
          <w:spacing w:val="-3"/>
          <w:sz w:val="24"/>
        </w:rPr>
        <w:t> </w:t>
      </w:r>
      <w:r>
        <w:rPr>
          <w:sz w:val="24"/>
        </w:rPr>
        <w:t>log</w:t>
      </w:r>
      <w:r>
        <w:rPr>
          <w:spacing w:val="-4"/>
          <w:sz w:val="24"/>
        </w:rPr>
        <w:t> </w:t>
      </w:r>
      <w:r>
        <w:rPr>
          <w:sz w:val="24"/>
        </w:rPr>
        <w:t>of</w:t>
      </w:r>
      <w:r>
        <w:rPr>
          <w:spacing w:val="-2"/>
          <w:sz w:val="24"/>
        </w:rPr>
        <w:t> </w:t>
      </w:r>
      <w:r>
        <w:rPr>
          <w:sz w:val="24"/>
        </w:rPr>
        <w:t>all</w:t>
      </w:r>
      <w:r>
        <w:rPr>
          <w:spacing w:val="-3"/>
          <w:sz w:val="24"/>
        </w:rPr>
        <w:t> </w:t>
      </w:r>
      <w:r>
        <w:rPr>
          <w:sz w:val="24"/>
        </w:rPr>
        <w:t>evacuation</w:t>
      </w:r>
      <w:r>
        <w:rPr>
          <w:spacing w:val="-3"/>
          <w:sz w:val="24"/>
        </w:rPr>
        <w:t> </w:t>
      </w:r>
      <w:r>
        <w:rPr>
          <w:sz w:val="24"/>
        </w:rPr>
        <w:t>and</w:t>
      </w:r>
      <w:r>
        <w:rPr>
          <w:spacing w:val="-3"/>
          <w:sz w:val="24"/>
        </w:rPr>
        <w:t> </w:t>
      </w:r>
      <w:r>
        <w:rPr>
          <w:sz w:val="24"/>
        </w:rPr>
        <w:t>sheltering</w:t>
      </w:r>
      <w:r>
        <w:rPr>
          <w:spacing w:val="-3"/>
          <w:sz w:val="24"/>
        </w:rPr>
        <w:t> </w:t>
      </w:r>
      <w:r>
        <w:rPr>
          <w:spacing w:val="-2"/>
          <w:sz w:val="24"/>
        </w:rPr>
        <w:t>drills.</w:t>
      </w:r>
    </w:p>
    <w:p>
      <w:pPr>
        <w:pStyle w:val="ListParagraph"/>
        <w:numPr>
          <w:ilvl w:val="1"/>
          <w:numId w:val="362"/>
        </w:numPr>
        <w:tabs>
          <w:tab w:pos="1350" w:val="left" w:leader="none"/>
        </w:tabs>
        <w:spacing w:line="208" w:lineRule="auto" w:before="233" w:after="0"/>
        <w:ind w:left="791" w:right="894" w:firstLine="0"/>
        <w:jc w:val="left"/>
        <w:rPr>
          <w:sz w:val="24"/>
        </w:rPr>
      </w:pPr>
      <w:r>
        <w:rPr>
          <w:sz w:val="24"/>
        </w:rPr>
        <w:t>Recreation.</w:t>
      </w:r>
      <w:r>
        <w:rPr>
          <w:spacing w:val="40"/>
          <w:sz w:val="24"/>
        </w:rPr>
        <w:t> </w:t>
      </w:r>
      <w:r>
        <w:rPr>
          <w:sz w:val="24"/>
        </w:rPr>
        <w:t>Residents</w:t>
      </w:r>
      <w:r>
        <w:rPr>
          <w:spacing w:val="-4"/>
          <w:sz w:val="24"/>
        </w:rPr>
        <w:t> </w:t>
      </w:r>
      <w:r>
        <w:rPr>
          <w:sz w:val="24"/>
        </w:rPr>
        <w:t>are</w:t>
      </w:r>
      <w:r>
        <w:rPr>
          <w:spacing w:val="-4"/>
          <w:sz w:val="24"/>
        </w:rPr>
        <w:t> </w:t>
      </w:r>
      <w:r>
        <w:rPr>
          <w:sz w:val="24"/>
        </w:rPr>
        <w:t>given</w:t>
      </w:r>
      <w:r>
        <w:rPr>
          <w:spacing w:val="-4"/>
          <w:sz w:val="24"/>
        </w:rPr>
        <w:t> </w:t>
      </w:r>
      <w:r>
        <w:rPr>
          <w:sz w:val="24"/>
        </w:rPr>
        <w:t>time</w:t>
      </w:r>
      <w:r>
        <w:rPr>
          <w:spacing w:val="-4"/>
          <w:sz w:val="24"/>
        </w:rPr>
        <w:t> </w:t>
      </w:r>
      <w:r>
        <w:rPr>
          <w:sz w:val="24"/>
        </w:rPr>
        <w:t>to</w:t>
      </w:r>
      <w:r>
        <w:rPr>
          <w:spacing w:val="-4"/>
          <w:sz w:val="24"/>
        </w:rPr>
        <w:t> </w:t>
      </w:r>
      <w:r>
        <w:rPr>
          <w:sz w:val="24"/>
        </w:rPr>
        <w:t>pursue</w:t>
      </w:r>
      <w:r>
        <w:rPr>
          <w:spacing w:val="-4"/>
          <w:sz w:val="24"/>
        </w:rPr>
        <w:t> </w:t>
      </w:r>
      <w:r>
        <w:rPr>
          <w:sz w:val="24"/>
        </w:rPr>
        <w:t>talents,</w:t>
      </w:r>
      <w:r>
        <w:rPr>
          <w:spacing w:val="-3"/>
          <w:sz w:val="24"/>
        </w:rPr>
        <w:t> </w:t>
      </w:r>
      <w:r>
        <w:rPr>
          <w:sz w:val="24"/>
        </w:rPr>
        <w:t>hobbies,</w:t>
      </w:r>
      <w:r>
        <w:rPr>
          <w:spacing w:val="-3"/>
          <w:sz w:val="24"/>
        </w:rPr>
        <w:t> </w:t>
      </w:r>
      <w:r>
        <w:rPr>
          <w:sz w:val="24"/>
        </w:rPr>
        <w:t>and</w:t>
      </w:r>
      <w:r>
        <w:rPr>
          <w:spacing w:val="-4"/>
          <w:sz w:val="24"/>
        </w:rPr>
        <w:t> </w:t>
      </w:r>
      <w:r>
        <w:rPr>
          <w:sz w:val="24"/>
        </w:rPr>
        <w:t>chosen </w:t>
      </w:r>
      <w:r>
        <w:rPr>
          <w:spacing w:val="-2"/>
          <w:sz w:val="24"/>
        </w:rPr>
        <w:t>interests.</w:t>
      </w:r>
    </w:p>
    <w:p>
      <w:pPr>
        <w:pStyle w:val="ListParagraph"/>
        <w:numPr>
          <w:ilvl w:val="2"/>
          <w:numId w:val="362"/>
        </w:numPr>
        <w:tabs>
          <w:tab w:pos="1677" w:val="left" w:leader="none"/>
        </w:tabs>
        <w:spacing w:line="208" w:lineRule="auto" w:before="240" w:after="0"/>
        <w:ind w:left="1224" w:right="1423" w:firstLine="0"/>
        <w:jc w:val="left"/>
        <w:rPr>
          <w:sz w:val="24"/>
        </w:rPr>
      </w:pPr>
      <w:r>
        <w:rPr>
          <w:sz w:val="24"/>
        </w:rPr>
        <w:t>The</w:t>
      </w:r>
      <w:r>
        <w:rPr>
          <w:spacing w:val="-6"/>
          <w:sz w:val="24"/>
        </w:rPr>
        <w:t> </w:t>
      </w:r>
      <w:r>
        <w:rPr>
          <w:sz w:val="24"/>
        </w:rPr>
        <w:t>facility</w:t>
      </w:r>
      <w:r>
        <w:rPr>
          <w:spacing w:val="-5"/>
          <w:sz w:val="24"/>
        </w:rPr>
        <w:t> </w:t>
      </w:r>
      <w:r>
        <w:rPr>
          <w:sz w:val="24"/>
        </w:rPr>
        <w:t>provides</w:t>
      </w:r>
      <w:r>
        <w:rPr>
          <w:spacing w:val="-5"/>
          <w:sz w:val="24"/>
        </w:rPr>
        <w:t> </w:t>
      </w:r>
      <w:r>
        <w:rPr>
          <w:sz w:val="24"/>
        </w:rPr>
        <w:t>both</w:t>
      </w:r>
      <w:r>
        <w:rPr>
          <w:spacing w:val="-5"/>
          <w:sz w:val="24"/>
        </w:rPr>
        <w:t> </w:t>
      </w:r>
      <w:r>
        <w:rPr>
          <w:sz w:val="24"/>
        </w:rPr>
        <w:t>an</w:t>
      </w:r>
      <w:r>
        <w:rPr>
          <w:spacing w:val="-5"/>
          <w:sz w:val="24"/>
        </w:rPr>
        <w:t> </w:t>
      </w:r>
      <w:r>
        <w:rPr>
          <w:sz w:val="24"/>
        </w:rPr>
        <w:t>on-grounds</w:t>
      </w:r>
      <w:r>
        <w:rPr>
          <w:spacing w:val="-4"/>
          <w:sz w:val="24"/>
        </w:rPr>
        <w:t> </w:t>
      </w:r>
      <w:r>
        <w:rPr>
          <w:sz w:val="24"/>
        </w:rPr>
        <w:t>and</w:t>
      </w:r>
      <w:r>
        <w:rPr>
          <w:spacing w:val="-5"/>
          <w:sz w:val="24"/>
        </w:rPr>
        <w:t> </w:t>
      </w:r>
      <w:r>
        <w:rPr>
          <w:sz w:val="24"/>
        </w:rPr>
        <w:t>off-grounds</w:t>
      </w:r>
      <w:r>
        <w:rPr>
          <w:spacing w:val="-5"/>
          <w:sz w:val="24"/>
        </w:rPr>
        <w:t> </w:t>
      </w:r>
      <w:r>
        <w:rPr>
          <w:sz w:val="24"/>
        </w:rPr>
        <w:t>recreational </w:t>
      </w:r>
      <w:r>
        <w:rPr>
          <w:spacing w:val="-2"/>
          <w:sz w:val="24"/>
        </w:rPr>
        <w:t>programs.</w:t>
      </w:r>
    </w:p>
    <w:p>
      <w:pPr>
        <w:pStyle w:val="ListParagraph"/>
        <w:numPr>
          <w:ilvl w:val="2"/>
          <w:numId w:val="362"/>
        </w:numPr>
        <w:tabs>
          <w:tab w:pos="1677" w:val="left" w:leader="none"/>
        </w:tabs>
        <w:spacing w:line="208" w:lineRule="auto" w:before="240" w:after="0"/>
        <w:ind w:left="1224" w:right="929" w:firstLine="0"/>
        <w:jc w:val="left"/>
        <w:rPr>
          <w:sz w:val="24"/>
        </w:rPr>
      </w:pPr>
      <w:r>
        <w:rPr>
          <w:sz w:val="24"/>
        </w:rPr>
        <w:t>A written schedule of planned recreational, leisure, or physical exercise activities</w:t>
      </w:r>
      <w:r>
        <w:rPr>
          <w:spacing w:val="-4"/>
          <w:sz w:val="24"/>
        </w:rPr>
        <w:t> </w:t>
      </w:r>
      <w:r>
        <w:rPr>
          <w:sz w:val="24"/>
        </w:rPr>
        <w:t>is</w:t>
      </w:r>
      <w:r>
        <w:rPr>
          <w:spacing w:val="-4"/>
          <w:sz w:val="24"/>
        </w:rPr>
        <w:t> </w:t>
      </w:r>
      <w:r>
        <w:rPr>
          <w:sz w:val="24"/>
        </w:rPr>
        <w:t>developed</w:t>
      </w:r>
      <w:r>
        <w:rPr>
          <w:spacing w:val="-3"/>
          <w:sz w:val="24"/>
        </w:rPr>
        <w:t> </w:t>
      </w:r>
      <w:r>
        <w:rPr>
          <w:sz w:val="24"/>
        </w:rPr>
        <w:t>with</w:t>
      </w:r>
      <w:r>
        <w:rPr>
          <w:spacing w:val="-4"/>
          <w:sz w:val="24"/>
        </w:rPr>
        <w:t> </w:t>
      </w:r>
      <w:r>
        <w:rPr>
          <w:sz w:val="24"/>
        </w:rPr>
        <w:t>input</w:t>
      </w:r>
      <w:r>
        <w:rPr>
          <w:spacing w:val="-3"/>
          <w:sz w:val="24"/>
        </w:rPr>
        <w:t> </w:t>
      </w:r>
      <w:r>
        <w:rPr>
          <w:sz w:val="24"/>
        </w:rPr>
        <w:t>from</w:t>
      </w:r>
      <w:r>
        <w:rPr>
          <w:spacing w:val="-3"/>
          <w:sz w:val="24"/>
        </w:rPr>
        <w:t> </w:t>
      </w:r>
      <w:r>
        <w:rPr>
          <w:sz w:val="24"/>
        </w:rPr>
        <w:t>staff</w:t>
      </w:r>
      <w:r>
        <w:rPr>
          <w:spacing w:val="-5"/>
          <w:sz w:val="24"/>
        </w:rPr>
        <w:t> </w:t>
      </w:r>
      <w:r>
        <w:rPr>
          <w:sz w:val="24"/>
        </w:rPr>
        <w:t>members</w:t>
      </w:r>
      <w:r>
        <w:rPr>
          <w:spacing w:val="-4"/>
          <w:sz w:val="24"/>
        </w:rPr>
        <w:t> </w:t>
      </w:r>
      <w:r>
        <w:rPr>
          <w:sz w:val="24"/>
        </w:rPr>
        <w:t>and</w:t>
      </w:r>
      <w:r>
        <w:rPr>
          <w:spacing w:val="-4"/>
          <w:sz w:val="24"/>
        </w:rPr>
        <w:t> </w:t>
      </w:r>
      <w:r>
        <w:rPr>
          <w:sz w:val="24"/>
        </w:rPr>
        <w:t>residents</w:t>
      </w:r>
      <w:r>
        <w:rPr>
          <w:spacing w:val="-4"/>
          <w:sz w:val="24"/>
        </w:rPr>
        <w:t> </w:t>
      </w:r>
      <w:r>
        <w:rPr>
          <w:sz w:val="24"/>
        </w:rPr>
        <w:t>and</w:t>
      </w:r>
      <w:r>
        <w:rPr>
          <w:spacing w:val="-4"/>
          <w:sz w:val="24"/>
        </w:rPr>
        <w:t> </w:t>
      </w:r>
      <w:r>
        <w:rPr>
          <w:sz w:val="24"/>
        </w:rPr>
        <w:t>is</w:t>
      </w:r>
      <w:r>
        <w:rPr>
          <w:spacing w:val="-4"/>
          <w:sz w:val="24"/>
        </w:rPr>
        <w:t> </w:t>
      </w:r>
      <w:r>
        <w:rPr>
          <w:sz w:val="24"/>
        </w:rPr>
        <w:t>kept on file and available.</w:t>
      </w:r>
    </w:p>
    <w:p>
      <w:pPr>
        <w:pStyle w:val="ListParagraph"/>
        <w:numPr>
          <w:ilvl w:val="1"/>
          <w:numId w:val="362"/>
        </w:numPr>
        <w:tabs>
          <w:tab w:pos="1351" w:val="left" w:leader="none"/>
        </w:tabs>
        <w:spacing w:line="208" w:lineRule="auto" w:before="240" w:after="0"/>
        <w:ind w:left="792" w:right="895" w:firstLine="0"/>
        <w:jc w:val="left"/>
        <w:rPr>
          <w:sz w:val="24"/>
        </w:rPr>
      </w:pPr>
      <w:r>
        <w:rPr>
          <w:sz w:val="24"/>
        </w:rPr>
        <w:t>Water</w:t>
      </w:r>
      <w:r>
        <w:rPr>
          <w:spacing w:val="-5"/>
          <w:sz w:val="24"/>
        </w:rPr>
        <w:t> </w:t>
      </w:r>
      <w:r>
        <w:rPr>
          <w:sz w:val="24"/>
        </w:rPr>
        <w:t>activities.</w:t>
      </w:r>
      <w:r>
        <w:rPr>
          <w:spacing w:val="40"/>
          <w:sz w:val="24"/>
        </w:rPr>
        <w:t> </w:t>
      </w:r>
      <w:r>
        <w:rPr>
          <w:sz w:val="24"/>
        </w:rPr>
        <w:t>If</w:t>
      </w:r>
      <w:r>
        <w:rPr>
          <w:spacing w:val="-3"/>
          <w:sz w:val="24"/>
        </w:rPr>
        <w:t> </w:t>
      </w:r>
      <w:r>
        <w:rPr>
          <w:sz w:val="24"/>
        </w:rPr>
        <w:t>students</w:t>
      </w:r>
      <w:r>
        <w:rPr>
          <w:spacing w:val="-5"/>
          <w:sz w:val="24"/>
        </w:rPr>
        <w:t> </w:t>
      </w:r>
      <w:r>
        <w:rPr>
          <w:sz w:val="24"/>
        </w:rPr>
        <w:t>engage</w:t>
      </w:r>
      <w:r>
        <w:rPr>
          <w:spacing w:val="-4"/>
          <w:sz w:val="24"/>
        </w:rPr>
        <w:t> </w:t>
      </w:r>
      <w:r>
        <w:rPr>
          <w:sz w:val="24"/>
        </w:rPr>
        <w:t>in</w:t>
      </w:r>
      <w:r>
        <w:rPr>
          <w:spacing w:val="-4"/>
          <w:sz w:val="24"/>
        </w:rPr>
        <w:t> </w:t>
      </w:r>
      <w:r>
        <w:rPr>
          <w:sz w:val="24"/>
        </w:rPr>
        <w:t>water</w:t>
      </w:r>
      <w:r>
        <w:rPr>
          <w:spacing w:val="-3"/>
          <w:sz w:val="24"/>
        </w:rPr>
        <w:t> </w:t>
      </w:r>
      <w:r>
        <w:rPr>
          <w:sz w:val="24"/>
        </w:rPr>
        <w:t>activities,</w:t>
      </w:r>
      <w:r>
        <w:rPr>
          <w:spacing w:val="-3"/>
          <w:sz w:val="24"/>
        </w:rPr>
        <w:t> </w:t>
      </w:r>
      <w:r>
        <w:rPr>
          <w:sz w:val="24"/>
        </w:rPr>
        <w:t>safety</w:t>
      </w:r>
      <w:r>
        <w:rPr>
          <w:spacing w:val="-6"/>
          <w:sz w:val="24"/>
        </w:rPr>
        <w:t> </w:t>
      </w:r>
      <w:r>
        <w:rPr>
          <w:sz w:val="24"/>
        </w:rPr>
        <w:t>precautions</w:t>
      </w:r>
      <w:r>
        <w:rPr>
          <w:spacing w:val="-4"/>
          <w:sz w:val="24"/>
        </w:rPr>
        <w:t> </w:t>
      </w:r>
      <w:r>
        <w:rPr>
          <w:sz w:val="24"/>
        </w:rPr>
        <w:t>are </w:t>
      </w:r>
      <w:r>
        <w:rPr>
          <w:spacing w:val="-2"/>
          <w:sz w:val="24"/>
        </w:rPr>
        <w:t>followed.</w:t>
      </w:r>
    </w:p>
    <w:p>
      <w:pPr>
        <w:pStyle w:val="ListParagraph"/>
        <w:numPr>
          <w:ilvl w:val="2"/>
          <w:numId w:val="362"/>
        </w:numPr>
        <w:tabs>
          <w:tab w:pos="1677" w:val="left" w:leader="none"/>
        </w:tabs>
        <w:spacing w:line="208" w:lineRule="auto" w:before="240" w:after="0"/>
        <w:ind w:left="1224" w:right="757" w:firstLine="0"/>
        <w:jc w:val="left"/>
        <w:rPr>
          <w:sz w:val="24"/>
        </w:rPr>
      </w:pPr>
      <w:r>
        <w:rPr>
          <w:sz w:val="24"/>
        </w:rPr>
        <w:t>A</w:t>
      </w:r>
      <w:r>
        <w:rPr>
          <w:spacing w:val="-3"/>
          <w:sz w:val="24"/>
        </w:rPr>
        <w:t> </w:t>
      </w:r>
      <w:r>
        <w:rPr>
          <w:sz w:val="24"/>
        </w:rPr>
        <w:t>staff</w:t>
      </w:r>
      <w:r>
        <w:rPr>
          <w:spacing w:val="-5"/>
          <w:sz w:val="24"/>
        </w:rPr>
        <w:t> </w:t>
      </w:r>
      <w:r>
        <w:rPr>
          <w:sz w:val="24"/>
        </w:rPr>
        <w:t>member</w:t>
      </w:r>
      <w:r>
        <w:rPr>
          <w:spacing w:val="-2"/>
          <w:sz w:val="24"/>
        </w:rPr>
        <w:t> </w:t>
      </w:r>
      <w:r>
        <w:rPr>
          <w:sz w:val="24"/>
        </w:rPr>
        <w:t>is</w:t>
      </w:r>
      <w:r>
        <w:rPr>
          <w:spacing w:val="-4"/>
          <w:sz w:val="24"/>
        </w:rPr>
        <w:t> </w:t>
      </w:r>
      <w:r>
        <w:rPr>
          <w:sz w:val="24"/>
        </w:rPr>
        <w:t>in</w:t>
      </w:r>
      <w:r>
        <w:rPr>
          <w:spacing w:val="-3"/>
          <w:sz w:val="24"/>
        </w:rPr>
        <w:t> </w:t>
      </w:r>
      <w:r>
        <w:rPr>
          <w:sz w:val="24"/>
        </w:rPr>
        <w:t>the</w:t>
      </w:r>
      <w:r>
        <w:rPr>
          <w:spacing w:val="-3"/>
          <w:sz w:val="24"/>
        </w:rPr>
        <w:t> </w:t>
      </w:r>
      <w:r>
        <w:rPr>
          <w:sz w:val="24"/>
        </w:rPr>
        <w:t>water</w:t>
      </w:r>
      <w:r>
        <w:rPr>
          <w:spacing w:val="-2"/>
          <w:sz w:val="24"/>
        </w:rPr>
        <w:t> </w:t>
      </w:r>
      <w:r>
        <w:rPr>
          <w:sz w:val="24"/>
        </w:rPr>
        <w:t>or</w:t>
      </w:r>
      <w:r>
        <w:rPr>
          <w:spacing w:val="-2"/>
          <w:sz w:val="24"/>
        </w:rPr>
        <w:t> </w:t>
      </w:r>
      <w:r>
        <w:rPr>
          <w:sz w:val="24"/>
        </w:rPr>
        <w:t>is</w:t>
      </w:r>
      <w:r>
        <w:rPr>
          <w:spacing w:val="-3"/>
          <w:sz w:val="24"/>
        </w:rPr>
        <w:t> </w:t>
      </w:r>
      <w:r>
        <w:rPr>
          <w:sz w:val="24"/>
        </w:rPr>
        <w:t>appropriately</w:t>
      </w:r>
      <w:r>
        <w:rPr>
          <w:spacing w:val="-3"/>
          <w:sz w:val="24"/>
        </w:rPr>
        <w:t> </w:t>
      </w:r>
      <w:r>
        <w:rPr>
          <w:sz w:val="24"/>
        </w:rPr>
        <w:t>dressed</w:t>
      </w:r>
      <w:r>
        <w:rPr>
          <w:spacing w:val="-3"/>
          <w:sz w:val="24"/>
        </w:rPr>
        <w:t> </w:t>
      </w:r>
      <w:r>
        <w:rPr>
          <w:sz w:val="24"/>
        </w:rPr>
        <w:t>to</w:t>
      </w:r>
      <w:r>
        <w:rPr>
          <w:spacing w:val="-3"/>
          <w:sz w:val="24"/>
        </w:rPr>
        <w:t> </w:t>
      </w:r>
      <w:r>
        <w:rPr>
          <w:sz w:val="24"/>
        </w:rPr>
        <w:t>enter</w:t>
      </w:r>
      <w:r>
        <w:rPr>
          <w:spacing w:val="-2"/>
          <w:sz w:val="24"/>
        </w:rPr>
        <w:t> </w:t>
      </w:r>
      <w:r>
        <w:rPr>
          <w:sz w:val="24"/>
        </w:rPr>
        <w:t>the</w:t>
      </w:r>
      <w:r>
        <w:rPr>
          <w:spacing w:val="-3"/>
          <w:sz w:val="24"/>
        </w:rPr>
        <w:t> </w:t>
      </w:r>
      <w:r>
        <w:rPr>
          <w:sz w:val="24"/>
        </w:rPr>
        <w:t>water at any time.</w:t>
      </w:r>
    </w:p>
    <w:p>
      <w:pPr>
        <w:pStyle w:val="ListParagraph"/>
        <w:numPr>
          <w:ilvl w:val="2"/>
          <w:numId w:val="362"/>
        </w:numPr>
        <w:tabs>
          <w:tab w:pos="1677" w:val="left" w:leader="none"/>
        </w:tabs>
        <w:spacing w:line="208" w:lineRule="auto" w:before="239" w:after="0"/>
        <w:ind w:left="1224" w:right="1426" w:firstLine="0"/>
        <w:jc w:val="left"/>
        <w:rPr>
          <w:sz w:val="24"/>
        </w:rPr>
      </w:pPr>
      <w:r>
        <w:rPr>
          <w:sz w:val="24"/>
        </w:rPr>
        <w:t>A</w:t>
      </w:r>
      <w:r>
        <w:rPr>
          <w:spacing w:val="-4"/>
          <w:sz w:val="24"/>
        </w:rPr>
        <w:t> </w:t>
      </w:r>
      <w:r>
        <w:rPr>
          <w:sz w:val="24"/>
        </w:rPr>
        <w:t>person</w:t>
      </w:r>
      <w:r>
        <w:rPr>
          <w:spacing w:val="-4"/>
          <w:sz w:val="24"/>
        </w:rPr>
        <w:t> </w:t>
      </w:r>
      <w:r>
        <w:rPr>
          <w:sz w:val="24"/>
        </w:rPr>
        <w:t>with</w:t>
      </w:r>
      <w:r>
        <w:rPr>
          <w:spacing w:val="-4"/>
          <w:sz w:val="24"/>
        </w:rPr>
        <w:t> </w:t>
      </w:r>
      <w:r>
        <w:rPr>
          <w:sz w:val="24"/>
        </w:rPr>
        <w:t>a</w:t>
      </w:r>
      <w:r>
        <w:rPr>
          <w:spacing w:val="-4"/>
          <w:sz w:val="24"/>
        </w:rPr>
        <w:t> </w:t>
      </w:r>
      <w:r>
        <w:rPr>
          <w:sz w:val="24"/>
        </w:rPr>
        <w:t>Community</w:t>
      </w:r>
      <w:r>
        <w:rPr>
          <w:spacing w:val="-5"/>
          <w:sz w:val="24"/>
        </w:rPr>
        <w:t> </w:t>
      </w:r>
      <w:r>
        <w:rPr>
          <w:sz w:val="24"/>
        </w:rPr>
        <w:t>Water</w:t>
      </w:r>
      <w:r>
        <w:rPr>
          <w:spacing w:val="-3"/>
          <w:sz w:val="24"/>
        </w:rPr>
        <w:t> </w:t>
      </w:r>
      <w:r>
        <w:rPr>
          <w:sz w:val="24"/>
        </w:rPr>
        <w:t>Safety</w:t>
      </w:r>
      <w:r>
        <w:rPr>
          <w:spacing w:val="-4"/>
          <w:sz w:val="24"/>
        </w:rPr>
        <w:t> </w:t>
      </w:r>
      <w:r>
        <w:rPr>
          <w:sz w:val="24"/>
        </w:rPr>
        <w:t>Certificate</w:t>
      </w:r>
      <w:r>
        <w:rPr>
          <w:spacing w:val="-4"/>
          <w:sz w:val="24"/>
        </w:rPr>
        <w:t> </w:t>
      </w:r>
      <w:r>
        <w:rPr>
          <w:sz w:val="24"/>
        </w:rPr>
        <w:t>or</w:t>
      </w:r>
      <w:r>
        <w:rPr>
          <w:spacing w:val="-4"/>
          <w:sz w:val="24"/>
        </w:rPr>
        <w:t> </w:t>
      </w:r>
      <w:r>
        <w:rPr>
          <w:sz w:val="24"/>
        </w:rPr>
        <w:t>a</w:t>
      </w:r>
      <w:r>
        <w:rPr>
          <w:spacing w:val="-4"/>
          <w:sz w:val="24"/>
        </w:rPr>
        <w:t> </w:t>
      </w:r>
      <w:r>
        <w:rPr>
          <w:sz w:val="24"/>
        </w:rPr>
        <w:t>comparable certificate is in attendance at all times.</w:t>
      </w:r>
    </w:p>
    <w:p>
      <w:pPr>
        <w:pStyle w:val="ListParagraph"/>
        <w:numPr>
          <w:ilvl w:val="1"/>
          <w:numId w:val="362"/>
        </w:numPr>
        <w:tabs>
          <w:tab w:pos="1351" w:val="left" w:leader="none"/>
        </w:tabs>
        <w:spacing w:line="208" w:lineRule="auto" w:before="240" w:after="0"/>
        <w:ind w:left="792" w:right="1134" w:firstLine="0"/>
        <w:jc w:val="left"/>
        <w:rPr>
          <w:sz w:val="24"/>
        </w:rPr>
      </w:pPr>
      <w:r>
        <w:rPr>
          <w:sz w:val="24"/>
        </w:rPr>
        <w:t>Sleep.</w:t>
      </w:r>
      <w:r>
        <w:rPr>
          <w:spacing w:val="40"/>
          <w:sz w:val="24"/>
        </w:rPr>
        <w:t> </w:t>
      </w:r>
      <w:r>
        <w:rPr>
          <w:sz w:val="24"/>
        </w:rPr>
        <w:t>The</w:t>
      </w:r>
      <w:r>
        <w:rPr>
          <w:spacing w:val="-5"/>
          <w:sz w:val="24"/>
        </w:rPr>
        <w:t> </w:t>
      </w:r>
      <w:r>
        <w:rPr>
          <w:sz w:val="24"/>
        </w:rPr>
        <w:t>facility</w:t>
      </w:r>
      <w:r>
        <w:rPr>
          <w:spacing w:val="-4"/>
          <w:sz w:val="24"/>
        </w:rPr>
        <w:t> </w:t>
      </w:r>
      <w:r>
        <w:rPr>
          <w:sz w:val="24"/>
        </w:rPr>
        <w:t>provides</w:t>
      </w:r>
      <w:r>
        <w:rPr>
          <w:spacing w:val="-4"/>
          <w:sz w:val="24"/>
        </w:rPr>
        <w:t> </w:t>
      </w:r>
      <w:r>
        <w:rPr>
          <w:sz w:val="24"/>
        </w:rPr>
        <w:t>adequate</w:t>
      </w:r>
      <w:r>
        <w:rPr>
          <w:spacing w:val="-4"/>
          <w:sz w:val="24"/>
        </w:rPr>
        <w:t> </w:t>
      </w:r>
      <w:r>
        <w:rPr>
          <w:sz w:val="24"/>
        </w:rPr>
        <w:t>time</w:t>
      </w:r>
      <w:r>
        <w:rPr>
          <w:spacing w:val="-4"/>
          <w:sz w:val="24"/>
        </w:rPr>
        <w:t> </w:t>
      </w:r>
      <w:r>
        <w:rPr>
          <w:sz w:val="24"/>
        </w:rPr>
        <w:t>and</w:t>
      </w:r>
      <w:r>
        <w:rPr>
          <w:spacing w:val="-4"/>
          <w:sz w:val="24"/>
        </w:rPr>
        <w:t> </w:t>
      </w:r>
      <w:r>
        <w:rPr>
          <w:sz w:val="24"/>
        </w:rPr>
        <w:t>facilities</w:t>
      </w:r>
      <w:r>
        <w:rPr>
          <w:spacing w:val="-4"/>
          <w:sz w:val="24"/>
        </w:rPr>
        <w:t> </w:t>
      </w:r>
      <w:r>
        <w:rPr>
          <w:sz w:val="24"/>
        </w:rPr>
        <w:t>for</w:t>
      </w:r>
      <w:r>
        <w:rPr>
          <w:spacing w:val="-3"/>
          <w:sz w:val="24"/>
        </w:rPr>
        <w:t> </w:t>
      </w:r>
      <w:r>
        <w:rPr>
          <w:sz w:val="24"/>
        </w:rPr>
        <w:t>proper</w:t>
      </w:r>
      <w:r>
        <w:rPr>
          <w:spacing w:val="-3"/>
          <w:sz w:val="24"/>
        </w:rPr>
        <w:t> </w:t>
      </w:r>
      <w:r>
        <w:rPr>
          <w:sz w:val="24"/>
        </w:rPr>
        <w:t>rest</w:t>
      </w:r>
      <w:r>
        <w:rPr>
          <w:spacing w:val="-3"/>
          <w:sz w:val="24"/>
        </w:rPr>
        <w:t> </w:t>
      </w:r>
      <w:r>
        <w:rPr>
          <w:sz w:val="24"/>
        </w:rPr>
        <w:t>and sleep commensurate with each student’s age and activities.</w:t>
      </w:r>
    </w:p>
    <w:p>
      <w:pPr>
        <w:pStyle w:val="ListParagraph"/>
        <w:numPr>
          <w:ilvl w:val="0"/>
          <w:numId w:val="362"/>
        </w:numPr>
        <w:tabs>
          <w:tab w:pos="786" w:val="left" w:leader="none"/>
        </w:tabs>
        <w:spacing w:line="208" w:lineRule="auto" w:before="240" w:after="0"/>
        <w:ind w:left="360" w:right="1686" w:firstLine="0"/>
        <w:jc w:val="left"/>
        <w:rPr>
          <w:sz w:val="24"/>
        </w:rPr>
      </w:pPr>
      <w:r>
        <w:rPr>
          <w:b/>
          <w:sz w:val="24"/>
        </w:rPr>
        <w:t>Visitation.</w:t>
      </w:r>
      <w:r>
        <w:rPr>
          <w:b/>
          <w:spacing w:val="40"/>
          <w:sz w:val="24"/>
        </w:rPr>
        <w:t> </w:t>
      </w:r>
      <w:r>
        <w:rPr>
          <w:sz w:val="24"/>
        </w:rPr>
        <w:t>The facility provides the students and parents or custodian the opportunity</w:t>
      </w:r>
      <w:r>
        <w:rPr>
          <w:spacing w:val="-3"/>
          <w:sz w:val="24"/>
        </w:rPr>
        <w:t> </w:t>
      </w:r>
      <w:r>
        <w:rPr>
          <w:sz w:val="24"/>
        </w:rPr>
        <w:t>for</w:t>
      </w:r>
      <w:r>
        <w:rPr>
          <w:spacing w:val="-3"/>
          <w:sz w:val="24"/>
        </w:rPr>
        <w:t> </w:t>
      </w:r>
      <w:r>
        <w:rPr>
          <w:sz w:val="24"/>
        </w:rPr>
        <w:t>on-or-off-campus</w:t>
      </w:r>
      <w:r>
        <w:rPr>
          <w:spacing w:val="-5"/>
          <w:sz w:val="24"/>
        </w:rPr>
        <w:t> </w:t>
      </w:r>
      <w:r>
        <w:rPr>
          <w:sz w:val="24"/>
        </w:rPr>
        <w:t>visits.</w:t>
      </w:r>
      <w:r>
        <w:rPr>
          <w:spacing w:val="40"/>
          <w:sz w:val="24"/>
        </w:rPr>
        <w:t> </w:t>
      </w:r>
      <w:r>
        <w:rPr>
          <w:sz w:val="24"/>
        </w:rPr>
        <w:t>A</w:t>
      </w:r>
      <w:r>
        <w:rPr>
          <w:spacing w:val="-4"/>
          <w:sz w:val="24"/>
        </w:rPr>
        <w:t> </w:t>
      </w:r>
      <w:r>
        <w:rPr>
          <w:sz w:val="24"/>
        </w:rPr>
        <w:t>record</w:t>
      </w:r>
      <w:r>
        <w:rPr>
          <w:spacing w:val="-4"/>
          <w:sz w:val="24"/>
        </w:rPr>
        <w:t> </w:t>
      </w:r>
      <w:r>
        <w:rPr>
          <w:sz w:val="24"/>
        </w:rPr>
        <w:t>is</w:t>
      </w:r>
      <w:r>
        <w:rPr>
          <w:spacing w:val="-4"/>
          <w:sz w:val="24"/>
        </w:rPr>
        <w:t> </w:t>
      </w:r>
      <w:r>
        <w:rPr>
          <w:sz w:val="24"/>
        </w:rPr>
        <w:t>kept</w:t>
      </w:r>
      <w:r>
        <w:rPr>
          <w:spacing w:val="-3"/>
          <w:sz w:val="24"/>
        </w:rPr>
        <w:t> </w:t>
      </w:r>
      <w:r>
        <w:rPr>
          <w:sz w:val="24"/>
        </w:rPr>
        <w:t>of</w:t>
      </w:r>
      <w:r>
        <w:rPr>
          <w:spacing w:val="-3"/>
          <w:sz w:val="24"/>
        </w:rPr>
        <w:t> </w:t>
      </w:r>
      <w:r>
        <w:rPr>
          <w:sz w:val="24"/>
        </w:rPr>
        <w:t>all</w:t>
      </w:r>
      <w:r>
        <w:rPr>
          <w:spacing w:val="-4"/>
          <w:sz w:val="24"/>
        </w:rPr>
        <w:t> </w:t>
      </w:r>
      <w:r>
        <w:rPr>
          <w:sz w:val="24"/>
        </w:rPr>
        <w:t>off-campus</w:t>
      </w:r>
      <w:r>
        <w:rPr>
          <w:spacing w:val="-4"/>
          <w:sz w:val="24"/>
        </w:rPr>
        <w:t> </w:t>
      </w:r>
      <w:r>
        <w:rPr>
          <w:sz w:val="24"/>
        </w:rPr>
        <w:t>visits.</w:t>
      </w:r>
    </w:p>
    <w:p>
      <w:pPr>
        <w:pStyle w:val="ListParagraph"/>
        <w:numPr>
          <w:ilvl w:val="0"/>
          <w:numId w:val="362"/>
        </w:numPr>
        <w:tabs>
          <w:tab w:pos="772" w:val="left" w:leader="none"/>
        </w:tabs>
        <w:spacing w:line="240" w:lineRule="auto" w:before="210" w:after="0"/>
        <w:ind w:left="772" w:right="0" w:hanging="412"/>
        <w:jc w:val="left"/>
        <w:rPr>
          <w:sz w:val="24"/>
        </w:rPr>
      </w:pPr>
      <w:r>
        <w:rPr>
          <w:b/>
          <w:sz w:val="24"/>
        </w:rPr>
        <w:t>Tutoring.</w:t>
      </w:r>
      <w:r>
        <w:rPr>
          <w:b/>
          <w:spacing w:val="59"/>
          <w:sz w:val="24"/>
        </w:rPr>
        <w:t> </w:t>
      </w:r>
      <w:r>
        <w:rPr>
          <w:sz w:val="24"/>
        </w:rPr>
        <w:t>Tutoring</w:t>
      </w:r>
      <w:r>
        <w:rPr>
          <w:spacing w:val="-3"/>
          <w:sz w:val="24"/>
        </w:rPr>
        <w:t> </w:t>
      </w:r>
      <w:r>
        <w:rPr>
          <w:sz w:val="24"/>
        </w:rPr>
        <w:t>is</w:t>
      </w:r>
      <w:r>
        <w:rPr>
          <w:spacing w:val="-3"/>
          <w:sz w:val="24"/>
        </w:rPr>
        <w:t> </w:t>
      </w:r>
      <w:r>
        <w:rPr>
          <w:sz w:val="24"/>
        </w:rPr>
        <w:t>provided</w:t>
      </w:r>
      <w:r>
        <w:rPr>
          <w:spacing w:val="-2"/>
          <w:sz w:val="24"/>
        </w:rPr>
        <w:t> </w:t>
      </w:r>
      <w:r>
        <w:rPr>
          <w:sz w:val="24"/>
        </w:rPr>
        <w:t>or</w:t>
      </w:r>
      <w:r>
        <w:rPr>
          <w:spacing w:val="-2"/>
          <w:sz w:val="24"/>
        </w:rPr>
        <w:t> </w:t>
      </w:r>
      <w:r>
        <w:rPr>
          <w:sz w:val="24"/>
        </w:rPr>
        <w:t>arranged</w:t>
      </w:r>
      <w:r>
        <w:rPr>
          <w:spacing w:val="-3"/>
          <w:sz w:val="24"/>
        </w:rPr>
        <w:t> </w:t>
      </w:r>
      <w:r>
        <w:rPr>
          <w:sz w:val="24"/>
        </w:rPr>
        <w:t>by</w:t>
      </w:r>
      <w:r>
        <w:rPr>
          <w:spacing w:val="-3"/>
          <w:sz w:val="24"/>
        </w:rPr>
        <w:t> </w:t>
      </w:r>
      <w:r>
        <w:rPr>
          <w:sz w:val="24"/>
        </w:rPr>
        <w:t>the</w:t>
      </w:r>
      <w:r>
        <w:rPr>
          <w:spacing w:val="-2"/>
          <w:sz w:val="24"/>
        </w:rPr>
        <w:t> </w:t>
      </w:r>
      <w:r>
        <w:rPr>
          <w:sz w:val="24"/>
        </w:rPr>
        <w:t>facility</w:t>
      </w:r>
      <w:r>
        <w:rPr>
          <w:spacing w:val="-3"/>
          <w:sz w:val="24"/>
        </w:rPr>
        <w:t> </w:t>
      </w:r>
      <w:r>
        <w:rPr>
          <w:sz w:val="24"/>
        </w:rPr>
        <w:t>for</w:t>
      </w:r>
      <w:r>
        <w:rPr>
          <w:spacing w:val="-2"/>
          <w:sz w:val="24"/>
        </w:rPr>
        <w:t> </w:t>
      </w:r>
      <w:r>
        <w:rPr>
          <w:sz w:val="24"/>
        </w:rPr>
        <w:t>students,</w:t>
      </w:r>
      <w:r>
        <w:rPr>
          <w:spacing w:val="-2"/>
          <w:sz w:val="24"/>
        </w:rPr>
        <w:t> </w:t>
      </w:r>
      <w:r>
        <w:rPr>
          <w:sz w:val="24"/>
        </w:rPr>
        <w:t>as</w:t>
      </w:r>
      <w:r>
        <w:rPr>
          <w:spacing w:val="-3"/>
          <w:sz w:val="24"/>
        </w:rPr>
        <w:t> </w:t>
      </w:r>
      <w:r>
        <w:rPr>
          <w:spacing w:val="-2"/>
          <w:sz w:val="24"/>
        </w:rPr>
        <w:t>needed.</w:t>
      </w:r>
    </w:p>
    <w:p>
      <w:pPr>
        <w:spacing w:before="238"/>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340"/>
        </w:numPr>
        <w:tabs>
          <w:tab w:pos="1439" w:val="left" w:leader="none"/>
        </w:tabs>
        <w:spacing w:line="253" w:lineRule="exact"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#06-</w:t>
      </w:r>
      <w:r>
        <w:rPr>
          <w:spacing w:val="-5"/>
          <w:sz w:val="22"/>
        </w:rPr>
        <w:t>01</w:t>
      </w:r>
    </w:p>
    <w:p>
      <w:pPr>
        <w:spacing w:line="253" w:lineRule="exact" w:before="0"/>
        <w:ind w:left="1439" w:right="0" w:firstLine="0"/>
        <w:jc w:val="left"/>
        <w:rPr>
          <w:sz w:val="22"/>
        </w:rPr>
      </w:pPr>
      <w:r>
        <w:rPr>
          <w:sz w:val="22"/>
        </w:rPr>
        <w:t>Permanent,</w:t>
      </w:r>
      <w:r>
        <w:rPr>
          <w:spacing w:val="-8"/>
          <w:sz w:val="22"/>
        </w:rPr>
        <w:t> </w:t>
      </w:r>
      <w:r>
        <w:rPr>
          <w:sz w:val="22"/>
        </w:rPr>
        <w:t>new,</w:t>
      </w:r>
      <w:r>
        <w:rPr>
          <w:spacing w:val="-8"/>
          <w:sz w:val="22"/>
        </w:rPr>
        <w:t> </w:t>
      </w:r>
      <w:r>
        <w:rPr>
          <w:sz w:val="22"/>
        </w:rPr>
        <w:t>adding</w:t>
      </w:r>
      <w:r>
        <w:rPr>
          <w:spacing w:val="-8"/>
          <w:sz w:val="22"/>
        </w:rPr>
        <w:t> </w:t>
      </w:r>
      <w:r>
        <w:rPr>
          <w:sz w:val="22"/>
        </w:rPr>
        <w:t>student</w:t>
      </w:r>
      <w:r>
        <w:rPr>
          <w:spacing w:val="-8"/>
          <w:sz w:val="22"/>
        </w:rPr>
        <w:t> </w:t>
      </w:r>
      <w:r>
        <w:rPr>
          <w:spacing w:val="-2"/>
          <w:sz w:val="22"/>
        </w:rPr>
        <w:t>rights</w:t>
      </w:r>
    </w:p>
    <w:p>
      <w:pPr>
        <w:spacing w:after="0" w:line="253" w:lineRule="exact"/>
        <w:jc w:val="left"/>
        <w:rPr>
          <w:sz w:val="22"/>
        </w:rPr>
        <w:sectPr>
          <w:pgSz w:w="12240" w:h="15840"/>
          <w:pgMar w:top="1340" w:bottom="280" w:left="1080" w:right="720"/>
        </w:sectPr>
      </w:pPr>
    </w:p>
    <w:p>
      <w:pPr>
        <w:pStyle w:val="Heading1"/>
        <w:spacing w:line="208" w:lineRule="auto" w:before="96"/>
        <w:ind w:left="3332" w:right="775" w:hanging="2519"/>
        <w:jc w:val="left"/>
      </w:pPr>
      <w:bookmarkStart w:name="SUBCHAPTER 5. OKLAHOMA SCHOOL FOR THE BL" w:id="365"/>
      <w:bookmarkEnd w:id="365"/>
      <w:r>
        <w:rPr>
          <w:b w:val="0"/>
        </w:rPr>
      </w:r>
      <w:r>
        <w:rPr/>
        <w:t>SUBCHAPTER</w:t>
      </w:r>
      <w:r>
        <w:rPr>
          <w:spacing w:val="-5"/>
        </w:rPr>
        <w:t> </w:t>
      </w:r>
      <w:r>
        <w:rPr/>
        <w:t>5.</w:t>
      </w:r>
      <w:r>
        <w:rPr>
          <w:spacing w:val="-6"/>
        </w:rPr>
        <w:t> </w:t>
      </w:r>
      <w:r>
        <w:rPr/>
        <w:t>OKLAHOMA</w:t>
      </w:r>
      <w:r>
        <w:rPr>
          <w:spacing w:val="-7"/>
        </w:rPr>
        <w:t> </w:t>
      </w:r>
      <w:r>
        <w:rPr/>
        <w:t>SCHOOL</w:t>
      </w:r>
      <w:r>
        <w:rPr>
          <w:spacing w:val="-5"/>
        </w:rPr>
        <w:t> </w:t>
      </w:r>
      <w:r>
        <w:rPr/>
        <w:t>FOR</w:t>
      </w:r>
      <w:r>
        <w:rPr>
          <w:spacing w:val="-5"/>
        </w:rPr>
        <w:t> </w:t>
      </w:r>
      <w:r>
        <w:rPr/>
        <w:t>THE</w:t>
      </w:r>
      <w:r>
        <w:rPr>
          <w:spacing w:val="-7"/>
        </w:rPr>
        <w:t> </w:t>
      </w:r>
      <w:r>
        <w:rPr/>
        <w:t>BLIND</w:t>
      </w:r>
      <w:r>
        <w:rPr>
          <w:spacing w:val="-5"/>
        </w:rPr>
        <w:t> </w:t>
      </w:r>
      <w:r>
        <w:rPr/>
        <w:t>(OSB/PARKVIEW SCHOOL) ADMISSION RULES</w:t>
      </w:r>
    </w:p>
    <w:p>
      <w:pPr>
        <w:pStyle w:val="BodyText"/>
        <w:spacing w:before="210"/>
      </w:pPr>
      <w:r>
        <w:rPr>
          <w:spacing w:val="-2"/>
        </w:rPr>
        <w:t>Section</w:t>
      </w:r>
    </w:p>
    <w:p>
      <w:pPr>
        <w:pStyle w:val="BodyText"/>
        <w:tabs>
          <w:tab w:pos="1799" w:val="left" w:leader="none"/>
        </w:tabs>
        <w:spacing w:line="417" w:lineRule="auto" w:before="204"/>
        <w:ind w:left="359" w:right="5168"/>
      </w:pPr>
      <w:r>
        <w:rPr>
          <w:spacing w:val="-2"/>
        </w:rPr>
        <w:t>612:20-5-1.</w:t>
      </w:r>
      <w:r>
        <w:rPr/>
        <w:tab/>
        <w:t>General provisions for OSB </w:t>
      </w:r>
      <w:r>
        <w:rPr>
          <w:spacing w:val="-2"/>
        </w:rPr>
        <w:t>612:20-5-2.</w:t>
      </w:r>
      <w:r>
        <w:rPr/>
        <w:tab/>
        <w:t>General</w:t>
      </w:r>
      <w:r>
        <w:rPr>
          <w:spacing w:val="-17"/>
        </w:rPr>
        <w:t> </w:t>
      </w:r>
      <w:r>
        <w:rPr/>
        <w:t>admission</w:t>
      </w:r>
      <w:r>
        <w:rPr>
          <w:spacing w:val="-17"/>
        </w:rPr>
        <w:t> </w:t>
      </w:r>
      <w:r>
        <w:rPr/>
        <w:t>requirements</w:t>
      </w:r>
    </w:p>
    <w:p>
      <w:pPr>
        <w:pStyle w:val="BodyText"/>
        <w:tabs>
          <w:tab w:pos="1799" w:val="left" w:leader="none"/>
        </w:tabs>
        <w:spacing w:line="417" w:lineRule="auto" w:before="0"/>
        <w:ind w:left="359" w:right="3556"/>
      </w:pPr>
      <w:r>
        <w:rPr>
          <w:spacing w:val="-2"/>
        </w:rPr>
        <w:t>612:20-5-5.</w:t>
      </w:r>
      <w:r>
        <w:rPr/>
        <w:tab/>
        <w:t>Criteria</w:t>
      </w:r>
      <w:r>
        <w:rPr>
          <w:spacing w:val="-8"/>
        </w:rPr>
        <w:t> </w:t>
      </w:r>
      <w:r>
        <w:rPr/>
        <w:t>for</w:t>
      </w:r>
      <w:r>
        <w:rPr>
          <w:spacing w:val="-9"/>
        </w:rPr>
        <w:t> </w:t>
      </w:r>
      <w:r>
        <w:rPr/>
        <w:t>the</w:t>
      </w:r>
      <w:r>
        <w:rPr>
          <w:spacing w:val="-8"/>
        </w:rPr>
        <w:t> </w:t>
      </w:r>
      <w:r>
        <w:rPr/>
        <w:t>preschool</w:t>
      </w:r>
      <w:r>
        <w:rPr>
          <w:spacing w:val="-8"/>
        </w:rPr>
        <w:t> </w:t>
      </w:r>
      <w:r>
        <w:rPr/>
        <w:t>multidisability</w:t>
      </w:r>
      <w:r>
        <w:rPr>
          <w:spacing w:val="-8"/>
        </w:rPr>
        <w:t> </w:t>
      </w:r>
      <w:r>
        <w:rPr/>
        <w:t>program </w:t>
      </w:r>
      <w:r>
        <w:rPr>
          <w:spacing w:val="-2"/>
        </w:rPr>
        <w:t>612:20-5-6.</w:t>
      </w:r>
      <w:r>
        <w:rPr/>
        <w:tab/>
        <w:t>Admission requirements for summer school </w:t>
      </w:r>
      <w:r>
        <w:rPr>
          <w:spacing w:val="-2"/>
        </w:rPr>
        <w:t>612:20-5-7.</w:t>
      </w:r>
      <w:r>
        <w:rPr/>
        <w:tab/>
        <w:t>Admissions process</w:t>
      </w:r>
    </w:p>
    <w:p>
      <w:pPr>
        <w:spacing w:before="3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7-1-95</w:t>
      </w:r>
      <w:r>
        <w:rPr>
          <w:sz w:val="22"/>
        </w:rPr>
        <w:tab/>
        <w:t>PT Memo #95-2</w:t>
      </w:r>
    </w:p>
    <w:p>
      <w:pPr>
        <w:spacing w:before="0"/>
        <w:ind w:left="1439" w:right="0" w:firstLine="0"/>
        <w:jc w:val="left"/>
        <w:rPr>
          <w:sz w:val="22"/>
        </w:rPr>
      </w:pPr>
      <w:r>
        <w:rPr>
          <w:sz w:val="22"/>
        </w:rPr>
        <w:t>Permanent,</w:t>
      </w:r>
      <w:r>
        <w:rPr>
          <w:spacing w:val="-10"/>
          <w:sz w:val="22"/>
        </w:rPr>
        <w:t> </w:t>
      </w:r>
      <w:r>
        <w:rPr>
          <w:sz w:val="22"/>
        </w:rPr>
        <w:t>removed</w:t>
      </w:r>
      <w:r>
        <w:rPr>
          <w:spacing w:val="-10"/>
          <w:sz w:val="22"/>
        </w:rPr>
        <w:t> </w:t>
      </w:r>
      <w:r>
        <w:rPr>
          <w:sz w:val="22"/>
        </w:rPr>
        <w:t>revoked</w:t>
      </w:r>
      <w:r>
        <w:rPr>
          <w:spacing w:val="-10"/>
          <w:sz w:val="22"/>
        </w:rPr>
        <w:t> </w:t>
      </w:r>
      <w:r>
        <w:rPr>
          <w:spacing w:val="-2"/>
          <w:sz w:val="22"/>
        </w:rPr>
        <w:t>Sections</w:t>
      </w:r>
    </w:p>
    <w:p>
      <w:pPr>
        <w:spacing w:after="0"/>
        <w:jc w:val="left"/>
        <w:rPr>
          <w:sz w:val="22"/>
        </w:rPr>
        <w:sectPr>
          <w:pgSz w:w="12240" w:h="15840"/>
          <w:pgMar w:top="1340" w:bottom="280" w:left="1080" w:right="720"/>
        </w:sectPr>
      </w:pPr>
    </w:p>
    <w:p>
      <w:pPr>
        <w:pStyle w:val="Heading2"/>
      </w:pPr>
      <w:bookmarkStart w:name="612:20-5-1.  General provisions for OSB" w:id="366"/>
      <w:bookmarkEnd w:id="366"/>
      <w:r>
        <w:rPr>
          <w:b w:val="0"/>
        </w:rPr>
      </w:r>
      <w:r>
        <w:rPr/>
        <w:t>612:20-5-1.</w:t>
      </w:r>
      <w:r>
        <w:rPr>
          <w:spacing w:val="59"/>
        </w:rPr>
        <w:t> </w:t>
      </w:r>
      <w:r>
        <w:rPr/>
        <w:t>General</w:t>
      </w:r>
      <w:r>
        <w:rPr>
          <w:spacing w:val="-5"/>
        </w:rPr>
        <w:t> </w:t>
      </w:r>
      <w:r>
        <w:rPr/>
        <w:t>provisions</w:t>
      </w:r>
      <w:r>
        <w:rPr>
          <w:spacing w:val="-3"/>
        </w:rPr>
        <w:t> </w:t>
      </w:r>
      <w:r>
        <w:rPr/>
        <w:t>for</w:t>
      </w:r>
      <w:r>
        <w:rPr>
          <w:spacing w:val="-5"/>
        </w:rPr>
        <w:t> OSB</w:t>
      </w:r>
    </w:p>
    <w:p>
      <w:pPr>
        <w:pStyle w:val="BodyText"/>
        <w:spacing w:line="208" w:lineRule="auto" w:before="233"/>
        <w:ind w:left="359" w:right="775" w:firstLine="432"/>
      </w:pPr>
      <w:r>
        <w:rPr/>
        <w:t>The Oklahoma School for the Blind, under the supervision of the Department of Rehabilitation Services, is a residential/day school whose legal purpose is to provide educational services to blind and visually impaired children residing in the State of Oklahoma.</w:t>
      </w:r>
      <w:r>
        <w:rPr>
          <w:spacing w:val="40"/>
        </w:rPr>
        <w:t> </w:t>
      </w:r>
      <w:r>
        <w:rPr/>
        <w:t>In</w:t>
      </w:r>
      <w:r>
        <w:rPr>
          <w:spacing w:val="-4"/>
        </w:rPr>
        <w:t> </w:t>
      </w:r>
      <w:r>
        <w:rPr/>
        <w:t>addition,</w:t>
      </w:r>
      <w:r>
        <w:rPr>
          <w:spacing w:val="-3"/>
        </w:rPr>
        <w:t> </w:t>
      </w:r>
      <w:r>
        <w:rPr/>
        <w:t>House</w:t>
      </w:r>
      <w:r>
        <w:rPr>
          <w:spacing w:val="-4"/>
        </w:rPr>
        <w:t> </w:t>
      </w:r>
      <w:r>
        <w:rPr/>
        <w:t>Joint</w:t>
      </w:r>
      <w:r>
        <w:rPr>
          <w:spacing w:val="-3"/>
        </w:rPr>
        <w:t> </w:t>
      </w:r>
      <w:r>
        <w:rPr/>
        <w:t>Resolution</w:t>
      </w:r>
      <w:r>
        <w:rPr>
          <w:spacing w:val="-4"/>
        </w:rPr>
        <w:t> </w:t>
      </w:r>
      <w:r>
        <w:rPr/>
        <w:t>1026,</w:t>
      </w:r>
      <w:r>
        <w:rPr>
          <w:spacing w:val="-3"/>
        </w:rPr>
        <w:t> </w:t>
      </w:r>
      <w:r>
        <w:rPr/>
        <w:t>1982,</w:t>
      </w:r>
      <w:r>
        <w:rPr>
          <w:spacing w:val="-3"/>
        </w:rPr>
        <w:t> </w:t>
      </w:r>
      <w:r>
        <w:rPr/>
        <w:t>designates</w:t>
      </w:r>
      <w:r>
        <w:rPr>
          <w:spacing w:val="-4"/>
        </w:rPr>
        <w:t> </w:t>
      </w:r>
      <w:r>
        <w:rPr/>
        <w:t>the</w:t>
      </w:r>
      <w:r>
        <w:rPr>
          <w:spacing w:val="-4"/>
        </w:rPr>
        <w:t> </w:t>
      </w:r>
      <w:r>
        <w:rPr/>
        <w:t>school</w:t>
      </w:r>
      <w:r>
        <w:rPr>
          <w:spacing w:val="-4"/>
        </w:rPr>
        <w:t> </w:t>
      </w:r>
      <w:r>
        <w:rPr/>
        <w:t>as</w:t>
      </w:r>
      <w:r>
        <w:rPr>
          <w:spacing w:val="-4"/>
        </w:rPr>
        <w:t> </w:t>
      </w:r>
      <w:r>
        <w:rPr/>
        <w:t>a statewide resource for blind and visually impaired children, their parents, and local school districts.</w:t>
      </w:r>
    </w:p>
    <w:p>
      <w:pPr>
        <w:pStyle w:val="ListParagraph"/>
        <w:numPr>
          <w:ilvl w:val="0"/>
          <w:numId w:val="363"/>
        </w:numPr>
        <w:tabs>
          <w:tab w:pos="1217" w:val="left" w:leader="none"/>
        </w:tabs>
        <w:spacing w:line="258" w:lineRule="exact" w:before="210" w:after="0"/>
        <w:ind w:left="1217" w:right="0" w:hanging="426"/>
        <w:jc w:val="left"/>
        <w:rPr>
          <w:sz w:val="24"/>
        </w:rPr>
      </w:pPr>
      <w:r>
        <w:rPr>
          <w:sz w:val="24"/>
        </w:rPr>
        <w:t>The</w:t>
      </w:r>
      <w:r>
        <w:rPr>
          <w:spacing w:val="-5"/>
          <w:sz w:val="24"/>
        </w:rPr>
        <w:t> </w:t>
      </w:r>
      <w:r>
        <w:rPr>
          <w:sz w:val="24"/>
        </w:rPr>
        <w:t>basic</w:t>
      </w:r>
      <w:r>
        <w:rPr>
          <w:spacing w:val="-3"/>
          <w:sz w:val="24"/>
        </w:rPr>
        <w:t> </w:t>
      </w:r>
      <w:r>
        <w:rPr>
          <w:sz w:val="24"/>
        </w:rPr>
        <w:t>eligibility</w:t>
      </w:r>
      <w:r>
        <w:rPr>
          <w:spacing w:val="-3"/>
          <w:sz w:val="24"/>
        </w:rPr>
        <w:t> </w:t>
      </w:r>
      <w:r>
        <w:rPr>
          <w:sz w:val="24"/>
        </w:rPr>
        <w:t>criteria</w:t>
      </w:r>
      <w:r>
        <w:rPr>
          <w:spacing w:val="-3"/>
          <w:sz w:val="24"/>
        </w:rPr>
        <w:t> </w:t>
      </w:r>
      <w:r>
        <w:rPr>
          <w:sz w:val="24"/>
        </w:rPr>
        <w:t>are,</w:t>
      </w:r>
      <w:r>
        <w:rPr>
          <w:spacing w:val="-2"/>
          <w:sz w:val="24"/>
        </w:rPr>
        <w:t> </w:t>
      </w:r>
      <w:r>
        <w:rPr>
          <w:sz w:val="24"/>
        </w:rPr>
        <w:t>"All</w:t>
      </w:r>
      <w:r>
        <w:rPr>
          <w:spacing w:val="-3"/>
          <w:sz w:val="24"/>
        </w:rPr>
        <w:t> </w:t>
      </w:r>
      <w:r>
        <w:rPr>
          <w:sz w:val="24"/>
        </w:rPr>
        <w:t>persons,</w:t>
      </w:r>
      <w:r>
        <w:rPr>
          <w:spacing w:val="-1"/>
          <w:sz w:val="24"/>
        </w:rPr>
        <w:t> </w:t>
      </w:r>
      <w:r>
        <w:rPr>
          <w:sz w:val="24"/>
        </w:rPr>
        <w:t>residing</w:t>
      </w:r>
      <w:r>
        <w:rPr>
          <w:spacing w:val="-3"/>
          <w:sz w:val="24"/>
        </w:rPr>
        <w:t> </w:t>
      </w:r>
      <w:r>
        <w:rPr>
          <w:sz w:val="24"/>
        </w:rPr>
        <w:t>in</w:t>
      </w:r>
      <w:r>
        <w:rPr>
          <w:spacing w:val="-3"/>
          <w:sz w:val="24"/>
        </w:rPr>
        <w:t> </w:t>
      </w:r>
      <w:r>
        <w:rPr>
          <w:sz w:val="24"/>
        </w:rPr>
        <w:t>the</w:t>
      </w:r>
      <w:r>
        <w:rPr>
          <w:spacing w:val="-3"/>
          <w:sz w:val="24"/>
        </w:rPr>
        <w:t> </w:t>
      </w:r>
      <w:r>
        <w:rPr>
          <w:sz w:val="24"/>
        </w:rPr>
        <w:t>State</w:t>
      </w:r>
      <w:r>
        <w:rPr>
          <w:spacing w:val="-3"/>
          <w:sz w:val="24"/>
        </w:rPr>
        <w:t> </w:t>
      </w:r>
      <w:r>
        <w:rPr>
          <w:sz w:val="24"/>
        </w:rPr>
        <w:t>of</w:t>
      </w:r>
      <w:r>
        <w:rPr>
          <w:spacing w:val="-4"/>
          <w:sz w:val="24"/>
        </w:rPr>
        <w:t> </w:t>
      </w:r>
      <w:r>
        <w:rPr>
          <w:sz w:val="24"/>
        </w:rPr>
        <w:t>Oklahoma</w:t>
      </w:r>
      <w:r>
        <w:rPr>
          <w:spacing w:val="-2"/>
          <w:sz w:val="24"/>
        </w:rPr>
        <w:t> </w:t>
      </w:r>
      <w:r>
        <w:rPr>
          <w:spacing w:val="-10"/>
          <w:sz w:val="24"/>
        </w:rPr>
        <w:t>.</w:t>
      </w:r>
    </w:p>
    <w:p>
      <w:pPr>
        <w:pStyle w:val="BodyText"/>
        <w:spacing w:line="208" w:lineRule="auto" w:before="11"/>
        <w:ind w:left="791" w:right="775"/>
      </w:pPr>
      <w:r>
        <w:rPr/>
        <w:t>.</w:t>
      </w:r>
      <w:r>
        <w:rPr>
          <w:spacing w:val="-2"/>
        </w:rPr>
        <w:t> </w:t>
      </w:r>
      <w:r>
        <w:rPr/>
        <w:t>.</w:t>
      </w:r>
      <w:r>
        <w:rPr>
          <w:spacing w:val="-4"/>
        </w:rPr>
        <w:t> </w:t>
      </w:r>
      <w:r>
        <w:rPr/>
        <w:t>whose</w:t>
      </w:r>
      <w:r>
        <w:rPr>
          <w:spacing w:val="-3"/>
        </w:rPr>
        <w:t> </w:t>
      </w:r>
      <w:r>
        <w:rPr/>
        <w:t>vision</w:t>
      </w:r>
      <w:r>
        <w:rPr>
          <w:spacing w:val="-3"/>
        </w:rPr>
        <w:t> </w:t>
      </w:r>
      <w:r>
        <w:rPr/>
        <w:t>is</w:t>
      </w:r>
      <w:r>
        <w:rPr>
          <w:spacing w:val="-3"/>
        </w:rPr>
        <w:t> </w:t>
      </w:r>
      <w:r>
        <w:rPr/>
        <w:t>so</w:t>
      </w:r>
      <w:r>
        <w:rPr>
          <w:spacing w:val="-3"/>
        </w:rPr>
        <w:t> </w:t>
      </w:r>
      <w:r>
        <w:rPr/>
        <w:t>defective</w:t>
      </w:r>
      <w:r>
        <w:rPr>
          <w:spacing w:val="-3"/>
        </w:rPr>
        <w:t> </w:t>
      </w:r>
      <w:r>
        <w:rPr/>
        <w:t>as</w:t>
      </w:r>
      <w:r>
        <w:rPr>
          <w:spacing w:val="-3"/>
        </w:rPr>
        <w:t> </w:t>
      </w:r>
      <w:r>
        <w:rPr/>
        <w:t>to</w:t>
      </w:r>
      <w:r>
        <w:rPr>
          <w:spacing w:val="-3"/>
        </w:rPr>
        <w:t> </w:t>
      </w:r>
      <w:r>
        <w:rPr/>
        <w:t>prevent</w:t>
      </w:r>
      <w:r>
        <w:rPr>
          <w:spacing w:val="-2"/>
        </w:rPr>
        <w:t> </w:t>
      </w:r>
      <w:r>
        <w:rPr/>
        <w:t>them</w:t>
      </w:r>
      <w:r>
        <w:rPr>
          <w:spacing w:val="-2"/>
        </w:rPr>
        <w:t> </w:t>
      </w:r>
      <w:r>
        <w:rPr/>
        <w:t>attending</w:t>
      </w:r>
      <w:r>
        <w:rPr>
          <w:spacing w:val="-3"/>
        </w:rPr>
        <w:t> </w:t>
      </w:r>
      <w:r>
        <w:rPr/>
        <w:t>the</w:t>
      </w:r>
      <w:r>
        <w:rPr>
          <w:spacing w:val="-3"/>
        </w:rPr>
        <w:t> </w:t>
      </w:r>
      <w:r>
        <w:rPr/>
        <w:t>public</w:t>
      </w:r>
      <w:r>
        <w:rPr>
          <w:spacing w:val="-3"/>
        </w:rPr>
        <w:t> </w:t>
      </w:r>
      <w:r>
        <w:rPr/>
        <w:t>schools,</w:t>
      </w:r>
      <w:r>
        <w:rPr>
          <w:spacing w:val="-2"/>
        </w:rPr>
        <w:t> </w:t>
      </w:r>
      <w:r>
        <w:rPr/>
        <w:t>and who are of such physical, mental and moral character as to enable them to pursue any one or all of the courses of study taught in this school, are eligible. . ." [70 OS 1991, Section 1724.]</w:t>
      </w:r>
    </w:p>
    <w:p>
      <w:pPr>
        <w:pStyle w:val="ListParagraph"/>
        <w:numPr>
          <w:ilvl w:val="0"/>
          <w:numId w:val="363"/>
        </w:numPr>
        <w:tabs>
          <w:tab w:pos="1217" w:val="left" w:leader="none"/>
        </w:tabs>
        <w:spacing w:line="208" w:lineRule="auto" w:before="240" w:after="0"/>
        <w:ind w:left="791" w:right="746" w:firstLine="0"/>
        <w:jc w:val="left"/>
        <w:rPr>
          <w:sz w:val="24"/>
        </w:rPr>
      </w:pPr>
      <w:r>
        <w:rPr>
          <w:sz w:val="24"/>
        </w:rPr>
        <w:t>The school accepts referrals from Local Education Agencies (LEA's), Regional Educational Service Centers (RESC's), educational cooperatives, parents residing within the State of Oklahoma, and/or third party agencies or individuals.</w:t>
      </w:r>
      <w:r>
        <w:rPr>
          <w:spacing w:val="40"/>
          <w:sz w:val="24"/>
        </w:rPr>
        <w:t> </w:t>
      </w:r>
      <w:r>
        <w:rPr>
          <w:sz w:val="24"/>
        </w:rPr>
        <w:t>The local school districts are advised of all referrals.</w:t>
      </w:r>
      <w:r>
        <w:rPr>
          <w:spacing w:val="40"/>
          <w:sz w:val="24"/>
        </w:rPr>
        <w:t> </w:t>
      </w:r>
      <w:r>
        <w:rPr>
          <w:sz w:val="24"/>
        </w:rPr>
        <w:t>When a referral is received, an evaluation is scheduled and/or records are obtained to ascertain eligibility. If the initial screening reveals that the student may be eligible for admission, parents and LEA will be notified to participate in the initial Individualized Education Plan (IEP) meeting</w:t>
      </w:r>
      <w:r>
        <w:rPr>
          <w:spacing w:val="-3"/>
          <w:sz w:val="24"/>
        </w:rPr>
        <w:t> </w:t>
      </w:r>
      <w:r>
        <w:rPr>
          <w:sz w:val="24"/>
        </w:rPr>
        <w:t>and</w:t>
      </w:r>
      <w:r>
        <w:rPr>
          <w:spacing w:val="-3"/>
          <w:sz w:val="24"/>
        </w:rPr>
        <w:t> </w:t>
      </w:r>
      <w:r>
        <w:rPr>
          <w:sz w:val="24"/>
        </w:rPr>
        <w:t>an</w:t>
      </w:r>
      <w:r>
        <w:rPr>
          <w:spacing w:val="-3"/>
          <w:sz w:val="24"/>
        </w:rPr>
        <w:t> </w:t>
      </w:r>
      <w:r>
        <w:rPr>
          <w:sz w:val="24"/>
        </w:rPr>
        <w:t>interim</w:t>
      </w:r>
      <w:r>
        <w:rPr>
          <w:spacing w:val="-2"/>
          <w:sz w:val="24"/>
        </w:rPr>
        <w:t> </w:t>
      </w:r>
      <w:r>
        <w:rPr>
          <w:sz w:val="24"/>
        </w:rPr>
        <w:t>30-day</w:t>
      </w:r>
      <w:r>
        <w:rPr>
          <w:spacing w:val="-3"/>
          <w:sz w:val="24"/>
        </w:rPr>
        <w:t> </w:t>
      </w:r>
      <w:r>
        <w:rPr>
          <w:sz w:val="24"/>
        </w:rPr>
        <w:t>IEP</w:t>
      </w:r>
      <w:r>
        <w:rPr>
          <w:spacing w:val="-3"/>
          <w:sz w:val="24"/>
        </w:rPr>
        <w:t> </w:t>
      </w:r>
      <w:r>
        <w:rPr>
          <w:sz w:val="24"/>
        </w:rPr>
        <w:t>shall</w:t>
      </w:r>
      <w:r>
        <w:rPr>
          <w:spacing w:val="-3"/>
          <w:sz w:val="24"/>
        </w:rPr>
        <w:t> </w:t>
      </w:r>
      <w:r>
        <w:rPr>
          <w:sz w:val="24"/>
        </w:rPr>
        <w:t>be</w:t>
      </w:r>
      <w:r>
        <w:rPr>
          <w:spacing w:val="-2"/>
          <w:sz w:val="24"/>
        </w:rPr>
        <w:t> </w:t>
      </w:r>
      <w:r>
        <w:rPr>
          <w:sz w:val="24"/>
        </w:rPr>
        <w:t>developed</w:t>
      </w:r>
      <w:r>
        <w:rPr>
          <w:spacing w:val="-2"/>
          <w:sz w:val="24"/>
        </w:rPr>
        <w:t> </w:t>
      </w:r>
      <w:r>
        <w:rPr>
          <w:sz w:val="24"/>
        </w:rPr>
        <w:t>by</w:t>
      </w:r>
      <w:r>
        <w:rPr>
          <w:spacing w:val="-3"/>
          <w:sz w:val="24"/>
        </w:rPr>
        <w:t> </w:t>
      </w:r>
      <w:r>
        <w:rPr>
          <w:sz w:val="24"/>
        </w:rPr>
        <w:t>the</w:t>
      </w:r>
      <w:r>
        <w:rPr>
          <w:spacing w:val="-4"/>
          <w:sz w:val="24"/>
        </w:rPr>
        <w:t> </w:t>
      </w:r>
      <w:r>
        <w:rPr>
          <w:sz w:val="24"/>
        </w:rPr>
        <w:t>team.</w:t>
      </w:r>
      <w:r>
        <w:rPr>
          <w:spacing w:val="40"/>
          <w:sz w:val="24"/>
        </w:rPr>
        <w:t> </w:t>
      </w:r>
      <w:r>
        <w:rPr>
          <w:sz w:val="24"/>
        </w:rPr>
        <w:t>A</w:t>
      </w:r>
      <w:r>
        <w:rPr>
          <w:spacing w:val="-3"/>
          <w:sz w:val="24"/>
        </w:rPr>
        <w:t> </w:t>
      </w:r>
      <w:r>
        <w:rPr>
          <w:sz w:val="24"/>
        </w:rPr>
        <w:t>final</w:t>
      </w:r>
      <w:r>
        <w:rPr>
          <w:spacing w:val="-3"/>
          <w:sz w:val="24"/>
        </w:rPr>
        <w:t> </w:t>
      </w:r>
      <w:r>
        <w:rPr>
          <w:sz w:val="24"/>
        </w:rPr>
        <w:t>decision as to whether or not to continue enrollment shall be made no later than the last day off the 30-day interim period.</w:t>
      </w:r>
    </w:p>
    <w:p>
      <w:pPr>
        <w:pStyle w:val="ListParagraph"/>
        <w:numPr>
          <w:ilvl w:val="0"/>
          <w:numId w:val="363"/>
        </w:numPr>
        <w:tabs>
          <w:tab w:pos="1217" w:val="left" w:leader="none"/>
        </w:tabs>
        <w:spacing w:line="208" w:lineRule="auto" w:before="239" w:after="0"/>
        <w:ind w:left="791" w:right="796" w:firstLine="0"/>
        <w:jc w:val="left"/>
        <w:rPr>
          <w:sz w:val="24"/>
        </w:rPr>
      </w:pPr>
      <w:r>
        <w:rPr>
          <w:sz w:val="24"/>
        </w:rPr>
        <w:t>Admission to the school is accomplished through application directly from parents or guardians.</w:t>
      </w:r>
      <w:r>
        <w:rPr>
          <w:spacing w:val="40"/>
          <w:sz w:val="24"/>
        </w:rPr>
        <w:t> </w:t>
      </w:r>
      <w:r>
        <w:rPr>
          <w:sz w:val="24"/>
        </w:rPr>
        <w:t>The Oklahoma School for the Blind is committed to assuring that the provisions of Federal Statute 20 U.S.C. 1400-1485 (Individuals with Disabilities</w:t>
      </w:r>
      <w:r>
        <w:rPr>
          <w:spacing w:val="-4"/>
          <w:sz w:val="24"/>
        </w:rPr>
        <w:t> </w:t>
      </w:r>
      <w:r>
        <w:rPr>
          <w:sz w:val="24"/>
        </w:rPr>
        <w:t>Education</w:t>
      </w:r>
      <w:r>
        <w:rPr>
          <w:spacing w:val="-4"/>
          <w:sz w:val="24"/>
        </w:rPr>
        <w:t> </w:t>
      </w:r>
      <w:r>
        <w:rPr>
          <w:sz w:val="24"/>
        </w:rPr>
        <w:t>Act)</w:t>
      </w:r>
      <w:r>
        <w:rPr>
          <w:spacing w:val="-3"/>
          <w:sz w:val="24"/>
        </w:rPr>
        <w:t> </w:t>
      </w:r>
      <w:r>
        <w:rPr>
          <w:sz w:val="24"/>
        </w:rPr>
        <w:t>are</w:t>
      </w:r>
      <w:r>
        <w:rPr>
          <w:spacing w:val="-5"/>
          <w:sz w:val="24"/>
        </w:rPr>
        <w:t> </w:t>
      </w:r>
      <w:r>
        <w:rPr>
          <w:sz w:val="24"/>
        </w:rPr>
        <w:t>met</w:t>
      </w:r>
      <w:r>
        <w:rPr>
          <w:spacing w:val="-3"/>
          <w:sz w:val="24"/>
        </w:rPr>
        <w:t> </w:t>
      </w:r>
      <w:r>
        <w:rPr>
          <w:sz w:val="24"/>
        </w:rPr>
        <w:t>and,</w:t>
      </w:r>
      <w:r>
        <w:rPr>
          <w:spacing w:val="-3"/>
          <w:sz w:val="24"/>
        </w:rPr>
        <w:t> </w:t>
      </w:r>
      <w:r>
        <w:rPr>
          <w:sz w:val="24"/>
        </w:rPr>
        <w:t>toward</w:t>
      </w:r>
      <w:r>
        <w:rPr>
          <w:spacing w:val="-4"/>
          <w:sz w:val="24"/>
        </w:rPr>
        <w:t> </w:t>
      </w:r>
      <w:r>
        <w:rPr>
          <w:sz w:val="24"/>
        </w:rPr>
        <w:t>this</w:t>
      </w:r>
      <w:r>
        <w:rPr>
          <w:spacing w:val="-4"/>
          <w:sz w:val="24"/>
        </w:rPr>
        <w:t> </w:t>
      </w:r>
      <w:r>
        <w:rPr>
          <w:sz w:val="24"/>
        </w:rPr>
        <w:t>end,</w:t>
      </w:r>
      <w:r>
        <w:rPr>
          <w:spacing w:val="-3"/>
          <w:sz w:val="24"/>
        </w:rPr>
        <w:t> </w:t>
      </w:r>
      <w:r>
        <w:rPr>
          <w:sz w:val="24"/>
        </w:rPr>
        <w:t>cooperates</w:t>
      </w:r>
      <w:r>
        <w:rPr>
          <w:spacing w:val="-4"/>
          <w:sz w:val="24"/>
        </w:rPr>
        <w:t> </w:t>
      </w:r>
      <w:r>
        <w:rPr>
          <w:sz w:val="24"/>
        </w:rPr>
        <w:t>with</w:t>
      </w:r>
      <w:r>
        <w:rPr>
          <w:spacing w:val="-4"/>
          <w:sz w:val="24"/>
        </w:rPr>
        <w:t> </w:t>
      </w:r>
      <w:r>
        <w:rPr>
          <w:sz w:val="24"/>
        </w:rPr>
        <w:t>the</w:t>
      </w:r>
      <w:r>
        <w:rPr>
          <w:spacing w:val="-4"/>
          <w:sz w:val="24"/>
        </w:rPr>
        <w:t> </w:t>
      </w:r>
      <w:r>
        <w:rPr>
          <w:sz w:val="24"/>
        </w:rPr>
        <w:t>LEA's.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pPr>
      <w:bookmarkStart w:name="612:20-5-2.  General admission requireme" w:id="367"/>
      <w:bookmarkEnd w:id="367"/>
      <w:r>
        <w:rPr>
          <w:b w:val="0"/>
        </w:rPr>
      </w:r>
      <w:r>
        <w:rPr/>
        <w:t>612:20-5-2.</w:t>
      </w:r>
      <w:r>
        <w:rPr>
          <w:spacing w:val="58"/>
        </w:rPr>
        <w:t> </w:t>
      </w:r>
      <w:r>
        <w:rPr/>
        <w:t>General</w:t>
      </w:r>
      <w:r>
        <w:rPr>
          <w:spacing w:val="-5"/>
        </w:rPr>
        <w:t> </w:t>
      </w:r>
      <w:r>
        <w:rPr/>
        <w:t>admission</w:t>
      </w:r>
      <w:r>
        <w:rPr>
          <w:spacing w:val="-4"/>
        </w:rPr>
        <w:t> </w:t>
      </w:r>
      <w:r>
        <w:rPr>
          <w:spacing w:val="-2"/>
        </w:rPr>
        <w:t>requirements</w:t>
      </w:r>
    </w:p>
    <w:p>
      <w:pPr>
        <w:pStyle w:val="ListParagraph"/>
        <w:numPr>
          <w:ilvl w:val="0"/>
          <w:numId w:val="364"/>
        </w:numPr>
        <w:tabs>
          <w:tab w:pos="786" w:val="left" w:leader="none"/>
        </w:tabs>
        <w:spacing w:line="208" w:lineRule="auto" w:before="233" w:after="0"/>
        <w:ind w:left="360" w:right="739" w:firstLine="0"/>
        <w:jc w:val="left"/>
        <w:rPr>
          <w:sz w:val="24"/>
        </w:rPr>
      </w:pPr>
      <w:r>
        <w:rPr>
          <w:sz w:val="24"/>
        </w:rPr>
        <w:t>For</w:t>
      </w:r>
      <w:r>
        <w:rPr>
          <w:spacing w:val="-4"/>
          <w:sz w:val="24"/>
        </w:rPr>
        <w:t> </w:t>
      </w:r>
      <w:r>
        <w:rPr>
          <w:sz w:val="24"/>
        </w:rPr>
        <w:t>students</w:t>
      </w:r>
      <w:r>
        <w:rPr>
          <w:spacing w:val="-3"/>
          <w:sz w:val="24"/>
        </w:rPr>
        <w:t> </w:t>
      </w:r>
      <w:r>
        <w:rPr>
          <w:sz w:val="24"/>
        </w:rPr>
        <w:t>who</w:t>
      </w:r>
      <w:r>
        <w:rPr>
          <w:spacing w:val="-3"/>
          <w:sz w:val="24"/>
        </w:rPr>
        <w:t> </w:t>
      </w:r>
      <w:r>
        <w:rPr>
          <w:sz w:val="24"/>
        </w:rPr>
        <w:t>meet</w:t>
      </w:r>
      <w:r>
        <w:rPr>
          <w:spacing w:val="-2"/>
          <w:sz w:val="24"/>
        </w:rPr>
        <w:t> </w:t>
      </w:r>
      <w:r>
        <w:rPr>
          <w:sz w:val="24"/>
        </w:rPr>
        <w:t>the</w:t>
      </w:r>
      <w:r>
        <w:rPr>
          <w:spacing w:val="-4"/>
          <w:sz w:val="24"/>
        </w:rPr>
        <w:t> </w:t>
      </w:r>
      <w:r>
        <w:rPr>
          <w:sz w:val="24"/>
        </w:rPr>
        <w:t>residency</w:t>
      </w:r>
      <w:r>
        <w:rPr>
          <w:spacing w:val="-3"/>
          <w:sz w:val="24"/>
        </w:rPr>
        <w:t> </w:t>
      </w:r>
      <w:r>
        <w:rPr>
          <w:sz w:val="24"/>
        </w:rPr>
        <w:t>and</w:t>
      </w:r>
      <w:r>
        <w:rPr>
          <w:spacing w:val="-3"/>
          <w:sz w:val="24"/>
        </w:rPr>
        <w:t> </w:t>
      </w:r>
      <w:r>
        <w:rPr>
          <w:sz w:val="24"/>
        </w:rPr>
        <w:t>visual</w:t>
      </w:r>
      <w:r>
        <w:rPr>
          <w:spacing w:val="-3"/>
          <w:sz w:val="24"/>
        </w:rPr>
        <w:t> </w:t>
      </w:r>
      <w:r>
        <w:rPr>
          <w:sz w:val="24"/>
        </w:rPr>
        <w:t>loss</w:t>
      </w:r>
      <w:r>
        <w:rPr>
          <w:spacing w:val="-3"/>
          <w:sz w:val="24"/>
        </w:rPr>
        <w:t> </w:t>
      </w:r>
      <w:r>
        <w:rPr>
          <w:sz w:val="24"/>
        </w:rPr>
        <w:t>requirements</w:t>
      </w:r>
      <w:r>
        <w:rPr>
          <w:spacing w:val="-3"/>
          <w:sz w:val="24"/>
        </w:rPr>
        <w:t> </w:t>
      </w:r>
      <w:r>
        <w:rPr>
          <w:sz w:val="24"/>
        </w:rPr>
        <w:t>but</w:t>
      </w:r>
      <w:r>
        <w:rPr>
          <w:spacing w:val="-2"/>
          <w:sz w:val="24"/>
        </w:rPr>
        <w:t> </w:t>
      </w:r>
      <w:r>
        <w:rPr>
          <w:sz w:val="24"/>
        </w:rPr>
        <w:t>are</w:t>
      </w:r>
      <w:r>
        <w:rPr>
          <w:spacing w:val="-3"/>
          <w:sz w:val="24"/>
        </w:rPr>
        <w:t> </w:t>
      </w:r>
      <w:r>
        <w:rPr>
          <w:sz w:val="24"/>
        </w:rPr>
        <w:t>unable</w:t>
      </w:r>
      <w:r>
        <w:rPr>
          <w:spacing w:val="-3"/>
          <w:sz w:val="24"/>
        </w:rPr>
        <w:t> </w:t>
      </w:r>
      <w:r>
        <w:rPr>
          <w:sz w:val="24"/>
        </w:rPr>
        <w:t>to meet other criteria for the Regular Academic or Early Childhood Development Program, admission to alternative programs, such as Special Needs and Preschool Special</w:t>
      </w:r>
      <w:r>
        <w:rPr>
          <w:sz w:val="24"/>
        </w:rPr>
        <w:t> Needs programs, may be available.</w:t>
      </w:r>
    </w:p>
    <w:p>
      <w:pPr>
        <w:pStyle w:val="ListParagraph"/>
        <w:numPr>
          <w:ilvl w:val="0"/>
          <w:numId w:val="364"/>
        </w:numPr>
        <w:tabs>
          <w:tab w:pos="786" w:val="left" w:leader="none"/>
        </w:tabs>
        <w:spacing w:line="208" w:lineRule="auto" w:before="239" w:after="0"/>
        <w:ind w:left="360" w:right="768" w:firstLine="0"/>
        <w:jc w:val="left"/>
        <w:rPr>
          <w:sz w:val="24"/>
        </w:rPr>
      </w:pPr>
      <w:r>
        <w:rPr>
          <w:sz w:val="24"/>
        </w:rPr>
        <w:t>Visual loss requirements are corrected visual acuity of 20/70 or less, or visual field no greater than 20 degrees in the better eye, or a visual impairment which, even with the</w:t>
      </w:r>
      <w:r>
        <w:rPr>
          <w:spacing w:val="-4"/>
          <w:sz w:val="24"/>
        </w:rPr>
        <w:t> </w:t>
      </w:r>
      <w:r>
        <w:rPr>
          <w:sz w:val="24"/>
        </w:rPr>
        <w:t>best</w:t>
      </w:r>
      <w:r>
        <w:rPr>
          <w:spacing w:val="-3"/>
          <w:sz w:val="24"/>
        </w:rPr>
        <w:t> </w:t>
      </w:r>
      <w:r>
        <w:rPr>
          <w:sz w:val="24"/>
        </w:rPr>
        <w:t>correction,</w:t>
      </w:r>
      <w:r>
        <w:rPr>
          <w:spacing w:val="-3"/>
          <w:sz w:val="24"/>
        </w:rPr>
        <w:t> </w:t>
      </w:r>
      <w:r>
        <w:rPr>
          <w:sz w:val="24"/>
        </w:rPr>
        <w:t>adversely</w:t>
      </w:r>
      <w:r>
        <w:rPr>
          <w:spacing w:val="-4"/>
          <w:sz w:val="24"/>
        </w:rPr>
        <w:t> </w:t>
      </w:r>
      <w:r>
        <w:rPr>
          <w:sz w:val="24"/>
        </w:rPr>
        <w:t>affects</w:t>
      </w:r>
      <w:r>
        <w:rPr>
          <w:spacing w:val="-4"/>
          <w:sz w:val="24"/>
        </w:rPr>
        <w:t> </w:t>
      </w:r>
      <w:r>
        <w:rPr>
          <w:sz w:val="24"/>
        </w:rPr>
        <w:t>performance</w:t>
      </w:r>
      <w:r>
        <w:rPr>
          <w:spacing w:val="-4"/>
          <w:sz w:val="24"/>
        </w:rPr>
        <w:t> </w:t>
      </w:r>
      <w:r>
        <w:rPr>
          <w:sz w:val="24"/>
        </w:rPr>
        <w:t>in</w:t>
      </w:r>
      <w:r>
        <w:rPr>
          <w:spacing w:val="-4"/>
          <w:sz w:val="24"/>
        </w:rPr>
        <w:t> </w:t>
      </w:r>
      <w:r>
        <w:rPr>
          <w:sz w:val="24"/>
        </w:rPr>
        <w:t>a</w:t>
      </w:r>
      <w:r>
        <w:rPr>
          <w:spacing w:val="-4"/>
          <w:sz w:val="24"/>
        </w:rPr>
        <w:t> </w:t>
      </w:r>
      <w:r>
        <w:rPr>
          <w:sz w:val="24"/>
        </w:rPr>
        <w:t>regular</w:t>
      </w:r>
      <w:r>
        <w:rPr>
          <w:spacing w:val="-3"/>
          <w:sz w:val="24"/>
        </w:rPr>
        <w:t> </w:t>
      </w:r>
      <w:r>
        <w:rPr>
          <w:sz w:val="24"/>
        </w:rPr>
        <w:t>class.</w:t>
      </w:r>
      <w:r>
        <w:rPr>
          <w:spacing w:val="40"/>
          <w:sz w:val="24"/>
        </w:rPr>
        <w:t> </w:t>
      </w:r>
      <w:r>
        <w:rPr>
          <w:sz w:val="24"/>
        </w:rPr>
        <w:t>Visual</w:t>
      </w:r>
      <w:r>
        <w:rPr>
          <w:spacing w:val="-5"/>
          <w:sz w:val="24"/>
        </w:rPr>
        <w:t> </w:t>
      </w:r>
      <w:r>
        <w:rPr>
          <w:sz w:val="24"/>
        </w:rPr>
        <w:t>impairment should be a major contributor to the student's inability to succeed in the public school.</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pPr>
      <w:bookmarkStart w:name="612:20-5-5.  Criteria for the preschool " w:id="368"/>
      <w:bookmarkEnd w:id="368"/>
      <w:r>
        <w:rPr>
          <w:b w:val="0"/>
        </w:rPr>
      </w:r>
      <w:r>
        <w:rPr/>
        <w:t>612:20-5-5.</w:t>
      </w:r>
      <w:r>
        <w:rPr>
          <w:spacing w:val="56"/>
        </w:rPr>
        <w:t> </w:t>
      </w:r>
      <w:r>
        <w:rPr/>
        <w:t>Criteria</w:t>
      </w:r>
      <w:r>
        <w:rPr>
          <w:spacing w:val="-5"/>
        </w:rPr>
        <w:t> </w:t>
      </w:r>
      <w:r>
        <w:rPr/>
        <w:t>for</w:t>
      </w:r>
      <w:r>
        <w:rPr>
          <w:spacing w:val="-4"/>
        </w:rPr>
        <w:t> </w:t>
      </w:r>
      <w:r>
        <w:rPr/>
        <w:t>the</w:t>
      </w:r>
      <w:r>
        <w:rPr>
          <w:spacing w:val="-4"/>
        </w:rPr>
        <w:t> </w:t>
      </w:r>
      <w:r>
        <w:rPr/>
        <w:t>preschool</w:t>
      </w:r>
      <w:r>
        <w:rPr>
          <w:spacing w:val="-3"/>
        </w:rPr>
        <w:t> </w:t>
      </w:r>
      <w:r>
        <w:rPr/>
        <w:t>multidisability</w:t>
      </w:r>
      <w:r>
        <w:rPr>
          <w:spacing w:val="-4"/>
        </w:rPr>
        <w:t> </w:t>
      </w:r>
      <w:r>
        <w:rPr>
          <w:spacing w:val="-2"/>
        </w:rPr>
        <w:t>program</w:t>
      </w:r>
    </w:p>
    <w:p>
      <w:pPr>
        <w:spacing w:before="237"/>
        <w:ind w:left="359" w:right="775" w:firstLine="0"/>
        <w:jc w:val="left"/>
        <w:rPr>
          <w:sz w:val="22"/>
        </w:rPr>
      </w:pPr>
      <w:r>
        <w:rPr>
          <w:sz w:val="22"/>
        </w:rPr>
        <w:t>OSB has established a</w:t>
      </w:r>
      <w:r>
        <w:rPr>
          <w:spacing w:val="-1"/>
          <w:sz w:val="22"/>
        </w:rPr>
        <w:t> </w:t>
      </w:r>
      <w:r>
        <w:rPr>
          <w:sz w:val="22"/>
        </w:rPr>
        <w:t>pre-school</w:t>
      </w:r>
      <w:r>
        <w:rPr>
          <w:spacing w:val="-1"/>
          <w:sz w:val="22"/>
        </w:rPr>
        <w:t> </w:t>
      </w:r>
      <w:r>
        <w:rPr>
          <w:sz w:val="22"/>
        </w:rPr>
        <w:t>multidisability program</w:t>
      </w:r>
      <w:r>
        <w:rPr>
          <w:spacing w:val="-1"/>
          <w:sz w:val="22"/>
        </w:rPr>
        <w:t> </w:t>
      </w:r>
      <w:r>
        <w:rPr>
          <w:sz w:val="22"/>
        </w:rPr>
        <w:t>which is designed to meet the needs of students under the age of seven who are unable to function in other available academic programs at OSB.</w:t>
      </w:r>
      <w:r>
        <w:rPr>
          <w:spacing w:val="40"/>
          <w:sz w:val="22"/>
        </w:rPr>
        <w:t> </w:t>
      </w:r>
      <w:r>
        <w:rPr>
          <w:sz w:val="22"/>
        </w:rPr>
        <w:t>This is a self-contained classroom which is affiliated with but separate from the</w:t>
      </w:r>
      <w:r>
        <w:rPr>
          <w:spacing w:val="-3"/>
          <w:sz w:val="22"/>
        </w:rPr>
        <w:t> </w:t>
      </w:r>
      <w:r>
        <w:rPr>
          <w:sz w:val="22"/>
        </w:rPr>
        <w:t>OSB</w:t>
      </w:r>
      <w:r>
        <w:rPr>
          <w:spacing w:val="-3"/>
          <w:sz w:val="22"/>
        </w:rPr>
        <w:t> </w:t>
      </w:r>
      <w:r>
        <w:rPr>
          <w:sz w:val="22"/>
        </w:rPr>
        <w:t>academic</w:t>
      </w:r>
      <w:r>
        <w:rPr>
          <w:spacing w:val="-3"/>
          <w:sz w:val="22"/>
        </w:rPr>
        <w:t> </w:t>
      </w:r>
      <w:r>
        <w:rPr>
          <w:sz w:val="22"/>
        </w:rPr>
        <w:t>program.</w:t>
      </w:r>
      <w:r>
        <w:rPr>
          <w:spacing w:val="40"/>
          <w:sz w:val="22"/>
        </w:rPr>
        <w:t> </w:t>
      </w:r>
      <w:r>
        <w:rPr>
          <w:sz w:val="22"/>
        </w:rPr>
        <w:t>Admission</w:t>
      </w:r>
      <w:r>
        <w:rPr>
          <w:spacing w:val="-3"/>
          <w:sz w:val="22"/>
        </w:rPr>
        <w:t> </w:t>
      </w:r>
      <w:r>
        <w:rPr>
          <w:sz w:val="22"/>
        </w:rPr>
        <w:t>and</w:t>
      </w:r>
      <w:r>
        <w:rPr>
          <w:spacing w:val="-3"/>
          <w:sz w:val="22"/>
        </w:rPr>
        <w:t> </w:t>
      </w:r>
      <w:r>
        <w:rPr>
          <w:sz w:val="22"/>
        </w:rPr>
        <w:t>retention</w:t>
      </w:r>
      <w:r>
        <w:rPr>
          <w:spacing w:val="-3"/>
          <w:sz w:val="22"/>
        </w:rPr>
        <w:t> </w:t>
      </w:r>
      <w:r>
        <w:rPr>
          <w:sz w:val="22"/>
        </w:rPr>
        <w:t>in</w:t>
      </w:r>
      <w:r>
        <w:rPr>
          <w:spacing w:val="-3"/>
          <w:sz w:val="22"/>
        </w:rPr>
        <w:t> </w:t>
      </w:r>
      <w:r>
        <w:rPr>
          <w:sz w:val="22"/>
        </w:rPr>
        <w:t>the</w:t>
      </w:r>
      <w:r>
        <w:rPr>
          <w:spacing w:val="-4"/>
          <w:sz w:val="22"/>
        </w:rPr>
        <w:t> </w:t>
      </w:r>
      <w:r>
        <w:rPr>
          <w:sz w:val="22"/>
        </w:rPr>
        <w:t>program</w:t>
      </w:r>
      <w:r>
        <w:rPr>
          <w:spacing w:val="-4"/>
          <w:sz w:val="22"/>
        </w:rPr>
        <w:t> </w:t>
      </w:r>
      <w:r>
        <w:rPr>
          <w:sz w:val="22"/>
        </w:rPr>
        <w:t>will</w:t>
      </w:r>
      <w:r>
        <w:rPr>
          <w:spacing w:val="-3"/>
          <w:sz w:val="22"/>
        </w:rPr>
        <w:t> </w:t>
      </w:r>
      <w:r>
        <w:rPr>
          <w:sz w:val="22"/>
        </w:rPr>
        <w:t>be</w:t>
      </w:r>
      <w:r>
        <w:rPr>
          <w:spacing w:val="-3"/>
          <w:sz w:val="22"/>
        </w:rPr>
        <w:t> </w:t>
      </w:r>
      <w:r>
        <w:rPr>
          <w:sz w:val="22"/>
        </w:rPr>
        <w:t>determined</w:t>
      </w:r>
      <w:r>
        <w:rPr>
          <w:spacing w:val="-3"/>
          <w:sz w:val="22"/>
        </w:rPr>
        <w:t> </w:t>
      </w:r>
      <w:r>
        <w:rPr>
          <w:sz w:val="22"/>
        </w:rPr>
        <w:t>by</w:t>
      </w:r>
      <w:r>
        <w:rPr>
          <w:spacing w:val="-3"/>
          <w:sz w:val="22"/>
        </w:rPr>
        <w:t> </w:t>
      </w:r>
      <w:r>
        <w:rPr>
          <w:sz w:val="22"/>
        </w:rPr>
        <w:t>the multidisciplinary team.</w:t>
      </w:r>
      <w:r>
        <w:rPr>
          <w:spacing w:val="40"/>
          <w:sz w:val="22"/>
        </w:rPr>
        <w:t> </w:t>
      </w:r>
      <w:r>
        <w:rPr>
          <w:sz w:val="22"/>
        </w:rPr>
        <w:t>Before a child's sixth birthday, the multidisciplinary team will meet to determine whether or not OSB will be able to continue to meet the child's needs through the special</w:t>
      </w:r>
      <w:r>
        <w:rPr>
          <w:spacing w:val="-3"/>
          <w:sz w:val="22"/>
        </w:rPr>
        <w:t> </w:t>
      </w:r>
      <w:r>
        <w:rPr>
          <w:sz w:val="22"/>
        </w:rPr>
        <w:t>education</w:t>
      </w:r>
      <w:r>
        <w:rPr>
          <w:spacing w:val="-3"/>
          <w:sz w:val="22"/>
        </w:rPr>
        <w:t> </w:t>
      </w:r>
      <w:r>
        <w:rPr>
          <w:sz w:val="22"/>
        </w:rPr>
        <w:t>classroom</w:t>
      </w:r>
      <w:r>
        <w:rPr>
          <w:spacing w:val="-4"/>
          <w:sz w:val="22"/>
        </w:rPr>
        <w:t> </w:t>
      </w:r>
      <w:r>
        <w:rPr>
          <w:sz w:val="22"/>
        </w:rPr>
        <w:t>or</w:t>
      </w:r>
      <w:r>
        <w:rPr>
          <w:spacing w:val="-3"/>
          <w:sz w:val="22"/>
        </w:rPr>
        <w:t> </w:t>
      </w:r>
      <w:r>
        <w:rPr>
          <w:sz w:val="22"/>
        </w:rPr>
        <w:t>in</w:t>
      </w:r>
      <w:r>
        <w:rPr>
          <w:spacing w:val="-3"/>
          <w:sz w:val="22"/>
        </w:rPr>
        <w:t> </w:t>
      </w:r>
      <w:r>
        <w:rPr>
          <w:sz w:val="22"/>
        </w:rPr>
        <w:t>a</w:t>
      </w:r>
      <w:r>
        <w:rPr>
          <w:spacing w:val="-3"/>
          <w:sz w:val="22"/>
        </w:rPr>
        <w:t> </w:t>
      </w:r>
      <w:r>
        <w:rPr>
          <w:sz w:val="22"/>
        </w:rPr>
        <w:t>regular</w:t>
      </w:r>
      <w:r>
        <w:rPr>
          <w:spacing w:val="-3"/>
          <w:sz w:val="22"/>
        </w:rPr>
        <w:t> </w:t>
      </w:r>
      <w:r>
        <w:rPr>
          <w:sz w:val="22"/>
        </w:rPr>
        <w:t>classroom.</w:t>
      </w:r>
      <w:r>
        <w:rPr>
          <w:spacing w:val="40"/>
          <w:sz w:val="22"/>
        </w:rPr>
        <w:t> </w:t>
      </w:r>
      <w:r>
        <w:rPr>
          <w:sz w:val="22"/>
        </w:rPr>
        <w:t>The</w:t>
      </w:r>
      <w:r>
        <w:rPr>
          <w:spacing w:val="-3"/>
          <w:sz w:val="22"/>
        </w:rPr>
        <w:t> </w:t>
      </w:r>
      <w:r>
        <w:rPr>
          <w:sz w:val="22"/>
        </w:rPr>
        <w:t>team's</w:t>
      </w:r>
      <w:r>
        <w:rPr>
          <w:spacing w:val="-3"/>
          <w:sz w:val="22"/>
        </w:rPr>
        <w:t> </w:t>
      </w:r>
      <w:r>
        <w:rPr>
          <w:sz w:val="22"/>
        </w:rPr>
        <w:t>decision</w:t>
      </w:r>
      <w:r>
        <w:rPr>
          <w:spacing w:val="-3"/>
          <w:sz w:val="22"/>
        </w:rPr>
        <w:t> </w:t>
      </w:r>
      <w:r>
        <w:rPr>
          <w:sz w:val="22"/>
        </w:rPr>
        <w:t>will</w:t>
      </w:r>
      <w:r>
        <w:rPr>
          <w:spacing w:val="-3"/>
          <w:sz w:val="22"/>
        </w:rPr>
        <w:t> </w:t>
      </w:r>
      <w:r>
        <w:rPr>
          <w:sz w:val="22"/>
        </w:rPr>
        <w:t>be</w:t>
      </w:r>
      <w:r>
        <w:rPr>
          <w:spacing w:val="-4"/>
          <w:sz w:val="22"/>
        </w:rPr>
        <w:t> </w:t>
      </w:r>
      <w:r>
        <w:rPr>
          <w:sz w:val="22"/>
        </w:rPr>
        <w:t>shared</w:t>
      </w:r>
      <w:r>
        <w:rPr>
          <w:spacing w:val="-3"/>
          <w:sz w:val="22"/>
        </w:rPr>
        <w:t> </w:t>
      </w:r>
      <w:r>
        <w:rPr>
          <w:sz w:val="22"/>
        </w:rPr>
        <w:t>with the parents and recommendations for the child's further education will be provided.</w:t>
      </w:r>
    </w:p>
    <w:p>
      <w:pPr>
        <w:spacing w:line="253" w:lineRule="exact" w:before="0"/>
        <w:ind w:left="359"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359"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1"/>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pPr>
      <w:bookmarkStart w:name="612:20-5-6.  Admission requirements for " w:id="369"/>
      <w:bookmarkEnd w:id="369"/>
      <w:r>
        <w:rPr>
          <w:b w:val="0"/>
        </w:rPr>
      </w:r>
      <w:r>
        <w:rPr/>
        <w:t>612:20-5-6.</w:t>
      </w:r>
      <w:r>
        <w:rPr>
          <w:spacing w:val="59"/>
        </w:rPr>
        <w:t> </w:t>
      </w:r>
      <w:r>
        <w:rPr/>
        <w:t>Admission</w:t>
      </w:r>
      <w:r>
        <w:rPr>
          <w:spacing w:val="-4"/>
        </w:rPr>
        <w:t> </w:t>
      </w:r>
      <w:r>
        <w:rPr/>
        <w:t>requirements</w:t>
      </w:r>
      <w:r>
        <w:rPr>
          <w:spacing w:val="-4"/>
        </w:rPr>
        <w:t> </w:t>
      </w:r>
      <w:r>
        <w:rPr/>
        <w:t>for</w:t>
      </w:r>
      <w:r>
        <w:rPr>
          <w:spacing w:val="-4"/>
        </w:rPr>
        <w:t> </w:t>
      </w:r>
      <w:r>
        <w:rPr/>
        <w:t>summer</w:t>
      </w:r>
      <w:r>
        <w:rPr>
          <w:spacing w:val="-4"/>
        </w:rPr>
        <w:t> </w:t>
      </w:r>
      <w:r>
        <w:rPr>
          <w:spacing w:val="-2"/>
        </w:rPr>
        <w:t>school</w:t>
      </w:r>
    </w:p>
    <w:p>
      <w:pPr>
        <w:pStyle w:val="ListParagraph"/>
        <w:numPr>
          <w:ilvl w:val="0"/>
          <w:numId w:val="365"/>
        </w:numPr>
        <w:tabs>
          <w:tab w:pos="786" w:val="left" w:leader="none"/>
        </w:tabs>
        <w:spacing w:line="240" w:lineRule="auto" w:before="204" w:after="0"/>
        <w:ind w:left="786" w:right="0" w:hanging="426"/>
        <w:jc w:val="left"/>
        <w:rPr>
          <w:sz w:val="24"/>
        </w:rPr>
      </w:pPr>
      <w:r>
        <w:rPr>
          <w:sz w:val="24"/>
        </w:rPr>
        <w:t>A</w:t>
      </w:r>
      <w:r>
        <w:rPr>
          <w:spacing w:val="-3"/>
          <w:sz w:val="24"/>
        </w:rPr>
        <w:t> </w:t>
      </w:r>
      <w:r>
        <w:rPr>
          <w:sz w:val="24"/>
        </w:rPr>
        <w:t>student</w:t>
      </w:r>
      <w:r>
        <w:rPr>
          <w:spacing w:val="-2"/>
          <w:sz w:val="24"/>
        </w:rPr>
        <w:t> </w:t>
      </w:r>
      <w:r>
        <w:rPr>
          <w:sz w:val="24"/>
        </w:rPr>
        <w:t>is</w:t>
      </w:r>
      <w:r>
        <w:rPr>
          <w:spacing w:val="-3"/>
          <w:sz w:val="24"/>
        </w:rPr>
        <w:t> </w:t>
      </w:r>
      <w:r>
        <w:rPr>
          <w:sz w:val="24"/>
        </w:rPr>
        <w:t>eligible</w:t>
      </w:r>
      <w:r>
        <w:rPr>
          <w:spacing w:val="-3"/>
          <w:sz w:val="24"/>
        </w:rPr>
        <w:t> </w:t>
      </w:r>
      <w:r>
        <w:rPr>
          <w:sz w:val="24"/>
        </w:rPr>
        <w:t>for</w:t>
      </w:r>
      <w:r>
        <w:rPr>
          <w:spacing w:val="-2"/>
          <w:sz w:val="24"/>
        </w:rPr>
        <w:t> </w:t>
      </w:r>
      <w:r>
        <w:rPr>
          <w:sz w:val="24"/>
        </w:rPr>
        <w:t>the</w:t>
      </w:r>
      <w:r>
        <w:rPr>
          <w:spacing w:val="-3"/>
          <w:sz w:val="24"/>
        </w:rPr>
        <w:t> </w:t>
      </w:r>
      <w:r>
        <w:rPr>
          <w:sz w:val="24"/>
        </w:rPr>
        <w:t>summer</w:t>
      </w:r>
      <w:r>
        <w:rPr>
          <w:spacing w:val="-2"/>
          <w:sz w:val="24"/>
        </w:rPr>
        <w:t> </w:t>
      </w:r>
      <w:r>
        <w:rPr>
          <w:sz w:val="24"/>
        </w:rPr>
        <w:t>session</w:t>
      </w:r>
      <w:r>
        <w:rPr>
          <w:spacing w:val="-2"/>
          <w:sz w:val="24"/>
        </w:rPr>
        <w:t> </w:t>
      </w:r>
      <w:r>
        <w:rPr>
          <w:spacing w:val="-4"/>
          <w:sz w:val="24"/>
        </w:rPr>
        <w:t>who:</w:t>
      </w:r>
    </w:p>
    <w:p>
      <w:pPr>
        <w:pStyle w:val="ListParagraph"/>
        <w:numPr>
          <w:ilvl w:val="1"/>
          <w:numId w:val="365"/>
        </w:numPr>
        <w:tabs>
          <w:tab w:pos="1217" w:val="left" w:leader="none"/>
        </w:tabs>
        <w:spacing w:line="240" w:lineRule="auto" w:before="204" w:after="0"/>
        <w:ind w:left="1217" w:right="0" w:hanging="426"/>
        <w:jc w:val="left"/>
        <w:rPr>
          <w:sz w:val="24"/>
        </w:rPr>
      </w:pPr>
      <w:r>
        <w:rPr>
          <w:sz w:val="24"/>
        </w:rPr>
        <w:t>is</w:t>
      </w:r>
      <w:r>
        <w:rPr>
          <w:spacing w:val="-3"/>
          <w:sz w:val="24"/>
        </w:rPr>
        <w:t> </w:t>
      </w:r>
      <w:r>
        <w:rPr>
          <w:sz w:val="24"/>
        </w:rPr>
        <w:t>a</w:t>
      </w:r>
      <w:r>
        <w:rPr>
          <w:spacing w:val="-3"/>
          <w:sz w:val="24"/>
        </w:rPr>
        <w:t> </w:t>
      </w:r>
      <w:r>
        <w:rPr>
          <w:sz w:val="24"/>
        </w:rPr>
        <w:t>resident</w:t>
      </w:r>
      <w:r>
        <w:rPr>
          <w:spacing w:val="-1"/>
          <w:sz w:val="24"/>
        </w:rPr>
        <w:t> </w:t>
      </w:r>
      <w:r>
        <w:rPr>
          <w:sz w:val="24"/>
        </w:rPr>
        <w:t>of</w:t>
      </w:r>
      <w:r>
        <w:rPr>
          <w:spacing w:val="-1"/>
          <w:sz w:val="24"/>
        </w:rPr>
        <w:t> </w:t>
      </w:r>
      <w:r>
        <w:rPr>
          <w:spacing w:val="-2"/>
          <w:sz w:val="24"/>
        </w:rPr>
        <w:t>Oklahoma;</w:t>
      </w:r>
    </w:p>
    <w:p>
      <w:pPr>
        <w:pStyle w:val="ListParagraph"/>
        <w:numPr>
          <w:ilvl w:val="1"/>
          <w:numId w:val="365"/>
        </w:numPr>
        <w:tabs>
          <w:tab w:pos="1217" w:val="left" w:leader="none"/>
        </w:tabs>
        <w:spacing w:line="208" w:lineRule="auto" w:before="233" w:after="0"/>
        <w:ind w:left="791" w:right="1708" w:firstLine="0"/>
        <w:jc w:val="left"/>
        <w:rPr>
          <w:sz w:val="24"/>
        </w:rPr>
      </w:pPr>
      <w:r>
        <w:rPr>
          <w:sz w:val="24"/>
        </w:rPr>
        <w:t>is</w:t>
      </w:r>
      <w:r>
        <w:rPr>
          <w:spacing w:val="-4"/>
          <w:sz w:val="24"/>
        </w:rPr>
        <w:t> </w:t>
      </w:r>
      <w:r>
        <w:rPr>
          <w:sz w:val="24"/>
        </w:rPr>
        <w:t>diagnosed</w:t>
      </w:r>
      <w:r>
        <w:rPr>
          <w:spacing w:val="-4"/>
          <w:sz w:val="24"/>
        </w:rPr>
        <w:t> </w:t>
      </w:r>
      <w:r>
        <w:rPr>
          <w:sz w:val="24"/>
        </w:rPr>
        <w:t>as</w:t>
      </w:r>
      <w:r>
        <w:rPr>
          <w:spacing w:val="-4"/>
          <w:sz w:val="24"/>
        </w:rPr>
        <w:t> </w:t>
      </w:r>
      <w:r>
        <w:rPr>
          <w:sz w:val="24"/>
        </w:rPr>
        <w:t>visually</w:t>
      </w:r>
      <w:r>
        <w:rPr>
          <w:spacing w:val="-4"/>
          <w:sz w:val="24"/>
        </w:rPr>
        <w:t> </w:t>
      </w:r>
      <w:r>
        <w:rPr>
          <w:sz w:val="24"/>
        </w:rPr>
        <w:t>impaired</w:t>
      </w:r>
      <w:r>
        <w:rPr>
          <w:spacing w:val="-4"/>
          <w:sz w:val="24"/>
        </w:rPr>
        <w:t> </w:t>
      </w:r>
      <w:r>
        <w:rPr>
          <w:sz w:val="24"/>
        </w:rPr>
        <w:t>or</w:t>
      </w:r>
      <w:r>
        <w:rPr>
          <w:spacing w:val="-3"/>
          <w:sz w:val="24"/>
        </w:rPr>
        <w:t> </w:t>
      </w:r>
      <w:r>
        <w:rPr>
          <w:sz w:val="24"/>
        </w:rPr>
        <w:t>blind</w:t>
      </w:r>
      <w:r>
        <w:rPr>
          <w:spacing w:val="-4"/>
          <w:sz w:val="24"/>
        </w:rPr>
        <w:t> </w:t>
      </w:r>
      <w:r>
        <w:rPr>
          <w:sz w:val="24"/>
        </w:rPr>
        <w:t>(current</w:t>
      </w:r>
      <w:r>
        <w:rPr>
          <w:spacing w:val="-5"/>
          <w:sz w:val="24"/>
        </w:rPr>
        <w:t> </w:t>
      </w:r>
      <w:r>
        <w:rPr>
          <w:sz w:val="24"/>
        </w:rPr>
        <w:t>eye</w:t>
      </w:r>
      <w:r>
        <w:rPr>
          <w:spacing w:val="-4"/>
          <w:sz w:val="24"/>
        </w:rPr>
        <w:t> </w:t>
      </w:r>
      <w:r>
        <w:rPr>
          <w:sz w:val="24"/>
        </w:rPr>
        <w:t>report</w:t>
      </w:r>
      <w:r>
        <w:rPr>
          <w:spacing w:val="-3"/>
          <w:sz w:val="24"/>
        </w:rPr>
        <w:t> </w:t>
      </w:r>
      <w:r>
        <w:rPr>
          <w:sz w:val="24"/>
        </w:rPr>
        <w:t>should</w:t>
      </w:r>
      <w:r>
        <w:rPr>
          <w:spacing w:val="-4"/>
          <w:sz w:val="24"/>
        </w:rPr>
        <w:t> </w:t>
      </w:r>
      <w:r>
        <w:rPr>
          <w:sz w:val="24"/>
        </w:rPr>
        <w:t>be provided); and</w:t>
      </w:r>
    </w:p>
    <w:p>
      <w:pPr>
        <w:pStyle w:val="ListParagraph"/>
        <w:numPr>
          <w:ilvl w:val="1"/>
          <w:numId w:val="365"/>
        </w:numPr>
        <w:tabs>
          <w:tab w:pos="1217" w:val="left" w:leader="none"/>
        </w:tabs>
        <w:spacing w:line="208" w:lineRule="auto" w:before="240" w:after="0"/>
        <w:ind w:left="791" w:right="935" w:firstLine="0"/>
        <w:jc w:val="left"/>
        <w:rPr>
          <w:sz w:val="24"/>
        </w:rPr>
      </w:pPr>
      <w:r>
        <w:rPr>
          <w:sz w:val="24"/>
        </w:rPr>
        <w:t>is</w:t>
      </w:r>
      <w:r>
        <w:rPr>
          <w:spacing w:val="-3"/>
          <w:sz w:val="24"/>
        </w:rPr>
        <w:t> </w:t>
      </w:r>
      <w:r>
        <w:rPr>
          <w:sz w:val="24"/>
        </w:rPr>
        <w:t>assigned</w:t>
      </w:r>
      <w:r>
        <w:rPr>
          <w:spacing w:val="-3"/>
          <w:sz w:val="24"/>
        </w:rPr>
        <w:t> </w:t>
      </w:r>
      <w:r>
        <w:rPr>
          <w:sz w:val="24"/>
        </w:rPr>
        <w:t>a</w:t>
      </w:r>
      <w:r>
        <w:rPr>
          <w:spacing w:val="-3"/>
          <w:sz w:val="24"/>
        </w:rPr>
        <w:t> </w:t>
      </w:r>
      <w:r>
        <w:rPr>
          <w:sz w:val="24"/>
        </w:rPr>
        <w:t>grade</w:t>
      </w:r>
      <w:r>
        <w:rPr>
          <w:spacing w:val="-3"/>
          <w:sz w:val="24"/>
        </w:rPr>
        <w:t> </w:t>
      </w:r>
      <w:r>
        <w:rPr>
          <w:sz w:val="24"/>
        </w:rPr>
        <w:t>from</w:t>
      </w:r>
      <w:r>
        <w:rPr>
          <w:spacing w:val="-4"/>
          <w:sz w:val="24"/>
        </w:rPr>
        <w:t> </w:t>
      </w:r>
      <w:r>
        <w:rPr>
          <w:sz w:val="24"/>
        </w:rPr>
        <w:t>beginning</w:t>
      </w:r>
      <w:r>
        <w:rPr>
          <w:spacing w:val="-3"/>
          <w:sz w:val="24"/>
        </w:rPr>
        <w:t> </w:t>
      </w:r>
      <w:r>
        <w:rPr>
          <w:sz w:val="24"/>
        </w:rPr>
        <w:t>kindergarten</w:t>
      </w:r>
      <w:r>
        <w:rPr>
          <w:spacing w:val="-3"/>
          <w:sz w:val="24"/>
        </w:rPr>
        <w:t> </w:t>
      </w:r>
      <w:r>
        <w:rPr>
          <w:sz w:val="24"/>
        </w:rPr>
        <w:t>to</w:t>
      </w:r>
      <w:r>
        <w:rPr>
          <w:spacing w:val="-3"/>
          <w:sz w:val="24"/>
        </w:rPr>
        <w:t> </w:t>
      </w:r>
      <w:r>
        <w:rPr>
          <w:sz w:val="24"/>
        </w:rPr>
        <w:t>12</w:t>
      </w:r>
      <w:r>
        <w:rPr>
          <w:spacing w:val="-3"/>
          <w:sz w:val="24"/>
        </w:rPr>
        <w:t> </w:t>
      </w:r>
      <w:r>
        <w:rPr>
          <w:sz w:val="24"/>
        </w:rPr>
        <w:t>(copy</w:t>
      </w:r>
      <w:r>
        <w:rPr>
          <w:spacing w:val="-3"/>
          <w:sz w:val="24"/>
        </w:rPr>
        <w:t> </w:t>
      </w:r>
      <w:r>
        <w:rPr>
          <w:sz w:val="24"/>
        </w:rPr>
        <w:t>of</w:t>
      </w:r>
      <w:r>
        <w:rPr>
          <w:spacing w:val="-4"/>
          <w:sz w:val="24"/>
        </w:rPr>
        <w:t> </w:t>
      </w:r>
      <w:r>
        <w:rPr>
          <w:sz w:val="24"/>
        </w:rPr>
        <w:t>school</w:t>
      </w:r>
      <w:r>
        <w:rPr>
          <w:spacing w:val="-3"/>
          <w:sz w:val="24"/>
        </w:rPr>
        <w:t> </w:t>
      </w:r>
      <w:r>
        <w:rPr>
          <w:sz w:val="24"/>
        </w:rPr>
        <w:t>records forwarded in advance).</w:t>
      </w:r>
    </w:p>
    <w:p>
      <w:pPr>
        <w:pStyle w:val="ListParagraph"/>
        <w:numPr>
          <w:ilvl w:val="0"/>
          <w:numId w:val="365"/>
        </w:numPr>
        <w:tabs>
          <w:tab w:pos="786" w:val="left" w:leader="none"/>
        </w:tabs>
        <w:spacing w:line="208" w:lineRule="auto" w:before="240" w:after="0"/>
        <w:ind w:left="360" w:right="924" w:firstLine="0"/>
        <w:jc w:val="left"/>
        <w:rPr>
          <w:sz w:val="24"/>
        </w:rPr>
      </w:pPr>
      <w:r>
        <w:rPr>
          <w:sz w:val="24"/>
        </w:rPr>
        <w:t>Parkview School reserves the right to send students home when programmatic, behavioral</w:t>
      </w:r>
      <w:r>
        <w:rPr>
          <w:spacing w:val="-3"/>
          <w:sz w:val="24"/>
        </w:rPr>
        <w:t> </w:t>
      </w:r>
      <w:r>
        <w:rPr>
          <w:sz w:val="24"/>
        </w:rPr>
        <w:t>or</w:t>
      </w:r>
      <w:r>
        <w:rPr>
          <w:spacing w:val="-2"/>
          <w:sz w:val="24"/>
        </w:rPr>
        <w:t> </w:t>
      </w:r>
      <w:r>
        <w:rPr>
          <w:sz w:val="24"/>
        </w:rPr>
        <w:t>medical</w:t>
      </w:r>
      <w:r>
        <w:rPr>
          <w:spacing w:val="-3"/>
          <w:sz w:val="24"/>
        </w:rPr>
        <w:t> </w:t>
      </w:r>
      <w:r>
        <w:rPr>
          <w:sz w:val="24"/>
        </w:rPr>
        <w:t>needs</w:t>
      </w:r>
      <w:r>
        <w:rPr>
          <w:spacing w:val="-3"/>
          <w:sz w:val="24"/>
        </w:rPr>
        <w:t> </w:t>
      </w:r>
      <w:r>
        <w:rPr>
          <w:sz w:val="24"/>
        </w:rPr>
        <w:t>of</w:t>
      </w:r>
      <w:r>
        <w:rPr>
          <w:spacing w:val="-2"/>
          <w:sz w:val="24"/>
        </w:rPr>
        <w:t> </w:t>
      </w:r>
      <w:r>
        <w:rPr>
          <w:sz w:val="24"/>
        </w:rPr>
        <w:t>the</w:t>
      </w:r>
      <w:r>
        <w:rPr>
          <w:spacing w:val="-3"/>
          <w:sz w:val="24"/>
        </w:rPr>
        <w:t> </w:t>
      </w:r>
      <w:r>
        <w:rPr>
          <w:sz w:val="24"/>
        </w:rPr>
        <w:t>student</w:t>
      </w:r>
      <w:r>
        <w:rPr>
          <w:spacing w:val="-2"/>
          <w:sz w:val="24"/>
        </w:rPr>
        <w:t> </w:t>
      </w:r>
      <w:r>
        <w:rPr>
          <w:sz w:val="24"/>
        </w:rPr>
        <w:t>have</w:t>
      </w:r>
      <w:r>
        <w:rPr>
          <w:spacing w:val="-3"/>
          <w:sz w:val="24"/>
        </w:rPr>
        <w:t> </w:t>
      </w:r>
      <w:r>
        <w:rPr>
          <w:sz w:val="24"/>
        </w:rPr>
        <w:t>become</w:t>
      </w:r>
      <w:r>
        <w:rPr>
          <w:spacing w:val="-3"/>
          <w:sz w:val="24"/>
        </w:rPr>
        <w:t> </w:t>
      </w:r>
      <w:r>
        <w:rPr>
          <w:sz w:val="24"/>
        </w:rPr>
        <w:t>so</w:t>
      </w:r>
      <w:r>
        <w:rPr>
          <w:spacing w:val="-3"/>
          <w:sz w:val="24"/>
        </w:rPr>
        <w:t> </w:t>
      </w:r>
      <w:r>
        <w:rPr>
          <w:sz w:val="24"/>
        </w:rPr>
        <w:t>intense</w:t>
      </w:r>
      <w:r>
        <w:rPr>
          <w:spacing w:val="-3"/>
          <w:sz w:val="24"/>
        </w:rPr>
        <w:t> </w:t>
      </w:r>
      <w:r>
        <w:rPr>
          <w:sz w:val="24"/>
        </w:rPr>
        <w:t>that</w:t>
      </w:r>
      <w:r>
        <w:rPr>
          <w:spacing w:val="-4"/>
          <w:sz w:val="24"/>
        </w:rPr>
        <w:t> </w:t>
      </w:r>
      <w:r>
        <w:rPr>
          <w:sz w:val="24"/>
        </w:rPr>
        <w:t>the</w:t>
      </w:r>
      <w:r>
        <w:rPr>
          <w:spacing w:val="-3"/>
          <w:sz w:val="24"/>
        </w:rPr>
        <w:t> </w:t>
      </w:r>
      <w:r>
        <w:rPr>
          <w:sz w:val="24"/>
        </w:rPr>
        <w:t>student</w:t>
      </w:r>
      <w:r>
        <w:rPr>
          <w:spacing w:val="-2"/>
          <w:sz w:val="24"/>
        </w:rPr>
        <w:t> </w:t>
      </w:r>
      <w:r>
        <w:rPr>
          <w:sz w:val="24"/>
        </w:rPr>
        <w:t>is no longer benefitting from participation in the summer session.</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7-1-95</w:t>
      </w:r>
      <w:r>
        <w:rPr>
          <w:sz w:val="22"/>
        </w:rPr>
        <w:tab/>
        <w:t>PT Memo #95-2</w:t>
      </w:r>
    </w:p>
    <w:p>
      <w:pPr>
        <w:spacing w:before="1"/>
        <w:ind w:left="1439" w:right="775" w:firstLine="0"/>
        <w:jc w:val="left"/>
        <w:rPr>
          <w:sz w:val="22"/>
        </w:rPr>
      </w:pPr>
      <w:r>
        <w:rPr>
          <w:sz w:val="22"/>
        </w:rPr>
        <w:t>Permanent,</w:t>
      </w:r>
      <w:r>
        <w:rPr>
          <w:spacing w:val="-3"/>
          <w:sz w:val="22"/>
        </w:rPr>
        <w:t> </w:t>
      </w:r>
      <w:r>
        <w:rPr>
          <w:sz w:val="22"/>
        </w:rPr>
        <w:t>paragraphs</w:t>
      </w:r>
      <w:r>
        <w:rPr>
          <w:spacing w:val="-5"/>
          <w:sz w:val="22"/>
        </w:rPr>
        <w:t> </w:t>
      </w:r>
      <w:r>
        <w:rPr>
          <w:sz w:val="22"/>
        </w:rPr>
        <w:t>4</w:t>
      </w:r>
      <w:r>
        <w:rPr>
          <w:spacing w:val="-4"/>
          <w:sz w:val="22"/>
        </w:rPr>
        <w:t> </w:t>
      </w:r>
      <w:r>
        <w:rPr>
          <w:sz w:val="22"/>
        </w:rPr>
        <w:t>&amp;</w:t>
      </w:r>
      <w:r>
        <w:rPr>
          <w:spacing w:val="-4"/>
          <w:sz w:val="22"/>
        </w:rPr>
        <w:t> </w:t>
      </w:r>
      <w:r>
        <w:rPr>
          <w:sz w:val="22"/>
        </w:rPr>
        <w:t>5</w:t>
      </w:r>
      <w:r>
        <w:rPr>
          <w:spacing w:val="-4"/>
          <w:sz w:val="22"/>
        </w:rPr>
        <w:t> </w:t>
      </w:r>
      <w:r>
        <w:rPr>
          <w:sz w:val="22"/>
        </w:rPr>
        <w:t>removed</w:t>
      </w:r>
      <w:r>
        <w:rPr>
          <w:spacing w:val="-4"/>
          <w:sz w:val="22"/>
        </w:rPr>
        <w:t> </w:t>
      </w:r>
      <w:r>
        <w:rPr>
          <w:sz w:val="22"/>
        </w:rPr>
        <w:t>to</w:t>
      </w:r>
      <w:r>
        <w:rPr>
          <w:spacing w:val="-4"/>
          <w:sz w:val="22"/>
        </w:rPr>
        <w:t> </w:t>
      </w:r>
      <w:r>
        <w:rPr>
          <w:sz w:val="22"/>
        </w:rPr>
        <w:t>bring</w:t>
      </w:r>
      <w:r>
        <w:rPr>
          <w:spacing w:val="-4"/>
          <w:sz w:val="22"/>
        </w:rPr>
        <w:t> </w:t>
      </w:r>
      <w:r>
        <w:rPr>
          <w:sz w:val="22"/>
        </w:rPr>
        <w:t>admission</w:t>
      </w:r>
      <w:r>
        <w:rPr>
          <w:spacing w:val="-4"/>
          <w:sz w:val="22"/>
        </w:rPr>
        <w:t> </w:t>
      </w:r>
      <w:r>
        <w:rPr>
          <w:sz w:val="22"/>
        </w:rPr>
        <w:t>rules</w:t>
      </w:r>
      <w:r>
        <w:rPr>
          <w:spacing w:val="-4"/>
          <w:sz w:val="22"/>
        </w:rPr>
        <w:t> </w:t>
      </w:r>
      <w:r>
        <w:rPr>
          <w:sz w:val="22"/>
        </w:rPr>
        <w:t>into</w:t>
      </w:r>
      <w:r>
        <w:rPr>
          <w:spacing w:val="-4"/>
          <w:sz w:val="22"/>
        </w:rPr>
        <w:t> </w:t>
      </w:r>
      <w:r>
        <w:rPr>
          <w:sz w:val="22"/>
        </w:rPr>
        <w:t>compliance</w:t>
      </w:r>
      <w:r>
        <w:rPr>
          <w:spacing w:val="-4"/>
          <w:sz w:val="22"/>
        </w:rPr>
        <w:t> </w:t>
      </w:r>
      <w:r>
        <w:rPr>
          <w:sz w:val="22"/>
        </w:rPr>
        <w:t>with ADA and IDEA</w:t>
      </w:r>
    </w:p>
    <w:p>
      <w:pPr>
        <w:spacing w:after="0"/>
        <w:jc w:val="left"/>
        <w:rPr>
          <w:sz w:val="22"/>
        </w:rPr>
        <w:sectPr>
          <w:pgSz w:w="12240" w:h="15840"/>
          <w:pgMar w:top="1340" w:bottom="280" w:left="1080" w:right="720"/>
        </w:sectPr>
      </w:pPr>
    </w:p>
    <w:p>
      <w:pPr>
        <w:pStyle w:val="Heading2"/>
        <w:jc w:val="both"/>
      </w:pPr>
      <w:bookmarkStart w:name="612:20-5-7.  Admissions process" w:id="370"/>
      <w:bookmarkEnd w:id="370"/>
      <w:r>
        <w:rPr>
          <w:b w:val="0"/>
        </w:rPr>
      </w:r>
      <w:r>
        <w:rPr/>
        <w:t>612:20-5-7.</w:t>
      </w:r>
      <w:r>
        <w:rPr>
          <w:spacing w:val="58"/>
        </w:rPr>
        <w:t> </w:t>
      </w:r>
      <w:r>
        <w:rPr/>
        <w:t>Admissions</w:t>
      </w:r>
      <w:r>
        <w:rPr>
          <w:spacing w:val="-5"/>
        </w:rPr>
        <w:t> </w:t>
      </w:r>
      <w:r>
        <w:rPr>
          <w:spacing w:val="-2"/>
        </w:rPr>
        <w:t>process</w:t>
      </w:r>
    </w:p>
    <w:p>
      <w:pPr>
        <w:pStyle w:val="ListParagraph"/>
        <w:numPr>
          <w:ilvl w:val="0"/>
          <w:numId w:val="366"/>
        </w:numPr>
        <w:tabs>
          <w:tab w:pos="786" w:val="left" w:leader="none"/>
        </w:tabs>
        <w:spacing w:line="208" w:lineRule="auto" w:before="233" w:after="0"/>
        <w:ind w:left="360" w:right="754" w:firstLine="0"/>
        <w:jc w:val="left"/>
        <w:rPr>
          <w:sz w:val="24"/>
        </w:rPr>
      </w:pPr>
      <w:r>
        <w:rPr>
          <w:b/>
          <w:sz w:val="24"/>
        </w:rPr>
        <w:t>Referrals/Admission procedures.</w:t>
      </w:r>
      <w:r>
        <w:rPr>
          <w:b/>
          <w:spacing w:val="40"/>
          <w:sz w:val="24"/>
        </w:rPr>
        <w:t> </w:t>
      </w:r>
      <w:r>
        <w:rPr>
          <w:sz w:val="24"/>
        </w:rPr>
        <w:t>Any child between preschool and age 21, who is resident of Oklahoma, may be eligible to be admitted to Oklahoma School for the Blind/Parkview.</w:t>
      </w:r>
      <w:r>
        <w:rPr>
          <w:spacing w:val="40"/>
          <w:sz w:val="24"/>
        </w:rPr>
        <w:t> </w:t>
      </w:r>
      <w:r>
        <w:rPr>
          <w:sz w:val="24"/>
        </w:rPr>
        <w:t>The</w:t>
      </w:r>
      <w:r>
        <w:rPr>
          <w:spacing w:val="-4"/>
          <w:sz w:val="24"/>
        </w:rPr>
        <w:t> </w:t>
      </w:r>
      <w:r>
        <w:rPr>
          <w:sz w:val="24"/>
        </w:rPr>
        <w:t>minimum</w:t>
      </w:r>
      <w:r>
        <w:rPr>
          <w:spacing w:val="-3"/>
          <w:sz w:val="24"/>
        </w:rPr>
        <w:t> </w:t>
      </w:r>
      <w:r>
        <w:rPr>
          <w:sz w:val="24"/>
        </w:rPr>
        <w:t>criteria</w:t>
      </w:r>
      <w:r>
        <w:rPr>
          <w:spacing w:val="-4"/>
          <w:sz w:val="24"/>
        </w:rPr>
        <w:t> </w:t>
      </w:r>
      <w:r>
        <w:rPr>
          <w:sz w:val="24"/>
        </w:rPr>
        <w:t>for</w:t>
      </w:r>
      <w:r>
        <w:rPr>
          <w:spacing w:val="-3"/>
          <w:sz w:val="24"/>
        </w:rPr>
        <w:t> </w:t>
      </w:r>
      <w:r>
        <w:rPr>
          <w:sz w:val="24"/>
        </w:rPr>
        <w:t>admission</w:t>
      </w:r>
      <w:r>
        <w:rPr>
          <w:spacing w:val="-4"/>
          <w:sz w:val="24"/>
        </w:rPr>
        <w:t> </w:t>
      </w:r>
      <w:r>
        <w:rPr>
          <w:sz w:val="24"/>
        </w:rPr>
        <w:t>is</w:t>
      </w:r>
      <w:r>
        <w:rPr>
          <w:spacing w:val="-3"/>
          <w:sz w:val="24"/>
        </w:rPr>
        <w:t> </w:t>
      </w:r>
      <w:r>
        <w:rPr>
          <w:sz w:val="24"/>
        </w:rPr>
        <w:t>a</w:t>
      </w:r>
      <w:r>
        <w:rPr>
          <w:spacing w:val="-4"/>
          <w:sz w:val="24"/>
        </w:rPr>
        <w:t> </w:t>
      </w:r>
      <w:r>
        <w:rPr>
          <w:sz w:val="24"/>
        </w:rPr>
        <w:t>corrected</w:t>
      </w:r>
      <w:r>
        <w:rPr>
          <w:spacing w:val="-4"/>
          <w:sz w:val="24"/>
        </w:rPr>
        <w:t> </w:t>
      </w:r>
      <w:r>
        <w:rPr>
          <w:sz w:val="24"/>
        </w:rPr>
        <w:t>visual</w:t>
      </w:r>
      <w:r>
        <w:rPr>
          <w:spacing w:val="-4"/>
          <w:sz w:val="24"/>
        </w:rPr>
        <w:t> </w:t>
      </w:r>
      <w:r>
        <w:rPr>
          <w:sz w:val="24"/>
        </w:rPr>
        <w:t>acuity</w:t>
      </w:r>
      <w:r>
        <w:rPr>
          <w:spacing w:val="-4"/>
          <w:sz w:val="24"/>
        </w:rPr>
        <w:t> </w:t>
      </w:r>
      <w:r>
        <w:rPr>
          <w:sz w:val="24"/>
        </w:rPr>
        <w:t>of</w:t>
      </w:r>
      <w:r>
        <w:rPr>
          <w:spacing w:val="-3"/>
          <w:sz w:val="24"/>
        </w:rPr>
        <w:t> </w:t>
      </w:r>
      <w:r>
        <w:rPr>
          <w:sz w:val="24"/>
        </w:rPr>
        <w:t>20/70 or less in the better eye and/or field no greater than 20 degrees in the better eye or a visual impairment which even with the best correction adversely affects performance in a regular classroom.</w:t>
      </w:r>
      <w:r>
        <w:rPr>
          <w:spacing w:val="40"/>
          <w:sz w:val="24"/>
        </w:rPr>
        <w:t> </w:t>
      </w:r>
      <w:r>
        <w:rPr>
          <w:sz w:val="24"/>
        </w:rPr>
        <w:t>Visual impairment should be a major contributor to the student's inability to succeed in the public school.</w:t>
      </w:r>
      <w:r>
        <w:rPr>
          <w:spacing w:val="40"/>
          <w:sz w:val="24"/>
        </w:rPr>
        <w:t> </w:t>
      </w:r>
      <w:r>
        <w:rPr>
          <w:sz w:val="24"/>
        </w:rPr>
        <w:t>Referrals may be initiated by school districts, RESC's, educational cooperatives, parents, and/or third party agencies or individuals.</w:t>
      </w:r>
    </w:p>
    <w:p>
      <w:pPr>
        <w:pStyle w:val="ListParagraph"/>
        <w:numPr>
          <w:ilvl w:val="0"/>
          <w:numId w:val="366"/>
        </w:numPr>
        <w:tabs>
          <w:tab w:pos="785" w:val="left" w:leader="none"/>
        </w:tabs>
        <w:spacing w:line="208" w:lineRule="auto" w:before="239" w:after="0"/>
        <w:ind w:left="360" w:right="995" w:firstLine="0"/>
        <w:jc w:val="left"/>
        <w:rPr>
          <w:sz w:val="24"/>
        </w:rPr>
      </w:pPr>
      <w:r>
        <w:rPr>
          <w:b/>
          <w:sz w:val="24"/>
        </w:rPr>
        <w:t>Application. </w:t>
      </w:r>
      <w:r>
        <w:rPr>
          <w:sz w:val="24"/>
        </w:rPr>
        <w:t>Applications are sent to parents to be completed.</w:t>
      </w:r>
      <w:r>
        <w:rPr>
          <w:spacing w:val="40"/>
          <w:sz w:val="24"/>
        </w:rPr>
        <w:t> </w:t>
      </w:r>
      <w:r>
        <w:rPr>
          <w:sz w:val="24"/>
        </w:rPr>
        <w:t>Prior to consideration</w:t>
      </w:r>
      <w:r>
        <w:rPr>
          <w:spacing w:val="-4"/>
          <w:sz w:val="24"/>
        </w:rPr>
        <w:t> </w:t>
      </w:r>
      <w:r>
        <w:rPr>
          <w:sz w:val="24"/>
        </w:rPr>
        <w:t>for</w:t>
      </w:r>
      <w:r>
        <w:rPr>
          <w:spacing w:val="-3"/>
          <w:sz w:val="24"/>
        </w:rPr>
        <w:t> </w:t>
      </w:r>
      <w:r>
        <w:rPr>
          <w:sz w:val="24"/>
        </w:rPr>
        <w:t>admission,</w:t>
      </w:r>
      <w:r>
        <w:rPr>
          <w:spacing w:val="-3"/>
          <w:sz w:val="24"/>
        </w:rPr>
        <w:t> </w:t>
      </w:r>
      <w:r>
        <w:rPr>
          <w:sz w:val="24"/>
        </w:rPr>
        <w:t>the</w:t>
      </w:r>
      <w:r>
        <w:rPr>
          <w:spacing w:val="-4"/>
          <w:sz w:val="24"/>
        </w:rPr>
        <w:t> </w:t>
      </w:r>
      <w:r>
        <w:rPr>
          <w:sz w:val="24"/>
        </w:rPr>
        <w:t>records</w:t>
      </w:r>
      <w:r>
        <w:rPr>
          <w:spacing w:val="-4"/>
          <w:sz w:val="24"/>
        </w:rPr>
        <w:t> </w:t>
      </w:r>
      <w:r>
        <w:rPr>
          <w:sz w:val="24"/>
        </w:rPr>
        <w:t>in</w:t>
      </w:r>
      <w:r>
        <w:rPr>
          <w:spacing w:val="-4"/>
          <w:sz w:val="24"/>
        </w:rPr>
        <w:t> </w:t>
      </w:r>
      <w:r>
        <w:rPr>
          <w:sz w:val="24"/>
        </w:rPr>
        <w:t>(1)</w:t>
      </w:r>
      <w:r>
        <w:rPr>
          <w:spacing w:val="-3"/>
          <w:sz w:val="24"/>
        </w:rPr>
        <w:t> </w:t>
      </w:r>
      <w:r>
        <w:rPr>
          <w:sz w:val="24"/>
        </w:rPr>
        <w:t>-</w:t>
      </w:r>
      <w:r>
        <w:rPr>
          <w:spacing w:val="-5"/>
          <w:sz w:val="24"/>
        </w:rPr>
        <w:t> </w:t>
      </w:r>
      <w:r>
        <w:rPr>
          <w:sz w:val="24"/>
        </w:rPr>
        <w:t>(10)</w:t>
      </w:r>
      <w:r>
        <w:rPr>
          <w:spacing w:val="-3"/>
          <w:sz w:val="24"/>
        </w:rPr>
        <w:t> </w:t>
      </w:r>
      <w:r>
        <w:rPr>
          <w:sz w:val="24"/>
        </w:rPr>
        <w:t>of</w:t>
      </w:r>
      <w:r>
        <w:rPr>
          <w:spacing w:val="-6"/>
          <w:sz w:val="24"/>
        </w:rPr>
        <w:t> </w:t>
      </w:r>
      <w:r>
        <w:rPr>
          <w:sz w:val="24"/>
        </w:rPr>
        <w:t>this</w:t>
      </w:r>
      <w:r>
        <w:rPr>
          <w:spacing w:val="-4"/>
          <w:sz w:val="24"/>
        </w:rPr>
        <w:t> </w:t>
      </w:r>
      <w:r>
        <w:rPr>
          <w:sz w:val="24"/>
        </w:rPr>
        <w:t>Subsection</w:t>
      </w:r>
      <w:r>
        <w:rPr>
          <w:spacing w:val="-4"/>
          <w:sz w:val="24"/>
        </w:rPr>
        <w:t> </w:t>
      </w:r>
      <w:r>
        <w:rPr>
          <w:sz w:val="24"/>
        </w:rPr>
        <w:t>are</w:t>
      </w:r>
      <w:r>
        <w:rPr>
          <w:spacing w:val="-4"/>
          <w:sz w:val="24"/>
        </w:rPr>
        <w:t> </w:t>
      </w:r>
      <w:r>
        <w:rPr>
          <w:sz w:val="24"/>
        </w:rPr>
        <w:t>requested:</w:t>
      </w:r>
    </w:p>
    <w:p>
      <w:pPr>
        <w:pStyle w:val="ListParagraph"/>
        <w:numPr>
          <w:ilvl w:val="1"/>
          <w:numId w:val="366"/>
        </w:numPr>
        <w:tabs>
          <w:tab w:pos="1218" w:val="left" w:leader="none"/>
        </w:tabs>
        <w:spacing w:line="240" w:lineRule="auto" w:before="211" w:after="0"/>
        <w:ind w:left="1218" w:right="0" w:hanging="426"/>
        <w:jc w:val="left"/>
        <w:rPr>
          <w:sz w:val="24"/>
        </w:rPr>
      </w:pPr>
      <w:r>
        <w:rPr>
          <w:sz w:val="24"/>
        </w:rPr>
        <w:t>academic</w:t>
      </w:r>
      <w:r>
        <w:rPr>
          <w:spacing w:val="-6"/>
          <w:sz w:val="24"/>
        </w:rPr>
        <w:t> </w:t>
      </w:r>
      <w:r>
        <w:rPr>
          <w:spacing w:val="-2"/>
          <w:sz w:val="24"/>
        </w:rPr>
        <w:t>records/transcripts;</w:t>
      </w:r>
    </w:p>
    <w:p>
      <w:pPr>
        <w:pStyle w:val="ListParagraph"/>
        <w:numPr>
          <w:ilvl w:val="1"/>
          <w:numId w:val="366"/>
        </w:numPr>
        <w:tabs>
          <w:tab w:pos="1217" w:val="left" w:leader="none"/>
        </w:tabs>
        <w:spacing w:line="240" w:lineRule="auto" w:before="204" w:after="0"/>
        <w:ind w:left="1217" w:right="0" w:hanging="425"/>
        <w:jc w:val="left"/>
        <w:rPr>
          <w:sz w:val="24"/>
        </w:rPr>
      </w:pPr>
      <w:r>
        <w:rPr>
          <w:sz w:val="24"/>
        </w:rPr>
        <w:t>most</w:t>
      </w:r>
      <w:r>
        <w:rPr>
          <w:spacing w:val="-6"/>
          <w:sz w:val="24"/>
        </w:rPr>
        <w:t> </w:t>
      </w:r>
      <w:r>
        <w:rPr>
          <w:sz w:val="24"/>
        </w:rPr>
        <w:t>recent</w:t>
      </w:r>
      <w:r>
        <w:rPr>
          <w:spacing w:val="-1"/>
          <w:sz w:val="24"/>
        </w:rPr>
        <w:t> </w:t>
      </w:r>
      <w:r>
        <w:rPr>
          <w:spacing w:val="-4"/>
          <w:sz w:val="24"/>
        </w:rPr>
        <w:t>IEP;</w:t>
      </w:r>
    </w:p>
    <w:p>
      <w:pPr>
        <w:pStyle w:val="ListParagraph"/>
        <w:numPr>
          <w:ilvl w:val="1"/>
          <w:numId w:val="366"/>
        </w:numPr>
        <w:tabs>
          <w:tab w:pos="1217" w:val="left" w:leader="none"/>
        </w:tabs>
        <w:spacing w:line="240" w:lineRule="auto" w:before="204" w:after="0"/>
        <w:ind w:left="1217" w:right="0" w:hanging="425"/>
        <w:jc w:val="left"/>
        <w:rPr>
          <w:sz w:val="24"/>
        </w:rPr>
      </w:pPr>
      <w:r>
        <w:rPr>
          <w:sz w:val="24"/>
        </w:rPr>
        <w:t>medical</w:t>
      </w:r>
      <w:r>
        <w:rPr>
          <w:spacing w:val="-4"/>
          <w:sz w:val="24"/>
        </w:rPr>
        <w:t> </w:t>
      </w:r>
      <w:r>
        <w:rPr>
          <w:spacing w:val="-2"/>
          <w:sz w:val="24"/>
        </w:rPr>
        <w:t>records;</w:t>
      </w:r>
    </w:p>
    <w:p>
      <w:pPr>
        <w:pStyle w:val="ListParagraph"/>
        <w:numPr>
          <w:ilvl w:val="1"/>
          <w:numId w:val="366"/>
        </w:numPr>
        <w:tabs>
          <w:tab w:pos="1218" w:val="left" w:leader="none"/>
        </w:tabs>
        <w:spacing w:line="240" w:lineRule="auto" w:before="204" w:after="0"/>
        <w:ind w:left="1218" w:right="0" w:hanging="426"/>
        <w:jc w:val="left"/>
        <w:rPr>
          <w:sz w:val="24"/>
        </w:rPr>
      </w:pPr>
      <w:r>
        <w:rPr>
          <w:sz w:val="24"/>
        </w:rPr>
        <w:t>birth</w:t>
      </w:r>
      <w:r>
        <w:rPr>
          <w:spacing w:val="-3"/>
          <w:sz w:val="24"/>
        </w:rPr>
        <w:t> </w:t>
      </w:r>
      <w:r>
        <w:rPr>
          <w:spacing w:val="-2"/>
          <w:sz w:val="24"/>
        </w:rPr>
        <w:t>certificate;</w:t>
      </w:r>
    </w:p>
    <w:p>
      <w:pPr>
        <w:pStyle w:val="ListParagraph"/>
        <w:numPr>
          <w:ilvl w:val="1"/>
          <w:numId w:val="366"/>
        </w:numPr>
        <w:tabs>
          <w:tab w:pos="1218" w:val="left" w:leader="none"/>
        </w:tabs>
        <w:spacing w:line="240" w:lineRule="auto" w:before="204" w:after="0"/>
        <w:ind w:left="1218" w:right="0" w:hanging="426"/>
        <w:jc w:val="left"/>
        <w:rPr>
          <w:sz w:val="24"/>
        </w:rPr>
      </w:pPr>
      <w:r>
        <w:rPr>
          <w:sz w:val="24"/>
        </w:rPr>
        <w:t>immunization</w:t>
      </w:r>
      <w:r>
        <w:rPr>
          <w:spacing w:val="-8"/>
          <w:sz w:val="24"/>
        </w:rPr>
        <w:t> </w:t>
      </w:r>
      <w:r>
        <w:rPr>
          <w:spacing w:val="-2"/>
          <w:sz w:val="24"/>
        </w:rPr>
        <w:t>records;</w:t>
      </w:r>
    </w:p>
    <w:p>
      <w:pPr>
        <w:pStyle w:val="ListParagraph"/>
        <w:numPr>
          <w:ilvl w:val="1"/>
          <w:numId w:val="366"/>
        </w:numPr>
        <w:tabs>
          <w:tab w:pos="1218" w:val="left" w:leader="none"/>
        </w:tabs>
        <w:spacing w:line="240" w:lineRule="auto" w:before="204" w:after="0"/>
        <w:ind w:left="1218" w:right="0" w:hanging="426"/>
        <w:jc w:val="left"/>
        <w:rPr>
          <w:sz w:val="24"/>
        </w:rPr>
      </w:pPr>
      <w:r>
        <w:rPr>
          <w:sz w:val="24"/>
        </w:rPr>
        <w:t>ophthalmological</w:t>
      </w:r>
      <w:r>
        <w:rPr>
          <w:spacing w:val="-6"/>
          <w:sz w:val="24"/>
        </w:rPr>
        <w:t> </w:t>
      </w:r>
      <w:r>
        <w:rPr>
          <w:sz w:val="24"/>
        </w:rPr>
        <w:t>or</w:t>
      </w:r>
      <w:r>
        <w:rPr>
          <w:spacing w:val="-5"/>
          <w:sz w:val="24"/>
        </w:rPr>
        <w:t> </w:t>
      </w:r>
      <w:r>
        <w:rPr>
          <w:sz w:val="24"/>
        </w:rPr>
        <w:t>optometric</w:t>
      </w:r>
      <w:r>
        <w:rPr>
          <w:spacing w:val="-5"/>
          <w:sz w:val="24"/>
        </w:rPr>
        <w:t> </w:t>
      </w:r>
      <w:r>
        <w:rPr>
          <w:spacing w:val="-2"/>
          <w:sz w:val="24"/>
        </w:rPr>
        <w:t>information;</w:t>
      </w:r>
    </w:p>
    <w:p>
      <w:pPr>
        <w:pStyle w:val="ListParagraph"/>
        <w:numPr>
          <w:ilvl w:val="1"/>
          <w:numId w:val="366"/>
        </w:numPr>
        <w:tabs>
          <w:tab w:pos="1218" w:val="left" w:leader="none"/>
        </w:tabs>
        <w:spacing w:line="240" w:lineRule="auto" w:before="204" w:after="0"/>
        <w:ind w:left="1218" w:right="0" w:hanging="426"/>
        <w:jc w:val="left"/>
        <w:rPr>
          <w:sz w:val="24"/>
        </w:rPr>
      </w:pPr>
      <w:r>
        <w:rPr>
          <w:sz w:val="24"/>
        </w:rPr>
        <w:t>psychological</w:t>
      </w:r>
      <w:r>
        <w:rPr>
          <w:spacing w:val="-8"/>
          <w:sz w:val="24"/>
        </w:rPr>
        <w:t> </w:t>
      </w:r>
      <w:r>
        <w:rPr>
          <w:spacing w:val="-2"/>
          <w:sz w:val="24"/>
        </w:rPr>
        <w:t>report;</w:t>
      </w:r>
    </w:p>
    <w:p>
      <w:pPr>
        <w:pStyle w:val="ListParagraph"/>
        <w:numPr>
          <w:ilvl w:val="1"/>
          <w:numId w:val="366"/>
        </w:numPr>
        <w:tabs>
          <w:tab w:pos="1218" w:val="left" w:leader="none"/>
        </w:tabs>
        <w:spacing w:line="240" w:lineRule="auto" w:before="204" w:after="0"/>
        <w:ind w:left="1218" w:right="0" w:hanging="426"/>
        <w:jc w:val="left"/>
        <w:rPr>
          <w:sz w:val="24"/>
        </w:rPr>
      </w:pPr>
      <w:r>
        <w:rPr>
          <w:sz w:val="24"/>
        </w:rPr>
        <w:t>social/emotional</w:t>
      </w:r>
      <w:r>
        <w:rPr>
          <w:spacing w:val="-11"/>
          <w:sz w:val="24"/>
        </w:rPr>
        <w:t> </w:t>
      </w:r>
      <w:r>
        <w:rPr>
          <w:spacing w:val="-2"/>
          <w:sz w:val="24"/>
        </w:rPr>
        <w:t>information;</w:t>
      </w:r>
    </w:p>
    <w:p>
      <w:pPr>
        <w:pStyle w:val="ListParagraph"/>
        <w:numPr>
          <w:ilvl w:val="1"/>
          <w:numId w:val="366"/>
        </w:numPr>
        <w:tabs>
          <w:tab w:pos="1218" w:val="left" w:leader="none"/>
        </w:tabs>
        <w:spacing w:line="240" w:lineRule="auto" w:before="204" w:after="0"/>
        <w:ind w:left="1218" w:right="0" w:hanging="426"/>
        <w:jc w:val="left"/>
        <w:rPr>
          <w:sz w:val="24"/>
        </w:rPr>
      </w:pPr>
      <w:r>
        <w:rPr>
          <w:sz w:val="24"/>
        </w:rPr>
        <w:t>attendance</w:t>
      </w:r>
      <w:r>
        <w:rPr>
          <w:spacing w:val="-7"/>
          <w:sz w:val="24"/>
        </w:rPr>
        <w:t> </w:t>
      </w:r>
      <w:r>
        <w:rPr>
          <w:sz w:val="24"/>
        </w:rPr>
        <w:t>and</w:t>
      </w:r>
      <w:r>
        <w:rPr>
          <w:spacing w:val="-4"/>
          <w:sz w:val="24"/>
        </w:rPr>
        <w:t> </w:t>
      </w:r>
      <w:r>
        <w:rPr>
          <w:sz w:val="24"/>
        </w:rPr>
        <w:t>disciplinary</w:t>
      </w:r>
      <w:r>
        <w:rPr>
          <w:spacing w:val="-5"/>
          <w:sz w:val="24"/>
        </w:rPr>
        <w:t> </w:t>
      </w:r>
      <w:r>
        <w:rPr>
          <w:sz w:val="24"/>
        </w:rPr>
        <w:t>records;</w:t>
      </w:r>
      <w:r>
        <w:rPr>
          <w:spacing w:val="-3"/>
          <w:sz w:val="24"/>
        </w:rPr>
        <w:t> </w:t>
      </w:r>
      <w:r>
        <w:rPr>
          <w:spacing w:val="-5"/>
          <w:sz w:val="24"/>
        </w:rPr>
        <w:t>and</w:t>
      </w:r>
    </w:p>
    <w:p>
      <w:pPr>
        <w:pStyle w:val="ListParagraph"/>
        <w:numPr>
          <w:ilvl w:val="1"/>
          <w:numId w:val="366"/>
        </w:numPr>
        <w:tabs>
          <w:tab w:pos="1351" w:val="left" w:leader="none"/>
        </w:tabs>
        <w:spacing w:line="240" w:lineRule="auto" w:before="204" w:after="0"/>
        <w:ind w:left="1351" w:right="0" w:hanging="559"/>
        <w:jc w:val="left"/>
        <w:rPr>
          <w:sz w:val="24"/>
        </w:rPr>
      </w:pPr>
      <w:r>
        <w:rPr>
          <w:sz w:val="24"/>
        </w:rPr>
        <w:t>any</w:t>
      </w:r>
      <w:r>
        <w:rPr>
          <w:spacing w:val="-3"/>
          <w:sz w:val="24"/>
        </w:rPr>
        <w:t> </w:t>
      </w:r>
      <w:r>
        <w:rPr>
          <w:sz w:val="24"/>
        </w:rPr>
        <w:t>other</w:t>
      </w:r>
      <w:r>
        <w:rPr>
          <w:spacing w:val="-3"/>
          <w:sz w:val="24"/>
        </w:rPr>
        <w:t> </w:t>
      </w:r>
      <w:r>
        <w:rPr>
          <w:sz w:val="24"/>
        </w:rPr>
        <w:t>information</w:t>
      </w:r>
      <w:r>
        <w:rPr>
          <w:spacing w:val="-2"/>
          <w:sz w:val="24"/>
        </w:rPr>
        <w:t> </w:t>
      </w:r>
      <w:r>
        <w:rPr>
          <w:sz w:val="24"/>
        </w:rPr>
        <w:t>that</w:t>
      </w:r>
      <w:r>
        <w:rPr>
          <w:spacing w:val="-3"/>
          <w:sz w:val="24"/>
        </w:rPr>
        <w:t> </w:t>
      </w:r>
      <w:r>
        <w:rPr>
          <w:sz w:val="24"/>
        </w:rPr>
        <w:t>may</w:t>
      </w:r>
      <w:r>
        <w:rPr>
          <w:spacing w:val="-3"/>
          <w:sz w:val="24"/>
        </w:rPr>
        <w:t> </w:t>
      </w:r>
      <w:r>
        <w:rPr>
          <w:sz w:val="24"/>
        </w:rPr>
        <w:t>be</w:t>
      </w:r>
      <w:r>
        <w:rPr>
          <w:spacing w:val="-2"/>
          <w:sz w:val="24"/>
        </w:rPr>
        <w:t> pertinent.</w:t>
      </w:r>
    </w:p>
    <w:p>
      <w:pPr>
        <w:pStyle w:val="ListParagraph"/>
        <w:numPr>
          <w:ilvl w:val="0"/>
          <w:numId w:val="366"/>
        </w:numPr>
        <w:tabs>
          <w:tab w:pos="773" w:val="left" w:leader="none"/>
        </w:tabs>
        <w:spacing w:line="208" w:lineRule="auto" w:before="233" w:after="0"/>
        <w:ind w:left="360" w:right="752" w:firstLine="0"/>
        <w:jc w:val="left"/>
        <w:rPr>
          <w:sz w:val="24"/>
        </w:rPr>
      </w:pPr>
      <w:r>
        <w:rPr>
          <w:b/>
          <w:sz w:val="24"/>
        </w:rPr>
        <w:t>Review of records/evaluation. </w:t>
      </w:r>
      <w:r>
        <w:rPr>
          <w:sz w:val="24"/>
        </w:rPr>
        <w:t>Upon receipt of a referral, all student admissions will be determined by a staffing with an OSB multidisciplinary team.</w:t>
      </w:r>
      <w:r>
        <w:rPr>
          <w:spacing w:val="40"/>
          <w:sz w:val="24"/>
        </w:rPr>
        <w:t> </w:t>
      </w:r>
      <w:r>
        <w:rPr>
          <w:sz w:val="24"/>
        </w:rPr>
        <w:t>OSB staff will evaluate</w:t>
      </w:r>
      <w:r>
        <w:rPr>
          <w:spacing w:val="-4"/>
          <w:sz w:val="24"/>
        </w:rPr>
        <w:t> </w:t>
      </w:r>
      <w:r>
        <w:rPr>
          <w:sz w:val="24"/>
        </w:rPr>
        <w:t>each</w:t>
      </w:r>
      <w:r>
        <w:rPr>
          <w:spacing w:val="-4"/>
          <w:sz w:val="24"/>
        </w:rPr>
        <w:t> </w:t>
      </w:r>
      <w:r>
        <w:rPr>
          <w:sz w:val="24"/>
        </w:rPr>
        <w:t>child</w:t>
      </w:r>
      <w:r>
        <w:rPr>
          <w:spacing w:val="-4"/>
          <w:sz w:val="24"/>
        </w:rPr>
        <w:t> </w:t>
      </w:r>
      <w:r>
        <w:rPr>
          <w:sz w:val="24"/>
        </w:rPr>
        <w:t>to</w:t>
      </w:r>
      <w:r>
        <w:rPr>
          <w:spacing w:val="-3"/>
          <w:sz w:val="24"/>
        </w:rPr>
        <w:t> </w:t>
      </w:r>
      <w:r>
        <w:rPr>
          <w:sz w:val="24"/>
        </w:rPr>
        <w:t>determine</w:t>
      </w:r>
      <w:r>
        <w:rPr>
          <w:spacing w:val="-5"/>
          <w:sz w:val="24"/>
        </w:rPr>
        <w:t> </w:t>
      </w:r>
      <w:r>
        <w:rPr>
          <w:sz w:val="24"/>
        </w:rPr>
        <w:t>eligibility</w:t>
      </w:r>
      <w:r>
        <w:rPr>
          <w:spacing w:val="-4"/>
          <w:sz w:val="24"/>
        </w:rPr>
        <w:t> </w:t>
      </w:r>
      <w:r>
        <w:rPr>
          <w:sz w:val="24"/>
        </w:rPr>
        <w:t>status</w:t>
      </w:r>
      <w:r>
        <w:rPr>
          <w:spacing w:val="-4"/>
          <w:sz w:val="24"/>
        </w:rPr>
        <w:t> </w:t>
      </w:r>
      <w:r>
        <w:rPr>
          <w:sz w:val="24"/>
        </w:rPr>
        <w:t>and</w:t>
      </w:r>
      <w:r>
        <w:rPr>
          <w:spacing w:val="-4"/>
          <w:sz w:val="24"/>
        </w:rPr>
        <w:t> </w:t>
      </w:r>
      <w:r>
        <w:rPr>
          <w:sz w:val="24"/>
        </w:rPr>
        <w:t>decide</w:t>
      </w:r>
      <w:r>
        <w:rPr>
          <w:spacing w:val="-4"/>
          <w:sz w:val="24"/>
        </w:rPr>
        <w:t> </w:t>
      </w:r>
      <w:r>
        <w:rPr>
          <w:sz w:val="24"/>
        </w:rPr>
        <w:t>whether</w:t>
      </w:r>
      <w:r>
        <w:rPr>
          <w:spacing w:val="-3"/>
          <w:sz w:val="24"/>
        </w:rPr>
        <w:t> </w:t>
      </w:r>
      <w:r>
        <w:rPr>
          <w:sz w:val="24"/>
        </w:rPr>
        <w:t>he/she</w:t>
      </w:r>
      <w:r>
        <w:rPr>
          <w:spacing w:val="-4"/>
          <w:sz w:val="24"/>
        </w:rPr>
        <w:t> </w:t>
      </w:r>
      <w:r>
        <w:rPr>
          <w:sz w:val="24"/>
        </w:rPr>
        <w:t>can</w:t>
      </w:r>
      <w:r>
        <w:rPr>
          <w:spacing w:val="-4"/>
          <w:sz w:val="24"/>
        </w:rPr>
        <w:t> </w:t>
      </w:r>
      <w:r>
        <w:rPr>
          <w:sz w:val="24"/>
        </w:rPr>
        <w:t>benefit from attending OSB.</w:t>
      </w:r>
      <w:r>
        <w:rPr>
          <w:spacing w:val="40"/>
          <w:sz w:val="24"/>
        </w:rPr>
        <w:t> </w:t>
      </w:r>
      <w:r>
        <w:rPr>
          <w:sz w:val="24"/>
        </w:rPr>
        <w:t>The team may request that the child come to campus to be evaluated for either a 2-day or a 9-day evaluation to determine eligibility.</w:t>
      </w:r>
    </w:p>
    <w:p>
      <w:pPr>
        <w:pStyle w:val="ListParagraph"/>
        <w:numPr>
          <w:ilvl w:val="0"/>
          <w:numId w:val="366"/>
        </w:numPr>
        <w:tabs>
          <w:tab w:pos="786" w:val="left" w:leader="none"/>
        </w:tabs>
        <w:spacing w:line="208" w:lineRule="auto" w:before="240" w:after="0"/>
        <w:ind w:left="360" w:right="752" w:firstLine="0"/>
        <w:jc w:val="left"/>
        <w:rPr>
          <w:sz w:val="24"/>
        </w:rPr>
      </w:pPr>
      <w:r>
        <w:rPr>
          <w:b/>
          <w:sz w:val="24"/>
        </w:rPr>
        <w:t>Placement</w:t>
      </w:r>
      <w:r>
        <w:rPr>
          <w:b/>
          <w:spacing w:val="-3"/>
          <w:sz w:val="24"/>
        </w:rPr>
        <w:t> </w:t>
      </w:r>
      <w:r>
        <w:rPr>
          <w:b/>
          <w:sz w:val="24"/>
        </w:rPr>
        <w:t>evaluation.</w:t>
      </w:r>
      <w:r>
        <w:rPr>
          <w:b/>
          <w:spacing w:val="40"/>
          <w:sz w:val="24"/>
        </w:rPr>
        <w:t> </w:t>
      </w:r>
      <w:r>
        <w:rPr>
          <w:sz w:val="24"/>
        </w:rPr>
        <w:t>All</w:t>
      </w:r>
      <w:r>
        <w:rPr>
          <w:spacing w:val="-4"/>
          <w:sz w:val="24"/>
        </w:rPr>
        <w:t> </w:t>
      </w:r>
      <w:r>
        <w:rPr>
          <w:sz w:val="24"/>
        </w:rPr>
        <w:t>student</w:t>
      </w:r>
      <w:r>
        <w:rPr>
          <w:spacing w:val="-3"/>
          <w:sz w:val="24"/>
        </w:rPr>
        <w:t> </w:t>
      </w:r>
      <w:r>
        <w:rPr>
          <w:sz w:val="24"/>
        </w:rPr>
        <w:t>admissions</w:t>
      </w:r>
      <w:r>
        <w:rPr>
          <w:spacing w:val="-4"/>
          <w:sz w:val="24"/>
        </w:rPr>
        <w:t> </w:t>
      </w:r>
      <w:r>
        <w:rPr>
          <w:sz w:val="24"/>
        </w:rPr>
        <w:t>will</w:t>
      </w:r>
      <w:r>
        <w:rPr>
          <w:spacing w:val="-4"/>
          <w:sz w:val="24"/>
        </w:rPr>
        <w:t> </w:t>
      </w:r>
      <w:r>
        <w:rPr>
          <w:sz w:val="24"/>
        </w:rPr>
        <w:t>begin</w:t>
      </w:r>
      <w:r>
        <w:rPr>
          <w:spacing w:val="-4"/>
          <w:sz w:val="24"/>
        </w:rPr>
        <w:t> </w:t>
      </w:r>
      <w:r>
        <w:rPr>
          <w:sz w:val="24"/>
        </w:rPr>
        <w:t>with</w:t>
      </w:r>
      <w:r>
        <w:rPr>
          <w:spacing w:val="-4"/>
          <w:sz w:val="24"/>
        </w:rPr>
        <w:t> </w:t>
      </w:r>
      <w:r>
        <w:rPr>
          <w:sz w:val="24"/>
        </w:rPr>
        <w:t>a</w:t>
      </w:r>
      <w:r>
        <w:rPr>
          <w:spacing w:val="-4"/>
          <w:sz w:val="24"/>
        </w:rPr>
        <w:t> </w:t>
      </w:r>
      <w:r>
        <w:rPr>
          <w:sz w:val="24"/>
        </w:rPr>
        <w:t>30-day</w:t>
      </w:r>
      <w:r>
        <w:rPr>
          <w:spacing w:val="-4"/>
          <w:sz w:val="24"/>
        </w:rPr>
        <w:t> </w:t>
      </w:r>
      <w:r>
        <w:rPr>
          <w:sz w:val="24"/>
        </w:rPr>
        <w:t>observation evaluation period. OSB staff will evaluate each child and decide whether he/she can benefit from OSB services. Parents should feel free to visit with their child during this</w:t>
      </w:r>
    </w:p>
    <w:p>
      <w:pPr>
        <w:pStyle w:val="BodyText"/>
        <w:spacing w:line="208" w:lineRule="auto" w:before="0"/>
        <w:ind w:left="359" w:right="754"/>
        <w:jc w:val="both"/>
      </w:pPr>
      <w:r>
        <w:rPr/>
        <w:t>30-day</w:t>
      </w:r>
      <w:r>
        <w:rPr>
          <w:spacing w:val="-2"/>
        </w:rPr>
        <w:t> </w:t>
      </w:r>
      <w:r>
        <w:rPr/>
        <w:t>period</w:t>
      </w:r>
      <w:r>
        <w:rPr>
          <w:spacing w:val="-2"/>
        </w:rPr>
        <w:t> </w:t>
      </w:r>
      <w:r>
        <w:rPr/>
        <w:t>and</w:t>
      </w:r>
      <w:r>
        <w:rPr>
          <w:spacing w:val="-2"/>
        </w:rPr>
        <w:t> </w:t>
      </w:r>
      <w:r>
        <w:rPr/>
        <w:t>may,</w:t>
      </w:r>
      <w:r>
        <w:rPr>
          <w:spacing w:val="-1"/>
        </w:rPr>
        <w:t> </w:t>
      </w:r>
      <w:r>
        <w:rPr/>
        <w:t>if</w:t>
      </w:r>
      <w:r>
        <w:rPr>
          <w:spacing w:val="-3"/>
        </w:rPr>
        <w:t> </w:t>
      </w:r>
      <w:r>
        <w:rPr/>
        <w:t>they</w:t>
      </w:r>
      <w:r>
        <w:rPr>
          <w:spacing w:val="-2"/>
        </w:rPr>
        <w:t> </w:t>
      </w:r>
      <w:r>
        <w:rPr/>
        <w:t>choose,</w:t>
      </w:r>
      <w:r>
        <w:rPr>
          <w:spacing w:val="-1"/>
        </w:rPr>
        <w:t> </w:t>
      </w:r>
      <w:r>
        <w:rPr/>
        <w:t>remove</w:t>
      </w:r>
      <w:r>
        <w:rPr>
          <w:spacing w:val="-2"/>
        </w:rPr>
        <w:t> </w:t>
      </w:r>
      <w:r>
        <w:rPr/>
        <w:t>their</w:t>
      </w:r>
      <w:r>
        <w:rPr>
          <w:spacing w:val="-1"/>
        </w:rPr>
        <w:t> </w:t>
      </w:r>
      <w:r>
        <w:rPr/>
        <w:t>child</w:t>
      </w:r>
      <w:r>
        <w:rPr>
          <w:spacing w:val="-2"/>
        </w:rPr>
        <w:t> </w:t>
      </w:r>
      <w:r>
        <w:rPr/>
        <w:t>from</w:t>
      </w:r>
      <w:r>
        <w:rPr>
          <w:spacing w:val="-3"/>
        </w:rPr>
        <w:t> </w:t>
      </w:r>
      <w:r>
        <w:rPr/>
        <w:t>the</w:t>
      </w:r>
      <w:r>
        <w:rPr>
          <w:spacing w:val="-3"/>
        </w:rPr>
        <w:t> </w:t>
      </w:r>
      <w:r>
        <w:rPr/>
        <w:t>program</w:t>
      </w:r>
      <w:r>
        <w:rPr>
          <w:spacing w:val="-1"/>
        </w:rPr>
        <w:t> </w:t>
      </w:r>
      <w:r>
        <w:rPr/>
        <w:t>at</w:t>
      </w:r>
      <w:r>
        <w:rPr>
          <w:spacing w:val="-3"/>
        </w:rPr>
        <w:t> </w:t>
      </w:r>
      <w:r>
        <w:rPr/>
        <w:t>any</w:t>
      </w:r>
      <w:r>
        <w:rPr>
          <w:spacing w:val="-2"/>
        </w:rPr>
        <w:t> </w:t>
      </w:r>
      <w:r>
        <w:rPr/>
        <w:t>time. If</w:t>
      </w:r>
      <w:r>
        <w:rPr>
          <w:spacing w:val="-2"/>
        </w:rPr>
        <w:t> </w:t>
      </w:r>
      <w:r>
        <w:rPr/>
        <w:t>additional</w:t>
      </w:r>
      <w:r>
        <w:rPr>
          <w:spacing w:val="-2"/>
        </w:rPr>
        <w:t> </w:t>
      </w:r>
      <w:r>
        <w:rPr/>
        <w:t>time</w:t>
      </w:r>
      <w:r>
        <w:rPr>
          <w:spacing w:val="-3"/>
        </w:rPr>
        <w:t> </w:t>
      </w:r>
      <w:r>
        <w:rPr/>
        <w:t>appears</w:t>
      </w:r>
      <w:r>
        <w:rPr>
          <w:spacing w:val="-3"/>
        </w:rPr>
        <w:t> </w:t>
      </w:r>
      <w:r>
        <w:rPr/>
        <w:t>to</w:t>
      </w:r>
      <w:r>
        <w:rPr>
          <w:spacing w:val="-3"/>
        </w:rPr>
        <w:t> </w:t>
      </w:r>
      <w:r>
        <w:rPr/>
        <w:t>be</w:t>
      </w:r>
      <w:r>
        <w:rPr>
          <w:spacing w:val="-3"/>
        </w:rPr>
        <w:t> </w:t>
      </w:r>
      <w:r>
        <w:rPr/>
        <w:t>needed</w:t>
      </w:r>
      <w:r>
        <w:rPr>
          <w:spacing w:val="-3"/>
        </w:rPr>
        <w:t> </w:t>
      </w:r>
      <w:r>
        <w:rPr/>
        <w:t>for</w:t>
      </w:r>
      <w:r>
        <w:rPr>
          <w:spacing w:val="-2"/>
        </w:rPr>
        <w:t> </w:t>
      </w:r>
      <w:r>
        <w:rPr/>
        <w:t>evaluation</w:t>
      </w:r>
      <w:r>
        <w:rPr>
          <w:spacing w:val="-3"/>
        </w:rPr>
        <w:t> </w:t>
      </w:r>
      <w:r>
        <w:rPr/>
        <w:t>purposes,</w:t>
      </w:r>
      <w:r>
        <w:rPr>
          <w:spacing w:val="-2"/>
        </w:rPr>
        <w:t> </w:t>
      </w:r>
      <w:r>
        <w:rPr/>
        <w:t>a</w:t>
      </w:r>
      <w:r>
        <w:rPr>
          <w:spacing w:val="-4"/>
        </w:rPr>
        <w:t> </w:t>
      </w:r>
      <w:r>
        <w:rPr/>
        <w:t>short-term</w:t>
      </w:r>
      <w:r>
        <w:rPr>
          <w:spacing w:val="-4"/>
        </w:rPr>
        <w:t> </w:t>
      </w:r>
      <w:r>
        <w:rPr/>
        <w:t>IEP</w:t>
      </w:r>
      <w:r>
        <w:rPr>
          <w:spacing w:val="-3"/>
        </w:rPr>
        <w:t> </w:t>
      </w:r>
      <w:r>
        <w:rPr/>
        <w:t>will</w:t>
      </w:r>
      <w:r>
        <w:rPr>
          <w:spacing w:val="-3"/>
        </w:rPr>
        <w:t> </w:t>
      </w:r>
      <w:r>
        <w:rPr/>
        <w:t>be written at the end of the 30-day evaluation period to extend this time.</w:t>
      </w:r>
    </w:p>
    <w:p>
      <w:pPr>
        <w:pStyle w:val="ListParagraph"/>
        <w:numPr>
          <w:ilvl w:val="0"/>
          <w:numId w:val="366"/>
        </w:numPr>
        <w:tabs>
          <w:tab w:pos="785" w:val="left" w:leader="none"/>
        </w:tabs>
        <w:spacing w:line="208" w:lineRule="auto" w:before="239" w:after="0"/>
        <w:ind w:left="359" w:right="994" w:firstLine="0"/>
        <w:jc w:val="left"/>
        <w:rPr>
          <w:sz w:val="24"/>
        </w:rPr>
      </w:pPr>
      <w:r>
        <w:rPr>
          <w:b/>
          <w:sz w:val="24"/>
        </w:rPr>
        <w:t>Parent</w:t>
      </w:r>
      <w:r>
        <w:rPr>
          <w:b/>
          <w:spacing w:val="-4"/>
          <w:sz w:val="24"/>
        </w:rPr>
        <w:t> </w:t>
      </w:r>
      <w:r>
        <w:rPr>
          <w:b/>
          <w:sz w:val="24"/>
        </w:rPr>
        <w:t>conference.</w:t>
      </w:r>
      <w:r>
        <w:rPr>
          <w:b/>
          <w:spacing w:val="-3"/>
          <w:sz w:val="24"/>
        </w:rPr>
        <w:t> </w:t>
      </w:r>
      <w:r>
        <w:rPr>
          <w:sz w:val="24"/>
        </w:rPr>
        <w:t>Following</w:t>
      </w:r>
      <w:r>
        <w:rPr>
          <w:spacing w:val="-3"/>
          <w:sz w:val="24"/>
        </w:rPr>
        <w:t> </w:t>
      </w:r>
      <w:r>
        <w:rPr>
          <w:sz w:val="24"/>
        </w:rPr>
        <w:t>the</w:t>
      </w:r>
      <w:r>
        <w:rPr>
          <w:spacing w:val="-4"/>
          <w:sz w:val="24"/>
        </w:rPr>
        <w:t> </w:t>
      </w:r>
      <w:r>
        <w:rPr>
          <w:sz w:val="24"/>
        </w:rPr>
        <w:t>staff</w:t>
      </w:r>
      <w:r>
        <w:rPr>
          <w:spacing w:val="-4"/>
          <w:sz w:val="24"/>
        </w:rPr>
        <w:t> </w:t>
      </w:r>
      <w:r>
        <w:rPr>
          <w:sz w:val="24"/>
        </w:rPr>
        <w:t>meeting,</w:t>
      </w:r>
      <w:r>
        <w:rPr>
          <w:spacing w:val="-3"/>
          <w:sz w:val="24"/>
        </w:rPr>
        <w:t> </w:t>
      </w:r>
      <w:r>
        <w:rPr>
          <w:sz w:val="24"/>
        </w:rPr>
        <w:t>the</w:t>
      </w:r>
      <w:r>
        <w:rPr>
          <w:spacing w:val="-3"/>
          <w:sz w:val="24"/>
        </w:rPr>
        <w:t> </w:t>
      </w:r>
      <w:r>
        <w:rPr>
          <w:sz w:val="24"/>
        </w:rPr>
        <w:t>parents</w:t>
      </w:r>
      <w:r>
        <w:rPr>
          <w:spacing w:val="-4"/>
          <w:sz w:val="24"/>
        </w:rPr>
        <w:t> </w:t>
      </w:r>
      <w:r>
        <w:rPr>
          <w:sz w:val="24"/>
        </w:rPr>
        <w:t>will</w:t>
      </w:r>
      <w:r>
        <w:rPr>
          <w:spacing w:val="-3"/>
          <w:sz w:val="24"/>
        </w:rPr>
        <w:t> </w:t>
      </w:r>
      <w:r>
        <w:rPr>
          <w:sz w:val="24"/>
        </w:rPr>
        <w:t>be</w:t>
      </w:r>
      <w:r>
        <w:rPr>
          <w:spacing w:val="-3"/>
          <w:sz w:val="24"/>
        </w:rPr>
        <w:t> </w:t>
      </w:r>
      <w:r>
        <w:rPr>
          <w:sz w:val="24"/>
        </w:rPr>
        <w:t>notified</w:t>
      </w:r>
      <w:r>
        <w:rPr>
          <w:spacing w:val="-4"/>
          <w:sz w:val="24"/>
        </w:rPr>
        <w:t> </w:t>
      </w:r>
      <w:r>
        <w:rPr>
          <w:sz w:val="24"/>
        </w:rPr>
        <w:t>of</w:t>
      </w:r>
      <w:r>
        <w:rPr>
          <w:spacing w:val="-3"/>
          <w:sz w:val="24"/>
        </w:rPr>
        <w:t> </w:t>
      </w:r>
      <w:r>
        <w:rPr>
          <w:sz w:val="24"/>
        </w:rPr>
        <w:t>the team's</w:t>
      </w:r>
      <w:r>
        <w:rPr>
          <w:spacing w:val="-2"/>
          <w:sz w:val="24"/>
        </w:rPr>
        <w:t> </w:t>
      </w:r>
      <w:r>
        <w:rPr>
          <w:sz w:val="24"/>
        </w:rPr>
        <w:t>decision</w:t>
      </w:r>
      <w:r>
        <w:rPr>
          <w:spacing w:val="-2"/>
          <w:sz w:val="24"/>
        </w:rPr>
        <w:t> </w:t>
      </w:r>
      <w:r>
        <w:rPr>
          <w:sz w:val="24"/>
        </w:rPr>
        <w:t>and</w:t>
      </w:r>
      <w:r>
        <w:rPr>
          <w:spacing w:val="-2"/>
          <w:sz w:val="24"/>
        </w:rPr>
        <w:t> </w:t>
      </w:r>
      <w:r>
        <w:rPr>
          <w:sz w:val="24"/>
        </w:rPr>
        <w:t>recommendations.</w:t>
      </w:r>
      <w:r>
        <w:rPr>
          <w:spacing w:val="40"/>
          <w:sz w:val="24"/>
        </w:rPr>
        <w:t> </w:t>
      </w:r>
      <w:r>
        <w:rPr>
          <w:sz w:val="24"/>
        </w:rPr>
        <w:t>If</w:t>
      </w:r>
      <w:r>
        <w:rPr>
          <w:spacing w:val="-1"/>
          <w:sz w:val="24"/>
        </w:rPr>
        <w:t> </w:t>
      </w:r>
      <w:r>
        <w:rPr>
          <w:sz w:val="24"/>
        </w:rPr>
        <w:t>a</w:t>
      </w:r>
      <w:r>
        <w:rPr>
          <w:spacing w:val="-2"/>
          <w:sz w:val="24"/>
        </w:rPr>
        <w:t> </w:t>
      </w:r>
      <w:r>
        <w:rPr>
          <w:sz w:val="24"/>
        </w:rPr>
        <w:t>student</w:t>
      </w:r>
      <w:r>
        <w:rPr>
          <w:spacing w:val="-1"/>
          <w:sz w:val="24"/>
        </w:rPr>
        <w:t> </w:t>
      </w:r>
      <w:r>
        <w:rPr>
          <w:sz w:val="24"/>
        </w:rPr>
        <w:t>is</w:t>
      </w:r>
      <w:r>
        <w:rPr>
          <w:spacing w:val="-2"/>
          <w:sz w:val="24"/>
        </w:rPr>
        <w:t> </w:t>
      </w:r>
      <w:r>
        <w:rPr>
          <w:sz w:val="24"/>
        </w:rPr>
        <w:t>found</w:t>
      </w:r>
      <w:r>
        <w:rPr>
          <w:spacing w:val="-2"/>
          <w:sz w:val="24"/>
        </w:rPr>
        <w:t> </w:t>
      </w:r>
      <w:r>
        <w:rPr>
          <w:sz w:val="24"/>
        </w:rPr>
        <w:t>eligible</w:t>
      </w:r>
      <w:r>
        <w:rPr>
          <w:spacing w:val="-1"/>
          <w:sz w:val="24"/>
        </w:rPr>
        <w:t> </w:t>
      </w:r>
      <w:r>
        <w:rPr>
          <w:sz w:val="24"/>
        </w:rPr>
        <w:t>for</w:t>
      </w:r>
      <w:r>
        <w:rPr>
          <w:spacing w:val="-3"/>
          <w:sz w:val="24"/>
        </w:rPr>
        <w:t> </w:t>
      </w:r>
      <w:r>
        <w:rPr>
          <w:sz w:val="24"/>
        </w:rPr>
        <w:t>OSB</w:t>
      </w:r>
      <w:r>
        <w:rPr>
          <w:spacing w:val="-2"/>
          <w:sz w:val="24"/>
        </w:rPr>
        <w:t> </w:t>
      </w:r>
      <w:r>
        <w:rPr>
          <w:sz w:val="24"/>
        </w:rPr>
        <w:t>services following the least restrictive guidelines, this information is referred to the local education agency for their determination of the student's placement.</w:t>
      </w:r>
    </w:p>
    <w:p>
      <w:pPr>
        <w:pStyle w:val="ListParagraph"/>
        <w:numPr>
          <w:ilvl w:val="0"/>
          <w:numId w:val="366"/>
        </w:numPr>
        <w:tabs>
          <w:tab w:pos="718" w:val="left" w:leader="none"/>
        </w:tabs>
        <w:spacing w:line="208" w:lineRule="auto" w:before="240" w:after="0"/>
        <w:ind w:left="359" w:right="1183" w:firstLine="0"/>
        <w:jc w:val="left"/>
        <w:rPr>
          <w:sz w:val="24"/>
        </w:rPr>
      </w:pPr>
      <w:r>
        <w:rPr>
          <w:b/>
          <w:sz w:val="24"/>
        </w:rPr>
        <w:t>Readmission.</w:t>
      </w:r>
      <w:r>
        <w:rPr>
          <w:b/>
          <w:spacing w:val="-4"/>
          <w:sz w:val="24"/>
        </w:rPr>
        <w:t> </w:t>
      </w:r>
      <w:r>
        <w:rPr>
          <w:sz w:val="24"/>
        </w:rPr>
        <w:t>Persons</w:t>
      </w:r>
      <w:r>
        <w:rPr>
          <w:spacing w:val="-4"/>
          <w:sz w:val="24"/>
        </w:rPr>
        <w:t> </w:t>
      </w:r>
      <w:r>
        <w:rPr>
          <w:sz w:val="24"/>
        </w:rPr>
        <w:t>formerly</w:t>
      </w:r>
      <w:r>
        <w:rPr>
          <w:spacing w:val="-4"/>
          <w:sz w:val="24"/>
        </w:rPr>
        <w:t> </w:t>
      </w:r>
      <w:r>
        <w:rPr>
          <w:sz w:val="24"/>
        </w:rPr>
        <w:t>served</w:t>
      </w:r>
      <w:r>
        <w:rPr>
          <w:spacing w:val="-5"/>
          <w:sz w:val="24"/>
        </w:rPr>
        <w:t> </w:t>
      </w:r>
      <w:r>
        <w:rPr>
          <w:sz w:val="24"/>
        </w:rPr>
        <w:t>by</w:t>
      </w:r>
      <w:r>
        <w:rPr>
          <w:spacing w:val="-4"/>
          <w:sz w:val="24"/>
        </w:rPr>
        <w:t> </w:t>
      </w:r>
      <w:r>
        <w:rPr>
          <w:sz w:val="24"/>
        </w:rPr>
        <w:t>OSB</w:t>
      </w:r>
      <w:r>
        <w:rPr>
          <w:spacing w:val="-4"/>
          <w:sz w:val="24"/>
        </w:rPr>
        <w:t> </w:t>
      </w:r>
      <w:r>
        <w:rPr>
          <w:sz w:val="24"/>
        </w:rPr>
        <w:t>shall</w:t>
      </w:r>
      <w:r>
        <w:rPr>
          <w:spacing w:val="-4"/>
          <w:sz w:val="24"/>
        </w:rPr>
        <w:t> </w:t>
      </w:r>
      <w:r>
        <w:rPr>
          <w:sz w:val="24"/>
        </w:rPr>
        <w:t>be</w:t>
      </w:r>
      <w:r>
        <w:rPr>
          <w:spacing w:val="-4"/>
          <w:sz w:val="24"/>
        </w:rPr>
        <w:t> </w:t>
      </w:r>
      <w:r>
        <w:rPr>
          <w:sz w:val="24"/>
        </w:rPr>
        <w:t>eligible</w:t>
      </w:r>
      <w:r>
        <w:rPr>
          <w:spacing w:val="-4"/>
          <w:sz w:val="24"/>
        </w:rPr>
        <w:t> </w:t>
      </w:r>
      <w:r>
        <w:rPr>
          <w:sz w:val="24"/>
        </w:rPr>
        <w:t>for</w:t>
      </w:r>
      <w:r>
        <w:rPr>
          <w:spacing w:val="-3"/>
          <w:sz w:val="24"/>
        </w:rPr>
        <w:t> </w:t>
      </w:r>
      <w:r>
        <w:rPr>
          <w:sz w:val="24"/>
        </w:rPr>
        <w:t>readmission services on the same basis as an individual initially seeking services.</w:t>
      </w:r>
    </w:p>
    <w:p>
      <w:pPr>
        <w:pStyle w:val="ListParagraph"/>
        <w:spacing w:after="0" w:line="208" w:lineRule="auto"/>
        <w:jc w:val="left"/>
        <w:rPr>
          <w:sz w:val="24"/>
        </w:rPr>
        <w:sectPr>
          <w:pgSz w:w="12240" w:h="15840"/>
          <w:pgMar w:top="1340" w:bottom="280" w:left="1080" w:right="720"/>
        </w:sectPr>
      </w:pPr>
    </w:p>
    <w:p>
      <w:pPr>
        <w:pStyle w:val="ListParagraph"/>
        <w:numPr>
          <w:ilvl w:val="0"/>
          <w:numId w:val="366"/>
        </w:numPr>
        <w:tabs>
          <w:tab w:pos="785" w:val="left" w:leader="none"/>
        </w:tabs>
        <w:spacing w:line="208" w:lineRule="auto" w:before="96" w:after="0"/>
        <w:ind w:left="359" w:right="739" w:firstLine="0"/>
        <w:jc w:val="left"/>
        <w:rPr>
          <w:sz w:val="24"/>
        </w:rPr>
      </w:pPr>
      <w:r>
        <w:rPr>
          <w:b/>
          <w:sz w:val="24"/>
        </w:rPr>
        <w:t>Placement IEP. </w:t>
      </w:r>
      <w:r>
        <w:rPr>
          <w:sz w:val="24"/>
        </w:rPr>
        <w:t>If admission is granted, all reports and IDEA paperwork will be reviewed and the 30-day interim IEP meeting will take place.</w:t>
      </w:r>
      <w:r>
        <w:rPr>
          <w:spacing w:val="40"/>
          <w:sz w:val="24"/>
        </w:rPr>
        <w:t> </w:t>
      </w:r>
      <w:r>
        <w:rPr>
          <w:sz w:val="24"/>
        </w:rPr>
        <w:t>An initial IEP will be developed</w:t>
      </w:r>
      <w:r>
        <w:rPr>
          <w:spacing w:val="-3"/>
          <w:sz w:val="24"/>
        </w:rPr>
        <w:t> </w:t>
      </w:r>
      <w:r>
        <w:rPr>
          <w:sz w:val="24"/>
        </w:rPr>
        <w:t>prior</w:t>
      </w:r>
      <w:r>
        <w:rPr>
          <w:spacing w:val="-3"/>
          <w:sz w:val="24"/>
        </w:rPr>
        <w:t> </w:t>
      </w:r>
      <w:r>
        <w:rPr>
          <w:sz w:val="24"/>
        </w:rPr>
        <w:t>to</w:t>
      </w:r>
      <w:r>
        <w:rPr>
          <w:spacing w:val="-4"/>
          <w:sz w:val="24"/>
        </w:rPr>
        <w:t> </w:t>
      </w:r>
      <w:r>
        <w:rPr>
          <w:sz w:val="24"/>
        </w:rPr>
        <w:t>continued</w:t>
      </w:r>
      <w:r>
        <w:rPr>
          <w:spacing w:val="-4"/>
          <w:sz w:val="24"/>
        </w:rPr>
        <w:t> </w:t>
      </w:r>
      <w:r>
        <w:rPr>
          <w:sz w:val="24"/>
        </w:rPr>
        <w:t>placement</w:t>
      </w:r>
      <w:r>
        <w:rPr>
          <w:spacing w:val="-3"/>
          <w:sz w:val="24"/>
        </w:rPr>
        <w:t> </w:t>
      </w:r>
      <w:r>
        <w:rPr>
          <w:sz w:val="24"/>
        </w:rPr>
        <w:t>at</w:t>
      </w:r>
      <w:r>
        <w:rPr>
          <w:spacing w:val="-5"/>
          <w:sz w:val="24"/>
        </w:rPr>
        <w:t> </w:t>
      </w:r>
      <w:r>
        <w:rPr>
          <w:sz w:val="24"/>
        </w:rPr>
        <w:t>OSB</w:t>
      </w:r>
      <w:r>
        <w:rPr>
          <w:spacing w:val="-4"/>
          <w:sz w:val="24"/>
        </w:rPr>
        <w:t> </w:t>
      </w:r>
      <w:r>
        <w:rPr>
          <w:sz w:val="24"/>
        </w:rPr>
        <w:t>if</w:t>
      </w:r>
      <w:r>
        <w:rPr>
          <w:spacing w:val="-3"/>
          <w:sz w:val="24"/>
        </w:rPr>
        <w:t> </w:t>
      </w:r>
      <w:r>
        <w:rPr>
          <w:sz w:val="24"/>
        </w:rPr>
        <w:t>the</w:t>
      </w:r>
      <w:r>
        <w:rPr>
          <w:spacing w:val="-4"/>
          <w:sz w:val="24"/>
        </w:rPr>
        <w:t> </w:t>
      </w:r>
      <w:r>
        <w:rPr>
          <w:sz w:val="24"/>
        </w:rPr>
        <w:t>IEP</w:t>
      </w:r>
      <w:r>
        <w:rPr>
          <w:spacing w:val="-4"/>
          <w:sz w:val="24"/>
        </w:rPr>
        <w:t> </w:t>
      </w:r>
      <w:r>
        <w:rPr>
          <w:sz w:val="24"/>
        </w:rPr>
        <w:t>team,</w:t>
      </w:r>
      <w:r>
        <w:rPr>
          <w:spacing w:val="-5"/>
          <w:sz w:val="24"/>
        </w:rPr>
        <w:t> </w:t>
      </w:r>
      <w:r>
        <w:rPr>
          <w:sz w:val="24"/>
        </w:rPr>
        <w:t>through</w:t>
      </w:r>
      <w:r>
        <w:rPr>
          <w:spacing w:val="-4"/>
          <w:sz w:val="24"/>
        </w:rPr>
        <w:t> </w:t>
      </w:r>
      <w:r>
        <w:rPr>
          <w:sz w:val="24"/>
        </w:rPr>
        <w:t>development</w:t>
      </w:r>
      <w:r>
        <w:rPr>
          <w:spacing w:val="-3"/>
          <w:sz w:val="24"/>
        </w:rPr>
        <w:t> </w:t>
      </w:r>
      <w:r>
        <w:rPr>
          <w:sz w:val="24"/>
        </w:rPr>
        <w:t>of individualized goals and objectives, determines that such placement is the least restrictive environment for the student.</w:t>
      </w:r>
      <w:r>
        <w:rPr>
          <w:spacing w:val="40"/>
          <w:sz w:val="24"/>
        </w:rPr>
        <w:t> </w:t>
      </w:r>
      <w:r>
        <w:rPr>
          <w:sz w:val="24"/>
        </w:rPr>
        <w:t>Placement and programming needs will be reviewed at least annually.</w:t>
      </w:r>
    </w:p>
    <w:p>
      <w:pPr>
        <w:pStyle w:val="Heading2"/>
        <w:numPr>
          <w:ilvl w:val="0"/>
          <w:numId w:val="366"/>
        </w:numPr>
        <w:tabs>
          <w:tab w:pos="785" w:val="left" w:leader="none"/>
        </w:tabs>
        <w:spacing w:line="240" w:lineRule="auto" w:before="210" w:after="0"/>
        <w:ind w:left="785" w:right="0" w:hanging="426"/>
        <w:jc w:val="left"/>
      </w:pPr>
      <w:r>
        <w:rPr/>
        <w:t>Special</w:t>
      </w:r>
      <w:r>
        <w:rPr>
          <w:spacing w:val="-5"/>
        </w:rPr>
        <w:t> </w:t>
      </w:r>
      <w:r>
        <w:rPr>
          <w:spacing w:val="-2"/>
        </w:rPr>
        <w:t>facts.</w:t>
      </w:r>
    </w:p>
    <w:p>
      <w:pPr>
        <w:pStyle w:val="ListParagraph"/>
        <w:numPr>
          <w:ilvl w:val="1"/>
          <w:numId w:val="366"/>
        </w:numPr>
        <w:tabs>
          <w:tab w:pos="1217" w:val="left" w:leader="none"/>
        </w:tabs>
        <w:spacing w:line="240" w:lineRule="auto" w:before="204" w:after="0"/>
        <w:ind w:left="1217" w:right="0" w:hanging="426"/>
        <w:jc w:val="left"/>
        <w:rPr>
          <w:sz w:val="24"/>
        </w:rPr>
      </w:pPr>
      <w:r>
        <w:rPr>
          <w:sz w:val="24"/>
        </w:rPr>
        <w:t>There</w:t>
      </w:r>
      <w:r>
        <w:rPr>
          <w:spacing w:val="-2"/>
          <w:sz w:val="24"/>
        </w:rPr>
        <w:t> </w:t>
      </w:r>
      <w:r>
        <w:rPr>
          <w:sz w:val="24"/>
        </w:rPr>
        <w:t>is</w:t>
      </w:r>
      <w:r>
        <w:rPr>
          <w:spacing w:val="-3"/>
          <w:sz w:val="24"/>
        </w:rPr>
        <w:t> </w:t>
      </w:r>
      <w:r>
        <w:rPr>
          <w:sz w:val="24"/>
        </w:rPr>
        <w:t>no</w:t>
      </w:r>
      <w:r>
        <w:rPr>
          <w:spacing w:val="-2"/>
          <w:sz w:val="24"/>
        </w:rPr>
        <w:t> </w:t>
      </w:r>
      <w:r>
        <w:rPr>
          <w:sz w:val="24"/>
        </w:rPr>
        <w:t>tuition</w:t>
      </w:r>
      <w:r>
        <w:rPr>
          <w:spacing w:val="-2"/>
          <w:sz w:val="24"/>
        </w:rPr>
        <w:t> </w:t>
      </w:r>
      <w:r>
        <w:rPr>
          <w:sz w:val="24"/>
        </w:rPr>
        <w:t>fee</w:t>
      </w:r>
      <w:r>
        <w:rPr>
          <w:spacing w:val="-2"/>
          <w:sz w:val="24"/>
        </w:rPr>
        <w:t> </w:t>
      </w:r>
      <w:r>
        <w:rPr>
          <w:sz w:val="24"/>
        </w:rPr>
        <w:t>for</w:t>
      </w:r>
      <w:r>
        <w:rPr>
          <w:spacing w:val="-2"/>
          <w:sz w:val="24"/>
        </w:rPr>
        <w:t> </w:t>
      </w:r>
      <w:r>
        <w:rPr>
          <w:spacing w:val="-4"/>
          <w:sz w:val="24"/>
        </w:rPr>
        <w:t>OSB.</w:t>
      </w:r>
    </w:p>
    <w:p>
      <w:pPr>
        <w:pStyle w:val="ListParagraph"/>
        <w:numPr>
          <w:ilvl w:val="1"/>
          <w:numId w:val="366"/>
        </w:numPr>
        <w:tabs>
          <w:tab w:pos="1217" w:val="left" w:leader="none"/>
        </w:tabs>
        <w:spacing w:line="240" w:lineRule="auto" w:before="204" w:after="0"/>
        <w:ind w:left="1217" w:right="0" w:hanging="426"/>
        <w:jc w:val="left"/>
        <w:rPr>
          <w:sz w:val="24"/>
        </w:rPr>
      </w:pPr>
      <w:r>
        <w:rPr>
          <w:sz w:val="24"/>
        </w:rPr>
        <w:t>There</w:t>
      </w:r>
      <w:r>
        <w:rPr>
          <w:spacing w:val="-3"/>
          <w:sz w:val="24"/>
        </w:rPr>
        <w:t> </w:t>
      </w:r>
      <w:r>
        <w:rPr>
          <w:sz w:val="24"/>
        </w:rPr>
        <w:t>is</w:t>
      </w:r>
      <w:r>
        <w:rPr>
          <w:spacing w:val="-3"/>
          <w:sz w:val="24"/>
        </w:rPr>
        <w:t> </w:t>
      </w:r>
      <w:r>
        <w:rPr>
          <w:sz w:val="24"/>
        </w:rPr>
        <w:t>no</w:t>
      </w:r>
      <w:r>
        <w:rPr>
          <w:spacing w:val="-3"/>
          <w:sz w:val="24"/>
        </w:rPr>
        <w:t> </w:t>
      </w:r>
      <w:r>
        <w:rPr>
          <w:sz w:val="24"/>
        </w:rPr>
        <w:t>room/board</w:t>
      </w:r>
      <w:r>
        <w:rPr>
          <w:spacing w:val="-3"/>
          <w:sz w:val="24"/>
        </w:rPr>
        <w:t> </w:t>
      </w:r>
      <w:r>
        <w:rPr>
          <w:sz w:val="24"/>
        </w:rPr>
        <w:t>fee</w:t>
      </w:r>
      <w:r>
        <w:rPr>
          <w:spacing w:val="-3"/>
          <w:sz w:val="24"/>
        </w:rPr>
        <w:t> </w:t>
      </w:r>
      <w:r>
        <w:rPr>
          <w:sz w:val="24"/>
        </w:rPr>
        <w:t>for</w:t>
      </w:r>
      <w:r>
        <w:rPr>
          <w:spacing w:val="-3"/>
          <w:sz w:val="24"/>
        </w:rPr>
        <w:t> </w:t>
      </w:r>
      <w:r>
        <w:rPr>
          <w:sz w:val="24"/>
        </w:rPr>
        <w:t>OSB</w:t>
      </w:r>
      <w:r>
        <w:rPr>
          <w:spacing w:val="-2"/>
          <w:sz w:val="24"/>
        </w:rPr>
        <w:t> </w:t>
      </w:r>
      <w:r>
        <w:rPr>
          <w:sz w:val="24"/>
        </w:rPr>
        <w:t>residential</w:t>
      </w:r>
      <w:r>
        <w:rPr>
          <w:spacing w:val="-3"/>
          <w:sz w:val="24"/>
        </w:rPr>
        <w:t> </w:t>
      </w:r>
      <w:r>
        <w:rPr>
          <w:spacing w:val="-2"/>
          <w:sz w:val="24"/>
        </w:rPr>
        <w:t>students.</w:t>
      </w:r>
    </w:p>
    <w:p>
      <w:pPr>
        <w:pStyle w:val="ListParagraph"/>
        <w:numPr>
          <w:ilvl w:val="1"/>
          <w:numId w:val="366"/>
        </w:numPr>
        <w:tabs>
          <w:tab w:pos="1217" w:val="left" w:leader="none"/>
        </w:tabs>
        <w:spacing w:line="240" w:lineRule="auto" w:before="204" w:after="0"/>
        <w:ind w:left="1217" w:right="0" w:hanging="426"/>
        <w:jc w:val="left"/>
        <w:rPr>
          <w:sz w:val="24"/>
        </w:rPr>
      </w:pPr>
      <w:r>
        <w:rPr>
          <w:sz w:val="24"/>
        </w:rPr>
        <w:t>There</w:t>
      </w:r>
      <w:r>
        <w:rPr>
          <w:spacing w:val="-2"/>
          <w:sz w:val="24"/>
        </w:rPr>
        <w:t> </w:t>
      </w:r>
      <w:r>
        <w:rPr>
          <w:sz w:val="24"/>
        </w:rPr>
        <w:t>is</w:t>
      </w:r>
      <w:r>
        <w:rPr>
          <w:spacing w:val="-2"/>
          <w:sz w:val="24"/>
        </w:rPr>
        <w:t> </w:t>
      </w:r>
      <w:r>
        <w:rPr>
          <w:sz w:val="24"/>
        </w:rPr>
        <w:t>no</w:t>
      </w:r>
      <w:r>
        <w:rPr>
          <w:spacing w:val="-1"/>
          <w:sz w:val="24"/>
        </w:rPr>
        <w:t> </w:t>
      </w:r>
      <w:r>
        <w:rPr>
          <w:sz w:val="24"/>
        </w:rPr>
        <w:t>cost</w:t>
      </w:r>
      <w:r>
        <w:rPr>
          <w:spacing w:val="-3"/>
          <w:sz w:val="24"/>
        </w:rPr>
        <w:t> </w:t>
      </w:r>
      <w:r>
        <w:rPr>
          <w:sz w:val="24"/>
        </w:rPr>
        <w:t>for OSB</w:t>
      </w:r>
      <w:r>
        <w:rPr>
          <w:spacing w:val="-2"/>
          <w:sz w:val="24"/>
        </w:rPr>
        <w:t> </w:t>
      </w:r>
      <w:r>
        <w:rPr>
          <w:sz w:val="24"/>
        </w:rPr>
        <w:t>staff</w:t>
      </w:r>
      <w:r>
        <w:rPr>
          <w:spacing w:val="-2"/>
          <w:sz w:val="24"/>
        </w:rPr>
        <w:t> evaluations.</w:t>
      </w:r>
    </w:p>
    <w:p>
      <w:pPr>
        <w:pStyle w:val="ListParagraph"/>
        <w:numPr>
          <w:ilvl w:val="1"/>
          <w:numId w:val="366"/>
        </w:numPr>
        <w:tabs>
          <w:tab w:pos="1217" w:val="left" w:leader="none"/>
        </w:tabs>
        <w:spacing w:line="240" w:lineRule="auto" w:before="204" w:after="0"/>
        <w:ind w:left="1217" w:right="0" w:hanging="426"/>
        <w:jc w:val="left"/>
        <w:rPr>
          <w:sz w:val="24"/>
        </w:rPr>
      </w:pPr>
      <w:r>
        <w:rPr>
          <w:sz w:val="24"/>
        </w:rPr>
        <w:t>Transportation</w:t>
      </w:r>
      <w:r>
        <w:rPr>
          <w:spacing w:val="-4"/>
          <w:sz w:val="24"/>
        </w:rPr>
        <w:t> </w:t>
      </w:r>
      <w:r>
        <w:rPr>
          <w:sz w:val="24"/>
        </w:rPr>
        <w:t>is</w:t>
      </w:r>
      <w:r>
        <w:rPr>
          <w:spacing w:val="-4"/>
          <w:sz w:val="24"/>
        </w:rPr>
        <w:t> </w:t>
      </w:r>
      <w:r>
        <w:rPr>
          <w:sz w:val="24"/>
        </w:rPr>
        <w:t>provided</w:t>
      </w:r>
      <w:r>
        <w:rPr>
          <w:spacing w:val="-4"/>
          <w:sz w:val="24"/>
        </w:rPr>
        <w:t> </w:t>
      </w:r>
      <w:r>
        <w:rPr>
          <w:sz w:val="24"/>
        </w:rPr>
        <w:t>by</w:t>
      </w:r>
      <w:r>
        <w:rPr>
          <w:spacing w:val="-4"/>
          <w:sz w:val="24"/>
        </w:rPr>
        <w:t> </w:t>
      </w:r>
      <w:r>
        <w:rPr>
          <w:sz w:val="24"/>
        </w:rPr>
        <w:t>parents</w:t>
      </w:r>
      <w:r>
        <w:rPr>
          <w:spacing w:val="-4"/>
          <w:sz w:val="24"/>
        </w:rPr>
        <w:t> </w:t>
      </w:r>
      <w:r>
        <w:rPr>
          <w:sz w:val="24"/>
        </w:rPr>
        <w:t>and/or</w:t>
      </w:r>
      <w:r>
        <w:rPr>
          <w:spacing w:val="-3"/>
          <w:sz w:val="24"/>
        </w:rPr>
        <w:t> </w:t>
      </w:r>
      <w:r>
        <w:rPr>
          <w:spacing w:val="-4"/>
          <w:sz w:val="24"/>
        </w:rPr>
        <w:t>LEA.</w:t>
      </w:r>
    </w:p>
    <w:p>
      <w:pPr>
        <w:pStyle w:val="ListParagraph"/>
        <w:numPr>
          <w:ilvl w:val="1"/>
          <w:numId w:val="366"/>
        </w:numPr>
        <w:tabs>
          <w:tab w:pos="1217" w:val="left" w:leader="none"/>
        </w:tabs>
        <w:spacing w:line="208" w:lineRule="auto" w:before="233" w:after="0"/>
        <w:ind w:left="791" w:right="1022" w:firstLine="0"/>
        <w:jc w:val="left"/>
        <w:rPr>
          <w:sz w:val="24"/>
        </w:rPr>
      </w:pPr>
      <w:r>
        <w:rPr>
          <w:sz w:val="24"/>
        </w:rPr>
        <w:t>Parents/Guardians</w:t>
      </w:r>
      <w:r>
        <w:rPr>
          <w:spacing w:val="-5"/>
          <w:sz w:val="24"/>
        </w:rPr>
        <w:t> </w:t>
      </w:r>
      <w:r>
        <w:rPr>
          <w:sz w:val="24"/>
        </w:rPr>
        <w:t>are</w:t>
      </w:r>
      <w:r>
        <w:rPr>
          <w:spacing w:val="-5"/>
          <w:sz w:val="24"/>
        </w:rPr>
        <w:t> </w:t>
      </w:r>
      <w:r>
        <w:rPr>
          <w:sz w:val="24"/>
        </w:rPr>
        <w:t>responsible</w:t>
      </w:r>
      <w:r>
        <w:rPr>
          <w:spacing w:val="-5"/>
          <w:sz w:val="24"/>
        </w:rPr>
        <w:t> </w:t>
      </w:r>
      <w:r>
        <w:rPr>
          <w:sz w:val="24"/>
        </w:rPr>
        <w:t>for</w:t>
      </w:r>
      <w:r>
        <w:rPr>
          <w:spacing w:val="-4"/>
          <w:sz w:val="24"/>
        </w:rPr>
        <w:t> </w:t>
      </w:r>
      <w:r>
        <w:rPr>
          <w:sz w:val="24"/>
        </w:rPr>
        <w:t>the</w:t>
      </w:r>
      <w:r>
        <w:rPr>
          <w:spacing w:val="-5"/>
          <w:sz w:val="24"/>
        </w:rPr>
        <w:t> </w:t>
      </w:r>
      <w:r>
        <w:rPr>
          <w:sz w:val="24"/>
        </w:rPr>
        <w:t>child's</w:t>
      </w:r>
      <w:r>
        <w:rPr>
          <w:spacing w:val="-5"/>
          <w:sz w:val="24"/>
        </w:rPr>
        <w:t> </w:t>
      </w:r>
      <w:r>
        <w:rPr>
          <w:sz w:val="24"/>
        </w:rPr>
        <w:t>clothing,</w:t>
      </w:r>
      <w:r>
        <w:rPr>
          <w:spacing w:val="-4"/>
          <w:sz w:val="24"/>
        </w:rPr>
        <w:t> </w:t>
      </w:r>
      <w:r>
        <w:rPr>
          <w:sz w:val="24"/>
        </w:rPr>
        <w:t>medical</w:t>
      </w:r>
      <w:r>
        <w:rPr>
          <w:spacing w:val="-5"/>
          <w:sz w:val="24"/>
        </w:rPr>
        <w:t> </w:t>
      </w:r>
      <w:r>
        <w:rPr>
          <w:sz w:val="24"/>
        </w:rPr>
        <w:t>expenses, and personal hygiene items.</w:t>
      </w:r>
    </w:p>
    <w:p>
      <w:pPr>
        <w:pStyle w:val="ListParagraph"/>
        <w:numPr>
          <w:ilvl w:val="1"/>
          <w:numId w:val="366"/>
        </w:numPr>
        <w:tabs>
          <w:tab w:pos="1216" w:val="left" w:leader="none"/>
        </w:tabs>
        <w:spacing w:line="208" w:lineRule="auto" w:before="240" w:after="0"/>
        <w:ind w:left="791" w:right="1107" w:firstLine="0"/>
        <w:jc w:val="left"/>
        <w:rPr>
          <w:sz w:val="24"/>
        </w:rPr>
      </w:pPr>
      <w:r>
        <w:rPr>
          <w:sz w:val="24"/>
        </w:rPr>
        <w:t>It</w:t>
      </w:r>
      <w:r>
        <w:rPr>
          <w:spacing w:val="-5"/>
          <w:sz w:val="24"/>
        </w:rPr>
        <w:t> </w:t>
      </w:r>
      <w:r>
        <w:rPr>
          <w:sz w:val="24"/>
        </w:rPr>
        <w:t>is</w:t>
      </w:r>
      <w:r>
        <w:rPr>
          <w:spacing w:val="-4"/>
          <w:sz w:val="24"/>
        </w:rPr>
        <w:t> </w:t>
      </w:r>
      <w:r>
        <w:rPr>
          <w:sz w:val="24"/>
        </w:rPr>
        <w:t>strongly</w:t>
      </w:r>
      <w:r>
        <w:rPr>
          <w:spacing w:val="-4"/>
          <w:sz w:val="24"/>
        </w:rPr>
        <w:t> </w:t>
      </w:r>
      <w:r>
        <w:rPr>
          <w:sz w:val="24"/>
        </w:rPr>
        <w:t>recommended</w:t>
      </w:r>
      <w:r>
        <w:rPr>
          <w:spacing w:val="-4"/>
          <w:sz w:val="24"/>
        </w:rPr>
        <w:t> </w:t>
      </w:r>
      <w:r>
        <w:rPr>
          <w:sz w:val="24"/>
        </w:rPr>
        <w:t>that</w:t>
      </w:r>
      <w:r>
        <w:rPr>
          <w:spacing w:val="-3"/>
          <w:sz w:val="24"/>
        </w:rPr>
        <w:t> </w:t>
      </w:r>
      <w:r>
        <w:rPr>
          <w:sz w:val="24"/>
        </w:rPr>
        <w:t>parents</w:t>
      </w:r>
      <w:r>
        <w:rPr>
          <w:spacing w:val="-4"/>
          <w:sz w:val="24"/>
        </w:rPr>
        <w:t> </w:t>
      </w:r>
      <w:r>
        <w:rPr>
          <w:sz w:val="24"/>
        </w:rPr>
        <w:t>maintain</w:t>
      </w:r>
      <w:r>
        <w:rPr>
          <w:spacing w:val="-4"/>
          <w:sz w:val="24"/>
        </w:rPr>
        <w:t> </w:t>
      </w:r>
      <w:r>
        <w:rPr>
          <w:sz w:val="24"/>
        </w:rPr>
        <w:t>an</w:t>
      </w:r>
      <w:r>
        <w:rPr>
          <w:spacing w:val="-4"/>
          <w:sz w:val="24"/>
        </w:rPr>
        <w:t> </w:t>
      </w:r>
      <w:r>
        <w:rPr>
          <w:sz w:val="24"/>
        </w:rPr>
        <w:t>adequate</w:t>
      </w:r>
      <w:r>
        <w:rPr>
          <w:spacing w:val="-3"/>
          <w:sz w:val="24"/>
        </w:rPr>
        <w:t> </w:t>
      </w:r>
      <w:r>
        <w:rPr>
          <w:sz w:val="24"/>
        </w:rPr>
        <w:t>amount</w:t>
      </w:r>
      <w:r>
        <w:rPr>
          <w:spacing w:val="-3"/>
          <w:sz w:val="24"/>
        </w:rPr>
        <w:t> </w:t>
      </w:r>
      <w:r>
        <w:rPr>
          <w:sz w:val="24"/>
        </w:rPr>
        <w:t>in</w:t>
      </w:r>
      <w:r>
        <w:rPr>
          <w:spacing w:val="-5"/>
          <w:sz w:val="24"/>
        </w:rPr>
        <w:t> </w:t>
      </w:r>
      <w:r>
        <w:rPr>
          <w:sz w:val="24"/>
        </w:rPr>
        <w:t>the student's account to cover any incidental expenses.</w:t>
      </w:r>
    </w:p>
    <w:p>
      <w:pPr>
        <w:pStyle w:val="ListParagraph"/>
        <w:numPr>
          <w:ilvl w:val="0"/>
          <w:numId w:val="366"/>
        </w:numPr>
        <w:tabs>
          <w:tab w:pos="704" w:val="left" w:leader="none"/>
        </w:tabs>
        <w:spacing w:line="208" w:lineRule="auto" w:before="240" w:after="0"/>
        <w:ind w:left="359" w:right="1154" w:firstLine="0"/>
        <w:jc w:val="left"/>
        <w:rPr>
          <w:sz w:val="24"/>
        </w:rPr>
      </w:pPr>
      <w:r>
        <w:rPr>
          <w:b/>
          <w:sz w:val="24"/>
        </w:rPr>
        <w:t>Admission information source.</w:t>
      </w:r>
      <w:r>
        <w:rPr>
          <w:b/>
          <w:spacing w:val="40"/>
          <w:sz w:val="24"/>
        </w:rPr>
        <w:t> </w:t>
      </w:r>
      <w:r>
        <w:rPr>
          <w:sz w:val="24"/>
        </w:rPr>
        <w:t>For admission information, please contact: Compliance</w:t>
      </w:r>
      <w:r>
        <w:rPr>
          <w:spacing w:val="-4"/>
          <w:sz w:val="24"/>
        </w:rPr>
        <w:t> </w:t>
      </w:r>
      <w:r>
        <w:rPr>
          <w:sz w:val="24"/>
        </w:rPr>
        <w:t>Officer,</w:t>
      </w:r>
      <w:r>
        <w:rPr>
          <w:spacing w:val="-5"/>
          <w:sz w:val="24"/>
        </w:rPr>
        <w:t> </w:t>
      </w:r>
      <w:r>
        <w:rPr>
          <w:sz w:val="24"/>
        </w:rPr>
        <w:t>Oklahoma</w:t>
      </w:r>
      <w:r>
        <w:rPr>
          <w:spacing w:val="-4"/>
          <w:sz w:val="24"/>
        </w:rPr>
        <w:t> </w:t>
      </w:r>
      <w:r>
        <w:rPr>
          <w:sz w:val="24"/>
        </w:rPr>
        <w:t>School</w:t>
      </w:r>
      <w:r>
        <w:rPr>
          <w:spacing w:val="-4"/>
          <w:sz w:val="24"/>
        </w:rPr>
        <w:t> </w:t>
      </w:r>
      <w:r>
        <w:rPr>
          <w:sz w:val="24"/>
        </w:rPr>
        <w:t>for</w:t>
      </w:r>
      <w:r>
        <w:rPr>
          <w:spacing w:val="-3"/>
          <w:sz w:val="24"/>
        </w:rPr>
        <w:t> </w:t>
      </w:r>
      <w:r>
        <w:rPr>
          <w:sz w:val="24"/>
        </w:rPr>
        <w:t>the</w:t>
      </w:r>
      <w:r>
        <w:rPr>
          <w:spacing w:val="-4"/>
          <w:sz w:val="24"/>
        </w:rPr>
        <w:t> </w:t>
      </w:r>
      <w:r>
        <w:rPr>
          <w:sz w:val="24"/>
        </w:rPr>
        <w:t>Blind,</w:t>
      </w:r>
      <w:r>
        <w:rPr>
          <w:spacing w:val="-3"/>
          <w:sz w:val="24"/>
        </w:rPr>
        <w:t> </w:t>
      </w:r>
      <w:r>
        <w:rPr>
          <w:sz w:val="24"/>
        </w:rPr>
        <w:t>3300</w:t>
      </w:r>
      <w:r>
        <w:rPr>
          <w:spacing w:val="-4"/>
          <w:sz w:val="24"/>
        </w:rPr>
        <w:t> </w:t>
      </w:r>
      <w:r>
        <w:rPr>
          <w:sz w:val="24"/>
        </w:rPr>
        <w:t>Gibson</w:t>
      </w:r>
      <w:r>
        <w:rPr>
          <w:spacing w:val="-4"/>
          <w:sz w:val="24"/>
        </w:rPr>
        <w:t> </w:t>
      </w:r>
      <w:r>
        <w:rPr>
          <w:sz w:val="24"/>
        </w:rPr>
        <w:t>Street,</w:t>
      </w:r>
      <w:r>
        <w:rPr>
          <w:spacing w:val="-5"/>
          <w:sz w:val="24"/>
        </w:rPr>
        <w:t> </w:t>
      </w:r>
      <w:r>
        <w:rPr>
          <w:sz w:val="24"/>
        </w:rPr>
        <w:t>Muskogee, Oklahoma</w:t>
      </w:r>
      <w:r>
        <w:rPr>
          <w:spacing w:val="40"/>
          <w:sz w:val="24"/>
        </w:rPr>
        <w:t> </w:t>
      </w:r>
      <w:r>
        <w:rPr>
          <w:sz w:val="24"/>
        </w:rPr>
        <w:t>74403, Telephone</w:t>
      </w:r>
      <w:r>
        <w:rPr>
          <w:spacing w:val="40"/>
          <w:sz w:val="24"/>
        </w:rPr>
        <w:t> </w:t>
      </w:r>
      <w:r>
        <w:rPr>
          <w:sz w:val="24"/>
        </w:rPr>
        <w:t>918-781-8200.</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7-1-03</w:t>
      </w:r>
      <w:r>
        <w:rPr>
          <w:sz w:val="22"/>
        </w:rPr>
        <w:tab/>
        <w:t>PT Memo #03-07</w:t>
      </w:r>
    </w:p>
    <w:p>
      <w:pPr>
        <w:spacing w:before="0"/>
        <w:ind w:left="1439" w:right="0" w:firstLine="0"/>
        <w:jc w:val="left"/>
        <w:rPr>
          <w:sz w:val="22"/>
        </w:rPr>
      </w:pPr>
      <w:r>
        <w:rPr>
          <w:sz w:val="22"/>
        </w:rPr>
        <w:t>Permanent,</w:t>
      </w:r>
      <w:r>
        <w:rPr>
          <w:spacing w:val="-10"/>
          <w:sz w:val="22"/>
        </w:rPr>
        <w:t> </w:t>
      </w:r>
      <w:r>
        <w:rPr>
          <w:sz w:val="22"/>
        </w:rPr>
        <w:t>updated</w:t>
      </w:r>
      <w:r>
        <w:rPr>
          <w:spacing w:val="-11"/>
          <w:sz w:val="22"/>
        </w:rPr>
        <w:t> </w:t>
      </w:r>
      <w:r>
        <w:rPr>
          <w:spacing w:val="-2"/>
          <w:sz w:val="22"/>
        </w:rPr>
        <w:t>language</w:t>
      </w:r>
    </w:p>
    <w:p>
      <w:pPr>
        <w:spacing w:after="0"/>
        <w:jc w:val="left"/>
        <w:rPr>
          <w:sz w:val="22"/>
        </w:rPr>
        <w:sectPr>
          <w:pgSz w:w="12240" w:h="15840"/>
          <w:pgMar w:top="1340" w:bottom="280" w:left="1080" w:right="720"/>
        </w:sectPr>
      </w:pPr>
    </w:p>
    <w:p>
      <w:pPr>
        <w:pStyle w:val="Heading1"/>
        <w:spacing w:line="208" w:lineRule="auto" w:before="96"/>
        <w:ind w:left="4633" w:right="775" w:hanging="3854"/>
        <w:jc w:val="left"/>
      </w:pPr>
      <w:bookmarkStart w:name="SUBCHAPTER 7. OKLAHOMA SCHOOL FOR THE DE" w:id="371"/>
      <w:bookmarkEnd w:id="371"/>
      <w:r>
        <w:rPr>
          <w:b w:val="0"/>
        </w:rPr>
      </w:r>
      <w:r>
        <w:rPr/>
        <w:t>SUBCHAPTER</w:t>
      </w:r>
      <w:r>
        <w:rPr>
          <w:spacing w:val="-5"/>
        </w:rPr>
        <w:t> </w:t>
      </w:r>
      <w:r>
        <w:rPr/>
        <w:t>7.</w:t>
      </w:r>
      <w:r>
        <w:rPr>
          <w:spacing w:val="-5"/>
        </w:rPr>
        <w:t> </w:t>
      </w:r>
      <w:r>
        <w:rPr/>
        <w:t>OKLAHOMA</w:t>
      </w:r>
      <w:r>
        <w:rPr>
          <w:spacing w:val="-6"/>
        </w:rPr>
        <w:t> </w:t>
      </w:r>
      <w:r>
        <w:rPr/>
        <w:t>SCHOOL</w:t>
      </w:r>
      <w:r>
        <w:rPr>
          <w:spacing w:val="-5"/>
        </w:rPr>
        <w:t> </w:t>
      </w:r>
      <w:r>
        <w:rPr/>
        <w:t>FOR</w:t>
      </w:r>
      <w:r>
        <w:rPr>
          <w:spacing w:val="-5"/>
        </w:rPr>
        <w:t> </w:t>
      </w:r>
      <w:r>
        <w:rPr/>
        <w:t>THE</w:t>
      </w:r>
      <w:r>
        <w:rPr>
          <w:spacing w:val="-6"/>
        </w:rPr>
        <w:t> </w:t>
      </w:r>
      <w:r>
        <w:rPr/>
        <w:t>DEAF</w:t>
      </w:r>
      <w:r>
        <w:rPr>
          <w:spacing w:val="-5"/>
        </w:rPr>
        <w:t> </w:t>
      </w:r>
      <w:r>
        <w:rPr/>
        <w:t>(OSD)</w:t>
      </w:r>
      <w:r>
        <w:rPr>
          <w:spacing w:val="-4"/>
        </w:rPr>
        <w:t> </w:t>
      </w:r>
      <w:r>
        <w:rPr/>
        <w:t>ADMISSION </w:t>
      </w:r>
      <w:r>
        <w:rPr>
          <w:spacing w:val="-2"/>
        </w:rPr>
        <w:t>RULES</w:t>
      </w:r>
    </w:p>
    <w:p>
      <w:pPr>
        <w:pStyle w:val="BodyText"/>
        <w:spacing w:before="210"/>
        <w:ind w:left="359"/>
      </w:pPr>
      <w:r>
        <w:rPr>
          <w:spacing w:val="-2"/>
        </w:rPr>
        <w:t>Section</w:t>
      </w:r>
    </w:p>
    <w:p>
      <w:pPr>
        <w:pStyle w:val="BodyText"/>
        <w:tabs>
          <w:tab w:pos="1799" w:val="left" w:leader="none"/>
        </w:tabs>
        <w:spacing w:line="417" w:lineRule="auto" w:before="204"/>
        <w:ind w:left="359" w:right="5168"/>
      </w:pPr>
      <w:r>
        <w:rPr>
          <w:spacing w:val="-2"/>
        </w:rPr>
        <w:t>612:20-7-1.</w:t>
      </w:r>
      <w:r>
        <w:rPr/>
        <w:tab/>
        <w:t>General provisions for OSD </w:t>
      </w:r>
      <w:r>
        <w:rPr>
          <w:spacing w:val="-2"/>
        </w:rPr>
        <w:t>612:20-7-2.</w:t>
      </w:r>
      <w:r>
        <w:rPr/>
        <w:tab/>
        <w:t>General</w:t>
      </w:r>
      <w:r>
        <w:rPr>
          <w:spacing w:val="-17"/>
        </w:rPr>
        <w:t> </w:t>
      </w:r>
      <w:r>
        <w:rPr/>
        <w:t>admission</w:t>
      </w:r>
      <w:r>
        <w:rPr>
          <w:spacing w:val="-17"/>
        </w:rPr>
        <w:t> </w:t>
      </w:r>
      <w:r>
        <w:rPr/>
        <w:t>requirements </w:t>
      </w:r>
      <w:r>
        <w:rPr>
          <w:spacing w:val="-2"/>
        </w:rPr>
        <w:t>612:20-7-8.</w:t>
      </w:r>
      <w:r>
        <w:rPr/>
        <w:tab/>
        <w:t>Admissions process</w:t>
      </w:r>
    </w:p>
    <w:p>
      <w:pPr>
        <w:spacing w:before="3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7-1-95</w:t>
      </w:r>
      <w:r>
        <w:rPr>
          <w:sz w:val="22"/>
        </w:rPr>
        <w:tab/>
        <w:t>PT Memo #95-2</w:t>
      </w:r>
    </w:p>
    <w:p>
      <w:pPr>
        <w:spacing w:before="1"/>
        <w:ind w:left="1439" w:right="0" w:firstLine="0"/>
        <w:jc w:val="left"/>
        <w:rPr>
          <w:sz w:val="22"/>
        </w:rPr>
      </w:pPr>
      <w:r>
        <w:rPr>
          <w:sz w:val="22"/>
        </w:rPr>
        <w:t>Permanent,</w:t>
      </w:r>
      <w:r>
        <w:rPr>
          <w:spacing w:val="-10"/>
          <w:sz w:val="22"/>
        </w:rPr>
        <w:t> </w:t>
      </w:r>
      <w:r>
        <w:rPr>
          <w:sz w:val="22"/>
        </w:rPr>
        <w:t>removed</w:t>
      </w:r>
      <w:r>
        <w:rPr>
          <w:spacing w:val="-10"/>
          <w:sz w:val="22"/>
        </w:rPr>
        <w:t> </w:t>
      </w:r>
      <w:r>
        <w:rPr>
          <w:sz w:val="22"/>
        </w:rPr>
        <w:t>revoked</w:t>
      </w:r>
      <w:r>
        <w:rPr>
          <w:spacing w:val="-10"/>
          <w:sz w:val="22"/>
        </w:rPr>
        <w:t> </w:t>
      </w:r>
      <w:r>
        <w:rPr>
          <w:spacing w:val="-2"/>
          <w:sz w:val="22"/>
        </w:rPr>
        <w:t>Sections</w:t>
      </w:r>
    </w:p>
    <w:p>
      <w:pPr>
        <w:spacing w:after="0"/>
        <w:jc w:val="left"/>
        <w:rPr>
          <w:sz w:val="22"/>
        </w:rPr>
        <w:sectPr>
          <w:pgSz w:w="12240" w:h="15840"/>
          <w:pgMar w:top="1340" w:bottom="280" w:left="1080" w:right="720"/>
        </w:sectPr>
      </w:pPr>
    </w:p>
    <w:p>
      <w:pPr>
        <w:pStyle w:val="Heading2"/>
      </w:pPr>
      <w:bookmarkStart w:name="612:20-7-1.  General provisions for OSD" w:id="372"/>
      <w:bookmarkEnd w:id="372"/>
      <w:r>
        <w:rPr>
          <w:b w:val="0"/>
        </w:rPr>
      </w:r>
      <w:r>
        <w:rPr/>
        <w:t>612:20-7-1.</w:t>
      </w:r>
      <w:r>
        <w:rPr>
          <w:spacing w:val="59"/>
        </w:rPr>
        <w:t> </w:t>
      </w:r>
      <w:r>
        <w:rPr/>
        <w:t>General</w:t>
      </w:r>
      <w:r>
        <w:rPr>
          <w:spacing w:val="-5"/>
        </w:rPr>
        <w:t> </w:t>
      </w:r>
      <w:r>
        <w:rPr/>
        <w:t>provisions</w:t>
      </w:r>
      <w:r>
        <w:rPr>
          <w:spacing w:val="-3"/>
        </w:rPr>
        <w:t> </w:t>
      </w:r>
      <w:r>
        <w:rPr/>
        <w:t>for</w:t>
      </w:r>
      <w:r>
        <w:rPr>
          <w:spacing w:val="-5"/>
        </w:rPr>
        <w:t> OSD</w:t>
      </w:r>
    </w:p>
    <w:p>
      <w:pPr>
        <w:pStyle w:val="BodyText"/>
        <w:spacing w:line="208" w:lineRule="auto" w:before="233"/>
        <w:ind w:left="359" w:right="775" w:firstLine="432"/>
      </w:pPr>
      <w:r>
        <w:rPr/>
        <w:t>The Oklahoma School for the Deaf, under the supervision of the Oklahoma Department of Rehabilitation Services, is a residential/day school whose legal purpose is to provide educational services to deaf and hard of hearing children residing in the State of Oklahoma.</w:t>
      </w:r>
      <w:r>
        <w:rPr>
          <w:spacing w:val="40"/>
        </w:rPr>
        <w:t> </w:t>
      </w:r>
      <w:r>
        <w:rPr/>
        <w:t>In addition, House Joint Resolution 1026, 1982, designates the school</w:t>
      </w:r>
      <w:r>
        <w:rPr>
          <w:spacing w:val="-3"/>
        </w:rPr>
        <w:t> </w:t>
      </w:r>
      <w:r>
        <w:rPr/>
        <w:t>as</w:t>
      </w:r>
      <w:r>
        <w:rPr>
          <w:spacing w:val="-3"/>
        </w:rPr>
        <w:t> </w:t>
      </w:r>
      <w:r>
        <w:rPr/>
        <w:t>a</w:t>
      </w:r>
      <w:r>
        <w:rPr>
          <w:spacing w:val="-2"/>
        </w:rPr>
        <w:t> </w:t>
      </w:r>
      <w:r>
        <w:rPr/>
        <w:t>statewide</w:t>
      </w:r>
      <w:r>
        <w:rPr>
          <w:spacing w:val="-3"/>
        </w:rPr>
        <w:t> </w:t>
      </w:r>
      <w:r>
        <w:rPr/>
        <w:t>resource</w:t>
      </w:r>
      <w:r>
        <w:rPr>
          <w:spacing w:val="-3"/>
        </w:rPr>
        <w:t> </w:t>
      </w:r>
      <w:r>
        <w:rPr/>
        <w:t>for</w:t>
      </w:r>
      <w:r>
        <w:rPr>
          <w:spacing w:val="-4"/>
        </w:rPr>
        <w:t> </w:t>
      </w:r>
      <w:r>
        <w:rPr/>
        <w:t>deaf</w:t>
      </w:r>
      <w:r>
        <w:rPr>
          <w:spacing w:val="-2"/>
        </w:rPr>
        <w:t> </w:t>
      </w:r>
      <w:r>
        <w:rPr/>
        <w:t>and</w:t>
      </w:r>
      <w:r>
        <w:rPr>
          <w:spacing w:val="-3"/>
        </w:rPr>
        <w:t> </w:t>
      </w:r>
      <w:r>
        <w:rPr/>
        <w:t>hard</w:t>
      </w:r>
      <w:r>
        <w:rPr>
          <w:spacing w:val="-3"/>
        </w:rPr>
        <w:t> </w:t>
      </w:r>
      <w:r>
        <w:rPr/>
        <w:t>of</w:t>
      </w:r>
      <w:r>
        <w:rPr>
          <w:spacing w:val="-2"/>
        </w:rPr>
        <w:t> </w:t>
      </w:r>
      <w:r>
        <w:rPr/>
        <w:t>hearing</w:t>
      </w:r>
      <w:r>
        <w:rPr>
          <w:spacing w:val="-3"/>
        </w:rPr>
        <w:t> </w:t>
      </w:r>
      <w:r>
        <w:rPr/>
        <w:t>children,</w:t>
      </w:r>
      <w:r>
        <w:rPr>
          <w:spacing w:val="-2"/>
        </w:rPr>
        <w:t> </w:t>
      </w:r>
      <w:r>
        <w:rPr/>
        <w:t>their</w:t>
      </w:r>
      <w:r>
        <w:rPr>
          <w:spacing w:val="-2"/>
        </w:rPr>
        <w:t> </w:t>
      </w:r>
      <w:r>
        <w:rPr/>
        <w:t>parents,</w:t>
      </w:r>
      <w:r>
        <w:rPr>
          <w:spacing w:val="-2"/>
        </w:rPr>
        <w:t> </w:t>
      </w:r>
      <w:r>
        <w:rPr/>
        <w:t>and local school districts.</w:t>
      </w:r>
    </w:p>
    <w:p>
      <w:pPr>
        <w:pStyle w:val="ListParagraph"/>
        <w:numPr>
          <w:ilvl w:val="0"/>
          <w:numId w:val="367"/>
        </w:numPr>
        <w:tabs>
          <w:tab w:pos="1217" w:val="left" w:leader="none"/>
        </w:tabs>
        <w:spacing w:line="208" w:lineRule="auto" w:before="239" w:after="0"/>
        <w:ind w:left="791" w:right="766" w:firstLine="0"/>
        <w:jc w:val="left"/>
        <w:rPr>
          <w:sz w:val="24"/>
        </w:rPr>
      </w:pPr>
      <w:r>
        <w:rPr>
          <w:sz w:val="24"/>
        </w:rPr>
        <w:t>The</w:t>
      </w:r>
      <w:r>
        <w:rPr>
          <w:spacing w:val="-3"/>
          <w:sz w:val="24"/>
        </w:rPr>
        <w:t> </w:t>
      </w:r>
      <w:r>
        <w:rPr>
          <w:sz w:val="24"/>
        </w:rPr>
        <w:t>basic</w:t>
      </w:r>
      <w:r>
        <w:rPr>
          <w:spacing w:val="-3"/>
          <w:sz w:val="24"/>
        </w:rPr>
        <w:t> </w:t>
      </w:r>
      <w:r>
        <w:rPr>
          <w:sz w:val="24"/>
        </w:rPr>
        <w:t>eligibility</w:t>
      </w:r>
      <w:r>
        <w:rPr>
          <w:spacing w:val="-3"/>
          <w:sz w:val="24"/>
        </w:rPr>
        <w:t> </w:t>
      </w:r>
      <w:r>
        <w:rPr>
          <w:sz w:val="24"/>
        </w:rPr>
        <w:t>criteria</w:t>
      </w:r>
      <w:r>
        <w:rPr>
          <w:spacing w:val="-3"/>
          <w:sz w:val="24"/>
        </w:rPr>
        <w:t> </w:t>
      </w:r>
      <w:r>
        <w:rPr>
          <w:sz w:val="24"/>
        </w:rPr>
        <w:t>are,</w:t>
      </w:r>
      <w:r>
        <w:rPr>
          <w:spacing w:val="-2"/>
          <w:sz w:val="24"/>
        </w:rPr>
        <w:t> </w:t>
      </w:r>
      <w:r>
        <w:rPr>
          <w:sz w:val="24"/>
        </w:rPr>
        <w:t>"All</w:t>
      </w:r>
      <w:r>
        <w:rPr>
          <w:spacing w:val="-3"/>
          <w:sz w:val="24"/>
        </w:rPr>
        <w:t> </w:t>
      </w:r>
      <w:r>
        <w:rPr>
          <w:sz w:val="24"/>
        </w:rPr>
        <w:t>residents</w:t>
      </w:r>
      <w:r>
        <w:rPr>
          <w:spacing w:val="-3"/>
          <w:sz w:val="24"/>
        </w:rPr>
        <w:t> </w:t>
      </w:r>
      <w:r>
        <w:rPr>
          <w:sz w:val="24"/>
        </w:rPr>
        <w:t>.</w:t>
      </w:r>
      <w:r>
        <w:rPr>
          <w:spacing w:val="-4"/>
          <w:sz w:val="24"/>
        </w:rPr>
        <w:t> </w:t>
      </w:r>
      <w:r>
        <w:rPr>
          <w:sz w:val="24"/>
        </w:rPr>
        <w:t>.</w:t>
      </w:r>
      <w:r>
        <w:rPr>
          <w:spacing w:val="-4"/>
          <w:sz w:val="24"/>
        </w:rPr>
        <w:t> </w:t>
      </w:r>
      <w:r>
        <w:rPr>
          <w:sz w:val="24"/>
        </w:rPr>
        <w:t>.</w:t>
      </w:r>
      <w:r>
        <w:rPr>
          <w:spacing w:val="-2"/>
          <w:sz w:val="24"/>
        </w:rPr>
        <w:t> </w:t>
      </w:r>
      <w:r>
        <w:rPr>
          <w:sz w:val="24"/>
        </w:rPr>
        <w:t>who</w:t>
      </w:r>
      <w:r>
        <w:rPr>
          <w:spacing w:val="-3"/>
          <w:sz w:val="24"/>
        </w:rPr>
        <w:t> </w:t>
      </w:r>
      <w:r>
        <w:rPr>
          <w:sz w:val="24"/>
        </w:rPr>
        <w:t>are</w:t>
      </w:r>
      <w:r>
        <w:rPr>
          <w:spacing w:val="-3"/>
          <w:sz w:val="24"/>
        </w:rPr>
        <w:t> </w:t>
      </w:r>
      <w:r>
        <w:rPr>
          <w:sz w:val="24"/>
        </w:rPr>
        <w:t>deaf</w:t>
      </w:r>
      <w:r>
        <w:rPr>
          <w:spacing w:val="-2"/>
          <w:sz w:val="24"/>
        </w:rPr>
        <w:t> </w:t>
      </w:r>
      <w:r>
        <w:rPr>
          <w:sz w:val="24"/>
        </w:rPr>
        <w:t>to</w:t>
      </w:r>
      <w:r>
        <w:rPr>
          <w:spacing w:val="-3"/>
          <w:sz w:val="24"/>
        </w:rPr>
        <w:t> </w:t>
      </w:r>
      <w:r>
        <w:rPr>
          <w:sz w:val="24"/>
        </w:rPr>
        <w:t>the</w:t>
      </w:r>
      <w:r>
        <w:rPr>
          <w:spacing w:val="-3"/>
          <w:sz w:val="24"/>
        </w:rPr>
        <w:t> </w:t>
      </w:r>
      <w:r>
        <w:rPr>
          <w:sz w:val="24"/>
        </w:rPr>
        <w:t>extent</w:t>
      </w:r>
      <w:r>
        <w:rPr>
          <w:spacing w:val="-2"/>
          <w:sz w:val="24"/>
        </w:rPr>
        <w:t> </w:t>
      </w:r>
      <w:r>
        <w:rPr>
          <w:sz w:val="24"/>
        </w:rPr>
        <w:t>that they cannot acquire an education in the common schools of the state and of suitable</w:t>
      </w:r>
      <w:r>
        <w:rPr>
          <w:spacing w:val="-1"/>
          <w:sz w:val="24"/>
        </w:rPr>
        <w:t> </w:t>
      </w:r>
      <w:r>
        <w:rPr>
          <w:sz w:val="24"/>
        </w:rPr>
        <w:t>age</w:t>
      </w:r>
      <w:r>
        <w:rPr>
          <w:spacing w:val="-1"/>
          <w:sz w:val="24"/>
        </w:rPr>
        <w:t> </w:t>
      </w:r>
      <w:r>
        <w:rPr>
          <w:sz w:val="24"/>
        </w:rPr>
        <w:t>and</w:t>
      </w:r>
      <w:r>
        <w:rPr>
          <w:spacing w:val="-1"/>
          <w:sz w:val="24"/>
        </w:rPr>
        <w:t> </w:t>
      </w:r>
      <w:r>
        <w:rPr>
          <w:sz w:val="24"/>
        </w:rPr>
        <w:t>capacity</w:t>
      </w:r>
      <w:r>
        <w:rPr>
          <w:spacing w:val="-1"/>
          <w:sz w:val="24"/>
        </w:rPr>
        <w:t> </w:t>
      </w:r>
      <w:r>
        <w:rPr>
          <w:sz w:val="24"/>
        </w:rPr>
        <w:t>.</w:t>
      </w:r>
      <w:r>
        <w:rPr>
          <w:spacing w:val="-2"/>
          <w:sz w:val="24"/>
        </w:rPr>
        <w:t> </w:t>
      </w:r>
      <w:r>
        <w:rPr>
          <w:sz w:val="24"/>
        </w:rPr>
        <w:t>.</w:t>
      </w:r>
      <w:r>
        <w:rPr>
          <w:spacing w:val="-2"/>
          <w:sz w:val="24"/>
        </w:rPr>
        <w:t> </w:t>
      </w:r>
      <w:r>
        <w:rPr>
          <w:sz w:val="24"/>
        </w:rPr>
        <w:t>. are</w:t>
      </w:r>
      <w:r>
        <w:rPr>
          <w:spacing w:val="-2"/>
          <w:sz w:val="24"/>
        </w:rPr>
        <w:t> </w:t>
      </w:r>
      <w:r>
        <w:rPr>
          <w:sz w:val="24"/>
        </w:rPr>
        <w:t>entitled</w:t>
      </w:r>
      <w:r>
        <w:rPr>
          <w:spacing w:val="-1"/>
          <w:sz w:val="24"/>
        </w:rPr>
        <w:t> </w:t>
      </w:r>
      <w:r>
        <w:rPr>
          <w:sz w:val="24"/>
        </w:rPr>
        <w:t>to</w:t>
      </w:r>
      <w:r>
        <w:rPr>
          <w:spacing w:val="-2"/>
          <w:sz w:val="24"/>
        </w:rPr>
        <w:t> </w:t>
      </w:r>
      <w:r>
        <w:rPr>
          <w:sz w:val="24"/>
        </w:rPr>
        <w:t>an</w:t>
      </w:r>
      <w:r>
        <w:rPr>
          <w:spacing w:val="-1"/>
          <w:sz w:val="24"/>
        </w:rPr>
        <w:t> </w:t>
      </w:r>
      <w:r>
        <w:rPr>
          <w:sz w:val="24"/>
        </w:rPr>
        <w:t>education</w:t>
      </w:r>
      <w:r>
        <w:rPr>
          <w:spacing w:val="-1"/>
          <w:sz w:val="24"/>
        </w:rPr>
        <w:t> </w:t>
      </w:r>
      <w:r>
        <w:rPr>
          <w:sz w:val="24"/>
        </w:rPr>
        <w:t>in</w:t>
      </w:r>
      <w:r>
        <w:rPr>
          <w:spacing w:val="-1"/>
          <w:sz w:val="24"/>
        </w:rPr>
        <w:t> </w:t>
      </w:r>
      <w:r>
        <w:rPr>
          <w:sz w:val="24"/>
        </w:rPr>
        <w:t>the</w:t>
      </w:r>
      <w:r>
        <w:rPr>
          <w:spacing w:val="-1"/>
          <w:sz w:val="24"/>
        </w:rPr>
        <w:t> </w:t>
      </w:r>
      <w:r>
        <w:rPr>
          <w:sz w:val="24"/>
        </w:rPr>
        <w:t>School</w:t>
      </w:r>
      <w:r>
        <w:rPr>
          <w:spacing w:val="-1"/>
          <w:sz w:val="24"/>
        </w:rPr>
        <w:t> </w:t>
      </w:r>
      <w:r>
        <w:rPr>
          <w:sz w:val="24"/>
        </w:rPr>
        <w:t>for the</w:t>
      </w:r>
      <w:r>
        <w:rPr>
          <w:spacing w:val="-1"/>
          <w:sz w:val="24"/>
        </w:rPr>
        <w:t> </w:t>
      </w:r>
      <w:r>
        <w:rPr>
          <w:sz w:val="24"/>
        </w:rPr>
        <w:t>Deaf without charge. . ."</w:t>
      </w:r>
      <w:r>
        <w:rPr>
          <w:spacing w:val="40"/>
          <w:sz w:val="24"/>
        </w:rPr>
        <w:t> </w:t>
      </w:r>
      <w:r>
        <w:rPr>
          <w:sz w:val="24"/>
        </w:rPr>
        <w:t>[Article II, Section 5803 of the Oklahoma Constitution.]</w:t>
      </w:r>
    </w:p>
    <w:p>
      <w:pPr>
        <w:pStyle w:val="ListParagraph"/>
        <w:numPr>
          <w:ilvl w:val="0"/>
          <w:numId w:val="367"/>
        </w:numPr>
        <w:tabs>
          <w:tab w:pos="1217" w:val="left" w:leader="none"/>
        </w:tabs>
        <w:spacing w:line="208" w:lineRule="auto" w:before="240" w:after="0"/>
        <w:ind w:left="791" w:right="721" w:firstLine="0"/>
        <w:jc w:val="left"/>
        <w:rPr>
          <w:sz w:val="24"/>
        </w:rPr>
      </w:pPr>
      <w:r>
        <w:rPr>
          <w:sz w:val="24"/>
        </w:rPr>
        <w:t>The school accepts referrals from Local Education Agencies (LEA's), Regional Educational Service Centers (RESC's), educational cooperatives, parents residing within the State of Oklahoma, and/or third party agency or individual.</w:t>
      </w:r>
      <w:r>
        <w:rPr>
          <w:spacing w:val="40"/>
          <w:sz w:val="24"/>
        </w:rPr>
        <w:t> </w:t>
      </w:r>
      <w:r>
        <w:rPr>
          <w:sz w:val="24"/>
        </w:rPr>
        <w:t>The local school districts are advised of all referrals.</w:t>
      </w:r>
      <w:r>
        <w:rPr>
          <w:spacing w:val="80"/>
          <w:sz w:val="24"/>
        </w:rPr>
        <w:t> </w:t>
      </w:r>
      <w:r>
        <w:rPr>
          <w:sz w:val="24"/>
        </w:rPr>
        <w:t>When a referral is received, an evaluation is scheduled and/or records are obtained to ascertain eligibility.</w:t>
      </w:r>
      <w:r>
        <w:rPr>
          <w:spacing w:val="40"/>
          <w:sz w:val="24"/>
        </w:rPr>
        <w:t> </w:t>
      </w:r>
      <w:r>
        <w:rPr>
          <w:sz w:val="24"/>
        </w:rPr>
        <w:t>If the initial screening reveals that the student may be eligible for admission, parents and LEA will be notified to participate in the eligibility determination meeting.</w:t>
      </w:r>
      <w:r>
        <w:rPr>
          <w:spacing w:val="40"/>
          <w:sz w:val="24"/>
        </w:rPr>
        <w:t> </w:t>
      </w:r>
      <w:r>
        <w:rPr>
          <w:sz w:val="24"/>
        </w:rPr>
        <w:t>At that meeting a Categorical Statement is completed as required by law and, if appropriate, an interim 30-day Individualized Education Plan (IEP) is developed by the</w:t>
      </w:r>
      <w:r>
        <w:rPr>
          <w:spacing w:val="-3"/>
          <w:sz w:val="24"/>
        </w:rPr>
        <w:t> </w:t>
      </w:r>
      <w:r>
        <w:rPr>
          <w:sz w:val="24"/>
        </w:rPr>
        <w:t>team.</w:t>
      </w:r>
      <w:r>
        <w:rPr>
          <w:spacing w:val="40"/>
          <w:sz w:val="24"/>
        </w:rPr>
        <w:t> </w:t>
      </w:r>
      <w:r>
        <w:rPr>
          <w:sz w:val="24"/>
        </w:rPr>
        <w:t>A</w:t>
      </w:r>
      <w:r>
        <w:rPr>
          <w:spacing w:val="-3"/>
          <w:sz w:val="24"/>
        </w:rPr>
        <w:t> </w:t>
      </w:r>
      <w:r>
        <w:rPr>
          <w:sz w:val="24"/>
        </w:rPr>
        <w:t>final</w:t>
      </w:r>
      <w:r>
        <w:rPr>
          <w:spacing w:val="-3"/>
          <w:sz w:val="24"/>
        </w:rPr>
        <w:t> </w:t>
      </w:r>
      <w:r>
        <w:rPr>
          <w:sz w:val="24"/>
        </w:rPr>
        <w:t>decision</w:t>
      </w:r>
      <w:r>
        <w:rPr>
          <w:spacing w:val="-3"/>
          <w:sz w:val="24"/>
        </w:rPr>
        <w:t> </w:t>
      </w:r>
      <w:r>
        <w:rPr>
          <w:sz w:val="24"/>
        </w:rPr>
        <w:t>as</w:t>
      </w:r>
      <w:r>
        <w:rPr>
          <w:spacing w:val="-3"/>
          <w:sz w:val="24"/>
        </w:rPr>
        <w:t> </w:t>
      </w:r>
      <w:r>
        <w:rPr>
          <w:sz w:val="24"/>
        </w:rPr>
        <w:t>to</w:t>
      </w:r>
      <w:r>
        <w:rPr>
          <w:spacing w:val="-3"/>
          <w:sz w:val="24"/>
        </w:rPr>
        <w:t> </w:t>
      </w:r>
      <w:r>
        <w:rPr>
          <w:sz w:val="24"/>
        </w:rPr>
        <w:t>whether</w:t>
      </w:r>
      <w:r>
        <w:rPr>
          <w:spacing w:val="-2"/>
          <w:sz w:val="24"/>
        </w:rPr>
        <w:t> </w:t>
      </w:r>
      <w:r>
        <w:rPr>
          <w:sz w:val="24"/>
        </w:rPr>
        <w:t>or</w:t>
      </w:r>
      <w:r>
        <w:rPr>
          <w:spacing w:val="-4"/>
          <w:sz w:val="24"/>
        </w:rPr>
        <w:t> </w:t>
      </w:r>
      <w:r>
        <w:rPr>
          <w:sz w:val="24"/>
        </w:rPr>
        <w:t>not</w:t>
      </w:r>
      <w:r>
        <w:rPr>
          <w:spacing w:val="-2"/>
          <w:sz w:val="24"/>
        </w:rPr>
        <w:t> </w:t>
      </w:r>
      <w:r>
        <w:rPr>
          <w:sz w:val="24"/>
        </w:rPr>
        <w:t>to</w:t>
      </w:r>
      <w:r>
        <w:rPr>
          <w:spacing w:val="-3"/>
          <w:sz w:val="24"/>
        </w:rPr>
        <w:t> </w:t>
      </w:r>
      <w:r>
        <w:rPr>
          <w:sz w:val="24"/>
        </w:rPr>
        <w:t>continue</w:t>
      </w:r>
      <w:r>
        <w:rPr>
          <w:spacing w:val="-3"/>
          <w:sz w:val="24"/>
        </w:rPr>
        <w:t> </w:t>
      </w:r>
      <w:r>
        <w:rPr>
          <w:sz w:val="24"/>
        </w:rPr>
        <w:t>enrollment</w:t>
      </w:r>
      <w:r>
        <w:rPr>
          <w:spacing w:val="-2"/>
          <w:sz w:val="24"/>
        </w:rPr>
        <w:t> </w:t>
      </w:r>
      <w:r>
        <w:rPr>
          <w:sz w:val="24"/>
        </w:rPr>
        <w:t>shall</w:t>
      </w:r>
      <w:r>
        <w:rPr>
          <w:spacing w:val="-3"/>
          <w:sz w:val="24"/>
        </w:rPr>
        <w:t> </w:t>
      </w:r>
      <w:r>
        <w:rPr>
          <w:sz w:val="24"/>
        </w:rPr>
        <w:t>be</w:t>
      </w:r>
      <w:r>
        <w:rPr>
          <w:spacing w:val="-3"/>
          <w:sz w:val="24"/>
        </w:rPr>
        <w:t> </w:t>
      </w:r>
      <w:r>
        <w:rPr>
          <w:sz w:val="24"/>
        </w:rPr>
        <w:t>made no later than the last day off the 30-day interim period.</w:t>
      </w:r>
    </w:p>
    <w:p>
      <w:pPr>
        <w:pStyle w:val="ListParagraph"/>
        <w:numPr>
          <w:ilvl w:val="0"/>
          <w:numId w:val="367"/>
        </w:numPr>
        <w:tabs>
          <w:tab w:pos="1217" w:val="left" w:leader="none"/>
        </w:tabs>
        <w:spacing w:line="208" w:lineRule="auto" w:before="239" w:after="0"/>
        <w:ind w:left="791" w:right="796" w:firstLine="0"/>
        <w:jc w:val="left"/>
        <w:rPr>
          <w:sz w:val="24"/>
        </w:rPr>
      </w:pPr>
      <w:r>
        <w:rPr>
          <w:sz w:val="24"/>
        </w:rPr>
        <w:t>Admission to the school is accomplished through application directly from parents or guardians.</w:t>
      </w:r>
      <w:r>
        <w:rPr>
          <w:spacing w:val="40"/>
          <w:sz w:val="24"/>
        </w:rPr>
        <w:t> </w:t>
      </w:r>
      <w:r>
        <w:rPr>
          <w:sz w:val="24"/>
        </w:rPr>
        <w:t>The Oklahoma School for the Deaf is committed to assuring that the provisions of Federal Statute 20 U.S.C. 1400-1485 (Individuals with Disabilities</w:t>
      </w:r>
      <w:r>
        <w:rPr>
          <w:spacing w:val="-4"/>
          <w:sz w:val="24"/>
        </w:rPr>
        <w:t> </w:t>
      </w:r>
      <w:r>
        <w:rPr>
          <w:sz w:val="24"/>
        </w:rPr>
        <w:t>Education</w:t>
      </w:r>
      <w:r>
        <w:rPr>
          <w:spacing w:val="-4"/>
          <w:sz w:val="24"/>
        </w:rPr>
        <w:t> </w:t>
      </w:r>
      <w:r>
        <w:rPr>
          <w:sz w:val="24"/>
        </w:rPr>
        <w:t>Act)</w:t>
      </w:r>
      <w:r>
        <w:rPr>
          <w:spacing w:val="-3"/>
          <w:sz w:val="24"/>
        </w:rPr>
        <w:t> </w:t>
      </w:r>
      <w:r>
        <w:rPr>
          <w:sz w:val="24"/>
        </w:rPr>
        <w:t>are</w:t>
      </w:r>
      <w:r>
        <w:rPr>
          <w:spacing w:val="-5"/>
          <w:sz w:val="24"/>
        </w:rPr>
        <w:t> </w:t>
      </w:r>
      <w:r>
        <w:rPr>
          <w:sz w:val="24"/>
        </w:rPr>
        <w:t>met</w:t>
      </w:r>
      <w:r>
        <w:rPr>
          <w:spacing w:val="-3"/>
          <w:sz w:val="24"/>
        </w:rPr>
        <w:t> </w:t>
      </w:r>
      <w:r>
        <w:rPr>
          <w:sz w:val="24"/>
        </w:rPr>
        <w:t>and,</w:t>
      </w:r>
      <w:r>
        <w:rPr>
          <w:spacing w:val="-3"/>
          <w:sz w:val="24"/>
        </w:rPr>
        <w:t> </w:t>
      </w:r>
      <w:r>
        <w:rPr>
          <w:sz w:val="24"/>
        </w:rPr>
        <w:t>toward</w:t>
      </w:r>
      <w:r>
        <w:rPr>
          <w:spacing w:val="-4"/>
          <w:sz w:val="24"/>
        </w:rPr>
        <w:t> </w:t>
      </w:r>
      <w:r>
        <w:rPr>
          <w:sz w:val="24"/>
        </w:rPr>
        <w:t>this</w:t>
      </w:r>
      <w:r>
        <w:rPr>
          <w:spacing w:val="-4"/>
          <w:sz w:val="24"/>
        </w:rPr>
        <w:t> </w:t>
      </w:r>
      <w:r>
        <w:rPr>
          <w:sz w:val="24"/>
        </w:rPr>
        <w:t>end,</w:t>
      </w:r>
      <w:r>
        <w:rPr>
          <w:spacing w:val="-3"/>
          <w:sz w:val="24"/>
        </w:rPr>
        <w:t> </w:t>
      </w:r>
      <w:r>
        <w:rPr>
          <w:sz w:val="24"/>
        </w:rPr>
        <w:t>cooperates</w:t>
      </w:r>
      <w:r>
        <w:rPr>
          <w:spacing w:val="-4"/>
          <w:sz w:val="24"/>
        </w:rPr>
        <w:t> </w:t>
      </w:r>
      <w:r>
        <w:rPr>
          <w:sz w:val="24"/>
        </w:rPr>
        <w:t>with</w:t>
      </w:r>
      <w:r>
        <w:rPr>
          <w:spacing w:val="-4"/>
          <w:sz w:val="24"/>
        </w:rPr>
        <w:t> </w:t>
      </w:r>
      <w:r>
        <w:rPr>
          <w:sz w:val="24"/>
        </w:rPr>
        <w:t>the</w:t>
      </w:r>
      <w:r>
        <w:rPr>
          <w:spacing w:val="-4"/>
          <w:sz w:val="24"/>
        </w:rPr>
        <w:t> </w:t>
      </w:r>
      <w:r>
        <w:rPr>
          <w:sz w:val="24"/>
        </w:rPr>
        <w:t>LEA's.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spacing w:before="0"/>
        <w:ind w:left="1439" w:right="0" w:firstLine="0"/>
        <w:jc w:val="left"/>
        <w:rPr>
          <w:sz w:val="22"/>
        </w:rPr>
      </w:pPr>
      <w:r>
        <w:rPr>
          <w:sz w:val="22"/>
        </w:rPr>
        <w:t>Permanent,</w:t>
      </w:r>
      <w:r>
        <w:rPr>
          <w:spacing w:val="-6"/>
          <w:sz w:val="22"/>
        </w:rPr>
        <w:t> </w:t>
      </w:r>
      <w:r>
        <w:rPr>
          <w:sz w:val="22"/>
        </w:rPr>
        <w:t>first</w:t>
      </w:r>
      <w:r>
        <w:rPr>
          <w:spacing w:val="-7"/>
          <w:sz w:val="22"/>
        </w:rPr>
        <w:t> </w:t>
      </w:r>
      <w:r>
        <w:rPr>
          <w:sz w:val="22"/>
        </w:rPr>
        <w:t>adoption</w:t>
      </w:r>
      <w:r>
        <w:rPr>
          <w:spacing w:val="-7"/>
          <w:sz w:val="22"/>
        </w:rPr>
        <w:t> </w:t>
      </w:r>
      <w:r>
        <w:rPr>
          <w:sz w:val="22"/>
        </w:rPr>
        <w:t>under</w:t>
      </w:r>
      <w:r>
        <w:rPr>
          <w:spacing w:val="-7"/>
          <w:sz w:val="22"/>
        </w:rPr>
        <w:t> </w:t>
      </w:r>
      <w:r>
        <w:rPr>
          <w:sz w:val="22"/>
        </w:rPr>
        <w:t>OAC</w:t>
      </w:r>
      <w:r>
        <w:rPr>
          <w:spacing w:val="-8"/>
          <w:sz w:val="22"/>
        </w:rPr>
        <w:t> </w:t>
      </w:r>
      <w:r>
        <w:rPr>
          <w:sz w:val="22"/>
        </w:rPr>
        <w:t>Title</w:t>
      </w:r>
      <w:r>
        <w:rPr>
          <w:spacing w:val="-6"/>
          <w:sz w:val="22"/>
        </w:rPr>
        <w:t> </w:t>
      </w:r>
      <w:r>
        <w:rPr>
          <w:spacing w:val="-5"/>
          <w:sz w:val="22"/>
        </w:rPr>
        <w:t>612</w:t>
      </w:r>
    </w:p>
    <w:p>
      <w:pPr>
        <w:spacing w:after="0"/>
        <w:jc w:val="left"/>
        <w:rPr>
          <w:sz w:val="22"/>
        </w:rPr>
        <w:sectPr>
          <w:pgSz w:w="12240" w:h="15840"/>
          <w:pgMar w:top="1340" w:bottom="280" w:left="1080" w:right="720"/>
        </w:sectPr>
      </w:pPr>
    </w:p>
    <w:p>
      <w:pPr>
        <w:pStyle w:val="Heading2"/>
      </w:pPr>
      <w:bookmarkStart w:name="612:20-7-2.  General admission requireme" w:id="373"/>
      <w:bookmarkEnd w:id="373"/>
      <w:r>
        <w:rPr>
          <w:b w:val="0"/>
        </w:rPr>
      </w:r>
      <w:r>
        <w:rPr/>
        <w:t>612:20-7-2.</w:t>
      </w:r>
      <w:r>
        <w:rPr>
          <w:spacing w:val="58"/>
        </w:rPr>
        <w:t> </w:t>
      </w:r>
      <w:r>
        <w:rPr/>
        <w:t>General</w:t>
      </w:r>
      <w:r>
        <w:rPr>
          <w:spacing w:val="-5"/>
        </w:rPr>
        <w:t> </w:t>
      </w:r>
      <w:r>
        <w:rPr/>
        <w:t>admission</w:t>
      </w:r>
      <w:r>
        <w:rPr>
          <w:spacing w:val="-4"/>
        </w:rPr>
        <w:t> </w:t>
      </w:r>
      <w:r>
        <w:rPr>
          <w:spacing w:val="-2"/>
        </w:rPr>
        <w:t>requirements</w:t>
      </w:r>
    </w:p>
    <w:p>
      <w:pPr>
        <w:pStyle w:val="BodyText"/>
        <w:spacing w:line="208" w:lineRule="auto" w:before="233"/>
        <w:ind w:right="855" w:firstLine="432"/>
      </w:pPr>
      <w:r>
        <w:rPr/>
        <w:t>Residents of the State of Oklahoma ages 3 through 21 who are deaf or hard of hearing,</w:t>
      </w:r>
      <w:r>
        <w:rPr>
          <w:spacing w:val="-2"/>
        </w:rPr>
        <w:t> </w:t>
      </w:r>
      <w:r>
        <w:rPr/>
        <w:t>and</w:t>
      </w:r>
      <w:r>
        <w:rPr>
          <w:spacing w:val="-3"/>
        </w:rPr>
        <w:t> </w:t>
      </w:r>
      <w:r>
        <w:rPr/>
        <w:t>cannot</w:t>
      </w:r>
      <w:r>
        <w:rPr>
          <w:spacing w:val="-2"/>
        </w:rPr>
        <w:t> </w:t>
      </w:r>
      <w:r>
        <w:rPr/>
        <w:t>acquire</w:t>
      </w:r>
      <w:r>
        <w:rPr>
          <w:spacing w:val="-3"/>
        </w:rPr>
        <w:t> </w:t>
      </w:r>
      <w:r>
        <w:rPr/>
        <w:t>an</w:t>
      </w:r>
      <w:r>
        <w:rPr>
          <w:spacing w:val="-3"/>
        </w:rPr>
        <w:t> </w:t>
      </w:r>
      <w:r>
        <w:rPr/>
        <w:t>appropriate</w:t>
      </w:r>
      <w:r>
        <w:rPr>
          <w:spacing w:val="-3"/>
        </w:rPr>
        <w:t> </w:t>
      </w:r>
      <w:r>
        <w:rPr/>
        <w:t>education</w:t>
      </w:r>
      <w:r>
        <w:rPr>
          <w:spacing w:val="-3"/>
        </w:rPr>
        <w:t> </w:t>
      </w:r>
      <w:r>
        <w:rPr/>
        <w:t>in</w:t>
      </w:r>
      <w:r>
        <w:rPr>
          <w:spacing w:val="-3"/>
        </w:rPr>
        <w:t> </w:t>
      </w:r>
      <w:r>
        <w:rPr/>
        <w:t>the</w:t>
      </w:r>
      <w:r>
        <w:rPr>
          <w:spacing w:val="-3"/>
        </w:rPr>
        <w:t> </w:t>
      </w:r>
      <w:r>
        <w:rPr/>
        <w:t>common</w:t>
      </w:r>
      <w:r>
        <w:rPr>
          <w:spacing w:val="-3"/>
        </w:rPr>
        <w:t> </w:t>
      </w:r>
      <w:r>
        <w:rPr/>
        <w:t>schools</w:t>
      </w:r>
      <w:r>
        <w:rPr>
          <w:spacing w:val="-3"/>
        </w:rPr>
        <w:t> </w:t>
      </w:r>
      <w:r>
        <w:rPr/>
        <w:t>shall</w:t>
      </w:r>
      <w:r>
        <w:rPr>
          <w:spacing w:val="-3"/>
        </w:rPr>
        <w:t> </w:t>
      </w:r>
      <w:r>
        <w:rPr/>
        <w:t>be entitled to an education in the Oklahoma School for the Deaf free of charge. An individual with a hearing loss that impairs the processing of linguistic information through hearing, with or without amplification, that adversely affects that individual's educational</w:t>
      </w:r>
      <w:r>
        <w:rPr>
          <w:spacing w:val="-3"/>
        </w:rPr>
        <w:t> </w:t>
      </w:r>
      <w:r>
        <w:rPr/>
        <w:t>performance</w:t>
      </w:r>
      <w:r>
        <w:rPr>
          <w:spacing w:val="-4"/>
        </w:rPr>
        <w:t> </w:t>
      </w:r>
      <w:r>
        <w:rPr/>
        <w:t>is</w:t>
      </w:r>
      <w:r>
        <w:rPr>
          <w:spacing w:val="-4"/>
        </w:rPr>
        <w:t> </w:t>
      </w:r>
      <w:r>
        <w:rPr/>
        <w:t>considered</w:t>
      </w:r>
      <w:r>
        <w:rPr>
          <w:spacing w:val="-4"/>
        </w:rPr>
        <w:t> </w:t>
      </w:r>
      <w:r>
        <w:rPr/>
        <w:t>deaf</w:t>
      </w:r>
      <w:r>
        <w:rPr>
          <w:spacing w:val="-3"/>
        </w:rPr>
        <w:t> </w:t>
      </w:r>
      <w:r>
        <w:rPr/>
        <w:t>or</w:t>
      </w:r>
      <w:r>
        <w:rPr>
          <w:spacing w:val="-3"/>
        </w:rPr>
        <w:t> </w:t>
      </w:r>
      <w:r>
        <w:rPr/>
        <w:t>hard</w:t>
      </w:r>
      <w:r>
        <w:rPr>
          <w:spacing w:val="-4"/>
        </w:rPr>
        <w:t> </w:t>
      </w:r>
      <w:r>
        <w:rPr/>
        <w:t>of</w:t>
      </w:r>
      <w:r>
        <w:rPr>
          <w:spacing w:val="-3"/>
        </w:rPr>
        <w:t> </w:t>
      </w:r>
      <w:r>
        <w:rPr/>
        <w:t>hearing</w:t>
      </w:r>
      <w:r>
        <w:rPr>
          <w:spacing w:val="-4"/>
        </w:rPr>
        <w:t> </w:t>
      </w:r>
      <w:r>
        <w:rPr/>
        <w:t>for</w:t>
      </w:r>
      <w:r>
        <w:rPr>
          <w:spacing w:val="-3"/>
        </w:rPr>
        <w:t> </w:t>
      </w:r>
      <w:r>
        <w:rPr/>
        <w:t>the</w:t>
      </w:r>
      <w:r>
        <w:rPr>
          <w:spacing w:val="-4"/>
        </w:rPr>
        <w:t> </w:t>
      </w:r>
      <w:r>
        <w:rPr/>
        <w:t>purposes</w:t>
      </w:r>
      <w:r>
        <w:rPr>
          <w:spacing w:val="-4"/>
        </w:rPr>
        <w:t> </w:t>
      </w:r>
      <w:r>
        <w:rPr/>
        <w:t>of</w:t>
      </w:r>
      <w:r>
        <w:rPr>
          <w:spacing w:val="-4"/>
        </w:rPr>
        <w:t> </w:t>
      </w:r>
      <w:r>
        <w:rPr/>
        <w:t>this section. Eligibility indicators included:</w:t>
      </w:r>
    </w:p>
    <w:p>
      <w:pPr>
        <w:pStyle w:val="ListParagraph"/>
        <w:numPr>
          <w:ilvl w:val="0"/>
          <w:numId w:val="368"/>
        </w:numPr>
        <w:tabs>
          <w:tab w:pos="1217" w:val="left" w:leader="none"/>
        </w:tabs>
        <w:spacing w:line="208" w:lineRule="auto" w:before="239" w:after="0"/>
        <w:ind w:left="791" w:right="1644" w:firstLine="0"/>
        <w:jc w:val="left"/>
        <w:rPr>
          <w:sz w:val="24"/>
        </w:rPr>
      </w:pPr>
      <w:r>
        <w:rPr>
          <w:sz w:val="24"/>
        </w:rPr>
        <w:t>a</w:t>
      </w:r>
      <w:r>
        <w:rPr>
          <w:spacing w:val="-5"/>
          <w:sz w:val="24"/>
        </w:rPr>
        <w:t> </w:t>
      </w:r>
      <w:r>
        <w:rPr>
          <w:sz w:val="24"/>
        </w:rPr>
        <w:t>minimum</w:t>
      </w:r>
      <w:r>
        <w:rPr>
          <w:spacing w:val="-3"/>
          <w:sz w:val="24"/>
        </w:rPr>
        <w:t> </w:t>
      </w:r>
      <w:r>
        <w:rPr>
          <w:sz w:val="24"/>
        </w:rPr>
        <w:t>40</w:t>
      </w:r>
      <w:r>
        <w:rPr>
          <w:spacing w:val="-4"/>
          <w:sz w:val="24"/>
        </w:rPr>
        <w:t> </w:t>
      </w:r>
      <w:r>
        <w:rPr>
          <w:sz w:val="24"/>
        </w:rPr>
        <w:t>decibel</w:t>
      </w:r>
      <w:r>
        <w:rPr>
          <w:spacing w:val="-4"/>
          <w:sz w:val="24"/>
        </w:rPr>
        <w:t> </w:t>
      </w:r>
      <w:r>
        <w:rPr>
          <w:sz w:val="24"/>
        </w:rPr>
        <w:t>loss</w:t>
      </w:r>
      <w:r>
        <w:rPr>
          <w:spacing w:val="-4"/>
          <w:sz w:val="24"/>
        </w:rPr>
        <w:t> </w:t>
      </w:r>
      <w:r>
        <w:rPr>
          <w:sz w:val="24"/>
        </w:rPr>
        <w:t>or</w:t>
      </w:r>
      <w:r>
        <w:rPr>
          <w:spacing w:val="-3"/>
          <w:sz w:val="24"/>
        </w:rPr>
        <w:t> </w:t>
      </w:r>
      <w:r>
        <w:rPr>
          <w:sz w:val="24"/>
        </w:rPr>
        <w:t>hearing</w:t>
      </w:r>
      <w:r>
        <w:rPr>
          <w:spacing w:val="-4"/>
          <w:sz w:val="24"/>
        </w:rPr>
        <w:t> </w:t>
      </w:r>
      <w:r>
        <w:rPr>
          <w:sz w:val="24"/>
        </w:rPr>
        <w:t>impairment</w:t>
      </w:r>
      <w:r>
        <w:rPr>
          <w:spacing w:val="-5"/>
          <w:sz w:val="24"/>
        </w:rPr>
        <w:t> </w:t>
      </w:r>
      <w:r>
        <w:rPr>
          <w:sz w:val="24"/>
        </w:rPr>
        <w:t>which,</w:t>
      </w:r>
      <w:r>
        <w:rPr>
          <w:spacing w:val="-3"/>
          <w:sz w:val="24"/>
        </w:rPr>
        <w:t> </w:t>
      </w:r>
      <w:r>
        <w:rPr>
          <w:sz w:val="24"/>
        </w:rPr>
        <w:t>even</w:t>
      </w:r>
      <w:r>
        <w:rPr>
          <w:spacing w:val="-4"/>
          <w:sz w:val="24"/>
        </w:rPr>
        <w:t> </w:t>
      </w:r>
      <w:r>
        <w:rPr>
          <w:sz w:val="24"/>
        </w:rPr>
        <w:t>with</w:t>
      </w:r>
      <w:r>
        <w:rPr>
          <w:spacing w:val="-4"/>
          <w:sz w:val="24"/>
        </w:rPr>
        <w:t> </w:t>
      </w:r>
      <w:r>
        <w:rPr>
          <w:sz w:val="24"/>
        </w:rPr>
        <w:t>best correction, adversely affects educational performance; or</w:t>
      </w:r>
    </w:p>
    <w:p>
      <w:pPr>
        <w:pStyle w:val="ListParagraph"/>
        <w:numPr>
          <w:ilvl w:val="0"/>
          <w:numId w:val="368"/>
        </w:numPr>
        <w:tabs>
          <w:tab w:pos="1218" w:val="left" w:leader="none"/>
        </w:tabs>
        <w:spacing w:line="208" w:lineRule="auto" w:before="240" w:after="0"/>
        <w:ind w:left="792" w:right="1135" w:firstLine="0"/>
        <w:jc w:val="left"/>
        <w:rPr>
          <w:sz w:val="24"/>
        </w:rPr>
      </w:pPr>
      <w:r>
        <w:rPr>
          <w:sz w:val="24"/>
        </w:rPr>
        <w:t>a</w:t>
      </w:r>
      <w:r>
        <w:rPr>
          <w:spacing w:val="-5"/>
          <w:sz w:val="24"/>
        </w:rPr>
        <w:t> </w:t>
      </w:r>
      <w:r>
        <w:rPr>
          <w:sz w:val="24"/>
        </w:rPr>
        <w:t>hearing</w:t>
      </w:r>
      <w:r>
        <w:rPr>
          <w:spacing w:val="-4"/>
          <w:sz w:val="24"/>
        </w:rPr>
        <w:t> </w:t>
      </w:r>
      <w:r>
        <w:rPr>
          <w:sz w:val="24"/>
        </w:rPr>
        <w:t>loss</w:t>
      </w:r>
      <w:r>
        <w:rPr>
          <w:spacing w:val="-4"/>
          <w:sz w:val="24"/>
        </w:rPr>
        <w:t> </w:t>
      </w:r>
      <w:r>
        <w:rPr>
          <w:sz w:val="24"/>
        </w:rPr>
        <w:t>so</w:t>
      </w:r>
      <w:r>
        <w:rPr>
          <w:spacing w:val="-4"/>
          <w:sz w:val="24"/>
        </w:rPr>
        <w:t> </w:t>
      </w:r>
      <w:r>
        <w:rPr>
          <w:sz w:val="24"/>
        </w:rPr>
        <w:t>severe</w:t>
      </w:r>
      <w:r>
        <w:rPr>
          <w:spacing w:val="-4"/>
          <w:sz w:val="24"/>
        </w:rPr>
        <w:t> </w:t>
      </w:r>
      <w:r>
        <w:rPr>
          <w:sz w:val="24"/>
        </w:rPr>
        <w:t>that</w:t>
      </w:r>
      <w:r>
        <w:rPr>
          <w:spacing w:val="-5"/>
          <w:sz w:val="24"/>
        </w:rPr>
        <w:t> </w:t>
      </w:r>
      <w:r>
        <w:rPr>
          <w:sz w:val="24"/>
        </w:rPr>
        <w:t>the</w:t>
      </w:r>
      <w:r>
        <w:rPr>
          <w:spacing w:val="-4"/>
          <w:sz w:val="24"/>
        </w:rPr>
        <w:t> </w:t>
      </w:r>
      <w:r>
        <w:rPr>
          <w:sz w:val="24"/>
        </w:rPr>
        <w:t>individual</w:t>
      </w:r>
      <w:r>
        <w:rPr>
          <w:spacing w:val="-4"/>
          <w:sz w:val="24"/>
        </w:rPr>
        <w:t> </w:t>
      </w:r>
      <w:r>
        <w:rPr>
          <w:sz w:val="24"/>
        </w:rPr>
        <w:t>cannot</w:t>
      </w:r>
      <w:r>
        <w:rPr>
          <w:spacing w:val="-3"/>
          <w:sz w:val="24"/>
        </w:rPr>
        <w:t> </w:t>
      </w:r>
      <w:r>
        <w:rPr>
          <w:sz w:val="24"/>
        </w:rPr>
        <w:t>hear</w:t>
      </w:r>
      <w:r>
        <w:rPr>
          <w:spacing w:val="-3"/>
          <w:sz w:val="24"/>
        </w:rPr>
        <w:t> </w:t>
      </w:r>
      <w:r>
        <w:rPr>
          <w:sz w:val="24"/>
        </w:rPr>
        <w:t>or</w:t>
      </w:r>
      <w:r>
        <w:rPr>
          <w:spacing w:val="-3"/>
          <w:sz w:val="24"/>
        </w:rPr>
        <w:t> </w:t>
      </w:r>
      <w:r>
        <w:rPr>
          <w:sz w:val="24"/>
        </w:rPr>
        <w:t>understand</w:t>
      </w:r>
      <w:r>
        <w:rPr>
          <w:spacing w:val="-4"/>
          <w:sz w:val="24"/>
        </w:rPr>
        <w:t> </w:t>
      </w:r>
      <w:r>
        <w:rPr>
          <w:sz w:val="24"/>
        </w:rPr>
        <w:t>either speech or most sounds in the every day environment, even with a hearing aid.</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7-1-95</w:t>
      </w:r>
      <w:r>
        <w:rPr>
          <w:sz w:val="22"/>
        </w:rPr>
        <w:tab/>
        <w:t>PT Memo #95-2</w:t>
      </w:r>
    </w:p>
    <w:p>
      <w:pPr>
        <w:spacing w:before="0"/>
        <w:ind w:left="359" w:right="775" w:firstLine="0"/>
        <w:jc w:val="left"/>
        <w:rPr>
          <w:sz w:val="22"/>
        </w:rPr>
      </w:pPr>
      <w:r>
        <w:rPr>
          <w:sz w:val="22"/>
        </w:rPr>
        <w:t>Permanent,</w:t>
      </w:r>
      <w:r>
        <w:rPr>
          <w:spacing w:val="-2"/>
          <w:sz w:val="22"/>
        </w:rPr>
        <w:t> </w:t>
      </w:r>
      <w:r>
        <w:rPr>
          <w:sz w:val="22"/>
        </w:rPr>
        <w:t>paragraphs</w:t>
      </w:r>
      <w:r>
        <w:rPr>
          <w:spacing w:val="-4"/>
          <w:sz w:val="22"/>
        </w:rPr>
        <w:t> </w:t>
      </w:r>
      <w:r>
        <w:rPr>
          <w:sz w:val="22"/>
        </w:rPr>
        <w:t>4</w:t>
      </w:r>
      <w:r>
        <w:rPr>
          <w:spacing w:val="-3"/>
          <w:sz w:val="22"/>
        </w:rPr>
        <w:t> </w:t>
      </w:r>
      <w:r>
        <w:rPr>
          <w:sz w:val="22"/>
        </w:rPr>
        <w:t>&amp;</w:t>
      </w:r>
      <w:r>
        <w:rPr>
          <w:spacing w:val="-3"/>
          <w:sz w:val="22"/>
        </w:rPr>
        <w:t> </w:t>
      </w:r>
      <w:r>
        <w:rPr>
          <w:sz w:val="22"/>
        </w:rPr>
        <w:t>5</w:t>
      </w:r>
      <w:r>
        <w:rPr>
          <w:spacing w:val="-3"/>
          <w:sz w:val="22"/>
        </w:rPr>
        <w:t> </w:t>
      </w:r>
      <w:r>
        <w:rPr>
          <w:sz w:val="22"/>
        </w:rPr>
        <w:t>removed</w:t>
      </w:r>
      <w:r>
        <w:rPr>
          <w:spacing w:val="-3"/>
          <w:sz w:val="22"/>
        </w:rPr>
        <w:t> </w:t>
      </w:r>
      <w:r>
        <w:rPr>
          <w:sz w:val="22"/>
        </w:rPr>
        <w:t>to</w:t>
      </w:r>
      <w:r>
        <w:rPr>
          <w:spacing w:val="-3"/>
          <w:sz w:val="22"/>
        </w:rPr>
        <w:t> </w:t>
      </w:r>
      <w:r>
        <w:rPr>
          <w:sz w:val="22"/>
        </w:rPr>
        <w:t>bring</w:t>
      </w:r>
      <w:r>
        <w:rPr>
          <w:spacing w:val="-3"/>
          <w:sz w:val="22"/>
        </w:rPr>
        <w:t> </w:t>
      </w:r>
      <w:r>
        <w:rPr>
          <w:sz w:val="22"/>
        </w:rPr>
        <w:t>admission</w:t>
      </w:r>
      <w:r>
        <w:rPr>
          <w:spacing w:val="-3"/>
          <w:sz w:val="22"/>
        </w:rPr>
        <w:t> </w:t>
      </w:r>
      <w:r>
        <w:rPr>
          <w:sz w:val="22"/>
        </w:rPr>
        <w:t>rules</w:t>
      </w:r>
      <w:r>
        <w:rPr>
          <w:spacing w:val="-3"/>
          <w:sz w:val="22"/>
        </w:rPr>
        <w:t> </w:t>
      </w:r>
      <w:r>
        <w:rPr>
          <w:sz w:val="22"/>
        </w:rPr>
        <w:t>into</w:t>
      </w:r>
      <w:r>
        <w:rPr>
          <w:spacing w:val="-3"/>
          <w:sz w:val="22"/>
        </w:rPr>
        <w:t> </w:t>
      </w:r>
      <w:r>
        <w:rPr>
          <w:sz w:val="22"/>
        </w:rPr>
        <w:t>compliance</w:t>
      </w:r>
      <w:r>
        <w:rPr>
          <w:spacing w:val="-3"/>
          <w:sz w:val="22"/>
        </w:rPr>
        <w:t> </w:t>
      </w:r>
      <w:r>
        <w:rPr>
          <w:sz w:val="22"/>
        </w:rPr>
        <w:t>with</w:t>
      </w:r>
      <w:r>
        <w:rPr>
          <w:spacing w:val="-4"/>
          <w:sz w:val="22"/>
        </w:rPr>
        <w:t> </w:t>
      </w:r>
      <w:r>
        <w:rPr>
          <w:sz w:val="22"/>
        </w:rPr>
        <w:t>ADA</w:t>
      </w:r>
      <w:r>
        <w:rPr>
          <w:spacing w:val="-3"/>
          <w:sz w:val="22"/>
        </w:rPr>
        <w:t> </w:t>
      </w:r>
      <w:r>
        <w:rPr>
          <w:sz w:val="22"/>
        </w:rPr>
        <w:t>and </w:t>
      </w:r>
      <w:r>
        <w:rPr>
          <w:spacing w:val="-4"/>
          <w:sz w:val="22"/>
        </w:rPr>
        <w:t>IDEA</w:t>
      </w:r>
    </w:p>
    <w:p>
      <w:pPr>
        <w:spacing w:after="0"/>
        <w:jc w:val="left"/>
        <w:rPr>
          <w:sz w:val="22"/>
        </w:rPr>
        <w:sectPr>
          <w:pgSz w:w="12240" w:h="15840"/>
          <w:pgMar w:top="1340" w:bottom="280" w:left="1080" w:right="720"/>
        </w:sectPr>
      </w:pPr>
    </w:p>
    <w:p>
      <w:pPr>
        <w:pStyle w:val="Heading2"/>
      </w:pPr>
      <w:bookmarkStart w:name="612:20-7-8.  Admissions process" w:id="374"/>
      <w:bookmarkEnd w:id="374"/>
      <w:r>
        <w:rPr>
          <w:b w:val="0"/>
        </w:rPr>
      </w:r>
      <w:r>
        <w:rPr/>
        <w:t>612:20-7-8.</w:t>
      </w:r>
      <w:r>
        <w:rPr>
          <w:spacing w:val="58"/>
        </w:rPr>
        <w:t> </w:t>
      </w:r>
      <w:r>
        <w:rPr/>
        <w:t>Admissions</w:t>
      </w:r>
      <w:r>
        <w:rPr>
          <w:spacing w:val="-5"/>
        </w:rPr>
        <w:t> </w:t>
      </w:r>
      <w:r>
        <w:rPr>
          <w:spacing w:val="-2"/>
        </w:rPr>
        <w:t>process</w:t>
      </w:r>
    </w:p>
    <w:p>
      <w:pPr>
        <w:pStyle w:val="ListParagraph"/>
        <w:numPr>
          <w:ilvl w:val="0"/>
          <w:numId w:val="369"/>
        </w:numPr>
        <w:tabs>
          <w:tab w:pos="786" w:val="left" w:leader="none"/>
        </w:tabs>
        <w:spacing w:line="208" w:lineRule="auto" w:before="233" w:after="0"/>
        <w:ind w:left="360" w:right="805" w:firstLine="0"/>
        <w:jc w:val="left"/>
        <w:rPr>
          <w:sz w:val="24"/>
        </w:rPr>
      </w:pPr>
      <w:r>
        <w:rPr>
          <w:b/>
          <w:sz w:val="24"/>
        </w:rPr>
        <w:t>Referrals.</w:t>
      </w:r>
      <w:r>
        <w:rPr>
          <w:b/>
          <w:spacing w:val="40"/>
          <w:sz w:val="24"/>
        </w:rPr>
        <w:t> </w:t>
      </w:r>
      <w:r>
        <w:rPr>
          <w:sz w:val="24"/>
        </w:rPr>
        <w:t>Students must be residents of Oklahoma. Referrals may be received from school districts, Regional Educational Service Centers (RESC's), educational cooperatives, parents, and/or any third party agency or individual.</w:t>
      </w:r>
      <w:r>
        <w:rPr>
          <w:spacing w:val="40"/>
          <w:sz w:val="24"/>
        </w:rPr>
        <w:t> </w:t>
      </w:r>
      <w:r>
        <w:rPr>
          <w:sz w:val="24"/>
        </w:rPr>
        <w:t>Upon receipt of a referral, parents are contacted by the OSD Student Assessment and Program Development</w:t>
      </w:r>
      <w:r>
        <w:rPr>
          <w:spacing w:val="-3"/>
          <w:sz w:val="24"/>
        </w:rPr>
        <w:t> </w:t>
      </w:r>
      <w:r>
        <w:rPr>
          <w:sz w:val="24"/>
        </w:rPr>
        <w:t>Center</w:t>
      </w:r>
      <w:r>
        <w:rPr>
          <w:spacing w:val="-3"/>
          <w:sz w:val="24"/>
        </w:rPr>
        <w:t> </w:t>
      </w:r>
      <w:r>
        <w:rPr>
          <w:sz w:val="24"/>
        </w:rPr>
        <w:t>either</w:t>
      </w:r>
      <w:r>
        <w:rPr>
          <w:spacing w:val="-3"/>
          <w:sz w:val="24"/>
        </w:rPr>
        <w:t> </w:t>
      </w:r>
      <w:r>
        <w:rPr>
          <w:sz w:val="24"/>
        </w:rPr>
        <w:t>by</w:t>
      </w:r>
      <w:r>
        <w:rPr>
          <w:spacing w:val="-4"/>
          <w:sz w:val="24"/>
        </w:rPr>
        <w:t> </w:t>
      </w:r>
      <w:r>
        <w:rPr>
          <w:sz w:val="24"/>
        </w:rPr>
        <w:t>correspondence</w:t>
      </w:r>
      <w:r>
        <w:rPr>
          <w:spacing w:val="-4"/>
          <w:sz w:val="24"/>
        </w:rPr>
        <w:t> </w:t>
      </w:r>
      <w:r>
        <w:rPr>
          <w:sz w:val="24"/>
        </w:rPr>
        <w:t>or</w:t>
      </w:r>
      <w:r>
        <w:rPr>
          <w:spacing w:val="-3"/>
          <w:sz w:val="24"/>
        </w:rPr>
        <w:t> </w:t>
      </w:r>
      <w:r>
        <w:rPr>
          <w:sz w:val="24"/>
        </w:rPr>
        <w:t>phone.</w:t>
      </w:r>
      <w:r>
        <w:rPr>
          <w:spacing w:val="-3"/>
          <w:sz w:val="24"/>
        </w:rPr>
        <w:t> </w:t>
      </w:r>
      <w:r>
        <w:rPr>
          <w:sz w:val="24"/>
        </w:rPr>
        <w:t>Parents</w:t>
      </w:r>
      <w:r>
        <w:rPr>
          <w:spacing w:val="-5"/>
          <w:sz w:val="24"/>
        </w:rPr>
        <w:t> </w:t>
      </w:r>
      <w:r>
        <w:rPr>
          <w:sz w:val="24"/>
        </w:rPr>
        <w:t>are</w:t>
      </w:r>
      <w:r>
        <w:rPr>
          <w:spacing w:val="-4"/>
          <w:sz w:val="24"/>
        </w:rPr>
        <w:t> </w:t>
      </w:r>
      <w:r>
        <w:rPr>
          <w:sz w:val="24"/>
        </w:rPr>
        <w:t>invited</w:t>
      </w:r>
      <w:r>
        <w:rPr>
          <w:spacing w:val="-4"/>
          <w:sz w:val="24"/>
        </w:rPr>
        <w:t> </w:t>
      </w:r>
      <w:r>
        <w:rPr>
          <w:sz w:val="24"/>
        </w:rPr>
        <w:t>to</w:t>
      </w:r>
      <w:r>
        <w:rPr>
          <w:spacing w:val="-4"/>
          <w:sz w:val="24"/>
        </w:rPr>
        <w:t> </w:t>
      </w:r>
      <w:r>
        <w:rPr>
          <w:sz w:val="24"/>
        </w:rPr>
        <w:t>visit</w:t>
      </w:r>
      <w:r>
        <w:rPr>
          <w:spacing w:val="-3"/>
          <w:sz w:val="24"/>
        </w:rPr>
        <w:t> </w:t>
      </w:r>
      <w:r>
        <w:rPr>
          <w:sz w:val="24"/>
        </w:rPr>
        <w:t>the campus and OSD program.</w:t>
      </w:r>
    </w:p>
    <w:p>
      <w:pPr>
        <w:pStyle w:val="ListParagraph"/>
        <w:numPr>
          <w:ilvl w:val="0"/>
          <w:numId w:val="369"/>
        </w:numPr>
        <w:tabs>
          <w:tab w:pos="785" w:val="left" w:leader="none"/>
        </w:tabs>
        <w:spacing w:line="208" w:lineRule="auto" w:before="239" w:after="0"/>
        <w:ind w:left="360" w:right="2033" w:firstLine="0"/>
        <w:jc w:val="left"/>
        <w:rPr>
          <w:sz w:val="24"/>
        </w:rPr>
      </w:pPr>
      <w:r>
        <w:rPr>
          <w:b/>
          <w:sz w:val="24"/>
        </w:rPr>
        <w:t>Application.</w:t>
      </w:r>
      <w:r>
        <w:rPr>
          <w:b/>
          <w:spacing w:val="40"/>
          <w:sz w:val="24"/>
        </w:rPr>
        <w:t> </w:t>
      </w:r>
      <w:r>
        <w:rPr>
          <w:sz w:val="24"/>
        </w:rPr>
        <w:t>Applications</w:t>
      </w:r>
      <w:r>
        <w:rPr>
          <w:spacing w:val="-3"/>
          <w:sz w:val="24"/>
        </w:rPr>
        <w:t> </w:t>
      </w:r>
      <w:r>
        <w:rPr>
          <w:sz w:val="24"/>
        </w:rPr>
        <w:t>are</w:t>
      </w:r>
      <w:r>
        <w:rPr>
          <w:spacing w:val="-3"/>
          <w:sz w:val="24"/>
        </w:rPr>
        <w:t> </w:t>
      </w:r>
      <w:r>
        <w:rPr>
          <w:sz w:val="24"/>
        </w:rPr>
        <w:t>sent</w:t>
      </w:r>
      <w:r>
        <w:rPr>
          <w:spacing w:val="-2"/>
          <w:sz w:val="24"/>
        </w:rPr>
        <w:t> </w:t>
      </w:r>
      <w:r>
        <w:rPr>
          <w:sz w:val="24"/>
        </w:rPr>
        <w:t>to</w:t>
      </w:r>
      <w:r>
        <w:rPr>
          <w:spacing w:val="-3"/>
          <w:sz w:val="24"/>
        </w:rPr>
        <w:t> </w:t>
      </w:r>
      <w:r>
        <w:rPr>
          <w:sz w:val="24"/>
        </w:rPr>
        <w:t>parents</w:t>
      </w:r>
      <w:r>
        <w:rPr>
          <w:spacing w:val="-3"/>
          <w:sz w:val="24"/>
        </w:rPr>
        <w:t> </w:t>
      </w:r>
      <w:r>
        <w:rPr>
          <w:sz w:val="24"/>
        </w:rPr>
        <w:t>to</w:t>
      </w:r>
      <w:r>
        <w:rPr>
          <w:spacing w:val="-3"/>
          <w:sz w:val="24"/>
        </w:rPr>
        <w:t> </w:t>
      </w:r>
      <w:r>
        <w:rPr>
          <w:sz w:val="24"/>
        </w:rPr>
        <w:t>be</w:t>
      </w:r>
      <w:r>
        <w:rPr>
          <w:spacing w:val="-3"/>
          <w:sz w:val="24"/>
        </w:rPr>
        <w:t> </w:t>
      </w:r>
      <w:r>
        <w:rPr>
          <w:sz w:val="24"/>
        </w:rPr>
        <w:t>completed.</w:t>
      </w:r>
      <w:r>
        <w:rPr>
          <w:spacing w:val="40"/>
          <w:sz w:val="24"/>
        </w:rPr>
        <w:t> </w:t>
      </w:r>
      <w:r>
        <w:rPr>
          <w:sz w:val="24"/>
        </w:rPr>
        <w:t>Prior</w:t>
      </w:r>
      <w:r>
        <w:rPr>
          <w:spacing w:val="-4"/>
          <w:sz w:val="24"/>
        </w:rPr>
        <w:t> </w:t>
      </w:r>
      <w:r>
        <w:rPr>
          <w:sz w:val="24"/>
        </w:rPr>
        <w:t>to consideration for admission, the following records are requested:</w:t>
      </w:r>
    </w:p>
    <w:p>
      <w:pPr>
        <w:pStyle w:val="ListParagraph"/>
        <w:numPr>
          <w:ilvl w:val="1"/>
          <w:numId w:val="369"/>
        </w:numPr>
        <w:tabs>
          <w:tab w:pos="1217" w:val="left" w:leader="none"/>
        </w:tabs>
        <w:spacing w:line="240" w:lineRule="auto" w:before="211" w:after="0"/>
        <w:ind w:left="1217" w:right="0" w:hanging="426"/>
        <w:jc w:val="left"/>
        <w:rPr>
          <w:sz w:val="24"/>
        </w:rPr>
      </w:pPr>
      <w:r>
        <w:rPr>
          <w:sz w:val="24"/>
        </w:rPr>
        <w:t>academic</w:t>
      </w:r>
      <w:r>
        <w:rPr>
          <w:spacing w:val="-6"/>
          <w:sz w:val="24"/>
        </w:rPr>
        <w:t> </w:t>
      </w:r>
      <w:r>
        <w:rPr>
          <w:spacing w:val="-2"/>
          <w:sz w:val="24"/>
        </w:rPr>
        <w:t>records/transcripts;</w:t>
      </w:r>
    </w:p>
    <w:p>
      <w:pPr>
        <w:pStyle w:val="ListParagraph"/>
        <w:numPr>
          <w:ilvl w:val="1"/>
          <w:numId w:val="369"/>
        </w:numPr>
        <w:tabs>
          <w:tab w:pos="1216" w:val="left" w:leader="none"/>
        </w:tabs>
        <w:spacing w:line="240" w:lineRule="auto" w:before="204" w:after="0"/>
        <w:ind w:left="1216" w:right="0" w:hanging="425"/>
        <w:jc w:val="left"/>
        <w:rPr>
          <w:sz w:val="24"/>
        </w:rPr>
      </w:pPr>
      <w:r>
        <w:rPr>
          <w:sz w:val="24"/>
        </w:rPr>
        <w:t>most</w:t>
      </w:r>
      <w:r>
        <w:rPr>
          <w:spacing w:val="-6"/>
          <w:sz w:val="24"/>
        </w:rPr>
        <w:t> </w:t>
      </w:r>
      <w:r>
        <w:rPr>
          <w:sz w:val="24"/>
        </w:rPr>
        <w:t>recent</w:t>
      </w:r>
      <w:r>
        <w:rPr>
          <w:spacing w:val="-1"/>
          <w:sz w:val="24"/>
        </w:rPr>
        <w:t> </w:t>
      </w:r>
      <w:r>
        <w:rPr>
          <w:spacing w:val="-4"/>
          <w:sz w:val="24"/>
        </w:rPr>
        <w:t>IEP;</w:t>
      </w:r>
    </w:p>
    <w:p>
      <w:pPr>
        <w:pStyle w:val="ListParagraph"/>
        <w:numPr>
          <w:ilvl w:val="1"/>
          <w:numId w:val="369"/>
        </w:numPr>
        <w:tabs>
          <w:tab w:pos="1216" w:val="left" w:leader="none"/>
        </w:tabs>
        <w:spacing w:line="240" w:lineRule="auto" w:before="204" w:after="0"/>
        <w:ind w:left="1216" w:right="0" w:hanging="425"/>
        <w:jc w:val="left"/>
        <w:rPr>
          <w:sz w:val="24"/>
        </w:rPr>
      </w:pPr>
      <w:r>
        <w:rPr>
          <w:sz w:val="24"/>
        </w:rPr>
        <w:t>medical</w:t>
      </w:r>
      <w:r>
        <w:rPr>
          <w:spacing w:val="-4"/>
          <w:sz w:val="24"/>
        </w:rPr>
        <w:t> </w:t>
      </w:r>
      <w:r>
        <w:rPr>
          <w:spacing w:val="-2"/>
          <w:sz w:val="24"/>
        </w:rPr>
        <w:t>records;</w:t>
      </w:r>
    </w:p>
    <w:p>
      <w:pPr>
        <w:pStyle w:val="ListParagraph"/>
        <w:numPr>
          <w:ilvl w:val="1"/>
          <w:numId w:val="369"/>
        </w:numPr>
        <w:tabs>
          <w:tab w:pos="1217" w:val="left" w:leader="none"/>
        </w:tabs>
        <w:spacing w:line="240" w:lineRule="auto" w:before="204" w:after="0"/>
        <w:ind w:left="1217" w:right="0" w:hanging="426"/>
        <w:jc w:val="left"/>
        <w:rPr>
          <w:sz w:val="24"/>
        </w:rPr>
      </w:pPr>
      <w:r>
        <w:rPr>
          <w:sz w:val="24"/>
        </w:rPr>
        <w:t>audiological</w:t>
      </w:r>
      <w:r>
        <w:rPr>
          <w:spacing w:val="-9"/>
          <w:sz w:val="24"/>
        </w:rPr>
        <w:t> </w:t>
      </w:r>
      <w:r>
        <w:rPr>
          <w:spacing w:val="-2"/>
          <w:sz w:val="24"/>
        </w:rPr>
        <w:t>information;</w:t>
      </w:r>
    </w:p>
    <w:p>
      <w:pPr>
        <w:pStyle w:val="ListParagraph"/>
        <w:numPr>
          <w:ilvl w:val="1"/>
          <w:numId w:val="369"/>
        </w:numPr>
        <w:tabs>
          <w:tab w:pos="1217" w:val="left" w:leader="none"/>
        </w:tabs>
        <w:spacing w:line="240" w:lineRule="auto" w:before="204" w:after="0"/>
        <w:ind w:left="1217" w:right="0" w:hanging="426"/>
        <w:jc w:val="left"/>
        <w:rPr>
          <w:sz w:val="24"/>
        </w:rPr>
      </w:pPr>
      <w:r>
        <w:rPr>
          <w:sz w:val="24"/>
        </w:rPr>
        <w:t>psychological</w:t>
      </w:r>
      <w:r>
        <w:rPr>
          <w:spacing w:val="-8"/>
          <w:sz w:val="24"/>
        </w:rPr>
        <w:t> </w:t>
      </w:r>
      <w:r>
        <w:rPr>
          <w:spacing w:val="-2"/>
          <w:sz w:val="24"/>
        </w:rPr>
        <w:t>report;</w:t>
      </w:r>
    </w:p>
    <w:p>
      <w:pPr>
        <w:pStyle w:val="ListParagraph"/>
        <w:numPr>
          <w:ilvl w:val="1"/>
          <w:numId w:val="369"/>
        </w:numPr>
        <w:tabs>
          <w:tab w:pos="1217" w:val="left" w:leader="none"/>
        </w:tabs>
        <w:spacing w:line="240" w:lineRule="auto" w:before="204" w:after="0"/>
        <w:ind w:left="1217" w:right="0" w:hanging="426"/>
        <w:jc w:val="left"/>
        <w:rPr>
          <w:sz w:val="24"/>
        </w:rPr>
      </w:pPr>
      <w:r>
        <w:rPr>
          <w:sz w:val="24"/>
        </w:rPr>
        <w:t>social/emotional</w:t>
      </w:r>
      <w:r>
        <w:rPr>
          <w:spacing w:val="-6"/>
          <w:sz w:val="24"/>
        </w:rPr>
        <w:t> </w:t>
      </w:r>
      <w:r>
        <w:rPr>
          <w:sz w:val="24"/>
        </w:rPr>
        <w:t>information</w:t>
      </w:r>
      <w:r>
        <w:rPr>
          <w:spacing w:val="-6"/>
          <w:sz w:val="24"/>
        </w:rPr>
        <w:t> </w:t>
      </w:r>
      <w:r>
        <w:rPr>
          <w:sz w:val="24"/>
        </w:rPr>
        <w:t>with</w:t>
      </w:r>
      <w:r>
        <w:rPr>
          <w:spacing w:val="-6"/>
          <w:sz w:val="24"/>
        </w:rPr>
        <w:t> </w:t>
      </w:r>
      <w:r>
        <w:rPr>
          <w:sz w:val="24"/>
        </w:rPr>
        <w:t>adaptive</w:t>
      </w:r>
      <w:r>
        <w:rPr>
          <w:spacing w:val="-5"/>
          <w:sz w:val="24"/>
        </w:rPr>
        <w:t> </w:t>
      </w:r>
      <w:r>
        <w:rPr>
          <w:sz w:val="24"/>
        </w:rPr>
        <w:t>behavior;</w:t>
      </w:r>
      <w:r>
        <w:rPr>
          <w:spacing w:val="-4"/>
          <w:sz w:val="24"/>
        </w:rPr>
        <w:t> </w:t>
      </w:r>
      <w:r>
        <w:rPr>
          <w:spacing w:val="-5"/>
          <w:sz w:val="24"/>
        </w:rPr>
        <w:t>and</w:t>
      </w:r>
    </w:p>
    <w:p>
      <w:pPr>
        <w:pStyle w:val="ListParagraph"/>
        <w:numPr>
          <w:ilvl w:val="1"/>
          <w:numId w:val="369"/>
        </w:numPr>
        <w:tabs>
          <w:tab w:pos="1217" w:val="left" w:leader="none"/>
        </w:tabs>
        <w:spacing w:line="240" w:lineRule="auto" w:before="204" w:after="0"/>
        <w:ind w:left="1217" w:right="0" w:hanging="426"/>
        <w:jc w:val="left"/>
        <w:rPr>
          <w:sz w:val="24"/>
        </w:rPr>
      </w:pPr>
      <w:r>
        <w:rPr>
          <w:sz w:val="24"/>
        </w:rPr>
        <w:t>any</w:t>
      </w:r>
      <w:r>
        <w:rPr>
          <w:spacing w:val="-3"/>
          <w:sz w:val="24"/>
        </w:rPr>
        <w:t> </w:t>
      </w:r>
      <w:r>
        <w:rPr>
          <w:sz w:val="24"/>
        </w:rPr>
        <w:t>other</w:t>
      </w:r>
      <w:r>
        <w:rPr>
          <w:spacing w:val="-3"/>
          <w:sz w:val="24"/>
        </w:rPr>
        <w:t> </w:t>
      </w:r>
      <w:r>
        <w:rPr>
          <w:sz w:val="24"/>
        </w:rPr>
        <w:t>information</w:t>
      </w:r>
      <w:r>
        <w:rPr>
          <w:spacing w:val="-2"/>
          <w:sz w:val="24"/>
        </w:rPr>
        <w:t> </w:t>
      </w:r>
      <w:r>
        <w:rPr>
          <w:sz w:val="24"/>
        </w:rPr>
        <w:t>that</w:t>
      </w:r>
      <w:r>
        <w:rPr>
          <w:spacing w:val="-3"/>
          <w:sz w:val="24"/>
        </w:rPr>
        <w:t> </w:t>
      </w:r>
      <w:r>
        <w:rPr>
          <w:sz w:val="24"/>
        </w:rPr>
        <w:t>may</w:t>
      </w:r>
      <w:r>
        <w:rPr>
          <w:spacing w:val="-3"/>
          <w:sz w:val="24"/>
        </w:rPr>
        <w:t> </w:t>
      </w:r>
      <w:r>
        <w:rPr>
          <w:sz w:val="24"/>
        </w:rPr>
        <w:t>be</w:t>
      </w:r>
      <w:r>
        <w:rPr>
          <w:spacing w:val="-2"/>
          <w:sz w:val="24"/>
        </w:rPr>
        <w:t> pertinent.</w:t>
      </w:r>
    </w:p>
    <w:p>
      <w:pPr>
        <w:pStyle w:val="ListParagraph"/>
        <w:numPr>
          <w:ilvl w:val="0"/>
          <w:numId w:val="369"/>
        </w:numPr>
        <w:tabs>
          <w:tab w:pos="772" w:val="left" w:leader="none"/>
        </w:tabs>
        <w:spacing w:line="208" w:lineRule="auto" w:before="233" w:after="0"/>
        <w:ind w:left="359" w:right="757" w:firstLine="0"/>
        <w:jc w:val="left"/>
        <w:rPr>
          <w:sz w:val="24"/>
        </w:rPr>
      </w:pPr>
      <w:r>
        <w:rPr>
          <w:b/>
          <w:sz w:val="24"/>
        </w:rPr>
        <w:t>Conference/review of records/evaluation. </w:t>
      </w:r>
      <w:r>
        <w:rPr>
          <w:sz w:val="24"/>
        </w:rPr>
        <w:t>Upon receipt of all records, an IEP team which may consist of the parent, LEA representative, OSD Principal, representatives from the OSD Student Assessment and Program Development Center, special and regular teachers, and others as appropriate, will meet to determine the student's</w:t>
      </w:r>
      <w:r>
        <w:rPr>
          <w:spacing w:val="-3"/>
          <w:sz w:val="24"/>
        </w:rPr>
        <w:t> </w:t>
      </w:r>
      <w:r>
        <w:rPr>
          <w:sz w:val="24"/>
        </w:rPr>
        <w:t>program</w:t>
      </w:r>
      <w:r>
        <w:rPr>
          <w:spacing w:val="-2"/>
          <w:sz w:val="24"/>
        </w:rPr>
        <w:t> </w:t>
      </w:r>
      <w:r>
        <w:rPr>
          <w:sz w:val="24"/>
        </w:rPr>
        <w:t>needs</w:t>
      </w:r>
      <w:r>
        <w:rPr>
          <w:spacing w:val="-3"/>
          <w:sz w:val="24"/>
        </w:rPr>
        <w:t> </w:t>
      </w:r>
      <w:r>
        <w:rPr>
          <w:sz w:val="24"/>
        </w:rPr>
        <w:t>and</w:t>
      </w:r>
      <w:r>
        <w:rPr>
          <w:spacing w:val="-3"/>
          <w:sz w:val="24"/>
        </w:rPr>
        <w:t> </w:t>
      </w:r>
      <w:r>
        <w:rPr>
          <w:sz w:val="24"/>
        </w:rPr>
        <w:t>program</w:t>
      </w:r>
      <w:r>
        <w:rPr>
          <w:spacing w:val="-2"/>
          <w:sz w:val="24"/>
        </w:rPr>
        <w:t> </w:t>
      </w:r>
      <w:r>
        <w:rPr>
          <w:sz w:val="24"/>
        </w:rPr>
        <w:t>options.</w:t>
      </w:r>
      <w:r>
        <w:rPr>
          <w:spacing w:val="-2"/>
          <w:sz w:val="24"/>
        </w:rPr>
        <w:t> </w:t>
      </w:r>
      <w:r>
        <w:rPr>
          <w:sz w:val="24"/>
        </w:rPr>
        <w:t>The</w:t>
      </w:r>
      <w:r>
        <w:rPr>
          <w:spacing w:val="-3"/>
          <w:sz w:val="24"/>
        </w:rPr>
        <w:t> </w:t>
      </w:r>
      <w:r>
        <w:rPr>
          <w:sz w:val="24"/>
        </w:rPr>
        <w:t>team</w:t>
      </w:r>
      <w:r>
        <w:rPr>
          <w:spacing w:val="-2"/>
          <w:sz w:val="24"/>
        </w:rPr>
        <w:t> </w:t>
      </w:r>
      <w:r>
        <w:rPr>
          <w:sz w:val="24"/>
        </w:rPr>
        <w:t>may</w:t>
      </w:r>
      <w:r>
        <w:rPr>
          <w:spacing w:val="-4"/>
          <w:sz w:val="24"/>
        </w:rPr>
        <w:t> </w:t>
      </w:r>
      <w:r>
        <w:rPr>
          <w:sz w:val="24"/>
        </w:rPr>
        <w:t>request</w:t>
      </w:r>
      <w:r>
        <w:rPr>
          <w:spacing w:val="-2"/>
          <w:sz w:val="24"/>
        </w:rPr>
        <w:t> </w:t>
      </w:r>
      <w:r>
        <w:rPr>
          <w:sz w:val="24"/>
        </w:rPr>
        <w:t>the</w:t>
      </w:r>
      <w:r>
        <w:rPr>
          <w:spacing w:val="-3"/>
          <w:sz w:val="24"/>
        </w:rPr>
        <w:t> </w:t>
      </w:r>
      <w:r>
        <w:rPr>
          <w:sz w:val="24"/>
        </w:rPr>
        <w:t>child</w:t>
      </w:r>
      <w:r>
        <w:rPr>
          <w:spacing w:val="-3"/>
          <w:sz w:val="24"/>
        </w:rPr>
        <w:t> </w:t>
      </w:r>
      <w:r>
        <w:rPr>
          <w:sz w:val="24"/>
        </w:rPr>
        <w:t>come</w:t>
      </w:r>
      <w:r>
        <w:rPr>
          <w:spacing w:val="-3"/>
          <w:sz w:val="24"/>
        </w:rPr>
        <w:t> </w:t>
      </w:r>
      <w:r>
        <w:rPr>
          <w:sz w:val="24"/>
        </w:rPr>
        <w:t>to campus to be evaluated if further information is required. A 30 day interim IEP will be developed by the team if the individual educational needs of the student require that placement at OSD constitutes the least restrictive environment for that student.</w:t>
      </w:r>
    </w:p>
    <w:p>
      <w:pPr>
        <w:pStyle w:val="ListParagraph"/>
        <w:numPr>
          <w:ilvl w:val="0"/>
          <w:numId w:val="369"/>
        </w:numPr>
        <w:tabs>
          <w:tab w:pos="785" w:val="left" w:leader="none"/>
        </w:tabs>
        <w:spacing w:line="258" w:lineRule="exact" w:before="210" w:after="0"/>
        <w:ind w:left="785" w:right="0" w:hanging="426"/>
        <w:jc w:val="left"/>
        <w:rPr>
          <w:sz w:val="24"/>
        </w:rPr>
      </w:pPr>
      <w:r>
        <w:rPr>
          <w:b/>
          <w:sz w:val="24"/>
        </w:rPr>
        <w:t>Review</w:t>
      </w:r>
      <w:r>
        <w:rPr>
          <w:b/>
          <w:spacing w:val="-4"/>
          <w:sz w:val="24"/>
        </w:rPr>
        <w:t> </w:t>
      </w:r>
      <w:r>
        <w:rPr>
          <w:b/>
          <w:sz w:val="24"/>
        </w:rPr>
        <w:t>of</w:t>
      </w:r>
      <w:r>
        <w:rPr>
          <w:b/>
          <w:spacing w:val="-3"/>
          <w:sz w:val="24"/>
        </w:rPr>
        <w:t> </w:t>
      </w:r>
      <w:r>
        <w:rPr>
          <w:b/>
          <w:sz w:val="24"/>
        </w:rPr>
        <w:t>placement.</w:t>
      </w:r>
      <w:r>
        <w:rPr>
          <w:b/>
          <w:spacing w:val="-3"/>
          <w:sz w:val="24"/>
        </w:rPr>
        <w:t> </w:t>
      </w:r>
      <w:r>
        <w:rPr>
          <w:sz w:val="24"/>
        </w:rPr>
        <w:t>A</w:t>
      </w:r>
      <w:r>
        <w:rPr>
          <w:spacing w:val="-4"/>
          <w:sz w:val="24"/>
        </w:rPr>
        <w:t> </w:t>
      </w:r>
      <w:r>
        <w:rPr>
          <w:sz w:val="24"/>
        </w:rPr>
        <w:t>review</w:t>
      </w:r>
      <w:r>
        <w:rPr>
          <w:spacing w:val="-3"/>
          <w:sz w:val="24"/>
        </w:rPr>
        <w:t> </w:t>
      </w:r>
      <w:r>
        <w:rPr>
          <w:sz w:val="24"/>
        </w:rPr>
        <w:t>of</w:t>
      </w:r>
      <w:r>
        <w:rPr>
          <w:spacing w:val="-1"/>
          <w:sz w:val="24"/>
        </w:rPr>
        <w:t> </w:t>
      </w:r>
      <w:r>
        <w:rPr>
          <w:sz w:val="24"/>
        </w:rPr>
        <w:t>placement</w:t>
      </w:r>
      <w:r>
        <w:rPr>
          <w:spacing w:val="-2"/>
          <w:sz w:val="24"/>
        </w:rPr>
        <w:t> </w:t>
      </w:r>
      <w:r>
        <w:rPr>
          <w:sz w:val="24"/>
        </w:rPr>
        <w:t>will</w:t>
      </w:r>
      <w:r>
        <w:rPr>
          <w:spacing w:val="-1"/>
          <w:sz w:val="24"/>
        </w:rPr>
        <w:t> </w:t>
      </w:r>
      <w:r>
        <w:rPr>
          <w:sz w:val="24"/>
        </w:rPr>
        <w:t>be</w:t>
      </w:r>
      <w:r>
        <w:rPr>
          <w:spacing w:val="-3"/>
          <w:sz w:val="24"/>
        </w:rPr>
        <w:t> </w:t>
      </w:r>
      <w:r>
        <w:rPr>
          <w:sz w:val="24"/>
        </w:rPr>
        <w:t>made</w:t>
      </w:r>
      <w:r>
        <w:rPr>
          <w:spacing w:val="-2"/>
          <w:sz w:val="24"/>
        </w:rPr>
        <w:t> </w:t>
      </w:r>
      <w:r>
        <w:rPr>
          <w:sz w:val="24"/>
        </w:rPr>
        <w:t>as</w:t>
      </w:r>
      <w:r>
        <w:rPr>
          <w:spacing w:val="-3"/>
          <w:sz w:val="24"/>
        </w:rPr>
        <w:t> </w:t>
      </w:r>
      <w:r>
        <w:rPr>
          <w:sz w:val="24"/>
        </w:rPr>
        <w:t>described</w:t>
      </w:r>
      <w:r>
        <w:rPr>
          <w:spacing w:val="-1"/>
          <w:sz w:val="24"/>
        </w:rPr>
        <w:t> </w:t>
      </w:r>
      <w:r>
        <w:rPr>
          <w:sz w:val="24"/>
        </w:rPr>
        <w:t>in</w:t>
      </w:r>
      <w:r>
        <w:rPr>
          <w:spacing w:val="-3"/>
          <w:sz w:val="24"/>
        </w:rPr>
        <w:t> </w:t>
      </w:r>
      <w:r>
        <w:rPr>
          <w:sz w:val="24"/>
        </w:rPr>
        <w:t>(1)</w:t>
      </w:r>
      <w:r>
        <w:rPr>
          <w:spacing w:val="-1"/>
          <w:sz w:val="24"/>
        </w:rPr>
        <w:t> </w:t>
      </w:r>
      <w:r>
        <w:rPr>
          <w:spacing w:val="-5"/>
          <w:sz w:val="24"/>
        </w:rPr>
        <w:t>and</w:t>
      </w:r>
    </w:p>
    <w:p>
      <w:pPr>
        <w:pStyle w:val="BodyText"/>
        <w:spacing w:line="258" w:lineRule="exact" w:before="0"/>
        <w:ind w:left="359"/>
      </w:pPr>
      <w:r>
        <w:rPr/>
        <w:t>(2)</w:t>
      </w:r>
      <w:r>
        <w:rPr>
          <w:spacing w:val="-1"/>
        </w:rPr>
        <w:t> </w:t>
      </w:r>
      <w:r>
        <w:rPr/>
        <w:t>of</w:t>
      </w:r>
      <w:r>
        <w:rPr>
          <w:spacing w:val="-2"/>
        </w:rPr>
        <w:t> </w:t>
      </w:r>
      <w:r>
        <w:rPr/>
        <w:t>this</w:t>
      </w:r>
      <w:r>
        <w:rPr>
          <w:spacing w:val="-1"/>
        </w:rPr>
        <w:t> </w:t>
      </w:r>
      <w:r>
        <w:rPr>
          <w:spacing w:val="-2"/>
        </w:rPr>
        <w:t>Subsection.</w:t>
      </w:r>
    </w:p>
    <w:p>
      <w:pPr>
        <w:pStyle w:val="ListParagraph"/>
        <w:numPr>
          <w:ilvl w:val="0"/>
          <w:numId w:val="370"/>
        </w:numPr>
        <w:tabs>
          <w:tab w:pos="1217" w:val="left" w:leader="none"/>
        </w:tabs>
        <w:spacing w:line="208" w:lineRule="auto" w:before="233" w:after="0"/>
        <w:ind w:left="791" w:right="774" w:firstLine="0"/>
        <w:jc w:val="left"/>
        <w:rPr>
          <w:sz w:val="24"/>
        </w:rPr>
      </w:pPr>
      <w:r>
        <w:rPr>
          <w:b/>
          <w:sz w:val="24"/>
        </w:rPr>
        <w:t>First determination. </w:t>
      </w:r>
      <w:r>
        <w:rPr>
          <w:sz w:val="24"/>
        </w:rPr>
        <w:t>Prior to the end of the 30 day interim IEP, a review of placement will be conducted to reevaluate the placement for appropriateness in accordance with the student's individual needs. An IEP will be developed prior to continued</w:t>
      </w:r>
      <w:r>
        <w:rPr>
          <w:spacing w:val="-3"/>
          <w:sz w:val="24"/>
        </w:rPr>
        <w:t> </w:t>
      </w:r>
      <w:r>
        <w:rPr>
          <w:sz w:val="24"/>
        </w:rPr>
        <w:t>placement</w:t>
      </w:r>
      <w:r>
        <w:rPr>
          <w:spacing w:val="-3"/>
          <w:sz w:val="24"/>
        </w:rPr>
        <w:t> </w:t>
      </w:r>
      <w:r>
        <w:rPr>
          <w:sz w:val="24"/>
        </w:rPr>
        <w:t>at</w:t>
      </w:r>
      <w:r>
        <w:rPr>
          <w:spacing w:val="-3"/>
          <w:sz w:val="24"/>
        </w:rPr>
        <w:t> </w:t>
      </w:r>
      <w:r>
        <w:rPr>
          <w:sz w:val="24"/>
        </w:rPr>
        <w:t>OSD</w:t>
      </w:r>
      <w:r>
        <w:rPr>
          <w:spacing w:val="-4"/>
          <w:sz w:val="24"/>
        </w:rPr>
        <w:t> </w:t>
      </w:r>
      <w:r>
        <w:rPr>
          <w:sz w:val="24"/>
        </w:rPr>
        <w:t>if</w:t>
      </w:r>
      <w:r>
        <w:rPr>
          <w:spacing w:val="-5"/>
          <w:sz w:val="24"/>
        </w:rPr>
        <w:t> </w:t>
      </w:r>
      <w:r>
        <w:rPr>
          <w:sz w:val="24"/>
        </w:rPr>
        <w:t>the</w:t>
      </w:r>
      <w:r>
        <w:rPr>
          <w:spacing w:val="-4"/>
          <w:sz w:val="24"/>
        </w:rPr>
        <w:t> </w:t>
      </w:r>
      <w:r>
        <w:rPr>
          <w:sz w:val="24"/>
        </w:rPr>
        <w:t>IEP</w:t>
      </w:r>
      <w:r>
        <w:rPr>
          <w:spacing w:val="-4"/>
          <w:sz w:val="24"/>
        </w:rPr>
        <w:t> </w:t>
      </w:r>
      <w:r>
        <w:rPr>
          <w:sz w:val="24"/>
        </w:rPr>
        <w:t>team,</w:t>
      </w:r>
      <w:r>
        <w:rPr>
          <w:spacing w:val="-5"/>
          <w:sz w:val="24"/>
        </w:rPr>
        <w:t> </w:t>
      </w:r>
      <w:r>
        <w:rPr>
          <w:sz w:val="24"/>
        </w:rPr>
        <w:t>through</w:t>
      </w:r>
      <w:r>
        <w:rPr>
          <w:spacing w:val="-4"/>
          <w:sz w:val="24"/>
        </w:rPr>
        <w:t> </w:t>
      </w:r>
      <w:r>
        <w:rPr>
          <w:sz w:val="24"/>
        </w:rPr>
        <w:t>development</w:t>
      </w:r>
      <w:r>
        <w:rPr>
          <w:spacing w:val="-3"/>
          <w:sz w:val="24"/>
        </w:rPr>
        <w:t> </w:t>
      </w:r>
      <w:r>
        <w:rPr>
          <w:sz w:val="24"/>
        </w:rPr>
        <w:t>of</w:t>
      </w:r>
      <w:r>
        <w:rPr>
          <w:spacing w:val="-3"/>
          <w:sz w:val="24"/>
        </w:rPr>
        <w:t> </w:t>
      </w:r>
      <w:r>
        <w:rPr>
          <w:sz w:val="24"/>
        </w:rPr>
        <w:t>individualized goals and objectives, determines that such placement is the least restrictive environment</w:t>
      </w:r>
      <w:r>
        <w:rPr>
          <w:spacing w:val="-1"/>
          <w:sz w:val="24"/>
        </w:rPr>
        <w:t> </w:t>
      </w:r>
      <w:r>
        <w:rPr>
          <w:sz w:val="24"/>
        </w:rPr>
        <w:t>for</w:t>
      </w:r>
      <w:r>
        <w:rPr>
          <w:spacing w:val="-3"/>
          <w:sz w:val="24"/>
        </w:rPr>
        <w:t> </w:t>
      </w:r>
      <w:r>
        <w:rPr>
          <w:sz w:val="24"/>
        </w:rPr>
        <w:t>the</w:t>
      </w:r>
      <w:r>
        <w:rPr>
          <w:spacing w:val="-2"/>
          <w:sz w:val="24"/>
        </w:rPr>
        <w:t> </w:t>
      </w:r>
      <w:r>
        <w:rPr>
          <w:sz w:val="24"/>
        </w:rPr>
        <w:t>student.</w:t>
      </w:r>
      <w:r>
        <w:rPr>
          <w:spacing w:val="-1"/>
          <w:sz w:val="24"/>
        </w:rPr>
        <w:t> </w:t>
      </w:r>
      <w:r>
        <w:rPr>
          <w:sz w:val="24"/>
        </w:rPr>
        <w:t>Placement</w:t>
      </w:r>
      <w:r>
        <w:rPr>
          <w:spacing w:val="-1"/>
          <w:sz w:val="24"/>
        </w:rPr>
        <w:t> </w:t>
      </w:r>
      <w:r>
        <w:rPr>
          <w:sz w:val="24"/>
        </w:rPr>
        <w:t>will</w:t>
      </w:r>
      <w:r>
        <w:rPr>
          <w:spacing w:val="-1"/>
          <w:sz w:val="24"/>
        </w:rPr>
        <w:t> </w:t>
      </w:r>
      <w:r>
        <w:rPr>
          <w:sz w:val="24"/>
        </w:rPr>
        <w:t>be</w:t>
      </w:r>
      <w:r>
        <w:rPr>
          <w:spacing w:val="-2"/>
          <w:sz w:val="24"/>
        </w:rPr>
        <w:t> </w:t>
      </w:r>
      <w:r>
        <w:rPr>
          <w:sz w:val="24"/>
        </w:rPr>
        <w:t>reviewed</w:t>
      </w:r>
      <w:r>
        <w:rPr>
          <w:spacing w:val="-2"/>
          <w:sz w:val="24"/>
        </w:rPr>
        <w:t> </w:t>
      </w:r>
      <w:r>
        <w:rPr>
          <w:sz w:val="24"/>
        </w:rPr>
        <w:t>at</w:t>
      </w:r>
      <w:r>
        <w:rPr>
          <w:spacing w:val="-1"/>
          <w:sz w:val="24"/>
        </w:rPr>
        <w:t> </w:t>
      </w:r>
      <w:r>
        <w:rPr>
          <w:sz w:val="24"/>
        </w:rPr>
        <w:t>least</w:t>
      </w:r>
      <w:r>
        <w:rPr>
          <w:spacing w:val="-1"/>
          <w:sz w:val="24"/>
        </w:rPr>
        <w:t> </w:t>
      </w:r>
      <w:r>
        <w:rPr>
          <w:sz w:val="24"/>
        </w:rPr>
        <w:t>annually.</w:t>
      </w:r>
      <w:r>
        <w:rPr>
          <w:spacing w:val="-1"/>
          <w:sz w:val="24"/>
        </w:rPr>
        <w:t> </w:t>
      </w:r>
      <w:r>
        <w:rPr>
          <w:sz w:val="24"/>
        </w:rPr>
        <w:t>If</w:t>
      </w:r>
      <w:r>
        <w:rPr>
          <w:spacing w:val="-3"/>
          <w:sz w:val="24"/>
        </w:rPr>
        <w:t> </w:t>
      </w:r>
      <w:r>
        <w:rPr>
          <w:sz w:val="24"/>
        </w:rPr>
        <w:t>OSD</w:t>
      </w:r>
      <w:r>
        <w:rPr>
          <w:spacing w:val="-2"/>
          <w:sz w:val="24"/>
        </w:rPr>
        <w:t> </w:t>
      </w:r>
      <w:r>
        <w:rPr>
          <w:sz w:val="24"/>
        </w:rPr>
        <w:t>is determined by the team not to be the appropriate placement, the IEP team will reevaluate the full continuum of placements in order to meet the student's educational needs in the least restrictive environment.</w:t>
      </w:r>
    </w:p>
    <w:p>
      <w:pPr>
        <w:pStyle w:val="ListParagraph"/>
        <w:numPr>
          <w:ilvl w:val="0"/>
          <w:numId w:val="370"/>
        </w:numPr>
        <w:tabs>
          <w:tab w:pos="1217" w:val="left" w:leader="none"/>
        </w:tabs>
        <w:spacing w:line="208" w:lineRule="auto" w:before="240" w:after="0"/>
        <w:ind w:left="791" w:right="1962" w:firstLine="0"/>
        <w:jc w:val="left"/>
        <w:rPr>
          <w:sz w:val="24"/>
        </w:rPr>
      </w:pPr>
      <w:r>
        <w:rPr>
          <w:b/>
          <w:sz w:val="24"/>
        </w:rPr>
        <w:t>Readmission.</w:t>
      </w:r>
      <w:r>
        <w:rPr>
          <w:b/>
          <w:spacing w:val="40"/>
          <w:sz w:val="24"/>
        </w:rPr>
        <w:t> </w:t>
      </w:r>
      <w:r>
        <w:rPr>
          <w:sz w:val="24"/>
        </w:rPr>
        <w:t>Persons</w:t>
      </w:r>
      <w:r>
        <w:rPr>
          <w:spacing w:val="-4"/>
          <w:sz w:val="24"/>
        </w:rPr>
        <w:t> </w:t>
      </w:r>
      <w:r>
        <w:rPr>
          <w:sz w:val="24"/>
        </w:rPr>
        <w:t>formerly</w:t>
      </w:r>
      <w:r>
        <w:rPr>
          <w:spacing w:val="-4"/>
          <w:sz w:val="24"/>
        </w:rPr>
        <w:t> </w:t>
      </w:r>
      <w:r>
        <w:rPr>
          <w:sz w:val="24"/>
        </w:rPr>
        <w:t>served</w:t>
      </w:r>
      <w:r>
        <w:rPr>
          <w:spacing w:val="-4"/>
          <w:sz w:val="24"/>
        </w:rPr>
        <w:t> </w:t>
      </w:r>
      <w:r>
        <w:rPr>
          <w:sz w:val="24"/>
        </w:rPr>
        <w:t>by</w:t>
      </w:r>
      <w:r>
        <w:rPr>
          <w:spacing w:val="-4"/>
          <w:sz w:val="24"/>
        </w:rPr>
        <w:t> </w:t>
      </w:r>
      <w:r>
        <w:rPr>
          <w:sz w:val="24"/>
        </w:rPr>
        <w:t>OSD</w:t>
      </w:r>
      <w:r>
        <w:rPr>
          <w:spacing w:val="-4"/>
          <w:sz w:val="24"/>
        </w:rPr>
        <w:t> </w:t>
      </w:r>
      <w:r>
        <w:rPr>
          <w:sz w:val="24"/>
        </w:rPr>
        <w:t>shall</w:t>
      </w:r>
      <w:r>
        <w:rPr>
          <w:spacing w:val="-4"/>
          <w:sz w:val="24"/>
        </w:rPr>
        <w:t> </w:t>
      </w:r>
      <w:r>
        <w:rPr>
          <w:sz w:val="24"/>
        </w:rPr>
        <w:t>be</w:t>
      </w:r>
      <w:r>
        <w:rPr>
          <w:spacing w:val="-4"/>
          <w:sz w:val="24"/>
        </w:rPr>
        <w:t> </w:t>
      </w:r>
      <w:r>
        <w:rPr>
          <w:sz w:val="24"/>
        </w:rPr>
        <w:t>eligible</w:t>
      </w:r>
      <w:r>
        <w:rPr>
          <w:spacing w:val="-4"/>
          <w:sz w:val="24"/>
        </w:rPr>
        <w:t> </w:t>
      </w:r>
      <w:r>
        <w:rPr>
          <w:sz w:val="24"/>
        </w:rPr>
        <w:t>for readmission as described in (a) through (d)(1) of this Section.</w:t>
      </w:r>
    </w:p>
    <w:p>
      <w:pPr>
        <w:pStyle w:val="Heading2"/>
        <w:numPr>
          <w:ilvl w:val="0"/>
          <w:numId w:val="369"/>
        </w:numPr>
        <w:tabs>
          <w:tab w:pos="785" w:val="left" w:leader="none"/>
        </w:tabs>
        <w:spacing w:line="240" w:lineRule="auto" w:before="210" w:after="0"/>
        <w:ind w:left="785" w:right="0" w:hanging="426"/>
        <w:jc w:val="left"/>
      </w:pPr>
      <w:r>
        <w:rPr/>
        <w:t>Special</w:t>
      </w:r>
      <w:r>
        <w:rPr>
          <w:spacing w:val="-5"/>
        </w:rPr>
        <w:t> </w:t>
      </w:r>
      <w:r>
        <w:rPr>
          <w:spacing w:val="-2"/>
        </w:rPr>
        <w:t>facts.</w:t>
      </w:r>
    </w:p>
    <w:p>
      <w:pPr>
        <w:pStyle w:val="ListParagraph"/>
        <w:numPr>
          <w:ilvl w:val="1"/>
          <w:numId w:val="369"/>
        </w:numPr>
        <w:tabs>
          <w:tab w:pos="1217" w:val="left" w:leader="none"/>
        </w:tabs>
        <w:spacing w:line="240" w:lineRule="auto" w:before="204" w:after="0"/>
        <w:ind w:left="1217" w:right="0" w:hanging="426"/>
        <w:jc w:val="left"/>
        <w:rPr>
          <w:sz w:val="24"/>
        </w:rPr>
      </w:pPr>
      <w:r>
        <w:rPr>
          <w:sz w:val="24"/>
        </w:rPr>
        <w:t>There</w:t>
      </w:r>
      <w:r>
        <w:rPr>
          <w:spacing w:val="-2"/>
          <w:sz w:val="24"/>
        </w:rPr>
        <w:t> </w:t>
      </w:r>
      <w:r>
        <w:rPr>
          <w:sz w:val="24"/>
        </w:rPr>
        <w:t>is</w:t>
      </w:r>
      <w:r>
        <w:rPr>
          <w:spacing w:val="-3"/>
          <w:sz w:val="24"/>
        </w:rPr>
        <w:t> </w:t>
      </w:r>
      <w:r>
        <w:rPr>
          <w:sz w:val="24"/>
        </w:rPr>
        <w:t>no</w:t>
      </w:r>
      <w:r>
        <w:rPr>
          <w:spacing w:val="-2"/>
          <w:sz w:val="24"/>
        </w:rPr>
        <w:t> </w:t>
      </w:r>
      <w:r>
        <w:rPr>
          <w:sz w:val="24"/>
        </w:rPr>
        <w:t>tuition</w:t>
      </w:r>
      <w:r>
        <w:rPr>
          <w:spacing w:val="-2"/>
          <w:sz w:val="24"/>
        </w:rPr>
        <w:t> </w:t>
      </w:r>
      <w:r>
        <w:rPr>
          <w:sz w:val="24"/>
        </w:rPr>
        <w:t>fee</w:t>
      </w:r>
      <w:r>
        <w:rPr>
          <w:spacing w:val="-2"/>
          <w:sz w:val="24"/>
        </w:rPr>
        <w:t> </w:t>
      </w:r>
      <w:r>
        <w:rPr>
          <w:sz w:val="24"/>
        </w:rPr>
        <w:t>for</w:t>
      </w:r>
      <w:r>
        <w:rPr>
          <w:spacing w:val="-2"/>
          <w:sz w:val="24"/>
        </w:rPr>
        <w:t> </w:t>
      </w:r>
      <w:r>
        <w:rPr>
          <w:spacing w:val="-4"/>
          <w:sz w:val="24"/>
        </w:rPr>
        <w:t>OSD.</w:t>
      </w:r>
    </w:p>
    <w:p>
      <w:pPr>
        <w:pStyle w:val="ListParagraph"/>
        <w:spacing w:after="0" w:line="240" w:lineRule="auto"/>
        <w:jc w:val="left"/>
        <w:rPr>
          <w:sz w:val="24"/>
        </w:rPr>
        <w:sectPr>
          <w:pgSz w:w="12240" w:h="15840"/>
          <w:pgMar w:top="1340" w:bottom="280" w:left="1080" w:right="720"/>
        </w:sectPr>
      </w:pPr>
    </w:p>
    <w:p>
      <w:pPr>
        <w:pStyle w:val="ListParagraph"/>
        <w:numPr>
          <w:ilvl w:val="1"/>
          <w:numId w:val="369"/>
        </w:numPr>
        <w:tabs>
          <w:tab w:pos="1217" w:val="left" w:leader="none"/>
        </w:tabs>
        <w:spacing w:line="240" w:lineRule="auto" w:before="67" w:after="0"/>
        <w:ind w:left="1217" w:right="0" w:hanging="426"/>
        <w:jc w:val="left"/>
        <w:rPr>
          <w:sz w:val="24"/>
        </w:rPr>
      </w:pPr>
      <w:r>
        <w:rPr>
          <w:sz w:val="24"/>
        </w:rPr>
        <w:t>There</w:t>
      </w:r>
      <w:r>
        <w:rPr>
          <w:spacing w:val="-3"/>
          <w:sz w:val="24"/>
        </w:rPr>
        <w:t> </w:t>
      </w:r>
      <w:r>
        <w:rPr>
          <w:sz w:val="24"/>
        </w:rPr>
        <w:t>is</w:t>
      </w:r>
      <w:r>
        <w:rPr>
          <w:spacing w:val="-3"/>
          <w:sz w:val="24"/>
        </w:rPr>
        <w:t> </w:t>
      </w:r>
      <w:r>
        <w:rPr>
          <w:sz w:val="24"/>
        </w:rPr>
        <w:t>no</w:t>
      </w:r>
      <w:r>
        <w:rPr>
          <w:spacing w:val="-3"/>
          <w:sz w:val="24"/>
        </w:rPr>
        <w:t> </w:t>
      </w:r>
      <w:r>
        <w:rPr>
          <w:sz w:val="24"/>
        </w:rPr>
        <w:t>room/board</w:t>
      </w:r>
      <w:r>
        <w:rPr>
          <w:spacing w:val="-3"/>
          <w:sz w:val="24"/>
        </w:rPr>
        <w:t> </w:t>
      </w:r>
      <w:r>
        <w:rPr>
          <w:sz w:val="24"/>
        </w:rPr>
        <w:t>fee</w:t>
      </w:r>
      <w:r>
        <w:rPr>
          <w:spacing w:val="-3"/>
          <w:sz w:val="24"/>
        </w:rPr>
        <w:t> </w:t>
      </w:r>
      <w:r>
        <w:rPr>
          <w:sz w:val="24"/>
        </w:rPr>
        <w:t>for</w:t>
      </w:r>
      <w:r>
        <w:rPr>
          <w:spacing w:val="-3"/>
          <w:sz w:val="24"/>
        </w:rPr>
        <w:t> </w:t>
      </w:r>
      <w:r>
        <w:rPr>
          <w:sz w:val="24"/>
        </w:rPr>
        <w:t>OSD</w:t>
      </w:r>
      <w:r>
        <w:rPr>
          <w:spacing w:val="-2"/>
          <w:sz w:val="24"/>
        </w:rPr>
        <w:t> </w:t>
      </w:r>
      <w:r>
        <w:rPr>
          <w:sz w:val="24"/>
        </w:rPr>
        <w:t>residential</w:t>
      </w:r>
      <w:r>
        <w:rPr>
          <w:spacing w:val="-3"/>
          <w:sz w:val="24"/>
        </w:rPr>
        <w:t> </w:t>
      </w:r>
      <w:r>
        <w:rPr>
          <w:spacing w:val="-2"/>
          <w:sz w:val="24"/>
        </w:rPr>
        <w:t>students.</w:t>
      </w:r>
    </w:p>
    <w:p>
      <w:pPr>
        <w:pStyle w:val="ListParagraph"/>
        <w:numPr>
          <w:ilvl w:val="1"/>
          <w:numId w:val="369"/>
        </w:numPr>
        <w:tabs>
          <w:tab w:pos="1218" w:val="left" w:leader="none"/>
        </w:tabs>
        <w:spacing w:line="208" w:lineRule="auto" w:before="233" w:after="0"/>
        <w:ind w:left="792" w:right="865" w:firstLine="0"/>
        <w:jc w:val="left"/>
        <w:rPr>
          <w:sz w:val="24"/>
        </w:rPr>
      </w:pPr>
      <w:r>
        <w:rPr>
          <w:sz w:val="24"/>
        </w:rPr>
        <w:t>Transportation</w:t>
      </w:r>
      <w:r>
        <w:rPr>
          <w:spacing w:val="-4"/>
          <w:sz w:val="24"/>
        </w:rPr>
        <w:t> </w:t>
      </w:r>
      <w:r>
        <w:rPr>
          <w:sz w:val="24"/>
        </w:rPr>
        <w:t>is</w:t>
      </w:r>
      <w:r>
        <w:rPr>
          <w:spacing w:val="-4"/>
          <w:sz w:val="24"/>
        </w:rPr>
        <w:t> </w:t>
      </w:r>
      <w:r>
        <w:rPr>
          <w:sz w:val="24"/>
        </w:rPr>
        <w:t>provided</w:t>
      </w:r>
      <w:r>
        <w:rPr>
          <w:spacing w:val="-4"/>
          <w:sz w:val="24"/>
        </w:rPr>
        <w:t> </w:t>
      </w:r>
      <w:r>
        <w:rPr>
          <w:sz w:val="24"/>
        </w:rPr>
        <w:t>each</w:t>
      </w:r>
      <w:r>
        <w:rPr>
          <w:spacing w:val="-4"/>
          <w:sz w:val="24"/>
        </w:rPr>
        <w:t> </w:t>
      </w:r>
      <w:r>
        <w:rPr>
          <w:sz w:val="24"/>
        </w:rPr>
        <w:t>weekend</w:t>
      </w:r>
      <w:r>
        <w:rPr>
          <w:spacing w:val="-4"/>
          <w:sz w:val="24"/>
        </w:rPr>
        <w:t> </w:t>
      </w:r>
      <w:r>
        <w:rPr>
          <w:sz w:val="24"/>
        </w:rPr>
        <w:t>to</w:t>
      </w:r>
      <w:r>
        <w:rPr>
          <w:spacing w:val="-4"/>
          <w:sz w:val="24"/>
        </w:rPr>
        <w:t> </w:t>
      </w:r>
      <w:r>
        <w:rPr>
          <w:sz w:val="24"/>
        </w:rPr>
        <w:t>and</w:t>
      </w:r>
      <w:r>
        <w:rPr>
          <w:spacing w:val="-4"/>
          <w:sz w:val="24"/>
        </w:rPr>
        <w:t> </w:t>
      </w:r>
      <w:r>
        <w:rPr>
          <w:sz w:val="24"/>
        </w:rPr>
        <w:t>from</w:t>
      </w:r>
      <w:r>
        <w:rPr>
          <w:spacing w:val="-3"/>
          <w:sz w:val="24"/>
        </w:rPr>
        <w:t> </w:t>
      </w:r>
      <w:r>
        <w:rPr>
          <w:sz w:val="24"/>
        </w:rPr>
        <w:t>designated</w:t>
      </w:r>
      <w:r>
        <w:rPr>
          <w:spacing w:val="-4"/>
          <w:sz w:val="24"/>
        </w:rPr>
        <w:t> </w:t>
      </w:r>
      <w:r>
        <w:rPr>
          <w:sz w:val="24"/>
        </w:rPr>
        <w:t>areas</w:t>
      </w:r>
      <w:r>
        <w:rPr>
          <w:spacing w:val="-4"/>
          <w:sz w:val="24"/>
        </w:rPr>
        <w:t> </w:t>
      </w:r>
      <w:r>
        <w:rPr>
          <w:sz w:val="24"/>
        </w:rPr>
        <w:t>across the state.</w:t>
      </w:r>
      <w:r>
        <w:rPr>
          <w:spacing w:val="40"/>
          <w:sz w:val="24"/>
        </w:rPr>
        <w:t> </w:t>
      </w:r>
      <w:r>
        <w:rPr>
          <w:sz w:val="24"/>
        </w:rPr>
        <w:t>There is no fee for this service. Other transportation needs will be addressed through the IEP process.</w:t>
      </w:r>
    </w:p>
    <w:p>
      <w:pPr>
        <w:pStyle w:val="ListParagraph"/>
        <w:numPr>
          <w:ilvl w:val="1"/>
          <w:numId w:val="369"/>
        </w:numPr>
        <w:tabs>
          <w:tab w:pos="1217" w:val="left" w:leader="none"/>
        </w:tabs>
        <w:spacing w:line="208" w:lineRule="auto" w:before="240" w:after="0"/>
        <w:ind w:left="791" w:right="1022" w:firstLine="0"/>
        <w:jc w:val="left"/>
        <w:rPr>
          <w:sz w:val="24"/>
        </w:rPr>
      </w:pPr>
      <w:r>
        <w:rPr>
          <w:sz w:val="24"/>
        </w:rPr>
        <w:t>Parents/Guardians</w:t>
      </w:r>
      <w:r>
        <w:rPr>
          <w:spacing w:val="-5"/>
          <w:sz w:val="24"/>
        </w:rPr>
        <w:t> </w:t>
      </w:r>
      <w:r>
        <w:rPr>
          <w:sz w:val="24"/>
        </w:rPr>
        <w:t>are</w:t>
      </w:r>
      <w:r>
        <w:rPr>
          <w:spacing w:val="-5"/>
          <w:sz w:val="24"/>
        </w:rPr>
        <w:t> </w:t>
      </w:r>
      <w:r>
        <w:rPr>
          <w:sz w:val="24"/>
        </w:rPr>
        <w:t>responsible</w:t>
      </w:r>
      <w:r>
        <w:rPr>
          <w:spacing w:val="-5"/>
          <w:sz w:val="24"/>
        </w:rPr>
        <w:t> </w:t>
      </w:r>
      <w:r>
        <w:rPr>
          <w:sz w:val="24"/>
        </w:rPr>
        <w:t>for</w:t>
      </w:r>
      <w:r>
        <w:rPr>
          <w:spacing w:val="-4"/>
          <w:sz w:val="24"/>
        </w:rPr>
        <w:t> </w:t>
      </w:r>
      <w:r>
        <w:rPr>
          <w:sz w:val="24"/>
        </w:rPr>
        <w:t>the</w:t>
      </w:r>
      <w:r>
        <w:rPr>
          <w:spacing w:val="-5"/>
          <w:sz w:val="24"/>
        </w:rPr>
        <w:t> </w:t>
      </w:r>
      <w:r>
        <w:rPr>
          <w:sz w:val="24"/>
        </w:rPr>
        <w:t>child's</w:t>
      </w:r>
      <w:r>
        <w:rPr>
          <w:spacing w:val="-5"/>
          <w:sz w:val="24"/>
        </w:rPr>
        <w:t> </w:t>
      </w:r>
      <w:r>
        <w:rPr>
          <w:sz w:val="24"/>
        </w:rPr>
        <w:t>clothing,</w:t>
      </w:r>
      <w:r>
        <w:rPr>
          <w:spacing w:val="-4"/>
          <w:sz w:val="24"/>
        </w:rPr>
        <w:t> </w:t>
      </w:r>
      <w:r>
        <w:rPr>
          <w:sz w:val="24"/>
        </w:rPr>
        <w:t>medical</w:t>
      </w:r>
      <w:r>
        <w:rPr>
          <w:spacing w:val="-5"/>
          <w:sz w:val="24"/>
        </w:rPr>
        <w:t> </w:t>
      </w:r>
      <w:r>
        <w:rPr>
          <w:sz w:val="24"/>
        </w:rPr>
        <w:t>expenses, and personal hygiene items, and weekly allowance.</w:t>
      </w:r>
    </w:p>
    <w:p>
      <w:pPr>
        <w:pStyle w:val="ListParagraph"/>
        <w:numPr>
          <w:ilvl w:val="0"/>
          <w:numId w:val="369"/>
        </w:numPr>
        <w:tabs>
          <w:tab w:pos="717" w:val="left" w:leader="none"/>
        </w:tabs>
        <w:spacing w:line="208" w:lineRule="auto" w:before="239" w:after="0"/>
        <w:ind w:left="359" w:right="1392" w:firstLine="0"/>
        <w:jc w:val="left"/>
        <w:rPr>
          <w:sz w:val="24"/>
        </w:rPr>
      </w:pPr>
      <w:r>
        <w:rPr>
          <w:b/>
          <w:sz w:val="24"/>
        </w:rPr>
        <w:t>Admission information source.</w:t>
      </w:r>
      <w:r>
        <w:rPr>
          <w:b/>
          <w:spacing w:val="40"/>
          <w:sz w:val="24"/>
        </w:rPr>
        <w:t> </w:t>
      </w:r>
      <w:r>
        <w:rPr>
          <w:sz w:val="24"/>
        </w:rPr>
        <w:t>For admission information, please contact: Admissions,</w:t>
      </w:r>
      <w:r>
        <w:rPr>
          <w:spacing w:val="-4"/>
          <w:sz w:val="24"/>
        </w:rPr>
        <w:t> </w:t>
      </w:r>
      <w:r>
        <w:rPr>
          <w:sz w:val="24"/>
        </w:rPr>
        <w:t>Oklahoma</w:t>
      </w:r>
      <w:r>
        <w:rPr>
          <w:spacing w:val="-5"/>
          <w:sz w:val="24"/>
        </w:rPr>
        <w:t> </w:t>
      </w:r>
      <w:r>
        <w:rPr>
          <w:sz w:val="24"/>
        </w:rPr>
        <w:t>School</w:t>
      </w:r>
      <w:r>
        <w:rPr>
          <w:spacing w:val="-5"/>
          <w:sz w:val="24"/>
        </w:rPr>
        <w:t> </w:t>
      </w:r>
      <w:r>
        <w:rPr>
          <w:sz w:val="24"/>
        </w:rPr>
        <w:t>for</w:t>
      </w:r>
      <w:r>
        <w:rPr>
          <w:spacing w:val="-4"/>
          <w:sz w:val="24"/>
        </w:rPr>
        <w:t> </w:t>
      </w:r>
      <w:r>
        <w:rPr>
          <w:sz w:val="24"/>
        </w:rPr>
        <w:t>the</w:t>
      </w:r>
      <w:r>
        <w:rPr>
          <w:spacing w:val="-5"/>
          <w:sz w:val="24"/>
        </w:rPr>
        <w:t> </w:t>
      </w:r>
      <w:r>
        <w:rPr>
          <w:sz w:val="24"/>
        </w:rPr>
        <w:t>Deaf,</w:t>
      </w:r>
      <w:r>
        <w:rPr>
          <w:spacing w:val="-4"/>
          <w:sz w:val="24"/>
        </w:rPr>
        <w:t> </w:t>
      </w:r>
      <w:r>
        <w:rPr>
          <w:sz w:val="24"/>
        </w:rPr>
        <w:t>1100</w:t>
      </w:r>
      <w:r>
        <w:rPr>
          <w:spacing w:val="-5"/>
          <w:sz w:val="24"/>
        </w:rPr>
        <w:t> </w:t>
      </w:r>
      <w:r>
        <w:rPr>
          <w:sz w:val="24"/>
        </w:rPr>
        <w:t>East</w:t>
      </w:r>
      <w:r>
        <w:rPr>
          <w:spacing w:val="-4"/>
          <w:sz w:val="24"/>
        </w:rPr>
        <w:t> </w:t>
      </w:r>
      <w:r>
        <w:rPr>
          <w:sz w:val="24"/>
        </w:rPr>
        <w:t>Oklahoma</w:t>
      </w:r>
      <w:r>
        <w:rPr>
          <w:spacing w:val="-5"/>
          <w:sz w:val="24"/>
        </w:rPr>
        <w:t> </w:t>
      </w:r>
      <w:r>
        <w:rPr>
          <w:sz w:val="24"/>
        </w:rPr>
        <w:t>Street,</w:t>
      </w:r>
      <w:r>
        <w:rPr>
          <w:spacing w:val="-4"/>
          <w:sz w:val="24"/>
        </w:rPr>
        <w:t> </w:t>
      </w:r>
      <w:r>
        <w:rPr>
          <w:sz w:val="24"/>
        </w:rPr>
        <w:t>Sulphur, Oklahoma</w:t>
      </w:r>
      <w:r>
        <w:rPr>
          <w:spacing w:val="40"/>
          <w:sz w:val="24"/>
        </w:rPr>
        <w:t> </w:t>
      </w:r>
      <w:r>
        <w:rPr>
          <w:sz w:val="24"/>
        </w:rPr>
        <w:t>73086-3108, Telephone 580-622-4900 (Voice or TDD).</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7-1-95</w:t>
      </w:r>
      <w:r>
        <w:rPr>
          <w:sz w:val="22"/>
        </w:rPr>
        <w:tab/>
        <w:t>PT Memo #95-2</w:t>
      </w:r>
    </w:p>
    <w:p>
      <w:pPr>
        <w:tabs>
          <w:tab w:pos="1439" w:val="left" w:leader="none"/>
        </w:tabs>
        <w:spacing w:before="1"/>
        <w:ind w:left="359" w:right="2199" w:firstLine="1080"/>
        <w:jc w:val="left"/>
        <w:rPr>
          <w:sz w:val="22"/>
        </w:rPr>
      </w:pPr>
      <w:r>
        <w:rPr>
          <w:sz w:val="22"/>
        </w:rPr>
        <w:t>Permanent,</w:t>
      </w:r>
      <w:r>
        <w:rPr>
          <w:spacing w:val="-5"/>
          <w:sz w:val="22"/>
        </w:rPr>
        <w:t> </w:t>
      </w:r>
      <w:r>
        <w:rPr>
          <w:sz w:val="22"/>
        </w:rPr>
        <w:t>Section</w:t>
      </w:r>
      <w:r>
        <w:rPr>
          <w:spacing w:val="-6"/>
          <w:sz w:val="22"/>
        </w:rPr>
        <w:t> </w:t>
      </w:r>
      <w:r>
        <w:rPr>
          <w:sz w:val="22"/>
        </w:rPr>
        <w:t>rewritten</w:t>
      </w:r>
      <w:r>
        <w:rPr>
          <w:spacing w:val="-6"/>
          <w:sz w:val="22"/>
        </w:rPr>
        <w:t> </w:t>
      </w:r>
      <w:r>
        <w:rPr>
          <w:sz w:val="22"/>
        </w:rPr>
        <w:t>according</w:t>
      </w:r>
      <w:r>
        <w:rPr>
          <w:spacing w:val="-6"/>
          <w:sz w:val="22"/>
        </w:rPr>
        <w:t> </w:t>
      </w:r>
      <w:r>
        <w:rPr>
          <w:sz w:val="22"/>
        </w:rPr>
        <w:t>to</w:t>
      </w:r>
      <w:r>
        <w:rPr>
          <w:spacing w:val="-6"/>
          <w:sz w:val="22"/>
        </w:rPr>
        <w:t> </w:t>
      </w:r>
      <w:r>
        <w:rPr>
          <w:sz w:val="22"/>
        </w:rPr>
        <w:t>accepted</w:t>
      </w:r>
      <w:r>
        <w:rPr>
          <w:spacing w:val="-6"/>
          <w:sz w:val="22"/>
        </w:rPr>
        <w:t> </w:t>
      </w:r>
      <w:r>
        <w:rPr>
          <w:sz w:val="22"/>
        </w:rPr>
        <w:t>modern</w:t>
      </w:r>
      <w:r>
        <w:rPr>
          <w:spacing w:val="-6"/>
          <w:sz w:val="22"/>
        </w:rPr>
        <w:t> </w:t>
      </w:r>
      <w:r>
        <w:rPr>
          <w:sz w:val="22"/>
        </w:rPr>
        <w:t>practices </w:t>
      </w:r>
      <w:r>
        <w:rPr>
          <w:spacing w:val="-2"/>
          <w:sz w:val="22"/>
        </w:rPr>
        <w:t>7-1-03</w:t>
      </w:r>
      <w:r>
        <w:rPr>
          <w:sz w:val="22"/>
        </w:rPr>
        <w:tab/>
        <w:t>PT Memo #03-07</w:t>
      </w:r>
    </w:p>
    <w:p>
      <w:pPr>
        <w:spacing w:line="252" w:lineRule="exact" w:before="0"/>
        <w:ind w:left="1439" w:right="0" w:firstLine="0"/>
        <w:jc w:val="left"/>
        <w:rPr>
          <w:sz w:val="22"/>
        </w:rPr>
      </w:pPr>
      <w:r>
        <w:rPr>
          <w:sz w:val="22"/>
        </w:rPr>
        <w:t>Permanent,</w:t>
      </w:r>
      <w:r>
        <w:rPr>
          <w:spacing w:val="-8"/>
          <w:sz w:val="22"/>
        </w:rPr>
        <w:t> </w:t>
      </w:r>
      <w:r>
        <w:rPr>
          <w:sz w:val="22"/>
        </w:rPr>
        <w:t>updated</w:t>
      </w:r>
      <w:r>
        <w:rPr>
          <w:spacing w:val="-8"/>
          <w:sz w:val="22"/>
        </w:rPr>
        <w:t> </w:t>
      </w:r>
      <w:r>
        <w:rPr>
          <w:sz w:val="22"/>
        </w:rPr>
        <w:t>address</w:t>
      </w:r>
      <w:r>
        <w:rPr>
          <w:spacing w:val="-9"/>
          <w:sz w:val="22"/>
        </w:rPr>
        <w:t> </w:t>
      </w:r>
      <w:r>
        <w:rPr>
          <w:sz w:val="22"/>
        </w:rPr>
        <w:t>and</w:t>
      </w:r>
      <w:r>
        <w:rPr>
          <w:spacing w:val="-8"/>
          <w:sz w:val="22"/>
        </w:rPr>
        <w:t> </w:t>
      </w:r>
      <w:r>
        <w:rPr>
          <w:spacing w:val="-2"/>
          <w:sz w:val="22"/>
        </w:rPr>
        <w:t>phone</w:t>
      </w:r>
    </w:p>
    <w:p>
      <w:pPr>
        <w:spacing w:after="0" w:line="252" w:lineRule="exact"/>
        <w:jc w:val="left"/>
        <w:rPr>
          <w:sz w:val="22"/>
        </w:rPr>
        <w:sectPr>
          <w:pgSz w:w="12240" w:h="15840"/>
          <w:pgMar w:top="1340" w:bottom="280" w:left="1080" w:right="720"/>
        </w:sectPr>
      </w:pPr>
    </w:p>
    <w:p>
      <w:pPr>
        <w:pStyle w:val="Heading2"/>
        <w:ind w:left="420" w:right="777"/>
        <w:jc w:val="center"/>
      </w:pPr>
      <w:bookmarkStart w:name="SUBCHAPTER 9.  Special Service Programs" w:id="375"/>
      <w:bookmarkEnd w:id="375"/>
      <w:r>
        <w:rPr>
          <w:b w:val="0"/>
        </w:rPr>
      </w:r>
      <w:r>
        <w:rPr/>
        <w:t>SUBCHAPTER</w:t>
      </w:r>
      <w:r>
        <w:rPr>
          <w:spacing w:val="-3"/>
        </w:rPr>
        <w:t> </w:t>
      </w:r>
      <w:r>
        <w:rPr/>
        <w:t>9.</w:t>
      </w:r>
      <w:r>
        <w:rPr>
          <w:spacing w:val="61"/>
        </w:rPr>
        <w:t> </w:t>
      </w:r>
      <w:r>
        <w:rPr/>
        <w:t>Special</w:t>
      </w:r>
      <w:r>
        <w:rPr>
          <w:spacing w:val="-2"/>
        </w:rPr>
        <w:t> </w:t>
      </w:r>
      <w:r>
        <w:rPr/>
        <w:t>Service</w:t>
      </w:r>
      <w:r>
        <w:rPr>
          <w:spacing w:val="-3"/>
        </w:rPr>
        <w:t> </w:t>
      </w:r>
      <w:r>
        <w:rPr>
          <w:spacing w:val="-2"/>
        </w:rPr>
        <w:t>Programs</w:t>
      </w:r>
    </w:p>
    <w:p>
      <w:pPr>
        <w:pStyle w:val="BodyText"/>
        <w:spacing w:before="204"/>
      </w:pPr>
      <w:r>
        <w:rPr>
          <w:spacing w:val="-2"/>
        </w:rPr>
        <w:t>Section</w:t>
      </w:r>
    </w:p>
    <w:p>
      <w:pPr>
        <w:pStyle w:val="BodyText"/>
        <w:tabs>
          <w:tab w:pos="1799" w:val="left" w:leader="none"/>
        </w:tabs>
        <w:spacing w:line="208" w:lineRule="auto" w:before="233"/>
        <w:ind w:right="753"/>
      </w:pPr>
      <w:r>
        <w:rPr>
          <w:spacing w:val="-2"/>
        </w:rPr>
        <w:t>612:20-9-1.</w:t>
      </w:r>
      <w:r>
        <w:rPr/>
        <w:tab/>
        <w:t>Special</w:t>
      </w:r>
      <w:r>
        <w:rPr>
          <w:spacing w:val="-4"/>
        </w:rPr>
        <w:t> </w:t>
      </w:r>
      <w:r>
        <w:rPr/>
        <w:t>services</w:t>
      </w:r>
      <w:r>
        <w:rPr>
          <w:spacing w:val="-4"/>
        </w:rPr>
        <w:t> </w:t>
      </w:r>
      <w:r>
        <w:rPr/>
        <w:t>and</w:t>
      </w:r>
      <w:r>
        <w:rPr>
          <w:spacing w:val="-4"/>
        </w:rPr>
        <w:t> </w:t>
      </w:r>
      <w:r>
        <w:rPr/>
        <w:t>devices</w:t>
      </w:r>
      <w:r>
        <w:rPr>
          <w:spacing w:val="-4"/>
        </w:rPr>
        <w:t> </w:t>
      </w:r>
      <w:r>
        <w:rPr/>
        <w:t>for</w:t>
      </w:r>
      <w:r>
        <w:rPr>
          <w:spacing w:val="-3"/>
        </w:rPr>
        <w:t> </w:t>
      </w:r>
      <w:r>
        <w:rPr/>
        <w:t>individuals</w:t>
      </w:r>
      <w:r>
        <w:rPr>
          <w:spacing w:val="-3"/>
        </w:rPr>
        <w:t> </w:t>
      </w:r>
      <w:r>
        <w:rPr/>
        <w:t>who</w:t>
      </w:r>
      <w:r>
        <w:rPr>
          <w:spacing w:val="-4"/>
        </w:rPr>
        <w:t> </w:t>
      </w:r>
      <w:r>
        <w:rPr/>
        <w:t>are</w:t>
      </w:r>
      <w:r>
        <w:rPr>
          <w:spacing w:val="-4"/>
        </w:rPr>
        <w:t> </w:t>
      </w:r>
      <w:r>
        <w:rPr/>
        <w:t>deaf,</w:t>
      </w:r>
      <w:r>
        <w:rPr>
          <w:spacing w:val="-3"/>
        </w:rPr>
        <w:t> </w:t>
      </w:r>
      <w:r>
        <w:rPr/>
        <w:t>hard</w:t>
      </w:r>
      <w:r>
        <w:rPr>
          <w:spacing w:val="-4"/>
        </w:rPr>
        <w:t> </w:t>
      </w:r>
      <w:r>
        <w:rPr/>
        <w:t>of</w:t>
      </w:r>
      <w:r>
        <w:rPr>
          <w:spacing w:val="-6"/>
        </w:rPr>
        <w:t> </w:t>
      </w:r>
      <w:r>
        <w:rPr/>
        <w:t>hearing, deaf-blind or have communicative disorders</w:t>
      </w:r>
    </w:p>
    <w:p>
      <w:pPr>
        <w:spacing w:before="244"/>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316"/>
        </w:numPr>
        <w:tabs>
          <w:tab w:pos="1439" w:val="left" w:leader="none"/>
        </w:tabs>
        <w:spacing w:line="253" w:lineRule="exact" w:before="0" w:after="0"/>
        <w:ind w:left="1439" w:right="0" w:hanging="1079"/>
        <w:jc w:val="left"/>
        <w:rPr>
          <w:sz w:val="22"/>
        </w:rPr>
      </w:pPr>
      <w:r>
        <w:rPr>
          <w:sz w:val="22"/>
        </w:rPr>
        <w:t>No</w:t>
      </w:r>
      <w:r>
        <w:rPr>
          <w:spacing w:val="-4"/>
          <w:sz w:val="22"/>
        </w:rPr>
        <w:t> </w:t>
      </w:r>
      <w:r>
        <w:rPr>
          <w:sz w:val="22"/>
        </w:rPr>
        <w:t>PT</w:t>
      </w:r>
      <w:r>
        <w:rPr>
          <w:spacing w:val="-4"/>
          <w:sz w:val="22"/>
        </w:rPr>
        <w:t> Memo</w:t>
      </w:r>
    </w:p>
    <w:p>
      <w:pPr>
        <w:spacing w:line="253" w:lineRule="exact" w:before="0"/>
        <w:ind w:left="1439" w:right="0" w:firstLine="0"/>
        <w:jc w:val="left"/>
        <w:rPr>
          <w:sz w:val="22"/>
        </w:rPr>
      </w:pPr>
      <w:r>
        <w:rPr>
          <w:sz w:val="22"/>
        </w:rPr>
        <w:t>Permanent,</w:t>
      </w:r>
      <w:r>
        <w:rPr>
          <w:spacing w:val="-9"/>
          <w:sz w:val="22"/>
        </w:rPr>
        <w:t> </w:t>
      </w:r>
      <w:r>
        <w:rPr>
          <w:sz w:val="22"/>
        </w:rPr>
        <w:t>New</w:t>
      </w:r>
      <w:r>
        <w:rPr>
          <w:spacing w:val="-11"/>
          <w:sz w:val="22"/>
        </w:rPr>
        <w:t> </w:t>
      </w:r>
      <w:r>
        <w:rPr>
          <w:sz w:val="22"/>
        </w:rPr>
        <w:t>chapter,</w:t>
      </w:r>
      <w:r>
        <w:rPr>
          <w:spacing w:val="-9"/>
          <w:sz w:val="22"/>
        </w:rPr>
        <w:t> </w:t>
      </w:r>
      <w:r>
        <w:rPr>
          <w:sz w:val="22"/>
        </w:rPr>
        <w:t>section</w:t>
      </w:r>
      <w:r>
        <w:rPr>
          <w:spacing w:val="-10"/>
          <w:sz w:val="22"/>
        </w:rPr>
        <w:t> </w:t>
      </w:r>
      <w:r>
        <w:rPr>
          <w:sz w:val="22"/>
        </w:rPr>
        <w:t>moved</w:t>
      </w:r>
      <w:r>
        <w:rPr>
          <w:spacing w:val="-9"/>
          <w:sz w:val="22"/>
        </w:rPr>
        <w:t> </w:t>
      </w:r>
      <w:r>
        <w:rPr>
          <w:sz w:val="22"/>
        </w:rPr>
        <w:t>form</w:t>
      </w:r>
      <w:r>
        <w:rPr>
          <w:spacing w:val="-11"/>
          <w:sz w:val="22"/>
        </w:rPr>
        <w:t> </w:t>
      </w:r>
      <w:r>
        <w:rPr>
          <w:sz w:val="22"/>
        </w:rPr>
        <w:t>612:10-13-</w:t>
      </w:r>
      <w:r>
        <w:rPr>
          <w:spacing w:val="-10"/>
          <w:sz w:val="22"/>
        </w:rPr>
        <w:t>4</w:t>
      </w:r>
    </w:p>
    <w:p>
      <w:pPr>
        <w:spacing w:after="0" w:line="253" w:lineRule="exact"/>
        <w:jc w:val="left"/>
        <w:rPr>
          <w:sz w:val="22"/>
        </w:rPr>
        <w:sectPr>
          <w:pgSz w:w="12240" w:h="15840"/>
          <w:pgMar w:top="1340" w:bottom="280" w:left="1080" w:right="720"/>
        </w:sectPr>
      </w:pPr>
    </w:p>
    <w:p>
      <w:pPr>
        <w:pStyle w:val="Heading2"/>
        <w:spacing w:line="208" w:lineRule="auto" w:before="96"/>
        <w:ind w:right="775"/>
      </w:pPr>
      <w:bookmarkStart w:name="612:20-9-1.  Special services and device" w:id="376"/>
      <w:bookmarkEnd w:id="376"/>
      <w:r>
        <w:rPr>
          <w:b w:val="0"/>
        </w:rPr>
      </w:r>
      <w:r>
        <w:rPr/>
        <w:t>612:20-9-1.</w:t>
      </w:r>
      <w:r>
        <w:rPr>
          <w:spacing w:val="40"/>
        </w:rPr>
        <w:t> </w:t>
      </w:r>
      <w:r>
        <w:rPr/>
        <w:t>Special</w:t>
      </w:r>
      <w:r>
        <w:rPr>
          <w:spacing w:val="-4"/>
        </w:rPr>
        <w:t> </w:t>
      </w:r>
      <w:r>
        <w:rPr/>
        <w:t>services</w:t>
      </w:r>
      <w:r>
        <w:rPr>
          <w:spacing w:val="-3"/>
        </w:rPr>
        <w:t> </w:t>
      </w:r>
      <w:r>
        <w:rPr/>
        <w:t>and</w:t>
      </w:r>
      <w:r>
        <w:rPr>
          <w:spacing w:val="-3"/>
        </w:rPr>
        <w:t> </w:t>
      </w:r>
      <w:r>
        <w:rPr/>
        <w:t>devices</w:t>
      </w:r>
      <w:r>
        <w:rPr>
          <w:spacing w:val="-3"/>
        </w:rPr>
        <w:t> </w:t>
      </w:r>
      <w:r>
        <w:rPr/>
        <w:t>for</w:t>
      </w:r>
      <w:r>
        <w:rPr>
          <w:spacing w:val="-3"/>
        </w:rPr>
        <w:t> </w:t>
      </w:r>
      <w:r>
        <w:rPr/>
        <w:t>individuals</w:t>
      </w:r>
      <w:r>
        <w:rPr>
          <w:spacing w:val="-3"/>
        </w:rPr>
        <w:t> </w:t>
      </w:r>
      <w:r>
        <w:rPr/>
        <w:t>who</w:t>
      </w:r>
      <w:r>
        <w:rPr>
          <w:spacing w:val="-3"/>
        </w:rPr>
        <w:t> </w:t>
      </w:r>
      <w:r>
        <w:rPr/>
        <w:t>are</w:t>
      </w:r>
      <w:r>
        <w:rPr>
          <w:spacing w:val="-3"/>
        </w:rPr>
        <w:t> </w:t>
      </w:r>
      <w:r>
        <w:rPr/>
        <w:t>deaf,</w:t>
      </w:r>
      <w:r>
        <w:rPr>
          <w:spacing w:val="-4"/>
        </w:rPr>
        <w:t> </w:t>
      </w:r>
      <w:r>
        <w:rPr/>
        <w:t>hard</w:t>
      </w:r>
      <w:r>
        <w:rPr>
          <w:spacing w:val="-3"/>
        </w:rPr>
        <w:t> </w:t>
      </w:r>
      <w:r>
        <w:rPr/>
        <w:t>of hearing, deaf-blind or have communicative disorders</w:t>
      </w:r>
    </w:p>
    <w:p>
      <w:pPr>
        <w:pStyle w:val="BodyText"/>
        <w:spacing w:line="208" w:lineRule="auto"/>
        <w:ind w:right="775" w:firstLine="432"/>
      </w:pPr>
      <w:r>
        <w:rPr/>
        <w:t>This section applies to individuals with deafness, hard of hearing, deaf-blindness or communicative disorders who require access to telecommunication services and devices to enhance communication and contribute to the individual's residential and personal</w:t>
      </w:r>
      <w:r>
        <w:rPr>
          <w:spacing w:val="-4"/>
        </w:rPr>
        <w:t> </w:t>
      </w:r>
      <w:r>
        <w:rPr/>
        <w:t>safety.</w:t>
      </w:r>
      <w:r>
        <w:rPr>
          <w:spacing w:val="40"/>
        </w:rPr>
        <w:t> </w:t>
      </w:r>
      <w:r>
        <w:rPr/>
        <w:t>The</w:t>
      </w:r>
      <w:r>
        <w:rPr>
          <w:spacing w:val="-4"/>
        </w:rPr>
        <w:t> </w:t>
      </w:r>
      <w:r>
        <w:rPr/>
        <w:t>DRS</w:t>
      </w:r>
      <w:r>
        <w:rPr>
          <w:spacing w:val="-3"/>
        </w:rPr>
        <w:t> </w:t>
      </w:r>
      <w:r>
        <w:rPr/>
        <w:t>division</w:t>
      </w:r>
      <w:r>
        <w:rPr>
          <w:spacing w:val="-3"/>
        </w:rPr>
        <w:t> </w:t>
      </w:r>
      <w:r>
        <w:rPr/>
        <w:t>providing</w:t>
      </w:r>
      <w:r>
        <w:rPr>
          <w:spacing w:val="-3"/>
        </w:rPr>
        <w:t> </w:t>
      </w:r>
      <w:r>
        <w:rPr/>
        <w:t>services</w:t>
      </w:r>
      <w:r>
        <w:rPr>
          <w:spacing w:val="-3"/>
        </w:rPr>
        <w:t> </w:t>
      </w:r>
      <w:r>
        <w:rPr/>
        <w:t>under</w:t>
      </w:r>
      <w:r>
        <w:rPr>
          <w:spacing w:val="-2"/>
        </w:rPr>
        <w:t> </w:t>
      </w:r>
      <w:r>
        <w:rPr/>
        <w:t>this</w:t>
      </w:r>
      <w:r>
        <w:rPr>
          <w:spacing w:val="-3"/>
        </w:rPr>
        <w:t> </w:t>
      </w:r>
      <w:r>
        <w:rPr/>
        <w:t>section</w:t>
      </w:r>
      <w:r>
        <w:rPr>
          <w:spacing w:val="-3"/>
        </w:rPr>
        <w:t> </w:t>
      </w:r>
      <w:r>
        <w:rPr/>
        <w:t>is</w:t>
      </w:r>
      <w:r>
        <w:rPr>
          <w:spacing w:val="-3"/>
        </w:rPr>
        <w:t> </w:t>
      </w:r>
      <w:r>
        <w:rPr/>
        <w:t>authorized</w:t>
      </w:r>
      <w:r>
        <w:rPr>
          <w:spacing w:val="-3"/>
        </w:rPr>
        <w:t> </w:t>
      </w:r>
      <w:r>
        <w:rPr/>
        <w:t>to share the case information of a service applicant or recipient with other DRS staff serving the same client.</w:t>
      </w:r>
    </w:p>
    <w:p>
      <w:pPr>
        <w:pStyle w:val="ListParagraph"/>
        <w:numPr>
          <w:ilvl w:val="3"/>
          <w:numId w:val="316"/>
        </w:numPr>
        <w:tabs>
          <w:tab w:pos="1217" w:val="left" w:leader="none"/>
        </w:tabs>
        <w:spacing w:line="208" w:lineRule="auto" w:before="239" w:after="0"/>
        <w:ind w:left="792" w:right="719" w:firstLine="0"/>
        <w:jc w:val="left"/>
        <w:rPr>
          <w:sz w:val="24"/>
        </w:rPr>
      </w:pPr>
      <w:r>
        <w:rPr>
          <w:b/>
          <w:sz w:val="24"/>
        </w:rPr>
        <w:t>Telecommunication and safety devices.</w:t>
      </w:r>
      <w:r>
        <w:rPr>
          <w:b/>
          <w:spacing w:val="40"/>
          <w:sz w:val="24"/>
        </w:rPr>
        <w:t> </w:t>
      </w:r>
      <w:r>
        <w:rPr>
          <w:sz w:val="24"/>
        </w:rPr>
        <w:t>Consumers may be provided telecommunications equipment, personal or home safety devices, or other specialized equipment determined by individual need.</w:t>
      </w:r>
      <w:r>
        <w:rPr>
          <w:spacing w:val="80"/>
          <w:sz w:val="24"/>
        </w:rPr>
        <w:t> </w:t>
      </w:r>
      <w:r>
        <w:rPr>
          <w:sz w:val="24"/>
        </w:rPr>
        <w:t>The recipient of services</w:t>
      </w:r>
      <w:r>
        <w:rPr>
          <w:spacing w:val="40"/>
          <w:sz w:val="24"/>
        </w:rPr>
        <w:t> </w:t>
      </w:r>
      <w:r>
        <w:rPr>
          <w:sz w:val="24"/>
        </w:rPr>
        <w:t>may be asked to participate in the cost of the services provided based upon individual or family income in accordance with (d) of this Section.</w:t>
      </w:r>
      <w:r>
        <w:rPr>
          <w:spacing w:val="80"/>
          <w:sz w:val="24"/>
        </w:rPr>
        <w:t> </w:t>
      </w:r>
      <w:r>
        <w:rPr>
          <w:sz w:val="24"/>
        </w:rPr>
        <w:t>Equipment will</w:t>
      </w:r>
      <w:r>
        <w:rPr>
          <w:spacing w:val="40"/>
          <w:sz w:val="24"/>
        </w:rPr>
        <w:t> </w:t>
      </w:r>
      <w:r>
        <w:rPr>
          <w:sz w:val="24"/>
        </w:rPr>
        <w:t>not</w:t>
      </w:r>
      <w:r>
        <w:rPr>
          <w:spacing w:val="-2"/>
          <w:sz w:val="24"/>
        </w:rPr>
        <w:t> </w:t>
      </w:r>
      <w:r>
        <w:rPr>
          <w:sz w:val="24"/>
        </w:rPr>
        <w:t>be</w:t>
      </w:r>
      <w:r>
        <w:rPr>
          <w:spacing w:val="-3"/>
          <w:sz w:val="24"/>
        </w:rPr>
        <w:t> </w:t>
      </w:r>
      <w:r>
        <w:rPr>
          <w:sz w:val="24"/>
        </w:rPr>
        <w:t>replaced</w:t>
      </w:r>
      <w:r>
        <w:rPr>
          <w:spacing w:val="-3"/>
          <w:sz w:val="24"/>
        </w:rPr>
        <w:t> </w:t>
      </w:r>
      <w:r>
        <w:rPr>
          <w:sz w:val="24"/>
        </w:rPr>
        <w:t>before</w:t>
      </w:r>
      <w:r>
        <w:rPr>
          <w:spacing w:val="-3"/>
          <w:sz w:val="24"/>
        </w:rPr>
        <w:t> </w:t>
      </w:r>
      <w:r>
        <w:rPr>
          <w:sz w:val="24"/>
        </w:rPr>
        <w:t>five</w:t>
      </w:r>
      <w:r>
        <w:rPr>
          <w:spacing w:val="-3"/>
          <w:sz w:val="24"/>
        </w:rPr>
        <w:t> </w:t>
      </w:r>
      <w:r>
        <w:rPr>
          <w:sz w:val="24"/>
        </w:rPr>
        <w:t>(5)</w:t>
      </w:r>
      <w:r>
        <w:rPr>
          <w:spacing w:val="-2"/>
          <w:sz w:val="24"/>
        </w:rPr>
        <w:t> </w:t>
      </w:r>
      <w:r>
        <w:rPr>
          <w:sz w:val="24"/>
        </w:rPr>
        <w:t>years</w:t>
      </w:r>
      <w:r>
        <w:rPr>
          <w:spacing w:val="-3"/>
          <w:sz w:val="24"/>
        </w:rPr>
        <w:t> </w:t>
      </w:r>
      <w:r>
        <w:rPr>
          <w:sz w:val="24"/>
        </w:rPr>
        <w:t>have</w:t>
      </w:r>
      <w:r>
        <w:rPr>
          <w:spacing w:val="-3"/>
          <w:sz w:val="24"/>
        </w:rPr>
        <w:t> </w:t>
      </w:r>
      <w:r>
        <w:rPr>
          <w:sz w:val="24"/>
        </w:rPr>
        <w:t>lapsed</w:t>
      </w:r>
      <w:r>
        <w:rPr>
          <w:spacing w:val="-3"/>
          <w:sz w:val="24"/>
        </w:rPr>
        <w:t> </w:t>
      </w:r>
      <w:r>
        <w:rPr>
          <w:sz w:val="24"/>
        </w:rPr>
        <w:t>unless</w:t>
      </w:r>
      <w:r>
        <w:rPr>
          <w:spacing w:val="-3"/>
          <w:sz w:val="24"/>
        </w:rPr>
        <w:t> </w:t>
      </w:r>
      <w:r>
        <w:rPr>
          <w:sz w:val="24"/>
        </w:rPr>
        <w:t>determined</w:t>
      </w:r>
      <w:r>
        <w:rPr>
          <w:spacing w:val="-3"/>
          <w:sz w:val="24"/>
        </w:rPr>
        <w:t> </w:t>
      </w:r>
      <w:r>
        <w:rPr>
          <w:sz w:val="24"/>
        </w:rPr>
        <w:t>by</w:t>
      </w:r>
      <w:r>
        <w:rPr>
          <w:spacing w:val="-3"/>
          <w:sz w:val="24"/>
        </w:rPr>
        <w:t> </w:t>
      </w:r>
      <w:r>
        <w:rPr>
          <w:sz w:val="24"/>
        </w:rPr>
        <w:t>DRS</w:t>
      </w:r>
      <w:r>
        <w:rPr>
          <w:spacing w:val="-3"/>
          <w:sz w:val="24"/>
        </w:rPr>
        <w:t> </w:t>
      </w:r>
      <w:r>
        <w:rPr>
          <w:sz w:val="24"/>
        </w:rPr>
        <w:t>staff</w:t>
      </w:r>
      <w:r>
        <w:rPr>
          <w:spacing w:val="-4"/>
          <w:sz w:val="24"/>
        </w:rPr>
        <w:t> </w:t>
      </w:r>
      <w:r>
        <w:rPr>
          <w:sz w:val="24"/>
        </w:rPr>
        <w:t>to be malfunctioning and not caused by consumer misuse or neglect.</w:t>
      </w:r>
      <w:r>
        <w:rPr>
          <w:spacing w:val="40"/>
          <w:sz w:val="24"/>
        </w:rPr>
        <w:t> </w:t>
      </w:r>
      <w:r>
        <w:rPr>
          <w:sz w:val="24"/>
        </w:rPr>
        <w:t>Appeals of this waiting period must be presented in writing for administrative review.</w:t>
      </w:r>
      <w:r>
        <w:rPr>
          <w:spacing w:val="40"/>
          <w:sz w:val="24"/>
        </w:rPr>
        <w:t> </w:t>
      </w:r>
      <w:r>
        <w:rPr>
          <w:sz w:val="24"/>
        </w:rPr>
        <w:t>DRS staff will consider possible changes in disability.</w:t>
      </w:r>
      <w:r>
        <w:rPr>
          <w:spacing w:val="40"/>
          <w:sz w:val="24"/>
        </w:rPr>
        <w:t> </w:t>
      </w:r>
      <w:r>
        <w:rPr>
          <w:sz w:val="24"/>
        </w:rPr>
        <w:t>The consumer is responsible for the equipment when the manufacturer's warranty expires prior to the five (5) year period.</w:t>
      </w:r>
      <w:r>
        <w:rPr>
          <w:spacing w:val="40"/>
          <w:sz w:val="24"/>
        </w:rPr>
        <w:t> </w:t>
      </w:r>
      <w:r>
        <w:rPr>
          <w:sz w:val="24"/>
        </w:rPr>
        <w:t>DRS</w:t>
      </w:r>
      <w:r>
        <w:rPr>
          <w:spacing w:val="-3"/>
          <w:sz w:val="24"/>
        </w:rPr>
        <w:t> </w:t>
      </w:r>
      <w:r>
        <w:rPr>
          <w:sz w:val="24"/>
        </w:rPr>
        <w:t>will</w:t>
      </w:r>
      <w:r>
        <w:rPr>
          <w:spacing w:val="-3"/>
          <w:sz w:val="24"/>
        </w:rPr>
        <w:t> </w:t>
      </w:r>
      <w:r>
        <w:rPr>
          <w:sz w:val="24"/>
        </w:rPr>
        <w:t>provide</w:t>
      </w:r>
      <w:r>
        <w:rPr>
          <w:spacing w:val="-3"/>
          <w:sz w:val="24"/>
        </w:rPr>
        <w:t> </w:t>
      </w:r>
      <w:r>
        <w:rPr>
          <w:sz w:val="24"/>
        </w:rPr>
        <w:t>surge</w:t>
      </w:r>
      <w:r>
        <w:rPr>
          <w:spacing w:val="-3"/>
          <w:sz w:val="24"/>
        </w:rPr>
        <w:t> </w:t>
      </w:r>
      <w:r>
        <w:rPr>
          <w:sz w:val="24"/>
        </w:rPr>
        <w:t>protection</w:t>
      </w:r>
      <w:r>
        <w:rPr>
          <w:spacing w:val="-3"/>
          <w:sz w:val="24"/>
        </w:rPr>
        <w:t> </w:t>
      </w:r>
      <w:r>
        <w:rPr>
          <w:sz w:val="24"/>
        </w:rPr>
        <w:t>which</w:t>
      </w:r>
      <w:r>
        <w:rPr>
          <w:spacing w:val="-3"/>
          <w:sz w:val="24"/>
        </w:rPr>
        <w:t> </w:t>
      </w:r>
      <w:r>
        <w:rPr>
          <w:sz w:val="24"/>
        </w:rPr>
        <w:t>must</w:t>
      </w:r>
      <w:r>
        <w:rPr>
          <w:spacing w:val="-2"/>
          <w:sz w:val="24"/>
        </w:rPr>
        <w:t> </w:t>
      </w:r>
      <w:r>
        <w:rPr>
          <w:sz w:val="24"/>
        </w:rPr>
        <w:t>be</w:t>
      </w:r>
      <w:r>
        <w:rPr>
          <w:spacing w:val="-3"/>
          <w:sz w:val="24"/>
        </w:rPr>
        <w:t> </w:t>
      </w:r>
      <w:r>
        <w:rPr>
          <w:sz w:val="24"/>
        </w:rPr>
        <w:t>used.</w:t>
      </w:r>
      <w:r>
        <w:rPr>
          <w:spacing w:val="40"/>
          <w:sz w:val="24"/>
        </w:rPr>
        <w:t> </w:t>
      </w:r>
      <w:r>
        <w:rPr>
          <w:sz w:val="24"/>
        </w:rPr>
        <w:t>Failure</w:t>
      </w:r>
      <w:r>
        <w:rPr>
          <w:spacing w:val="-3"/>
          <w:sz w:val="24"/>
        </w:rPr>
        <w:t> </w:t>
      </w:r>
      <w:r>
        <w:rPr>
          <w:sz w:val="24"/>
        </w:rPr>
        <w:t>to</w:t>
      </w:r>
      <w:r>
        <w:rPr>
          <w:spacing w:val="-3"/>
          <w:sz w:val="24"/>
        </w:rPr>
        <w:t> </w:t>
      </w:r>
      <w:r>
        <w:rPr>
          <w:sz w:val="24"/>
        </w:rPr>
        <w:t>use</w:t>
      </w:r>
      <w:r>
        <w:rPr>
          <w:spacing w:val="-4"/>
          <w:sz w:val="24"/>
        </w:rPr>
        <w:t> </w:t>
      </w:r>
      <w:r>
        <w:rPr>
          <w:sz w:val="24"/>
        </w:rPr>
        <w:t>surge protection will be considered consumer neglect. Additional requirements are stated in (A) through (E) of this Subsection.</w:t>
      </w:r>
    </w:p>
    <w:p>
      <w:pPr>
        <w:pStyle w:val="ListParagraph"/>
        <w:numPr>
          <w:ilvl w:val="4"/>
          <w:numId w:val="316"/>
        </w:numPr>
        <w:tabs>
          <w:tab w:pos="1677" w:val="left" w:leader="none"/>
        </w:tabs>
        <w:spacing w:line="240" w:lineRule="auto" w:before="209" w:after="0"/>
        <w:ind w:left="1677" w:right="0" w:hanging="453"/>
        <w:jc w:val="left"/>
        <w:rPr>
          <w:sz w:val="24"/>
        </w:rPr>
      </w:pPr>
      <w:r>
        <w:rPr>
          <w:sz w:val="24"/>
        </w:rPr>
        <w:t>All</w:t>
      </w:r>
      <w:r>
        <w:rPr>
          <w:spacing w:val="-3"/>
          <w:sz w:val="24"/>
        </w:rPr>
        <w:t> </w:t>
      </w:r>
      <w:r>
        <w:rPr>
          <w:sz w:val="24"/>
        </w:rPr>
        <w:t>recipients</w:t>
      </w:r>
      <w:r>
        <w:rPr>
          <w:spacing w:val="-3"/>
          <w:sz w:val="24"/>
        </w:rPr>
        <w:t> </w:t>
      </w:r>
      <w:r>
        <w:rPr>
          <w:sz w:val="24"/>
        </w:rPr>
        <w:t>of</w:t>
      </w:r>
      <w:r>
        <w:rPr>
          <w:spacing w:val="-2"/>
          <w:sz w:val="24"/>
        </w:rPr>
        <w:t> </w:t>
      </w:r>
      <w:r>
        <w:rPr>
          <w:sz w:val="24"/>
        </w:rPr>
        <w:t>equipment</w:t>
      </w:r>
      <w:r>
        <w:rPr>
          <w:spacing w:val="-2"/>
          <w:sz w:val="24"/>
        </w:rPr>
        <w:t> </w:t>
      </w:r>
      <w:r>
        <w:rPr>
          <w:sz w:val="24"/>
        </w:rPr>
        <w:t>must</w:t>
      </w:r>
      <w:r>
        <w:rPr>
          <w:spacing w:val="-3"/>
          <w:sz w:val="24"/>
        </w:rPr>
        <w:t> </w:t>
      </w:r>
      <w:r>
        <w:rPr>
          <w:sz w:val="24"/>
        </w:rPr>
        <w:t>be</w:t>
      </w:r>
      <w:r>
        <w:rPr>
          <w:spacing w:val="-3"/>
          <w:sz w:val="24"/>
        </w:rPr>
        <w:t> </w:t>
      </w:r>
      <w:r>
        <w:rPr>
          <w:sz w:val="24"/>
        </w:rPr>
        <w:t>residents</w:t>
      </w:r>
      <w:r>
        <w:rPr>
          <w:spacing w:val="-2"/>
          <w:sz w:val="24"/>
        </w:rPr>
        <w:t> </w:t>
      </w:r>
      <w:r>
        <w:rPr>
          <w:sz w:val="24"/>
        </w:rPr>
        <w:t>of</w:t>
      </w:r>
      <w:r>
        <w:rPr>
          <w:spacing w:val="-3"/>
          <w:sz w:val="24"/>
        </w:rPr>
        <w:t> </w:t>
      </w:r>
      <w:r>
        <w:rPr>
          <w:sz w:val="24"/>
        </w:rPr>
        <w:t>the</w:t>
      </w:r>
      <w:r>
        <w:rPr>
          <w:spacing w:val="-2"/>
          <w:sz w:val="24"/>
        </w:rPr>
        <w:t> state.</w:t>
      </w:r>
    </w:p>
    <w:p>
      <w:pPr>
        <w:pStyle w:val="ListParagraph"/>
        <w:numPr>
          <w:ilvl w:val="4"/>
          <w:numId w:val="316"/>
        </w:numPr>
        <w:tabs>
          <w:tab w:pos="1676" w:val="left" w:leader="none"/>
        </w:tabs>
        <w:spacing w:line="208" w:lineRule="auto" w:before="234" w:after="0"/>
        <w:ind w:left="1224" w:right="721" w:firstLine="0"/>
        <w:jc w:val="left"/>
        <w:rPr>
          <w:sz w:val="24"/>
        </w:rPr>
      </w:pPr>
      <w:r>
        <w:rPr>
          <w:sz w:val="24"/>
        </w:rPr>
        <w:t>Medical or audiological verification will be required to support the</w:t>
      </w:r>
      <w:r>
        <w:rPr>
          <w:spacing w:val="40"/>
          <w:sz w:val="24"/>
        </w:rPr>
        <w:t> </w:t>
      </w:r>
      <w:r>
        <w:rPr>
          <w:sz w:val="24"/>
        </w:rPr>
        <w:t>applicant's</w:t>
      </w:r>
      <w:r>
        <w:rPr>
          <w:spacing w:val="-3"/>
          <w:sz w:val="24"/>
        </w:rPr>
        <w:t> </w:t>
      </w:r>
      <w:r>
        <w:rPr>
          <w:sz w:val="24"/>
        </w:rPr>
        <w:t>diagnosis</w:t>
      </w:r>
      <w:r>
        <w:rPr>
          <w:spacing w:val="-3"/>
          <w:sz w:val="24"/>
        </w:rPr>
        <w:t> </w:t>
      </w:r>
      <w:r>
        <w:rPr>
          <w:sz w:val="24"/>
        </w:rPr>
        <w:t>of</w:t>
      </w:r>
      <w:r>
        <w:rPr>
          <w:spacing w:val="-3"/>
          <w:sz w:val="24"/>
        </w:rPr>
        <w:t> </w:t>
      </w:r>
      <w:r>
        <w:rPr>
          <w:sz w:val="24"/>
        </w:rPr>
        <w:t>a</w:t>
      </w:r>
      <w:r>
        <w:rPr>
          <w:spacing w:val="-3"/>
          <w:sz w:val="24"/>
        </w:rPr>
        <w:t> </w:t>
      </w:r>
      <w:r>
        <w:rPr>
          <w:sz w:val="24"/>
        </w:rPr>
        <w:t>hearing</w:t>
      </w:r>
      <w:r>
        <w:rPr>
          <w:spacing w:val="-3"/>
          <w:sz w:val="24"/>
        </w:rPr>
        <w:t> </w:t>
      </w:r>
      <w:r>
        <w:rPr>
          <w:sz w:val="24"/>
        </w:rPr>
        <w:t>loss</w:t>
      </w:r>
      <w:r>
        <w:rPr>
          <w:spacing w:val="-3"/>
          <w:sz w:val="24"/>
        </w:rPr>
        <w:t> </w:t>
      </w:r>
      <w:r>
        <w:rPr>
          <w:sz w:val="24"/>
        </w:rPr>
        <w:t>to</w:t>
      </w:r>
      <w:r>
        <w:rPr>
          <w:spacing w:val="-3"/>
          <w:sz w:val="24"/>
        </w:rPr>
        <w:t> </w:t>
      </w:r>
      <w:r>
        <w:rPr>
          <w:sz w:val="24"/>
        </w:rPr>
        <w:t>the</w:t>
      </w:r>
      <w:r>
        <w:rPr>
          <w:spacing w:val="-4"/>
          <w:sz w:val="24"/>
        </w:rPr>
        <w:t> </w:t>
      </w:r>
      <w:r>
        <w:rPr>
          <w:sz w:val="24"/>
        </w:rPr>
        <w:t>extent</w:t>
      </w:r>
      <w:r>
        <w:rPr>
          <w:spacing w:val="-3"/>
          <w:sz w:val="24"/>
        </w:rPr>
        <w:t> </w:t>
      </w:r>
      <w:r>
        <w:rPr>
          <w:sz w:val="24"/>
        </w:rPr>
        <w:t>the</w:t>
      </w:r>
      <w:r>
        <w:rPr>
          <w:spacing w:val="-4"/>
          <w:sz w:val="24"/>
        </w:rPr>
        <w:t> </w:t>
      </w:r>
      <w:r>
        <w:rPr>
          <w:sz w:val="24"/>
        </w:rPr>
        <w:t>applicant</w:t>
      </w:r>
      <w:r>
        <w:rPr>
          <w:spacing w:val="-3"/>
          <w:sz w:val="24"/>
        </w:rPr>
        <w:t> </w:t>
      </w:r>
      <w:r>
        <w:rPr>
          <w:sz w:val="24"/>
        </w:rPr>
        <w:t>cannot</w:t>
      </w:r>
      <w:r>
        <w:rPr>
          <w:spacing w:val="-3"/>
          <w:sz w:val="24"/>
        </w:rPr>
        <w:t> </w:t>
      </w:r>
      <w:r>
        <w:rPr>
          <w:sz w:val="24"/>
        </w:rPr>
        <w:t>use</w:t>
      </w:r>
      <w:r>
        <w:rPr>
          <w:spacing w:val="-3"/>
          <w:sz w:val="24"/>
        </w:rPr>
        <w:t> </w:t>
      </w:r>
      <w:r>
        <w:rPr>
          <w:sz w:val="24"/>
        </w:rPr>
        <w:t>the telephone, or communicative disorders to the extent speech is unintelligible.</w:t>
      </w:r>
      <w:r>
        <w:rPr>
          <w:spacing w:val="40"/>
          <w:sz w:val="24"/>
        </w:rPr>
        <w:t> </w:t>
      </w:r>
      <w:r>
        <w:rPr>
          <w:sz w:val="24"/>
        </w:rPr>
        <w:t>If verification</w:t>
      </w:r>
      <w:r>
        <w:rPr>
          <w:spacing w:val="-2"/>
          <w:sz w:val="24"/>
        </w:rPr>
        <w:t> </w:t>
      </w:r>
      <w:r>
        <w:rPr>
          <w:sz w:val="24"/>
        </w:rPr>
        <w:t>is</w:t>
      </w:r>
      <w:r>
        <w:rPr>
          <w:spacing w:val="-2"/>
          <w:sz w:val="24"/>
        </w:rPr>
        <w:t> </w:t>
      </w:r>
      <w:r>
        <w:rPr>
          <w:sz w:val="24"/>
        </w:rPr>
        <w:t>not</w:t>
      </w:r>
      <w:r>
        <w:rPr>
          <w:spacing w:val="-1"/>
          <w:sz w:val="24"/>
        </w:rPr>
        <w:t> </w:t>
      </w:r>
      <w:r>
        <w:rPr>
          <w:sz w:val="24"/>
        </w:rPr>
        <w:t>available,</w:t>
      </w:r>
      <w:r>
        <w:rPr>
          <w:spacing w:val="-1"/>
          <w:sz w:val="24"/>
        </w:rPr>
        <w:t> </w:t>
      </w:r>
      <w:r>
        <w:rPr>
          <w:sz w:val="24"/>
        </w:rPr>
        <w:t>DRS</w:t>
      </w:r>
      <w:r>
        <w:rPr>
          <w:spacing w:val="-1"/>
          <w:sz w:val="24"/>
        </w:rPr>
        <w:t> </w:t>
      </w:r>
      <w:r>
        <w:rPr>
          <w:sz w:val="24"/>
        </w:rPr>
        <w:t>will</w:t>
      </w:r>
      <w:r>
        <w:rPr>
          <w:spacing w:val="-2"/>
          <w:sz w:val="24"/>
        </w:rPr>
        <w:t> </w:t>
      </w:r>
      <w:r>
        <w:rPr>
          <w:sz w:val="24"/>
        </w:rPr>
        <w:t>authorize</w:t>
      </w:r>
      <w:r>
        <w:rPr>
          <w:spacing w:val="-2"/>
          <w:sz w:val="24"/>
        </w:rPr>
        <w:t> </w:t>
      </w:r>
      <w:r>
        <w:rPr>
          <w:sz w:val="24"/>
        </w:rPr>
        <w:t>the</w:t>
      </w:r>
      <w:r>
        <w:rPr>
          <w:spacing w:val="-2"/>
          <w:sz w:val="24"/>
        </w:rPr>
        <w:t> </w:t>
      </w:r>
      <w:r>
        <w:rPr>
          <w:sz w:val="24"/>
        </w:rPr>
        <w:t>initial</w:t>
      </w:r>
      <w:r>
        <w:rPr>
          <w:spacing w:val="-2"/>
          <w:sz w:val="24"/>
        </w:rPr>
        <w:t> </w:t>
      </w:r>
      <w:r>
        <w:rPr>
          <w:sz w:val="24"/>
        </w:rPr>
        <w:t>audiological</w:t>
      </w:r>
      <w:r>
        <w:rPr>
          <w:spacing w:val="-2"/>
          <w:sz w:val="24"/>
        </w:rPr>
        <w:t> </w:t>
      </w:r>
      <w:r>
        <w:rPr>
          <w:sz w:val="24"/>
        </w:rPr>
        <w:t>evaluation. Individuals with deaf-blindness may be referred to the deaf blind program to determine additional equipment needs.</w:t>
      </w:r>
      <w:r>
        <w:rPr>
          <w:spacing w:val="40"/>
          <w:sz w:val="24"/>
        </w:rPr>
        <w:t> </w:t>
      </w:r>
      <w:r>
        <w:rPr>
          <w:sz w:val="24"/>
        </w:rPr>
        <w:t>Documentation of legal blindness or inability to read standard print is required.</w:t>
      </w:r>
    </w:p>
    <w:p>
      <w:pPr>
        <w:pStyle w:val="ListParagraph"/>
        <w:numPr>
          <w:ilvl w:val="4"/>
          <w:numId w:val="316"/>
        </w:numPr>
        <w:tabs>
          <w:tab w:pos="1690" w:val="left" w:leader="none"/>
        </w:tabs>
        <w:spacing w:line="208" w:lineRule="auto" w:before="239" w:after="0"/>
        <w:ind w:left="1224" w:right="1636" w:firstLine="0"/>
        <w:jc w:val="left"/>
        <w:rPr>
          <w:sz w:val="24"/>
        </w:rPr>
      </w:pPr>
      <w:r>
        <w:rPr>
          <w:sz w:val="24"/>
        </w:rPr>
        <w:t>Parents</w:t>
      </w:r>
      <w:r>
        <w:rPr>
          <w:spacing w:val="-5"/>
          <w:sz w:val="24"/>
        </w:rPr>
        <w:t> </w:t>
      </w:r>
      <w:r>
        <w:rPr>
          <w:sz w:val="24"/>
        </w:rPr>
        <w:t>or</w:t>
      </w:r>
      <w:r>
        <w:rPr>
          <w:spacing w:val="-4"/>
          <w:sz w:val="24"/>
        </w:rPr>
        <w:t> </w:t>
      </w:r>
      <w:r>
        <w:rPr>
          <w:sz w:val="24"/>
        </w:rPr>
        <w:t>other</w:t>
      </w:r>
      <w:r>
        <w:rPr>
          <w:spacing w:val="-6"/>
          <w:sz w:val="24"/>
        </w:rPr>
        <w:t> </w:t>
      </w:r>
      <w:r>
        <w:rPr>
          <w:sz w:val="24"/>
        </w:rPr>
        <w:t>legal</w:t>
      </w:r>
      <w:r>
        <w:rPr>
          <w:spacing w:val="-5"/>
          <w:sz w:val="24"/>
        </w:rPr>
        <w:t> </w:t>
      </w:r>
      <w:r>
        <w:rPr>
          <w:sz w:val="24"/>
        </w:rPr>
        <w:t>guardians</w:t>
      </w:r>
      <w:r>
        <w:rPr>
          <w:spacing w:val="-5"/>
          <w:sz w:val="24"/>
        </w:rPr>
        <w:t> </w:t>
      </w:r>
      <w:r>
        <w:rPr>
          <w:sz w:val="24"/>
        </w:rPr>
        <w:t>must</w:t>
      </w:r>
      <w:r>
        <w:rPr>
          <w:spacing w:val="-4"/>
          <w:sz w:val="24"/>
        </w:rPr>
        <w:t> </w:t>
      </w:r>
      <w:r>
        <w:rPr>
          <w:sz w:val="24"/>
        </w:rPr>
        <w:t>assume</w:t>
      </w:r>
      <w:r>
        <w:rPr>
          <w:spacing w:val="-5"/>
          <w:sz w:val="24"/>
        </w:rPr>
        <w:t> </w:t>
      </w:r>
      <w:r>
        <w:rPr>
          <w:sz w:val="24"/>
        </w:rPr>
        <w:t>responsibility</w:t>
      </w:r>
      <w:r>
        <w:rPr>
          <w:spacing w:val="-5"/>
          <w:sz w:val="24"/>
        </w:rPr>
        <w:t> </w:t>
      </w:r>
      <w:r>
        <w:rPr>
          <w:sz w:val="24"/>
        </w:rPr>
        <w:t>for</w:t>
      </w:r>
      <w:r>
        <w:rPr>
          <w:spacing w:val="-4"/>
          <w:sz w:val="24"/>
        </w:rPr>
        <w:t> </w:t>
      </w:r>
      <w:r>
        <w:rPr>
          <w:sz w:val="24"/>
        </w:rPr>
        <w:t>the telecommunication devices assigned to clients under 18 years of age.</w:t>
      </w:r>
    </w:p>
    <w:p>
      <w:pPr>
        <w:pStyle w:val="ListParagraph"/>
        <w:numPr>
          <w:ilvl w:val="4"/>
          <w:numId w:val="316"/>
        </w:numPr>
        <w:tabs>
          <w:tab w:pos="1690" w:val="left" w:leader="none"/>
        </w:tabs>
        <w:spacing w:line="208" w:lineRule="auto" w:before="240" w:after="0"/>
        <w:ind w:left="1224" w:right="917" w:firstLine="0"/>
        <w:jc w:val="left"/>
        <w:rPr>
          <w:sz w:val="24"/>
        </w:rPr>
      </w:pPr>
      <w:r>
        <w:rPr>
          <w:sz w:val="24"/>
        </w:rPr>
        <w:t>The</w:t>
      </w:r>
      <w:r>
        <w:rPr>
          <w:spacing w:val="-3"/>
          <w:sz w:val="24"/>
        </w:rPr>
        <w:t> </w:t>
      </w:r>
      <w:r>
        <w:rPr>
          <w:sz w:val="24"/>
        </w:rPr>
        <w:t>guidelines</w:t>
      </w:r>
      <w:r>
        <w:rPr>
          <w:spacing w:val="-3"/>
          <w:sz w:val="24"/>
        </w:rPr>
        <w:t> </w:t>
      </w:r>
      <w:r>
        <w:rPr>
          <w:sz w:val="24"/>
        </w:rPr>
        <w:t>in</w:t>
      </w:r>
      <w:r>
        <w:rPr>
          <w:spacing w:val="-3"/>
          <w:sz w:val="24"/>
        </w:rPr>
        <w:t> </w:t>
      </w:r>
      <w:r>
        <w:rPr>
          <w:sz w:val="24"/>
        </w:rPr>
        <w:t>(i)</w:t>
      </w:r>
      <w:r>
        <w:rPr>
          <w:spacing w:val="-2"/>
          <w:sz w:val="24"/>
        </w:rPr>
        <w:t> </w:t>
      </w:r>
      <w:r>
        <w:rPr>
          <w:sz w:val="24"/>
        </w:rPr>
        <w:t>-</w:t>
      </w:r>
      <w:r>
        <w:rPr>
          <w:spacing w:val="-4"/>
          <w:sz w:val="24"/>
        </w:rPr>
        <w:t> </w:t>
      </w:r>
      <w:r>
        <w:rPr>
          <w:sz w:val="24"/>
        </w:rPr>
        <w:t>(iv)</w:t>
      </w:r>
      <w:r>
        <w:rPr>
          <w:spacing w:val="-2"/>
          <w:sz w:val="24"/>
        </w:rPr>
        <w:t> </w:t>
      </w:r>
      <w:r>
        <w:rPr>
          <w:sz w:val="24"/>
        </w:rPr>
        <w:t>of</w:t>
      </w:r>
      <w:r>
        <w:rPr>
          <w:spacing w:val="-4"/>
          <w:sz w:val="24"/>
        </w:rPr>
        <w:t> </w:t>
      </w:r>
      <w:r>
        <w:rPr>
          <w:sz w:val="24"/>
        </w:rPr>
        <w:t>this</w:t>
      </w:r>
      <w:r>
        <w:rPr>
          <w:spacing w:val="-3"/>
          <w:sz w:val="24"/>
        </w:rPr>
        <w:t> </w:t>
      </w:r>
      <w:r>
        <w:rPr>
          <w:sz w:val="24"/>
        </w:rPr>
        <w:t>Paragraph</w:t>
      </w:r>
      <w:r>
        <w:rPr>
          <w:spacing w:val="-3"/>
          <w:sz w:val="24"/>
        </w:rPr>
        <w:t> </w:t>
      </w:r>
      <w:r>
        <w:rPr>
          <w:sz w:val="24"/>
        </w:rPr>
        <w:t>will</w:t>
      </w:r>
      <w:r>
        <w:rPr>
          <w:spacing w:val="-3"/>
          <w:sz w:val="24"/>
        </w:rPr>
        <w:t> </w:t>
      </w:r>
      <w:r>
        <w:rPr>
          <w:sz w:val="24"/>
        </w:rPr>
        <w:t>be</w:t>
      </w:r>
      <w:r>
        <w:rPr>
          <w:spacing w:val="-3"/>
          <w:sz w:val="24"/>
        </w:rPr>
        <w:t> </w:t>
      </w:r>
      <w:r>
        <w:rPr>
          <w:sz w:val="24"/>
        </w:rPr>
        <w:t>used</w:t>
      </w:r>
      <w:r>
        <w:rPr>
          <w:spacing w:val="-3"/>
          <w:sz w:val="24"/>
        </w:rPr>
        <w:t> </w:t>
      </w:r>
      <w:r>
        <w:rPr>
          <w:sz w:val="24"/>
        </w:rPr>
        <w:t>in</w:t>
      </w:r>
      <w:r>
        <w:rPr>
          <w:spacing w:val="-3"/>
          <w:sz w:val="24"/>
        </w:rPr>
        <w:t> </w:t>
      </w:r>
      <w:r>
        <w:rPr>
          <w:sz w:val="24"/>
        </w:rPr>
        <w:t>determining</w:t>
      </w:r>
      <w:r>
        <w:rPr>
          <w:spacing w:val="-3"/>
          <w:sz w:val="24"/>
        </w:rPr>
        <w:t> </w:t>
      </w:r>
      <w:r>
        <w:rPr>
          <w:sz w:val="24"/>
        </w:rPr>
        <w:t>the priority of service.</w:t>
      </w:r>
    </w:p>
    <w:p>
      <w:pPr>
        <w:pStyle w:val="ListParagraph"/>
        <w:numPr>
          <w:ilvl w:val="5"/>
          <w:numId w:val="316"/>
        </w:numPr>
        <w:tabs>
          <w:tab w:pos="2001" w:val="left" w:leader="none"/>
        </w:tabs>
        <w:spacing w:line="240" w:lineRule="auto" w:before="210" w:after="0"/>
        <w:ind w:left="2001" w:right="0" w:hanging="345"/>
        <w:jc w:val="left"/>
        <w:rPr>
          <w:sz w:val="24"/>
        </w:rPr>
      </w:pPr>
      <w:r>
        <w:rPr>
          <w:sz w:val="24"/>
        </w:rPr>
        <w:t>Qualified</w:t>
      </w:r>
      <w:r>
        <w:rPr>
          <w:spacing w:val="-4"/>
          <w:sz w:val="24"/>
        </w:rPr>
        <w:t> </w:t>
      </w:r>
      <w:r>
        <w:rPr>
          <w:sz w:val="24"/>
        </w:rPr>
        <w:t>persons</w:t>
      </w:r>
      <w:r>
        <w:rPr>
          <w:spacing w:val="-4"/>
          <w:sz w:val="24"/>
        </w:rPr>
        <w:t> </w:t>
      </w:r>
      <w:r>
        <w:rPr>
          <w:sz w:val="24"/>
        </w:rPr>
        <w:t>with</w:t>
      </w:r>
      <w:r>
        <w:rPr>
          <w:spacing w:val="-4"/>
          <w:sz w:val="24"/>
        </w:rPr>
        <w:t> </w:t>
      </w:r>
      <w:r>
        <w:rPr>
          <w:sz w:val="24"/>
        </w:rPr>
        <w:t>disabilities</w:t>
      </w:r>
      <w:r>
        <w:rPr>
          <w:spacing w:val="-4"/>
          <w:sz w:val="24"/>
        </w:rPr>
        <w:t> </w:t>
      </w:r>
      <w:r>
        <w:rPr>
          <w:sz w:val="24"/>
        </w:rPr>
        <w:t>living</w:t>
      </w:r>
      <w:r>
        <w:rPr>
          <w:spacing w:val="-4"/>
          <w:sz w:val="24"/>
        </w:rPr>
        <w:t> </w:t>
      </w:r>
      <w:r>
        <w:rPr>
          <w:spacing w:val="-2"/>
          <w:sz w:val="24"/>
        </w:rPr>
        <w:t>alone.</w:t>
      </w:r>
    </w:p>
    <w:p>
      <w:pPr>
        <w:pStyle w:val="ListParagraph"/>
        <w:numPr>
          <w:ilvl w:val="5"/>
          <w:numId w:val="316"/>
        </w:numPr>
        <w:tabs>
          <w:tab w:pos="2054" w:val="left" w:leader="none"/>
        </w:tabs>
        <w:spacing w:line="240" w:lineRule="auto" w:before="204" w:after="0"/>
        <w:ind w:left="2054" w:right="0" w:hanging="398"/>
        <w:jc w:val="left"/>
        <w:rPr>
          <w:sz w:val="24"/>
        </w:rPr>
      </w:pPr>
      <w:r>
        <w:rPr>
          <w:sz w:val="24"/>
        </w:rPr>
        <w:t>Qualified</w:t>
      </w:r>
      <w:r>
        <w:rPr>
          <w:spacing w:val="-7"/>
          <w:sz w:val="24"/>
        </w:rPr>
        <w:t> </w:t>
      </w:r>
      <w:r>
        <w:rPr>
          <w:sz w:val="24"/>
        </w:rPr>
        <w:t>households</w:t>
      </w:r>
      <w:r>
        <w:rPr>
          <w:spacing w:val="-4"/>
          <w:sz w:val="24"/>
        </w:rPr>
        <w:t> </w:t>
      </w:r>
      <w:r>
        <w:rPr>
          <w:sz w:val="24"/>
        </w:rPr>
        <w:t>where</w:t>
      </w:r>
      <w:r>
        <w:rPr>
          <w:spacing w:val="-4"/>
          <w:sz w:val="24"/>
        </w:rPr>
        <w:t> </w:t>
      </w:r>
      <w:r>
        <w:rPr>
          <w:sz w:val="24"/>
        </w:rPr>
        <w:t>all</w:t>
      </w:r>
      <w:r>
        <w:rPr>
          <w:spacing w:val="-4"/>
          <w:sz w:val="24"/>
        </w:rPr>
        <w:t> </w:t>
      </w:r>
      <w:r>
        <w:rPr>
          <w:sz w:val="24"/>
        </w:rPr>
        <w:t>residents</w:t>
      </w:r>
      <w:r>
        <w:rPr>
          <w:spacing w:val="-4"/>
          <w:sz w:val="24"/>
        </w:rPr>
        <w:t> </w:t>
      </w:r>
      <w:r>
        <w:rPr>
          <w:sz w:val="24"/>
        </w:rPr>
        <w:t>have</w:t>
      </w:r>
      <w:r>
        <w:rPr>
          <w:spacing w:val="-4"/>
          <w:sz w:val="24"/>
        </w:rPr>
        <w:t> </w:t>
      </w:r>
      <w:r>
        <w:rPr>
          <w:sz w:val="24"/>
        </w:rPr>
        <w:t>substantial</w:t>
      </w:r>
      <w:r>
        <w:rPr>
          <w:spacing w:val="-4"/>
          <w:sz w:val="24"/>
        </w:rPr>
        <w:t> </w:t>
      </w:r>
      <w:r>
        <w:rPr>
          <w:spacing w:val="-2"/>
          <w:sz w:val="24"/>
        </w:rPr>
        <w:t>disabilities.</w:t>
      </w:r>
    </w:p>
    <w:p>
      <w:pPr>
        <w:pStyle w:val="ListParagraph"/>
        <w:numPr>
          <w:ilvl w:val="5"/>
          <w:numId w:val="316"/>
        </w:numPr>
        <w:tabs>
          <w:tab w:pos="2107" w:val="left" w:leader="none"/>
        </w:tabs>
        <w:spacing w:line="208" w:lineRule="auto" w:before="234" w:after="0"/>
        <w:ind w:left="1656" w:right="1192" w:firstLine="0"/>
        <w:jc w:val="left"/>
        <w:rPr>
          <w:sz w:val="24"/>
        </w:rPr>
      </w:pPr>
      <w:r>
        <w:rPr>
          <w:sz w:val="24"/>
        </w:rPr>
        <w:t>Qualified</w:t>
      </w:r>
      <w:r>
        <w:rPr>
          <w:spacing w:val="-5"/>
          <w:sz w:val="24"/>
        </w:rPr>
        <w:t> </w:t>
      </w:r>
      <w:r>
        <w:rPr>
          <w:sz w:val="24"/>
        </w:rPr>
        <w:t>households</w:t>
      </w:r>
      <w:r>
        <w:rPr>
          <w:spacing w:val="-5"/>
          <w:sz w:val="24"/>
        </w:rPr>
        <w:t> </w:t>
      </w:r>
      <w:r>
        <w:rPr>
          <w:sz w:val="24"/>
        </w:rPr>
        <w:t>where</w:t>
      </w:r>
      <w:r>
        <w:rPr>
          <w:spacing w:val="-4"/>
          <w:sz w:val="24"/>
        </w:rPr>
        <w:t> </w:t>
      </w:r>
      <w:r>
        <w:rPr>
          <w:sz w:val="24"/>
        </w:rPr>
        <w:t>two</w:t>
      </w:r>
      <w:r>
        <w:rPr>
          <w:spacing w:val="-5"/>
          <w:sz w:val="24"/>
        </w:rPr>
        <w:t> </w:t>
      </w:r>
      <w:r>
        <w:rPr>
          <w:sz w:val="24"/>
        </w:rPr>
        <w:t>or</w:t>
      </w:r>
      <w:r>
        <w:rPr>
          <w:spacing w:val="-4"/>
          <w:sz w:val="24"/>
        </w:rPr>
        <w:t> </w:t>
      </w:r>
      <w:r>
        <w:rPr>
          <w:sz w:val="24"/>
        </w:rPr>
        <w:t>more</w:t>
      </w:r>
      <w:r>
        <w:rPr>
          <w:spacing w:val="-5"/>
          <w:sz w:val="24"/>
        </w:rPr>
        <w:t> </w:t>
      </w:r>
      <w:r>
        <w:rPr>
          <w:sz w:val="24"/>
        </w:rPr>
        <w:t>residents</w:t>
      </w:r>
      <w:r>
        <w:rPr>
          <w:spacing w:val="-5"/>
          <w:sz w:val="24"/>
        </w:rPr>
        <w:t> </w:t>
      </w:r>
      <w:r>
        <w:rPr>
          <w:sz w:val="24"/>
        </w:rPr>
        <w:t>have</w:t>
      </w:r>
      <w:r>
        <w:rPr>
          <w:spacing w:val="-5"/>
          <w:sz w:val="24"/>
        </w:rPr>
        <w:t> </w:t>
      </w:r>
      <w:r>
        <w:rPr>
          <w:sz w:val="24"/>
        </w:rPr>
        <w:t>substantial </w:t>
      </w:r>
      <w:r>
        <w:rPr>
          <w:spacing w:val="-2"/>
          <w:sz w:val="24"/>
        </w:rPr>
        <w:t>disabilities.</w:t>
      </w:r>
    </w:p>
    <w:p>
      <w:pPr>
        <w:pStyle w:val="ListParagraph"/>
        <w:numPr>
          <w:ilvl w:val="5"/>
          <w:numId w:val="316"/>
        </w:numPr>
        <w:tabs>
          <w:tab w:pos="2121" w:val="left" w:leader="none"/>
        </w:tabs>
        <w:spacing w:line="208" w:lineRule="auto" w:before="240" w:after="0"/>
        <w:ind w:left="1656" w:right="1309" w:firstLine="0"/>
        <w:jc w:val="left"/>
        <w:rPr>
          <w:sz w:val="24"/>
        </w:rPr>
      </w:pPr>
      <w:r>
        <w:rPr>
          <w:sz w:val="24"/>
        </w:rPr>
        <w:t>Qualified</w:t>
      </w:r>
      <w:r>
        <w:rPr>
          <w:spacing w:val="-5"/>
          <w:sz w:val="24"/>
        </w:rPr>
        <w:t> </w:t>
      </w:r>
      <w:r>
        <w:rPr>
          <w:sz w:val="24"/>
        </w:rPr>
        <w:t>households</w:t>
      </w:r>
      <w:r>
        <w:rPr>
          <w:spacing w:val="-5"/>
          <w:sz w:val="24"/>
        </w:rPr>
        <w:t> </w:t>
      </w:r>
      <w:r>
        <w:rPr>
          <w:sz w:val="24"/>
        </w:rPr>
        <w:t>where</w:t>
      </w:r>
      <w:r>
        <w:rPr>
          <w:spacing w:val="-4"/>
          <w:sz w:val="24"/>
        </w:rPr>
        <w:t> </w:t>
      </w:r>
      <w:r>
        <w:rPr>
          <w:sz w:val="24"/>
        </w:rPr>
        <w:t>one</w:t>
      </w:r>
      <w:r>
        <w:rPr>
          <w:spacing w:val="-5"/>
          <w:sz w:val="24"/>
        </w:rPr>
        <w:t> </w:t>
      </w:r>
      <w:r>
        <w:rPr>
          <w:sz w:val="24"/>
        </w:rPr>
        <w:t>of</w:t>
      </w:r>
      <w:r>
        <w:rPr>
          <w:spacing w:val="-4"/>
          <w:sz w:val="24"/>
        </w:rPr>
        <w:t> </w:t>
      </w:r>
      <w:r>
        <w:rPr>
          <w:sz w:val="24"/>
        </w:rPr>
        <w:t>the</w:t>
      </w:r>
      <w:r>
        <w:rPr>
          <w:spacing w:val="-5"/>
          <w:sz w:val="24"/>
        </w:rPr>
        <w:t> </w:t>
      </w:r>
      <w:r>
        <w:rPr>
          <w:sz w:val="24"/>
        </w:rPr>
        <w:t>residents</w:t>
      </w:r>
      <w:r>
        <w:rPr>
          <w:spacing w:val="-5"/>
          <w:sz w:val="24"/>
        </w:rPr>
        <w:t> </w:t>
      </w:r>
      <w:r>
        <w:rPr>
          <w:sz w:val="24"/>
        </w:rPr>
        <w:t>has</w:t>
      </w:r>
      <w:r>
        <w:rPr>
          <w:spacing w:val="-5"/>
          <w:sz w:val="24"/>
        </w:rPr>
        <w:t> </w:t>
      </w:r>
      <w:r>
        <w:rPr>
          <w:sz w:val="24"/>
        </w:rPr>
        <w:t>a</w:t>
      </w:r>
      <w:r>
        <w:rPr>
          <w:spacing w:val="-5"/>
          <w:sz w:val="24"/>
        </w:rPr>
        <w:t> </w:t>
      </w:r>
      <w:r>
        <w:rPr>
          <w:sz w:val="24"/>
        </w:rPr>
        <w:t>substantial </w:t>
      </w:r>
      <w:r>
        <w:rPr>
          <w:spacing w:val="-2"/>
          <w:sz w:val="24"/>
        </w:rPr>
        <w:t>disability.</w:t>
      </w:r>
    </w:p>
    <w:p>
      <w:pPr>
        <w:pStyle w:val="ListParagraph"/>
        <w:numPr>
          <w:ilvl w:val="4"/>
          <w:numId w:val="316"/>
        </w:numPr>
        <w:tabs>
          <w:tab w:pos="1677" w:val="left" w:leader="none"/>
        </w:tabs>
        <w:spacing w:line="208" w:lineRule="auto" w:before="239" w:after="0"/>
        <w:ind w:left="1224" w:right="730" w:firstLine="0"/>
        <w:jc w:val="left"/>
        <w:rPr>
          <w:sz w:val="24"/>
        </w:rPr>
      </w:pPr>
      <w:r>
        <w:rPr>
          <w:sz w:val="24"/>
        </w:rPr>
        <w:t>To apply for assistance, an individual must complete an application and registration using the Application for the Equipment Distribution Program form. Applications</w:t>
      </w:r>
      <w:r>
        <w:rPr>
          <w:spacing w:val="-4"/>
          <w:sz w:val="24"/>
        </w:rPr>
        <w:t> </w:t>
      </w:r>
      <w:r>
        <w:rPr>
          <w:sz w:val="24"/>
        </w:rPr>
        <w:t>may</w:t>
      </w:r>
      <w:r>
        <w:rPr>
          <w:spacing w:val="-4"/>
          <w:sz w:val="24"/>
        </w:rPr>
        <w:t> </w:t>
      </w:r>
      <w:r>
        <w:rPr>
          <w:sz w:val="24"/>
        </w:rPr>
        <w:t>be</w:t>
      </w:r>
      <w:r>
        <w:rPr>
          <w:spacing w:val="-4"/>
          <w:sz w:val="24"/>
        </w:rPr>
        <w:t> </w:t>
      </w:r>
      <w:r>
        <w:rPr>
          <w:sz w:val="24"/>
        </w:rPr>
        <w:t>obtained</w:t>
      </w:r>
      <w:r>
        <w:rPr>
          <w:spacing w:val="-4"/>
          <w:sz w:val="24"/>
        </w:rPr>
        <w:t> </w:t>
      </w:r>
      <w:r>
        <w:rPr>
          <w:sz w:val="24"/>
        </w:rPr>
        <w:t>by</w:t>
      </w:r>
      <w:r>
        <w:rPr>
          <w:spacing w:val="-4"/>
          <w:sz w:val="24"/>
        </w:rPr>
        <w:t> </w:t>
      </w:r>
      <w:r>
        <w:rPr>
          <w:sz w:val="24"/>
        </w:rPr>
        <w:t>contacting</w:t>
      </w:r>
      <w:r>
        <w:rPr>
          <w:spacing w:val="-4"/>
          <w:sz w:val="24"/>
        </w:rPr>
        <w:t> </w:t>
      </w:r>
      <w:r>
        <w:rPr>
          <w:sz w:val="24"/>
        </w:rPr>
        <w:t>any</w:t>
      </w:r>
      <w:r>
        <w:rPr>
          <w:spacing w:val="-4"/>
          <w:sz w:val="24"/>
        </w:rPr>
        <w:t> </w:t>
      </w:r>
      <w:r>
        <w:rPr>
          <w:sz w:val="24"/>
        </w:rPr>
        <w:t>DRS</w:t>
      </w:r>
      <w:r>
        <w:rPr>
          <w:spacing w:val="-4"/>
          <w:sz w:val="24"/>
        </w:rPr>
        <w:t> </w:t>
      </w:r>
      <w:r>
        <w:rPr>
          <w:sz w:val="24"/>
        </w:rPr>
        <w:t>office.</w:t>
      </w:r>
      <w:r>
        <w:rPr>
          <w:spacing w:val="40"/>
          <w:sz w:val="24"/>
        </w:rPr>
        <w:t> </w:t>
      </w:r>
      <w:r>
        <w:rPr>
          <w:sz w:val="24"/>
        </w:rPr>
        <w:t>Equipment</w:t>
      </w:r>
      <w:r>
        <w:rPr>
          <w:spacing w:val="-3"/>
          <w:sz w:val="24"/>
        </w:rPr>
        <w:t> </w:t>
      </w:r>
      <w:r>
        <w:rPr>
          <w:sz w:val="24"/>
        </w:rPr>
        <w:t>may</w:t>
      </w:r>
      <w:r>
        <w:rPr>
          <w:spacing w:val="-5"/>
          <w:sz w:val="24"/>
        </w:rPr>
        <w:t> </w:t>
      </w:r>
      <w:r>
        <w:rPr>
          <w:sz w:val="24"/>
        </w:rPr>
        <w:t>be mailed to the closest DRS office for the consumer to pick up.</w:t>
      </w:r>
      <w:r>
        <w:rPr>
          <w:spacing w:val="40"/>
          <w:sz w:val="24"/>
        </w:rPr>
        <w:t> </w:t>
      </w:r>
      <w:r>
        <w:rPr>
          <w:sz w:val="24"/>
        </w:rPr>
        <w:t>If not picked up</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1224" w:right="775"/>
      </w:pPr>
      <w:r>
        <w:rPr/>
        <w:t>within</w:t>
      </w:r>
      <w:r>
        <w:rPr>
          <w:spacing w:val="-3"/>
        </w:rPr>
        <w:t> </w:t>
      </w:r>
      <w:r>
        <w:rPr/>
        <w:t>30</w:t>
      </w:r>
      <w:r>
        <w:rPr>
          <w:spacing w:val="-3"/>
        </w:rPr>
        <w:t> </w:t>
      </w:r>
      <w:r>
        <w:rPr/>
        <w:t>days,</w:t>
      </w:r>
      <w:r>
        <w:rPr>
          <w:spacing w:val="-2"/>
        </w:rPr>
        <w:t> </w:t>
      </w:r>
      <w:r>
        <w:rPr/>
        <w:t>the</w:t>
      </w:r>
      <w:r>
        <w:rPr>
          <w:spacing w:val="-3"/>
        </w:rPr>
        <w:t> </w:t>
      </w:r>
      <w:r>
        <w:rPr/>
        <w:t>equipment</w:t>
      </w:r>
      <w:r>
        <w:rPr>
          <w:spacing w:val="-2"/>
        </w:rPr>
        <w:t> </w:t>
      </w:r>
      <w:r>
        <w:rPr/>
        <w:t>will</w:t>
      </w:r>
      <w:r>
        <w:rPr>
          <w:spacing w:val="-3"/>
        </w:rPr>
        <w:t> </w:t>
      </w:r>
      <w:r>
        <w:rPr/>
        <w:t>be</w:t>
      </w:r>
      <w:r>
        <w:rPr>
          <w:spacing w:val="-3"/>
        </w:rPr>
        <w:t> </w:t>
      </w:r>
      <w:r>
        <w:rPr/>
        <w:t>returned</w:t>
      </w:r>
      <w:r>
        <w:rPr>
          <w:spacing w:val="-3"/>
        </w:rPr>
        <w:t> </w:t>
      </w:r>
      <w:r>
        <w:rPr/>
        <w:t>to</w:t>
      </w:r>
      <w:r>
        <w:rPr>
          <w:spacing w:val="-3"/>
        </w:rPr>
        <w:t> </w:t>
      </w:r>
      <w:r>
        <w:rPr/>
        <w:t>DRS</w:t>
      </w:r>
      <w:r>
        <w:rPr>
          <w:spacing w:val="-3"/>
        </w:rPr>
        <w:t> </w:t>
      </w:r>
      <w:r>
        <w:rPr/>
        <w:t>inventory</w:t>
      </w:r>
      <w:r>
        <w:rPr>
          <w:spacing w:val="-3"/>
        </w:rPr>
        <w:t> </w:t>
      </w:r>
      <w:r>
        <w:rPr/>
        <w:t>to</w:t>
      </w:r>
      <w:r>
        <w:rPr>
          <w:spacing w:val="-4"/>
        </w:rPr>
        <w:t> </w:t>
      </w:r>
      <w:r>
        <w:rPr/>
        <w:t>be</w:t>
      </w:r>
      <w:r>
        <w:rPr>
          <w:spacing w:val="-3"/>
        </w:rPr>
        <w:t> </w:t>
      </w:r>
      <w:r>
        <w:rPr/>
        <w:t>issued</w:t>
      </w:r>
      <w:r>
        <w:rPr>
          <w:spacing w:val="-3"/>
        </w:rPr>
        <w:t> </w:t>
      </w:r>
      <w:r>
        <w:rPr/>
        <w:t>to the next consumer on the waiting list.</w:t>
      </w:r>
    </w:p>
    <w:p>
      <w:pPr>
        <w:pStyle w:val="ListParagraph"/>
        <w:numPr>
          <w:ilvl w:val="3"/>
          <w:numId w:val="316"/>
        </w:numPr>
        <w:tabs>
          <w:tab w:pos="1217" w:val="left" w:leader="none"/>
        </w:tabs>
        <w:spacing w:line="208" w:lineRule="auto" w:before="240" w:after="0"/>
        <w:ind w:left="791" w:right="747" w:firstLine="0"/>
        <w:jc w:val="left"/>
        <w:rPr>
          <w:sz w:val="24"/>
        </w:rPr>
      </w:pPr>
      <w:r>
        <w:rPr>
          <w:b/>
          <w:sz w:val="24"/>
        </w:rPr>
        <w:t>Hearing aids for senior citizens. </w:t>
      </w:r>
      <w:r>
        <w:rPr>
          <w:sz w:val="24"/>
        </w:rPr>
        <w:t>Hearing aids may be purchased for individuals who are sixty (60) years of age or older and have a hearing loss of 35 decibels</w:t>
      </w:r>
      <w:r>
        <w:rPr>
          <w:spacing w:val="-3"/>
          <w:sz w:val="24"/>
        </w:rPr>
        <w:t> </w:t>
      </w:r>
      <w:r>
        <w:rPr>
          <w:sz w:val="24"/>
        </w:rPr>
        <w:t>or</w:t>
      </w:r>
      <w:r>
        <w:rPr>
          <w:spacing w:val="-2"/>
          <w:sz w:val="24"/>
        </w:rPr>
        <w:t> </w:t>
      </w:r>
      <w:r>
        <w:rPr>
          <w:sz w:val="24"/>
        </w:rPr>
        <w:t>greater</w:t>
      </w:r>
      <w:r>
        <w:rPr>
          <w:spacing w:val="-2"/>
          <w:sz w:val="24"/>
        </w:rPr>
        <w:t> </w:t>
      </w:r>
      <w:r>
        <w:rPr>
          <w:sz w:val="24"/>
        </w:rPr>
        <w:t>in</w:t>
      </w:r>
      <w:r>
        <w:rPr>
          <w:spacing w:val="-3"/>
          <w:sz w:val="24"/>
        </w:rPr>
        <w:t> </w:t>
      </w:r>
      <w:r>
        <w:rPr>
          <w:sz w:val="24"/>
        </w:rPr>
        <w:t>the</w:t>
      </w:r>
      <w:r>
        <w:rPr>
          <w:spacing w:val="-3"/>
          <w:sz w:val="24"/>
        </w:rPr>
        <w:t> </w:t>
      </w:r>
      <w:r>
        <w:rPr>
          <w:sz w:val="24"/>
        </w:rPr>
        <w:t>better</w:t>
      </w:r>
      <w:r>
        <w:rPr>
          <w:spacing w:val="-2"/>
          <w:sz w:val="24"/>
        </w:rPr>
        <w:t> </w:t>
      </w:r>
      <w:r>
        <w:rPr>
          <w:sz w:val="24"/>
        </w:rPr>
        <w:t>ear.</w:t>
      </w:r>
      <w:r>
        <w:rPr>
          <w:spacing w:val="-2"/>
          <w:sz w:val="24"/>
        </w:rPr>
        <w:t> </w:t>
      </w:r>
      <w:r>
        <w:rPr>
          <w:sz w:val="24"/>
        </w:rPr>
        <w:t>The</w:t>
      </w:r>
      <w:r>
        <w:rPr>
          <w:spacing w:val="-3"/>
          <w:sz w:val="24"/>
        </w:rPr>
        <w:t> </w:t>
      </w:r>
      <w:r>
        <w:rPr>
          <w:sz w:val="24"/>
        </w:rPr>
        <w:t>level</w:t>
      </w:r>
      <w:r>
        <w:rPr>
          <w:spacing w:val="-3"/>
          <w:sz w:val="24"/>
        </w:rPr>
        <w:t> </w:t>
      </w:r>
      <w:r>
        <w:rPr>
          <w:sz w:val="24"/>
        </w:rPr>
        <w:t>of</w:t>
      </w:r>
      <w:r>
        <w:rPr>
          <w:spacing w:val="-2"/>
          <w:sz w:val="24"/>
        </w:rPr>
        <w:t> </w:t>
      </w:r>
      <w:r>
        <w:rPr>
          <w:sz w:val="24"/>
        </w:rPr>
        <w:t>hearing</w:t>
      </w:r>
      <w:r>
        <w:rPr>
          <w:spacing w:val="-3"/>
          <w:sz w:val="24"/>
        </w:rPr>
        <w:t> </w:t>
      </w:r>
      <w:r>
        <w:rPr>
          <w:sz w:val="24"/>
        </w:rPr>
        <w:t>loss</w:t>
      </w:r>
      <w:r>
        <w:rPr>
          <w:spacing w:val="-3"/>
          <w:sz w:val="24"/>
        </w:rPr>
        <w:t> </w:t>
      </w:r>
      <w:r>
        <w:rPr>
          <w:sz w:val="24"/>
        </w:rPr>
        <w:t>is</w:t>
      </w:r>
      <w:r>
        <w:rPr>
          <w:spacing w:val="-3"/>
          <w:sz w:val="24"/>
        </w:rPr>
        <w:t> </w:t>
      </w:r>
      <w:r>
        <w:rPr>
          <w:sz w:val="24"/>
        </w:rPr>
        <w:t>to</w:t>
      </w:r>
      <w:r>
        <w:rPr>
          <w:spacing w:val="-4"/>
          <w:sz w:val="24"/>
        </w:rPr>
        <w:t> </w:t>
      </w:r>
      <w:r>
        <w:rPr>
          <w:sz w:val="24"/>
        </w:rPr>
        <w:t>be</w:t>
      </w:r>
      <w:r>
        <w:rPr>
          <w:spacing w:val="-3"/>
          <w:sz w:val="24"/>
        </w:rPr>
        <w:t> </w:t>
      </w:r>
      <w:r>
        <w:rPr>
          <w:sz w:val="24"/>
        </w:rPr>
        <w:t>determined</w:t>
      </w:r>
      <w:r>
        <w:rPr>
          <w:spacing w:val="-3"/>
          <w:sz w:val="24"/>
        </w:rPr>
        <w:t> </w:t>
      </w:r>
      <w:r>
        <w:rPr>
          <w:sz w:val="24"/>
        </w:rPr>
        <w:t>by a vendor audiologist selected by the applicant and having a current contract to provide services under this program. One hearing aid will be purchased per person with the exception of (E) below. All services and equipment purchased will be paid at the contracted rate. The individual may be required to participate in the cost of services in the form of a co-payment as determined under (3) of this Section. Procedures for providing hearing aids under this program are presented in (A) through (D) of this Section.</w:t>
      </w:r>
    </w:p>
    <w:p>
      <w:pPr>
        <w:pStyle w:val="ListParagraph"/>
        <w:numPr>
          <w:ilvl w:val="4"/>
          <w:numId w:val="316"/>
        </w:numPr>
        <w:tabs>
          <w:tab w:pos="1675" w:val="left" w:leader="none"/>
        </w:tabs>
        <w:spacing w:line="208" w:lineRule="auto" w:before="239" w:after="0"/>
        <w:ind w:left="1223" w:right="889" w:firstLine="0"/>
        <w:jc w:val="left"/>
        <w:rPr>
          <w:sz w:val="24"/>
        </w:rPr>
      </w:pPr>
      <w:r>
        <w:rPr>
          <w:b/>
          <w:sz w:val="24"/>
        </w:rPr>
        <w:t>Application.</w:t>
      </w:r>
      <w:r>
        <w:rPr>
          <w:b/>
          <w:spacing w:val="40"/>
          <w:sz w:val="24"/>
        </w:rPr>
        <w:t> </w:t>
      </w:r>
      <w:r>
        <w:rPr>
          <w:sz w:val="24"/>
        </w:rPr>
        <w:t>An</w:t>
      </w:r>
      <w:r>
        <w:rPr>
          <w:spacing w:val="-4"/>
          <w:sz w:val="24"/>
        </w:rPr>
        <w:t> </w:t>
      </w:r>
      <w:r>
        <w:rPr>
          <w:sz w:val="24"/>
        </w:rPr>
        <w:t>applicant</w:t>
      </w:r>
      <w:r>
        <w:rPr>
          <w:spacing w:val="-3"/>
          <w:sz w:val="24"/>
        </w:rPr>
        <w:t> </w:t>
      </w:r>
      <w:r>
        <w:rPr>
          <w:sz w:val="24"/>
        </w:rPr>
        <w:t>will</w:t>
      </w:r>
      <w:r>
        <w:rPr>
          <w:spacing w:val="-4"/>
          <w:sz w:val="24"/>
        </w:rPr>
        <w:t> </w:t>
      </w:r>
      <w:r>
        <w:rPr>
          <w:sz w:val="24"/>
        </w:rPr>
        <w:t>complete</w:t>
      </w:r>
      <w:r>
        <w:rPr>
          <w:spacing w:val="-4"/>
          <w:sz w:val="24"/>
        </w:rPr>
        <w:t> </w:t>
      </w:r>
      <w:r>
        <w:rPr>
          <w:sz w:val="24"/>
        </w:rPr>
        <w:t>the</w:t>
      </w:r>
      <w:r>
        <w:rPr>
          <w:spacing w:val="-4"/>
          <w:sz w:val="24"/>
        </w:rPr>
        <w:t> </w:t>
      </w:r>
      <w:r>
        <w:rPr>
          <w:sz w:val="24"/>
        </w:rPr>
        <w:t>Application</w:t>
      </w:r>
      <w:r>
        <w:rPr>
          <w:spacing w:val="-4"/>
          <w:sz w:val="24"/>
        </w:rPr>
        <w:t> </w:t>
      </w:r>
      <w:r>
        <w:rPr>
          <w:sz w:val="24"/>
        </w:rPr>
        <w:t>for</w:t>
      </w:r>
      <w:r>
        <w:rPr>
          <w:spacing w:val="-3"/>
          <w:sz w:val="24"/>
        </w:rPr>
        <w:t> </w:t>
      </w:r>
      <w:r>
        <w:rPr>
          <w:sz w:val="24"/>
        </w:rPr>
        <w:t>the</w:t>
      </w:r>
      <w:r>
        <w:rPr>
          <w:spacing w:val="-4"/>
          <w:sz w:val="24"/>
        </w:rPr>
        <w:t> </w:t>
      </w:r>
      <w:r>
        <w:rPr>
          <w:sz w:val="24"/>
        </w:rPr>
        <w:t>Equipment Distribution Program and submit the completed application along with proof of income to the Oklahoma School for the Deaf, DRS.</w:t>
      </w:r>
    </w:p>
    <w:p>
      <w:pPr>
        <w:pStyle w:val="ListParagraph"/>
        <w:numPr>
          <w:ilvl w:val="4"/>
          <w:numId w:val="316"/>
        </w:numPr>
        <w:tabs>
          <w:tab w:pos="1676" w:val="left" w:leader="none"/>
        </w:tabs>
        <w:spacing w:line="208" w:lineRule="auto" w:before="239" w:after="0"/>
        <w:ind w:left="1223" w:right="780" w:firstLine="0"/>
        <w:jc w:val="left"/>
        <w:rPr>
          <w:sz w:val="24"/>
        </w:rPr>
      </w:pPr>
      <w:r>
        <w:rPr>
          <w:b/>
          <w:sz w:val="24"/>
        </w:rPr>
        <w:t>Eligibility determination and authorization of services. </w:t>
      </w:r>
      <w:r>
        <w:rPr>
          <w:sz w:val="24"/>
        </w:rPr>
        <w:t>Upon receipt of a completed application, DRS will determine the amount of any required co- payment in accordance with (3) of this Section. Staff will authorize an audiological evaluation to the preferred vendor designated on the application form. The referral source and applicant will be notified of the authorization and the amount of any required co-payment to be made to the DRS/235 Fund. The report</w:t>
      </w:r>
      <w:r>
        <w:rPr>
          <w:spacing w:val="-2"/>
          <w:sz w:val="24"/>
        </w:rPr>
        <w:t> </w:t>
      </w:r>
      <w:r>
        <w:rPr>
          <w:sz w:val="24"/>
        </w:rPr>
        <w:t>of</w:t>
      </w:r>
      <w:r>
        <w:rPr>
          <w:spacing w:val="-4"/>
          <w:sz w:val="24"/>
        </w:rPr>
        <w:t> </w:t>
      </w:r>
      <w:r>
        <w:rPr>
          <w:sz w:val="24"/>
        </w:rPr>
        <w:t>audiological</w:t>
      </w:r>
      <w:r>
        <w:rPr>
          <w:spacing w:val="-3"/>
          <w:sz w:val="24"/>
        </w:rPr>
        <w:t> </w:t>
      </w:r>
      <w:r>
        <w:rPr>
          <w:sz w:val="24"/>
        </w:rPr>
        <w:t>evaluation</w:t>
      </w:r>
      <w:r>
        <w:rPr>
          <w:spacing w:val="-3"/>
          <w:sz w:val="24"/>
        </w:rPr>
        <w:t> </w:t>
      </w:r>
      <w:r>
        <w:rPr>
          <w:sz w:val="24"/>
        </w:rPr>
        <w:t>is</w:t>
      </w:r>
      <w:r>
        <w:rPr>
          <w:spacing w:val="-2"/>
          <w:sz w:val="24"/>
        </w:rPr>
        <w:t> </w:t>
      </w:r>
      <w:r>
        <w:rPr>
          <w:sz w:val="24"/>
        </w:rPr>
        <w:t>sent</w:t>
      </w:r>
      <w:r>
        <w:rPr>
          <w:spacing w:val="-2"/>
          <w:sz w:val="24"/>
        </w:rPr>
        <w:t> </w:t>
      </w:r>
      <w:r>
        <w:rPr>
          <w:sz w:val="24"/>
        </w:rPr>
        <w:t>to</w:t>
      </w:r>
      <w:r>
        <w:rPr>
          <w:spacing w:val="-4"/>
          <w:sz w:val="24"/>
        </w:rPr>
        <w:t> </w:t>
      </w:r>
      <w:r>
        <w:rPr>
          <w:sz w:val="24"/>
        </w:rPr>
        <w:t>the</w:t>
      </w:r>
      <w:r>
        <w:rPr>
          <w:spacing w:val="-3"/>
          <w:sz w:val="24"/>
        </w:rPr>
        <w:t> </w:t>
      </w:r>
      <w:r>
        <w:rPr>
          <w:sz w:val="24"/>
        </w:rPr>
        <w:t>Oklahoma</w:t>
      </w:r>
      <w:r>
        <w:rPr>
          <w:spacing w:val="-3"/>
          <w:sz w:val="24"/>
        </w:rPr>
        <w:t> </w:t>
      </w:r>
      <w:r>
        <w:rPr>
          <w:sz w:val="24"/>
        </w:rPr>
        <w:t>School</w:t>
      </w:r>
      <w:r>
        <w:rPr>
          <w:spacing w:val="-3"/>
          <w:sz w:val="24"/>
        </w:rPr>
        <w:t> </w:t>
      </w:r>
      <w:r>
        <w:rPr>
          <w:sz w:val="24"/>
        </w:rPr>
        <w:t>for</w:t>
      </w:r>
      <w:r>
        <w:rPr>
          <w:spacing w:val="-2"/>
          <w:sz w:val="24"/>
        </w:rPr>
        <w:t> </w:t>
      </w:r>
      <w:r>
        <w:rPr>
          <w:sz w:val="24"/>
        </w:rPr>
        <w:t>the</w:t>
      </w:r>
      <w:r>
        <w:rPr>
          <w:spacing w:val="-3"/>
          <w:sz w:val="24"/>
        </w:rPr>
        <w:t> </w:t>
      </w:r>
      <w:r>
        <w:rPr>
          <w:sz w:val="24"/>
        </w:rPr>
        <w:t>Deaf.</w:t>
      </w:r>
      <w:r>
        <w:rPr>
          <w:spacing w:val="40"/>
          <w:sz w:val="24"/>
        </w:rPr>
        <w:t> </w:t>
      </w:r>
      <w:r>
        <w:rPr>
          <w:sz w:val="24"/>
        </w:rPr>
        <w:t>If the result is a hearing loss of 35 decibels in the better ear, staff will issue an authorization</w:t>
      </w:r>
      <w:r>
        <w:rPr>
          <w:spacing w:val="-3"/>
          <w:sz w:val="24"/>
        </w:rPr>
        <w:t> </w:t>
      </w:r>
      <w:r>
        <w:rPr>
          <w:sz w:val="24"/>
        </w:rPr>
        <w:t>for</w:t>
      </w:r>
      <w:r>
        <w:rPr>
          <w:spacing w:val="-2"/>
          <w:sz w:val="24"/>
        </w:rPr>
        <w:t> </w:t>
      </w:r>
      <w:r>
        <w:rPr>
          <w:sz w:val="24"/>
        </w:rPr>
        <w:t>a</w:t>
      </w:r>
      <w:r>
        <w:rPr>
          <w:spacing w:val="-3"/>
          <w:sz w:val="24"/>
        </w:rPr>
        <w:t> </w:t>
      </w:r>
      <w:r>
        <w:rPr>
          <w:sz w:val="24"/>
        </w:rPr>
        <w:t>hearing</w:t>
      </w:r>
      <w:r>
        <w:rPr>
          <w:spacing w:val="-3"/>
          <w:sz w:val="24"/>
        </w:rPr>
        <w:t> </w:t>
      </w:r>
      <w:r>
        <w:rPr>
          <w:sz w:val="24"/>
        </w:rPr>
        <w:t>aid</w:t>
      </w:r>
      <w:r>
        <w:rPr>
          <w:spacing w:val="-3"/>
          <w:sz w:val="24"/>
        </w:rPr>
        <w:t> </w:t>
      </w:r>
      <w:r>
        <w:rPr>
          <w:sz w:val="24"/>
        </w:rPr>
        <w:t>and</w:t>
      </w:r>
      <w:r>
        <w:rPr>
          <w:spacing w:val="-3"/>
          <w:sz w:val="24"/>
        </w:rPr>
        <w:t> </w:t>
      </w:r>
      <w:r>
        <w:rPr>
          <w:sz w:val="24"/>
        </w:rPr>
        <w:t>appropriate</w:t>
      </w:r>
      <w:r>
        <w:rPr>
          <w:spacing w:val="-3"/>
          <w:sz w:val="24"/>
        </w:rPr>
        <w:t> </w:t>
      </w:r>
      <w:r>
        <w:rPr>
          <w:sz w:val="24"/>
        </w:rPr>
        <w:t>ancillary</w:t>
      </w:r>
      <w:r>
        <w:rPr>
          <w:spacing w:val="-3"/>
          <w:sz w:val="24"/>
        </w:rPr>
        <w:t> </w:t>
      </w:r>
      <w:r>
        <w:rPr>
          <w:sz w:val="24"/>
        </w:rPr>
        <w:t>services</w:t>
      </w:r>
      <w:r>
        <w:rPr>
          <w:spacing w:val="-3"/>
          <w:sz w:val="24"/>
        </w:rPr>
        <w:t> </w:t>
      </w:r>
      <w:r>
        <w:rPr>
          <w:sz w:val="24"/>
        </w:rPr>
        <w:t>and</w:t>
      </w:r>
      <w:r>
        <w:rPr>
          <w:spacing w:val="-3"/>
          <w:sz w:val="24"/>
        </w:rPr>
        <w:t> </w:t>
      </w:r>
      <w:r>
        <w:rPr>
          <w:sz w:val="24"/>
        </w:rPr>
        <w:t>devices</w:t>
      </w:r>
      <w:r>
        <w:rPr>
          <w:spacing w:val="-3"/>
          <w:sz w:val="24"/>
        </w:rPr>
        <w:t> </w:t>
      </w:r>
      <w:r>
        <w:rPr>
          <w:sz w:val="24"/>
        </w:rPr>
        <w:t>in accordance with the vendor contract. The level of hearing loss will be determined averaging the readings reported at the 1000 Hz, 2000 Hz, 3000 HZ and 4000 HZ frequency ranges.</w:t>
      </w:r>
    </w:p>
    <w:p>
      <w:pPr>
        <w:pStyle w:val="ListParagraph"/>
        <w:numPr>
          <w:ilvl w:val="4"/>
          <w:numId w:val="316"/>
        </w:numPr>
        <w:tabs>
          <w:tab w:pos="1689" w:val="left" w:leader="none"/>
        </w:tabs>
        <w:spacing w:line="208" w:lineRule="auto" w:before="239" w:after="0"/>
        <w:ind w:left="1224" w:right="1013" w:firstLine="0"/>
        <w:jc w:val="left"/>
        <w:rPr>
          <w:sz w:val="24"/>
        </w:rPr>
      </w:pPr>
      <w:r>
        <w:rPr>
          <w:b/>
          <w:sz w:val="24"/>
        </w:rPr>
        <w:t>Appointments</w:t>
      </w:r>
      <w:r>
        <w:rPr>
          <w:b/>
          <w:spacing w:val="-5"/>
          <w:sz w:val="24"/>
        </w:rPr>
        <w:t> </w:t>
      </w:r>
      <w:r>
        <w:rPr>
          <w:b/>
          <w:sz w:val="24"/>
        </w:rPr>
        <w:t>and</w:t>
      </w:r>
      <w:r>
        <w:rPr>
          <w:b/>
          <w:spacing w:val="-5"/>
          <w:sz w:val="24"/>
        </w:rPr>
        <w:t> </w:t>
      </w:r>
      <w:r>
        <w:rPr>
          <w:b/>
          <w:sz w:val="24"/>
        </w:rPr>
        <w:t>transportation.</w:t>
      </w:r>
      <w:r>
        <w:rPr>
          <w:b/>
          <w:spacing w:val="-6"/>
          <w:sz w:val="24"/>
        </w:rPr>
        <w:t> </w:t>
      </w:r>
      <w:r>
        <w:rPr>
          <w:sz w:val="24"/>
        </w:rPr>
        <w:t>DRS</w:t>
      </w:r>
      <w:r>
        <w:rPr>
          <w:spacing w:val="-5"/>
          <w:sz w:val="24"/>
        </w:rPr>
        <w:t> </w:t>
      </w:r>
      <w:r>
        <w:rPr>
          <w:sz w:val="24"/>
        </w:rPr>
        <w:t>staff</w:t>
      </w:r>
      <w:r>
        <w:rPr>
          <w:spacing w:val="-4"/>
          <w:sz w:val="24"/>
        </w:rPr>
        <w:t> </w:t>
      </w:r>
      <w:r>
        <w:rPr>
          <w:sz w:val="24"/>
        </w:rPr>
        <w:t>will</w:t>
      </w:r>
      <w:r>
        <w:rPr>
          <w:spacing w:val="-5"/>
          <w:sz w:val="24"/>
        </w:rPr>
        <w:t> </w:t>
      </w:r>
      <w:r>
        <w:rPr>
          <w:sz w:val="24"/>
        </w:rPr>
        <w:t>notify</w:t>
      </w:r>
      <w:r>
        <w:rPr>
          <w:spacing w:val="-5"/>
          <w:sz w:val="24"/>
        </w:rPr>
        <w:t> </w:t>
      </w:r>
      <w:r>
        <w:rPr>
          <w:sz w:val="24"/>
        </w:rPr>
        <w:t>the</w:t>
      </w:r>
      <w:r>
        <w:rPr>
          <w:spacing w:val="-5"/>
          <w:sz w:val="24"/>
        </w:rPr>
        <w:t> </w:t>
      </w:r>
      <w:r>
        <w:rPr>
          <w:sz w:val="24"/>
        </w:rPr>
        <w:t>individual</w:t>
      </w:r>
      <w:r>
        <w:rPr>
          <w:spacing w:val="-5"/>
          <w:sz w:val="24"/>
        </w:rPr>
        <w:t> </w:t>
      </w:r>
      <w:r>
        <w:rPr>
          <w:sz w:val="24"/>
        </w:rPr>
        <w:t>of any authorizations for evaluation or services. This notification will instruct the individual to contact his/her selected vendor for an appointment.</w:t>
      </w:r>
    </w:p>
    <w:p>
      <w:pPr>
        <w:pStyle w:val="ListParagraph"/>
        <w:numPr>
          <w:ilvl w:val="4"/>
          <w:numId w:val="316"/>
        </w:numPr>
        <w:tabs>
          <w:tab w:pos="1690" w:val="left" w:leader="none"/>
        </w:tabs>
        <w:spacing w:line="208" w:lineRule="auto" w:before="240" w:after="0"/>
        <w:ind w:left="1224" w:right="892" w:firstLine="0"/>
        <w:jc w:val="left"/>
        <w:rPr>
          <w:sz w:val="24"/>
        </w:rPr>
      </w:pPr>
      <w:r>
        <w:rPr>
          <w:b/>
          <w:sz w:val="24"/>
        </w:rPr>
        <w:t>Disposal</w:t>
      </w:r>
      <w:r>
        <w:rPr>
          <w:b/>
          <w:spacing w:val="-4"/>
          <w:sz w:val="24"/>
        </w:rPr>
        <w:t> </w:t>
      </w:r>
      <w:r>
        <w:rPr>
          <w:b/>
          <w:sz w:val="24"/>
        </w:rPr>
        <w:t>of</w:t>
      </w:r>
      <w:r>
        <w:rPr>
          <w:b/>
          <w:spacing w:val="-4"/>
          <w:sz w:val="24"/>
        </w:rPr>
        <w:t> </w:t>
      </w:r>
      <w:r>
        <w:rPr>
          <w:b/>
          <w:sz w:val="24"/>
        </w:rPr>
        <w:t>unused</w:t>
      </w:r>
      <w:r>
        <w:rPr>
          <w:b/>
          <w:spacing w:val="-5"/>
          <w:sz w:val="24"/>
        </w:rPr>
        <w:t> </w:t>
      </w:r>
      <w:r>
        <w:rPr>
          <w:b/>
          <w:sz w:val="24"/>
        </w:rPr>
        <w:t>hearing</w:t>
      </w:r>
      <w:r>
        <w:rPr>
          <w:b/>
          <w:spacing w:val="-5"/>
          <w:sz w:val="24"/>
        </w:rPr>
        <w:t> </w:t>
      </w:r>
      <w:r>
        <w:rPr>
          <w:b/>
          <w:sz w:val="24"/>
        </w:rPr>
        <w:t>aids.</w:t>
      </w:r>
      <w:r>
        <w:rPr>
          <w:b/>
          <w:spacing w:val="40"/>
          <w:sz w:val="24"/>
        </w:rPr>
        <w:t> </w:t>
      </w:r>
      <w:r>
        <w:rPr>
          <w:sz w:val="24"/>
        </w:rPr>
        <w:t>Service</w:t>
      </w:r>
      <w:r>
        <w:rPr>
          <w:spacing w:val="-5"/>
          <w:sz w:val="24"/>
        </w:rPr>
        <w:t> </w:t>
      </w:r>
      <w:r>
        <w:rPr>
          <w:sz w:val="24"/>
        </w:rPr>
        <w:t>recipients</w:t>
      </w:r>
      <w:r>
        <w:rPr>
          <w:spacing w:val="-5"/>
          <w:sz w:val="24"/>
        </w:rPr>
        <w:t> </w:t>
      </w:r>
      <w:r>
        <w:rPr>
          <w:sz w:val="24"/>
        </w:rPr>
        <w:t>will</w:t>
      </w:r>
      <w:r>
        <w:rPr>
          <w:spacing w:val="-5"/>
          <w:sz w:val="24"/>
        </w:rPr>
        <w:t> </w:t>
      </w:r>
      <w:r>
        <w:rPr>
          <w:sz w:val="24"/>
        </w:rPr>
        <w:t>be</w:t>
      </w:r>
      <w:r>
        <w:rPr>
          <w:spacing w:val="-4"/>
          <w:sz w:val="24"/>
        </w:rPr>
        <w:t> </w:t>
      </w:r>
      <w:r>
        <w:rPr>
          <w:sz w:val="24"/>
        </w:rPr>
        <w:t>encouraged to return hearing aids to DRS if no longer needed.</w:t>
      </w:r>
    </w:p>
    <w:p>
      <w:pPr>
        <w:pStyle w:val="ListParagraph"/>
        <w:numPr>
          <w:ilvl w:val="4"/>
          <w:numId w:val="316"/>
        </w:numPr>
        <w:tabs>
          <w:tab w:pos="1676" w:val="left" w:leader="none"/>
        </w:tabs>
        <w:spacing w:line="208" w:lineRule="auto" w:before="240" w:after="0"/>
        <w:ind w:left="1224" w:right="733" w:firstLine="0"/>
        <w:jc w:val="left"/>
        <w:rPr>
          <w:sz w:val="24"/>
        </w:rPr>
      </w:pPr>
      <w:r>
        <w:rPr>
          <w:b/>
          <w:sz w:val="24"/>
        </w:rPr>
        <w:t>Applicants</w:t>
      </w:r>
      <w:r>
        <w:rPr>
          <w:b/>
          <w:spacing w:val="-3"/>
          <w:sz w:val="24"/>
        </w:rPr>
        <w:t> </w:t>
      </w:r>
      <w:r>
        <w:rPr>
          <w:b/>
          <w:sz w:val="24"/>
        </w:rPr>
        <w:t>who</w:t>
      </w:r>
      <w:r>
        <w:rPr>
          <w:b/>
          <w:spacing w:val="-4"/>
          <w:sz w:val="24"/>
        </w:rPr>
        <w:t> </w:t>
      </w:r>
      <w:r>
        <w:rPr>
          <w:b/>
          <w:sz w:val="24"/>
        </w:rPr>
        <w:t>have</w:t>
      </w:r>
      <w:r>
        <w:rPr>
          <w:b/>
          <w:spacing w:val="-3"/>
          <w:sz w:val="24"/>
        </w:rPr>
        <w:t> </w:t>
      </w:r>
      <w:r>
        <w:rPr>
          <w:b/>
          <w:sz w:val="24"/>
        </w:rPr>
        <w:t>hearing</w:t>
      </w:r>
      <w:r>
        <w:rPr>
          <w:b/>
          <w:spacing w:val="-3"/>
          <w:sz w:val="24"/>
        </w:rPr>
        <w:t> </w:t>
      </w:r>
      <w:r>
        <w:rPr>
          <w:b/>
          <w:sz w:val="24"/>
        </w:rPr>
        <w:t>loss</w:t>
      </w:r>
      <w:r>
        <w:rPr>
          <w:b/>
          <w:spacing w:val="-3"/>
          <w:sz w:val="24"/>
        </w:rPr>
        <w:t> </w:t>
      </w:r>
      <w:r>
        <w:rPr>
          <w:b/>
          <w:sz w:val="24"/>
        </w:rPr>
        <w:t>and</w:t>
      </w:r>
      <w:r>
        <w:rPr>
          <w:b/>
          <w:spacing w:val="-3"/>
          <w:sz w:val="24"/>
        </w:rPr>
        <w:t> </w:t>
      </w:r>
      <w:r>
        <w:rPr>
          <w:b/>
          <w:sz w:val="24"/>
        </w:rPr>
        <w:t>are</w:t>
      </w:r>
      <w:r>
        <w:rPr>
          <w:b/>
          <w:spacing w:val="-3"/>
          <w:sz w:val="24"/>
        </w:rPr>
        <w:t> </w:t>
      </w:r>
      <w:r>
        <w:rPr>
          <w:b/>
          <w:sz w:val="24"/>
        </w:rPr>
        <w:t>legally</w:t>
      </w:r>
      <w:r>
        <w:rPr>
          <w:b/>
          <w:spacing w:val="-3"/>
          <w:sz w:val="24"/>
        </w:rPr>
        <w:t> </w:t>
      </w:r>
      <w:r>
        <w:rPr>
          <w:b/>
          <w:sz w:val="24"/>
        </w:rPr>
        <w:t>blind.</w:t>
      </w:r>
      <w:r>
        <w:rPr>
          <w:b/>
          <w:spacing w:val="40"/>
          <w:sz w:val="24"/>
        </w:rPr>
        <w:t> </w:t>
      </w:r>
      <w:r>
        <w:rPr>
          <w:sz w:val="24"/>
        </w:rPr>
        <w:t>If</w:t>
      </w:r>
      <w:r>
        <w:rPr>
          <w:spacing w:val="-4"/>
          <w:sz w:val="24"/>
        </w:rPr>
        <w:t> </w:t>
      </w:r>
      <w:r>
        <w:rPr>
          <w:sz w:val="24"/>
        </w:rPr>
        <w:t>a</w:t>
      </w:r>
      <w:r>
        <w:rPr>
          <w:spacing w:val="-3"/>
          <w:sz w:val="24"/>
        </w:rPr>
        <w:t> </w:t>
      </w:r>
      <w:r>
        <w:rPr>
          <w:sz w:val="24"/>
        </w:rPr>
        <w:t>hearing</w:t>
      </w:r>
      <w:r>
        <w:rPr>
          <w:spacing w:val="-3"/>
          <w:sz w:val="24"/>
        </w:rPr>
        <w:t> </w:t>
      </w:r>
      <w:r>
        <w:rPr>
          <w:sz w:val="24"/>
        </w:rPr>
        <w:t>aid applicant meets the adiological criteria for (B) above, and is also legally blind, they can be approved to receive two hearing aids.</w:t>
      </w:r>
    </w:p>
    <w:p>
      <w:pPr>
        <w:pStyle w:val="ListParagraph"/>
        <w:numPr>
          <w:ilvl w:val="3"/>
          <w:numId w:val="316"/>
        </w:numPr>
        <w:tabs>
          <w:tab w:pos="1218" w:val="left" w:leader="none"/>
        </w:tabs>
        <w:spacing w:line="208" w:lineRule="auto" w:before="239" w:after="0"/>
        <w:ind w:left="792" w:right="732" w:firstLine="0"/>
        <w:jc w:val="left"/>
        <w:rPr>
          <w:sz w:val="24"/>
        </w:rPr>
      </w:pPr>
      <w:r>
        <w:rPr>
          <w:b/>
          <w:sz w:val="24"/>
        </w:rPr>
        <w:t>Client participation in cost of services.</w:t>
      </w:r>
      <w:r>
        <w:rPr>
          <w:b/>
          <w:spacing w:val="40"/>
          <w:sz w:val="24"/>
        </w:rPr>
        <w:t> </w:t>
      </w:r>
      <w:r>
        <w:rPr>
          <w:sz w:val="24"/>
        </w:rPr>
        <w:t>Allowable income levels for these services will be 200% of the current income guidelines for food stamps. The</w:t>
      </w:r>
      <w:r>
        <w:rPr>
          <w:spacing w:val="40"/>
          <w:sz w:val="24"/>
        </w:rPr>
        <w:t> </w:t>
      </w:r>
      <w:r>
        <w:rPr>
          <w:sz w:val="24"/>
        </w:rPr>
        <w:t>monthly</w:t>
      </w:r>
      <w:r>
        <w:rPr>
          <w:spacing w:val="-4"/>
          <w:sz w:val="24"/>
        </w:rPr>
        <w:t> </w:t>
      </w:r>
      <w:r>
        <w:rPr>
          <w:sz w:val="24"/>
        </w:rPr>
        <w:t>earnings,</w:t>
      </w:r>
      <w:r>
        <w:rPr>
          <w:spacing w:val="-3"/>
          <w:sz w:val="24"/>
        </w:rPr>
        <w:t> </w:t>
      </w:r>
      <w:r>
        <w:rPr>
          <w:sz w:val="24"/>
        </w:rPr>
        <w:t>evaluated</w:t>
      </w:r>
      <w:r>
        <w:rPr>
          <w:spacing w:val="-4"/>
          <w:sz w:val="24"/>
        </w:rPr>
        <w:t> </w:t>
      </w:r>
      <w:r>
        <w:rPr>
          <w:sz w:val="24"/>
        </w:rPr>
        <w:t>annually,</w:t>
      </w:r>
      <w:r>
        <w:rPr>
          <w:spacing w:val="-3"/>
          <w:sz w:val="24"/>
        </w:rPr>
        <w:t> </w:t>
      </w:r>
      <w:r>
        <w:rPr>
          <w:sz w:val="24"/>
        </w:rPr>
        <w:t>that</w:t>
      </w:r>
      <w:r>
        <w:rPr>
          <w:spacing w:val="-3"/>
          <w:sz w:val="24"/>
        </w:rPr>
        <w:t> </w:t>
      </w:r>
      <w:r>
        <w:rPr>
          <w:sz w:val="24"/>
        </w:rPr>
        <w:t>fall</w:t>
      </w:r>
      <w:r>
        <w:rPr>
          <w:spacing w:val="-4"/>
          <w:sz w:val="24"/>
        </w:rPr>
        <w:t> </w:t>
      </w:r>
      <w:r>
        <w:rPr>
          <w:sz w:val="24"/>
        </w:rPr>
        <w:t>above</w:t>
      </w:r>
      <w:r>
        <w:rPr>
          <w:spacing w:val="-4"/>
          <w:sz w:val="24"/>
        </w:rPr>
        <w:t> </w:t>
      </w:r>
      <w:r>
        <w:rPr>
          <w:sz w:val="24"/>
        </w:rPr>
        <w:t>the</w:t>
      </w:r>
      <w:r>
        <w:rPr>
          <w:spacing w:val="-4"/>
          <w:sz w:val="24"/>
        </w:rPr>
        <w:t> </w:t>
      </w:r>
      <w:r>
        <w:rPr>
          <w:sz w:val="24"/>
        </w:rPr>
        <w:t>income</w:t>
      </w:r>
      <w:r>
        <w:rPr>
          <w:spacing w:val="-4"/>
          <w:sz w:val="24"/>
        </w:rPr>
        <w:t> </w:t>
      </w:r>
      <w:r>
        <w:rPr>
          <w:sz w:val="24"/>
        </w:rPr>
        <w:t>guidelines</w:t>
      </w:r>
      <w:r>
        <w:rPr>
          <w:spacing w:val="-4"/>
          <w:sz w:val="24"/>
        </w:rPr>
        <w:t> </w:t>
      </w:r>
      <w:r>
        <w:rPr>
          <w:sz w:val="24"/>
        </w:rPr>
        <w:t>create</w:t>
      </w:r>
      <w:r>
        <w:rPr>
          <w:spacing w:val="-4"/>
          <w:sz w:val="24"/>
        </w:rPr>
        <w:t> </w:t>
      </w:r>
      <w:r>
        <w:rPr>
          <w:sz w:val="24"/>
        </w:rPr>
        <w:t>a surplus.</w:t>
      </w:r>
      <w:r>
        <w:rPr>
          <w:spacing w:val="80"/>
          <w:sz w:val="24"/>
        </w:rPr>
        <w:t> </w:t>
      </w:r>
      <w:r>
        <w:rPr>
          <w:sz w:val="24"/>
        </w:rPr>
        <w:t>Ten percent (10%) of that surplus will be the consumer's participation in the cost of services payable to DRS/Fund 235.</w:t>
      </w:r>
      <w:r>
        <w:rPr>
          <w:spacing w:val="40"/>
          <w:sz w:val="24"/>
        </w:rPr>
        <w:t> </w:t>
      </w:r>
      <w:r>
        <w:rPr>
          <w:sz w:val="24"/>
        </w:rPr>
        <w:t>If the surplus exceeds the service cost DRS will not participate.</w:t>
      </w:r>
    </w:p>
    <w:p>
      <w:pPr>
        <w:pStyle w:val="ListParagraph"/>
        <w:numPr>
          <w:ilvl w:val="3"/>
          <w:numId w:val="316"/>
        </w:numPr>
        <w:tabs>
          <w:tab w:pos="1218" w:val="left" w:leader="none"/>
        </w:tabs>
        <w:spacing w:line="208" w:lineRule="auto" w:before="240" w:after="0"/>
        <w:ind w:left="792" w:right="1766" w:firstLine="0"/>
        <w:jc w:val="left"/>
        <w:rPr>
          <w:sz w:val="24"/>
        </w:rPr>
      </w:pPr>
      <w:r>
        <w:rPr>
          <w:b/>
          <w:sz w:val="24"/>
        </w:rPr>
        <w:t>Disposal</w:t>
      </w:r>
      <w:r>
        <w:rPr>
          <w:b/>
          <w:spacing w:val="-6"/>
          <w:sz w:val="24"/>
        </w:rPr>
        <w:t> </w:t>
      </w:r>
      <w:r>
        <w:rPr>
          <w:b/>
          <w:sz w:val="24"/>
        </w:rPr>
        <w:t>of</w:t>
      </w:r>
      <w:r>
        <w:rPr>
          <w:b/>
          <w:spacing w:val="-6"/>
          <w:sz w:val="24"/>
        </w:rPr>
        <w:t> </w:t>
      </w:r>
      <w:r>
        <w:rPr>
          <w:b/>
          <w:sz w:val="24"/>
        </w:rPr>
        <w:t>unused</w:t>
      </w:r>
      <w:r>
        <w:rPr>
          <w:b/>
          <w:spacing w:val="-7"/>
          <w:sz w:val="24"/>
        </w:rPr>
        <w:t> </w:t>
      </w:r>
      <w:r>
        <w:rPr>
          <w:b/>
          <w:sz w:val="24"/>
        </w:rPr>
        <w:t>telecommunications</w:t>
      </w:r>
      <w:r>
        <w:rPr>
          <w:b/>
          <w:spacing w:val="-7"/>
          <w:sz w:val="24"/>
        </w:rPr>
        <w:t> </w:t>
      </w:r>
      <w:r>
        <w:rPr>
          <w:b/>
          <w:sz w:val="24"/>
        </w:rPr>
        <w:t>equipment</w:t>
      </w:r>
      <w:r>
        <w:rPr>
          <w:b/>
          <w:spacing w:val="-6"/>
          <w:sz w:val="24"/>
        </w:rPr>
        <w:t> </w:t>
      </w:r>
      <w:r>
        <w:rPr>
          <w:b/>
          <w:sz w:val="24"/>
        </w:rPr>
        <w:t>and</w:t>
      </w:r>
      <w:r>
        <w:rPr>
          <w:b/>
          <w:spacing w:val="-8"/>
          <w:sz w:val="24"/>
        </w:rPr>
        <w:t> </w:t>
      </w:r>
      <w:r>
        <w:rPr>
          <w:b/>
          <w:sz w:val="24"/>
        </w:rPr>
        <w:t>assistive communication devices.</w:t>
      </w:r>
      <w:r>
        <w:rPr>
          <w:b/>
          <w:spacing w:val="40"/>
          <w:sz w:val="24"/>
        </w:rPr>
        <w:t> </w:t>
      </w:r>
      <w:r>
        <w:rPr>
          <w:sz w:val="24"/>
        </w:rPr>
        <w:t>As with hearing aids, service recipients will be encouraged to return useable equipment to DRS if no longer needed.</w:t>
      </w:r>
    </w:p>
    <w:p>
      <w:pPr>
        <w:pStyle w:val="ListParagraph"/>
        <w:spacing w:after="0" w:line="208" w:lineRule="auto"/>
        <w:jc w:val="left"/>
        <w:rPr>
          <w:sz w:val="24"/>
        </w:rPr>
        <w:sectPr>
          <w:pgSz w:w="12240" w:h="15840"/>
          <w:pgMar w:top="1340" w:bottom="280" w:left="1080" w:right="720"/>
        </w:sectPr>
      </w:pPr>
    </w:p>
    <w:p>
      <w:pPr>
        <w:pStyle w:val="Heading2"/>
      </w:pPr>
      <w:bookmarkStart w:name="612:20-9-2.  Grants for Support Service " w:id="377"/>
      <w:bookmarkEnd w:id="377"/>
      <w:r>
        <w:rPr>
          <w:b w:val="0"/>
        </w:rPr>
      </w:r>
      <w:r>
        <w:rPr/>
        <w:t>612:20-9-2.</w:t>
      </w:r>
      <w:r>
        <w:rPr>
          <w:spacing w:val="60"/>
        </w:rPr>
        <w:t> </w:t>
      </w:r>
      <w:r>
        <w:rPr/>
        <w:t>Grants</w:t>
      </w:r>
      <w:r>
        <w:rPr>
          <w:spacing w:val="-5"/>
        </w:rPr>
        <w:t> </w:t>
      </w:r>
      <w:r>
        <w:rPr/>
        <w:t>for</w:t>
      </w:r>
      <w:r>
        <w:rPr>
          <w:spacing w:val="-3"/>
        </w:rPr>
        <w:t> </w:t>
      </w:r>
      <w:r>
        <w:rPr/>
        <w:t>Support</w:t>
      </w:r>
      <w:r>
        <w:rPr>
          <w:spacing w:val="-2"/>
        </w:rPr>
        <w:t> </w:t>
      </w:r>
      <w:r>
        <w:rPr/>
        <w:t>Service</w:t>
      </w:r>
      <w:r>
        <w:rPr>
          <w:spacing w:val="-4"/>
        </w:rPr>
        <w:t> </w:t>
      </w:r>
      <w:r>
        <w:rPr>
          <w:spacing w:val="-2"/>
        </w:rPr>
        <w:t>Providers</w:t>
      </w:r>
    </w:p>
    <w:p>
      <w:pPr>
        <w:pStyle w:val="ListParagraph"/>
        <w:numPr>
          <w:ilvl w:val="0"/>
          <w:numId w:val="371"/>
        </w:numPr>
        <w:tabs>
          <w:tab w:pos="786" w:val="left" w:leader="none"/>
        </w:tabs>
        <w:spacing w:line="240" w:lineRule="auto" w:before="204" w:after="0"/>
        <w:ind w:left="786" w:right="0" w:hanging="426"/>
        <w:jc w:val="left"/>
        <w:rPr>
          <w:sz w:val="24"/>
        </w:rPr>
      </w:pPr>
      <w:r>
        <w:rPr>
          <w:sz w:val="24"/>
        </w:rPr>
        <w:t>For</w:t>
      </w:r>
      <w:r>
        <w:rPr>
          <w:spacing w:val="-4"/>
          <w:sz w:val="24"/>
        </w:rPr>
        <w:t> </w:t>
      </w:r>
      <w:r>
        <w:rPr>
          <w:sz w:val="24"/>
        </w:rPr>
        <w:t>the</w:t>
      </w:r>
      <w:r>
        <w:rPr>
          <w:spacing w:val="-3"/>
          <w:sz w:val="24"/>
        </w:rPr>
        <w:t> </w:t>
      </w:r>
      <w:r>
        <w:rPr>
          <w:sz w:val="24"/>
        </w:rPr>
        <w:t>purposes</w:t>
      </w:r>
      <w:r>
        <w:rPr>
          <w:spacing w:val="-2"/>
          <w:sz w:val="24"/>
        </w:rPr>
        <w:t> </w:t>
      </w:r>
      <w:r>
        <w:rPr>
          <w:sz w:val="24"/>
        </w:rPr>
        <w:t>of</w:t>
      </w:r>
      <w:r>
        <w:rPr>
          <w:spacing w:val="-1"/>
          <w:sz w:val="24"/>
        </w:rPr>
        <w:t> </w:t>
      </w:r>
      <w:r>
        <w:rPr>
          <w:sz w:val="24"/>
        </w:rPr>
        <w:t>this</w:t>
      </w:r>
      <w:r>
        <w:rPr>
          <w:spacing w:val="-2"/>
          <w:sz w:val="24"/>
        </w:rPr>
        <w:t> section:</w:t>
      </w:r>
    </w:p>
    <w:p>
      <w:pPr>
        <w:pStyle w:val="ListParagraph"/>
        <w:numPr>
          <w:ilvl w:val="1"/>
          <w:numId w:val="371"/>
        </w:numPr>
        <w:tabs>
          <w:tab w:pos="1218" w:val="left" w:leader="none"/>
        </w:tabs>
        <w:spacing w:line="208" w:lineRule="auto" w:before="233" w:after="0"/>
        <w:ind w:left="792" w:right="1134" w:firstLine="0"/>
        <w:jc w:val="left"/>
        <w:rPr>
          <w:sz w:val="24"/>
        </w:rPr>
      </w:pPr>
      <w:r>
        <w:rPr>
          <w:sz w:val="24"/>
        </w:rPr>
        <w:t>Deaf-Blind</w:t>
      </w:r>
      <w:r>
        <w:rPr>
          <w:spacing w:val="-4"/>
          <w:sz w:val="24"/>
        </w:rPr>
        <w:t> </w:t>
      </w:r>
      <w:r>
        <w:rPr>
          <w:sz w:val="24"/>
        </w:rPr>
        <w:t>means</w:t>
      </w:r>
      <w:r>
        <w:rPr>
          <w:spacing w:val="-4"/>
          <w:sz w:val="24"/>
        </w:rPr>
        <w:t> </w:t>
      </w:r>
      <w:r>
        <w:rPr>
          <w:sz w:val="24"/>
        </w:rPr>
        <w:t>being</w:t>
      </w:r>
      <w:r>
        <w:rPr>
          <w:spacing w:val="-4"/>
          <w:sz w:val="24"/>
        </w:rPr>
        <w:t> </w:t>
      </w:r>
      <w:r>
        <w:rPr>
          <w:sz w:val="24"/>
        </w:rPr>
        <w:t>legally</w:t>
      </w:r>
      <w:r>
        <w:rPr>
          <w:spacing w:val="-4"/>
          <w:sz w:val="24"/>
        </w:rPr>
        <w:t> </w:t>
      </w:r>
      <w:r>
        <w:rPr>
          <w:sz w:val="24"/>
        </w:rPr>
        <w:t>blind</w:t>
      </w:r>
      <w:r>
        <w:rPr>
          <w:spacing w:val="-4"/>
          <w:sz w:val="24"/>
        </w:rPr>
        <w:t> </w:t>
      </w:r>
      <w:r>
        <w:rPr>
          <w:sz w:val="24"/>
        </w:rPr>
        <w:t>as</w:t>
      </w:r>
      <w:r>
        <w:rPr>
          <w:spacing w:val="-4"/>
          <w:sz w:val="24"/>
        </w:rPr>
        <w:t> </w:t>
      </w:r>
      <w:r>
        <w:rPr>
          <w:sz w:val="24"/>
        </w:rPr>
        <w:t>provided</w:t>
      </w:r>
      <w:r>
        <w:rPr>
          <w:spacing w:val="-4"/>
          <w:sz w:val="24"/>
        </w:rPr>
        <w:t> </w:t>
      </w:r>
      <w:r>
        <w:rPr>
          <w:sz w:val="24"/>
        </w:rPr>
        <w:t>in</w:t>
      </w:r>
      <w:r>
        <w:rPr>
          <w:spacing w:val="-3"/>
          <w:sz w:val="24"/>
        </w:rPr>
        <w:t> </w:t>
      </w:r>
      <w:r>
        <w:rPr>
          <w:sz w:val="24"/>
        </w:rPr>
        <w:t>definition</w:t>
      </w:r>
      <w:r>
        <w:rPr>
          <w:spacing w:val="-4"/>
          <w:sz w:val="24"/>
        </w:rPr>
        <w:t> </w:t>
      </w:r>
      <w:r>
        <w:rPr>
          <w:sz w:val="24"/>
        </w:rPr>
        <w:t>of</w:t>
      </w:r>
      <w:r>
        <w:rPr>
          <w:spacing w:val="-3"/>
          <w:sz w:val="24"/>
        </w:rPr>
        <w:t> </w:t>
      </w:r>
      <w:r>
        <w:rPr>
          <w:sz w:val="24"/>
        </w:rPr>
        <w:t>blindness</w:t>
      </w:r>
      <w:r>
        <w:rPr>
          <w:spacing w:val="-4"/>
          <w:sz w:val="24"/>
        </w:rPr>
        <w:t> </w:t>
      </w:r>
      <w:r>
        <w:rPr>
          <w:sz w:val="24"/>
        </w:rPr>
        <w:t>at rule 10-1-2, and a hearing loss significant enough to impede everyday life.</w:t>
      </w:r>
    </w:p>
    <w:p>
      <w:pPr>
        <w:pStyle w:val="ListParagraph"/>
        <w:numPr>
          <w:ilvl w:val="1"/>
          <w:numId w:val="371"/>
        </w:numPr>
        <w:tabs>
          <w:tab w:pos="1217" w:val="left" w:leader="none"/>
        </w:tabs>
        <w:spacing w:line="208" w:lineRule="auto" w:before="240" w:after="0"/>
        <w:ind w:left="791" w:right="772" w:firstLine="0"/>
        <w:jc w:val="left"/>
        <w:rPr>
          <w:sz w:val="24"/>
        </w:rPr>
      </w:pPr>
      <w:r>
        <w:rPr>
          <w:sz w:val="24"/>
        </w:rPr>
        <w:t>Support Service Providers (SSP) are individuals certified by a deaf-blind program recognized by the Department who provide access to the environment for individuals who are Deaf-Blind. This may include auditory information, environmental</w:t>
      </w:r>
      <w:r>
        <w:rPr>
          <w:spacing w:val="-4"/>
          <w:sz w:val="24"/>
        </w:rPr>
        <w:t> </w:t>
      </w:r>
      <w:r>
        <w:rPr>
          <w:sz w:val="24"/>
        </w:rPr>
        <w:t>information</w:t>
      </w:r>
      <w:r>
        <w:rPr>
          <w:spacing w:val="-4"/>
          <w:sz w:val="24"/>
        </w:rPr>
        <w:t> </w:t>
      </w:r>
      <w:r>
        <w:rPr>
          <w:sz w:val="24"/>
        </w:rPr>
        <w:t>and</w:t>
      </w:r>
      <w:r>
        <w:rPr>
          <w:spacing w:val="-4"/>
          <w:sz w:val="24"/>
        </w:rPr>
        <w:t> </w:t>
      </w:r>
      <w:r>
        <w:rPr>
          <w:sz w:val="24"/>
        </w:rPr>
        <w:t>human</w:t>
      </w:r>
      <w:r>
        <w:rPr>
          <w:spacing w:val="-4"/>
          <w:sz w:val="24"/>
        </w:rPr>
        <w:t> </w:t>
      </w:r>
      <w:r>
        <w:rPr>
          <w:sz w:val="24"/>
        </w:rPr>
        <w:t>guide.</w:t>
      </w:r>
      <w:r>
        <w:rPr>
          <w:spacing w:val="40"/>
          <w:sz w:val="24"/>
        </w:rPr>
        <w:t> </w:t>
      </w:r>
      <w:r>
        <w:rPr>
          <w:sz w:val="24"/>
        </w:rPr>
        <w:t>SSP</w:t>
      </w:r>
      <w:r>
        <w:rPr>
          <w:spacing w:val="-4"/>
          <w:sz w:val="24"/>
        </w:rPr>
        <w:t> </w:t>
      </w:r>
      <w:r>
        <w:rPr>
          <w:sz w:val="24"/>
        </w:rPr>
        <w:t>duties</w:t>
      </w:r>
      <w:r>
        <w:rPr>
          <w:spacing w:val="-4"/>
          <w:sz w:val="24"/>
        </w:rPr>
        <w:t> </w:t>
      </w:r>
      <w:r>
        <w:rPr>
          <w:sz w:val="24"/>
        </w:rPr>
        <w:t>include</w:t>
      </w:r>
      <w:r>
        <w:rPr>
          <w:spacing w:val="-3"/>
          <w:sz w:val="24"/>
        </w:rPr>
        <w:t> </w:t>
      </w:r>
      <w:r>
        <w:rPr>
          <w:sz w:val="24"/>
        </w:rPr>
        <w:t>but</w:t>
      </w:r>
      <w:r>
        <w:rPr>
          <w:spacing w:val="-3"/>
          <w:sz w:val="24"/>
        </w:rPr>
        <w:t> </w:t>
      </w:r>
      <w:r>
        <w:rPr>
          <w:sz w:val="24"/>
        </w:rPr>
        <w:t>are</w:t>
      </w:r>
      <w:r>
        <w:rPr>
          <w:spacing w:val="-4"/>
          <w:sz w:val="24"/>
        </w:rPr>
        <w:t> </w:t>
      </w:r>
      <w:r>
        <w:rPr>
          <w:sz w:val="24"/>
        </w:rPr>
        <w:t>not</w:t>
      </w:r>
      <w:r>
        <w:rPr>
          <w:spacing w:val="-4"/>
          <w:sz w:val="24"/>
        </w:rPr>
        <w:t> </w:t>
      </w:r>
      <w:r>
        <w:rPr>
          <w:sz w:val="24"/>
        </w:rPr>
        <w:t>limited to services to and on behalf of deaf-blind individuals for work related activities, to assist with employment applications, job interviews, or any other employment preparation task; for grocery or clothe shopping, banking, doctor or other appointments, meetings, social or religious events, reading mail or making calls. Transportation</w:t>
      </w:r>
      <w:r>
        <w:rPr>
          <w:spacing w:val="-1"/>
          <w:sz w:val="24"/>
        </w:rPr>
        <w:t> </w:t>
      </w:r>
      <w:r>
        <w:rPr>
          <w:sz w:val="24"/>
        </w:rPr>
        <w:t>to</w:t>
      </w:r>
      <w:r>
        <w:rPr>
          <w:spacing w:val="-1"/>
          <w:sz w:val="24"/>
        </w:rPr>
        <w:t> </w:t>
      </w:r>
      <w:r>
        <w:rPr>
          <w:sz w:val="24"/>
        </w:rPr>
        <w:t>such</w:t>
      </w:r>
      <w:r>
        <w:rPr>
          <w:spacing w:val="-1"/>
          <w:sz w:val="24"/>
        </w:rPr>
        <w:t> </w:t>
      </w:r>
      <w:r>
        <w:rPr>
          <w:sz w:val="24"/>
        </w:rPr>
        <w:t>activities</w:t>
      </w:r>
      <w:r>
        <w:rPr>
          <w:spacing w:val="-1"/>
          <w:sz w:val="24"/>
        </w:rPr>
        <w:t> </w:t>
      </w:r>
      <w:r>
        <w:rPr>
          <w:sz w:val="24"/>
        </w:rPr>
        <w:t>may</w:t>
      </w:r>
      <w:r>
        <w:rPr>
          <w:spacing w:val="-1"/>
          <w:sz w:val="24"/>
        </w:rPr>
        <w:t> </w:t>
      </w:r>
      <w:r>
        <w:rPr>
          <w:sz w:val="24"/>
        </w:rPr>
        <w:t>be</w:t>
      </w:r>
      <w:r>
        <w:rPr>
          <w:spacing w:val="-1"/>
          <w:sz w:val="24"/>
        </w:rPr>
        <w:t> </w:t>
      </w:r>
      <w:r>
        <w:rPr>
          <w:sz w:val="24"/>
        </w:rPr>
        <w:t>provided</w:t>
      </w:r>
      <w:r>
        <w:rPr>
          <w:spacing w:val="-1"/>
          <w:sz w:val="24"/>
        </w:rPr>
        <w:t> </w:t>
      </w:r>
      <w:r>
        <w:rPr>
          <w:sz w:val="24"/>
        </w:rPr>
        <w:t>but cannot be</w:t>
      </w:r>
      <w:r>
        <w:rPr>
          <w:spacing w:val="-1"/>
          <w:sz w:val="24"/>
        </w:rPr>
        <w:t> </w:t>
      </w:r>
      <w:r>
        <w:rPr>
          <w:sz w:val="24"/>
        </w:rPr>
        <w:t>the</w:t>
      </w:r>
      <w:r>
        <w:rPr>
          <w:spacing w:val="-1"/>
          <w:sz w:val="24"/>
        </w:rPr>
        <w:t> </w:t>
      </w:r>
      <w:r>
        <w:rPr>
          <w:sz w:val="24"/>
        </w:rPr>
        <w:t>sole</w:t>
      </w:r>
      <w:r>
        <w:rPr>
          <w:spacing w:val="-1"/>
          <w:sz w:val="24"/>
        </w:rPr>
        <w:t> </w:t>
      </w:r>
      <w:r>
        <w:rPr>
          <w:sz w:val="24"/>
        </w:rPr>
        <w:t>purpose</w:t>
      </w:r>
      <w:r>
        <w:rPr>
          <w:spacing w:val="-1"/>
          <w:sz w:val="24"/>
        </w:rPr>
        <w:t> </w:t>
      </w:r>
      <w:r>
        <w:rPr>
          <w:sz w:val="24"/>
        </w:rPr>
        <w:t>of using a SSP.</w:t>
      </w:r>
    </w:p>
    <w:p>
      <w:pPr>
        <w:pStyle w:val="ListParagraph"/>
        <w:numPr>
          <w:ilvl w:val="0"/>
          <w:numId w:val="371"/>
        </w:numPr>
        <w:tabs>
          <w:tab w:pos="785" w:val="left" w:leader="none"/>
        </w:tabs>
        <w:spacing w:line="208" w:lineRule="auto" w:before="239" w:after="0"/>
        <w:ind w:left="359" w:right="753" w:firstLine="0"/>
        <w:jc w:val="left"/>
        <w:rPr>
          <w:sz w:val="24"/>
        </w:rPr>
      </w:pPr>
      <w:r>
        <w:rPr>
          <w:sz w:val="24"/>
        </w:rPr>
        <w:t>Subject</w:t>
      </w:r>
      <w:r>
        <w:rPr>
          <w:spacing w:val="-4"/>
          <w:sz w:val="24"/>
        </w:rPr>
        <w:t> </w:t>
      </w:r>
      <w:r>
        <w:rPr>
          <w:sz w:val="24"/>
        </w:rPr>
        <w:t>to</w:t>
      </w:r>
      <w:r>
        <w:rPr>
          <w:spacing w:val="-5"/>
          <w:sz w:val="24"/>
        </w:rPr>
        <w:t> </w:t>
      </w:r>
      <w:r>
        <w:rPr>
          <w:sz w:val="24"/>
        </w:rPr>
        <w:t>appropriations,</w:t>
      </w:r>
      <w:r>
        <w:rPr>
          <w:spacing w:val="-4"/>
          <w:sz w:val="24"/>
        </w:rPr>
        <w:t> </w:t>
      </w:r>
      <w:r>
        <w:rPr>
          <w:sz w:val="24"/>
        </w:rPr>
        <w:t>the</w:t>
      </w:r>
      <w:r>
        <w:rPr>
          <w:spacing w:val="-6"/>
          <w:sz w:val="24"/>
        </w:rPr>
        <w:t> </w:t>
      </w:r>
      <w:r>
        <w:rPr>
          <w:sz w:val="24"/>
        </w:rPr>
        <w:t>Oklahoma</w:t>
      </w:r>
      <w:r>
        <w:rPr>
          <w:spacing w:val="-5"/>
          <w:sz w:val="24"/>
        </w:rPr>
        <w:t> </w:t>
      </w:r>
      <w:r>
        <w:rPr>
          <w:sz w:val="24"/>
        </w:rPr>
        <w:t>Department</w:t>
      </w:r>
      <w:r>
        <w:rPr>
          <w:spacing w:val="-4"/>
          <w:sz w:val="24"/>
        </w:rPr>
        <w:t> </w:t>
      </w:r>
      <w:r>
        <w:rPr>
          <w:sz w:val="24"/>
        </w:rPr>
        <w:t>of</w:t>
      </w:r>
      <w:r>
        <w:rPr>
          <w:spacing w:val="-6"/>
          <w:sz w:val="24"/>
        </w:rPr>
        <w:t> </w:t>
      </w:r>
      <w:r>
        <w:rPr>
          <w:sz w:val="24"/>
        </w:rPr>
        <w:t>Rehabilitation</w:t>
      </w:r>
      <w:r>
        <w:rPr>
          <w:spacing w:val="-5"/>
          <w:sz w:val="24"/>
        </w:rPr>
        <w:t> </w:t>
      </w:r>
      <w:r>
        <w:rPr>
          <w:sz w:val="24"/>
        </w:rPr>
        <w:t>Services</w:t>
      </w:r>
      <w:r>
        <w:rPr>
          <w:spacing w:val="-5"/>
          <w:sz w:val="24"/>
        </w:rPr>
        <w:t> </w:t>
      </w:r>
      <w:r>
        <w:rPr>
          <w:sz w:val="24"/>
        </w:rPr>
        <w:t>may issue request-for-proposals to provide grants to organizations that:</w:t>
      </w:r>
    </w:p>
    <w:p>
      <w:pPr>
        <w:pStyle w:val="ListParagraph"/>
        <w:numPr>
          <w:ilvl w:val="1"/>
          <w:numId w:val="371"/>
        </w:numPr>
        <w:tabs>
          <w:tab w:pos="1218" w:val="left" w:leader="none"/>
        </w:tabs>
        <w:spacing w:line="208" w:lineRule="auto" w:before="240" w:after="0"/>
        <w:ind w:left="792" w:right="1203" w:firstLine="0"/>
        <w:jc w:val="left"/>
        <w:rPr>
          <w:sz w:val="24"/>
        </w:rPr>
      </w:pPr>
      <w:r>
        <w:rPr>
          <w:sz w:val="24"/>
        </w:rPr>
        <w:t>Provide</w:t>
      </w:r>
      <w:r>
        <w:rPr>
          <w:spacing w:val="-5"/>
          <w:sz w:val="24"/>
        </w:rPr>
        <w:t> </w:t>
      </w:r>
      <w:r>
        <w:rPr>
          <w:sz w:val="24"/>
        </w:rPr>
        <w:t>services</w:t>
      </w:r>
      <w:r>
        <w:rPr>
          <w:spacing w:val="-5"/>
          <w:sz w:val="24"/>
        </w:rPr>
        <w:t> </w:t>
      </w:r>
      <w:r>
        <w:rPr>
          <w:sz w:val="24"/>
        </w:rPr>
        <w:t>for</w:t>
      </w:r>
      <w:r>
        <w:rPr>
          <w:spacing w:val="-4"/>
          <w:sz w:val="24"/>
        </w:rPr>
        <w:t> </w:t>
      </w:r>
      <w:r>
        <w:rPr>
          <w:sz w:val="24"/>
        </w:rPr>
        <w:t>Deaf-Blind</w:t>
      </w:r>
      <w:r>
        <w:rPr>
          <w:spacing w:val="-5"/>
          <w:sz w:val="24"/>
        </w:rPr>
        <w:t> </w:t>
      </w:r>
      <w:r>
        <w:rPr>
          <w:sz w:val="24"/>
        </w:rPr>
        <w:t>adults.</w:t>
      </w:r>
      <w:r>
        <w:rPr>
          <w:spacing w:val="-4"/>
          <w:sz w:val="24"/>
        </w:rPr>
        <w:t> </w:t>
      </w:r>
      <w:r>
        <w:rPr>
          <w:sz w:val="24"/>
        </w:rPr>
        <w:t>Such</w:t>
      </w:r>
      <w:r>
        <w:rPr>
          <w:spacing w:val="-5"/>
          <w:sz w:val="24"/>
        </w:rPr>
        <w:t> </w:t>
      </w:r>
      <w:r>
        <w:rPr>
          <w:sz w:val="24"/>
        </w:rPr>
        <w:t>services</w:t>
      </w:r>
      <w:r>
        <w:rPr>
          <w:spacing w:val="-5"/>
          <w:sz w:val="24"/>
        </w:rPr>
        <w:t> </w:t>
      </w:r>
      <w:r>
        <w:rPr>
          <w:sz w:val="24"/>
        </w:rPr>
        <w:t>may</w:t>
      </w:r>
      <w:r>
        <w:rPr>
          <w:spacing w:val="-5"/>
          <w:sz w:val="24"/>
        </w:rPr>
        <w:t> </w:t>
      </w:r>
      <w:r>
        <w:rPr>
          <w:sz w:val="24"/>
        </w:rPr>
        <w:t>include</w:t>
      </w:r>
      <w:r>
        <w:rPr>
          <w:spacing w:val="-5"/>
          <w:sz w:val="24"/>
        </w:rPr>
        <w:t> </w:t>
      </w:r>
      <w:r>
        <w:rPr>
          <w:sz w:val="24"/>
        </w:rPr>
        <w:t>providing auditory and environmental information and human guide;</w:t>
      </w:r>
    </w:p>
    <w:p>
      <w:pPr>
        <w:pStyle w:val="ListParagraph"/>
        <w:numPr>
          <w:ilvl w:val="1"/>
          <w:numId w:val="371"/>
        </w:numPr>
        <w:tabs>
          <w:tab w:pos="1218" w:val="left" w:leader="none"/>
        </w:tabs>
        <w:spacing w:line="208" w:lineRule="auto" w:before="239" w:after="0"/>
        <w:ind w:left="792" w:right="1269" w:firstLine="0"/>
        <w:jc w:val="left"/>
        <w:rPr>
          <w:sz w:val="24"/>
        </w:rPr>
      </w:pPr>
      <w:r>
        <w:rPr>
          <w:sz w:val="24"/>
        </w:rPr>
        <w:t>Provide</w:t>
      </w:r>
      <w:r>
        <w:rPr>
          <w:spacing w:val="-4"/>
          <w:sz w:val="24"/>
        </w:rPr>
        <w:t> </w:t>
      </w:r>
      <w:r>
        <w:rPr>
          <w:sz w:val="24"/>
        </w:rPr>
        <w:t>services</w:t>
      </w:r>
      <w:r>
        <w:rPr>
          <w:spacing w:val="-4"/>
          <w:sz w:val="24"/>
        </w:rPr>
        <w:t> </w:t>
      </w:r>
      <w:r>
        <w:rPr>
          <w:sz w:val="24"/>
        </w:rPr>
        <w:t>for</w:t>
      </w:r>
      <w:r>
        <w:rPr>
          <w:spacing w:val="-3"/>
          <w:sz w:val="24"/>
        </w:rPr>
        <w:t> </w:t>
      </w:r>
      <w:r>
        <w:rPr>
          <w:sz w:val="24"/>
        </w:rPr>
        <w:t>deaf-blind</w:t>
      </w:r>
      <w:r>
        <w:rPr>
          <w:spacing w:val="-4"/>
          <w:sz w:val="24"/>
        </w:rPr>
        <w:t> </w:t>
      </w:r>
      <w:r>
        <w:rPr>
          <w:sz w:val="24"/>
        </w:rPr>
        <w:t>adults.</w:t>
      </w:r>
      <w:r>
        <w:rPr>
          <w:spacing w:val="-3"/>
          <w:sz w:val="24"/>
        </w:rPr>
        <w:t> </w:t>
      </w:r>
      <w:r>
        <w:rPr>
          <w:sz w:val="24"/>
        </w:rPr>
        <w:t>Such</w:t>
      </w:r>
      <w:r>
        <w:rPr>
          <w:spacing w:val="-4"/>
          <w:sz w:val="24"/>
        </w:rPr>
        <w:t> </w:t>
      </w:r>
      <w:r>
        <w:rPr>
          <w:sz w:val="24"/>
        </w:rPr>
        <w:t>grants</w:t>
      </w:r>
      <w:r>
        <w:rPr>
          <w:spacing w:val="-5"/>
          <w:sz w:val="24"/>
        </w:rPr>
        <w:t> </w:t>
      </w:r>
      <w:r>
        <w:rPr>
          <w:sz w:val="24"/>
        </w:rPr>
        <w:t>shall</w:t>
      </w:r>
      <w:r>
        <w:rPr>
          <w:spacing w:val="-4"/>
          <w:sz w:val="24"/>
        </w:rPr>
        <w:t> </w:t>
      </w:r>
      <w:r>
        <w:rPr>
          <w:sz w:val="24"/>
        </w:rPr>
        <w:t>be</w:t>
      </w:r>
      <w:r>
        <w:rPr>
          <w:spacing w:val="-4"/>
          <w:sz w:val="24"/>
        </w:rPr>
        <w:t> </w:t>
      </w:r>
      <w:r>
        <w:rPr>
          <w:sz w:val="24"/>
        </w:rPr>
        <w:t>used</w:t>
      </w:r>
      <w:r>
        <w:rPr>
          <w:spacing w:val="-4"/>
          <w:sz w:val="24"/>
        </w:rPr>
        <w:t> </w:t>
      </w:r>
      <w:r>
        <w:rPr>
          <w:sz w:val="24"/>
        </w:rPr>
        <w:t>to</w:t>
      </w:r>
      <w:r>
        <w:rPr>
          <w:spacing w:val="-4"/>
          <w:sz w:val="24"/>
        </w:rPr>
        <w:t> </w:t>
      </w:r>
      <w:r>
        <w:rPr>
          <w:sz w:val="24"/>
        </w:rPr>
        <w:t>provide assistance to deaf-blind adults who are working towards establishing and maintaining independence; and</w:t>
      </w:r>
    </w:p>
    <w:p>
      <w:pPr>
        <w:pStyle w:val="ListParagraph"/>
        <w:numPr>
          <w:ilvl w:val="1"/>
          <w:numId w:val="371"/>
        </w:numPr>
        <w:tabs>
          <w:tab w:pos="1218" w:val="left" w:leader="none"/>
        </w:tabs>
        <w:spacing w:line="208" w:lineRule="auto" w:before="240" w:after="0"/>
        <w:ind w:left="792" w:right="1055" w:firstLine="0"/>
        <w:jc w:val="left"/>
        <w:rPr>
          <w:sz w:val="24"/>
        </w:rPr>
      </w:pPr>
      <w:r>
        <w:rPr>
          <w:sz w:val="24"/>
        </w:rPr>
        <w:t>Train</w:t>
      </w:r>
      <w:r>
        <w:rPr>
          <w:spacing w:val="-4"/>
          <w:sz w:val="24"/>
        </w:rPr>
        <w:t> </w:t>
      </w:r>
      <w:r>
        <w:rPr>
          <w:sz w:val="24"/>
        </w:rPr>
        <w:t>support</w:t>
      </w:r>
      <w:r>
        <w:rPr>
          <w:spacing w:val="-3"/>
          <w:sz w:val="24"/>
        </w:rPr>
        <w:t> </w:t>
      </w:r>
      <w:r>
        <w:rPr>
          <w:sz w:val="24"/>
        </w:rPr>
        <w:t>service</w:t>
      </w:r>
      <w:r>
        <w:rPr>
          <w:spacing w:val="-4"/>
          <w:sz w:val="24"/>
        </w:rPr>
        <w:t> </w:t>
      </w:r>
      <w:r>
        <w:rPr>
          <w:sz w:val="24"/>
        </w:rPr>
        <w:t>providers.</w:t>
      </w:r>
      <w:r>
        <w:rPr>
          <w:spacing w:val="-3"/>
          <w:sz w:val="24"/>
        </w:rPr>
        <w:t> </w:t>
      </w:r>
      <w:r>
        <w:rPr>
          <w:sz w:val="24"/>
        </w:rPr>
        <w:t>Such</w:t>
      </w:r>
      <w:r>
        <w:rPr>
          <w:spacing w:val="-4"/>
          <w:sz w:val="24"/>
        </w:rPr>
        <w:t> </w:t>
      </w:r>
      <w:r>
        <w:rPr>
          <w:sz w:val="24"/>
        </w:rPr>
        <w:t>grants</w:t>
      </w:r>
      <w:r>
        <w:rPr>
          <w:spacing w:val="-4"/>
          <w:sz w:val="24"/>
        </w:rPr>
        <w:t> </w:t>
      </w:r>
      <w:r>
        <w:rPr>
          <w:sz w:val="24"/>
        </w:rPr>
        <w:t>shall</w:t>
      </w:r>
      <w:r>
        <w:rPr>
          <w:spacing w:val="-4"/>
          <w:sz w:val="24"/>
        </w:rPr>
        <w:t> </w:t>
      </w:r>
      <w:r>
        <w:rPr>
          <w:sz w:val="24"/>
        </w:rPr>
        <w:t>be</w:t>
      </w:r>
      <w:r>
        <w:rPr>
          <w:spacing w:val="-4"/>
          <w:sz w:val="24"/>
        </w:rPr>
        <w:t> </w:t>
      </w:r>
      <w:r>
        <w:rPr>
          <w:sz w:val="24"/>
        </w:rPr>
        <w:t>used</w:t>
      </w:r>
      <w:r>
        <w:rPr>
          <w:spacing w:val="-4"/>
          <w:sz w:val="24"/>
        </w:rPr>
        <w:t> </w:t>
      </w:r>
      <w:r>
        <w:rPr>
          <w:sz w:val="24"/>
        </w:rPr>
        <w:t>to</w:t>
      </w:r>
      <w:r>
        <w:rPr>
          <w:spacing w:val="-4"/>
          <w:sz w:val="24"/>
        </w:rPr>
        <w:t> </w:t>
      </w:r>
      <w:r>
        <w:rPr>
          <w:sz w:val="24"/>
        </w:rPr>
        <w:t>provide</w:t>
      </w:r>
      <w:r>
        <w:rPr>
          <w:spacing w:val="-4"/>
          <w:sz w:val="24"/>
        </w:rPr>
        <w:t> </w:t>
      </w:r>
      <w:r>
        <w:rPr>
          <w:sz w:val="24"/>
        </w:rPr>
        <w:t>training that will lead to certification of support service providers in Oklahoma.</w:t>
      </w:r>
    </w:p>
    <w:p>
      <w:pPr>
        <w:pStyle w:val="ListParagraph"/>
        <w:numPr>
          <w:ilvl w:val="0"/>
          <w:numId w:val="371"/>
        </w:numPr>
        <w:tabs>
          <w:tab w:pos="773" w:val="left" w:leader="none"/>
        </w:tabs>
        <w:spacing w:line="208" w:lineRule="auto" w:before="240" w:after="0"/>
        <w:ind w:left="360" w:right="1512" w:firstLine="0"/>
        <w:jc w:val="left"/>
        <w:rPr>
          <w:sz w:val="24"/>
        </w:rPr>
      </w:pPr>
      <w:r>
        <w:rPr>
          <w:sz w:val="24"/>
        </w:rPr>
        <w:t>The</w:t>
      </w:r>
      <w:r>
        <w:rPr>
          <w:spacing w:val="-4"/>
          <w:sz w:val="24"/>
        </w:rPr>
        <w:t> </w:t>
      </w:r>
      <w:r>
        <w:rPr>
          <w:sz w:val="24"/>
        </w:rPr>
        <w:t>total</w:t>
      </w:r>
      <w:r>
        <w:rPr>
          <w:spacing w:val="-4"/>
          <w:sz w:val="24"/>
        </w:rPr>
        <w:t> </w:t>
      </w:r>
      <w:r>
        <w:rPr>
          <w:sz w:val="24"/>
        </w:rPr>
        <w:t>amount</w:t>
      </w:r>
      <w:r>
        <w:rPr>
          <w:spacing w:val="-3"/>
          <w:sz w:val="24"/>
        </w:rPr>
        <w:t> </w:t>
      </w:r>
      <w:r>
        <w:rPr>
          <w:sz w:val="24"/>
        </w:rPr>
        <w:t>of</w:t>
      </w:r>
      <w:r>
        <w:rPr>
          <w:spacing w:val="-3"/>
          <w:sz w:val="24"/>
        </w:rPr>
        <w:t> </w:t>
      </w:r>
      <w:r>
        <w:rPr>
          <w:sz w:val="24"/>
        </w:rPr>
        <w:t>grants</w:t>
      </w:r>
      <w:r>
        <w:rPr>
          <w:spacing w:val="-4"/>
          <w:sz w:val="24"/>
        </w:rPr>
        <w:t> </w:t>
      </w:r>
      <w:r>
        <w:rPr>
          <w:sz w:val="24"/>
        </w:rPr>
        <w:t>provided</w:t>
      </w:r>
      <w:r>
        <w:rPr>
          <w:spacing w:val="-4"/>
          <w:sz w:val="24"/>
        </w:rPr>
        <w:t> </w:t>
      </w:r>
      <w:r>
        <w:rPr>
          <w:sz w:val="24"/>
        </w:rPr>
        <w:t>under</w:t>
      </w:r>
      <w:r>
        <w:rPr>
          <w:spacing w:val="-3"/>
          <w:sz w:val="24"/>
        </w:rPr>
        <w:t> </w:t>
      </w:r>
      <w:r>
        <w:rPr>
          <w:sz w:val="24"/>
        </w:rPr>
        <w:t>this</w:t>
      </w:r>
      <w:r>
        <w:rPr>
          <w:spacing w:val="-4"/>
          <w:sz w:val="24"/>
        </w:rPr>
        <w:t> </w:t>
      </w:r>
      <w:r>
        <w:rPr>
          <w:sz w:val="24"/>
        </w:rPr>
        <w:t>section</w:t>
      </w:r>
      <w:r>
        <w:rPr>
          <w:spacing w:val="-4"/>
          <w:sz w:val="24"/>
        </w:rPr>
        <w:t> </w:t>
      </w:r>
      <w:r>
        <w:rPr>
          <w:sz w:val="24"/>
        </w:rPr>
        <w:t>shall</w:t>
      </w:r>
      <w:r>
        <w:rPr>
          <w:spacing w:val="-4"/>
          <w:sz w:val="24"/>
        </w:rPr>
        <w:t> </w:t>
      </w:r>
      <w:r>
        <w:rPr>
          <w:sz w:val="24"/>
        </w:rPr>
        <w:t>not</w:t>
      </w:r>
      <w:r>
        <w:rPr>
          <w:spacing w:val="-2"/>
          <w:sz w:val="24"/>
        </w:rPr>
        <w:t> </w:t>
      </w:r>
      <w:r>
        <w:rPr>
          <w:sz w:val="24"/>
        </w:rPr>
        <w:t>exceed</w:t>
      </w:r>
      <w:r>
        <w:rPr>
          <w:spacing w:val="-4"/>
          <w:sz w:val="24"/>
        </w:rPr>
        <w:t> </w:t>
      </w:r>
      <w:r>
        <w:rPr>
          <w:sz w:val="24"/>
        </w:rPr>
        <w:t>three hundred thousand dollars annually.</w:t>
      </w:r>
    </w:p>
    <w:p>
      <w:pPr>
        <w:spacing w:before="243"/>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313"/>
        </w:numPr>
        <w:tabs>
          <w:tab w:pos="1439" w:val="left" w:leader="none"/>
        </w:tabs>
        <w:spacing w:line="240" w:lineRule="auto" w:before="1" w:after="0"/>
        <w:ind w:left="360" w:right="4755" w:firstLine="0"/>
        <w:jc w:val="left"/>
        <w:rPr>
          <w:sz w:val="22"/>
        </w:rPr>
      </w:pPr>
      <w:r>
        <w:rPr>
          <w:sz w:val="22"/>
        </w:rPr>
        <w:t>Permanent,</w:t>
      </w:r>
      <w:r>
        <w:rPr>
          <w:spacing w:val="-9"/>
          <w:sz w:val="22"/>
        </w:rPr>
        <w:t> </w:t>
      </w:r>
      <w:r>
        <w:rPr>
          <w:sz w:val="22"/>
        </w:rPr>
        <w:t>NEW,</w:t>
      </w:r>
      <w:r>
        <w:rPr>
          <w:spacing w:val="-10"/>
          <w:sz w:val="22"/>
        </w:rPr>
        <w:t> </w:t>
      </w:r>
      <w:r>
        <w:rPr>
          <w:sz w:val="22"/>
        </w:rPr>
        <w:t>moved</w:t>
      </w:r>
      <w:r>
        <w:rPr>
          <w:spacing w:val="-10"/>
          <w:sz w:val="22"/>
        </w:rPr>
        <w:t> </w:t>
      </w:r>
      <w:r>
        <w:rPr>
          <w:sz w:val="22"/>
        </w:rPr>
        <w:t>from</w:t>
      </w:r>
      <w:r>
        <w:rPr>
          <w:spacing w:val="-11"/>
          <w:sz w:val="22"/>
        </w:rPr>
        <w:t> </w:t>
      </w:r>
      <w:r>
        <w:rPr>
          <w:sz w:val="22"/>
        </w:rPr>
        <w:t>612:10-13-4 </w:t>
      </w:r>
      <w:r>
        <w:rPr>
          <w:spacing w:val="-2"/>
          <w:sz w:val="22"/>
        </w:rPr>
        <w:t>9-11-20</w:t>
      </w:r>
      <w:r>
        <w:rPr>
          <w:sz w:val="22"/>
        </w:rPr>
        <w:tab/>
        <w:t>New rule implemented.</w:t>
      </w:r>
    </w:p>
    <w:p>
      <w:pPr>
        <w:pStyle w:val="ListParagraph"/>
        <w:spacing w:after="0" w:line="240" w:lineRule="auto"/>
        <w:jc w:val="left"/>
        <w:rPr>
          <w:sz w:val="22"/>
        </w:rPr>
        <w:sectPr>
          <w:pgSz w:w="12240" w:h="15840"/>
          <w:pgMar w:top="1340" w:bottom="280" w:left="1080" w:right="720"/>
        </w:sectPr>
      </w:pPr>
    </w:p>
    <w:p>
      <w:pPr>
        <w:pStyle w:val="Heading1"/>
        <w:spacing w:line="417" w:lineRule="auto"/>
        <w:ind w:left="2332" w:right="775" w:hanging="893"/>
        <w:jc w:val="left"/>
      </w:pPr>
      <w:r>
        <w:rPr/>
        <w:t>TITLE</w:t>
      </w:r>
      <w:r>
        <w:rPr>
          <w:spacing w:val="-7"/>
        </w:rPr>
        <w:t> </w:t>
      </w:r>
      <w:r>
        <w:rPr/>
        <w:t>612.</w:t>
      </w:r>
      <w:r>
        <w:rPr>
          <w:spacing w:val="-8"/>
        </w:rPr>
        <w:t> </w:t>
      </w:r>
      <w:r>
        <w:rPr/>
        <w:t>STATE</w:t>
      </w:r>
      <w:r>
        <w:rPr>
          <w:spacing w:val="-7"/>
        </w:rPr>
        <w:t> </w:t>
      </w:r>
      <w:r>
        <w:rPr/>
        <w:t>DEPARTMENT</w:t>
      </w:r>
      <w:r>
        <w:rPr>
          <w:spacing w:val="-6"/>
        </w:rPr>
        <w:t> </w:t>
      </w:r>
      <w:r>
        <w:rPr/>
        <w:t>OF</w:t>
      </w:r>
      <w:r>
        <w:rPr>
          <w:spacing w:val="-8"/>
        </w:rPr>
        <w:t> </w:t>
      </w:r>
      <w:r>
        <w:rPr/>
        <w:t>REHABILITATION</w:t>
      </w:r>
      <w:r>
        <w:rPr>
          <w:spacing w:val="-7"/>
        </w:rPr>
        <w:t> </w:t>
      </w:r>
      <w:r>
        <w:rPr/>
        <w:t>SERVICES </w:t>
      </w:r>
      <w:bookmarkStart w:name="CHAPTER 25. BUSINESS ENTERPRISE PROGRAM" w:id="378"/>
      <w:bookmarkEnd w:id="378"/>
      <w:r>
        <w:rPr/>
        <w:t>CH</w:t>
      </w:r>
      <w:r>
        <w:rPr/>
        <w:t>APTER 25. BUSINESS ENTERPRISE PROGRAM</w:t>
      </w:r>
    </w:p>
    <w:p>
      <w:pPr>
        <w:pStyle w:val="BodyText"/>
        <w:tabs>
          <w:tab w:pos="8279" w:val="left" w:leader="none"/>
        </w:tabs>
        <w:spacing w:line="276" w:lineRule="exact" w:before="0"/>
      </w:pPr>
      <w:r>
        <w:rPr>
          <w:spacing w:val="-2"/>
        </w:rPr>
        <w:t>Subchapter</w:t>
      </w:r>
      <w:r>
        <w:rPr/>
        <w:tab/>
      </w:r>
      <w:r>
        <w:rPr>
          <w:spacing w:val="-2"/>
        </w:rPr>
        <w:t>Section</w:t>
      </w:r>
    </w:p>
    <w:p>
      <w:pPr>
        <w:pStyle w:val="ListParagraph"/>
        <w:numPr>
          <w:ilvl w:val="1"/>
          <w:numId w:val="360"/>
        </w:numPr>
        <w:tabs>
          <w:tab w:pos="1079" w:val="left" w:leader="none"/>
          <w:tab w:pos="8279" w:val="left" w:leader="none"/>
        </w:tabs>
        <w:spacing w:line="240" w:lineRule="auto" w:before="204" w:after="0"/>
        <w:ind w:left="1079" w:right="0" w:hanging="719"/>
        <w:jc w:val="left"/>
        <w:rPr>
          <w:sz w:val="24"/>
        </w:rPr>
      </w:pPr>
      <w:r>
        <w:rPr>
          <w:sz w:val="24"/>
        </w:rPr>
        <w:t>General</w:t>
      </w:r>
      <w:r>
        <w:rPr>
          <w:spacing w:val="-4"/>
          <w:sz w:val="24"/>
        </w:rPr>
        <w:t> </w:t>
      </w:r>
      <w:r>
        <w:rPr>
          <w:spacing w:val="-2"/>
          <w:sz w:val="24"/>
        </w:rPr>
        <w:t>provisions</w:t>
      </w:r>
      <w:r>
        <w:rPr>
          <w:sz w:val="24"/>
        </w:rPr>
        <w:tab/>
      </w:r>
      <w:r>
        <w:rPr>
          <w:spacing w:val="-2"/>
          <w:sz w:val="24"/>
        </w:rPr>
        <w:t>612:25-2-</w:t>
      </w:r>
      <w:r>
        <w:rPr>
          <w:spacing w:val="-10"/>
          <w:sz w:val="24"/>
        </w:rPr>
        <w:t>1</w:t>
      </w:r>
    </w:p>
    <w:p>
      <w:pPr>
        <w:pStyle w:val="BodyText"/>
        <w:tabs>
          <w:tab w:pos="1079" w:val="left" w:leader="none"/>
          <w:tab w:pos="8279" w:val="left" w:leader="none"/>
        </w:tabs>
        <w:spacing w:before="204"/>
      </w:pPr>
      <w:r>
        <w:rPr>
          <w:spacing w:val="-5"/>
        </w:rPr>
        <w:t>4.</w:t>
      </w:r>
      <w:r>
        <w:rPr/>
        <w:tab/>
        <w:t>The</w:t>
      </w:r>
      <w:r>
        <w:rPr>
          <w:spacing w:val="-3"/>
        </w:rPr>
        <w:t> </w:t>
      </w:r>
      <w:r>
        <w:rPr/>
        <w:t>state</w:t>
      </w:r>
      <w:r>
        <w:rPr>
          <w:spacing w:val="-3"/>
        </w:rPr>
        <w:t> </w:t>
      </w:r>
      <w:r>
        <w:rPr/>
        <w:t>licensing</w:t>
      </w:r>
      <w:r>
        <w:rPr>
          <w:spacing w:val="-3"/>
        </w:rPr>
        <w:t> </w:t>
      </w:r>
      <w:r>
        <w:rPr>
          <w:spacing w:val="-2"/>
        </w:rPr>
        <w:t>agency</w:t>
      </w:r>
      <w:r>
        <w:rPr/>
        <w:tab/>
      </w:r>
      <w:r>
        <w:rPr>
          <w:spacing w:val="-2"/>
        </w:rPr>
        <w:t>612:25-4-</w:t>
      </w:r>
      <w:r>
        <w:rPr>
          <w:spacing w:val="-10"/>
        </w:rPr>
        <w:t>1</w:t>
      </w:r>
    </w:p>
    <w:p>
      <w:pPr>
        <w:pStyle w:val="BodyText"/>
        <w:tabs>
          <w:tab w:pos="1079" w:val="left" w:leader="none"/>
          <w:tab w:pos="8279" w:val="left" w:leader="none"/>
        </w:tabs>
        <w:spacing w:before="204"/>
      </w:pPr>
      <w:r>
        <w:rPr>
          <w:spacing w:val="-5"/>
        </w:rPr>
        <w:t>6.</w:t>
      </w:r>
      <w:r>
        <w:rPr/>
        <w:tab/>
        <w:t>Licensed</w:t>
      </w:r>
      <w:r>
        <w:rPr>
          <w:spacing w:val="-6"/>
        </w:rPr>
        <w:t> </w:t>
      </w:r>
      <w:r>
        <w:rPr/>
        <w:t>managers</w:t>
      </w:r>
      <w:r>
        <w:rPr>
          <w:spacing w:val="-4"/>
        </w:rPr>
        <w:t> </w:t>
      </w:r>
      <w:r>
        <w:rPr/>
        <w:t>and</w:t>
      </w:r>
      <w:r>
        <w:rPr>
          <w:spacing w:val="-4"/>
        </w:rPr>
        <w:t> </w:t>
      </w:r>
      <w:r>
        <w:rPr/>
        <w:t>business</w:t>
      </w:r>
      <w:r>
        <w:rPr>
          <w:spacing w:val="-4"/>
        </w:rPr>
        <w:t> </w:t>
      </w:r>
      <w:r>
        <w:rPr/>
        <w:t>enterprise</w:t>
      </w:r>
      <w:r>
        <w:rPr>
          <w:spacing w:val="-3"/>
        </w:rPr>
        <w:t> </w:t>
      </w:r>
      <w:r>
        <w:rPr>
          <w:spacing w:val="-2"/>
        </w:rPr>
        <w:t>operation</w:t>
      </w:r>
      <w:r>
        <w:rPr/>
        <w:tab/>
      </w:r>
      <w:r>
        <w:rPr>
          <w:spacing w:val="-2"/>
        </w:rPr>
        <w:t>612:25-6-</w:t>
      </w:r>
      <w:r>
        <w:rPr>
          <w:spacing w:val="-10"/>
        </w:rPr>
        <w:t>1</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9-1-</w:t>
      </w:r>
      <w:r>
        <w:rPr>
          <w:spacing w:val="-5"/>
          <w:sz w:val="22"/>
        </w:rPr>
        <w:t>93</w:t>
      </w:r>
      <w:r>
        <w:rPr>
          <w:sz w:val="22"/>
        </w:rPr>
        <w:tab/>
        <w:t>No</w:t>
      </w:r>
      <w:r>
        <w:rPr>
          <w:spacing w:val="-4"/>
          <w:sz w:val="22"/>
        </w:rPr>
        <w:t> </w:t>
      </w:r>
      <w:r>
        <w:rPr>
          <w:sz w:val="22"/>
        </w:rPr>
        <w:t>PT</w:t>
      </w:r>
      <w:r>
        <w:rPr>
          <w:spacing w:val="-4"/>
          <w:sz w:val="22"/>
        </w:rPr>
        <w:t> Memo</w:t>
      </w:r>
    </w:p>
    <w:p>
      <w:pPr>
        <w:tabs>
          <w:tab w:pos="1439" w:val="left" w:leader="none"/>
        </w:tabs>
        <w:spacing w:before="0"/>
        <w:ind w:left="359" w:right="4436" w:firstLine="1080"/>
        <w:jc w:val="left"/>
        <w:rPr>
          <w:sz w:val="22"/>
        </w:rPr>
      </w:pPr>
      <w:r>
        <w:rPr>
          <w:sz w:val="22"/>
        </w:rPr>
        <w:t>Emergency,</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7-1-94</w:t>
      </w:r>
      <w:r>
        <w:rPr>
          <w:sz w:val="22"/>
        </w:rPr>
        <w:tab/>
        <w:t>PT Memo #94-1</w:t>
      </w:r>
    </w:p>
    <w:p>
      <w:pPr>
        <w:tabs>
          <w:tab w:pos="1439" w:val="left" w:leader="none"/>
        </w:tabs>
        <w:spacing w:before="0"/>
        <w:ind w:left="359" w:right="4472" w:firstLine="1080"/>
        <w:jc w:val="left"/>
        <w:rPr>
          <w:sz w:val="22"/>
        </w:rPr>
      </w:pPr>
      <w:r>
        <w:rPr>
          <w:sz w:val="22"/>
        </w:rPr>
        <w:t>Permanent,</w:t>
      </w:r>
      <w:r>
        <w:rPr>
          <w:spacing w:val="-6"/>
          <w:sz w:val="22"/>
        </w:rPr>
        <w:t> </w:t>
      </w:r>
      <w:r>
        <w:rPr>
          <w:sz w:val="22"/>
        </w:rPr>
        <w:t>first</w:t>
      </w:r>
      <w:r>
        <w:rPr>
          <w:spacing w:val="-6"/>
          <w:sz w:val="22"/>
        </w:rPr>
        <w:t> </w:t>
      </w:r>
      <w:r>
        <w:rPr>
          <w:sz w:val="22"/>
        </w:rPr>
        <w:t>adoption</w:t>
      </w:r>
      <w:r>
        <w:rPr>
          <w:spacing w:val="-6"/>
          <w:sz w:val="22"/>
        </w:rPr>
        <w:t> </w:t>
      </w:r>
      <w:r>
        <w:rPr>
          <w:sz w:val="22"/>
        </w:rPr>
        <w:t>under</w:t>
      </w:r>
      <w:r>
        <w:rPr>
          <w:spacing w:val="-6"/>
          <w:sz w:val="22"/>
        </w:rPr>
        <w:t> </w:t>
      </w:r>
      <w:r>
        <w:rPr>
          <w:sz w:val="22"/>
        </w:rPr>
        <w:t>OAC</w:t>
      </w:r>
      <w:r>
        <w:rPr>
          <w:spacing w:val="-7"/>
          <w:sz w:val="22"/>
        </w:rPr>
        <w:t> </w:t>
      </w:r>
      <w:r>
        <w:rPr>
          <w:sz w:val="22"/>
        </w:rPr>
        <w:t>Title</w:t>
      </w:r>
      <w:r>
        <w:rPr>
          <w:spacing w:val="-6"/>
          <w:sz w:val="22"/>
        </w:rPr>
        <w:t> </w:t>
      </w:r>
      <w:r>
        <w:rPr>
          <w:sz w:val="22"/>
        </w:rPr>
        <w:t>612 </w:t>
      </w:r>
      <w:r>
        <w:rPr>
          <w:spacing w:val="-2"/>
          <w:sz w:val="22"/>
        </w:rPr>
        <w:t>7-1-97</w:t>
      </w:r>
      <w:r>
        <w:rPr>
          <w:sz w:val="22"/>
        </w:rPr>
        <w:tab/>
        <w:t>PT Memo #97-9</w:t>
      </w:r>
    </w:p>
    <w:p>
      <w:pPr>
        <w:spacing w:before="0"/>
        <w:ind w:left="1439" w:right="775" w:firstLine="0"/>
        <w:jc w:val="left"/>
        <w:rPr>
          <w:sz w:val="22"/>
        </w:rPr>
      </w:pPr>
      <w:r>
        <w:rPr>
          <w:sz w:val="22"/>
        </w:rPr>
        <w:t>Complete</w:t>
      </w:r>
      <w:r>
        <w:rPr>
          <w:spacing w:val="-4"/>
          <w:sz w:val="22"/>
        </w:rPr>
        <w:t> </w:t>
      </w:r>
      <w:r>
        <w:rPr>
          <w:sz w:val="22"/>
        </w:rPr>
        <w:t>revision</w:t>
      </w:r>
      <w:r>
        <w:rPr>
          <w:spacing w:val="-4"/>
          <w:sz w:val="22"/>
        </w:rPr>
        <w:t> </w:t>
      </w:r>
      <w:r>
        <w:rPr>
          <w:sz w:val="22"/>
        </w:rPr>
        <w:t>of</w:t>
      </w:r>
      <w:r>
        <w:rPr>
          <w:spacing w:val="-5"/>
          <w:sz w:val="22"/>
        </w:rPr>
        <w:t> </w:t>
      </w:r>
      <w:r>
        <w:rPr>
          <w:sz w:val="22"/>
        </w:rPr>
        <w:t>Chapter</w:t>
      </w:r>
      <w:r>
        <w:rPr>
          <w:spacing w:val="-4"/>
          <w:sz w:val="22"/>
        </w:rPr>
        <w:t> </w:t>
      </w:r>
      <w:r>
        <w:rPr>
          <w:sz w:val="22"/>
        </w:rPr>
        <w:t>25;</w:t>
      </w:r>
      <w:r>
        <w:rPr>
          <w:spacing w:val="-4"/>
          <w:sz w:val="22"/>
        </w:rPr>
        <w:t> </w:t>
      </w:r>
      <w:r>
        <w:rPr>
          <w:sz w:val="22"/>
        </w:rPr>
        <w:t>odd</w:t>
      </w:r>
      <w:r>
        <w:rPr>
          <w:spacing w:val="-4"/>
          <w:sz w:val="22"/>
        </w:rPr>
        <w:t> </w:t>
      </w:r>
      <w:r>
        <w:rPr>
          <w:sz w:val="22"/>
        </w:rPr>
        <w:t>numbered</w:t>
      </w:r>
      <w:r>
        <w:rPr>
          <w:spacing w:val="-4"/>
          <w:sz w:val="22"/>
        </w:rPr>
        <w:t> </w:t>
      </w:r>
      <w:r>
        <w:rPr>
          <w:sz w:val="22"/>
        </w:rPr>
        <w:t>Subchapters</w:t>
      </w:r>
      <w:r>
        <w:rPr>
          <w:spacing w:val="-4"/>
          <w:sz w:val="22"/>
        </w:rPr>
        <w:t> </w:t>
      </w:r>
      <w:r>
        <w:rPr>
          <w:sz w:val="22"/>
        </w:rPr>
        <w:t>revoked</w:t>
      </w:r>
      <w:r>
        <w:rPr>
          <w:spacing w:val="-4"/>
          <w:sz w:val="22"/>
        </w:rPr>
        <w:t> </w:t>
      </w:r>
      <w:r>
        <w:rPr>
          <w:sz w:val="22"/>
        </w:rPr>
        <w:t>and</w:t>
      </w:r>
      <w:r>
        <w:rPr>
          <w:spacing w:val="-4"/>
          <w:sz w:val="22"/>
        </w:rPr>
        <w:t> </w:t>
      </w:r>
      <w:r>
        <w:rPr>
          <w:sz w:val="22"/>
        </w:rPr>
        <w:t>replaced by even numbered Subchapters</w:t>
      </w:r>
    </w:p>
    <w:p>
      <w:pPr>
        <w:tabs>
          <w:tab w:pos="1439" w:val="left" w:leader="none"/>
        </w:tabs>
        <w:spacing w:line="252" w:lineRule="exact" w:before="0"/>
        <w:ind w:left="359" w:right="0" w:firstLine="0"/>
        <w:jc w:val="left"/>
        <w:rPr>
          <w:sz w:val="22"/>
        </w:rPr>
      </w:pPr>
      <w:r>
        <w:rPr>
          <w:spacing w:val="-2"/>
          <w:sz w:val="22"/>
        </w:rPr>
        <w:t>4-13-</w:t>
      </w:r>
      <w:r>
        <w:rPr>
          <w:spacing w:val="-5"/>
          <w:sz w:val="22"/>
        </w:rPr>
        <w:t>99</w:t>
      </w:r>
      <w:r>
        <w:rPr>
          <w:sz w:val="22"/>
        </w:rPr>
        <w:tab/>
        <w:t>PT</w:t>
      </w:r>
      <w:r>
        <w:rPr>
          <w:spacing w:val="-8"/>
          <w:sz w:val="22"/>
        </w:rPr>
        <w:t> </w:t>
      </w:r>
      <w:r>
        <w:rPr>
          <w:sz w:val="22"/>
        </w:rPr>
        <w:t>Memo</w:t>
      </w:r>
      <w:r>
        <w:rPr>
          <w:spacing w:val="-8"/>
          <w:sz w:val="22"/>
        </w:rPr>
        <w:t> </w:t>
      </w:r>
      <w:r>
        <w:rPr>
          <w:sz w:val="22"/>
        </w:rPr>
        <w:t>#99-</w:t>
      </w:r>
      <w:r>
        <w:rPr>
          <w:spacing w:val="-10"/>
          <w:sz w:val="22"/>
        </w:rPr>
        <w:t>7</w:t>
      </w:r>
    </w:p>
    <w:p>
      <w:pPr>
        <w:spacing w:before="1"/>
        <w:ind w:left="1439" w:right="0" w:firstLine="0"/>
        <w:jc w:val="left"/>
        <w:rPr>
          <w:sz w:val="22"/>
        </w:rPr>
      </w:pPr>
      <w:r>
        <w:rPr>
          <w:sz w:val="22"/>
        </w:rPr>
        <w:t>Emergency,</w:t>
      </w:r>
      <w:r>
        <w:rPr>
          <w:spacing w:val="-9"/>
          <w:sz w:val="22"/>
        </w:rPr>
        <w:t> </w:t>
      </w:r>
      <w:r>
        <w:rPr>
          <w:sz w:val="22"/>
        </w:rPr>
        <w:t>name</w:t>
      </w:r>
      <w:r>
        <w:rPr>
          <w:spacing w:val="-8"/>
          <w:sz w:val="22"/>
        </w:rPr>
        <w:t> </w:t>
      </w:r>
      <w:r>
        <w:rPr>
          <w:sz w:val="22"/>
        </w:rPr>
        <w:t>of</w:t>
      </w:r>
      <w:r>
        <w:rPr>
          <w:spacing w:val="-8"/>
          <w:sz w:val="22"/>
        </w:rPr>
        <w:t> </w:t>
      </w:r>
      <w:r>
        <w:rPr>
          <w:sz w:val="22"/>
        </w:rPr>
        <w:t>Chapter</w:t>
      </w:r>
      <w:r>
        <w:rPr>
          <w:spacing w:val="-8"/>
          <w:sz w:val="22"/>
        </w:rPr>
        <w:t> </w:t>
      </w:r>
      <w:r>
        <w:rPr>
          <w:sz w:val="22"/>
        </w:rPr>
        <w:t>shortened</w:t>
      </w:r>
      <w:r>
        <w:rPr>
          <w:spacing w:val="-8"/>
          <w:sz w:val="22"/>
        </w:rPr>
        <w:t> </w:t>
      </w:r>
      <w:r>
        <w:rPr>
          <w:sz w:val="22"/>
        </w:rPr>
        <w:t>to</w:t>
      </w:r>
      <w:r>
        <w:rPr>
          <w:spacing w:val="-9"/>
          <w:sz w:val="22"/>
        </w:rPr>
        <w:t> </w:t>
      </w:r>
      <w:r>
        <w:rPr>
          <w:sz w:val="22"/>
        </w:rPr>
        <w:t>Business</w:t>
      </w:r>
      <w:r>
        <w:rPr>
          <w:spacing w:val="-8"/>
          <w:sz w:val="22"/>
        </w:rPr>
        <w:t> </w:t>
      </w:r>
      <w:r>
        <w:rPr>
          <w:sz w:val="22"/>
        </w:rPr>
        <w:t>Enterprise</w:t>
      </w:r>
      <w:r>
        <w:rPr>
          <w:spacing w:val="-8"/>
          <w:sz w:val="22"/>
        </w:rPr>
        <w:t> </w:t>
      </w:r>
      <w:r>
        <w:rPr>
          <w:spacing w:val="-2"/>
          <w:sz w:val="22"/>
        </w:rPr>
        <w:t>Program</w:t>
      </w:r>
    </w:p>
    <w:p>
      <w:pPr>
        <w:spacing w:after="0"/>
        <w:jc w:val="left"/>
        <w:rPr>
          <w:sz w:val="22"/>
        </w:rPr>
        <w:sectPr>
          <w:pgSz w:w="12240" w:h="15840"/>
          <w:pgMar w:top="1340" w:bottom="280" w:left="1080" w:right="720"/>
        </w:sectPr>
      </w:pPr>
    </w:p>
    <w:p>
      <w:pPr>
        <w:pStyle w:val="Heading1"/>
      </w:pPr>
      <w:bookmarkStart w:name="SUBCHAPTER 2. GENERAL PROVISIONS" w:id="379"/>
      <w:bookmarkEnd w:id="379"/>
      <w:r>
        <w:rPr>
          <w:b w:val="0"/>
        </w:rPr>
      </w:r>
      <w:r>
        <w:rPr/>
        <w:t>SUBCHAPTER</w:t>
      </w:r>
      <w:r>
        <w:rPr>
          <w:spacing w:val="-4"/>
        </w:rPr>
        <w:t> </w:t>
      </w:r>
      <w:r>
        <w:rPr/>
        <w:t>2.</w:t>
      </w:r>
      <w:r>
        <w:rPr>
          <w:spacing w:val="-3"/>
        </w:rPr>
        <w:t> </w:t>
      </w:r>
      <w:r>
        <w:rPr/>
        <w:t>GENERAL</w:t>
      </w:r>
      <w:r>
        <w:rPr>
          <w:spacing w:val="-3"/>
        </w:rPr>
        <w:t> </w:t>
      </w:r>
      <w:r>
        <w:rPr>
          <w:spacing w:val="-2"/>
        </w:rPr>
        <w:t>PROVISIONS</w:t>
      </w:r>
    </w:p>
    <w:p>
      <w:pPr>
        <w:pStyle w:val="BodyText"/>
        <w:spacing w:before="204"/>
      </w:pPr>
      <w:r>
        <w:rPr>
          <w:spacing w:val="-2"/>
        </w:rPr>
        <w:t>Section</w:t>
      </w:r>
    </w:p>
    <w:p>
      <w:pPr>
        <w:pStyle w:val="BodyText"/>
        <w:tabs>
          <w:tab w:pos="1799" w:val="left" w:leader="none"/>
        </w:tabs>
        <w:spacing w:before="204"/>
      </w:pPr>
      <w:r>
        <w:rPr>
          <w:spacing w:val="-2"/>
        </w:rPr>
        <w:t>612:25-2-</w:t>
      </w:r>
      <w:r>
        <w:rPr>
          <w:spacing w:val="-5"/>
        </w:rPr>
        <w:t>1.</w:t>
      </w:r>
      <w:r>
        <w:rPr/>
        <w:tab/>
      </w:r>
      <w:r>
        <w:rPr>
          <w:spacing w:val="-2"/>
        </w:rPr>
        <w:t>Purpose</w:t>
      </w:r>
    </w:p>
    <w:p>
      <w:pPr>
        <w:pStyle w:val="BodyText"/>
        <w:tabs>
          <w:tab w:pos="1799" w:val="left" w:leader="none"/>
        </w:tabs>
        <w:spacing w:line="417" w:lineRule="auto" w:before="204"/>
        <w:ind w:right="3969"/>
      </w:pPr>
      <w:r>
        <w:rPr>
          <w:spacing w:val="-2"/>
        </w:rPr>
        <w:t>612:25-2-2.</w:t>
      </w:r>
      <w:r>
        <w:rPr/>
        <w:tab/>
        <w:t>Mission</w:t>
      </w:r>
      <w:r>
        <w:rPr>
          <w:spacing w:val="-8"/>
        </w:rPr>
        <w:t> </w:t>
      </w:r>
      <w:r>
        <w:rPr/>
        <w:t>of</w:t>
      </w:r>
      <w:r>
        <w:rPr>
          <w:spacing w:val="-7"/>
        </w:rPr>
        <w:t> </w:t>
      </w:r>
      <w:r>
        <w:rPr/>
        <w:t>the</w:t>
      </w:r>
      <w:r>
        <w:rPr>
          <w:spacing w:val="-8"/>
        </w:rPr>
        <w:t> </w:t>
      </w:r>
      <w:r>
        <w:rPr/>
        <w:t>Business</w:t>
      </w:r>
      <w:r>
        <w:rPr>
          <w:spacing w:val="-8"/>
        </w:rPr>
        <w:t> </w:t>
      </w:r>
      <w:r>
        <w:rPr/>
        <w:t>Enterprise</w:t>
      </w:r>
      <w:r>
        <w:rPr>
          <w:spacing w:val="-8"/>
        </w:rPr>
        <w:t> </w:t>
      </w:r>
      <w:r>
        <w:rPr/>
        <w:t>Program </w:t>
      </w:r>
      <w:r>
        <w:rPr>
          <w:spacing w:val="-2"/>
        </w:rPr>
        <w:t>612:25-2-3.</w:t>
      </w:r>
      <w:r>
        <w:rPr/>
        <w:tab/>
        <w:t>Federal legal authority</w:t>
      </w:r>
    </w:p>
    <w:p>
      <w:pPr>
        <w:pStyle w:val="BodyText"/>
        <w:tabs>
          <w:tab w:pos="1799" w:val="left" w:leader="none"/>
        </w:tabs>
        <w:spacing w:line="417" w:lineRule="auto" w:before="0"/>
        <w:ind w:right="6516"/>
      </w:pPr>
      <w:r>
        <w:rPr>
          <w:spacing w:val="-2"/>
        </w:rPr>
        <w:t>612:25-2-4.</w:t>
      </w:r>
      <w:r>
        <w:rPr/>
        <w:tab/>
        <w:t>State</w:t>
      </w:r>
      <w:r>
        <w:rPr>
          <w:spacing w:val="-17"/>
        </w:rPr>
        <w:t> </w:t>
      </w:r>
      <w:r>
        <w:rPr/>
        <w:t>legal</w:t>
      </w:r>
      <w:r>
        <w:rPr>
          <w:spacing w:val="-17"/>
        </w:rPr>
        <w:t> </w:t>
      </w:r>
      <w:r>
        <w:rPr/>
        <w:t>authority </w:t>
      </w:r>
      <w:r>
        <w:rPr>
          <w:spacing w:val="-2"/>
        </w:rPr>
        <w:t>612:25-2-5.</w:t>
      </w:r>
      <w:r>
        <w:rPr/>
        <w:tab/>
      </w:r>
      <w:r>
        <w:rPr>
          <w:spacing w:val="-2"/>
        </w:rPr>
        <w:t>Definitions</w:t>
      </w:r>
    </w:p>
    <w:p>
      <w:pPr>
        <w:pStyle w:val="BodyText"/>
        <w:tabs>
          <w:tab w:pos="1799" w:val="left" w:leader="none"/>
        </w:tabs>
        <w:spacing w:line="417" w:lineRule="auto" w:before="0"/>
        <w:ind w:right="2422"/>
      </w:pPr>
      <w:r>
        <w:rPr>
          <w:spacing w:val="-2"/>
        </w:rPr>
        <w:t>612:25-2-7.</w:t>
      </w:r>
      <w:r>
        <w:rPr/>
        <w:tab/>
        <w:t>State</w:t>
      </w:r>
      <w:r>
        <w:rPr>
          <w:spacing w:val="-7"/>
        </w:rPr>
        <w:t> </w:t>
      </w:r>
      <w:r>
        <w:rPr/>
        <w:t>and</w:t>
      </w:r>
      <w:r>
        <w:rPr>
          <w:spacing w:val="-7"/>
        </w:rPr>
        <w:t> </w:t>
      </w:r>
      <w:r>
        <w:rPr/>
        <w:t>Federal</w:t>
      </w:r>
      <w:r>
        <w:rPr>
          <w:spacing w:val="-7"/>
        </w:rPr>
        <w:t> </w:t>
      </w:r>
      <w:r>
        <w:rPr/>
        <w:t>Assurances</w:t>
      </w:r>
      <w:r>
        <w:rPr>
          <w:spacing w:val="-7"/>
        </w:rPr>
        <w:t> </w:t>
      </w:r>
      <w:r>
        <w:rPr/>
        <w:t>Policy</w:t>
      </w:r>
      <w:r>
        <w:rPr>
          <w:spacing w:val="-7"/>
        </w:rPr>
        <w:t> </w:t>
      </w:r>
      <w:r>
        <w:rPr/>
        <w:t>of</w:t>
      </w:r>
      <w:r>
        <w:rPr>
          <w:spacing w:val="-6"/>
        </w:rPr>
        <w:t> </w:t>
      </w:r>
      <w:r>
        <w:rPr/>
        <w:t>non-discrimination </w:t>
      </w:r>
      <w:r>
        <w:rPr>
          <w:spacing w:val="-2"/>
        </w:rPr>
        <w:t>612:25-2-8.</w:t>
      </w:r>
      <w:r>
        <w:rPr/>
        <w:tab/>
        <w:t>Accessibility of written materials</w:t>
      </w:r>
    </w:p>
    <w:p>
      <w:pPr>
        <w:pStyle w:val="BodyText"/>
        <w:tabs>
          <w:tab w:pos="1799" w:val="left" w:leader="none"/>
        </w:tabs>
        <w:spacing w:line="276" w:lineRule="exact" w:before="0"/>
      </w:pPr>
      <w:r>
        <w:rPr>
          <w:spacing w:val="-2"/>
        </w:rPr>
        <w:t>612:25-2-</w:t>
      </w:r>
      <w:r>
        <w:rPr>
          <w:spacing w:val="-10"/>
        </w:rPr>
        <w:t>9</w:t>
      </w:r>
      <w:r>
        <w:rPr/>
        <w:tab/>
        <w:t>Conflict</w:t>
      </w:r>
      <w:r>
        <w:rPr>
          <w:spacing w:val="-2"/>
        </w:rPr>
        <w:t> </w:t>
      </w:r>
      <w:r>
        <w:rPr/>
        <w:t>of</w:t>
      </w:r>
      <w:r>
        <w:rPr>
          <w:spacing w:val="-2"/>
        </w:rPr>
        <w:t> interest</w:t>
      </w:r>
    </w:p>
    <w:p>
      <w:pPr>
        <w:spacing w:before="236"/>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spacing w:before="0"/>
        <w:ind w:left="1439" w:right="775" w:firstLine="0"/>
        <w:jc w:val="left"/>
        <w:rPr>
          <w:sz w:val="22"/>
        </w:rPr>
      </w:pPr>
      <w:r>
        <w:rPr>
          <w:sz w:val="22"/>
        </w:rPr>
        <w:t>Permanent,</w:t>
      </w:r>
      <w:r>
        <w:rPr>
          <w:spacing w:val="-3"/>
          <w:sz w:val="22"/>
        </w:rPr>
        <w:t> </w:t>
      </w:r>
      <w:r>
        <w:rPr>
          <w:sz w:val="22"/>
        </w:rPr>
        <w:t>new</w:t>
      </w:r>
      <w:r>
        <w:rPr>
          <w:spacing w:val="-5"/>
          <w:sz w:val="22"/>
        </w:rPr>
        <w:t> </w:t>
      </w:r>
      <w:r>
        <w:rPr>
          <w:sz w:val="22"/>
        </w:rPr>
        <w:t>table</w:t>
      </w:r>
      <w:r>
        <w:rPr>
          <w:spacing w:val="-4"/>
          <w:sz w:val="22"/>
        </w:rPr>
        <w:t> </w:t>
      </w:r>
      <w:r>
        <w:rPr>
          <w:sz w:val="22"/>
        </w:rPr>
        <w:t>of</w:t>
      </w:r>
      <w:r>
        <w:rPr>
          <w:spacing w:val="-4"/>
          <w:sz w:val="22"/>
        </w:rPr>
        <w:t> </w:t>
      </w:r>
      <w:r>
        <w:rPr>
          <w:sz w:val="22"/>
        </w:rPr>
        <w:t>contents;</w:t>
      </w:r>
      <w:r>
        <w:rPr>
          <w:spacing w:val="-4"/>
          <w:sz w:val="22"/>
        </w:rPr>
        <w:t> </w:t>
      </w:r>
      <w:r>
        <w:rPr>
          <w:sz w:val="22"/>
        </w:rPr>
        <w:t>Complete</w:t>
      </w:r>
      <w:r>
        <w:rPr>
          <w:spacing w:val="-4"/>
          <w:sz w:val="22"/>
        </w:rPr>
        <w:t> </w:t>
      </w:r>
      <w:r>
        <w:rPr>
          <w:sz w:val="22"/>
        </w:rPr>
        <w:t>revision</w:t>
      </w:r>
      <w:r>
        <w:rPr>
          <w:spacing w:val="-4"/>
          <w:sz w:val="22"/>
        </w:rPr>
        <w:t> </w:t>
      </w:r>
      <w:r>
        <w:rPr>
          <w:sz w:val="22"/>
        </w:rPr>
        <w:t>of</w:t>
      </w:r>
      <w:r>
        <w:rPr>
          <w:spacing w:val="-4"/>
          <w:sz w:val="22"/>
        </w:rPr>
        <w:t> </w:t>
      </w:r>
      <w:r>
        <w:rPr>
          <w:sz w:val="22"/>
        </w:rPr>
        <w:t>Chapter</w:t>
      </w:r>
      <w:r>
        <w:rPr>
          <w:spacing w:val="-4"/>
          <w:sz w:val="22"/>
        </w:rPr>
        <w:t> </w:t>
      </w:r>
      <w:r>
        <w:rPr>
          <w:sz w:val="22"/>
        </w:rPr>
        <w:t>25;</w:t>
      </w:r>
      <w:r>
        <w:rPr>
          <w:spacing w:val="-4"/>
          <w:sz w:val="22"/>
        </w:rPr>
        <w:t> </w:t>
      </w:r>
      <w:r>
        <w:rPr>
          <w:sz w:val="22"/>
        </w:rPr>
        <w:t>odd</w:t>
      </w:r>
      <w:r>
        <w:rPr>
          <w:spacing w:val="-5"/>
          <w:sz w:val="22"/>
        </w:rPr>
        <w:t> </w:t>
      </w:r>
      <w:r>
        <w:rPr>
          <w:sz w:val="22"/>
        </w:rPr>
        <w:t>numbered Subchapters revoked and replaced by even numbered Subchapters</w:t>
      </w:r>
    </w:p>
    <w:p>
      <w:pPr>
        <w:pStyle w:val="ListParagraph"/>
        <w:numPr>
          <w:ilvl w:val="2"/>
          <w:numId w:val="296"/>
        </w:numPr>
        <w:tabs>
          <w:tab w:pos="1439" w:val="left" w:leader="none"/>
        </w:tabs>
        <w:spacing w:line="240" w:lineRule="auto" w:before="0" w:after="0"/>
        <w:ind w:left="1439" w:right="0" w:hanging="1079"/>
        <w:jc w:val="left"/>
        <w:rPr>
          <w:sz w:val="22"/>
        </w:rPr>
      </w:pPr>
      <w:r>
        <w:rPr>
          <w:sz w:val="22"/>
        </w:rPr>
        <w:t>PT</w:t>
      </w:r>
      <w:r>
        <w:rPr>
          <w:spacing w:val="-8"/>
          <w:sz w:val="22"/>
        </w:rPr>
        <w:t> </w:t>
      </w:r>
      <w:r>
        <w:rPr>
          <w:sz w:val="22"/>
        </w:rPr>
        <w:t>Memo</w:t>
      </w:r>
      <w:r>
        <w:rPr>
          <w:spacing w:val="-8"/>
          <w:sz w:val="22"/>
        </w:rPr>
        <w:t> </w:t>
      </w:r>
      <w:r>
        <w:rPr>
          <w:sz w:val="22"/>
        </w:rPr>
        <w:t>#06-</w:t>
      </w:r>
      <w:r>
        <w:rPr>
          <w:spacing w:val="-5"/>
          <w:sz w:val="22"/>
        </w:rPr>
        <w:t>01</w:t>
      </w:r>
    </w:p>
    <w:p>
      <w:pPr>
        <w:spacing w:before="0"/>
        <w:ind w:left="1439" w:right="0" w:firstLine="0"/>
        <w:jc w:val="left"/>
        <w:rPr>
          <w:sz w:val="22"/>
        </w:rPr>
      </w:pPr>
      <w:r>
        <w:rPr>
          <w:sz w:val="22"/>
        </w:rPr>
        <w:t>Permanent,</w:t>
      </w:r>
      <w:r>
        <w:rPr>
          <w:spacing w:val="-7"/>
          <w:sz w:val="22"/>
        </w:rPr>
        <w:t> </w:t>
      </w:r>
      <w:r>
        <w:rPr>
          <w:sz w:val="22"/>
        </w:rPr>
        <w:t>amended</w:t>
      </w:r>
      <w:r>
        <w:rPr>
          <w:spacing w:val="-6"/>
          <w:sz w:val="22"/>
        </w:rPr>
        <w:t> </w:t>
      </w:r>
      <w:r>
        <w:rPr>
          <w:sz w:val="22"/>
        </w:rPr>
        <w:t>section</w:t>
      </w:r>
      <w:r>
        <w:rPr>
          <w:spacing w:val="-7"/>
          <w:sz w:val="22"/>
        </w:rPr>
        <w:t> </w:t>
      </w:r>
      <w:r>
        <w:rPr>
          <w:sz w:val="22"/>
        </w:rPr>
        <w:t>7</w:t>
      </w:r>
      <w:r>
        <w:rPr>
          <w:spacing w:val="-7"/>
          <w:sz w:val="22"/>
        </w:rPr>
        <w:t> </w:t>
      </w:r>
      <w:r>
        <w:rPr>
          <w:sz w:val="22"/>
        </w:rPr>
        <w:t>tag</w:t>
      </w:r>
      <w:r>
        <w:rPr>
          <w:spacing w:val="-7"/>
          <w:sz w:val="22"/>
        </w:rPr>
        <w:t> </w:t>
      </w:r>
      <w:r>
        <w:rPr>
          <w:spacing w:val="-4"/>
          <w:sz w:val="22"/>
        </w:rPr>
        <w:t>line</w:t>
      </w:r>
    </w:p>
    <w:p>
      <w:pPr>
        <w:spacing w:after="0"/>
        <w:jc w:val="left"/>
        <w:rPr>
          <w:sz w:val="22"/>
        </w:rPr>
        <w:sectPr>
          <w:pgSz w:w="12240" w:h="15840"/>
          <w:pgMar w:top="1340" w:bottom="280" w:left="1080" w:right="720"/>
        </w:sectPr>
      </w:pPr>
    </w:p>
    <w:p>
      <w:pPr>
        <w:pStyle w:val="Heading2"/>
      </w:pPr>
      <w:bookmarkStart w:name="612:25-2-1.  Purpose" w:id="380"/>
      <w:bookmarkEnd w:id="380"/>
      <w:r>
        <w:rPr>
          <w:b w:val="0"/>
        </w:rPr>
      </w:r>
      <w:r>
        <w:rPr/>
        <w:t>612:25-2-1.</w:t>
      </w:r>
      <w:r>
        <w:rPr>
          <w:spacing w:val="58"/>
        </w:rPr>
        <w:t> </w:t>
      </w:r>
      <w:r>
        <w:rPr>
          <w:spacing w:val="-2"/>
        </w:rPr>
        <w:t>Purpose</w:t>
      </w:r>
    </w:p>
    <w:p>
      <w:pPr>
        <w:pStyle w:val="ListParagraph"/>
        <w:numPr>
          <w:ilvl w:val="0"/>
          <w:numId w:val="372"/>
        </w:numPr>
        <w:tabs>
          <w:tab w:pos="786" w:val="left" w:leader="none"/>
        </w:tabs>
        <w:spacing w:line="208" w:lineRule="auto" w:before="233" w:after="0"/>
        <w:ind w:left="360" w:right="781" w:firstLine="0"/>
        <w:jc w:val="left"/>
        <w:rPr>
          <w:sz w:val="24"/>
        </w:rPr>
      </w:pPr>
      <w:r>
        <w:rPr>
          <w:sz w:val="24"/>
        </w:rPr>
        <w:t>The</w:t>
      </w:r>
      <w:r>
        <w:rPr>
          <w:spacing w:val="-4"/>
          <w:sz w:val="24"/>
        </w:rPr>
        <w:t> </w:t>
      </w:r>
      <w:r>
        <w:rPr>
          <w:sz w:val="24"/>
        </w:rPr>
        <w:t>purpose</w:t>
      </w:r>
      <w:r>
        <w:rPr>
          <w:spacing w:val="-4"/>
          <w:sz w:val="24"/>
        </w:rPr>
        <w:t> </w:t>
      </w:r>
      <w:r>
        <w:rPr>
          <w:sz w:val="24"/>
        </w:rPr>
        <w:t>of</w:t>
      </w:r>
      <w:r>
        <w:rPr>
          <w:spacing w:val="-3"/>
          <w:sz w:val="24"/>
        </w:rPr>
        <w:t> </w:t>
      </w:r>
      <w:r>
        <w:rPr>
          <w:sz w:val="24"/>
        </w:rPr>
        <w:t>the</w:t>
      </w:r>
      <w:r>
        <w:rPr>
          <w:spacing w:val="-4"/>
          <w:sz w:val="24"/>
        </w:rPr>
        <w:t> </w:t>
      </w:r>
      <w:r>
        <w:rPr>
          <w:sz w:val="24"/>
        </w:rPr>
        <w:t>Business</w:t>
      </w:r>
      <w:r>
        <w:rPr>
          <w:spacing w:val="-3"/>
          <w:sz w:val="24"/>
        </w:rPr>
        <w:t> </w:t>
      </w:r>
      <w:r>
        <w:rPr>
          <w:sz w:val="24"/>
        </w:rPr>
        <w:t>Enterprise</w:t>
      </w:r>
      <w:r>
        <w:rPr>
          <w:spacing w:val="-4"/>
          <w:sz w:val="24"/>
        </w:rPr>
        <w:t> </w:t>
      </w:r>
      <w:r>
        <w:rPr>
          <w:sz w:val="24"/>
        </w:rPr>
        <w:t>Program</w:t>
      </w:r>
      <w:r>
        <w:rPr>
          <w:spacing w:val="-3"/>
          <w:sz w:val="24"/>
        </w:rPr>
        <w:t> </w:t>
      </w:r>
      <w:r>
        <w:rPr>
          <w:sz w:val="24"/>
        </w:rPr>
        <w:t>Manual</w:t>
      </w:r>
      <w:r>
        <w:rPr>
          <w:spacing w:val="-4"/>
          <w:sz w:val="24"/>
        </w:rPr>
        <w:t> </w:t>
      </w:r>
      <w:r>
        <w:rPr>
          <w:sz w:val="24"/>
        </w:rPr>
        <w:t>is</w:t>
      </w:r>
      <w:r>
        <w:rPr>
          <w:spacing w:val="-4"/>
          <w:sz w:val="24"/>
        </w:rPr>
        <w:t> </w:t>
      </w:r>
      <w:r>
        <w:rPr>
          <w:sz w:val="24"/>
        </w:rPr>
        <w:t>to</w:t>
      </w:r>
      <w:r>
        <w:rPr>
          <w:spacing w:val="-4"/>
          <w:sz w:val="24"/>
        </w:rPr>
        <w:t> </w:t>
      </w:r>
      <w:r>
        <w:rPr>
          <w:sz w:val="24"/>
        </w:rPr>
        <w:t>provide</w:t>
      </w:r>
      <w:r>
        <w:rPr>
          <w:spacing w:val="-4"/>
          <w:sz w:val="24"/>
        </w:rPr>
        <w:t> </w:t>
      </w:r>
      <w:r>
        <w:rPr>
          <w:sz w:val="24"/>
        </w:rPr>
        <w:t>uniform</w:t>
      </w:r>
      <w:r>
        <w:rPr>
          <w:spacing w:val="-5"/>
          <w:sz w:val="24"/>
        </w:rPr>
        <w:t> </w:t>
      </w:r>
      <w:r>
        <w:rPr>
          <w:sz w:val="24"/>
        </w:rPr>
        <w:t>rules and regulations for the administration of the Business Enterprise Program operated by the State Licensing Agency.</w:t>
      </w:r>
    </w:p>
    <w:p>
      <w:pPr>
        <w:pStyle w:val="ListParagraph"/>
        <w:numPr>
          <w:ilvl w:val="0"/>
          <w:numId w:val="372"/>
        </w:numPr>
        <w:tabs>
          <w:tab w:pos="786" w:val="left" w:leader="none"/>
        </w:tabs>
        <w:spacing w:line="208" w:lineRule="auto" w:before="240" w:after="0"/>
        <w:ind w:left="360" w:right="808" w:firstLine="0"/>
        <w:jc w:val="left"/>
        <w:rPr>
          <w:sz w:val="24"/>
        </w:rPr>
      </w:pPr>
      <w:r>
        <w:rPr>
          <w:sz w:val="24"/>
        </w:rPr>
        <w:t>The</w:t>
      </w:r>
      <w:r>
        <w:rPr>
          <w:spacing w:val="-3"/>
          <w:sz w:val="24"/>
        </w:rPr>
        <w:t> </w:t>
      </w:r>
      <w:r>
        <w:rPr>
          <w:sz w:val="24"/>
        </w:rPr>
        <w:t>purpose</w:t>
      </w:r>
      <w:r>
        <w:rPr>
          <w:spacing w:val="-3"/>
          <w:sz w:val="24"/>
        </w:rPr>
        <w:t> </w:t>
      </w:r>
      <w:r>
        <w:rPr>
          <w:sz w:val="24"/>
        </w:rPr>
        <w:t>of</w:t>
      </w:r>
      <w:r>
        <w:rPr>
          <w:spacing w:val="-2"/>
          <w:sz w:val="24"/>
        </w:rPr>
        <w:t> </w:t>
      </w:r>
      <w:r>
        <w:rPr>
          <w:sz w:val="24"/>
        </w:rPr>
        <w:t>this</w:t>
      </w:r>
      <w:r>
        <w:rPr>
          <w:spacing w:val="-3"/>
          <w:sz w:val="24"/>
        </w:rPr>
        <w:t> </w:t>
      </w:r>
      <w:r>
        <w:rPr>
          <w:sz w:val="24"/>
        </w:rPr>
        <w:t>Chapter</w:t>
      </w:r>
      <w:r>
        <w:rPr>
          <w:spacing w:val="-2"/>
          <w:sz w:val="24"/>
        </w:rPr>
        <w:t> </w:t>
      </w:r>
      <w:r>
        <w:rPr>
          <w:sz w:val="24"/>
        </w:rPr>
        <w:t>is</w:t>
      </w:r>
      <w:r>
        <w:rPr>
          <w:spacing w:val="-3"/>
          <w:sz w:val="24"/>
        </w:rPr>
        <w:t> </w:t>
      </w:r>
      <w:r>
        <w:rPr>
          <w:sz w:val="24"/>
        </w:rPr>
        <w:t>to</w:t>
      </w:r>
      <w:r>
        <w:rPr>
          <w:spacing w:val="-3"/>
          <w:sz w:val="24"/>
        </w:rPr>
        <w:t> </w:t>
      </w:r>
      <w:r>
        <w:rPr>
          <w:sz w:val="24"/>
        </w:rPr>
        <w:t>set</w:t>
      </w:r>
      <w:r>
        <w:rPr>
          <w:spacing w:val="-4"/>
          <w:sz w:val="24"/>
        </w:rPr>
        <w:t> </w:t>
      </w:r>
      <w:r>
        <w:rPr>
          <w:sz w:val="24"/>
        </w:rPr>
        <w:t>forth</w:t>
      </w:r>
      <w:r>
        <w:rPr>
          <w:spacing w:val="-3"/>
          <w:sz w:val="24"/>
        </w:rPr>
        <w:t> </w:t>
      </w:r>
      <w:r>
        <w:rPr>
          <w:sz w:val="24"/>
        </w:rPr>
        <w:t>the</w:t>
      </w:r>
      <w:r>
        <w:rPr>
          <w:spacing w:val="-3"/>
          <w:sz w:val="24"/>
        </w:rPr>
        <w:t> </w:t>
      </w:r>
      <w:r>
        <w:rPr>
          <w:sz w:val="24"/>
        </w:rPr>
        <w:t>legal</w:t>
      </w:r>
      <w:r>
        <w:rPr>
          <w:spacing w:val="-3"/>
          <w:sz w:val="24"/>
        </w:rPr>
        <w:t> </w:t>
      </w:r>
      <w:r>
        <w:rPr>
          <w:sz w:val="24"/>
        </w:rPr>
        <w:t>authority</w:t>
      </w:r>
      <w:r>
        <w:rPr>
          <w:spacing w:val="-3"/>
          <w:sz w:val="24"/>
        </w:rPr>
        <w:t> </w:t>
      </w:r>
      <w:r>
        <w:rPr>
          <w:sz w:val="24"/>
        </w:rPr>
        <w:t>from</w:t>
      </w:r>
      <w:r>
        <w:rPr>
          <w:spacing w:val="-2"/>
          <w:sz w:val="24"/>
        </w:rPr>
        <w:t> </w:t>
      </w:r>
      <w:r>
        <w:rPr>
          <w:sz w:val="24"/>
        </w:rPr>
        <w:t>which</w:t>
      </w:r>
      <w:r>
        <w:rPr>
          <w:spacing w:val="-3"/>
          <w:sz w:val="24"/>
        </w:rPr>
        <w:t> </w:t>
      </w:r>
      <w:r>
        <w:rPr>
          <w:sz w:val="24"/>
        </w:rPr>
        <w:t>these</w:t>
      </w:r>
      <w:r>
        <w:rPr>
          <w:spacing w:val="-3"/>
          <w:sz w:val="24"/>
        </w:rPr>
        <w:t> </w:t>
      </w:r>
      <w:r>
        <w:rPr>
          <w:sz w:val="24"/>
        </w:rPr>
        <w:t>rules are derived, to proclaim the mission of the Business Enterprise Program, define terms used in this body of policy, and to set forth the organization of the Business Enterprise </w:t>
      </w:r>
      <w:r>
        <w:rPr>
          <w:spacing w:val="-2"/>
          <w:sz w:val="24"/>
        </w:rPr>
        <w:t>Program.</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spacing w:after="0" w:line="253" w:lineRule="exact"/>
        <w:jc w:val="left"/>
        <w:rPr>
          <w:sz w:val="22"/>
        </w:rPr>
        <w:sectPr>
          <w:pgSz w:w="12240" w:h="15840"/>
          <w:pgMar w:top="1340" w:bottom="280" w:left="1080" w:right="720"/>
        </w:sectPr>
      </w:pPr>
    </w:p>
    <w:p>
      <w:pPr>
        <w:pStyle w:val="Heading2"/>
      </w:pPr>
      <w:bookmarkStart w:name="612:25-2-2.  Mission of the Business Ent" w:id="381"/>
      <w:bookmarkEnd w:id="381"/>
      <w:r>
        <w:rPr>
          <w:b w:val="0"/>
        </w:rPr>
      </w:r>
      <w:r>
        <w:rPr/>
        <w:t>612:25-2-2.</w:t>
      </w:r>
      <w:r>
        <w:rPr>
          <w:spacing w:val="60"/>
        </w:rPr>
        <w:t> </w:t>
      </w:r>
      <w:r>
        <w:rPr/>
        <w:t>Mission</w:t>
      </w:r>
      <w:r>
        <w:rPr>
          <w:spacing w:val="-5"/>
        </w:rPr>
        <w:t> </w:t>
      </w:r>
      <w:r>
        <w:rPr/>
        <w:t>of</w:t>
      </w:r>
      <w:r>
        <w:rPr>
          <w:spacing w:val="-2"/>
        </w:rPr>
        <w:t> </w:t>
      </w:r>
      <w:r>
        <w:rPr/>
        <w:t>the</w:t>
      </w:r>
      <w:r>
        <w:rPr>
          <w:spacing w:val="-3"/>
        </w:rPr>
        <w:t> </w:t>
      </w:r>
      <w:r>
        <w:rPr/>
        <w:t>Business</w:t>
      </w:r>
      <w:r>
        <w:rPr>
          <w:spacing w:val="-4"/>
        </w:rPr>
        <w:t> </w:t>
      </w:r>
      <w:r>
        <w:rPr/>
        <w:t>Enterprise</w:t>
      </w:r>
      <w:r>
        <w:rPr>
          <w:spacing w:val="-3"/>
        </w:rPr>
        <w:t> </w:t>
      </w:r>
      <w:r>
        <w:rPr>
          <w:spacing w:val="-2"/>
        </w:rPr>
        <w:t>Program</w:t>
      </w:r>
    </w:p>
    <w:p>
      <w:pPr>
        <w:pStyle w:val="ListParagraph"/>
        <w:numPr>
          <w:ilvl w:val="0"/>
          <w:numId w:val="373"/>
        </w:numPr>
        <w:tabs>
          <w:tab w:pos="784" w:val="left" w:leader="none"/>
        </w:tabs>
        <w:spacing w:line="208" w:lineRule="auto" w:before="233" w:after="0"/>
        <w:ind w:left="359" w:right="1489" w:firstLine="0"/>
        <w:jc w:val="left"/>
        <w:rPr>
          <w:sz w:val="24"/>
        </w:rPr>
      </w:pPr>
      <w:r>
        <w:rPr>
          <w:b/>
          <w:sz w:val="24"/>
        </w:rPr>
        <w:t>Mission.</w:t>
      </w:r>
      <w:r>
        <w:rPr>
          <w:b/>
          <w:spacing w:val="-4"/>
          <w:sz w:val="24"/>
        </w:rPr>
        <w:t> </w:t>
      </w:r>
      <w:r>
        <w:rPr>
          <w:sz w:val="24"/>
        </w:rPr>
        <w:t>The</w:t>
      </w:r>
      <w:r>
        <w:rPr>
          <w:spacing w:val="-4"/>
          <w:sz w:val="24"/>
        </w:rPr>
        <w:t> </w:t>
      </w:r>
      <w:r>
        <w:rPr>
          <w:sz w:val="24"/>
        </w:rPr>
        <w:t>mission</w:t>
      </w:r>
      <w:r>
        <w:rPr>
          <w:spacing w:val="-4"/>
          <w:sz w:val="24"/>
        </w:rPr>
        <w:t> </w:t>
      </w:r>
      <w:r>
        <w:rPr>
          <w:sz w:val="24"/>
        </w:rPr>
        <w:t>of</w:t>
      </w:r>
      <w:r>
        <w:rPr>
          <w:spacing w:val="-3"/>
          <w:sz w:val="24"/>
        </w:rPr>
        <w:t> </w:t>
      </w:r>
      <w:r>
        <w:rPr>
          <w:sz w:val="24"/>
        </w:rPr>
        <w:t>the</w:t>
      </w:r>
      <w:r>
        <w:rPr>
          <w:spacing w:val="-5"/>
          <w:sz w:val="24"/>
        </w:rPr>
        <w:t> </w:t>
      </w:r>
      <w:r>
        <w:rPr>
          <w:sz w:val="24"/>
        </w:rPr>
        <w:t>Business</w:t>
      </w:r>
      <w:r>
        <w:rPr>
          <w:spacing w:val="-4"/>
          <w:sz w:val="24"/>
        </w:rPr>
        <w:t> </w:t>
      </w:r>
      <w:r>
        <w:rPr>
          <w:sz w:val="24"/>
        </w:rPr>
        <w:t>Enterprise</w:t>
      </w:r>
      <w:r>
        <w:rPr>
          <w:spacing w:val="-4"/>
          <w:sz w:val="24"/>
        </w:rPr>
        <w:t> </w:t>
      </w:r>
      <w:r>
        <w:rPr>
          <w:sz w:val="24"/>
        </w:rPr>
        <w:t>Program</w:t>
      </w:r>
      <w:r>
        <w:rPr>
          <w:spacing w:val="-3"/>
          <w:sz w:val="24"/>
        </w:rPr>
        <w:t> </w:t>
      </w:r>
      <w:r>
        <w:rPr>
          <w:sz w:val="24"/>
        </w:rPr>
        <w:t>is</w:t>
      </w:r>
      <w:r>
        <w:rPr>
          <w:spacing w:val="-4"/>
          <w:sz w:val="24"/>
        </w:rPr>
        <w:t> </w:t>
      </w:r>
      <w:r>
        <w:rPr>
          <w:sz w:val="24"/>
        </w:rPr>
        <w:t>to</w:t>
      </w:r>
      <w:r>
        <w:rPr>
          <w:spacing w:val="-4"/>
          <w:sz w:val="24"/>
        </w:rPr>
        <w:t> </w:t>
      </w:r>
      <w:r>
        <w:rPr>
          <w:sz w:val="24"/>
        </w:rPr>
        <w:t>establish</w:t>
      </w:r>
      <w:r>
        <w:rPr>
          <w:spacing w:val="-3"/>
          <w:sz w:val="24"/>
        </w:rPr>
        <w:t> </w:t>
      </w:r>
      <w:r>
        <w:rPr>
          <w:sz w:val="24"/>
        </w:rPr>
        <w:t>and maintain business enterprises operated by qualified individuals who are blind.</w:t>
      </w:r>
    </w:p>
    <w:p>
      <w:pPr>
        <w:pStyle w:val="ListParagraph"/>
        <w:numPr>
          <w:ilvl w:val="0"/>
          <w:numId w:val="373"/>
        </w:numPr>
        <w:tabs>
          <w:tab w:pos="785" w:val="left" w:leader="none"/>
        </w:tabs>
        <w:spacing w:line="208" w:lineRule="auto" w:before="240" w:after="0"/>
        <w:ind w:left="360" w:right="808" w:firstLine="0"/>
        <w:jc w:val="left"/>
        <w:rPr>
          <w:sz w:val="24"/>
        </w:rPr>
      </w:pPr>
      <w:r>
        <w:rPr>
          <w:b/>
          <w:sz w:val="24"/>
        </w:rPr>
        <w:t>Goals.</w:t>
      </w:r>
      <w:r>
        <w:rPr>
          <w:b/>
          <w:spacing w:val="-5"/>
          <w:sz w:val="24"/>
        </w:rPr>
        <w:t> </w:t>
      </w:r>
      <w:r>
        <w:rPr>
          <w:sz w:val="24"/>
        </w:rPr>
        <w:t>The</w:t>
      </w:r>
      <w:r>
        <w:rPr>
          <w:spacing w:val="-3"/>
          <w:sz w:val="24"/>
        </w:rPr>
        <w:t> </w:t>
      </w:r>
      <w:r>
        <w:rPr>
          <w:sz w:val="24"/>
        </w:rPr>
        <w:t>goals</w:t>
      </w:r>
      <w:r>
        <w:rPr>
          <w:spacing w:val="-3"/>
          <w:sz w:val="24"/>
        </w:rPr>
        <w:t> </w:t>
      </w:r>
      <w:r>
        <w:rPr>
          <w:sz w:val="24"/>
        </w:rPr>
        <w:t>for</w:t>
      </w:r>
      <w:r>
        <w:rPr>
          <w:spacing w:val="-2"/>
          <w:sz w:val="24"/>
        </w:rPr>
        <w:t> </w:t>
      </w:r>
      <w:r>
        <w:rPr>
          <w:sz w:val="24"/>
        </w:rPr>
        <w:t>the</w:t>
      </w:r>
      <w:r>
        <w:rPr>
          <w:spacing w:val="-3"/>
          <w:sz w:val="24"/>
        </w:rPr>
        <w:t> </w:t>
      </w:r>
      <w:r>
        <w:rPr>
          <w:sz w:val="24"/>
        </w:rPr>
        <w:t>Business</w:t>
      </w:r>
      <w:r>
        <w:rPr>
          <w:spacing w:val="-3"/>
          <w:sz w:val="24"/>
        </w:rPr>
        <w:t> </w:t>
      </w:r>
      <w:r>
        <w:rPr>
          <w:sz w:val="24"/>
        </w:rPr>
        <w:t>Enterprise</w:t>
      </w:r>
      <w:r>
        <w:rPr>
          <w:spacing w:val="-3"/>
          <w:sz w:val="24"/>
        </w:rPr>
        <w:t> </w:t>
      </w:r>
      <w:r>
        <w:rPr>
          <w:sz w:val="24"/>
        </w:rPr>
        <w:t>Program</w:t>
      </w:r>
      <w:r>
        <w:rPr>
          <w:spacing w:val="-2"/>
          <w:sz w:val="24"/>
        </w:rPr>
        <w:t> </w:t>
      </w:r>
      <w:r>
        <w:rPr>
          <w:sz w:val="24"/>
        </w:rPr>
        <w:t>are</w:t>
      </w:r>
      <w:r>
        <w:rPr>
          <w:spacing w:val="-3"/>
          <w:sz w:val="24"/>
        </w:rPr>
        <w:t> </w:t>
      </w:r>
      <w:r>
        <w:rPr>
          <w:sz w:val="24"/>
        </w:rPr>
        <w:t>set</w:t>
      </w:r>
      <w:r>
        <w:rPr>
          <w:spacing w:val="-5"/>
          <w:sz w:val="24"/>
        </w:rPr>
        <w:t> </w:t>
      </w:r>
      <w:r>
        <w:rPr>
          <w:sz w:val="24"/>
        </w:rPr>
        <w:t>forth</w:t>
      </w:r>
      <w:r>
        <w:rPr>
          <w:spacing w:val="-3"/>
          <w:sz w:val="24"/>
        </w:rPr>
        <w:t> </w:t>
      </w:r>
      <w:r>
        <w:rPr>
          <w:sz w:val="24"/>
        </w:rPr>
        <w:t>in</w:t>
      </w:r>
      <w:r>
        <w:rPr>
          <w:spacing w:val="-3"/>
          <w:sz w:val="24"/>
        </w:rPr>
        <w:t> </w:t>
      </w:r>
      <w:r>
        <w:rPr>
          <w:sz w:val="24"/>
        </w:rPr>
        <w:t>(1)</w:t>
      </w:r>
      <w:r>
        <w:rPr>
          <w:spacing w:val="-4"/>
          <w:sz w:val="24"/>
        </w:rPr>
        <w:t> </w:t>
      </w:r>
      <w:r>
        <w:rPr>
          <w:sz w:val="24"/>
        </w:rPr>
        <w:t>and</w:t>
      </w:r>
      <w:r>
        <w:rPr>
          <w:spacing w:val="-3"/>
          <w:sz w:val="24"/>
        </w:rPr>
        <w:t> </w:t>
      </w:r>
      <w:r>
        <w:rPr>
          <w:sz w:val="24"/>
        </w:rPr>
        <w:t>(2)</w:t>
      </w:r>
      <w:r>
        <w:rPr>
          <w:spacing w:val="-2"/>
          <w:sz w:val="24"/>
        </w:rPr>
        <w:t> </w:t>
      </w:r>
      <w:r>
        <w:rPr>
          <w:sz w:val="24"/>
        </w:rPr>
        <w:t>of this Subsection.</w:t>
      </w:r>
    </w:p>
    <w:p>
      <w:pPr>
        <w:pStyle w:val="ListParagraph"/>
        <w:numPr>
          <w:ilvl w:val="1"/>
          <w:numId w:val="373"/>
        </w:numPr>
        <w:tabs>
          <w:tab w:pos="1218" w:val="left" w:leader="none"/>
        </w:tabs>
        <w:spacing w:line="208" w:lineRule="auto" w:before="239" w:after="0"/>
        <w:ind w:left="792" w:right="1549" w:firstLine="0"/>
        <w:jc w:val="left"/>
        <w:rPr>
          <w:sz w:val="24"/>
        </w:rPr>
      </w:pPr>
      <w:r>
        <w:rPr>
          <w:sz w:val="24"/>
        </w:rPr>
        <w:t>Provide</w:t>
      </w:r>
      <w:r>
        <w:rPr>
          <w:spacing w:val="-5"/>
          <w:sz w:val="24"/>
        </w:rPr>
        <w:t> </w:t>
      </w:r>
      <w:r>
        <w:rPr>
          <w:sz w:val="24"/>
        </w:rPr>
        <w:t>employment</w:t>
      </w:r>
      <w:r>
        <w:rPr>
          <w:spacing w:val="-4"/>
          <w:sz w:val="24"/>
        </w:rPr>
        <w:t> </w:t>
      </w:r>
      <w:r>
        <w:rPr>
          <w:sz w:val="24"/>
        </w:rPr>
        <w:t>opportunities</w:t>
      </w:r>
      <w:r>
        <w:rPr>
          <w:spacing w:val="-5"/>
          <w:sz w:val="24"/>
        </w:rPr>
        <w:t> </w:t>
      </w:r>
      <w:r>
        <w:rPr>
          <w:sz w:val="24"/>
        </w:rPr>
        <w:t>for</w:t>
      </w:r>
      <w:r>
        <w:rPr>
          <w:spacing w:val="-4"/>
          <w:sz w:val="24"/>
        </w:rPr>
        <w:t> </w:t>
      </w:r>
      <w:r>
        <w:rPr>
          <w:sz w:val="24"/>
        </w:rPr>
        <w:t>qualified</w:t>
      </w:r>
      <w:r>
        <w:rPr>
          <w:spacing w:val="-5"/>
          <w:sz w:val="24"/>
        </w:rPr>
        <w:t> </w:t>
      </w:r>
      <w:r>
        <w:rPr>
          <w:sz w:val="24"/>
        </w:rPr>
        <w:t>persons</w:t>
      </w:r>
      <w:r>
        <w:rPr>
          <w:spacing w:val="-5"/>
          <w:sz w:val="24"/>
        </w:rPr>
        <w:t> </w:t>
      </w:r>
      <w:r>
        <w:rPr>
          <w:sz w:val="24"/>
        </w:rPr>
        <w:t>who</w:t>
      </w:r>
      <w:r>
        <w:rPr>
          <w:spacing w:val="-5"/>
          <w:sz w:val="24"/>
        </w:rPr>
        <w:t> </w:t>
      </w:r>
      <w:r>
        <w:rPr>
          <w:sz w:val="24"/>
        </w:rPr>
        <w:t>are</w:t>
      </w:r>
      <w:r>
        <w:rPr>
          <w:spacing w:val="-5"/>
          <w:sz w:val="24"/>
        </w:rPr>
        <w:t> </w:t>
      </w:r>
      <w:r>
        <w:rPr>
          <w:sz w:val="24"/>
        </w:rPr>
        <w:t>blind</w:t>
      </w:r>
      <w:r>
        <w:rPr>
          <w:spacing w:val="-5"/>
          <w:sz w:val="24"/>
        </w:rPr>
        <w:t> </w:t>
      </w:r>
      <w:r>
        <w:rPr>
          <w:sz w:val="24"/>
        </w:rPr>
        <w:t>by establishing and maintaining Business Enterprise Program Facilities.</w:t>
      </w:r>
    </w:p>
    <w:p>
      <w:pPr>
        <w:pStyle w:val="ListParagraph"/>
        <w:numPr>
          <w:ilvl w:val="1"/>
          <w:numId w:val="373"/>
        </w:numPr>
        <w:tabs>
          <w:tab w:pos="1218" w:val="left" w:leader="none"/>
        </w:tabs>
        <w:spacing w:line="208" w:lineRule="auto" w:before="240" w:after="0"/>
        <w:ind w:left="792" w:right="815" w:firstLine="0"/>
        <w:jc w:val="left"/>
        <w:rPr>
          <w:sz w:val="24"/>
        </w:rPr>
      </w:pPr>
      <w:r>
        <w:rPr>
          <w:sz w:val="24"/>
        </w:rPr>
        <w:t>Administer</w:t>
      </w:r>
      <w:r>
        <w:rPr>
          <w:spacing w:val="-4"/>
          <w:sz w:val="24"/>
        </w:rPr>
        <w:t> </w:t>
      </w:r>
      <w:r>
        <w:rPr>
          <w:sz w:val="24"/>
        </w:rPr>
        <w:t>a</w:t>
      </w:r>
      <w:r>
        <w:rPr>
          <w:spacing w:val="-5"/>
          <w:sz w:val="24"/>
        </w:rPr>
        <w:t> </w:t>
      </w:r>
      <w:r>
        <w:rPr>
          <w:sz w:val="24"/>
        </w:rPr>
        <w:t>continuing</w:t>
      </w:r>
      <w:r>
        <w:rPr>
          <w:spacing w:val="-5"/>
          <w:sz w:val="24"/>
        </w:rPr>
        <w:t> </w:t>
      </w:r>
      <w:r>
        <w:rPr>
          <w:sz w:val="24"/>
        </w:rPr>
        <w:t>process</w:t>
      </w:r>
      <w:r>
        <w:rPr>
          <w:spacing w:val="-5"/>
          <w:sz w:val="24"/>
        </w:rPr>
        <w:t> </w:t>
      </w:r>
      <w:r>
        <w:rPr>
          <w:sz w:val="24"/>
        </w:rPr>
        <w:t>of</w:t>
      </w:r>
      <w:r>
        <w:rPr>
          <w:spacing w:val="-4"/>
          <w:sz w:val="24"/>
        </w:rPr>
        <w:t> </w:t>
      </w:r>
      <w:r>
        <w:rPr>
          <w:sz w:val="24"/>
        </w:rPr>
        <w:t>career</w:t>
      </w:r>
      <w:r>
        <w:rPr>
          <w:spacing w:val="-4"/>
          <w:sz w:val="24"/>
        </w:rPr>
        <w:t> </w:t>
      </w:r>
      <w:r>
        <w:rPr>
          <w:sz w:val="24"/>
        </w:rPr>
        <w:t>development</w:t>
      </w:r>
      <w:r>
        <w:rPr>
          <w:spacing w:val="-4"/>
          <w:sz w:val="24"/>
        </w:rPr>
        <w:t> </w:t>
      </w:r>
      <w:r>
        <w:rPr>
          <w:sz w:val="24"/>
        </w:rPr>
        <w:t>and</w:t>
      </w:r>
      <w:r>
        <w:rPr>
          <w:spacing w:val="-5"/>
          <w:sz w:val="24"/>
        </w:rPr>
        <w:t> </w:t>
      </w:r>
      <w:r>
        <w:rPr>
          <w:sz w:val="24"/>
        </w:rPr>
        <w:t>upward</w:t>
      </w:r>
      <w:r>
        <w:rPr>
          <w:spacing w:val="-5"/>
          <w:sz w:val="24"/>
        </w:rPr>
        <w:t> </w:t>
      </w:r>
      <w:r>
        <w:rPr>
          <w:sz w:val="24"/>
        </w:rPr>
        <w:t>mobility</w:t>
      </w:r>
      <w:r>
        <w:rPr>
          <w:spacing w:val="-5"/>
          <w:sz w:val="24"/>
        </w:rPr>
        <w:t> </w:t>
      </w:r>
      <w:r>
        <w:rPr>
          <w:sz w:val="24"/>
        </w:rPr>
        <w:t>for qualified persons in the Business Enterprise Program.</w:t>
      </w:r>
    </w:p>
    <w:p>
      <w:pPr>
        <w:pStyle w:val="ListParagraph"/>
        <w:numPr>
          <w:ilvl w:val="0"/>
          <w:numId w:val="373"/>
        </w:numPr>
        <w:tabs>
          <w:tab w:pos="773" w:val="left" w:leader="none"/>
        </w:tabs>
        <w:spacing w:line="208" w:lineRule="auto" w:before="240" w:after="0"/>
        <w:ind w:left="360" w:right="953" w:firstLine="0"/>
        <w:jc w:val="left"/>
        <w:rPr>
          <w:sz w:val="24"/>
        </w:rPr>
      </w:pPr>
      <w:r>
        <w:rPr>
          <w:b/>
          <w:sz w:val="24"/>
        </w:rPr>
        <w:t>Objectives.</w:t>
      </w:r>
      <w:r>
        <w:rPr>
          <w:b/>
          <w:spacing w:val="-4"/>
          <w:sz w:val="24"/>
        </w:rPr>
        <w:t> </w:t>
      </w:r>
      <w:r>
        <w:rPr>
          <w:sz w:val="24"/>
        </w:rPr>
        <w:t>The</w:t>
      </w:r>
      <w:r>
        <w:rPr>
          <w:spacing w:val="-4"/>
          <w:sz w:val="24"/>
        </w:rPr>
        <w:t> </w:t>
      </w:r>
      <w:r>
        <w:rPr>
          <w:sz w:val="24"/>
        </w:rPr>
        <w:t>objectives</w:t>
      </w:r>
      <w:r>
        <w:rPr>
          <w:spacing w:val="-4"/>
          <w:sz w:val="24"/>
        </w:rPr>
        <w:t> </w:t>
      </w:r>
      <w:r>
        <w:rPr>
          <w:sz w:val="24"/>
        </w:rPr>
        <w:t>of</w:t>
      </w:r>
      <w:r>
        <w:rPr>
          <w:spacing w:val="-3"/>
          <w:sz w:val="24"/>
        </w:rPr>
        <w:t> </w:t>
      </w:r>
      <w:r>
        <w:rPr>
          <w:sz w:val="24"/>
        </w:rPr>
        <w:t>the</w:t>
      </w:r>
      <w:r>
        <w:rPr>
          <w:spacing w:val="-4"/>
          <w:sz w:val="24"/>
        </w:rPr>
        <w:t> </w:t>
      </w:r>
      <w:r>
        <w:rPr>
          <w:sz w:val="24"/>
        </w:rPr>
        <w:t>Business</w:t>
      </w:r>
      <w:r>
        <w:rPr>
          <w:spacing w:val="-4"/>
          <w:sz w:val="24"/>
        </w:rPr>
        <w:t> </w:t>
      </w:r>
      <w:r>
        <w:rPr>
          <w:sz w:val="24"/>
        </w:rPr>
        <w:t>Enterprise</w:t>
      </w:r>
      <w:r>
        <w:rPr>
          <w:spacing w:val="-4"/>
          <w:sz w:val="24"/>
        </w:rPr>
        <w:t> </w:t>
      </w:r>
      <w:r>
        <w:rPr>
          <w:sz w:val="24"/>
        </w:rPr>
        <w:t>Program</w:t>
      </w:r>
      <w:r>
        <w:rPr>
          <w:spacing w:val="-3"/>
          <w:sz w:val="24"/>
        </w:rPr>
        <w:t> </w:t>
      </w:r>
      <w:r>
        <w:rPr>
          <w:sz w:val="24"/>
        </w:rPr>
        <w:t>are</w:t>
      </w:r>
      <w:r>
        <w:rPr>
          <w:spacing w:val="-4"/>
          <w:sz w:val="24"/>
        </w:rPr>
        <w:t> </w:t>
      </w:r>
      <w:r>
        <w:rPr>
          <w:sz w:val="24"/>
        </w:rPr>
        <w:t>set</w:t>
      </w:r>
      <w:r>
        <w:rPr>
          <w:spacing w:val="-5"/>
          <w:sz w:val="24"/>
        </w:rPr>
        <w:t> </w:t>
      </w:r>
      <w:r>
        <w:rPr>
          <w:sz w:val="24"/>
        </w:rPr>
        <w:t>forth</w:t>
      </w:r>
      <w:r>
        <w:rPr>
          <w:spacing w:val="-4"/>
          <w:sz w:val="24"/>
        </w:rPr>
        <w:t> </w:t>
      </w:r>
      <w:r>
        <w:rPr>
          <w:sz w:val="24"/>
        </w:rPr>
        <w:t>in</w:t>
      </w:r>
      <w:r>
        <w:rPr>
          <w:spacing w:val="-4"/>
          <w:sz w:val="24"/>
        </w:rPr>
        <w:t> </w:t>
      </w:r>
      <w:r>
        <w:rPr>
          <w:sz w:val="24"/>
        </w:rPr>
        <w:t>(1) through (7) of this Subsection.</w:t>
      </w:r>
    </w:p>
    <w:p>
      <w:pPr>
        <w:pStyle w:val="ListParagraph"/>
        <w:numPr>
          <w:ilvl w:val="1"/>
          <w:numId w:val="373"/>
        </w:numPr>
        <w:tabs>
          <w:tab w:pos="1217" w:val="left" w:leader="none"/>
        </w:tabs>
        <w:spacing w:line="240" w:lineRule="auto" w:before="211" w:after="0"/>
        <w:ind w:left="1217" w:right="0" w:hanging="426"/>
        <w:jc w:val="left"/>
        <w:rPr>
          <w:sz w:val="24"/>
        </w:rPr>
      </w:pPr>
      <w:r>
        <w:rPr>
          <w:sz w:val="24"/>
        </w:rPr>
        <w:t>Establish</w:t>
      </w:r>
      <w:r>
        <w:rPr>
          <w:spacing w:val="-4"/>
          <w:sz w:val="24"/>
        </w:rPr>
        <w:t> </w:t>
      </w:r>
      <w:r>
        <w:rPr>
          <w:sz w:val="24"/>
        </w:rPr>
        <w:t>and</w:t>
      </w:r>
      <w:r>
        <w:rPr>
          <w:spacing w:val="-4"/>
          <w:sz w:val="24"/>
        </w:rPr>
        <w:t> </w:t>
      </w:r>
      <w:r>
        <w:rPr>
          <w:sz w:val="24"/>
        </w:rPr>
        <w:t>equip</w:t>
      </w:r>
      <w:r>
        <w:rPr>
          <w:spacing w:val="-4"/>
          <w:sz w:val="24"/>
        </w:rPr>
        <w:t> </w:t>
      </w:r>
      <w:r>
        <w:rPr>
          <w:sz w:val="24"/>
        </w:rPr>
        <w:t>Business</w:t>
      </w:r>
      <w:r>
        <w:rPr>
          <w:spacing w:val="-3"/>
          <w:sz w:val="24"/>
        </w:rPr>
        <w:t> </w:t>
      </w:r>
      <w:r>
        <w:rPr>
          <w:sz w:val="24"/>
        </w:rPr>
        <w:t>Enterprise</w:t>
      </w:r>
      <w:r>
        <w:rPr>
          <w:spacing w:val="-4"/>
          <w:sz w:val="24"/>
        </w:rPr>
        <w:t> </w:t>
      </w:r>
      <w:r>
        <w:rPr>
          <w:sz w:val="24"/>
        </w:rPr>
        <w:t>Program</w:t>
      </w:r>
      <w:r>
        <w:rPr>
          <w:spacing w:val="-2"/>
          <w:sz w:val="24"/>
        </w:rPr>
        <w:t> Facilities.</w:t>
      </w:r>
    </w:p>
    <w:p>
      <w:pPr>
        <w:pStyle w:val="ListParagraph"/>
        <w:numPr>
          <w:ilvl w:val="1"/>
          <w:numId w:val="373"/>
        </w:numPr>
        <w:tabs>
          <w:tab w:pos="1218" w:val="left" w:leader="none"/>
        </w:tabs>
        <w:spacing w:line="240" w:lineRule="auto" w:before="204" w:after="0"/>
        <w:ind w:left="1218" w:right="0" w:hanging="426"/>
        <w:jc w:val="left"/>
        <w:rPr>
          <w:sz w:val="24"/>
        </w:rPr>
      </w:pPr>
      <w:r>
        <w:rPr>
          <w:sz w:val="24"/>
        </w:rPr>
        <w:t>Assure</w:t>
      </w:r>
      <w:r>
        <w:rPr>
          <w:spacing w:val="-7"/>
          <w:sz w:val="24"/>
        </w:rPr>
        <w:t> </w:t>
      </w:r>
      <w:r>
        <w:rPr>
          <w:sz w:val="24"/>
        </w:rPr>
        <w:t>availability</w:t>
      </w:r>
      <w:r>
        <w:rPr>
          <w:spacing w:val="-4"/>
          <w:sz w:val="24"/>
        </w:rPr>
        <w:t> </w:t>
      </w:r>
      <w:r>
        <w:rPr>
          <w:sz w:val="24"/>
        </w:rPr>
        <w:t>of</w:t>
      </w:r>
      <w:r>
        <w:rPr>
          <w:spacing w:val="-4"/>
          <w:sz w:val="24"/>
        </w:rPr>
        <w:t> </w:t>
      </w:r>
      <w:r>
        <w:rPr>
          <w:sz w:val="24"/>
        </w:rPr>
        <w:t>Business</w:t>
      </w:r>
      <w:r>
        <w:rPr>
          <w:spacing w:val="-4"/>
          <w:sz w:val="24"/>
        </w:rPr>
        <w:t> </w:t>
      </w:r>
      <w:r>
        <w:rPr>
          <w:sz w:val="24"/>
        </w:rPr>
        <w:t>Enterprise</w:t>
      </w:r>
      <w:r>
        <w:rPr>
          <w:spacing w:val="-4"/>
          <w:sz w:val="24"/>
        </w:rPr>
        <w:t> </w:t>
      </w:r>
      <w:r>
        <w:rPr>
          <w:sz w:val="24"/>
        </w:rPr>
        <w:t>Program</w:t>
      </w:r>
      <w:r>
        <w:rPr>
          <w:spacing w:val="-4"/>
          <w:sz w:val="24"/>
        </w:rPr>
        <w:t> </w:t>
      </w:r>
      <w:r>
        <w:rPr>
          <w:sz w:val="24"/>
        </w:rPr>
        <w:t>licensed</w:t>
      </w:r>
      <w:r>
        <w:rPr>
          <w:spacing w:val="-4"/>
          <w:sz w:val="24"/>
        </w:rPr>
        <w:t> </w:t>
      </w:r>
      <w:r>
        <w:rPr>
          <w:spacing w:val="-2"/>
          <w:sz w:val="24"/>
        </w:rPr>
        <w:t>managers.</w:t>
      </w:r>
    </w:p>
    <w:p>
      <w:pPr>
        <w:pStyle w:val="ListParagraph"/>
        <w:numPr>
          <w:ilvl w:val="1"/>
          <w:numId w:val="373"/>
        </w:numPr>
        <w:tabs>
          <w:tab w:pos="1218" w:val="left" w:leader="none"/>
        </w:tabs>
        <w:spacing w:line="208" w:lineRule="auto" w:before="233" w:after="0"/>
        <w:ind w:left="792" w:right="723" w:firstLine="0"/>
        <w:jc w:val="left"/>
        <w:rPr>
          <w:sz w:val="24"/>
        </w:rPr>
      </w:pPr>
      <w:r>
        <w:rPr>
          <w:sz w:val="24"/>
        </w:rPr>
        <w:t>Provide</w:t>
      </w:r>
      <w:r>
        <w:rPr>
          <w:spacing w:val="-5"/>
          <w:sz w:val="24"/>
        </w:rPr>
        <w:t> </w:t>
      </w:r>
      <w:r>
        <w:rPr>
          <w:sz w:val="24"/>
        </w:rPr>
        <w:t>management</w:t>
      </w:r>
      <w:r>
        <w:rPr>
          <w:spacing w:val="-4"/>
          <w:sz w:val="24"/>
        </w:rPr>
        <w:t> </w:t>
      </w:r>
      <w:r>
        <w:rPr>
          <w:sz w:val="24"/>
        </w:rPr>
        <w:t>support</w:t>
      </w:r>
      <w:r>
        <w:rPr>
          <w:spacing w:val="-4"/>
          <w:sz w:val="24"/>
        </w:rPr>
        <w:t> </w:t>
      </w:r>
      <w:r>
        <w:rPr>
          <w:sz w:val="24"/>
        </w:rPr>
        <w:t>services</w:t>
      </w:r>
      <w:r>
        <w:rPr>
          <w:spacing w:val="-6"/>
          <w:sz w:val="24"/>
        </w:rPr>
        <w:t> </w:t>
      </w:r>
      <w:r>
        <w:rPr>
          <w:sz w:val="24"/>
        </w:rPr>
        <w:t>to</w:t>
      </w:r>
      <w:r>
        <w:rPr>
          <w:spacing w:val="-5"/>
          <w:sz w:val="24"/>
        </w:rPr>
        <w:t> </w:t>
      </w:r>
      <w:r>
        <w:rPr>
          <w:sz w:val="24"/>
        </w:rPr>
        <w:t>Business</w:t>
      </w:r>
      <w:r>
        <w:rPr>
          <w:spacing w:val="-5"/>
          <w:sz w:val="24"/>
        </w:rPr>
        <w:t> </w:t>
      </w:r>
      <w:r>
        <w:rPr>
          <w:sz w:val="24"/>
        </w:rPr>
        <w:t>Enterprise</w:t>
      </w:r>
      <w:r>
        <w:rPr>
          <w:spacing w:val="-5"/>
          <w:sz w:val="24"/>
        </w:rPr>
        <w:t> </w:t>
      </w:r>
      <w:r>
        <w:rPr>
          <w:sz w:val="24"/>
        </w:rPr>
        <w:t>Program</w:t>
      </w:r>
      <w:r>
        <w:rPr>
          <w:spacing w:val="-6"/>
          <w:sz w:val="24"/>
        </w:rPr>
        <w:t> </w:t>
      </w:r>
      <w:r>
        <w:rPr>
          <w:sz w:val="24"/>
        </w:rPr>
        <w:t>licensed </w:t>
      </w:r>
      <w:r>
        <w:rPr>
          <w:spacing w:val="-2"/>
          <w:sz w:val="24"/>
        </w:rPr>
        <w:t>managers.</w:t>
      </w:r>
    </w:p>
    <w:p>
      <w:pPr>
        <w:pStyle w:val="ListParagraph"/>
        <w:numPr>
          <w:ilvl w:val="1"/>
          <w:numId w:val="373"/>
        </w:numPr>
        <w:tabs>
          <w:tab w:pos="1218" w:val="left" w:leader="none"/>
        </w:tabs>
        <w:spacing w:line="208" w:lineRule="auto" w:before="240" w:after="0"/>
        <w:ind w:left="792" w:right="973" w:firstLine="0"/>
        <w:jc w:val="left"/>
        <w:rPr>
          <w:sz w:val="24"/>
        </w:rPr>
      </w:pPr>
      <w:r>
        <w:rPr>
          <w:sz w:val="24"/>
        </w:rPr>
        <w:t>Develop</w:t>
      </w:r>
      <w:r>
        <w:rPr>
          <w:spacing w:val="-4"/>
          <w:sz w:val="24"/>
        </w:rPr>
        <w:t> </w:t>
      </w:r>
      <w:r>
        <w:rPr>
          <w:sz w:val="24"/>
        </w:rPr>
        <w:t>and</w:t>
      </w:r>
      <w:r>
        <w:rPr>
          <w:spacing w:val="-4"/>
          <w:sz w:val="24"/>
        </w:rPr>
        <w:t> </w:t>
      </w:r>
      <w:r>
        <w:rPr>
          <w:sz w:val="24"/>
        </w:rPr>
        <w:t>maintain</w:t>
      </w:r>
      <w:r>
        <w:rPr>
          <w:spacing w:val="-4"/>
          <w:sz w:val="24"/>
        </w:rPr>
        <w:t> </w:t>
      </w:r>
      <w:r>
        <w:rPr>
          <w:sz w:val="24"/>
        </w:rPr>
        <w:t>standards</w:t>
      </w:r>
      <w:r>
        <w:rPr>
          <w:spacing w:val="-4"/>
          <w:sz w:val="24"/>
        </w:rPr>
        <w:t> </w:t>
      </w:r>
      <w:r>
        <w:rPr>
          <w:sz w:val="24"/>
        </w:rPr>
        <w:t>of</w:t>
      </w:r>
      <w:r>
        <w:rPr>
          <w:spacing w:val="-3"/>
          <w:sz w:val="24"/>
        </w:rPr>
        <w:t> </w:t>
      </w:r>
      <w:r>
        <w:rPr>
          <w:sz w:val="24"/>
        </w:rPr>
        <w:t>conduct</w:t>
      </w:r>
      <w:r>
        <w:rPr>
          <w:spacing w:val="-3"/>
          <w:sz w:val="24"/>
        </w:rPr>
        <w:t> </w:t>
      </w:r>
      <w:r>
        <w:rPr>
          <w:sz w:val="24"/>
        </w:rPr>
        <w:t>and</w:t>
      </w:r>
      <w:r>
        <w:rPr>
          <w:spacing w:val="-4"/>
          <w:sz w:val="24"/>
        </w:rPr>
        <w:t> </w:t>
      </w:r>
      <w:r>
        <w:rPr>
          <w:sz w:val="24"/>
        </w:rPr>
        <w:t>a</w:t>
      </w:r>
      <w:r>
        <w:rPr>
          <w:spacing w:val="-4"/>
          <w:sz w:val="24"/>
        </w:rPr>
        <w:t> </w:t>
      </w:r>
      <w:r>
        <w:rPr>
          <w:sz w:val="24"/>
        </w:rPr>
        <w:t>system</w:t>
      </w:r>
      <w:r>
        <w:rPr>
          <w:spacing w:val="-3"/>
          <w:sz w:val="24"/>
        </w:rPr>
        <w:t> </w:t>
      </w:r>
      <w:r>
        <w:rPr>
          <w:sz w:val="24"/>
        </w:rPr>
        <w:t>of</w:t>
      </w:r>
      <w:r>
        <w:rPr>
          <w:spacing w:val="-5"/>
          <w:sz w:val="24"/>
        </w:rPr>
        <w:t> </w:t>
      </w:r>
      <w:r>
        <w:rPr>
          <w:sz w:val="24"/>
        </w:rPr>
        <w:t>accountability</w:t>
      </w:r>
      <w:r>
        <w:rPr>
          <w:spacing w:val="-3"/>
          <w:sz w:val="24"/>
        </w:rPr>
        <w:t> </w:t>
      </w:r>
      <w:r>
        <w:rPr>
          <w:sz w:val="24"/>
        </w:rPr>
        <w:t>for State Licensing Agency staff.</w:t>
      </w:r>
    </w:p>
    <w:p>
      <w:pPr>
        <w:pStyle w:val="ListParagraph"/>
        <w:numPr>
          <w:ilvl w:val="1"/>
          <w:numId w:val="373"/>
        </w:numPr>
        <w:tabs>
          <w:tab w:pos="1218" w:val="left" w:leader="none"/>
        </w:tabs>
        <w:spacing w:line="208" w:lineRule="auto" w:before="240" w:after="0"/>
        <w:ind w:left="792" w:right="973" w:firstLine="0"/>
        <w:jc w:val="left"/>
        <w:rPr>
          <w:sz w:val="24"/>
        </w:rPr>
      </w:pPr>
      <w:r>
        <w:rPr>
          <w:sz w:val="24"/>
        </w:rPr>
        <w:t>Develop</w:t>
      </w:r>
      <w:r>
        <w:rPr>
          <w:spacing w:val="-4"/>
          <w:sz w:val="24"/>
        </w:rPr>
        <w:t> </w:t>
      </w:r>
      <w:r>
        <w:rPr>
          <w:sz w:val="24"/>
        </w:rPr>
        <w:t>and</w:t>
      </w:r>
      <w:r>
        <w:rPr>
          <w:spacing w:val="-4"/>
          <w:sz w:val="24"/>
        </w:rPr>
        <w:t> </w:t>
      </w:r>
      <w:r>
        <w:rPr>
          <w:sz w:val="24"/>
        </w:rPr>
        <w:t>maintain</w:t>
      </w:r>
      <w:r>
        <w:rPr>
          <w:spacing w:val="-4"/>
          <w:sz w:val="24"/>
        </w:rPr>
        <w:t> </w:t>
      </w:r>
      <w:r>
        <w:rPr>
          <w:sz w:val="24"/>
        </w:rPr>
        <w:t>standards</w:t>
      </w:r>
      <w:r>
        <w:rPr>
          <w:spacing w:val="-4"/>
          <w:sz w:val="24"/>
        </w:rPr>
        <w:t> </w:t>
      </w:r>
      <w:r>
        <w:rPr>
          <w:sz w:val="24"/>
        </w:rPr>
        <w:t>of</w:t>
      </w:r>
      <w:r>
        <w:rPr>
          <w:spacing w:val="-3"/>
          <w:sz w:val="24"/>
        </w:rPr>
        <w:t> </w:t>
      </w:r>
      <w:r>
        <w:rPr>
          <w:sz w:val="24"/>
        </w:rPr>
        <w:t>conduct</w:t>
      </w:r>
      <w:r>
        <w:rPr>
          <w:spacing w:val="-3"/>
          <w:sz w:val="24"/>
        </w:rPr>
        <w:t> </w:t>
      </w:r>
      <w:r>
        <w:rPr>
          <w:sz w:val="24"/>
        </w:rPr>
        <w:t>and</w:t>
      </w:r>
      <w:r>
        <w:rPr>
          <w:spacing w:val="-4"/>
          <w:sz w:val="24"/>
        </w:rPr>
        <w:t> </w:t>
      </w:r>
      <w:r>
        <w:rPr>
          <w:sz w:val="24"/>
        </w:rPr>
        <w:t>a</w:t>
      </w:r>
      <w:r>
        <w:rPr>
          <w:spacing w:val="-4"/>
          <w:sz w:val="24"/>
        </w:rPr>
        <w:t> </w:t>
      </w:r>
      <w:r>
        <w:rPr>
          <w:sz w:val="24"/>
        </w:rPr>
        <w:t>system</w:t>
      </w:r>
      <w:r>
        <w:rPr>
          <w:spacing w:val="-3"/>
          <w:sz w:val="24"/>
        </w:rPr>
        <w:t> </w:t>
      </w:r>
      <w:r>
        <w:rPr>
          <w:sz w:val="24"/>
        </w:rPr>
        <w:t>of</w:t>
      </w:r>
      <w:r>
        <w:rPr>
          <w:spacing w:val="-5"/>
          <w:sz w:val="24"/>
        </w:rPr>
        <w:t> </w:t>
      </w:r>
      <w:r>
        <w:rPr>
          <w:sz w:val="24"/>
        </w:rPr>
        <w:t>accountability</w:t>
      </w:r>
      <w:r>
        <w:rPr>
          <w:spacing w:val="-3"/>
          <w:sz w:val="24"/>
        </w:rPr>
        <w:t> </w:t>
      </w:r>
      <w:r>
        <w:rPr>
          <w:sz w:val="24"/>
        </w:rPr>
        <w:t>for Business Enterprise Program licensed managers.</w:t>
      </w:r>
    </w:p>
    <w:p>
      <w:pPr>
        <w:pStyle w:val="ListParagraph"/>
        <w:numPr>
          <w:ilvl w:val="1"/>
          <w:numId w:val="373"/>
        </w:numPr>
        <w:tabs>
          <w:tab w:pos="1218" w:val="left" w:leader="none"/>
        </w:tabs>
        <w:spacing w:line="240" w:lineRule="auto" w:before="210" w:after="0"/>
        <w:ind w:left="1218" w:right="0" w:hanging="426"/>
        <w:jc w:val="left"/>
        <w:rPr>
          <w:sz w:val="24"/>
        </w:rPr>
      </w:pPr>
      <w:r>
        <w:rPr>
          <w:sz w:val="24"/>
        </w:rPr>
        <w:t>Establish</w:t>
      </w:r>
      <w:r>
        <w:rPr>
          <w:spacing w:val="-6"/>
          <w:sz w:val="24"/>
        </w:rPr>
        <w:t> </w:t>
      </w:r>
      <w:r>
        <w:rPr>
          <w:sz w:val="24"/>
        </w:rPr>
        <w:t>and</w:t>
      </w:r>
      <w:r>
        <w:rPr>
          <w:spacing w:val="-4"/>
          <w:sz w:val="24"/>
        </w:rPr>
        <w:t> </w:t>
      </w:r>
      <w:r>
        <w:rPr>
          <w:sz w:val="24"/>
        </w:rPr>
        <w:t>maintain</w:t>
      </w:r>
      <w:r>
        <w:rPr>
          <w:spacing w:val="-4"/>
          <w:sz w:val="24"/>
        </w:rPr>
        <w:t> </w:t>
      </w:r>
      <w:r>
        <w:rPr>
          <w:sz w:val="24"/>
        </w:rPr>
        <w:t>procedures</w:t>
      </w:r>
      <w:r>
        <w:rPr>
          <w:spacing w:val="-4"/>
          <w:sz w:val="24"/>
        </w:rPr>
        <w:t> </w:t>
      </w:r>
      <w:r>
        <w:rPr>
          <w:sz w:val="24"/>
        </w:rPr>
        <w:t>for</w:t>
      </w:r>
      <w:r>
        <w:rPr>
          <w:spacing w:val="-3"/>
          <w:sz w:val="24"/>
        </w:rPr>
        <w:t> </w:t>
      </w:r>
      <w:r>
        <w:rPr>
          <w:sz w:val="24"/>
        </w:rPr>
        <w:t>quality</w:t>
      </w:r>
      <w:r>
        <w:rPr>
          <w:spacing w:val="-4"/>
          <w:sz w:val="24"/>
        </w:rPr>
        <w:t> </w:t>
      </w:r>
      <w:r>
        <w:rPr>
          <w:sz w:val="24"/>
        </w:rPr>
        <w:t>customer</w:t>
      </w:r>
      <w:r>
        <w:rPr>
          <w:spacing w:val="-2"/>
          <w:sz w:val="24"/>
        </w:rPr>
        <w:t> service.</w:t>
      </w:r>
    </w:p>
    <w:p>
      <w:pPr>
        <w:pStyle w:val="ListParagraph"/>
        <w:numPr>
          <w:ilvl w:val="1"/>
          <w:numId w:val="373"/>
        </w:numPr>
        <w:tabs>
          <w:tab w:pos="1218" w:val="left" w:leader="none"/>
        </w:tabs>
        <w:spacing w:line="208" w:lineRule="auto" w:before="233" w:after="0"/>
        <w:ind w:left="792" w:right="1929" w:firstLine="0"/>
        <w:jc w:val="left"/>
        <w:rPr>
          <w:sz w:val="24"/>
        </w:rPr>
      </w:pPr>
      <w:r>
        <w:rPr>
          <w:sz w:val="24"/>
        </w:rPr>
        <w:t>Attain</w:t>
      </w:r>
      <w:r>
        <w:rPr>
          <w:spacing w:val="-5"/>
          <w:sz w:val="24"/>
        </w:rPr>
        <w:t> </w:t>
      </w:r>
      <w:r>
        <w:rPr>
          <w:sz w:val="24"/>
        </w:rPr>
        <w:t>the</w:t>
      </w:r>
      <w:r>
        <w:rPr>
          <w:spacing w:val="-5"/>
          <w:sz w:val="24"/>
        </w:rPr>
        <w:t> </w:t>
      </w:r>
      <w:r>
        <w:rPr>
          <w:sz w:val="24"/>
        </w:rPr>
        <w:t>program's</w:t>
      </w:r>
      <w:r>
        <w:rPr>
          <w:spacing w:val="-5"/>
          <w:sz w:val="24"/>
        </w:rPr>
        <w:t> </w:t>
      </w:r>
      <w:r>
        <w:rPr>
          <w:sz w:val="24"/>
        </w:rPr>
        <w:t>financial</w:t>
      </w:r>
      <w:r>
        <w:rPr>
          <w:spacing w:val="-5"/>
          <w:sz w:val="24"/>
        </w:rPr>
        <w:t> </w:t>
      </w:r>
      <w:r>
        <w:rPr>
          <w:sz w:val="24"/>
        </w:rPr>
        <w:t>stability</w:t>
      </w:r>
      <w:r>
        <w:rPr>
          <w:spacing w:val="-5"/>
          <w:sz w:val="24"/>
        </w:rPr>
        <w:t> </w:t>
      </w:r>
      <w:r>
        <w:rPr>
          <w:sz w:val="24"/>
        </w:rPr>
        <w:t>through</w:t>
      </w:r>
      <w:r>
        <w:rPr>
          <w:spacing w:val="-5"/>
          <w:sz w:val="24"/>
        </w:rPr>
        <w:t> </w:t>
      </w:r>
      <w:r>
        <w:rPr>
          <w:sz w:val="24"/>
        </w:rPr>
        <w:t>its</w:t>
      </w:r>
      <w:r>
        <w:rPr>
          <w:spacing w:val="-5"/>
          <w:sz w:val="24"/>
        </w:rPr>
        <w:t> </w:t>
      </w:r>
      <w:r>
        <w:rPr>
          <w:sz w:val="24"/>
        </w:rPr>
        <w:t>administration</w:t>
      </w:r>
      <w:r>
        <w:rPr>
          <w:spacing w:val="-4"/>
          <w:sz w:val="24"/>
        </w:rPr>
        <w:t> </w:t>
      </w:r>
      <w:r>
        <w:rPr>
          <w:sz w:val="24"/>
        </w:rPr>
        <w:t>in</w:t>
      </w:r>
      <w:r>
        <w:rPr>
          <w:spacing w:val="-5"/>
          <w:sz w:val="24"/>
        </w:rPr>
        <w:t> </w:t>
      </w:r>
      <w:r>
        <w:rPr>
          <w:sz w:val="24"/>
        </w:rPr>
        <w:t>an operationally efficient and cost-effective manner.</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spacing w:after="0" w:line="253" w:lineRule="exact"/>
        <w:jc w:val="left"/>
        <w:rPr>
          <w:sz w:val="22"/>
        </w:rPr>
        <w:sectPr>
          <w:pgSz w:w="12240" w:h="15840"/>
          <w:pgMar w:top="1340" w:bottom="280" w:left="1080" w:right="720"/>
        </w:sectPr>
      </w:pPr>
    </w:p>
    <w:p>
      <w:pPr>
        <w:pStyle w:val="Heading2"/>
      </w:pPr>
      <w:bookmarkStart w:name="612:25-2-3.  Federal legal authority" w:id="382"/>
      <w:bookmarkEnd w:id="382"/>
      <w:r>
        <w:rPr>
          <w:b w:val="0"/>
        </w:rPr>
      </w:r>
      <w:r>
        <w:rPr/>
        <w:t>612:25-2-3.</w:t>
      </w:r>
      <w:r>
        <w:rPr>
          <w:spacing w:val="59"/>
        </w:rPr>
        <w:t> </w:t>
      </w:r>
      <w:r>
        <w:rPr/>
        <w:t>Federal</w:t>
      </w:r>
      <w:r>
        <w:rPr>
          <w:spacing w:val="-5"/>
        </w:rPr>
        <w:t> </w:t>
      </w:r>
      <w:r>
        <w:rPr/>
        <w:t>legal</w:t>
      </w:r>
      <w:r>
        <w:rPr>
          <w:spacing w:val="-3"/>
        </w:rPr>
        <w:t> </w:t>
      </w:r>
      <w:r>
        <w:rPr>
          <w:spacing w:val="-2"/>
        </w:rPr>
        <w:t>authority</w:t>
      </w:r>
    </w:p>
    <w:p>
      <w:pPr>
        <w:pStyle w:val="ListParagraph"/>
        <w:numPr>
          <w:ilvl w:val="0"/>
          <w:numId w:val="374"/>
        </w:numPr>
        <w:tabs>
          <w:tab w:pos="786" w:val="left" w:leader="none"/>
        </w:tabs>
        <w:spacing w:line="208" w:lineRule="auto" w:before="233" w:after="0"/>
        <w:ind w:left="360" w:right="859" w:firstLine="0"/>
        <w:jc w:val="left"/>
        <w:rPr>
          <w:sz w:val="24"/>
        </w:rPr>
      </w:pPr>
      <w:r>
        <w:rPr>
          <w:sz w:val="24"/>
        </w:rPr>
        <w:t>The</w:t>
      </w:r>
      <w:r>
        <w:rPr>
          <w:spacing w:val="-4"/>
          <w:sz w:val="24"/>
        </w:rPr>
        <w:t> </w:t>
      </w:r>
      <w:r>
        <w:rPr>
          <w:sz w:val="24"/>
        </w:rPr>
        <w:t>Randolph-Sheppard</w:t>
      </w:r>
      <w:r>
        <w:rPr>
          <w:spacing w:val="-4"/>
          <w:sz w:val="24"/>
        </w:rPr>
        <w:t> </w:t>
      </w:r>
      <w:r>
        <w:rPr>
          <w:sz w:val="24"/>
        </w:rPr>
        <w:t>Act</w:t>
      </w:r>
      <w:r>
        <w:rPr>
          <w:spacing w:val="-3"/>
          <w:sz w:val="24"/>
        </w:rPr>
        <w:t> </w:t>
      </w:r>
      <w:r>
        <w:rPr>
          <w:sz w:val="24"/>
        </w:rPr>
        <w:t>of</w:t>
      </w:r>
      <w:r>
        <w:rPr>
          <w:spacing w:val="-3"/>
          <w:sz w:val="24"/>
        </w:rPr>
        <w:t> </w:t>
      </w:r>
      <w:r>
        <w:rPr>
          <w:sz w:val="24"/>
        </w:rPr>
        <w:t>1936,</w:t>
      </w:r>
      <w:r>
        <w:rPr>
          <w:spacing w:val="-3"/>
          <w:sz w:val="24"/>
        </w:rPr>
        <w:t> </w:t>
      </w:r>
      <w:r>
        <w:rPr>
          <w:sz w:val="24"/>
        </w:rPr>
        <w:t>as</w:t>
      </w:r>
      <w:r>
        <w:rPr>
          <w:spacing w:val="-5"/>
          <w:sz w:val="24"/>
        </w:rPr>
        <w:t> </w:t>
      </w:r>
      <w:r>
        <w:rPr>
          <w:sz w:val="24"/>
        </w:rPr>
        <w:t>amended</w:t>
      </w:r>
      <w:r>
        <w:rPr>
          <w:spacing w:val="-4"/>
          <w:sz w:val="24"/>
        </w:rPr>
        <w:t> </w:t>
      </w:r>
      <w:r>
        <w:rPr>
          <w:sz w:val="24"/>
        </w:rPr>
        <w:t>[20</w:t>
      </w:r>
      <w:r>
        <w:rPr>
          <w:spacing w:val="-4"/>
          <w:sz w:val="24"/>
        </w:rPr>
        <w:t> </w:t>
      </w:r>
      <w:r>
        <w:rPr>
          <w:sz w:val="24"/>
        </w:rPr>
        <w:t>U.S.C.</w:t>
      </w:r>
      <w:r>
        <w:rPr>
          <w:spacing w:val="-3"/>
          <w:sz w:val="24"/>
        </w:rPr>
        <w:t> </w:t>
      </w:r>
      <w:r>
        <w:rPr>
          <w:sz w:val="24"/>
        </w:rPr>
        <w:t>Section</w:t>
      </w:r>
      <w:r>
        <w:rPr>
          <w:spacing w:val="-4"/>
          <w:sz w:val="24"/>
        </w:rPr>
        <w:t> </w:t>
      </w:r>
      <w:r>
        <w:rPr>
          <w:sz w:val="24"/>
        </w:rPr>
        <w:t>107</w:t>
      </w:r>
      <w:r>
        <w:rPr>
          <w:spacing w:val="-4"/>
          <w:sz w:val="24"/>
        </w:rPr>
        <w:t> </w:t>
      </w:r>
      <w:r>
        <w:rPr>
          <w:sz w:val="24"/>
        </w:rPr>
        <w:t>et</w:t>
      </w:r>
      <w:r>
        <w:rPr>
          <w:spacing w:val="-3"/>
          <w:sz w:val="24"/>
        </w:rPr>
        <w:t> </w:t>
      </w:r>
      <w:r>
        <w:rPr>
          <w:sz w:val="24"/>
        </w:rPr>
        <w:t>seq.], authorizes designated State Licensing Agencies to establish and administer Business Enterprise Programs in their respective States. The law locates the State Licensing Agency (SLA) for the program in the individual State or territorial agency which offers vocational rehabilitation services for individuals who are blind under the Rehabilitation Act [29 USC 701 et seq.].</w:t>
      </w:r>
    </w:p>
    <w:p>
      <w:pPr>
        <w:pStyle w:val="ListParagraph"/>
        <w:numPr>
          <w:ilvl w:val="0"/>
          <w:numId w:val="374"/>
        </w:numPr>
        <w:tabs>
          <w:tab w:pos="786" w:val="left" w:leader="none"/>
        </w:tabs>
        <w:spacing w:line="208" w:lineRule="auto" w:before="239" w:after="0"/>
        <w:ind w:left="360" w:right="912" w:firstLine="0"/>
        <w:jc w:val="left"/>
        <w:rPr>
          <w:sz w:val="24"/>
        </w:rPr>
      </w:pPr>
      <w:r>
        <w:rPr>
          <w:sz w:val="24"/>
        </w:rPr>
        <w:t>Primary regulatory authority for the Business Enterprise Program is found at 34 CFR</w:t>
      </w:r>
      <w:r>
        <w:rPr>
          <w:spacing w:val="-4"/>
          <w:sz w:val="24"/>
        </w:rPr>
        <w:t> </w:t>
      </w:r>
      <w:r>
        <w:rPr>
          <w:sz w:val="24"/>
        </w:rPr>
        <w:t>Part</w:t>
      </w:r>
      <w:r>
        <w:rPr>
          <w:spacing w:val="-3"/>
          <w:sz w:val="24"/>
        </w:rPr>
        <w:t> </w:t>
      </w:r>
      <w:r>
        <w:rPr>
          <w:sz w:val="24"/>
        </w:rPr>
        <w:t>395.</w:t>
      </w:r>
      <w:r>
        <w:rPr>
          <w:spacing w:val="-3"/>
          <w:sz w:val="24"/>
        </w:rPr>
        <w:t> </w:t>
      </w:r>
      <w:r>
        <w:rPr>
          <w:sz w:val="24"/>
        </w:rPr>
        <w:t>Other</w:t>
      </w:r>
      <w:r>
        <w:rPr>
          <w:spacing w:val="-5"/>
          <w:sz w:val="24"/>
        </w:rPr>
        <w:t> </w:t>
      </w:r>
      <w:r>
        <w:rPr>
          <w:sz w:val="24"/>
        </w:rPr>
        <w:t>regulatory</w:t>
      </w:r>
      <w:r>
        <w:rPr>
          <w:spacing w:val="-4"/>
          <w:sz w:val="24"/>
        </w:rPr>
        <w:t> </w:t>
      </w:r>
      <w:r>
        <w:rPr>
          <w:sz w:val="24"/>
        </w:rPr>
        <w:t>guidelines</w:t>
      </w:r>
      <w:r>
        <w:rPr>
          <w:spacing w:val="-4"/>
          <w:sz w:val="24"/>
        </w:rPr>
        <w:t> </w:t>
      </w:r>
      <w:r>
        <w:rPr>
          <w:sz w:val="24"/>
        </w:rPr>
        <w:t>impacting</w:t>
      </w:r>
      <w:r>
        <w:rPr>
          <w:spacing w:val="-4"/>
          <w:sz w:val="24"/>
        </w:rPr>
        <w:t> </w:t>
      </w:r>
      <w:r>
        <w:rPr>
          <w:sz w:val="24"/>
        </w:rPr>
        <w:t>the</w:t>
      </w:r>
      <w:r>
        <w:rPr>
          <w:spacing w:val="-4"/>
          <w:sz w:val="24"/>
        </w:rPr>
        <w:t> </w:t>
      </w:r>
      <w:r>
        <w:rPr>
          <w:sz w:val="24"/>
        </w:rPr>
        <w:t>Business</w:t>
      </w:r>
      <w:r>
        <w:rPr>
          <w:spacing w:val="-4"/>
          <w:sz w:val="24"/>
        </w:rPr>
        <w:t> </w:t>
      </w:r>
      <w:r>
        <w:rPr>
          <w:sz w:val="24"/>
        </w:rPr>
        <w:t>Enterprise</w:t>
      </w:r>
      <w:r>
        <w:rPr>
          <w:spacing w:val="-4"/>
          <w:sz w:val="24"/>
        </w:rPr>
        <w:t> </w:t>
      </w:r>
      <w:r>
        <w:rPr>
          <w:sz w:val="24"/>
        </w:rPr>
        <w:t>Program are found at 34 CFR Part 361 and 32 CFR 260.</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7-1-99</w:t>
      </w:r>
      <w:r>
        <w:rPr>
          <w:sz w:val="22"/>
        </w:rPr>
        <w:tab/>
        <w:t>POL Memo #00-1</w:t>
      </w:r>
    </w:p>
    <w:p>
      <w:pPr>
        <w:spacing w:before="0"/>
        <w:ind w:left="1439" w:right="0" w:firstLine="0"/>
        <w:jc w:val="left"/>
        <w:rPr>
          <w:sz w:val="22"/>
        </w:rPr>
      </w:pPr>
      <w:r>
        <w:rPr>
          <w:sz w:val="22"/>
        </w:rPr>
        <w:t>Permanent,</w:t>
      </w:r>
      <w:r>
        <w:rPr>
          <w:spacing w:val="-8"/>
          <w:sz w:val="22"/>
        </w:rPr>
        <w:t> </w:t>
      </w:r>
      <w:r>
        <w:rPr>
          <w:sz w:val="22"/>
        </w:rPr>
        <w:t>updated</w:t>
      </w:r>
      <w:r>
        <w:rPr>
          <w:spacing w:val="-8"/>
          <w:sz w:val="22"/>
        </w:rPr>
        <w:t> </w:t>
      </w:r>
      <w:r>
        <w:rPr>
          <w:sz w:val="22"/>
        </w:rPr>
        <w:t>Rehab.</w:t>
      </w:r>
      <w:r>
        <w:rPr>
          <w:spacing w:val="-9"/>
          <w:sz w:val="22"/>
        </w:rPr>
        <w:t> </w:t>
      </w:r>
      <w:r>
        <w:rPr>
          <w:sz w:val="22"/>
        </w:rPr>
        <w:t>Act</w:t>
      </w:r>
      <w:r>
        <w:rPr>
          <w:spacing w:val="-8"/>
          <w:sz w:val="22"/>
        </w:rPr>
        <w:t> </w:t>
      </w:r>
      <w:r>
        <w:rPr>
          <w:spacing w:val="-2"/>
          <w:sz w:val="22"/>
        </w:rPr>
        <w:t>reference</w:t>
      </w:r>
    </w:p>
    <w:p>
      <w:pPr>
        <w:spacing w:after="0"/>
        <w:jc w:val="left"/>
        <w:rPr>
          <w:sz w:val="22"/>
        </w:rPr>
        <w:sectPr>
          <w:pgSz w:w="12240" w:h="15840"/>
          <w:pgMar w:top="1340" w:bottom="280" w:left="1080" w:right="720"/>
        </w:sectPr>
      </w:pPr>
    </w:p>
    <w:p>
      <w:pPr>
        <w:pStyle w:val="Heading2"/>
      </w:pPr>
      <w:bookmarkStart w:name="612:25-2-4.  State legal authority" w:id="383"/>
      <w:bookmarkEnd w:id="383"/>
      <w:r>
        <w:rPr>
          <w:b w:val="0"/>
        </w:rPr>
      </w:r>
      <w:r>
        <w:rPr/>
        <w:t>612:25-2-4.</w:t>
      </w:r>
      <w:r>
        <w:rPr>
          <w:spacing w:val="60"/>
        </w:rPr>
        <w:t> </w:t>
      </w:r>
      <w:r>
        <w:rPr/>
        <w:t>State</w:t>
      </w:r>
      <w:r>
        <w:rPr>
          <w:spacing w:val="-4"/>
        </w:rPr>
        <w:t> </w:t>
      </w:r>
      <w:r>
        <w:rPr/>
        <w:t>legal</w:t>
      </w:r>
      <w:r>
        <w:rPr>
          <w:spacing w:val="-2"/>
        </w:rPr>
        <w:t> authority</w:t>
      </w:r>
    </w:p>
    <w:p>
      <w:pPr>
        <w:pStyle w:val="BodyText"/>
        <w:spacing w:line="208" w:lineRule="auto" w:before="233"/>
        <w:ind w:right="775" w:firstLine="432"/>
      </w:pPr>
      <w:r>
        <w:rPr/>
        <w:t>Rules for the Business Enterprise Program are promulgated by the Oklahoma Commission</w:t>
      </w:r>
      <w:r>
        <w:rPr>
          <w:spacing w:val="-4"/>
        </w:rPr>
        <w:t> </w:t>
      </w:r>
      <w:r>
        <w:rPr/>
        <w:t>for</w:t>
      </w:r>
      <w:r>
        <w:rPr>
          <w:spacing w:val="-3"/>
        </w:rPr>
        <w:t> </w:t>
      </w:r>
      <w:r>
        <w:rPr/>
        <w:t>Rehabilitation</w:t>
      </w:r>
      <w:r>
        <w:rPr>
          <w:spacing w:val="-4"/>
        </w:rPr>
        <w:t> </w:t>
      </w:r>
      <w:r>
        <w:rPr/>
        <w:t>Services</w:t>
      </w:r>
      <w:r>
        <w:rPr>
          <w:spacing w:val="-4"/>
        </w:rPr>
        <w:t> </w:t>
      </w:r>
      <w:r>
        <w:rPr/>
        <w:t>under</w:t>
      </w:r>
      <w:r>
        <w:rPr>
          <w:spacing w:val="-3"/>
        </w:rPr>
        <w:t> </w:t>
      </w:r>
      <w:r>
        <w:rPr/>
        <w:t>the</w:t>
      </w:r>
      <w:r>
        <w:rPr>
          <w:spacing w:val="-4"/>
        </w:rPr>
        <w:t> </w:t>
      </w:r>
      <w:r>
        <w:rPr/>
        <w:t>authority</w:t>
      </w:r>
      <w:r>
        <w:rPr>
          <w:spacing w:val="-4"/>
        </w:rPr>
        <w:t> </w:t>
      </w:r>
      <w:r>
        <w:rPr/>
        <w:t>of</w:t>
      </w:r>
      <w:r>
        <w:rPr>
          <w:spacing w:val="-3"/>
        </w:rPr>
        <w:t> </w:t>
      </w:r>
      <w:r>
        <w:rPr/>
        <w:t>74</w:t>
      </w:r>
      <w:r>
        <w:rPr>
          <w:spacing w:val="-5"/>
        </w:rPr>
        <w:t> </w:t>
      </w:r>
      <w:r>
        <w:rPr/>
        <w:t>O.S.,</w:t>
      </w:r>
      <w:r>
        <w:rPr>
          <w:spacing w:val="-5"/>
        </w:rPr>
        <w:t> </w:t>
      </w:r>
      <w:r>
        <w:rPr/>
        <w:t>Section</w:t>
      </w:r>
      <w:r>
        <w:rPr>
          <w:spacing w:val="-4"/>
        </w:rPr>
        <w:t> </w:t>
      </w:r>
      <w:r>
        <w:rPr/>
        <w:t>166.1</w:t>
      </w:r>
      <w:r>
        <w:rPr>
          <w:spacing w:val="-4"/>
        </w:rPr>
        <w:t> </w:t>
      </w:r>
      <w:r>
        <w:rPr/>
        <w:t>et seq., and in accordance with the Administrative Procedures Act, 75 O.S., Sections 250 et seq.</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spacing w:after="0" w:line="253" w:lineRule="exact"/>
        <w:jc w:val="left"/>
        <w:rPr>
          <w:sz w:val="22"/>
        </w:rPr>
        <w:sectPr>
          <w:pgSz w:w="12240" w:h="15840"/>
          <w:pgMar w:top="1340" w:bottom="280" w:left="1080" w:right="720"/>
        </w:sectPr>
      </w:pPr>
    </w:p>
    <w:p>
      <w:pPr>
        <w:pStyle w:val="Heading2"/>
      </w:pPr>
      <w:bookmarkStart w:name="612:25-2-5.  Definitions" w:id="384"/>
      <w:bookmarkEnd w:id="384"/>
      <w:r>
        <w:rPr>
          <w:b w:val="0"/>
        </w:rPr>
      </w:r>
      <w:r>
        <w:rPr/>
        <w:t>612:25-2-5.</w:t>
      </w:r>
      <w:r>
        <w:rPr>
          <w:spacing w:val="60"/>
        </w:rPr>
        <w:t> </w:t>
      </w:r>
      <w:r>
        <w:rPr>
          <w:spacing w:val="-2"/>
        </w:rPr>
        <w:t>Definitions</w:t>
      </w:r>
    </w:p>
    <w:p>
      <w:pPr>
        <w:pStyle w:val="BodyText"/>
        <w:spacing w:line="208" w:lineRule="auto" w:before="233"/>
        <w:ind w:right="775" w:firstLine="432"/>
      </w:pPr>
      <w:r>
        <w:rPr/>
        <w:t>The</w:t>
      </w:r>
      <w:r>
        <w:rPr>
          <w:spacing w:val="-4"/>
        </w:rPr>
        <w:t> </w:t>
      </w:r>
      <w:r>
        <w:rPr/>
        <w:t>following</w:t>
      </w:r>
      <w:r>
        <w:rPr>
          <w:spacing w:val="-4"/>
        </w:rPr>
        <w:t> </w:t>
      </w:r>
      <w:r>
        <w:rPr/>
        <w:t>words</w:t>
      </w:r>
      <w:r>
        <w:rPr>
          <w:spacing w:val="-4"/>
        </w:rPr>
        <w:t> </w:t>
      </w:r>
      <w:r>
        <w:rPr/>
        <w:t>or</w:t>
      </w:r>
      <w:r>
        <w:rPr>
          <w:spacing w:val="-3"/>
        </w:rPr>
        <w:t> </w:t>
      </w:r>
      <w:r>
        <w:rPr/>
        <w:t>terms,</w:t>
      </w:r>
      <w:r>
        <w:rPr>
          <w:spacing w:val="-5"/>
        </w:rPr>
        <w:t> </w:t>
      </w:r>
      <w:r>
        <w:rPr/>
        <w:t>when</w:t>
      </w:r>
      <w:r>
        <w:rPr>
          <w:spacing w:val="-4"/>
        </w:rPr>
        <w:t> </w:t>
      </w:r>
      <w:r>
        <w:rPr/>
        <w:t>used</w:t>
      </w:r>
      <w:r>
        <w:rPr>
          <w:spacing w:val="-4"/>
        </w:rPr>
        <w:t> </w:t>
      </w:r>
      <w:r>
        <w:rPr/>
        <w:t>in</w:t>
      </w:r>
      <w:r>
        <w:rPr>
          <w:spacing w:val="-4"/>
        </w:rPr>
        <w:t> </w:t>
      </w:r>
      <w:r>
        <w:rPr/>
        <w:t>this</w:t>
      </w:r>
      <w:r>
        <w:rPr>
          <w:spacing w:val="-4"/>
        </w:rPr>
        <w:t> </w:t>
      </w:r>
      <w:r>
        <w:rPr/>
        <w:t>Manual,</w:t>
      </w:r>
      <w:r>
        <w:rPr>
          <w:spacing w:val="-3"/>
        </w:rPr>
        <w:t> </w:t>
      </w:r>
      <w:r>
        <w:rPr/>
        <w:t>shall</w:t>
      </w:r>
      <w:r>
        <w:rPr>
          <w:spacing w:val="-4"/>
        </w:rPr>
        <w:t> </w:t>
      </w:r>
      <w:r>
        <w:rPr/>
        <w:t>have</w:t>
      </w:r>
      <w:r>
        <w:rPr>
          <w:spacing w:val="-3"/>
        </w:rPr>
        <w:t> </w:t>
      </w:r>
      <w:r>
        <w:rPr/>
        <w:t>the</w:t>
      </w:r>
      <w:r>
        <w:rPr>
          <w:spacing w:val="-4"/>
        </w:rPr>
        <w:t> </w:t>
      </w:r>
      <w:r>
        <w:rPr/>
        <w:t>following meaning unless the context clearly indicates otherwise:</w:t>
      </w:r>
    </w:p>
    <w:p>
      <w:pPr>
        <w:pStyle w:val="BodyText"/>
        <w:spacing w:line="208" w:lineRule="auto"/>
        <w:ind w:left="359" w:right="775" w:firstLine="432"/>
      </w:pPr>
      <w:r>
        <w:rPr>
          <w:b/>
        </w:rPr>
        <w:t>"Act"</w:t>
      </w:r>
      <w:r>
        <w:rPr>
          <w:b/>
          <w:spacing w:val="-5"/>
        </w:rPr>
        <w:t> </w:t>
      </w:r>
      <w:r>
        <w:rPr/>
        <w:t>means</w:t>
      </w:r>
      <w:r>
        <w:rPr>
          <w:spacing w:val="-4"/>
        </w:rPr>
        <w:t> </w:t>
      </w:r>
      <w:r>
        <w:rPr/>
        <w:t>the</w:t>
      </w:r>
      <w:r>
        <w:rPr>
          <w:spacing w:val="-4"/>
        </w:rPr>
        <w:t> </w:t>
      </w:r>
      <w:r>
        <w:rPr/>
        <w:t>Randolph-Sheppard</w:t>
      </w:r>
      <w:r>
        <w:rPr>
          <w:spacing w:val="-4"/>
        </w:rPr>
        <w:t> </w:t>
      </w:r>
      <w:r>
        <w:rPr/>
        <w:t>Vending</w:t>
      </w:r>
      <w:r>
        <w:rPr>
          <w:spacing w:val="-4"/>
        </w:rPr>
        <w:t> </w:t>
      </w:r>
      <w:r>
        <w:rPr/>
        <w:t>Facility</w:t>
      </w:r>
      <w:r>
        <w:rPr>
          <w:spacing w:val="-4"/>
        </w:rPr>
        <w:t> </w:t>
      </w:r>
      <w:r>
        <w:rPr/>
        <w:t>Act</w:t>
      </w:r>
      <w:r>
        <w:rPr>
          <w:spacing w:val="-3"/>
        </w:rPr>
        <w:t> </w:t>
      </w:r>
      <w:r>
        <w:rPr/>
        <w:t>(Public</w:t>
      </w:r>
      <w:r>
        <w:rPr>
          <w:spacing w:val="-4"/>
        </w:rPr>
        <w:t> </w:t>
      </w:r>
      <w:r>
        <w:rPr/>
        <w:t>Law</w:t>
      </w:r>
      <w:r>
        <w:rPr>
          <w:spacing w:val="-4"/>
        </w:rPr>
        <w:t> </w:t>
      </w:r>
      <w:r>
        <w:rPr/>
        <w:t>74-732),</w:t>
      </w:r>
      <w:r>
        <w:rPr>
          <w:spacing w:val="-3"/>
        </w:rPr>
        <w:t> </w:t>
      </w:r>
      <w:r>
        <w:rPr/>
        <w:t>as Amended by Public Law 83-565 and Pub Law 93-516, 20 U.S.C., Ch. 6A, Sec. 107.</w:t>
      </w:r>
    </w:p>
    <w:p>
      <w:pPr>
        <w:pStyle w:val="BodyText"/>
        <w:spacing w:line="208" w:lineRule="auto" w:before="239"/>
        <w:ind w:left="359" w:right="775" w:firstLine="432"/>
      </w:pPr>
      <w:r>
        <w:rPr>
          <w:b/>
        </w:rPr>
        <w:t>"Active participation" </w:t>
      </w:r>
      <w:r>
        <w:rPr/>
        <w:t>means a process of good faith negotiations involving the Elected Committee of Licensed Managers and the State Licensing Agency. The Committee must be given the opportunity to have meaningful input into the decision- making process in the formulation of program policies which govern the duties, supervision, transfer, promotion and financial participation of licensed managers. The SLA</w:t>
      </w:r>
      <w:r>
        <w:rPr>
          <w:spacing w:val="-3"/>
        </w:rPr>
        <w:t> </w:t>
      </w:r>
      <w:r>
        <w:rPr/>
        <w:t>is</w:t>
      </w:r>
      <w:r>
        <w:rPr>
          <w:spacing w:val="-3"/>
        </w:rPr>
        <w:t> </w:t>
      </w:r>
      <w:r>
        <w:rPr/>
        <w:t>charged</w:t>
      </w:r>
      <w:r>
        <w:rPr>
          <w:spacing w:val="-3"/>
        </w:rPr>
        <w:t> </w:t>
      </w:r>
      <w:r>
        <w:rPr/>
        <w:t>with</w:t>
      </w:r>
      <w:r>
        <w:rPr>
          <w:spacing w:val="-3"/>
        </w:rPr>
        <w:t> </w:t>
      </w:r>
      <w:r>
        <w:rPr/>
        <w:t>the</w:t>
      </w:r>
      <w:r>
        <w:rPr>
          <w:spacing w:val="-3"/>
        </w:rPr>
        <w:t> </w:t>
      </w:r>
      <w:r>
        <w:rPr/>
        <w:t>ultimate</w:t>
      </w:r>
      <w:r>
        <w:rPr>
          <w:spacing w:val="-3"/>
        </w:rPr>
        <w:t> </w:t>
      </w:r>
      <w:r>
        <w:rPr/>
        <w:t>responsibility</w:t>
      </w:r>
      <w:r>
        <w:rPr>
          <w:spacing w:val="-3"/>
        </w:rPr>
        <w:t> </w:t>
      </w:r>
      <w:r>
        <w:rPr/>
        <w:t>for</w:t>
      </w:r>
      <w:r>
        <w:rPr>
          <w:spacing w:val="-4"/>
        </w:rPr>
        <w:t> </w:t>
      </w:r>
      <w:r>
        <w:rPr/>
        <w:t>the</w:t>
      </w:r>
      <w:r>
        <w:rPr>
          <w:spacing w:val="-3"/>
        </w:rPr>
        <w:t> </w:t>
      </w:r>
      <w:r>
        <w:rPr/>
        <w:t>administration</w:t>
      </w:r>
      <w:r>
        <w:rPr>
          <w:spacing w:val="-2"/>
        </w:rPr>
        <w:t> </w:t>
      </w:r>
      <w:r>
        <w:rPr/>
        <w:t>and</w:t>
      </w:r>
      <w:r>
        <w:rPr>
          <w:spacing w:val="-3"/>
        </w:rPr>
        <w:t> </w:t>
      </w:r>
      <w:r>
        <w:rPr/>
        <w:t>operation</w:t>
      </w:r>
      <w:r>
        <w:rPr>
          <w:spacing w:val="-3"/>
        </w:rPr>
        <w:t> </w:t>
      </w:r>
      <w:r>
        <w:rPr/>
        <w:t>of</w:t>
      </w:r>
      <w:r>
        <w:rPr>
          <w:spacing w:val="-2"/>
        </w:rPr>
        <w:t> </w:t>
      </w:r>
      <w:r>
        <w:rPr/>
        <w:t>all aspects of the Business Enterprise Program.</w:t>
      </w:r>
    </w:p>
    <w:p>
      <w:pPr>
        <w:pStyle w:val="BodyText"/>
        <w:spacing w:line="208" w:lineRule="auto"/>
        <w:ind w:left="359" w:right="775" w:firstLine="432"/>
      </w:pPr>
      <w:r>
        <w:rPr>
          <w:b/>
        </w:rPr>
        <w:t>"Annual</w:t>
      </w:r>
      <w:r>
        <w:rPr>
          <w:b/>
          <w:spacing w:val="-3"/>
        </w:rPr>
        <w:t> </w:t>
      </w:r>
      <w:r>
        <w:rPr>
          <w:b/>
        </w:rPr>
        <w:t>Evaluation"</w:t>
      </w:r>
      <w:r>
        <w:rPr>
          <w:b/>
          <w:spacing w:val="-4"/>
        </w:rPr>
        <w:t> </w:t>
      </w:r>
      <w:r>
        <w:rPr/>
        <w:t>means</w:t>
      </w:r>
      <w:r>
        <w:rPr>
          <w:spacing w:val="-4"/>
        </w:rPr>
        <w:t> </w:t>
      </w:r>
      <w:r>
        <w:rPr/>
        <w:t>an</w:t>
      </w:r>
      <w:r>
        <w:rPr>
          <w:spacing w:val="-5"/>
        </w:rPr>
        <w:t> </w:t>
      </w:r>
      <w:r>
        <w:rPr/>
        <w:t>evaluation</w:t>
      </w:r>
      <w:r>
        <w:rPr>
          <w:spacing w:val="-4"/>
        </w:rPr>
        <w:t> </w:t>
      </w:r>
      <w:r>
        <w:rPr/>
        <w:t>conducted</w:t>
      </w:r>
      <w:r>
        <w:rPr>
          <w:spacing w:val="-4"/>
        </w:rPr>
        <w:t> </w:t>
      </w:r>
      <w:r>
        <w:rPr/>
        <w:t>on</w:t>
      </w:r>
      <w:r>
        <w:rPr>
          <w:spacing w:val="-4"/>
        </w:rPr>
        <w:t> </w:t>
      </w:r>
      <w:r>
        <w:rPr/>
        <w:t>a</w:t>
      </w:r>
      <w:r>
        <w:rPr>
          <w:spacing w:val="-4"/>
        </w:rPr>
        <w:t> </w:t>
      </w:r>
      <w:r>
        <w:rPr/>
        <w:t>yearly</w:t>
      </w:r>
      <w:r>
        <w:rPr>
          <w:spacing w:val="-4"/>
        </w:rPr>
        <w:t> </w:t>
      </w:r>
      <w:r>
        <w:rPr/>
        <w:t>basis</w:t>
      </w:r>
      <w:r>
        <w:rPr>
          <w:spacing w:val="-4"/>
        </w:rPr>
        <w:t> </w:t>
      </w:r>
      <w:r>
        <w:rPr/>
        <w:t>of</w:t>
      </w:r>
      <w:r>
        <w:rPr>
          <w:spacing w:val="-3"/>
        </w:rPr>
        <w:t> </w:t>
      </w:r>
      <w:r>
        <w:rPr/>
        <w:t>a manager.</w:t>
      </w:r>
      <w:r>
        <w:rPr>
          <w:spacing w:val="40"/>
        </w:rPr>
        <w:t> </w:t>
      </w:r>
      <w:r>
        <w:rPr/>
        <w:t>This evaluation will be performed at the end of each calendar year.</w:t>
      </w:r>
    </w:p>
    <w:p>
      <w:pPr>
        <w:pStyle w:val="BodyText"/>
        <w:spacing w:line="208" w:lineRule="auto"/>
        <w:ind w:left="359" w:right="775" w:firstLine="432"/>
      </w:pPr>
      <w:r>
        <w:rPr>
          <w:b/>
        </w:rPr>
        <w:t>"BEP"</w:t>
      </w:r>
      <w:r>
        <w:rPr>
          <w:b/>
          <w:spacing w:val="-4"/>
        </w:rPr>
        <w:t> </w:t>
      </w:r>
      <w:r>
        <w:rPr/>
        <w:t>means</w:t>
      </w:r>
      <w:r>
        <w:rPr>
          <w:spacing w:val="-4"/>
        </w:rPr>
        <w:t> </w:t>
      </w:r>
      <w:r>
        <w:rPr/>
        <w:t>the</w:t>
      </w:r>
      <w:r>
        <w:rPr>
          <w:spacing w:val="-4"/>
        </w:rPr>
        <w:t> </w:t>
      </w:r>
      <w:r>
        <w:rPr/>
        <w:t>Business</w:t>
      </w:r>
      <w:r>
        <w:rPr>
          <w:spacing w:val="-4"/>
        </w:rPr>
        <w:t> </w:t>
      </w:r>
      <w:r>
        <w:rPr/>
        <w:t>Enterprise</w:t>
      </w:r>
      <w:r>
        <w:rPr>
          <w:spacing w:val="-4"/>
        </w:rPr>
        <w:t> </w:t>
      </w:r>
      <w:r>
        <w:rPr/>
        <w:t>Program</w:t>
      </w:r>
      <w:r>
        <w:rPr>
          <w:spacing w:val="-3"/>
        </w:rPr>
        <w:t> </w:t>
      </w:r>
      <w:r>
        <w:rPr/>
        <w:t>of</w:t>
      </w:r>
      <w:r>
        <w:rPr>
          <w:spacing w:val="-5"/>
        </w:rPr>
        <w:t> </w:t>
      </w:r>
      <w:r>
        <w:rPr/>
        <w:t>the</w:t>
      </w:r>
      <w:r>
        <w:rPr>
          <w:spacing w:val="-4"/>
        </w:rPr>
        <w:t> </w:t>
      </w:r>
      <w:r>
        <w:rPr/>
        <w:t>State</w:t>
      </w:r>
      <w:r>
        <w:rPr>
          <w:spacing w:val="-4"/>
        </w:rPr>
        <w:t> </w:t>
      </w:r>
      <w:r>
        <w:rPr/>
        <w:t>Licensing</w:t>
      </w:r>
      <w:r>
        <w:rPr>
          <w:spacing w:val="-4"/>
        </w:rPr>
        <w:t> </w:t>
      </w:r>
      <w:r>
        <w:rPr/>
        <w:t>Agency which provides self-employment opportunities for qualified persons who are blind.</w:t>
      </w:r>
    </w:p>
    <w:p>
      <w:pPr>
        <w:spacing w:line="208" w:lineRule="auto" w:before="239"/>
        <w:ind w:left="359" w:right="775" w:firstLine="432"/>
        <w:jc w:val="left"/>
        <w:rPr>
          <w:sz w:val="24"/>
        </w:rPr>
      </w:pPr>
      <w:r>
        <w:rPr>
          <w:b/>
          <w:sz w:val="24"/>
        </w:rPr>
        <w:t>"BEP</w:t>
      </w:r>
      <w:r>
        <w:rPr>
          <w:b/>
          <w:spacing w:val="-4"/>
          <w:sz w:val="24"/>
        </w:rPr>
        <w:t> </w:t>
      </w:r>
      <w:r>
        <w:rPr>
          <w:b/>
          <w:sz w:val="24"/>
        </w:rPr>
        <w:t>Operations</w:t>
      </w:r>
      <w:r>
        <w:rPr>
          <w:b/>
          <w:spacing w:val="-4"/>
          <w:sz w:val="24"/>
        </w:rPr>
        <w:t> </w:t>
      </w:r>
      <w:r>
        <w:rPr>
          <w:b/>
          <w:sz w:val="24"/>
        </w:rPr>
        <w:t>Coordinator"</w:t>
      </w:r>
      <w:r>
        <w:rPr>
          <w:b/>
          <w:spacing w:val="-3"/>
          <w:sz w:val="24"/>
        </w:rPr>
        <w:t> </w:t>
      </w:r>
      <w:r>
        <w:rPr>
          <w:sz w:val="24"/>
        </w:rPr>
        <w:t>means</w:t>
      </w:r>
      <w:r>
        <w:rPr>
          <w:spacing w:val="-4"/>
          <w:sz w:val="24"/>
        </w:rPr>
        <w:t> </w:t>
      </w:r>
      <w:r>
        <w:rPr>
          <w:sz w:val="24"/>
        </w:rPr>
        <w:t>the</w:t>
      </w:r>
      <w:r>
        <w:rPr>
          <w:spacing w:val="-5"/>
          <w:sz w:val="24"/>
        </w:rPr>
        <w:t> </w:t>
      </w:r>
      <w:r>
        <w:rPr>
          <w:sz w:val="24"/>
        </w:rPr>
        <w:t>person</w:t>
      </w:r>
      <w:r>
        <w:rPr>
          <w:spacing w:val="-4"/>
          <w:sz w:val="24"/>
        </w:rPr>
        <w:t> </w:t>
      </w:r>
      <w:r>
        <w:rPr>
          <w:sz w:val="24"/>
        </w:rPr>
        <w:t>who</w:t>
      </w:r>
      <w:r>
        <w:rPr>
          <w:spacing w:val="-4"/>
          <w:sz w:val="24"/>
        </w:rPr>
        <w:t> </w:t>
      </w:r>
      <w:r>
        <w:rPr>
          <w:sz w:val="24"/>
        </w:rPr>
        <w:t>has</w:t>
      </w:r>
      <w:r>
        <w:rPr>
          <w:spacing w:val="-4"/>
          <w:sz w:val="24"/>
        </w:rPr>
        <w:t> </w:t>
      </w:r>
      <w:r>
        <w:rPr>
          <w:sz w:val="24"/>
        </w:rPr>
        <w:t>responsibility</w:t>
      </w:r>
      <w:r>
        <w:rPr>
          <w:spacing w:val="-4"/>
          <w:sz w:val="24"/>
        </w:rPr>
        <w:t> </w:t>
      </w:r>
      <w:r>
        <w:rPr>
          <w:sz w:val="24"/>
        </w:rPr>
        <w:t>for</w:t>
      </w:r>
      <w:r>
        <w:rPr>
          <w:spacing w:val="-3"/>
          <w:sz w:val="24"/>
        </w:rPr>
        <w:t> </w:t>
      </w:r>
      <w:r>
        <w:rPr>
          <w:sz w:val="24"/>
        </w:rPr>
        <w:t>the operation of the Business Enterprise Program in the State.</w:t>
      </w:r>
    </w:p>
    <w:p>
      <w:pPr>
        <w:pStyle w:val="BodyText"/>
        <w:spacing w:line="208" w:lineRule="auto"/>
        <w:ind w:left="359" w:right="757" w:firstLine="432"/>
      </w:pPr>
      <w:r>
        <w:rPr>
          <w:b/>
        </w:rPr>
        <w:t>"Blind person" </w:t>
      </w:r>
      <w:r>
        <w:rPr/>
        <w:t>means a person who, after examination by a physician skilled in</w:t>
      </w:r>
      <w:r>
        <w:rPr>
          <w:spacing w:val="40"/>
        </w:rPr>
        <w:t> </w:t>
      </w:r>
      <w:r>
        <w:rPr/>
        <w:t>the diseases of the eye or by an optometrist, whichever the person shall select, has been</w:t>
      </w:r>
      <w:r>
        <w:rPr>
          <w:spacing w:val="-1"/>
        </w:rPr>
        <w:t> </w:t>
      </w:r>
      <w:r>
        <w:rPr/>
        <w:t>determined</w:t>
      </w:r>
      <w:r>
        <w:rPr>
          <w:spacing w:val="-1"/>
        </w:rPr>
        <w:t> </w:t>
      </w:r>
      <w:r>
        <w:rPr/>
        <w:t>to</w:t>
      </w:r>
      <w:r>
        <w:rPr>
          <w:spacing w:val="-1"/>
        </w:rPr>
        <w:t> </w:t>
      </w:r>
      <w:r>
        <w:rPr/>
        <w:t>have</w:t>
      </w:r>
      <w:r>
        <w:rPr>
          <w:spacing w:val="-1"/>
        </w:rPr>
        <w:t> </w:t>
      </w:r>
      <w:r>
        <w:rPr/>
        <w:t>(1) not</w:t>
      </w:r>
      <w:r>
        <w:rPr>
          <w:spacing w:val="-2"/>
        </w:rPr>
        <w:t> </w:t>
      </w:r>
      <w:r>
        <w:rPr/>
        <w:t>more</w:t>
      </w:r>
      <w:r>
        <w:rPr>
          <w:spacing w:val="-1"/>
        </w:rPr>
        <w:t> </w:t>
      </w:r>
      <w:r>
        <w:rPr/>
        <w:t>than</w:t>
      </w:r>
      <w:r>
        <w:rPr>
          <w:spacing w:val="-2"/>
        </w:rPr>
        <w:t> </w:t>
      </w:r>
      <w:r>
        <w:rPr/>
        <w:t>20/200</w:t>
      </w:r>
      <w:r>
        <w:rPr>
          <w:spacing w:val="-1"/>
        </w:rPr>
        <w:t> </w:t>
      </w:r>
      <w:r>
        <w:rPr/>
        <w:t>central</w:t>
      </w:r>
      <w:r>
        <w:rPr>
          <w:spacing w:val="-1"/>
        </w:rPr>
        <w:t> </w:t>
      </w:r>
      <w:r>
        <w:rPr/>
        <w:t>visual</w:t>
      </w:r>
      <w:r>
        <w:rPr>
          <w:spacing w:val="-1"/>
        </w:rPr>
        <w:t> </w:t>
      </w:r>
      <w:r>
        <w:rPr/>
        <w:t>acuity</w:t>
      </w:r>
      <w:r>
        <w:rPr>
          <w:spacing w:val="-1"/>
        </w:rPr>
        <w:t> </w:t>
      </w:r>
      <w:r>
        <w:rPr/>
        <w:t>in</w:t>
      </w:r>
      <w:r>
        <w:rPr>
          <w:spacing w:val="-1"/>
        </w:rPr>
        <w:t> </w:t>
      </w:r>
      <w:r>
        <w:rPr/>
        <w:t>the</w:t>
      </w:r>
      <w:r>
        <w:rPr>
          <w:spacing w:val="-1"/>
        </w:rPr>
        <w:t> </w:t>
      </w:r>
      <w:r>
        <w:rPr/>
        <w:t>better eye with</w:t>
      </w:r>
      <w:r>
        <w:rPr>
          <w:spacing w:val="-3"/>
        </w:rPr>
        <w:t> </w:t>
      </w:r>
      <w:r>
        <w:rPr/>
        <w:t>correcting</w:t>
      </w:r>
      <w:r>
        <w:rPr>
          <w:spacing w:val="-3"/>
        </w:rPr>
        <w:t> </w:t>
      </w:r>
      <w:r>
        <w:rPr/>
        <w:t>lenses,</w:t>
      </w:r>
      <w:r>
        <w:rPr>
          <w:spacing w:val="-2"/>
        </w:rPr>
        <w:t> </w:t>
      </w:r>
      <w:r>
        <w:rPr/>
        <w:t>or</w:t>
      </w:r>
      <w:r>
        <w:rPr>
          <w:spacing w:val="-2"/>
        </w:rPr>
        <w:t> </w:t>
      </w:r>
      <w:r>
        <w:rPr/>
        <w:t>(2)</w:t>
      </w:r>
      <w:r>
        <w:rPr>
          <w:spacing w:val="-4"/>
        </w:rPr>
        <w:t> </w:t>
      </w:r>
      <w:r>
        <w:rPr/>
        <w:t>an</w:t>
      </w:r>
      <w:r>
        <w:rPr>
          <w:spacing w:val="-3"/>
        </w:rPr>
        <w:t> </w:t>
      </w:r>
      <w:r>
        <w:rPr/>
        <w:t>equally</w:t>
      </w:r>
      <w:r>
        <w:rPr>
          <w:spacing w:val="-3"/>
        </w:rPr>
        <w:t> </w:t>
      </w:r>
      <w:r>
        <w:rPr/>
        <w:t>disabling</w:t>
      </w:r>
      <w:r>
        <w:rPr>
          <w:spacing w:val="-3"/>
        </w:rPr>
        <w:t> </w:t>
      </w:r>
      <w:r>
        <w:rPr/>
        <w:t>loss</w:t>
      </w:r>
      <w:r>
        <w:rPr>
          <w:spacing w:val="-3"/>
        </w:rPr>
        <w:t> </w:t>
      </w:r>
      <w:r>
        <w:rPr/>
        <w:t>of</w:t>
      </w:r>
      <w:r>
        <w:rPr>
          <w:spacing w:val="-2"/>
        </w:rPr>
        <w:t> </w:t>
      </w:r>
      <w:r>
        <w:rPr/>
        <w:t>the</w:t>
      </w:r>
      <w:r>
        <w:rPr>
          <w:spacing w:val="-3"/>
        </w:rPr>
        <w:t> </w:t>
      </w:r>
      <w:r>
        <w:rPr/>
        <w:t>visual</w:t>
      </w:r>
      <w:r>
        <w:rPr>
          <w:spacing w:val="-3"/>
        </w:rPr>
        <w:t> </w:t>
      </w:r>
      <w:r>
        <w:rPr/>
        <w:t>field</w:t>
      </w:r>
      <w:r>
        <w:rPr>
          <w:spacing w:val="-3"/>
        </w:rPr>
        <w:t> </w:t>
      </w:r>
      <w:r>
        <w:rPr/>
        <w:t>as</w:t>
      </w:r>
      <w:r>
        <w:rPr>
          <w:spacing w:val="-3"/>
        </w:rPr>
        <w:t> </w:t>
      </w:r>
      <w:r>
        <w:rPr/>
        <w:t>evidenced</w:t>
      </w:r>
      <w:r>
        <w:rPr>
          <w:spacing w:val="-3"/>
        </w:rPr>
        <w:t> </w:t>
      </w:r>
      <w:r>
        <w:rPr/>
        <w:t>by a limitation to the field of vision in the better eye to such a degree that its widest diameter subtends an angle of no greater than 20 degrees.</w:t>
      </w:r>
    </w:p>
    <w:p>
      <w:pPr>
        <w:spacing w:line="208" w:lineRule="auto" w:before="240"/>
        <w:ind w:left="359" w:right="775" w:firstLine="432"/>
        <w:jc w:val="left"/>
        <w:rPr>
          <w:sz w:val="24"/>
        </w:rPr>
      </w:pPr>
      <w:r>
        <w:rPr>
          <w:b/>
          <w:sz w:val="24"/>
        </w:rPr>
        <w:t>"Board"</w:t>
      </w:r>
      <w:r>
        <w:rPr>
          <w:b/>
          <w:spacing w:val="-4"/>
          <w:sz w:val="24"/>
        </w:rPr>
        <w:t> </w:t>
      </w:r>
      <w:r>
        <w:rPr>
          <w:b/>
          <w:sz w:val="24"/>
        </w:rPr>
        <w:t>or</w:t>
      </w:r>
      <w:r>
        <w:rPr>
          <w:b/>
          <w:spacing w:val="-4"/>
          <w:sz w:val="24"/>
        </w:rPr>
        <w:t> </w:t>
      </w:r>
      <w:r>
        <w:rPr>
          <w:b/>
          <w:sz w:val="24"/>
        </w:rPr>
        <w:t>"Commission"</w:t>
      </w:r>
      <w:r>
        <w:rPr>
          <w:b/>
          <w:spacing w:val="-3"/>
          <w:sz w:val="24"/>
        </w:rPr>
        <w:t> </w:t>
      </w:r>
      <w:r>
        <w:rPr>
          <w:sz w:val="24"/>
        </w:rPr>
        <w:t>means</w:t>
      </w:r>
      <w:r>
        <w:rPr>
          <w:spacing w:val="-4"/>
          <w:sz w:val="24"/>
        </w:rPr>
        <w:t> </w:t>
      </w:r>
      <w:r>
        <w:rPr>
          <w:sz w:val="24"/>
        </w:rPr>
        <w:t>the</w:t>
      </w:r>
      <w:r>
        <w:rPr>
          <w:spacing w:val="-4"/>
          <w:sz w:val="24"/>
        </w:rPr>
        <w:t> </w:t>
      </w:r>
      <w:r>
        <w:rPr>
          <w:sz w:val="24"/>
        </w:rPr>
        <w:t>governing</w:t>
      </w:r>
      <w:r>
        <w:rPr>
          <w:spacing w:val="-4"/>
          <w:sz w:val="24"/>
        </w:rPr>
        <w:t> </w:t>
      </w:r>
      <w:r>
        <w:rPr>
          <w:sz w:val="24"/>
        </w:rPr>
        <w:t>body</w:t>
      </w:r>
      <w:r>
        <w:rPr>
          <w:spacing w:val="-4"/>
          <w:sz w:val="24"/>
        </w:rPr>
        <w:t> </w:t>
      </w:r>
      <w:r>
        <w:rPr>
          <w:sz w:val="24"/>
        </w:rPr>
        <w:t>for</w:t>
      </w:r>
      <w:r>
        <w:rPr>
          <w:spacing w:val="-5"/>
          <w:sz w:val="24"/>
        </w:rPr>
        <w:t> </w:t>
      </w:r>
      <w:r>
        <w:rPr>
          <w:sz w:val="24"/>
        </w:rPr>
        <w:t>the</w:t>
      </w:r>
      <w:r>
        <w:rPr>
          <w:spacing w:val="-4"/>
          <w:sz w:val="24"/>
        </w:rPr>
        <w:t> </w:t>
      </w:r>
      <w:r>
        <w:rPr>
          <w:sz w:val="24"/>
        </w:rPr>
        <w:t>State</w:t>
      </w:r>
      <w:r>
        <w:rPr>
          <w:spacing w:val="-4"/>
          <w:sz w:val="24"/>
        </w:rPr>
        <w:t> </w:t>
      </w:r>
      <w:r>
        <w:rPr>
          <w:sz w:val="24"/>
        </w:rPr>
        <w:t>Licensing </w:t>
      </w:r>
      <w:r>
        <w:rPr>
          <w:spacing w:val="-2"/>
          <w:sz w:val="24"/>
        </w:rPr>
        <w:t>Agency.</w:t>
      </w:r>
    </w:p>
    <w:p>
      <w:pPr>
        <w:pStyle w:val="BodyText"/>
        <w:spacing w:line="208" w:lineRule="auto" w:before="239"/>
        <w:ind w:left="359" w:right="855" w:firstLine="432"/>
      </w:pPr>
      <w:r>
        <w:rPr>
          <w:b/>
        </w:rPr>
        <w:t>"Business</w:t>
      </w:r>
      <w:r>
        <w:rPr>
          <w:b/>
          <w:spacing w:val="-4"/>
        </w:rPr>
        <w:t> </w:t>
      </w:r>
      <w:r>
        <w:rPr>
          <w:b/>
        </w:rPr>
        <w:t>Consultant</w:t>
      </w:r>
      <w:r>
        <w:rPr>
          <w:b/>
          <w:spacing w:val="-4"/>
        </w:rPr>
        <w:t> </w:t>
      </w:r>
      <w:r>
        <w:rPr>
          <w:b/>
        </w:rPr>
        <w:t>(BC)"</w:t>
      </w:r>
      <w:r>
        <w:rPr>
          <w:b/>
          <w:spacing w:val="-6"/>
        </w:rPr>
        <w:t> </w:t>
      </w:r>
      <w:r>
        <w:rPr/>
        <w:t>means</w:t>
      </w:r>
      <w:r>
        <w:rPr>
          <w:spacing w:val="-5"/>
        </w:rPr>
        <w:t> </w:t>
      </w:r>
      <w:r>
        <w:rPr/>
        <w:t>an</w:t>
      </w:r>
      <w:r>
        <w:rPr>
          <w:spacing w:val="-5"/>
        </w:rPr>
        <w:t> </w:t>
      </w:r>
      <w:r>
        <w:rPr/>
        <w:t>individual</w:t>
      </w:r>
      <w:r>
        <w:rPr>
          <w:spacing w:val="-5"/>
        </w:rPr>
        <w:t> </w:t>
      </w:r>
      <w:r>
        <w:rPr/>
        <w:t>who</w:t>
      </w:r>
      <w:r>
        <w:rPr>
          <w:spacing w:val="-5"/>
        </w:rPr>
        <w:t> </w:t>
      </w:r>
      <w:r>
        <w:rPr/>
        <w:t>provides</w:t>
      </w:r>
      <w:r>
        <w:rPr>
          <w:spacing w:val="-5"/>
        </w:rPr>
        <w:t> </w:t>
      </w:r>
      <w:r>
        <w:rPr/>
        <w:t>consultative</w:t>
      </w:r>
      <w:r>
        <w:rPr>
          <w:spacing w:val="-5"/>
        </w:rPr>
        <w:t> </w:t>
      </w:r>
      <w:r>
        <w:rPr/>
        <w:t>and management services to those business enterprises and licensed managers of the State to which the consultant is assigned.</w:t>
      </w:r>
    </w:p>
    <w:p>
      <w:pPr>
        <w:pStyle w:val="BodyText"/>
        <w:spacing w:line="208" w:lineRule="auto"/>
        <w:ind w:left="359" w:right="775" w:firstLine="432"/>
      </w:pPr>
      <w:r>
        <w:rPr>
          <w:b/>
        </w:rPr>
        <w:t>"Business</w:t>
      </w:r>
      <w:r>
        <w:rPr>
          <w:b/>
          <w:spacing w:val="-3"/>
        </w:rPr>
        <w:t> </w:t>
      </w:r>
      <w:r>
        <w:rPr>
          <w:b/>
        </w:rPr>
        <w:t>Enterprise"</w:t>
      </w:r>
      <w:r>
        <w:rPr>
          <w:b/>
          <w:spacing w:val="-4"/>
        </w:rPr>
        <w:t> </w:t>
      </w:r>
      <w:r>
        <w:rPr/>
        <w:t>means</w:t>
      </w:r>
      <w:r>
        <w:rPr>
          <w:spacing w:val="-5"/>
        </w:rPr>
        <w:t> </w:t>
      </w:r>
      <w:r>
        <w:rPr/>
        <w:t>an</w:t>
      </w:r>
      <w:r>
        <w:rPr>
          <w:spacing w:val="-4"/>
        </w:rPr>
        <w:t> </w:t>
      </w:r>
      <w:r>
        <w:rPr/>
        <w:t>approved</w:t>
      </w:r>
      <w:r>
        <w:rPr>
          <w:spacing w:val="-4"/>
        </w:rPr>
        <w:t> </w:t>
      </w:r>
      <w:r>
        <w:rPr/>
        <w:t>business</w:t>
      </w:r>
      <w:r>
        <w:rPr>
          <w:spacing w:val="-3"/>
        </w:rPr>
        <w:t> </w:t>
      </w:r>
      <w:r>
        <w:rPr/>
        <w:t>administered</w:t>
      </w:r>
      <w:r>
        <w:rPr>
          <w:spacing w:val="-4"/>
        </w:rPr>
        <w:t> </w:t>
      </w:r>
      <w:r>
        <w:rPr/>
        <w:t>by</w:t>
      </w:r>
      <w:r>
        <w:rPr>
          <w:spacing w:val="-4"/>
        </w:rPr>
        <w:t> </w:t>
      </w:r>
      <w:r>
        <w:rPr/>
        <w:t>the</w:t>
      </w:r>
      <w:r>
        <w:rPr>
          <w:spacing w:val="-4"/>
        </w:rPr>
        <w:t> </w:t>
      </w:r>
      <w:r>
        <w:rPr/>
        <w:t>State Licensing Agency. See definition of "Vending Facility."</w:t>
      </w:r>
    </w:p>
    <w:p>
      <w:pPr>
        <w:spacing w:line="208" w:lineRule="auto" w:before="240"/>
        <w:ind w:left="360" w:right="775" w:firstLine="432"/>
        <w:jc w:val="left"/>
        <w:rPr>
          <w:sz w:val="24"/>
        </w:rPr>
      </w:pPr>
      <w:r>
        <w:rPr>
          <w:b/>
          <w:sz w:val="24"/>
        </w:rPr>
        <w:t>"Business</w:t>
      </w:r>
      <w:r>
        <w:rPr>
          <w:b/>
          <w:spacing w:val="-5"/>
          <w:sz w:val="24"/>
        </w:rPr>
        <w:t> </w:t>
      </w:r>
      <w:r>
        <w:rPr>
          <w:b/>
          <w:sz w:val="24"/>
        </w:rPr>
        <w:t>Enterprise</w:t>
      </w:r>
      <w:r>
        <w:rPr>
          <w:b/>
          <w:spacing w:val="-5"/>
          <w:sz w:val="24"/>
        </w:rPr>
        <w:t> </w:t>
      </w:r>
      <w:r>
        <w:rPr>
          <w:b/>
          <w:sz w:val="24"/>
        </w:rPr>
        <w:t>Program</w:t>
      </w:r>
      <w:r>
        <w:rPr>
          <w:b/>
          <w:spacing w:val="-5"/>
          <w:sz w:val="24"/>
        </w:rPr>
        <w:t> </w:t>
      </w:r>
      <w:r>
        <w:rPr>
          <w:b/>
          <w:sz w:val="24"/>
        </w:rPr>
        <w:t>(BEP)"</w:t>
      </w:r>
      <w:r>
        <w:rPr>
          <w:b/>
          <w:spacing w:val="-5"/>
          <w:sz w:val="24"/>
        </w:rPr>
        <w:t> </w:t>
      </w:r>
      <w:r>
        <w:rPr>
          <w:sz w:val="24"/>
        </w:rPr>
        <w:t>means</w:t>
      </w:r>
      <w:r>
        <w:rPr>
          <w:spacing w:val="-5"/>
          <w:sz w:val="24"/>
        </w:rPr>
        <w:t> </w:t>
      </w:r>
      <w:r>
        <w:rPr>
          <w:sz w:val="24"/>
        </w:rPr>
        <w:t>the</w:t>
      </w:r>
      <w:r>
        <w:rPr>
          <w:spacing w:val="-5"/>
          <w:sz w:val="24"/>
        </w:rPr>
        <w:t> </w:t>
      </w:r>
      <w:r>
        <w:rPr>
          <w:sz w:val="24"/>
        </w:rPr>
        <w:t>Business</w:t>
      </w:r>
      <w:r>
        <w:rPr>
          <w:spacing w:val="-5"/>
          <w:sz w:val="24"/>
        </w:rPr>
        <w:t> </w:t>
      </w:r>
      <w:r>
        <w:rPr>
          <w:sz w:val="24"/>
        </w:rPr>
        <w:t>Enterprise</w:t>
      </w:r>
      <w:r>
        <w:rPr>
          <w:spacing w:val="-5"/>
          <w:sz w:val="24"/>
        </w:rPr>
        <w:t> </w:t>
      </w:r>
      <w:r>
        <w:rPr>
          <w:sz w:val="24"/>
        </w:rPr>
        <w:t>Program services available to establish business enterprises for persons who are blind.</w:t>
      </w:r>
    </w:p>
    <w:p>
      <w:pPr>
        <w:pStyle w:val="BodyText"/>
        <w:spacing w:line="208" w:lineRule="auto"/>
        <w:ind w:right="775" w:firstLine="432"/>
      </w:pPr>
      <w:r>
        <w:rPr>
          <w:b/>
        </w:rPr>
        <w:t>"Cafeteria facility" </w:t>
      </w:r>
      <w:r>
        <w:rPr/>
        <w:t>means a food dispensing business enterprise capable of providing a broad variety of prepared foods and beverages (including hot meals) primarily</w:t>
      </w:r>
      <w:r>
        <w:rPr>
          <w:spacing w:val="-4"/>
        </w:rPr>
        <w:t> </w:t>
      </w:r>
      <w:r>
        <w:rPr/>
        <w:t>through</w:t>
      </w:r>
      <w:r>
        <w:rPr>
          <w:spacing w:val="-4"/>
        </w:rPr>
        <w:t> </w:t>
      </w:r>
      <w:r>
        <w:rPr/>
        <w:t>the</w:t>
      </w:r>
      <w:r>
        <w:rPr>
          <w:spacing w:val="-4"/>
        </w:rPr>
        <w:t> </w:t>
      </w:r>
      <w:r>
        <w:rPr/>
        <w:t>use</w:t>
      </w:r>
      <w:r>
        <w:rPr>
          <w:spacing w:val="-4"/>
        </w:rPr>
        <w:t> </w:t>
      </w:r>
      <w:r>
        <w:rPr/>
        <w:t>of</w:t>
      </w:r>
      <w:r>
        <w:rPr>
          <w:spacing w:val="-3"/>
        </w:rPr>
        <w:t> </w:t>
      </w:r>
      <w:r>
        <w:rPr/>
        <w:t>a</w:t>
      </w:r>
      <w:r>
        <w:rPr>
          <w:spacing w:val="-4"/>
        </w:rPr>
        <w:t> </w:t>
      </w:r>
      <w:r>
        <w:rPr/>
        <w:t>line</w:t>
      </w:r>
      <w:r>
        <w:rPr>
          <w:spacing w:val="-4"/>
        </w:rPr>
        <w:t> </w:t>
      </w:r>
      <w:r>
        <w:rPr/>
        <w:t>where</w:t>
      </w:r>
      <w:r>
        <w:rPr>
          <w:spacing w:val="-4"/>
        </w:rPr>
        <w:t> </w:t>
      </w:r>
      <w:r>
        <w:rPr/>
        <w:t>customers</w:t>
      </w:r>
      <w:r>
        <w:rPr>
          <w:spacing w:val="-4"/>
        </w:rPr>
        <w:t> </w:t>
      </w:r>
      <w:r>
        <w:rPr/>
        <w:t>serve</w:t>
      </w:r>
      <w:r>
        <w:rPr>
          <w:spacing w:val="-4"/>
        </w:rPr>
        <w:t> </w:t>
      </w:r>
      <w:r>
        <w:rPr/>
        <w:t>themselves</w:t>
      </w:r>
      <w:r>
        <w:rPr>
          <w:spacing w:val="-4"/>
        </w:rPr>
        <w:t> </w:t>
      </w:r>
      <w:r>
        <w:rPr/>
        <w:t>from</w:t>
      </w:r>
      <w:r>
        <w:rPr>
          <w:spacing w:val="-5"/>
        </w:rPr>
        <w:t> </w:t>
      </w:r>
      <w:r>
        <w:rPr/>
        <w:t>displayed selections. A cafeteria may be fully automatic or provide limited waiter or waitress service. Table and/or booth seating facilities are always provided.</w:t>
      </w:r>
    </w:p>
    <w:p>
      <w:pPr>
        <w:pStyle w:val="BodyText"/>
        <w:spacing w:line="208" w:lineRule="auto" w:before="239"/>
        <w:ind w:right="739" w:firstLine="432"/>
      </w:pPr>
      <w:r>
        <w:rPr>
          <w:b/>
        </w:rPr>
        <w:t>"Client or Consumer" </w:t>
      </w:r>
      <w:r>
        <w:rPr/>
        <w:t>means any person who has made application for the State Licensing</w:t>
      </w:r>
      <w:r>
        <w:rPr>
          <w:spacing w:val="-3"/>
        </w:rPr>
        <w:t> </w:t>
      </w:r>
      <w:r>
        <w:rPr/>
        <w:t>Agency's</w:t>
      </w:r>
      <w:r>
        <w:rPr>
          <w:spacing w:val="-4"/>
        </w:rPr>
        <w:t> </w:t>
      </w:r>
      <w:r>
        <w:rPr/>
        <w:t>services</w:t>
      </w:r>
      <w:r>
        <w:rPr>
          <w:spacing w:val="-4"/>
        </w:rPr>
        <w:t> </w:t>
      </w:r>
      <w:r>
        <w:rPr/>
        <w:t>and</w:t>
      </w:r>
      <w:r>
        <w:rPr>
          <w:spacing w:val="-3"/>
        </w:rPr>
        <w:t> </w:t>
      </w:r>
      <w:r>
        <w:rPr/>
        <w:t>has</w:t>
      </w:r>
      <w:r>
        <w:rPr>
          <w:spacing w:val="-4"/>
        </w:rPr>
        <w:t> </w:t>
      </w:r>
      <w:r>
        <w:rPr/>
        <w:t>been</w:t>
      </w:r>
      <w:r>
        <w:rPr>
          <w:spacing w:val="-4"/>
        </w:rPr>
        <w:t> </w:t>
      </w:r>
      <w:r>
        <w:rPr/>
        <w:t>determined</w:t>
      </w:r>
      <w:r>
        <w:rPr>
          <w:spacing w:val="-3"/>
        </w:rPr>
        <w:t> </w:t>
      </w:r>
      <w:r>
        <w:rPr/>
        <w:t>by</w:t>
      </w:r>
      <w:r>
        <w:rPr>
          <w:spacing w:val="-4"/>
        </w:rPr>
        <w:t> </w:t>
      </w:r>
      <w:r>
        <w:rPr/>
        <w:t>the</w:t>
      </w:r>
      <w:r>
        <w:rPr>
          <w:spacing w:val="-4"/>
        </w:rPr>
        <w:t> </w:t>
      </w:r>
      <w:r>
        <w:rPr/>
        <w:t>State</w:t>
      </w:r>
      <w:r>
        <w:rPr>
          <w:spacing w:val="-4"/>
        </w:rPr>
        <w:t> </w:t>
      </w:r>
      <w:r>
        <w:rPr/>
        <w:t>Licensing</w:t>
      </w:r>
      <w:r>
        <w:rPr>
          <w:spacing w:val="-3"/>
        </w:rPr>
        <w:t> </w:t>
      </w:r>
      <w:r>
        <w:rPr/>
        <w:t>Agency</w:t>
      </w:r>
      <w:r>
        <w:rPr>
          <w:spacing w:val="-4"/>
        </w:rPr>
        <w:t> </w:t>
      </w:r>
      <w:r>
        <w:rPr/>
        <w:t>to be eligible for services.</w:t>
      </w:r>
    </w:p>
    <w:p>
      <w:pPr>
        <w:pStyle w:val="BodyText"/>
        <w:spacing w:after="0" w:line="208" w:lineRule="auto"/>
        <w:sectPr>
          <w:pgSz w:w="12240" w:h="15840"/>
          <w:pgMar w:top="1340" w:bottom="280" w:left="1080" w:right="720"/>
        </w:sectPr>
      </w:pPr>
    </w:p>
    <w:p>
      <w:pPr>
        <w:pStyle w:val="BodyText"/>
        <w:spacing w:line="208" w:lineRule="auto" w:before="96"/>
        <w:ind w:right="775" w:firstLine="432"/>
      </w:pPr>
      <w:r>
        <w:rPr>
          <w:b/>
        </w:rPr>
        <w:t>"Commissioner" </w:t>
      </w:r>
      <w:r>
        <w:rPr/>
        <w:t>means the Commissioner of the Rehabilitation Services Administration</w:t>
      </w:r>
      <w:r>
        <w:rPr>
          <w:spacing w:val="-5"/>
        </w:rPr>
        <w:t> </w:t>
      </w:r>
      <w:r>
        <w:rPr/>
        <w:t>(RSA)</w:t>
      </w:r>
      <w:r>
        <w:rPr>
          <w:spacing w:val="-4"/>
        </w:rPr>
        <w:t> </w:t>
      </w:r>
      <w:r>
        <w:rPr/>
        <w:t>who</w:t>
      </w:r>
      <w:r>
        <w:rPr>
          <w:spacing w:val="-5"/>
        </w:rPr>
        <w:t> </w:t>
      </w:r>
      <w:r>
        <w:rPr/>
        <w:t>exercises</w:t>
      </w:r>
      <w:r>
        <w:rPr>
          <w:spacing w:val="-5"/>
        </w:rPr>
        <w:t> </w:t>
      </w:r>
      <w:r>
        <w:rPr/>
        <w:t>approval</w:t>
      </w:r>
      <w:r>
        <w:rPr>
          <w:spacing w:val="-5"/>
        </w:rPr>
        <w:t> </w:t>
      </w:r>
      <w:r>
        <w:rPr/>
        <w:t>authority</w:t>
      </w:r>
      <w:r>
        <w:rPr>
          <w:spacing w:val="-5"/>
        </w:rPr>
        <w:t> </w:t>
      </w:r>
      <w:r>
        <w:rPr/>
        <w:t>for</w:t>
      </w:r>
      <w:r>
        <w:rPr>
          <w:spacing w:val="-6"/>
        </w:rPr>
        <w:t> </w:t>
      </w:r>
      <w:r>
        <w:rPr/>
        <w:t>the</w:t>
      </w:r>
      <w:r>
        <w:rPr>
          <w:spacing w:val="-5"/>
        </w:rPr>
        <w:t> </w:t>
      </w:r>
      <w:r>
        <w:rPr/>
        <w:t>Federal</w:t>
      </w:r>
      <w:r>
        <w:rPr>
          <w:spacing w:val="-5"/>
        </w:rPr>
        <w:t> </w:t>
      </w:r>
      <w:r>
        <w:rPr/>
        <w:t>government under the Randolph-Sheppard Act.</w:t>
      </w:r>
    </w:p>
    <w:p>
      <w:pPr>
        <w:pStyle w:val="BodyText"/>
        <w:spacing w:before="210"/>
        <w:ind w:left="791"/>
      </w:pPr>
      <w:r>
        <w:rPr>
          <w:b/>
        </w:rPr>
        <w:t>"Committee"</w:t>
      </w:r>
      <w:r>
        <w:rPr>
          <w:b/>
          <w:spacing w:val="-6"/>
        </w:rPr>
        <w:t> </w:t>
      </w:r>
      <w:r>
        <w:rPr/>
        <w:t>means</w:t>
      </w:r>
      <w:r>
        <w:rPr>
          <w:spacing w:val="-3"/>
        </w:rPr>
        <w:t> </w:t>
      </w:r>
      <w:r>
        <w:rPr/>
        <w:t>the</w:t>
      </w:r>
      <w:r>
        <w:rPr>
          <w:spacing w:val="-4"/>
        </w:rPr>
        <w:t> </w:t>
      </w:r>
      <w:r>
        <w:rPr/>
        <w:t>Elected</w:t>
      </w:r>
      <w:r>
        <w:rPr>
          <w:spacing w:val="-2"/>
        </w:rPr>
        <w:t> </w:t>
      </w:r>
      <w:r>
        <w:rPr/>
        <w:t>Committee</w:t>
      </w:r>
      <w:r>
        <w:rPr>
          <w:spacing w:val="-5"/>
        </w:rPr>
        <w:t> </w:t>
      </w:r>
      <w:r>
        <w:rPr/>
        <w:t>of</w:t>
      </w:r>
      <w:r>
        <w:rPr>
          <w:spacing w:val="-2"/>
        </w:rPr>
        <w:t> </w:t>
      </w:r>
      <w:r>
        <w:rPr/>
        <w:t>Licensed</w:t>
      </w:r>
      <w:r>
        <w:rPr>
          <w:spacing w:val="-2"/>
        </w:rPr>
        <w:t> Managers.</w:t>
      </w:r>
    </w:p>
    <w:p>
      <w:pPr>
        <w:pStyle w:val="BodyText"/>
        <w:spacing w:line="208" w:lineRule="auto" w:before="234"/>
        <w:ind w:right="775" w:firstLine="432"/>
      </w:pPr>
      <w:r>
        <w:rPr>
          <w:b/>
        </w:rPr>
        <w:t>"Contract"</w:t>
      </w:r>
      <w:r>
        <w:rPr>
          <w:b/>
          <w:spacing w:val="-4"/>
        </w:rPr>
        <w:t> </w:t>
      </w:r>
      <w:r>
        <w:rPr/>
        <w:t>means</w:t>
      </w:r>
      <w:r>
        <w:rPr>
          <w:spacing w:val="-4"/>
        </w:rPr>
        <w:t> </w:t>
      </w:r>
      <w:r>
        <w:rPr/>
        <w:t>a</w:t>
      </w:r>
      <w:r>
        <w:rPr>
          <w:spacing w:val="-4"/>
        </w:rPr>
        <w:t> </w:t>
      </w:r>
      <w:r>
        <w:rPr/>
        <w:t>written</w:t>
      </w:r>
      <w:r>
        <w:rPr>
          <w:spacing w:val="-4"/>
        </w:rPr>
        <w:t> </w:t>
      </w:r>
      <w:r>
        <w:rPr/>
        <w:t>agreement</w:t>
      </w:r>
      <w:r>
        <w:rPr>
          <w:spacing w:val="-3"/>
        </w:rPr>
        <w:t> </w:t>
      </w:r>
      <w:r>
        <w:rPr/>
        <w:t>between</w:t>
      </w:r>
      <w:r>
        <w:rPr>
          <w:spacing w:val="-4"/>
        </w:rPr>
        <w:t> </w:t>
      </w:r>
      <w:r>
        <w:rPr/>
        <w:t>the</w:t>
      </w:r>
      <w:r>
        <w:rPr>
          <w:spacing w:val="-4"/>
        </w:rPr>
        <w:t> </w:t>
      </w:r>
      <w:r>
        <w:rPr/>
        <w:t>State</w:t>
      </w:r>
      <w:r>
        <w:rPr>
          <w:spacing w:val="-4"/>
        </w:rPr>
        <w:t> </w:t>
      </w:r>
      <w:r>
        <w:rPr/>
        <w:t>Licensing</w:t>
      </w:r>
      <w:r>
        <w:rPr>
          <w:spacing w:val="-4"/>
        </w:rPr>
        <w:t> </w:t>
      </w:r>
      <w:r>
        <w:rPr/>
        <w:t>Agency</w:t>
      </w:r>
      <w:r>
        <w:rPr>
          <w:spacing w:val="-4"/>
        </w:rPr>
        <w:t> </w:t>
      </w:r>
      <w:r>
        <w:rPr/>
        <w:t>and officials in control of Federal or other property to establish a business enterprise.</w:t>
      </w:r>
    </w:p>
    <w:p>
      <w:pPr>
        <w:pStyle w:val="BodyText"/>
        <w:spacing w:line="208" w:lineRule="auto" w:before="239"/>
        <w:ind w:right="855" w:firstLine="432"/>
      </w:pPr>
      <w:r>
        <w:rPr>
          <w:b/>
        </w:rPr>
        <w:t>"Contract</w:t>
      </w:r>
      <w:r>
        <w:rPr>
          <w:b/>
          <w:spacing w:val="-3"/>
        </w:rPr>
        <w:t> </w:t>
      </w:r>
      <w:r>
        <w:rPr>
          <w:b/>
        </w:rPr>
        <w:t>labor"</w:t>
      </w:r>
      <w:r>
        <w:rPr>
          <w:b/>
          <w:spacing w:val="-4"/>
        </w:rPr>
        <w:t> </w:t>
      </w:r>
      <w:r>
        <w:rPr/>
        <w:t>means</w:t>
      </w:r>
      <w:r>
        <w:rPr>
          <w:spacing w:val="-4"/>
        </w:rPr>
        <w:t> </w:t>
      </w:r>
      <w:r>
        <w:rPr/>
        <w:t>a</w:t>
      </w:r>
      <w:r>
        <w:rPr>
          <w:spacing w:val="-4"/>
        </w:rPr>
        <w:t> </w:t>
      </w:r>
      <w:r>
        <w:rPr/>
        <w:t>person</w:t>
      </w:r>
      <w:r>
        <w:rPr>
          <w:spacing w:val="-4"/>
        </w:rPr>
        <w:t> </w:t>
      </w:r>
      <w:r>
        <w:rPr/>
        <w:t>or</w:t>
      </w:r>
      <w:r>
        <w:rPr>
          <w:spacing w:val="-3"/>
        </w:rPr>
        <w:t> </w:t>
      </w:r>
      <w:r>
        <w:rPr/>
        <w:t>company</w:t>
      </w:r>
      <w:r>
        <w:rPr>
          <w:spacing w:val="-4"/>
        </w:rPr>
        <w:t> </w:t>
      </w:r>
      <w:r>
        <w:rPr/>
        <w:t>that</w:t>
      </w:r>
      <w:r>
        <w:rPr>
          <w:spacing w:val="-3"/>
        </w:rPr>
        <w:t> </w:t>
      </w:r>
      <w:r>
        <w:rPr/>
        <w:t>performs</w:t>
      </w:r>
      <w:r>
        <w:rPr>
          <w:spacing w:val="-5"/>
        </w:rPr>
        <w:t> </w:t>
      </w:r>
      <w:r>
        <w:rPr/>
        <w:t>duties</w:t>
      </w:r>
      <w:r>
        <w:rPr>
          <w:spacing w:val="-4"/>
        </w:rPr>
        <w:t> </w:t>
      </w:r>
      <w:r>
        <w:rPr/>
        <w:t>or</w:t>
      </w:r>
      <w:r>
        <w:rPr>
          <w:spacing w:val="-3"/>
        </w:rPr>
        <w:t> </w:t>
      </w:r>
      <w:r>
        <w:rPr/>
        <w:t>services</w:t>
      </w:r>
      <w:r>
        <w:rPr>
          <w:spacing w:val="-4"/>
        </w:rPr>
        <w:t> </w:t>
      </w:r>
      <w:r>
        <w:rPr/>
        <w:t>not a part of the regular duties of the business enterprise.</w:t>
      </w:r>
    </w:p>
    <w:p>
      <w:pPr>
        <w:pStyle w:val="BodyText"/>
        <w:spacing w:line="208" w:lineRule="auto"/>
        <w:ind w:right="739" w:firstLine="432"/>
      </w:pPr>
      <w:r>
        <w:rPr>
          <w:b/>
        </w:rPr>
        <w:t>"Counselor"</w:t>
      </w:r>
      <w:r>
        <w:rPr>
          <w:b/>
          <w:spacing w:val="-4"/>
        </w:rPr>
        <w:t> </w:t>
      </w:r>
      <w:r>
        <w:rPr/>
        <w:t>means</w:t>
      </w:r>
      <w:r>
        <w:rPr>
          <w:spacing w:val="-5"/>
        </w:rPr>
        <w:t> </w:t>
      </w:r>
      <w:r>
        <w:rPr/>
        <w:t>Division</w:t>
      </w:r>
      <w:r>
        <w:rPr>
          <w:spacing w:val="-4"/>
        </w:rPr>
        <w:t> </w:t>
      </w:r>
      <w:r>
        <w:rPr/>
        <w:t>of</w:t>
      </w:r>
      <w:r>
        <w:rPr>
          <w:spacing w:val="-3"/>
        </w:rPr>
        <w:t> </w:t>
      </w:r>
      <w:r>
        <w:rPr/>
        <w:t>Vocational</w:t>
      </w:r>
      <w:r>
        <w:rPr>
          <w:spacing w:val="-3"/>
        </w:rPr>
        <w:t> </w:t>
      </w:r>
      <w:r>
        <w:rPr/>
        <w:t>Rehabilitation</w:t>
      </w:r>
      <w:r>
        <w:rPr>
          <w:spacing w:val="-4"/>
        </w:rPr>
        <w:t> </w:t>
      </w:r>
      <w:r>
        <w:rPr/>
        <w:t>or</w:t>
      </w:r>
      <w:r>
        <w:rPr>
          <w:spacing w:val="-3"/>
        </w:rPr>
        <w:t> </w:t>
      </w:r>
      <w:r>
        <w:rPr/>
        <w:t>Division</w:t>
      </w:r>
      <w:r>
        <w:rPr>
          <w:spacing w:val="-4"/>
        </w:rPr>
        <w:t> </w:t>
      </w:r>
      <w:r>
        <w:rPr/>
        <w:t>of</w:t>
      </w:r>
      <w:r>
        <w:rPr>
          <w:spacing w:val="-3"/>
        </w:rPr>
        <w:t> </w:t>
      </w:r>
      <w:r>
        <w:rPr/>
        <w:t>Services</w:t>
      </w:r>
      <w:r>
        <w:rPr>
          <w:spacing w:val="-5"/>
        </w:rPr>
        <w:t> </w:t>
      </w:r>
      <w:r>
        <w:rPr/>
        <w:t>for the Blind and Visually Impaired counselors assigned to the State Licensing Agency's program of vocational rehabilitation.</w:t>
      </w:r>
    </w:p>
    <w:p>
      <w:pPr>
        <w:spacing w:line="208" w:lineRule="auto" w:before="240"/>
        <w:ind w:left="360" w:right="775" w:firstLine="432"/>
        <w:jc w:val="left"/>
        <w:rPr>
          <w:sz w:val="24"/>
        </w:rPr>
      </w:pPr>
      <w:r>
        <w:rPr>
          <w:b/>
          <w:sz w:val="24"/>
        </w:rPr>
        <w:t>"Director"</w:t>
      </w:r>
      <w:r>
        <w:rPr>
          <w:b/>
          <w:spacing w:val="-5"/>
          <w:sz w:val="24"/>
        </w:rPr>
        <w:t> </w:t>
      </w:r>
      <w:r>
        <w:rPr>
          <w:sz w:val="24"/>
        </w:rPr>
        <w:t>or</w:t>
      </w:r>
      <w:r>
        <w:rPr>
          <w:spacing w:val="-4"/>
          <w:sz w:val="24"/>
        </w:rPr>
        <w:t> </w:t>
      </w:r>
      <w:r>
        <w:rPr>
          <w:b/>
          <w:sz w:val="24"/>
        </w:rPr>
        <w:t>"Executive</w:t>
      </w:r>
      <w:r>
        <w:rPr>
          <w:b/>
          <w:spacing w:val="-4"/>
          <w:sz w:val="24"/>
        </w:rPr>
        <w:t> </w:t>
      </w:r>
      <w:r>
        <w:rPr>
          <w:b/>
          <w:sz w:val="24"/>
        </w:rPr>
        <w:t>Director"</w:t>
      </w:r>
      <w:r>
        <w:rPr>
          <w:b/>
          <w:spacing w:val="-4"/>
          <w:sz w:val="24"/>
        </w:rPr>
        <w:t> </w:t>
      </w:r>
      <w:r>
        <w:rPr>
          <w:sz w:val="24"/>
        </w:rPr>
        <w:t>means</w:t>
      </w:r>
      <w:r>
        <w:rPr>
          <w:spacing w:val="-4"/>
          <w:sz w:val="24"/>
        </w:rPr>
        <w:t> </w:t>
      </w:r>
      <w:r>
        <w:rPr>
          <w:sz w:val="24"/>
        </w:rPr>
        <w:t>the</w:t>
      </w:r>
      <w:r>
        <w:rPr>
          <w:spacing w:val="-4"/>
          <w:sz w:val="24"/>
        </w:rPr>
        <w:t> </w:t>
      </w:r>
      <w:r>
        <w:rPr>
          <w:sz w:val="24"/>
        </w:rPr>
        <w:t>chief</w:t>
      </w:r>
      <w:r>
        <w:rPr>
          <w:spacing w:val="-3"/>
          <w:sz w:val="24"/>
        </w:rPr>
        <w:t> </w:t>
      </w:r>
      <w:r>
        <w:rPr>
          <w:sz w:val="24"/>
        </w:rPr>
        <w:t>administrator</w:t>
      </w:r>
      <w:r>
        <w:rPr>
          <w:spacing w:val="-5"/>
          <w:sz w:val="24"/>
        </w:rPr>
        <w:t> </w:t>
      </w:r>
      <w:r>
        <w:rPr>
          <w:sz w:val="24"/>
        </w:rPr>
        <w:t>of</w:t>
      </w:r>
      <w:r>
        <w:rPr>
          <w:spacing w:val="-3"/>
          <w:sz w:val="24"/>
        </w:rPr>
        <w:t> </w:t>
      </w:r>
      <w:r>
        <w:rPr>
          <w:sz w:val="24"/>
        </w:rPr>
        <w:t>the</w:t>
      </w:r>
      <w:r>
        <w:rPr>
          <w:spacing w:val="-4"/>
          <w:sz w:val="24"/>
        </w:rPr>
        <w:t> </w:t>
      </w:r>
      <w:r>
        <w:rPr>
          <w:sz w:val="24"/>
        </w:rPr>
        <w:t>State Licensing Agency.</w:t>
      </w:r>
    </w:p>
    <w:p>
      <w:pPr>
        <w:pStyle w:val="BodyText"/>
        <w:spacing w:line="208" w:lineRule="auto"/>
        <w:ind w:right="775" w:firstLine="432"/>
      </w:pPr>
      <w:r>
        <w:rPr>
          <w:b/>
        </w:rPr>
        <w:t>"Displaced</w:t>
      </w:r>
      <w:r>
        <w:rPr>
          <w:b/>
          <w:spacing w:val="-3"/>
        </w:rPr>
        <w:t> </w:t>
      </w:r>
      <w:r>
        <w:rPr>
          <w:b/>
        </w:rPr>
        <w:t>licensed</w:t>
      </w:r>
      <w:r>
        <w:rPr>
          <w:b/>
          <w:spacing w:val="-3"/>
        </w:rPr>
        <w:t> </w:t>
      </w:r>
      <w:r>
        <w:rPr>
          <w:b/>
        </w:rPr>
        <w:t>manager"</w:t>
      </w:r>
      <w:r>
        <w:rPr>
          <w:b/>
          <w:spacing w:val="-3"/>
        </w:rPr>
        <w:t> </w:t>
      </w:r>
      <w:r>
        <w:rPr/>
        <w:t>means</w:t>
      </w:r>
      <w:r>
        <w:rPr>
          <w:spacing w:val="-3"/>
        </w:rPr>
        <w:t> </w:t>
      </w:r>
      <w:r>
        <w:rPr/>
        <w:t>a</w:t>
      </w:r>
      <w:r>
        <w:rPr>
          <w:spacing w:val="-3"/>
        </w:rPr>
        <w:t> </w:t>
      </w:r>
      <w:r>
        <w:rPr/>
        <w:t>licensed</w:t>
      </w:r>
      <w:r>
        <w:rPr>
          <w:spacing w:val="-3"/>
        </w:rPr>
        <w:t> </w:t>
      </w:r>
      <w:r>
        <w:rPr/>
        <w:t>manager</w:t>
      </w:r>
      <w:r>
        <w:rPr>
          <w:spacing w:val="-2"/>
        </w:rPr>
        <w:t> </w:t>
      </w:r>
      <w:r>
        <w:rPr/>
        <w:t>who</w:t>
      </w:r>
      <w:r>
        <w:rPr>
          <w:spacing w:val="-2"/>
        </w:rPr>
        <w:t> </w:t>
      </w:r>
      <w:r>
        <w:rPr/>
        <w:t>has</w:t>
      </w:r>
      <w:r>
        <w:rPr>
          <w:spacing w:val="-3"/>
        </w:rPr>
        <w:t> </w:t>
      </w:r>
      <w:r>
        <w:rPr/>
        <w:t>been displaced</w:t>
      </w:r>
      <w:r>
        <w:rPr>
          <w:spacing w:val="-5"/>
        </w:rPr>
        <w:t> </w:t>
      </w:r>
      <w:r>
        <w:rPr/>
        <w:t>from</w:t>
      </w:r>
      <w:r>
        <w:rPr>
          <w:spacing w:val="-2"/>
        </w:rPr>
        <w:t> </w:t>
      </w:r>
      <w:r>
        <w:rPr/>
        <w:t>his</w:t>
      </w:r>
      <w:r>
        <w:rPr>
          <w:spacing w:val="-2"/>
        </w:rPr>
        <w:t> </w:t>
      </w:r>
      <w:r>
        <w:rPr/>
        <w:t>or</w:t>
      </w:r>
      <w:r>
        <w:rPr>
          <w:spacing w:val="-2"/>
        </w:rPr>
        <w:t> </w:t>
      </w:r>
      <w:r>
        <w:rPr/>
        <w:t>her</w:t>
      </w:r>
      <w:r>
        <w:rPr>
          <w:spacing w:val="-1"/>
        </w:rPr>
        <w:t> </w:t>
      </w:r>
      <w:r>
        <w:rPr/>
        <w:t>business</w:t>
      </w:r>
      <w:r>
        <w:rPr>
          <w:spacing w:val="-2"/>
        </w:rPr>
        <w:t> </w:t>
      </w:r>
      <w:r>
        <w:rPr/>
        <w:t>enterprise</w:t>
      </w:r>
      <w:r>
        <w:rPr>
          <w:spacing w:val="-3"/>
        </w:rPr>
        <w:t> </w:t>
      </w:r>
      <w:r>
        <w:rPr/>
        <w:t>through</w:t>
      </w:r>
      <w:r>
        <w:rPr>
          <w:spacing w:val="-3"/>
        </w:rPr>
        <w:t> </w:t>
      </w:r>
      <w:r>
        <w:rPr/>
        <w:t>no</w:t>
      </w:r>
      <w:r>
        <w:rPr>
          <w:spacing w:val="-3"/>
        </w:rPr>
        <w:t> </w:t>
      </w:r>
      <w:r>
        <w:rPr/>
        <w:t>fault</w:t>
      </w:r>
      <w:r>
        <w:rPr>
          <w:spacing w:val="-1"/>
        </w:rPr>
        <w:t> </w:t>
      </w:r>
      <w:r>
        <w:rPr/>
        <w:t>of</w:t>
      </w:r>
      <w:r>
        <w:rPr>
          <w:spacing w:val="-2"/>
        </w:rPr>
        <w:t> </w:t>
      </w:r>
      <w:r>
        <w:rPr/>
        <w:t>his</w:t>
      </w:r>
      <w:r>
        <w:rPr>
          <w:spacing w:val="-3"/>
        </w:rPr>
        <w:t> </w:t>
      </w:r>
      <w:r>
        <w:rPr/>
        <w:t>or</w:t>
      </w:r>
      <w:r>
        <w:rPr>
          <w:spacing w:val="-2"/>
        </w:rPr>
        <w:t> </w:t>
      </w:r>
      <w:r>
        <w:rPr/>
        <w:t>her</w:t>
      </w:r>
      <w:r>
        <w:rPr>
          <w:spacing w:val="-1"/>
        </w:rPr>
        <w:t> </w:t>
      </w:r>
      <w:r>
        <w:rPr>
          <w:spacing w:val="-4"/>
        </w:rPr>
        <w:t>own.</w:t>
      </w:r>
    </w:p>
    <w:p>
      <w:pPr>
        <w:pStyle w:val="BodyText"/>
        <w:spacing w:line="208" w:lineRule="auto" w:before="239"/>
        <w:ind w:right="775" w:firstLine="432"/>
      </w:pPr>
      <w:r>
        <w:rPr>
          <w:b/>
        </w:rPr>
        <w:t>"Dry/Wet</w:t>
      </w:r>
      <w:r>
        <w:rPr>
          <w:b/>
          <w:spacing w:val="-4"/>
        </w:rPr>
        <w:t> </w:t>
      </w:r>
      <w:r>
        <w:rPr>
          <w:b/>
        </w:rPr>
        <w:t>facility"</w:t>
      </w:r>
      <w:r>
        <w:rPr>
          <w:b/>
          <w:spacing w:val="-6"/>
        </w:rPr>
        <w:t> </w:t>
      </w:r>
      <w:r>
        <w:rPr/>
        <w:t>means</w:t>
      </w:r>
      <w:r>
        <w:rPr>
          <w:spacing w:val="-5"/>
        </w:rPr>
        <w:t> </w:t>
      </w:r>
      <w:r>
        <w:rPr/>
        <w:t>any</w:t>
      </w:r>
      <w:r>
        <w:rPr>
          <w:spacing w:val="-5"/>
        </w:rPr>
        <w:t> </w:t>
      </w:r>
      <w:r>
        <w:rPr/>
        <w:t>business</w:t>
      </w:r>
      <w:r>
        <w:rPr>
          <w:spacing w:val="-5"/>
        </w:rPr>
        <w:t> </w:t>
      </w:r>
      <w:r>
        <w:rPr/>
        <w:t>enterprises</w:t>
      </w:r>
      <w:r>
        <w:rPr>
          <w:spacing w:val="-5"/>
        </w:rPr>
        <w:t> </w:t>
      </w:r>
      <w:r>
        <w:rPr/>
        <w:t>providing</w:t>
      </w:r>
      <w:r>
        <w:rPr>
          <w:spacing w:val="-5"/>
        </w:rPr>
        <w:t> </w:t>
      </w:r>
      <w:r>
        <w:rPr/>
        <w:t>manual</w:t>
      </w:r>
      <w:r>
        <w:rPr>
          <w:spacing w:val="-5"/>
        </w:rPr>
        <w:t> </w:t>
      </w:r>
      <w:r>
        <w:rPr/>
        <w:t>dispensing</w:t>
      </w:r>
      <w:r>
        <w:rPr>
          <w:spacing w:val="-5"/>
        </w:rPr>
        <w:t> </w:t>
      </w:r>
      <w:r>
        <w:rPr/>
        <w:t>of prepackaged articles, refreshments, and services.</w:t>
      </w:r>
    </w:p>
    <w:p>
      <w:pPr>
        <w:spacing w:line="208" w:lineRule="auto" w:before="240"/>
        <w:ind w:left="360" w:right="1036" w:firstLine="432"/>
        <w:jc w:val="left"/>
        <w:rPr>
          <w:sz w:val="24"/>
        </w:rPr>
      </w:pPr>
      <w:r>
        <w:rPr>
          <w:b/>
          <w:sz w:val="24"/>
        </w:rPr>
        <w:t>"Elected</w:t>
      </w:r>
      <w:r>
        <w:rPr>
          <w:b/>
          <w:spacing w:val="-5"/>
          <w:sz w:val="24"/>
        </w:rPr>
        <w:t> </w:t>
      </w:r>
      <w:r>
        <w:rPr>
          <w:b/>
          <w:sz w:val="24"/>
        </w:rPr>
        <w:t>Committee</w:t>
      </w:r>
      <w:r>
        <w:rPr>
          <w:b/>
          <w:spacing w:val="-6"/>
          <w:sz w:val="24"/>
        </w:rPr>
        <w:t> </w:t>
      </w:r>
      <w:r>
        <w:rPr>
          <w:b/>
          <w:sz w:val="24"/>
        </w:rPr>
        <w:t>of</w:t>
      </w:r>
      <w:r>
        <w:rPr>
          <w:b/>
          <w:spacing w:val="-4"/>
          <w:sz w:val="24"/>
        </w:rPr>
        <w:t> </w:t>
      </w:r>
      <w:r>
        <w:rPr>
          <w:b/>
          <w:sz w:val="24"/>
        </w:rPr>
        <w:t>Licensed</w:t>
      </w:r>
      <w:r>
        <w:rPr>
          <w:b/>
          <w:spacing w:val="-5"/>
          <w:sz w:val="24"/>
        </w:rPr>
        <w:t> </w:t>
      </w:r>
      <w:r>
        <w:rPr>
          <w:b/>
          <w:sz w:val="24"/>
        </w:rPr>
        <w:t>Managers</w:t>
      </w:r>
      <w:r>
        <w:rPr>
          <w:b/>
          <w:spacing w:val="-5"/>
          <w:sz w:val="24"/>
        </w:rPr>
        <w:t> </w:t>
      </w:r>
      <w:r>
        <w:rPr>
          <w:b/>
          <w:sz w:val="24"/>
        </w:rPr>
        <w:t>(ECM)"</w:t>
      </w:r>
      <w:r>
        <w:rPr>
          <w:b/>
          <w:spacing w:val="-6"/>
          <w:sz w:val="24"/>
        </w:rPr>
        <w:t> </w:t>
      </w:r>
      <w:r>
        <w:rPr>
          <w:sz w:val="24"/>
        </w:rPr>
        <w:t>means</w:t>
      </w:r>
      <w:r>
        <w:rPr>
          <w:spacing w:val="-5"/>
          <w:sz w:val="24"/>
        </w:rPr>
        <w:t> </w:t>
      </w:r>
      <w:r>
        <w:rPr>
          <w:sz w:val="24"/>
        </w:rPr>
        <w:t>the</w:t>
      </w:r>
      <w:r>
        <w:rPr>
          <w:spacing w:val="-6"/>
          <w:sz w:val="24"/>
        </w:rPr>
        <w:t> </w:t>
      </w:r>
      <w:r>
        <w:rPr>
          <w:sz w:val="24"/>
        </w:rPr>
        <w:t>committee elected biennially by licensed managers in accordance with 34 CFR 395.14.</w:t>
      </w:r>
    </w:p>
    <w:p>
      <w:pPr>
        <w:pStyle w:val="BodyText"/>
        <w:spacing w:line="208" w:lineRule="auto"/>
        <w:ind w:right="948" w:firstLine="432"/>
        <w:jc w:val="both"/>
      </w:pPr>
      <w:r>
        <w:rPr>
          <w:b/>
        </w:rPr>
        <w:t>"Emergency"</w:t>
      </w:r>
      <w:r>
        <w:rPr>
          <w:b/>
          <w:spacing w:val="-5"/>
        </w:rPr>
        <w:t> </w:t>
      </w:r>
      <w:r>
        <w:rPr/>
        <w:t>means</w:t>
      </w:r>
      <w:r>
        <w:rPr>
          <w:spacing w:val="-5"/>
        </w:rPr>
        <w:t> </w:t>
      </w:r>
      <w:r>
        <w:rPr/>
        <w:t>an</w:t>
      </w:r>
      <w:r>
        <w:rPr>
          <w:spacing w:val="-5"/>
        </w:rPr>
        <w:t> </w:t>
      </w:r>
      <w:r>
        <w:rPr/>
        <w:t>unforeseen</w:t>
      </w:r>
      <w:r>
        <w:rPr>
          <w:spacing w:val="-5"/>
        </w:rPr>
        <w:t> </w:t>
      </w:r>
      <w:r>
        <w:rPr/>
        <w:t>circumstance</w:t>
      </w:r>
      <w:r>
        <w:rPr>
          <w:spacing w:val="-5"/>
        </w:rPr>
        <w:t> </w:t>
      </w:r>
      <w:r>
        <w:rPr/>
        <w:t>that</w:t>
      </w:r>
      <w:r>
        <w:rPr>
          <w:spacing w:val="-6"/>
        </w:rPr>
        <w:t> </w:t>
      </w:r>
      <w:r>
        <w:rPr/>
        <w:t>calls</w:t>
      </w:r>
      <w:r>
        <w:rPr>
          <w:spacing w:val="-5"/>
        </w:rPr>
        <w:t> </w:t>
      </w:r>
      <w:r>
        <w:rPr/>
        <w:t>for</w:t>
      </w:r>
      <w:r>
        <w:rPr>
          <w:spacing w:val="-4"/>
        </w:rPr>
        <w:t> </w:t>
      </w:r>
      <w:r>
        <w:rPr/>
        <w:t>immediate</w:t>
      </w:r>
      <w:r>
        <w:rPr>
          <w:spacing w:val="-5"/>
        </w:rPr>
        <w:t> </w:t>
      </w:r>
      <w:r>
        <w:rPr/>
        <w:t>action. When a piece of equipment is out</w:t>
      </w:r>
      <w:r>
        <w:rPr>
          <w:spacing w:val="-1"/>
        </w:rPr>
        <w:t> </w:t>
      </w:r>
      <w:r>
        <w:rPr/>
        <w:t>of order</w:t>
      </w:r>
      <w:r>
        <w:rPr>
          <w:spacing w:val="-1"/>
        </w:rPr>
        <w:t> </w:t>
      </w:r>
      <w:r>
        <w:rPr/>
        <w:t>it is not normally considered an emergency unless it will harm/destroy lives, other equipment or property.</w:t>
      </w:r>
    </w:p>
    <w:p>
      <w:pPr>
        <w:pStyle w:val="BodyText"/>
        <w:spacing w:line="208" w:lineRule="auto"/>
        <w:ind w:right="739" w:firstLine="432"/>
      </w:pPr>
      <w:r>
        <w:rPr>
          <w:b/>
        </w:rPr>
        <w:t>"Employee"</w:t>
      </w:r>
      <w:r>
        <w:rPr>
          <w:b/>
          <w:spacing w:val="-5"/>
        </w:rPr>
        <w:t> </w:t>
      </w:r>
      <w:r>
        <w:rPr/>
        <w:t>means</w:t>
      </w:r>
      <w:r>
        <w:rPr>
          <w:spacing w:val="-6"/>
        </w:rPr>
        <w:t> </w:t>
      </w:r>
      <w:r>
        <w:rPr/>
        <w:t>an</w:t>
      </w:r>
      <w:r>
        <w:rPr>
          <w:spacing w:val="-5"/>
        </w:rPr>
        <w:t> </w:t>
      </w:r>
      <w:r>
        <w:rPr/>
        <w:t>individual</w:t>
      </w:r>
      <w:r>
        <w:rPr>
          <w:spacing w:val="-5"/>
        </w:rPr>
        <w:t> </w:t>
      </w:r>
      <w:r>
        <w:rPr/>
        <w:t>who</w:t>
      </w:r>
      <w:r>
        <w:rPr>
          <w:spacing w:val="-5"/>
        </w:rPr>
        <w:t> </w:t>
      </w:r>
      <w:r>
        <w:rPr/>
        <w:t>receives</w:t>
      </w:r>
      <w:r>
        <w:rPr>
          <w:spacing w:val="-5"/>
        </w:rPr>
        <w:t> </w:t>
      </w:r>
      <w:r>
        <w:rPr/>
        <w:t>compensation</w:t>
      </w:r>
      <w:r>
        <w:rPr>
          <w:spacing w:val="-5"/>
        </w:rPr>
        <w:t> </w:t>
      </w:r>
      <w:r>
        <w:rPr/>
        <w:t>for</w:t>
      </w:r>
      <w:r>
        <w:rPr>
          <w:spacing w:val="-6"/>
        </w:rPr>
        <w:t> </w:t>
      </w:r>
      <w:r>
        <w:rPr/>
        <w:t>services</w:t>
      </w:r>
      <w:r>
        <w:rPr>
          <w:spacing w:val="-5"/>
        </w:rPr>
        <w:t> </w:t>
      </w:r>
      <w:r>
        <w:rPr/>
        <w:t>rendered to a licensed manager.</w:t>
      </w:r>
    </w:p>
    <w:p>
      <w:pPr>
        <w:pStyle w:val="BodyText"/>
        <w:spacing w:line="208" w:lineRule="auto"/>
        <w:ind w:right="775" w:firstLine="432"/>
      </w:pPr>
      <w:r>
        <w:rPr>
          <w:b/>
        </w:rPr>
        <w:t>"Equipment,</w:t>
      </w:r>
      <w:r>
        <w:rPr>
          <w:b/>
          <w:spacing w:val="-3"/>
        </w:rPr>
        <w:t> </w:t>
      </w:r>
      <w:r>
        <w:rPr>
          <w:b/>
        </w:rPr>
        <w:t>expendable"</w:t>
      </w:r>
      <w:r>
        <w:rPr>
          <w:b/>
          <w:spacing w:val="-4"/>
        </w:rPr>
        <w:t> </w:t>
      </w:r>
      <w:r>
        <w:rPr/>
        <w:t>means</w:t>
      </w:r>
      <w:r>
        <w:rPr>
          <w:spacing w:val="-4"/>
        </w:rPr>
        <w:t> </w:t>
      </w:r>
      <w:r>
        <w:rPr/>
        <w:t>items</w:t>
      </w:r>
      <w:r>
        <w:rPr>
          <w:spacing w:val="-4"/>
        </w:rPr>
        <w:t> </w:t>
      </w:r>
      <w:r>
        <w:rPr/>
        <w:t>having</w:t>
      </w:r>
      <w:r>
        <w:rPr>
          <w:spacing w:val="-4"/>
        </w:rPr>
        <w:t> </w:t>
      </w:r>
      <w:r>
        <w:rPr/>
        <w:t>a</w:t>
      </w:r>
      <w:r>
        <w:rPr>
          <w:spacing w:val="-4"/>
        </w:rPr>
        <w:t> </w:t>
      </w:r>
      <w:r>
        <w:rPr/>
        <w:t>relatively</w:t>
      </w:r>
      <w:r>
        <w:rPr>
          <w:spacing w:val="-4"/>
        </w:rPr>
        <w:t> </w:t>
      </w:r>
      <w:r>
        <w:rPr/>
        <w:t>small</w:t>
      </w:r>
      <w:r>
        <w:rPr>
          <w:spacing w:val="-4"/>
        </w:rPr>
        <w:t> </w:t>
      </w:r>
      <w:r>
        <w:rPr/>
        <w:t>cost</w:t>
      </w:r>
      <w:r>
        <w:rPr>
          <w:spacing w:val="-3"/>
        </w:rPr>
        <w:t> </w:t>
      </w:r>
      <w:r>
        <w:rPr/>
        <w:t>per</w:t>
      </w:r>
      <w:r>
        <w:rPr>
          <w:spacing w:val="-3"/>
        </w:rPr>
        <w:t> </w:t>
      </w:r>
      <w:r>
        <w:rPr/>
        <w:t>item</w:t>
      </w:r>
      <w:r>
        <w:rPr>
          <w:spacing w:val="-3"/>
        </w:rPr>
        <w:t> </w:t>
      </w:r>
      <w:r>
        <w:rPr/>
        <w:t>and having a relatively short life expectancy.</w:t>
      </w:r>
    </w:p>
    <w:p>
      <w:pPr>
        <w:pStyle w:val="BodyText"/>
        <w:spacing w:line="208" w:lineRule="auto" w:before="239"/>
        <w:ind w:right="947" w:firstLine="432"/>
        <w:jc w:val="both"/>
      </w:pPr>
      <w:r>
        <w:rPr>
          <w:b/>
        </w:rPr>
        <w:t>"Equipment,</w:t>
      </w:r>
      <w:r>
        <w:rPr>
          <w:b/>
          <w:spacing w:val="-5"/>
        </w:rPr>
        <w:t> </w:t>
      </w:r>
      <w:r>
        <w:rPr>
          <w:b/>
        </w:rPr>
        <w:t>non-expendable"</w:t>
      </w:r>
      <w:r>
        <w:rPr>
          <w:b/>
          <w:spacing w:val="-5"/>
        </w:rPr>
        <w:t> </w:t>
      </w:r>
      <w:r>
        <w:rPr/>
        <w:t>means</w:t>
      </w:r>
      <w:r>
        <w:rPr>
          <w:spacing w:val="-5"/>
        </w:rPr>
        <w:t> </w:t>
      </w:r>
      <w:r>
        <w:rPr/>
        <w:t>all</w:t>
      </w:r>
      <w:r>
        <w:rPr>
          <w:spacing w:val="-5"/>
        </w:rPr>
        <w:t> </w:t>
      </w:r>
      <w:r>
        <w:rPr/>
        <w:t>necessary</w:t>
      </w:r>
      <w:r>
        <w:rPr>
          <w:spacing w:val="-5"/>
        </w:rPr>
        <w:t> </w:t>
      </w:r>
      <w:r>
        <w:rPr/>
        <w:t>equipment</w:t>
      </w:r>
      <w:r>
        <w:rPr>
          <w:spacing w:val="-4"/>
        </w:rPr>
        <w:t> </w:t>
      </w:r>
      <w:r>
        <w:rPr/>
        <w:t>which</w:t>
      </w:r>
      <w:r>
        <w:rPr>
          <w:spacing w:val="-5"/>
        </w:rPr>
        <w:t> </w:t>
      </w:r>
      <w:r>
        <w:rPr/>
        <w:t>requires</w:t>
      </w:r>
      <w:r>
        <w:rPr>
          <w:spacing w:val="-5"/>
        </w:rPr>
        <w:t> </w:t>
      </w:r>
      <w:r>
        <w:rPr/>
        <w:t>a relatively high capital outlay and has a normal life expectancy of several years.</w:t>
      </w:r>
    </w:p>
    <w:p>
      <w:pPr>
        <w:pStyle w:val="BodyText"/>
        <w:spacing w:line="208" w:lineRule="auto"/>
        <w:ind w:right="775" w:firstLine="432"/>
      </w:pPr>
      <w:r>
        <w:rPr>
          <w:b/>
        </w:rPr>
        <w:t>"Federal</w:t>
      </w:r>
      <w:r>
        <w:rPr>
          <w:b/>
          <w:spacing w:val="-3"/>
        </w:rPr>
        <w:t> </w:t>
      </w:r>
      <w:r>
        <w:rPr>
          <w:b/>
        </w:rPr>
        <w:t>property"</w:t>
      </w:r>
      <w:r>
        <w:rPr>
          <w:b/>
          <w:spacing w:val="-3"/>
        </w:rPr>
        <w:t> </w:t>
      </w:r>
      <w:r>
        <w:rPr/>
        <w:t>means</w:t>
      </w:r>
      <w:r>
        <w:rPr>
          <w:spacing w:val="-4"/>
        </w:rPr>
        <w:t> </w:t>
      </w:r>
      <w:r>
        <w:rPr/>
        <w:t>any</w:t>
      </w:r>
      <w:r>
        <w:rPr>
          <w:spacing w:val="-4"/>
        </w:rPr>
        <w:t> </w:t>
      </w:r>
      <w:r>
        <w:rPr/>
        <w:t>building,</w:t>
      </w:r>
      <w:r>
        <w:rPr>
          <w:spacing w:val="-3"/>
        </w:rPr>
        <w:t> </w:t>
      </w:r>
      <w:r>
        <w:rPr/>
        <w:t>land</w:t>
      </w:r>
      <w:r>
        <w:rPr>
          <w:spacing w:val="-4"/>
        </w:rPr>
        <w:t> </w:t>
      </w:r>
      <w:r>
        <w:rPr/>
        <w:t>or</w:t>
      </w:r>
      <w:r>
        <w:rPr>
          <w:spacing w:val="-3"/>
        </w:rPr>
        <w:t> </w:t>
      </w:r>
      <w:r>
        <w:rPr/>
        <w:t>other</w:t>
      </w:r>
      <w:r>
        <w:rPr>
          <w:spacing w:val="-5"/>
        </w:rPr>
        <w:t> </w:t>
      </w:r>
      <w:r>
        <w:rPr/>
        <w:t>real</w:t>
      </w:r>
      <w:r>
        <w:rPr>
          <w:spacing w:val="-4"/>
        </w:rPr>
        <w:t> </w:t>
      </w:r>
      <w:r>
        <w:rPr/>
        <w:t>property</w:t>
      </w:r>
      <w:r>
        <w:rPr>
          <w:spacing w:val="-4"/>
        </w:rPr>
        <w:t> </w:t>
      </w:r>
      <w:r>
        <w:rPr/>
        <w:t>owned,</w:t>
      </w:r>
      <w:r>
        <w:rPr>
          <w:spacing w:val="-3"/>
        </w:rPr>
        <w:t> </w:t>
      </w:r>
      <w:r>
        <w:rPr/>
        <w:t>leased, or occupied by any department, agency, or instrumentality of the United States (including the Department of Defense and the United States Postal Service), or any other instrumentality wholly owned by the United States.</w:t>
      </w:r>
    </w:p>
    <w:p>
      <w:pPr>
        <w:spacing w:line="208" w:lineRule="auto" w:before="240"/>
        <w:ind w:left="360" w:right="775" w:firstLine="432"/>
        <w:jc w:val="left"/>
        <w:rPr>
          <w:sz w:val="24"/>
        </w:rPr>
      </w:pPr>
      <w:r>
        <w:rPr>
          <w:b/>
          <w:sz w:val="24"/>
        </w:rPr>
        <w:t>"Federal</w:t>
      </w:r>
      <w:r>
        <w:rPr>
          <w:b/>
          <w:spacing w:val="-4"/>
          <w:sz w:val="24"/>
        </w:rPr>
        <w:t> </w:t>
      </w:r>
      <w:r>
        <w:rPr>
          <w:b/>
          <w:sz w:val="24"/>
        </w:rPr>
        <w:t>regulations"</w:t>
      </w:r>
      <w:r>
        <w:rPr>
          <w:b/>
          <w:spacing w:val="-5"/>
          <w:sz w:val="24"/>
        </w:rPr>
        <w:t> </w:t>
      </w:r>
      <w:r>
        <w:rPr>
          <w:sz w:val="24"/>
        </w:rPr>
        <w:t>means</w:t>
      </w:r>
      <w:r>
        <w:rPr>
          <w:spacing w:val="-5"/>
          <w:sz w:val="24"/>
        </w:rPr>
        <w:t> </w:t>
      </w:r>
      <w:r>
        <w:rPr>
          <w:sz w:val="24"/>
        </w:rPr>
        <w:t>the</w:t>
      </w:r>
      <w:r>
        <w:rPr>
          <w:spacing w:val="-5"/>
          <w:sz w:val="24"/>
        </w:rPr>
        <w:t> </w:t>
      </w:r>
      <w:r>
        <w:rPr>
          <w:sz w:val="24"/>
        </w:rPr>
        <w:t>regulations</w:t>
      </w:r>
      <w:r>
        <w:rPr>
          <w:spacing w:val="-5"/>
          <w:sz w:val="24"/>
        </w:rPr>
        <w:t> </w:t>
      </w:r>
      <w:r>
        <w:rPr>
          <w:sz w:val="24"/>
        </w:rPr>
        <w:t>issued</w:t>
      </w:r>
      <w:r>
        <w:rPr>
          <w:spacing w:val="-5"/>
          <w:sz w:val="24"/>
        </w:rPr>
        <w:t> </w:t>
      </w:r>
      <w:r>
        <w:rPr>
          <w:sz w:val="24"/>
        </w:rPr>
        <w:t>pursuant</w:t>
      </w:r>
      <w:r>
        <w:rPr>
          <w:spacing w:val="-4"/>
          <w:sz w:val="24"/>
        </w:rPr>
        <w:t> </w:t>
      </w:r>
      <w:r>
        <w:rPr>
          <w:sz w:val="24"/>
        </w:rPr>
        <w:t>to</w:t>
      </w:r>
      <w:r>
        <w:rPr>
          <w:spacing w:val="-5"/>
          <w:sz w:val="24"/>
        </w:rPr>
        <w:t> </w:t>
      </w:r>
      <w:r>
        <w:rPr>
          <w:sz w:val="24"/>
        </w:rPr>
        <w:t>the</w:t>
      </w:r>
      <w:r>
        <w:rPr>
          <w:spacing w:val="-5"/>
          <w:sz w:val="24"/>
        </w:rPr>
        <w:t> </w:t>
      </w:r>
      <w:r>
        <w:rPr>
          <w:sz w:val="24"/>
        </w:rPr>
        <w:t>Randolph- Sheppard Act.</w:t>
      </w:r>
    </w:p>
    <w:p>
      <w:pPr>
        <w:pStyle w:val="BodyText"/>
        <w:spacing w:line="208" w:lineRule="auto"/>
        <w:ind w:right="775" w:firstLine="432"/>
      </w:pPr>
      <w:r>
        <w:rPr>
          <w:b/>
        </w:rPr>
        <w:t>"Grantor" </w:t>
      </w:r>
      <w:r>
        <w:rPr/>
        <w:t>means a Federal, State, County, Parish, city government, private corporation, company, partnership or individual, who grants a permit or enters into an agreement</w:t>
      </w:r>
      <w:r>
        <w:rPr>
          <w:spacing w:val="-3"/>
        </w:rPr>
        <w:t> </w:t>
      </w:r>
      <w:r>
        <w:rPr/>
        <w:t>with</w:t>
      </w:r>
      <w:r>
        <w:rPr>
          <w:spacing w:val="-4"/>
        </w:rPr>
        <w:t> </w:t>
      </w:r>
      <w:r>
        <w:rPr/>
        <w:t>the</w:t>
      </w:r>
      <w:r>
        <w:rPr>
          <w:spacing w:val="-4"/>
        </w:rPr>
        <w:t> </w:t>
      </w:r>
      <w:r>
        <w:rPr/>
        <w:t>State</w:t>
      </w:r>
      <w:r>
        <w:rPr>
          <w:spacing w:val="-4"/>
        </w:rPr>
        <w:t> </w:t>
      </w:r>
      <w:r>
        <w:rPr/>
        <w:t>Licensing</w:t>
      </w:r>
      <w:r>
        <w:rPr>
          <w:spacing w:val="-4"/>
        </w:rPr>
        <w:t> </w:t>
      </w:r>
      <w:r>
        <w:rPr/>
        <w:t>Agency</w:t>
      </w:r>
      <w:r>
        <w:rPr>
          <w:spacing w:val="-3"/>
        </w:rPr>
        <w:t> </w:t>
      </w:r>
      <w:r>
        <w:rPr/>
        <w:t>to</w:t>
      </w:r>
      <w:r>
        <w:rPr>
          <w:spacing w:val="-4"/>
        </w:rPr>
        <w:t> </w:t>
      </w:r>
      <w:r>
        <w:rPr/>
        <w:t>operate</w:t>
      </w:r>
      <w:r>
        <w:rPr>
          <w:spacing w:val="-5"/>
        </w:rPr>
        <w:t> </w:t>
      </w:r>
      <w:r>
        <w:rPr/>
        <w:t>a</w:t>
      </w:r>
      <w:r>
        <w:rPr>
          <w:spacing w:val="-4"/>
        </w:rPr>
        <w:t> </w:t>
      </w:r>
      <w:r>
        <w:rPr/>
        <w:t>business</w:t>
      </w:r>
      <w:r>
        <w:rPr>
          <w:spacing w:val="-3"/>
        </w:rPr>
        <w:t> </w:t>
      </w:r>
      <w:r>
        <w:rPr/>
        <w:t>enterprise</w:t>
      </w:r>
      <w:r>
        <w:rPr>
          <w:spacing w:val="-4"/>
        </w:rPr>
        <w:t> </w:t>
      </w:r>
      <w:r>
        <w:rPr/>
        <w:t>on</w:t>
      </w:r>
      <w:r>
        <w:rPr>
          <w:spacing w:val="-4"/>
        </w:rPr>
        <w:t> </w:t>
      </w:r>
      <w:r>
        <w:rPr/>
        <w:t>its/their </w:t>
      </w:r>
      <w:r>
        <w:rPr>
          <w:spacing w:val="-2"/>
        </w:rPr>
        <w:t>property.</w:t>
      </w:r>
    </w:p>
    <w:p>
      <w:pPr>
        <w:pStyle w:val="BodyText"/>
        <w:spacing w:after="0" w:line="208" w:lineRule="auto"/>
        <w:sectPr>
          <w:pgSz w:w="12240" w:h="15840"/>
          <w:pgMar w:top="1340" w:bottom="280" w:left="1080" w:right="720"/>
        </w:sectPr>
      </w:pPr>
    </w:p>
    <w:p>
      <w:pPr>
        <w:pStyle w:val="BodyText"/>
        <w:spacing w:line="208" w:lineRule="auto" w:before="96"/>
        <w:ind w:right="775" w:firstLine="432"/>
      </w:pPr>
      <w:r>
        <w:rPr>
          <w:b/>
        </w:rPr>
        <w:t>"Grantor's agreement" </w:t>
      </w:r>
      <w:r>
        <w:rPr/>
        <w:t>means a written document between a Grantor and the State</w:t>
      </w:r>
      <w:r>
        <w:rPr>
          <w:spacing w:val="-4"/>
        </w:rPr>
        <w:t> </w:t>
      </w:r>
      <w:r>
        <w:rPr/>
        <w:t>Licensing</w:t>
      </w:r>
      <w:r>
        <w:rPr>
          <w:spacing w:val="-4"/>
        </w:rPr>
        <w:t> </w:t>
      </w:r>
      <w:r>
        <w:rPr/>
        <w:t>Agency</w:t>
      </w:r>
      <w:r>
        <w:rPr>
          <w:spacing w:val="-4"/>
        </w:rPr>
        <w:t> </w:t>
      </w:r>
      <w:r>
        <w:rPr/>
        <w:t>which</w:t>
      </w:r>
      <w:r>
        <w:rPr>
          <w:spacing w:val="-4"/>
        </w:rPr>
        <w:t> </w:t>
      </w:r>
      <w:r>
        <w:rPr/>
        <w:t>sets</w:t>
      </w:r>
      <w:r>
        <w:rPr>
          <w:spacing w:val="-4"/>
        </w:rPr>
        <w:t> </w:t>
      </w:r>
      <w:r>
        <w:rPr/>
        <w:t>forth</w:t>
      </w:r>
      <w:r>
        <w:rPr>
          <w:spacing w:val="-5"/>
        </w:rPr>
        <w:t> </w:t>
      </w:r>
      <w:r>
        <w:rPr/>
        <w:t>the</w:t>
      </w:r>
      <w:r>
        <w:rPr>
          <w:spacing w:val="-5"/>
        </w:rPr>
        <w:t> </w:t>
      </w:r>
      <w:r>
        <w:rPr/>
        <w:t>terms,</w:t>
      </w:r>
      <w:r>
        <w:rPr>
          <w:spacing w:val="-3"/>
        </w:rPr>
        <w:t> </w:t>
      </w:r>
      <w:r>
        <w:rPr/>
        <w:t>conditions</w:t>
      </w:r>
      <w:r>
        <w:rPr>
          <w:spacing w:val="-4"/>
        </w:rPr>
        <w:t> </w:t>
      </w:r>
      <w:r>
        <w:rPr/>
        <w:t>and</w:t>
      </w:r>
      <w:r>
        <w:rPr>
          <w:spacing w:val="-4"/>
        </w:rPr>
        <w:t> </w:t>
      </w:r>
      <w:r>
        <w:rPr/>
        <w:t>responsibilities</w:t>
      </w:r>
      <w:r>
        <w:rPr>
          <w:spacing w:val="-4"/>
        </w:rPr>
        <w:t> </w:t>
      </w:r>
      <w:r>
        <w:rPr/>
        <w:t>of</w:t>
      </w:r>
      <w:r>
        <w:rPr>
          <w:spacing w:val="-3"/>
        </w:rPr>
        <w:t> </w:t>
      </w:r>
      <w:r>
        <w:rPr/>
        <w:t>all parties to the agreement for the operation of a business enterprise on private and/or public property.</w:t>
      </w:r>
    </w:p>
    <w:p>
      <w:pPr>
        <w:spacing w:line="248" w:lineRule="exact" w:before="210"/>
        <w:ind w:left="792" w:right="0" w:firstLine="0"/>
        <w:jc w:val="left"/>
        <w:rPr>
          <w:sz w:val="24"/>
        </w:rPr>
      </w:pPr>
      <w:r>
        <w:rPr>
          <w:b/>
          <w:sz w:val="24"/>
        </w:rPr>
        <w:t>"Gross</w:t>
      </w:r>
      <w:r>
        <w:rPr>
          <w:b/>
          <w:spacing w:val="-6"/>
          <w:sz w:val="24"/>
        </w:rPr>
        <w:t> </w:t>
      </w:r>
      <w:r>
        <w:rPr>
          <w:b/>
          <w:sz w:val="24"/>
        </w:rPr>
        <w:t>receipts"</w:t>
      </w:r>
      <w:r>
        <w:rPr>
          <w:b/>
          <w:spacing w:val="-3"/>
          <w:sz w:val="24"/>
        </w:rPr>
        <w:t> </w:t>
      </w:r>
      <w:r>
        <w:rPr>
          <w:sz w:val="24"/>
        </w:rPr>
        <w:t>means</w:t>
      </w:r>
      <w:r>
        <w:rPr>
          <w:spacing w:val="-4"/>
          <w:sz w:val="24"/>
        </w:rPr>
        <w:t> </w:t>
      </w:r>
      <w:r>
        <w:rPr>
          <w:sz w:val="24"/>
        </w:rPr>
        <w:t>all</w:t>
      </w:r>
      <w:r>
        <w:rPr>
          <w:spacing w:val="-3"/>
          <w:sz w:val="24"/>
        </w:rPr>
        <w:t> </w:t>
      </w:r>
      <w:r>
        <w:rPr>
          <w:sz w:val="24"/>
        </w:rPr>
        <w:t>revenue</w:t>
      </w:r>
      <w:r>
        <w:rPr>
          <w:spacing w:val="-3"/>
          <w:sz w:val="24"/>
        </w:rPr>
        <w:t> </w:t>
      </w:r>
      <w:r>
        <w:rPr>
          <w:sz w:val="24"/>
        </w:rPr>
        <w:t>from</w:t>
      </w:r>
      <w:r>
        <w:rPr>
          <w:spacing w:val="-3"/>
          <w:sz w:val="24"/>
        </w:rPr>
        <w:t> </w:t>
      </w:r>
      <w:r>
        <w:rPr>
          <w:sz w:val="24"/>
        </w:rPr>
        <w:t>a</w:t>
      </w:r>
      <w:r>
        <w:rPr>
          <w:spacing w:val="-4"/>
          <w:sz w:val="24"/>
        </w:rPr>
        <w:t> </w:t>
      </w:r>
      <w:r>
        <w:rPr>
          <w:sz w:val="24"/>
        </w:rPr>
        <w:t>business</w:t>
      </w:r>
      <w:r>
        <w:rPr>
          <w:spacing w:val="-4"/>
          <w:sz w:val="24"/>
        </w:rPr>
        <w:t> </w:t>
      </w:r>
      <w:r>
        <w:rPr>
          <w:sz w:val="24"/>
        </w:rPr>
        <w:t>enterprise,</w:t>
      </w:r>
      <w:r>
        <w:rPr>
          <w:spacing w:val="-2"/>
          <w:sz w:val="24"/>
        </w:rPr>
        <w:t> </w:t>
      </w:r>
      <w:r>
        <w:rPr>
          <w:sz w:val="24"/>
        </w:rPr>
        <w:t>including</w:t>
      </w:r>
      <w:r>
        <w:rPr>
          <w:spacing w:val="-3"/>
          <w:sz w:val="24"/>
        </w:rPr>
        <w:t> </w:t>
      </w:r>
      <w:r>
        <w:rPr>
          <w:spacing w:val="-2"/>
          <w:sz w:val="24"/>
        </w:rPr>
        <w:t>sales</w:t>
      </w:r>
    </w:p>
    <w:p>
      <w:pPr>
        <w:pStyle w:val="BodyText"/>
        <w:spacing w:line="269" w:lineRule="exact" w:before="0"/>
      </w:pPr>
      <w:r>
        <w:rPr>
          <w:spacing w:val="-4"/>
        </w:rPr>
        <w:t>tax.</w:t>
      </w:r>
    </w:p>
    <w:p>
      <w:pPr>
        <w:spacing w:line="248" w:lineRule="exact" w:before="204"/>
        <w:ind w:left="792" w:right="0" w:firstLine="0"/>
        <w:jc w:val="left"/>
        <w:rPr>
          <w:sz w:val="24"/>
        </w:rPr>
      </w:pPr>
      <w:r>
        <w:rPr>
          <w:b/>
          <w:sz w:val="24"/>
        </w:rPr>
        <w:t>"Inactive</w:t>
      </w:r>
      <w:r>
        <w:rPr>
          <w:b/>
          <w:spacing w:val="-6"/>
          <w:sz w:val="24"/>
        </w:rPr>
        <w:t> </w:t>
      </w:r>
      <w:r>
        <w:rPr>
          <w:b/>
          <w:sz w:val="24"/>
        </w:rPr>
        <w:t>Licensee"</w:t>
      </w:r>
      <w:r>
        <w:rPr>
          <w:b/>
          <w:spacing w:val="-3"/>
          <w:sz w:val="24"/>
        </w:rPr>
        <w:t> </w:t>
      </w:r>
      <w:r>
        <w:rPr>
          <w:sz w:val="24"/>
        </w:rPr>
        <w:t>means</w:t>
      </w:r>
      <w:r>
        <w:rPr>
          <w:spacing w:val="-3"/>
          <w:sz w:val="24"/>
        </w:rPr>
        <w:t> </w:t>
      </w:r>
      <w:r>
        <w:rPr>
          <w:sz w:val="24"/>
        </w:rPr>
        <w:t>a</w:t>
      </w:r>
      <w:r>
        <w:rPr>
          <w:spacing w:val="-3"/>
          <w:sz w:val="24"/>
        </w:rPr>
        <w:t> </w:t>
      </w:r>
      <w:r>
        <w:rPr>
          <w:sz w:val="24"/>
        </w:rPr>
        <w:t>licensed</w:t>
      </w:r>
      <w:r>
        <w:rPr>
          <w:spacing w:val="-3"/>
          <w:sz w:val="24"/>
        </w:rPr>
        <w:t> </w:t>
      </w:r>
      <w:r>
        <w:rPr>
          <w:sz w:val="24"/>
        </w:rPr>
        <w:t>individual</w:t>
      </w:r>
      <w:r>
        <w:rPr>
          <w:spacing w:val="-3"/>
          <w:sz w:val="24"/>
        </w:rPr>
        <w:t> </w:t>
      </w:r>
      <w:r>
        <w:rPr>
          <w:sz w:val="24"/>
        </w:rPr>
        <w:t>who</w:t>
      </w:r>
      <w:r>
        <w:rPr>
          <w:spacing w:val="-4"/>
          <w:sz w:val="24"/>
        </w:rPr>
        <w:t> </w:t>
      </w:r>
      <w:r>
        <w:rPr>
          <w:sz w:val="24"/>
        </w:rPr>
        <w:t>is</w:t>
      </w:r>
      <w:r>
        <w:rPr>
          <w:spacing w:val="-3"/>
          <w:sz w:val="24"/>
        </w:rPr>
        <w:t> </w:t>
      </w:r>
      <w:r>
        <w:rPr>
          <w:sz w:val="24"/>
        </w:rPr>
        <w:t>not</w:t>
      </w:r>
      <w:r>
        <w:rPr>
          <w:spacing w:val="-2"/>
          <w:sz w:val="24"/>
        </w:rPr>
        <w:t> </w:t>
      </w:r>
      <w:r>
        <w:rPr>
          <w:sz w:val="24"/>
        </w:rPr>
        <w:t>currently</w:t>
      </w:r>
      <w:r>
        <w:rPr>
          <w:spacing w:val="-3"/>
          <w:sz w:val="24"/>
        </w:rPr>
        <w:t> </w:t>
      </w:r>
      <w:r>
        <w:rPr>
          <w:sz w:val="24"/>
        </w:rPr>
        <w:t>working</w:t>
      </w:r>
      <w:r>
        <w:rPr>
          <w:spacing w:val="-3"/>
          <w:sz w:val="24"/>
        </w:rPr>
        <w:t> </w:t>
      </w:r>
      <w:r>
        <w:rPr>
          <w:sz w:val="24"/>
        </w:rPr>
        <w:t>in</w:t>
      </w:r>
      <w:r>
        <w:rPr>
          <w:spacing w:val="-3"/>
          <w:sz w:val="24"/>
        </w:rPr>
        <w:t> </w:t>
      </w:r>
      <w:r>
        <w:rPr>
          <w:spacing w:val="-5"/>
          <w:sz w:val="24"/>
        </w:rPr>
        <w:t>the</w:t>
      </w:r>
    </w:p>
    <w:p>
      <w:pPr>
        <w:pStyle w:val="BodyText"/>
        <w:spacing w:line="268" w:lineRule="exact" w:before="0"/>
      </w:pPr>
      <w:r>
        <w:rPr/>
        <w:t>Business</w:t>
      </w:r>
      <w:r>
        <w:rPr>
          <w:spacing w:val="-5"/>
        </w:rPr>
        <w:t> </w:t>
      </w:r>
      <w:r>
        <w:rPr/>
        <w:t>Enterprise</w:t>
      </w:r>
      <w:r>
        <w:rPr>
          <w:spacing w:val="-4"/>
        </w:rPr>
        <w:t> </w:t>
      </w:r>
      <w:r>
        <w:rPr>
          <w:spacing w:val="-2"/>
        </w:rPr>
        <w:t>Program.</w:t>
      </w:r>
    </w:p>
    <w:p>
      <w:pPr>
        <w:pStyle w:val="BodyText"/>
        <w:spacing w:line="208" w:lineRule="auto" w:before="233"/>
        <w:ind w:right="1036" w:firstLine="432"/>
      </w:pPr>
      <w:r>
        <w:rPr>
          <w:b/>
        </w:rPr>
        <w:t>"Initial</w:t>
      </w:r>
      <w:r>
        <w:rPr>
          <w:b/>
          <w:spacing w:val="-3"/>
        </w:rPr>
        <w:t> </w:t>
      </w:r>
      <w:r>
        <w:rPr>
          <w:b/>
        </w:rPr>
        <w:t>stock</w:t>
      </w:r>
      <w:r>
        <w:rPr>
          <w:b/>
          <w:spacing w:val="-4"/>
        </w:rPr>
        <w:t> </w:t>
      </w:r>
      <w:r>
        <w:rPr>
          <w:b/>
        </w:rPr>
        <w:t>and</w:t>
      </w:r>
      <w:r>
        <w:rPr>
          <w:b/>
          <w:spacing w:val="-4"/>
        </w:rPr>
        <w:t> </w:t>
      </w:r>
      <w:r>
        <w:rPr>
          <w:b/>
        </w:rPr>
        <w:t>supplies"</w:t>
      </w:r>
      <w:r>
        <w:rPr>
          <w:b/>
          <w:spacing w:val="-4"/>
        </w:rPr>
        <w:t> </w:t>
      </w:r>
      <w:r>
        <w:rPr/>
        <w:t>means</w:t>
      </w:r>
      <w:r>
        <w:rPr>
          <w:spacing w:val="-4"/>
        </w:rPr>
        <w:t> </w:t>
      </w:r>
      <w:r>
        <w:rPr/>
        <w:t>those</w:t>
      </w:r>
      <w:r>
        <w:rPr>
          <w:spacing w:val="-4"/>
        </w:rPr>
        <w:t> </w:t>
      </w:r>
      <w:r>
        <w:rPr/>
        <w:t>resalable</w:t>
      </w:r>
      <w:r>
        <w:rPr>
          <w:spacing w:val="-4"/>
        </w:rPr>
        <w:t> </w:t>
      </w:r>
      <w:r>
        <w:rPr/>
        <w:t>items</w:t>
      </w:r>
      <w:r>
        <w:rPr>
          <w:spacing w:val="-4"/>
        </w:rPr>
        <w:t> </w:t>
      </w:r>
      <w:r>
        <w:rPr/>
        <w:t>or</w:t>
      </w:r>
      <w:r>
        <w:rPr>
          <w:spacing w:val="-3"/>
        </w:rPr>
        <w:t> </w:t>
      </w:r>
      <w:r>
        <w:rPr/>
        <w:t>supplies</w:t>
      </w:r>
      <w:r>
        <w:rPr>
          <w:spacing w:val="-4"/>
        </w:rPr>
        <w:t> </w:t>
      </w:r>
      <w:r>
        <w:rPr/>
        <w:t>necessary for the opening and operation of a specific type of business enterprise.</w:t>
      </w:r>
    </w:p>
    <w:p>
      <w:pPr>
        <w:pStyle w:val="BodyText"/>
        <w:spacing w:line="208" w:lineRule="auto"/>
        <w:ind w:right="775" w:firstLine="432"/>
      </w:pPr>
      <w:r>
        <w:rPr>
          <w:b/>
        </w:rPr>
        <w:t>"Interim</w:t>
      </w:r>
      <w:r>
        <w:rPr>
          <w:b/>
          <w:spacing w:val="-5"/>
        </w:rPr>
        <w:t> </w:t>
      </w:r>
      <w:r>
        <w:rPr>
          <w:b/>
        </w:rPr>
        <w:t>manager"</w:t>
      </w:r>
      <w:r>
        <w:rPr>
          <w:b/>
          <w:spacing w:val="-4"/>
        </w:rPr>
        <w:t> </w:t>
      </w:r>
      <w:r>
        <w:rPr/>
        <w:t>means</w:t>
      </w:r>
      <w:r>
        <w:rPr>
          <w:spacing w:val="-4"/>
        </w:rPr>
        <w:t> </w:t>
      </w:r>
      <w:r>
        <w:rPr/>
        <w:t>a</w:t>
      </w:r>
      <w:r>
        <w:rPr>
          <w:spacing w:val="-4"/>
        </w:rPr>
        <w:t> </w:t>
      </w:r>
      <w:r>
        <w:rPr/>
        <w:t>licensed</w:t>
      </w:r>
      <w:r>
        <w:rPr>
          <w:spacing w:val="-4"/>
        </w:rPr>
        <w:t> </w:t>
      </w:r>
      <w:r>
        <w:rPr/>
        <w:t>manager</w:t>
      </w:r>
      <w:r>
        <w:rPr>
          <w:spacing w:val="-3"/>
        </w:rPr>
        <w:t> </w:t>
      </w:r>
      <w:r>
        <w:rPr/>
        <w:t>appointed</w:t>
      </w:r>
      <w:r>
        <w:rPr>
          <w:spacing w:val="-4"/>
        </w:rPr>
        <w:t> </w:t>
      </w:r>
      <w:r>
        <w:rPr/>
        <w:t>to</w:t>
      </w:r>
      <w:r>
        <w:rPr>
          <w:spacing w:val="-4"/>
        </w:rPr>
        <w:t> </w:t>
      </w:r>
      <w:r>
        <w:rPr/>
        <w:t>manage</w:t>
      </w:r>
      <w:r>
        <w:rPr>
          <w:spacing w:val="-4"/>
        </w:rPr>
        <w:t> </w:t>
      </w:r>
      <w:r>
        <w:rPr/>
        <w:t>a</w:t>
      </w:r>
      <w:r>
        <w:rPr>
          <w:spacing w:val="-4"/>
        </w:rPr>
        <w:t> </w:t>
      </w:r>
      <w:r>
        <w:rPr/>
        <w:t>business enterprise on a temporary basis.</w:t>
      </w:r>
    </w:p>
    <w:p>
      <w:pPr>
        <w:pStyle w:val="BodyText"/>
        <w:spacing w:line="208" w:lineRule="auto"/>
        <w:ind w:right="775" w:firstLine="432"/>
      </w:pPr>
      <w:r>
        <w:rPr>
          <w:b/>
        </w:rPr>
        <w:t>"License"</w:t>
      </w:r>
      <w:r>
        <w:rPr>
          <w:b/>
          <w:spacing w:val="-4"/>
        </w:rPr>
        <w:t> </w:t>
      </w:r>
      <w:r>
        <w:rPr/>
        <w:t>means</w:t>
      </w:r>
      <w:r>
        <w:rPr>
          <w:spacing w:val="-4"/>
        </w:rPr>
        <w:t> </w:t>
      </w:r>
      <w:r>
        <w:rPr/>
        <w:t>a</w:t>
      </w:r>
      <w:r>
        <w:rPr>
          <w:spacing w:val="-4"/>
        </w:rPr>
        <w:t> </w:t>
      </w:r>
      <w:r>
        <w:rPr/>
        <w:t>written</w:t>
      </w:r>
      <w:r>
        <w:rPr>
          <w:spacing w:val="-4"/>
        </w:rPr>
        <w:t> </w:t>
      </w:r>
      <w:r>
        <w:rPr/>
        <w:t>instrument</w:t>
      </w:r>
      <w:r>
        <w:rPr>
          <w:spacing w:val="-3"/>
        </w:rPr>
        <w:t> </w:t>
      </w:r>
      <w:r>
        <w:rPr/>
        <w:t>issued</w:t>
      </w:r>
      <w:r>
        <w:rPr>
          <w:spacing w:val="-4"/>
        </w:rPr>
        <w:t> </w:t>
      </w:r>
      <w:r>
        <w:rPr/>
        <w:t>by</w:t>
      </w:r>
      <w:r>
        <w:rPr>
          <w:spacing w:val="-4"/>
        </w:rPr>
        <w:t> </w:t>
      </w:r>
      <w:r>
        <w:rPr/>
        <w:t>the</w:t>
      </w:r>
      <w:r>
        <w:rPr>
          <w:spacing w:val="-4"/>
        </w:rPr>
        <w:t> </w:t>
      </w:r>
      <w:r>
        <w:rPr/>
        <w:t>State</w:t>
      </w:r>
      <w:r>
        <w:rPr>
          <w:spacing w:val="-4"/>
        </w:rPr>
        <w:t> </w:t>
      </w:r>
      <w:r>
        <w:rPr/>
        <w:t>Licensing</w:t>
      </w:r>
      <w:r>
        <w:rPr>
          <w:spacing w:val="-4"/>
        </w:rPr>
        <w:t> </w:t>
      </w:r>
      <w:r>
        <w:rPr/>
        <w:t>Agency</w:t>
      </w:r>
      <w:r>
        <w:rPr>
          <w:spacing w:val="-3"/>
        </w:rPr>
        <w:t> </w:t>
      </w:r>
      <w:r>
        <w:rPr/>
        <w:t>to</w:t>
      </w:r>
      <w:r>
        <w:rPr>
          <w:spacing w:val="-4"/>
        </w:rPr>
        <w:t> </w:t>
      </w:r>
      <w:r>
        <w:rPr/>
        <w:t>a person who is blind, authorizing such person to manage a business enterprise.</w:t>
      </w:r>
    </w:p>
    <w:p>
      <w:pPr>
        <w:spacing w:line="208" w:lineRule="auto" w:before="239"/>
        <w:ind w:left="360" w:right="775" w:firstLine="432"/>
        <w:jc w:val="left"/>
        <w:rPr>
          <w:sz w:val="24"/>
        </w:rPr>
      </w:pPr>
      <w:r>
        <w:rPr>
          <w:b/>
          <w:sz w:val="24"/>
        </w:rPr>
        <w:t>"Licensed</w:t>
      </w:r>
      <w:r>
        <w:rPr>
          <w:b/>
          <w:spacing w:val="-4"/>
          <w:sz w:val="24"/>
        </w:rPr>
        <w:t> </w:t>
      </w:r>
      <w:r>
        <w:rPr>
          <w:b/>
          <w:sz w:val="24"/>
        </w:rPr>
        <w:t>employee"</w:t>
      </w:r>
      <w:r>
        <w:rPr>
          <w:b/>
          <w:spacing w:val="-4"/>
          <w:sz w:val="24"/>
        </w:rPr>
        <w:t> </w:t>
      </w:r>
      <w:r>
        <w:rPr>
          <w:sz w:val="24"/>
        </w:rPr>
        <w:t>means</w:t>
      </w:r>
      <w:r>
        <w:rPr>
          <w:spacing w:val="-4"/>
          <w:sz w:val="24"/>
        </w:rPr>
        <w:t> </w:t>
      </w:r>
      <w:r>
        <w:rPr>
          <w:sz w:val="24"/>
        </w:rPr>
        <w:t>a</w:t>
      </w:r>
      <w:r>
        <w:rPr>
          <w:spacing w:val="-4"/>
          <w:sz w:val="24"/>
        </w:rPr>
        <w:t> </w:t>
      </w:r>
      <w:r>
        <w:rPr>
          <w:sz w:val="24"/>
        </w:rPr>
        <w:t>licensed</w:t>
      </w:r>
      <w:r>
        <w:rPr>
          <w:spacing w:val="-4"/>
          <w:sz w:val="24"/>
        </w:rPr>
        <w:t> </w:t>
      </w:r>
      <w:r>
        <w:rPr>
          <w:sz w:val="24"/>
        </w:rPr>
        <w:t>individual</w:t>
      </w:r>
      <w:r>
        <w:rPr>
          <w:spacing w:val="-4"/>
          <w:sz w:val="24"/>
        </w:rPr>
        <w:t> </w:t>
      </w:r>
      <w:r>
        <w:rPr>
          <w:sz w:val="24"/>
        </w:rPr>
        <w:t>who</w:t>
      </w:r>
      <w:r>
        <w:rPr>
          <w:spacing w:val="-3"/>
          <w:sz w:val="24"/>
        </w:rPr>
        <w:t> </w:t>
      </w:r>
      <w:r>
        <w:rPr>
          <w:sz w:val="24"/>
        </w:rPr>
        <w:t>is</w:t>
      </w:r>
      <w:r>
        <w:rPr>
          <w:spacing w:val="-4"/>
          <w:sz w:val="24"/>
        </w:rPr>
        <w:t> </w:t>
      </w:r>
      <w:r>
        <w:rPr>
          <w:sz w:val="24"/>
        </w:rPr>
        <w:t>currently</w:t>
      </w:r>
      <w:r>
        <w:rPr>
          <w:spacing w:val="-5"/>
          <w:sz w:val="24"/>
        </w:rPr>
        <w:t> </w:t>
      </w:r>
      <w:r>
        <w:rPr>
          <w:sz w:val="24"/>
        </w:rPr>
        <w:t>working</w:t>
      </w:r>
      <w:r>
        <w:rPr>
          <w:spacing w:val="-4"/>
          <w:sz w:val="24"/>
        </w:rPr>
        <w:t> </w:t>
      </w:r>
      <w:r>
        <w:rPr>
          <w:sz w:val="24"/>
        </w:rPr>
        <w:t>for</w:t>
      </w:r>
      <w:r>
        <w:rPr>
          <w:spacing w:val="-3"/>
          <w:sz w:val="24"/>
        </w:rPr>
        <w:t> </w:t>
      </w:r>
      <w:r>
        <w:rPr>
          <w:sz w:val="24"/>
        </w:rPr>
        <w:t>a licensed manager.</w:t>
      </w:r>
    </w:p>
    <w:p>
      <w:pPr>
        <w:pStyle w:val="BodyText"/>
        <w:spacing w:line="208" w:lineRule="auto"/>
        <w:ind w:right="775" w:firstLine="432"/>
      </w:pPr>
      <w:r>
        <w:rPr>
          <w:b/>
        </w:rPr>
        <w:t>"Licensed Manager (LM)" </w:t>
      </w:r>
      <w:r>
        <w:rPr/>
        <w:t>means a licensed individual who has signed an agreement</w:t>
      </w:r>
      <w:r>
        <w:rPr>
          <w:spacing w:val="-4"/>
        </w:rPr>
        <w:t> </w:t>
      </w:r>
      <w:r>
        <w:rPr/>
        <w:t>with</w:t>
      </w:r>
      <w:r>
        <w:rPr>
          <w:spacing w:val="-4"/>
        </w:rPr>
        <w:t> </w:t>
      </w:r>
      <w:r>
        <w:rPr/>
        <w:t>the</w:t>
      </w:r>
      <w:r>
        <w:rPr>
          <w:spacing w:val="-4"/>
        </w:rPr>
        <w:t> </w:t>
      </w:r>
      <w:r>
        <w:rPr/>
        <w:t>State</w:t>
      </w:r>
      <w:r>
        <w:rPr>
          <w:spacing w:val="-4"/>
        </w:rPr>
        <w:t> </w:t>
      </w:r>
      <w:r>
        <w:rPr/>
        <w:t>Licensing</w:t>
      </w:r>
      <w:r>
        <w:rPr>
          <w:spacing w:val="-4"/>
        </w:rPr>
        <w:t> </w:t>
      </w:r>
      <w:r>
        <w:rPr/>
        <w:t>Agency</w:t>
      </w:r>
      <w:r>
        <w:rPr>
          <w:spacing w:val="-4"/>
        </w:rPr>
        <w:t> </w:t>
      </w:r>
      <w:r>
        <w:rPr/>
        <w:t>to</w:t>
      </w:r>
      <w:r>
        <w:rPr>
          <w:spacing w:val="-4"/>
        </w:rPr>
        <w:t> </w:t>
      </w:r>
      <w:r>
        <w:rPr/>
        <w:t>manage</w:t>
      </w:r>
      <w:r>
        <w:rPr>
          <w:spacing w:val="-4"/>
        </w:rPr>
        <w:t> </w:t>
      </w:r>
      <w:r>
        <w:rPr/>
        <w:t>a</w:t>
      </w:r>
      <w:r>
        <w:rPr>
          <w:spacing w:val="-4"/>
        </w:rPr>
        <w:t> </w:t>
      </w:r>
      <w:r>
        <w:rPr/>
        <w:t>Randolph-Sheppard</w:t>
      </w:r>
      <w:r>
        <w:rPr>
          <w:spacing w:val="-4"/>
        </w:rPr>
        <w:t> </w:t>
      </w:r>
      <w:r>
        <w:rPr/>
        <w:t>business enterprise under the supervision of the State Licensing Agency.</w:t>
      </w:r>
    </w:p>
    <w:p>
      <w:pPr>
        <w:pStyle w:val="BodyText"/>
        <w:spacing w:before="211"/>
        <w:ind w:left="792"/>
      </w:pPr>
      <w:r>
        <w:rPr>
          <w:b/>
        </w:rPr>
        <w:t>"Licensee"</w:t>
      </w:r>
      <w:r>
        <w:rPr>
          <w:b/>
          <w:spacing w:val="-3"/>
        </w:rPr>
        <w:t> </w:t>
      </w:r>
      <w:r>
        <w:rPr/>
        <w:t>means</w:t>
      </w:r>
      <w:r>
        <w:rPr>
          <w:spacing w:val="-2"/>
        </w:rPr>
        <w:t> </w:t>
      </w:r>
      <w:r>
        <w:rPr/>
        <w:t>a</w:t>
      </w:r>
      <w:r>
        <w:rPr>
          <w:spacing w:val="-3"/>
        </w:rPr>
        <w:t> </w:t>
      </w:r>
      <w:r>
        <w:rPr/>
        <w:t>person</w:t>
      </w:r>
      <w:r>
        <w:rPr>
          <w:spacing w:val="-2"/>
        </w:rPr>
        <w:t> </w:t>
      </w:r>
      <w:r>
        <w:rPr/>
        <w:t>who</w:t>
      </w:r>
      <w:r>
        <w:rPr>
          <w:spacing w:val="-3"/>
        </w:rPr>
        <w:t> </w:t>
      </w:r>
      <w:r>
        <w:rPr/>
        <w:t>is</w:t>
      </w:r>
      <w:r>
        <w:rPr>
          <w:spacing w:val="-2"/>
        </w:rPr>
        <w:t> </w:t>
      </w:r>
      <w:r>
        <w:rPr/>
        <w:t>blind</w:t>
      </w:r>
      <w:r>
        <w:rPr>
          <w:spacing w:val="-2"/>
        </w:rPr>
        <w:t> </w:t>
      </w:r>
      <w:r>
        <w:rPr/>
        <w:t>and</w:t>
      </w:r>
      <w:r>
        <w:rPr>
          <w:spacing w:val="-2"/>
        </w:rPr>
        <w:t> </w:t>
      </w:r>
      <w:r>
        <w:rPr/>
        <w:t>holds</w:t>
      </w:r>
      <w:r>
        <w:rPr>
          <w:spacing w:val="-3"/>
        </w:rPr>
        <w:t> </w:t>
      </w:r>
      <w:r>
        <w:rPr/>
        <w:t>a</w:t>
      </w:r>
      <w:r>
        <w:rPr>
          <w:spacing w:val="-2"/>
        </w:rPr>
        <w:t> </w:t>
      </w:r>
      <w:r>
        <w:rPr/>
        <w:t>valid</w:t>
      </w:r>
      <w:r>
        <w:rPr>
          <w:spacing w:val="-2"/>
        </w:rPr>
        <w:t> </w:t>
      </w:r>
      <w:r>
        <w:rPr/>
        <w:t>BEP</w:t>
      </w:r>
      <w:r>
        <w:rPr>
          <w:spacing w:val="-2"/>
        </w:rPr>
        <w:t> license.</w:t>
      </w:r>
    </w:p>
    <w:p>
      <w:pPr>
        <w:pStyle w:val="BodyText"/>
        <w:spacing w:line="208" w:lineRule="auto" w:before="233"/>
        <w:ind w:right="775" w:firstLine="432"/>
      </w:pPr>
      <w:r>
        <w:rPr>
          <w:b/>
        </w:rPr>
        <w:t>"Licensing agency" </w:t>
      </w:r>
      <w:r>
        <w:rPr/>
        <w:t>means the State Licensing Agency (SLA), which has been designated</w:t>
      </w:r>
      <w:r>
        <w:rPr>
          <w:spacing w:val="-3"/>
        </w:rPr>
        <w:t> </w:t>
      </w:r>
      <w:r>
        <w:rPr/>
        <w:t>by</w:t>
      </w:r>
      <w:r>
        <w:rPr>
          <w:spacing w:val="-4"/>
        </w:rPr>
        <w:t> </w:t>
      </w:r>
      <w:r>
        <w:rPr/>
        <w:t>the</w:t>
      </w:r>
      <w:r>
        <w:rPr>
          <w:spacing w:val="-4"/>
        </w:rPr>
        <w:t> </w:t>
      </w:r>
      <w:r>
        <w:rPr/>
        <w:t>Commissioner,</w:t>
      </w:r>
      <w:r>
        <w:rPr>
          <w:spacing w:val="-3"/>
        </w:rPr>
        <w:t> </w:t>
      </w:r>
      <w:r>
        <w:rPr/>
        <w:t>pursuant</w:t>
      </w:r>
      <w:r>
        <w:rPr>
          <w:spacing w:val="-3"/>
        </w:rPr>
        <w:t> </w:t>
      </w:r>
      <w:r>
        <w:rPr/>
        <w:t>to</w:t>
      </w:r>
      <w:r>
        <w:rPr>
          <w:spacing w:val="-4"/>
        </w:rPr>
        <w:t> </w:t>
      </w:r>
      <w:r>
        <w:rPr/>
        <w:t>the</w:t>
      </w:r>
      <w:r>
        <w:rPr>
          <w:spacing w:val="-4"/>
        </w:rPr>
        <w:t> </w:t>
      </w:r>
      <w:r>
        <w:rPr/>
        <w:t>Act,</w:t>
      </w:r>
      <w:r>
        <w:rPr>
          <w:spacing w:val="-4"/>
        </w:rPr>
        <w:t> </w:t>
      </w:r>
      <w:r>
        <w:rPr/>
        <w:t>to</w:t>
      </w:r>
      <w:r>
        <w:rPr>
          <w:spacing w:val="-4"/>
        </w:rPr>
        <w:t> </w:t>
      </w:r>
      <w:r>
        <w:rPr/>
        <w:t>issue</w:t>
      </w:r>
      <w:r>
        <w:rPr>
          <w:spacing w:val="-4"/>
        </w:rPr>
        <w:t> </w:t>
      </w:r>
      <w:r>
        <w:rPr/>
        <w:t>licenses</w:t>
      </w:r>
      <w:r>
        <w:rPr>
          <w:spacing w:val="-4"/>
        </w:rPr>
        <w:t> </w:t>
      </w:r>
      <w:r>
        <w:rPr/>
        <w:t>to</w:t>
      </w:r>
      <w:r>
        <w:rPr>
          <w:spacing w:val="-4"/>
        </w:rPr>
        <w:t> </w:t>
      </w:r>
      <w:r>
        <w:rPr/>
        <w:t>persons</w:t>
      </w:r>
      <w:r>
        <w:rPr>
          <w:spacing w:val="-4"/>
        </w:rPr>
        <w:t> </w:t>
      </w:r>
      <w:r>
        <w:rPr/>
        <w:t>who are blind for the management of business enterprises.</w:t>
      </w:r>
    </w:p>
    <w:p>
      <w:pPr>
        <w:pStyle w:val="BodyText"/>
        <w:spacing w:line="208" w:lineRule="auto"/>
        <w:ind w:right="775" w:firstLine="432"/>
      </w:pPr>
      <w:r>
        <w:rPr>
          <w:b/>
        </w:rPr>
        <w:t>"Management services" </w:t>
      </w:r>
      <w:r>
        <w:rPr/>
        <w:t>means inspection, quality control, consultation, accounting, regulating, in-service training, and other related services provided on a systematic</w:t>
      </w:r>
      <w:r>
        <w:rPr>
          <w:spacing w:val="-5"/>
        </w:rPr>
        <w:t> </w:t>
      </w:r>
      <w:r>
        <w:rPr/>
        <w:t>basis</w:t>
      </w:r>
      <w:r>
        <w:rPr>
          <w:spacing w:val="-4"/>
        </w:rPr>
        <w:t> </w:t>
      </w:r>
      <w:r>
        <w:rPr/>
        <w:t>to</w:t>
      </w:r>
      <w:r>
        <w:rPr>
          <w:spacing w:val="-4"/>
        </w:rPr>
        <w:t> </w:t>
      </w:r>
      <w:r>
        <w:rPr/>
        <w:t>support</w:t>
      </w:r>
      <w:r>
        <w:rPr>
          <w:spacing w:val="-3"/>
        </w:rPr>
        <w:t> </w:t>
      </w:r>
      <w:r>
        <w:rPr/>
        <w:t>and</w:t>
      </w:r>
      <w:r>
        <w:rPr>
          <w:spacing w:val="-4"/>
        </w:rPr>
        <w:t> </w:t>
      </w:r>
      <w:r>
        <w:rPr/>
        <w:t>improve</w:t>
      </w:r>
      <w:r>
        <w:rPr>
          <w:spacing w:val="-4"/>
        </w:rPr>
        <w:t> </w:t>
      </w:r>
      <w:r>
        <w:rPr/>
        <w:t>business</w:t>
      </w:r>
      <w:r>
        <w:rPr>
          <w:spacing w:val="-4"/>
        </w:rPr>
        <w:t> </w:t>
      </w:r>
      <w:r>
        <w:rPr/>
        <w:t>enterprises</w:t>
      </w:r>
      <w:r>
        <w:rPr>
          <w:spacing w:val="-4"/>
        </w:rPr>
        <w:t> </w:t>
      </w:r>
      <w:r>
        <w:rPr/>
        <w:t>operated</w:t>
      </w:r>
      <w:r>
        <w:rPr>
          <w:spacing w:val="-4"/>
        </w:rPr>
        <w:t> </w:t>
      </w:r>
      <w:r>
        <w:rPr/>
        <w:t>by</w:t>
      </w:r>
      <w:r>
        <w:rPr>
          <w:spacing w:val="-4"/>
        </w:rPr>
        <w:t> </w:t>
      </w:r>
      <w:r>
        <w:rPr/>
        <w:t>licensed </w:t>
      </w:r>
      <w:r>
        <w:rPr>
          <w:spacing w:val="-2"/>
        </w:rPr>
        <w:t>managers.</w:t>
      </w:r>
    </w:p>
    <w:p>
      <w:pPr>
        <w:pStyle w:val="BodyText"/>
        <w:spacing w:line="208" w:lineRule="auto" w:before="239"/>
        <w:ind w:right="775" w:firstLine="432"/>
      </w:pPr>
      <w:r>
        <w:rPr>
          <w:b/>
        </w:rPr>
        <w:t>"Manager's agreement" </w:t>
      </w:r>
      <w:r>
        <w:rPr/>
        <w:t>means an agreement between a licensed manager and the</w:t>
      </w:r>
      <w:r>
        <w:rPr>
          <w:spacing w:val="-4"/>
        </w:rPr>
        <w:t> </w:t>
      </w:r>
      <w:r>
        <w:rPr/>
        <w:t>State</w:t>
      </w:r>
      <w:r>
        <w:rPr>
          <w:spacing w:val="-4"/>
        </w:rPr>
        <w:t> </w:t>
      </w:r>
      <w:r>
        <w:rPr/>
        <w:t>Licensing</w:t>
      </w:r>
      <w:r>
        <w:rPr>
          <w:spacing w:val="-4"/>
        </w:rPr>
        <w:t> </w:t>
      </w:r>
      <w:r>
        <w:rPr/>
        <w:t>Agency,</w:t>
      </w:r>
      <w:r>
        <w:rPr>
          <w:spacing w:val="-3"/>
        </w:rPr>
        <w:t> </w:t>
      </w:r>
      <w:r>
        <w:rPr/>
        <w:t>establishing</w:t>
      </w:r>
      <w:r>
        <w:rPr>
          <w:spacing w:val="-4"/>
        </w:rPr>
        <w:t> </w:t>
      </w:r>
      <w:r>
        <w:rPr/>
        <w:t>basic</w:t>
      </w:r>
      <w:r>
        <w:rPr>
          <w:spacing w:val="-4"/>
        </w:rPr>
        <w:t> </w:t>
      </w:r>
      <w:r>
        <w:rPr/>
        <w:t>terms</w:t>
      </w:r>
      <w:r>
        <w:rPr>
          <w:spacing w:val="-5"/>
        </w:rPr>
        <w:t> </w:t>
      </w:r>
      <w:r>
        <w:rPr/>
        <w:t>and</w:t>
      </w:r>
      <w:r>
        <w:rPr>
          <w:spacing w:val="-4"/>
        </w:rPr>
        <w:t> </w:t>
      </w:r>
      <w:r>
        <w:rPr/>
        <w:t>conditions</w:t>
      </w:r>
      <w:r>
        <w:rPr>
          <w:spacing w:val="-4"/>
        </w:rPr>
        <w:t> </w:t>
      </w:r>
      <w:r>
        <w:rPr/>
        <w:t>for</w:t>
      </w:r>
      <w:r>
        <w:rPr>
          <w:spacing w:val="-5"/>
        </w:rPr>
        <w:t> </w:t>
      </w:r>
      <w:r>
        <w:rPr/>
        <w:t>management</w:t>
      </w:r>
      <w:r>
        <w:rPr>
          <w:spacing w:val="-3"/>
        </w:rPr>
        <w:t> </w:t>
      </w:r>
      <w:r>
        <w:rPr/>
        <w:t>of a business enterprise.</w:t>
      </w:r>
    </w:p>
    <w:p>
      <w:pPr>
        <w:pStyle w:val="BodyText"/>
        <w:spacing w:line="258" w:lineRule="exact" w:before="211"/>
        <w:ind w:left="792"/>
      </w:pPr>
      <w:r>
        <w:rPr>
          <w:b/>
        </w:rPr>
        <w:t>"Mail"</w:t>
      </w:r>
      <w:r>
        <w:rPr>
          <w:b/>
          <w:spacing w:val="-4"/>
        </w:rPr>
        <w:t> </w:t>
      </w:r>
      <w:r>
        <w:rPr/>
        <w:t>is</w:t>
      </w:r>
      <w:r>
        <w:rPr>
          <w:spacing w:val="-3"/>
        </w:rPr>
        <w:t> </w:t>
      </w:r>
      <w:r>
        <w:rPr/>
        <w:t>a</w:t>
      </w:r>
      <w:r>
        <w:rPr>
          <w:spacing w:val="-4"/>
        </w:rPr>
        <w:t> </w:t>
      </w:r>
      <w:r>
        <w:rPr/>
        <w:t>method</w:t>
      </w:r>
      <w:r>
        <w:rPr>
          <w:spacing w:val="-2"/>
        </w:rPr>
        <w:t> </w:t>
      </w:r>
      <w:r>
        <w:rPr/>
        <w:t>of</w:t>
      </w:r>
      <w:r>
        <w:rPr>
          <w:spacing w:val="-4"/>
        </w:rPr>
        <w:t> </w:t>
      </w:r>
      <w:r>
        <w:rPr/>
        <w:t>distributing</w:t>
      </w:r>
      <w:r>
        <w:rPr>
          <w:spacing w:val="-2"/>
        </w:rPr>
        <w:t> </w:t>
      </w:r>
      <w:r>
        <w:rPr/>
        <w:t>information</w:t>
      </w:r>
      <w:r>
        <w:rPr>
          <w:spacing w:val="-2"/>
        </w:rPr>
        <w:t> </w:t>
      </w:r>
      <w:r>
        <w:rPr/>
        <w:t>that</w:t>
      </w:r>
      <w:r>
        <w:rPr>
          <w:spacing w:val="-2"/>
        </w:rPr>
        <w:t> </w:t>
      </w:r>
      <w:r>
        <w:rPr/>
        <w:t>includes,</w:t>
      </w:r>
      <w:r>
        <w:rPr>
          <w:spacing w:val="-2"/>
        </w:rPr>
        <w:t> </w:t>
      </w:r>
      <w:r>
        <w:rPr/>
        <w:t>but</w:t>
      </w:r>
      <w:r>
        <w:rPr>
          <w:spacing w:val="-2"/>
        </w:rPr>
        <w:t> </w:t>
      </w:r>
      <w:r>
        <w:rPr/>
        <w:t>is</w:t>
      </w:r>
      <w:r>
        <w:rPr>
          <w:spacing w:val="-2"/>
        </w:rPr>
        <w:t> </w:t>
      </w:r>
      <w:r>
        <w:rPr/>
        <w:t>not</w:t>
      </w:r>
      <w:r>
        <w:rPr>
          <w:spacing w:val="-2"/>
        </w:rPr>
        <w:t> </w:t>
      </w:r>
      <w:r>
        <w:rPr/>
        <w:t>limited</w:t>
      </w:r>
      <w:r>
        <w:rPr>
          <w:spacing w:val="-3"/>
        </w:rPr>
        <w:t> </w:t>
      </w:r>
      <w:r>
        <w:rPr/>
        <w:t>to,</w:t>
      </w:r>
      <w:r>
        <w:rPr>
          <w:spacing w:val="-1"/>
        </w:rPr>
        <w:t> </w:t>
      </w:r>
      <w:r>
        <w:rPr>
          <w:spacing w:val="-5"/>
        </w:rPr>
        <w:t>the</w:t>
      </w:r>
    </w:p>
    <w:p>
      <w:pPr>
        <w:pStyle w:val="BodyText"/>
        <w:spacing w:line="258" w:lineRule="exact" w:before="0"/>
      </w:pPr>
      <w:r>
        <w:rPr/>
        <w:t>U.S.</w:t>
      </w:r>
      <w:r>
        <w:rPr>
          <w:spacing w:val="-2"/>
        </w:rPr>
        <w:t> </w:t>
      </w:r>
      <w:r>
        <w:rPr/>
        <w:t>Postal</w:t>
      </w:r>
      <w:r>
        <w:rPr>
          <w:spacing w:val="-3"/>
        </w:rPr>
        <w:t> </w:t>
      </w:r>
      <w:r>
        <w:rPr/>
        <w:t>System,</w:t>
      </w:r>
      <w:r>
        <w:rPr>
          <w:spacing w:val="-4"/>
        </w:rPr>
        <w:t> </w:t>
      </w:r>
      <w:r>
        <w:rPr/>
        <w:t>email,</w:t>
      </w:r>
      <w:r>
        <w:rPr>
          <w:spacing w:val="-1"/>
        </w:rPr>
        <w:t> </w:t>
      </w:r>
      <w:r>
        <w:rPr/>
        <w:t>fax,</w:t>
      </w:r>
      <w:r>
        <w:rPr>
          <w:spacing w:val="-2"/>
        </w:rPr>
        <w:t> </w:t>
      </w:r>
      <w:r>
        <w:rPr/>
        <w:t>or</w:t>
      </w:r>
      <w:r>
        <w:rPr>
          <w:spacing w:val="-2"/>
        </w:rPr>
        <w:t> </w:t>
      </w:r>
      <w:r>
        <w:rPr/>
        <w:t>Federal</w:t>
      </w:r>
      <w:r>
        <w:rPr>
          <w:spacing w:val="-2"/>
        </w:rPr>
        <w:t> Express.</w:t>
      </w:r>
    </w:p>
    <w:p>
      <w:pPr>
        <w:spacing w:line="208" w:lineRule="auto" w:before="233"/>
        <w:ind w:left="360" w:right="775" w:firstLine="432"/>
        <w:jc w:val="left"/>
        <w:rPr>
          <w:sz w:val="24"/>
        </w:rPr>
      </w:pPr>
      <w:r>
        <w:rPr>
          <w:b/>
          <w:sz w:val="24"/>
        </w:rPr>
        <w:t>"Net</w:t>
      </w:r>
      <w:r>
        <w:rPr>
          <w:b/>
          <w:spacing w:val="-4"/>
          <w:sz w:val="24"/>
        </w:rPr>
        <w:t> </w:t>
      </w:r>
      <w:r>
        <w:rPr>
          <w:b/>
          <w:sz w:val="24"/>
        </w:rPr>
        <w:t>earnings"</w:t>
      </w:r>
      <w:r>
        <w:rPr>
          <w:b/>
          <w:spacing w:val="-4"/>
          <w:sz w:val="24"/>
        </w:rPr>
        <w:t> </w:t>
      </w:r>
      <w:r>
        <w:rPr>
          <w:b/>
          <w:sz w:val="24"/>
        </w:rPr>
        <w:t>or</w:t>
      </w:r>
      <w:r>
        <w:rPr>
          <w:b/>
          <w:spacing w:val="-4"/>
          <w:sz w:val="24"/>
        </w:rPr>
        <w:t> </w:t>
      </w:r>
      <w:r>
        <w:rPr>
          <w:b/>
          <w:sz w:val="24"/>
        </w:rPr>
        <w:t>"Net</w:t>
      </w:r>
      <w:r>
        <w:rPr>
          <w:b/>
          <w:spacing w:val="-4"/>
          <w:sz w:val="24"/>
        </w:rPr>
        <w:t> </w:t>
      </w:r>
      <w:r>
        <w:rPr>
          <w:b/>
          <w:sz w:val="24"/>
        </w:rPr>
        <w:t>profits"</w:t>
      </w:r>
      <w:r>
        <w:rPr>
          <w:b/>
          <w:spacing w:val="-5"/>
          <w:sz w:val="24"/>
        </w:rPr>
        <w:t> </w:t>
      </w:r>
      <w:r>
        <w:rPr>
          <w:sz w:val="24"/>
        </w:rPr>
        <w:t>means</w:t>
      </w:r>
      <w:r>
        <w:rPr>
          <w:spacing w:val="-4"/>
          <w:sz w:val="24"/>
        </w:rPr>
        <w:t> </w:t>
      </w:r>
      <w:r>
        <w:rPr>
          <w:sz w:val="24"/>
        </w:rPr>
        <w:t>gross</w:t>
      </w:r>
      <w:r>
        <w:rPr>
          <w:spacing w:val="-4"/>
          <w:sz w:val="24"/>
        </w:rPr>
        <w:t> </w:t>
      </w:r>
      <w:r>
        <w:rPr>
          <w:sz w:val="24"/>
        </w:rPr>
        <w:t>profit</w:t>
      </w:r>
      <w:r>
        <w:rPr>
          <w:spacing w:val="-4"/>
          <w:sz w:val="24"/>
        </w:rPr>
        <w:t> </w:t>
      </w:r>
      <w:r>
        <w:rPr>
          <w:sz w:val="24"/>
        </w:rPr>
        <w:t>after</w:t>
      </w:r>
      <w:r>
        <w:rPr>
          <w:spacing w:val="-4"/>
          <w:sz w:val="24"/>
        </w:rPr>
        <w:t> </w:t>
      </w:r>
      <w:r>
        <w:rPr>
          <w:sz w:val="24"/>
        </w:rPr>
        <w:t>deducting</w:t>
      </w:r>
      <w:r>
        <w:rPr>
          <w:spacing w:val="-4"/>
          <w:sz w:val="24"/>
        </w:rPr>
        <w:t> </w:t>
      </w:r>
      <w:r>
        <w:rPr>
          <w:sz w:val="24"/>
        </w:rPr>
        <w:t>operating expenses and set-aside collected.</w:t>
      </w:r>
    </w:p>
    <w:p>
      <w:pPr>
        <w:pStyle w:val="BodyText"/>
        <w:spacing w:line="208" w:lineRule="auto"/>
        <w:ind w:right="855" w:firstLine="432"/>
      </w:pPr>
      <w:r>
        <w:rPr>
          <w:b/>
        </w:rPr>
        <w:t>"Net</w:t>
      </w:r>
      <w:r>
        <w:rPr>
          <w:b/>
          <w:spacing w:val="-3"/>
        </w:rPr>
        <w:t> </w:t>
      </w:r>
      <w:r>
        <w:rPr>
          <w:b/>
        </w:rPr>
        <w:t>proceeds"</w:t>
      </w:r>
      <w:r>
        <w:rPr>
          <w:b/>
          <w:spacing w:val="-4"/>
        </w:rPr>
        <w:t> </w:t>
      </w:r>
      <w:r>
        <w:rPr/>
        <w:t>means</w:t>
      </w:r>
      <w:r>
        <w:rPr>
          <w:spacing w:val="-4"/>
        </w:rPr>
        <w:t> </w:t>
      </w:r>
      <w:r>
        <w:rPr/>
        <w:t>the</w:t>
      </w:r>
      <w:r>
        <w:rPr>
          <w:spacing w:val="-4"/>
        </w:rPr>
        <w:t> </w:t>
      </w:r>
      <w:r>
        <w:rPr/>
        <w:t>amount</w:t>
      </w:r>
      <w:r>
        <w:rPr>
          <w:spacing w:val="-3"/>
        </w:rPr>
        <w:t> </w:t>
      </w:r>
      <w:r>
        <w:rPr/>
        <w:t>remaining</w:t>
      </w:r>
      <w:r>
        <w:rPr>
          <w:spacing w:val="-4"/>
        </w:rPr>
        <w:t> </w:t>
      </w:r>
      <w:r>
        <w:rPr/>
        <w:t>from</w:t>
      </w:r>
      <w:r>
        <w:rPr>
          <w:spacing w:val="-5"/>
        </w:rPr>
        <w:t> </w:t>
      </w:r>
      <w:r>
        <w:rPr/>
        <w:t>the</w:t>
      </w:r>
      <w:r>
        <w:rPr>
          <w:spacing w:val="-5"/>
        </w:rPr>
        <w:t> </w:t>
      </w:r>
      <w:r>
        <w:rPr/>
        <w:t>sale</w:t>
      </w:r>
      <w:r>
        <w:rPr>
          <w:spacing w:val="-4"/>
        </w:rPr>
        <w:t> </w:t>
      </w:r>
      <w:r>
        <w:rPr/>
        <w:t>of</w:t>
      </w:r>
      <w:r>
        <w:rPr>
          <w:spacing w:val="-3"/>
        </w:rPr>
        <w:t> </w:t>
      </w:r>
      <w:r>
        <w:rPr/>
        <w:t>articles</w:t>
      </w:r>
      <w:r>
        <w:rPr>
          <w:spacing w:val="-4"/>
        </w:rPr>
        <w:t> </w:t>
      </w:r>
      <w:r>
        <w:rPr/>
        <w:t>or</w:t>
      </w:r>
      <w:r>
        <w:rPr>
          <w:spacing w:val="-3"/>
        </w:rPr>
        <w:t> </w:t>
      </w:r>
      <w:r>
        <w:rPr/>
        <w:t>services of business enterprises and any vending machine income or other</w:t>
      </w:r>
      <w:r>
        <w:rPr>
          <w:spacing w:val="-1"/>
        </w:rPr>
        <w:t> </w:t>
      </w:r>
      <w:r>
        <w:rPr/>
        <w:t>income accruing to licensed managers after deducting the cost of such sales and other authorized expenses excluding set-aside charges required to be paid by the licensed managers.</w:t>
      </w:r>
    </w:p>
    <w:p>
      <w:pPr>
        <w:pStyle w:val="BodyText"/>
        <w:spacing w:before="210"/>
        <w:ind w:left="792"/>
      </w:pPr>
      <w:r>
        <w:rPr>
          <w:b/>
        </w:rPr>
        <w:t>"Net</w:t>
      </w:r>
      <w:r>
        <w:rPr>
          <w:b/>
          <w:spacing w:val="-2"/>
        </w:rPr>
        <w:t> </w:t>
      </w:r>
      <w:r>
        <w:rPr>
          <w:b/>
        </w:rPr>
        <w:t>sales"</w:t>
      </w:r>
      <w:r>
        <w:rPr>
          <w:b/>
          <w:spacing w:val="-3"/>
        </w:rPr>
        <w:t> </w:t>
      </w:r>
      <w:r>
        <w:rPr/>
        <w:t>means</w:t>
      </w:r>
      <w:r>
        <w:rPr>
          <w:spacing w:val="-2"/>
        </w:rPr>
        <w:t> </w:t>
      </w:r>
      <w:r>
        <w:rPr/>
        <w:t>the</w:t>
      </w:r>
      <w:r>
        <w:rPr>
          <w:spacing w:val="-3"/>
        </w:rPr>
        <w:t> </w:t>
      </w:r>
      <w:r>
        <w:rPr/>
        <w:t>sum</w:t>
      </w:r>
      <w:r>
        <w:rPr>
          <w:spacing w:val="-2"/>
        </w:rPr>
        <w:t> </w:t>
      </w:r>
      <w:r>
        <w:rPr/>
        <w:t>total</w:t>
      </w:r>
      <w:r>
        <w:rPr>
          <w:spacing w:val="-4"/>
        </w:rPr>
        <w:t> </w:t>
      </w:r>
      <w:r>
        <w:rPr/>
        <w:t>of</w:t>
      </w:r>
      <w:r>
        <w:rPr>
          <w:spacing w:val="-2"/>
        </w:rPr>
        <w:t> </w:t>
      </w:r>
      <w:r>
        <w:rPr/>
        <w:t>sales,</w:t>
      </w:r>
      <w:r>
        <w:rPr>
          <w:spacing w:val="-1"/>
        </w:rPr>
        <w:t> </w:t>
      </w:r>
      <w:r>
        <w:rPr/>
        <w:t>excluding</w:t>
      </w:r>
      <w:r>
        <w:rPr>
          <w:spacing w:val="-3"/>
        </w:rPr>
        <w:t> </w:t>
      </w:r>
      <w:r>
        <w:rPr/>
        <w:t>sales</w:t>
      </w:r>
      <w:r>
        <w:rPr>
          <w:spacing w:val="-2"/>
        </w:rPr>
        <w:t> </w:t>
      </w:r>
      <w:r>
        <w:rPr>
          <w:spacing w:val="-4"/>
        </w:rPr>
        <w:t>tax.</w:t>
      </w:r>
    </w:p>
    <w:p>
      <w:pPr>
        <w:pStyle w:val="BodyText"/>
        <w:spacing w:after="0"/>
        <w:sectPr>
          <w:pgSz w:w="12240" w:h="15840"/>
          <w:pgMar w:top="1340" w:bottom="280" w:left="1080" w:right="720"/>
        </w:sectPr>
      </w:pPr>
    </w:p>
    <w:p>
      <w:pPr>
        <w:pStyle w:val="BodyText"/>
        <w:spacing w:line="208" w:lineRule="auto" w:before="96"/>
        <w:ind w:right="775" w:firstLine="432"/>
      </w:pPr>
      <w:r>
        <w:rPr>
          <w:b/>
        </w:rPr>
        <w:t>"Nominee" </w:t>
      </w:r>
      <w:r>
        <w:rPr/>
        <w:t>means a nonprofit agency or organization designated by the State Licensing</w:t>
      </w:r>
      <w:r>
        <w:rPr>
          <w:spacing w:val="-2"/>
        </w:rPr>
        <w:t> </w:t>
      </w:r>
      <w:r>
        <w:rPr/>
        <w:t>Agency</w:t>
      </w:r>
      <w:r>
        <w:rPr>
          <w:spacing w:val="-3"/>
        </w:rPr>
        <w:t> </w:t>
      </w:r>
      <w:r>
        <w:rPr/>
        <w:t>through</w:t>
      </w:r>
      <w:r>
        <w:rPr>
          <w:spacing w:val="-3"/>
        </w:rPr>
        <w:t> </w:t>
      </w:r>
      <w:r>
        <w:rPr/>
        <w:t>a</w:t>
      </w:r>
      <w:r>
        <w:rPr>
          <w:spacing w:val="-3"/>
        </w:rPr>
        <w:t> </w:t>
      </w:r>
      <w:r>
        <w:rPr/>
        <w:t>written</w:t>
      </w:r>
      <w:r>
        <w:rPr>
          <w:spacing w:val="-3"/>
        </w:rPr>
        <w:t> </w:t>
      </w:r>
      <w:r>
        <w:rPr/>
        <w:t>agreement</w:t>
      </w:r>
      <w:r>
        <w:rPr>
          <w:spacing w:val="-2"/>
        </w:rPr>
        <w:t> </w:t>
      </w:r>
      <w:r>
        <w:rPr/>
        <w:t>to</w:t>
      </w:r>
      <w:r>
        <w:rPr>
          <w:spacing w:val="-3"/>
        </w:rPr>
        <w:t> </w:t>
      </w:r>
      <w:r>
        <w:rPr/>
        <w:t>act</w:t>
      </w:r>
      <w:r>
        <w:rPr>
          <w:spacing w:val="-4"/>
        </w:rPr>
        <w:t> </w:t>
      </w:r>
      <w:r>
        <w:rPr/>
        <w:t>as</w:t>
      </w:r>
      <w:r>
        <w:rPr>
          <w:spacing w:val="-3"/>
        </w:rPr>
        <w:t> </w:t>
      </w:r>
      <w:r>
        <w:rPr/>
        <w:t>its</w:t>
      </w:r>
      <w:r>
        <w:rPr>
          <w:spacing w:val="-3"/>
        </w:rPr>
        <w:t> </w:t>
      </w:r>
      <w:r>
        <w:rPr/>
        <w:t>agent</w:t>
      </w:r>
      <w:r>
        <w:rPr>
          <w:spacing w:val="-2"/>
        </w:rPr>
        <w:t> </w:t>
      </w:r>
      <w:r>
        <w:rPr/>
        <w:t>in</w:t>
      </w:r>
      <w:r>
        <w:rPr>
          <w:spacing w:val="-3"/>
        </w:rPr>
        <w:t> </w:t>
      </w:r>
      <w:r>
        <w:rPr/>
        <w:t>the</w:t>
      </w:r>
      <w:r>
        <w:rPr>
          <w:spacing w:val="-3"/>
        </w:rPr>
        <w:t> </w:t>
      </w:r>
      <w:r>
        <w:rPr/>
        <w:t>provision</w:t>
      </w:r>
      <w:r>
        <w:rPr>
          <w:spacing w:val="-3"/>
        </w:rPr>
        <w:t> </w:t>
      </w:r>
      <w:r>
        <w:rPr/>
        <w:t>of services to licensed managers under the State's Business Enterprise Program.</w:t>
      </w:r>
    </w:p>
    <w:p>
      <w:pPr>
        <w:pStyle w:val="BodyText"/>
        <w:spacing w:line="208" w:lineRule="auto"/>
        <w:ind w:right="775" w:firstLine="432"/>
      </w:pPr>
      <w:r>
        <w:rPr>
          <w:b/>
        </w:rPr>
        <w:t>"Other</w:t>
      </w:r>
      <w:r>
        <w:rPr>
          <w:b/>
          <w:spacing w:val="-5"/>
        </w:rPr>
        <w:t> </w:t>
      </w:r>
      <w:r>
        <w:rPr>
          <w:b/>
        </w:rPr>
        <w:t>income"</w:t>
      </w:r>
      <w:r>
        <w:rPr>
          <w:b/>
          <w:spacing w:val="-4"/>
        </w:rPr>
        <w:t> </w:t>
      </w:r>
      <w:r>
        <w:rPr/>
        <w:t>means</w:t>
      </w:r>
      <w:r>
        <w:rPr>
          <w:spacing w:val="-4"/>
        </w:rPr>
        <w:t> </w:t>
      </w:r>
      <w:r>
        <w:rPr/>
        <w:t>money</w:t>
      </w:r>
      <w:r>
        <w:rPr>
          <w:spacing w:val="-4"/>
        </w:rPr>
        <w:t> </w:t>
      </w:r>
      <w:r>
        <w:rPr/>
        <w:t>received</w:t>
      </w:r>
      <w:r>
        <w:rPr>
          <w:spacing w:val="-4"/>
        </w:rPr>
        <w:t> </w:t>
      </w:r>
      <w:r>
        <w:rPr/>
        <w:t>by</w:t>
      </w:r>
      <w:r>
        <w:rPr>
          <w:spacing w:val="-3"/>
        </w:rPr>
        <w:t> </w:t>
      </w:r>
      <w:r>
        <w:rPr/>
        <w:t>a</w:t>
      </w:r>
      <w:r>
        <w:rPr>
          <w:spacing w:val="-4"/>
        </w:rPr>
        <w:t> </w:t>
      </w:r>
      <w:r>
        <w:rPr/>
        <w:t>licensed</w:t>
      </w:r>
      <w:r>
        <w:rPr>
          <w:spacing w:val="-4"/>
        </w:rPr>
        <w:t> </w:t>
      </w:r>
      <w:r>
        <w:rPr/>
        <w:t>manager</w:t>
      </w:r>
      <w:r>
        <w:rPr>
          <w:spacing w:val="-3"/>
        </w:rPr>
        <w:t> </w:t>
      </w:r>
      <w:r>
        <w:rPr/>
        <w:t>from</w:t>
      </w:r>
      <w:r>
        <w:rPr>
          <w:spacing w:val="-3"/>
        </w:rPr>
        <w:t> </w:t>
      </w:r>
      <w:r>
        <w:rPr/>
        <w:t>sources</w:t>
      </w:r>
      <w:r>
        <w:rPr>
          <w:spacing w:val="-4"/>
        </w:rPr>
        <w:t> </w:t>
      </w:r>
      <w:r>
        <w:rPr/>
        <w:t>other than over the counter and machine sales.</w:t>
      </w:r>
    </w:p>
    <w:p>
      <w:pPr>
        <w:pStyle w:val="BodyText"/>
        <w:spacing w:line="208" w:lineRule="auto" w:before="239"/>
        <w:ind w:right="775" w:firstLine="432"/>
      </w:pPr>
      <w:r>
        <w:rPr>
          <w:b/>
        </w:rPr>
        <w:t>"Other property" </w:t>
      </w:r>
      <w:r>
        <w:rPr/>
        <w:t>means property which is not Federal property and on which business</w:t>
      </w:r>
      <w:r>
        <w:rPr>
          <w:spacing w:val="-3"/>
        </w:rPr>
        <w:t> </w:t>
      </w:r>
      <w:r>
        <w:rPr/>
        <w:t>enterprises</w:t>
      </w:r>
      <w:r>
        <w:rPr>
          <w:spacing w:val="-3"/>
        </w:rPr>
        <w:t> </w:t>
      </w:r>
      <w:r>
        <w:rPr/>
        <w:t>are</w:t>
      </w:r>
      <w:r>
        <w:rPr>
          <w:spacing w:val="-3"/>
        </w:rPr>
        <w:t> </w:t>
      </w:r>
      <w:r>
        <w:rPr/>
        <w:t>established</w:t>
      </w:r>
      <w:r>
        <w:rPr>
          <w:spacing w:val="-3"/>
        </w:rPr>
        <w:t> </w:t>
      </w:r>
      <w:r>
        <w:rPr/>
        <w:t>or</w:t>
      </w:r>
      <w:r>
        <w:rPr>
          <w:spacing w:val="-3"/>
        </w:rPr>
        <w:t> </w:t>
      </w:r>
      <w:r>
        <w:rPr/>
        <w:t>operated</w:t>
      </w:r>
      <w:r>
        <w:rPr>
          <w:spacing w:val="-3"/>
        </w:rPr>
        <w:t> </w:t>
      </w:r>
      <w:r>
        <w:rPr/>
        <w:t>by</w:t>
      </w:r>
      <w:r>
        <w:rPr>
          <w:spacing w:val="-3"/>
        </w:rPr>
        <w:t> </w:t>
      </w:r>
      <w:r>
        <w:rPr/>
        <w:t>the</w:t>
      </w:r>
      <w:r>
        <w:rPr>
          <w:spacing w:val="-3"/>
        </w:rPr>
        <w:t> </w:t>
      </w:r>
      <w:r>
        <w:rPr/>
        <w:t>use</w:t>
      </w:r>
      <w:r>
        <w:rPr>
          <w:spacing w:val="-3"/>
        </w:rPr>
        <w:t> </w:t>
      </w:r>
      <w:r>
        <w:rPr/>
        <w:t>of</w:t>
      </w:r>
      <w:r>
        <w:rPr>
          <w:spacing w:val="-2"/>
        </w:rPr>
        <w:t> </w:t>
      </w:r>
      <w:r>
        <w:rPr/>
        <w:t>any</w:t>
      </w:r>
      <w:r>
        <w:rPr>
          <w:spacing w:val="-4"/>
        </w:rPr>
        <w:t> </w:t>
      </w:r>
      <w:r>
        <w:rPr/>
        <w:t>funds</w:t>
      </w:r>
      <w:r>
        <w:rPr>
          <w:spacing w:val="-3"/>
        </w:rPr>
        <w:t> </w:t>
      </w:r>
      <w:r>
        <w:rPr/>
        <w:t>derived</w:t>
      </w:r>
      <w:r>
        <w:rPr>
          <w:spacing w:val="-3"/>
        </w:rPr>
        <w:t> </w:t>
      </w:r>
      <w:r>
        <w:rPr/>
        <w:t>in whole or in part, directly or indirectly, from</w:t>
      </w:r>
      <w:r>
        <w:rPr>
          <w:spacing w:val="-1"/>
        </w:rPr>
        <w:t> </w:t>
      </w:r>
      <w:r>
        <w:rPr/>
        <w:t>the operation of vending facilities on any Federal property.</w:t>
      </w:r>
    </w:p>
    <w:p>
      <w:pPr>
        <w:pStyle w:val="BodyText"/>
        <w:spacing w:line="208" w:lineRule="auto"/>
        <w:ind w:right="775" w:firstLine="432"/>
      </w:pPr>
      <w:r>
        <w:rPr>
          <w:b/>
        </w:rPr>
        <w:t>"Performance Evaluation" </w:t>
      </w:r>
      <w:r>
        <w:rPr/>
        <w:t>means an evaluation conducted to determine if a manager</w:t>
      </w:r>
      <w:r>
        <w:rPr>
          <w:spacing w:val="-2"/>
        </w:rPr>
        <w:t> </w:t>
      </w:r>
      <w:r>
        <w:rPr/>
        <w:t>is</w:t>
      </w:r>
      <w:r>
        <w:rPr>
          <w:spacing w:val="-3"/>
        </w:rPr>
        <w:t> </w:t>
      </w:r>
      <w:r>
        <w:rPr/>
        <w:t>eligible</w:t>
      </w:r>
      <w:r>
        <w:rPr>
          <w:spacing w:val="-3"/>
        </w:rPr>
        <w:t> </w:t>
      </w:r>
      <w:r>
        <w:rPr/>
        <w:t>to</w:t>
      </w:r>
      <w:r>
        <w:rPr>
          <w:spacing w:val="-3"/>
        </w:rPr>
        <w:t> </w:t>
      </w:r>
      <w:r>
        <w:rPr/>
        <w:t>apply</w:t>
      </w:r>
      <w:r>
        <w:rPr>
          <w:spacing w:val="-3"/>
        </w:rPr>
        <w:t> </w:t>
      </w:r>
      <w:r>
        <w:rPr/>
        <w:t>for</w:t>
      </w:r>
      <w:r>
        <w:rPr>
          <w:spacing w:val="-2"/>
        </w:rPr>
        <w:t> </w:t>
      </w:r>
      <w:r>
        <w:rPr/>
        <w:t>a</w:t>
      </w:r>
      <w:r>
        <w:rPr>
          <w:spacing w:val="-4"/>
        </w:rPr>
        <w:t> </w:t>
      </w:r>
      <w:r>
        <w:rPr/>
        <w:t>facility</w:t>
      </w:r>
      <w:r>
        <w:rPr>
          <w:spacing w:val="-3"/>
        </w:rPr>
        <w:t> </w:t>
      </w:r>
      <w:r>
        <w:rPr/>
        <w:t>or</w:t>
      </w:r>
      <w:r>
        <w:rPr>
          <w:spacing w:val="-2"/>
        </w:rPr>
        <w:t> </w:t>
      </w:r>
      <w:r>
        <w:rPr/>
        <w:t>to</w:t>
      </w:r>
      <w:r>
        <w:rPr>
          <w:spacing w:val="-4"/>
        </w:rPr>
        <w:t> </w:t>
      </w:r>
      <w:r>
        <w:rPr/>
        <w:t>be</w:t>
      </w:r>
      <w:r>
        <w:rPr>
          <w:spacing w:val="-3"/>
        </w:rPr>
        <w:t> </w:t>
      </w:r>
      <w:r>
        <w:rPr/>
        <w:t>awarded</w:t>
      </w:r>
      <w:r>
        <w:rPr>
          <w:spacing w:val="-3"/>
        </w:rPr>
        <w:t> </w:t>
      </w:r>
      <w:r>
        <w:rPr/>
        <w:t>a</w:t>
      </w:r>
      <w:r>
        <w:rPr>
          <w:spacing w:val="-3"/>
        </w:rPr>
        <w:t> </w:t>
      </w:r>
      <w:r>
        <w:rPr/>
        <w:t>permanent</w:t>
      </w:r>
      <w:r>
        <w:rPr>
          <w:spacing w:val="-2"/>
        </w:rPr>
        <w:t> </w:t>
      </w:r>
      <w:r>
        <w:rPr/>
        <w:t>BEP</w:t>
      </w:r>
      <w:r>
        <w:rPr>
          <w:spacing w:val="-3"/>
        </w:rPr>
        <w:t> </w:t>
      </w:r>
      <w:r>
        <w:rPr/>
        <w:t>license.</w:t>
      </w:r>
    </w:p>
    <w:p>
      <w:pPr>
        <w:pStyle w:val="BodyText"/>
        <w:spacing w:line="208" w:lineRule="auto"/>
        <w:ind w:right="775" w:firstLine="432"/>
      </w:pPr>
      <w:r>
        <w:rPr>
          <w:b/>
        </w:rPr>
        <w:t>"Permit" </w:t>
      </w:r>
      <w:r>
        <w:rPr/>
        <w:t>means the official approval given a State Licensing Agency by a department,</w:t>
      </w:r>
      <w:r>
        <w:rPr>
          <w:spacing w:val="-2"/>
        </w:rPr>
        <w:t> </w:t>
      </w:r>
      <w:r>
        <w:rPr/>
        <w:t>agency,</w:t>
      </w:r>
      <w:r>
        <w:rPr>
          <w:spacing w:val="-2"/>
        </w:rPr>
        <w:t> </w:t>
      </w:r>
      <w:r>
        <w:rPr/>
        <w:t>or</w:t>
      </w:r>
      <w:r>
        <w:rPr>
          <w:spacing w:val="-2"/>
        </w:rPr>
        <w:t> </w:t>
      </w:r>
      <w:r>
        <w:rPr/>
        <w:t>instrumentality</w:t>
      </w:r>
      <w:r>
        <w:rPr>
          <w:spacing w:val="-3"/>
        </w:rPr>
        <w:t> </w:t>
      </w:r>
      <w:r>
        <w:rPr/>
        <w:t>in</w:t>
      </w:r>
      <w:r>
        <w:rPr>
          <w:spacing w:val="-3"/>
        </w:rPr>
        <w:t> </w:t>
      </w:r>
      <w:r>
        <w:rPr/>
        <w:t>control</w:t>
      </w:r>
      <w:r>
        <w:rPr>
          <w:spacing w:val="-3"/>
        </w:rPr>
        <w:t> </w:t>
      </w:r>
      <w:r>
        <w:rPr/>
        <w:t>of</w:t>
      </w:r>
      <w:r>
        <w:rPr>
          <w:spacing w:val="-4"/>
        </w:rPr>
        <w:t> </w:t>
      </w:r>
      <w:r>
        <w:rPr/>
        <w:t>the</w:t>
      </w:r>
      <w:r>
        <w:rPr>
          <w:spacing w:val="-4"/>
        </w:rPr>
        <w:t> </w:t>
      </w:r>
      <w:r>
        <w:rPr/>
        <w:t>maintenance,</w:t>
      </w:r>
      <w:r>
        <w:rPr>
          <w:spacing w:val="-2"/>
        </w:rPr>
        <w:t> </w:t>
      </w:r>
      <w:r>
        <w:rPr/>
        <w:t>operation</w:t>
      </w:r>
      <w:r>
        <w:rPr>
          <w:spacing w:val="-3"/>
        </w:rPr>
        <w:t> </w:t>
      </w:r>
      <w:r>
        <w:rPr/>
        <w:t>and protection</w:t>
      </w:r>
      <w:r>
        <w:rPr>
          <w:spacing w:val="-3"/>
        </w:rPr>
        <w:t> </w:t>
      </w:r>
      <w:r>
        <w:rPr/>
        <w:t>of</w:t>
      </w:r>
      <w:r>
        <w:rPr>
          <w:spacing w:val="-2"/>
        </w:rPr>
        <w:t> </w:t>
      </w:r>
      <w:r>
        <w:rPr/>
        <w:t>Federal</w:t>
      </w:r>
      <w:r>
        <w:rPr>
          <w:spacing w:val="-3"/>
        </w:rPr>
        <w:t> </w:t>
      </w:r>
      <w:r>
        <w:rPr/>
        <w:t>property</w:t>
      </w:r>
      <w:r>
        <w:rPr>
          <w:spacing w:val="-3"/>
        </w:rPr>
        <w:t> </w:t>
      </w:r>
      <w:r>
        <w:rPr/>
        <w:t>or</w:t>
      </w:r>
      <w:r>
        <w:rPr>
          <w:spacing w:val="-4"/>
        </w:rPr>
        <w:t> </w:t>
      </w:r>
      <w:r>
        <w:rPr/>
        <w:t>person</w:t>
      </w:r>
      <w:r>
        <w:rPr>
          <w:spacing w:val="-3"/>
        </w:rPr>
        <w:t> </w:t>
      </w:r>
      <w:r>
        <w:rPr/>
        <w:t>in</w:t>
      </w:r>
      <w:r>
        <w:rPr>
          <w:spacing w:val="-3"/>
        </w:rPr>
        <w:t> </w:t>
      </w:r>
      <w:r>
        <w:rPr/>
        <w:t>control</w:t>
      </w:r>
      <w:r>
        <w:rPr>
          <w:spacing w:val="-3"/>
        </w:rPr>
        <w:t> </w:t>
      </w:r>
      <w:r>
        <w:rPr/>
        <w:t>of</w:t>
      </w:r>
      <w:r>
        <w:rPr>
          <w:spacing w:val="-2"/>
        </w:rPr>
        <w:t> </w:t>
      </w:r>
      <w:r>
        <w:rPr/>
        <w:t>other</w:t>
      </w:r>
      <w:r>
        <w:rPr>
          <w:spacing w:val="-2"/>
        </w:rPr>
        <w:t> </w:t>
      </w:r>
      <w:r>
        <w:rPr/>
        <w:t>property</w:t>
      </w:r>
      <w:r>
        <w:rPr>
          <w:spacing w:val="-3"/>
        </w:rPr>
        <w:t> </w:t>
      </w:r>
      <w:r>
        <w:rPr/>
        <w:t>where</w:t>
      </w:r>
      <w:r>
        <w:rPr>
          <w:spacing w:val="-3"/>
        </w:rPr>
        <w:t> </w:t>
      </w:r>
      <w:r>
        <w:rPr/>
        <w:t>the</w:t>
      </w:r>
      <w:r>
        <w:rPr>
          <w:spacing w:val="-3"/>
        </w:rPr>
        <w:t> </w:t>
      </w:r>
      <w:r>
        <w:rPr/>
        <w:t>State Licensing Agency is authorized to establish a business enterprise.</w:t>
      </w:r>
    </w:p>
    <w:p>
      <w:pPr>
        <w:pStyle w:val="BodyText"/>
        <w:spacing w:line="208" w:lineRule="auto" w:before="239"/>
        <w:ind w:right="775" w:firstLine="432"/>
      </w:pPr>
      <w:r>
        <w:rPr>
          <w:b/>
        </w:rPr>
        <w:t>"Purveyor"</w:t>
      </w:r>
      <w:r>
        <w:rPr>
          <w:b/>
          <w:spacing w:val="-4"/>
        </w:rPr>
        <w:t> </w:t>
      </w:r>
      <w:r>
        <w:rPr/>
        <w:t>means</w:t>
      </w:r>
      <w:r>
        <w:rPr>
          <w:spacing w:val="-4"/>
        </w:rPr>
        <w:t> </w:t>
      </w:r>
      <w:r>
        <w:rPr/>
        <w:t>an</w:t>
      </w:r>
      <w:r>
        <w:rPr>
          <w:spacing w:val="-4"/>
        </w:rPr>
        <w:t> </w:t>
      </w:r>
      <w:r>
        <w:rPr/>
        <w:t>approved</w:t>
      </w:r>
      <w:r>
        <w:rPr>
          <w:spacing w:val="-3"/>
        </w:rPr>
        <w:t> </w:t>
      </w:r>
      <w:r>
        <w:rPr/>
        <w:t>source</w:t>
      </w:r>
      <w:r>
        <w:rPr>
          <w:spacing w:val="-4"/>
        </w:rPr>
        <w:t> </w:t>
      </w:r>
      <w:r>
        <w:rPr/>
        <w:t>of</w:t>
      </w:r>
      <w:r>
        <w:rPr>
          <w:spacing w:val="-5"/>
        </w:rPr>
        <w:t> </w:t>
      </w:r>
      <w:r>
        <w:rPr/>
        <w:t>supply</w:t>
      </w:r>
      <w:r>
        <w:rPr>
          <w:spacing w:val="-4"/>
        </w:rPr>
        <w:t> </w:t>
      </w:r>
      <w:r>
        <w:rPr/>
        <w:t>for</w:t>
      </w:r>
      <w:r>
        <w:rPr>
          <w:spacing w:val="-3"/>
        </w:rPr>
        <w:t> </w:t>
      </w:r>
      <w:r>
        <w:rPr/>
        <w:t>food,</w:t>
      </w:r>
      <w:r>
        <w:rPr>
          <w:spacing w:val="-3"/>
        </w:rPr>
        <w:t> </w:t>
      </w:r>
      <w:r>
        <w:rPr/>
        <w:t>beverages,</w:t>
      </w:r>
      <w:r>
        <w:rPr>
          <w:spacing w:val="-3"/>
        </w:rPr>
        <w:t> </w:t>
      </w:r>
      <w:r>
        <w:rPr/>
        <w:t>supplies,</w:t>
      </w:r>
      <w:r>
        <w:rPr>
          <w:spacing w:val="-3"/>
        </w:rPr>
        <w:t> </w:t>
      </w:r>
      <w:r>
        <w:rPr/>
        <w:t>or </w:t>
      </w:r>
      <w:r>
        <w:rPr>
          <w:spacing w:val="-2"/>
        </w:rPr>
        <w:t>services.</w:t>
      </w:r>
    </w:p>
    <w:p>
      <w:pPr>
        <w:pStyle w:val="BodyText"/>
        <w:spacing w:line="208" w:lineRule="auto"/>
        <w:ind w:right="725" w:firstLine="432"/>
      </w:pPr>
      <w:r>
        <w:rPr>
          <w:b/>
        </w:rPr>
        <w:t>"Randolph-Sheppard Act" </w:t>
      </w:r>
      <w:r>
        <w:rPr/>
        <w:t>means Public Law 74-732 as amended by Public Law 83-565,</w:t>
      </w:r>
      <w:r>
        <w:rPr>
          <w:spacing w:val="-3"/>
        </w:rPr>
        <w:t> </w:t>
      </w:r>
      <w:r>
        <w:rPr/>
        <w:t>Public</w:t>
      </w:r>
      <w:r>
        <w:rPr>
          <w:spacing w:val="-4"/>
        </w:rPr>
        <w:t> </w:t>
      </w:r>
      <w:r>
        <w:rPr/>
        <w:t>Law</w:t>
      </w:r>
      <w:r>
        <w:rPr>
          <w:spacing w:val="-4"/>
        </w:rPr>
        <w:t> </w:t>
      </w:r>
      <w:r>
        <w:rPr/>
        <w:t>93-516,</w:t>
      </w:r>
      <w:r>
        <w:rPr>
          <w:spacing w:val="-3"/>
        </w:rPr>
        <w:t> </w:t>
      </w:r>
      <w:r>
        <w:rPr/>
        <w:t>and</w:t>
      </w:r>
      <w:r>
        <w:rPr>
          <w:spacing w:val="-4"/>
        </w:rPr>
        <w:t> </w:t>
      </w:r>
      <w:r>
        <w:rPr/>
        <w:t>Public</w:t>
      </w:r>
      <w:r>
        <w:rPr>
          <w:spacing w:val="-4"/>
        </w:rPr>
        <w:t> </w:t>
      </w:r>
      <w:r>
        <w:rPr/>
        <w:t>Law</w:t>
      </w:r>
      <w:r>
        <w:rPr>
          <w:spacing w:val="-3"/>
        </w:rPr>
        <w:t> </w:t>
      </w:r>
      <w:r>
        <w:rPr/>
        <w:t>95-602,</w:t>
      </w:r>
      <w:r>
        <w:rPr>
          <w:spacing w:val="-3"/>
        </w:rPr>
        <w:t> </w:t>
      </w:r>
      <w:r>
        <w:rPr/>
        <w:t>20</w:t>
      </w:r>
      <w:r>
        <w:rPr>
          <w:spacing w:val="-4"/>
        </w:rPr>
        <w:t> </w:t>
      </w:r>
      <w:r>
        <w:rPr/>
        <w:t>U.S.C.</w:t>
      </w:r>
      <w:r>
        <w:rPr>
          <w:spacing w:val="-3"/>
        </w:rPr>
        <w:t> </w:t>
      </w:r>
      <w:r>
        <w:rPr/>
        <w:t>Chapter</w:t>
      </w:r>
      <w:r>
        <w:rPr>
          <w:spacing w:val="-3"/>
        </w:rPr>
        <w:t> </w:t>
      </w:r>
      <w:r>
        <w:rPr/>
        <w:t>6A,</w:t>
      </w:r>
      <w:r>
        <w:rPr>
          <w:spacing w:val="-3"/>
        </w:rPr>
        <w:t> </w:t>
      </w:r>
      <w:r>
        <w:rPr/>
        <w:t>Section</w:t>
      </w:r>
      <w:r>
        <w:rPr>
          <w:spacing w:val="-4"/>
        </w:rPr>
        <w:t> </w:t>
      </w:r>
      <w:r>
        <w:rPr/>
        <w:t>107.</w:t>
      </w:r>
    </w:p>
    <w:p>
      <w:pPr>
        <w:pStyle w:val="BodyText"/>
        <w:spacing w:line="208" w:lineRule="auto"/>
        <w:ind w:right="775" w:firstLine="432"/>
      </w:pPr>
      <w:r>
        <w:rPr>
          <w:b/>
        </w:rPr>
        <w:t>"Retained</w:t>
      </w:r>
      <w:r>
        <w:rPr>
          <w:b/>
          <w:spacing w:val="-5"/>
        </w:rPr>
        <w:t> </w:t>
      </w:r>
      <w:r>
        <w:rPr>
          <w:b/>
        </w:rPr>
        <w:t>vending</w:t>
      </w:r>
      <w:r>
        <w:rPr>
          <w:b/>
          <w:spacing w:val="-5"/>
        </w:rPr>
        <w:t> </w:t>
      </w:r>
      <w:r>
        <w:rPr>
          <w:b/>
        </w:rPr>
        <w:t>machine</w:t>
      </w:r>
      <w:r>
        <w:rPr>
          <w:b/>
          <w:spacing w:val="-5"/>
        </w:rPr>
        <w:t> </w:t>
      </w:r>
      <w:r>
        <w:rPr>
          <w:b/>
        </w:rPr>
        <w:t>income"</w:t>
      </w:r>
      <w:r>
        <w:rPr>
          <w:b/>
          <w:spacing w:val="-5"/>
        </w:rPr>
        <w:t> </w:t>
      </w:r>
      <w:r>
        <w:rPr/>
        <w:t>means</w:t>
      </w:r>
      <w:r>
        <w:rPr>
          <w:spacing w:val="-5"/>
        </w:rPr>
        <w:t> </w:t>
      </w:r>
      <w:r>
        <w:rPr/>
        <w:t>vending</w:t>
      </w:r>
      <w:r>
        <w:rPr>
          <w:spacing w:val="-4"/>
        </w:rPr>
        <w:t> </w:t>
      </w:r>
      <w:r>
        <w:rPr/>
        <w:t>machine</w:t>
      </w:r>
      <w:r>
        <w:rPr>
          <w:spacing w:val="-5"/>
        </w:rPr>
        <w:t> </w:t>
      </w:r>
      <w:r>
        <w:rPr/>
        <w:t>income</w:t>
      </w:r>
      <w:r>
        <w:rPr>
          <w:spacing w:val="-5"/>
        </w:rPr>
        <w:t> </w:t>
      </w:r>
      <w:r>
        <w:rPr/>
        <w:t>disbursed by a property managing department, agency or instrumentality of the United States, or received from vending machines on State or other property in excess of the amounts eligible to accrue to licensed managers.</w:t>
      </w:r>
    </w:p>
    <w:p>
      <w:pPr>
        <w:spacing w:line="208" w:lineRule="auto" w:before="240"/>
        <w:ind w:left="360" w:right="775" w:firstLine="432"/>
        <w:jc w:val="left"/>
        <w:rPr>
          <w:sz w:val="24"/>
        </w:rPr>
      </w:pPr>
      <w:r>
        <w:rPr>
          <w:b/>
          <w:sz w:val="24"/>
        </w:rPr>
        <w:t>"Routine</w:t>
      </w:r>
      <w:r>
        <w:rPr>
          <w:b/>
          <w:spacing w:val="-5"/>
          <w:sz w:val="24"/>
        </w:rPr>
        <w:t> </w:t>
      </w:r>
      <w:r>
        <w:rPr>
          <w:b/>
          <w:sz w:val="24"/>
        </w:rPr>
        <w:t>preventive</w:t>
      </w:r>
      <w:r>
        <w:rPr>
          <w:b/>
          <w:spacing w:val="-5"/>
          <w:sz w:val="24"/>
        </w:rPr>
        <w:t> </w:t>
      </w:r>
      <w:r>
        <w:rPr>
          <w:b/>
          <w:sz w:val="24"/>
        </w:rPr>
        <w:t>maintenance"</w:t>
      </w:r>
      <w:r>
        <w:rPr>
          <w:b/>
          <w:spacing w:val="-5"/>
          <w:sz w:val="24"/>
        </w:rPr>
        <w:t> </w:t>
      </w:r>
      <w:r>
        <w:rPr>
          <w:sz w:val="24"/>
        </w:rPr>
        <w:t>means</w:t>
      </w:r>
      <w:r>
        <w:rPr>
          <w:spacing w:val="-5"/>
          <w:sz w:val="24"/>
        </w:rPr>
        <w:t> </w:t>
      </w:r>
      <w:r>
        <w:rPr>
          <w:sz w:val="24"/>
        </w:rPr>
        <w:t>the</w:t>
      </w:r>
      <w:r>
        <w:rPr>
          <w:spacing w:val="-5"/>
          <w:sz w:val="24"/>
        </w:rPr>
        <w:t> </w:t>
      </w:r>
      <w:r>
        <w:rPr>
          <w:sz w:val="24"/>
        </w:rPr>
        <w:t>regular</w:t>
      </w:r>
      <w:r>
        <w:rPr>
          <w:spacing w:val="-4"/>
          <w:sz w:val="24"/>
        </w:rPr>
        <w:t> </w:t>
      </w:r>
      <w:r>
        <w:rPr>
          <w:sz w:val="24"/>
        </w:rPr>
        <w:t>care,</w:t>
      </w:r>
      <w:r>
        <w:rPr>
          <w:spacing w:val="-4"/>
          <w:sz w:val="24"/>
        </w:rPr>
        <w:t> </w:t>
      </w:r>
      <w:r>
        <w:rPr>
          <w:sz w:val="24"/>
        </w:rPr>
        <w:t>upkeep,</w:t>
      </w:r>
      <w:r>
        <w:rPr>
          <w:spacing w:val="-4"/>
          <w:sz w:val="24"/>
        </w:rPr>
        <w:t> </w:t>
      </w:r>
      <w:r>
        <w:rPr>
          <w:sz w:val="24"/>
        </w:rPr>
        <w:t>and</w:t>
      </w:r>
      <w:r>
        <w:rPr>
          <w:spacing w:val="-5"/>
          <w:sz w:val="24"/>
        </w:rPr>
        <w:t> </w:t>
      </w:r>
      <w:r>
        <w:rPr>
          <w:sz w:val="24"/>
        </w:rPr>
        <w:t>cleaning of equipment used in a business enterprise.</w:t>
      </w:r>
    </w:p>
    <w:p>
      <w:pPr>
        <w:pStyle w:val="BodyText"/>
        <w:spacing w:line="208" w:lineRule="auto" w:before="239"/>
        <w:ind w:right="775" w:firstLine="432"/>
      </w:pPr>
      <w:r>
        <w:rPr>
          <w:b/>
        </w:rPr>
        <w:t>"Rules</w:t>
      </w:r>
      <w:r>
        <w:rPr>
          <w:b/>
          <w:spacing w:val="-4"/>
        </w:rPr>
        <w:t> </w:t>
      </w:r>
      <w:r>
        <w:rPr>
          <w:b/>
        </w:rPr>
        <w:t>and</w:t>
      </w:r>
      <w:r>
        <w:rPr>
          <w:b/>
          <w:spacing w:val="-5"/>
        </w:rPr>
        <w:t> </w:t>
      </w:r>
      <w:r>
        <w:rPr>
          <w:b/>
        </w:rPr>
        <w:t>regulations"</w:t>
      </w:r>
      <w:r>
        <w:rPr>
          <w:b/>
          <w:spacing w:val="-4"/>
        </w:rPr>
        <w:t> </w:t>
      </w:r>
      <w:r>
        <w:rPr/>
        <w:t>means</w:t>
      </w:r>
      <w:r>
        <w:rPr>
          <w:spacing w:val="-5"/>
        </w:rPr>
        <w:t> </w:t>
      </w:r>
      <w:r>
        <w:rPr/>
        <w:t>the</w:t>
      </w:r>
      <w:r>
        <w:rPr>
          <w:spacing w:val="-4"/>
        </w:rPr>
        <w:t> </w:t>
      </w:r>
      <w:r>
        <w:rPr/>
        <w:t>instrument</w:t>
      </w:r>
      <w:r>
        <w:rPr>
          <w:spacing w:val="-4"/>
        </w:rPr>
        <w:t> </w:t>
      </w:r>
      <w:r>
        <w:rPr/>
        <w:t>written</w:t>
      </w:r>
      <w:r>
        <w:rPr>
          <w:spacing w:val="-4"/>
        </w:rPr>
        <w:t> </w:t>
      </w:r>
      <w:r>
        <w:rPr/>
        <w:t>by</w:t>
      </w:r>
      <w:r>
        <w:rPr>
          <w:spacing w:val="-5"/>
        </w:rPr>
        <w:t> </w:t>
      </w:r>
      <w:r>
        <w:rPr/>
        <w:t>the</w:t>
      </w:r>
      <w:r>
        <w:rPr>
          <w:spacing w:val="-4"/>
        </w:rPr>
        <w:t> </w:t>
      </w:r>
      <w:r>
        <w:rPr/>
        <w:t>State</w:t>
      </w:r>
      <w:r>
        <w:rPr>
          <w:spacing w:val="-5"/>
        </w:rPr>
        <w:t> </w:t>
      </w:r>
      <w:r>
        <w:rPr/>
        <w:t>Licensing Agency and approved by the Secretary of Education setting forth the conduct and operation of the Business Enterprise Program. A copy of the document granting approval of the rules and regulations from RSA, will be mailed to each licensed </w:t>
      </w:r>
      <w:r>
        <w:rPr>
          <w:spacing w:val="-2"/>
        </w:rPr>
        <w:t>manager.</w:t>
      </w:r>
    </w:p>
    <w:p>
      <w:pPr>
        <w:pStyle w:val="BodyText"/>
        <w:spacing w:line="208" w:lineRule="auto"/>
        <w:ind w:right="739" w:firstLine="432"/>
      </w:pPr>
      <w:r>
        <w:rPr>
          <w:b/>
        </w:rPr>
        <w:t>"Saleable stock/merchandise" </w:t>
      </w:r>
      <w:r>
        <w:rPr/>
        <w:t>means products comprising the merchandise available for sale to the public and determined by the SLA to be from an approved source</w:t>
      </w:r>
      <w:r>
        <w:rPr>
          <w:spacing w:val="-3"/>
        </w:rPr>
        <w:t> </w:t>
      </w:r>
      <w:r>
        <w:rPr/>
        <w:t>in</w:t>
      </w:r>
      <w:r>
        <w:rPr>
          <w:spacing w:val="-3"/>
        </w:rPr>
        <w:t> </w:t>
      </w:r>
      <w:r>
        <w:rPr/>
        <w:t>the</w:t>
      </w:r>
      <w:r>
        <w:rPr>
          <w:spacing w:val="-3"/>
        </w:rPr>
        <w:t> </w:t>
      </w:r>
      <w:r>
        <w:rPr/>
        <w:t>original</w:t>
      </w:r>
      <w:r>
        <w:rPr>
          <w:spacing w:val="-3"/>
        </w:rPr>
        <w:t> </w:t>
      </w:r>
      <w:r>
        <w:rPr/>
        <w:t>container,</w:t>
      </w:r>
      <w:r>
        <w:rPr>
          <w:spacing w:val="-2"/>
        </w:rPr>
        <w:t> </w:t>
      </w:r>
      <w:r>
        <w:rPr/>
        <w:t>in</w:t>
      </w:r>
      <w:r>
        <w:rPr>
          <w:spacing w:val="-3"/>
        </w:rPr>
        <w:t> </w:t>
      </w:r>
      <w:r>
        <w:rPr/>
        <w:t>date,</w:t>
      </w:r>
      <w:r>
        <w:rPr>
          <w:spacing w:val="-2"/>
        </w:rPr>
        <w:t> </w:t>
      </w:r>
      <w:r>
        <w:rPr/>
        <w:t>consistent</w:t>
      </w:r>
      <w:r>
        <w:rPr>
          <w:spacing w:val="-2"/>
        </w:rPr>
        <w:t> </w:t>
      </w:r>
      <w:r>
        <w:rPr/>
        <w:t>with</w:t>
      </w:r>
      <w:r>
        <w:rPr>
          <w:spacing w:val="-3"/>
        </w:rPr>
        <w:t> </w:t>
      </w:r>
      <w:r>
        <w:rPr/>
        <w:t>the</w:t>
      </w:r>
      <w:r>
        <w:rPr>
          <w:spacing w:val="-3"/>
        </w:rPr>
        <w:t> </w:t>
      </w:r>
      <w:r>
        <w:rPr/>
        <w:t>needs</w:t>
      </w:r>
      <w:r>
        <w:rPr>
          <w:spacing w:val="-3"/>
        </w:rPr>
        <w:t> </w:t>
      </w:r>
      <w:r>
        <w:rPr/>
        <w:t>of</w:t>
      </w:r>
      <w:r>
        <w:rPr>
          <w:spacing w:val="-2"/>
        </w:rPr>
        <w:t> </w:t>
      </w:r>
      <w:r>
        <w:rPr/>
        <w:t>the</w:t>
      </w:r>
      <w:r>
        <w:rPr>
          <w:spacing w:val="-3"/>
        </w:rPr>
        <w:t> </w:t>
      </w:r>
      <w:r>
        <w:rPr/>
        <w:t>customers</w:t>
      </w:r>
      <w:r>
        <w:rPr>
          <w:spacing w:val="-3"/>
        </w:rPr>
        <w:t> </w:t>
      </w:r>
      <w:r>
        <w:rPr/>
        <w:t>for</w:t>
      </w:r>
      <w:r>
        <w:rPr>
          <w:spacing w:val="-4"/>
        </w:rPr>
        <w:t> </w:t>
      </w:r>
      <w:r>
        <w:rPr/>
        <w:t>a particular business enterprise.</w:t>
      </w:r>
    </w:p>
    <w:p>
      <w:pPr>
        <w:spacing w:line="208" w:lineRule="auto" w:before="239"/>
        <w:ind w:left="360" w:right="775" w:firstLine="432"/>
        <w:jc w:val="left"/>
        <w:rPr>
          <w:sz w:val="24"/>
        </w:rPr>
      </w:pPr>
      <w:r>
        <w:rPr>
          <w:b/>
          <w:sz w:val="24"/>
        </w:rPr>
        <w:t>"Satellite</w:t>
      </w:r>
      <w:r>
        <w:rPr>
          <w:b/>
          <w:spacing w:val="-7"/>
          <w:sz w:val="24"/>
        </w:rPr>
        <w:t> </w:t>
      </w:r>
      <w:r>
        <w:rPr>
          <w:b/>
          <w:sz w:val="24"/>
        </w:rPr>
        <w:t>business</w:t>
      </w:r>
      <w:r>
        <w:rPr>
          <w:b/>
          <w:spacing w:val="-3"/>
          <w:sz w:val="24"/>
        </w:rPr>
        <w:t> </w:t>
      </w:r>
      <w:r>
        <w:rPr>
          <w:b/>
          <w:sz w:val="24"/>
        </w:rPr>
        <w:t>enterprise"</w:t>
      </w:r>
      <w:r>
        <w:rPr>
          <w:b/>
          <w:spacing w:val="-4"/>
          <w:sz w:val="24"/>
        </w:rPr>
        <w:t> </w:t>
      </w:r>
      <w:r>
        <w:rPr>
          <w:sz w:val="24"/>
        </w:rPr>
        <w:t>means</w:t>
      </w:r>
      <w:r>
        <w:rPr>
          <w:spacing w:val="-4"/>
          <w:sz w:val="24"/>
        </w:rPr>
        <w:t> </w:t>
      </w:r>
      <w:r>
        <w:rPr>
          <w:sz w:val="24"/>
        </w:rPr>
        <w:t>a</w:t>
      </w:r>
      <w:r>
        <w:rPr>
          <w:spacing w:val="-5"/>
          <w:sz w:val="24"/>
        </w:rPr>
        <w:t> </w:t>
      </w:r>
      <w:r>
        <w:rPr>
          <w:sz w:val="24"/>
        </w:rPr>
        <w:t>business</w:t>
      </w:r>
      <w:r>
        <w:rPr>
          <w:spacing w:val="-4"/>
          <w:sz w:val="24"/>
        </w:rPr>
        <w:t> </w:t>
      </w:r>
      <w:r>
        <w:rPr>
          <w:sz w:val="24"/>
        </w:rPr>
        <w:t>enterprise</w:t>
      </w:r>
      <w:r>
        <w:rPr>
          <w:spacing w:val="-4"/>
          <w:sz w:val="24"/>
        </w:rPr>
        <w:t> </w:t>
      </w:r>
      <w:r>
        <w:rPr>
          <w:sz w:val="24"/>
        </w:rPr>
        <w:t>assigned</w:t>
      </w:r>
      <w:r>
        <w:rPr>
          <w:spacing w:val="-4"/>
          <w:sz w:val="24"/>
        </w:rPr>
        <w:t> </w:t>
      </w:r>
      <w:r>
        <w:rPr>
          <w:sz w:val="24"/>
        </w:rPr>
        <w:t>to</w:t>
      </w:r>
      <w:r>
        <w:rPr>
          <w:spacing w:val="-4"/>
          <w:sz w:val="24"/>
        </w:rPr>
        <w:t> </w:t>
      </w:r>
      <w:r>
        <w:rPr>
          <w:sz w:val="24"/>
        </w:rPr>
        <w:t>a licensed manager on a temporary basis.</w:t>
      </w:r>
    </w:p>
    <w:p>
      <w:pPr>
        <w:pStyle w:val="BodyText"/>
        <w:spacing w:line="208" w:lineRule="auto"/>
        <w:ind w:right="775" w:firstLine="432"/>
      </w:pPr>
      <w:r>
        <w:rPr>
          <w:b/>
        </w:rPr>
        <w:t>"Satisfactory</w:t>
      </w:r>
      <w:r>
        <w:rPr>
          <w:b/>
          <w:spacing w:val="-4"/>
        </w:rPr>
        <w:t> </w:t>
      </w:r>
      <w:r>
        <w:rPr>
          <w:b/>
        </w:rPr>
        <w:t>site"</w:t>
      </w:r>
      <w:r>
        <w:rPr>
          <w:b/>
          <w:spacing w:val="-5"/>
        </w:rPr>
        <w:t> </w:t>
      </w:r>
      <w:r>
        <w:rPr/>
        <w:t>means</w:t>
      </w:r>
      <w:r>
        <w:rPr>
          <w:spacing w:val="-4"/>
        </w:rPr>
        <w:t> </w:t>
      </w:r>
      <w:r>
        <w:rPr/>
        <w:t>an</w:t>
      </w:r>
      <w:r>
        <w:rPr>
          <w:spacing w:val="-4"/>
        </w:rPr>
        <w:t> </w:t>
      </w:r>
      <w:r>
        <w:rPr/>
        <w:t>area</w:t>
      </w:r>
      <w:r>
        <w:rPr>
          <w:spacing w:val="-4"/>
        </w:rPr>
        <w:t> </w:t>
      </w:r>
      <w:r>
        <w:rPr/>
        <w:t>determined</w:t>
      </w:r>
      <w:r>
        <w:rPr>
          <w:spacing w:val="-4"/>
        </w:rPr>
        <w:t> </w:t>
      </w:r>
      <w:r>
        <w:rPr/>
        <w:t>by</w:t>
      </w:r>
      <w:r>
        <w:rPr>
          <w:spacing w:val="-4"/>
        </w:rPr>
        <w:t> </w:t>
      </w:r>
      <w:r>
        <w:rPr/>
        <w:t>the</w:t>
      </w:r>
      <w:r>
        <w:rPr>
          <w:spacing w:val="-4"/>
        </w:rPr>
        <w:t> </w:t>
      </w:r>
      <w:r>
        <w:rPr/>
        <w:t>BEP</w:t>
      </w:r>
      <w:r>
        <w:rPr>
          <w:spacing w:val="-4"/>
        </w:rPr>
        <w:t> </w:t>
      </w:r>
      <w:r>
        <w:rPr/>
        <w:t>Operations</w:t>
      </w:r>
      <w:r>
        <w:rPr>
          <w:spacing w:val="-4"/>
        </w:rPr>
        <w:t> </w:t>
      </w:r>
      <w:r>
        <w:rPr/>
        <w:t>Coordinator to have sufficient space, electrical and plumbing outlets, and other such accommodations as prescribed by the Act, for the location and operation of a business enterprise in accordance with applicable health laws and building codes.</w:t>
      </w:r>
    </w:p>
    <w:p>
      <w:pPr>
        <w:spacing w:before="211"/>
        <w:ind w:left="792" w:right="0" w:firstLine="0"/>
        <w:jc w:val="left"/>
        <w:rPr>
          <w:sz w:val="24"/>
        </w:rPr>
      </w:pPr>
      <w:r>
        <w:rPr>
          <w:b/>
          <w:sz w:val="24"/>
        </w:rPr>
        <w:t>"Secretary"</w:t>
      </w:r>
      <w:r>
        <w:rPr>
          <w:b/>
          <w:spacing w:val="-6"/>
          <w:sz w:val="24"/>
        </w:rPr>
        <w:t> </w:t>
      </w:r>
      <w:r>
        <w:rPr>
          <w:sz w:val="24"/>
        </w:rPr>
        <w:t>means</w:t>
      </w:r>
      <w:r>
        <w:rPr>
          <w:spacing w:val="-3"/>
          <w:sz w:val="24"/>
        </w:rPr>
        <w:t> </w:t>
      </w:r>
      <w:r>
        <w:rPr>
          <w:sz w:val="24"/>
        </w:rPr>
        <w:t>the</w:t>
      </w:r>
      <w:r>
        <w:rPr>
          <w:spacing w:val="-3"/>
          <w:sz w:val="24"/>
        </w:rPr>
        <w:t> </w:t>
      </w:r>
      <w:r>
        <w:rPr>
          <w:sz w:val="24"/>
        </w:rPr>
        <w:t>United</w:t>
      </w:r>
      <w:r>
        <w:rPr>
          <w:spacing w:val="-3"/>
          <w:sz w:val="24"/>
        </w:rPr>
        <w:t> </w:t>
      </w:r>
      <w:r>
        <w:rPr>
          <w:sz w:val="24"/>
        </w:rPr>
        <w:t>States</w:t>
      </w:r>
      <w:r>
        <w:rPr>
          <w:spacing w:val="-3"/>
          <w:sz w:val="24"/>
        </w:rPr>
        <w:t> </w:t>
      </w:r>
      <w:r>
        <w:rPr>
          <w:sz w:val="24"/>
        </w:rPr>
        <w:t>Secretary</w:t>
      </w:r>
      <w:r>
        <w:rPr>
          <w:spacing w:val="-3"/>
          <w:sz w:val="24"/>
        </w:rPr>
        <w:t> </w:t>
      </w:r>
      <w:r>
        <w:rPr>
          <w:sz w:val="24"/>
        </w:rPr>
        <w:t>of</w:t>
      </w:r>
      <w:r>
        <w:rPr>
          <w:spacing w:val="-2"/>
          <w:sz w:val="24"/>
        </w:rPr>
        <w:t> Education.</w:t>
      </w:r>
    </w:p>
    <w:p>
      <w:pPr>
        <w:spacing w:after="0"/>
        <w:jc w:val="left"/>
        <w:rPr>
          <w:sz w:val="24"/>
        </w:rPr>
        <w:sectPr>
          <w:pgSz w:w="12240" w:h="15840"/>
          <w:pgMar w:top="1340" w:bottom="280" w:left="1080" w:right="720"/>
        </w:sectPr>
      </w:pPr>
    </w:p>
    <w:p>
      <w:pPr>
        <w:pStyle w:val="BodyText"/>
        <w:spacing w:line="208" w:lineRule="auto" w:before="96"/>
        <w:ind w:right="775" w:firstLine="432"/>
      </w:pPr>
      <w:r>
        <w:rPr>
          <w:b/>
        </w:rPr>
        <w:t>"Set-aside</w:t>
      </w:r>
      <w:r>
        <w:rPr>
          <w:b/>
          <w:spacing w:val="-4"/>
        </w:rPr>
        <w:t> </w:t>
      </w:r>
      <w:r>
        <w:rPr>
          <w:b/>
        </w:rPr>
        <w:t>funds"</w:t>
      </w:r>
      <w:r>
        <w:rPr>
          <w:b/>
          <w:spacing w:val="-4"/>
        </w:rPr>
        <w:t> </w:t>
      </w:r>
      <w:r>
        <w:rPr/>
        <w:t>means</w:t>
      </w:r>
      <w:r>
        <w:rPr>
          <w:spacing w:val="-4"/>
        </w:rPr>
        <w:t> </w:t>
      </w:r>
      <w:r>
        <w:rPr/>
        <w:t>funds</w:t>
      </w:r>
      <w:r>
        <w:rPr>
          <w:spacing w:val="-4"/>
        </w:rPr>
        <w:t> </w:t>
      </w:r>
      <w:r>
        <w:rPr/>
        <w:t>which</w:t>
      </w:r>
      <w:r>
        <w:rPr>
          <w:spacing w:val="-4"/>
        </w:rPr>
        <w:t> </w:t>
      </w:r>
      <w:r>
        <w:rPr/>
        <w:t>accrue</w:t>
      </w:r>
      <w:r>
        <w:rPr>
          <w:spacing w:val="-4"/>
        </w:rPr>
        <w:t> </w:t>
      </w:r>
      <w:r>
        <w:rPr/>
        <w:t>to</w:t>
      </w:r>
      <w:r>
        <w:rPr>
          <w:spacing w:val="-4"/>
        </w:rPr>
        <w:t> </w:t>
      </w:r>
      <w:r>
        <w:rPr/>
        <w:t>a</w:t>
      </w:r>
      <w:r>
        <w:rPr>
          <w:spacing w:val="-4"/>
        </w:rPr>
        <w:t> </w:t>
      </w:r>
      <w:r>
        <w:rPr/>
        <w:t>State</w:t>
      </w:r>
      <w:r>
        <w:rPr>
          <w:spacing w:val="-4"/>
        </w:rPr>
        <w:t> </w:t>
      </w:r>
      <w:r>
        <w:rPr/>
        <w:t>Licensing</w:t>
      </w:r>
      <w:r>
        <w:rPr>
          <w:spacing w:val="-3"/>
        </w:rPr>
        <w:t> </w:t>
      </w:r>
      <w:r>
        <w:rPr/>
        <w:t>Agency</w:t>
      </w:r>
      <w:r>
        <w:rPr>
          <w:spacing w:val="-4"/>
        </w:rPr>
        <w:t> </w:t>
      </w:r>
      <w:r>
        <w:rPr/>
        <w:t>from</w:t>
      </w:r>
      <w:r>
        <w:rPr>
          <w:spacing w:val="-3"/>
        </w:rPr>
        <w:t> </w:t>
      </w:r>
      <w:r>
        <w:rPr/>
        <w:t>an assessment against the net proceeds of each business enterprise in the State's business enterprise Program and any income from vending machines on Federal property which accrues to the SLA.</w:t>
      </w:r>
    </w:p>
    <w:p>
      <w:pPr>
        <w:pStyle w:val="BodyText"/>
        <w:spacing w:line="208" w:lineRule="auto" w:before="239"/>
        <w:ind w:right="775" w:firstLine="432"/>
      </w:pPr>
      <w:r>
        <w:rPr>
          <w:b/>
        </w:rPr>
        <w:t>"Snack</w:t>
      </w:r>
      <w:r>
        <w:rPr>
          <w:b/>
          <w:spacing w:val="-4"/>
        </w:rPr>
        <w:t> </w:t>
      </w:r>
      <w:r>
        <w:rPr>
          <w:b/>
        </w:rPr>
        <w:t>bar</w:t>
      </w:r>
      <w:r>
        <w:rPr>
          <w:b/>
          <w:spacing w:val="-4"/>
        </w:rPr>
        <w:t> </w:t>
      </w:r>
      <w:r>
        <w:rPr>
          <w:b/>
        </w:rPr>
        <w:t>business</w:t>
      </w:r>
      <w:r>
        <w:rPr>
          <w:b/>
          <w:spacing w:val="-4"/>
        </w:rPr>
        <w:t> </w:t>
      </w:r>
      <w:r>
        <w:rPr>
          <w:b/>
        </w:rPr>
        <w:t>enterprise"</w:t>
      </w:r>
      <w:r>
        <w:rPr>
          <w:b/>
          <w:spacing w:val="-4"/>
        </w:rPr>
        <w:t> </w:t>
      </w:r>
      <w:r>
        <w:rPr/>
        <w:t>means</w:t>
      </w:r>
      <w:r>
        <w:rPr>
          <w:spacing w:val="-4"/>
        </w:rPr>
        <w:t> </w:t>
      </w:r>
      <w:r>
        <w:rPr/>
        <w:t>a</w:t>
      </w:r>
      <w:r>
        <w:rPr>
          <w:spacing w:val="-5"/>
        </w:rPr>
        <w:t> </w:t>
      </w:r>
      <w:r>
        <w:rPr/>
        <w:t>business</w:t>
      </w:r>
      <w:r>
        <w:rPr>
          <w:spacing w:val="-4"/>
        </w:rPr>
        <w:t> </w:t>
      </w:r>
      <w:r>
        <w:rPr/>
        <w:t>enterprise</w:t>
      </w:r>
      <w:r>
        <w:rPr>
          <w:spacing w:val="-4"/>
        </w:rPr>
        <w:t> </w:t>
      </w:r>
      <w:r>
        <w:rPr/>
        <w:t>engaged</w:t>
      </w:r>
      <w:r>
        <w:rPr>
          <w:spacing w:val="-4"/>
        </w:rPr>
        <w:t> </w:t>
      </w:r>
      <w:r>
        <w:rPr/>
        <w:t>in</w:t>
      </w:r>
      <w:r>
        <w:rPr>
          <w:spacing w:val="-4"/>
        </w:rPr>
        <w:t> </w:t>
      </w:r>
      <w:r>
        <w:rPr/>
        <w:t>selling limited lines of refreshment and prepared food items necessary for</w:t>
      </w:r>
      <w:r>
        <w:rPr>
          <w:spacing w:val="-1"/>
        </w:rPr>
        <w:t> </w:t>
      </w:r>
      <w:r>
        <w:rPr/>
        <w:t>a light meal service.</w:t>
      </w:r>
    </w:p>
    <w:p>
      <w:pPr>
        <w:pStyle w:val="BodyText"/>
        <w:spacing w:line="208" w:lineRule="auto"/>
        <w:ind w:right="775" w:firstLine="432"/>
      </w:pPr>
      <w:r>
        <w:rPr>
          <w:b/>
        </w:rPr>
        <w:t>"State Licensing Agency (SLA)" </w:t>
      </w:r>
      <w:r>
        <w:rPr/>
        <w:t>means the State agency that issues licenses to persons</w:t>
      </w:r>
      <w:r>
        <w:rPr>
          <w:spacing w:val="-3"/>
        </w:rPr>
        <w:t> </w:t>
      </w:r>
      <w:r>
        <w:rPr/>
        <w:t>who</w:t>
      </w:r>
      <w:r>
        <w:rPr>
          <w:spacing w:val="-3"/>
        </w:rPr>
        <w:t> </w:t>
      </w:r>
      <w:r>
        <w:rPr/>
        <w:t>are</w:t>
      </w:r>
      <w:r>
        <w:rPr>
          <w:spacing w:val="-3"/>
        </w:rPr>
        <w:t> </w:t>
      </w:r>
      <w:r>
        <w:rPr/>
        <w:t>blind</w:t>
      </w:r>
      <w:r>
        <w:rPr>
          <w:spacing w:val="-3"/>
        </w:rPr>
        <w:t> </w:t>
      </w:r>
      <w:r>
        <w:rPr/>
        <w:t>for</w:t>
      </w:r>
      <w:r>
        <w:rPr>
          <w:spacing w:val="-3"/>
        </w:rPr>
        <w:t> </w:t>
      </w:r>
      <w:r>
        <w:rPr/>
        <w:t>the</w:t>
      </w:r>
      <w:r>
        <w:rPr>
          <w:spacing w:val="-3"/>
        </w:rPr>
        <w:t> </w:t>
      </w:r>
      <w:r>
        <w:rPr/>
        <w:t>operation</w:t>
      </w:r>
      <w:r>
        <w:rPr>
          <w:spacing w:val="-3"/>
        </w:rPr>
        <w:t> </w:t>
      </w:r>
      <w:r>
        <w:rPr/>
        <w:t>of</w:t>
      </w:r>
      <w:r>
        <w:rPr>
          <w:spacing w:val="-3"/>
        </w:rPr>
        <w:t> </w:t>
      </w:r>
      <w:r>
        <w:rPr/>
        <w:t>business</w:t>
      </w:r>
      <w:r>
        <w:rPr>
          <w:spacing w:val="-3"/>
        </w:rPr>
        <w:t> </w:t>
      </w:r>
      <w:r>
        <w:rPr/>
        <w:t>enterprises</w:t>
      </w:r>
      <w:r>
        <w:rPr>
          <w:spacing w:val="-3"/>
        </w:rPr>
        <w:t> </w:t>
      </w:r>
      <w:r>
        <w:rPr/>
        <w:t>on</w:t>
      </w:r>
      <w:r>
        <w:rPr>
          <w:spacing w:val="-3"/>
        </w:rPr>
        <w:t> </w:t>
      </w:r>
      <w:r>
        <w:rPr/>
        <w:t>public</w:t>
      </w:r>
      <w:r>
        <w:rPr>
          <w:spacing w:val="-3"/>
        </w:rPr>
        <w:t> </w:t>
      </w:r>
      <w:r>
        <w:rPr/>
        <w:t>and/or</w:t>
      </w:r>
      <w:r>
        <w:rPr>
          <w:spacing w:val="-3"/>
        </w:rPr>
        <w:t> </w:t>
      </w:r>
      <w:r>
        <w:rPr/>
        <w:t>private </w:t>
      </w:r>
      <w:r>
        <w:rPr>
          <w:spacing w:val="-2"/>
        </w:rPr>
        <w:t>property.</w:t>
      </w:r>
    </w:p>
    <w:p>
      <w:pPr>
        <w:pStyle w:val="BodyText"/>
        <w:spacing w:line="208" w:lineRule="auto"/>
        <w:ind w:right="775" w:firstLine="432"/>
      </w:pPr>
      <w:r>
        <w:rPr>
          <w:b/>
        </w:rPr>
        <w:t>"State</w:t>
      </w:r>
      <w:r>
        <w:rPr>
          <w:b/>
          <w:spacing w:val="-5"/>
        </w:rPr>
        <w:t> </w:t>
      </w:r>
      <w:r>
        <w:rPr>
          <w:b/>
        </w:rPr>
        <w:t>property"</w:t>
      </w:r>
      <w:r>
        <w:rPr>
          <w:b/>
          <w:spacing w:val="-5"/>
        </w:rPr>
        <w:t> </w:t>
      </w:r>
      <w:r>
        <w:rPr/>
        <w:t>means</w:t>
      </w:r>
      <w:r>
        <w:rPr>
          <w:spacing w:val="-5"/>
        </w:rPr>
        <w:t> </w:t>
      </w:r>
      <w:r>
        <w:rPr/>
        <w:t>lands,</w:t>
      </w:r>
      <w:r>
        <w:rPr>
          <w:spacing w:val="-4"/>
        </w:rPr>
        <w:t> </w:t>
      </w:r>
      <w:r>
        <w:rPr/>
        <w:t>buildings,</w:t>
      </w:r>
      <w:r>
        <w:rPr>
          <w:spacing w:val="-4"/>
        </w:rPr>
        <w:t> </w:t>
      </w:r>
      <w:r>
        <w:rPr/>
        <w:t>and/or</w:t>
      </w:r>
      <w:r>
        <w:rPr>
          <w:spacing w:val="-4"/>
        </w:rPr>
        <w:t> </w:t>
      </w:r>
      <w:r>
        <w:rPr/>
        <w:t>equipment</w:t>
      </w:r>
      <w:r>
        <w:rPr>
          <w:spacing w:val="-4"/>
        </w:rPr>
        <w:t> </w:t>
      </w:r>
      <w:r>
        <w:rPr/>
        <w:t>owned,</w:t>
      </w:r>
      <w:r>
        <w:rPr>
          <w:spacing w:val="-4"/>
        </w:rPr>
        <w:t> </w:t>
      </w:r>
      <w:r>
        <w:rPr/>
        <w:t>leased,</w:t>
      </w:r>
      <w:r>
        <w:rPr>
          <w:spacing w:val="-4"/>
        </w:rPr>
        <w:t> </w:t>
      </w:r>
      <w:r>
        <w:rPr/>
        <w:t>or otherwise controlled by the State.</w:t>
      </w:r>
    </w:p>
    <w:p>
      <w:pPr>
        <w:spacing w:line="208" w:lineRule="auto" w:before="240"/>
        <w:ind w:left="360" w:right="775" w:firstLine="432"/>
        <w:jc w:val="left"/>
        <w:rPr>
          <w:sz w:val="24"/>
        </w:rPr>
      </w:pPr>
      <w:r>
        <w:rPr>
          <w:b/>
          <w:sz w:val="24"/>
        </w:rPr>
        <w:t>"Statewide</w:t>
      </w:r>
      <w:r>
        <w:rPr>
          <w:b/>
          <w:spacing w:val="-5"/>
          <w:sz w:val="24"/>
        </w:rPr>
        <w:t> </w:t>
      </w:r>
      <w:r>
        <w:rPr>
          <w:b/>
          <w:sz w:val="24"/>
        </w:rPr>
        <w:t>average</w:t>
      </w:r>
      <w:r>
        <w:rPr>
          <w:b/>
          <w:spacing w:val="-5"/>
          <w:sz w:val="24"/>
        </w:rPr>
        <w:t> </w:t>
      </w:r>
      <w:r>
        <w:rPr>
          <w:b/>
          <w:sz w:val="24"/>
        </w:rPr>
        <w:t>manager</w:t>
      </w:r>
      <w:r>
        <w:rPr>
          <w:b/>
          <w:spacing w:val="-5"/>
          <w:sz w:val="24"/>
        </w:rPr>
        <w:t> </w:t>
      </w:r>
      <w:r>
        <w:rPr>
          <w:b/>
          <w:sz w:val="24"/>
        </w:rPr>
        <w:t>earnings"</w:t>
      </w:r>
      <w:r>
        <w:rPr>
          <w:b/>
          <w:spacing w:val="-5"/>
          <w:sz w:val="24"/>
        </w:rPr>
        <w:t> </w:t>
      </w:r>
      <w:r>
        <w:rPr>
          <w:sz w:val="24"/>
        </w:rPr>
        <w:t>means</w:t>
      </w:r>
      <w:r>
        <w:rPr>
          <w:spacing w:val="-5"/>
          <w:sz w:val="24"/>
        </w:rPr>
        <w:t> </w:t>
      </w:r>
      <w:r>
        <w:rPr>
          <w:sz w:val="24"/>
        </w:rPr>
        <w:t>the</w:t>
      </w:r>
      <w:r>
        <w:rPr>
          <w:spacing w:val="-6"/>
          <w:sz w:val="24"/>
        </w:rPr>
        <w:t> </w:t>
      </w:r>
      <w:r>
        <w:rPr>
          <w:sz w:val="24"/>
        </w:rPr>
        <w:t>average</w:t>
      </w:r>
      <w:r>
        <w:rPr>
          <w:spacing w:val="-5"/>
          <w:sz w:val="24"/>
        </w:rPr>
        <w:t> </w:t>
      </w:r>
      <w:r>
        <w:rPr>
          <w:sz w:val="24"/>
        </w:rPr>
        <w:t>annual</w:t>
      </w:r>
      <w:r>
        <w:rPr>
          <w:spacing w:val="-5"/>
          <w:sz w:val="24"/>
        </w:rPr>
        <w:t> </w:t>
      </w:r>
      <w:r>
        <w:rPr>
          <w:sz w:val="24"/>
        </w:rPr>
        <w:t>manager earnings (after set-aside) as calculated each year for the RSA-15 Report.</w:t>
      </w:r>
    </w:p>
    <w:p>
      <w:pPr>
        <w:pStyle w:val="BodyText"/>
        <w:spacing w:line="208" w:lineRule="auto"/>
        <w:ind w:right="775" w:firstLine="432"/>
      </w:pPr>
      <w:r>
        <w:rPr>
          <w:b/>
        </w:rPr>
        <w:t>"Trainee"</w:t>
      </w:r>
      <w:r>
        <w:rPr>
          <w:b/>
          <w:spacing w:val="-5"/>
        </w:rPr>
        <w:t> </w:t>
      </w:r>
      <w:r>
        <w:rPr/>
        <w:t>means</w:t>
      </w:r>
      <w:r>
        <w:rPr>
          <w:spacing w:val="-4"/>
        </w:rPr>
        <w:t> </w:t>
      </w:r>
      <w:r>
        <w:rPr/>
        <w:t>a</w:t>
      </w:r>
      <w:r>
        <w:rPr>
          <w:spacing w:val="-4"/>
        </w:rPr>
        <w:t> </w:t>
      </w:r>
      <w:r>
        <w:rPr/>
        <w:t>qualified</w:t>
      </w:r>
      <w:r>
        <w:rPr>
          <w:spacing w:val="-4"/>
        </w:rPr>
        <w:t> </w:t>
      </w:r>
      <w:r>
        <w:rPr/>
        <w:t>client</w:t>
      </w:r>
      <w:r>
        <w:rPr>
          <w:spacing w:val="-3"/>
        </w:rPr>
        <w:t> </w:t>
      </w:r>
      <w:r>
        <w:rPr/>
        <w:t>of</w:t>
      </w:r>
      <w:r>
        <w:rPr>
          <w:spacing w:val="-5"/>
        </w:rPr>
        <w:t> </w:t>
      </w:r>
      <w:r>
        <w:rPr/>
        <w:t>the</w:t>
      </w:r>
      <w:r>
        <w:rPr>
          <w:spacing w:val="-4"/>
        </w:rPr>
        <w:t> </w:t>
      </w:r>
      <w:r>
        <w:rPr/>
        <w:t>Division</w:t>
      </w:r>
      <w:r>
        <w:rPr>
          <w:spacing w:val="-4"/>
        </w:rPr>
        <w:t> </w:t>
      </w:r>
      <w:r>
        <w:rPr/>
        <w:t>of</w:t>
      </w:r>
      <w:r>
        <w:rPr>
          <w:spacing w:val="-3"/>
        </w:rPr>
        <w:t> </w:t>
      </w:r>
      <w:r>
        <w:rPr/>
        <w:t>Visual</w:t>
      </w:r>
      <w:r>
        <w:rPr>
          <w:spacing w:val="-4"/>
        </w:rPr>
        <w:t> </w:t>
      </w:r>
      <w:r>
        <w:rPr/>
        <w:t>Services,</w:t>
      </w:r>
      <w:r>
        <w:rPr>
          <w:spacing w:val="-3"/>
        </w:rPr>
        <w:t> </w:t>
      </w:r>
      <w:r>
        <w:rPr/>
        <w:t>who</w:t>
      </w:r>
      <w:r>
        <w:rPr>
          <w:spacing w:val="-4"/>
        </w:rPr>
        <w:t> </w:t>
      </w:r>
      <w:r>
        <w:rPr/>
        <w:t>when referred to the Business Enterprise Program, is placed in training to prepare for licensing under the rules and regulations of the State Licensing Agency.</w:t>
      </w:r>
    </w:p>
    <w:p>
      <w:pPr>
        <w:pStyle w:val="BodyText"/>
        <w:spacing w:line="208" w:lineRule="auto" w:before="239"/>
        <w:ind w:right="1036" w:firstLine="432"/>
      </w:pPr>
      <w:r>
        <w:rPr>
          <w:b/>
        </w:rPr>
        <w:t>"Training</w:t>
      </w:r>
      <w:r>
        <w:rPr>
          <w:b/>
          <w:spacing w:val="-6"/>
        </w:rPr>
        <w:t> </w:t>
      </w:r>
      <w:r>
        <w:rPr>
          <w:b/>
        </w:rPr>
        <w:t>program"</w:t>
      </w:r>
      <w:r>
        <w:rPr>
          <w:b/>
          <w:spacing w:val="-5"/>
        </w:rPr>
        <w:t> </w:t>
      </w:r>
      <w:r>
        <w:rPr/>
        <w:t>means</w:t>
      </w:r>
      <w:r>
        <w:rPr>
          <w:spacing w:val="-5"/>
        </w:rPr>
        <w:t> </w:t>
      </w:r>
      <w:r>
        <w:rPr/>
        <w:t>the</w:t>
      </w:r>
      <w:r>
        <w:rPr>
          <w:spacing w:val="-6"/>
        </w:rPr>
        <w:t> </w:t>
      </w:r>
      <w:r>
        <w:rPr/>
        <w:t>program</w:t>
      </w:r>
      <w:r>
        <w:rPr>
          <w:spacing w:val="-4"/>
        </w:rPr>
        <w:t> </w:t>
      </w:r>
      <w:r>
        <w:rPr/>
        <w:t>of</w:t>
      </w:r>
      <w:r>
        <w:rPr>
          <w:spacing w:val="-6"/>
        </w:rPr>
        <w:t> </w:t>
      </w:r>
      <w:r>
        <w:rPr/>
        <w:t>study</w:t>
      </w:r>
      <w:r>
        <w:rPr>
          <w:spacing w:val="-5"/>
        </w:rPr>
        <w:t> </w:t>
      </w:r>
      <w:r>
        <w:rPr/>
        <w:t>and/or</w:t>
      </w:r>
      <w:r>
        <w:rPr>
          <w:spacing w:val="-4"/>
        </w:rPr>
        <w:t> </w:t>
      </w:r>
      <w:r>
        <w:rPr/>
        <w:t>on-the-job</w:t>
      </w:r>
      <w:r>
        <w:rPr>
          <w:spacing w:val="-5"/>
        </w:rPr>
        <w:t> </w:t>
      </w:r>
      <w:r>
        <w:rPr/>
        <w:t>training provided to prospective and/or experienced licensed managers.</w:t>
      </w:r>
    </w:p>
    <w:p>
      <w:pPr>
        <w:pStyle w:val="BodyText"/>
        <w:spacing w:line="208" w:lineRule="auto"/>
        <w:ind w:right="739" w:firstLine="432"/>
      </w:pPr>
      <w:r>
        <w:rPr>
          <w:b/>
        </w:rPr>
        <w:t>"Vending</w:t>
      </w:r>
      <w:r>
        <w:rPr>
          <w:b/>
          <w:spacing w:val="-5"/>
        </w:rPr>
        <w:t> </w:t>
      </w:r>
      <w:r>
        <w:rPr>
          <w:b/>
        </w:rPr>
        <w:t>facility"</w:t>
      </w:r>
      <w:r>
        <w:rPr>
          <w:b/>
          <w:spacing w:val="-6"/>
        </w:rPr>
        <w:t> </w:t>
      </w:r>
      <w:r>
        <w:rPr/>
        <w:t>means</w:t>
      </w:r>
      <w:r>
        <w:rPr>
          <w:spacing w:val="-5"/>
        </w:rPr>
        <w:t> </w:t>
      </w:r>
      <w:r>
        <w:rPr/>
        <w:t>automatic</w:t>
      </w:r>
      <w:r>
        <w:rPr>
          <w:spacing w:val="-5"/>
        </w:rPr>
        <w:t> </w:t>
      </w:r>
      <w:r>
        <w:rPr/>
        <w:t>vending</w:t>
      </w:r>
      <w:r>
        <w:rPr>
          <w:spacing w:val="-5"/>
        </w:rPr>
        <w:t> </w:t>
      </w:r>
      <w:r>
        <w:rPr/>
        <w:t>machines,</w:t>
      </w:r>
      <w:r>
        <w:rPr>
          <w:spacing w:val="-4"/>
        </w:rPr>
        <w:t> </w:t>
      </w:r>
      <w:r>
        <w:rPr/>
        <w:t>cafeterias,</w:t>
      </w:r>
      <w:r>
        <w:rPr>
          <w:spacing w:val="-4"/>
        </w:rPr>
        <w:t> </w:t>
      </w:r>
      <w:r>
        <w:rPr/>
        <w:t>snack</w:t>
      </w:r>
      <w:r>
        <w:rPr>
          <w:spacing w:val="-5"/>
        </w:rPr>
        <w:t> </w:t>
      </w:r>
      <w:r>
        <w:rPr/>
        <w:t>bars,</w:t>
      </w:r>
      <w:r>
        <w:rPr>
          <w:spacing w:val="-4"/>
        </w:rPr>
        <w:t> </w:t>
      </w:r>
      <w:r>
        <w:rPr/>
        <w:t>cart service, shelters, counters, and such other appropriate auxiliary equipment which may be operated by licensed managers and which is necessary for the sale of newspapers, periodicals, confections, tobacco products, foods, beverages, and other articles or services dispensed automatically or manually and prepared on or off the premises in accordance with all applicable health laws and including the vending or exchange of chances for any lottery authorized by State</w:t>
      </w:r>
      <w:r>
        <w:rPr>
          <w:spacing w:val="-1"/>
        </w:rPr>
        <w:t> </w:t>
      </w:r>
      <w:r>
        <w:rPr/>
        <w:t>Law and conducted by an agency of a State within such State. [CFR 34, Part 395.1(X)]</w:t>
      </w:r>
    </w:p>
    <w:p>
      <w:pPr>
        <w:pStyle w:val="BodyText"/>
        <w:spacing w:line="208" w:lineRule="auto" w:before="239"/>
        <w:ind w:right="855" w:firstLine="432"/>
      </w:pPr>
      <w:r>
        <w:rPr>
          <w:b/>
        </w:rPr>
        <w:t>"Vending machine" </w:t>
      </w:r>
      <w:r>
        <w:rPr/>
        <w:t>means any machine, operated using currency or other medium of exchange, which dispenses articles or services, except any machine operated by the United States Postal Service for the sale of postage stamps or other postal</w:t>
      </w:r>
      <w:r>
        <w:rPr>
          <w:spacing w:val="-4"/>
        </w:rPr>
        <w:t> </w:t>
      </w:r>
      <w:r>
        <w:rPr/>
        <w:t>products</w:t>
      </w:r>
      <w:r>
        <w:rPr>
          <w:spacing w:val="-4"/>
        </w:rPr>
        <w:t> </w:t>
      </w:r>
      <w:r>
        <w:rPr/>
        <w:t>and</w:t>
      </w:r>
      <w:r>
        <w:rPr>
          <w:spacing w:val="-4"/>
        </w:rPr>
        <w:t> </w:t>
      </w:r>
      <w:r>
        <w:rPr/>
        <w:t>services.</w:t>
      </w:r>
      <w:r>
        <w:rPr>
          <w:spacing w:val="-3"/>
        </w:rPr>
        <w:t> </w:t>
      </w:r>
      <w:r>
        <w:rPr/>
        <w:t>Machines</w:t>
      </w:r>
      <w:r>
        <w:rPr>
          <w:spacing w:val="-4"/>
        </w:rPr>
        <w:t> </w:t>
      </w:r>
      <w:r>
        <w:rPr/>
        <w:t>providing</w:t>
      </w:r>
      <w:r>
        <w:rPr>
          <w:spacing w:val="-4"/>
        </w:rPr>
        <w:t> </w:t>
      </w:r>
      <w:r>
        <w:rPr/>
        <w:t>services</w:t>
      </w:r>
      <w:r>
        <w:rPr>
          <w:spacing w:val="-4"/>
        </w:rPr>
        <w:t> </w:t>
      </w:r>
      <w:r>
        <w:rPr/>
        <w:t>of</w:t>
      </w:r>
      <w:r>
        <w:rPr>
          <w:spacing w:val="-3"/>
        </w:rPr>
        <w:t> </w:t>
      </w:r>
      <w:r>
        <w:rPr/>
        <w:t>a</w:t>
      </w:r>
      <w:r>
        <w:rPr>
          <w:spacing w:val="-4"/>
        </w:rPr>
        <w:t> </w:t>
      </w:r>
      <w:r>
        <w:rPr/>
        <w:t>recreational</w:t>
      </w:r>
      <w:r>
        <w:rPr>
          <w:spacing w:val="-4"/>
        </w:rPr>
        <w:t> </w:t>
      </w:r>
      <w:r>
        <w:rPr/>
        <w:t>nature</w:t>
      </w:r>
      <w:r>
        <w:rPr>
          <w:spacing w:val="-4"/>
        </w:rPr>
        <w:t> </w:t>
      </w:r>
      <w:r>
        <w:rPr/>
        <w:t>and telephones shall not be considered to be vending machines.</w:t>
      </w:r>
    </w:p>
    <w:p>
      <w:pPr>
        <w:pStyle w:val="BodyText"/>
        <w:spacing w:line="208" w:lineRule="auto"/>
        <w:ind w:right="739" w:firstLine="432"/>
      </w:pPr>
      <w:r>
        <w:rPr>
          <w:b/>
        </w:rPr>
        <w:t>"Vending machine facility" </w:t>
      </w:r>
      <w:r>
        <w:rPr/>
        <w:t>means an automated business enterprise which dispenses</w:t>
      </w:r>
      <w:r>
        <w:rPr>
          <w:spacing w:val="-4"/>
        </w:rPr>
        <w:t> </w:t>
      </w:r>
      <w:r>
        <w:rPr/>
        <w:t>a</w:t>
      </w:r>
      <w:r>
        <w:rPr>
          <w:spacing w:val="-4"/>
        </w:rPr>
        <w:t> </w:t>
      </w:r>
      <w:r>
        <w:rPr/>
        <w:t>variety</w:t>
      </w:r>
      <w:r>
        <w:rPr>
          <w:spacing w:val="-4"/>
        </w:rPr>
        <w:t> </w:t>
      </w:r>
      <w:r>
        <w:rPr/>
        <w:t>of</w:t>
      </w:r>
      <w:r>
        <w:rPr>
          <w:spacing w:val="-5"/>
        </w:rPr>
        <w:t> </w:t>
      </w:r>
      <w:r>
        <w:rPr/>
        <w:t>food</w:t>
      </w:r>
      <w:r>
        <w:rPr>
          <w:spacing w:val="-4"/>
        </w:rPr>
        <w:t> </w:t>
      </w:r>
      <w:r>
        <w:rPr/>
        <w:t>and</w:t>
      </w:r>
      <w:r>
        <w:rPr>
          <w:spacing w:val="-4"/>
        </w:rPr>
        <w:t> </w:t>
      </w:r>
      <w:r>
        <w:rPr/>
        <w:t>refreshment</w:t>
      </w:r>
      <w:r>
        <w:rPr>
          <w:spacing w:val="-5"/>
        </w:rPr>
        <w:t> </w:t>
      </w:r>
      <w:r>
        <w:rPr/>
        <w:t>items</w:t>
      </w:r>
      <w:r>
        <w:rPr>
          <w:spacing w:val="-4"/>
        </w:rPr>
        <w:t> </w:t>
      </w:r>
      <w:r>
        <w:rPr/>
        <w:t>and</w:t>
      </w:r>
      <w:r>
        <w:rPr>
          <w:spacing w:val="-5"/>
        </w:rPr>
        <w:t> </w:t>
      </w:r>
      <w:r>
        <w:rPr/>
        <w:t>services</w:t>
      </w:r>
      <w:r>
        <w:rPr>
          <w:spacing w:val="-4"/>
        </w:rPr>
        <w:t> </w:t>
      </w:r>
      <w:r>
        <w:rPr/>
        <w:t>from</w:t>
      </w:r>
      <w:r>
        <w:rPr>
          <w:spacing w:val="-3"/>
        </w:rPr>
        <w:t> </w:t>
      </w:r>
      <w:r>
        <w:rPr/>
        <w:t>vending</w:t>
      </w:r>
      <w:r>
        <w:rPr>
          <w:spacing w:val="-4"/>
        </w:rPr>
        <w:t> </w:t>
      </w:r>
      <w:r>
        <w:rPr/>
        <w:t>machines. Included in this category would be interstate highway locations and vending machine </w:t>
      </w:r>
      <w:r>
        <w:rPr>
          <w:spacing w:val="-2"/>
        </w:rPr>
        <w:t>routes.</w:t>
      </w:r>
    </w:p>
    <w:p>
      <w:pPr>
        <w:spacing w:line="208" w:lineRule="auto" w:before="239"/>
        <w:ind w:left="360" w:right="775" w:firstLine="432"/>
        <w:jc w:val="left"/>
        <w:rPr>
          <w:sz w:val="24"/>
        </w:rPr>
      </w:pPr>
      <w:r>
        <w:rPr>
          <w:b/>
          <w:sz w:val="24"/>
        </w:rPr>
        <w:t>"Vocational</w:t>
      </w:r>
      <w:r>
        <w:rPr>
          <w:b/>
          <w:spacing w:val="-4"/>
          <w:sz w:val="24"/>
        </w:rPr>
        <w:t> </w:t>
      </w:r>
      <w:r>
        <w:rPr>
          <w:b/>
          <w:sz w:val="24"/>
        </w:rPr>
        <w:t>Rehabilitation</w:t>
      </w:r>
      <w:r>
        <w:rPr>
          <w:b/>
          <w:spacing w:val="-5"/>
          <w:sz w:val="24"/>
        </w:rPr>
        <w:t> </w:t>
      </w:r>
      <w:r>
        <w:rPr>
          <w:b/>
          <w:sz w:val="24"/>
        </w:rPr>
        <w:t>Services"</w:t>
      </w:r>
      <w:r>
        <w:rPr>
          <w:b/>
          <w:spacing w:val="-5"/>
          <w:sz w:val="24"/>
        </w:rPr>
        <w:t> </w:t>
      </w:r>
      <w:r>
        <w:rPr>
          <w:sz w:val="24"/>
        </w:rPr>
        <w:t>means</w:t>
      </w:r>
      <w:r>
        <w:rPr>
          <w:spacing w:val="-5"/>
          <w:sz w:val="24"/>
        </w:rPr>
        <w:t> </w:t>
      </w:r>
      <w:r>
        <w:rPr>
          <w:sz w:val="24"/>
        </w:rPr>
        <w:t>those</w:t>
      </w:r>
      <w:r>
        <w:rPr>
          <w:spacing w:val="-5"/>
          <w:sz w:val="24"/>
        </w:rPr>
        <w:t> </w:t>
      </w:r>
      <w:r>
        <w:rPr>
          <w:sz w:val="24"/>
        </w:rPr>
        <w:t>services</w:t>
      </w:r>
      <w:r>
        <w:rPr>
          <w:spacing w:val="-5"/>
          <w:sz w:val="24"/>
        </w:rPr>
        <w:t> </w:t>
      </w:r>
      <w:r>
        <w:rPr>
          <w:sz w:val="24"/>
        </w:rPr>
        <w:t>as</w:t>
      </w:r>
      <w:r>
        <w:rPr>
          <w:spacing w:val="-5"/>
          <w:sz w:val="24"/>
        </w:rPr>
        <w:t> </w:t>
      </w:r>
      <w:r>
        <w:rPr>
          <w:sz w:val="24"/>
        </w:rPr>
        <w:t>defined</w:t>
      </w:r>
      <w:r>
        <w:rPr>
          <w:spacing w:val="-5"/>
          <w:sz w:val="24"/>
        </w:rPr>
        <w:t> </w:t>
      </w:r>
      <w:r>
        <w:rPr>
          <w:sz w:val="24"/>
        </w:rPr>
        <w:t>in</w:t>
      </w:r>
      <w:r>
        <w:rPr>
          <w:spacing w:val="-5"/>
          <w:sz w:val="24"/>
        </w:rPr>
        <w:t> </w:t>
      </w:r>
      <w:r>
        <w:rPr>
          <w:sz w:val="24"/>
        </w:rPr>
        <w:t>the Rehabilitation Act. [29 USC 701 et seq.]</w:t>
      </w:r>
    </w:p>
    <w:p>
      <w:pPr>
        <w:pStyle w:val="BodyText"/>
        <w:spacing w:line="208" w:lineRule="auto"/>
        <w:ind w:right="775" w:firstLine="432"/>
      </w:pPr>
      <w:r>
        <w:rPr>
          <w:b/>
        </w:rPr>
        <w:t>"Volunteer"</w:t>
      </w:r>
      <w:r>
        <w:rPr>
          <w:b/>
          <w:spacing w:val="-4"/>
        </w:rPr>
        <w:t> </w:t>
      </w:r>
      <w:r>
        <w:rPr/>
        <w:t>means</w:t>
      </w:r>
      <w:r>
        <w:rPr>
          <w:spacing w:val="-4"/>
        </w:rPr>
        <w:t> </w:t>
      </w:r>
      <w:r>
        <w:rPr/>
        <w:t>an</w:t>
      </w:r>
      <w:r>
        <w:rPr>
          <w:spacing w:val="-4"/>
        </w:rPr>
        <w:t> </w:t>
      </w:r>
      <w:r>
        <w:rPr/>
        <w:t>individual</w:t>
      </w:r>
      <w:r>
        <w:rPr>
          <w:spacing w:val="-3"/>
        </w:rPr>
        <w:t> </w:t>
      </w:r>
      <w:r>
        <w:rPr/>
        <w:t>who</w:t>
      </w:r>
      <w:r>
        <w:rPr>
          <w:spacing w:val="-4"/>
        </w:rPr>
        <w:t> </w:t>
      </w:r>
      <w:r>
        <w:rPr/>
        <w:t>works</w:t>
      </w:r>
      <w:r>
        <w:rPr>
          <w:spacing w:val="-4"/>
        </w:rPr>
        <w:t> </w:t>
      </w:r>
      <w:r>
        <w:rPr/>
        <w:t>in</w:t>
      </w:r>
      <w:r>
        <w:rPr>
          <w:spacing w:val="-4"/>
        </w:rPr>
        <w:t> </w:t>
      </w:r>
      <w:r>
        <w:rPr/>
        <w:t>a</w:t>
      </w:r>
      <w:r>
        <w:rPr>
          <w:spacing w:val="-4"/>
        </w:rPr>
        <w:t> </w:t>
      </w:r>
      <w:r>
        <w:rPr/>
        <w:t>business</w:t>
      </w:r>
      <w:r>
        <w:rPr>
          <w:spacing w:val="-4"/>
        </w:rPr>
        <w:t> </w:t>
      </w:r>
      <w:r>
        <w:rPr/>
        <w:t>enterprise</w:t>
      </w:r>
      <w:r>
        <w:rPr>
          <w:spacing w:val="-4"/>
        </w:rPr>
        <w:t> </w:t>
      </w:r>
      <w:r>
        <w:rPr/>
        <w:t>and</w:t>
      </w:r>
      <w:r>
        <w:rPr>
          <w:spacing w:val="-4"/>
        </w:rPr>
        <w:t> </w:t>
      </w:r>
      <w:r>
        <w:rPr/>
        <w:t>receives no compensation.</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spacing w:after="0"/>
        <w:jc w:val="left"/>
        <w:rPr>
          <w:sz w:val="22"/>
        </w:rPr>
        <w:sectPr>
          <w:pgSz w:w="12240" w:h="15840"/>
          <w:pgMar w:top="1340" w:bottom="280" w:left="1080" w:right="720"/>
        </w:sectPr>
      </w:pPr>
    </w:p>
    <w:p>
      <w:pPr>
        <w:tabs>
          <w:tab w:pos="1439" w:val="left" w:leader="none"/>
        </w:tabs>
        <w:spacing w:before="80"/>
        <w:ind w:left="360"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7-1-99</w:t>
      </w:r>
      <w:r>
        <w:rPr>
          <w:sz w:val="22"/>
        </w:rPr>
        <w:tab/>
        <w:t>POL Memo #00-1</w:t>
      </w:r>
    </w:p>
    <w:p>
      <w:pPr>
        <w:tabs>
          <w:tab w:pos="1439" w:val="left" w:leader="none"/>
        </w:tabs>
        <w:spacing w:before="0"/>
        <w:ind w:left="359" w:right="3335" w:firstLine="1080"/>
        <w:jc w:val="left"/>
        <w:rPr>
          <w:sz w:val="22"/>
        </w:rPr>
      </w:pPr>
      <w:r>
        <w:rPr>
          <w:sz w:val="22"/>
        </w:rPr>
        <w:t>Permanent,</w:t>
      </w:r>
      <w:r>
        <w:rPr>
          <w:spacing w:val="-6"/>
          <w:sz w:val="22"/>
        </w:rPr>
        <w:t> </w:t>
      </w:r>
      <w:r>
        <w:rPr>
          <w:sz w:val="22"/>
        </w:rPr>
        <w:t>updated</w:t>
      </w:r>
      <w:r>
        <w:rPr>
          <w:spacing w:val="-7"/>
          <w:sz w:val="22"/>
        </w:rPr>
        <w:t> </w:t>
      </w:r>
      <w:r>
        <w:rPr>
          <w:sz w:val="22"/>
        </w:rPr>
        <w:t>DVR/DVS</w:t>
      </w:r>
      <w:r>
        <w:rPr>
          <w:spacing w:val="-7"/>
          <w:sz w:val="22"/>
        </w:rPr>
        <w:t> </w:t>
      </w:r>
      <w:r>
        <w:rPr>
          <w:sz w:val="22"/>
        </w:rPr>
        <w:t>and</w:t>
      </w:r>
      <w:r>
        <w:rPr>
          <w:spacing w:val="-6"/>
          <w:sz w:val="22"/>
        </w:rPr>
        <w:t> </w:t>
      </w:r>
      <w:r>
        <w:rPr>
          <w:sz w:val="22"/>
        </w:rPr>
        <w:t>Rehab.</w:t>
      </w:r>
      <w:r>
        <w:rPr>
          <w:spacing w:val="-7"/>
          <w:sz w:val="22"/>
        </w:rPr>
        <w:t> </w:t>
      </w:r>
      <w:r>
        <w:rPr>
          <w:sz w:val="22"/>
        </w:rPr>
        <w:t>Act.</w:t>
      </w:r>
      <w:r>
        <w:rPr>
          <w:spacing w:val="-7"/>
          <w:sz w:val="22"/>
        </w:rPr>
        <w:t> </w:t>
      </w:r>
      <w:r>
        <w:rPr>
          <w:sz w:val="22"/>
        </w:rPr>
        <w:t>reference </w:t>
      </w:r>
      <w:r>
        <w:rPr>
          <w:spacing w:val="-2"/>
          <w:sz w:val="22"/>
        </w:rPr>
        <w:t>7-1-02</w:t>
      </w:r>
      <w:r>
        <w:rPr>
          <w:sz w:val="22"/>
        </w:rPr>
        <w:tab/>
        <w:t>POL Memo #02-02</w:t>
      </w:r>
    </w:p>
    <w:p>
      <w:pPr>
        <w:tabs>
          <w:tab w:pos="1439" w:val="left" w:leader="none"/>
        </w:tabs>
        <w:spacing w:before="0"/>
        <w:ind w:left="359" w:right="5804" w:firstLine="1080"/>
        <w:jc w:val="left"/>
        <w:rPr>
          <w:sz w:val="22"/>
        </w:rPr>
      </w:pPr>
      <w:r>
        <w:rPr>
          <w:sz w:val="22"/>
        </w:rPr>
        <w:t>Permanent,</w:t>
      </w:r>
      <w:r>
        <w:rPr>
          <w:spacing w:val="-16"/>
          <w:sz w:val="22"/>
        </w:rPr>
        <w:t> </w:t>
      </w:r>
      <w:r>
        <w:rPr>
          <w:sz w:val="22"/>
        </w:rPr>
        <w:t>additional</w:t>
      </w:r>
      <w:r>
        <w:rPr>
          <w:spacing w:val="-15"/>
          <w:sz w:val="22"/>
        </w:rPr>
        <w:t> </w:t>
      </w:r>
      <w:r>
        <w:rPr>
          <w:sz w:val="22"/>
        </w:rPr>
        <w:t>definitions </w:t>
      </w:r>
      <w:r>
        <w:rPr>
          <w:spacing w:val="-2"/>
          <w:sz w:val="22"/>
        </w:rPr>
        <w:t>7-1-03</w:t>
      </w:r>
      <w:r>
        <w:rPr>
          <w:sz w:val="22"/>
        </w:rPr>
        <w:tab/>
        <w:t>PT Memo #03-07</w:t>
      </w:r>
    </w:p>
    <w:p>
      <w:pPr>
        <w:tabs>
          <w:tab w:pos="1439" w:val="left" w:leader="none"/>
        </w:tabs>
        <w:spacing w:before="0"/>
        <w:ind w:left="359" w:right="5049" w:firstLine="1080"/>
        <w:jc w:val="left"/>
        <w:rPr>
          <w:sz w:val="22"/>
        </w:rPr>
      </w:pPr>
      <w:r>
        <w:rPr>
          <w:sz w:val="22"/>
        </w:rPr>
        <w:t>Permanent,</w:t>
      </w:r>
      <w:r>
        <w:rPr>
          <w:spacing w:val="-12"/>
          <w:sz w:val="22"/>
        </w:rPr>
        <w:t> </w:t>
      </w:r>
      <w:r>
        <w:rPr>
          <w:sz w:val="22"/>
        </w:rPr>
        <w:t>grammatical</w:t>
      </w:r>
      <w:r>
        <w:rPr>
          <w:spacing w:val="-13"/>
          <w:sz w:val="22"/>
        </w:rPr>
        <w:t> </w:t>
      </w:r>
      <w:r>
        <w:rPr>
          <w:sz w:val="22"/>
        </w:rPr>
        <w:t>error</w:t>
      </w:r>
      <w:r>
        <w:rPr>
          <w:spacing w:val="-13"/>
          <w:sz w:val="22"/>
        </w:rPr>
        <w:t> </w:t>
      </w:r>
      <w:r>
        <w:rPr>
          <w:sz w:val="22"/>
        </w:rPr>
        <w:t>correction </w:t>
      </w:r>
      <w:r>
        <w:rPr>
          <w:spacing w:val="-2"/>
          <w:sz w:val="22"/>
        </w:rPr>
        <w:t>7-1-05</w:t>
      </w:r>
      <w:r>
        <w:rPr>
          <w:sz w:val="22"/>
        </w:rPr>
        <w:tab/>
        <w:t>PT Memo #06-01</w:t>
      </w:r>
    </w:p>
    <w:p>
      <w:pPr>
        <w:spacing w:line="252" w:lineRule="exact" w:before="0"/>
        <w:ind w:left="1439" w:right="0" w:firstLine="0"/>
        <w:jc w:val="left"/>
        <w:rPr>
          <w:sz w:val="22"/>
        </w:rPr>
      </w:pPr>
      <w:r>
        <w:rPr>
          <w:sz w:val="22"/>
        </w:rPr>
        <w:t>Permanent,</w:t>
      </w:r>
      <w:r>
        <w:rPr>
          <w:spacing w:val="-10"/>
          <w:sz w:val="22"/>
        </w:rPr>
        <w:t> </w:t>
      </w:r>
      <w:r>
        <w:rPr>
          <w:sz w:val="22"/>
        </w:rPr>
        <w:t>cleanup</w:t>
      </w:r>
      <w:r>
        <w:rPr>
          <w:spacing w:val="-11"/>
          <w:sz w:val="22"/>
        </w:rPr>
        <w:t> </w:t>
      </w:r>
      <w:r>
        <w:rPr>
          <w:spacing w:val="-2"/>
          <w:sz w:val="22"/>
        </w:rPr>
        <w:t>language</w:t>
      </w:r>
    </w:p>
    <w:p>
      <w:pPr>
        <w:pStyle w:val="ListParagraph"/>
        <w:numPr>
          <w:ilvl w:val="2"/>
          <w:numId w:val="291"/>
        </w:numPr>
        <w:tabs>
          <w:tab w:pos="1439" w:val="left" w:leader="none"/>
        </w:tabs>
        <w:spacing w:line="240" w:lineRule="auto" w:before="0" w:after="0"/>
        <w:ind w:left="359" w:right="4828" w:firstLine="0"/>
        <w:jc w:val="left"/>
        <w:rPr>
          <w:sz w:val="22"/>
        </w:rPr>
      </w:pPr>
      <w:r>
        <w:rPr>
          <w:sz w:val="22"/>
        </w:rPr>
        <w:t>Permanent,</w:t>
      </w:r>
      <w:r>
        <w:rPr>
          <w:spacing w:val="-7"/>
          <w:sz w:val="22"/>
        </w:rPr>
        <w:t> </w:t>
      </w:r>
      <w:r>
        <w:rPr>
          <w:sz w:val="22"/>
        </w:rPr>
        <w:t>updated</w:t>
      </w:r>
      <w:r>
        <w:rPr>
          <w:spacing w:val="-8"/>
          <w:sz w:val="22"/>
        </w:rPr>
        <w:t> </w:t>
      </w:r>
      <w:r>
        <w:rPr>
          <w:sz w:val="22"/>
        </w:rPr>
        <w:t>language</w:t>
      </w:r>
      <w:r>
        <w:rPr>
          <w:spacing w:val="-8"/>
          <w:sz w:val="22"/>
        </w:rPr>
        <w:t> </w:t>
      </w:r>
      <w:r>
        <w:rPr>
          <w:sz w:val="22"/>
        </w:rPr>
        <w:t>due</w:t>
      </w:r>
      <w:r>
        <w:rPr>
          <w:spacing w:val="-8"/>
          <w:sz w:val="22"/>
        </w:rPr>
        <w:t> </w:t>
      </w:r>
      <w:r>
        <w:rPr>
          <w:sz w:val="22"/>
        </w:rPr>
        <w:t>to</w:t>
      </w:r>
      <w:r>
        <w:rPr>
          <w:spacing w:val="-8"/>
          <w:sz w:val="22"/>
        </w:rPr>
        <w:t> </w:t>
      </w:r>
      <w:r>
        <w:rPr>
          <w:sz w:val="22"/>
        </w:rPr>
        <w:t>audit </w:t>
      </w:r>
      <w:r>
        <w:rPr>
          <w:spacing w:val="-2"/>
          <w:sz w:val="22"/>
        </w:rPr>
        <w:t>9-12-14</w:t>
      </w:r>
      <w:r>
        <w:rPr>
          <w:sz w:val="22"/>
        </w:rPr>
        <w:tab/>
        <w:t>Update language</w:t>
      </w:r>
    </w:p>
    <w:p>
      <w:pPr>
        <w:tabs>
          <w:tab w:pos="1439" w:val="left" w:leader="none"/>
        </w:tabs>
        <w:spacing w:before="1"/>
        <w:ind w:left="1439" w:right="854" w:hanging="1080"/>
        <w:jc w:val="left"/>
        <w:rPr>
          <w:sz w:val="22"/>
        </w:rPr>
      </w:pPr>
      <w:r>
        <w:rPr>
          <w:spacing w:val="-2"/>
          <w:sz w:val="22"/>
        </w:rPr>
        <w:t>8-27-15</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to</w:t>
      </w:r>
      <w:r>
        <w:rPr>
          <w:spacing w:val="-4"/>
          <w:sz w:val="22"/>
        </w:rPr>
        <w:t> </w:t>
      </w:r>
      <w:r>
        <w:rPr>
          <w:sz w:val="22"/>
        </w:rPr>
        <w:t>Vocational</w:t>
      </w:r>
      <w:r>
        <w:rPr>
          <w:spacing w:val="-3"/>
          <w:sz w:val="22"/>
        </w:rPr>
        <w:t> </w:t>
      </w:r>
      <w:r>
        <w:rPr>
          <w:sz w:val="22"/>
        </w:rPr>
        <w:t>Rehabilitation</w:t>
      </w:r>
      <w:r>
        <w:rPr>
          <w:spacing w:val="-4"/>
          <w:sz w:val="22"/>
        </w:rPr>
        <w:t> </w:t>
      </w:r>
      <w:r>
        <w:rPr>
          <w:sz w:val="22"/>
        </w:rPr>
        <w:t>for</w:t>
      </w:r>
      <w:r>
        <w:rPr>
          <w:spacing w:val="-3"/>
          <w:sz w:val="22"/>
        </w:rPr>
        <w:t> </w:t>
      </w:r>
      <w:r>
        <w:rPr>
          <w:sz w:val="22"/>
        </w:rPr>
        <w:t>the</w:t>
      </w:r>
      <w:r>
        <w:rPr>
          <w:spacing w:val="-3"/>
          <w:sz w:val="22"/>
        </w:rPr>
        <w:t> </w:t>
      </w:r>
      <w:r>
        <w:rPr>
          <w:sz w:val="22"/>
        </w:rPr>
        <w:t>Blind</w:t>
      </w:r>
      <w:r>
        <w:rPr>
          <w:spacing w:val="-3"/>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line="259" w:lineRule="auto" w:before="0"/>
        <w:ind w:left="1439" w:right="990" w:hanging="1080"/>
        <w:jc w:val="left"/>
        <w:rPr>
          <w:sz w:val="22"/>
        </w:rPr>
      </w:pPr>
      <w:r>
        <w:rPr>
          <w:spacing w:val="-2"/>
          <w:sz w:val="22"/>
        </w:rPr>
        <w:t>9-11-22</w:t>
      </w:r>
      <w:r>
        <w:rPr>
          <w:sz w:val="22"/>
        </w:rPr>
        <w:tab/>
        <w:t>Revisions</w:t>
      </w:r>
      <w:r>
        <w:rPr>
          <w:spacing w:val="-5"/>
          <w:sz w:val="22"/>
        </w:rPr>
        <w:t> </w:t>
      </w:r>
      <w:r>
        <w:rPr>
          <w:sz w:val="22"/>
        </w:rPr>
        <w:t>adds</w:t>
      </w:r>
      <w:r>
        <w:rPr>
          <w:spacing w:val="-4"/>
          <w:sz w:val="22"/>
        </w:rPr>
        <w:t> </w:t>
      </w:r>
      <w:r>
        <w:rPr>
          <w:sz w:val="22"/>
        </w:rPr>
        <w:t>the</w:t>
      </w:r>
      <w:r>
        <w:rPr>
          <w:spacing w:val="-5"/>
          <w:sz w:val="22"/>
        </w:rPr>
        <w:t> </w:t>
      </w:r>
      <w:r>
        <w:rPr>
          <w:sz w:val="22"/>
        </w:rPr>
        <w:t>following</w:t>
      </w:r>
      <w:r>
        <w:rPr>
          <w:spacing w:val="-5"/>
          <w:sz w:val="22"/>
        </w:rPr>
        <w:t> </w:t>
      </w:r>
      <w:r>
        <w:rPr>
          <w:sz w:val="22"/>
        </w:rPr>
        <w:t>definitions:</w:t>
      </w:r>
      <w:r>
        <w:rPr>
          <w:spacing w:val="-5"/>
          <w:sz w:val="22"/>
        </w:rPr>
        <w:t> </w:t>
      </w:r>
      <w:r>
        <w:rPr>
          <w:sz w:val="22"/>
        </w:rPr>
        <w:t>Extenuating</w:t>
      </w:r>
      <w:r>
        <w:rPr>
          <w:spacing w:val="-5"/>
          <w:sz w:val="22"/>
        </w:rPr>
        <w:t> </w:t>
      </w:r>
      <w:r>
        <w:rPr>
          <w:sz w:val="22"/>
        </w:rPr>
        <w:t>Circumstances,</w:t>
      </w:r>
      <w:r>
        <w:rPr>
          <w:spacing w:val="-6"/>
          <w:sz w:val="22"/>
        </w:rPr>
        <w:t> </w:t>
      </w:r>
      <w:r>
        <w:rPr>
          <w:sz w:val="22"/>
        </w:rPr>
        <w:t>Gross</w:t>
      </w:r>
      <w:r>
        <w:rPr>
          <w:spacing w:val="-5"/>
          <w:sz w:val="22"/>
        </w:rPr>
        <w:t> </w:t>
      </w:r>
      <w:r>
        <w:rPr>
          <w:sz w:val="22"/>
        </w:rPr>
        <w:t>Sales, Management, Merchandise Loan, Satellite Manager, Satellite Performance Evaluation,</w:t>
      </w:r>
      <w:r>
        <w:rPr>
          <w:spacing w:val="-6"/>
          <w:sz w:val="22"/>
        </w:rPr>
        <w:t> </w:t>
      </w:r>
      <w:r>
        <w:rPr>
          <w:sz w:val="22"/>
        </w:rPr>
        <w:t>Teaming</w:t>
      </w:r>
      <w:r>
        <w:rPr>
          <w:spacing w:val="-5"/>
          <w:sz w:val="22"/>
        </w:rPr>
        <w:t> </w:t>
      </w:r>
      <w:r>
        <w:rPr>
          <w:sz w:val="22"/>
        </w:rPr>
        <w:t>Partner</w:t>
      </w:r>
      <w:r>
        <w:rPr>
          <w:spacing w:val="-5"/>
          <w:sz w:val="22"/>
        </w:rPr>
        <w:t> </w:t>
      </w:r>
      <w:r>
        <w:rPr>
          <w:sz w:val="22"/>
        </w:rPr>
        <w:t>Agreement,</w:t>
      </w:r>
      <w:r>
        <w:rPr>
          <w:spacing w:val="-5"/>
          <w:sz w:val="22"/>
        </w:rPr>
        <w:t> </w:t>
      </w:r>
      <w:r>
        <w:rPr>
          <w:sz w:val="22"/>
        </w:rPr>
        <w:t>Temporary</w:t>
      </w:r>
      <w:r>
        <w:rPr>
          <w:spacing w:val="-5"/>
          <w:sz w:val="22"/>
        </w:rPr>
        <w:t> </w:t>
      </w:r>
      <w:r>
        <w:rPr>
          <w:sz w:val="22"/>
        </w:rPr>
        <w:t>Variance,</w:t>
      </w:r>
      <w:r>
        <w:rPr>
          <w:spacing w:val="-5"/>
          <w:sz w:val="22"/>
        </w:rPr>
        <w:t> </w:t>
      </w:r>
      <w:r>
        <w:rPr>
          <w:sz w:val="22"/>
        </w:rPr>
        <w:t>Third</w:t>
      </w:r>
      <w:r>
        <w:rPr>
          <w:spacing w:val="-5"/>
          <w:sz w:val="22"/>
        </w:rPr>
        <w:t> </w:t>
      </w:r>
      <w:r>
        <w:rPr>
          <w:sz w:val="22"/>
        </w:rPr>
        <w:t>Party</w:t>
      </w:r>
      <w:r>
        <w:rPr>
          <w:spacing w:val="-5"/>
          <w:sz w:val="22"/>
        </w:rPr>
        <w:t> </w:t>
      </w:r>
      <w:r>
        <w:rPr>
          <w:sz w:val="22"/>
        </w:rPr>
        <w:t>Vendor and Timely submission. Removal of the following definitions: Permanent BEP License,</w:t>
      </w:r>
      <w:r>
        <w:rPr>
          <w:spacing w:val="-2"/>
          <w:sz w:val="22"/>
        </w:rPr>
        <w:t> </w:t>
      </w:r>
      <w:r>
        <w:rPr>
          <w:sz w:val="22"/>
        </w:rPr>
        <w:t>Probationary</w:t>
      </w:r>
      <w:r>
        <w:rPr>
          <w:spacing w:val="-2"/>
          <w:sz w:val="22"/>
        </w:rPr>
        <w:t> </w:t>
      </w:r>
      <w:r>
        <w:rPr>
          <w:sz w:val="22"/>
        </w:rPr>
        <w:t>BEP</w:t>
      </w:r>
      <w:r>
        <w:rPr>
          <w:spacing w:val="-2"/>
          <w:sz w:val="22"/>
        </w:rPr>
        <w:t> </w:t>
      </w:r>
      <w:r>
        <w:rPr>
          <w:sz w:val="22"/>
        </w:rPr>
        <w:t>License,</w:t>
      </w:r>
      <w:r>
        <w:rPr>
          <w:spacing w:val="-3"/>
          <w:sz w:val="22"/>
        </w:rPr>
        <w:t> </w:t>
      </w:r>
      <w:r>
        <w:rPr>
          <w:sz w:val="22"/>
        </w:rPr>
        <w:t>Probationary</w:t>
      </w:r>
      <w:r>
        <w:rPr>
          <w:spacing w:val="-2"/>
          <w:sz w:val="22"/>
        </w:rPr>
        <w:t> </w:t>
      </w:r>
      <w:r>
        <w:rPr>
          <w:sz w:val="22"/>
        </w:rPr>
        <w:t>Licensee.</w:t>
      </w:r>
      <w:r>
        <w:rPr>
          <w:spacing w:val="-3"/>
          <w:sz w:val="22"/>
        </w:rPr>
        <w:t> </w:t>
      </w:r>
      <w:r>
        <w:rPr>
          <w:sz w:val="22"/>
        </w:rPr>
        <w:t>Updated</w:t>
      </w:r>
      <w:r>
        <w:rPr>
          <w:spacing w:val="-2"/>
          <w:sz w:val="22"/>
        </w:rPr>
        <w:t> </w:t>
      </w:r>
      <w:r>
        <w:rPr>
          <w:sz w:val="22"/>
        </w:rPr>
        <w:t>language</w:t>
      </w:r>
      <w:r>
        <w:rPr>
          <w:spacing w:val="-2"/>
          <w:sz w:val="22"/>
        </w:rPr>
        <w:t> </w:t>
      </w:r>
      <w:r>
        <w:rPr>
          <w:sz w:val="22"/>
        </w:rPr>
        <w:t>on the following definitions: Emergency.</w:t>
      </w:r>
    </w:p>
    <w:p>
      <w:pPr>
        <w:tabs>
          <w:tab w:pos="1439" w:val="left" w:leader="none"/>
        </w:tabs>
        <w:spacing w:line="251" w:lineRule="exact" w:before="0"/>
        <w:ind w:left="359" w:right="0" w:firstLine="0"/>
        <w:jc w:val="left"/>
        <w:rPr>
          <w:sz w:val="22"/>
        </w:rPr>
      </w:pPr>
      <w:r>
        <w:rPr>
          <w:spacing w:val="-2"/>
          <w:sz w:val="22"/>
        </w:rPr>
        <w:t>8-11-</w:t>
      </w:r>
      <w:r>
        <w:rPr>
          <w:spacing w:val="-5"/>
          <w:sz w:val="22"/>
        </w:rPr>
        <w:t>23</w:t>
      </w:r>
      <w:r>
        <w:rPr>
          <w:sz w:val="22"/>
        </w:rPr>
        <w:tab/>
        <w:t>SBVI</w:t>
      </w:r>
      <w:r>
        <w:rPr>
          <w:spacing w:val="-8"/>
          <w:sz w:val="22"/>
        </w:rPr>
        <w:t> </w:t>
      </w:r>
      <w:r>
        <w:rPr>
          <w:sz w:val="22"/>
        </w:rPr>
        <w:t>division</w:t>
      </w:r>
      <w:r>
        <w:rPr>
          <w:spacing w:val="-8"/>
          <w:sz w:val="22"/>
        </w:rPr>
        <w:t> </w:t>
      </w:r>
      <w:r>
        <w:rPr>
          <w:sz w:val="22"/>
        </w:rPr>
        <w:t>name</w:t>
      </w:r>
      <w:r>
        <w:rPr>
          <w:spacing w:val="-8"/>
          <w:sz w:val="22"/>
        </w:rPr>
        <w:t> </w:t>
      </w:r>
      <w:r>
        <w:rPr>
          <w:sz w:val="22"/>
        </w:rPr>
        <w:t>correction</w:t>
      </w:r>
      <w:r>
        <w:rPr>
          <w:spacing w:val="-8"/>
          <w:sz w:val="22"/>
        </w:rPr>
        <w:t> </w:t>
      </w:r>
      <w:r>
        <w:rPr>
          <w:sz w:val="22"/>
        </w:rPr>
        <w:t>under</w:t>
      </w:r>
      <w:r>
        <w:rPr>
          <w:spacing w:val="-9"/>
          <w:sz w:val="22"/>
        </w:rPr>
        <w:t> </w:t>
      </w:r>
      <w:r>
        <w:rPr>
          <w:sz w:val="22"/>
        </w:rPr>
        <w:t>counselor</w:t>
      </w:r>
      <w:r>
        <w:rPr>
          <w:spacing w:val="-8"/>
          <w:sz w:val="22"/>
        </w:rPr>
        <w:t> </w:t>
      </w:r>
      <w:r>
        <w:rPr>
          <w:spacing w:val="-2"/>
          <w:sz w:val="22"/>
        </w:rPr>
        <w:t>definition.</w:t>
      </w:r>
    </w:p>
    <w:p>
      <w:pPr>
        <w:spacing w:after="0" w:line="251" w:lineRule="exact"/>
        <w:jc w:val="left"/>
        <w:rPr>
          <w:sz w:val="22"/>
        </w:rPr>
        <w:sectPr>
          <w:pgSz w:w="12240" w:h="15840"/>
          <w:pgMar w:top="1360" w:bottom="280" w:left="1080" w:right="720"/>
        </w:sectPr>
      </w:pPr>
    </w:p>
    <w:p>
      <w:pPr>
        <w:pStyle w:val="Heading2"/>
      </w:pPr>
      <w:bookmarkStart w:name="612:25-2-7.  State and Federal Assurance" w:id="385"/>
      <w:bookmarkEnd w:id="385"/>
      <w:r>
        <w:rPr>
          <w:b w:val="0"/>
        </w:rPr>
      </w:r>
      <w:r>
        <w:rPr/>
        <w:t>612:25-2-7.</w:t>
      </w:r>
      <w:r>
        <w:rPr>
          <w:spacing w:val="57"/>
        </w:rPr>
        <w:t> </w:t>
      </w:r>
      <w:r>
        <w:rPr/>
        <w:t>State</w:t>
      </w:r>
      <w:r>
        <w:rPr>
          <w:spacing w:val="-4"/>
        </w:rPr>
        <w:t> </w:t>
      </w:r>
      <w:r>
        <w:rPr/>
        <w:t>and</w:t>
      </w:r>
      <w:r>
        <w:rPr>
          <w:spacing w:val="-4"/>
        </w:rPr>
        <w:t> </w:t>
      </w:r>
      <w:r>
        <w:rPr/>
        <w:t>Federal</w:t>
      </w:r>
      <w:r>
        <w:rPr>
          <w:spacing w:val="-3"/>
        </w:rPr>
        <w:t> </w:t>
      </w:r>
      <w:r>
        <w:rPr/>
        <w:t>Assurances</w:t>
      </w:r>
      <w:r>
        <w:rPr>
          <w:spacing w:val="-3"/>
        </w:rPr>
        <w:t> </w:t>
      </w:r>
      <w:r>
        <w:rPr/>
        <w:t>Policy</w:t>
      </w:r>
      <w:r>
        <w:rPr>
          <w:spacing w:val="-4"/>
        </w:rPr>
        <w:t> </w:t>
      </w:r>
      <w:r>
        <w:rPr/>
        <w:t>of</w:t>
      </w:r>
      <w:r>
        <w:rPr>
          <w:spacing w:val="-4"/>
        </w:rPr>
        <w:t> </w:t>
      </w:r>
      <w:r>
        <w:rPr/>
        <w:t>non-</w:t>
      </w:r>
      <w:r>
        <w:rPr>
          <w:spacing w:val="-2"/>
        </w:rPr>
        <w:t>discrimination</w:t>
      </w:r>
    </w:p>
    <w:p>
      <w:pPr>
        <w:pStyle w:val="ListParagraph"/>
        <w:numPr>
          <w:ilvl w:val="0"/>
          <w:numId w:val="375"/>
        </w:numPr>
        <w:tabs>
          <w:tab w:pos="786" w:val="left" w:leader="none"/>
        </w:tabs>
        <w:spacing w:line="208" w:lineRule="auto" w:before="233" w:after="0"/>
        <w:ind w:left="360" w:right="995" w:firstLine="0"/>
        <w:jc w:val="left"/>
        <w:rPr>
          <w:sz w:val="24"/>
        </w:rPr>
      </w:pPr>
      <w:r>
        <w:rPr>
          <w:sz w:val="24"/>
        </w:rPr>
        <w:t>The</w:t>
      </w:r>
      <w:r>
        <w:rPr>
          <w:spacing w:val="-4"/>
          <w:sz w:val="24"/>
        </w:rPr>
        <w:t> </w:t>
      </w:r>
      <w:r>
        <w:rPr>
          <w:sz w:val="24"/>
        </w:rPr>
        <w:t>SLA</w:t>
      </w:r>
      <w:r>
        <w:rPr>
          <w:spacing w:val="-4"/>
          <w:sz w:val="24"/>
        </w:rPr>
        <w:t> </w:t>
      </w:r>
      <w:r>
        <w:rPr>
          <w:sz w:val="24"/>
        </w:rPr>
        <w:t>will</w:t>
      </w:r>
      <w:r>
        <w:rPr>
          <w:spacing w:val="-4"/>
          <w:sz w:val="24"/>
        </w:rPr>
        <w:t> </w:t>
      </w:r>
      <w:r>
        <w:rPr>
          <w:sz w:val="24"/>
        </w:rPr>
        <w:t>assure</w:t>
      </w:r>
      <w:r>
        <w:rPr>
          <w:spacing w:val="-4"/>
          <w:sz w:val="24"/>
        </w:rPr>
        <w:t> </w:t>
      </w:r>
      <w:r>
        <w:rPr>
          <w:sz w:val="24"/>
        </w:rPr>
        <w:t>compliance</w:t>
      </w:r>
      <w:r>
        <w:rPr>
          <w:spacing w:val="-4"/>
          <w:sz w:val="24"/>
        </w:rPr>
        <w:t> </w:t>
      </w:r>
      <w:r>
        <w:rPr>
          <w:sz w:val="24"/>
        </w:rPr>
        <w:t>with</w:t>
      </w:r>
      <w:r>
        <w:rPr>
          <w:spacing w:val="-4"/>
          <w:sz w:val="24"/>
        </w:rPr>
        <w:t> </w:t>
      </w:r>
      <w:r>
        <w:rPr>
          <w:sz w:val="24"/>
        </w:rPr>
        <w:t>all</w:t>
      </w:r>
      <w:r>
        <w:rPr>
          <w:spacing w:val="-3"/>
          <w:sz w:val="24"/>
        </w:rPr>
        <w:t> </w:t>
      </w:r>
      <w:r>
        <w:rPr>
          <w:sz w:val="24"/>
        </w:rPr>
        <w:t>State</w:t>
      </w:r>
      <w:r>
        <w:rPr>
          <w:spacing w:val="-4"/>
          <w:sz w:val="24"/>
        </w:rPr>
        <w:t> </w:t>
      </w:r>
      <w:r>
        <w:rPr>
          <w:sz w:val="24"/>
        </w:rPr>
        <w:t>and</w:t>
      </w:r>
      <w:r>
        <w:rPr>
          <w:spacing w:val="-4"/>
          <w:sz w:val="24"/>
        </w:rPr>
        <w:t> </w:t>
      </w:r>
      <w:r>
        <w:rPr>
          <w:sz w:val="24"/>
        </w:rPr>
        <w:t>Federal</w:t>
      </w:r>
      <w:r>
        <w:rPr>
          <w:spacing w:val="-4"/>
          <w:sz w:val="24"/>
        </w:rPr>
        <w:t> </w:t>
      </w:r>
      <w:r>
        <w:rPr>
          <w:sz w:val="24"/>
        </w:rPr>
        <w:t>Rules</w:t>
      </w:r>
      <w:r>
        <w:rPr>
          <w:spacing w:val="-4"/>
          <w:sz w:val="24"/>
        </w:rPr>
        <w:t> </w:t>
      </w:r>
      <w:r>
        <w:rPr>
          <w:sz w:val="24"/>
        </w:rPr>
        <w:t>and</w:t>
      </w:r>
      <w:r>
        <w:rPr>
          <w:spacing w:val="-4"/>
          <w:sz w:val="24"/>
        </w:rPr>
        <w:t> </w:t>
      </w:r>
      <w:r>
        <w:rPr>
          <w:sz w:val="24"/>
        </w:rPr>
        <w:t>Regulations applicable to the Randolph Sheppard Act.</w:t>
      </w:r>
    </w:p>
    <w:p>
      <w:pPr>
        <w:pStyle w:val="ListParagraph"/>
        <w:numPr>
          <w:ilvl w:val="0"/>
          <w:numId w:val="375"/>
        </w:numPr>
        <w:tabs>
          <w:tab w:pos="786" w:val="left" w:leader="none"/>
        </w:tabs>
        <w:spacing w:line="208" w:lineRule="auto" w:before="240" w:after="0"/>
        <w:ind w:left="360" w:right="1016" w:firstLine="0"/>
        <w:jc w:val="left"/>
        <w:rPr>
          <w:sz w:val="24"/>
        </w:rPr>
      </w:pPr>
      <w:r>
        <w:rPr>
          <w:sz w:val="24"/>
        </w:rPr>
        <mc:AlternateContent>
          <mc:Choice Requires="wps">
            <w:drawing>
              <wp:anchor distT="0" distB="0" distL="0" distR="0" allowOverlap="1" layoutInCell="1" locked="0" behindDoc="0" simplePos="0" relativeHeight="15731200">
                <wp:simplePos x="0" y="0"/>
                <wp:positionH relativeFrom="page">
                  <wp:posOffset>1252727</wp:posOffset>
                </wp:positionH>
                <wp:positionV relativeFrom="paragraph">
                  <wp:posOffset>1053239</wp:posOffset>
                </wp:positionV>
                <wp:extent cx="39370" cy="1016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9370" cy="10160"/>
                        </a:xfrm>
                        <a:custGeom>
                          <a:avLst/>
                          <a:gdLst/>
                          <a:ahLst/>
                          <a:cxnLst/>
                          <a:rect l="l" t="t" r="r" b="b"/>
                          <a:pathLst>
                            <a:path w="39370" h="10160">
                              <a:moveTo>
                                <a:pt x="38862" y="0"/>
                              </a:moveTo>
                              <a:lnTo>
                                <a:pt x="0" y="0"/>
                              </a:lnTo>
                              <a:lnTo>
                                <a:pt x="0" y="9893"/>
                              </a:lnTo>
                              <a:lnTo>
                                <a:pt x="38862" y="9893"/>
                              </a:lnTo>
                              <a:lnTo>
                                <a:pt x="388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8.639999pt;margin-top:82.932213pt;width:3.06pt;height:.779pt;mso-position-horizontal-relative:page;mso-position-vertical-relative:paragraph;z-index:15731200" id="docshape6" filled="true" fillcolor="#000000" stroked="false">
                <v:fill type="solid"/>
                <w10:wrap type="none"/>
              </v:rect>
            </w:pict>
          </mc:Fallback>
        </mc:AlternateContent>
      </w:r>
      <w:r>
        <w:rPr>
          <w:sz w:val="24"/>
        </w:rPr>
        <w:t>The State Licensing Agency assures that it shall not exclude from participation, deny the benefits of the program, or otherwise subject any person to discrimination because of the person's gender, age, physical or mental impairment, religion, race, creed, national origin, or political affiliation in accordance with the Civil Rights Act of 1964,</w:t>
      </w:r>
      <w:r>
        <w:rPr>
          <w:spacing w:val="-2"/>
          <w:sz w:val="24"/>
        </w:rPr>
        <w:t> </w:t>
      </w:r>
      <w:r>
        <w:rPr>
          <w:sz w:val="24"/>
        </w:rPr>
        <w:t>Section</w:t>
      </w:r>
      <w:r>
        <w:rPr>
          <w:spacing w:val="-3"/>
          <w:sz w:val="24"/>
        </w:rPr>
        <w:t> </w:t>
      </w:r>
      <w:r>
        <w:rPr>
          <w:sz w:val="24"/>
        </w:rPr>
        <w:t>504</w:t>
      </w:r>
      <w:r>
        <w:rPr>
          <w:spacing w:val="-3"/>
          <w:sz w:val="24"/>
        </w:rPr>
        <w:t> </w:t>
      </w:r>
      <w:r>
        <w:rPr>
          <w:sz w:val="24"/>
        </w:rPr>
        <w:t>of</w:t>
      </w:r>
      <w:r>
        <w:rPr>
          <w:spacing w:val="-2"/>
          <w:sz w:val="24"/>
        </w:rPr>
        <w:t> </w:t>
      </w:r>
      <w:r>
        <w:rPr>
          <w:sz w:val="24"/>
        </w:rPr>
        <w:t>the</w:t>
      </w:r>
      <w:r>
        <w:rPr>
          <w:spacing w:val="-3"/>
          <w:sz w:val="24"/>
        </w:rPr>
        <w:t> </w:t>
      </w:r>
      <w:r>
        <w:rPr>
          <w:sz w:val="24"/>
        </w:rPr>
        <w:t>Rehabilitation</w:t>
      </w:r>
      <w:r>
        <w:rPr>
          <w:spacing w:val="-3"/>
          <w:sz w:val="24"/>
        </w:rPr>
        <w:t> </w:t>
      </w:r>
      <w:r>
        <w:rPr>
          <w:sz w:val="24"/>
        </w:rPr>
        <w:t>Act,</w:t>
      </w:r>
      <w:r>
        <w:rPr>
          <w:spacing w:val="-4"/>
          <w:sz w:val="24"/>
        </w:rPr>
        <w:t> </w:t>
      </w:r>
      <w:r>
        <w:rPr>
          <w:sz w:val="24"/>
        </w:rPr>
        <w:t>and</w:t>
      </w:r>
      <w:r>
        <w:rPr>
          <w:spacing w:val="-3"/>
          <w:sz w:val="24"/>
        </w:rPr>
        <w:t> </w:t>
      </w:r>
      <w:r>
        <w:rPr>
          <w:sz w:val="24"/>
        </w:rPr>
        <w:t>the</w:t>
      </w:r>
      <w:r>
        <w:rPr>
          <w:spacing w:val="-3"/>
          <w:sz w:val="24"/>
        </w:rPr>
        <w:t> </w:t>
      </w:r>
      <w:r>
        <w:rPr>
          <w:sz w:val="24"/>
        </w:rPr>
        <w:t>Americans</w:t>
      </w:r>
      <w:r>
        <w:rPr>
          <w:spacing w:val="-3"/>
          <w:sz w:val="24"/>
        </w:rPr>
        <w:t> </w:t>
      </w:r>
      <w:r>
        <w:rPr>
          <w:sz w:val="24"/>
        </w:rPr>
        <w:t>with</w:t>
      </w:r>
      <w:r>
        <w:rPr>
          <w:spacing w:val="-3"/>
          <w:sz w:val="24"/>
        </w:rPr>
        <w:t> </w:t>
      </w:r>
      <w:r>
        <w:rPr>
          <w:sz w:val="24"/>
        </w:rPr>
        <w:t>Disabilities</w:t>
      </w:r>
      <w:r>
        <w:rPr>
          <w:spacing w:val="-3"/>
          <w:sz w:val="24"/>
        </w:rPr>
        <w:t> </w:t>
      </w:r>
      <w:r>
        <w:rPr>
          <w:sz w:val="24"/>
        </w:rPr>
        <w:t>Act</w:t>
      </w:r>
      <w:r>
        <w:rPr>
          <w:spacing w:val="-2"/>
          <w:sz w:val="24"/>
        </w:rPr>
        <w:t> </w:t>
      </w:r>
      <w:r>
        <w:rPr>
          <w:sz w:val="24"/>
        </w:rPr>
        <w:t>of 1990 and any other federal and state non-discrimination statutes.</w:t>
      </w:r>
    </w:p>
    <w:p>
      <w:pPr>
        <w:pStyle w:val="ListParagraph"/>
        <w:numPr>
          <w:ilvl w:val="0"/>
          <w:numId w:val="375"/>
        </w:numPr>
        <w:tabs>
          <w:tab w:pos="772" w:val="left" w:leader="none"/>
        </w:tabs>
        <w:spacing w:line="208" w:lineRule="auto" w:before="239" w:after="0"/>
        <w:ind w:left="359" w:right="847" w:firstLine="0"/>
        <w:jc w:val="left"/>
        <w:rPr>
          <w:sz w:val="24"/>
        </w:rPr>
      </w:pPr>
      <w:r>
        <w:rPr>
          <w:sz w:val="24"/>
        </w:rPr>
        <w:t>Every licensed manager of a business enterprise shall operate the business enterprise</w:t>
      </w:r>
      <w:r>
        <w:rPr>
          <w:spacing w:val="-3"/>
          <w:sz w:val="24"/>
        </w:rPr>
        <w:t> </w:t>
      </w:r>
      <w:r>
        <w:rPr>
          <w:sz w:val="24"/>
        </w:rPr>
        <w:t>in</w:t>
      </w:r>
      <w:r>
        <w:rPr>
          <w:spacing w:val="-3"/>
          <w:sz w:val="24"/>
        </w:rPr>
        <w:t> </w:t>
      </w:r>
      <w:r>
        <w:rPr>
          <w:sz w:val="24"/>
        </w:rPr>
        <w:t>such</w:t>
      </w:r>
      <w:r>
        <w:rPr>
          <w:spacing w:val="-3"/>
          <w:sz w:val="24"/>
        </w:rPr>
        <w:t> </w:t>
      </w:r>
      <w:r>
        <w:rPr>
          <w:sz w:val="24"/>
        </w:rPr>
        <w:t>a</w:t>
      </w:r>
      <w:r>
        <w:rPr>
          <w:spacing w:val="-3"/>
          <w:sz w:val="24"/>
        </w:rPr>
        <w:t> </w:t>
      </w:r>
      <w:r>
        <w:rPr>
          <w:sz w:val="24"/>
        </w:rPr>
        <w:t>manner</w:t>
      </w:r>
      <w:r>
        <w:rPr>
          <w:spacing w:val="-2"/>
          <w:sz w:val="24"/>
        </w:rPr>
        <w:t> </w:t>
      </w:r>
      <w:r>
        <w:rPr>
          <w:sz w:val="24"/>
        </w:rPr>
        <w:t>that</w:t>
      </w:r>
      <w:r>
        <w:rPr>
          <w:spacing w:val="-4"/>
          <w:sz w:val="24"/>
        </w:rPr>
        <w:t> </w:t>
      </w:r>
      <w:r>
        <w:rPr>
          <w:sz w:val="24"/>
        </w:rPr>
        <w:t>no</w:t>
      </w:r>
      <w:r>
        <w:rPr>
          <w:spacing w:val="-3"/>
          <w:sz w:val="24"/>
        </w:rPr>
        <w:t> </w:t>
      </w:r>
      <w:r>
        <w:rPr>
          <w:sz w:val="24"/>
        </w:rPr>
        <w:t>person</w:t>
      </w:r>
      <w:r>
        <w:rPr>
          <w:spacing w:val="-3"/>
          <w:sz w:val="24"/>
        </w:rPr>
        <w:t> </w:t>
      </w:r>
      <w:r>
        <w:rPr>
          <w:sz w:val="24"/>
        </w:rPr>
        <w:t>shall</w:t>
      </w:r>
      <w:r>
        <w:rPr>
          <w:spacing w:val="-3"/>
          <w:sz w:val="24"/>
        </w:rPr>
        <w:t> </w:t>
      </w:r>
      <w:r>
        <w:rPr>
          <w:sz w:val="24"/>
        </w:rPr>
        <w:t>be</w:t>
      </w:r>
      <w:r>
        <w:rPr>
          <w:spacing w:val="-3"/>
          <w:sz w:val="24"/>
        </w:rPr>
        <w:t> </w:t>
      </w:r>
      <w:r>
        <w:rPr>
          <w:sz w:val="24"/>
        </w:rPr>
        <w:t>subject</w:t>
      </w:r>
      <w:r>
        <w:rPr>
          <w:spacing w:val="-2"/>
          <w:sz w:val="24"/>
        </w:rPr>
        <w:t> </w:t>
      </w:r>
      <w:r>
        <w:rPr>
          <w:sz w:val="24"/>
        </w:rPr>
        <w:t>to</w:t>
      </w:r>
      <w:r>
        <w:rPr>
          <w:spacing w:val="-3"/>
          <w:sz w:val="24"/>
        </w:rPr>
        <w:t> </w:t>
      </w:r>
      <w:r>
        <w:rPr>
          <w:sz w:val="24"/>
        </w:rPr>
        <w:t>discrimination</w:t>
      </w:r>
      <w:r>
        <w:rPr>
          <w:spacing w:val="-3"/>
          <w:sz w:val="24"/>
        </w:rPr>
        <w:t> </w:t>
      </w:r>
      <w:r>
        <w:rPr>
          <w:sz w:val="24"/>
        </w:rPr>
        <w:t>under</w:t>
      </w:r>
      <w:r>
        <w:rPr>
          <w:spacing w:val="-2"/>
          <w:sz w:val="24"/>
        </w:rPr>
        <w:t> </w:t>
      </w:r>
      <w:r>
        <w:rPr>
          <w:sz w:val="24"/>
        </w:rPr>
        <w:t>any federal or state statute because of the person's gender, age, physical or mental impairment, religion, race, creed, national origin, or political affiliation whether that person is a present or prospective purveyor, customer, employee or other individual who might come into contact with the business enterprise.</w:t>
      </w:r>
    </w:p>
    <w:p>
      <w:pPr>
        <w:pStyle w:val="ListParagraph"/>
        <w:numPr>
          <w:ilvl w:val="0"/>
          <w:numId w:val="375"/>
        </w:numPr>
        <w:tabs>
          <w:tab w:pos="786" w:val="left" w:leader="none"/>
        </w:tabs>
        <w:spacing w:line="208" w:lineRule="auto" w:before="239" w:after="0"/>
        <w:ind w:left="360" w:right="739" w:firstLine="0"/>
        <w:jc w:val="left"/>
        <w:rPr>
          <w:sz w:val="24"/>
        </w:rPr>
      </w:pPr>
      <w:r>
        <w:rPr>
          <w:sz w:val="24"/>
        </w:rPr>
        <w:t>Confidentiality and requests for information. Policies on confidentiality of client records in the BEP will apply also to licensed managers in the BEP and to those who apply for training. Such information will be limited to purposes directly connected with the administration of the BEP and may not be released either directly or indirectly for any other purpose without the consent of the licensed manager/applicant or his/her</w:t>
      </w:r>
      <w:r>
        <w:rPr>
          <w:spacing w:val="40"/>
          <w:sz w:val="24"/>
        </w:rPr>
        <w:t> </w:t>
      </w:r>
      <w:r>
        <w:rPr>
          <w:sz w:val="24"/>
        </w:rPr>
        <w:t>legal representative. While the SLA complies with the Freedom of Information Act, protection of confidential information takes precedence. When information is requested that</w:t>
      </w:r>
      <w:r>
        <w:rPr>
          <w:spacing w:val="-2"/>
          <w:sz w:val="24"/>
        </w:rPr>
        <w:t> </w:t>
      </w:r>
      <w:r>
        <w:rPr>
          <w:sz w:val="24"/>
        </w:rPr>
        <w:t>is</w:t>
      </w:r>
      <w:r>
        <w:rPr>
          <w:spacing w:val="-3"/>
          <w:sz w:val="24"/>
        </w:rPr>
        <w:t> </w:t>
      </w:r>
      <w:r>
        <w:rPr>
          <w:sz w:val="24"/>
        </w:rPr>
        <w:t>not</w:t>
      </w:r>
      <w:r>
        <w:rPr>
          <w:spacing w:val="-2"/>
          <w:sz w:val="24"/>
        </w:rPr>
        <w:t> </w:t>
      </w:r>
      <w:r>
        <w:rPr>
          <w:sz w:val="24"/>
        </w:rPr>
        <w:t>clearly</w:t>
      </w:r>
      <w:r>
        <w:rPr>
          <w:spacing w:val="-3"/>
          <w:sz w:val="24"/>
        </w:rPr>
        <w:t> </w:t>
      </w:r>
      <w:r>
        <w:rPr>
          <w:sz w:val="24"/>
        </w:rPr>
        <w:t>of</w:t>
      </w:r>
      <w:r>
        <w:rPr>
          <w:spacing w:val="-2"/>
          <w:sz w:val="24"/>
        </w:rPr>
        <w:t> </w:t>
      </w:r>
      <w:r>
        <w:rPr>
          <w:sz w:val="24"/>
        </w:rPr>
        <w:t>a</w:t>
      </w:r>
      <w:r>
        <w:rPr>
          <w:spacing w:val="-3"/>
          <w:sz w:val="24"/>
        </w:rPr>
        <w:t> </w:t>
      </w:r>
      <w:r>
        <w:rPr>
          <w:sz w:val="24"/>
        </w:rPr>
        <w:t>public</w:t>
      </w:r>
      <w:r>
        <w:rPr>
          <w:spacing w:val="-3"/>
          <w:sz w:val="24"/>
        </w:rPr>
        <w:t> </w:t>
      </w:r>
      <w:r>
        <w:rPr>
          <w:sz w:val="24"/>
        </w:rPr>
        <w:t>nature,</w:t>
      </w:r>
      <w:r>
        <w:rPr>
          <w:spacing w:val="-2"/>
          <w:sz w:val="24"/>
        </w:rPr>
        <w:t> </w:t>
      </w:r>
      <w:r>
        <w:rPr>
          <w:sz w:val="24"/>
        </w:rPr>
        <w:t>the</w:t>
      </w:r>
      <w:r>
        <w:rPr>
          <w:spacing w:val="-3"/>
          <w:sz w:val="24"/>
        </w:rPr>
        <w:t> </w:t>
      </w:r>
      <w:r>
        <w:rPr>
          <w:sz w:val="24"/>
        </w:rPr>
        <w:t>information</w:t>
      </w:r>
      <w:r>
        <w:rPr>
          <w:spacing w:val="-3"/>
          <w:sz w:val="24"/>
        </w:rPr>
        <w:t> </w:t>
      </w:r>
      <w:r>
        <w:rPr>
          <w:sz w:val="24"/>
        </w:rPr>
        <w:t>will</w:t>
      </w:r>
      <w:r>
        <w:rPr>
          <w:spacing w:val="-3"/>
          <w:sz w:val="24"/>
        </w:rPr>
        <w:t> </w:t>
      </w:r>
      <w:r>
        <w:rPr>
          <w:sz w:val="24"/>
        </w:rPr>
        <w:t>be</w:t>
      </w:r>
      <w:r>
        <w:rPr>
          <w:spacing w:val="-3"/>
          <w:sz w:val="24"/>
        </w:rPr>
        <w:t> </w:t>
      </w:r>
      <w:r>
        <w:rPr>
          <w:sz w:val="24"/>
        </w:rPr>
        <w:t>treated</w:t>
      </w:r>
      <w:r>
        <w:rPr>
          <w:spacing w:val="-4"/>
          <w:sz w:val="24"/>
        </w:rPr>
        <w:t> </w:t>
      </w:r>
      <w:r>
        <w:rPr>
          <w:sz w:val="24"/>
        </w:rPr>
        <w:t>as</w:t>
      </w:r>
      <w:r>
        <w:rPr>
          <w:spacing w:val="-3"/>
          <w:sz w:val="24"/>
        </w:rPr>
        <w:t> </w:t>
      </w:r>
      <w:r>
        <w:rPr>
          <w:sz w:val="24"/>
        </w:rPr>
        <w:t>confidential</w:t>
      </w:r>
      <w:r>
        <w:rPr>
          <w:spacing w:val="-3"/>
          <w:sz w:val="24"/>
        </w:rPr>
        <w:t> </w:t>
      </w:r>
      <w:r>
        <w:rPr>
          <w:sz w:val="24"/>
        </w:rPr>
        <w:t>unless and until ruled otherwise by the general counsel for the SLA. The SLA may charge reasonable fees for copies of information.</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7-1-99</w:t>
      </w:r>
      <w:r>
        <w:rPr>
          <w:sz w:val="22"/>
        </w:rPr>
        <w:tab/>
        <w:t>POL Memo #00-1</w:t>
      </w:r>
    </w:p>
    <w:p>
      <w:pPr>
        <w:tabs>
          <w:tab w:pos="1439" w:val="left" w:leader="none"/>
        </w:tabs>
        <w:spacing w:before="0"/>
        <w:ind w:left="359" w:right="4864" w:firstLine="1080"/>
        <w:jc w:val="left"/>
        <w:rPr>
          <w:sz w:val="22"/>
        </w:rPr>
      </w:pPr>
      <w:r>
        <w:rPr>
          <w:sz w:val="22"/>
        </w:rPr>
        <w:t>Permanent,</w:t>
      </w:r>
      <w:r>
        <w:rPr>
          <w:spacing w:val="-9"/>
          <w:sz w:val="22"/>
        </w:rPr>
        <w:t> </w:t>
      </w:r>
      <w:r>
        <w:rPr>
          <w:sz w:val="22"/>
        </w:rPr>
        <w:t>updated</w:t>
      </w:r>
      <w:r>
        <w:rPr>
          <w:spacing w:val="-10"/>
          <w:sz w:val="22"/>
        </w:rPr>
        <w:t> </w:t>
      </w:r>
      <w:r>
        <w:rPr>
          <w:sz w:val="22"/>
        </w:rPr>
        <w:t>Rehab.</w:t>
      </w:r>
      <w:r>
        <w:rPr>
          <w:spacing w:val="-10"/>
          <w:sz w:val="22"/>
        </w:rPr>
        <w:t> </w:t>
      </w:r>
      <w:r>
        <w:rPr>
          <w:sz w:val="22"/>
        </w:rPr>
        <w:t>Act</w:t>
      </w:r>
      <w:r>
        <w:rPr>
          <w:spacing w:val="-10"/>
          <w:sz w:val="22"/>
        </w:rPr>
        <w:t> </w:t>
      </w:r>
      <w:r>
        <w:rPr>
          <w:sz w:val="22"/>
        </w:rPr>
        <w:t>reference </w:t>
      </w:r>
      <w:r>
        <w:rPr>
          <w:spacing w:val="-2"/>
          <w:sz w:val="22"/>
        </w:rPr>
        <w:t>7-1-05</w:t>
      </w:r>
      <w:r>
        <w:rPr>
          <w:sz w:val="22"/>
        </w:rPr>
        <w:tab/>
        <w:t>PT Memo #06-01</w:t>
      </w:r>
    </w:p>
    <w:p>
      <w:pPr>
        <w:tabs>
          <w:tab w:pos="1439" w:val="left" w:leader="none"/>
        </w:tabs>
        <w:spacing w:before="0"/>
        <w:ind w:left="359" w:right="5829" w:firstLine="1080"/>
        <w:jc w:val="left"/>
        <w:rPr>
          <w:sz w:val="22"/>
        </w:rPr>
      </w:pPr>
      <w:r>
        <w:rPr>
          <w:sz w:val="22"/>
        </w:rPr>
        <w:t>Permanent,</w:t>
      </w:r>
      <w:r>
        <w:rPr>
          <w:spacing w:val="-11"/>
          <w:sz w:val="22"/>
        </w:rPr>
        <w:t> </w:t>
      </w:r>
      <w:r>
        <w:rPr>
          <w:sz w:val="22"/>
        </w:rPr>
        <w:t>clarification</w:t>
      </w:r>
      <w:r>
        <w:rPr>
          <w:spacing w:val="-13"/>
          <w:sz w:val="22"/>
        </w:rPr>
        <w:t> </w:t>
      </w:r>
      <w:r>
        <w:rPr>
          <w:sz w:val="22"/>
        </w:rPr>
        <w:t>of</w:t>
      </w:r>
      <w:r>
        <w:rPr>
          <w:spacing w:val="-12"/>
          <w:sz w:val="22"/>
        </w:rPr>
        <w:t> </w:t>
      </w:r>
      <w:r>
        <w:rPr>
          <w:sz w:val="22"/>
        </w:rPr>
        <w:t>policy </w:t>
      </w:r>
      <w:r>
        <w:rPr>
          <w:spacing w:val="-2"/>
          <w:sz w:val="22"/>
        </w:rPr>
        <w:t>9-11-22</w:t>
      </w:r>
      <w:r>
        <w:rPr>
          <w:sz w:val="22"/>
        </w:rPr>
        <w:tab/>
        <w:t>Revised statute language.</w:t>
      </w:r>
    </w:p>
    <w:p>
      <w:pPr>
        <w:spacing w:after="0"/>
        <w:jc w:val="left"/>
        <w:rPr>
          <w:sz w:val="22"/>
        </w:rPr>
        <w:sectPr>
          <w:pgSz w:w="12240" w:h="15840"/>
          <w:pgMar w:top="1340" w:bottom="280" w:left="1080" w:right="720"/>
        </w:sectPr>
      </w:pPr>
    </w:p>
    <w:p>
      <w:pPr>
        <w:pStyle w:val="Heading2"/>
      </w:pPr>
      <w:bookmarkStart w:name="612:25-2-8.  Accessibility of written ma" w:id="386"/>
      <w:bookmarkEnd w:id="386"/>
      <w:r>
        <w:rPr>
          <w:b w:val="0"/>
        </w:rPr>
      </w:r>
      <w:r>
        <w:rPr/>
        <w:t>612:25-2-8.</w:t>
      </w:r>
      <w:r>
        <w:rPr>
          <w:spacing w:val="59"/>
        </w:rPr>
        <w:t> </w:t>
      </w:r>
      <w:r>
        <w:rPr/>
        <w:t>Accessibility</w:t>
      </w:r>
      <w:r>
        <w:rPr>
          <w:spacing w:val="-3"/>
        </w:rPr>
        <w:t> </w:t>
      </w:r>
      <w:r>
        <w:rPr/>
        <w:t>of</w:t>
      </w:r>
      <w:r>
        <w:rPr>
          <w:spacing w:val="-4"/>
        </w:rPr>
        <w:t> </w:t>
      </w:r>
      <w:r>
        <w:rPr/>
        <w:t>written</w:t>
      </w:r>
      <w:r>
        <w:rPr>
          <w:spacing w:val="-4"/>
        </w:rPr>
        <w:t> </w:t>
      </w:r>
      <w:r>
        <w:rPr>
          <w:spacing w:val="-2"/>
        </w:rPr>
        <w:t>materials</w:t>
      </w:r>
    </w:p>
    <w:p>
      <w:pPr>
        <w:pStyle w:val="BodyText"/>
        <w:spacing w:line="208" w:lineRule="auto" w:before="233"/>
        <w:ind w:right="775" w:firstLine="432"/>
      </w:pPr>
      <w:r>
        <w:rPr/>
        <w:t>Upon advance request, all written materials will be provided to each licensed manager, licensed employee, or licensee in a format accessible to that licensed manager, licensed employee, or Licensee. It is the responsibility of the licensed manager,</w:t>
      </w:r>
      <w:r>
        <w:rPr>
          <w:spacing w:val="-3"/>
        </w:rPr>
        <w:t> </w:t>
      </w:r>
      <w:r>
        <w:rPr/>
        <w:t>licensed</w:t>
      </w:r>
      <w:r>
        <w:rPr>
          <w:spacing w:val="-4"/>
        </w:rPr>
        <w:t> </w:t>
      </w:r>
      <w:r>
        <w:rPr/>
        <w:t>employee,</w:t>
      </w:r>
      <w:r>
        <w:rPr>
          <w:spacing w:val="-3"/>
        </w:rPr>
        <w:t> </w:t>
      </w:r>
      <w:r>
        <w:rPr/>
        <w:t>or</w:t>
      </w:r>
      <w:r>
        <w:rPr>
          <w:spacing w:val="-3"/>
        </w:rPr>
        <w:t> </w:t>
      </w:r>
      <w:r>
        <w:rPr/>
        <w:t>licensee</w:t>
      </w:r>
      <w:r>
        <w:rPr>
          <w:spacing w:val="-4"/>
        </w:rPr>
        <w:t> </w:t>
      </w:r>
      <w:r>
        <w:rPr/>
        <w:t>to</w:t>
      </w:r>
      <w:r>
        <w:rPr>
          <w:spacing w:val="-4"/>
        </w:rPr>
        <w:t> </w:t>
      </w:r>
      <w:r>
        <w:rPr/>
        <w:t>inform</w:t>
      </w:r>
      <w:r>
        <w:rPr>
          <w:spacing w:val="-5"/>
        </w:rPr>
        <w:t> </w:t>
      </w:r>
      <w:r>
        <w:rPr/>
        <w:t>the</w:t>
      </w:r>
      <w:r>
        <w:rPr>
          <w:spacing w:val="-5"/>
        </w:rPr>
        <w:t> </w:t>
      </w:r>
      <w:r>
        <w:rPr/>
        <w:t>SLA</w:t>
      </w:r>
      <w:r>
        <w:rPr>
          <w:spacing w:val="-4"/>
        </w:rPr>
        <w:t> </w:t>
      </w:r>
      <w:r>
        <w:rPr/>
        <w:t>of</w:t>
      </w:r>
      <w:r>
        <w:rPr>
          <w:spacing w:val="-3"/>
        </w:rPr>
        <w:t> </w:t>
      </w:r>
      <w:r>
        <w:rPr/>
        <w:t>the</w:t>
      </w:r>
      <w:r>
        <w:rPr>
          <w:spacing w:val="-4"/>
        </w:rPr>
        <w:t> </w:t>
      </w:r>
      <w:r>
        <w:rPr/>
        <w:t>accessible</w:t>
      </w:r>
      <w:r>
        <w:rPr>
          <w:spacing w:val="-4"/>
        </w:rPr>
        <w:t> </w:t>
      </w:r>
      <w:r>
        <w:rPr/>
        <w:t>format </w:t>
      </w:r>
      <w:r>
        <w:rPr>
          <w:spacing w:val="-2"/>
        </w:rPr>
        <w:t>needed.</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tabs>
          <w:tab w:pos="1439" w:val="left" w:leader="none"/>
        </w:tabs>
        <w:spacing w:before="1"/>
        <w:ind w:left="359" w:right="0" w:firstLine="0"/>
        <w:jc w:val="left"/>
        <w:rPr>
          <w:sz w:val="22"/>
        </w:rPr>
      </w:pPr>
      <w:r>
        <w:rPr>
          <w:spacing w:val="-2"/>
          <w:sz w:val="22"/>
        </w:rPr>
        <w:t>9-11-</w:t>
      </w:r>
      <w:r>
        <w:rPr>
          <w:spacing w:val="-5"/>
          <w:sz w:val="22"/>
        </w:rPr>
        <w:t>22</w:t>
      </w:r>
      <w:r>
        <w:rPr>
          <w:sz w:val="22"/>
        </w:rPr>
        <w:tab/>
        <w:t>Removed</w:t>
      </w:r>
      <w:r>
        <w:rPr>
          <w:spacing w:val="-11"/>
          <w:sz w:val="22"/>
        </w:rPr>
        <w:t> </w:t>
      </w:r>
      <w:r>
        <w:rPr>
          <w:sz w:val="22"/>
        </w:rPr>
        <w:t>antiquated</w:t>
      </w:r>
      <w:r>
        <w:rPr>
          <w:spacing w:val="-11"/>
          <w:sz w:val="22"/>
        </w:rPr>
        <w:t> </w:t>
      </w:r>
      <w:r>
        <w:rPr>
          <w:spacing w:val="-2"/>
          <w:sz w:val="22"/>
        </w:rPr>
        <w:t>language.</w:t>
      </w:r>
    </w:p>
    <w:p>
      <w:pPr>
        <w:spacing w:after="0"/>
        <w:jc w:val="left"/>
        <w:rPr>
          <w:sz w:val="22"/>
        </w:rPr>
        <w:sectPr>
          <w:pgSz w:w="12240" w:h="15840"/>
          <w:pgMar w:top="1340" w:bottom="280" w:left="1080" w:right="720"/>
        </w:sectPr>
      </w:pPr>
    </w:p>
    <w:p>
      <w:pPr>
        <w:pStyle w:val="Heading2"/>
      </w:pPr>
      <w:bookmarkStart w:name="612:25-2-9  Conflict of interest" w:id="387"/>
      <w:bookmarkEnd w:id="387"/>
      <w:r>
        <w:rPr>
          <w:b w:val="0"/>
        </w:rPr>
      </w:r>
      <w:r>
        <w:rPr/>
        <w:t>612:25-2-9</w:t>
      </w:r>
      <w:r>
        <w:rPr>
          <w:spacing w:val="60"/>
        </w:rPr>
        <w:t> </w:t>
      </w:r>
      <w:r>
        <w:rPr/>
        <w:t>Conflict</w:t>
      </w:r>
      <w:r>
        <w:rPr>
          <w:spacing w:val="-4"/>
        </w:rPr>
        <w:t> </w:t>
      </w:r>
      <w:r>
        <w:rPr/>
        <w:t>of</w:t>
      </w:r>
      <w:r>
        <w:rPr>
          <w:spacing w:val="-2"/>
        </w:rPr>
        <w:t> interest</w:t>
      </w:r>
    </w:p>
    <w:p>
      <w:pPr>
        <w:pStyle w:val="ListParagraph"/>
        <w:numPr>
          <w:ilvl w:val="0"/>
          <w:numId w:val="376"/>
        </w:numPr>
        <w:tabs>
          <w:tab w:pos="786" w:val="left" w:leader="none"/>
        </w:tabs>
        <w:spacing w:line="208" w:lineRule="auto" w:before="233" w:after="0"/>
        <w:ind w:left="360" w:right="796" w:firstLine="0"/>
        <w:jc w:val="left"/>
        <w:rPr>
          <w:b/>
          <w:sz w:val="24"/>
        </w:rPr>
      </w:pPr>
      <w:r>
        <w:rPr>
          <w:b/>
          <w:sz w:val="24"/>
        </w:rPr>
        <w:t>State</w:t>
      </w:r>
      <w:r>
        <w:rPr>
          <w:b/>
          <w:spacing w:val="-4"/>
          <w:sz w:val="24"/>
        </w:rPr>
        <w:t> </w:t>
      </w:r>
      <w:r>
        <w:rPr>
          <w:b/>
          <w:sz w:val="24"/>
        </w:rPr>
        <w:t>Licensing</w:t>
      </w:r>
      <w:r>
        <w:rPr>
          <w:b/>
          <w:spacing w:val="-4"/>
          <w:sz w:val="24"/>
        </w:rPr>
        <w:t> </w:t>
      </w:r>
      <w:r>
        <w:rPr>
          <w:b/>
          <w:sz w:val="24"/>
        </w:rPr>
        <w:t>Agency</w:t>
      </w:r>
      <w:r>
        <w:rPr>
          <w:b/>
          <w:spacing w:val="-4"/>
          <w:sz w:val="24"/>
        </w:rPr>
        <w:t> </w:t>
      </w:r>
      <w:r>
        <w:rPr>
          <w:b/>
          <w:sz w:val="24"/>
        </w:rPr>
        <w:t>(SLA)</w:t>
      </w:r>
      <w:r>
        <w:rPr>
          <w:b/>
          <w:spacing w:val="-4"/>
          <w:sz w:val="24"/>
        </w:rPr>
        <w:t> </w:t>
      </w:r>
      <w:r>
        <w:rPr>
          <w:b/>
          <w:sz w:val="24"/>
        </w:rPr>
        <w:t>employees.</w:t>
      </w:r>
      <w:r>
        <w:rPr>
          <w:b/>
          <w:spacing w:val="40"/>
          <w:sz w:val="24"/>
        </w:rPr>
        <w:t> </w:t>
      </w:r>
      <w:r>
        <w:rPr>
          <w:sz w:val="24"/>
        </w:rPr>
        <w:t>DRS</w:t>
      </w:r>
      <w:r>
        <w:rPr>
          <w:spacing w:val="-4"/>
          <w:sz w:val="24"/>
        </w:rPr>
        <w:t> </w:t>
      </w:r>
      <w:r>
        <w:rPr>
          <w:sz w:val="24"/>
        </w:rPr>
        <w:t>policy</w:t>
      </w:r>
      <w:r>
        <w:rPr>
          <w:spacing w:val="-4"/>
          <w:sz w:val="24"/>
        </w:rPr>
        <w:t> </w:t>
      </w:r>
      <w:r>
        <w:rPr>
          <w:sz w:val="24"/>
        </w:rPr>
        <w:t>prohibits</w:t>
      </w:r>
      <w:r>
        <w:rPr>
          <w:spacing w:val="-4"/>
          <w:sz w:val="24"/>
        </w:rPr>
        <w:t> </w:t>
      </w:r>
      <w:r>
        <w:rPr>
          <w:sz w:val="24"/>
        </w:rPr>
        <w:t>the</w:t>
      </w:r>
      <w:r>
        <w:rPr>
          <w:spacing w:val="-4"/>
          <w:sz w:val="24"/>
        </w:rPr>
        <w:t> </w:t>
      </w:r>
      <w:r>
        <w:rPr>
          <w:sz w:val="24"/>
        </w:rPr>
        <w:t>employment of any person in a position that would result in immediate supervision by a relative or two or more relatives reporting to the same supervisor.</w:t>
      </w:r>
      <w:r>
        <w:rPr>
          <w:spacing w:val="40"/>
          <w:sz w:val="24"/>
        </w:rPr>
        <w:t> </w:t>
      </w:r>
      <w:r>
        <w:rPr>
          <w:sz w:val="24"/>
        </w:rPr>
        <w:t>Employment in the Business Enterprise Program (BEP) and SLA is subject to DRS rules governing related employees. </w:t>
      </w:r>
      <w:r>
        <w:rPr>
          <w:b/>
          <w:sz w:val="24"/>
        </w:rPr>
        <w:t>1</w:t>
      </w:r>
    </w:p>
    <w:p>
      <w:pPr>
        <w:pStyle w:val="ListParagraph"/>
        <w:numPr>
          <w:ilvl w:val="0"/>
          <w:numId w:val="376"/>
        </w:numPr>
        <w:tabs>
          <w:tab w:pos="786" w:val="left" w:leader="none"/>
        </w:tabs>
        <w:spacing w:line="208" w:lineRule="auto" w:before="239" w:after="0"/>
        <w:ind w:left="360" w:right="766" w:firstLine="0"/>
        <w:jc w:val="left"/>
        <w:rPr>
          <w:sz w:val="24"/>
        </w:rPr>
      </w:pPr>
      <w:r>
        <w:rPr>
          <w:b/>
          <w:sz w:val="24"/>
        </w:rPr>
        <w:t>BEP employee relationship to program participants.</w:t>
      </w:r>
      <w:r>
        <w:rPr>
          <w:b/>
          <w:spacing w:val="40"/>
          <w:sz w:val="24"/>
        </w:rPr>
        <w:t> </w:t>
      </w:r>
      <w:r>
        <w:rPr>
          <w:sz w:val="24"/>
        </w:rPr>
        <w:t>It is the policy of the SLA that BEP employees and SLA administrators with responsibility for BEP operation may not</w:t>
      </w:r>
      <w:r>
        <w:rPr>
          <w:spacing w:val="-3"/>
          <w:sz w:val="24"/>
        </w:rPr>
        <w:t> </w:t>
      </w:r>
      <w:r>
        <w:rPr>
          <w:sz w:val="24"/>
        </w:rPr>
        <w:t>be</w:t>
      </w:r>
      <w:r>
        <w:rPr>
          <w:spacing w:val="-4"/>
          <w:sz w:val="24"/>
        </w:rPr>
        <w:t> </w:t>
      </w:r>
      <w:r>
        <w:rPr>
          <w:sz w:val="24"/>
        </w:rPr>
        <w:t>placed</w:t>
      </w:r>
      <w:r>
        <w:rPr>
          <w:spacing w:val="-4"/>
          <w:sz w:val="24"/>
        </w:rPr>
        <w:t> </w:t>
      </w:r>
      <w:r>
        <w:rPr>
          <w:sz w:val="24"/>
        </w:rPr>
        <w:t>in</w:t>
      </w:r>
      <w:r>
        <w:rPr>
          <w:spacing w:val="-4"/>
          <w:sz w:val="24"/>
        </w:rPr>
        <w:t> </w:t>
      </w:r>
      <w:r>
        <w:rPr>
          <w:sz w:val="24"/>
        </w:rPr>
        <w:t>a</w:t>
      </w:r>
      <w:r>
        <w:rPr>
          <w:spacing w:val="-4"/>
          <w:sz w:val="24"/>
        </w:rPr>
        <w:t> </w:t>
      </w:r>
      <w:r>
        <w:rPr>
          <w:sz w:val="24"/>
        </w:rPr>
        <w:t>position</w:t>
      </w:r>
      <w:r>
        <w:rPr>
          <w:spacing w:val="-4"/>
          <w:sz w:val="24"/>
        </w:rPr>
        <w:t> </w:t>
      </w:r>
      <w:r>
        <w:rPr>
          <w:sz w:val="24"/>
        </w:rPr>
        <w:t>to</w:t>
      </w:r>
      <w:r>
        <w:rPr>
          <w:spacing w:val="-4"/>
          <w:sz w:val="24"/>
        </w:rPr>
        <w:t> </w:t>
      </w:r>
      <w:r>
        <w:rPr>
          <w:sz w:val="24"/>
        </w:rPr>
        <w:t>establish</w:t>
      </w:r>
      <w:r>
        <w:rPr>
          <w:spacing w:val="-4"/>
          <w:sz w:val="24"/>
        </w:rPr>
        <w:t> </w:t>
      </w:r>
      <w:r>
        <w:rPr>
          <w:sz w:val="24"/>
        </w:rPr>
        <w:t>program</w:t>
      </w:r>
      <w:r>
        <w:rPr>
          <w:spacing w:val="-3"/>
          <w:sz w:val="24"/>
        </w:rPr>
        <w:t> </w:t>
      </w:r>
      <w:r>
        <w:rPr>
          <w:sz w:val="24"/>
        </w:rPr>
        <w:t>eligibility,</w:t>
      </w:r>
      <w:r>
        <w:rPr>
          <w:spacing w:val="-3"/>
          <w:sz w:val="24"/>
        </w:rPr>
        <w:t> </w:t>
      </w:r>
      <w:r>
        <w:rPr>
          <w:sz w:val="24"/>
        </w:rPr>
        <w:t>authorize</w:t>
      </w:r>
      <w:r>
        <w:rPr>
          <w:spacing w:val="-4"/>
          <w:sz w:val="24"/>
        </w:rPr>
        <w:t> </w:t>
      </w:r>
      <w:r>
        <w:rPr>
          <w:sz w:val="24"/>
        </w:rPr>
        <w:t>program</w:t>
      </w:r>
      <w:r>
        <w:rPr>
          <w:spacing w:val="-4"/>
          <w:sz w:val="24"/>
        </w:rPr>
        <w:t> </w:t>
      </w:r>
      <w:r>
        <w:rPr>
          <w:sz w:val="24"/>
        </w:rPr>
        <w:t>services</w:t>
      </w:r>
      <w:r>
        <w:rPr>
          <w:spacing w:val="-4"/>
          <w:sz w:val="24"/>
        </w:rPr>
        <w:t> </w:t>
      </w:r>
      <w:r>
        <w:rPr>
          <w:sz w:val="24"/>
        </w:rPr>
        <w:t>or otherwise participate in program decisions for BEP applicants or participants who are related to such employees by blood or marriage.</w:t>
      </w:r>
      <w:r>
        <w:rPr>
          <w:spacing w:val="40"/>
          <w:sz w:val="24"/>
        </w:rPr>
        <w:t> </w:t>
      </w:r>
      <w:r>
        <w:rPr>
          <w:sz w:val="24"/>
        </w:rPr>
        <w:t>An employee shall immediately disclose to his/her supervisor the existence of a relation to a BEP applicant or participant.</w:t>
      </w:r>
      <w:r>
        <w:rPr>
          <w:spacing w:val="40"/>
          <w:sz w:val="24"/>
        </w:rPr>
        <w:t> </w:t>
      </w:r>
      <w:r>
        <w:rPr>
          <w:sz w:val="24"/>
        </w:rPr>
        <w:t>The BEP operations coordinator, SLA administrator or director (if appropriate) may reassign employee duties or take such other measures as are permitted under law and DRS rules to comply with this policy.</w:t>
      </w:r>
    </w:p>
    <w:p>
      <w:pPr>
        <w:pStyle w:val="ListParagraph"/>
        <w:numPr>
          <w:ilvl w:val="0"/>
          <w:numId w:val="376"/>
        </w:numPr>
        <w:tabs>
          <w:tab w:pos="773" w:val="left" w:leader="none"/>
        </w:tabs>
        <w:spacing w:line="208" w:lineRule="auto" w:before="239" w:after="0"/>
        <w:ind w:left="360" w:right="1006" w:firstLine="0"/>
        <w:jc w:val="left"/>
        <w:rPr>
          <w:b/>
          <w:sz w:val="24"/>
        </w:rPr>
      </w:pPr>
      <w:r>
        <w:rPr>
          <w:b/>
          <w:sz w:val="24"/>
        </w:rPr>
        <w:t>Conflict of interest.</w:t>
      </w:r>
      <w:r>
        <w:rPr>
          <w:b/>
          <w:spacing w:val="40"/>
          <w:sz w:val="24"/>
        </w:rPr>
        <w:t> </w:t>
      </w:r>
      <w:r>
        <w:rPr>
          <w:sz w:val="24"/>
        </w:rPr>
        <w:t>BEP employees are subject to DRS policy and Oklahoma Ethics</w:t>
      </w:r>
      <w:r>
        <w:rPr>
          <w:spacing w:val="-4"/>
          <w:sz w:val="24"/>
        </w:rPr>
        <w:t> </w:t>
      </w:r>
      <w:r>
        <w:rPr>
          <w:sz w:val="24"/>
        </w:rPr>
        <w:t>Commission</w:t>
      </w:r>
      <w:r>
        <w:rPr>
          <w:spacing w:val="-4"/>
          <w:sz w:val="24"/>
        </w:rPr>
        <w:t> </w:t>
      </w:r>
      <w:r>
        <w:rPr>
          <w:sz w:val="24"/>
        </w:rPr>
        <w:t>rules</w:t>
      </w:r>
      <w:r>
        <w:rPr>
          <w:spacing w:val="-4"/>
          <w:sz w:val="24"/>
        </w:rPr>
        <w:t> </w:t>
      </w:r>
      <w:r>
        <w:rPr>
          <w:sz w:val="24"/>
        </w:rPr>
        <w:t>regarding</w:t>
      </w:r>
      <w:r>
        <w:rPr>
          <w:spacing w:val="-4"/>
          <w:sz w:val="24"/>
        </w:rPr>
        <w:t> </w:t>
      </w:r>
      <w:r>
        <w:rPr>
          <w:sz w:val="24"/>
        </w:rPr>
        <w:t>use</w:t>
      </w:r>
      <w:r>
        <w:rPr>
          <w:spacing w:val="-4"/>
          <w:sz w:val="24"/>
        </w:rPr>
        <w:t> </w:t>
      </w:r>
      <w:r>
        <w:rPr>
          <w:sz w:val="24"/>
        </w:rPr>
        <w:t>of</w:t>
      </w:r>
      <w:r>
        <w:rPr>
          <w:spacing w:val="-3"/>
          <w:sz w:val="24"/>
        </w:rPr>
        <w:t> </w:t>
      </w:r>
      <w:r>
        <w:rPr>
          <w:sz w:val="24"/>
        </w:rPr>
        <w:t>position</w:t>
      </w:r>
      <w:r>
        <w:rPr>
          <w:spacing w:val="-4"/>
          <w:sz w:val="24"/>
        </w:rPr>
        <w:t> </w:t>
      </w:r>
      <w:r>
        <w:rPr>
          <w:sz w:val="24"/>
        </w:rPr>
        <w:t>for</w:t>
      </w:r>
      <w:r>
        <w:rPr>
          <w:spacing w:val="-3"/>
          <w:sz w:val="24"/>
        </w:rPr>
        <w:t> </w:t>
      </w:r>
      <w:r>
        <w:rPr>
          <w:sz w:val="24"/>
        </w:rPr>
        <w:t>personal</w:t>
      </w:r>
      <w:r>
        <w:rPr>
          <w:spacing w:val="-4"/>
          <w:sz w:val="24"/>
        </w:rPr>
        <w:t> </w:t>
      </w:r>
      <w:r>
        <w:rPr>
          <w:sz w:val="24"/>
        </w:rPr>
        <w:t>gain</w:t>
      </w:r>
      <w:r>
        <w:rPr>
          <w:spacing w:val="-4"/>
          <w:sz w:val="24"/>
        </w:rPr>
        <w:t> </w:t>
      </w:r>
      <w:r>
        <w:rPr>
          <w:sz w:val="24"/>
        </w:rPr>
        <w:t>and</w:t>
      </w:r>
      <w:r>
        <w:rPr>
          <w:spacing w:val="-4"/>
          <w:sz w:val="24"/>
        </w:rPr>
        <w:t> </w:t>
      </w:r>
      <w:r>
        <w:rPr>
          <w:sz w:val="24"/>
        </w:rPr>
        <w:t>avoidance</w:t>
      </w:r>
      <w:r>
        <w:rPr>
          <w:spacing w:val="-4"/>
          <w:sz w:val="24"/>
        </w:rPr>
        <w:t> </w:t>
      </w:r>
      <w:r>
        <w:rPr>
          <w:sz w:val="24"/>
        </w:rPr>
        <w:t>of conflicts of interest. </w:t>
      </w:r>
      <w:r>
        <w:rPr>
          <w:b/>
          <w:sz w:val="24"/>
        </w:rPr>
        <w:t>2</w:t>
      </w:r>
    </w:p>
    <w:p>
      <w:pPr>
        <w:pStyle w:val="BodyText"/>
        <w:spacing w:before="211"/>
        <w:ind w:left="359"/>
      </w:pPr>
      <w:r>
        <w:rPr/>
        <w:t>Instructions</w:t>
      </w:r>
      <w:r>
        <w:rPr>
          <w:spacing w:val="-5"/>
        </w:rPr>
        <w:t> </w:t>
      </w:r>
      <w:r>
        <w:rPr/>
        <w:t>to</w:t>
      </w:r>
      <w:r>
        <w:rPr>
          <w:spacing w:val="-2"/>
        </w:rPr>
        <w:t> </w:t>
      </w:r>
      <w:r>
        <w:rPr>
          <w:spacing w:val="-4"/>
        </w:rPr>
        <w:t>Staff</w:t>
      </w:r>
    </w:p>
    <w:p>
      <w:pPr>
        <w:pStyle w:val="ListParagraph"/>
        <w:numPr>
          <w:ilvl w:val="1"/>
          <w:numId w:val="376"/>
        </w:numPr>
        <w:tabs>
          <w:tab w:pos="1124" w:val="left" w:leader="none"/>
        </w:tabs>
        <w:spacing w:line="240" w:lineRule="auto" w:before="204" w:after="0"/>
        <w:ind w:left="1124" w:right="0" w:hanging="333"/>
        <w:jc w:val="left"/>
        <w:rPr>
          <w:sz w:val="24"/>
        </w:rPr>
      </w:pPr>
      <w:r>
        <w:rPr>
          <w:sz w:val="24"/>
        </w:rPr>
        <w:t>Link</w:t>
      </w:r>
      <w:r>
        <w:rPr>
          <w:spacing w:val="-3"/>
          <w:sz w:val="24"/>
        </w:rPr>
        <w:t> </w:t>
      </w:r>
      <w:hyperlink w:history="true" w:anchor="_bookmark1">
        <w:r>
          <w:rPr>
            <w:color w:val="0000FF"/>
            <w:sz w:val="24"/>
            <w:u w:val="single" w:color="0000FF"/>
          </w:rPr>
          <w:t>612:3-3-20</w:t>
        </w:r>
      </w:hyperlink>
      <w:r>
        <w:rPr>
          <w:sz w:val="24"/>
          <w:u w:val="none"/>
        </w:rPr>
        <w:t>.</w:t>
      </w:r>
      <w:r>
        <w:rPr>
          <w:spacing w:val="62"/>
          <w:sz w:val="24"/>
          <w:u w:val="none"/>
        </w:rPr>
        <w:t> </w:t>
      </w:r>
      <w:r>
        <w:rPr>
          <w:sz w:val="24"/>
          <w:u w:val="none"/>
        </w:rPr>
        <w:t>See</w:t>
      </w:r>
      <w:r>
        <w:rPr>
          <w:spacing w:val="-3"/>
          <w:sz w:val="24"/>
          <w:u w:val="none"/>
        </w:rPr>
        <w:t> </w:t>
      </w:r>
      <w:r>
        <w:rPr>
          <w:sz w:val="24"/>
          <w:u w:val="none"/>
        </w:rPr>
        <w:t>(h)</w:t>
      </w:r>
      <w:r>
        <w:rPr>
          <w:spacing w:val="-1"/>
          <w:sz w:val="24"/>
          <w:u w:val="none"/>
        </w:rPr>
        <w:t> </w:t>
      </w:r>
      <w:r>
        <w:rPr>
          <w:sz w:val="24"/>
          <w:u w:val="none"/>
        </w:rPr>
        <w:t>and</w:t>
      </w:r>
      <w:r>
        <w:rPr>
          <w:spacing w:val="-3"/>
          <w:sz w:val="24"/>
          <w:u w:val="none"/>
        </w:rPr>
        <w:t> </w:t>
      </w:r>
      <w:r>
        <w:rPr>
          <w:spacing w:val="-5"/>
          <w:sz w:val="24"/>
          <w:u w:val="none"/>
        </w:rPr>
        <w:t>(i)</w:t>
      </w:r>
    </w:p>
    <w:p>
      <w:pPr>
        <w:pStyle w:val="ListParagraph"/>
        <w:numPr>
          <w:ilvl w:val="1"/>
          <w:numId w:val="376"/>
        </w:numPr>
        <w:tabs>
          <w:tab w:pos="1125" w:val="left" w:leader="none"/>
        </w:tabs>
        <w:spacing w:line="208" w:lineRule="auto" w:before="233" w:after="0"/>
        <w:ind w:left="792" w:right="816" w:firstLine="0"/>
        <w:jc w:val="left"/>
        <w:rPr>
          <w:sz w:val="24"/>
        </w:rPr>
      </w:pPr>
      <w:r>
        <w:rPr>
          <w:sz w:val="24"/>
        </w:rPr>
        <w:t>74</w:t>
      </w:r>
      <w:r>
        <w:rPr>
          <w:spacing w:val="-4"/>
          <w:sz w:val="24"/>
        </w:rPr>
        <w:t> </w:t>
      </w:r>
      <w:r>
        <w:rPr>
          <w:sz w:val="24"/>
        </w:rPr>
        <w:t>OS</w:t>
      </w:r>
      <w:r>
        <w:rPr>
          <w:spacing w:val="-5"/>
          <w:sz w:val="24"/>
        </w:rPr>
        <w:t> </w:t>
      </w:r>
      <w:r>
        <w:rPr>
          <w:sz w:val="24"/>
        </w:rPr>
        <w:t>Chapter</w:t>
      </w:r>
      <w:r>
        <w:rPr>
          <w:spacing w:val="-3"/>
          <w:sz w:val="24"/>
        </w:rPr>
        <w:t> </w:t>
      </w:r>
      <w:r>
        <w:rPr>
          <w:sz w:val="24"/>
        </w:rPr>
        <w:t>62</w:t>
      </w:r>
      <w:r>
        <w:rPr>
          <w:spacing w:val="-3"/>
          <w:sz w:val="24"/>
        </w:rPr>
        <w:t> </w:t>
      </w:r>
      <w:r>
        <w:rPr>
          <w:sz w:val="24"/>
        </w:rPr>
        <w:t>Appendix</w:t>
      </w:r>
      <w:r>
        <w:rPr>
          <w:spacing w:val="-4"/>
          <w:sz w:val="24"/>
        </w:rPr>
        <w:t> </w:t>
      </w:r>
      <w:r>
        <w:rPr>
          <w:sz w:val="24"/>
        </w:rPr>
        <w:t>-</w:t>
      </w:r>
      <w:r>
        <w:rPr>
          <w:spacing w:val="-4"/>
          <w:sz w:val="24"/>
        </w:rPr>
        <w:t> </w:t>
      </w:r>
      <w:r>
        <w:rPr>
          <w:sz w:val="24"/>
        </w:rPr>
        <w:t>Title</w:t>
      </w:r>
      <w:r>
        <w:rPr>
          <w:spacing w:val="-4"/>
          <w:sz w:val="24"/>
        </w:rPr>
        <w:t> </w:t>
      </w:r>
      <w:r>
        <w:rPr>
          <w:sz w:val="24"/>
        </w:rPr>
        <w:t>257.</w:t>
      </w:r>
      <w:r>
        <w:rPr>
          <w:spacing w:val="-3"/>
          <w:sz w:val="24"/>
        </w:rPr>
        <w:t> </w:t>
      </w:r>
      <w:r>
        <w:rPr>
          <w:sz w:val="24"/>
        </w:rPr>
        <w:t>Ethics</w:t>
      </w:r>
      <w:r>
        <w:rPr>
          <w:spacing w:val="-4"/>
          <w:sz w:val="24"/>
        </w:rPr>
        <w:t> </w:t>
      </w:r>
      <w:r>
        <w:rPr>
          <w:sz w:val="24"/>
        </w:rPr>
        <w:t>Commission,</w:t>
      </w:r>
      <w:r>
        <w:rPr>
          <w:spacing w:val="-3"/>
          <w:sz w:val="24"/>
        </w:rPr>
        <w:t> </w:t>
      </w:r>
      <w:r>
        <w:rPr>
          <w:sz w:val="24"/>
        </w:rPr>
        <w:t>Chapter</w:t>
      </w:r>
      <w:r>
        <w:rPr>
          <w:spacing w:val="-3"/>
          <w:sz w:val="24"/>
        </w:rPr>
        <w:t> </w:t>
      </w:r>
      <w:r>
        <w:rPr>
          <w:sz w:val="24"/>
        </w:rPr>
        <w:t>20</w:t>
      </w:r>
      <w:r>
        <w:rPr>
          <w:spacing w:val="-4"/>
          <w:sz w:val="24"/>
        </w:rPr>
        <w:t> </w:t>
      </w:r>
      <w:r>
        <w:rPr>
          <w:sz w:val="24"/>
        </w:rPr>
        <w:t>-</w:t>
      </w:r>
      <w:r>
        <w:rPr>
          <w:spacing w:val="-4"/>
          <w:sz w:val="24"/>
        </w:rPr>
        <w:t> </w:t>
      </w:r>
      <w:r>
        <w:rPr>
          <w:sz w:val="24"/>
        </w:rPr>
        <w:t>Ethics and Conflicts of Interest, Standard 257 20-1-1 and following.</w:t>
      </w:r>
      <w:r>
        <w:rPr>
          <w:spacing w:val="40"/>
          <w:sz w:val="24"/>
        </w:rPr>
        <w:t> </w:t>
      </w:r>
      <w:r>
        <w:rPr>
          <w:sz w:val="24"/>
        </w:rPr>
        <w:t>Link to </w:t>
      </w:r>
      <w:hyperlink w:history="true" w:anchor="_bookmark1">
        <w:r>
          <w:rPr>
            <w:color w:val="0000FF"/>
            <w:sz w:val="24"/>
            <w:u w:val="single" w:color="0000FF"/>
          </w:rPr>
          <w:t>612:3-3-20</w:t>
        </w:r>
      </w:hyperlink>
      <w:r>
        <w:rPr>
          <w:sz w:val="24"/>
          <w:u w:val="none"/>
        </w:rPr>
        <w:t>.</w:t>
      </w:r>
    </w:p>
    <w:p>
      <w:pPr>
        <w:pStyle w:val="BodyText"/>
        <w:spacing w:line="208" w:lineRule="auto"/>
        <w:ind w:left="791" w:right="759"/>
      </w:pPr>
      <w:r>
        <w:rPr/>
        <w:t>The</w:t>
      </w:r>
      <w:r>
        <w:rPr>
          <w:spacing w:val="-2"/>
        </w:rPr>
        <w:t> </w:t>
      </w:r>
      <w:r>
        <w:rPr/>
        <w:t>Department</w:t>
      </w:r>
      <w:r>
        <w:rPr>
          <w:spacing w:val="-1"/>
        </w:rPr>
        <w:t> </w:t>
      </w:r>
      <w:r>
        <w:rPr/>
        <w:t>of</w:t>
      </w:r>
      <w:r>
        <w:rPr>
          <w:spacing w:val="-1"/>
        </w:rPr>
        <w:t> </w:t>
      </w:r>
      <w:r>
        <w:rPr/>
        <w:t>Rehabilitation</w:t>
      </w:r>
      <w:r>
        <w:rPr>
          <w:spacing w:val="-1"/>
        </w:rPr>
        <w:t> </w:t>
      </w:r>
      <w:r>
        <w:rPr/>
        <w:t>Services</w:t>
      </w:r>
      <w:r>
        <w:rPr>
          <w:spacing w:val="-2"/>
        </w:rPr>
        <w:t> </w:t>
      </w:r>
      <w:r>
        <w:rPr/>
        <w:t>(DRS)</w:t>
      </w:r>
      <w:r>
        <w:rPr>
          <w:spacing w:val="-1"/>
        </w:rPr>
        <w:t> </w:t>
      </w:r>
      <w:r>
        <w:rPr/>
        <w:t>has</w:t>
      </w:r>
      <w:r>
        <w:rPr>
          <w:spacing w:val="-2"/>
        </w:rPr>
        <w:t> </w:t>
      </w:r>
      <w:r>
        <w:rPr/>
        <w:t>an</w:t>
      </w:r>
      <w:r>
        <w:rPr>
          <w:spacing w:val="-2"/>
        </w:rPr>
        <w:t> </w:t>
      </w:r>
      <w:r>
        <w:rPr/>
        <w:t>obligation</w:t>
      </w:r>
      <w:r>
        <w:rPr>
          <w:spacing w:val="-2"/>
        </w:rPr>
        <w:t> </w:t>
      </w:r>
      <w:r>
        <w:rPr/>
        <w:t>under</w:t>
      </w:r>
      <w:r>
        <w:rPr>
          <w:spacing w:val="-1"/>
        </w:rPr>
        <w:t> </w:t>
      </w:r>
      <w:r>
        <w:rPr/>
        <w:t>state</w:t>
      </w:r>
      <w:r>
        <w:rPr>
          <w:spacing w:val="-2"/>
        </w:rPr>
        <w:t> </w:t>
      </w:r>
      <w:r>
        <w:rPr/>
        <w:t>and federal law to provide services in a fair and impartial manner.</w:t>
      </w:r>
      <w:r>
        <w:rPr>
          <w:spacing w:val="40"/>
        </w:rPr>
        <w:t> </w:t>
      </w:r>
      <w:r>
        <w:rPr/>
        <w:t>State Ethics Commission</w:t>
      </w:r>
      <w:r>
        <w:rPr>
          <w:spacing w:val="-3"/>
        </w:rPr>
        <w:t> </w:t>
      </w:r>
      <w:r>
        <w:rPr/>
        <w:t>Rules</w:t>
      </w:r>
      <w:r>
        <w:rPr>
          <w:spacing w:val="-3"/>
        </w:rPr>
        <w:t> </w:t>
      </w:r>
      <w:r>
        <w:rPr/>
        <w:t>state</w:t>
      </w:r>
      <w:r>
        <w:rPr>
          <w:spacing w:val="-3"/>
        </w:rPr>
        <w:t> </w:t>
      </w:r>
      <w:r>
        <w:rPr/>
        <w:t>that</w:t>
      </w:r>
      <w:r>
        <w:rPr>
          <w:spacing w:val="-4"/>
        </w:rPr>
        <w:t> </w:t>
      </w:r>
      <w:r>
        <w:rPr/>
        <w:t>the</w:t>
      </w:r>
      <w:r>
        <w:rPr>
          <w:spacing w:val="-4"/>
        </w:rPr>
        <w:t> </w:t>
      </w:r>
      <w:r>
        <w:rPr/>
        <w:t>proper</w:t>
      </w:r>
      <w:r>
        <w:rPr>
          <w:spacing w:val="-2"/>
        </w:rPr>
        <w:t> </w:t>
      </w:r>
      <w:r>
        <w:rPr/>
        <w:t>operation</w:t>
      </w:r>
      <w:r>
        <w:rPr>
          <w:spacing w:val="-3"/>
        </w:rPr>
        <w:t> </w:t>
      </w:r>
      <w:r>
        <w:rPr/>
        <w:t>of</w:t>
      </w:r>
      <w:r>
        <w:rPr>
          <w:spacing w:val="-2"/>
        </w:rPr>
        <w:t> </w:t>
      </w:r>
      <w:r>
        <w:rPr/>
        <w:t>state</w:t>
      </w:r>
      <w:r>
        <w:rPr>
          <w:spacing w:val="-3"/>
        </w:rPr>
        <w:t> </w:t>
      </w:r>
      <w:r>
        <w:rPr/>
        <w:t>government</w:t>
      </w:r>
      <w:r>
        <w:rPr>
          <w:spacing w:val="-2"/>
        </w:rPr>
        <w:t> </w:t>
      </w:r>
      <w:r>
        <w:rPr/>
        <w:t>requires</w:t>
      </w:r>
      <w:r>
        <w:rPr>
          <w:spacing w:val="-3"/>
        </w:rPr>
        <w:t> </w:t>
      </w:r>
      <w:r>
        <w:rPr/>
        <w:t>that the state employee be independent and impartial; that state employees not use state</w:t>
      </w:r>
      <w:r>
        <w:rPr>
          <w:spacing w:val="-3"/>
        </w:rPr>
        <w:t> </w:t>
      </w:r>
      <w:r>
        <w:rPr/>
        <w:t>office</w:t>
      </w:r>
      <w:r>
        <w:rPr>
          <w:spacing w:val="-3"/>
        </w:rPr>
        <w:t> </w:t>
      </w:r>
      <w:r>
        <w:rPr/>
        <w:t>to</w:t>
      </w:r>
      <w:r>
        <w:rPr>
          <w:spacing w:val="-3"/>
        </w:rPr>
        <w:t> </w:t>
      </w:r>
      <w:r>
        <w:rPr/>
        <w:t>obtain</w:t>
      </w:r>
      <w:r>
        <w:rPr>
          <w:spacing w:val="-3"/>
        </w:rPr>
        <w:t> </w:t>
      </w:r>
      <w:r>
        <w:rPr/>
        <w:t>private</w:t>
      </w:r>
      <w:r>
        <w:rPr>
          <w:spacing w:val="-3"/>
        </w:rPr>
        <w:t> </w:t>
      </w:r>
      <w:r>
        <w:rPr/>
        <w:t>benefits;</w:t>
      </w:r>
      <w:r>
        <w:rPr>
          <w:spacing w:val="-4"/>
        </w:rPr>
        <w:t> </w:t>
      </w:r>
      <w:r>
        <w:rPr/>
        <w:t>that</w:t>
      </w:r>
      <w:r>
        <w:rPr>
          <w:spacing w:val="-2"/>
        </w:rPr>
        <w:t> </w:t>
      </w:r>
      <w:r>
        <w:rPr/>
        <w:t>a</w:t>
      </w:r>
      <w:r>
        <w:rPr>
          <w:spacing w:val="-3"/>
        </w:rPr>
        <w:t> </w:t>
      </w:r>
      <w:r>
        <w:rPr/>
        <w:t>state</w:t>
      </w:r>
      <w:r>
        <w:rPr>
          <w:spacing w:val="-3"/>
        </w:rPr>
        <w:t> </w:t>
      </w:r>
      <w:r>
        <w:rPr/>
        <w:t>employee</w:t>
      </w:r>
      <w:r>
        <w:rPr>
          <w:spacing w:val="-3"/>
        </w:rPr>
        <w:t> </w:t>
      </w:r>
      <w:r>
        <w:rPr/>
        <w:t>must</w:t>
      </w:r>
      <w:r>
        <w:rPr>
          <w:spacing w:val="-2"/>
        </w:rPr>
        <w:t> </w:t>
      </w:r>
      <w:r>
        <w:rPr/>
        <w:t>avoid</w:t>
      </w:r>
      <w:r>
        <w:rPr>
          <w:spacing w:val="-3"/>
        </w:rPr>
        <w:t> </w:t>
      </w:r>
      <w:r>
        <w:rPr/>
        <w:t>action</w:t>
      </w:r>
      <w:r>
        <w:rPr>
          <w:spacing w:val="-2"/>
        </w:rPr>
        <w:t> </w:t>
      </w:r>
      <w:r>
        <w:rPr/>
        <w:t>which creates the appearance of using state office to obtain a private or inappropriate benefit; and that state employees exercise their powers without prejudice or </w:t>
      </w:r>
      <w:r>
        <w:rPr>
          <w:spacing w:val="-2"/>
        </w:rPr>
        <w:t>favoritism.</w:t>
      </w:r>
    </w:p>
    <w:p>
      <w:pPr>
        <w:spacing w:before="243"/>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284"/>
        </w:numPr>
        <w:tabs>
          <w:tab w:pos="1439" w:val="left" w:leader="none"/>
        </w:tabs>
        <w:spacing w:line="253" w:lineRule="exact" w:before="0" w:after="0"/>
        <w:ind w:left="1439" w:right="0" w:hanging="1079"/>
        <w:jc w:val="left"/>
        <w:rPr>
          <w:sz w:val="22"/>
        </w:rPr>
      </w:pPr>
      <w:r>
        <w:rPr>
          <w:sz w:val="22"/>
        </w:rPr>
        <w:t>Permanent,</w:t>
      </w:r>
      <w:r>
        <w:rPr>
          <w:spacing w:val="-8"/>
          <w:sz w:val="22"/>
        </w:rPr>
        <w:t> </w:t>
      </w:r>
      <w:r>
        <w:rPr>
          <w:sz w:val="22"/>
        </w:rPr>
        <w:t>new</w:t>
      </w:r>
      <w:r>
        <w:rPr>
          <w:spacing w:val="-10"/>
          <w:sz w:val="22"/>
        </w:rPr>
        <w:t> </w:t>
      </w:r>
      <w:r>
        <w:rPr>
          <w:spacing w:val="-2"/>
          <w:sz w:val="22"/>
        </w:rPr>
        <w:t>Section</w:t>
      </w:r>
    </w:p>
    <w:p>
      <w:pPr>
        <w:tabs>
          <w:tab w:pos="1439" w:val="left" w:leader="none"/>
        </w:tabs>
        <w:spacing w:line="253" w:lineRule="exact" w:before="0"/>
        <w:ind w:left="360" w:right="0" w:firstLine="0"/>
        <w:jc w:val="left"/>
        <w:rPr>
          <w:sz w:val="22"/>
        </w:rPr>
      </w:pPr>
      <w:r>
        <w:rPr>
          <w:spacing w:val="-2"/>
          <w:sz w:val="22"/>
        </w:rPr>
        <w:t>9-11-</w:t>
      </w:r>
      <w:r>
        <w:rPr>
          <w:spacing w:val="-5"/>
          <w:sz w:val="22"/>
        </w:rPr>
        <w:t>22</w:t>
      </w:r>
      <w:r>
        <w:rPr>
          <w:sz w:val="22"/>
        </w:rPr>
        <w:tab/>
        <w:t>Updated</w:t>
      </w:r>
      <w:r>
        <w:rPr>
          <w:spacing w:val="-8"/>
          <w:sz w:val="22"/>
        </w:rPr>
        <w:t> </w:t>
      </w:r>
      <w:r>
        <w:rPr>
          <w:sz w:val="22"/>
        </w:rPr>
        <w:t>ITS</w:t>
      </w:r>
      <w:r>
        <w:rPr>
          <w:spacing w:val="-8"/>
          <w:sz w:val="22"/>
        </w:rPr>
        <w:t> </w:t>
      </w:r>
      <w:r>
        <w:rPr>
          <w:sz w:val="22"/>
        </w:rPr>
        <w:t>instruction</w:t>
      </w:r>
      <w:r>
        <w:rPr>
          <w:spacing w:val="-8"/>
          <w:sz w:val="22"/>
        </w:rPr>
        <w:t> </w:t>
      </w:r>
      <w:r>
        <w:rPr>
          <w:spacing w:val="-5"/>
          <w:sz w:val="22"/>
        </w:rPr>
        <w:t>#2</w:t>
      </w:r>
    </w:p>
    <w:p>
      <w:pPr>
        <w:spacing w:after="0" w:line="253" w:lineRule="exact"/>
        <w:jc w:val="left"/>
        <w:rPr>
          <w:sz w:val="22"/>
        </w:rPr>
        <w:sectPr>
          <w:pgSz w:w="12240" w:h="15840"/>
          <w:pgMar w:top="1340" w:bottom="280" w:left="1080" w:right="720"/>
        </w:sectPr>
      </w:pPr>
    </w:p>
    <w:p>
      <w:pPr>
        <w:pStyle w:val="Heading1"/>
      </w:pPr>
      <w:bookmarkStart w:name="SUBCHAPTER 4. THE STATE LICENSING AGENCY" w:id="388"/>
      <w:bookmarkEnd w:id="388"/>
      <w:r>
        <w:rPr>
          <w:b w:val="0"/>
        </w:rPr>
      </w:r>
      <w:r>
        <w:rPr/>
        <w:t>SUBCHAPTER</w:t>
      </w:r>
      <w:r>
        <w:rPr>
          <w:spacing w:val="-3"/>
        </w:rPr>
        <w:t> </w:t>
      </w:r>
      <w:r>
        <w:rPr/>
        <w:t>4.</w:t>
      </w:r>
      <w:r>
        <w:rPr>
          <w:spacing w:val="-4"/>
        </w:rPr>
        <w:t> </w:t>
      </w:r>
      <w:r>
        <w:rPr/>
        <w:t>THE</w:t>
      </w:r>
      <w:r>
        <w:rPr>
          <w:spacing w:val="-2"/>
        </w:rPr>
        <w:t> </w:t>
      </w:r>
      <w:r>
        <w:rPr/>
        <w:t>STATE</w:t>
      </w:r>
      <w:r>
        <w:rPr>
          <w:spacing w:val="-3"/>
        </w:rPr>
        <w:t> </w:t>
      </w:r>
      <w:r>
        <w:rPr/>
        <w:t>LICENSING</w:t>
      </w:r>
      <w:r>
        <w:rPr>
          <w:spacing w:val="-1"/>
        </w:rPr>
        <w:t> </w:t>
      </w:r>
      <w:r>
        <w:rPr>
          <w:spacing w:val="-2"/>
        </w:rPr>
        <w:t>AGENCY</w:t>
      </w:r>
    </w:p>
    <w:p>
      <w:pPr>
        <w:spacing w:before="204"/>
        <w:ind w:left="420" w:right="778" w:firstLine="0"/>
        <w:jc w:val="center"/>
        <w:rPr>
          <w:b/>
          <w:sz w:val="24"/>
        </w:rPr>
      </w:pPr>
      <w:r>
        <w:rPr>
          <w:b/>
          <w:sz w:val="24"/>
        </w:rPr>
        <w:t>PART</w:t>
      </w:r>
      <w:r>
        <w:rPr>
          <w:b/>
          <w:spacing w:val="-5"/>
          <w:sz w:val="24"/>
        </w:rPr>
        <w:t> </w:t>
      </w:r>
      <w:r>
        <w:rPr>
          <w:b/>
          <w:sz w:val="24"/>
        </w:rPr>
        <w:t>1.</w:t>
      </w:r>
      <w:r>
        <w:rPr>
          <w:b/>
          <w:spacing w:val="-4"/>
          <w:sz w:val="24"/>
        </w:rPr>
        <w:t> </w:t>
      </w:r>
      <w:r>
        <w:rPr>
          <w:b/>
          <w:sz w:val="24"/>
        </w:rPr>
        <w:t>ORGANIZATION</w:t>
      </w:r>
      <w:r>
        <w:rPr>
          <w:b/>
          <w:spacing w:val="-3"/>
          <w:sz w:val="24"/>
        </w:rPr>
        <w:t> </w:t>
      </w:r>
      <w:r>
        <w:rPr>
          <w:b/>
          <w:sz w:val="24"/>
        </w:rPr>
        <w:t>AND</w:t>
      </w:r>
      <w:r>
        <w:rPr>
          <w:b/>
          <w:spacing w:val="-4"/>
          <w:sz w:val="24"/>
        </w:rPr>
        <w:t> </w:t>
      </w:r>
      <w:r>
        <w:rPr>
          <w:b/>
          <w:sz w:val="24"/>
        </w:rPr>
        <w:t>GENERAL</w:t>
      </w:r>
      <w:r>
        <w:rPr>
          <w:b/>
          <w:spacing w:val="-2"/>
          <w:sz w:val="24"/>
        </w:rPr>
        <w:t> </w:t>
      </w:r>
      <w:r>
        <w:rPr>
          <w:b/>
          <w:sz w:val="24"/>
        </w:rPr>
        <w:t>OPERATION</w:t>
      </w:r>
      <w:r>
        <w:rPr>
          <w:b/>
          <w:spacing w:val="-3"/>
          <w:sz w:val="24"/>
        </w:rPr>
        <w:t> </w:t>
      </w:r>
      <w:r>
        <w:rPr>
          <w:b/>
          <w:spacing w:val="-2"/>
          <w:sz w:val="24"/>
        </w:rPr>
        <w:t>STANDARDS</w:t>
      </w:r>
    </w:p>
    <w:p>
      <w:pPr>
        <w:pStyle w:val="BodyText"/>
        <w:spacing w:before="204"/>
      </w:pPr>
      <w:r>
        <w:rPr>
          <w:spacing w:val="-2"/>
        </w:rPr>
        <w:t>Section</w:t>
      </w:r>
    </w:p>
    <w:p>
      <w:pPr>
        <w:pStyle w:val="BodyText"/>
        <w:tabs>
          <w:tab w:pos="2519" w:val="left" w:leader="none"/>
        </w:tabs>
        <w:spacing w:before="204"/>
      </w:pPr>
      <w:r>
        <w:rPr>
          <w:spacing w:val="-2"/>
        </w:rPr>
        <w:t>612:25-4-</w:t>
      </w:r>
      <w:r>
        <w:rPr>
          <w:spacing w:val="-5"/>
        </w:rPr>
        <w:t>1.</w:t>
      </w:r>
      <w:r>
        <w:rPr/>
        <w:tab/>
        <w:t>Organization</w:t>
      </w:r>
      <w:r>
        <w:rPr>
          <w:spacing w:val="-6"/>
        </w:rPr>
        <w:t> </w:t>
      </w:r>
      <w:r>
        <w:rPr/>
        <w:t>of</w:t>
      </w:r>
      <w:r>
        <w:rPr>
          <w:spacing w:val="-2"/>
        </w:rPr>
        <w:t> </w:t>
      </w:r>
      <w:r>
        <w:rPr/>
        <w:t>the</w:t>
      </w:r>
      <w:r>
        <w:rPr>
          <w:spacing w:val="-3"/>
        </w:rPr>
        <w:t> </w:t>
      </w:r>
      <w:r>
        <w:rPr/>
        <w:t>State</w:t>
      </w:r>
      <w:r>
        <w:rPr>
          <w:spacing w:val="-3"/>
        </w:rPr>
        <w:t> </w:t>
      </w:r>
      <w:r>
        <w:rPr/>
        <w:t>Licensing</w:t>
      </w:r>
      <w:r>
        <w:rPr>
          <w:spacing w:val="-3"/>
        </w:rPr>
        <w:t> </w:t>
      </w:r>
      <w:r>
        <w:rPr>
          <w:spacing w:val="-2"/>
        </w:rPr>
        <w:t>Agency</w:t>
      </w:r>
    </w:p>
    <w:p>
      <w:pPr>
        <w:pStyle w:val="BodyText"/>
        <w:tabs>
          <w:tab w:pos="2519" w:val="left" w:leader="none"/>
        </w:tabs>
        <w:spacing w:before="204"/>
      </w:pPr>
      <w:r>
        <w:rPr>
          <w:spacing w:val="-2"/>
        </w:rPr>
        <w:t>612:25-4-</w:t>
      </w:r>
      <w:r>
        <w:rPr>
          <w:spacing w:val="-5"/>
        </w:rPr>
        <w:t>4.</w:t>
      </w:r>
      <w:r>
        <w:rPr/>
        <w:tab/>
        <w:t>Management</w:t>
      </w:r>
      <w:r>
        <w:rPr>
          <w:spacing w:val="-5"/>
        </w:rPr>
        <w:t> </w:t>
      </w:r>
      <w:r>
        <w:rPr/>
        <w:t>services</w:t>
      </w:r>
      <w:r>
        <w:rPr>
          <w:spacing w:val="-4"/>
        </w:rPr>
        <w:t> </w:t>
      </w:r>
      <w:r>
        <w:rPr/>
        <w:t>provided</w:t>
      </w:r>
      <w:r>
        <w:rPr>
          <w:spacing w:val="-3"/>
        </w:rPr>
        <w:t> </w:t>
      </w:r>
      <w:r>
        <w:rPr/>
        <w:t>by</w:t>
      </w:r>
      <w:r>
        <w:rPr>
          <w:spacing w:val="-3"/>
        </w:rPr>
        <w:t> </w:t>
      </w:r>
      <w:r>
        <w:rPr/>
        <w:t>the</w:t>
      </w:r>
      <w:r>
        <w:rPr>
          <w:spacing w:val="-3"/>
        </w:rPr>
        <w:t> </w:t>
      </w:r>
      <w:r>
        <w:rPr/>
        <w:t>State</w:t>
      </w:r>
      <w:r>
        <w:rPr>
          <w:spacing w:val="-4"/>
        </w:rPr>
        <w:t> </w:t>
      </w:r>
      <w:r>
        <w:rPr/>
        <w:t>Licensing</w:t>
      </w:r>
      <w:r>
        <w:rPr>
          <w:spacing w:val="-2"/>
        </w:rPr>
        <w:t> Agency</w:t>
      </w:r>
    </w:p>
    <w:p>
      <w:pPr>
        <w:pStyle w:val="Heading1"/>
        <w:spacing w:before="204"/>
      </w:pPr>
      <w:r>
        <w:rPr/>
        <w:t>PART</w:t>
      </w:r>
      <w:r>
        <w:rPr>
          <w:spacing w:val="-5"/>
        </w:rPr>
        <w:t> </w:t>
      </w:r>
      <w:r>
        <w:rPr/>
        <w:t>3.</w:t>
      </w:r>
      <w:r>
        <w:rPr>
          <w:spacing w:val="-4"/>
        </w:rPr>
        <w:t> </w:t>
      </w:r>
      <w:r>
        <w:rPr/>
        <w:t>BUSINESS</w:t>
      </w:r>
      <w:r>
        <w:rPr>
          <w:spacing w:val="-2"/>
        </w:rPr>
        <w:t> </w:t>
      </w:r>
      <w:r>
        <w:rPr/>
        <w:t>ENTERPRISE</w:t>
      </w:r>
      <w:r>
        <w:rPr>
          <w:spacing w:val="-3"/>
        </w:rPr>
        <w:t> </w:t>
      </w:r>
      <w:r>
        <w:rPr/>
        <w:t>PROGRAM</w:t>
      </w:r>
      <w:r>
        <w:rPr>
          <w:spacing w:val="-4"/>
        </w:rPr>
        <w:t> </w:t>
      </w:r>
      <w:r>
        <w:rPr>
          <w:spacing w:val="-2"/>
        </w:rPr>
        <w:t>TRAINING</w:t>
      </w:r>
    </w:p>
    <w:p>
      <w:pPr>
        <w:pStyle w:val="BodyText"/>
        <w:spacing w:before="204"/>
      </w:pPr>
      <w:r>
        <w:rPr>
          <w:spacing w:val="-2"/>
        </w:rPr>
        <w:t>Section</w:t>
      </w:r>
    </w:p>
    <w:p>
      <w:pPr>
        <w:pStyle w:val="BodyText"/>
        <w:tabs>
          <w:tab w:pos="2519" w:val="left" w:leader="none"/>
        </w:tabs>
        <w:spacing w:line="417" w:lineRule="auto" w:before="204"/>
        <w:ind w:right="2863"/>
      </w:pPr>
      <w:r>
        <w:rPr>
          <w:spacing w:val="-2"/>
        </w:rPr>
        <w:t>612:25-4-14.</w:t>
      </w:r>
      <w:r>
        <w:rPr/>
        <w:tab/>
        <w:t>Training</w:t>
      </w:r>
      <w:r>
        <w:rPr>
          <w:spacing w:val="-7"/>
        </w:rPr>
        <w:t> </w:t>
      </w:r>
      <w:r>
        <w:rPr/>
        <w:t>for</w:t>
      </w:r>
      <w:r>
        <w:rPr>
          <w:spacing w:val="-8"/>
        </w:rPr>
        <w:t> </w:t>
      </w:r>
      <w:r>
        <w:rPr/>
        <w:t>new</w:t>
      </w:r>
      <w:r>
        <w:rPr>
          <w:spacing w:val="-7"/>
        </w:rPr>
        <w:t> </w:t>
      </w:r>
      <w:r>
        <w:rPr/>
        <w:t>or</w:t>
      </w:r>
      <w:r>
        <w:rPr>
          <w:spacing w:val="-6"/>
        </w:rPr>
        <w:t> </w:t>
      </w:r>
      <w:r>
        <w:rPr/>
        <w:t>potential</w:t>
      </w:r>
      <w:r>
        <w:rPr>
          <w:spacing w:val="-7"/>
        </w:rPr>
        <w:t> </w:t>
      </w:r>
      <w:r>
        <w:rPr/>
        <w:t>licensed</w:t>
      </w:r>
      <w:r>
        <w:rPr>
          <w:spacing w:val="-7"/>
        </w:rPr>
        <w:t> </w:t>
      </w:r>
      <w:r>
        <w:rPr/>
        <w:t>managers </w:t>
      </w:r>
      <w:r>
        <w:rPr>
          <w:spacing w:val="-2"/>
        </w:rPr>
        <w:t>612:25-4-15.</w:t>
      </w:r>
      <w:r>
        <w:rPr/>
        <w:tab/>
        <w:t>Training for present licensed managers</w:t>
      </w:r>
    </w:p>
    <w:p>
      <w:pPr>
        <w:pStyle w:val="Heading1"/>
        <w:spacing w:line="208" w:lineRule="auto" w:before="29"/>
        <w:ind w:left="3446" w:right="775" w:hanging="2494"/>
        <w:jc w:val="left"/>
      </w:pPr>
      <w:r>
        <w:rPr/>
        <w:t>PART</w:t>
      </w:r>
      <w:r>
        <w:rPr>
          <w:spacing w:val="-5"/>
        </w:rPr>
        <w:t> </w:t>
      </w:r>
      <w:r>
        <w:rPr/>
        <w:t>5.</w:t>
      </w:r>
      <w:r>
        <w:rPr>
          <w:spacing w:val="-7"/>
        </w:rPr>
        <w:t> </w:t>
      </w:r>
      <w:r>
        <w:rPr/>
        <w:t>STATE</w:t>
      </w:r>
      <w:r>
        <w:rPr>
          <w:spacing w:val="-6"/>
        </w:rPr>
        <w:t> </w:t>
      </w:r>
      <w:r>
        <w:rPr/>
        <w:t>LICENSING</w:t>
      </w:r>
      <w:r>
        <w:rPr>
          <w:spacing w:val="-5"/>
        </w:rPr>
        <w:t> </w:t>
      </w:r>
      <w:r>
        <w:rPr/>
        <w:t>AGENCY</w:t>
      </w:r>
      <w:r>
        <w:rPr>
          <w:spacing w:val="-6"/>
        </w:rPr>
        <w:t> </w:t>
      </w:r>
      <w:r>
        <w:rPr/>
        <w:t>RESPONSIBILITY</w:t>
      </w:r>
      <w:r>
        <w:rPr>
          <w:spacing w:val="-6"/>
        </w:rPr>
        <w:t> </w:t>
      </w:r>
      <w:r>
        <w:rPr/>
        <w:t>FOR</w:t>
      </w:r>
      <w:r>
        <w:rPr>
          <w:spacing w:val="-6"/>
        </w:rPr>
        <w:t> </w:t>
      </w:r>
      <w:r>
        <w:rPr/>
        <w:t>BUSINESS ENTERPRISE OPERATIONS</w:t>
      </w:r>
    </w:p>
    <w:p>
      <w:pPr>
        <w:pStyle w:val="BodyText"/>
        <w:spacing w:before="210"/>
      </w:pPr>
      <w:r>
        <w:rPr>
          <w:spacing w:val="-2"/>
        </w:rPr>
        <w:t>Section</w:t>
      </w:r>
    </w:p>
    <w:p>
      <w:pPr>
        <w:pStyle w:val="BodyText"/>
        <w:tabs>
          <w:tab w:pos="2519" w:val="left" w:leader="none"/>
        </w:tabs>
        <w:spacing w:before="204"/>
      </w:pPr>
      <w:r>
        <w:rPr>
          <w:spacing w:val="-2"/>
        </w:rPr>
        <w:t>612:25-4-</w:t>
      </w:r>
      <w:r>
        <w:rPr>
          <w:spacing w:val="-5"/>
        </w:rPr>
        <w:t>25.</w:t>
      </w:r>
      <w:r>
        <w:rPr/>
        <w:tab/>
        <w:t>Management</w:t>
      </w:r>
      <w:r>
        <w:rPr>
          <w:spacing w:val="-5"/>
        </w:rPr>
        <w:t> </w:t>
      </w:r>
      <w:r>
        <w:rPr/>
        <w:t>of</w:t>
      </w:r>
      <w:r>
        <w:rPr>
          <w:spacing w:val="-2"/>
        </w:rPr>
        <w:t> </w:t>
      </w:r>
      <w:r>
        <w:rPr/>
        <w:t>BEP</w:t>
      </w:r>
      <w:r>
        <w:rPr>
          <w:spacing w:val="-4"/>
        </w:rPr>
        <w:t> </w:t>
      </w:r>
      <w:r>
        <w:rPr/>
        <w:t>equipment</w:t>
      </w:r>
      <w:r>
        <w:rPr>
          <w:spacing w:val="-2"/>
        </w:rPr>
        <w:t> </w:t>
      </w:r>
      <w:r>
        <w:rPr/>
        <w:t>and</w:t>
      </w:r>
      <w:r>
        <w:rPr>
          <w:spacing w:val="-3"/>
        </w:rPr>
        <w:t> </w:t>
      </w:r>
      <w:r>
        <w:rPr>
          <w:spacing w:val="-2"/>
        </w:rPr>
        <w:t>fixtures</w:t>
      </w:r>
    </w:p>
    <w:p>
      <w:pPr>
        <w:pStyle w:val="BodyText"/>
        <w:tabs>
          <w:tab w:pos="2519" w:val="left" w:leader="none"/>
        </w:tabs>
        <w:spacing w:line="417" w:lineRule="auto" w:before="204"/>
        <w:ind w:left="359" w:right="1087"/>
      </w:pPr>
      <w:r>
        <w:rPr>
          <w:spacing w:val="-2"/>
        </w:rPr>
        <w:t>612:25-4-26.</w:t>
      </w:r>
      <w:r>
        <w:rPr/>
        <w:tab/>
        <w:t>Maintenance</w:t>
      </w:r>
      <w:r>
        <w:rPr>
          <w:spacing w:val="-7"/>
        </w:rPr>
        <w:t> </w:t>
      </w:r>
      <w:r>
        <w:rPr/>
        <w:t>and</w:t>
      </w:r>
      <w:r>
        <w:rPr>
          <w:spacing w:val="-7"/>
        </w:rPr>
        <w:t> </w:t>
      </w:r>
      <w:r>
        <w:rPr/>
        <w:t>replacement</w:t>
      </w:r>
      <w:r>
        <w:rPr>
          <w:spacing w:val="-6"/>
        </w:rPr>
        <w:t> </w:t>
      </w:r>
      <w:r>
        <w:rPr/>
        <w:t>of</w:t>
      </w:r>
      <w:r>
        <w:rPr>
          <w:spacing w:val="-8"/>
        </w:rPr>
        <w:t> </w:t>
      </w:r>
      <w:r>
        <w:rPr/>
        <w:t>business</w:t>
      </w:r>
      <w:r>
        <w:rPr>
          <w:spacing w:val="-7"/>
        </w:rPr>
        <w:t> </w:t>
      </w:r>
      <w:r>
        <w:rPr/>
        <w:t>enterprise</w:t>
      </w:r>
      <w:r>
        <w:rPr>
          <w:spacing w:val="-7"/>
        </w:rPr>
        <w:t> </w:t>
      </w:r>
      <w:r>
        <w:rPr/>
        <w:t>equipment </w:t>
      </w:r>
      <w:r>
        <w:rPr>
          <w:spacing w:val="-2"/>
        </w:rPr>
        <w:t>612:25-4-27.</w:t>
      </w:r>
      <w:r>
        <w:rPr/>
        <w:tab/>
        <w:t>Initial inventory and supplies</w:t>
      </w:r>
    </w:p>
    <w:p>
      <w:pPr>
        <w:pStyle w:val="Heading1"/>
        <w:spacing w:line="276" w:lineRule="exact" w:before="0"/>
        <w:ind w:right="777"/>
      </w:pPr>
      <w:r>
        <w:rPr/>
        <w:t>PART</w:t>
      </w:r>
      <w:r>
        <w:rPr>
          <w:spacing w:val="-2"/>
        </w:rPr>
        <w:t> </w:t>
      </w:r>
      <w:r>
        <w:rPr/>
        <w:t>9.</w:t>
      </w:r>
      <w:r>
        <w:rPr>
          <w:spacing w:val="-4"/>
        </w:rPr>
        <w:t> </w:t>
      </w:r>
      <w:r>
        <w:rPr/>
        <w:t>ASSIGNMENT</w:t>
      </w:r>
      <w:r>
        <w:rPr>
          <w:spacing w:val="-2"/>
        </w:rPr>
        <w:t> </w:t>
      </w:r>
      <w:r>
        <w:rPr/>
        <w:t>OF</w:t>
      </w:r>
      <w:r>
        <w:rPr>
          <w:spacing w:val="-4"/>
        </w:rPr>
        <w:t> </w:t>
      </w:r>
      <w:r>
        <w:rPr/>
        <w:t>LICENSED</w:t>
      </w:r>
      <w:r>
        <w:rPr>
          <w:spacing w:val="-2"/>
        </w:rPr>
        <w:t> MANAGERS</w:t>
      </w:r>
    </w:p>
    <w:p>
      <w:pPr>
        <w:pStyle w:val="BodyText"/>
        <w:spacing w:before="204"/>
        <w:ind w:left="359"/>
      </w:pPr>
      <w:r>
        <w:rPr>
          <w:spacing w:val="-2"/>
        </w:rPr>
        <w:t>Section</w:t>
      </w:r>
    </w:p>
    <w:p>
      <w:pPr>
        <w:pStyle w:val="BodyText"/>
        <w:tabs>
          <w:tab w:pos="2519" w:val="left" w:leader="none"/>
        </w:tabs>
        <w:spacing w:before="204"/>
        <w:ind w:left="359"/>
      </w:pPr>
      <w:r>
        <w:rPr>
          <w:spacing w:val="-2"/>
        </w:rPr>
        <w:t>612:25-4-</w:t>
      </w:r>
      <w:r>
        <w:rPr>
          <w:spacing w:val="-5"/>
        </w:rPr>
        <w:t>53.</w:t>
      </w:r>
      <w:r>
        <w:rPr/>
        <w:tab/>
        <w:t>Assignment</w:t>
      </w:r>
      <w:r>
        <w:rPr>
          <w:spacing w:val="-3"/>
        </w:rPr>
        <w:t> </w:t>
      </w:r>
      <w:r>
        <w:rPr/>
        <w:t>and</w:t>
      </w:r>
      <w:r>
        <w:rPr>
          <w:spacing w:val="-3"/>
        </w:rPr>
        <w:t> </w:t>
      </w:r>
      <w:r>
        <w:rPr>
          <w:spacing w:val="-2"/>
        </w:rPr>
        <w:t>transfer</w:t>
      </w:r>
    </w:p>
    <w:p>
      <w:pPr>
        <w:pStyle w:val="BodyText"/>
        <w:tabs>
          <w:tab w:pos="2519" w:val="left" w:leader="none"/>
        </w:tabs>
        <w:spacing w:line="417" w:lineRule="auto" w:before="204"/>
        <w:ind w:left="359" w:right="3209"/>
      </w:pPr>
      <w:r>
        <w:rPr>
          <w:spacing w:val="-2"/>
        </w:rPr>
        <w:t>612:25-4-54.</w:t>
      </w:r>
      <w:r>
        <w:rPr/>
        <w:tab/>
        <w:t>Business</w:t>
      </w:r>
      <w:r>
        <w:rPr>
          <w:spacing w:val="-13"/>
        </w:rPr>
        <w:t> </w:t>
      </w:r>
      <w:r>
        <w:rPr/>
        <w:t>enterprise</w:t>
      </w:r>
      <w:r>
        <w:rPr>
          <w:spacing w:val="-13"/>
        </w:rPr>
        <w:t> </w:t>
      </w:r>
      <w:r>
        <w:rPr/>
        <w:t>vacancy</w:t>
      </w:r>
      <w:r>
        <w:rPr>
          <w:spacing w:val="-13"/>
        </w:rPr>
        <w:t> </w:t>
      </w:r>
      <w:r>
        <w:rPr/>
        <w:t>announcement </w:t>
      </w:r>
      <w:r>
        <w:rPr>
          <w:spacing w:val="-2"/>
        </w:rPr>
        <w:t>612:25-4-55.</w:t>
      </w:r>
      <w:r>
        <w:rPr/>
        <w:tab/>
      </w:r>
      <w:r>
        <w:rPr>
          <w:spacing w:val="-2"/>
        </w:rPr>
        <w:t>Qualifications</w:t>
      </w:r>
    </w:p>
    <w:p>
      <w:pPr>
        <w:pStyle w:val="BodyText"/>
        <w:tabs>
          <w:tab w:pos="2519" w:val="left" w:leader="none"/>
        </w:tabs>
        <w:spacing w:line="276" w:lineRule="exact" w:before="0"/>
        <w:ind w:left="359"/>
      </w:pPr>
      <w:r>
        <w:rPr>
          <w:spacing w:val="-2"/>
        </w:rPr>
        <w:t>612:25-4-</w:t>
      </w:r>
      <w:r>
        <w:rPr>
          <w:spacing w:val="-5"/>
        </w:rPr>
        <w:t>56.</w:t>
      </w:r>
      <w:r>
        <w:rPr/>
        <w:tab/>
      </w:r>
      <w:r>
        <w:rPr>
          <w:spacing w:val="-2"/>
        </w:rPr>
        <w:t>Applications</w:t>
      </w:r>
    </w:p>
    <w:p>
      <w:pPr>
        <w:pStyle w:val="BodyText"/>
        <w:tabs>
          <w:tab w:pos="2519" w:val="left" w:leader="none"/>
        </w:tabs>
        <w:spacing w:line="417" w:lineRule="auto" w:before="204"/>
        <w:ind w:left="359" w:right="3956"/>
      </w:pPr>
      <w:r>
        <w:rPr>
          <w:spacing w:val="-2"/>
        </w:rPr>
        <w:t>612:25-4-57.</w:t>
      </w:r>
      <w:r>
        <w:rPr/>
        <w:tab/>
        <w:t>Applicant Selection Committee </w:t>
      </w:r>
      <w:r>
        <w:rPr>
          <w:spacing w:val="-2"/>
        </w:rPr>
        <w:t>612:25-4-58.</w:t>
      </w:r>
      <w:r>
        <w:rPr/>
        <w:tab/>
        <w:t>Annual</w:t>
      </w:r>
      <w:r>
        <w:rPr>
          <w:spacing w:val="-13"/>
        </w:rPr>
        <w:t> </w:t>
      </w:r>
      <w:r>
        <w:rPr/>
        <w:t>and</w:t>
      </w:r>
      <w:r>
        <w:rPr>
          <w:spacing w:val="-13"/>
        </w:rPr>
        <w:t> </w:t>
      </w:r>
      <w:r>
        <w:rPr/>
        <w:t>Performance</w:t>
      </w:r>
      <w:r>
        <w:rPr>
          <w:spacing w:val="-13"/>
        </w:rPr>
        <w:t> </w:t>
      </w:r>
      <w:r>
        <w:rPr/>
        <w:t>Evaluations</w:t>
      </w:r>
    </w:p>
    <w:p>
      <w:pPr>
        <w:pStyle w:val="BodyText"/>
        <w:tabs>
          <w:tab w:pos="2519" w:val="left" w:leader="none"/>
        </w:tabs>
        <w:spacing w:line="417" w:lineRule="auto" w:before="0"/>
        <w:ind w:left="359" w:right="3556"/>
      </w:pPr>
      <w:r>
        <w:rPr>
          <w:spacing w:val="-2"/>
        </w:rPr>
        <w:t>612:25-4-59.</w:t>
      </w:r>
      <w:r>
        <w:rPr/>
        <w:tab/>
        <w:t>Interview,</w:t>
      </w:r>
      <w:r>
        <w:rPr>
          <w:spacing w:val="-10"/>
        </w:rPr>
        <w:t> </w:t>
      </w:r>
      <w:r>
        <w:rPr/>
        <w:t>Selection</w:t>
      </w:r>
      <w:r>
        <w:rPr>
          <w:spacing w:val="-10"/>
        </w:rPr>
        <w:t> </w:t>
      </w:r>
      <w:r>
        <w:rPr/>
        <w:t>Process</w:t>
      </w:r>
      <w:r>
        <w:rPr>
          <w:spacing w:val="-10"/>
        </w:rPr>
        <w:t> </w:t>
      </w:r>
      <w:r>
        <w:rPr/>
        <w:t>and</w:t>
      </w:r>
      <w:r>
        <w:rPr>
          <w:spacing w:val="-10"/>
        </w:rPr>
        <w:t> </w:t>
      </w:r>
      <w:r>
        <w:rPr/>
        <w:t>Scoring </w:t>
      </w:r>
      <w:r>
        <w:rPr>
          <w:spacing w:val="-2"/>
        </w:rPr>
        <w:t>612:25-4-60.</w:t>
      </w:r>
      <w:r>
        <w:rPr/>
        <w:tab/>
        <w:t>Ninety day replacement</w:t>
      </w:r>
    </w:p>
    <w:p>
      <w:pPr>
        <w:pStyle w:val="BodyText"/>
        <w:tabs>
          <w:tab w:pos="2519" w:val="left" w:leader="none"/>
        </w:tabs>
        <w:spacing w:line="417" w:lineRule="auto" w:before="0"/>
        <w:ind w:left="359" w:right="3901"/>
      </w:pPr>
      <w:r>
        <w:rPr>
          <w:spacing w:val="-2"/>
        </w:rPr>
        <w:t>612:25-4-61.</w:t>
      </w:r>
      <w:r>
        <w:rPr/>
        <w:tab/>
        <w:t>Satellite</w:t>
      </w:r>
      <w:r>
        <w:rPr>
          <w:spacing w:val="-12"/>
        </w:rPr>
        <w:t> </w:t>
      </w:r>
      <w:r>
        <w:rPr/>
        <w:t>business</w:t>
      </w:r>
      <w:r>
        <w:rPr>
          <w:spacing w:val="-12"/>
        </w:rPr>
        <w:t> </w:t>
      </w:r>
      <w:r>
        <w:rPr/>
        <w:t>enterprise</w:t>
      </w:r>
      <w:r>
        <w:rPr>
          <w:spacing w:val="-12"/>
        </w:rPr>
        <w:t> </w:t>
      </w:r>
      <w:r>
        <w:rPr/>
        <w:t>locations </w:t>
      </w:r>
      <w:r>
        <w:rPr>
          <w:spacing w:val="-2"/>
        </w:rPr>
        <w:t>612:25-4-62.</w:t>
      </w:r>
      <w:r>
        <w:rPr/>
        <w:tab/>
        <w:t>Vending machine income</w:t>
      </w:r>
    </w:p>
    <w:p>
      <w:pPr>
        <w:pStyle w:val="Heading1"/>
        <w:spacing w:line="276" w:lineRule="exact" w:before="0"/>
        <w:ind w:left="592" w:right="0"/>
        <w:jc w:val="left"/>
      </w:pPr>
      <w:r>
        <w:rPr/>
        <w:t>PART</w:t>
      </w:r>
      <w:r>
        <w:rPr>
          <w:spacing w:val="-4"/>
        </w:rPr>
        <w:t> </w:t>
      </w:r>
      <w:r>
        <w:rPr/>
        <w:t>11.</w:t>
      </w:r>
      <w:r>
        <w:rPr>
          <w:spacing w:val="-4"/>
        </w:rPr>
        <w:t> </w:t>
      </w:r>
      <w:r>
        <w:rPr/>
        <w:t>BUSINESS</w:t>
      </w:r>
      <w:r>
        <w:rPr>
          <w:spacing w:val="-2"/>
        </w:rPr>
        <w:t> </w:t>
      </w:r>
      <w:r>
        <w:rPr/>
        <w:t>ENTERPRISE</w:t>
      </w:r>
      <w:r>
        <w:rPr>
          <w:spacing w:val="-3"/>
        </w:rPr>
        <w:t> </w:t>
      </w:r>
      <w:r>
        <w:rPr/>
        <w:t>PROGRAM</w:t>
      </w:r>
      <w:r>
        <w:rPr>
          <w:spacing w:val="-3"/>
        </w:rPr>
        <w:t> </w:t>
      </w:r>
      <w:r>
        <w:rPr/>
        <w:t>AUDITING</w:t>
      </w:r>
      <w:r>
        <w:rPr>
          <w:spacing w:val="-4"/>
        </w:rPr>
        <w:t> </w:t>
      </w:r>
      <w:r>
        <w:rPr/>
        <w:t>AND</w:t>
      </w:r>
      <w:r>
        <w:rPr>
          <w:spacing w:val="-5"/>
        </w:rPr>
        <w:t> </w:t>
      </w:r>
      <w:r>
        <w:rPr/>
        <w:t>DUE</w:t>
      </w:r>
      <w:r>
        <w:rPr>
          <w:spacing w:val="-2"/>
        </w:rPr>
        <w:t> PROCESS</w:t>
      </w:r>
    </w:p>
    <w:p>
      <w:pPr>
        <w:pStyle w:val="Heading1"/>
        <w:spacing w:after="0" w:line="276" w:lineRule="exact"/>
        <w:jc w:val="left"/>
        <w:sectPr>
          <w:pgSz w:w="12240" w:h="15840"/>
          <w:pgMar w:top="1340" w:bottom="280" w:left="1080" w:right="720"/>
        </w:sectPr>
      </w:pPr>
    </w:p>
    <w:p>
      <w:pPr>
        <w:pStyle w:val="BodyText"/>
        <w:spacing w:before="67"/>
      </w:pPr>
      <w:r>
        <w:rPr>
          <w:spacing w:val="-2"/>
        </w:rPr>
        <w:t>Section</w:t>
      </w:r>
    </w:p>
    <w:p>
      <w:pPr>
        <w:pStyle w:val="BodyText"/>
        <w:tabs>
          <w:tab w:pos="2519" w:val="left" w:leader="none"/>
        </w:tabs>
        <w:spacing w:before="204"/>
      </w:pPr>
      <w:r>
        <w:rPr>
          <w:spacing w:val="-2"/>
        </w:rPr>
        <w:t>612:25-4-</w:t>
      </w:r>
      <w:r>
        <w:rPr>
          <w:spacing w:val="-5"/>
        </w:rPr>
        <w:t>72.</w:t>
      </w:r>
      <w:r>
        <w:rPr/>
        <w:tab/>
      </w:r>
      <w:r>
        <w:rPr>
          <w:spacing w:val="-2"/>
        </w:rPr>
        <w:t>Audits</w:t>
      </w:r>
    </w:p>
    <w:p>
      <w:pPr>
        <w:pStyle w:val="BodyText"/>
        <w:tabs>
          <w:tab w:pos="2519" w:val="left" w:leader="none"/>
        </w:tabs>
        <w:spacing w:before="204"/>
      </w:pPr>
      <w:r>
        <w:rPr>
          <w:spacing w:val="-2"/>
        </w:rPr>
        <w:t>612:25-4-</w:t>
      </w:r>
      <w:r>
        <w:rPr>
          <w:spacing w:val="-5"/>
        </w:rPr>
        <w:t>73.</w:t>
      </w:r>
      <w:r>
        <w:rPr/>
        <w:tab/>
        <w:t>Due</w:t>
      </w:r>
      <w:r>
        <w:rPr>
          <w:spacing w:val="-2"/>
        </w:rPr>
        <w:t> process</w:t>
      </w:r>
    </w:p>
    <w:p>
      <w:pPr>
        <w:pStyle w:val="BodyText"/>
        <w:tabs>
          <w:tab w:pos="2519" w:val="left" w:leader="none"/>
        </w:tabs>
        <w:spacing w:line="417" w:lineRule="auto" w:before="204"/>
        <w:ind w:right="2155"/>
      </w:pPr>
      <w:r>
        <w:rPr>
          <w:spacing w:val="-2"/>
        </w:rPr>
        <w:t>612:25-4-75.</w:t>
      </w:r>
      <w:r>
        <w:rPr/>
        <w:tab/>
        <w:t>Arbitration of complaints after the evidentiary hearing </w:t>
      </w:r>
      <w:r>
        <w:rPr>
          <w:spacing w:val="-2"/>
        </w:rPr>
        <w:t>612:25-4-76.</w:t>
      </w:r>
      <w:r>
        <w:rPr/>
        <w:tab/>
        <w:t>Arbitration</w:t>
      </w:r>
      <w:r>
        <w:rPr>
          <w:spacing w:val="-7"/>
        </w:rPr>
        <w:t> </w:t>
      </w:r>
      <w:r>
        <w:rPr/>
        <w:t>of</w:t>
      </w:r>
      <w:r>
        <w:rPr>
          <w:spacing w:val="-6"/>
        </w:rPr>
        <w:t> </w:t>
      </w:r>
      <w:r>
        <w:rPr/>
        <w:t>SLA</w:t>
      </w:r>
      <w:r>
        <w:rPr>
          <w:spacing w:val="-7"/>
        </w:rPr>
        <w:t> </w:t>
      </w:r>
      <w:r>
        <w:rPr/>
        <w:t>complaints</w:t>
      </w:r>
      <w:r>
        <w:rPr>
          <w:spacing w:val="-7"/>
        </w:rPr>
        <w:t> </w:t>
      </w:r>
      <w:r>
        <w:rPr/>
        <w:t>against</w:t>
      </w:r>
      <w:r>
        <w:rPr>
          <w:spacing w:val="-6"/>
        </w:rPr>
        <w:t> </w:t>
      </w:r>
      <w:r>
        <w:rPr/>
        <w:t>federal</w:t>
      </w:r>
      <w:r>
        <w:rPr>
          <w:spacing w:val="-7"/>
        </w:rPr>
        <w:t> </w:t>
      </w:r>
      <w:r>
        <w:rPr/>
        <w:t>agencies</w:t>
      </w:r>
    </w:p>
    <w:p>
      <w:pPr>
        <w:spacing w:before="32"/>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spacing w:before="0"/>
        <w:ind w:left="1439" w:right="775" w:firstLine="0"/>
        <w:jc w:val="left"/>
        <w:rPr>
          <w:sz w:val="22"/>
        </w:rPr>
      </w:pPr>
      <w:r>
        <w:rPr>
          <w:sz w:val="22"/>
        </w:rPr>
        <w:t>Permanent,</w:t>
      </w:r>
      <w:r>
        <w:rPr>
          <w:spacing w:val="40"/>
          <w:sz w:val="22"/>
        </w:rPr>
        <w:t> </w:t>
      </w:r>
      <w:r>
        <w:rPr>
          <w:sz w:val="22"/>
        </w:rPr>
        <w:t>Complete</w:t>
      </w:r>
      <w:r>
        <w:rPr>
          <w:spacing w:val="-4"/>
          <w:sz w:val="22"/>
        </w:rPr>
        <w:t> </w:t>
      </w:r>
      <w:r>
        <w:rPr>
          <w:sz w:val="22"/>
        </w:rPr>
        <w:t>revision</w:t>
      </w:r>
      <w:r>
        <w:rPr>
          <w:spacing w:val="-4"/>
          <w:sz w:val="22"/>
        </w:rPr>
        <w:t> </w:t>
      </w:r>
      <w:r>
        <w:rPr>
          <w:sz w:val="22"/>
        </w:rPr>
        <w:t>of</w:t>
      </w:r>
      <w:r>
        <w:rPr>
          <w:spacing w:val="-4"/>
          <w:sz w:val="22"/>
        </w:rPr>
        <w:t> </w:t>
      </w:r>
      <w:r>
        <w:rPr>
          <w:sz w:val="22"/>
        </w:rPr>
        <w:t>Chapter</w:t>
      </w:r>
      <w:r>
        <w:rPr>
          <w:spacing w:val="-4"/>
          <w:sz w:val="22"/>
        </w:rPr>
        <w:t> </w:t>
      </w:r>
      <w:r>
        <w:rPr>
          <w:sz w:val="22"/>
        </w:rPr>
        <w:t>25;</w:t>
      </w:r>
      <w:r>
        <w:rPr>
          <w:spacing w:val="-4"/>
          <w:sz w:val="22"/>
        </w:rPr>
        <w:t> </w:t>
      </w:r>
      <w:r>
        <w:rPr>
          <w:sz w:val="22"/>
        </w:rPr>
        <w:t>odd</w:t>
      </w:r>
      <w:r>
        <w:rPr>
          <w:spacing w:val="-4"/>
          <w:sz w:val="22"/>
        </w:rPr>
        <w:t> </w:t>
      </w:r>
      <w:r>
        <w:rPr>
          <w:sz w:val="22"/>
        </w:rPr>
        <w:t>numbered</w:t>
      </w:r>
      <w:r>
        <w:rPr>
          <w:spacing w:val="-4"/>
          <w:sz w:val="22"/>
        </w:rPr>
        <w:t> </w:t>
      </w:r>
      <w:r>
        <w:rPr>
          <w:sz w:val="22"/>
        </w:rPr>
        <w:t>Subchapters</w:t>
      </w:r>
      <w:r>
        <w:rPr>
          <w:spacing w:val="-4"/>
          <w:sz w:val="22"/>
        </w:rPr>
        <w:t> </w:t>
      </w:r>
      <w:r>
        <w:rPr>
          <w:sz w:val="22"/>
        </w:rPr>
        <w:t>revoked and replaced by even numbered Subchapters</w:t>
      </w:r>
    </w:p>
    <w:p>
      <w:pPr>
        <w:tabs>
          <w:tab w:pos="1439" w:val="left" w:leader="none"/>
        </w:tabs>
        <w:spacing w:before="0"/>
        <w:ind w:left="360" w:right="0" w:firstLine="0"/>
        <w:jc w:val="left"/>
        <w:rPr>
          <w:sz w:val="22"/>
        </w:rPr>
      </w:pPr>
      <w:r>
        <w:rPr>
          <w:spacing w:val="-2"/>
          <w:sz w:val="22"/>
        </w:rPr>
        <w:t>7-1-</w:t>
      </w:r>
      <w:r>
        <w:rPr>
          <w:spacing w:val="-5"/>
          <w:sz w:val="22"/>
        </w:rPr>
        <w:t>05</w:t>
      </w:r>
      <w:r>
        <w:rPr>
          <w:sz w:val="22"/>
        </w:rPr>
        <w:tab/>
        <w:t>PT</w:t>
      </w:r>
      <w:r>
        <w:rPr>
          <w:spacing w:val="-8"/>
          <w:sz w:val="22"/>
        </w:rPr>
        <w:t> </w:t>
      </w:r>
      <w:r>
        <w:rPr>
          <w:sz w:val="22"/>
        </w:rPr>
        <w:t>Memo</w:t>
      </w:r>
      <w:r>
        <w:rPr>
          <w:spacing w:val="-8"/>
          <w:sz w:val="22"/>
        </w:rPr>
        <w:t> </w:t>
      </w:r>
      <w:r>
        <w:rPr>
          <w:sz w:val="22"/>
        </w:rPr>
        <w:t>#06-</w:t>
      </w:r>
      <w:r>
        <w:rPr>
          <w:spacing w:val="-5"/>
          <w:sz w:val="22"/>
        </w:rPr>
        <w:t>01</w:t>
      </w:r>
    </w:p>
    <w:p>
      <w:pPr>
        <w:tabs>
          <w:tab w:pos="1439" w:val="left" w:leader="none"/>
        </w:tabs>
        <w:spacing w:before="0"/>
        <w:ind w:left="360" w:right="4729" w:firstLine="1080"/>
        <w:jc w:val="left"/>
        <w:rPr>
          <w:sz w:val="22"/>
        </w:rPr>
      </w:pPr>
      <w:r>
        <w:rPr>
          <w:sz w:val="22"/>
        </w:rPr>
        <w:t>Permanent,</w:t>
      </w:r>
      <w:r>
        <w:rPr>
          <w:spacing w:val="-7"/>
          <w:sz w:val="22"/>
        </w:rPr>
        <w:t> </w:t>
      </w:r>
      <w:r>
        <w:rPr>
          <w:sz w:val="22"/>
        </w:rPr>
        <w:t>revoked</w:t>
      </w:r>
      <w:r>
        <w:rPr>
          <w:spacing w:val="-8"/>
          <w:sz w:val="22"/>
        </w:rPr>
        <w:t> </w:t>
      </w:r>
      <w:r>
        <w:rPr>
          <w:sz w:val="22"/>
        </w:rPr>
        <w:t>and</w:t>
      </w:r>
      <w:r>
        <w:rPr>
          <w:spacing w:val="-9"/>
          <w:sz w:val="22"/>
        </w:rPr>
        <w:t> </w:t>
      </w:r>
      <w:r>
        <w:rPr>
          <w:sz w:val="22"/>
        </w:rPr>
        <w:t>amended</w:t>
      </w:r>
      <w:r>
        <w:rPr>
          <w:spacing w:val="-8"/>
          <w:sz w:val="22"/>
        </w:rPr>
        <w:t> </w:t>
      </w:r>
      <w:r>
        <w:rPr>
          <w:sz w:val="22"/>
        </w:rPr>
        <w:t>tag</w:t>
      </w:r>
      <w:r>
        <w:rPr>
          <w:spacing w:val="-8"/>
          <w:sz w:val="22"/>
        </w:rPr>
        <w:t> </w:t>
      </w:r>
      <w:r>
        <w:rPr>
          <w:sz w:val="22"/>
        </w:rPr>
        <w:t>lines </w:t>
      </w:r>
      <w:r>
        <w:rPr>
          <w:spacing w:val="-2"/>
          <w:sz w:val="22"/>
        </w:rPr>
        <w:t>7-1-12</w:t>
      </w:r>
      <w:r>
        <w:rPr>
          <w:sz w:val="22"/>
        </w:rPr>
        <w:tab/>
        <w:t>Permanent, amended due to Audit results</w:t>
      </w:r>
    </w:p>
    <w:p>
      <w:pPr>
        <w:tabs>
          <w:tab w:pos="1439" w:val="left" w:leader="none"/>
        </w:tabs>
        <w:spacing w:before="0"/>
        <w:ind w:left="1439" w:right="1086" w:hanging="1080"/>
        <w:jc w:val="left"/>
        <w:rPr>
          <w:sz w:val="22"/>
        </w:rPr>
      </w:pPr>
      <w:r>
        <w:rPr>
          <w:spacing w:val="-2"/>
          <w:sz w:val="22"/>
        </w:rPr>
        <w:t>9-12-14</w:t>
      </w:r>
      <w:r>
        <w:rPr>
          <w:sz w:val="22"/>
        </w:rPr>
        <w:tab/>
        <w:t>Revoked</w:t>
      </w:r>
      <w:r>
        <w:rPr>
          <w:spacing w:val="-4"/>
          <w:sz w:val="22"/>
        </w:rPr>
        <w:t> </w:t>
      </w:r>
      <w:r>
        <w:rPr>
          <w:sz w:val="22"/>
        </w:rPr>
        <w:t>and</w:t>
      </w:r>
      <w:r>
        <w:rPr>
          <w:spacing w:val="-4"/>
          <w:sz w:val="22"/>
        </w:rPr>
        <w:t> </w:t>
      </w:r>
      <w:r>
        <w:rPr>
          <w:sz w:val="22"/>
        </w:rPr>
        <w:t>amended</w:t>
      </w:r>
      <w:r>
        <w:rPr>
          <w:spacing w:val="-4"/>
          <w:sz w:val="22"/>
        </w:rPr>
        <w:t> </w:t>
      </w:r>
      <w:r>
        <w:rPr>
          <w:sz w:val="22"/>
        </w:rPr>
        <w:t>tag</w:t>
      </w:r>
      <w:r>
        <w:rPr>
          <w:spacing w:val="-4"/>
          <w:sz w:val="22"/>
        </w:rPr>
        <w:t> </w:t>
      </w:r>
      <w:r>
        <w:rPr>
          <w:sz w:val="22"/>
        </w:rPr>
        <w:t>lines</w:t>
      </w:r>
      <w:r>
        <w:rPr>
          <w:spacing w:val="-4"/>
          <w:sz w:val="22"/>
        </w:rPr>
        <w:t> </w:t>
      </w:r>
      <w:r>
        <w:rPr>
          <w:sz w:val="22"/>
        </w:rPr>
        <w:t>for</w:t>
      </w:r>
      <w:r>
        <w:rPr>
          <w:spacing w:val="-6"/>
          <w:sz w:val="22"/>
        </w:rPr>
        <w:t> </w:t>
      </w:r>
      <w:r>
        <w:rPr>
          <w:sz w:val="22"/>
        </w:rPr>
        <w:t>612:25-4-16</w:t>
      </w:r>
      <w:r>
        <w:rPr>
          <w:spacing w:val="-4"/>
          <w:sz w:val="22"/>
        </w:rPr>
        <w:t> </w:t>
      </w:r>
      <w:r>
        <w:rPr>
          <w:sz w:val="22"/>
        </w:rPr>
        <w:t>Training</w:t>
      </w:r>
      <w:r>
        <w:rPr>
          <w:spacing w:val="-4"/>
          <w:sz w:val="22"/>
        </w:rPr>
        <w:t> </w:t>
      </w:r>
      <w:r>
        <w:rPr>
          <w:sz w:val="22"/>
        </w:rPr>
        <w:t>for</w:t>
      </w:r>
      <w:r>
        <w:rPr>
          <w:spacing w:val="-5"/>
          <w:sz w:val="22"/>
        </w:rPr>
        <w:t> </w:t>
      </w:r>
      <w:r>
        <w:rPr>
          <w:sz w:val="22"/>
        </w:rPr>
        <w:t>Business</w:t>
      </w:r>
      <w:r>
        <w:rPr>
          <w:spacing w:val="-4"/>
          <w:sz w:val="22"/>
        </w:rPr>
        <w:t> </w:t>
      </w:r>
      <w:r>
        <w:rPr>
          <w:sz w:val="22"/>
        </w:rPr>
        <w:t>Enterprise Program staff.</w:t>
      </w:r>
    </w:p>
    <w:p>
      <w:pPr>
        <w:spacing w:before="0"/>
        <w:ind w:left="1439" w:right="775" w:firstLine="0"/>
        <w:jc w:val="left"/>
        <w:rPr>
          <w:sz w:val="22"/>
        </w:rPr>
      </w:pPr>
      <w:r>
        <w:rPr>
          <w:sz w:val="22"/>
        </w:rPr>
        <w:t>Updated</w:t>
      </w:r>
      <w:r>
        <w:rPr>
          <w:spacing w:val="-4"/>
          <w:sz w:val="22"/>
        </w:rPr>
        <w:t> </w:t>
      </w:r>
      <w:r>
        <w:rPr>
          <w:sz w:val="22"/>
        </w:rPr>
        <w:t>language</w:t>
      </w:r>
      <w:r>
        <w:rPr>
          <w:spacing w:val="-4"/>
          <w:sz w:val="22"/>
        </w:rPr>
        <w:t> </w:t>
      </w:r>
      <w:r>
        <w:rPr>
          <w:sz w:val="22"/>
        </w:rPr>
        <w:t>and</w:t>
      </w:r>
      <w:r>
        <w:rPr>
          <w:spacing w:val="-4"/>
          <w:sz w:val="22"/>
        </w:rPr>
        <w:t> </w:t>
      </w:r>
      <w:r>
        <w:rPr>
          <w:sz w:val="22"/>
        </w:rPr>
        <w:t>amended</w:t>
      </w:r>
      <w:r>
        <w:rPr>
          <w:spacing w:val="-4"/>
          <w:sz w:val="22"/>
        </w:rPr>
        <w:t> </w:t>
      </w:r>
      <w:r>
        <w:rPr>
          <w:sz w:val="22"/>
        </w:rPr>
        <w:t>tag</w:t>
      </w:r>
      <w:r>
        <w:rPr>
          <w:spacing w:val="-4"/>
          <w:sz w:val="22"/>
        </w:rPr>
        <w:t> </w:t>
      </w:r>
      <w:r>
        <w:rPr>
          <w:sz w:val="22"/>
        </w:rPr>
        <w:t>lines</w:t>
      </w:r>
      <w:r>
        <w:rPr>
          <w:spacing w:val="-4"/>
          <w:sz w:val="22"/>
        </w:rPr>
        <w:t> </w:t>
      </w:r>
      <w:r>
        <w:rPr>
          <w:sz w:val="22"/>
        </w:rPr>
        <w:t>for</w:t>
      </w:r>
      <w:r>
        <w:rPr>
          <w:spacing w:val="-4"/>
          <w:sz w:val="22"/>
        </w:rPr>
        <w:t> </w:t>
      </w:r>
      <w:r>
        <w:rPr>
          <w:sz w:val="22"/>
        </w:rPr>
        <w:t>612:25-4-58</w:t>
      </w:r>
      <w:r>
        <w:rPr>
          <w:spacing w:val="-4"/>
          <w:sz w:val="22"/>
        </w:rPr>
        <w:t> </w:t>
      </w:r>
      <w:r>
        <w:rPr>
          <w:sz w:val="22"/>
        </w:rPr>
        <w:t>Annual</w:t>
      </w:r>
      <w:r>
        <w:rPr>
          <w:spacing w:val="-4"/>
          <w:sz w:val="22"/>
        </w:rPr>
        <w:t> </w:t>
      </w:r>
      <w:r>
        <w:rPr>
          <w:sz w:val="22"/>
        </w:rPr>
        <w:t>Evaluation</w:t>
      </w:r>
      <w:r>
        <w:rPr>
          <w:spacing w:val="-4"/>
          <w:sz w:val="22"/>
        </w:rPr>
        <w:t> </w:t>
      </w:r>
      <w:r>
        <w:rPr>
          <w:sz w:val="22"/>
        </w:rPr>
        <w:t>to Annual and Performance Evaluations.</w:t>
      </w:r>
    </w:p>
    <w:p>
      <w:pPr>
        <w:tabs>
          <w:tab w:pos="1439" w:val="left" w:leader="none"/>
        </w:tabs>
        <w:spacing w:before="0"/>
        <w:ind w:left="1439" w:right="1075" w:hanging="1080"/>
        <w:jc w:val="left"/>
        <w:rPr>
          <w:sz w:val="22"/>
        </w:rPr>
      </w:pPr>
      <w:r>
        <w:rPr>
          <w:spacing w:val="-2"/>
          <w:sz w:val="22"/>
        </w:rPr>
        <w:t>8-27-15</w:t>
      </w:r>
      <w:r>
        <w:rPr>
          <w:sz w:val="22"/>
        </w:rPr>
        <w:tab/>
        <w:t>Revoked</w:t>
      </w:r>
      <w:r>
        <w:rPr>
          <w:spacing w:val="-4"/>
          <w:sz w:val="22"/>
        </w:rPr>
        <w:t> </w:t>
      </w:r>
      <w:r>
        <w:rPr>
          <w:sz w:val="22"/>
        </w:rPr>
        <w:t>and</w:t>
      </w:r>
      <w:r>
        <w:rPr>
          <w:spacing w:val="-4"/>
          <w:sz w:val="22"/>
        </w:rPr>
        <w:t> </w:t>
      </w:r>
      <w:r>
        <w:rPr>
          <w:sz w:val="22"/>
        </w:rPr>
        <w:t>amended</w:t>
      </w:r>
      <w:r>
        <w:rPr>
          <w:spacing w:val="-4"/>
          <w:sz w:val="22"/>
        </w:rPr>
        <w:t> </w:t>
      </w:r>
      <w:r>
        <w:rPr>
          <w:sz w:val="22"/>
        </w:rPr>
        <w:t>tag</w:t>
      </w:r>
      <w:r>
        <w:rPr>
          <w:spacing w:val="-4"/>
          <w:sz w:val="22"/>
        </w:rPr>
        <w:t> </w:t>
      </w:r>
      <w:r>
        <w:rPr>
          <w:sz w:val="22"/>
        </w:rPr>
        <w:t>line</w:t>
      </w:r>
      <w:r>
        <w:rPr>
          <w:spacing w:val="-4"/>
          <w:sz w:val="22"/>
        </w:rPr>
        <w:t> </w:t>
      </w:r>
      <w:r>
        <w:rPr>
          <w:sz w:val="22"/>
        </w:rPr>
        <w:t>for</w:t>
      </w:r>
      <w:r>
        <w:rPr>
          <w:spacing w:val="-4"/>
          <w:sz w:val="22"/>
        </w:rPr>
        <w:t> </w:t>
      </w:r>
      <w:r>
        <w:rPr>
          <w:sz w:val="22"/>
        </w:rPr>
        <w:t>612:25-4-52</w:t>
      </w:r>
      <w:r>
        <w:rPr>
          <w:spacing w:val="-4"/>
          <w:sz w:val="22"/>
        </w:rPr>
        <w:t> </w:t>
      </w:r>
      <w:r>
        <w:rPr>
          <w:sz w:val="22"/>
        </w:rPr>
        <w:t>SLA</w:t>
      </w:r>
      <w:r>
        <w:rPr>
          <w:spacing w:val="-4"/>
          <w:sz w:val="22"/>
        </w:rPr>
        <w:t> </w:t>
      </w:r>
      <w:r>
        <w:rPr>
          <w:sz w:val="22"/>
        </w:rPr>
        <w:t>responsibility</w:t>
      </w:r>
      <w:r>
        <w:rPr>
          <w:spacing w:val="-4"/>
          <w:sz w:val="22"/>
        </w:rPr>
        <w:t> </w:t>
      </w:r>
      <w:r>
        <w:rPr>
          <w:sz w:val="22"/>
        </w:rPr>
        <w:t>for</w:t>
      </w:r>
      <w:r>
        <w:rPr>
          <w:spacing w:val="-4"/>
          <w:sz w:val="22"/>
        </w:rPr>
        <w:t> </w:t>
      </w:r>
      <w:r>
        <w:rPr>
          <w:sz w:val="22"/>
        </w:rPr>
        <w:t>assignment and transfer of licensed managers.</w:t>
      </w:r>
    </w:p>
    <w:p>
      <w:pPr>
        <w:spacing w:line="252" w:lineRule="exact" w:before="0"/>
        <w:ind w:left="1439" w:right="0" w:firstLine="0"/>
        <w:jc w:val="left"/>
        <w:rPr>
          <w:sz w:val="22"/>
        </w:rPr>
      </w:pPr>
      <w:r>
        <w:rPr>
          <w:sz w:val="22"/>
        </w:rPr>
        <w:t>Deleted</w:t>
      </w:r>
      <w:r>
        <w:rPr>
          <w:spacing w:val="-7"/>
          <w:sz w:val="22"/>
        </w:rPr>
        <w:t> </w:t>
      </w:r>
      <w:r>
        <w:rPr>
          <w:sz w:val="22"/>
        </w:rPr>
        <w:t>language</w:t>
      </w:r>
      <w:r>
        <w:rPr>
          <w:spacing w:val="-7"/>
          <w:sz w:val="22"/>
        </w:rPr>
        <w:t> </w:t>
      </w:r>
      <w:r>
        <w:rPr>
          <w:sz w:val="22"/>
        </w:rPr>
        <w:t>of</w:t>
      </w:r>
      <w:r>
        <w:rPr>
          <w:spacing w:val="-6"/>
          <w:sz w:val="22"/>
        </w:rPr>
        <w:t> </w:t>
      </w:r>
      <w:r>
        <w:rPr>
          <w:sz w:val="22"/>
        </w:rPr>
        <w:t>remote</w:t>
      </w:r>
      <w:r>
        <w:rPr>
          <w:spacing w:val="-7"/>
          <w:sz w:val="22"/>
        </w:rPr>
        <w:t> </w:t>
      </w:r>
      <w:r>
        <w:rPr>
          <w:sz w:val="22"/>
        </w:rPr>
        <w:t>in</w:t>
      </w:r>
      <w:r>
        <w:rPr>
          <w:spacing w:val="-6"/>
          <w:sz w:val="22"/>
        </w:rPr>
        <w:t> </w:t>
      </w:r>
      <w:r>
        <w:rPr>
          <w:sz w:val="22"/>
        </w:rPr>
        <w:t>tag</w:t>
      </w:r>
      <w:r>
        <w:rPr>
          <w:spacing w:val="-7"/>
          <w:sz w:val="22"/>
        </w:rPr>
        <w:t> </w:t>
      </w:r>
      <w:r>
        <w:rPr>
          <w:sz w:val="22"/>
        </w:rPr>
        <w:t>line</w:t>
      </w:r>
      <w:r>
        <w:rPr>
          <w:spacing w:val="-6"/>
          <w:sz w:val="22"/>
        </w:rPr>
        <w:t> </w:t>
      </w:r>
      <w:r>
        <w:rPr>
          <w:sz w:val="22"/>
        </w:rPr>
        <w:t>612:25-4-</w:t>
      </w:r>
      <w:r>
        <w:rPr>
          <w:spacing w:val="-5"/>
          <w:sz w:val="22"/>
        </w:rPr>
        <w:t>61.</w:t>
      </w:r>
    </w:p>
    <w:p>
      <w:pPr>
        <w:spacing w:before="0"/>
        <w:ind w:left="1439" w:right="0" w:firstLine="0"/>
        <w:jc w:val="left"/>
        <w:rPr>
          <w:sz w:val="22"/>
        </w:rPr>
      </w:pPr>
      <w:r>
        <w:rPr>
          <w:sz w:val="22"/>
        </w:rPr>
        <w:t>Deleted</w:t>
      </w:r>
      <w:r>
        <w:rPr>
          <w:spacing w:val="-6"/>
          <w:sz w:val="22"/>
        </w:rPr>
        <w:t> </w:t>
      </w:r>
      <w:r>
        <w:rPr>
          <w:sz w:val="22"/>
        </w:rPr>
        <w:t>language</w:t>
      </w:r>
      <w:r>
        <w:rPr>
          <w:spacing w:val="-6"/>
          <w:sz w:val="22"/>
        </w:rPr>
        <w:t> </w:t>
      </w:r>
      <w:r>
        <w:rPr>
          <w:sz w:val="22"/>
        </w:rPr>
        <w:t>"and</w:t>
      </w:r>
      <w:r>
        <w:rPr>
          <w:spacing w:val="-6"/>
          <w:sz w:val="22"/>
        </w:rPr>
        <w:t> </w:t>
      </w:r>
      <w:r>
        <w:rPr>
          <w:sz w:val="22"/>
        </w:rPr>
        <w:t>transfer"</w:t>
      </w:r>
      <w:r>
        <w:rPr>
          <w:spacing w:val="-6"/>
          <w:sz w:val="22"/>
        </w:rPr>
        <w:t> </w:t>
      </w:r>
      <w:r>
        <w:rPr>
          <w:sz w:val="22"/>
        </w:rPr>
        <w:t>fro</w:t>
      </w:r>
      <w:r>
        <w:rPr>
          <w:spacing w:val="-7"/>
          <w:sz w:val="22"/>
        </w:rPr>
        <w:t> </w:t>
      </w:r>
      <w:r>
        <w:rPr>
          <w:sz w:val="22"/>
        </w:rPr>
        <w:t>Part</w:t>
      </w:r>
      <w:r>
        <w:rPr>
          <w:spacing w:val="-6"/>
          <w:sz w:val="22"/>
        </w:rPr>
        <w:t> </w:t>
      </w:r>
      <w:r>
        <w:rPr>
          <w:sz w:val="22"/>
        </w:rPr>
        <w:t>9.</w:t>
      </w:r>
      <w:r>
        <w:rPr>
          <w:spacing w:val="49"/>
          <w:sz w:val="22"/>
        </w:rPr>
        <w:t> </w:t>
      </w:r>
      <w:r>
        <w:rPr>
          <w:sz w:val="22"/>
        </w:rPr>
        <w:t>Assignment</w:t>
      </w:r>
      <w:r>
        <w:rPr>
          <w:spacing w:val="-6"/>
          <w:sz w:val="22"/>
        </w:rPr>
        <w:t> </w:t>
      </w:r>
      <w:r>
        <w:rPr>
          <w:sz w:val="22"/>
        </w:rPr>
        <w:t>of</w:t>
      </w:r>
      <w:r>
        <w:rPr>
          <w:spacing w:val="-6"/>
          <w:sz w:val="22"/>
        </w:rPr>
        <w:t> </w:t>
      </w:r>
      <w:r>
        <w:rPr>
          <w:sz w:val="22"/>
        </w:rPr>
        <w:t>Licensed</w:t>
      </w:r>
      <w:r>
        <w:rPr>
          <w:spacing w:val="-6"/>
          <w:sz w:val="22"/>
        </w:rPr>
        <w:t> </w:t>
      </w:r>
      <w:r>
        <w:rPr>
          <w:spacing w:val="-2"/>
          <w:sz w:val="22"/>
        </w:rPr>
        <w:t>Managers.</w:t>
      </w:r>
    </w:p>
    <w:p>
      <w:pPr>
        <w:spacing w:after="0"/>
        <w:jc w:val="left"/>
        <w:rPr>
          <w:sz w:val="22"/>
        </w:rPr>
        <w:sectPr>
          <w:pgSz w:w="12240" w:h="15840"/>
          <w:pgMar w:top="1340" w:bottom="280" w:left="1080" w:right="720"/>
        </w:sectPr>
      </w:pPr>
    </w:p>
    <w:p>
      <w:pPr>
        <w:pStyle w:val="Heading1"/>
        <w:ind w:right="778"/>
      </w:pPr>
      <w:bookmarkStart w:name="PART 1. ORGANIZATION AND GENERAL OPERATI" w:id="389"/>
      <w:bookmarkEnd w:id="389"/>
      <w:r>
        <w:rPr>
          <w:b w:val="0"/>
        </w:rPr>
      </w:r>
      <w:r>
        <w:rPr/>
        <w:t>PART</w:t>
      </w:r>
      <w:r>
        <w:rPr>
          <w:spacing w:val="-5"/>
        </w:rPr>
        <w:t> </w:t>
      </w:r>
      <w:r>
        <w:rPr/>
        <w:t>1.</w:t>
      </w:r>
      <w:r>
        <w:rPr>
          <w:spacing w:val="-4"/>
        </w:rPr>
        <w:t> </w:t>
      </w:r>
      <w:r>
        <w:rPr/>
        <w:t>ORGANIZATION</w:t>
      </w:r>
      <w:r>
        <w:rPr>
          <w:spacing w:val="-3"/>
        </w:rPr>
        <w:t> </w:t>
      </w:r>
      <w:r>
        <w:rPr/>
        <w:t>AND</w:t>
      </w:r>
      <w:r>
        <w:rPr>
          <w:spacing w:val="-4"/>
        </w:rPr>
        <w:t> </w:t>
      </w:r>
      <w:r>
        <w:rPr/>
        <w:t>GENERAL</w:t>
      </w:r>
      <w:r>
        <w:rPr>
          <w:spacing w:val="-2"/>
        </w:rPr>
        <w:t> </w:t>
      </w:r>
      <w:r>
        <w:rPr/>
        <w:t>OPERATION</w:t>
      </w:r>
      <w:r>
        <w:rPr>
          <w:spacing w:val="-3"/>
        </w:rPr>
        <w:t> </w:t>
      </w:r>
      <w:r>
        <w:rPr>
          <w:spacing w:val="-2"/>
        </w:rPr>
        <w:t>STANDARDS</w:t>
      </w:r>
    </w:p>
    <w:p>
      <w:pPr>
        <w:pStyle w:val="BodyText"/>
        <w:spacing w:before="204"/>
      </w:pPr>
      <w:r>
        <w:rPr>
          <w:spacing w:val="-2"/>
        </w:rPr>
        <w:t>Section</w:t>
      </w:r>
    </w:p>
    <w:p>
      <w:pPr>
        <w:pStyle w:val="BodyText"/>
        <w:tabs>
          <w:tab w:pos="2519" w:val="left" w:leader="none"/>
        </w:tabs>
        <w:spacing w:before="204"/>
      </w:pPr>
      <w:r>
        <w:rPr>
          <w:spacing w:val="-2"/>
        </w:rPr>
        <w:t>612:25-4-</w:t>
      </w:r>
      <w:r>
        <w:rPr>
          <w:spacing w:val="-5"/>
        </w:rPr>
        <w:t>1.</w:t>
      </w:r>
      <w:r>
        <w:rPr/>
        <w:tab/>
        <w:t>Organization</w:t>
      </w:r>
      <w:r>
        <w:rPr>
          <w:spacing w:val="-6"/>
        </w:rPr>
        <w:t> </w:t>
      </w:r>
      <w:r>
        <w:rPr/>
        <w:t>of</w:t>
      </w:r>
      <w:r>
        <w:rPr>
          <w:spacing w:val="-2"/>
        </w:rPr>
        <w:t> </w:t>
      </w:r>
      <w:r>
        <w:rPr/>
        <w:t>the</w:t>
      </w:r>
      <w:r>
        <w:rPr>
          <w:spacing w:val="-3"/>
        </w:rPr>
        <w:t> </w:t>
      </w:r>
      <w:r>
        <w:rPr/>
        <w:t>State</w:t>
      </w:r>
      <w:r>
        <w:rPr>
          <w:spacing w:val="-3"/>
        </w:rPr>
        <w:t> </w:t>
      </w:r>
      <w:r>
        <w:rPr/>
        <w:t>Licensing</w:t>
      </w:r>
      <w:r>
        <w:rPr>
          <w:spacing w:val="-3"/>
        </w:rPr>
        <w:t> </w:t>
      </w:r>
      <w:r>
        <w:rPr>
          <w:spacing w:val="-2"/>
        </w:rPr>
        <w:t>Agency</w:t>
      </w:r>
    </w:p>
    <w:p>
      <w:pPr>
        <w:pStyle w:val="BodyText"/>
        <w:tabs>
          <w:tab w:pos="2519" w:val="left" w:leader="none"/>
        </w:tabs>
        <w:spacing w:before="204"/>
      </w:pPr>
      <w:r>
        <w:rPr>
          <w:spacing w:val="-2"/>
        </w:rPr>
        <w:t>612:25-4-</w:t>
      </w:r>
      <w:r>
        <w:rPr>
          <w:spacing w:val="-5"/>
        </w:rPr>
        <w:t>4.</w:t>
      </w:r>
      <w:r>
        <w:rPr/>
        <w:tab/>
        <w:t>Management</w:t>
      </w:r>
      <w:r>
        <w:rPr>
          <w:spacing w:val="-5"/>
        </w:rPr>
        <w:t> </w:t>
      </w:r>
      <w:r>
        <w:rPr/>
        <w:t>services</w:t>
      </w:r>
      <w:r>
        <w:rPr>
          <w:spacing w:val="-4"/>
        </w:rPr>
        <w:t> </w:t>
      </w:r>
      <w:r>
        <w:rPr/>
        <w:t>provided</w:t>
      </w:r>
      <w:r>
        <w:rPr>
          <w:spacing w:val="-3"/>
        </w:rPr>
        <w:t> </w:t>
      </w:r>
      <w:r>
        <w:rPr/>
        <w:t>by</w:t>
      </w:r>
      <w:r>
        <w:rPr>
          <w:spacing w:val="-3"/>
        </w:rPr>
        <w:t> </w:t>
      </w:r>
      <w:r>
        <w:rPr/>
        <w:t>the</w:t>
      </w:r>
      <w:r>
        <w:rPr>
          <w:spacing w:val="-3"/>
        </w:rPr>
        <w:t> </w:t>
      </w:r>
      <w:r>
        <w:rPr/>
        <w:t>State</w:t>
      </w:r>
      <w:r>
        <w:rPr>
          <w:spacing w:val="-4"/>
        </w:rPr>
        <w:t> </w:t>
      </w:r>
      <w:r>
        <w:rPr/>
        <w:t>Licensing</w:t>
      </w:r>
      <w:r>
        <w:rPr>
          <w:spacing w:val="-2"/>
        </w:rPr>
        <w:t> Agency</w:t>
      </w:r>
    </w:p>
    <w:p>
      <w:pPr>
        <w:pStyle w:val="BodyText"/>
        <w:spacing w:after="0"/>
        <w:sectPr>
          <w:pgSz w:w="12240" w:h="15840"/>
          <w:pgMar w:top="1340" w:bottom="280" w:left="1080" w:right="720"/>
        </w:sectPr>
      </w:pPr>
    </w:p>
    <w:p>
      <w:pPr>
        <w:pStyle w:val="Heading2"/>
      </w:pPr>
      <w:bookmarkStart w:name="612:25-4-1.  Organization of the State L" w:id="390"/>
      <w:bookmarkEnd w:id="390"/>
      <w:r>
        <w:rPr>
          <w:b w:val="0"/>
        </w:rPr>
      </w:r>
      <w:r>
        <w:rPr/>
        <w:t>612:25-4-1.</w:t>
      </w:r>
      <w:r>
        <w:rPr>
          <w:spacing w:val="60"/>
        </w:rPr>
        <w:t> </w:t>
      </w:r>
      <w:r>
        <w:rPr/>
        <w:t>Organization</w:t>
      </w:r>
      <w:r>
        <w:rPr>
          <w:spacing w:val="-4"/>
        </w:rPr>
        <w:t> </w:t>
      </w:r>
      <w:r>
        <w:rPr/>
        <w:t>of</w:t>
      </w:r>
      <w:r>
        <w:rPr>
          <w:spacing w:val="-4"/>
        </w:rPr>
        <w:t> </w:t>
      </w:r>
      <w:r>
        <w:rPr/>
        <w:t>the</w:t>
      </w:r>
      <w:r>
        <w:rPr>
          <w:spacing w:val="-4"/>
        </w:rPr>
        <w:t> </w:t>
      </w:r>
      <w:r>
        <w:rPr/>
        <w:t>State</w:t>
      </w:r>
      <w:r>
        <w:rPr>
          <w:spacing w:val="-4"/>
        </w:rPr>
        <w:t> </w:t>
      </w:r>
      <w:r>
        <w:rPr/>
        <w:t>Licensing</w:t>
      </w:r>
      <w:r>
        <w:rPr>
          <w:spacing w:val="-3"/>
        </w:rPr>
        <w:t> </w:t>
      </w:r>
      <w:r>
        <w:rPr>
          <w:spacing w:val="-2"/>
        </w:rPr>
        <w:t>Agency</w:t>
      </w:r>
    </w:p>
    <w:p>
      <w:pPr>
        <w:pStyle w:val="ListParagraph"/>
        <w:numPr>
          <w:ilvl w:val="0"/>
          <w:numId w:val="377"/>
        </w:numPr>
        <w:tabs>
          <w:tab w:pos="785" w:val="left" w:leader="none"/>
        </w:tabs>
        <w:spacing w:line="208" w:lineRule="auto" w:before="233" w:after="0"/>
        <w:ind w:left="360" w:right="738" w:firstLine="0"/>
        <w:jc w:val="left"/>
        <w:rPr>
          <w:sz w:val="24"/>
        </w:rPr>
      </w:pPr>
      <w:r>
        <w:rPr>
          <w:b/>
          <w:sz w:val="24"/>
        </w:rPr>
        <w:t>Governing board. </w:t>
      </w:r>
      <w:r>
        <w:rPr>
          <w:sz w:val="24"/>
        </w:rPr>
        <w:t>The Oklahoma Department of Rehabilitation Services (DRS) is the designated State Licensing Agency (SLA) for administration of Oklahoma's vending facility</w:t>
      </w:r>
      <w:r>
        <w:rPr>
          <w:spacing w:val="-4"/>
          <w:sz w:val="24"/>
        </w:rPr>
        <w:t> </w:t>
      </w:r>
      <w:r>
        <w:rPr>
          <w:sz w:val="24"/>
        </w:rPr>
        <w:t>program</w:t>
      </w:r>
      <w:r>
        <w:rPr>
          <w:spacing w:val="-3"/>
          <w:sz w:val="24"/>
        </w:rPr>
        <w:t> </w:t>
      </w:r>
      <w:r>
        <w:rPr>
          <w:sz w:val="24"/>
        </w:rPr>
        <w:t>for</w:t>
      </w:r>
      <w:r>
        <w:rPr>
          <w:spacing w:val="-3"/>
          <w:sz w:val="24"/>
        </w:rPr>
        <w:t> </w:t>
      </w:r>
      <w:r>
        <w:rPr>
          <w:sz w:val="24"/>
        </w:rPr>
        <w:t>the</w:t>
      </w:r>
      <w:r>
        <w:rPr>
          <w:spacing w:val="-5"/>
          <w:sz w:val="24"/>
        </w:rPr>
        <w:t> </w:t>
      </w:r>
      <w:r>
        <w:rPr>
          <w:sz w:val="24"/>
        </w:rPr>
        <w:t>blind</w:t>
      </w:r>
      <w:r>
        <w:rPr>
          <w:spacing w:val="-4"/>
          <w:sz w:val="24"/>
        </w:rPr>
        <w:t> </w:t>
      </w:r>
      <w:r>
        <w:rPr>
          <w:sz w:val="24"/>
        </w:rPr>
        <w:t>under</w:t>
      </w:r>
      <w:r>
        <w:rPr>
          <w:spacing w:val="-2"/>
          <w:sz w:val="24"/>
        </w:rPr>
        <w:t> </w:t>
      </w:r>
      <w:r>
        <w:rPr>
          <w:sz w:val="24"/>
        </w:rPr>
        <w:t>the</w:t>
      </w:r>
      <w:r>
        <w:rPr>
          <w:spacing w:val="-4"/>
          <w:sz w:val="24"/>
        </w:rPr>
        <w:t> </w:t>
      </w:r>
      <w:r>
        <w:rPr>
          <w:sz w:val="24"/>
        </w:rPr>
        <w:t>Randolph-Sheppard</w:t>
      </w:r>
      <w:r>
        <w:rPr>
          <w:spacing w:val="-4"/>
          <w:sz w:val="24"/>
        </w:rPr>
        <w:t> </w:t>
      </w:r>
      <w:r>
        <w:rPr>
          <w:sz w:val="24"/>
        </w:rPr>
        <w:t>Act.</w:t>
      </w:r>
      <w:r>
        <w:rPr>
          <w:spacing w:val="40"/>
          <w:sz w:val="24"/>
        </w:rPr>
        <w:t> </w:t>
      </w:r>
      <w:r>
        <w:rPr>
          <w:sz w:val="24"/>
        </w:rPr>
        <w:t>The</w:t>
      </w:r>
      <w:r>
        <w:rPr>
          <w:spacing w:val="-4"/>
          <w:sz w:val="24"/>
        </w:rPr>
        <w:t> </w:t>
      </w:r>
      <w:r>
        <w:rPr>
          <w:sz w:val="24"/>
        </w:rPr>
        <w:t>governing</w:t>
      </w:r>
      <w:r>
        <w:rPr>
          <w:spacing w:val="-4"/>
          <w:sz w:val="24"/>
        </w:rPr>
        <w:t> </w:t>
      </w:r>
      <w:r>
        <w:rPr>
          <w:sz w:val="24"/>
        </w:rPr>
        <w:t>board</w:t>
      </w:r>
      <w:r>
        <w:rPr>
          <w:spacing w:val="-4"/>
          <w:sz w:val="24"/>
        </w:rPr>
        <w:t> </w:t>
      </w:r>
      <w:r>
        <w:rPr>
          <w:sz w:val="24"/>
        </w:rPr>
        <w:t>of the SLA is the Oklahoma Commission for Rehabilitation Services. The Director of DRS reports directly to the Commission.</w:t>
      </w:r>
    </w:p>
    <w:p>
      <w:pPr>
        <w:pStyle w:val="ListParagraph"/>
        <w:numPr>
          <w:ilvl w:val="0"/>
          <w:numId w:val="377"/>
        </w:numPr>
        <w:tabs>
          <w:tab w:pos="786" w:val="left" w:leader="none"/>
        </w:tabs>
        <w:spacing w:line="208" w:lineRule="auto" w:before="239" w:after="0"/>
        <w:ind w:left="360" w:right="822" w:firstLine="0"/>
        <w:jc w:val="left"/>
        <w:rPr>
          <w:sz w:val="24"/>
        </w:rPr>
      </w:pPr>
      <w:r>
        <w:rPr>
          <w:b/>
          <w:sz w:val="24"/>
        </w:rPr>
        <w:t>Business</w:t>
      </w:r>
      <w:r>
        <w:rPr>
          <w:b/>
          <w:spacing w:val="-6"/>
          <w:sz w:val="24"/>
        </w:rPr>
        <w:t> </w:t>
      </w:r>
      <w:r>
        <w:rPr>
          <w:b/>
          <w:sz w:val="24"/>
        </w:rPr>
        <w:t>Enterprise</w:t>
      </w:r>
      <w:r>
        <w:rPr>
          <w:b/>
          <w:spacing w:val="-6"/>
          <w:sz w:val="24"/>
        </w:rPr>
        <w:t> </w:t>
      </w:r>
      <w:r>
        <w:rPr>
          <w:b/>
          <w:sz w:val="24"/>
        </w:rPr>
        <w:t>Program</w:t>
      </w:r>
      <w:r>
        <w:rPr>
          <w:b/>
          <w:spacing w:val="-6"/>
          <w:sz w:val="24"/>
        </w:rPr>
        <w:t> </w:t>
      </w:r>
      <w:r>
        <w:rPr>
          <w:b/>
          <w:sz w:val="24"/>
        </w:rPr>
        <w:t>administration.</w:t>
      </w:r>
      <w:r>
        <w:rPr>
          <w:b/>
          <w:spacing w:val="-6"/>
          <w:sz w:val="24"/>
        </w:rPr>
        <w:t> </w:t>
      </w:r>
      <w:r>
        <w:rPr>
          <w:sz w:val="24"/>
        </w:rPr>
        <w:t>The</w:t>
      </w:r>
      <w:r>
        <w:rPr>
          <w:spacing w:val="-6"/>
          <w:sz w:val="24"/>
        </w:rPr>
        <w:t> </w:t>
      </w:r>
      <w:r>
        <w:rPr>
          <w:sz w:val="24"/>
        </w:rPr>
        <w:t>Business</w:t>
      </w:r>
      <w:r>
        <w:rPr>
          <w:spacing w:val="-5"/>
          <w:sz w:val="24"/>
        </w:rPr>
        <w:t> </w:t>
      </w:r>
      <w:r>
        <w:rPr>
          <w:sz w:val="24"/>
        </w:rPr>
        <w:t>Enterprise</w:t>
      </w:r>
      <w:r>
        <w:rPr>
          <w:spacing w:val="-6"/>
          <w:sz w:val="24"/>
        </w:rPr>
        <w:t> </w:t>
      </w:r>
      <w:r>
        <w:rPr>
          <w:sz w:val="24"/>
        </w:rPr>
        <w:t>Program (BEP) is located in the Division of Services for the Blind and Visually Impaired of DRS, and is administered by the Business Enterprise Program Operations Coordinator who reports to the Services for the Blind and Visually Impaired Division Administrator.</w:t>
      </w:r>
    </w:p>
    <w:p>
      <w:pPr>
        <w:pStyle w:val="ListParagraph"/>
        <w:numPr>
          <w:ilvl w:val="0"/>
          <w:numId w:val="377"/>
        </w:numPr>
        <w:tabs>
          <w:tab w:pos="773" w:val="left" w:leader="none"/>
        </w:tabs>
        <w:spacing w:line="208" w:lineRule="auto" w:before="240" w:after="0"/>
        <w:ind w:left="360" w:right="768" w:firstLine="0"/>
        <w:jc w:val="left"/>
        <w:rPr>
          <w:sz w:val="24"/>
        </w:rPr>
      </w:pPr>
      <w:r>
        <w:rPr>
          <w:b/>
          <w:sz w:val="24"/>
        </w:rPr>
        <w:t>BEP staff. </w:t>
      </w:r>
      <w:r>
        <w:rPr>
          <w:sz w:val="24"/>
        </w:rPr>
        <w:t>The SLA, with consultation from the Elected Committee of Licensed Managers,</w:t>
      </w:r>
      <w:r>
        <w:rPr>
          <w:spacing w:val="-5"/>
          <w:sz w:val="24"/>
        </w:rPr>
        <w:t> </w:t>
      </w:r>
      <w:r>
        <w:rPr>
          <w:sz w:val="24"/>
        </w:rPr>
        <w:t>determines</w:t>
      </w:r>
      <w:r>
        <w:rPr>
          <w:spacing w:val="-4"/>
          <w:sz w:val="24"/>
        </w:rPr>
        <w:t> </w:t>
      </w:r>
      <w:r>
        <w:rPr>
          <w:sz w:val="24"/>
        </w:rPr>
        <w:t>staffing</w:t>
      </w:r>
      <w:r>
        <w:rPr>
          <w:spacing w:val="-4"/>
          <w:sz w:val="24"/>
        </w:rPr>
        <w:t> </w:t>
      </w:r>
      <w:r>
        <w:rPr>
          <w:sz w:val="24"/>
        </w:rPr>
        <w:t>requirements</w:t>
      </w:r>
      <w:r>
        <w:rPr>
          <w:spacing w:val="-4"/>
          <w:sz w:val="24"/>
        </w:rPr>
        <w:t> </w:t>
      </w:r>
      <w:r>
        <w:rPr>
          <w:sz w:val="24"/>
        </w:rPr>
        <w:t>for</w:t>
      </w:r>
      <w:r>
        <w:rPr>
          <w:spacing w:val="-3"/>
          <w:sz w:val="24"/>
        </w:rPr>
        <w:t> </w:t>
      </w:r>
      <w:r>
        <w:rPr>
          <w:sz w:val="24"/>
        </w:rPr>
        <w:t>administration</w:t>
      </w:r>
      <w:r>
        <w:rPr>
          <w:spacing w:val="-4"/>
          <w:sz w:val="24"/>
        </w:rPr>
        <w:t> </w:t>
      </w:r>
      <w:r>
        <w:rPr>
          <w:sz w:val="24"/>
        </w:rPr>
        <w:t>of</w:t>
      </w:r>
      <w:r>
        <w:rPr>
          <w:spacing w:val="-5"/>
          <w:sz w:val="24"/>
        </w:rPr>
        <w:t> </w:t>
      </w:r>
      <w:r>
        <w:rPr>
          <w:sz w:val="24"/>
        </w:rPr>
        <w:t>the</w:t>
      </w:r>
      <w:r>
        <w:rPr>
          <w:spacing w:val="-4"/>
          <w:sz w:val="24"/>
        </w:rPr>
        <w:t> </w:t>
      </w:r>
      <w:r>
        <w:rPr>
          <w:sz w:val="24"/>
        </w:rPr>
        <w:t>BEP</w:t>
      </w:r>
      <w:r>
        <w:rPr>
          <w:spacing w:val="-4"/>
          <w:sz w:val="24"/>
        </w:rPr>
        <w:t> </w:t>
      </w:r>
      <w:r>
        <w:rPr>
          <w:sz w:val="24"/>
        </w:rPr>
        <w:t>and</w:t>
      </w:r>
      <w:r>
        <w:rPr>
          <w:spacing w:val="-4"/>
          <w:sz w:val="24"/>
        </w:rPr>
        <w:t> </w:t>
      </w:r>
      <w:r>
        <w:rPr>
          <w:sz w:val="24"/>
        </w:rPr>
        <w:t>provision of services to achieve the mission, goals and objectives of the Program.</w:t>
      </w:r>
    </w:p>
    <w:p>
      <w:pPr>
        <w:pStyle w:val="ListParagraph"/>
        <w:numPr>
          <w:ilvl w:val="0"/>
          <w:numId w:val="377"/>
        </w:numPr>
        <w:tabs>
          <w:tab w:pos="786" w:val="left" w:leader="none"/>
        </w:tabs>
        <w:spacing w:line="208" w:lineRule="auto" w:before="240" w:after="0"/>
        <w:ind w:left="360" w:right="805" w:firstLine="0"/>
        <w:jc w:val="left"/>
        <w:rPr>
          <w:sz w:val="24"/>
        </w:rPr>
      </w:pPr>
      <w:r>
        <w:rPr>
          <w:b/>
          <w:sz w:val="24"/>
        </w:rPr>
        <w:t>Licensed managers. </w:t>
      </w:r>
      <w:r>
        <w:rPr>
          <w:sz w:val="24"/>
        </w:rPr>
        <w:t>The individual enterprises established by the Business Enterprise Program are managed by licensed managers. Licensed managers are subject to the policies and procedures of the Business Enterprise Program, but are not employees</w:t>
      </w:r>
      <w:r>
        <w:rPr>
          <w:spacing w:val="-3"/>
          <w:sz w:val="24"/>
        </w:rPr>
        <w:t> </w:t>
      </w:r>
      <w:r>
        <w:rPr>
          <w:sz w:val="24"/>
        </w:rPr>
        <w:t>of</w:t>
      </w:r>
      <w:r>
        <w:rPr>
          <w:spacing w:val="-3"/>
          <w:sz w:val="24"/>
        </w:rPr>
        <w:t> </w:t>
      </w:r>
      <w:r>
        <w:rPr>
          <w:sz w:val="24"/>
        </w:rPr>
        <w:t>the</w:t>
      </w:r>
      <w:r>
        <w:rPr>
          <w:spacing w:val="-3"/>
          <w:sz w:val="24"/>
        </w:rPr>
        <w:t> </w:t>
      </w:r>
      <w:r>
        <w:rPr>
          <w:sz w:val="24"/>
        </w:rPr>
        <w:t>program,</w:t>
      </w:r>
      <w:r>
        <w:rPr>
          <w:spacing w:val="-3"/>
          <w:sz w:val="24"/>
        </w:rPr>
        <w:t> </w:t>
      </w:r>
      <w:r>
        <w:rPr>
          <w:sz w:val="24"/>
        </w:rPr>
        <w:t>the</w:t>
      </w:r>
      <w:r>
        <w:rPr>
          <w:spacing w:val="-3"/>
          <w:sz w:val="24"/>
        </w:rPr>
        <w:t> </w:t>
      </w:r>
      <w:r>
        <w:rPr>
          <w:sz w:val="24"/>
        </w:rPr>
        <w:t>SLA,</w:t>
      </w:r>
      <w:r>
        <w:rPr>
          <w:spacing w:val="-3"/>
          <w:sz w:val="24"/>
        </w:rPr>
        <w:t> </w:t>
      </w:r>
      <w:r>
        <w:rPr>
          <w:sz w:val="24"/>
        </w:rPr>
        <w:t>or</w:t>
      </w:r>
      <w:r>
        <w:rPr>
          <w:spacing w:val="-4"/>
          <w:sz w:val="24"/>
        </w:rPr>
        <w:t> </w:t>
      </w:r>
      <w:r>
        <w:rPr>
          <w:sz w:val="24"/>
        </w:rPr>
        <w:t>the</w:t>
      </w:r>
      <w:r>
        <w:rPr>
          <w:spacing w:val="-3"/>
          <w:sz w:val="24"/>
        </w:rPr>
        <w:t> </w:t>
      </w:r>
      <w:r>
        <w:rPr>
          <w:sz w:val="24"/>
        </w:rPr>
        <w:t>State</w:t>
      </w:r>
      <w:r>
        <w:rPr>
          <w:spacing w:val="-3"/>
          <w:sz w:val="24"/>
        </w:rPr>
        <w:t> </w:t>
      </w:r>
      <w:r>
        <w:rPr>
          <w:sz w:val="24"/>
        </w:rPr>
        <w:t>of</w:t>
      </w:r>
      <w:r>
        <w:rPr>
          <w:spacing w:val="-4"/>
          <w:sz w:val="24"/>
        </w:rPr>
        <w:t> </w:t>
      </w:r>
      <w:r>
        <w:rPr>
          <w:sz w:val="24"/>
        </w:rPr>
        <w:t>Oklahoma.</w:t>
      </w:r>
      <w:r>
        <w:rPr>
          <w:spacing w:val="-3"/>
          <w:sz w:val="24"/>
        </w:rPr>
        <w:t> </w:t>
      </w:r>
      <w:r>
        <w:rPr>
          <w:sz w:val="24"/>
        </w:rPr>
        <w:t>They</w:t>
      </w:r>
      <w:r>
        <w:rPr>
          <w:spacing w:val="-3"/>
          <w:sz w:val="24"/>
        </w:rPr>
        <w:t> </w:t>
      </w:r>
      <w:r>
        <w:rPr>
          <w:sz w:val="24"/>
        </w:rPr>
        <w:t>do,</w:t>
      </w:r>
      <w:r>
        <w:rPr>
          <w:spacing w:val="-3"/>
          <w:sz w:val="24"/>
        </w:rPr>
        <w:t> </w:t>
      </w:r>
      <w:r>
        <w:rPr>
          <w:sz w:val="24"/>
        </w:rPr>
        <w:t>however,</w:t>
      </w:r>
      <w:r>
        <w:rPr>
          <w:spacing w:val="-3"/>
          <w:sz w:val="24"/>
        </w:rPr>
        <w:t> </w:t>
      </w:r>
      <w:r>
        <w:rPr>
          <w:sz w:val="24"/>
        </w:rPr>
        <w:t>have a contractual relationship with the SLA and are required to manage the business enterprise in accordance with established rules and regulations.</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7-1-99</w:t>
      </w:r>
      <w:r>
        <w:rPr>
          <w:sz w:val="22"/>
        </w:rPr>
        <w:tab/>
        <w:t>POL Memo #00-1</w:t>
      </w:r>
    </w:p>
    <w:p>
      <w:pPr>
        <w:tabs>
          <w:tab w:pos="1439" w:val="left" w:leader="none"/>
        </w:tabs>
        <w:spacing w:before="0"/>
        <w:ind w:left="359" w:right="6491" w:firstLine="1080"/>
        <w:jc w:val="left"/>
        <w:rPr>
          <w:sz w:val="22"/>
        </w:rPr>
      </w:pPr>
      <w:r>
        <w:rPr>
          <w:sz w:val="22"/>
        </w:rPr>
        <w:t>Permanent,</w:t>
      </w:r>
      <w:r>
        <w:rPr>
          <w:spacing w:val="-16"/>
          <w:sz w:val="22"/>
        </w:rPr>
        <w:t> </w:t>
      </w:r>
      <w:r>
        <w:rPr>
          <w:sz w:val="22"/>
        </w:rPr>
        <w:t>updated</w:t>
      </w:r>
      <w:r>
        <w:rPr>
          <w:spacing w:val="-15"/>
          <w:sz w:val="22"/>
        </w:rPr>
        <w:t> </w:t>
      </w:r>
      <w:r>
        <w:rPr>
          <w:sz w:val="22"/>
        </w:rPr>
        <w:t>DVS </w:t>
      </w:r>
      <w:r>
        <w:rPr>
          <w:spacing w:val="-2"/>
          <w:sz w:val="22"/>
        </w:rPr>
        <w:t>7-1-05</w:t>
      </w:r>
      <w:r>
        <w:rPr>
          <w:sz w:val="22"/>
        </w:rPr>
        <w:tab/>
        <w:t>PT Memo #06-01</w:t>
      </w:r>
    </w:p>
    <w:p>
      <w:pPr>
        <w:spacing w:before="1"/>
        <w:ind w:left="1439" w:right="0" w:firstLine="0"/>
        <w:jc w:val="left"/>
        <w:rPr>
          <w:sz w:val="22"/>
        </w:rPr>
      </w:pPr>
      <w:r>
        <w:rPr>
          <w:sz w:val="22"/>
        </w:rPr>
        <w:t>Permanent,</w:t>
      </w:r>
      <w:r>
        <w:rPr>
          <w:spacing w:val="-10"/>
          <w:sz w:val="22"/>
        </w:rPr>
        <w:t> </w:t>
      </w:r>
      <w:r>
        <w:rPr>
          <w:sz w:val="22"/>
        </w:rPr>
        <w:t>cleanup</w:t>
      </w:r>
      <w:r>
        <w:rPr>
          <w:spacing w:val="-11"/>
          <w:sz w:val="22"/>
        </w:rPr>
        <w:t> </w:t>
      </w:r>
      <w:r>
        <w:rPr>
          <w:spacing w:val="-2"/>
          <w:sz w:val="22"/>
        </w:rPr>
        <w:t>language</w:t>
      </w:r>
    </w:p>
    <w:p>
      <w:pPr>
        <w:pStyle w:val="ListParagraph"/>
        <w:numPr>
          <w:ilvl w:val="2"/>
          <w:numId w:val="283"/>
        </w:numPr>
        <w:tabs>
          <w:tab w:pos="1439" w:val="left" w:leader="none"/>
        </w:tabs>
        <w:spacing w:line="253" w:lineRule="exact" w:before="0" w:after="0"/>
        <w:ind w:left="1439" w:right="0" w:hanging="1080"/>
        <w:jc w:val="left"/>
        <w:rPr>
          <w:sz w:val="22"/>
        </w:rPr>
      </w:pPr>
      <w:r>
        <w:rPr>
          <w:sz w:val="22"/>
        </w:rPr>
        <w:t>Permanent,</w:t>
      </w:r>
      <w:r>
        <w:rPr>
          <w:spacing w:val="-7"/>
          <w:sz w:val="22"/>
        </w:rPr>
        <w:t> </w:t>
      </w:r>
      <w:r>
        <w:rPr>
          <w:sz w:val="22"/>
        </w:rPr>
        <w:t>updated</w:t>
      </w:r>
      <w:r>
        <w:rPr>
          <w:spacing w:val="-8"/>
          <w:sz w:val="22"/>
        </w:rPr>
        <w:t> </w:t>
      </w:r>
      <w:r>
        <w:rPr>
          <w:sz w:val="22"/>
        </w:rPr>
        <w:t>language</w:t>
      </w:r>
      <w:r>
        <w:rPr>
          <w:spacing w:val="-8"/>
          <w:sz w:val="22"/>
        </w:rPr>
        <w:t> </w:t>
      </w:r>
      <w:r>
        <w:rPr>
          <w:sz w:val="22"/>
        </w:rPr>
        <w:t>due</w:t>
      </w:r>
      <w:r>
        <w:rPr>
          <w:spacing w:val="-8"/>
          <w:sz w:val="22"/>
        </w:rPr>
        <w:t> </w:t>
      </w:r>
      <w:r>
        <w:rPr>
          <w:sz w:val="22"/>
        </w:rPr>
        <w:t>to</w:t>
      </w:r>
      <w:r>
        <w:rPr>
          <w:spacing w:val="-7"/>
          <w:sz w:val="22"/>
        </w:rPr>
        <w:t> </w:t>
      </w:r>
      <w:r>
        <w:rPr>
          <w:spacing w:val="-2"/>
          <w:sz w:val="22"/>
        </w:rPr>
        <w:t>audit.</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360" w:right="0" w:firstLine="0"/>
        <w:jc w:val="left"/>
        <w:rPr>
          <w:sz w:val="22"/>
        </w:rPr>
      </w:pPr>
      <w:r>
        <w:rPr>
          <w:spacing w:val="-2"/>
          <w:sz w:val="22"/>
        </w:rPr>
        <w:t>9-11-</w:t>
      </w:r>
      <w:r>
        <w:rPr>
          <w:spacing w:val="-5"/>
          <w:sz w:val="22"/>
        </w:rPr>
        <w:t>22</w:t>
      </w:r>
      <w:r>
        <w:rPr>
          <w:sz w:val="22"/>
        </w:rPr>
        <w:tab/>
        <w:t>Revised</w:t>
      </w:r>
      <w:r>
        <w:rPr>
          <w:spacing w:val="-7"/>
          <w:sz w:val="22"/>
        </w:rPr>
        <w:t> </w:t>
      </w:r>
      <w:r>
        <w:rPr>
          <w:sz w:val="22"/>
        </w:rPr>
        <w:t>“Visual</w:t>
      </w:r>
      <w:r>
        <w:rPr>
          <w:spacing w:val="-6"/>
          <w:sz w:val="22"/>
        </w:rPr>
        <w:t> </w:t>
      </w:r>
      <w:r>
        <w:rPr>
          <w:sz w:val="22"/>
        </w:rPr>
        <w:t>Services”</w:t>
      </w:r>
      <w:r>
        <w:rPr>
          <w:spacing w:val="-7"/>
          <w:sz w:val="22"/>
        </w:rPr>
        <w:t> </w:t>
      </w:r>
      <w:r>
        <w:rPr>
          <w:sz w:val="22"/>
        </w:rPr>
        <w:t>to</w:t>
      </w:r>
      <w:r>
        <w:rPr>
          <w:spacing w:val="-6"/>
          <w:sz w:val="22"/>
        </w:rPr>
        <w:t> </w:t>
      </w:r>
      <w:r>
        <w:rPr>
          <w:sz w:val="22"/>
        </w:rPr>
        <w:t>read</w:t>
      </w:r>
      <w:r>
        <w:rPr>
          <w:spacing w:val="-7"/>
          <w:sz w:val="22"/>
        </w:rPr>
        <w:t> </w:t>
      </w:r>
      <w:r>
        <w:rPr>
          <w:sz w:val="22"/>
        </w:rPr>
        <w:t>“Services</w:t>
      </w:r>
      <w:r>
        <w:rPr>
          <w:spacing w:val="-6"/>
          <w:sz w:val="22"/>
        </w:rPr>
        <w:t> </w:t>
      </w:r>
      <w:r>
        <w:rPr>
          <w:sz w:val="22"/>
        </w:rPr>
        <w:t>for</w:t>
      </w:r>
      <w:r>
        <w:rPr>
          <w:spacing w:val="-8"/>
          <w:sz w:val="22"/>
        </w:rPr>
        <w:t> </w:t>
      </w:r>
      <w:r>
        <w:rPr>
          <w:sz w:val="22"/>
        </w:rPr>
        <w:t>the</w:t>
      </w:r>
      <w:r>
        <w:rPr>
          <w:spacing w:val="-6"/>
          <w:sz w:val="22"/>
        </w:rPr>
        <w:t> </w:t>
      </w:r>
      <w:r>
        <w:rPr>
          <w:sz w:val="22"/>
        </w:rPr>
        <w:t>Blind</w:t>
      </w:r>
      <w:r>
        <w:rPr>
          <w:spacing w:val="-7"/>
          <w:sz w:val="22"/>
        </w:rPr>
        <w:t> </w:t>
      </w:r>
      <w:r>
        <w:rPr>
          <w:sz w:val="22"/>
        </w:rPr>
        <w:t>and</w:t>
      </w:r>
      <w:r>
        <w:rPr>
          <w:spacing w:val="-7"/>
          <w:sz w:val="22"/>
        </w:rPr>
        <w:t> </w:t>
      </w:r>
      <w:r>
        <w:rPr>
          <w:sz w:val="22"/>
        </w:rPr>
        <w:t>Visually</w:t>
      </w:r>
      <w:r>
        <w:rPr>
          <w:spacing w:val="-7"/>
          <w:sz w:val="22"/>
        </w:rPr>
        <w:t> </w:t>
      </w:r>
      <w:r>
        <w:rPr>
          <w:spacing w:val="-2"/>
          <w:sz w:val="22"/>
        </w:rPr>
        <w:t>Impaired.</w:t>
      </w:r>
    </w:p>
    <w:p>
      <w:pPr>
        <w:spacing w:after="0"/>
        <w:jc w:val="left"/>
        <w:rPr>
          <w:sz w:val="22"/>
        </w:rPr>
        <w:sectPr>
          <w:pgSz w:w="12240" w:h="15840"/>
          <w:pgMar w:top="1340" w:bottom="280" w:left="1080" w:right="720"/>
        </w:sectPr>
      </w:pPr>
    </w:p>
    <w:p>
      <w:pPr>
        <w:pStyle w:val="Heading2"/>
      </w:pPr>
      <w:bookmarkStart w:name="612:25-4-4.  Management services provide" w:id="391"/>
      <w:bookmarkEnd w:id="391"/>
      <w:r>
        <w:rPr>
          <w:b w:val="0"/>
        </w:rPr>
      </w:r>
      <w:r>
        <w:rPr/>
        <w:t>612:25-4-4.</w:t>
      </w:r>
      <w:r>
        <w:rPr>
          <w:spacing w:val="58"/>
        </w:rPr>
        <w:t> </w:t>
      </w:r>
      <w:r>
        <w:rPr/>
        <w:t>Management</w:t>
      </w:r>
      <w:r>
        <w:rPr>
          <w:spacing w:val="-3"/>
        </w:rPr>
        <w:t> </w:t>
      </w:r>
      <w:r>
        <w:rPr/>
        <w:t>services</w:t>
      </w:r>
      <w:r>
        <w:rPr>
          <w:spacing w:val="-3"/>
        </w:rPr>
        <w:t> </w:t>
      </w:r>
      <w:r>
        <w:rPr/>
        <w:t>provided</w:t>
      </w:r>
      <w:r>
        <w:rPr>
          <w:spacing w:val="-4"/>
        </w:rPr>
        <w:t> </w:t>
      </w:r>
      <w:r>
        <w:rPr/>
        <w:t>by</w:t>
      </w:r>
      <w:r>
        <w:rPr>
          <w:spacing w:val="-4"/>
        </w:rPr>
        <w:t> </w:t>
      </w:r>
      <w:r>
        <w:rPr/>
        <w:t>the</w:t>
      </w:r>
      <w:r>
        <w:rPr>
          <w:spacing w:val="-5"/>
        </w:rPr>
        <w:t> </w:t>
      </w:r>
      <w:r>
        <w:rPr/>
        <w:t>State</w:t>
      </w:r>
      <w:r>
        <w:rPr>
          <w:spacing w:val="-4"/>
        </w:rPr>
        <w:t> </w:t>
      </w:r>
      <w:r>
        <w:rPr/>
        <w:t>Licensing</w:t>
      </w:r>
      <w:r>
        <w:rPr>
          <w:spacing w:val="-4"/>
        </w:rPr>
        <w:t> </w:t>
      </w:r>
      <w:r>
        <w:rPr>
          <w:spacing w:val="-2"/>
        </w:rPr>
        <w:t>Agency</w:t>
      </w:r>
    </w:p>
    <w:p>
      <w:pPr>
        <w:pStyle w:val="ListParagraph"/>
        <w:numPr>
          <w:ilvl w:val="0"/>
          <w:numId w:val="378"/>
        </w:numPr>
        <w:tabs>
          <w:tab w:pos="785" w:val="left" w:leader="none"/>
        </w:tabs>
        <w:spacing w:line="208" w:lineRule="auto" w:before="233" w:after="0"/>
        <w:ind w:left="360" w:right="900" w:firstLine="0"/>
        <w:jc w:val="left"/>
        <w:rPr>
          <w:sz w:val="24"/>
        </w:rPr>
      </w:pPr>
      <w:r>
        <w:rPr>
          <w:b/>
          <w:sz w:val="24"/>
        </w:rPr>
        <w:t>Overview</w:t>
      </w:r>
      <w:r>
        <w:rPr>
          <w:b/>
          <w:spacing w:val="-4"/>
          <w:sz w:val="24"/>
        </w:rPr>
        <w:t> </w:t>
      </w:r>
      <w:r>
        <w:rPr>
          <w:b/>
          <w:sz w:val="24"/>
        </w:rPr>
        <w:t>of</w:t>
      </w:r>
      <w:r>
        <w:rPr>
          <w:b/>
          <w:spacing w:val="-4"/>
          <w:sz w:val="24"/>
        </w:rPr>
        <w:t> </w:t>
      </w:r>
      <w:r>
        <w:rPr>
          <w:b/>
          <w:sz w:val="24"/>
        </w:rPr>
        <w:t>management</w:t>
      </w:r>
      <w:r>
        <w:rPr>
          <w:b/>
          <w:spacing w:val="-4"/>
          <w:sz w:val="24"/>
        </w:rPr>
        <w:t> </w:t>
      </w:r>
      <w:r>
        <w:rPr>
          <w:b/>
          <w:sz w:val="24"/>
        </w:rPr>
        <w:t>services.</w:t>
      </w:r>
      <w:r>
        <w:rPr>
          <w:b/>
          <w:spacing w:val="-5"/>
          <w:sz w:val="24"/>
        </w:rPr>
        <w:t> </w:t>
      </w:r>
      <w:r>
        <w:rPr>
          <w:sz w:val="24"/>
        </w:rPr>
        <w:t>Management</w:t>
      </w:r>
      <w:r>
        <w:rPr>
          <w:spacing w:val="-3"/>
          <w:sz w:val="24"/>
        </w:rPr>
        <w:t> </w:t>
      </w:r>
      <w:r>
        <w:rPr>
          <w:sz w:val="24"/>
        </w:rPr>
        <w:t>services</w:t>
      </w:r>
      <w:r>
        <w:rPr>
          <w:spacing w:val="-5"/>
          <w:sz w:val="24"/>
        </w:rPr>
        <w:t> </w:t>
      </w:r>
      <w:r>
        <w:rPr>
          <w:sz w:val="24"/>
        </w:rPr>
        <w:t>provided</w:t>
      </w:r>
      <w:r>
        <w:rPr>
          <w:spacing w:val="-5"/>
          <w:sz w:val="24"/>
        </w:rPr>
        <w:t> </w:t>
      </w:r>
      <w:r>
        <w:rPr>
          <w:sz w:val="24"/>
        </w:rPr>
        <w:t>by</w:t>
      </w:r>
      <w:r>
        <w:rPr>
          <w:spacing w:val="-5"/>
          <w:sz w:val="24"/>
        </w:rPr>
        <w:t> </w:t>
      </w:r>
      <w:r>
        <w:rPr>
          <w:sz w:val="24"/>
        </w:rPr>
        <w:t>the</w:t>
      </w:r>
      <w:r>
        <w:rPr>
          <w:spacing w:val="-5"/>
          <w:sz w:val="24"/>
        </w:rPr>
        <w:t> </w:t>
      </w:r>
      <w:r>
        <w:rPr>
          <w:sz w:val="24"/>
        </w:rPr>
        <w:t>State Licensing Agency (SLA) include but are not limited to inspections, quality control, consultation and technical assistance for licensed managers, accounting, regulating, training, including in-service training, equipment procurement and other services provided to support and improve business enterprises.</w:t>
      </w:r>
    </w:p>
    <w:p>
      <w:pPr>
        <w:pStyle w:val="ListParagraph"/>
        <w:numPr>
          <w:ilvl w:val="0"/>
          <w:numId w:val="378"/>
        </w:numPr>
        <w:tabs>
          <w:tab w:pos="786" w:val="left" w:leader="none"/>
        </w:tabs>
        <w:spacing w:line="208" w:lineRule="auto" w:before="239" w:after="0"/>
        <w:ind w:left="360" w:right="1167" w:firstLine="0"/>
        <w:jc w:val="left"/>
        <w:rPr>
          <w:sz w:val="24"/>
        </w:rPr>
      </w:pPr>
      <w:r>
        <w:rPr>
          <w:b/>
          <w:sz w:val="24"/>
        </w:rPr>
        <w:t>Consultation</w:t>
      </w:r>
      <w:r>
        <w:rPr>
          <w:b/>
          <w:spacing w:val="-6"/>
          <w:sz w:val="24"/>
        </w:rPr>
        <w:t> </w:t>
      </w:r>
      <w:r>
        <w:rPr>
          <w:b/>
          <w:sz w:val="24"/>
        </w:rPr>
        <w:t>and</w:t>
      </w:r>
      <w:r>
        <w:rPr>
          <w:b/>
          <w:spacing w:val="-5"/>
          <w:sz w:val="24"/>
        </w:rPr>
        <w:t> </w:t>
      </w:r>
      <w:r>
        <w:rPr>
          <w:b/>
          <w:sz w:val="24"/>
        </w:rPr>
        <w:t>technical</w:t>
      </w:r>
      <w:r>
        <w:rPr>
          <w:b/>
          <w:spacing w:val="-6"/>
          <w:sz w:val="24"/>
        </w:rPr>
        <w:t> </w:t>
      </w:r>
      <w:r>
        <w:rPr>
          <w:b/>
          <w:sz w:val="24"/>
        </w:rPr>
        <w:t>assistance.</w:t>
      </w:r>
      <w:r>
        <w:rPr>
          <w:b/>
          <w:spacing w:val="-5"/>
          <w:sz w:val="24"/>
        </w:rPr>
        <w:t> </w:t>
      </w:r>
      <w:r>
        <w:rPr>
          <w:sz w:val="24"/>
        </w:rPr>
        <w:t>The</w:t>
      </w:r>
      <w:r>
        <w:rPr>
          <w:spacing w:val="-5"/>
          <w:sz w:val="24"/>
        </w:rPr>
        <w:t> </w:t>
      </w:r>
      <w:r>
        <w:rPr>
          <w:sz w:val="24"/>
        </w:rPr>
        <w:t>SLA</w:t>
      </w:r>
      <w:r>
        <w:rPr>
          <w:spacing w:val="-5"/>
          <w:sz w:val="24"/>
        </w:rPr>
        <w:t> </w:t>
      </w:r>
      <w:r>
        <w:rPr>
          <w:sz w:val="24"/>
        </w:rPr>
        <w:t>provides</w:t>
      </w:r>
      <w:r>
        <w:rPr>
          <w:spacing w:val="-5"/>
          <w:sz w:val="24"/>
        </w:rPr>
        <w:t> </w:t>
      </w:r>
      <w:r>
        <w:rPr>
          <w:sz w:val="24"/>
        </w:rPr>
        <w:t>licensed</w:t>
      </w:r>
      <w:r>
        <w:rPr>
          <w:spacing w:val="-5"/>
          <w:sz w:val="24"/>
        </w:rPr>
        <w:t> </w:t>
      </w:r>
      <w:r>
        <w:rPr>
          <w:sz w:val="24"/>
        </w:rPr>
        <w:t>managers with consultation and technical assistance services that may include:</w:t>
      </w:r>
    </w:p>
    <w:p>
      <w:pPr>
        <w:pStyle w:val="ListParagraph"/>
        <w:numPr>
          <w:ilvl w:val="1"/>
          <w:numId w:val="378"/>
        </w:numPr>
        <w:tabs>
          <w:tab w:pos="1218" w:val="left" w:leader="none"/>
        </w:tabs>
        <w:spacing w:line="240" w:lineRule="auto" w:before="211" w:after="0"/>
        <w:ind w:left="1218" w:right="0" w:hanging="426"/>
        <w:jc w:val="left"/>
        <w:rPr>
          <w:sz w:val="24"/>
        </w:rPr>
      </w:pPr>
      <w:r>
        <w:rPr>
          <w:sz w:val="24"/>
        </w:rPr>
        <w:t>Recommendations</w:t>
      </w:r>
      <w:r>
        <w:rPr>
          <w:spacing w:val="-7"/>
          <w:sz w:val="24"/>
        </w:rPr>
        <w:t> </w:t>
      </w:r>
      <w:r>
        <w:rPr>
          <w:sz w:val="24"/>
        </w:rPr>
        <w:t>for</w:t>
      </w:r>
      <w:r>
        <w:rPr>
          <w:spacing w:val="-3"/>
          <w:sz w:val="24"/>
        </w:rPr>
        <w:t> </w:t>
      </w:r>
      <w:r>
        <w:rPr>
          <w:sz w:val="24"/>
        </w:rPr>
        <w:t>optimizing</w:t>
      </w:r>
      <w:r>
        <w:rPr>
          <w:spacing w:val="-4"/>
          <w:sz w:val="24"/>
        </w:rPr>
        <w:t> </w:t>
      </w:r>
      <w:r>
        <w:rPr>
          <w:sz w:val="24"/>
        </w:rPr>
        <w:t>the</w:t>
      </w:r>
      <w:r>
        <w:rPr>
          <w:spacing w:val="-4"/>
          <w:sz w:val="24"/>
        </w:rPr>
        <w:t> </w:t>
      </w:r>
      <w:r>
        <w:rPr>
          <w:sz w:val="24"/>
        </w:rPr>
        <w:t>profitability</w:t>
      </w:r>
      <w:r>
        <w:rPr>
          <w:spacing w:val="-4"/>
          <w:sz w:val="24"/>
        </w:rPr>
        <w:t> </w:t>
      </w:r>
      <w:r>
        <w:rPr>
          <w:sz w:val="24"/>
        </w:rPr>
        <w:t>of</w:t>
      </w:r>
      <w:r>
        <w:rPr>
          <w:spacing w:val="-5"/>
          <w:sz w:val="24"/>
        </w:rPr>
        <w:t> </w:t>
      </w:r>
      <w:r>
        <w:rPr>
          <w:sz w:val="24"/>
        </w:rPr>
        <w:t>the</w:t>
      </w:r>
      <w:r>
        <w:rPr>
          <w:spacing w:val="-4"/>
          <w:sz w:val="24"/>
        </w:rPr>
        <w:t> </w:t>
      </w:r>
      <w:r>
        <w:rPr>
          <w:sz w:val="24"/>
        </w:rPr>
        <w:t>business</w:t>
      </w:r>
      <w:r>
        <w:rPr>
          <w:spacing w:val="-4"/>
          <w:sz w:val="24"/>
        </w:rPr>
        <w:t> </w:t>
      </w:r>
      <w:r>
        <w:rPr>
          <w:spacing w:val="-2"/>
          <w:sz w:val="24"/>
        </w:rPr>
        <w:t>enterprise;</w:t>
      </w:r>
    </w:p>
    <w:p>
      <w:pPr>
        <w:pStyle w:val="ListParagraph"/>
        <w:numPr>
          <w:ilvl w:val="1"/>
          <w:numId w:val="378"/>
        </w:numPr>
        <w:tabs>
          <w:tab w:pos="1218" w:val="left" w:leader="none"/>
        </w:tabs>
        <w:spacing w:line="208" w:lineRule="auto" w:before="233" w:after="0"/>
        <w:ind w:left="792" w:right="1027" w:firstLine="0"/>
        <w:jc w:val="left"/>
        <w:rPr>
          <w:sz w:val="24"/>
        </w:rPr>
      </w:pPr>
      <w:r>
        <w:rPr>
          <w:sz w:val="24"/>
        </w:rPr>
        <w:t>Recommendations</w:t>
      </w:r>
      <w:r>
        <w:rPr>
          <w:spacing w:val="-6"/>
          <w:sz w:val="24"/>
        </w:rPr>
        <w:t> </w:t>
      </w:r>
      <w:r>
        <w:rPr>
          <w:sz w:val="24"/>
        </w:rPr>
        <w:t>and</w:t>
      </w:r>
      <w:r>
        <w:rPr>
          <w:spacing w:val="-6"/>
          <w:sz w:val="24"/>
        </w:rPr>
        <w:t> </w:t>
      </w:r>
      <w:r>
        <w:rPr>
          <w:sz w:val="24"/>
        </w:rPr>
        <w:t>feedback</w:t>
      </w:r>
      <w:r>
        <w:rPr>
          <w:spacing w:val="-6"/>
          <w:sz w:val="24"/>
        </w:rPr>
        <w:t> </w:t>
      </w:r>
      <w:r>
        <w:rPr>
          <w:sz w:val="24"/>
        </w:rPr>
        <w:t>on</w:t>
      </w:r>
      <w:r>
        <w:rPr>
          <w:spacing w:val="-6"/>
          <w:sz w:val="24"/>
        </w:rPr>
        <w:t> </w:t>
      </w:r>
      <w:r>
        <w:rPr>
          <w:sz w:val="24"/>
        </w:rPr>
        <w:t>business</w:t>
      </w:r>
      <w:r>
        <w:rPr>
          <w:spacing w:val="-6"/>
          <w:sz w:val="24"/>
        </w:rPr>
        <w:t> </w:t>
      </w:r>
      <w:r>
        <w:rPr>
          <w:sz w:val="24"/>
        </w:rPr>
        <w:t>enterprise</w:t>
      </w:r>
      <w:r>
        <w:rPr>
          <w:spacing w:val="-6"/>
          <w:sz w:val="24"/>
        </w:rPr>
        <w:t> </w:t>
      </w:r>
      <w:r>
        <w:rPr>
          <w:sz w:val="24"/>
        </w:rPr>
        <w:t>operations</w:t>
      </w:r>
      <w:r>
        <w:rPr>
          <w:spacing w:val="-6"/>
          <w:sz w:val="24"/>
        </w:rPr>
        <w:t> </w:t>
      </w:r>
      <w:r>
        <w:rPr>
          <w:sz w:val="24"/>
        </w:rPr>
        <w:t>including quality, service, and cleanliness;</w:t>
      </w:r>
    </w:p>
    <w:p>
      <w:pPr>
        <w:pStyle w:val="ListParagraph"/>
        <w:numPr>
          <w:ilvl w:val="1"/>
          <w:numId w:val="378"/>
        </w:numPr>
        <w:tabs>
          <w:tab w:pos="1218" w:val="left" w:leader="none"/>
        </w:tabs>
        <w:spacing w:line="208" w:lineRule="auto" w:before="240" w:after="0"/>
        <w:ind w:left="792" w:right="894" w:firstLine="0"/>
        <w:jc w:val="left"/>
        <w:rPr>
          <w:sz w:val="24"/>
        </w:rPr>
      </w:pPr>
      <w:r>
        <w:rPr>
          <w:sz w:val="24"/>
        </w:rPr>
        <w:t>Possible</w:t>
      </w:r>
      <w:r>
        <w:rPr>
          <w:spacing w:val="-4"/>
          <w:sz w:val="24"/>
        </w:rPr>
        <w:t> </w:t>
      </w:r>
      <w:r>
        <w:rPr>
          <w:sz w:val="24"/>
        </w:rPr>
        <w:t>solutions</w:t>
      </w:r>
      <w:r>
        <w:rPr>
          <w:spacing w:val="-4"/>
          <w:sz w:val="24"/>
        </w:rPr>
        <w:t> </w:t>
      </w:r>
      <w:r>
        <w:rPr>
          <w:sz w:val="24"/>
        </w:rPr>
        <w:t>to</w:t>
      </w:r>
      <w:r>
        <w:rPr>
          <w:spacing w:val="-4"/>
          <w:sz w:val="24"/>
        </w:rPr>
        <w:t> </w:t>
      </w:r>
      <w:r>
        <w:rPr>
          <w:sz w:val="24"/>
        </w:rPr>
        <w:t>problems</w:t>
      </w:r>
      <w:r>
        <w:rPr>
          <w:spacing w:val="-4"/>
          <w:sz w:val="24"/>
        </w:rPr>
        <w:t> </w:t>
      </w:r>
      <w:r>
        <w:rPr>
          <w:sz w:val="24"/>
        </w:rPr>
        <w:t>recognized</w:t>
      </w:r>
      <w:r>
        <w:rPr>
          <w:spacing w:val="-4"/>
          <w:sz w:val="24"/>
        </w:rPr>
        <w:t> </w:t>
      </w:r>
      <w:r>
        <w:rPr>
          <w:sz w:val="24"/>
        </w:rPr>
        <w:t>by</w:t>
      </w:r>
      <w:r>
        <w:rPr>
          <w:spacing w:val="-4"/>
          <w:sz w:val="24"/>
        </w:rPr>
        <w:t> </w:t>
      </w:r>
      <w:r>
        <w:rPr>
          <w:sz w:val="24"/>
        </w:rPr>
        <w:t>the</w:t>
      </w:r>
      <w:r>
        <w:rPr>
          <w:spacing w:val="-4"/>
          <w:sz w:val="24"/>
        </w:rPr>
        <w:t> </w:t>
      </w:r>
      <w:r>
        <w:rPr>
          <w:sz w:val="24"/>
        </w:rPr>
        <w:t>licensed</w:t>
      </w:r>
      <w:r>
        <w:rPr>
          <w:spacing w:val="-4"/>
          <w:sz w:val="24"/>
        </w:rPr>
        <w:t> </w:t>
      </w:r>
      <w:r>
        <w:rPr>
          <w:sz w:val="24"/>
        </w:rPr>
        <w:t>manager</w:t>
      </w:r>
      <w:r>
        <w:rPr>
          <w:spacing w:val="-4"/>
          <w:sz w:val="24"/>
        </w:rPr>
        <w:t> </w:t>
      </w:r>
      <w:r>
        <w:rPr>
          <w:sz w:val="24"/>
        </w:rPr>
        <w:t>or</w:t>
      </w:r>
      <w:r>
        <w:rPr>
          <w:spacing w:val="-4"/>
          <w:sz w:val="24"/>
        </w:rPr>
        <w:t> </w:t>
      </w:r>
      <w:r>
        <w:rPr>
          <w:sz w:val="24"/>
        </w:rPr>
        <w:t>brought to the licensed manager's attention by BEP staff or the grantor;</w:t>
      </w:r>
    </w:p>
    <w:p>
      <w:pPr>
        <w:pStyle w:val="ListParagraph"/>
        <w:numPr>
          <w:ilvl w:val="1"/>
          <w:numId w:val="378"/>
        </w:numPr>
        <w:tabs>
          <w:tab w:pos="1218" w:val="left" w:leader="none"/>
        </w:tabs>
        <w:spacing w:line="240" w:lineRule="auto" w:before="211" w:after="0"/>
        <w:ind w:left="1218" w:right="0" w:hanging="426"/>
        <w:jc w:val="left"/>
        <w:rPr>
          <w:sz w:val="24"/>
        </w:rPr>
      </w:pPr>
      <w:r>
        <w:rPr>
          <w:sz w:val="24"/>
        </w:rPr>
        <w:t>Explanation</w:t>
      </w:r>
      <w:r>
        <w:rPr>
          <w:spacing w:val="-6"/>
          <w:sz w:val="24"/>
        </w:rPr>
        <w:t> </w:t>
      </w:r>
      <w:r>
        <w:rPr>
          <w:sz w:val="24"/>
        </w:rPr>
        <w:t>of</w:t>
      </w:r>
      <w:r>
        <w:rPr>
          <w:spacing w:val="-3"/>
          <w:sz w:val="24"/>
        </w:rPr>
        <w:t> </w:t>
      </w:r>
      <w:r>
        <w:rPr>
          <w:sz w:val="24"/>
        </w:rPr>
        <w:t>the</w:t>
      </w:r>
      <w:r>
        <w:rPr>
          <w:spacing w:val="-4"/>
          <w:sz w:val="24"/>
        </w:rPr>
        <w:t> </w:t>
      </w:r>
      <w:r>
        <w:rPr>
          <w:sz w:val="24"/>
        </w:rPr>
        <w:t>SLA's</w:t>
      </w:r>
      <w:r>
        <w:rPr>
          <w:spacing w:val="-4"/>
          <w:sz w:val="24"/>
        </w:rPr>
        <w:t> </w:t>
      </w:r>
      <w:r>
        <w:rPr>
          <w:sz w:val="24"/>
        </w:rPr>
        <w:t>procedures,</w:t>
      </w:r>
      <w:r>
        <w:rPr>
          <w:spacing w:val="-3"/>
          <w:sz w:val="24"/>
        </w:rPr>
        <w:t> </w:t>
      </w:r>
      <w:r>
        <w:rPr>
          <w:sz w:val="24"/>
        </w:rPr>
        <w:t>policies,</w:t>
      </w:r>
      <w:r>
        <w:rPr>
          <w:spacing w:val="-3"/>
          <w:sz w:val="24"/>
        </w:rPr>
        <w:t> </w:t>
      </w:r>
      <w:r>
        <w:rPr>
          <w:sz w:val="24"/>
        </w:rPr>
        <w:t>and</w:t>
      </w:r>
      <w:r>
        <w:rPr>
          <w:spacing w:val="-3"/>
          <w:sz w:val="24"/>
        </w:rPr>
        <w:t> </w:t>
      </w:r>
      <w:r>
        <w:rPr>
          <w:spacing w:val="-2"/>
          <w:sz w:val="24"/>
        </w:rPr>
        <w:t>standards;</w:t>
      </w:r>
    </w:p>
    <w:p>
      <w:pPr>
        <w:pStyle w:val="ListParagraph"/>
        <w:numPr>
          <w:ilvl w:val="1"/>
          <w:numId w:val="378"/>
        </w:numPr>
        <w:tabs>
          <w:tab w:pos="1217" w:val="left" w:leader="none"/>
        </w:tabs>
        <w:spacing w:line="240" w:lineRule="auto" w:before="204" w:after="0"/>
        <w:ind w:left="1217" w:right="0" w:hanging="425"/>
        <w:jc w:val="left"/>
        <w:rPr>
          <w:sz w:val="24"/>
        </w:rPr>
      </w:pPr>
      <w:r>
        <w:rPr>
          <w:sz w:val="24"/>
        </w:rPr>
        <w:t>Information</w:t>
      </w:r>
      <w:r>
        <w:rPr>
          <w:spacing w:val="-4"/>
          <w:sz w:val="24"/>
        </w:rPr>
        <w:t> </w:t>
      </w:r>
      <w:r>
        <w:rPr>
          <w:sz w:val="24"/>
        </w:rPr>
        <w:t>on</w:t>
      </w:r>
      <w:r>
        <w:rPr>
          <w:spacing w:val="-4"/>
          <w:sz w:val="24"/>
        </w:rPr>
        <w:t> </w:t>
      </w:r>
      <w:r>
        <w:rPr>
          <w:sz w:val="24"/>
        </w:rPr>
        <w:t>compliance</w:t>
      </w:r>
      <w:r>
        <w:rPr>
          <w:spacing w:val="-3"/>
          <w:sz w:val="24"/>
        </w:rPr>
        <w:t> </w:t>
      </w:r>
      <w:r>
        <w:rPr>
          <w:sz w:val="24"/>
        </w:rPr>
        <w:t>with</w:t>
      </w:r>
      <w:r>
        <w:rPr>
          <w:spacing w:val="-4"/>
          <w:sz w:val="24"/>
        </w:rPr>
        <w:t> </w:t>
      </w:r>
      <w:r>
        <w:rPr>
          <w:sz w:val="24"/>
        </w:rPr>
        <w:t>applicable</w:t>
      </w:r>
      <w:r>
        <w:rPr>
          <w:spacing w:val="-3"/>
          <w:sz w:val="24"/>
        </w:rPr>
        <w:t> </w:t>
      </w:r>
      <w:r>
        <w:rPr>
          <w:sz w:val="24"/>
        </w:rPr>
        <w:t>laws</w:t>
      </w:r>
      <w:r>
        <w:rPr>
          <w:spacing w:val="-4"/>
          <w:sz w:val="24"/>
        </w:rPr>
        <w:t> </w:t>
      </w:r>
      <w:r>
        <w:rPr>
          <w:sz w:val="24"/>
        </w:rPr>
        <w:t>and</w:t>
      </w:r>
      <w:r>
        <w:rPr>
          <w:spacing w:val="-2"/>
          <w:sz w:val="24"/>
        </w:rPr>
        <w:t> regulations;</w:t>
      </w:r>
    </w:p>
    <w:p>
      <w:pPr>
        <w:pStyle w:val="ListParagraph"/>
        <w:numPr>
          <w:ilvl w:val="1"/>
          <w:numId w:val="378"/>
        </w:numPr>
        <w:tabs>
          <w:tab w:pos="1217" w:val="left" w:leader="none"/>
        </w:tabs>
        <w:spacing w:line="240" w:lineRule="auto" w:before="204" w:after="0"/>
        <w:ind w:left="1217" w:right="0" w:hanging="425"/>
        <w:jc w:val="left"/>
        <w:rPr>
          <w:sz w:val="24"/>
        </w:rPr>
      </w:pPr>
      <w:r>
        <w:rPr>
          <w:sz w:val="24"/>
        </w:rPr>
        <w:t>Instruction</w:t>
      </w:r>
      <w:r>
        <w:rPr>
          <w:spacing w:val="-4"/>
          <w:sz w:val="24"/>
        </w:rPr>
        <w:t> </w:t>
      </w:r>
      <w:r>
        <w:rPr>
          <w:sz w:val="24"/>
        </w:rPr>
        <w:t>on</w:t>
      </w:r>
      <w:r>
        <w:rPr>
          <w:spacing w:val="-3"/>
          <w:sz w:val="24"/>
        </w:rPr>
        <w:t> </w:t>
      </w:r>
      <w:r>
        <w:rPr>
          <w:sz w:val="24"/>
        </w:rPr>
        <w:t>compliance</w:t>
      </w:r>
      <w:r>
        <w:rPr>
          <w:spacing w:val="-3"/>
          <w:sz w:val="24"/>
        </w:rPr>
        <w:t> </w:t>
      </w:r>
      <w:r>
        <w:rPr>
          <w:sz w:val="24"/>
        </w:rPr>
        <w:t>with</w:t>
      </w:r>
      <w:r>
        <w:rPr>
          <w:spacing w:val="-3"/>
          <w:sz w:val="24"/>
        </w:rPr>
        <w:t> </w:t>
      </w:r>
      <w:r>
        <w:rPr>
          <w:sz w:val="24"/>
        </w:rPr>
        <w:t>all</w:t>
      </w:r>
      <w:r>
        <w:rPr>
          <w:spacing w:val="-4"/>
          <w:sz w:val="24"/>
        </w:rPr>
        <w:t> </w:t>
      </w:r>
      <w:r>
        <w:rPr>
          <w:sz w:val="24"/>
        </w:rPr>
        <w:t>conditions</w:t>
      </w:r>
      <w:r>
        <w:rPr>
          <w:spacing w:val="-3"/>
          <w:sz w:val="24"/>
        </w:rPr>
        <w:t> </w:t>
      </w:r>
      <w:r>
        <w:rPr>
          <w:sz w:val="24"/>
        </w:rPr>
        <w:t>in</w:t>
      </w:r>
      <w:r>
        <w:rPr>
          <w:spacing w:val="-3"/>
          <w:sz w:val="24"/>
        </w:rPr>
        <w:t> </w:t>
      </w:r>
      <w:r>
        <w:rPr>
          <w:sz w:val="24"/>
        </w:rPr>
        <w:t>the</w:t>
      </w:r>
      <w:r>
        <w:rPr>
          <w:spacing w:val="-3"/>
          <w:sz w:val="24"/>
        </w:rPr>
        <w:t> </w:t>
      </w:r>
      <w:r>
        <w:rPr>
          <w:sz w:val="24"/>
        </w:rPr>
        <w:t>manager's</w:t>
      </w:r>
      <w:r>
        <w:rPr>
          <w:spacing w:val="-3"/>
          <w:sz w:val="24"/>
        </w:rPr>
        <w:t> </w:t>
      </w:r>
      <w:r>
        <w:rPr>
          <w:spacing w:val="-2"/>
          <w:sz w:val="24"/>
        </w:rPr>
        <w:t>agreement;</w:t>
      </w:r>
    </w:p>
    <w:p>
      <w:pPr>
        <w:pStyle w:val="ListParagraph"/>
        <w:numPr>
          <w:ilvl w:val="1"/>
          <w:numId w:val="378"/>
        </w:numPr>
        <w:tabs>
          <w:tab w:pos="1217" w:val="left" w:leader="none"/>
        </w:tabs>
        <w:spacing w:line="208" w:lineRule="auto" w:before="233" w:after="0"/>
        <w:ind w:left="792" w:right="2000" w:firstLine="0"/>
        <w:jc w:val="left"/>
        <w:rPr>
          <w:sz w:val="24"/>
        </w:rPr>
      </w:pPr>
      <w:r>
        <w:rPr>
          <w:sz w:val="24"/>
        </w:rPr>
        <w:t>Information</w:t>
      </w:r>
      <w:r>
        <w:rPr>
          <w:spacing w:val="-4"/>
          <w:sz w:val="24"/>
        </w:rPr>
        <w:t> </w:t>
      </w:r>
      <w:r>
        <w:rPr>
          <w:sz w:val="24"/>
        </w:rPr>
        <w:t>and</w:t>
      </w:r>
      <w:r>
        <w:rPr>
          <w:spacing w:val="-4"/>
          <w:sz w:val="24"/>
        </w:rPr>
        <w:t> </w:t>
      </w:r>
      <w:r>
        <w:rPr>
          <w:sz w:val="24"/>
        </w:rPr>
        <w:t>inspection</w:t>
      </w:r>
      <w:r>
        <w:rPr>
          <w:spacing w:val="-4"/>
          <w:sz w:val="24"/>
        </w:rPr>
        <w:t> </w:t>
      </w:r>
      <w:r>
        <w:rPr>
          <w:sz w:val="24"/>
        </w:rPr>
        <w:t>to</w:t>
      </w:r>
      <w:r>
        <w:rPr>
          <w:spacing w:val="-4"/>
          <w:sz w:val="24"/>
        </w:rPr>
        <w:t> </w:t>
      </w:r>
      <w:r>
        <w:rPr>
          <w:sz w:val="24"/>
        </w:rPr>
        <w:t>help</w:t>
      </w:r>
      <w:r>
        <w:rPr>
          <w:spacing w:val="-4"/>
          <w:sz w:val="24"/>
        </w:rPr>
        <w:t> </w:t>
      </w:r>
      <w:r>
        <w:rPr>
          <w:sz w:val="24"/>
        </w:rPr>
        <w:t>the</w:t>
      </w:r>
      <w:r>
        <w:rPr>
          <w:spacing w:val="-4"/>
          <w:sz w:val="24"/>
        </w:rPr>
        <w:t> </w:t>
      </w:r>
      <w:r>
        <w:rPr>
          <w:sz w:val="24"/>
        </w:rPr>
        <w:t>licensed</w:t>
      </w:r>
      <w:r>
        <w:rPr>
          <w:spacing w:val="-4"/>
          <w:sz w:val="24"/>
        </w:rPr>
        <w:t> </w:t>
      </w:r>
      <w:r>
        <w:rPr>
          <w:sz w:val="24"/>
        </w:rPr>
        <w:t>manager</w:t>
      </w:r>
      <w:r>
        <w:rPr>
          <w:spacing w:val="-4"/>
          <w:sz w:val="24"/>
        </w:rPr>
        <w:t> </w:t>
      </w:r>
      <w:r>
        <w:rPr>
          <w:sz w:val="24"/>
        </w:rPr>
        <w:t>assure</w:t>
      </w:r>
      <w:r>
        <w:rPr>
          <w:spacing w:val="-4"/>
          <w:sz w:val="24"/>
        </w:rPr>
        <w:t> </w:t>
      </w:r>
      <w:r>
        <w:rPr>
          <w:sz w:val="24"/>
        </w:rPr>
        <w:t>that merchandise is sold in accordance with the grantor’s agreement;</w:t>
      </w:r>
    </w:p>
    <w:p>
      <w:pPr>
        <w:pStyle w:val="ListParagraph"/>
        <w:numPr>
          <w:ilvl w:val="1"/>
          <w:numId w:val="378"/>
        </w:numPr>
        <w:tabs>
          <w:tab w:pos="1217" w:val="left" w:leader="none"/>
        </w:tabs>
        <w:spacing w:line="240" w:lineRule="auto" w:before="210" w:after="0"/>
        <w:ind w:left="1217" w:right="0" w:hanging="425"/>
        <w:jc w:val="left"/>
        <w:rPr>
          <w:sz w:val="24"/>
        </w:rPr>
      </w:pPr>
      <w:r>
        <w:rPr>
          <w:sz w:val="24"/>
        </w:rPr>
        <w:t>Instructions</w:t>
      </w:r>
      <w:r>
        <w:rPr>
          <w:spacing w:val="-4"/>
          <w:sz w:val="24"/>
        </w:rPr>
        <w:t> </w:t>
      </w:r>
      <w:r>
        <w:rPr>
          <w:sz w:val="24"/>
        </w:rPr>
        <w:t>for</w:t>
      </w:r>
      <w:r>
        <w:rPr>
          <w:spacing w:val="-3"/>
          <w:sz w:val="24"/>
        </w:rPr>
        <w:t> </w:t>
      </w:r>
      <w:r>
        <w:rPr>
          <w:sz w:val="24"/>
        </w:rPr>
        <w:t>maintenance</w:t>
      </w:r>
      <w:r>
        <w:rPr>
          <w:spacing w:val="-4"/>
          <w:sz w:val="24"/>
        </w:rPr>
        <w:t> </w:t>
      </w:r>
      <w:r>
        <w:rPr>
          <w:sz w:val="24"/>
        </w:rPr>
        <w:t>of</w:t>
      </w:r>
      <w:r>
        <w:rPr>
          <w:spacing w:val="-3"/>
          <w:sz w:val="24"/>
        </w:rPr>
        <w:t> </w:t>
      </w:r>
      <w:r>
        <w:rPr>
          <w:sz w:val="24"/>
        </w:rPr>
        <w:t>sanitation</w:t>
      </w:r>
      <w:r>
        <w:rPr>
          <w:spacing w:val="-4"/>
          <w:sz w:val="24"/>
        </w:rPr>
        <w:t> </w:t>
      </w:r>
      <w:r>
        <w:rPr>
          <w:sz w:val="24"/>
        </w:rPr>
        <w:t>and</w:t>
      </w:r>
      <w:r>
        <w:rPr>
          <w:spacing w:val="-4"/>
          <w:sz w:val="24"/>
        </w:rPr>
        <w:t> </w:t>
      </w:r>
      <w:r>
        <w:rPr>
          <w:sz w:val="24"/>
        </w:rPr>
        <w:t>safety</w:t>
      </w:r>
      <w:r>
        <w:rPr>
          <w:spacing w:val="-3"/>
          <w:sz w:val="24"/>
        </w:rPr>
        <w:t> </w:t>
      </w:r>
      <w:r>
        <w:rPr>
          <w:spacing w:val="-2"/>
          <w:sz w:val="24"/>
        </w:rPr>
        <w:t>standards;</w:t>
      </w:r>
    </w:p>
    <w:p>
      <w:pPr>
        <w:pStyle w:val="ListParagraph"/>
        <w:numPr>
          <w:ilvl w:val="1"/>
          <w:numId w:val="378"/>
        </w:numPr>
        <w:tabs>
          <w:tab w:pos="1217" w:val="left" w:leader="none"/>
        </w:tabs>
        <w:spacing w:line="240" w:lineRule="auto" w:before="204" w:after="0"/>
        <w:ind w:left="1217" w:right="0" w:hanging="425"/>
        <w:jc w:val="left"/>
        <w:rPr>
          <w:sz w:val="24"/>
        </w:rPr>
      </w:pPr>
      <w:r>
        <w:rPr>
          <w:sz w:val="24"/>
        </w:rPr>
        <w:t>Instructions</w:t>
      </w:r>
      <w:r>
        <w:rPr>
          <w:spacing w:val="-5"/>
          <w:sz w:val="24"/>
        </w:rPr>
        <w:t> </w:t>
      </w:r>
      <w:r>
        <w:rPr>
          <w:sz w:val="24"/>
        </w:rPr>
        <w:t>for</w:t>
      </w:r>
      <w:r>
        <w:rPr>
          <w:spacing w:val="-3"/>
          <w:sz w:val="24"/>
        </w:rPr>
        <w:t> </w:t>
      </w:r>
      <w:r>
        <w:rPr>
          <w:sz w:val="24"/>
        </w:rPr>
        <w:t>proper</w:t>
      </w:r>
      <w:r>
        <w:rPr>
          <w:spacing w:val="-4"/>
          <w:sz w:val="24"/>
        </w:rPr>
        <w:t> </w:t>
      </w:r>
      <w:r>
        <w:rPr>
          <w:sz w:val="24"/>
        </w:rPr>
        <w:t>maintenance</w:t>
      </w:r>
      <w:r>
        <w:rPr>
          <w:spacing w:val="-4"/>
          <w:sz w:val="24"/>
        </w:rPr>
        <w:t> </w:t>
      </w:r>
      <w:r>
        <w:rPr>
          <w:sz w:val="24"/>
        </w:rPr>
        <w:t>of</w:t>
      </w:r>
      <w:r>
        <w:rPr>
          <w:spacing w:val="-3"/>
          <w:sz w:val="24"/>
        </w:rPr>
        <w:t> </w:t>
      </w:r>
      <w:r>
        <w:rPr>
          <w:spacing w:val="-2"/>
          <w:sz w:val="24"/>
        </w:rPr>
        <w:t>equipment;</w:t>
      </w:r>
    </w:p>
    <w:p>
      <w:pPr>
        <w:pStyle w:val="ListParagraph"/>
        <w:numPr>
          <w:ilvl w:val="1"/>
          <w:numId w:val="378"/>
        </w:numPr>
        <w:tabs>
          <w:tab w:pos="1351" w:val="left" w:leader="none"/>
        </w:tabs>
        <w:spacing w:line="208" w:lineRule="auto" w:before="234" w:after="0"/>
        <w:ind w:left="792" w:right="772" w:firstLine="0"/>
        <w:jc w:val="left"/>
        <w:rPr>
          <w:sz w:val="24"/>
        </w:rPr>
      </w:pPr>
      <w:r>
        <w:rPr>
          <w:sz w:val="24"/>
        </w:rPr>
        <w:t>Recommendations for building effective communications and working relationships</w:t>
      </w:r>
      <w:r>
        <w:rPr>
          <w:spacing w:val="-5"/>
          <w:sz w:val="24"/>
        </w:rPr>
        <w:t> </w:t>
      </w:r>
      <w:r>
        <w:rPr>
          <w:sz w:val="24"/>
        </w:rPr>
        <w:t>between</w:t>
      </w:r>
      <w:r>
        <w:rPr>
          <w:spacing w:val="-5"/>
          <w:sz w:val="24"/>
        </w:rPr>
        <w:t> </w:t>
      </w:r>
      <w:r>
        <w:rPr>
          <w:sz w:val="24"/>
        </w:rPr>
        <w:t>the</w:t>
      </w:r>
      <w:r>
        <w:rPr>
          <w:spacing w:val="-5"/>
          <w:sz w:val="24"/>
        </w:rPr>
        <w:t> </w:t>
      </w:r>
      <w:r>
        <w:rPr>
          <w:sz w:val="24"/>
        </w:rPr>
        <w:t>licensed</w:t>
      </w:r>
      <w:r>
        <w:rPr>
          <w:spacing w:val="-4"/>
          <w:sz w:val="24"/>
        </w:rPr>
        <w:t> </w:t>
      </w:r>
      <w:r>
        <w:rPr>
          <w:sz w:val="24"/>
        </w:rPr>
        <w:t>manager</w:t>
      </w:r>
      <w:r>
        <w:rPr>
          <w:spacing w:val="-4"/>
          <w:sz w:val="24"/>
        </w:rPr>
        <w:t> </w:t>
      </w:r>
      <w:r>
        <w:rPr>
          <w:sz w:val="24"/>
        </w:rPr>
        <w:t>and</w:t>
      </w:r>
      <w:r>
        <w:rPr>
          <w:spacing w:val="-5"/>
          <w:sz w:val="24"/>
        </w:rPr>
        <w:t> </w:t>
      </w:r>
      <w:r>
        <w:rPr>
          <w:sz w:val="24"/>
        </w:rPr>
        <w:t>customers,</w:t>
      </w:r>
      <w:r>
        <w:rPr>
          <w:spacing w:val="-4"/>
          <w:sz w:val="24"/>
        </w:rPr>
        <w:t> </w:t>
      </w:r>
      <w:r>
        <w:rPr>
          <w:sz w:val="24"/>
        </w:rPr>
        <w:t>purveyors,</w:t>
      </w:r>
      <w:r>
        <w:rPr>
          <w:spacing w:val="-4"/>
          <w:sz w:val="24"/>
        </w:rPr>
        <w:t> </w:t>
      </w:r>
      <w:r>
        <w:rPr>
          <w:sz w:val="24"/>
        </w:rPr>
        <w:t>employees, grantor, the SLA and the general public; and</w:t>
      </w:r>
    </w:p>
    <w:p>
      <w:pPr>
        <w:pStyle w:val="ListParagraph"/>
        <w:numPr>
          <w:ilvl w:val="1"/>
          <w:numId w:val="378"/>
        </w:numPr>
        <w:tabs>
          <w:tab w:pos="1350" w:val="left" w:leader="none"/>
        </w:tabs>
        <w:spacing w:line="208" w:lineRule="auto" w:before="239" w:after="0"/>
        <w:ind w:left="792" w:right="1267" w:firstLine="0"/>
        <w:jc w:val="left"/>
        <w:rPr>
          <w:sz w:val="24"/>
        </w:rPr>
      </w:pPr>
      <w:r>
        <w:rPr>
          <w:sz w:val="24"/>
        </w:rPr>
        <w:t>Instruction</w:t>
      </w:r>
      <w:r>
        <w:rPr>
          <w:spacing w:val="-4"/>
          <w:sz w:val="24"/>
        </w:rPr>
        <w:t> </w:t>
      </w:r>
      <w:r>
        <w:rPr>
          <w:sz w:val="24"/>
        </w:rPr>
        <w:t>on</w:t>
      </w:r>
      <w:r>
        <w:rPr>
          <w:spacing w:val="-4"/>
          <w:sz w:val="24"/>
        </w:rPr>
        <w:t> </w:t>
      </w:r>
      <w:r>
        <w:rPr>
          <w:sz w:val="24"/>
        </w:rPr>
        <w:t>SLA</w:t>
      </w:r>
      <w:r>
        <w:rPr>
          <w:spacing w:val="-4"/>
          <w:sz w:val="24"/>
        </w:rPr>
        <w:t> </w:t>
      </w:r>
      <w:r>
        <w:rPr>
          <w:sz w:val="24"/>
        </w:rPr>
        <w:t>and</w:t>
      </w:r>
      <w:r>
        <w:rPr>
          <w:spacing w:val="-4"/>
          <w:sz w:val="24"/>
        </w:rPr>
        <w:t> </w:t>
      </w:r>
      <w:r>
        <w:rPr>
          <w:sz w:val="24"/>
        </w:rPr>
        <w:t>other</w:t>
      </w:r>
      <w:r>
        <w:rPr>
          <w:spacing w:val="-3"/>
          <w:sz w:val="24"/>
        </w:rPr>
        <w:t> </w:t>
      </w:r>
      <w:r>
        <w:rPr>
          <w:sz w:val="24"/>
        </w:rPr>
        <w:t>agency</w:t>
      </w:r>
      <w:r>
        <w:rPr>
          <w:spacing w:val="-4"/>
          <w:sz w:val="24"/>
        </w:rPr>
        <w:t> </w:t>
      </w:r>
      <w:r>
        <w:rPr>
          <w:sz w:val="24"/>
        </w:rPr>
        <w:t>requirements</w:t>
      </w:r>
      <w:r>
        <w:rPr>
          <w:spacing w:val="-4"/>
          <w:sz w:val="24"/>
        </w:rPr>
        <w:t> </w:t>
      </w:r>
      <w:r>
        <w:rPr>
          <w:sz w:val="24"/>
        </w:rPr>
        <w:t>for</w:t>
      </w:r>
      <w:r>
        <w:rPr>
          <w:spacing w:val="-5"/>
          <w:sz w:val="24"/>
        </w:rPr>
        <w:t> </w:t>
      </w:r>
      <w:r>
        <w:rPr>
          <w:sz w:val="24"/>
        </w:rPr>
        <w:t>record</w:t>
      </w:r>
      <w:r>
        <w:rPr>
          <w:spacing w:val="-5"/>
          <w:sz w:val="24"/>
        </w:rPr>
        <w:t> </w:t>
      </w:r>
      <w:r>
        <w:rPr>
          <w:sz w:val="24"/>
        </w:rPr>
        <w:t>keeping</w:t>
      </w:r>
      <w:r>
        <w:rPr>
          <w:spacing w:val="-4"/>
          <w:sz w:val="24"/>
        </w:rPr>
        <w:t> </w:t>
      </w:r>
      <w:r>
        <w:rPr>
          <w:sz w:val="24"/>
        </w:rPr>
        <w:t>and </w:t>
      </w:r>
      <w:r>
        <w:rPr>
          <w:spacing w:val="-2"/>
          <w:sz w:val="24"/>
        </w:rPr>
        <w:t>reporting.</w:t>
      </w:r>
    </w:p>
    <w:p>
      <w:pPr>
        <w:pStyle w:val="ListParagraph"/>
        <w:numPr>
          <w:ilvl w:val="0"/>
          <w:numId w:val="378"/>
        </w:numPr>
        <w:tabs>
          <w:tab w:pos="773" w:val="left" w:leader="none"/>
        </w:tabs>
        <w:spacing w:line="208" w:lineRule="auto" w:before="240" w:after="0"/>
        <w:ind w:left="360" w:right="911" w:firstLine="0"/>
        <w:jc w:val="left"/>
        <w:rPr>
          <w:sz w:val="24"/>
        </w:rPr>
      </w:pPr>
      <w:r>
        <w:rPr>
          <w:b/>
          <w:sz w:val="24"/>
        </w:rPr>
        <w:t>On-site location reviews. </w:t>
      </w:r>
      <w:r>
        <w:rPr>
          <w:sz w:val="24"/>
        </w:rPr>
        <w:t>On-site location reviews will be made as often as necessary, but not less than once each month to ensure the continued success of the business enterprise. Each on-site location review of a business enterprise will be documented</w:t>
      </w:r>
      <w:r>
        <w:rPr>
          <w:spacing w:val="-3"/>
          <w:sz w:val="24"/>
        </w:rPr>
        <w:t> </w:t>
      </w:r>
      <w:r>
        <w:rPr>
          <w:sz w:val="24"/>
        </w:rPr>
        <w:t>using</w:t>
      </w:r>
      <w:r>
        <w:rPr>
          <w:spacing w:val="-3"/>
          <w:sz w:val="24"/>
        </w:rPr>
        <w:t> </w:t>
      </w:r>
      <w:r>
        <w:rPr>
          <w:sz w:val="24"/>
        </w:rPr>
        <w:t>such</w:t>
      </w:r>
      <w:r>
        <w:rPr>
          <w:spacing w:val="-3"/>
          <w:sz w:val="24"/>
        </w:rPr>
        <w:t> </w:t>
      </w:r>
      <w:r>
        <w:rPr>
          <w:sz w:val="24"/>
        </w:rPr>
        <w:t>forms</w:t>
      </w:r>
      <w:r>
        <w:rPr>
          <w:spacing w:val="-4"/>
          <w:sz w:val="24"/>
        </w:rPr>
        <w:t> </w:t>
      </w:r>
      <w:r>
        <w:rPr>
          <w:sz w:val="24"/>
        </w:rPr>
        <w:t>or</w:t>
      </w:r>
      <w:r>
        <w:rPr>
          <w:spacing w:val="-4"/>
          <w:sz w:val="24"/>
        </w:rPr>
        <w:t> </w:t>
      </w:r>
      <w:r>
        <w:rPr>
          <w:sz w:val="24"/>
        </w:rPr>
        <w:t>methods</w:t>
      </w:r>
      <w:r>
        <w:rPr>
          <w:spacing w:val="-4"/>
          <w:sz w:val="24"/>
        </w:rPr>
        <w:t> </w:t>
      </w:r>
      <w:r>
        <w:rPr>
          <w:sz w:val="24"/>
        </w:rPr>
        <w:t>as</w:t>
      </w:r>
      <w:r>
        <w:rPr>
          <w:spacing w:val="-3"/>
          <w:sz w:val="24"/>
        </w:rPr>
        <w:t> </w:t>
      </w:r>
      <w:r>
        <w:rPr>
          <w:sz w:val="24"/>
        </w:rPr>
        <w:t>are</w:t>
      </w:r>
      <w:r>
        <w:rPr>
          <w:spacing w:val="-3"/>
          <w:sz w:val="24"/>
        </w:rPr>
        <w:t> </w:t>
      </w:r>
      <w:r>
        <w:rPr>
          <w:sz w:val="24"/>
        </w:rPr>
        <w:t>prescribed</w:t>
      </w:r>
      <w:r>
        <w:rPr>
          <w:spacing w:val="-3"/>
          <w:sz w:val="24"/>
        </w:rPr>
        <w:t> </w:t>
      </w:r>
      <w:r>
        <w:rPr>
          <w:sz w:val="24"/>
        </w:rPr>
        <w:t>by</w:t>
      </w:r>
      <w:r>
        <w:rPr>
          <w:spacing w:val="-3"/>
          <w:sz w:val="24"/>
        </w:rPr>
        <w:t> </w:t>
      </w:r>
      <w:r>
        <w:rPr>
          <w:sz w:val="24"/>
        </w:rPr>
        <w:t>the</w:t>
      </w:r>
      <w:r>
        <w:rPr>
          <w:spacing w:val="-3"/>
          <w:sz w:val="24"/>
        </w:rPr>
        <w:t> </w:t>
      </w:r>
      <w:r>
        <w:rPr>
          <w:sz w:val="24"/>
        </w:rPr>
        <w:t>BEP.</w:t>
      </w:r>
      <w:r>
        <w:rPr>
          <w:spacing w:val="-2"/>
          <w:sz w:val="24"/>
        </w:rPr>
        <w:t> </w:t>
      </w:r>
      <w:r>
        <w:rPr>
          <w:b/>
          <w:sz w:val="24"/>
        </w:rPr>
        <w:t>1</w:t>
      </w:r>
      <w:r>
        <w:rPr>
          <w:b/>
          <w:spacing w:val="40"/>
          <w:sz w:val="24"/>
        </w:rPr>
        <w:t> </w:t>
      </w:r>
      <w:r>
        <w:rPr>
          <w:sz w:val="24"/>
        </w:rPr>
        <w:t>The</w:t>
      </w:r>
      <w:r>
        <w:rPr>
          <w:spacing w:val="-3"/>
          <w:sz w:val="24"/>
        </w:rPr>
        <w:t> </w:t>
      </w:r>
      <w:r>
        <w:rPr>
          <w:sz w:val="24"/>
        </w:rPr>
        <w:t>report will contain at a minimum the following information to the extent relevant:</w:t>
      </w:r>
    </w:p>
    <w:p>
      <w:pPr>
        <w:pStyle w:val="ListParagraph"/>
        <w:numPr>
          <w:ilvl w:val="1"/>
          <w:numId w:val="378"/>
        </w:numPr>
        <w:tabs>
          <w:tab w:pos="1218" w:val="left" w:leader="none"/>
        </w:tabs>
        <w:spacing w:line="240" w:lineRule="auto" w:before="210" w:after="0"/>
        <w:ind w:left="1218" w:right="0" w:hanging="426"/>
        <w:jc w:val="left"/>
        <w:rPr>
          <w:sz w:val="24"/>
        </w:rPr>
      </w:pPr>
      <w:r>
        <w:rPr>
          <w:sz w:val="24"/>
        </w:rPr>
        <w:t>Status</w:t>
      </w:r>
      <w:r>
        <w:rPr>
          <w:spacing w:val="-7"/>
          <w:sz w:val="24"/>
        </w:rPr>
        <w:t> </w:t>
      </w:r>
      <w:r>
        <w:rPr>
          <w:sz w:val="24"/>
        </w:rPr>
        <w:t>of</w:t>
      </w:r>
      <w:r>
        <w:rPr>
          <w:spacing w:val="-2"/>
          <w:sz w:val="24"/>
        </w:rPr>
        <w:t> </w:t>
      </w:r>
      <w:r>
        <w:rPr>
          <w:sz w:val="24"/>
        </w:rPr>
        <w:t>compliance</w:t>
      </w:r>
      <w:r>
        <w:rPr>
          <w:spacing w:val="-3"/>
          <w:sz w:val="24"/>
        </w:rPr>
        <w:t> </w:t>
      </w:r>
      <w:r>
        <w:rPr>
          <w:sz w:val="24"/>
        </w:rPr>
        <w:t>with</w:t>
      </w:r>
      <w:r>
        <w:rPr>
          <w:spacing w:val="-4"/>
          <w:sz w:val="24"/>
        </w:rPr>
        <w:t> </w:t>
      </w:r>
      <w:r>
        <w:rPr>
          <w:sz w:val="24"/>
        </w:rPr>
        <w:t>the</w:t>
      </w:r>
      <w:r>
        <w:rPr>
          <w:spacing w:val="-3"/>
          <w:sz w:val="24"/>
        </w:rPr>
        <w:t> </w:t>
      </w:r>
      <w:r>
        <w:rPr>
          <w:sz w:val="24"/>
        </w:rPr>
        <w:t>licensed</w:t>
      </w:r>
      <w:r>
        <w:rPr>
          <w:spacing w:val="-3"/>
          <w:sz w:val="24"/>
        </w:rPr>
        <w:t> </w:t>
      </w:r>
      <w:r>
        <w:rPr>
          <w:sz w:val="24"/>
        </w:rPr>
        <w:t>manager’s</w:t>
      </w:r>
      <w:r>
        <w:rPr>
          <w:spacing w:val="-3"/>
          <w:sz w:val="24"/>
        </w:rPr>
        <w:t> </w:t>
      </w:r>
      <w:r>
        <w:rPr>
          <w:spacing w:val="-2"/>
          <w:sz w:val="24"/>
        </w:rPr>
        <w:t>agreement.</w:t>
      </w:r>
    </w:p>
    <w:p>
      <w:pPr>
        <w:pStyle w:val="ListParagraph"/>
        <w:numPr>
          <w:ilvl w:val="1"/>
          <w:numId w:val="378"/>
        </w:numPr>
        <w:tabs>
          <w:tab w:pos="1218" w:val="left" w:leader="none"/>
        </w:tabs>
        <w:spacing w:line="208" w:lineRule="auto" w:before="234" w:after="0"/>
        <w:ind w:left="792" w:right="1810" w:firstLine="0"/>
        <w:jc w:val="left"/>
        <w:rPr>
          <w:sz w:val="24"/>
        </w:rPr>
      </w:pPr>
      <w:r>
        <w:rPr>
          <w:sz w:val="24"/>
        </w:rPr>
        <w:t>Violations</w:t>
      </w:r>
      <w:r>
        <w:rPr>
          <w:spacing w:val="-4"/>
          <w:sz w:val="24"/>
        </w:rPr>
        <w:t> </w:t>
      </w:r>
      <w:r>
        <w:rPr>
          <w:sz w:val="24"/>
        </w:rPr>
        <w:t>(if</w:t>
      </w:r>
      <w:r>
        <w:rPr>
          <w:spacing w:val="-3"/>
          <w:sz w:val="24"/>
        </w:rPr>
        <w:t> </w:t>
      </w:r>
      <w:r>
        <w:rPr>
          <w:sz w:val="24"/>
        </w:rPr>
        <w:t>any)</w:t>
      </w:r>
      <w:r>
        <w:rPr>
          <w:spacing w:val="-5"/>
          <w:sz w:val="24"/>
        </w:rPr>
        <w:t> </w:t>
      </w:r>
      <w:r>
        <w:rPr>
          <w:sz w:val="24"/>
        </w:rPr>
        <w:t>of</w:t>
      </w:r>
      <w:r>
        <w:rPr>
          <w:spacing w:val="-3"/>
          <w:sz w:val="24"/>
        </w:rPr>
        <w:t> </w:t>
      </w:r>
      <w:r>
        <w:rPr>
          <w:sz w:val="24"/>
        </w:rPr>
        <w:t>State</w:t>
      </w:r>
      <w:r>
        <w:rPr>
          <w:spacing w:val="-4"/>
          <w:sz w:val="24"/>
        </w:rPr>
        <w:t> </w:t>
      </w:r>
      <w:r>
        <w:rPr>
          <w:sz w:val="24"/>
        </w:rPr>
        <w:t>or</w:t>
      </w:r>
      <w:r>
        <w:rPr>
          <w:spacing w:val="-5"/>
          <w:sz w:val="24"/>
        </w:rPr>
        <w:t> </w:t>
      </w:r>
      <w:r>
        <w:rPr>
          <w:sz w:val="24"/>
        </w:rPr>
        <w:t>Federal</w:t>
      </w:r>
      <w:r>
        <w:rPr>
          <w:spacing w:val="-4"/>
          <w:sz w:val="24"/>
        </w:rPr>
        <w:t> </w:t>
      </w:r>
      <w:r>
        <w:rPr>
          <w:sz w:val="24"/>
        </w:rPr>
        <w:t>Laws</w:t>
      </w:r>
      <w:r>
        <w:rPr>
          <w:spacing w:val="-4"/>
          <w:sz w:val="24"/>
        </w:rPr>
        <w:t> </w:t>
      </w:r>
      <w:r>
        <w:rPr>
          <w:sz w:val="24"/>
        </w:rPr>
        <w:t>and</w:t>
      </w:r>
      <w:r>
        <w:rPr>
          <w:spacing w:val="-4"/>
          <w:sz w:val="24"/>
        </w:rPr>
        <w:t> </w:t>
      </w:r>
      <w:r>
        <w:rPr>
          <w:sz w:val="24"/>
        </w:rPr>
        <w:t>the</w:t>
      </w:r>
      <w:r>
        <w:rPr>
          <w:spacing w:val="-4"/>
          <w:sz w:val="24"/>
        </w:rPr>
        <w:t> </w:t>
      </w:r>
      <w:r>
        <w:rPr>
          <w:sz w:val="24"/>
        </w:rPr>
        <w:t>SLA's</w:t>
      </w:r>
      <w:r>
        <w:rPr>
          <w:spacing w:val="-4"/>
          <w:sz w:val="24"/>
        </w:rPr>
        <w:t> </w:t>
      </w:r>
      <w:r>
        <w:rPr>
          <w:sz w:val="24"/>
        </w:rPr>
        <w:t>policies</w:t>
      </w:r>
      <w:r>
        <w:rPr>
          <w:spacing w:val="-4"/>
          <w:sz w:val="24"/>
        </w:rPr>
        <w:t> </w:t>
      </w:r>
      <w:r>
        <w:rPr>
          <w:sz w:val="24"/>
        </w:rPr>
        <w:t>and </w:t>
      </w:r>
      <w:r>
        <w:rPr>
          <w:spacing w:val="-2"/>
          <w:sz w:val="24"/>
        </w:rPr>
        <w:t>procedures.</w:t>
      </w:r>
    </w:p>
    <w:p>
      <w:pPr>
        <w:pStyle w:val="ListParagraph"/>
        <w:numPr>
          <w:ilvl w:val="1"/>
          <w:numId w:val="378"/>
        </w:numPr>
        <w:tabs>
          <w:tab w:pos="1217" w:val="left" w:leader="none"/>
        </w:tabs>
        <w:spacing w:line="240" w:lineRule="auto" w:before="210" w:after="0"/>
        <w:ind w:left="1217" w:right="0" w:hanging="425"/>
        <w:jc w:val="left"/>
        <w:rPr>
          <w:sz w:val="24"/>
        </w:rPr>
      </w:pPr>
      <w:r>
        <w:rPr>
          <w:sz w:val="24"/>
        </w:rPr>
        <w:t>Observation</w:t>
      </w:r>
      <w:r>
        <w:rPr>
          <w:spacing w:val="-6"/>
          <w:sz w:val="24"/>
        </w:rPr>
        <w:t> </w:t>
      </w:r>
      <w:r>
        <w:rPr>
          <w:sz w:val="24"/>
        </w:rPr>
        <w:t>that</w:t>
      </w:r>
      <w:r>
        <w:rPr>
          <w:spacing w:val="-3"/>
          <w:sz w:val="24"/>
        </w:rPr>
        <w:t> </w:t>
      </w:r>
      <w:r>
        <w:rPr>
          <w:sz w:val="24"/>
        </w:rPr>
        <w:t>proper</w:t>
      </w:r>
      <w:r>
        <w:rPr>
          <w:spacing w:val="-2"/>
          <w:sz w:val="24"/>
        </w:rPr>
        <w:t> </w:t>
      </w:r>
      <w:r>
        <w:rPr>
          <w:sz w:val="24"/>
        </w:rPr>
        <w:t>insurance,</w:t>
      </w:r>
      <w:r>
        <w:rPr>
          <w:spacing w:val="-3"/>
          <w:sz w:val="24"/>
        </w:rPr>
        <w:t> </w:t>
      </w:r>
      <w:r>
        <w:rPr>
          <w:sz w:val="24"/>
        </w:rPr>
        <w:t>permits</w:t>
      </w:r>
      <w:r>
        <w:rPr>
          <w:spacing w:val="-3"/>
          <w:sz w:val="24"/>
        </w:rPr>
        <w:t> </w:t>
      </w:r>
      <w:r>
        <w:rPr>
          <w:sz w:val="24"/>
        </w:rPr>
        <w:t>and</w:t>
      </w:r>
      <w:r>
        <w:rPr>
          <w:spacing w:val="-4"/>
          <w:sz w:val="24"/>
        </w:rPr>
        <w:t> </w:t>
      </w:r>
      <w:r>
        <w:rPr>
          <w:sz w:val="24"/>
        </w:rPr>
        <w:t>license</w:t>
      </w:r>
      <w:r>
        <w:rPr>
          <w:spacing w:val="-3"/>
          <w:sz w:val="24"/>
        </w:rPr>
        <w:t> </w:t>
      </w:r>
      <w:r>
        <w:rPr>
          <w:sz w:val="24"/>
        </w:rPr>
        <w:t>are</w:t>
      </w:r>
      <w:r>
        <w:rPr>
          <w:spacing w:val="-3"/>
          <w:sz w:val="24"/>
        </w:rPr>
        <w:t> </w:t>
      </w:r>
      <w:r>
        <w:rPr>
          <w:sz w:val="24"/>
        </w:rPr>
        <w:t>current</w:t>
      </w:r>
      <w:r>
        <w:rPr>
          <w:spacing w:val="-3"/>
          <w:sz w:val="24"/>
        </w:rPr>
        <w:t> </w:t>
      </w:r>
      <w:r>
        <w:rPr>
          <w:sz w:val="24"/>
        </w:rPr>
        <w:t>and</w:t>
      </w:r>
      <w:r>
        <w:rPr>
          <w:spacing w:val="-3"/>
          <w:sz w:val="24"/>
        </w:rPr>
        <w:t> </w:t>
      </w:r>
      <w:r>
        <w:rPr>
          <w:spacing w:val="-2"/>
          <w:sz w:val="24"/>
        </w:rPr>
        <w:t>posted.</w:t>
      </w:r>
    </w:p>
    <w:p>
      <w:pPr>
        <w:pStyle w:val="ListParagraph"/>
        <w:numPr>
          <w:ilvl w:val="0"/>
          <w:numId w:val="378"/>
        </w:numPr>
        <w:tabs>
          <w:tab w:pos="786" w:val="left" w:leader="none"/>
        </w:tabs>
        <w:spacing w:line="208" w:lineRule="auto" w:before="234" w:after="0"/>
        <w:ind w:left="360" w:right="729" w:firstLine="0"/>
        <w:jc w:val="left"/>
        <w:rPr>
          <w:sz w:val="24"/>
        </w:rPr>
      </w:pPr>
      <w:r>
        <w:rPr>
          <w:b/>
          <w:sz w:val="24"/>
        </w:rPr>
        <w:t>SLA</w:t>
      </w:r>
      <w:r>
        <w:rPr>
          <w:b/>
          <w:spacing w:val="-3"/>
          <w:sz w:val="24"/>
        </w:rPr>
        <w:t> </w:t>
      </w:r>
      <w:r>
        <w:rPr>
          <w:b/>
          <w:sz w:val="24"/>
        </w:rPr>
        <w:t>provision</w:t>
      </w:r>
      <w:r>
        <w:rPr>
          <w:b/>
          <w:spacing w:val="-3"/>
          <w:sz w:val="24"/>
        </w:rPr>
        <w:t> </w:t>
      </w:r>
      <w:r>
        <w:rPr>
          <w:b/>
          <w:sz w:val="24"/>
        </w:rPr>
        <w:t>of</w:t>
      </w:r>
      <w:r>
        <w:rPr>
          <w:b/>
          <w:spacing w:val="-4"/>
          <w:sz w:val="24"/>
        </w:rPr>
        <w:t> </w:t>
      </w:r>
      <w:r>
        <w:rPr>
          <w:b/>
          <w:sz w:val="24"/>
        </w:rPr>
        <w:t>training.</w:t>
      </w:r>
      <w:r>
        <w:rPr>
          <w:b/>
          <w:spacing w:val="-4"/>
          <w:sz w:val="24"/>
        </w:rPr>
        <w:t> </w:t>
      </w:r>
      <w:r>
        <w:rPr>
          <w:sz w:val="24"/>
        </w:rPr>
        <w:t>The</w:t>
      </w:r>
      <w:r>
        <w:rPr>
          <w:spacing w:val="-3"/>
          <w:sz w:val="24"/>
        </w:rPr>
        <w:t> </w:t>
      </w:r>
      <w:r>
        <w:rPr>
          <w:sz w:val="24"/>
        </w:rPr>
        <w:t>SLA</w:t>
      </w:r>
      <w:r>
        <w:rPr>
          <w:spacing w:val="-3"/>
          <w:sz w:val="24"/>
        </w:rPr>
        <w:t> </w:t>
      </w:r>
      <w:r>
        <w:rPr>
          <w:sz w:val="24"/>
        </w:rPr>
        <w:t>shall</w:t>
      </w:r>
      <w:r>
        <w:rPr>
          <w:spacing w:val="-3"/>
          <w:sz w:val="24"/>
        </w:rPr>
        <w:t> </w:t>
      </w:r>
      <w:r>
        <w:rPr>
          <w:sz w:val="24"/>
        </w:rPr>
        <w:t>ensure</w:t>
      </w:r>
      <w:r>
        <w:rPr>
          <w:spacing w:val="-3"/>
          <w:sz w:val="24"/>
        </w:rPr>
        <w:t> </w:t>
      </w:r>
      <w:r>
        <w:rPr>
          <w:sz w:val="24"/>
        </w:rPr>
        <w:t>that</w:t>
      </w:r>
      <w:r>
        <w:rPr>
          <w:spacing w:val="-2"/>
          <w:sz w:val="24"/>
        </w:rPr>
        <w:t> </w:t>
      </w:r>
      <w:r>
        <w:rPr>
          <w:sz w:val="24"/>
        </w:rPr>
        <w:t>effective</w:t>
      </w:r>
      <w:r>
        <w:rPr>
          <w:spacing w:val="-3"/>
          <w:sz w:val="24"/>
        </w:rPr>
        <w:t> </w:t>
      </w:r>
      <w:r>
        <w:rPr>
          <w:sz w:val="24"/>
        </w:rPr>
        <w:t>programs</w:t>
      </w:r>
      <w:r>
        <w:rPr>
          <w:spacing w:val="-4"/>
          <w:sz w:val="24"/>
        </w:rPr>
        <w:t> </w:t>
      </w:r>
      <w:r>
        <w:rPr>
          <w:sz w:val="24"/>
        </w:rPr>
        <w:t>of</w:t>
      </w:r>
      <w:r>
        <w:rPr>
          <w:spacing w:val="-4"/>
          <w:sz w:val="24"/>
        </w:rPr>
        <w:t> </w:t>
      </w:r>
      <w:r>
        <w:rPr>
          <w:sz w:val="24"/>
        </w:rPr>
        <w:t>training shall be provided to licensed manager trainees, current licensed managers and BEP</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359" w:right="739"/>
        <w:rPr>
          <w:b/>
        </w:rPr>
      </w:pPr>
      <w:r>
        <w:rPr/>
        <w:t>staff, as appropriate. </w:t>
      </w:r>
      <w:r>
        <w:rPr>
          <w:b/>
        </w:rPr>
        <w:t>2</w:t>
      </w:r>
      <w:r>
        <w:rPr>
          <w:b/>
          <w:spacing w:val="40"/>
        </w:rPr>
        <w:t> </w:t>
      </w:r>
      <w:r>
        <w:rPr/>
        <w:t>Programs for trainees and current licensed managers shall include, as appropriate, on-the-job training in all aspects of business enterprise operations</w:t>
      </w:r>
      <w:r>
        <w:rPr>
          <w:spacing w:val="-3"/>
        </w:rPr>
        <w:t> </w:t>
      </w:r>
      <w:r>
        <w:rPr/>
        <w:t>and</w:t>
      </w:r>
      <w:r>
        <w:rPr>
          <w:spacing w:val="-4"/>
        </w:rPr>
        <w:t> </w:t>
      </w:r>
      <w:r>
        <w:rPr/>
        <w:t>upward</w:t>
      </w:r>
      <w:r>
        <w:rPr>
          <w:spacing w:val="-4"/>
        </w:rPr>
        <w:t> </w:t>
      </w:r>
      <w:r>
        <w:rPr/>
        <w:t>mobility</w:t>
      </w:r>
      <w:r>
        <w:rPr>
          <w:spacing w:val="-4"/>
        </w:rPr>
        <w:t> </w:t>
      </w:r>
      <w:r>
        <w:rPr/>
        <w:t>training</w:t>
      </w:r>
      <w:r>
        <w:rPr>
          <w:spacing w:val="-4"/>
        </w:rPr>
        <w:t> </w:t>
      </w:r>
      <w:r>
        <w:rPr/>
        <w:t>that</w:t>
      </w:r>
      <w:r>
        <w:rPr>
          <w:spacing w:val="-3"/>
        </w:rPr>
        <w:t> </w:t>
      </w:r>
      <w:r>
        <w:rPr/>
        <w:t>includes</w:t>
      </w:r>
      <w:r>
        <w:rPr>
          <w:spacing w:val="-4"/>
        </w:rPr>
        <w:t> </w:t>
      </w:r>
      <w:r>
        <w:rPr/>
        <w:t>improved</w:t>
      </w:r>
      <w:r>
        <w:rPr>
          <w:spacing w:val="-4"/>
        </w:rPr>
        <w:t> </w:t>
      </w:r>
      <w:r>
        <w:rPr/>
        <w:t>work</w:t>
      </w:r>
      <w:r>
        <w:rPr>
          <w:spacing w:val="-4"/>
        </w:rPr>
        <w:t> </w:t>
      </w:r>
      <w:r>
        <w:rPr/>
        <w:t>opportunities</w:t>
      </w:r>
      <w:r>
        <w:rPr>
          <w:spacing w:val="-4"/>
        </w:rPr>
        <w:t> </w:t>
      </w:r>
      <w:r>
        <w:rPr/>
        <w:t>for</w:t>
      </w:r>
      <w:r>
        <w:rPr>
          <w:spacing w:val="-3"/>
        </w:rPr>
        <w:t> </w:t>
      </w:r>
      <w:r>
        <w:rPr/>
        <w:t>all licensed managers. </w:t>
      </w:r>
      <w:r>
        <w:rPr>
          <w:b/>
        </w:rPr>
        <w:t>3, 4</w:t>
      </w:r>
    </w:p>
    <w:p>
      <w:pPr>
        <w:pStyle w:val="BodyText"/>
        <w:spacing w:before="210"/>
      </w:pPr>
      <w:r>
        <w:rPr/>
        <w:t>INSTRUCTIONS</w:t>
      </w:r>
      <w:r>
        <w:rPr>
          <w:spacing w:val="-3"/>
        </w:rPr>
        <w:t> </w:t>
      </w:r>
      <w:r>
        <w:rPr/>
        <w:t>TO</w:t>
      </w:r>
      <w:r>
        <w:rPr>
          <w:spacing w:val="-2"/>
        </w:rPr>
        <w:t> </w:t>
      </w:r>
      <w:r>
        <w:rPr>
          <w:spacing w:val="-4"/>
        </w:rPr>
        <w:t>STAFF</w:t>
      </w:r>
    </w:p>
    <w:p>
      <w:pPr>
        <w:pStyle w:val="ListParagraph"/>
        <w:numPr>
          <w:ilvl w:val="0"/>
          <w:numId w:val="379"/>
        </w:numPr>
        <w:tabs>
          <w:tab w:pos="1077" w:val="left" w:leader="none"/>
        </w:tabs>
        <w:spacing w:line="208" w:lineRule="auto" w:before="233" w:after="0"/>
        <w:ind w:left="791" w:right="1086" w:firstLine="0"/>
        <w:jc w:val="left"/>
        <w:rPr>
          <w:sz w:val="24"/>
        </w:rPr>
      </w:pPr>
      <w:r>
        <w:rPr>
          <w:sz w:val="24"/>
        </w:rPr>
        <w:t>The</w:t>
      </w:r>
      <w:r>
        <w:rPr>
          <w:spacing w:val="-4"/>
          <w:sz w:val="24"/>
        </w:rPr>
        <w:t> </w:t>
      </w:r>
      <w:r>
        <w:rPr>
          <w:sz w:val="24"/>
        </w:rPr>
        <w:t>On-Site</w:t>
      </w:r>
      <w:r>
        <w:rPr>
          <w:spacing w:val="-4"/>
          <w:sz w:val="24"/>
        </w:rPr>
        <w:t> </w:t>
      </w:r>
      <w:r>
        <w:rPr>
          <w:sz w:val="24"/>
        </w:rPr>
        <w:t>Review</w:t>
      </w:r>
      <w:r>
        <w:rPr>
          <w:spacing w:val="-4"/>
          <w:sz w:val="24"/>
        </w:rPr>
        <w:t> </w:t>
      </w:r>
      <w:r>
        <w:rPr>
          <w:sz w:val="24"/>
        </w:rPr>
        <w:t>and</w:t>
      </w:r>
      <w:r>
        <w:rPr>
          <w:spacing w:val="-4"/>
          <w:sz w:val="24"/>
        </w:rPr>
        <w:t> </w:t>
      </w:r>
      <w:r>
        <w:rPr>
          <w:sz w:val="24"/>
        </w:rPr>
        <w:t>Inspection</w:t>
      </w:r>
      <w:r>
        <w:rPr>
          <w:spacing w:val="-4"/>
          <w:sz w:val="24"/>
        </w:rPr>
        <w:t> </w:t>
      </w:r>
      <w:r>
        <w:rPr>
          <w:sz w:val="24"/>
        </w:rPr>
        <w:t>is</w:t>
      </w:r>
      <w:r>
        <w:rPr>
          <w:spacing w:val="-4"/>
          <w:sz w:val="24"/>
        </w:rPr>
        <w:t> </w:t>
      </w:r>
      <w:r>
        <w:rPr>
          <w:sz w:val="24"/>
        </w:rPr>
        <w:t>documented</w:t>
      </w:r>
      <w:r>
        <w:rPr>
          <w:spacing w:val="-4"/>
          <w:sz w:val="24"/>
        </w:rPr>
        <w:t> </w:t>
      </w:r>
      <w:r>
        <w:rPr>
          <w:sz w:val="24"/>
        </w:rPr>
        <w:t>using</w:t>
      </w:r>
      <w:r>
        <w:rPr>
          <w:spacing w:val="-4"/>
          <w:sz w:val="24"/>
        </w:rPr>
        <w:t> </w:t>
      </w:r>
      <w:r>
        <w:rPr>
          <w:sz w:val="24"/>
        </w:rPr>
        <w:t>the</w:t>
      </w:r>
      <w:r>
        <w:rPr>
          <w:spacing w:val="-4"/>
          <w:sz w:val="24"/>
        </w:rPr>
        <w:t> </w:t>
      </w:r>
      <w:r>
        <w:rPr>
          <w:sz w:val="24"/>
        </w:rPr>
        <w:t>Location</w:t>
      </w:r>
      <w:r>
        <w:rPr>
          <w:spacing w:val="-4"/>
          <w:sz w:val="24"/>
        </w:rPr>
        <w:t> </w:t>
      </w:r>
      <w:r>
        <w:rPr>
          <w:sz w:val="24"/>
        </w:rPr>
        <w:t>Review </w:t>
      </w:r>
      <w:r>
        <w:rPr>
          <w:spacing w:val="-2"/>
          <w:sz w:val="24"/>
        </w:rPr>
        <w:t>Form.</w:t>
      </w:r>
    </w:p>
    <w:p>
      <w:pPr>
        <w:pStyle w:val="ListParagraph"/>
        <w:numPr>
          <w:ilvl w:val="0"/>
          <w:numId w:val="379"/>
        </w:numPr>
        <w:tabs>
          <w:tab w:pos="1077" w:val="left" w:leader="none"/>
        </w:tabs>
        <w:spacing w:line="240" w:lineRule="auto" w:before="211" w:after="0"/>
        <w:ind w:left="1077" w:right="0" w:hanging="286"/>
        <w:jc w:val="left"/>
        <w:rPr>
          <w:sz w:val="24"/>
        </w:rPr>
      </w:pPr>
      <w:r>
        <w:rPr>
          <w:sz w:val="24"/>
        </w:rPr>
        <w:t>Training</w:t>
      </w:r>
      <w:r>
        <w:rPr>
          <w:spacing w:val="-5"/>
          <w:sz w:val="24"/>
        </w:rPr>
        <w:t> </w:t>
      </w:r>
      <w:r>
        <w:rPr>
          <w:sz w:val="24"/>
        </w:rPr>
        <w:t>for</w:t>
      </w:r>
      <w:r>
        <w:rPr>
          <w:spacing w:val="-5"/>
          <w:sz w:val="24"/>
        </w:rPr>
        <w:t> </w:t>
      </w:r>
      <w:r>
        <w:rPr>
          <w:sz w:val="24"/>
        </w:rPr>
        <w:t>BEP</w:t>
      </w:r>
      <w:r>
        <w:rPr>
          <w:spacing w:val="-4"/>
          <w:sz w:val="24"/>
        </w:rPr>
        <w:t> </w:t>
      </w:r>
      <w:r>
        <w:rPr>
          <w:sz w:val="24"/>
        </w:rPr>
        <w:t>business</w:t>
      </w:r>
      <w:r>
        <w:rPr>
          <w:spacing w:val="-5"/>
          <w:sz w:val="24"/>
        </w:rPr>
        <w:t> </w:t>
      </w:r>
      <w:r>
        <w:rPr>
          <w:sz w:val="24"/>
        </w:rPr>
        <w:t>consultants:</w:t>
      </w:r>
      <w:r>
        <w:rPr>
          <w:spacing w:val="59"/>
          <w:sz w:val="24"/>
        </w:rPr>
        <w:t> </w:t>
      </w:r>
      <w:hyperlink r:id="rId88">
        <w:r>
          <w:rPr>
            <w:color w:val="0000FF"/>
            <w:sz w:val="24"/>
            <w:u w:val="single" w:color="0000FF"/>
          </w:rPr>
          <w:t>612:25-4-</w:t>
        </w:r>
        <w:r>
          <w:rPr>
            <w:color w:val="0000FF"/>
            <w:spacing w:val="-5"/>
            <w:sz w:val="24"/>
            <w:u w:val="single" w:color="0000FF"/>
          </w:rPr>
          <w:t>16</w:t>
        </w:r>
      </w:hyperlink>
      <w:r>
        <w:rPr>
          <w:spacing w:val="-5"/>
          <w:sz w:val="24"/>
          <w:u w:val="none"/>
        </w:rPr>
        <w:t>.</w:t>
      </w:r>
    </w:p>
    <w:p>
      <w:pPr>
        <w:pStyle w:val="ListParagraph"/>
        <w:numPr>
          <w:ilvl w:val="0"/>
          <w:numId w:val="379"/>
        </w:numPr>
        <w:tabs>
          <w:tab w:pos="1077" w:val="left" w:leader="none"/>
        </w:tabs>
        <w:spacing w:line="240" w:lineRule="auto" w:before="204" w:after="0"/>
        <w:ind w:left="1077" w:right="0" w:hanging="286"/>
        <w:jc w:val="left"/>
        <w:rPr>
          <w:sz w:val="24"/>
        </w:rPr>
      </w:pPr>
      <w:r>
        <w:rPr>
          <w:sz w:val="24"/>
        </w:rPr>
        <w:t>Link</w:t>
      </w:r>
      <w:r>
        <w:rPr>
          <w:spacing w:val="-2"/>
          <w:sz w:val="24"/>
        </w:rPr>
        <w:t> </w:t>
      </w:r>
      <w:r>
        <w:rPr>
          <w:sz w:val="24"/>
        </w:rPr>
        <w:t>to</w:t>
      </w:r>
      <w:r>
        <w:rPr>
          <w:spacing w:val="-1"/>
          <w:sz w:val="24"/>
        </w:rPr>
        <w:t> </w:t>
      </w:r>
      <w:hyperlink r:id="rId89">
        <w:r>
          <w:rPr>
            <w:color w:val="0000FF"/>
            <w:sz w:val="24"/>
            <w:u w:val="single" w:color="0000FF"/>
          </w:rPr>
          <w:t>34</w:t>
        </w:r>
        <w:r>
          <w:rPr>
            <w:color w:val="0000FF"/>
            <w:spacing w:val="-2"/>
            <w:sz w:val="24"/>
            <w:u w:val="single" w:color="0000FF"/>
          </w:rPr>
          <w:t> </w:t>
        </w:r>
        <w:r>
          <w:rPr>
            <w:color w:val="0000FF"/>
            <w:sz w:val="24"/>
            <w:u w:val="single" w:color="0000FF"/>
          </w:rPr>
          <w:t>CFR</w:t>
        </w:r>
        <w:r>
          <w:rPr>
            <w:color w:val="0000FF"/>
            <w:spacing w:val="-1"/>
            <w:sz w:val="24"/>
            <w:u w:val="single" w:color="0000FF"/>
          </w:rPr>
          <w:t> </w:t>
        </w:r>
        <w:r>
          <w:rPr>
            <w:color w:val="0000FF"/>
            <w:spacing w:val="-2"/>
            <w:sz w:val="24"/>
            <w:u w:val="single" w:color="0000FF"/>
          </w:rPr>
          <w:t>395.11</w:t>
        </w:r>
      </w:hyperlink>
    </w:p>
    <w:p>
      <w:pPr>
        <w:pStyle w:val="ListParagraph"/>
        <w:numPr>
          <w:ilvl w:val="0"/>
          <w:numId w:val="379"/>
        </w:numPr>
        <w:tabs>
          <w:tab w:pos="1077" w:val="left" w:leader="none"/>
        </w:tabs>
        <w:spacing w:line="240" w:lineRule="auto" w:before="204" w:after="0"/>
        <w:ind w:left="1077" w:right="0" w:hanging="286"/>
        <w:jc w:val="left"/>
        <w:rPr>
          <w:sz w:val="24"/>
        </w:rPr>
      </w:pPr>
      <w:r>
        <w:rPr>
          <w:sz w:val="24"/>
        </w:rPr>
        <w:t>BEP</w:t>
      </w:r>
      <w:r>
        <w:rPr>
          <w:spacing w:val="-6"/>
          <w:sz w:val="24"/>
        </w:rPr>
        <w:t> </w:t>
      </w:r>
      <w:r>
        <w:rPr>
          <w:sz w:val="24"/>
        </w:rPr>
        <w:t>licensed</w:t>
      </w:r>
      <w:r>
        <w:rPr>
          <w:spacing w:val="-4"/>
          <w:sz w:val="24"/>
        </w:rPr>
        <w:t> </w:t>
      </w:r>
      <w:r>
        <w:rPr>
          <w:sz w:val="24"/>
        </w:rPr>
        <w:t>manager</w:t>
      </w:r>
      <w:r>
        <w:rPr>
          <w:spacing w:val="-3"/>
          <w:sz w:val="24"/>
        </w:rPr>
        <w:t> </w:t>
      </w:r>
      <w:r>
        <w:rPr>
          <w:sz w:val="24"/>
        </w:rPr>
        <w:t>training</w:t>
      </w:r>
      <w:r>
        <w:rPr>
          <w:spacing w:val="-4"/>
          <w:sz w:val="24"/>
        </w:rPr>
        <w:t> </w:t>
      </w:r>
      <w:r>
        <w:rPr>
          <w:sz w:val="24"/>
        </w:rPr>
        <w:t>is</w:t>
      </w:r>
      <w:r>
        <w:rPr>
          <w:spacing w:val="-3"/>
          <w:sz w:val="24"/>
        </w:rPr>
        <w:t> </w:t>
      </w:r>
      <w:r>
        <w:rPr>
          <w:sz w:val="24"/>
        </w:rPr>
        <w:t>described</w:t>
      </w:r>
      <w:r>
        <w:rPr>
          <w:spacing w:val="-4"/>
          <w:sz w:val="24"/>
        </w:rPr>
        <w:t> </w:t>
      </w:r>
      <w:r>
        <w:rPr>
          <w:sz w:val="24"/>
        </w:rPr>
        <w:t>in</w:t>
      </w:r>
      <w:r>
        <w:rPr>
          <w:spacing w:val="-4"/>
          <w:sz w:val="24"/>
        </w:rPr>
        <w:t> </w:t>
      </w:r>
      <w:hyperlink w:history="true" w:anchor="_bookmark32">
        <w:r>
          <w:rPr>
            <w:color w:val="0000FF"/>
            <w:sz w:val="24"/>
            <w:u w:val="single" w:color="0000FF"/>
          </w:rPr>
          <w:t>612:25-4-14</w:t>
        </w:r>
      </w:hyperlink>
      <w:r>
        <w:rPr>
          <w:color w:val="0000FF"/>
          <w:spacing w:val="-4"/>
          <w:sz w:val="24"/>
          <w:u w:val="none"/>
        </w:rPr>
        <w:t> </w:t>
      </w:r>
      <w:r>
        <w:rPr>
          <w:sz w:val="24"/>
          <w:u w:val="none"/>
        </w:rPr>
        <w:t>and</w:t>
      </w:r>
      <w:r>
        <w:rPr>
          <w:spacing w:val="-3"/>
          <w:sz w:val="24"/>
          <w:u w:val="none"/>
        </w:rPr>
        <w:t> </w:t>
      </w:r>
      <w:hyperlink w:history="true" w:anchor="_bookmark33">
        <w:r>
          <w:rPr>
            <w:color w:val="0000FF"/>
            <w:sz w:val="24"/>
            <w:u w:val="single" w:color="0000FF"/>
          </w:rPr>
          <w:t>612:25-4-</w:t>
        </w:r>
        <w:r>
          <w:rPr>
            <w:color w:val="0000FF"/>
            <w:spacing w:val="-5"/>
            <w:sz w:val="24"/>
            <w:u w:val="single" w:color="0000FF"/>
          </w:rPr>
          <w:t>15</w:t>
        </w:r>
      </w:hyperlink>
      <w:r>
        <w:rPr>
          <w:spacing w:val="-5"/>
          <w:sz w:val="24"/>
          <w:u w:val="none"/>
        </w:rPr>
        <w:t>.</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7-1-05</w:t>
      </w:r>
      <w:r>
        <w:rPr>
          <w:sz w:val="22"/>
        </w:rPr>
        <w:tab/>
        <w:t>PT Memo #06-01</w:t>
      </w:r>
    </w:p>
    <w:p>
      <w:pPr>
        <w:tabs>
          <w:tab w:pos="1439" w:val="left" w:leader="none"/>
        </w:tabs>
        <w:spacing w:before="0"/>
        <w:ind w:left="360" w:right="4657" w:firstLine="1080"/>
        <w:jc w:val="left"/>
        <w:rPr>
          <w:sz w:val="22"/>
        </w:rPr>
      </w:pPr>
      <w:r>
        <w:rPr>
          <w:sz w:val="22"/>
        </w:rPr>
        <w:t>Permanent,</w:t>
      </w:r>
      <w:r>
        <w:rPr>
          <w:spacing w:val="-9"/>
          <w:sz w:val="22"/>
        </w:rPr>
        <w:t> </w:t>
      </w:r>
      <w:r>
        <w:rPr>
          <w:sz w:val="22"/>
        </w:rPr>
        <w:t>removed</w:t>
      </w:r>
      <w:r>
        <w:rPr>
          <w:spacing w:val="-10"/>
          <w:sz w:val="22"/>
        </w:rPr>
        <w:t> </w:t>
      </w:r>
      <w:r>
        <w:rPr>
          <w:sz w:val="22"/>
        </w:rPr>
        <w:t>procedures</w:t>
      </w:r>
      <w:r>
        <w:rPr>
          <w:spacing w:val="-10"/>
          <w:sz w:val="22"/>
        </w:rPr>
        <w:t> </w:t>
      </w:r>
      <w:r>
        <w:rPr>
          <w:sz w:val="22"/>
        </w:rPr>
        <w:t>from</w:t>
      </w:r>
      <w:r>
        <w:rPr>
          <w:spacing w:val="-11"/>
          <w:sz w:val="22"/>
        </w:rPr>
        <w:t> </w:t>
      </w:r>
      <w:r>
        <w:rPr>
          <w:sz w:val="22"/>
        </w:rPr>
        <w:t>policy </w:t>
      </w:r>
      <w:r>
        <w:rPr>
          <w:spacing w:val="-2"/>
          <w:sz w:val="22"/>
        </w:rPr>
        <w:t>7-1-12</w:t>
      </w:r>
      <w:r>
        <w:rPr>
          <w:sz w:val="22"/>
        </w:rPr>
        <w:tab/>
        <w:t>Permanent, updated language due to audit </w:t>
      </w:r>
      <w:r>
        <w:rPr>
          <w:spacing w:val="-2"/>
          <w:sz w:val="22"/>
        </w:rPr>
        <w:t>9-12-14</w:t>
      </w:r>
      <w:r>
        <w:rPr>
          <w:sz w:val="22"/>
        </w:rPr>
        <w:tab/>
        <w:t>Permanent, updated language due to audit </w:t>
      </w:r>
      <w:r>
        <w:rPr>
          <w:spacing w:val="-2"/>
          <w:sz w:val="22"/>
        </w:rPr>
        <w:t>9-11-22</w:t>
      </w:r>
      <w:r>
        <w:rPr>
          <w:sz w:val="22"/>
        </w:rPr>
        <w:tab/>
        <w:t>Updated adding ITS #1-4.</w:t>
      </w:r>
    </w:p>
    <w:p>
      <w:pPr>
        <w:spacing w:after="0"/>
        <w:jc w:val="left"/>
        <w:rPr>
          <w:sz w:val="22"/>
        </w:rPr>
        <w:sectPr>
          <w:pgSz w:w="12240" w:h="15840"/>
          <w:pgMar w:top="1340" w:bottom="280" w:left="1080" w:right="720"/>
        </w:sectPr>
      </w:pPr>
    </w:p>
    <w:p>
      <w:pPr>
        <w:pStyle w:val="Heading1"/>
      </w:pPr>
      <w:bookmarkStart w:name="PART 3. BUSINESS ENTERPRISE PROGRAM TRAI" w:id="392"/>
      <w:bookmarkEnd w:id="392"/>
      <w:r>
        <w:rPr>
          <w:b w:val="0"/>
        </w:rPr>
      </w:r>
      <w:r>
        <w:rPr/>
        <w:t>PART</w:t>
      </w:r>
      <w:r>
        <w:rPr>
          <w:spacing w:val="-5"/>
        </w:rPr>
        <w:t> </w:t>
      </w:r>
      <w:r>
        <w:rPr/>
        <w:t>3.</w:t>
      </w:r>
      <w:r>
        <w:rPr>
          <w:spacing w:val="-4"/>
        </w:rPr>
        <w:t> </w:t>
      </w:r>
      <w:r>
        <w:rPr/>
        <w:t>BUSINESS</w:t>
      </w:r>
      <w:r>
        <w:rPr>
          <w:spacing w:val="-2"/>
        </w:rPr>
        <w:t> </w:t>
      </w:r>
      <w:r>
        <w:rPr/>
        <w:t>ENTERPRISE</w:t>
      </w:r>
      <w:r>
        <w:rPr>
          <w:spacing w:val="-3"/>
        </w:rPr>
        <w:t> </w:t>
      </w:r>
      <w:r>
        <w:rPr/>
        <w:t>PROGRAM</w:t>
      </w:r>
      <w:r>
        <w:rPr>
          <w:spacing w:val="-4"/>
        </w:rPr>
        <w:t> </w:t>
      </w:r>
      <w:r>
        <w:rPr>
          <w:spacing w:val="-2"/>
        </w:rPr>
        <w:t>TRAINING</w:t>
      </w:r>
    </w:p>
    <w:p>
      <w:pPr>
        <w:pStyle w:val="BodyText"/>
        <w:spacing w:before="204"/>
      </w:pPr>
      <w:r>
        <w:rPr>
          <w:spacing w:val="-2"/>
        </w:rPr>
        <w:t>Section</w:t>
      </w:r>
    </w:p>
    <w:p>
      <w:pPr>
        <w:pStyle w:val="BodyText"/>
        <w:tabs>
          <w:tab w:pos="2519" w:val="left" w:leader="none"/>
        </w:tabs>
        <w:spacing w:line="417" w:lineRule="auto" w:before="204"/>
        <w:ind w:right="2863"/>
      </w:pPr>
      <w:r>
        <w:rPr>
          <w:spacing w:val="-2"/>
        </w:rPr>
        <w:t>612:25-4-14.</w:t>
      </w:r>
      <w:r>
        <w:rPr/>
        <w:tab/>
        <w:t>Training</w:t>
      </w:r>
      <w:r>
        <w:rPr>
          <w:spacing w:val="-7"/>
        </w:rPr>
        <w:t> </w:t>
      </w:r>
      <w:r>
        <w:rPr/>
        <w:t>for</w:t>
      </w:r>
      <w:r>
        <w:rPr>
          <w:spacing w:val="-8"/>
        </w:rPr>
        <w:t> </w:t>
      </w:r>
      <w:r>
        <w:rPr/>
        <w:t>new</w:t>
      </w:r>
      <w:r>
        <w:rPr>
          <w:spacing w:val="-7"/>
        </w:rPr>
        <w:t> </w:t>
      </w:r>
      <w:r>
        <w:rPr/>
        <w:t>or</w:t>
      </w:r>
      <w:r>
        <w:rPr>
          <w:spacing w:val="-6"/>
        </w:rPr>
        <w:t> </w:t>
      </w:r>
      <w:r>
        <w:rPr/>
        <w:t>potential</w:t>
      </w:r>
      <w:r>
        <w:rPr>
          <w:spacing w:val="-7"/>
        </w:rPr>
        <w:t> </w:t>
      </w:r>
      <w:r>
        <w:rPr/>
        <w:t>licensed</w:t>
      </w:r>
      <w:r>
        <w:rPr>
          <w:spacing w:val="-7"/>
        </w:rPr>
        <w:t> </w:t>
      </w:r>
      <w:r>
        <w:rPr/>
        <w:t>managers </w:t>
      </w:r>
      <w:r>
        <w:rPr>
          <w:spacing w:val="-2"/>
        </w:rPr>
        <w:t>612:25-4-15.</w:t>
      </w:r>
      <w:r>
        <w:rPr/>
        <w:tab/>
        <w:t>Training for present licensed managers</w:t>
      </w:r>
    </w:p>
    <w:p>
      <w:pPr>
        <w:pStyle w:val="BodyText"/>
        <w:spacing w:after="0" w:line="417" w:lineRule="auto"/>
        <w:sectPr>
          <w:pgSz w:w="12240" w:h="15840"/>
          <w:pgMar w:top="1340" w:bottom="280" w:left="1080" w:right="720"/>
        </w:sectPr>
      </w:pPr>
    </w:p>
    <w:p>
      <w:pPr>
        <w:pStyle w:val="Heading2"/>
      </w:pPr>
      <w:bookmarkStart w:name="612:25-4-14.  Training for new or potent" w:id="393"/>
      <w:bookmarkEnd w:id="393"/>
      <w:r>
        <w:rPr>
          <w:b w:val="0"/>
        </w:rPr>
      </w:r>
      <w:bookmarkStart w:name="_bookmark32" w:id="394"/>
      <w:bookmarkEnd w:id="394"/>
      <w:r>
        <w:rPr>
          <w:b w:val="0"/>
        </w:rPr>
      </w:r>
      <w:r>
        <w:rPr/>
        <w:t>612:25-4-14.</w:t>
      </w:r>
      <w:r>
        <w:rPr>
          <w:spacing w:val="59"/>
        </w:rPr>
        <w:t> </w:t>
      </w:r>
      <w:r>
        <w:rPr/>
        <w:t>Training</w:t>
      </w:r>
      <w:r>
        <w:rPr>
          <w:spacing w:val="-3"/>
        </w:rPr>
        <w:t> </w:t>
      </w:r>
      <w:r>
        <w:rPr/>
        <w:t>for</w:t>
      </w:r>
      <w:r>
        <w:rPr>
          <w:spacing w:val="-3"/>
        </w:rPr>
        <w:t> </w:t>
      </w:r>
      <w:r>
        <w:rPr/>
        <w:t>new</w:t>
      </w:r>
      <w:r>
        <w:rPr>
          <w:spacing w:val="-6"/>
        </w:rPr>
        <w:t> </w:t>
      </w:r>
      <w:r>
        <w:rPr/>
        <w:t>or</w:t>
      </w:r>
      <w:r>
        <w:rPr>
          <w:spacing w:val="-3"/>
        </w:rPr>
        <w:t> </w:t>
      </w:r>
      <w:r>
        <w:rPr/>
        <w:t>potential</w:t>
      </w:r>
      <w:r>
        <w:rPr>
          <w:spacing w:val="-2"/>
        </w:rPr>
        <w:t> </w:t>
      </w:r>
      <w:r>
        <w:rPr/>
        <w:t>licensed</w:t>
      </w:r>
      <w:r>
        <w:rPr>
          <w:spacing w:val="-3"/>
        </w:rPr>
        <w:t> </w:t>
      </w:r>
      <w:r>
        <w:rPr>
          <w:spacing w:val="-2"/>
        </w:rPr>
        <w:t>managers</w:t>
      </w:r>
    </w:p>
    <w:p>
      <w:pPr>
        <w:pStyle w:val="ListParagraph"/>
        <w:numPr>
          <w:ilvl w:val="0"/>
          <w:numId w:val="380"/>
        </w:numPr>
        <w:tabs>
          <w:tab w:pos="785" w:val="left" w:leader="none"/>
        </w:tabs>
        <w:spacing w:line="208" w:lineRule="auto" w:before="233" w:after="0"/>
        <w:ind w:left="360" w:right="727" w:firstLine="0"/>
        <w:jc w:val="left"/>
        <w:rPr>
          <w:sz w:val="24"/>
        </w:rPr>
      </w:pPr>
      <w:r>
        <w:rPr>
          <w:b/>
          <w:sz w:val="24"/>
        </w:rPr>
        <w:t>Overview of Licensed Manager Training. </w:t>
      </w:r>
      <w:r>
        <w:rPr>
          <w:sz w:val="24"/>
        </w:rPr>
        <w:t>The Business Enterprise Program</w:t>
      </w:r>
      <w:r>
        <w:rPr>
          <w:sz w:val="24"/>
        </w:rPr>
        <w:t> (BEP) provides individuals who are blind with training that leads to potential</w:t>
      </w:r>
      <w:r>
        <w:rPr>
          <w:spacing w:val="40"/>
          <w:sz w:val="24"/>
        </w:rPr>
        <w:t> </w:t>
      </w:r>
      <w:r>
        <w:rPr>
          <w:sz w:val="24"/>
        </w:rPr>
        <w:t>employment as a Licensed Manager of a vending facility or related business in the Business</w:t>
      </w:r>
      <w:r>
        <w:rPr>
          <w:spacing w:val="-4"/>
          <w:sz w:val="24"/>
        </w:rPr>
        <w:t> </w:t>
      </w:r>
      <w:r>
        <w:rPr>
          <w:sz w:val="24"/>
        </w:rPr>
        <w:t>Enterprise</w:t>
      </w:r>
      <w:r>
        <w:rPr>
          <w:spacing w:val="-4"/>
          <w:sz w:val="24"/>
        </w:rPr>
        <w:t> </w:t>
      </w:r>
      <w:r>
        <w:rPr>
          <w:sz w:val="24"/>
        </w:rPr>
        <w:t>Program.</w:t>
      </w:r>
      <w:r>
        <w:rPr>
          <w:spacing w:val="-3"/>
          <w:sz w:val="24"/>
        </w:rPr>
        <w:t> </w:t>
      </w:r>
      <w:r>
        <w:rPr>
          <w:sz w:val="24"/>
        </w:rPr>
        <w:t>The</w:t>
      </w:r>
      <w:r>
        <w:rPr>
          <w:spacing w:val="-4"/>
          <w:sz w:val="24"/>
        </w:rPr>
        <w:t> </w:t>
      </w:r>
      <w:r>
        <w:rPr>
          <w:sz w:val="24"/>
        </w:rPr>
        <w:t>training</w:t>
      </w:r>
      <w:r>
        <w:rPr>
          <w:spacing w:val="-4"/>
          <w:sz w:val="24"/>
        </w:rPr>
        <w:t> </w:t>
      </w:r>
      <w:r>
        <w:rPr>
          <w:sz w:val="24"/>
        </w:rPr>
        <w:t>program</w:t>
      </w:r>
      <w:r>
        <w:rPr>
          <w:spacing w:val="-3"/>
          <w:sz w:val="24"/>
        </w:rPr>
        <w:t> </w:t>
      </w:r>
      <w:r>
        <w:rPr>
          <w:sz w:val="24"/>
        </w:rPr>
        <w:t>includes</w:t>
      </w:r>
      <w:r>
        <w:rPr>
          <w:spacing w:val="-4"/>
          <w:sz w:val="24"/>
        </w:rPr>
        <w:t> </w:t>
      </w:r>
      <w:r>
        <w:rPr>
          <w:sz w:val="24"/>
        </w:rPr>
        <w:t>but</w:t>
      </w:r>
      <w:r>
        <w:rPr>
          <w:spacing w:val="-4"/>
          <w:sz w:val="24"/>
        </w:rPr>
        <w:t> </w:t>
      </w:r>
      <w:r>
        <w:rPr>
          <w:sz w:val="24"/>
        </w:rPr>
        <w:t>is</w:t>
      </w:r>
      <w:r>
        <w:rPr>
          <w:spacing w:val="-4"/>
          <w:sz w:val="24"/>
        </w:rPr>
        <w:t> </w:t>
      </w:r>
      <w:r>
        <w:rPr>
          <w:sz w:val="24"/>
        </w:rPr>
        <w:t>not</w:t>
      </w:r>
      <w:r>
        <w:rPr>
          <w:spacing w:val="-3"/>
          <w:sz w:val="24"/>
        </w:rPr>
        <w:t> </w:t>
      </w:r>
      <w:r>
        <w:rPr>
          <w:sz w:val="24"/>
        </w:rPr>
        <w:t>limited</w:t>
      </w:r>
      <w:r>
        <w:rPr>
          <w:spacing w:val="-4"/>
          <w:sz w:val="24"/>
        </w:rPr>
        <w:t> </w:t>
      </w:r>
      <w:r>
        <w:rPr>
          <w:sz w:val="24"/>
        </w:rPr>
        <w:t>to</w:t>
      </w:r>
      <w:r>
        <w:rPr>
          <w:spacing w:val="-4"/>
          <w:sz w:val="24"/>
        </w:rPr>
        <w:t> </w:t>
      </w:r>
      <w:r>
        <w:rPr>
          <w:sz w:val="24"/>
        </w:rPr>
        <w:t>training in laws and regulations affecting the Business Enterprise Program,</w:t>
      </w:r>
      <w:r>
        <w:rPr>
          <w:spacing w:val="-1"/>
          <w:sz w:val="24"/>
        </w:rPr>
        <w:t> </w:t>
      </w:r>
      <w:r>
        <w:rPr>
          <w:sz w:val="24"/>
        </w:rPr>
        <w:t>state and federal tax reporting, food service operations, sanitation, inventory control, money management, staffing of personnel, safety procedures, business management principles and techniques, and preparation of reports required by the State Licensing Agency. The licensed manager training program will be based on a curriculum developed and periodically reviewed through consultation with appropriate business representatives, trainers, BEP experts, and the Elected Committee of Licensed Managers.</w:t>
      </w:r>
      <w:r>
        <w:rPr>
          <w:spacing w:val="40"/>
          <w:sz w:val="24"/>
        </w:rPr>
        <w:t> </w:t>
      </w:r>
      <w:r>
        <w:rPr>
          <w:sz w:val="24"/>
        </w:rPr>
        <w:t>Additional training required by the licensed manager trainee to adjust to blindness, learn assistive technology skills or improve the trainee’s opportunity to succeed as a licensed manager may be arranged through coordination with the DRS Division of Visual Services and DRS Division of Vocational Rehabilitation.</w:t>
      </w:r>
    </w:p>
    <w:p>
      <w:pPr>
        <w:pStyle w:val="ListParagraph"/>
        <w:numPr>
          <w:ilvl w:val="0"/>
          <w:numId w:val="380"/>
        </w:numPr>
        <w:tabs>
          <w:tab w:pos="785" w:val="left" w:leader="none"/>
        </w:tabs>
        <w:spacing w:line="208" w:lineRule="auto" w:before="238" w:after="0"/>
        <w:ind w:left="360" w:right="1394" w:firstLine="0"/>
        <w:jc w:val="left"/>
        <w:rPr>
          <w:sz w:val="24"/>
        </w:rPr>
      </w:pPr>
      <w:r>
        <w:rPr>
          <w:b/>
          <w:sz w:val="24"/>
        </w:rPr>
        <w:t>Application</w:t>
      </w:r>
      <w:r>
        <w:rPr>
          <w:b/>
          <w:spacing w:val="-5"/>
          <w:sz w:val="24"/>
        </w:rPr>
        <w:t> </w:t>
      </w:r>
      <w:r>
        <w:rPr>
          <w:b/>
          <w:sz w:val="24"/>
        </w:rPr>
        <w:t>process.</w:t>
      </w:r>
      <w:r>
        <w:rPr>
          <w:b/>
          <w:spacing w:val="-5"/>
          <w:sz w:val="24"/>
        </w:rPr>
        <w:t> </w:t>
      </w:r>
      <w:r>
        <w:rPr>
          <w:sz w:val="24"/>
        </w:rPr>
        <w:t>Applications</w:t>
      </w:r>
      <w:r>
        <w:rPr>
          <w:spacing w:val="-5"/>
          <w:sz w:val="24"/>
        </w:rPr>
        <w:t> </w:t>
      </w:r>
      <w:r>
        <w:rPr>
          <w:sz w:val="24"/>
        </w:rPr>
        <w:t>for</w:t>
      </w:r>
      <w:r>
        <w:rPr>
          <w:spacing w:val="-4"/>
          <w:sz w:val="24"/>
        </w:rPr>
        <w:t> </w:t>
      </w:r>
      <w:r>
        <w:rPr>
          <w:sz w:val="24"/>
        </w:rPr>
        <w:t>BEP</w:t>
      </w:r>
      <w:r>
        <w:rPr>
          <w:spacing w:val="-5"/>
          <w:sz w:val="24"/>
        </w:rPr>
        <w:t> </w:t>
      </w:r>
      <w:r>
        <w:rPr>
          <w:sz w:val="24"/>
        </w:rPr>
        <w:t>training</w:t>
      </w:r>
      <w:r>
        <w:rPr>
          <w:spacing w:val="-4"/>
          <w:sz w:val="24"/>
        </w:rPr>
        <w:t> </w:t>
      </w:r>
      <w:r>
        <w:rPr>
          <w:sz w:val="24"/>
        </w:rPr>
        <w:t>shall</w:t>
      </w:r>
      <w:r>
        <w:rPr>
          <w:spacing w:val="-5"/>
          <w:sz w:val="24"/>
        </w:rPr>
        <w:t> </w:t>
      </w:r>
      <w:r>
        <w:rPr>
          <w:sz w:val="24"/>
        </w:rPr>
        <w:t>include</w:t>
      </w:r>
      <w:r>
        <w:rPr>
          <w:spacing w:val="-5"/>
          <w:sz w:val="24"/>
        </w:rPr>
        <w:t> </w:t>
      </w:r>
      <w:r>
        <w:rPr>
          <w:sz w:val="24"/>
        </w:rPr>
        <w:t>the</w:t>
      </w:r>
      <w:r>
        <w:rPr>
          <w:spacing w:val="-5"/>
          <w:sz w:val="24"/>
        </w:rPr>
        <w:t> </w:t>
      </w:r>
      <w:r>
        <w:rPr>
          <w:sz w:val="24"/>
        </w:rPr>
        <w:t>following information which shall be obtained from the individual’s counselor:</w:t>
      </w:r>
    </w:p>
    <w:p>
      <w:pPr>
        <w:pStyle w:val="ListParagraph"/>
        <w:numPr>
          <w:ilvl w:val="1"/>
          <w:numId w:val="380"/>
        </w:numPr>
        <w:tabs>
          <w:tab w:pos="1218" w:val="left" w:leader="none"/>
        </w:tabs>
        <w:spacing w:line="240" w:lineRule="auto" w:before="211" w:after="0"/>
        <w:ind w:left="1218" w:right="0" w:hanging="426"/>
        <w:jc w:val="left"/>
        <w:rPr>
          <w:sz w:val="24"/>
        </w:rPr>
      </w:pPr>
      <w:r>
        <w:rPr>
          <w:sz w:val="24"/>
        </w:rPr>
        <w:t>current</w:t>
      </w:r>
      <w:r>
        <w:rPr>
          <w:spacing w:val="-6"/>
          <w:sz w:val="24"/>
        </w:rPr>
        <w:t> </w:t>
      </w:r>
      <w:r>
        <w:rPr>
          <w:sz w:val="24"/>
        </w:rPr>
        <w:t>eye</w:t>
      </w:r>
      <w:r>
        <w:rPr>
          <w:spacing w:val="-5"/>
          <w:sz w:val="24"/>
        </w:rPr>
        <w:t> </w:t>
      </w:r>
      <w:r>
        <w:rPr>
          <w:sz w:val="24"/>
        </w:rPr>
        <w:t>examination,</w:t>
      </w:r>
      <w:r>
        <w:rPr>
          <w:spacing w:val="-4"/>
          <w:sz w:val="24"/>
        </w:rPr>
        <w:t> </w:t>
      </w:r>
      <w:r>
        <w:rPr>
          <w:sz w:val="24"/>
        </w:rPr>
        <w:t>documenting</w:t>
      </w:r>
      <w:r>
        <w:rPr>
          <w:spacing w:val="-5"/>
          <w:sz w:val="24"/>
        </w:rPr>
        <w:t> </w:t>
      </w:r>
      <w:r>
        <w:rPr>
          <w:spacing w:val="-2"/>
          <w:sz w:val="24"/>
        </w:rPr>
        <w:t>blindness;</w:t>
      </w:r>
    </w:p>
    <w:p>
      <w:pPr>
        <w:pStyle w:val="ListParagraph"/>
        <w:numPr>
          <w:ilvl w:val="1"/>
          <w:numId w:val="380"/>
        </w:numPr>
        <w:tabs>
          <w:tab w:pos="1218" w:val="left" w:leader="none"/>
        </w:tabs>
        <w:spacing w:line="240" w:lineRule="auto" w:before="204" w:after="0"/>
        <w:ind w:left="1218" w:right="0" w:hanging="426"/>
        <w:jc w:val="left"/>
        <w:rPr>
          <w:sz w:val="24"/>
        </w:rPr>
      </w:pPr>
      <w:r>
        <w:rPr>
          <w:sz w:val="24"/>
        </w:rPr>
        <w:t>documentation</w:t>
      </w:r>
      <w:r>
        <w:rPr>
          <w:spacing w:val="-5"/>
          <w:sz w:val="24"/>
        </w:rPr>
        <w:t> </w:t>
      </w:r>
      <w:r>
        <w:rPr>
          <w:sz w:val="24"/>
        </w:rPr>
        <w:t>for</w:t>
      </w:r>
      <w:r>
        <w:rPr>
          <w:spacing w:val="-3"/>
          <w:sz w:val="24"/>
        </w:rPr>
        <w:t> </w:t>
      </w:r>
      <w:r>
        <w:rPr>
          <w:sz w:val="24"/>
        </w:rPr>
        <w:t>United</w:t>
      </w:r>
      <w:r>
        <w:rPr>
          <w:spacing w:val="-4"/>
          <w:sz w:val="24"/>
        </w:rPr>
        <w:t> </w:t>
      </w:r>
      <w:r>
        <w:rPr>
          <w:sz w:val="24"/>
        </w:rPr>
        <w:t>States</w:t>
      </w:r>
      <w:r>
        <w:rPr>
          <w:spacing w:val="-4"/>
          <w:sz w:val="24"/>
        </w:rPr>
        <w:t> </w:t>
      </w:r>
      <w:r>
        <w:rPr>
          <w:spacing w:val="-2"/>
          <w:sz w:val="24"/>
        </w:rPr>
        <w:t>citizenship;</w:t>
      </w:r>
    </w:p>
    <w:p>
      <w:pPr>
        <w:pStyle w:val="ListParagraph"/>
        <w:numPr>
          <w:ilvl w:val="1"/>
          <w:numId w:val="380"/>
        </w:numPr>
        <w:tabs>
          <w:tab w:pos="1218" w:val="left" w:leader="none"/>
        </w:tabs>
        <w:spacing w:line="240" w:lineRule="auto" w:before="204" w:after="0"/>
        <w:ind w:left="1218" w:right="0" w:hanging="426"/>
        <w:jc w:val="left"/>
        <w:rPr>
          <w:sz w:val="24"/>
        </w:rPr>
      </w:pPr>
      <w:r>
        <w:rPr>
          <w:sz w:val="24"/>
        </w:rPr>
        <w:t>documentation</w:t>
      </w:r>
      <w:r>
        <w:rPr>
          <w:spacing w:val="-3"/>
          <w:sz w:val="24"/>
        </w:rPr>
        <w:t> </w:t>
      </w:r>
      <w:r>
        <w:rPr>
          <w:sz w:val="24"/>
        </w:rPr>
        <w:t>the</w:t>
      </w:r>
      <w:r>
        <w:rPr>
          <w:spacing w:val="-3"/>
          <w:sz w:val="24"/>
        </w:rPr>
        <w:t> </w:t>
      </w:r>
      <w:r>
        <w:rPr>
          <w:sz w:val="24"/>
        </w:rPr>
        <w:t>client</w:t>
      </w:r>
      <w:r>
        <w:rPr>
          <w:spacing w:val="-2"/>
          <w:sz w:val="24"/>
        </w:rPr>
        <w:t> </w:t>
      </w:r>
      <w:r>
        <w:rPr>
          <w:sz w:val="24"/>
        </w:rPr>
        <w:t>is</w:t>
      </w:r>
      <w:r>
        <w:rPr>
          <w:spacing w:val="-3"/>
          <w:sz w:val="24"/>
        </w:rPr>
        <w:t> </w:t>
      </w:r>
      <w:r>
        <w:rPr>
          <w:sz w:val="24"/>
        </w:rPr>
        <w:t>at</w:t>
      </w:r>
      <w:r>
        <w:rPr>
          <w:spacing w:val="-1"/>
          <w:sz w:val="24"/>
        </w:rPr>
        <w:t> </w:t>
      </w:r>
      <w:r>
        <w:rPr>
          <w:sz w:val="24"/>
        </w:rPr>
        <w:t>least</w:t>
      </w:r>
      <w:r>
        <w:rPr>
          <w:spacing w:val="-2"/>
          <w:sz w:val="24"/>
        </w:rPr>
        <w:t> </w:t>
      </w:r>
      <w:r>
        <w:rPr>
          <w:sz w:val="24"/>
        </w:rPr>
        <w:t>18</w:t>
      </w:r>
      <w:r>
        <w:rPr>
          <w:spacing w:val="-3"/>
          <w:sz w:val="24"/>
        </w:rPr>
        <w:t> </w:t>
      </w:r>
      <w:r>
        <w:rPr>
          <w:sz w:val="24"/>
        </w:rPr>
        <w:t>years</w:t>
      </w:r>
      <w:r>
        <w:rPr>
          <w:spacing w:val="-3"/>
          <w:sz w:val="24"/>
        </w:rPr>
        <w:t> </w:t>
      </w:r>
      <w:r>
        <w:rPr>
          <w:sz w:val="24"/>
        </w:rPr>
        <w:t>of</w:t>
      </w:r>
      <w:r>
        <w:rPr>
          <w:spacing w:val="-2"/>
          <w:sz w:val="24"/>
        </w:rPr>
        <w:t> </w:t>
      </w:r>
      <w:r>
        <w:rPr>
          <w:sz w:val="24"/>
        </w:rPr>
        <w:t>age;</w:t>
      </w:r>
      <w:r>
        <w:rPr>
          <w:spacing w:val="-1"/>
          <w:sz w:val="24"/>
        </w:rPr>
        <w:t> </w:t>
      </w:r>
      <w:r>
        <w:rPr>
          <w:spacing w:val="-5"/>
          <w:sz w:val="24"/>
        </w:rPr>
        <w:t>and</w:t>
      </w:r>
    </w:p>
    <w:p>
      <w:pPr>
        <w:pStyle w:val="ListParagraph"/>
        <w:numPr>
          <w:ilvl w:val="1"/>
          <w:numId w:val="380"/>
        </w:numPr>
        <w:tabs>
          <w:tab w:pos="1218" w:val="left" w:leader="none"/>
        </w:tabs>
        <w:spacing w:line="208" w:lineRule="auto" w:before="233" w:after="0"/>
        <w:ind w:left="792" w:right="814" w:firstLine="0"/>
        <w:jc w:val="left"/>
        <w:rPr>
          <w:sz w:val="24"/>
        </w:rPr>
      </w:pPr>
      <w:r>
        <w:rPr>
          <w:sz w:val="24"/>
        </w:rPr>
        <w:t>completion</w:t>
      </w:r>
      <w:r>
        <w:rPr>
          <w:spacing w:val="-4"/>
          <w:sz w:val="24"/>
        </w:rPr>
        <w:t> </w:t>
      </w:r>
      <w:r>
        <w:rPr>
          <w:sz w:val="24"/>
        </w:rPr>
        <w:t>of</w:t>
      </w:r>
      <w:r>
        <w:rPr>
          <w:spacing w:val="-3"/>
          <w:sz w:val="24"/>
        </w:rPr>
        <w:t> </w:t>
      </w:r>
      <w:r>
        <w:rPr>
          <w:sz w:val="24"/>
        </w:rPr>
        <w:t>any</w:t>
      </w:r>
      <w:r>
        <w:rPr>
          <w:spacing w:val="-5"/>
          <w:sz w:val="24"/>
        </w:rPr>
        <w:t> </w:t>
      </w:r>
      <w:r>
        <w:rPr>
          <w:sz w:val="24"/>
        </w:rPr>
        <w:t>rehabilitation</w:t>
      </w:r>
      <w:r>
        <w:rPr>
          <w:spacing w:val="-4"/>
          <w:sz w:val="24"/>
        </w:rPr>
        <w:t> </w:t>
      </w:r>
      <w:r>
        <w:rPr>
          <w:sz w:val="24"/>
        </w:rPr>
        <w:t>training</w:t>
      </w:r>
      <w:r>
        <w:rPr>
          <w:spacing w:val="-4"/>
          <w:sz w:val="24"/>
        </w:rPr>
        <w:t> </w:t>
      </w:r>
      <w:r>
        <w:rPr>
          <w:sz w:val="24"/>
        </w:rPr>
        <w:t>prerequisites</w:t>
      </w:r>
      <w:r>
        <w:rPr>
          <w:spacing w:val="-4"/>
          <w:sz w:val="24"/>
        </w:rPr>
        <w:t> </w:t>
      </w:r>
      <w:r>
        <w:rPr>
          <w:sz w:val="24"/>
        </w:rPr>
        <w:t>established</w:t>
      </w:r>
      <w:r>
        <w:rPr>
          <w:spacing w:val="-4"/>
          <w:sz w:val="24"/>
        </w:rPr>
        <w:t> </w:t>
      </w:r>
      <w:r>
        <w:rPr>
          <w:sz w:val="24"/>
        </w:rPr>
        <w:t>by</w:t>
      </w:r>
      <w:r>
        <w:rPr>
          <w:spacing w:val="-4"/>
          <w:sz w:val="24"/>
        </w:rPr>
        <w:t> </w:t>
      </w:r>
      <w:r>
        <w:rPr>
          <w:sz w:val="24"/>
        </w:rPr>
        <w:t>the</w:t>
      </w:r>
      <w:r>
        <w:rPr>
          <w:spacing w:val="-4"/>
          <w:sz w:val="24"/>
        </w:rPr>
        <w:t> </w:t>
      </w:r>
      <w:r>
        <w:rPr>
          <w:sz w:val="24"/>
        </w:rPr>
        <w:t>BEP</w:t>
      </w:r>
      <w:r>
        <w:rPr>
          <w:spacing w:val="-4"/>
          <w:sz w:val="24"/>
        </w:rPr>
        <w:t> </w:t>
      </w:r>
      <w:r>
        <w:rPr>
          <w:sz w:val="24"/>
        </w:rPr>
        <w:t>in consultation with the ECM to better optimize the successful employment outcome;</w:t>
      </w:r>
    </w:p>
    <w:p>
      <w:pPr>
        <w:pStyle w:val="ListParagraph"/>
        <w:numPr>
          <w:ilvl w:val="0"/>
          <w:numId w:val="380"/>
        </w:numPr>
        <w:tabs>
          <w:tab w:pos="773" w:val="left" w:leader="none"/>
        </w:tabs>
        <w:spacing w:line="208" w:lineRule="auto" w:before="240" w:after="0"/>
        <w:ind w:left="360" w:right="753" w:firstLine="0"/>
        <w:jc w:val="left"/>
        <w:rPr>
          <w:sz w:val="24"/>
        </w:rPr>
      </w:pPr>
      <w:r>
        <w:rPr>
          <w:b/>
          <w:sz w:val="24"/>
        </w:rPr>
        <w:t>Acceptance</w:t>
      </w:r>
      <w:r>
        <w:rPr>
          <w:b/>
          <w:spacing w:val="-4"/>
          <w:sz w:val="24"/>
        </w:rPr>
        <w:t> </w:t>
      </w:r>
      <w:r>
        <w:rPr>
          <w:b/>
          <w:sz w:val="24"/>
        </w:rPr>
        <w:t>for</w:t>
      </w:r>
      <w:r>
        <w:rPr>
          <w:b/>
          <w:spacing w:val="-4"/>
          <w:sz w:val="24"/>
        </w:rPr>
        <w:t> </w:t>
      </w:r>
      <w:r>
        <w:rPr>
          <w:b/>
          <w:sz w:val="24"/>
        </w:rPr>
        <w:t>training.</w:t>
      </w:r>
      <w:r>
        <w:rPr>
          <w:b/>
          <w:spacing w:val="-3"/>
          <w:sz w:val="24"/>
        </w:rPr>
        <w:t> </w:t>
      </w:r>
      <w:r>
        <w:rPr>
          <w:sz w:val="24"/>
        </w:rPr>
        <w:t>Applicant</w:t>
      </w:r>
      <w:r>
        <w:rPr>
          <w:spacing w:val="-3"/>
          <w:sz w:val="24"/>
        </w:rPr>
        <w:t> </w:t>
      </w:r>
      <w:r>
        <w:rPr>
          <w:sz w:val="24"/>
        </w:rPr>
        <w:t>qualifications</w:t>
      </w:r>
      <w:r>
        <w:rPr>
          <w:spacing w:val="-4"/>
          <w:sz w:val="24"/>
        </w:rPr>
        <w:t> </w:t>
      </w:r>
      <w:r>
        <w:rPr>
          <w:sz w:val="24"/>
        </w:rPr>
        <w:t>will</w:t>
      </w:r>
      <w:r>
        <w:rPr>
          <w:spacing w:val="-4"/>
          <w:sz w:val="24"/>
        </w:rPr>
        <w:t> </w:t>
      </w:r>
      <w:r>
        <w:rPr>
          <w:sz w:val="24"/>
        </w:rPr>
        <w:t>be</w:t>
      </w:r>
      <w:r>
        <w:rPr>
          <w:spacing w:val="-4"/>
          <w:sz w:val="24"/>
        </w:rPr>
        <w:t> </w:t>
      </w:r>
      <w:r>
        <w:rPr>
          <w:sz w:val="24"/>
        </w:rPr>
        <w:t>reviewed</w:t>
      </w:r>
      <w:r>
        <w:rPr>
          <w:spacing w:val="-4"/>
          <w:sz w:val="24"/>
        </w:rPr>
        <w:t> </w:t>
      </w:r>
      <w:r>
        <w:rPr>
          <w:sz w:val="24"/>
        </w:rPr>
        <w:t>by</w:t>
      </w:r>
      <w:r>
        <w:rPr>
          <w:spacing w:val="-4"/>
          <w:sz w:val="24"/>
        </w:rPr>
        <w:t> </w:t>
      </w:r>
      <w:r>
        <w:rPr>
          <w:sz w:val="24"/>
        </w:rPr>
        <w:t>BEP</w:t>
      </w:r>
      <w:r>
        <w:rPr>
          <w:spacing w:val="-3"/>
          <w:sz w:val="24"/>
        </w:rPr>
        <w:t> </w:t>
      </w:r>
      <w:r>
        <w:rPr>
          <w:sz w:val="24"/>
        </w:rPr>
        <w:t>staff</w:t>
      </w:r>
      <w:r>
        <w:rPr>
          <w:spacing w:val="-5"/>
          <w:sz w:val="24"/>
        </w:rPr>
        <w:t> </w:t>
      </w:r>
      <w:r>
        <w:rPr>
          <w:sz w:val="24"/>
        </w:rPr>
        <w:t>who will report any training-related recommendations to the individual’s DVR/DSBVI counselor and BEP operations coordinator.</w:t>
      </w:r>
      <w:r>
        <w:rPr>
          <w:spacing w:val="40"/>
          <w:sz w:val="24"/>
        </w:rPr>
        <w:t> </w:t>
      </w:r>
      <w:r>
        <w:rPr>
          <w:sz w:val="24"/>
        </w:rPr>
        <w:t>An individual’s application must be approved by the BEP operations coordinator prior to acceptance into the training </w:t>
      </w:r>
      <w:r>
        <w:rPr>
          <w:spacing w:val="-2"/>
          <w:sz w:val="24"/>
        </w:rPr>
        <w:t>program.</w:t>
      </w:r>
    </w:p>
    <w:p>
      <w:pPr>
        <w:pStyle w:val="ListParagraph"/>
        <w:numPr>
          <w:ilvl w:val="0"/>
          <w:numId w:val="380"/>
        </w:numPr>
        <w:tabs>
          <w:tab w:pos="786" w:val="left" w:leader="none"/>
        </w:tabs>
        <w:spacing w:line="208" w:lineRule="auto" w:before="240" w:after="0"/>
        <w:ind w:left="360" w:right="804" w:firstLine="0"/>
        <w:jc w:val="left"/>
        <w:rPr>
          <w:b/>
          <w:sz w:val="24"/>
        </w:rPr>
      </w:pPr>
      <w:r>
        <w:rPr>
          <w:b/>
          <w:sz w:val="24"/>
        </w:rPr>
        <w:t>Notice regarding criminal background record and Oklahoma sales tax background check. </w:t>
      </w:r>
      <w:r>
        <w:rPr>
          <w:sz w:val="24"/>
        </w:rPr>
        <w:t>Before entering training, BEP applicants will be informed that a criminal</w:t>
      </w:r>
      <w:r>
        <w:rPr>
          <w:spacing w:val="-4"/>
          <w:sz w:val="24"/>
        </w:rPr>
        <w:t> </w:t>
      </w:r>
      <w:r>
        <w:rPr>
          <w:sz w:val="24"/>
        </w:rPr>
        <w:t>background</w:t>
      </w:r>
      <w:r>
        <w:rPr>
          <w:spacing w:val="-4"/>
          <w:sz w:val="24"/>
        </w:rPr>
        <w:t> </w:t>
      </w:r>
      <w:r>
        <w:rPr>
          <w:sz w:val="24"/>
        </w:rPr>
        <w:t>investigation</w:t>
      </w:r>
      <w:r>
        <w:rPr>
          <w:spacing w:val="-4"/>
          <w:sz w:val="24"/>
        </w:rPr>
        <w:t> </w:t>
      </w:r>
      <w:r>
        <w:rPr>
          <w:sz w:val="24"/>
        </w:rPr>
        <w:t>and</w:t>
      </w:r>
      <w:r>
        <w:rPr>
          <w:spacing w:val="-4"/>
          <w:sz w:val="24"/>
        </w:rPr>
        <w:t> </w:t>
      </w:r>
      <w:r>
        <w:rPr>
          <w:sz w:val="24"/>
        </w:rPr>
        <w:t>an</w:t>
      </w:r>
      <w:r>
        <w:rPr>
          <w:spacing w:val="-4"/>
          <w:sz w:val="24"/>
        </w:rPr>
        <w:t> </w:t>
      </w:r>
      <w:r>
        <w:rPr>
          <w:sz w:val="24"/>
        </w:rPr>
        <w:t>Oklahoma</w:t>
      </w:r>
      <w:r>
        <w:rPr>
          <w:spacing w:val="-4"/>
          <w:sz w:val="24"/>
        </w:rPr>
        <w:t> </w:t>
      </w:r>
      <w:r>
        <w:rPr>
          <w:sz w:val="24"/>
        </w:rPr>
        <w:t>sales</w:t>
      </w:r>
      <w:r>
        <w:rPr>
          <w:spacing w:val="-4"/>
          <w:sz w:val="24"/>
        </w:rPr>
        <w:t> </w:t>
      </w:r>
      <w:r>
        <w:rPr>
          <w:sz w:val="24"/>
        </w:rPr>
        <w:t>tax</w:t>
      </w:r>
      <w:r>
        <w:rPr>
          <w:spacing w:val="-4"/>
          <w:sz w:val="24"/>
        </w:rPr>
        <w:t> </w:t>
      </w:r>
      <w:r>
        <w:rPr>
          <w:sz w:val="24"/>
        </w:rPr>
        <w:t>background</w:t>
      </w:r>
      <w:r>
        <w:rPr>
          <w:spacing w:val="-4"/>
          <w:sz w:val="24"/>
        </w:rPr>
        <w:t> </w:t>
      </w:r>
      <w:r>
        <w:rPr>
          <w:sz w:val="24"/>
        </w:rPr>
        <w:t>check</w:t>
      </w:r>
      <w:r>
        <w:rPr>
          <w:spacing w:val="-4"/>
          <w:sz w:val="24"/>
        </w:rPr>
        <w:t> </w:t>
      </w:r>
      <w:r>
        <w:rPr>
          <w:sz w:val="24"/>
        </w:rPr>
        <w:t>will</w:t>
      </w:r>
      <w:r>
        <w:rPr>
          <w:spacing w:val="-4"/>
          <w:sz w:val="24"/>
        </w:rPr>
        <w:t> </w:t>
      </w:r>
      <w:r>
        <w:rPr>
          <w:sz w:val="24"/>
        </w:rPr>
        <w:t>be performed and may prevent their being licensed to manage some BEP facilities. </w:t>
      </w:r>
      <w:r>
        <w:rPr>
          <w:b/>
          <w:sz w:val="24"/>
        </w:rPr>
        <w:t>1</w:t>
      </w:r>
    </w:p>
    <w:p>
      <w:pPr>
        <w:pStyle w:val="ListParagraph"/>
        <w:numPr>
          <w:ilvl w:val="0"/>
          <w:numId w:val="380"/>
        </w:numPr>
        <w:tabs>
          <w:tab w:pos="786" w:val="left" w:leader="none"/>
        </w:tabs>
        <w:spacing w:line="208" w:lineRule="auto" w:before="239" w:after="0"/>
        <w:ind w:left="360" w:right="1340" w:firstLine="0"/>
        <w:jc w:val="left"/>
        <w:rPr>
          <w:sz w:val="24"/>
        </w:rPr>
      </w:pPr>
      <w:r>
        <w:rPr>
          <w:b/>
          <w:sz w:val="24"/>
        </w:rPr>
        <w:t>Duration</w:t>
      </w:r>
      <w:r>
        <w:rPr>
          <w:b/>
          <w:spacing w:val="-4"/>
          <w:sz w:val="24"/>
        </w:rPr>
        <w:t> </w:t>
      </w:r>
      <w:r>
        <w:rPr>
          <w:b/>
          <w:sz w:val="24"/>
        </w:rPr>
        <w:t>of</w:t>
      </w:r>
      <w:r>
        <w:rPr>
          <w:b/>
          <w:spacing w:val="-3"/>
          <w:sz w:val="24"/>
        </w:rPr>
        <w:t> </w:t>
      </w:r>
      <w:r>
        <w:rPr>
          <w:b/>
          <w:sz w:val="24"/>
        </w:rPr>
        <w:t>training.</w:t>
      </w:r>
      <w:r>
        <w:rPr>
          <w:b/>
          <w:spacing w:val="-3"/>
          <w:sz w:val="24"/>
        </w:rPr>
        <w:t> </w:t>
      </w:r>
      <w:r>
        <w:rPr>
          <w:sz w:val="24"/>
        </w:rPr>
        <w:t>To</w:t>
      </w:r>
      <w:r>
        <w:rPr>
          <w:spacing w:val="-4"/>
          <w:sz w:val="24"/>
        </w:rPr>
        <w:t> </w:t>
      </w:r>
      <w:r>
        <w:rPr>
          <w:sz w:val="24"/>
        </w:rPr>
        <w:t>be</w:t>
      </w:r>
      <w:r>
        <w:rPr>
          <w:spacing w:val="-4"/>
          <w:sz w:val="24"/>
        </w:rPr>
        <w:t> </w:t>
      </w:r>
      <w:r>
        <w:rPr>
          <w:sz w:val="24"/>
        </w:rPr>
        <w:t>eligible</w:t>
      </w:r>
      <w:r>
        <w:rPr>
          <w:spacing w:val="-4"/>
          <w:sz w:val="24"/>
        </w:rPr>
        <w:t> </w:t>
      </w:r>
      <w:r>
        <w:rPr>
          <w:sz w:val="24"/>
        </w:rPr>
        <w:t>for</w:t>
      </w:r>
      <w:r>
        <w:rPr>
          <w:spacing w:val="-3"/>
          <w:sz w:val="24"/>
        </w:rPr>
        <w:t> </w:t>
      </w:r>
      <w:r>
        <w:rPr>
          <w:sz w:val="24"/>
        </w:rPr>
        <w:t>licensure</w:t>
      </w:r>
      <w:r>
        <w:rPr>
          <w:spacing w:val="-4"/>
          <w:sz w:val="24"/>
        </w:rPr>
        <w:t> </w:t>
      </w:r>
      <w:r>
        <w:rPr>
          <w:sz w:val="24"/>
        </w:rPr>
        <w:t>as</w:t>
      </w:r>
      <w:r>
        <w:rPr>
          <w:spacing w:val="-3"/>
          <w:sz w:val="24"/>
        </w:rPr>
        <w:t> </w:t>
      </w:r>
      <w:r>
        <w:rPr>
          <w:sz w:val="24"/>
        </w:rPr>
        <w:t>a</w:t>
      </w:r>
      <w:r>
        <w:rPr>
          <w:spacing w:val="-4"/>
          <w:sz w:val="24"/>
        </w:rPr>
        <w:t> </w:t>
      </w:r>
      <w:r>
        <w:rPr>
          <w:sz w:val="24"/>
        </w:rPr>
        <w:t>BEP</w:t>
      </w:r>
      <w:r>
        <w:rPr>
          <w:spacing w:val="-4"/>
          <w:sz w:val="24"/>
        </w:rPr>
        <w:t> </w:t>
      </w:r>
      <w:r>
        <w:rPr>
          <w:sz w:val="24"/>
        </w:rPr>
        <w:t>facility</w:t>
      </w:r>
      <w:r>
        <w:rPr>
          <w:spacing w:val="-4"/>
          <w:sz w:val="24"/>
        </w:rPr>
        <w:t> </w:t>
      </w:r>
      <w:r>
        <w:rPr>
          <w:sz w:val="24"/>
        </w:rPr>
        <w:t>manager</w:t>
      </w:r>
      <w:r>
        <w:rPr>
          <w:spacing w:val="-3"/>
          <w:sz w:val="24"/>
        </w:rPr>
        <w:t> </w:t>
      </w:r>
      <w:r>
        <w:rPr>
          <w:sz w:val="24"/>
        </w:rPr>
        <w:t>an individual must complete the full BEP manager training program, unless the BEP operations coordinator, in consultation with the Chair of the Elected Committee of Licensed Managers, determines an exception is justifiable.</w:t>
      </w:r>
    </w:p>
    <w:p>
      <w:pPr>
        <w:pStyle w:val="ListParagraph"/>
        <w:numPr>
          <w:ilvl w:val="0"/>
          <w:numId w:val="380"/>
        </w:numPr>
        <w:tabs>
          <w:tab w:pos="719" w:val="left" w:leader="none"/>
        </w:tabs>
        <w:spacing w:line="208" w:lineRule="auto" w:before="240" w:after="0"/>
        <w:ind w:left="360" w:right="924" w:firstLine="0"/>
        <w:jc w:val="left"/>
        <w:rPr>
          <w:b/>
          <w:sz w:val="24"/>
        </w:rPr>
      </w:pPr>
      <w:r>
        <w:rPr>
          <w:b/>
          <w:sz w:val="24"/>
        </w:rPr>
        <w:t>Completion of training. </w:t>
      </w:r>
      <w:r>
        <w:rPr>
          <w:sz w:val="24"/>
        </w:rPr>
        <w:t>Each trainee who completes the BEP manager training program</w:t>
      </w:r>
      <w:r>
        <w:rPr>
          <w:spacing w:val="-2"/>
          <w:sz w:val="24"/>
        </w:rPr>
        <w:t> </w:t>
      </w:r>
      <w:r>
        <w:rPr>
          <w:sz w:val="24"/>
        </w:rPr>
        <w:t>is</w:t>
      </w:r>
      <w:r>
        <w:rPr>
          <w:spacing w:val="-4"/>
          <w:sz w:val="24"/>
        </w:rPr>
        <w:t> </w:t>
      </w:r>
      <w:r>
        <w:rPr>
          <w:sz w:val="24"/>
        </w:rPr>
        <w:t>issued</w:t>
      </w:r>
      <w:r>
        <w:rPr>
          <w:spacing w:val="-3"/>
          <w:sz w:val="24"/>
        </w:rPr>
        <w:t> </w:t>
      </w:r>
      <w:r>
        <w:rPr>
          <w:sz w:val="24"/>
        </w:rPr>
        <w:t>a</w:t>
      </w:r>
      <w:r>
        <w:rPr>
          <w:spacing w:val="-3"/>
          <w:sz w:val="24"/>
        </w:rPr>
        <w:t> </w:t>
      </w:r>
      <w:r>
        <w:rPr>
          <w:sz w:val="24"/>
        </w:rPr>
        <w:t>certificate</w:t>
      </w:r>
      <w:r>
        <w:rPr>
          <w:spacing w:val="-3"/>
          <w:sz w:val="24"/>
        </w:rPr>
        <w:t> </w:t>
      </w:r>
      <w:r>
        <w:rPr>
          <w:sz w:val="24"/>
        </w:rPr>
        <w:t>certifying</w:t>
      </w:r>
      <w:r>
        <w:rPr>
          <w:spacing w:val="-3"/>
          <w:sz w:val="24"/>
        </w:rPr>
        <w:t> </w:t>
      </w:r>
      <w:r>
        <w:rPr>
          <w:sz w:val="24"/>
        </w:rPr>
        <w:t>that</w:t>
      </w:r>
      <w:r>
        <w:rPr>
          <w:spacing w:val="-2"/>
          <w:sz w:val="24"/>
        </w:rPr>
        <w:t> </w:t>
      </w:r>
      <w:r>
        <w:rPr>
          <w:sz w:val="24"/>
        </w:rPr>
        <w:t>the</w:t>
      </w:r>
      <w:r>
        <w:rPr>
          <w:spacing w:val="-3"/>
          <w:sz w:val="24"/>
        </w:rPr>
        <w:t> </w:t>
      </w:r>
      <w:r>
        <w:rPr>
          <w:sz w:val="24"/>
        </w:rPr>
        <w:t>trainee</w:t>
      </w:r>
      <w:r>
        <w:rPr>
          <w:spacing w:val="-3"/>
          <w:sz w:val="24"/>
        </w:rPr>
        <w:t> </w:t>
      </w:r>
      <w:r>
        <w:rPr>
          <w:sz w:val="24"/>
        </w:rPr>
        <w:t>has</w:t>
      </w:r>
      <w:r>
        <w:rPr>
          <w:spacing w:val="-3"/>
          <w:sz w:val="24"/>
        </w:rPr>
        <w:t> </w:t>
      </w:r>
      <w:r>
        <w:rPr>
          <w:sz w:val="24"/>
        </w:rPr>
        <w:t>met</w:t>
      </w:r>
      <w:r>
        <w:rPr>
          <w:spacing w:val="-2"/>
          <w:sz w:val="24"/>
        </w:rPr>
        <w:t> </w:t>
      </w:r>
      <w:r>
        <w:rPr>
          <w:sz w:val="24"/>
        </w:rPr>
        <w:t>all</w:t>
      </w:r>
      <w:r>
        <w:rPr>
          <w:spacing w:val="-3"/>
          <w:sz w:val="24"/>
        </w:rPr>
        <w:t> </w:t>
      </w:r>
      <w:r>
        <w:rPr>
          <w:sz w:val="24"/>
        </w:rPr>
        <w:t>the</w:t>
      </w:r>
      <w:r>
        <w:rPr>
          <w:spacing w:val="-3"/>
          <w:sz w:val="24"/>
        </w:rPr>
        <w:t> </w:t>
      </w:r>
      <w:r>
        <w:rPr>
          <w:sz w:val="24"/>
        </w:rPr>
        <w:t>training</w:t>
      </w:r>
      <w:r>
        <w:rPr>
          <w:spacing w:val="-2"/>
          <w:sz w:val="24"/>
        </w:rPr>
        <w:t> </w:t>
      </w:r>
      <w:r>
        <w:rPr>
          <w:sz w:val="24"/>
        </w:rPr>
        <w:t>criteria to be a licensed manager in the Business Enterprise Program. Upon assuming management of their first facility, a certified graduate shall be issued. </w:t>
      </w:r>
      <w:r>
        <w:rPr>
          <w:b/>
          <w:sz w:val="24"/>
        </w:rPr>
        <w:t>2</w:t>
      </w:r>
    </w:p>
    <w:p>
      <w:pPr>
        <w:pStyle w:val="ListParagraph"/>
        <w:numPr>
          <w:ilvl w:val="0"/>
          <w:numId w:val="380"/>
        </w:numPr>
        <w:tabs>
          <w:tab w:pos="786" w:val="left" w:leader="none"/>
        </w:tabs>
        <w:spacing w:line="208" w:lineRule="auto" w:before="239" w:after="0"/>
        <w:ind w:left="360" w:right="858" w:firstLine="0"/>
        <w:jc w:val="left"/>
        <w:rPr>
          <w:sz w:val="24"/>
        </w:rPr>
      </w:pPr>
      <w:r>
        <w:rPr>
          <w:b/>
          <w:sz w:val="24"/>
        </w:rPr>
        <w:t>Failure to complete training. </w:t>
      </w:r>
      <w:r>
        <w:rPr>
          <w:sz w:val="24"/>
        </w:rPr>
        <w:t>If it appears that a trainee will not be able to successfully</w:t>
      </w:r>
      <w:r>
        <w:rPr>
          <w:spacing w:val="-4"/>
          <w:sz w:val="24"/>
        </w:rPr>
        <w:t> </w:t>
      </w:r>
      <w:r>
        <w:rPr>
          <w:sz w:val="24"/>
        </w:rPr>
        <w:t>complete</w:t>
      </w:r>
      <w:r>
        <w:rPr>
          <w:spacing w:val="-4"/>
          <w:sz w:val="24"/>
        </w:rPr>
        <w:t> </w:t>
      </w:r>
      <w:r>
        <w:rPr>
          <w:sz w:val="24"/>
        </w:rPr>
        <w:t>training,</w:t>
      </w:r>
      <w:r>
        <w:rPr>
          <w:spacing w:val="-3"/>
          <w:sz w:val="24"/>
        </w:rPr>
        <w:t> </w:t>
      </w:r>
      <w:r>
        <w:rPr>
          <w:sz w:val="24"/>
        </w:rPr>
        <w:t>the</w:t>
      </w:r>
      <w:r>
        <w:rPr>
          <w:spacing w:val="-4"/>
          <w:sz w:val="24"/>
        </w:rPr>
        <w:t> </w:t>
      </w:r>
      <w:r>
        <w:rPr>
          <w:sz w:val="24"/>
        </w:rPr>
        <w:t>BEP</w:t>
      </w:r>
      <w:r>
        <w:rPr>
          <w:spacing w:val="-4"/>
          <w:sz w:val="24"/>
        </w:rPr>
        <w:t> </w:t>
      </w:r>
      <w:r>
        <w:rPr>
          <w:sz w:val="24"/>
        </w:rPr>
        <w:t>operations</w:t>
      </w:r>
      <w:r>
        <w:rPr>
          <w:spacing w:val="-4"/>
          <w:sz w:val="24"/>
        </w:rPr>
        <w:t> </w:t>
      </w:r>
      <w:r>
        <w:rPr>
          <w:sz w:val="24"/>
        </w:rPr>
        <w:t>coordinator,</w:t>
      </w:r>
      <w:r>
        <w:rPr>
          <w:spacing w:val="-3"/>
          <w:sz w:val="24"/>
        </w:rPr>
        <w:t> </w:t>
      </w:r>
      <w:r>
        <w:rPr>
          <w:sz w:val="24"/>
        </w:rPr>
        <w:t>in</w:t>
      </w:r>
      <w:r>
        <w:rPr>
          <w:spacing w:val="-4"/>
          <w:sz w:val="24"/>
        </w:rPr>
        <w:t> </w:t>
      </w:r>
      <w:r>
        <w:rPr>
          <w:sz w:val="24"/>
        </w:rPr>
        <w:t>consultation</w:t>
      </w:r>
      <w:r>
        <w:rPr>
          <w:spacing w:val="-4"/>
          <w:sz w:val="24"/>
        </w:rPr>
        <w:t> </w:t>
      </w:r>
      <w:r>
        <w:rPr>
          <w:sz w:val="24"/>
        </w:rPr>
        <w:t>with</w:t>
      </w:r>
      <w:r>
        <w:rPr>
          <w:spacing w:val="-4"/>
          <w:sz w:val="24"/>
        </w:rPr>
        <w:t> </w:t>
      </w:r>
      <w:r>
        <w:rPr>
          <w:sz w:val="24"/>
        </w:rPr>
        <w:t>the ECM Chair, will review the individual’s training record before making a decision to</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right="1036"/>
      </w:pPr>
      <w:r>
        <w:rPr/>
        <w:t>terminate</w:t>
      </w:r>
      <w:r>
        <w:rPr>
          <w:spacing w:val="-4"/>
        </w:rPr>
        <w:t> </w:t>
      </w:r>
      <w:r>
        <w:rPr/>
        <w:t>training.</w:t>
      </w:r>
      <w:r>
        <w:rPr>
          <w:spacing w:val="-3"/>
        </w:rPr>
        <w:t> </w:t>
      </w:r>
      <w:r>
        <w:rPr/>
        <w:t>The</w:t>
      </w:r>
      <w:r>
        <w:rPr>
          <w:spacing w:val="-3"/>
        </w:rPr>
        <w:t> </w:t>
      </w:r>
      <w:r>
        <w:rPr/>
        <w:t>BEP</w:t>
      </w:r>
      <w:r>
        <w:rPr>
          <w:spacing w:val="-4"/>
        </w:rPr>
        <w:t> </w:t>
      </w:r>
      <w:r>
        <w:rPr/>
        <w:t>operations</w:t>
      </w:r>
      <w:r>
        <w:rPr>
          <w:spacing w:val="-4"/>
        </w:rPr>
        <w:t> </w:t>
      </w:r>
      <w:r>
        <w:rPr/>
        <w:t>coordinator</w:t>
      </w:r>
      <w:r>
        <w:rPr>
          <w:spacing w:val="-3"/>
        </w:rPr>
        <w:t> </w:t>
      </w:r>
      <w:r>
        <w:rPr/>
        <w:t>will</w:t>
      </w:r>
      <w:r>
        <w:rPr>
          <w:spacing w:val="-4"/>
        </w:rPr>
        <w:t> </w:t>
      </w:r>
      <w:r>
        <w:rPr/>
        <w:t>notify</w:t>
      </w:r>
      <w:r>
        <w:rPr>
          <w:spacing w:val="-4"/>
        </w:rPr>
        <w:t> </w:t>
      </w:r>
      <w:r>
        <w:rPr/>
        <w:t>the</w:t>
      </w:r>
      <w:r>
        <w:rPr>
          <w:spacing w:val="-5"/>
        </w:rPr>
        <w:t> </w:t>
      </w:r>
      <w:r>
        <w:rPr/>
        <w:t>trainee</w:t>
      </w:r>
      <w:r>
        <w:rPr>
          <w:spacing w:val="-4"/>
        </w:rPr>
        <w:t> </w:t>
      </w:r>
      <w:r>
        <w:rPr/>
        <w:t>and</w:t>
      </w:r>
      <w:r>
        <w:rPr>
          <w:spacing w:val="-4"/>
        </w:rPr>
        <w:t> </w:t>
      </w:r>
      <w:r>
        <w:rPr/>
        <w:t>their DSBVI or DVR counselor of any BEP decision to terminate training.</w:t>
      </w:r>
    </w:p>
    <w:p>
      <w:pPr>
        <w:pStyle w:val="ListParagraph"/>
        <w:numPr>
          <w:ilvl w:val="0"/>
          <w:numId w:val="380"/>
        </w:numPr>
        <w:tabs>
          <w:tab w:pos="786" w:val="left" w:leader="none"/>
        </w:tabs>
        <w:spacing w:line="208" w:lineRule="auto" w:before="240" w:after="0"/>
        <w:ind w:left="360" w:right="802" w:firstLine="0"/>
        <w:jc w:val="left"/>
        <w:rPr>
          <w:sz w:val="24"/>
        </w:rPr>
      </w:pPr>
      <w:r>
        <w:rPr>
          <w:b/>
          <w:sz w:val="24"/>
        </w:rPr>
        <w:t>Post-training</w:t>
      </w:r>
      <w:r>
        <w:rPr>
          <w:b/>
          <w:spacing w:val="-4"/>
          <w:sz w:val="24"/>
        </w:rPr>
        <w:t> </w:t>
      </w:r>
      <w:r>
        <w:rPr>
          <w:b/>
          <w:sz w:val="24"/>
        </w:rPr>
        <w:t>interview.</w:t>
      </w:r>
      <w:r>
        <w:rPr>
          <w:b/>
          <w:spacing w:val="-4"/>
          <w:sz w:val="24"/>
        </w:rPr>
        <w:t> </w:t>
      </w:r>
      <w:r>
        <w:rPr>
          <w:sz w:val="24"/>
        </w:rPr>
        <w:t>Upon</w:t>
      </w:r>
      <w:r>
        <w:rPr>
          <w:spacing w:val="-4"/>
          <w:sz w:val="24"/>
        </w:rPr>
        <w:t> </w:t>
      </w:r>
      <w:r>
        <w:rPr>
          <w:sz w:val="24"/>
        </w:rPr>
        <w:t>completion</w:t>
      </w:r>
      <w:r>
        <w:rPr>
          <w:spacing w:val="-4"/>
          <w:sz w:val="24"/>
        </w:rPr>
        <w:t> </w:t>
      </w:r>
      <w:r>
        <w:rPr>
          <w:sz w:val="24"/>
        </w:rPr>
        <w:t>of</w:t>
      </w:r>
      <w:r>
        <w:rPr>
          <w:spacing w:val="-3"/>
          <w:sz w:val="24"/>
        </w:rPr>
        <w:t> </w:t>
      </w:r>
      <w:r>
        <w:rPr>
          <w:sz w:val="24"/>
        </w:rPr>
        <w:t>a</w:t>
      </w:r>
      <w:r>
        <w:rPr>
          <w:spacing w:val="-4"/>
          <w:sz w:val="24"/>
        </w:rPr>
        <w:t> </w:t>
      </w:r>
      <w:r>
        <w:rPr>
          <w:sz w:val="24"/>
        </w:rPr>
        <w:t>new</w:t>
      </w:r>
      <w:r>
        <w:rPr>
          <w:spacing w:val="-6"/>
          <w:sz w:val="24"/>
        </w:rPr>
        <w:t> </w:t>
      </w:r>
      <w:r>
        <w:rPr>
          <w:sz w:val="24"/>
        </w:rPr>
        <w:t>manager's</w:t>
      </w:r>
      <w:r>
        <w:rPr>
          <w:spacing w:val="-4"/>
          <w:sz w:val="24"/>
        </w:rPr>
        <w:t> </w:t>
      </w:r>
      <w:r>
        <w:rPr>
          <w:sz w:val="24"/>
        </w:rPr>
        <w:t>training,</w:t>
      </w:r>
      <w:r>
        <w:rPr>
          <w:spacing w:val="-3"/>
          <w:sz w:val="24"/>
        </w:rPr>
        <w:t> </w:t>
      </w:r>
      <w:r>
        <w:rPr>
          <w:sz w:val="24"/>
        </w:rPr>
        <w:t>they</w:t>
      </w:r>
      <w:r>
        <w:rPr>
          <w:spacing w:val="-4"/>
          <w:sz w:val="24"/>
        </w:rPr>
        <w:t> </w:t>
      </w:r>
      <w:r>
        <w:rPr>
          <w:sz w:val="24"/>
        </w:rPr>
        <w:t>will</w:t>
      </w:r>
      <w:r>
        <w:rPr>
          <w:spacing w:val="-4"/>
          <w:sz w:val="24"/>
        </w:rPr>
        <w:t> </w:t>
      </w:r>
      <w:r>
        <w:rPr>
          <w:sz w:val="24"/>
        </w:rPr>
        <w:t>be interviewed by a representative of the Elected Committee of Licensed Managers, normally the chairperson, to evaluate the effectiveness of the training program. The interviewer</w:t>
      </w:r>
      <w:r>
        <w:rPr>
          <w:spacing w:val="-1"/>
          <w:sz w:val="24"/>
        </w:rPr>
        <w:t> </w:t>
      </w:r>
      <w:r>
        <w:rPr>
          <w:sz w:val="24"/>
        </w:rPr>
        <w:t>formulates</w:t>
      </w:r>
      <w:r>
        <w:rPr>
          <w:spacing w:val="-4"/>
          <w:sz w:val="24"/>
        </w:rPr>
        <w:t> </w:t>
      </w:r>
      <w:r>
        <w:rPr>
          <w:sz w:val="24"/>
        </w:rPr>
        <w:t>recommendations</w:t>
      </w:r>
      <w:r>
        <w:rPr>
          <w:spacing w:val="-3"/>
          <w:sz w:val="24"/>
        </w:rPr>
        <w:t> </w:t>
      </w:r>
      <w:r>
        <w:rPr>
          <w:sz w:val="24"/>
        </w:rPr>
        <w:t>and</w:t>
      </w:r>
      <w:r>
        <w:rPr>
          <w:spacing w:val="-3"/>
          <w:sz w:val="24"/>
        </w:rPr>
        <w:t> </w:t>
      </w:r>
      <w:r>
        <w:rPr>
          <w:sz w:val="24"/>
        </w:rPr>
        <w:t>comments</w:t>
      </w:r>
      <w:r>
        <w:rPr>
          <w:spacing w:val="-3"/>
          <w:sz w:val="24"/>
        </w:rPr>
        <w:t> </w:t>
      </w:r>
      <w:r>
        <w:rPr>
          <w:sz w:val="24"/>
        </w:rPr>
        <w:t>regarding</w:t>
      </w:r>
      <w:r>
        <w:rPr>
          <w:spacing w:val="-2"/>
          <w:sz w:val="24"/>
        </w:rPr>
        <w:t> </w:t>
      </w:r>
      <w:r>
        <w:rPr>
          <w:sz w:val="24"/>
        </w:rPr>
        <w:t>the</w:t>
      </w:r>
      <w:r>
        <w:rPr>
          <w:spacing w:val="-3"/>
          <w:sz w:val="24"/>
        </w:rPr>
        <w:t> </w:t>
      </w:r>
      <w:r>
        <w:rPr>
          <w:sz w:val="24"/>
        </w:rPr>
        <w:t>training</w:t>
      </w:r>
      <w:r>
        <w:rPr>
          <w:spacing w:val="-3"/>
          <w:sz w:val="24"/>
        </w:rPr>
        <w:t> </w:t>
      </w:r>
      <w:r>
        <w:rPr>
          <w:sz w:val="24"/>
        </w:rPr>
        <w:t>program and provides them to the BEP Operations Coordinator.</w:t>
      </w:r>
    </w:p>
    <w:p>
      <w:pPr>
        <w:pStyle w:val="ListParagraph"/>
        <w:numPr>
          <w:ilvl w:val="0"/>
          <w:numId w:val="380"/>
        </w:numPr>
        <w:tabs>
          <w:tab w:pos="705" w:val="left" w:leader="none"/>
        </w:tabs>
        <w:spacing w:line="208" w:lineRule="auto" w:before="239" w:after="0"/>
        <w:ind w:left="360" w:right="754" w:firstLine="0"/>
        <w:jc w:val="left"/>
        <w:rPr>
          <w:sz w:val="24"/>
        </w:rPr>
      </w:pPr>
      <w:r>
        <w:rPr>
          <w:b/>
          <w:sz w:val="24"/>
        </w:rPr>
        <w:t>Acceptance of out-of-state licenses. </w:t>
      </w:r>
      <w:r>
        <w:rPr>
          <w:sz w:val="24"/>
        </w:rPr>
        <w:t>The BEP Operations Coordinator will evaluate the skills and knowledge of BEP applicants who were licensed managers in other</w:t>
      </w:r>
      <w:r>
        <w:rPr>
          <w:spacing w:val="-3"/>
          <w:sz w:val="24"/>
        </w:rPr>
        <w:t> </w:t>
      </w:r>
      <w:r>
        <w:rPr>
          <w:sz w:val="24"/>
        </w:rPr>
        <w:t>states.</w:t>
      </w:r>
      <w:r>
        <w:rPr>
          <w:spacing w:val="-3"/>
          <w:sz w:val="24"/>
        </w:rPr>
        <w:t> </w:t>
      </w:r>
      <w:r>
        <w:rPr>
          <w:sz w:val="24"/>
        </w:rPr>
        <w:t>Training</w:t>
      </w:r>
      <w:r>
        <w:rPr>
          <w:spacing w:val="-4"/>
          <w:sz w:val="24"/>
        </w:rPr>
        <w:t> </w:t>
      </w:r>
      <w:r>
        <w:rPr>
          <w:sz w:val="24"/>
        </w:rPr>
        <w:t>will</w:t>
      </w:r>
      <w:r>
        <w:rPr>
          <w:spacing w:val="-4"/>
          <w:sz w:val="24"/>
        </w:rPr>
        <w:t> </w:t>
      </w:r>
      <w:r>
        <w:rPr>
          <w:sz w:val="24"/>
        </w:rPr>
        <w:t>be</w:t>
      </w:r>
      <w:r>
        <w:rPr>
          <w:spacing w:val="-4"/>
          <w:sz w:val="24"/>
        </w:rPr>
        <w:t> </w:t>
      </w:r>
      <w:r>
        <w:rPr>
          <w:sz w:val="24"/>
        </w:rPr>
        <w:t>provided</w:t>
      </w:r>
      <w:r>
        <w:rPr>
          <w:spacing w:val="-4"/>
          <w:sz w:val="24"/>
        </w:rPr>
        <w:t> </w:t>
      </w:r>
      <w:r>
        <w:rPr>
          <w:sz w:val="24"/>
        </w:rPr>
        <w:t>to</w:t>
      </w:r>
      <w:r>
        <w:rPr>
          <w:spacing w:val="-4"/>
          <w:sz w:val="24"/>
        </w:rPr>
        <w:t> </w:t>
      </w:r>
      <w:r>
        <w:rPr>
          <w:sz w:val="24"/>
        </w:rPr>
        <w:t>correct</w:t>
      </w:r>
      <w:r>
        <w:rPr>
          <w:spacing w:val="-3"/>
          <w:sz w:val="24"/>
        </w:rPr>
        <w:t> </w:t>
      </w:r>
      <w:r>
        <w:rPr>
          <w:sz w:val="24"/>
        </w:rPr>
        <w:t>any</w:t>
      </w:r>
      <w:r>
        <w:rPr>
          <w:spacing w:val="-4"/>
          <w:sz w:val="24"/>
        </w:rPr>
        <w:t> </w:t>
      </w:r>
      <w:r>
        <w:rPr>
          <w:sz w:val="24"/>
        </w:rPr>
        <w:t>noted</w:t>
      </w:r>
      <w:r>
        <w:rPr>
          <w:spacing w:val="-4"/>
          <w:sz w:val="24"/>
        </w:rPr>
        <w:t> </w:t>
      </w:r>
      <w:r>
        <w:rPr>
          <w:sz w:val="24"/>
        </w:rPr>
        <w:t>deficiencies</w:t>
      </w:r>
      <w:r>
        <w:rPr>
          <w:spacing w:val="-4"/>
          <w:sz w:val="24"/>
        </w:rPr>
        <w:t> </w:t>
      </w:r>
      <w:r>
        <w:rPr>
          <w:sz w:val="24"/>
        </w:rPr>
        <w:t>and</w:t>
      </w:r>
      <w:r>
        <w:rPr>
          <w:spacing w:val="-4"/>
          <w:sz w:val="24"/>
        </w:rPr>
        <w:t> </w:t>
      </w:r>
      <w:r>
        <w:rPr>
          <w:sz w:val="24"/>
        </w:rPr>
        <w:t>acquaint</w:t>
      </w:r>
      <w:r>
        <w:rPr>
          <w:spacing w:val="-3"/>
          <w:sz w:val="24"/>
        </w:rPr>
        <w:t> </w:t>
      </w:r>
      <w:r>
        <w:rPr>
          <w:sz w:val="24"/>
        </w:rPr>
        <w:t>the applicant with Oklahoma's program. After qualifications are met, the applicant is issued a training completion certificate.</w:t>
      </w:r>
    </w:p>
    <w:p>
      <w:pPr>
        <w:pStyle w:val="ListParagraph"/>
        <w:numPr>
          <w:ilvl w:val="0"/>
          <w:numId w:val="380"/>
        </w:numPr>
        <w:tabs>
          <w:tab w:pos="706" w:val="left" w:leader="none"/>
        </w:tabs>
        <w:spacing w:line="208" w:lineRule="auto" w:before="240" w:after="0"/>
        <w:ind w:left="360" w:right="940" w:firstLine="0"/>
        <w:jc w:val="left"/>
        <w:rPr>
          <w:b/>
          <w:sz w:val="24"/>
        </w:rPr>
      </w:pPr>
      <w:r>
        <w:rPr>
          <w:b/>
          <w:sz w:val="24"/>
        </w:rPr>
        <w:t>Seniority.</w:t>
      </w:r>
      <w:r>
        <w:rPr>
          <w:b/>
          <w:spacing w:val="-4"/>
          <w:sz w:val="24"/>
        </w:rPr>
        <w:t> </w:t>
      </w:r>
      <w:r>
        <w:rPr>
          <w:sz w:val="24"/>
        </w:rPr>
        <w:t>Seniority</w:t>
      </w:r>
      <w:r>
        <w:rPr>
          <w:spacing w:val="-4"/>
          <w:sz w:val="24"/>
        </w:rPr>
        <w:t> </w:t>
      </w:r>
      <w:r>
        <w:rPr>
          <w:sz w:val="24"/>
        </w:rPr>
        <w:t>in</w:t>
      </w:r>
      <w:r>
        <w:rPr>
          <w:spacing w:val="-4"/>
          <w:sz w:val="24"/>
        </w:rPr>
        <w:t> </w:t>
      </w:r>
      <w:r>
        <w:rPr>
          <w:sz w:val="24"/>
        </w:rPr>
        <w:t>the</w:t>
      </w:r>
      <w:r>
        <w:rPr>
          <w:spacing w:val="-4"/>
          <w:sz w:val="24"/>
        </w:rPr>
        <w:t> </w:t>
      </w:r>
      <w:r>
        <w:rPr>
          <w:sz w:val="24"/>
        </w:rPr>
        <w:t>Oklahoma</w:t>
      </w:r>
      <w:r>
        <w:rPr>
          <w:spacing w:val="-4"/>
          <w:sz w:val="24"/>
        </w:rPr>
        <w:t> </w:t>
      </w:r>
      <w:r>
        <w:rPr>
          <w:sz w:val="24"/>
        </w:rPr>
        <w:t>Business</w:t>
      </w:r>
      <w:r>
        <w:rPr>
          <w:spacing w:val="-4"/>
          <w:sz w:val="24"/>
        </w:rPr>
        <w:t> </w:t>
      </w:r>
      <w:r>
        <w:rPr>
          <w:sz w:val="24"/>
        </w:rPr>
        <w:t>Enterprise</w:t>
      </w:r>
      <w:r>
        <w:rPr>
          <w:spacing w:val="-4"/>
          <w:sz w:val="24"/>
        </w:rPr>
        <w:t> </w:t>
      </w:r>
      <w:r>
        <w:rPr>
          <w:sz w:val="24"/>
        </w:rPr>
        <w:t>Program</w:t>
      </w:r>
      <w:r>
        <w:rPr>
          <w:spacing w:val="-3"/>
          <w:sz w:val="24"/>
        </w:rPr>
        <w:t> </w:t>
      </w:r>
      <w:r>
        <w:rPr>
          <w:sz w:val="24"/>
        </w:rPr>
        <w:t>will</w:t>
      </w:r>
      <w:r>
        <w:rPr>
          <w:spacing w:val="-4"/>
          <w:sz w:val="24"/>
        </w:rPr>
        <w:t> </w:t>
      </w:r>
      <w:r>
        <w:rPr>
          <w:sz w:val="24"/>
        </w:rPr>
        <w:t>only</w:t>
      </w:r>
      <w:r>
        <w:rPr>
          <w:spacing w:val="-4"/>
          <w:sz w:val="24"/>
        </w:rPr>
        <w:t> </w:t>
      </w:r>
      <w:r>
        <w:rPr>
          <w:sz w:val="24"/>
        </w:rPr>
        <w:t>accrue when managing an Oklahoma BEP facility. </w:t>
      </w:r>
      <w:r>
        <w:rPr>
          <w:b/>
          <w:sz w:val="24"/>
        </w:rPr>
        <w:t>3</w:t>
      </w:r>
    </w:p>
    <w:p>
      <w:pPr>
        <w:pStyle w:val="ListParagraph"/>
        <w:numPr>
          <w:ilvl w:val="0"/>
          <w:numId w:val="380"/>
        </w:numPr>
        <w:tabs>
          <w:tab w:pos="773" w:val="left" w:leader="none"/>
        </w:tabs>
        <w:spacing w:line="240" w:lineRule="auto" w:before="244" w:after="0"/>
        <w:ind w:left="360" w:right="847" w:firstLine="0"/>
        <w:jc w:val="left"/>
        <w:rPr>
          <w:sz w:val="24"/>
        </w:rPr>
      </w:pPr>
      <w:r>
        <w:rPr>
          <w:b/>
          <w:sz w:val="24"/>
        </w:rPr>
        <w:t>Licensed</w:t>
      </w:r>
      <w:r>
        <w:rPr>
          <w:b/>
          <w:spacing w:val="-4"/>
          <w:sz w:val="24"/>
        </w:rPr>
        <w:t> </w:t>
      </w:r>
      <w:r>
        <w:rPr>
          <w:b/>
          <w:sz w:val="24"/>
        </w:rPr>
        <w:t>Manager</w:t>
      </w:r>
      <w:r>
        <w:rPr>
          <w:b/>
          <w:spacing w:val="-4"/>
          <w:sz w:val="24"/>
        </w:rPr>
        <w:t> </w:t>
      </w:r>
      <w:r>
        <w:rPr>
          <w:b/>
          <w:sz w:val="24"/>
        </w:rPr>
        <w:t>Benefits.</w:t>
      </w:r>
      <w:r>
        <w:rPr>
          <w:b/>
          <w:spacing w:val="40"/>
          <w:sz w:val="24"/>
        </w:rPr>
        <w:t> </w:t>
      </w:r>
      <w:r>
        <w:rPr>
          <w:sz w:val="24"/>
        </w:rPr>
        <w:t>Benefits</w:t>
      </w:r>
      <w:r>
        <w:rPr>
          <w:spacing w:val="-4"/>
          <w:sz w:val="24"/>
        </w:rPr>
        <w:t> </w:t>
      </w:r>
      <w:r>
        <w:rPr>
          <w:sz w:val="24"/>
        </w:rPr>
        <w:t>such</w:t>
      </w:r>
      <w:r>
        <w:rPr>
          <w:spacing w:val="-4"/>
          <w:sz w:val="24"/>
        </w:rPr>
        <w:t> </w:t>
      </w:r>
      <w:r>
        <w:rPr>
          <w:sz w:val="24"/>
        </w:rPr>
        <w:t>as</w:t>
      </w:r>
      <w:r>
        <w:rPr>
          <w:spacing w:val="-4"/>
          <w:sz w:val="24"/>
        </w:rPr>
        <w:t> </w:t>
      </w:r>
      <w:r>
        <w:rPr>
          <w:sz w:val="24"/>
        </w:rPr>
        <w:t>insurance</w:t>
      </w:r>
      <w:r>
        <w:rPr>
          <w:spacing w:val="-4"/>
          <w:sz w:val="24"/>
        </w:rPr>
        <w:t> </w:t>
      </w:r>
      <w:r>
        <w:rPr>
          <w:sz w:val="24"/>
        </w:rPr>
        <w:t>will</w:t>
      </w:r>
      <w:r>
        <w:rPr>
          <w:spacing w:val="-4"/>
          <w:sz w:val="24"/>
        </w:rPr>
        <w:t> </w:t>
      </w:r>
      <w:r>
        <w:rPr>
          <w:sz w:val="24"/>
        </w:rPr>
        <w:t>begin</w:t>
      </w:r>
      <w:r>
        <w:rPr>
          <w:spacing w:val="-4"/>
          <w:sz w:val="24"/>
        </w:rPr>
        <w:t> </w:t>
      </w:r>
      <w:r>
        <w:rPr>
          <w:sz w:val="24"/>
        </w:rPr>
        <w:t>the</w:t>
      </w:r>
      <w:r>
        <w:rPr>
          <w:spacing w:val="-4"/>
          <w:sz w:val="24"/>
        </w:rPr>
        <w:t> </w:t>
      </w:r>
      <w:r>
        <w:rPr>
          <w:sz w:val="24"/>
        </w:rPr>
        <w:t>same</w:t>
      </w:r>
      <w:r>
        <w:rPr>
          <w:spacing w:val="-4"/>
          <w:sz w:val="24"/>
        </w:rPr>
        <w:t> </w:t>
      </w:r>
      <w:r>
        <w:rPr>
          <w:sz w:val="24"/>
        </w:rPr>
        <w:t>date the Licensed Manager signed the manager’s agreement.</w:t>
      </w:r>
    </w:p>
    <w:p>
      <w:pPr>
        <w:pStyle w:val="BodyText"/>
        <w:spacing w:before="206"/>
      </w:pPr>
      <w:r>
        <w:rPr/>
        <w:t>INSTRUCTIONS</w:t>
      </w:r>
      <w:r>
        <w:rPr>
          <w:spacing w:val="-3"/>
        </w:rPr>
        <w:t> </w:t>
      </w:r>
      <w:r>
        <w:rPr/>
        <w:t>TO</w:t>
      </w:r>
      <w:r>
        <w:rPr>
          <w:spacing w:val="-2"/>
        </w:rPr>
        <w:t> </w:t>
      </w:r>
      <w:r>
        <w:rPr>
          <w:spacing w:val="-4"/>
        </w:rPr>
        <w:t>STAFF</w:t>
      </w:r>
    </w:p>
    <w:p>
      <w:pPr>
        <w:pStyle w:val="ListParagraph"/>
        <w:numPr>
          <w:ilvl w:val="0"/>
          <w:numId w:val="381"/>
        </w:numPr>
        <w:tabs>
          <w:tab w:pos="809" w:val="left" w:leader="none"/>
        </w:tabs>
        <w:spacing w:line="258" w:lineRule="exact" w:before="204" w:after="0"/>
        <w:ind w:left="809" w:right="0" w:hanging="449"/>
        <w:jc w:val="left"/>
        <w:rPr>
          <w:sz w:val="24"/>
        </w:rPr>
      </w:pPr>
      <w:r>
        <w:rPr>
          <w:sz w:val="24"/>
        </w:rPr>
        <w:t>An</w:t>
      </w:r>
      <w:r>
        <w:rPr>
          <w:spacing w:val="-4"/>
          <w:sz w:val="24"/>
        </w:rPr>
        <w:t> </w:t>
      </w:r>
      <w:r>
        <w:rPr>
          <w:sz w:val="24"/>
        </w:rPr>
        <w:t>OTC</w:t>
      </w:r>
      <w:r>
        <w:rPr>
          <w:spacing w:val="-2"/>
          <w:sz w:val="24"/>
        </w:rPr>
        <w:t> </w:t>
      </w:r>
      <w:r>
        <w:rPr>
          <w:sz w:val="24"/>
        </w:rPr>
        <w:t>A</w:t>
      </w:r>
      <w:r>
        <w:rPr>
          <w:spacing w:val="-2"/>
          <w:sz w:val="24"/>
        </w:rPr>
        <w:t> </w:t>
      </w:r>
      <w:r>
        <w:rPr>
          <w:sz w:val="24"/>
        </w:rPr>
        <w:t>100</w:t>
      </w:r>
      <w:r>
        <w:rPr>
          <w:spacing w:val="-1"/>
          <w:sz w:val="24"/>
        </w:rPr>
        <w:t> </w:t>
      </w:r>
      <w:r>
        <w:rPr>
          <w:sz w:val="24"/>
        </w:rPr>
        <w:t>Form</w:t>
      </w:r>
      <w:r>
        <w:rPr>
          <w:spacing w:val="-3"/>
          <w:sz w:val="24"/>
        </w:rPr>
        <w:t> </w:t>
      </w:r>
      <w:r>
        <w:rPr>
          <w:sz w:val="24"/>
        </w:rPr>
        <w:t>must</w:t>
      </w:r>
      <w:r>
        <w:rPr>
          <w:spacing w:val="-1"/>
          <w:sz w:val="24"/>
        </w:rPr>
        <w:t> </w:t>
      </w:r>
      <w:r>
        <w:rPr>
          <w:sz w:val="24"/>
        </w:rPr>
        <w:t>be</w:t>
      </w:r>
      <w:r>
        <w:rPr>
          <w:spacing w:val="-2"/>
          <w:sz w:val="24"/>
        </w:rPr>
        <w:t> </w:t>
      </w:r>
      <w:r>
        <w:rPr>
          <w:sz w:val="24"/>
        </w:rPr>
        <w:t>processed</w:t>
      </w:r>
      <w:r>
        <w:rPr>
          <w:spacing w:val="-1"/>
          <w:sz w:val="24"/>
        </w:rPr>
        <w:t> </w:t>
      </w:r>
      <w:r>
        <w:rPr>
          <w:sz w:val="24"/>
        </w:rPr>
        <w:t>at</w:t>
      </w:r>
      <w:r>
        <w:rPr>
          <w:spacing w:val="-1"/>
          <w:sz w:val="24"/>
        </w:rPr>
        <w:t> </w:t>
      </w:r>
      <w:r>
        <w:rPr>
          <w:sz w:val="24"/>
        </w:rPr>
        <w:t>the</w:t>
      </w:r>
      <w:r>
        <w:rPr>
          <w:spacing w:val="-2"/>
          <w:sz w:val="24"/>
        </w:rPr>
        <w:t> </w:t>
      </w:r>
      <w:r>
        <w:rPr>
          <w:sz w:val="24"/>
        </w:rPr>
        <w:t>Oklahoma</w:t>
      </w:r>
      <w:r>
        <w:rPr>
          <w:spacing w:val="-2"/>
          <w:sz w:val="24"/>
        </w:rPr>
        <w:t> </w:t>
      </w:r>
      <w:r>
        <w:rPr>
          <w:sz w:val="24"/>
        </w:rPr>
        <w:t>Tax</w:t>
      </w:r>
      <w:r>
        <w:rPr>
          <w:spacing w:val="-1"/>
          <w:sz w:val="24"/>
        </w:rPr>
        <w:t> </w:t>
      </w:r>
      <w:r>
        <w:rPr>
          <w:spacing w:val="-2"/>
          <w:sz w:val="24"/>
        </w:rPr>
        <w:t>Commission.</w:t>
      </w:r>
    </w:p>
    <w:p>
      <w:pPr>
        <w:pStyle w:val="ListParagraph"/>
        <w:numPr>
          <w:ilvl w:val="0"/>
          <w:numId w:val="381"/>
        </w:numPr>
        <w:tabs>
          <w:tab w:pos="810" w:val="left" w:leader="none"/>
        </w:tabs>
        <w:spacing w:line="208" w:lineRule="auto" w:before="12" w:after="0"/>
        <w:ind w:left="810" w:right="1039" w:hanging="450"/>
        <w:jc w:val="left"/>
        <w:rPr>
          <w:sz w:val="24"/>
        </w:rPr>
      </w:pPr>
      <w:r>
        <w:rPr>
          <w:sz w:val="24"/>
        </w:rPr>
        <w:t>New</w:t>
      </w:r>
      <w:r>
        <w:rPr>
          <w:spacing w:val="-4"/>
          <w:sz w:val="24"/>
        </w:rPr>
        <w:t> </w:t>
      </w:r>
      <w:r>
        <w:rPr>
          <w:sz w:val="24"/>
        </w:rPr>
        <w:t>licensed</w:t>
      </w:r>
      <w:r>
        <w:rPr>
          <w:spacing w:val="-4"/>
          <w:sz w:val="24"/>
        </w:rPr>
        <w:t> </w:t>
      </w:r>
      <w:r>
        <w:rPr>
          <w:sz w:val="24"/>
        </w:rPr>
        <w:t>managers</w:t>
      </w:r>
      <w:r>
        <w:rPr>
          <w:spacing w:val="-4"/>
          <w:sz w:val="24"/>
        </w:rPr>
        <w:t> </w:t>
      </w:r>
      <w:r>
        <w:rPr>
          <w:sz w:val="24"/>
        </w:rPr>
        <w:t>will</w:t>
      </w:r>
      <w:r>
        <w:rPr>
          <w:spacing w:val="-4"/>
          <w:sz w:val="24"/>
        </w:rPr>
        <w:t> </w:t>
      </w:r>
      <w:r>
        <w:rPr>
          <w:sz w:val="24"/>
        </w:rPr>
        <w:t>be</w:t>
      </w:r>
      <w:r>
        <w:rPr>
          <w:spacing w:val="-4"/>
          <w:sz w:val="24"/>
        </w:rPr>
        <w:t> </w:t>
      </w:r>
      <w:r>
        <w:rPr>
          <w:sz w:val="24"/>
        </w:rPr>
        <w:t>closely</w:t>
      </w:r>
      <w:r>
        <w:rPr>
          <w:spacing w:val="-4"/>
          <w:sz w:val="24"/>
        </w:rPr>
        <w:t> </w:t>
      </w:r>
      <w:r>
        <w:rPr>
          <w:sz w:val="24"/>
        </w:rPr>
        <w:t>monitored</w:t>
      </w:r>
      <w:r>
        <w:rPr>
          <w:spacing w:val="-4"/>
          <w:sz w:val="24"/>
        </w:rPr>
        <w:t> </w:t>
      </w:r>
      <w:r>
        <w:rPr>
          <w:sz w:val="24"/>
        </w:rPr>
        <w:t>and</w:t>
      </w:r>
      <w:r>
        <w:rPr>
          <w:spacing w:val="-4"/>
          <w:sz w:val="24"/>
        </w:rPr>
        <w:t> </w:t>
      </w:r>
      <w:r>
        <w:rPr>
          <w:sz w:val="24"/>
        </w:rPr>
        <w:t>assisted</w:t>
      </w:r>
      <w:r>
        <w:rPr>
          <w:spacing w:val="-4"/>
          <w:sz w:val="24"/>
        </w:rPr>
        <w:t> </w:t>
      </w:r>
      <w:r>
        <w:rPr>
          <w:sz w:val="24"/>
        </w:rPr>
        <w:t>during</w:t>
      </w:r>
      <w:r>
        <w:rPr>
          <w:spacing w:val="-4"/>
          <w:sz w:val="24"/>
        </w:rPr>
        <w:t> </w:t>
      </w:r>
      <w:r>
        <w:rPr>
          <w:sz w:val="24"/>
        </w:rPr>
        <w:t>the</w:t>
      </w:r>
      <w:r>
        <w:rPr>
          <w:spacing w:val="-4"/>
          <w:sz w:val="24"/>
        </w:rPr>
        <w:t> </w:t>
      </w:r>
      <w:r>
        <w:rPr>
          <w:sz w:val="24"/>
        </w:rPr>
        <w:t>first</w:t>
      </w:r>
      <w:r>
        <w:rPr>
          <w:spacing w:val="-6"/>
          <w:sz w:val="24"/>
        </w:rPr>
        <w:t> </w:t>
      </w:r>
      <w:r>
        <w:rPr>
          <w:sz w:val="24"/>
        </w:rPr>
        <w:t>six months of the assigned business consultant.</w:t>
      </w:r>
    </w:p>
    <w:p>
      <w:pPr>
        <w:pStyle w:val="ListParagraph"/>
        <w:numPr>
          <w:ilvl w:val="0"/>
          <w:numId w:val="381"/>
        </w:numPr>
        <w:tabs>
          <w:tab w:pos="810" w:val="left" w:leader="none"/>
        </w:tabs>
        <w:spacing w:line="208" w:lineRule="auto" w:before="0" w:after="0"/>
        <w:ind w:left="810" w:right="944" w:hanging="450"/>
        <w:jc w:val="left"/>
        <w:rPr>
          <w:sz w:val="24"/>
        </w:rPr>
      </w:pPr>
      <w:r>
        <w:rPr>
          <w:sz w:val="24"/>
        </w:rPr>
        <w:t>Seniority</w:t>
      </w:r>
      <w:r>
        <w:rPr>
          <w:spacing w:val="-3"/>
          <w:sz w:val="24"/>
        </w:rPr>
        <w:t> </w:t>
      </w:r>
      <w:r>
        <w:rPr>
          <w:sz w:val="24"/>
        </w:rPr>
        <w:t>is</w:t>
      </w:r>
      <w:r>
        <w:rPr>
          <w:spacing w:val="-3"/>
          <w:sz w:val="24"/>
        </w:rPr>
        <w:t> </w:t>
      </w:r>
      <w:r>
        <w:rPr>
          <w:sz w:val="24"/>
        </w:rPr>
        <w:t>earned</w:t>
      </w:r>
      <w:r>
        <w:rPr>
          <w:spacing w:val="-3"/>
          <w:sz w:val="24"/>
        </w:rPr>
        <w:t> </w:t>
      </w:r>
      <w:r>
        <w:rPr>
          <w:sz w:val="24"/>
        </w:rPr>
        <w:t>at</w:t>
      </w:r>
      <w:r>
        <w:rPr>
          <w:spacing w:val="-4"/>
          <w:sz w:val="24"/>
        </w:rPr>
        <w:t> </w:t>
      </w:r>
      <w:r>
        <w:rPr>
          <w:sz w:val="24"/>
        </w:rPr>
        <w:t>a</w:t>
      </w:r>
      <w:r>
        <w:rPr>
          <w:spacing w:val="-3"/>
          <w:sz w:val="24"/>
        </w:rPr>
        <w:t> </w:t>
      </w:r>
      <w:r>
        <w:rPr>
          <w:sz w:val="24"/>
        </w:rPr>
        <w:t>rate</w:t>
      </w:r>
      <w:r>
        <w:rPr>
          <w:spacing w:val="-3"/>
          <w:sz w:val="24"/>
        </w:rPr>
        <w:t> </w:t>
      </w:r>
      <w:r>
        <w:rPr>
          <w:sz w:val="24"/>
        </w:rPr>
        <w:t>of</w:t>
      </w:r>
      <w:r>
        <w:rPr>
          <w:spacing w:val="-4"/>
          <w:sz w:val="24"/>
        </w:rPr>
        <w:t> </w:t>
      </w:r>
      <w:r>
        <w:rPr>
          <w:sz w:val="24"/>
        </w:rPr>
        <w:t>.25</w:t>
      </w:r>
      <w:r>
        <w:rPr>
          <w:spacing w:val="-3"/>
          <w:sz w:val="24"/>
        </w:rPr>
        <w:t> </w:t>
      </w:r>
      <w:r>
        <w:rPr>
          <w:sz w:val="24"/>
        </w:rPr>
        <w:t>points</w:t>
      </w:r>
      <w:r>
        <w:rPr>
          <w:spacing w:val="-3"/>
          <w:sz w:val="24"/>
        </w:rPr>
        <w:t> </w:t>
      </w:r>
      <w:r>
        <w:rPr>
          <w:sz w:val="24"/>
        </w:rPr>
        <w:t>per</w:t>
      </w:r>
      <w:r>
        <w:rPr>
          <w:spacing w:val="-2"/>
          <w:sz w:val="24"/>
        </w:rPr>
        <w:t> </w:t>
      </w:r>
      <w:r>
        <w:rPr>
          <w:sz w:val="24"/>
        </w:rPr>
        <w:t>year</w:t>
      </w:r>
      <w:r>
        <w:rPr>
          <w:spacing w:val="-2"/>
          <w:sz w:val="24"/>
        </w:rPr>
        <w:t> </w:t>
      </w:r>
      <w:r>
        <w:rPr>
          <w:sz w:val="24"/>
        </w:rPr>
        <w:t>of</w:t>
      </w:r>
      <w:r>
        <w:rPr>
          <w:spacing w:val="-4"/>
          <w:sz w:val="24"/>
        </w:rPr>
        <w:t> </w:t>
      </w:r>
      <w:r>
        <w:rPr>
          <w:sz w:val="24"/>
        </w:rPr>
        <w:t>qualifying</w:t>
      </w:r>
      <w:r>
        <w:rPr>
          <w:spacing w:val="-3"/>
          <w:sz w:val="24"/>
        </w:rPr>
        <w:t> </w:t>
      </w:r>
      <w:r>
        <w:rPr>
          <w:sz w:val="24"/>
        </w:rPr>
        <w:t>time</w:t>
      </w:r>
      <w:r>
        <w:rPr>
          <w:spacing w:val="-3"/>
          <w:sz w:val="24"/>
        </w:rPr>
        <w:t> </w:t>
      </w:r>
      <w:r>
        <w:rPr>
          <w:sz w:val="24"/>
        </w:rPr>
        <w:t>and</w:t>
      </w:r>
      <w:r>
        <w:rPr>
          <w:spacing w:val="-3"/>
          <w:sz w:val="24"/>
        </w:rPr>
        <w:t> </w:t>
      </w:r>
      <w:r>
        <w:rPr>
          <w:sz w:val="24"/>
        </w:rPr>
        <w:t>is</w:t>
      </w:r>
      <w:r>
        <w:rPr>
          <w:spacing w:val="-3"/>
          <w:sz w:val="24"/>
        </w:rPr>
        <w:t> </w:t>
      </w:r>
      <w:r>
        <w:rPr>
          <w:sz w:val="24"/>
        </w:rPr>
        <w:t>tracked by the BEP trainer.</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7-1-99</w:t>
      </w:r>
      <w:r>
        <w:rPr>
          <w:sz w:val="22"/>
        </w:rPr>
        <w:tab/>
        <w:t>PT Memo #00-01</w:t>
      </w:r>
    </w:p>
    <w:p>
      <w:pPr>
        <w:tabs>
          <w:tab w:pos="1439" w:val="left" w:leader="none"/>
        </w:tabs>
        <w:spacing w:before="0"/>
        <w:ind w:left="359" w:right="5967" w:firstLine="1080"/>
        <w:jc w:val="left"/>
        <w:rPr>
          <w:sz w:val="22"/>
        </w:rPr>
      </w:pPr>
      <w:r>
        <w:rPr>
          <w:sz w:val="22"/>
        </w:rPr>
        <w:t>Permanent,</w:t>
      </w:r>
      <w:r>
        <w:rPr>
          <w:spacing w:val="-16"/>
          <w:sz w:val="22"/>
        </w:rPr>
        <w:t> </w:t>
      </w:r>
      <w:r>
        <w:rPr>
          <w:sz w:val="22"/>
        </w:rPr>
        <w:t>updated</w:t>
      </w:r>
      <w:r>
        <w:rPr>
          <w:spacing w:val="-15"/>
          <w:sz w:val="22"/>
        </w:rPr>
        <w:t> </w:t>
      </w:r>
      <w:r>
        <w:rPr>
          <w:sz w:val="22"/>
        </w:rPr>
        <w:t>DVR/DVS </w:t>
      </w:r>
      <w:r>
        <w:rPr>
          <w:spacing w:val="-2"/>
          <w:sz w:val="22"/>
        </w:rPr>
        <w:t>7-1-05</w:t>
      </w:r>
      <w:r>
        <w:rPr>
          <w:sz w:val="22"/>
        </w:rPr>
        <w:tab/>
        <w:t>PT Memo #06-01</w:t>
      </w:r>
    </w:p>
    <w:p>
      <w:pPr>
        <w:spacing w:line="253" w:lineRule="exact" w:before="1"/>
        <w:ind w:left="1439" w:right="0" w:firstLine="0"/>
        <w:jc w:val="left"/>
        <w:rPr>
          <w:sz w:val="22"/>
        </w:rPr>
      </w:pPr>
      <w:r>
        <w:rPr>
          <w:sz w:val="22"/>
        </w:rPr>
        <w:t>Permanent,</w:t>
      </w:r>
      <w:r>
        <w:rPr>
          <w:spacing w:val="-11"/>
          <w:sz w:val="22"/>
        </w:rPr>
        <w:t> </w:t>
      </w:r>
      <w:r>
        <w:rPr>
          <w:sz w:val="22"/>
        </w:rPr>
        <w:t>clarifying</w:t>
      </w:r>
      <w:r>
        <w:rPr>
          <w:spacing w:val="-10"/>
          <w:sz w:val="22"/>
        </w:rPr>
        <w:t> </w:t>
      </w:r>
      <w:r>
        <w:rPr>
          <w:sz w:val="22"/>
        </w:rPr>
        <w:t>selection</w:t>
      </w:r>
      <w:r>
        <w:rPr>
          <w:spacing w:val="-11"/>
          <w:sz w:val="22"/>
        </w:rPr>
        <w:t> </w:t>
      </w:r>
      <w:r>
        <w:rPr>
          <w:spacing w:val="-2"/>
          <w:sz w:val="22"/>
        </w:rPr>
        <w:t>process</w:t>
      </w:r>
    </w:p>
    <w:p>
      <w:pPr>
        <w:pStyle w:val="ListParagraph"/>
        <w:numPr>
          <w:ilvl w:val="2"/>
          <w:numId w:val="281"/>
        </w:numPr>
        <w:tabs>
          <w:tab w:pos="1439" w:val="left" w:leader="none"/>
        </w:tabs>
        <w:spacing w:line="240" w:lineRule="auto" w:before="0" w:after="0"/>
        <w:ind w:left="359" w:right="4828" w:firstLine="0"/>
        <w:jc w:val="left"/>
        <w:rPr>
          <w:sz w:val="22"/>
        </w:rPr>
      </w:pPr>
      <w:r>
        <w:rPr>
          <w:sz w:val="22"/>
        </w:rPr>
        <w:t>Permanent,</w:t>
      </w:r>
      <w:r>
        <w:rPr>
          <w:spacing w:val="-7"/>
          <w:sz w:val="22"/>
        </w:rPr>
        <w:t> </w:t>
      </w:r>
      <w:r>
        <w:rPr>
          <w:sz w:val="22"/>
        </w:rPr>
        <w:t>updated</w:t>
      </w:r>
      <w:r>
        <w:rPr>
          <w:spacing w:val="-8"/>
          <w:sz w:val="22"/>
        </w:rPr>
        <w:t> </w:t>
      </w:r>
      <w:r>
        <w:rPr>
          <w:sz w:val="22"/>
        </w:rPr>
        <w:t>language</w:t>
      </w:r>
      <w:r>
        <w:rPr>
          <w:spacing w:val="-8"/>
          <w:sz w:val="22"/>
        </w:rPr>
        <w:t> </w:t>
      </w:r>
      <w:r>
        <w:rPr>
          <w:sz w:val="22"/>
        </w:rPr>
        <w:t>due</w:t>
      </w:r>
      <w:r>
        <w:rPr>
          <w:spacing w:val="-8"/>
          <w:sz w:val="22"/>
        </w:rPr>
        <w:t> </w:t>
      </w:r>
      <w:r>
        <w:rPr>
          <w:sz w:val="22"/>
        </w:rPr>
        <w:t>to</w:t>
      </w:r>
      <w:r>
        <w:rPr>
          <w:spacing w:val="-8"/>
          <w:sz w:val="22"/>
        </w:rPr>
        <w:t> </w:t>
      </w:r>
      <w:r>
        <w:rPr>
          <w:sz w:val="22"/>
        </w:rPr>
        <w:t>audit </w:t>
      </w:r>
      <w:r>
        <w:rPr>
          <w:spacing w:val="-2"/>
          <w:sz w:val="22"/>
        </w:rPr>
        <w:t>9-12-14</w:t>
      </w:r>
      <w:r>
        <w:rPr>
          <w:sz w:val="22"/>
        </w:rPr>
        <w:tab/>
        <w:t>Permanent,</w:t>
      </w:r>
      <w:r>
        <w:rPr>
          <w:spacing w:val="-7"/>
          <w:sz w:val="22"/>
        </w:rPr>
        <w:t> </w:t>
      </w:r>
      <w:r>
        <w:rPr>
          <w:sz w:val="22"/>
        </w:rPr>
        <w:t>updated</w:t>
      </w:r>
      <w:r>
        <w:rPr>
          <w:spacing w:val="-8"/>
          <w:sz w:val="22"/>
        </w:rPr>
        <w:t> </w:t>
      </w:r>
      <w:r>
        <w:rPr>
          <w:sz w:val="22"/>
        </w:rPr>
        <w:t>language</w:t>
      </w:r>
      <w:r>
        <w:rPr>
          <w:spacing w:val="-8"/>
          <w:sz w:val="22"/>
        </w:rPr>
        <w:t> </w:t>
      </w:r>
      <w:r>
        <w:rPr>
          <w:sz w:val="22"/>
        </w:rPr>
        <w:t>due</w:t>
      </w:r>
      <w:r>
        <w:rPr>
          <w:spacing w:val="-8"/>
          <w:sz w:val="22"/>
        </w:rPr>
        <w:t> </w:t>
      </w:r>
      <w:r>
        <w:rPr>
          <w:sz w:val="22"/>
        </w:rPr>
        <w:t>to</w:t>
      </w:r>
      <w:r>
        <w:rPr>
          <w:spacing w:val="-8"/>
          <w:sz w:val="22"/>
        </w:rPr>
        <w:t> </w:t>
      </w:r>
      <w:r>
        <w:rPr>
          <w:sz w:val="22"/>
        </w:rPr>
        <w:t>audit</w:t>
      </w:r>
    </w:p>
    <w:p>
      <w:pPr>
        <w:spacing w:before="0"/>
        <w:ind w:left="1439" w:right="0" w:firstLine="0"/>
        <w:jc w:val="left"/>
        <w:rPr>
          <w:sz w:val="22"/>
        </w:rPr>
      </w:pPr>
      <w:r>
        <w:rPr>
          <w:sz w:val="22"/>
        </w:rPr>
        <w:t>Updated</w:t>
      </w:r>
      <w:r>
        <w:rPr>
          <w:spacing w:val="-8"/>
          <w:sz w:val="22"/>
        </w:rPr>
        <w:t> </w:t>
      </w:r>
      <w:r>
        <w:rPr>
          <w:sz w:val="22"/>
        </w:rPr>
        <w:t>Instructions</w:t>
      </w:r>
      <w:r>
        <w:rPr>
          <w:spacing w:val="-8"/>
          <w:sz w:val="22"/>
        </w:rPr>
        <w:t> </w:t>
      </w:r>
      <w:r>
        <w:rPr>
          <w:sz w:val="22"/>
        </w:rPr>
        <w:t>to</w:t>
      </w:r>
      <w:r>
        <w:rPr>
          <w:spacing w:val="-8"/>
          <w:sz w:val="22"/>
        </w:rPr>
        <w:t> </w:t>
      </w:r>
      <w:r>
        <w:rPr>
          <w:spacing w:val="-2"/>
          <w:sz w:val="22"/>
        </w:rPr>
        <w:t>Staff</w:t>
      </w:r>
    </w:p>
    <w:p>
      <w:pPr>
        <w:tabs>
          <w:tab w:pos="1439" w:val="left" w:leader="none"/>
        </w:tabs>
        <w:spacing w:before="0"/>
        <w:ind w:left="1439" w:right="854" w:hanging="1080"/>
        <w:jc w:val="left"/>
        <w:rPr>
          <w:sz w:val="22"/>
        </w:rPr>
      </w:pPr>
      <w:r>
        <w:rPr>
          <w:spacing w:val="-2"/>
          <w:sz w:val="22"/>
        </w:rPr>
        <w:t>8-27-15</w:t>
      </w:r>
      <w:r>
        <w:rPr>
          <w:sz w:val="22"/>
        </w:rPr>
        <w:tab/>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to</w:t>
      </w:r>
      <w:r>
        <w:rPr>
          <w:spacing w:val="-4"/>
          <w:sz w:val="22"/>
        </w:rPr>
        <w:t> </w:t>
      </w:r>
      <w:r>
        <w:rPr>
          <w:sz w:val="22"/>
        </w:rPr>
        <w:t>Vocational</w:t>
      </w:r>
      <w:r>
        <w:rPr>
          <w:spacing w:val="-3"/>
          <w:sz w:val="22"/>
        </w:rPr>
        <w:t> </w:t>
      </w:r>
      <w:r>
        <w:rPr>
          <w:sz w:val="22"/>
        </w:rPr>
        <w:t>Rehabilitation</w:t>
      </w:r>
      <w:r>
        <w:rPr>
          <w:spacing w:val="-4"/>
          <w:sz w:val="22"/>
        </w:rPr>
        <w:t> </w:t>
      </w:r>
      <w:r>
        <w:rPr>
          <w:sz w:val="22"/>
        </w:rPr>
        <w:t>for</w:t>
      </w:r>
      <w:r>
        <w:rPr>
          <w:spacing w:val="-3"/>
          <w:sz w:val="22"/>
        </w:rPr>
        <w:t> </w:t>
      </w:r>
      <w:r>
        <w:rPr>
          <w:sz w:val="22"/>
        </w:rPr>
        <w:t>the</w:t>
      </w:r>
      <w:r>
        <w:rPr>
          <w:spacing w:val="-3"/>
          <w:sz w:val="22"/>
        </w:rPr>
        <w:t> </w:t>
      </w:r>
      <w:r>
        <w:rPr>
          <w:sz w:val="22"/>
        </w:rPr>
        <w:t>Blind</w:t>
      </w:r>
      <w:r>
        <w:rPr>
          <w:spacing w:val="-3"/>
          <w:sz w:val="22"/>
        </w:rPr>
        <w:t> </w:t>
      </w:r>
      <w:r>
        <w:rPr>
          <w:sz w:val="22"/>
        </w:rPr>
        <w:t>&amp; Visually Impaired.</w:t>
      </w:r>
    </w:p>
    <w:p>
      <w:pPr>
        <w:spacing w:line="253" w:lineRule="exact" w:before="0"/>
        <w:ind w:left="1439" w:right="0" w:firstLine="0"/>
        <w:jc w:val="left"/>
        <w:rPr>
          <w:sz w:val="22"/>
        </w:rPr>
      </w:pPr>
      <w:r>
        <w:rPr>
          <w:sz w:val="22"/>
        </w:rPr>
        <w:t>Updated</w:t>
      </w:r>
      <w:r>
        <w:rPr>
          <w:spacing w:val="-10"/>
          <w:sz w:val="22"/>
        </w:rPr>
        <w:t> </w:t>
      </w:r>
      <w:r>
        <w:rPr>
          <w:spacing w:val="-2"/>
          <w:sz w:val="22"/>
        </w:rPr>
        <w:t>language.</w:t>
      </w:r>
    </w:p>
    <w:p>
      <w:pPr>
        <w:tabs>
          <w:tab w:pos="1439" w:val="left" w:leader="none"/>
        </w:tabs>
        <w:spacing w:before="0"/>
        <w:ind w:left="1439" w:right="929" w:hanging="1080"/>
        <w:jc w:val="left"/>
        <w:rPr>
          <w:sz w:val="22"/>
        </w:rPr>
      </w:pPr>
      <w:r>
        <w:rPr>
          <w:spacing w:val="-2"/>
          <w:sz w:val="22"/>
        </w:rPr>
        <w:t>9-11-17</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Vocational</w:t>
      </w:r>
      <w:r>
        <w:rPr>
          <w:spacing w:val="-4"/>
          <w:sz w:val="22"/>
        </w:rPr>
        <w:t> </w:t>
      </w:r>
      <w:r>
        <w:rPr>
          <w:sz w:val="22"/>
        </w:rPr>
        <w:t>Rehabilitation</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w:t>
      </w:r>
      <w:r>
        <w:rPr>
          <w:spacing w:val="-4"/>
          <w:sz w:val="22"/>
        </w:rPr>
        <w:t> </w:t>
      </w:r>
      <w:r>
        <w:rPr>
          <w:sz w:val="22"/>
        </w:rPr>
        <w:t>Visually</w:t>
      </w:r>
      <w:r>
        <w:rPr>
          <w:spacing w:val="-4"/>
          <w:sz w:val="22"/>
        </w:rPr>
        <w:t> </w:t>
      </w:r>
      <w:r>
        <w:rPr>
          <w:sz w:val="22"/>
        </w:rPr>
        <w:t>Impaired to Visual Services.</w:t>
      </w:r>
    </w:p>
    <w:p>
      <w:pPr>
        <w:tabs>
          <w:tab w:pos="1439" w:val="left" w:leader="none"/>
        </w:tabs>
        <w:spacing w:before="0"/>
        <w:ind w:left="1439" w:right="1013" w:hanging="1080"/>
        <w:jc w:val="left"/>
        <w:rPr>
          <w:sz w:val="22"/>
        </w:rPr>
      </w:pPr>
      <w:r>
        <w:rPr>
          <w:spacing w:val="-2"/>
          <w:sz w:val="22"/>
        </w:rPr>
        <w:t>9-11-22</w:t>
      </w:r>
      <w:r>
        <w:rPr>
          <w:sz w:val="22"/>
        </w:rPr>
        <w:tab/>
        <w:t>Language</w:t>
      </w:r>
      <w:r>
        <w:rPr>
          <w:spacing w:val="-4"/>
          <w:sz w:val="22"/>
        </w:rPr>
        <w:t> </w:t>
      </w:r>
      <w:r>
        <w:rPr>
          <w:sz w:val="22"/>
        </w:rPr>
        <w:t>added</w:t>
      </w:r>
      <w:r>
        <w:rPr>
          <w:spacing w:val="-4"/>
          <w:sz w:val="22"/>
        </w:rPr>
        <w:t> </w:t>
      </w:r>
      <w:r>
        <w:rPr>
          <w:sz w:val="22"/>
        </w:rPr>
        <w:t>to</w:t>
      </w:r>
      <w:r>
        <w:rPr>
          <w:spacing w:val="-4"/>
          <w:sz w:val="22"/>
        </w:rPr>
        <w:t> </w:t>
      </w:r>
      <w:r>
        <w:rPr>
          <w:sz w:val="22"/>
        </w:rPr>
        <w:t>include</w:t>
      </w:r>
      <w:r>
        <w:rPr>
          <w:spacing w:val="-4"/>
          <w:sz w:val="22"/>
        </w:rPr>
        <w:t> </w:t>
      </w:r>
      <w:r>
        <w:rPr>
          <w:sz w:val="22"/>
        </w:rPr>
        <w:t>a</w:t>
      </w:r>
      <w:r>
        <w:rPr>
          <w:spacing w:val="-4"/>
          <w:sz w:val="22"/>
        </w:rPr>
        <w:t> </w:t>
      </w:r>
      <w:r>
        <w:rPr>
          <w:sz w:val="22"/>
        </w:rPr>
        <w:t>background</w:t>
      </w:r>
      <w:r>
        <w:rPr>
          <w:spacing w:val="-4"/>
          <w:sz w:val="22"/>
        </w:rPr>
        <w:t> </w:t>
      </w:r>
      <w:r>
        <w:rPr>
          <w:sz w:val="22"/>
        </w:rPr>
        <w:t>check</w:t>
      </w:r>
      <w:r>
        <w:rPr>
          <w:spacing w:val="-5"/>
          <w:sz w:val="22"/>
        </w:rPr>
        <w:t> </w:t>
      </w:r>
      <w:r>
        <w:rPr>
          <w:sz w:val="22"/>
        </w:rPr>
        <w:t>for</w:t>
      </w:r>
      <w:r>
        <w:rPr>
          <w:spacing w:val="-4"/>
          <w:sz w:val="22"/>
        </w:rPr>
        <w:t> </w:t>
      </w:r>
      <w:r>
        <w:rPr>
          <w:sz w:val="22"/>
        </w:rPr>
        <w:t>Oklahoma</w:t>
      </w:r>
      <w:r>
        <w:rPr>
          <w:spacing w:val="-4"/>
          <w:sz w:val="22"/>
        </w:rPr>
        <w:t> </w:t>
      </w:r>
      <w:r>
        <w:rPr>
          <w:sz w:val="22"/>
        </w:rPr>
        <w:t>sales</w:t>
      </w:r>
      <w:r>
        <w:rPr>
          <w:spacing w:val="-4"/>
          <w:sz w:val="22"/>
        </w:rPr>
        <w:t> </w:t>
      </w:r>
      <w:r>
        <w:rPr>
          <w:sz w:val="22"/>
        </w:rPr>
        <w:t>tax</w:t>
      </w:r>
      <w:r>
        <w:rPr>
          <w:spacing w:val="-4"/>
          <w:sz w:val="22"/>
        </w:rPr>
        <w:t> </w:t>
      </w:r>
      <w:r>
        <w:rPr>
          <w:sz w:val="22"/>
        </w:rPr>
        <w:t>regarding BEP applicants. Added section (k) Licensed Manager Benefits. Removal of antiquated language.</w:t>
      </w:r>
    </w:p>
    <w:p>
      <w:pPr>
        <w:tabs>
          <w:tab w:pos="1439" w:val="left" w:leader="none"/>
        </w:tabs>
        <w:spacing w:line="253" w:lineRule="exact" w:before="0"/>
        <w:ind w:left="359" w:right="0" w:firstLine="0"/>
        <w:jc w:val="left"/>
        <w:rPr>
          <w:sz w:val="22"/>
        </w:rPr>
      </w:pPr>
      <w:r>
        <w:rPr>
          <w:spacing w:val="-2"/>
          <w:sz w:val="22"/>
        </w:rPr>
        <w:t>8-11-</w:t>
      </w:r>
      <w:r>
        <w:rPr>
          <w:spacing w:val="-5"/>
          <w:sz w:val="22"/>
        </w:rPr>
        <w:t>23</w:t>
      </w:r>
      <w:r>
        <w:rPr>
          <w:sz w:val="22"/>
        </w:rPr>
        <w:tab/>
        <w:t>SBVI</w:t>
      </w:r>
      <w:r>
        <w:rPr>
          <w:spacing w:val="-7"/>
          <w:sz w:val="22"/>
        </w:rPr>
        <w:t> </w:t>
      </w:r>
      <w:r>
        <w:rPr>
          <w:sz w:val="22"/>
        </w:rPr>
        <w:t>division</w:t>
      </w:r>
      <w:r>
        <w:rPr>
          <w:spacing w:val="-7"/>
          <w:sz w:val="22"/>
        </w:rPr>
        <w:t> </w:t>
      </w:r>
      <w:r>
        <w:rPr>
          <w:sz w:val="22"/>
        </w:rPr>
        <w:t>name</w:t>
      </w:r>
      <w:r>
        <w:rPr>
          <w:spacing w:val="-7"/>
          <w:sz w:val="22"/>
        </w:rPr>
        <w:t> </w:t>
      </w:r>
      <w:r>
        <w:rPr>
          <w:sz w:val="22"/>
        </w:rPr>
        <w:t>correction</w:t>
      </w:r>
      <w:r>
        <w:rPr>
          <w:spacing w:val="-6"/>
          <w:sz w:val="22"/>
        </w:rPr>
        <w:t> </w:t>
      </w:r>
      <w:r>
        <w:rPr>
          <w:sz w:val="22"/>
        </w:rPr>
        <w:t>under</w:t>
      </w:r>
      <w:r>
        <w:rPr>
          <w:spacing w:val="-8"/>
          <w:sz w:val="22"/>
        </w:rPr>
        <w:t> </w:t>
      </w:r>
      <w:r>
        <w:rPr>
          <w:sz w:val="22"/>
        </w:rPr>
        <w:t>sections</w:t>
      </w:r>
      <w:r>
        <w:rPr>
          <w:spacing w:val="-7"/>
          <w:sz w:val="22"/>
        </w:rPr>
        <w:t> </w:t>
      </w:r>
      <w:r>
        <w:rPr>
          <w:sz w:val="22"/>
        </w:rPr>
        <w:t>(c)</w:t>
      </w:r>
      <w:r>
        <w:rPr>
          <w:spacing w:val="-7"/>
          <w:sz w:val="22"/>
        </w:rPr>
        <w:t> </w:t>
      </w:r>
      <w:r>
        <w:rPr>
          <w:sz w:val="22"/>
        </w:rPr>
        <w:t>and</w:t>
      </w:r>
      <w:r>
        <w:rPr>
          <w:spacing w:val="-7"/>
          <w:sz w:val="22"/>
        </w:rPr>
        <w:t> </w:t>
      </w:r>
      <w:r>
        <w:rPr>
          <w:spacing w:val="-4"/>
          <w:sz w:val="22"/>
        </w:rPr>
        <w:t>(g).</w:t>
      </w:r>
    </w:p>
    <w:p>
      <w:pPr>
        <w:spacing w:after="0" w:line="253" w:lineRule="exact"/>
        <w:jc w:val="left"/>
        <w:rPr>
          <w:sz w:val="22"/>
        </w:rPr>
        <w:sectPr>
          <w:pgSz w:w="12240" w:h="15840"/>
          <w:pgMar w:top="1340" w:bottom="280" w:left="1080" w:right="720"/>
        </w:sectPr>
      </w:pPr>
    </w:p>
    <w:p>
      <w:pPr>
        <w:pStyle w:val="Heading2"/>
      </w:pPr>
      <w:bookmarkStart w:name="612:25-4-15.  Training for present licen" w:id="395"/>
      <w:bookmarkEnd w:id="395"/>
      <w:r>
        <w:rPr>
          <w:b w:val="0"/>
        </w:rPr>
      </w:r>
      <w:bookmarkStart w:name="_bookmark33" w:id="396"/>
      <w:bookmarkEnd w:id="396"/>
      <w:r>
        <w:rPr>
          <w:b w:val="0"/>
        </w:rPr>
      </w:r>
      <w:r>
        <w:rPr/>
        <w:t>612:25-4-15.</w:t>
      </w:r>
      <w:r>
        <w:rPr>
          <w:spacing w:val="59"/>
        </w:rPr>
        <w:t> </w:t>
      </w:r>
      <w:r>
        <w:rPr/>
        <w:t>Training</w:t>
      </w:r>
      <w:r>
        <w:rPr>
          <w:spacing w:val="-4"/>
        </w:rPr>
        <w:t> </w:t>
      </w:r>
      <w:r>
        <w:rPr/>
        <w:t>for</w:t>
      </w:r>
      <w:r>
        <w:rPr>
          <w:spacing w:val="-4"/>
        </w:rPr>
        <w:t> </w:t>
      </w:r>
      <w:r>
        <w:rPr/>
        <w:t>present</w:t>
      </w:r>
      <w:r>
        <w:rPr>
          <w:spacing w:val="-3"/>
        </w:rPr>
        <w:t> </w:t>
      </w:r>
      <w:r>
        <w:rPr/>
        <w:t>licensed</w:t>
      </w:r>
      <w:r>
        <w:rPr>
          <w:spacing w:val="-4"/>
        </w:rPr>
        <w:t> </w:t>
      </w:r>
      <w:r>
        <w:rPr>
          <w:spacing w:val="-2"/>
        </w:rPr>
        <w:t>managers</w:t>
      </w:r>
    </w:p>
    <w:p>
      <w:pPr>
        <w:pStyle w:val="BodyText"/>
        <w:spacing w:line="208" w:lineRule="auto" w:before="233"/>
        <w:ind w:right="1426" w:firstLine="432"/>
        <w:jc w:val="both"/>
        <w:rPr>
          <w:b/>
        </w:rPr>
      </w:pPr>
      <w:r>
        <w:rPr/>
        <w:t>Post-employment</w:t>
      </w:r>
      <w:r>
        <w:rPr>
          <w:spacing w:val="-3"/>
        </w:rPr>
        <w:t> </w:t>
      </w:r>
      <w:r>
        <w:rPr/>
        <w:t>training</w:t>
      </w:r>
      <w:r>
        <w:rPr>
          <w:spacing w:val="-4"/>
        </w:rPr>
        <w:t> </w:t>
      </w:r>
      <w:r>
        <w:rPr/>
        <w:t>for</w:t>
      </w:r>
      <w:r>
        <w:rPr>
          <w:spacing w:val="-3"/>
        </w:rPr>
        <w:t> </w:t>
      </w:r>
      <w:r>
        <w:rPr/>
        <w:t>licensed</w:t>
      </w:r>
      <w:r>
        <w:rPr>
          <w:spacing w:val="-4"/>
        </w:rPr>
        <w:t> </w:t>
      </w:r>
      <w:r>
        <w:rPr/>
        <w:t>managers</w:t>
      </w:r>
      <w:r>
        <w:rPr>
          <w:spacing w:val="-4"/>
        </w:rPr>
        <w:t> </w:t>
      </w:r>
      <w:r>
        <w:rPr/>
        <w:t>will</w:t>
      </w:r>
      <w:r>
        <w:rPr>
          <w:spacing w:val="-4"/>
        </w:rPr>
        <w:t> </w:t>
      </w:r>
      <w:r>
        <w:rPr/>
        <w:t>be</w:t>
      </w:r>
      <w:r>
        <w:rPr>
          <w:spacing w:val="-3"/>
        </w:rPr>
        <w:t> </w:t>
      </w:r>
      <w:r>
        <w:rPr/>
        <w:t>provided</w:t>
      </w:r>
      <w:r>
        <w:rPr>
          <w:spacing w:val="-4"/>
        </w:rPr>
        <w:t> </w:t>
      </w:r>
      <w:r>
        <w:rPr/>
        <w:t>by</w:t>
      </w:r>
      <w:r>
        <w:rPr>
          <w:spacing w:val="-4"/>
        </w:rPr>
        <w:t> </w:t>
      </w:r>
      <w:r>
        <w:rPr/>
        <w:t>the</w:t>
      </w:r>
      <w:r>
        <w:rPr>
          <w:spacing w:val="-4"/>
        </w:rPr>
        <w:t> </w:t>
      </w:r>
      <w:r>
        <w:rPr/>
        <w:t>State Licensing Agency to encourage greater professional competence and to promote achievement of maximum vocational potential. </w:t>
      </w:r>
      <w:r>
        <w:rPr>
          <w:b/>
        </w:rPr>
        <w:t>1, 2</w:t>
      </w:r>
    </w:p>
    <w:p>
      <w:pPr>
        <w:pStyle w:val="BodyText"/>
        <w:spacing w:before="210"/>
      </w:pPr>
      <w:r>
        <w:rPr/>
        <w:t>INSTRUCTIONS</w:t>
      </w:r>
      <w:r>
        <w:rPr>
          <w:spacing w:val="-3"/>
        </w:rPr>
        <w:t> </w:t>
      </w:r>
      <w:r>
        <w:rPr/>
        <w:t>TO</w:t>
      </w:r>
      <w:r>
        <w:rPr>
          <w:spacing w:val="-2"/>
        </w:rPr>
        <w:t> </w:t>
      </w:r>
      <w:r>
        <w:rPr>
          <w:spacing w:val="-4"/>
        </w:rPr>
        <w:t>STAFF</w:t>
      </w:r>
    </w:p>
    <w:p>
      <w:pPr>
        <w:pStyle w:val="ListParagraph"/>
        <w:numPr>
          <w:ilvl w:val="0"/>
          <w:numId w:val="382"/>
        </w:numPr>
        <w:tabs>
          <w:tab w:pos="1077" w:val="left" w:leader="none"/>
        </w:tabs>
        <w:spacing w:line="240" w:lineRule="auto" w:before="204" w:after="0"/>
        <w:ind w:left="1077" w:right="0" w:hanging="286"/>
        <w:jc w:val="left"/>
        <w:rPr>
          <w:sz w:val="24"/>
        </w:rPr>
      </w:pPr>
      <w:r>
        <w:rPr>
          <w:sz w:val="24"/>
        </w:rPr>
        <w:t>Link</w:t>
      </w:r>
      <w:r>
        <w:rPr>
          <w:spacing w:val="-3"/>
          <w:sz w:val="24"/>
        </w:rPr>
        <w:t> </w:t>
      </w:r>
      <w:r>
        <w:rPr>
          <w:sz w:val="24"/>
        </w:rPr>
        <w:t>to</w:t>
      </w:r>
      <w:r>
        <w:rPr>
          <w:spacing w:val="-2"/>
          <w:sz w:val="24"/>
        </w:rPr>
        <w:t> </w:t>
      </w:r>
      <w:hyperlink r:id="rId90">
        <w:r>
          <w:rPr>
            <w:color w:val="0000FF"/>
            <w:sz w:val="24"/>
            <w:u w:val="single" w:color="0000FF"/>
          </w:rPr>
          <w:t>20</w:t>
        </w:r>
        <w:r>
          <w:rPr>
            <w:color w:val="0000FF"/>
            <w:spacing w:val="-2"/>
            <w:sz w:val="24"/>
            <w:u w:val="single" w:color="0000FF"/>
          </w:rPr>
          <w:t> </w:t>
        </w:r>
        <w:r>
          <w:rPr>
            <w:color w:val="0000FF"/>
            <w:sz w:val="24"/>
            <w:u w:val="single" w:color="0000FF"/>
          </w:rPr>
          <w:t>USC</w:t>
        </w:r>
        <w:r>
          <w:rPr>
            <w:color w:val="0000FF"/>
            <w:spacing w:val="-2"/>
            <w:sz w:val="24"/>
            <w:u w:val="single" w:color="0000FF"/>
          </w:rPr>
          <w:t> </w:t>
        </w:r>
        <w:r>
          <w:rPr>
            <w:color w:val="0000FF"/>
            <w:sz w:val="24"/>
            <w:u w:val="single" w:color="0000FF"/>
          </w:rPr>
          <w:t>107d-</w:t>
        </w:r>
        <w:r>
          <w:rPr>
            <w:color w:val="0000FF"/>
            <w:spacing w:val="-5"/>
            <w:sz w:val="24"/>
            <w:u w:val="single" w:color="0000FF"/>
          </w:rPr>
          <w:t>4</w:t>
        </w:r>
      </w:hyperlink>
      <w:r>
        <w:rPr>
          <w:spacing w:val="-5"/>
          <w:sz w:val="24"/>
          <w:u w:val="none"/>
        </w:rPr>
        <w:t>.</w:t>
      </w:r>
    </w:p>
    <w:p>
      <w:pPr>
        <w:pStyle w:val="ListParagraph"/>
        <w:numPr>
          <w:ilvl w:val="0"/>
          <w:numId w:val="382"/>
        </w:numPr>
        <w:tabs>
          <w:tab w:pos="1078" w:val="left" w:leader="none"/>
        </w:tabs>
        <w:spacing w:line="208" w:lineRule="auto" w:before="234" w:after="0"/>
        <w:ind w:left="792" w:right="766" w:firstLine="0"/>
        <w:jc w:val="left"/>
        <w:rPr>
          <w:sz w:val="24"/>
        </w:rPr>
      </w:pPr>
      <w:r>
        <w:rPr>
          <w:sz w:val="24"/>
        </w:rPr>
        <w:t>Post-employment</w:t>
      </w:r>
      <w:r>
        <w:rPr>
          <w:spacing w:val="-3"/>
          <w:sz w:val="24"/>
        </w:rPr>
        <w:t> </w:t>
      </w:r>
      <w:r>
        <w:rPr>
          <w:sz w:val="24"/>
        </w:rPr>
        <w:t>training</w:t>
      </w:r>
      <w:r>
        <w:rPr>
          <w:spacing w:val="-4"/>
          <w:sz w:val="24"/>
        </w:rPr>
        <w:t> </w:t>
      </w:r>
      <w:r>
        <w:rPr>
          <w:sz w:val="24"/>
        </w:rPr>
        <w:t>for</w:t>
      </w:r>
      <w:r>
        <w:rPr>
          <w:spacing w:val="-3"/>
          <w:sz w:val="24"/>
        </w:rPr>
        <w:t> </w:t>
      </w:r>
      <w:r>
        <w:rPr>
          <w:sz w:val="24"/>
        </w:rPr>
        <w:t>licensed</w:t>
      </w:r>
      <w:r>
        <w:rPr>
          <w:spacing w:val="-4"/>
          <w:sz w:val="24"/>
        </w:rPr>
        <w:t> </w:t>
      </w:r>
      <w:r>
        <w:rPr>
          <w:sz w:val="24"/>
        </w:rPr>
        <w:t>managers</w:t>
      </w:r>
      <w:r>
        <w:rPr>
          <w:spacing w:val="-4"/>
          <w:sz w:val="24"/>
        </w:rPr>
        <w:t> </w:t>
      </w:r>
      <w:r>
        <w:rPr>
          <w:sz w:val="24"/>
        </w:rPr>
        <w:t>may</w:t>
      </w:r>
      <w:r>
        <w:rPr>
          <w:spacing w:val="-4"/>
          <w:sz w:val="24"/>
        </w:rPr>
        <w:t> </w:t>
      </w:r>
      <w:r>
        <w:rPr>
          <w:sz w:val="24"/>
        </w:rPr>
        <w:t>be</w:t>
      </w:r>
      <w:r>
        <w:rPr>
          <w:spacing w:val="-5"/>
          <w:sz w:val="24"/>
        </w:rPr>
        <w:t> </w:t>
      </w:r>
      <w:r>
        <w:rPr>
          <w:sz w:val="24"/>
        </w:rPr>
        <w:t>provided</w:t>
      </w:r>
      <w:r>
        <w:rPr>
          <w:spacing w:val="-4"/>
          <w:sz w:val="24"/>
        </w:rPr>
        <w:t> </w:t>
      </w:r>
      <w:r>
        <w:rPr>
          <w:sz w:val="24"/>
        </w:rPr>
        <w:t>in</w:t>
      </w:r>
      <w:r>
        <w:rPr>
          <w:spacing w:val="-4"/>
          <w:sz w:val="24"/>
        </w:rPr>
        <w:t> </w:t>
      </w:r>
      <w:r>
        <w:rPr>
          <w:sz w:val="24"/>
        </w:rPr>
        <w:t>a</w:t>
      </w:r>
      <w:r>
        <w:rPr>
          <w:spacing w:val="-4"/>
          <w:sz w:val="24"/>
        </w:rPr>
        <w:t> </w:t>
      </w:r>
      <w:r>
        <w:rPr>
          <w:sz w:val="24"/>
        </w:rPr>
        <w:t>number</w:t>
      </w:r>
      <w:r>
        <w:rPr>
          <w:spacing w:val="-3"/>
          <w:sz w:val="24"/>
        </w:rPr>
        <w:t> </w:t>
      </w:r>
      <w:r>
        <w:rPr>
          <w:sz w:val="24"/>
        </w:rPr>
        <w:t>of ways that include, but are not limited to,</w:t>
      </w:r>
    </w:p>
    <w:p>
      <w:pPr>
        <w:pStyle w:val="ListParagraph"/>
        <w:numPr>
          <w:ilvl w:val="1"/>
          <w:numId w:val="382"/>
        </w:numPr>
        <w:tabs>
          <w:tab w:pos="1650" w:val="left" w:leader="none"/>
        </w:tabs>
        <w:spacing w:line="240" w:lineRule="auto" w:before="210" w:after="0"/>
        <w:ind w:left="1650" w:right="0" w:hanging="426"/>
        <w:jc w:val="left"/>
        <w:rPr>
          <w:sz w:val="24"/>
        </w:rPr>
      </w:pPr>
      <w:r>
        <w:rPr>
          <w:sz w:val="24"/>
        </w:rPr>
        <w:t>instruction</w:t>
      </w:r>
      <w:r>
        <w:rPr>
          <w:spacing w:val="-6"/>
          <w:sz w:val="24"/>
        </w:rPr>
        <w:t> </w:t>
      </w:r>
      <w:r>
        <w:rPr>
          <w:sz w:val="24"/>
        </w:rPr>
        <w:t>and</w:t>
      </w:r>
      <w:r>
        <w:rPr>
          <w:spacing w:val="-4"/>
          <w:sz w:val="24"/>
        </w:rPr>
        <w:t> </w:t>
      </w:r>
      <w:r>
        <w:rPr>
          <w:sz w:val="24"/>
        </w:rPr>
        <w:t>consultation</w:t>
      </w:r>
      <w:r>
        <w:rPr>
          <w:spacing w:val="-4"/>
          <w:sz w:val="24"/>
        </w:rPr>
        <w:t> </w:t>
      </w:r>
      <w:r>
        <w:rPr>
          <w:sz w:val="24"/>
        </w:rPr>
        <w:t>provided</w:t>
      </w:r>
      <w:r>
        <w:rPr>
          <w:spacing w:val="-4"/>
          <w:sz w:val="24"/>
        </w:rPr>
        <w:t> </w:t>
      </w:r>
      <w:r>
        <w:rPr>
          <w:sz w:val="24"/>
        </w:rPr>
        <w:t>by</w:t>
      </w:r>
      <w:r>
        <w:rPr>
          <w:spacing w:val="-4"/>
          <w:sz w:val="24"/>
        </w:rPr>
        <w:t> </w:t>
      </w:r>
      <w:r>
        <w:rPr>
          <w:sz w:val="24"/>
        </w:rPr>
        <w:t>qualified</w:t>
      </w:r>
      <w:r>
        <w:rPr>
          <w:spacing w:val="-4"/>
          <w:sz w:val="24"/>
        </w:rPr>
        <w:t> </w:t>
      </w:r>
      <w:r>
        <w:rPr>
          <w:sz w:val="24"/>
        </w:rPr>
        <w:t>BEP</w:t>
      </w:r>
      <w:r>
        <w:rPr>
          <w:spacing w:val="-3"/>
          <w:sz w:val="24"/>
        </w:rPr>
        <w:t> </w:t>
      </w:r>
      <w:r>
        <w:rPr>
          <w:spacing w:val="-2"/>
          <w:sz w:val="24"/>
        </w:rPr>
        <w:t>staff;</w:t>
      </w:r>
    </w:p>
    <w:p>
      <w:pPr>
        <w:pStyle w:val="ListParagraph"/>
        <w:numPr>
          <w:ilvl w:val="1"/>
          <w:numId w:val="382"/>
        </w:numPr>
        <w:tabs>
          <w:tab w:pos="1649" w:val="left" w:leader="none"/>
        </w:tabs>
        <w:spacing w:line="240" w:lineRule="auto" w:before="204" w:after="0"/>
        <w:ind w:left="1649" w:right="0" w:hanging="425"/>
        <w:jc w:val="left"/>
        <w:rPr>
          <w:sz w:val="24"/>
        </w:rPr>
      </w:pPr>
      <w:r>
        <w:rPr>
          <w:sz w:val="24"/>
        </w:rPr>
        <w:t>training</w:t>
      </w:r>
      <w:r>
        <w:rPr>
          <w:spacing w:val="-4"/>
          <w:sz w:val="24"/>
        </w:rPr>
        <w:t> </w:t>
      </w:r>
      <w:r>
        <w:rPr>
          <w:sz w:val="24"/>
        </w:rPr>
        <w:t>programs</w:t>
      </w:r>
      <w:r>
        <w:rPr>
          <w:spacing w:val="-5"/>
          <w:sz w:val="24"/>
        </w:rPr>
        <w:t> </w:t>
      </w:r>
      <w:r>
        <w:rPr>
          <w:sz w:val="24"/>
        </w:rPr>
        <w:t>offered</w:t>
      </w:r>
      <w:r>
        <w:rPr>
          <w:spacing w:val="-3"/>
          <w:sz w:val="24"/>
        </w:rPr>
        <w:t> </w:t>
      </w:r>
      <w:r>
        <w:rPr>
          <w:sz w:val="24"/>
        </w:rPr>
        <w:t>by</w:t>
      </w:r>
      <w:r>
        <w:rPr>
          <w:spacing w:val="-4"/>
          <w:sz w:val="24"/>
        </w:rPr>
        <w:t> </w:t>
      </w:r>
      <w:r>
        <w:rPr>
          <w:sz w:val="24"/>
        </w:rPr>
        <w:t>industry</w:t>
      </w:r>
      <w:r>
        <w:rPr>
          <w:spacing w:val="-3"/>
          <w:sz w:val="24"/>
        </w:rPr>
        <w:t> </w:t>
      </w:r>
      <w:r>
        <w:rPr>
          <w:spacing w:val="-2"/>
          <w:sz w:val="24"/>
        </w:rPr>
        <w:t>associations;</w:t>
      </w:r>
    </w:p>
    <w:p>
      <w:pPr>
        <w:pStyle w:val="ListParagraph"/>
        <w:numPr>
          <w:ilvl w:val="1"/>
          <w:numId w:val="382"/>
        </w:numPr>
        <w:tabs>
          <w:tab w:pos="1637" w:val="left" w:leader="none"/>
        </w:tabs>
        <w:spacing w:line="240" w:lineRule="auto" w:before="204" w:after="0"/>
        <w:ind w:left="1637" w:right="0" w:hanging="413"/>
        <w:jc w:val="left"/>
        <w:rPr>
          <w:sz w:val="24"/>
        </w:rPr>
      </w:pPr>
      <w:r>
        <w:rPr>
          <w:sz w:val="24"/>
        </w:rPr>
        <w:t>courses</w:t>
      </w:r>
      <w:r>
        <w:rPr>
          <w:spacing w:val="-4"/>
          <w:sz w:val="24"/>
        </w:rPr>
        <w:t> </w:t>
      </w:r>
      <w:r>
        <w:rPr>
          <w:sz w:val="24"/>
        </w:rPr>
        <w:t>offered</w:t>
      </w:r>
      <w:r>
        <w:rPr>
          <w:spacing w:val="-4"/>
          <w:sz w:val="24"/>
        </w:rPr>
        <w:t> </w:t>
      </w:r>
      <w:r>
        <w:rPr>
          <w:sz w:val="24"/>
        </w:rPr>
        <w:t>by</w:t>
      </w:r>
      <w:r>
        <w:rPr>
          <w:spacing w:val="-4"/>
          <w:sz w:val="24"/>
        </w:rPr>
        <w:t> </w:t>
      </w:r>
      <w:r>
        <w:rPr>
          <w:sz w:val="24"/>
        </w:rPr>
        <w:t>Career</w:t>
      </w:r>
      <w:r>
        <w:rPr>
          <w:spacing w:val="-2"/>
          <w:sz w:val="24"/>
        </w:rPr>
        <w:t> </w:t>
      </w:r>
      <w:r>
        <w:rPr>
          <w:sz w:val="24"/>
        </w:rPr>
        <w:t>Tech</w:t>
      </w:r>
      <w:r>
        <w:rPr>
          <w:spacing w:val="-4"/>
          <w:sz w:val="24"/>
        </w:rPr>
        <w:t> </w:t>
      </w:r>
      <w:r>
        <w:rPr>
          <w:sz w:val="24"/>
        </w:rPr>
        <w:t>facilities,</w:t>
      </w:r>
      <w:r>
        <w:rPr>
          <w:spacing w:val="-3"/>
          <w:sz w:val="24"/>
        </w:rPr>
        <w:t> </w:t>
      </w:r>
      <w:r>
        <w:rPr>
          <w:sz w:val="24"/>
        </w:rPr>
        <w:t>Oklahoma</w:t>
      </w:r>
      <w:r>
        <w:rPr>
          <w:spacing w:val="-4"/>
          <w:sz w:val="24"/>
        </w:rPr>
        <w:t> </w:t>
      </w:r>
      <w:r>
        <w:rPr>
          <w:sz w:val="24"/>
        </w:rPr>
        <w:t>universities,</w:t>
      </w:r>
      <w:r>
        <w:rPr>
          <w:spacing w:val="-2"/>
          <w:sz w:val="24"/>
        </w:rPr>
        <w:t> </w:t>
      </w:r>
      <w:r>
        <w:rPr>
          <w:spacing w:val="-4"/>
          <w:sz w:val="24"/>
        </w:rPr>
        <w:t>etc.</w:t>
      </w:r>
    </w:p>
    <w:p>
      <w:pPr>
        <w:pStyle w:val="ListParagraph"/>
        <w:numPr>
          <w:ilvl w:val="1"/>
          <w:numId w:val="382"/>
        </w:numPr>
        <w:tabs>
          <w:tab w:pos="1650" w:val="left" w:leader="none"/>
        </w:tabs>
        <w:spacing w:line="240" w:lineRule="auto" w:before="204" w:after="0"/>
        <w:ind w:left="1650" w:right="0" w:hanging="426"/>
        <w:jc w:val="left"/>
        <w:rPr>
          <w:sz w:val="24"/>
        </w:rPr>
      </w:pPr>
      <w:r>
        <w:rPr>
          <w:sz w:val="24"/>
        </w:rPr>
        <w:t>customized</w:t>
      </w:r>
      <w:r>
        <w:rPr>
          <w:spacing w:val="-7"/>
          <w:sz w:val="24"/>
        </w:rPr>
        <w:t> </w:t>
      </w:r>
      <w:r>
        <w:rPr>
          <w:sz w:val="24"/>
        </w:rPr>
        <w:t>training</w:t>
      </w:r>
      <w:r>
        <w:rPr>
          <w:spacing w:val="-4"/>
          <w:sz w:val="24"/>
        </w:rPr>
        <w:t> </w:t>
      </w:r>
      <w:r>
        <w:rPr>
          <w:sz w:val="24"/>
        </w:rPr>
        <w:t>modules</w:t>
      </w:r>
      <w:r>
        <w:rPr>
          <w:spacing w:val="-4"/>
          <w:sz w:val="24"/>
        </w:rPr>
        <w:t> </w:t>
      </w:r>
      <w:r>
        <w:rPr>
          <w:sz w:val="24"/>
        </w:rPr>
        <w:t>to</w:t>
      </w:r>
      <w:r>
        <w:rPr>
          <w:spacing w:val="-4"/>
          <w:sz w:val="24"/>
        </w:rPr>
        <w:t> </w:t>
      </w:r>
      <w:r>
        <w:rPr>
          <w:sz w:val="24"/>
        </w:rPr>
        <w:t>address</w:t>
      </w:r>
      <w:r>
        <w:rPr>
          <w:spacing w:val="-5"/>
          <w:sz w:val="24"/>
        </w:rPr>
        <w:t> </w:t>
      </w:r>
      <w:r>
        <w:rPr>
          <w:sz w:val="24"/>
        </w:rPr>
        <w:t>specific</w:t>
      </w:r>
      <w:r>
        <w:rPr>
          <w:spacing w:val="-4"/>
          <w:sz w:val="24"/>
        </w:rPr>
        <w:t> </w:t>
      </w:r>
      <w:r>
        <w:rPr>
          <w:sz w:val="24"/>
        </w:rPr>
        <w:t>manager</w:t>
      </w:r>
      <w:r>
        <w:rPr>
          <w:spacing w:val="-3"/>
          <w:sz w:val="24"/>
        </w:rPr>
        <w:t> </w:t>
      </w:r>
      <w:r>
        <w:rPr>
          <w:spacing w:val="-2"/>
          <w:sz w:val="24"/>
        </w:rPr>
        <w:t>requests;</w:t>
      </w:r>
    </w:p>
    <w:p>
      <w:pPr>
        <w:pStyle w:val="ListParagraph"/>
        <w:numPr>
          <w:ilvl w:val="1"/>
          <w:numId w:val="382"/>
        </w:numPr>
        <w:tabs>
          <w:tab w:pos="1650" w:val="left" w:leader="none"/>
        </w:tabs>
        <w:spacing w:line="240" w:lineRule="auto" w:before="204" w:after="0"/>
        <w:ind w:left="1650" w:right="0" w:hanging="426"/>
        <w:jc w:val="left"/>
        <w:rPr>
          <w:sz w:val="24"/>
        </w:rPr>
      </w:pPr>
      <w:r>
        <w:rPr>
          <w:sz w:val="24"/>
        </w:rPr>
        <w:t>online</w:t>
      </w:r>
      <w:r>
        <w:rPr>
          <w:spacing w:val="-6"/>
          <w:sz w:val="24"/>
        </w:rPr>
        <w:t> </w:t>
      </w:r>
      <w:r>
        <w:rPr>
          <w:sz w:val="24"/>
        </w:rPr>
        <w:t>training</w:t>
      </w:r>
      <w:r>
        <w:rPr>
          <w:spacing w:val="-5"/>
          <w:sz w:val="24"/>
        </w:rPr>
        <w:t> </w:t>
      </w:r>
      <w:r>
        <w:rPr>
          <w:spacing w:val="-2"/>
          <w:sz w:val="24"/>
        </w:rPr>
        <w:t>courses;</w:t>
      </w:r>
    </w:p>
    <w:p>
      <w:pPr>
        <w:pStyle w:val="ListParagraph"/>
        <w:numPr>
          <w:ilvl w:val="1"/>
          <w:numId w:val="382"/>
        </w:numPr>
        <w:tabs>
          <w:tab w:pos="1582" w:val="left" w:leader="none"/>
        </w:tabs>
        <w:spacing w:line="208" w:lineRule="auto" w:before="234" w:after="0"/>
        <w:ind w:left="1224" w:right="793" w:firstLine="0"/>
        <w:jc w:val="left"/>
        <w:rPr>
          <w:sz w:val="24"/>
        </w:rPr>
      </w:pPr>
      <w:r>
        <w:rPr>
          <w:sz w:val="24"/>
        </w:rPr>
        <w:t>flexible</w:t>
      </w:r>
      <w:r>
        <w:rPr>
          <w:spacing w:val="-3"/>
          <w:sz w:val="24"/>
        </w:rPr>
        <w:t> </w:t>
      </w:r>
      <w:r>
        <w:rPr>
          <w:sz w:val="24"/>
        </w:rPr>
        <w:t>training</w:t>
      </w:r>
      <w:r>
        <w:rPr>
          <w:spacing w:val="-4"/>
          <w:sz w:val="24"/>
        </w:rPr>
        <w:t> </w:t>
      </w:r>
      <w:r>
        <w:rPr>
          <w:sz w:val="24"/>
        </w:rPr>
        <w:t>options</w:t>
      </w:r>
      <w:r>
        <w:rPr>
          <w:spacing w:val="-4"/>
          <w:sz w:val="24"/>
        </w:rPr>
        <w:t> </w:t>
      </w:r>
      <w:r>
        <w:rPr>
          <w:sz w:val="24"/>
        </w:rPr>
        <w:t>with</w:t>
      </w:r>
      <w:r>
        <w:rPr>
          <w:spacing w:val="-4"/>
          <w:sz w:val="24"/>
        </w:rPr>
        <w:t> </w:t>
      </w:r>
      <w:r>
        <w:rPr>
          <w:sz w:val="24"/>
        </w:rPr>
        <w:t>pace</w:t>
      </w:r>
      <w:r>
        <w:rPr>
          <w:spacing w:val="-4"/>
          <w:sz w:val="24"/>
        </w:rPr>
        <w:t> </w:t>
      </w:r>
      <w:r>
        <w:rPr>
          <w:sz w:val="24"/>
        </w:rPr>
        <w:t>and</w:t>
      </w:r>
      <w:r>
        <w:rPr>
          <w:spacing w:val="-4"/>
          <w:sz w:val="24"/>
        </w:rPr>
        <w:t> </w:t>
      </w:r>
      <w:r>
        <w:rPr>
          <w:sz w:val="24"/>
        </w:rPr>
        <w:t>duration</w:t>
      </w:r>
      <w:r>
        <w:rPr>
          <w:spacing w:val="-4"/>
          <w:sz w:val="24"/>
        </w:rPr>
        <w:t> </w:t>
      </w:r>
      <w:r>
        <w:rPr>
          <w:sz w:val="24"/>
        </w:rPr>
        <w:t>based</w:t>
      </w:r>
      <w:r>
        <w:rPr>
          <w:spacing w:val="-4"/>
          <w:sz w:val="24"/>
        </w:rPr>
        <w:t> </w:t>
      </w:r>
      <w:r>
        <w:rPr>
          <w:sz w:val="24"/>
        </w:rPr>
        <w:t>on</w:t>
      </w:r>
      <w:r>
        <w:rPr>
          <w:spacing w:val="-4"/>
          <w:sz w:val="24"/>
        </w:rPr>
        <w:t> </w:t>
      </w:r>
      <w:r>
        <w:rPr>
          <w:sz w:val="24"/>
        </w:rPr>
        <w:t>individual</w:t>
      </w:r>
      <w:r>
        <w:rPr>
          <w:spacing w:val="-4"/>
          <w:sz w:val="24"/>
        </w:rPr>
        <w:t> </w:t>
      </w:r>
      <w:r>
        <w:rPr>
          <w:sz w:val="24"/>
        </w:rPr>
        <w:t>manager </w:t>
      </w:r>
      <w:r>
        <w:rPr>
          <w:spacing w:val="-2"/>
          <w:sz w:val="24"/>
        </w:rPr>
        <w:t>preferences;</w:t>
      </w:r>
    </w:p>
    <w:p>
      <w:pPr>
        <w:pStyle w:val="ListParagraph"/>
        <w:numPr>
          <w:ilvl w:val="1"/>
          <w:numId w:val="382"/>
        </w:numPr>
        <w:tabs>
          <w:tab w:pos="1650" w:val="left" w:leader="none"/>
        </w:tabs>
        <w:spacing w:line="240" w:lineRule="auto" w:before="210" w:after="0"/>
        <w:ind w:left="1650" w:right="0" w:hanging="426"/>
        <w:jc w:val="left"/>
        <w:rPr>
          <w:sz w:val="24"/>
        </w:rPr>
      </w:pPr>
      <w:r>
        <w:rPr>
          <w:sz w:val="24"/>
        </w:rPr>
        <w:t>opportunity</w:t>
      </w:r>
      <w:r>
        <w:rPr>
          <w:spacing w:val="-4"/>
          <w:sz w:val="24"/>
        </w:rPr>
        <w:t> </w:t>
      </w:r>
      <w:r>
        <w:rPr>
          <w:sz w:val="24"/>
        </w:rPr>
        <w:t>for</w:t>
      </w:r>
      <w:r>
        <w:rPr>
          <w:spacing w:val="-3"/>
          <w:sz w:val="24"/>
        </w:rPr>
        <w:t> </w:t>
      </w:r>
      <w:r>
        <w:rPr>
          <w:sz w:val="24"/>
        </w:rPr>
        <w:t>an</w:t>
      </w:r>
      <w:r>
        <w:rPr>
          <w:spacing w:val="-5"/>
          <w:sz w:val="24"/>
        </w:rPr>
        <w:t> </w:t>
      </w:r>
      <w:r>
        <w:rPr>
          <w:sz w:val="24"/>
        </w:rPr>
        <w:t>annual</w:t>
      </w:r>
      <w:r>
        <w:rPr>
          <w:spacing w:val="-4"/>
          <w:sz w:val="24"/>
        </w:rPr>
        <w:t> </w:t>
      </w:r>
      <w:r>
        <w:rPr>
          <w:sz w:val="24"/>
        </w:rPr>
        <w:t>training</w:t>
      </w:r>
      <w:r>
        <w:rPr>
          <w:spacing w:val="-3"/>
          <w:sz w:val="24"/>
        </w:rPr>
        <w:t> </w:t>
      </w:r>
      <w:r>
        <w:rPr>
          <w:spacing w:val="-2"/>
          <w:sz w:val="24"/>
        </w:rPr>
        <w:t>conference.</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7-1-05</w:t>
      </w:r>
      <w:r>
        <w:rPr>
          <w:sz w:val="22"/>
        </w:rPr>
        <w:tab/>
        <w:t>PT Memo #06-01</w:t>
      </w:r>
    </w:p>
    <w:p>
      <w:pPr>
        <w:tabs>
          <w:tab w:pos="1439" w:val="left" w:leader="none"/>
        </w:tabs>
        <w:spacing w:before="0"/>
        <w:ind w:left="360" w:right="4657" w:firstLine="1080"/>
        <w:jc w:val="left"/>
        <w:rPr>
          <w:sz w:val="22"/>
        </w:rPr>
      </w:pPr>
      <w:r>
        <w:rPr>
          <w:sz w:val="22"/>
        </w:rPr>
        <w:t>Permanent,</w:t>
      </w:r>
      <w:r>
        <w:rPr>
          <w:spacing w:val="-9"/>
          <w:sz w:val="22"/>
        </w:rPr>
        <w:t> </w:t>
      </w:r>
      <w:r>
        <w:rPr>
          <w:sz w:val="22"/>
        </w:rPr>
        <w:t>removed</w:t>
      </w:r>
      <w:r>
        <w:rPr>
          <w:spacing w:val="-10"/>
          <w:sz w:val="22"/>
        </w:rPr>
        <w:t> </w:t>
      </w:r>
      <w:r>
        <w:rPr>
          <w:sz w:val="22"/>
        </w:rPr>
        <w:t>procedures</w:t>
      </w:r>
      <w:r>
        <w:rPr>
          <w:spacing w:val="-10"/>
          <w:sz w:val="22"/>
        </w:rPr>
        <w:t> </w:t>
      </w:r>
      <w:r>
        <w:rPr>
          <w:sz w:val="22"/>
        </w:rPr>
        <w:t>from</w:t>
      </w:r>
      <w:r>
        <w:rPr>
          <w:spacing w:val="-11"/>
          <w:sz w:val="22"/>
        </w:rPr>
        <w:t> </w:t>
      </w:r>
      <w:r>
        <w:rPr>
          <w:sz w:val="22"/>
        </w:rPr>
        <w:t>policy </w:t>
      </w:r>
      <w:r>
        <w:rPr>
          <w:spacing w:val="-2"/>
          <w:sz w:val="22"/>
        </w:rPr>
        <w:t>7-1-12</w:t>
      </w:r>
      <w:r>
        <w:rPr>
          <w:sz w:val="22"/>
        </w:rPr>
        <w:tab/>
        <w:t>Permanent, updated language due to audit</w:t>
      </w:r>
    </w:p>
    <w:p>
      <w:pPr>
        <w:spacing w:before="1"/>
        <w:ind w:left="1439" w:right="0" w:firstLine="0"/>
        <w:jc w:val="left"/>
        <w:rPr>
          <w:sz w:val="22"/>
        </w:rPr>
      </w:pPr>
      <w:r>
        <w:rPr>
          <w:sz w:val="22"/>
        </w:rPr>
        <w:t>Updated</w:t>
      </w:r>
      <w:r>
        <w:rPr>
          <w:spacing w:val="-8"/>
          <w:sz w:val="22"/>
        </w:rPr>
        <w:t> </w:t>
      </w:r>
      <w:r>
        <w:rPr>
          <w:sz w:val="22"/>
        </w:rPr>
        <w:t>Instructions</w:t>
      </w:r>
      <w:r>
        <w:rPr>
          <w:spacing w:val="-8"/>
          <w:sz w:val="22"/>
        </w:rPr>
        <w:t> </w:t>
      </w:r>
      <w:r>
        <w:rPr>
          <w:sz w:val="22"/>
        </w:rPr>
        <w:t>to</w:t>
      </w:r>
      <w:r>
        <w:rPr>
          <w:spacing w:val="-8"/>
          <w:sz w:val="22"/>
        </w:rPr>
        <w:t> </w:t>
      </w:r>
      <w:r>
        <w:rPr>
          <w:spacing w:val="-2"/>
          <w:sz w:val="22"/>
        </w:rPr>
        <w:t>Staff</w:t>
      </w:r>
    </w:p>
    <w:p>
      <w:pPr>
        <w:tabs>
          <w:tab w:pos="1439" w:val="left" w:leader="none"/>
        </w:tabs>
        <w:spacing w:before="0"/>
        <w:ind w:left="360" w:right="4888" w:firstLine="0"/>
        <w:jc w:val="left"/>
        <w:rPr>
          <w:sz w:val="22"/>
        </w:rPr>
      </w:pPr>
      <w:r>
        <w:rPr>
          <w:spacing w:val="-2"/>
          <w:sz w:val="22"/>
        </w:rPr>
        <w:t>9-12-14</w:t>
      </w:r>
      <w:r>
        <w:rPr>
          <w:sz w:val="22"/>
        </w:rPr>
        <w:tab/>
        <w:t>Updated</w:t>
      </w:r>
      <w:r>
        <w:rPr>
          <w:spacing w:val="-6"/>
          <w:sz w:val="22"/>
        </w:rPr>
        <w:t> </w:t>
      </w:r>
      <w:r>
        <w:rPr>
          <w:sz w:val="22"/>
        </w:rPr>
        <w:t>Instructions</w:t>
      </w:r>
      <w:r>
        <w:rPr>
          <w:spacing w:val="-6"/>
          <w:sz w:val="22"/>
        </w:rPr>
        <w:t> </w:t>
      </w:r>
      <w:r>
        <w:rPr>
          <w:sz w:val="22"/>
        </w:rPr>
        <w:t>to</w:t>
      </w:r>
      <w:r>
        <w:rPr>
          <w:spacing w:val="-7"/>
          <w:sz w:val="22"/>
        </w:rPr>
        <w:t> </w:t>
      </w:r>
      <w:r>
        <w:rPr>
          <w:sz w:val="22"/>
        </w:rPr>
        <w:t>Staff</w:t>
      </w:r>
      <w:r>
        <w:rPr>
          <w:spacing w:val="-6"/>
          <w:sz w:val="22"/>
        </w:rPr>
        <w:t> </w:t>
      </w:r>
      <w:r>
        <w:rPr>
          <w:sz w:val="22"/>
        </w:rPr>
        <w:t>to</w:t>
      </w:r>
      <w:r>
        <w:rPr>
          <w:spacing w:val="-6"/>
          <w:sz w:val="22"/>
        </w:rPr>
        <w:t> </w:t>
      </w:r>
      <w:r>
        <w:rPr>
          <w:sz w:val="22"/>
        </w:rPr>
        <w:t>include</w:t>
      </w:r>
      <w:r>
        <w:rPr>
          <w:spacing w:val="-6"/>
          <w:sz w:val="22"/>
        </w:rPr>
        <w:t> </w:t>
      </w:r>
      <w:r>
        <w:rPr>
          <w:sz w:val="22"/>
        </w:rPr>
        <w:t>(g) </w:t>
      </w:r>
      <w:r>
        <w:rPr>
          <w:spacing w:val="-2"/>
          <w:sz w:val="22"/>
        </w:rPr>
        <w:t>9-11-22</w:t>
      </w:r>
      <w:r>
        <w:rPr>
          <w:sz w:val="22"/>
        </w:rPr>
        <w:tab/>
        <w:t>Added ITS #1-2.</w:t>
      </w:r>
    </w:p>
    <w:p>
      <w:pPr>
        <w:spacing w:after="0"/>
        <w:jc w:val="left"/>
        <w:rPr>
          <w:sz w:val="22"/>
        </w:rPr>
        <w:sectPr>
          <w:pgSz w:w="12240" w:h="15840"/>
          <w:pgMar w:top="1340" w:bottom="280" w:left="1080" w:right="720"/>
        </w:sectPr>
      </w:pPr>
    </w:p>
    <w:p>
      <w:pPr>
        <w:pStyle w:val="Heading1"/>
        <w:spacing w:line="208" w:lineRule="auto" w:before="96"/>
        <w:ind w:left="3446" w:right="775" w:hanging="2494"/>
        <w:jc w:val="left"/>
      </w:pPr>
      <w:bookmarkStart w:name="PART 5. STATE LICENSING AGENCY RESPONSIB" w:id="397"/>
      <w:bookmarkEnd w:id="397"/>
      <w:r>
        <w:rPr>
          <w:b w:val="0"/>
        </w:rPr>
      </w:r>
      <w:r>
        <w:rPr/>
        <w:t>PART</w:t>
      </w:r>
      <w:r>
        <w:rPr>
          <w:spacing w:val="-5"/>
        </w:rPr>
        <w:t> </w:t>
      </w:r>
      <w:r>
        <w:rPr/>
        <w:t>5.</w:t>
      </w:r>
      <w:r>
        <w:rPr>
          <w:spacing w:val="-7"/>
        </w:rPr>
        <w:t> </w:t>
      </w:r>
      <w:r>
        <w:rPr/>
        <w:t>STATE</w:t>
      </w:r>
      <w:r>
        <w:rPr>
          <w:spacing w:val="-6"/>
        </w:rPr>
        <w:t> </w:t>
      </w:r>
      <w:r>
        <w:rPr/>
        <w:t>LICENSING</w:t>
      </w:r>
      <w:r>
        <w:rPr>
          <w:spacing w:val="-5"/>
        </w:rPr>
        <w:t> </w:t>
      </w:r>
      <w:r>
        <w:rPr/>
        <w:t>AGENCY</w:t>
      </w:r>
      <w:r>
        <w:rPr>
          <w:spacing w:val="-6"/>
        </w:rPr>
        <w:t> </w:t>
      </w:r>
      <w:r>
        <w:rPr/>
        <w:t>RESPONSIBILITY</w:t>
      </w:r>
      <w:r>
        <w:rPr>
          <w:spacing w:val="-6"/>
        </w:rPr>
        <w:t> </w:t>
      </w:r>
      <w:r>
        <w:rPr/>
        <w:t>FOR</w:t>
      </w:r>
      <w:r>
        <w:rPr>
          <w:spacing w:val="-6"/>
        </w:rPr>
        <w:t> </w:t>
      </w:r>
      <w:r>
        <w:rPr/>
        <w:t>BUSINESS ENTERPRISE OPERATIONS</w:t>
      </w:r>
    </w:p>
    <w:p>
      <w:pPr>
        <w:pStyle w:val="BodyText"/>
        <w:spacing w:before="210"/>
      </w:pPr>
      <w:r>
        <w:rPr>
          <w:spacing w:val="-2"/>
        </w:rPr>
        <w:t>Section</w:t>
      </w:r>
    </w:p>
    <w:p>
      <w:pPr>
        <w:pStyle w:val="BodyText"/>
        <w:tabs>
          <w:tab w:pos="2519" w:val="left" w:leader="none"/>
        </w:tabs>
        <w:spacing w:before="204"/>
      </w:pPr>
      <w:r>
        <w:rPr>
          <w:spacing w:val="-2"/>
        </w:rPr>
        <w:t>612:25-4-</w:t>
      </w:r>
      <w:r>
        <w:rPr>
          <w:spacing w:val="-5"/>
        </w:rPr>
        <w:t>25.</w:t>
      </w:r>
      <w:r>
        <w:rPr/>
        <w:tab/>
        <w:t>Management</w:t>
      </w:r>
      <w:r>
        <w:rPr>
          <w:spacing w:val="-5"/>
        </w:rPr>
        <w:t> </w:t>
      </w:r>
      <w:r>
        <w:rPr/>
        <w:t>of</w:t>
      </w:r>
      <w:r>
        <w:rPr>
          <w:spacing w:val="-2"/>
        </w:rPr>
        <w:t> </w:t>
      </w:r>
      <w:r>
        <w:rPr/>
        <w:t>BEP</w:t>
      </w:r>
      <w:r>
        <w:rPr>
          <w:spacing w:val="-4"/>
        </w:rPr>
        <w:t> </w:t>
      </w:r>
      <w:r>
        <w:rPr/>
        <w:t>equipment</w:t>
      </w:r>
      <w:r>
        <w:rPr>
          <w:spacing w:val="-2"/>
        </w:rPr>
        <w:t> </w:t>
      </w:r>
      <w:r>
        <w:rPr/>
        <w:t>and</w:t>
      </w:r>
      <w:r>
        <w:rPr>
          <w:spacing w:val="-3"/>
        </w:rPr>
        <w:t> </w:t>
      </w:r>
      <w:r>
        <w:rPr>
          <w:spacing w:val="-2"/>
        </w:rPr>
        <w:t>fixtures</w:t>
      </w:r>
    </w:p>
    <w:p>
      <w:pPr>
        <w:pStyle w:val="BodyText"/>
        <w:tabs>
          <w:tab w:pos="2519" w:val="left" w:leader="none"/>
        </w:tabs>
        <w:spacing w:line="417" w:lineRule="auto" w:before="204"/>
        <w:ind w:left="359" w:right="1087"/>
      </w:pPr>
      <w:r>
        <w:rPr>
          <w:spacing w:val="-2"/>
        </w:rPr>
        <w:t>612:25-4-26.</w:t>
      </w:r>
      <w:r>
        <w:rPr/>
        <w:tab/>
        <w:t>Maintenance</w:t>
      </w:r>
      <w:r>
        <w:rPr>
          <w:spacing w:val="-7"/>
        </w:rPr>
        <w:t> </w:t>
      </w:r>
      <w:r>
        <w:rPr/>
        <w:t>and</w:t>
      </w:r>
      <w:r>
        <w:rPr>
          <w:spacing w:val="-7"/>
        </w:rPr>
        <w:t> </w:t>
      </w:r>
      <w:r>
        <w:rPr/>
        <w:t>replacement</w:t>
      </w:r>
      <w:r>
        <w:rPr>
          <w:spacing w:val="-6"/>
        </w:rPr>
        <w:t> </w:t>
      </w:r>
      <w:r>
        <w:rPr/>
        <w:t>of</w:t>
      </w:r>
      <w:r>
        <w:rPr>
          <w:spacing w:val="-8"/>
        </w:rPr>
        <w:t> </w:t>
      </w:r>
      <w:r>
        <w:rPr/>
        <w:t>business</w:t>
      </w:r>
      <w:r>
        <w:rPr>
          <w:spacing w:val="-7"/>
        </w:rPr>
        <w:t> </w:t>
      </w:r>
      <w:r>
        <w:rPr/>
        <w:t>enterprise</w:t>
      </w:r>
      <w:r>
        <w:rPr>
          <w:spacing w:val="-7"/>
        </w:rPr>
        <w:t> </w:t>
      </w:r>
      <w:r>
        <w:rPr/>
        <w:t>equipment </w:t>
      </w:r>
      <w:r>
        <w:rPr>
          <w:spacing w:val="-2"/>
        </w:rPr>
        <w:t>612:25-4-27.</w:t>
      </w:r>
      <w:r>
        <w:rPr/>
        <w:tab/>
        <w:t>Initial inventory and supplies</w:t>
      </w:r>
    </w:p>
    <w:p>
      <w:pPr>
        <w:pStyle w:val="BodyText"/>
        <w:spacing w:after="0" w:line="417" w:lineRule="auto"/>
        <w:sectPr>
          <w:pgSz w:w="12240" w:h="15840"/>
          <w:pgMar w:top="1340" w:bottom="280" w:left="1080" w:right="720"/>
        </w:sectPr>
      </w:pPr>
    </w:p>
    <w:p>
      <w:pPr>
        <w:pStyle w:val="Heading2"/>
      </w:pPr>
      <w:bookmarkStart w:name="612:25-4-25.  Management of BEP equipmen" w:id="398"/>
      <w:bookmarkEnd w:id="398"/>
      <w:r>
        <w:rPr>
          <w:b w:val="0"/>
        </w:rPr>
      </w:r>
      <w:r>
        <w:rPr/>
        <w:t>612:25-4-25.</w:t>
      </w:r>
      <w:r>
        <w:rPr>
          <w:spacing w:val="57"/>
        </w:rPr>
        <w:t> </w:t>
      </w:r>
      <w:r>
        <w:rPr/>
        <w:t>Management</w:t>
      </w:r>
      <w:r>
        <w:rPr>
          <w:spacing w:val="-2"/>
        </w:rPr>
        <w:t> </w:t>
      </w:r>
      <w:r>
        <w:rPr/>
        <w:t>of</w:t>
      </w:r>
      <w:r>
        <w:rPr>
          <w:spacing w:val="-3"/>
        </w:rPr>
        <w:t> </w:t>
      </w:r>
      <w:r>
        <w:rPr/>
        <w:t>BEP</w:t>
      </w:r>
      <w:r>
        <w:rPr>
          <w:spacing w:val="-3"/>
        </w:rPr>
        <w:t> </w:t>
      </w:r>
      <w:r>
        <w:rPr/>
        <w:t>equipment</w:t>
      </w:r>
      <w:r>
        <w:rPr>
          <w:spacing w:val="-3"/>
        </w:rPr>
        <w:t> </w:t>
      </w:r>
      <w:r>
        <w:rPr/>
        <w:t>and</w:t>
      </w:r>
      <w:r>
        <w:rPr>
          <w:spacing w:val="-3"/>
        </w:rPr>
        <w:t> </w:t>
      </w:r>
      <w:r>
        <w:rPr>
          <w:spacing w:val="-2"/>
        </w:rPr>
        <w:t>fixtures</w:t>
      </w:r>
    </w:p>
    <w:p>
      <w:pPr>
        <w:pStyle w:val="ListParagraph"/>
        <w:numPr>
          <w:ilvl w:val="0"/>
          <w:numId w:val="383"/>
        </w:numPr>
        <w:tabs>
          <w:tab w:pos="786" w:val="left" w:leader="none"/>
        </w:tabs>
        <w:spacing w:line="208" w:lineRule="auto" w:before="233" w:after="0"/>
        <w:ind w:left="360" w:right="727" w:firstLine="0"/>
        <w:jc w:val="left"/>
        <w:rPr>
          <w:sz w:val="24"/>
        </w:rPr>
      </w:pPr>
      <w:r>
        <w:rPr>
          <w:sz w:val="24"/>
        </w:rPr>
        <w:t>The SLA will provide each business enterprise with fixtures and equipment in such quantity and quality so as to give reasonable assurance of successful operation by the licensed</w:t>
      </w:r>
      <w:r>
        <w:rPr>
          <w:spacing w:val="-3"/>
          <w:sz w:val="24"/>
        </w:rPr>
        <w:t> </w:t>
      </w:r>
      <w:r>
        <w:rPr>
          <w:sz w:val="24"/>
        </w:rPr>
        <w:t>manager.</w:t>
      </w:r>
      <w:r>
        <w:rPr>
          <w:spacing w:val="-2"/>
          <w:sz w:val="24"/>
        </w:rPr>
        <w:t> </w:t>
      </w:r>
      <w:r>
        <w:rPr>
          <w:sz w:val="24"/>
        </w:rPr>
        <w:t>The</w:t>
      </w:r>
      <w:r>
        <w:rPr>
          <w:spacing w:val="-3"/>
          <w:sz w:val="24"/>
        </w:rPr>
        <w:t> </w:t>
      </w:r>
      <w:r>
        <w:rPr>
          <w:sz w:val="24"/>
        </w:rPr>
        <w:t>SLA</w:t>
      </w:r>
      <w:r>
        <w:rPr>
          <w:spacing w:val="-3"/>
          <w:sz w:val="24"/>
        </w:rPr>
        <w:t> </w:t>
      </w:r>
      <w:r>
        <w:rPr>
          <w:sz w:val="24"/>
        </w:rPr>
        <w:t>retains</w:t>
      </w:r>
      <w:r>
        <w:rPr>
          <w:spacing w:val="-3"/>
          <w:sz w:val="24"/>
        </w:rPr>
        <w:t> </w:t>
      </w:r>
      <w:r>
        <w:rPr>
          <w:sz w:val="24"/>
        </w:rPr>
        <w:t>the</w:t>
      </w:r>
      <w:r>
        <w:rPr>
          <w:spacing w:val="-3"/>
          <w:sz w:val="24"/>
        </w:rPr>
        <w:t> </w:t>
      </w:r>
      <w:r>
        <w:rPr>
          <w:sz w:val="24"/>
        </w:rPr>
        <w:t>right,</w:t>
      </w:r>
      <w:r>
        <w:rPr>
          <w:spacing w:val="-2"/>
          <w:sz w:val="24"/>
        </w:rPr>
        <w:t> </w:t>
      </w:r>
      <w:r>
        <w:rPr>
          <w:sz w:val="24"/>
        </w:rPr>
        <w:t>title,</w:t>
      </w:r>
      <w:r>
        <w:rPr>
          <w:spacing w:val="-4"/>
          <w:sz w:val="24"/>
        </w:rPr>
        <w:t> </w:t>
      </w:r>
      <w:r>
        <w:rPr>
          <w:sz w:val="24"/>
        </w:rPr>
        <w:t>and</w:t>
      </w:r>
      <w:r>
        <w:rPr>
          <w:spacing w:val="-3"/>
          <w:sz w:val="24"/>
        </w:rPr>
        <w:t> </w:t>
      </w:r>
      <w:r>
        <w:rPr>
          <w:sz w:val="24"/>
        </w:rPr>
        <w:t>interest</w:t>
      </w:r>
      <w:r>
        <w:rPr>
          <w:spacing w:val="-2"/>
          <w:sz w:val="24"/>
        </w:rPr>
        <w:t> </w:t>
      </w:r>
      <w:r>
        <w:rPr>
          <w:sz w:val="24"/>
        </w:rPr>
        <w:t>to</w:t>
      </w:r>
      <w:r>
        <w:rPr>
          <w:spacing w:val="-4"/>
          <w:sz w:val="24"/>
        </w:rPr>
        <w:t> </w:t>
      </w:r>
      <w:r>
        <w:rPr>
          <w:sz w:val="24"/>
        </w:rPr>
        <w:t>all</w:t>
      </w:r>
      <w:r>
        <w:rPr>
          <w:spacing w:val="-3"/>
          <w:sz w:val="24"/>
        </w:rPr>
        <w:t> </w:t>
      </w:r>
      <w:r>
        <w:rPr>
          <w:sz w:val="24"/>
        </w:rPr>
        <w:t>BEP</w:t>
      </w:r>
      <w:r>
        <w:rPr>
          <w:spacing w:val="-3"/>
          <w:sz w:val="24"/>
        </w:rPr>
        <w:t> </w:t>
      </w:r>
      <w:r>
        <w:rPr>
          <w:sz w:val="24"/>
        </w:rPr>
        <w:t>equipment</w:t>
      </w:r>
      <w:r>
        <w:rPr>
          <w:spacing w:val="-2"/>
          <w:sz w:val="24"/>
        </w:rPr>
        <w:t> </w:t>
      </w:r>
      <w:r>
        <w:rPr>
          <w:sz w:val="24"/>
        </w:rPr>
        <w:t>and fixtures. The SLA has the authority to direct, control, transfer and dispose of such equipment as it deems necessary. All capital equipment is purchased, inventoried, and disposed of in accordance with Department of Rehabilitation Services policy.</w:t>
      </w:r>
    </w:p>
    <w:p>
      <w:pPr>
        <w:pStyle w:val="ListParagraph"/>
        <w:numPr>
          <w:ilvl w:val="0"/>
          <w:numId w:val="383"/>
        </w:numPr>
        <w:tabs>
          <w:tab w:pos="786" w:val="left" w:leader="none"/>
        </w:tabs>
        <w:spacing w:line="208" w:lineRule="auto" w:before="239" w:after="0"/>
        <w:ind w:left="360" w:right="807" w:firstLine="0"/>
        <w:jc w:val="left"/>
        <w:rPr>
          <w:sz w:val="24"/>
        </w:rPr>
      </w:pPr>
      <w:r>
        <w:rPr>
          <w:sz w:val="24"/>
        </w:rPr>
        <w:t>Equipment</w:t>
      </w:r>
      <w:r>
        <w:rPr>
          <w:spacing w:val="-3"/>
          <w:sz w:val="24"/>
        </w:rPr>
        <w:t> </w:t>
      </w:r>
      <w:r>
        <w:rPr>
          <w:sz w:val="24"/>
        </w:rPr>
        <w:t>for</w:t>
      </w:r>
      <w:r>
        <w:rPr>
          <w:spacing w:val="-5"/>
          <w:sz w:val="24"/>
        </w:rPr>
        <w:t> </w:t>
      </w:r>
      <w:r>
        <w:rPr>
          <w:sz w:val="24"/>
        </w:rPr>
        <w:t>new</w:t>
      </w:r>
      <w:r>
        <w:rPr>
          <w:spacing w:val="-4"/>
          <w:sz w:val="24"/>
        </w:rPr>
        <w:t> </w:t>
      </w:r>
      <w:r>
        <w:rPr>
          <w:sz w:val="24"/>
        </w:rPr>
        <w:t>locations</w:t>
      </w:r>
      <w:r>
        <w:rPr>
          <w:spacing w:val="-3"/>
          <w:sz w:val="24"/>
        </w:rPr>
        <w:t> </w:t>
      </w:r>
      <w:r>
        <w:rPr>
          <w:sz w:val="24"/>
        </w:rPr>
        <w:t>will</w:t>
      </w:r>
      <w:r>
        <w:rPr>
          <w:spacing w:val="-4"/>
          <w:sz w:val="24"/>
        </w:rPr>
        <w:t> </w:t>
      </w:r>
      <w:r>
        <w:rPr>
          <w:sz w:val="24"/>
        </w:rPr>
        <w:t>be</w:t>
      </w:r>
      <w:r>
        <w:rPr>
          <w:spacing w:val="-4"/>
          <w:sz w:val="24"/>
        </w:rPr>
        <w:t> </w:t>
      </w:r>
      <w:r>
        <w:rPr>
          <w:sz w:val="24"/>
        </w:rPr>
        <w:t>determined</w:t>
      </w:r>
      <w:r>
        <w:rPr>
          <w:spacing w:val="-4"/>
          <w:sz w:val="24"/>
        </w:rPr>
        <w:t> </w:t>
      </w:r>
      <w:r>
        <w:rPr>
          <w:sz w:val="24"/>
        </w:rPr>
        <w:t>by</w:t>
      </w:r>
      <w:r>
        <w:rPr>
          <w:spacing w:val="-4"/>
          <w:sz w:val="24"/>
        </w:rPr>
        <w:t> </w:t>
      </w:r>
      <w:r>
        <w:rPr>
          <w:sz w:val="24"/>
        </w:rPr>
        <w:t>the</w:t>
      </w:r>
      <w:r>
        <w:rPr>
          <w:spacing w:val="-4"/>
          <w:sz w:val="24"/>
        </w:rPr>
        <w:t> </w:t>
      </w:r>
      <w:r>
        <w:rPr>
          <w:sz w:val="24"/>
        </w:rPr>
        <w:t>BEP</w:t>
      </w:r>
      <w:r>
        <w:rPr>
          <w:spacing w:val="-4"/>
          <w:sz w:val="24"/>
        </w:rPr>
        <w:t> </w:t>
      </w:r>
      <w:r>
        <w:rPr>
          <w:sz w:val="24"/>
        </w:rPr>
        <w:t>Operations</w:t>
      </w:r>
      <w:r>
        <w:rPr>
          <w:spacing w:val="-4"/>
          <w:sz w:val="24"/>
        </w:rPr>
        <w:t> </w:t>
      </w:r>
      <w:r>
        <w:rPr>
          <w:sz w:val="24"/>
        </w:rPr>
        <w:t>Coordinator and staff pursuant to 612:25-6-16 Criteria to establish a business enterprise.</w:t>
      </w:r>
    </w:p>
    <w:p>
      <w:pPr>
        <w:pStyle w:val="ListParagraph"/>
        <w:numPr>
          <w:ilvl w:val="0"/>
          <w:numId w:val="383"/>
        </w:numPr>
        <w:tabs>
          <w:tab w:pos="773" w:val="left" w:leader="none"/>
        </w:tabs>
        <w:spacing w:line="208" w:lineRule="auto" w:before="240" w:after="0"/>
        <w:ind w:left="360" w:right="938" w:firstLine="0"/>
        <w:jc w:val="left"/>
        <w:rPr>
          <w:sz w:val="24"/>
        </w:rPr>
      </w:pPr>
      <w:r>
        <w:rPr>
          <w:sz w:val="24"/>
        </w:rPr>
        <w:t>The licensed manager may make additions, deletions or modifications to the business</w:t>
      </w:r>
      <w:r>
        <w:rPr>
          <w:spacing w:val="-4"/>
          <w:sz w:val="24"/>
        </w:rPr>
        <w:t> </w:t>
      </w:r>
      <w:r>
        <w:rPr>
          <w:sz w:val="24"/>
        </w:rPr>
        <w:t>enterprise</w:t>
      </w:r>
      <w:r>
        <w:rPr>
          <w:spacing w:val="-4"/>
          <w:sz w:val="24"/>
        </w:rPr>
        <w:t> </w:t>
      </w:r>
      <w:r>
        <w:rPr>
          <w:sz w:val="24"/>
        </w:rPr>
        <w:t>and</w:t>
      </w:r>
      <w:r>
        <w:rPr>
          <w:spacing w:val="-4"/>
          <w:sz w:val="24"/>
        </w:rPr>
        <w:t> </w:t>
      </w:r>
      <w:r>
        <w:rPr>
          <w:sz w:val="24"/>
        </w:rPr>
        <w:t>its</w:t>
      </w:r>
      <w:r>
        <w:rPr>
          <w:spacing w:val="-4"/>
          <w:sz w:val="24"/>
        </w:rPr>
        <w:t> </w:t>
      </w:r>
      <w:r>
        <w:rPr>
          <w:sz w:val="24"/>
        </w:rPr>
        <w:t>operation,</w:t>
      </w:r>
      <w:r>
        <w:rPr>
          <w:spacing w:val="-3"/>
          <w:sz w:val="24"/>
        </w:rPr>
        <w:t> </w:t>
      </w:r>
      <w:r>
        <w:rPr>
          <w:sz w:val="24"/>
        </w:rPr>
        <w:t>in</w:t>
      </w:r>
      <w:r>
        <w:rPr>
          <w:spacing w:val="-4"/>
          <w:sz w:val="24"/>
        </w:rPr>
        <w:t> </w:t>
      </w:r>
      <w:r>
        <w:rPr>
          <w:sz w:val="24"/>
        </w:rPr>
        <w:t>the</w:t>
      </w:r>
      <w:r>
        <w:rPr>
          <w:spacing w:val="-4"/>
          <w:sz w:val="24"/>
        </w:rPr>
        <w:t> </w:t>
      </w:r>
      <w:r>
        <w:rPr>
          <w:sz w:val="24"/>
        </w:rPr>
        <w:t>form</w:t>
      </w:r>
      <w:r>
        <w:rPr>
          <w:spacing w:val="-5"/>
          <w:sz w:val="24"/>
        </w:rPr>
        <w:t> </w:t>
      </w:r>
      <w:r>
        <w:rPr>
          <w:sz w:val="24"/>
        </w:rPr>
        <w:t>of</w:t>
      </w:r>
      <w:r>
        <w:rPr>
          <w:spacing w:val="-3"/>
          <w:sz w:val="24"/>
        </w:rPr>
        <w:t> </w:t>
      </w:r>
      <w:r>
        <w:rPr>
          <w:sz w:val="24"/>
        </w:rPr>
        <w:t>equipment,</w:t>
      </w:r>
      <w:r>
        <w:rPr>
          <w:spacing w:val="-3"/>
          <w:sz w:val="24"/>
        </w:rPr>
        <w:t> </w:t>
      </w:r>
      <w:r>
        <w:rPr>
          <w:sz w:val="24"/>
        </w:rPr>
        <w:t>fixtures</w:t>
      </w:r>
      <w:r>
        <w:rPr>
          <w:spacing w:val="-4"/>
          <w:sz w:val="24"/>
        </w:rPr>
        <w:t> </w:t>
      </w:r>
      <w:r>
        <w:rPr>
          <w:sz w:val="24"/>
        </w:rPr>
        <w:t>or</w:t>
      </w:r>
      <w:r>
        <w:rPr>
          <w:spacing w:val="-3"/>
          <w:sz w:val="24"/>
        </w:rPr>
        <w:t> </w:t>
      </w:r>
      <w:r>
        <w:rPr>
          <w:sz w:val="24"/>
        </w:rPr>
        <w:t>facilities,</w:t>
      </w:r>
      <w:r>
        <w:rPr>
          <w:spacing w:val="-3"/>
          <w:sz w:val="24"/>
        </w:rPr>
        <w:t> </w:t>
      </w:r>
      <w:r>
        <w:rPr>
          <w:sz w:val="24"/>
        </w:rPr>
        <w:t>by obtaining written authorization from the BEP. The licensed manager may not remove any state-owned equipment from the facility.</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7-1-02</w:t>
      </w:r>
      <w:r>
        <w:rPr>
          <w:sz w:val="22"/>
        </w:rPr>
        <w:tab/>
        <w:t>POL Memo #02-02</w:t>
      </w:r>
    </w:p>
    <w:p>
      <w:pPr>
        <w:spacing w:before="0"/>
        <w:ind w:left="1439" w:right="775" w:firstLine="0"/>
        <w:jc w:val="left"/>
        <w:rPr>
          <w:sz w:val="22"/>
        </w:rPr>
      </w:pPr>
      <w:r>
        <w:rPr>
          <w:sz w:val="22"/>
        </w:rPr>
        <w:t>Permanent,</w:t>
      </w:r>
      <w:r>
        <w:rPr>
          <w:spacing w:val="-4"/>
          <w:sz w:val="22"/>
        </w:rPr>
        <w:t> </w:t>
      </w:r>
      <w:r>
        <w:rPr>
          <w:sz w:val="22"/>
        </w:rPr>
        <w:t>includes</w:t>
      </w:r>
      <w:r>
        <w:rPr>
          <w:spacing w:val="-5"/>
          <w:sz w:val="22"/>
        </w:rPr>
        <w:t> </w:t>
      </w:r>
      <w:r>
        <w:rPr>
          <w:sz w:val="22"/>
        </w:rPr>
        <w:t>ECM</w:t>
      </w:r>
      <w:r>
        <w:rPr>
          <w:spacing w:val="-6"/>
          <w:sz w:val="22"/>
        </w:rPr>
        <w:t> </w:t>
      </w:r>
      <w:r>
        <w:rPr>
          <w:sz w:val="22"/>
        </w:rPr>
        <w:t>member</w:t>
      </w:r>
      <w:r>
        <w:rPr>
          <w:spacing w:val="-5"/>
          <w:sz w:val="22"/>
        </w:rPr>
        <w:t> </w:t>
      </w:r>
      <w:r>
        <w:rPr>
          <w:sz w:val="22"/>
        </w:rPr>
        <w:t>in</w:t>
      </w:r>
      <w:r>
        <w:rPr>
          <w:spacing w:val="-5"/>
          <w:sz w:val="22"/>
        </w:rPr>
        <w:t> </w:t>
      </w:r>
      <w:r>
        <w:rPr>
          <w:sz w:val="22"/>
        </w:rPr>
        <w:t>consultations</w:t>
      </w:r>
      <w:r>
        <w:rPr>
          <w:spacing w:val="-5"/>
          <w:sz w:val="22"/>
        </w:rPr>
        <w:t> </w:t>
      </w:r>
      <w:r>
        <w:rPr>
          <w:sz w:val="22"/>
        </w:rPr>
        <w:t>regarding</w:t>
      </w:r>
      <w:r>
        <w:rPr>
          <w:spacing w:val="-5"/>
          <w:sz w:val="22"/>
        </w:rPr>
        <w:t> </w:t>
      </w:r>
      <w:r>
        <w:rPr>
          <w:sz w:val="22"/>
        </w:rPr>
        <w:t>equipment</w:t>
      </w:r>
      <w:r>
        <w:rPr>
          <w:spacing w:val="-5"/>
          <w:sz w:val="22"/>
        </w:rPr>
        <w:t> </w:t>
      </w:r>
      <w:r>
        <w:rPr>
          <w:sz w:val="22"/>
        </w:rPr>
        <w:t>for</w:t>
      </w:r>
      <w:r>
        <w:rPr>
          <w:spacing w:val="-5"/>
          <w:sz w:val="22"/>
        </w:rPr>
        <w:t> </w:t>
      </w:r>
      <w:r>
        <w:rPr>
          <w:sz w:val="22"/>
        </w:rPr>
        <w:t>new </w:t>
      </w:r>
      <w:r>
        <w:rPr>
          <w:spacing w:val="-2"/>
          <w:sz w:val="22"/>
        </w:rPr>
        <w:t>locations</w:t>
      </w:r>
    </w:p>
    <w:p>
      <w:pPr>
        <w:tabs>
          <w:tab w:pos="1439" w:val="left" w:leader="none"/>
        </w:tabs>
        <w:spacing w:before="0"/>
        <w:ind w:left="359" w:right="0" w:firstLine="0"/>
        <w:jc w:val="left"/>
        <w:rPr>
          <w:sz w:val="22"/>
        </w:rPr>
      </w:pPr>
      <w:r>
        <w:rPr>
          <w:spacing w:val="-2"/>
          <w:sz w:val="22"/>
        </w:rPr>
        <w:t>7-1-</w:t>
      </w:r>
      <w:r>
        <w:rPr>
          <w:spacing w:val="-5"/>
          <w:sz w:val="22"/>
        </w:rPr>
        <w:t>05</w:t>
      </w:r>
      <w:r>
        <w:rPr>
          <w:sz w:val="22"/>
        </w:rPr>
        <w:tab/>
        <w:t>PT</w:t>
      </w:r>
      <w:r>
        <w:rPr>
          <w:spacing w:val="-8"/>
          <w:sz w:val="22"/>
        </w:rPr>
        <w:t> </w:t>
      </w:r>
      <w:r>
        <w:rPr>
          <w:sz w:val="22"/>
        </w:rPr>
        <w:t>Memo</w:t>
      </w:r>
      <w:r>
        <w:rPr>
          <w:spacing w:val="-8"/>
          <w:sz w:val="22"/>
        </w:rPr>
        <w:t> </w:t>
      </w:r>
      <w:r>
        <w:rPr>
          <w:sz w:val="22"/>
        </w:rPr>
        <w:t>#06-</w:t>
      </w:r>
      <w:r>
        <w:rPr>
          <w:spacing w:val="-5"/>
          <w:sz w:val="22"/>
        </w:rPr>
        <w:t>01</w:t>
      </w:r>
    </w:p>
    <w:p>
      <w:pPr>
        <w:tabs>
          <w:tab w:pos="1439" w:val="left" w:leader="none"/>
        </w:tabs>
        <w:spacing w:before="0"/>
        <w:ind w:left="359" w:right="4657" w:firstLine="1080"/>
        <w:jc w:val="left"/>
        <w:rPr>
          <w:sz w:val="22"/>
        </w:rPr>
      </w:pPr>
      <w:r>
        <w:rPr>
          <w:sz w:val="22"/>
        </w:rPr>
        <w:t>Permanent,</w:t>
      </w:r>
      <w:r>
        <w:rPr>
          <w:spacing w:val="-9"/>
          <w:sz w:val="22"/>
        </w:rPr>
        <w:t> </w:t>
      </w:r>
      <w:r>
        <w:rPr>
          <w:sz w:val="22"/>
        </w:rPr>
        <w:t>removed</w:t>
      </w:r>
      <w:r>
        <w:rPr>
          <w:spacing w:val="-10"/>
          <w:sz w:val="22"/>
        </w:rPr>
        <w:t> </w:t>
      </w:r>
      <w:r>
        <w:rPr>
          <w:sz w:val="22"/>
        </w:rPr>
        <w:t>procedures</w:t>
      </w:r>
      <w:r>
        <w:rPr>
          <w:spacing w:val="-10"/>
          <w:sz w:val="22"/>
        </w:rPr>
        <w:t> </w:t>
      </w:r>
      <w:r>
        <w:rPr>
          <w:sz w:val="22"/>
        </w:rPr>
        <w:t>from</w:t>
      </w:r>
      <w:r>
        <w:rPr>
          <w:spacing w:val="-11"/>
          <w:sz w:val="22"/>
        </w:rPr>
        <w:t> </w:t>
      </w:r>
      <w:r>
        <w:rPr>
          <w:sz w:val="22"/>
        </w:rPr>
        <w:t>policy </w:t>
      </w:r>
      <w:r>
        <w:rPr>
          <w:spacing w:val="-2"/>
          <w:sz w:val="22"/>
        </w:rPr>
        <w:t>7-1-12</w:t>
      </w:r>
      <w:r>
        <w:rPr>
          <w:sz w:val="22"/>
        </w:rPr>
        <w:tab/>
        <w:t>Permanent, updated language due to audit</w:t>
      </w:r>
    </w:p>
    <w:p>
      <w:pPr>
        <w:tabs>
          <w:tab w:pos="1439" w:val="left" w:leader="none"/>
        </w:tabs>
        <w:spacing w:before="0"/>
        <w:ind w:left="1439" w:right="1772" w:hanging="1080"/>
        <w:jc w:val="left"/>
        <w:rPr>
          <w:sz w:val="22"/>
        </w:rPr>
      </w:pPr>
      <w:r>
        <w:rPr>
          <w:spacing w:val="-2"/>
          <w:sz w:val="22"/>
        </w:rPr>
        <w:t>9-11-22</w:t>
      </w:r>
      <w:r>
        <w:rPr>
          <w:sz w:val="22"/>
        </w:rPr>
        <w:tab/>
        <w:t>The</w:t>
      </w:r>
      <w:r>
        <w:rPr>
          <w:spacing w:val="-4"/>
          <w:sz w:val="22"/>
        </w:rPr>
        <w:t> </w:t>
      </w:r>
      <w:r>
        <w:rPr>
          <w:sz w:val="22"/>
        </w:rPr>
        <w:t>proposed</w:t>
      </w:r>
      <w:r>
        <w:rPr>
          <w:spacing w:val="-4"/>
          <w:sz w:val="22"/>
        </w:rPr>
        <w:t> </w:t>
      </w:r>
      <w:r>
        <w:rPr>
          <w:sz w:val="22"/>
        </w:rPr>
        <w:t>rule</w:t>
      </w:r>
      <w:r>
        <w:rPr>
          <w:spacing w:val="-4"/>
          <w:sz w:val="22"/>
        </w:rPr>
        <w:t> </w:t>
      </w:r>
      <w:r>
        <w:rPr>
          <w:sz w:val="22"/>
        </w:rPr>
        <w:t>revisions</w:t>
      </w:r>
      <w:r>
        <w:rPr>
          <w:spacing w:val="-4"/>
          <w:sz w:val="22"/>
        </w:rPr>
        <w:t> </w:t>
      </w:r>
      <w:r>
        <w:rPr>
          <w:sz w:val="22"/>
        </w:rPr>
        <w:t>adds</w:t>
      </w:r>
      <w:r>
        <w:rPr>
          <w:spacing w:val="-5"/>
          <w:sz w:val="22"/>
        </w:rPr>
        <w:t> </w:t>
      </w:r>
      <w:r>
        <w:rPr>
          <w:sz w:val="22"/>
        </w:rPr>
        <w:t>language</w:t>
      </w:r>
      <w:r>
        <w:rPr>
          <w:spacing w:val="-4"/>
          <w:sz w:val="22"/>
        </w:rPr>
        <w:t> </w:t>
      </w:r>
      <w:r>
        <w:rPr>
          <w:sz w:val="22"/>
        </w:rPr>
        <w:t>criteria</w:t>
      </w:r>
      <w:r>
        <w:rPr>
          <w:spacing w:val="-4"/>
          <w:sz w:val="22"/>
        </w:rPr>
        <w:t> </w:t>
      </w:r>
      <w:r>
        <w:rPr>
          <w:sz w:val="22"/>
        </w:rPr>
        <w:t>to</w:t>
      </w:r>
      <w:r>
        <w:rPr>
          <w:spacing w:val="-4"/>
          <w:sz w:val="22"/>
        </w:rPr>
        <w:t> </w:t>
      </w:r>
      <w:r>
        <w:rPr>
          <w:sz w:val="22"/>
        </w:rPr>
        <w:t>establish</w:t>
      </w:r>
      <w:r>
        <w:rPr>
          <w:spacing w:val="-4"/>
          <w:sz w:val="22"/>
        </w:rPr>
        <w:t> </w:t>
      </w:r>
      <w:r>
        <w:rPr>
          <w:sz w:val="22"/>
        </w:rPr>
        <w:t>a</w:t>
      </w:r>
      <w:r>
        <w:rPr>
          <w:spacing w:val="-4"/>
          <w:sz w:val="22"/>
        </w:rPr>
        <w:t> </w:t>
      </w:r>
      <w:r>
        <w:rPr>
          <w:sz w:val="22"/>
        </w:rPr>
        <w:t>business </w:t>
      </w:r>
      <w:r>
        <w:rPr>
          <w:spacing w:val="-2"/>
          <w:sz w:val="22"/>
        </w:rPr>
        <w:t>enterprise.</w:t>
      </w:r>
    </w:p>
    <w:p>
      <w:pPr>
        <w:spacing w:after="0"/>
        <w:jc w:val="left"/>
        <w:rPr>
          <w:sz w:val="22"/>
        </w:rPr>
        <w:sectPr>
          <w:pgSz w:w="12240" w:h="15840"/>
          <w:pgMar w:top="1340" w:bottom="280" w:left="1080" w:right="720"/>
        </w:sectPr>
      </w:pPr>
    </w:p>
    <w:p>
      <w:pPr>
        <w:pStyle w:val="Heading2"/>
      </w:pPr>
      <w:bookmarkStart w:name="612:25-4-26.  Maintenance and replacemen" w:id="399"/>
      <w:bookmarkEnd w:id="399"/>
      <w:r>
        <w:rPr>
          <w:b w:val="0"/>
        </w:rPr>
      </w:r>
      <w:r>
        <w:rPr/>
        <w:t>612:25-4-26.</w:t>
      </w:r>
      <w:r>
        <w:rPr>
          <w:spacing w:val="55"/>
        </w:rPr>
        <w:t> </w:t>
      </w:r>
      <w:r>
        <w:rPr/>
        <w:t>Maintenance</w:t>
      </w:r>
      <w:r>
        <w:rPr>
          <w:spacing w:val="-5"/>
        </w:rPr>
        <w:t> </w:t>
      </w:r>
      <w:r>
        <w:rPr/>
        <w:t>and</w:t>
      </w:r>
      <w:r>
        <w:rPr>
          <w:spacing w:val="-4"/>
        </w:rPr>
        <w:t> </w:t>
      </w:r>
      <w:r>
        <w:rPr/>
        <w:t>replacement</w:t>
      </w:r>
      <w:r>
        <w:rPr>
          <w:spacing w:val="-4"/>
        </w:rPr>
        <w:t> </w:t>
      </w:r>
      <w:r>
        <w:rPr/>
        <w:t>of</w:t>
      </w:r>
      <w:r>
        <w:rPr>
          <w:spacing w:val="-4"/>
        </w:rPr>
        <w:t> </w:t>
      </w:r>
      <w:r>
        <w:rPr/>
        <w:t>business</w:t>
      </w:r>
      <w:r>
        <w:rPr>
          <w:spacing w:val="-5"/>
        </w:rPr>
        <w:t> </w:t>
      </w:r>
      <w:r>
        <w:rPr/>
        <w:t>enterprise</w:t>
      </w:r>
      <w:r>
        <w:rPr>
          <w:spacing w:val="-4"/>
        </w:rPr>
        <w:t> </w:t>
      </w:r>
      <w:r>
        <w:rPr>
          <w:spacing w:val="-2"/>
        </w:rPr>
        <w:t>equipment</w:t>
      </w:r>
    </w:p>
    <w:p>
      <w:pPr>
        <w:pStyle w:val="BodyText"/>
        <w:spacing w:line="208" w:lineRule="auto" w:before="233"/>
        <w:ind w:right="775" w:firstLine="432"/>
        <w:rPr>
          <w:b/>
        </w:rPr>
      </w:pPr>
      <w:r>
        <w:rPr/>
        <w:t>The SLA shall maintain, or cause to be maintained, all business enterprise equipment</w:t>
      </w:r>
      <w:r>
        <w:rPr>
          <w:spacing w:val="-1"/>
        </w:rPr>
        <w:t> </w:t>
      </w:r>
      <w:r>
        <w:rPr/>
        <w:t>in</w:t>
      </w:r>
      <w:r>
        <w:rPr>
          <w:spacing w:val="-3"/>
        </w:rPr>
        <w:t> </w:t>
      </w:r>
      <w:r>
        <w:rPr/>
        <w:t>good</w:t>
      </w:r>
      <w:r>
        <w:rPr>
          <w:spacing w:val="-3"/>
        </w:rPr>
        <w:t> </w:t>
      </w:r>
      <w:r>
        <w:rPr/>
        <w:t>repair</w:t>
      </w:r>
      <w:r>
        <w:rPr>
          <w:spacing w:val="-2"/>
        </w:rPr>
        <w:t> </w:t>
      </w:r>
      <w:r>
        <w:rPr/>
        <w:t>and</w:t>
      </w:r>
      <w:r>
        <w:rPr>
          <w:spacing w:val="-3"/>
        </w:rPr>
        <w:t> </w:t>
      </w:r>
      <w:r>
        <w:rPr/>
        <w:t>in</w:t>
      </w:r>
      <w:r>
        <w:rPr>
          <w:spacing w:val="-3"/>
        </w:rPr>
        <w:t> </w:t>
      </w:r>
      <w:r>
        <w:rPr/>
        <w:t>an</w:t>
      </w:r>
      <w:r>
        <w:rPr>
          <w:spacing w:val="-3"/>
        </w:rPr>
        <w:t> </w:t>
      </w:r>
      <w:r>
        <w:rPr/>
        <w:t>attractive</w:t>
      </w:r>
      <w:r>
        <w:rPr>
          <w:spacing w:val="-4"/>
        </w:rPr>
        <w:t> </w:t>
      </w:r>
      <w:r>
        <w:rPr/>
        <w:t>condition</w:t>
      </w:r>
      <w:r>
        <w:rPr>
          <w:spacing w:val="-3"/>
        </w:rPr>
        <w:t> </w:t>
      </w:r>
      <w:r>
        <w:rPr/>
        <w:t>and</w:t>
      </w:r>
      <w:r>
        <w:rPr>
          <w:spacing w:val="-3"/>
        </w:rPr>
        <w:t> </w:t>
      </w:r>
      <w:r>
        <w:rPr/>
        <w:t>shall</w:t>
      </w:r>
      <w:r>
        <w:rPr>
          <w:spacing w:val="-3"/>
        </w:rPr>
        <w:t> </w:t>
      </w:r>
      <w:r>
        <w:rPr/>
        <w:t>replace</w:t>
      </w:r>
      <w:r>
        <w:rPr>
          <w:spacing w:val="-3"/>
        </w:rPr>
        <w:t> </w:t>
      </w:r>
      <w:r>
        <w:rPr/>
        <w:t>or</w:t>
      </w:r>
      <w:r>
        <w:rPr>
          <w:spacing w:val="-2"/>
        </w:rPr>
        <w:t> </w:t>
      </w:r>
      <w:r>
        <w:rPr/>
        <w:t>cause</w:t>
      </w:r>
      <w:r>
        <w:rPr>
          <w:spacing w:val="-3"/>
        </w:rPr>
        <w:t> </w:t>
      </w:r>
      <w:r>
        <w:rPr/>
        <w:t>to</w:t>
      </w:r>
      <w:r>
        <w:rPr>
          <w:spacing w:val="-3"/>
        </w:rPr>
        <w:t> </w:t>
      </w:r>
      <w:r>
        <w:rPr/>
        <w:t>be replaced worn-out and obsolete equipment as required to ensure the continued successful operation of the business enterprise. </w:t>
      </w:r>
      <w:r>
        <w:rPr>
          <w:b/>
        </w:rPr>
        <w:t>1</w:t>
      </w:r>
    </w:p>
    <w:p>
      <w:pPr>
        <w:pStyle w:val="BodyText"/>
        <w:spacing w:before="210"/>
      </w:pPr>
      <w:r>
        <w:rPr/>
        <w:t>INSTRUCTIONS</w:t>
      </w:r>
      <w:r>
        <w:rPr>
          <w:spacing w:val="-3"/>
        </w:rPr>
        <w:t> </w:t>
      </w:r>
      <w:r>
        <w:rPr/>
        <w:t>TO</w:t>
      </w:r>
      <w:r>
        <w:rPr>
          <w:spacing w:val="-2"/>
        </w:rPr>
        <w:t> </w:t>
      </w:r>
      <w:r>
        <w:rPr>
          <w:spacing w:val="-4"/>
        </w:rPr>
        <w:t>STAFF</w:t>
      </w:r>
    </w:p>
    <w:p>
      <w:pPr>
        <w:pStyle w:val="BodyText"/>
        <w:spacing w:before="204"/>
        <w:ind w:left="792"/>
      </w:pPr>
      <w:r>
        <w:rPr/>
        <w:t>1.</w:t>
      </w:r>
      <w:r>
        <w:rPr>
          <w:spacing w:val="19"/>
        </w:rPr>
        <w:t> </w:t>
      </w:r>
      <w:r>
        <w:rPr/>
        <w:t>Link</w:t>
      </w:r>
      <w:r>
        <w:rPr>
          <w:spacing w:val="-2"/>
        </w:rPr>
        <w:t> </w:t>
      </w:r>
      <w:r>
        <w:rPr/>
        <w:t>to</w:t>
      </w:r>
      <w:r>
        <w:rPr>
          <w:spacing w:val="-1"/>
        </w:rPr>
        <w:t> </w:t>
      </w:r>
      <w:hyperlink r:id="rId91">
        <w:r>
          <w:rPr>
            <w:color w:val="0000FF"/>
            <w:u w:val="single" w:color="0000FF"/>
          </w:rPr>
          <w:t>34</w:t>
        </w:r>
        <w:r>
          <w:rPr>
            <w:color w:val="0000FF"/>
            <w:spacing w:val="-1"/>
            <w:u w:val="single" w:color="0000FF"/>
          </w:rPr>
          <w:t> </w:t>
        </w:r>
        <w:r>
          <w:rPr>
            <w:color w:val="0000FF"/>
            <w:u w:val="single" w:color="0000FF"/>
          </w:rPr>
          <w:t>CFR</w:t>
        </w:r>
        <w:r>
          <w:rPr>
            <w:color w:val="0000FF"/>
            <w:spacing w:val="-1"/>
            <w:u w:val="single" w:color="0000FF"/>
          </w:rPr>
          <w:t> </w:t>
        </w:r>
        <w:r>
          <w:rPr>
            <w:color w:val="0000FF"/>
            <w:spacing w:val="-2"/>
            <w:u w:val="single" w:color="0000FF"/>
          </w:rPr>
          <w:t>395.10</w:t>
        </w:r>
      </w:hyperlink>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7-1-05</w:t>
      </w:r>
      <w:r>
        <w:rPr>
          <w:sz w:val="22"/>
        </w:rPr>
        <w:tab/>
        <w:t>PT Memo #06-01</w:t>
      </w:r>
    </w:p>
    <w:p>
      <w:pPr>
        <w:tabs>
          <w:tab w:pos="1439" w:val="left" w:leader="none"/>
        </w:tabs>
        <w:spacing w:before="0"/>
        <w:ind w:left="360" w:right="4657" w:firstLine="1080"/>
        <w:jc w:val="left"/>
        <w:rPr>
          <w:sz w:val="22"/>
        </w:rPr>
      </w:pPr>
      <w:r>
        <w:rPr>
          <w:sz w:val="22"/>
        </w:rPr>
        <w:t>Permanent,</w:t>
      </w:r>
      <w:r>
        <w:rPr>
          <w:spacing w:val="-9"/>
          <w:sz w:val="22"/>
        </w:rPr>
        <w:t> </w:t>
      </w:r>
      <w:r>
        <w:rPr>
          <w:sz w:val="22"/>
        </w:rPr>
        <w:t>removed</w:t>
      </w:r>
      <w:r>
        <w:rPr>
          <w:spacing w:val="-10"/>
          <w:sz w:val="22"/>
        </w:rPr>
        <w:t> </w:t>
      </w:r>
      <w:r>
        <w:rPr>
          <w:sz w:val="22"/>
        </w:rPr>
        <w:t>procedures</w:t>
      </w:r>
      <w:r>
        <w:rPr>
          <w:spacing w:val="-10"/>
          <w:sz w:val="22"/>
        </w:rPr>
        <w:t> </w:t>
      </w:r>
      <w:r>
        <w:rPr>
          <w:sz w:val="22"/>
        </w:rPr>
        <w:t>from</w:t>
      </w:r>
      <w:r>
        <w:rPr>
          <w:spacing w:val="-11"/>
          <w:sz w:val="22"/>
        </w:rPr>
        <w:t> </w:t>
      </w:r>
      <w:r>
        <w:rPr>
          <w:sz w:val="22"/>
        </w:rPr>
        <w:t>policy </w:t>
      </w:r>
      <w:r>
        <w:rPr>
          <w:spacing w:val="-2"/>
          <w:sz w:val="22"/>
        </w:rPr>
        <w:t>9-11-22</w:t>
      </w:r>
      <w:r>
        <w:rPr>
          <w:sz w:val="22"/>
        </w:rPr>
        <w:tab/>
        <w:t>Added ITS #1.</w:t>
      </w:r>
    </w:p>
    <w:p>
      <w:pPr>
        <w:spacing w:after="0"/>
        <w:jc w:val="left"/>
        <w:rPr>
          <w:sz w:val="22"/>
        </w:rPr>
        <w:sectPr>
          <w:pgSz w:w="12240" w:h="15840"/>
          <w:pgMar w:top="1340" w:bottom="280" w:left="1080" w:right="720"/>
        </w:sectPr>
      </w:pPr>
    </w:p>
    <w:p>
      <w:pPr>
        <w:pStyle w:val="Heading2"/>
      </w:pPr>
      <w:bookmarkStart w:name="612:25-4-27.  Initial inventory and supp" w:id="400"/>
      <w:bookmarkEnd w:id="400"/>
      <w:r>
        <w:rPr>
          <w:b w:val="0"/>
        </w:rPr>
      </w:r>
      <w:bookmarkStart w:name="_bookmark34" w:id="401"/>
      <w:bookmarkEnd w:id="401"/>
      <w:r>
        <w:rPr>
          <w:b w:val="0"/>
        </w:rPr>
      </w:r>
      <w:r>
        <w:rPr/>
        <w:t>612:25-4-27.</w:t>
      </w:r>
      <w:r>
        <w:rPr>
          <w:spacing w:val="59"/>
        </w:rPr>
        <w:t> </w:t>
      </w:r>
      <w:r>
        <w:rPr/>
        <w:t>Initial</w:t>
      </w:r>
      <w:r>
        <w:rPr>
          <w:spacing w:val="-5"/>
        </w:rPr>
        <w:t> </w:t>
      </w:r>
      <w:r>
        <w:rPr/>
        <w:t>inventory</w:t>
      </w:r>
      <w:r>
        <w:rPr>
          <w:spacing w:val="-4"/>
        </w:rPr>
        <w:t> </w:t>
      </w:r>
      <w:r>
        <w:rPr/>
        <w:t>and</w:t>
      </w:r>
      <w:r>
        <w:rPr>
          <w:spacing w:val="-4"/>
        </w:rPr>
        <w:t> </w:t>
      </w:r>
      <w:r>
        <w:rPr>
          <w:spacing w:val="-2"/>
        </w:rPr>
        <w:t>supplies</w:t>
      </w:r>
    </w:p>
    <w:p>
      <w:pPr>
        <w:pStyle w:val="ListParagraph"/>
        <w:numPr>
          <w:ilvl w:val="0"/>
          <w:numId w:val="384"/>
        </w:numPr>
        <w:tabs>
          <w:tab w:pos="785" w:val="left" w:leader="none"/>
        </w:tabs>
        <w:spacing w:line="208" w:lineRule="auto" w:before="233" w:after="0"/>
        <w:ind w:left="360" w:right="742" w:firstLine="0"/>
        <w:jc w:val="left"/>
        <w:rPr>
          <w:sz w:val="24"/>
        </w:rPr>
      </w:pPr>
      <w:r>
        <w:rPr>
          <w:b/>
          <w:sz w:val="24"/>
        </w:rPr>
        <w:t>Initial</w:t>
      </w:r>
      <w:r>
        <w:rPr>
          <w:b/>
          <w:spacing w:val="-5"/>
          <w:sz w:val="24"/>
        </w:rPr>
        <w:t> </w:t>
      </w:r>
      <w:r>
        <w:rPr>
          <w:b/>
          <w:sz w:val="24"/>
        </w:rPr>
        <w:t>inventory.</w:t>
      </w:r>
      <w:r>
        <w:rPr>
          <w:b/>
          <w:spacing w:val="40"/>
          <w:sz w:val="24"/>
        </w:rPr>
        <w:t> </w:t>
      </w:r>
      <w:r>
        <w:rPr>
          <w:sz w:val="24"/>
        </w:rPr>
        <w:t>A</w:t>
      </w:r>
      <w:r>
        <w:rPr>
          <w:spacing w:val="-4"/>
          <w:sz w:val="24"/>
        </w:rPr>
        <w:t> </w:t>
      </w:r>
      <w:r>
        <w:rPr>
          <w:sz w:val="24"/>
        </w:rPr>
        <w:t>licensed</w:t>
      </w:r>
      <w:r>
        <w:rPr>
          <w:spacing w:val="-4"/>
          <w:sz w:val="24"/>
        </w:rPr>
        <w:t> </w:t>
      </w:r>
      <w:r>
        <w:rPr>
          <w:sz w:val="24"/>
        </w:rPr>
        <w:t>manager</w:t>
      </w:r>
      <w:r>
        <w:rPr>
          <w:spacing w:val="-3"/>
          <w:sz w:val="24"/>
        </w:rPr>
        <w:t> </w:t>
      </w:r>
      <w:r>
        <w:rPr>
          <w:sz w:val="24"/>
        </w:rPr>
        <w:t>may</w:t>
      </w:r>
      <w:r>
        <w:rPr>
          <w:spacing w:val="-4"/>
          <w:sz w:val="24"/>
        </w:rPr>
        <w:t> </w:t>
      </w:r>
      <w:r>
        <w:rPr>
          <w:sz w:val="24"/>
        </w:rPr>
        <w:t>acquire</w:t>
      </w:r>
      <w:r>
        <w:rPr>
          <w:spacing w:val="-4"/>
          <w:sz w:val="24"/>
        </w:rPr>
        <w:t> </w:t>
      </w:r>
      <w:r>
        <w:rPr>
          <w:sz w:val="24"/>
        </w:rPr>
        <w:t>initial</w:t>
      </w:r>
      <w:r>
        <w:rPr>
          <w:spacing w:val="-4"/>
          <w:sz w:val="24"/>
        </w:rPr>
        <w:t> </w:t>
      </w:r>
      <w:r>
        <w:rPr>
          <w:sz w:val="24"/>
        </w:rPr>
        <w:t>merchandise</w:t>
      </w:r>
      <w:r>
        <w:rPr>
          <w:spacing w:val="-4"/>
          <w:sz w:val="24"/>
        </w:rPr>
        <w:t> </w:t>
      </w:r>
      <w:r>
        <w:rPr>
          <w:sz w:val="24"/>
        </w:rPr>
        <w:t>for</w:t>
      </w:r>
      <w:r>
        <w:rPr>
          <w:spacing w:val="-3"/>
          <w:sz w:val="24"/>
        </w:rPr>
        <w:t> </w:t>
      </w:r>
      <w:r>
        <w:rPr>
          <w:sz w:val="24"/>
        </w:rPr>
        <w:t>resale</w:t>
      </w:r>
      <w:r>
        <w:rPr>
          <w:spacing w:val="-4"/>
          <w:sz w:val="24"/>
        </w:rPr>
        <w:t> </w:t>
      </w:r>
      <w:r>
        <w:rPr>
          <w:sz w:val="24"/>
        </w:rPr>
        <w:t>by purchasing it with his/her own funds, utilizing start-up assistance/client services that</w:t>
      </w:r>
      <w:r>
        <w:rPr>
          <w:spacing w:val="40"/>
          <w:sz w:val="24"/>
        </w:rPr>
        <w:t> </w:t>
      </w:r>
      <w:r>
        <w:rPr>
          <w:sz w:val="24"/>
        </w:rPr>
        <w:t>may be available from DRS or other public and private sources, or use of a</w:t>
      </w:r>
      <w:r>
        <w:rPr>
          <w:spacing w:val="40"/>
          <w:sz w:val="24"/>
        </w:rPr>
        <w:t> </w:t>
      </w:r>
      <w:r>
        <w:rPr>
          <w:sz w:val="24"/>
        </w:rPr>
        <w:t>merchandise loan provided by the State Licensing Agency (SLA).</w:t>
      </w:r>
      <w:r>
        <w:rPr>
          <w:spacing w:val="40"/>
          <w:sz w:val="24"/>
        </w:rPr>
        <w:t> </w:t>
      </w:r>
      <w:r>
        <w:rPr>
          <w:sz w:val="24"/>
        </w:rPr>
        <w:t>When the SLA provides the manager a merchandise loan for initial merchandise, the manager is not allowed to utilize DRS start-up assistance for same purpose.</w:t>
      </w:r>
    </w:p>
    <w:p>
      <w:pPr>
        <w:pStyle w:val="ListParagraph"/>
        <w:numPr>
          <w:ilvl w:val="0"/>
          <w:numId w:val="384"/>
        </w:numPr>
        <w:tabs>
          <w:tab w:pos="785" w:val="left" w:leader="none"/>
        </w:tabs>
        <w:spacing w:line="208" w:lineRule="auto" w:before="239" w:after="0"/>
        <w:ind w:left="360" w:right="1099" w:firstLine="0"/>
        <w:jc w:val="left"/>
        <w:rPr>
          <w:sz w:val="24"/>
        </w:rPr>
      </w:pPr>
      <w:r>
        <w:rPr>
          <w:b/>
          <w:sz w:val="24"/>
        </w:rPr>
        <w:t>Merchandise loan.</w:t>
      </w:r>
      <w:r>
        <w:rPr>
          <w:b/>
          <w:spacing w:val="40"/>
          <w:sz w:val="24"/>
        </w:rPr>
        <w:t> </w:t>
      </w:r>
      <w:r>
        <w:rPr>
          <w:sz w:val="24"/>
        </w:rPr>
        <w:t>When necessary to enable a licensed manager to acquire initial</w:t>
      </w:r>
      <w:r>
        <w:rPr>
          <w:spacing w:val="-4"/>
          <w:sz w:val="24"/>
        </w:rPr>
        <w:t> </w:t>
      </w:r>
      <w:r>
        <w:rPr>
          <w:sz w:val="24"/>
        </w:rPr>
        <w:t>merchandise</w:t>
      </w:r>
      <w:r>
        <w:rPr>
          <w:spacing w:val="-4"/>
          <w:sz w:val="24"/>
        </w:rPr>
        <w:t> </w:t>
      </w:r>
      <w:r>
        <w:rPr>
          <w:sz w:val="24"/>
        </w:rPr>
        <w:t>inventory,</w:t>
      </w:r>
      <w:r>
        <w:rPr>
          <w:spacing w:val="-3"/>
          <w:sz w:val="24"/>
        </w:rPr>
        <w:t> </w:t>
      </w:r>
      <w:r>
        <w:rPr>
          <w:sz w:val="24"/>
        </w:rPr>
        <w:t>the</w:t>
      </w:r>
      <w:r>
        <w:rPr>
          <w:spacing w:val="-5"/>
          <w:sz w:val="24"/>
        </w:rPr>
        <w:t> </w:t>
      </w:r>
      <w:r>
        <w:rPr>
          <w:sz w:val="24"/>
        </w:rPr>
        <w:t>SLA</w:t>
      </w:r>
      <w:r>
        <w:rPr>
          <w:spacing w:val="-4"/>
          <w:sz w:val="24"/>
        </w:rPr>
        <w:t> </w:t>
      </w:r>
      <w:r>
        <w:rPr>
          <w:sz w:val="24"/>
        </w:rPr>
        <w:t>may</w:t>
      </w:r>
      <w:r>
        <w:rPr>
          <w:spacing w:val="-4"/>
          <w:sz w:val="24"/>
        </w:rPr>
        <w:t> </w:t>
      </w:r>
      <w:r>
        <w:rPr>
          <w:sz w:val="24"/>
        </w:rPr>
        <w:t>extend</w:t>
      </w:r>
      <w:r>
        <w:rPr>
          <w:spacing w:val="-4"/>
          <w:sz w:val="24"/>
        </w:rPr>
        <w:t> </w:t>
      </w:r>
      <w:r>
        <w:rPr>
          <w:sz w:val="24"/>
        </w:rPr>
        <w:t>a</w:t>
      </w:r>
      <w:r>
        <w:rPr>
          <w:spacing w:val="-4"/>
          <w:sz w:val="24"/>
        </w:rPr>
        <w:t> </w:t>
      </w:r>
      <w:r>
        <w:rPr>
          <w:sz w:val="24"/>
        </w:rPr>
        <w:t>merchandise</w:t>
      </w:r>
      <w:r>
        <w:rPr>
          <w:spacing w:val="-4"/>
          <w:sz w:val="24"/>
        </w:rPr>
        <w:t> </w:t>
      </w:r>
      <w:r>
        <w:rPr>
          <w:sz w:val="24"/>
        </w:rPr>
        <w:t>loan</w:t>
      </w:r>
      <w:r>
        <w:rPr>
          <w:spacing w:val="-4"/>
          <w:sz w:val="24"/>
        </w:rPr>
        <w:t> </w:t>
      </w:r>
      <w:r>
        <w:rPr>
          <w:sz w:val="24"/>
        </w:rPr>
        <w:t>subject</w:t>
      </w:r>
      <w:r>
        <w:rPr>
          <w:spacing w:val="-2"/>
          <w:sz w:val="24"/>
        </w:rPr>
        <w:t> </w:t>
      </w:r>
      <w:r>
        <w:rPr>
          <w:sz w:val="24"/>
        </w:rPr>
        <w:t>to</w:t>
      </w:r>
      <w:r>
        <w:rPr>
          <w:spacing w:val="-5"/>
          <w:sz w:val="24"/>
        </w:rPr>
        <w:t> </w:t>
      </w:r>
      <w:r>
        <w:rPr>
          <w:sz w:val="24"/>
        </w:rPr>
        <w:t>the following terms:</w:t>
      </w:r>
    </w:p>
    <w:p>
      <w:pPr>
        <w:pStyle w:val="ListParagraph"/>
        <w:numPr>
          <w:ilvl w:val="1"/>
          <w:numId w:val="384"/>
        </w:numPr>
        <w:tabs>
          <w:tab w:pos="1217" w:val="left" w:leader="none"/>
        </w:tabs>
        <w:spacing w:line="208" w:lineRule="auto" w:before="240" w:after="0"/>
        <w:ind w:left="791" w:right="1012" w:firstLine="0"/>
        <w:jc w:val="left"/>
        <w:rPr>
          <w:sz w:val="24"/>
        </w:rPr>
      </w:pPr>
      <w:r>
        <w:rPr>
          <w:sz w:val="24"/>
        </w:rPr>
        <w:t>The</w:t>
      </w:r>
      <w:r>
        <w:rPr>
          <w:spacing w:val="-3"/>
          <w:sz w:val="24"/>
        </w:rPr>
        <w:t> </w:t>
      </w:r>
      <w:r>
        <w:rPr>
          <w:sz w:val="24"/>
        </w:rPr>
        <w:t>amount</w:t>
      </w:r>
      <w:r>
        <w:rPr>
          <w:spacing w:val="-2"/>
          <w:sz w:val="24"/>
        </w:rPr>
        <w:t> </w:t>
      </w:r>
      <w:r>
        <w:rPr>
          <w:sz w:val="24"/>
        </w:rPr>
        <w:t>of</w:t>
      </w:r>
      <w:r>
        <w:rPr>
          <w:spacing w:val="-4"/>
          <w:sz w:val="24"/>
        </w:rPr>
        <w:t> </w:t>
      </w:r>
      <w:r>
        <w:rPr>
          <w:sz w:val="24"/>
        </w:rPr>
        <w:t>the</w:t>
      </w:r>
      <w:r>
        <w:rPr>
          <w:spacing w:val="-3"/>
          <w:sz w:val="24"/>
        </w:rPr>
        <w:t> </w:t>
      </w:r>
      <w:r>
        <w:rPr>
          <w:sz w:val="24"/>
        </w:rPr>
        <w:t>loan</w:t>
      </w:r>
      <w:r>
        <w:rPr>
          <w:spacing w:val="-3"/>
          <w:sz w:val="24"/>
        </w:rPr>
        <w:t> </w:t>
      </w:r>
      <w:r>
        <w:rPr>
          <w:sz w:val="24"/>
        </w:rPr>
        <w:t>will</w:t>
      </w:r>
      <w:r>
        <w:rPr>
          <w:spacing w:val="-2"/>
          <w:sz w:val="24"/>
        </w:rPr>
        <w:t> </w:t>
      </w:r>
      <w:r>
        <w:rPr>
          <w:sz w:val="24"/>
        </w:rPr>
        <w:t>be</w:t>
      </w:r>
      <w:r>
        <w:rPr>
          <w:spacing w:val="-3"/>
          <w:sz w:val="24"/>
        </w:rPr>
        <w:t> </w:t>
      </w:r>
      <w:r>
        <w:rPr>
          <w:sz w:val="24"/>
        </w:rPr>
        <w:t>determined</w:t>
      </w:r>
      <w:r>
        <w:rPr>
          <w:spacing w:val="-3"/>
          <w:sz w:val="24"/>
        </w:rPr>
        <w:t> </w:t>
      </w:r>
      <w:r>
        <w:rPr>
          <w:sz w:val="24"/>
        </w:rPr>
        <w:t>by</w:t>
      </w:r>
      <w:r>
        <w:rPr>
          <w:spacing w:val="-3"/>
          <w:sz w:val="24"/>
        </w:rPr>
        <w:t> </w:t>
      </w:r>
      <w:r>
        <w:rPr>
          <w:sz w:val="24"/>
        </w:rPr>
        <w:t>the</w:t>
      </w:r>
      <w:r>
        <w:rPr>
          <w:spacing w:val="-3"/>
          <w:sz w:val="24"/>
        </w:rPr>
        <w:t> </w:t>
      </w:r>
      <w:r>
        <w:rPr>
          <w:sz w:val="24"/>
        </w:rPr>
        <w:t>SLA</w:t>
      </w:r>
      <w:r>
        <w:rPr>
          <w:spacing w:val="-3"/>
          <w:sz w:val="24"/>
        </w:rPr>
        <w:t> </w:t>
      </w:r>
      <w:r>
        <w:rPr>
          <w:sz w:val="24"/>
        </w:rPr>
        <w:t>in</w:t>
      </w:r>
      <w:r>
        <w:rPr>
          <w:spacing w:val="-3"/>
          <w:sz w:val="24"/>
        </w:rPr>
        <w:t> </w:t>
      </w:r>
      <w:r>
        <w:rPr>
          <w:sz w:val="24"/>
        </w:rPr>
        <w:t>consultation</w:t>
      </w:r>
      <w:r>
        <w:rPr>
          <w:spacing w:val="-3"/>
          <w:sz w:val="24"/>
        </w:rPr>
        <w:t> </w:t>
      </w:r>
      <w:r>
        <w:rPr>
          <w:sz w:val="24"/>
        </w:rPr>
        <w:t>with</w:t>
      </w:r>
      <w:r>
        <w:rPr>
          <w:spacing w:val="-3"/>
          <w:sz w:val="24"/>
        </w:rPr>
        <w:t> </w:t>
      </w:r>
      <w:r>
        <w:rPr>
          <w:sz w:val="24"/>
        </w:rPr>
        <w:t>the licensed manager and based on an assessment of merchandise necessary to initiate sales and the availability of funds.</w:t>
      </w:r>
    </w:p>
    <w:p>
      <w:pPr>
        <w:pStyle w:val="ListParagraph"/>
        <w:numPr>
          <w:ilvl w:val="1"/>
          <w:numId w:val="384"/>
        </w:numPr>
        <w:tabs>
          <w:tab w:pos="1218" w:val="left" w:leader="none"/>
        </w:tabs>
        <w:spacing w:line="208" w:lineRule="auto" w:before="240" w:after="0"/>
        <w:ind w:left="792" w:right="947" w:firstLine="0"/>
        <w:jc w:val="left"/>
        <w:rPr>
          <w:sz w:val="24"/>
        </w:rPr>
      </w:pPr>
      <w:r>
        <w:rPr>
          <w:sz w:val="24"/>
        </w:rPr>
        <w:t>The total amount of the loan will not exceed the average of the prior year's inventories</w:t>
      </w:r>
      <w:r>
        <w:rPr>
          <w:spacing w:val="-3"/>
          <w:sz w:val="24"/>
        </w:rPr>
        <w:t> </w:t>
      </w:r>
      <w:r>
        <w:rPr>
          <w:sz w:val="24"/>
        </w:rPr>
        <w:t>without</w:t>
      </w:r>
      <w:r>
        <w:rPr>
          <w:spacing w:val="-3"/>
          <w:sz w:val="24"/>
        </w:rPr>
        <w:t> </w:t>
      </w:r>
      <w:r>
        <w:rPr>
          <w:sz w:val="24"/>
        </w:rPr>
        <w:t>approval</w:t>
      </w:r>
      <w:r>
        <w:rPr>
          <w:spacing w:val="-4"/>
          <w:sz w:val="24"/>
        </w:rPr>
        <w:t> </w:t>
      </w:r>
      <w:r>
        <w:rPr>
          <w:sz w:val="24"/>
        </w:rPr>
        <w:t>from</w:t>
      </w:r>
      <w:r>
        <w:rPr>
          <w:spacing w:val="-5"/>
          <w:sz w:val="24"/>
        </w:rPr>
        <w:t> </w:t>
      </w:r>
      <w:r>
        <w:rPr>
          <w:sz w:val="24"/>
        </w:rPr>
        <w:t>the</w:t>
      </w:r>
      <w:r>
        <w:rPr>
          <w:spacing w:val="-4"/>
          <w:sz w:val="24"/>
        </w:rPr>
        <w:t> </w:t>
      </w:r>
      <w:r>
        <w:rPr>
          <w:sz w:val="24"/>
        </w:rPr>
        <w:t>BEP</w:t>
      </w:r>
      <w:r>
        <w:rPr>
          <w:spacing w:val="-4"/>
          <w:sz w:val="24"/>
        </w:rPr>
        <w:t> </w:t>
      </w:r>
      <w:r>
        <w:rPr>
          <w:sz w:val="24"/>
        </w:rPr>
        <w:t>operations</w:t>
      </w:r>
      <w:r>
        <w:rPr>
          <w:spacing w:val="-4"/>
          <w:sz w:val="24"/>
        </w:rPr>
        <w:t> </w:t>
      </w:r>
      <w:r>
        <w:rPr>
          <w:sz w:val="24"/>
        </w:rPr>
        <w:t>coordinator.</w:t>
      </w:r>
      <w:r>
        <w:rPr>
          <w:spacing w:val="-3"/>
          <w:sz w:val="24"/>
        </w:rPr>
        <w:t> </w:t>
      </w:r>
      <w:r>
        <w:rPr>
          <w:sz w:val="24"/>
        </w:rPr>
        <w:t>This</w:t>
      </w:r>
      <w:r>
        <w:rPr>
          <w:spacing w:val="-4"/>
          <w:sz w:val="24"/>
        </w:rPr>
        <w:t> </w:t>
      </w:r>
      <w:r>
        <w:rPr>
          <w:sz w:val="24"/>
        </w:rPr>
        <w:t>means</w:t>
      </w:r>
      <w:r>
        <w:rPr>
          <w:spacing w:val="-4"/>
          <w:sz w:val="24"/>
        </w:rPr>
        <w:t> </w:t>
      </w:r>
      <w:r>
        <w:rPr>
          <w:sz w:val="24"/>
        </w:rPr>
        <w:t>the prior year's inventories will be summed and then divided by twelve to obtain the </w:t>
      </w:r>
      <w:r>
        <w:rPr>
          <w:spacing w:val="-2"/>
          <w:sz w:val="24"/>
        </w:rPr>
        <w:t>average.</w:t>
      </w:r>
    </w:p>
    <w:p>
      <w:pPr>
        <w:pStyle w:val="ListParagraph"/>
        <w:numPr>
          <w:ilvl w:val="1"/>
          <w:numId w:val="384"/>
        </w:numPr>
        <w:tabs>
          <w:tab w:pos="1217" w:val="left" w:leader="none"/>
        </w:tabs>
        <w:spacing w:line="208" w:lineRule="auto" w:before="239" w:after="0"/>
        <w:ind w:left="791" w:right="828" w:firstLine="0"/>
        <w:jc w:val="left"/>
        <w:rPr>
          <w:sz w:val="24"/>
        </w:rPr>
      </w:pPr>
      <w:r>
        <w:rPr>
          <w:sz w:val="24"/>
        </w:rPr>
        <w:t>All merchandise purchased and placed on a merchandise loan must have</w:t>
      </w:r>
      <w:r>
        <w:rPr>
          <w:spacing w:val="-1"/>
          <w:sz w:val="24"/>
        </w:rPr>
        <w:t> </w:t>
      </w:r>
      <w:r>
        <w:rPr>
          <w:sz w:val="24"/>
        </w:rPr>
        <w:t>prior approval</w:t>
      </w:r>
      <w:r>
        <w:rPr>
          <w:spacing w:val="-3"/>
          <w:sz w:val="24"/>
        </w:rPr>
        <w:t> </w:t>
      </w:r>
      <w:r>
        <w:rPr>
          <w:sz w:val="24"/>
        </w:rPr>
        <w:t>by</w:t>
      </w:r>
      <w:r>
        <w:rPr>
          <w:spacing w:val="-3"/>
          <w:sz w:val="24"/>
        </w:rPr>
        <w:t> </w:t>
      </w:r>
      <w:r>
        <w:rPr>
          <w:sz w:val="24"/>
        </w:rPr>
        <w:t>the</w:t>
      </w:r>
      <w:r>
        <w:rPr>
          <w:spacing w:val="-3"/>
          <w:sz w:val="24"/>
        </w:rPr>
        <w:t> </w:t>
      </w:r>
      <w:r>
        <w:rPr>
          <w:sz w:val="24"/>
        </w:rPr>
        <w:t>SLA.</w:t>
      </w:r>
      <w:r>
        <w:rPr>
          <w:spacing w:val="-4"/>
          <w:sz w:val="24"/>
        </w:rPr>
        <w:t> </w:t>
      </w:r>
      <w:r>
        <w:rPr>
          <w:sz w:val="24"/>
        </w:rPr>
        <w:t>The</w:t>
      </w:r>
      <w:r>
        <w:rPr>
          <w:spacing w:val="-3"/>
          <w:sz w:val="24"/>
        </w:rPr>
        <w:t> </w:t>
      </w:r>
      <w:r>
        <w:rPr>
          <w:sz w:val="24"/>
        </w:rPr>
        <w:t>SLA</w:t>
      </w:r>
      <w:r>
        <w:rPr>
          <w:spacing w:val="-3"/>
          <w:sz w:val="24"/>
        </w:rPr>
        <w:t> </w:t>
      </w:r>
      <w:r>
        <w:rPr>
          <w:sz w:val="24"/>
        </w:rPr>
        <w:t>will</w:t>
      </w:r>
      <w:r>
        <w:rPr>
          <w:spacing w:val="-3"/>
          <w:sz w:val="24"/>
        </w:rPr>
        <w:t> </w:t>
      </w:r>
      <w:r>
        <w:rPr>
          <w:sz w:val="24"/>
        </w:rPr>
        <w:t>not</w:t>
      </w:r>
      <w:r>
        <w:rPr>
          <w:spacing w:val="-2"/>
          <w:sz w:val="24"/>
        </w:rPr>
        <w:t> </w:t>
      </w:r>
      <w:r>
        <w:rPr>
          <w:sz w:val="24"/>
        </w:rPr>
        <w:t>make</w:t>
      </w:r>
      <w:r>
        <w:rPr>
          <w:spacing w:val="-3"/>
          <w:sz w:val="24"/>
        </w:rPr>
        <w:t> </w:t>
      </w:r>
      <w:r>
        <w:rPr>
          <w:sz w:val="24"/>
        </w:rPr>
        <w:t>multiple</w:t>
      </w:r>
      <w:r>
        <w:rPr>
          <w:spacing w:val="-3"/>
          <w:sz w:val="24"/>
        </w:rPr>
        <w:t> </w:t>
      </w:r>
      <w:r>
        <w:rPr>
          <w:sz w:val="24"/>
        </w:rPr>
        <w:t>purchases</w:t>
      </w:r>
      <w:r>
        <w:rPr>
          <w:spacing w:val="-3"/>
          <w:sz w:val="24"/>
        </w:rPr>
        <w:t> </w:t>
      </w:r>
      <w:r>
        <w:rPr>
          <w:sz w:val="24"/>
        </w:rPr>
        <w:t>from</w:t>
      </w:r>
      <w:r>
        <w:rPr>
          <w:spacing w:val="-2"/>
          <w:sz w:val="24"/>
        </w:rPr>
        <w:t> </w:t>
      </w:r>
      <w:r>
        <w:rPr>
          <w:sz w:val="24"/>
        </w:rPr>
        <w:t>any</w:t>
      </w:r>
      <w:r>
        <w:rPr>
          <w:spacing w:val="-3"/>
          <w:sz w:val="24"/>
        </w:rPr>
        <w:t> </w:t>
      </w:r>
      <w:r>
        <w:rPr>
          <w:sz w:val="24"/>
        </w:rPr>
        <w:t>purveyor.</w:t>
      </w:r>
    </w:p>
    <w:p>
      <w:pPr>
        <w:pStyle w:val="ListParagraph"/>
        <w:numPr>
          <w:ilvl w:val="1"/>
          <w:numId w:val="384"/>
        </w:numPr>
        <w:tabs>
          <w:tab w:pos="1217" w:val="left" w:leader="none"/>
        </w:tabs>
        <w:spacing w:line="208" w:lineRule="auto" w:before="240" w:after="0"/>
        <w:ind w:left="791" w:right="813" w:firstLine="0"/>
        <w:jc w:val="left"/>
        <w:rPr>
          <w:sz w:val="24"/>
        </w:rPr>
      </w:pPr>
      <w:r>
        <w:rPr>
          <w:sz w:val="24"/>
        </w:rPr>
        <mc:AlternateContent>
          <mc:Choice Requires="wps">
            <w:drawing>
              <wp:anchor distT="0" distB="0" distL="0" distR="0" allowOverlap="1" layoutInCell="1" locked="0" behindDoc="0" simplePos="0" relativeHeight="15731712">
                <wp:simplePos x="0" y="0"/>
                <wp:positionH relativeFrom="page">
                  <wp:posOffset>6406896</wp:posOffset>
                </wp:positionH>
                <wp:positionV relativeFrom="paragraph">
                  <wp:posOffset>846995</wp:posOffset>
                </wp:positionV>
                <wp:extent cx="43180" cy="762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3180" cy="7620"/>
                        </a:xfrm>
                        <a:custGeom>
                          <a:avLst/>
                          <a:gdLst/>
                          <a:ahLst/>
                          <a:cxnLst/>
                          <a:rect l="l" t="t" r="r" b="b"/>
                          <a:pathLst>
                            <a:path w="43180" h="7620">
                              <a:moveTo>
                                <a:pt x="42684" y="0"/>
                              </a:moveTo>
                              <a:lnTo>
                                <a:pt x="0" y="0"/>
                              </a:lnTo>
                              <a:lnTo>
                                <a:pt x="0" y="7607"/>
                              </a:lnTo>
                              <a:lnTo>
                                <a:pt x="42684" y="7607"/>
                              </a:lnTo>
                              <a:lnTo>
                                <a:pt x="426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04.480011pt;margin-top:66.69252pt;width:3.361pt;height:.599pt;mso-position-horizontal-relative:page;mso-position-vertical-relative:paragraph;z-index:15731712" id="docshape7" filled="true" fillcolor="#000000" stroked="false">
                <v:fill type="solid"/>
                <w10:wrap type="none"/>
              </v:rect>
            </w:pict>
          </mc:Fallback>
        </mc:AlternateContent>
      </w:r>
      <w:r>
        <w:rPr>
          <w:sz w:val="24"/>
        </w:rPr>
        <w:t>The</w:t>
      </w:r>
      <w:r>
        <w:rPr>
          <w:spacing w:val="-3"/>
          <w:sz w:val="24"/>
        </w:rPr>
        <w:t> </w:t>
      </w:r>
      <w:r>
        <w:rPr>
          <w:sz w:val="24"/>
        </w:rPr>
        <w:t>incoming</w:t>
      </w:r>
      <w:r>
        <w:rPr>
          <w:spacing w:val="-3"/>
          <w:sz w:val="24"/>
        </w:rPr>
        <w:t> </w:t>
      </w:r>
      <w:r>
        <w:rPr>
          <w:sz w:val="24"/>
        </w:rPr>
        <w:t>licensed</w:t>
      </w:r>
      <w:r>
        <w:rPr>
          <w:spacing w:val="-3"/>
          <w:sz w:val="24"/>
        </w:rPr>
        <w:t> </w:t>
      </w:r>
      <w:r>
        <w:rPr>
          <w:sz w:val="24"/>
        </w:rPr>
        <w:t>manager,</w:t>
      </w:r>
      <w:r>
        <w:rPr>
          <w:spacing w:val="-2"/>
          <w:sz w:val="24"/>
        </w:rPr>
        <w:t> </w:t>
      </w:r>
      <w:r>
        <w:rPr>
          <w:sz w:val="24"/>
        </w:rPr>
        <w:t>BEP</w:t>
      </w:r>
      <w:r>
        <w:rPr>
          <w:spacing w:val="-3"/>
          <w:sz w:val="24"/>
        </w:rPr>
        <w:t> </w:t>
      </w:r>
      <w:r>
        <w:rPr>
          <w:sz w:val="24"/>
        </w:rPr>
        <w:t>business</w:t>
      </w:r>
      <w:r>
        <w:rPr>
          <w:spacing w:val="-3"/>
          <w:sz w:val="24"/>
        </w:rPr>
        <w:t> </w:t>
      </w:r>
      <w:r>
        <w:rPr>
          <w:sz w:val="24"/>
        </w:rPr>
        <w:t>consultant</w:t>
      </w:r>
      <w:r>
        <w:rPr>
          <w:spacing w:val="-2"/>
          <w:sz w:val="24"/>
        </w:rPr>
        <w:t> </w:t>
      </w:r>
      <w:r>
        <w:rPr>
          <w:sz w:val="24"/>
        </w:rPr>
        <w:t>and</w:t>
      </w:r>
      <w:r>
        <w:rPr>
          <w:spacing w:val="-3"/>
          <w:sz w:val="24"/>
        </w:rPr>
        <w:t> </w:t>
      </w:r>
      <w:r>
        <w:rPr>
          <w:sz w:val="24"/>
        </w:rPr>
        <w:t>BEP</w:t>
      </w:r>
      <w:r>
        <w:rPr>
          <w:spacing w:val="-3"/>
          <w:sz w:val="24"/>
        </w:rPr>
        <w:t> </w:t>
      </w:r>
      <w:r>
        <w:rPr>
          <w:sz w:val="24"/>
        </w:rPr>
        <w:t>operations coordinator will determine what may be purchased from the existing stock of the outgoing</w:t>
      </w:r>
      <w:r>
        <w:rPr>
          <w:spacing w:val="-3"/>
          <w:sz w:val="24"/>
        </w:rPr>
        <w:t> </w:t>
      </w:r>
      <w:r>
        <w:rPr>
          <w:sz w:val="24"/>
        </w:rPr>
        <w:t>facility</w:t>
      </w:r>
      <w:r>
        <w:rPr>
          <w:spacing w:val="-3"/>
          <w:sz w:val="24"/>
        </w:rPr>
        <w:t> </w:t>
      </w:r>
      <w:r>
        <w:rPr>
          <w:sz w:val="24"/>
        </w:rPr>
        <w:t>manager.</w:t>
      </w:r>
      <w:r>
        <w:rPr>
          <w:spacing w:val="40"/>
          <w:sz w:val="24"/>
        </w:rPr>
        <w:t> </w:t>
      </w:r>
      <w:r>
        <w:rPr>
          <w:sz w:val="24"/>
        </w:rPr>
        <w:t>Only</w:t>
      </w:r>
      <w:r>
        <w:rPr>
          <w:spacing w:val="-3"/>
          <w:sz w:val="24"/>
        </w:rPr>
        <w:t> </w:t>
      </w:r>
      <w:r>
        <w:rPr>
          <w:sz w:val="24"/>
        </w:rPr>
        <w:t>salable</w:t>
      </w:r>
      <w:r>
        <w:rPr>
          <w:spacing w:val="-3"/>
          <w:sz w:val="24"/>
        </w:rPr>
        <w:t> </w:t>
      </w:r>
      <w:r>
        <w:rPr>
          <w:sz w:val="24"/>
        </w:rPr>
        <w:t>merchandise</w:t>
      </w:r>
      <w:r>
        <w:rPr>
          <w:spacing w:val="-3"/>
          <w:sz w:val="24"/>
        </w:rPr>
        <w:t> </w:t>
      </w:r>
      <w:r>
        <w:rPr>
          <w:sz w:val="24"/>
        </w:rPr>
        <w:t>may</w:t>
      </w:r>
      <w:r>
        <w:rPr>
          <w:spacing w:val="-3"/>
          <w:sz w:val="24"/>
        </w:rPr>
        <w:t> </w:t>
      </w:r>
      <w:r>
        <w:rPr>
          <w:sz w:val="24"/>
        </w:rPr>
        <w:t>be</w:t>
      </w:r>
      <w:r>
        <w:rPr>
          <w:spacing w:val="-3"/>
          <w:sz w:val="24"/>
        </w:rPr>
        <w:t> </w:t>
      </w:r>
      <w:r>
        <w:rPr>
          <w:sz w:val="24"/>
        </w:rPr>
        <w:t>purchased.</w:t>
      </w:r>
      <w:r>
        <w:rPr>
          <w:spacing w:val="40"/>
          <w:sz w:val="24"/>
        </w:rPr>
        <w:t> </w:t>
      </w:r>
      <w:r>
        <w:rPr>
          <w:sz w:val="24"/>
        </w:rPr>
        <w:t>The</w:t>
      </w:r>
      <w:r>
        <w:rPr>
          <w:spacing w:val="-3"/>
          <w:sz w:val="24"/>
        </w:rPr>
        <w:t> </w:t>
      </w:r>
      <w:r>
        <w:rPr>
          <w:sz w:val="24"/>
        </w:rPr>
        <w:t>BEP business consultant and Operations Coordinator will also assist the out-going manager in selling any remaining salable merchandise and its interim storage.</w:t>
      </w:r>
    </w:p>
    <w:p>
      <w:pPr>
        <w:pStyle w:val="ListParagraph"/>
        <w:numPr>
          <w:ilvl w:val="1"/>
          <w:numId w:val="384"/>
        </w:numPr>
        <w:tabs>
          <w:tab w:pos="1217" w:val="left" w:leader="none"/>
        </w:tabs>
        <w:spacing w:line="208" w:lineRule="auto" w:before="240" w:after="0"/>
        <w:ind w:left="791" w:right="840" w:firstLine="0"/>
        <w:jc w:val="left"/>
        <w:rPr>
          <w:sz w:val="24"/>
        </w:rPr>
      </w:pPr>
      <w:r>
        <w:rPr>
          <w:sz w:val="24"/>
        </w:rPr>
        <w:t>A merchandise loan must be repaid to the SLA by a licensed manager in monthly</w:t>
      </w:r>
      <w:r>
        <w:rPr>
          <w:spacing w:val="-3"/>
          <w:sz w:val="24"/>
        </w:rPr>
        <w:t> </w:t>
      </w:r>
      <w:r>
        <w:rPr>
          <w:sz w:val="24"/>
        </w:rPr>
        <w:t>installments</w:t>
      </w:r>
      <w:r>
        <w:rPr>
          <w:spacing w:val="-3"/>
          <w:sz w:val="24"/>
        </w:rPr>
        <w:t> </w:t>
      </w:r>
      <w:r>
        <w:rPr>
          <w:sz w:val="24"/>
        </w:rPr>
        <w:t>of</w:t>
      </w:r>
      <w:r>
        <w:rPr>
          <w:spacing w:val="-2"/>
          <w:sz w:val="24"/>
        </w:rPr>
        <w:t> </w:t>
      </w:r>
      <w:r>
        <w:rPr>
          <w:sz w:val="24"/>
        </w:rPr>
        <w:t>no</w:t>
      </w:r>
      <w:r>
        <w:rPr>
          <w:spacing w:val="-3"/>
          <w:sz w:val="24"/>
        </w:rPr>
        <w:t> </w:t>
      </w:r>
      <w:r>
        <w:rPr>
          <w:sz w:val="24"/>
        </w:rPr>
        <w:t>less</w:t>
      </w:r>
      <w:r>
        <w:rPr>
          <w:spacing w:val="-3"/>
          <w:sz w:val="24"/>
        </w:rPr>
        <w:t> </w:t>
      </w:r>
      <w:r>
        <w:rPr>
          <w:sz w:val="24"/>
        </w:rPr>
        <w:t>than</w:t>
      </w:r>
      <w:r>
        <w:rPr>
          <w:spacing w:val="-3"/>
          <w:sz w:val="24"/>
        </w:rPr>
        <w:t> </w:t>
      </w:r>
      <w:r>
        <w:rPr>
          <w:sz w:val="24"/>
        </w:rPr>
        <w:t>two</w:t>
      </w:r>
      <w:r>
        <w:rPr>
          <w:spacing w:val="-3"/>
          <w:sz w:val="24"/>
        </w:rPr>
        <w:t> </w:t>
      </w:r>
      <w:r>
        <w:rPr>
          <w:sz w:val="24"/>
        </w:rPr>
        <w:t>percent</w:t>
      </w:r>
      <w:r>
        <w:rPr>
          <w:spacing w:val="-2"/>
          <w:sz w:val="24"/>
        </w:rPr>
        <w:t> </w:t>
      </w:r>
      <w:r>
        <w:rPr>
          <w:sz w:val="24"/>
        </w:rPr>
        <w:t>of</w:t>
      </w:r>
      <w:r>
        <w:rPr>
          <w:spacing w:val="-2"/>
          <w:sz w:val="24"/>
        </w:rPr>
        <w:t> </w:t>
      </w:r>
      <w:r>
        <w:rPr>
          <w:sz w:val="24"/>
        </w:rPr>
        <w:t>gross</w:t>
      </w:r>
      <w:r>
        <w:rPr>
          <w:spacing w:val="-3"/>
          <w:sz w:val="24"/>
        </w:rPr>
        <w:t> </w:t>
      </w:r>
      <w:r>
        <w:rPr>
          <w:sz w:val="24"/>
        </w:rPr>
        <w:t>sales</w:t>
      </w:r>
      <w:r>
        <w:rPr>
          <w:spacing w:val="-3"/>
          <w:sz w:val="24"/>
        </w:rPr>
        <w:t> </w:t>
      </w:r>
      <w:r>
        <w:rPr>
          <w:sz w:val="24"/>
        </w:rPr>
        <w:t>to</w:t>
      </w:r>
      <w:r>
        <w:rPr>
          <w:spacing w:val="-3"/>
          <w:sz w:val="24"/>
        </w:rPr>
        <w:t> </w:t>
      </w:r>
      <w:r>
        <w:rPr>
          <w:sz w:val="24"/>
        </w:rPr>
        <w:t>pay</w:t>
      </w:r>
      <w:r>
        <w:rPr>
          <w:spacing w:val="-3"/>
          <w:sz w:val="24"/>
        </w:rPr>
        <w:t> </w:t>
      </w:r>
      <w:r>
        <w:rPr>
          <w:sz w:val="24"/>
        </w:rPr>
        <w:t>loan</w:t>
      </w:r>
      <w:r>
        <w:rPr>
          <w:spacing w:val="-3"/>
          <w:sz w:val="24"/>
        </w:rPr>
        <w:t> </w:t>
      </w:r>
      <w:r>
        <w:rPr>
          <w:sz w:val="24"/>
        </w:rPr>
        <w:t>balance in full.</w:t>
      </w:r>
      <w:r>
        <w:rPr>
          <w:spacing w:val="40"/>
          <w:sz w:val="24"/>
        </w:rPr>
        <w:t> </w:t>
      </w:r>
      <w:r>
        <w:rPr>
          <w:sz w:val="24"/>
        </w:rPr>
        <w:t>A licensed manager shall not allow the facility inventory level to fall below that of the balance of the merchandise loan and are subject to disciplinary action should this occur.</w:t>
      </w:r>
      <w:r>
        <w:rPr>
          <w:spacing w:val="40"/>
          <w:sz w:val="24"/>
        </w:rPr>
        <w:t> </w:t>
      </w:r>
      <w:r>
        <w:rPr>
          <w:sz w:val="24"/>
        </w:rPr>
        <w:t>Managers receiving loans will sign a merchandise security agreement that will be retained on file by DRS and released to the manager when loan repayment is complete along with a letter from the BEP Operations Coordinator officially notifying the licensed manager of their full repayment of the </w:t>
      </w:r>
      <w:r>
        <w:rPr>
          <w:spacing w:val="-2"/>
          <w:sz w:val="24"/>
        </w:rPr>
        <w:t>loan.</w:t>
      </w:r>
    </w:p>
    <w:p>
      <w:pPr>
        <w:pStyle w:val="ListParagraph"/>
        <w:numPr>
          <w:ilvl w:val="1"/>
          <w:numId w:val="384"/>
        </w:numPr>
        <w:tabs>
          <w:tab w:pos="1216" w:val="left" w:leader="none"/>
        </w:tabs>
        <w:spacing w:line="208" w:lineRule="auto" w:before="239" w:after="0"/>
        <w:ind w:left="791" w:right="1040" w:firstLine="0"/>
        <w:jc w:val="left"/>
        <w:rPr>
          <w:sz w:val="24"/>
        </w:rPr>
      </w:pPr>
      <w:r>
        <w:rPr>
          <w:sz w:val="24"/>
        </w:rPr>
        <w:t>When a merchandise loan is secured by stock, a licensed manager may not permit</w:t>
      </w:r>
      <w:r>
        <w:rPr>
          <w:spacing w:val="-2"/>
          <w:sz w:val="24"/>
        </w:rPr>
        <w:t> </w:t>
      </w:r>
      <w:r>
        <w:rPr>
          <w:sz w:val="24"/>
        </w:rPr>
        <w:t>the</w:t>
      </w:r>
      <w:r>
        <w:rPr>
          <w:spacing w:val="-4"/>
          <w:sz w:val="24"/>
        </w:rPr>
        <w:t> </w:t>
      </w:r>
      <w:r>
        <w:rPr>
          <w:sz w:val="24"/>
        </w:rPr>
        <w:t>ownership</w:t>
      </w:r>
      <w:r>
        <w:rPr>
          <w:spacing w:val="-3"/>
          <w:sz w:val="24"/>
        </w:rPr>
        <w:t> </w:t>
      </w:r>
      <w:r>
        <w:rPr>
          <w:sz w:val="24"/>
        </w:rPr>
        <w:t>of</w:t>
      </w:r>
      <w:r>
        <w:rPr>
          <w:spacing w:val="-2"/>
          <w:sz w:val="24"/>
        </w:rPr>
        <w:t> </w:t>
      </w:r>
      <w:r>
        <w:rPr>
          <w:sz w:val="24"/>
        </w:rPr>
        <w:t>the</w:t>
      </w:r>
      <w:r>
        <w:rPr>
          <w:spacing w:val="-3"/>
          <w:sz w:val="24"/>
        </w:rPr>
        <w:t> </w:t>
      </w:r>
      <w:r>
        <w:rPr>
          <w:sz w:val="24"/>
        </w:rPr>
        <w:t>stock</w:t>
      </w:r>
      <w:r>
        <w:rPr>
          <w:spacing w:val="-3"/>
          <w:sz w:val="24"/>
        </w:rPr>
        <w:t> </w:t>
      </w:r>
      <w:r>
        <w:rPr>
          <w:sz w:val="24"/>
        </w:rPr>
        <w:t>to</w:t>
      </w:r>
      <w:r>
        <w:rPr>
          <w:spacing w:val="-3"/>
          <w:sz w:val="24"/>
        </w:rPr>
        <w:t> </w:t>
      </w:r>
      <w:r>
        <w:rPr>
          <w:sz w:val="24"/>
        </w:rPr>
        <w:t>vest</w:t>
      </w:r>
      <w:r>
        <w:rPr>
          <w:spacing w:val="-4"/>
          <w:sz w:val="24"/>
        </w:rPr>
        <w:t> </w:t>
      </w:r>
      <w:r>
        <w:rPr>
          <w:sz w:val="24"/>
        </w:rPr>
        <w:t>in</w:t>
      </w:r>
      <w:r>
        <w:rPr>
          <w:spacing w:val="-3"/>
          <w:sz w:val="24"/>
        </w:rPr>
        <w:t> </w:t>
      </w:r>
      <w:r>
        <w:rPr>
          <w:sz w:val="24"/>
        </w:rPr>
        <w:t>any</w:t>
      </w:r>
      <w:r>
        <w:rPr>
          <w:spacing w:val="-3"/>
          <w:sz w:val="24"/>
        </w:rPr>
        <w:t> </w:t>
      </w:r>
      <w:r>
        <w:rPr>
          <w:sz w:val="24"/>
        </w:rPr>
        <w:t>person</w:t>
      </w:r>
      <w:r>
        <w:rPr>
          <w:spacing w:val="-3"/>
          <w:sz w:val="24"/>
        </w:rPr>
        <w:t> </w:t>
      </w:r>
      <w:r>
        <w:rPr>
          <w:sz w:val="24"/>
        </w:rPr>
        <w:t>or</w:t>
      </w:r>
      <w:r>
        <w:rPr>
          <w:spacing w:val="-2"/>
          <w:sz w:val="24"/>
        </w:rPr>
        <w:t> </w:t>
      </w:r>
      <w:r>
        <w:rPr>
          <w:sz w:val="24"/>
        </w:rPr>
        <w:t>organization</w:t>
      </w:r>
      <w:r>
        <w:rPr>
          <w:spacing w:val="-3"/>
          <w:sz w:val="24"/>
        </w:rPr>
        <w:t> </w:t>
      </w:r>
      <w:r>
        <w:rPr>
          <w:sz w:val="24"/>
        </w:rPr>
        <w:t>other</w:t>
      </w:r>
      <w:r>
        <w:rPr>
          <w:spacing w:val="-2"/>
          <w:sz w:val="24"/>
        </w:rPr>
        <w:t> </w:t>
      </w:r>
      <w:r>
        <w:rPr>
          <w:sz w:val="24"/>
        </w:rPr>
        <w:t>than the SLA.</w:t>
      </w:r>
    </w:p>
    <w:p>
      <w:pPr>
        <w:pStyle w:val="ListParagraph"/>
        <w:numPr>
          <w:ilvl w:val="1"/>
          <w:numId w:val="384"/>
        </w:numPr>
        <w:tabs>
          <w:tab w:pos="1216" w:val="left" w:leader="none"/>
        </w:tabs>
        <w:spacing w:line="208" w:lineRule="auto" w:before="239" w:after="0"/>
        <w:ind w:left="791" w:right="1409" w:firstLine="0"/>
        <w:jc w:val="left"/>
        <w:rPr>
          <w:sz w:val="24"/>
        </w:rPr>
      </w:pPr>
      <w:r>
        <w:rPr>
          <w:sz w:val="24"/>
        </w:rPr>
        <w:t>When a licensed manager leaves a business enterprise, any remaining merchandise loan balance (and other unmet obligations to the SLA) will be subtracted</w:t>
      </w:r>
      <w:r>
        <w:rPr>
          <w:spacing w:val="-5"/>
          <w:sz w:val="24"/>
        </w:rPr>
        <w:t> </w:t>
      </w:r>
      <w:r>
        <w:rPr>
          <w:sz w:val="24"/>
        </w:rPr>
        <w:t>from</w:t>
      </w:r>
      <w:r>
        <w:rPr>
          <w:spacing w:val="-5"/>
          <w:sz w:val="24"/>
        </w:rPr>
        <w:t> </w:t>
      </w:r>
      <w:r>
        <w:rPr>
          <w:sz w:val="24"/>
        </w:rPr>
        <w:t>the</w:t>
      </w:r>
      <w:r>
        <w:rPr>
          <w:spacing w:val="-4"/>
          <w:sz w:val="24"/>
        </w:rPr>
        <w:t> </w:t>
      </w:r>
      <w:r>
        <w:rPr>
          <w:sz w:val="24"/>
        </w:rPr>
        <w:t>ending</w:t>
      </w:r>
      <w:r>
        <w:rPr>
          <w:spacing w:val="-4"/>
          <w:sz w:val="24"/>
        </w:rPr>
        <w:t> </w:t>
      </w:r>
      <w:r>
        <w:rPr>
          <w:sz w:val="24"/>
        </w:rPr>
        <w:t>inventory</w:t>
      </w:r>
      <w:r>
        <w:rPr>
          <w:spacing w:val="-4"/>
          <w:sz w:val="24"/>
        </w:rPr>
        <w:t> </w:t>
      </w:r>
      <w:r>
        <w:rPr>
          <w:sz w:val="24"/>
        </w:rPr>
        <w:t>to</w:t>
      </w:r>
      <w:r>
        <w:rPr>
          <w:spacing w:val="-4"/>
          <w:sz w:val="24"/>
        </w:rPr>
        <w:t> </w:t>
      </w:r>
      <w:r>
        <w:rPr>
          <w:sz w:val="24"/>
        </w:rPr>
        <w:t>determine</w:t>
      </w:r>
      <w:r>
        <w:rPr>
          <w:spacing w:val="-4"/>
          <w:sz w:val="24"/>
        </w:rPr>
        <w:t> </w:t>
      </w:r>
      <w:r>
        <w:rPr>
          <w:sz w:val="24"/>
        </w:rPr>
        <w:t>the</w:t>
      </w:r>
      <w:r>
        <w:rPr>
          <w:spacing w:val="-4"/>
          <w:sz w:val="24"/>
        </w:rPr>
        <w:t> </w:t>
      </w:r>
      <w:r>
        <w:rPr>
          <w:sz w:val="24"/>
        </w:rPr>
        <w:t>manager's</w:t>
      </w:r>
      <w:r>
        <w:rPr>
          <w:spacing w:val="-4"/>
          <w:sz w:val="24"/>
        </w:rPr>
        <w:t> </w:t>
      </w:r>
      <w:r>
        <w:rPr>
          <w:sz w:val="24"/>
        </w:rPr>
        <w:t>equity</w:t>
      </w:r>
      <w:r>
        <w:rPr>
          <w:spacing w:val="-4"/>
          <w:sz w:val="24"/>
        </w:rPr>
        <w:t> </w:t>
      </w:r>
      <w:r>
        <w:rPr>
          <w:sz w:val="24"/>
        </w:rPr>
        <w:t>in</w:t>
      </w:r>
      <w:r>
        <w:rPr>
          <w:spacing w:val="-4"/>
          <w:sz w:val="24"/>
        </w:rPr>
        <w:t> </w:t>
      </w:r>
      <w:r>
        <w:rPr>
          <w:sz w:val="24"/>
        </w:rPr>
        <w:t>the ending stock.</w:t>
      </w:r>
    </w:p>
    <w:p>
      <w:pPr>
        <w:pStyle w:val="ListParagraph"/>
        <w:numPr>
          <w:ilvl w:val="1"/>
          <w:numId w:val="384"/>
        </w:numPr>
        <w:tabs>
          <w:tab w:pos="1216" w:val="left" w:leader="none"/>
        </w:tabs>
        <w:spacing w:line="208" w:lineRule="auto" w:before="240" w:after="0"/>
        <w:ind w:left="791" w:right="1200" w:firstLine="0"/>
        <w:jc w:val="left"/>
        <w:rPr>
          <w:sz w:val="24"/>
        </w:rPr>
      </w:pPr>
      <w:r>
        <w:rPr>
          <w:sz w:val="24"/>
        </w:rPr>
        <w:t>Merchandise loans are not allowed for satellite facilities unless extenuating circumstances</w:t>
      </w:r>
      <w:r>
        <w:rPr>
          <w:spacing w:val="-4"/>
          <w:sz w:val="24"/>
        </w:rPr>
        <w:t> </w:t>
      </w:r>
      <w:r>
        <w:rPr>
          <w:sz w:val="24"/>
        </w:rPr>
        <w:t>prevail</w:t>
      </w:r>
      <w:r>
        <w:rPr>
          <w:spacing w:val="-4"/>
          <w:sz w:val="24"/>
        </w:rPr>
        <w:t> </w:t>
      </w:r>
      <w:r>
        <w:rPr>
          <w:sz w:val="24"/>
        </w:rPr>
        <w:t>and</w:t>
      </w:r>
      <w:r>
        <w:rPr>
          <w:spacing w:val="-4"/>
          <w:sz w:val="24"/>
        </w:rPr>
        <w:t> </w:t>
      </w:r>
      <w:r>
        <w:rPr>
          <w:sz w:val="24"/>
        </w:rPr>
        <w:t>only</w:t>
      </w:r>
      <w:r>
        <w:rPr>
          <w:spacing w:val="-4"/>
          <w:sz w:val="24"/>
        </w:rPr>
        <w:t> </w:t>
      </w:r>
      <w:r>
        <w:rPr>
          <w:sz w:val="24"/>
        </w:rPr>
        <w:t>after</w:t>
      </w:r>
      <w:r>
        <w:rPr>
          <w:spacing w:val="-3"/>
          <w:sz w:val="24"/>
        </w:rPr>
        <w:t> </w:t>
      </w:r>
      <w:r>
        <w:rPr>
          <w:sz w:val="24"/>
        </w:rPr>
        <w:t>approval</w:t>
      </w:r>
      <w:r>
        <w:rPr>
          <w:spacing w:val="-4"/>
          <w:sz w:val="24"/>
        </w:rPr>
        <w:t> </w:t>
      </w:r>
      <w:r>
        <w:rPr>
          <w:sz w:val="24"/>
        </w:rPr>
        <w:t>of</w:t>
      </w:r>
      <w:r>
        <w:rPr>
          <w:spacing w:val="-3"/>
          <w:sz w:val="24"/>
        </w:rPr>
        <w:t> </w:t>
      </w:r>
      <w:r>
        <w:rPr>
          <w:sz w:val="24"/>
        </w:rPr>
        <w:t>BEP</w:t>
      </w:r>
      <w:r>
        <w:rPr>
          <w:spacing w:val="-4"/>
          <w:sz w:val="24"/>
        </w:rPr>
        <w:t> </w:t>
      </w:r>
      <w:r>
        <w:rPr>
          <w:sz w:val="24"/>
        </w:rPr>
        <w:t>Operations</w:t>
      </w:r>
      <w:r>
        <w:rPr>
          <w:spacing w:val="-4"/>
          <w:sz w:val="24"/>
        </w:rPr>
        <w:t> </w:t>
      </w:r>
      <w:r>
        <w:rPr>
          <w:sz w:val="24"/>
        </w:rPr>
        <w:t>Coordinator</w:t>
      </w:r>
      <w:r>
        <w:rPr>
          <w:spacing w:val="-3"/>
          <w:sz w:val="24"/>
        </w:rPr>
        <w:t> </w:t>
      </w:r>
      <w:r>
        <w:rPr>
          <w:sz w:val="24"/>
        </w:rPr>
        <w:t>in consultation with the ECM chair person.</w:t>
      </w:r>
    </w:p>
    <w:p>
      <w:pPr>
        <w:pStyle w:val="ListParagraph"/>
        <w:spacing w:after="0" w:line="208" w:lineRule="auto"/>
        <w:jc w:val="left"/>
        <w:rPr>
          <w:sz w:val="24"/>
        </w:rPr>
        <w:sectPr>
          <w:pgSz w:w="12240" w:h="15840"/>
          <w:pgMar w:top="1340" w:bottom="280" w:left="1080" w:right="720"/>
        </w:sectPr>
      </w:pPr>
    </w:p>
    <w:p>
      <w:pPr>
        <w:pStyle w:val="ListParagraph"/>
        <w:numPr>
          <w:ilvl w:val="1"/>
          <w:numId w:val="384"/>
        </w:numPr>
        <w:tabs>
          <w:tab w:pos="1216" w:val="left" w:leader="none"/>
        </w:tabs>
        <w:spacing w:line="208" w:lineRule="auto" w:before="96" w:after="0"/>
        <w:ind w:left="791" w:right="1379" w:firstLine="0"/>
        <w:jc w:val="left"/>
        <w:rPr>
          <w:sz w:val="24"/>
        </w:rPr>
      </w:pPr>
      <w:r>
        <w:rPr>
          <w:sz w:val="24"/>
        </w:rPr>
        <w:t>Merchandise</w:t>
      </w:r>
      <w:r>
        <w:rPr>
          <w:spacing w:val="-4"/>
          <w:sz w:val="24"/>
        </w:rPr>
        <w:t> </w:t>
      </w:r>
      <w:r>
        <w:rPr>
          <w:sz w:val="24"/>
        </w:rPr>
        <w:t>loans</w:t>
      </w:r>
      <w:r>
        <w:rPr>
          <w:spacing w:val="-3"/>
          <w:sz w:val="24"/>
        </w:rPr>
        <w:t> </w:t>
      </w:r>
      <w:r>
        <w:rPr>
          <w:sz w:val="24"/>
        </w:rPr>
        <w:t>for</w:t>
      </w:r>
      <w:r>
        <w:rPr>
          <w:spacing w:val="-3"/>
          <w:sz w:val="24"/>
        </w:rPr>
        <w:t> </w:t>
      </w:r>
      <w:r>
        <w:rPr>
          <w:sz w:val="24"/>
        </w:rPr>
        <w:t>existing</w:t>
      </w:r>
      <w:r>
        <w:rPr>
          <w:spacing w:val="-4"/>
          <w:sz w:val="24"/>
        </w:rPr>
        <w:t> </w:t>
      </w:r>
      <w:r>
        <w:rPr>
          <w:sz w:val="24"/>
        </w:rPr>
        <w:t>managers</w:t>
      </w:r>
      <w:r>
        <w:rPr>
          <w:spacing w:val="-5"/>
          <w:sz w:val="24"/>
        </w:rPr>
        <w:t> </w:t>
      </w:r>
      <w:r>
        <w:rPr>
          <w:sz w:val="24"/>
        </w:rPr>
        <w:t>currently</w:t>
      </w:r>
      <w:r>
        <w:rPr>
          <w:spacing w:val="-4"/>
          <w:sz w:val="24"/>
        </w:rPr>
        <w:t> </w:t>
      </w:r>
      <w:r>
        <w:rPr>
          <w:sz w:val="24"/>
        </w:rPr>
        <w:t>operating</w:t>
      </w:r>
      <w:r>
        <w:rPr>
          <w:spacing w:val="-4"/>
          <w:sz w:val="24"/>
        </w:rPr>
        <w:t> </w:t>
      </w:r>
      <w:r>
        <w:rPr>
          <w:sz w:val="24"/>
        </w:rPr>
        <w:t>an</w:t>
      </w:r>
      <w:r>
        <w:rPr>
          <w:spacing w:val="-3"/>
          <w:sz w:val="24"/>
        </w:rPr>
        <w:t> </w:t>
      </w:r>
      <w:r>
        <w:rPr>
          <w:sz w:val="24"/>
        </w:rPr>
        <w:t>"A"</w:t>
      </w:r>
      <w:r>
        <w:rPr>
          <w:spacing w:val="-4"/>
          <w:sz w:val="24"/>
        </w:rPr>
        <w:t> </w:t>
      </w:r>
      <w:r>
        <w:rPr>
          <w:sz w:val="24"/>
        </w:rPr>
        <w:t>or</w:t>
      </w:r>
      <w:r>
        <w:rPr>
          <w:spacing w:val="-3"/>
          <w:sz w:val="24"/>
        </w:rPr>
        <w:t> </w:t>
      </w:r>
      <w:r>
        <w:rPr>
          <w:sz w:val="24"/>
        </w:rPr>
        <w:t>"B" classified facility as their primary may be granted at the discretion of the BEP Operations Coordinator in consultation with the ECM chair person.</w:t>
      </w:r>
    </w:p>
    <w:p>
      <w:pPr>
        <w:pStyle w:val="Heading2"/>
        <w:numPr>
          <w:ilvl w:val="0"/>
          <w:numId w:val="384"/>
        </w:numPr>
        <w:tabs>
          <w:tab w:pos="773" w:val="left" w:leader="none"/>
        </w:tabs>
        <w:spacing w:line="240" w:lineRule="auto" w:before="210" w:after="0"/>
        <w:ind w:left="773" w:right="0" w:hanging="413"/>
        <w:jc w:val="left"/>
      </w:pPr>
      <w:r>
        <w:rPr/>
        <w:t>Failure</w:t>
      </w:r>
      <w:r>
        <w:rPr>
          <w:spacing w:val="-4"/>
        </w:rPr>
        <w:t> </w:t>
      </w:r>
      <w:r>
        <w:rPr/>
        <w:t>of</w:t>
      </w:r>
      <w:r>
        <w:rPr>
          <w:spacing w:val="-4"/>
        </w:rPr>
        <w:t> </w:t>
      </w:r>
      <w:r>
        <w:rPr/>
        <w:t>licensed</w:t>
      </w:r>
      <w:r>
        <w:rPr>
          <w:spacing w:val="-3"/>
        </w:rPr>
        <w:t> </w:t>
      </w:r>
      <w:r>
        <w:rPr/>
        <w:t>manager</w:t>
      </w:r>
      <w:r>
        <w:rPr>
          <w:spacing w:val="-3"/>
        </w:rPr>
        <w:t> </w:t>
      </w:r>
      <w:r>
        <w:rPr/>
        <w:t>to</w:t>
      </w:r>
      <w:r>
        <w:rPr>
          <w:spacing w:val="-3"/>
        </w:rPr>
        <w:t> </w:t>
      </w:r>
      <w:r>
        <w:rPr/>
        <w:t>repay</w:t>
      </w:r>
      <w:r>
        <w:rPr>
          <w:spacing w:val="-2"/>
        </w:rPr>
        <w:t> loan.</w:t>
      </w:r>
    </w:p>
    <w:p>
      <w:pPr>
        <w:pStyle w:val="ListParagraph"/>
        <w:numPr>
          <w:ilvl w:val="1"/>
          <w:numId w:val="384"/>
        </w:numPr>
        <w:tabs>
          <w:tab w:pos="1217" w:val="left" w:leader="none"/>
        </w:tabs>
        <w:spacing w:line="208" w:lineRule="auto" w:before="234" w:after="0"/>
        <w:ind w:left="792" w:right="996" w:firstLine="0"/>
        <w:jc w:val="left"/>
        <w:rPr>
          <w:sz w:val="24"/>
        </w:rPr>
      </w:pPr>
      <w:r>
        <w:rPr>
          <w:sz w:val="24"/>
        </w:rPr>
        <w:t>If</w:t>
      </w:r>
      <w:r>
        <w:rPr>
          <w:spacing w:val="-4"/>
          <w:sz w:val="24"/>
        </w:rPr>
        <w:t> </w:t>
      </w:r>
      <w:r>
        <w:rPr>
          <w:sz w:val="24"/>
        </w:rPr>
        <w:t>a</w:t>
      </w:r>
      <w:r>
        <w:rPr>
          <w:spacing w:val="-3"/>
          <w:sz w:val="24"/>
        </w:rPr>
        <w:t> </w:t>
      </w:r>
      <w:r>
        <w:rPr>
          <w:sz w:val="24"/>
        </w:rPr>
        <w:t>licensed</w:t>
      </w:r>
      <w:r>
        <w:rPr>
          <w:spacing w:val="-3"/>
          <w:sz w:val="24"/>
        </w:rPr>
        <w:t> </w:t>
      </w:r>
      <w:r>
        <w:rPr>
          <w:sz w:val="24"/>
        </w:rPr>
        <w:t>manager's</w:t>
      </w:r>
      <w:r>
        <w:rPr>
          <w:spacing w:val="-3"/>
          <w:sz w:val="24"/>
        </w:rPr>
        <w:t> </w:t>
      </w:r>
      <w:r>
        <w:rPr>
          <w:sz w:val="24"/>
        </w:rPr>
        <w:t>merchandise</w:t>
      </w:r>
      <w:r>
        <w:rPr>
          <w:spacing w:val="-3"/>
          <w:sz w:val="24"/>
        </w:rPr>
        <w:t> </w:t>
      </w:r>
      <w:r>
        <w:rPr>
          <w:sz w:val="24"/>
        </w:rPr>
        <w:t>loan</w:t>
      </w:r>
      <w:r>
        <w:rPr>
          <w:spacing w:val="-3"/>
          <w:sz w:val="24"/>
        </w:rPr>
        <w:t> </w:t>
      </w:r>
      <w:r>
        <w:rPr>
          <w:sz w:val="24"/>
        </w:rPr>
        <w:t>payment</w:t>
      </w:r>
      <w:r>
        <w:rPr>
          <w:spacing w:val="-4"/>
          <w:sz w:val="24"/>
        </w:rPr>
        <w:t> </w:t>
      </w:r>
      <w:r>
        <w:rPr>
          <w:sz w:val="24"/>
        </w:rPr>
        <w:t>is</w:t>
      </w:r>
      <w:r>
        <w:rPr>
          <w:spacing w:val="-3"/>
          <w:sz w:val="24"/>
        </w:rPr>
        <w:t> </w:t>
      </w:r>
      <w:r>
        <w:rPr>
          <w:sz w:val="24"/>
        </w:rPr>
        <w:t>not</w:t>
      </w:r>
      <w:r>
        <w:rPr>
          <w:spacing w:val="-3"/>
          <w:sz w:val="24"/>
        </w:rPr>
        <w:t> </w:t>
      </w:r>
      <w:r>
        <w:rPr>
          <w:sz w:val="24"/>
        </w:rPr>
        <w:t>received</w:t>
      </w:r>
      <w:r>
        <w:rPr>
          <w:spacing w:val="-3"/>
          <w:sz w:val="24"/>
        </w:rPr>
        <w:t> </w:t>
      </w:r>
      <w:r>
        <w:rPr>
          <w:sz w:val="24"/>
        </w:rPr>
        <w:t>in</w:t>
      </w:r>
      <w:r>
        <w:rPr>
          <w:spacing w:val="-3"/>
          <w:sz w:val="24"/>
        </w:rPr>
        <w:t> </w:t>
      </w:r>
      <w:r>
        <w:rPr>
          <w:sz w:val="24"/>
        </w:rPr>
        <w:t>the</w:t>
      </w:r>
      <w:r>
        <w:rPr>
          <w:spacing w:val="-3"/>
          <w:sz w:val="24"/>
        </w:rPr>
        <w:t> </w:t>
      </w:r>
      <w:r>
        <w:rPr>
          <w:sz w:val="24"/>
        </w:rPr>
        <w:t>BEP office within five days after the due date, the licensed manager will be placed on probation and is not eligible to make application into the selection process. Merchandise loan payments are due at the time monthly reports and set-aside payments are due. (612:25-6-22)</w:t>
      </w:r>
    </w:p>
    <w:p>
      <w:pPr>
        <w:pStyle w:val="ListParagraph"/>
        <w:numPr>
          <w:ilvl w:val="1"/>
          <w:numId w:val="384"/>
        </w:numPr>
        <w:tabs>
          <w:tab w:pos="1217" w:val="left" w:leader="none"/>
        </w:tabs>
        <w:spacing w:line="208" w:lineRule="auto" w:before="239" w:after="0"/>
        <w:ind w:left="792" w:right="732" w:firstLine="0"/>
        <w:jc w:val="left"/>
        <w:rPr>
          <w:sz w:val="24"/>
        </w:rPr>
      </w:pPr>
      <w:r>
        <w:rPr>
          <w:sz w:val="24"/>
        </w:rPr>
        <w:t>If a licensed manager's merchandise loan payment remains delinquent through the</w:t>
      </w:r>
      <w:r>
        <w:rPr>
          <w:spacing w:val="-3"/>
          <w:sz w:val="24"/>
        </w:rPr>
        <w:t> </w:t>
      </w:r>
      <w:r>
        <w:rPr>
          <w:sz w:val="24"/>
        </w:rPr>
        <w:t>succeeding</w:t>
      </w:r>
      <w:r>
        <w:rPr>
          <w:spacing w:val="-3"/>
          <w:sz w:val="24"/>
        </w:rPr>
        <w:t> </w:t>
      </w:r>
      <w:r>
        <w:rPr>
          <w:sz w:val="24"/>
        </w:rPr>
        <w:t>month</w:t>
      </w:r>
      <w:r>
        <w:rPr>
          <w:spacing w:val="-2"/>
          <w:sz w:val="24"/>
        </w:rPr>
        <w:t> </w:t>
      </w:r>
      <w:r>
        <w:rPr>
          <w:sz w:val="24"/>
        </w:rPr>
        <w:t>and</w:t>
      </w:r>
      <w:r>
        <w:rPr>
          <w:spacing w:val="-3"/>
          <w:sz w:val="24"/>
        </w:rPr>
        <w:t> </w:t>
      </w:r>
      <w:r>
        <w:rPr>
          <w:sz w:val="24"/>
        </w:rPr>
        <w:t>is</w:t>
      </w:r>
      <w:r>
        <w:rPr>
          <w:spacing w:val="-3"/>
          <w:sz w:val="24"/>
        </w:rPr>
        <w:t> </w:t>
      </w:r>
      <w:r>
        <w:rPr>
          <w:sz w:val="24"/>
        </w:rPr>
        <w:t>not</w:t>
      </w:r>
      <w:r>
        <w:rPr>
          <w:spacing w:val="-4"/>
          <w:sz w:val="24"/>
        </w:rPr>
        <w:t> </w:t>
      </w:r>
      <w:r>
        <w:rPr>
          <w:sz w:val="24"/>
        </w:rPr>
        <w:t>received</w:t>
      </w:r>
      <w:r>
        <w:rPr>
          <w:spacing w:val="-3"/>
          <w:sz w:val="24"/>
        </w:rPr>
        <w:t> </w:t>
      </w:r>
      <w:r>
        <w:rPr>
          <w:sz w:val="24"/>
        </w:rPr>
        <w:t>in</w:t>
      </w:r>
      <w:r>
        <w:rPr>
          <w:spacing w:val="-2"/>
          <w:sz w:val="24"/>
        </w:rPr>
        <w:t> </w:t>
      </w:r>
      <w:r>
        <w:rPr>
          <w:sz w:val="24"/>
        </w:rPr>
        <w:t>the</w:t>
      </w:r>
      <w:r>
        <w:rPr>
          <w:spacing w:val="-3"/>
          <w:sz w:val="24"/>
        </w:rPr>
        <w:t> </w:t>
      </w:r>
      <w:r>
        <w:rPr>
          <w:sz w:val="24"/>
        </w:rPr>
        <w:t>BEP</w:t>
      </w:r>
      <w:r>
        <w:rPr>
          <w:spacing w:val="-3"/>
          <w:sz w:val="24"/>
        </w:rPr>
        <w:t> </w:t>
      </w:r>
      <w:r>
        <w:rPr>
          <w:sz w:val="24"/>
        </w:rPr>
        <w:t>office</w:t>
      </w:r>
      <w:r>
        <w:rPr>
          <w:spacing w:val="-3"/>
          <w:sz w:val="24"/>
        </w:rPr>
        <w:t> </w:t>
      </w:r>
      <w:r>
        <w:rPr>
          <w:sz w:val="24"/>
        </w:rPr>
        <w:t>within</w:t>
      </w:r>
      <w:r>
        <w:rPr>
          <w:spacing w:val="-3"/>
          <w:sz w:val="24"/>
        </w:rPr>
        <w:t> </w:t>
      </w:r>
      <w:r>
        <w:rPr>
          <w:sz w:val="24"/>
        </w:rPr>
        <w:t>five</w:t>
      </w:r>
      <w:r>
        <w:rPr>
          <w:spacing w:val="-3"/>
          <w:sz w:val="24"/>
        </w:rPr>
        <w:t> </w:t>
      </w:r>
      <w:r>
        <w:rPr>
          <w:sz w:val="24"/>
        </w:rPr>
        <w:t>days</w:t>
      </w:r>
      <w:r>
        <w:rPr>
          <w:spacing w:val="-3"/>
          <w:sz w:val="24"/>
        </w:rPr>
        <w:t> </w:t>
      </w:r>
      <w:r>
        <w:rPr>
          <w:sz w:val="24"/>
        </w:rPr>
        <w:t>after</w:t>
      </w:r>
      <w:r>
        <w:rPr>
          <w:spacing w:val="-2"/>
          <w:sz w:val="24"/>
        </w:rPr>
        <w:t> </w:t>
      </w:r>
      <w:r>
        <w:rPr>
          <w:sz w:val="24"/>
        </w:rPr>
        <w:t>the succeeding month's due date, the BEP operations coordinator will recommend suspension or termination of the operator's agreement by the SLA director unless</w:t>
      </w:r>
      <w:r>
        <w:rPr>
          <w:sz w:val="24"/>
        </w:rPr>
        <w:t> an alternate repayment schedule has been approved by the SLA.</w:t>
      </w:r>
      <w:r>
        <w:rPr>
          <w:spacing w:val="40"/>
          <w:sz w:val="24"/>
        </w:rPr>
        <w:t> </w:t>
      </w:r>
      <w:r>
        <w:rPr>
          <w:sz w:val="24"/>
        </w:rPr>
        <w:t>The SLA will initiate action to collect a remaining merchandise loan balance when a loan</w:t>
      </w:r>
      <w:r>
        <w:rPr>
          <w:spacing w:val="40"/>
          <w:sz w:val="24"/>
        </w:rPr>
        <w:t> </w:t>
      </w:r>
      <w:r>
        <w:rPr>
          <w:sz w:val="24"/>
        </w:rPr>
        <w:t>payment is two months overdue.</w:t>
      </w:r>
    </w:p>
    <w:p>
      <w:pPr>
        <w:pStyle w:val="ListParagraph"/>
        <w:numPr>
          <w:ilvl w:val="1"/>
          <w:numId w:val="384"/>
        </w:numPr>
        <w:tabs>
          <w:tab w:pos="1217" w:val="left" w:leader="none"/>
        </w:tabs>
        <w:spacing w:line="208" w:lineRule="auto" w:before="239" w:after="0"/>
        <w:ind w:left="792" w:right="787" w:firstLine="0"/>
        <w:jc w:val="both"/>
        <w:rPr>
          <w:sz w:val="24"/>
        </w:rPr>
      </w:pPr>
      <w:r>
        <w:rPr>
          <w:sz w:val="24"/>
        </w:rPr>
        <w:t>When</w:t>
      </w:r>
      <w:r>
        <w:rPr>
          <w:spacing w:val="-3"/>
          <w:sz w:val="24"/>
        </w:rPr>
        <w:t> </w:t>
      </w:r>
      <w:r>
        <w:rPr>
          <w:sz w:val="24"/>
        </w:rPr>
        <w:t>a</w:t>
      </w:r>
      <w:r>
        <w:rPr>
          <w:spacing w:val="-3"/>
          <w:sz w:val="24"/>
        </w:rPr>
        <w:t> </w:t>
      </w:r>
      <w:r>
        <w:rPr>
          <w:sz w:val="24"/>
        </w:rPr>
        <w:t>licensed</w:t>
      </w:r>
      <w:r>
        <w:rPr>
          <w:spacing w:val="-3"/>
          <w:sz w:val="24"/>
        </w:rPr>
        <w:t> </w:t>
      </w:r>
      <w:r>
        <w:rPr>
          <w:sz w:val="24"/>
        </w:rPr>
        <w:t>manager</w:t>
      </w:r>
      <w:r>
        <w:rPr>
          <w:spacing w:val="-2"/>
          <w:sz w:val="24"/>
        </w:rPr>
        <w:t> </w:t>
      </w:r>
      <w:r>
        <w:rPr>
          <w:sz w:val="24"/>
        </w:rPr>
        <w:t>leaves</w:t>
      </w:r>
      <w:r>
        <w:rPr>
          <w:spacing w:val="-3"/>
          <w:sz w:val="24"/>
        </w:rPr>
        <w:t> </w:t>
      </w:r>
      <w:r>
        <w:rPr>
          <w:sz w:val="24"/>
        </w:rPr>
        <w:t>the</w:t>
      </w:r>
      <w:r>
        <w:rPr>
          <w:spacing w:val="-3"/>
          <w:sz w:val="24"/>
        </w:rPr>
        <w:t> </w:t>
      </w:r>
      <w:r>
        <w:rPr>
          <w:sz w:val="24"/>
        </w:rPr>
        <w:t>program</w:t>
      </w:r>
      <w:r>
        <w:rPr>
          <w:spacing w:val="-2"/>
          <w:sz w:val="24"/>
        </w:rPr>
        <w:t> </w:t>
      </w:r>
      <w:r>
        <w:rPr>
          <w:sz w:val="24"/>
        </w:rPr>
        <w:t>for</w:t>
      </w:r>
      <w:r>
        <w:rPr>
          <w:spacing w:val="-3"/>
          <w:sz w:val="24"/>
        </w:rPr>
        <w:t> </w:t>
      </w:r>
      <w:r>
        <w:rPr>
          <w:sz w:val="24"/>
        </w:rPr>
        <w:t>any</w:t>
      </w:r>
      <w:r>
        <w:rPr>
          <w:spacing w:val="-3"/>
          <w:sz w:val="24"/>
        </w:rPr>
        <w:t> </w:t>
      </w:r>
      <w:r>
        <w:rPr>
          <w:sz w:val="24"/>
        </w:rPr>
        <w:t>reason,</w:t>
      </w:r>
      <w:r>
        <w:rPr>
          <w:spacing w:val="-3"/>
          <w:sz w:val="24"/>
        </w:rPr>
        <w:t> </w:t>
      </w:r>
      <w:r>
        <w:rPr>
          <w:sz w:val="24"/>
        </w:rPr>
        <w:t>the</w:t>
      </w:r>
      <w:r>
        <w:rPr>
          <w:spacing w:val="-3"/>
          <w:sz w:val="24"/>
        </w:rPr>
        <w:t> </w:t>
      </w:r>
      <w:r>
        <w:rPr>
          <w:sz w:val="24"/>
        </w:rPr>
        <w:t>merchandise loan</w:t>
      </w:r>
      <w:r>
        <w:rPr>
          <w:spacing w:val="-3"/>
          <w:sz w:val="24"/>
        </w:rPr>
        <w:t> </w:t>
      </w:r>
      <w:r>
        <w:rPr>
          <w:sz w:val="24"/>
        </w:rPr>
        <w:t>is</w:t>
      </w:r>
      <w:r>
        <w:rPr>
          <w:spacing w:val="-3"/>
          <w:sz w:val="24"/>
        </w:rPr>
        <w:t> </w:t>
      </w:r>
      <w:r>
        <w:rPr>
          <w:sz w:val="24"/>
        </w:rPr>
        <w:t>due</w:t>
      </w:r>
      <w:r>
        <w:rPr>
          <w:spacing w:val="-2"/>
          <w:sz w:val="24"/>
        </w:rPr>
        <w:t> </w:t>
      </w:r>
      <w:r>
        <w:rPr>
          <w:sz w:val="24"/>
        </w:rPr>
        <w:t>in</w:t>
      </w:r>
      <w:r>
        <w:rPr>
          <w:spacing w:val="-3"/>
          <w:sz w:val="24"/>
        </w:rPr>
        <w:t> </w:t>
      </w:r>
      <w:r>
        <w:rPr>
          <w:sz w:val="24"/>
        </w:rPr>
        <w:t>full</w:t>
      </w:r>
      <w:r>
        <w:rPr>
          <w:spacing w:val="-3"/>
          <w:sz w:val="24"/>
        </w:rPr>
        <w:t> </w:t>
      </w:r>
      <w:r>
        <w:rPr>
          <w:sz w:val="24"/>
        </w:rPr>
        <w:t>unless</w:t>
      </w:r>
      <w:r>
        <w:rPr>
          <w:spacing w:val="-3"/>
          <w:sz w:val="24"/>
        </w:rPr>
        <w:t> </w:t>
      </w:r>
      <w:r>
        <w:rPr>
          <w:sz w:val="24"/>
        </w:rPr>
        <w:t>arrangements</w:t>
      </w:r>
      <w:r>
        <w:rPr>
          <w:spacing w:val="-3"/>
          <w:sz w:val="24"/>
        </w:rPr>
        <w:t> </w:t>
      </w:r>
      <w:r>
        <w:rPr>
          <w:sz w:val="24"/>
        </w:rPr>
        <w:t>are</w:t>
      </w:r>
      <w:r>
        <w:rPr>
          <w:spacing w:val="-3"/>
          <w:sz w:val="24"/>
        </w:rPr>
        <w:t> </w:t>
      </w:r>
      <w:r>
        <w:rPr>
          <w:sz w:val="24"/>
        </w:rPr>
        <w:t>made</w:t>
      </w:r>
      <w:r>
        <w:rPr>
          <w:spacing w:val="-3"/>
          <w:sz w:val="24"/>
        </w:rPr>
        <w:t> </w:t>
      </w:r>
      <w:r>
        <w:rPr>
          <w:sz w:val="24"/>
        </w:rPr>
        <w:t>with</w:t>
      </w:r>
      <w:r>
        <w:rPr>
          <w:spacing w:val="-3"/>
          <w:sz w:val="24"/>
        </w:rPr>
        <w:t> </w:t>
      </w:r>
      <w:r>
        <w:rPr>
          <w:sz w:val="24"/>
        </w:rPr>
        <w:t>the</w:t>
      </w:r>
      <w:r>
        <w:rPr>
          <w:spacing w:val="-3"/>
          <w:sz w:val="24"/>
        </w:rPr>
        <w:t> </w:t>
      </w:r>
      <w:r>
        <w:rPr>
          <w:sz w:val="24"/>
        </w:rPr>
        <w:t>SLA</w:t>
      </w:r>
      <w:r>
        <w:rPr>
          <w:spacing w:val="-3"/>
          <w:sz w:val="24"/>
        </w:rPr>
        <w:t> </w:t>
      </w:r>
      <w:r>
        <w:rPr>
          <w:sz w:val="24"/>
        </w:rPr>
        <w:t>to</w:t>
      </w:r>
      <w:r>
        <w:rPr>
          <w:spacing w:val="-3"/>
          <w:sz w:val="24"/>
        </w:rPr>
        <w:t> </w:t>
      </w:r>
      <w:r>
        <w:rPr>
          <w:sz w:val="24"/>
        </w:rPr>
        <w:t>divide</w:t>
      </w:r>
      <w:r>
        <w:rPr>
          <w:spacing w:val="-3"/>
          <w:sz w:val="24"/>
        </w:rPr>
        <w:t> </w:t>
      </w:r>
      <w:r>
        <w:rPr>
          <w:sz w:val="24"/>
        </w:rPr>
        <w:t>the</w:t>
      </w:r>
      <w:r>
        <w:rPr>
          <w:spacing w:val="-3"/>
          <w:sz w:val="24"/>
        </w:rPr>
        <w:t> </w:t>
      </w:r>
      <w:r>
        <w:rPr>
          <w:sz w:val="24"/>
        </w:rPr>
        <w:t>balance into twelve (12) equal payments that will be due on the first day of each month.</w:t>
      </w:r>
    </w:p>
    <w:p>
      <w:pPr>
        <w:pStyle w:val="Heading2"/>
        <w:numPr>
          <w:ilvl w:val="0"/>
          <w:numId w:val="384"/>
        </w:numPr>
        <w:tabs>
          <w:tab w:pos="786" w:val="left" w:leader="none"/>
        </w:tabs>
        <w:spacing w:line="240" w:lineRule="auto" w:before="211" w:after="0"/>
        <w:ind w:left="786" w:right="0" w:hanging="426"/>
        <w:jc w:val="left"/>
      </w:pPr>
      <w:r>
        <w:rPr/>
        <w:t>Second</w:t>
      </w:r>
      <w:r>
        <w:rPr>
          <w:spacing w:val="-6"/>
        </w:rPr>
        <w:t> </w:t>
      </w:r>
      <w:r>
        <w:rPr/>
        <w:t>merchandise</w:t>
      </w:r>
      <w:r>
        <w:rPr>
          <w:spacing w:val="-6"/>
        </w:rPr>
        <w:t> </w:t>
      </w:r>
      <w:r>
        <w:rPr>
          <w:spacing w:val="-2"/>
        </w:rPr>
        <w:t>loan.</w:t>
      </w:r>
    </w:p>
    <w:p>
      <w:pPr>
        <w:pStyle w:val="ListParagraph"/>
        <w:numPr>
          <w:ilvl w:val="1"/>
          <w:numId w:val="384"/>
        </w:numPr>
        <w:tabs>
          <w:tab w:pos="1218" w:val="left" w:leader="none"/>
        </w:tabs>
        <w:spacing w:line="208" w:lineRule="auto" w:before="233" w:after="0"/>
        <w:ind w:left="792" w:right="934" w:firstLine="0"/>
        <w:jc w:val="left"/>
        <w:rPr>
          <w:sz w:val="24"/>
        </w:rPr>
      </w:pPr>
      <w:r>
        <w:rPr>
          <w:sz w:val="24"/>
        </w:rPr>
        <w:t>Under</w:t>
      </w:r>
      <w:r>
        <w:rPr>
          <w:spacing w:val="-5"/>
          <w:sz w:val="24"/>
        </w:rPr>
        <w:t> </w:t>
      </w:r>
      <w:r>
        <w:rPr>
          <w:sz w:val="24"/>
        </w:rPr>
        <w:t>documented</w:t>
      </w:r>
      <w:r>
        <w:rPr>
          <w:spacing w:val="-5"/>
          <w:sz w:val="24"/>
        </w:rPr>
        <w:t> </w:t>
      </w:r>
      <w:r>
        <w:rPr>
          <w:sz w:val="24"/>
        </w:rPr>
        <w:t>extreme</w:t>
      </w:r>
      <w:r>
        <w:rPr>
          <w:spacing w:val="-5"/>
          <w:sz w:val="24"/>
        </w:rPr>
        <w:t> </w:t>
      </w:r>
      <w:r>
        <w:rPr>
          <w:sz w:val="24"/>
        </w:rPr>
        <w:t>circumstances,</w:t>
      </w:r>
      <w:r>
        <w:rPr>
          <w:spacing w:val="-4"/>
          <w:sz w:val="24"/>
        </w:rPr>
        <w:t> </w:t>
      </w:r>
      <w:r>
        <w:rPr>
          <w:sz w:val="24"/>
        </w:rPr>
        <w:t>a</w:t>
      </w:r>
      <w:r>
        <w:rPr>
          <w:spacing w:val="-5"/>
          <w:sz w:val="24"/>
        </w:rPr>
        <w:t> </w:t>
      </w:r>
      <w:r>
        <w:rPr>
          <w:sz w:val="24"/>
        </w:rPr>
        <w:t>licensed</w:t>
      </w:r>
      <w:r>
        <w:rPr>
          <w:spacing w:val="-5"/>
          <w:sz w:val="24"/>
        </w:rPr>
        <w:t> </w:t>
      </w:r>
      <w:r>
        <w:rPr>
          <w:sz w:val="24"/>
        </w:rPr>
        <w:t>manager</w:t>
      </w:r>
      <w:r>
        <w:rPr>
          <w:spacing w:val="-4"/>
          <w:sz w:val="24"/>
        </w:rPr>
        <w:t> </w:t>
      </w:r>
      <w:r>
        <w:rPr>
          <w:sz w:val="24"/>
        </w:rPr>
        <w:t>who</w:t>
      </w:r>
      <w:r>
        <w:rPr>
          <w:spacing w:val="-5"/>
          <w:sz w:val="24"/>
        </w:rPr>
        <w:t> </w:t>
      </w:r>
      <w:r>
        <w:rPr>
          <w:sz w:val="24"/>
        </w:rPr>
        <w:t>has</w:t>
      </w:r>
      <w:r>
        <w:rPr>
          <w:spacing w:val="-5"/>
          <w:sz w:val="24"/>
        </w:rPr>
        <w:t> </w:t>
      </w:r>
      <w:r>
        <w:rPr>
          <w:sz w:val="24"/>
        </w:rPr>
        <w:t>paid off</w:t>
      </w:r>
      <w:r>
        <w:rPr>
          <w:spacing w:val="-2"/>
          <w:sz w:val="24"/>
        </w:rPr>
        <w:t> </w:t>
      </w:r>
      <w:r>
        <w:rPr>
          <w:sz w:val="24"/>
        </w:rPr>
        <w:t>his/her</w:t>
      </w:r>
      <w:r>
        <w:rPr>
          <w:spacing w:val="-4"/>
          <w:sz w:val="24"/>
        </w:rPr>
        <w:t> </w:t>
      </w:r>
      <w:r>
        <w:rPr>
          <w:sz w:val="24"/>
        </w:rPr>
        <w:t>previous</w:t>
      </w:r>
      <w:r>
        <w:rPr>
          <w:spacing w:val="-3"/>
          <w:sz w:val="24"/>
        </w:rPr>
        <w:t> </w:t>
      </w:r>
      <w:r>
        <w:rPr>
          <w:sz w:val="24"/>
        </w:rPr>
        <w:t>merchandise</w:t>
      </w:r>
      <w:r>
        <w:rPr>
          <w:spacing w:val="-2"/>
          <w:sz w:val="24"/>
        </w:rPr>
        <w:t> </w:t>
      </w:r>
      <w:r>
        <w:rPr>
          <w:sz w:val="24"/>
        </w:rPr>
        <w:t>loan</w:t>
      </w:r>
      <w:r>
        <w:rPr>
          <w:spacing w:val="-3"/>
          <w:sz w:val="24"/>
        </w:rPr>
        <w:t> </w:t>
      </w:r>
      <w:r>
        <w:rPr>
          <w:sz w:val="24"/>
        </w:rPr>
        <w:t>may</w:t>
      </w:r>
      <w:r>
        <w:rPr>
          <w:spacing w:val="-3"/>
          <w:sz w:val="24"/>
        </w:rPr>
        <w:t> </w:t>
      </w:r>
      <w:r>
        <w:rPr>
          <w:sz w:val="24"/>
        </w:rPr>
        <w:t>receive</w:t>
      </w:r>
      <w:r>
        <w:rPr>
          <w:spacing w:val="-3"/>
          <w:sz w:val="24"/>
        </w:rPr>
        <w:t> </w:t>
      </w:r>
      <w:r>
        <w:rPr>
          <w:sz w:val="24"/>
        </w:rPr>
        <w:t>a</w:t>
      </w:r>
      <w:r>
        <w:rPr>
          <w:spacing w:val="-3"/>
          <w:sz w:val="24"/>
        </w:rPr>
        <w:t> </w:t>
      </w:r>
      <w:r>
        <w:rPr>
          <w:sz w:val="24"/>
        </w:rPr>
        <w:t>second</w:t>
      </w:r>
      <w:r>
        <w:rPr>
          <w:spacing w:val="-3"/>
          <w:sz w:val="24"/>
        </w:rPr>
        <w:t> </w:t>
      </w:r>
      <w:r>
        <w:rPr>
          <w:sz w:val="24"/>
        </w:rPr>
        <w:t>merchandise</w:t>
      </w:r>
      <w:r>
        <w:rPr>
          <w:spacing w:val="-3"/>
          <w:sz w:val="24"/>
        </w:rPr>
        <w:t> </w:t>
      </w:r>
      <w:r>
        <w:rPr>
          <w:sz w:val="24"/>
        </w:rPr>
        <w:t>loan</w:t>
      </w:r>
      <w:r>
        <w:rPr>
          <w:spacing w:val="-3"/>
          <w:sz w:val="24"/>
        </w:rPr>
        <w:t> </w:t>
      </w:r>
      <w:r>
        <w:rPr>
          <w:sz w:val="24"/>
        </w:rPr>
        <w:t>for the same facility when it has been determined that the loan is necessary to allow the licensed manager to remain in his/her facility.</w:t>
      </w:r>
    </w:p>
    <w:p>
      <w:pPr>
        <w:pStyle w:val="ListParagraph"/>
        <w:numPr>
          <w:ilvl w:val="1"/>
          <w:numId w:val="384"/>
        </w:numPr>
        <w:tabs>
          <w:tab w:pos="1217" w:val="left" w:leader="none"/>
        </w:tabs>
        <w:spacing w:line="208" w:lineRule="auto" w:before="240" w:after="0"/>
        <w:ind w:left="792" w:right="720" w:firstLine="0"/>
        <w:jc w:val="both"/>
        <w:rPr>
          <w:sz w:val="24"/>
        </w:rPr>
      </w:pPr>
      <w:r>
        <w:rPr>
          <w:sz w:val="24"/>
        </w:rPr>
        <w:t>If</w:t>
      </w:r>
      <w:r>
        <w:rPr>
          <w:spacing w:val="-1"/>
          <w:sz w:val="24"/>
        </w:rPr>
        <w:t> </w:t>
      </w:r>
      <w:r>
        <w:rPr>
          <w:sz w:val="24"/>
        </w:rPr>
        <w:t>a licensed manager requires a second merchandise loan while the first loan is still</w:t>
      </w:r>
      <w:r>
        <w:rPr>
          <w:spacing w:val="-4"/>
          <w:sz w:val="24"/>
        </w:rPr>
        <w:t> </w:t>
      </w:r>
      <w:r>
        <w:rPr>
          <w:sz w:val="24"/>
        </w:rPr>
        <w:t>outstanding,</w:t>
      </w:r>
      <w:r>
        <w:rPr>
          <w:spacing w:val="-3"/>
          <w:sz w:val="24"/>
        </w:rPr>
        <w:t> </w:t>
      </w:r>
      <w:r>
        <w:rPr>
          <w:sz w:val="24"/>
        </w:rPr>
        <w:t>other</w:t>
      </w:r>
      <w:r>
        <w:rPr>
          <w:spacing w:val="-3"/>
          <w:sz w:val="24"/>
        </w:rPr>
        <w:t> </w:t>
      </w:r>
      <w:r>
        <w:rPr>
          <w:sz w:val="24"/>
        </w:rPr>
        <w:t>than</w:t>
      </w:r>
      <w:r>
        <w:rPr>
          <w:spacing w:val="-4"/>
          <w:sz w:val="24"/>
        </w:rPr>
        <w:t> </w:t>
      </w:r>
      <w:r>
        <w:rPr>
          <w:sz w:val="24"/>
        </w:rPr>
        <w:t>for</w:t>
      </w:r>
      <w:r>
        <w:rPr>
          <w:spacing w:val="-5"/>
          <w:sz w:val="24"/>
        </w:rPr>
        <w:t> </w:t>
      </w:r>
      <w:r>
        <w:rPr>
          <w:sz w:val="24"/>
        </w:rPr>
        <w:t>the</w:t>
      </w:r>
      <w:r>
        <w:rPr>
          <w:spacing w:val="-4"/>
          <w:sz w:val="24"/>
        </w:rPr>
        <w:t> </w:t>
      </w:r>
      <w:r>
        <w:rPr>
          <w:sz w:val="24"/>
        </w:rPr>
        <w:t>expansion</w:t>
      </w:r>
      <w:r>
        <w:rPr>
          <w:spacing w:val="-3"/>
          <w:sz w:val="24"/>
        </w:rPr>
        <w:t> </w:t>
      </w:r>
      <w:r>
        <w:rPr>
          <w:sz w:val="24"/>
        </w:rPr>
        <w:t>of</w:t>
      </w:r>
      <w:r>
        <w:rPr>
          <w:spacing w:val="-3"/>
          <w:sz w:val="24"/>
        </w:rPr>
        <w:t> </w:t>
      </w:r>
      <w:r>
        <w:rPr>
          <w:sz w:val="24"/>
        </w:rPr>
        <w:t>his/her</w:t>
      </w:r>
      <w:r>
        <w:rPr>
          <w:spacing w:val="-4"/>
          <w:sz w:val="24"/>
        </w:rPr>
        <w:t> </w:t>
      </w:r>
      <w:r>
        <w:rPr>
          <w:sz w:val="24"/>
        </w:rPr>
        <w:t>facility,</w:t>
      </w:r>
      <w:r>
        <w:rPr>
          <w:spacing w:val="-3"/>
          <w:sz w:val="24"/>
        </w:rPr>
        <w:t> </w:t>
      </w:r>
      <w:r>
        <w:rPr>
          <w:sz w:val="24"/>
        </w:rPr>
        <w:t>he/she</w:t>
      </w:r>
      <w:r>
        <w:rPr>
          <w:spacing w:val="-4"/>
          <w:sz w:val="24"/>
        </w:rPr>
        <w:t> </w:t>
      </w:r>
      <w:r>
        <w:rPr>
          <w:sz w:val="24"/>
        </w:rPr>
        <w:t>will</w:t>
      </w:r>
      <w:r>
        <w:rPr>
          <w:spacing w:val="-4"/>
          <w:sz w:val="24"/>
        </w:rPr>
        <w:t> </w:t>
      </w:r>
      <w:r>
        <w:rPr>
          <w:sz w:val="24"/>
        </w:rPr>
        <w:t>be</w:t>
      </w:r>
      <w:r>
        <w:rPr>
          <w:spacing w:val="-4"/>
          <w:sz w:val="24"/>
        </w:rPr>
        <w:t> </w:t>
      </w:r>
      <w:r>
        <w:rPr>
          <w:sz w:val="24"/>
        </w:rPr>
        <w:t>placed on probation until one of the loans is paid in full.</w:t>
      </w:r>
    </w:p>
    <w:p>
      <w:pPr>
        <w:pStyle w:val="ListParagraph"/>
        <w:numPr>
          <w:ilvl w:val="1"/>
          <w:numId w:val="384"/>
        </w:numPr>
        <w:tabs>
          <w:tab w:pos="1218" w:val="left" w:leader="none"/>
        </w:tabs>
        <w:spacing w:line="208" w:lineRule="auto" w:before="239" w:after="0"/>
        <w:ind w:left="792" w:right="719" w:firstLine="0"/>
        <w:jc w:val="both"/>
        <w:rPr>
          <w:sz w:val="24"/>
        </w:rPr>
      </w:pPr>
      <w:r>
        <w:rPr>
          <w:sz w:val="24"/>
        </w:rPr>
        <w:t>Second</w:t>
      </w:r>
      <w:r>
        <w:rPr>
          <w:spacing w:val="-4"/>
          <w:sz w:val="24"/>
        </w:rPr>
        <w:t> </w:t>
      </w:r>
      <w:r>
        <w:rPr>
          <w:sz w:val="24"/>
        </w:rPr>
        <w:t>merchandise</w:t>
      </w:r>
      <w:r>
        <w:rPr>
          <w:spacing w:val="-4"/>
          <w:sz w:val="24"/>
        </w:rPr>
        <w:t> </w:t>
      </w:r>
      <w:r>
        <w:rPr>
          <w:sz w:val="24"/>
        </w:rPr>
        <w:t>loans</w:t>
      </w:r>
      <w:r>
        <w:rPr>
          <w:spacing w:val="-4"/>
          <w:sz w:val="24"/>
        </w:rPr>
        <w:t> </w:t>
      </w:r>
      <w:r>
        <w:rPr>
          <w:sz w:val="24"/>
        </w:rPr>
        <w:t>for</w:t>
      </w:r>
      <w:r>
        <w:rPr>
          <w:spacing w:val="-3"/>
          <w:sz w:val="24"/>
        </w:rPr>
        <w:t> </w:t>
      </w:r>
      <w:r>
        <w:rPr>
          <w:sz w:val="24"/>
        </w:rPr>
        <w:t>the</w:t>
      </w:r>
      <w:r>
        <w:rPr>
          <w:spacing w:val="-4"/>
          <w:sz w:val="24"/>
        </w:rPr>
        <w:t> </w:t>
      </w:r>
      <w:r>
        <w:rPr>
          <w:sz w:val="24"/>
        </w:rPr>
        <w:t>purpose</w:t>
      </w:r>
      <w:r>
        <w:rPr>
          <w:spacing w:val="-4"/>
          <w:sz w:val="24"/>
        </w:rPr>
        <w:t> </w:t>
      </w:r>
      <w:r>
        <w:rPr>
          <w:sz w:val="24"/>
        </w:rPr>
        <w:t>of</w:t>
      </w:r>
      <w:r>
        <w:rPr>
          <w:spacing w:val="-3"/>
          <w:sz w:val="24"/>
        </w:rPr>
        <w:t> </w:t>
      </w:r>
      <w:r>
        <w:rPr>
          <w:sz w:val="24"/>
        </w:rPr>
        <w:t>facility</w:t>
      </w:r>
      <w:r>
        <w:rPr>
          <w:spacing w:val="-4"/>
          <w:sz w:val="24"/>
        </w:rPr>
        <w:t> </w:t>
      </w:r>
      <w:r>
        <w:rPr>
          <w:sz w:val="24"/>
        </w:rPr>
        <w:t>expansion</w:t>
      </w:r>
      <w:r>
        <w:rPr>
          <w:spacing w:val="-4"/>
          <w:sz w:val="24"/>
        </w:rPr>
        <w:t> </w:t>
      </w:r>
      <w:r>
        <w:rPr>
          <w:sz w:val="24"/>
        </w:rPr>
        <w:t>will</w:t>
      </w:r>
      <w:r>
        <w:rPr>
          <w:spacing w:val="-4"/>
          <w:sz w:val="24"/>
        </w:rPr>
        <w:t> </w:t>
      </w:r>
      <w:r>
        <w:rPr>
          <w:sz w:val="24"/>
        </w:rPr>
        <w:t>be</w:t>
      </w:r>
      <w:r>
        <w:rPr>
          <w:spacing w:val="-4"/>
          <w:sz w:val="24"/>
        </w:rPr>
        <w:t> </w:t>
      </w:r>
      <w:r>
        <w:rPr>
          <w:sz w:val="24"/>
        </w:rPr>
        <w:t>limited</w:t>
      </w:r>
      <w:r>
        <w:rPr>
          <w:spacing w:val="-4"/>
          <w:sz w:val="24"/>
        </w:rPr>
        <w:t> </w:t>
      </w:r>
      <w:r>
        <w:rPr>
          <w:sz w:val="24"/>
        </w:rPr>
        <w:t>to 50% of the cost of additional salable merchandise needed.</w:t>
      </w:r>
    </w:p>
    <w:p>
      <w:pPr>
        <w:pStyle w:val="ListParagraph"/>
        <w:numPr>
          <w:ilvl w:val="0"/>
          <w:numId w:val="384"/>
        </w:numPr>
        <w:tabs>
          <w:tab w:pos="785" w:val="left" w:leader="none"/>
        </w:tabs>
        <w:spacing w:line="208" w:lineRule="auto" w:before="240" w:after="0"/>
        <w:ind w:left="360" w:right="1084" w:firstLine="0"/>
        <w:jc w:val="left"/>
        <w:rPr>
          <w:sz w:val="24"/>
        </w:rPr>
      </w:pPr>
      <w:r>
        <w:rPr>
          <w:sz w:val="24"/>
        </w:rPr>
        <mc:AlternateContent>
          <mc:Choice Requires="wps">
            <w:drawing>
              <wp:anchor distT="0" distB="0" distL="0" distR="0" allowOverlap="1" layoutInCell="1" locked="0" behindDoc="1" simplePos="0" relativeHeight="481926144">
                <wp:simplePos x="0" y="0"/>
                <wp:positionH relativeFrom="page">
                  <wp:posOffset>4471415</wp:posOffset>
                </wp:positionH>
                <wp:positionV relativeFrom="paragraph">
                  <wp:posOffset>389862</wp:posOffset>
                </wp:positionV>
                <wp:extent cx="43180" cy="762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3180" cy="7620"/>
                        </a:xfrm>
                        <a:custGeom>
                          <a:avLst/>
                          <a:gdLst/>
                          <a:ahLst/>
                          <a:cxnLst/>
                          <a:rect l="l" t="t" r="r" b="b"/>
                          <a:pathLst>
                            <a:path w="43180" h="7620">
                              <a:moveTo>
                                <a:pt x="42672" y="0"/>
                              </a:moveTo>
                              <a:lnTo>
                                <a:pt x="0" y="0"/>
                              </a:lnTo>
                              <a:lnTo>
                                <a:pt x="0" y="7619"/>
                              </a:lnTo>
                              <a:lnTo>
                                <a:pt x="42672" y="7619"/>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2.079987pt;margin-top:30.69787pt;width:3.36pt;height:.6pt;mso-position-horizontal-relative:page;mso-position-vertical-relative:paragraph;z-index:-21390336" id="docshape8" filled="true" fillcolor="#000000" stroked="false">
                <v:fill type="solid"/>
                <w10:wrap type="none"/>
              </v:rect>
            </w:pict>
          </mc:Fallback>
        </mc:AlternateContent>
      </w:r>
      <w:r>
        <w:rPr>
          <w:sz w:val="24"/>
        </w:rPr>
        <w:t>It is the incoming Licensed Manager</w:t>
      </w:r>
      <w:r>
        <w:rPr>
          <w:sz w:val="22"/>
        </w:rPr>
        <w:t>'</w:t>
      </w:r>
      <w:r>
        <w:rPr>
          <w:sz w:val="24"/>
        </w:rPr>
        <w:t>s choice to accept or reject any and or all merchandise or personal property from</w:t>
      </w:r>
      <w:r>
        <w:rPr>
          <w:spacing w:val="-1"/>
          <w:sz w:val="24"/>
        </w:rPr>
        <w:t> </w:t>
      </w:r>
      <w:r>
        <w:rPr>
          <w:sz w:val="24"/>
        </w:rPr>
        <w:t>the</w:t>
      </w:r>
      <w:r>
        <w:rPr>
          <w:spacing w:val="-1"/>
          <w:sz w:val="24"/>
        </w:rPr>
        <w:t> </w:t>
      </w:r>
      <w:r>
        <w:rPr>
          <w:sz w:val="24"/>
        </w:rPr>
        <w:t>out-going Licensed Manager, however, a merchandise loan cannot be used to purchase property. The incoming Licensed Manager</w:t>
      </w:r>
      <w:r>
        <w:rPr>
          <w:spacing w:val="-3"/>
          <w:sz w:val="24"/>
        </w:rPr>
        <w:t> </w:t>
      </w:r>
      <w:r>
        <w:rPr>
          <w:sz w:val="24"/>
        </w:rPr>
        <w:t>must</w:t>
      </w:r>
      <w:r>
        <w:rPr>
          <w:spacing w:val="-3"/>
          <w:sz w:val="24"/>
        </w:rPr>
        <w:t> </w:t>
      </w:r>
      <w:r>
        <w:rPr>
          <w:sz w:val="24"/>
        </w:rPr>
        <w:t>notify</w:t>
      </w:r>
      <w:r>
        <w:rPr>
          <w:spacing w:val="-5"/>
          <w:sz w:val="24"/>
        </w:rPr>
        <w:t> </w:t>
      </w:r>
      <w:r>
        <w:rPr>
          <w:sz w:val="24"/>
        </w:rPr>
        <w:t>the</w:t>
      </w:r>
      <w:r>
        <w:rPr>
          <w:spacing w:val="-4"/>
          <w:sz w:val="24"/>
        </w:rPr>
        <w:t> </w:t>
      </w:r>
      <w:r>
        <w:rPr>
          <w:sz w:val="24"/>
        </w:rPr>
        <w:t>Business</w:t>
      </w:r>
      <w:r>
        <w:rPr>
          <w:spacing w:val="-3"/>
          <w:sz w:val="24"/>
        </w:rPr>
        <w:t> </w:t>
      </w:r>
      <w:r>
        <w:rPr>
          <w:sz w:val="24"/>
        </w:rPr>
        <w:t>Consultant</w:t>
      </w:r>
      <w:r>
        <w:rPr>
          <w:spacing w:val="-2"/>
          <w:sz w:val="24"/>
        </w:rPr>
        <w:t> </w:t>
      </w:r>
      <w:r>
        <w:rPr>
          <w:sz w:val="24"/>
        </w:rPr>
        <w:t>and</w:t>
      </w:r>
      <w:r>
        <w:rPr>
          <w:spacing w:val="-4"/>
          <w:sz w:val="24"/>
        </w:rPr>
        <w:t> </w:t>
      </w:r>
      <w:r>
        <w:rPr>
          <w:sz w:val="24"/>
        </w:rPr>
        <w:t>the</w:t>
      </w:r>
      <w:r>
        <w:rPr>
          <w:spacing w:val="-4"/>
          <w:sz w:val="24"/>
        </w:rPr>
        <w:t> </w:t>
      </w:r>
      <w:r>
        <w:rPr>
          <w:sz w:val="24"/>
        </w:rPr>
        <w:t>outgoing</w:t>
      </w:r>
      <w:r>
        <w:rPr>
          <w:spacing w:val="-4"/>
          <w:sz w:val="24"/>
        </w:rPr>
        <w:t> </w:t>
      </w:r>
      <w:r>
        <w:rPr>
          <w:sz w:val="24"/>
        </w:rPr>
        <w:t>Licensed</w:t>
      </w:r>
      <w:r>
        <w:rPr>
          <w:spacing w:val="-4"/>
          <w:sz w:val="24"/>
        </w:rPr>
        <w:t> </w:t>
      </w:r>
      <w:r>
        <w:rPr>
          <w:sz w:val="24"/>
        </w:rPr>
        <w:t>Manager</w:t>
      </w:r>
      <w:r>
        <w:rPr>
          <w:spacing w:val="-3"/>
          <w:sz w:val="24"/>
        </w:rPr>
        <w:t> </w:t>
      </w:r>
      <w:r>
        <w:rPr>
          <w:sz w:val="24"/>
        </w:rPr>
        <w:t>of his/her intent of purchasing outgoing manager</w:t>
      </w:r>
      <w:r>
        <w:rPr>
          <w:sz w:val="22"/>
        </w:rPr>
        <w:t>'</w:t>
      </w:r>
      <w:r>
        <w:rPr>
          <w:sz w:val="24"/>
        </w:rPr>
        <w:t>s inventory seven (7) days prior to</w:t>
      </w:r>
      <w:r>
        <w:rPr>
          <w:spacing w:val="-1"/>
          <w:sz w:val="24"/>
        </w:rPr>
        <w:t> </w:t>
      </w:r>
      <w:r>
        <w:rPr>
          <w:sz w:val="24"/>
        </w:rPr>
        <w:t>the day of the inventory count.</w:t>
      </w:r>
    </w:p>
    <w:p>
      <w:pPr>
        <w:pStyle w:val="ListParagraph"/>
        <w:numPr>
          <w:ilvl w:val="0"/>
          <w:numId w:val="384"/>
        </w:numPr>
        <w:tabs>
          <w:tab w:pos="718" w:val="left" w:leader="none"/>
        </w:tabs>
        <w:spacing w:line="208" w:lineRule="auto" w:before="240" w:after="0"/>
        <w:ind w:left="360" w:right="1314" w:firstLine="0"/>
        <w:jc w:val="left"/>
        <w:rPr>
          <w:sz w:val="24"/>
        </w:rPr>
      </w:pPr>
      <w:r>
        <w:rPr>
          <w:sz w:val="24"/>
        </w:rPr>
        <w:t>If</w:t>
      </w:r>
      <w:r>
        <w:rPr>
          <w:spacing w:val="-4"/>
          <w:sz w:val="24"/>
        </w:rPr>
        <w:t> </w:t>
      </w:r>
      <w:r>
        <w:rPr>
          <w:sz w:val="24"/>
        </w:rPr>
        <w:t>the</w:t>
      </w:r>
      <w:r>
        <w:rPr>
          <w:spacing w:val="-3"/>
          <w:sz w:val="24"/>
        </w:rPr>
        <w:t> </w:t>
      </w:r>
      <w:r>
        <w:rPr>
          <w:sz w:val="24"/>
        </w:rPr>
        <w:t>incoming</w:t>
      </w:r>
      <w:r>
        <w:rPr>
          <w:spacing w:val="-3"/>
          <w:sz w:val="24"/>
        </w:rPr>
        <w:t> </w:t>
      </w:r>
      <w:r>
        <w:rPr>
          <w:sz w:val="24"/>
        </w:rPr>
        <w:t>manager</w:t>
      </w:r>
      <w:r>
        <w:rPr>
          <w:spacing w:val="-2"/>
          <w:sz w:val="24"/>
        </w:rPr>
        <w:t> </w:t>
      </w:r>
      <w:r>
        <w:rPr>
          <w:sz w:val="24"/>
        </w:rPr>
        <w:t>rejects</w:t>
      </w:r>
      <w:r>
        <w:rPr>
          <w:spacing w:val="-3"/>
          <w:sz w:val="24"/>
        </w:rPr>
        <w:t> </w:t>
      </w:r>
      <w:r>
        <w:rPr>
          <w:sz w:val="24"/>
        </w:rPr>
        <w:t>all</w:t>
      </w:r>
      <w:r>
        <w:rPr>
          <w:spacing w:val="-3"/>
          <w:sz w:val="24"/>
        </w:rPr>
        <w:t> </w:t>
      </w:r>
      <w:r>
        <w:rPr>
          <w:sz w:val="24"/>
        </w:rPr>
        <w:t>of</w:t>
      </w:r>
      <w:r>
        <w:rPr>
          <w:spacing w:val="-2"/>
          <w:sz w:val="24"/>
        </w:rPr>
        <w:t> </w:t>
      </w:r>
      <w:r>
        <w:rPr>
          <w:sz w:val="24"/>
        </w:rPr>
        <w:t>the</w:t>
      </w:r>
      <w:r>
        <w:rPr>
          <w:spacing w:val="-4"/>
          <w:sz w:val="24"/>
        </w:rPr>
        <w:t> </w:t>
      </w:r>
      <w:r>
        <w:rPr>
          <w:sz w:val="24"/>
        </w:rPr>
        <w:t>outgoing</w:t>
      </w:r>
      <w:r>
        <w:rPr>
          <w:spacing w:val="-3"/>
          <w:sz w:val="24"/>
        </w:rPr>
        <w:t> </w:t>
      </w:r>
      <w:r>
        <w:rPr>
          <w:sz w:val="24"/>
        </w:rPr>
        <w:t>manager</w:t>
      </w:r>
      <w:r>
        <w:rPr>
          <w:sz w:val="22"/>
        </w:rPr>
        <w:t>'</w:t>
      </w:r>
      <w:r>
        <w:rPr>
          <w:sz w:val="24"/>
        </w:rPr>
        <w:t>s</w:t>
      </w:r>
      <w:r>
        <w:rPr>
          <w:spacing w:val="-3"/>
          <w:sz w:val="24"/>
        </w:rPr>
        <w:t> </w:t>
      </w:r>
      <w:r>
        <w:rPr>
          <w:sz w:val="24"/>
        </w:rPr>
        <w:t>merchandise,</w:t>
      </w:r>
      <w:r>
        <w:rPr>
          <w:spacing w:val="-2"/>
          <w:sz w:val="24"/>
        </w:rPr>
        <w:t> </w:t>
      </w:r>
      <w:r>
        <w:rPr>
          <w:sz w:val="24"/>
        </w:rPr>
        <w:t>the outgoing manager may be allowed two weeks to reduce his/her inventory, before transfer</w:t>
      </w:r>
      <w:r>
        <w:rPr>
          <w:spacing w:val="-2"/>
          <w:sz w:val="24"/>
        </w:rPr>
        <w:t> </w:t>
      </w:r>
      <w:r>
        <w:rPr>
          <w:sz w:val="24"/>
        </w:rPr>
        <w:t>of</w:t>
      </w:r>
      <w:r>
        <w:rPr>
          <w:spacing w:val="-4"/>
          <w:sz w:val="24"/>
        </w:rPr>
        <w:t> </w:t>
      </w:r>
      <w:r>
        <w:rPr>
          <w:sz w:val="24"/>
        </w:rPr>
        <w:t>facility.</w:t>
      </w:r>
      <w:r>
        <w:rPr>
          <w:spacing w:val="40"/>
          <w:sz w:val="24"/>
        </w:rPr>
        <w:t> </w:t>
      </w:r>
      <w:r>
        <w:rPr>
          <w:sz w:val="24"/>
        </w:rPr>
        <w:t>This</w:t>
      </w:r>
      <w:r>
        <w:rPr>
          <w:spacing w:val="-3"/>
          <w:sz w:val="24"/>
        </w:rPr>
        <w:t> </w:t>
      </w:r>
      <w:r>
        <w:rPr>
          <w:sz w:val="24"/>
        </w:rPr>
        <w:t>two</w:t>
      </w:r>
      <w:r>
        <w:rPr>
          <w:spacing w:val="-3"/>
          <w:sz w:val="24"/>
        </w:rPr>
        <w:t> </w:t>
      </w:r>
      <w:r>
        <w:rPr>
          <w:sz w:val="24"/>
        </w:rPr>
        <w:t>week</w:t>
      </w:r>
      <w:r>
        <w:rPr>
          <w:spacing w:val="-3"/>
          <w:sz w:val="24"/>
        </w:rPr>
        <w:t> </w:t>
      </w:r>
      <w:r>
        <w:rPr>
          <w:sz w:val="24"/>
        </w:rPr>
        <w:t>period</w:t>
      </w:r>
      <w:r>
        <w:rPr>
          <w:spacing w:val="-3"/>
          <w:sz w:val="24"/>
        </w:rPr>
        <w:t> </w:t>
      </w:r>
      <w:r>
        <w:rPr>
          <w:sz w:val="24"/>
        </w:rPr>
        <w:t>must</w:t>
      </w:r>
      <w:r>
        <w:rPr>
          <w:spacing w:val="-2"/>
          <w:sz w:val="24"/>
        </w:rPr>
        <w:t> </w:t>
      </w:r>
      <w:r>
        <w:rPr>
          <w:sz w:val="24"/>
        </w:rPr>
        <w:t>be</w:t>
      </w:r>
      <w:r>
        <w:rPr>
          <w:spacing w:val="-3"/>
          <w:sz w:val="24"/>
        </w:rPr>
        <w:t> </w:t>
      </w:r>
      <w:r>
        <w:rPr>
          <w:sz w:val="24"/>
        </w:rPr>
        <w:t>approved</w:t>
      </w:r>
      <w:r>
        <w:rPr>
          <w:spacing w:val="-3"/>
          <w:sz w:val="24"/>
        </w:rPr>
        <w:t> </w:t>
      </w:r>
      <w:r>
        <w:rPr>
          <w:sz w:val="24"/>
        </w:rPr>
        <w:t>by</w:t>
      </w:r>
      <w:r>
        <w:rPr>
          <w:spacing w:val="-3"/>
          <w:sz w:val="24"/>
        </w:rPr>
        <w:t> </w:t>
      </w:r>
      <w:r>
        <w:rPr>
          <w:sz w:val="24"/>
        </w:rPr>
        <w:t>the</w:t>
      </w:r>
      <w:r>
        <w:rPr>
          <w:spacing w:val="-4"/>
          <w:sz w:val="24"/>
        </w:rPr>
        <w:t> </w:t>
      </w:r>
      <w:r>
        <w:rPr>
          <w:sz w:val="24"/>
        </w:rPr>
        <w:t>BEP</w:t>
      </w:r>
      <w:r>
        <w:rPr>
          <w:spacing w:val="-3"/>
          <w:sz w:val="24"/>
        </w:rPr>
        <w:t> </w:t>
      </w:r>
      <w:r>
        <w:rPr>
          <w:sz w:val="24"/>
        </w:rPr>
        <w:t>Operations Coordinator in consultation with the ECM chair.</w:t>
      </w:r>
    </w:p>
    <w:p>
      <w:pPr>
        <w:pStyle w:val="ListParagraph"/>
        <w:numPr>
          <w:ilvl w:val="0"/>
          <w:numId w:val="384"/>
        </w:numPr>
        <w:tabs>
          <w:tab w:pos="785" w:val="left" w:leader="none"/>
        </w:tabs>
        <w:spacing w:line="208" w:lineRule="auto" w:before="239" w:after="0"/>
        <w:ind w:left="360" w:right="768" w:firstLine="0"/>
        <w:jc w:val="left"/>
        <w:rPr>
          <w:sz w:val="24"/>
        </w:rPr>
      </w:pPr>
      <w:r>
        <w:rPr>
          <w:sz w:val="24"/>
        </w:rPr>
        <w:t>In order to expedite the processing of merchandise loans, the outgoing manager must</w:t>
      </w:r>
      <w:r>
        <w:rPr>
          <w:spacing w:val="-3"/>
          <w:sz w:val="24"/>
        </w:rPr>
        <w:t> </w:t>
      </w:r>
      <w:r>
        <w:rPr>
          <w:sz w:val="24"/>
        </w:rPr>
        <w:t>provide</w:t>
      </w:r>
      <w:r>
        <w:rPr>
          <w:spacing w:val="-4"/>
          <w:sz w:val="24"/>
        </w:rPr>
        <w:t> </w:t>
      </w:r>
      <w:r>
        <w:rPr>
          <w:sz w:val="24"/>
        </w:rPr>
        <w:t>a</w:t>
      </w:r>
      <w:r>
        <w:rPr>
          <w:spacing w:val="-4"/>
          <w:sz w:val="24"/>
        </w:rPr>
        <w:t> </w:t>
      </w:r>
      <w:r>
        <w:rPr>
          <w:sz w:val="24"/>
        </w:rPr>
        <w:t>merchandise</w:t>
      </w:r>
      <w:r>
        <w:rPr>
          <w:spacing w:val="-4"/>
          <w:sz w:val="24"/>
        </w:rPr>
        <w:t> </w:t>
      </w:r>
      <w:r>
        <w:rPr>
          <w:sz w:val="24"/>
        </w:rPr>
        <w:t>price</w:t>
      </w:r>
      <w:r>
        <w:rPr>
          <w:spacing w:val="-4"/>
          <w:sz w:val="24"/>
        </w:rPr>
        <w:t> </w:t>
      </w:r>
      <w:r>
        <w:rPr>
          <w:sz w:val="24"/>
        </w:rPr>
        <w:t>list</w:t>
      </w:r>
      <w:r>
        <w:rPr>
          <w:spacing w:val="-3"/>
          <w:sz w:val="24"/>
        </w:rPr>
        <w:t> </w:t>
      </w:r>
      <w:r>
        <w:rPr>
          <w:sz w:val="24"/>
        </w:rPr>
        <w:t>to</w:t>
      </w:r>
      <w:r>
        <w:rPr>
          <w:spacing w:val="-4"/>
          <w:sz w:val="24"/>
        </w:rPr>
        <w:t> </w:t>
      </w:r>
      <w:r>
        <w:rPr>
          <w:sz w:val="24"/>
        </w:rPr>
        <w:t>the</w:t>
      </w:r>
      <w:r>
        <w:rPr>
          <w:spacing w:val="-5"/>
          <w:sz w:val="24"/>
        </w:rPr>
        <w:t> </w:t>
      </w:r>
      <w:r>
        <w:rPr>
          <w:sz w:val="24"/>
        </w:rPr>
        <w:t>business</w:t>
      </w:r>
      <w:r>
        <w:rPr>
          <w:spacing w:val="-4"/>
          <w:sz w:val="24"/>
        </w:rPr>
        <w:t> </w:t>
      </w:r>
      <w:r>
        <w:rPr>
          <w:sz w:val="24"/>
        </w:rPr>
        <w:t>consultant</w:t>
      </w:r>
      <w:r>
        <w:rPr>
          <w:spacing w:val="-3"/>
          <w:sz w:val="24"/>
        </w:rPr>
        <w:t> </w:t>
      </w:r>
      <w:r>
        <w:rPr>
          <w:sz w:val="24"/>
        </w:rPr>
        <w:t>and</w:t>
      </w:r>
      <w:r>
        <w:rPr>
          <w:spacing w:val="-4"/>
          <w:sz w:val="24"/>
        </w:rPr>
        <w:t> </w:t>
      </w:r>
      <w:r>
        <w:rPr>
          <w:sz w:val="24"/>
        </w:rPr>
        <w:t>incoming</w:t>
      </w:r>
      <w:r>
        <w:rPr>
          <w:spacing w:val="-4"/>
          <w:sz w:val="24"/>
        </w:rPr>
        <w:t> </w:t>
      </w:r>
      <w:r>
        <w:rPr>
          <w:sz w:val="24"/>
        </w:rPr>
        <w:t>manager seven (7) days before the day of the inventory count.</w:t>
      </w:r>
    </w:p>
    <w:p>
      <w:pPr>
        <w:pStyle w:val="ListParagraph"/>
        <w:spacing w:after="0" w:line="208" w:lineRule="auto"/>
        <w:jc w:val="left"/>
        <w:rPr>
          <w:sz w:val="24"/>
        </w:rPr>
        <w:sectPr>
          <w:pgSz w:w="12240" w:h="15840"/>
          <w:pgMar w:top="1340" w:bottom="280" w:left="1080" w:right="720"/>
        </w:sectPr>
      </w:pPr>
    </w:p>
    <w:p>
      <w:pPr>
        <w:pStyle w:val="BodyText"/>
        <w:spacing w:before="67"/>
      </w:pPr>
      <w:r>
        <w:rPr/>
        <w:t>INSTRUCTIONS</w:t>
      </w:r>
      <w:r>
        <w:rPr>
          <w:spacing w:val="-3"/>
        </w:rPr>
        <w:t> </w:t>
      </w:r>
      <w:r>
        <w:rPr/>
        <w:t>TO</w:t>
      </w:r>
      <w:r>
        <w:rPr>
          <w:spacing w:val="-2"/>
        </w:rPr>
        <w:t> </w:t>
      </w:r>
      <w:r>
        <w:rPr>
          <w:spacing w:val="-4"/>
        </w:rPr>
        <w:t>STAFF</w:t>
      </w:r>
    </w:p>
    <w:p>
      <w:pPr>
        <w:pStyle w:val="BodyText"/>
        <w:spacing w:line="208" w:lineRule="auto" w:before="233"/>
        <w:ind w:left="791" w:right="1161"/>
      </w:pPr>
      <w:r>
        <w:rPr/>
        <w:t>1. Link to </w:t>
      </w:r>
      <w:r>
        <w:rPr>
          <w:color w:val="0000FF"/>
          <w:u w:val="single" w:color="0000FF"/>
        </w:rPr>
        <w:t>612:10-7-230.4</w:t>
      </w:r>
      <w:r>
        <w:rPr>
          <w:u w:val="none"/>
        </w:rPr>
        <w:t>, which describes agency financial contribution to self- employment</w:t>
      </w:r>
      <w:r>
        <w:rPr>
          <w:spacing w:val="-3"/>
          <w:u w:val="none"/>
        </w:rPr>
        <w:t> </w:t>
      </w:r>
      <w:r>
        <w:rPr>
          <w:u w:val="none"/>
        </w:rPr>
        <w:t>plans.</w:t>
      </w:r>
      <w:r>
        <w:rPr>
          <w:spacing w:val="40"/>
          <w:u w:val="none"/>
        </w:rPr>
        <w:t> </w:t>
      </w:r>
      <w:r>
        <w:rPr>
          <w:u w:val="none"/>
        </w:rPr>
        <w:t>The</w:t>
      </w:r>
      <w:r>
        <w:rPr>
          <w:spacing w:val="-4"/>
          <w:u w:val="none"/>
        </w:rPr>
        <w:t> </w:t>
      </w:r>
      <w:r>
        <w:rPr>
          <w:u w:val="none"/>
        </w:rPr>
        <w:t>individual’s</w:t>
      </w:r>
      <w:r>
        <w:rPr>
          <w:spacing w:val="-4"/>
          <w:u w:val="none"/>
        </w:rPr>
        <w:t> </w:t>
      </w:r>
      <w:r>
        <w:rPr>
          <w:u w:val="none"/>
        </w:rPr>
        <w:t>DVR/DSBVI</w:t>
      </w:r>
      <w:r>
        <w:rPr>
          <w:spacing w:val="-4"/>
          <w:u w:val="none"/>
        </w:rPr>
        <w:t> </w:t>
      </w:r>
      <w:r>
        <w:rPr>
          <w:u w:val="none"/>
        </w:rPr>
        <w:t>counselor</w:t>
      </w:r>
      <w:r>
        <w:rPr>
          <w:spacing w:val="-3"/>
          <w:u w:val="none"/>
        </w:rPr>
        <w:t> </w:t>
      </w:r>
      <w:r>
        <w:rPr>
          <w:u w:val="none"/>
        </w:rPr>
        <w:t>may</w:t>
      </w:r>
      <w:r>
        <w:rPr>
          <w:spacing w:val="-5"/>
          <w:u w:val="none"/>
        </w:rPr>
        <w:t> </w:t>
      </w:r>
      <w:r>
        <w:rPr>
          <w:u w:val="none"/>
        </w:rPr>
        <w:t>be</w:t>
      </w:r>
      <w:r>
        <w:rPr>
          <w:spacing w:val="-4"/>
          <w:u w:val="none"/>
        </w:rPr>
        <w:t> </w:t>
      </w:r>
      <w:r>
        <w:rPr>
          <w:u w:val="none"/>
        </w:rPr>
        <w:t>consulted</w:t>
      </w:r>
      <w:r>
        <w:rPr>
          <w:spacing w:val="-4"/>
          <w:u w:val="none"/>
        </w:rPr>
        <w:t> </w:t>
      </w:r>
      <w:r>
        <w:rPr>
          <w:u w:val="none"/>
        </w:rPr>
        <w:t>to determine agency financial assistance that may be provided in accordance with </w:t>
      </w:r>
      <w:r>
        <w:rPr>
          <w:color w:val="0000FF"/>
          <w:u w:val="single" w:color="0000FF"/>
        </w:rPr>
        <w:t>612:10-7-230.4</w:t>
      </w:r>
      <w:r>
        <w:rPr>
          <w:color w:val="0000FF"/>
          <w:u w:val="none"/>
        </w:rPr>
        <w:t> </w:t>
      </w:r>
      <w:r>
        <w:rPr>
          <w:u w:val="none"/>
        </w:rPr>
        <w:t>for the acquisition of initial inventory.</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7-1-05</w:t>
      </w:r>
      <w:r>
        <w:rPr>
          <w:sz w:val="22"/>
        </w:rPr>
        <w:tab/>
        <w:t>PT Memo #06-01</w:t>
      </w:r>
    </w:p>
    <w:p>
      <w:pPr>
        <w:spacing w:before="0"/>
        <w:ind w:left="1439" w:right="0" w:firstLine="0"/>
        <w:jc w:val="left"/>
        <w:rPr>
          <w:sz w:val="22"/>
        </w:rPr>
      </w:pPr>
      <w:r>
        <w:rPr>
          <w:sz w:val="22"/>
        </w:rPr>
        <w:t>Permanent,</w:t>
      </w:r>
      <w:r>
        <w:rPr>
          <w:spacing w:val="-10"/>
          <w:sz w:val="22"/>
        </w:rPr>
        <w:t> </w:t>
      </w:r>
      <w:r>
        <w:rPr>
          <w:sz w:val="22"/>
        </w:rPr>
        <w:t>cleanup</w:t>
      </w:r>
      <w:r>
        <w:rPr>
          <w:spacing w:val="-11"/>
          <w:sz w:val="22"/>
        </w:rPr>
        <w:t> </w:t>
      </w:r>
      <w:r>
        <w:rPr>
          <w:spacing w:val="-2"/>
          <w:sz w:val="22"/>
        </w:rPr>
        <w:t>language</w:t>
      </w:r>
    </w:p>
    <w:p>
      <w:pPr>
        <w:pStyle w:val="ListParagraph"/>
        <w:numPr>
          <w:ilvl w:val="2"/>
          <w:numId w:val="273"/>
        </w:numPr>
        <w:tabs>
          <w:tab w:pos="1439" w:val="left" w:leader="none"/>
        </w:tabs>
        <w:spacing w:line="240" w:lineRule="auto" w:before="0" w:after="0"/>
        <w:ind w:left="359" w:right="4828" w:firstLine="0"/>
        <w:jc w:val="left"/>
        <w:rPr>
          <w:sz w:val="22"/>
        </w:rPr>
      </w:pPr>
      <w:r>
        <w:rPr>
          <w:sz w:val="22"/>
        </w:rPr>
        <w:t>Permanent,</w:t>
      </w:r>
      <w:r>
        <w:rPr>
          <w:spacing w:val="-7"/>
          <w:sz w:val="22"/>
        </w:rPr>
        <w:t> </w:t>
      </w:r>
      <w:r>
        <w:rPr>
          <w:sz w:val="22"/>
        </w:rPr>
        <w:t>updated</w:t>
      </w:r>
      <w:r>
        <w:rPr>
          <w:spacing w:val="-8"/>
          <w:sz w:val="22"/>
        </w:rPr>
        <w:t> </w:t>
      </w:r>
      <w:r>
        <w:rPr>
          <w:sz w:val="22"/>
        </w:rPr>
        <w:t>language</w:t>
      </w:r>
      <w:r>
        <w:rPr>
          <w:spacing w:val="-8"/>
          <w:sz w:val="22"/>
        </w:rPr>
        <w:t> </w:t>
      </w:r>
      <w:r>
        <w:rPr>
          <w:sz w:val="22"/>
        </w:rPr>
        <w:t>due</w:t>
      </w:r>
      <w:r>
        <w:rPr>
          <w:spacing w:val="-8"/>
          <w:sz w:val="22"/>
        </w:rPr>
        <w:t> </w:t>
      </w:r>
      <w:r>
        <w:rPr>
          <w:sz w:val="22"/>
        </w:rPr>
        <w:t>to</w:t>
      </w:r>
      <w:r>
        <w:rPr>
          <w:spacing w:val="-8"/>
          <w:sz w:val="22"/>
        </w:rPr>
        <w:t> </w:t>
      </w:r>
      <w:r>
        <w:rPr>
          <w:sz w:val="22"/>
        </w:rPr>
        <w:t>audit </w:t>
      </w:r>
      <w:r>
        <w:rPr>
          <w:spacing w:val="-2"/>
          <w:sz w:val="22"/>
        </w:rPr>
        <w:t>9-12-14</w:t>
      </w:r>
      <w:r>
        <w:rPr>
          <w:sz w:val="22"/>
        </w:rPr>
        <w:tab/>
        <w:t>Permanent, updated language</w:t>
      </w:r>
    </w:p>
    <w:p>
      <w:pPr>
        <w:tabs>
          <w:tab w:pos="1439" w:val="left" w:leader="none"/>
        </w:tabs>
        <w:spacing w:before="0"/>
        <w:ind w:left="1439" w:right="855" w:hanging="1080"/>
        <w:jc w:val="left"/>
        <w:rPr>
          <w:sz w:val="22"/>
        </w:rPr>
      </w:pPr>
      <w:r>
        <w:rPr>
          <w:spacing w:val="-2"/>
          <w:sz w:val="22"/>
        </w:rPr>
        <w:t>8-27-15</w:t>
      </w:r>
      <w:r>
        <w:rPr>
          <w:sz w:val="22"/>
        </w:rPr>
        <w:tab/>
        <w:t>Division</w:t>
      </w:r>
      <w:r>
        <w:rPr>
          <w:spacing w:val="-4"/>
          <w:sz w:val="22"/>
        </w:rPr>
        <w:t> </w:t>
      </w:r>
      <w:r>
        <w:rPr>
          <w:sz w:val="22"/>
        </w:rPr>
        <w:t>name</w:t>
      </w:r>
      <w:r>
        <w:rPr>
          <w:spacing w:val="-4"/>
          <w:sz w:val="22"/>
        </w:rPr>
        <w:t> </w:t>
      </w:r>
      <w:r>
        <w:rPr>
          <w:sz w:val="22"/>
        </w:rPr>
        <w:t>change</w:t>
      </w:r>
      <w:r>
        <w:rPr>
          <w:spacing w:val="-4"/>
          <w:sz w:val="22"/>
        </w:rPr>
        <w:t> </w:t>
      </w:r>
      <w:r>
        <w:rPr>
          <w:sz w:val="22"/>
        </w:rPr>
        <w:t>of</w:t>
      </w:r>
      <w:r>
        <w:rPr>
          <w:spacing w:val="-4"/>
          <w:sz w:val="22"/>
        </w:rPr>
        <w:t> </w:t>
      </w:r>
      <w:r>
        <w:rPr>
          <w:sz w:val="22"/>
        </w:rPr>
        <w:t>Visual</w:t>
      </w:r>
      <w:r>
        <w:rPr>
          <w:spacing w:val="-4"/>
          <w:sz w:val="22"/>
        </w:rPr>
        <w:t> </w:t>
      </w:r>
      <w:r>
        <w:rPr>
          <w:sz w:val="22"/>
        </w:rPr>
        <w:t>Services</w:t>
      </w:r>
      <w:r>
        <w:rPr>
          <w:spacing w:val="-4"/>
          <w:sz w:val="22"/>
        </w:rPr>
        <w:t> </w:t>
      </w:r>
      <w:r>
        <w:rPr>
          <w:sz w:val="22"/>
        </w:rPr>
        <w:t>to</w:t>
      </w:r>
      <w:r>
        <w:rPr>
          <w:spacing w:val="-5"/>
          <w:sz w:val="22"/>
        </w:rPr>
        <w:t> </w:t>
      </w:r>
      <w:r>
        <w:rPr>
          <w:sz w:val="22"/>
        </w:rPr>
        <w:t>Vocational</w:t>
      </w:r>
      <w:r>
        <w:rPr>
          <w:spacing w:val="-4"/>
          <w:sz w:val="22"/>
        </w:rPr>
        <w:t> </w:t>
      </w:r>
      <w:r>
        <w:rPr>
          <w:sz w:val="22"/>
        </w:rPr>
        <w:t>Rehabilitation</w:t>
      </w:r>
      <w:r>
        <w:rPr>
          <w:spacing w:val="-5"/>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&amp; Visually Impaired.</w:t>
      </w:r>
    </w:p>
    <w:p>
      <w:pPr>
        <w:spacing w:line="252" w:lineRule="exact" w:before="0"/>
        <w:ind w:left="1439" w:right="0" w:firstLine="0"/>
        <w:jc w:val="left"/>
        <w:rPr>
          <w:sz w:val="22"/>
        </w:rPr>
      </w:pPr>
      <w:r>
        <w:rPr>
          <w:sz w:val="22"/>
        </w:rPr>
        <w:t>Updated</w:t>
      </w:r>
      <w:r>
        <w:rPr>
          <w:spacing w:val="-7"/>
          <w:sz w:val="22"/>
        </w:rPr>
        <w:t> </w:t>
      </w:r>
      <w:r>
        <w:rPr>
          <w:sz w:val="22"/>
        </w:rPr>
        <w:t>language</w:t>
      </w:r>
      <w:r>
        <w:rPr>
          <w:spacing w:val="-7"/>
          <w:sz w:val="22"/>
        </w:rPr>
        <w:t> </w:t>
      </w:r>
      <w:r>
        <w:rPr>
          <w:sz w:val="22"/>
        </w:rPr>
        <w:t>in</w:t>
      </w:r>
      <w:r>
        <w:rPr>
          <w:spacing w:val="-7"/>
          <w:sz w:val="22"/>
        </w:rPr>
        <w:t> </w:t>
      </w:r>
      <w:r>
        <w:rPr>
          <w:sz w:val="22"/>
        </w:rPr>
        <w:t>Instructions</w:t>
      </w:r>
      <w:r>
        <w:rPr>
          <w:spacing w:val="-7"/>
          <w:sz w:val="22"/>
        </w:rPr>
        <w:t> </w:t>
      </w:r>
      <w:r>
        <w:rPr>
          <w:sz w:val="22"/>
        </w:rPr>
        <w:t>to</w:t>
      </w:r>
      <w:r>
        <w:rPr>
          <w:spacing w:val="-8"/>
          <w:sz w:val="22"/>
        </w:rPr>
        <w:t> </w:t>
      </w:r>
      <w:r>
        <w:rPr>
          <w:spacing w:val="-2"/>
          <w:sz w:val="22"/>
        </w:rPr>
        <w:t>Staff.</w:t>
      </w:r>
    </w:p>
    <w:p>
      <w:pPr>
        <w:spacing w:before="0"/>
        <w:ind w:left="1439" w:right="775" w:firstLine="0"/>
        <w:jc w:val="left"/>
        <w:rPr>
          <w:sz w:val="22"/>
        </w:rPr>
      </w:pPr>
      <w:r>
        <w:rPr>
          <w:sz w:val="22"/>
        </w:rPr>
        <w:t>Removal of language regarding a licensed manager that provides their own merchandise</w:t>
      </w:r>
      <w:r>
        <w:rPr>
          <w:spacing w:val="-3"/>
          <w:sz w:val="22"/>
        </w:rPr>
        <w:t> </w:t>
      </w:r>
      <w:r>
        <w:rPr>
          <w:sz w:val="22"/>
        </w:rPr>
        <w:t>will</w:t>
      </w:r>
      <w:r>
        <w:rPr>
          <w:spacing w:val="-3"/>
          <w:sz w:val="22"/>
        </w:rPr>
        <w:t> </w:t>
      </w:r>
      <w:r>
        <w:rPr>
          <w:sz w:val="22"/>
        </w:rPr>
        <w:t>not</w:t>
      </w:r>
      <w:r>
        <w:rPr>
          <w:spacing w:val="-3"/>
          <w:sz w:val="22"/>
        </w:rPr>
        <w:t> </w:t>
      </w:r>
      <w:r>
        <w:rPr>
          <w:sz w:val="22"/>
        </w:rPr>
        <w:t>require</w:t>
      </w:r>
      <w:r>
        <w:rPr>
          <w:spacing w:val="-3"/>
          <w:sz w:val="22"/>
        </w:rPr>
        <w:t> </w:t>
      </w:r>
      <w:r>
        <w:rPr>
          <w:sz w:val="22"/>
        </w:rPr>
        <w:t>a</w:t>
      </w:r>
      <w:r>
        <w:rPr>
          <w:spacing w:val="-3"/>
          <w:sz w:val="22"/>
        </w:rPr>
        <w:t> </w:t>
      </w:r>
      <w:r>
        <w:rPr>
          <w:sz w:val="22"/>
        </w:rPr>
        <w:t>merchandise</w:t>
      </w:r>
      <w:r>
        <w:rPr>
          <w:spacing w:val="-3"/>
          <w:sz w:val="22"/>
        </w:rPr>
        <w:t> </w:t>
      </w:r>
      <w:r>
        <w:rPr>
          <w:sz w:val="22"/>
        </w:rPr>
        <w:t>loan</w:t>
      </w:r>
      <w:r>
        <w:rPr>
          <w:spacing w:val="-3"/>
          <w:sz w:val="22"/>
        </w:rPr>
        <w:t> </w:t>
      </w:r>
      <w:r>
        <w:rPr>
          <w:sz w:val="22"/>
        </w:rPr>
        <w:t>and</w:t>
      </w:r>
      <w:r>
        <w:rPr>
          <w:spacing w:val="-3"/>
          <w:sz w:val="22"/>
        </w:rPr>
        <w:t> </w:t>
      </w:r>
      <w:r>
        <w:rPr>
          <w:sz w:val="22"/>
        </w:rPr>
        <w:t>must</w:t>
      </w:r>
      <w:r>
        <w:rPr>
          <w:spacing w:val="-3"/>
          <w:sz w:val="22"/>
        </w:rPr>
        <w:t> </w:t>
      </w:r>
      <w:r>
        <w:rPr>
          <w:sz w:val="22"/>
        </w:rPr>
        <w:t>sign</w:t>
      </w:r>
      <w:r>
        <w:rPr>
          <w:spacing w:val="-3"/>
          <w:sz w:val="22"/>
        </w:rPr>
        <w:t> </w:t>
      </w:r>
      <w:r>
        <w:rPr>
          <w:sz w:val="22"/>
        </w:rPr>
        <w:t>a</w:t>
      </w:r>
      <w:r>
        <w:rPr>
          <w:spacing w:val="-3"/>
          <w:sz w:val="22"/>
        </w:rPr>
        <w:t> </w:t>
      </w:r>
      <w:r>
        <w:rPr>
          <w:sz w:val="22"/>
        </w:rPr>
        <w:t>statement</w:t>
      </w:r>
      <w:r>
        <w:rPr>
          <w:spacing w:val="-3"/>
          <w:sz w:val="22"/>
        </w:rPr>
        <w:t> </w:t>
      </w:r>
      <w:r>
        <w:rPr>
          <w:sz w:val="22"/>
        </w:rPr>
        <w:t>to</w:t>
      </w:r>
      <w:r>
        <w:rPr>
          <w:spacing w:val="-3"/>
          <w:sz w:val="22"/>
        </w:rPr>
        <w:t> </w:t>
      </w:r>
      <w:r>
        <w:rPr>
          <w:sz w:val="22"/>
        </w:rPr>
        <w:t>that </w:t>
      </w:r>
      <w:r>
        <w:rPr>
          <w:spacing w:val="-2"/>
          <w:sz w:val="22"/>
        </w:rPr>
        <w:t>effect.</w:t>
      </w:r>
    </w:p>
    <w:p>
      <w:pPr>
        <w:tabs>
          <w:tab w:pos="1439" w:val="left" w:leader="none"/>
        </w:tabs>
        <w:spacing w:line="259" w:lineRule="auto" w:before="1"/>
        <w:ind w:left="1439" w:right="1245" w:hanging="1080"/>
        <w:jc w:val="left"/>
        <w:rPr>
          <w:sz w:val="22"/>
        </w:rPr>
      </w:pPr>
      <w:r>
        <w:rPr>
          <w:spacing w:val="-2"/>
          <w:sz w:val="22"/>
        </w:rPr>
        <w:t>9-11-22</w:t>
      </w:r>
      <w:r>
        <w:rPr>
          <w:sz w:val="22"/>
        </w:rPr>
        <w:tab/>
        <w:t>The</w:t>
      </w:r>
      <w:r>
        <w:rPr>
          <w:spacing w:val="-4"/>
          <w:sz w:val="22"/>
        </w:rPr>
        <w:t> </w:t>
      </w:r>
      <w:r>
        <w:rPr>
          <w:sz w:val="22"/>
        </w:rPr>
        <w:t>proposed</w:t>
      </w:r>
      <w:r>
        <w:rPr>
          <w:spacing w:val="-4"/>
          <w:sz w:val="22"/>
        </w:rPr>
        <w:t> </w:t>
      </w:r>
      <w:r>
        <w:rPr>
          <w:sz w:val="22"/>
        </w:rPr>
        <w:t>changes</w:t>
      </w:r>
      <w:r>
        <w:rPr>
          <w:spacing w:val="-5"/>
          <w:sz w:val="22"/>
        </w:rPr>
        <w:t> </w:t>
      </w:r>
      <w:r>
        <w:rPr>
          <w:sz w:val="22"/>
        </w:rPr>
        <w:t>includes</w:t>
      </w:r>
      <w:r>
        <w:rPr>
          <w:spacing w:val="-4"/>
          <w:sz w:val="22"/>
        </w:rPr>
        <w:t> </w:t>
      </w:r>
      <w:r>
        <w:rPr>
          <w:sz w:val="22"/>
        </w:rPr>
        <w:t>guidelines</w:t>
      </w:r>
      <w:r>
        <w:rPr>
          <w:spacing w:val="-4"/>
          <w:sz w:val="22"/>
        </w:rPr>
        <w:t> </w:t>
      </w:r>
      <w:r>
        <w:rPr>
          <w:sz w:val="22"/>
        </w:rPr>
        <w:t>for</w:t>
      </w:r>
      <w:r>
        <w:rPr>
          <w:spacing w:val="-4"/>
          <w:sz w:val="22"/>
        </w:rPr>
        <w:t> </w:t>
      </w:r>
      <w:r>
        <w:rPr>
          <w:sz w:val="22"/>
        </w:rPr>
        <w:t>a</w:t>
      </w:r>
      <w:r>
        <w:rPr>
          <w:spacing w:val="-5"/>
          <w:sz w:val="22"/>
        </w:rPr>
        <w:t> </w:t>
      </w:r>
      <w:r>
        <w:rPr>
          <w:sz w:val="22"/>
        </w:rPr>
        <w:t>merchandise</w:t>
      </w:r>
      <w:r>
        <w:rPr>
          <w:spacing w:val="-4"/>
          <w:sz w:val="22"/>
        </w:rPr>
        <w:t> </w:t>
      </w:r>
      <w:r>
        <w:rPr>
          <w:sz w:val="22"/>
        </w:rPr>
        <w:t>loan,</w:t>
      </w:r>
      <w:r>
        <w:rPr>
          <w:spacing w:val="-4"/>
          <w:sz w:val="22"/>
        </w:rPr>
        <w:t> </w:t>
      </w:r>
      <w:r>
        <w:rPr>
          <w:sz w:val="22"/>
        </w:rPr>
        <w:t>establishing timeframe for repayment, outstanding merchandise loans, approval of BEP Operations</w:t>
      </w:r>
      <w:r>
        <w:rPr>
          <w:spacing w:val="-2"/>
          <w:sz w:val="22"/>
        </w:rPr>
        <w:t> </w:t>
      </w:r>
      <w:r>
        <w:rPr>
          <w:sz w:val="22"/>
        </w:rPr>
        <w:t>Coordinator</w:t>
      </w:r>
      <w:r>
        <w:rPr>
          <w:spacing w:val="-2"/>
          <w:sz w:val="22"/>
        </w:rPr>
        <w:t> </w:t>
      </w:r>
      <w:r>
        <w:rPr>
          <w:sz w:val="22"/>
        </w:rPr>
        <w:t>for</w:t>
      </w:r>
      <w:r>
        <w:rPr>
          <w:spacing w:val="-2"/>
          <w:sz w:val="22"/>
        </w:rPr>
        <w:t> </w:t>
      </w:r>
      <w:r>
        <w:rPr>
          <w:sz w:val="22"/>
        </w:rPr>
        <w:t>satellite</w:t>
      </w:r>
      <w:r>
        <w:rPr>
          <w:spacing w:val="-2"/>
          <w:sz w:val="22"/>
        </w:rPr>
        <w:t> </w:t>
      </w:r>
      <w:r>
        <w:rPr>
          <w:sz w:val="22"/>
        </w:rPr>
        <w:t>facilities</w:t>
      </w:r>
      <w:r>
        <w:rPr>
          <w:spacing w:val="-2"/>
          <w:sz w:val="22"/>
        </w:rPr>
        <w:t> </w:t>
      </w:r>
      <w:r>
        <w:rPr>
          <w:sz w:val="22"/>
        </w:rPr>
        <w:t>and</w:t>
      </w:r>
      <w:r>
        <w:rPr>
          <w:spacing w:val="-3"/>
          <w:sz w:val="22"/>
        </w:rPr>
        <w:t> </w:t>
      </w:r>
      <w:r>
        <w:rPr>
          <w:sz w:val="22"/>
        </w:rPr>
        <w:t>existing</w:t>
      </w:r>
      <w:r>
        <w:rPr>
          <w:spacing w:val="-2"/>
          <w:sz w:val="22"/>
        </w:rPr>
        <w:t> </w:t>
      </w:r>
      <w:r>
        <w:rPr>
          <w:sz w:val="22"/>
        </w:rPr>
        <w:t>managers,</w:t>
      </w:r>
      <w:r>
        <w:rPr>
          <w:spacing w:val="-2"/>
          <w:sz w:val="22"/>
        </w:rPr>
        <w:t> </w:t>
      </w:r>
      <w:r>
        <w:rPr>
          <w:sz w:val="22"/>
        </w:rPr>
        <w:t>purchasing outgoing manager’s inventory. Added sections (f) and (g).</w:t>
      </w:r>
    </w:p>
    <w:p>
      <w:pPr>
        <w:spacing w:after="0" w:line="259" w:lineRule="auto"/>
        <w:jc w:val="left"/>
        <w:rPr>
          <w:sz w:val="22"/>
        </w:rPr>
        <w:sectPr>
          <w:pgSz w:w="12240" w:h="15840"/>
          <w:pgMar w:top="1340" w:bottom="280" w:left="1080" w:right="720"/>
        </w:sectPr>
      </w:pPr>
    </w:p>
    <w:p>
      <w:pPr>
        <w:pStyle w:val="Heading1"/>
        <w:ind w:right="777"/>
      </w:pPr>
      <w:bookmarkStart w:name="PART 9. ASSIGNMENT OF LICENSED MANAGERS" w:id="402"/>
      <w:bookmarkEnd w:id="402"/>
      <w:r>
        <w:rPr>
          <w:b w:val="0"/>
        </w:rPr>
      </w:r>
      <w:r>
        <w:rPr/>
        <w:t>PART</w:t>
      </w:r>
      <w:r>
        <w:rPr>
          <w:spacing w:val="-2"/>
        </w:rPr>
        <w:t> </w:t>
      </w:r>
      <w:r>
        <w:rPr/>
        <w:t>9.</w:t>
      </w:r>
      <w:r>
        <w:rPr>
          <w:spacing w:val="-4"/>
        </w:rPr>
        <w:t> </w:t>
      </w:r>
      <w:r>
        <w:rPr/>
        <w:t>ASSIGNMENT</w:t>
      </w:r>
      <w:r>
        <w:rPr>
          <w:spacing w:val="-2"/>
        </w:rPr>
        <w:t> </w:t>
      </w:r>
      <w:r>
        <w:rPr/>
        <w:t>OF</w:t>
      </w:r>
      <w:r>
        <w:rPr>
          <w:spacing w:val="-4"/>
        </w:rPr>
        <w:t> </w:t>
      </w:r>
      <w:r>
        <w:rPr/>
        <w:t>LICENSED</w:t>
      </w:r>
      <w:r>
        <w:rPr>
          <w:spacing w:val="-2"/>
        </w:rPr>
        <w:t> MANAGERS</w:t>
      </w:r>
    </w:p>
    <w:p>
      <w:pPr>
        <w:pStyle w:val="BodyText"/>
        <w:spacing w:before="204"/>
      </w:pPr>
      <w:r>
        <w:rPr>
          <w:spacing w:val="-2"/>
        </w:rPr>
        <w:t>Section</w:t>
      </w:r>
    </w:p>
    <w:p>
      <w:pPr>
        <w:pStyle w:val="BodyText"/>
        <w:tabs>
          <w:tab w:pos="2519" w:val="left" w:leader="none"/>
        </w:tabs>
        <w:spacing w:before="204"/>
      </w:pPr>
      <w:r>
        <w:rPr>
          <w:spacing w:val="-2"/>
        </w:rPr>
        <w:t>612:25-4-</w:t>
      </w:r>
      <w:r>
        <w:rPr>
          <w:spacing w:val="-5"/>
        </w:rPr>
        <w:t>53.</w:t>
      </w:r>
      <w:r>
        <w:rPr/>
        <w:tab/>
        <w:t>Assignment</w:t>
      </w:r>
      <w:r>
        <w:rPr>
          <w:spacing w:val="-3"/>
        </w:rPr>
        <w:t> </w:t>
      </w:r>
      <w:r>
        <w:rPr/>
        <w:t>and</w:t>
      </w:r>
      <w:r>
        <w:rPr>
          <w:spacing w:val="-3"/>
        </w:rPr>
        <w:t> </w:t>
      </w:r>
      <w:r>
        <w:rPr>
          <w:spacing w:val="-2"/>
        </w:rPr>
        <w:t>transfer</w:t>
      </w:r>
    </w:p>
    <w:p>
      <w:pPr>
        <w:pStyle w:val="BodyText"/>
        <w:tabs>
          <w:tab w:pos="2519" w:val="left" w:leader="none"/>
        </w:tabs>
        <w:spacing w:line="417" w:lineRule="auto" w:before="204"/>
        <w:ind w:right="3209"/>
      </w:pPr>
      <w:r>
        <w:rPr>
          <w:spacing w:val="-2"/>
        </w:rPr>
        <w:t>612:25-4-54.</w:t>
      </w:r>
      <w:r>
        <w:rPr/>
        <w:tab/>
        <w:t>Business</w:t>
      </w:r>
      <w:r>
        <w:rPr>
          <w:spacing w:val="-13"/>
        </w:rPr>
        <w:t> </w:t>
      </w:r>
      <w:r>
        <w:rPr/>
        <w:t>enterprise</w:t>
      </w:r>
      <w:r>
        <w:rPr>
          <w:spacing w:val="-13"/>
        </w:rPr>
        <w:t> </w:t>
      </w:r>
      <w:r>
        <w:rPr/>
        <w:t>vacancy</w:t>
      </w:r>
      <w:r>
        <w:rPr>
          <w:spacing w:val="-13"/>
        </w:rPr>
        <w:t> </w:t>
      </w:r>
      <w:r>
        <w:rPr/>
        <w:t>announcement </w:t>
      </w:r>
      <w:r>
        <w:rPr>
          <w:spacing w:val="-2"/>
        </w:rPr>
        <w:t>612:25-4-55.</w:t>
      </w:r>
      <w:r>
        <w:rPr/>
        <w:tab/>
      </w:r>
      <w:r>
        <w:rPr>
          <w:spacing w:val="-2"/>
        </w:rPr>
        <w:t>Qualifications</w:t>
      </w:r>
    </w:p>
    <w:p>
      <w:pPr>
        <w:pStyle w:val="BodyText"/>
        <w:tabs>
          <w:tab w:pos="2519" w:val="left" w:leader="none"/>
        </w:tabs>
        <w:spacing w:line="276" w:lineRule="exact" w:before="0"/>
      </w:pPr>
      <w:r>
        <w:rPr>
          <w:spacing w:val="-2"/>
        </w:rPr>
        <w:t>612:25-4-</w:t>
      </w:r>
      <w:r>
        <w:rPr>
          <w:spacing w:val="-5"/>
        </w:rPr>
        <w:t>56.</w:t>
      </w:r>
      <w:r>
        <w:rPr/>
        <w:tab/>
      </w:r>
      <w:r>
        <w:rPr>
          <w:spacing w:val="-2"/>
        </w:rPr>
        <w:t>Applications</w:t>
      </w:r>
    </w:p>
    <w:p>
      <w:pPr>
        <w:pStyle w:val="BodyText"/>
        <w:tabs>
          <w:tab w:pos="2519" w:val="left" w:leader="none"/>
        </w:tabs>
        <w:spacing w:line="417" w:lineRule="auto" w:before="204"/>
        <w:ind w:right="3956"/>
      </w:pPr>
      <w:r>
        <w:rPr>
          <w:spacing w:val="-2"/>
        </w:rPr>
        <w:t>612:25-4-57.</w:t>
      </w:r>
      <w:r>
        <w:rPr/>
        <w:tab/>
        <w:t>Applicant Selection Committee </w:t>
      </w:r>
      <w:r>
        <w:rPr>
          <w:spacing w:val="-2"/>
        </w:rPr>
        <w:t>612:25-4-58.</w:t>
      </w:r>
      <w:r>
        <w:rPr/>
        <w:tab/>
        <w:t>Annual</w:t>
      </w:r>
      <w:r>
        <w:rPr>
          <w:spacing w:val="-13"/>
        </w:rPr>
        <w:t> </w:t>
      </w:r>
      <w:r>
        <w:rPr/>
        <w:t>and</w:t>
      </w:r>
      <w:r>
        <w:rPr>
          <w:spacing w:val="-13"/>
        </w:rPr>
        <w:t> </w:t>
      </w:r>
      <w:r>
        <w:rPr/>
        <w:t>Performance</w:t>
      </w:r>
      <w:r>
        <w:rPr>
          <w:spacing w:val="-13"/>
        </w:rPr>
        <w:t> </w:t>
      </w:r>
      <w:r>
        <w:rPr/>
        <w:t>Evaluations</w:t>
      </w:r>
    </w:p>
    <w:p>
      <w:pPr>
        <w:pStyle w:val="BodyText"/>
        <w:tabs>
          <w:tab w:pos="2519" w:val="left" w:leader="none"/>
        </w:tabs>
        <w:spacing w:line="417" w:lineRule="auto" w:before="0"/>
        <w:ind w:right="3556"/>
      </w:pPr>
      <w:r>
        <w:rPr>
          <w:spacing w:val="-2"/>
        </w:rPr>
        <w:t>612:25-4-59.</w:t>
      </w:r>
      <w:r>
        <w:rPr/>
        <w:tab/>
        <w:t>Interview,</w:t>
      </w:r>
      <w:r>
        <w:rPr>
          <w:spacing w:val="-10"/>
        </w:rPr>
        <w:t> </w:t>
      </w:r>
      <w:r>
        <w:rPr/>
        <w:t>Selection</w:t>
      </w:r>
      <w:r>
        <w:rPr>
          <w:spacing w:val="-10"/>
        </w:rPr>
        <w:t> </w:t>
      </w:r>
      <w:r>
        <w:rPr/>
        <w:t>Process</w:t>
      </w:r>
      <w:r>
        <w:rPr>
          <w:spacing w:val="-10"/>
        </w:rPr>
        <w:t> </w:t>
      </w:r>
      <w:r>
        <w:rPr/>
        <w:t>and</w:t>
      </w:r>
      <w:r>
        <w:rPr>
          <w:spacing w:val="-10"/>
        </w:rPr>
        <w:t> </w:t>
      </w:r>
      <w:r>
        <w:rPr/>
        <w:t>Scoring </w:t>
      </w:r>
      <w:r>
        <w:rPr>
          <w:spacing w:val="-2"/>
        </w:rPr>
        <w:t>612:25-4-60.</w:t>
      </w:r>
      <w:r>
        <w:rPr/>
        <w:tab/>
        <w:t>Ninety day replacement</w:t>
      </w:r>
    </w:p>
    <w:p>
      <w:pPr>
        <w:pStyle w:val="BodyText"/>
        <w:tabs>
          <w:tab w:pos="2519" w:val="left" w:leader="none"/>
        </w:tabs>
        <w:spacing w:line="417" w:lineRule="auto" w:before="0"/>
        <w:ind w:right="3901"/>
      </w:pPr>
      <w:r>
        <w:rPr>
          <w:spacing w:val="-2"/>
        </w:rPr>
        <w:t>612:25-4-61.</w:t>
      </w:r>
      <w:r>
        <w:rPr/>
        <w:tab/>
        <w:t>Satellite</w:t>
      </w:r>
      <w:r>
        <w:rPr>
          <w:spacing w:val="-12"/>
        </w:rPr>
        <w:t> </w:t>
      </w:r>
      <w:r>
        <w:rPr/>
        <w:t>business</w:t>
      </w:r>
      <w:r>
        <w:rPr>
          <w:spacing w:val="-12"/>
        </w:rPr>
        <w:t> </w:t>
      </w:r>
      <w:r>
        <w:rPr/>
        <w:t>enterprise</w:t>
      </w:r>
      <w:r>
        <w:rPr>
          <w:spacing w:val="-12"/>
        </w:rPr>
        <w:t> </w:t>
      </w:r>
      <w:r>
        <w:rPr/>
        <w:t>locations </w:t>
      </w:r>
      <w:r>
        <w:rPr>
          <w:spacing w:val="-2"/>
        </w:rPr>
        <w:t>612:25-4-62.</w:t>
      </w:r>
      <w:r>
        <w:rPr/>
        <w:tab/>
        <w:t>Vending machine income</w:t>
      </w:r>
    </w:p>
    <w:p>
      <w:pPr>
        <w:pStyle w:val="BodyText"/>
        <w:spacing w:after="0" w:line="417" w:lineRule="auto"/>
        <w:sectPr>
          <w:pgSz w:w="12240" w:h="15840"/>
          <w:pgMar w:top="1340" w:bottom="280" w:left="1080" w:right="720"/>
        </w:sectPr>
      </w:pPr>
    </w:p>
    <w:p>
      <w:pPr>
        <w:pStyle w:val="Heading2"/>
      </w:pPr>
      <w:bookmarkStart w:name="612:25-4-53.  Assignment, and transfer" w:id="403"/>
      <w:bookmarkEnd w:id="403"/>
      <w:r>
        <w:rPr>
          <w:b w:val="0"/>
        </w:rPr>
      </w:r>
      <w:bookmarkStart w:name="_bookmark35" w:id="404"/>
      <w:bookmarkEnd w:id="404"/>
      <w:r>
        <w:rPr>
          <w:b w:val="0"/>
        </w:rPr>
      </w:r>
      <w:r>
        <w:rPr/>
        <w:t>612:25-4-53.</w:t>
      </w:r>
      <w:r>
        <w:rPr>
          <w:spacing w:val="58"/>
        </w:rPr>
        <w:t> </w:t>
      </w:r>
      <w:r>
        <w:rPr/>
        <w:t>Assignment,</w:t>
      </w:r>
      <w:r>
        <w:rPr>
          <w:spacing w:val="-3"/>
        </w:rPr>
        <w:t> </w:t>
      </w:r>
      <w:r>
        <w:rPr/>
        <w:t>and</w:t>
      </w:r>
      <w:r>
        <w:rPr>
          <w:spacing w:val="-5"/>
        </w:rPr>
        <w:t> </w:t>
      </w:r>
      <w:r>
        <w:rPr>
          <w:spacing w:val="-2"/>
        </w:rPr>
        <w:t>transfer</w:t>
      </w:r>
    </w:p>
    <w:p>
      <w:pPr>
        <w:pStyle w:val="ListParagraph"/>
        <w:numPr>
          <w:ilvl w:val="0"/>
          <w:numId w:val="385"/>
        </w:numPr>
        <w:tabs>
          <w:tab w:pos="785" w:val="left" w:leader="none"/>
        </w:tabs>
        <w:spacing w:line="208" w:lineRule="auto" w:before="233" w:after="0"/>
        <w:ind w:left="360" w:right="1193" w:firstLine="0"/>
        <w:jc w:val="left"/>
        <w:rPr>
          <w:sz w:val="24"/>
        </w:rPr>
      </w:pPr>
      <w:r>
        <w:rPr>
          <w:b/>
          <w:sz w:val="24"/>
        </w:rPr>
        <w:t>Assignment.</w:t>
      </w:r>
      <w:r>
        <w:rPr>
          <w:b/>
          <w:spacing w:val="40"/>
          <w:sz w:val="24"/>
        </w:rPr>
        <w:t> </w:t>
      </w:r>
      <w:r>
        <w:rPr>
          <w:sz w:val="24"/>
        </w:rPr>
        <w:t>The State Licensing Agency (SLA) administers a competitive selection process to accomplish the assignment of primary facilities to qualified individuals.</w:t>
      </w:r>
      <w:r>
        <w:rPr>
          <w:spacing w:val="40"/>
          <w:sz w:val="24"/>
        </w:rPr>
        <w:t> </w:t>
      </w:r>
      <w:r>
        <w:rPr>
          <w:sz w:val="24"/>
        </w:rPr>
        <w:t>The</w:t>
      </w:r>
      <w:r>
        <w:rPr>
          <w:spacing w:val="-4"/>
          <w:sz w:val="24"/>
        </w:rPr>
        <w:t> </w:t>
      </w:r>
      <w:r>
        <w:rPr>
          <w:sz w:val="24"/>
        </w:rPr>
        <w:t>selection</w:t>
      </w:r>
      <w:r>
        <w:rPr>
          <w:spacing w:val="-4"/>
          <w:sz w:val="24"/>
        </w:rPr>
        <w:t> </w:t>
      </w:r>
      <w:r>
        <w:rPr>
          <w:sz w:val="24"/>
        </w:rPr>
        <w:t>process</w:t>
      </w:r>
      <w:r>
        <w:rPr>
          <w:spacing w:val="-4"/>
          <w:sz w:val="24"/>
        </w:rPr>
        <w:t> </w:t>
      </w:r>
      <w:r>
        <w:rPr>
          <w:sz w:val="24"/>
        </w:rPr>
        <w:t>established</w:t>
      </w:r>
      <w:r>
        <w:rPr>
          <w:spacing w:val="-4"/>
          <w:sz w:val="24"/>
        </w:rPr>
        <w:t> </w:t>
      </w:r>
      <w:r>
        <w:rPr>
          <w:sz w:val="24"/>
        </w:rPr>
        <w:t>by</w:t>
      </w:r>
      <w:r>
        <w:rPr>
          <w:spacing w:val="-4"/>
          <w:sz w:val="24"/>
        </w:rPr>
        <w:t> </w:t>
      </w:r>
      <w:r>
        <w:rPr>
          <w:sz w:val="24"/>
        </w:rPr>
        <w:t>the</w:t>
      </w:r>
      <w:r>
        <w:rPr>
          <w:spacing w:val="-4"/>
          <w:sz w:val="24"/>
        </w:rPr>
        <w:t> </w:t>
      </w:r>
      <w:r>
        <w:rPr>
          <w:sz w:val="24"/>
        </w:rPr>
        <w:t>SLA</w:t>
      </w:r>
      <w:r>
        <w:rPr>
          <w:spacing w:val="-4"/>
          <w:sz w:val="24"/>
        </w:rPr>
        <w:t> </w:t>
      </w:r>
      <w:r>
        <w:rPr>
          <w:sz w:val="24"/>
        </w:rPr>
        <w:t>provides</w:t>
      </w:r>
      <w:r>
        <w:rPr>
          <w:spacing w:val="-4"/>
          <w:sz w:val="24"/>
        </w:rPr>
        <w:t> </w:t>
      </w:r>
      <w:r>
        <w:rPr>
          <w:sz w:val="24"/>
        </w:rPr>
        <w:t>that</w:t>
      </w:r>
      <w:r>
        <w:rPr>
          <w:spacing w:val="-5"/>
          <w:sz w:val="24"/>
        </w:rPr>
        <w:t> </w:t>
      </w:r>
      <w:r>
        <w:rPr>
          <w:sz w:val="24"/>
        </w:rPr>
        <w:t>the</w:t>
      </w:r>
      <w:r>
        <w:rPr>
          <w:spacing w:val="-4"/>
          <w:sz w:val="24"/>
        </w:rPr>
        <w:t> </w:t>
      </w:r>
      <w:r>
        <w:rPr>
          <w:sz w:val="24"/>
        </w:rPr>
        <w:t>Elected Committee of Licensed Managers (ECM) is an active participant in the selection of facility managers.</w:t>
      </w:r>
    </w:p>
    <w:p>
      <w:pPr>
        <w:pStyle w:val="ListParagraph"/>
        <w:numPr>
          <w:ilvl w:val="0"/>
          <w:numId w:val="385"/>
        </w:numPr>
        <w:tabs>
          <w:tab w:pos="785" w:val="left" w:leader="none"/>
        </w:tabs>
        <w:spacing w:line="208" w:lineRule="auto" w:before="239" w:after="0"/>
        <w:ind w:left="360" w:right="739" w:firstLine="0"/>
        <w:jc w:val="left"/>
        <w:rPr>
          <w:sz w:val="24"/>
        </w:rPr>
      </w:pPr>
      <w:r>
        <w:rPr>
          <w:b/>
          <w:sz w:val="24"/>
        </w:rPr>
        <w:t>Transfer.</w:t>
      </w:r>
      <w:r>
        <w:rPr>
          <w:b/>
          <w:spacing w:val="40"/>
          <w:sz w:val="24"/>
        </w:rPr>
        <w:t> </w:t>
      </w:r>
      <w:r>
        <w:rPr>
          <w:sz w:val="24"/>
        </w:rPr>
        <w:t>The SLA, in consultation with the ECM board, may transfer a qualified licensed</w:t>
      </w:r>
      <w:r>
        <w:rPr>
          <w:spacing w:val="-4"/>
          <w:sz w:val="24"/>
        </w:rPr>
        <w:t> </w:t>
      </w:r>
      <w:r>
        <w:rPr>
          <w:sz w:val="24"/>
        </w:rPr>
        <w:t>manager</w:t>
      </w:r>
      <w:r>
        <w:rPr>
          <w:spacing w:val="-3"/>
          <w:sz w:val="24"/>
        </w:rPr>
        <w:t> </w:t>
      </w:r>
      <w:r>
        <w:rPr>
          <w:sz w:val="24"/>
        </w:rPr>
        <w:t>to</w:t>
      </w:r>
      <w:r>
        <w:rPr>
          <w:spacing w:val="-4"/>
          <w:sz w:val="24"/>
        </w:rPr>
        <w:t> </w:t>
      </w:r>
      <w:r>
        <w:rPr>
          <w:sz w:val="24"/>
        </w:rPr>
        <w:t>a</w:t>
      </w:r>
      <w:r>
        <w:rPr>
          <w:spacing w:val="-4"/>
          <w:sz w:val="24"/>
        </w:rPr>
        <w:t> </w:t>
      </w:r>
      <w:r>
        <w:rPr>
          <w:sz w:val="24"/>
        </w:rPr>
        <w:t>different</w:t>
      </w:r>
      <w:r>
        <w:rPr>
          <w:spacing w:val="-3"/>
          <w:sz w:val="24"/>
        </w:rPr>
        <w:t> </w:t>
      </w:r>
      <w:r>
        <w:rPr>
          <w:sz w:val="24"/>
        </w:rPr>
        <w:t>location</w:t>
      </w:r>
      <w:r>
        <w:rPr>
          <w:spacing w:val="-4"/>
          <w:sz w:val="24"/>
        </w:rPr>
        <w:t> </w:t>
      </w:r>
      <w:r>
        <w:rPr>
          <w:sz w:val="24"/>
        </w:rPr>
        <w:t>of</w:t>
      </w:r>
      <w:r>
        <w:rPr>
          <w:spacing w:val="-3"/>
          <w:sz w:val="24"/>
        </w:rPr>
        <w:t> </w:t>
      </w:r>
      <w:r>
        <w:rPr>
          <w:sz w:val="24"/>
        </w:rPr>
        <w:t>similar</w:t>
      </w:r>
      <w:r>
        <w:rPr>
          <w:spacing w:val="-3"/>
          <w:sz w:val="24"/>
        </w:rPr>
        <w:t> </w:t>
      </w:r>
      <w:r>
        <w:rPr>
          <w:sz w:val="24"/>
        </w:rPr>
        <w:t>complexity</w:t>
      </w:r>
      <w:r>
        <w:rPr>
          <w:spacing w:val="-4"/>
          <w:sz w:val="24"/>
        </w:rPr>
        <w:t> </w:t>
      </w:r>
      <w:r>
        <w:rPr>
          <w:sz w:val="24"/>
        </w:rPr>
        <w:t>and</w:t>
      </w:r>
      <w:r>
        <w:rPr>
          <w:spacing w:val="-4"/>
          <w:sz w:val="24"/>
        </w:rPr>
        <w:t> </w:t>
      </w:r>
      <w:r>
        <w:rPr>
          <w:sz w:val="24"/>
        </w:rPr>
        <w:t>income</w:t>
      </w:r>
      <w:r>
        <w:rPr>
          <w:spacing w:val="-4"/>
          <w:sz w:val="24"/>
        </w:rPr>
        <w:t> </w:t>
      </w:r>
      <w:r>
        <w:rPr>
          <w:sz w:val="24"/>
        </w:rPr>
        <w:t>potential</w:t>
      </w:r>
      <w:r>
        <w:rPr>
          <w:spacing w:val="-4"/>
          <w:sz w:val="24"/>
        </w:rPr>
        <w:t> </w:t>
      </w:r>
      <w:r>
        <w:rPr>
          <w:sz w:val="24"/>
        </w:rPr>
        <w:t>when it appears to be in the best interest of the licensed manager and/or the BEP.</w:t>
      </w:r>
      <w:r>
        <w:rPr>
          <w:spacing w:val="40"/>
          <w:sz w:val="24"/>
        </w:rPr>
        <w:t> </w:t>
      </w:r>
      <w:r>
        <w:rPr>
          <w:sz w:val="24"/>
        </w:rPr>
        <w:t>The SLA notifies the licensed manager and the ECM board, in writing, by registered or certified mail of the transfer and the grounds for the transfer. The transfer policy cannot be used to circumvent the competitive selection process.</w:t>
      </w:r>
    </w:p>
    <w:p>
      <w:pPr>
        <w:pStyle w:val="Heading2"/>
        <w:numPr>
          <w:ilvl w:val="0"/>
          <w:numId w:val="385"/>
        </w:numPr>
        <w:tabs>
          <w:tab w:pos="773" w:val="left" w:leader="none"/>
        </w:tabs>
        <w:spacing w:line="240" w:lineRule="auto" w:before="244" w:after="0"/>
        <w:ind w:left="773" w:right="0" w:hanging="413"/>
        <w:jc w:val="left"/>
      </w:pPr>
      <w:r>
        <w:rPr/>
        <w:t>Displaced</w:t>
      </w:r>
      <w:r>
        <w:rPr>
          <w:spacing w:val="-6"/>
        </w:rPr>
        <w:t> </w:t>
      </w:r>
      <w:r>
        <w:rPr/>
        <w:t>Licensed</w:t>
      </w:r>
      <w:r>
        <w:rPr>
          <w:spacing w:val="-5"/>
        </w:rPr>
        <w:t> </w:t>
      </w:r>
      <w:r>
        <w:rPr>
          <w:spacing w:val="-2"/>
        </w:rPr>
        <w:t>Manager.</w:t>
      </w:r>
    </w:p>
    <w:p>
      <w:pPr>
        <w:pStyle w:val="ListParagraph"/>
        <w:numPr>
          <w:ilvl w:val="1"/>
          <w:numId w:val="385"/>
        </w:numPr>
        <w:tabs>
          <w:tab w:pos="1191" w:val="left" w:leader="none"/>
        </w:tabs>
        <w:spacing w:line="259" w:lineRule="auto" w:before="183" w:after="0"/>
        <w:ind w:left="765" w:right="842" w:firstLine="0"/>
        <w:jc w:val="left"/>
        <w:rPr>
          <w:sz w:val="24"/>
        </w:rPr>
      </w:pPr>
      <w:r>
        <w:rPr>
          <w:sz w:val="24"/>
        </w:rPr>
        <w:t>A</w:t>
      </w:r>
      <w:r>
        <w:rPr>
          <w:spacing w:val="-3"/>
          <w:sz w:val="24"/>
        </w:rPr>
        <w:t> </w:t>
      </w:r>
      <w:r>
        <w:rPr>
          <w:sz w:val="24"/>
        </w:rPr>
        <w:t>Displaced</w:t>
      </w:r>
      <w:r>
        <w:rPr>
          <w:spacing w:val="-3"/>
          <w:sz w:val="24"/>
        </w:rPr>
        <w:t> </w:t>
      </w:r>
      <w:r>
        <w:rPr>
          <w:sz w:val="24"/>
        </w:rPr>
        <w:t>Licensed</w:t>
      </w:r>
      <w:r>
        <w:rPr>
          <w:spacing w:val="-3"/>
          <w:sz w:val="24"/>
        </w:rPr>
        <w:t> </w:t>
      </w:r>
      <w:r>
        <w:rPr>
          <w:sz w:val="24"/>
        </w:rPr>
        <w:t>manager</w:t>
      </w:r>
      <w:r>
        <w:rPr>
          <w:spacing w:val="-3"/>
          <w:sz w:val="24"/>
        </w:rPr>
        <w:t> </w:t>
      </w:r>
      <w:r>
        <w:rPr>
          <w:sz w:val="24"/>
        </w:rPr>
        <w:t>will</w:t>
      </w:r>
      <w:r>
        <w:rPr>
          <w:spacing w:val="-3"/>
          <w:sz w:val="24"/>
        </w:rPr>
        <w:t> </w:t>
      </w:r>
      <w:r>
        <w:rPr>
          <w:sz w:val="24"/>
        </w:rPr>
        <w:t>have</w:t>
      </w:r>
      <w:r>
        <w:rPr>
          <w:spacing w:val="-3"/>
          <w:sz w:val="24"/>
        </w:rPr>
        <w:t> </w:t>
      </w:r>
      <w:r>
        <w:rPr>
          <w:sz w:val="24"/>
        </w:rPr>
        <w:t>up</w:t>
      </w:r>
      <w:r>
        <w:rPr>
          <w:spacing w:val="-3"/>
          <w:sz w:val="24"/>
        </w:rPr>
        <w:t> </w:t>
      </w:r>
      <w:r>
        <w:rPr>
          <w:sz w:val="24"/>
        </w:rPr>
        <w:t>to</w:t>
      </w:r>
      <w:r>
        <w:rPr>
          <w:spacing w:val="-3"/>
          <w:sz w:val="24"/>
        </w:rPr>
        <w:t> </w:t>
      </w:r>
      <w:r>
        <w:rPr>
          <w:sz w:val="24"/>
        </w:rPr>
        <w:t>one</w:t>
      </w:r>
      <w:r>
        <w:rPr>
          <w:spacing w:val="-3"/>
          <w:sz w:val="24"/>
        </w:rPr>
        <w:t> </w:t>
      </w:r>
      <w:r>
        <w:rPr>
          <w:sz w:val="24"/>
        </w:rPr>
        <w:t>(1)</w:t>
      </w:r>
      <w:r>
        <w:rPr>
          <w:spacing w:val="-3"/>
          <w:sz w:val="24"/>
        </w:rPr>
        <w:t> </w:t>
      </w:r>
      <w:r>
        <w:rPr>
          <w:sz w:val="24"/>
        </w:rPr>
        <w:t>year</w:t>
      </w:r>
      <w:r>
        <w:rPr>
          <w:spacing w:val="-3"/>
          <w:sz w:val="24"/>
        </w:rPr>
        <w:t> </w:t>
      </w:r>
      <w:r>
        <w:rPr>
          <w:sz w:val="24"/>
        </w:rPr>
        <w:t>to</w:t>
      </w:r>
      <w:r>
        <w:rPr>
          <w:spacing w:val="-6"/>
          <w:sz w:val="24"/>
        </w:rPr>
        <w:t> </w:t>
      </w:r>
      <w:r>
        <w:rPr>
          <w:sz w:val="24"/>
        </w:rPr>
        <w:t>make</w:t>
      </w:r>
      <w:r>
        <w:rPr>
          <w:spacing w:val="-3"/>
          <w:sz w:val="24"/>
        </w:rPr>
        <w:t> </w:t>
      </w:r>
      <w:r>
        <w:rPr>
          <w:sz w:val="24"/>
        </w:rPr>
        <w:t>application for a BEP facility that is comparable to his or her displaced facility.</w:t>
      </w:r>
    </w:p>
    <w:p>
      <w:pPr>
        <w:pStyle w:val="ListParagraph"/>
        <w:numPr>
          <w:ilvl w:val="1"/>
          <w:numId w:val="385"/>
        </w:numPr>
        <w:tabs>
          <w:tab w:pos="1191" w:val="left" w:leader="none"/>
        </w:tabs>
        <w:spacing w:line="259" w:lineRule="auto" w:before="158" w:after="0"/>
        <w:ind w:left="765" w:right="1320" w:firstLine="0"/>
        <w:jc w:val="left"/>
        <w:rPr>
          <w:sz w:val="24"/>
        </w:rPr>
      </w:pPr>
      <w:r>
        <w:rPr>
          <w:sz w:val="24"/>
        </w:rPr>
        <w:t>A Displaced Licensed Manager will be given 15 bonus points in the next interview</w:t>
      </w:r>
      <w:r>
        <w:rPr>
          <w:spacing w:val="-4"/>
          <w:sz w:val="24"/>
        </w:rPr>
        <w:t> </w:t>
      </w:r>
      <w:r>
        <w:rPr>
          <w:sz w:val="24"/>
        </w:rPr>
        <w:t>selection</w:t>
      </w:r>
      <w:r>
        <w:rPr>
          <w:spacing w:val="-4"/>
          <w:sz w:val="24"/>
        </w:rPr>
        <w:t> </w:t>
      </w:r>
      <w:r>
        <w:rPr>
          <w:sz w:val="24"/>
        </w:rPr>
        <w:t>for</w:t>
      </w:r>
      <w:r>
        <w:rPr>
          <w:spacing w:val="-3"/>
          <w:sz w:val="24"/>
        </w:rPr>
        <w:t> </w:t>
      </w:r>
      <w:r>
        <w:rPr>
          <w:sz w:val="24"/>
        </w:rPr>
        <w:t>a</w:t>
      </w:r>
      <w:r>
        <w:rPr>
          <w:spacing w:val="-4"/>
          <w:sz w:val="24"/>
        </w:rPr>
        <w:t> </w:t>
      </w:r>
      <w:r>
        <w:rPr>
          <w:sz w:val="24"/>
        </w:rPr>
        <w:t>permanent</w:t>
      </w:r>
      <w:r>
        <w:rPr>
          <w:spacing w:val="-3"/>
          <w:sz w:val="24"/>
        </w:rPr>
        <w:t> </w:t>
      </w:r>
      <w:r>
        <w:rPr>
          <w:sz w:val="24"/>
        </w:rPr>
        <w:t>placement</w:t>
      </w:r>
      <w:r>
        <w:rPr>
          <w:spacing w:val="-3"/>
          <w:sz w:val="24"/>
        </w:rPr>
        <w:t> </w:t>
      </w:r>
      <w:r>
        <w:rPr>
          <w:sz w:val="24"/>
        </w:rPr>
        <w:t>in</w:t>
      </w:r>
      <w:r>
        <w:rPr>
          <w:spacing w:val="-4"/>
          <w:sz w:val="24"/>
        </w:rPr>
        <w:t> </w:t>
      </w:r>
      <w:r>
        <w:rPr>
          <w:sz w:val="24"/>
        </w:rPr>
        <w:t>a</w:t>
      </w:r>
      <w:r>
        <w:rPr>
          <w:spacing w:val="-4"/>
          <w:sz w:val="24"/>
        </w:rPr>
        <w:t> </w:t>
      </w:r>
      <w:r>
        <w:rPr>
          <w:sz w:val="24"/>
        </w:rPr>
        <w:t>BEP</w:t>
      </w:r>
      <w:r>
        <w:rPr>
          <w:spacing w:val="-3"/>
          <w:sz w:val="24"/>
        </w:rPr>
        <w:t> </w:t>
      </w:r>
      <w:r>
        <w:rPr>
          <w:sz w:val="24"/>
        </w:rPr>
        <w:t>facility</w:t>
      </w:r>
      <w:r>
        <w:rPr>
          <w:spacing w:val="-4"/>
          <w:sz w:val="24"/>
        </w:rPr>
        <w:t> </w:t>
      </w:r>
      <w:r>
        <w:rPr>
          <w:sz w:val="24"/>
        </w:rPr>
        <w:t>that</w:t>
      </w:r>
      <w:r>
        <w:rPr>
          <w:spacing w:val="-5"/>
          <w:sz w:val="24"/>
        </w:rPr>
        <w:t> </w:t>
      </w:r>
      <w:r>
        <w:rPr>
          <w:sz w:val="24"/>
        </w:rPr>
        <w:t>is</w:t>
      </w:r>
      <w:r>
        <w:rPr>
          <w:spacing w:val="-4"/>
          <w:sz w:val="24"/>
        </w:rPr>
        <w:t> </w:t>
      </w:r>
      <w:r>
        <w:rPr>
          <w:sz w:val="24"/>
        </w:rPr>
        <w:t>relatively comparable in complexity, financially and if possible, geographically.</w:t>
      </w:r>
    </w:p>
    <w:p>
      <w:pPr>
        <w:pStyle w:val="ListParagraph"/>
        <w:numPr>
          <w:ilvl w:val="1"/>
          <w:numId w:val="385"/>
        </w:numPr>
        <w:tabs>
          <w:tab w:pos="1257" w:val="left" w:leader="none"/>
        </w:tabs>
        <w:spacing w:line="259" w:lineRule="auto" w:before="160" w:after="0"/>
        <w:ind w:left="765" w:right="814" w:firstLine="67"/>
        <w:jc w:val="left"/>
        <w:rPr>
          <w:sz w:val="24"/>
        </w:rPr>
      </w:pPr>
      <w:r>
        <w:rPr>
          <w:sz w:val="24"/>
        </w:rPr>
        <w:t>A Displaced Licensed Manager could accept a satellite assigned facility that is not</w:t>
      </w:r>
      <w:r>
        <w:rPr>
          <w:spacing w:val="-4"/>
          <w:sz w:val="24"/>
        </w:rPr>
        <w:t> </w:t>
      </w:r>
      <w:r>
        <w:rPr>
          <w:sz w:val="24"/>
        </w:rPr>
        <w:t>comparable</w:t>
      </w:r>
      <w:r>
        <w:rPr>
          <w:spacing w:val="-5"/>
          <w:sz w:val="24"/>
        </w:rPr>
        <w:t> </w:t>
      </w:r>
      <w:r>
        <w:rPr>
          <w:sz w:val="24"/>
        </w:rPr>
        <w:t>to</w:t>
      </w:r>
      <w:r>
        <w:rPr>
          <w:spacing w:val="-5"/>
          <w:sz w:val="24"/>
        </w:rPr>
        <w:t> </w:t>
      </w:r>
      <w:r>
        <w:rPr>
          <w:sz w:val="24"/>
        </w:rPr>
        <w:t>their</w:t>
      </w:r>
      <w:r>
        <w:rPr>
          <w:spacing w:val="-4"/>
          <w:sz w:val="24"/>
        </w:rPr>
        <w:t> </w:t>
      </w:r>
      <w:r>
        <w:rPr>
          <w:sz w:val="24"/>
        </w:rPr>
        <w:t>recent</w:t>
      </w:r>
      <w:r>
        <w:rPr>
          <w:spacing w:val="-4"/>
          <w:sz w:val="24"/>
        </w:rPr>
        <w:t> </w:t>
      </w:r>
      <w:r>
        <w:rPr>
          <w:sz w:val="24"/>
        </w:rPr>
        <w:t>displaced</w:t>
      </w:r>
      <w:r>
        <w:rPr>
          <w:spacing w:val="-5"/>
          <w:sz w:val="24"/>
        </w:rPr>
        <w:t> </w:t>
      </w:r>
      <w:r>
        <w:rPr>
          <w:sz w:val="24"/>
        </w:rPr>
        <w:t>facility</w:t>
      </w:r>
      <w:r>
        <w:rPr>
          <w:spacing w:val="-5"/>
          <w:sz w:val="24"/>
        </w:rPr>
        <w:t> </w:t>
      </w:r>
      <w:r>
        <w:rPr>
          <w:sz w:val="24"/>
        </w:rPr>
        <w:t>without</w:t>
      </w:r>
      <w:r>
        <w:rPr>
          <w:spacing w:val="-4"/>
          <w:sz w:val="24"/>
        </w:rPr>
        <w:t> </w:t>
      </w:r>
      <w:r>
        <w:rPr>
          <w:sz w:val="24"/>
        </w:rPr>
        <w:t>surrendering</w:t>
      </w:r>
      <w:r>
        <w:rPr>
          <w:spacing w:val="-5"/>
          <w:sz w:val="24"/>
        </w:rPr>
        <w:t> </w:t>
      </w:r>
      <w:r>
        <w:rPr>
          <w:sz w:val="24"/>
        </w:rPr>
        <w:t>their</w:t>
      </w:r>
      <w:r>
        <w:rPr>
          <w:spacing w:val="-4"/>
          <w:sz w:val="24"/>
        </w:rPr>
        <w:t> </w:t>
      </w:r>
      <w:r>
        <w:rPr>
          <w:sz w:val="24"/>
        </w:rPr>
        <w:t>displaced bonus points and status.</w:t>
      </w:r>
    </w:p>
    <w:p>
      <w:pPr>
        <w:pStyle w:val="ListParagraph"/>
        <w:numPr>
          <w:ilvl w:val="1"/>
          <w:numId w:val="385"/>
        </w:numPr>
        <w:tabs>
          <w:tab w:pos="1191" w:val="left" w:leader="none"/>
        </w:tabs>
        <w:spacing w:line="259" w:lineRule="auto" w:before="159" w:after="0"/>
        <w:ind w:left="765" w:right="1013" w:firstLine="0"/>
        <w:jc w:val="left"/>
        <w:rPr>
          <w:sz w:val="24"/>
        </w:rPr>
      </w:pPr>
      <w:r>
        <w:rPr>
          <w:sz w:val="24"/>
        </w:rPr>
        <w:t>Should</w:t>
      </w:r>
      <w:r>
        <w:rPr>
          <w:spacing w:val="-4"/>
          <w:sz w:val="24"/>
        </w:rPr>
        <w:t> </w:t>
      </w:r>
      <w:r>
        <w:rPr>
          <w:sz w:val="24"/>
        </w:rPr>
        <w:t>the</w:t>
      </w:r>
      <w:r>
        <w:rPr>
          <w:spacing w:val="-4"/>
          <w:sz w:val="24"/>
        </w:rPr>
        <w:t> </w:t>
      </w:r>
      <w:r>
        <w:rPr>
          <w:sz w:val="24"/>
        </w:rPr>
        <w:t>Displaced</w:t>
      </w:r>
      <w:r>
        <w:rPr>
          <w:spacing w:val="-4"/>
          <w:sz w:val="24"/>
        </w:rPr>
        <w:t> </w:t>
      </w:r>
      <w:r>
        <w:rPr>
          <w:sz w:val="24"/>
        </w:rPr>
        <w:t>Licensed</w:t>
      </w:r>
      <w:r>
        <w:rPr>
          <w:spacing w:val="-4"/>
          <w:sz w:val="24"/>
        </w:rPr>
        <w:t> </w:t>
      </w:r>
      <w:r>
        <w:rPr>
          <w:sz w:val="24"/>
        </w:rPr>
        <w:t>Manager</w:t>
      </w:r>
      <w:r>
        <w:rPr>
          <w:spacing w:val="-3"/>
          <w:sz w:val="24"/>
        </w:rPr>
        <w:t> </w:t>
      </w:r>
      <w:r>
        <w:rPr>
          <w:sz w:val="24"/>
        </w:rPr>
        <w:t>elect</w:t>
      </w:r>
      <w:r>
        <w:rPr>
          <w:spacing w:val="-3"/>
          <w:sz w:val="24"/>
        </w:rPr>
        <w:t> </w:t>
      </w:r>
      <w:r>
        <w:rPr>
          <w:sz w:val="24"/>
        </w:rPr>
        <w:t>to</w:t>
      </w:r>
      <w:r>
        <w:rPr>
          <w:spacing w:val="-4"/>
          <w:sz w:val="24"/>
        </w:rPr>
        <w:t> </w:t>
      </w:r>
      <w:r>
        <w:rPr>
          <w:sz w:val="24"/>
        </w:rPr>
        <w:t>accept</w:t>
      </w:r>
      <w:r>
        <w:rPr>
          <w:spacing w:val="-3"/>
          <w:sz w:val="24"/>
        </w:rPr>
        <w:t> </w:t>
      </w:r>
      <w:r>
        <w:rPr>
          <w:sz w:val="24"/>
        </w:rPr>
        <w:t>the</w:t>
      </w:r>
      <w:r>
        <w:rPr>
          <w:spacing w:val="-4"/>
          <w:sz w:val="24"/>
        </w:rPr>
        <w:t> </w:t>
      </w:r>
      <w:r>
        <w:rPr>
          <w:sz w:val="24"/>
        </w:rPr>
        <w:t>assigned</w:t>
      </w:r>
      <w:r>
        <w:rPr>
          <w:spacing w:val="-4"/>
          <w:sz w:val="24"/>
        </w:rPr>
        <w:t> </w:t>
      </w:r>
      <w:r>
        <w:rPr>
          <w:sz w:val="24"/>
        </w:rPr>
        <w:t>satellite as his or her primary placement facility, then that Displaced Licensed Manager would surrender the displacement status with the agreement from the SLA and </w:t>
      </w:r>
      <w:r>
        <w:rPr>
          <w:spacing w:val="-4"/>
          <w:sz w:val="24"/>
        </w:rPr>
        <w:t>ECM.</w:t>
      </w:r>
    </w:p>
    <w:p>
      <w:pPr>
        <w:pStyle w:val="ListParagraph"/>
        <w:numPr>
          <w:ilvl w:val="1"/>
          <w:numId w:val="385"/>
        </w:numPr>
        <w:tabs>
          <w:tab w:pos="1191" w:val="left" w:leader="none"/>
        </w:tabs>
        <w:spacing w:line="259" w:lineRule="auto" w:before="159" w:after="0"/>
        <w:ind w:left="765" w:right="867" w:firstLine="0"/>
        <w:jc w:val="left"/>
        <w:rPr>
          <w:sz w:val="24"/>
        </w:rPr>
      </w:pPr>
      <w:r>
        <w:rPr>
          <w:sz w:val="24"/>
        </w:rPr>
        <w:t>The</w:t>
      </w:r>
      <w:r>
        <w:rPr>
          <w:spacing w:val="-4"/>
          <w:sz w:val="24"/>
        </w:rPr>
        <w:t> </w:t>
      </w:r>
      <w:r>
        <w:rPr>
          <w:sz w:val="24"/>
        </w:rPr>
        <w:t>SLA</w:t>
      </w:r>
      <w:r>
        <w:rPr>
          <w:spacing w:val="-4"/>
          <w:sz w:val="24"/>
        </w:rPr>
        <w:t> </w:t>
      </w:r>
      <w:r>
        <w:rPr>
          <w:sz w:val="24"/>
        </w:rPr>
        <w:t>will</w:t>
      </w:r>
      <w:r>
        <w:rPr>
          <w:spacing w:val="-4"/>
          <w:sz w:val="24"/>
        </w:rPr>
        <w:t> </w:t>
      </w:r>
      <w:r>
        <w:rPr>
          <w:sz w:val="24"/>
        </w:rPr>
        <w:t>consult</w:t>
      </w:r>
      <w:r>
        <w:rPr>
          <w:spacing w:val="-3"/>
          <w:sz w:val="24"/>
        </w:rPr>
        <w:t> </w:t>
      </w:r>
      <w:r>
        <w:rPr>
          <w:sz w:val="24"/>
        </w:rPr>
        <w:t>with</w:t>
      </w:r>
      <w:r>
        <w:rPr>
          <w:spacing w:val="-4"/>
          <w:sz w:val="24"/>
        </w:rPr>
        <w:t> </w:t>
      </w:r>
      <w:r>
        <w:rPr>
          <w:sz w:val="24"/>
        </w:rPr>
        <w:t>the</w:t>
      </w:r>
      <w:r>
        <w:rPr>
          <w:spacing w:val="-4"/>
          <w:sz w:val="24"/>
        </w:rPr>
        <w:t> </w:t>
      </w:r>
      <w:r>
        <w:rPr>
          <w:sz w:val="24"/>
        </w:rPr>
        <w:t>ECM</w:t>
      </w:r>
      <w:r>
        <w:rPr>
          <w:spacing w:val="-3"/>
          <w:sz w:val="24"/>
        </w:rPr>
        <w:t> </w:t>
      </w:r>
      <w:r>
        <w:rPr>
          <w:sz w:val="24"/>
        </w:rPr>
        <w:t>Chair</w:t>
      </w:r>
      <w:r>
        <w:rPr>
          <w:spacing w:val="-2"/>
          <w:sz w:val="24"/>
        </w:rPr>
        <w:t> </w:t>
      </w:r>
      <w:r>
        <w:rPr>
          <w:sz w:val="24"/>
        </w:rPr>
        <w:t>to</w:t>
      </w:r>
      <w:r>
        <w:rPr>
          <w:spacing w:val="-4"/>
          <w:sz w:val="24"/>
        </w:rPr>
        <w:t> </w:t>
      </w:r>
      <w:r>
        <w:rPr>
          <w:sz w:val="24"/>
        </w:rPr>
        <w:t>determine</w:t>
      </w:r>
      <w:r>
        <w:rPr>
          <w:spacing w:val="-4"/>
          <w:sz w:val="24"/>
        </w:rPr>
        <w:t> </w:t>
      </w:r>
      <w:r>
        <w:rPr>
          <w:sz w:val="24"/>
        </w:rPr>
        <w:t>beginning</w:t>
      </w:r>
      <w:r>
        <w:rPr>
          <w:spacing w:val="-4"/>
          <w:sz w:val="24"/>
        </w:rPr>
        <w:t> </w:t>
      </w:r>
      <w:r>
        <w:rPr>
          <w:sz w:val="24"/>
        </w:rPr>
        <w:t>and</w:t>
      </w:r>
      <w:r>
        <w:rPr>
          <w:spacing w:val="-4"/>
          <w:sz w:val="24"/>
        </w:rPr>
        <w:t> </w:t>
      </w:r>
      <w:r>
        <w:rPr>
          <w:sz w:val="24"/>
        </w:rPr>
        <w:t>expiration date of eligibility of the Displaced Licensed Manager and provide notice in the Licensed Managers preferred format.</w:t>
      </w:r>
    </w:p>
    <w:p>
      <w:pPr>
        <w:spacing w:before="159"/>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7-1-03</w:t>
      </w:r>
      <w:r>
        <w:rPr>
          <w:sz w:val="22"/>
        </w:rPr>
        <w:tab/>
        <w:t>PT Memo #03-07</w:t>
      </w:r>
    </w:p>
    <w:p>
      <w:pPr>
        <w:spacing w:before="0"/>
        <w:ind w:left="1439" w:right="0" w:firstLine="0"/>
        <w:jc w:val="left"/>
        <w:rPr>
          <w:sz w:val="22"/>
        </w:rPr>
      </w:pPr>
      <w:r>
        <w:rPr>
          <w:sz w:val="22"/>
        </w:rPr>
        <w:t>Permanent,</w:t>
      </w:r>
      <w:r>
        <w:rPr>
          <w:spacing w:val="-10"/>
          <w:sz w:val="22"/>
        </w:rPr>
        <w:t> </w:t>
      </w:r>
      <w:r>
        <w:rPr>
          <w:sz w:val="22"/>
        </w:rPr>
        <w:t>updated</w:t>
      </w:r>
      <w:r>
        <w:rPr>
          <w:spacing w:val="-11"/>
          <w:sz w:val="22"/>
        </w:rPr>
        <w:t> </w:t>
      </w:r>
      <w:r>
        <w:rPr>
          <w:spacing w:val="-2"/>
          <w:sz w:val="22"/>
        </w:rPr>
        <w:t>language</w:t>
      </w:r>
    </w:p>
    <w:p>
      <w:pPr>
        <w:pStyle w:val="ListParagraph"/>
        <w:numPr>
          <w:ilvl w:val="2"/>
          <w:numId w:val="271"/>
        </w:numPr>
        <w:tabs>
          <w:tab w:pos="1439" w:val="left" w:leader="none"/>
        </w:tabs>
        <w:spacing w:line="240" w:lineRule="auto" w:before="1" w:after="0"/>
        <w:ind w:left="1439" w:right="0" w:hanging="1080"/>
        <w:jc w:val="left"/>
        <w:rPr>
          <w:sz w:val="22"/>
        </w:rPr>
      </w:pPr>
      <w:r>
        <w:rPr>
          <w:sz w:val="22"/>
        </w:rPr>
        <w:t>Permanent,</w:t>
      </w:r>
      <w:r>
        <w:rPr>
          <w:spacing w:val="-7"/>
          <w:sz w:val="22"/>
        </w:rPr>
        <w:t> </w:t>
      </w:r>
      <w:r>
        <w:rPr>
          <w:sz w:val="22"/>
        </w:rPr>
        <w:t>updating</w:t>
      </w:r>
      <w:r>
        <w:rPr>
          <w:spacing w:val="-8"/>
          <w:sz w:val="22"/>
        </w:rPr>
        <w:t> </w:t>
      </w:r>
      <w:r>
        <w:rPr>
          <w:sz w:val="22"/>
        </w:rPr>
        <w:t>language</w:t>
      </w:r>
      <w:r>
        <w:rPr>
          <w:spacing w:val="-8"/>
          <w:sz w:val="22"/>
        </w:rPr>
        <w:t> </w:t>
      </w:r>
      <w:r>
        <w:rPr>
          <w:sz w:val="22"/>
        </w:rPr>
        <w:t>due</w:t>
      </w:r>
      <w:r>
        <w:rPr>
          <w:spacing w:val="-8"/>
          <w:sz w:val="22"/>
        </w:rPr>
        <w:t> </w:t>
      </w:r>
      <w:r>
        <w:rPr>
          <w:sz w:val="22"/>
        </w:rPr>
        <w:t>to</w:t>
      </w:r>
      <w:r>
        <w:rPr>
          <w:spacing w:val="-8"/>
          <w:sz w:val="22"/>
        </w:rPr>
        <w:t> </w:t>
      </w:r>
      <w:r>
        <w:rPr>
          <w:spacing w:val="-2"/>
          <w:sz w:val="22"/>
        </w:rPr>
        <w:t>audit</w:t>
      </w:r>
    </w:p>
    <w:p>
      <w:pPr>
        <w:tabs>
          <w:tab w:pos="1439" w:val="left" w:leader="none"/>
        </w:tabs>
        <w:spacing w:before="0"/>
        <w:ind w:left="359" w:right="0" w:firstLine="0"/>
        <w:jc w:val="left"/>
        <w:rPr>
          <w:sz w:val="22"/>
        </w:rPr>
      </w:pPr>
      <w:r>
        <w:rPr>
          <w:spacing w:val="-2"/>
          <w:sz w:val="22"/>
        </w:rPr>
        <w:t>8-27-</w:t>
      </w:r>
      <w:r>
        <w:rPr>
          <w:spacing w:val="-5"/>
          <w:sz w:val="22"/>
        </w:rPr>
        <w:t>15</w:t>
      </w:r>
      <w:r>
        <w:rPr>
          <w:sz w:val="22"/>
        </w:rPr>
        <w:tab/>
        <w:t>Updated</w:t>
      </w:r>
      <w:r>
        <w:rPr>
          <w:spacing w:val="-7"/>
          <w:sz w:val="22"/>
        </w:rPr>
        <w:t> </w:t>
      </w:r>
      <w:r>
        <w:rPr>
          <w:sz w:val="22"/>
        </w:rPr>
        <w:t>policy</w:t>
      </w:r>
      <w:r>
        <w:rPr>
          <w:spacing w:val="-6"/>
          <w:sz w:val="22"/>
        </w:rPr>
        <w:t> </w:t>
      </w:r>
      <w:r>
        <w:rPr>
          <w:sz w:val="22"/>
        </w:rPr>
        <w:t>name</w:t>
      </w:r>
      <w:r>
        <w:rPr>
          <w:spacing w:val="-6"/>
          <w:sz w:val="22"/>
        </w:rPr>
        <w:t> </w:t>
      </w:r>
      <w:r>
        <w:rPr>
          <w:sz w:val="22"/>
        </w:rPr>
        <w:t>and</w:t>
      </w:r>
      <w:r>
        <w:rPr>
          <w:spacing w:val="-7"/>
          <w:sz w:val="22"/>
        </w:rPr>
        <w:t> </w:t>
      </w:r>
      <w:r>
        <w:rPr>
          <w:sz w:val="22"/>
        </w:rPr>
        <w:t>deleted</w:t>
      </w:r>
      <w:r>
        <w:rPr>
          <w:spacing w:val="-6"/>
          <w:sz w:val="22"/>
        </w:rPr>
        <w:t> </w:t>
      </w:r>
      <w:r>
        <w:rPr>
          <w:sz w:val="22"/>
        </w:rPr>
        <w:t>section</w:t>
      </w:r>
      <w:r>
        <w:rPr>
          <w:spacing w:val="-6"/>
          <w:sz w:val="22"/>
        </w:rPr>
        <w:t> </w:t>
      </w:r>
      <w:r>
        <w:rPr>
          <w:sz w:val="22"/>
        </w:rPr>
        <w:t>(b)</w:t>
      </w:r>
      <w:r>
        <w:rPr>
          <w:spacing w:val="-6"/>
          <w:sz w:val="22"/>
        </w:rPr>
        <w:t> </w:t>
      </w:r>
      <w:r>
        <w:rPr>
          <w:spacing w:val="-2"/>
          <w:sz w:val="22"/>
        </w:rPr>
        <w:t>Promotion.</w:t>
      </w:r>
    </w:p>
    <w:p>
      <w:pPr>
        <w:tabs>
          <w:tab w:pos="1439" w:val="left" w:leader="none"/>
        </w:tabs>
        <w:spacing w:before="0"/>
        <w:ind w:left="1439" w:right="1737" w:hanging="1080"/>
        <w:jc w:val="left"/>
        <w:rPr>
          <w:sz w:val="22"/>
        </w:rPr>
      </w:pPr>
      <w:r>
        <w:rPr>
          <w:spacing w:val="-2"/>
          <w:sz w:val="22"/>
        </w:rPr>
        <w:t>9-11-22</w:t>
      </w:r>
      <w:r>
        <w:rPr>
          <w:sz w:val="22"/>
        </w:rPr>
        <w:tab/>
        <w:t>Proposed</w:t>
      </w:r>
      <w:r>
        <w:rPr>
          <w:spacing w:val="-4"/>
          <w:sz w:val="22"/>
        </w:rPr>
        <w:t> </w:t>
      </w:r>
      <w:r>
        <w:rPr>
          <w:sz w:val="22"/>
        </w:rPr>
        <w:t>change</w:t>
      </w:r>
      <w:r>
        <w:rPr>
          <w:spacing w:val="-4"/>
          <w:sz w:val="22"/>
        </w:rPr>
        <w:t> </w:t>
      </w:r>
      <w:r>
        <w:rPr>
          <w:sz w:val="22"/>
        </w:rPr>
        <w:t>adds</w:t>
      </w:r>
      <w:r>
        <w:rPr>
          <w:spacing w:val="-5"/>
          <w:sz w:val="22"/>
        </w:rPr>
        <w:t> </w:t>
      </w:r>
      <w:r>
        <w:rPr>
          <w:sz w:val="22"/>
        </w:rPr>
        <w:t>language</w:t>
      </w:r>
      <w:r>
        <w:rPr>
          <w:spacing w:val="-4"/>
          <w:sz w:val="22"/>
        </w:rPr>
        <w:t> </w:t>
      </w:r>
      <w:r>
        <w:rPr>
          <w:sz w:val="22"/>
        </w:rPr>
        <w:t>to</w:t>
      </w:r>
      <w:r>
        <w:rPr>
          <w:spacing w:val="-5"/>
          <w:sz w:val="22"/>
        </w:rPr>
        <w:t> </w:t>
      </w:r>
      <w:r>
        <w:rPr>
          <w:sz w:val="22"/>
        </w:rPr>
        <w:t>clarify</w:t>
      </w:r>
      <w:r>
        <w:rPr>
          <w:spacing w:val="-4"/>
          <w:sz w:val="22"/>
        </w:rPr>
        <w:t> </w:t>
      </w:r>
      <w:r>
        <w:rPr>
          <w:sz w:val="22"/>
        </w:rPr>
        <w:t>the</w:t>
      </w:r>
      <w:r>
        <w:rPr>
          <w:spacing w:val="-5"/>
          <w:sz w:val="22"/>
        </w:rPr>
        <w:t> </w:t>
      </w:r>
      <w:r>
        <w:rPr>
          <w:sz w:val="22"/>
        </w:rPr>
        <w:t>transfer</w:t>
      </w:r>
      <w:r>
        <w:rPr>
          <w:spacing w:val="-4"/>
          <w:sz w:val="22"/>
        </w:rPr>
        <w:t> </w:t>
      </w:r>
      <w:r>
        <w:rPr>
          <w:sz w:val="22"/>
        </w:rPr>
        <w:t>policy</w:t>
      </w:r>
      <w:r>
        <w:rPr>
          <w:spacing w:val="-4"/>
          <w:sz w:val="22"/>
        </w:rPr>
        <w:t> </w:t>
      </w:r>
      <w:r>
        <w:rPr>
          <w:sz w:val="22"/>
        </w:rPr>
        <w:t>regarding</w:t>
      </w:r>
      <w:r>
        <w:rPr>
          <w:spacing w:val="-4"/>
          <w:sz w:val="22"/>
        </w:rPr>
        <w:t> </w:t>
      </w:r>
      <w:r>
        <w:rPr>
          <w:sz w:val="22"/>
        </w:rPr>
        <w:t>the competitive selection process.</w:t>
      </w:r>
    </w:p>
    <w:p>
      <w:pPr>
        <w:spacing w:after="0"/>
        <w:jc w:val="left"/>
        <w:rPr>
          <w:sz w:val="22"/>
        </w:rPr>
        <w:sectPr>
          <w:pgSz w:w="12240" w:h="15840"/>
          <w:pgMar w:top="1340" w:bottom="280" w:left="1080" w:right="720"/>
        </w:sectPr>
      </w:pPr>
    </w:p>
    <w:p>
      <w:pPr>
        <w:pStyle w:val="Heading2"/>
      </w:pPr>
      <w:bookmarkStart w:name="612:25-4-54.  Business enterprise vacanc" w:id="405"/>
      <w:bookmarkEnd w:id="405"/>
      <w:r>
        <w:rPr>
          <w:b w:val="0"/>
        </w:rPr>
      </w:r>
      <w:r>
        <w:rPr/>
        <w:t>612:25-4-54.</w:t>
      </w:r>
      <w:r>
        <w:rPr>
          <w:spacing w:val="55"/>
        </w:rPr>
        <w:t> </w:t>
      </w:r>
      <w:r>
        <w:rPr/>
        <w:t>Business</w:t>
      </w:r>
      <w:r>
        <w:rPr>
          <w:spacing w:val="-5"/>
        </w:rPr>
        <w:t> </w:t>
      </w:r>
      <w:r>
        <w:rPr/>
        <w:t>enterprise</w:t>
      </w:r>
      <w:r>
        <w:rPr>
          <w:spacing w:val="-5"/>
        </w:rPr>
        <w:t> </w:t>
      </w:r>
      <w:r>
        <w:rPr/>
        <w:t>vacancy</w:t>
      </w:r>
      <w:r>
        <w:rPr>
          <w:spacing w:val="-4"/>
        </w:rPr>
        <w:t> </w:t>
      </w:r>
      <w:r>
        <w:rPr>
          <w:spacing w:val="-2"/>
        </w:rPr>
        <w:t>announcement</w:t>
      </w:r>
    </w:p>
    <w:p>
      <w:pPr>
        <w:pStyle w:val="ListParagraph"/>
        <w:numPr>
          <w:ilvl w:val="0"/>
          <w:numId w:val="386"/>
        </w:numPr>
        <w:tabs>
          <w:tab w:pos="786" w:val="left" w:leader="none"/>
        </w:tabs>
        <w:spacing w:line="208" w:lineRule="auto" w:before="233" w:after="0"/>
        <w:ind w:left="360" w:right="1323" w:firstLine="0"/>
        <w:jc w:val="left"/>
        <w:rPr>
          <w:sz w:val="24"/>
        </w:rPr>
      </w:pPr>
      <w:r>
        <w:rPr>
          <w:sz w:val="24"/>
        </w:rPr>
        <w:t>The</w:t>
      </w:r>
      <w:r>
        <w:rPr>
          <w:spacing w:val="-3"/>
          <w:sz w:val="24"/>
        </w:rPr>
        <w:t> </w:t>
      </w:r>
      <w:r>
        <w:rPr>
          <w:sz w:val="24"/>
        </w:rPr>
        <w:t>procedure</w:t>
      </w:r>
      <w:r>
        <w:rPr>
          <w:spacing w:val="-4"/>
          <w:sz w:val="24"/>
        </w:rPr>
        <w:t> </w:t>
      </w:r>
      <w:r>
        <w:rPr>
          <w:sz w:val="24"/>
        </w:rPr>
        <w:t>for</w:t>
      </w:r>
      <w:r>
        <w:rPr>
          <w:spacing w:val="-3"/>
          <w:sz w:val="24"/>
        </w:rPr>
        <w:t> </w:t>
      </w:r>
      <w:r>
        <w:rPr>
          <w:sz w:val="24"/>
        </w:rPr>
        <w:t>announcing</w:t>
      </w:r>
      <w:r>
        <w:rPr>
          <w:spacing w:val="-3"/>
          <w:sz w:val="24"/>
        </w:rPr>
        <w:t> </w:t>
      </w:r>
      <w:r>
        <w:rPr>
          <w:sz w:val="24"/>
        </w:rPr>
        <w:t>business</w:t>
      </w:r>
      <w:r>
        <w:rPr>
          <w:spacing w:val="-3"/>
          <w:sz w:val="24"/>
        </w:rPr>
        <w:t> </w:t>
      </w:r>
      <w:r>
        <w:rPr>
          <w:sz w:val="24"/>
        </w:rPr>
        <w:t>enterprise</w:t>
      </w:r>
      <w:r>
        <w:rPr>
          <w:spacing w:val="-3"/>
          <w:sz w:val="24"/>
        </w:rPr>
        <w:t> </w:t>
      </w:r>
      <w:r>
        <w:rPr>
          <w:sz w:val="24"/>
        </w:rPr>
        <w:t>openings</w:t>
      </w:r>
      <w:r>
        <w:rPr>
          <w:spacing w:val="-4"/>
          <w:sz w:val="24"/>
        </w:rPr>
        <w:t> </w:t>
      </w:r>
      <w:r>
        <w:rPr>
          <w:sz w:val="24"/>
        </w:rPr>
        <w:t>is</w:t>
      </w:r>
      <w:r>
        <w:rPr>
          <w:spacing w:val="-3"/>
          <w:sz w:val="24"/>
        </w:rPr>
        <w:t> </w:t>
      </w:r>
      <w:r>
        <w:rPr>
          <w:sz w:val="24"/>
        </w:rPr>
        <w:t>a</w:t>
      </w:r>
      <w:r>
        <w:rPr>
          <w:spacing w:val="-3"/>
          <w:sz w:val="24"/>
        </w:rPr>
        <w:t> </w:t>
      </w:r>
      <w:r>
        <w:rPr>
          <w:sz w:val="24"/>
        </w:rPr>
        <w:t>mail</w:t>
      </w:r>
      <w:r>
        <w:rPr>
          <w:spacing w:val="-4"/>
          <w:sz w:val="24"/>
        </w:rPr>
        <w:t> </w:t>
      </w:r>
      <w:r>
        <w:rPr>
          <w:sz w:val="24"/>
        </w:rPr>
        <w:t>out</w:t>
      </w:r>
      <w:r>
        <w:rPr>
          <w:spacing w:val="-4"/>
          <w:sz w:val="24"/>
        </w:rPr>
        <w:t> </w:t>
      </w:r>
      <w:r>
        <w:rPr>
          <w:sz w:val="24"/>
        </w:rPr>
        <w:t>to</w:t>
      </w:r>
      <w:r>
        <w:rPr>
          <w:spacing w:val="-3"/>
          <w:sz w:val="24"/>
        </w:rPr>
        <w:t> </w:t>
      </w:r>
      <w:r>
        <w:rPr>
          <w:sz w:val="24"/>
        </w:rPr>
        <w:t>all licensed managers, licensed employees, and licensees.</w:t>
      </w:r>
    </w:p>
    <w:p>
      <w:pPr>
        <w:pStyle w:val="ListParagraph"/>
        <w:numPr>
          <w:ilvl w:val="0"/>
          <w:numId w:val="386"/>
        </w:numPr>
        <w:tabs>
          <w:tab w:pos="786" w:val="left" w:leader="none"/>
        </w:tabs>
        <w:spacing w:line="240" w:lineRule="auto" w:before="210" w:after="0"/>
        <w:ind w:left="786" w:right="0" w:hanging="426"/>
        <w:jc w:val="left"/>
        <w:rPr>
          <w:sz w:val="24"/>
        </w:rPr>
      </w:pPr>
      <w:r>
        <w:rPr>
          <w:sz w:val="24"/>
        </w:rPr>
        <w:t>The</w:t>
      </w:r>
      <w:r>
        <w:rPr>
          <w:spacing w:val="-4"/>
          <w:sz w:val="24"/>
        </w:rPr>
        <w:t> </w:t>
      </w:r>
      <w:r>
        <w:rPr>
          <w:sz w:val="24"/>
        </w:rPr>
        <w:t>announcement</w:t>
      </w:r>
      <w:r>
        <w:rPr>
          <w:spacing w:val="-2"/>
          <w:sz w:val="24"/>
        </w:rPr>
        <w:t> </w:t>
      </w:r>
      <w:r>
        <w:rPr>
          <w:sz w:val="24"/>
        </w:rPr>
        <w:t>period</w:t>
      </w:r>
      <w:r>
        <w:rPr>
          <w:spacing w:val="-3"/>
          <w:sz w:val="24"/>
        </w:rPr>
        <w:t> </w:t>
      </w:r>
      <w:r>
        <w:rPr>
          <w:sz w:val="24"/>
        </w:rPr>
        <w:t>will</w:t>
      </w:r>
      <w:r>
        <w:rPr>
          <w:spacing w:val="-3"/>
          <w:sz w:val="24"/>
        </w:rPr>
        <w:t> </w:t>
      </w:r>
      <w:r>
        <w:rPr>
          <w:sz w:val="24"/>
        </w:rPr>
        <w:t>be</w:t>
      </w:r>
      <w:r>
        <w:rPr>
          <w:spacing w:val="-3"/>
          <w:sz w:val="24"/>
        </w:rPr>
        <w:t> </w:t>
      </w:r>
      <w:r>
        <w:rPr>
          <w:sz w:val="24"/>
        </w:rPr>
        <w:t>ten</w:t>
      </w:r>
      <w:r>
        <w:rPr>
          <w:spacing w:val="-3"/>
          <w:sz w:val="24"/>
        </w:rPr>
        <w:t> </w:t>
      </w:r>
      <w:r>
        <w:rPr>
          <w:sz w:val="24"/>
        </w:rPr>
        <w:t>working</w:t>
      </w:r>
      <w:r>
        <w:rPr>
          <w:spacing w:val="-3"/>
          <w:sz w:val="24"/>
        </w:rPr>
        <w:t> </w:t>
      </w:r>
      <w:r>
        <w:rPr>
          <w:spacing w:val="-2"/>
          <w:sz w:val="24"/>
        </w:rPr>
        <w:t>days.</w:t>
      </w:r>
    </w:p>
    <w:p>
      <w:pPr>
        <w:pStyle w:val="ListParagraph"/>
        <w:numPr>
          <w:ilvl w:val="0"/>
          <w:numId w:val="386"/>
        </w:numPr>
        <w:tabs>
          <w:tab w:pos="773" w:val="left" w:leader="none"/>
        </w:tabs>
        <w:spacing w:line="208" w:lineRule="auto" w:before="234" w:after="0"/>
        <w:ind w:left="360" w:right="805" w:firstLine="0"/>
        <w:jc w:val="left"/>
        <w:rPr>
          <w:sz w:val="24"/>
        </w:rPr>
      </w:pPr>
      <w:r>
        <w:rPr>
          <w:sz w:val="24"/>
        </w:rPr>
        <w:t>If</w:t>
      </w:r>
      <w:r>
        <w:rPr>
          <w:spacing w:val="-2"/>
          <w:sz w:val="24"/>
        </w:rPr>
        <w:t> </w:t>
      </w:r>
      <w:r>
        <w:rPr>
          <w:sz w:val="24"/>
        </w:rPr>
        <w:t>available,</w:t>
      </w:r>
      <w:r>
        <w:rPr>
          <w:spacing w:val="-2"/>
          <w:sz w:val="24"/>
        </w:rPr>
        <w:t> </w:t>
      </w:r>
      <w:r>
        <w:rPr>
          <w:sz w:val="24"/>
        </w:rPr>
        <w:t>the</w:t>
      </w:r>
      <w:r>
        <w:rPr>
          <w:spacing w:val="-3"/>
          <w:sz w:val="24"/>
        </w:rPr>
        <w:t> </w:t>
      </w:r>
      <w:r>
        <w:rPr>
          <w:sz w:val="24"/>
        </w:rPr>
        <w:t>information</w:t>
      </w:r>
      <w:r>
        <w:rPr>
          <w:spacing w:val="-3"/>
          <w:sz w:val="24"/>
        </w:rPr>
        <w:t> </w:t>
      </w:r>
      <w:r>
        <w:rPr>
          <w:sz w:val="24"/>
        </w:rPr>
        <w:t>in</w:t>
      </w:r>
      <w:r>
        <w:rPr>
          <w:spacing w:val="-3"/>
          <w:sz w:val="24"/>
        </w:rPr>
        <w:t> </w:t>
      </w:r>
      <w:r>
        <w:rPr>
          <w:sz w:val="24"/>
        </w:rPr>
        <w:t>(1)</w:t>
      </w:r>
      <w:r>
        <w:rPr>
          <w:spacing w:val="-4"/>
          <w:sz w:val="24"/>
        </w:rPr>
        <w:t> </w:t>
      </w:r>
      <w:r>
        <w:rPr>
          <w:sz w:val="24"/>
        </w:rPr>
        <w:t>through</w:t>
      </w:r>
      <w:r>
        <w:rPr>
          <w:spacing w:val="-3"/>
          <w:sz w:val="24"/>
        </w:rPr>
        <w:t> </w:t>
      </w:r>
      <w:r>
        <w:rPr>
          <w:sz w:val="24"/>
        </w:rPr>
        <w:t>(9)</w:t>
      </w:r>
      <w:r>
        <w:rPr>
          <w:spacing w:val="-2"/>
          <w:sz w:val="24"/>
        </w:rPr>
        <w:t> </w:t>
      </w:r>
      <w:r>
        <w:rPr>
          <w:sz w:val="24"/>
        </w:rPr>
        <w:t>of</w:t>
      </w:r>
      <w:r>
        <w:rPr>
          <w:spacing w:val="-4"/>
          <w:sz w:val="24"/>
        </w:rPr>
        <w:t> </w:t>
      </w:r>
      <w:r>
        <w:rPr>
          <w:sz w:val="24"/>
        </w:rPr>
        <w:t>this</w:t>
      </w:r>
      <w:r>
        <w:rPr>
          <w:spacing w:val="-3"/>
          <w:sz w:val="24"/>
        </w:rPr>
        <w:t> </w:t>
      </w:r>
      <w:r>
        <w:rPr>
          <w:sz w:val="24"/>
        </w:rPr>
        <w:t>Subsection</w:t>
      </w:r>
      <w:r>
        <w:rPr>
          <w:spacing w:val="-3"/>
          <w:sz w:val="24"/>
        </w:rPr>
        <w:t> </w:t>
      </w:r>
      <w:r>
        <w:rPr>
          <w:sz w:val="24"/>
        </w:rPr>
        <w:t>will</w:t>
      </w:r>
      <w:r>
        <w:rPr>
          <w:spacing w:val="-3"/>
          <w:sz w:val="24"/>
        </w:rPr>
        <w:t> </w:t>
      </w:r>
      <w:r>
        <w:rPr>
          <w:sz w:val="24"/>
        </w:rPr>
        <w:t>be</w:t>
      </w:r>
      <w:r>
        <w:rPr>
          <w:spacing w:val="-3"/>
          <w:sz w:val="24"/>
        </w:rPr>
        <w:t> </w:t>
      </w:r>
      <w:r>
        <w:rPr>
          <w:sz w:val="24"/>
        </w:rPr>
        <w:t>contained</w:t>
      </w:r>
      <w:r>
        <w:rPr>
          <w:spacing w:val="-3"/>
          <w:sz w:val="24"/>
        </w:rPr>
        <w:t> </w:t>
      </w:r>
      <w:r>
        <w:rPr>
          <w:sz w:val="24"/>
        </w:rPr>
        <w:t>on each announcement.</w:t>
      </w:r>
    </w:p>
    <w:p>
      <w:pPr>
        <w:pStyle w:val="ListParagraph"/>
        <w:numPr>
          <w:ilvl w:val="1"/>
          <w:numId w:val="386"/>
        </w:numPr>
        <w:tabs>
          <w:tab w:pos="1216" w:val="left" w:leader="none"/>
        </w:tabs>
        <w:spacing w:line="240" w:lineRule="auto" w:before="210" w:after="0"/>
        <w:ind w:left="1216" w:right="0" w:hanging="425"/>
        <w:jc w:val="left"/>
        <w:rPr>
          <w:sz w:val="24"/>
        </w:rPr>
      </w:pPr>
      <w:r>
        <w:rPr>
          <w:sz w:val="24"/>
        </w:rPr>
        <w:t>type</w:t>
      </w:r>
      <w:r>
        <w:rPr>
          <w:spacing w:val="-3"/>
          <w:sz w:val="24"/>
        </w:rPr>
        <w:t> </w:t>
      </w:r>
      <w:r>
        <w:rPr>
          <w:sz w:val="24"/>
        </w:rPr>
        <w:t>of</w:t>
      </w:r>
      <w:r>
        <w:rPr>
          <w:spacing w:val="-4"/>
          <w:sz w:val="24"/>
        </w:rPr>
        <w:t> </w:t>
      </w:r>
      <w:r>
        <w:rPr>
          <w:sz w:val="24"/>
        </w:rPr>
        <w:t>business</w:t>
      </w:r>
      <w:r>
        <w:rPr>
          <w:spacing w:val="-2"/>
          <w:sz w:val="24"/>
        </w:rPr>
        <w:t> enterprise;</w:t>
      </w:r>
    </w:p>
    <w:p>
      <w:pPr>
        <w:pStyle w:val="ListParagraph"/>
        <w:numPr>
          <w:ilvl w:val="1"/>
          <w:numId w:val="386"/>
        </w:numPr>
        <w:tabs>
          <w:tab w:pos="1217" w:val="left" w:leader="none"/>
        </w:tabs>
        <w:spacing w:line="208" w:lineRule="auto" w:before="234" w:after="0"/>
        <w:ind w:left="791" w:right="1602" w:firstLine="0"/>
        <w:jc w:val="left"/>
        <w:rPr>
          <w:sz w:val="24"/>
        </w:rPr>
      </w:pPr>
      <w:r>
        <w:rPr>
          <w:sz w:val="24"/>
        </w:rPr>
        <w:t>estimated</w:t>
      </w:r>
      <w:r>
        <w:rPr>
          <w:spacing w:val="-4"/>
          <w:sz w:val="24"/>
        </w:rPr>
        <w:t> </w:t>
      </w:r>
      <w:r>
        <w:rPr>
          <w:sz w:val="24"/>
        </w:rPr>
        <w:t>number</w:t>
      </w:r>
      <w:r>
        <w:rPr>
          <w:spacing w:val="-3"/>
          <w:sz w:val="24"/>
        </w:rPr>
        <w:t> </w:t>
      </w:r>
      <w:r>
        <w:rPr>
          <w:sz w:val="24"/>
        </w:rPr>
        <w:t>of</w:t>
      </w:r>
      <w:r>
        <w:rPr>
          <w:spacing w:val="-3"/>
          <w:sz w:val="24"/>
        </w:rPr>
        <w:t> </w:t>
      </w:r>
      <w:r>
        <w:rPr>
          <w:sz w:val="24"/>
        </w:rPr>
        <w:t>employees</w:t>
      </w:r>
      <w:r>
        <w:rPr>
          <w:spacing w:val="-4"/>
          <w:sz w:val="24"/>
        </w:rPr>
        <w:t> </w:t>
      </w:r>
      <w:r>
        <w:rPr>
          <w:sz w:val="24"/>
        </w:rPr>
        <w:t>in</w:t>
      </w:r>
      <w:r>
        <w:rPr>
          <w:spacing w:val="-4"/>
          <w:sz w:val="24"/>
        </w:rPr>
        <w:t> </w:t>
      </w:r>
      <w:r>
        <w:rPr>
          <w:sz w:val="24"/>
        </w:rPr>
        <w:t>the</w:t>
      </w:r>
      <w:r>
        <w:rPr>
          <w:spacing w:val="-4"/>
          <w:sz w:val="24"/>
        </w:rPr>
        <w:t> </w:t>
      </w:r>
      <w:r>
        <w:rPr>
          <w:sz w:val="24"/>
        </w:rPr>
        <w:t>building</w:t>
      </w:r>
      <w:r>
        <w:rPr>
          <w:spacing w:val="-4"/>
          <w:sz w:val="24"/>
        </w:rPr>
        <w:t> </w:t>
      </w:r>
      <w:r>
        <w:rPr>
          <w:sz w:val="24"/>
        </w:rPr>
        <w:t>and/or</w:t>
      </w:r>
      <w:r>
        <w:rPr>
          <w:spacing w:val="-3"/>
          <w:sz w:val="24"/>
        </w:rPr>
        <w:t> </w:t>
      </w:r>
      <w:r>
        <w:rPr>
          <w:sz w:val="24"/>
        </w:rPr>
        <w:t>traffic</w:t>
      </w:r>
      <w:r>
        <w:rPr>
          <w:spacing w:val="-5"/>
          <w:sz w:val="24"/>
        </w:rPr>
        <w:t> </w:t>
      </w:r>
      <w:r>
        <w:rPr>
          <w:sz w:val="24"/>
        </w:rPr>
        <w:t>flow</w:t>
      </w:r>
      <w:r>
        <w:rPr>
          <w:spacing w:val="-4"/>
          <w:sz w:val="24"/>
        </w:rPr>
        <w:t> </w:t>
      </w:r>
      <w:r>
        <w:rPr>
          <w:sz w:val="24"/>
        </w:rPr>
        <w:t>unless security considerations prohibit release of such information;</w:t>
      </w:r>
    </w:p>
    <w:p>
      <w:pPr>
        <w:pStyle w:val="ListParagraph"/>
        <w:numPr>
          <w:ilvl w:val="1"/>
          <w:numId w:val="386"/>
        </w:numPr>
        <w:tabs>
          <w:tab w:pos="1217" w:val="left" w:leader="none"/>
        </w:tabs>
        <w:spacing w:line="240" w:lineRule="auto" w:before="210" w:after="0"/>
        <w:ind w:left="1217" w:right="0" w:hanging="426"/>
        <w:jc w:val="left"/>
        <w:rPr>
          <w:sz w:val="24"/>
        </w:rPr>
      </w:pPr>
      <w:r>
        <w:rPr>
          <w:sz w:val="24"/>
        </w:rPr>
        <w:t>location</w:t>
      </w:r>
      <w:r>
        <w:rPr>
          <w:spacing w:val="-4"/>
          <w:sz w:val="24"/>
        </w:rPr>
        <w:t> </w:t>
      </w:r>
      <w:r>
        <w:rPr>
          <w:sz w:val="24"/>
        </w:rPr>
        <w:t>of</w:t>
      </w:r>
      <w:r>
        <w:rPr>
          <w:spacing w:val="-2"/>
          <w:sz w:val="24"/>
        </w:rPr>
        <w:t> </w:t>
      </w:r>
      <w:r>
        <w:rPr>
          <w:sz w:val="24"/>
        </w:rPr>
        <w:t>the</w:t>
      </w:r>
      <w:r>
        <w:rPr>
          <w:spacing w:val="-3"/>
          <w:sz w:val="24"/>
        </w:rPr>
        <w:t> </w:t>
      </w:r>
      <w:r>
        <w:rPr>
          <w:sz w:val="24"/>
        </w:rPr>
        <w:t>business</w:t>
      </w:r>
      <w:r>
        <w:rPr>
          <w:spacing w:val="-3"/>
          <w:sz w:val="24"/>
        </w:rPr>
        <w:t> </w:t>
      </w:r>
      <w:r>
        <w:rPr>
          <w:spacing w:val="-2"/>
          <w:sz w:val="24"/>
        </w:rPr>
        <w:t>enterprise;</w:t>
      </w:r>
    </w:p>
    <w:p>
      <w:pPr>
        <w:pStyle w:val="ListParagraph"/>
        <w:numPr>
          <w:ilvl w:val="1"/>
          <w:numId w:val="386"/>
        </w:numPr>
        <w:tabs>
          <w:tab w:pos="1217" w:val="left" w:leader="none"/>
        </w:tabs>
        <w:spacing w:line="240" w:lineRule="auto" w:before="204" w:after="0"/>
        <w:ind w:left="1217" w:right="0" w:hanging="426"/>
        <w:jc w:val="left"/>
        <w:rPr>
          <w:b/>
          <w:sz w:val="24"/>
        </w:rPr>
      </w:pPr>
      <w:r>
        <w:rPr>
          <w:sz w:val="24"/>
        </w:rPr>
        <w:t>classification;</w:t>
      </w:r>
      <w:r>
        <w:rPr>
          <w:spacing w:val="-9"/>
          <w:sz w:val="24"/>
        </w:rPr>
        <w:t> </w:t>
      </w:r>
      <w:r>
        <w:rPr>
          <w:b/>
          <w:spacing w:val="-10"/>
          <w:sz w:val="24"/>
        </w:rPr>
        <w:t>1</w:t>
      </w:r>
    </w:p>
    <w:p>
      <w:pPr>
        <w:pStyle w:val="ListParagraph"/>
        <w:numPr>
          <w:ilvl w:val="1"/>
          <w:numId w:val="386"/>
        </w:numPr>
        <w:tabs>
          <w:tab w:pos="1217" w:val="left" w:leader="none"/>
        </w:tabs>
        <w:spacing w:line="240" w:lineRule="auto" w:before="204" w:after="0"/>
        <w:ind w:left="1217" w:right="0" w:hanging="426"/>
        <w:jc w:val="left"/>
        <w:rPr>
          <w:sz w:val="24"/>
        </w:rPr>
      </w:pPr>
      <w:r>
        <w:rPr>
          <w:sz w:val="24"/>
        </w:rPr>
        <w:t>average</w:t>
      </w:r>
      <w:r>
        <w:rPr>
          <w:spacing w:val="-5"/>
          <w:sz w:val="24"/>
        </w:rPr>
        <w:t> </w:t>
      </w:r>
      <w:r>
        <w:rPr>
          <w:sz w:val="24"/>
        </w:rPr>
        <w:t>gross</w:t>
      </w:r>
      <w:r>
        <w:rPr>
          <w:spacing w:val="-3"/>
          <w:sz w:val="24"/>
        </w:rPr>
        <w:t> </w:t>
      </w:r>
      <w:r>
        <w:rPr>
          <w:sz w:val="24"/>
        </w:rPr>
        <w:t>sales</w:t>
      </w:r>
      <w:r>
        <w:rPr>
          <w:spacing w:val="-3"/>
          <w:sz w:val="24"/>
        </w:rPr>
        <w:t> </w:t>
      </w:r>
      <w:r>
        <w:rPr>
          <w:sz w:val="24"/>
        </w:rPr>
        <w:t>as</w:t>
      </w:r>
      <w:r>
        <w:rPr>
          <w:spacing w:val="-3"/>
          <w:sz w:val="24"/>
        </w:rPr>
        <w:t> </w:t>
      </w:r>
      <w:r>
        <w:rPr>
          <w:sz w:val="24"/>
        </w:rPr>
        <w:t>reported</w:t>
      </w:r>
      <w:r>
        <w:rPr>
          <w:spacing w:val="-3"/>
          <w:sz w:val="24"/>
        </w:rPr>
        <w:t> </w:t>
      </w:r>
      <w:r>
        <w:rPr>
          <w:sz w:val="24"/>
        </w:rPr>
        <w:t>on</w:t>
      </w:r>
      <w:r>
        <w:rPr>
          <w:spacing w:val="-2"/>
          <w:sz w:val="24"/>
        </w:rPr>
        <w:t> </w:t>
      </w:r>
      <w:r>
        <w:rPr>
          <w:sz w:val="24"/>
        </w:rPr>
        <w:t>monthly</w:t>
      </w:r>
      <w:r>
        <w:rPr>
          <w:spacing w:val="-3"/>
          <w:sz w:val="24"/>
        </w:rPr>
        <w:t> </w:t>
      </w:r>
      <w:r>
        <w:rPr>
          <w:sz w:val="24"/>
        </w:rPr>
        <w:t>report</w:t>
      </w:r>
      <w:r>
        <w:rPr>
          <w:spacing w:val="-4"/>
          <w:sz w:val="24"/>
        </w:rPr>
        <w:t> </w:t>
      </w:r>
      <w:r>
        <w:rPr>
          <w:sz w:val="24"/>
        </w:rPr>
        <w:t>for</w:t>
      </w:r>
      <w:r>
        <w:rPr>
          <w:spacing w:val="-2"/>
          <w:sz w:val="24"/>
        </w:rPr>
        <w:t> </w:t>
      </w:r>
      <w:r>
        <w:rPr>
          <w:sz w:val="24"/>
        </w:rPr>
        <w:t>the</w:t>
      </w:r>
      <w:r>
        <w:rPr>
          <w:spacing w:val="-3"/>
          <w:sz w:val="24"/>
        </w:rPr>
        <w:t> </w:t>
      </w:r>
      <w:r>
        <w:rPr>
          <w:sz w:val="24"/>
        </w:rPr>
        <w:t>previous</w:t>
      </w:r>
      <w:r>
        <w:rPr>
          <w:spacing w:val="-3"/>
          <w:sz w:val="24"/>
        </w:rPr>
        <w:t> </w:t>
      </w:r>
      <w:r>
        <w:rPr>
          <w:sz w:val="24"/>
        </w:rPr>
        <w:t>12</w:t>
      </w:r>
      <w:r>
        <w:rPr>
          <w:spacing w:val="-2"/>
          <w:sz w:val="24"/>
        </w:rPr>
        <w:t> months;</w:t>
      </w:r>
    </w:p>
    <w:p>
      <w:pPr>
        <w:pStyle w:val="ListParagraph"/>
        <w:numPr>
          <w:ilvl w:val="1"/>
          <w:numId w:val="386"/>
        </w:numPr>
        <w:tabs>
          <w:tab w:pos="1216" w:val="left" w:leader="none"/>
        </w:tabs>
        <w:spacing w:line="208" w:lineRule="auto" w:before="233" w:after="0"/>
        <w:ind w:left="791" w:right="1147" w:firstLine="0"/>
        <w:jc w:val="left"/>
        <w:rPr>
          <w:sz w:val="24"/>
        </w:rPr>
      </w:pPr>
      <w:r>
        <w:rPr>
          <w:sz w:val="24"/>
        </w:rPr>
        <w:t>for</w:t>
      </w:r>
      <w:r>
        <w:rPr>
          <w:spacing w:val="-3"/>
          <w:sz w:val="24"/>
        </w:rPr>
        <w:t> </w:t>
      </w:r>
      <w:r>
        <w:rPr>
          <w:sz w:val="24"/>
        </w:rPr>
        <w:t>a</w:t>
      </w:r>
      <w:r>
        <w:rPr>
          <w:spacing w:val="-5"/>
          <w:sz w:val="24"/>
        </w:rPr>
        <w:t> </w:t>
      </w:r>
      <w:r>
        <w:rPr>
          <w:sz w:val="24"/>
        </w:rPr>
        <w:t>new</w:t>
      </w:r>
      <w:r>
        <w:rPr>
          <w:spacing w:val="-4"/>
          <w:sz w:val="24"/>
        </w:rPr>
        <w:t> </w:t>
      </w:r>
      <w:r>
        <w:rPr>
          <w:sz w:val="24"/>
        </w:rPr>
        <w:t>business</w:t>
      </w:r>
      <w:r>
        <w:rPr>
          <w:spacing w:val="-4"/>
          <w:sz w:val="24"/>
        </w:rPr>
        <w:t> </w:t>
      </w:r>
      <w:r>
        <w:rPr>
          <w:sz w:val="24"/>
        </w:rPr>
        <w:t>enterprise,</w:t>
      </w:r>
      <w:r>
        <w:rPr>
          <w:spacing w:val="-3"/>
          <w:sz w:val="24"/>
        </w:rPr>
        <w:t> </w:t>
      </w:r>
      <w:r>
        <w:rPr>
          <w:sz w:val="24"/>
        </w:rPr>
        <w:t>estimates</w:t>
      </w:r>
      <w:r>
        <w:rPr>
          <w:spacing w:val="-4"/>
          <w:sz w:val="24"/>
        </w:rPr>
        <w:t> </w:t>
      </w:r>
      <w:r>
        <w:rPr>
          <w:sz w:val="24"/>
        </w:rPr>
        <w:t>of</w:t>
      </w:r>
      <w:r>
        <w:rPr>
          <w:spacing w:val="-3"/>
          <w:sz w:val="24"/>
        </w:rPr>
        <w:t> </w:t>
      </w:r>
      <w:r>
        <w:rPr>
          <w:sz w:val="24"/>
        </w:rPr>
        <w:t>monthly</w:t>
      </w:r>
      <w:r>
        <w:rPr>
          <w:spacing w:val="-4"/>
          <w:sz w:val="24"/>
        </w:rPr>
        <w:t> </w:t>
      </w:r>
      <w:r>
        <w:rPr>
          <w:sz w:val="24"/>
        </w:rPr>
        <w:t>gross</w:t>
      </w:r>
      <w:r>
        <w:rPr>
          <w:spacing w:val="-4"/>
          <w:sz w:val="24"/>
        </w:rPr>
        <w:t> </w:t>
      </w:r>
      <w:r>
        <w:rPr>
          <w:sz w:val="24"/>
        </w:rPr>
        <w:t>sales</w:t>
      </w:r>
      <w:r>
        <w:rPr>
          <w:spacing w:val="-4"/>
          <w:sz w:val="24"/>
        </w:rPr>
        <w:t> </w:t>
      </w:r>
      <w:r>
        <w:rPr>
          <w:sz w:val="24"/>
        </w:rPr>
        <w:t>based</w:t>
      </w:r>
      <w:r>
        <w:rPr>
          <w:spacing w:val="-4"/>
          <w:sz w:val="24"/>
        </w:rPr>
        <w:t> </w:t>
      </w:r>
      <w:r>
        <w:rPr>
          <w:sz w:val="24"/>
        </w:rPr>
        <w:t>upon potential patronage, with disclaimer this estimate is not a guarantee of sales;</w:t>
      </w:r>
    </w:p>
    <w:p>
      <w:pPr>
        <w:pStyle w:val="ListParagraph"/>
        <w:numPr>
          <w:ilvl w:val="1"/>
          <w:numId w:val="386"/>
        </w:numPr>
        <w:tabs>
          <w:tab w:pos="1217" w:val="left" w:leader="none"/>
        </w:tabs>
        <w:spacing w:line="240" w:lineRule="auto" w:before="211" w:after="0"/>
        <w:ind w:left="1217" w:right="0" w:hanging="426"/>
        <w:jc w:val="left"/>
        <w:rPr>
          <w:sz w:val="24"/>
        </w:rPr>
      </w:pPr>
      <w:r>
        <w:rPr>
          <w:sz w:val="24"/>
        </w:rPr>
        <w:t>application</w:t>
      </w:r>
      <w:r>
        <w:rPr>
          <w:spacing w:val="-5"/>
          <w:sz w:val="24"/>
        </w:rPr>
        <w:t> </w:t>
      </w:r>
      <w:r>
        <w:rPr>
          <w:sz w:val="24"/>
        </w:rPr>
        <w:t>due</w:t>
      </w:r>
      <w:r>
        <w:rPr>
          <w:spacing w:val="-5"/>
          <w:sz w:val="24"/>
        </w:rPr>
        <w:t> </w:t>
      </w:r>
      <w:r>
        <w:rPr>
          <w:spacing w:val="-2"/>
          <w:sz w:val="24"/>
        </w:rPr>
        <w:t>date;</w:t>
      </w:r>
    </w:p>
    <w:p>
      <w:pPr>
        <w:pStyle w:val="ListParagraph"/>
        <w:numPr>
          <w:ilvl w:val="1"/>
          <w:numId w:val="386"/>
        </w:numPr>
        <w:tabs>
          <w:tab w:pos="1217" w:val="left" w:leader="none"/>
        </w:tabs>
        <w:spacing w:line="240" w:lineRule="auto" w:before="204" w:after="0"/>
        <w:ind w:left="1217" w:right="0" w:hanging="426"/>
        <w:jc w:val="left"/>
        <w:rPr>
          <w:sz w:val="24"/>
        </w:rPr>
      </w:pPr>
      <w:r>
        <w:rPr>
          <w:sz w:val="24"/>
        </w:rPr>
        <w:t>name</w:t>
      </w:r>
      <w:r>
        <w:rPr>
          <w:spacing w:val="-4"/>
          <w:sz w:val="24"/>
        </w:rPr>
        <w:t> </w:t>
      </w:r>
      <w:r>
        <w:rPr>
          <w:sz w:val="24"/>
        </w:rPr>
        <w:t>and</w:t>
      </w:r>
      <w:r>
        <w:rPr>
          <w:spacing w:val="-3"/>
          <w:sz w:val="24"/>
        </w:rPr>
        <w:t> </w:t>
      </w:r>
      <w:r>
        <w:rPr>
          <w:sz w:val="24"/>
        </w:rPr>
        <w:t>telephone</w:t>
      </w:r>
      <w:r>
        <w:rPr>
          <w:spacing w:val="-3"/>
          <w:sz w:val="24"/>
        </w:rPr>
        <w:t> </w:t>
      </w:r>
      <w:r>
        <w:rPr>
          <w:sz w:val="24"/>
        </w:rPr>
        <w:t>number</w:t>
      </w:r>
      <w:r>
        <w:rPr>
          <w:spacing w:val="-2"/>
          <w:sz w:val="24"/>
        </w:rPr>
        <w:t> </w:t>
      </w:r>
      <w:r>
        <w:rPr>
          <w:sz w:val="24"/>
        </w:rPr>
        <w:t>of</w:t>
      </w:r>
      <w:r>
        <w:rPr>
          <w:spacing w:val="-2"/>
          <w:sz w:val="24"/>
        </w:rPr>
        <w:t> </w:t>
      </w:r>
      <w:r>
        <w:rPr>
          <w:sz w:val="24"/>
        </w:rPr>
        <w:t>the</w:t>
      </w:r>
      <w:r>
        <w:rPr>
          <w:spacing w:val="-3"/>
          <w:sz w:val="24"/>
        </w:rPr>
        <w:t> </w:t>
      </w:r>
      <w:r>
        <w:rPr>
          <w:sz w:val="24"/>
        </w:rPr>
        <w:t>BEP</w:t>
      </w:r>
      <w:r>
        <w:rPr>
          <w:spacing w:val="-3"/>
          <w:sz w:val="24"/>
        </w:rPr>
        <w:t> </w:t>
      </w:r>
      <w:r>
        <w:rPr>
          <w:sz w:val="24"/>
        </w:rPr>
        <w:t>business</w:t>
      </w:r>
      <w:r>
        <w:rPr>
          <w:spacing w:val="-2"/>
          <w:sz w:val="24"/>
        </w:rPr>
        <w:t> consultant;</w:t>
      </w:r>
    </w:p>
    <w:p>
      <w:pPr>
        <w:pStyle w:val="ListParagraph"/>
        <w:numPr>
          <w:ilvl w:val="1"/>
          <w:numId w:val="386"/>
        </w:numPr>
        <w:tabs>
          <w:tab w:pos="1217" w:val="left" w:leader="none"/>
        </w:tabs>
        <w:spacing w:line="240" w:lineRule="auto" w:before="204" w:after="0"/>
        <w:ind w:left="1217" w:right="0" w:hanging="426"/>
        <w:jc w:val="left"/>
        <w:rPr>
          <w:sz w:val="24"/>
        </w:rPr>
      </w:pPr>
      <w:r>
        <w:rPr>
          <w:sz w:val="24"/>
        </w:rPr>
        <w:t>name</w:t>
      </w:r>
      <w:r>
        <w:rPr>
          <w:spacing w:val="-5"/>
          <w:sz w:val="24"/>
        </w:rPr>
        <w:t> </w:t>
      </w:r>
      <w:r>
        <w:rPr>
          <w:sz w:val="24"/>
        </w:rPr>
        <w:t>and</w:t>
      </w:r>
      <w:r>
        <w:rPr>
          <w:spacing w:val="-3"/>
          <w:sz w:val="24"/>
        </w:rPr>
        <w:t> </w:t>
      </w:r>
      <w:r>
        <w:rPr>
          <w:sz w:val="24"/>
        </w:rPr>
        <w:t>telephone</w:t>
      </w:r>
      <w:r>
        <w:rPr>
          <w:spacing w:val="-3"/>
          <w:sz w:val="24"/>
        </w:rPr>
        <w:t> </w:t>
      </w:r>
      <w:r>
        <w:rPr>
          <w:sz w:val="24"/>
        </w:rPr>
        <w:t>number</w:t>
      </w:r>
      <w:r>
        <w:rPr>
          <w:spacing w:val="-2"/>
          <w:sz w:val="24"/>
        </w:rPr>
        <w:t> </w:t>
      </w:r>
      <w:r>
        <w:rPr>
          <w:sz w:val="24"/>
        </w:rPr>
        <w:t>of</w:t>
      </w:r>
      <w:r>
        <w:rPr>
          <w:spacing w:val="-2"/>
          <w:sz w:val="24"/>
        </w:rPr>
        <w:t> </w:t>
      </w:r>
      <w:r>
        <w:rPr>
          <w:sz w:val="24"/>
        </w:rPr>
        <w:t>the</w:t>
      </w:r>
      <w:r>
        <w:rPr>
          <w:spacing w:val="-3"/>
          <w:sz w:val="24"/>
        </w:rPr>
        <w:t> </w:t>
      </w:r>
      <w:r>
        <w:rPr>
          <w:sz w:val="24"/>
        </w:rPr>
        <w:t>current</w:t>
      </w:r>
      <w:r>
        <w:rPr>
          <w:spacing w:val="-2"/>
          <w:sz w:val="24"/>
        </w:rPr>
        <w:t> </w:t>
      </w:r>
      <w:r>
        <w:rPr>
          <w:sz w:val="24"/>
        </w:rPr>
        <w:t>manager;</w:t>
      </w:r>
      <w:r>
        <w:rPr>
          <w:spacing w:val="-2"/>
          <w:sz w:val="24"/>
        </w:rPr>
        <w:t> </w:t>
      </w:r>
      <w:r>
        <w:rPr>
          <w:spacing w:val="-5"/>
          <w:sz w:val="24"/>
        </w:rPr>
        <w:t>and</w:t>
      </w:r>
    </w:p>
    <w:p>
      <w:pPr>
        <w:pStyle w:val="ListParagraph"/>
        <w:numPr>
          <w:ilvl w:val="1"/>
          <w:numId w:val="386"/>
        </w:numPr>
        <w:tabs>
          <w:tab w:pos="1350" w:val="left" w:leader="none"/>
        </w:tabs>
        <w:spacing w:line="417" w:lineRule="auto" w:before="204" w:after="0"/>
        <w:ind w:left="359" w:right="5818" w:firstLine="432"/>
        <w:jc w:val="left"/>
        <w:rPr>
          <w:sz w:val="24"/>
        </w:rPr>
      </w:pPr>
      <w:r>
        <w:rPr>
          <w:sz w:val="24"/>
        </w:rPr>
        <w:t>a</w:t>
      </w:r>
      <w:r>
        <w:rPr>
          <w:spacing w:val="-6"/>
          <w:sz w:val="24"/>
        </w:rPr>
        <w:t> </w:t>
      </w:r>
      <w:r>
        <w:rPr>
          <w:sz w:val="24"/>
        </w:rPr>
        <w:t>copy</w:t>
      </w:r>
      <w:r>
        <w:rPr>
          <w:spacing w:val="-6"/>
          <w:sz w:val="24"/>
        </w:rPr>
        <w:t> </w:t>
      </w:r>
      <w:r>
        <w:rPr>
          <w:sz w:val="24"/>
        </w:rPr>
        <w:t>of</w:t>
      </w:r>
      <w:r>
        <w:rPr>
          <w:spacing w:val="-5"/>
          <w:sz w:val="24"/>
        </w:rPr>
        <w:t> </w:t>
      </w:r>
      <w:r>
        <w:rPr>
          <w:sz w:val="24"/>
        </w:rPr>
        <w:t>an</w:t>
      </w:r>
      <w:r>
        <w:rPr>
          <w:spacing w:val="-7"/>
          <w:sz w:val="24"/>
        </w:rPr>
        <w:t> </w:t>
      </w:r>
      <w:r>
        <w:rPr>
          <w:sz w:val="24"/>
        </w:rPr>
        <w:t>OTC</w:t>
      </w:r>
      <w:r>
        <w:rPr>
          <w:spacing w:val="-6"/>
          <w:sz w:val="24"/>
        </w:rPr>
        <w:t> </w:t>
      </w:r>
      <w:r>
        <w:rPr>
          <w:sz w:val="24"/>
        </w:rPr>
        <w:t>Form</w:t>
      </w:r>
      <w:r>
        <w:rPr>
          <w:spacing w:val="-5"/>
          <w:sz w:val="24"/>
        </w:rPr>
        <w:t> </w:t>
      </w:r>
      <w:r>
        <w:rPr>
          <w:sz w:val="24"/>
        </w:rPr>
        <w:t>A</w:t>
      </w:r>
      <w:r>
        <w:rPr>
          <w:spacing w:val="-6"/>
          <w:sz w:val="24"/>
        </w:rPr>
        <w:t> </w:t>
      </w:r>
      <w:r>
        <w:rPr>
          <w:sz w:val="24"/>
        </w:rPr>
        <w:t>100. INSTRUCTIONS TO STAFF</w:t>
      </w:r>
    </w:p>
    <w:p>
      <w:pPr>
        <w:pStyle w:val="BodyText"/>
        <w:spacing w:line="208" w:lineRule="auto" w:before="29"/>
        <w:ind w:left="791" w:right="775"/>
      </w:pPr>
      <w:r>
        <w:rPr/>
        <w:t>1. Prior</w:t>
      </w:r>
      <w:r>
        <w:rPr>
          <w:spacing w:val="-2"/>
        </w:rPr>
        <w:t> </w:t>
      </w:r>
      <w:r>
        <w:rPr/>
        <w:t>to</w:t>
      </w:r>
      <w:r>
        <w:rPr>
          <w:spacing w:val="-3"/>
        </w:rPr>
        <w:t> </w:t>
      </w:r>
      <w:r>
        <w:rPr/>
        <w:t>the</w:t>
      </w:r>
      <w:r>
        <w:rPr>
          <w:spacing w:val="-4"/>
        </w:rPr>
        <w:t> </w:t>
      </w:r>
      <w:r>
        <w:rPr/>
        <w:t>distribution</w:t>
      </w:r>
      <w:r>
        <w:rPr>
          <w:spacing w:val="-2"/>
        </w:rPr>
        <w:t> </w:t>
      </w:r>
      <w:r>
        <w:rPr/>
        <w:t>of</w:t>
      </w:r>
      <w:r>
        <w:rPr>
          <w:spacing w:val="-2"/>
        </w:rPr>
        <w:t> </w:t>
      </w:r>
      <w:r>
        <w:rPr/>
        <w:t>any</w:t>
      </w:r>
      <w:r>
        <w:rPr>
          <w:spacing w:val="-4"/>
        </w:rPr>
        <w:t> </w:t>
      </w:r>
      <w:r>
        <w:rPr/>
        <w:t>facility</w:t>
      </w:r>
      <w:r>
        <w:rPr>
          <w:spacing w:val="-3"/>
        </w:rPr>
        <w:t> </w:t>
      </w:r>
      <w:r>
        <w:rPr/>
        <w:t>announcement,</w:t>
      </w:r>
      <w:r>
        <w:rPr>
          <w:spacing w:val="-2"/>
        </w:rPr>
        <w:t> </w:t>
      </w:r>
      <w:r>
        <w:rPr/>
        <w:t>the</w:t>
      </w:r>
      <w:r>
        <w:rPr>
          <w:spacing w:val="-4"/>
        </w:rPr>
        <w:t> </w:t>
      </w:r>
      <w:r>
        <w:rPr/>
        <w:t>facility</w:t>
      </w:r>
      <w:r>
        <w:rPr>
          <w:spacing w:val="-3"/>
        </w:rPr>
        <w:t> </w:t>
      </w:r>
      <w:r>
        <w:rPr/>
        <w:t>will</w:t>
      </w:r>
      <w:r>
        <w:rPr>
          <w:spacing w:val="-3"/>
        </w:rPr>
        <w:t> </w:t>
      </w:r>
      <w:r>
        <w:rPr/>
        <w:t>be</w:t>
      </w:r>
      <w:r>
        <w:rPr>
          <w:spacing w:val="-3"/>
        </w:rPr>
        <w:t> </w:t>
      </w:r>
      <w:r>
        <w:rPr/>
        <w:t>re- evaluated for proper classification.</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7-1-02</w:t>
      </w:r>
      <w:r>
        <w:rPr>
          <w:sz w:val="22"/>
        </w:rPr>
        <w:tab/>
        <w:t>POL Memo #02-02</w:t>
      </w:r>
    </w:p>
    <w:p>
      <w:pPr>
        <w:tabs>
          <w:tab w:pos="1439" w:val="left" w:leader="none"/>
        </w:tabs>
        <w:spacing w:before="0"/>
        <w:ind w:left="360" w:right="3520" w:firstLine="1080"/>
        <w:jc w:val="left"/>
        <w:rPr>
          <w:sz w:val="22"/>
        </w:rPr>
      </w:pPr>
      <w:r>
        <w:rPr>
          <w:sz w:val="22"/>
        </w:rPr>
        <w:t>Permanent,</w:t>
      </w:r>
      <w:r>
        <w:rPr>
          <w:spacing w:val="-7"/>
          <w:sz w:val="22"/>
        </w:rPr>
        <w:t> </w:t>
      </w:r>
      <w:r>
        <w:rPr>
          <w:sz w:val="22"/>
        </w:rPr>
        <w:t>expands</w:t>
      </w:r>
      <w:r>
        <w:rPr>
          <w:spacing w:val="-8"/>
          <w:sz w:val="22"/>
        </w:rPr>
        <w:t> </w:t>
      </w:r>
      <w:r>
        <w:rPr>
          <w:sz w:val="22"/>
        </w:rPr>
        <w:t>the</w:t>
      </w:r>
      <w:r>
        <w:rPr>
          <w:spacing w:val="-9"/>
          <w:sz w:val="22"/>
        </w:rPr>
        <w:t> </w:t>
      </w:r>
      <w:r>
        <w:rPr>
          <w:sz w:val="22"/>
        </w:rPr>
        <w:t>information</w:t>
      </w:r>
      <w:r>
        <w:rPr>
          <w:spacing w:val="-8"/>
          <w:sz w:val="22"/>
        </w:rPr>
        <w:t> </w:t>
      </w:r>
      <w:r>
        <w:rPr>
          <w:sz w:val="22"/>
        </w:rPr>
        <w:t>on</w:t>
      </w:r>
      <w:r>
        <w:rPr>
          <w:spacing w:val="-8"/>
          <w:sz w:val="22"/>
        </w:rPr>
        <w:t> </w:t>
      </w:r>
      <w:r>
        <w:rPr>
          <w:sz w:val="22"/>
        </w:rPr>
        <w:t>announcements </w:t>
      </w:r>
      <w:r>
        <w:rPr>
          <w:spacing w:val="-2"/>
          <w:sz w:val="22"/>
        </w:rPr>
        <w:t>7-1-05</w:t>
      </w:r>
      <w:r>
        <w:rPr>
          <w:sz w:val="22"/>
        </w:rPr>
        <w:tab/>
        <w:t>PT Memo #06-01</w:t>
      </w:r>
    </w:p>
    <w:p>
      <w:pPr>
        <w:tabs>
          <w:tab w:pos="1439" w:val="left" w:leader="none"/>
        </w:tabs>
        <w:spacing w:before="0"/>
        <w:ind w:left="360" w:right="4008" w:firstLine="1080"/>
        <w:jc w:val="left"/>
        <w:rPr>
          <w:sz w:val="22"/>
        </w:rPr>
      </w:pPr>
      <w:r>
        <w:rPr>
          <w:sz w:val="22"/>
        </w:rPr>
        <w:t>Permanent,</w:t>
      </w:r>
      <w:r>
        <w:rPr>
          <w:spacing w:val="-7"/>
          <w:sz w:val="22"/>
        </w:rPr>
        <w:t> </w:t>
      </w:r>
      <w:r>
        <w:rPr>
          <w:sz w:val="22"/>
        </w:rPr>
        <w:t>clarification</w:t>
      </w:r>
      <w:r>
        <w:rPr>
          <w:spacing w:val="-9"/>
          <w:sz w:val="22"/>
        </w:rPr>
        <w:t> </w:t>
      </w:r>
      <w:r>
        <w:rPr>
          <w:sz w:val="22"/>
        </w:rPr>
        <w:t>of</w:t>
      </w:r>
      <w:r>
        <w:rPr>
          <w:spacing w:val="-8"/>
          <w:sz w:val="22"/>
        </w:rPr>
        <w:t> </w:t>
      </w:r>
      <w:r>
        <w:rPr>
          <w:sz w:val="22"/>
        </w:rPr>
        <w:t>policy,</w:t>
      </w:r>
      <w:r>
        <w:rPr>
          <w:spacing w:val="-8"/>
          <w:sz w:val="22"/>
        </w:rPr>
        <w:t> </w:t>
      </w:r>
      <w:r>
        <w:rPr>
          <w:sz w:val="22"/>
        </w:rPr>
        <w:t>selection</w:t>
      </w:r>
      <w:r>
        <w:rPr>
          <w:spacing w:val="-8"/>
          <w:sz w:val="22"/>
        </w:rPr>
        <w:t> </w:t>
      </w:r>
      <w:r>
        <w:rPr>
          <w:sz w:val="22"/>
        </w:rPr>
        <w:t>process </w:t>
      </w:r>
      <w:r>
        <w:rPr>
          <w:spacing w:val="-2"/>
          <w:sz w:val="22"/>
        </w:rPr>
        <w:t>7-1-12</w:t>
      </w:r>
      <w:r>
        <w:rPr>
          <w:sz w:val="22"/>
        </w:rPr>
        <w:tab/>
        <w:t>Permanent, updated language due to audit</w:t>
      </w:r>
    </w:p>
    <w:p>
      <w:pPr>
        <w:tabs>
          <w:tab w:pos="1439" w:val="left" w:leader="none"/>
        </w:tabs>
        <w:spacing w:line="252" w:lineRule="exact" w:before="0"/>
        <w:ind w:left="360" w:right="0" w:firstLine="0"/>
        <w:jc w:val="left"/>
        <w:rPr>
          <w:sz w:val="22"/>
        </w:rPr>
      </w:pPr>
      <w:r>
        <w:rPr>
          <w:spacing w:val="-2"/>
          <w:sz w:val="22"/>
        </w:rPr>
        <w:t>9-12-</w:t>
      </w:r>
      <w:r>
        <w:rPr>
          <w:spacing w:val="-5"/>
          <w:sz w:val="22"/>
        </w:rPr>
        <w:t>14</w:t>
      </w:r>
      <w:r>
        <w:rPr>
          <w:sz w:val="22"/>
        </w:rPr>
        <w:tab/>
        <w:t>Updated</w:t>
      </w:r>
      <w:r>
        <w:rPr>
          <w:spacing w:val="-10"/>
          <w:sz w:val="22"/>
        </w:rPr>
        <w:t> </w:t>
      </w:r>
      <w:r>
        <w:rPr>
          <w:spacing w:val="-2"/>
          <w:sz w:val="22"/>
        </w:rPr>
        <w:t>language</w:t>
      </w:r>
    </w:p>
    <w:p>
      <w:pPr>
        <w:spacing w:before="0"/>
        <w:ind w:left="1439" w:right="0" w:firstLine="0"/>
        <w:jc w:val="left"/>
        <w:rPr>
          <w:sz w:val="22"/>
        </w:rPr>
      </w:pPr>
      <w:r>
        <w:rPr>
          <w:sz w:val="22"/>
        </w:rPr>
        <w:t>Added</w:t>
      </w:r>
      <w:r>
        <w:rPr>
          <w:spacing w:val="-7"/>
          <w:sz w:val="22"/>
        </w:rPr>
        <w:t> </w:t>
      </w:r>
      <w:r>
        <w:rPr>
          <w:sz w:val="22"/>
        </w:rPr>
        <w:t>Instructions</w:t>
      </w:r>
      <w:r>
        <w:rPr>
          <w:spacing w:val="-7"/>
          <w:sz w:val="22"/>
        </w:rPr>
        <w:t> </w:t>
      </w:r>
      <w:r>
        <w:rPr>
          <w:sz w:val="22"/>
        </w:rPr>
        <w:t>to</w:t>
      </w:r>
      <w:r>
        <w:rPr>
          <w:spacing w:val="-7"/>
          <w:sz w:val="22"/>
        </w:rPr>
        <w:t> </w:t>
      </w:r>
      <w:r>
        <w:rPr>
          <w:spacing w:val="-4"/>
          <w:sz w:val="22"/>
        </w:rPr>
        <w:t>Staff</w:t>
      </w:r>
    </w:p>
    <w:p>
      <w:pPr>
        <w:tabs>
          <w:tab w:pos="1439" w:val="left" w:leader="none"/>
        </w:tabs>
        <w:spacing w:before="1"/>
        <w:ind w:left="1439" w:right="1570" w:hanging="1080"/>
        <w:jc w:val="left"/>
        <w:rPr>
          <w:sz w:val="22"/>
        </w:rPr>
      </w:pPr>
      <w:r>
        <w:rPr>
          <w:spacing w:val="-2"/>
          <w:sz w:val="22"/>
        </w:rPr>
        <w:t>8-27-15</w:t>
      </w:r>
      <w:r>
        <w:rPr>
          <w:sz w:val="22"/>
        </w:rPr>
        <w:tab/>
        <w:t>Added</w:t>
      </w:r>
      <w:r>
        <w:rPr>
          <w:spacing w:val="-3"/>
          <w:sz w:val="22"/>
        </w:rPr>
        <w:t> </w:t>
      </w:r>
      <w:r>
        <w:rPr>
          <w:sz w:val="22"/>
        </w:rPr>
        <w:t>new</w:t>
      </w:r>
      <w:r>
        <w:rPr>
          <w:spacing w:val="-4"/>
          <w:sz w:val="22"/>
        </w:rPr>
        <w:t> </w:t>
      </w:r>
      <w:r>
        <w:rPr>
          <w:sz w:val="22"/>
        </w:rPr>
        <w:t>subsection</w:t>
      </w:r>
      <w:r>
        <w:rPr>
          <w:spacing w:val="-3"/>
          <w:sz w:val="22"/>
        </w:rPr>
        <w:t> </w:t>
      </w:r>
      <w:r>
        <w:rPr>
          <w:sz w:val="22"/>
        </w:rPr>
        <w:t>(10)</w:t>
      </w:r>
      <w:r>
        <w:rPr>
          <w:spacing w:val="-3"/>
          <w:sz w:val="22"/>
        </w:rPr>
        <w:t> </w:t>
      </w:r>
      <w:r>
        <w:rPr>
          <w:sz w:val="22"/>
        </w:rPr>
        <w:t>to</w:t>
      </w:r>
      <w:r>
        <w:rPr>
          <w:spacing w:val="-3"/>
          <w:sz w:val="22"/>
        </w:rPr>
        <w:t> </w:t>
      </w:r>
      <w:r>
        <w:rPr>
          <w:sz w:val="22"/>
        </w:rPr>
        <w:t>include</w:t>
      </w:r>
      <w:r>
        <w:rPr>
          <w:spacing w:val="-3"/>
          <w:sz w:val="22"/>
        </w:rPr>
        <w:t> </w:t>
      </w:r>
      <w:r>
        <w:rPr>
          <w:sz w:val="22"/>
        </w:rPr>
        <w:t>a</w:t>
      </w:r>
      <w:r>
        <w:rPr>
          <w:spacing w:val="-3"/>
          <w:sz w:val="22"/>
        </w:rPr>
        <w:t> </w:t>
      </w:r>
      <w:r>
        <w:rPr>
          <w:sz w:val="22"/>
        </w:rPr>
        <w:t>copy</w:t>
      </w:r>
      <w:r>
        <w:rPr>
          <w:spacing w:val="-3"/>
          <w:sz w:val="22"/>
        </w:rPr>
        <w:t> </w:t>
      </w:r>
      <w:r>
        <w:rPr>
          <w:sz w:val="22"/>
        </w:rPr>
        <w:t>of</w:t>
      </w:r>
      <w:r>
        <w:rPr>
          <w:spacing w:val="-4"/>
          <w:sz w:val="22"/>
        </w:rPr>
        <w:t> </w:t>
      </w:r>
      <w:r>
        <w:rPr>
          <w:sz w:val="22"/>
        </w:rPr>
        <w:t>an</w:t>
      </w:r>
      <w:r>
        <w:rPr>
          <w:spacing w:val="-3"/>
          <w:sz w:val="22"/>
        </w:rPr>
        <w:t> </w:t>
      </w:r>
      <w:r>
        <w:rPr>
          <w:sz w:val="22"/>
        </w:rPr>
        <w:t>OTC</w:t>
      </w:r>
      <w:r>
        <w:rPr>
          <w:spacing w:val="-4"/>
          <w:sz w:val="22"/>
        </w:rPr>
        <w:t> </w:t>
      </w:r>
      <w:r>
        <w:rPr>
          <w:sz w:val="22"/>
        </w:rPr>
        <w:t>Form</w:t>
      </w:r>
      <w:r>
        <w:rPr>
          <w:spacing w:val="-4"/>
          <w:sz w:val="22"/>
        </w:rPr>
        <w:t> </w:t>
      </w:r>
      <w:r>
        <w:rPr>
          <w:sz w:val="22"/>
        </w:rPr>
        <w:t>A</w:t>
      </w:r>
      <w:r>
        <w:rPr>
          <w:spacing w:val="-3"/>
          <w:sz w:val="22"/>
        </w:rPr>
        <w:t> </w:t>
      </w:r>
      <w:r>
        <w:rPr>
          <w:sz w:val="22"/>
        </w:rPr>
        <w:t>100</w:t>
      </w:r>
      <w:r>
        <w:rPr>
          <w:spacing w:val="-3"/>
          <w:sz w:val="22"/>
        </w:rPr>
        <w:t> </w:t>
      </w:r>
      <w:r>
        <w:rPr>
          <w:sz w:val="22"/>
        </w:rPr>
        <w:t>in</w:t>
      </w:r>
      <w:r>
        <w:rPr>
          <w:spacing w:val="-3"/>
          <w:sz w:val="22"/>
        </w:rPr>
        <w:t> </w:t>
      </w:r>
      <w:r>
        <w:rPr>
          <w:sz w:val="22"/>
        </w:rPr>
        <w:t>each business enterprise openings announcement.</w:t>
      </w:r>
    </w:p>
    <w:p>
      <w:pPr>
        <w:spacing w:before="0"/>
        <w:ind w:left="1439" w:right="775" w:firstLine="0"/>
        <w:jc w:val="left"/>
        <w:rPr>
          <w:sz w:val="22"/>
        </w:rPr>
      </w:pPr>
      <w:r>
        <w:rPr>
          <w:sz w:val="22"/>
        </w:rPr>
        <w:t>Added</w:t>
      </w:r>
      <w:r>
        <w:rPr>
          <w:spacing w:val="-4"/>
          <w:sz w:val="22"/>
        </w:rPr>
        <w:t> </w:t>
      </w:r>
      <w:r>
        <w:rPr>
          <w:sz w:val="22"/>
        </w:rPr>
        <w:t>new</w:t>
      </w:r>
      <w:r>
        <w:rPr>
          <w:spacing w:val="-5"/>
          <w:sz w:val="22"/>
        </w:rPr>
        <w:t> </w:t>
      </w:r>
      <w:r>
        <w:rPr>
          <w:sz w:val="22"/>
        </w:rPr>
        <w:t>section</w:t>
      </w:r>
      <w:r>
        <w:rPr>
          <w:spacing w:val="-4"/>
          <w:sz w:val="22"/>
        </w:rPr>
        <w:t> </w:t>
      </w:r>
      <w:r>
        <w:rPr>
          <w:sz w:val="22"/>
        </w:rPr>
        <w:t>(d)</w:t>
      </w:r>
      <w:r>
        <w:rPr>
          <w:spacing w:val="-4"/>
          <w:sz w:val="22"/>
        </w:rPr>
        <w:t> </w:t>
      </w:r>
      <w:r>
        <w:rPr>
          <w:sz w:val="22"/>
        </w:rPr>
        <w:t>placing</w:t>
      </w:r>
      <w:r>
        <w:rPr>
          <w:spacing w:val="-4"/>
          <w:sz w:val="22"/>
        </w:rPr>
        <w:t> </w:t>
      </w:r>
      <w:r>
        <w:rPr>
          <w:sz w:val="22"/>
        </w:rPr>
        <w:t>a</w:t>
      </w:r>
      <w:r>
        <w:rPr>
          <w:spacing w:val="-5"/>
          <w:sz w:val="22"/>
        </w:rPr>
        <w:t> </w:t>
      </w:r>
      <w:r>
        <w:rPr>
          <w:sz w:val="22"/>
        </w:rPr>
        <w:t>statement</w:t>
      </w:r>
      <w:r>
        <w:rPr>
          <w:spacing w:val="-4"/>
          <w:sz w:val="22"/>
        </w:rPr>
        <w:t> </w:t>
      </w:r>
      <w:r>
        <w:rPr>
          <w:sz w:val="22"/>
        </w:rPr>
        <w:t>on</w:t>
      </w:r>
      <w:r>
        <w:rPr>
          <w:spacing w:val="-4"/>
          <w:sz w:val="22"/>
        </w:rPr>
        <w:t> </w:t>
      </w:r>
      <w:r>
        <w:rPr>
          <w:sz w:val="22"/>
        </w:rPr>
        <w:t>all</w:t>
      </w:r>
      <w:r>
        <w:rPr>
          <w:spacing w:val="-4"/>
          <w:sz w:val="22"/>
        </w:rPr>
        <w:t> </w:t>
      </w:r>
      <w:r>
        <w:rPr>
          <w:sz w:val="22"/>
        </w:rPr>
        <w:t>announcements</w:t>
      </w:r>
      <w:r>
        <w:rPr>
          <w:spacing w:val="-4"/>
          <w:sz w:val="22"/>
        </w:rPr>
        <w:t> </w:t>
      </w:r>
      <w:r>
        <w:rPr>
          <w:sz w:val="22"/>
        </w:rPr>
        <w:t>stating</w:t>
      </w:r>
      <w:r>
        <w:rPr>
          <w:spacing w:val="-5"/>
          <w:sz w:val="22"/>
        </w:rPr>
        <w:t> </w:t>
      </w:r>
      <w:r>
        <w:rPr>
          <w:sz w:val="22"/>
        </w:rPr>
        <w:t>records provided with application is subject to the Oklahoma Open Records Act.</w:t>
      </w:r>
    </w:p>
    <w:p>
      <w:pPr>
        <w:spacing w:after="0"/>
        <w:jc w:val="left"/>
        <w:rPr>
          <w:sz w:val="22"/>
        </w:rPr>
        <w:sectPr>
          <w:pgSz w:w="12240" w:h="15840"/>
          <w:pgMar w:top="1340" w:bottom="280" w:left="1080" w:right="720"/>
        </w:sectPr>
      </w:pPr>
    </w:p>
    <w:p>
      <w:pPr>
        <w:pStyle w:val="Heading2"/>
      </w:pPr>
      <w:bookmarkStart w:name="612:25-4-55.  Qualifications" w:id="406"/>
      <w:bookmarkEnd w:id="406"/>
      <w:r>
        <w:rPr>
          <w:b w:val="0"/>
        </w:rPr>
      </w:r>
      <w:r>
        <w:rPr/>
        <w:t>612:25-4-55.</w:t>
      </w:r>
      <w:r>
        <w:rPr>
          <w:spacing w:val="58"/>
        </w:rPr>
        <w:t> </w:t>
      </w:r>
      <w:r>
        <w:rPr>
          <w:spacing w:val="-2"/>
        </w:rPr>
        <w:t>Qualifications</w:t>
      </w:r>
    </w:p>
    <w:p>
      <w:pPr>
        <w:pStyle w:val="ListParagraph"/>
        <w:numPr>
          <w:ilvl w:val="0"/>
          <w:numId w:val="387"/>
        </w:numPr>
        <w:tabs>
          <w:tab w:pos="785" w:val="left" w:leader="none"/>
        </w:tabs>
        <w:spacing w:line="208" w:lineRule="auto" w:before="233" w:after="0"/>
        <w:ind w:left="360" w:right="780" w:firstLine="0"/>
        <w:jc w:val="left"/>
        <w:rPr>
          <w:sz w:val="24"/>
        </w:rPr>
      </w:pPr>
      <w:r>
        <w:rPr>
          <w:sz w:val="24"/>
        </w:rPr>
        <w:t>In</w:t>
      </w:r>
      <w:r>
        <w:rPr>
          <w:spacing w:val="-4"/>
          <w:sz w:val="24"/>
        </w:rPr>
        <w:t> </w:t>
      </w:r>
      <w:r>
        <w:rPr>
          <w:sz w:val="24"/>
        </w:rPr>
        <w:t>order</w:t>
      </w:r>
      <w:r>
        <w:rPr>
          <w:spacing w:val="-3"/>
          <w:sz w:val="24"/>
        </w:rPr>
        <w:t> </w:t>
      </w:r>
      <w:r>
        <w:rPr>
          <w:sz w:val="24"/>
        </w:rPr>
        <w:t>to</w:t>
      </w:r>
      <w:r>
        <w:rPr>
          <w:spacing w:val="-4"/>
          <w:sz w:val="24"/>
        </w:rPr>
        <w:t> </w:t>
      </w:r>
      <w:r>
        <w:rPr>
          <w:sz w:val="24"/>
        </w:rPr>
        <w:t>apply</w:t>
      </w:r>
      <w:r>
        <w:rPr>
          <w:spacing w:val="-4"/>
          <w:sz w:val="24"/>
        </w:rPr>
        <w:t> </w:t>
      </w:r>
      <w:r>
        <w:rPr>
          <w:sz w:val="24"/>
        </w:rPr>
        <w:t>for</w:t>
      </w:r>
      <w:r>
        <w:rPr>
          <w:spacing w:val="-3"/>
          <w:sz w:val="24"/>
        </w:rPr>
        <w:t> </w:t>
      </w:r>
      <w:r>
        <w:rPr>
          <w:sz w:val="24"/>
        </w:rPr>
        <w:t>manager</w:t>
      </w:r>
      <w:r>
        <w:rPr>
          <w:spacing w:val="-3"/>
          <w:sz w:val="24"/>
        </w:rPr>
        <w:t> </w:t>
      </w:r>
      <w:r>
        <w:rPr>
          <w:sz w:val="24"/>
        </w:rPr>
        <w:t>placement</w:t>
      </w:r>
      <w:r>
        <w:rPr>
          <w:spacing w:val="-3"/>
          <w:sz w:val="24"/>
        </w:rPr>
        <w:t> </w:t>
      </w:r>
      <w:r>
        <w:rPr>
          <w:sz w:val="24"/>
        </w:rPr>
        <w:t>an</w:t>
      </w:r>
      <w:r>
        <w:rPr>
          <w:spacing w:val="-4"/>
          <w:sz w:val="24"/>
        </w:rPr>
        <w:t> </w:t>
      </w:r>
      <w:r>
        <w:rPr>
          <w:sz w:val="24"/>
        </w:rPr>
        <w:t>individual</w:t>
      </w:r>
      <w:r>
        <w:rPr>
          <w:spacing w:val="-4"/>
          <w:sz w:val="24"/>
        </w:rPr>
        <w:t> </w:t>
      </w:r>
      <w:r>
        <w:rPr>
          <w:sz w:val="24"/>
        </w:rPr>
        <w:t>must</w:t>
      </w:r>
      <w:r>
        <w:rPr>
          <w:spacing w:val="-3"/>
          <w:sz w:val="24"/>
        </w:rPr>
        <w:t> </w:t>
      </w:r>
      <w:r>
        <w:rPr>
          <w:sz w:val="24"/>
        </w:rPr>
        <w:t>hold</w:t>
      </w:r>
      <w:r>
        <w:rPr>
          <w:spacing w:val="-4"/>
          <w:sz w:val="24"/>
        </w:rPr>
        <w:t> </w:t>
      </w:r>
      <w:r>
        <w:rPr>
          <w:sz w:val="24"/>
        </w:rPr>
        <w:t>a</w:t>
      </w:r>
      <w:r>
        <w:rPr>
          <w:spacing w:val="-4"/>
          <w:sz w:val="24"/>
        </w:rPr>
        <w:t> </w:t>
      </w:r>
      <w:r>
        <w:rPr>
          <w:sz w:val="24"/>
        </w:rPr>
        <w:t>license</w:t>
      </w:r>
      <w:r>
        <w:rPr>
          <w:spacing w:val="-3"/>
          <w:sz w:val="24"/>
        </w:rPr>
        <w:t> </w:t>
      </w:r>
      <w:r>
        <w:rPr>
          <w:sz w:val="24"/>
        </w:rPr>
        <w:t>issued</w:t>
      </w:r>
      <w:r>
        <w:rPr>
          <w:spacing w:val="-4"/>
          <w:sz w:val="24"/>
        </w:rPr>
        <w:t> </w:t>
      </w:r>
      <w:r>
        <w:rPr>
          <w:sz w:val="24"/>
        </w:rPr>
        <w:t>by the State Licensing Agency (SLA). In addition, the SLA requires experience in the program before an individual will be considered eligible to apply for "A" or "B" classification business enterprises with the exception of (b) of this section. Certified graduates of the BEP Training Program are only eligible to apply for Classification "C" or "D" facilities with the exception of (b) of this section. A location new to the BEP program is to be classified "C" for the initial 90 days of operation.</w:t>
      </w:r>
      <w:r>
        <w:rPr>
          <w:spacing w:val="40"/>
          <w:sz w:val="24"/>
        </w:rPr>
        <w:t> </w:t>
      </w:r>
      <w:r>
        <w:rPr>
          <w:sz w:val="24"/>
        </w:rPr>
        <w:t>The BEP Operations Coordinator, in consultation with the ECM Chairperson, will determine the need for any experience requirements.</w:t>
      </w:r>
    </w:p>
    <w:p>
      <w:pPr>
        <w:pStyle w:val="ListParagraph"/>
        <w:numPr>
          <w:ilvl w:val="0"/>
          <w:numId w:val="387"/>
        </w:numPr>
        <w:tabs>
          <w:tab w:pos="786" w:val="left" w:leader="none"/>
        </w:tabs>
        <w:spacing w:line="208" w:lineRule="auto" w:before="239" w:after="0"/>
        <w:ind w:left="360" w:right="1620" w:firstLine="0"/>
        <w:jc w:val="left"/>
        <w:rPr>
          <w:sz w:val="24"/>
        </w:rPr>
      </w:pPr>
      <w:r>
        <w:rPr>
          <w:sz w:val="24"/>
        </w:rPr>
        <w:t>Applicants</w:t>
      </w:r>
      <w:r>
        <w:rPr>
          <w:spacing w:val="-4"/>
          <w:sz w:val="24"/>
        </w:rPr>
        <w:t> </w:t>
      </w:r>
      <w:r>
        <w:rPr>
          <w:sz w:val="24"/>
        </w:rPr>
        <w:t>who</w:t>
      </w:r>
      <w:r>
        <w:rPr>
          <w:spacing w:val="-4"/>
          <w:sz w:val="24"/>
        </w:rPr>
        <w:t> </w:t>
      </w:r>
      <w:r>
        <w:rPr>
          <w:sz w:val="24"/>
        </w:rPr>
        <w:t>qualify</w:t>
      </w:r>
      <w:r>
        <w:rPr>
          <w:spacing w:val="-4"/>
          <w:sz w:val="24"/>
        </w:rPr>
        <w:t> </w:t>
      </w:r>
      <w:r>
        <w:rPr>
          <w:sz w:val="24"/>
        </w:rPr>
        <w:t>for</w:t>
      </w:r>
      <w:r>
        <w:rPr>
          <w:spacing w:val="-3"/>
          <w:sz w:val="24"/>
        </w:rPr>
        <w:t> </w:t>
      </w:r>
      <w:r>
        <w:rPr>
          <w:sz w:val="24"/>
        </w:rPr>
        <w:t>the</w:t>
      </w:r>
      <w:r>
        <w:rPr>
          <w:spacing w:val="-5"/>
          <w:sz w:val="24"/>
        </w:rPr>
        <w:t> </w:t>
      </w:r>
      <w:r>
        <w:rPr>
          <w:sz w:val="24"/>
        </w:rPr>
        <w:t>next</w:t>
      </w:r>
      <w:r>
        <w:rPr>
          <w:spacing w:val="-3"/>
          <w:sz w:val="24"/>
        </w:rPr>
        <w:t> </w:t>
      </w:r>
      <w:r>
        <w:rPr>
          <w:sz w:val="24"/>
        </w:rPr>
        <w:t>lower</w:t>
      </w:r>
      <w:r>
        <w:rPr>
          <w:spacing w:val="-3"/>
          <w:sz w:val="24"/>
        </w:rPr>
        <w:t> </w:t>
      </w:r>
      <w:r>
        <w:rPr>
          <w:sz w:val="24"/>
        </w:rPr>
        <w:t>classification</w:t>
      </w:r>
      <w:r>
        <w:rPr>
          <w:spacing w:val="-4"/>
          <w:sz w:val="24"/>
        </w:rPr>
        <w:t> </w:t>
      </w:r>
      <w:r>
        <w:rPr>
          <w:sz w:val="24"/>
        </w:rPr>
        <w:t>will</w:t>
      </w:r>
      <w:r>
        <w:rPr>
          <w:spacing w:val="-4"/>
          <w:sz w:val="24"/>
        </w:rPr>
        <w:t> </w:t>
      </w:r>
      <w:r>
        <w:rPr>
          <w:sz w:val="24"/>
        </w:rPr>
        <w:t>be</w:t>
      </w:r>
      <w:r>
        <w:rPr>
          <w:spacing w:val="-4"/>
          <w:sz w:val="24"/>
        </w:rPr>
        <w:t> </w:t>
      </w:r>
      <w:r>
        <w:rPr>
          <w:sz w:val="24"/>
        </w:rPr>
        <w:t>considered</w:t>
      </w:r>
      <w:r>
        <w:rPr>
          <w:spacing w:val="-4"/>
          <w:sz w:val="24"/>
        </w:rPr>
        <w:t> </w:t>
      </w:r>
      <w:r>
        <w:rPr>
          <w:sz w:val="24"/>
        </w:rPr>
        <w:t>for interview</w:t>
      </w:r>
      <w:r>
        <w:rPr>
          <w:spacing w:val="-3"/>
          <w:sz w:val="24"/>
        </w:rPr>
        <w:t> </w:t>
      </w:r>
      <w:r>
        <w:rPr>
          <w:sz w:val="24"/>
        </w:rPr>
        <w:t>when</w:t>
      </w:r>
      <w:r>
        <w:rPr>
          <w:spacing w:val="-3"/>
          <w:sz w:val="24"/>
        </w:rPr>
        <w:t> </w:t>
      </w:r>
      <w:r>
        <w:rPr>
          <w:sz w:val="24"/>
        </w:rPr>
        <w:t>no</w:t>
      </w:r>
      <w:r>
        <w:rPr>
          <w:spacing w:val="-3"/>
          <w:sz w:val="24"/>
        </w:rPr>
        <w:t> </w:t>
      </w:r>
      <w:r>
        <w:rPr>
          <w:sz w:val="24"/>
        </w:rPr>
        <w:t>qualified</w:t>
      </w:r>
      <w:r>
        <w:rPr>
          <w:spacing w:val="-3"/>
          <w:sz w:val="24"/>
        </w:rPr>
        <w:t> </w:t>
      </w:r>
      <w:r>
        <w:rPr>
          <w:sz w:val="24"/>
        </w:rPr>
        <w:t>applicants</w:t>
      </w:r>
      <w:r>
        <w:rPr>
          <w:spacing w:val="-3"/>
          <w:sz w:val="24"/>
        </w:rPr>
        <w:t> </w:t>
      </w:r>
      <w:r>
        <w:rPr>
          <w:sz w:val="24"/>
        </w:rPr>
        <w:t>apply</w:t>
      </w:r>
      <w:r>
        <w:rPr>
          <w:spacing w:val="-3"/>
          <w:sz w:val="24"/>
        </w:rPr>
        <w:t> </w:t>
      </w:r>
      <w:r>
        <w:rPr>
          <w:sz w:val="24"/>
        </w:rPr>
        <w:t>for</w:t>
      </w:r>
      <w:r>
        <w:rPr>
          <w:spacing w:val="-2"/>
          <w:sz w:val="24"/>
        </w:rPr>
        <w:t> </w:t>
      </w:r>
      <w:r>
        <w:rPr>
          <w:sz w:val="24"/>
        </w:rPr>
        <w:t>a</w:t>
      </w:r>
      <w:r>
        <w:rPr>
          <w:spacing w:val="-3"/>
          <w:sz w:val="24"/>
        </w:rPr>
        <w:t> </w:t>
      </w:r>
      <w:r>
        <w:rPr>
          <w:sz w:val="24"/>
        </w:rPr>
        <w:t>classification</w:t>
      </w:r>
      <w:r>
        <w:rPr>
          <w:spacing w:val="-3"/>
          <w:sz w:val="24"/>
        </w:rPr>
        <w:t> </w:t>
      </w:r>
      <w:r>
        <w:rPr>
          <w:sz w:val="24"/>
        </w:rPr>
        <w:t>"A"</w:t>
      </w:r>
      <w:r>
        <w:rPr>
          <w:spacing w:val="-3"/>
          <w:sz w:val="24"/>
        </w:rPr>
        <w:t> </w:t>
      </w:r>
      <w:r>
        <w:rPr>
          <w:sz w:val="24"/>
        </w:rPr>
        <w:t>or</w:t>
      </w:r>
      <w:r>
        <w:rPr>
          <w:spacing w:val="-2"/>
          <w:sz w:val="24"/>
        </w:rPr>
        <w:t> </w:t>
      </w:r>
      <w:r>
        <w:rPr>
          <w:sz w:val="24"/>
        </w:rPr>
        <w:t>"B"</w:t>
      </w:r>
      <w:r>
        <w:rPr>
          <w:spacing w:val="-3"/>
          <w:sz w:val="24"/>
        </w:rPr>
        <w:t> </w:t>
      </w:r>
      <w:r>
        <w:rPr>
          <w:sz w:val="24"/>
        </w:rPr>
        <w:t>facility announcement when it is deemed appropriate to do so by the BEP Operations Coordinator in consultation with the ECM Chairperson.</w:t>
      </w:r>
    </w:p>
    <w:p>
      <w:pPr>
        <w:pStyle w:val="ListParagraph"/>
        <w:numPr>
          <w:ilvl w:val="0"/>
          <w:numId w:val="387"/>
        </w:numPr>
        <w:tabs>
          <w:tab w:pos="773" w:val="left" w:leader="none"/>
        </w:tabs>
        <w:spacing w:line="240" w:lineRule="auto" w:before="210" w:after="0"/>
        <w:ind w:left="773" w:right="0" w:hanging="413"/>
        <w:jc w:val="left"/>
        <w:rPr>
          <w:sz w:val="24"/>
        </w:rPr>
      </w:pPr>
      <w:r>
        <w:rPr>
          <w:sz w:val="24"/>
        </w:rPr>
        <w:t>Experience</w:t>
      </w:r>
      <w:r>
        <w:rPr>
          <w:spacing w:val="-5"/>
          <w:sz w:val="24"/>
        </w:rPr>
        <w:t> </w:t>
      </w:r>
      <w:r>
        <w:rPr>
          <w:sz w:val="24"/>
        </w:rPr>
        <w:t>requirements</w:t>
      </w:r>
      <w:r>
        <w:rPr>
          <w:spacing w:val="-4"/>
          <w:sz w:val="24"/>
        </w:rPr>
        <w:t> </w:t>
      </w:r>
      <w:r>
        <w:rPr>
          <w:sz w:val="24"/>
        </w:rPr>
        <w:t>for</w:t>
      </w:r>
      <w:r>
        <w:rPr>
          <w:spacing w:val="-6"/>
          <w:sz w:val="24"/>
        </w:rPr>
        <w:t> </w:t>
      </w:r>
      <w:r>
        <w:rPr>
          <w:sz w:val="24"/>
        </w:rPr>
        <w:t>each</w:t>
      </w:r>
      <w:r>
        <w:rPr>
          <w:spacing w:val="-4"/>
          <w:sz w:val="24"/>
        </w:rPr>
        <w:t> </w:t>
      </w:r>
      <w:r>
        <w:rPr>
          <w:sz w:val="24"/>
        </w:rPr>
        <w:t>classification</w:t>
      </w:r>
      <w:r>
        <w:rPr>
          <w:spacing w:val="-4"/>
          <w:sz w:val="24"/>
        </w:rPr>
        <w:t> are:</w:t>
      </w:r>
    </w:p>
    <w:p>
      <w:pPr>
        <w:pStyle w:val="ListParagraph"/>
        <w:numPr>
          <w:ilvl w:val="1"/>
          <w:numId w:val="387"/>
        </w:numPr>
        <w:tabs>
          <w:tab w:pos="1218" w:val="left" w:leader="none"/>
        </w:tabs>
        <w:spacing w:line="208" w:lineRule="auto" w:before="234" w:after="0"/>
        <w:ind w:left="792" w:right="762" w:firstLine="0"/>
        <w:jc w:val="left"/>
        <w:rPr>
          <w:sz w:val="24"/>
        </w:rPr>
      </w:pPr>
      <w:r>
        <w:rPr>
          <w:sz w:val="24"/>
        </w:rPr>
        <w:t>Classification</w:t>
      </w:r>
      <w:r>
        <w:rPr>
          <w:spacing w:val="-4"/>
          <w:sz w:val="24"/>
        </w:rPr>
        <w:t> </w:t>
      </w:r>
      <w:r>
        <w:rPr>
          <w:sz w:val="24"/>
        </w:rPr>
        <w:t>A.</w:t>
      </w:r>
      <w:r>
        <w:rPr>
          <w:spacing w:val="-3"/>
          <w:sz w:val="24"/>
        </w:rPr>
        <w:t> </w:t>
      </w:r>
      <w:r>
        <w:rPr>
          <w:sz w:val="24"/>
        </w:rPr>
        <w:t>Applicants</w:t>
      </w:r>
      <w:r>
        <w:rPr>
          <w:spacing w:val="-4"/>
          <w:sz w:val="24"/>
        </w:rPr>
        <w:t> </w:t>
      </w:r>
      <w:r>
        <w:rPr>
          <w:sz w:val="24"/>
        </w:rPr>
        <w:t>will</w:t>
      </w:r>
      <w:r>
        <w:rPr>
          <w:spacing w:val="-4"/>
          <w:sz w:val="24"/>
        </w:rPr>
        <w:t> </w:t>
      </w:r>
      <w:r>
        <w:rPr>
          <w:sz w:val="24"/>
        </w:rPr>
        <w:t>be</w:t>
      </w:r>
      <w:r>
        <w:rPr>
          <w:spacing w:val="-4"/>
          <w:sz w:val="24"/>
        </w:rPr>
        <w:t> </w:t>
      </w:r>
      <w:r>
        <w:rPr>
          <w:sz w:val="24"/>
        </w:rPr>
        <w:t>restricted</w:t>
      </w:r>
      <w:r>
        <w:rPr>
          <w:spacing w:val="-4"/>
          <w:sz w:val="24"/>
        </w:rPr>
        <w:t> </w:t>
      </w:r>
      <w:r>
        <w:rPr>
          <w:sz w:val="24"/>
        </w:rPr>
        <w:t>to</w:t>
      </w:r>
      <w:r>
        <w:rPr>
          <w:spacing w:val="-4"/>
          <w:sz w:val="24"/>
        </w:rPr>
        <w:t> </w:t>
      </w:r>
      <w:r>
        <w:rPr>
          <w:sz w:val="24"/>
        </w:rPr>
        <w:t>individuals</w:t>
      </w:r>
      <w:r>
        <w:rPr>
          <w:spacing w:val="-4"/>
          <w:sz w:val="24"/>
        </w:rPr>
        <w:t> </w:t>
      </w:r>
      <w:r>
        <w:rPr>
          <w:sz w:val="24"/>
        </w:rPr>
        <w:t>who</w:t>
      </w:r>
      <w:r>
        <w:rPr>
          <w:spacing w:val="-4"/>
          <w:sz w:val="24"/>
        </w:rPr>
        <w:t> </w:t>
      </w:r>
      <w:r>
        <w:rPr>
          <w:sz w:val="24"/>
        </w:rPr>
        <w:t>have</w:t>
      </w:r>
      <w:r>
        <w:rPr>
          <w:spacing w:val="-4"/>
          <w:sz w:val="24"/>
        </w:rPr>
        <w:t> </w:t>
      </w:r>
      <w:r>
        <w:rPr>
          <w:sz w:val="24"/>
        </w:rPr>
        <w:t>a</w:t>
      </w:r>
      <w:r>
        <w:rPr>
          <w:spacing w:val="-4"/>
          <w:sz w:val="24"/>
        </w:rPr>
        <w:t> </w:t>
      </w:r>
      <w:r>
        <w:rPr>
          <w:sz w:val="24"/>
        </w:rPr>
        <w:t>minimum of three (3) years total experience in an Oklahoma Business Enterprise including a minimum of one (1) year of management experience.</w:t>
      </w:r>
    </w:p>
    <w:p>
      <w:pPr>
        <w:pStyle w:val="ListParagraph"/>
        <w:numPr>
          <w:ilvl w:val="1"/>
          <w:numId w:val="387"/>
        </w:numPr>
        <w:tabs>
          <w:tab w:pos="1218" w:val="left" w:leader="none"/>
        </w:tabs>
        <w:spacing w:line="208" w:lineRule="auto" w:before="239" w:after="0"/>
        <w:ind w:left="792" w:right="762" w:firstLine="0"/>
        <w:jc w:val="left"/>
        <w:rPr>
          <w:sz w:val="24"/>
        </w:rPr>
      </w:pPr>
      <w:r>
        <w:rPr>
          <w:sz w:val="24"/>
        </w:rPr>
        <w:t>Classification</w:t>
      </w:r>
      <w:r>
        <w:rPr>
          <w:spacing w:val="-4"/>
          <w:sz w:val="24"/>
        </w:rPr>
        <w:t> </w:t>
      </w:r>
      <w:r>
        <w:rPr>
          <w:sz w:val="24"/>
        </w:rPr>
        <w:t>B.</w:t>
      </w:r>
      <w:r>
        <w:rPr>
          <w:spacing w:val="-3"/>
          <w:sz w:val="24"/>
        </w:rPr>
        <w:t> </w:t>
      </w:r>
      <w:r>
        <w:rPr>
          <w:sz w:val="24"/>
        </w:rPr>
        <w:t>Applicants</w:t>
      </w:r>
      <w:r>
        <w:rPr>
          <w:spacing w:val="-4"/>
          <w:sz w:val="24"/>
        </w:rPr>
        <w:t> </w:t>
      </w:r>
      <w:r>
        <w:rPr>
          <w:sz w:val="24"/>
        </w:rPr>
        <w:t>will</w:t>
      </w:r>
      <w:r>
        <w:rPr>
          <w:spacing w:val="-4"/>
          <w:sz w:val="24"/>
        </w:rPr>
        <w:t> </w:t>
      </w:r>
      <w:r>
        <w:rPr>
          <w:sz w:val="24"/>
        </w:rPr>
        <w:t>be</w:t>
      </w:r>
      <w:r>
        <w:rPr>
          <w:spacing w:val="-4"/>
          <w:sz w:val="24"/>
        </w:rPr>
        <w:t> </w:t>
      </w:r>
      <w:r>
        <w:rPr>
          <w:sz w:val="24"/>
        </w:rPr>
        <w:t>restricted</w:t>
      </w:r>
      <w:r>
        <w:rPr>
          <w:spacing w:val="-4"/>
          <w:sz w:val="24"/>
        </w:rPr>
        <w:t> </w:t>
      </w:r>
      <w:r>
        <w:rPr>
          <w:sz w:val="24"/>
        </w:rPr>
        <w:t>to</w:t>
      </w:r>
      <w:r>
        <w:rPr>
          <w:spacing w:val="-4"/>
          <w:sz w:val="24"/>
        </w:rPr>
        <w:t> </w:t>
      </w:r>
      <w:r>
        <w:rPr>
          <w:sz w:val="24"/>
        </w:rPr>
        <w:t>individuals</w:t>
      </w:r>
      <w:r>
        <w:rPr>
          <w:spacing w:val="-4"/>
          <w:sz w:val="24"/>
        </w:rPr>
        <w:t> </w:t>
      </w:r>
      <w:r>
        <w:rPr>
          <w:sz w:val="24"/>
        </w:rPr>
        <w:t>who</w:t>
      </w:r>
      <w:r>
        <w:rPr>
          <w:spacing w:val="-4"/>
          <w:sz w:val="24"/>
        </w:rPr>
        <w:t> </w:t>
      </w:r>
      <w:r>
        <w:rPr>
          <w:sz w:val="24"/>
        </w:rPr>
        <w:t>have</w:t>
      </w:r>
      <w:r>
        <w:rPr>
          <w:spacing w:val="-4"/>
          <w:sz w:val="24"/>
        </w:rPr>
        <w:t> </w:t>
      </w:r>
      <w:r>
        <w:rPr>
          <w:sz w:val="24"/>
        </w:rPr>
        <w:t>a</w:t>
      </w:r>
      <w:r>
        <w:rPr>
          <w:spacing w:val="-4"/>
          <w:sz w:val="24"/>
        </w:rPr>
        <w:t> </w:t>
      </w:r>
      <w:r>
        <w:rPr>
          <w:sz w:val="24"/>
        </w:rPr>
        <w:t>minimum of two (2) years total experience in an Oklahoma Business Enterprise, including a minimum of six (6) months of management experience.</w:t>
      </w:r>
    </w:p>
    <w:p>
      <w:pPr>
        <w:pStyle w:val="ListParagraph"/>
        <w:numPr>
          <w:ilvl w:val="1"/>
          <w:numId w:val="387"/>
        </w:numPr>
        <w:tabs>
          <w:tab w:pos="1218" w:val="left" w:leader="none"/>
        </w:tabs>
        <w:spacing w:line="208" w:lineRule="auto" w:before="240" w:after="0"/>
        <w:ind w:left="792" w:right="988" w:firstLine="0"/>
        <w:jc w:val="left"/>
        <w:rPr>
          <w:sz w:val="24"/>
        </w:rPr>
      </w:pPr>
      <w:r>
        <w:rPr>
          <w:sz w:val="24"/>
        </w:rPr>
        <w:t>Classification</w:t>
      </w:r>
      <w:r>
        <w:rPr>
          <w:spacing w:val="-4"/>
          <w:sz w:val="24"/>
        </w:rPr>
        <w:t> </w:t>
      </w:r>
      <w:r>
        <w:rPr>
          <w:sz w:val="24"/>
        </w:rPr>
        <w:t>C.</w:t>
      </w:r>
      <w:r>
        <w:rPr>
          <w:spacing w:val="-3"/>
          <w:sz w:val="24"/>
        </w:rPr>
        <w:t> </w:t>
      </w:r>
      <w:r>
        <w:rPr>
          <w:sz w:val="24"/>
        </w:rPr>
        <w:t>No</w:t>
      </w:r>
      <w:r>
        <w:rPr>
          <w:spacing w:val="-4"/>
          <w:sz w:val="24"/>
        </w:rPr>
        <w:t> </w:t>
      </w:r>
      <w:r>
        <w:rPr>
          <w:sz w:val="24"/>
        </w:rPr>
        <w:t>experience</w:t>
      </w:r>
      <w:r>
        <w:rPr>
          <w:spacing w:val="-4"/>
          <w:sz w:val="24"/>
        </w:rPr>
        <w:t> </w:t>
      </w:r>
      <w:r>
        <w:rPr>
          <w:sz w:val="24"/>
        </w:rPr>
        <w:t>required,</w:t>
      </w:r>
      <w:r>
        <w:rPr>
          <w:spacing w:val="-3"/>
          <w:sz w:val="24"/>
        </w:rPr>
        <w:t> </w:t>
      </w:r>
      <w:r>
        <w:rPr>
          <w:sz w:val="24"/>
        </w:rPr>
        <w:t>except</w:t>
      </w:r>
      <w:r>
        <w:rPr>
          <w:spacing w:val="-3"/>
          <w:sz w:val="24"/>
        </w:rPr>
        <w:t> </w:t>
      </w:r>
      <w:r>
        <w:rPr>
          <w:sz w:val="24"/>
        </w:rPr>
        <w:t>on</w:t>
      </w:r>
      <w:r>
        <w:rPr>
          <w:spacing w:val="-5"/>
          <w:sz w:val="24"/>
        </w:rPr>
        <w:t> </w:t>
      </w:r>
      <w:r>
        <w:rPr>
          <w:sz w:val="24"/>
        </w:rPr>
        <w:t>new</w:t>
      </w:r>
      <w:r>
        <w:rPr>
          <w:spacing w:val="-4"/>
          <w:sz w:val="24"/>
        </w:rPr>
        <w:t> </w:t>
      </w:r>
      <w:r>
        <w:rPr>
          <w:sz w:val="24"/>
        </w:rPr>
        <w:t>locations</w:t>
      </w:r>
      <w:r>
        <w:rPr>
          <w:spacing w:val="-4"/>
          <w:sz w:val="24"/>
        </w:rPr>
        <w:t> </w:t>
      </w:r>
      <w:r>
        <w:rPr>
          <w:sz w:val="24"/>
        </w:rPr>
        <w:t>as</w:t>
      </w:r>
      <w:r>
        <w:rPr>
          <w:spacing w:val="-4"/>
          <w:sz w:val="24"/>
        </w:rPr>
        <w:t> </w:t>
      </w:r>
      <w:r>
        <w:rPr>
          <w:sz w:val="24"/>
        </w:rPr>
        <w:t>deemed appropriate by the BEP Operations Coordinator in consultation with the ECM </w:t>
      </w:r>
      <w:r>
        <w:rPr>
          <w:spacing w:val="-2"/>
          <w:sz w:val="24"/>
        </w:rPr>
        <w:t>Chairperson.</w:t>
      </w:r>
    </w:p>
    <w:p>
      <w:pPr>
        <w:pStyle w:val="ListParagraph"/>
        <w:numPr>
          <w:ilvl w:val="1"/>
          <w:numId w:val="387"/>
        </w:numPr>
        <w:tabs>
          <w:tab w:pos="1218" w:val="left" w:leader="none"/>
        </w:tabs>
        <w:spacing w:line="240" w:lineRule="auto" w:before="210" w:after="0"/>
        <w:ind w:left="1218" w:right="0" w:hanging="426"/>
        <w:jc w:val="left"/>
        <w:rPr>
          <w:sz w:val="24"/>
        </w:rPr>
      </w:pPr>
      <w:r>
        <w:rPr>
          <w:sz w:val="24"/>
        </w:rPr>
        <w:t>Classification</w:t>
      </w:r>
      <w:r>
        <w:rPr>
          <w:spacing w:val="-4"/>
          <w:sz w:val="24"/>
        </w:rPr>
        <w:t> </w:t>
      </w:r>
      <w:r>
        <w:rPr>
          <w:sz w:val="24"/>
        </w:rPr>
        <w:t>D.</w:t>
      </w:r>
      <w:r>
        <w:rPr>
          <w:spacing w:val="-3"/>
          <w:sz w:val="24"/>
        </w:rPr>
        <w:t> </w:t>
      </w:r>
      <w:r>
        <w:rPr>
          <w:sz w:val="24"/>
        </w:rPr>
        <w:t>No</w:t>
      </w:r>
      <w:r>
        <w:rPr>
          <w:spacing w:val="-4"/>
          <w:sz w:val="24"/>
        </w:rPr>
        <w:t> </w:t>
      </w:r>
      <w:r>
        <w:rPr>
          <w:sz w:val="24"/>
        </w:rPr>
        <w:t>experience</w:t>
      </w:r>
      <w:r>
        <w:rPr>
          <w:spacing w:val="-3"/>
          <w:sz w:val="24"/>
        </w:rPr>
        <w:t> </w:t>
      </w:r>
      <w:r>
        <w:rPr>
          <w:spacing w:val="-2"/>
          <w:sz w:val="24"/>
        </w:rPr>
        <w:t>required.</w:t>
      </w:r>
    </w:p>
    <w:p>
      <w:pPr>
        <w:pStyle w:val="ListParagraph"/>
        <w:numPr>
          <w:ilvl w:val="0"/>
          <w:numId w:val="387"/>
        </w:numPr>
        <w:tabs>
          <w:tab w:pos="786" w:val="left" w:leader="none"/>
        </w:tabs>
        <w:spacing w:line="208" w:lineRule="auto" w:before="234" w:after="0"/>
        <w:ind w:left="360" w:right="1006" w:firstLine="0"/>
        <w:jc w:val="left"/>
        <w:rPr>
          <w:sz w:val="24"/>
        </w:rPr>
      </w:pPr>
      <w:r>
        <w:rPr>
          <w:sz w:val="24"/>
        </w:rPr>
        <w:t>The</w:t>
      </w:r>
      <w:r>
        <w:rPr>
          <w:spacing w:val="-4"/>
          <w:sz w:val="24"/>
        </w:rPr>
        <w:t> </w:t>
      </w:r>
      <w:r>
        <w:rPr>
          <w:sz w:val="24"/>
        </w:rPr>
        <w:t>BEP</w:t>
      </w:r>
      <w:r>
        <w:rPr>
          <w:spacing w:val="-4"/>
          <w:sz w:val="24"/>
        </w:rPr>
        <w:t> </w:t>
      </w:r>
      <w:r>
        <w:rPr>
          <w:sz w:val="24"/>
        </w:rPr>
        <w:t>Operations</w:t>
      </w:r>
      <w:r>
        <w:rPr>
          <w:spacing w:val="-4"/>
          <w:sz w:val="24"/>
        </w:rPr>
        <w:t> </w:t>
      </w:r>
      <w:r>
        <w:rPr>
          <w:sz w:val="24"/>
        </w:rPr>
        <w:t>Coordinator,</w:t>
      </w:r>
      <w:r>
        <w:rPr>
          <w:spacing w:val="-3"/>
          <w:sz w:val="24"/>
        </w:rPr>
        <w:t> </w:t>
      </w:r>
      <w:r>
        <w:rPr>
          <w:sz w:val="24"/>
        </w:rPr>
        <w:t>in</w:t>
      </w:r>
      <w:r>
        <w:rPr>
          <w:spacing w:val="-4"/>
          <w:sz w:val="24"/>
        </w:rPr>
        <w:t> </w:t>
      </w:r>
      <w:r>
        <w:rPr>
          <w:sz w:val="24"/>
        </w:rPr>
        <w:t>consultation</w:t>
      </w:r>
      <w:r>
        <w:rPr>
          <w:spacing w:val="-4"/>
          <w:sz w:val="24"/>
        </w:rPr>
        <w:t> </w:t>
      </w:r>
      <w:r>
        <w:rPr>
          <w:sz w:val="24"/>
        </w:rPr>
        <w:t>with</w:t>
      </w:r>
      <w:r>
        <w:rPr>
          <w:spacing w:val="-4"/>
          <w:sz w:val="24"/>
        </w:rPr>
        <w:t> </w:t>
      </w:r>
      <w:r>
        <w:rPr>
          <w:sz w:val="24"/>
        </w:rPr>
        <w:t>the</w:t>
      </w:r>
      <w:r>
        <w:rPr>
          <w:spacing w:val="-4"/>
          <w:sz w:val="24"/>
        </w:rPr>
        <w:t> </w:t>
      </w:r>
      <w:r>
        <w:rPr>
          <w:sz w:val="24"/>
        </w:rPr>
        <w:t>ECM</w:t>
      </w:r>
      <w:r>
        <w:rPr>
          <w:spacing w:val="-5"/>
          <w:sz w:val="24"/>
        </w:rPr>
        <w:t> </w:t>
      </w:r>
      <w:r>
        <w:rPr>
          <w:sz w:val="24"/>
        </w:rPr>
        <w:t>Chairperson,</w:t>
      </w:r>
      <w:r>
        <w:rPr>
          <w:spacing w:val="-3"/>
          <w:sz w:val="24"/>
        </w:rPr>
        <w:t> </w:t>
      </w:r>
      <w:r>
        <w:rPr>
          <w:sz w:val="24"/>
        </w:rPr>
        <w:t>may require additional BEP experience on applications for any facility. Verified BEP experience from another state may be considered.</w:t>
      </w:r>
    </w:p>
    <w:p>
      <w:pPr>
        <w:pStyle w:val="ListParagraph"/>
        <w:numPr>
          <w:ilvl w:val="0"/>
          <w:numId w:val="387"/>
        </w:numPr>
        <w:tabs>
          <w:tab w:pos="786" w:val="left" w:leader="none"/>
        </w:tabs>
        <w:spacing w:line="208" w:lineRule="auto" w:before="239" w:after="0"/>
        <w:ind w:left="360" w:right="953" w:firstLine="0"/>
        <w:jc w:val="left"/>
        <w:rPr>
          <w:sz w:val="24"/>
        </w:rPr>
      </w:pPr>
      <w:r>
        <w:rPr>
          <w:sz w:val="24"/>
        </w:rPr>
        <w:t>Applicants</w:t>
      </w:r>
      <w:r>
        <w:rPr>
          <w:spacing w:val="-3"/>
          <w:sz w:val="24"/>
        </w:rPr>
        <w:t> </w:t>
      </w:r>
      <w:r>
        <w:rPr>
          <w:sz w:val="24"/>
        </w:rPr>
        <w:t>will</w:t>
      </w:r>
      <w:r>
        <w:rPr>
          <w:spacing w:val="-3"/>
          <w:sz w:val="24"/>
        </w:rPr>
        <w:t> </w:t>
      </w:r>
      <w:r>
        <w:rPr>
          <w:sz w:val="24"/>
        </w:rPr>
        <w:t>not</w:t>
      </w:r>
      <w:r>
        <w:rPr>
          <w:spacing w:val="-2"/>
          <w:sz w:val="24"/>
        </w:rPr>
        <w:t> </w:t>
      </w:r>
      <w:r>
        <w:rPr>
          <w:sz w:val="24"/>
        </w:rPr>
        <w:t>be</w:t>
      </w:r>
      <w:r>
        <w:rPr>
          <w:spacing w:val="-3"/>
          <w:sz w:val="24"/>
        </w:rPr>
        <w:t> </w:t>
      </w:r>
      <w:r>
        <w:rPr>
          <w:sz w:val="24"/>
        </w:rPr>
        <w:t>eligible</w:t>
      </w:r>
      <w:r>
        <w:rPr>
          <w:spacing w:val="-3"/>
          <w:sz w:val="24"/>
        </w:rPr>
        <w:t> </w:t>
      </w:r>
      <w:r>
        <w:rPr>
          <w:sz w:val="24"/>
        </w:rPr>
        <w:t>to</w:t>
      </w:r>
      <w:r>
        <w:rPr>
          <w:spacing w:val="-3"/>
          <w:sz w:val="24"/>
        </w:rPr>
        <w:t> </w:t>
      </w:r>
      <w:r>
        <w:rPr>
          <w:sz w:val="24"/>
        </w:rPr>
        <w:t>apply</w:t>
      </w:r>
      <w:r>
        <w:rPr>
          <w:spacing w:val="-3"/>
          <w:sz w:val="24"/>
        </w:rPr>
        <w:t> </w:t>
      </w:r>
      <w:r>
        <w:rPr>
          <w:sz w:val="24"/>
        </w:rPr>
        <w:t>for</w:t>
      </w:r>
      <w:r>
        <w:rPr>
          <w:spacing w:val="-4"/>
          <w:sz w:val="24"/>
        </w:rPr>
        <w:t> </w:t>
      </w:r>
      <w:r>
        <w:rPr>
          <w:sz w:val="24"/>
        </w:rPr>
        <w:t>a</w:t>
      </w:r>
      <w:r>
        <w:rPr>
          <w:spacing w:val="-3"/>
          <w:sz w:val="24"/>
        </w:rPr>
        <w:t> </w:t>
      </w:r>
      <w:r>
        <w:rPr>
          <w:sz w:val="24"/>
        </w:rPr>
        <w:t>business</w:t>
      </w:r>
      <w:r>
        <w:rPr>
          <w:spacing w:val="-2"/>
          <w:sz w:val="24"/>
        </w:rPr>
        <w:t> </w:t>
      </w:r>
      <w:r>
        <w:rPr>
          <w:sz w:val="24"/>
        </w:rPr>
        <w:t>enterprise</w:t>
      </w:r>
      <w:r>
        <w:rPr>
          <w:spacing w:val="-3"/>
          <w:sz w:val="24"/>
        </w:rPr>
        <w:t> </w:t>
      </w:r>
      <w:r>
        <w:rPr>
          <w:sz w:val="24"/>
        </w:rPr>
        <w:t>facility</w:t>
      </w:r>
      <w:r>
        <w:rPr>
          <w:spacing w:val="-3"/>
          <w:sz w:val="24"/>
        </w:rPr>
        <w:t> </w:t>
      </w:r>
      <w:r>
        <w:rPr>
          <w:sz w:val="24"/>
        </w:rPr>
        <w:t>if</w:t>
      </w:r>
      <w:r>
        <w:rPr>
          <w:spacing w:val="-2"/>
          <w:sz w:val="24"/>
        </w:rPr>
        <w:t> </w:t>
      </w:r>
      <w:r>
        <w:rPr>
          <w:sz w:val="24"/>
        </w:rPr>
        <w:t>any</w:t>
      </w:r>
      <w:r>
        <w:rPr>
          <w:spacing w:val="-3"/>
          <w:sz w:val="24"/>
        </w:rPr>
        <w:t> </w:t>
      </w:r>
      <w:r>
        <w:rPr>
          <w:sz w:val="24"/>
        </w:rPr>
        <w:t>of</w:t>
      </w:r>
      <w:r>
        <w:rPr>
          <w:spacing w:val="-4"/>
          <w:sz w:val="24"/>
        </w:rPr>
        <w:t> </w:t>
      </w:r>
      <w:r>
        <w:rPr>
          <w:sz w:val="24"/>
        </w:rPr>
        <w:t>the following conditions exist:</w:t>
      </w:r>
    </w:p>
    <w:p>
      <w:pPr>
        <w:pStyle w:val="ListParagraph"/>
        <w:numPr>
          <w:ilvl w:val="1"/>
          <w:numId w:val="387"/>
        </w:numPr>
        <w:tabs>
          <w:tab w:pos="1217" w:val="left" w:leader="none"/>
        </w:tabs>
        <w:spacing w:line="208" w:lineRule="auto" w:before="240" w:after="0"/>
        <w:ind w:left="791" w:right="816" w:firstLine="0"/>
        <w:jc w:val="left"/>
        <w:rPr>
          <w:sz w:val="24"/>
        </w:rPr>
      </w:pPr>
      <w:r>
        <w:rPr>
          <w:sz w:val="24"/>
        </w:rPr>
        <w:t>The applicant</w:t>
      </w:r>
      <w:r>
        <w:rPr>
          <w:sz w:val="22"/>
        </w:rPr>
        <w:t>'</w:t>
      </w:r>
      <w:r>
        <w:rPr>
          <w:sz w:val="24"/>
        </w:rPr>
        <w:t>s cumulative total days of probation is sixty (60) or more days in the</w:t>
      </w:r>
      <w:r>
        <w:rPr>
          <w:spacing w:val="-4"/>
          <w:sz w:val="24"/>
        </w:rPr>
        <w:t> </w:t>
      </w:r>
      <w:r>
        <w:rPr>
          <w:sz w:val="24"/>
        </w:rPr>
        <w:t>most</w:t>
      </w:r>
      <w:r>
        <w:rPr>
          <w:spacing w:val="-5"/>
          <w:sz w:val="24"/>
        </w:rPr>
        <w:t> </w:t>
      </w:r>
      <w:r>
        <w:rPr>
          <w:sz w:val="24"/>
        </w:rPr>
        <w:t>recent</w:t>
      </w:r>
      <w:r>
        <w:rPr>
          <w:spacing w:val="-3"/>
          <w:sz w:val="24"/>
        </w:rPr>
        <w:t> </w:t>
      </w:r>
      <w:r>
        <w:rPr>
          <w:sz w:val="24"/>
        </w:rPr>
        <w:t>twelve</w:t>
      </w:r>
      <w:r>
        <w:rPr>
          <w:spacing w:val="-4"/>
          <w:sz w:val="24"/>
        </w:rPr>
        <w:t> </w:t>
      </w:r>
      <w:r>
        <w:rPr>
          <w:sz w:val="24"/>
        </w:rPr>
        <w:t>(12)</w:t>
      </w:r>
      <w:r>
        <w:rPr>
          <w:spacing w:val="-5"/>
          <w:sz w:val="24"/>
        </w:rPr>
        <w:t> </w:t>
      </w:r>
      <w:r>
        <w:rPr>
          <w:sz w:val="24"/>
        </w:rPr>
        <w:t>months</w:t>
      </w:r>
      <w:r>
        <w:rPr>
          <w:spacing w:val="-4"/>
          <w:sz w:val="24"/>
        </w:rPr>
        <w:t> </w:t>
      </w:r>
      <w:r>
        <w:rPr>
          <w:sz w:val="24"/>
        </w:rPr>
        <w:t>or</w:t>
      </w:r>
      <w:r>
        <w:rPr>
          <w:spacing w:val="-3"/>
          <w:sz w:val="24"/>
        </w:rPr>
        <w:t> </w:t>
      </w:r>
      <w:r>
        <w:rPr>
          <w:sz w:val="24"/>
        </w:rPr>
        <w:t>the</w:t>
      </w:r>
      <w:r>
        <w:rPr>
          <w:spacing w:val="-4"/>
          <w:sz w:val="24"/>
        </w:rPr>
        <w:t> </w:t>
      </w:r>
      <w:r>
        <w:rPr>
          <w:sz w:val="24"/>
        </w:rPr>
        <w:t>SLA</w:t>
      </w:r>
      <w:r>
        <w:rPr>
          <w:spacing w:val="-4"/>
          <w:sz w:val="24"/>
        </w:rPr>
        <w:t> </w:t>
      </w:r>
      <w:r>
        <w:rPr>
          <w:sz w:val="24"/>
        </w:rPr>
        <w:t>has</w:t>
      </w:r>
      <w:r>
        <w:rPr>
          <w:spacing w:val="-4"/>
          <w:sz w:val="24"/>
        </w:rPr>
        <w:t> </w:t>
      </w:r>
      <w:r>
        <w:rPr>
          <w:sz w:val="24"/>
        </w:rPr>
        <w:t>initiated</w:t>
      </w:r>
      <w:r>
        <w:rPr>
          <w:spacing w:val="-4"/>
          <w:sz w:val="24"/>
        </w:rPr>
        <w:t> </w:t>
      </w:r>
      <w:r>
        <w:rPr>
          <w:sz w:val="24"/>
        </w:rPr>
        <w:t>suspension/termination proceedings against the licensed manager.</w:t>
      </w:r>
    </w:p>
    <w:p>
      <w:pPr>
        <w:pStyle w:val="ListParagraph"/>
        <w:numPr>
          <w:ilvl w:val="1"/>
          <w:numId w:val="387"/>
        </w:numPr>
        <w:tabs>
          <w:tab w:pos="1217" w:val="left" w:leader="none"/>
        </w:tabs>
        <w:spacing w:line="240" w:lineRule="auto" w:before="211" w:after="0"/>
        <w:ind w:left="1217" w:right="0" w:hanging="426"/>
        <w:jc w:val="left"/>
        <w:rPr>
          <w:sz w:val="24"/>
        </w:rPr>
      </w:pPr>
      <w:r>
        <w:rPr>
          <w:sz w:val="24"/>
        </w:rPr>
        <w:t>The</w:t>
      </w:r>
      <w:r>
        <w:rPr>
          <w:spacing w:val="-4"/>
          <w:sz w:val="24"/>
        </w:rPr>
        <w:t> </w:t>
      </w:r>
      <w:r>
        <w:rPr>
          <w:sz w:val="24"/>
        </w:rPr>
        <w:t>applicant</w:t>
      </w:r>
      <w:r>
        <w:rPr>
          <w:spacing w:val="-2"/>
          <w:sz w:val="24"/>
        </w:rPr>
        <w:t> </w:t>
      </w:r>
      <w:r>
        <w:rPr>
          <w:sz w:val="24"/>
        </w:rPr>
        <w:t>is</w:t>
      </w:r>
      <w:r>
        <w:rPr>
          <w:spacing w:val="-4"/>
          <w:sz w:val="24"/>
        </w:rPr>
        <w:t> </w:t>
      </w:r>
      <w:r>
        <w:rPr>
          <w:sz w:val="24"/>
        </w:rPr>
        <w:t>not</w:t>
      </w:r>
      <w:r>
        <w:rPr>
          <w:spacing w:val="-2"/>
          <w:sz w:val="24"/>
        </w:rPr>
        <w:t> </w:t>
      </w:r>
      <w:r>
        <w:rPr>
          <w:sz w:val="24"/>
        </w:rPr>
        <w:t>current</w:t>
      </w:r>
      <w:r>
        <w:rPr>
          <w:spacing w:val="-5"/>
          <w:sz w:val="24"/>
        </w:rPr>
        <w:t> </w:t>
      </w:r>
      <w:r>
        <w:rPr>
          <w:sz w:val="24"/>
        </w:rPr>
        <w:t>with</w:t>
      </w:r>
      <w:r>
        <w:rPr>
          <w:spacing w:val="-3"/>
          <w:sz w:val="24"/>
        </w:rPr>
        <w:t> </w:t>
      </w:r>
      <w:r>
        <w:rPr>
          <w:sz w:val="24"/>
        </w:rPr>
        <w:t>their</w:t>
      </w:r>
      <w:r>
        <w:rPr>
          <w:spacing w:val="-3"/>
          <w:sz w:val="24"/>
        </w:rPr>
        <w:t> </w:t>
      </w:r>
      <w:r>
        <w:rPr>
          <w:sz w:val="24"/>
        </w:rPr>
        <w:t>merchandise</w:t>
      </w:r>
      <w:r>
        <w:rPr>
          <w:spacing w:val="-2"/>
          <w:sz w:val="24"/>
        </w:rPr>
        <w:t> </w:t>
      </w:r>
      <w:r>
        <w:rPr>
          <w:sz w:val="24"/>
        </w:rPr>
        <w:t>loan</w:t>
      </w:r>
      <w:r>
        <w:rPr>
          <w:spacing w:val="-3"/>
          <w:sz w:val="24"/>
        </w:rPr>
        <w:t> </w:t>
      </w:r>
      <w:r>
        <w:rPr>
          <w:spacing w:val="-2"/>
          <w:sz w:val="24"/>
        </w:rPr>
        <w:t>payments.</w:t>
      </w:r>
    </w:p>
    <w:p>
      <w:pPr>
        <w:pStyle w:val="ListParagraph"/>
        <w:numPr>
          <w:ilvl w:val="1"/>
          <w:numId w:val="387"/>
        </w:numPr>
        <w:tabs>
          <w:tab w:pos="1217" w:val="left" w:leader="none"/>
        </w:tabs>
        <w:spacing w:line="240" w:lineRule="auto" w:before="204" w:after="0"/>
        <w:ind w:left="1217" w:right="0" w:hanging="426"/>
        <w:jc w:val="left"/>
        <w:rPr>
          <w:sz w:val="24"/>
        </w:rPr>
      </w:pPr>
      <w:r>
        <w:rPr>
          <w:sz w:val="24"/>
        </w:rPr>
        <w:t>The</w:t>
      </w:r>
      <w:r>
        <w:rPr>
          <w:spacing w:val="-3"/>
          <w:sz w:val="24"/>
        </w:rPr>
        <w:t> </w:t>
      </w:r>
      <w:r>
        <w:rPr>
          <w:sz w:val="24"/>
        </w:rPr>
        <w:t>applicant</w:t>
      </w:r>
      <w:r>
        <w:rPr>
          <w:spacing w:val="-2"/>
          <w:sz w:val="24"/>
        </w:rPr>
        <w:t> </w:t>
      </w:r>
      <w:r>
        <w:rPr>
          <w:sz w:val="24"/>
        </w:rPr>
        <w:t>is</w:t>
      </w:r>
      <w:r>
        <w:rPr>
          <w:spacing w:val="-3"/>
          <w:sz w:val="24"/>
        </w:rPr>
        <w:t> </w:t>
      </w:r>
      <w:r>
        <w:rPr>
          <w:sz w:val="24"/>
        </w:rPr>
        <w:t>not</w:t>
      </w:r>
      <w:r>
        <w:rPr>
          <w:spacing w:val="-1"/>
          <w:sz w:val="24"/>
        </w:rPr>
        <w:t> </w:t>
      </w:r>
      <w:r>
        <w:rPr>
          <w:sz w:val="24"/>
        </w:rPr>
        <w:t>current</w:t>
      </w:r>
      <w:r>
        <w:rPr>
          <w:spacing w:val="-5"/>
          <w:sz w:val="24"/>
        </w:rPr>
        <w:t> </w:t>
      </w:r>
      <w:r>
        <w:rPr>
          <w:sz w:val="24"/>
        </w:rPr>
        <w:t>with</w:t>
      </w:r>
      <w:r>
        <w:rPr>
          <w:spacing w:val="-3"/>
          <w:sz w:val="24"/>
        </w:rPr>
        <w:t> </w:t>
      </w:r>
      <w:r>
        <w:rPr>
          <w:sz w:val="24"/>
        </w:rPr>
        <w:t>his/her</w:t>
      </w:r>
      <w:r>
        <w:rPr>
          <w:spacing w:val="-2"/>
          <w:sz w:val="24"/>
        </w:rPr>
        <w:t> </w:t>
      </w:r>
      <w:r>
        <w:rPr>
          <w:sz w:val="24"/>
        </w:rPr>
        <w:t>set-aside</w:t>
      </w:r>
      <w:r>
        <w:rPr>
          <w:spacing w:val="-2"/>
          <w:sz w:val="24"/>
        </w:rPr>
        <w:t> </w:t>
      </w:r>
      <w:r>
        <w:rPr>
          <w:sz w:val="24"/>
        </w:rPr>
        <w:t>owed</w:t>
      </w:r>
      <w:r>
        <w:rPr>
          <w:spacing w:val="-3"/>
          <w:sz w:val="24"/>
        </w:rPr>
        <w:t> </w:t>
      </w:r>
      <w:r>
        <w:rPr>
          <w:sz w:val="24"/>
        </w:rPr>
        <w:t>to</w:t>
      </w:r>
      <w:r>
        <w:rPr>
          <w:spacing w:val="-3"/>
          <w:sz w:val="24"/>
        </w:rPr>
        <w:t> </w:t>
      </w:r>
      <w:r>
        <w:rPr>
          <w:sz w:val="24"/>
        </w:rPr>
        <w:t>the</w:t>
      </w:r>
      <w:r>
        <w:rPr>
          <w:spacing w:val="-2"/>
          <w:sz w:val="24"/>
        </w:rPr>
        <w:t> </w:t>
      </w:r>
      <w:r>
        <w:rPr>
          <w:spacing w:val="-4"/>
          <w:sz w:val="24"/>
        </w:rPr>
        <w:t>SLA.</w:t>
      </w:r>
    </w:p>
    <w:p>
      <w:pPr>
        <w:pStyle w:val="ListParagraph"/>
        <w:numPr>
          <w:ilvl w:val="1"/>
          <w:numId w:val="387"/>
        </w:numPr>
        <w:tabs>
          <w:tab w:pos="1217" w:val="left" w:leader="none"/>
        </w:tabs>
        <w:spacing w:line="240" w:lineRule="auto" w:before="204" w:after="0"/>
        <w:ind w:left="1217" w:right="0" w:hanging="426"/>
        <w:jc w:val="left"/>
        <w:rPr>
          <w:sz w:val="24"/>
        </w:rPr>
      </w:pPr>
      <w:r>
        <w:rPr>
          <w:sz w:val="24"/>
        </w:rPr>
        <w:t>Applicants</w:t>
      </w:r>
      <w:r>
        <w:rPr>
          <w:spacing w:val="-5"/>
          <w:sz w:val="24"/>
        </w:rPr>
        <w:t> </w:t>
      </w:r>
      <w:r>
        <w:rPr>
          <w:sz w:val="24"/>
        </w:rPr>
        <w:t>have</w:t>
      </w:r>
      <w:r>
        <w:rPr>
          <w:spacing w:val="-3"/>
          <w:sz w:val="24"/>
        </w:rPr>
        <w:t> </w:t>
      </w:r>
      <w:r>
        <w:rPr>
          <w:sz w:val="24"/>
        </w:rPr>
        <w:t>not</w:t>
      </w:r>
      <w:r>
        <w:rPr>
          <w:spacing w:val="-2"/>
          <w:sz w:val="24"/>
        </w:rPr>
        <w:t> </w:t>
      </w:r>
      <w:r>
        <w:rPr>
          <w:sz w:val="24"/>
        </w:rPr>
        <w:t>scored</w:t>
      </w:r>
      <w:r>
        <w:rPr>
          <w:spacing w:val="-2"/>
          <w:sz w:val="24"/>
        </w:rPr>
        <w:t> </w:t>
      </w:r>
      <w:r>
        <w:rPr>
          <w:sz w:val="24"/>
        </w:rPr>
        <w:t>at</w:t>
      </w:r>
      <w:r>
        <w:rPr>
          <w:spacing w:val="-2"/>
          <w:sz w:val="24"/>
        </w:rPr>
        <w:t> </w:t>
      </w:r>
      <w:r>
        <w:rPr>
          <w:sz w:val="24"/>
        </w:rPr>
        <w:t>least</w:t>
      </w:r>
      <w:r>
        <w:rPr>
          <w:spacing w:val="-2"/>
          <w:sz w:val="24"/>
        </w:rPr>
        <w:t> </w:t>
      </w:r>
      <w:r>
        <w:rPr>
          <w:sz w:val="24"/>
        </w:rPr>
        <w:t>an</w:t>
      </w:r>
      <w:r>
        <w:rPr>
          <w:spacing w:val="-3"/>
          <w:sz w:val="24"/>
        </w:rPr>
        <w:t> </w:t>
      </w:r>
      <w:r>
        <w:rPr>
          <w:sz w:val="24"/>
        </w:rPr>
        <w:t>80</w:t>
      </w:r>
      <w:r>
        <w:rPr>
          <w:spacing w:val="-2"/>
          <w:sz w:val="24"/>
        </w:rPr>
        <w:t> </w:t>
      </w:r>
      <w:r>
        <w:rPr>
          <w:sz w:val="24"/>
        </w:rPr>
        <w:t>on</w:t>
      </w:r>
      <w:r>
        <w:rPr>
          <w:spacing w:val="-3"/>
          <w:sz w:val="24"/>
        </w:rPr>
        <w:t> </w:t>
      </w:r>
      <w:r>
        <w:rPr>
          <w:sz w:val="24"/>
        </w:rPr>
        <w:t>their</w:t>
      </w:r>
      <w:r>
        <w:rPr>
          <w:spacing w:val="-2"/>
          <w:sz w:val="24"/>
        </w:rPr>
        <w:t> </w:t>
      </w:r>
      <w:r>
        <w:rPr>
          <w:sz w:val="24"/>
        </w:rPr>
        <w:t>performance</w:t>
      </w:r>
      <w:r>
        <w:rPr>
          <w:spacing w:val="-3"/>
          <w:sz w:val="24"/>
        </w:rPr>
        <w:t> </w:t>
      </w:r>
      <w:r>
        <w:rPr>
          <w:spacing w:val="-2"/>
          <w:sz w:val="24"/>
        </w:rPr>
        <w:t>evaluation.</w:t>
      </w:r>
    </w:p>
    <w:p>
      <w:pPr>
        <w:pStyle w:val="ListParagraph"/>
        <w:numPr>
          <w:ilvl w:val="1"/>
          <w:numId w:val="387"/>
        </w:numPr>
        <w:tabs>
          <w:tab w:pos="1217" w:val="left" w:leader="none"/>
        </w:tabs>
        <w:spacing w:line="240" w:lineRule="auto" w:before="204" w:after="0"/>
        <w:ind w:left="1217" w:right="0" w:hanging="426"/>
        <w:jc w:val="left"/>
        <w:rPr>
          <w:sz w:val="24"/>
        </w:rPr>
      </w:pPr>
      <w:r>
        <w:rPr>
          <w:sz w:val="24"/>
        </w:rPr>
        <w:t>Conditions</w:t>
      </w:r>
      <w:r>
        <w:rPr>
          <w:spacing w:val="-6"/>
          <w:sz w:val="24"/>
        </w:rPr>
        <w:t> </w:t>
      </w:r>
      <w:r>
        <w:rPr>
          <w:sz w:val="24"/>
        </w:rPr>
        <w:t>1-4</w:t>
      </w:r>
      <w:r>
        <w:rPr>
          <w:spacing w:val="-3"/>
          <w:sz w:val="24"/>
        </w:rPr>
        <w:t> </w:t>
      </w:r>
      <w:r>
        <w:rPr>
          <w:sz w:val="24"/>
        </w:rPr>
        <w:t>will</w:t>
      </w:r>
      <w:r>
        <w:rPr>
          <w:spacing w:val="-2"/>
          <w:sz w:val="24"/>
        </w:rPr>
        <w:t> </w:t>
      </w:r>
      <w:r>
        <w:rPr>
          <w:sz w:val="24"/>
        </w:rPr>
        <w:t>not</w:t>
      </w:r>
      <w:r>
        <w:rPr>
          <w:spacing w:val="-2"/>
          <w:sz w:val="24"/>
        </w:rPr>
        <w:t> </w:t>
      </w:r>
      <w:r>
        <w:rPr>
          <w:sz w:val="24"/>
        </w:rPr>
        <w:t>apply</w:t>
      </w:r>
      <w:r>
        <w:rPr>
          <w:spacing w:val="-3"/>
          <w:sz w:val="24"/>
        </w:rPr>
        <w:t> </w:t>
      </w:r>
      <w:r>
        <w:rPr>
          <w:sz w:val="24"/>
        </w:rPr>
        <w:t>to</w:t>
      </w:r>
      <w:r>
        <w:rPr>
          <w:spacing w:val="-3"/>
          <w:sz w:val="24"/>
        </w:rPr>
        <w:t> </w:t>
      </w:r>
      <w:r>
        <w:rPr>
          <w:sz w:val="24"/>
        </w:rPr>
        <w:t>new</w:t>
      </w:r>
      <w:r>
        <w:rPr>
          <w:spacing w:val="-3"/>
          <w:sz w:val="24"/>
        </w:rPr>
        <w:t> </w:t>
      </w:r>
      <w:r>
        <w:rPr>
          <w:sz w:val="24"/>
        </w:rPr>
        <w:t>BEP</w:t>
      </w:r>
      <w:r>
        <w:rPr>
          <w:spacing w:val="-2"/>
          <w:sz w:val="24"/>
        </w:rPr>
        <w:t> </w:t>
      </w:r>
      <w:r>
        <w:rPr>
          <w:sz w:val="24"/>
        </w:rPr>
        <w:t>training</w:t>
      </w:r>
      <w:r>
        <w:rPr>
          <w:spacing w:val="-3"/>
          <w:sz w:val="24"/>
        </w:rPr>
        <w:t> </w:t>
      </w:r>
      <w:r>
        <w:rPr>
          <w:spacing w:val="-2"/>
          <w:sz w:val="24"/>
        </w:rPr>
        <w:t>graduates.</w:t>
      </w:r>
    </w:p>
    <w:p>
      <w:pPr>
        <w:pStyle w:val="ListParagraph"/>
        <w:numPr>
          <w:ilvl w:val="0"/>
          <w:numId w:val="387"/>
        </w:numPr>
        <w:tabs>
          <w:tab w:pos="718" w:val="left" w:leader="none"/>
        </w:tabs>
        <w:spacing w:line="208" w:lineRule="auto" w:before="233" w:after="0"/>
        <w:ind w:left="359" w:right="1513" w:firstLine="0"/>
        <w:jc w:val="left"/>
        <w:rPr>
          <w:sz w:val="24"/>
        </w:rPr>
      </w:pPr>
      <w:r>
        <w:rPr>
          <w:sz w:val="24"/>
        </w:rPr>
        <w:t>Applicants</w:t>
      </w:r>
      <w:r>
        <w:rPr>
          <w:spacing w:val="-3"/>
          <w:sz w:val="24"/>
        </w:rPr>
        <w:t> </w:t>
      </w:r>
      <w:r>
        <w:rPr>
          <w:sz w:val="24"/>
        </w:rPr>
        <w:t>must</w:t>
      </w:r>
      <w:r>
        <w:rPr>
          <w:spacing w:val="-4"/>
          <w:sz w:val="24"/>
        </w:rPr>
        <w:t> </w:t>
      </w:r>
      <w:r>
        <w:rPr>
          <w:sz w:val="24"/>
        </w:rPr>
        <w:t>be</w:t>
      </w:r>
      <w:r>
        <w:rPr>
          <w:spacing w:val="-3"/>
          <w:sz w:val="24"/>
        </w:rPr>
        <w:t> </w:t>
      </w:r>
      <w:r>
        <w:rPr>
          <w:sz w:val="24"/>
        </w:rPr>
        <w:t>eligible</w:t>
      </w:r>
      <w:r>
        <w:rPr>
          <w:spacing w:val="-3"/>
          <w:sz w:val="24"/>
        </w:rPr>
        <w:t> </w:t>
      </w:r>
      <w:r>
        <w:rPr>
          <w:sz w:val="24"/>
        </w:rPr>
        <w:t>to</w:t>
      </w:r>
      <w:r>
        <w:rPr>
          <w:spacing w:val="-2"/>
          <w:sz w:val="24"/>
        </w:rPr>
        <w:t> </w:t>
      </w:r>
      <w:r>
        <w:rPr>
          <w:sz w:val="24"/>
        </w:rPr>
        <w:t>obtain</w:t>
      </w:r>
      <w:r>
        <w:rPr>
          <w:spacing w:val="-3"/>
          <w:sz w:val="24"/>
        </w:rPr>
        <w:t> </w:t>
      </w:r>
      <w:r>
        <w:rPr>
          <w:sz w:val="24"/>
        </w:rPr>
        <w:t>an</w:t>
      </w:r>
      <w:r>
        <w:rPr>
          <w:spacing w:val="-3"/>
          <w:sz w:val="24"/>
        </w:rPr>
        <w:t> </w:t>
      </w:r>
      <w:r>
        <w:rPr>
          <w:sz w:val="24"/>
        </w:rPr>
        <w:t>Oklahoma</w:t>
      </w:r>
      <w:r>
        <w:rPr>
          <w:spacing w:val="-3"/>
          <w:sz w:val="24"/>
        </w:rPr>
        <w:t> </w:t>
      </w:r>
      <w:r>
        <w:rPr>
          <w:sz w:val="24"/>
        </w:rPr>
        <w:t>Tax</w:t>
      </w:r>
      <w:r>
        <w:rPr>
          <w:spacing w:val="-3"/>
          <w:sz w:val="24"/>
        </w:rPr>
        <w:t> </w:t>
      </w:r>
      <w:r>
        <w:rPr>
          <w:sz w:val="24"/>
        </w:rPr>
        <w:t>Permit</w:t>
      </w:r>
      <w:r>
        <w:rPr>
          <w:spacing w:val="-4"/>
          <w:sz w:val="24"/>
        </w:rPr>
        <w:t> </w:t>
      </w:r>
      <w:r>
        <w:rPr>
          <w:sz w:val="24"/>
        </w:rPr>
        <w:t>and</w:t>
      </w:r>
      <w:r>
        <w:rPr>
          <w:spacing w:val="-3"/>
          <w:sz w:val="24"/>
        </w:rPr>
        <w:t> </w:t>
      </w:r>
      <w:r>
        <w:rPr>
          <w:sz w:val="24"/>
        </w:rPr>
        <w:t>be</w:t>
      </w:r>
      <w:r>
        <w:rPr>
          <w:spacing w:val="-3"/>
          <w:sz w:val="24"/>
        </w:rPr>
        <w:t> </w:t>
      </w:r>
      <w:r>
        <w:rPr>
          <w:sz w:val="24"/>
        </w:rPr>
        <w:t>in</w:t>
      </w:r>
      <w:r>
        <w:rPr>
          <w:spacing w:val="-3"/>
          <w:sz w:val="24"/>
        </w:rPr>
        <w:t> </w:t>
      </w:r>
      <w:r>
        <w:rPr>
          <w:sz w:val="24"/>
        </w:rPr>
        <w:t>good standing with the Oklahoma Tax Commission (OTC) for assigned, transferred or</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right="775"/>
      </w:pPr>
      <w:r>
        <w:rPr/>
        <w:t>satellite</w:t>
      </w:r>
      <w:r>
        <w:rPr>
          <w:spacing w:val="-4"/>
        </w:rPr>
        <w:t> </w:t>
      </w:r>
      <w:r>
        <w:rPr/>
        <w:t>business</w:t>
      </w:r>
      <w:r>
        <w:rPr>
          <w:spacing w:val="-4"/>
        </w:rPr>
        <w:t> </w:t>
      </w:r>
      <w:r>
        <w:rPr/>
        <w:t>enterprises.</w:t>
      </w:r>
      <w:r>
        <w:rPr>
          <w:spacing w:val="-3"/>
        </w:rPr>
        <w:t> </w:t>
      </w:r>
      <w:r>
        <w:rPr/>
        <w:t>Along</w:t>
      </w:r>
      <w:r>
        <w:rPr>
          <w:spacing w:val="-4"/>
        </w:rPr>
        <w:t> </w:t>
      </w:r>
      <w:r>
        <w:rPr/>
        <w:t>with</w:t>
      </w:r>
      <w:r>
        <w:rPr>
          <w:spacing w:val="-4"/>
        </w:rPr>
        <w:t> </w:t>
      </w:r>
      <w:r>
        <w:rPr/>
        <w:t>each</w:t>
      </w:r>
      <w:r>
        <w:rPr>
          <w:spacing w:val="-4"/>
        </w:rPr>
        <w:t> </w:t>
      </w:r>
      <w:r>
        <w:rPr/>
        <w:t>application,</w:t>
      </w:r>
      <w:r>
        <w:rPr>
          <w:spacing w:val="-3"/>
        </w:rPr>
        <w:t> </w:t>
      </w:r>
      <w:r>
        <w:rPr/>
        <w:t>the</w:t>
      </w:r>
      <w:r>
        <w:rPr>
          <w:spacing w:val="-4"/>
        </w:rPr>
        <w:t> </w:t>
      </w:r>
      <w:r>
        <w:rPr/>
        <w:t>applicant</w:t>
      </w:r>
      <w:r>
        <w:rPr>
          <w:spacing w:val="-3"/>
        </w:rPr>
        <w:t> </w:t>
      </w:r>
      <w:r>
        <w:rPr/>
        <w:t>is</w:t>
      </w:r>
      <w:r>
        <w:rPr>
          <w:spacing w:val="-4"/>
        </w:rPr>
        <w:t> </w:t>
      </w:r>
      <w:r>
        <w:rPr/>
        <w:t>to</w:t>
      </w:r>
      <w:r>
        <w:rPr>
          <w:spacing w:val="-4"/>
        </w:rPr>
        <w:t> </w:t>
      </w:r>
      <w:r>
        <w:rPr/>
        <w:t>provide</w:t>
      </w:r>
      <w:r>
        <w:rPr>
          <w:spacing w:val="-4"/>
        </w:rPr>
        <w:t> </w:t>
      </w:r>
      <w:r>
        <w:rPr/>
        <w:t>a signed OTC form A 100 to determine their standing in relation to Sales Tax and Employee</w:t>
      </w:r>
      <w:r>
        <w:rPr>
          <w:spacing w:val="-1"/>
        </w:rPr>
        <w:t> </w:t>
      </w:r>
      <w:r>
        <w:rPr/>
        <w:t>Withholding.</w:t>
      </w:r>
      <w:r>
        <w:rPr>
          <w:spacing w:val="-1"/>
        </w:rPr>
        <w:t> </w:t>
      </w:r>
      <w:r>
        <w:rPr/>
        <w:t>The</w:t>
      </w:r>
      <w:r>
        <w:rPr>
          <w:spacing w:val="-2"/>
        </w:rPr>
        <w:t> </w:t>
      </w:r>
      <w:r>
        <w:rPr/>
        <w:t>OTC</w:t>
      </w:r>
      <w:r>
        <w:rPr>
          <w:spacing w:val="-2"/>
        </w:rPr>
        <w:t> </w:t>
      </w:r>
      <w:r>
        <w:rPr/>
        <w:t>form</w:t>
      </w:r>
      <w:r>
        <w:rPr>
          <w:spacing w:val="-1"/>
        </w:rPr>
        <w:t> </w:t>
      </w:r>
      <w:r>
        <w:rPr/>
        <w:t>A</w:t>
      </w:r>
      <w:r>
        <w:rPr>
          <w:spacing w:val="-4"/>
        </w:rPr>
        <w:t> </w:t>
      </w:r>
      <w:r>
        <w:rPr/>
        <w:t>100</w:t>
      </w:r>
      <w:r>
        <w:rPr>
          <w:spacing w:val="-2"/>
        </w:rPr>
        <w:t> </w:t>
      </w:r>
      <w:r>
        <w:rPr/>
        <w:t>will</w:t>
      </w:r>
      <w:r>
        <w:rPr>
          <w:spacing w:val="-2"/>
        </w:rPr>
        <w:t> </w:t>
      </w:r>
      <w:r>
        <w:rPr/>
        <w:t>be</w:t>
      </w:r>
      <w:r>
        <w:rPr>
          <w:spacing w:val="-2"/>
        </w:rPr>
        <w:t> </w:t>
      </w:r>
      <w:r>
        <w:rPr/>
        <w:t>used</w:t>
      </w:r>
      <w:r>
        <w:rPr>
          <w:spacing w:val="-2"/>
        </w:rPr>
        <w:t> </w:t>
      </w:r>
      <w:r>
        <w:rPr/>
        <w:t>on</w:t>
      </w:r>
      <w:r>
        <w:rPr>
          <w:spacing w:val="-2"/>
        </w:rPr>
        <w:t> </w:t>
      </w:r>
      <w:r>
        <w:rPr/>
        <w:t>a</w:t>
      </w:r>
      <w:r>
        <w:rPr>
          <w:spacing w:val="-2"/>
        </w:rPr>
        <w:t> </w:t>
      </w:r>
      <w:r>
        <w:rPr/>
        <w:t>one-time</w:t>
      </w:r>
      <w:r>
        <w:rPr>
          <w:spacing w:val="-2"/>
        </w:rPr>
        <w:t> </w:t>
      </w:r>
      <w:r>
        <w:rPr/>
        <w:t>basis</w:t>
      </w:r>
      <w:r>
        <w:rPr>
          <w:spacing w:val="-2"/>
        </w:rPr>
        <w:t> </w:t>
      </w:r>
      <w:r>
        <w:rPr/>
        <w:t>for</w:t>
      </w:r>
      <w:r>
        <w:rPr>
          <w:spacing w:val="-1"/>
        </w:rPr>
        <w:t> </w:t>
      </w:r>
      <w:r>
        <w:rPr/>
        <w:t>a</w:t>
      </w:r>
      <w:r>
        <w:rPr>
          <w:spacing w:val="-3"/>
        </w:rPr>
        <w:t> </w:t>
      </w:r>
      <w:r>
        <w:rPr/>
        <w:t>tax inquiry in relation to that announcement application only.</w:t>
      </w:r>
    </w:p>
    <w:p>
      <w:pPr>
        <w:spacing w:before="229"/>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1"/>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7-1-03</w:t>
      </w:r>
      <w:r>
        <w:rPr>
          <w:sz w:val="22"/>
        </w:rPr>
        <w:tab/>
        <w:t>PT Memo #03-07</w:t>
      </w:r>
    </w:p>
    <w:p>
      <w:pPr>
        <w:tabs>
          <w:tab w:pos="1439" w:val="left" w:leader="none"/>
        </w:tabs>
        <w:spacing w:before="0"/>
        <w:ind w:left="359" w:right="6038" w:firstLine="1080"/>
        <w:jc w:val="left"/>
        <w:rPr>
          <w:sz w:val="22"/>
        </w:rPr>
      </w:pPr>
      <w:r>
        <w:rPr>
          <w:sz w:val="22"/>
        </w:rPr>
        <w:t>Permanent,</w:t>
      </w:r>
      <w:r>
        <w:rPr>
          <w:spacing w:val="-16"/>
          <w:sz w:val="22"/>
        </w:rPr>
        <w:t> </w:t>
      </w:r>
      <w:r>
        <w:rPr>
          <w:sz w:val="22"/>
        </w:rPr>
        <w:t>updated</w:t>
      </w:r>
      <w:r>
        <w:rPr>
          <w:spacing w:val="-15"/>
          <w:sz w:val="22"/>
        </w:rPr>
        <w:t> </w:t>
      </w:r>
      <w:r>
        <w:rPr>
          <w:sz w:val="22"/>
        </w:rPr>
        <w:t>language </w:t>
      </w:r>
      <w:r>
        <w:rPr>
          <w:spacing w:val="-2"/>
          <w:sz w:val="22"/>
        </w:rPr>
        <w:t>7-1-05</w:t>
      </w:r>
      <w:r>
        <w:rPr>
          <w:sz w:val="22"/>
        </w:rPr>
        <w:tab/>
        <w:t>PT Memo #06-01</w:t>
      </w:r>
    </w:p>
    <w:p>
      <w:pPr>
        <w:tabs>
          <w:tab w:pos="1439" w:val="left" w:leader="none"/>
        </w:tabs>
        <w:spacing w:before="0"/>
        <w:ind w:left="360" w:right="4008" w:firstLine="1080"/>
        <w:jc w:val="left"/>
        <w:rPr>
          <w:sz w:val="22"/>
        </w:rPr>
      </w:pPr>
      <w:r>
        <w:rPr>
          <w:sz w:val="22"/>
        </w:rPr>
        <w:t>Permanent,</w:t>
      </w:r>
      <w:r>
        <w:rPr>
          <w:spacing w:val="-7"/>
          <w:sz w:val="22"/>
        </w:rPr>
        <w:t> </w:t>
      </w:r>
      <w:r>
        <w:rPr>
          <w:sz w:val="22"/>
        </w:rPr>
        <w:t>clarification</w:t>
      </w:r>
      <w:r>
        <w:rPr>
          <w:spacing w:val="-9"/>
          <w:sz w:val="22"/>
        </w:rPr>
        <w:t> </w:t>
      </w:r>
      <w:r>
        <w:rPr>
          <w:sz w:val="22"/>
        </w:rPr>
        <w:t>of</w:t>
      </w:r>
      <w:r>
        <w:rPr>
          <w:spacing w:val="-8"/>
          <w:sz w:val="22"/>
        </w:rPr>
        <w:t> </w:t>
      </w:r>
      <w:r>
        <w:rPr>
          <w:sz w:val="22"/>
        </w:rPr>
        <w:t>policy,</w:t>
      </w:r>
      <w:r>
        <w:rPr>
          <w:spacing w:val="-8"/>
          <w:sz w:val="22"/>
        </w:rPr>
        <w:t> </w:t>
      </w:r>
      <w:r>
        <w:rPr>
          <w:sz w:val="22"/>
        </w:rPr>
        <w:t>selection</w:t>
      </w:r>
      <w:r>
        <w:rPr>
          <w:spacing w:val="-8"/>
          <w:sz w:val="22"/>
        </w:rPr>
        <w:t> </w:t>
      </w:r>
      <w:r>
        <w:rPr>
          <w:sz w:val="22"/>
        </w:rPr>
        <w:t>process </w:t>
      </w:r>
      <w:r>
        <w:rPr>
          <w:spacing w:val="-2"/>
          <w:sz w:val="22"/>
        </w:rPr>
        <w:t>7-1-12</w:t>
      </w:r>
      <w:r>
        <w:rPr>
          <w:sz w:val="22"/>
        </w:rPr>
        <w:tab/>
        <w:t>Permanent, updated language</w:t>
      </w:r>
    </w:p>
    <w:p>
      <w:pPr>
        <w:tabs>
          <w:tab w:pos="1439" w:val="left" w:leader="none"/>
        </w:tabs>
        <w:spacing w:line="253" w:lineRule="exact" w:before="1"/>
        <w:ind w:left="360" w:right="0" w:firstLine="0"/>
        <w:jc w:val="left"/>
        <w:rPr>
          <w:sz w:val="22"/>
        </w:rPr>
      </w:pPr>
      <w:r>
        <w:rPr>
          <w:spacing w:val="-2"/>
          <w:sz w:val="22"/>
        </w:rPr>
        <w:t>9-12-</w:t>
      </w:r>
      <w:r>
        <w:rPr>
          <w:spacing w:val="-5"/>
          <w:sz w:val="22"/>
        </w:rPr>
        <w:t>14</w:t>
      </w:r>
      <w:r>
        <w:rPr>
          <w:sz w:val="22"/>
        </w:rPr>
        <w:tab/>
        <w:t>Updated</w:t>
      </w:r>
      <w:r>
        <w:rPr>
          <w:spacing w:val="-10"/>
          <w:sz w:val="22"/>
        </w:rPr>
        <w:t> </w:t>
      </w:r>
      <w:r>
        <w:rPr>
          <w:spacing w:val="-2"/>
          <w:sz w:val="22"/>
        </w:rPr>
        <w:t>language</w:t>
      </w:r>
    </w:p>
    <w:p>
      <w:pPr>
        <w:tabs>
          <w:tab w:pos="1439" w:val="left" w:leader="none"/>
        </w:tabs>
        <w:spacing w:before="0"/>
        <w:ind w:left="1439" w:right="1028" w:hanging="1080"/>
        <w:jc w:val="left"/>
        <w:rPr>
          <w:sz w:val="22"/>
        </w:rPr>
      </w:pPr>
      <w:r>
        <w:rPr>
          <w:spacing w:val="-2"/>
          <w:sz w:val="22"/>
        </w:rPr>
        <w:t>8-27-15</w:t>
      </w:r>
      <w:r>
        <w:rPr>
          <w:sz w:val="22"/>
        </w:rPr>
        <w:tab/>
        <w:t>Language</w:t>
      </w:r>
      <w:r>
        <w:rPr>
          <w:spacing w:val="-5"/>
          <w:sz w:val="22"/>
        </w:rPr>
        <w:t> </w:t>
      </w:r>
      <w:r>
        <w:rPr>
          <w:sz w:val="22"/>
        </w:rPr>
        <w:t>deleted</w:t>
      </w:r>
      <w:r>
        <w:rPr>
          <w:spacing w:val="-5"/>
          <w:sz w:val="22"/>
        </w:rPr>
        <w:t> </w:t>
      </w:r>
      <w:r>
        <w:rPr>
          <w:sz w:val="22"/>
        </w:rPr>
        <w:t>in</w:t>
      </w:r>
      <w:r>
        <w:rPr>
          <w:spacing w:val="-5"/>
          <w:sz w:val="22"/>
        </w:rPr>
        <w:t> </w:t>
      </w:r>
      <w:r>
        <w:rPr>
          <w:sz w:val="22"/>
        </w:rPr>
        <w:t>section</w:t>
      </w:r>
      <w:r>
        <w:rPr>
          <w:spacing w:val="-5"/>
          <w:sz w:val="22"/>
        </w:rPr>
        <w:t> </w:t>
      </w:r>
      <w:r>
        <w:rPr>
          <w:sz w:val="22"/>
        </w:rPr>
        <w:t>(c)</w:t>
      </w:r>
      <w:r>
        <w:rPr>
          <w:spacing w:val="-5"/>
          <w:sz w:val="22"/>
        </w:rPr>
        <w:t> </w:t>
      </w:r>
      <w:r>
        <w:rPr>
          <w:sz w:val="22"/>
        </w:rPr>
        <w:t>subsection</w:t>
      </w:r>
      <w:r>
        <w:rPr>
          <w:spacing w:val="-5"/>
          <w:sz w:val="22"/>
        </w:rPr>
        <w:t> </w:t>
      </w:r>
      <w:r>
        <w:rPr>
          <w:sz w:val="22"/>
        </w:rPr>
        <w:t>(2)</w:t>
      </w:r>
      <w:r>
        <w:rPr>
          <w:spacing w:val="-5"/>
          <w:sz w:val="22"/>
        </w:rPr>
        <w:t> </w:t>
      </w:r>
      <w:r>
        <w:rPr>
          <w:sz w:val="22"/>
        </w:rPr>
        <w:t>regarding</w:t>
      </w:r>
      <w:r>
        <w:rPr>
          <w:spacing w:val="-5"/>
          <w:sz w:val="22"/>
        </w:rPr>
        <w:t> </w:t>
      </w:r>
      <w:r>
        <w:rPr>
          <w:sz w:val="22"/>
        </w:rPr>
        <w:t>substituted</w:t>
      </w:r>
      <w:r>
        <w:rPr>
          <w:spacing w:val="-5"/>
          <w:sz w:val="22"/>
        </w:rPr>
        <w:t> </w:t>
      </w:r>
      <w:r>
        <w:rPr>
          <w:sz w:val="22"/>
        </w:rPr>
        <w:t>management experience and section (e) regarding a displaced licensed manager.</w:t>
      </w:r>
    </w:p>
    <w:p>
      <w:pPr>
        <w:tabs>
          <w:tab w:pos="1439" w:val="left" w:leader="none"/>
        </w:tabs>
        <w:spacing w:before="0"/>
        <w:ind w:left="1439" w:right="894" w:hanging="1080"/>
        <w:jc w:val="left"/>
        <w:rPr>
          <w:sz w:val="22"/>
        </w:rPr>
      </w:pPr>
      <w:r>
        <w:rPr>
          <w:spacing w:val="-2"/>
          <w:sz w:val="22"/>
        </w:rPr>
        <w:t>9-11-22</w:t>
      </w:r>
      <w:r>
        <w:rPr>
          <w:sz w:val="22"/>
        </w:rPr>
        <w:tab/>
        <w:t>The</w:t>
      </w:r>
      <w:r>
        <w:rPr>
          <w:spacing w:val="-4"/>
          <w:sz w:val="22"/>
        </w:rPr>
        <w:t> </w:t>
      </w:r>
      <w:r>
        <w:rPr>
          <w:sz w:val="22"/>
        </w:rPr>
        <w:t>proposed</w:t>
      </w:r>
      <w:r>
        <w:rPr>
          <w:spacing w:val="-4"/>
          <w:sz w:val="22"/>
        </w:rPr>
        <w:t> </w:t>
      </w:r>
      <w:r>
        <w:rPr>
          <w:sz w:val="22"/>
        </w:rPr>
        <w:t>revision</w:t>
      </w:r>
      <w:r>
        <w:rPr>
          <w:spacing w:val="-7"/>
          <w:sz w:val="22"/>
        </w:rPr>
        <w:t> </w:t>
      </w:r>
      <w:r>
        <w:rPr>
          <w:sz w:val="22"/>
        </w:rPr>
        <w:t>clarifies</w:t>
      </w:r>
      <w:r>
        <w:rPr>
          <w:spacing w:val="-4"/>
          <w:sz w:val="22"/>
        </w:rPr>
        <w:t> </w:t>
      </w:r>
      <w:r>
        <w:rPr>
          <w:sz w:val="22"/>
        </w:rPr>
        <w:t>language</w:t>
      </w:r>
      <w:r>
        <w:rPr>
          <w:spacing w:val="-4"/>
          <w:sz w:val="22"/>
        </w:rPr>
        <w:t> </w:t>
      </w:r>
      <w:r>
        <w:rPr>
          <w:sz w:val="22"/>
        </w:rPr>
        <w:t>regarding</w:t>
      </w:r>
      <w:r>
        <w:rPr>
          <w:spacing w:val="-4"/>
          <w:sz w:val="22"/>
        </w:rPr>
        <w:t> </w:t>
      </w:r>
      <w:r>
        <w:rPr>
          <w:sz w:val="22"/>
        </w:rPr>
        <w:t>eligibility</w:t>
      </w:r>
      <w:r>
        <w:rPr>
          <w:spacing w:val="-5"/>
          <w:sz w:val="22"/>
        </w:rPr>
        <w:t> </w:t>
      </w:r>
      <w:r>
        <w:rPr>
          <w:sz w:val="22"/>
        </w:rPr>
        <w:t>to</w:t>
      </w:r>
      <w:r>
        <w:rPr>
          <w:spacing w:val="-4"/>
          <w:sz w:val="22"/>
        </w:rPr>
        <w:t> </w:t>
      </w:r>
      <w:r>
        <w:rPr>
          <w:sz w:val="22"/>
        </w:rPr>
        <w:t>obtain</w:t>
      </w:r>
      <w:r>
        <w:rPr>
          <w:spacing w:val="-4"/>
          <w:sz w:val="22"/>
        </w:rPr>
        <w:t> </w:t>
      </w:r>
      <w:r>
        <w:rPr>
          <w:sz w:val="22"/>
        </w:rPr>
        <w:t>an</w:t>
      </w:r>
      <w:r>
        <w:rPr>
          <w:spacing w:val="-5"/>
          <w:sz w:val="22"/>
        </w:rPr>
        <w:t> </w:t>
      </w:r>
      <w:r>
        <w:rPr>
          <w:sz w:val="22"/>
        </w:rPr>
        <w:t>Oklahoma Tax Permit. Revised section (f) to include good standing with the Oklahoma Tax Commission for assigned, transferred or satellite business enterprises.</w:t>
      </w:r>
    </w:p>
    <w:p>
      <w:pPr>
        <w:spacing w:after="0"/>
        <w:jc w:val="left"/>
        <w:rPr>
          <w:sz w:val="22"/>
        </w:rPr>
        <w:sectPr>
          <w:pgSz w:w="12240" w:h="15840"/>
          <w:pgMar w:top="1340" w:bottom="280" w:left="1080" w:right="720"/>
        </w:sectPr>
      </w:pPr>
    </w:p>
    <w:p>
      <w:pPr>
        <w:pStyle w:val="Heading2"/>
      </w:pPr>
      <w:bookmarkStart w:name="612:25-4-56.  Applications" w:id="407"/>
      <w:bookmarkEnd w:id="407"/>
      <w:r>
        <w:rPr>
          <w:b w:val="0"/>
        </w:rPr>
      </w:r>
      <w:r>
        <w:rPr/>
        <w:t>612:25-4-56.</w:t>
      </w:r>
      <w:r>
        <w:rPr>
          <w:spacing w:val="58"/>
        </w:rPr>
        <w:t> </w:t>
      </w:r>
      <w:r>
        <w:rPr>
          <w:spacing w:val="-2"/>
        </w:rPr>
        <w:t>Applications</w:t>
      </w:r>
    </w:p>
    <w:p>
      <w:pPr>
        <w:pStyle w:val="ListParagraph"/>
        <w:numPr>
          <w:ilvl w:val="0"/>
          <w:numId w:val="388"/>
        </w:numPr>
        <w:tabs>
          <w:tab w:pos="786" w:val="left" w:leader="none"/>
        </w:tabs>
        <w:spacing w:line="208" w:lineRule="auto" w:before="233" w:after="0"/>
        <w:ind w:left="360" w:right="751" w:firstLine="0"/>
        <w:jc w:val="left"/>
        <w:rPr>
          <w:sz w:val="24"/>
        </w:rPr>
      </w:pPr>
      <w:r>
        <w:rPr>
          <w:sz w:val="24"/>
        </w:rPr>
        <w:t>Applications must be received in the BEP Headquarters by the deadline date and time</w:t>
      </w:r>
      <w:r>
        <w:rPr>
          <w:spacing w:val="-3"/>
          <w:sz w:val="24"/>
        </w:rPr>
        <w:t> </w:t>
      </w:r>
      <w:r>
        <w:rPr>
          <w:sz w:val="24"/>
        </w:rPr>
        <w:t>in</w:t>
      </w:r>
      <w:r>
        <w:rPr>
          <w:spacing w:val="-4"/>
          <w:sz w:val="24"/>
        </w:rPr>
        <w:t> </w:t>
      </w:r>
      <w:r>
        <w:rPr>
          <w:sz w:val="24"/>
        </w:rPr>
        <w:t>order</w:t>
      </w:r>
      <w:r>
        <w:rPr>
          <w:spacing w:val="-3"/>
          <w:sz w:val="24"/>
        </w:rPr>
        <w:t> </w:t>
      </w:r>
      <w:r>
        <w:rPr>
          <w:sz w:val="24"/>
        </w:rPr>
        <w:t>to</w:t>
      </w:r>
      <w:r>
        <w:rPr>
          <w:spacing w:val="-3"/>
          <w:sz w:val="24"/>
        </w:rPr>
        <w:t> </w:t>
      </w:r>
      <w:r>
        <w:rPr>
          <w:sz w:val="24"/>
        </w:rPr>
        <w:t>be</w:t>
      </w:r>
      <w:r>
        <w:rPr>
          <w:spacing w:val="-4"/>
          <w:sz w:val="24"/>
        </w:rPr>
        <w:t> </w:t>
      </w:r>
      <w:r>
        <w:rPr>
          <w:sz w:val="24"/>
        </w:rPr>
        <w:t>considered.</w:t>
      </w:r>
      <w:r>
        <w:rPr>
          <w:spacing w:val="-3"/>
          <w:sz w:val="24"/>
        </w:rPr>
        <w:t> </w:t>
      </w:r>
      <w:r>
        <w:rPr>
          <w:sz w:val="24"/>
        </w:rPr>
        <w:t>The</w:t>
      </w:r>
      <w:r>
        <w:rPr>
          <w:spacing w:val="-3"/>
          <w:sz w:val="24"/>
        </w:rPr>
        <w:t> </w:t>
      </w:r>
      <w:r>
        <w:rPr>
          <w:sz w:val="24"/>
        </w:rPr>
        <w:t>applications</w:t>
      </w:r>
      <w:r>
        <w:rPr>
          <w:spacing w:val="-4"/>
          <w:sz w:val="24"/>
        </w:rPr>
        <w:t> </w:t>
      </w:r>
      <w:r>
        <w:rPr>
          <w:sz w:val="24"/>
        </w:rPr>
        <w:t>may</w:t>
      </w:r>
      <w:r>
        <w:rPr>
          <w:spacing w:val="-3"/>
          <w:sz w:val="24"/>
        </w:rPr>
        <w:t> </w:t>
      </w:r>
      <w:r>
        <w:rPr>
          <w:sz w:val="24"/>
        </w:rPr>
        <w:t>be</w:t>
      </w:r>
      <w:r>
        <w:rPr>
          <w:spacing w:val="-4"/>
          <w:sz w:val="24"/>
        </w:rPr>
        <w:t> </w:t>
      </w:r>
      <w:r>
        <w:rPr>
          <w:sz w:val="24"/>
        </w:rPr>
        <w:t>mailed,</w:t>
      </w:r>
      <w:r>
        <w:rPr>
          <w:spacing w:val="-3"/>
          <w:sz w:val="24"/>
        </w:rPr>
        <w:t> </w:t>
      </w:r>
      <w:r>
        <w:rPr>
          <w:sz w:val="24"/>
        </w:rPr>
        <w:t>emailed,</w:t>
      </w:r>
      <w:r>
        <w:rPr>
          <w:spacing w:val="-3"/>
          <w:sz w:val="24"/>
        </w:rPr>
        <w:t> </w:t>
      </w:r>
      <w:r>
        <w:rPr>
          <w:sz w:val="24"/>
        </w:rPr>
        <w:t>faxed,</w:t>
      </w:r>
      <w:r>
        <w:rPr>
          <w:spacing w:val="-3"/>
          <w:sz w:val="24"/>
        </w:rPr>
        <w:t> </w:t>
      </w:r>
      <w:r>
        <w:rPr>
          <w:sz w:val="24"/>
        </w:rPr>
        <w:t>or</w:t>
      </w:r>
      <w:r>
        <w:rPr>
          <w:spacing w:val="-3"/>
          <w:sz w:val="24"/>
        </w:rPr>
        <w:t> </w:t>
      </w:r>
      <w:r>
        <w:rPr>
          <w:sz w:val="24"/>
        </w:rPr>
        <w:t>hand </w:t>
      </w:r>
      <w:r>
        <w:rPr>
          <w:spacing w:val="-2"/>
          <w:sz w:val="24"/>
        </w:rPr>
        <w:t>delivered.</w:t>
      </w:r>
    </w:p>
    <w:p>
      <w:pPr>
        <w:pStyle w:val="ListParagraph"/>
        <w:numPr>
          <w:ilvl w:val="0"/>
          <w:numId w:val="388"/>
        </w:numPr>
        <w:tabs>
          <w:tab w:pos="786" w:val="left" w:leader="none"/>
        </w:tabs>
        <w:spacing w:line="208" w:lineRule="auto" w:before="240" w:after="0"/>
        <w:ind w:left="360" w:right="941" w:firstLine="0"/>
        <w:jc w:val="left"/>
        <w:rPr>
          <w:sz w:val="24"/>
        </w:rPr>
      </w:pPr>
      <w:r>
        <w:rPr>
          <w:sz w:val="24"/>
        </w:rPr>
        <w:t>Applications</w:t>
      </w:r>
      <w:r>
        <w:rPr>
          <w:spacing w:val="-4"/>
          <w:sz w:val="24"/>
        </w:rPr>
        <w:t> </w:t>
      </w:r>
      <w:r>
        <w:rPr>
          <w:sz w:val="24"/>
        </w:rPr>
        <w:t>received</w:t>
      </w:r>
      <w:r>
        <w:rPr>
          <w:spacing w:val="-4"/>
          <w:sz w:val="24"/>
        </w:rPr>
        <w:t> </w:t>
      </w:r>
      <w:r>
        <w:rPr>
          <w:sz w:val="24"/>
        </w:rPr>
        <w:t>by</w:t>
      </w:r>
      <w:r>
        <w:rPr>
          <w:spacing w:val="-4"/>
          <w:sz w:val="24"/>
        </w:rPr>
        <w:t> </w:t>
      </w:r>
      <w:r>
        <w:rPr>
          <w:sz w:val="24"/>
        </w:rPr>
        <w:t>the</w:t>
      </w:r>
      <w:r>
        <w:rPr>
          <w:spacing w:val="-4"/>
          <w:sz w:val="24"/>
        </w:rPr>
        <w:t> </w:t>
      </w:r>
      <w:r>
        <w:rPr>
          <w:sz w:val="24"/>
        </w:rPr>
        <w:t>announcement</w:t>
      </w:r>
      <w:r>
        <w:rPr>
          <w:spacing w:val="-3"/>
          <w:sz w:val="24"/>
        </w:rPr>
        <w:t> </w:t>
      </w:r>
      <w:r>
        <w:rPr>
          <w:sz w:val="24"/>
        </w:rPr>
        <w:t>expiration</w:t>
      </w:r>
      <w:r>
        <w:rPr>
          <w:spacing w:val="-4"/>
          <w:sz w:val="24"/>
        </w:rPr>
        <w:t> </w:t>
      </w:r>
      <w:r>
        <w:rPr>
          <w:sz w:val="24"/>
        </w:rPr>
        <w:t>date</w:t>
      </w:r>
      <w:r>
        <w:rPr>
          <w:spacing w:val="-4"/>
          <w:sz w:val="24"/>
        </w:rPr>
        <w:t> </w:t>
      </w:r>
      <w:r>
        <w:rPr>
          <w:sz w:val="24"/>
        </w:rPr>
        <w:t>and</w:t>
      </w:r>
      <w:r>
        <w:rPr>
          <w:spacing w:val="-4"/>
          <w:sz w:val="24"/>
        </w:rPr>
        <w:t> </w:t>
      </w:r>
      <w:r>
        <w:rPr>
          <w:sz w:val="24"/>
        </w:rPr>
        <w:t>time</w:t>
      </w:r>
      <w:r>
        <w:rPr>
          <w:spacing w:val="-4"/>
          <w:sz w:val="24"/>
        </w:rPr>
        <w:t> </w:t>
      </w:r>
      <w:r>
        <w:rPr>
          <w:sz w:val="24"/>
        </w:rPr>
        <w:t>are</w:t>
      </w:r>
      <w:r>
        <w:rPr>
          <w:spacing w:val="-5"/>
          <w:sz w:val="24"/>
        </w:rPr>
        <w:t> </w:t>
      </w:r>
      <w:r>
        <w:rPr>
          <w:sz w:val="24"/>
        </w:rPr>
        <w:t>reviewed to determine if the applicant meets the basic qualifications.</w:t>
      </w:r>
    </w:p>
    <w:p>
      <w:pPr>
        <w:pStyle w:val="ListParagraph"/>
        <w:numPr>
          <w:ilvl w:val="0"/>
          <w:numId w:val="388"/>
        </w:numPr>
        <w:tabs>
          <w:tab w:pos="773" w:val="left" w:leader="none"/>
        </w:tabs>
        <w:spacing w:line="208" w:lineRule="auto" w:before="239" w:after="0"/>
        <w:ind w:left="360" w:right="1527" w:firstLine="0"/>
        <w:jc w:val="left"/>
        <w:rPr>
          <w:sz w:val="24"/>
        </w:rPr>
      </w:pPr>
      <w:r>
        <w:rPr>
          <w:sz w:val="24"/>
        </w:rPr>
        <w:t>All eligible applicants will be scheduled for an interview with the Selection Committee.</w:t>
      </w:r>
      <w:r>
        <w:rPr>
          <w:spacing w:val="-5"/>
          <w:sz w:val="24"/>
        </w:rPr>
        <w:t> </w:t>
      </w:r>
      <w:r>
        <w:rPr>
          <w:sz w:val="24"/>
        </w:rPr>
        <w:t>Applicants</w:t>
      </w:r>
      <w:r>
        <w:rPr>
          <w:spacing w:val="-4"/>
          <w:sz w:val="24"/>
        </w:rPr>
        <w:t> </w:t>
      </w:r>
      <w:r>
        <w:rPr>
          <w:sz w:val="24"/>
        </w:rPr>
        <w:t>who</w:t>
      </w:r>
      <w:r>
        <w:rPr>
          <w:spacing w:val="-4"/>
          <w:sz w:val="24"/>
        </w:rPr>
        <w:t> </w:t>
      </w:r>
      <w:r>
        <w:rPr>
          <w:sz w:val="24"/>
        </w:rPr>
        <w:t>do</w:t>
      </w:r>
      <w:r>
        <w:rPr>
          <w:spacing w:val="-4"/>
          <w:sz w:val="24"/>
        </w:rPr>
        <w:t> </w:t>
      </w:r>
      <w:r>
        <w:rPr>
          <w:sz w:val="24"/>
        </w:rPr>
        <w:t>not</w:t>
      </w:r>
      <w:r>
        <w:rPr>
          <w:spacing w:val="-3"/>
          <w:sz w:val="24"/>
        </w:rPr>
        <w:t> </w:t>
      </w:r>
      <w:r>
        <w:rPr>
          <w:sz w:val="24"/>
        </w:rPr>
        <w:t>meet</w:t>
      </w:r>
      <w:r>
        <w:rPr>
          <w:spacing w:val="-5"/>
          <w:sz w:val="24"/>
        </w:rPr>
        <w:t> </w:t>
      </w:r>
      <w:r>
        <w:rPr>
          <w:sz w:val="24"/>
        </w:rPr>
        <w:t>the</w:t>
      </w:r>
      <w:r>
        <w:rPr>
          <w:spacing w:val="-5"/>
          <w:sz w:val="24"/>
        </w:rPr>
        <w:t> </w:t>
      </w:r>
      <w:r>
        <w:rPr>
          <w:sz w:val="24"/>
        </w:rPr>
        <w:t>basic</w:t>
      </w:r>
      <w:r>
        <w:rPr>
          <w:spacing w:val="-4"/>
          <w:sz w:val="24"/>
        </w:rPr>
        <w:t> </w:t>
      </w:r>
      <w:r>
        <w:rPr>
          <w:sz w:val="24"/>
        </w:rPr>
        <w:t>qualifications</w:t>
      </w:r>
      <w:r>
        <w:rPr>
          <w:spacing w:val="-4"/>
          <w:sz w:val="24"/>
        </w:rPr>
        <w:t> </w:t>
      </w:r>
      <w:r>
        <w:rPr>
          <w:sz w:val="24"/>
        </w:rPr>
        <w:t>will</w:t>
      </w:r>
      <w:r>
        <w:rPr>
          <w:spacing w:val="-3"/>
          <w:sz w:val="24"/>
        </w:rPr>
        <w:t> </w:t>
      </w:r>
      <w:r>
        <w:rPr>
          <w:sz w:val="24"/>
        </w:rPr>
        <w:t>be</w:t>
      </w:r>
      <w:r>
        <w:rPr>
          <w:spacing w:val="-4"/>
          <w:sz w:val="24"/>
        </w:rPr>
        <w:t> </w:t>
      </w:r>
      <w:r>
        <w:rPr>
          <w:sz w:val="24"/>
        </w:rPr>
        <w:t>notified</w:t>
      </w:r>
      <w:r>
        <w:rPr>
          <w:spacing w:val="-4"/>
          <w:sz w:val="24"/>
        </w:rPr>
        <w:t> </w:t>
      </w:r>
      <w:r>
        <w:rPr>
          <w:sz w:val="24"/>
        </w:rPr>
        <w:t>in </w:t>
      </w:r>
      <w:r>
        <w:rPr>
          <w:spacing w:val="-2"/>
          <w:sz w:val="24"/>
        </w:rPr>
        <w:t>writing.</w:t>
      </w:r>
    </w:p>
    <w:p>
      <w:pPr>
        <w:pStyle w:val="ListParagraph"/>
        <w:numPr>
          <w:ilvl w:val="0"/>
          <w:numId w:val="388"/>
        </w:numPr>
        <w:tabs>
          <w:tab w:pos="785" w:val="left" w:leader="none"/>
        </w:tabs>
        <w:spacing w:line="208" w:lineRule="auto" w:before="240" w:after="0"/>
        <w:ind w:left="360" w:right="756" w:firstLine="0"/>
        <w:jc w:val="left"/>
        <w:rPr>
          <w:sz w:val="24"/>
        </w:rPr>
      </w:pPr>
      <w:r>
        <w:rPr>
          <w:sz w:val="24"/>
        </w:rPr>
        <w:t>Included with each application an OTC form A-100, Disclosure of Tax Information Authorization, will be completed and submitted.</w:t>
      </w:r>
      <w:r>
        <w:rPr>
          <w:spacing w:val="40"/>
          <w:sz w:val="24"/>
        </w:rPr>
        <w:t> </w:t>
      </w:r>
      <w:r>
        <w:rPr>
          <w:sz w:val="24"/>
        </w:rPr>
        <w:t>This form will be used to accomplish a one-time</w:t>
      </w:r>
      <w:r>
        <w:rPr>
          <w:spacing w:val="-3"/>
          <w:sz w:val="24"/>
        </w:rPr>
        <w:t> </w:t>
      </w:r>
      <w:r>
        <w:rPr>
          <w:sz w:val="24"/>
        </w:rPr>
        <w:t>inquiry</w:t>
      </w:r>
      <w:r>
        <w:rPr>
          <w:spacing w:val="-3"/>
          <w:sz w:val="24"/>
        </w:rPr>
        <w:t> </w:t>
      </w:r>
      <w:r>
        <w:rPr>
          <w:sz w:val="24"/>
        </w:rPr>
        <w:t>as</w:t>
      </w:r>
      <w:r>
        <w:rPr>
          <w:spacing w:val="-3"/>
          <w:sz w:val="24"/>
        </w:rPr>
        <w:t> </w:t>
      </w:r>
      <w:r>
        <w:rPr>
          <w:sz w:val="24"/>
        </w:rPr>
        <w:t>to</w:t>
      </w:r>
      <w:r>
        <w:rPr>
          <w:spacing w:val="-4"/>
          <w:sz w:val="24"/>
        </w:rPr>
        <w:t> </w:t>
      </w:r>
      <w:r>
        <w:rPr>
          <w:sz w:val="24"/>
        </w:rPr>
        <w:t>their</w:t>
      </w:r>
      <w:r>
        <w:rPr>
          <w:spacing w:val="-2"/>
          <w:sz w:val="24"/>
        </w:rPr>
        <w:t> </w:t>
      </w:r>
      <w:r>
        <w:rPr>
          <w:sz w:val="24"/>
        </w:rPr>
        <w:t>sales</w:t>
      </w:r>
      <w:r>
        <w:rPr>
          <w:spacing w:val="-3"/>
          <w:sz w:val="24"/>
        </w:rPr>
        <w:t> </w:t>
      </w:r>
      <w:r>
        <w:rPr>
          <w:sz w:val="24"/>
        </w:rPr>
        <w:t>tax</w:t>
      </w:r>
      <w:r>
        <w:rPr>
          <w:spacing w:val="-3"/>
          <w:sz w:val="24"/>
        </w:rPr>
        <w:t> </w:t>
      </w:r>
      <w:r>
        <w:rPr>
          <w:sz w:val="24"/>
        </w:rPr>
        <w:t>and</w:t>
      </w:r>
      <w:r>
        <w:rPr>
          <w:spacing w:val="-3"/>
          <w:sz w:val="24"/>
        </w:rPr>
        <w:t> </w:t>
      </w:r>
      <w:r>
        <w:rPr>
          <w:sz w:val="24"/>
        </w:rPr>
        <w:t>tax</w:t>
      </w:r>
      <w:r>
        <w:rPr>
          <w:spacing w:val="-4"/>
          <w:sz w:val="24"/>
        </w:rPr>
        <w:t> </w:t>
      </w:r>
      <w:r>
        <w:rPr>
          <w:sz w:val="24"/>
        </w:rPr>
        <w:t>permit</w:t>
      </w:r>
      <w:r>
        <w:rPr>
          <w:spacing w:val="-2"/>
          <w:sz w:val="24"/>
        </w:rPr>
        <w:t> </w:t>
      </w:r>
      <w:r>
        <w:rPr>
          <w:sz w:val="24"/>
        </w:rPr>
        <w:t>status.</w:t>
      </w:r>
      <w:r>
        <w:rPr>
          <w:spacing w:val="40"/>
          <w:sz w:val="24"/>
        </w:rPr>
        <w:t> </w:t>
      </w:r>
      <w:r>
        <w:rPr>
          <w:sz w:val="24"/>
        </w:rPr>
        <w:t>This</w:t>
      </w:r>
      <w:r>
        <w:rPr>
          <w:spacing w:val="-3"/>
          <w:sz w:val="24"/>
        </w:rPr>
        <w:t> </w:t>
      </w:r>
      <w:r>
        <w:rPr>
          <w:sz w:val="24"/>
        </w:rPr>
        <w:t>form</w:t>
      </w:r>
      <w:r>
        <w:rPr>
          <w:spacing w:val="-2"/>
          <w:sz w:val="24"/>
        </w:rPr>
        <w:t> </w:t>
      </w:r>
      <w:r>
        <w:rPr>
          <w:sz w:val="24"/>
        </w:rPr>
        <w:t>will</w:t>
      </w:r>
      <w:r>
        <w:rPr>
          <w:spacing w:val="-3"/>
          <w:sz w:val="24"/>
        </w:rPr>
        <w:t> </w:t>
      </w:r>
      <w:r>
        <w:rPr>
          <w:sz w:val="24"/>
        </w:rPr>
        <w:t>be</w:t>
      </w:r>
      <w:r>
        <w:rPr>
          <w:spacing w:val="-3"/>
          <w:sz w:val="24"/>
        </w:rPr>
        <w:t> </w:t>
      </w:r>
      <w:r>
        <w:rPr>
          <w:sz w:val="24"/>
        </w:rPr>
        <w:t>issued</w:t>
      </w:r>
      <w:r>
        <w:rPr>
          <w:spacing w:val="-3"/>
          <w:sz w:val="24"/>
        </w:rPr>
        <w:t> </w:t>
      </w:r>
      <w:r>
        <w:rPr>
          <w:sz w:val="24"/>
        </w:rPr>
        <w:t>with the facility announcement.</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7-1-05</w:t>
      </w:r>
      <w:r>
        <w:rPr>
          <w:sz w:val="22"/>
        </w:rPr>
        <w:tab/>
        <w:t>PT Memo #06-01</w:t>
      </w:r>
    </w:p>
    <w:p>
      <w:pPr>
        <w:tabs>
          <w:tab w:pos="1439" w:val="left" w:leader="none"/>
        </w:tabs>
        <w:spacing w:before="0"/>
        <w:ind w:left="359" w:right="4840" w:firstLine="1080"/>
        <w:jc w:val="left"/>
        <w:rPr>
          <w:sz w:val="22"/>
        </w:rPr>
      </w:pPr>
      <w:r>
        <w:rPr>
          <w:sz w:val="22"/>
        </w:rPr>
        <w:t>Permanent,</w:t>
      </w:r>
      <w:r>
        <w:rPr>
          <w:spacing w:val="-9"/>
          <w:sz w:val="22"/>
        </w:rPr>
        <w:t> </w:t>
      </w:r>
      <w:r>
        <w:rPr>
          <w:sz w:val="22"/>
        </w:rPr>
        <w:t>clarification</w:t>
      </w:r>
      <w:r>
        <w:rPr>
          <w:spacing w:val="-10"/>
          <w:sz w:val="22"/>
        </w:rPr>
        <w:t> </w:t>
      </w:r>
      <w:r>
        <w:rPr>
          <w:sz w:val="22"/>
        </w:rPr>
        <w:t>of</w:t>
      </w:r>
      <w:r>
        <w:rPr>
          <w:spacing w:val="-10"/>
          <w:sz w:val="22"/>
        </w:rPr>
        <w:t> </w:t>
      </w:r>
      <w:r>
        <w:rPr>
          <w:sz w:val="22"/>
        </w:rPr>
        <w:t>policy,</w:t>
      </w:r>
      <w:r>
        <w:rPr>
          <w:spacing w:val="-10"/>
          <w:sz w:val="22"/>
        </w:rPr>
        <w:t> </w:t>
      </w:r>
      <w:r>
        <w:rPr>
          <w:sz w:val="22"/>
        </w:rPr>
        <w:t>interview </w:t>
      </w:r>
      <w:r>
        <w:rPr>
          <w:spacing w:val="-2"/>
          <w:sz w:val="22"/>
        </w:rPr>
        <w:t>7-1-12</w:t>
      </w:r>
      <w:r>
        <w:rPr>
          <w:sz w:val="22"/>
        </w:rPr>
        <w:tab/>
        <w:t>Permanent, updated language</w:t>
      </w:r>
    </w:p>
    <w:p>
      <w:pPr>
        <w:tabs>
          <w:tab w:pos="1439" w:val="left" w:leader="none"/>
        </w:tabs>
        <w:spacing w:before="0"/>
        <w:ind w:left="359" w:right="0" w:firstLine="0"/>
        <w:jc w:val="left"/>
        <w:rPr>
          <w:sz w:val="22"/>
        </w:rPr>
      </w:pPr>
      <w:r>
        <w:rPr>
          <w:spacing w:val="-2"/>
          <w:sz w:val="22"/>
        </w:rPr>
        <w:t>9-12-</w:t>
      </w:r>
      <w:r>
        <w:rPr>
          <w:spacing w:val="-5"/>
          <w:sz w:val="22"/>
        </w:rPr>
        <w:t>14</w:t>
      </w:r>
      <w:r>
        <w:rPr>
          <w:sz w:val="22"/>
        </w:rPr>
        <w:tab/>
        <w:t>Permanent,</w:t>
      </w:r>
      <w:r>
        <w:rPr>
          <w:spacing w:val="-10"/>
          <w:sz w:val="22"/>
        </w:rPr>
        <w:t> </w:t>
      </w:r>
      <w:r>
        <w:rPr>
          <w:sz w:val="22"/>
        </w:rPr>
        <w:t>updated</w:t>
      </w:r>
      <w:r>
        <w:rPr>
          <w:spacing w:val="-11"/>
          <w:sz w:val="22"/>
        </w:rPr>
        <w:t> </w:t>
      </w:r>
      <w:r>
        <w:rPr>
          <w:spacing w:val="-2"/>
          <w:sz w:val="22"/>
        </w:rPr>
        <w:t>language</w:t>
      </w:r>
    </w:p>
    <w:p>
      <w:pPr>
        <w:spacing w:after="0"/>
        <w:jc w:val="left"/>
        <w:rPr>
          <w:sz w:val="22"/>
        </w:rPr>
        <w:sectPr>
          <w:pgSz w:w="12240" w:h="15840"/>
          <w:pgMar w:top="1340" w:bottom="280" w:left="1080" w:right="720"/>
        </w:sectPr>
      </w:pPr>
    </w:p>
    <w:p>
      <w:pPr>
        <w:pStyle w:val="Heading2"/>
      </w:pPr>
      <w:bookmarkStart w:name="612:25-4-57.  Applicant Selection Commit" w:id="408"/>
      <w:bookmarkEnd w:id="408"/>
      <w:r>
        <w:rPr>
          <w:b w:val="0"/>
        </w:rPr>
      </w:r>
      <w:r>
        <w:rPr/>
        <w:t>612:25-4-57.</w:t>
      </w:r>
      <w:r>
        <w:rPr>
          <w:spacing w:val="56"/>
        </w:rPr>
        <w:t> </w:t>
      </w:r>
      <w:r>
        <w:rPr/>
        <w:t>Applicant</w:t>
      </w:r>
      <w:r>
        <w:rPr>
          <w:spacing w:val="-4"/>
        </w:rPr>
        <w:t> </w:t>
      </w:r>
      <w:r>
        <w:rPr/>
        <w:t>Selection</w:t>
      </w:r>
      <w:r>
        <w:rPr>
          <w:spacing w:val="-5"/>
        </w:rPr>
        <w:t> </w:t>
      </w:r>
      <w:r>
        <w:rPr>
          <w:spacing w:val="-2"/>
        </w:rPr>
        <w:t>Committee</w:t>
      </w:r>
    </w:p>
    <w:p>
      <w:pPr>
        <w:pStyle w:val="BodyText"/>
        <w:spacing w:line="208" w:lineRule="auto" w:before="233"/>
        <w:ind w:right="743" w:firstLine="432"/>
      </w:pPr>
      <w:r>
        <w:rPr>
          <w:b/>
        </w:rPr>
        <w:t>Selection Committee. </w:t>
      </w:r>
      <w:r>
        <w:rPr/>
        <w:t>The Selection Committee shall be established and</w:t>
      </w:r>
      <w:r>
        <w:rPr/>
        <w:t> convened</w:t>
      </w:r>
      <w:r>
        <w:rPr>
          <w:spacing w:val="-3"/>
        </w:rPr>
        <w:t> </w:t>
      </w:r>
      <w:r>
        <w:rPr/>
        <w:t>by</w:t>
      </w:r>
      <w:r>
        <w:rPr>
          <w:spacing w:val="-4"/>
        </w:rPr>
        <w:t> </w:t>
      </w:r>
      <w:r>
        <w:rPr/>
        <w:t>the</w:t>
      </w:r>
      <w:r>
        <w:rPr>
          <w:spacing w:val="-4"/>
        </w:rPr>
        <w:t> </w:t>
      </w:r>
      <w:r>
        <w:rPr/>
        <w:t>SLA.</w:t>
      </w:r>
      <w:r>
        <w:rPr>
          <w:spacing w:val="-3"/>
        </w:rPr>
        <w:t> </w:t>
      </w:r>
      <w:r>
        <w:rPr/>
        <w:t>The</w:t>
      </w:r>
      <w:r>
        <w:rPr>
          <w:spacing w:val="-4"/>
        </w:rPr>
        <w:t> </w:t>
      </w:r>
      <w:r>
        <w:rPr/>
        <w:t>Selection</w:t>
      </w:r>
      <w:r>
        <w:rPr>
          <w:spacing w:val="-4"/>
        </w:rPr>
        <w:t> </w:t>
      </w:r>
      <w:r>
        <w:rPr/>
        <w:t>Committee</w:t>
      </w:r>
      <w:r>
        <w:rPr>
          <w:spacing w:val="-4"/>
        </w:rPr>
        <w:t> </w:t>
      </w:r>
      <w:r>
        <w:rPr/>
        <w:t>will</w:t>
      </w:r>
      <w:r>
        <w:rPr>
          <w:spacing w:val="-4"/>
        </w:rPr>
        <w:t> </w:t>
      </w:r>
      <w:r>
        <w:rPr/>
        <w:t>consider</w:t>
      </w:r>
      <w:r>
        <w:rPr>
          <w:spacing w:val="-3"/>
        </w:rPr>
        <w:t> </w:t>
      </w:r>
      <w:r>
        <w:rPr/>
        <w:t>applicants</w:t>
      </w:r>
      <w:r>
        <w:rPr>
          <w:spacing w:val="-4"/>
        </w:rPr>
        <w:t> </w:t>
      </w:r>
      <w:r>
        <w:rPr/>
        <w:t>for</w:t>
      </w:r>
      <w:r>
        <w:rPr>
          <w:spacing w:val="-3"/>
        </w:rPr>
        <w:t> </w:t>
      </w:r>
      <w:r>
        <w:rPr/>
        <w:t>assignment. The Selection Committee shall make recommendation(s) to the BEP Operations Coordinator or designee.</w:t>
      </w:r>
    </w:p>
    <w:p>
      <w:pPr>
        <w:pStyle w:val="BodyText"/>
        <w:spacing w:line="208" w:lineRule="auto" w:before="239"/>
        <w:ind w:right="727"/>
      </w:pPr>
      <w:r>
        <w:rPr/>
        <w:t>The BEP selection committee is chaired by the BEP Operations Coordinator or designee.</w:t>
      </w:r>
      <w:r>
        <w:rPr>
          <w:spacing w:val="80"/>
        </w:rPr>
        <w:t> </w:t>
      </w:r>
      <w:r>
        <w:rPr/>
        <w:t>Members include two members of the SLA staff, the area member of the ECM</w:t>
      </w:r>
      <w:r>
        <w:rPr>
          <w:spacing w:val="-2"/>
        </w:rPr>
        <w:t> </w:t>
      </w:r>
      <w:r>
        <w:rPr/>
        <w:t>or</w:t>
      </w:r>
      <w:r>
        <w:rPr>
          <w:spacing w:val="-2"/>
        </w:rPr>
        <w:t> </w:t>
      </w:r>
      <w:r>
        <w:rPr/>
        <w:t>alternate</w:t>
      </w:r>
      <w:r>
        <w:rPr>
          <w:spacing w:val="-3"/>
        </w:rPr>
        <w:t> </w:t>
      </w:r>
      <w:r>
        <w:rPr/>
        <w:t>and</w:t>
      </w:r>
      <w:r>
        <w:rPr>
          <w:spacing w:val="-3"/>
        </w:rPr>
        <w:t> </w:t>
      </w:r>
      <w:r>
        <w:rPr/>
        <w:t>the</w:t>
      </w:r>
      <w:r>
        <w:rPr>
          <w:spacing w:val="-3"/>
        </w:rPr>
        <w:t> </w:t>
      </w:r>
      <w:r>
        <w:rPr/>
        <w:t>chairperson</w:t>
      </w:r>
      <w:r>
        <w:rPr>
          <w:spacing w:val="-3"/>
        </w:rPr>
        <w:t> </w:t>
      </w:r>
      <w:r>
        <w:rPr/>
        <w:t>of</w:t>
      </w:r>
      <w:r>
        <w:rPr>
          <w:spacing w:val="-2"/>
        </w:rPr>
        <w:t> </w:t>
      </w:r>
      <w:r>
        <w:rPr/>
        <w:t>the</w:t>
      </w:r>
      <w:r>
        <w:rPr>
          <w:spacing w:val="-4"/>
        </w:rPr>
        <w:t> </w:t>
      </w:r>
      <w:r>
        <w:rPr/>
        <w:t>ECM</w:t>
      </w:r>
      <w:r>
        <w:rPr>
          <w:spacing w:val="-2"/>
        </w:rPr>
        <w:t> </w:t>
      </w:r>
      <w:r>
        <w:rPr/>
        <w:t>or</w:t>
      </w:r>
      <w:r>
        <w:rPr>
          <w:spacing w:val="-2"/>
        </w:rPr>
        <w:t> </w:t>
      </w:r>
      <w:r>
        <w:rPr/>
        <w:t>alternate</w:t>
      </w:r>
      <w:r>
        <w:rPr>
          <w:spacing w:val="-3"/>
        </w:rPr>
        <w:t> </w:t>
      </w:r>
      <w:r>
        <w:rPr/>
        <w:t>(vice-chair</w:t>
      </w:r>
      <w:r>
        <w:rPr>
          <w:spacing w:val="-2"/>
        </w:rPr>
        <w:t> </w:t>
      </w:r>
      <w:r>
        <w:rPr/>
        <w:t>or</w:t>
      </w:r>
      <w:r>
        <w:rPr>
          <w:spacing w:val="-2"/>
        </w:rPr>
        <w:t> </w:t>
      </w:r>
      <w:r>
        <w:rPr/>
        <w:t>secretary</w:t>
      </w:r>
      <w:r>
        <w:rPr>
          <w:spacing w:val="-3"/>
        </w:rPr>
        <w:t> </w:t>
      </w:r>
      <w:r>
        <w:rPr/>
        <w:t>or another member of the ECM, in order).</w:t>
      </w:r>
      <w:r>
        <w:rPr>
          <w:spacing w:val="40"/>
        </w:rPr>
        <w:t> </w:t>
      </w:r>
      <w:r>
        <w:rPr/>
        <w:t>If no member of the ECM can serve in either capacity the BEP Operations Coordinator shall poll the licensed managers to complete the committee to complete the committee.</w:t>
      </w:r>
      <w:r>
        <w:rPr>
          <w:spacing w:val="40"/>
        </w:rPr>
        <w:t> </w:t>
      </w:r>
      <w:r>
        <w:rPr/>
        <w:t>No person can serve on the selection committee who has a conflict of interest or is related to an applicant.</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4-13-99</w:t>
      </w:r>
      <w:r>
        <w:rPr>
          <w:sz w:val="22"/>
        </w:rPr>
        <w:tab/>
        <w:t>PT Memo #99-7</w:t>
      </w:r>
    </w:p>
    <w:p>
      <w:pPr>
        <w:tabs>
          <w:tab w:pos="1439" w:val="left" w:leader="none"/>
        </w:tabs>
        <w:spacing w:before="0"/>
        <w:ind w:left="359" w:right="1576" w:firstLine="1080"/>
        <w:jc w:val="left"/>
        <w:rPr>
          <w:sz w:val="22"/>
        </w:rPr>
      </w:pPr>
      <w:r>
        <w:rPr>
          <w:sz w:val="22"/>
        </w:rPr>
        <w:t>Emergency,</w:t>
      </w:r>
      <w:r>
        <w:rPr>
          <w:spacing w:val="-5"/>
          <w:sz w:val="22"/>
        </w:rPr>
        <w:t> </w:t>
      </w:r>
      <w:r>
        <w:rPr>
          <w:sz w:val="22"/>
        </w:rPr>
        <w:t>amended</w:t>
      </w:r>
      <w:r>
        <w:rPr>
          <w:spacing w:val="-5"/>
          <w:sz w:val="22"/>
        </w:rPr>
        <w:t> </w:t>
      </w:r>
      <w:r>
        <w:rPr>
          <w:sz w:val="22"/>
        </w:rPr>
        <w:t>the</w:t>
      </w:r>
      <w:r>
        <w:rPr>
          <w:spacing w:val="-5"/>
          <w:sz w:val="22"/>
        </w:rPr>
        <w:t> </w:t>
      </w:r>
      <w:r>
        <w:rPr>
          <w:sz w:val="22"/>
        </w:rPr>
        <w:t>composition</w:t>
      </w:r>
      <w:r>
        <w:rPr>
          <w:spacing w:val="-5"/>
          <w:sz w:val="22"/>
        </w:rPr>
        <w:t> </w:t>
      </w:r>
      <w:r>
        <w:rPr>
          <w:sz w:val="22"/>
        </w:rPr>
        <w:t>of</w:t>
      </w:r>
      <w:r>
        <w:rPr>
          <w:spacing w:val="-5"/>
          <w:sz w:val="22"/>
        </w:rPr>
        <w:t> </w:t>
      </w:r>
      <w:r>
        <w:rPr>
          <w:sz w:val="22"/>
        </w:rPr>
        <w:t>the</w:t>
      </w:r>
      <w:r>
        <w:rPr>
          <w:spacing w:val="-5"/>
          <w:sz w:val="22"/>
        </w:rPr>
        <w:t> </w:t>
      </w:r>
      <w:r>
        <w:rPr>
          <w:sz w:val="22"/>
        </w:rPr>
        <w:t>Applicant</w:t>
      </w:r>
      <w:r>
        <w:rPr>
          <w:spacing w:val="-5"/>
          <w:sz w:val="22"/>
        </w:rPr>
        <w:t> </w:t>
      </w:r>
      <w:r>
        <w:rPr>
          <w:sz w:val="22"/>
        </w:rPr>
        <w:t>Selection</w:t>
      </w:r>
      <w:r>
        <w:rPr>
          <w:spacing w:val="-5"/>
          <w:sz w:val="22"/>
        </w:rPr>
        <w:t> </w:t>
      </w:r>
      <w:r>
        <w:rPr>
          <w:sz w:val="22"/>
        </w:rPr>
        <w:t>Committee </w:t>
      </w:r>
      <w:r>
        <w:rPr>
          <w:spacing w:val="-2"/>
          <w:sz w:val="22"/>
        </w:rPr>
        <w:t>7-1-02</w:t>
      </w:r>
      <w:r>
        <w:rPr>
          <w:sz w:val="22"/>
        </w:rPr>
        <w:tab/>
        <w:t>POL Memo #02-02</w:t>
      </w:r>
    </w:p>
    <w:p>
      <w:pPr>
        <w:tabs>
          <w:tab w:pos="1439" w:val="left" w:leader="none"/>
        </w:tabs>
        <w:spacing w:before="0"/>
        <w:ind w:left="359" w:right="3020" w:firstLine="1080"/>
        <w:jc w:val="left"/>
        <w:rPr>
          <w:sz w:val="22"/>
        </w:rPr>
      </w:pPr>
      <w:r>
        <w:rPr>
          <w:sz w:val="22"/>
        </w:rPr>
        <w:t>Permanent,</w:t>
      </w:r>
      <w:r>
        <w:rPr>
          <w:spacing w:val="-5"/>
          <w:sz w:val="22"/>
        </w:rPr>
        <w:t> </w:t>
      </w:r>
      <w:r>
        <w:rPr>
          <w:sz w:val="22"/>
        </w:rPr>
        <w:t>clarifies</w:t>
      </w:r>
      <w:r>
        <w:rPr>
          <w:spacing w:val="-6"/>
          <w:sz w:val="22"/>
        </w:rPr>
        <w:t> </w:t>
      </w:r>
      <w:r>
        <w:rPr>
          <w:sz w:val="22"/>
        </w:rPr>
        <w:t>the</w:t>
      </w:r>
      <w:r>
        <w:rPr>
          <w:spacing w:val="-7"/>
          <w:sz w:val="22"/>
        </w:rPr>
        <w:t> </w:t>
      </w:r>
      <w:r>
        <w:rPr>
          <w:sz w:val="22"/>
        </w:rPr>
        <w:t>structure</w:t>
      </w:r>
      <w:r>
        <w:rPr>
          <w:spacing w:val="-6"/>
          <w:sz w:val="22"/>
        </w:rPr>
        <w:t> </w:t>
      </w:r>
      <w:r>
        <w:rPr>
          <w:sz w:val="22"/>
        </w:rPr>
        <w:t>of</w:t>
      </w:r>
      <w:r>
        <w:rPr>
          <w:spacing w:val="-7"/>
          <w:sz w:val="22"/>
        </w:rPr>
        <w:t> </w:t>
      </w:r>
      <w:r>
        <w:rPr>
          <w:sz w:val="22"/>
        </w:rPr>
        <w:t>BEP</w:t>
      </w:r>
      <w:r>
        <w:rPr>
          <w:spacing w:val="-6"/>
          <w:sz w:val="22"/>
        </w:rPr>
        <w:t> </w:t>
      </w:r>
      <w:r>
        <w:rPr>
          <w:sz w:val="22"/>
        </w:rPr>
        <w:t>selection</w:t>
      </w:r>
      <w:r>
        <w:rPr>
          <w:spacing w:val="-6"/>
          <w:sz w:val="22"/>
        </w:rPr>
        <w:t> </w:t>
      </w:r>
      <w:r>
        <w:rPr>
          <w:sz w:val="22"/>
        </w:rPr>
        <w:t>committee </w:t>
      </w:r>
      <w:r>
        <w:rPr>
          <w:spacing w:val="-2"/>
          <w:sz w:val="22"/>
        </w:rPr>
        <w:t>7-1-05</w:t>
      </w:r>
      <w:r>
        <w:rPr>
          <w:sz w:val="22"/>
        </w:rPr>
        <w:tab/>
        <w:t>PT Memo #06-01</w:t>
      </w:r>
    </w:p>
    <w:p>
      <w:pPr>
        <w:spacing w:line="252" w:lineRule="exact" w:before="0"/>
        <w:ind w:left="1439" w:right="0" w:firstLine="0"/>
        <w:jc w:val="left"/>
        <w:rPr>
          <w:sz w:val="22"/>
        </w:rPr>
      </w:pPr>
      <w:r>
        <w:rPr>
          <w:sz w:val="22"/>
        </w:rPr>
        <w:t>Permanent,</w:t>
      </w:r>
      <w:r>
        <w:rPr>
          <w:spacing w:val="-8"/>
          <w:sz w:val="22"/>
        </w:rPr>
        <w:t> </w:t>
      </w:r>
      <w:r>
        <w:rPr>
          <w:sz w:val="22"/>
        </w:rPr>
        <w:t>clarification</w:t>
      </w:r>
      <w:r>
        <w:rPr>
          <w:spacing w:val="-10"/>
          <w:sz w:val="22"/>
        </w:rPr>
        <w:t> </w:t>
      </w:r>
      <w:r>
        <w:rPr>
          <w:sz w:val="22"/>
        </w:rPr>
        <w:t>of</w:t>
      </w:r>
      <w:r>
        <w:rPr>
          <w:spacing w:val="-9"/>
          <w:sz w:val="22"/>
        </w:rPr>
        <w:t> </w:t>
      </w:r>
      <w:r>
        <w:rPr>
          <w:sz w:val="22"/>
        </w:rPr>
        <w:t>policy,</w:t>
      </w:r>
      <w:r>
        <w:rPr>
          <w:spacing w:val="-9"/>
          <w:sz w:val="22"/>
        </w:rPr>
        <w:t> </w:t>
      </w:r>
      <w:r>
        <w:rPr>
          <w:sz w:val="22"/>
        </w:rPr>
        <w:t>selection</w:t>
      </w:r>
      <w:r>
        <w:rPr>
          <w:spacing w:val="-9"/>
          <w:sz w:val="22"/>
        </w:rPr>
        <w:t> </w:t>
      </w:r>
      <w:r>
        <w:rPr>
          <w:spacing w:val="-2"/>
          <w:sz w:val="22"/>
        </w:rPr>
        <w:t>process</w:t>
      </w:r>
    </w:p>
    <w:p>
      <w:pPr>
        <w:pStyle w:val="ListParagraph"/>
        <w:numPr>
          <w:ilvl w:val="2"/>
          <w:numId w:val="268"/>
        </w:numPr>
        <w:tabs>
          <w:tab w:pos="1439" w:val="left" w:leader="none"/>
        </w:tabs>
        <w:spacing w:line="240" w:lineRule="auto" w:before="1" w:after="0"/>
        <w:ind w:left="359" w:right="2749" w:firstLine="0"/>
        <w:jc w:val="left"/>
        <w:rPr>
          <w:sz w:val="22"/>
        </w:rPr>
      </w:pPr>
      <w:r>
        <w:rPr>
          <w:sz w:val="22"/>
        </w:rPr>
        <w:t>Permanent,</w:t>
      </w:r>
      <w:r>
        <w:rPr>
          <w:spacing w:val="-5"/>
          <w:sz w:val="22"/>
        </w:rPr>
        <w:t> </w:t>
      </w:r>
      <w:r>
        <w:rPr>
          <w:sz w:val="22"/>
        </w:rPr>
        <w:t>updating</w:t>
      </w:r>
      <w:r>
        <w:rPr>
          <w:spacing w:val="-6"/>
          <w:sz w:val="22"/>
        </w:rPr>
        <w:t> </w:t>
      </w:r>
      <w:r>
        <w:rPr>
          <w:sz w:val="22"/>
        </w:rPr>
        <w:t>staff</w:t>
      </w:r>
      <w:r>
        <w:rPr>
          <w:spacing w:val="-6"/>
          <w:sz w:val="22"/>
        </w:rPr>
        <w:t> </w:t>
      </w:r>
      <w:r>
        <w:rPr>
          <w:sz w:val="22"/>
        </w:rPr>
        <w:t>position</w:t>
      </w:r>
      <w:r>
        <w:rPr>
          <w:spacing w:val="-6"/>
          <w:sz w:val="22"/>
        </w:rPr>
        <w:t> </w:t>
      </w:r>
      <w:r>
        <w:rPr>
          <w:sz w:val="22"/>
        </w:rPr>
        <w:t>titles</w:t>
      </w:r>
      <w:r>
        <w:rPr>
          <w:spacing w:val="-6"/>
          <w:sz w:val="22"/>
        </w:rPr>
        <w:t> </w:t>
      </w:r>
      <w:r>
        <w:rPr>
          <w:sz w:val="22"/>
        </w:rPr>
        <w:t>and</w:t>
      </w:r>
      <w:r>
        <w:rPr>
          <w:spacing w:val="-6"/>
          <w:sz w:val="22"/>
        </w:rPr>
        <w:t> </w:t>
      </w:r>
      <w:r>
        <w:rPr>
          <w:sz w:val="22"/>
        </w:rPr>
        <w:t>correcting</w:t>
      </w:r>
      <w:r>
        <w:rPr>
          <w:spacing w:val="-6"/>
          <w:sz w:val="22"/>
        </w:rPr>
        <w:t> </w:t>
      </w:r>
      <w:r>
        <w:rPr>
          <w:sz w:val="22"/>
        </w:rPr>
        <w:t>grammar </w:t>
      </w:r>
      <w:r>
        <w:rPr>
          <w:spacing w:val="-2"/>
          <w:sz w:val="22"/>
        </w:rPr>
        <w:t>9-12-14</w:t>
      </w:r>
      <w:r>
        <w:rPr>
          <w:sz w:val="22"/>
        </w:rPr>
        <w:tab/>
        <w:t>Permanent, updating language</w:t>
      </w:r>
    </w:p>
    <w:p>
      <w:pPr>
        <w:tabs>
          <w:tab w:pos="1439" w:val="left" w:leader="none"/>
        </w:tabs>
        <w:spacing w:before="0"/>
        <w:ind w:left="359" w:right="0" w:firstLine="0"/>
        <w:jc w:val="left"/>
        <w:rPr>
          <w:sz w:val="22"/>
        </w:rPr>
      </w:pPr>
      <w:r>
        <w:rPr>
          <w:spacing w:val="-2"/>
          <w:sz w:val="22"/>
        </w:rPr>
        <w:t>8-27-</w:t>
      </w:r>
      <w:r>
        <w:rPr>
          <w:spacing w:val="-5"/>
          <w:sz w:val="22"/>
        </w:rPr>
        <w:t>15</w:t>
      </w:r>
      <w:r>
        <w:rPr>
          <w:sz w:val="22"/>
        </w:rPr>
        <w:tab/>
        <w:t>Updated</w:t>
      </w:r>
      <w:r>
        <w:rPr>
          <w:spacing w:val="-10"/>
          <w:sz w:val="22"/>
        </w:rPr>
        <w:t> </w:t>
      </w:r>
      <w:r>
        <w:rPr>
          <w:spacing w:val="-2"/>
          <w:sz w:val="22"/>
        </w:rPr>
        <w:t>language.</w:t>
      </w:r>
    </w:p>
    <w:p>
      <w:pPr>
        <w:tabs>
          <w:tab w:pos="1439" w:val="left" w:leader="none"/>
        </w:tabs>
        <w:spacing w:before="0"/>
        <w:ind w:left="359" w:right="0" w:firstLine="0"/>
        <w:jc w:val="left"/>
        <w:rPr>
          <w:sz w:val="22"/>
        </w:rPr>
      </w:pPr>
      <w:r>
        <w:rPr>
          <w:spacing w:val="-2"/>
          <w:sz w:val="22"/>
        </w:rPr>
        <w:t>9-11-</w:t>
      </w:r>
      <w:r>
        <w:rPr>
          <w:spacing w:val="-5"/>
          <w:sz w:val="22"/>
        </w:rPr>
        <w:t>22</w:t>
      </w:r>
      <w:r>
        <w:rPr>
          <w:sz w:val="22"/>
        </w:rPr>
        <w:tab/>
        <w:t>Removal</w:t>
      </w:r>
      <w:r>
        <w:rPr>
          <w:spacing w:val="-8"/>
          <w:sz w:val="22"/>
        </w:rPr>
        <w:t> </w:t>
      </w:r>
      <w:r>
        <w:rPr>
          <w:sz w:val="22"/>
        </w:rPr>
        <w:t>of</w:t>
      </w:r>
      <w:r>
        <w:rPr>
          <w:spacing w:val="-8"/>
          <w:sz w:val="22"/>
        </w:rPr>
        <w:t> </w:t>
      </w:r>
      <w:r>
        <w:rPr>
          <w:sz w:val="22"/>
        </w:rPr>
        <w:t>antiquated</w:t>
      </w:r>
      <w:r>
        <w:rPr>
          <w:spacing w:val="-7"/>
          <w:sz w:val="22"/>
        </w:rPr>
        <w:t> </w:t>
      </w:r>
      <w:r>
        <w:rPr>
          <w:spacing w:val="-2"/>
          <w:sz w:val="22"/>
        </w:rPr>
        <w:t>language.</w:t>
      </w:r>
    </w:p>
    <w:p>
      <w:pPr>
        <w:spacing w:after="0"/>
        <w:jc w:val="left"/>
        <w:rPr>
          <w:sz w:val="22"/>
        </w:rPr>
        <w:sectPr>
          <w:pgSz w:w="12240" w:h="15840"/>
          <w:pgMar w:top="1340" w:bottom="280" w:left="1080" w:right="720"/>
        </w:sectPr>
      </w:pPr>
    </w:p>
    <w:p>
      <w:pPr>
        <w:pStyle w:val="Heading2"/>
      </w:pPr>
      <w:bookmarkStart w:name="612:25-4-58.  Annual and Performance Eva" w:id="409"/>
      <w:bookmarkEnd w:id="409"/>
      <w:r>
        <w:rPr>
          <w:b w:val="0"/>
        </w:rPr>
      </w:r>
      <w:r>
        <w:rPr/>
        <w:t>612:25-4-58.</w:t>
      </w:r>
      <w:r>
        <w:rPr>
          <w:spacing w:val="58"/>
        </w:rPr>
        <w:t> </w:t>
      </w:r>
      <w:r>
        <w:rPr/>
        <w:t>Annual</w:t>
      </w:r>
      <w:r>
        <w:rPr>
          <w:spacing w:val="-5"/>
        </w:rPr>
        <w:t> </w:t>
      </w:r>
      <w:r>
        <w:rPr/>
        <w:t>and</w:t>
      </w:r>
      <w:r>
        <w:rPr>
          <w:spacing w:val="-4"/>
        </w:rPr>
        <w:t> </w:t>
      </w:r>
      <w:r>
        <w:rPr/>
        <w:t>Performance</w:t>
      </w:r>
      <w:r>
        <w:rPr>
          <w:spacing w:val="-4"/>
        </w:rPr>
        <w:t> </w:t>
      </w:r>
      <w:r>
        <w:rPr>
          <w:spacing w:val="-2"/>
        </w:rPr>
        <w:t>Evaluations</w:t>
      </w:r>
    </w:p>
    <w:p>
      <w:pPr>
        <w:pStyle w:val="ListParagraph"/>
        <w:numPr>
          <w:ilvl w:val="0"/>
          <w:numId w:val="389"/>
        </w:numPr>
        <w:tabs>
          <w:tab w:pos="785" w:val="left" w:leader="none"/>
        </w:tabs>
        <w:spacing w:line="208" w:lineRule="auto" w:before="233" w:after="0"/>
        <w:ind w:left="359" w:right="792" w:firstLine="0"/>
        <w:jc w:val="left"/>
        <w:rPr>
          <w:sz w:val="24"/>
        </w:rPr>
      </w:pPr>
      <w:r>
        <w:rPr>
          <w:sz w:val="24"/>
        </w:rPr>
        <w:t>The BEP will conduct an annual evaluation of each licensed manager at the end of each calendar year.</w:t>
      </w:r>
      <w:r>
        <w:rPr>
          <w:spacing w:val="40"/>
          <w:sz w:val="24"/>
        </w:rPr>
        <w:t> </w:t>
      </w:r>
      <w:r>
        <w:rPr>
          <w:sz w:val="24"/>
        </w:rPr>
        <w:t>Performance evaluations will be conducted when a manager applies for a facility or when a probationary period ends.</w:t>
      </w:r>
      <w:r>
        <w:rPr>
          <w:spacing w:val="80"/>
          <w:sz w:val="24"/>
        </w:rPr>
        <w:t> </w:t>
      </w:r>
      <w:r>
        <w:rPr>
          <w:sz w:val="24"/>
        </w:rPr>
        <w:t>All evaluations will be based on data collected from the manager's primary assigned facility and will consist of the previous</w:t>
      </w:r>
      <w:r>
        <w:rPr>
          <w:spacing w:val="-4"/>
          <w:sz w:val="24"/>
        </w:rPr>
        <w:t> </w:t>
      </w:r>
      <w:r>
        <w:rPr>
          <w:sz w:val="24"/>
        </w:rPr>
        <w:t>twelve</w:t>
      </w:r>
      <w:r>
        <w:rPr>
          <w:spacing w:val="-4"/>
          <w:sz w:val="24"/>
        </w:rPr>
        <w:t> </w:t>
      </w:r>
      <w:r>
        <w:rPr>
          <w:sz w:val="24"/>
        </w:rPr>
        <w:t>(12)</w:t>
      </w:r>
      <w:r>
        <w:rPr>
          <w:spacing w:val="-3"/>
          <w:sz w:val="24"/>
        </w:rPr>
        <w:t> </w:t>
      </w:r>
      <w:r>
        <w:rPr>
          <w:sz w:val="24"/>
        </w:rPr>
        <w:t>working</w:t>
      </w:r>
      <w:r>
        <w:rPr>
          <w:spacing w:val="-4"/>
          <w:sz w:val="24"/>
        </w:rPr>
        <w:t> </w:t>
      </w:r>
      <w:r>
        <w:rPr>
          <w:sz w:val="24"/>
        </w:rPr>
        <w:t>month’s</w:t>
      </w:r>
      <w:r>
        <w:rPr>
          <w:spacing w:val="-4"/>
          <w:sz w:val="24"/>
        </w:rPr>
        <w:t> </w:t>
      </w:r>
      <w:r>
        <w:rPr>
          <w:sz w:val="24"/>
        </w:rPr>
        <w:t>information.</w:t>
      </w:r>
      <w:r>
        <w:rPr>
          <w:spacing w:val="-3"/>
          <w:sz w:val="24"/>
        </w:rPr>
        <w:t> </w:t>
      </w:r>
      <w:r>
        <w:rPr>
          <w:sz w:val="24"/>
        </w:rPr>
        <w:t>If</w:t>
      </w:r>
      <w:r>
        <w:rPr>
          <w:spacing w:val="-5"/>
          <w:sz w:val="24"/>
        </w:rPr>
        <w:t> </w:t>
      </w:r>
      <w:r>
        <w:rPr>
          <w:sz w:val="24"/>
        </w:rPr>
        <w:t>a</w:t>
      </w:r>
      <w:r>
        <w:rPr>
          <w:spacing w:val="-4"/>
          <w:sz w:val="24"/>
        </w:rPr>
        <w:t> </w:t>
      </w:r>
      <w:r>
        <w:rPr>
          <w:sz w:val="24"/>
        </w:rPr>
        <w:t>Licensed</w:t>
      </w:r>
      <w:r>
        <w:rPr>
          <w:spacing w:val="-4"/>
          <w:sz w:val="24"/>
        </w:rPr>
        <w:t> </w:t>
      </w:r>
      <w:r>
        <w:rPr>
          <w:sz w:val="24"/>
        </w:rPr>
        <w:t>Manager</w:t>
      </w:r>
      <w:r>
        <w:rPr>
          <w:spacing w:val="-3"/>
          <w:sz w:val="24"/>
        </w:rPr>
        <w:t> </w:t>
      </w:r>
      <w:r>
        <w:rPr>
          <w:sz w:val="24"/>
        </w:rPr>
        <w:t>does</w:t>
      </w:r>
      <w:r>
        <w:rPr>
          <w:spacing w:val="-3"/>
          <w:sz w:val="24"/>
        </w:rPr>
        <w:t> </w:t>
      </w:r>
      <w:r>
        <w:rPr>
          <w:sz w:val="24"/>
        </w:rPr>
        <w:t>not</w:t>
      </w:r>
      <w:r>
        <w:rPr>
          <w:spacing w:val="-3"/>
          <w:sz w:val="24"/>
        </w:rPr>
        <w:t> </w:t>
      </w:r>
      <w:r>
        <w:rPr>
          <w:sz w:val="24"/>
        </w:rPr>
        <w:t>have a primary facility, the satellite facility will be used (in accordance with BEP 612:25-4- 53(c)(1-5). </w:t>
      </w:r>
      <w:r>
        <w:rPr>
          <w:b/>
          <w:sz w:val="24"/>
        </w:rPr>
        <w:t>1</w:t>
      </w:r>
      <w:r>
        <w:rPr>
          <w:b/>
          <w:spacing w:val="40"/>
          <w:sz w:val="24"/>
        </w:rPr>
        <w:t> </w:t>
      </w:r>
      <w:r>
        <w:rPr>
          <w:sz w:val="24"/>
        </w:rPr>
        <w:t>The Licensed Manager will be advised of the results of any evaluation in writing. The manager will be evaluated in the following areas:</w:t>
      </w:r>
    </w:p>
    <w:p>
      <w:pPr>
        <w:pStyle w:val="ListParagraph"/>
        <w:numPr>
          <w:ilvl w:val="1"/>
          <w:numId w:val="389"/>
        </w:numPr>
        <w:tabs>
          <w:tab w:pos="1217" w:val="left" w:leader="none"/>
        </w:tabs>
        <w:spacing w:line="240" w:lineRule="auto" w:before="210" w:after="0"/>
        <w:ind w:left="1217" w:right="0" w:hanging="426"/>
        <w:jc w:val="left"/>
        <w:rPr>
          <w:sz w:val="24"/>
        </w:rPr>
      </w:pPr>
      <w:r>
        <w:rPr>
          <w:spacing w:val="-2"/>
          <w:sz w:val="24"/>
        </w:rPr>
        <w:t>Tasks/responsibilities</w:t>
      </w:r>
    </w:p>
    <w:p>
      <w:pPr>
        <w:pStyle w:val="ListParagraph"/>
        <w:numPr>
          <w:ilvl w:val="2"/>
          <w:numId w:val="389"/>
        </w:numPr>
        <w:tabs>
          <w:tab w:pos="1676" w:val="left" w:leader="none"/>
        </w:tabs>
        <w:spacing w:line="208" w:lineRule="auto" w:before="233" w:after="0"/>
        <w:ind w:left="1223" w:right="1584" w:firstLine="0"/>
        <w:jc w:val="left"/>
        <w:rPr>
          <w:sz w:val="24"/>
        </w:rPr>
      </w:pPr>
      <w:r>
        <w:rPr>
          <w:sz w:val="24"/>
        </w:rPr>
        <w:t>Timely</w:t>
      </w:r>
      <w:r>
        <w:rPr>
          <w:spacing w:val="-6"/>
          <w:sz w:val="24"/>
        </w:rPr>
        <w:t> </w:t>
      </w:r>
      <w:r>
        <w:rPr>
          <w:sz w:val="24"/>
        </w:rPr>
        <w:t>submission</w:t>
      </w:r>
      <w:r>
        <w:rPr>
          <w:spacing w:val="-4"/>
          <w:sz w:val="24"/>
        </w:rPr>
        <w:t> </w:t>
      </w:r>
      <w:r>
        <w:rPr>
          <w:sz w:val="24"/>
        </w:rPr>
        <w:t>and</w:t>
      </w:r>
      <w:r>
        <w:rPr>
          <w:spacing w:val="-5"/>
          <w:sz w:val="24"/>
        </w:rPr>
        <w:t> </w:t>
      </w:r>
      <w:r>
        <w:rPr>
          <w:sz w:val="24"/>
        </w:rPr>
        <w:t>accuracy</w:t>
      </w:r>
      <w:r>
        <w:rPr>
          <w:spacing w:val="-5"/>
          <w:sz w:val="24"/>
        </w:rPr>
        <w:t> </w:t>
      </w:r>
      <w:r>
        <w:rPr>
          <w:sz w:val="24"/>
        </w:rPr>
        <w:t>of</w:t>
      </w:r>
      <w:r>
        <w:rPr>
          <w:spacing w:val="-4"/>
          <w:sz w:val="24"/>
        </w:rPr>
        <w:t> </w:t>
      </w:r>
      <w:r>
        <w:rPr>
          <w:sz w:val="24"/>
        </w:rPr>
        <w:t>all</w:t>
      </w:r>
      <w:r>
        <w:rPr>
          <w:spacing w:val="-5"/>
          <w:sz w:val="24"/>
        </w:rPr>
        <w:t> </w:t>
      </w:r>
      <w:r>
        <w:rPr>
          <w:sz w:val="24"/>
        </w:rPr>
        <w:t>required</w:t>
      </w:r>
      <w:r>
        <w:rPr>
          <w:spacing w:val="-5"/>
          <w:sz w:val="24"/>
        </w:rPr>
        <w:t> </w:t>
      </w:r>
      <w:r>
        <w:rPr>
          <w:sz w:val="24"/>
        </w:rPr>
        <w:t>monthly</w:t>
      </w:r>
      <w:r>
        <w:rPr>
          <w:spacing w:val="-5"/>
          <w:sz w:val="24"/>
        </w:rPr>
        <w:t> </w:t>
      </w:r>
      <w:r>
        <w:rPr>
          <w:sz w:val="24"/>
        </w:rPr>
        <w:t>reports</w:t>
      </w:r>
      <w:r>
        <w:rPr>
          <w:spacing w:val="-6"/>
          <w:sz w:val="24"/>
        </w:rPr>
        <w:t> </w:t>
      </w:r>
      <w:r>
        <w:rPr>
          <w:sz w:val="24"/>
        </w:rPr>
        <w:t>and payments (set-aside and merchandise loan payments, if applicable).</w:t>
      </w:r>
    </w:p>
    <w:p>
      <w:pPr>
        <w:pStyle w:val="ListParagraph"/>
        <w:numPr>
          <w:ilvl w:val="2"/>
          <w:numId w:val="389"/>
        </w:numPr>
        <w:tabs>
          <w:tab w:pos="1676" w:val="left" w:leader="none"/>
        </w:tabs>
        <w:spacing w:line="240" w:lineRule="auto" w:before="211" w:after="0"/>
        <w:ind w:left="1676" w:right="0" w:hanging="453"/>
        <w:jc w:val="left"/>
        <w:rPr>
          <w:sz w:val="24"/>
        </w:rPr>
      </w:pPr>
      <w:r>
        <w:rPr>
          <w:sz w:val="24"/>
        </w:rPr>
        <w:t>Accurately</w:t>
      </w:r>
      <w:r>
        <w:rPr>
          <w:spacing w:val="-7"/>
          <w:sz w:val="24"/>
        </w:rPr>
        <w:t> </w:t>
      </w:r>
      <w:r>
        <w:rPr>
          <w:sz w:val="24"/>
        </w:rPr>
        <w:t>calculated</w:t>
      </w:r>
      <w:r>
        <w:rPr>
          <w:spacing w:val="-4"/>
          <w:sz w:val="24"/>
        </w:rPr>
        <w:t> </w:t>
      </w:r>
      <w:r>
        <w:rPr>
          <w:sz w:val="24"/>
        </w:rPr>
        <w:t>gross</w:t>
      </w:r>
      <w:r>
        <w:rPr>
          <w:spacing w:val="-4"/>
          <w:sz w:val="24"/>
        </w:rPr>
        <w:t> </w:t>
      </w:r>
      <w:r>
        <w:rPr>
          <w:sz w:val="24"/>
        </w:rPr>
        <w:t>profit</w:t>
      </w:r>
      <w:r>
        <w:rPr>
          <w:spacing w:val="-4"/>
          <w:sz w:val="24"/>
        </w:rPr>
        <w:t> </w:t>
      </w:r>
      <w:r>
        <w:rPr>
          <w:sz w:val="24"/>
        </w:rPr>
        <w:t>percentage</w:t>
      </w:r>
      <w:r>
        <w:rPr>
          <w:spacing w:val="-4"/>
          <w:sz w:val="24"/>
        </w:rPr>
        <w:t> </w:t>
      </w:r>
      <w:r>
        <w:rPr>
          <w:sz w:val="24"/>
        </w:rPr>
        <w:t>reported</w:t>
      </w:r>
      <w:r>
        <w:rPr>
          <w:spacing w:val="-4"/>
          <w:sz w:val="24"/>
        </w:rPr>
        <w:t> </w:t>
      </w:r>
      <w:r>
        <w:rPr>
          <w:sz w:val="24"/>
        </w:rPr>
        <w:t>on</w:t>
      </w:r>
      <w:r>
        <w:rPr>
          <w:spacing w:val="-4"/>
          <w:sz w:val="24"/>
        </w:rPr>
        <w:t> </w:t>
      </w:r>
      <w:r>
        <w:rPr>
          <w:sz w:val="24"/>
        </w:rPr>
        <w:t>monthly</w:t>
      </w:r>
      <w:r>
        <w:rPr>
          <w:spacing w:val="-4"/>
          <w:sz w:val="24"/>
        </w:rPr>
        <w:t> </w:t>
      </w:r>
      <w:r>
        <w:rPr>
          <w:spacing w:val="-2"/>
          <w:sz w:val="24"/>
        </w:rPr>
        <w:t>reports.</w:t>
      </w:r>
    </w:p>
    <w:p>
      <w:pPr>
        <w:pStyle w:val="ListParagraph"/>
        <w:numPr>
          <w:ilvl w:val="2"/>
          <w:numId w:val="389"/>
        </w:numPr>
        <w:tabs>
          <w:tab w:pos="1689" w:val="left" w:leader="none"/>
        </w:tabs>
        <w:spacing w:line="240" w:lineRule="auto" w:before="204" w:after="0"/>
        <w:ind w:left="1689" w:right="0" w:hanging="466"/>
        <w:jc w:val="left"/>
        <w:rPr>
          <w:sz w:val="24"/>
        </w:rPr>
      </w:pPr>
      <w:r>
        <w:rPr>
          <w:sz w:val="24"/>
        </w:rPr>
        <w:t>Accurately</w:t>
      </w:r>
      <w:r>
        <w:rPr>
          <w:spacing w:val="-6"/>
          <w:sz w:val="24"/>
        </w:rPr>
        <w:t> </w:t>
      </w:r>
      <w:r>
        <w:rPr>
          <w:sz w:val="24"/>
        </w:rPr>
        <w:t>calculated</w:t>
      </w:r>
      <w:r>
        <w:rPr>
          <w:spacing w:val="-4"/>
          <w:sz w:val="24"/>
        </w:rPr>
        <w:t> </w:t>
      </w:r>
      <w:r>
        <w:rPr>
          <w:sz w:val="24"/>
        </w:rPr>
        <w:t>net</w:t>
      </w:r>
      <w:r>
        <w:rPr>
          <w:spacing w:val="-4"/>
          <w:sz w:val="24"/>
        </w:rPr>
        <w:t> </w:t>
      </w:r>
      <w:r>
        <w:rPr>
          <w:sz w:val="24"/>
        </w:rPr>
        <w:t>profit</w:t>
      </w:r>
      <w:r>
        <w:rPr>
          <w:spacing w:val="-3"/>
          <w:sz w:val="24"/>
        </w:rPr>
        <w:t> </w:t>
      </w:r>
      <w:r>
        <w:rPr>
          <w:sz w:val="24"/>
        </w:rPr>
        <w:t>percentage</w:t>
      </w:r>
      <w:r>
        <w:rPr>
          <w:spacing w:val="-4"/>
          <w:sz w:val="24"/>
        </w:rPr>
        <w:t> </w:t>
      </w:r>
      <w:r>
        <w:rPr>
          <w:sz w:val="24"/>
        </w:rPr>
        <w:t>reported</w:t>
      </w:r>
      <w:r>
        <w:rPr>
          <w:spacing w:val="-4"/>
          <w:sz w:val="24"/>
        </w:rPr>
        <w:t> </w:t>
      </w:r>
      <w:r>
        <w:rPr>
          <w:sz w:val="24"/>
        </w:rPr>
        <w:t>on</w:t>
      </w:r>
      <w:r>
        <w:rPr>
          <w:spacing w:val="-4"/>
          <w:sz w:val="24"/>
        </w:rPr>
        <w:t> </w:t>
      </w:r>
      <w:r>
        <w:rPr>
          <w:sz w:val="24"/>
        </w:rPr>
        <w:t>monthly</w:t>
      </w:r>
      <w:r>
        <w:rPr>
          <w:spacing w:val="-3"/>
          <w:sz w:val="24"/>
        </w:rPr>
        <w:t> </w:t>
      </w:r>
      <w:r>
        <w:rPr>
          <w:spacing w:val="-2"/>
          <w:sz w:val="24"/>
        </w:rPr>
        <w:t>reports.</w:t>
      </w:r>
    </w:p>
    <w:p>
      <w:pPr>
        <w:pStyle w:val="ListParagraph"/>
        <w:numPr>
          <w:ilvl w:val="2"/>
          <w:numId w:val="389"/>
        </w:numPr>
        <w:tabs>
          <w:tab w:pos="1689" w:val="left" w:leader="none"/>
        </w:tabs>
        <w:spacing w:line="208" w:lineRule="auto" w:before="233" w:after="0"/>
        <w:ind w:left="1224" w:right="1145" w:firstLine="0"/>
        <w:jc w:val="left"/>
        <w:rPr>
          <w:sz w:val="24"/>
        </w:rPr>
      </w:pPr>
      <w:r>
        <w:rPr>
          <w:sz w:val="24"/>
        </w:rPr>
        <w:t>Maintenance</w:t>
      </w:r>
      <w:r>
        <w:rPr>
          <w:spacing w:val="-6"/>
          <w:sz w:val="24"/>
        </w:rPr>
        <w:t> </w:t>
      </w:r>
      <w:r>
        <w:rPr>
          <w:sz w:val="24"/>
        </w:rPr>
        <w:t>of</w:t>
      </w:r>
      <w:r>
        <w:rPr>
          <w:spacing w:val="-5"/>
          <w:sz w:val="24"/>
        </w:rPr>
        <w:t> </w:t>
      </w:r>
      <w:r>
        <w:rPr>
          <w:sz w:val="24"/>
        </w:rPr>
        <w:t>an</w:t>
      </w:r>
      <w:r>
        <w:rPr>
          <w:spacing w:val="-6"/>
          <w:sz w:val="24"/>
        </w:rPr>
        <w:t> </w:t>
      </w:r>
      <w:r>
        <w:rPr>
          <w:sz w:val="24"/>
        </w:rPr>
        <w:t>acceptable</w:t>
      </w:r>
      <w:r>
        <w:rPr>
          <w:spacing w:val="-6"/>
          <w:sz w:val="24"/>
        </w:rPr>
        <w:t> </w:t>
      </w:r>
      <w:r>
        <w:rPr>
          <w:sz w:val="24"/>
        </w:rPr>
        <w:t>level</w:t>
      </w:r>
      <w:r>
        <w:rPr>
          <w:spacing w:val="-6"/>
          <w:sz w:val="24"/>
        </w:rPr>
        <w:t> </w:t>
      </w:r>
      <w:r>
        <w:rPr>
          <w:sz w:val="24"/>
        </w:rPr>
        <w:t>of</w:t>
      </w:r>
      <w:r>
        <w:rPr>
          <w:spacing w:val="-5"/>
          <w:sz w:val="24"/>
        </w:rPr>
        <w:t> </w:t>
      </w:r>
      <w:r>
        <w:rPr>
          <w:sz w:val="24"/>
        </w:rPr>
        <w:t>merchandise</w:t>
      </w:r>
      <w:r>
        <w:rPr>
          <w:spacing w:val="-5"/>
          <w:sz w:val="24"/>
        </w:rPr>
        <w:t> </w:t>
      </w:r>
      <w:r>
        <w:rPr>
          <w:sz w:val="24"/>
        </w:rPr>
        <w:t>inventory</w:t>
      </w:r>
      <w:r>
        <w:rPr>
          <w:spacing w:val="-6"/>
          <w:sz w:val="24"/>
        </w:rPr>
        <w:t> </w:t>
      </w:r>
      <w:r>
        <w:rPr>
          <w:sz w:val="24"/>
        </w:rPr>
        <w:t>(including preventing the merchandise levels from falling below any outstanding merchandise loan balance).</w:t>
      </w:r>
    </w:p>
    <w:p>
      <w:pPr>
        <w:pStyle w:val="ListParagraph"/>
        <w:numPr>
          <w:ilvl w:val="2"/>
          <w:numId w:val="389"/>
        </w:numPr>
        <w:tabs>
          <w:tab w:pos="1677" w:val="left" w:leader="none"/>
        </w:tabs>
        <w:spacing w:line="240" w:lineRule="auto" w:before="210" w:after="0"/>
        <w:ind w:left="1677" w:right="0" w:hanging="453"/>
        <w:jc w:val="left"/>
        <w:rPr>
          <w:sz w:val="24"/>
        </w:rPr>
      </w:pPr>
      <w:r>
        <w:rPr>
          <w:sz w:val="24"/>
        </w:rPr>
        <w:t>Attendance</w:t>
      </w:r>
      <w:r>
        <w:rPr>
          <w:spacing w:val="-4"/>
          <w:sz w:val="24"/>
        </w:rPr>
        <w:t> </w:t>
      </w:r>
      <w:r>
        <w:rPr>
          <w:sz w:val="24"/>
        </w:rPr>
        <w:t>at</w:t>
      </w:r>
      <w:r>
        <w:rPr>
          <w:spacing w:val="-3"/>
          <w:sz w:val="24"/>
        </w:rPr>
        <w:t> </w:t>
      </w:r>
      <w:r>
        <w:rPr>
          <w:sz w:val="24"/>
        </w:rPr>
        <w:t>Agency</w:t>
      </w:r>
      <w:r>
        <w:rPr>
          <w:spacing w:val="-3"/>
          <w:sz w:val="24"/>
        </w:rPr>
        <w:t> </w:t>
      </w:r>
      <w:r>
        <w:rPr>
          <w:sz w:val="24"/>
        </w:rPr>
        <w:t>and</w:t>
      </w:r>
      <w:r>
        <w:rPr>
          <w:spacing w:val="-4"/>
          <w:sz w:val="24"/>
        </w:rPr>
        <w:t> </w:t>
      </w:r>
      <w:r>
        <w:rPr>
          <w:sz w:val="24"/>
        </w:rPr>
        <w:t>other</w:t>
      </w:r>
      <w:r>
        <w:rPr>
          <w:spacing w:val="-3"/>
          <w:sz w:val="24"/>
        </w:rPr>
        <w:t> </w:t>
      </w:r>
      <w:r>
        <w:rPr>
          <w:sz w:val="24"/>
        </w:rPr>
        <w:t>certified</w:t>
      </w:r>
      <w:r>
        <w:rPr>
          <w:spacing w:val="-3"/>
          <w:sz w:val="24"/>
        </w:rPr>
        <w:t> </w:t>
      </w:r>
      <w:r>
        <w:rPr>
          <w:spacing w:val="-2"/>
          <w:sz w:val="24"/>
        </w:rPr>
        <w:t>training.</w:t>
      </w:r>
    </w:p>
    <w:p>
      <w:pPr>
        <w:pStyle w:val="ListParagraph"/>
        <w:numPr>
          <w:ilvl w:val="2"/>
          <w:numId w:val="389"/>
        </w:numPr>
        <w:tabs>
          <w:tab w:pos="1662" w:val="left" w:leader="none"/>
        </w:tabs>
        <w:spacing w:line="240" w:lineRule="auto" w:before="204" w:after="0"/>
        <w:ind w:left="1662" w:right="0" w:hanging="438"/>
        <w:jc w:val="left"/>
        <w:rPr>
          <w:sz w:val="24"/>
        </w:rPr>
      </w:pPr>
      <w:r>
        <w:rPr>
          <w:sz w:val="24"/>
        </w:rPr>
        <w:t>Attendance</w:t>
      </w:r>
      <w:r>
        <w:rPr>
          <w:spacing w:val="-4"/>
          <w:sz w:val="24"/>
        </w:rPr>
        <w:t> </w:t>
      </w:r>
      <w:r>
        <w:rPr>
          <w:sz w:val="24"/>
        </w:rPr>
        <w:t>at</w:t>
      </w:r>
      <w:r>
        <w:rPr>
          <w:spacing w:val="-2"/>
          <w:sz w:val="24"/>
        </w:rPr>
        <w:t> </w:t>
      </w:r>
      <w:r>
        <w:rPr>
          <w:sz w:val="24"/>
        </w:rPr>
        <w:t>Quarterly</w:t>
      </w:r>
      <w:r>
        <w:rPr>
          <w:spacing w:val="-4"/>
          <w:sz w:val="24"/>
        </w:rPr>
        <w:t> </w:t>
      </w:r>
      <w:r>
        <w:rPr>
          <w:sz w:val="24"/>
        </w:rPr>
        <w:t>ECM</w:t>
      </w:r>
      <w:r>
        <w:rPr>
          <w:spacing w:val="-2"/>
          <w:sz w:val="24"/>
        </w:rPr>
        <w:t> Meetings.</w:t>
      </w:r>
    </w:p>
    <w:p>
      <w:pPr>
        <w:pStyle w:val="ListParagraph"/>
        <w:numPr>
          <w:ilvl w:val="1"/>
          <w:numId w:val="389"/>
        </w:numPr>
        <w:tabs>
          <w:tab w:pos="1217" w:val="left" w:leader="none"/>
        </w:tabs>
        <w:spacing w:line="240" w:lineRule="auto" w:before="204" w:after="0"/>
        <w:ind w:left="1217" w:right="0" w:hanging="425"/>
        <w:jc w:val="left"/>
        <w:rPr>
          <w:sz w:val="24"/>
        </w:rPr>
      </w:pPr>
      <w:r>
        <w:rPr>
          <w:sz w:val="24"/>
        </w:rPr>
        <w:t>Work</w:t>
      </w:r>
      <w:r>
        <w:rPr>
          <w:spacing w:val="-1"/>
          <w:sz w:val="24"/>
        </w:rPr>
        <w:t> </w:t>
      </w:r>
      <w:r>
        <w:rPr>
          <w:spacing w:val="-2"/>
          <w:sz w:val="24"/>
        </w:rPr>
        <w:t>Habits</w:t>
      </w:r>
    </w:p>
    <w:p>
      <w:pPr>
        <w:pStyle w:val="ListParagraph"/>
        <w:numPr>
          <w:ilvl w:val="2"/>
          <w:numId w:val="389"/>
        </w:numPr>
        <w:tabs>
          <w:tab w:pos="1677" w:val="left" w:leader="none"/>
        </w:tabs>
        <w:spacing w:line="240" w:lineRule="auto" w:before="204" w:after="0"/>
        <w:ind w:left="1677" w:right="0" w:hanging="453"/>
        <w:jc w:val="left"/>
        <w:rPr>
          <w:sz w:val="24"/>
        </w:rPr>
      </w:pPr>
      <w:r>
        <w:rPr>
          <w:sz w:val="24"/>
        </w:rPr>
        <w:t>Provides</w:t>
      </w:r>
      <w:r>
        <w:rPr>
          <w:spacing w:val="-7"/>
          <w:sz w:val="24"/>
        </w:rPr>
        <w:t> </w:t>
      </w:r>
      <w:r>
        <w:rPr>
          <w:sz w:val="24"/>
        </w:rPr>
        <w:t>preventive</w:t>
      </w:r>
      <w:r>
        <w:rPr>
          <w:spacing w:val="-5"/>
          <w:sz w:val="24"/>
        </w:rPr>
        <w:t> </w:t>
      </w:r>
      <w:r>
        <w:rPr>
          <w:sz w:val="24"/>
        </w:rPr>
        <w:t>maintenance</w:t>
      </w:r>
      <w:r>
        <w:rPr>
          <w:spacing w:val="-5"/>
          <w:sz w:val="24"/>
        </w:rPr>
        <w:t> </w:t>
      </w:r>
      <w:r>
        <w:rPr>
          <w:sz w:val="24"/>
        </w:rPr>
        <w:t>and</w:t>
      </w:r>
      <w:r>
        <w:rPr>
          <w:spacing w:val="-5"/>
          <w:sz w:val="24"/>
        </w:rPr>
        <w:t> </w:t>
      </w:r>
      <w:r>
        <w:rPr>
          <w:sz w:val="24"/>
        </w:rPr>
        <w:t>appropriate</w:t>
      </w:r>
      <w:r>
        <w:rPr>
          <w:spacing w:val="-5"/>
          <w:sz w:val="24"/>
        </w:rPr>
        <w:t> </w:t>
      </w:r>
      <w:r>
        <w:rPr>
          <w:spacing w:val="-2"/>
          <w:sz w:val="24"/>
        </w:rPr>
        <w:t>cleaning/sanitation.</w:t>
      </w:r>
    </w:p>
    <w:p>
      <w:pPr>
        <w:pStyle w:val="ListParagraph"/>
        <w:numPr>
          <w:ilvl w:val="2"/>
          <w:numId w:val="389"/>
        </w:numPr>
        <w:tabs>
          <w:tab w:pos="1676" w:val="left" w:leader="none"/>
        </w:tabs>
        <w:spacing w:line="240" w:lineRule="auto" w:before="204" w:after="0"/>
        <w:ind w:left="1676" w:right="0" w:hanging="452"/>
        <w:jc w:val="left"/>
        <w:rPr>
          <w:sz w:val="24"/>
        </w:rPr>
      </w:pPr>
      <w:r>
        <w:rPr>
          <w:sz w:val="24"/>
        </w:rPr>
        <w:t>Merchandise</w:t>
      </w:r>
      <w:r>
        <w:rPr>
          <w:spacing w:val="-4"/>
          <w:sz w:val="24"/>
        </w:rPr>
        <w:t> </w:t>
      </w:r>
      <w:r>
        <w:rPr>
          <w:sz w:val="24"/>
        </w:rPr>
        <w:t>displayed,</w:t>
      </w:r>
      <w:r>
        <w:rPr>
          <w:spacing w:val="-4"/>
          <w:sz w:val="24"/>
        </w:rPr>
        <w:t> </w:t>
      </w:r>
      <w:r>
        <w:rPr>
          <w:sz w:val="24"/>
        </w:rPr>
        <w:t>rotated</w:t>
      </w:r>
      <w:r>
        <w:rPr>
          <w:spacing w:val="-4"/>
          <w:sz w:val="24"/>
        </w:rPr>
        <w:t> </w:t>
      </w:r>
      <w:r>
        <w:rPr>
          <w:sz w:val="24"/>
        </w:rPr>
        <w:t>and</w:t>
      </w:r>
      <w:r>
        <w:rPr>
          <w:spacing w:val="-4"/>
          <w:sz w:val="24"/>
        </w:rPr>
        <w:t> </w:t>
      </w:r>
      <w:r>
        <w:rPr>
          <w:sz w:val="24"/>
        </w:rPr>
        <w:t>stocked</w:t>
      </w:r>
      <w:r>
        <w:rPr>
          <w:spacing w:val="-3"/>
          <w:sz w:val="24"/>
        </w:rPr>
        <w:t> </w:t>
      </w:r>
      <w:r>
        <w:rPr>
          <w:spacing w:val="-2"/>
          <w:sz w:val="24"/>
        </w:rPr>
        <w:t>sufficiently.</w:t>
      </w:r>
    </w:p>
    <w:p>
      <w:pPr>
        <w:pStyle w:val="ListParagraph"/>
        <w:numPr>
          <w:ilvl w:val="2"/>
          <w:numId w:val="389"/>
        </w:numPr>
        <w:tabs>
          <w:tab w:pos="1689" w:val="left" w:leader="none"/>
        </w:tabs>
        <w:spacing w:line="240" w:lineRule="auto" w:before="204" w:after="0"/>
        <w:ind w:left="1689" w:right="0" w:hanging="465"/>
        <w:jc w:val="left"/>
        <w:rPr>
          <w:sz w:val="24"/>
        </w:rPr>
      </w:pPr>
      <w:r>
        <w:rPr>
          <w:sz w:val="24"/>
        </w:rPr>
        <w:t>Maintains</w:t>
      </w:r>
      <w:r>
        <w:rPr>
          <w:spacing w:val="-5"/>
          <w:sz w:val="24"/>
        </w:rPr>
        <w:t> </w:t>
      </w:r>
      <w:r>
        <w:rPr>
          <w:sz w:val="24"/>
        </w:rPr>
        <w:t>required</w:t>
      </w:r>
      <w:r>
        <w:rPr>
          <w:spacing w:val="-5"/>
          <w:sz w:val="24"/>
        </w:rPr>
        <w:t> </w:t>
      </w:r>
      <w:r>
        <w:rPr>
          <w:spacing w:val="-2"/>
          <w:sz w:val="24"/>
        </w:rPr>
        <w:t>insurances.</w:t>
      </w:r>
    </w:p>
    <w:p>
      <w:pPr>
        <w:pStyle w:val="ListParagraph"/>
        <w:numPr>
          <w:ilvl w:val="2"/>
          <w:numId w:val="389"/>
        </w:numPr>
        <w:tabs>
          <w:tab w:pos="1689" w:val="left" w:leader="none"/>
        </w:tabs>
        <w:spacing w:line="240" w:lineRule="auto" w:before="205" w:after="0"/>
        <w:ind w:left="1689" w:right="0" w:hanging="465"/>
        <w:jc w:val="left"/>
        <w:rPr>
          <w:sz w:val="24"/>
        </w:rPr>
      </w:pPr>
      <w:r>
        <w:rPr>
          <w:sz w:val="24"/>
        </w:rPr>
        <w:t>Maintains</w:t>
      </w:r>
      <w:r>
        <w:rPr>
          <w:spacing w:val="-4"/>
          <w:sz w:val="24"/>
        </w:rPr>
        <w:t> </w:t>
      </w:r>
      <w:r>
        <w:rPr>
          <w:sz w:val="24"/>
        </w:rPr>
        <w:t>agreed</w:t>
      </w:r>
      <w:r>
        <w:rPr>
          <w:spacing w:val="-2"/>
          <w:sz w:val="24"/>
        </w:rPr>
        <w:t> </w:t>
      </w:r>
      <w:r>
        <w:rPr>
          <w:sz w:val="24"/>
        </w:rPr>
        <w:t>upon</w:t>
      </w:r>
      <w:r>
        <w:rPr>
          <w:spacing w:val="-4"/>
          <w:sz w:val="24"/>
        </w:rPr>
        <w:t> </w:t>
      </w:r>
      <w:r>
        <w:rPr>
          <w:sz w:val="24"/>
        </w:rPr>
        <w:t>hours</w:t>
      </w:r>
      <w:r>
        <w:rPr>
          <w:spacing w:val="-2"/>
          <w:sz w:val="24"/>
        </w:rPr>
        <w:t> </w:t>
      </w:r>
      <w:r>
        <w:rPr>
          <w:sz w:val="24"/>
        </w:rPr>
        <w:t>of</w:t>
      </w:r>
      <w:r>
        <w:rPr>
          <w:spacing w:val="-2"/>
          <w:sz w:val="24"/>
        </w:rPr>
        <w:t> operation.</w:t>
      </w:r>
    </w:p>
    <w:p>
      <w:pPr>
        <w:pStyle w:val="ListParagraph"/>
        <w:numPr>
          <w:ilvl w:val="2"/>
          <w:numId w:val="389"/>
        </w:numPr>
        <w:tabs>
          <w:tab w:pos="1676" w:val="left" w:leader="none"/>
        </w:tabs>
        <w:spacing w:line="240" w:lineRule="auto" w:before="204" w:after="0"/>
        <w:ind w:left="1676" w:right="0" w:hanging="452"/>
        <w:jc w:val="left"/>
        <w:rPr>
          <w:sz w:val="24"/>
        </w:rPr>
      </w:pPr>
      <w:r>
        <w:rPr>
          <w:sz w:val="24"/>
        </w:rPr>
        <w:t>Maintains</w:t>
      </w:r>
      <w:r>
        <w:rPr>
          <w:spacing w:val="-7"/>
          <w:sz w:val="24"/>
        </w:rPr>
        <w:t> </w:t>
      </w:r>
      <w:r>
        <w:rPr>
          <w:sz w:val="24"/>
        </w:rPr>
        <w:t>professional</w:t>
      </w:r>
      <w:r>
        <w:rPr>
          <w:spacing w:val="-5"/>
          <w:sz w:val="24"/>
        </w:rPr>
        <w:t> </w:t>
      </w:r>
      <w:r>
        <w:rPr>
          <w:sz w:val="24"/>
        </w:rPr>
        <w:t>relationships</w:t>
      </w:r>
      <w:r>
        <w:rPr>
          <w:spacing w:val="-4"/>
          <w:sz w:val="24"/>
        </w:rPr>
        <w:t> </w:t>
      </w:r>
      <w:r>
        <w:rPr>
          <w:sz w:val="24"/>
        </w:rPr>
        <w:t>with</w:t>
      </w:r>
      <w:r>
        <w:rPr>
          <w:spacing w:val="-5"/>
          <w:sz w:val="24"/>
        </w:rPr>
        <w:t> </w:t>
      </w:r>
      <w:r>
        <w:rPr>
          <w:sz w:val="24"/>
        </w:rPr>
        <w:t>customers</w:t>
      </w:r>
      <w:r>
        <w:rPr>
          <w:spacing w:val="-5"/>
          <w:sz w:val="24"/>
        </w:rPr>
        <w:t> </w:t>
      </w:r>
      <w:r>
        <w:rPr>
          <w:sz w:val="24"/>
        </w:rPr>
        <w:t>and</w:t>
      </w:r>
      <w:r>
        <w:rPr>
          <w:spacing w:val="-4"/>
          <w:sz w:val="24"/>
        </w:rPr>
        <w:t> </w:t>
      </w:r>
      <w:r>
        <w:rPr>
          <w:spacing w:val="-2"/>
          <w:sz w:val="24"/>
        </w:rPr>
        <w:t>grantors.</w:t>
      </w:r>
    </w:p>
    <w:p>
      <w:pPr>
        <w:pStyle w:val="ListParagraph"/>
        <w:numPr>
          <w:ilvl w:val="0"/>
          <w:numId w:val="389"/>
        </w:numPr>
        <w:tabs>
          <w:tab w:pos="785" w:val="left" w:leader="none"/>
        </w:tabs>
        <w:spacing w:line="208" w:lineRule="auto" w:before="233" w:after="0"/>
        <w:ind w:left="360" w:right="817" w:firstLine="0"/>
        <w:jc w:val="left"/>
        <w:rPr>
          <w:sz w:val="24"/>
        </w:rPr>
      </w:pPr>
      <w:r>
        <w:rPr>
          <w:sz w:val="24"/>
        </w:rPr>
        <w:t>When a Licensed Manager applies for a facility a performance evaluation will be conducted to determine their eligibility to apply.</w:t>
      </w:r>
      <w:r>
        <w:rPr>
          <w:spacing w:val="40"/>
          <w:sz w:val="24"/>
        </w:rPr>
        <w:t> </w:t>
      </w:r>
      <w:r>
        <w:rPr>
          <w:sz w:val="24"/>
        </w:rPr>
        <w:t>To be eligible the manager must score at least 80 of the available 100 points.</w:t>
      </w:r>
      <w:r>
        <w:rPr>
          <w:spacing w:val="40"/>
          <w:sz w:val="24"/>
        </w:rPr>
        <w:t> </w:t>
      </w:r>
      <w:r>
        <w:rPr>
          <w:sz w:val="24"/>
        </w:rPr>
        <w:t>Any score above 80 will accrue to the benefit of the licensed manager in that selection process by adding it to their total score.</w:t>
      </w:r>
      <w:r>
        <w:rPr>
          <w:spacing w:val="75"/>
          <w:sz w:val="24"/>
        </w:rPr>
        <w:t> </w:t>
      </w:r>
      <w:r>
        <w:rPr>
          <w:sz w:val="24"/>
        </w:rPr>
        <w:t>If there is</w:t>
      </w:r>
      <w:r>
        <w:rPr>
          <w:spacing w:val="-3"/>
          <w:sz w:val="24"/>
        </w:rPr>
        <w:t> </w:t>
      </w:r>
      <w:r>
        <w:rPr>
          <w:sz w:val="24"/>
        </w:rPr>
        <w:t>a</w:t>
      </w:r>
      <w:r>
        <w:rPr>
          <w:spacing w:val="-3"/>
          <w:sz w:val="24"/>
        </w:rPr>
        <w:t> </w:t>
      </w:r>
      <w:r>
        <w:rPr>
          <w:sz w:val="24"/>
        </w:rPr>
        <w:t>second</w:t>
      </w:r>
      <w:r>
        <w:rPr>
          <w:spacing w:val="-2"/>
          <w:sz w:val="24"/>
        </w:rPr>
        <w:t> </w:t>
      </w:r>
      <w:r>
        <w:rPr>
          <w:sz w:val="24"/>
        </w:rPr>
        <w:t>interview</w:t>
      </w:r>
      <w:r>
        <w:rPr>
          <w:spacing w:val="-3"/>
          <w:sz w:val="24"/>
        </w:rPr>
        <w:t> </w:t>
      </w:r>
      <w:r>
        <w:rPr>
          <w:sz w:val="24"/>
        </w:rPr>
        <w:t>conducted,</w:t>
      </w:r>
      <w:r>
        <w:rPr>
          <w:spacing w:val="-2"/>
          <w:sz w:val="24"/>
        </w:rPr>
        <w:t> </w:t>
      </w:r>
      <w:r>
        <w:rPr>
          <w:sz w:val="24"/>
        </w:rPr>
        <w:t>these</w:t>
      </w:r>
      <w:r>
        <w:rPr>
          <w:spacing w:val="-3"/>
          <w:sz w:val="24"/>
        </w:rPr>
        <w:t> </w:t>
      </w:r>
      <w:r>
        <w:rPr>
          <w:sz w:val="24"/>
        </w:rPr>
        <w:t>points</w:t>
      </w:r>
      <w:r>
        <w:rPr>
          <w:spacing w:val="-2"/>
          <w:sz w:val="24"/>
        </w:rPr>
        <w:t> </w:t>
      </w:r>
      <w:r>
        <w:rPr>
          <w:sz w:val="24"/>
        </w:rPr>
        <w:t>will</w:t>
      </w:r>
      <w:r>
        <w:rPr>
          <w:spacing w:val="-3"/>
          <w:sz w:val="24"/>
        </w:rPr>
        <w:t> </w:t>
      </w:r>
      <w:r>
        <w:rPr>
          <w:sz w:val="24"/>
        </w:rPr>
        <w:t>not</w:t>
      </w:r>
      <w:r>
        <w:rPr>
          <w:spacing w:val="-2"/>
          <w:sz w:val="24"/>
        </w:rPr>
        <w:t> </w:t>
      </w:r>
      <w:r>
        <w:rPr>
          <w:sz w:val="24"/>
        </w:rPr>
        <w:t>be</w:t>
      </w:r>
      <w:r>
        <w:rPr>
          <w:spacing w:val="-3"/>
          <w:sz w:val="24"/>
        </w:rPr>
        <w:t> </w:t>
      </w:r>
      <w:r>
        <w:rPr>
          <w:sz w:val="24"/>
        </w:rPr>
        <w:t>added</w:t>
      </w:r>
      <w:r>
        <w:rPr>
          <w:spacing w:val="-3"/>
          <w:sz w:val="24"/>
        </w:rPr>
        <w:t> </w:t>
      </w:r>
      <w:r>
        <w:rPr>
          <w:sz w:val="24"/>
        </w:rPr>
        <w:t>to</w:t>
      </w:r>
      <w:r>
        <w:rPr>
          <w:spacing w:val="-3"/>
          <w:sz w:val="24"/>
        </w:rPr>
        <w:t> </w:t>
      </w:r>
      <w:r>
        <w:rPr>
          <w:sz w:val="24"/>
        </w:rPr>
        <w:t>the</w:t>
      </w:r>
      <w:r>
        <w:rPr>
          <w:spacing w:val="-3"/>
          <w:sz w:val="24"/>
        </w:rPr>
        <w:t> </w:t>
      </w:r>
      <w:r>
        <w:rPr>
          <w:sz w:val="24"/>
        </w:rPr>
        <w:t>total</w:t>
      </w:r>
      <w:r>
        <w:rPr>
          <w:spacing w:val="-3"/>
          <w:sz w:val="24"/>
        </w:rPr>
        <w:t> </w:t>
      </w:r>
      <w:r>
        <w:rPr>
          <w:sz w:val="24"/>
        </w:rPr>
        <w:t>points</w:t>
      </w:r>
      <w:r>
        <w:rPr>
          <w:spacing w:val="-3"/>
          <w:sz w:val="24"/>
        </w:rPr>
        <w:t> </w:t>
      </w:r>
      <w:r>
        <w:rPr>
          <w:sz w:val="24"/>
        </w:rPr>
        <w:t>of</w:t>
      </w:r>
      <w:r>
        <w:rPr>
          <w:spacing w:val="-4"/>
          <w:sz w:val="24"/>
        </w:rPr>
        <w:t> </w:t>
      </w:r>
      <w:r>
        <w:rPr>
          <w:sz w:val="24"/>
        </w:rPr>
        <w:t>the second interview.</w:t>
      </w:r>
    </w:p>
    <w:p>
      <w:pPr>
        <w:pStyle w:val="BodyText"/>
        <w:spacing w:before="210"/>
      </w:pPr>
      <w:r>
        <w:rPr/>
        <w:t>INSTRUCTIONS</w:t>
      </w:r>
      <w:r>
        <w:rPr>
          <w:spacing w:val="-3"/>
        </w:rPr>
        <w:t> </w:t>
      </w:r>
      <w:r>
        <w:rPr/>
        <w:t>TO</w:t>
      </w:r>
      <w:r>
        <w:rPr>
          <w:spacing w:val="-2"/>
        </w:rPr>
        <w:t> </w:t>
      </w:r>
      <w:r>
        <w:rPr>
          <w:spacing w:val="-4"/>
        </w:rPr>
        <w:t>STAFF</w:t>
      </w:r>
    </w:p>
    <w:p>
      <w:pPr>
        <w:pStyle w:val="BodyText"/>
        <w:spacing w:line="208" w:lineRule="auto" w:before="233"/>
        <w:ind w:left="792" w:right="775"/>
      </w:pPr>
      <w:r>
        <w:rPr/>
        <w:t>1. For</w:t>
      </w:r>
      <w:r>
        <w:rPr>
          <w:spacing w:val="-3"/>
        </w:rPr>
        <w:t> </w:t>
      </w:r>
      <w:r>
        <w:rPr/>
        <w:t>months</w:t>
      </w:r>
      <w:r>
        <w:rPr>
          <w:spacing w:val="-4"/>
        </w:rPr>
        <w:t> </w:t>
      </w:r>
      <w:r>
        <w:rPr/>
        <w:t>not</w:t>
      </w:r>
      <w:r>
        <w:rPr>
          <w:spacing w:val="-3"/>
        </w:rPr>
        <w:t> </w:t>
      </w:r>
      <w:r>
        <w:rPr/>
        <w:t>having</w:t>
      </w:r>
      <w:r>
        <w:rPr>
          <w:spacing w:val="-3"/>
        </w:rPr>
        <w:t> </w:t>
      </w:r>
      <w:r>
        <w:rPr/>
        <w:t>data</w:t>
      </w:r>
      <w:r>
        <w:rPr>
          <w:spacing w:val="-3"/>
        </w:rPr>
        <w:t> </w:t>
      </w:r>
      <w:r>
        <w:rPr/>
        <w:t>available,</w:t>
      </w:r>
      <w:r>
        <w:rPr>
          <w:spacing w:val="-3"/>
        </w:rPr>
        <w:t> </w:t>
      </w:r>
      <w:r>
        <w:rPr/>
        <w:t>a</w:t>
      </w:r>
      <w:r>
        <w:rPr>
          <w:spacing w:val="-3"/>
        </w:rPr>
        <w:t> </w:t>
      </w:r>
      <w:r>
        <w:rPr/>
        <w:t>one</w:t>
      </w:r>
      <w:r>
        <w:rPr>
          <w:spacing w:val="-3"/>
        </w:rPr>
        <w:t> </w:t>
      </w:r>
      <w:r>
        <w:rPr/>
        <w:t>month’s</w:t>
      </w:r>
      <w:r>
        <w:rPr>
          <w:spacing w:val="-3"/>
        </w:rPr>
        <w:t> </w:t>
      </w:r>
      <w:r>
        <w:rPr/>
        <w:t>average</w:t>
      </w:r>
      <w:r>
        <w:rPr>
          <w:spacing w:val="-3"/>
        </w:rPr>
        <w:t> </w:t>
      </w:r>
      <w:r>
        <w:rPr/>
        <w:t>will</w:t>
      </w:r>
      <w:r>
        <w:rPr>
          <w:spacing w:val="-3"/>
        </w:rPr>
        <w:t> </w:t>
      </w:r>
      <w:r>
        <w:rPr/>
        <w:t>be</w:t>
      </w:r>
      <w:r>
        <w:rPr>
          <w:spacing w:val="-3"/>
        </w:rPr>
        <w:t> </w:t>
      </w:r>
      <w:r>
        <w:rPr/>
        <w:t>determined using the monthly point totals for that same period.</w:t>
      </w:r>
      <w:r>
        <w:rPr>
          <w:spacing w:val="40"/>
        </w:rPr>
        <w:t> </w:t>
      </w:r>
      <w:r>
        <w:rPr/>
        <w:t>This amount will be added for each month not having data.</w:t>
      </w:r>
    </w:p>
    <w:p>
      <w:pPr>
        <w:pStyle w:val="BodyText"/>
        <w:spacing w:after="0" w:line="208" w:lineRule="auto"/>
        <w:sectPr>
          <w:pgSz w:w="12240" w:h="15840"/>
          <w:pgMar w:top="1340" w:bottom="280" w:left="1080" w:right="720"/>
        </w:sectPr>
      </w:pPr>
    </w:p>
    <w:p>
      <w:pPr>
        <w:spacing w:before="80"/>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4-13-99</w:t>
      </w:r>
      <w:r>
        <w:rPr>
          <w:sz w:val="22"/>
        </w:rPr>
        <w:tab/>
        <w:t>PT Memo #99-7</w:t>
      </w:r>
    </w:p>
    <w:p>
      <w:pPr>
        <w:tabs>
          <w:tab w:pos="1439" w:val="left" w:leader="none"/>
        </w:tabs>
        <w:spacing w:before="0"/>
        <w:ind w:left="359" w:right="3826" w:firstLine="1080"/>
        <w:jc w:val="left"/>
        <w:rPr>
          <w:sz w:val="22"/>
        </w:rPr>
      </w:pPr>
      <w:r>
        <w:rPr>
          <w:sz w:val="22"/>
        </w:rPr>
        <w:t>Emergency,</w:t>
      </w:r>
      <w:r>
        <w:rPr>
          <w:spacing w:val="-6"/>
          <w:sz w:val="22"/>
        </w:rPr>
        <w:t> </w:t>
      </w:r>
      <w:r>
        <w:rPr>
          <w:sz w:val="22"/>
        </w:rPr>
        <w:t>amended</w:t>
      </w:r>
      <w:r>
        <w:rPr>
          <w:spacing w:val="-6"/>
          <w:sz w:val="22"/>
        </w:rPr>
        <w:t> </w:t>
      </w:r>
      <w:r>
        <w:rPr>
          <w:sz w:val="22"/>
        </w:rPr>
        <w:t>to</w:t>
      </w:r>
      <w:r>
        <w:rPr>
          <w:spacing w:val="-6"/>
          <w:sz w:val="22"/>
        </w:rPr>
        <w:t> </w:t>
      </w:r>
      <w:r>
        <w:rPr>
          <w:sz w:val="22"/>
        </w:rPr>
        <w:t>add</w:t>
      </w:r>
      <w:r>
        <w:rPr>
          <w:spacing w:val="-6"/>
          <w:sz w:val="22"/>
        </w:rPr>
        <w:t> </w:t>
      </w:r>
      <w:r>
        <w:rPr>
          <w:sz w:val="22"/>
        </w:rPr>
        <w:t>Subsections</w:t>
      </w:r>
      <w:r>
        <w:rPr>
          <w:spacing w:val="-6"/>
          <w:sz w:val="22"/>
        </w:rPr>
        <w:t> </w:t>
      </w:r>
      <w:r>
        <w:rPr>
          <w:sz w:val="22"/>
        </w:rPr>
        <w:t>(d)</w:t>
      </w:r>
      <w:r>
        <w:rPr>
          <w:spacing w:val="-6"/>
          <w:sz w:val="22"/>
        </w:rPr>
        <w:t> </w:t>
      </w:r>
      <w:r>
        <w:rPr>
          <w:sz w:val="22"/>
        </w:rPr>
        <w:t>and</w:t>
      </w:r>
      <w:r>
        <w:rPr>
          <w:spacing w:val="-7"/>
          <w:sz w:val="22"/>
        </w:rPr>
        <w:t> </w:t>
      </w:r>
      <w:r>
        <w:rPr>
          <w:sz w:val="22"/>
        </w:rPr>
        <w:t>(e) </w:t>
      </w:r>
      <w:r>
        <w:rPr>
          <w:spacing w:val="-2"/>
          <w:sz w:val="22"/>
        </w:rPr>
        <w:t>7-1-02</w:t>
      </w:r>
      <w:r>
        <w:rPr>
          <w:sz w:val="22"/>
        </w:rPr>
        <w:tab/>
        <w:t>POL Memo #02-02</w:t>
      </w:r>
    </w:p>
    <w:p>
      <w:pPr>
        <w:tabs>
          <w:tab w:pos="1439" w:val="left" w:leader="none"/>
        </w:tabs>
        <w:spacing w:before="0"/>
        <w:ind w:left="359" w:right="4326" w:firstLine="1080"/>
        <w:jc w:val="left"/>
        <w:rPr>
          <w:sz w:val="22"/>
        </w:rPr>
      </w:pPr>
      <w:r>
        <w:rPr>
          <w:sz w:val="22"/>
        </w:rPr>
        <w:t>Permanent,</w:t>
      </w:r>
      <w:r>
        <w:rPr>
          <w:spacing w:val="-7"/>
          <w:sz w:val="22"/>
        </w:rPr>
        <w:t> </w:t>
      </w:r>
      <w:r>
        <w:rPr>
          <w:sz w:val="22"/>
        </w:rPr>
        <w:t>clarification</w:t>
      </w:r>
      <w:r>
        <w:rPr>
          <w:spacing w:val="-8"/>
          <w:sz w:val="22"/>
        </w:rPr>
        <w:t> </w:t>
      </w:r>
      <w:r>
        <w:rPr>
          <w:sz w:val="22"/>
        </w:rPr>
        <w:t>of</w:t>
      </w:r>
      <w:r>
        <w:rPr>
          <w:spacing w:val="-8"/>
          <w:sz w:val="22"/>
        </w:rPr>
        <w:t> </w:t>
      </w:r>
      <w:r>
        <w:rPr>
          <w:sz w:val="22"/>
        </w:rPr>
        <w:t>the</w:t>
      </w:r>
      <w:r>
        <w:rPr>
          <w:spacing w:val="-8"/>
          <w:sz w:val="22"/>
        </w:rPr>
        <w:t> </w:t>
      </w:r>
      <w:r>
        <w:rPr>
          <w:sz w:val="22"/>
        </w:rPr>
        <w:t>interview</w:t>
      </w:r>
      <w:r>
        <w:rPr>
          <w:spacing w:val="-8"/>
          <w:sz w:val="22"/>
        </w:rPr>
        <w:t> </w:t>
      </w:r>
      <w:r>
        <w:rPr>
          <w:sz w:val="22"/>
        </w:rPr>
        <w:t>process </w:t>
      </w:r>
      <w:r>
        <w:rPr>
          <w:spacing w:val="-2"/>
          <w:sz w:val="22"/>
        </w:rPr>
        <w:t>7-1-05</w:t>
      </w:r>
      <w:r>
        <w:rPr>
          <w:sz w:val="22"/>
        </w:rPr>
        <w:tab/>
        <w:t>PT Memo #06-01</w:t>
      </w:r>
    </w:p>
    <w:p>
      <w:pPr>
        <w:tabs>
          <w:tab w:pos="1439" w:val="left" w:leader="none"/>
        </w:tabs>
        <w:spacing w:before="0"/>
        <w:ind w:left="359" w:right="4998" w:firstLine="1080"/>
        <w:jc w:val="left"/>
        <w:rPr>
          <w:sz w:val="22"/>
        </w:rPr>
      </w:pPr>
      <w:r>
        <w:rPr>
          <w:sz w:val="22"/>
        </w:rPr>
        <w:t>Permanent,</w:t>
      </w:r>
      <w:r>
        <w:rPr>
          <w:spacing w:val="-9"/>
          <w:sz w:val="22"/>
        </w:rPr>
        <w:t> </w:t>
      </w:r>
      <w:r>
        <w:rPr>
          <w:sz w:val="22"/>
        </w:rPr>
        <w:t>clarification</w:t>
      </w:r>
      <w:r>
        <w:rPr>
          <w:spacing w:val="-10"/>
          <w:sz w:val="22"/>
        </w:rPr>
        <w:t> </w:t>
      </w:r>
      <w:r>
        <w:rPr>
          <w:sz w:val="22"/>
        </w:rPr>
        <w:t>of</w:t>
      </w:r>
      <w:r>
        <w:rPr>
          <w:spacing w:val="-9"/>
          <w:sz w:val="22"/>
        </w:rPr>
        <w:t> </w:t>
      </w:r>
      <w:r>
        <w:rPr>
          <w:sz w:val="22"/>
        </w:rPr>
        <w:t>policy,</w:t>
      </w:r>
      <w:r>
        <w:rPr>
          <w:spacing w:val="-9"/>
          <w:sz w:val="22"/>
        </w:rPr>
        <w:t> </w:t>
      </w:r>
      <w:r>
        <w:rPr>
          <w:sz w:val="22"/>
        </w:rPr>
        <w:t>scoring </w:t>
      </w:r>
      <w:r>
        <w:rPr>
          <w:spacing w:val="-2"/>
          <w:sz w:val="22"/>
        </w:rPr>
        <w:t>7-1-12</w:t>
      </w:r>
      <w:r>
        <w:rPr>
          <w:sz w:val="22"/>
        </w:rPr>
        <w:tab/>
        <w:t>Permanent, updating language</w:t>
      </w:r>
    </w:p>
    <w:p>
      <w:pPr>
        <w:tabs>
          <w:tab w:pos="1439" w:val="left" w:leader="none"/>
        </w:tabs>
        <w:spacing w:before="0"/>
        <w:ind w:left="1439" w:right="4780" w:hanging="1080"/>
        <w:jc w:val="left"/>
        <w:rPr>
          <w:sz w:val="22"/>
        </w:rPr>
      </w:pPr>
      <w:r>
        <w:rPr>
          <w:spacing w:val="-2"/>
          <w:sz w:val="22"/>
        </w:rPr>
        <w:t>9-12-14</w:t>
      </w:r>
      <w:r>
        <w:rPr>
          <w:sz w:val="22"/>
        </w:rPr>
        <w:tab/>
        <w:t>Permanent,</w:t>
      </w:r>
      <w:r>
        <w:rPr>
          <w:spacing w:val="-7"/>
          <w:sz w:val="22"/>
        </w:rPr>
        <w:t> </w:t>
      </w:r>
      <w:r>
        <w:rPr>
          <w:sz w:val="22"/>
        </w:rPr>
        <w:t>updating</w:t>
      </w:r>
      <w:r>
        <w:rPr>
          <w:spacing w:val="-8"/>
          <w:sz w:val="22"/>
        </w:rPr>
        <w:t> </w:t>
      </w:r>
      <w:r>
        <w:rPr>
          <w:sz w:val="22"/>
        </w:rPr>
        <w:t>language</w:t>
      </w:r>
      <w:r>
        <w:rPr>
          <w:spacing w:val="-8"/>
          <w:sz w:val="22"/>
        </w:rPr>
        <w:t> </w:t>
      </w:r>
      <w:r>
        <w:rPr>
          <w:sz w:val="22"/>
        </w:rPr>
        <w:t>due</w:t>
      </w:r>
      <w:r>
        <w:rPr>
          <w:spacing w:val="-8"/>
          <w:sz w:val="22"/>
        </w:rPr>
        <w:t> </w:t>
      </w:r>
      <w:r>
        <w:rPr>
          <w:sz w:val="22"/>
        </w:rPr>
        <w:t>to</w:t>
      </w:r>
      <w:r>
        <w:rPr>
          <w:spacing w:val="-8"/>
          <w:sz w:val="22"/>
        </w:rPr>
        <w:t> </w:t>
      </w:r>
      <w:r>
        <w:rPr>
          <w:sz w:val="22"/>
        </w:rPr>
        <w:t>audit Added Instructions to Staff</w:t>
      </w:r>
    </w:p>
    <w:p>
      <w:pPr>
        <w:tabs>
          <w:tab w:pos="1439" w:val="left" w:leader="none"/>
        </w:tabs>
        <w:spacing w:before="1"/>
        <w:ind w:left="359" w:right="0" w:firstLine="0"/>
        <w:jc w:val="left"/>
        <w:rPr>
          <w:sz w:val="22"/>
        </w:rPr>
      </w:pPr>
      <w:r>
        <w:rPr>
          <w:spacing w:val="-2"/>
          <w:sz w:val="22"/>
        </w:rPr>
        <w:t>8-27-</w:t>
      </w:r>
      <w:r>
        <w:rPr>
          <w:spacing w:val="-5"/>
          <w:sz w:val="22"/>
        </w:rPr>
        <w:t>15</w:t>
      </w:r>
      <w:r>
        <w:rPr>
          <w:sz w:val="22"/>
        </w:rPr>
        <w:tab/>
        <w:t>Added</w:t>
      </w:r>
      <w:r>
        <w:rPr>
          <w:spacing w:val="-8"/>
          <w:sz w:val="22"/>
        </w:rPr>
        <w:t> </w:t>
      </w:r>
      <w:r>
        <w:rPr>
          <w:sz w:val="22"/>
        </w:rPr>
        <w:t>subsection</w:t>
      </w:r>
      <w:r>
        <w:rPr>
          <w:spacing w:val="-8"/>
          <w:sz w:val="22"/>
        </w:rPr>
        <w:t> </w:t>
      </w:r>
      <w:r>
        <w:rPr>
          <w:sz w:val="22"/>
        </w:rPr>
        <w:t>(F)</w:t>
      </w:r>
      <w:r>
        <w:rPr>
          <w:spacing w:val="-7"/>
          <w:sz w:val="22"/>
        </w:rPr>
        <w:t> </w:t>
      </w:r>
      <w:r>
        <w:rPr>
          <w:sz w:val="22"/>
        </w:rPr>
        <w:t>attendance</w:t>
      </w:r>
      <w:r>
        <w:rPr>
          <w:spacing w:val="-8"/>
          <w:sz w:val="22"/>
        </w:rPr>
        <w:t> </w:t>
      </w:r>
      <w:r>
        <w:rPr>
          <w:sz w:val="22"/>
        </w:rPr>
        <w:t>at</w:t>
      </w:r>
      <w:r>
        <w:rPr>
          <w:spacing w:val="-9"/>
          <w:sz w:val="22"/>
        </w:rPr>
        <w:t> </w:t>
      </w:r>
      <w:r>
        <w:rPr>
          <w:sz w:val="22"/>
        </w:rPr>
        <w:t>Quarterly</w:t>
      </w:r>
      <w:r>
        <w:rPr>
          <w:spacing w:val="-7"/>
          <w:sz w:val="22"/>
        </w:rPr>
        <w:t> </w:t>
      </w:r>
      <w:r>
        <w:rPr>
          <w:sz w:val="22"/>
        </w:rPr>
        <w:t>ECM</w:t>
      </w:r>
      <w:r>
        <w:rPr>
          <w:spacing w:val="-8"/>
          <w:sz w:val="22"/>
        </w:rPr>
        <w:t> </w:t>
      </w:r>
      <w:r>
        <w:rPr>
          <w:spacing w:val="-2"/>
          <w:sz w:val="22"/>
        </w:rPr>
        <w:t>Meeting.</w:t>
      </w:r>
    </w:p>
    <w:p>
      <w:pPr>
        <w:tabs>
          <w:tab w:pos="1439" w:val="left" w:leader="none"/>
        </w:tabs>
        <w:spacing w:before="0"/>
        <w:ind w:left="359" w:right="0" w:firstLine="0"/>
        <w:jc w:val="left"/>
        <w:rPr>
          <w:sz w:val="22"/>
        </w:rPr>
      </w:pPr>
      <w:r>
        <w:rPr>
          <w:spacing w:val="-2"/>
          <w:sz w:val="22"/>
        </w:rPr>
        <w:t>8-11-</w:t>
      </w:r>
      <w:r>
        <w:rPr>
          <w:spacing w:val="-5"/>
          <w:sz w:val="22"/>
        </w:rPr>
        <w:t>22</w:t>
      </w:r>
      <w:r>
        <w:rPr>
          <w:sz w:val="22"/>
        </w:rPr>
        <w:tab/>
        <w:t>Proposed</w:t>
      </w:r>
      <w:r>
        <w:rPr>
          <w:spacing w:val="-9"/>
          <w:sz w:val="22"/>
        </w:rPr>
        <w:t> </w:t>
      </w:r>
      <w:r>
        <w:rPr>
          <w:sz w:val="22"/>
        </w:rPr>
        <w:t>rule</w:t>
      </w:r>
      <w:r>
        <w:rPr>
          <w:spacing w:val="-8"/>
          <w:sz w:val="22"/>
        </w:rPr>
        <w:t> </w:t>
      </w:r>
      <w:r>
        <w:rPr>
          <w:sz w:val="22"/>
        </w:rPr>
        <w:t>revision</w:t>
      </w:r>
      <w:r>
        <w:rPr>
          <w:spacing w:val="-8"/>
          <w:sz w:val="22"/>
        </w:rPr>
        <w:t> </w:t>
      </w:r>
      <w:r>
        <w:rPr>
          <w:sz w:val="22"/>
        </w:rPr>
        <w:t>adds</w:t>
      </w:r>
      <w:r>
        <w:rPr>
          <w:spacing w:val="-8"/>
          <w:sz w:val="22"/>
        </w:rPr>
        <w:t> </w:t>
      </w:r>
      <w:r>
        <w:rPr>
          <w:sz w:val="22"/>
        </w:rPr>
        <w:t>language</w:t>
      </w:r>
      <w:r>
        <w:rPr>
          <w:spacing w:val="-8"/>
          <w:sz w:val="22"/>
        </w:rPr>
        <w:t> </w:t>
      </w:r>
      <w:r>
        <w:rPr>
          <w:sz w:val="22"/>
        </w:rPr>
        <w:t>merchandise</w:t>
      </w:r>
      <w:r>
        <w:rPr>
          <w:spacing w:val="-8"/>
          <w:sz w:val="22"/>
        </w:rPr>
        <w:t> </w:t>
      </w:r>
      <w:r>
        <w:rPr>
          <w:sz w:val="22"/>
        </w:rPr>
        <w:t>loan</w:t>
      </w:r>
      <w:r>
        <w:rPr>
          <w:spacing w:val="-8"/>
          <w:sz w:val="22"/>
        </w:rPr>
        <w:t> </w:t>
      </w:r>
      <w:r>
        <w:rPr>
          <w:spacing w:val="-2"/>
          <w:sz w:val="22"/>
        </w:rPr>
        <w:t>payments.</w:t>
      </w:r>
    </w:p>
    <w:p>
      <w:pPr>
        <w:spacing w:after="0"/>
        <w:jc w:val="left"/>
        <w:rPr>
          <w:sz w:val="22"/>
        </w:rPr>
        <w:sectPr>
          <w:pgSz w:w="12240" w:h="15840"/>
          <w:pgMar w:top="1360" w:bottom="280" w:left="1080" w:right="720"/>
        </w:sectPr>
      </w:pPr>
    </w:p>
    <w:p>
      <w:pPr>
        <w:pStyle w:val="Heading2"/>
      </w:pPr>
      <w:bookmarkStart w:name="612:25-4-59.  Interview, Selection Proce" w:id="410"/>
      <w:bookmarkEnd w:id="410"/>
      <w:r>
        <w:rPr>
          <w:b w:val="0"/>
        </w:rPr>
      </w:r>
      <w:r>
        <w:rPr/>
        <w:t>612:25-4-59.</w:t>
      </w:r>
      <w:r>
        <w:rPr>
          <w:spacing w:val="58"/>
        </w:rPr>
        <w:t> </w:t>
      </w:r>
      <w:r>
        <w:rPr/>
        <w:t>Interview,</w:t>
      </w:r>
      <w:r>
        <w:rPr>
          <w:spacing w:val="-4"/>
        </w:rPr>
        <w:t> </w:t>
      </w:r>
      <w:r>
        <w:rPr/>
        <w:t>Selection</w:t>
      </w:r>
      <w:r>
        <w:rPr>
          <w:spacing w:val="-4"/>
        </w:rPr>
        <w:t> </w:t>
      </w:r>
      <w:r>
        <w:rPr/>
        <w:t>Process</w:t>
      </w:r>
      <w:r>
        <w:rPr>
          <w:spacing w:val="-4"/>
        </w:rPr>
        <w:t> </w:t>
      </w:r>
      <w:r>
        <w:rPr/>
        <w:t>and</w:t>
      </w:r>
      <w:r>
        <w:rPr>
          <w:spacing w:val="-5"/>
        </w:rPr>
        <w:t> </w:t>
      </w:r>
      <w:r>
        <w:rPr>
          <w:spacing w:val="-2"/>
        </w:rPr>
        <w:t>Scoring</w:t>
      </w:r>
    </w:p>
    <w:p>
      <w:pPr>
        <w:pStyle w:val="ListParagraph"/>
        <w:numPr>
          <w:ilvl w:val="0"/>
          <w:numId w:val="390"/>
        </w:numPr>
        <w:tabs>
          <w:tab w:pos="786" w:val="left" w:leader="none"/>
        </w:tabs>
        <w:spacing w:line="208" w:lineRule="auto" w:before="233" w:after="0"/>
        <w:ind w:left="360" w:right="1044" w:firstLine="0"/>
        <w:jc w:val="left"/>
        <w:rPr>
          <w:sz w:val="24"/>
        </w:rPr>
      </w:pPr>
      <w:r>
        <w:rPr>
          <w:sz w:val="24"/>
        </w:rPr>
        <w:t>All</w:t>
      </w:r>
      <w:r>
        <w:rPr>
          <w:spacing w:val="-3"/>
          <w:sz w:val="24"/>
        </w:rPr>
        <w:t> </w:t>
      </w:r>
      <w:r>
        <w:rPr>
          <w:sz w:val="24"/>
        </w:rPr>
        <w:t>eligible</w:t>
      </w:r>
      <w:r>
        <w:rPr>
          <w:spacing w:val="-3"/>
          <w:sz w:val="24"/>
        </w:rPr>
        <w:t> </w:t>
      </w:r>
      <w:r>
        <w:rPr>
          <w:sz w:val="24"/>
        </w:rPr>
        <w:t>applicants</w:t>
      </w:r>
      <w:r>
        <w:rPr>
          <w:spacing w:val="-3"/>
          <w:sz w:val="24"/>
        </w:rPr>
        <w:t> </w:t>
      </w:r>
      <w:r>
        <w:rPr>
          <w:sz w:val="24"/>
        </w:rPr>
        <w:t>will</w:t>
      </w:r>
      <w:r>
        <w:rPr>
          <w:spacing w:val="-3"/>
          <w:sz w:val="24"/>
        </w:rPr>
        <w:t> </w:t>
      </w:r>
      <w:r>
        <w:rPr>
          <w:sz w:val="24"/>
        </w:rPr>
        <w:t>be</w:t>
      </w:r>
      <w:r>
        <w:rPr>
          <w:spacing w:val="-3"/>
          <w:sz w:val="24"/>
        </w:rPr>
        <w:t> </w:t>
      </w:r>
      <w:r>
        <w:rPr>
          <w:sz w:val="24"/>
        </w:rPr>
        <w:t>referred</w:t>
      </w:r>
      <w:r>
        <w:rPr>
          <w:spacing w:val="-3"/>
          <w:sz w:val="24"/>
        </w:rPr>
        <w:t> </w:t>
      </w:r>
      <w:r>
        <w:rPr>
          <w:sz w:val="24"/>
        </w:rPr>
        <w:t>by</w:t>
      </w:r>
      <w:r>
        <w:rPr>
          <w:spacing w:val="-3"/>
          <w:sz w:val="24"/>
        </w:rPr>
        <w:t> </w:t>
      </w:r>
      <w:r>
        <w:rPr>
          <w:sz w:val="24"/>
        </w:rPr>
        <w:t>the</w:t>
      </w:r>
      <w:r>
        <w:rPr>
          <w:spacing w:val="-3"/>
          <w:sz w:val="24"/>
        </w:rPr>
        <w:t> </w:t>
      </w:r>
      <w:r>
        <w:rPr>
          <w:sz w:val="24"/>
        </w:rPr>
        <w:t>SLA</w:t>
      </w:r>
      <w:r>
        <w:rPr>
          <w:spacing w:val="-3"/>
          <w:sz w:val="24"/>
        </w:rPr>
        <w:t> </w:t>
      </w:r>
      <w:r>
        <w:rPr>
          <w:sz w:val="24"/>
        </w:rPr>
        <w:t>to</w:t>
      </w:r>
      <w:r>
        <w:rPr>
          <w:spacing w:val="-3"/>
          <w:sz w:val="24"/>
        </w:rPr>
        <w:t> </w:t>
      </w:r>
      <w:r>
        <w:rPr>
          <w:sz w:val="24"/>
        </w:rPr>
        <w:t>the</w:t>
      </w:r>
      <w:r>
        <w:rPr>
          <w:spacing w:val="-3"/>
          <w:sz w:val="24"/>
        </w:rPr>
        <w:t> </w:t>
      </w:r>
      <w:r>
        <w:rPr>
          <w:sz w:val="24"/>
        </w:rPr>
        <w:t>Selection</w:t>
      </w:r>
      <w:r>
        <w:rPr>
          <w:spacing w:val="-3"/>
          <w:sz w:val="24"/>
        </w:rPr>
        <w:t> </w:t>
      </w:r>
      <w:r>
        <w:rPr>
          <w:sz w:val="24"/>
        </w:rPr>
        <w:t>Committee</w:t>
      </w:r>
      <w:r>
        <w:rPr>
          <w:spacing w:val="-3"/>
          <w:sz w:val="24"/>
        </w:rPr>
        <w:t> </w:t>
      </w:r>
      <w:r>
        <w:rPr>
          <w:sz w:val="24"/>
        </w:rPr>
        <w:t>for</w:t>
      </w:r>
      <w:r>
        <w:rPr>
          <w:spacing w:val="-2"/>
          <w:sz w:val="24"/>
        </w:rPr>
        <w:t> </w:t>
      </w:r>
      <w:r>
        <w:rPr>
          <w:sz w:val="24"/>
        </w:rPr>
        <w:t>a personal interview.</w:t>
      </w:r>
    </w:p>
    <w:p>
      <w:pPr>
        <w:pStyle w:val="ListParagraph"/>
        <w:numPr>
          <w:ilvl w:val="0"/>
          <w:numId w:val="390"/>
        </w:numPr>
        <w:tabs>
          <w:tab w:pos="786" w:val="left" w:leader="none"/>
        </w:tabs>
        <w:spacing w:line="208" w:lineRule="auto" w:before="240" w:after="0"/>
        <w:ind w:left="360" w:right="793" w:firstLine="0"/>
        <w:jc w:val="left"/>
        <w:rPr>
          <w:sz w:val="24"/>
        </w:rPr>
      </w:pPr>
      <w:r>
        <w:rPr>
          <w:sz w:val="24"/>
        </w:rPr>
        <w:t>All personal information made available to the Selection committee and all information discussed in the course of a selection is held confidential.</w:t>
      </w:r>
      <w:r>
        <w:rPr>
          <w:spacing w:val="40"/>
          <w:sz w:val="24"/>
        </w:rPr>
        <w:t> </w:t>
      </w:r>
      <w:r>
        <w:rPr>
          <w:sz w:val="24"/>
        </w:rPr>
        <w:t>Information will not</w:t>
      </w:r>
      <w:r>
        <w:rPr>
          <w:spacing w:val="-3"/>
          <w:sz w:val="24"/>
        </w:rPr>
        <w:t> </w:t>
      </w:r>
      <w:r>
        <w:rPr>
          <w:sz w:val="24"/>
        </w:rPr>
        <w:t>be</w:t>
      </w:r>
      <w:r>
        <w:rPr>
          <w:spacing w:val="-4"/>
          <w:sz w:val="24"/>
        </w:rPr>
        <w:t> </w:t>
      </w:r>
      <w:r>
        <w:rPr>
          <w:sz w:val="24"/>
        </w:rPr>
        <w:t>released</w:t>
      </w:r>
      <w:r>
        <w:rPr>
          <w:spacing w:val="-4"/>
          <w:sz w:val="24"/>
        </w:rPr>
        <w:t> </w:t>
      </w:r>
      <w:r>
        <w:rPr>
          <w:sz w:val="24"/>
        </w:rPr>
        <w:t>to</w:t>
      </w:r>
      <w:r>
        <w:rPr>
          <w:spacing w:val="-4"/>
          <w:sz w:val="24"/>
        </w:rPr>
        <w:t> </w:t>
      </w:r>
      <w:r>
        <w:rPr>
          <w:sz w:val="24"/>
        </w:rPr>
        <w:t>any</w:t>
      </w:r>
      <w:r>
        <w:rPr>
          <w:spacing w:val="-4"/>
          <w:sz w:val="24"/>
        </w:rPr>
        <w:t> </w:t>
      </w:r>
      <w:r>
        <w:rPr>
          <w:sz w:val="24"/>
        </w:rPr>
        <w:t>other</w:t>
      </w:r>
      <w:r>
        <w:rPr>
          <w:spacing w:val="-3"/>
          <w:sz w:val="24"/>
        </w:rPr>
        <w:t> </w:t>
      </w:r>
      <w:r>
        <w:rPr>
          <w:sz w:val="24"/>
        </w:rPr>
        <w:t>individual,</w:t>
      </w:r>
      <w:r>
        <w:rPr>
          <w:spacing w:val="-3"/>
          <w:sz w:val="24"/>
        </w:rPr>
        <w:t> </w:t>
      </w:r>
      <w:r>
        <w:rPr>
          <w:sz w:val="24"/>
        </w:rPr>
        <w:t>agency,</w:t>
      </w:r>
      <w:r>
        <w:rPr>
          <w:spacing w:val="-3"/>
          <w:sz w:val="24"/>
        </w:rPr>
        <w:t> </w:t>
      </w:r>
      <w:r>
        <w:rPr>
          <w:sz w:val="24"/>
        </w:rPr>
        <w:t>or</w:t>
      </w:r>
      <w:r>
        <w:rPr>
          <w:spacing w:val="-3"/>
          <w:sz w:val="24"/>
        </w:rPr>
        <w:t> </w:t>
      </w:r>
      <w:r>
        <w:rPr>
          <w:sz w:val="24"/>
        </w:rPr>
        <w:t>organization</w:t>
      </w:r>
      <w:r>
        <w:rPr>
          <w:spacing w:val="-4"/>
          <w:sz w:val="24"/>
        </w:rPr>
        <w:t> </w:t>
      </w:r>
      <w:r>
        <w:rPr>
          <w:sz w:val="24"/>
        </w:rPr>
        <w:t>by</w:t>
      </w:r>
      <w:r>
        <w:rPr>
          <w:spacing w:val="-4"/>
          <w:sz w:val="24"/>
        </w:rPr>
        <w:t> </w:t>
      </w:r>
      <w:r>
        <w:rPr>
          <w:sz w:val="24"/>
        </w:rPr>
        <w:t>Selection</w:t>
      </w:r>
      <w:r>
        <w:rPr>
          <w:spacing w:val="-3"/>
          <w:sz w:val="24"/>
        </w:rPr>
        <w:t> </w:t>
      </w:r>
      <w:r>
        <w:rPr>
          <w:sz w:val="24"/>
        </w:rPr>
        <w:t>Committee members, unless they are advised in writing by the SLA's legal counsel to release </w:t>
      </w:r>
      <w:r>
        <w:rPr>
          <w:spacing w:val="-2"/>
          <w:sz w:val="24"/>
        </w:rPr>
        <w:t>information.</w:t>
      </w:r>
    </w:p>
    <w:p>
      <w:pPr>
        <w:pStyle w:val="ListParagraph"/>
        <w:numPr>
          <w:ilvl w:val="0"/>
          <w:numId w:val="390"/>
        </w:numPr>
        <w:tabs>
          <w:tab w:pos="773" w:val="left" w:leader="none"/>
        </w:tabs>
        <w:spacing w:line="208" w:lineRule="auto" w:before="239" w:after="0"/>
        <w:ind w:left="360" w:right="1099" w:firstLine="0"/>
        <w:jc w:val="left"/>
        <w:rPr>
          <w:sz w:val="24"/>
        </w:rPr>
      </w:pPr>
      <w:r>
        <w:rPr>
          <w:sz w:val="24"/>
        </w:rPr>
        <w:t>An</w:t>
      </w:r>
      <w:r>
        <w:rPr>
          <w:spacing w:val="-4"/>
          <w:sz w:val="24"/>
        </w:rPr>
        <w:t> </w:t>
      </w:r>
      <w:r>
        <w:rPr>
          <w:sz w:val="24"/>
        </w:rPr>
        <w:t>applicant</w:t>
      </w:r>
      <w:r>
        <w:rPr>
          <w:spacing w:val="-3"/>
          <w:sz w:val="24"/>
        </w:rPr>
        <w:t> </w:t>
      </w:r>
      <w:r>
        <w:rPr>
          <w:sz w:val="24"/>
        </w:rPr>
        <w:t>not</w:t>
      </w:r>
      <w:r>
        <w:rPr>
          <w:spacing w:val="-3"/>
          <w:sz w:val="24"/>
        </w:rPr>
        <w:t> </w:t>
      </w:r>
      <w:r>
        <w:rPr>
          <w:sz w:val="24"/>
        </w:rPr>
        <w:t>present</w:t>
      </w:r>
      <w:r>
        <w:rPr>
          <w:spacing w:val="-3"/>
          <w:sz w:val="24"/>
        </w:rPr>
        <w:t> </w:t>
      </w:r>
      <w:r>
        <w:rPr>
          <w:sz w:val="24"/>
        </w:rPr>
        <w:t>at</w:t>
      </w:r>
      <w:r>
        <w:rPr>
          <w:spacing w:val="-3"/>
          <w:sz w:val="24"/>
        </w:rPr>
        <w:t> </w:t>
      </w:r>
      <w:r>
        <w:rPr>
          <w:sz w:val="24"/>
        </w:rPr>
        <w:t>the</w:t>
      </w:r>
      <w:r>
        <w:rPr>
          <w:spacing w:val="-4"/>
          <w:sz w:val="24"/>
        </w:rPr>
        <w:t> </w:t>
      </w:r>
      <w:r>
        <w:rPr>
          <w:sz w:val="24"/>
        </w:rPr>
        <w:t>appointed</w:t>
      </w:r>
      <w:r>
        <w:rPr>
          <w:spacing w:val="-4"/>
          <w:sz w:val="24"/>
        </w:rPr>
        <w:t> </w:t>
      </w:r>
      <w:r>
        <w:rPr>
          <w:sz w:val="24"/>
        </w:rPr>
        <w:t>time</w:t>
      </w:r>
      <w:r>
        <w:rPr>
          <w:spacing w:val="-4"/>
          <w:sz w:val="24"/>
        </w:rPr>
        <w:t> </w:t>
      </w:r>
      <w:r>
        <w:rPr>
          <w:sz w:val="24"/>
        </w:rPr>
        <w:t>for</w:t>
      </w:r>
      <w:r>
        <w:rPr>
          <w:spacing w:val="-5"/>
          <w:sz w:val="24"/>
        </w:rPr>
        <w:t> </w:t>
      </w:r>
      <w:r>
        <w:rPr>
          <w:sz w:val="24"/>
        </w:rPr>
        <w:t>their</w:t>
      </w:r>
      <w:r>
        <w:rPr>
          <w:spacing w:val="-3"/>
          <w:sz w:val="24"/>
        </w:rPr>
        <w:t> </w:t>
      </w:r>
      <w:r>
        <w:rPr>
          <w:sz w:val="24"/>
        </w:rPr>
        <w:t>interview</w:t>
      </w:r>
      <w:r>
        <w:rPr>
          <w:spacing w:val="-4"/>
          <w:sz w:val="24"/>
        </w:rPr>
        <w:t> </w:t>
      </w:r>
      <w:r>
        <w:rPr>
          <w:sz w:val="24"/>
        </w:rPr>
        <w:t>will</w:t>
      </w:r>
      <w:r>
        <w:rPr>
          <w:spacing w:val="-4"/>
          <w:sz w:val="24"/>
        </w:rPr>
        <w:t> </w:t>
      </w:r>
      <w:r>
        <w:rPr>
          <w:sz w:val="24"/>
        </w:rPr>
        <w:t>have</w:t>
      </w:r>
      <w:r>
        <w:rPr>
          <w:spacing w:val="-4"/>
          <w:sz w:val="24"/>
        </w:rPr>
        <w:t> </w:t>
      </w:r>
      <w:r>
        <w:rPr>
          <w:sz w:val="24"/>
        </w:rPr>
        <w:t>his/her name removed from consideration for this location unless due to reasonable extenuating circumstances make them unable to appear and a majority vote of the selection committee agrees to allow a change of the interview time.</w:t>
      </w:r>
    </w:p>
    <w:p>
      <w:pPr>
        <w:pStyle w:val="ListParagraph"/>
        <w:numPr>
          <w:ilvl w:val="0"/>
          <w:numId w:val="390"/>
        </w:numPr>
        <w:tabs>
          <w:tab w:pos="786" w:val="left" w:leader="none"/>
        </w:tabs>
        <w:spacing w:line="208" w:lineRule="auto" w:before="240" w:after="0"/>
        <w:ind w:left="360" w:right="738" w:firstLine="0"/>
        <w:jc w:val="left"/>
        <w:rPr>
          <w:sz w:val="24"/>
        </w:rPr>
      </w:pPr>
      <w:r>
        <w:rPr>
          <w:sz w:val="24"/>
        </w:rPr>
        <w:t>Following every interview, each Selection Committee member will complete a score sheet on the applicant.</w:t>
      </w:r>
      <w:r>
        <w:rPr>
          <w:spacing w:val="40"/>
          <w:sz w:val="24"/>
        </w:rPr>
        <w:t> </w:t>
      </w:r>
      <w:r>
        <w:rPr>
          <w:sz w:val="24"/>
        </w:rPr>
        <w:t>Members of the Selection committee must complete their own score</w:t>
      </w:r>
      <w:r>
        <w:rPr>
          <w:spacing w:val="-3"/>
          <w:sz w:val="24"/>
        </w:rPr>
        <w:t> </w:t>
      </w:r>
      <w:r>
        <w:rPr>
          <w:sz w:val="24"/>
        </w:rPr>
        <w:t>sheets</w:t>
      </w:r>
      <w:r>
        <w:rPr>
          <w:spacing w:val="-3"/>
          <w:sz w:val="24"/>
        </w:rPr>
        <w:t> </w:t>
      </w:r>
      <w:r>
        <w:rPr>
          <w:sz w:val="24"/>
        </w:rPr>
        <w:t>before</w:t>
      </w:r>
      <w:r>
        <w:rPr>
          <w:spacing w:val="-3"/>
          <w:sz w:val="24"/>
        </w:rPr>
        <w:t> </w:t>
      </w:r>
      <w:r>
        <w:rPr>
          <w:sz w:val="24"/>
        </w:rPr>
        <w:t>assisting</w:t>
      </w:r>
      <w:r>
        <w:rPr>
          <w:spacing w:val="-3"/>
          <w:sz w:val="24"/>
        </w:rPr>
        <w:t> </w:t>
      </w:r>
      <w:r>
        <w:rPr>
          <w:sz w:val="24"/>
        </w:rPr>
        <w:t>another</w:t>
      </w:r>
      <w:r>
        <w:rPr>
          <w:spacing w:val="-2"/>
          <w:sz w:val="24"/>
        </w:rPr>
        <w:t> </w:t>
      </w:r>
      <w:r>
        <w:rPr>
          <w:sz w:val="24"/>
        </w:rPr>
        <w:t>member.</w:t>
      </w:r>
      <w:r>
        <w:rPr>
          <w:spacing w:val="40"/>
          <w:sz w:val="24"/>
        </w:rPr>
        <w:t> </w:t>
      </w:r>
      <w:r>
        <w:rPr>
          <w:sz w:val="24"/>
        </w:rPr>
        <w:t>After</w:t>
      </w:r>
      <w:r>
        <w:rPr>
          <w:spacing w:val="-4"/>
          <w:sz w:val="24"/>
        </w:rPr>
        <w:t> </w:t>
      </w:r>
      <w:r>
        <w:rPr>
          <w:sz w:val="24"/>
        </w:rPr>
        <w:t>each</w:t>
      </w:r>
      <w:r>
        <w:rPr>
          <w:spacing w:val="-3"/>
          <w:sz w:val="24"/>
        </w:rPr>
        <w:t> </w:t>
      </w:r>
      <w:r>
        <w:rPr>
          <w:sz w:val="24"/>
        </w:rPr>
        <w:t>interview,</w:t>
      </w:r>
      <w:r>
        <w:rPr>
          <w:spacing w:val="-2"/>
          <w:sz w:val="24"/>
        </w:rPr>
        <w:t> </w:t>
      </w:r>
      <w:r>
        <w:rPr>
          <w:sz w:val="24"/>
        </w:rPr>
        <w:t>the</w:t>
      </w:r>
      <w:r>
        <w:rPr>
          <w:spacing w:val="-3"/>
          <w:sz w:val="24"/>
        </w:rPr>
        <w:t> </w:t>
      </w:r>
      <w:r>
        <w:rPr>
          <w:sz w:val="24"/>
        </w:rPr>
        <w:t>scores</w:t>
      </w:r>
      <w:r>
        <w:rPr>
          <w:spacing w:val="-3"/>
          <w:sz w:val="24"/>
        </w:rPr>
        <w:t> </w:t>
      </w:r>
      <w:r>
        <w:rPr>
          <w:sz w:val="24"/>
        </w:rPr>
        <w:t>from</w:t>
      </w:r>
      <w:r>
        <w:rPr>
          <w:spacing w:val="-2"/>
          <w:sz w:val="24"/>
        </w:rPr>
        <w:t> </w:t>
      </w:r>
      <w:r>
        <w:rPr>
          <w:sz w:val="24"/>
        </w:rPr>
        <w:t>all score sheets on the applicant will be totaled.</w:t>
      </w:r>
      <w:r>
        <w:rPr>
          <w:spacing w:val="40"/>
          <w:sz w:val="24"/>
        </w:rPr>
        <w:t> </w:t>
      </w:r>
      <w:r>
        <w:rPr>
          <w:sz w:val="24"/>
        </w:rPr>
        <w:t>Selection Committee members may not change their scores for an applicant after scores for the applicant have been tabulated. The total scores for all applicants will then be ranked.</w:t>
      </w:r>
    </w:p>
    <w:p>
      <w:pPr>
        <w:pStyle w:val="ListParagraph"/>
        <w:numPr>
          <w:ilvl w:val="0"/>
          <w:numId w:val="390"/>
        </w:numPr>
        <w:tabs>
          <w:tab w:pos="786" w:val="left" w:leader="none"/>
        </w:tabs>
        <w:spacing w:line="208" w:lineRule="auto" w:before="239" w:after="0"/>
        <w:ind w:left="360" w:right="1323" w:firstLine="0"/>
        <w:jc w:val="left"/>
        <w:rPr>
          <w:sz w:val="24"/>
        </w:rPr>
      </w:pPr>
      <w:r>
        <w:rPr>
          <w:sz w:val="24"/>
        </w:rPr>
        <w:t>Any</w:t>
      </w:r>
      <w:r>
        <w:rPr>
          <w:spacing w:val="-3"/>
          <w:sz w:val="24"/>
        </w:rPr>
        <w:t> </w:t>
      </w:r>
      <w:r>
        <w:rPr>
          <w:sz w:val="24"/>
        </w:rPr>
        <w:t>candidate</w:t>
      </w:r>
      <w:r>
        <w:rPr>
          <w:spacing w:val="-3"/>
          <w:sz w:val="24"/>
        </w:rPr>
        <w:t> </w:t>
      </w:r>
      <w:r>
        <w:rPr>
          <w:sz w:val="24"/>
        </w:rPr>
        <w:t>not</w:t>
      </w:r>
      <w:r>
        <w:rPr>
          <w:spacing w:val="-2"/>
          <w:sz w:val="24"/>
        </w:rPr>
        <w:t> </w:t>
      </w:r>
      <w:r>
        <w:rPr>
          <w:sz w:val="24"/>
        </w:rPr>
        <w:t>scoring</w:t>
      </w:r>
      <w:r>
        <w:rPr>
          <w:spacing w:val="-3"/>
          <w:sz w:val="24"/>
        </w:rPr>
        <w:t> </w:t>
      </w:r>
      <w:r>
        <w:rPr>
          <w:sz w:val="24"/>
        </w:rPr>
        <w:t>a</w:t>
      </w:r>
      <w:r>
        <w:rPr>
          <w:spacing w:val="-3"/>
          <w:sz w:val="24"/>
        </w:rPr>
        <w:t> </w:t>
      </w:r>
      <w:r>
        <w:rPr>
          <w:sz w:val="24"/>
        </w:rPr>
        <w:t>minimum</w:t>
      </w:r>
      <w:r>
        <w:rPr>
          <w:spacing w:val="-3"/>
          <w:sz w:val="24"/>
        </w:rPr>
        <w:t> </w:t>
      </w:r>
      <w:r>
        <w:rPr>
          <w:sz w:val="24"/>
        </w:rPr>
        <w:t>of</w:t>
      </w:r>
      <w:r>
        <w:rPr>
          <w:spacing w:val="-3"/>
          <w:sz w:val="24"/>
        </w:rPr>
        <w:t> </w:t>
      </w:r>
      <w:r>
        <w:rPr>
          <w:sz w:val="24"/>
        </w:rPr>
        <w:t>50</w:t>
      </w:r>
      <w:r>
        <w:rPr>
          <w:spacing w:val="-3"/>
          <w:sz w:val="24"/>
        </w:rPr>
        <w:t> </w:t>
      </w:r>
      <w:r>
        <w:rPr>
          <w:sz w:val="24"/>
        </w:rPr>
        <w:t>percent</w:t>
      </w:r>
      <w:r>
        <w:rPr>
          <w:spacing w:val="-3"/>
          <w:sz w:val="24"/>
        </w:rPr>
        <w:t> </w:t>
      </w:r>
      <w:r>
        <w:rPr>
          <w:sz w:val="24"/>
        </w:rPr>
        <w:t>of</w:t>
      </w:r>
      <w:r>
        <w:rPr>
          <w:spacing w:val="-4"/>
          <w:sz w:val="24"/>
        </w:rPr>
        <w:t> </w:t>
      </w:r>
      <w:r>
        <w:rPr>
          <w:sz w:val="24"/>
        </w:rPr>
        <w:t>the</w:t>
      </w:r>
      <w:r>
        <w:rPr>
          <w:spacing w:val="-3"/>
          <w:sz w:val="24"/>
        </w:rPr>
        <w:t> </w:t>
      </w:r>
      <w:r>
        <w:rPr>
          <w:sz w:val="24"/>
        </w:rPr>
        <w:t>available</w:t>
      </w:r>
      <w:r>
        <w:rPr>
          <w:spacing w:val="-3"/>
          <w:sz w:val="24"/>
        </w:rPr>
        <w:t> </w:t>
      </w:r>
      <w:r>
        <w:rPr>
          <w:sz w:val="24"/>
        </w:rPr>
        <w:t>points,</w:t>
      </w:r>
      <w:r>
        <w:rPr>
          <w:spacing w:val="-3"/>
          <w:sz w:val="24"/>
        </w:rPr>
        <w:t> </w:t>
      </w:r>
      <w:r>
        <w:rPr>
          <w:sz w:val="24"/>
        </w:rPr>
        <w:t>not including seniority, performance evaluation, or displaced manager points, will be deemed not qualified to manage the facility being considered.</w:t>
      </w:r>
    </w:p>
    <w:p>
      <w:pPr>
        <w:pStyle w:val="ListParagraph"/>
        <w:numPr>
          <w:ilvl w:val="0"/>
          <w:numId w:val="390"/>
        </w:numPr>
        <w:tabs>
          <w:tab w:pos="719" w:val="left" w:leader="none"/>
        </w:tabs>
        <w:spacing w:line="208" w:lineRule="auto" w:before="240" w:after="0"/>
        <w:ind w:left="360" w:right="976" w:firstLine="0"/>
        <w:jc w:val="left"/>
        <w:rPr>
          <w:sz w:val="24"/>
        </w:rPr>
      </w:pPr>
      <w:r>
        <w:rPr>
          <w:sz w:val="24"/>
        </w:rPr>
        <w:t>The</w:t>
      </w:r>
      <w:r>
        <w:rPr>
          <w:spacing w:val="-4"/>
          <w:sz w:val="24"/>
        </w:rPr>
        <w:t> </w:t>
      </w:r>
      <w:r>
        <w:rPr>
          <w:sz w:val="24"/>
        </w:rPr>
        <w:t>score</w:t>
      </w:r>
      <w:r>
        <w:rPr>
          <w:spacing w:val="-4"/>
          <w:sz w:val="24"/>
        </w:rPr>
        <w:t> </w:t>
      </w:r>
      <w:r>
        <w:rPr>
          <w:sz w:val="24"/>
        </w:rPr>
        <w:t>of</w:t>
      </w:r>
      <w:r>
        <w:rPr>
          <w:spacing w:val="-5"/>
          <w:sz w:val="24"/>
        </w:rPr>
        <w:t> </w:t>
      </w:r>
      <w:r>
        <w:rPr>
          <w:sz w:val="24"/>
        </w:rPr>
        <w:t>the</w:t>
      </w:r>
      <w:r>
        <w:rPr>
          <w:spacing w:val="-4"/>
          <w:sz w:val="24"/>
        </w:rPr>
        <w:t> </w:t>
      </w:r>
      <w:r>
        <w:rPr>
          <w:sz w:val="24"/>
        </w:rPr>
        <w:t>Chairperson</w:t>
      </w:r>
      <w:r>
        <w:rPr>
          <w:spacing w:val="-3"/>
          <w:sz w:val="24"/>
        </w:rPr>
        <w:t> </w:t>
      </w:r>
      <w:r>
        <w:rPr>
          <w:sz w:val="24"/>
        </w:rPr>
        <w:t>of</w:t>
      </w:r>
      <w:r>
        <w:rPr>
          <w:spacing w:val="-3"/>
          <w:sz w:val="24"/>
        </w:rPr>
        <w:t> </w:t>
      </w:r>
      <w:r>
        <w:rPr>
          <w:sz w:val="24"/>
        </w:rPr>
        <w:t>the</w:t>
      </w:r>
      <w:r>
        <w:rPr>
          <w:spacing w:val="-4"/>
          <w:sz w:val="24"/>
        </w:rPr>
        <w:t> </w:t>
      </w:r>
      <w:r>
        <w:rPr>
          <w:sz w:val="24"/>
        </w:rPr>
        <w:t>Selection</w:t>
      </w:r>
      <w:r>
        <w:rPr>
          <w:spacing w:val="-4"/>
          <w:sz w:val="24"/>
        </w:rPr>
        <w:t> </w:t>
      </w:r>
      <w:r>
        <w:rPr>
          <w:sz w:val="24"/>
        </w:rPr>
        <w:t>Committee's</w:t>
      </w:r>
      <w:r>
        <w:rPr>
          <w:spacing w:val="-4"/>
          <w:sz w:val="24"/>
        </w:rPr>
        <w:t> </w:t>
      </w:r>
      <w:r>
        <w:rPr>
          <w:sz w:val="24"/>
        </w:rPr>
        <w:t>score</w:t>
      </w:r>
      <w:r>
        <w:rPr>
          <w:spacing w:val="-4"/>
          <w:sz w:val="24"/>
        </w:rPr>
        <w:t> </w:t>
      </w:r>
      <w:r>
        <w:rPr>
          <w:sz w:val="24"/>
        </w:rPr>
        <w:t>will</w:t>
      </w:r>
      <w:r>
        <w:rPr>
          <w:spacing w:val="-4"/>
          <w:sz w:val="24"/>
        </w:rPr>
        <w:t> </w:t>
      </w:r>
      <w:r>
        <w:rPr>
          <w:sz w:val="24"/>
        </w:rPr>
        <w:t>not</w:t>
      </w:r>
      <w:r>
        <w:rPr>
          <w:spacing w:val="-3"/>
          <w:sz w:val="24"/>
        </w:rPr>
        <w:t> </w:t>
      </w:r>
      <w:r>
        <w:rPr>
          <w:sz w:val="24"/>
        </w:rPr>
        <w:t>be</w:t>
      </w:r>
      <w:r>
        <w:rPr>
          <w:spacing w:val="-4"/>
          <w:sz w:val="24"/>
        </w:rPr>
        <w:t> </w:t>
      </w:r>
      <w:r>
        <w:rPr>
          <w:sz w:val="24"/>
        </w:rPr>
        <w:t>added into the ranking unless it is a tie.</w:t>
      </w:r>
    </w:p>
    <w:p>
      <w:pPr>
        <w:pStyle w:val="ListParagraph"/>
        <w:numPr>
          <w:ilvl w:val="0"/>
          <w:numId w:val="390"/>
        </w:numPr>
        <w:tabs>
          <w:tab w:pos="786" w:val="left" w:leader="none"/>
        </w:tabs>
        <w:spacing w:line="208" w:lineRule="auto" w:before="240" w:after="0"/>
        <w:ind w:left="360" w:right="1087" w:firstLine="0"/>
        <w:jc w:val="left"/>
        <w:rPr>
          <w:sz w:val="24"/>
        </w:rPr>
      </w:pPr>
      <w:r>
        <w:rPr>
          <w:sz w:val="24"/>
        </w:rPr>
        <w:t>Any</w:t>
      </w:r>
      <w:r>
        <w:rPr>
          <w:spacing w:val="-4"/>
          <w:sz w:val="24"/>
        </w:rPr>
        <w:t> </w:t>
      </w:r>
      <w:r>
        <w:rPr>
          <w:sz w:val="24"/>
        </w:rPr>
        <w:t>agreement</w:t>
      </w:r>
      <w:r>
        <w:rPr>
          <w:spacing w:val="-3"/>
          <w:sz w:val="24"/>
        </w:rPr>
        <w:t> </w:t>
      </w:r>
      <w:r>
        <w:rPr>
          <w:sz w:val="24"/>
        </w:rPr>
        <w:t>made</w:t>
      </w:r>
      <w:r>
        <w:rPr>
          <w:spacing w:val="-4"/>
          <w:sz w:val="24"/>
        </w:rPr>
        <w:t> </w:t>
      </w:r>
      <w:r>
        <w:rPr>
          <w:sz w:val="24"/>
        </w:rPr>
        <w:t>to</w:t>
      </w:r>
      <w:r>
        <w:rPr>
          <w:spacing w:val="-4"/>
          <w:sz w:val="24"/>
        </w:rPr>
        <w:t> </w:t>
      </w:r>
      <w:r>
        <w:rPr>
          <w:sz w:val="24"/>
        </w:rPr>
        <w:t>the</w:t>
      </w:r>
      <w:r>
        <w:rPr>
          <w:spacing w:val="-5"/>
          <w:sz w:val="24"/>
        </w:rPr>
        <w:t> </w:t>
      </w:r>
      <w:r>
        <w:rPr>
          <w:sz w:val="24"/>
        </w:rPr>
        <w:t>Selection</w:t>
      </w:r>
      <w:r>
        <w:rPr>
          <w:spacing w:val="-4"/>
          <w:sz w:val="24"/>
        </w:rPr>
        <w:t> </w:t>
      </w:r>
      <w:r>
        <w:rPr>
          <w:sz w:val="24"/>
        </w:rPr>
        <w:t>Committee</w:t>
      </w:r>
      <w:r>
        <w:rPr>
          <w:spacing w:val="-4"/>
          <w:sz w:val="24"/>
        </w:rPr>
        <w:t> </w:t>
      </w:r>
      <w:r>
        <w:rPr>
          <w:sz w:val="24"/>
        </w:rPr>
        <w:t>by</w:t>
      </w:r>
      <w:r>
        <w:rPr>
          <w:spacing w:val="-4"/>
          <w:sz w:val="24"/>
        </w:rPr>
        <w:t> </w:t>
      </w:r>
      <w:r>
        <w:rPr>
          <w:sz w:val="24"/>
        </w:rPr>
        <w:t>a</w:t>
      </w:r>
      <w:r>
        <w:rPr>
          <w:spacing w:val="-4"/>
          <w:sz w:val="24"/>
        </w:rPr>
        <w:t> </w:t>
      </w:r>
      <w:r>
        <w:rPr>
          <w:sz w:val="24"/>
        </w:rPr>
        <w:t>selected</w:t>
      </w:r>
      <w:r>
        <w:rPr>
          <w:spacing w:val="-4"/>
          <w:sz w:val="24"/>
        </w:rPr>
        <w:t> </w:t>
      </w:r>
      <w:r>
        <w:rPr>
          <w:sz w:val="24"/>
        </w:rPr>
        <w:t>candidate</w:t>
      </w:r>
      <w:r>
        <w:rPr>
          <w:spacing w:val="-4"/>
          <w:sz w:val="24"/>
        </w:rPr>
        <w:t> </w:t>
      </w:r>
      <w:r>
        <w:rPr>
          <w:sz w:val="24"/>
        </w:rPr>
        <w:t>will</w:t>
      </w:r>
      <w:r>
        <w:rPr>
          <w:spacing w:val="-4"/>
          <w:sz w:val="24"/>
        </w:rPr>
        <w:t> </w:t>
      </w:r>
      <w:r>
        <w:rPr>
          <w:sz w:val="24"/>
        </w:rPr>
        <w:t>be transferred to an addendum in the manager's agreement by the BEP Operations </w:t>
      </w:r>
      <w:r>
        <w:rPr>
          <w:spacing w:val="-2"/>
          <w:sz w:val="24"/>
        </w:rPr>
        <w:t>Coordinator.</w:t>
      </w:r>
    </w:p>
    <w:p>
      <w:pPr>
        <w:pStyle w:val="ListParagraph"/>
        <w:numPr>
          <w:ilvl w:val="0"/>
          <w:numId w:val="390"/>
        </w:numPr>
        <w:tabs>
          <w:tab w:pos="786" w:val="left" w:leader="none"/>
        </w:tabs>
        <w:spacing w:line="208" w:lineRule="auto" w:before="239" w:after="0"/>
        <w:ind w:left="360" w:right="832" w:firstLine="0"/>
        <w:jc w:val="left"/>
        <w:rPr>
          <w:sz w:val="24"/>
        </w:rPr>
      </w:pPr>
      <w:r>
        <w:rPr>
          <w:sz w:val="24"/>
        </w:rPr>
        <w:t>After all applicants' scores from the initial interview have been tabulated; a second interview will be given to the top scorer and any applicant whose total score is within 5 points of the top score.</w:t>
      </w:r>
      <w:r>
        <w:rPr>
          <w:spacing w:val="40"/>
          <w:sz w:val="24"/>
        </w:rPr>
        <w:t> </w:t>
      </w:r>
      <w:r>
        <w:rPr>
          <w:sz w:val="24"/>
        </w:rPr>
        <w:t>The SLA will have the responsibility of convening the same Selection Committee and notifying all eligible applicants of the time and place of the second</w:t>
      </w:r>
      <w:r>
        <w:rPr>
          <w:spacing w:val="-3"/>
          <w:sz w:val="24"/>
        </w:rPr>
        <w:t> </w:t>
      </w:r>
      <w:r>
        <w:rPr>
          <w:sz w:val="24"/>
        </w:rPr>
        <w:t>interview.</w:t>
      </w:r>
      <w:r>
        <w:rPr>
          <w:spacing w:val="40"/>
          <w:sz w:val="24"/>
        </w:rPr>
        <w:t> </w:t>
      </w:r>
      <w:r>
        <w:rPr>
          <w:sz w:val="24"/>
        </w:rPr>
        <w:t>The</w:t>
      </w:r>
      <w:r>
        <w:rPr>
          <w:spacing w:val="-3"/>
          <w:sz w:val="24"/>
        </w:rPr>
        <w:t> </w:t>
      </w:r>
      <w:r>
        <w:rPr>
          <w:sz w:val="24"/>
        </w:rPr>
        <w:t>second</w:t>
      </w:r>
      <w:r>
        <w:rPr>
          <w:spacing w:val="-3"/>
          <w:sz w:val="24"/>
        </w:rPr>
        <w:t> </w:t>
      </w:r>
      <w:r>
        <w:rPr>
          <w:sz w:val="24"/>
        </w:rPr>
        <w:t>interview</w:t>
      </w:r>
      <w:r>
        <w:rPr>
          <w:spacing w:val="-3"/>
          <w:sz w:val="24"/>
        </w:rPr>
        <w:t> </w:t>
      </w:r>
      <w:r>
        <w:rPr>
          <w:sz w:val="24"/>
        </w:rPr>
        <w:t>will</w:t>
      </w:r>
      <w:r>
        <w:rPr>
          <w:spacing w:val="-2"/>
          <w:sz w:val="24"/>
        </w:rPr>
        <w:t> </w:t>
      </w:r>
      <w:r>
        <w:rPr>
          <w:sz w:val="24"/>
        </w:rPr>
        <w:t>be</w:t>
      </w:r>
      <w:r>
        <w:rPr>
          <w:spacing w:val="-3"/>
          <w:sz w:val="24"/>
        </w:rPr>
        <w:t> </w:t>
      </w:r>
      <w:r>
        <w:rPr>
          <w:sz w:val="24"/>
        </w:rPr>
        <w:t>governed</w:t>
      </w:r>
      <w:r>
        <w:rPr>
          <w:spacing w:val="-3"/>
          <w:sz w:val="24"/>
        </w:rPr>
        <w:t> </w:t>
      </w:r>
      <w:r>
        <w:rPr>
          <w:sz w:val="24"/>
        </w:rPr>
        <w:t>by</w:t>
      </w:r>
      <w:r>
        <w:rPr>
          <w:spacing w:val="-3"/>
          <w:sz w:val="24"/>
        </w:rPr>
        <w:t> </w:t>
      </w:r>
      <w:r>
        <w:rPr>
          <w:sz w:val="24"/>
        </w:rPr>
        <w:t>the</w:t>
      </w:r>
      <w:r>
        <w:rPr>
          <w:spacing w:val="-3"/>
          <w:sz w:val="24"/>
        </w:rPr>
        <w:t> </w:t>
      </w:r>
      <w:r>
        <w:rPr>
          <w:sz w:val="24"/>
        </w:rPr>
        <w:t>same</w:t>
      </w:r>
      <w:r>
        <w:rPr>
          <w:spacing w:val="-3"/>
          <w:sz w:val="24"/>
        </w:rPr>
        <w:t> </w:t>
      </w:r>
      <w:r>
        <w:rPr>
          <w:sz w:val="24"/>
        </w:rPr>
        <w:t>process</w:t>
      </w:r>
      <w:r>
        <w:rPr>
          <w:spacing w:val="-3"/>
          <w:sz w:val="24"/>
        </w:rPr>
        <w:t> </w:t>
      </w:r>
      <w:r>
        <w:rPr>
          <w:sz w:val="24"/>
        </w:rPr>
        <w:t>rules</w:t>
      </w:r>
      <w:r>
        <w:rPr>
          <w:spacing w:val="-3"/>
          <w:sz w:val="24"/>
        </w:rPr>
        <w:t> </w:t>
      </w:r>
      <w:r>
        <w:rPr>
          <w:sz w:val="24"/>
        </w:rPr>
        <w:t>as the initial interview described above.</w:t>
      </w:r>
    </w:p>
    <w:p>
      <w:pPr>
        <w:pStyle w:val="ListParagraph"/>
        <w:numPr>
          <w:ilvl w:val="0"/>
          <w:numId w:val="390"/>
        </w:numPr>
        <w:tabs>
          <w:tab w:pos="706" w:val="left" w:leader="none"/>
        </w:tabs>
        <w:spacing w:line="208" w:lineRule="auto" w:before="240" w:after="0"/>
        <w:ind w:left="360" w:right="1181" w:firstLine="0"/>
        <w:jc w:val="left"/>
        <w:rPr>
          <w:sz w:val="24"/>
        </w:rPr>
      </w:pPr>
      <w:r>
        <w:rPr>
          <w:sz w:val="24"/>
        </w:rPr>
        <w:t>To</w:t>
      </w:r>
      <w:r>
        <w:rPr>
          <w:spacing w:val="-4"/>
          <w:sz w:val="24"/>
        </w:rPr>
        <w:t> </w:t>
      </w:r>
      <w:r>
        <w:rPr>
          <w:sz w:val="24"/>
        </w:rPr>
        <w:t>determine</w:t>
      </w:r>
      <w:r>
        <w:rPr>
          <w:spacing w:val="-4"/>
          <w:sz w:val="24"/>
        </w:rPr>
        <w:t> </w:t>
      </w:r>
      <w:r>
        <w:rPr>
          <w:sz w:val="24"/>
        </w:rPr>
        <w:t>the</w:t>
      </w:r>
      <w:r>
        <w:rPr>
          <w:spacing w:val="-4"/>
          <w:sz w:val="24"/>
        </w:rPr>
        <w:t> </w:t>
      </w:r>
      <w:r>
        <w:rPr>
          <w:sz w:val="24"/>
        </w:rPr>
        <w:t>final</w:t>
      </w:r>
      <w:r>
        <w:rPr>
          <w:spacing w:val="-4"/>
          <w:sz w:val="24"/>
        </w:rPr>
        <w:t> </w:t>
      </w:r>
      <w:r>
        <w:rPr>
          <w:sz w:val="24"/>
        </w:rPr>
        <w:t>rankings</w:t>
      </w:r>
      <w:r>
        <w:rPr>
          <w:spacing w:val="-4"/>
          <w:sz w:val="24"/>
        </w:rPr>
        <w:t> </w:t>
      </w:r>
      <w:r>
        <w:rPr>
          <w:sz w:val="24"/>
        </w:rPr>
        <w:t>of</w:t>
      </w:r>
      <w:r>
        <w:rPr>
          <w:spacing w:val="-5"/>
          <w:sz w:val="24"/>
        </w:rPr>
        <w:t> </w:t>
      </w:r>
      <w:r>
        <w:rPr>
          <w:sz w:val="24"/>
        </w:rPr>
        <w:t>the</w:t>
      </w:r>
      <w:r>
        <w:rPr>
          <w:spacing w:val="-4"/>
          <w:sz w:val="24"/>
        </w:rPr>
        <w:t> </w:t>
      </w:r>
      <w:r>
        <w:rPr>
          <w:sz w:val="24"/>
        </w:rPr>
        <w:t>applicants,</w:t>
      </w:r>
      <w:r>
        <w:rPr>
          <w:spacing w:val="-3"/>
          <w:sz w:val="24"/>
        </w:rPr>
        <w:t> </w:t>
      </w:r>
      <w:r>
        <w:rPr>
          <w:sz w:val="24"/>
        </w:rPr>
        <w:t>combine</w:t>
      </w:r>
      <w:r>
        <w:rPr>
          <w:spacing w:val="-4"/>
          <w:sz w:val="24"/>
        </w:rPr>
        <w:t> </w:t>
      </w:r>
      <w:r>
        <w:rPr>
          <w:sz w:val="24"/>
        </w:rPr>
        <w:t>the</w:t>
      </w:r>
      <w:r>
        <w:rPr>
          <w:spacing w:val="-4"/>
          <w:sz w:val="24"/>
        </w:rPr>
        <w:t> </w:t>
      </w:r>
      <w:r>
        <w:rPr>
          <w:sz w:val="24"/>
        </w:rPr>
        <w:t>personal</w:t>
      </w:r>
      <w:r>
        <w:rPr>
          <w:spacing w:val="-4"/>
          <w:sz w:val="24"/>
        </w:rPr>
        <w:t> </w:t>
      </w:r>
      <w:r>
        <w:rPr>
          <w:sz w:val="24"/>
        </w:rPr>
        <w:t>interview points from the second interview to the combined point total of the first interview.</w:t>
      </w:r>
    </w:p>
    <w:p>
      <w:pPr>
        <w:pStyle w:val="ListParagraph"/>
        <w:numPr>
          <w:ilvl w:val="0"/>
          <w:numId w:val="390"/>
        </w:numPr>
        <w:tabs>
          <w:tab w:pos="706" w:val="left" w:leader="none"/>
        </w:tabs>
        <w:spacing w:line="240" w:lineRule="auto" w:before="210" w:after="0"/>
        <w:ind w:left="706" w:right="0" w:hanging="346"/>
        <w:jc w:val="left"/>
        <w:rPr>
          <w:sz w:val="24"/>
        </w:rPr>
      </w:pPr>
      <w:r>
        <w:rPr>
          <w:sz w:val="24"/>
        </w:rPr>
        <w:t>The</w:t>
      </w:r>
      <w:r>
        <w:rPr>
          <w:spacing w:val="-5"/>
          <w:sz w:val="24"/>
        </w:rPr>
        <w:t> </w:t>
      </w:r>
      <w:r>
        <w:rPr>
          <w:sz w:val="24"/>
        </w:rPr>
        <w:t>initial</w:t>
      </w:r>
      <w:r>
        <w:rPr>
          <w:spacing w:val="-3"/>
          <w:sz w:val="24"/>
        </w:rPr>
        <w:t> </w:t>
      </w:r>
      <w:r>
        <w:rPr>
          <w:sz w:val="24"/>
        </w:rPr>
        <w:t>interview</w:t>
      </w:r>
      <w:r>
        <w:rPr>
          <w:spacing w:val="-2"/>
          <w:sz w:val="24"/>
        </w:rPr>
        <w:t> </w:t>
      </w:r>
      <w:r>
        <w:rPr>
          <w:sz w:val="24"/>
        </w:rPr>
        <w:t>scoring</w:t>
      </w:r>
      <w:r>
        <w:rPr>
          <w:spacing w:val="-3"/>
          <w:sz w:val="24"/>
        </w:rPr>
        <w:t> </w:t>
      </w:r>
      <w:r>
        <w:rPr>
          <w:sz w:val="24"/>
        </w:rPr>
        <w:t>shall</w:t>
      </w:r>
      <w:r>
        <w:rPr>
          <w:spacing w:val="-3"/>
          <w:sz w:val="24"/>
        </w:rPr>
        <w:t> </w:t>
      </w:r>
      <w:r>
        <w:rPr>
          <w:sz w:val="24"/>
        </w:rPr>
        <w:t>be</w:t>
      </w:r>
      <w:r>
        <w:rPr>
          <w:spacing w:val="-3"/>
          <w:sz w:val="24"/>
        </w:rPr>
        <w:t> </w:t>
      </w:r>
      <w:r>
        <w:rPr>
          <w:sz w:val="24"/>
        </w:rPr>
        <w:t>based</w:t>
      </w:r>
      <w:r>
        <w:rPr>
          <w:spacing w:val="-3"/>
          <w:sz w:val="24"/>
        </w:rPr>
        <w:t> </w:t>
      </w:r>
      <w:r>
        <w:rPr>
          <w:sz w:val="24"/>
        </w:rPr>
        <w:t>on</w:t>
      </w:r>
      <w:r>
        <w:rPr>
          <w:spacing w:val="-3"/>
          <w:sz w:val="24"/>
        </w:rPr>
        <w:t> </w:t>
      </w:r>
      <w:r>
        <w:rPr>
          <w:sz w:val="24"/>
        </w:rPr>
        <w:t>the</w:t>
      </w:r>
      <w:r>
        <w:rPr>
          <w:spacing w:val="-3"/>
          <w:sz w:val="24"/>
        </w:rPr>
        <w:t> </w:t>
      </w:r>
      <w:r>
        <w:rPr>
          <w:sz w:val="24"/>
        </w:rPr>
        <w:t>following</w:t>
      </w:r>
      <w:r>
        <w:rPr>
          <w:spacing w:val="-2"/>
          <w:sz w:val="24"/>
        </w:rPr>
        <w:t> factors:</w:t>
      </w:r>
    </w:p>
    <w:p>
      <w:pPr>
        <w:pStyle w:val="ListParagraph"/>
        <w:numPr>
          <w:ilvl w:val="1"/>
          <w:numId w:val="390"/>
        </w:numPr>
        <w:tabs>
          <w:tab w:pos="1218" w:val="left" w:leader="none"/>
        </w:tabs>
        <w:spacing w:line="240" w:lineRule="auto" w:before="204" w:after="0"/>
        <w:ind w:left="1218" w:right="0" w:hanging="426"/>
        <w:jc w:val="left"/>
        <w:rPr>
          <w:sz w:val="24"/>
        </w:rPr>
      </w:pPr>
      <w:r>
        <w:rPr>
          <w:sz w:val="24"/>
        </w:rPr>
        <w:t>Personal</w:t>
      </w:r>
      <w:r>
        <w:rPr>
          <w:spacing w:val="-8"/>
          <w:sz w:val="24"/>
        </w:rPr>
        <w:t> </w:t>
      </w:r>
      <w:r>
        <w:rPr>
          <w:spacing w:val="-2"/>
          <w:sz w:val="24"/>
        </w:rPr>
        <w:t>interview;</w:t>
      </w:r>
    </w:p>
    <w:p>
      <w:pPr>
        <w:pStyle w:val="ListParagraph"/>
        <w:numPr>
          <w:ilvl w:val="1"/>
          <w:numId w:val="390"/>
        </w:numPr>
        <w:tabs>
          <w:tab w:pos="1218" w:val="left" w:leader="none"/>
        </w:tabs>
        <w:spacing w:line="240" w:lineRule="auto" w:before="204" w:after="0"/>
        <w:ind w:left="1218" w:right="0" w:hanging="426"/>
        <w:jc w:val="left"/>
        <w:rPr>
          <w:sz w:val="24"/>
        </w:rPr>
      </w:pPr>
      <w:r>
        <w:rPr>
          <w:sz w:val="24"/>
        </w:rPr>
        <w:t>Business</w:t>
      </w:r>
      <w:r>
        <w:rPr>
          <w:spacing w:val="-5"/>
          <w:sz w:val="24"/>
        </w:rPr>
        <w:t> </w:t>
      </w:r>
      <w:r>
        <w:rPr>
          <w:spacing w:val="-2"/>
          <w:sz w:val="24"/>
        </w:rPr>
        <w:t>Plan;</w:t>
      </w:r>
    </w:p>
    <w:p>
      <w:pPr>
        <w:pStyle w:val="ListParagraph"/>
        <w:numPr>
          <w:ilvl w:val="1"/>
          <w:numId w:val="390"/>
        </w:numPr>
        <w:tabs>
          <w:tab w:pos="1218" w:val="left" w:leader="none"/>
        </w:tabs>
        <w:spacing w:line="240" w:lineRule="auto" w:before="204" w:after="0"/>
        <w:ind w:left="1218" w:right="0" w:hanging="426"/>
        <w:jc w:val="left"/>
        <w:rPr>
          <w:sz w:val="24"/>
        </w:rPr>
      </w:pPr>
      <w:r>
        <w:rPr>
          <w:sz w:val="24"/>
        </w:rPr>
        <w:t>Performance</w:t>
      </w:r>
      <w:r>
        <w:rPr>
          <w:spacing w:val="-4"/>
          <w:sz w:val="24"/>
        </w:rPr>
        <w:t> </w:t>
      </w:r>
      <w:r>
        <w:rPr>
          <w:sz w:val="24"/>
        </w:rPr>
        <w:t>evaluation</w:t>
      </w:r>
      <w:r>
        <w:rPr>
          <w:spacing w:val="-4"/>
          <w:sz w:val="24"/>
        </w:rPr>
        <w:t> </w:t>
      </w:r>
      <w:r>
        <w:rPr>
          <w:sz w:val="24"/>
        </w:rPr>
        <w:t>points</w:t>
      </w:r>
      <w:r>
        <w:rPr>
          <w:spacing w:val="-4"/>
          <w:sz w:val="24"/>
        </w:rPr>
        <w:t> </w:t>
      </w:r>
      <w:r>
        <w:rPr>
          <w:sz w:val="24"/>
        </w:rPr>
        <w:t>accrued</w:t>
      </w:r>
      <w:r>
        <w:rPr>
          <w:spacing w:val="-5"/>
          <w:sz w:val="24"/>
        </w:rPr>
        <w:t> </w:t>
      </w:r>
      <w:r>
        <w:rPr>
          <w:sz w:val="24"/>
        </w:rPr>
        <w:t>over</w:t>
      </w:r>
      <w:r>
        <w:rPr>
          <w:spacing w:val="-3"/>
          <w:sz w:val="24"/>
        </w:rPr>
        <w:t> </w:t>
      </w:r>
      <w:r>
        <w:rPr>
          <w:spacing w:val="-5"/>
          <w:sz w:val="24"/>
        </w:rPr>
        <w:t>80;</w:t>
      </w:r>
    </w:p>
    <w:p>
      <w:pPr>
        <w:pStyle w:val="ListParagraph"/>
        <w:numPr>
          <w:ilvl w:val="1"/>
          <w:numId w:val="390"/>
        </w:numPr>
        <w:tabs>
          <w:tab w:pos="1218" w:val="left" w:leader="none"/>
        </w:tabs>
        <w:spacing w:line="240" w:lineRule="auto" w:before="204" w:after="0"/>
        <w:ind w:left="1218" w:right="0" w:hanging="426"/>
        <w:jc w:val="left"/>
        <w:rPr>
          <w:sz w:val="24"/>
        </w:rPr>
      </w:pPr>
      <w:r>
        <w:rPr>
          <w:sz w:val="24"/>
        </w:rPr>
        <w:t>Seniority;</w:t>
      </w:r>
      <w:r>
        <w:rPr>
          <w:spacing w:val="-5"/>
          <w:sz w:val="24"/>
        </w:rPr>
        <w:t> and</w:t>
      </w:r>
    </w:p>
    <w:p>
      <w:pPr>
        <w:pStyle w:val="ListParagraph"/>
        <w:spacing w:after="0" w:line="240" w:lineRule="auto"/>
        <w:jc w:val="left"/>
        <w:rPr>
          <w:sz w:val="24"/>
        </w:rPr>
        <w:sectPr>
          <w:pgSz w:w="12240" w:h="15840"/>
          <w:pgMar w:top="1340" w:bottom="280" w:left="1080" w:right="720"/>
        </w:sectPr>
      </w:pPr>
    </w:p>
    <w:p>
      <w:pPr>
        <w:pStyle w:val="ListParagraph"/>
        <w:numPr>
          <w:ilvl w:val="1"/>
          <w:numId w:val="390"/>
        </w:numPr>
        <w:tabs>
          <w:tab w:pos="1217" w:val="left" w:leader="none"/>
        </w:tabs>
        <w:spacing w:line="240" w:lineRule="auto" w:before="67" w:after="0"/>
        <w:ind w:left="1217" w:right="0" w:hanging="426"/>
        <w:jc w:val="left"/>
        <w:rPr>
          <w:sz w:val="24"/>
        </w:rPr>
      </w:pPr>
      <w:r>
        <w:rPr>
          <w:sz w:val="24"/>
        </w:rPr>
        <w:t>Displaced</w:t>
      </w:r>
      <w:r>
        <w:rPr>
          <w:spacing w:val="-5"/>
          <w:sz w:val="24"/>
        </w:rPr>
        <w:t> </w:t>
      </w:r>
      <w:r>
        <w:rPr>
          <w:sz w:val="24"/>
        </w:rPr>
        <w:t>Licensed</w:t>
      </w:r>
      <w:r>
        <w:rPr>
          <w:spacing w:val="-5"/>
          <w:sz w:val="24"/>
        </w:rPr>
        <w:t> </w:t>
      </w:r>
      <w:r>
        <w:rPr>
          <w:sz w:val="24"/>
        </w:rPr>
        <w:t>Manager</w:t>
      </w:r>
      <w:r>
        <w:rPr>
          <w:spacing w:val="-4"/>
          <w:sz w:val="24"/>
        </w:rPr>
        <w:t> </w:t>
      </w:r>
      <w:r>
        <w:rPr>
          <w:spacing w:val="-2"/>
          <w:sz w:val="24"/>
        </w:rPr>
        <w:t>point.</w:t>
      </w:r>
    </w:p>
    <w:p>
      <w:pPr>
        <w:pStyle w:val="ListParagraph"/>
        <w:numPr>
          <w:ilvl w:val="0"/>
          <w:numId w:val="390"/>
        </w:numPr>
        <w:tabs>
          <w:tab w:pos="772" w:val="left" w:leader="none"/>
        </w:tabs>
        <w:spacing w:line="208" w:lineRule="auto" w:before="233" w:after="0"/>
        <w:ind w:left="359" w:right="1206" w:firstLine="0"/>
        <w:jc w:val="left"/>
        <w:rPr>
          <w:sz w:val="24"/>
        </w:rPr>
      </w:pPr>
      <w:r>
        <w:rPr>
          <w:sz w:val="24"/>
        </w:rPr>
        <w:t>Once a selection is made, all individual applicants who received a personal interview</w:t>
      </w:r>
      <w:r>
        <w:rPr>
          <w:spacing w:val="-3"/>
          <w:sz w:val="24"/>
        </w:rPr>
        <w:t> </w:t>
      </w:r>
      <w:r>
        <w:rPr>
          <w:sz w:val="24"/>
        </w:rPr>
        <w:t>will</w:t>
      </w:r>
      <w:r>
        <w:rPr>
          <w:spacing w:val="-3"/>
          <w:sz w:val="24"/>
        </w:rPr>
        <w:t> </w:t>
      </w:r>
      <w:r>
        <w:rPr>
          <w:sz w:val="24"/>
        </w:rPr>
        <w:t>be</w:t>
      </w:r>
      <w:r>
        <w:rPr>
          <w:spacing w:val="-3"/>
          <w:sz w:val="24"/>
        </w:rPr>
        <w:t> </w:t>
      </w:r>
      <w:r>
        <w:rPr>
          <w:sz w:val="24"/>
        </w:rPr>
        <w:t>immediately</w:t>
      </w:r>
      <w:r>
        <w:rPr>
          <w:spacing w:val="-3"/>
          <w:sz w:val="24"/>
        </w:rPr>
        <w:t> </w:t>
      </w:r>
      <w:r>
        <w:rPr>
          <w:sz w:val="24"/>
        </w:rPr>
        <w:t>notified</w:t>
      </w:r>
      <w:r>
        <w:rPr>
          <w:spacing w:val="-3"/>
          <w:sz w:val="24"/>
        </w:rPr>
        <w:t> </w:t>
      </w:r>
      <w:r>
        <w:rPr>
          <w:sz w:val="24"/>
        </w:rPr>
        <w:t>of</w:t>
      </w:r>
      <w:r>
        <w:rPr>
          <w:spacing w:val="-2"/>
          <w:sz w:val="24"/>
        </w:rPr>
        <w:t> </w:t>
      </w:r>
      <w:r>
        <w:rPr>
          <w:sz w:val="24"/>
        </w:rPr>
        <w:t>their</w:t>
      </w:r>
      <w:r>
        <w:rPr>
          <w:spacing w:val="-4"/>
          <w:sz w:val="24"/>
        </w:rPr>
        <w:t> </w:t>
      </w:r>
      <w:r>
        <w:rPr>
          <w:sz w:val="24"/>
        </w:rPr>
        <w:t>result.</w:t>
      </w:r>
      <w:r>
        <w:rPr>
          <w:spacing w:val="-2"/>
          <w:sz w:val="24"/>
        </w:rPr>
        <w:t> </w:t>
      </w:r>
      <w:r>
        <w:rPr>
          <w:sz w:val="24"/>
        </w:rPr>
        <w:t>This</w:t>
      </w:r>
      <w:r>
        <w:rPr>
          <w:spacing w:val="-3"/>
          <w:sz w:val="24"/>
        </w:rPr>
        <w:t> </w:t>
      </w:r>
      <w:r>
        <w:rPr>
          <w:sz w:val="24"/>
        </w:rPr>
        <w:t>notification</w:t>
      </w:r>
      <w:r>
        <w:rPr>
          <w:spacing w:val="-2"/>
          <w:sz w:val="24"/>
        </w:rPr>
        <w:t> </w:t>
      </w:r>
      <w:r>
        <w:rPr>
          <w:sz w:val="24"/>
        </w:rPr>
        <w:t>will</w:t>
      </w:r>
      <w:r>
        <w:rPr>
          <w:spacing w:val="-3"/>
          <w:sz w:val="24"/>
        </w:rPr>
        <w:t> </w:t>
      </w:r>
      <w:r>
        <w:rPr>
          <w:sz w:val="24"/>
        </w:rPr>
        <w:t>be</w:t>
      </w:r>
      <w:r>
        <w:rPr>
          <w:spacing w:val="-3"/>
          <w:sz w:val="24"/>
        </w:rPr>
        <w:t> </w:t>
      </w:r>
      <w:r>
        <w:rPr>
          <w:sz w:val="24"/>
        </w:rPr>
        <w:t>in</w:t>
      </w:r>
      <w:r>
        <w:rPr>
          <w:spacing w:val="-3"/>
          <w:sz w:val="24"/>
        </w:rPr>
        <w:t> </w:t>
      </w:r>
      <w:r>
        <w:rPr>
          <w:sz w:val="24"/>
        </w:rPr>
        <w:t>writing with an attempt to be contacted by phone.</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4-13-99</w:t>
      </w:r>
      <w:r>
        <w:rPr>
          <w:sz w:val="22"/>
        </w:rPr>
        <w:tab/>
        <w:t>PT Memo #99-7</w:t>
      </w:r>
    </w:p>
    <w:p>
      <w:pPr>
        <w:spacing w:before="0"/>
        <w:ind w:left="1439" w:right="775" w:firstLine="0"/>
        <w:jc w:val="left"/>
        <w:rPr>
          <w:sz w:val="22"/>
        </w:rPr>
      </w:pPr>
      <w:r>
        <w:rPr>
          <w:sz w:val="22"/>
        </w:rPr>
        <w:t>Emergency,</w:t>
      </w:r>
      <w:r>
        <w:rPr>
          <w:spacing w:val="-5"/>
          <w:sz w:val="22"/>
        </w:rPr>
        <w:t> </w:t>
      </w:r>
      <w:r>
        <w:rPr>
          <w:sz w:val="22"/>
        </w:rPr>
        <w:t>amended</w:t>
      </w:r>
      <w:r>
        <w:rPr>
          <w:spacing w:val="-5"/>
          <w:sz w:val="22"/>
        </w:rPr>
        <w:t> </w:t>
      </w:r>
      <w:r>
        <w:rPr>
          <w:sz w:val="22"/>
        </w:rPr>
        <w:t>to</w:t>
      </w:r>
      <w:r>
        <w:rPr>
          <w:spacing w:val="-5"/>
          <w:sz w:val="22"/>
        </w:rPr>
        <w:t> </w:t>
      </w:r>
      <w:r>
        <w:rPr>
          <w:sz w:val="22"/>
        </w:rPr>
        <w:t>remove</w:t>
      </w:r>
      <w:r>
        <w:rPr>
          <w:spacing w:val="-5"/>
          <w:sz w:val="22"/>
        </w:rPr>
        <w:t> </w:t>
      </w:r>
      <w:r>
        <w:rPr>
          <w:sz w:val="22"/>
        </w:rPr>
        <w:t>provision</w:t>
      </w:r>
      <w:r>
        <w:rPr>
          <w:spacing w:val="-5"/>
          <w:sz w:val="22"/>
        </w:rPr>
        <w:t> </w:t>
      </w:r>
      <w:r>
        <w:rPr>
          <w:sz w:val="22"/>
        </w:rPr>
        <w:t>for</w:t>
      </w:r>
      <w:r>
        <w:rPr>
          <w:spacing w:val="-6"/>
          <w:sz w:val="22"/>
        </w:rPr>
        <w:t> </w:t>
      </w:r>
      <w:r>
        <w:rPr>
          <w:sz w:val="22"/>
        </w:rPr>
        <w:t>telephone</w:t>
      </w:r>
      <w:r>
        <w:rPr>
          <w:spacing w:val="-5"/>
          <w:sz w:val="22"/>
        </w:rPr>
        <w:t> </w:t>
      </w:r>
      <w:r>
        <w:rPr>
          <w:sz w:val="22"/>
        </w:rPr>
        <w:t>interview;</w:t>
      </w:r>
      <w:r>
        <w:rPr>
          <w:spacing w:val="-5"/>
          <w:sz w:val="22"/>
        </w:rPr>
        <w:t> </w:t>
      </w:r>
      <w:r>
        <w:rPr>
          <w:sz w:val="22"/>
        </w:rPr>
        <w:t>added</w:t>
      </w:r>
      <w:r>
        <w:rPr>
          <w:spacing w:val="-6"/>
          <w:sz w:val="22"/>
        </w:rPr>
        <w:t> </w:t>
      </w:r>
      <w:r>
        <w:rPr>
          <w:sz w:val="22"/>
        </w:rPr>
        <w:t>additional qualifications for candidate in Subsection (g)</w:t>
      </w:r>
    </w:p>
    <w:p>
      <w:pPr>
        <w:tabs>
          <w:tab w:pos="1439" w:val="left" w:leader="none"/>
        </w:tabs>
        <w:spacing w:before="0"/>
        <w:ind w:left="359" w:right="0" w:firstLine="0"/>
        <w:jc w:val="left"/>
        <w:rPr>
          <w:sz w:val="22"/>
        </w:rPr>
      </w:pPr>
      <w:r>
        <w:rPr>
          <w:spacing w:val="-2"/>
          <w:sz w:val="22"/>
        </w:rPr>
        <w:t>7-1-</w:t>
      </w:r>
      <w:r>
        <w:rPr>
          <w:spacing w:val="-5"/>
          <w:sz w:val="22"/>
        </w:rPr>
        <w:t>02</w:t>
      </w:r>
      <w:r>
        <w:rPr>
          <w:sz w:val="22"/>
        </w:rPr>
        <w:tab/>
        <w:t>POL</w:t>
      </w:r>
      <w:r>
        <w:rPr>
          <w:spacing w:val="-9"/>
          <w:sz w:val="22"/>
        </w:rPr>
        <w:t> </w:t>
      </w:r>
      <w:r>
        <w:rPr>
          <w:sz w:val="22"/>
        </w:rPr>
        <w:t>Memo</w:t>
      </w:r>
      <w:r>
        <w:rPr>
          <w:spacing w:val="-8"/>
          <w:sz w:val="22"/>
        </w:rPr>
        <w:t> </w:t>
      </w:r>
      <w:r>
        <w:rPr>
          <w:sz w:val="22"/>
        </w:rPr>
        <w:t>#02-</w:t>
      </w:r>
      <w:r>
        <w:rPr>
          <w:spacing w:val="-5"/>
          <w:sz w:val="22"/>
        </w:rPr>
        <w:t>02</w:t>
      </w:r>
    </w:p>
    <w:p>
      <w:pPr>
        <w:tabs>
          <w:tab w:pos="1439" w:val="left" w:leader="none"/>
        </w:tabs>
        <w:spacing w:before="0"/>
        <w:ind w:left="359" w:right="4484" w:firstLine="1080"/>
        <w:jc w:val="left"/>
        <w:rPr>
          <w:sz w:val="22"/>
        </w:rPr>
      </w:pPr>
      <w:r>
        <w:rPr>
          <w:sz w:val="22"/>
        </w:rPr>
        <w:t>Permanent,</w:t>
      </w:r>
      <w:r>
        <w:rPr>
          <w:spacing w:val="-7"/>
          <w:sz w:val="22"/>
        </w:rPr>
        <w:t> </w:t>
      </w:r>
      <w:r>
        <w:rPr>
          <w:sz w:val="22"/>
        </w:rPr>
        <w:t>clarification</w:t>
      </w:r>
      <w:r>
        <w:rPr>
          <w:spacing w:val="-8"/>
          <w:sz w:val="22"/>
        </w:rPr>
        <w:t> </w:t>
      </w:r>
      <w:r>
        <w:rPr>
          <w:sz w:val="22"/>
        </w:rPr>
        <w:t>of</w:t>
      </w:r>
      <w:r>
        <w:rPr>
          <w:spacing w:val="-8"/>
          <w:sz w:val="22"/>
        </w:rPr>
        <w:t> </w:t>
      </w:r>
      <w:r>
        <w:rPr>
          <w:sz w:val="22"/>
        </w:rPr>
        <w:t>the</w:t>
      </w:r>
      <w:r>
        <w:rPr>
          <w:spacing w:val="-8"/>
          <w:sz w:val="22"/>
        </w:rPr>
        <w:t> </w:t>
      </w:r>
      <w:r>
        <w:rPr>
          <w:sz w:val="22"/>
        </w:rPr>
        <w:t>scoring</w:t>
      </w:r>
      <w:r>
        <w:rPr>
          <w:spacing w:val="-8"/>
          <w:sz w:val="22"/>
        </w:rPr>
        <w:t> </w:t>
      </w:r>
      <w:r>
        <w:rPr>
          <w:sz w:val="22"/>
        </w:rPr>
        <w:t>process </w:t>
      </w:r>
      <w:r>
        <w:rPr>
          <w:spacing w:val="-2"/>
          <w:sz w:val="22"/>
        </w:rPr>
        <w:t>7-1-03</w:t>
      </w:r>
      <w:r>
        <w:rPr>
          <w:sz w:val="22"/>
        </w:rPr>
        <w:tab/>
        <w:t>PT Memo #03-07</w:t>
      </w:r>
    </w:p>
    <w:p>
      <w:pPr>
        <w:tabs>
          <w:tab w:pos="1439" w:val="left" w:leader="none"/>
        </w:tabs>
        <w:spacing w:before="0"/>
        <w:ind w:left="359" w:right="6038" w:firstLine="1080"/>
        <w:jc w:val="left"/>
        <w:rPr>
          <w:sz w:val="22"/>
        </w:rPr>
      </w:pPr>
      <w:r>
        <w:rPr>
          <w:sz w:val="22"/>
        </w:rPr>
        <w:t>Permanent,</w:t>
      </w:r>
      <w:r>
        <w:rPr>
          <w:spacing w:val="-16"/>
          <w:sz w:val="22"/>
        </w:rPr>
        <w:t> </w:t>
      </w:r>
      <w:r>
        <w:rPr>
          <w:sz w:val="22"/>
        </w:rPr>
        <w:t>updated</w:t>
      </w:r>
      <w:r>
        <w:rPr>
          <w:spacing w:val="-15"/>
          <w:sz w:val="22"/>
        </w:rPr>
        <w:t> </w:t>
      </w:r>
      <w:r>
        <w:rPr>
          <w:sz w:val="22"/>
        </w:rPr>
        <w:t>language </w:t>
      </w:r>
      <w:r>
        <w:rPr>
          <w:spacing w:val="-2"/>
          <w:sz w:val="22"/>
        </w:rPr>
        <w:t>7-1-05</w:t>
      </w:r>
      <w:r>
        <w:rPr>
          <w:sz w:val="22"/>
        </w:rPr>
        <w:tab/>
        <w:t>PT Memo #06-01</w:t>
      </w:r>
    </w:p>
    <w:p>
      <w:pPr>
        <w:tabs>
          <w:tab w:pos="1439" w:val="left" w:leader="none"/>
        </w:tabs>
        <w:spacing w:before="0"/>
        <w:ind w:left="359" w:right="1821" w:firstLine="1080"/>
        <w:jc w:val="left"/>
        <w:rPr>
          <w:sz w:val="22"/>
        </w:rPr>
      </w:pPr>
      <w:r>
        <w:rPr>
          <w:sz w:val="22"/>
        </w:rPr>
        <w:t>Permanent,</w:t>
      </w:r>
      <w:r>
        <w:rPr>
          <w:spacing w:val="-4"/>
          <w:sz w:val="22"/>
        </w:rPr>
        <w:t> </w:t>
      </w:r>
      <w:r>
        <w:rPr>
          <w:sz w:val="22"/>
        </w:rPr>
        <w:t>clarification</w:t>
      </w:r>
      <w:r>
        <w:rPr>
          <w:spacing w:val="-6"/>
          <w:sz w:val="22"/>
        </w:rPr>
        <w:t> </w:t>
      </w:r>
      <w:r>
        <w:rPr>
          <w:sz w:val="22"/>
        </w:rPr>
        <w:t>of</w:t>
      </w:r>
      <w:r>
        <w:rPr>
          <w:spacing w:val="-5"/>
          <w:sz w:val="22"/>
        </w:rPr>
        <w:t> </w:t>
      </w:r>
      <w:r>
        <w:rPr>
          <w:sz w:val="22"/>
        </w:rPr>
        <w:t>policy,</w:t>
      </w:r>
      <w:r>
        <w:rPr>
          <w:spacing w:val="-5"/>
          <w:sz w:val="22"/>
        </w:rPr>
        <w:t> </w:t>
      </w:r>
      <w:r>
        <w:rPr>
          <w:sz w:val="22"/>
        </w:rPr>
        <w:t>interview,</w:t>
      </w:r>
      <w:r>
        <w:rPr>
          <w:spacing w:val="-5"/>
          <w:sz w:val="22"/>
        </w:rPr>
        <w:t> </w:t>
      </w:r>
      <w:r>
        <w:rPr>
          <w:sz w:val="22"/>
        </w:rPr>
        <w:t>selection</w:t>
      </w:r>
      <w:r>
        <w:rPr>
          <w:spacing w:val="-5"/>
          <w:sz w:val="22"/>
        </w:rPr>
        <w:t> </w:t>
      </w:r>
      <w:r>
        <w:rPr>
          <w:sz w:val="22"/>
        </w:rPr>
        <w:t>process</w:t>
      </w:r>
      <w:r>
        <w:rPr>
          <w:spacing w:val="-5"/>
          <w:sz w:val="22"/>
        </w:rPr>
        <w:t> </w:t>
      </w:r>
      <w:r>
        <w:rPr>
          <w:sz w:val="22"/>
        </w:rPr>
        <w:t>and</w:t>
      </w:r>
      <w:r>
        <w:rPr>
          <w:spacing w:val="-5"/>
          <w:sz w:val="22"/>
        </w:rPr>
        <w:t> </w:t>
      </w:r>
      <w:r>
        <w:rPr>
          <w:sz w:val="22"/>
        </w:rPr>
        <w:t>scoring </w:t>
      </w:r>
      <w:r>
        <w:rPr>
          <w:spacing w:val="-2"/>
          <w:sz w:val="22"/>
        </w:rPr>
        <w:t>7-1-12</w:t>
      </w:r>
      <w:r>
        <w:rPr>
          <w:sz w:val="22"/>
        </w:rPr>
        <w:tab/>
        <w:t>Permanent, updated language, grammar and punctuation</w:t>
      </w:r>
    </w:p>
    <w:p>
      <w:pPr>
        <w:tabs>
          <w:tab w:pos="1439" w:val="left" w:leader="none"/>
        </w:tabs>
        <w:spacing w:line="252" w:lineRule="exact" w:before="0"/>
        <w:ind w:left="360" w:right="0" w:firstLine="0"/>
        <w:jc w:val="left"/>
        <w:rPr>
          <w:sz w:val="22"/>
        </w:rPr>
      </w:pPr>
      <w:r>
        <w:rPr>
          <w:spacing w:val="-2"/>
          <w:sz w:val="22"/>
        </w:rPr>
        <w:t>9-12-</w:t>
      </w:r>
      <w:r>
        <w:rPr>
          <w:spacing w:val="-5"/>
          <w:sz w:val="22"/>
        </w:rPr>
        <w:t>14</w:t>
      </w:r>
      <w:r>
        <w:rPr>
          <w:sz w:val="22"/>
        </w:rPr>
        <w:tab/>
        <w:t>Permanent,</w:t>
      </w:r>
      <w:r>
        <w:rPr>
          <w:spacing w:val="-7"/>
          <w:sz w:val="22"/>
        </w:rPr>
        <w:t> </w:t>
      </w:r>
      <w:r>
        <w:rPr>
          <w:sz w:val="22"/>
        </w:rPr>
        <w:t>updated</w:t>
      </w:r>
      <w:r>
        <w:rPr>
          <w:spacing w:val="-8"/>
          <w:sz w:val="22"/>
        </w:rPr>
        <w:t> </w:t>
      </w:r>
      <w:r>
        <w:rPr>
          <w:sz w:val="22"/>
        </w:rPr>
        <w:t>language</w:t>
      </w:r>
      <w:r>
        <w:rPr>
          <w:spacing w:val="-8"/>
          <w:sz w:val="22"/>
        </w:rPr>
        <w:t> </w:t>
      </w:r>
      <w:r>
        <w:rPr>
          <w:sz w:val="22"/>
        </w:rPr>
        <w:t>due</w:t>
      </w:r>
      <w:r>
        <w:rPr>
          <w:spacing w:val="-8"/>
          <w:sz w:val="22"/>
        </w:rPr>
        <w:t> </w:t>
      </w:r>
      <w:r>
        <w:rPr>
          <w:sz w:val="22"/>
        </w:rPr>
        <w:t>to</w:t>
      </w:r>
      <w:r>
        <w:rPr>
          <w:spacing w:val="-7"/>
          <w:sz w:val="22"/>
        </w:rPr>
        <w:t> </w:t>
      </w:r>
      <w:r>
        <w:rPr>
          <w:spacing w:val="-2"/>
          <w:sz w:val="22"/>
        </w:rPr>
        <w:t>audit</w:t>
      </w:r>
    </w:p>
    <w:p>
      <w:pPr>
        <w:tabs>
          <w:tab w:pos="1439" w:val="left" w:leader="none"/>
        </w:tabs>
        <w:spacing w:before="0"/>
        <w:ind w:left="1439" w:right="1344" w:hanging="1080"/>
        <w:jc w:val="left"/>
        <w:rPr>
          <w:sz w:val="22"/>
        </w:rPr>
      </w:pPr>
      <w:r>
        <w:rPr>
          <w:spacing w:val="-2"/>
          <w:sz w:val="22"/>
        </w:rPr>
        <w:t>8-27-15</w:t>
      </w:r>
      <w:r>
        <w:rPr>
          <w:sz w:val="22"/>
        </w:rPr>
        <w:tab/>
        <w:t>Language</w:t>
      </w:r>
      <w:r>
        <w:rPr>
          <w:spacing w:val="-4"/>
          <w:sz w:val="22"/>
        </w:rPr>
        <w:t> </w:t>
      </w:r>
      <w:r>
        <w:rPr>
          <w:sz w:val="22"/>
        </w:rPr>
        <w:t>revisions</w:t>
      </w:r>
      <w:r>
        <w:rPr>
          <w:spacing w:val="-4"/>
          <w:sz w:val="22"/>
        </w:rPr>
        <w:t> </w:t>
      </w:r>
      <w:r>
        <w:rPr>
          <w:sz w:val="22"/>
        </w:rPr>
        <w:t>and</w:t>
      </w:r>
      <w:r>
        <w:rPr>
          <w:spacing w:val="-5"/>
          <w:sz w:val="22"/>
        </w:rPr>
        <w:t> </w:t>
      </w:r>
      <w:r>
        <w:rPr>
          <w:sz w:val="22"/>
        </w:rPr>
        <w:t>added</w:t>
      </w:r>
      <w:r>
        <w:rPr>
          <w:spacing w:val="-4"/>
          <w:sz w:val="22"/>
        </w:rPr>
        <w:t> </w:t>
      </w:r>
      <w:r>
        <w:rPr>
          <w:sz w:val="22"/>
        </w:rPr>
        <w:t>language</w:t>
      </w:r>
      <w:r>
        <w:rPr>
          <w:spacing w:val="-4"/>
          <w:sz w:val="22"/>
        </w:rPr>
        <w:t> </w:t>
      </w:r>
      <w:r>
        <w:rPr>
          <w:sz w:val="22"/>
        </w:rPr>
        <w:t>in</w:t>
      </w:r>
      <w:r>
        <w:rPr>
          <w:spacing w:val="-4"/>
          <w:sz w:val="22"/>
        </w:rPr>
        <w:t> </w:t>
      </w:r>
      <w:r>
        <w:rPr>
          <w:sz w:val="22"/>
        </w:rPr>
        <w:t>section</w:t>
      </w:r>
      <w:r>
        <w:rPr>
          <w:spacing w:val="-4"/>
          <w:sz w:val="22"/>
        </w:rPr>
        <w:t> </w:t>
      </w:r>
      <w:r>
        <w:rPr>
          <w:sz w:val="22"/>
        </w:rPr>
        <w:t>(j)</w:t>
      </w:r>
      <w:r>
        <w:rPr>
          <w:spacing w:val="-4"/>
          <w:sz w:val="22"/>
        </w:rPr>
        <w:t> </w:t>
      </w:r>
      <w:r>
        <w:rPr>
          <w:sz w:val="22"/>
        </w:rPr>
        <w:t>subsection</w:t>
      </w:r>
      <w:r>
        <w:rPr>
          <w:spacing w:val="-4"/>
          <w:sz w:val="22"/>
        </w:rPr>
        <w:t> </w:t>
      </w:r>
      <w:r>
        <w:rPr>
          <w:sz w:val="22"/>
        </w:rPr>
        <w:t>(5)</w:t>
      </w:r>
      <w:r>
        <w:rPr>
          <w:spacing w:val="-4"/>
          <w:sz w:val="22"/>
        </w:rPr>
        <w:t> </w:t>
      </w:r>
      <w:r>
        <w:rPr>
          <w:sz w:val="22"/>
        </w:rPr>
        <w:t>regarding displaced licensed manager points.</w:t>
      </w:r>
    </w:p>
    <w:p>
      <w:pPr>
        <w:tabs>
          <w:tab w:pos="1439" w:val="left" w:leader="none"/>
        </w:tabs>
        <w:spacing w:before="1"/>
        <w:ind w:left="359" w:right="0" w:firstLine="0"/>
        <w:jc w:val="left"/>
        <w:rPr>
          <w:sz w:val="22"/>
        </w:rPr>
      </w:pPr>
      <w:r>
        <w:rPr>
          <w:spacing w:val="-2"/>
          <w:sz w:val="22"/>
        </w:rPr>
        <w:t>9-11-</w:t>
      </w:r>
      <w:r>
        <w:rPr>
          <w:spacing w:val="-5"/>
          <w:sz w:val="22"/>
        </w:rPr>
        <w:t>22</w:t>
      </w:r>
      <w:r>
        <w:rPr>
          <w:sz w:val="22"/>
        </w:rPr>
        <w:tab/>
        <w:t>Revision</w:t>
      </w:r>
      <w:r>
        <w:rPr>
          <w:spacing w:val="-8"/>
          <w:sz w:val="22"/>
        </w:rPr>
        <w:t> </w:t>
      </w:r>
      <w:r>
        <w:rPr>
          <w:sz w:val="22"/>
        </w:rPr>
        <w:t>replaces</w:t>
      </w:r>
      <w:r>
        <w:rPr>
          <w:spacing w:val="-8"/>
          <w:sz w:val="22"/>
        </w:rPr>
        <w:t> </w:t>
      </w:r>
      <w:r>
        <w:rPr>
          <w:sz w:val="22"/>
        </w:rPr>
        <w:t>language</w:t>
      </w:r>
      <w:r>
        <w:rPr>
          <w:spacing w:val="-8"/>
          <w:sz w:val="22"/>
        </w:rPr>
        <w:t> </w:t>
      </w:r>
      <w:r>
        <w:rPr>
          <w:sz w:val="22"/>
        </w:rPr>
        <w:t>for</w:t>
      </w:r>
      <w:r>
        <w:rPr>
          <w:spacing w:val="-8"/>
          <w:sz w:val="22"/>
        </w:rPr>
        <w:t> </w:t>
      </w:r>
      <w:r>
        <w:rPr>
          <w:sz w:val="22"/>
        </w:rPr>
        <w:t>manager</w:t>
      </w:r>
      <w:r>
        <w:rPr>
          <w:spacing w:val="-7"/>
          <w:sz w:val="22"/>
        </w:rPr>
        <w:t> </w:t>
      </w:r>
      <w:r>
        <w:rPr>
          <w:sz w:val="22"/>
        </w:rPr>
        <w:t>to</w:t>
      </w:r>
      <w:r>
        <w:rPr>
          <w:spacing w:val="-8"/>
          <w:sz w:val="22"/>
        </w:rPr>
        <w:t> </w:t>
      </w:r>
      <w:r>
        <w:rPr>
          <w:sz w:val="22"/>
        </w:rPr>
        <w:t>“Licensed</w:t>
      </w:r>
      <w:r>
        <w:rPr>
          <w:spacing w:val="-8"/>
          <w:sz w:val="22"/>
        </w:rPr>
        <w:t> </w:t>
      </w:r>
      <w:r>
        <w:rPr>
          <w:spacing w:val="-2"/>
          <w:sz w:val="22"/>
        </w:rPr>
        <w:t>Manager”.</w:t>
      </w:r>
    </w:p>
    <w:p>
      <w:pPr>
        <w:spacing w:after="0"/>
        <w:jc w:val="left"/>
        <w:rPr>
          <w:sz w:val="22"/>
        </w:rPr>
        <w:sectPr>
          <w:pgSz w:w="12240" w:h="15840"/>
          <w:pgMar w:top="1340" w:bottom="280" w:left="1080" w:right="720"/>
        </w:sectPr>
      </w:pPr>
    </w:p>
    <w:p>
      <w:pPr>
        <w:pStyle w:val="Heading2"/>
      </w:pPr>
      <w:bookmarkStart w:name="612:25-4-60.  Ninety day replacement" w:id="411"/>
      <w:bookmarkEnd w:id="411"/>
      <w:r>
        <w:rPr>
          <w:b w:val="0"/>
        </w:rPr>
      </w:r>
      <w:r>
        <w:rPr/>
        <w:t>612:25-4-60.</w:t>
      </w:r>
      <w:r>
        <w:rPr>
          <w:spacing w:val="60"/>
        </w:rPr>
        <w:t> </w:t>
      </w:r>
      <w:r>
        <w:rPr/>
        <w:t>Ninety</w:t>
      </w:r>
      <w:r>
        <w:rPr>
          <w:spacing w:val="-4"/>
        </w:rPr>
        <w:t> </w:t>
      </w:r>
      <w:r>
        <w:rPr/>
        <w:t>day</w:t>
      </w:r>
      <w:r>
        <w:rPr>
          <w:spacing w:val="-3"/>
        </w:rPr>
        <w:t> </w:t>
      </w:r>
      <w:r>
        <w:rPr>
          <w:spacing w:val="-2"/>
        </w:rPr>
        <w:t>replacement</w:t>
      </w:r>
    </w:p>
    <w:p>
      <w:pPr>
        <w:pStyle w:val="BodyText"/>
        <w:spacing w:line="208" w:lineRule="auto" w:before="233"/>
        <w:ind w:right="767" w:firstLine="432"/>
      </w:pPr>
      <w:r>
        <w:rPr/>
        <w:t>If the licensed manager defaults on the Manager's Agreement for any reason (i.e. resignation, removal by the SLA or death) during the first 90 days from the date of selection,</w:t>
      </w:r>
      <w:r>
        <w:rPr>
          <w:spacing w:val="-3"/>
        </w:rPr>
        <w:t> </w:t>
      </w:r>
      <w:r>
        <w:rPr/>
        <w:t>the</w:t>
      </w:r>
      <w:r>
        <w:rPr>
          <w:spacing w:val="-4"/>
        </w:rPr>
        <w:t> </w:t>
      </w:r>
      <w:r>
        <w:rPr/>
        <w:t>BEP</w:t>
      </w:r>
      <w:r>
        <w:rPr>
          <w:spacing w:val="-4"/>
        </w:rPr>
        <w:t> </w:t>
      </w:r>
      <w:r>
        <w:rPr/>
        <w:t>Operations</w:t>
      </w:r>
      <w:r>
        <w:rPr>
          <w:spacing w:val="-4"/>
        </w:rPr>
        <w:t> </w:t>
      </w:r>
      <w:r>
        <w:rPr/>
        <w:t>Coordinator</w:t>
      </w:r>
      <w:r>
        <w:rPr>
          <w:spacing w:val="-3"/>
        </w:rPr>
        <w:t> </w:t>
      </w:r>
      <w:r>
        <w:rPr/>
        <w:t>will,</w:t>
      </w:r>
      <w:r>
        <w:rPr>
          <w:spacing w:val="-3"/>
        </w:rPr>
        <w:t> </w:t>
      </w:r>
      <w:r>
        <w:rPr/>
        <w:t>following</w:t>
      </w:r>
      <w:r>
        <w:rPr>
          <w:spacing w:val="-3"/>
        </w:rPr>
        <w:t> </w:t>
      </w:r>
      <w:r>
        <w:rPr/>
        <w:t>such</w:t>
      </w:r>
      <w:r>
        <w:rPr>
          <w:spacing w:val="-4"/>
        </w:rPr>
        <w:t> </w:t>
      </w:r>
      <w:r>
        <w:rPr/>
        <w:t>default</w:t>
      </w:r>
      <w:r>
        <w:rPr>
          <w:spacing w:val="-3"/>
        </w:rPr>
        <w:t> </w:t>
      </w:r>
      <w:r>
        <w:rPr/>
        <w:t>and</w:t>
      </w:r>
      <w:r>
        <w:rPr>
          <w:spacing w:val="-4"/>
        </w:rPr>
        <w:t> </w:t>
      </w:r>
      <w:r>
        <w:rPr/>
        <w:t>completion</w:t>
      </w:r>
      <w:r>
        <w:rPr>
          <w:spacing w:val="-4"/>
        </w:rPr>
        <w:t> </w:t>
      </w:r>
      <w:r>
        <w:rPr/>
        <w:t>of any resulting due process action, offer the business enterprise to the applicant who ranked second in the previous selection process. If the second person decides to remove his/her name from consideration, it will be offered to the next applicant with the highest accumulated points. In the event of a tie, or there are scores within five (5) points of the now highest ranking score,</w:t>
      </w:r>
      <w:r>
        <w:rPr>
          <w:spacing w:val="-1"/>
        </w:rPr>
        <w:t> </w:t>
      </w:r>
      <w:r>
        <w:rPr/>
        <w:t>the</w:t>
      </w:r>
      <w:r>
        <w:rPr>
          <w:spacing w:val="-1"/>
        </w:rPr>
        <w:t> </w:t>
      </w:r>
      <w:r>
        <w:rPr/>
        <w:t>procedures identified in 612:25-4-59 will be followed. This procedure will be exercised until a qualified licensed manager accepts the business enterprise. If all the applicants have removed their names from consideration, a determination will be made by the BEP Operations Coordinator, in consultation with the ECM Chairperson, to combine, remove, re-announce, or satellite the business enterprise.</w:t>
      </w:r>
    </w:p>
    <w:p>
      <w:pPr>
        <w:spacing w:before="242"/>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7-1-05</w:t>
      </w:r>
      <w:r>
        <w:rPr>
          <w:sz w:val="22"/>
        </w:rPr>
        <w:tab/>
        <w:t>PT Memo #06-01</w:t>
      </w:r>
    </w:p>
    <w:p>
      <w:pPr>
        <w:spacing w:before="0"/>
        <w:ind w:left="1439" w:right="0" w:firstLine="0"/>
        <w:jc w:val="left"/>
        <w:rPr>
          <w:sz w:val="22"/>
        </w:rPr>
      </w:pPr>
      <w:r>
        <w:rPr>
          <w:sz w:val="22"/>
        </w:rPr>
        <w:t>Permanent,</w:t>
      </w:r>
      <w:r>
        <w:rPr>
          <w:spacing w:val="-10"/>
          <w:sz w:val="22"/>
        </w:rPr>
        <w:t> </w:t>
      </w:r>
      <w:r>
        <w:rPr>
          <w:sz w:val="22"/>
        </w:rPr>
        <w:t>cleanup</w:t>
      </w:r>
      <w:r>
        <w:rPr>
          <w:spacing w:val="-11"/>
          <w:sz w:val="22"/>
        </w:rPr>
        <w:t> </w:t>
      </w:r>
      <w:r>
        <w:rPr>
          <w:spacing w:val="-2"/>
          <w:sz w:val="22"/>
        </w:rPr>
        <w:t>language</w:t>
      </w:r>
    </w:p>
    <w:p>
      <w:pPr>
        <w:pStyle w:val="ListParagraph"/>
        <w:numPr>
          <w:ilvl w:val="2"/>
          <w:numId w:val="263"/>
        </w:numPr>
        <w:tabs>
          <w:tab w:pos="1439" w:val="left" w:leader="none"/>
        </w:tabs>
        <w:spacing w:line="240" w:lineRule="auto" w:before="0" w:after="0"/>
        <w:ind w:left="359" w:right="4902" w:firstLine="0"/>
        <w:jc w:val="left"/>
        <w:rPr>
          <w:sz w:val="22"/>
        </w:rPr>
      </w:pPr>
      <w:r>
        <w:rPr>
          <w:sz w:val="22"/>
        </w:rPr>
        <w:t>Permanent,</w:t>
      </w:r>
      <w:r>
        <w:rPr>
          <w:spacing w:val="-7"/>
          <w:sz w:val="22"/>
        </w:rPr>
        <w:t> </w:t>
      </w:r>
      <w:r>
        <w:rPr>
          <w:sz w:val="22"/>
        </w:rPr>
        <w:t>added</w:t>
      </w:r>
      <w:r>
        <w:rPr>
          <w:spacing w:val="-8"/>
          <w:sz w:val="22"/>
        </w:rPr>
        <w:t> </w:t>
      </w:r>
      <w:r>
        <w:rPr>
          <w:sz w:val="22"/>
        </w:rPr>
        <w:t>"due</w:t>
      </w:r>
      <w:r>
        <w:rPr>
          <w:spacing w:val="-8"/>
          <w:sz w:val="22"/>
        </w:rPr>
        <w:t> </w:t>
      </w:r>
      <w:r>
        <w:rPr>
          <w:sz w:val="22"/>
        </w:rPr>
        <w:t>process"</w:t>
      </w:r>
      <w:r>
        <w:rPr>
          <w:spacing w:val="-8"/>
          <w:sz w:val="22"/>
        </w:rPr>
        <w:t> </w:t>
      </w:r>
      <w:r>
        <w:rPr>
          <w:sz w:val="22"/>
        </w:rPr>
        <w:t>to</w:t>
      </w:r>
      <w:r>
        <w:rPr>
          <w:spacing w:val="-8"/>
          <w:sz w:val="22"/>
        </w:rPr>
        <w:t> </w:t>
      </w:r>
      <w:r>
        <w:rPr>
          <w:sz w:val="22"/>
        </w:rPr>
        <w:t>policy </w:t>
      </w:r>
      <w:r>
        <w:rPr>
          <w:spacing w:val="-2"/>
          <w:sz w:val="22"/>
        </w:rPr>
        <w:t>9-12-14</w:t>
      </w:r>
      <w:r>
        <w:rPr>
          <w:sz w:val="22"/>
        </w:rPr>
        <w:tab/>
        <w:t>Permanent, updated language</w:t>
      </w:r>
    </w:p>
    <w:p>
      <w:pPr>
        <w:tabs>
          <w:tab w:pos="1439" w:val="left" w:leader="none"/>
        </w:tabs>
        <w:spacing w:before="0"/>
        <w:ind w:left="1439" w:right="926" w:hanging="1080"/>
        <w:jc w:val="left"/>
        <w:rPr>
          <w:sz w:val="22"/>
        </w:rPr>
      </w:pPr>
      <w:r>
        <w:rPr>
          <w:spacing w:val="-2"/>
          <w:sz w:val="22"/>
        </w:rPr>
        <w:t>8-27-15</w:t>
      </w:r>
      <w:r>
        <w:rPr>
          <w:sz w:val="22"/>
        </w:rPr>
        <w:tab/>
        <w:t>Added</w:t>
      </w:r>
      <w:r>
        <w:rPr>
          <w:spacing w:val="-3"/>
          <w:sz w:val="22"/>
        </w:rPr>
        <w:t> </w:t>
      </w:r>
      <w:r>
        <w:rPr>
          <w:sz w:val="22"/>
        </w:rPr>
        <w:t>language</w:t>
      </w:r>
      <w:r>
        <w:rPr>
          <w:spacing w:val="-3"/>
          <w:sz w:val="22"/>
        </w:rPr>
        <w:t> </w:t>
      </w:r>
      <w:r>
        <w:rPr>
          <w:sz w:val="22"/>
        </w:rPr>
        <w:t>regarding</w:t>
      </w:r>
      <w:r>
        <w:rPr>
          <w:spacing w:val="-3"/>
          <w:sz w:val="22"/>
        </w:rPr>
        <w:t> </w:t>
      </w:r>
      <w:r>
        <w:rPr>
          <w:sz w:val="22"/>
        </w:rPr>
        <w:t>following</w:t>
      </w:r>
      <w:r>
        <w:rPr>
          <w:spacing w:val="-4"/>
          <w:sz w:val="22"/>
        </w:rPr>
        <w:t> </w:t>
      </w:r>
      <w:r>
        <w:rPr>
          <w:sz w:val="22"/>
        </w:rPr>
        <w:t>procedures</w:t>
      </w:r>
      <w:r>
        <w:rPr>
          <w:spacing w:val="-4"/>
          <w:sz w:val="22"/>
        </w:rPr>
        <w:t> </w:t>
      </w:r>
      <w:r>
        <w:rPr>
          <w:sz w:val="22"/>
        </w:rPr>
        <w:t>in</w:t>
      </w:r>
      <w:r>
        <w:rPr>
          <w:spacing w:val="-3"/>
          <w:sz w:val="22"/>
        </w:rPr>
        <w:t> </w:t>
      </w:r>
      <w:r>
        <w:rPr>
          <w:sz w:val="22"/>
        </w:rPr>
        <w:t>612:25-4-59</w:t>
      </w:r>
      <w:r>
        <w:rPr>
          <w:spacing w:val="-3"/>
          <w:sz w:val="22"/>
        </w:rPr>
        <w:t> </w:t>
      </w:r>
      <w:r>
        <w:rPr>
          <w:sz w:val="22"/>
        </w:rPr>
        <w:t>in</w:t>
      </w:r>
      <w:r>
        <w:rPr>
          <w:spacing w:val="-3"/>
          <w:sz w:val="22"/>
        </w:rPr>
        <w:t> </w:t>
      </w:r>
      <w:r>
        <w:rPr>
          <w:sz w:val="22"/>
        </w:rPr>
        <w:t>the</w:t>
      </w:r>
      <w:r>
        <w:rPr>
          <w:spacing w:val="-3"/>
          <w:sz w:val="22"/>
        </w:rPr>
        <w:t> </w:t>
      </w:r>
      <w:r>
        <w:rPr>
          <w:sz w:val="22"/>
        </w:rPr>
        <w:t>event</w:t>
      </w:r>
      <w:r>
        <w:rPr>
          <w:spacing w:val="-3"/>
          <w:sz w:val="22"/>
        </w:rPr>
        <w:t> </w:t>
      </w:r>
      <w:r>
        <w:rPr>
          <w:sz w:val="22"/>
        </w:rPr>
        <w:t>of</w:t>
      </w:r>
      <w:r>
        <w:rPr>
          <w:spacing w:val="-3"/>
          <w:sz w:val="22"/>
        </w:rPr>
        <w:t> </w:t>
      </w:r>
      <w:r>
        <w:rPr>
          <w:sz w:val="22"/>
        </w:rPr>
        <w:t>a</w:t>
      </w:r>
      <w:r>
        <w:rPr>
          <w:spacing w:val="-3"/>
          <w:sz w:val="22"/>
        </w:rPr>
        <w:t> </w:t>
      </w:r>
      <w:r>
        <w:rPr>
          <w:sz w:val="22"/>
        </w:rPr>
        <w:t>tie during the selection process.</w:t>
      </w:r>
    </w:p>
    <w:p>
      <w:pPr>
        <w:spacing w:after="0"/>
        <w:jc w:val="left"/>
        <w:rPr>
          <w:sz w:val="22"/>
        </w:rPr>
        <w:sectPr>
          <w:pgSz w:w="12240" w:h="15840"/>
          <w:pgMar w:top="1340" w:bottom="280" w:left="1080" w:right="720"/>
        </w:sectPr>
      </w:pPr>
    </w:p>
    <w:p>
      <w:pPr>
        <w:pStyle w:val="Heading2"/>
      </w:pPr>
      <w:bookmarkStart w:name="612:25-4-61.  Satellite business enterpr" w:id="412"/>
      <w:bookmarkEnd w:id="412"/>
      <w:r>
        <w:rPr>
          <w:b w:val="0"/>
        </w:rPr>
      </w:r>
      <w:r>
        <w:rPr/>
        <w:t>612:25-4-61.</w:t>
      </w:r>
      <w:r>
        <w:rPr>
          <w:spacing w:val="55"/>
        </w:rPr>
        <w:t> </w:t>
      </w:r>
      <w:r>
        <w:rPr/>
        <w:t>Satellite</w:t>
      </w:r>
      <w:r>
        <w:rPr>
          <w:spacing w:val="-4"/>
        </w:rPr>
        <w:t> </w:t>
      </w:r>
      <w:r>
        <w:rPr/>
        <w:t>business</w:t>
      </w:r>
      <w:r>
        <w:rPr>
          <w:spacing w:val="-5"/>
        </w:rPr>
        <w:t> </w:t>
      </w:r>
      <w:r>
        <w:rPr/>
        <w:t>enterprise</w:t>
      </w:r>
      <w:r>
        <w:rPr>
          <w:spacing w:val="-4"/>
        </w:rPr>
        <w:t> </w:t>
      </w:r>
      <w:r>
        <w:rPr>
          <w:spacing w:val="-2"/>
        </w:rPr>
        <w:t>locations</w:t>
      </w:r>
    </w:p>
    <w:p>
      <w:pPr>
        <w:pStyle w:val="ListParagraph"/>
        <w:numPr>
          <w:ilvl w:val="0"/>
          <w:numId w:val="391"/>
        </w:numPr>
        <w:tabs>
          <w:tab w:pos="786" w:val="left" w:leader="none"/>
        </w:tabs>
        <w:spacing w:line="208" w:lineRule="auto" w:before="233" w:after="0"/>
        <w:ind w:left="360" w:right="739" w:firstLine="0"/>
        <w:jc w:val="left"/>
        <w:rPr>
          <w:sz w:val="24"/>
        </w:rPr>
      </w:pPr>
      <w:r>
        <w:rPr>
          <w:sz w:val="24"/>
        </w:rPr>
        <w:t>A</w:t>
      </w:r>
      <w:r>
        <w:rPr>
          <w:spacing w:val="-3"/>
          <w:sz w:val="24"/>
        </w:rPr>
        <w:t> </w:t>
      </w:r>
      <w:r>
        <w:rPr>
          <w:sz w:val="24"/>
        </w:rPr>
        <w:t>business</w:t>
      </w:r>
      <w:r>
        <w:rPr>
          <w:spacing w:val="-3"/>
          <w:sz w:val="24"/>
        </w:rPr>
        <w:t> </w:t>
      </w:r>
      <w:r>
        <w:rPr>
          <w:sz w:val="24"/>
        </w:rPr>
        <w:t>enterprise</w:t>
      </w:r>
      <w:r>
        <w:rPr>
          <w:spacing w:val="-3"/>
          <w:sz w:val="24"/>
        </w:rPr>
        <w:t> </w:t>
      </w:r>
      <w:r>
        <w:rPr>
          <w:sz w:val="24"/>
        </w:rPr>
        <w:t>facility</w:t>
      </w:r>
      <w:r>
        <w:rPr>
          <w:spacing w:val="-3"/>
          <w:sz w:val="24"/>
        </w:rPr>
        <w:t> </w:t>
      </w:r>
      <w:r>
        <w:rPr>
          <w:sz w:val="24"/>
        </w:rPr>
        <w:t>will</w:t>
      </w:r>
      <w:r>
        <w:rPr>
          <w:spacing w:val="-3"/>
          <w:sz w:val="24"/>
        </w:rPr>
        <w:t> </w:t>
      </w:r>
      <w:r>
        <w:rPr>
          <w:sz w:val="24"/>
        </w:rPr>
        <w:t>be</w:t>
      </w:r>
      <w:r>
        <w:rPr>
          <w:spacing w:val="-3"/>
          <w:sz w:val="24"/>
        </w:rPr>
        <w:t> </w:t>
      </w:r>
      <w:r>
        <w:rPr>
          <w:sz w:val="24"/>
        </w:rPr>
        <w:t>considered</w:t>
      </w:r>
      <w:r>
        <w:rPr>
          <w:spacing w:val="-3"/>
          <w:sz w:val="24"/>
        </w:rPr>
        <w:t> </w:t>
      </w:r>
      <w:r>
        <w:rPr>
          <w:sz w:val="24"/>
        </w:rPr>
        <w:t>a</w:t>
      </w:r>
      <w:r>
        <w:rPr>
          <w:spacing w:val="-3"/>
          <w:sz w:val="24"/>
        </w:rPr>
        <w:t> </w:t>
      </w:r>
      <w:r>
        <w:rPr>
          <w:sz w:val="24"/>
        </w:rPr>
        <w:t>satellite</w:t>
      </w:r>
      <w:r>
        <w:rPr>
          <w:spacing w:val="-3"/>
          <w:sz w:val="24"/>
        </w:rPr>
        <w:t> </w:t>
      </w:r>
      <w:r>
        <w:rPr>
          <w:sz w:val="24"/>
        </w:rPr>
        <w:t>and</w:t>
      </w:r>
      <w:r>
        <w:rPr>
          <w:spacing w:val="-2"/>
          <w:sz w:val="24"/>
        </w:rPr>
        <w:t> </w:t>
      </w:r>
      <w:r>
        <w:rPr>
          <w:sz w:val="24"/>
        </w:rPr>
        <w:t>may</w:t>
      </w:r>
      <w:r>
        <w:rPr>
          <w:spacing w:val="-3"/>
          <w:sz w:val="24"/>
        </w:rPr>
        <w:t> </w:t>
      </w:r>
      <w:r>
        <w:rPr>
          <w:sz w:val="24"/>
        </w:rPr>
        <w:t>be</w:t>
      </w:r>
      <w:r>
        <w:rPr>
          <w:spacing w:val="-3"/>
          <w:sz w:val="24"/>
        </w:rPr>
        <w:t> </w:t>
      </w:r>
      <w:r>
        <w:rPr>
          <w:sz w:val="24"/>
        </w:rPr>
        <w:t>assigned</w:t>
      </w:r>
      <w:r>
        <w:rPr>
          <w:spacing w:val="-3"/>
          <w:sz w:val="24"/>
        </w:rPr>
        <w:t> </w:t>
      </w:r>
      <w:r>
        <w:rPr>
          <w:sz w:val="24"/>
        </w:rPr>
        <w:t>to</w:t>
      </w:r>
      <w:r>
        <w:rPr>
          <w:spacing w:val="-3"/>
          <w:sz w:val="24"/>
        </w:rPr>
        <w:t> </w:t>
      </w:r>
      <w:r>
        <w:rPr>
          <w:sz w:val="24"/>
        </w:rPr>
        <w:t>a licensed manager on a temporary basis when:</w:t>
      </w:r>
    </w:p>
    <w:p>
      <w:pPr>
        <w:pStyle w:val="ListParagraph"/>
        <w:numPr>
          <w:ilvl w:val="1"/>
          <w:numId w:val="391"/>
        </w:numPr>
        <w:tabs>
          <w:tab w:pos="1216" w:val="left" w:leader="none"/>
        </w:tabs>
        <w:spacing w:line="240" w:lineRule="auto" w:before="210" w:after="0"/>
        <w:ind w:left="1216" w:right="0" w:hanging="425"/>
        <w:jc w:val="left"/>
        <w:rPr>
          <w:sz w:val="24"/>
        </w:rPr>
      </w:pPr>
      <w:r>
        <w:rPr>
          <w:sz w:val="24"/>
        </w:rPr>
        <w:t>the</w:t>
      </w:r>
      <w:r>
        <w:rPr>
          <w:spacing w:val="-6"/>
          <w:sz w:val="24"/>
        </w:rPr>
        <w:t> </w:t>
      </w:r>
      <w:r>
        <w:rPr>
          <w:sz w:val="24"/>
        </w:rPr>
        <w:t>regular</w:t>
      </w:r>
      <w:r>
        <w:rPr>
          <w:spacing w:val="-2"/>
          <w:sz w:val="24"/>
        </w:rPr>
        <w:t> </w:t>
      </w:r>
      <w:r>
        <w:rPr>
          <w:sz w:val="24"/>
        </w:rPr>
        <w:t>selection</w:t>
      </w:r>
      <w:r>
        <w:rPr>
          <w:spacing w:val="-4"/>
          <w:sz w:val="24"/>
        </w:rPr>
        <w:t> </w:t>
      </w:r>
      <w:r>
        <w:rPr>
          <w:sz w:val="24"/>
        </w:rPr>
        <w:t>process</w:t>
      </w:r>
      <w:r>
        <w:rPr>
          <w:spacing w:val="-3"/>
          <w:sz w:val="24"/>
        </w:rPr>
        <w:t> </w:t>
      </w:r>
      <w:r>
        <w:rPr>
          <w:sz w:val="24"/>
        </w:rPr>
        <w:t>does</w:t>
      </w:r>
      <w:r>
        <w:rPr>
          <w:spacing w:val="-3"/>
          <w:sz w:val="24"/>
        </w:rPr>
        <w:t> </w:t>
      </w:r>
      <w:r>
        <w:rPr>
          <w:sz w:val="24"/>
        </w:rPr>
        <w:t>not</w:t>
      </w:r>
      <w:r>
        <w:rPr>
          <w:spacing w:val="-3"/>
          <w:sz w:val="24"/>
        </w:rPr>
        <w:t> </w:t>
      </w:r>
      <w:r>
        <w:rPr>
          <w:sz w:val="24"/>
        </w:rPr>
        <w:t>produce</w:t>
      </w:r>
      <w:r>
        <w:rPr>
          <w:spacing w:val="-3"/>
          <w:sz w:val="24"/>
        </w:rPr>
        <w:t> </w:t>
      </w:r>
      <w:r>
        <w:rPr>
          <w:sz w:val="24"/>
        </w:rPr>
        <w:t>a</w:t>
      </w:r>
      <w:r>
        <w:rPr>
          <w:spacing w:val="-4"/>
          <w:sz w:val="24"/>
        </w:rPr>
        <w:t> </w:t>
      </w:r>
      <w:r>
        <w:rPr>
          <w:sz w:val="24"/>
        </w:rPr>
        <w:t>permanent</w:t>
      </w:r>
      <w:r>
        <w:rPr>
          <w:spacing w:val="-2"/>
          <w:sz w:val="24"/>
        </w:rPr>
        <w:t> </w:t>
      </w:r>
      <w:r>
        <w:rPr>
          <w:sz w:val="24"/>
        </w:rPr>
        <w:t>licensed</w:t>
      </w:r>
      <w:r>
        <w:rPr>
          <w:spacing w:val="-3"/>
          <w:sz w:val="24"/>
        </w:rPr>
        <w:t> </w:t>
      </w:r>
      <w:r>
        <w:rPr>
          <w:spacing w:val="-2"/>
          <w:sz w:val="24"/>
        </w:rPr>
        <w:t>manager,</w:t>
      </w:r>
    </w:p>
    <w:p>
      <w:pPr>
        <w:pStyle w:val="ListParagraph"/>
        <w:numPr>
          <w:ilvl w:val="1"/>
          <w:numId w:val="391"/>
        </w:numPr>
        <w:tabs>
          <w:tab w:pos="1217" w:val="left" w:leader="none"/>
        </w:tabs>
        <w:spacing w:line="240" w:lineRule="auto" w:before="204" w:after="0"/>
        <w:ind w:left="1217" w:right="0" w:hanging="426"/>
        <w:jc w:val="left"/>
        <w:rPr>
          <w:sz w:val="24"/>
        </w:rPr>
      </w:pPr>
      <w:r>
        <w:rPr>
          <w:sz w:val="24"/>
        </w:rPr>
        <w:t>a</w:t>
      </w:r>
      <w:r>
        <w:rPr>
          <w:spacing w:val="-6"/>
          <w:sz w:val="24"/>
        </w:rPr>
        <w:t> </w:t>
      </w:r>
      <w:r>
        <w:rPr>
          <w:sz w:val="24"/>
        </w:rPr>
        <w:t>licensed</w:t>
      </w:r>
      <w:r>
        <w:rPr>
          <w:spacing w:val="-2"/>
          <w:sz w:val="24"/>
        </w:rPr>
        <w:t> </w:t>
      </w:r>
      <w:r>
        <w:rPr>
          <w:sz w:val="24"/>
        </w:rPr>
        <w:t>manager</w:t>
      </w:r>
      <w:r>
        <w:rPr>
          <w:spacing w:val="-1"/>
          <w:sz w:val="24"/>
        </w:rPr>
        <w:t> </w:t>
      </w:r>
      <w:r>
        <w:rPr>
          <w:sz w:val="24"/>
        </w:rPr>
        <w:t>has</w:t>
      </w:r>
      <w:r>
        <w:rPr>
          <w:spacing w:val="-3"/>
          <w:sz w:val="24"/>
        </w:rPr>
        <w:t> </w:t>
      </w:r>
      <w:r>
        <w:rPr>
          <w:sz w:val="24"/>
        </w:rPr>
        <w:t>been</w:t>
      </w:r>
      <w:r>
        <w:rPr>
          <w:spacing w:val="-2"/>
          <w:sz w:val="24"/>
        </w:rPr>
        <w:t> </w:t>
      </w:r>
      <w:r>
        <w:rPr>
          <w:sz w:val="24"/>
        </w:rPr>
        <w:t>removed</w:t>
      </w:r>
      <w:r>
        <w:rPr>
          <w:spacing w:val="-3"/>
          <w:sz w:val="24"/>
        </w:rPr>
        <w:t> </w:t>
      </w:r>
      <w:r>
        <w:rPr>
          <w:sz w:val="24"/>
        </w:rPr>
        <w:t>by</w:t>
      </w:r>
      <w:r>
        <w:rPr>
          <w:spacing w:val="-3"/>
          <w:sz w:val="24"/>
        </w:rPr>
        <w:t> </w:t>
      </w:r>
      <w:r>
        <w:rPr>
          <w:sz w:val="24"/>
        </w:rPr>
        <w:t>the</w:t>
      </w:r>
      <w:r>
        <w:rPr>
          <w:spacing w:val="-2"/>
          <w:sz w:val="24"/>
        </w:rPr>
        <w:t> </w:t>
      </w:r>
      <w:r>
        <w:rPr>
          <w:sz w:val="24"/>
        </w:rPr>
        <w:t>SLA,</w:t>
      </w:r>
      <w:r>
        <w:rPr>
          <w:spacing w:val="-1"/>
          <w:sz w:val="24"/>
        </w:rPr>
        <w:t> </w:t>
      </w:r>
      <w:r>
        <w:rPr>
          <w:spacing w:val="-5"/>
          <w:sz w:val="24"/>
        </w:rPr>
        <w:t>or</w:t>
      </w:r>
    </w:p>
    <w:p>
      <w:pPr>
        <w:pStyle w:val="ListParagraph"/>
        <w:numPr>
          <w:ilvl w:val="1"/>
          <w:numId w:val="391"/>
        </w:numPr>
        <w:tabs>
          <w:tab w:pos="1217" w:val="left" w:leader="none"/>
        </w:tabs>
        <w:spacing w:line="208" w:lineRule="auto" w:before="234" w:after="0"/>
        <w:ind w:left="791" w:right="1068" w:firstLine="0"/>
        <w:jc w:val="left"/>
        <w:rPr>
          <w:sz w:val="24"/>
        </w:rPr>
      </w:pPr>
      <w:r>
        <w:rPr>
          <w:sz w:val="24"/>
        </w:rPr>
        <w:t>when</w:t>
      </w:r>
      <w:r>
        <w:rPr>
          <w:spacing w:val="-4"/>
          <w:sz w:val="24"/>
        </w:rPr>
        <w:t> </w:t>
      </w:r>
      <w:r>
        <w:rPr>
          <w:sz w:val="24"/>
        </w:rPr>
        <w:t>a</w:t>
      </w:r>
      <w:r>
        <w:rPr>
          <w:spacing w:val="-5"/>
          <w:sz w:val="24"/>
        </w:rPr>
        <w:t> </w:t>
      </w:r>
      <w:r>
        <w:rPr>
          <w:sz w:val="24"/>
        </w:rPr>
        <w:t>business</w:t>
      </w:r>
      <w:r>
        <w:rPr>
          <w:spacing w:val="-4"/>
          <w:sz w:val="24"/>
        </w:rPr>
        <w:t> </w:t>
      </w:r>
      <w:r>
        <w:rPr>
          <w:sz w:val="24"/>
        </w:rPr>
        <w:t>enterprise</w:t>
      </w:r>
      <w:r>
        <w:rPr>
          <w:spacing w:val="-4"/>
          <w:sz w:val="24"/>
        </w:rPr>
        <w:t> </w:t>
      </w:r>
      <w:r>
        <w:rPr>
          <w:sz w:val="24"/>
        </w:rPr>
        <w:t>is</w:t>
      </w:r>
      <w:r>
        <w:rPr>
          <w:spacing w:val="-4"/>
          <w:sz w:val="24"/>
        </w:rPr>
        <w:t> </w:t>
      </w:r>
      <w:r>
        <w:rPr>
          <w:sz w:val="24"/>
        </w:rPr>
        <w:t>vacated</w:t>
      </w:r>
      <w:r>
        <w:rPr>
          <w:spacing w:val="-4"/>
          <w:sz w:val="24"/>
        </w:rPr>
        <w:t> </w:t>
      </w:r>
      <w:r>
        <w:rPr>
          <w:sz w:val="24"/>
        </w:rPr>
        <w:t>by</w:t>
      </w:r>
      <w:r>
        <w:rPr>
          <w:spacing w:val="-4"/>
          <w:sz w:val="24"/>
        </w:rPr>
        <w:t> </w:t>
      </w:r>
      <w:r>
        <w:rPr>
          <w:sz w:val="24"/>
        </w:rPr>
        <w:t>a</w:t>
      </w:r>
      <w:r>
        <w:rPr>
          <w:spacing w:val="-4"/>
          <w:sz w:val="24"/>
        </w:rPr>
        <w:t> </w:t>
      </w:r>
      <w:r>
        <w:rPr>
          <w:sz w:val="24"/>
        </w:rPr>
        <w:t>Licensed</w:t>
      </w:r>
      <w:r>
        <w:rPr>
          <w:spacing w:val="-3"/>
          <w:sz w:val="24"/>
        </w:rPr>
        <w:t> </w:t>
      </w:r>
      <w:r>
        <w:rPr>
          <w:sz w:val="24"/>
        </w:rPr>
        <w:t>Manager</w:t>
      </w:r>
      <w:r>
        <w:rPr>
          <w:spacing w:val="-5"/>
          <w:sz w:val="24"/>
        </w:rPr>
        <w:t> </w:t>
      </w:r>
      <w:r>
        <w:rPr>
          <w:sz w:val="24"/>
        </w:rPr>
        <w:t>without</w:t>
      </w:r>
      <w:r>
        <w:rPr>
          <w:spacing w:val="-3"/>
          <w:sz w:val="24"/>
        </w:rPr>
        <w:t> </w:t>
      </w:r>
      <w:r>
        <w:rPr>
          <w:sz w:val="24"/>
        </w:rPr>
        <w:t>giving the SLA at least 30 days notice.</w:t>
      </w:r>
    </w:p>
    <w:p>
      <w:pPr>
        <w:pStyle w:val="ListParagraph"/>
        <w:numPr>
          <w:ilvl w:val="1"/>
          <w:numId w:val="391"/>
        </w:numPr>
        <w:tabs>
          <w:tab w:pos="1217" w:val="left" w:leader="none"/>
        </w:tabs>
        <w:spacing w:line="208" w:lineRule="auto" w:before="240" w:after="0"/>
        <w:ind w:left="791" w:right="1108" w:firstLine="0"/>
        <w:jc w:val="left"/>
        <w:rPr>
          <w:sz w:val="24"/>
        </w:rPr>
      </w:pPr>
      <w:r>
        <w:rPr>
          <w:sz w:val="24"/>
        </w:rPr>
        <w:t>when</w:t>
      </w:r>
      <w:r>
        <w:rPr>
          <w:spacing w:val="-3"/>
          <w:sz w:val="24"/>
        </w:rPr>
        <w:t> </w:t>
      </w:r>
      <w:r>
        <w:rPr>
          <w:sz w:val="24"/>
        </w:rPr>
        <w:t>notification</w:t>
      </w:r>
      <w:r>
        <w:rPr>
          <w:spacing w:val="-3"/>
          <w:sz w:val="24"/>
        </w:rPr>
        <w:t> </w:t>
      </w:r>
      <w:r>
        <w:rPr>
          <w:sz w:val="24"/>
        </w:rPr>
        <w:t>of</w:t>
      </w:r>
      <w:r>
        <w:rPr>
          <w:spacing w:val="-2"/>
          <w:sz w:val="24"/>
        </w:rPr>
        <w:t> </w:t>
      </w:r>
      <w:r>
        <w:rPr>
          <w:sz w:val="24"/>
        </w:rPr>
        <w:t>a</w:t>
      </w:r>
      <w:r>
        <w:rPr>
          <w:spacing w:val="-3"/>
          <w:sz w:val="24"/>
        </w:rPr>
        <w:t> </w:t>
      </w:r>
      <w:r>
        <w:rPr>
          <w:sz w:val="24"/>
        </w:rPr>
        <w:t>new</w:t>
      </w:r>
      <w:r>
        <w:rPr>
          <w:spacing w:val="-3"/>
          <w:sz w:val="24"/>
        </w:rPr>
        <w:t> </w:t>
      </w:r>
      <w:r>
        <w:rPr>
          <w:sz w:val="24"/>
        </w:rPr>
        <w:t>business</w:t>
      </w:r>
      <w:r>
        <w:rPr>
          <w:spacing w:val="-3"/>
          <w:sz w:val="24"/>
        </w:rPr>
        <w:t> </w:t>
      </w:r>
      <w:r>
        <w:rPr>
          <w:sz w:val="24"/>
        </w:rPr>
        <w:t>enterprise</w:t>
      </w:r>
      <w:r>
        <w:rPr>
          <w:spacing w:val="-3"/>
          <w:sz w:val="24"/>
        </w:rPr>
        <w:t> </w:t>
      </w:r>
      <w:r>
        <w:rPr>
          <w:sz w:val="24"/>
        </w:rPr>
        <w:t>is</w:t>
      </w:r>
      <w:r>
        <w:rPr>
          <w:spacing w:val="-3"/>
          <w:sz w:val="24"/>
        </w:rPr>
        <w:t> </w:t>
      </w:r>
      <w:r>
        <w:rPr>
          <w:sz w:val="24"/>
        </w:rPr>
        <w:t>received</w:t>
      </w:r>
      <w:r>
        <w:rPr>
          <w:spacing w:val="-3"/>
          <w:sz w:val="24"/>
        </w:rPr>
        <w:t> </w:t>
      </w:r>
      <w:r>
        <w:rPr>
          <w:sz w:val="24"/>
        </w:rPr>
        <w:t>by</w:t>
      </w:r>
      <w:r>
        <w:rPr>
          <w:spacing w:val="-3"/>
          <w:sz w:val="24"/>
        </w:rPr>
        <w:t> </w:t>
      </w:r>
      <w:r>
        <w:rPr>
          <w:sz w:val="24"/>
        </w:rPr>
        <w:t>the</w:t>
      </w:r>
      <w:r>
        <w:rPr>
          <w:spacing w:val="-3"/>
          <w:sz w:val="24"/>
        </w:rPr>
        <w:t> </w:t>
      </w:r>
      <w:r>
        <w:rPr>
          <w:sz w:val="24"/>
        </w:rPr>
        <w:t>SLA</w:t>
      </w:r>
      <w:r>
        <w:rPr>
          <w:spacing w:val="-3"/>
          <w:sz w:val="24"/>
        </w:rPr>
        <w:t> </w:t>
      </w:r>
      <w:r>
        <w:rPr>
          <w:sz w:val="24"/>
        </w:rPr>
        <w:t>from</w:t>
      </w:r>
      <w:r>
        <w:rPr>
          <w:spacing w:val="-4"/>
          <w:sz w:val="24"/>
        </w:rPr>
        <w:t> </w:t>
      </w:r>
      <w:r>
        <w:rPr>
          <w:sz w:val="24"/>
        </w:rPr>
        <w:t>a federal, state, county or private entity with less than a 30 day notice.</w:t>
      </w:r>
    </w:p>
    <w:p>
      <w:pPr>
        <w:pStyle w:val="ListParagraph"/>
        <w:numPr>
          <w:ilvl w:val="0"/>
          <w:numId w:val="391"/>
        </w:numPr>
        <w:tabs>
          <w:tab w:pos="786" w:val="left" w:leader="none"/>
        </w:tabs>
        <w:spacing w:line="208" w:lineRule="auto" w:before="239" w:after="0"/>
        <w:ind w:left="360" w:right="767" w:firstLine="0"/>
        <w:jc w:val="left"/>
        <w:rPr>
          <w:sz w:val="24"/>
        </w:rPr>
      </w:pPr>
      <w:r>
        <w:rPr>
          <w:sz w:val="24"/>
        </w:rPr>
        <w:t>The BEP Operations Coordinator, in consultation with the Chairperson of the Elected</w:t>
      </w:r>
      <w:r>
        <w:rPr>
          <w:spacing w:val="-4"/>
          <w:sz w:val="24"/>
        </w:rPr>
        <w:t> </w:t>
      </w:r>
      <w:r>
        <w:rPr>
          <w:sz w:val="24"/>
        </w:rPr>
        <w:t>Committee</w:t>
      </w:r>
      <w:r>
        <w:rPr>
          <w:spacing w:val="-4"/>
          <w:sz w:val="24"/>
        </w:rPr>
        <w:t> </w:t>
      </w:r>
      <w:r>
        <w:rPr>
          <w:sz w:val="24"/>
        </w:rPr>
        <w:t>of</w:t>
      </w:r>
      <w:r>
        <w:rPr>
          <w:spacing w:val="-6"/>
          <w:sz w:val="24"/>
        </w:rPr>
        <w:t> </w:t>
      </w:r>
      <w:r>
        <w:rPr>
          <w:sz w:val="24"/>
        </w:rPr>
        <w:t>Licensed</w:t>
      </w:r>
      <w:r>
        <w:rPr>
          <w:spacing w:val="-4"/>
          <w:sz w:val="24"/>
        </w:rPr>
        <w:t> </w:t>
      </w:r>
      <w:r>
        <w:rPr>
          <w:sz w:val="24"/>
        </w:rPr>
        <w:t>Managers,</w:t>
      </w:r>
      <w:r>
        <w:rPr>
          <w:spacing w:val="-3"/>
          <w:sz w:val="24"/>
        </w:rPr>
        <w:t> </w:t>
      </w:r>
      <w:r>
        <w:rPr>
          <w:sz w:val="24"/>
        </w:rPr>
        <w:t>may</w:t>
      </w:r>
      <w:r>
        <w:rPr>
          <w:spacing w:val="-4"/>
          <w:sz w:val="24"/>
        </w:rPr>
        <w:t> </w:t>
      </w:r>
      <w:r>
        <w:rPr>
          <w:sz w:val="24"/>
        </w:rPr>
        <w:t>assign</w:t>
      </w:r>
      <w:r>
        <w:rPr>
          <w:spacing w:val="-4"/>
          <w:sz w:val="24"/>
        </w:rPr>
        <w:t> </w:t>
      </w:r>
      <w:r>
        <w:rPr>
          <w:sz w:val="24"/>
        </w:rPr>
        <w:t>a</w:t>
      </w:r>
      <w:r>
        <w:rPr>
          <w:spacing w:val="-3"/>
          <w:sz w:val="24"/>
        </w:rPr>
        <w:t> </w:t>
      </w:r>
      <w:r>
        <w:rPr>
          <w:sz w:val="24"/>
        </w:rPr>
        <w:t>licensed</w:t>
      </w:r>
      <w:r>
        <w:rPr>
          <w:spacing w:val="-4"/>
          <w:sz w:val="24"/>
        </w:rPr>
        <w:t> </w:t>
      </w:r>
      <w:r>
        <w:rPr>
          <w:sz w:val="24"/>
        </w:rPr>
        <w:t>manager</w:t>
      </w:r>
      <w:r>
        <w:rPr>
          <w:spacing w:val="-3"/>
          <w:sz w:val="24"/>
        </w:rPr>
        <w:t> </w:t>
      </w:r>
      <w:r>
        <w:rPr>
          <w:sz w:val="24"/>
        </w:rPr>
        <w:t>to</w:t>
      </w:r>
      <w:r>
        <w:rPr>
          <w:spacing w:val="-4"/>
          <w:sz w:val="24"/>
        </w:rPr>
        <w:t> </w:t>
      </w:r>
      <w:r>
        <w:rPr>
          <w:sz w:val="24"/>
        </w:rPr>
        <w:t>a</w:t>
      </w:r>
      <w:r>
        <w:rPr>
          <w:spacing w:val="-4"/>
          <w:sz w:val="24"/>
        </w:rPr>
        <w:t> </w:t>
      </w:r>
      <w:r>
        <w:rPr>
          <w:sz w:val="24"/>
        </w:rPr>
        <w:t>satellite business enterprise. The length of the agreement for a temporary assignment will be until</w:t>
      </w:r>
      <w:r>
        <w:rPr>
          <w:spacing w:val="-2"/>
          <w:sz w:val="24"/>
        </w:rPr>
        <w:t> </w:t>
      </w:r>
      <w:r>
        <w:rPr>
          <w:sz w:val="24"/>
        </w:rPr>
        <w:t>the</w:t>
      </w:r>
      <w:r>
        <w:rPr>
          <w:spacing w:val="-2"/>
          <w:sz w:val="24"/>
        </w:rPr>
        <w:t> </w:t>
      </w:r>
      <w:r>
        <w:rPr>
          <w:sz w:val="24"/>
        </w:rPr>
        <w:t>regular</w:t>
      </w:r>
      <w:r>
        <w:rPr>
          <w:spacing w:val="-1"/>
          <w:sz w:val="24"/>
        </w:rPr>
        <w:t> </w:t>
      </w:r>
      <w:r>
        <w:rPr>
          <w:sz w:val="24"/>
        </w:rPr>
        <w:t>selection</w:t>
      </w:r>
      <w:r>
        <w:rPr>
          <w:spacing w:val="-2"/>
          <w:sz w:val="24"/>
        </w:rPr>
        <w:t> </w:t>
      </w:r>
      <w:r>
        <w:rPr>
          <w:sz w:val="24"/>
        </w:rPr>
        <w:t>process</w:t>
      </w:r>
      <w:r>
        <w:rPr>
          <w:spacing w:val="-1"/>
          <w:sz w:val="24"/>
        </w:rPr>
        <w:t> </w:t>
      </w:r>
      <w:r>
        <w:rPr>
          <w:sz w:val="24"/>
        </w:rPr>
        <w:t>can</w:t>
      </w:r>
      <w:r>
        <w:rPr>
          <w:spacing w:val="-2"/>
          <w:sz w:val="24"/>
        </w:rPr>
        <w:t> </w:t>
      </w:r>
      <w:r>
        <w:rPr>
          <w:sz w:val="24"/>
        </w:rPr>
        <w:t>generate</w:t>
      </w:r>
      <w:r>
        <w:rPr>
          <w:spacing w:val="-2"/>
          <w:sz w:val="24"/>
        </w:rPr>
        <w:t> </w:t>
      </w:r>
      <w:r>
        <w:rPr>
          <w:sz w:val="24"/>
        </w:rPr>
        <w:t>a</w:t>
      </w:r>
      <w:r>
        <w:rPr>
          <w:spacing w:val="-2"/>
          <w:sz w:val="24"/>
        </w:rPr>
        <w:t> </w:t>
      </w:r>
      <w:r>
        <w:rPr>
          <w:sz w:val="24"/>
        </w:rPr>
        <w:t>permanent</w:t>
      </w:r>
      <w:r>
        <w:rPr>
          <w:spacing w:val="-1"/>
          <w:sz w:val="24"/>
        </w:rPr>
        <w:t> </w:t>
      </w:r>
      <w:r>
        <w:rPr>
          <w:sz w:val="24"/>
        </w:rPr>
        <w:t>licensed</w:t>
      </w:r>
      <w:r>
        <w:rPr>
          <w:spacing w:val="-2"/>
          <w:sz w:val="24"/>
        </w:rPr>
        <w:t> </w:t>
      </w:r>
      <w:r>
        <w:rPr>
          <w:sz w:val="24"/>
        </w:rPr>
        <w:t>manager,</w:t>
      </w:r>
      <w:r>
        <w:rPr>
          <w:spacing w:val="-1"/>
          <w:sz w:val="24"/>
        </w:rPr>
        <w:t> </w:t>
      </w:r>
      <w:r>
        <w:rPr>
          <w:sz w:val="24"/>
        </w:rPr>
        <w:t>but</w:t>
      </w:r>
      <w:r>
        <w:rPr>
          <w:spacing w:val="-1"/>
          <w:sz w:val="24"/>
        </w:rPr>
        <w:t> </w:t>
      </w:r>
      <w:r>
        <w:rPr>
          <w:sz w:val="24"/>
        </w:rPr>
        <w:t>not less than 180 days, unless a shorter period is agreed upon by the satellite manager.</w:t>
      </w:r>
      <w:r>
        <w:rPr>
          <w:spacing w:val="40"/>
          <w:sz w:val="24"/>
        </w:rPr>
        <w:t> </w:t>
      </w:r>
      <w:r>
        <w:rPr>
          <w:sz w:val="24"/>
        </w:rPr>
        <w:t>In order to achieve an equitable distribution of satellite business enterprises, a licensee that currently operates a satellite location will not be eligible for an additional satellite unless there are no other qualified licensed managers interested.</w:t>
      </w:r>
      <w:r>
        <w:rPr>
          <w:spacing w:val="40"/>
          <w:sz w:val="24"/>
        </w:rPr>
        <w:t> </w:t>
      </w:r>
      <w:r>
        <w:rPr>
          <w:sz w:val="24"/>
        </w:rPr>
        <w:t>Licensed Managers who only qualify for lower facility classifications than the satellite under consideration may be assigned when it is deemed appropriate by the BEP Operations Coordinator, in consultation with the ECM Chairperson.</w:t>
      </w:r>
    </w:p>
    <w:p>
      <w:pPr>
        <w:pStyle w:val="ListParagraph"/>
        <w:numPr>
          <w:ilvl w:val="0"/>
          <w:numId w:val="391"/>
        </w:numPr>
        <w:tabs>
          <w:tab w:pos="773" w:val="left" w:leader="none"/>
        </w:tabs>
        <w:spacing w:line="208" w:lineRule="auto" w:before="239" w:after="0"/>
        <w:ind w:left="360" w:right="818" w:firstLine="0"/>
        <w:jc w:val="left"/>
        <w:rPr>
          <w:sz w:val="24"/>
        </w:rPr>
      </w:pPr>
      <w:r>
        <w:rPr>
          <w:sz w:val="24"/>
        </w:rPr>
        <w:t>Satellite locations will be reviewed by the SLA, in consultation with the ECM board, through consultation with the ECM chair person, every 10 months for possible advertisement</w:t>
      </w:r>
      <w:r>
        <w:rPr>
          <w:spacing w:val="-3"/>
          <w:sz w:val="24"/>
        </w:rPr>
        <w:t> </w:t>
      </w:r>
      <w:r>
        <w:rPr>
          <w:sz w:val="24"/>
        </w:rPr>
        <w:t>of</w:t>
      </w:r>
      <w:r>
        <w:rPr>
          <w:spacing w:val="-3"/>
          <w:sz w:val="24"/>
        </w:rPr>
        <w:t> </w:t>
      </w:r>
      <w:r>
        <w:rPr>
          <w:sz w:val="24"/>
        </w:rPr>
        <w:t>permanent</w:t>
      </w:r>
      <w:r>
        <w:rPr>
          <w:spacing w:val="-3"/>
          <w:sz w:val="24"/>
        </w:rPr>
        <w:t> </w:t>
      </w:r>
      <w:r>
        <w:rPr>
          <w:sz w:val="24"/>
        </w:rPr>
        <w:t>assignment,</w:t>
      </w:r>
      <w:r>
        <w:rPr>
          <w:spacing w:val="-3"/>
          <w:sz w:val="24"/>
        </w:rPr>
        <w:t> </w:t>
      </w:r>
      <w:r>
        <w:rPr>
          <w:sz w:val="24"/>
        </w:rPr>
        <w:t>adding</w:t>
      </w:r>
      <w:r>
        <w:rPr>
          <w:spacing w:val="-4"/>
          <w:sz w:val="24"/>
        </w:rPr>
        <w:t> </w:t>
      </w:r>
      <w:r>
        <w:rPr>
          <w:sz w:val="24"/>
        </w:rPr>
        <w:t>in</w:t>
      </w:r>
      <w:r>
        <w:rPr>
          <w:spacing w:val="-4"/>
          <w:sz w:val="24"/>
        </w:rPr>
        <w:t> </w:t>
      </w:r>
      <w:r>
        <w:rPr>
          <w:sz w:val="24"/>
        </w:rPr>
        <w:t>whole</w:t>
      </w:r>
      <w:r>
        <w:rPr>
          <w:spacing w:val="-4"/>
          <w:sz w:val="24"/>
        </w:rPr>
        <w:t> </w:t>
      </w:r>
      <w:r>
        <w:rPr>
          <w:sz w:val="24"/>
        </w:rPr>
        <w:t>or</w:t>
      </w:r>
      <w:r>
        <w:rPr>
          <w:spacing w:val="-3"/>
          <w:sz w:val="24"/>
        </w:rPr>
        <w:t> </w:t>
      </w:r>
      <w:r>
        <w:rPr>
          <w:sz w:val="24"/>
        </w:rPr>
        <w:t>in</w:t>
      </w:r>
      <w:r>
        <w:rPr>
          <w:spacing w:val="-4"/>
          <w:sz w:val="24"/>
        </w:rPr>
        <w:t> </w:t>
      </w:r>
      <w:r>
        <w:rPr>
          <w:sz w:val="24"/>
        </w:rPr>
        <w:t>part</w:t>
      </w:r>
      <w:r>
        <w:rPr>
          <w:spacing w:val="-5"/>
          <w:sz w:val="24"/>
        </w:rPr>
        <w:t> </w:t>
      </w:r>
      <w:r>
        <w:rPr>
          <w:sz w:val="24"/>
        </w:rPr>
        <w:t>to</w:t>
      </w:r>
      <w:r>
        <w:rPr>
          <w:spacing w:val="-4"/>
          <w:sz w:val="24"/>
        </w:rPr>
        <w:t> </w:t>
      </w:r>
      <w:r>
        <w:rPr>
          <w:sz w:val="24"/>
        </w:rPr>
        <w:t>another</w:t>
      </w:r>
      <w:r>
        <w:rPr>
          <w:spacing w:val="-5"/>
          <w:sz w:val="24"/>
        </w:rPr>
        <w:t> </w:t>
      </w:r>
      <w:r>
        <w:rPr>
          <w:sz w:val="24"/>
        </w:rPr>
        <w:t>business enterprise facility, continue the satellite assignment, or issuing Grantor a temporary variance.</w:t>
      </w:r>
      <w:r>
        <w:rPr>
          <w:spacing w:val="-2"/>
          <w:sz w:val="24"/>
        </w:rPr>
        <w:t> </w:t>
      </w:r>
      <w:r>
        <w:rPr>
          <w:sz w:val="24"/>
        </w:rPr>
        <w:t>The</w:t>
      </w:r>
      <w:r>
        <w:rPr>
          <w:spacing w:val="-3"/>
          <w:sz w:val="24"/>
        </w:rPr>
        <w:t> </w:t>
      </w:r>
      <w:r>
        <w:rPr>
          <w:sz w:val="24"/>
        </w:rPr>
        <w:t>satellite</w:t>
      </w:r>
      <w:r>
        <w:rPr>
          <w:spacing w:val="-2"/>
          <w:sz w:val="24"/>
        </w:rPr>
        <w:t> </w:t>
      </w:r>
      <w:r>
        <w:rPr>
          <w:sz w:val="24"/>
        </w:rPr>
        <w:t>manager</w:t>
      </w:r>
      <w:r>
        <w:rPr>
          <w:spacing w:val="-2"/>
          <w:sz w:val="24"/>
        </w:rPr>
        <w:t> </w:t>
      </w:r>
      <w:r>
        <w:rPr>
          <w:sz w:val="24"/>
        </w:rPr>
        <w:t>will</w:t>
      </w:r>
      <w:r>
        <w:rPr>
          <w:spacing w:val="-3"/>
          <w:sz w:val="24"/>
        </w:rPr>
        <w:t> </w:t>
      </w:r>
      <w:r>
        <w:rPr>
          <w:sz w:val="24"/>
        </w:rPr>
        <w:t>be</w:t>
      </w:r>
      <w:r>
        <w:rPr>
          <w:spacing w:val="-3"/>
          <w:sz w:val="24"/>
        </w:rPr>
        <w:t> </w:t>
      </w:r>
      <w:r>
        <w:rPr>
          <w:sz w:val="24"/>
        </w:rPr>
        <w:t>kept</w:t>
      </w:r>
      <w:r>
        <w:rPr>
          <w:spacing w:val="-2"/>
          <w:sz w:val="24"/>
        </w:rPr>
        <w:t> </w:t>
      </w:r>
      <w:r>
        <w:rPr>
          <w:sz w:val="24"/>
        </w:rPr>
        <w:t>informed</w:t>
      </w:r>
      <w:r>
        <w:rPr>
          <w:spacing w:val="-3"/>
          <w:sz w:val="24"/>
        </w:rPr>
        <w:t> </w:t>
      </w:r>
      <w:r>
        <w:rPr>
          <w:sz w:val="24"/>
        </w:rPr>
        <w:t>when</w:t>
      </w:r>
      <w:r>
        <w:rPr>
          <w:spacing w:val="-3"/>
          <w:sz w:val="24"/>
        </w:rPr>
        <w:t> </w:t>
      </w:r>
      <w:r>
        <w:rPr>
          <w:sz w:val="24"/>
        </w:rPr>
        <w:t>this</w:t>
      </w:r>
      <w:r>
        <w:rPr>
          <w:spacing w:val="-3"/>
          <w:sz w:val="24"/>
        </w:rPr>
        <w:t> </w:t>
      </w:r>
      <w:r>
        <w:rPr>
          <w:sz w:val="24"/>
        </w:rPr>
        <w:t>will</w:t>
      </w:r>
      <w:r>
        <w:rPr>
          <w:spacing w:val="-3"/>
          <w:sz w:val="24"/>
        </w:rPr>
        <w:t> </w:t>
      </w:r>
      <w:r>
        <w:rPr>
          <w:sz w:val="24"/>
        </w:rPr>
        <w:t>occur</w:t>
      </w:r>
      <w:r>
        <w:rPr>
          <w:spacing w:val="-2"/>
          <w:sz w:val="24"/>
        </w:rPr>
        <w:t> </w:t>
      </w:r>
      <w:r>
        <w:rPr>
          <w:sz w:val="24"/>
        </w:rPr>
        <w:t>and</w:t>
      </w:r>
      <w:r>
        <w:rPr>
          <w:spacing w:val="-3"/>
          <w:sz w:val="24"/>
        </w:rPr>
        <w:t> </w:t>
      </w:r>
      <w:r>
        <w:rPr>
          <w:sz w:val="24"/>
        </w:rPr>
        <w:t>the</w:t>
      </w:r>
      <w:r>
        <w:rPr>
          <w:spacing w:val="-3"/>
          <w:sz w:val="24"/>
        </w:rPr>
        <w:t> </w:t>
      </w:r>
      <w:r>
        <w:rPr>
          <w:sz w:val="24"/>
        </w:rPr>
        <w:t>result of the review.</w:t>
      </w:r>
    </w:p>
    <w:p>
      <w:pPr>
        <w:pStyle w:val="ListParagraph"/>
        <w:numPr>
          <w:ilvl w:val="0"/>
          <w:numId w:val="391"/>
        </w:numPr>
        <w:tabs>
          <w:tab w:pos="786" w:val="left" w:leader="none"/>
        </w:tabs>
        <w:spacing w:line="208" w:lineRule="auto" w:before="240" w:after="0"/>
        <w:ind w:left="360" w:right="1365" w:firstLine="0"/>
        <w:jc w:val="left"/>
        <w:rPr>
          <w:sz w:val="24"/>
        </w:rPr>
      </w:pPr>
      <w:r>
        <w:rPr>
          <w:sz w:val="24"/>
        </w:rPr>
        <w:t>The</w:t>
      </w:r>
      <w:r>
        <w:rPr>
          <w:spacing w:val="-4"/>
          <w:sz w:val="24"/>
        </w:rPr>
        <w:t> </w:t>
      </w:r>
      <w:r>
        <w:rPr>
          <w:sz w:val="24"/>
        </w:rPr>
        <w:t>licensed</w:t>
      </w:r>
      <w:r>
        <w:rPr>
          <w:spacing w:val="-4"/>
          <w:sz w:val="24"/>
        </w:rPr>
        <w:t> </w:t>
      </w:r>
      <w:r>
        <w:rPr>
          <w:sz w:val="24"/>
        </w:rPr>
        <w:t>manager</w:t>
      </w:r>
      <w:r>
        <w:rPr>
          <w:spacing w:val="-3"/>
          <w:sz w:val="24"/>
        </w:rPr>
        <w:t> </w:t>
      </w:r>
      <w:r>
        <w:rPr>
          <w:sz w:val="24"/>
        </w:rPr>
        <w:t>may</w:t>
      </w:r>
      <w:r>
        <w:rPr>
          <w:spacing w:val="-4"/>
          <w:sz w:val="24"/>
        </w:rPr>
        <w:t> </w:t>
      </w:r>
      <w:r>
        <w:rPr>
          <w:sz w:val="24"/>
        </w:rPr>
        <w:t>resign</w:t>
      </w:r>
      <w:r>
        <w:rPr>
          <w:spacing w:val="-4"/>
          <w:sz w:val="24"/>
        </w:rPr>
        <w:t> </w:t>
      </w:r>
      <w:r>
        <w:rPr>
          <w:sz w:val="24"/>
        </w:rPr>
        <w:t>the</w:t>
      </w:r>
      <w:r>
        <w:rPr>
          <w:spacing w:val="-4"/>
          <w:sz w:val="24"/>
        </w:rPr>
        <w:t> </w:t>
      </w:r>
      <w:r>
        <w:rPr>
          <w:sz w:val="24"/>
        </w:rPr>
        <w:t>satellite</w:t>
      </w:r>
      <w:r>
        <w:rPr>
          <w:spacing w:val="-4"/>
          <w:sz w:val="24"/>
        </w:rPr>
        <w:t> </w:t>
      </w:r>
      <w:r>
        <w:rPr>
          <w:sz w:val="24"/>
        </w:rPr>
        <w:t>agreement</w:t>
      </w:r>
      <w:r>
        <w:rPr>
          <w:spacing w:val="-3"/>
          <w:sz w:val="24"/>
        </w:rPr>
        <w:t> </w:t>
      </w:r>
      <w:r>
        <w:rPr>
          <w:sz w:val="24"/>
        </w:rPr>
        <w:t>with</w:t>
      </w:r>
      <w:r>
        <w:rPr>
          <w:spacing w:val="-4"/>
          <w:sz w:val="24"/>
        </w:rPr>
        <w:t> </w:t>
      </w:r>
      <w:r>
        <w:rPr>
          <w:sz w:val="24"/>
        </w:rPr>
        <w:t>30</w:t>
      </w:r>
      <w:r>
        <w:rPr>
          <w:spacing w:val="-4"/>
          <w:sz w:val="24"/>
        </w:rPr>
        <w:t> </w:t>
      </w:r>
      <w:r>
        <w:rPr>
          <w:sz w:val="24"/>
        </w:rPr>
        <w:t>days</w:t>
      </w:r>
      <w:r>
        <w:rPr>
          <w:spacing w:val="-4"/>
          <w:sz w:val="24"/>
        </w:rPr>
        <w:t> </w:t>
      </w:r>
      <w:r>
        <w:rPr>
          <w:sz w:val="24"/>
        </w:rPr>
        <w:t>written </w:t>
      </w:r>
      <w:r>
        <w:rPr>
          <w:spacing w:val="-2"/>
          <w:sz w:val="24"/>
        </w:rPr>
        <w:t>notice.</w:t>
      </w:r>
    </w:p>
    <w:p>
      <w:pPr>
        <w:pStyle w:val="ListParagraph"/>
        <w:numPr>
          <w:ilvl w:val="0"/>
          <w:numId w:val="391"/>
        </w:numPr>
        <w:tabs>
          <w:tab w:pos="786" w:val="left" w:leader="none"/>
        </w:tabs>
        <w:spacing w:line="208" w:lineRule="auto" w:before="239" w:after="0"/>
        <w:ind w:left="360" w:right="979" w:firstLine="0"/>
        <w:jc w:val="left"/>
        <w:rPr>
          <w:sz w:val="24"/>
        </w:rPr>
      </w:pPr>
      <w:r>
        <w:rPr>
          <w:sz w:val="24"/>
        </w:rPr>
        <w:t>The</w:t>
      </w:r>
      <w:r>
        <w:rPr>
          <w:spacing w:val="-4"/>
          <w:sz w:val="24"/>
        </w:rPr>
        <w:t> </w:t>
      </w:r>
      <w:r>
        <w:rPr>
          <w:sz w:val="24"/>
        </w:rPr>
        <w:t>satellite</w:t>
      </w:r>
      <w:r>
        <w:rPr>
          <w:spacing w:val="-4"/>
          <w:sz w:val="24"/>
        </w:rPr>
        <w:t> </w:t>
      </w:r>
      <w:r>
        <w:rPr>
          <w:sz w:val="24"/>
        </w:rPr>
        <w:t>business</w:t>
      </w:r>
      <w:r>
        <w:rPr>
          <w:spacing w:val="-4"/>
          <w:sz w:val="24"/>
        </w:rPr>
        <w:t> </w:t>
      </w:r>
      <w:r>
        <w:rPr>
          <w:sz w:val="24"/>
        </w:rPr>
        <w:t>enterprise</w:t>
      </w:r>
      <w:r>
        <w:rPr>
          <w:spacing w:val="-4"/>
          <w:sz w:val="24"/>
        </w:rPr>
        <w:t> </w:t>
      </w:r>
      <w:r>
        <w:rPr>
          <w:sz w:val="24"/>
        </w:rPr>
        <w:t>will</w:t>
      </w:r>
      <w:r>
        <w:rPr>
          <w:spacing w:val="-4"/>
          <w:sz w:val="24"/>
        </w:rPr>
        <w:t> </w:t>
      </w:r>
      <w:r>
        <w:rPr>
          <w:sz w:val="24"/>
        </w:rPr>
        <w:t>be</w:t>
      </w:r>
      <w:r>
        <w:rPr>
          <w:spacing w:val="-3"/>
          <w:sz w:val="24"/>
        </w:rPr>
        <w:t> </w:t>
      </w:r>
      <w:r>
        <w:rPr>
          <w:sz w:val="24"/>
        </w:rPr>
        <w:t>managed</w:t>
      </w:r>
      <w:r>
        <w:rPr>
          <w:spacing w:val="-4"/>
          <w:sz w:val="24"/>
        </w:rPr>
        <w:t> </w:t>
      </w:r>
      <w:r>
        <w:rPr>
          <w:sz w:val="24"/>
        </w:rPr>
        <w:t>as</w:t>
      </w:r>
      <w:r>
        <w:rPr>
          <w:spacing w:val="-4"/>
          <w:sz w:val="24"/>
        </w:rPr>
        <w:t> </w:t>
      </w:r>
      <w:r>
        <w:rPr>
          <w:sz w:val="24"/>
        </w:rPr>
        <w:t>a</w:t>
      </w:r>
      <w:r>
        <w:rPr>
          <w:spacing w:val="-4"/>
          <w:sz w:val="24"/>
        </w:rPr>
        <w:t> </w:t>
      </w:r>
      <w:r>
        <w:rPr>
          <w:sz w:val="24"/>
        </w:rPr>
        <w:t>separate</w:t>
      </w:r>
      <w:r>
        <w:rPr>
          <w:spacing w:val="-4"/>
          <w:sz w:val="24"/>
        </w:rPr>
        <w:t> </w:t>
      </w:r>
      <w:r>
        <w:rPr>
          <w:sz w:val="24"/>
        </w:rPr>
        <w:t>business</w:t>
      </w:r>
      <w:r>
        <w:rPr>
          <w:spacing w:val="-3"/>
          <w:sz w:val="24"/>
        </w:rPr>
        <w:t> </w:t>
      </w:r>
      <w:r>
        <w:rPr>
          <w:sz w:val="24"/>
        </w:rPr>
        <w:t>location for all purposes except for insurance and the tax permit. It is the licensed manager's responsibility</w:t>
      </w:r>
      <w:r>
        <w:rPr>
          <w:spacing w:val="-4"/>
          <w:sz w:val="24"/>
        </w:rPr>
        <w:t> </w:t>
      </w:r>
      <w:r>
        <w:rPr>
          <w:sz w:val="24"/>
        </w:rPr>
        <w:t>to</w:t>
      </w:r>
      <w:r>
        <w:rPr>
          <w:spacing w:val="-5"/>
          <w:sz w:val="24"/>
        </w:rPr>
        <w:t> </w:t>
      </w:r>
      <w:r>
        <w:rPr>
          <w:sz w:val="24"/>
        </w:rPr>
        <w:t>notify</w:t>
      </w:r>
      <w:r>
        <w:rPr>
          <w:spacing w:val="-4"/>
          <w:sz w:val="24"/>
        </w:rPr>
        <w:t> </w:t>
      </w:r>
      <w:r>
        <w:rPr>
          <w:sz w:val="24"/>
        </w:rPr>
        <w:t>the</w:t>
      </w:r>
      <w:r>
        <w:rPr>
          <w:spacing w:val="-4"/>
          <w:sz w:val="24"/>
        </w:rPr>
        <w:t> </w:t>
      </w:r>
      <w:r>
        <w:rPr>
          <w:sz w:val="24"/>
        </w:rPr>
        <w:t>Oklahoma</w:t>
      </w:r>
      <w:r>
        <w:rPr>
          <w:spacing w:val="-4"/>
          <w:sz w:val="24"/>
        </w:rPr>
        <w:t> </w:t>
      </w:r>
      <w:r>
        <w:rPr>
          <w:sz w:val="24"/>
        </w:rPr>
        <w:t>Tax</w:t>
      </w:r>
      <w:r>
        <w:rPr>
          <w:spacing w:val="-4"/>
          <w:sz w:val="24"/>
        </w:rPr>
        <w:t> </w:t>
      </w:r>
      <w:r>
        <w:rPr>
          <w:sz w:val="24"/>
        </w:rPr>
        <w:t>Commission</w:t>
      </w:r>
      <w:r>
        <w:rPr>
          <w:spacing w:val="-4"/>
          <w:sz w:val="24"/>
        </w:rPr>
        <w:t> </w:t>
      </w:r>
      <w:r>
        <w:rPr>
          <w:sz w:val="24"/>
        </w:rPr>
        <w:t>and</w:t>
      </w:r>
      <w:r>
        <w:rPr>
          <w:spacing w:val="-4"/>
          <w:sz w:val="24"/>
        </w:rPr>
        <w:t> </w:t>
      </w:r>
      <w:r>
        <w:rPr>
          <w:sz w:val="24"/>
        </w:rPr>
        <w:t>his</w:t>
      </w:r>
      <w:r>
        <w:rPr>
          <w:spacing w:val="-4"/>
          <w:sz w:val="24"/>
        </w:rPr>
        <w:t> </w:t>
      </w:r>
      <w:r>
        <w:rPr>
          <w:sz w:val="24"/>
        </w:rPr>
        <w:t>or</w:t>
      </w:r>
      <w:r>
        <w:rPr>
          <w:spacing w:val="-3"/>
          <w:sz w:val="24"/>
        </w:rPr>
        <w:t> </w:t>
      </w:r>
      <w:r>
        <w:rPr>
          <w:sz w:val="24"/>
        </w:rPr>
        <w:t>her</w:t>
      </w:r>
      <w:r>
        <w:rPr>
          <w:spacing w:val="-3"/>
          <w:sz w:val="24"/>
        </w:rPr>
        <w:t> </w:t>
      </w:r>
      <w:r>
        <w:rPr>
          <w:sz w:val="24"/>
        </w:rPr>
        <w:t>insurance</w:t>
      </w:r>
      <w:r>
        <w:rPr>
          <w:spacing w:val="-4"/>
          <w:sz w:val="24"/>
        </w:rPr>
        <w:t> </w:t>
      </w:r>
      <w:r>
        <w:rPr>
          <w:sz w:val="24"/>
        </w:rPr>
        <w:t>carrier of the addition and when the satellite manager agreement has ended.</w:t>
      </w:r>
    </w:p>
    <w:p>
      <w:pPr>
        <w:pStyle w:val="ListParagraph"/>
        <w:numPr>
          <w:ilvl w:val="0"/>
          <w:numId w:val="391"/>
        </w:numPr>
        <w:tabs>
          <w:tab w:pos="718" w:val="left" w:leader="none"/>
        </w:tabs>
        <w:spacing w:line="208" w:lineRule="auto" w:before="240" w:after="0"/>
        <w:ind w:left="360" w:right="1287" w:firstLine="0"/>
        <w:jc w:val="left"/>
        <w:rPr>
          <w:sz w:val="24"/>
        </w:rPr>
      </w:pPr>
      <w:r>
        <w:rPr>
          <w:sz w:val="24"/>
        </w:rPr>
        <w:t>If</w:t>
      </w:r>
      <w:r>
        <w:rPr>
          <w:spacing w:val="-2"/>
          <w:sz w:val="24"/>
        </w:rPr>
        <w:t> </w:t>
      </w:r>
      <w:r>
        <w:rPr>
          <w:sz w:val="24"/>
        </w:rPr>
        <w:t>a</w:t>
      </w:r>
      <w:r>
        <w:rPr>
          <w:spacing w:val="-4"/>
          <w:sz w:val="24"/>
        </w:rPr>
        <w:t> </w:t>
      </w:r>
      <w:r>
        <w:rPr>
          <w:sz w:val="24"/>
        </w:rPr>
        <w:t>satellite</w:t>
      </w:r>
      <w:r>
        <w:rPr>
          <w:spacing w:val="-3"/>
          <w:sz w:val="24"/>
        </w:rPr>
        <w:t> </w:t>
      </w:r>
      <w:r>
        <w:rPr>
          <w:sz w:val="24"/>
        </w:rPr>
        <w:t>is</w:t>
      </w:r>
      <w:r>
        <w:rPr>
          <w:spacing w:val="-3"/>
          <w:sz w:val="24"/>
        </w:rPr>
        <w:t> </w:t>
      </w:r>
      <w:r>
        <w:rPr>
          <w:sz w:val="24"/>
        </w:rPr>
        <w:t>to</w:t>
      </w:r>
      <w:r>
        <w:rPr>
          <w:spacing w:val="-3"/>
          <w:sz w:val="24"/>
        </w:rPr>
        <w:t> </w:t>
      </w:r>
      <w:r>
        <w:rPr>
          <w:sz w:val="24"/>
        </w:rPr>
        <w:t>be</w:t>
      </w:r>
      <w:r>
        <w:rPr>
          <w:spacing w:val="-3"/>
          <w:sz w:val="24"/>
        </w:rPr>
        <w:t> </w:t>
      </w:r>
      <w:r>
        <w:rPr>
          <w:sz w:val="24"/>
        </w:rPr>
        <w:t>continued</w:t>
      </w:r>
      <w:r>
        <w:rPr>
          <w:spacing w:val="-3"/>
          <w:sz w:val="24"/>
        </w:rPr>
        <w:t> </w:t>
      </w:r>
      <w:r>
        <w:rPr>
          <w:sz w:val="24"/>
        </w:rPr>
        <w:t>by</w:t>
      </w:r>
      <w:r>
        <w:rPr>
          <w:spacing w:val="-3"/>
          <w:sz w:val="24"/>
        </w:rPr>
        <w:t> </w:t>
      </w:r>
      <w:r>
        <w:rPr>
          <w:sz w:val="24"/>
        </w:rPr>
        <w:t>the</w:t>
      </w:r>
      <w:r>
        <w:rPr>
          <w:spacing w:val="-3"/>
          <w:sz w:val="24"/>
        </w:rPr>
        <w:t> </w:t>
      </w:r>
      <w:r>
        <w:rPr>
          <w:sz w:val="24"/>
        </w:rPr>
        <w:t>current</w:t>
      </w:r>
      <w:r>
        <w:rPr>
          <w:spacing w:val="-2"/>
          <w:sz w:val="24"/>
        </w:rPr>
        <w:t> </w:t>
      </w:r>
      <w:r>
        <w:rPr>
          <w:sz w:val="24"/>
        </w:rPr>
        <w:t>licensed</w:t>
      </w:r>
      <w:r>
        <w:rPr>
          <w:spacing w:val="-3"/>
          <w:sz w:val="24"/>
        </w:rPr>
        <w:t> </w:t>
      </w:r>
      <w:r>
        <w:rPr>
          <w:sz w:val="24"/>
        </w:rPr>
        <w:t>manager</w:t>
      </w:r>
      <w:r>
        <w:rPr>
          <w:spacing w:val="-2"/>
          <w:sz w:val="24"/>
        </w:rPr>
        <w:t> </w:t>
      </w:r>
      <w:r>
        <w:rPr>
          <w:sz w:val="24"/>
        </w:rPr>
        <w:t>after</w:t>
      </w:r>
      <w:r>
        <w:rPr>
          <w:spacing w:val="-4"/>
          <w:sz w:val="24"/>
        </w:rPr>
        <w:t> </w:t>
      </w:r>
      <w:r>
        <w:rPr>
          <w:sz w:val="24"/>
        </w:rPr>
        <w:t>review,</w:t>
      </w:r>
      <w:r>
        <w:rPr>
          <w:spacing w:val="-2"/>
          <w:sz w:val="24"/>
        </w:rPr>
        <w:t> </w:t>
      </w:r>
      <w:r>
        <w:rPr>
          <w:sz w:val="24"/>
        </w:rPr>
        <w:t>the manager must:</w:t>
      </w:r>
    </w:p>
    <w:p>
      <w:pPr>
        <w:pStyle w:val="ListParagraph"/>
        <w:numPr>
          <w:ilvl w:val="1"/>
          <w:numId w:val="391"/>
        </w:numPr>
        <w:tabs>
          <w:tab w:pos="1146" w:val="left" w:leader="none"/>
        </w:tabs>
        <w:spacing w:line="240" w:lineRule="auto" w:before="211" w:after="0"/>
        <w:ind w:left="1146" w:right="0" w:hanging="426"/>
        <w:jc w:val="left"/>
        <w:rPr>
          <w:sz w:val="24"/>
        </w:rPr>
      </w:pPr>
      <w:r>
        <w:rPr>
          <w:sz w:val="24"/>
        </w:rPr>
        <w:t>Score</w:t>
      </w:r>
      <w:r>
        <w:rPr>
          <w:spacing w:val="-6"/>
          <w:sz w:val="24"/>
        </w:rPr>
        <w:t> </w:t>
      </w:r>
      <w:r>
        <w:rPr>
          <w:sz w:val="24"/>
        </w:rPr>
        <w:t>at</w:t>
      </w:r>
      <w:r>
        <w:rPr>
          <w:spacing w:val="-1"/>
          <w:sz w:val="24"/>
        </w:rPr>
        <w:t> </w:t>
      </w:r>
      <w:r>
        <w:rPr>
          <w:sz w:val="24"/>
        </w:rPr>
        <w:t>least</w:t>
      </w:r>
      <w:r>
        <w:rPr>
          <w:spacing w:val="-1"/>
          <w:sz w:val="24"/>
        </w:rPr>
        <w:t> </w:t>
      </w:r>
      <w:r>
        <w:rPr>
          <w:sz w:val="24"/>
        </w:rPr>
        <w:t>an</w:t>
      </w:r>
      <w:r>
        <w:rPr>
          <w:spacing w:val="-3"/>
          <w:sz w:val="24"/>
        </w:rPr>
        <w:t> </w:t>
      </w:r>
      <w:r>
        <w:rPr>
          <w:sz w:val="24"/>
        </w:rPr>
        <w:t>80</w:t>
      </w:r>
      <w:r>
        <w:rPr>
          <w:spacing w:val="-3"/>
          <w:sz w:val="24"/>
        </w:rPr>
        <w:t> </w:t>
      </w:r>
      <w:r>
        <w:rPr>
          <w:sz w:val="24"/>
        </w:rPr>
        <w:t>on</w:t>
      </w:r>
      <w:r>
        <w:rPr>
          <w:spacing w:val="-2"/>
          <w:sz w:val="24"/>
        </w:rPr>
        <w:t> </w:t>
      </w:r>
      <w:r>
        <w:rPr>
          <w:sz w:val="24"/>
        </w:rPr>
        <w:t>the</w:t>
      </w:r>
      <w:r>
        <w:rPr>
          <w:spacing w:val="-2"/>
          <w:sz w:val="24"/>
        </w:rPr>
        <w:t> </w:t>
      </w:r>
      <w:r>
        <w:rPr>
          <w:sz w:val="24"/>
        </w:rPr>
        <w:t>satellite</w:t>
      </w:r>
      <w:r>
        <w:rPr>
          <w:spacing w:val="-2"/>
          <w:sz w:val="24"/>
        </w:rPr>
        <w:t> </w:t>
      </w:r>
      <w:r>
        <w:rPr>
          <w:sz w:val="24"/>
        </w:rPr>
        <w:t>performance</w:t>
      </w:r>
      <w:r>
        <w:rPr>
          <w:spacing w:val="-2"/>
          <w:sz w:val="24"/>
        </w:rPr>
        <w:t> evaluation.</w:t>
      </w:r>
    </w:p>
    <w:p>
      <w:pPr>
        <w:pStyle w:val="ListParagraph"/>
        <w:numPr>
          <w:ilvl w:val="1"/>
          <w:numId w:val="391"/>
        </w:numPr>
        <w:tabs>
          <w:tab w:pos="1146" w:val="left" w:leader="none"/>
        </w:tabs>
        <w:spacing w:line="240" w:lineRule="auto" w:before="204" w:after="0"/>
        <w:ind w:left="1146" w:right="0" w:hanging="426"/>
        <w:jc w:val="left"/>
        <w:rPr>
          <w:sz w:val="24"/>
        </w:rPr>
      </w:pPr>
      <w:r>
        <w:rPr>
          <w:sz w:val="24"/>
        </w:rPr>
        <w:t>Be</w:t>
      </w:r>
      <w:r>
        <w:rPr>
          <w:spacing w:val="-3"/>
          <w:sz w:val="24"/>
        </w:rPr>
        <w:t> </w:t>
      </w:r>
      <w:r>
        <w:rPr>
          <w:sz w:val="24"/>
        </w:rPr>
        <w:t>current</w:t>
      </w:r>
      <w:r>
        <w:rPr>
          <w:spacing w:val="-2"/>
          <w:sz w:val="24"/>
        </w:rPr>
        <w:t> </w:t>
      </w:r>
      <w:r>
        <w:rPr>
          <w:sz w:val="24"/>
        </w:rPr>
        <w:t>with</w:t>
      </w:r>
      <w:r>
        <w:rPr>
          <w:spacing w:val="-2"/>
          <w:sz w:val="24"/>
        </w:rPr>
        <w:t> </w:t>
      </w:r>
      <w:r>
        <w:rPr>
          <w:sz w:val="24"/>
        </w:rPr>
        <w:t>all</w:t>
      </w:r>
      <w:r>
        <w:rPr>
          <w:spacing w:val="-3"/>
          <w:sz w:val="24"/>
        </w:rPr>
        <w:t> </w:t>
      </w:r>
      <w:r>
        <w:rPr>
          <w:sz w:val="24"/>
        </w:rPr>
        <w:t>BEP</w:t>
      </w:r>
      <w:r>
        <w:rPr>
          <w:spacing w:val="-3"/>
          <w:sz w:val="24"/>
        </w:rPr>
        <w:t> </w:t>
      </w:r>
      <w:r>
        <w:rPr>
          <w:sz w:val="24"/>
        </w:rPr>
        <w:t>monthly</w:t>
      </w:r>
      <w:r>
        <w:rPr>
          <w:spacing w:val="-2"/>
          <w:sz w:val="24"/>
        </w:rPr>
        <w:t> </w:t>
      </w:r>
      <w:r>
        <w:rPr>
          <w:sz w:val="24"/>
        </w:rPr>
        <w:t>reports</w:t>
      </w:r>
      <w:r>
        <w:rPr>
          <w:spacing w:val="-3"/>
          <w:sz w:val="24"/>
        </w:rPr>
        <w:t> </w:t>
      </w:r>
      <w:r>
        <w:rPr>
          <w:sz w:val="24"/>
        </w:rPr>
        <w:t>and</w:t>
      </w:r>
      <w:r>
        <w:rPr>
          <w:spacing w:val="-2"/>
          <w:sz w:val="24"/>
        </w:rPr>
        <w:t> payments.</w:t>
      </w:r>
    </w:p>
    <w:p>
      <w:pPr>
        <w:pStyle w:val="ListParagraph"/>
        <w:numPr>
          <w:ilvl w:val="0"/>
          <w:numId w:val="391"/>
        </w:numPr>
        <w:tabs>
          <w:tab w:pos="785" w:val="left" w:leader="none"/>
        </w:tabs>
        <w:spacing w:line="208" w:lineRule="auto" w:before="233" w:after="0"/>
        <w:ind w:left="360" w:right="1632" w:firstLine="0"/>
        <w:jc w:val="left"/>
        <w:rPr>
          <w:sz w:val="24"/>
        </w:rPr>
      </w:pPr>
      <w:r>
        <w:rPr>
          <w:sz w:val="24"/>
        </w:rPr>
        <w:t>Merchandise loans are not allowed for satellite facilities unless extenuating circumstances</w:t>
      </w:r>
      <w:r>
        <w:rPr>
          <w:spacing w:val="-4"/>
          <w:sz w:val="24"/>
        </w:rPr>
        <w:t> </w:t>
      </w:r>
      <w:r>
        <w:rPr>
          <w:sz w:val="24"/>
        </w:rPr>
        <w:t>prevail</w:t>
      </w:r>
      <w:r>
        <w:rPr>
          <w:spacing w:val="-4"/>
          <w:sz w:val="24"/>
        </w:rPr>
        <w:t> </w:t>
      </w:r>
      <w:r>
        <w:rPr>
          <w:sz w:val="24"/>
        </w:rPr>
        <w:t>and</w:t>
      </w:r>
      <w:r>
        <w:rPr>
          <w:spacing w:val="-4"/>
          <w:sz w:val="24"/>
        </w:rPr>
        <w:t> </w:t>
      </w:r>
      <w:r>
        <w:rPr>
          <w:sz w:val="24"/>
        </w:rPr>
        <w:t>only</w:t>
      </w:r>
      <w:r>
        <w:rPr>
          <w:spacing w:val="-4"/>
          <w:sz w:val="24"/>
        </w:rPr>
        <w:t> </w:t>
      </w:r>
      <w:r>
        <w:rPr>
          <w:sz w:val="24"/>
        </w:rPr>
        <w:t>after</w:t>
      </w:r>
      <w:r>
        <w:rPr>
          <w:spacing w:val="-3"/>
          <w:sz w:val="24"/>
        </w:rPr>
        <w:t> </w:t>
      </w:r>
      <w:r>
        <w:rPr>
          <w:sz w:val="24"/>
        </w:rPr>
        <w:t>approval</w:t>
      </w:r>
      <w:r>
        <w:rPr>
          <w:spacing w:val="-4"/>
          <w:sz w:val="24"/>
        </w:rPr>
        <w:t> </w:t>
      </w:r>
      <w:r>
        <w:rPr>
          <w:sz w:val="24"/>
        </w:rPr>
        <w:t>of</w:t>
      </w:r>
      <w:r>
        <w:rPr>
          <w:spacing w:val="-3"/>
          <w:sz w:val="24"/>
        </w:rPr>
        <w:t> </w:t>
      </w:r>
      <w:r>
        <w:rPr>
          <w:sz w:val="24"/>
        </w:rPr>
        <w:t>BEP</w:t>
      </w:r>
      <w:r>
        <w:rPr>
          <w:spacing w:val="-4"/>
          <w:sz w:val="24"/>
        </w:rPr>
        <w:t> </w:t>
      </w:r>
      <w:r>
        <w:rPr>
          <w:sz w:val="24"/>
        </w:rPr>
        <w:t>Operations</w:t>
      </w:r>
      <w:r>
        <w:rPr>
          <w:spacing w:val="-4"/>
          <w:sz w:val="24"/>
        </w:rPr>
        <w:t> </w:t>
      </w:r>
      <w:r>
        <w:rPr>
          <w:sz w:val="24"/>
        </w:rPr>
        <w:t>Coordinator</w:t>
      </w:r>
      <w:r>
        <w:rPr>
          <w:spacing w:val="-3"/>
          <w:sz w:val="24"/>
        </w:rPr>
        <w:t> </w:t>
      </w:r>
      <w:r>
        <w:rPr>
          <w:sz w:val="24"/>
        </w:rPr>
        <w:t>in consultation with the ECM chair person.</w:t>
      </w:r>
    </w:p>
    <w:p>
      <w:pPr>
        <w:spacing w:before="229"/>
        <w:ind w:left="360" w:right="0" w:firstLine="0"/>
        <w:jc w:val="left"/>
        <w:rPr>
          <w:sz w:val="22"/>
        </w:rPr>
      </w:pPr>
      <w:r>
        <w:rPr>
          <w:sz w:val="22"/>
        </w:rPr>
        <w:t>Section</w:t>
      </w:r>
      <w:r>
        <w:rPr>
          <w:spacing w:val="-9"/>
          <w:sz w:val="22"/>
        </w:rPr>
        <w:t> </w:t>
      </w:r>
      <w:r>
        <w:rPr>
          <w:spacing w:val="-2"/>
          <w:sz w:val="22"/>
        </w:rPr>
        <w:t>History</w:t>
      </w:r>
    </w:p>
    <w:p>
      <w:pPr>
        <w:spacing w:after="0"/>
        <w:jc w:val="left"/>
        <w:rPr>
          <w:sz w:val="22"/>
        </w:rPr>
        <w:sectPr>
          <w:pgSz w:w="12240" w:h="15840"/>
          <w:pgMar w:top="1340" w:bottom="280" w:left="1080" w:right="720"/>
        </w:sectPr>
      </w:pPr>
    </w:p>
    <w:p>
      <w:pPr>
        <w:tabs>
          <w:tab w:pos="1439" w:val="left" w:leader="none"/>
        </w:tabs>
        <w:spacing w:before="65"/>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2"/>
        <w:ind w:left="359"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7-1-05</w:t>
      </w:r>
      <w:r>
        <w:rPr>
          <w:sz w:val="22"/>
        </w:rPr>
        <w:tab/>
        <w:t>PT Memo #06-01</w:t>
      </w:r>
    </w:p>
    <w:p>
      <w:pPr>
        <w:tabs>
          <w:tab w:pos="1439" w:val="left" w:leader="none"/>
        </w:tabs>
        <w:spacing w:before="0"/>
        <w:ind w:left="359" w:right="6038" w:firstLine="1080"/>
        <w:jc w:val="left"/>
        <w:rPr>
          <w:sz w:val="22"/>
        </w:rPr>
      </w:pPr>
      <w:r>
        <w:rPr>
          <w:sz w:val="22"/>
        </w:rPr>
        <w:t>Permanent,</w:t>
      </w:r>
      <w:r>
        <w:rPr>
          <w:spacing w:val="-6"/>
          <w:sz w:val="22"/>
        </w:rPr>
        <w:t> </w:t>
      </w:r>
      <w:r>
        <w:rPr>
          <w:sz w:val="22"/>
        </w:rPr>
        <w:t>cleanup</w:t>
      </w:r>
      <w:r>
        <w:rPr>
          <w:spacing w:val="-7"/>
          <w:sz w:val="22"/>
        </w:rPr>
        <w:t> </w:t>
      </w:r>
      <w:r>
        <w:rPr>
          <w:sz w:val="22"/>
        </w:rPr>
        <w:t>language </w:t>
      </w:r>
      <w:r>
        <w:rPr>
          <w:spacing w:val="-2"/>
          <w:sz w:val="22"/>
        </w:rPr>
        <w:t>7-1-</w:t>
      </w:r>
      <w:r>
        <w:rPr>
          <w:spacing w:val="-5"/>
          <w:sz w:val="22"/>
        </w:rPr>
        <w:t>12</w:t>
      </w:r>
      <w:r>
        <w:rPr>
          <w:sz w:val="22"/>
        </w:rPr>
        <w:tab/>
        <w:t>Permanent,</w:t>
      </w:r>
      <w:r>
        <w:rPr>
          <w:spacing w:val="-10"/>
          <w:sz w:val="22"/>
        </w:rPr>
        <w:t> </w:t>
      </w:r>
      <w:r>
        <w:rPr>
          <w:sz w:val="22"/>
        </w:rPr>
        <w:t>updated</w:t>
      </w:r>
      <w:r>
        <w:rPr>
          <w:spacing w:val="-11"/>
          <w:sz w:val="22"/>
        </w:rPr>
        <w:t> </w:t>
      </w:r>
      <w:r>
        <w:rPr>
          <w:spacing w:val="-2"/>
          <w:sz w:val="22"/>
        </w:rPr>
        <w:t>language</w:t>
      </w:r>
    </w:p>
    <w:p>
      <w:pPr>
        <w:tabs>
          <w:tab w:pos="1439" w:val="left" w:leader="none"/>
        </w:tabs>
        <w:spacing w:before="0"/>
        <w:ind w:left="359" w:right="4986" w:firstLine="0"/>
        <w:jc w:val="left"/>
        <w:rPr>
          <w:sz w:val="22"/>
        </w:rPr>
      </w:pPr>
      <w:r>
        <w:rPr>
          <w:spacing w:val="-2"/>
          <w:sz w:val="22"/>
        </w:rPr>
        <w:t>9-12-14</w:t>
      </w:r>
      <w:r>
        <w:rPr>
          <w:sz w:val="22"/>
        </w:rPr>
        <w:tab/>
        <w:t>Permanent,</w:t>
      </w:r>
      <w:r>
        <w:rPr>
          <w:spacing w:val="-9"/>
          <w:sz w:val="22"/>
        </w:rPr>
        <w:t> </w:t>
      </w:r>
      <w:r>
        <w:rPr>
          <w:sz w:val="22"/>
        </w:rPr>
        <w:t>updated</w:t>
      </w:r>
      <w:r>
        <w:rPr>
          <w:spacing w:val="-10"/>
          <w:sz w:val="22"/>
        </w:rPr>
        <w:t> </w:t>
      </w:r>
      <w:r>
        <w:rPr>
          <w:sz w:val="22"/>
        </w:rPr>
        <w:t>language</w:t>
      </w:r>
      <w:r>
        <w:rPr>
          <w:spacing w:val="-10"/>
          <w:sz w:val="22"/>
        </w:rPr>
        <w:t> </w:t>
      </w:r>
      <w:r>
        <w:rPr>
          <w:sz w:val="22"/>
        </w:rPr>
        <w:t>and</w:t>
      </w:r>
      <w:r>
        <w:rPr>
          <w:spacing w:val="-10"/>
          <w:sz w:val="22"/>
        </w:rPr>
        <w:t> </w:t>
      </w:r>
      <w:r>
        <w:rPr>
          <w:sz w:val="22"/>
        </w:rPr>
        <w:t>policy </w:t>
      </w:r>
      <w:r>
        <w:rPr>
          <w:spacing w:val="-2"/>
          <w:sz w:val="22"/>
        </w:rPr>
        <w:t>8-27-15</w:t>
      </w:r>
      <w:r>
        <w:rPr>
          <w:sz w:val="22"/>
        </w:rPr>
        <w:tab/>
        <w:t>Updated language.</w:t>
      </w:r>
    </w:p>
    <w:p>
      <w:pPr>
        <w:tabs>
          <w:tab w:pos="1439" w:val="left" w:leader="none"/>
        </w:tabs>
        <w:spacing w:before="0"/>
        <w:ind w:left="1439" w:right="746" w:hanging="1080"/>
        <w:jc w:val="left"/>
        <w:rPr>
          <w:sz w:val="22"/>
        </w:rPr>
      </w:pPr>
      <w:r>
        <w:rPr>
          <w:spacing w:val="-2"/>
          <w:sz w:val="22"/>
        </w:rPr>
        <w:t>9-11-22</w:t>
      </w:r>
      <w:r>
        <w:rPr>
          <w:sz w:val="22"/>
        </w:rPr>
        <w:tab/>
        <w:t>Proposed change adds language for a new business enterprise vacated by the existing private vendor and requests for immediate service that do not allow time for the normal selection process. Added Guidelines for current licensed managers regarding</w:t>
      </w:r>
      <w:r>
        <w:rPr>
          <w:spacing w:val="-4"/>
          <w:sz w:val="22"/>
        </w:rPr>
        <w:t> </w:t>
      </w:r>
      <w:r>
        <w:rPr>
          <w:sz w:val="22"/>
        </w:rPr>
        <w:t>scores,</w:t>
      </w:r>
      <w:r>
        <w:rPr>
          <w:spacing w:val="-4"/>
          <w:sz w:val="22"/>
        </w:rPr>
        <w:t> </w:t>
      </w:r>
      <w:r>
        <w:rPr>
          <w:sz w:val="22"/>
        </w:rPr>
        <w:t>monthly</w:t>
      </w:r>
      <w:r>
        <w:rPr>
          <w:spacing w:val="-4"/>
          <w:sz w:val="22"/>
        </w:rPr>
        <w:t> </w:t>
      </w:r>
      <w:r>
        <w:rPr>
          <w:sz w:val="22"/>
        </w:rPr>
        <w:t>reports</w:t>
      </w:r>
      <w:r>
        <w:rPr>
          <w:spacing w:val="-4"/>
          <w:sz w:val="22"/>
        </w:rPr>
        <w:t> </w:t>
      </w:r>
      <w:r>
        <w:rPr>
          <w:sz w:val="22"/>
        </w:rPr>
        <w:t>and</w:t>
      </w:r>
      <w:r>
        <w:rPr>
          <w:spacing w:val="-4"/>
          <w:sz w:val="22"/>
        </w:rPr>
        <w:t> </w:t>
      </w:r>
      <w:r>
        <w:rPr>
          <w:sz w:val="22"/>
        </w:rPr>
        <w:t>payments,</w:t>
      </w:r>
      <w:r>
        <w:rPr>
          <w:spacing w:val="-4"/>
          <w:sz w:val="22"/>
        </w:rPr>
        <w:t> </w:t>
      </w:r>
      <w:r>
        <w:rPr>
          <w:sz w:val="22"/>
        </w:rPr>
        <w:t>and</w:t>
      </w:r>
      <w:r>
        <w:rPr>
          <w:spacing w:val="-4"/>
          <w:sz w:val="22"/>
        </w:rPr>
        <w:t> </w:t>
      </w:r>
      <w:r>
        <w:rPr>
          <w:sz w:val="22"/>
        </w:rPr>
        <w:t>current</w:t>
      </w:r>
      <w:r>
        <w:rPr>
          <w:spacing w:val="-5"/>
          <w:sz w:val="22"/>
        </w:rPr>
        <w:t> </w:t>
      </w:r>
      <w:r>
        <w:rPr>
          <w:sz w:val="22"/>
        </w:rPr>
        <w:t>standing</w:t>
      </w:r>
      <w:r>
        <w:rPr>
          <w:spacing w:val="-4"/>
          <w:sz w:val="22"/>
        </w:rPr>
        <w:t> </w:t>
      </w:r>
      <w:r>
        <w:rPr>
          <w:sz w:val="22"/>
        </w:rPr>
        <w:t>with</w:t>
      </w:r>
      <w:r>
        <w:rPr>
          <w:spacing w:val="-4"/>
          <w:sz w:val="22"/>
        </w:rPr>
        <w:t> </w:t>
      </w:r>
      <w:r>
        <w:rPr>
          <w:sz w:val="22"/>
        </w:rPr>
        <w:t>the</w:t>
      </w:r>
      <w:r>
        <w:rPr>
          <w:spacing w:val="-4"/>
          <w:sz w:val="22"/>
        </w:rPr>
        <w:t> </w:t>
      </w:r>
      <w:r>
        <w:rPr>
          <w:sz w:val="22"/>
        </w:rPr>
        <w:t>OTC.</w:t>
      </w:r>
    </w:p>
    <w:p>
      <w:pPr>
        <w:spacing w:after="0"/>
        <w:jc w:val="left"/>
        <w:rPr>
          <w:sz w:val="22"/>
        </w:rPr>
        <w:sectPr>
          <w:pgSz w:w="12240" w:h="15840"/>
          <w:pgMar w:top="1360" w:bottom="280" w:left="1080" w:right="720"/>
        </w:sectPr>
      </w:pPr>
    </w:p>
    <w:p>
      <w:pPr>
        <w:pStyle w:val="Heading2"/>
      </w:pPr>
      <w:bookmarkStart w:name="612:25-4-62.  Vending machine income" w:id="413"/>
      <w:bookmarkEnd w:id="413"/>
      <w:r>
        <w:rPr>
          <w:b w:val="0"/>
        </w:rPr>
      </w:r>
      <w:r>
        <w:rPr/>
        <w:t>612:25-4-62.</w:t>
      </w:r>
      <w:r>
        <w:rPr>
          <w:spacing w:val="58"/>
        </w:rPr>
        <w:t> </w:t>
      </w:r>
      <w:r>
        <w:rPr/>
        <w:t>Vending</w:t>
      </w:r>
      <w:r>
        <w:rPr>
          <w:spacing w:val="-4"/>
        </w:rPr>
        <w:t> </w:t>
      </w:r>
      <w:r>
        <w:rPr/>
        <w:t>machine</w:t>
      </w:r>
      <w:r>
        <w:rPr>
          <w:spacing w:val="-4"/>
        </w:rPr>
        <w:t> </w:t>
      </w:r>
      <w:r>
        <w:rPr>
          <w:spacing w:val="-2"/>
        </w:rPr>
        <w:t>income</w:t>
      </w:r>
    </w:p>
    <w:p>
      <w:pPr>
        <w:pStyle w:val="BodyText"/>
        <w:spacing w:line="208" w:lineRule="auto" w:before="233"/>
        <w:ind w:right="775" w:firstLine="432"/>
      </w:pPr>
      <w:r>
        <w:rPr/>
        <w:t>Collection, distribution and use of income from vending machines on Federal property</w:t>
      </w:r>
      <w:r>
        <w:rPr>
          <w:spacing w:val="-4"/>
        </w:rPr>
        <w:t> </w:t>
      </w:r>
      <w:r>
        <w:rPr/>
        <w:t>shall</w:t>
      </w:r>
      <w:r>
        <w:rPr>
          <w:spacing w:val="-4"/>
        </w:rPr>
        <w:t> </w:t>
      </w:r>
      <w:r>
        <w:rPr/>
        <w:t>be</w:t>
      </w:r>
      <w:r>
        <w:rPr>
          <w:spacing w:val="-4"/>
        </w:rPr>
        <w:t> </w:t>
      </w:r>
      <w:r>
        <w:rPr/>
        <w:t>governed</w:t>
      </w:r>
      <w:r>
        <w:rPr>
          <w:spacing w:val="-4"/>
        </w:rPr>
        <w:t> </w:t>
      </w:r>
      <w:r>
        <w:rPr/>
        <w:t>by</w:t>
      </w:r>
      <w:r>
        <w:rPr>
          <w:spacing w:val="-4"/>
        </w:rPr>
        <w:t> </w:t>
      </w:r>
      <w:r>
        <w:rPr/>
        <w:t>applicable</w:t>
      </w:r>
      <w:r>
        <w:rPr>
          <w:spacing w:val="-4"/>
        </w:rPr>
        <w:t> </w:t>
      </w:r>
      <w:r>
        <w:rPr/>
        <w:t>Federal</w:t>
      </w:r>
      <w:r>
        <w:rPr>
          <w:spacing w:val="-4"/>
        </w:rPr>
        <w:t> </w:t>
      </w:r>
      <w:r>
        <w:rPr/>
        <w:t>rules.</w:t>
      </w:r>
      <w:r>
        <w:rPr>
          <w:spacing w:val="-3"/>
        </w:rPr>
        <w:t> </w:t>
      </w:r>
      <w:r>
        <w:rPr>
          <w:b/>
        </w:rPr>
        <w:t>1,</w:t>
      </w:r>
      <w:r>
        <w:rPr>
          <w:b/>
          <w:spacing w:val="-3"/>
        </w:rPr>
        <w:t> </w:t>
      </w:r>
      <w:r>
        <w:rPr>
          <w:b/>
        </w:rPr>
        <w:t>2</w:t>
      </w:r>
      <w:r>
        <w:rPr>
          <w:b/>
          <w:spacing w:val="40"/>
        </w:rPr>
        <w:t> </w:t>
      </w:r>
      <w:r>
        <w:rPr/>
        <w:t>Income</w:t>
      </w:r>
      <w:r>
        <w:rPr>
          <w:spacing w:val="-4"/>
        </w:rPr>
        <w:t> </w:t>
      </w:r>
      <w:r>
        <w:rPr/>
        <w:t>from</w:t>
      </w:r>
      <w:r>
        <w:rPr>
          <w:spacing w:val="-3"/>
        </w:rPr>
        <w:t> </w:t>
      </w:r>
      <w:r>
        <w:rPr/>
        <w:t>non-Federal property will follow the same rules.</w:t>
      </w:r>
    </w:p>
    <w:p>
      <w:pPr>
        <w:pStyle w:val="BodyText"/>
        <w:spacing w:before="210"/>
        <w:ind w:left="792"/>
      </w:pPr>
      <w:r>
        <w:rPr/>
        <w:t>INSTRUCTIONS</w:t>
      </w:r>
      <w:r>
        <w:rPr>
          <w:spacing w:val="-3"/>
        </w:rPr>
        <w:t> </w:t>
      </w:r>
      <w:r>
        <w:rPr/>
        <w:t>TO</w:t>
      </w:r>
      <w:r>
        <w:rPr>
          <w:spacing w:val="-2"/>
        </w:rPr>
        <w:t> </w:t>
      </w:r>
      <w:r>
        <w:rPr>
          <w:spacing w:val="-4"/>
        </w:rPr>
        <w:t>STAFF</w:t>
      </w:r>
    </w:p>
    <w:p>
      <w:pPr>
        <w:pStyle w:val="ListParagraph"/>
        <w:numPr>
          <w:ilvl w:val="0"/>
          <w:numId w:val="392"/>
        </w:numPr>
        <w:tabs>
          <w:tab w:pos="1077" w:val="left" w:leader="none"/>
        </w:tabs>
        <w:spacing w:line="208" w:lineRule="auto" w:before="234" w:after="0"/>
        <w:ind w:left="791" w:right="807" w:firstLine="0"/>
        <w:jc w:val="left"/>
        <w:rPr>
          <w:sz w:val="24"/>
        </w:rPr>
      </w:pPr>
      <w:hyperlink r:id="rId92">
        <w:r>
          <w:rPr>
            <w:color w:val="0000FF"/>
            <w:sz w:val="24"/>
            <w:u w:val="single" w:color="0000FF"/>
          </w:rPr>
          <w:t>34</w:t>
        </w:r>
        <w:r>
          <w:rPr>
            <w:color w:val="0000FF"/>
            <w:spacing w:val="-3"/>
            <w:sz w:val="24"/>
            <w:u w:val="single" w:color="0000FF"/>
          </w:rPr>
          <w:t> </w:t>
        </w:r>
        <w:r>
          <w:rPr>
            <w:color w:val="0000FF"/>
            <w:sz w:val="24"/>
            <w:u w:val="single" w:color="0000FF"/>
          </w:rPr>
          <w:t>CFR</w:t>
        </w:r>
        <w:r>
          <w:rPr>
            <w:color w:val="0000FF"/>
            <w:spacing w:val="-3"/>
            <w:sz w:val="24"/>
            <w:u w:val="single" w:color="0000FF"/>
          </w:rPr>
          <w:t> </w:t>
        </w:r>
        <w:r>
          <w:rPr>
            <w:color w:val="0000FF"/>
            <w:sz w:val="24"/>
            <w:u w:val="single" w:color="0000FF"/>
          </w:rPr>
          <w:t>395.8</w:t>
        </w:r>
      </w:hyperlink>
      <w:r>
        <w:rPr>
          <w:color w:val="0000FF"/>
          <w:spacing w:val="-3"/>
          <w:sz w:val="24"/>
          <w:u w:val="none"/>
        </w:rPr>
        <w:t> </w:t>
      </w:r>
      <w:r>
        <w:rPr>
          <w:sz w:val="24"/>
          <w:u w:val="none"/>
        </w:rPr>
        <w:t>Distribution</w:t>
      </w:r>
      <w:r>
        <w:rPr>
          <w:spacing w:val="-3"/>
          <w:sz w:val="24"/>
          <w:u w:val="none"/>
        </w:rPr>
        <w:t> </w:t>
      </w:r>
      <w:r>
        <w:rPr>
          <w:sz w:val="24"/>
          <w:u w:val="none"/>
        </w:rPr>
        <w:t>and</w:t>
      </w:r>
      <w:r>
        <w:rPr>
          <w:spacing w:val="-3"/>
          <w:sz w:val="24"/>
          <w:u w:val="none"/>
        </w:rPr>
        <w:t> </w:t>
      </w:r>
      <w:r>
        <w:rPr>
          <w:sz w:val="24"/>
          <w:u w:val="none"/>
        </w:rPr>
        <w:t>use</w:t>
      </w:r>
      <w:r>
        <w:rPr>
          <w:spacing w:val="-3"/>
          <w:sz w:val="24"/>
          <w:u w:val="none"/>
        </w:rPr>
        <w:t> </w:t>
      </w:r>
      <w:r>
        <w:rPr>
          <w:sz w:val="24"/>
          <w:u w:val="none"/>
        </w:rPr>
        <w:t>of</w:t>
      </w:r>
      <w:r>
        <w:rPr>
          <w:spacing w:val="-2"/>
          <w:sz w:val="24"/>
          <w:u w:val="none"/>
        </w:rPr>
        <w:t> </w:t>
      </w:r>
      <w:r>
        <w:rPr>
          <w:sz w:val="24"/>
          <w:u w:val="none"/>
        </w:rPr>
        <w:t>income</w:t>
      </w:r>
      <w:r>
        <w:rPr>
          <w:spacing w:val="-3"/>
          <w:sz w:val="24"/>
          <w:u w:val="none"/>
        </w:rPr>
        <w:t> </w:t>
      </w:r>
      <w:r>
        <w:rPr>
          <w:sz w:val="24"/>
          <w:u w:val="none"/>
        </w:rPr>
        <w:t>from</w:t>
      </w:r>
      <w:r>
        <w:rPr>
          <w:spacing w:val="-4"/>
          <w:sz w:val="24"/>
          <w:u w:val="none"/>
        </w:rPr>
        <w:t> </w:t>
      </w:r>
      <w:r>
        <w:rPr>
          <w:sz w:val="24"/>
          <w:u w:val="none"/>
        </w:rPr>
        <w:t>vending</w:t>
      </w:r>
      <w:r>
        <w:rPr>
          <w:spacing w:val="-3"/>
          <w:sz w:val="24"/>
          <w:u w:val="none"/>
        </w:rPr>
        <w:t> </w:t>
      </w:r>
      <w:r>
        <w:rPr>
          <w:sz w:val="24"/>
          <w:u w:val="none"/>
        </w:rPr>
        <w:t>machines</w:t>
      </w:r>
      <w:r>
        <w:rPr>
          <w:spacing w:val="-3"/>
          <w:sz w:val="24"/>
          <w:u w:val="none"/>
        </w:rPr>
        <w:t> </w:t>
      </w:r>
      <w:r>
        <w:rPr>
          <w:sz w:val="24"/>
          <w:u w:val="none"/>
        </w:rPr>
        <w:t>on</w:t>
      </w:r>
      <w:r>
        <w:rPr>
          <w:spacing w:val="-3"/>
          <w:sz w:val="24"/>
          <w:u w:val="none"/>
        </w:rPr>
        <w:t> </w:t>
      </w:r>
      <w:r>
        <w:rPr>
          <w:sz w:val="24"/>
          <w:u w:val="none"/>
        </w:rPr>
        <w:t>Federal </w:t>
      </w:r>
      <w:r>
        <w:rPr>
          <w:spacing w:val="-2"/>
          <w:sz w:val="24"/>
          <w:u w:val="none"/>
        </w:rPr>
        <w:t>property.</w:t>
      </w:r>
    </w:p>
    <w:p>
      <w:pPr>
        <w:pStyle w:val="ListParagraph"/>
        <w:numPr>
          <w:ilvl w:val="0"/>
          <w:numId w:val="392"/>
        </w:numPr>
        <w:tabs>
          <w:tab w:pos="1077" w:val="left" w:leader="none"/>
        </w:tabs>
        <w:spacing w:line="208" w:lineRule="auto" w:before="239" w:after="0"/>
        <w:ind w:left="791" w:right="1379" w:firstLine="0"/>
        <w:jc w:val="left"/>
        <w:rPr>
          <w:sz w:val="24"/>
        </w:rPr>
      </w:pPr>
      <w:hyperlink r:id="rId93">
        <w:r>
          <w:rPr>
            <w:color w:val="0000FF"/>
            <w:sz w:val="24"/>
            <w:u w:val="single" w:color="0000FF"/>
          </w:rPr>
          <w:t>34</w:t>
        </w:r>
        <w:r>
          <w:rPr>
            <w:color w:val="0000FF"/>
            <w:spacing w:val="-4"/>
            <w:sz w:val="24"/>
            <w:u w:val="single" w:color="0000FF"/>
          </w:rPr>
          <w:t> </w:t>
        </w:r>
        <w:r>
          <w:rPr>
            <w:color w:val="0000FF"/>
            <w:sz w:val="24"/>
            <w:u w:val="single" w:color="0000FF"/>
          </w:rPr>
          <w:t>CFR</w:t>
        </w:r>
        <w:r>
          <w:rPr>
            <w:color w:val="0000FF"/>
            <w:spacing w:val="-4"/>
            <w:sz w:val="24"/>
            <w:u w:val="single" w:color="0000FF"/>
          </w:rPr>
          <w:t> </w:t>
        </w:r>
        <w:r>
          <w:rPr>
            <w:color w:val="0000FF"/>
            <w:sz w:val="24"/>
            <w:u w:val="single" w:color="0000FF"/>
          </w:rPr>
          <w:t>395.32</w:t>
        </w:r>
      </w:hyperlink>
      <w:r>
        <w:rPr>
          <w:color w:val="0000FF"/>
          <w:spacing w:val="-4"/>
          <w:sz w:val="24"/>
          <w:u w:val="none"/>
        </w:rPr>
        <w:t> </w:t>
      </w:r>
      <w:r>
        <w:rPr>
          <w:sz w:val="24"/>
          <w:u w:val="none"/>
        </w:rPr>
        <w:t>Collection</w:t>
      </w:r>
      <w:r>
        <w:rPr>
          <w:spacing w:val="-4"/>
          <w:sz w:val="24"/>
          <w:u w:val="none"/>
        </w:rPr>
        <w:t> </w:t>
      </w:r>
      <w:r>
        <w:rPr>
          <w:sz w:val="24"/>
          <w:u w:val="none"/>
        </w:rPr>
        <w:t>and</w:t>
      </w:r>
      <w:r>
        <w:rPr>
          <w:spacing w:val="-4"/>
          <w:sz w:val="24"/>
          <w:u w:val="none"/>
        </w:rPr>
        <w:t> </w:t>
      </w:r>
      <w:r>
        <w:rPr>
          <w:sz w:val="24"/>
          <w:u w:val="none"/>
        </w:rPr>
        <w:t>distribution</w:t>
      </w:r>
      <w:r>
        <w:rPr>
          <w:spacing w:val="-4"/>
          <w:sz w:val="24"/>
          <w:u w:val="none"/>
        </w:rPr>
        <w:t> </w:t>
      </w:r>
      <w:r>
        <w:rPr>
          <w:sz w:val="24"/>
          <w:u w:val="none"/>
        </w:rPr>
        <w:t>of</w:t>
      </w:r>
      <w:r>
        <w:rPr>
          <w:spacing w:val="-5"/>
          <w:sz w:val="24"/>
          <w:u w:val="none"/>
        </w:rPr>
        <w:t> </w:t>
      </w:r>
      <w:r>
        <w:rPr>
          <w:sz w:val="24"/>
          <w:u w:val="none"/>
        </w:rPr>
        <w:t>vending</w:t>
      </w:r>
      <w:r>
        <w:rPr>
          <w:spacing w:val="-4"/>
          <w:sz w:val="24"/>
          <w:u w:val="none"/>
        </w:rPr>
        <w:t> </w:t>
      </w:r>
      <w:r>
        <w:rPr>
          <w:sz w:val="24"/>
          <w:u w:val="none"/>
        </w:rPr>
        <w:t>machine</w:t>
      </w:r>
      <w:r>
        <w:rPr>
          <w:spacing w:val="-4"/>
          <w:sz w:val="24"/>
          <w:u w:val="none"/>
        </w:rPr>
        <w:t> </w:t>
      </w:r>
      <w:r>
        <w:rPr>
          <w:sz w:val="24"/>
          <w:u w:val="none"/>
        </w:rPr>
        <w:t>income</w:t>
      </w:r>
      <w:r>
        <w:rPr>
          <w:spacing w:val="-4"/>
          <w:sz w:val="24"/>
          <w:u w:val="none"/>
        </w:rPr>
        <w:t> </w:t>
      </w:r>
      <w:r>
        <w:rPr>
          <w:sz w:val="24"/>
          <w:u w:val="none"/>
        </w:rPr>
        <w:t>from vending machines on Federal property.</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pStyle w:val="ListParagraph"/>
        <w:numPr>
          <w:ilvl w:val="2"/>
          <w:numId w:val="248"/>
        </w:numPr>
        <w:tabs>
          <w:tab w:pos="1439" w:val="left" w:leader="none"/>
        </w:tabs>
        <w:spacing w:line="240" w:lineRule="auto" w:before="1" w:after="0"/>
        <w:ind w:left="1439" w:right="0" w:hanging="1080"/>
        <w:jc w:val="left"/>
        <w:rPr>
          <w:sz w:val="22"/>
        </w:rPr>
      </w:pPr>
      <w:r>
        <w:rPr>
          <w:sz w:val="22"/>
        </w:rPr>
        <w:t>Permanent,</w:t>
      </w:r>
      <w:r>
        <w:rPr>
          <w:spacing w:val="-10"/>
          <w:sz w:val="22"/>
        </w:rPr>
        <w:t> </w:t>
      </w:r>
      <w:r>
        <w:rPr>
          <w:sz w:val="22"/>
        </w:rPr>
        <w:t>updating</w:t>
      </w:r>
      <w:r>
        <w:rPr>
          <w:spacing w:val="-11"/>
          <w:sz w:val="22"/>
        </w:rPr>
        <w:t> </w:t>
      </w:r>
      <w:r>
        <w:rPr>
          <w:spacing w:val="-2"/>
          <w:sz w:val="22"/>
        </w:rPr>
        <w:t>language</w:t>
      </w:r>
    </w:p>
    <w:p>
      <w:pPr>
        <w:tabs>
          <w:tab w:pos="1439" w:val="left" w:leader="none"/>
        </w:tabs>
        <w:spacing w:before="0"/>
        <w:ind w:left="359" w:right="0" w:firstLine="0"/>
        <w:jc w:val="left"/>
        <w:rPr>
          <w:sz w:val="22"/>
        </w:rPr>
      </w:pPr>
      <w:r>
        <w:rPr>
          <w:spacing w:val="-2"/>
          <w:sz w:val="22"/>
        </w:rPr>
        <w:t>9-12-</w:t>
      </w:r>
      <w:r>
        <w:rPr>
          <w:spacing w:val="-5"/>
          <w:sz w:val="22"/>
        </w:rPr>
        <w:t>14</w:t>
      </w:r>
      <w:r>
        <w:rPr>
          <w:sz w:val="22"/>
        </w:rPr>
        <w:tab/>
        <w:t>Permanent,</w:t>
      </w:r>
      <w:r>
        <w:rPr>
          <w:spacing w:val="-8"/>
          <w:sz w:val="22"/>
        </w:rPr>
        <w:t> </w:t>
      </w:r>
      <w:r>
        <w:rPr>
          <w:sz w:val="22"/>
        </w:rPr>
        <w:t>updating</w:t>
      </w:r>
      <w:r>
        <w:rPr>
          <w:spacing w:val="-9"/>
          <w:sz w:val="22"/>
        </w:rPr>
        <w:t> </w:t>
      </w:r>
      <w:r>
        <w:rPr>
          <w:sz w:val="22"/>
        </w:rPr>
        <w:t>language</w:t>
      </w:r>
      <w:r>
        <w:rPr>
          <w:spacing w:val="-9"/>
          <w:sz w:val="22"/>
        </w:rPr>
        <w:t> </w:t>
      </w:r>
      <w:r>
        <w:rPr>
          <w:sz w:val="22"/>
        </w:rPr>
        <w:t>and</w:t>
      </w:r>
      <w:r>
        <w:rPr>
          <w:spacing w:val="-9"/>
          <w:sz w:val="22"/>
        </w:rPr>
        <w:t> </w:t>
      </w:r>
      <w:r>
        <w:rPr>
          <w:spacing w:val="-2"/>
          <w:sz w:val="22"/>
        </w:rPr>
        <w:t>policy</w:t>
      </w:r>
    </w:p>
    <w:p>
      <w:pPr>
        <w:tabs>
          <w:tab w:pos="1439" w:val="left" w:leader="none"/>
        </w:tabs>
        <w:spacing w:before="0"/>
        <w:ind w:left="359" w:right="0" w:firstLine="0"/>
        <w:jc w:val="left"/>
        <w:rPr>
          <w:sz w:val="22"/>
        </w:rPr>
      </w:pPr>
      <w:r>
        <w:rPr>
          <w:spacing w:val="-2"/>
          <w:sz w:val="22"/>
        </w:rPr>
        <w:t>8-27-</w:t>
      </w:r>
      <w:r>
        <w:rPr>
          <w:spacing w:val="-5"/>
          <w:sz w:val="22"/>
        </w:rPr>
        <w:t>15</w:t>
      </w:r>
      <w:r>
        <w:rPr>
          <w:sz w:val="22"/>
        </w:rPr>
        <w:tab/>
        <w:t>Updated</w:t>
      </w:r>
      <w:r>
        <w:rPr>
          <w:spacing w:val="-8"/>
          <w:sz w:val="22"/>
        </w:rPr>
        <w:t> </w:t>
      </w:r>
      <w:r>
        <w:rPr>
          <w:sz w:val="22"/>
        </w:rPr>
        <w:t>language</w:t>
      </w:r>
      <w:r>
        <w:rPr>
          <w:spacing w:val="-7"/>
          <w:sz w:val="22"/>
        </w:rPr>
        <w:t> </w:t>
      </w:r>
      <w:r>
        <w:rPr>
          <w:sz w:val="22"/>
        </w:rPr>
        <w:t>and</w:t>
      </w:r>
      <w:r>
        <w:rPr>
          <w:spacing w:val="-8"/>
          <w:sz w:val="22"/>
        </w:rPr>
        <w:t> </w:t>
      </w:r>
      <w:r>
        <w:rPr>
          <w:sz w:val="22"/>
        </w:rPr>
        <w:t>deleted</w:t>
      </w:r>
      <w:r>
        <w:rPr>
          <w:spacing w:val="-7"/>
          <w:sz w:val="22"/>
        </w:rPr>
        <w:t> </w:t>
      </w:r>
      <w:r>
        <w:rPr>
          <w:sz w:val="22"/>
        </w:rPr>
        <w:t>section</w:t>
      </w:r>
      <w:r>
        <w:rPr>
          <w:spacing w:val="-8"/>
          <w:sz w:val="22"/>
        </w:rPr>
        <w:t> </w:t>
      </w:r>
      <w:r>
        <w:rPr>
          <w:sz w:val="22"/>
        </w:rPr>
        <w:t>(b)</w:t>
      </w:r>
      <w:r>
        <w:rPr>
          <w:spacing w:val="-7"/>
          <w:sz w:val="22"/>
        </w:rPr>
        <w:t> </w:t>
      </w:r>
      <w:r>
        <w:rPr>
          <w:sz w:val="22"/>
        </w:rPr>
        <w:t>income</w:t>
      </w:r>
      <w:r>
        <w:rPr>
          <w:spacing w:val="-8"/>
          <w:sz w:val="22"/>
        </w:rPr>
        <w:t> </w:t>
      </w:r>
      <w:r>
        <w:rPr>
          <w:sz w:val="22"/>
        </w:rPr>
        <w:t>from</w:t>
      </w:r>
      <w:r>
        <w:rPr>
          <w:spacing w:val="-8"/>
          <w:sz w:val="22"/>
        </w:rPr>
        <w:t> </w:t>
      </w:r>
      <w:r>
        <w:rPr>
          <w:sz w:val="22"/>
        </w:rPr>
        <w:t>non-Federal</w:t>
      </w:r>
      <w:r>
        <w:rPr>
          <w:spacing w:val="-8"/>
          <w:sz w:val="22"/>
        </w:rPr>
        <w:t> </w:t>
      </w:r>
      <w:r>
        <w:rPr>
          <w:spacing w:val="-2"/>
          <w:sz w:val="22"/>
        </w:rPr>
        <w:t>property</w:t>
      </w:r>
    </w:p>
    <w:p>
      <w:pPr>
        <w:spacing w:after="0"/>
        <w:jc w:val="left"/>
        <w:rPr>
          <w:sz w:val="22"/>
        </w:rPr>
        <w:sectPr>
          <w:pgSz w:w="12240" w:h="15840"/>
          <w:pgMar w:top="1340" w:bottom="280" w:left="1080" w:right="720"/>
        </w:sectPr>
      </w:pPr>
    </w:p>
    <w:p>
      <w:pPr>
        <w:pStyle w:val="Heading1"/>
        <w:ind w:left="592" w:right="0"/>
        <w:jc w:val="left"/>
      </w:pPr>
      <w:bookmarkStart w:name="PART 11. BUSINESS ENTERPRISE PROGRAM AUD" w:id="414"/>
      <w:bookmarkEnd w:id="414"/>
      <w:r>
        <w:rPr>
          <w:b w:val="0"/>
        </w:rPr>
      </w:r>
      <w:r>
        <w:rPr/>
        <w:t>PART</w:t>
      </w:r>
      <w:r>
        <w:rPr>
          <w:spacing w:val="-4"/>
        </w:rPr>
        <w:t> </w:t>
      </w:r>
      <w:r>
        <w:rPr/>
        <w:t>11.</w:t>
      </w:r>
      <w:r>
        <w:rPr>
          <w:spacing w:val="-4"/>
        </w:rPr>
        <w:t> </w:t>
      </w:r>
      <w:r>
        <w:rPr/>
        <w:t>BUSINESS</w:t>
      </w:r>
      <w:r>
        <w:rPr>
          <w:spacing w:val="-2"/>
        </w:rPr>
        <w:t> </w:t>
      </w:r>
      <w:r>
        <w:rPr/>
        <w:t>ENTERPRISE</w:t>
      </w:r>
      <w:r>
        <w:rPr>
          <w:spacing w:val="-3"/>
        </w:rPr>
        <w:t> </w:t>
      </w:r>
      <w:r>
        <w:rPr/>
        <w:t>PROGRAM</w:t>
      </w:r>
      <w:r>
        <w:rPr>
          <w:spacing w:val="-3"/>
        </w:rPr>
        <w:t> </w:t>
      </w:r>
      <w:r>
        <w:rPr/>
        <w:t>AUDITING</w:t>
      </w:r>
      <w:r>
        <w:rPr>
          <w:spacing w:val="-4"/>
        </w:rPr>
        <w:t> </w:t>
      </w:r>
      <w:r>
        <w:rPr/>
        <w:t>AND</w:t>
      </w:r>
      <w:r>
        <w:rPr>
          <w:spacing w:val="-5"/>
        </w:rPr>
        <w:t> </w:t>
      </w:r>
      <w:r>
        <w:rPr/>
        <w:t>DUE</w:t>
      </w:r>
      <w:r>
        <w:rPr>
          <w:spacing w:val="-2"/>
        </w:rPr>
        <w:t> PROCESS</w:t>
      </w:r>
    </w:p>
    <w:p>
      <w:pPr>
        <w:pStyle w:val="BodyText"/>
        <w:spacing w:before="204"/>
      </w:pPr>
      <w:r>
        <w:rPr>
          <w:spacing w:val="-2"/>
        </w:rPr>
        <w:t>Section</w:t>
      </w:r>
    </w:p>
    <w:p>
      <w:pPr>
        <w:pStyle w:val="BodyText"/>
        <w:tabs>
          <w:tab w:pos="2519" w:val="left" w:leader="none"/>
        </w:tabs>
        <w:spacing w:before="204"/>
      </w:pPr>
      <w:r>
        <w:rPr>
          <w:spacing w:val="-2"/>
        </w:rPr>
        <w:t>612:25-4-</w:t>
      </w:r>
      <w:r>
        <w:rPr>
          <w:spacing w:val="-5"/>
        </w:rPr>
        <w:t>72.</w:t>
      </w:r>
      <w:r>
        <w:rPr/>
        <w:tab/>
      </w:r>
      <w:r>
        <w:rPr>
          <w:spacing w:val="-2"/>
        </w:rPr>
        <w:t>Audits</w:t>
      </w:r>
    </w:p>
    <w:p>
      <w:pPr>
        <w:pStyle w:val="BodyText"/>
        <w:tabs>
          <w:tab w:pos="2519" w:val="left" w:leader="none"/>
        </w:tabs>
        <w:spacing w:before="204"/>
      </w:pPr>
      <w:r>
        <w:rPr>
          <w:spacing w:val="-2"/>
        </w:rPr>
        <w:t>612:25-4-</w:t>
      </w:r>
      <w:r>
        <w:rPr>
          <w:spacing w:val="-5"/>
        </w:rPr>
        <w:t>73.</w:t>
      </w:r>
      <w:r>
        <w:rPr/>
        <w:tab/>
        <w:t>Due</w:t>
      </w:r>
      <w:r>
        <w:rPr>
          <w:spacing w:val="-2"/>
        </w:rPr>
        <w:t> process</w:t>
      </w:r>
    </w:p>
    <w:p>
      <w:pPr>
        <w:pStyle w:val="BodyText"/>
        <w:tabs>
          <w:tab w:pos="2519" w:val="left" w:leader="none"/>
        </w:tabs>
        <w:spacing w:line="417" w:lineRule="auto" w:before="204"/>
        <w:ind w:right="2155"/>
      </w:pPr>
      <w:r>
        <w:rPr>
          <w:spacing w:val="-2"/>
        </w:rPr>
        <w:t>612:25-4-75.</w:t>
      </w:r>
      <w:r>
        <w:rPr/>
        <w:tab/>
        <w:t>Arbitration of complaints after the evidentiary hearing </w:t>
      </w:r>
      <w:r>
        <w:rPr>
          <w:spacing w:val="-2"/>
        </w:rPr>
        <w:t>612:25-4-76.</w:t>
      </w:r>
      <w:r>
        <w:rPr/>
        <w:tab/>
        <w:t>Arbitration</w:t>
      </w:r>
      <w:r>
        <w:rPr>
          <w:spacing w:val="-7"/>
        </w:rPr>
        <w:t> </w:t>
      </w:r>
      <w:r>
        <w:rPr/>
        <w:t>of</w:t>
      </w:r>
      <w:r>
        <w:rPr>
          <w:spacing w:val="-6"/>
        </w:rPr>
        <w:t> </w:t>
      </w:r>
      <w:r>
        <w:rPr/>
        <w:t>SLA</w:t>
      </w:r>
      <w:r>
        <w:rPr>
          <w:spacing w:val="-7"/>
        </w:rPr>
        <w:t> </w:t>
      </w:r>
      <w:r>
        <w:rPr/>
        <w:t>complaints</w:t>
      </w:r>
      <w:r>
        <w:rPr>
          <w:spacing w:val="-7"/>
        </w:rPr>
        <w:t> </w:t>
      </w:r>
      <w:r>
        <w:rPr/>
        <w:t>against</w:t>
      </w:r>
      <w:r>
        <w:rPr>
          <w:spacing w:val="-6"/>
        </w:rPr>
        <w:t> </w:t>
      </w:r>
      <w:r>
        <w:rPr/>
        <w:t>federal</w:t>
      </w:r>
      <w:r>
        <w:rPr>
          <w:spacing w:val="-7"/>
        </w:rPr>
        <w:t> </w:t>
      </w:r>
      <w:r>
        <w:rPr/>
        <w:t>agencies</w:t>
      </w:r>
    </w:p>
    <w:p>
      <w:pPr>
        <w:pStyle w:val="BodyText"/>
        <w:spacing w:after="0" w:line="417" w:lineRule="auto"/>
        <w:sectPr>
          <w:pgSz w:w="12240" w:h="15840"/>
          <w:pgMar w:top="1340" w:bottom="280" w:left="1080" w:right="720"/>
        </w:sectPr>
      </w:pPr>
    </w:p>
    <w:p>
      <w:pPr>
        <w:pStyle w:val="Heading2"/>
      </w:pPr>
      <w:bookmarkStart w:name="612:25-4-72.  Audits" w:id="415"/>
      <w:bookmarkEnd w:id="415"/>
      <w:r>
        <w:rPr>
          <w:b w:val="0"/>
        </w:rPr>
      </w:r>
      <w:r>
        <w:rPr/>
        <w:t>612:25-4-72.</w:t>
      </w:r>
      <w:r>
        <w:rPr>
          <w:spacing w:val="58"/>
        </w:rPr>
        <w:t> </w:t>
      </w:r>
      <w:r>
        <w:rPr>
          <w:spacing w:val="-2"/>
        </w:rPr>
        <w:t>Audits</w:t>
      </w:r>
    </w:p>
    <w:p>
      <w:pPr>
        <w:pStyle w:val="BodyText"/>
        <w:spacing w:line="208" w:lineRule="auto" w:before="233"/>
        <w:ind w:right="775" w:firstLine="432"/>
      </w:pPr>
      <w:r>
        <w:rPr/>
        <w:t>The SLA reserves the right to develop audit procedures with active participation of the</w:t>
      </w:r>
      <w:r>
        <w:rPr>
          <w:spacing w:val="-3"/>
        </w:rPr>
        <w:t> </w:t>
      </w:r>
      <w:r>
        <w:rPr/>
        <w:t>ECM.</w:t>
      </w:r>
      <w:r>
        <w:rPr>
          <w:spacing w:val="40"/>
        </w:rPr>
        <w:t> </w:t>
      </w:r>
      <w:r>
        <w:rPr/>
        <w:t>The</w:t>
      </w:r>
      <w:r>
        <w:rPr>
          <w:spacing w:val="-3"/>
        </w:rPr>
        <w:t> </w:t>
      </w:r>
      <w:r>
        <w:rPr/>
        <w:t>SLA</w:t>
      </w:r>
      <w:r>
        <w:rPr>
          <w:spacing w:val="-3"/>
        </w:rPr>
        <w:t> </w:t>
      </w:r>
      <w:r>
        <w:rPr/>
        <w:t>reserves</w:t>
      </w:r>
      <w:r>
        <w:rPr>
          <w:spacing w:val="-3"/>
        </w:rPr>
        <w:t> </w:t>
      </w:r>
      <w:r>
        <w:rPr/>
        <w:t>the</w:t>
      </w:r>
      <w:r>
        <w:rPr>
          <w:spacing w:val="-4"/>
        </w:rPr>
        <w:t> </w:t>
      </w:r>
      <w:r>
        <w:rPr/>
        <w:t>right</w:t>
      </w:r>
      <w:r>
        <w:rPr>
          <w:spacing w:val="-2"/>
        </w:rPr>
        <w:t> </w:t>
      </w:r>
      <w:r>
        <w:rPr/>
        <w:t>to</w:t>
      </w:r>
      <w:r>
        <w:rPr>
          <w:spacing w:val="-3"/>
        </w:rPr>
        <w:t> </w:t>
      </w:r>
      <w:r>
        <w:rPr/>
        <w:t>conduct</w:t>
      </w:r>
      <w:r>
        <w:rPr>
          <w:spacing w:val="-2"/>
        </w:rPr>
        <w:t> </w:t>
      </w:r>
      <w:r>
        <w:rPr/>
        <w:t>audits,</w:t>
      </w:r>
      <w:r>
        <w:rPr>
          <w:spacing w:val="-2"/>
        </w:rPr>
        <w:t> </w:t>
      </w:r>
      <w:r>
        <w:rPr/>
        <w:t>including</w:t>
      </w:r>
      <w:r>
        <w:rPr>
          <w:spacing w:val="-3"/>
        </w:rPr>
        <w:t> </w:t>
      </w:r>
      <w:r>
        <w:rPr/>
        <w:t>the</w:t>
      </w:r>
      <w:r>
        <w:rPr>
          <w:spacing w:val="-3"/>
        </w:rPr>
        <w:t> </w:t>
      </w:r>
      <w:r>
        <w:rPr/>
        <w:t>use</w:t>
      </w:r>
      <w:r>
        <w:rPr>
          <w:spacing w:val="-3"/>
        </w:rPr>
        <w:t> </w:t>
      </w:r>
      <w:r>
        <w:rPr/>
        <w:t>of</w:t>
      </w:r>
      <w:r>
        <w:rPr>
          <w:spacing w:val="-2"/>
        </w:rPr>
        <w:t> </w:t>
      </w:r>
      <w:r>
        <w:rPr/>
        <w:t>third</w:t>
      </w:r>
      <w:r>
        <w:rPr>
          <w:spacing w:val="-3"/>
        </w:rPr>
        <w:t> </w:t>
      </w:r>
      <w:r>
        <w:rPr/>
        <w:t>party auditors.</w:t>
      </w:r>
      <w:r>
        <w:rPr>
          <w:spacing w:val="40"/>
        </w:rPr>
        <w:t> </w:t>
      </w:r>
      <w:r>
        <w:rPr/>
        <w:t>The licensed manager will be given a 30 calendar day written notice.</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7-1-05</w:t>
      </w:r>
      <w:r>
        <w:rPr>
          <w:sz w:val="22"/>
        </w:rPr>
        <w:tab/>
        <w:t>PT Memo #06-01</w:t>
      </w:r>
    </w:p>
    <w:p>
      <w:pPr>
        <w:tabs>
          <w:tab w:pos="1439" w:val="left" w:leader="none"/>
        </w:tabs>
        <w:spacing w:before="0"/>
        <w:ind w:left="360" w:right="4657" w:firstLine="1080"/>
        <w:jc w:val="left"/>
        <w:rPr>
          <w:sz w:val="22"/>
        </w:rPr>
      </w:pPr>
      <w:r>
        <w:rPr>
          <w:sz w:val="22"/>
        </w:rPr>
        <w:t>Permanent,</w:t>
      </w:r>
      <w:r>
        <w:rPr>
          <w:spacing w:val="-9"/>
          <w:sz w:val="22"/>
        </w:rPr>
        <w:t> </w:t>
      </w:r>
      <w:r>
        <w:rPr>
          <w:sz w:val="22"/>
        </w:rPr>
        <w:t>removed</w:t>
      </w:r>
      <w:r>
        <w:rPr>
          <w:spacing w:val="-10"/>
          <w:sz w:val="22"/>
        </w:rPr>
        <w:t> </w:t>
      </w:r>
      <w:r>
        <w:rPr>
          <w:sz w:val="22"/>
        </w:rPr>
        <w:t>procedures</w:t>
      </w:r>
      <w:r>
        <w:rPr>
          <w:spacing w:val="-10"/>
          <w:sz w:val="22"/>
        </w:rPr>
        <w:t> </w:t>
      </w:r>
      <w:r>
        <w:rPr>
          <w:sz w:val="22"/>
        </w:rPr>
        <w:t>from</w:t>
      </w:r>
      <w:r>
        <w:rPr>
          <w:spacing w:val="-11"/>
          <w:sz w:val="22"/>
        </w:rPr>
        <w:t> </w:t>
      </w:r>
      <w:r>
        <w:rPr>
          <w:sz w:val="22"/>
        </w:rPr>
        <w:t>policy </w:t>
      </w:r>
      <w:r>
        <w:rPr>
          <w:spacing w:val="-2"/>
          <w:sz w:val="22"/>
        </w:rPr>
        <w:t>9-12-14</w:t>
      </w:r>
      <w:r>
        <w:rPr>
          <w:sz w:val="22"/>
        </w:rPr>
        <w:tab/>
        <w:t>Permanent, updating language and policy</w:t>
      </w:r>
    </w:p>
    <w:p>
      <w:pPr>
        <w:tabs>
          <w:tab w:pos="1439" w:val="left" w:leader="none"/>
        </w:tabs>
        <w:spacing w:before="0"/>
        <w:ind w:left="1439" w:right="1355" w:hanging="1080"/>
        <w:jc w:val="left"/>
        <w:rPr>
          <w:sz w:val="22"/>
        </w:rPr>
      </w:pPr>
      <w:r>
        <w:rPr>
          <w:spacing w:val="-2"/>
          <w:sz w:val="22"/>
        </w:rPr>
        <w:t>8-27-15</w:t>
      </w:r>
      <w:r>
        <w:rPr>
          <w:sz w:val="22"/>
        </w:rPr>
        <w:tab/>
        <w:t>Added</w:t>
      </w:r>
      <w:r>
        <w:rPr>
          <w:spacing w:val="-4"/>
          <w:sz w:val="22"/>
        </w:rPr>
        <w:t> </w:t>
      </w:r>
      <w:r>
        <w:rPr>
          <w:sz w:val="22"/>
        </w:rPr>
        <w:t>language</w:t>
      </w:r>
      <w:r>
        <w:rPr>
          <w:spacing w:val="-4"/>
          <w:sz w:val="22"/>
        </w:rPr>
        <w:t> </w:t>
      </w:r>
      <w:r>
        <w:rPr>
          <w:sz w:val="22"/>
        </w:rPr>
        <w:t>regarding</w:t>
      </w:r>
      <w:r>
        <w:rPr>
          <w:spacing w:val="-4"/>
          <w:sz w:val="22"/>
        </w:rPr>
        <w:t> </w:t>
      </w:r>
      <w:r>
        <w:rPr>
          <w:sz w:val="22"/>
        </w:rPr>
        <w:t>the</w:t>
      </w:r>
      <w:r>
        <w:rPr>
          <w:spacing w:val="-4"/>
          <w:sz w:val="22"/>
        </w:rPr>
        <w:t> </w:t>
      </w:r>
      <w:r>
        <w:rPr>
          <w:sz w:val="22"/>
        </w:rPr>
        <w:t>licensed</w:t>
      </w:r>
      <w:r>
        <w:rPr>
          <w:spacing w:val="-4"/>
          <w:sz w:val="22"/>
        </w:rPr>
        <w:t> </w:t>
      </w:r>
      <w:r>
        <w:rPr>
          <w:sz w:val="22"/>
        </w:rPr>
        <w:t>manager</w:t>
      </w:r>
      <w:r>
        <w:rPr>
          <w:spacing w:val="-4"/>
          <w:sz w:val="22"/>
        </w:rPr>
        <w:t> </w:t>
      </w:r>
      <w:r>
        <w:rPr>
          <w:sz w:val="22"/>
        </w:rPr>
        <w:t>will</w:t>
      </w:r>
      <w:r>
        <w:rPr>
          <w:spacing w:val="-4"/>
          <w:sz w:val="22"/>
        </w:rPr>
        <w:t> </w:t>
      </w:r>
      <w:r>
        <w:rPr>
          <w:sz w:val="22"/>
        </w:rPr>
        <w:t>be</w:t>
      </w:r>
      <w:r>
        <w:rPr>
          <w:spacing w:val="-4"/>
          <w:sz w:val="22"/>
        </w:rPr>
        <w:t> </w:t>
      </w:r>
      <w:r>
        <w:rPr>
          <w:sz w:val="22"/>
        </w:rPr>
        <w:t>given</w:t>
      </w:r>
      <w:r>
        <w:rPr>
          <w:spacing w:val="-4"/>
          <w:sz w:val="22"/>
        </w:rPr>
        <w:t> </w:t>
      </w:r>
      <w:r>
        <w:rPr>
          <w:sz w:val="22"/>
        </w:rPr>
        <w:t>30</w:t>
      </w:r>
      <w:r>
        <w:rPr>
          <w:spacing w:val="-4"/>
          <w:sz w:val="22"/>
        </w:rPr>
        <w:t> </w:t>
      </w:r>
      <w:r>
        <w:rPr>
          <w:sz w:val="22"/>
        </w:rPr>
        <w:t>calendar</w:t>
      </w:r>
      <w:r>
        <w:rPr>
          <w:spacing w:val="-4"/>
          <w:sz w:val="22"/>
        </w:rPr>
        <w:t> </w:t>
      </w:r>
      <w:r>
        <w:rPr>
          <w:sz w:val="22"/>
        </w:rPr>
        <w:t>day written notice.</w:t>
      </w:r>
    </w:p>
    <w:p>
      <w:pPr>
        <w:spacing w:after="0"/>
        <w:jc w:val="left"/>
        <w:rPr>
          <w:sz w:val="22"/>
        </w:rPr>
        <w:sectPr>
          <w:pgSz w:w="12240" w:h="15840"/>
          <w:pgMar w:top="1340" w:bottom="280" w:left="1080" w:right="720"/>
        </w:sectPr>
      </w:pPr>
    </w:p>
    <w:p>
      <w:pPr>
        <w:pStyle w:val="Heading2"/>
      </w:pPr>
      <w:bookmarkStart w:name="612:25-4-73.  Due process" w:id="416"/>
      <w:bookmarkEnd w:id="416"/>
      <w:r>
        <w:rPr>
          <w:b w:val="0"/>
        </w:rPr>
      </w:r>
      <w:r>
        <w:rPr/>
        <w:t>612:25-4-73.</w:t>
      </w:r>
      <w:r>
        <w:rPr>
          <w:spacing w:val="60"/>
        </w:rPr>
        <w:t> </w:t>
      </w:r>
      <w:r>
        <w:rPr/>
        <w:t>Due</w:t>
      </w:r>
      <w:r>
        <w:rPr>
          <w:spacing w:val="-3"/>
        </w:rPr>
        <w:t> </w:t>
      </w:r>
      <w:r>
        <w:rPr>
          <w:spacing w:val="-2"/>
        </w:rPr>
        <w:t>process</w:t>
      </w:r>
    </w:p>
    <w:p>
      <w:pPr>
        <w:pStyle w:val="ListParagraph"/>
        <w:numPr>
          <w:ilvl w:val="0"/>
          <w:numId w:val="393"/>
        </w:numPr>
        <w:tabs>
          <w:tab w:pos="786" w:val="left" w:leader="none"/>
        </w:tabs>
        <w:spacing w:line="208" w:lineRule="auto" w:before="233" w:after="0"/>
        <w:ind w:left="360" w:right="860" w:firstLine="0"/>
        <w:jc w:val="left"/>
        <w:rPr>
          <w:sz w:val="24"/>
        </w:rPr>
      </w:pPr>
      <w:r>
        <w:rPr>
          <w:b/>
          <w:sz w:val="24"/>
        </w:rPr>
        <w:t>Due</w:t>
      </w:r>
      <w:r>
        <w:rPr>
          <w:b/>
          <w:spacing w:val="-4"/>
          <w:sz w:val="24"/>
        </w:rPr>
        <w:t> </w:t>
      </w:r>
      <w:r>
        <w:rPr>
          <w:b/>
          <w:sz w:val="24"/>
        </w:rPr>
        <w:t>process</w:t>
      </w:r>
      <w:r>
        <w:rPr>
          <w:b/>
          <w:spacing w:val="-4"/>
          <w:sz w:val="24"/>
        </w:rPr>
        <w:t> </w:t>
      </w:r>
      <w:r>
        <w:rPr>
          <w:b/>
          <w:sz w:val="24"/>
        </w:rPr>
        <w:t>overview.</w:t>
      </w:r>
      <w:r>
        <w:rPr>
          <w:b/>
          <w:spacing w:val="-3"/>
          <w:sz w:val="24"/>
        </w:rPr>
        <w:t> </w:t>
      </w:r>
      <w:r>
        <w:rPr>
          <w:sz w:val="24"/>
        </w:rPr>
        <w:t>The</w:t>
      </w:r>
      <w:r>
        <w:rPr>
          <w:spacing w:val="-5"/>
          <w:sz w:val="24"/>
        </w:rPr>
        <w:t> </w:t>
      </w:r>
      <w:r>
        <w:rPr>
          <w:sz w:val="24"/>
        </w:rPr>
        <w:t>SLA</w:t>
      </w:r>
      <w:r>
        <w:rPr>
          <w:spacing w:val="-4"/>
          <w:sz w:val="24"/>
        </w:rPr>
        <w:t> </w:t>
      </w:r>
      <w:r>
        <w:rPr>
          <w:sz w:val="24"/>
        </w:rPr>
        <w:t>provides</w:t>
      </w:r>
      <w:r>
        <w:rPr>
          <w:spacing w:val="-4"/>
          <w:sz w:val="24"/>
        </w:rPr>
        <w:t> </w:t>
      </w:r>
      <w:r>
        <w:rPr>
          <w:sz w:val="24"/>
        </w:rPr>
        <w:t>procedures</w:t>
      </w:r>
      <w:r>
        <w:rPr>
          <w:spacing w:val="-4"/>
          <w:sz w:val="24"/>
        </w:rPr>
        <w:t> </w:t>
      </w:r>
      <w:r>
        <w:rPr>
          <w:sz w:val="24"/>
        </w:rPr>
        <w:t>for</w:t>
      </w:r>
      <w:r>
        <w:rPr>
          <w:spacing w:val="-5"/>
          <w:sz w:val="24"/>
        </w:rPr>
        <w:t> </w:t>
      </w:r>
      <w:r>
        <w:rPr>
          <w:sz w:val="24"/>
        </w:rPr>
        <w:t>fair</w:t>
      </w:r>
      <w:r>
        <w:rPr>
          <w:spacing w:val="-5"/>
          <w:sz w:val="24"/>
        </w:rPr>
        <w:t> </w:t>
      </w:r>
      <w:r>
        <w:rPr>
          <w:sz w:val="24"/>
        </w:rPr>
        <w:t>hearings</w:t>
      </w:r>
      <w:r>
        <w:rPr>
          <w:spacing w:val="-4"/>
          <w:sz w:val="24"/>
        </w:rPr>
        <w:t> </w:t>
      </w:r>
      <w:r>
        <w:rPr>
          <w:sz w:val="24"/>
        </w:rPr>
        <w:t>of</w:t>
      </w:r>
      <w:r>
        <w:rPr>
          <w:spacing w:val="-2"/>
          <w:sz w:val="24"/>
        </w:rPr>
        <w:t> </w:t>
      </w:r>
      <w:r>
        <w:rPr>
          <w:sz w:val="24"/>
        </w:rPr>
        <w:t>licensed managers' grievances. These procedures provide each licensed manager the opportunity to seek remediation of dissatisfaction with any SLA action arising from the operation of the BEP.</w:t>
      </w:r>
    </w:p>
    <w:p>
      <w:pPr>
        <w:pStyle w:val="ListParagraph"/>
        <w:numPr>
          <w:ilvl w:val="0"/>
          <w:numId w:val="393"/>
        </w:numPr>
        <w:tabs>
          <w:tab w:pos="785" w:val="left" w:leader="none"/>
        </w:tabs>
        <w:spacing w:line="208" w:lineRule="auto" w:before="239" w:after="0"/>
        <w:ind w:left="360" w:right="726" w:firstLine="0"/>
        <w:jc w:val="left"/>
        <w:rPr>
          <w:sz w:val="24"/>
        </w:rPr>
      </w:pPr>
      <w:r>
        <w:rPr>
          <w:b/>
          <w:sz w:val="24"/>
        </w:rPr>
        <w:t>Informal administrative review. </w:t>
      </w:r>
      <w:r>
        <w:rPr>
          <w:sz w:val="24"/>
        </w:rPr>
        <w:t>It is the policy of the SLA to resolve complaints in an</w:t>
      </w:r>
      <w:r>
        <w:rPr>
          <w:spacing w:val="-5"/>
          <w:sz w:val="24"/>
        </w:rPr>
        <w:t> </w:t>
      </w:r>
      <w:r>
        <w:rPr>
          <w:sz w:val="24"/>
        </w:rPr>
        <w:t>expeditious</w:t>
      </w:r>
      <w:r>
        <w:rPr>
          <w:spacing w:val="-5"/>
          <w:sz w:val="24"/>
        </w:rPr>
        <w:t> </w:t>
      </w:r>
      <w:r>
        <w:rPr>
          <w:sz w:val="24"/>
        </w:rPr>
        <w:t>and</w:t>
      </w:r>
      <w:r>
        <w:rPr>
          <w:spacing w:val="-5"/>
          <w:sz w:val="24"/>
        </w:rPr>
        <w:t> </w:t>
      </w:r>
      <w:r>
        <w:rPr>
          <w:sz w:val="24"/>
        </w:rPr>
        <w:t>facilitative</w:t>
      </w:r>
      <w:r>
        <w:rPr>
          <w:spacing w:val="-5"/>
          <w:sz w:val="24"/>
        </w:rPr>
        <w:t> </w:t>
      </w:r>
      <w:r>
        <w:rPr>
          <w:sz w:val="24"/>
        </w:rPr>
        <w:t>manner.</w:t>
      </w:r>
      <w:r>
        <w:rPr>
          <w:spacing w:val="-4"/>
          <w:sz w:val="24"/>
        </w:rPr>
        <w:t> </w:t>
      </w:r>
      <w:r>
        <w:rPr>
          <w:sz w:val="24"/>
        </w:rPr>
        <w:t>These</w:t>
      </w:r>
      <w:r>
        <w:rPr>
          <w:spacing w:val="-5"/>
          <w:sz w:val="24"/>
        </w:rPr>
        <w:t> </w:t>
      </w:r>
      <w:r>
        <w:rPr>
          <w:sz w:val="24"/>
        </w:rPr>
        <w:t>resolutions</w:t>
      </w:r>
      <w:r>
        <w:rPr>
          <w:spacing w:val="-5"/>
          <w:sz w:val="24"/>
        </w:rPr>
        <w:t> </w:t>
      </w:r>
      <w:r>
        <w:rPr>
          <w:sz w:val="24"/>
        </w:rPr>
        <w:t>shall</w:t>
      </w:r>
      <w:r>
        <w:rPr>
          <w:spacing w:val="-5"/>
          <w:sz w:val="24"/>
        </w:rPr>
        <w:t> </w:t>
      </w:r>
      <w:r>
        <w:rPr>
          <w:sz w:val="24"/>
        </w:rPr>
        <w:t>be</w:t>
      </w:r>
      <w:r>
        <w:rPr>
          <w:spacing w:val="-4"/>
          <w:sz w:val="24"/>
        </w:rPr>
        <w:t> </w:t>
      </w:r>
      <w:r>
        <w:rPr>
          <w:sz w:val="24"/>
        </w:rPr>
        <w:t>accomplished</w:t>
      </w:r>
      <w:r>
        <w:rPr>
          <w:spacing w:val="-5"/>
          <w:sz w:val="24"/>
        </w:rPr>
        <w:t> </w:t>
      </w:r>
      <w:r>
        <w:rPr>
          <w:sz w:val="24"/>
        </w:rPr>
        <w:t>through the informal administrative review process whenever possible. A licensed manager has the right to request a full evidentiary hearing at any time within established due process time lines.</w:t>
      </w:r>
      <w:r>
        <w:rPr>
          <w:spacing w:val="40"/>
          <w:sz w:val="24"/>
        </w:rPr>
        <w:t> </w:t>
      </w:r>
      <w:r>
        <w:rPr>
          <w:sz w:val="24"/>
        </w:rPr>
        <w:t>These timelines are identified later in this policy.</w:t>
      </w:r>
    </w:p>
    <w:p>
      <w:pPr>
        <w:pStyle w:val="ListParagraph"/>
        <w:numPr>
          <w:ilvl w:val="1"/>
          <w:numId w:val="393"/>
        </w:numPr>
        <w:tabs>
          <w:tab w:pos="1217" w:val="left" w:leader="none"/>
        </w:tabs>
        <w:spacing w:line="208" w:lineRule="auto" w:before="240" w:after="0"/>
        <w:ind w:left="792" w:right="963" w:firstLine="0"/>
        <w:jc w:val="left"/>
        <w:rPr>
          <w:sz w:val="24"/>
        </w:rPr>
      </w:pPr>
      <w:r>
        <w:rPr>
          <w:sz w:val="24"/>
        </w:rPr>
        <w:t>Informal</w:t>
      </w:r>
      <w:r>
        <w:rPr>
          <w:spacing w:val="-4"/>
          <w:sz w:val="24"/>
        </w:rPr>
        <w:t> </w:t>
      </w:r>
      <w:r>
        <w:rPr>
          <w:sz w:val="24"/>
        </w:rPr>
        <w:t>administrative</w:t>
      </w:r>
      <w:r>
        <w:rPr>
          <w:spacing w:val="-4"/>
          <w:sz w:val="24"/>
        </w:rPr>
        <w:t> </w:t>
      </w:r>
      <w:r>
        <w:rPr>
          <w:sz w:val="24"/>
        </w:rPr>
        <w:t>reviews</w:t>
      </w:r>
      <w:r>
        <w:rPr>
          <w:spacing w:val="-4"/>
          <w:sz w:val="24"/>
        </w:rPr>
        <w:t> </w:t>
      </w:r>
      <w:r>
        <w:rPr>
          <w:sz w:val="24"/>
        </w:rPr>
        <w:t>are</w:t>
      </w:r>
      <w:r>
        <w:rPr>
          <w:spacing w:val="-4"/>
          <w:sz w:val="24"/>
        </w:rPr>
        <w:t> </w:t>
      </w:r>
      <w:r>
        <w:rPr>
          <w:sz w:val="24"/>
        </w:rPr>
        <w:t>conducted</w:t>
      </w:r>
      <w:r>
        <w:rPr>
          <w:spacing w:val="-4"/>
          <w:sz w:val="24"/>
        </w:rPr>
        <w:t> </w:t>
      </w:r>
      <w:r>
        <w:rPr>
          <w:sz w:val="24"/>
        </w:rPr>
        <w:t>by</w:t>
      </w:r>
      <w:r>
        <w:rPr>
          <w:spacing w:val="-4"/>
          <w:sz w:val="24"/>
        </w:rPr>
        <w:t> </w:t>
      </w:r>
      <w:r>
        <w:rPr>
          <w:sz w:val="24"/>
        </w:rPr>
        <w:t>the</w:t>
      </w:r>
      <w:r>
        <w:rPr>
          <w:spacing w:val="-4"/>
          <w:sz w:val="24"/>
        </w:rPr>
        <w:t> </w:t>
      </w:r>
      <w:r>
        <w:rPr>
          <w:sz w:val="24"/>
        </w:rPr>
        <w:t>SLA</w:t>
      </w:r>
      <w:r>
        <w:rPr>
          <w:spacing w:val="-4"/>
          <w:sz w:val="24"/>
        </w:rPr>
        <w:t> </w:t>
      </w:r>
      <w:r>
        <w:rPr>
          <w:sz w:val="24"/>
        </w:rPr>
        <w:t>staff</w:t>
      </w:r>
      <w:r>
        <w:rPr>
          <w:spacing w:val="-3"/>
          <w:sz w:val="24"/>
        </w:rPr>
        <w:t> </w:t>
      </w:r>
      <w:r>
        <w:rPr>
          <w:sz w:val="24"/>
        </w:rPr>
        <w:t>person</w:t>
      </w:r>
      <w:r>
        <w:rPr>
          <w:spacing w:val="-4"/>
          <w:sz w:val="24"/>
        </w:rPr>
        <w:t> </w:t>
      </w:r>
      <w:r>
        <w:rPr>
          <w:sz w:val="24"/>
        </w:rPr>
        <w:t>closest to the problem who was not involved in the action resulting in the complaint, and who can resolve the complaint in the most expeditious manner.</w:t>
      </w:r>
    </w:p>
    <w:p>
      <w:pPr>
        <w:pStyle w:val="ListParagraph"/>
        <w:numPr>
          <w:ilvl w:val="1"/>
          <w:numId w:val="393"/>
        </w:numPr>
        <w:tabs>
          <w:tab w:pos="1218" w:val="left" w:leader="none"/>
        </w:tabs>
        <w:spacing w:line="208" w:lineRule="auto" w:before="240" w:after="0"/>
        <w:ind w:left="792" w:right="722" w:firstLine="0"/>
        <w:jc w:val="left"/>
        <w:rPr>
          <w:sz w:val="24"/>
        </w:rPr>
      </w:pPr>
      <w:r>
        <w:rPr>
          <w:sz w:val="24"/>
        </w:rPr>
        <w:t>The</w:t>
      </w:r>
      <w:r>
        <w:rPr>
          <w:spacing w:val="-4"/>
          <w:sz w:val="24"/>
        </w:rPr>
        <w:t> </w:t>
      </w:r>
      <w:r>
        <w:rPr>
          <w:sz w:val="24"/>
        </w:rPr>
        <w:t>informal</w:t>
      </w:r>
      <w:r>
        <w:rPr>
          <w:spacing w:val="-4"/>
          <w:sz w:val="24"/>
        </w:rPr>
        <w:t> </w:t>
      </w:r>
      <w:r>
        <w:rPr>
          <w:sz w:val="24"/>
        </w:rPr>
        <w:t>administrative</w:t>
      </w:r>
      <w:r>
        <w:rPr>
          <w:spacing w:val="-4"/>
          <w:sz w:val="24"/>
        </w:rPr>
        <w:t> </w:t>
      </w:r>
      <w:r>
        <w:rPr>
          <w:sz w:val="24"/>
        </w:rPr>
        <w:t>review</w:t>
      </w:r>
      <w:r>
        <w:rPr>
          <w:spacing w:val="-4"/>
          <w:sz w:val="24"/>
        </w:rPr>
        <w:t> </w:t>
      </w:r>
      <w:r>
        <w:rPr>
          <w:sz w:val="24"/>
        </w:rPr>
        <w:t>is</w:t>
      </w:r>
      <w:r>
        <w:rPr>
          <w:spacing w:val="-4"/>
          <w:sz w:val="24"/>
        </w:rPr>
        <w:t> </w:t>
      </w:r>
      <w:r>
        <w:rPr>
          <w:sz w:val="24"/>
        </w:rPr>
        <w:t>to</w:t>
      </w:r>
      <w:r>
        <w:rPr>
          <w:spacing w:val="-4"/>
          <w:sz w:val="24"/>
        </w:rPr>
        <w:t> </w:t>
      </w:r>
      <w:r>
        <w:rPr>
          <w:sz w:val="24"/>
        </w:rPr>
        <w:t>be</w:t>
      </w:r>
      <w:r>
        <w:rPr>
          <w:spacing w:val="-4"/>
          <w:sz w:val="24"/>
        </w:rPr>
        <w:t> </w:t>
      </w:r>
      <w:r>
        <w:rPr>
          <w:sz w:val="24"/>
        </w:rPr>
        <w:t>completed</w:t>
      </w:r>
      <w:r>
        <w:rPr>
          <w:spacing w:val="-4"/>
          <w:sz w:val="24"/>
        </w:rPr>
        <w:t> </w:t>
      </w:r>
      <w:r>
        <w:rPr>
          <w:sz w:val="24"/>
        </w:rPr>
        <w:t>within</w:t>
      </w:r>
      <w:r>
        <w:rPr>
          <w:spacing w:val="-4"/>
          <w:sz w:val="24"/>
        </w:rPr>
        <w:t> </w:t>
      </w:r>
      <w:r>
        <w:rPr>
          <w:sz w:val="24"/>
        </w:rPr>
        <w:t>30</w:t>
      </w:r>
      <w:r>
        <w:rPr>
          <w:spacing w:val="-4"/>
          <w:sz w:val="24"/>
        </w:rPr>
        <w:t> </w:t>
      </w:r>
      <w:r>
        <w:rPr>
          <w:sz w:val="24"/>
        </w:rPr>
        <w:t>calendar</w:t>
      </w:r>
      <w:r>
        <w:rPr>
          <w:spacing w:val="-2"/>
          <w:sz w:val="24"/>
        </w:rPr>
        <w:t> </w:t>
      </w:r>
      <w:r>
        <w:rPr>
          <w:sz w:val="24"/>
        </w:rPr>
        <w:t>days</w:t>
      </w:r>
      <w:r>
        <w:rPr>
          <w:spacing w:val="-4"/>
          <w:sz w:val="24"/>
        </w:rPr>
        <w:t> </w:t>
      </w:r>
      <w:r>
        <w:rPr>
          <w:sz w:val="24"/>
        </w:rPr>
        <w:t>of receipt of the complaint to the appropriate SLA staff person.</w:t>
      </w:r>
    </w:p>
    <w:p>
      <w:pPr>
        <w:pStyle w:val="ListParagraph"/>
        <w:numPr>
          <w:ilvl w:val="1"/>
          <w:numId w:val="393"/>
        </w:numPr>
        <w:tabs>
          <w:tab w:pos="1218" w:val="left" w:leader="none"/>
        </w:tabs>
        <w:spacing w:line="208" w:lineRule="auto" w:before="239" w:after="0"/>
        <w:ind w:left="792" w:right="1107" w:firstLine="0"/>
        <w:jc w:val="both"/>
        <w:rPr>
          <w:sz w:val="24"/>
        </w:rPr>
      </w:pPr>
      <w:r>
        <w:rPr>
          <w:sz w:val="24"/>
        </w:rPr>
        <w:t>The</w:t>
      </w:r>
      <w:r>
        <w:rPr>
          <w:spacing w:val="-1"/>
          <w:sz w:val="24"/>
        </w:rPr>
        <w:t> </w:t>
      </w:r>
      <w:r>
        <w:rPr>
          <w:sz w:val="24"/>
        </w:rPr>
        <w:t>results of the</w:t>
      </w:r>
      <w:r>
        <w:rPr>
          <w:spacing w:val="-1"/>
          <w:sz w:val="24"/>
        </w:rPr>
        <w:t> </w:t>
      </w:r>
      <w:r>
        <w:rPr>
          <w:sz w:val="24"/>
        </w:rPr>
        <w:t>informal administrative review are to be reported in writing within</w:t>
      </w:r>
      <w:r>
        <w:rPr>
          <w:spacing w:val="-3"/>
          <w:sz w:val="24"/>
        </w:rPr>
        <w:t> </w:t>
      </w:r>
      <w:r>
        <w:rPr>
          <w:sz w:val="24"/>
        </w:rPr>
        <w:t>15</w:t>
      </w:r>
      <w:r>
        <w:rPr>
          <w:spacing w:val="-3"/>
          <w:sz w:val="24"/>
        </w:rPr>
        <w:t> </w:t>
      </w:r>
      <w:r>
        <w:rPr>
          <w:sz w:val="24"/>
        </w:rPr>
        <w:t>calendar</w:t>
      </w:r>
      <w:r>
        <w:rPr>
          <w:spacing w:val="-2"/>
          <w:sz w:val="24"/>
        </w:rPr>
        <w:t> </w:t>
      </w:r>
      <w:r>
        <w:rPr>
          <w:sz w:val="24"/>
        </w:rPr>
        <w:t>days</w:t>
      </w:r>
      <w:r>
        <w:rPr>
          <w:spacing w:val="-3"/>
          <w:sz w:val="24"/>
        </w:rPr>
        <w:t> </w:t>
      </w:r>
      <w:r>
        <w:rPr>
          <w:sz w:val="24"/>
        </w:rPr>
        <w:t>to</w:t>
      </w:r>
      <w:r>
        <w:rPr>
          <w:spacing w:val="-4"/>
          <w:sz w:val="24"/>
        </w:rPr>
        <w:t> </w:t>
      </w:r>
      <w:r>
        <w:rPr>
          <w:sz w:val="24"/>
        </w:rPr>
        <w:t>the</w:t>
      </w:r>
      <w:r>
        <w:rPr>
          <w:spacing w:val="-3"/>
          <w:sz w:val="24"/>
        </w:rPr>
        <w:t> </w:t>
      </w:r>
      <w:r>
        <w:rPr>
          <w:sz w:val="24"/>
        </w:rPr>
        <w:t>BEP</w:t>
      </w:r>
      <w:r>
        <w:rPr>
          <w:spacing w:val="-3"/>
          <w:sz w:val="24"/>
        </w:rPr>
        <w:t> </w:t>
      </w:r>
      <w:r>
        <w:rPr>
          <w:sz w:val="24"/>
        </w:rPr>
        <w:t>Operations</w:t>
      </w:r>
      <w:r>
        <w:rPr>
          <w:spacing w:val="-3"/>
          <w:sz w:val="24"/>
        </w:rPr>
        <w:t> </w:t>
      </w:r>
      <w:r>
        <w:rPr>
          <w:sz w:val="24"/>
        </w:rPr>
        <w:t>Coordinator,</w:t>
      </w:r>
      <w:r>
        <w:rPr>
          <w:spacing w:val="-2"/>
          <w:sz w:val="24"/>
        </w:rPr>
        <w:t> </w:t>
      </w:r>
      <w:r>
        <w:rPr>
          <w:sz w:val="24"/>
        </w:rPr>
        <w:t>with</w:t>
      </w:r>
      <w:r>
        <w:rPr>
          <w:spacing w:val="-4"/>
          <w:sz w:val="24"/>
        </w:rPr>
        <w:t> </w:t>
      </w:r>
      <w:r>
        <w:rPr>
          <w:sz w:val="24"/>
        </w:rPr>
        <w:t>a</w:t>
      </w:r>
      <w:r>
        <w:rPr>
          <w:spacing w:val="-3"/>
          <w:sz w:val="24"/>
        </w:rPr>
        <w:t> </w:t>
      </w:r>
      <w:r>
        <w:rPr>
          <w:sz w:val="24"/>
        </w:rPr>
        <w:t>copy</w:t>
      </w:r>
      <w:r>
        <w:rPr>
          <w:spacing w:val="-3"/>
          <w:sz w:val="24"/>
        </w:rPr>
        <w:t> </w:t>
      </w:r>
      <w:r>
        <w:rPr>
          <w:sz w:val="24"/>
        </w:rPr>
        <w:t>going</w:t>
      </w:r>
      <w:r>
        <w:rPr>
          <w:spacing w:val="-3"/>
          <w:sz w:val="24"/>
        </w:rPr>
        <w:t> </w:t>
      </w:r>
      <w:r>
        <w:rPr>
          <w:sz w:val="24"/>
        </w:rPr>
        <w:t>to the licensed manager affected, in accessible format.</w:t>
      </w:r>
    </w:p>
    <w:p>
      <w:pPr>
        <w:pStyle w:val="ListParagraph"/>
        <w:numPr>
          <w:ilvl w:val="0"/>
          <w:numId w:val="393"/>
        </w:numPr>
        <w:tabs>
          <w:tab w:pos="773" w:val="left" w:leader="none"/>
        </w:tabs>
        <w:spacing w:line="208" w:lineRule="auto" w:before="240" w:after="0"/>
        <w:ind w:left="360" w:right="1019" w:firstLine="0"/>
        <w:jc w:val="left"/>
        <w:rPr>
          <w:sz w:val="24"/>
        </w:rPr>
      </w:pPr>
      <w:r>
        <w:rPr>
          <w:b/>
          <w:sz w:val="24"/>
        </w:rPr>
        <w:t>Full</w:t>
      </w:r>
      <w:r>
        <w:rPr>
          <w:b/>
          <w:spacing w:val="-5"/>
          <w:sz w:val="24"/>
        </w:rPr>
        <w:t> </w:t>
      </w:r>
      <w:r>
        <w:rPr>
          <w:b/>
          <w:sz w:val="24"/>
        </w:rPr>
        <w:t>evidentiary</w:t>
      </w:r>
      <w:r>
        <w:rPr>
          <w:b/>
          <w:spacing w:val="-4"/>
          <w:sz w:val="24"/>
        </w:rPr>
        <w:t> </w:t>
      </w:r>
      <w:r>
        <w:rPr>
          <w:b/>
          <w:sz w:val="24"/>
        </w:rPr>
        <w:t>hearings.</w:t>
      </w:r>
      <w:r>
        <w:rPr>
          <w:b/>
          <w:spacing w:val="-4"/>
          <w:sz w:val="24"/>
        </w:rPr>
        <w:t> </w:t>
      </w:r>
      <w:r>
        <w:rPr>
          <w:sz w:val="24"/>
        </w:rPr>
        <w:t>Licensed</w:t>
      </w:r>
      <w:r>
        <w:rPr>
          <w:spacing w:val="-4"/>
          <w:sz w:val="24"/>
        </w:rPr>
        <w:t> </w:t>
      </w:r>
      <w:r>
        <w:rPr>
          <w:sz w:val="24"/>
        </w:rPr>
        <w:t>managers</w:t>
      </w:r>
      <w:r>
        <w:rPr>
          <w:spacing w:val="-4"/>
          <w:sz w:val="24"/>
        </w:rPr>
        <w:t> </w:t>
      </w:r>
      <w:r>
        <w:rPr>
          <w:sz w:val="24"/>
        </w:rPr>
        <w:t>have</w:t>
      </w:r>
      <w:r>
        <w:rPr>
          <w:spacing w:val="-4"/>
          <w:sz w:val="24"/>
        </w:rPr>
        <w:t> </w:t>
      </w:r>
      <w:r>
        <w:rPr>
          <w:sz w:val="24"/>
        </w:rPr>
        <w:t>the</w:t>
      </w:r>
      <w:r>
        <w:rPr>
          <w:spacing w:val="-4"/>
          <w:sz w:val="24"/>
        </w:rPr>
        <w:t> </w:t>
      </w:r>
      <w:r>
        <w:rPr>
          <w:sz w:val="24"/>
        </w:rPr>
        <w:t>right</w:t>
      </w:r>
      <w:r>
        <w:rPr>
          <w:spacing w:val="-3"/>
          <w:sz w:val="24"/>
        </w:rPr>
        <w:t> </w:t>
      </w:r>
      <w:r>
        <w:rPr>
          <w:sz w:val="24"/>
        </w:rPr>
        <w:t>to</w:t>
      </w:r>
      <w:r>
        <w:rPr>
          <w:spacing w:val="-4"/>
          <w:sz w:val="24"/>
        </w:rPr>
        <w:t> </w:t>
      </w:r>
      <w:r>
        <w:rPr>
          <w:sz w:val="24"/>
        </w:rPr>
        <w:t>a</w:t>
      </w:r>
      <w:r>
        <w:rPr>
          <w:spacing w:val="-4"/>
          <w:sz w:val="24"/>
        </w:rPr>
        <w:t> </w:t>
      </w:r>
      <w:r>
        <w:rPr>
          <w:sz w:val="24"/>
        </w:rPr>
        <w:t>full</w:t>
      </w:r>
      <w:r>
        <w:rPr>
          <w:spacing w:val="-4"/>
          <w:sz w:val="24"/>
        </w:rPr>
        <w:t> </w:t>
      </w:r>
      <w:r>
        <w:rPr>
          <w:sz w:val="24"/>
        </w:rPr>
        <w:t>evidentiary hearing to resolve dissatisfaction with any SLA action arising from the operation or administration of the Business Enterprise Program.</w:t>
      </w:r>
    </w:p>
    <w:p>
      <w:pPr>
        <w:pStyle w:val="ListParagraph"/>
        <w:numPr>
          <w:ilvl w:val="1"/>
          <w:numId w:val="393"/>
        </w:numPr>
        <w:tabs>
          <w:tab w:pos="1217" w:val="left" w:leader="none"/>
        </w:tabs>
        <w:spacing w:line="208" w:lineRule="auto" w:before="240" w:after="0"/>
        <w:ind w:left="792" w:right="733" w:firstLine="0"/>
        <w:jc w:val="left"/>
        <w:rPr>
          <w:sz w:val="24"/>
        </w:rPr>
      </w:pPr>
      <w:r>
        <w:rPr>
          <w:sz w:val="24"/>
        </w:rPr>
        <w:t>If the complaint cannot be resolved with an informal administrative review, or in the absence of an informal administrative review, the licensed manager may</w:t>
      </w:r>
      <w:r>
        <w:rPr>
          <w:spacing w:val="40"/>
          <w:sz w:val="24"/>
        </w:rPr>
        <w:t> </w:t>
      </w:r>
      <w:r>
        <w:rPr>
          <w:sz w:val="24"/>
        </w:rPr>
        <w:t>request a full evidentiary hearing. The request for a full evidentiary hearing must be made</w:t>
      </w:r>
      <w:r>
        <w:rPr>
          <w:spacing w:val="-4"/>
          <w:sz w:val="24"/>
        </w:rPr>
        <w:t> </w:t>
      </w:r>
      <w:r>
        <w:rPr>
          <w:sz w:val="24"/>
        </w:rPr>
        <w:t>to</w:t>
      </w:r>
      <w:r>
        <w:rPr>
          <w:spacing w:val="-4"/>
          <w:sz w:val="24"/>
        </w:rPr>
        <w:t> </w:t>
      </w:r>
      <w:r>
        <w:rPr>
          <w:sz w:val="24"/>
        </w:rPr>
        <w:t>the</w:t>
      </w:r>
      <w:r>
        <w:rPr>
          <w:spacing w:val="-4"/>
          <w:sz w:val="24"/>
        </w:rPr>
        <w:t> </w:t>
      </w:r>
      <w:r>
        <w:rPr>
          <w:sz w:val="24"/>
        </w:rPr>
        <w:t>BEP</w:t>
      </w:r>
      <w:r>
        <w:rPr>
          <w:spacing w:val="-4"/>
          <w:sz w:val="24"/>
        </w:rPr>
        <w:t> </w:t>
      </w:r>
      <w:r>
        <w:rPr>
          <w:sz w:val="24"/>
        </w:rPr>
        <w:t>Operations</w:t>
      </w:r>
      <w:r>
        <w:rPr>
          <w:spacing w:val="-4"/>
          <w:sz w:val="24"/>
        </w:rPr>
        <w:t> </w:t>
      </w:r>
      <w:r>
        <w:rPr>
          <w:sz w:val="24"/>
        </w:rPr>
        <w:t>Coordinator</w:t>
      </w:r>
      <w:r>
        <w:rPr>
          <w:spacing w:val="-3"/>
          <w:sz w:val="24"/>
        </w:rPr>
        <w:t> </w:t>
      </w:r>
      <w:r>
        <w:rPr>
          <w:sz w:val="24"/>
        </w:rPr>
        <w:t>in</w:t>
      </w:r>
      <w:r>
        <w:rPr>
          <w:spacing w:val="-4"/>
          <w:sz w:val="24"/>
        </w:rPr>
        <w:t> </w:t>
      </w:r>
      <w:r>
        <w:rPr>
          <w:sz w:val="24"/>
        </w:rPr>
        <w:t>writing</w:t>
      </w:r>
      <w:r>
        <w:rPr>
          <w:spacing w:val="-4"/>
          <w:sz w:val="24"/>
        </w:rPr>
        <w:t> </w:t>
      </w:r>
      <w:r>
        <w:rPr>
          <w:sz w:val="24"/>
        </w:rPr>
        <w:t>within</w:t>
      </w:r>
      <w:r>
        <w:rPr>
          <w:spacing w:val="-4"/>
          <w:sz w:val="24"/>
        </w:rPr>
        <w:t> </w:t>
      </w:r>
      <w:r>
        <w:rPr>
          <w:sz w:val="24"/>
        </w:rPr>
        <w:t>30</w:t>
      </w:r>
      <w:r>
        <w:rPr>
          <w:spacing w:val="-4"/>
          <w:sz w:val="24"/>
        </w:rPr>
        <w:t> </w:t>
      </w:r>
      <w:r>
        <w:rPr>
          <w:sz w:val="24"/>
        </w:rPr>
        <w:t>calendar</w:t>
      </w:r>
      <w:r>
        <w:rPr>
          <w:spacing w:val="-3"/>
          <w:sz w:val="24"/>
        </w:rPr>
        <w:t> </w:t>
      </w:r>
      <w:r>
        <w:rPr>
          <w:sz w:val="24"/>
        </w:rPr>
        <w:t>days</w:t>
      </w:r>
      <w:r>
        <w:rPr>
          <w:spacing w:val="-4"/>
          <w:sz w:val="24"/>
        </w:rPr>
        <w:t> </w:t>
      </w:r>
      <w:r>
        <w:rPr>
          <w:sz w:val="24"/>
        </w:rPr>
        <w:t>from</w:t>
      </w:r>
      <w:r>
        <w:rPr>
          <w:spacing w:val="-3"/>
          <w:sz w:val="24"/>
        </w:rPr>
        <w:t> </w:t>
      </w:r>
      <w:r>
        <w:rPr>
          <w:sz w:val="24"/>
        </w:rPr>
        <w:t>the date the licensed manager receives the notification of adverse action, or the written report of the informal administrative review. The request for a full evidentiary</w:t>
      </w:r>
      <w:r>
        <w:rPr>
          <w:spacing w:val="40"/>
          <w:sz w:val="24"/>
        </w:rPr>
        <w:t> </w:t>
      </w:r>
      <w:r>
        <w:rPr>
          <w:sz w:val="24"/>
        </w:rPr>
        <w:t>hearing is to be sent by certified mail.</w:t>
      </w:r>
      <w:r>
        <w:rPr>
          <w:spacing w:val="80"/>
          <w:sz w:val="24"/>
        </w:rPr>
        <w:t> </w:t>
      </w:r>
      <w:r>
        <w:rPr>
          <w:sz w:val="24"/>
        </w:rPr>
        <w:t>Upon receipt, the BEP Operations Coordinator will immediately forward the request to the Visual Services Division Administrator.</w:t>
      </w:r>
      <w:r>
        <w:rPr>
          <w:spacing w:val="40"/>
          <w:sz w:val="24"/>
        </w:rPr>
        <w:t> </w:t>
      </w:r>
      <w:r>
        <w:rPr>
          <w:sz w:val="24"/>
        </w:rPr>
        <w:t>The Licensed Manager submitting the request for full evidentiary hearing will be notified of the date it was forwarded.</w:t>
      </w:r>
    </w:p>
    <w:p>
      <w:pPr>
        <w:pStyle w:val="ListParagraph"/>
        <w:numPr>
          <w:ilvl w:val="1"/>
          <w:numId w:val="393"/>
        </w:numPr>
        <w:tabs>
          <w:tab w:pos="1218" w:val="left" w:leader="none"/>
        </w:tabs>
        <w:spacing w:line="208" w:lineRule="auto" w:before="239" w:after="0"/>
        <w:ind w:left="792" w:right="1000" w:firstLine="0"/>
        <w:jc w:val="left"/>
        <w:rPr>
          <w:sz w:val="24"/>
        </w:rPr>
      </w:pPr>
      <w:r>
        <w:rPr>
          <w:sz w:val="24"/>
        </w:rPr>
        <w:t>The</w:t>
      </w:r>
      <w:r>
        <w:rPr>
          <w:spacing w:val="-4"/>
          <w:sz w:val="24"/>
        </w:rPr>
        <w:t> </w:t>
      </w:r>
      <w:r>
        <w:rPr>
          <w:sz w:val="24"/>
        </w:rPr>
        <w:t>licensed</w:t>
      </w:r>
      <w:r>
        <w:rPr>
          <w:spacing w:val="-4"/>
          <w:sz w:val="24"/>
        </w:rPr>
        <w:t> </w:t>
      </w:r>
      <w:r>
        <w:rPr>
          <w:sz w:val="24"/>
        </w:rPr>
        <w:t>manager</w:t>
      </w:r>
      <w:r>
        <w:rPr>
          <w:spacing w:val="-3"/>
          <w:sz w:val="24"/>
        </w:rPr>
        <w:t> </w:t>
      </w:r>
      <w:r>
        <w:rPr>
          <w:sz w:val="24"/>
        </w:rPr>
        <w:t>may</w:t>
      </w:r>
      <w:r>
        <w:rPr>
          <w:spacing w:val="-4"/>
          <w:sz w:val="24"/>
        </w:rPr>
        <w:t> </w:t>
      </w:r>
      <w:r>
        <w:rPr>
          <w:sz w:val="24"/>
        </w:rPr>
        <w:t>be</w:t>
      </w:r>
      <w:r>
        <w:rPr>
          <w:spacing w:val="-4"/>
          <w:sz w:val="24"/>
        </w:rPr>
        <w:t> </w:t>
      </w:r>
      <w:r>
        <w:rPr>
          <w:sz w:val="24"/>
        </w:rPr>
        <w:t>represented</w:t>
      </w:r>
      <w:r>
        <w:rPr>
          <w:spacing w:val="-4"/>
          <w:sz w:val="24"/>
        </w:rPr>
        <w:t> </w:t>
      </w:r>
      <w:r>
        <w:rPr>
          <w:sz w:val="24"/>
        </w:rPr>
        <w:t>in</w:t>
      </w:r>
      <w:r>
        <w:rPr>
          <w:spacing w:val="-4"/>
          <w:sz w:val="24"/>
        </w:rPr>
        <w:t> </w:t>
      </w:r>
      <w:r>
        <w:rPr>
          <w:sz w:val="24"/>
        </w:rPr>
        <w:t>the</w:t>
      </w:r>
      <w:r>
        <w:rPr>
          <w:spacing w:val="-4"/>
          <w:sz w:val="24"/>
        </w:rPr>
        <w:t> </w:t>
      </w:r>
      <w:r>
        <w:rPr>
          <w:sz w:val="24"/>
        </w:rPr>
        <w:t>evidentiary</w:t>
      </w:r>
      <w:r>
        <w:rPr>
          <w:spacing w:val="-4"/>
          <w:sz w:val="24"/>
        </w:rPr>
        <w:t> </w:t>
      </w:r>
      <w:r>
        <w:rPr>
          <w:sz w:val="24"/>
        </w:rPr>
        <w:t>hearing</w:t>
      </w:r>
      <w:r>
        <w:rPr>
          <w:spacing w:val="-4"/>
          <w:sz w:val="24"/>
        </w:rPr>
        <w:t> </w:t>
      </w:r>
      <w:r>
        <w:rPr>
          <w:sz w:val="24"/>
        </w:rPr>
        <w:t>by</w:t>
      </w:r>
      <w:r>
        <w:rPr>
          <w:spacing w:val="-4"/>
          <w:sz w:val="24"/>
        </w:rPr>
        <w:t> </w:t>
      </w:r>
      <w:r>
        <w:rPr>
          <w:sz w:val="24"/>
        </w:rPr>
        <w:t>legal counsel, or other representation of the licensed manager's choice, and at the licensed manager's expense.</w:t>
      </w:r>
    </w:p>
    <w:p>
      <w:pPr>
        <w:pStyle w:val="ListParagraph"/>
        <w:numPr>
          <w:ilvl w:val="1"/>
          <w:numId w:val="393"/>
        </w:numPr>
        <w:tabs>
          <w:tab w:pos="1218" w:val="left" w:leader="none"/>
        </w:tabs>
        <w:spacing w:line="208" w:lineRule="auto" w:before="240" w:after="0"/>
        <w:ind w:left="792" w:right="920" w:firstLine="0"/>
        <w:jc w:val="left"/>
        <w:rPr>
          <w:sz w:val="24"/>
        </w:rPr>
      </w:pPr>
      <w:r>
        <w:rPr>
          <w:sz w:val="24"/>
        </w:rPr>
        <w:t>Reasonable</w:t>
      </w:r>
      <w:r>
        <w:rPr>
          <w:spacing w:val="-4"/>
          <w:sz w:val="24"/>
        </w:rPr>
        <w:t> </w:t>
      </w:r>
      <w:r>
        <w:rPr>
          <w:sz w:val="24"/>
        </w:rPr>
        <w:t>accommodations</w:t>
      </w:r>
      <w:r>
        <w:rPr>
          <w:spacing w:val="-4"/>
          <w:sz w:val="24"/>
        </w:rPr>
        <w:t> </w:t>
      </w:r>
      <w:r>
        <w:rPr>
          <w:sz w:val="24"/>
        </w:rPr>
        <w:t>will</w:t>
      </w:r>
      <w:r>
        <w:rPr>
          <w:spacing w:val="-4"/>
          <w:sz w:val="24"/>
        </w:rPr>
        <w:t> </w:t>
      </w:r>
      <w:r>
        <w:rPr>
          <w:sz w:val="24"/>
        </w:rPr>
        <w:t>be</w:t>
      </w:r>
      <w:r>
        <w:rPr>
          <w:spacing w:val="-4"/>
          <w:sz w:val="24"/>
        </w:rPr>
        <w:t> </w:t>
      </w:r>
      <w:r>
        <w:rPr>
          <w:sz w:val="24"/>
        </w:rPr>
        <w:t>arranged</w:t>
      </w:r>
      <w:r>
        <w:rPr>
          <w:spacing w:val="-4"/>
          <w:sz w:val="24"/>
        </w:rPr>
        <w:t> </w:t>
      </w:r>
      <w:r>
        <w:rPr>
          <w:sz w:val="24"/>
        </w:rPr>
        <w:t>by</w:t>
      </w:r>
      <w:r>
        <w:rPr>
          <w:spacing w:val="-4"/>
          <w:sz w:val="24"/>
        </w:rPr>
        <w:t> </w:t>
      </w:r>
      <w:r>
        <w:rPr>
          <w:sz w:val="24"/>
        </w:rPr>
        <w:t>the</w:t>
      </w:r>
      <w:r>
        <w:rPr>
          <w:spacing w:val="-4"/>
          <w:sz w:val="24"/>
        </w:rPr>
        <w:t> </w:t>
      </w:r>
      <w:r>
        <w:rPr>
          <w:sz w:val="24"/>
        </w:rPr>
        <w:t>SLA</w:t>
      </w:r>
      <w:r>
        <w:rPr>
          <w:spacing w:val="-4"/>
          <w:sz w:val="24"/>
        </w:rPr>
        <w:t> </w:t>
      </w:r>
      <w:r>
        <w:rPr>
          <w:sz w:val="24"/>
        </w:rPr>
        <w:t>upon</w:t>
      </w:r>
      <w:r>
        <w:rPr>
          <w:spacing w:val="-4"/>
          <w:sz w:val="24"/>
        </w:rPr>
        <w:t> </w:t>
      </w:r>
      <w:r>
        <w:rPr>
          <w:sz w:val="24"/>
        </w:rPr>
        <w:t>the</w:t>
      </w:r>
      <w:r>
        <w:rPr>
          <w:spacing w:val="-4"/>
          <w:sz w:val="24"/>
        </w:rPr>
        <w:t> </w:t>
      </w:r>
      <w:r>
        <w:rPr>
          <w:sz w:val="24"/>
        </w:rPr>
        <w:t>request</w:t>
      </w:r>
      <w:r>
        <w:rPr>
          <w:spacing w:val="-3"/>
          <w:sz w:val="24"/>
        </w:rPr>
        <w:t> </w:t>
      </w:r>
      <w:r>
        <w:rPr>
          <w:sz w:val="24"/>
        </w:rPr>
        <w:t>of the licensed manager.</w:t>
      </w:r>
    </w:p>
    <w:p>
      <w:pPr>
        <w:pStyle w:val="ListParagraph"/>
        <w:numPr>
          <w:ilvl w:val="1"/>
          <w:numId w:val="393"/>
        </w:numPr>
        <w:tabs>
          <w:tab w:pos="1218" w:val="left" w:leader="none"/>
        </w:tabs>
        <w:spacing w:line="208" w:lineRule="auto" w:before="239" w:after="0"/>
        <w:ind w:left="792" w:right="934" w:firstLine="0"/>
        <w:jc w:val="both"/>
        <w:rPr>
          <w:sz w:val="24"/>
        </w:rPr>
      </w:pPr>
      <w:r>
        <w:rPr>
          <w:sz w:val="24"/>
        </w:rPr>
        <w:t>The</w:t>
      </w:r>
      <w:r>
        <w:rPr>
          <w:spacing w:val="-3"/>
          <w:sz w:val="24"/>
        </w:rPr>
        <w:t> </w:t>
      </w:r>
      <w:r>
        <w:rPr>
          <w:sz w:val="24"/>
        </w:rPr>
        <w:t>hearing</w:t>
      </w:r>
      <w:r>
        <w:rPr>
          <w:spacing w:val="-3"/>
          <w:sz w:val="24"/>
        </w:rPr>
        <w:t> </w:t>
      </w:r>
      <w:r>
        <w:rPr>
          <w:sz w:val="24"/>
        </w:rPr>
        <w:t>will</w:t>
      </w:r>
      <w:r>
        <w:rPr>
          <w:spacing w:val="-3"/>
          <w:sz w:val="24"/>
        </w:rPr>
        <w:t> </w:t>
      </w:r>
      <w:r>
        <w:rPr>
          <w:sz w:val="24"/>
        </w:rPr>
        <w:t>be</w:t>
      </w:r>
      <w:r>
        <w:rPr>
          <w:spacing w:val="-3"/>
          <w:sz w:val="24"/>
        </w:rPr>
        <w:t> </w:t>
      </w:r>
      <w:r>
        <w:rPr>
          <w:sz w:val="24"/>
        </w:rPr>
        <w:t>scheduled</w:t>
      </w:r>
      <w:r>
        <w:rPr>
          <w:spacing w:val="-3"/>
          <w:sz w:val="24"/>
        </w:rPr>
        <w:t> </w:t>
      </w:r>
      <w:r>
        <w:rPr>
          <w:sz w:val="24"/>
        </w:rPr>
        <w:t>by</w:t>
      </w:r>
      <w:r>
        <w:rPr>
          <w:spacing w:val="-3"/>
          <w:sz w:val="24"/>
        </w:rPr>
        <w:t> </w:t>
      </w:r>
      <w:r>
        <w:rPr>
          <w:sz w:val="24"/>
        </w:rPr>
        <w:t>the</w:t>
      </w:r>
      <w:r>
        <w:rPr>
          <w:spacing w:val="-3"/>
          <w:sz w:val="24"/>
        </w:rPr>
        <w:t> </w:t>
      </w:r>
      <w:r>
        <w:rPr>
          <w:sz w:val="24"/>
        </w:rPr>
        <w:t>SLA</w:t>
      </w:r>
      <w:r>
        <w:rPr>
          <w:spacing w:val="-3"/>
          <w:sz w:val="24"/>
        </w:rPr>
        <w:t> </w:t>
      </w:r>
      <w:r>
        <w:rPr>
          <w:sz w:val="24"/>
        </w:rPr>
        <w:t>for</w:t>
      </w:r>
      <w:r>
        <w:rPr>
          <w:spacing w:val="-2"/>
          <w:sz w:val="24"/>
        </w:rPr>
        <w:t> </w:t>
      </w:r>
      <w:r>
        <w:rPr>
          <w:sz w:val="24"/>
        </w:rPr>
        <w:t>a</w:t>
      </w:r>
      <w:r>
        <w:rPr>
          <w:spacing w:val="-4"/>
          <w:sz w:val="24"/>
        </w:rPr>
        <w:t> </w:t>
      </w:r>
      <w:r>
        <w:rPr>
          <w:sz w:val="24"/>
        </w:rPr>
        <w:t>time</w:t>
      </w:r>
      <w:r>
        <w:rPr>
          <w:spacing w:val="-3"/>
          <w:sz w:val="24"/>
        </w:rPr>
        <w:t> </w:t>
      </w:r>
      <w:r>
        <w:rPr>
          <w:sz w:val="24"/>
        </w:rPr>
        <w:t>and</w:t>
      </w:r>
      <w:r>
        <w:rPr>
          <w:spacing w:val="-3"/>
          <w:sz w:val="24"/>
        </w:rPr>
        <w:t> </w:t>
      </w:r>
      <w:r>
        <w:rPr>
          <w:sz w:val="24"/>
        </w:rPr>
        <w:t>place</w:t>
      </w:r>
      <w:r>
        <w:rPr>
          <w:spacing w:val="-3"/>
          <w:sz w:val="24"/>
        </w:rPr>
        <w:t> </w:t>
      </w:r>
      <w:r>
        <w:rPr>
          <w:sz w:val="24"/>
        </w:rPr>
        <w:t>convenient</w:t>
      </w:r>
      <w:r>
        <w:rPr>
          <w:spacing w:val="-2"/>
          <w:sz w:val="24"/>
        </w:rPr>
        <w:t> </w:t>
      </w:r>
      <w:r>
        <w:rPr>
          <w:sz w:val="24"/>
        </w:rPr>
        <w:t>and accessible</w:t>
      </w:r>
      <w:r>
        <w:rPr>
          <w:spacing w:val="-1"/>
          <w:sz w:val="24"/>
        </w:rPr>
        <w:t> </w:t>
      </w:r>
      <w:r>
        <w:rPr>
          <w:sz w:val="24"/>
        </w:rPr>
        <w:t>to</w:t>
      </w:r>
      <w:r>
        <w:rPr>
          <w:spacing w:val="-1"/>
          <w:sz w:val="24"/>
        </w:rPr>
        <w:t> </w:t>
      </w:r>
      <w:r>
        <w:rPr>
          <w:sz w:val="24"/>
        </w:rPr>
        <w:t>the</w:t>
      </w:r>
      <w:r>
        <w:rPr>
          <w:spacing w:val="-1"/>
          <w:sz w:val="24"/>
        </w:rPr>
        <w:t> </w:t>
      </w:r>
      <w:r>
        <w:rPr>
          <w:sz w:val="24"/>
        </w:rPr>
        <w:t>licensed</w:t>
      </w:r>
      <w:r>
        <w:rPr>
          <w:spacing w:val="-1"/>
          <w:sz w:val="24"/>
        </w:rPr>
        <w:t> </w:t>
      </w:r>
      <w:r>
        <w:rPr>
          <w:sz w:val="24"/>
        </w:rPr>
        <w:t>manager and</w:t>
      </w:r>
      <w:r>
        <w:rPr>
          <w:spacing w:val="-1"/>
          <w:sz w:val="24"/>
        </w:rPr>
        <w:t> </w:t>
      </w:r>
      <w:r>
        <w:rPr>
          <w:sz w:val="24"/>
        </w:rPr>
        <w:t>the</w:t>
      </w:r>
      <w:r>
        <w:rPr>
          <w:spacing w:val="-2"/>
          <w:sz w:val="24"/>
        </w:rPr>
        <w:t> </w:t>
      </w:r>
      <w:r>
        <w:rPr>
          <w:sz w:val="24"/>
        </w:rPr>
        <w:t>SLA</w:t>
      </w:r>
      <w:r>
        <w:rPr>
          <w:spacing w:val="-1"/>
          <w:sz w:val="24"/>
        </w:rPr>
        <w:t> </w:t>
      </w:r>
      <w:r>
        <w:rPr>
          <w:sz w:val="24"/>
        </w:rPr>
        <w:t>staff involved</w:t>
      </w:r>
      <w:r>
        <w:rPr>
          <w:spacing w:val="-1"/>
          <w:sz w:val="24"/>
        </w:rPr>
        <w:t> </w:t>
      </w:r>
      <w:r>
        <w:rPr>
          <w:sz w:val="24"/>
        </w:rPr>
        <w:t>in</w:t>
      </w:r>
      <w:r>
        <w:rPr>
          <w:spacing w:val="-1"/>
          <w:sz w:val="24"/>
        </w:rPr>
        <w:t> </w:t>
      </w:r>
      <w:r>
        <w:rPr>
          <w:sz w:val="24"/>
        </w:rPr>
        <w:t>the</w:t>
      </w:r>
      <w:r>
        <w:rPr>
          <w:spacing w:val="-1"/>
          <w:sz w:val="24"/>
        </w:rPr>
        <w:t> </w:t>
      </w:r>
      <w:r>
        <w:rPr>
          <w:sz w:val="24"/>
        </w:rPr>
        <w:t>hearing. The licensed</w:t>
      </w:r>
      <w:r>
        <w:rPr>
          <w:spacing w:val="-2"/>
          <w:sz w:val="24"/>
        </w:rPr>
        <w:t> </w:t>
      </w:r>
      <w:r>
        <w:rPr>
          <w:sz w:val="24"/>
        </w:rPr>
        <w:t>manager</w:t>
      </w:r>
      <w:r>
        <w:rPr>
          <w:spacing w:val="-1"/>
          <w:sz w:val="24"/>
        </w:rPr>
        <w:t> </w:t>
      </w:r>
      <w:r>
        <w:rPr>
          <w:sz w:val="24"/>
        </w:rPr>
        <w:t>will</w:t>
      </w:r>
      <w:r>
        <w:rPr>
          <w:spacing w:val="-1"/>
          <w:sz w:val="24"/>
        </w:rPr>
        <w:t> </w:t>
      </w:r>
      <w:r>
        <w:rPr>
          <w:sz w:val="24"/>
        </w:rPr>
        <w:t>be</w:t>
      </w:r>
      <w:r>
        <w:rPr>
          <w:spacing w:val="-2"/>
          <w:sz w:val="24"/>
        </w:rPr>
        <w:t> </w:t>
      </w:r>
      <w:r>
        <w:rPr>
          <w:sz w:val="24"/>
        </w:rPr>
        <w:t>notified</w:t>
      </w:r>
      <w:r>
        <w:rPr>
          <w:spacing w:val="-2"/>
          <w:sz w:val="24"/>
        </w:rPr>
        <w:t> </w:t>
      </w:r>
      <w:r>
        <w:rPr>
          <w:sz w:val="24"/>
        </w:rPr>
        <w:t>of</w:t>
      </w:r>
      <w:r>
        <w:rPr>
          <w:spacing w:val="-1"/>
          <w:sz w:val="24"/>
        </w:rPr>
        <w:t> </w:t>
      </w:r>
      <w:r>
        <w:rPr>
          <w:sz w:val="24"/>
        </w:rPr>
        <w:t>the</w:t>
      </w:r>
      <w:r>
        <w:rPr>
          <w:spacing w:val="-2"/>
          <w:sz w:val="24"/>
        </w:rPr>
        <w:t> </w:t>
      </w:r>
      <w:r>
        <w:rPr>
          <w:sz w:val="24"/>
        </w:rPr>
        <w:t>place</w:t>
      </w:r>
      <w:r>
        <w:rPr>
          <w:spacing w:val="-2"/>
          <w:sz w:val="24"/>
        </w:rPr>
        <w:t> </w:t>
      </w:r>
      <w:r>
        <w:rPr>
          <w:sz w:val="24"/>
        </w:rPr>
        <w:t>and</w:t>
      </w:r>
      <w:r>
        <w:rPr>
          <w:spacing w:val="-2"/>
          <w:sz w:val="24"/>
        </w:rPr>
        <w:t> </w:t>
      </w:r>
      <w:r>
        <w:rPr>
          <w:sz w:val="24"/>
        </w:rPr>
        <w:t>time</w:t>
      </w:r>
      <w:r>
        <w:rPr>
          <w:spacing w:val="-3"/>
          <w:sz w:val="24"/>
        </w:rPr>
        <w:t> </w:t>
      </w:r>
      <w:r>
        <w:rPr>
          <w:sz w:val="24"/>
        </w:rPr>
        <w:t>of</w:t>
      </w:r>
      <w:r>
        <w:rPr>
          <w:spacing w:val="-1"/>
          <w:sz w:val="24"/>
        </w:rPr>
        <w:t> </w:t>
      </w:r>
      <w:r>
        <w:rPr>
          <w:sz w:val="24"/>
        </w:rPr>
        <w:t>the</w:t>
      </w:r>
      <w:r>
        <w:rPr>
          <w:spacing w:val="-2"/>
          <w:sz w:val="24"/>
        </w:rPr>
        <w:t> </w:t>
      </w:r>
      <w:r>
        <w:rPr>
          <w:sz w:val="24"/>
        </w:rPr>
        <w:t>hearing</w:t>
      </w:r>
      <w:r>
        <w:rPr>
          <w:spacing w:val="-2"/>
          <w:sz w:val="24"/>
        </w:rPr>
        <w:t> </w:t>
      </w:r>
      <w:r>
        <w:rPr>
          <w:sz w:val="24"/>
        </w:rPr>
        <w:t>and</w:t>
      </w:r>
      <w:r>
        <w:rPr>
          <w:spacing w:val="-2"/>
          <w:sz w:val="24"/>
        </w:rPr>
        <w:t> </w:t>
      </w:r>
      <w:r>
        <w:rPr>
          <w:sz w:val="24"/>
        </w:rPr>
        <w:t>the</w:t>
      </w:r>
      <w:r>
        <w:rPr>
          <w:spacing w:val="-2"/>
          <w:sz w:val="24"/>
        </w:rPr>
        <w:t> </w:t>
      </w:r>
      <w:r>
        <w:rPr>
          <w:sz w:val="24"/>
        </w:rPr>
        <w:t>right to be represented by legal or other counsel in writing.</w:t>
      </w:r>
    </w:p>
    <w:p>
      <w:pPr>
        <w:pStyle w:val="ListParagraph"/>
        <w:numPr>
          <w:ilvl w:val="1"/>
          <w:numId w:val="393"/>
        </w:numPr>
        <w:tabs>
          <w:tab w:pos="1218" w:val="left" w:leader="none"/>
        </w:tabs>
        <w:spacing w:line="208" w:lineRule="auto" w:before="240" w:after="0"/>
        <w:ind w:left="792" w:right="1040" w:firstLine="0"/>
        <w:jc w:val="left"/>
        <w:rPr>
          <w:sz w:val="24"/>
        </w:rPr>
      </w:pPr>
      <w:r>
        <w:rPr>
          <w:sz w:val="24"/>
        </w:rPr>
        <w:t>The hearing will be conducted by an impartial and qualified official with no involvement</w:t>
      </w:r>
      <w:r>
        <w:rPr>
          <w:spacing w:val="-3"/>
          <w:sz w:val="24"/>
        </w:rPr>
        <w:t> </w:t>
      </w:r>
      <w:r>
        <w:rPr>
          <w:sz w:val="24"/>
        </w:rPr>
        <w:t>or</w:t>
      </w:r>
      <w:r>
        <w:rPr>
          <w:spacing w:val="-3"/>
          <w:sz w:val="24"/>
        </w:rPr>
        <w:t> </w:t>
      </w:r>
      <w:r>
        <w:rPr>
          <w:sz w:val="24"/>
        </w:rPr>
        <w:t>vested</w:t>
      </w:r>
      <w:r>
        <w:rPr>
          <w:spacing w:val="-4"/>
          <w:sz w:val="24"/>
        </w:rPr>
        <w:t> </w:t>
      </w:r>
      <w:r>
        <w:rPr>
          <w:sz w:val="24"/>
        </w:rPr>
        <w:t>interest</w:t>
      </w:r>
      <w:r>
        <w:rPr>
          <w:spacing w:val="-3"/>
          <w:sz w:val="24"/>
        </w:rPr>
        <w:t> </w:t>
      </w:r>
      <w:r>
        <w:rPr>
          <w:sz w:val="24"/>
        </w:rPr>
        <w:t>in</w:t>
      </w:r>
      <w:r>
        <w:rPr>
          <w:spacing w:val="-4"/>
          <w:sz w:val="24"/>
        </w:rPr>
        <w:t> </w:t>
      </w:r>
      <w:r>
        <w:rPr>
          <w:sz w:val="24"/>
        </w:rPr>
        <w:t>the</w:t>
      </w:r>
      <w:r>
        <w:rPr>
          <w:spacing w:val="-4"/>
          <w:sz w:val="24"/>
        </w:rPr>
        <w:t> </w:t>
      </w:r>
      <w:r>
        <w:rPr>
          <w:sz w:val="24"/>
        </w:rPr>
        <w:t>SLA,</w:t>
      </w:r>
      <w:r>
        <w:rPr>
          <w:spacing w:val="-3"/>
          <w:sz w:val="24"/>
        </w:rPr>
        <w:t> </w:t>
      </w:r>
      <w:r>
        <w:rPr>
          <w:sz w:val="24"/>
        </w:rPr>
        <w:t>action</w:t>
      </w:r>
      <w:r>
        <w:rPr>
          <w:spacing w:val="-4"/>
          <w:sz w:val="24"/>
        </w:rPr>
        <w:t> </w:t>
      </w:r>
      <w:r>
        <w:rPr>
          <w:sz w:val="24"/>
        </w:rPr>
        <w:t>at</w:t>
      </w:r>
      <w:r>
        <w:rPr>
          <w:spacing w:val="-3"/>
          <w:sz w:val="24"/>
        </w:rPr>
        <w:t> </w:t>
      </w:r>
      <w:r>
        <w:rPr>
          <w:sz w:val="24"/>
        </w:rPr>
        <w:t>issue,</w:t>
      </w:r>
      <w:r>
        <w:rPr>
          <w:spacing w:val="-3"/>
          <w:sz w:val="24"/>
        </w:rPr>
        <w:t> </w:t>
      </w:r>
      <w:r>
        <w:rPr>
          <w:sz w:val="24"/>
        </w:rPr>
        <w:t>or</w:t>
      </w:r>
      <w:r>
        <w:rPr>
          <w:spacing w:val="-3"/>
          <w:sz w:val="24"/>
        </w:rPr>
        <w:t> </w:t>
      </w:r>
      <w:r>
        <w:rPr>
          <w:sz w:val="24"/>
        </w:rPr>
        <w:t>with</w:t>
      </w:r>
      <w:r>
        <w:rPr>
          <w:spacing w:val="-4"/>
          <w:sz w:val="24"/>
        </w:rPr>
        <w:t> </w:t>
      </w:r>
      <w:r>
        <w:rPr>
          <w:sz w:val="24"/>
        </w:rPr>
        <w:t>the</w:t>
      </w:r>
      <w:r>
        <w:rPr>
          <w:spacing w:val="-4"/>
          <w:sz w:val="24"/>
        </w:rPr>
        <w:t> </w:t>
      </w:r>
      <w:r>
        <w:rPr>
          <w:sz w:val="24"/>
        </w:rPr>
        <w:t>operation</w:t>
      </w:r>
      <w:r>
        <w:rPr>
          <w:spacing w:val="-4"/>
          <w:sz w:val="24"/>
        </w:rPr>
        <w:t> </w:t>
      </w:r>
      <w:r>
        <w:rPr>
          <w:sz w:val="24"/>
        </w:rPr>
        <w:t>of the affected business enterprise. The presiding officer will conduct the hearing in</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791" w:right="775"/>
      </w:pPr>
      <w:r>
        <w:rPr/>
        <w:t>accordance</w:t>
      </w:r>
      <w:r>
        <w:rPr>
          <w:spacing w:val="-4"/>
        </w:rPr>
        <w:t> </w:t>
      </w:r>
      <w:r>
        <w:rPr/>
        <w:t>with</w:t>
      </w:r>
      <w:r>
        <w:rPr>
          <w:spacing w:val="-4"/>
        </w:rPr>
        <w:t> </w:t>
      </w:r>
      <w:r>
        <w:rPr/>
        <w:t>State</w:t>
      </w:r>
      <w:r>
        <w:rPr>
          <w:spacing w:val="-4"/>
        </w:rPr>
        <w:t> </w:t>
      </w:r>
      <w:r>
        <w:rPr/>
        <w:t>and/or</w:t>
      </w:r>
      <w:r>
        <w:rPr>
          <w:spacing w:val="-3"/>
        </w:rPr>
        <w:t> </w:t>
      </w:r>
      <w:r>
        <w:rPr/>
        <w:t>Federal</w:t>
      </w:r>
      <w:r>
        <w:rPr>
          <w:spacing w:val="-4"/>
        </w:rPr>
        <w:t> </w:t>
      </w:r>
      <w:r>
        <w:rPr/>
        <w:t>laws</w:t>
      </w:r>
      <w:r>
        <w:rPr>
          <w:spacing w:val="-3"/>
        </w:rPr>
        <w:t> </w:t>
      </w:r>
      <w:r>
        <w:rPr/>
        <w:t>and</w:t>
      </w:r>
      <w:r>
        <w:rPr>
          <w:spacing w:val="-4"/>
        </w:rPr>
        <w:t> </w:t>
      </w:r>
      <w:r>
        <w:rPr/>
        <w:t>rules</w:t>
      </w:r>
      <w:r>
        <w:rPr>
          <w:spacing w:val="-4"/>
        </w:rPr>
        <w:t> </w:t>
      </w:r>
      <w:r>
        <w:rPr/>
        <w:t>governing</w:t>
      </w:r>
      <w:r>
        <w:rPr>
          <w:spacing w:val="-4"/>
        </w:rPr>
        <w:t> </w:t>
      </w:r>
      <w:r>
        <w:rPr/>
        <w:t>the</w:t>
      </w:r>
      <w:r>
        <w:rPr>
          <w:spacing w:val="-4"/>
        </w:rPr>
        <w:t> </w:t>
      </w:r>
      <w:r>
        <w:rPr/>
        <w:t>conduct</w:t>
      </w:r>
      <w:r>
        <w:rPr>
          <w:spacing w:val="-3"/>
        </w:rPr>
        <w:t> </w:t>
      </w:r>
      <w:r>
        <w:rPr/>
        <w:t>of</w:t>
      </w:r>
      <w:r>
        <w:rPr>
          <w:spacing w:val="-3"/>
        </w:rPr>
        <w:t> </w:t>
      </w:r>
      <w:r>
        <w:rPr/>
        <w:t>such proceedings. In any case, the hearing will be conducted in a manner that avoids delay, maintains order, and provides for a full recording and reporting of the proceedings so that a full and true disclosure of the facts and issues occurs.</w:t>
      </w:r>
    </w:p>
    <w:p>
      <w:pPr>
        <w:pStyle w:val="ListParagraph"/>
        <w:numPr>
          <w:ilvl w:val="1"/>
          <w:numId w:val="393"/>
        </w:numPr>
        <w:tabs>
          <w:tab w:pos="1217" w:val="left" w:leader="none"/>
        </w:tabs>
        <w:spacing w:line="208" w:lineRule="auto" w:before="239" w:after="0"/>
        <w:ind w:left="791" w:right="728" w:firstLine="0"/>
        <w:jc w:val="left"/>
        <w:rPr>
          <w:sz w:val="24"/>
        </w:rPr>
      </w:pPr>
      <w:r>
        <w:rPr>
          <w:sz w:val="24"/>
        </w:rPr>
        <w:t>The</w:t>
      </w:r>
      <w:r>
        <w:rPr>
          <w:spacing w:val="-4"/>
          <w:sz w:val="24"/>
        </w:rPr>
        <w:t> </w:t>
      </w:r>
      <w:r>
        <w:rPr>
          <w:sz w:val="24"/>
        </w:rPr>
        <w:t>hearing</w:t>
      </w:r>
      <w:r>
        <w:rPr>
          <w:spacing w:val="-4"/>
          <w:sz w:val="24"/>
        </w:rPr>
        <w:t> </w:t>
      </w:r>
      <w:r>
        <w:rPr>
          <w:sz w:val="24"/>
        </w:rPr>
        <w:t>officer's</w:t>
      </w:r>
      <w:r>
        <w:rPr>
          <w:spacing w:val="-4"/>
          <w:sz w:val="24"/>
        </w:rPr>
        <w:t> </w:t>
      </w:r>
      <w:r>
        <w:rPr>
          <w:sz w:val="24"/>
        </w:rPr>
        <w:t>determination</w:t>
      </w:r>
      <w:r>
        <w:rPr>
          <w:spacing w:val="-4"/>
          <w:sz w:val="24"/>
        </w:rPr>
        <w:t> </w:t>
      </w:r>
      <w:r>
        <w:rPr>
          <w:sz w:val="24"/>
        </w:rPr>
        <w:t>will</w:t>
      </w:r>
      <w:r>
        <w:rPr>
          <w:spacing w:val="-3"/>
          <w:sz w:val="24"/>
        </w:rPr>
        <w:t> </w:t>
      </w:r>
      <w:r>
        <w:rPr>
          <w:sz w:val="24"/>
        </w:rPr>
        <w:t>be</w:t>
      </w:r>
      <w:r>
        <w:rPr>
          <w:spacing w:val="-4"/>
          <w:sz w:val="24"/>
        </w:rPr>
        <w:t> </w:t>
      </w:r>
      <w:r>
        <w:rPr>
          <w:sz w:val="24"/>
        </w:rPr>
        <w:t>based</w:t>
      </w:r>
      <w:r>
        <w:rPr>
          <w:spacing w:val="-4"/>
          <w:sz w:val="24"/>
        </w:rPr>
        <w:t> </w:t>
      </w:r>
      <w:r>
        <w:rPr>
          <w:sz w:val="24"/>
        </w:rPr>
        <w:t>upon</w:t>
      </w:r>
      <w:r>
        <w:rPr>
          <w:spacing w:val="-4"/>
          <w:sz w:val="24"/>
        </w:rPr>
        <w:t> </w:t>
      </w:r>
      <w:r>
        <w:rPr>
          <w:sz w:val="24"/>
        </w:rPr>
        <w:t>the</w:t>
      </w:r>
      <w:r>
        <w:rPr>
          <w:spacing w:val="-4"/>
          <w:sz w:val="24"/>
        </w:rPr>
        <w:t> </w:t>
      </w:r>
      <w:r>
        <w:rPr>
          <w:sz w:val="24"/>
        </w:rPr>
        <w:t>facts</w:t>
      </w:r>
      <w:r>
        <w:rPr>
          <w:spacing w:val="-4"/>
          <w:sz w:val="24"/>
        </w:rPr>
        <w:t> </w:t>
      </w:r>
      <w:r>
        <w:rPr>
          <w:sz w:val="24"/>
        </w:rPr>
        <w:t>as</w:t>
      </w:r>
      <w:r>
        <w:rPr>
          <w:spacing w:val="-4"/>
          <w:sz w:val="24"/>
        </w:rPr>
        <w:t> </w:t>
      </w:r>
      <w:r>
        <w:rPr>
          <w:sz w:val="24"/>
        </w:rPr>
        <w:t>presented</w:t>
      </w:r>
      <w:r>
        <w:rPr>
          <w:spacing w:val="-4"/>
          <w:sz w:val="24"/>
        </w:rPr>
        <w:t> </w:t>
      </w:r>
      <w:r>
        <w:rPr>
          <w:sz w:val="24"/>
        </w:rPr>
        <w:t>by both parties and upon applicable law and the existing rules of the SLA. The hearing officer does not have the power to rule upon the legality or construction of the rules themselves. The officer's decision will determine the relevant issues and facts to be ruled upon.</w:t>
      </w:r>
    </w:p>
    <w:p>
      <w:pPr>
        <w:pStyle w:val="ListParagraph"/>
        <w:numPr>
          <w:ilvl w:val="1"/>
          <w:numId w:val="393"/>
        </w:numPr>
        <w:tabs>
          <w:tab w:pos="1218" w:val="left" w:leader="none"/>
        </w:tabs>
        <w:spacing w:line="208" w:lineRule="auto" w:before="240" w:after="0"/>
        <w:ind w:left="792" w:right="759" w:firstLine="0"/>
        <w:jc w:val="left"/>
        <w:rPr>
          <w:sz w:val="24"/>
        </w:rPr>
      </w:pPr>
      <w:r>
        <w:rPr>
          <w:sz w:val="24"/>
        </w:rPr>
        <w:t>The hearing officer shall make a written report of the evidence presented, the laws</w:t>
      </w:r>
      <w:r>
        <w:rPr>
          <w:spacing w:val="-3"/>
          <w:sz w:val="24"/>
        </w:rPr>
        <w:t> </w:t>
      </w:r>
      <w:r>
        <w:rPr>
          <w:sz w:val="24"/>
        </w:rPr>
        <w:t>and</w:t>
      </w:r>
      <w:r>
        <w:rPr>
          <w:spacing w:val="-3"/>
          <w:sz w:val="24"/>
        </w:rPr>
        <w:t> </w:t>
      </w:r>
      <w:r>
        <w:rPr>
          <w:sz w:val="24"/>
        </w:rPr>
        <w:t>rules</w:t>
      </w:r>
      <w:r>
        <w:rPr>
          <w:spacing w:val="-3"/>
          <w:sz w:val="24"/>
        </w:rPr>
        <w:t> </w:t>
      </w:r>
      <w:r>
        <w:rPr>
          <w:sz w:val="24"/>
        </w:rPr>
        <w:t>used</w:t>
      </w:r>
      <w:r>
        <w:rPr>
          <w:spacing w:val="-3"/>
          <w:sz w:val="24"/>
        </w:rPr>
        <w:t> </w:t>
      </w:r>
      <w:r>
        <w:rPr>
          <w:sz w:val="24"/>
        </w:rPr>
        <w:t>in</w:t>
      </w:r>
      <w:r>
        <w:rPr>
          <w:spacing w:val="-3"/>
          <w:sz w:val="24"/>
        </w:rPr>
        <w:t> </w:t>
      </w:r>
      <w:r>
        <w:rPr>
          <w:sz w:val="24"/>
        </w:rPr>
        <w:t>determining</w:t>
      </w:r>
      <w:r>
        <w:rPr>
          <w:spacing w:val="-3"/>
          <w:sz w:val="24"/>
        </w:rPr>
        <w:t> </w:t>
      </w:r>
      <w:r>
        <w:rPr>
          <w:sz w:val="24"/>
        </w:rPr>
        <w:t>a</w:t>
      </w:r>
      <w:r>
        <w:rPr>
          <w:spacing w:val="-3"/>
          <w:sz w:val="24"/>
        </w:rPr>
        <w:t> </w:t>
      </w:r>
      <w:r>
        <w:rPr>
          <w:sz w:val="24"/>
        </w:rPr>
        <w:t>resolution,</w:t>
      </w:r>
      <w:r>
        <w:rPr>
          <w:spacing w:val="-3"/>
          <w:sz w:val="24"/>
        </w:rPr>
        <w:t> </w:t>
      </w:r>
      <w:r>
        <w:rPr>
          <w:sz w:val="24"/>
        </w:rPr>
        <w:t>and</w:t>
      </w:r>
      <w:r>
        <w:rPr>
          <w:spacing w:val="-3"/>
          <w:sz w:val="24"/>
        </w:rPr>
        <w:t> </w:t>
      </w:r>
      <w:r>
        <w:rPr>
          <w:sz w:val="24"/>
        </w:rPr>
        <w:t>the</w:t>
      </w:r>
      <w:r>
        <w:rPr>
          <w:spacing w:val="-3"/>
          <w:sz w:val="24"/>
        </w:rPr>
        <w:t> </w:t>
      </w:r>
      <w:r>
        <w:rPr>
          <w:sz w:val="24"/>
        </w:rPr>
        <w:t>resolution</w:t>
      </w:r>
      <w:r>
        <w:rPr>
          <w:spacing w:val="-3"/>
          <w:sz w:val="24"/>
        </w:rPr>
        <w:t> </w:t>
      </w:r>
      <w:r>
        <w:rPr>
          <w:sz w:val="24"/>
        </w:rPr>
        <w:t>itself.</w:t>
      </w:r>
      <w:r>
        <w:rPr>
          <w:spacing w:val="-3"/>
          <w:sz w:val="24"/>
        </w:rPr>
        <w:t> </w:t>
      </w:r>
      <w:r>
        <w:rPr>
          <w:sz w:val="24"/>
        </w:rPr>
        <w:t>This</w:t>
      </w:r>
      <w:r>
        <w:rPr>
          <w:spacing w:val="-3"/>
          <w:sz w:val="24"/>
        </w:rPr>
        <w:t> </w:t>
      </w:r>
      <w:r>
        <w:rPr>
          <w:sz w:val="24"/>
        </w:rPr>
        <w:t>report shall be issued to the BEP Operations Coordinator and the licensed manager, or his/her authorized representative within 15 calendar days of the conclusion of the full evidentiary hearing.</w:t>
      </w:r>
    </w:p>
    <w:p>
      <w:pPr>
        <w:pStyle w:val="ListParagraph"/>
        <w:numPr>
          <w:ilvl w:val="1"/>
          <w:numId w:val="393"/>
        </w:numPr>
        <w:tabs>
          <w:tab w:pos="1218" w:val="left" w:leader="none"/>
        </w:tabs>
        <w:spacing w:line="208" w:lineRule="auto" w:before="239" w:after="0"/>
        <w:ind w:left="792" w:right="929" w:firstLine="0"/>
        <w:jc w:val="left"/>
        <w:rPr>
          <w:sz w:val="24"/>
        </w:rPr>
      </w:pPr>
      <w:r>
        <w:rPr>
          <w:sz w:val="24"/>
        </w:rPr>
        <w:t>The</w:t>
      </w:r>
      <w:r>
        <w:rPr>
          <w:spacing w:val="-3"/>
          <w:sz w:val="24"/>
        </w:rPr>
        <w:t> </w:t>
      </w:r>
      <w:r>
        <w:rPr>
          <w:sz w:val="24"/>
        </w:rPr>
        <w:t>hearing</w:t>
      </w:r>
      <w:r>
        <w:rPr>
          <w:spacing w:val="-3"/>
          <w:sz w:val="24"/>
        </w:rPr>
        <w:t> </w:t>
      </w:r>
      <w:r>
        <w:rPr>
          <w:sz w:val="24"/>
        </w:rPr>
        <w:t>officer's</w:t>
      </w:r>
      <w:r>
        <w:rPr>
          <w:spacing w:val="-3"/>
          <w:sz w:val="24"/>
        </w:rPr>
        <w:t> </w:t>
      </w:r>
      <w:r>
        <w:rPr>
          <w:sz w:val="24"/>
        </w:rPr>
        <w:t>report</w:t>
      </w:r>
      <w:r>
        <w:rPr>
          <w:spacing w:val="-4"/>
          <w:sz w:val="24"/>
        </w:rPr>
        <w:t> </w:t>
      </w:r>
      <w:r>
        <w:rPr>
          <w:sz w:val="24"/>
        </w:rPr>
        <w:t>shall</w:t>
      </w:r>
      <w:r>
        <w:rPr>
          <w:spacing w:val="-3"/>
          <w:sz w:val="24"/>
        </w:rPr>
        <w:t> </w:t>
      </w:r>
      <w:r>
        <w:rPr>
          <w:sz w:val="24"/>
        </w:rPr>
        <w:t>be</w:t>
      </w:r>
      <w:r>
        <w:rPr>
          <w:spacing w:val="-3"/>
          <w:sz w:val="24"/>
        </w:rPr>
        <w:t> </w:t>
      </w:r>
      <w:r>
        <w:rPr>
          <w:sz w:val="24"/>
        </w:rPr>
        <w:t>issued</w:t>
      </w:r>
      <w:r>
        <w:rPr>
          <w:spacing w:val="-3"/>
          <w:sz w:val="24"/>
        </w:rPr>
        <w:t> </w:t>
      </w:r>
      <w:r>
        <w:rPr>
          <w:sz w:val="24"/>
        </w:rPr>
        <w:t>to</w:t>
      </w:r>
      <w:r>
        <w:rPr>
          <w:spacing w:val="-3"/>
          <w:sz w:val="24"/>
        </w:rPr>
        <w:t> </w:t>
      </w:r>
      <w:r>
        <w:rPr>
          <w:sz w:val="24"/>
        </w:rPr>
        <w:t>the</w:t>
      </w:r>
      <w:r>
        <w:rPr>
          <w:spacing w:val="-3"/>
          <w:sz w:val="24"/>
        </w:rPr>
        <w:t> </w:t>
      </w:r>
      <w:r>
        <w:rPr>
          <w:sz w:val="24"/>
        </w:rPr>
        <w:t>Director</w:t>
      </w:r>
      <w:r>
        <w:rPr>
          <w:spacing w:val="-2"/>
          <w:sz w:val="24"/>
        </w:rPr>
        <w:t> </w:t>
      </w:r>
      <w:r>
        <w:rPr>
          <w:sz w:val="24"/>
        </w:rPr>
        <w:t>of</w:t>
      </w:r>
      <w:r>
        <w:rPr>
          <w:spacing w:val="-4"/>
          <w:sz w:val="24"/>
        </w:rPr>
        <w:t> </w:t>
      </w:r>
      <w:r>
        <w:rPr>
          <w:sz w:val="24"/>
        </w:rPr>
        <w:t>the</w:t>
      </w:r>
      <w:r>
        <w:rPr>
          <w:spacing w:val="-3"/>
          <w:sz w:val="24"/>
        </w:rPr>
        <w:t> </w:t>
      </w:r>
      <w:r>
        <w:rPr>
          <w:sz w:val="24"/>
        </w:rPr>
        <w:t>SLA</w:t>
      </w:r>
      <w:r>
        <w:rPr>
          <w:spacing w:val="-3"/>
          <w:sz w:val="24"/>
        </w:rPr>
        <w:t> </w:t>
      </w:r>
      <w:r>
        <w:rPr>
          <w:sz w:val="24"/>
        </w:rPr>
        <w:t>within</w:t>
      </w:r>
      <w:r>
        <w:rPr>
          <w:spacing w:val="-3"/>
          <w:sz w:val="24"/>
        </w:rPr>
        <w:t> </w:t>
      </w:r>
      <w:r>
        <w:rPr>
          <w:sz w:val="24"/>
        </w:rPr>
        <w:t>15 calendar days of the conclusion of the full evidentiary hearing. The SLA Director issues his or her final written decision to the BEP Operations Coordinator and the licensed</w:t>
      </w:r>
      <w:r>
        <w:rPr>
          <w:spacing w:val="-3"/>
          <w:sz w:val="24"/>
        </w:rPr>
        <w:t> </w:t>
      </w:r>
      <w:r>
        <w:rPr>
          <w:sz w:val="24"/>
        </w:rPr>
        <w:t>manager</w:t>
      </w:r>
      <w:r>
        <w:rPr>
          <w:spacing w:val="-2"/>
          <w:sz w:val="24"/>
        </w:rPr>
        <w:t> </w:t>
      </w:r>
      <w:r>
        <w:rPr>
          <w:sz w:val="24"/>
        </w:rPr>
        <w:t>within</w:t>
      </w:r>
      <w:r>
        <w:rPr>
          <w:spacing w:val="-3"/>
          <w:sz w:val="24"/>
        </w:rPr>
        <w:t> </w:t>
      </w:r>
      <w:r>
        <w:rPr>
          <w:sz w:val="24"/>
        </w:rPr>
        <w:t>30</w:t>
      </w:r>
      <w:r>
        <w:rPr>
          <w:spacing w:val="-3"/>
          <w:sz w:val="24"/>
        </w:rPr>
        <w:t> </w:t>
      </w:r>
      <w:r>
        <w:rPr>
          <w:sz w:val="24"/>
        </w:rPr>
        <w:t>calendar</w:t>
      </w:r>
      <w:r>
        <w:rPr>
          <w:spacing w:val="-2"/>
          <w:sz w:val="24"/>
        </w:rPr>
        <w:t> </w:t>
      </w:r>
      <w:r>
        <w:rPr>
          <w:sz w:val="24"/>
        </w:rPr>
        <w:t>days</w:t>
      </w:r>
      <w:r>
        <w:rPr>
          <w:spacing w:val="-3"/>
          <w:sz w:val="24"/>
        </w:rPr>
        <w:t> </w:t>
      </w:r>
      <w:r>
        <w:rPr>
          <w:sz w:val="24"/>
        </w:rPr>
        <w:t>of</w:t>
      </w:r>
      <w:r>
        <w:rPr>
          <w:spacing w:val="-2"/>
          <w:sz w:val="24"/>
        </w:rPr>
        <w:t> </w:t>
      </w:r>
      <w:r>
        <w:rPr>
          <w:sz w:val="24"/>
        </w:rPr>
        <w:t>the</w:t>
      </w:r>
      <w:r>
        <w:rPr>
          <w:spacing w:val="-3"/>
          <w:sz w:val="24"/>
        </w:rPr>
        <w:t> </w:t>
      </w:r>
      <w:r>
        <w:rPr>
          <w:sz w:val="24"/>
        </w:rPr>
        <w:t>date</w:t>
      </w:r>
      <w:r>
        <w:rPr>
          <w:spacing w:val="-4"/>
          <w:sz w:val="24"/>
        </w:rPr>
        <w:t> </w:t>
      </w:r>
      <w:r>
        <w:rPr>
          <w:sz w:val="24"/>
        </w:rPr>
        <w:t>on</w:t>
      </w:r>
      <w:r>
        <w:rPr>
          <w:spacing w:val="-3"/>
          <w:sz w:val="24"/>
        </w:rPr>
        <w:t> </w:t>
      </w:r>
      <w:r>
        <w:rPr>
          <w:sz w:val="24"/>
        </w:rPr>
        <w:t>which</w:t>
      </w:r>
      <w:r>
        <w:rPr>
          <w:spacing w:val="-3"/>
          <w:sz w:val="24"/>
        </w:rPr>
        <w:t> </w:t>
      </w:r>
      <w:r>
        <w:rPr>
          <w:sz w:val="24"/>
        </w:rPr>
        <w:t>he</w:t>
      </w:r>
      <w:r>
        <w:rPr>
          <w:spacing w:val="-3"/>
          <w:sz w:val="24"/>
        </w:rPr>
        <w:t> </w:t>
      </w:r>
      <w:r>
        <w:rPr>
          <w:sz w:val="24"/>
        </w:rPr>
        <w:t>or</w:t>
      </w:r>
      <w:r>
        <w:rPr>
          <w:spacing w:val="-2"/>
          <w:sz w:val="24"/>
        </w:rPr>
        <w:t> </w:t>
      </w:r>
      <w:r>
        <w:rPr>
          <w:sz w:val="24"/>
        </w:rPr>
        <w:t>she</w:t>
      </w:r>
      <w:r>
        <w:rPr>
          <w:spacing w:val="-3"/>
          <w:sz w:val="24"/>
        </w:rPr>
        <w:t> </w:t>
      </w:r>
      <w:r>
        <w:rPr>
          <w:sz w:val="24"/>
        </w:rPr>
        <w:t>receives the hearing officer's report.</w:t>
      </w:r>
    </w:p>
    <w:p>
      <w:pPr>
        <w:pStyle w:val="ListParagraph"/>
        <w:numPr>
          <w:ilvl w:val="1"/>
          <w:numId w:val="393"/>
        </w:numPr>
        <w:tabs>
          <w:tab w:pos="1217" w:val="left" w:leader="none"/>
        </w:tabs>
        <w:spacing w:line="208" w:lineRule="auto" w:before="240" w:after="0"/>
        <w:ind w:left="792" w:right="868" w:firstLine="0"/>
        <w:jc w:val="left"/>
        <w:rPr>
          <w:sz w:val="24"/>
        </w:rPr>
      </w:pPr>
      <w:r>
        <w:rPr>
          <w:sz w:val="24"/>
        </w:rPr>
        <w:t>If</w:t>
      </w:r>
      <w:r>
        <w:rPr>
          <w:spacing w:val="-4"/>
          <w:sz w:val="24"/>
        </w:rPr>
        <w:t> </w:t>
      </w:r>
      <w:r>
        <w:rPr>
          <w:sz w:val="24"/>
        </w:rPr>
        <w:t>the</w:t>
      </w:r>
      <w:r>
        <w:rPr>
          <w:spacing w:val="-3"/>
          <w:sz w:val="24"/>
        </w:rPr>
        <w:t> </w:t>
      </w:r>
      <w:r>
        <w:rPr>
          <w:sz w:val="24"/>
        </w:rPr>
        <w:t>licensed</w:t>
      </w:r>
      <w:r>
        <w:rPr>
          <w:spacing w:val="-3"/>
          <w:sz w:val="24"/>
        </w:rPr>
        <w:t> </w:t>
      </w:r>
      <w:r>
        <w:rPr>
          <w:sz w:val="24"/>
        </w:rPr>
        <w:t>manager</w:t>
      </w:r>
      <w:r>
        <w:rPr>
          <w:spacing w:val="-2"/>
          <w:sz w:val="24"/>
        </w:rPr>
        <w:t> </w:t>
      </w:r>
      <w:r>
        <w:rPr>
          <w:sz w:val="24"/>
        </w:rPr>
        <w:t>is</w:t>
      </w:r>
      <w:r>
        <w:rPr>
          <w:spacing w:val="-3"/>
          <w:sz w:val="24"/>
        </w:rPr>
        <w:t> </w:t>
      </w:r>
      <w:r>
        <w:rPr>
          <w:sz w:val="24"/>
        </w:rPr>
        <w:t>dissatisfied</w:t>
      </w:r>
      <w:r>
        <w:rPr>
          <w:spacing w:val="-3"/>
          <w:sz w:val="24"/>
        </w:rPr>
        <w:t> </w:t>
      </w:r>
      <w:r>
        <w:rPr>
          <w:sz w:val="24"/>
        </w:rPr>
        <w:t>with</w:t>
      </w:r>
      <w:r>
        <w:rPr>
          <w:spacing w:val="-3"/>
          <w:sz w:val="24"/>
        </w:rPr>
        <w:t> </w:t>
      </w:r>
      <w:r>
        <w:rPr>
          <w:sz w:val="24"/>
        </w:rPr>
        <w:t>the</w:t>
      </w:r>
      <w:r>
        <w:rPr>
          <w:spacing w:val="-3"/>
          <w:sz w:val="24"/>
        </w:rPr>
        <w:t> </w:t>
      </w:r>
      <w:r>
        <w:rPr>
          <w:sz w:val="24"/>
        </w:rPr>
        <w:t>decision,</w:t>
      </w:r>
      <w:r>
        <w:rPr>
          <w:spacing w:val="-2"/>
          <w:sz w:val="24"/>
        </w:rPr>
        <w:t> </w:t>
      </w:r>
      <w:r>
        <w:rPr>
          <w:sz w:val="24"/>
        </w:rPr>
        <w:t>she</w:t>
      </w:r>
      <w:r>
        <w:rPr>
          <w:spacing w:val="-3"/>
          <w:sz w:val="24"/>
        </w:rPr>
        <w:t> </w:t>
      </w:r>
      <w:r>
        <w:rPr>
          <w:sz w:val="24"/>
        </w:rPr>
        <w:t>or</w:t>
      </w:r>
      <w:r>
        <w:rPr>
          <w:spacing w:val="-4"/>
          <w:sz w:val="24"/>
        </w:rPr>
        <w:t> </w:t>
      </w:r>
      <w:r>
        <w:rPr>
          <w:sz w:val="24"/>
        </w:rPr>
        <w:t>he</w:t>
      </w:r>
      <w:r>
        <w:rPr>
          <w:spacing w:val="-3"/>
          <w:sz w:val="24"/>
        </w:rPr>
        <w:t> </w:t>
      </w:r>
      <w:r>
        <w:rPr>
          <w:sz w:val="24"/>
        </w:rPr>
        <w:t>may</w:t>
      </w:r>
      <w:r>
        <w:rPr>
          <w:spacing w:val="-3"/>
          <w:sz w:val="24"/>
        </w:rPr>
        <w:t> </w:t>
      </w:r>
      <w:r>
        <w:rPr>
          <w:sz w:val="24"/>
        </w:rPr>
        <w:t>request that the Secretary (USDE) convene an arbitration panel.</w:t>
      </w:r>
    </w:p>
    <w:p>
      <w:pPr>
        <w:spacing w:before="244"/>
        <w:ind w:left="360" w:right="0" w:firstLine="0"/>
        <w:jc w:val="both"/>
        <w:rPr>
          <w:sz w:val="22"/>
        </w:rPr>
      </w:pPr>
      <w:r>
        <w:rPr>
          <w:sz w:val="22"/>
        </w:rPr>
        <w:t>Section</w:t>
      </w:r>
      <w:r>
        <w:rPr>
          <w:spacing w:val="-9"/>
          <w:sz w:val="22"/>
        </w:rPr>
        <w:t> </w:t>
      </w:r>
      <w:r>
        <w:rPr>
          <w:spacing w:val="-2"/>
          <w:sz w:val="22"/>
        </w:rPr>
        <w:t>History</w:t>
      </w:r>
    </w:p>
    <w:p>
      <w:pPr>
        <w:spacing w:line="253" w:lineRule="exact" w:before="0"/>
        <w:ind w:left="360" w:right="0" w:firstLine="0"/>
        <w:jc w:val="both"/>
        <w:rPr>
          <w:sz w:val="22"/>
        </w:rPr>
      </w:pPr>
      <w:r>
        <w:rPr>
          <w:sz w:val="22"/>
        </w:rPr>
        <w:t>7-1-97</w:t>
      </w:r>
      <w:r>
        <w:rPr>
          <w:spacing w:val="50"/>
          <w:w w:val="150"/>
          <w:sz w:val="22"/>
        </w:rPr>
        <w:t>   </w:t>
      </w:r>
      <w:r>
        <w:rPr>
          <w:sz w:val="22"/>
        </w:rPr>
        <w:t>PT</w:t>
      </w:r>
      <w:r>
        <w:rPr>
          <w:spacing w:val="-2"/>
          <w:sz w:val="22"/>
        </w:rPr>
        <w:t> </w:t>
      </w:r>
      <w:r>
        <w:rPr>
          <w:sz w:val="22"/>
        </w:rPr>
        <w:t>Memo</w:t>
      </w:r>
      <w:r>
        <w:rPr>
          <w:spacing w:val="-2"/>
          <w:sz w:val="22"/>
        </w:rPr>
        <w:t> </w:t>
      </w:r>
      <w:r>
        <w:rPr>
          <w:sz w:val="22"/>
        </w:rPr>
        <w:t>#97-</w:t>
      </w:r>
      <w:r>
        <w:rPr>
          <w:spacing w:val="-10"/>
          <w:sz w:val="22"/>
        </w:rPr>
        <w:t>9</w:t>
      </w:r>
    </w:p>
    <w:p>
      <w:pPr>
        <w:spacing w:before="0"/>
        <w:ind w:left="359" w:right="6600" w:firstLine="1080"/>
        <w:jc w:val="both"/>
        <w:rPr>
          <w:sz w:val="22"/>
        </w:rPr>
      </w:pPr>
      <w:r>
        <w:rPr>
          <w:sz w:val="22"/>
        </w:rPr>
        <w:t>Permanent,</w:t>
      </w:r>
      <w:r>
        <w:rPr>
          <w:spacing w:val="-16"/>
          <w:sz w:val="22"/>
        </w:rPr>
        <w:t> </w:t>
      </w:r>
      <w:r>
        <w:rPr>
          <w:sz w:val="22"/>
        </w:rPr>
        <w:t>new</w:t>
      </w:r>
      <w:r>
        <w:rPr>
          <w:spacing w:val="-15"/>
          <w:sz w:val="22"/>
        </w:rPr>
        <w:t> </w:t>
      </w:r>
      <w:r>
        <w:rPr>
          <w:sz w:val="22"/>
        </w:rPr>
        <w:t>Section 7-1-05</w:t>
      </w:r>
      <w:r>
        <w:rPr>
          <w:spacing w:val="80"/>
          <w:w w:val="150"/>
          <w:sz w:val="22"/>
        </w:rPr>
        <w:t>  </w:t>
      </w:r>
      <w:r>
        <w:rPr>
          <w:sz w:val="22"/>
        </w:rPr>
        <w:t>PT Memo #06-01</w:t>
      </w:r>
    </w:p>
    <w:p>
      <w:pPr>
        <w:spacing w:before="0"/>
        <w:ind w:left="359" w:right="6038" w:firstLine="1080"/>
        <w:jc w:val="both"/>
        <w:rPr>
          <w:sz w:val="22"/>
        </w:rPr>
      </w:pPr>
      <w:r>
        <w:rPr>
          <w:sz w:val="22"/>
        </w:rPr>
        <w:t>Permanent,</w:t>
      </w:r>
      <w:r>
        <w:rPr>
          <w:spacing w:val="-6"/>
          <w:sz w:val="22"/>
        </w:rPr>
        <w:t> </w:t>
      </w:r>
      <w:r>
        <w:rPr>
          <w:sz w:val="22"/>
        </w:rPr>
        <w:t>cleanup</w:t>
      </w:r>
      <w:r>
        <w:rPr>
          <w:spacing w:val="-7"/>
          <w:sz w:val="22"/>
        </w:rPr>
        <w:t> </w:t>
      </w:r>
      <w:r>
        <w:rPr>
          <w:sz w:val="22"/>
        </w:rPr>
        <w:t>language 7-1-12</w:t>
      </w:r>
      <w:r>
        <w:rPr>
          <w:spacing w:val="80"/>
          <w:sz w:val="22"/>
        </w:rPr>
        <w:t>  </w:t>
      </w:r>
      <w:r>
        <w:rPr>
          <w:sz w:val="22"/>
        </w:rPr>
        <w:t>Permanent,</w:t>
      </w:r>
      <w:r>
        <w:rPr>
          <w:spacing w:val="-4"/>
          <w:sz w:val="22"/>
        </w:rPr>
        <w:t> </w:t>
      </w:r>
      <w:r>
        <w:rPr>
          <w:sz w:val="22"/>
        </w:rPr>
        <w:t>updated</w:t>
      </w:r>
      <w:r>
        <w:rPr>
          <w:spacing w:val="-5"/>
          <w:sz w:val="22"/>
        </w:rPr>
        <w:t> </w:t>
      </w:r>
      <w:r>
        <w:rPr>
          <w:sz w:val="22"/>
        </w:rPr>
        <w:t>language 9-12-14</w:t>
      </w:r>
      <w:r>
        <w:rPr>
          <w:spacing w:val="58"/>
          <w:w w:val="150"/>
          <w:sz w:val="22"/>
        </w:rPr>
        <w:t>  </w:t>
      </w:r>
      <w:r>
        <w:rPr>
          <w:sz w:val="22"/>
        </w:rPr>
        <w:t>Permanent,</w:t>
      </w:r>
      <w:r>
        <w:rPr>
          <w:spacing w:val="-3"/>
          <w:sz w:val="22"/>
        </w:rPr>
        <w:t> </w:t>
      </w:r>
      <w:r>
        <w:rPr>
          <w:sz w:val="22"/>
        </w:rPr>
        <w:t>updated</w:t>
      </w:r>
      <w:r>
        <w:rPr>
          <w:spacing w:val="-4"/>
          <w:sz w:val="22"/>
        </w:rPr>
        <w:t> </w:t>
      </w:r>
      <w:r>
        <w:rPr>
          <w:spacing w:val="-2"/>
          <w:sz w:val="22"/>
        </w:rPr>
        <w:t>language</w:t>
      </w:r>
    </w:p>
    <w:p>
      <w:pPr>
        <w:spacing w:before="1"/>
        <w:ind w:left="1439" w:right="855" w:hanging="1080"/>
        <w:jc w:val="both"/>
        <w:rPr>
          <w:sz w:val="22"/>
        </w:rPr>
      </w:pPr>
      <w:r>
        <w:rPr>
          <w:sz w:val="22"/>
        </w:rPr>
        <w:t>8-27-15</w:t>
      </w:r>
      <w:r>
        <w:rPr>
          <w:spacing w:val="40"/>
          <w:sz w:val="22"/>
        </w:rPr>
        <w:t>  </w:t>
      </w:r>
      <w:r>
        <w:rPr>
          <w:sz w:val="22"/>
        </w:rPr>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Visual</w:t>
      </w:r>
      <w:r>
        <w:rPr>
          <w:spacing w:val="-3"/>
          <w:sz w:val="22"/>
        </w:rPr>
        <w:t> </w:t>
      </w:r>
      <w:r>
        <w:rPr>
          <w:sz w:val="22"/>
        </w:rPr>
        <w:t>Services</w:t>
      </w:r>
      <w:r>
        <w:rPr>
          <w:spacing w:val="-3"/>
          <w:sz w:val="22"/>
        </w:rPr>
        <w:t> </w:t>
      </w:r>
      <w:r>
        <w:rPr>
          <w:sz w:val="22"/>
        </w:rPr>
        <w:t>to</w:t>
      </w:r>
      <w:r>
        <w:rPr>
          <w:spacing w:val="-4"/>
          <w:sz w:val="22"/>
        </w:rPr>
        <w:t> </w:t>
      </w:r>
      <w:r>
        <w:rPr>
          <w:sz w:val="22"/>
        </w:rPr>
        <w:t>Vocational</w:t>
      </w:r>
      <w:r>
        <w:rPr>
          <w:spacing w:val="-3"/>
          <w:sz w:val="22"/>
        </w:rPr>
        <w:t> </w:t>
      </w:r>
      <w:r>
        <w:rPr>
          <w:sz w:val="22"/>
        </w:rPr>
        <w:t>Rehabilitation</w:t>
      </w:r>
      <w:r>
        <w:rPr>
          <w:spacing w:val="-4"/>
          <w:sz w:val="22"/>
        </w:rPr>
        <w:t> </w:t>
      </w:r>
      <w:r>
        <w:rPr>
          <w:sz w:val="22"/>
        </w:rPr>
        <w:t>for</w:t>
      </w:r>
      <w:r>
        <w:rPr>
          <w:spacing w:val="-3"/>
          <w:sz w:val="22"/>
        </w:rPr>
        <w:t> </w:t>
      </w:r>
      <w:r>
        <w:rPr>
          <w:sz w:val="22"/>
        </w:rPr>
        <w:t>the</w:t>
      </w:r>
      <w:r>
        <w:rPr>
          <w:spacing w:val="-3"/>
          <w:sz w:val="22"/>
        </w:rPr>
        <w:t> </w:t>
      </w:r>
      <w:r>
        <w:rPr>
          <w:sz w:val="22"/>
        </w:rPr>
        <w:t>Blind</w:t>
      </w:r>
      <w:r>
        <w:rPr>
          <w:spacing w:val="-3"/>
          <w:sz w:val="22"/>
        </w:rPr>
        <w:t> </w:t>
      </w:r>
      <w:r>
        <w:rPr>
          <w:sz w:val="22"/>
        </w:rPr>
        <w:t>&amp; Visually Impaired.</w:t>
      </w:r>
    </w:p>
    <w:p>
      <w:pPr>
        <w:spacing w:before="0"/>
        <w:ind w:left="1439" w:right="1370" w:firstLine="0"/>
        <w:jc w:val="both"/>
        <w:rPr>
          <w:sz w:val="22"/>
        </w:rPr>
      </w:pPr>
      <w:r>
        <w:rPr>
          <w:sz w:val="22"/>
        </w:rPr>
        <w:t>Deleted</w:t>
      </w:r>
      <w:r>
        <w:rPr>
          <w:spacing w:val="-4"/>
          <w:sz w:val="22"/>
        </w:rPr>
        <w:t> </w:t>
      </w:r>
      <w:r>
        <w:rPr>
          <w:sz w:val="22"/>
        </w:rPr>
        <w:t>language</w:t>
      </w:r>
      <w:r>
        <w:rPr>
          <w:spacing w:val="-4"/>
          <w:sz w:val="22"/>
        </w:rPr>
        <w:t> </w:t>
      </w:r>
      <w:r>
        <w:rPr>
          <w:sz w:val="22"/>
        </w:rPr>
        <w:t>from</w:t>
      </w:r>
      <w:r>
        <w:rPr>
          <w:spacing w:val="-5"/>
          <w:sz w:val="22"/>
        </w:rPr>
        <w:t> </w:t>
      </w:r>
      <w:r>
        <w:rPr>
          <w:sz w:val="22"/>
        </w:rPr>
        <w:t>section</w:t>
      </w:r>
      <w:r>
        <w:rPr>
          <w:spacing w:val="-4"/>
          <w:sz w:val="22"/>
        </w:rPr>
        <w:t> </w:t>
      </w:r>
      <w:r>
        <w:rPr>
          <w:sz w:val="22"/>
        </w:rPr>
        <w:t>(c),</w:t>
      </w:r>
      <w:r>
        <w:rPr>
          <w:spacing w:val="-5"/>
          <w:sz w:val="22"/>
        </w:rPr>
        <w:t> </w:t>
      </w:r>
      <w:r>
        <w:rPr>
          <w:sz w:val="22"/>
        </w:rPr>
        <w:t>subsection</w:t>
      </w:r>
      <w:r>
        <w:rPr>
          <w:spacing w:val="-4"/>
          <w:sz w:val="22"/>
        </w:rPr>
        <w:t> </w:t>
      </w:r>
      <w:r>
        <w:rPr>
          <w:sz w:val="22"/>
        </w:rPr>
        <w:t>(1)</w:t>
      </w:r>
      <w:r>
        <w:rPr>
          <w:spacing w:val="-4"/>
          <w:sz w:val="22"/>
        </w:rPr>
        <w:t> </w:t>
      </w:r>
      <w:r>
        <w:rPr>
          <w:sz w:val="22"/>
        </w:rPr>
        <w:t>regarding</w:t>
      </w:r>
      <w:r>
        <w:rPr>
          <w:spacing w:val="-4"/>
          <w:sz w:val="22"/>
        </w:rPr>
        <w:t> </w:t>
      </w:r>
      <w:r>
        <w:rPr>
          <w:sz w:val="22"/>
        </w:rPr>
        <w:t>the</w:t>
      </w:r>
      <w:r>
        <w:rPr>
          <w:spacing w:val="-4"/>
          <w:sz w:val="22"/>
        </w:rPr>
        <w:t> </w:t>
      </w:r>
      <w:r>
        <w:rPr>
          <w:sz w:val="22"/>
        </w:rPr>
        <w:t>DRS</w:t>
      </w:r>
      <w:r>
        <w:rPr>
          <w:spacing w:val="-4"/>
          <w:sz w:val="22"/>
        </w:rPr>
        <w:t> </w:t>
      </w:r>
      <w:r>
        <w:rPr>
          <w:sz w:val="22"/>
        </w:rPr>
        <w:t>Hearings </w:t>
      </w:r>
      <w:r>
        <w:rPr>
          <w:spacing w:val="-2"/>
          <w:sz w:val="22"/>
        </w:rPr>
        <w:t>Coordinator.</w:t>
      </w:r>
    </w:p>
    <w:p>
      <w:pPr>
        <w:spacing w:before="0"/>
        <w:ind w:left="1439" w:right="927" w:hanging="1080"/>
        <w:jc w:val="both"/>
        <w:rPr>
          <w:sz w:val="22"/>
        </w:rPr>
      </w:pPr>
      <w:r>
        <w:rPr>
          <w:sz w:val="22"/>
        </w:rPr>
        <w:t>9-11-17</w:t>
      </w:r>
      <w:r>
        <w:rPr>
          <w:spacing w:val="80"/>
          <w:sz w:val="22"/>
        </w:rPr>
        <w:t>  </w:t>
      </w:r>
      <w:r>
        <w:rPr>
          <w:sz w:val="22"/>
        </w:rPr>
        <w:t>Division</w:t>
      </w:r>
      <w:r>
        <w:rPr>
          <w:spacing w:val="-3"/>
          <w:sz w:val="22"/>
        </w:rPr>
        <w:t> </w:t>
      </w:r>
      <w:r>
        <w:rPr>
          <w:sz w:val="22"/>
        </w:rPr>
        <w:t>name</w:t>
      </w:r>
      <w:r>
        <w:rPr>
          <w:spacing w:val="-3"/>
          <w:sz w:val="22"/>
        </w:rPr>
        <w:t> </w:t>
      </w:r>
      <w:r>
        <w:rPr>
          <w:sz w:val="22"/>
        </w:rPr>
        <w:t>change</w:t>
      </w:r>
      <w:r>
        <w:rPr>
          <w:spacing w:val="-3"/>
          <w:sz w:val="22"/>
        </w:rPr>
        <w:t> </w:t>
      </w:r>
      <w:r>
        <w:rPr>
          <w:sz w:val="22"/>
        </w:rPr>
        <w:t>of</w:t>
      </w:r>
      <w:r>
        <w:rPr>
          <w:spacing w:val="-3"/>
          <w:sz w:val="22"/>
        </w:rPr>
        <w:t> </w:t>
      </w:r>
      <w:r>
        <w:rPr>
          <w:sz w:val="22"/>
        </w:rPr>
        <w:t>Vocational</w:t>
      </w:r>
      <w:r>
        <w:rPr>
          <w:spacing w:val="-3"/>
          <w:sz w:val="22"/>
        </w:rPr>
        <w:t> </w:t>
      </w:r>
      <w:r>
        <w:rPr>
          <w:sz w:val="22"/>
        </w:rPr>
        <w:t>Rehabilitation</w:t>
      </w:r>
      <w:r>
        <w:rPr>
          <w:spacing w:val="-3"/>
          <w:sz w:val="22"/>
        </w:rPr>
        <w:t> </w:t>
      </w:r>
      <w:r>
        <w:rPr>
          <w:sz w:val="22"/>
        </w:rPr>
        <w:t>for</w:t>
      </w:r>
      <w:r>
        <w:rPr>
          <w:spacing w:val="-3"/>
          <w:sz w:val="22"/>
        </w:rPr>
        <w:t> </w:t>
      </w:r>
      <w:r>
        <w:rPr>
          <w:sz w:val="22"/>
        </w:rPr>
        <w:t>the</w:t>
      </w:r>
      <w:r>
        <w:rPr>
          <w:spacing w:val="-3"/>
          <w:sz w:val="22"/>
        </w:rPr>
        <w:t> </w:t>
      </w:r>
      <w:r>
        <w:rPr>
          <w:sz w:val="22"/>
        </w:rPr>
        <w:t>Blind</w:t>
      </w:r>
      <w:r>
        <w:rPr>
          <w:spacing w:val="-3"/>
          <w:sz w:val="22"/>
        </w:rPr>
        <w:t> </w:t>
      </w:r>
      <w:r>
        <w:rPr>
          <w:sz w:val="22"/>
        </w:rPr>
        <w:t>&amp;</w:t>
      </w:r>
      <w:r>
        <w:rPr>
          <w:spacing w:val="-3"/>
          <w:sz w:val="22"/>
        </w:rPr>
        <w:t> </w:t>
      </w:r>
      <w:r>
        <w:rPr>
          <w:sz w:val="22"/>
        </w:rPr>
        <w:t>Visually</w:t>
      </w:r>
      <w:r>
        <w:rPr>
          <w:spacing w:val="-3"/>
          <w:sz w:val="22"/>
        </w:rPr>
        <w:t> </w:t>
      </w:r>
      <w:r>
        <w:rPr>
          <w:sz w:val="22"/>
        </w:rPr>
        <w:t>Impaired to Visual Services.</w:t>
      </w:r>
    </w:p>
    <w:p>
      <w:pPr>
        <w:spacing w:after="0"/>
        <w:jc w:val="both"/>
        <w:rPr>
          <w:sz w:val="22"/>
        </w:rPr>
        <w:sectPr>
          <w:pgSz w:w="12240" w:h="15840"/>
          <w:pgMar w:top="1340" w:bottom="280" w:left="1080" w:right="720"/>
        </w:sectPr>
      </w:pPr>
    </w:p>
    <w:p>
      <w:pPr>
        <w:pStyle w:val="Heading2"/>
      </w:pPr>
      <w:bookmarkStart w:name="612:25-4-75.  Arbitration of complaints " w:id="417"/>
      <w:bookmarkEnd w:id="417"/>
      <w:r>
        <w:rPr>
          <w:b w:val="0"/>
        </w:rPr>
      </w:r>
      <w:r>
        <w:rPr/>
        <w:t>612:25-4-75.</w:t>
      </w:r>
      <w:r>
        <w:rPr>
          <w:spacing w:val="58"/>
        </w:rPr>
        <w:t> </w:t>
      </w:r>
      <w:r>
        <w:rPr/>
        <w:t>Arbitration</w:t>
      </w:r>
      <w:r>
        <w:rPr>
          <w:spacing w:val="-4"/>
        </w:rPr>
        <w:t> </w:t>
      </w:r>
      <w:r>
        <w:rPr/>
        <w:t>of</w:t>
      </w:r>
      <w:r>
        <w:rPr>
          <w:spacing w:val="-3"/>
        </w:rPr>
        <w:t> </w:t>
      </w:r>
      <w:r>
        <w:rPr/>
        <w:t>complaints</w:t>
      </w:r>
      <w:r>
        <w:rPr>
          <w:spacing w:val="-4"/>
        </w:rPr>
        <w:t> </w:t>
      </w:r>
      <w:r>
        <w:rPr/>
        <w:t>after</w:t>
      </w:r>
      <w:r>
        <w:rPr>
          <w:spacing w:val="-4"/>
        </w:rPr>
        <w:t> </w:t>
      </w:r>
      <w:r>
        <w:rPr/>
        <w:t>the</w:t>
      </w:r>
      <w:r>
        <w:rPr>
          <w:spacing w:val="-4"/>
        </w:rPr>
        <w:t> </w:t>
      </w:r>
      <w:r>
        <w:rPr/>
        <w:t>evidentiary</w:t>
      </w:r>
      <w:r>
        <w:rPr>
          <w:spacing w:val="-4"/>
        </w:rPr>
        <w:t> </w:t>
      </w:r>
      <w:r>
        <w:rPr>
          <w:spacing w:val="-2"/>
        </w:rPr>
        <w:t>hearing</w:t>
      </w:r>
    </w:p>
    <w:p>
      <w:pPr>
        <w:pStyle w:val="ListParagraph"/>
        <w:numPr>
          <w:ilvl w:val="0"/>
          <w:numId w:val="394"/>
        </w:numPr>
        <w:tabs>
          <w:tab w:pos="786" w:val="left" w:leader="none"/>
        </w:tabs>
        <w:spacing w:line="208" w:lineRule="auto" w:before="233" w:after="0"/>
        <w:ind w:left="360" w:right="901" w:firstLine="0"/>
        <w:jc w:val="left"/>
        <w:rPr>
          <w:sz w:val="24"/>
        </w:rPr>
      </w:pPr>
      <w:r>
        <w:rPr>
          <w:sz w:val="24"/>
        </w:rPr>
        <w:t>The licensed manager has the right to file a request for arbitration with the Secretary</w:t>
      </w:r>
      <w:r>
        <w:rPr>
          <w:spacing w:val="-4"/>
          <w:sz w:val="24"/>
        </w:rPr>
        <w:t> </w:t>
      </w:r>
      <w:r>
        <w:rPr>
          <w:sz w:val="24"/>
        </w:rPr>
        <w:t>(USDE)</w:t>
      </w:r>
      <w:r>
        <w:rPr>
          <w:spacing w:val="-3"/>
          <w:sz w:val="24"/>
        </w:rPr>
        <w:t> </w:t>
      </w:r>
      <w:r>
        <w:rPr>
          <w:sz w:val="24"/>
        </w:rPr>
        <w:t>if</w:t>
      </w:r>
      <w:r>
        <w:rPr>
          <w:spacing w:val="-3"/>
          <w:sz w:val="24"/>
        </w:rPr>
        <w:t> </w:t>
      </w:r>
      <w:r>
        <w:rPr>
          <w:sz w:val="24"/>
        </w:rPr>
        <w:t>dissatisfied</w:t>
      </w:r>
      <w:r>
        <w:rPr>
          <w:spacing w:val="-4"/>
          <w:sz w:val="24"/>
        </w:rPr>
        <w:t> </w:t>
      </w:r>
      <w:r>
        <w:rPr>
          <w:sz w:val="24"/>
        </w:rPr>
        <w:t>with</w:t>
      </w:r>
      <w:r>
        <w:rPr>
          <w:spacing w:val="-4"/>
          <w:sz w:val="24"/>
        </w:rPr>
        <w:t> </w:t>
      </w:r>
      <w:r>
        <w:rPr>
          <w:sz w:val="24"/>
        </w:rPr>
        <w:t>the</w:t>
      </w:r>
      <w:r>
        <w:rPr>
          <w:spacing w:val="-4"/>
          <w:sz w:val="24"/>
        </w:rPr>
        <w:t> </w:t>
      </w:r>
      <w:r>
        <w:rPr>
          <w:sz w:val="24"/>
        </w:rPr>
        <w:t>outcome</w:t>
      </w:r>
      <w:r>
        <w:rPr>
          <w:spacing w:val="-4"/>
          <w:sz w:val="24"/>
        </w:rPr>
        <w:t> </w:t>
      </w:r>
      <w:r>
        <w:rPr>
          <w:sz w:val="24"/>
        </w:rPr>
        <w:t>of</w:t>
      </w:r>
      <w:r>
        <w:rPr>
          <w:spacing w:val="-3"/>
          <w:sz w:val="24"/>
        </w:rPr>
        <w:t> </w:t>
      </w:r>
      <w:r>
        <w:rPr>
          <w:sz w:val="24"/>
        </w:rPr>
        <w:t>the</w:t>
      </w:r>
      <w:r>
        <w:rPr>
          <w:spacing w:val="-4"/>
          <w:sz w:val="24"/>
        </w:rPr>
        <w:t> </w:t>
      </w:r>
      <w:r>
        <w:rPr>
          <w:sz w:val="24"/>
        </w:rPr>
        <w:t>evidentiary</w:t>
      </w:r>
      <w:r>
        <w:rPr>
          <w:spacing w:val="-4"/>
          <w:sz w:val="24"/>
        </w:rPr>
        <w:t> </w:t>
      </w:r>
      <w:r>
        <w:rPr>
          <w:sz w:val="24"/>
        </w:rPr>
        <w:t>hearing.</w:t>
      </w:r>
      <w:r>
        <w:rPr>
          <w:spacing w:val="-5"/>
          <w:sz w:val="24"/>
        </w:rPr>
        <w:t> </w:t>
      </w:r>
      <w:r>
        <w:rPr>
          <w:sz w:val="24"/>
        </w:rPr>
        <w:t>By</w:t>
      </w:r>
      <w:r>
        <w:rPr>
          <w:spacing w:val="-4"/>
          <w:sz w:val="24"/>
        </w:rPr>
        <w:t> </w:t>
      </w:r>
      <w:r>
        <w:rPr>
          <w:sz w:val="24"/>
        </w:rPr>
        <w:t>filing</w:t>
      </w:r>
      <w:r>
        <w:rPr>
          <w:spacing w:val="-4"/>
          <w:sz w:val="24"/>
        </w:rPr>
        <w:t> </w:t>
      </w:r>
      <w:r>
        <w:rPr>
          <w:sz w:val="24"/>
        </w:rPr>
        <w:t>a complaint with the Secretary, the licensed manager consents to the release of information necessary for the conduct of an ad hoc arbitration panel.</w:t>
      </w:r>
    </w:p>
    <w:p>
      <w:pPr>
        <w:pStyle w:val="ListParagraph"/>
        <w:numPr>
          <w:ilvl w:val="0"/>
          <w:numId w:val="394"/>
        </w:numPr>
        <w:tabs>
          <w:tab w:pos="786" w:val="left" w:leader="none"/>
        </w:tabs>
        <w:spacing w:line="240" w:lineRule="auto" w:before="210" w:after="0"/>
        <w:ind w:left="786" w:right="0" w:hanging="426"/>
        <w:jc w:val="left"/>
        <w:rPr>
          <w:sz w:val="24"/>
        </w:rPr>
      </w:pPr>
      <w:r>
        <w:rPr>
          <w:sz w:val="24"/>
        </w:rPr>
        <w:t>The</w:t>
      </w:r>
      <w:r>
        <w:rPr>
          <w:spacing w:val="-5"/>
          <w:sz w:val="24"/>
        </w:rPr>
        <w:t> </w:t>
      </w:r>
      <w:r>
        <w:rPr>
          <w:sz w:val="24"/>
        </w:rPr>
        <w:t>complaint</w:t>
      </w:r>
      <w:r>
        <w:rPr>
          <w:spacing w:val="-1"/>
          <w:sz w:val="24"/>
        </w:rPr>
        <w:t> </w:t>
      </w:r>
      <w:r>
        <w:rPr>
          <w:sz w:val="24"/>
        </w:rPr>
        <w:t>must</w:t>
      </w:r>
      <w:r>
        <w:rPr>
          <w:spacing w:val="-2"/>
          <w:sz w:val="24"/>
        </w:rPr>
        <w:t> </w:t>
      </w:r>
      <w:r>
        <w:rPr>
          <w:sz w:val="24"/>
        </w:rPr>
        <w:t>be</w:t>
      </w:r>
      <w:r>
        <w:rPr>
          <w:spacing w:val="-2"/>
          <w:sz w:val="24"/>
        </w:rPr>
        <w:t> </w:t>
      </w:r>
      <w:r>
        <w:rPr>
          <w:sz w:val="24"/>
        </w:rPr>
        <w:t>filed</w:t>
      </w:r>
      <w:r>
        <w:rPr>
          <w:spacing w:val="-2"/>
          <w:sz w:val="24"/>
        </w:rPr>
        <w:t> </w:t>
      </w:r>
      <w:r>
        <w:rPr>
          <w:sz w:val="24"/>
        </w:rPr>
        <w:t>in</w:t>
      </w:r>
      <w:r>
        <w:rPr>
          <w:spacing w:val="-2"/>
          <w:sz w:val="24"/>
        </w:rPr>
        <w:t> </w:t>
      </w:r>
      <w:r>
        <w:rPr>
          <w:sz w:val="24"/>
        </w:rPr>
        <w:t>writing</w:t>
      </w:r>
      <w:r>
        <w:rPr>
          <w:spacing w:val="-3"/>
          <w:sz w:val="24"/>
        </w:rPr>
        <w:t> </w:t>
      </w:r>
      <w:r>
        <w:rPr>
          <w:sz w:val="24"/>
        </w:rPr>
        <w:t>and</w:t>
      </w:r>
      <w:r>
        <w:rPr>
          <w:spacing w:val="-2"/>
          <w:sz w:val="24"/>
        </w:rPr>
        <w:t> </w:t>
      </w:r>
      <w:r>
        <w:rPr>
          <w:sz w:val="24"/>
        </w:rPr>
        <w:t>must</w:t>
      </w:r>
      <w:r>
        <w:rPr>
          <w:spacing w:val="-1"/>
          <w:sz w:val="24"/>
        </w:rPr>
        <w:t> </w:t>
      </w:r>
      <w:r>
        <w:rPr>
          <w:spacing w:val="-2"/>
          <w:sz w:val="24"/>
        </w:rPr>
        <w:t>contain:</w:t>
      </w:r>
    </w:p>
    <w:p>
      <w:pPr>
        <w:pStyle w:val="ListParagraph"/>
        <w:numPr>
          <w:ilvl w:val="1"/>
          <w:numId w:val="394"/>
        </w:numPr>
        <w:tabs>
          <w:tab w:pos="1217" w:val="left" w:leader="none"/>
        </w:tabs>
        <w:spacing w:line="240" w:lineRule="auto" w:before="204" w:after="0"/>
        <w:ind w:left="1217" w:right="0" w:hanging="426"/>
        <w:jc w:val="left"/>
        <w:rPr>
          <w:sz w:val="24"/>
        </w:rPr>
      </w:pPr>
      <w:r>
        <w:rPr>
          <w:sz w:val="24"/>
        </w:rPr>
        <w:t>a</w:t>
      </w:r>
      <w:r>
        <w:rPr>
          <w:spacing w:val="-3"/>
          <w:sz w:val="24"/>
        </w:rPr>
        <w:t> </w:t>
      </w:r>
      <w:r>
        <w:rPr>
          <w:sz w:val="24"/>
        </w:rPr>
        <w:t>statement</w:t>
      </w:r>
      <w:r>
        <w:rPr>
          <w:spacing w:val="-1"/>
          <w:sz w:val="24"/>
        </w:rPr>
        <w:t> </w:t>
      </w:r>
      <w:r>
        <w:rPr>
          <w:sz w:val="24"/>
        </w:rPr>
        <w:t>of</w:t>
      </w:r>
      <w:r>
        <w:rPr>
          <w:spacing w:val="-3"/>
          <w:sz w:val="24"/>
        </w:rPr>
        <w:t> </w:t>
      </w:r>
      <w:r>
        <w:rPr>
          <w:sz w:val="24"/>
        </w:rPr>
        <w:t>the</w:t>
      </w:r>
      <w:r>
        <w:rPr>
          <w:spacing w:val="-1"/>
          <w:sz w:val="24"/>
        </w:rPr>
        <w:t> </w:t>
      </w:r>
      <w:r>
        <w:rPr>
          <w:spacing w:val="-2"/>
          <w:sz w:val="24"/>
        </w:rPr>
        <w:t>grievance;</w:t>
      </w:r>
    </w:p>
    <w:p>
      <w:pPr>
        <w:pStyle w:val="ListParagraph"/>
        <w:numPr>
          <w:ilvl w:val="1"/>
          <w:numId w:val="394"/>
        </w:numPr>
        <w:tabs>
          <w:tab w:pos="1216" w:val="left" w:leader="none"/>
        </w:tabs>
        <w:spacing w:line="240" w:lineRule="auto" w:before="204" w:after="0"/>
        <w:ind w:left="1216" w:right="0" w:hanging="425"/>
        <w:jc w:val="left"/>
        <w:rPr>
          <w:sz w:val="24"/>
        </w:rPr>
      </w:pPr>
      <w:r>
        <w:rPr>
          <w:sz w:val="24"/>
        </w:rPr>
        <w:t>the</w:t>
      </w:r>
      <w:r>
        <w:rPr>
          <w:spacing w:val="-5"/>
          <w:sz w:val="24"/>
        </w:rPr>
        <w:t> </w:t>
      </w:r>
      <w:r>
        <w:rPr>
          <w:sz w:val="24"/>
        </w:rPr>
        <w:t>date</w:t>
      </w:r>
      <w:r>
        <w:rPr>
          <w:spacing w:val="-2"/>
          <w:sz w:val="24"/>
        </w:rPr>
        <w:t> </w:t>
      </w:r>
      <w:r>
        <w:rPr>
          <w:sz w:val="24"/>
        </w:rPr>
        <w:t>and</w:t>
      </w:r>
      <w:r>
        <w:rPr>
          <w:spacing w:val="-3"/>
          <w:sz w:val="24"/>
        </w:rPr>
        <w:t> </w:t>
      </w:r>
      <w:r>
        <w:rPr>
          <w:sz w:val="24"/>
        </w:rPr>
        <w:t>place</w:t>
      </w:r>
      <w:r>
        <w:rPr>
          <w:spacing w:val="-2"/>
          <w:sz w:val="24"/>
        </w:rPr>
        <w:t> </w:t>
      </w:r>
      <w:r>
        <w:rPr>
          <w:sz w:val="24"/>
        </w:rPr>
        <w:t>of</w:t>
      </w:r>
      <w:r>
        <w:rPr>
          <w:spacing w:val="-1"/>
          <w:sz w:val="24"/>
        </w:rPr>
        <w:t> </w:t>
      </w:r>
      <w:r>
        <w:rPr>
          <w:sz w:val="24"/>
        </w:rPr>
        <w:t>the</w:t>
      </w:r>
      <w:r>
        <w:rPr>
          <w:spacing w:val="-4"/>
          <w:sz w:val="24"/>
        </w:rPr>
        <w:t> </w:t>
      </w:r>
      <w:r>
        <w:rPr>
          <w:sz w:val="24"/>
        </w:rPr>
        <w:t>full</w:t>
      </w:r>
      <w:r>
        <w:rPr>
          <w:spacing w:val="-2"/>
          <w:sz w:val="24"/>
        </w:rPr>
        <w:t> </w:t>
      </w:r>
      <w:r>
        <w:rPr>
          <w:sz w:val="24"/>
        </w:rPr>
        <w:t>evidentiary</w:t>
      </w:r>
      <w:r>
        <w:rPr>
          <w:spacing w:val="-1"/>
          <w:sz w:val="24"/>
        </w:rPr>
        <w:t> </w:t>
      </w:r>
      <w:r>
        <w:rPr>
          <w:spacing w:val="-2"/>
          <w:sz w:val="24"/>
        </w:rPr>
        <w:t>hearing;</w:t>
      </w:r>
    </w:p>
    <w:p>
      <w:pPr>
        <w:pStyle w:val="ListParagraph"/>
        <w:numPr>
          <w:ilvl w:val="1"/>
          <w:numId w:val="394"/>
        </w:numPr>
        <w:tabs>
          <w:tab w:pos="1217" w:val="left" w:leader="none"/>
        </w:tabs>
        <w:spacing w:line="208" w:lineRule="auto" w:before="234" w:after="0"/>
        <w:ind w:left="791" w:right="1546" w:firstLine="0"/>
        <w:jc w:val="left"/>
        <w:rPr>
          <w:sz w:val="24"/>
        </w:rPr>
      </w:pPr>
      <w:r>
        <w:rPr>
          <w:sz w:val="24"/>
        </w:rPr>
        <w:t>a</w:t>
      </w:r>
      <w:r>
        <w:rPr>
          <w:spacing w:val="-4"/>
          <w:sz w:val="24"/>
        </w:rPr>
        <w:t> </w:t>
      </w:r>
      <w:r>
        <w:rPr>
          <w:sz w:val="24"/>
        </w:rPr>
        <w:t>copy</w:t>
      </w:r>
      <w:r>
        <w:rPr>
          <w:spacing w:val="-4"/>
          <w:sz w:val="24"/>
        </w:rPr>
        <w:t> </w:t>
      </w:r>
      <w:r>
        <w:rPr>
          <w:sz w:val="24"/>
        </w:rPr>
        <w:t>of</w:t>
      </w:r>
      <w:r>
        <w:rPr>
          <w:spacing w:val="-2"/>
          <w:sz w:val="24"/>
        </w:rPr>
        <w:t> </w:t>
      </w:r>
      <w:r>
        <w:rPr>
          <w:sz w:val="24"/>
        </w:rPr>
        <w:t>the</w:t>
      </w:r>
      <w:r>
        <w:rPr>
          <w:spacing w:val="-3"/>
          <w:sz w:val="24"/>
        </w:rPr>
        <w:t> </w:t>
      </w:r>
      <w:r>
        <w:rPr>
          <w:sz w:val="24"/>
        </w:rPr>
        <w:t>decision</w:t>
      </w:r>
      <w:r>
        <w:rPr>
          <w:spacing w:val="-3"/>
          <w:sz w:val="24"/>
        </w:rPr>
        <w:t> </w:t>
      </w:r>
      <w:r>
        <w:rPr>
          <w:sz w:val="24"/>
        </w:rPr>
        <w:t>and</w:t>
      </w:r>
      <w:r>
        <w:rPr>
          <w:spacing w:val="-3"/>
          <w:sz w:val="24"/>
        </w:rPr>
        <w:t> </w:t>
      </w:r>
      <w:r>
        <w:rPr>
          <w:sz w:val="24"/>
        </w:rPr>
        <w:t>what</w:t>
      </w:r>
      <w:r>
        <w:rPr>
          <w:spacing w:val="-2"/>
          <w:sz w:val="24"/>
        </w:rPr>
        <w:t> </w:t>
      </w:r>
      <w:r>
        <w:rPr>
          <w:sz w:val="24"/>
        </w:rPr>
        <w:t>actions</w:t>
      </w:r>
      <w:r>
        <w:rPr>
          <w:spacing w:val="-3"/>
          <w:sz w:val="24"/>
        </w:rPr>
        <w:t> </w:t>
      </w:r>
      <w:r>
        <w:rPr>
          <w:sz w:val="24"/>
        </w:rPr>
        <w:t>have</w:t>
      </w:r>
      <w:r>
        <w:rPr>
          <w:spacing w:val="-3"/>
          <w:sz w:val="24"/>
        </w:rPr>
        <w:t> </w:t>
      </w:r>
      <w:r>
        <w:rPr>
          <w:sz w:val="24"/>
        </w:rPr>
        <w:t>been</w:t>
      </w:r>
      <w:r>
        <w:rPr>
          <w:spacing w:val="-3"/>
          <w:sz w:val="24"/>
        </w:rPr>
        <w:t> </w:t>
      </w:r>
      <w:r>
        <w:rPr>
          <w:sz w:val="24"/>
        </w:rPr>
        <w:t>taken</w:t>
      </w:r>
      <w:r>
        <w:rPr>
          <w:spacing w:val="-3"/>
          <w:sz w:val="24"/>
        </w:rPr>
        <w:t> </w:t>
      </w:r>
      <w:r>
        <w:rPr>
          <w:sz w:val="24"/>
        </w:rPr>
        <w:t>because</w:t>
      </w:r>
      <w:r>
        <w:rPr>
          <w:spacing w:val="-3"/>
          <w:sz w:val="24"/>
        </w:rPr>
        <w:t> </w:t>
      </w:r>
      <w:r>
        <w:rPr>
          <w:sz w:val="24"/>
        </w:rPr>
        <w:t>of</w:t>
      </w:r>
      <w:r>
        <w:rPr>
          <w:spacing w:val="-2"/>
          <w:sz w:val="24"/>
        </w:rPr>
        <w:t> </w:t>
      </w:r>
      <w:r>
        <w:rPr>
          <w:sz w:val="24"/>
        </w:rPr>
        <w:t>the </w:t>
      </w:r>
      <w:r>
        <w:rPr>
          <w:spacing w:val="-2"/>
          <w:sz w:val="24"/>
        </w:rPr>
        <w:t>decision;</w:t>
      </w:r>
    </w:p>
    <w:p>
      <w:pPr>
        <w:pStyle w:val="ListParagraph"/>
        <w:numPr>
          <w:ilvl w:val="1"/>
          <w:numId w:val="394"/>
        </w:numPr>
        <w:tabs>
          <w:tab w:pos="1216" w:val="left" w:leader="none"/>
        </w:tabs>
        <w:spacing w:line="208" w:lineRule="auto" w:before="239" w:after="0"/>
        <w:ind w:left="791" w:right="989" w:firstLine="0"/>
        <w:jc w:val="left"/>
        <w:rPr>
          <w:sz w:val="24"/>
        </w:rPr>
      </w:pPr>
      <w:r>
        <w:rPr>
          <w:sz w:val="24"/>
        </w:rPr>
        <w:t>the</w:t>
      </w:r>
      <w:r>
        <w:rPr>
          <w:spacing w:val="-3"/>
          <w:sz w:val="24"/>
        </w:rPr>
        <w:t> </w:t>
      </w:r>
      <w:r>
        <w:rPr>
          <w:sz w:val="24"/>
        </w:rPr>
        <w:t>part</w:t>
      </w:r>
      <w:r>
        <w:rPr>
          <w:spacing w:val="-2"/>
          <w:sz w:val="24"/>
        </w:rPr>
        <w:t> </w:t>
      </w:r>
      <w:r>
        <w:rPr>
          <w:sz w:val="24"/>
        </w:rPr>
        <w:t>of</w:t>
      </w:r>
      <w:r>
        <w:rPr>
          <w:spacing w:val="-4"/>
          <w:sz w:val="24"/>
        </w:rPr>
        <w:t> </w:t>
      </w:r>
      <w:r>
        <w:rPr>
          <w:sz w:val="24"/>
        </w:rPr>
        <w:t>the</w:t>
      </w:r>
      <w:r>
        <w:rPr>
          <w:spacing w:val="-3"/>
          <w:sz w:val="24"/>
        </w:rPr>
        <w:t> </w:t>
      </w:r>
      <w:r>
        <w:rPr>
          <w:sz w:val="24"/>
        </w:rPr>
        <w:t>decision</w:t>
      </w:r>
      <w:r>
        <w:rPr>
          <w:spacing w:val="-3"/>
          <w:sz w:val="24"/>
        </w:rPr>
        <w:t> </w:t>
      </w:r>
      <w:r>
        <w:rPr>
          <w:sz w:val="24"/>
        </w:rPr>
        <w:t>which</w:t>
      </w:r>
      <w:r>
        <w:rPr>
          <w:spacing w:val="-2"/>
          <w:sz w:val="24"/>
        </w:rPr>
        <w:t> </w:t>
      </w:r>
      <w:r>
        <w:rPr>
          <w:sz w:val="24"/>
        </w:rPr>
        <w:t>is</w:t>
      </w:r>
      <w:r>
        <w:rPr>
          <w:spacing w:val="-3"/>
          <w:sz w:val="24"/>
        </w:rPr>
        <w:t> </w:t>
      </w:r>
      <w:r>
        <w:rPr>
          <w:sz w:val="24"/>
        </w:rPr>
        <w:t>causing</w:t>
      </w:r>
      <w:r>
        <w:rPr>
          <w:spacing w:val="-3"/>
          <w:sz w:val="24"/>
        </w:rPr>
        <w:t> </w:t>
      </w:r>
      <w:r>
        <w:rPr>
          <w:sz w:val="24"/>
        </w:rPr>
        <w:t>the</w:t>
      </w:r>
      <w:r>
        <w:rPr>
          <w:spacing w:val="-3"/>
          <w:sz w:val="24"/>
        </w:rPr>
        <w:t> </w:t>
      </w:r>
      <w:r>
        <w:rPr>
          <w:sz w:val="24"/>
        </w:rPr>
        <w:t>dissatisfaction</w:t>
      </w:r>
      <w:r>
        <w:rPr>
          <w:spacing w:val="-3"/>
          <w:sz w:val="24"/>
        </w:rPr>
        <w:t> </w:t>
      </w:r>
      <w:r>
        <w:rPr>
          <w:sz w:val="24"/>
        </w:rPr>
        <w:t>and</w:t>
      </w:r>
      <w:r>
        <w:rPr>
          <w:spacing w:val="-3"/>
          <w:sz w:val="24"/>
        </w:rPr>
        <w:t> </w:t>
      </w:r>
      <w:r>
        <w:rPr>
          <w:sz w:val="24"/>
        </w:rPr>
        <w:t>reason</w:t>
      </w:r>
      <w:r>
        <w:rPr>
          <w:spacing w:val="-3"/>
          <w:sz w:val="24"/>
        </w:rPr>
        <w:t> </w:t>
      </w:r>
      <w:r>
        <w:rPr>
          <w:sz w:val="24"/>
        </w:rPr>
        <w:t>for</w:t>
      </w:r>
      <w:r>
        <w:rPr>
          <w:spacing w:val="-4"/>
          <w:sz w:val="24"/>
        </w:rPr>
        <w:t> </w:t>
      </w:r>
      <w:r>
        <w:rPr>
          <w:sz w:val="24"/>
        </w:rPr>
        <w:t>the dissatisfaction; and</w:t>
      </w:r>
    </w:p>
    <w:p>
      <w:pPr>
        <w:pStyle w:val="ListParagraph"/>
        <w:numPr>
          <w:ilvl w:val="1"/>
          <w:numId w:val="394"/>
        </w:numPr>
        <w:tabs>
          <w:tab w:pos="1217" w:val="left" w:leader="none"/>
        </w:tabs>
        <w:spacing w:line="240" w:lineRule="auto" w:before="211" w:after="0"/>
        <w:ind w:left="1217" w:right="0" w:hanging="426"/>
        <w:jc w:val="left"/>
        <w:rPr>
          <w:sz w:val="24"/>
        </w:rPr>
      </w:pPr>
      <w:r>
        <w:rPr>
          <w:sz w:val="24"/>
        </w:rPr>
        <w:t>a</w:t>
      </w:r>
      <w:r>
        <w:rPr>
          <w:spacing w:val="-5"/>
          <w:sz w:val="24"/>
        </w:rPr>
        <w:t> </w:t>
      </w:r>
      <w:r>
        <w:rPr>
          <w:sz w:val="24"/>
        </w:rPr>
        <w:t>statement</w:t>
      </w:r>
      <w:r>
        <w:rPr>
          <w:spacing w:val="-2"/>
          <w:sz w:val="24"/>
        </w:rPr>
        <w:t> </w:t>
      </w:r>
      <w:r>
        <w:rPr>
          <w:sz w:val="24"/>
        </w:rPr>
        <w:t>as</w:t>
      </w:r>
      <w:r>
        <w:rPr>
          <w:spacing w:val="-2"/>
          <w:sz w:val="24"/>
        </w:rPr>
        <w:t> </w:t>
      </w:r>
      <w:r>
        <w:rPr>
          <w:sz w:val="24"/>
        </w:rPr>
        <w:t>to</w:t>
      </w:r>
      <w:r>
        <w:rPr>
          <w:spacing w:val="-4"/>
          <w:sz w:val="24"/>
        </w:rPr>
        <w:t> </w:t>
      </w:r>
      <w:r>
        <w:rPr>
          <w:sz w:val="24"/>
        </w:rPr>
        <w:t>what</w:t>
      </w:r>
      <w:r>
        <w:rPr>
          <w:spacing w:val="-1"/>
          <w:sz w:val="24"/>
        </w:rPr>
        <w:t> </w:t>
      </w:r>
      <w:r>
        <w:rPr>
          <w:sz w:val="24"/>
        </w:rPr>
        <w:t>is</w:t>
      </w:r>
      <w:r>
        <w:rPr>
          <w:spacing w:val="-2"/>
          <w:sz w:val="24"/>
        </w:rPr>
        <w:t> </w:t>
      </w:r>
      <w:r>
        <w:rPr>
          <w:sz w:val="24"/>
        </w:rPr>
        <w:t>required</w:t>
      </w:r>
      <w:r>
        <w:rPr>
          <w:spacing w:val="-2"/>
          <w:sz w:val="24"/>
        </w:rPr>
        <w:t> </w:t>
      </w:r>
      <w:r>
        <w:rPr>
          <w:sz w:val="24"/>
        </w:rPr>
        <w:t>to</w:t>
      </w:r>
      <w:r>
        <w:rPr>
          <w:spacing w:val="-2"/>
          <w:sz w:val="24"/>
        </w:rPr>
        <w:t> </w:t>
      </w:r>
      <w:r>
        <w:rPr>
          <w:sz w:val="24"/>
        </w:rPr>
        <w:t>remedy</w:t>
      </w:r>
      <w:r>
        <w:rPr>
          <w:spacing w:val="-2"/>
          <w:sz w:val="24"/>
        </w:rPr>
        <w:t> </w:t>
      </w:r>
      <w:r>
        <w:rPr>
          <w:sz w:val="24"/>
        </w:rPr>
        <w:t>the</w:t>
      </w:r>
      <w:r>
        <w:rPr>
          <w:spacing w:val="-2"/>
          <w:sz w:val="24"/>
        </w:rPr>
        <w:t> situation.</w:t>
      </w:r>
    </w:p>
    <w:p>
      <w:pPr>
        <w:pStyle w:val="ListParagraph"/>
        <w:numPr>
          <w:ilvl w:val="0"/>
          <w:numId w:val="394"/>
        </w:numPr>
        <w:tabs>
          <w:tab w:pos="772" w:val="left" w:leader="none"/>
        </w:tabs>
        <w:spacing w:line="208" w:lineRule="auto" w:before="233" w:after="0"/>
        <w:ind w:left="359" w:right="818" w:firstLine="0"/>
        <w:jc w:val="left"/>
        <w:rPr>
          <w:sz w:val="24"/>
        </w:rPr>
      </w:pPr>
      <w:r>
        <w:rPr>
          <w:sz w:val="24"/>
        </w:rPr>
        <w:t>The Secretary (USDE) will convene an arbitration panel after receiving a complaint which meets the requirements in (b) of this Section. The decision of the panel will be final,</w:t>
      </w:r>
      <w:r>
        <w:rPr>
          <w:spacing w:val="-2"/>
          <w:sz w:val="24"/>
        </w:rPr>
        <w:t> </w:t>
      </w:r>
      <w:r>
        <w:rPr>
          <w:sz w:val="24"/>
        </w:rPr>
        <w:t>except</w:t>
      </w:r>
      <w:r>
        <w:rPr>
          <w:spacing w:val="-2"/>
          <w:sz w:val="24"/>
        </w:rPr>
        <w:t> </w:t>
      </w:r>
      <w:r>
        <w:rPr>
          <w:sz w:val="24"/>
        </w:rPr>
        <w:t>as</w:t>
      </w:r>
      <w:r>
        <w:rPr>
          <w:spacing w:val="-3"/>
          <w:sz w:val="24"/>
        </w:rPr>
        <w:t> </w:t>
      </w:r>
      <w:r>
        <w:rPr>
          <w:sz w:val="24"/>
        </w:rPr>
        <w:t>provided</w:t>
      </w:r>
      <w:r>
        <w:rPr>
          <w:spacing w:val="-3"/>
          <w:sz w:val="24"/>
        </w:rPr>
        <w:t> </w:t>
      </w:r>
      <w:r>
        <w:rPr>
          <w:sz w:val="24"/>
        </w:rPr>
        <w:t>for</w:t>
      </w:r>
      <w:r>
        <w:rPr>
          <w:spacing w:val="-2"/>
          <w:sz w:val="24"/>
        </w:rPr>
        <w:t> </w:t>
      </w:r>
      <w:r>
        <w:rPr>
          <w:sz w:val="24"/>
        </w:rPr>
        <w:t>in</w:t>
      </w:r>
      <w:r>
        <w:rPr>
          <w:spacing w:val="-3"/>
          <w:sz w:val="24"/>
        </w:rPr>
        <w:t> </w:t>
      </w:r>
      <w:r>
        <w:rPr>
          <w:sz w:val="24"/>
        </w:rPr>
        <w:t>20</w:t>
      </w:r>
      <w:r>
        <w:rPr>
          <w:spacing w:val="-3"/>
          <w:sz w:val="24"/>
        </w:rPr>
        <w:t> </w:t>
      </w:r>
      <w:r>
        <w:rPr>
          <w:sz w:val="24"/>
        </w:rPr>
        <w:t>U.S.C.</w:t>
      </w:r>
      <w:r>
        <w:rPr>
          <w:spacing w:val="-2"/>
          <w:sz w:val="24"/>
        </w:rPr>
        <w:t> </w:t>
      </w:r>
      <w:r>
        <w:rPr>
          <w:sz w:val="24"/>
        </w:rPr>
        <w:t>107d-2.</w:t>
      </w:r>
      <w:r>
        <w:rPr>
          <w:spacing w:val="-2"/>
          <w:sz w:val="24"/>
        </w:rPr>
        <w:t> </w:t>
      </w:r>
      <w:r>
        <w:rPr>
          <w:sz w:val="24"/>
        </w:rPr>
        <w:t>The</w:t>
      </w:r>
      <w:r>
        <w:rPr>
          <w:spacing w:val="-3"/>
          <w:sz w:val="24"/>
        </w:rPr>
        <w:t> </w:t>
      </w:r>
      <w:r>
        <w:rPr>
          <w:sz w:val="24"/>
        </w:rPr>
        <w:t>Secretary</w:t>
      </w:r>
      <w:r>
        <w:rPr>
          <w:spacing w:val="-4"/>
          <w:sz w:val="24"/>
        </w:rPr>
        <w:t> </w:t>
      </w:r>
      <w:r>
        <w:rPr>
          <w:sz w:val="24"/>
        </w:rPr>
        <w:t>will</w:t>
      </w:r>
      <w:r>
        <w:rPr>
          <w:spacing w:val="-3"/>
          <w:sz w:val="24"/>
        </w:rPr>
        <w:t> </w:t>
      </w:r>
      <w:r>
        <w:rPr>
          <w:sz w:val="24"/>
        </w:rPr>
        <w:t>pay</w:t>
      </w:r>
      <w:r>
        <w:rPr>
          <w:spacing w:val="-3"/>
          <w:sz w:val="24"/>
        </w:rPr>
        <w:t> </w:t>
      </w:r>
      <w:r>
        <w:rPr>
          <w:sz w:val="24"/>
        </w:rPr>
        <w:t>the</w:t>
      </w:r>
      <w:r>
        <w:rPr>
          <w:spacing w:val="-3"/>
          <w:sz w:val="24"/>
        </w:rPr>
        <w:t> </w:t>
      </w:r>
      <w:r>
        <w:rPr>
          <w:sz w:val="24"/>
        </w:rPr>
        <w:t>reasonable costs for the arbitration. An abstract of the arbitration decision will be published in the Federal Register. The panel will be convened by the Secretary in accordance with (1) through (4) of this Subsection.</w:t>
      </w:r>
    </w:p>
    <w:p>
      <w:pPr>
        <w:pStyle w:val="ListParagraph"/>
        <w:numPr>
          <w:ilvl w:val="1"/>
          <w:numId w:val="394"/>
        </w:numPr>
        <w:tabs>
          <w:tab w:pos="1217" w:val="left" w:leader="none"/>
        </w:tabs>
        <w:spacing w:line="240" w:lineRule="auto" w:before="210" w:after="0"/>
        <w:ind w:left="1217" w:right="0" w:hanging="426"/>
        <w:jc w:val="left"/>
        <w:rPr>
          <w:sz w:val="24"/>
        </w:rPr>
      </w:pPr>
      <w:r>
        <w:rPr>
          <w:sz w:val="24"/>
        </w:rPr>
        <w:t>The</w:t>
      </w:r>
      <w:r>
        <w:rPr>
          <w:spacing w:val="-5"/>
          <w:sz w:val="24"/>
        </w:rPr>
        <w:t> </w:t>
      </w:r>
      <w:r>
        <w:rPr>
          <w:sz w:val="24"/>
        </w:rPr>
        <w:t>SLA</w:t>
      </w:r>
      <w:r>
        <w:rPr>
          <w:spacing w:val="-2"/>
          <w:sz w:val="24"/>
        </w:rPr>
        <w:t> </w:t>
      </w:r>
      <w:r>
        <w:rPr>
          <w:sz w:val="24"/>
        </w:rPr>
        <w:t>shall</w:t>
      </w:r>
      <w:r>
        <w:rPr>
          <w:spacing w:val="-3"/>
          <w:sz w:val="24"/>
        </w:rPr>
        <w:t> </w:t>
      </w:r>
      <w:r>
        <w:rPr>
          <w:sz w:val="24"/>
        </w:rPr>
        <w:t>designate</w:t>
      </w:r>
      <w:r>
        <w:rPr>
          <w:spacing w:val="-2"/>
          <w:sz w:val="24"/>
        </w:rPr>
        <w:t> </w:t>
      </w:r>
      <w:r>
        <w:rPr>
          <w:sz w:val="24"/>
        </w:rPr>
        <w:t>one</w:t>
      </w:r>
      <w:r>
        <w:rPr>
          <w:spacing w:val="-2"/>
          <w:sz w:val="24"/>
        </w:rPr>
        <w:t> </w:t>
      </w:r>
      <w:r>
        <w:rPr>
          <w:sz w:val="24"/>
        </w:rPr>
        <w:t>member</w:t>
      </w:r>
      <w:r>
        <w:rPr>
          <w:spacing w:val="-2"/>
          <w:sz w:val="24"/>
        </w:rPr>
        <w:t> </w:t>
      </w:r>
      <w:r>
        <w:rPr>
          <w:sz w:val="24"/>
        </w:rPr>
        <w:t>of</w:t>
      </w:r>
      <w:r>
        <w:rPr>
          <w:spacing w:val="-4"/>
          <w:sz w:val="24"/>
        </w:rPr>
        <w:t> </w:t>
      </w:r>
      <w:r>
        <w:rPr>
          <w:sz w:val="24"/>
        </w:rPr>
        <w:t>the</w:t>
      </w:r>
      <w:r>
        <w:rPr>
          <w:spacing w:val="-2"/>
          <w:sz w:val="24"/>
        </w:rPr>
        <w:t> panel.</w:t>
      </w:r>
    </w:p>
    <w:p>
      <w:pPr>
        <w:pStyle w:val="ListParagraph"/>
        <w:numPr>
          <w:ilvl w:val="1"/>
          <w:numId w:val="394"/>
        </w:numPr>
        <w:tabs>
          <w:tab w:pos="1217" w:val="left" w:leader="none"/>
        </w:tabs>
        <w:spacing w:line="240" w:lineRule="auto" w:before="204" w:after="0"/>
        <w:ind w:left="1217" w:right="0" w:hanging="426"/>
        <w:jc w:val="left"/>
        <w:rPr>
          <w:sz w:val="24"/>
        </w:rPr>
      </w:pPr>
      <w:r>
        <w:rPr>
          <w:sz w:val="24"/>
        </w:rPr>
        <w:t>The</w:t>
      </w:r>
      <w:r>
        <w:rPr>
          <w:spacing w:val="-3"/>
          <w:sz w:val="24"/>
        </w:rPr>
        <w:t> </w:t>
      </w:r>
      <w:r>
        <w:rPr>
          <w:sz w:val="24"/>
        </w:rPr>
        <w:t>licensed</w:t>
      </w:r>
      <w:r>
        <w:rPr>
          <w:spacing w:val="-3"/>
          <w:sz w:val="24"/>
        </w:rPr>
        <w:t> </w:t>
      </w:r>
      <w:r>
        <w:rPr>
          <w:sz w:val="24"/>
        </w:rPr>
        <w:t>manager</w:t>
      </w:r>
      <w:r>
        <w:rPr>
          <w:spacing w:val="-2"/>
          <w:sz w:val="24"/>
        </w:rPr>
        <w:t> </w:t>
      </w:r>
      <w:r>
        <w:rPr>
          <w:sz w:val="24"/>
        </w:rPr>
        <w:t>shall</w:t>
      </w:r>
      <w:r>
        <w:rPr>
          <w:spacing w:val="-2"/>
          <w:sz w:val="24"/>
        </w:rPr>
        <w:t> </w:t>
      </w:r>
      <w:r>
        <w:rPr>
          <w:sz w:val="24"/>
        </w:rPr>
        <w:t>designate</w:t>
      </w:r>
      <w:r>
        <w:rPr>
          <w:spacing w:val="-3"/>
          <w:sz w:val="24"/>
        </w:rPr>
        <w:t> </w:t>
      </w:r>
      <w:r>
        <w:rPr>
          <w:sz w:val="24"/>
        </w:rPr>
        <w:t>one</w:t>
      </w:r>
      <w:r>
        <w:rPr>
          <w:spacing w:val="-3"/>
          <w:sz w:val="24"/>
        </w:rPr>
        <w:t> </w:t>
      </w:r>
      <w:r>
        <w:rPr>
          <w:sz w:val="24"/>
        </w:rPr>
        <w:t>member</w:t>
      </w:r>
      <w:r>
        <w:rPr>
          <w:spacing w:val="-2"/>
          <w:sz w:val="24"/>
        </w:rPr>
        <w:t> </w:t>
      </w:r>
      <w:r>
        <w:rPr>
          <w:sz w:val="24"/>
        </w:rPr>
        <w:t>of</w:t>
      </w:r>
      <w:r>
        <w:rPr>
          <w:spacing w:val="-4"/>
          <w:sz w:val="24"/>
        </w:rPr>
        <w:t> </w:t>
      </w:r>
      <w:r>
        <w:rPr>
          <w:sz w:val="24"/>
        </w:rPr>
        <w:t>the</w:t>
      </w:r>
      <w:r>
        <w:rPr>
          <w:spacing w:val="-2"/>
          <w:sz w:val="24"/>
        </w:rPr>
        <w:t> panel.</w:t>
      </w:r>
    </w:p>
    <w:p>
      <w:pPr>
        <w:pStyle w:val="ListParagraph"/>
        <w:numPr>
          <w:ilvl w:val="1"/>
          <w:numId w:val="394"/>
        </w:numPr>
        <w:tabs>
          <w:tab w:pos="1217" w:val="left" w:leader="none"/>
        </w:tabs>
        <w:spacing w:line="208" w:lineRule="auto" w:before="234" w:after="0"/>
        <w:ind w:left="791" w:right="1012" w:firstLine="0"/>
        <w:jc w:val="left"/>
        <w:rPr>
          <w:sz w:val="24"/>
        </w:rPr>
      </w:pPr>
      <w:r>
        <w:rPr>
          <w:sz w:val="24"/>
        </w:rPr>
        <w:t>The</w:t>
      </w:r>
      <w:r>
        <w:rPr>
          <w:spacing w:val="-4"/>
          <w:sz w:val="24"/>
        </w:rPr>
        <w:t> </w:t>
      </w:r>
      <w:r>
        <w:rPr>
          <w:sz w:val="24"/>
        </w:rPr>
        <w:t>designees</w:t>
      </w:r>
      <w:r>
        <w:rPr>
          <w:spacing w:val="-4"/>
          <w:sz w:val="24"/>
        </w:rPr>
        <w:t> </w:t>
      </w:r>
      <w:r>
        <w:rPr>
          <w:sz w:val="24"/>
        </w:rPr>
        <w:t>of</w:t>
      </w:r>
      <w:r>
        <w:rPr>
          <w:spacing w:val="-3"/>
          <w:sz w:val="24"/>
        </w:rPr>
        <w:t> </w:t>
      </w:r>
      <w:r>
        <w:rPr>
          <w:sz w:val="24"/>
        </w:rPr>
        <w:t>the</w:t>
      </w:r>
      <w:r>
        <w:rPr>
          <w:spacing w:val="-4"/>
          <w:sz w:val="24"/>
        </w:rPr>
        <w:t> </w:t>
      </w:r>
      <w:r>
        <w:rPr>
          <w:sz w:val="24"/>
        </w:rPr>
        <w:t>SLA</w:t>
      </w:r>
      <w:r>
        <w:rPr>
          <w:spacing w:val="-4"/>
          <w:sz w:val="24"/>
        </w:rPr>
        <w:t> </w:t>
      </w:r>
      <w:r>
        <w:rPr>
          <w:sz w:val="24"/>
        </w:rPr>
        <w:t>and</w:t>
      </w:r>
      <w:r>
        <w:rPr>
          <w:spacing w:val="-4"/>
          <w:sz w:val="24"/>
        </w:rPr>
        <w:t> </w:t>
      </w:r>
      <w:r>
        <w:rPr>
          <w:sz w:val="24"/>
        </w:rPr>
        <w:t>the</w:t>
      </w:r>
      <w:r>
        <w:rPr>
          <w:spacing w:val="-4"/>
          <w:sz w:val="24"/>
        </w:rPr>
        <w:t> </w:t>
      </w:r>
      <w:r>
        <w:rPr>
          <w:sz w:val="24"/>
        </w:rPr>
        <w:t>licensed</w:t>
      </w:r>
      <w:r>
        <w:rPr>
          <w:spacing w:val="-4"/>
          <w:sz w:val="24"/>
        </w:rPr>
        <w:t> </w:t>
      </w:r>
      <w:r>
        <w:rPr>
          <w:sz w:val="24"/>
        </w:rPr>
        <w:t>manager</w:t>
      </w:r>
      <w:r>
        <w:rPr>
          <w:spacing w:val="-3"/>
          <w:sz w:val="24"/>
        </w:rPr>
        <w:t> </w:t>
      </w:r>
      <w:r>
        <w:rPr>
          <w:sz w:val="24"/>
        </w:rPr>
        <w:t>shall</w:t>
      </w:r>
      <w:r>
        <w:rPr>
          <w:spacing w:val="-4"/>
          <w:sz w:val="24"/>
        </w:rPr>
        <w:t> </w:t>
      </w:r>
      <w:r>
        <w:rPr>
          <w:sz w:val="24"/>
        </w:rPr>
        <w:t>together</w:t>
      </w:r>
      <w:r>
        <w:rPr>
          <w:spacing w:val="-3"/>
          <w:sz w:val="24"/>
        </w:rPr>
        <w:t> </w:t>
      </w:r>
      <w:r>
        <w:rPr>
          <w:sz w:val="24"/>
        </w:rPr>
        <w:t>designate the third panel member who shall not be an employee of the SLA. This member shall be the chairperson of the panel.</w:t>
      </w:r>
    </w:p>
    <w:p>
      <w:pPr>
        <w:pStyle w:val="ListParagraph"/>
        <w:numPr>
          <w:ilvl w:val="1"/>
          <w:numId w:val="394"/>
        </w:numPr>
        <w:tabs>
          <w:tab w:pos="1216" w:val="left" w:leader="none"/>
        </w:tabs>
        <w:spacing w:line="208" w:lineRule="auto" w:before="239" w:after="0"/>
        <w:ind w:left="791" w:right="1227" w:firstLine="0"/>
        <w:jc w:val="left"/>
        <w:rPr>
          <w:sz w:val="24"/>
        </w:rPr>
      </w:pPr>
      <w:r>
        <w:rPr>
          <w:sz w:val="24"/>
        </w:rPr>
        <w:t>If</w:t>
      </w:r>
      <w:r>
        <w:rPr>
          <w:spacing w:val="-4"/>
          <w:sz w:val="24"/>
        </w:rPr>
        <w:t> </w:t>
      </w:r>
      <w:r>
        <w:rPr>
          <w:sz w:val="24"/>
        </w:rPr>
        <w:t>the</w:t>
      </w:r>
      <w:r>
        <w:rPr>
          <w:spacing w:val="-3"/>
          <w:sz w:val="24"/>
        </w:rPr>
        <w:t> </w:t>
      </w:r>
      <w:r>
        <w:rPr>
          <w:sz w:val="24"/>
        </w:rPr>
        <w:t>SLA</w:t>
      </w:r>
      <w:r>
        <w:rPr>
          <w:spacing w:val="-3"/>
          <w:sz w:val="24"/>
        </w:rPr>
        <w:t> </w:t>
      </w:r>
      <w:r>
        <w:rPr>
          <w:sz w:val="24"/>
        </w:rPr>
        <w:t>or</w:t>
      </w:r>
      <w:r>
        <w:rPr>
          <w:spacing w:val="-2"/>
          <w:sz w:val="24"/>
        </w:rPr>
        <w:t> </w:t>
      </w:r>
      <w:r>
        <w:rPr>
          <w:sz w:val="24"/>
        </w:rPr>
        <w:t>licensed</w:t>
      </w:r>
      <w:r>
        <w:rPr>
          <w:spacing w:val="-3"/>
          <w:sz w:val="24"/>
        </w:rPr>
        <w:t> </w:t>
      </w:r>
      <w:r>
        <w:rPr>
          <w:sz w:val="24"/>
        </w:rPr>
        <w:t>manager</w:t>
      </w:r>
      <w:r>
        <w:rPr>
          <w:spacing w:val="-2"/>
          <w:sz w:val="24"/>
        </w:rPr>
        <w:t> </w:t>
      </w:r>
      <w:r>
        <w:rPr>
          <w:sz w:val="24"/>
        </w:rPr>
        <w:t>does</w:t>
      </w:r>
      <w:r>
        <w:rPr>
          <w:spacing w:val="-3"/>
          <w:sz w:val="24"/>
        </w:rPr>
        <w:t> </w:t>
      </w:r>
      <w:r>
        <w:rPr>
          <w:sz w:val="24"/>
        </w:rPr>
        <w:t>not</w:t>
      </w:r>
      <w:r>
        <w:rPr>
          <w:spacing w:val="-2"/>
          <w:sz w:val="24"/>
        </w:rPr>
        <w:t> </w:t>
      </w:r>
      <w:r>
        <w:rPr>
          <w:sz w:val="24"/>
        </w:rPr>
        <w:t>select</w:t>
      </w:r>
      <w:r>
        <w:rPr>
          <w:spacing w:val="-2"/>
          <w:sz w:val="24"/>
        </w:rPr>
        <w:t> </w:t>
      </w:r>
      <w:r>
        <w:rPr>
          <w:sz w:val="24"/>
        </w:rPr>
        <w:t>a</w:t>
      </w:r>
      <w:r>
        <w:rPr>
          <w:spacing w:val="-3"/>
          <w:sz w:val="24"/>
        </w:rPr>
        <w:t> </w:t>
      </w:r>
      <w:r>
        <w:rPr>
          <w:sz w:val="24"/>
        </w:rPr>
        <w:t>member</w:t>
      </w:r>
      <w:r>
        <w:rPr>
          <w:spacing w:val="-2"/>
          <w:sz w:val="24"/>
        </w:rPr>
        <w:t> </w:t>
      </w:r>
      <w:r>
        <w:rPr>
          <w:sz w:val="24"/>
        </w:rPr>
        <w:t>for</w:t>
      </w:r>
      <w:r>
        <w:rPr>
          <w:spacing w:val="-4"/>
          <w:sz w:val="24"/>
        </w:rPr>
        <w:t> </w:t>
      </w:r>
      <w:r>
        <w:rPr>
          <w:sz w:val="24"/>
        </w:rPr>
        <w:t>the</w:t>
      </w:r>
      <w:r>
        <w:rPr>
          <w:spacing w:val="-3"/>
          <w:sz w:val="24"/>
        </w:rPr>
        <w:t> </w:t>
      </w:r>
      <w:r>
        <w:rPr>
          <w:sz w:val="24"/>
        </w:rPr>
        <w:t>panel,</w:t>
      </w:r>
      <w:r>
        <w:rPr>
          <w:spacing w:val="-2"/>
          <w:sz w:val="24"/>
        </w:rPr>
        <w:t> </w:t>
      </w:r>
      <w:r>
        <w:rPr>
          <w:sz w:val="24"/>
        </w:rPr>
        <w:t>the Secretary will designate such a member on the applicable party's behalf.</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spacing w:after="0" w:line="253" w:lineRule="exact"/>
        <w:jc w:val="left"/>
        <w:rPr>
          <w:sz w:val="22"/>
        </w:rPr>
        <w:sectPr>
          <w:pgSz w:w="12240" w:h="15840"/>
          <w:pgMar w:top="1340" w:bottom="280" w:left="1080" w:right="720"/>
        </w:sectPr>
      </w:pPr>
    </w:p>
    <w:p>
      <w:pPr>
        <w:pStyle w:val="Heading2"/>
      </w:pPr>
      <w:bookmarkStart w:name="612:25-4-76.  Arbitration of SLA complai" w:id="418"/>
      <w:bookmarkEnd w:id="418"/>
      <w:r>
        <w:rPr>
          <w:b w:val="0"/>
        </w:rPr>
      </w:r>
      <w:r>
        <w:rPr/>
        <w:t>612:25-4-76.</w:t>
      </w:r>
      <w:r>
        <w:rPr>
          <w:spacing w:val="58"/>
        </w:rPr>
        <w:t> </w:t>
      </w:r>
      <w:r>
        <w:rPr/>
        <w:t>Arbitration</w:t>
      </w:r>
      <w:r>
        <w:rPr>
          <w:spacing w:val="-4"/>
        </w:rPr>
        <w:t> </w:t>
      </w:r>
      <w:r>
        <w:rPr/>
        <w:t>of</w:t>
      </w:r>
      <w:r>
        <w:rPr>
          <w:spacing w:val="-3"/>
        </w:rPr>
        <w:t> </w:t>
      </w:r>
      <w:r>
        <w:rPr/>
        <w:t>SLA</w:t>
      </w:r>
      <w:r>
        <w:rPr>
          <w:spacing w:val="-4"/>
        </w:rPr>
        <w:t> </w:t>
      </w:r>
      <w:r>
        <w:rPr/>
        <w:t>complaints</w:t>
      </w:r>
      <w:r>
        <w:rPr>
          <w:spacing w:val="-4"/>
        </w:rPr>
        <w:t> </w:t>
      </w:r>
      <w:r>
        <w:rPr/>
        <w:t>against</w:t>
      </w:r>
      <w:r>
        <w:rPr>
          <w:spacing w:val="-3"/>
        </w:rPr>
        <w:t> </w:t>
      </w:r>
      <w:r>
        <w:rPr/>
        <w:t>federal</w:t>
      </w:r>
      <w:r>
        <w:rPr>
          <w:spacing w:val="-3"/>
        </w:rPr>
        <w:t> </w:t>
      </w:r>
      <w:r>
        <w:rPr>
          <w:spacing w:val="-2"/>
        </w:rPr>
        <w:t>agencies</w:t>
      </w:r>
    </w:p>
    <w:p>
      <w:pPr>
        <w:pStyle w:val="BodyText"/>
        <w:spacing w:line="208" w:lineRule="auto" w:before="233"/>
        <w:ind w:right="885" w:firstLine="432"/>
      </w:pPr>
      <w:r>
        <w:rPr/>
        <w:t>The SLA is to resolve problems related to the operation of a business enterprise with the full participation of the licensed manager and the appropriate property manager.</w:t>
      </w:r>
      <w:r>
        <w:rPr>
          <w:spacing w:val="-1"/>
        </w:rPr>
        <w:t> </w:t>
      </w:r>
      <w:r>
        <w:rPr/>
        <w:t>The</w:t>
      </w:r>
      <w:r>
        <w:rPr>
          <w:spacing w:val="-2"/>
        </w:rPr>
        <w:t> </w:t>
      </w:r>
      <w:r>
        <w:rPr/>
        <w:t>SLA</w:t>
      </w:r>
      <w:r>
        <w:rPr>
          <w:spacing w:val="-2"/>
        </w:rPr>
        <w:t> </w:t>
      </w:r>
      <w:r>
        <w:rPr/>
        <w:t>may</w:t>
      </w:r>
      <w:r>
        <w:rPr>
          <w:spacing w:val="-2"/>
        </w:rPr>
        <w:t> </w:t>
      </w:r>
      <w:r>
        <w:rPr/>
        <w:t>file</w:t>
      </w:r>
      <w:r>
        <w:rPr>
          <w:spacing w:val="-2"/>
        </w:rPr>
        <w:t> </w:t>
      </w:r>
      <w:r>
        <w:rPr/>
        <w:t>a</w:t>
      </w:r>
      <w:r>
        <w:rPr>
          <w:spacing w:val="-2"/>
        </w:rPr>
        <w:t> </w:t>
      </w:r>
      <w:r>
        <w:rPr/>
        <w:t>complaint</w:t>
      </w:r>
      <w:r>
        <w:rPr>
          <w:spacing w:val="-1"/>
        </w:rPr>
        <w:t> </w:t>
      </w:r>
      <w:r>
        <w:rPr/>
        <w:t>with</w:t>
      </w:r>
      <w:r>
        <w:rPr>
          <w:spacing w:val="-2"/>
        </w:rPr>
        <w:t> </w:t>
      </w:r>
      <w:r>
        <w:rPr/>
        <w:t>the</w:t>
      </w:r>
      <w:r>
        <w:rPr>
          <w:spacing w:val="-2"/>
        </w:rPr>
        <w:t> </w:t>
      </w:r>
      <w:r>
        <w:rPr/>
        <w:t>Secretary</w:t>
      </w:r>
      <w:r>
        <w:rPr>
          <w:spacing w:val="-2"/>
        </w:rPr>
        <w:t> </w:t>
      </w:r>
      <w:r>
        <w:rPr/>
        <w:t>(USDE)</w:t>
      </w:r>
      <w:r>
        <w:rPr>
          <w:spacing w:val="-1"/>
        </w:rPr>
        <w:t> </w:t>
      </w:r>
      <w:r>
        <w:rPr/>
        <w:t>if</w:t>
      </w:r>
      <w:r>
        <w:rPr>
          <w:spacing w:val="-1"/>
        </w:rPr>
        <w:t> </w:t>
      </w:r>
      <w:r>
        <w:rPr/>
        <w:t>it</w:t>
      </w:r>
      <w:r>
        <w:rPr>
          <w:spacing w:val="-1"/>
        </w:rPr>
        <w:t> </w:t>
      </w:r>
      <w:r>
        <w:rPr/>
        <w:t>determines</w:t>
      </w:r>
      <w:r>
        <w:rPr>
          <w:spacing w:val="-2"/>
        </w:rPr>
        <w:t> </w:t>
      </w:r>
      <w:r>
        <w:rPr/>
        <w:t>that an agency controlling Federal property is not complying with the provisions of the Randolph-Sheppard Act or U.S. Department of Education regulations. After the complaint</w:t>
      </w:r>
      <w:r>
        <w:rPr>
          <w:spacing w:val="-3"/>
        </w:rPr>
        <w:t> </w:t>
      </w:r>
      <w:r>
        <w:rPr/>
        <w:t>is</w:t>
      </w:r>
      <w:r>
        <w:rPr>
          <w:spacing w:val="-3"/>
        </w:rPr>
        <w:t> </w:t>
      </w:r>
      <w:r>
        <w:rPr/>
        <w:t>received,</w:t>
      </w:r>
      <w:r>
        <w:rPr>
          <w:spacing w:val="-3"/>
        </w:rPr>
        <w:t> </w:t>
      </w:r>
      <w:r>
        <w:rPr/>
        <w:t>the</w:t>
      </w:r>
      <w:r>
        <w:rPr>
          <w:spacing w:val="-3"/>
        </w:rPr>
        <w:t> </w:t>
      </w:r>
      <w:r>
        <w:rPr/>
        <w:t>Secretary</w:t>
      </w:r>
      <w:r>
        <w:rPr>
          <w:spacing w:val="-3"/>
        </w:rPr>
        <w:t> </w:t>
      </w:r>
      <w:r>
        <w:rPr/>
        <w:t>will</w:t>
      </w:r>
      <w:r>
        <w:rPr>
          <w:spacing w:val="-3"/>
        </w:rPr>
        <w:t> </w:t>
      </w:r>
      <w:r>
        <w:rPr/>
        <w:t>convene</w:t>
      </w:r>
      <w:r>
        <w:rPr>
          <w:spacing w:val="-3"/>
        </w:rPr>
        <w:t> </w:t>
      </w:r>
      <w:r>
        <w:rPr/>
        <w:t>an</w:t>
      </w:r>
      <w:r>
        <w:rPr>
          <w:spacing w:val="-3"/>
        </w:rPr>
        <w:t> </w:t>
      </w:r>
      <w:r>
        <w:rPr/>
        <w:t>arbitration</w:t>
      </w:r>
      <w:r>
        <w:rPr>
          <w:spacing w:val="-3"/>
        </w:rPr>
        <w:t> </w:t>
      </w:r>
      <w:r>
        <w:rPr/>
        <w:t>panel.</w:t>
      </w:r>
      <w:r>
        <w:rPr>
          <w:spacing w:val="-3"/>
        </w:rPr>
        <w:t> </w:t>
      </w:r>
      <w:r>
        <w:rPr/>
        <w:t>If</w:t>
      </w:r>
      <w:r>
        <w:rPr>
          <w:spacing w:val="-4"/>
        </w:rPr>
        <w:t> </w:t>
      </w:r>
      <w:r>
        <w:rPr/>
        <w:t>the</w:t>
      </w:r>
      <w:r>
        <w:rPr>
          <w:spacing w:val="-3"/>
        </w:rPr>
        <w:t> </w:t>
      </w:r>
      <w:r>
        <w:rPr/>
        <w:t>panel</w:t>
      </w:r>
      <w:r>
        <w:rPr>
          <w:spacing w:val="-3"/>
        </w:rPr>
        <w:t> </w:t>
      </w:r>
      <w:r>
        <w:rPr/>
        <w:t>finds that the Federal agency is in violation of the Act or USDE regulations, that Federal agency</w:t>
      </w:r>
      <w:r>
        <w:rPr>
          <w:spacing w:val="-2"/>
        </w:rPr>
        <w:t> </w:t>
      </w:r>
      <w:r>
        <w:rPr/>
        <w:t>will</w:t>
      </w:r>
      <w:r>
        <w:rPr>
          <w:spacing w:val="-1"/>
        </w:rPr>
        <w:t> </w:t>
      </w:r>
      <w:r>
        <w:rPr/>
        <w:t>be</w:t>
      </w:r>
      <w:r>
        <w:rPr>
          <w:spacing w:val="-2"/>
        </w:rPr>
        <w:t> </w:t>
      </w:r>
      <w:r>
        <w:rPr/>
        <w:t>notified</w:t>
      </w:r>
      <w:r>
        <w:rPr>
          <w:spacing w:val="-2"/>
        </w:rPr>
        <w:t> </w:t>
      </w:r>
      <w:r>
        <w:rPr/>
        <w:t>that</w:t>
      </w:r>
      <w:r>
        <w:rPr>
          <w:spacing w:val="-1"/>
        </w:rPr>
        <w:t> </w:t>
      </w:r>
      <w:r>
        <w:rPr/>
        <w:t>it</w:t>
      </w:r>
      <w:r>
        <w:rPr>
          <w:spacing w:val="-3"/>
        </w:rPr>
        <w:t> </w:t>
      </w:r>
      <w:r>
        <w:rPr/>
        <w:t>is</w:t>
      </w:r>
      <w:r>
        <w:rPr>
          <w:spacing w:val="-2"/>
        </w:rPr>
        <w:t> </w:t>
      </w:r>
      <w:r>
        <w:rPr/>
        <w:t>expected</w:t>
      </w:r>
      <w:r>
        <w:rPr>
          <w:spacing w:val="-2"/>
        </w:rPr>
        <w:t> </w:t>
      </w:r>
      <w:r>
        <w:rPr/>
        <w:t>to</w:t>
      </w:r>
      <w:r>
        <w:rPr>
          <w:spacing w:val="-2"/>
        </w:rPr>
        <w:t> </w:t>
      </w:r>
      <w:r>
        <w:rPr/>
        <w:t>correct</w:t>
      </w:r>
      <w:r>
        <w:rPr>
          <w:spacing w:val="-3"/>
        </w:rPr>
        <w:t> </w:t>
      </w:r>
      <w:r>
        <w:rPr/>
        <w:t>the</w:t>
      </w:r>
      <w:r>
        <w:rPr>
          <w:spacing w:val="-2"/>
        </w:rPr>
        <w:t> </w:t>
      </w:r>
      <w:r>
        <w:rPr/>
        <w:t>violation</w:t>
      </w:r>
      <w:r>
        <w:rPr>
          <w:spacing w:val="-2"/>
        </w:rPr>
        <w:t> </w:t>
      </w:r>
      <w:r>
        <w:rPr/>
        <w:t>according</w:t>
      </w:r>
      <w:r>
        <w:rPr>
          <w:spacing w:val="-2"/>
        </w:rPr>
        <w:t> </w:t>
      </w:r>
      <w:r>
        <w:rPr/>
        <w:t>to</w:t>
      </w:r>
      <w:r>
        <w:rPr>
          <w:spacing w:val="-2"/>
        </w:rPr>
        <w:t> </w:t>
      </w:r>
      <w:r>
        <w:rPr/>
        <w:t>20</w:t>
      </w:r>
      <w:r>
        <w:rPr>
          <w:spacing w:val="-2"/>
        </w:rPr>
        <w:t> </w:t>
      </w:r>
      <w:r>
        <w:rPr/>
        <w:t>U.S.C. 107d-2. The Secretary pays the reasonable costs of this arbitration. The decision resulting from the arbitration will be published in the Federal Register. The arbitration panel will be convened by the Secretary in accordance with (1) through (4) of this </w:t>
      </w:r>
      <w:r>
        <w:rPr>
          <w:spacing w:val="-2"/>
        </w:rPr>
        <w:t>Subsection.</w:t>
      </w:r>
    </w:p>
    <w:p>
      <w:pPr>
        <w:pStyle w:val="ListParagraph"/>
        <w:numPr>
          <w:ilvl w:val="0"/>
          <w:numId w:val="395"/>
        </w:numPr>
        <w:tabs>
          <w:tab w:pos="1217" w:val="left" w:leader="none"/>
        </w:tabs>
        <w:spacing w:line="240" w:lineRule="auto" w:before="209" w:after="0"/>
        <w:ind w:left="1217" w:right="0" w:hanging="426"/>
        <w:jc w:val="left"/>
        <w:rPr>
          <w:sz w:val="24"/>
        </w:rPr>
      </w:pPr>
      <w:r>
        <w:rPr>
          <w:sz w:val="24"/>
        </w:rPr>
        <w:t>The</w:t>
      </w:r>
      <w:r>
        <w:rPr>
          <w:spacing w:val="-3"/>
          <w:sz w:val="24"/>
        </w:rPr>
        <w:t> </w:t>
      </w:r>
      <w:r>
        <w:rPr>
          <w:sz w:val="24"/>
        </w:rPr>
        <w:t>SLA</w:t>
      </w:r>
      <w:r>
        <w:rPr>
          <w:spacing w:val="-2"/>
          <w:sz w:val="24"/>
        </w:rPr>
        <w:t> </w:t>
      </w:r>
      <w:r>
        <w:rPr>
          <w:sz w:val="24"/>
        </w:rPr>
        <w:t>will</w:t>
      </w:r>
      <w:r>
        <w:rPr>
          <w:spacing w:val="-3"/>
          <w:sz w:val="24"/>
        </w:rPr>
        <w:t> </w:t>
      </w:r>
      <w:r>
        <w:rPr>
          <w:sz w:val="24"/>
        </w:rPr>
        <w:t>designate</w:t>
      </w:r>
      <w:r>
        <w:rPr>
          <w:spacing w:val="-2"/>
          <w:sz w:val="24"/>
        </w:rPr>
        <w:t> </w:t>
      </w:r>
      <w:r>
        <w:rPr>
          <w:sz w:val="24"/>
        </w:rPr>
        <w:t>one</w:t>
      </w:r>
      <w:r>
        <w:rPr>
          <w:spacing w:val="-2"/>
          <w:sz w:val="24"/>
        </w:rPr>
        <w:t> </w:t>
      </w:r>
      <w:r>
        <w:rPr>
          <w:sz w:val="24"/>
        </w:rPr>
        <w:t>member</w:t>
      </w:r>
      <w:r>
        <w:rPr>
          <w:spacing w:val="-2"/>
          <w:sz w:val="24"/>
        </w:rPr>
        <w:t> </w:t>
      </w:r>
      <w:r>
        <w:rPr>
          <w:sz w:val="24"/>
        </w:rPr>
        <w:t>of</w:t>
      </w:r>
      <w:r>
        <w:rPr>
          <w:spacing w:val="-3"/>
          <w:sz w:val="24"/>
        </w:rPr>
        <w:t> </w:t>
      </w:r>
      <w:r>
        <w:rPr>
          <w:sz w:val="24"/>
        </w:rPr>
        <w:t>the</w:t>
      </w:r>
      <w:r>
        <w:rPr>
          <w:spacing w:val="-2"/>
          <w:sz w:val="24"/>
        </w:rPr>
        <w:t> panel.</w:t>
      </w:r>
    </w:p>
    <w:p>
      <w:pPr>
        <w:pStyle w:val="ListParagraph"/>
        <w:numPr>
          <w:ilvl w:val="0"/>
          <w:numId w:val="395"/>
        </w:numPr>
        <w:tabs>
          <w:tab w:pos="1218" w:val="left" w:leader="none"/>
        </w:tabs>
        <w:spacing w:line="208" w:lineRule="auto" w:before="234" w:after="0"/>
        <w:ind w:left="792" w:right="1054" w:firstLine="0"/>
        <w:jc w:val="left"/>
        <w:rPr>
          <w:sz w:val="24"/>
        </w:rPr>
      </w:pPr>
      <w:r>
        <w:rPr>
          <w:sz w:val="24"/>
        </w:rPr>
        <w:t>The</w:t>
      </w:r>
      <w:r>
        <w:rPr>
          <w:spacing w:val="-4"/>
          <w:sz w:val="24"/>
        </w:rPr>
        <w:t> </w:t>
      </w:r>
      <w:r>
        <w:rPr>
          <w:sz w:val="24"/>
        </w:rPr>
        <w:t>agency</w:t>
      </w:r>
      <w:r>
        <w:rPr>
          <w:spacing w:val="-4"/>
          <w:sz w:val="24"/>
        </w:rPr>
        <w:t> </w:t>
      </w:r>
      <w:r>
        <w:rPr>
          <w:sz w:val="24"/>
        </w:rPr>
        <w:t>controlling</w:t>
      </w:r>
      <w:r>
        <w:rPr>
          <w:spacing w:val="-4"/>
          <w:sz w:val="24"/>
        </w:rPr>
        <w:t> </w:t>
      </w:r>
      <w:r>
        <w:rPr>
          <w:sz w:val="24"/>
        </w:rPr>
        <w:t>the</w:t>
      </w:r>
      <w:r>
        <w:rPr>
          <w:spacing w:val="-4"/>
          <w:sz w:val="24"/>
        </w:rPr>
        <w:t> </w:t>
      </w:r>
      <w:r>
        <w:rPr>
          <w:sz w:val="24"/>
        </w:rPr>
        <w:t>Federal</w:t>
      </w:r>
      <w:r>
        <w:rPr>
          <w:spacing w:val="-4"/>
          <w:sz w:val="24"/>
        </w:rPr>
        <w:t> </w:t>
      </w:r>
      <w:r>
        <w:rPr>
          <w:sz w:val="24"/>
        </w:rPr>
        <w:t>property</w:t>
      </w:r>
      <w:r>
        <w:rPr>
          <w:spacing w:val="-4"/>
          <w:sz w:val="24"/>
        </w:rPr>
        <w:t> </w:t>
      </w:r>
      <w:r>
        <w:rPr>
          <w:sz w:val="24"/>
        </w:rPr>
        <w:t>over</w:t>
      </w:r>
      <w:r>
        <w:rPr>
          <w:spacing w:val="-3"/>
          <w:sz w:val="24"/>
        </w:rPr>
        <w:t> </w:t>
      </w:r>
      <w:r>
        <w:rPr>
          <w:sz w:val="24"/>
        </w:rPr>
        <w:t>which</w:t>
      </w:r>
      <w:r>
        <w:rPr>
          <w:spacing w:val="-4"/>
          <w:sz w:val="24"/>
        </w:rPr>
        <w:t> </w:t>
      </w:r>
      <w:r>
        <w:rPr>
          <w:sz w:val="24"/>
        </w:rPr>
        <w:t>the</w:t>
      </w:r>
      <w:r>
        <w:rPr>
          <w:spacing w:val="-4"/>
          <w:sz w:val="24"/>
        </w:rPr>
        <w:t> </w:t>
      </w:r>
      <w:r>
        <w:rPr>
          <w:sz w:val="24"/>
        </w:rPr>
        <w:t>dispute</w:t>
      </w:r>
      <w:r>
        <w:rPr>
          <w:spacing w:val="-4"/>
          <w:sz w:val="24"/>
        </w:rPr>
        <w:t> </w:t>
      </w:r>
      <w:r>
        <w:rPr>
          <w:sz w:val="24"/>
        </w:rPr>
        <w:t>arose</w:t>
      </w:r>
      <w:r>
        <w:rPr>
          <w:spacing w:val="-4"/>
          <w:sz w:val="24"/>
        </w:rPr>
        <w:t> </w:t>
      </w:r>
      <w:r>
        <w:rPr>
          <w:sz w:val="24"/>
        </w:rPr>
        <w:t>will designate one member of the panel.</w:t>
      </w:r>
    </w:p>
    <w:p>
      <w:pPr>
        <w:pStyle w:val="ListParagraph"/>
        <w:numPr>
          <w:ilvl w:val="0"/>
          <w:numId w:val="395"/>
        </w:numPr>
        <w:tabs>
          <w:tab w:pos="1218" w:val="left" w:leader="none"/>
        </w:tabs>
        <w:spacing w:line="208" w:lineRule="auto" w:before="240" w:after="0"/>
        <w:ind w:left="792" w:right="733" w:firstLine="0"/>
        <w:jc w:val="left"/>
        <w:rPr>
          <w:sz w:val="24"/>
        </w:rPr>
      </w:pPr>
      <w:r>
        <w:rPr>
          <w:sz w:val="24"/>
        </w:rPr>
        <w:t>The</w:t>
      </w:r>
      <w:r>
        <w:rPr>
          <w:spacing w:val="-4"/>
          <w:sz w:val="24"/>
        </w:rPr>
        <w:t> </w:t>
      </w:r>
      <w:r>
        <w:rPr>
          <w:sz w:val="24"/>
        </w:rPr>
        <w:t>designees</w:t>
      </w:r>
      <w:r>
        <w:rPr>
          <w:spacing w:val="-4"/>
          <w:sz w:val="24"/>
        </w:rPr>
        <w:t> </w:t>
      </w:r>
      <w:r>
        <w:rPr>
          <w:sz w:val="24"/>
        </w:rPr>
        <w:t>of</w:t>
      </w:r>
      <w:r>
        <w:rPr>
          <w:spacing w:val="-3"/>
          <w:sz w:val="24"/>
        </w:rPr>
        <w:t> </w:t>
      </w:r>
      <w:r>
        <w:rPr>
          <w:sz w:val="24"/>
        </w:rPr>
        <w:t>the</w:t>
      </w:r>
      <w:r>
        <w:rPr>
          <w:spacing w:val="-4"/>
          <w:sz w:val="24"/>
        </w:rPr>
        <w:t> </w:t>
      </w:r>
      <w:r>
        <w:rPr>
          <w:sz w:val="24"/>
        </w:rPr>
        <w:t>SLA</w:t>
      </w:r>
      <w:r>
        <w:rPr>
          <w:spacing w:val="-4"/>
          <w:sz w:val="24"/>
        </w:rPr>
        <w:t> </w:t>
      </w:r>
      <w:r>
        <w:rPr>
          <w:sz w:val="24"/>
        </w:rPr>
        <w:t>and</w:t>
      </w:r>
      <w:r>
        <w:rPr>
          <w:spacing w:val="-4"/>
          <w:sz w:val="24"/>
        </w:rPr>
        <w:t> </w:t>
      </w:r>
      <w:r>
        <w:rPr>
          <w:sz w:val="24"/>
        </w:rPr>
        <w:t>the</w:t>
      </w:r>
      <w:r>
        <w:rPr>
          <w:spacing w:val="-4"/>
          <w:sz w:val="24"/>
        </w:rPr>
        <w:t> </w:t>
      </w:r>
      <w:r>
        <w:rPr>
          <w:sz w:val="24"/>
        </w:rPr>
        <w:t>agency</w:t>
      </w:r>
      <w:r>
        <w:rPr>
          <w:spacing w:val="-4"/>
          <w:sz w:val="24"/>
        </w:rPr>
        <w:t> </w:t>
      </w:r>
      <w:r>
        <w:rPr>
          <w:sz w:val="24"/>
        </w:rPr>
        <w:t>controlling</w:t>
      </w:r>
      <w:r>
        <w:rPr>
          <w:spacing w:val="-4"/>
          <w:sz w:val="24"/>
        </w:rPr>
        <w:t> </w:t>
      </w:r>
      <w:r>
        <w:rPr>
          <w:sz w:val="24"/>
        </w:rPr>
        <w:t>the</w:t>
      </w:r>
      <w:r>
        <w:rPr>
          <w:spacing w:val="-4"/>
          <w:sz w:val="24"/>
        </w:rPr>
        <w:t> </w:t>
      </w:r>
      <w:r>
        <w:rPr>
          <w:sz w:val="24"/>
        </w:rPr>
        <w:t>property</w:t>
      </w:r>
      <w:r>
        <w:rPr>
          <w:spacing w:val="-4"/>
          <w:sz w:val="24"/>
        </w:rPr>
        <w:t> </w:t>
      </w:r>
      <w:r>
        <w:rPr>
          <w:sz w:val="24"/>
        </w:rPr>
        <w:t>will</w:t>
      </w:r>
      <w:r>
        <w:rPr>
          <w:spacing w:val="-4"/>
          <w:sz w:val="24"/>
        </w:rPr>
        <w:t> </w:t>
      </w:r>
      <w:r>
        <w:rPr>
          <w:sz w:val="24"/>
        </w:rPr>
        <w:t>designate a third member who is not an employee of the agency controlling the Federal property. This member will chair the panel.</w:t>
      </w:r>
    </w:p>
    <w:p>
      <w:pPr>
        <w:pStyle w:val="ListParagraph"/>
        <w:numPr>
          <w:ilvl w:val="0"/>
          <w:numId w:val="395"/>
        </w:numPr>
        <w:tabs>
          <w:tab w:pos="1217" w:val="left" w:leader="none"/>
        </w:tabs>
        <w:spacing w:line="208" w:lineRule="auto" w:before="239" w:after="0"/>
        <w:ind w:left="792" w:right="1133" w:firstLine="0"/>
        <w:jc w:val="left"/>
        <w:rPr>
          <w:sz w:val="24"/>
        </w:rPr>
      </w:pPr>
      <w:r>
        <w:rPr>
          <w:sz w:val="24"/>
        </w:rPr>
        <w:t>If either the SLA or the head of the Federal department, agency, or instrumentality</w:t>
      </w:r>
      <w:r>
        <w:rPr>
          <w:spacing w:val="-4"/>
          <w:sz w:val="24"/>
        </w:rPr>
        <w:t> </w:t>
      </w:r>
      <w:r>
        <w:rPr>
          <w:sz w:val="24"/>
        </w:rPr>
        <w:t>fails</w:t>
      </w:r>
      <w:r>
        <w:rPr>
          <w:spacing w:val="-4"/>
          <w:sz w:val="24"/>
        </w:rPr>
        <w:t> </w:t>
      </w:r>
      <w:r>
        <w:rPr>
          <w:sz w:val="24"/>
        </w:rPr>
        <w:t>to</w:t>
      </w:r>
      <w:r>
        <w:rPr>
          <w:spacing w:val="-4"/>
          <w:sz w:val="24"/>
        </w:rPr>
        <w:t> </w:t>
      </w:r>
      <w:r>
        <w:rPr>
          <w:sz w:val="24"/>
        </w:rPr>
        <w:t>designate</w:t>
      </w:r>
      <w:r>
        <w:rPr>
          <w:spacing w:val="-4"/>
          <w:sz w:val="24"/>
        </w:rPr>
        <w:t> </w:t>
      </w:r>
      <w:r>
        <w:rPr>
          <w:sz w:val="24"/>
        </w:rPr>
        <w:t>a</w:t>
      </w:r>
      <w:r>
        <w:rPr>
          <w:spacing w:val="-4"/>
          <w:sz w:val="24"/>
        </w:rPr>
        <w:t> </w:t>
      </w:r>
      <w:r>
        <w:rPr>
          <w:sz w:val="24"/>
        </w:rPr>
        <w:t>member</w:t>
      </w:r>
      <w:r>
        <w:rPr>
          <w:spacing w:val="-5"/>
          <w:sz w:val="24"/>
        </w:rPr>
        <w:t> </w:t>
      </w:r>
      <w:r>
        <w:rPr>
          <w:sz w:val="24"/>
        </w:rPr>
        <w:t>of</w:t>
      </w:r>
      <w:r>
        <w:rPr>
          <w:spacing w:val="-3"/>
          <w:sz w:val="24"/>
        </w:rPr>
        <w:t> </w:t>
      </w:r>
      <w:r>
        <w:rPr>
          <w:sz w:val="24"/>
        </w:rPr>
        <w:t>an</w:t>
      </w:r>
      <w:r>
        <w:rPr>
          <w:spacing w:val="-4"/>
          <w:sz w:val="24"/>
        </w:rPr>
        <w:t> </w:t>
      </w:r>
      <w:r>
        <w:rPr>
          <w:sz w:val="24"/>
        </w:rPr>
        <w:t>arbitration</w:t>
      </w:r>
      <w:r>
        <w:rPr>
          <w:spacing w:val="-4"/>
          <w:sz w:val="24"/>
        </w:rPr>
        <w:t> </w:t>
      </w:r>
      <w:r>
        <w:rPr>
          <w:sz w:val="24"/>
        </w:rPr>
        <w:t>panel,</w:t>
      </w:r>
      <w:r>
        <w:rPr>
          <w:spacing w:val="-3"/>
          <w:sz w:val="24"/>
        </w:rPr>
        <w:t> </w:t>
      </w:r>
      <w:r>
        <w:rPr>
          <w:sz w:val="24"/>
        </w:rPr>
        <w:t>the</w:t>
      </w:r>
      <w:r>
        <w:rPr>
          <w:spacing w:val="-4"/>
          <w:sz w:val="24"/>
        </w:rPr>
        <w:t> </w:t>
      </w:r>
      <w:r>
        <w:rPr>
          <w:sz w:val="24"/>
        </w:rPr>
        <w:t>Secretary shall designate such member on behalf of such party.</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spacing w:after="0" w:line="253" w:lineRule="exact"/>
        <w:jc w:val="left"/>
        <w:rPr>
          <w:sz w:val="22"/>
        </w:rPr>
        <w:sectPr>
          <w:pgSz w:w="12240" w:h="15840"/>
          <w:pgMar w:top="1340" w:bottom="280" w:left="1080" w:right="720"/>
        </w:sectPr>
      </w:pPr>
    </w:p>
    <w:p>
      <w:pPr>
        <w:pStyle w:val="Heading1"/>
        <w:spacing w:line="208" w:lineRule="auto" w:before="96"/>
        <w:ind w:right="778"/>
      </w:pPr>
      <w:bookmarkStart w:name="SUBCHAPTER 6. LICENSED MANAGERS AND BUSI" w:id="419"/>
      <w:bookmarkEnd w:id="419"/>
      <w:r>
        <w:rPr>
          <w:b w:val="0"/>
        </w:rPr>
      </w:r>
      <w:r>
        <w:rPr/>
        <w:t>SUBCHAPTER</w:t>
      </w:r>
      <w:r>
        <w:rPr>
          <w:spacing w:val="-7"/>
        </w:rPr>
        <w:t> </w:t>
      </w:r>
      <w:r>
        <w:rPr/>
        <w:t>6.</w:t>
      </w:r>
      <w:r>
        <w:rPr>
          <w:spacing w:val="-6"/>
        </w:rPr>
        <w:t> </w:t>
      </w:r>
      <w:r>
        <w:rPr/>
        <w:t>LICENSED</w:t>
      </w:r>
      <w:r>
        <w:rPr>
          <w:spacing w:val="-7"/>
        </w:rPr>
        <w:t> </w:t>
      </w:r>
      <w:r>
        <w:rPr/>
        <w:t>MANAGERS</w:t>
      </w:r>
      <w:r>
        <w:rPr>
          <w:spacing w:val="-7"/>
        </w:rPr>
        <w:t> </w:t>
      </w:r>
      <w:r>
        <w:rPr/>
        <w:t>AND</w:t>
      </w:r>
      <w:r>
        <w:rPr>
          <w:spacing w:val="-7"/>
        </w:rPr>
        <w:t> </w:t>
      </w:r>
      <w:r>
        <w:rPr/>
        <w:t>BUSINESS</w:t>
      </w:r>
      <w:r>
        <w:rPr>
          <w:spacing w:val="-7"/>
        </w:rPr>
        <w:t> </w:t>
      </w:r>
      <w:r>
        <w:rPr/>
        <w:t>ENTERPRISE </w:t>
      </w:r>
      <w:r>
        <w:rPr>
          <w:spacing w:val="-2"/>
        </w:rPr>
        <w:t>OPERATION</w:t>
      </w:r>
    </w:p>
    <w:p>
      <w:pPr>
        <w:spacing w:before="210"/>
        <w:ind w:left="420" w:right="779" w:firstLine="0"/>
        <w:jc w:val="center"/>
        <w:rPr>
          <w:b/>
          <w:sz w:val="24"/>
        </w:rPr>
      </w:pPr>
      <w:r>
        <w:rPr>
          <w:b/>
          <w:sz w:val="24"/>
        </w:rPr>
        <w:t>PART</w:t>
      </w:r>
      <w:r>
        <w:rPr>
          <w:b/>
          <w:spacing w:val="-3"/>
          <w:sz w:val="24"/>
        </w:rPr>
        <w:t> </w:t>
      </w:r>
      <w:r>
        <w:rPr>
          <w:b/>
          <w:sz w:val="24"/>
        </w:rPr>
        <w:t>1.</w:t>
      </w:r>
      <w:r>
        <w:rPr>
          <w:b/>
          <w:spacing w:val="-3"/>
          <w:sz w:val="24"/>
        </w:rPr>
        <w:t> </w:t>
      </w:r>
      <w:r>
        <w:rPr>
          <w:b/>
          <w:sz w:val="24"/>
        </w:rPr>
        <w:t>LICENSED</w:t>
      </w:r>
      <w:r>
        <w:rPr>
          <w:b/>
          <w:spacing w:val="-2"/>
          <w:sz w:val="24"/>
        </w:rPr>
        <w:t> MANAGERS</w:t>
      </w:r>
    </w:p>
    <w:p>
      <w:pPr>
        <w:pStyle w:val="BodyText"/>
        <w:spacing w:before="204"/>
      </w:pPr>
      <w:r>
        <w:rPr>
          <w:spacing w:val="-2"/>
        </w:rPr>
        <w:t>Section</w:t>
      </w:r>
    </w:p>
    <w:p>
      <w:pPr>
        <w:pStyle w:val="BodyText"/>
        <w:tabs>
          <w:tab w:pos="2159" w:val="left" w:leader="none"/>
        </w:tabs>
        <w:spacing w:line="417" w:lineRule="auto" w:before="204"/>
        <w:ind w:right="1980"/>
      </w:pPr>
      <w:r>
        <w:rPr>
          <w:spacing w:val="-2"/>
        </w:rPr>
        <w:t>612:25-6-1.</w:t>
      </w:r>
      <w:r>
        <w:rPr/>
        <w:tab/>
        <w:t>Licensing</w:t>
      </w:r>
      <w:r>
        <w:rPr>
          <w:spacing w:val="-6"/>
        </w:rPr>
        <w:t> </w:t>
      </w:r>
      <w:r>
        <w:rPr/>
        <w:t>requirements</w:t>
      </w:r>
      <w:r>
        <w:rPr>
          <w:spacing w:val="-6"/>
        </w:rPr>
        <w:t> </w:t>
      </w:r>
      <w:r>
        <w:rPr/>
        <w:t>for</w:t>
      </w:r>
      <w:r>
        <w:rPr>
          <w:spacing w:val="-7"/>
        </w:rPr>
        <w:t> </w:t>
      </w:r>
      <w:r>
        <w:rPr/>
        <w:t>managing</w:t>
      </w:r>
      <w:r>
        <w:rPr>
          <w:spacing w:val="-6"/>
        </w:rPr>
        <w:t> </w:t>
      </w:r>
      <w:r>
        <w:rPr/>
        <w:t>a</w:t>
      </w:r>
      <w:r>
        <w:rPr>
          <w:spacing w:val="-6"/>
        </w:rPr>
        <w:t> </w:t>
      </w:r>
      <w:r>
        <w:rPr/>
        <w:t>business</w:t>
      </w:r>
      <w:r>
        <w:rPr>
          <w:spacing w:val="-6"/>
        </w:rPr>
        <w:t> </w:t>
      </w:r>
      <w:r>
        <w:rPr/>
        <w:t>enterprise </w:t>
      </w:r>
      <w:r>
        <w:rPr>
          <w:spacing w:val="-2"/>
        </w:rPr>
        <w:t>612:25-6-2.</w:t>
      </w:r>
      <w:r>
        <w:rPr/>
        <w:tab/>
        <w:t>Standards for licensed managers</w:t>
      </w:r>
    </w:p>
    <w:p>
      <w:pPr>
        <w:pStyle w:val="BodyText"/>
        <w:tabs>
          <w:tab w:pos="2159" w:val="left" w:leader="none"/>
        </w:tabs>
        <w:spacing w:line="276" w:lineRule="exact" w:before="0"/>
      </w:pPr>
      <w:r>
        <w:rPr>
          <w:spacing w:val="-2"/>
        </w:rPr>
        <w:t>612:25-6-</w:t>
      </w:r>
      <w:r>
        <w:rPr>
          <w:spacing w:val="-4"/>
        </w:rPr>
        <w:t>2.1.</w:t>
      </w:r>
      <w:r>
        <w:rPr/>
        <w:tab/>
      </w:r>
      <w:r>
        <w:rPr>
          <w:spacing w:val="-2"/>
        </w:rPr>
        <w:t>Probation</w:t>
      </w:r>
    </w:p>
    <w:p>
      <w:pPr>
        <w:pStyle w:val="BodyText"/>
        <w:tabs>
          <w:tab w:pos="2159" w:val="left" w:leader="none"/>
        </w:tabs>
        <w:spacing w:line="417" w:lineRule="auto" w:before="204"/>
        <w:ind w:right="2915"/>
      </w:pPr>
      <w:r>
        <w:rPr>
          <w:spacing w:val="-2"/>
        </w:rPr>
        <w:t>612:25-6-3.</w:t>
      </w:r>
      <w:r>
        <w:rPr/>
        <w:tab/>
        <w:t>Grounds</w:t>
      </w:r>
      <w:r>
        <w:rPr>
          <w:spacing w:val="-6"/>
        </w:rPr>
        <w:t> </w:t>
      </w:r>
      <w:r>
        <w:rPr/>
        <w:t>for</w:t>
      </w:r>
      <w:r>
        <w:rPr>
          <w:spacing w:val="-5"/>
        </w:rPr>
        <w:t> </w:t>
      </w:r>
      <w:r>
        <w:rPr/>
        <w:t>suspension</w:t>
      </w:r>
      <w:r>
        <w:rPr>
          <w:spacing w:val="-6"/>
        </w:rPr>
        <w:t> </w:t>
      </w:r>
      <w:r>
        <w:rPr/>
        <w:t>or</w:t>
      </w:r>
      <w:r>
        <w:rPr>
          <w:spacing w:val="-5"/>
        </w:rPr>
        <w:t> </w:t>
      </w:r>
      <w:r>
        <w:rPr/>
        <w:t>termination</w:t>
      </w:r>
      <w:r>
        <w:rPr>
          <w:spacing w:val="-6"/>
        </w:rPr>
        <w:t> </w:t>
      </w:r>
      <w:r>
        <w:rPr/>
        <w:t>of</w:t>
      </w:r>
      <w:r>
        <w:rPr>
          <w:spacing w:val="-5"/>
        </w:rPr>
        <w:t> </w:t>
      </w:r>
      <w:r>
        <w:rPr/>
        <w:t>a</w:t>
      </w:r>
      <w:r>
        <w:rPr>
          <w:spacing w:val="-6"/>
        </w:rPr>
        <w:t> </w:t>
      </w:r>
      <w:r>
        <w:rPr/>
        <w:t>license </w:t>
      </w:r>
      <w:r>
        <w:rPr>
          <w:spacing w:val="-2"/>
        </w:rPr>
        <w:t>612:25-6-4.</w:t>
      </w:r>
      <w:r>
        <w:rPr/>
        <w:tab/>
        <w:t>Use of service animals</w:t>
      </w:r>
    </w:p>
    <w:p>
      <w:pPr>
        <w:pStyle w:val="Heading1"/>
        <w:spacing w:line="276" w:lineRule="exact" w:before="0"/>
        <w:ind w:right="778"/>
      </w:pPr>
      <w:r>
        <w:rPr/>
        <w:t>PART</w:t>
      </w:r>
      <w:r>
        <w:rPr>
          <w:spacing w:val="-2"/>
        </w:rPr>
        <w:t> </w:t>
      </w:r>
      <w:r>
        <w:rPr/>
        <w:t>3.</w:t>
      </w:r>
      <w:r>
        <w:rPr>
          <w:spacing w:val="-4"/>
        </w:rPr>
        <w:t> </w:t>
      </w:r>
      <w:r>
        <w:rPr/>
        <w:t>BUSINESS</w:t>
      </w:r>
      <w:r>
        <w:rPr>
          <w:spacing w:val="-1"/>
        </w:rPr>
        <w:t> </w:t>
      </w:r>
      <w:r>
        <w:rPr>
          <w:spacing w:val="-2"/>
        </w:rPr>
        <w:t>ENTERPRISES</w:t>
      </w:r>
    </w:p>
    <w:p>
      <w:pPr>
        <w:pStyle w:val="BodyText"/>
        <w:spacing w:before="204"/>
        <w:ind w:left="359"/>
      </w:pPr>
      <w:r>
        <w:rPr>
          <w:spacing w:val="-2"/>
        </w:rPr>
        <w:t>Section</w:t>
      </w:r>
    </w:p>
    <w:p>
      <w:pPr>
        <w:pStyle w:val="BodyText"/>
        <w:tabs>
          <w:tab w:pos="2159" w:val="left" w:leader="none"/>
        </w:tabs>
        <w:spacing w:before="205"/>
        <w:ind w:left="359"/>
      </w:pPr>
      <w:r>
        <w:rPr>
          <w:spacing w:val="-2"/>
        </w:rPr>
        <w:t>612:25-6-</w:t>
      </w:r>
      <w:r>
        <w:rPr>
          <w:spacing w:val="-5"/>
        </w:rPr>
        <w:t>15.</w:t>
      </w:r>
      <w:r>
        <w:rPr/>
        <w:tab/>
        <w:t>Setting</w:t>
      </w:r>
      <w:r>
        <w:rPr>
          <w:spacing w:val="-5"/>
        </w:rPr>
        <w:t> </w:t>
      </w:r>
      <w:r>
        <w:rPr/>
        <w:t>aside</w:t>
      </w:r>
      <w:r>
        <w:rPr>
          <w:spacing w:val="-2"/>
        </w:rPr>
        <w:t> </w:t>
      </w:r>
      <w:r>
        <w:rPr/>
        <w:t>of</w:t>
      </w:r>
      <w:r>
        <w:rPr>
          <w:spacing w:val="-1"/>
        </w:rPr>
        <w:t> </w:t>
      </w:r>
      <w:r>
        <w:rPr>
          <w:spacing w:val="-2"/>
        </w:rPr>
        <w:t>funds</w:t>
      </w:r>
    </w:p>
    <w:p>
      <w:pPr>
        <w:pStyle w:val="BodyText"/>
        <w:tabs>
          <w:tab w:pos="2159" w:val="left" w:leader="none"/>
        </w:tabs>
        <w:spacing w:before="204"/>
        <w:ind w:left="359"/>
      </w:pPr>
      <w:r>
        <w:rPr>
          <w:spacing w:val="-2"/>
        </w:rPr>
        <w:t>612:25-6-</w:t>
      </w:r>
      <w:r>
        <w:rPr>
          <w:spacing w:val="-5"/>
        </w:rPr>
        <w:t>16.</w:t>
      </w:r>
      <w:r>
        <w:rPr/>
        <w:tab/>
        <w:t>Criteria</w:t>
      </w:r>
      <w:r>
        <w:rPr>
          <w:spacing w:val="-5"/>
        </w:rPr>
        <w:t> </w:t>
      </w:r>
      <w:r>
        <w:rPr/>
        <w:t>to</w:t>
      </w:r>
      <w:r>
        <w:rPr>
          <w:spacing w:val="-4"/>
        </w:rPr>
        <w:t> </w:t>
      </w:r>
      <w:r>
        <w:rPr/>
        <w:t>establish</w:t>
      </w:r>
      <w:r>
        <w:rPr>
          <w:spacing w:val="-3"/>
        </w:rPr>
        <w:t> </w:t>
      </w:r>
      <w:r>
        <w:rPr/>
        <w:t>a</w:t>
      </w:r>
      <w:r>
        <w:rPr>
          <w:spacing w:val="-2"/>
        </w:rPr>
        <w:t> </w:t>
      </w:r>
      <w:r>
        <w:rPr/>
        <w:t>business</w:t>
      </w:r>
      <w:r>
        <w:rPr>
          <w:spacing w:val="-2"/>
        </w:rPr>
        <w:t> enterprise</w:t>
      </w:r>
    </w:p>
    <w:p>
      <w:pPr>
        <w:pStyle w:val="BodyText"/>
        <w:tabs>
          <w:tab w:pos="2159" w:val="left" w:leader="none"/>
        </w:tabs>
        <w:spacing w:line="417" w:lineRule="auto" w:before="204"/>
        <w:ind w:left="359" w:right="2381"/>
      </w:pPr>
      <w:r>
        <w:rPr>
          <w:spacing w:val="-2"/>
        </w:rPr>
        <w:t>612:25-6-17.</w:t>
      </w:r>
      <w:r>
        <w:rPr/>
        <w:tab/>
        <w:t>Contracts and permits for business enterprise facilities </w:t>
      </w:r>
      <w:r>
        <w:rPr>
          <w:spacing w:val="-2"/>
        </w:rPr>
        <w:t>612:25-6-18.</w:t>
      </w:r>
      <w:r>
        <w:rPr/>
        <w:tab/>
        <w:t>Establishing</w:t>
      </w:r>
      <w:r>
        <w:rPr>
          <w:spacing w:val="-8"/>
        </w:rPr>
        <w:t> </w:t>
      </w:r>
      <w:r>
        <w:rPr/>
        <w:t>licensed</w:t>
      </w:r>
      <w:r>
        <w:rPr>
          <w:spacing w:val="-8"/>
        </w:rPr>
        <w:t> </w:t>
      </w:r>
      <w:r>
        <w:rPr/>
        <w:t>managers</w:t>
      </w:r>
      <w:r>
        <w:rPr>
          <w:spacing w:val="-8"/>
        </w:rPr>
        <w:t> </w:t>
      </w:r>
      <w:r>
        <w:rPr/>
        <w:t>in</w:t>
      </w:r>
      <w:r>
        <w:rPr>
          <w:spacing w:val="-8"/>
        </w:rPr>
        <w:t> </w:t>
      </w:r>
      <w:r>
        <w:rPr/>
        <w:t>business</w:t>
      </w:r>
      <w:r>
        <w:rPr>
          <w:spacing w:val="-7"/>
        </w:rPr>
        <w:t> </w:t>
      </w:r>
      <w:r>
        <w:rPr/>
        <w:t>enterprises </w:t>
      </w:r>
      <w:r>
        <w:rPr>
          <w:spacing w:val="-2"/>
        </w:rPr>
        <w:t>612:25-6-19.</w:t>
      </w:r>
      <w:r>
        <w:rPr/>
        <w:tab/>
        <w:t>Employees of the licensed manager</w:t>
      </w:r>
    </w:p>
    <w:p>
      <w:pPr>
        <w:pStyle w:val="BodyText"/>
        <w:tabs>
          <w:tab w:pos="2159" w:val="left" w:leader="none"/>
        </w:tabs>
        <w:spacing w:line="417" w:lineRule="auto" w:before="0"/>
        <w:ind w:right="5128"/>
      </w:pPr>
      <w:r>
        <w:rPr>
          <w:spacing w:val="-2"/>
        </w:rPr>
        <w:t>612:25-6-20.</w:t>
      </w:r>
      <w:r>
        <w:rPr/>
        <w:tab/>
        <w:t>Closing</w:t>
      </w:r>
      <w:r>
        <w:rPr>
          <w:spacing w:val="-12"/>
        </w:rPr>
        <w:t> </w:t>
      </w:r>
      <w:r>
        <w:rPr/>
        <w:t>a</w:t>
      </w:r>
      <w:r>
        <w:rPr>
          <w:spacing w:val="-12"/>
        </w:rPr>
        <w:t> </w:t>
      </w:r>
      <w:r>
        <w:rPr/>
        <w:t>business</w:t>
      </w:r>
      <w:r>
        <w:rPr>
          <w:spacing w:val="-12"/>
        </w:rPr>
        <w:t> </w:t>
      </w:r>
      <w:r>
        <w:rPr/>
        <w:t>enterprise </w:t>
      </w:r>
      <w:r>
        <w:rPr>
          <w:spacing w:val="-2"/>
        </w:rPr>
        <w:t>612:25-6-21.</w:t>
      </w:r>
      <w:r>
        <w:rPr/>
        <w:tab/>
        <w:t>Business expenses</w:t>
      </w:r>
    </w:p>
    <w:p>
      <w:pPr>
        <w:pStyle w:val="BodyText"/>
        <w:tabs>
          <w:tab w:pos="2159" w:val="left" w:leader="none"/>
        </w:tabs>
        <w:spacing w:line="276" w:lineRule="exact" w:before="0"/>
      </w:pPr>
      <w:r>
        <w:rPr>
          <w:spacing w:val="-2"/>
        </w:rPr>
        <w:t>612:25-6-</w:t>
      </w:r>
      <w:r>
        <w:rPr>
          <w:spacing w:val="-5"/>
        </w:rPr>
        <w:t>22.</w:t>
      </w:r>
      <w:r>
        <w:rPr/>
        <w:tab/>
        <w:t>Monthly</w:t>
      </w:r>
      <w:r>
        <w:rPr>
          <w:spacing w:val="-4"/>
        </w:rPr>
        <w:t> </w:t>
      </w:r>
      <w:r>
        <w:rPr>
          <w:spacing w:val="-2"/>
        </w:rPr>
        <w:t>reports</w:t>
      </w:r>
    </w:p>
    <w:p>
      <w:pPr>
        <w:pStyle w:val="Heading1"/>
        <w:spacing w:before="203"/>
        <w:ind w:right="777"/>
      </w:pPr>
      <w:r>
        <w:rPr/>
        <w:t>PART</w:t>
      </w:r>
      <w:r>
        <w:rPr>
          <w:spacing w:val="-2"/>
        </w:rPr>
        <w:t> </w:t>
      </w:r>
      <w:r>
        <w:rPr/>
        <w:t>5.</w:t>
      </w:r>
      <w:r>
        <w:rPr>
          <w:spacing w:val="-4"/>
        </w:rPr>
        <w:t> </w:t>
      </w:r>
      <w:r>
        <w:rPr/>
        <w:t>THE</w:t>
      </w:r>
      <w:r>
        <w:rPr>
          <w:spacing w:val="-3"/>
        </w:rPr>
        <w:t> </w:t>
      </w:r>
      <w:r>
        <w:rPr/>
        <w:t>ELECTED</w:t>
      </w:r>
      <w:r>
        <w:rPr>
          <w:spacing w:val="-2"/>
        </w:rPr>
        <w:t> </w:t>
      </w:r>
      <w:r>
        <w:rPr/>
        <w:t>COMMITTEE</w:t>
      </w:r>
      <w:r>
        <w:rPr>
          <w:spacing w:val="-3"/>
        </w:rPr>
        <w:t> </w:t>
      </w:r>
      <w:r>
        <w:rPr/>
        <w:t>OF</w:t>
      </w:r>
      <w:r>
        <w:rPr>
          <w:spacing w:val="-2"/>
        </w:rPr>
        <w:t> </w:t>
      </w:r>
      <w:r>
        <w:rPr/>
        <w:t>LICENSED</w:t>
      </w:r>
      <w:r>
        <w:rPr>
          <w:spacing w:val="-1"/>
        </w:rPr>
        <w:t> </w:t>
      </w:r>
      <w:r>
        <w:rPr>
          <w:spacing w:val="-2"/>
        </w:rPr>
        <w:t>MANAGERS</w:t>
      </w:r>
    </w:p>
    <w:p>
      <w:pPr>
        <w:pStyle w:val="BodyText"/>
        <w:spacing w:before="204"/>
      </w:pPr>
      <w:r>
        <w:rPr>
          <w:spacing w:val="-2"/>
        </w:rPr>
        <w:t>Section</w:t>
      </w:r>
    </w:p>
    <w:p>
      <w:pPr>
        <w:pStyle w:val="BodyText"/>
        <w:tabs>
          <w:tab w:pos="2159" w:val="left" w:leader="none"/>
        </w:tabs>
        <w:spacing w:before="204"/>
      </w:pPr>
      <w:r>
        <w:rPr>
          <w:spacing w:val="-2"/>
        </w:rPr>
        <w:t>612:25-6-</w:t>
      </w:r>
      <w:r>
        <w:rPr>
          <w:spacing w:val="-5"/>
        </w:rPr>
        <w:t>32.</w:t>
      </w:r>
      <w:r>
        <w:rPr/>
        <w:tab/>
        <w:t>The</w:t>
      </w:r>
      <w:r>
        <w:rPr>
          <w:spacing w:val="-4"/>
        </w:rPr>
        <w:t> </w:t>
      </w:r>
      <w:r>
        <w:rPr/>
        <w:t>Elected</w:t>
      </w:r>
      <w:r>
        <w:rPr>
          <w:spacing w:val="-3"/>
        </w:rPr>
        <w:t> </w:t>
      </w:r>
      <w:r>
        <w:rPr/>
        <w:t>Committee</w:t>
      </w:r>
      <w:r>
        <w:rPr>
          <w:spacing w:val="-3"/>
        </w:rPr>
        <w:t> </w:t>
      </w:r>
      <w:r>
        <w:rPr/>
        <w:t>of</w:t>
      </w:r>
      <w:r>
        <w:rPr>
          <w:spacing w:val="-2"/>
        </w:rPr>
        <w:t> </w:t>
      </w:r>
      <w:r>
        <w:rPr/>
        <w:t>Licensed</w:t>
      </w:r>
      <w:r>
        <w:rPr>
          <w:spacing w:val="-3"/>
        </w:rPr>
        <w:t> </w:t>
      </w:r>
      <w:r>
        <w:rPr>
          <w:spacing w:val="-2"/>
        </w:rPr>
        <w:t>Managers</w:t>
      </w:r>
    </w:p>
    <w:p>
      <w:pPr>
        <w:pStyle w:val="BodyText"/>
        <w:tabs>
          <w:tab w:pos="2159" w:val="left" w:leader="none"/>
        </w:tabs>
        <w:spacing w:line="208" w:lineRule="auto" w:before="233"/>
        <w:ind w:left="2160" w:right="1327" w:hanging="1800"/>
      </w:pPr>
      <w:r>
        <w:rPr>
          <w:spacing w:val="-2"/>
        </w:rPr>
        <w:t>612:25-6-33.</w:t>
      </w:r>
      <w:r>
        <w:rPr/>
        <w:tab/>
        <w:t>Organization</w:t>
      </w:r>
      <w:r>
        <w:rPr>
          <w:spacing w:val="-5"/>
        </w:rPr>
        <w:t> </w:t>
      </w:r>
      <w:r>
        <w:rPr/>
        <w:t>and</w:t>
      </w:r>
      <w:r>
        <w:rPr>
          <w:spacing w:val="-5"/>
        </w:rPr>
        <w:t> </w:t>
      </w:r>
      <w:r>
        <w:rPr/>
        <w:t>operation</w:t>
      </w:r>
      <w:r>
        <w:rPr>
          <w:spacing w:val="-5"/>
        </w:rPr>
        <w:t> </w:t>
      </w:r>
      <w:r>
        <w:rPr/>
        <w:t>of</w:t>
      </w:r>
      <w:r>
        <w:rPr>
          <w:spacing w:val="-4"/>
        </w:rPr>
        <w:t> </w:t>
      </w:r>
      <w:r>
        <w:rPr/>
        <w:t>the</w:t>
      </w:r>
      <w:r>
        <w:rPr>
          <w:spacing w:val="-5"/>
        </w:rPr>
        <w:t> </w:t>
      </w:r>
      <w:r>
        <w:rPr/>
        <w:t>Elected</w:t>
      </w:r>
      <w:r>
        <w:rPr>
          <w:spacing w:val="-5"/>
        </w:rPr>
        <w:t> </w:t>
      </w:r>
      <w:r>
        <w:rPr/>
        <w:t>Committee</w:t>
      </w:r>
      <w:r>
        <w:rPr>
          <w:spacing w:val="-5"/>
        </w:rPr>
        <w:t> </w:t>
      </w:r>
      <w:r>
        <w:rPr/>
        <w:t>of</w:t>
      </w:r>
      <w:r>
        <w:rPr>
          <w:spacing w:val="-4"/>
        </w:rPr>
        <w:t> </w:t>
      </w:r>
      <w:r>
        <w:rPr/>
        <w:t>Licensed </w:t>
      </w:r>
      <w:r>
        <w:rPr>
          <w:spacing w:val="-2"/>
        </w:rPr>
        <w:t>Managers</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spacing w:before="0"/>
        <w:ind w:left="1439" w:right="775" w:firstLine="0"/>
        <w:jc w:val="left"/>
        <w:rPr>
          <w:sz w:val="22"/>
        </w:rPr>
      </w:pPr>
      <w:r>
        <w:rPr>
          <w:sz w:val="22"/>
        </w:rPr>
        <w:t>Permanent,</w:t>
      </w:r>
      <w:r>
        <w:rPr>
          <w:spacing w:val="-4"/>
          <w:sz w:val="22"/>
        </w:rPr>
        <w:t> </w:t>
      </w:r>
      <w:r>
        <w:rPr>
          <w:sz w:val="22"/>
        </w:rPr>
        <w:t>Complete</w:t>
      </w:r>
      <w:r>
        <w:rPr>
          <w:spacing w:val="-4"/>
          <w:sz w:val="22"/>
        </w:rPr>
        <w:t> </w:t>
      </w:r>
      <w:r>
        <w:rPr>
          <w:sz w:val="22"/>
        </w:rPr>
        <w:t>revision</w:t>
      </w:r>
      <w:r>
        <w:rPr>
          <w:spacing w:val="-4"/>
          <w:sz w:val="22"/>
        </w:rPr>
        <w:t> </w:t>
      </w:r>
      <w:r>
        <w:rPr>
          <w:sz w:val="22"/>
        </w:rPr>
        <w:t>of</w:t>
      </w:r>
      <w:r>
        <w:rPr>
          <w:spacing w:val="-5"/>
          <w:sz w:val="22"/>
        </w:rPr>
        <w:t> </w:t>
      </w:r>
      <w:r>
        <w:rPr>
          <w:sz w:val="22"/>
        </w:rPr>
        <w:t>Chapter</w:t>
      </w:r>
      <w:r>
        <w:rPr>
          <w:spacing w:val="-4"/>
          <w:sz w:val="22"/>
        </w:rPr>
        <w:t> </w:t>
      </w:r>
      <w:r>
        <w:rPr>
          <w:sz w:val="22"/>
        </w:rPr>
        <w:t>25;</w:t>
      </w:r>
      <w:r>
        <w:rPr>
          <w:spacing w:val="-4"/>
          <w:sz w:val="22"/>
        </w:rPr>
        <w:t> </w:t>
      </w:r>
      <w:r>
        <w:rPr>
          <w:sz w:val="22"/>
        </w:rPr>
        <w:t>odd</w:t>
      </w:r>
      <w:r>
        <w:rPr>
          <w:spacing w:val="-4"/>
          <w:sz w:val="22"/>
        </w:rPr>
        <w:t> </w:t>
      </w:r>
      <w:r>
        <w:rPr>
          <w:sz w:val="22"/>
        </w:rPr>
        <w:t>numbered</w:t>
      </w:r>
      <w:r>
        <w:rPr>
          <w:spacing w:val="-4"/>
          <w:sz w:val="22"/>
        </w:rPr>
        <w:t> </w:t>
      </w:r>
      <w:r>
        <w:rPr>
          <w:sz w:val="22"/>
        </w:rPr>
        <w:t>Subchapters</w:t>
      </w:r>
      <w:r>
        <w:rPr>
          <w:spacing w:val="-4"/>
          <w:sz w:val="22"/>
        </w:rPr>
        <w:t> </w:t>
      </w:r>
      <w:r>
        <w:rPr>
          <w:sz w:val="22"/>
        </w:rPr>
        <w:t>revoked and replaced by even numbered Subchapters</w:t>
      </w:r>
    </w:p>
    <w:p>
      <w:pPr>
        <w:tabs>
          <w:tab w:pos="1439" w:val="left" w:leader="none"/>
        </w:tabs>
        <w:spacing w:before="0"/>
        <w:ind w:left="360" w:right="0" w:firstLine="0"/>
        <w:jc w:val="left"/>
        <w:rPr>
          <w:sz w:val="22"/>
        </w:rPr>
      </w:pPr>
      <w:r>
        <w:rPr>
          <w:spacing w:val="-2"/>
          <w:sz w:val="22"/>
        </w:rPr>
        <w:t>7-1-</w:t>
      </w:r>
      <w:r>
        <w:rPr>
          <w:spacing w:val="-5"/>
          <w:sz w:val="22"/>
        </w:rPr>
        <w:t>05</w:t>
      </w:r>
      <w:r>
        <w:rPr>
          <w:sz w:val="22"/>
        </w:rPr>
        <w:tab/>
        <w:t>PT</w:t>
      </w:r>
      <w:r>
        <w:rPr>
          <w:spacing w:val="-8"/>
          <w:sz w:val="22"/>
        </w:rPr>
        <w:t> </w:t>
      </w:r>
      <w:r>
        <w:rPr>
          <w:sz w:val="22"/>
        </w:rPr>
        <w:t>Memo</w:t>
      </w:r>
      <w:r>
        <w:rPr>
          <w:spacing w:val="-8"/>
          <w:sz w:val="22"/>
        </w:rPr>
        <w:t> </w:t>
      </w:r>
      <w:r>
        <w:rPr>
          <w:sz w:val="22"/>
        </w:rPr>
        <w:t>#06-</w:t>
      </w:r>
      <w:r>
        <w:rPr>
          <w:spacing w:val="-5"/>
          <w:sz w:val="22"/>
        </w:rPr>
        <w:t>01</w:t>
      </w:r>
    </w:p>
    <w:p>
      <w:pPr>
        <w:spacing w:before="0"/>
        <w:ind w:left="1439" w:right="0" w:firstLine="0"/>
        <w:jc w:val="left"/>
        <w:rPr>
          <w:sz w:val="22"/>
        </w:rPr>
      </w:pPr>
      <w:r>
        <w:rPr>
          <w:sz w:val="22"/>
        </w:rPr>
        <w:t>Permanent,</w:t>
      </w:r>
      <w:r>
        <w:rPr>
          <w:spacing w:val="-7"/>
          <w:sz w:val="22"/>
        </w:rPr>
        <w:t> </w:t>
      </w:r>
      <w:r>
        <w:rPr>
          <w:sz w:val="22"/>
        </w:rPr>
        <w:t>amended</w:t>
      </w:r>
      <w:r>
        <w:rPr>
          <w:spacing w:val="-7"/>
          <w:sz w:val="22"/>
        </w:rPr>
        <w:t> </w:t>
      </w:r>
      <w:r>
        <w:rPr>
          <w:sz w:val="22"/>
        </w:rPr>
        <w:t>section</w:t>
      </w:r>
      <w:r>
        <w:rPr>
          <w:spacing w:val="-7"/>
          <w:sz w:val="22"/>
        </w:rPr>
        <w:t> </w:t>
      </w:r>
      <w:r>
        <w:rPr>
          <w:sz w:val="22"/>
        </w:rPr>
        <w:t>19</w:t>
      </w:r>
      <w:r>
        <w:rPr>
          <w:spacing w:val="-7"/>
          <w:sz w:val="22"/>
        </w:rPr>
        <w:t> </w:t>
      </w:r>
      <w:r>
        <w:rPr>
          <w:sz w:val="22"/>
        </w:rPr>
        <w:t>tag</w:t>
      </w:r>
      <w:r>
        <w:rPr>
          <w:spacing w:val="-9"/>
          <w:sz w:val="22"/>
        </w:rPr>
        <w:t> </w:t>
      </w:r>
      <w:r>
        <w:rPr>
          <w:spacing w:val="-4"/>
          <w:sz w:val="22"/>
        </w:rPr>
        <w:t>line</w:t>
      </w:r>
    </w:p>
    <w:p>
      <w:pPr>
        <w:pStyle w:val="ListParagraph"/>
        <w:numPr>
          <w:ilvl w:val="2"/>
          <w:numId w:val="246"/>
        </w:numPr>
        <w:tabs>
          <w:tab w:pos="1439" w:val="left" w:leader="none"/>
        </w:tabs>
        <w:spacing w:line="240" w:lineRule="auto" w:before="1" w:after="0"/>
        <w:ind w:left="1439" w:right="0" w:hanging="1079"/>
        <w:jc w:val="left"/>
        <w:rPr>
          <w:sz w:val="22"/>
        </w:rPr>
      </w:pPr>
      <w:r>
        <w:rPr>
          <w:sz w:val="22"/>
        </w:rPr>
        <w:t>Permanent,</w:t>
      </w:r>
      <w:r>
        <w:rPr>
          <w:spacing w:val="-6"/>
          <w:sz w:val="22"/>
        </w:rPr>
        <w:t> </w:t>
      </w:r>
      <w:r>
        <w:rPr>
          <w:sz w:val="22"/>
        </w:rPr>
        <w:t>new</w:t>
      </w:r>
      <w:r>
        <w:rPr>
          <w:spacing w:val="-8"/>
          <w:sz w:val="22"/>
        </w:rPr>
        <w:t> </w:t>
      </w:r>
      <w:r>
        <w:rPr>
          <w:sz w:val="22"/>
        </w:rPr>
        <w:t>policy</w:t>
      </w:r>
      <w:r>
        <w:rPr>
          <w:spacing w:val="-7"/>
          <w:sz w:val="22"/>
        </w:rPr>
        <w:t> </w:t>
      </w:r>
      <w:r>
        <w:rPr>
          <w:sz w:val="22"/>
        </w:rPr>
        <w:t>section</w:t>
      </w:r>
      <w:r>
        <w:rPr>
          <w:spacing w:val="-6"/>
          <w:sz w:val="22"/>
        </w:rPr>
        <w:t> </w:t>
      </w:r>
      <w:r>
        <w:rPr>
          <w:sz w:val="22"/>
        </w:rPr>
        <w:t>2.1,</w:t>
      </w:r>
      <w:r>
        <w:rPr>
          <w:spacing w:val="-7"/>
          <w:sz w:val="22"/>
        </w:rPr>
        <w:t> </w:t>
      </w:r>
      <w:r>
        <w:rPr>
          <w:sz w:val="22"/>
        </w:rPr>
        <w:t>amended</w:t>
      </w:r>
      <w:r>
        <w:rPr>
          <w:spacing w:val="-7"/>
          <w:sz w:val="22"/>
        </w:rPr>
        <w:t> </w:t>
      </w:r>
      <w:r>
        <w:rPr>
          <w:sz w:val="22"/>
        </w:rPr>
        <w:t>tag</w:t>
      </w:r>
      <w:r>
        <w:rPr>
          <w:spacing w:val="-6"/>
          <w:sz w:val="22"/>
        </w:rPr>
        <w:t> </w:t>
      </w:r>
      <w:r>
        <w:rPr>
          <w:sz w:val="22"/>
        </w:rPr>
        <w:t>line</w:t>
      </w:r>
      <w:r>
        <w:rPr>
          <w:spacing w:val="-7"/>
          <w:sz w:val="22"/>
        </w:rPr>
        <w:t> </w:t>
      </w:r>
      <w:r>
        <w:rPr>
          <w:sz w:val="22"/>
        </w:rPr>
        <w:t>section</w:t>
      </w:r>
      <w:r>
        <w:rPr>
          <w:spacing w:val="-8"/>
          <w:sz w:val="22"/>
        </w:rPr>
        <w:t> </w:t>
      </w:r>
      <w:r>
        <w:rPr>
          <w:spacing w:val="-5"/>
          <w:sz w:val="22"/>
        </w:rPr>
        <w:t>18</w:t>
      </w:r>
    </w:p>
    <w:p>
      <w:pPr>
        <w:pStyle w:val="ListParagraph"/>
        <w:spacing w:after="0" w:line="240" w:lineRule="auto"/>
        <w:jc w:val="left"/>
        <w:rPr>
          <w:sz w:val="22"/>
        </w:rPr>
        <w:sectPr>
          <w:pgSz w:w="12240" w:h="15840"/>
          <w:pgMar w:top="1340" w:bottom="280" w:left="1080" w:right="720"/>
        </w:sectPr>
      </w:pPr>
    </w:p>
    <w:p>
      <w:pPr>
        <w:tabs>
          <w:tab w:pos="1439" w:val="left" w:leader="none"/>
        </w:tabs>
        <w:spacing w:before="80"/>
        <w:ind w:left="1439" w:right="1147" w:hanging="1080"/>
        <w:jc w:val="left"/>
        <w:rPr>
          <w:sz w:val="22"/>
        </w:rPr>
      </w:pPr>
      <w:r>
        <w:rPr>
          <w:spacing w:val="-2"/>
          <w:sz w:val="22"/>
        </w:rPr>
        <w:t>9-12-14</w:t>
      </w:r>
      <w:r>
        <w:rPr>
          <w:sz w:val="22"/>
        </w:rPr>
        <w:tab/>
        <w:t>Updated</w:t>
      </w:r>
      <w:r>
        <w:rPr>
          <w:spacing w:val="-3"/>
          <w:sz w:val="22"/>
        </w:rPr>
        <w:t> </w:t>
      </w:r>
      <w:r>
        <w:rPr>
          <w:sz w:val="22"/>
        </w:rPr>
        <w:t>language</w:t>
      </w:r>
      <w:r>
        <w:rPr>
          <w:spacing w:val="-3"/>
          <w:sz w:val="22"/>
        </w:rPr>
        <w:t> </w:t>
      </w:r>
      <w:r>
        <w:rPr>
          <w:sz w:val="22"/>
        </w:rPr>
        <w:t>and</w:t>
      </w:r>
      <w:r>
        <w:rPr>
          <w:spacing w:val="-3"/>
          <w:sz w:val="22"/>
        </w:rPr>
        <w:t> </w:t>
      </w:r>
      <w:r>
        <w:rPr>
          <w:sz w:val="22"/>
        </w:rPr>
        <w:t>tag</w:t>
      </w:r>
      <w:r>
        <w:rPr>
          <w:spacing w:val="-3"/>
          <w:sz w:val="22"/>
        </w:rPr>
        <w:t> </w:t>
      </w:r>
      <w:r>
        <w:rPr>
          <w:sz w:val="22"/>
        </w:rPr>
        <w:t>line</w:t>
      </w:r>
      <w:r>
        <w:rPr>
          <w:spacing w:val="-3"/>
          <w:sz w:val="22"/>
        </w:rPr>
        <w:t> </w:t>
      </w:r>
      <w:r>
        <w:rPr>
          <w:sz w:val="22"/>
        </w:rPr>
        <w:t>in</w:t>
      </w:r>
      <w:r>
        <w:rPr>
          <w:spacing w:val="-3"/>
          <w:sz w:val="22"/>
        </w:rPr>
        <w:t> </w:t>
      </w:r>
      <w:r>
        <w:rPr>
          <w:sz w:val="22"/>
        </w:rPr>
        <w:t>612:25-6-4</w:t>
      </w:r>
      <w:r>
        <w:rPr>
          <w:spacing w:val="-3"/>
          <w:sz w:val="22"/>
        </w:rPr>
        <w:t> </w:t>
      </w:r>
      <w:r>
        <w:rPr>
          <w:sz w:val="22"/>
        </w:rPr>
        <w:t>Use</w:t>
      </w:r>
      <w:r>
        <w:rPr>
          <w:spacing w:val="-3"/>
          <w:sz w:val="22"/>
        </w:rPr>
        <w:t> </w:t>
      </w:r>
      <w:r>
        <w:rPr>
          <w:sz w:val="22"/>
        </w:rPr>
        <w:t>of</w:t>
      </w:r>
      <w:r>
        <w:rPr>
          <w:spacing w:val="-3"/>
          <w:sz w:val="22"/>
        </w:rPr>
        <w:t> </w:t>
      </w:r>
      <w:r>
        <w:rPr>
          <w:sz w:val="22"/>
        </w:rPr>
        <w:t>dog</w:t>
      </w:r>
      <w:r>
        <w:rPr>
          <w:spacing w:val="-3"/>
          <w:sz w:val="22"/>
        </w:rPr>
        <w:t> </w:t>
      </w:r>
      <w:r>
        <w:rPr>
          <w:sz w:val="22"/>
        </w:rPr>
        <w:t>guides</w:t>
      </w:r>
      <w:r>
        <w:rPr>
          <w:spacing w:val="-3"/>
          <w:sz w:val="22"/>
        </w:rPr>
        <w:t> </w:t>
      </w:r>
      <w:r>
        <w:rPr>
          <w:sz w:val="22"/>
        </w:rPr>
        <w:t>to</w:t>
      </w:r>
      <w:r>
        <w:rPr>
          <w:spacing w:val="-3"/>
          <w:sz w:val="22"/>
        </w:rPr>
        <w:t> </w:t>
      </w:r>
      <w:r>
        <w:rPr>
          <w:sz w:val="22"/>
        </w:rPr>
        <w:t>use</w:t>
      </w:r>
      <w:r>
        <w:rPr>
          <w:spacing w:val="-3"/>
          <w:sz w:val="22"/>
        </w:rPr>
        <w:t> </w:t>
      </w:r>
      <w:r>
        <w:rPr>
          <w:sz w:val="22"/>
        </w:rPr>
        <w:t>of</w:t>
      </w:r>
      <w:r>
        <w:rPr>
          <w:spacing w:val="-3"/>
          <w:sz w:val="22"/>
        </w:rPr>
        <w:t> </w:t>
      </w:r>
      <w:r>
        <w:rPr>
          <w:sz w:val="22"/>
        </w:rPr>
        <w:t>service </w:t>
      </w:r>
      <w:r>
        <w:rPr>
          <w:spacing w:val="-2"/>
          <w:sz w:val="22"/>
        </w:rPr>
        <w:t>animals.</w:t>
      </w:r>
    </w:p>
    <w:p>
      <w:pPr>
        <w:tabs>
          <w:tab w:pos="1440" w:val="left" w:leader="none"/>
        </w:tabs>
        <w:spacing w:before="0"/>
        <w:ind w:left="1440" w:right="1173" w:hanging="1081"/>
        <w:jc w:val="left"/>
        <w:rPr>
          <w:sz w:val="22"/>
        </w:rPr>
      </w:pPr>
      <w:r>
        <w:rPr>
          <w:spacing w:val="-2"/>
          <w:sz w:val="22"/>
        </w:rPr>
        <w:t>9-11-22</w:t>
      </w:r>
      <w:r>
        <w:rPr>
          <w:sz w:val="22"/>
        </w:rPr>
        <w:tab/>
        <w:t>Revoked</w:t>
      </w:r>
      <w:r>
        <w:rPr>
          <w:spacing w:val="-5"/>
          <w:sz w:val="22"/>
        </w:rPr>
        <w:t> </w:t>
      </w:r>
      <w:r>
        <w:rPr>
          <w:sz w:val="22"/>
        </w:rPr>
        <w:t>612:25-6-5</w:t>
      </w:r>
      <w:r>
        <w:rPr>
          <w:spacing w:val="-5"/>
          <w:sz w:val="22"/>
        </w:rPr>
        <w:t> </w:t>
      </w:r>
      <w:r>
        <w:rPr>
          <w:sz w:val="22"/>
        </w:rPr>
        <w:t>Motor</w:t>
      </w:r>
      <w:r>
        <w:rPr>
          <w:spacing w:val="-5"/>
          <w:sz w:val="22"/>
        </w:rPr>
        <w:t> </w:t>
      </w:r>
      <w:r>
        <w:rPr>
          <w:sz w:val="22"/>
        </w:rPr>
        <w:t>vehicle</w:t>
      </w:r>
      <w:r>
        <w:rPr>
          <w:spacing w:val="-6"/>
          <w:sz w:val="22"/>
        </w:rPr>
        <w:t> </w:t>
      </w:r>
      <w:r>
        <w:rPr>
          <w:sz w:val="22"/>
        </w:rPr>
        <w:t>operation,</w:t>
      </w:r>
      <w:r>
        <w:rPr>
          <w:spacing w:val="-5"/>
          <w:sz w:val="22"/>
        </w:rPr>
        <w:t> </w:t>
      </w:r>
      <w:r>
        <w:rPr>
          <w:sz w:val="22"/>
        </w:rPr>
        <w:t>612:25-6-18</w:t>
      </w:r>
      <w:r>
        <w:rPr>
          <w:spacing w:val="-5"/>
          <w:sz w:val="22"/>
        </w:rPr>
        <w:t> </w:t>
      </w:r>
      <w:r>
        <w:rPr>
          <w:sz w:val="22"/>
        </w:rPr>
        <w:t>title</w:t>
      </w:r>
      <w:r>
        <w:rPr>
          <w:spacing w:val="-5"/>
          <w:sz w:val="22"/>
        </w:rPr>
        <w:t> </w:t>
      </w:r>
      <w:r>
        <w:rPr>
          <w:sz w:val="22"/>
        </w:rPr>
        <w:t>revision</w:t>
      </w:r>
      <w:r>
        <w:rPr>
          <w:spacing w:val="-6"/>
          <w:sz w:val="22"/>
        </w:rPr>
        <w:t> </w:t>
      </w:r>
      <w:r>
        <w:rPr>
          <w:sz w:val="22"/>
        </w:rPr>
        <w:t>changing “Establishing new business enterprises” to “Establishing licensed managers in business enterprises”.</w:t>
      </w:r>
    </w:p>
    <w:p>
      <w:pPr>
        <w:spacing w:after="0"/>
        <w:jc w:val="left"/>
        <w:rPr>
          <w:sz w:val="22"/>
        </w:rPr>
        <w:sectPr>
          <w:pgSz w:w="12240" w:h="15840"/>
          <w:pgMar w:top="1360" w:bottom="280" w:left="1080" w:right="720"/>
        </w:sectPr>
      </w:pPr>
    </w:p>
    <w:p>
      <w:pPr>
        <w:pStyle w:val="Heading1"/>
      </w:pPr>
      <w:bookmarkStart w:name="PART 1. LICENSED MANAGERS" w:id="420"/>
      <w:bookmarkEnd w:id="420"/>
      <w:r>
        <w:rPr>
          <w:b w:val="0"/>
        </w:rPr>
      </w:r>
      <w:r>
        <w:rPr/>
        <w:t>PART</w:t>
      </w:r>
      <w:r>
        <w:rPr>
          <w:spacing w:val="-3"/>
        </w:rPr>
        <w:t> </w:t>
      </w:r>
      <w:r>
        <w:rPr/>
        <w:t>1.</w:t>
      </w:r>
      <w:r>
        <w:rPr>
          <w:spacing w:val="-3"/>
        </w:rPr>
        <w:t> </w:t>
      </w:r>
      <w:r>
        <w:rPr/>
        <w:t>LICENSED</w:t>
      </w:r>
      <w:r>
        <w:rPr>
          <w:spacing w:val="-2"/>
        </w:rPr>
        <w:t> MANAGERS</w:t>
      </w:r>
    </w:p>
    <w:p>
      <w:pPr>
        <w:pStyle w:val="BodyText"/>
        <w:spacing w:before="204"/>
      </w:pPr>
      <w:r>
        <w:rPr>
          <w:spacing w:val="-2"/>
        </w:rPr>
        <w:t>Section</w:t>
      </w:r>
    </w:p>
    <w:p>
      <w:pPr>
        <w:pStyle w:val="BodyText"/>
        <w:tabs>
          <w:tab w:pos="2159" w:val="left" w:leader="none"/>
        </w:tabs>
        <w:spacing w:line="417" w:lineRule="auto" w:before="204"/>
        <w:ind w:right="1980"/>
      </w:pPr>
      <w:r>
        <w:rPr>
          <w:spacing w:val="-2"/>
        </w:rPr>
        <w:t>612:25-6-1.</w:t>
      </w:r>
      <w:r>
        <w:rPr/>
        <w:tab/>
        <w:t>Licensing</w:t>
      </w:r>
      <w:r>
        <w:rPr>
          <w:spacing w:val="-6"/>
        </w:rPr>
        <w:t> </w:t>
      </w:r>
      <w:r>
        <w:rPr/>
        <w:t>requirements</w:t>
      </w:r>
      <w:r>
        <w:rPr>
          <w:spacing w:val="-6"/>
        </w:rPr>
        <w:t> </w:t>
      </w:r>
      <w:r>
        <w:rPr/>
        <w:t>for</w:t>
      </w:r>
      <w:r>
        <w:rPr>
          <w:spacing w:val="-7"/>
        </w:rPr>
        <w:t> </w:t>
      </w:r>
      <w:r>
        <w:rPr/>
        <w:t>managing</w:t>
      </w:r>
      <w:r>
        <w:rPr>
          <w:spacing w:val="-6"/>
        </w:rPr>
        <w:t> </w:t>
      </w:r>
      <w:r>
        <w:rPr/>
        <w:t>a</w:t>
      </w:r>
      <w:r>
        <w:rPr>
          <w:spacing w:val="-6"/>
        </w:rPr>
        <w:t> </w:t>
      </w:r>
      <w:r>
        <w:rPr/>
        <w:t>business</w:t>
      </w:r>
      <w:r>
        <w:rPr>
          <w:spacing w:val="-6"/>
        </w:rPr>
        <w:t> </w:t>
      </w:r>
      <w:r>
        <w:rPr/>
        <w:t>enterprise </w:t>
      </w:r>
      <w:r>
        <w:rPr>
          <w:spacing w:val="-2"/>
        </w:rPr>
        <w:t>612:25-6-2.</w:t>
      </w:r>
      <w:r>
        <w:rPr/>
        <w:tab/>
        <w:t>Standards for licensed managers</w:t>
      </w:r>
    </w:p>
    <w:p>
      <w:pPr>
        <w:pStyle w:val="BodyText"/>
        <w:tabs>
          <w:tab w:pos="2159" w:val="left" w:leader="none"/>
        </w:tabs>
        <w:spacing w:line="276" w:lineRule="exact" w:before="0"/>
      </w:pPr>
      <w:r>
        <w:rPr>
          <w:spacing w:val="-2"/>
        </w:rPr>
        <w:t>612:25-6-</w:t>
      </w:r>
      <w:r>
        <w:rPr>
          <w:spacing w:val="-4"/>
        </w:rPr>
        <w:t>2.1.</w:t>
      </w:r>
      <w:r>
        <w:rPr/>
        <w:tab/>
      </w:r>
      <w:r>
        <w:rPr>
          <w:spacing w:val="-2"/>
        </w:rPr>
        <w:t>Probation</w:t>
      </w:r>
    </w:p>
    <w:p>
      <w:pPr>
        <w:pStyle w:val="BodyText"/>
        <w:tabs>
          <w:tab w:pos="2159" w:val="left" w:leader="none"/>
        </w:tabs>
        <w:spacing w:line="417" w:lineRule="auto" w:before="204"/>
        <w:ind w:right="2915"/>
      </w:pPr>
      <w:r>
        <w:rPr>
          <w:spacing w:val="-2"/>
        </w:rPr>
        <w:t>612:25-6-3.</w:t>
      </w:r>
      <w:r>
        <w:rPr/>
        <w:tab/>
        <w:t>Grounds</w:t>
      </w:r>
      <w:r>
        <w:rPr>
          <w:spacing w:val="-6"/>
        </w:rPr>
        <w:t> </w:t>
      </w:r>
      <w:r>
        <w:rPr/>
        <w:t>for</w:t>
      </w:r>
      <w:r>
        <w:rPr>
          <w:spacing w:val="-5"/>
        </w:rPr>
        <w:t> </w:t>
      </w:r>
      <w:r>
        <w:rPr/>
        <w:t>suspension</w:t>
      </w:r>
      <w:r>
        <w:rPr>
          <w:spacing w:val="-6"/>
        </w:rPr>
        <w:t> </w:t>
      </w:r>
      <w:r>
        <w:rPr/>
        <w:t>or</w:t>
      </w:r>
      <w:r>
        <w:rPr>
          <w:spacing w:val="-5"/>
        </w:rPr>
        <w:t> </w:t>
      </w:r>
      <w:r>
        <w:rPr/>
        <w:t>termination</w:t>
      </w:r>
      <w:r>
        <w:rPr>
          <w:spacing w:val="-6"/>
        </w:rPr>
        <w:t> </w:t>
      </w:r>
      <w:r>
        <w:rPr/>
        <w:t>of</w:t>
      </w:r>
      <w:r>
        <w:rPr>
          <w:spacing w:val="-5"/>
        </w:rPr>
        <w:t> </w:t>
      </w:r>
      <w:r>
        <w:rPr/>
        <w:t>a</w:t>
      </w:r>
      <w:r>
        <w:rPr>
          <w:spacing w:val="-6"/>
        </w:rPr>
        <w:t> </w:t>
      </w:r>
      <w:r>
        <w:rPr/>
        <w:t>license </w:t>
      </w:r>
      <w:r>
        <w:rPr>
          <w:spacing w:val="-2"/>
        </w:rPr>
        <w:t>612:25-6-4.</w:t>
      </w:r>
      <w:r>
        <w:rPr/>
        <w:tab/>
        <w:t>Use of service animals</w:t>
      </w:r>
    </w:p>
    <w:p>
      <w:pPr>
        <w:pStyle w:val="BodyText"/>
        <w:spacing w:after="0" w:line="417" w:lineRule="auto"/>
        <w:sectPr>
          <w:pgSz w:w="12240" w:h="15840"/>
          <w:pgMar w:top="1340" w:bottom="280" w:left="1080" w:right="720"/>
        </w:sectPr>
      </w:pPr>
    </w:p>
    <w:p>
      <w:pPr>
        <w:pStyle w:val="Heading2"/>
      </w:pPr>
      <w:bookmarkStart w:name="612:25-6-1.  Licensing requirements for " w:id="421"/>
      <w:bookmarkEnd w:id="421"/>
      <w:r>
        <w:rPr>
          <w:b w:val="0"/>
        </w:rPr>
      </w:r>
      <w:r>
        <w:rPr/>
        <w:t>612:25-6-1.</w:t>
      </w:r>
      <w:r>
        <w:rPr>
          <w:spacing w:val="57"/>
        </w:rPr>
        <w:t> </w:t>
      </w:r>
      <w:r>
        <w:rPr/>
        <w:t>Licensing</w:t>
      </w:r>
      <w:r>
        <w:rPr>
          <w:spacing w:val="-4"/>
        </w:rPr>
        <w:t> </w:t>
      </w:r>
      <w:r>
        <w:rPr/>
        <w:t>requirements</w:t>
      </w:r>
      <w:r>
        <w:rPr>
          <w:spacing w:val="-4"/>
        </w:rPr>
        <w:t> </w:t>
      </w:r>
      <w:r>
        <w:rPr/>
        <w:t>for</w:t>
      </w:r>
      <w:r>
        <w:rPr>
          <w:spacing w:val="-5"/>
        </w:rPr>
        <w:t> </w:t>
      </w:r>
      <w:r>
        <w:rPr/>
        <w:t>managing</w:t>
      </w:r>
      <w:r>
        <w:rPr>
          <w:spacing w:val="-4"/>
        </w:rPr>
        <w:t> </w:t>
      </w:r>
      <w:r>
        <w:rPr/>
        <w:t>a</w:t>
      </w:r>
      <w:r>
        <w:rPr>
          <w:spacing w:val="-4"/>
        </w:rPr>
        <w:t> </w:t>
      </w:r>
      <w:r>
        <w:rPr/>
        <w:t>business</w:t>
      </w:r>
      <w:r>
        <w:rPr>
          <w:spacing w:val="-3"/>
        </w:rPr>
        <w:t> </w:t>
      </w:r>
      <w:r>
        <w:rPr>
          <w:spacing w:val="-2"/>
        </w:rPr>
        <w:t>enterprise</w:t>
      </w:r>
    </w:p>
    <w:p>
      <w:pPr>
        <w:pStyle w:val="ListParagraph"/>
        <w:numPr>
          <w:ilvl w:val="0"/>
          <w:numId w:val="396"/>
        </w:numPr>
        <w:tabs>
          <w:tab w:pos="785" w:val="left" w:leader="none"/>
        </w:tabs>
        <w:spacing w:line="208" w:lineRule="auto" w:before="233" w:after="0"/>
        <w:ind w:left="360" w:right="737" w:firstLine="0"/>
        <w:jc w:val="left"/>
        <w:rPr>
          <w:b/>
          <w:sz w:val="24"/>
        </w:rPr>
      </w:pPr>
      <w:r>
        <w:rPr>
          <w:b/>
          <w:sz w:val="24"/>
        </w:rPr>
        <w:t>Issuance and conditions of a license. </w:t>
      </w:r>
      <w:r>
        <w:rPr>
          <w:sz w:val="24"/>
        </w:rPr>
        <w:t>A license shall be issued by the SLA in accordance</w:t>
      </w:r>
      <w:r>
        <w:rPr>
          <w:spacing w:val="-4"/>
          <w:sz w:val="24"/>
        </w:rPr>
        <w:t> </w:t>
      </w:r>
      <w:r>
        <w:rPr>
          <w:sz w:val="24"/>
        </w:rPr>
        <w:t>with</w:t>
      </w:r>
      <w:r>
        <w:rPr>
          <w:spacing w:val="-4"/>
          <w:sz w:val="24"/>
        </w:rPr>
        <w:t> </w:t>
      </w:r>
      <w:r>
        <w:rPr>
          <w:sz w:val="24"/>
        </w:rPr>
        <w:t>Federal</w:t>
      </w:r>
      <w:r>
        <w:rPr>
          <w:spacing w:val="-4"/>
          <w:sz w:val="24"/>
        </w:rPr>
        <w:t> </w:t>
      </w:r>
      <w:r>
        <w:rPr>
          <w:sz w:val="24"/>
        </w:rPr>
        <w:t>regulations</w:t>
      </w:r>
      <w:r>
        <w:rPr>
          <w:spacing w:val="-4"/>
          <w:sz w:val="24"/>
        </w:rPr>
        <w:t> </w:t>
      </w:r>
      <w:r>
        <w:rPr>
          <w:sz w:val="24"/>
        </w:rPr>
        <w:t>making</w:t>
      </w:r>
      <w:r>
        <w:rPr>
          <w:spacing w:val="-4"/>
          <w:sz w:val="24"/>
        </w:rPr>
        <w:t> </w:t>
      </w:r>
      <w:r>
        <w:rPr>
          <w:sz w:val="24"/>
        </w:rPr>
        <w:t>the</w:t>
      </w:r>
      <w:r>
        <w:rPr>
          <w:spacing w:val="-4"/>
          <w:sz w:val="24"/>
        </w:rPr>
        <w:t> </w:t>
      </w:r>
      <w:r>
        <w:rPr>
          <w:sz w:val="24"/>
        </w:rPr>
        <w:t>individual</w:t>
      </w:r>
      <w:r>
        <w:rPr>
          <w:spacing w:val="-4"/>
          <w:sz w:val="24"/>
        </w:rPr>
        <w:t> </w:t>
      </w:r>
      <w:r>
        <w:rPr>
          <w:sz w:val="24"/>
        </w:rPr>
        <w:t>eligible</w:t>
      </w:r>
      <w:r>
        <w:rPr>
          <w:spacing w:val="-4"/>
          <w:sz w:val="24"/>
        </w:rPr>
        <w:t> </w:t>
      </w:r>
      <w:r>
        <w:rPr>
          <w:sz w:val="24"/>
        </w:rPr>
        <w:t>to</w:t>
      </w:r>
      <w:r>
        <w:rPr>
          <w:spacing w:val="-4"/>
          <w:sz w:val="24"/>
        </w:rPr>
        <w:t> </w:t>
      </w:r>
      <w:r>
        <w:rPr>
          <w:sz w:val="24"/>
        </w:rPr>
        <w:t>operate</w:t>
      </w:r>
      <w:r>
        <w:rPr>
          <w:spacing w:val="-4"/>
          <w:sz w:val="24"/>
        </w:rPr>
        <w:t> </w:t>
      </w:r>
      <w:r>
        <w:rPr>
          <w:sz w:val="24"/>
        </w:rPr>
        <w:t>a</w:t>
      </w:r>
      <w:r>
        <w:rPr>
          <w:spacing w:val="-4"/>
          <w:sz w:val="24"/>
        </w:rPr>
        <w:t> </w:t>
      </w:r>
      <w:r>
        <w:rPr>
          <w:sz w:val="24"/>
        </w:rPr>
        <w:t>business enterprise.</w:t>
      </w:r>
      <w:r>
        <w:rPr>
          <w:spacing w:val="40"/>
          <w:sz w:val="24"/>
        </w:rPr>
        <w:t> </w:t>
      </w:r>
      <w:r>
        <w:rPr>
          <w:sz w:val="24"/>
        </w:rPr>
        <w:t>This license will be issued upon successful completion of the SLA training program. </w:t>
      </w:r>
      <w:r>
        <w:rPr>
          <w:b/>
          <w:sz w:val="24"/>
        </w:rPr>
        <w:t>1 </w:t>
      </w:r>
      <w:r>
        <w:rPr>
          <w:sz w:val="24"/>
        </w:rPr>
        <w:t>This license shall be prominently displayed in the licensed manager's business enterprise.</w:t>
      </w:r>
      <w:r>
        <w:rPr>
          <w:spacing w:val="40"/>
          <w:sz w:val="24"/>
        </w:rPr>
        <w:t> </w:t>
      </w:r>
      <w:r>
        <w:rPr>
          <w:sz w:val="24"/>
        </w:rPr>
        <w:t>Licensed Managers whose facility consists of only vending machines, must carry their BEP license with them. This license remains effective for an indefinite</w:t>
      </w:r>
      <w:r>
        <w:rPr>
          <w:spacing w:val="-1"/>
          <w:sz w:val="24"/>
        </w:rPr>
        <w:t> </w:t>
      </w:r>
      <w:r>
        <w:rPr>
          <w:sz w:val="24"/>
        </w:rPr>
        <w:t>length</w:t>
      </w:r>
      <w:r>
        <w:rPr>
          <w:spacing w:val="-1"/>
          <w:sz w:val="24"/>
        </w:rPr>
        <w:t> </w:t>
      </w:r>
      <w:r>
        <w:rPr>
          <w:sz w:val="24"/>
        </w:rPr>
        <w:t>of time, unless</w:t>
      </w:r>
      <w:r>
        <w:rPr>
          <w:spacing w:val="-1"/>
          <w:sz w:val="24"/>
        </w:rPr>
        <w:t> </w:t>
      </w:r>
      <w:r>
        <w:rPr>
          <w:sz w:val="24"/>
        </w:rPr>
        <w:t>terminated</w:t>
      </w:r>
      <w:r>
        <w:rPr>
          <w:spacing w:val="-2"/>
          <w:sz w:val="24"/>
        </w:rPr>
        <w:t> </w:t>
      </w:r>
      <w:r>
        <w:rPr>
          <w:sz w:val="24"/>
        </w:rPr>
        <w:t>or</w:t>
      </w:r>
      <w:r>
        <w:rPr>
          <w:spacing w:val="-2"/>
          <w:sz w:val="24"/>
        </w:rPr>
        <w:t> </w:t>
      </w:r>
      <w:r>
        <w:rPr>
          <w:sz w:val="24"/>
        </w:rPr>
        <w:t>suspended</w:t>
      </w:r>
      <w:r>
        <w:rPr>
          <w:spacing w:val="-1"/>
          <w:sz w:val="24"/>
        </w:rPr>
        <w:t> </w:t>
      </w:r>
      <w:r>
        <w:rPr>
          <w:sz w:val="24"/>
        </w:rPr>
        <w:t>by</w:t>
      </w:r>
      <w:r>
        <w:rPr>
          <w:spacing w:val="-1"/>
          <w:sz w:val="24"/>
        </w:rPr>
        <w:t> </w:t>
      </w:r>
      <w:r>
        <w:rPr>
          <w:sz w:val="24"/>
        </w:rPr>
        <w:t>the</w:t>
      </w:r>
      <w:r>
        <w:rPr>
          <w:spacing w:val="-1"/>
          <w:sz w:val="24"/>
        </w:rPr>
        <w:t> </w:t>
      </w:r>
      <w:r>
        <w:rPr>
          <w:sz w:val="24"/>
        </w:rPr>
        <w:t>SLA</w:t>
      </w:r>
      <w:r>
        <w:rPr>
          <w:spacing w:val="-1"/>
          <w:sz w:val="24"/>
        </w:rPr>
        <w:t> </w:t>
      </w:r>
      <w:r>
        <w:rPr>
          <w:sz w:val="24"/>
        </w:rPr>
        <w:t>in</w:t>
      </w:r>
      <w:r>
        <w:rPr>
          <w:spacing w:val="-1"/>
          <w:sz w:val="24"/>
        </w:rPr>
        <w:t> </w:t>
      </w:r>
      <w:r>
        <w:rPr>
          <w:sz w:val="24"/>
        </w:rPr>
        <w:t>accordance</w:t>
      </w:r>
      <w:r>
        <w:rPr>
          <w:spacing w:val="-1"/>
          <w:sz w:val="24"/>
        </w:rPr>
        <w:t> </w:t>
      </w:r>
      <w:r>
        <w:rPr>
          <w:sz w:val="24"/>
        </w:rPr>
        <w:t>with State and Federal regulations. A license issued to a qualified individual is non- transferable. </w:t>
      </w:r>
      <w:r>
        <w:rPr>
          <w:b/>
          <w:sz w:val="24"/>
        </w:rPr>
        <w:t>2</w:t>
      </w:r>
    </w:p>
    <w:p>
      <w:pPr>
        <w:pStyle w:val="ListParagraph"/>
        <w:numPr>
          <w:ilvl w:val="0"/>
          <w:numId w:val="396"/>
        </w:numPr>
        <w:tabs>
          <w:tab w:pos="785" w:val="left" w:leader="none"/>
        </w:tabs>
        <w:spacing w:line="208" w:lineRule="auto" w:before="239" w:after="0"/>
        <w:ind w:left="360" w:right="845" w:firstLine="0"/>
        <w:jc w:val="left"/>
        <w:rPr>
          <w:sz w:val="24"/>
        </w:rPr>
      </w:pPr>
      <w:r>
        <w:rPr>
          <w:b/>
          <w:sz w:val="24"/>
        </w:rPr>
        <w:t>Termination of agreement or removal from a business enterprise. </w:t>
      </w:r>
      <w:r>
        <w:rPr>
          <w:sz w:val="24"/>
        </w:rPr>
        <w:t>The SLA may terminate a manager's agreement and/or immediately remove the licensed manager from operation of a business enterprise for cause shown. Termination of a manager's agreement or removal from operation of a business enterprise does not necessarily mean that the manager's license will be suspended or terminated. The licensed manager has the right to a full evidentiary hearing when dissatisfied with any State</w:t>
      </w:r>
      <w:r>
        <w:rPr>
          <w:spacing w:val="-4"/>
          <w:sz w:val="24"/>
        </w:rPr>
        <w:t> </w:t>
      </w:r>
      <w:r>
        <w:rPr>
          <w:sz w:val="24"/>
        </w:rPr>
        <w:t>Licensing</w:t>
      </w:r>
      <w:r>
        <w:rPr>
          <w:spacing w:val="-4"/>
          <w:sz w:val="24"/>
        </w:rPr>
        <w:t> </w:t>
      </w:r>
      <w:r>
        <w:rPr>
          <w:sz w:val="24"/>
        </w:rPr>
        <w:t>Agency</w:t>
      </w:r>
      <w:r>
        <w:rPr>
          <w:spacing w:val="-4"/>
          <w:sz w:val="24"/>
        </w:rPr>
        <w:t> </w:t>
      </w:r>
      <w:r>
        <w:rPr>
          <w:sz w:val="24"/>
        </w:rPr>
        <w:t>action</w:t>
      </w:r>
      <w:r>
        <w:rPr>
          <w:spacing w:val="-4"/>
          <w:sz w:val="24"/>
        </w:rPr>
        <w:t> </w:t>
      </w:r>
      <w:r>
        <w:rPr>
          <w:sz w:val="24"/>
        </w:rPr>
        <w:t>in</w:t>
      </w:r>
      <w:r>
        <w:rPr>
          <w:spacing w:val="-4"/>
          <w:sz w:val="24"/>
        </w:rPr>
        <w:t> </w:t>
      </w:r>
      <w:r>
        <w:rPr>
          <w:sz w:val="24"/>
        </w:rPr>
        <w:t>accordance</w:t>
      </w:r>
      <w:r>
        <w:rPr>
          <w:spacing w:val="-4"/>
          <w:sz w:val="24"/>
        </w:rPr>
        <w:t> </w:t>
      </w:r>
      <w:r>
        <w:rPr>
          <w:sz w:val="24"/>
        </w:rPr>
        <w:t>with</w:t>
      </w:r>
      <w:r>
        <w:rPr>
          <w:spacing w:val="-4"/>
          <w:sz w:val="24"/>
        </w:rPr>
        <w:t> </w:t>
      </w:r>
      <w:r>
        <w:rPr>
          <w:sz w:val="24"/>
        </w:rPr>
        <w:t>BEP,</w:t>
      </w:r>
      <w:r>
        <w:rPr>
          <w:spacing w:val="-3"/>
          <w:sz w:val="24"/>
        </w:rPr>
        <w:t> </w:t>
      </w:r>
      <w:r>
        <w:rPr>
          <w:sz w:val="24"/>
        </w:rPr>
        <w:t>State,</w:t>
      </w:r>
      <w:r>
        <w:rPr>
          <w:spacing w:val="-5"/>
          <w:sz w:val="24"/>
        </w:rPr>
        <w:t> </w:t>
      </w:r>
      <w:r>
        <w:rPr>
          <w:sz w:val="24"/>
        </w:rPr>
        <w:t>and</w:t>
      </w:r>
      <w:r>
        <w:rPr>
          <w:spacing w:val="-4"/>
          <w:sz w:val="24"/>
        </w:rPr>
        <w:t> </w:t>
      </w:r>
      <w:r>
        <w:rPr>
          <w:sz w:val="24"/>
        </w:rPr>
        <w:t>Federal</w:t>
      </w:r>
      <w:r>
        <w:rPr>
          <w:spacing w:val="-4"/>
          <w:sz w:val="24"/>
        </w:rPr>
        <w:t> </w:t>
      </w:r>
      <w:r>
        <w:rPr>
          <w:sz w:val="24"/>
        </w:rPr>
        <w:t>regulations.</w:t>
      </w:r>
    </w:p>
    <w:p>
      <w:pPr>
        <w:pStyle w:val="ListParagraph"/>
        <w:numPr>
          <w:ilvl w:val="0"/>
          <w:numId w:val="396"/>
        </w:numPr>
        <w:tabs>
          <w:tab w:pos="773" w:val="left" w:leader="none"/>
        </w:tabs>
        <w:spacing w:line="208" w:lineRule="auto" w:before="239" w:after="0"/>
        <w:ind w:left="360" w:right="940" w:firstLine="0"/>
        <w:jc w:val="left"/>
        <w:rPr>
          <w:b/>
          <w:sz w:val="24"/>
        </w:rPr>
      </w:pPr>
      <w:r>
        <w:rPr>
          <w:b/>
          <w:sz w:val="24"/>
        </w:rPr>
        <w:t>Reinstatement of suspended or terminated license. </w:t>
      </w:r>
      <w:r>
        <w:rPr>
          <w:sz w:val="24"/>
        </w:rPr>
        <w:t>Reinstatement of a BEP license</w:t>
      </w:r>
      <w:r>
        <w:rPr>
          <w:spacing w:val="-4"/>
          <w:sz w:val="24"/>
        </w:rPr>
        <w:t> </w:t>
      </w:r>
      <w:r>
        <w:rPr>
          <w:sz w:val="24"/>
        </w:rPr>
        <w:t>for</w:t>
      </w:r>
      <w:r>
        <w:rPr>
          <w:spacing w:val="-5"/>
          <w:sz w:val="24"/>
        </w:rPr>
        <w:t> </w:t>
      </w:r>
      <w:r>
        <w:rPr>
          <w:sz w:val="24"/>
        </w:rPr>
        <w:t>an</w:t>
      </w:r>
      <w:r>
        <w:rPr>
          <w:spacing w:val="-4"/>
          <w:sz w:val="24"/>
        </w:rPr>
        <w:t> </w:t>
      </w:r>
      <w:r>
        <w:rPr>
          <w:sz w:val="24"/>
        </w:rPr>
        <w:t>individual</w:t>
      </w:r>
      <w:r>
        <w:rPr>
          <w:spacing w:val="-4"/>
          <w:sz w:val="24"/>
        </w:rPr>
        <w:t> </w:t>
      </w:r>
      <w:r>
        <w:rPr>
          <w:sz w:val="24"/>
        </w:rPr>
        <w:t>can</w:t>
      </w:r>
      <w:r>
        <w:rPr>
          <w:spacing w:val="-4"/>
          <w:sz w:val="24"/>
        </w:rPr>
        <w:t> </w:t>
      </w:r>
      <w:r>
        <w:rPr>
          <w:sz w:val="24"/>
        </w:rPr>
        <w:t>be</w:t>
      </w:r>
      <w:r>
        <w:rPr>
          <w:spacing w:val="-4"/>
          <w:sz w:val="24"/>
        </w:rPr>
        <w:t> </w:t>
      </w:r>
      <w:r>
        <w:rPr>
          <w:sz w:val="24"/>
        </w:rPr>
        <w:t>accomplished</w:t>
      </w:r>
      <w:r>
        <w:rPr>
          <w:spacing w:val="-4"/>
          <w:sz w:val="24"/>
        </w:rPr>
        <w:t> </w:t>
      </w:r>
      <w:r>
        <w:rPr>
          <w:sz w:val="24"/>
        </w:rPr>
        <w:t>by</w:t>
      </w:r>
      <w:r>
        <w:rPr>
          <w:spacing w:val="-4"/>
          <w:sz w:val="24"/>
        </w:rPr>
        <w:t> </w:t>
      </w:r>
      <w:r>
        <w:rPr>
          <w:sz w:val="24"/>
        </w:rPr>
        <w:t>formally</w:t>
      </w:r>
      <w:r>
        <w:rPr>
          <w:spacing w:val="-4"/>
          <w:sz w:val="24"/>
        </w:rPr>
        <w:t> </w:t>
      </w:r>
      <w:r>
        <w:rPr>
          <w:sz w:val="24"/>
        </w:rPr>
        <w:t>requesting</w:t>
      </w:r>
      <w:r>
        <w:rPr>
          <w:spacing w:val="-4"/>
          <w:sz w:val="24"/>
        </w:rPr>
        <w:t> </w:t>
      </w:r>
      <w:r>
        <w:rPr>
          <w:sz w:val="24"/>
        </w:rPr>
        <w:t>the</w:t>
      </w:r>
      <w:r>
        <w:rPr>
          <w:spacing w:val="-4"/>
          <w:sz w:val="24"/>
        </w:rPr>
        <w:t> </w:t>
      </w:r>
      <w:r>
        <w:rPr>
          <w:sz w:val="24"/>
        </w:rPr>
        <w:t>SLA</w:t>
      </w:r>
      <w:r>
        <w:rPr>
          <w:spacing w:val="-4"/>
          <w:sz w:val="24"/>
        </w:rPr>
        <w:t> </w:t>
      </w:r>
      <w:r>
        <w:rPr>
          <w:sz w:val="24"/>
        </w:rPr>
        <w:t>reinstate the BEP License within a two year period.</w:t>
      </w:r>
      <w:r>
        <w:rPr>
          <w:spacing w:val="40"/>
          <w:sz w:val="24"/>
        </w:rPr>
        <w:t> </w:t>
      </w:r>
      <w:r>
        <w:rPr>
          <w:b/>
          <w:sz w:val="24"/>
        </w:rPr>
        <w:t>3</w:t>
      </w:r>
    </w:p>
    <w:p>
      <w:pPr>
        <w:pStyle w:val="ListParagraph"/>
        <w:numPr>
          <w:ilvl w:val="0"/>
          <w:numId w:val="396"/>
        </w:numPr>
        <w:tabs>
          <w:tab w:pos="785" w:val="left" w:leader="none"/>
        </w:tabs>
        <w:spacing w:line="208" w:lineRule="auto" w:before="240" w:after="0"/>
        <w:ind w:left="360" w:right="724" w:firstLine="0"/>
        <w:jc w:val="left"/>
        <w:rPr>
          <w:sz w:val="24"/>
        </w:rPr>
      </w:pPr>
      <w:r>
        <w:rPr>
          <w:b/>
          <w:sz w:val="24"/>
        </w:rPr>
        <w:t>Termination of license. </w:t>
      </w:r>
      <w:r>
        <w:rPr>
          <w:sz w:val="24"/>
        </w:rPr>
        <w:t>A license automatically expires when the licensed</w:t>
      </w:r>
      <w:r>
        <w:rPr>
          <w:spacing w:val="40"/>
          <w:sz w:val="24"/>
        </w:rPr>
        <w:t> </w:t>
      </w:r>
      <w:r>
        <w:rPr>
          <w:sz w:val="24"/>
        </w:rPr>
        <w:t>manager is no longer a U.S. citizen, no longer meets the definition of legal blindness, surrenders his or her license, resigns, retires, or dies. A license may be terminated or suspended by the SLA, after affording the licensed manager an opportunity for a full evidentiary</w:t>
      </w:r>
      <w:r>
        <w:rPr>
          <w:spacing w:val="-4"/>
          <w:sz w:val="24"/>
        </w:rPr>
        <w:t> </w:t>
      </w:r>
      <w:r>
        <w:rPr>
          <w:sz w:val="24"/>
        </w:rPr>
        <w:t>hearing</w:t>
      </w:r>
      <w:r>
        <w:rPr>
          <w:spacing w:val="-4"/>
          <w:sz w:val="24"/>
        </w:rPr>
        <w:t> </w:t>
      </w:r>
      <w:r>
        <w:rPr>
          <w:sz w:val="24"/>
        </w:rPr>
        <w:t>in</w:t>
      </w:r>
      <w:r>
        <w:rPr>
          <w:spacing w:val="-3"/>
          <w:sz w:val="24"/>
        </w:rPr>
        <w:t> </w:t>
      </w:r>
      <w:r>
        <w:rPr>
          <w:sz w:val="24"/>
        </w:rPr>
        <w:t>accordance</w:t>
      </w:r>
      <w:r>
        <w:rPr>
          <w:spacing w:val="-4"/>
          <w:sz w:val="24"/>
        </w:rPr>
        <w:t> </w:t>
      </w:r>
      <w:r>
        <w:rPr>
          <w:sz w:val="24"/>
        </w:rPr>
        <w:t>with</w:t>
      </w:r>
      <w:r>
        <w:rPr>
          <w:spacing w:val="-4"/>
          <w:sz w:val="24"/>
        </w:rPr>
        <w:t> </w:t>
      </w:r>
      <w:r>
        <w:rPr>
          <w:sz w:val="24"/>
        </w:rPr>
        <w:t>State</w:t>
      </w:r>
      <w:r>
        <w:rPr>
          <w:spacing w:val="-4"/>
          <w:sz w:val="24"/>
        </w:rPr>
        <w:t> </w:t>
      </w:r>
      <w:r>
        <w:rPr>
          <w:sz w:val="24"/>
        </w:rPr>
        <w:t>and</w:t>
      </w:r>
      <w:r>
        <w:rPr>
          <w:spacing w:val="-4"/>
          <w:sz w:val="24"/>
        </w:rPr>
        <w:t> </w:t>
      </w:r>
      <w:r>
        <w:rPr>
          <w:sz w:val="24"/>
        </w:rPr>
        <w:t>Federal</w:t>
      </w:r>
      <w:r>
        <w:rPr>
          <w:spacing w:val="-4"/>
          <w:sz w:val="24"/>
        </w:rPr>
        <w:t> </w:t>
      </w:r>
      <w:r>
        <w:rPr>
          <w:sz w:val="24"/>
        </w:rPr>
        <w:t>regulations</w:t>
      </w:r>
      <w:r>
        <w:rPr>
          <w:spacing w:val="-5"/>
          <w:sz w:val="24"/>
        </w:rPr>
        <w:t> </w:t>
      </w:r>
      <w:r>
        <w:rPr>
          <w:sz w:val="24"/>
        </w:rPr>
        <w:t>in</w:t>
      </w:r>
      <w:r>
        <w:rPr>
          <w:spacing w:val="-4"/>
          <w:sz w:val="24"/>
        </w:rPr>
        <w:t> </w:t>
      </w:r>
      <w:r>
        <w:rPr>
          <w:sz w:val="24"/>
        </w:rPr>
        <w:t>accordance</w:t>
      </w:r>
      <w:r>
        <w:rPr>
          <w:spacing w:val="-4"/>
          <w:sz w:val="24"/>
        </w:rPr>
        <w:t> </w:t>
      </w:r>
      <w:r>
        <w:rPr>
          <w:sz w:val="24"/>
        </w:rPr>
        <w:t>with BEP Rule 612:25-6-3.</w:t>
      </w:r>
    </w:p>
    <w:p>
      <w:pPr>
        <w:pStyle w:val="ListParagraph"/>
        <w:numPr>
          <w:ilvl w:val="0"/>
          <w:numId w:val="396"/>
        </w:numPr>
        <w:tabs>
          <w:tab w:pos="720" w:val="left" w:leader="none"/>
        </w:tabs>
        <w:spacing w:line="240" w:lineRule="auto" w:before="244" w:after="0"/>
        <w:ind w:left="360" w:right="766" w:firstLine="0"/>
        <w:jc w:val="left"/>
        <w:rPr>
          <w:sz w:val="24"/>
        </w:rPr>
      </w:pPr>
      <w:r>
        <w:rPr>
          <w:b/>
          <w:sz w:val="24"/>
        </w:rPr>
        <w:t>Continuation</w:t>
      </w:r>
      <w:r>
        <w:rPr>
          <w:b/>
          <w:spacing w:val="-3"/>
          <w:sz w:val="24"/>
        </w:rPr>
        <w:t> </w:t>
      </w:r>
      <w:r>
        <w:rPr>
          <w:b/>
          <w:sz w:val="24"/>
        </w:rPr>
        <w:t>of</w:t>
      </w:r>
      <w:r>
        <w:rPr>
          <w:b/>
          <w:spacing w:val="-4"/>
          <w:sz w:val="24"/>
        </w:rPr>
        <w:t> </w:t>
      </w:r>
      <w:r>
        <w:rPr>
          <w:b/>
          <w:sz w:val="24"/>
        </w:rPr>
        <w:t>Benefits</w:t>
      </w:r>
      <w:r>
        <w:rPr>
          <w:sz w:val="24"/>
        </w:rPr>
        <w:t>.</w:t>
      </w:r>
      <w:r>
        <w:rPr>
          <w:spacing w:val="-3"/>
          <w:sz w:val="24"/>
        </w:rPr>
        <w:t> </w:t>
      </w:r>
      <w:r>
        <w:rPr>
          <w:sz w:val="24"/>
        </w:rPr>
        <w:t>If</w:t>
      </w:r>
      <w:r>
        <w:rPr>
          <w:spacing w:val="-4"/>
          <w:sz w:val="24"/>
        </w:rPr>
        <w:t> </w:t>
      </w:r>
      <w:r>
        <w:rPr>
          <w:sz w:val="24"/>
        </w:rPr>
        <w:t>a</w:t>
      </w:r>
      <w:r>
        <w:rPr>
          <w:spacing w:val="-3"/>
          <w:sz w:val="24"/>
        </w:rPr>
        <w:t> </w:t>
      </w:r>
      <w:r>
        <w:rPr>
          <w:sz w:val="24"/>
        </w:rPr>
        <w:t>Licensed</w:t>
      </w:r>
      <w:r>
        <w:rPr>
          <w:spacing w:val="-3"/>
          <w:sz w:val="24"/>
        </w:rPr>
        <w:t> </w:t>
      </w:r>
      <w:r>
        <w:rPr>
          <w:sz w:val="24"/>
        </w:rPr>
        <w:t>Manager</w:t>
      </w:r>
      <w:r>
        <w:rPr>
          <w:spacing w:val="-3"/>
          <w:sz w:val="24"/>
        </w:rPr>
        <w:t> </w:t>
      </w:r>
      <w:r>
        <w:rPr>
          <w:sz w:val="24"/>
        </w:rPr>
        <w:t>has</w:t>
      </w:r>
      <w:r>
        <w:rPr>
          <w:spacing w:val="-3"/>
          <w:sz w:val="24"/>
        </w:rPr>
        <w:t> </w:t>
      </w:r>
      <w:r>
        <w:rPr>
          <w:sz w:val="24"/>
        </w:rPr>
        <w:t>not</w:t>
      </w:r>
      <w:r>
        <w:rPr>
          <w:spacing w:val="-3"/>
          <w:sz w:val="24"/>
        </w:rPr>
        <w:t> </w:t>
      </w:r>
      <w:r>
        <w:rPr>
          <w:sz w:val="24"/>
        </w:rPr>
        <w:t>worked</w:t>
      </w:r>
      <w:r>
        <w:rPr>
          <w:spacing w:val="-3"/>
          <w:sz w:val="24"/>
        </w:rPr>
        <w:t> </w:t>
      </w:r>
      <w:r>
        <w:rPr>
          <w:sz w:val="24"/>
        </w:rPr>
        <w:t>in</w:t>
      </w:r>
      <w:r>
        <w:rPr>
          <w:spacing w:val="-3"/>
          <w:sz w:val="24"/>
        </w:rPr>
        <w:t> </w:t>
      </w:r>
      <w:r>
        <w:rPr>
          <w:sz w:val="24"/>
        </w:rPr>
        <w:t>the</w:t>
      </w:r>
      <w:r>
        <w:rPr>
          <w:spacing w:val="-3"/>
          <w:sz w:val="24"/>
        </w:rPr>
        <w:t> </w:t>
      </w:r>
      <w:r>
        <w:rPr>
          <w:sz w:val="24"/>
        </w:rPr>
        <w:t>program</w:t>
      </w:r>
      <w:r>
        <w:rPr>
          <w:spacing w:val="-3"/>
          <w:sz w:val="24"/>
        </w:rPr>
        <w:t> </w:t>
      </w:r>
      <w:r>
        <w:rPr>
          <w:sz w:val="24"/>
        </w:rPr>
        <w:t>for 1 year the Licensed Manager has the option of paying for his or her own benefits to continue coverage and not DRS.</w:t>
      </w:r>
    </w:p>
    <w:p>
      <w:pPr>
        <w:pStyle w:val="BodyText"/>
        <w:spacing w:before="50"/>
        <w:ind w:left="0"/>
      </w:pPr>
    </w:p>
    <w:p>
      <w:pPr>
        <w:pStyle w:val="BodyText"/>
        <w:spacing w:before="0"/>
      </w:pPr>
      <w:r>
        <w:rPr/>
        <w:t>INSTRUCTIONS</w:t>
      </w:r>
      <w:r>
        <w:rPr>
          <w:spacing w:val="-3"/>
        </w:rPr>
        <w:t> </w:t>
      </w:r>
      <w:r>
        <w:rPr/>
        <w:t>TO</w:t>
      </w:r>
      <w:r>
        <w:rPr>
          <w:spacing w:val="-2"/>
        </w:rPr>
        <w:t> </w:t>
      </w:r>
      <w:r>
        <w:rPr>
          <w:spacing w:val="-4"/>
        </w:rPr>
        <w:t>STAFF</w:t>
      </w:r>
    </w:p>
    <w:p>
      <w:pPr>
        <w:pStyle w:val="BodyText"/>
        <w:spacing w:before="84"/>
        <w:ind w:left="792"/>
      </w:pPr>
      <w:r>
        <w:rPr/>
        <w:t>1.</w:t>
      </w:r>
      <w:r>
        <w:rPr>
          <w:spacing w:val="14"/>
        </w:rPr>
        <w:t> </w:t>
      </w:r>
      <w:hyperlink w:history="true" w:anchor="_bookmark32">
        <w:r>
          <w:rPr>
            <w:color w:val="0000FF"/>
            <w:u w:val="single" w:color="0000FF"/>
          </w:rPr>
          <w:t>612:25-4-</w:t>
        </w:r>
        <w:r>
          <w:rPr>
            <w:color w:val="0000FF"/>
            <w:spacing w:val="-5"/>
            <w:u w:val="single" w:color="0000FF"/>
          </w:rPr>
          <w:t>14</w:t>
        </w:r>
      </w:hyperlink>
    </w:p>
    <w:p>
      <w:pPr>
        <w:pStyle w:val="ListParagraph"/>
        <w:numPr>
          <w:ilvl w:val="1"/>
          <w:numId w:val="396"/>
        </w:numPr>
        <w:tabs>
          <w:tab w:pos="1077" w:val="left" w:leader="none"/>
        </w:tabs>
        <w:spacing w:line="240" w:lineRule="auto" w:before="204" w:after="0"/>
        <w:ind w:left="1077" w:right="0" w:hanging="286"/>
        <w:jc w:val="left"/>
        <w:rPr>
          <w:sz w:val="24"/>
        </w:rPr>
      </w:pPr>
      <w:hyperlink r:id="rId94">
        <w:r>
          <w:rPr>
            <w:color w:val="0000FF"/>
            <w:sz w:val="24"/>
            <w:u w:val="single" w:color="0000FF"/>
          </w:rPr>
          <w:t>34</w:t>
        </w:r>
        <w:r>
          <w:rPr>
            <w:color w:val="0000FF"/>
            <w:spacing w:val="-4"/>
            <w:sz w:val="24"/>
            <w:u w:val="single" w:color="0000FF"/>
          </w:rPr>
          <w:t> </w:t>
        </w:r>
        <w:r>
          <w:rPr>
            <w:color w:val="0000FF"/>
            <w:sz w:val="24"/>
            <w:u w:val="single" w:color="0000FF"/>
          </w:rPr>
          <w:t>CFR</w:t>
        </w:r>
        <w:r>
          <w:rPr>
            <w:color w:val="0000FF"/>
            <w:spacing w:val="-1"/>
            <w:sz w:val="24"/>
            <w:u w:val="single" w:color="0000FF"/>
          </w:rPr>
          <w:t> </w:t>
        </w:r>
        <w:r>
          <w:rPr>
            <w:color w:val="0000FF"/>
            <w:spacing w:val="-2"/>
            <w:sz w:val="24"/>
            <w:u w:val="single" w:color="0000FF"/>
          </w:rPr>
          <w:t>395.7</w:t>
        </w:r>
      </w:hyperlink>
    </w:p>
    <w:p>
      <w:pPr>
        <w:pStyle w:val="ListParagraph"/>
        <w:numPr>
          <w:ilvl w:val="1"/>
          <w:numId w:val="396"/>
        </w:numPr>
        <w:tabs>
          <w:tab w:pos="1077" w:val="left" w:leader="none"/>
        </w:tabs>
        <w:spacing w:line="208" w:lineRule="auto" w:before="234" w:after="0"/>
        <w:ind w:left="791" w:right="753" w:firstLine="0"/>
        <w:jc w:val="left"/>
        <w:rPr>
          <w:sz w:val="24"/>
        </w:rPr>
      </w:pPr>
      <w:r>
        <w:rPr>
          <w:sz w:val="24"/>
        </w:rPr>
        <w:t>When</w:t>
      </w:r>
      <w:r>
        <w:rPr>
          <w:spacing w:val="-4"/>
          <w:sz w:val="24"/>
        </w:rPr>
        <w:t> </w:t>
      </w:r>
      <w:r>
        <w:rPr>
          <w:sz w:val="24"/>
        </w:rPr>
        <w:t>the</w:t>
      </w:r>
      <w:r>
        <w:rPr>
          <w:spacing w:val="-4"/>
          <w:sz w:val="24"/>
        </w:rPr>
        <w:t> </w:t>
      </w:r>
      <w:r>
        <w:rPr>
          <w:sz w:val="24"/>
        </w:rPr>
        <w:t>license</w:t>
      </w:r>
      <w:r>
        <w:rPr>
          <w:spacing w:val="-4"/>
          <w:sz w:val="24"/>
        </w:rPr>
        <w:t> </w:t>
      </w:r>
      <w:r>
        <w:rPr>
          <w:sz w:val="24"/>
        </w:rPr>
        <w:t>is</w:t>
      </w:r>
      <w:r>
        <w:rPr>
          <w:spacing w:val="-4"/>
          <w:sz w:val="24"/>
        </w:rPr>
        <w:t> </w:t>
      </w:r>
      <w:r>
        <w:rPr>
          <w:sz w:val="24"/>
        </w:rPr>
        <w:t>reinstated,</w:t>
      </w:r>
      <w:r>
        <w:rPr>
          <w:spacing w:val="-3"/>
          <w:sz w:val="24"/>
        </w:rPr>
        <w:t> </w:t>
      </w:r>
      <w:r>
        <w:rPr>
          <w:sz w:val="24"/>
        </w:rPr>
        <w:t>the</w:t>
      </w:r>
      <w:r>
        <w:rPr>
          <w:spacing w:val="-4"/>
          <w:sz w:val="24"/>
        </w:rPr>
        <w:t> </w:t>
      </w:r>
      <w:r>
        <w:rPr>
          <w:sz w:val="24"/>
        </w:rPr>
        <w:t>amount</w:t>
      </w:r>
      <w:r>
        <w:rPr>
          <w:spacing w:val="-3"/>
          <w:sz w:val="24"/>
        </w:rPr>
        <w:t> </w:t>
      </w:r>
      <w:r>
        <w:rPr>
          <w:sz w:val="24"/>
        </w:rPr>
        <w:t>of</w:t>
      </w:r>
      <w:r>
        <w:rPr>
          <w:spacing w:val="-3"/>
          <w:sz w:val="24"/>
        </w:rPr>
        <w:t> </w:t>
      </w:r>
      <w:r>
        <w:rPr>
          <w:sz w:val="24"/>
        </w:rPr>
        <w:t>seniority/experience</w:t>
      </w:r>
      <w:r>
        <w:rPr>
          <w:spacing w:val="-4"/>
          <w:sz w:val="24"/>
        </w:rPr>
        <w:t> </w:t>
      </w:r>
      <w:r>
        <w:rPr>
          <w:sz w:val="24"/>
        </w:rPr>
        <w:t>in</w:t>
      </w:r>
      <w:r>
        <w:rPr>
          <w:spacing w:val="-4"/>
          <w:sz w:val="24"/>
        </w:rPr>
        <w:t> </w:t>
      </w:r>
      <w:r>
        <w:rPr>
          <w:sz w:val="24"/>
        </w:rPr>
        <w:t>the</w:t>
      </w:r>
      <w:r>
        <w:rPr>
          <w:spacing w:val="-4"/>
          <w:sz w:val="24"/>
        </w:rPr>
        <w:t> </w:t>
      </w:r>
      <w:r>
        <w:rPr>
          <w:sz w:val="24"/>
        </w:rPr>
        <w:t>BEP</w:t>
      </w:r>
      <w:r>
        <w:rPr>
          <w:spacing w:val="-4"/>
          <w:sz w:val="24"/>
        </w:rPr>
        <w:t> </w:t>
      </w:r>
      <w:r>
        <w:rPr>
          <w:sz w:val="24"/>
        </w:rPr>
        <w:t>will also be reinstated.</w:t>
      </w:r>
    </w:p>
    <w:p>
      <w:pPr>
        <w:pStyle w:val="ListParagraph"/>
        <w:numPr>
          <w:ilvl w:val="1"/>
          <w:numId w:val="396"/>
        </w:numPr>
        <w:tabs>
          <w:tab w:pos="1056" w:val="left" w:leader="none"/>
        </w:tabs>
        <w:spacing w:line="240" w:lineRule="auto" w:before="210" w:after="0"/>
        <w:ind w:left="1056" w:right="0" w:hanging="265"/>
        <w:jc w:val="left"/>
        <w:rPr>
          <w:sz w:val="24"/>
        </w:rPr>
      </w:pPr>
      <w:hyperlink w:history="true" w:anchor="_bookmark36">
        <w:r>
          <w:rPr>
            <w:color w:val="0000FF"/>
            <w:spacing w:val="-2"/>
            <w:sz w:val="24"/>
            <w:u w:val="single" w:color="0000FF"/>
          </w:rPr>
          <w:t>612:25-6-</w:t>
        </w:r>
        <w:r>
          <w:rPr>
            <w:color w:val="0000FF"/>
            <w:spacing w:val="-10"/>
            <w:sz w:val="24"/>
            <w:u w:val="single" w:color="0000FF"/>
          </w:rPr>
          <w:t>3</w:t>
        </w:r>
      </w:hyperlink>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pStyle w:val="ListParagraph"/>
        <w:numPr>
          <w:ilvl w:val="2"/>
          <w:numId w:val="242"/>
        </w:numPr>
        <w:tabs>
          <w:tab w:pos="1439" w:val="left" w:leader="none"/>
        </w:tabs>
        <w:spacing w:line="240" w:lineRule="auto" w:before="1" w:after="0"/>
        <w:ind w:left="359" w:right="4828" w:firstLine="0"/>
        <w:jc w:val="left"/>
        <w:rPr>
          <w:sz w:val="22"/>
        </w:rPr>
      </w:pPr>
      <w:r>
        <w:rPr>
          <w:sz w:val="22"/>
        </w:rPr>
        <w:t>Permanent,</w:t>
      </w:r>
      <w:r>
        <w:rPr>
          <w:spacing w:val="-7"/>
          <w:sz w:val="22"/>
        </w:rPr>
        <w:t> </w:t>
      </w:r>
      <w:r>
        <w:rPr>
          <w:sz w:val="22"/>
        </w:rPr>
        <w:t>updated</w:t>
      </w:r>
      <w:r>
        <w:rPr>
          <w:spacing w:val="-8"/>
          <w:sz w:val="22"/>
        </w:rPr>
        <w:t> </w:t>
      </w:r>
      <w:r>
        <w:rPr>
          <w:sz w:val="22"/>
        </w:rPr>
        <w:t>language</w:t>
      </w:r>
      <w:r>
        <w:rPr>
          <w:spacing w:val="-8"/>
          <w:sz w:val="22"/>
        </w:rPr>
        <w:t> </w:t>
      </w:r>
      <w:r>
        <w:rPr>
          <w:sz w:val="22"/>
        </w:rPr>
        <w:t>due</w:t>
      </w:r>
      <w:r>
        <w:rPr>
          <w:spacing w:val="-8"/>
          <w:sz w:val="22"/>
        </w:rPr>
        <w:t> </w:t>
      </w:r>
      <w:r>
        <w:rPr>
          <w:sz w:val="22"/>
        </w:rPr>
        <w:t>to</w:t>
      </w:r>
      <w:r>
        <w:rPr>
          <w:spacing w:val="-8"/>
          <w:sz w:val="22"/>
        </w:rPr>
        <w:t> </w:t>
      </w:r>
      <w:r>
        <w:rPr>
          <w:sz w:val="22"/>
        </w:rPr>
        <w:t>audit </w:t>
      </w:r>
      <w:r>
        <w:rPr>
          <w:spacing w:val="-2"/>
          <w:sz w:val="22"/>
        </w:rPr>
        <w:t>9-12-14</w:t>
      </w:r>
      <w:r>
        <w:rPr>
          <w:sz w:val="22"/>
        </w:rPr>
        <w:tab/>
        <w:t>Permanent, updating language</w:t>
      </w:r>
    </w:p>
    <w:p>
      <w:pPr>
        <w:pStyle w:val="ListParagraph"/>
        <w:spacing w:after="0" w:line="240" w:lineRule="auto"/>
        <w:jc w:val="left"/>
        <w:rPr>
          <w:sz w:val="22"/>
        </w:rPr>
        <w:sectPr>
          <w:pgSz w:w="12240" w:h="15840"/>
          <w:pgMar w:top="1340" w:bottom="280" w:left="1080" w:right="720"/>
        </w:sectPr>
      </w:pPr>
    </w:p>
    <w:p>
      <w:pPr>
        <w:tabs>
          <w:tab w:pos="1439" w:val="left" w:leader="none"/>
        </w:tabs>
        <w:spacing w:before="80"/>
        <w:ind w:left="1439" w:right="1004" w:hanging="1080"/>
        <w:jc w:val="left"/>
        <w:rPr>
          <w:sz w:val="22"/>
        </w:rPr>
      </w:pPr>
      <w:r>
        <w:rPr>
          <w:spacing w:val="-2"/>
          <w:sz w:val="22"/>
        </w:rPr>
        <w:t>8-27-15</w:t>
      </w:r>
      <w:r>
        <w:rPr>
          <w:sz w:val="22"/>
        </w:rPr>
        <w:tab/>
        <w:t>Language deleted regarding definition of license, formerly section (a).</w:t>
      </w:r>
      <w:r>
        <w:rPr>
          <w:spacing w:val="40"/>
          <w:sz w:val="22"/>
        </w:rPr>
        <w:t> </w:t>
      </w:r>
      <w:r>
        <w:rPr>
          <w:sz w:val="22"/>
        </w:rPr>
        <w:t>Under reformatted</w:t>
      </w:r>
      <w:r>
        <w:rPr>
          <w:spacing w:val="-4"/>
          <w:sz w:val="22"/>
        </w:rPr>
        <w:t> </w:t>
      </w:r>
      <w:r>
        <w:rPr>
          <w:sz w:val="22"/>
        </w:rPr>
        <w:t>section</w:t>
      </w:r>
      <w:r>
        <w:rPr>
          <w:spacing w:val="-4"/>
          <w:sz w:val="22"/>
        </w:rPr>
        <w:t> </w:t>
      </w:r>
      <w:r>
        <w:rPr>
          <w:sz w:val="22"/>
        </w:rPr>
        <w:t>(a)</w:t>
      </w:r>
      <w:r>
        <w:rPr>
          <w:spacing w:val="-6"/>
          <w:sz w:val="22"/>
        </w:rPr>
        <w:t> </w:t>
      </w:r>
      <w:r>
        <w:rPr>
          <w:sz w:val="22"/>
        </w:rPr>
        <w:t>subsections</w:t>
      </w:r>
      <w:r>
        <w:rPr>
          <w:spacing w:val="-5"/>
          <w:sz w:val="22"/>
        </w:rPr>
        <w:t> </w:t>
      </w:r>
      <w:r>
        <w:rPr>
          <w:sz w:val="22"/>
        </w:rPr>
        <w:t>1-4</w:t>
      </w:r>
      <w:r>
        <w:rPr>
          <w:spacing w:val="-4"/>
          <w:sz w:val="22"/>
        </w:rPr>
        <w:t> </w:t>
      </w:r>
      <w:r>
        <w:rPr>
          <w:sz w:val="22"/>
        </w:rPr>
        <w:t>are</w:t>
      </w:r>
      <w:r>
        <w:rPr>
          <w:spacing w:val="-4"/>
          <w:sz w:val="22"/>
        </w:rPr>
        <w:t> </w:t>
      </w:r>
      <w:r>
        <w:rPr>
          <w:sz w:val="22"/>
        </w:rPr>
        <w:t>deleted</w:t>
      </w:r>
      <w:r>
        <w:rPr>
          <w:spacing w:val="-4"/>
          <w:sz w:val="22"/>
        </w:rPr>
        <w:t> </w:t>
      </w:r>
      <w:r>
        <w:rPr>
          <w:sz w:val="22"/>
        </w:rPr>
        <w:t>regarding</w:t>
      </w:r>
      <w:r>
        <w:rPr>
          <w:spacing w:val="-4"/>
          <w:sz w:val="22"/>
        </w:rPr>
        <w:t> </w:t>
      </w:r>
      <w:r>
        <w:rPr>
          <w:sz w:val="22"/>
        </w:rPr>
        <w:t>requirements</w:t>
      </w:r>
      <w:r>
        <w:rPr>
          <w:spacing w:val="-4"/>
          <w:sz w:val="22"/>
        </w:rPr>
        <w:t> </w:t>
      </w:r>
      <w:r>
        <w:rPr>
          <w:sz w:val="22"/>
        </w:rPr>
        <w:t>for</w:t>
      </w:r>
      <w:r>
        <w:rPr>
          <w:spacing w:val="-4"/>
          <w:sz w:val="22"/>
        </w:rPr>
        <w:t> </w:t>
      </w:r>
      <w:r>
        <w:rPr>
          <w:sz w:val="22"/>
        </w:rPr>
        <w:t>the issuance of a BEP.</w:t>
      </w:r>
    </w:p>
    <w:p>
      <w:pPr>
        <w:tabs>
          <w:tab w:pos="1500" w:val="left" w:leader="none"/>
        </w:tabs>
        <w:spacing w:line="253" w:lineRule="exact" w:before="0"/>
        <w:ind w:left="359" w:right="0" w:firstLine="0"/>
        <w:jc w:val="left"/>
        <w:rPr>
          <w:sz w:val="22"/>
        </w:rPr>
      </w:pPr>
      <w:r>
        <w:rPr>
          <w:spacing w:val="-2"/>
          <w:sz w:val="22"/>
        </w:rPr>
        <w:t>9-11-</w:t>
      </w:r>
      <w:r>
        <w:rPr>
          <w:spacing w:val="-5"/>
          <w:sz w:val="22"/>
        </w:rPr>
        <w:t>22</w:t>
      </w:r>
      <w:r>
        <w:rPr>
          <w:sz w:val="22"/>
        </w:rPr>
        <w:tab/>
        <w:t>Added</w:t>
      </w:r>
      <w:r>
        <w:rPr>
          <w:spacing w:val="-7"/>
          <w:sz w:val="22"/>
        </w:rPr>
        <w:t> </w:t>
      </w:r>
      <w:r>
        <w:rPr>
          <w:sz w:val="22"/>
        </w:rPr>
        <w:t>section</w:t>
      </w:r>
      <w:r>
        <w:rPr>
          <w:spacing w:val="-7"/>
          <w:sz w:val="22"/>
        </w:rPr>
        <w:t> </w:t>
      </w:r>
      <w:r>
        <w:rPr>
          <w:sz w:val="22"/>
        </w:rPr>
        <w:t>(e)</w:t>
      </w:r>
      <w:r>
        <w:rPr>
          <w:spacing w:val="-7"/>
          <w:sz w:val="22"/>
        </w:rPr>
        <w:t> </w:t>
      </w:r>
      <w:r>
        <w:rPr>
          <w:sz w:val="22"/>
        </w:rPr>
        <w:t>Continuation</w:t>
      </w:r>
      <w:r>
        <w:rPr>
          <w:spacing w:val="-7"/>
          <w:sz w:val="22"/>
        </w:rPr>
        <w:t> </w:t>
      </w:r>
      <w:r>
        <w:rPr>
          <w:sz w:val="22"/>
        </w:rPr>
        <w:t>of</w:t>
      </w:r>
      <w:r>
        <w:rPr>
          <w:spacing w:val="-7"/>
          <w:sz w:val="22"/>
        </w:rPr>
        <w:t> </w:t>
      </w:r>
      <w:r>
        <w:rPr>
          <w:sz w:val="22"/>
        </w:rPr>
        <w:t>Benefits</w:t>
      </w:r>
      <w:r>
        <w:rPr>
          <w:spacing w:val="-7"/>
          <w:sz w:val="22"/>
        </w:rPr>
        <w:t> </w:t>
      </w:r>
      <w:r>
        <w:rPr>
          <w:sz w:val="22"/>
        </w:rPr>
        <w:t>and</w:t>
      </w:r>
      <w:r>
        <w:rPr>
          <w:spacing w:val="-7"/>
          <w:sz w:val="22"/>
        </w:rPr>
        <w:t> </w:t>
      </w:r>
      <w:r>
        <w:rPr>
          <w:sz w:val="22"/>
        </w:rPr>
        <w:t>updated</w:t>
      </w:r>
      <w:r>
        <w:rPr>
          <w:spacing w:val="-7"/>
          <w:sz w:val="22"/>
        </w:rPr>
        <w:t> </w:t>
      </w:r>
      <w:r>
        <w:rPr>
          <w:spacing w:val="-2"/>
          <w:sz w:val="22"/>
        </w:rPr>
        <w:t>language.</w:t>
      </w:r>
    </w:p>
    <w:p>
      <w:pPr>
        <w:spacing w:after="0" w:line="253" w:lineRule="exact"/>
        <w:jc w:val="left"/>
        <w:rPr>
          <w:sz w:val="22"/>
        </w:rPr>
        <w:sectPr>
          <w:pgSz w:w="12240" w:h="15840"/>
          <w:pgMar w:top="1360" w:bottom="280" w:left="1080" w:right="720"/>
        </w:sectPr>
      </w:pPr>
    </w:p>
    <w:p>
      <w:pPr>
        <w:pStyle w:val="Heading2"/>
      </w:pPr>
      <w:bookmarkStart w:name="612:25-6-2.  Standards for licensed mana" w:id="422"/>
      <w:bookmarkEnd w:id="422"/>
      <w:r>
        <w:rPr>
          <w:b w:val="0"/>
        </w:rPr>
      </w:r>
      <w:r>
        <w:rPr/>
        <w:t>612:25-6-2.</w:t>
      </w:r>
      <w:r>
        <w:rPr>
          <w:spacing w:val="56"/>
        </w:rPr>
        <w:t> </w:t>
      </w:r>
      <w:r>
        <w:rPr/>
        <w:t>Standards</w:t>
      </w:r>
      <w:r>
        <w:rPr>
          <w:spacing w:val="-4"/>
        </w:rPr>
        <w:t> </w:t>
      </w:r>
      <w:r>
        <w:rPr/>
        <w:t>for</w:t>
      </w:r>
      <w:r>
        <w:rPr>
          <w:spacing w:val="-4"/>
        </w:rPr>
        <w:t> </w:t>
      </w:r>
      <w:r>
        <w:rPr/>
        <w:t>licensed</w:t>
      </w:r>
      <w:r>
        <w:rPr>
          <w:spacing w:val="-4"/>
        </w:rPr>
        <w:t> </w:t>
      </w:r>
      <w:r>
        <w:rPr>
          <w:spacing w:val="-2"/>
        </w:rPr>
        <w:t>managers</w:t>
      </w:r>
    </w:p>
    <w:p>
      <w:pPr>
        <w:pStyle w:val="ListParagraph"/>
        <w:numPr>
          <w:ilvl w:val="0"/>
          <w:numId w:val="397"/>
        </w:numPr>
        <w:tabs>
          <w:tab w:pos="786" w:val="left" w:leader="none"/>
        </w:tabs>
        <w:spacing w:line="208" w:lineRule="auto" w:before="233" w:after="0"/>
        <w:ind w:left="360" w:right="786" w:firstLine="0"/>
        <w:jc w:val="left"/>
        <w:rPr>
          <w:sz w:val="24"/>
        </w:rPr>
      </w:pPr>
      <w:r>
        <w:rPr>
          <w:sz w:val="24"/>
        </w:rPr>
        <w:t>The</w:t>
      </w:r>
      <w:r>
        <w:rPr>
          <w:spacing w:val="-3"/>
          <w:sz w:val="24"/>
        </w:rPr>
        <w:t> </w:t>
      </w:r>
      <w:r>
        <w:rPr>
          <w:sz w:val="24"/>
        </w:rPr>
        <w:t>licensed</w:t>
      </w:r>
      <w:r>
        <w:rPr>
          <w:spacing w:val="-3"/>
          <w:sz w:val="24"/>
        </w:rPr>
        <w:t> </w:t>
      </w:r>
      <w:r>
        <w:rPr>
          <w:sz w:val="24"/>
        </w:rPr>
        <w:t>manager</w:t>
      </w:r>
      <w:r>
        <w:rPr>
          <w:spacing w:val="-2"/>
          <w:sz w:val="24"/>
        </w:rPr>
        <w:t> </w:t>
      </w:r>
      <w:r>
        <w:rPr>
          <w:sz w:val="24"/>
        </w:rPr>
        <w:t>will</w:t>
      </w:r>
      <w:r>
        <w:rPr>
          <w:spacing w:val="-3"/>
          <w:sz w:val="24"/>
        </w:rPr>
        <w:t> </w:t>
      </w:r>
      <w:r>
        <w:rPr>
          <w:sz w:val="24"/>
        </w:rPr>
        <w:t>agree</w:t>
      </w:r>
      <w:r>
        <w:rPr>
          <w:spacing w:val="-3"/>
          <w:sz w:val="24"/>
        </w:rPr>
        <w:t> </w:t>
      </w:r>
      <w:r>
        <w:rPr>
          <w:sz w:val="24"/>
        </w:rPr>
        <w:t>to</w:t>
      </w:r>
      <w:r>
        <w:rPr>
          <w:spacing w:val="-3"/>
          <w:sz w:val="24"/>
        </w:rPr>
        <w:t> </w:t>
      </w:r>
      <w:r>
        <w:rPr>
          <w:sz w:val="24"/>
        </w:rPr>
        <w:t>the</w:t>
      </w:r>
      <w:r>
        <w:rPr>
          <w:spacing w:val="-4"/>
          <w:sz w:val="24"/>
        </w:rPr>
        <w:t> </w:t>
      </w:r>
      <w:r>
        <w:rPr>
          <w:sz w:val="24"/>
        </w:rPr>
        <w:t>terms</w:t>
      </w:r>
      <w:r>
        <w:rPr>
          <w:spacing w:val="-3"/>
          <w:sz w:val="24"/>
        </w:rPr>
        <w:t> </w:t>
      </w:r>
      <w:r>
        <w:rPr>
          <w:sz w:val="24"/>
        </w:rPr>
        <w:t>of</w:t>
      </w:r>
      <w:r>
        <w:rPr>
          <w:spacing w:val="-4"/>
          <w:sz w:val="24"/>
        </w:rPr>
        <w:t> </w:t>
      </w:r>
      <w:r>
        <w:rPr>
          <w:sz w:val="24"/>
        </w:rPr>
        <w:t>the</w:t>
      </w:r>
      <w:r>
        <w:rPr>
          <w:spacing w:val="-4"/>
          <w:sz w:val="24"/>
        </w:rPr>
        <w:t> </w:t>
      </w:r>
      <w:r>
        <w:rPr>
          <w:sz w:val="24"/>
        </w:rPr>
        <w:t>licensed</w:t>
      </w:r>
      <w:r>
        <w:rPr>
          <w:spacing w:val="-3"/>
          <w:sz w:val="24"/>
        </w:rPr>
        <w:t> </w:t>
      </w:r>
      <w:r>
        <w:rPr>
          <w:sz w:val="24"/>
        </w:rPr>
        <w:t>manager's</w:t>
      </w:r>
      <w:r>
        <w:rPr>
          <w:spacing w:val="-3"/>
          <w:sz w:val="24"/>
        </w:rPr>
        <w:t> </w:t>
      </w:r>
      <w:r>
        <w:rPr>
          <w:sz w:val="24"/>
        </w:rPr>
        <w:t>agreement, rules and regulations governing the Business Enterprise Program, and the permit or contract governing the specific business enterprise.</w:t>
      </w:r>
    </w:p>
    <w:p>
      <w:pPr>
        <w:pStyle w:val="ListParagraph"/>
        <w:numPr>
          <w:ilvl w:val="0"/>
          <w:numId w:val="397"/>
        </w:numPr>
        <w:tabs>
          <w:tab w:pos="786" w:val="left" w:leader="none"/>
        </w:tabs>
        <w:spacing w:line="208" w:lineRule="auto" w:before="240" w:after="0"/>
        <w:ind w:left="360" w:right="1086" w:firstLine="0"/>
        <w:jc w:val="left"/>
        <w:rPr>
          <w:sz w:val="24"/>
        </w:rPr>
      </w:pPr>
      <w:r>
        <w:rPr>
          <w:sz w:val="24"/>
        </w:rPr>
        <w:t>The</w:t>
      </w:r>
      <w:r>
        <w:rPr>
          <w:spacing w:val="-4"/>
          <w:sz w:val="24"/>
        </w:rPr>
        <w:t> </w:t>
      </w:r>
      <w:r>
        <w:rPr>
          <w:sz w:val="24"/>
        </w:rPr>
        <w:t>licensed</w:t>
      </w:r>
      <w:r>
        <w:rPr>
          <w:spacing w:val="-4"/>
          <w:sz w:val="24"/>
        </w:rPr>
        <w:t> </w:t>
      </w:r>
      <w:r>
        <w:rPr>
          <w:sz w:val="24"/>
        </w:rPr>
        <w:t>manager</w:t>
      </w:r>
      <w:r>
        <w:rPr>
          <w:spacing w:val="-3"/>
          <w:sz w:val="24"/>
        </w:rPr>
        <w:t> </w:t>
      </w:r>
      <w:r>
        <w:rPr>
          <w:sz w:val="24"/>
        </w:rPr>
        <w:t>will</w:t>
      </w:r>
      <w:r>
        <w:rPr>
          <w:spacing w:val="-4"/>
          <w:sz w:val="24"/>
        </w:rPr>
        <w:t> </w:t>
      </w:r>
      <w:r>
        <w:rPr>
          <w:sz w:val="24"/>
        </w:rPr>
        <w:t>operate</w:t>
      </w:r>
      <w:r>
        <w:rPr>
          <w:spacing w:val="-4"/>
          <w:sz w:val="24"/>
        </w:rPr>
        <w:t> </w:t>
      </w:r>
      <w:r>
        <w:rPr>
          <w:sz w:val="24"/>
        </w:rPr>
        <w:t>the</w:t>
      </w:r>
      <w:r>
        <w:rPr>
          <w:spacing w:val="-4"/>
          <w:sz w:val="24"/>
        </w:rPr>
        <w:t> </w:t>
      </w:r>
      <w:r>
        <w:rPr>
          <w:sz w:val="24"/>
        </w:rPr>
        <w:t>business</w:t>
      </w:r>
      <w:r>
        <w:rPr>
          <w:spacing w:val="-4"/>
          <w:sz w:val="24"/>
        </w:rPr>
        <w:t> </w:t>
      </w:r>
      <w:r>
        <w:rPr>
          <w:sz w:val="24"/>
        </w:rPr>
        <w:t>enterprise</w:t>
      </w:r>
      <w:r>
        <w:rPr>
          <w:spacing w:val="-4"/>
          <w:sz w:val="24"/>
        </w:rPr>
        <w:t> </w:t>
      </w:r>
      <w:r>
        <w:rPr>
          <w:sz w:val="24"/>
        </w:rPr>
        <w:t>in</w:t>
      </w:r>
      <w:r>
        <w:rPr>
          <w:spacing w:val="-4"/>
          <w:sz w:val="24"/>
        </w:rPr>
        <w:t> </w:t>
      </w:r>
      <w:r>
        <w:rPr>
          <w:sz w:val="24"/>
        </w:rPr>
        <w:t>accordance</w:t>
      </w:r>
      <w:r>
        <w:rPr>
          <w:spacing w:val="-4"/>
          <w:sz w:val="24"/>
        </w:rPr>
        <w:t> </w:t>
      </w:r>
      <w:r>
        <w:rPr>
          <w:sz w:val="24"/>
        </w:rPr>
        <w:t>with</w:t>
      </w:r>
      <w:r>
        <w:rPr>
          <w:spacing w:val="-4"/>
          <w:sz w:val="24"/>
        </w:rPr>
        <w:t> </w:t>
      </w:r>
      <w:r>
        <w:rPr>
          <w:sz w:val="24"/>
        </w:rPr>
        <w:t>all applicable health laws and regulations, safety regulations and other federal, state, county, and municipality laws and regulations applicable to the business enterprise.</w:t>
      </w:r>
    </w:p>
    <w:p>
      <w:pPr>
        <w:pStyle w:val="ListParagraph"/>
        <w:numPr>
          <w:ilvl w:val="0"/>
          <w:numId w:val="397"/>
        </w:numPr>
        <w:tabs>
          <w:tab w:pos="773" w:val="left" w:leader="none"/>
        </w:tabs>
        <w:spacing w:line="208" w:lineRule="auto" w:before="239" w:after="0"/>
        <w:ind w:left="360" w:right="776" w:firstLine="0"/>
        <w:jc w:val="left"/>
        <w:rPr>
          <w:b/>
          <w:sz w:val="24"/>
        </w:rPr>
      </w:pPr>
      <w:r>
        <w:rPr>
          <w:sz w:val="24"/>
        </w:rPr>
        <w:t>The</w:t>
      </w:r>
      <w:r>
        <w:rPr>
          <w:spacing w:val="-4"/>
          <w:sz w:val="24"/>
        </w:rPr>
        <w:t> </w:t>
      </w:r>
      <w:r>
        <w:rPr>
          <w:sz w:val="24"/>
        </w:rPr>
        <w:t>licensed</w:t>
      </w:r>
      <w:r>
        <w:rPr>
          <w:spacing w:val="-4"/>
          <w:sz w:val="24"/>
        </w:rPr>
        <w:t> </w:t>
      </w:r>
      <w:r>
        <w:rPr>
          <w:sz w:val="24"/>
        </w:rPr>
        <w:t>manager</w:t>
      </w:r>
      <w:r>
        <w:rPr>
          <w:spacing w:val="-3"/>
          <w:sz w:val="24"/>
        </w:rPr>
        <w:t> </w:t>
      </w:r>
      <w:r>
        <w:rPr>
          <w:sz w:val="24"/>
        </w:rPr>
        <w:t>will</w:t>
      </w:r>
      <w:r>
        <w:rPr>
          <w:spacing w:val="-4"/>
          <w:sz w:val="24"/>
        </w:rPr>
        <w:t> </w:t>
      </w:r>
      <w:r>
        <w:rPr>
          <w:sz w:val="24"/>
        </w:rPr>
        <w:t>work</w:t>
      </w:r>
      <w:r>
        <w:rPr>
          <w:spacing w:val="-4"/>
          <w:sz w:val="24"/>
        </w:rPr>
        <w:t> </w:t>
      </w:r>
      <w:r>
        <w:rPr>
          <w:sz w:val="24"/>
        </w:rPr>
        <w:t>cooperatively</w:t>
      </w:r>
      <w:r>
        <w:rPr>
          <w:spacing w:val="-4"/>
          <w:sz w:val="24"/>
        </w:rPr>
        <w:t> </w:t>
      </w:r>
      <w:r>
        <w:rPr>
          <w:sz w:val="24"/>
        </w:rPr>
        <w:t>with</w:t>
      </w:r>
      <w:r>
        <w:rPr>
          <w:spacing w:val="-3"/>
          <w:sz w:val="24"/>
        </w:rPr>
        <w:t> </w:t>
      </w:r>
      <w:r>
        <w:rPr>
          <w:sz w:val="24"/>
        </w:rPr>
        <w:t>authorized</w:t>
      </w:r>
      <w:r>
        <w:rPr>
          <w:spacing w:val="-3"/>
          <w:sz w:val="24"/>
        </w:rPr>
        <w:t> </w:t>
      </w:r>
      <w:r>
        <w:rPr>
          <w:sz w:val="24"/>
        </w:rPr>
        <w:t>representatives</w:t>
      </w:r>
      <w:r>
        <w:rPr>
          <w:spacing w:val="-4"/>
          <w:sz w:val="24"/>
        </w:rPr>
        <w:t> </w:t>
      </w:r>
      <w:r>
        <w:rPr>
          <w:sz w:val="24"/>
        </w:rPr>
        <w:t>of</w:t>
      </w:r>
      <w:r>
        <w:rPr>
          <w:spacing w:val="-3"/>
          <w:sz w:val="24"/>
        </w:rPr>
        <w:t> </w:t>
      </w:r>
      <w:r>
        <w:rPr>
          <w:sz w:val="24"/>
        </w:rPr>
        <w:t>the SLA in connection with their official responsibilities.</w:t>
      </w:r>
      <w:r>
        <w:rPr>
          <w:spacing w:val="40"/>
          <w:sz w:val="24"/>
        </w:rPr>
        <w:t> </w:t>
      </w:r>
      <w:r>
        <w:rPr>
          <w:b/>
          <w:sz w:val="24"/>
        </w:rPr>
        <w:t>1</w:t>
      </w:r>
    </w:p>
    <w:p>
      <w:pPr>
        <w:pStyle w:val="ListParagraph"/>
        <w:numPr>
          <w:ilvl w:val="0"/>
          <w:numId w:val="397"/>
        </w:numPr>
        <w:tabs>
          <w:tab w:pos="785" w:val="left" w:leader="none"/>
        </w:tabs>
        <w:spacing w:line="208" w:lineRule="auto" w:before="240" w:after="0"/>
        <w:ind w:left="359" w:right="790" w:firstLine="0"/>
        <w:jc w:val="left"/>
        <w:rPr>
          <w:sz w:val="24"/>
        </w:rPr>
      </w:pPr>
      <w:r>
        <w:rPr>
          <w:sz w:val="24"/>
        </w:rPr>
        <w:t>The licensed manager will take proper care of the equipment and fixtures to minimize repair and replacement costs. The licensed manager will be responsible for repair or replacement costs when caused by the negligence of the licensed manager or his or her employees, when repair cost is below $25.00, or when repairs are not authorized by the BEP. In the event of withdrawal from the business enterprise for any reason,</w:t>
      </w:r>
      <w:r>
        <w:rPr>
          <w:spacing w:val="-3"/>
          <w:sz w:val="24"/>
        </w:rPr>
        <w:t> </w:t>
      </w:r>
      <w:r>
        <w:rPr>
          <w:sz w:val="24"/>
        </w:rPr>
        <w:t>the</w:t>
      </w:r>
      <w:r>
        <w:rPr>
          <w:spacing w:val="-4"/>
          <w:sz w:val="24"/>
        </w:rPr>
        <w:t> </w:t>
      </w:r>
      <w:r>
        <w:rPr>
          <w:sz w:val="24"/>
        </w:rPr>
        <w:t>licensed</w:t>
      </w:r>
      <w:r>
        <w:rPr>
          <w:spacing w:val="-4"/>
          <w:sz w:val="24"/>
        </w:rPr>
        <w:t> </w:t>
      </w:r>
      <w:r>
        <w:rPr>
          <w:sz w:val="24"/>
        </w:rPr>
        <w:t>manager</w:t>
      </w:r>
      <w:r>
        <w:rPr>
          <w:spacing w:val="-3"/>
          <w:sz w:val="24"/>
        </w:rPr>
        <w:t> </w:t>
      </w:r>
      <w:r>
        <w:rPr>
          <w:sz w:val="24"/>
        </w:rPr>
        <w:t>will</w:t>
      </w:r>
      <w:r>
        <w:rPr>
          <w:spacing w:val="-3"/>
          <w:sz w:val="24"/>
        </w:rPr>
        <w:t> </w:t>
      </w:r>
      <w:r>
        <w:rPr>
          <w:sz w:val="24"/>
        </w:rPr>
        <w:t>leave</w:t>
      </w:r>
      <w:r>
        <w:rPr>
          <w:spacing w:val="-4"/>
          <w:sz w:val="24"/>
        </w:rPr>
        <w:t> </w:t>
      </w:r>
      <w:r>
        <w:rPr>
          <w:sz w:val="24"/>
        </w:rPr>
        <w:t>all</w:t>
      </w:r>
      <w:r>
        <w:rPr>
          <w:spacing w:val="-4"/>
          <w:sz w:val="24"/>
        </w:rPr>
        <w:t> </w:t>
      </w:r>
      <w:r>
        <w:rPr>
          <w:sz w:val="24"/>
        </w:rPr>
        <w:t>SLA-owned</w:t>
      </w:r>
      <w:r>
        <w:rPr>
          <w:spacing w:val="-4"/>
          <w:sz w:val="24"/>
        </w:rPr>
        <w:t> </w:t>
      </w:r>
      <w:r>
        <w:rPr>
          <w:sz w:val="24"/>
        </w:rPr>
        <w:t>equipment</w:t>
      </w:r>
      <w:r>
        <w:rPr>
          <w:spacing w:val="-2"/>
          <w:sz w:val="24"/>
        </w:rPr>
        <w:t> </w:t>
      </w:r>
      <w:r>
        <w:rPr>
          <w:sz w:val="24"/>
        </w:rPr>
        <w:t>to</w:t>
      </w:r>
      <w:r>
        <w:rPr>
          <w:spacing w:val="-4"/>
          <w:sz w:val="24"/>
        </w:rPr>
        <w:t> </w:t>
      </w:r>
      <w:r>
        <w:rPr>
          <w:sz w:val="24"/>
        </w:rPr>
        <w:t>the</w:t>
      </w:r>
      <w:r>
        <w:rPr>
          <w:spacing w:val="-4"/>
          <w:sz w:val="24"/>
        </w:rPr>
        <w:t> </w:t>
      </w:r>
      <w:r>
        <w:rPr>
          <w:sz w:val="24"/>
        </w:rPr>
        <w:t>disposal</w:t>
      </w:r>
      <w:r>
        <w:rPr>
          <w:spacing w:val="-4"/>
          <w:sz w:val="24"/>
        </w:rPr>
        <w:t> </w:t>
      </w:r>
      <w:r>
        <w:rPr>
          <w:sz w:val="24"/>
        </w:rPr>
        <w:t>of</w:t>
      </w:r>
      <w:r>
        <w:rPr>
          <w:spacing w:val="-3"/>
          <w:sz w:val="24"/>
        </w:rPr>
        <w:t> </w:t>
      </w:r>
      <w:r>
        <w:rPr>
          <w:sz w:val="24"/>
        </w:rPr>
        <w:t>the </w:t>
      </w:r>
      <w:r>
        <w:rPr>
          <w:spacing w:val="-4"/>
          <w:sz w:val="24"/>
        </w:rPr>
        <w:t>SLA.</w:t>
      </w:r>
    </w:p>
    <w:p>
      <w:pPr>
        <w:pStyle w:val="ListParagraph"/>
        <w:numPr>
          <w:ilvl w:val="0"/>
          <w:numId w:val="397"/>
        </w:numPr>
        <w:tabs>
          <w:tab w:pos="785" w:val="left" w:leader="none"/>
        </w:tabs>
        <w:spacing w:line="240" w:lineRule="auto" w:before="210" w:after="0"/>
        <w:ind w:left="785" w:right="0" w:hanging="426"/>
        <w:jc w:val="left"/>
        <w:rPr>
          <w:sz w:val="24"/>
        </w:rPr>
      </w:pPr>
      <w:r>
        <w:rPr>
          <w:sz w:val="24"/>
        </w:rPr>
        <w:t>The</w:t>
      </w:r>
      <w:r>
        <w:rPr>
          <w:spacing w:val="-3"/>
          <w:sz w:val="24"/>
        </w:rPr>
        <w:t> </w:t>
      </w:r>
      <w:r>
        <w:rPr>
          <w:sz w:val="24"/>
        </w:rPr>
        <w:t>licensed</w:t>
      </w:r>
      <w:r>
        <w:rPr>
          <w:spacing w:val="-2"/>
          <w:sz w:val="24"/>
        </w:rPr>
        <w:t> </w:t>
      </w:r>
      <w:r>
        <w:rPr>
          <w:sz w:val="24"/>
        </w:rPr>
        <w:t>manager</w:t>
      </w:r>
      <w:r>
        <w:rPr>
          <w:spacing w:val="-2"/>
          <w:sz w:val="24"/>
        </w:rPr>
        <w:t> </w:t>
      </w:r>
      <w:r>
        <w:rPr>
          <w:sz w:val="24"/>
        </w:rPr>
        <w:t>will</w:t>
      </w:r>
      <w:r>
        <w:rPr>
          <w:spacing w:val="-3"/>
          <w:sz w:val="24"/>
        </w:rPr>
        <w:t> </w:t>
      </w:r>
      <w:r>
        <w:rPr>
          <w:sz w:val="24"/>
        </w:rPr>
        <w:t>collect</w:t>
      </w:r>
      <w:r>
        <w:rPr>
          <w:spacing w:val="-1"/>
          <w:sz w:val="24"/>
        </w:rPr>
        <w:t> </w:t>
      </w:r>
      <w:r>
        <w:rPr>
          <w:sz w:val="24"/>
        </w:rPr>
        <w:t>and</w:t>
      </w:r>
      <w:r>
        <w:rPr>
          <w:spacing w:val="-3"/>
          <w:sz w:val="24"/>
        </w:rPr>
        <w:t> </w:t>
      </w:r>
      <w:r>
        <w:rPr>
          <w:sz w:val="24"/>
        </w:rPr>
        <w:t>pay</w:t>
      </w:r>
      <w:r>
        <w:rPr>
          <w:spacing w:val="-2"/>
          <w:sz w:val="24"/>
        </w:rPr>
        <w:t> </w:t>
      </w:r>
      <w:r>
        <w:rPr>
          <w:sz w:val="24"/>
        </w:rPr>
        <w:t>sales</w:t>
      </w:r>
      <w:r>
        <w:rPr>
          <w:spacing w:val="-3"/>
          <w:sz w:val="24"/>
        </w:rPr>
        <w:t> </w:t>
      </w:r>
      <w:r>
        <w:rPr>
          <w:sz w:val="24"/>
        </w:rPr>
        <w:t>tax</w:t>
      </w:r>
      <w:r>
        <w:rPr>
          <w:spacing w:val="-3"/>
          <w:sz w:val="24"/>
        </w:rPr>
        <w:t> </w:t>
      </w:r>
      <w:r>
        <w:rPr>
          <w:sz w:val="24"/>
        </w:rPr>
        <w:t>as</w:t>
      </w:r>
      <w:r>
        <w:rPr>
          <w:spacing w:val="-2"/>
          <w:sz w:val="24"/>
        </w:rPr>
        <w:t> required.</w:t>
      </w:r>
    </w:p>
    <w:p>
      <w:pPr>
        <w:pStyle w:val="ListParagraph"/>
        <w:numPr>
          <w:ilvl w:val="0"/>
          <w:numId w:val="397"/>
        </w:numPr>
        <w:tabs>
          <w:tab w:pos="719" w:val="left" w:leader="none"/>
        </w:tabs>
        <w:spacing w:line="240" w:lineRule="auto" w:before="204" w:after="0"/>
        <w:ind w:left="719" w:right="0" w:hanging="359"/>
        <w:jc w:val="left"/>
        <w:rPr>
          <w:sz w:val="24"/>
        </w:rPr>
      </w:pPr>
      <w:r>
        <w:rPr>
          <w:sz w:val="24"/>
        </w:rPr>
        <w:t>The</w:t>
      </w:r>
      <w:r>
        <w:rPr>
          <w:spacing w:val="-6"/>
          <w:sz w:val="24"/>
        </w:rPr>
        <w:t> </w:t>
      </w:r>
      <w:r>
        <w:rPr>
          <w:sz w:val="24"/>
        </w:rPr>
        <w:t>licensed</w:t>
      </w:r>
      <w:r>
        <w:rPr>
          <w:spacing w:val="-3"/>
          <w:sz w:val="24"/>
        </w:rPr>
        <w:t> </w:t>
      </w:r>
      <w:r>
        <w:rPr>
          <w:sz w:val="24"/>
        </w:rPr>
        <w:t>manager</w:t>
      </w:r>
      <w:r>
        <w:rPr>
          <w:spacing w:val="-2"/>
          <w:sz w:val="24"/>
        </w:rPr>
        <w:t> </w:t>
      </w:r>
      <w:r>
        <w:rPr>
          <w:sz w:val="24"/>
        </w:rPr>
        <w:t>will</w:t>
      </w:r>
      <w:r>
        <w:rPr>
          <w:spacing w:val="-3"/>
          <w:sz w:val="24"/>
        </w:rPr>
        <w:t> </w:t>
      </w:r>
      <w:r>
        <w:rPr>
          <w:sz w:val="24"/>
        </w:rPr>
        <w:t>be</w:t>
      </w:r>
      <w:r>
        <w:rPr>
          <w:spacing w:val="-4"/>
          <w:sz w:val="24"/>
        </w:rPr>
        <w:t> </w:t>
      </w:r>
      <w:r>
        <w:rPr>
          <w:sz w:val="24"/>
        </w:rPr>
        <w:t>responsible</w:t>
      </w:r>
      <w:r>
        <w:rPr>
          <w:spacing w:val="-2"/>
          <w:sz w:val="24"/>
        </w:rPr>
        <w:t> </w:t>
      </w:r>
      <w:r>
        <w:rPr>
          <w:sz w:val="24"/>
        </w:rPr>
        <w:t>for</w:t>
      </w:r>
      <w:r>
        <w:rPr>
          <w:spacing w:val="-2"/>
          <w:sz w:val="24"/>
        </w:rPr>
        <w:t> </w:t>
      </w:r>
      <w:r>
        <w:rPr>
          <w:sz w:val="24"/>
        </w:rPr>
        <w:t>substitute</w:t>
      </w:r>
      <w:r>
        <w:rPr>
          <w:spacing w:val="-3"/>
          <w:sz w:val="24"/>
        </w:rPr>
        <w:t> </w:t>
      </w:r>
      <w:r>
        <w:rPr>
          <w:spacing w:val="-2"/>
          <w:sz w:val="24"/>
        </w:rPr>
        <w:t>operation.</w:t>
      </w:r>
    </w:p>
    <w:p>
      <w:pPr>
        <w:pStyle w:val="ListParagraph"/>
        <w:numPr>
          <w:ilvl w:val="0"/>
          <w:numId w:val="397"/>
        </w:numPr>
        <w:tabs>
          <w:tab w:pos="786" w:val="left" w:leader="none"/>
        </w:tabs>
        <w:spacing w:line="208" w:lineRule="auto" w:before="233" w:after="0"/>
        <w:ind w:left="360" w:right="1203" w:firstLine="0"/>
        <w:jc w:val="left"/>
        <w:rPr>
          <w:sz w:val="24"/>
        </w:rPr>
      </w:pPr>
      <w:r>
        <w:rPr>
          <w:sz w:val="24"/>
        </w:rPr>
        <w:t>The</w:t>
      </w:r>
      <w:r>
        <w:rPr>
          <w:spacing w:val="-4"/>
          <w:sz w:val="24"/>
        </w:rPr>
        <w:t> </w:t>
      </w:r>
      <w:r>
        <w:rPr>
          <w:sz w:val="24"/>
        </w:rPr>
        <w:t>licensed</w:t>
      </w:r>
      <w:r>
        <w:rPr>
          <w:spacing w:val="-4"/>
          <w:sz w:val="24"/>
        </w:rPr>
        <w:t> </w:t>
      </w:r>
      <w:r>
        <w:rPr>
          <w:sz w:val="24"/>
        </w:rPr>
        <w:t>manager</w:t>
      </w:r>
      <w:r>
        <w:rPr>
          <w:spacing w:val="-3"/>
          <w:sz w:val="24"/>
        </w:rPr>
        <w:t> </w:t>
      </w:r>
      <w:r>
        <w:rPr>
          <w:sz w:val="24"/>
        </w:rPr>
        <w:t>will</w:t>
      </w:r>
      <w:r>
        <w:rPr>
          <w:spacing w:val="-4"/>
          <w:sz w:val="24"/>
        </w:rPr>
        <w:t> </w:t>
      </w:r>
      <w:r>
        <w:rPr>
          <w:sz w:val="24"/>
        </w:rPr>
        <w:t>not</w:t>
      </w:r>
      <w:r>
        <w:rPr>
          <w:spacing w:val="-3"/>
          <w:sz w:val="24"/>
        </w:rPr>
        <w:t> </w:t>
      </w:r>
      <w:r>
        <w:rPr>
          <w:sz w:val="24"/>
        </w:rPr>
        <w:t>take</w:t>
      </w:r>
      <w:r>
        <w:rPr>
          <w:spacing w:val="-4"/>
          <w:sz w:val="24"/>
        </w:rPr>
        <w:t> </w:t>
      </w:r>
      <w:r>
        <w:rPr>
          <w:sz w:val="24"/>
        </w:rPr>
        <w:t>action</w:t>
      </w:r>
      <w:r>
        <w:rPr>
          <w:spacing w:val="-4"/>
          <w:sz w:val="24"/>
        </w:rPr>
        <w:t> </w:t>
      </w:r>
      <w:r>
        <w:rPr>
          <w:sz w:val="24"/>
        </w:rPr>
        <w:t>inconsistent</w:t>
      </w:r>
      <w:r>
        <w:rPr>
          <w:spacing w:val="-3"/>
          <w:sz w:val="24"/>
        </w:rPr>
        <w:t> </w:t>
      </w:r>
      <w:r>
        <w:rPr>
          <w:sz w:val="24"/>
        </w:rPr>
        <w:t>with</w:t>
      </w:r>
      <w:r>
        <w:rPr>
          <w:spacing w:val="-4"/>
          <w:sz w:val="24"/>
        </w:rPr>
        <w:t> </w:t>
      </w:r>
      <w:r>
        <w:rPr>
          <w:sz w:val="24"/>
        </w:rPr>
        <w:t>the</w:t>
      </w:r>
      <w:r>
        <w:rPr>
          <w:spacing w:val="-4"/>
          <w:sz w:val="24"/>
        </w:rPr>
        <w:t> </w:t>
      </w:r>
      <w:r>
        <w:rPr>
          <w:sz w:val="24"/>
        </w:rPr>
        <w:t>paramount</w:t>
      </w:r>
      <w:r>
        <w:rPr>
          <w:spacing w:val="-3"/>
          <w:sz w:val="24"/>
        </w:rPr>
        <w:t> </w:t>
      </w:r>
      <w:r>
        <w:rPr>
          <w:sz w:val="24"/>
        </w:rPr>
        <w:t>right, title, and interest of the SLA to business enterprise equipment.</w:t>
      </w:r>
    </w:p>
    <w:p>
      <w:pPr>
        <w:pStyle w:val="ListParagraph"/>
        <w:numPr>
          <w:ilvl w:val="0"/>
          <w:numId w:val="397"/>
        </w:numPr>
        <w:tabs>
          <w:tab w:pos="786" w:val="left" w:leader="none"/>
        </w:tabs>
        <w:spacing w:line="208" w:lineRule="auto" w:before="240" w:after="0"/>
        <w:ind w:left="360" w:right="1004" w:firstLine="0"/>
        <w:jc w:val="left"/>
        <w:rPr>
          <w:sz w:val="24"/>
        </w:rPr>
      </w:pPr>
      <w:r>
        <w:rPr>
          <w:sz w:val="24"/>
        </w:rPr>
        <w:t>The</w:t>
      </w:r>
      <w:r>
        <w:rPr>
          <w:spacing w:val="-4"/>
          <w:sz w:val="24"/>
        </w:rPr>
        <w:t> </w:t>
      </w:r>
      <w:r>
        <w:rPr>
          <w:sz w:val="24"/>
        </w:rPr>
        <w:t>licensed</w:t>
      </w:r>
      <w:r>
        <w:rPr>
          <w:spacing w:val="-4"/>
          <w:sz w:val="24"/>
        </w:rPr>
        <w:t> </w:t>
      </w:r>
      <w:r>
        <w:rPr>
          <w:sz w:val="24"/>
        </w:rPr>
        <w:t>manager</w:t>
      </w:r>
      <w:r>
        <w:rPr>
          <w:spacing w:val="-3"/>
          <w:sz w:val="24"/>
        </w:rPr>
        <w:t> </w:t>
      </w:r>
      <w:r>
        <w:rPr>
          <w:sz w:val="24"/>
        </w:rPr>
        <w:t>will</w:t>
      </w:r>
      <w:r>
        <w:rPr>
          <w:spacing w:val="-4"/>
          <w:sz w:val="24"/>
        </w:rPr>
        <w:t> </w:t>
      </w:r>
      <w:r>
        <w:rPr>
          <w:sz w:val="24"/>
        </w:rPr>
        <w:t>accept</w:t>
      </w:r>
      <w:r>
        <w:rPr>
          <w:spacing w:val="-3"/>
          <w:sz w:val="24"/>
        </w:rPr>
        <w:t> </w:t>
      </w:r>
      <w:r>
        <w:rPr>
          <w:sz w:val="24"/>
        </w:rPr>
        <w:t>the</w:t>
      </w:r>
      <w:r>
        <w:rPr>
          <w:spacing w:val="-4"/>
          <w:sz w:val="24"/>
        </w:rPr>
        <w:t> </w:t>
      </w:r>
      <w:r>
        <w:rPr>
          <w:sz w:val="24"/>
        </w:rPr>
        <w:t>agreement</w:t>
      </w:r>
      <w:r>
        <w:rPr>
          <w:spacing w:val="-3"/>
          <w:sz w:val="24"/>
        </w:rPr>
        <w:t> </w:t>
      </w:r>
      <w:r>
        <w:rPr>
          <w:sz w:val="24"/>
        </w:rPr>
        <w:t>and</w:t>
      </w:r>
      <w:r>
        <w:rPr>
          <w:spacing w:val="-4"/>
          <w:sz w:val="24"/>
        </w:rPr>
        <w:t> </w:t>
      </w:r>
      <w:r>
        <w:rPr>
          <w:sz w:val="24"/>
        </w:rPr>
        <w:t>any</w:t>
      </w:r>
      <w:r>
        <w:rPr>
          <w:spacing w:val="-4"/>
          <w:sz w:val="24"/>
        </w:rPr>
        <w:t> </w:t>
      </w:r>
      <w:r>
        <w:rPr>
          <w:sz w:val="24"/>
        </w:rPr>
        <w:t>modifications</w:t>
      </w:r>
      <w:r>
        <w:rPr>
          <w:spacing w:val="-4"/>
          <w:sz w:val="24"/>
        </w:rPr>
        <w:t> </w:t>
      </w:r>
      <w:r>
        <w:rPr>
          <w:sz w:val="24"/>
        </w:rPr>
        <w:t>subject</w:t>
      </w:r>
      <w:r>
        <w:rPr>
          <w:spacing w:val="-3"/>
          <w:sz w:val="24"/>
        </w:rPr>
        <w:t> </w:t>
      </w:r>
      <w:r>
        <w:rPr>
          <w:sz w:val="24"/>
        </w:rPr>
        <w:t>to the policies, rules, and regulations of the SLA as they exist or are modified.</w:t>
      </w:r>
    </w:p>
    <w:p>
      <w:pPr>
        <w:pStyle w:val="ListParagraph"/>
        <w:numPr>
          <w:ilvl w:val="0"/>
          <w:numId w:val="397"/>
        </w:numPr>
        <w:tabs>
          <w:tab w:pos="706" w:val="left" w:leader="none"/>
        </w:tabs>
        <w:spacing w:line="208" w:lineRule="auto" w:before="240" w:after="0"/>
        <w:ind w:left="360" w:right="726" w:firstLine="0"/>
        <w:jc w:val="left"/>
        <w:rPr>
          <w:sz w:val="24"/>
        </w:rPr>
      </w:pPr>
      <w:r>
        <w:rPr>
          <w:sz w:val="24"/>
        </w:rPr>
        <w:t>The</w:t>
      </w:r>
      <w:r>
        <w:rPr>
          <w:spacing w:val="-4"/>
          <w:sz w:val="24"/>
        </w:rPr>
        <w:t> </w:t>
      </w:r>
      <w:r>
        <w:rPr>
          <w:sz w:val="24"/>
        </w:rPr>
        <w:t>licensed</w:t>
      </w:r>
      <w:r>
        <w:rPr>
          <w:spacing w:val="-4"/>
          <w:sz w:val="24"/>
        </w:rPr>
        <w:t> </w:t>
      </w:r>
      <w:r>
        <w:rPr>
          <w:sz w:val="24"/>
        </w:rPr>
        <w:t>manager</w:t>
      </w:r>
      <w:r>
        <w:rPr>
          <w:spacing w:val="-3"/>
          <w:sz w:val="24"/>
        </w:rPr>
        <w:t> </w:t>
      </w:r>
      <w:r>
        <w:rPr>
          <w:sz w:val="24"/>
        </w:rPr>
        <w:t>will</w:t>
      </w:r>
      <w:r>
        <w:rPr>
          <w:spacing w:val="-4"/>
          <w:sz w:val="24"/>
        </w:rPr>
        <w:t> </w:t>
      </w:r>
      <w:r>
        <w:rPr>
          <w:sz w:val="24"/>
        </w:rPr>
        <w:t>keep</w:t>
      </w:r>
      <w:r>
        <w:rPr>
          <w:spacing w:val="-4"/>
          <w:sz w:val="24"/>
        </w:rPr>
        <w:t> </w:t>
      </w:r>
      <w:r>
        <w:rPr>
          <w:sz w:val="24"/>
        </w:rPr>
        <w:t>records</w:t>
      </w:r>
      <w:r>
        <w:rPr>
          <w:spacing w:val="-4"/>
          <w:sz w:val="24"/>
        </w:rPr>
        <w:t> </w:t>
      </w:r>
      <w:r>
        <w:rPr>
          <w:sz w:val="24"/>
        </w:rPr>
        <w:t>of</w:t>
      </w:r>
      <w:r>
        <w:rPr>
          <w:spacing w:val="-3"/>
          <w:sz w:val="24"/>
        </w:rPr>
        <w:t> </w:t>
      </w:r>
      <w:r>
        <w:rPr>
          <w:sz w:val="24"/>
        </w:rPr>
        <w:t>gross</w:t>
      </w:r>
      <w:r>
        <w:rPr>
          <w:spacing w:val="-4"/>
          <w:sz w:val="24"/>
        </w:rPr>
        <w:t> </w:t>
      </w:r>
      <w:r>
        <w:rPr>
          <w:sz w:val="24"/>
        </w:rPr>
        <w:t>sales,</w:t>
      </w:r>
      <w:r>
        <w:rPr>
          <w:spacing w:val="-3"/>
          <w:sz w:val="24"/>
        </w:rPr>
        <w:t> </w:t>
      </w:r>
      <w:r>
        <w:rPr>
          <w:sz w:val="24"/>
        </w:rPr>
        <w:t>merchandise</w:t>
      </w:r>
      <w:r>
        <w:rPr>
          <w:spacing w:val="-4"/>
          <w:sz w:val="24"/>
        </w:rPr>
        <w:t> </w:t>
      </w:r>
      <w:r>
        <w:rPr>
          <w:sz w:val="24"/>
        </w:rPr>
        <w:t>purchased,</w:t>
      </w:r>
      <w:r>
        <w:rPr>
          <w:spacing w:val="-3"/>
          <w:sz w:val="24"/>
        </w:rPr>
        <w:t> </w:t>
      </w:r>
      <w:r>
        <w:rPr>
          <w:sz w:val="24"/>
        </w:rPr>
        <w:t>and other financial transactions for the business enterprise.</w:t>
      </w:r>
    </w:p>
    <w:p>
      <w:pPr>
        <w:pStyle w:val="ListParagraph"/>
        <w:numPr>
          <w:ilvl w:val="0"/>
          <w:numId w:val="397"/>
        </w:numPr>
        <w:tabs>
          <w:tab w:pos="706" w:val="left" w:leader="none"/>
        </w:tabs>
        <w:spacing w:line="208" w:lineRule="auto" w:before="240" w:after="0"/>
        <w:ind w:left="360" w:right="1231" w:firstLine="0"/>
        <w:jc w:val="left"/>
        <w:rPr>
          <w:sz w:val="24"/>
        </w:rPr>
      </w:pPr>
      <w:r>
        <w:rPr>
          <w:sz w:val="24"/>
        </w:rPr>
        <w:t>The</w:t>
      </w:r>
      <w:r>
        <w:rPr>
          <w:spacing w:val="-4"/>
          <w:sz w:val="24"/>
        </w:rPr>
        <w:t> </w:t>
      </w:r>
      <w:r>
        <w:rPr>
          <w:sz w:val="24"/>
        </w:rPr>
        <w:t>licensed</w:t>
      </w:r>
      <w:r>
        <w:rPr>
          <w:spacing w:val="-4"/>
          <w:sz w:val="24"/>
        </w:rPr>
        <w:t> </w:t>
      </w:r>
      <w:r>
        <w:rPr>
          <w:sz w:val="24"/>
        </w:rPr>
        <w:t>manager</w:t>
      </w:r>
      <w:r>
        <w:rPr>
          <w:spacing w:val="-3"/>
          <w:sz w:val="24"/>
        </w:rPr>
        <w:t> </w:t>
      </w:r>
      <w:r>
        <w:rPr>
          <w:sz w:val="24"/>
        </w:rPr>
        <w:t>will</w:t>
      </w:r>
      <w:r>
        <w:rPr>
          <w:spacing w:val="-4"/>
          <w:sz w:val="24"/>
        </w:rPr>
        <w:t> </w:t>
      </w:r>
      <w:r>
        <w:rPr>
          <w:sz w:val="24"/>
        </w:rPr>
        <w:t>complete</w:t>
      </w:r>
      <w:r>
        <w:rPr>
          <w:spacing w:val="-4"/>
          <w:sz w:val="24"/>
        </w:rPr>
        <w:t> </w:t>
      </w:r>
      <w:r>
        <w:rPr>
          <w:sz w:val="24"/>
        </w:rPr>
        <w:t>and</w:t>
      </w:r>
      <w:r>
        <w:rPr>
          <w:spacing w:val="-3"/>
          <w:sz w:val="24"/>
        </w:rPr>
        <w:t> </w:t>
      </w:r>
      <w:r>
        <w:rPr>
          <w:sz w:val="24"/>
        </w:rPr>
        <w:t>submit</w:t>
      </w:r>
      <w:r>
        <w:rPr>
          <w:spacing w:val="-3"/>
          <w:sz w:val="24"/>
        </w:rPr>
        <w:t> </w:t>
      </w:r>
      <w:r>
        <w:rPr>
          <w:sz w:val="24"/>
        </w:rPr>
        <w:t>all</w:t>
      </w:r>
      <w:r>
        <w:rPr>
          <w:spacing w:val="-4"/>
          <w:sz w:val="24"/>
        </w:rPr>
        <w:t> </w:t>
      </w:r>
      <w:r>
        <w:rPr>
          <w:sz w:val="24"/>
        </w:rPr>
        <w:t>necessary</w:t>
      </w:r>
      <w:r>
        <w:rPr>
          <w:spacing w:val="-4"/>
          <w:sz w:val="24"/>
        </w:rPr>
        <w:t> </w:t>
      </w:r>
      <w:r>
        <w:rPr>
          <w:sz w:val="24"/>
        </w:rPr>
        <w:t>Federal</w:t>
      </w:r>
      <w:r>
        <w:rPr>
          <w:spacing w:val="-4"/>
          <w:sz w:val="24"/>
        </w:rPr>
        <w:t> </w:t>
      </w:r>
      <w:r>
        <w:rPr>
          <w:sz w:val="24"/>
        </w:rPr>
        <w:t>and</w:t>
      </w:r>
      <w:r>
        <w:rPr>
          <w:spacing w:val="-4"/>
          <w:sz w:val="24"/>
        </w:rPr>
        <w:t> </w:t>
      </w:r>
      <w:r>
        <w:rPr>
          <w:sz w:val="24"/>
        </w:rPr>
        <w:t>State reports and payments as required for each individual business enterprise.</w:t>
      </w:r>
    </w:p>
    <w:p>
      <w:pPr>
        <w:pStyle w:val="ListParagraph"/>
        <w:numPr>
          <w:ilvl w:val="0"/>
          <w:numId w:val="397"/>
        </w:numPr>
        <w:tabs>
          <w:tab w:pos="773" w:val="left" w:leader="none"/>
        </w:tabs>
        <w:spacing w:line="240" w:lineRule="auto" w:before="210" w:after="0"/>
        <w:ind w:left="773" w:right="0" w:hanging="413"/>
        <w:jc w:val="left"/>
        <w:rPr>
          <w:sz w:val="24"/>
        </w:rPr>
      </w:pPr>
      <w:r>
        <w:rPr>
          <w:sz w:val="24"/>
        </w:rPr>
        <w:t>The</w:t>
      </w:r>
      <w:r>
        <w:rPr>
          <w:spacing w:val="-3"/>
          <w:sz w:val="24"/>
        </w:rPr>
        <w:t> </w:t>
      </w:r>
      <w:r>
        <w:rPr>
          <w:sz w:val="24"/>
        </w:rPr>
        <w:t>licensed</w:t>
      </w:r>
      <w:r>
        <w:rPr>
          <w:spacing w:val="-3"/>
          <w:sz w:val="24"/>
        </w:rPr>
        <w:t> </w:t>
      </w:r>
      <w:r>
        <w:rPr>
          <w:sz w:val="24"/>
        </w:rPr>
        <w:t>manager</w:t>
      </w:r>
      <w:r>
        <w:rPr>
          <w:spacing w:val="-3"/>
          <w:sz w:val="24"/>
        </w:rPr>
        <w:t> </w:t>
      </w:r>
      <w:r>
        <w:rPr>
          <w:sz w:val="24"/>
        </w:rPr>
        <w:t>will</w:t>
      </w:r>
      <w:r>
        <w:rPr>
          <w:spacing w:val="-3"/>
          <w:sz w:val="24"/>
        </w:rPr>
        <w:t> </w:t>
      </w:r>
      <w:r>
        <w:rPr>
          <w:sz w:val="24"/>
        </w:rPr>
        <w:t>convey</w:t>
      </w:r>
      <w:r>
        <w:rPr>
          <w:spacing w:val="-3"/>
          <w:sz w:val="24"/>
        </w:rPr>
        <w:t> </w:t>
      </w:r>
      <w:r>
        <w:rPr>
          <w:sz w:val="24"/>
        </w:rPr>
        <w:t>a</w:t>
      </w:r>
      <w:r>
        <w:rPr>
          <w:spacing w:val="-3"/>
          <w:sz w:val="24"/>
        </w:rPr>
        <w:t> </w:t>
      </w:r>
      <w:r>
        <w:rPr>
          <w:sz w:val="24"/>
        </w:rPr>
        <w:t>positive</w:t>
      </w:r>
      <w:r>
        <w:rPr>
          <w:spacing w:val="-2"/>
          <w:sz w:val="24"/>
        </w:rPr>
        <w:t> </w:t>
      </w:r>
      <w:r>
        <w:rPr>
          <w:sz w:val="24"/>
        </w:rPr>
        <w:t>public</w:t>
      </w:r>
      <w:r>
        <w:rPr>
          <w:spacing w:val="-3"/>
          <w:sz w:val="24"/>
        </w:rPr>
        <w:t> </w:t>
      </w:r>
      <w:r>
        <w:rPr>
          <w:spacing w:val="-2"/>
          <w:sz w:val="24"/>
        </w:rPr>
        <w:t>image.</w:t>
      </w:r>
    </w:p>
    <w:p>
      <w:pPr>
        <w:pStyle w:val="ListParagraph"/>
        <w:numPr>
          <w:ilvl w:val="0"/>
          <w:numId w:val="397"/>
        </w:numPr>
        <w:tabs>
          <w:tab w:pos="706" w:val="left" w:leader="none"/>
        </w:tabs>
        <w:spacing w:line="208" w:lineRule="auto" w:before="234" w:after="0"/>
        <w:ind w:left="360" w:right="1289" w:firstLine="0"/>
        <w:jc w:val="left"/>
        <w:rPr>
          <w:sz w:val="24"/>
        </w:rPr>
      </w:pPr>
      <w:r>
        <w:rPr>
          <w:sz w:val="24"/>
        </w:rPr>
        <w:t>The licensed manager will maintain appropriate professional relationships with purveyors,</w:t>
      </w:r>
      <w:r>
        <w:rPr>
          <w:spacing w:val="-5"/>
          <w:sz w:val="24"/>
        </w:rPr>
        <w:t> </w:t>
      </w:r>
      <w:r>
        <w:rPr>
          <w:sz w:val="24"/>
        </w:rPr>
        <w:t>customers,</w:t>
      </w:r>
      <w:r>
        <w:rPr>
          <w:spacing w:val="-5"/>
          <w:sz w:val="24"/>
        </w:rPr>
        <w:t> </w:t>
      </w:r>
      <w:r>
        <w:rPr>
          <w:sz w:val="24"/>
        </w:rPr>
        <w:t>and</w:t>
      </w:r>
      <w:r>
        <w:rPr>
          <w:spacing w:val="-4"/>
          <w:sz w:val="24"/>
        </w:rPr>
        <w:t> </w:t>
      </w:r>
      <w:r>
        <w:rPr>
          <w:sz w:val="24"/>
        </w:rPr>
        <w:t>building</w:t>
      </w:r>
      <w:r>
        <w:rPr>
          <w:spacing w:val="-4"/>
          <w:sz w:val="24"/>
        </w:rPr>
        <w:t> </w:t>
      </w:r>
      <w:r>
        <w:rPr>
          <w:sz w:val="24"/>
        </w:rPr>
        <w:t>officials</w:t>
      </w:r>
      <w:r>
        <w:rPr>
          <w:spacing w:val="-4"/>
          <w:sz w:val="24"/>
        </w:rPr>
        <w:t> </w:t>
      </w:r>
      <w:r>
        <w:rPr>
          <w:sz w:val="24"/>
        </w:rPr>
        <w:t>as</w:t>
      </w:r>
      <w:r>
        <w:rPr>
          <w:spacing w:val="-4"/>
          <w:sz w:val="24"/>
        </w:rPr>
        <w:t> </w:t>
      </w:r>
      <w:r>
        <w:rPr>
          <w:sz w:val="24"/>
        </w:rPr>
        <w:t>in</w:t>
      </w:r>
      <w:r>
        <w:rPr>
          <w:spacing w:val="-4"/>
          <w:sz w:val="24"/>
        </w:rPr>
        <w:t> </w:t>
      </w:r>
      <w:r>
        <w:rPr>
          <w:sz w:val="24"/>
        </w:rPr>
        <w:t>(1)</w:t>
      </w:r>
      <w:r>
        <w:rPr>
          <w:spacing w:val="-5"/>
          <w:sz w:val="24"/>
        </w:rPr>
        <w:t> </w:t>
      </w:r>
      <w:r>
        <w:rPr>
          <w:sz w:val="24"/>
        </w:rPr>
        <w:t>through</w:t>
      </w:r>
      <w:r>
        <w:rPr>
          <w:spacing w:val="-4"/>
          <w:sz w:val="24"/>
        </w:rPr>
        <w:t> </w:t>
      </w:r>
      <w:r>
        <w:rPr>
          <w:sz w:val="24"/>
        </w:rPr>
        <w:t>(3)</w:t>
      </w:r>
      <w:r>
        <w:rPr>
          <w:spacing w:val="-3"/>
          <w:sz w:val="24"/>
        </w:rPr>
        <w:t> </w:t>
      </w:r>
      <w:r>
        <w:rPr>
          <w:sz w:val="24"/>
        </w:rPr>
        <w:t>of</w:t>
      </w:r>
      <w:r>
        <w:rPr>
          <w:spacing w:val="-5"/>
          <w:sz w:val="24"/>
        </w:rPr>
        <w:t> </w:t>
      </w:r>
      <w:r>
        <w:rPr>
          <w:sz w:val="24"/>
        </w:rPr>
        <w:t>this</w:t>
      </w:r>
      <w:r>
        <w:rPr>
          <w:spacing w:val="-4"/>
          <w:sz w:val="24"/>
        </w:rPr>
        <w:t> </w:t>
      </w:r>
      <w:r>
        <w:rPr>
          <w:sz w:val="24"/>
        </w:rPr>
        <w:t>Subsection.</w:t>
      </w:r>
    </w:p>
    <w:p>
      <w:pPr>
        <w:pStyle w:val="ListParagraph"/>
        <w:numPr>
          <w:ilvl w:val="1"/>
          <w:numId w:val="397"/>
        </w:numPr>
        <w:tabs>
          <w:tab w:pos="1217" w:val="left" w:leader="none"/>
        </w:tabs>
        <w:spacing w:line="208" w:lineRule="auto" w:before="239" w:after="0"/>
        <w:ind w:left="791" w:right="1135" w:firstLine="0"/>
        <w:jc w:val="left"/>
        <w:rPr>
          <w:sz w:val="24"/>
        </w:rPr>
      </w:pPr>
      <w:r>
        <w:rPr>
          <w:sz w:val="24"/>
        </w:rPr>
        <w:t>Relationships with purveyor. The licensed manager is free to choose the purveyor</w:t>
      </w:r>
      <w:r>
        <w:rPr>
          <w:spacing w:val="-3"/>
          <w:sz w:val="24"/>
        </w:rPr>
        <w:t> </w:t>
      </w:r>
      <w:r>
        <w:rPr>
          <w:sz w:val="24"/>
        </w:rPr>
        <w:t>from</w:t>
      </w:r>
      <w:r>
        <w:rPr>
          <w:spacing w:val="-3"/>
          <w:sz w:val="24"/>
        </w:rPr>
        <w:t> </w:t>
      </w:r>
      <w:r>
        <w:rPr>
          <w:sz w:val="24"/>
        </w:rPr>
        <w:t>whom</w:t>
      </w:r>
      <w:r>
        <w:rPr>
          <w:spacing w:val="-5"/>
          <w:sz w:val="24"/>
        </w:rPr>
        <w:t> </w:t>
      </w:r>
      <w:r>
        <w:rPr>
          <w:sz w:val="24"/>
        </w:rPr>
        <w:t>he/she</w:t>
      </w:r>
      <w:r>
        <w:rPr>
          <w:spacing w:val="-4"/>
          <w:sz w:val="24"/>
        </w:rPr>
        <w:t> </w:t>
      </w:r>
      <w:r>
        <w:rPr>
          <w:sz w:val="24"/>
        </w:rPr>
        <w:t>is</w:t>
      </w:r>
      <w:r>
        <w:rPr>
          <w:spacing w:val="-4"/>
          <w:sz w:val="24"/>
        </w:rPr>
        <w:t> </w:t>
      </w:r>
      <w:r>
        <w:rPr>
          <w:sz w:val="24"/>
        </w:rPr>
        <w:t>to</w:t>
      </w:r>
      <w:r>
        <w:rPr>
          <w:spacing w:val="-4"/>
          <w:sz w:val="24"/>
        </w:rPr>
        <w:t> </w:t>
      </w:r>
      <w:r>
        <w:rPr>
          <w:sz w:val="24"/>
        </w:rPr>
        <w:t>make</w:t>
      </w:r>
      <w:r>
        <w:rPr>
          <w:spacing w:val="-4"/>
          <w:sz w:val="24"/>
        </w:rPr>
        <w:t> </w:t>
      </w:r>
      <w:r>
        <w:rPr>
          <w:sz w:val="24"/>
        </w:rPr>
        <w:t>purchases,</w:t>
      </w:r>
      <w:r>
        <w:rPr>
          <w:spacing w:val="-3"/>
          <w:sz w:val="24"/>
        </w:rPr>
        <w:t> </w:t>
      </w:r>
      <w:r>
        <w:rPr>
          <w:sz w:val="24"/>
        </w:rPr>
        <w:t>provided,</w:t>
      </w:r>
      <w:r>
        <w:rPr>
          <w:spacing w:val="-3"/>
          <w:sz w:val="24"/>
        </w:rPr>
        <w:t> </w:t>
      </w:r>
      <w:r>
        <w:rPr>
          <w:sz w:val="24"/>
        </w:rPr>
        <w:t>however,</w:t>
      </w:r>
      <w:r>
        <w:rPr>
          <w:spacing w:val="-3"/>
          <w:sz w:val="24"/>
        </w:rPr>
        <w:t> </w:t>
      </w:r>
      <w:r>
        <w:rPr>
          <w:sz w:val="24"/>
        </w:rPr>
        <w:t>that</w:t>
      </w:r>
      <w:r>
        <w:rPr>
          <w:spacing w:val="-5"/>
          <w:sz w:val="24"/>
        </w:rPr>
        <w:t> </w:t>
      </w:r>
      <w:r>
        <w:rPr>
          <w:sz w:val="24"/>
        </w:rPr>
        <w:t>such purveyor is established and reputable.</w:t>
      </w:r>
    </w:p>
    <w:p>
      <w:pPr>
        <w:pStyle w:val="ListParagraph"/>
        <w:numPr>
          <w:ilvl w:val="1"/>
          <w:numId w:val="397"/>
        </w:numPr>
        <w:tabs>
          <w:tab w:pos="1217" w:val="left" w:leader="none"/>
        </w:tabs>
        <w:spacing w:line="208" w:lineRule="auto" w:before="240" w:after="0"/>
        <w:ind w:left="791" w:right="787" w:firstLine="0"/>
        <w:jc w:val="left"/>
        <w:rPr>
          <w:sz w:val="24"/>
        </w:rPr>
      </w:pPr>
      <w:r>
        <w:rPr>
          <w:sz w:val="24"/>
        </w:rPr>
        <w:t>Relationships with customers. To serve the best interest of the public, the licensed</w:t>
      </w:r>
      <w:r>
        <w:rPr>
          <w:spacing w:val="-5"/>
          <w:sz w:val="24"/>
        </w:rPr>
        <w:t> </w:t>
      </w:r>
      <w:r>
        <w:rPr>
          <w:sz w:val="24"/>
        </w:rPr>
        <w:t>manager</w:t>
      </w:r>
      <w:r>
        <w:rPr>
          <w:spacing w:val="-4"/>
          <w:sz w:val="24"/>
        </w:rPr>
        <w:t> </w:t>
      </w:r>
      <w:r>
        <w:rPr>
          <w:sz w:val="24"/>
        </w:rPr>
        <w:t>and</w:t>
      </w:r>
      <w:r>
        <w:rPr>
          <w:spacing w:val="-4"/>
          <w:sz w:val="24"/>
        </w:rPr>
        <w:t> </w:t>
      </w:r>
      <w:r>
        <w:rPr>
          <w:sz w:val="24"/>
        </w:rPr>
        <w:t>his/her</w:t>
      </w:r>
      <w:r>
        <w:rPr>
          <w:spacing w:val="-4"/>
          <w:sz w:val="24"/>
        </w:rPr>
        <w:t> </w:t>
      </w:r>
      <w:r>
        <w:rPr>
          <w:sz w:val="24"/>
        </w:rPr>
        <w:t>employees</w:t>
      </w:r>
      <w:r>
        <w:rPr>
          <w:spacing w:val="-5"/>
          <w:sz w:val="24"/>
        </w:rPr>
        <w:t> </w:t>
      </w:r>
      <w:r>
        <w:rPr>
          <w:sz w:val="24"/>
        </w:rPr>
        <w:t>will</w:t>
      </w:r>
      <w:r>
        <w:rPr>
          <w:spacing w:val="-4"/>
          <w:sz w:val="24"/>
        </w:rPr>
        <w:t> </w:t>
      </w:r>
      <w:r>
        <w:rPr>
          <w:sz w:val="24"/>
        </w:rPr>
        <w:t>provide</w:t>
      </w:r>
      <w:r>
        <w:rPr>
          <w:spacing w:val="-5"/>
          <w:sz w:val="24"/>
        </w:rPr>
        <w:t> </w:t>
      </w:r>
      <w:r>
        <w:rPr>
          <w:sz w:val="24"/>
        </w:rPr>
        <w:t>prompt</w:t>
      </w:r>
      <w:r>
        <w:rPr>
          <w:spacing w:val="-4"/>
          <w:sz w:val="24"/>
        </w:rPr>
        <w:t> </w:t>
      </w:r>
      <w:r>
        <w:rPr>
          <w:sz w:val="24"/>
        </w:rPr>
        <w:t>and</w:t>
      </w:r>
      <w:r>
        <w:rPr>
          <w:spacing w:val="-5"/>
          <w:sz w:val="24"/>
        </w:rPr>
        <w:t> </w:t>
      </w:r>
      <w:r>
        <w:rPr>
          <w:sz w:val="24"/>
        </w:rPr>
        <w:t>courteous</w:t>
      </w:r>
      <w:r>
        <w:rPr>
          <w:spacing w:val="-5"/>
          <w:sz w:val="24"/>
        </w:rPr>
        <w:t> </w:t>
      </w:r>
      <w:r>
        <w:rPr>
          <w:sz w:val="24"/>
        </w:rPr>
        <w:t>service to all customers.</w:t>
      </w:r>
    </w:p>
    <w:p>
      <w:pPr>
        <w:pStyle w:val="ListParagraph"/>
        <w:numPr>
          <w:ilvl w:val="1"/>
          <w:numId w:val="397"/>
        </w:numPr>
        <w:tabs>
          <w:tab w:pos="1151" w:val="left" w:leader="none"/>
        </w:tabs>
        <w:spacing w:line="208" w:lineRule="auto" w:before="240" w:after="0"/>
        <w:ind w:left="791" w:right="824" w:firstLine="0"/>
        <w:jc w:val="left"/>
        <w:rPr>
          <w:sz w:val="24"/>
        </w:rPr>
      </w:pPr>
      <w:r>
        <w:rPr>
          <w:sz w:val="24"/>
        </w:rPr>
        <w:t>Relationships with building officials. The licensed manager will comply with all reasonable</w:t>
      </w:r>
      <w:r>
        <w:rPr>
          <w:spacing w:val="-3"/>
          <w:sz w:val="24"/>
        </w:rPr>
        <w:t> </w:t>
      </w:r>
      <w:r>
        <w:rPr>
          <w:sz w:val="24"/>
        </w:rPr>
        <w:t>requests</w:t>
      </w:r>
      <w:r>
        <w:rPr>
          <w:spacing w:val="-4"/>
          <w:sz w:val="24"/>
        </w:rPr>
        <w:t> </w:t>
      </w:r>
      <w:r>
        <w:rPr>
          <w:sz w:val="24"/>
        </w:rPr>
        <w:t>concerning</w:t>
      </w:r>
      <w:r>
        <w:rPr>
          <w:spacing w:val="-4"/>
          <w:sz w:val="24"/>
        </w:rPr>
        <w:t> </w:t>
      </w:r>
      <w:r>
        <w:rPr>
          <w:sz w:val="24"/>
        </w:rPr>
        <w:t>the</w:t>
      </w:r>
      <w:r>
        <w:rPr>
          <w:spacing w:val="-4"/>
          <w:sz w:val="24"/>
        </w:rPr>
        <w:t> </w:t>
      </w:r>
      <w:r>
        <w:rPr>
          <w:sz w:val="24"/>
        </w:rPr>
        <w:t>operation</w:t>
      </w:r>
      <w:r>
        <w:rPr>
          <w:spacing w:val="-4"/>
          <w:sz w:val="24"/>
        </w:rPr>
        <w:t> </w:t>
      </w:r>
      <w:r>
        <w:rPr>
          <w:sz w:val="24"/>
        </w:rPr>
        <w:t>of</w:t>
      </w:r>
      <w:r>
        <w:rPr>
          <w:spacing w:val="-3"/>
          <w:sz w:val="24"/>
        </w:rPr>
        <w:t> </w:t>
      </w:r>
      <w:r>
        <w:rPr>
          <w:sz w:val="24"/>
        </w:rPr>
        <w:t>a</w:t>
      </w:r>
      <w:r>
        <w:rPr>
          <w:spacing w:val="-4"/>
          <w:sz w:val="24"/>
        </w:rPr>
        <w:t> </w:t>
      </w:r>
      <w:r>
        <w:rPr>
          <w:sz w:val="24"/>
        </w:rPr>
        <w:t>business</w:t>
      </w:r>
      <w:r>
        <w:rPr>
          <w:spacing w:val="-4"/>
          <w:sz w:val="24"/>
        </w:rPr>
        <w:t> </w:t>
      </w:r>
      <w:r>
        <w:rPr>
          <w:sz w:val="24"/>
        </w:rPr>
        <w:t>enterprise</w:t>
      </w:r>
      <w:r>
        <w:rPr>
          <w:spacing w:val="-4"/>
          <w:sz w:val="24"/>
        </w:rPr>
        <w:t> </w:t>
      </w:r>
      <w:r>
        <w:rPr>
          <w:sz w:val="24"/>
        </w:rPr>
        <w:t>that</w:t>
      </w:r>
      <w:r>
        <w:rPr>
          <w:spacing w:val="-5"/>
          <w:sz w:val="24"/>
        </w:rPr>
        <w:t> </w:t>
      </w:r>
      <w:r>
        <w:rPr>
          <w:sz w:val="24"/>
        </w:rPr>
        <w:t>may</w:t>
      </w:r>
      <w:r>
        <w:rPr>
          <w:spacing w:val="-4"/>
          <w:sz w:val="24"/>
        </w:rPr>
        <w:t> </w:t>
      </w:r>
      <w:r>
        <w:rPr>
          <w:sz w:val="24"/>
        </w:rPr>
        <w:t>be made by officials of the building in which the enterprise is located, provided that such requests do not conflict with the agreement and the rules and regulations</w:t>
      </w:r>
    </w:p>
    <w:p>
      <w:pPr>
        <w:pStyle w:val="ListParagraph"/>
        <w:spacing w:after="0" w:line="208" w:lineRule="auto"/>
        <w:jc w:val="left"/>
        <w:rPr>
          <w:sz w:val="24"/>
        </w:rPr>
        <w:sectPr>
          <w:pgSz w:w="12240" w:h="15840"/>
          <w:pgMar w:top="1340" w:bottom="280" w:left="1080" w:right="720"/>
        </w:sectPr>
      </w:pPr>
    </w:p>
    <w:p>
      <w:pPr>
        <w:pStyle w:val="BodyText"/>
        <w:spacing w:line="208" w:lineRule="auto" w:before="96"/>
        <w:ind w:left="791" w:right="1036"/>
      </w:pPr>
      <w:r>
        <w:rPr/>
        <w:t>issued by the SLA as contained herein. If differences should arise between the licensed</w:t>
      </w:r>
      <w:r>
        <w:rPr>
          <w:spacing w:val="-4"/>
        </w:rPr>
        <w:t> </w:t>
      </w:r>
      <w:r>
        <w:rPr/>
        <w:t>manager</w:t>
      </w:r>
      <w:r>
        <w:rPr>
          <w:spacing w:val="-3"/>
        </w:rPr>
        <w:t> </w:t>
      </w:r>
      <w:r>
        <w:rPr/>
        <w:t>and</w:t>
      </w:r>
      <w:r>
        <w:rPr>
          <w:spacing w:val="-3"/>
        </w:rPr>
        <w:t> </w:t>
      </w:r>
      <w:r>
        <w:rPr/>
        <w:t>the</w:t>
      </w:r>
      <w:r>
        <w:rPr>
          <w:spacing w:val="-4"/>
        </w:rPr>
        <w:t> </w:t>
      </w:r>
      <w:r>
        <w:rPr/>
        <w:t>grantor,</w:t>
      </w:r>
      <w:r>
        <w:rPr>
          <w:spacing w:val="-3"/>
        </w:rPr>
        <w:t> </w:t>
      </w:r>
      <w:r>
        <w:rPr/>
        <w:t>the</w:t>
      </w:r>
      <w:r>
        <w:rPr>
          <w:spacing w:val="-4"/>
        </w:rPr>
        <w:t> </w:t>
      </w:r>
      <w:r>
        <w:rPr/>
        <w:t>licensed</w:t>
      </w:r>
      <w:r>
        <w:rPr>
          <w:spacing w:val="-4"/>
        </w:rPr>
        <w:t> </w:t>
      </w:r>
      <w:r>
        <w:rPr/>
        <w:t>manager</w:t>
      </w:r>
      <w:r>
        <w:rPr>
          <w:spacing w:val="-3"/>
        </w:rPr>
        <w:t> </w:t>
      </w:r>
      <w:r>
        <w:rPr/>
        <w:t>shall</w:t>
      </w:r>
      <w:r>
        <w:rPr>
          <w:spacing w:val="-4"/>
        </w:rPr>
        <w:t> </w:t>
      </w:r>
      <w:r>
        <w:rPr/>
        <w:t>bring</w:t>
      </w:r>
      <w:r>
        <w:rPr>
          <w:spacing w:val="-4"/>
        </w:rPr>
        <w:t> </w:t>
      </w:r>
      <w:r>
        <w:rPr/>
        <w:t>the</w:t>
      </w:r>
      <w:r>
        <w:rPr>
          <w:spacing w:val="-4"/>
        </w:rPr>
        <w:t> </w:t>
      </w:r>
      <w:r>
        <w:rPr/>
        <w:t>matter</w:t>
      </w:r>
      <w:r>
        <w:rPr>
          <w:spacing w:val="-3"/>
        </w:rPr>
        <w:t> </w:t>
      </w:r>
      <w:r>
        <w:rPr/>
        <w:t>to the immediate attention of the BEP business consultant for appropriate action.</w:t>
      </w:r>
    </w:p>
    <w:p>
      <w:pPr>
        <w:pStyle w:val="ListParagraph"/>
        <w:numPr>
          <w:ilvl w:val="0"/>
          <w:numId w:val="397"/>
        </w:numPr>
        <w:tabs>
          <w:tab w:pos="852" w:val="left" w:leader="none"/>
        </w:tabs>
        <w:spacing w:line="208" w:lineRule="auto" w:before="240" w:after="0"/>
        <w:ind w:left="359" w:right="861" w:firstLine="0"/>
        <w:jc w:val="left"/>
        <w:rPr>
          <w:sz w:val="24"/>
        </w:rPr>
      </w:pPr>
      <w:r>
        <w:rPr>
          <w:sz w:val="24"/>
        </w:rPr>
        <w:t>The</w:t>
      </w:r>
      <w:r>
        <w:rPr>
          <w:spacing w:val="-4"/>
          <w:sz w:val="24"/>
        </w:rPr>
        <w:t> </w:t>
      </w:r>
      <w:r>
        <w:rPr>
          <w:sz w:val="24"/>
        </w:rPr>
        <w:t>licensed</w:t>
      </w:r>
      <w:r>
        <w:rPr>
          <w:spacing w:val="-4"/>
          <w:sz w:val="24"/>
        </w:rPr>
        <w:t> </w:t>
      </w:r>
      <w:r>
        <w:rPr>
          <w:sz w:val="24"/>
        </w:rPr>
        <w:t>manager</w:t>
      </w:r>
      <w:r>
        <w:rPr>
          <w:spacing w:val="-3"/>
          <w:sz w:val="24"/>
        </w:rPr>
        <w:t> </w:t>
      </w:r>
      <w:r>
        <w:rPr>
          <w:sz w:val="24"/>
        </w:rPr>
        <w:t>will</w:t>
      </w:r>
      <w:r>
        <w:rPr>
          <w:spacing w:val="-4"/>
          <w:sz w:val="24"/>
        </w:rPr>
        <w:t> </w:t>
      </w:r>
      <w:r>
        <w:rPr>
          <w:sz w:val="24"/>
        </w:rPr>
        <w:t>supervise</w:t>
      </w:r>
      <w:r>
        <w:rPr>
          <w:spacing w:val="-4"/>
          <w:sz w:val="24"/>
        </w:rPr>
        <w:t> </w:t>
      </w:r>
      <w:r>
        <w:rPr>
          <w:sz w:val="24"/>
        </w:rPr>
        <w:t>employees</w:t>
      </w:r>
      <w:r>
        <w:rPr>
          <w:spacing w:val="-4"/>
          <w:sz w:val="24"/>
        </w:rPr>
        <w:t> </w:t>
      </w:r>
      <w:r>
        <w:rPr>
          <w:sz w:val="24"/>
        </w:rPr>
        <w:t>in</w:t>
      </w:r>
      <w:r>
        <w:rPr>
          <w:spacing w:val="-4"/>
          <w:sz w:val="24"/>
        </w:rPr>
        <w:t> </w:t>
      </w:r>
      <w:r>
        <w:rPr>
          <w:sz w:val="24"/>
        </w:rPr>
        <w:t>a</w:t>
      </w:r>
      <w:r>
        <w:rPr>
          <w:spacing w:val="-4"/>
          <w:sz w:val="24"/>
        </w:rPr>
        <w:t> </w:t>
      </w:r>
      <w:r>
        <w:rPr>
          <w:sz w:val="24"/>
        </w:rPr>
        <w:t>manner</w:t>
      </w:r>
      <w:r>
        <w:rPr>
          <w:spacing w:val="-3"/>
          <w:sz w:val="24"/>
        </w:rPr>
        <w:t> </w:t>
      </w:r>
      <w:r>
        <w:rPr>
          <w:sz w:val="24"/>
        </w:rPr>
        <w:t>that</w:t>
      </w:r>
      <w:r>
        <w:rPr>
          <w:spacing w:val="-3"/>
          <w:sz w:val="24"/>
        </w:rPr>
        <w:t> </w:t>
      </w:r>
      <w:r>
        <w:rPr>
          <w:sz w:val="24"/>
        </w:rPr>
        <w:t>promotes</w:t>
      </w:r>
      <w:r>
        <w:rPr>
          <w:spacing w:val="-4"/>
          <w:sz w:val="24"/>
        </w:rPr>
        <w:t> </w:t>
      </w:r>
      <w:r>
        <w:rPr>
          <w:sz w:val="24"/>
        </w:rPr>
        <w:t>quality customer service.</w:t>
      </w:r>
    </w:p>
    <w:p>
      <w:pPr>
        <w:pStyle w:val="ListParagraph"/>
        <w:numPr>
          <w:ilvl w:val="0"/>
          <w:numId w:val="397"/>
        </w:numPr>
        <w:tabs>
          <w:tab w:pos="785" w:val="left" w:leader="none"/>
        </w:tabs>
        <w:spacing w:line="208" w:lineRule="auto" w:before="239" w:after="0"/>
        <w:ind w:left="359" w:right="1422" w:firstLine="0"/>
        <w:jc w:val="both"/>
        <w:rPr>
          <w:sz w:val="24"/>
        </w:rPr>
      </w:pPr>
      <w:r>
        <w:rPr>
          <w:sz w:val="24"/>
        </w:rPr>
        <w:t>The licensed manager will maintain and display current licenses and permits, including</w:t>
      </w:r>
      <w:r>
        <w:rPr>
          <w:spacing w:val="-3"/>
          <w:sz w:val="24"/>
        </w:rPr>
        <w:t> </w:t>
      </w:r>
      <w:r>
        <w:rPr>
          <w:sz w:val="24"/>
        </w:rPr>
        <w:t>BEP</w:t>
      </w:r>
      <w:r>
        <w:rPr>
          <w:spacing w:val="-3"/>
          <w:sz w:val="24"/>
        </w:rPr>
        <w:t> </w:t>
      </w:r>
      <w:r>
        <w:rPr>
          <w:sz w:val="24"/>
        </w:rPr>
        <w:t>license,</w:t>
      </w:r>
      <w:r>
        <w:rPr>
          <w:spacing w:val="-2"/>
          <w:sz w:val="24"/>
        </w:rPr>
        <w:t> </w:t>
      </w:r>
      <w:r>
        <w:rPr>
          <w:sz w:val="24"/>
        </w:rPr>
        <w:t>in</w:t>
      </w:r>
      <w:r>
        <w:rPr>
          <w:spacing w:val="-3"/>
          <w:sz w:val="24"/>
        </w:rPr>
        <w:t> </w:t>
      </w:r>
      <w:r>
        <w:rPr>
          <w:sz w:val="24"/>
        </w:rPr>
        <w:t>the</w:t>
      </w:r>
      <w:r>
        <w:rPr>
          <w:spacing w:val="-3"/>
          <w:sz w:val="24"/>
        </w:rPr>
        <w:t> </w:t>
      </w:r>
      <w:r>
        <w:rPr>
          <w:sz w:val="24"/>
        </w:rPr>
        <w:t>business</w:t>
      </w:r>
      <w:r>
        <w:rPr>
          <w:spacing w:val="-3"/>
          <w:sz w:val="24"/>
        </w:rPr>
        <w:t> </w:t>
      </w:r>
      <w:r>
        <w:rPr>
          <w:sz w:val="24"/>
        </w:rPr>
        <w:t>enterprise</w:t>
      </w:r>
      <w:r>
        <w:rPr>
          <w:spacing w:val="-3"/>
          <w:sz w:val="24"/>
        </w:rPr>
        <w:t> </w:t>
      </w:r>
      <w:r>
        <w:rPr>
          <w:sz w:val="24"/>
        </w:rPr>
        <w:t>or</w:t>
      </w:r>
      <w:r>
        <w:rPr>
          <w:spacing w:val="-2"/>
          <w:sz w:val="24"/>
        </w:rPr>
        <w:t> </w:t>
      </w:r>
      <w:r>
        <w:rPr>
          <w:sz w:val="24"/>
        </w:rPr>
        <w:t>in</w:t>
      </w:r>
      <w:r>
        <w:rPr>
          <w:spacing w:val="-3"/>
          <w:sz w:val="24"/>
        </w:rPr>
        <w:t> </w:t>
      </w:r>
      <w:r>
        <w:rPr>
          <w:sz w:val="24"/>
        </w:rPr>
        <w:t>the</w:t>
      </w:r>
      <w:r>
        <w:rPr>
          <w:spacing w:val="-3"/>
          <w:sz w:val="24"/>
        </w:rPr>
        <w:t> </w:t>
      </w:r>
      <w:r>
        <w:rPr>
          <w:sz w:val="24"/>
        </w:rPr>
        <w:t>case</w:t>
      </w:r>
      <w:r>
        <w:rPr>
          <w:spacing w:val="-3"/>
          <w:sz w:val="24"/>
        </w:rPr>
        <w:t> </w:t>
      </w:r>
      <w:r>
        <w:rPr>
          <w:sz w:val="24"/>
        </w:rPr>
        <w:t>of</w:t>
      </w:r>
      <w:r>
        <w:rPr>
          <w:spacing w:val="-4"/>
          <w:sz w:val="24"/>
        </w:rPr>
        <w:t> </w:t>
      </w:r>
      <w:r>
        <w:rPr>
          <w:sz w:val="24"/>
        </w:rPr>
        <w:t>a</w:t>
      </w:r>
      <w:r>
        <w:rPr>
          <w:spacing w:val="-3"/>
          <w:sz w:val="24"/>
        </w:rPr>
        <w:t> </w:t>
      </w:r>
      <w:r>
        <w:rPr>
          <w:sz w:val="24"/>
        </w:rPr>
        <w:t>facility</w:t>
      </w:r>
      <w:r>
        <w:rPr>
          <w:spacing w:val="-3"/>
          <w:sz w:val="24"/>
        </w:rPr>
        <w:t> </w:t>
      </w:r>
      <w:r>
        <w:rPr>
          <w:sz w:val="24"/>
        </w:rPr>
        <w:t>of</w:t>
      </w:r>
      <w:r>
        <w:rPr>
          <w:spacing w:val="-4"/>
          <w:sz w:val="24"/>
        </w:rPr>
        <w:t> </w:t>
      </w:r>
      <w:r>
        <w:rPr>
          <w:sz w:val="24"/>
        </w:rPr>
        <w:t>only vending machines, carried with the Licensed Manager.</w:t>
      </w:r>
    </w:p>
    <w:p>
      <w:pPr>
        <w:pStyle w:val="ListParagraph"/>
        <w:numPr>
          <w:ilvl w:val="0"/>
          <w:numId w:val="397"/>
        </w:numPr>
        <w:tabs>
          <w:tab w:pos="785" w:val="left" w:leader="none"/>
        </w:tabs>
        <w:spacing w:line="208" w:lineRule="auto" w:before="240" w:after="0"/>
        <w:ind w:left="359" w:right="1473" w:firstLine="0"/>
        <w:jc w:val="both"/>
        <w:rPr>
          <w:sz w:val="24"/>
        </w:rPr>
      </w:pPr>
      <w:r>
        <w:rPr>
          <w:sz w:val="24"/>
        </w:rPr>
        <w:t>The</w:t>
      </w:r>
      <w:r>
        <w:rPr>
          <w:spacing w:val="-4"/>
          <w:sz w:val="24"/>
        </w:rPr>
        <w:t> </w:t>
      </w:r>
      <w:r>
        <w:rPr>
          <w:sz w:val="24"/>
        </w:rPr>
        <w:t>licensed</w:t>
      </w:r>
      <w:r>
        <w:rPr>
          <w:spacing w:val="-4"/>
          <w:sz w:val="24"/>
        </w:rPr>
        <w:t> </w:t>
      </w:r>
      <w:r>
        <w:rPr>
          <w:sz w:val="24"/>
        </w:rPr>
        <w:t>manager</w:t>
      </w:r>
      <w:r>
        <w:rPr>
          <w:spacing w:val="-3"/>
          <w:sz w:val="24"/>
        </w:rPr>
        <w:t> </w:t>
      </w:r>
      <w:r>
        <w:rPr>
          <w:sz w:val="24"/>
        </w:rPr>
        <w:t>will</w:t>
      </w:r>
      <w:r>
        <w:rPr>
          <w:spacing w:val="-4"/>
          <w:sz w:val="24"/>
        </w:rPr>
        <w:t> </w:t>
      </w:r>
      <w:r>
        <w:rPr>
          <w:sz w:val="24"/>
        </w:rPr>
        <w:t>comply</w:t>
      </w:r>
      <w:r>
        <w:rPr>
          <w:spacing w:val="-4"/>
          <w:sz w:val="24"/>
        </w:rPr>
        <w:t> </w:t>
      </w:r>
      <w:r>
        <w:rPr>
          <w:sz w:val="24"/>
        </w:rPr>
        <w:t>with</w:t>
      </w:r>
      <w:r>
        <w:rPr>
          <w:spacing w:val="-4"/>
          <w:sz w:val="24"/>
        </w:rPr>
        <w:t> </w:t>
      </w:r>
      <w:r>
        <w:rPr>
          <w:sz w:val="24"/>
        </w:rPr>
        <w:t>all</w:t>
      </w:r>
      <w:r>
        <w:rPr>
          <w:spacing w:val="-4"/>
          <w:sz w:val="24"/>
        </w:rPr>
        <w:t> </w:t>
      </w:r>
      <w:r>
        <w:rPr>
          <w:sz w:val="24"/>
        </w:rPr>
        <w:t>regulations</w:t>
      </w:r>
      <w:r>
        <w:rPr>
          <w:spacing w:val="-4"/>
          <w:sz w:val="24"/>
        </w:rPr>
        <w:t> </w:t>
      </w:r>
      <w:r>
        <w:rPr>
          <w:sz w:val="24"/>
        </w:rPr>
        <w:t>and</w:t>
      </w:r>
      <w:r>
        <w:rPr>
          <w:spacing w:val="-4"/>
          <w:sz w:val="24"/>
        </w:rPr>
        <w:t> </w:t>
      </w:r>
      <w:r>
        <w:rPr>
          <w:sz w:val="24"/>
        </w:rPr>
        <w:t>laws</w:t>
      </w:r>
      <w:r>
        <w:rPr>
          <w:spacing w:val="-4"/>
          <w:sz w:val="24"/>
        </w:rPr>
        <w:t> </w:t>
      </w:r>
      <w:r>
        <w:rPr>
          <w:sz w:val="24"/>
        </w:rPr>
        <w:t>governing</w:t>
      </w:r>
      <w:r>
        <w:rPr>
          <w:spacing w:val="-4"/>
          <w:sz w:val="24"/>
        </w:rPr>
        <w:t> </w:t>
      </w:r>
      <w:r>
        <w:rPr>
          <w:sz w:val="24"/>
        </w:rPr>
        <w:t>the possession and/or use of firearms, weapons, alcohol and other drugs.</w:t>
      </w:r>
    </w:p>
    <w:p>
      <w:pPr>
        <w:pStyle w:val="ListParagraph"/>
        <w:numPr>
          <w:ilvl w:val="0"/>
          <w:numId w:val="397"/>
        </w:numPr>
        <w:tabs>
          <w:tab w:pos="784" w:val="left" w:leader="none"/>
        </w:tabs>
        <w:spacing w:line="208" w:lineRule="auto" w:before="240" w:after="0"/>
        <w:ind w:left="359" w:right="886" w:firstLine="0"/>
        <w:jc w:val="left"/>
        <w:rPr>
          <w:sz w:val="24"/>
        </w:rPr>
      </w:pPr>
      <w:r>
        <w:rPr>
          <w:sz w:val="24"/>
        </w:rPr>
        <w:t>When a licensed manager starts or buys a similar business, the licensed manager must make assurances to the SLA that the two businesses will not intermingle in any manner</w:t>
      </w:r>
      <w:r>
        <w:rPr>
          <w:spacing w:val="-2"/>
          <w:sz w:val="24"/>
        </w:rPr>
        <w:t> </w:t>
      </w:r>
      <w:r>
        <w:rPr>
          <w:sz w:val="24"/>
        </w:rPr>
        <w:t>and</w:t>
      </w:r>
      <w:r>
        <w:rPr>
          <w:spacing w:val="-3"/>
          <w:sz w:val="24"/>
        </w:rPr>
        <w:t> </w:t>
      </w:r>
      <w:r>
        <w:rPr>
          <w:sz w:val="24"/>
        </w:rPr>
        <w:t>the</w:t>
      </w:r>
      <w:r>
        <w:rPr>
          <w:spacing w:val="-3"/>
          <w:sz w:val="24"/>
        </w:rPr>
        <w:t> </w:t>
      </w:r>
      <w:r>
        <w:rPr>
          <w:sz w:val="24"/>
        </w:rPr>
        <w:t>merchandise</w:t>
      </w:r>
      <w:r>
        <w:rPr>
          <w:spacing w:val="-3"/>
          <w:sz w:val="24"/>
        </w:rPr>
        <w:t> </w:t>
      </w:r>
      <w:r>
        <w:rPr>
          <w:sz w:val="24"/>
        </w:rPr>
        <w:t>of</w:t>
      </w:r>
      <w:r>
        <w:rPr>
          <w:spacing w:val="-4"/>
          <w:sz w:val="24"/>
        </w:rPr>
        <w:t> </w:t>
      </w:r>
      <w:r>
        <w:rPr>
          <w:sz w:val="24"/>
        </w:rPr>
        <w:t>the</w:t>
      </w:r>
      <w:r>
        <w:rPr>
          <w:spacing w:val="-3"/>
          <w:sz w:val="24"/>
        </w:rPr>
        <w:t> </w:t>
      </w:r>
      <w:r>
        <w:rPr>
          <w:sz w:val="24"/>
        </w:rPr>
        <w:t>two</w:t>
      </w:r>
      <w:r>
        <w:rPr>
          <w:spacing w:val="-3"/>
          <w:sz w:val="24"/>
        </w:rPr>
        <w:t> </w:t>
      </w:r>
      <w:r>
        <w:rPr>
          <w:sz w:val="24"/>
        </w:rPr>
        <w:t>businesses</w:t>
      </w:r>
      <w:r>
        <w:rPr>
          <w:spacing w:val="-3"/>
          <w:sz w:val="24"/>
        </w:rPr>
        <w:t> </w:t>
      </w:r>
      <w:r>
        <w:rPr>
          <w:sz w:val="24"/>
        </w:rPr>
        <w:t>will</w:t>
      </w:r>
      <w:r>
        <w:rPr>
          <w:spacing w:val="-2"/>
          <w:sz w:val="24"/>
        </w:rPr>
        <w:t> </w:t>
      </w:r>
      <w:r>
        <w:rPr>
          <w:sz w:val="24"/>
        </w:rPr>
        <w:t>be</w:t>
      </w:r>
      <w:r>
        <w:rPr>
          <w:spacing w:val="-3"/>
          <w:sz w:val="24"/>
        </w:rPr>
        <w:t> </w:t>
      </w:r>
      <w:r>
        <w:rPr>
          <w:sz w:val="24"/>
        </w:rPr>
        <w:t>in</w:t>
      </w:r>
      <w:r>
        <w:rPr>
          <w:spacing w:val="-3"/>
          <w:sz w:val="24"/>
        </w:rPr>
        <w:t> </w:t>
      </w:r>
      <w:r>
        <w:rPr>
          <w:sz w:val="24"/>
        </w:rPr>
        <w:t>separate</w:t>
      </w:r>
      <w:r>
        <w:rPr>
          <w:spacing w:val="-3"/>
          <w:sz w:val="24"/>
        </w:rPr>
        <w:t> </w:t>
      </w:r>
      <w:r>
        <w:rPr>
          <w:sz w:val="24"/>
        </w:rPr>
        <w:t>locations.</w:t>
      </w:r>
      <w:r>
        <w:rPr>
          <w:spacing w:val="-2"/>
          <w:sz w:val="24"/>
        </w:rPr>
        <w:t> </w:t>
      </w:r>
      <w:r>
        <w:rPr>
          <w:sz w:val="24"/>
        </w:rPr>
        <w:t>At</w:t>
      </w:r>
      <w:r>
        <w:rPr>
          <w:spacing w:val="-2"/>
          <w:sz w:val="24"/>
        </w:rPr>
        <w:t> </w:t>
      </w:r>
      <w:r>
        <w:rPr>
          <w:sz w:val="24"/>
        </w:rPr>
        <w:t>no time will state owned equipment be used in the private business.</w:t>
      </w:r>
    </w:p>
    <w:p>
      <w:pPr>
        <w:pStyle w:val="BodyText"/>
        <w:spacing w:before="210"/>
        <w:ind w:left="359"/>
      </w:pPr>
      <w:r>
        <w:rPr/>
        <w:t>INSTRUCTIONS</w:t>
      </w:r>
      <w:r>
        <w:rPr>
          <w:spacing w:val="-3"/>
        </w:rPr>
        <w:t> </w:t>
      </w:r>
      <w:r>
        <w:rPr/>
        <w:t>TO</w:t>
      </w:r>
      <w:r>
        <w:rPr>
          <w:spacing w:val="-2"/>
        </w:rPr>
        <w:t> </w:t>
      </w:r>
      <w:r>
        <w:rPr>
          <w:spacing w:val="-4"/>
        </w:rPr>
        <w:t>STAFF</w:t>
      </w:r>
    </w:p>
    <w:p>
      <w:pPr>
        <w:pStyle w:val="ListParagraph"/>
        <w:numPr>
          <w:ilvl w:val="0"/>
          <w:numId w:val="398"/>
        </w:numPr>
        <w:tabs>
          <w:tab w:pos="1077" w:val="left" w:leader="none"/>
          <w:tab w:pos="3568" w:val="left" w:leader="none"/>
        </w:tabs>
        <w:spacing w:line="208" w:lineRule="auto" w:before="233" w:after="0"/>
        <w:ind w:left="791" w:right="946" w:firstLine="0"/>
        <w:jc w:val="left"/>
        <w:rPr>
          <w:sz w:val="24"/>
        </w:rPr>
      </w:pPr>
      <w:r>
        <w:rPr>
          <w:sz w:val="24"/>
        </w:rPr>
        <w:t>The SLA point of contact for licensed managers is generally the business consultant.</w:t>
      </w:r>
      <w:r>
        <w:rPr>
          <w:spacing w:val="40"/>
          <w:sz w:val="24"/>
        </w:rPr>
        <w:t> </w:t>
      </w:r>
      <w:r>
        <w:rPr>
          <w:sz w:val="24"/>
        </w:rPr>
        <w:t>Business</w:t>
      </w:r>
      <w:r>
        <w:rPr>
          <w:spacing w:val="-4"/>
          <w:sz w:val="24"/>
        </w:rPr>
        <w:t> </w:t>
      </w:r>
      <w:r>
        <w:rPr>
          <w:sz w:val="24"/>
        </w:rPr>
        <w:t>issues,</w:t>
      </w:r>
      <w:r>
        <w:rPr>
          <w:spacing w:val="-3"/>
          <w:sz w:val="24"/>
        </w:rPr>
        <w:t> </w:t>
      </w:r>
      <w:r>
        <w:rPr>
          <w:sz w:val="24"/>
        </w:rPr>
        <w:t>problems</w:t>
      </w:r>
      <w:r>
        <w:rPr>
          <w:spacing w:val="-4"/>
          <w:sz w:val="24"/>
        </w:rPr>
        <w:t> </w:t>
      </w:r>
      <w:r>
        <w:rPr>
          <w:sz w:val="24"/>
        </w:rPr>
        <w:t>and</w:t>
      </w:r>
      <w:r>
        <w:rPr>
          <w:spacing w:val="-4"/>
          <w:sz w:val="24"/>
        </w:rPr>
        <w:t> </w:t>
      </w:r>
      <w:r>
        <w:rPr>
          <w:sz w:val="24"/>
        </w:rPr>
        <w:t>questions</w:t>
      </w:r>
      <w:r>
        <w:rPr>
          <w:spacing w:val="-4"/>
          <w:sz w:val="24"/>
        </w:rPr>
        <w:t> </w:t>
      </w:r>
      <w:r>
        <w:rPr>
          <w:sz w:val="24"/>
        </w:rPr>
        <w:t>should</w:t>
      </w:r>
      <w:r>
        <w:rPr>
          <w:spacing w:val="-4"/>
          <w:sz w:val="24"/>
        </w:rPr>
        <w:t> </w:t>
      </w:r>
      <w:r>
        <w:rPr>
          <w:sz w:val="24"/>
        </w:rPr>
        <w:t>be</w:t>
      </w:r>
      <w:r>
        <w:rPr>
          <w:spacing w:val="-4"/>
          <w:sz w:val="24"/>
        </w:rPr>
        <w:t> </w:t>
      </w:r>
      <w:r>
        <w:rPr>
          <w:sz w:val="24"/>
        </w:rPr>
        <w:t>communicated</w:t>
      </w:r>
      <w:r>
        <w:rPr>
          <w:spacing w:val="-4"/>
          <w:sz w:val="24"/>
        </w:rPr>
        <w:t> </w:t>
      </w:r>
      <w:r>
        <w:rPr>
          <w:sz w:val="24"/>
        </w:rPr>
        <w:t>to the business consultant.</w:t>
        <w:tab/>
        <w:t>Circumstances in which it is appropriate for a licensed manager to contact the BEP operations coordinator directly are</w:t>
      </w:r>
    </w:p>
    <w:p>
      <w:pPr>
        <w:pStyle w:val="ListParagraph"/>
        <w:numPr>
          <w:ilvl w:val="1"/>
          <w:numId w:val="398"/>
        </w:numPr>
        <w:tabs>
          <w:tab w:pos="1505" w:val="left" w:leader="none"/>
        </w:tabs>
        <w:spacing w:line="208" w:lineRule="auto" w:before="240" w:after="0"/>
        <w:ind w:left="1079" w:right="846" w:firstLine="0"/>
        <w:jc w:val="left"/>
        <w:rPr>
          <w:sz w:val="24"/>
        </w:rPr>
      </w:pPr>
      <w:r>
        <w:rPr>
          <w:sz w:val="24"/>
        </w:rPr>
        <w:t>when</w:t>
      </w:r>
      <w:r>
        <w:rPr>
          <w:spacing w:val="-4"/>
          <w:sz w:val="24"/>
        </w:rPr>
        <w:t> </w:t>
      </w:r>
      <w:r>
        <w:rPr>
          <w:sz w:val="24"/>
        </w:rPr>
        <w:t>a</w:t>
      </w:r>
      <w:r>
        <w:rPr>
          <w:spacing w:val="-5"/>
          <w:sz w:val="24"/>
        </w:rPr>
        <w:t> </w:t>
      </w:r>
      <w:r>
        <w:rPr>
          <w:sz w:val="24"/>
        </w:rPr>
        <w:t>problem</w:t>
      </w:r>
      <w:r>
        <w:rPr>
          <w:spacing w:val="-3"/>
          <w:sz w:val="24"/>
        </w:rPr>
        <w:t> </w:t>
      </w:r>
      <w:r>
        <w:rPr>
          <w:sz w:val="24"/>
        </w:rPr>
        <w:t>cannot</w:t>
      </w:r>
      <w:r>
        <w:rPr>
          <w:spacing w:val="-3"/>
          <w:sz w:val="24"/>
        </w:rPr>
        <w:t> </w:t>
      </w:r>
      <w:r>
        <w:rPr>
          <w:sz w:val="24"/>
        </w:rPr>
        <w:t>be</w:t>
      </w:r>
      <w:r>
        <w:rPr>
          <w:spacing w:val="-4"/>
          <w:sz w:val="24"/>
        </w:rPr>
        <w:t> </w:t>
      </w:r>
      <w:r>
        <w:rPr>
          <w:sz w:val="24"/>
        </w:rPr>
        <w:t>resolved</w:t>
      </w:r>
      <w:r>
        <w:rPr>
          <w:spacing w:val="-4"/>
          <w:sz w:val="24"/>
        </w:rPr>
        <w:t> </w:t>
      </w:r>
      <w:r>
        <w:rPr>
          <w:sz w:val="24"/>
        </w:rPr>
        <w:t>through</w:t>
      </w:r>
      <w:r>
        <w:rPr>
          <w:spacing w:val="-4"/>
          <w:sz w:val="24"/>
        </w:rPr>
        <w:t> </w:t>
      </w:r>
      <w:r>
        <w:rPr>
          <w:sz w:val="24"/>
        </w:rPr>
        <w:t>the</w:t>
      </w:r>
      <w:r>
        <w:rPr>
          <w:spacing w:val="-4"/>
          <w:sz w:val="24"/>
        </w:rPr>
        <w:t> </w:t>
      </w:r>
      <w:r>
        <w:rPr>
          <w:sz w:val="24"/>
        </w:rPr>
        <w:t>area</w:t>
      </w:r>
      <w:r>
        <w:rPr>
          <w:spacing w:val="-4"/>
          <w:sz w:val="24"/>
        </w:rPr>
        <w:t> </w:t>
      </w:r>
      <w:r>
        <w:rPr>
          <w:sz w:val="24"/>
        </w:rPr>
        <w:t>business</w:t>
      </w:r>
      <w:r>
        <w:rPr>
          <w:spacing w:val="-3"/>
          <w:sz w:val="24"/>
        </w:rPr>
        <w:t> </w:t>
      </w:r>
      <w:r>
        <w:rPr>
          <w:sz w:val="24"/>
        </w:rPr>
        <w:t>consultant</w:t>
      </w:r>
      <w:r>
        <w:rPr>
          <w:spacing w:val="-3"/>
          <w:sz w:val="24"/>
        </w:rPr>
        <w:t> </w:t>
      </w:r>
      <w:r>
        <w:rPr>
          <w:sz w:val="24"/>
        </w:rPr>
        <w:t>or the elected Committee of Managers,</w:t>
      </w:r>
    </w:p>
    <w:p>
      <w:pPr>
        <w:pStyle w:val="ListParagraph"/>
        <w:numPr>
          <w:ilvl w:val="1"/>
          <w:numId w:val="398"/>
        </w:numPr>
        <w:tabs>
          <w:tab w:pos="1505" w:val="left" w:leader="none"/>
        </w:tabs>
        <w:spacing w:line="208" w:lineRule="auto" w:before="240" w:after="0"/>
        <w:ind w:left="1079" w:right="792" w:firstLine="0"/>
        <w:jc w:val="left"/>
        <w:rPr>
          <w:sz w:val="24"/>
        </w:rPr>
      </w:pPr>
      <w:r>
        <w:rPr>
          <w:sz w:val="24"/>
        </w:rPr>
        <w:t>when</w:t>
      </w:r>
      <w:r>
        <w:rPr>
          <w:spacing w:val="-4"/>
          <w:sz w:val="24"/>
        </w:rPr>
        <w:t> </w:t>
      </w:r>
      <w:r>
        <w:rPr>
          <w:sz w:val="24"/>
        </w:rPr>
        <w:t>there</w:t>
      </w:r>
      <w:r>
        <w:rPr>
          <w:spacing w:val="-4"/>
          <w:sz w:val="24"/>
        </w:rPr>
        <w:t> </w:t>
      </w:r>
      <w:r>
        <w:rPr>
          <w:sz w:val="24"/>
        </w:rPr>
        <w:t>is</w:t>
      </w:r>
      <w:r>
        <w:rPr>
          <w:spacing w:val="-4"/>
          <w:sz w:val="24"/>
        </w:rPr>
        <w:t> </w:t>
      </w:r>
      <w:r>
        <w:rPr>
          <w:sz w:val="24"/>
        </w:rPr>
        <w:t>a</w:t>
      </w:r>
      <w:r>
        <w:rPr>
          <w:spacing w:val="-4"/>
          <w:sz w:val="24"/>
        </w:rPr>
        <w:t> </w:t>
      </w:r>
      <w:r>
        <w:rPr>
          <w:sz w:val="24"/>
        </w:rPr>
        <w:t>specific</w:t>
      </w:r>
      <w:r>
        <w:rPr>
          <w:spacing w:val="-4"/>
          <w:sz w:val="24"/>
        </w:rPr>
        <w:t> </w:t>
      </w:r>
      <w:r>
        <w:rPr>
          <w:sz w:val="24"/>
        </w:rPr>
        <w:t>complaint</w:t>
      </w:r>
      <w:r>
        <w:rPr>
          <w:spacing w:val="-3"/>
          <w:sz w:val="24"/>
        </w:rPr>
        <w:t> </w:t>
      </w:r>
      <w:r>
        <w:rPr>
          <w:sz w:val="24"/>
        </w:rPr>
        <w:t>concerning</w:t>
      </w:r>
      <w:r>
        <w:rPr>
          <w:spacing w:val="-4"/>
          <w:sz w:val="24"/>
        </w:rPr>
        <w:t> </w:t>
      </w:r>
      <w:r>
        <w:rPr>
          <w:sz w:val="24"/>
        </w:rPr>
        <w:t>the</w:t>
      </w:r>
      <w:r>
        <w:rPr>
          <w:spacing w:val="-4"/>
          <w:sz w:val="24"/>
        </w:rPr>
        <w:t> </w:t>
      </w:r>
      <w:r>
        <w:rPr>
          <w:sz w:val="24"/>
        </w:rPr>
        <w:t>conduct</w:t>
      </w:r>
      <w:r>
        <w:rPr>
          <w:spacing w:val="-3"/>
          <w:sz w:val="24"/>
        </w:rPr>
        <w:t> </w:t>
      </w:r>
      <w:r>
        <w:rPr>
          <w:sz w:val="24"/>
        </w:rPr>
        <w:t>and/or</w:t>
      </w:r>
      <w:r>
        <w:rPr>
          <w:spacing w:val="-3"/>
          <w:sz w:val="24"/>
        </w:rPr>
        <w:t> </w:t>
      </w:r>
      <w:r>
        <w:rPr>
          <w:sz w:val="24"/>
        </w:rPr>
        <w:t>behavior</w:t>
      </w:r>
      <w:r>
        <w:rPr>
          <w:spacing w:val="-4"/>
          <w:sz w:val="24"/>
        </w:rPr>
        <w:t> </w:t>
      </w:r>
      <w:r>
        <w:rPr>
          <w:sz w:val="24"/>
        </w:rPr>
        <w:t>of a business consultant, or</w:t>
      </w:r>
    </w:p>
    <w:p>
      <w:pPr>
        <w:pStyle w:val="ListParagraph"/>
        <w:numPr>
          <w:ilvl w:val="1"/>
          <w:numId w:val="398"/>
        </w:numPr>
        <w:tabs>
          <w:tab w:pos="1492" w:val="left" w:leader="none"/>
        </w:tabs>
        <w:spacing w:line="240" w:lineRule="auto" w:before="210" w:after="0"/>
        <w:ind w:left="1492" w:right="0" w:hanging="413"/>
        <w:jc w:val="left"/>
        <w:rPr>
          <w:sz w:val="24"/>
        </w:rPr>
      </w:pPr>
      <w:r>
        <w:rPr>
          <w:sz w:val="24"/>
        </w:rPr>
        <w:t>when</w:t>
      </w:r>
      <w:r>
        <w:rPr>
          <w:spacing w:val="-5"/>
          <w:sz w:val="24"/>
        </w:rPr>
        <w:t> </w:t>
      </w:r>
      <w:r>
        <w:rPr>
          <w:sz w:val="24"/>
        </w:rPr>
        <w:t>an</w:t>
      </w:r>
      <w:r>
        <w:rPr>
          <w:spacing w:val="-3"/>
          <w:sz w:val="24"/>
        </w:rPr>
        <w:t> </w:t>
      </w:r>
      <w:r>
        <w:rPr>
          <w:sz w:val="24"/>
        </w:rPr>
        <w:t>emergency</w:t>
      </w:r>
      <w:r>
        <w:rPr>
          <w:spacing w:val="-3"/>
          <w:sz w:val="24"/>
        </w:rPr>
        <w:t> </w:t>
      </w:r>
      <w:r>
        <w:rPr>
          <w:sz w:val="24"/>
        </w:rPr>
        <w:t>develops</w:t>
      </w:r>
      <w:r>
        <w:rPr>
          <w:spacing w:val="-3"/>
          <w:sz w:val="24"/>
        </w:rPr>
        <w:t> </w:t>
      </w:r>
      <w:r>
        <w:rPr>
          <w:sz w:val="24"/>
        </w:rPr>
        <w:t>and</w:t>
      </w:r>
      <w:r>
        <w:rPr>
          <w:spacing w:val="-3"/>
          <w:sz w:val="24"/>
        </w:rPr>
        <w:t> </w:t>
      </w:r>
      <w:r>
        <w:rPr>
          <w:sz w:val="24"/>
        </w:rPr>
        <w:t>the</w:t>
      </w:r>
      <w:r>
        <w:rPr>
          <w:spacing w:val="-3"/>
          <w:sz w:val="24"/>
        </w:rPr>
        <w:t> </w:t>
      </w:r>
      <w:r>
        <w:rPr>
          <w:sz w:val="24"/>
        </w:rPr>
        <w:t>business</w:t>
      </w:r>
      <w:r>
        <w:rPr>
          <w:spacing w:val="-3"/>
          <w:sz w:val="24"/>
        </w:rPr>
        <w:t> </w:t>
      </w:r>
      <w:r>
        <w:rPr>
          <w:sz w:val="24"/>
        </w:rPr>
        <w:t>consultant</w:t>
      </w:r>
      <w:r>
        <w:rPr>
          <w:spacing w:val="-2"/>
          <w:sz w:val="24"/>
        </w:rPr>
        <w:t> </w:t>
      </w:r>
      <w:r>
        <w:rPr>
          <w:sz w:val="24"/>
        </w:rPr>
        <w:t>is</w:t>
      </w:r>
      <w:r>
        <w:rPr>
          <w:spacing w:val="-3"/>
          <w:sz w:val="24"/>
        </w:rPr>
        <w:t> </w:t>
      </w:r>
      <w:r>
        <w:rPr>
          <w:sz w:val="24"/>
        </w:rPr>
        <w:t>not</w:t>
      </w:r>
      <w:r>
        <w:rPr>
          <w:spacing w:val="-2"/>
          <w:sz w:val="24"/>
        </w:rPr>
        <w:t> available.</w:t>
      </w:r>
    </w:p>
    <w:p>
      <w:pPr>
        <w:spacing w:before="238"/>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pStyle w:val="ListParagraph"/>
        <w:numPr>
          <w:ilvl w:val="2"/>
          <w:numId w:val="238"/>
        </w:numPr>
        <w:tabs>
          <w:tab w:pos="1439" w:val="left" w:leader="none"/>
        </w:tabs>
        <w:spacing w:line="240" w:lineRule="auto" w:before="0" w:after="0"/>
        <w:ind w:left="359" w:right="2567" w:firstLine="0"/>
        <w:jc w:val="left"/>
        <w:rPr>
          <w:sz w:val="22"/>
        </w:rPr>
      </w:pPr>
      <w:r>
        <w:rPr>
          <w:sz w:val="22"/>
        </w:rPr>
        <w:t>Permanent,</w:t>
      </w:r>
      <w:r>
        <w:rPr>
          <w:spacing w:val="-5"/>
          <w:sz w:val="22"/>
        </w:rPr>
        <w:t> </w:t>
      </w:r>
      <w:r>
        <w:rPr>
          <w:sz w:val="22"/>
        </w:rPr>
        <w:t>clarification</w:t>
      </w:r>
      <w:r>
        <w:rPr>
          <w:spacing w:val="-7"/>
          <w:sz w:val="22"/>
        </w:rPr>
        <w:t> </w:t>
      </w:r>
      <w:r>
        <w:rPr>
          <w:sz w:val="22"/>
        </w:rPr>
        <w:t>of</w:t>
      </w:r>
      <w:r>
        <w:rPr>
          <w:spacing w:val="-6"/>
          <w:sz w:val="22"/>
        </w:rPr>
        <w:t> </w:t>
      </w:r>
      <w:r>
        <w:rPr>
          <w:sz w:val="22"/>
        </w:rPr>
        <w:t>policy</w:t>
      </w:r>
      <w:r>
        <w:rPr>
          <w:spacing w:val="-7"/>
          <w:sz w:val="22"/>
        </w:rPr>
        <w:t> </w:t>
      </w:r>
      <w:r>
        <w:rPr>
          <w:sz w:val="22"/>
        </w:rPr>
        <w:t>regarding</w:t>
      </w:r>
      <w:r>
        <w:rPr>
          <w:spacing w:val="-6"/>
          <w:sz w:val="22"/>
        </w:rPr>
        <w:t> </w:t>
      </w:r>
      <w:r>
        <w:rPr>
          <w:sz w:val="22"/>
        </w:rPr>
        <w:t>SLA</w:t>
      </w:r>
      <w:r>
        <w:rPr>
          <w:spacing w:val="-6"/>
          <w:sz w:val="22"/>
        </w:rPr>
        <w:t> </w:t>
      </w:r>
      <w:r>
        <w:rPr>
          <w:sz w:val="22"/>
        </w:rPr>
        <w:t>owned</w:t>
      </w:r>
      <w:r>
        <w:rPr>
          <w:spacing w:val="-6"/>
          <w:sz w:val="22"/>
        </w:rPr>
        <w:t> </w:t>
      </w:r>
      <w:r>
        <w:rPr>
          <w:sz w:val="22"/>
        </w:rPr>
        <w:t>equipment </w:t>
      </w:r>
      <w:r>
        <w:rPr>
          <w:spacing w:val="-2"/>
          <w:sz w:val="22"/>
        </w:rPr>
        <w:t>9-12-14</w:t>
      </w:r>
      <w:r>
        <w:rPr>
          <w:sz w:val="22"/>
        </w:rPr>
        <w:tab/>
        <w:t>Updated language</w:t>
      </w:r>
    </w:p>
    <w:p>
      <w:pPr>
        <w:spacing w:before="0"/>
        <w:ind w:left="1439" w:right="0" w:firstLine="0"/>
        <w:jc w:val="left"/>
        <w:rPr>
          <w:sz w:val="22"/>
        </w:rPr>
      </w:pPr>
      <w:r>
        <w:rPr>
          <w:sz w:val="22"/>
        </w:rPr>
        <w:t>Updated</w:t>
      </w:r>
      <w:r>
        <w:rPr>
          <w:spacing w:val="-8"/>
          <w:sz w:val="22"/>
        </w:rPr>
        <w:t> </w:t>
      </w:r>
      <w:r>
        <w:rPr>
          <w:sz w:val="22"/>
        </w:rPr>
        <w:t>Instructions</w:t>
      </w:r>
      <w:r>
        <w:rPr>
          <w:spacing w:val="-8"/>
          <w:sz w:val="22"/>
        </w:rPr>
        <w:t> </w:t>
      </w:r>
      <w:r>
        <w:rPr>
          <w:sz w:val="22"/>
        </w:rPr>
        <w:t>to</w:t>
      </w:r>
      <w:r>
        <w:rPr>
          <w:spacing w:val="-8"/>
          <w:sz w:val="22"/>
        </w:rPr>
        <w:t> </w:t>
      </w:r>
      <w:r>
        <w:rPr>
          <w:spacing w:val="-2"/>
          <w:sz w:val="22"/>
        </w:rPr>
        <w:t>Staff</w:t>
      </w:r>
    </w:p>
    <w:p>
      <w:pPr>
        <w:tabs>
          <w:tab w:pos="1439" w:val="left" w:leader="none"/>
        </w:tabs>
        <w:spacing w:before="1"/>
        <w:ind w:left="359" w:right="0" w:firstLine="0"/>
        <w:jc w:val="left"/>
        <w:rPr>
          <w:sz w:val="22"/>
        </w:rPr>
      </w:pPr>
      <w:r>
        <w:rPr>
          <w:spacing w:val="-2"/>
          <w:sz w:val="22"/>
        </w:rPr>
        <w:t>9-11-</w:t>
      </w:r>
      <w:r>
        <w:rPr>
          <w:spacing w:val="-5"/>
          <w:sz w:val="22"/>
        </w:rPr>
        <w:t>22</w:t>
      </w:r>
      <w:r>
        <w:rPr>
          <w:sz w:val="22"/>
        </w:rPr>
        <w:tab/>
        <w:t>Removed</w:t>
      </w:r>
      <w:r>
        <w:rPr>
          <w:spacing w:val="-11"/>
          <w:sz w:val="22"/>
        </w:rPr>
        <w:t> </w:t>
      </w:r>
      <w:r>
        <w:rPr>
          <w:sz w:val="22"/>
        </w:rPr>
        <w:t>antiquated</w:t>
      </w:r>
      <w:r>
        <w:rPr>
          <w:spacing w:val="-11"/>
          <w:sz w:val="22"/>
        </w:rPr>
        <w:t> </w:t>
      </w:r>
      <w:r>
        <w:rPr>
          <w:spacing w:val="-2"/>
          <w:sz w:val="22"/>
        </w:rPr>
        <w:t>language.</w:t>
      </w:r>
    </w:p>
    <w:p>
      <w:pPr>
        <w:spacing w:after="0"/>
        <w:jc w:val="left"/>
        <w:rPr>
          <w:sz w:val="22"/>
        </w:rPr>
        <w:sectPr>
          <w:pgSz w:w="12240" w:h="15840"/>
          <w:pgMar w:top="1340" w:bottom="280" w:left="1080" w:right="720"/>
        </w:sectPr>
      </w:pPr>
    </w:p>
    <w:p>
      <w:pPr>
        <w:pStyle w:val="Heading2"/>
      </w:pPr>
      <w:bookmarkStart w:name="612:25-6-2.1.  Probation" w:id="423"/>
      <w:bookmarkEnd w:id="423"/>
      <w:r>
        <w:rPr>
          <w:b w:val="0"/>
        </w:rPr>
      </w:r>
      <w:r>
        <w:rPr/>
        <w:t>612:25-6-2.1.</w:t>
      </w:r>
      <w:r>
        <w:rPr>
          <w:spacing w:val="58"/>
        </w:rPr>
        <w:t> </w:t>
      </w:r>
      <w:r>
        <w:rPr>
          <w:spacing w:val="-2"/>
        </w:rPr>
        <w:t>Probation</w:t>
      </w:r>
    </w:p>
    <w:p>
      <w:pPr>
        <w:pStyle w:val="ListParagraph"/>
        <w:numPr>
          <w:ilvl w:val="0"/>
          <w:numId w:val="399"/>
        </w:numPr>
        <w:tabs>
          <w:tab w:pos="786" w:val="left" w:leader="none"/>
        </w:tabs>
        <w:spacing w:line="208" w:lineRule="auto" w:before="233" w:after="0"/>
        <w:ind w:left="360" w:right="886" w:firstLine="0"/>
        <w:jc w:val="left"/>
        <w:rPr>
          <w:sz w:val="24"/>
        </w:rPr>
      </w:pPr>
      <w:r>
        <w:rPr>
          <w:b/>
          <w:sz w:val="24"/>
        </w:rPr>
        <w:t>Scope. </w:t>
      </w:r>
      <w:r>
        <w:rPr>
          <w:sz w:val="24"/>
        </w:rPr>
        <w:t>A licensed manager who is not meeting all of the requirements or qualifications set forth in the BEP rules and regulations, or a licensed manager who is not</w:t>
      </w:r>
      <w:r>
        <w:rPr>
          <w:spacing w:val="-3"/>
          <w:sz w:val="24"/>
        </w:rPr>
        <w:t> </w:t>
      </w:r>
      <w:r>
        <w:rPr>
          <w:sz w:val="24"/>
        </w:rPr>
        <w:t>managing</w:t>
      </w:r>
      <w:r>
        <w:rPr>
          <w:spacing w:val="-4"/>
          <w:sz w:val="24"/>
        </w:rPr>
        <w:t> </w:t>
      </w:r>
      <w:r>
        <w:rPr>
          <w:sz w:val="24"/>
        </w:rPr>
        <w:t>the</w:t>
      </w:r>
      <w:r>
        <w:rPr>
          <w:spacing w:val="-4"/>
          <w:sz w:val="24"/>
        </w:rPr>
        <w:t> </w:t>
      </w:r>
      <w:r>
        <w:rPr>
          <w:sz w:val="24"/>
        </w:rPr>
        <w:t>business</w:t>
      </w:r>
      <w:r>
        <w:rPr>
          <w:spacing w:val="-4"/>
          <w:sz w:val="24"/>
        </w:rPr>
        <w:t> </w:t>
      </w:r>
      <w:r>
        <w:rPr>
          <w:sz w:val="24"/>
        </w:rPr>
        <w:t>enterprise</w:t>
      </w:r>
      <w:r>
        <w:rPr>
          <w:spacing w:val="-4"/>
          <w:sz w:val="24"/>
        </w:rPr>
        <w:t> </w:t>
      </w:r>
      <w:r>
        <w:rPr>
          <w:sz w:val="24"/>
        </w:rPr>
        <w:t>in</w:t>
      </w:r>
      <w:r>
        <w:rPr>
          <w:spacing w:val="-4"/>
          <w:sz w:val="24"/>
        </w:rPr>
        <w:t> </w:t>
      </w:r>
      <w:r>
        <w:rPr>
          <w:sz w:val="24"/>
        </w:rPr>
        <w:t>a</w:t>
      </w:r>
      <w:r>
        <w:rPr>
          <w:spacing w:val="-4"/>
          <w:sz w:val="24"/>
        </w:rPr>
        <w:t> </w:t>
      </w:r>
      <w:r>
        <w:rPr>
          <w:sz w:val="24"/>
        </w:rPr>
        <w:t>proper</w:t>
      </w:r>
      <w:r>
        <w:rPr>
          <w:spacing w:val="-3"/>
          <w:sz w:val="24"/>
        </w:rPr>
        <w:t> </w:t>
      </w:r>
      <w:r>
        <w:rPr>
          <w:sz w:val="24"/>
        </w:rPr>
        <w:t>manner,</w:t>
      </w:r>
      <w:r>
        <w:rPr>
          <w:spacing w:val="-3"/>
          <w:sz w:val="24"/>
        </w:rPr>
        <w:t> </w:t>
      </w:r>
      <w:r>
        <w:rPr>
          <w:sz w:val="24"/>
        </w:rPr>
        <w:t>may</w:t>
      </w:r>
      <w:r>
        <w:rPr>
          <w:spacing w:val="-5"/>
          <w:sz w:val="24"/>
        </w:rPr>
        <w:t> </w:t>
      </w:r>
      <w:r>
        <w:rPr>
          <w:sz w:val="24"/>
        </w:rPr>
        <w:t>be</w:t>
      </w:r>
      <w:r>
        <w:rPr>
          <w:spacing w:val="-5"/>
          <w:sz w:val="24"/>
        </w:rPr>
        <w:t> </w:t>
      </w:r>
      <w:r>
        <w:rPr>
          <w:sz w:val="24"/>
        </w:rPr>
        <w:t>placed</w:t>
      </w:r>
      <w:r>
        <w:rPr>
          <w:spacing w:val="-4"/>
          <w:sz w:val="24"/>
        </w:rPr>
        <w:t> </w:t>
      </w:r>
      <w:r>
        <w:rPr>
          <w:sz w:val="24"/>
        </w:rPr>
        <w:t>on</w:t>
      </w:r>
      <w:r>
        <w:rPr>
          <w:spacing w:val="-3"/>
          <w:sz w:val="24"/>
        </w:rPr>
        <w:t> </w:t>
      </w:r>
      <w:r>
        <w:rPr>
          <w:sz w:val="24"/>
        </w:rPr>
        <w:t>probation by the BEP Coordinator along with notification to the ECM Chair. Intensive review/consultation will be provided during the probationary period. The period of the probation will be used to focus</w:t>
      </w:r>
      <w:r>
        <w:rPr>
          <w:spacing w:val="-1"/>
          <w:sz w:val="24"/>
        </w:rPr>
        <w:t> </w:t>
      </w:r>
      <w:r>
        <w:rPr>
          <w:sz w:val="24"/>
        </w:rPr>
        <w:t>on specific problem areas and attempts will be made to improve the licensed manager's performance. This is the first step in the disciplinary process. If proper results are not achieved, suspension or termination of the BEP License will be necessary.</w:t>
      </w:r>
    </w:p>
    <w:p>
      <w:pPr>
        <w:pStyle w:val="ListParagraph"/>
        <w:numPr>
          <w:ilvl w:val="0"/>
          <w:numId w:val="399"/>
        </w:numPr>
        <w:tabs>
          <w:tab w:pos="785" w:val="left" w:leader="none"/>
        </w:tabs>
        <w:spacing w:line="208" w:lineRule="auto" w:before="239" w:after="0"/>
        <w:ind w:left="360" w:right="779" w:firstLine="0"/>
        <w:jc w:val="left"/>
        <w:rPr>
          <w:sz w:val="24"/>
        </w:rPr>
      </w:pPr>
      <w:r>
        <w:rPr>
          <w:b/>
          <w:sz w:val="24"/>
        </w:rPr>
        <w:t>Initiation of probation procedure. </w:t>
      </w:r>
      <w:r>
        <w:rPr>
          <w:sz w:val="24"/>
        </w:rPr>
        <w:t>The BEP Operations Coordinator will place licensed</w:t>
      </w:r>
      <w:r>
        <w:rPr>
          <w:spacing w:val="-3"/>
          <w:sz w:val="24"/>
        </w:rPr>
        <w:t> </w:t>
      </w:r>
      <w:r>
        <w:rPr>
          <w:sz w:val="24"/>
        </w:rPr>
        <w:t>managers</w:t>
      </w:r>
      <w:r>
        <w:rPr>
          <w:spacing w:val="-3"/>
          <w:sz w:val="24"/>
        </w:rPr>
        <w:t> </w:t>
      </w:r>
      <w:r>
        <w:rPr>
          <w:sz w:val="24"/>
        </w:rPr>
        <w:t>on</w:t>
      </w:r>
      <w:r>
        <w:rPr>
          <w:spacing w:val="-2"/>
          <w:sz w:val="24"/>
        </w:rPr>
        <w:t> </w:t>
      </w:r>
      <w:r>
        <w:rPr>
          <w:sz w:val="24"/>
        </w:rPr>
        <w:t>probation</w:t>
      </w:r>
      <w:r>
        <w:rPr>
          <w:spacing w:val="-3"/>
          <w:sz w:val="24"/>
        </w:rPr>
        <w:t> </w:t>
      </w:r>
      <w:r>
        <w:rPr>
          <w:sz w:val="24"/>
        </w:rPr>
        <w:t>through</w:t>
      </w:r>
      <w:r>
        <w:rPr>
          <w:spacing w:val="-3"/>
          <w:sz w:val="24"/>
        </w:rPr>
        <w:t> </w:t>
      </w:r>
      <w:r>
        <w:rPr>
          <w:sz w:val="24"/>
        </w:rPr>
        <w:t>a</w:t>
      </w:r>
      <w:r>
        <w:rPr>
          <w:spacing w:val="-3"/>
          <w:sz w:val="24"/>
        </w:rPr>
        <w:t> </w:t>
      </w:r>
      <w:r>
        <w:rPr>
          <w:sz w:val="24"/>
        </w:rPr>
        <w:t>probation</w:t>
      </w:r>
      <w:r>
        <w:rPr>
          <w:spacing w:val="-3"/>
          <w:sz w:val="24"/>
        </w:rPr>
        <w:t> </w:t>
      </w:r>
      <w:r>
        <w:rPr>
          <w:sz w:val="24"/>
        </w:rPr>
        <w:t>letter.</w:t>
      </w:r>
      <w:r>
        <w:rPr>
          <w:spacing w:val="-2"/>
          <w:sz w:val="24"/>
        </w:rPr>
        <w:t> </w:t>
      </w:r>
      <w:r>
        <w:rPr>
          <w:sz w:val="24"/>
        </w:rPr>
        <w:t>The</w:t>
      </w:r>
      <w:r>
        <w:rPr>
          <w:spacing w:val="-3"/>
          <w:sz w:val="24"/>
        </w:rPr>
        <w:t> </w:t>
      </w:r>
      <w:r>
        <w:rPr>
          <w:sz w:val="24"/>
        </w:rPr>
        <w:t>business</w:t>
      </w:r>
      <w:r>
        <w:rPr>
          <w:spacing w:val="-3"/>
          <w:sz w:val="24"/>
        </w:rPr>
        <w:t> </w:t>
      </w:r>
      <w:r>
        <w:rPr>
          <w:sz w:val="24"/>
        </w:rPr>
        <w:t>consultant</w:t>
      </w:r>
      <w:r>
        <w:rPr>
          <w:spacing w:val="-2"/>
          <w:sz w:val="24"/>
        </w:rPr>
        <w:t> </w:t>
      </w:r>
      <w:r>
        <w:rPr>
          <w:sz w:val="24"/>
        </w:rPr>
        <w:t>will deliver, read and explain the letter of probation to the licensed manager. The business consultant</w:t>
      </w:r>
      <w:r>
        <w:rPr>
          <w:spacing w:val="-3"/>
          <w:sz w:val="24"/>
        </w:rPr>
        <w:t> </w:t>
      </w:r>
      <w:r>
        <w:rPr>
          <w:sz w:val="24"/>
        </w:rPr>
        <w:t>and</w:t>
      </w:r>
      <w:r>
        <w:rPr>
          <w:spacing w:val="-3"/>
          <w:sz w:val="24"/>
        </w:rPr>
        <w:t> </w:t>
      </w:r>
      <w:r>
        <w:rPr>
          <w:sz w:val="24"/>
        </w:rPr>
        <w:t>licensed</w:t>
      </w:r>
      <w:r>
        <w:rPr>
          <w:spacing w:val="-3"/>
          <w:sz w:val="24"/>
        </w:rPr>
        <w:t> </w:t>
      </w:r>
      <w:r>
        <w:rPr>
          <w:sz w:val="24"/>
        </w:rPr>
        <w:t>manager</w:t>
      </w:r>
      <w:r>
        <w:rPr>
          <w:spacing w:val="-3"/>
          <w:sz w:val="24"/>
        </w:rPr>
        <w:t> </w:t>
      </w:r>
      <w:r>
        <w:rPr>
          <w:sz w:val="24"/>
        </w:rPr>
        <w:t>will</w:t>
      </w:r>
      <w:r>
        <w:rPr>
          <w:spacing w:val="-3"/>
          <w:sz w:val="24"/>
        </w:rPr>
        <w:t> </w:t>
      </w:r>
      <w:r>
        <w:rPr>
          <w:sz w:val="24"/>
        </w:rPr>
        <w:t>then</w:t>
      </w:r>
      <w:r>
        <w:rPr>
          <w:spacing w:val="-3"/>
          <w:sz w:val="24"/>
        </w:rPr>
        <w:t> </w:t>
      </w:r>
      <w:r>
        <w:rPr>
          <w:sz w:val="24"/>
        </w:rPr>
        <w:t>sign</w:t>
      </w:r>
      <w:r>
        <w:rPr>
          <w:spacing w:val="-3"/>
          <w:sz w:val="24"/>
        </w:rPr>
        <w:t> </w:t>
      </w:r>
      <w:r>
        <w:rPr>
          <w:sz w:val="24"/>
        </w:rPr>
        <w:t>the</w:t>
      </w:r>
      <w:r>
        <w:rPr>
          <w:spacing w:val="-3"/>
          <w:sz w:val="24"/>
        </w:rPr>
        <w:t> </w:t>
      </w:r>
      <w:r>
        <w:rPr>
          <w:sz w:val="24"/>
        </w:rPr>
        <w:t>probation</w:t>
      </w:r>
      <w:r>
        <w:rPr>
          <w:spacing w:val="-3"/>
          <w:sz w:val="24"/>
        </w:rPr>
        <w:t> </w:t>
      </w:r>
      <w:r>
        <w:rPr>
          <w:sz w:val="24"/>
        </w:rPr>
        <w:t>letter.</w:t>
      </w:r>
      <w:r>
        <w:rPr>
          <w:spacing w:val="-4"/>
          <w:sz w:val="24"/>
        </w:rPr>
        <w:t> </w:t>
      </w:r>
      <w:r>
        <w:rPr>
          <w:sz w:val="24"/>
        </w:rPr>
        <w:t>The</w:t>
      </w:r>
      <w:r>
        <w:rPr>
          <w:spacing w:val="-3"/>
          <w:sz w:val="24"/>
        </w:rPr>
        <w:t> </w:t>
      </w:r>
      <w:r>
        <w:rPr>
          <w:sz w:val="24"/>
        </w:rPr>
        <w:t>original</w:t>
      </w:r>
      <w:r>
        <w:rPr>
          <w:spacing w:val="-3"/>
          <w:sz w:val="24"/>
        </w:rPr>
        <w:t> </w:t>
      </w:r>
      <w:r>
        <w:rPr>
          <w:sz w:val="24"/>
        </w:rPr>
        <w:t>is</w:t>
      </w:r>
      <w:r>
        <w:rPr>
          <w:spacing w:val="-3"/>
          <w:sz w:val="24"/>
        </w:rPr>
        <w:t> </w:t>
      </w:r>
      <w:r>
        <w:rPr>
          <w:sz w:val="24"/>
        </w:rPr>
        <w:t>given to the licensed manager in his or her preferred format, one copy returned to the BEP Operations Coordinator, and one copy mailed to the Chairperson of the Elected Committee of Licensed Managers.</w:t>
      </w:r>
    </w:p>
    <w:p>
      <w:pPr>
        <w:pStyle w:val="ListParagraph"/>
        <w:numPr>
          <w:ilvl w:val="0"/>
          <w:numId w:val="399"/>
        </w:numPr>
        <w:tabs>
          <w:tab w:pos="773" w:val="left" w:leader="none"/>
        </w:tabs>
        <w:spacing w:line="208" w:lineRule="auto" w:before="239" w:after="0"/>
        <w:ind w:left="360" w:right="807" w:firstLine="0"/>
        <w:jc w:val="left"/>
        <w:rPr>
          <w:sz w:val="24"/>
        </w:rPr>
      </w:pPr>
      <w:r>
        <w:rPr>
          <w:b/>
          <w:sz w:val="24"/>
        </w:rPr>
        <w:t>Probationary</w:t>
      </w:r>
      <w:r>
        <w:rPr>
          <w:b/>
          <w:spacing w:val="-4"/>
          <w:sz w:val="24"/>
        </w:rPr>
        <w:t> </w:t>
      </w:r>
      <w:r>
        <w:rPr>
          <w:b/>
          <w:sz w:val="24"/>
        </w:rPr>
        <w:t>letter.</w:t>
      </w:r>
      <w:r>
        <w:rPr>
          <w:b/>
          <w:spacing w:val="-3"/>
          <w:sz w:val="24"/>
        </w:rPr>
        <w:t> </w:t>
      </w:r>
      <w:r>
        <w:rPr>
          <w:sz w:val="24"/>
        </w:rPr>
        <w:t>The</w:t>
      </w:r>
      <w:r>
        <w:rPr>
          <w:spacing w:val="-4"/>
          <w:sz w:val="24"/>
        </w:rPr>
        <w:t> </w:t>
      </w:r>
      <w:r>
        <w:rPr>
          <w:sz w:val="24"/>
        </w:rPr>
        <w:t>probationary</w:t>
      </w:r>
      <w:r>
        <w:rPr>
          <w:spacing w:val="-4"/>
          <w:sz w:val="24"/>
        </w:rPr>
        <w:t> </w:t>
      </w:r>
      <w:r>
        <w:rPr>
          <w:sz w:val="24"/>
        </w:rPr>
        <w:t>letter</w:t>
      </w:r>
      <w:r>
        <w:rPr>
          <w:spacing w:val="-3"/>
          <w:sz w:val="24"/>
        </w:rPr>
        <w:t> </w:t>
      </w:r>
      <w:r>
        <w:rPr>
          <w:sz w:val="24"/>
        </w:rPr>
        <w:t>will</w:t>
      </w:r>
      <w:r>
        <w:rPr>
          <w:spacing w:val="-4"/>
          <w:sz w:val="24"/>
        </w:rPr>
        <w:t> </w:t>
      </w:r>
      <w:r>
        <w:rPr>
          <w:sz w:val="24"/>
        </w:rPr>
        <w:t>specify</w:t>
      </w:r>
      <w:r>
        <w:rPr>
          <w:spacing w:val="-4"/>
          <w:sz w:val="24"/>
        </w:rPr>
        <w:t> </w:t>
      </w:r>
      <w:r>
        <w:rPr>
          <w:sz w:val="24"/>
        </w:rPr>
        <w:t>the</w:t>
      </w:r>
      <w:r>
        <w:rPr>
          <w:spacing w:val="-4"/>
          <w:sz w:val="24"/>
        </w:rPr>
        <w:t> </w:t>
      </w:r>
      <w:r>
        <w:rPr>
          <w:sz w:val="24"/>
        </w:rPr>
        <w:t>cause(s)</w:t>
      </w:r>
      <w:r>
        <w:rPr>
          <w:spacing w:val="-3"/>
          <w:sz w:val="24"/>
        </w:rPr>
        <w:t> </w:t>
      </w:r>
      <w:r>
        <w:rPr>
          <w:sz w:val="24"/>
        </w:rPr>
        <w:t>for</w:t>
      </w:r>
      <w:r>
        <w:rPr>
          <w:spacing w:val="-5"/>
          <w:sz w:val="24"/>
        </w:rPr>
        <w:t> </w:t>
      </w:r>
      <w:r>
        <w:rPr>
          <w:sz w:val="24"/>
        </w:rPr>
        <w:t>placing</w:t>
      </w:r>
      <w:r>
        <w:rPr>
          <w:spacing w:val="-4"/>
          <w:sz w:val="24"/>
        </w:rPr>
        <w:t> </w:t>
      </w:r>
      <w:r>
        <w:rPr>
          <w:sz w:val="24"/>
        </w:rPr>
        <w:t>the manager on probation and rules that have been violated.</w:t>
      </w:r>
      <w:r>
        <w:rPr>
          <w:spacing w:val="80"/>
          <w:sz w:val="24"/>
        </w:rPr>
        <w:t> </w:t>
      </w:r>
      <w:r>
        <w:rPr>
          <w:sz w:val="24"/>
        </w:rPr>
        <w:t>It will clearly state the terms of the probation, including the length of the probationary period, the remedial action required and the consequences of failure to take remedial action. A statement will be included which indicates it has been read and understood by the licensed manager, followed by a space for the licensed manager's and business consultant's signature, and the date. This acknowledgement does not imply that the licensed manager agrees with the issues identified, but rather, that he/she understands the terms of his/her probation. Refusal to sign does not invalidate the letter.</w:t>
      </w:r>
    </w:p>
    <w:p>
      <w:pPr>
        <w:pStyle w:val="ListParagraph"/>
        <w:numPr>
          <w:ilvl w:val="0"/>
          <w:numId w:val="399"/>
        </w:numPr>
        <w:tabs>
          <w:tab w:pos="786" w:val="left" w:leader="none"/>
        </w:tabs>
        <w:spacing w:line="208" w:lineRule="auto" w:before="239" w:after="0"/>
        <w:ind w:left="360" w:right="1420" w:firstLine="0"/>
        <w:jc w:val="left"/>
        <w:rPr>
          <w:sz w:val="24"/>
        </w:rPr>
      </w:pPr>
      <w:r>
        <w:rPr>
          <w:b/>
          <w:sz w:val="24"/>
        </w:rPr>
        <w:t>Probationary</w:t>
      </w:r>
      <w:r>
        <w:rPr>
          <w:b/>
          <w:spacing w:val="-4"/>
          <w:sz w:val="24"/>
        </w:rPr>
        <w:t> </w:t>
      </w:r>
      <w:r>
        <w:rPr>
          <w:b/>
          <w:sz w:val="24"/>
        </w:rPr>
        <w:t>periods.</w:t>
      </w:r>
      <w:r>
        <w:rPr>
          <w:b/>
          <w:spacing w:val="-3"/>
          <w:sz w:val="24"/>
        </w:rPr>
        <w:t> </w:t>
      </w:r>
      <w:r>
        <w:rPr>
          <w:sz w:val="24"/>
        </w:rPr>
        <w:t>Probationary</w:t>
      </w:r>
      <w:r>
        <w:rPr>
          <w:spacing w:val="-4"/>
          <w:sz w:val="24"/>
        </w:rPr>
        <w:t> </w:t>
      </w:r>
      <w:r>
        <w:rPr>
          <w:sz w:val="24"/>
        </w:rPr>
        <w:t>periods</w:t>
      </w:r>
      <w:r>
        <w:rPr>
          <w:spacing w:val="-4"/>
          <w:sz w:val="24"/>
        </w:rPr>
        <w:t> </w:t>
      </w:r>
      <w:r>
        <w:rPr>
          <w:sz w:val="24"/>
        </w:rPr>
        <w:t>are</w:t>
      </w:r>
      <w:r>
        <w:rPr>
          <w:spacing w:val="-4"/>
          <w:sz w:val="24"/>
        </w:rPr>
        <w:t> </w:t>
      </w:r>
      <w:r>
        <w:rPr>
          <w:sz w:val="24"/>
        </w:rPr>
        <w:t>usually</w:t>
      </w:r>
      <w:r>
        <w:rPr>
          <w:spacing w:val="-4"/>
          <w:sz w:val="24"/>
        </w:rPr>
        <w:t> </w:t>
      </w:r>
      <w:r>
        <w:rPr>
          <w:sz w:val="24"/>
        </w:rPr>
        <w:t>30</w:t>
      </w:r>
      <w:r>
        <w:rPr>
          <w:spacing w:val="-4"/>
          <w:sz w:val="24"/>
        </w:rPr>
        <w:t> </w:t>
      </w:r>
      <w:r>
        <w:rPr>
          <w:sz w:val="24"/>
        </w:rPr>
        <w:t>to</w:t>
      </w:r>
      <w:r>
        <w:rPr>
          <w:spacing w:val="-4"/>
          <w:sz w:val="24"/>
        </w:rPr>
        <w:t> </w:t>
      </w:r>
      <w:r>
        <w:rPr>
          <w:sz w:val="24"/>
        </w:rPr>
        <w:t>90</w:t>
      </w:r>
      <w:r>
        <w:rPr>
          <w:spacing w:val="-4"/>
          <w:sz w:val="24"/>
        </w:rPr>
        <w:t> </w:t>
      </w:r>
      <w:r>
        <w:rPr>
          <w:sz w:val="24"/>
        </w:rPr>
        <w:t>days,</w:t>
      </w:r>
      <w:r>
        <w:rPr>
          <w:spacing w:val="-3"/>
          <w:sz w:val="24"/>
        </w:rPr>
        <w:t> </w:t>
      </w:r>
      <w:r>
        <w:rPr>
          <w:sz w:val="24"/>
        </w:rPr>
        <w:t>at</w:t>
      </w:r>
      <w:r>
        <w:rPr>
          <w:spacing w:val="-5"/>
          <w:sz w:val="24"/>
        </w:rPr>
        <w:t> </w:t>
      </w:r>
      <w:r>
        <w:rPr>
          <w:sz w:val="24"/>
        </w:rPr>
        <w:t>the discretion of the BEP Operations Coordinator, but may be longer or shorter as circumstances warrant. The exact period of probation will be specified in the probationary letter.</w:t>
      </w:r>
    </w:p>
    <w:p>
      <w:pPr>
        <w:pStyle w:val="ListParagraph"/>
        <w:numPr>
          <w:ilvl w:val="0"/>
          <w:numId w:val="399"/>
        </w:numPr>
        <w:tabs>
          <w:tab w:pos="785" w:val="left" w:leader="none"/>
        </w:tabs>
        <w:spacing w:line="208" w:lineRule="auto" w:before="240" w:after="0"/>
        <w:ind w:left="359" w:right="1005" w:firstLine="0"/>
        <w:jc w:val="left"/>
        <w:rPr>
          <w:sz w:val="24"/>
        </w:rPr>
      </w:pPr>
      <w:r>
        <w:rPr>
          <w:b/>
          <w:sz w:val="24"/>
        </w:rPr>
        <w:t>Consequences.</w:t>
      </w:r>
      <w:r>
        <w:rPr>
          <w:b/>
          <w:spacing w:val="-3"/>
          <w:sz w:val="24"/>
        </w:rPr>
        <w:t> </w:t>
      </w:r>
      <w:r>
        <w:rPr>
          <w:sz w:val="24"/>
        </w:rPr>
        <w:t>The</w:t>
      </w:r>
      <w:r>
        <w:rPr>
          <w:spacing w:val="-4"/>
          <w:sz w:val="24"/>
        </w:rPr>
        <w:t> </w:t>
      </w:r>
      <w:r>
        <w:rPr>
          <w:sz w:val="24"/>
        </w:rPr>
        <w:t>Licensed</w:t>
      </w:r>
      <w:r>
        <w:rPr>
          <w:spacing w:val="-4"/>
          <w:sz w:val="24"/>
        </w:rPr>
        <w:t> </w:t>
      </w:r>
      <w:r>
        <w:rPr>
          <w:sz w:val="24"/>
        </w:rPr>
        <w:t>Manager</w:t>
      </w:r>
      <w:r>
        <w:rPr>
          <w:spacing w:val="-3"/>
          <w:sz w:val="24"/>
        </w:rPr>
        <w:t> </w:t>
      </w:r>
      <w:r>
        <w:rPr>
          <w:sz w:val="24"/>
        </w:rPr>
        <w:t>or</w:t>
      </w:r>
      <w:r>
        <w:rPr>
          <w:spacing w:val="-5"/>
          <w:sz w:val="24"/>
        </w:rPr>
        <w:t> </w:t>
      </w:r>
      <w:r>
        <w:rPr>
          <w:sz w:val="24"/>
        </w:rPr>
        <w:t>the</w:t>
      </w:r>
      <w:r>
        <w:rPr>
          <w:spacing w:val="-4"/>
          <w:sz w:val="24"/>
        </w:rPr>
        <w:t> </w:t>
      </w:r>
      <w:r>
        <w:rPr>
          <w:sz w:val="24"/>
        </w:rPr>
        <w:t>business</w:t>
      </w:r>
      <w:r>
        <w:rPr>
          <w:spacing w:val="-4"/>
          <w:sz w:val="24"/>
        </w:rPr>
        <w:t> </w:t>
      </w:r>
      <w:r>
        <w:rPr>
          <w:sz w:val="24"/>
        </w:rPr>
        <w:t>consultant</w:t>
      </w:r>
      <w:r>
        <w:rPr>
          <w:spacing w:val="-3"/>
          <w:sz w:val="24"/>
        </w:rPr>
        <w:t> </w:t>
      </w:r>
      <w:r>
        <w:rPr>
          <w:sz w:val="24"/>
        </w:rPr>
        <w:t>may</w:t>
      </w:r>
      <w:r>
        <w:rPr>
          <w:spacing w:val="-5"/>
          <w:sz w:val="24"/>
        </w:rPr>
        <w:t> </w:t>
      </w:r>
      <w:r>
        <w:rPr>
          <w:sz w:val="24"/>
        </w:rPr>
        <w:t>submit</w:t>
      </w:r>
      <w:r>
        <w:rPr>
          <w:spacing w:val="-3"/>
          <w:sz w:val="24"/>
        </w:rPr>
        <w:t> </w:t>
      </w:r>
      <w:r>
        <w:rPr>
          <w:sz w:val="24"/>
        </w:rPr>
        <w:t>a request to the BEP Operations Coordinator that the licensed manager be taken off probation whenever the licensed manager's performance improves to a satisfactory level. If remedial action does not result in improved performance within the time specified, the BEP Operations Coordinator, will notify the ECM Chair, and may recommend that:</w:t>
      </w:r>
    </w:p>
    <w:p>
      <w:pPr>
        <w:pStyle w:val="ListParagraph"/>
        <w:numPr>
          <w:ilvl w:val="1"/>
          <w:numId w:val="399"/>
        </w:numPr>
        <w:tabs>
          <w:tab w:pos="1216" w:val="left" w:leader="none"/>
        </w:tabs>
        <w:spacing w:line="208" w:lineRule="auto" w:before="239" w:after="0"/>
        <w:ind w:left="791" w:right="1227" w:firstLine="0"/>
        <w:jc w:val="left"/>
        <w:rPr>
          <w:b/>
          <w:sz w:val="24"/>
        </w:rPr>
      </w:pPr>
      <w:r>
        <w:rPr>
          <w:sz w:val="24"/>
        </w:rPr>
        <w:t>the</w:t>
      </w:r>
      <w:r>
        <w:rPr>
          <w:spacing w:val="-4"/>
          <w:sz w:val="24"/>
        </w:rPr>
        <w:t> </w:t>
      </w:r>
      <w:r>
        <w:rPr>
          <w:sz w:val="24"/>
        </w:rPr>
        <w:t>SLA</w:t>
      </w:r>
      <w:r>
        <w:rPr>
          <w:spacing w:val="-4"/>
          <w:sz w:val="24"/>
        </w:rPr>
        <w:t> </w:t>
      </w:r>
      <w:r>
        <w:rPr>
          <w:sz w:val="24"/>
        </w:rPr>
        <w:t>Director</w:t>
      </w:r>
      <w:r>
        <w:rPr>
          <w:spacing w:val="-3"/>
          <w:sz w:val="24"/>
        </w:rPr>
        <w:t> </w:t>
      </w:r>
      <w:r>
        <w:rPr>
          <w:sz w:val="24"/>
        </w:rPr>
        <w:t>transfer</w:t>
      </w:r>
      <w:r>
        <w:rPr>
          <w:spacing w:val="-3"/>
          <w:sz w:val="24"/>
        </w:rPr>
        <w:t> </w:t>
      </w:r>
      <w:r>
        <w:rPr>
          <w:sz w:val="24"/>
        </w:rPr>
        <w:t>the</w:t>
      </w:r>
      <w:r>
        <w:rPr>
          <w:spacing w:val="-5"/>
          <w:sz w:val="24"/>
        </w:rPr>
        <w:t> </w:t>
      </w:r>
      <w:r>
        <w:rPr>
          <w:sz w:val="24"/>
        </w:rPr>
        <w:t>licensed</w:t>
      </w:r>
      <w:r>
        <w:rPr>
          <w:spacing w:val="-4"/>
          <w:sz w:val="24"/>
        </w:rPr>
        <w:t> </w:t>
      </w:r>
      <w:r>
        <w:rPr>
          <w:sz w:val="24"/>
        </w:rPr>
        <w:t>manager</w:t>
      </w:r>
      <w:r>
        <w:rPr>
          <w:spacing w:val="-3"/>
          <w:sz w:val="24"/>
        </w:rPr>
        <w:t> </w:t>
      </w:r>
      <w:r>
        <w:rPr>
          <w:sz w:val="24"/>
        </w:rPr>
        <w:t>to</w:t>
      </w:r>
      <w:r>
        <w:rPr>
          <w:spacing w:val="-4"/>
          <w:sz w:val="24"/>
        </w:rPr>
        <w:t> </w:t>
      </w:r>
      <w:r>
        <w:rPr>
          <w:sz w:val="24"/>
        </w:rPr>
        <w:t>a</w:t>
      </w:r>
      <w:r>
        <w:rPr>
          <w:spacing w:val="-4"/>
          <w:sz w:val="24"/>
        </w:rPr>
        <w:t> </w:t>
      </w:r>
      <w:r>
        <w:rPr>
          <w:sz w:val="24"/>
        </w:rPr>
        <w:t>more</w:t>
      </w:r>
      <w:r>
        <w:rPr>
          <w:spacing w:val="-4"/>
          <w:sz w:val="24"/>
        </w:rPr>
        <w:t> </w:t>
      </w:r>
      <w:r>
        <w:rPr>
          <w:sz w:val="24"/>
        </w:rPr>
        <w:t>suitable</w:t>
      </w:r>
      <w:r>
        <w:rPr>
          <w:spacing w:val="-4"/>
          <w:sz w:val="24"/>
        </w:rPr>
        <w:t> </w:t>
      </w:r>
      <w:r>
        <w:rPr>
          <w:sz w:val="24"/>
        </w:rPr>
        <w:t>business enterprise; </w:t>
      </w:r>
      <w:r>
        <w:rPr>
          <w:b/>
          <w:sz w:val="24"/>
        </w:rPr>
        <w:t>1</w:t>
      </w:r>
    </w:p>
    <w:p>
      <w:pPr>
        <w:pStyle w:val="ListParagraph"/>
        <w:numPr>
          <w:ilvl w:val="1"/>
          <w:numId w:val="399"/>
        </w:numPr>
        <w:tabs>
          <w:tab w:pos="1216" w:val="left" w:leader="none"/>
        </w:tabs>
        <w:spacing w:line="240" w:lineRule="auto" w:before="211" w:after="0"/>
        <w:ind w:left="1216" w:right="0" w:hanging="425"/>
        <w:jc w:val="left"/>
        <w:rPr>
          <w:sz w:val="24"/>
        </w:rPr>
      </w:pPr>
      <w:r>
        <w:rPr>
          <w:sz w:val="24"/>
        </w:rPr>
        <w:t>the</w:t>
      </w:r>
      <w:r>
        <w:rPr>
          <w:spacing w:val="-4"/>
          <w:sz w:val="24"/>
        </w:rPr>
        <w:t> </w:t>
      </w:r>
      <w:r>
        <w:rPr>
          <w:sz w:val="24"/>
        </w:rPr>
        <w:t>probationary</w:t>
      </w:r>
      <w:r>
        <w:rPr>
          <w:spacing w:val="-4"/>
          <w:sz w:val="24"/>
        </w:rPr>
        <w:t> </w:t>
      </w:r>
      <w:r>
        <w:rPr>
          <w:sz w:val="24"/>
        </w:rPr>
        <w:t>period</w:t>
      </w:r>
      <w:r>
        <w:rPr>
          <w:spacing w:val="-4"/>
          <w:sz w:val="24"/>
        </w:rPr>
        <w:t> </w:t>
      </w:r>
      <w:r>
        <w:rPr>
          <w:sz w:val="24"/>
        </w:rPr>
        <w:t>be</w:t>
      </w:r>
      <w:r>
        <w:rPr>
          <w:spacing w:val="-4"/>
          <w:sz w:val="24"/>
        </w:rPr>
        <w:t> </w:t>
      </w:r>
      <w:r>
        <w:rPr>
          <w:sz w:val="24"/>
        </w:rPr>
        <w:t>extended;</w:t>
      </w:r>
      <w:r>
        <w:rPr>
          <w:spacing w:val="-2"/>
          <w:sz w:val="24"/>
        </w:rPr>
        <w:t> and/or</w:t>
      </w:r>
    </w:p>
    <w:p>
      <w:pPr>
        <w:pStyle w:val="ListParagraph"/>
        <w:numPr>
          <w:ilvl w:val="1"/>
          <w:numId w:val="399"/>
        </w:numPr>
        <w:tabs>
          <w:tab w:pos="1216" w:val="left" w:leader="none"/>
        </w:tabs>
        <w:spacing w:line="208" w:lineRule="auto" w:before="233" w:after="0"/>
        <w:ind w:left="791" w:right="1107" w:firstLine="0"/>
        <w:jc w:val="left"/>
        <w:rPr>
          <w:sz w:val="24"/>
        </w:rPr>
      </w:pPr>
      <w:r>
        <w:rPr>
          <w:sz w:val="24"/>
        </w:rPr>
        <w:t>the</w:t>
      </w:r>
      <w:r>
        <w:rPr>
          <w:spacing w:val="-5"/>
          <w:sz w:val="24"/>
        </w:rPr>
        <w:t> </w:t>
      </w:r>
      <w:r>
        <w:rPr>
          <w:sz w:val="24"/>
        </w:rPr>
        <w:t>SLA</w:t>
      </w:r>
      <w:r>
        <w:rPr>
          <w:spacing w:val="-5"/>
          <w:sz w:val="24"/>
        </w:rPr>
        <w:t> </w:t>
      </w:r>
      <w:r>
        <w:rPr>
          <w:sz w:val="24"/>
        </w:rPr>
        <w:t>Director</w:t>
      </w:r>
      <w:r>
        <w:rPr>
          <w:spacing w:val="-4"/>
          <w:sz w:val="24"/>
        </w:rPr>
        <w:t> </w:t>
      </w:r>
      <w:r>
        <w:rPr>
          <w:sz w:val="24"/>
        </w:rPr>
        <w:t>terminate</w:t>
      </w:r>
      <w:r>
        <w:rPr>
          <w:spacing w:val="-5"/>
          <w:sz w:val="24"/>
        </w:rPr>
        <w:t> </w:t>
      </w:r>
      <w:r>
        <w:rPr>
          <w:sz w:val="24"/>
        </w:rPr>
        <w:t>the</w:t>
      </w:r>
      <w:r>
        <w:rPr>
          <w:spacing w:val="-5"/>
          <w:sz w:val="24"/>
        </w:rPr>
        <w:t> </w:t>
      </w:r>
      <w:r>
        <w:rPr>
          <w:sz w:val="24"/>
        </w:rPr>
        <w:t>Managers</w:t>
      </w:r>
      <w:r>
        <w:rPr>
          <w:spacing w:val="-5"/>
          <w:sz w:val="24"/>
        </w:rPr>
        <w:t> </w:t>
      </w:r>
      <w:r>
        <w:rPr>
          <w:sz w:val="24"/>
        </w:rPr>
        <w:t>Agreement</w:t>
      </w:r>
      <w:r>
        <w:rPr>
          <w:spacing w:val="-4"/>
          <w:sz w:val="24"/>
        </w:rPr>
        <w:t> </w:t>
      </w:r>
      <w:r>
        <w:rPr>
          <w:sz w:val="24"/>
        </w:rPr>
        <w:t>and</w:t>
      </w:r>
      <w:r>
        <w:rPr>
          <w:spacing w:val="-5"/>
          <w:sz w:val="24"/>
        </w:rPr>
        <w:t> </w:t>
      </w:r>
      <w:r>
        <w:rPr>
          <w:sz w:val="24"/>
        </w:rPr>
        <w:t>suspend/terminate the licensed manager's BEP license.</w:t>
      </w:r>
    </w:p>
    <w:p>
      <w:pPr>
        <w:pStyle w:val="BodyText"/>
        <w:spacing w:before="211"/>
        <w:ind w:left="359"/>
      </w:pPr>
      <w:r>
        <w:rPr/>
        <w:t>INSTRUCTIONS</w:t>
      </w:r>
      <w:r>
        <w:rPr>
          <w:spacing w:val="-3"/>
        </w:rPr>
        <w:t> </w:t>
      </w:r>
      <w:r>
        <w:rPr/>
        <w:t>TO</w:t>
      </w:r>
      <w:r>
        <w:rPr>
          <w:spacing w:val="-2"/>
        </w:rPr>
        <w:t> </w:t>
      </w:r>
      <w:r>
        <w:rPr>
          <w:spacing w:val="-4"/>
        </w:rPr>
        <w:t>STAFF</w:t>
      </w:r>
    </w:p>
    <w:p>
      <w:pPr>
        <w:pStyle w:val="BodyText"/>
        <w:spacing w:before="204"/>
        <w:ind w:left="791"/>
      </w:pPr>
      <w:r>
        <w:rPr/>
        <w:t>1.</w:t>
      </w:r>
      <w:r>
        <w:rPr>
          <w:spacing w:val="17"/>
        </w:rPr>
        <w:t> </w:t>
      </w:r>
      <w:r>
        <w:rPr/>
        <w:t>Link</w:t>
      </w:r>
      <w:r>
        <w:rPr>
          <w:spacing w:val="-3"/>
        </w:rPr>
        <w:t> </w:t>
      </w:r>
      <w:r>
        <w:rPr/>
        <w:t>to</w:t>
      </w:r>
      <w:r>
        <w:rPr>
          <w:spacing w:val="-3"/>
        </w:rPr>
        <w:t> </w:t>
      </w:r>
      <w:hyperlink w:history="true" w:anchor="_bookmark35">
        <w:r>
          <w:rPr>
            <w:color w:val="0000FF"/>
            <w:u w:val="single" w:color="0000FF"/>
          </w:rPr>
          <w:t>612:25-4-53</w:t>
        </w:r>
      </w:hyperlink>
      <w:r>
        <w:rPr>
          <w:color w:val="0000FF"/>
          <w:spacing w:val="-3"/>
          <w:u w:val="none"/>
        </w:rPr>
        <w:t> </w:t>
      </w:r>
      <w:r>
        <w:rPr>
          <w:u w:val="none"/>
        </w:rPr>
        <w:t>Assignment</w:t>
      </w:r>
      <w:r>
        <w:rPr>
          <w:spacing w:val="-2"/>
          <w:u w:val="none"/>
        </w:rPr>
        <w:t> </w:t>
      </w:r>
      <w:r>
        <w:rPr>
          <w:u w:val="none"/>
        </w:rPr>
        <w:t>and</w:t>
      </w:r>
      <w:r>
        <w:rPr>
          <w:spacing w:val="-3"/>
          <w:u w:val="none"/>
        </w:rPr>
        <w:t> </w:t>
      </w:r>
      <w:r>
        <w:rPr>
          <w:u w:val="none"/>
        </w:rPr>
        <w:t>transfer</w:t>
      </w:r>
      <w:r>
        <w:rPr>
          <w:spacing w:val="-2"/>
          <w:u w:val="none"/>
        </w:rPr>
        <w:t> policy.</w:t>
      </w:r>
    </w:p>
    <w:p>
      <w:pPr>
        <w:pStyle w:val="BodyText"/>
        <w:spacing w:after="0"/>
        <w:sectPr>
          <w:pgSz w:w="12240" w:h="15840"/>
          <w:pgMar w:top="1340" w:bottom="280" w:left="1080" w:right="720"/>
        </w:sectPr>
      </w:pPr>
    </w:p>
    <w:p>
      <w:pPr>
        <w:spacing w:before="80"/>
        <w:ind w:left="360" w:right="0" w:firstLine="0"/>
        <w:jc w:val="left"/>
        <w:rPr>
          <w:sz w:val="22"/>
        </w:rPr>
      </w:pPr>
      <w:r>
        <w:rPr>
          <w:sz w:val="22"/>
        </w:rPr>
        <w:t>Section</w:t>
      </w:r>
      <w:r>
        <w:rPr>
          <w:spacing w:val="-9"/>
          <w:sz w:val="22"/>
        </w:rPr>
        <w:t> </w:t>
      </w:r>
      <w:r>
        <w:rPr>
          <w:spacing w:val="-2"/>
          <w:sz w:val="22"/>
        </w:rPr>
        <w:t>History</w:t>
      </w:r>
    </w:p>
    <w:p>
      <w:pPr>
        <w:pStyle w:val="ListParagraph"/>
        <w:numPr>
          <w:ilvl w:val="2"/>
          <w:numId w:val="230"/>
        </w:numPr>
        <w:tabs>
          <w:tab w:pos="1439" w:val="left" w:leader="none"/>
        </w:tabs>
        <w:spacing w:line="253" w:lineRule="exact" w:before="0" w:after="0"/>
        <w:ind w:left="1439" w:right="0" w:hanging="1079"/>
        <w:jc w:val="left"/>
        <w:rPr>
          <w:sz w:val="22"/>
        </w:rPr>
      </w:pPr>
      <w:r>
        <w:rPr>
          <w:sz w:val="22"/>
        </w:rPr>
        <w:t>Permanent,</w:t>
      </w:r>
      <w:r>
        <w:rPr>
          <w:spacing w:val="-10"/>
          <w:sz w:val="22"/>
        </w:rPr>
        <w:t> </w:t>
      </w:r>
      <w:r>
        <w:rPr>
          <w:sz w:val="22"/>
        </w:rPr>
        <w:t>NEW,</w:t>
      </w:r>
      <w:r>
        <w:rPr>
          <w:spacing w:val="-10"/>
          <w:sz w:val="22"/>
        </w:rPr>
        <w:t> </w:t>
      </w:r>
      <w:r>
        <w:rPr>
          <w:sz w:val="22"/>
        </w:rPr>
        <w:t>moved</w:t>
      </w:r>
      <w:r>
        <w:rPr>
          <w:spacing w:val="-11"/>
          <w:sz w:val="22"/>
        </w:rPr>
        <w:t> </w:t>
      </w:r>
      <w:r>
        <w:rPr>
          <w:sz w:val="22"/>
        </w:rPr>
        <w:t>from</w:t>
      </w:r>
      <w:r>
        <w:rPr>
          <w:spacing w:val="-11"/>
          <w:sz w:val="22"/>
        </w:rPr>
        <w:t> </w:t>
      </w:r>
      <w:r>
        <w:rPr>
          <w:sz w:val="22"/>
        </w:rPr>
        <w:t>612:25-4-</w:t>
      </w:r>
      <w:r>
        <w:rPr>
          <w:spacing w:val="-5"/>
          <w:sz w:val="22"/>
        </w:rPr>
        <w:t>74</w:t>
      </w:r>
    </w:p>
    <w:p>
      <w:pPr>
        <w:tabs>
          <w:tab w:pos="1439" w:val="left" w:leader="none"/>
        </w:tabs>
        <w:spacing w:line="253" w:lineRule="exact" w:before="0"/>
        <w:ind w:left="360" w:right="0" w:firstLine="0"/>
        <w:jc w:val="left"/>
        <w:rPr>
          <w:sz w:val="22"/>
        </w:rPr>
      </w:pPr>
      <w:r>
        <w:rPr>
          <w:spacing w:val="-2"/>
          <w:sz w:val="22"/>
        </w:rPr>
        <w:t>9-12-</w:t>
      </w:r>
      <w:r>
        <w:rPr>
          <w:spacing w:val="-5"/>
          <w:sz w:val="22"/>
        </w:rPr>
        <w:t>14</w:t>
      </w:r>
      <w:r>
        <w:rPr>
          <w:sz w:val="22"/>
        </w:rPr>
        <w:tab/>
        <w:t>Updated</w:t>
      </w:r>
      <w:r>
        <w:rPr>
          <w:spacing w:val="-10"/>
          <w:sz w:val="22"/>
        </w:rPr>
        <w:t> </w:t>
      </w:r>
      <w:r>
        <w:rPr>
          <w:spacing w:val="-2"/>
          <w:sz w:val="22"/>
        </w:rPr>
        <w:t>language</w:t>
      </w:r>
    </w:p>
    <w:p>
      <w:pPr>
        <w:spacing w:before="0"/>
        <w:ind w:left="1439" w:right="0" w:firstLine="0"/>
        <w:jc w:val="left"/>
        <w:rPr>
          <w:sz w:val="22"/>
        </w:rPr>
      </w:pPr>
      <w:r>
        <w:rPr>
          <w:sz w:val="22"/>
        </w:rPr>
        <w:t>Added</w:t>
      </w:r>
      <w:r>
        <w:rPr>
          <w:spacing w:val="-7"/>
          <w:sz w:val="22"/>
        </w:rPr>
        <w:t> </w:t>
      </w:r>
      <w:r>
        <w:rPr>
          <w:sz w:val="22"/>
        </w:rPr>
        <w:t>Instructions</w:t>
      </w:r>
      <w:r>
        <w:rPr>
          <w:spacing w:val="-7"/>
          <w:sz w:val="22"/>
        </w:rPr>
        <w:t> </w:t>
      </w:r>
      <w:r>
        <w:rPr>
          <w:sz w:val="22"/>
        </w:rPr>
        <w:t>to</w:t>
      </w:r>
      <w:r>
        <w:rPr>
          <w:spacing w:val="-7"/>
          <w:sz w:val="22"/>
        </w:rPr>
        <w:t> </w:t>
      </w:r>
      <w:r>
        <w:rPr>
          <w:spacing w:val="-4"/>
          <w:sz w:val="22"/>
        </w:rPr>
        <w:t>Staff</w:t>
      </w:r>
    </w:p>
    <w:p>
      <w:pPr>
        <w:tabs>
          <w:tab w:pos="1439" w:val="left" w:leader="none"/>
        </w:tabs>
        <w:spacing w:before="0"/>
        <w:ind w:left="360" w:right="0" w:firstLine="0"/>
        <w:jc w:val="left"/>
        <w:rPr>
          <w:sz w:val="22"/>
        </w:rPr>
      </w:pPr>
      <w:r>
        <w:rPr>
          <w:spacing w:val="-2"/>
          <w:sz w:val="22"/>
        </w:rPr>
        <w:t>8-27-</w:t>
      </w:r>
      <w:r>
        <w:rPr>
          <w:spacing w:val="-5"/>
          <w:sz w:val="22"/>
        </w:rPr>
        <w:t>15</w:t>
      </w:r>
      <w:r>
        <w:rPr>
          <w:sz w:val="22"/>
        </w:rPr>
        <w:tab/>
        <w:t>Updated</w:t>
      </w:r>
      <w:r>
        <w:rPr>
          <w:spacing w:val="-7"/>
          <w:sz w:val="22"/>
        </w:rPr>
        <w:t> </w:t>
      </w:r>
      <w:r>
        <w:rPr>
          <w:sz w:val="22"/>
        </w:rPr>
        <w:t>language</w:t>
      </w:r>
      <w:r>
        <w:rPr>
          <w:spacing w:val="-7"/>
          <w:sz w:val="22"/>
        </w:rPr>
        <w:t> </w:t>
      </w:r>
      <w:r>
        <w:rPr>
          <w:sz w:val="22"/>
        </w:rPr>
        <w:t>in</w:t>
      </w:r>
      <w:r>
        <w:rPr>
          <w:spacing w:val="-6"/>
          <w:sz w:val="22"/>
        </w:rPr>
        <w:t> </w:t>
      </w:r>
      <w:r>
        <w:rPr>
          <w:sz w:val="22"/>
        </w:rPr>
        <w:t>policy</w:t>
      </w:r>
      <w:r>
        <w:rPr>
          <w:spacing w:val="-7"/>
          <w:sz w:val="22"/>
        </w:rPr>
        <w:t> </w:t>
      </w:r>
      <w:r>
        <w:rPr>
          <w:sz w:val="22"/>
        </w:rPr>
        <w:t>and</w:t>
      </w:r>
      <w:r>
        <w:rPr>
          <w:spacing w:val="-7"/>
          <w:sz w:val="22"/>
        </w:rPr>
        <w:t> </w:t>
      </w:r>
      <w:r>
        <w:rPr>
          <w:sz w:val="22"/>
        </w:rPr>
        <w:t>Instructions</w:t>
      </w:r>
      <w:r>
        <w:rPr>
          <w:spacing w:val="-6"/>
          <w:sz w:val="22"/>
        </w:rPr>
        <w:t> </w:t>
      </w:r>
      <w:r>
        <w:rPr>
          <w:sz w:val="22"/>
        </w:rPr>
        <w:t>to</w:t>
      </w:r>
      <w:r>
        <w:rPr>
          <w:spacing w:val="-7"/>
          <w:sz w:val="22"/>
        </w:rPr>
        <w:t> </w:t>
      </w:r>
      <w:r>
        <w:rPr>
          <w:spacing w:val="-2"/>
          <w:sz w:val="22"/>
        </w:rPr>
        <w:t>Staff.</w:t>
      </w:r>
    </w:p>
    <w:p>
      <w:pPr>
        <w:tabs>
          <w:tab w:pos="1439" w:val="left" w:leader="none"/>
        </w:tabs>
        <w:spacing w:before="1"/>
        <w:ind w:left="360" w:right="0" w:firstLine="0"/>
        <w:jc w:val="left"/>
        <w:rPr>
          <w:sz w:val="22"/>
        </w:rPr>
      </w:pPr>
      <w:r>
        <w:rPr>
          <w:spacing w:val="-2"/>
          <w:sz w:val="22"/>
        </w:rPr>
        <w:t>9-11-</w:t>
      </w:r>
      <w:r>
        <w:rPr>
          <w:spacing w:val="-5"/>
          <w:sz w:val="22"/>
        </w:rPr>
        <w:t>22</w:t>
      </w:r>
      <w:r>
        <w:rPr>
          <w:sz w:val="22"/>
        </w:rPr>
        <w:tab/>
        <w:t>Added</w:t>
      </w:r>
      <w:r>
        <w:rPr>
          <w:spacing w:val="-7"/>
          <w:sz w:val="22"/>
        </w:rPr>
        <w:t> </w:t>
      </w:r>
      <w:r>
        <w:rPr>
          <w:sz w:val="22"/>
        </w:rPr>
        <w:t>language</w:t>
      </w:r>
      <w:r>
        <w:rPr>
          <w:spacing w:val="-7"/>
          <w:sz w:val="22"/>
        </w:rPr>
        <w:t> </w:t>
      </w:r>
      <w:r>
        <w:rPr>
          <w:sz w:val="22"/>
        </w:rPr>
        <w:t>for</w:t>
      </w:r>
      <w:r>
        <w:rPr>
          <w:spacing w:val="-6"/>
          <w:sz w:val="22"/>
        </w:rPr>
        <w:t> </w:t>
      </w:r>
      <w:r>
        <w:rPr>
          <w:sz w:val="22"/>
        </w:rPr>
        <w:t>information</w:t>
      </w:r>
      <w:r>
        <w:rPr>
          <w:spacing w:val="-7"/>
          <w:sz w:val="22"/>
        </w:rPr>
        <w:t> </w:t>
      </w:r>
      <w:r>
        <w:rPr>
          <w:sz w:val="22"/>
        </w:rPr>
        <w:t>to</w:t>
      </w:r>
      <w:r>
        <w:rPr>
          <w:spacing w:val="-7"/>
          <w:sz w:val="22"/>
        </w:rPr>
        <w:t> </w:t>
      </w:r>
      <w:r>
        <w:rPr>
          <w:sz w:val="22"/>
        </w:rPr>
        <w:t>be</w:t>
      </w:r>
      <w:r>
        <w:rPr>
          <w:spacing w:val="-6"/>
          <w:sz w:val="22"/>
        </w:rPr>
        <w:t> </w:t>
      </w:r>
      <w:r>
        <w:rPr>
          <w:sz w:val="22"/>
        </w:rPr>
        <w:t>provided</w:t>
      </w:r>
      <w:r>
        <w:rPr>
          <w:spacing w:val="-7"/>
          <w:sz w:val="22"/>
        </w:rPr>
        <w:t> </w:t>
      </w:r>
      <w:r>
        <w:rPr>
          <w:sz w:val="22"/>
        </w:rPr>
        <w:t>in</w:t>
      </w:r>
      <w:r>
        <w:rPr>
          <w:spacing w:val="-6"/>
          <w:sz w:val="22"/>
        </w:rPr>
        <w:t> </w:t>
      </w:r>
      <w:r>
        <w:rPr>
          <w:sz w:val="22"/>
        </w:rPr>
        <w:t>persons</w:t>
      </w:r>
      <w:r>
        <w:rPr>
          <w:spacing w:val="-7"/>
          <w:sz w:val="22"/>
        </w:rPr>
        <w:t> </w:t>
      </w:r>
      <w:r>
        <w:rPr>
          <w:sz w:val="22"/>
        </w:rPr>
        <w:t>preferred</w:t>
      </w:r>
      <w:r>
        <w:rPr>
          <w:spacing w:val="-7"/>
          <w:sz w:val="22"/>
        </w:rPr>
        <w:t> </w:t>
      </w:r>
      <w:r>
        <w:rPr>
          <w:spacing w:val="-2"/>
          <w:sz w:val="22"/>
        </w:rPr>
        <w:t>format.</w:t>
      </w:r>
    </w:p>
    <w:p>
      <w:pPr>
        <w:spacing w:after="0"/>
        <w:jc w:val="left"/>
        <w:rPr>
          <w:sz w:val="22"/>
        </w:rPr>
        <w:sectPr>
          <w:pgSz w:w="12240" w:h="15840"/>
          <w:pgMar w:top="1360" w:bottom="280" w:left="1080" w:right="720"/>
        </w:sectPr>
      </w:pPr>
    </w:p>
    <w:p>
      <w:pPr>
        <w:pStyle w:val="Heading2"/>
      </w:pPr>
      <w:bookmarkStart w:name="612:25-6-3.  Grounds for suspension or t" w:id="424"/>
      <w:bookmarkEnd w:id="424"/>
      <w:r>
        <w:rPr>
          <w:b w:val="0"/>
        </w:rPr>
      </w:r>
      <w:bookmarkStart w:name="_bookmark36" w:id="425"/>
      <w:bookmarkEnd w:id="425"/>
      <w:r>
        <w:rPr>
          <w:b w:val="0"/>
        </w:rPr>
      </w:r>
      <w:r>
        <w:rPr/>
        <w:t>612:25-6-3.</w:t>
      </w:r>
      <w:r>
        <w:rPr>
          <w:spacing w:val="60"/>
        </w:rPr>
        <w:t> </w:t>
      </w:r>
      <w:r>
        <w:rPr/>
        <w:t>Grounds</w:t>
      </w:r>
      <w:r>
        <w:rPr>
          <w:spacing w:val="-3"/>
        </w:rPr>
        <w:t> </w:t>
      </w:r>
      <w:r>
        <w:rPr/>
        <w:t>for</w:t>
      </w:r>
      <w:r>
        <w:rPr>
          <w:spacing w:val="-3"/>
        </w:rPr>
        <w:t> </w:t>
      </w:r>
      <w:r>
        <w:rPr/>
        <w:t>suspension</w:t>
      </w:r>
      <w:r>
        <w:rPr>
          <w:spacing w:val="-3"/>
        </w:rPr>
        <w:t> </w:t>
      </w:r>
      <w:r>
        <w:rPr/>
        <w:t>or</w:t>
      </w:r>
      <w:r>
        <w:rPr>
          <w:spacing w:val="-3"/>
        </w:rPr>
        <w:t> </w:t>
      </w:r>
      <w:r>
        <w:rPr/>
        <w:t>termination</w:t>
      </w:r>
      <w:r>
        <w:rPr>
          <w:spacing w:val="-4"/>
        </w:rPr>
        <w:t> </w:t>
      </w:r>
      <w:r>
        <w:rPr/>
        <w:t>of</w:t>
      </w:r>
      <w:r>
        <w:rPr>
          <w:spacing w:val="-2"/>
        </w:rPr>
        <w:t> </w:t>
      </w:r>
      <w:r>
        <w:rPr/>
        <w:t>a</w:t>
      </w:r>
      <w:r>
        <w:rPr>
          <w:spacing w:val="-3"/>
        </w:rPr>
        <w:t> </w:t>
      </w:r>
      <w:r>
        <w:rPr>
          <w:spacing w:val="-2"/>
        </w:rPr>
        <w:t>license</w:t>
      </w:r>
    </w:p>
    <w:p>
      <w:pPr>
        <w:pStyle w:val="ListParagraph"/>
        <w:numPr>
          <w:ilvl w:val="0"/>
          <w:numId w:val="400"/>
        </w:numPr>
        <w:tabs>
          <w:tab w:pos="786" w:val="left" w:leader="none"/>
        </w:tabs>
        <w:spacing w:line="208" w:lineRule="auto" w:before="233" w:after="0"/>
        <w:ind w:left="360" w:right="1340" w:firstLine="0"/>
        <w:jc w:val="left"/>
        <w:rPr>
          <w:sz w:val="24"/>
        </w:rPr>
      </w:pPr>
      <w:r>
        <w:rPr>
          <w:sz w:val="24"/>
        </w:rPr>
        <w:t>A</w:t>
      </w:r>
      <w:r>
        <w:rPr>
          <w:spacing w:val="-3"/>
          <w:sz w:val="24"/>
        </w:rPr>
        <w:t> </w:t>
      </w:r>
      <w:r>
        <w:rPr>
          <w:sz w:val="24"/>
        </w:rPr>
        <w:t>BEP</w:t>
      </w:r>
      <w:r>
        <w:rPr>
          <w:spacing w:val="-5"/>
          <w:sz w:val="24"/>
        </w:rPr>
        <w:t> </w:t>
      </w:r>
      <w:r>
        <w:rPr>
          <w:sz w:val="24"/>
        </w:rPr>
        <w:t>license</w:t>
      </w:r>
      <w:r>
        <w:rPr>
          <w:spacing w:val="-3"/>
          <w:sz w:val="24"/>
        </w:rPr>
        <w:t> </w:t>
      </w:r>
      <w:r>
        <w:rPr>
          <w:sz w:val="24"/>
        </w:rPr>
        <w:t>may</w:t>
      </w:r>
      <w:r>
        <w:rPr>
          <w:spacing w:val="-3"/>
          <w:sz w:val="24"/>
        </w:rPr>
        <w:t> </w:t>
      </w:r>
      <w:r>
        <w:rPr>
          <w:sz w:val="24"/>
        </w:rPr>
        <w:t>be</w:t>
      </w:r>
      <w:r>
        <w:rPr>
          <w:spacing w:val="-3"/>
          <w:sz w:val="24"/>
        </w:rPr>
        <w:t> </w:t>
      </w:r>
      <w:r>
        <w:rPr>
          <w:sz w:val="24"/>
        </w:rPr>
        <w:t>suspended</w:t>
      </w:r>
      <w:r>
        <w:rPr>
          <w:spacing w:val="-3"/>
          <w:sz w:val="24"/>
        </w:rPr>
        <w:t> </w:t>
      </w:r>
      <w:r>
        <w:rPr>
          <w:sz w:val="24"/>
        </w:rPr>
        <w:t>or</w:t>
      </w:r>
      <w:r>
        <w:rPr>
          <w:spacing w:val="-2"/>
          <w:sz w:val="24"/>
        </w:rPr>
        <w:t> </w:t>
      </w:r>
      <w:r>
        <w:rPr>
          <w:sz w:val="24"/>
        </w:rPr>
        <w:t>terminated</w:t>
      </w:r>
      <w:r>
        <w:rPr>
          <w:spacing w:val="-3"/>
          <w:sz w:val="24"/>
        </w:rPr>
        <w:t> </w:t>
      </w:r>
      <w:r>
        <w:rPr>
          <w:sz w:val="24"/>
        </w:rPr>
        <w:t>for</w:t>
      </w:r>
      <w:r>
        <w:rPr>
          <w:spacing w:val="-4"/>
          <w:sz w:val="24"/>
        </w:rPr>
        <w:t> </w:t>
      </w:r>
      <w:r>
        <w:rPr>
          <w:sz w:val="24"/>
        </w:rPr>
        <w:t>the</w:t>
      </w:r>
      <w:r>
        <w:rPr>
          <w:spacing w:val="-3"/>
          <w:sz w:val="24"/>
        </w:rPr>
        <w:t> </w:t>
      </w:r>
      <w:r>
        <w:rPr>
          <w:sz w:val="24"/>
        </w:rPr>
        <w:t>reasons</w:t>
      </w:r>
      <w:r>
        <w:rPr>
          <w:spacing w:val="-3"/>
          <w:sz w:val="24"/>
        </w:rPr>
        <w:t> </w:t>
      </w:r>
      <w:r>
        <w:rPr>
          <w:sz w:val="24"/>
        </w:rPr>
        <w:t>set</w:t>
      </w:r>
      <w:r>
        <w:rPr>
          <w:spacing w:val="-4"/>
          <w:sz w:val="24"/>
        </w:rPr>
        <w:t> </w:t>
      </w:r>
      <w:r>
        <w:rPr>
          <w:sz w:val="24"/>
        </w:rPr>
        <w:t>forth</w:t>
      </w:r>
      <w:r>
        <w:rPr>
          <w:spacing w:val="-3"/>
          <w:sz w:val="24"/>
        </w:rPr>
        <w:t> </w:t>
      </w:r>
      <w:r>
        <w:rPr>
          <w:sz w:val="24"/>
        </w:rPr>
        <w:t>in</w:t>
      </w:r>
      <w:r>
        <w:rPr>
          <w:spacing w:val="-3"/>
          <w:sz w:val="24"/>
        </w:rPr>
        <w:t> </w:t>
      </w:r>
      <w:r>
        <w:rPr>
          <w:sz w:val="24"/>
        </w:rPr>
        <w:t>(1) through (15) of this Subsection.</w:t>
      </w:r>
    </w:p>
    <w:p>
      <w:pPr>
        <w:pStyle w:val="ListParagraph"/>
        <w:numPr>
          <w:ilvl w:val="1"/>
          <w:numId w:val="400"/>
        </w:numPr>
        <w:tabs>
          <w:tab w:pos="1217" w:val="left" w:leader="none"/>
        </w:tabs>
        <w:spacing w:line="208" w:lineRule="auto" w:before="240" w:after="0"/>
        <w:ind w:left="791" w:right="842" w:firstLine="0"/>
        <w:jc w:val="left"/>
        <w:rPr>
          <w:sz w:val="24"/>
        </w:rPr>
      </w:pPr>
      <w:r>
        <w:rPr>
          <w:sz w:val="24"/>
        </w:rPr>
        <w:t>Failure to open the assigned business enterprise as stated in the permit/contract</w:t>
      </w:r>
      <w:r>
        <w:rPr>
          <w:spacing w:val="-3"/>
          <w:sz w:val="24"/>
        </w:rPr>
        <w:t> </w:t>
      </w:r>
      <w:r>
        <w:rPr>
          <w:sz w:val="24"/>
        </w:rPr>
        <w:t>with</w:t>
      </w:r>
      <w:r>
        <w:rPr>
          <w:spacing w:val="-4"/>
          <w:sz w:val="24"/>
        </w:rPr>
        <w:t> </w:t>
      </w:r>
      <w:r>
        <w:rPr>
          <w:sz w:val="24"/>
        </w:rPr>
        <w:t>the</w:t>
      </w:r>
      <w:r>
        <w:rPr>
          <w:spacing w:val="-4"/>
          <w:sz w:val="24"/>
        </w:rPr>
        <w:t> </w:t>
      </w:r>
      <w:r>
        <w:rPr>
          <w:sz w:val="24"/>
        </w:rPr>
        <w:t>grantor</w:t>
      </w:r>
      <w:r>
        <w:rPr>
          <w:spacing w:val="-3"/>
          <w:sz w:val="24"/>
        </w:rPr>
        <w:t> </w:t>
      </w:r>
      <w:r>
        <w:rPr>
          <w:sz w:val="24"/>
        </w:rPr>
        <w:t>agency,</w:t>
      </w:r>
      <w:r>
        <w:rPr>
          <w:spacing w:val="-3"/>
          <w:sz w:val="24"/>
        </w:rPr>
        <w:t> </w:t>
      </w:r>
      <w:r>
        <w:rPr>
          <w:sz w:val="24"/>
        </w:rPr>
        <w:t>without</w:t>
      </w:r>
      <w:r>
        <w:rPr>
          <w:spacing w:val="-3"/>
          <w:sz w:val="24"/>
        </w:rPr>
        <w:t> </w:t>
      </w:r>
      <w:r>
        <w:rPr>
          <w:sz w:val="24"/>
        </w:rPr>
        <w:t>prior</w:t>
      </w:r>
      <w:r>
        <w:rPr>
          <w:spacing w:val="-3"/>
          <w:sz w:val="24"/>
        </w:rPr>
        <w:t> </w:t>
      </w:r>
      <w:r>
        <w:rPr>
          <w:sz w:val="24"/>
        </w:rPr>
        <w:t>proper</w:t>
      </w:r>
      <w:r>
        <w:rPr>
          <w:spacing w:val="-3"/>
          <w:sz w:val="24"/>
        </w:rPr>
        <w:t> </w:t>
      </w:r>
      <w:r>
        <w:rPr>
          <w:sz w:val="24"/>
        </w:rPr>
        <w:t>approval</w:t>
      </w:r>
      <w:r>
        <w:rPr>
          <w:spacing w:val="-4"/>
          <w:sz w:val="24"/>
        </w:rPr>
        <w:t> </w:t>
      </w:r>
      <w:r>
        <w:rPr>
          <w:sz w:val="24"/>
        </w:rPr>
        <w:t>from</w:t>
      </w:r>
      <w:r>
        <w:rPr>
          <w:spacing w:val="-5"/>
          <w:sz w:val="24"/>
        </w:rPr>
        <w:t> </w:t>
      </w:r>
      <w:r>
        <w:rPr>
          <w:sz w:val="24"/>
        </w:rPr>
        <w:t>the</w:t>
      </w:r>
      <w:r>
        <w:rPr>
          <w:spacing w:val="-4"/>
          <w:sz w:val="24"/>
        </w:rPr>
        <w:t> </w:t>
      </w:r>
      <w:r>
        <w:rPr>
          <w:sz w:val="24"/>
        </w:rPr>
        <w:t>SLA (abandonment of business enterprise).</w:t>
      </w:r>
    </w:p>
    <w:p>
      <w:pPr>
        <w:pStyle w:val="ListParagraph"/>
        <w:numPr>
          <w:ilvl w:val="1"/>
          <w:numId w:val="400"/>
        </w:numPr>
        <w:tabs>
          <w:tab w:pos="1217" w:val="left" w:leader="none"/>
        </w:tabs>
        <w:spacing w:line="208" w:lineRule="auto" w:before="239" w:after="0"/>
        <w:ind w:left="791" w:right="920" w:firstLine="0"/>
        <w:jc w:val="left"/>
        <w:rPr>
          <w:sz w:val="24"/>
        </w:rPr>
      </w:pPr>
      <w:r>
        <w:rPr>
          <w:sz w:val="24"/>
        </w:rPr>
        <w:t>Defrauding</w:t>
      </w:r>
      <w:r>
        <w:rPr>
          <w:spacing w:val="-4"/>
          <w:sz w:val="24"/>
        </w:rPr>
        <w:t> </w:t>
      </w:r>
      <w:r>
        <w:rPr>
          <w:sz w:val="24"/>
        </w:rPr>
        <w:t>any</w:t>
      </w:r>
      <w:r>
        <w:rPr>
          <w:spacing w:val="-4"/>
          <w:sz w:val="24"/>
        </w:rPr>
        <w:t> </w:t>
      </w:r>
      <w:r>
        <w:rPr>
          <w:sz w:val="24"/>
        </w:rPr>
        <w:t>agency</w:t>
      </w:r>
      <w:r>
        <w:rPr>
          <w:spacing w:val="-4"/>
          <w:sz w:val="24"/>
        </w:rPr>
        <w:t> </w:t>
      </w:r>
      <w:r>
        <w:rPr>
          <w:sz w:val="24"/>
        </w:rPr>
        <w:t>of</w:t>
      </w:r>
      <w:r>
        <w:rPr>
          <w:spacing w:val="-3"/>
          <w:sz w:val="24"/>
        </w:rPr>
        <w:t> </w:t>
      </w:r>
      <w:r>
        <w:rPr>
          <w:sz w:val="24"/>
        </w:rPr>
        <w:t>the</w:t>
      </w:r>
      <w:r>
        <w:rPr>
          <w:spacing w:val="-4"/>
          <w:sz w:val="24"/>
        </w:rPr>
        <w:t> </w:t>
      </w:r>
      <w:r>
        <w:rPr>
          <w:sz w:val="24"/>
        </w:rPr>
        <w:t>government</w:t>
      </w:r>
      <w:r>
        <w:rPr>
          <w:spacing w:val="-3"/>
          <w:sz w:val="24"/>
        </w:rPr>
        <w:t> </w:t>
      </w:r>
      <w:r>
        <w:rPr>
          <w:sz w:val="24"/>
        </w:rPr>
        <w:t>(including</w:t>
      </w:r>
      <w:r>
        <w:rPr>
          <w:spacing w:val="-4"/>
          <w:sz w:val="24"/>
        </w:rPr>
        <w:t> </w:t>
      </w:r>
      <w:r>
        <w:rPr>
          <w:sz w:val="24"/>
        </w:rPr>
        <w:t>the</w:t>
      </w:r>
      <w:r>
        <w:rPr>
          <w:spacing w:val="-4"/>
          <w:sz w:val="24"/>
        </w:rPr>
        <w:t> </w:t>
      </w:r>
      <w:r>
        <w:rPr>
          <w:sz w:val="24"/>
        </w:rPr>
        <w:t>SLA)</w:t>
      </w:r>
      <w:r>
        <w:rPr>
          <w:spacing w:val="-3"/>
          <w:sz w:val="24"/>
        </w:rPr>
        <w:t> </w:t>
      </w:r>
      <w:r>
        <w:rPr>
          <w:sz w:val="24"/>
        </w:rPr>
        <w:t>or</w:t>
      </w:r>
      <w:r>
        <w:rPr>
          <w:spacing w:val="-3"/>
          <w:sz w:val="24"/>
        </w:rPr>
        <w:t> </w:t>
      </w:r>
      <w:r>
        <w:rPr>
          <w:sz w:val="24"/>
        </w:rPr>
        <w:t>any</w:t>
      </w:r>
      <w:r>
        <w:rPr>
          <w:spacing w:val="-4"/>
          <w:sz w:val="24"/>
        </w:rPr>
        <w:t> </w:t>
      </w:r>
      <w:r>
        <w:rPr>
          <w:sz w:val="24"/>
        </w:rPr>
        <w:t>purveyor or failure to pay monies due including taxes, fees, or assessments to any governmental entity or purveyor.</w:t>
      </w:r>
    </w:p>
    <w:p>
      <w:pPr>
        <w:pStyle w:val="ListParagraph"/>
        <w:numPr>
          <w:ilvl w:val="1"/>
          <w:numId w:val="400"/>
        </w:numPr>
        <w:tabs>
          <w:tab w:pos="1217" w:val="left" w:leader="none"/>
        </w:tabs>
        <w:spacing w:line="208" w:lineRule="auto" w:before="240" w:after="0"/>
        <w:ind w:left="791" w:right="1456" w:firstLine="0"/>
        <w:jc w:val="left"/>
        <w:rPr>
          <w:sz w:val="24"/>
        </w:rPr>
      </w:pPr>
      <w:r>
        <w:rPr>
          <w:sz w:val="24"/>
        </w:rPr>
        <w:t>Failure to file required monthly reports with the SLA or failure to comply/cooperate</w:t>
      </w:r>
      <w:r>
        <w:rPr>
          <w:spacing w:val="-4"/>
          <w:sz w:val="24"/>
        </w:rPr>
        <w:t> </w:t>
      </w:r>
      <w:r>
        <w:rPr>
          <w:sz w:val="24"/>
        </w:rPr>
        <w:t>with</w:t>
      </w:r>
      <w:r>
        <w:rPr>
          <w:spacing w:val="-4"/>
          <w:sz w:val="24"/>
        </w:rPr>
        <w:t> </w:t>
      </w:r>
      <w:r>
        <w:rPr>
          <w:sz w:val="24"/>
        </w:rPr>
        <w:t>audits</w:t>
      </w:r>
      <w:r>
        <w:rPr>
          <w:spacing w:val="-4"/>
          <w:sz w:val="24"/>
        </w:rPr>
        <w:t> </w:t>
      </w:r>
      <w:r>
        <w:rPr>
          <w:sz w:val="24"/>
        </w:rPr>
        <w:t>conducted</w:t>
      </w:r>
      <w:r>
        <w:rPr>
          <w:spacing w:val="-4"/>
          <w:sz w:val="24"/>
        </w:rPr>
        <w:t> </w:t>
      </w:r>
      <w:r>
        <w:rPr>
          <w:sz w:val="24"/>
        </w:rPr>
        <w:t>by</w:t>
      </w:r>
      <w:r>
        <w:rPr>
          <w:spacing w:val="-4"/>
          <w:sz w:val="24"/>
        </w:rPr>
        <w:t> </w:t>
      </w:r>
      <w:r>
        <w:rPr>
          <w:sz w:val="24"/>
        </w:rPr>
        <w:t>the</w:t>
      </w:r>
      <w:r>
        <w:rPr>
          <w:spacing w:val="-4"/>
          <w:sz w:val="24"/>
        </w:rPr>
        <w:t> </w:t>
      </w:r>
      <w:r>
        <w:rPr>
          <w:sz w:val="24"/>
        </w:rPr>
        <w:t>SLA</w:t>
      </w:r>
      <w:r>
        <w:rPr>
          <w:spacing w:val="-4"/>
          <w:sz w:val="24"/>
        </w:rPr>
        <w:t> </w:t>
      </w:r>
      <w:r>
        <w:rPr>
          <w:sz w:val="24"/>
        </w:rPr>
        <w:t>or</w:t>
      </w:r>
      <w:r>
        <w:rPr>
          <w:spacing w:val="-3"/>
          <w:sz w:val="24"/>
        </w:rPr>
        <w:t> </w:t>
      </w:r>
      <w:r>
        <w:rPr>
          <w:sz w:val="24"/>
        </w:rPr>
        <w:t>other</w:t>
      </w:r>
      <w:r>
        <w:rPr>
          <w:spacing w:val="-3"/>
          <w:sz w:val="24"/>
        </w:rPr>
        <w:t> </w:t>
      </w:r>
      <w:r>
        <w:rPr>
          <w:sz w:val="24"/>
        </w:rPr>
        <w:t>State</w:t>
      </w:r>
      <w:r>
        <w:rPr>
          <w:spacing w:val="-5"/>
          <w:sz w:val="24"/>
        </w:rPr>
        <w:t> </w:t>
      </w:r>
      <w:r>
        <w:rPr>
          <w:sz w:val="24"/>
        </w:rPr>
        <w:t>or</w:t>
      </w:r>
      <w:r>
        <w:rPr>
          <w:spacing w:val="-3"/>
          <w:sz w:val="24"/>
        </w:rPr>
        <w:t> </w:t>
      </w:r>
      <w:r>
        <w:rPr>
          <w:sz w:val="24"/>
        </w:rPr>
        <w:t>Federal </w:t>
      </w:r>
      <w:r>
        <w:rPr>
          <w:spacing w:val="-2"/>
          <w:sz w:val="24"/>
        </w:rPr>
        <w:t>agencies.</w:t>
      </w:r>
    </w:p>
    <w:p>
      <w:pPr>
        <w:pStyle w:val="ListParagraph"/>
        <w:numPr>
          <w:ilvl w:val="1"/>
          <w:numId w:val="400"/>
        </w:numPr>
        <w:tabs>
          <w:tab w:pos="1217" w:val="left" w:leader="none"/>
        </w:tabs>
        <w:spacing w:line="240" w:lineRule="auto" w:before="211" w:after="0"/>
        <w:ind w:left="1217" w:right="0" w:hanging="426"/>
        <w:jc w:val="left"/>
        <w:rPr>
          <w:sz w:val="24"/>
        </w:rPr>
      </w:pPr>
      <w:r>
        <w:rPr>
          <w:sz w:val="24"/>
        </w:rPr>
        <w:t>Failure</w:t>
      </w:r>
      <w:r>
        <w:rPr>
          <w:spacing w:val="-5"/>
          <w:sz w:val="24"/>
        </w:rPr>
        <w:t> </w:t>
      </w:r>
      <w:r>
        <w:rPr>
          <w:sz w:val="24"/>
        </w:rPr>
        <w:t>to</w:t>
      </w:r>
      <w:r>
        <w:rPr>
          <w:spacing w:val="-3"/>
          <w:sz w:val="24"/>
        </w:rPr>
        <w:t> </w:t>
      </w:r>
      <w:r>
        <w:rPr>
          <w:sz w:val="24"/>
        </w:rPr>
        <w:t>maintain</w:t>
      </w:r>
      <w:r>
        <w:rPr>
          <w:spacing w:val="-3"/>
          <w:sz w:val="24"/>
        </w:rPr>
        <w:t> </w:t>
      </w:r>
      <w:r>
        <w:rPr>
          <w:sz w:val="24"/>
        </w:rPr>
        <w:t>the</w:t>
      </w:r>
      <w:r>
        <w:rPr>
          <w:spacing w:val="-4"/>
          <w:sz w:val="24"/>
        </w:rPr>
        <w:t> </w:t>
      </w:r>
      <w:r>
        <w:rPr>
          <w:sz w:val="24"/>
        </w:rPr>
        <w:t>required</w:t>
      </w:r>
      <w:r>
        <w:rPr>
          <w:spacing w:val="-3"/>
          <w:sz w:val="24"/>
        </w:rPr>
        <w:t> </w:t>
      </w:r>
      <w:r>
        <w:rPr>
          <w:sz w:val="24"/>
        </w:rPr>
        <w:t>insurance</w:t>
      </w:r>
      <w:r>
        <w:rPr>
          <w:spacing w:val="-3"/>
          <w:sz w:val="24"/>
        </w:rPr>
        <w:t> </w:t>
      </w:r>
      <w:r>
        <w:rPr>
          <w:spacing w:val="-2"/>
          <w:sz w:val="24"/>
        </w:rPr>
        <w:t>coverage.</w:t>
      </w:r>
    </w:p>
    <w:p>
      <w:pPr>
        <w:pStyle w:val="ListParagraph"/>
        <w:numPr>
          <w:ilvl w:val="1"/>
          <w:numId w:val="400"/>
        </w:numPr>
        <w:tabs>
          <w:tab w:pos="1217" w:val="left" w:leader="none"/>
        </w:tabs>
        <w:spacing w:line="208" w:lineRule="auto" w:before="233" w:after="0"/>
        <w:ind w:left="791" w:right="745" w:firstLine="0"/>
        <w:jc w:val="left"/>
        <w:rPr>
          <w:sz w:val="24"/>
        </w:rPr>
      </w:pPr>
      <w:r>
        <w:rPr>
          <w:sz w:val="24"/>
        </w:rPr>
        <w:t>The business enterprise is not being operated in accordance with the rules and regulations,</w:t>
      </w:r>
      <w:r>
        <w:rPr>
          <w:spacing w:val="-2"/>
          <w:sz w:val="24"/>
        </w:rPr>
        <w:t> </w:t>
      </w:r>
      <w:r>
        <w:rPr>
          <w:sz w:val="24"/>
        </w:rPr>
        <w:t>terms</w:t>
      </w:r>
      <w:r>
        <w:rPr>
          <w:spacing w:val="-3"/>
          <w:sz w:val="24"/>
        </w:rPr>
        <w:t> </w:t>
      </w:r>
      <w:r>
        <w:rPr>
          <w:sz w:val="24"/>
        </w:rPr>
        <w:t>and</w:t>
      </w:r>
      <w:r>
        <w:rPr>
          <w:spacing w:val="-4"/>
          <w:sz w:val="24"/>
        </w:rPr>
        <w:t> </w:t>
      </w:r>
      <w:r>
        <w:rPr>
          <w:sz w:val="24"/>
        </w:rPr>
        <w:t>conditions</w:t>
      </w:r>
      <w:r>
        <w:rPr>
          <w:spacing w:val="-2"/>
          <w:sz w:val="24"/>
        </w:rPr>
        <w:t> </w:t>
      </w:r>
      <w:r>
        <w:rPr>
          <w:sz w:val="24"/>
        </w:rPr>
        <w:t>of</w:t>
      </w:r>
      <w:r>
        <w:rPr>
          <w:spacing w:val="-2"/>
          <w:sz w:val="24"/>
        </w:rPr>
        <w:t> </w:t>
      </w:r>
      <w:r>
        <w:rPr>
          <w:sz w:val="24"/>
        </w:rPr>
        <w:t>the</w:t>
      </w:r>
      <w:r>
        <w:rPr>
          <w:spacing w:val="-3"/>
          <w:sz w:val="24"/>
        </w:rPr>
        <w:t> </w:t>
      </w:r>
      <w:r>
        <w:rPr>
          <w:sz w:val="24"/>
        </w:rPr>
        <w:t>permit</w:t>
      </w:r>
      <w:r>
        <w:rPr>
          <w:spacing w:val="-2"/>
          <w:sz w:val="24"/>
        </w:rPr>
        <w:t> </w:t>
      </w:r>
      <w:r>
        <w:rPr>
          <w:sz w:val="24"/>
        </w:rPr>
        <w:t>with</w:t>
      </w:r>
      <w:r>
        <w:rPr>
          <w:spacing w:val="-3"/>
          <w:sz w:val="24"/>
        </w:rPr>
        <w:t> </w:t>
      </w:r>
      <w:r>
        <w:rPr>
          <w:sz w:val="24"/>
        </w:rPr>
        <w:t>the</w:t>
      </w:r>
      <w:r>
        <w:rPr>
          <w:spacing w:val="-3"/>
          <w:sz w:val="24"/>
        </w:rPr>
        <w:t> </w:t>
      </w:r>
      <w:r>
        <w:rPr>
          <w:sz w:val="24"/>
        </w:rPr>
        <w:t>grantor</w:t>
      </w:r>
      <w:r>
        <w:rPr>
          <w:spacing w:val="-2"/>
          <w:sz w:val="24"/>
        </w:rPr>
        <w:t> </w:t>
      </w:r>
      <w:r>
        <w:rPr>
          <w:sz w:val="24"/>
        </w:rPr>
        <w:t>agency,</w:t>
      </w:r>
      <w:r>
        <w:rPr>
          <w:spacing w:val="-2"/>
          <w:sz w:val="24"/>
        </w:rPr>
        <w:t> </w:t>
      </w:r>
      <w:r>
        <w:rPr>
          <w:sz w:val="24"/>
        </w:rPr>
        <w:t>or</w:t>
      </w:r>
      <w:r>
        <w:rPr>
          <w:spacing w:val="-4"/>
          <w:sz w:val="24"/>
        </w:rPr>
        <w:t> </w:t>
      </w:r>
      <w:r>
        <w:rPr>
          <w:sz w:val="24"/>
        </w:rPr>
        <w:t>the</w:t>
      </w:r>
      <w:r>
        <w:rPr>
          <w:spacing w:val="-3"/>
          <w:sz w:val="24"/>
        </w:rPr>
        <w:t> </w:t>
      </w:r>
      <w:r>
        <w:rPr>
          <w:sz w:val="24"/>
        </w:rPr>
        <w:t>terms and conditions of the business enterprise manager's agreement.</w:t>
      </w:r>
    </w:p>
    <w:p>
      <w:pPr>
        <w:pStyle w:val="ListParagraph"/>
        <w:numPr>
          <w:ilvl w:val="1"/>
          <w:numId w:val="400"/>
        </w:numPr>
        <w:tabs>
          <w:tab w:pos="1216" w:val="left" w:leader="none"/>
        </w:tabs>
        <w:spacing w:line="208" w:lineRule="auto" w:before="240" w:after="0"/>
        <w:ind w:left="791" w:right="914" w:firstLine="0"/>
        <w:jc w:val="left"/>
        <w:rPr>
          <w:sz w:val="24"/>
        </w:rPr>
      </w:pPr>
      <w:r>
        <w:rPr>
          <w:sz w:val="24"/>
        </w:rPr>
        <w:t>Intentional abuse, neglect, unauthorized use or removal of the business enterprise equipment; or failure to properly maintain the equipment in a clean and operating</w:t>
      </w:r>
      <w:r>
        <w:rPr>
          <w:spacing w:val="-3"/>
          <w:sz w:val="24"/>
        </w:rPr>
        <w:t> </w:t>
      </w:r>
      <w:r>
        <w:rPr>
          <w:sz w:val="24"/>
        </w:rPr>
        <w:t>manner</w:t>
      </w:r>
      <w:r>
        <w:rPr>
          <w:spacing w:val="-3"/>
          <w:sz w:val="24"/>
        </w:rPr>
        <w:t> </w:t>
      </w:r>
      <w:r>
        <w:rPr>
          <w:sz w:val="24"/>
        </w:rPr>
        <w:t>within</w:t>
      </w:r>
      <w:r>
        <w:rPr>
          <w:spacing w:val="-4"/>
          <w:sz w:val="24"/>
        </w:rPr>
        <w:t> </w:t>
      </w:r>
      <w:r>
        <w:rPr>
          <w:sz w:val="24"/>
        </w:rPr>
        <w:t>the</w:t>
      </w:r>
      <w:r>
        <w:rPr>
          <w:spacing w:val="-4"/>
          <w:sz w:val="24"/>
        </w:rPr>
        <w:t> </w:t>
      </w:r>
      <w:r>
        <w:rPr>
          <w:sz w:val="24"/>
        </w:rPr>
        <w:t>scope</w:t>
      </w:r>
      <w:r>
        <w:rPr>
          <w:spacing w:val="-4"/>
          <w:sz w:val="24"/>
        </w:rPr>
        <w:t> </w:t>
      </w:r>
      <w:r>
        <w:rPr>
          <w:sz w:val="24"/>
        </w:rPr>
        <w:t>of</w:t>
      </w:r>
      <w:r>
        <w:rPr>
          <w:spacing w:val="-3"/>
          <w:sz w:val="24"/>
        </w:rPr>
        <w:t> </w:t>
      </w:r>
      <w:r>
        <w:rPr>
          <w:sz w:val="24"/>
        </w:rPr>
        <w:t>the</w:t>
      </w:r>
      <w:r>
        <w:rPr>
          <w:spacing w:val="-4"/>
          <w:sz w:val="24"/>
        </w:rPr>
        <w:t> </w:t>
      </w:r>
      <w:r>
        <w:rPr>
          <w:sz w:val="24"/>
        </w:rPr>
        <w:t>licensed</w:t>
      </w:r>
      <w:r>
        <w:rPr>
          <w:spacing w:val="-4"/>
          <w:sz w:val="24"/>
        </w:rPr>
        <w:t> </w:t>
      </w:r>
      <w:r>
        <w:rPr>
          <w:sz w:val="24"/>
        </w:rPr>
        <w:t>manager's</w:t>
      </w:r>
      <w:r>
        <w:rPr>
          <w:spacing w:val="-4"/>
          <w:sz w:val="24"/>
        </w:rPr>
        <w:t> </w:t>
      </w:r>
      <w:r>
        <w:rPr>
          <w:sz w:val="24"/>
        </w:rPr>
        <w:t>level</w:t>
      </w:r>
      <w:r>
        <w:rPr>
          <w:spacing w:val="-3"/>
          <w:sz w:val="24"/>
        </w:rPr>
        <w:t> </w:t>
      </w:r>
      <w:r>
        <w:rPr>
          <w:sz w:val="24"/>
        </w:rPr>
        <w:t>of</w:t>
      </w:r>
      <w:r>
        <w:rPr>
          <w:spacing w:val="-3"/>
          <w:sz w:val="24"/>
        </w:rPr>
        <w:t> </w:t>
      </w:r>
      <w:r>
        <w:rPr>
          <w:sz w:val="24"/>
        </w:rPr>
        <w:t>maintenance </w:t>
      </w:r>
      <w:r>
        <w:rPr>
          <w:spacing w:val="-2"/>
          <w:sz w:val="24"/>
        </w:rPr>
        <w:t>authorization.</w:t>
      </w:r>
    </w:p>
    <w:p>
      <w:pPr>
        <w:pStyle w:val="ListParagraph"/>
        <w:numPr>
          <w:ilvl w:val="1"/>
          <w:numId w:val="400"/>
        </w:numPr>
        <w:tabs>
          <w:tab w:pos="1217" w:val="left" w:leader="none"/>
        </w:tabs>
        <w:spacing w:line="208" w:lineRule="auto" w:before="239" w:after="0"/>
        <w:ind w:left="791" w:right="760" w:firstLine="0"/>
        <w:jc w:val="left"/>
        <w:rPr>
          <w:sz w:val="24"/>
        </w:rPr>
      </w:pPr>
      <w:r>
        <w:rPr>
          <w:sz w:val="24"/>
        </w:rPr>
        <w:t>Substance abuse (alcoholic beverages, illegal drugs, etc.) while operating the business</w:t>
      </w:r>
      <w:r>
        <w:rPr>
          <w:spacing w:val="-4"/>
          <w:sz w:val="24"/>
        </w:rPr>
        <w:t> </w:t>
      </w:r>
      <w:r>
        <w:rPr>
          <w:sz w:val="24"/>
        </w:rPr>
        <w:t>enterprise;</w:t>
      </w:r>
      <w:r>
        <w:rPr>
          <w:spacing w:val="-3"/>
          <w:sz w:val="24"/>
        </w:rPr>
        <w:t> </w:t>
      </w:r>
      <w:r>
        <w:rPr>
          <w:sz w:val="24"/>
        </w:rPr>
        <w:t>or</w:t>
      </w:r>
      <w:r>
        <w:rPr>
          <w:spacing w:val="-3"/>
          <w:sz w:val="24"/>
        </w:rPr>
        <w:t> </w:t>
      </w:r>
      <w:r>
        <w:rPr>
          <w:sz w:val="24"/>
        </w:rPr>
        <w:t>other</w:t>
      </w:r>
      <w:r>
        <w:rPr>
          <w:spacing w:val="-3"/>
          <w:sz w:val="24"/>
        </w:rPr>
        <w:t> </w:t>
      </w:r>
      <w:r>
        <w:rPr>
          <w:sz w:val="24"/>
        </w:rPr>
        <w:t>substance</w:t>
      </w:r>
      <w:r>
        <w:rPr>
          <w:spacing w:val="-4"/>
          <w:sz w:val="24"/>
        </w:rPr>
        <w:t> </w:t>
      </w:r>
      <w:r>
        <w:rPr>
          <w:sz w:val="24"/>
        </w:rPr>
        <w:t>abuse</w:t>
      </w:r>
      <w:r>
        <w:rPr>
          <w:spacing w:val="-4"/>
          <w:sz w:val="24"/>
        </w:rPr>
        <w:t> </w:t>
      </w:r>
      <w:r>
        <w:rPr>
          <w:sz w:val="24"/>
        </w:rPr>
        <w:t>that</w:t>
      </w:r>
      <w:r>
        <w:rPr>
          <w:spacing w:val="-3"/>
          <w:sz w:val="24"/>
        </w:rPr>
        <w:t> </w:t>
      </w:r>
      <w:r>
        <w:rPr>
          <w:sz w:val="24"/>
        </w:rPr>
        <w:t>interferes</w:t>
      </w:r>
      <w:r>
        <w:rPr>
          <w:spacing w:val="-4"/>
          <w:sz w:val="24"/>
        </w:rPr>
        <w:t> </w:t>
      </w:r>
      <w:r>
        <w:rPr>
          <w:sz w:val="24"/>
        </w:rPr>
        <w:t>with</w:t>
      </w:r>
      <w:r>
        <w:rPr>
          <w:spacing w:val="-5"/>
          <w:sz w:val="24"/>
        </w:rPr>
        <w:t> </w:t>
      </w:r>
      <w:r>
        <w:rPr>
          <w:sz w:val="24"/>
        </w:rPr>
        <w:t>the</w:t>
      </w:r>
      <w:r>
        <w:rPr>
          <w:spacing w:val="-4"/>
          <w:sz w:val="24"/>
        </w:rPr>
        <w:t> </w:t>
      </w:r>
      <w:r>
        <w:rPr>
          <w:sz w:val="24"/>
        </w:rPr>
        <w:t>operation</w:t>
      </w:r>
      <w:r>
        <w:rPr>
          <w:spacing w:val="-4"/>
          <w:sz w:val="24"/>
        </w:rPr>
        <w:t> </w:t>
      </w:r>
      <w:r>
        <w:rPr>
          <w:sz w:val="24"/>
        </w:rPr>
        <w:t>of</w:t>
      </w:r>
      <w:r>
        <w:rPr>
          <w:spacing w:val="-3"/>
          <w:sz w:val="24"/>
        </w:rPr>
        <w:t> </w:t>
      </w:r>
      <w:r>
        <w:rPr>
          <w:sz w:val="24"/>
        </w:rPr>
        <w:t>a business enterprise.</w:t>
      </w:r>
    </w:p>
    <w:p>
      <w:pPr>
        <w:pStyle w:val="ListParagraph"/>
        <w:numPr>
          <w:ilvl w:val="1"/>
          <w:numId w:val="400"/>
        </w:numPr>
        <w:tabs>
          <w:tab w:pos="1216" w:val="left" w:leader="none"/>
        </w:tabs>
        <w:spacing w:line="208" w:lineRule="auto" w:before="240" w:after="0"/>
        <w:ind w:left="791" w:right="1369" w:firstLine="0"/>
        <w:jc w:val="left"/>
        <w:rPr>
          <w:sz w:val="24"/>
        </w:rPr>
      </w:pPr>
      <w:r>
        <w:rPr>
          <w:sz w:val="24"/>
        </w:rPr>
        <w:t>Operation</w:t>
      </w:r>
      <w:r>
        <w:rPr>
          <w:spacing w:val="-3"/>
          <w:sz w:val="24"/>
        </w:rPr>
        <w:t> </w:t>
      </w:r>
      <w:r>
        <w:rPr>
          <w:sz w:val="24"/>
        </w:rPr>
        <w:t>of</w:t>
      </w:r>
      <w:r>
        <w:rPr>
          <w:spacing w:val="-2"/>
          <w:sz w:val="24"/>
        </w:rPr>
        <w:t> </w:t>
      </w:r>
      <w:r>
        <w:rPr>
          <w:sz w:val="24"/>
        </w:rPr>
        <w:t>a</w:t>
      </w:r>
      <w:r>
        <w:rPr>
          <w:spacing w:val="-3"/>
          <w:sz w:val="24"/>
        </w:rPr>
        <w:t> </w:t>
      </w:r>
      <w:r>
        <w:rPr>
          <w:sz w:val="24"/>
        </w:rPr>
        <w:t>business</w:t>
      </w:r>
      <w:r>
        <w:rPr>
          <w:spacing w:val="-3"/>
          <w:sz w:val="24"/>
        </w:rPr>
        <w:t> </w:t>
      </w:r>
      <w:r>
        <w:rPr>
          <w:sz w:val="24"/>
        </w:rPr>
        <w:t>enterprise</w:t>
      </w:r>
      <w:r>
        <w:rPr>
          <w:spacing w:val="-3"/>
          <w:sz w:val="24"/>
        </w:rPr>
        <w:t> </w:t>
      </w:r>
      <w:r>
        <w:rPr>
          <w:sz w:val="24"/>
        </w:rPr>
        <w:t>in</w:t>
      </w:r>
      <w:r>
        <w:rPr>
          <w:spacing w:val="-3"/>
          <w:sz w:val="24"/>
        </w:rPr>
        <w:t> </w:t>
      </w:r>
      <w:r>
        <w:rPr>
          <w:sz w:val="24"/>
        </w:rPr>
        <w:t>such</w:t>
      </w:r>
      <w:r>
        <w:rPr>
          <w:spacing w:val="-3"/>
          <w:sz w:val="24"/>
        </w:rPr>
        <w:t> </w:t>
      </w:r>
      <w:r>
        <w:rPr>
          <w:sz w:val="24"/>
        </w:rPr>
        <w:t>a</w:t>
      </w:r>
      <w:r>
        <w:rPr>
          <w:spacing w:val="-3"/>
          <w:sz w:val="24"/>
        </w:rPr>
        <w:t> </w:t>
      </w:r>
      <w:r>
        <w:rPr>
          <w:sz w:val="24"/>
        </w:rPr>
        <w:t>way</w:t>
      </w:r>
      <w:r>
        <w:rPr>
          <w:spacing w:val="-3"/>
          <w:sz w:val="24"/>
        </w:rPr>
        <w:t> </w:t>
      </w:r>
      <w:r>
        <w:rPr>
          <w:sz w:val="24"/>
        </w:rPr>
        <w:t>that</w:t>
      </w:r>
      <w:r>
        <w:rPr>
          <w:spacing w:val="-2"/>
          <w:sz w:val="24"/>
        </w:rPr>
        <w:t> </w:t>
      </w:r>
      <w:r>
        <w:rPr>
          <w:sz w:val="24"/>
        </w:rPr>
        <w:t>the</w:t>
      </w:r>
      <w:r>
        <w:rPr>
          <w:spacing w:val="-3"/>
          <w:sz w:val="24"/>
        </w:rPr>
        <w:t> </w:t>
      </w:r>
      <w:r>
        <w:rPr>
          <w:sz w:val="24"/>
        </w:rPr>
        <w:t>SLA's</w:t>
      </w:r>
      <w:r>
        <w:rPr>
          <w:spacing w:val="-4"/>
          <w:sz w:val="24"/>
        </w:rPr>
        <w:t> </w:t>
      </w:r>
      <w:r>
        <w:rPr>
          <w:sz w:val="24"/>
        </w:rPr>
        <w:t>interest</w:t>
      </w:r>
      <w:r>
        <w:rPr>
          <w:spacing w:val="-2"/>
          <w:sz w:val="24"/>
        </w:rPr>
        <w:t> </w:t>
      </w:r>
      <w:r>
        <w:rPr>
          <w:sz w:val="24"/>
        </w:rPr>
        <w:t>in retaining the contract for the location is obviously endangered.</w:t>
      </w:r>
    </w:p>
    <w:p>
      <w:pPr>
        <w:pStyle w:val="ListParagraph"/>
        <w:numPr>
          <w:ilvl w:val="1"/>
          <w:numId w:val="400"/>
        </w:numPr>
        <w:tabs>
          <w:tab w:pos="1217" w:val="left" w:leader="none"/>
        </w:tabs>
        <w:spacing w:line="208" w:lineRule="auto" w:before="240" w:after="0"/>
        <w:ind w:left="791" w:right="897" w:firstLine="0"/>
        <w:jc w:val="left"/>
        <w:rPr>
          <w:sz w:val="24"/>
        </w:rPr>
      </w:pPr>
      <w:r>
        <w:rPr>
          <w:sz w:val="24"/>
        </w:rPr>
        <w:t>Failure</w:t>
      </w:r>
      <w:r>
        <w:rPr>
          <w:spacing w:val="-5"/>
          <w:sz w:val="24"/>
        </w:rPr>
        <w:t> </w:t>
      </w:r>
      <w:r>
        <w:rPr>
          <w:sz w:val="24"/>
        </w:rPr>
        <w:t>to</w:t>
      </w:r>
      <w:r>
        <w:rPr>
          <w:spacing w:val="-4"/>
          <w:sz w:val="24"/>
        </w:rPr>
        <w:t> </w:t>
      </w:r>
      <w:r>
        <w:rPr>
          <w:sz w:val="24"/>
        </w:rPr>
        <w:t>comply</w:t>
      </w:r>
      <w:r>
        <w:rPr>
          <w:spacing w:val="-5"/>
          <w:sz w:val="24"/>
        </w:rPr>
        <w:t> </w:t>
      </w:r>
      <w:r>
        <w:rPr>
          <w:sz w:val="24"/>
        </w:rPr>
        <w:t>with</w:t>
      </w:r>
      <w:r>
        <w:rPr>
          <w:spacing w:val="-4"/>
          <w:sz w:val="24"/>
        </w:rPr>
        <w:t> </w:t>
      </w:r>
      <w:r>
        <w:rPr>
          <w:sz w:val="24"/>
        </w:rPr>
        <w:t>all</w:t>
      </w:r>
      <w:r>
        <w:rPr>
          <w:spacing w:val="-4"/>
          <w:sz w:val="24"/>
        </w:rPr>
        <w:t> </w:t>
      </w:r>
      <w:r>
        <w:rPr>
          <w:sz w:val="24"/>
        </w:rPr>
        <w:t>Federal</w:t>
      </w:r>
      <w:r>
        <w:rPr>
          <w:spacing w:val="-4"/>
          <w:sz w:val="24"/>
        </w:rPr>
        <w:t> </w:t>
      </w:r>
      <w:r>
        <w:rPr>
          <w:sz w:val="24"/>
        </w:rPr>
        <w:t>and</w:t>
      </w:r>
      <w:r>
        <w:rPr>
          <w:spacing w:val="-4"/>
          <w:sz w:val="24"/>
        </w:rPr>
        <w:t> </w:t>
      </w:r>
      <w:r>
        <w:rPr>
          <w:sz w:val="24"/>
        </w:rPr>
        <w:t>State</w:t>
      </w:r>
      <w:r>
        <w:rPr>
          <w:spacing w:val="-4"/>
          <w:sz w:val="24"/>
        </w:rPr>
        <w:t> </w:t>
      </w:r>
      <w:r>
        <w:rPr>
          <w:sz w:val="24"/>
        </w:rPr>
        <w:t>laws</w:t>
      </w:r>
      <w:r>
        <w:rPr>
          <w:spacing w:val="-4"/>
          <w:sz w:val="24"/>
        </w:rPr>
        <w:t> </w:t>
      </w:r>
      <w:r>
        <w:rPr>
          <w:sz w:val="24"/>
        </w:rPr>
        <w:t>prohibiting</w:t>
      </w:r>
      <w:r>
        <w:rPr>
          <w:spacing w:val="-4"/>
          <w:sz w:val="24"/>
        </w:rPr>
        <w:t> </w:t>
      </w:r>
      <w:r>
        <w:rPr>
          <w:sz w:val="24"/>
        </w:rPr>
        <w:t>discrimination</w:t>
      </w:r>
      <w:r>
        <w:rPr>
          <w:spacing w:val="-4"/>
          <w:sz w:val="24"/>
        </w:rPr>
        <w:t> </w:t>
      </w:r>
      <w:r>
        <w:rPr>
          <w:sz w:val="24"/>
        </w:rPr>
        <w:t>and failure to provide services without regard to race, gender, color, national origin, religion, age, political affiliation, or disability.</w:t>
      </w:r>
    </w:p>
    <w:p>
      <w:pPr>
        <w:pStyle w:val="ListParagraph"/>
        <w:numPr>
          <w:ilvl w:val="1"/>
          <w:numId w:val="400"/>
        </w:numPr>
        <w:tabs>
          <w:tab w:pos="1350" w:val="left" w:leader="none"/>
        </w:tabs>
        <w:spacing w:line="208" w:lineRule="auto" w:before="239" w:after="0"/>
        <w:ind w:left="791" w:right="1598" w:firstLine="0"/>
        <w:jc w:val="left"/>
        <w:rPr>
          <w:sz w:val="24"/>
        </w:rPr>
      </w:pPr>
      <w:r>
        <w:rPr>
          <w:sz w:val="24"/>
        </w:rPr>
        <w:t>Determination</w:t>
      </w:r>
      <w:r>
        <w:rPr>
          <w:spacing w:val="-4"/>
          <w:sz w:val="24"/>
        </w:rPr>
        <w:t> </w:t>
      </w:r>
      <w:r>
        <w:rPr>
          <w:sz w:val="24"/>
        </w:rPr>
        <w:t>by</w:t>
      </w:r>
      <w:r>
        <w:rPr>
          <w:spacing w:val="-3"/>
          <w:sz w:val="24"/>
        </w:rPr>
        <w:t> </w:t>
      </w:r>
      <w:r>
        <w:rPr>
          <w:sz w:val="24"/>
        </w:rPr>
        <w:t>the</w:t>
      </w:r>
      <w:r>
        <w:rPr>
          <w:spacing w:val="-4"/>
          <w:sz w:val="24"/>
        </w:rPr>
        <w:t> </w:t>
      </w:r>
      <w:r>
        <w:rPr>
          <w:sz w:val="24"/>
        </w:rPr>
        <w:t>SLA</w:t>
      </w:r>
      <w:r>
        <w:rPr>
          <w:spacing w:val="-4"/>
          <w:sz w:val="24"/>
        </w:rPr>
        <w:t> </w:t>
      </w:r>
      <w:r>
        <w:rPr>
          <w:sz w:val="24"/>
        </w:rPr>
        <w:t>that</w:t>
      </w:r>
      <w:r>
        <w:rPr>
          <w:spacing w:val="-3"/>
          <w:sz w:val="24"/>
        </w:rPr>
        <w:t> </w:t>
      </w:r>
      <w:r>
        <w:rPr>
          <w:sz w:val="24"/>
        </w:rPr>
        <w:t>the</w:t>
      </w:r>
      <w:r>
        <w:rPr>
          <w:spacing w:val="-4"/>
          <w:sz w:val="24"/>
        </w:rPr>
        <w:t> </w:t>
      </w:r>
      <w:r>
        <w:rPr>
          <w:sz w:val="24"/>
        </w:rPr>
        <w:t>licensed</w:t>
      </w:r>
      <w:r>
        <w:rPr>
          <w:spacing w:val="-4"/>
          <w:sz w:val="24"/>
        </w:rPr>
        <w:t> </w:t>
      </w:r>
      <w:r>
        <w:rPr>
          <w:sz w:val="24"/>
        </w:rPr>
        <w:t>manager</w:t>
      </w:r>
      <w:r>
        <w:rPr>
          <w:spacing w:val="-3"/>
          <w:sz w:val="24"/>
        </w:rPr>
        <w:t> </w:t>
      </w:r>
      <w:r>
        <w:rPr>
          <w:sz w:val="24"/>
        </w:rPr>
        <w:t>no</w:t>
      </w:r>
      <w:r>
        <w:rPr>
          <w:spacing w:val="-4"/>
          <w:sz w:val="24"/>
        </w:rPr>
        <w:t> </w:t>
      </w:r>
      <w:r>
        <w:rPr>
          <w:sz w:val="24"/>
        </w:rPr>
        <w:t>longer</w:t>
      </w:r>
      <w:r>
        <w:rPr>
          <w:spacing w:val="-3"/>
          <w:sz w:val="24"/>
        </w:rPr>
        <w:t> </w:t>
      </w:r>
      <w:r>
        <w:rPr>
          <w:sz w:val="24"/>
        </w:rPr>
        <w:t>has</w:t>
      </w:r>
      <w:r>
        <w:rPr>
          <w:spacing w:val="-4"/>
          <w:sz w:val="24"/>
        </w:rPr>
        <w:t> </w:t>
      </w:r>
      <w:r>
        <w:rPr>
          <w:sz w:val="24"/>
        </w:rPr>
        <w:t>the necessary</w:t>
      </w:r>
      <w:r>
        <w:rPr>
          <w:spacing w:val="-3"/>
          <w:sz w:val="24"/>
        </w:rPr>
        <w:t> </w:t>
      </w:r>
      <w:r>
        <w:rPr>
          <w:sz w:val="24"/>
        </w:rPr>
        <w:t>skills</w:t>
      </w:r>
      <w:r>
        <w:rPr>
          <w:spacing w:val="-3"/>
          <w:sz w:val="24"/>
        </w:rPr>
        <w:t> </w:t>
      </w:r>
      <w:r>
        <w:rPr>
          <w:sz w:val="24"/>
        </w:rPr>
        <w:t>and</w:t>
      </w:r>
      <w:r>
        <w:rPr>
          <w:spacing w:val="-3"/>
          <w:sz w:val="24"/>
        </w:rPr>
        <w:t> </w:t>
      </w:r>
      <w:r>
        <w:rPr>
          <w:sz w:val="24"/>
        </w:rPr>
        <w:t>abilities</w:t>
      </w:r>
      <w:r>
        <w:rPr>
          <w:spacing w:val="-3"/>
          <w:sz w:val="24"/>
        </w:rPr>
        <w:t> </w:t>
      </w:r>
      <w:r>
        <w:rPr>
          <w:sz w:val="24"/>
        </w:rPr>
        <w:t>for</w:t>
      </w:r>
      <w:r>
        <w:rPr>
          <w:spacing w:val="-2"/>
          <w:sz w:val="24"/>
        </w:rPr>
        <w:t> </w:t>
      </w:r>
      <w:r>
        <w:rPr>
          <w:sz w:val="24"/>
        </w:rPr>
        <w:t>effectively</w:t>
      </w:r>
      <w:r>
        <w:rPr>
          <w:spacing w:val="-3"/>
          <w:sz w:val="24"/>
        </w:rPr>
        <w:t> </w:t>
      </w:r>
      <w:r>
        <w:rPr>
          <w:sz w:val="24"/>
        </w:rPr>
        <w:t>managing</w:t>
      </w:r>
      <w:r>
        <w:rPr>
          <w:spacing w:val="-3"/>
          <w:sz w:val="24"/>
        </w:rPr>
        <w:t> </w:t>
      </w:r>
      <w:r>
        <w:rPr>
          <w:sz w:val="24"/>
        </w:rPr>
        <w:t>a</w:t>
      </w:r>
      <w:r>
        <w:rPr>
          <w:spacing w:val="-3"/>
          <w:sz w:val="24"/>
        </w:rPr>
        <w:t> </w:t>
      </w:r>
      <w:r>
        <w:rPr>
          <w:sz w:val="24"/>
        </w:rPr>
        <w:t>business</w:t>
      </w:r>
      <w:r>
        <w:rPr>
          <w:spacing w:val="-3"/>
          <w:sz w:val="24"/>
        </w:rPr>
        <w:t> </w:t>
      </w:r>
      <w:r>
        <w:rPr>
          <w:sz w:val="24"/>
        </w:rPr>
        <w:t>enterprise.</w:t>
      </w:r>
    </w:p>
    <w:p>
      <w:pPr>
        <w:pStyle w:val="ListParagraph"/>
        <w:numPr>
          <w:ilvl w:val="1"/>
          <w:numId w:val="400"/>
        </w:numPr>
        <w:tabs>
          <w:tab w:pos="1350" w:val="left" w:leader="none"/>
        </w:tabs>
        <w:spacing w:line="240" w:lineRule="auto" w:before="211" w:after="0"/>
        <w:ind w:left="1350" w:right="0" w:hanging="559"/>
        <w:jc w:val="left"/>
        <w:rPr>
          <w:sz w:val="24"/>
        </w:rPr>
      </w:pPr>
      <w:r>
        <w:rPr>
          <w:sz w:val="24"/>
        </w:rPr>
        <w:t>Use</w:t>
      </w:r>
      <w:r>
        <w:rPr>
          <w:spacing w:val="-5"/>
          <w:sz w:val="24"/>
        </w:rPr>
        <w:t> </w:t>
      </w:r>
      <w:r>
        <w:rPr>
          <w:sz w:val="24"/>
        </w:rPr>
        <w:t>of</w:t>
      </w:r>
      <w:r>
        <w:rPr>
          <w:spacing w:val="-3"/>
          <w:sz w:val="24"/>
        </w:rPr>
        <w:t> </w:t>
      </w:r>
      <w:r>
        <w:rPr>
          <w:sz w:val="24"/>
        </w:rPr>
        <w:t>the</w:t>
      </w:r>
      <w:r>
        <w:rPr>
          <w:spacing w:val="-3"/>
          <w:sz w:val="24"/>
        </w:rPr>
        <w:t> </w:t>
      </w:r>
      <w:r>
        <w:rPr>
          <w:sz w:val="24"/>
        </w:rPr>
        <w:t>business</w:t>
      </w:r>
      <w:r>
        <w:rPr>
          <w:spacing w:val="-2"/>
          <w:sz w:val="24"/>
        </w:rPr>
        <w:t> </w:t>
      </w:r>
      <w:r>
        <w:rPr>
          <w:sz w:val="24"/>
        </w:rPr>
        <w:t>enterprise</w:t>
      </w:r>
      <w:r>
        <w:rPr>
          <w:spacing w:val="-3"/>
          <w:sz w:val="24"/>
        </w:rPr>
        <w:t> </w:t>
      </w:r>
      <w:r>
        <w:rPr>
          <w:sz w:val="24"/>
        </w:rPr>
        <w:t>to</w:t>
      </w:r>
      <w:r>
        <w:rPr>
          <w:spacing w:val="-3"/>
          <w:sz w:val="24"/>
        </w:rPr>
        <w:t> </w:t>
      </w:r>
      <w:r>
        <w:rPr>
          <w:sz w:val="24"/>
        </w:rPr>
        <w:t>conduct</w:t>
      </w:r>
      <w:r>
        <w:rPr>
          <w:spacing w:val="-3"/>
          <w:sz w:val="24"/>
        </w:rPr>
        <w:t> </w:t>
      </w:r>
      <w:r>
        <w:rPr>
          <w:sz w:val="24"/>
        </w:rPr>
        <w:t>unlawful</w:t>
      </w:r>
      <w:r>
        <w:rPr>
          <w:spacing w:val="-2"/>
          <w:sz w:val="24"/>
        </w:rPr>
        <w:t> activities.</w:t>
      </w:r>
    </w:p>
    <w:p>
      <w:pPr>
        <w:pStyle w:val="ListParagraph"/>
        <w:numPr>
          <w:ilvl w:val="1"/>
          <w:numId w:val="400"/>
        </w:numPr>
        <w:tabs>
          <w:tab w:pos="1350" w:val="left" w:leader="none"/>
        </w:tabs>
        <w:spacing w:line="208" w:lineRule="auto" w:before="233" w:after="0"/>
        <w:ind w:left="791" w:right="772" w:firstLine="0"/>
        <w:jc w:val="left"/>
        <w:rPr>
          <w:sz w:val="24"/>
        </w:rPr>
      </w:pPr>
      <w:r>
        <w:rPr>
          <w:sz w:val="24"/>
        </w:rPr>
        <w:t>Failure to personally operate and manage the business enterprise in accordance with the manager's agreement.</w:t>
      </w:r>
      <w:r>
        <w:rPr>
          <w:spacing w:val="40"/>
          <w:sz w:val="24"/>
        </w:rPr>
        <w:t> </w:t>
      </w:r>
      <w:r>
        <w:rPr>
          <w:sz w:val="24"/>
        </w:rPr>
        <w:t>Management means the personal supervision</w:t>
      </w:r>
      <w:r>
        <w:rPr>
          <w:spacing w:val="-3"/>
          <w:sz w:val="24"/>
        </w:rPr>
        <w:t> </w:t>
      </w:r>
      <w:r>
        <w:rPr>
          <w:sz w:val="24"/>
        </w:rPr>
        <w:t>of</w:t>
      </w:r>
      <w:r>
        <w:rPr>
          <w:spacing w:val="-5"/>
          <w:sz w:val="24"/>
        </w:rPr>
        <w:t> </w:t>
      </w:r>
      <w:r>
        <w:rPr>
          <w:sz w:val="24"/>
        </w:rPr>
        <w:t>the</w:t>
      </w:r>
      <w:r>
        <w:rPr>
          <w:spacing w:val="-4"/>
          <w:sz w:val="24"/>
        </w:rPr>
        <w:t> </w:t>
      </w:r>
      <w:r>
        <w:rPr>
          <w:sz w:val="24"/>
        </w:rPr>
        <w:t>day-to-day</w:t>
      </w:r>
      <w:r>
        <w:rPr>
          <w:spacing w:val="-4"/>
          <w:sz w:val="24"/>
        </w:rPr>
        <w:t> </w:t>
      </w:r>
      <w:r>
        <w:rPr>
          <w:sz w:val="24"/>
        </w:rPr>
        <w:t>operation</w:t>
      </w:r>
      <w:r>
        <w:rPr>
          <w:spacing w:val="-4"/>
          <w:sz w:val="24"/>
        </w:rPr>
        <w:t> </w:t>
      </w:r>
      <w:r>
        <w:rPr>
          <w:sz w:val="24"/>
        </w:rPr>
        <w:t>of</w:t>
      </w:r>
      <w:r>
        <w:rPr>
          <w:spacing w:val="-3"/>
          <w:sz w:val="24"/>
        </w:rPr>
        <w:t> </w:t>
      </w:r>
      <w:r>
        <w:rPr>
          <w:sz w:val="24"/>
        </w:rPr>
        <w:t>the</w:t>
      </w:r>
      <w:r>
        <w:rPr>
          <w:spacing w:val="-4"/>
          <w:sz w:val="24"/>
        </w:rPr>
        <w:t> </w:t>
      </w:r>
      <w:r>
        <w:rPr>
          <w:sz w:val="24"/>
        </w:rPr>
        <w:t>assigned</w:t>
      </w:r>
      <w:r>
        <w:rPr>
          <w:spacing w:val="-3"/>
          <w:sz w:val="24"/>
        </w:rPr>
        <w:t> </w:t>
      </w:r>
      <w:r>
        <w:rPr>
          <w:sz w:val="24"/>
        </w:rPr>
        <w:t>BEP</w:t>
      </w:r>
      <w:r>
        <w:rPr>
          <w:spacing w:val="-4"/>
          <w:sz w:val="24"/>
        </w:rPr>
        <w:t> </w:t>
      </w:r>
      <w:r>
        <w:rPr>
          <w:sz w:val="24"/>
        </w:rPr>
        <w:t>facility</w:t>
      </w:r>
      <w:r>
        <w:rPr>
          <w:spacing w:val="-4"/>
          <w:sz w:val="24"/>
        </w:rPr>
        <w:t> </w:t>
      </w:r>
      <w:r>
        <w:rPr>
          <w:sz w:val="24"/>
        </w:rPr>
        <w:t>by</w:t>
      </w:r>
      <w:r>
        <w:rPr>
          <w:spacing w:val="-4"/>
          <w:sz w:val="24"/>
        </w:rPr>
        <w:t> </w:t>
      </w:r>
      <w:r>
        <w:rPr>
          <w:sz w:val="24"/>
        </w:rPr>
        <w:t>the</w:t>
      </w:r>
      <w:r>
        <w:rPr>
          <w:spacing w:val="-4"/>
          <w:sz w:val="24"/>
        </w:rPr>
        <w:t> </w:t>
      </w:r>
      <w:r>
        <w:rPr>
          <w:sz w:val="24"/>
        </w:rPr>
        <w:t>assigned </w:t>
      </w:r>
      <w:r>
        <w:rPr>
          <w:spacing w:val="-2"/>
          <w:sz w:val="24"/>
        </w:rPr>
        <w:t>manager.</w:t>
      </w:r>
    </w:p>
    <w:p>
      <w:pPr>
        <w:pStyle w:val="ListParagraph"/>
        <w:numPr>
          <w:ilvl w:val="1"/>
          <w:numId w:val="400"/>
        </w:numPr>
        <w:tabs>
          <w:tab w:pos="1350" w:val="left" w:leader="none"/>
        </w:tabs>
        <w:spacing w:line="258" w:lineRule="exact" w:before="210" w:after="0"/>
        <w:ind w:left="1350" w:right="0" w:hanging="559"/>
        <w:jc w:val="left"/>
        <w:rPr>
          <w:sz w:val="24"/>
        </w:rPr>
      </w:pPr>
      <w:r>
        <w:rPr>
          <w:sz w:val="24"/>
        </w:rPr>
        <w:t>Use</w:t>
      </w:r>
      <w:r>
        <w:rPr>
          <w:spacing w:val="-5"/>
          <w:sz w:val="24"/>
        </w:rPr>
        <w:t> </w:t>
      </w:r>
      <w:r>
        <w:rPr>
          <w:sz w:val="24"/>
        </w:rPr>
        <w:t>of</w:t>
      </w:r>
      <w:r>
        <w:rPr>
          <w:spacing w:val="-3"/>
          <w:sz w:val="24"/>
        </w:rPr>
        <w:t> </w:t>
      </w:r>
      <w:r>
        <w:rPr>
          <w:sz w:val="24"/>
        </w:rPr>
        <w:t>a</w:t>
      </w:r>
      <w:r>
        <w:rPr>
          <w:spacing w:val="-3"/>
          <w:sz w:val="24"/>
        </w:rPr>
        <w:t> </w:t>
      </w:r>
      <w:r>
        <w:rPr>
          <w:sz w:val="24"/>
        </w:rPr>
        <w:t>third-party</w:t>
      </w:r>
      <w:r>
        <w:rPr>
          <w:spacing w:val="-3"/>
          <w:sz w:val="24"/>
        </w:rPr>
        <w:t> </w:t>
      </w:r>
      <w:r>
        <w:rPr>
          <w:sz w:val="24"/>
        </w:rPr>
        <w:t>vendor</w:t>
      </w:r>
      <w:r>
        <w:rPr>
          <w:spacing w:val="-2"/>
          <w:sz w:val="24"/>
        </w:rPr>
        <w:t> </w:t>
      </w:r>
      <w:r>
        <w:rPr>
          <w:sz w:val="24"/>
        </w:rPr>
        <w:t>to</w:t>
      </w:r>
      <w:r>
        <w:rPr>
          <w:spacing w:val="-3"/>
          <w:sz w:val="24"/>
        </w:rPr>
        <w:t> </w:t>
      </w:r>
      <w:r>
        <w:rPr>
          <w:sz w:val="24"/>
        </w:rPr>
        <w:t>operate</w:t>
      </w:r>
      <w:r>
        <w:rPr>
          <w:spacing w:val="-3"/>
          <w:sz w:val="24"/>
        </w:rPr>
        <w:t> </w:t>
      </w:r>
      <w:r>
        <w:rPr>
          <w:sz w:val="24"/>
        </w:rPr>
        <w:t>the</w:t>
      </w:r>
      <w:r>
        <w:rPr>
          <w:spacing w:val="-3"/>
          <w:sz w:val="24"/>
        </w:rPr>
        <w:t> </w:t>
      </w:r>
      <w:r>
        <w:rPr>
          <w:sz w:val="24"/>
        </w:rPr>
        <w:t>assigned</w:t>
      </w:r>
      <w:r>
        <w:rPr>
          <w:spacing w:val="-3"/>
          <w:sz w:val="24"/>
        </w:rPr>
        <w:t> </w:t>
      </w:r>
      <w:r>
        <w:rPr>
          <w:sz w:val="24"/>
        </w:rPr>
        <w:t>business</w:t>
      </w:r>
      <w:r>
        <w:rPr>
          <w:spacing w:val="-2"/>
          <w:sz w:val="24"/>
        </w:rPr>
        <w:t> </w:t>
      </w:r>
      <w:r>
        <w:rPr>
          <w:sz w:val="24"/>
        </w:rPr>
        <w:t>enterprise</w:t>
      </w:r>
      <w:r>
        <w:rPr>
          <w:spacing w:val="-3"/>
          <w:sz w:val="24"/>
        </w:rPr>
        <w:t> </w:t>
      </w:r>
      <w:r>
        <w:rPr>
          <w:spacing w:val="-2"/>
          <w:sz w:val="24"/>
        </w:rPr>
        <w:t>facility.</w:t>
      </w:r>
    </w:p>
    <w:p>
      <w:pPr>
        <w:pStyle w:val="Heading2"/>
        <w:spacing w:line="258" w:lineRule="exact" w:before="0"/>
        <w:ind w:left="791"/>
      </w:pPr>
      <w:r>
        <w:rPr>
          <w:spacing w:val="-10"/>
        </w:rPr>
        <w:t>1</w:t>
      </w:r>
    </w:p>
    <w:p>
      <w:pPr>
        <w:pStyle w:val="Heading2"/>
        <w:spacing w:after="0" w:line="258" w:lineRule="exact"/>
        <w:sectPr>
          <w:pgSz w:w="12240" w:h="15840"/>
          <w:pgMar w:top="1340" w:bottom="280" w:left="1080" w:right="720"/>
        </w:sectPr>
      </w:pPr>
    </w:p>
    <w:p>
      <w:pPr>
        <w:pStyle w:val="ListParagraph"/>
        <w:numPr>
          <w:ilvl w:val="1"/>
          <w:numId w:val="400"/>
        </w:numPr>
        <w:tabs>
          <w:tab w:pos="1458" w:val="left" w:leader="none"/>
        </w:tabs>
        <w:spacing w:line="240" w:lineRule="auto" w:before="80" w:after="0"/>
        <w:ind w:left="900" w:right="719" w:firstLine="0"/>
        <w:jc w:val="left"/>
        <w:rPr>
          <w:sz w:val="24"/>
        </w:rPr>
      </w:pPr>
      <w:r>
        <w:rPr>
          <w:sz w:val="24"/>
        </w:rPr>
        <w:t>Operating a motor vehicle.</w:t>
      </w:r>
      <w:r>
        <w:rPr>
          <w:spacing w:val="40"/>
          <w:sz w:val="24"/>
        </w:rPr>
        <w:t> </w:t>
      </w:r>
      <w:r>
        <w:rPr>
          <w:sz w:val="24"/>
        </w:rPr>
        <w:t>Under federal law, only individuals who meet the legal definition of blindness may be licensed to participate in the vending facility program under the Randolph-Sheppard Act [20 USC 107a(b) and 107e(1)]. Under Oklahoma</w:t>
      </w:r>
      <w:r>
        <w:rPr>
          <w:spacing w:val="-4"/>
          <w:sz w:val="24"/>
        </w:rPr>
        <w:t> </w:t>
      </w:r>
      <w:r>
        <w:rPr>
          <w:sz w:val="24"/>
        </w:rPr>
        <w:t>driver</w:t>
      </w:r>
      <w:r>
        <w:rPr>
          <w:spacing w:val="-3"/>
          <w:sz w:val="24"/>
        </w:rPr>
        <w:t> </w:t>
      </w:r>
      <w:r>
        <w:rPr>
          <w:sz w:val="24"/>
        </w:rPr>
        <w:t>licensing</w:t>
      </w:r>
      <w:r>
        <w:rPr>
          <w:spacing w:val="-4"/>
          <w:sz w:val="24"/>
        </w:rPr>
        <w:t> </w:t>
      </w:r>
      <w:r>
        <w:rPr>
          <w:sz w:val="24"/>
        </w:rPr>
        <w:t>rules</w:t>
      </w:r>
      <w:r>
        <w:rPr>
          <w:spacing w:val="-4"/>
          <w:sz w:val="24"/>
        </w:rPr>
        <w:t> </w:t>
      </w:r>
      <w:r>
        <w:rPr>
          <w:sz w:val="24"/>
        </w:rPr>
        <w:t>established</w:t>
      </w:r>
      <w:r>
        <w:rPr>
          <w:spacing w:val="-4"/>
          <w:sz w:val="24"/>
        </w:rPr>
        <w:t> </w:t>
      </w:r>
      <w:r>
        <w:rPr>
          <w:sz w:val="24"/>
        </w:rPr>
        <w:t>by</w:t>
      </w:r>
      <w:r>
        <w:rPr>
          <w:spacing w:val="-4"/>
          <w:sz w:val="24"/>
        </w:rPr>
        <w:t> </w:t>
      </w:r>
      <w:r>
        <w:rPr>
          <w:sz w:val="24"/>
        </w:rPr>
        <w:t>the</w:t>
      </w:r>
      <w:r>
        <w:rPr>
          <w:spacing w:val="-4"/>
          <w:sz w:val="24"/>
        </w:rPr>
        <w:t> </w:t>
      </w:r>
      <w:r>
        <w:rPr>
          <w:sz w:val="24"/>
        </w:rPr>
        <w:t>Oklahoma</w:t>
      </w:r>
      <w:r>
        <w:rPr>
          <w:spacing w:val="-4"/>
          <w:sz w:val="24"/>
        </w:rPr>
        <w:t> </w:t>
      </w:r>
      <w:r>
        <w:rPr>
          <w:sz w:val="24"/>
        </w:rPr>
        <w:t>Department</w:t>
      </w:r>
      <w:r>
        <w:rPr>
          <w:spacing w:val="-3"/>
          <w:sz w:val="24"/>
        </w:rPr>
        <w:t> </w:t>
      </w:r>
      <w:r>
        <w:rPr>
          <w:sz w:val="24"/>
        </w:rPr>
        <w:t>of</w:t>
      </w:r>
      <w:r>
        <w:rPr>
          <w:spacing w:val="-5"/>
          <w:sz w:val="24"/>
        </w:rPr>
        <w:t> </w:t>
      </w:r>
      <w:r>
        <w:rPr>
          <w:sz w:val="24"/>
        </w:rPr>
        <w:t>Public Safety, individuals who are blind are not eligible to be licensed to operate motor </w:t>
      </w:r>
      <w:r>
        <w:rPr>
          <w:spacing w:val="-2"/>
          <w:sz w:val="24"/>
        </w:rPr>
        <w:t>vehicles.</w:t>
      </w:r>
    </w:p>
    <w:p>
      <w:pPr>
        <w:pStyle w:val="BodyText"/>
        <w:spacing w:before="0"/>
        <w:ind w:left="0"/>
      </w:pPr>
    </w:p>
    <w:p>
      <w:pPr>
        <w:pStyle w:val="ListParagraph"/>
        <w:numPr>
          <w:ilvl w:val="1"/>
          <w:numId w:val="400"/>
        </w:numPr>
        <w:tabs>
          <w:tab w:pos="1458" w:val="left" w:leader="none"/>
        </w:tabs>
        <w:spacing w:line="240" w:lineRule="auto" w:before="0" w:after="0"/>
        <w:ind w:left="900" w:right="1051" w:firstLine="0"/>
        <w:jc w:val="left"/>
        <w:rPr>
          <w:sz w:val="24"/>
        </w:rPr>
      </w:pPr>
      <w:r>
        <w:rPr>
          <w:sz w:val="24"/>
        </w:rPr>
        <w:t>Intentionally representing one’s self as an agent of the SLA or as an SLA official.</w:t>
      </w:r>
      <w:r>
        <w:rPr>
          <w:spacing w:val="40"/>
          <w:sz w:val="24"/>
        </w:rPr>
        <w:t> </w:t>
      </w:r>
      <w:r>
        <w:rPr>
          <w:sz w:val="24"/>
        </w:rPr>
        <w:t>The</w:t>
      </w:r>
      <w:r>
        <w:rPr>
          <w:spacing w:val="-3"/>
          <w:sz w:val="24"/>
        </w:rPr>
        <w:t> </w:t>
      </w:r>
      <w:r>
        <w:rPr>
          <w:sz w:val="24"/>
        </w:rPr>
        <w:t>licensed</w:t>
      </w:r>
      <w:r>
        <w:rPr>
          <w:spacing w:val="-3"/>
          <w:sz w:val="24"/>
        </w:rPr>
        <w:t> </w:t>
      </w:r>
      <w:r>
        <w:rPr>
          <w:sz w:val="24"/>
        </w:rPr>
        <w:t>manager</w:t>
      </w:r>
      <w:r>
        <w:rPr>
          <w:spacing w:val="-2"/>
          <w:sz w:val="24"/>
        </w:rPr>
        <w:t> </w:t>
      </w:r>
      <w:r>
        <w:rPr>
          <w:sz w:val="24"/>
        </w:rPr>
        <w:t>is</w:t>
      </w:r>
      <w:r>
        <w:rPr>
          <w:spacing w:val="-3"/>
          <w:sz w:val="24"/>
        </w:rPr>
        <w:t> </w:t>
      </w:r>
      <w:r>
        <w:rPr>
          <w:sz w:val="24"/>
        </w:rPr>
        <w:t>not</w:t>
      </w:r>
      <w:r>
        <w:rPr>
          <w:spacing w:val="-2"/>
          <w:sz w:val="24"/>
        </w:rPr>
        <w:t> </w:t>
      </w:r>
      <w:r>
        <w:rPr>
          <w:sz w:val="24"/>
        </w:rPr>
        <w:t>allowed</w:t>
      </w:r>
      <w:r>
        <w:rPr>
          <w:spacing w:val="-3"/>
          <w:sz w:val="24"/>
        </w:rPr>
        <w:t> </w:t>
      </w:r>
      <w:r>
        <w:rPr>
          <w:sz w:val="24"/>
        </w:rPr>
        <w:t>to</w:t>
      </w:r>
      <w:r>
        <w:rPr>
          <w:spacing w:val="-3"/>
          <w:sz w:val="24"/>
        </w:rPr>
        <w:t> </w:t>
      </w:r>
      <w:r>
        <w:rPr>
          <w:sz w:val="24"/>
        </w:rPr>
        <w:t>negotiate</w:t>
      </w:r>
      <w:r>
        <w:rPr>
          <w:spacing w:val="-3"/>
          <w:sz w:val="24"/>
        </w:rPr>
        <w:t> </w:t>
      </w:r>
      <w:r>
        <w:rPr>
          <w:sz w:val="24"/>
        </w:rPr>
        <w:t>or</w:t>
      </w:r>
      <w:r>
        <w:rPr>
          <w:spacing w:val="-2"/>
          <w:sz w:val="24"/>
        </w:rPr>
        <w:t> </w:t>
      </w:r>
      <w:r>
        <w:rPr>
          <w:sz w:val="24"/>
        </w:rPr>
        <w:t>act</w:t>
      </w:r>
      <w:r>
        <w:rPr>
          <w:spacing w:val="-4"/>
          <w:sz w:val="24"/>
        </w:rPr>
        <w:t> </w:t>
      </w:r>
      <w:r>
        <w:rPr>
          <w:sz w:val="24"/>
        </w:rPr>
        <w:t>on</w:t>
      </w:r>
      <w:r>
        <w:rPr>
          <w:spacing w:val="-3"/>
          <w:sz w:val="24"/>
        </w:rPr>
        <w:t> </w:t>
      </w:r>
      <w:r>
        <w:rPr>
          <w:sz w:val="24"/>
        </w:rPr>
        <w:t>behalf</w:t>
      </w:r>
      <w:r>
        <w:rPr>
          <w:spacing w:val="-2"/>
          <w:sz w:val="24"/>
        </w:rPr>
        <w:t> </w:t>
      </w:r>
      <w:r>
        <w:rPr>
          <w:sz w:val="24"/>
        </w:rPr>
        <w:t>of</w:t>
      </w:r>
      <w:r>
        <w:rPr>
          <w:spacing w:val="-2"/>
          <w:sz w:val="24"/>
        </w:rPr>
        <w:t> </w:t>
      </w:r>
      <w:r>
        <w:rPr>
          <w:sz w:val="24"/>
        </w:rPr>
        <w:t>the </w:t>
      </w:r>
      <w:r>
        <w:rPr>
          <w:spacing w:val="-4"/>
          <w:sz w:val="24"/>
        </w:rPr>
        <w:t>SLA.</w:t>
      </w:r>
    </w:p>
    <w:p>
      <w:pPr>
        <w:pStyle w:val="ListParagraph"/>
        <w:numPr>
          <w:ilvl w:val="0"/>
          <w:numId w:val="400"/>
        </w:numPr>
        <w:tabs>
          <w:tab w:pos="785" w:val="left" w:leader="none"/>
        </w:tabs>
        <w:spacing w:line="208" w:lineRule="auto" w:before="236" w:after="0"/>
        <w:ind w:left="360" w:right="738" w:firstLine="0"/>
        <w:jc w:val="left"/>
        <w:rPr>
          <w:sz w:val="24"/>
        </w:rPr>
      </w:pPr>
      <w:r>
        <w:rPr>
          <w:sz w:val="24"/>
        </w:rPr>
        <w:t>When the BEP Operations Coordinator determines that a BEP license should be suspended or terminated, the BEP Operations Coordinator will notify the ECM Chair</w:t>
      </w:r>
      <w:r>
        <w:rPr>
          <w:spacing w:val="40"/>
          <w:sz w:val="24"/>
        </w:rPr>
        <w:t> </w:t>
      </w:r>
      <w:r>
        <w:rPr>
          <w:sz w:val="24"/>
        </w:rPr>
        <w:t>and shall make a written recommendation to the Division Administrator.</w:t>
      </w:r>
      <w:r>
        <w:rPr>
          <w:spacing w:val="40"/>
          <w:sz w:val="24"/>
        </w:rPr>
        <w:t> </w:t>
      </w:r>
      <w:r>
        <w:rPr>
          <w:sz w:val="24"/>
        </w:rPr>
        <w:t>The Division Administrator shall then recommend to the SLA Director for action.</w:t>
      </w:r>
      <w:r>
        <w:rPr>
          <w:spacing w:val="40"/>
          <w:sz w:val="24"/>
        </w:rPr>
        <w:t> </w:t>
      </w:r>
      <w:r>
        <w:rPr>
          <w:sz w:val="24"/>
        </w:rPr>
        <w:t>The licensed manager</w:t>
      </w:r>
      <w:r>
        <w:rPr>
          <w:spacing w:val="-2"/>
          <w:sz w:val="24"/>
        </w:rPr>
        <w:t> </w:t>
      </w:r>
      <w:r>
        <w:rPr>
          <w:sz w:val="24"/>
        </w:rPr>
        <w:t>shall</w:t>
      </w:r>
      <w:r>
        <w:rPr>
          <w:spacing w:val="-3"/>
          <w:sz w:val="24"/>
        </w:rPr>
        <w:t> </w:t>
      </w:r>
      <w:r>
        <w:rPr>
          <w:sz w:val="24"/>
        </w:rPr>
        <w:t>be</w:t>
      </w:r>
      <w:r>
        <w:rPr>
          <w:spacing w:val="-3"/>
          <w:sz w:val="24"/>
        </w:rPr>
        <w:t> </w:t>
      </w:r>
      <w:r>
        <w:rPr>
          <w:sz w:val="24"/>
        </w:rPr>
        <w:t>notified</w:t>
      </w:r>
      <w:r>
        <w:rPr>
          <w:spacing w:val="-3"/>
          <w:sz w:val="24"/>
        </w:rPr>
        <w:t> </w:t>
      </w:r>
      <w:r>
        <w:rPr>
          <w:sz w:val="24"/>
        </w:rPr>
        <w:t>in</w:t>
      </w:r>
      <w:r>
        <w:rPr>
          <w:spacing w:val="-3"/>
          <w:sz w:val="24"/>
        </w:rPr>
        <w:t> </w:t>
      </w:r>
      <w:r>
        <w:rPr>
          <w:sz w:val="24"/>
        </w:rPr>
        <w:t>his</w:t>
      </w:r>
      <w:r>
        <w:rPr>
          <w:spacing w:val="-3"/>
          <w:sz w:val="24"/>
        </w:rPr>
        <w:t> </w:t>
      </w:r>
      <w:r>
        <w:rPr>
          <w:sz w:val="24"/>
        </w:rPr>
        <w:t>or</w:t>
      </w:r>
      <w:r>
        <w:rPr>
          <w:spacing w:val="-1"/>
          <w:sz w:val="24"/>
        </w:rPr>
        <w:t> </w:t>
      </w:r>
      <w:r>
        <w:rPr>
          <w:sz w:val="24"/>
        </w:rPr>
        <w:t>her</w:t>
      </w:r>
      <w:r>
        <w:rPr>
          <w:spacing w:val="-2"/>
          <w:sz w:val="24"/>
        </w:rPr>
        <w:t> </w:t>
      </w:r>
      <w:r>
        <w:rPr>
          <w:sz w:val="24"/>
        </w:rPr>
        <w:t>preferred</w:t>
      </w:r>
      <w:r>
        <w:rPr>
          <w:spacing w:val="-3"/>
          <w:sz w:val="24"/>
        </w:rPr>
        <w:t> </w:t>
      </w:r>
      <w:r>
        <w:rPr>
          <w:sz w:val="24"/>
        </w:rPr>
        <w:t>format</w:t>
      </w:r>
      <w:r>
        <w:rPr>
          <w:spacing w:val="-4"/>
          <w:sz w:val="24"/>
        </w:rPr>
        <w:t> </w:t>
      </w:r>
      <w:r>
        <w:rPr>
          <w:sz w:val="24"/>
        </w:rPr>
        <w:t>if</w:t>
      </w:r>
      <w:r>
        <w:rPr>
          <w:spacing w:val="-4"/>
          <w:sz w:val="24"/>
        </w:rPr>
        <w:t> </w:t>
      </w:r>
      <w:r>
        <w:rPr>
          <w:sz w:val="24"/>
        </w:rPr>
        <w:t>action</w:t>
      </w:r>
      <w:r>
        <w:rPr>
          <w:spacing w:val="-3"/>
          <w:sz w:val="24"/>
        </w:rPr>
        <w:t> </w:t>
      </w:r>
      <w:r>
        <w:rPr>
          <w:sz w:val="24"/>
        </w:rPr>
        <w:t>is</w:t>
      </w:r>
      <w:r>
        <w:rPr>
          <w:spacing w:val="-3"/>
          <w:sz w:val="24"/>
        </w:rPr>
        <w:t> </w:t>
      </w:r>
      <w:r>
        <w:rPr>
          <w:sz w:val="24"/>
        </w:rPr>
        <w:t>to</w:t>
      </w:r>
      <w:r>
        <w:rPr>
          <w:spacing w:val="-3"/>
          <w:sz w:val="24"/>
        </w:rPr>
        <w:t> </w:t>
      </w:r>
      <w:r>
        <w:rPr>
          <w:sz w:val="24"/>
        </w:rPr>
        <w:t>be</w:t>
      </w:r>
      <w:r>
        <w:rPr>
          <w:spacing w:val="-3"/>
          <w:sz w:val="24"/>
        </w:rPr>
        <w:t> </w:t>
      </w:r>
      <w:r>
        <w:rPr>
          <w:sz w:val="24"/>
        </w:rPr>
        <w:t>taken.</w:t>
      </w:r>
      <w:r>
        <w:rPr>
          <w:spacing w:val="40"/>
          <w:sz w:val="24"/>
        </w:rPr>
        <w:t> </w:t>
      </w:r>
      <w:r>
        <w:rPr>
          <w:sz w:val="24"/>
        </w:rPr>
        <w:t>The</w:t>
      </w:r>
      <w:r>
        <w:rPr>
          <w:spacing w:val="-3"/>
          <w:sz w:val="24"/>
        </w:rPr>
        <w:t> </w:t>
      </w:r>
      <w:r>
        <w:rPr>
          <w:sz w:val="24"/>
        </w:rPr>
        <w:t>BEP license may only be suspended or terminated after affording the licensed manager an opportunity</w:t>
      </w:r>
      <w:r>
        <w:rPr>
          <w:spacing w:val="-2"/>
          <w:sz w:val="24"/>
        </w:rPr>
        <w:t> </w:t>
      </w:r>
      <w:r>
        <w:rPr>
          <w:sz w:val="24"/>
        </w:rPr>
        <w:t>for</w:t>
      </w:r>
      <w:r>
        <w:rPr>
          <w:spacing w:val="-2"/>
          <w:sz w:val="24"/>
        </w:rPr>
        <w:t> </w:t>
      </w:r>
      <w:r>
        <w:rPr>
          <w:sz w:val="24"/>
        </w:rPr>
        <w:t>a</w:t>
      </w:r>
      <w:r>
        <w:rPr>
          <w:spacing w:val="-4"/>
          <w:sz w:val="24"/>
        </w:rPr>
        <w:t> </w:t>
      </w:r>
      <w:r>
        <w:rPr>
          <w:sz w:val="24"/>
        </w:rPr>
        <w:t>full</w:t>
      </w:r>
      <w:r>
        <w:rPr>
          <w:spacing w:val="-3"/>
          <w:sz w:val="24"/>
        </w:rPr>
        <w:t> </w:t>
      </w:r>
      <w:r>
        <w:rPr>
          <w:sz w:val="24"/>
        </w:rPr>
        <w:t>evidentiary</w:t>
      </w:r>
      <w:r>
        <w:rPr>
          <w:spacing w:val="-3"/>
          <w:sz w:val="24"/>
        </w:rPr>
        <w:t> </w:t>
      </w:r>
      <w:r>
        <w:rPr>
          <w:sz w:val="24"/>
        </w:rPr>
        <w:t>hearing</w:t>
      </w:r>
      <w:r>
        <w:rPr>
          <w:spacing w:val="-3"/>
          <w:sz w:val="24"/>
        </w:rPr>
        <w:t> </w:t>
      </w:r>
      <w:r>
        <w:rPr>
          <w:sz w:val="24"/>
        </w:rPr>
        <w:t>in</w:t>
      </w:r>
      <w:r>
        <w:rPr>
          <w:spacing w:val="-3"/>
          <w:sz w:val="24"/>
        </w:rPr>
        <w:t> </w:t>
      </w:r>
      <w:r>
        <w:rPr>
          <w:sz w:val="24"/>
        </w:rPr>
        <w:t>accordance</w:t>
      </w:r>
      <w:r>
        <w:rPr>
          <w:spacing w:val="-3"/>
          <w:sz w:val="24"/>
        </w:rPr>
        <w:t> </w:t>
      </w:r>
      <w:r>
        <w:rPr>
          <w:sz w:val="24"/>
        </w:rPr>
        <w:t>with</w:t>
      </w:r>
      <w:r>
        <w:rPr>
          <w:spacing w:val="-3"/>
          <w:sz w:val="24"/>
        </w:rPr>
        <w:t> </w:t>
      </w:r>
      <w:r>
        <w:rPr>
          <w:sz w:val="24"/>
        </w:rPr>
        <w:t>BEP</w:t>
      </w:r>
      <w:r>
        <w:rPr>
          <w:spacing w:val="-3"/>
          <w:sz w:val="24"/>
        </w:rPr>
        <w:t> </w:t>
      </w:r>
      <w:r>
        <w:rPr>
          <w:sz w:val="24"/>
        </w:rPr>
        <w:t>Rule</w:t>
      </w:r>
      <w:r>
        <w:rPr>
          <w:spacing w:val="-3"/>
          <w:sz w:val="24"/>
        </w:rPr>
        <w:t> </w:t>
      </w:r>
      <w:r>
        <w:rPr>
          <w:sz w:val="24"/>
        </w:rPr>
        <w:t>612:25-4-73.</w:t>
      </w:r>
      <w:r>
        <w:rPr>
          <w:spacing w:val="40"/>
          <w:sz w:val="24"/>
        </w:rPr>
        <w:t> </w:t>
      </w:r>
      <w:r>
        <w:rPr>
          <w:sz w:val="24"/>
        </w:rPr>
        <w:t>The licensed manager may be immediately removed from the operation pursuant to BEP Rule 612:25-6-1(c) pending the outcome of the evidentiary hearing.</w:t>
      </w:r>
    </w:p>
    <w:p>
      <w:pPr>
        <w:pStyle w:val="BodyText"/>
        <w:spacing w:before="210"/>
      </w:pPr>
      <w:r>
        <w:rPr/>
        <w:t>INSTRUCTIONS</w:t>
      </w:r>
      <w:r>
        <w:rPr>
          <w:spacing w:val="-3"/>
        </w:rPr>
        <w:t> </w:t>
      </w:r>
      <w:r>
        <w:rPr/>
        <w:t>TO</w:t>
      </w:r>
      <w:r>
        <w:rPr>
          <w:spacing w:val="-2"/>
        </w:rPr>
        <w:t> </w:t>
      </w:r>
      <w:r>
        <w:rPr>
          <w:spacing w:val="-4"/>
        </w:rPr>
        <w:t>STAFF</w:t>
      </w:r>
    </w:p>
    <w:p>
      <w:pPr>
        <w:pStyle w:val="BodyText"/>
        <w:spacing w:before="204"/>
        <w:ind w:left="720"/>
      </w:pPr>
      <w:r>
        <w:rPr/>
        <w:t>1.</w:t>
      </w:r>
      <w:r>
        <w:rPr>
          <w:spacing w:val="54"/>
          <w:w w:val="150"/>
        </w:rPr>
        <w:t> </w:t>
      </w:r>
      <w:r>
        <w:rPr/>
        <w:t>This</w:t>
      </w:r>
      <w:r>
        <w:rPr>
          <w:spacing w:val="-2"/>
        </w:rPr>
        <w:t> </w:t>
      </w:r>
      <w:r>
        <w:rPr/>
        <w:t>excludes</w:t>
      </w:r>
      <w:r>
        <w:rPr>
          <w:spacing w:val="-2"/>
        </w:rPr>
        <w:t> </w:t>
      </w:r>
      <w:r>
        <w:rPr/>
        <w:t>ATM</w:t>
      </w:r>
      <w:r>
        <w:rPr>
          <w:spacing w:val="-1"/>
        </w:rPr>
        <w:t> </w:t>
      </w:r>
      <w:r>
        <w:rPr>
          <w:spacing w:val="-2"/>
        </w:rPr>
        <w:t>machines.</w:t>
      </w:r>
    </w:p>
    <w:p>
      <w:pPr>
        <w:spacing w:line="253" w:lineRule="exact"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spacing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pStyle w:val="ListParagraph"/>
        <w:numPr>
          <w:ilvl w:val="2"/>
          <w:numId w:val="226"/>
        </w:numPr>
        <w:tabs>
          <w:tab w:pos="1439" w:val="left" w:leader="none"/>
        </w:tabs>
        <w:spacing w:line="240" w:lineRule="auto" w:before="1" w:after="0"/>
        <w:ind w:left="359" w:right="4632" w:firstLine="0"/>
        <w:jc w:val="left"/>
        <w:rPr>
          <w:sz w:val="22"/>
        </w:rPr>
      </w:pPr>
      <w:r>
        <w:rPr>
          <w:sz w:val="22"/>
        </w:rPr>
        <w:t>Permanent,</w:t>
      </w:r>
      <w:r>
        <w:rPr>
          <w:spacing w:val="-9"/>
          <w:sz w:val="22"/>
        </w:rPr>
        <w:t> </w:t>
      </w:r>
      <w:r>
        <w:rPr>
          <w:sz w:val="22"/>
        </w:rPr>
        <w:t>updating</w:t>
      </w:r>
      <w:r>
        <w:rPr>
          <w:spacing w:val="-10"/>
          <w:sz w:val="22"/>
        </w:rPr>
        <w:t> </w:t>
      </w:r>
      <w:r>
        <w:rPr>
          <w:sz w:val="22"/>
        </w:rPr>
        <w:t>and</w:t>
      </w:r>
      <w:r>
        <w:rPr>
          <w:spacing w:val="-10"/>
          <w:sz w:val="22"/>
        </w:rPr>
        <w:t> </w:t>
      </w:r>
      <w:r>
        <w:rPr>
          <w:sz w:val="22"/>
        </w:rPr>
        <w:t>clarifying</w:t>
      </w:r>
      <w:r>
        <w:rPr>
          <w:spacing w:val="-10"/>
          <w:sz w:val="22"/>
        </w:rPr>
        <w:t> </w:t>
      </w:r>
      <w:r>
        <w:rPr>
          <w:sz w:val="22"/>
        </w:rPr>
        <w:t>language </w:t>
      </w:r>
      <w:r>
        <w:rPr>
          <w:spacing w:val="-2"/>
          <w:sz w:val="22"/>
        </w:rPr>
        <w:t>8-27-15</w:t>
      </w:r>
      <w:r>
        <w:rPr>
          <w:sz w:val="22"/>
        </w:rPr>
        <w:tab/>
        <w:t>Updated language.</w:t>
      </w:r>
    </w:p>
    <w:p>
      <w:pPr>
        <w:tabs>
          <w:tab w:pos="1439" w:val="left" w:leader="none"/>
        </w:tabs>
        <w:spacing w:before="0"/>
        <w:ind w:left="1439" w:right="727" w:hanging="1080"/>
        <w:jc w:val="left"/>
        <w:rPr>
          <w:sz w:val="22"/>
        </w:rPr>
      </w:pPr>
      <w:r>
        <w:rPr>
          <w:spacing w:val="-2"/>
          <w:sz w:val="22"/>
        </w:rPr>
        <w:t>9-11-22</w:t>
      </w:r>
      <w:r>
        <w:rPr>
          <w:sz w:val="22"/>
        </w:rPr>
        <w:tab/>
        <w:t>Revised (a) (13) to use a third-party vendor to operate the assigned business enterprise facility. Added section (14) operating a motor vehicle and (15)</w:t>
      </w:r>
      <w:r>
        <w:rPr>
          <w:spacing w:val="40"/>
          <w:sz w:val="22"/>
        </w:rPr>
        <w:t> </w:t>
      </w:r>
      <w:r>
        <w:rPr>
          <w:sz w:val="22"/>
        </w:rPr>
        <w:t>representing</w:t>
      </w:r>
      <w:r>
        <w:rPr>
          <w:spacing w:val="-5"/>
          <w:sz w:val="22"/>
        </w:rPr>
        <w:t> </w:t>
      </w:r>
      <w:r>
        <w:rPr>
          <w:sz w:val="22"/>
        </w:rPr>
        <w:t>one’s</w:t>
      </w:r>
      <w:r>
        <w:rPr>
          <w:spacing w:val="-4"/>
          <w:sz w:val="22"/>
        </w:rPr>
        <w:t> </w:t>
      </w:r>
      <w:r>
        <w:rPr>
          <w:sz w:val="22"/>
        </w:rPr>
        <w:t>self</w:t>
      </w:r>
      <w:r>
        <w:rPr>
          <w:spacing w:val="-4"/>
          <w:sz w:val="22"/>
        </w:rPr>
        <w:t> </w:t>
      </w:r>
      <w:r>
        <w:rPr>
          <w:sz w:val="22"/>
        </w:rPr>
        <w:t>as</w:t>
      </w:r>
      <w:r>
        <w:rPr>
          <w:spacing w:val="-4"/>
          <w:sz w:val="22"/>
        </w:rPr>
        <w:t> </w:t>
      </w:r>
      <w:r>
        <w:rPr>
          <w:sz w:val="22"/>
        </w:rPr>
        <w:t>an</w:t>
      </w:r>
      <w:r>
        <w:rPr>
          <w:spacing w:val="-4"/>
          <w:sz w:val="22"/>
        </w:rPr>
        <w:t> </w:t>
      </w:r>
      <w:r>
        <w:rPr>
          <w:sz w:val="22"/>
        </w:rPr>
        <w:t>agent</w:t>
      </w:r>
      <w:r>
        <w:rPr>
          <w:spacing w:val="-4"/>
          <w:sz w:val="22"/>
        </w:rPr>
        <w:t> </w:t>
      </w:r>
      <w:r>
        <w:rPr>
          <w:sz w:val="22"/>
        </w:rPr>
        <w:t>under</w:t>
      </w:r>
      <w:r>
        <w:rPr>
          <w:spacing w:val="-4"/>
          <w:sz w:val="22"/>
        </w:rPr>
        <w:t> </w:t>
      </w:r>
      <w:r>
        <w:rPr>
          <w:sz w:val="22"/>
        </w:rPr>
        <w:t>(a).</w:t>
      </w:r>
      <w:r>
        <w:rPr>
          <w:spacing w:val="-4"/>
          <w:sz w:val="22"/>
        </w:rPr>
        <w:t> </w:t>
      </w:r>
      <w:r>
        <w:rPr>
          <w:sz w:val="22"/>
        </w:rPr>
        <w:t>Added</w:t>
      </w:r>
      <w:r>
        <w:rPr>
          <w:spacing w:val="-4"/>
          <w:sz w:val="22"/>
        </w:rPr>
        <w:t> </w:t>
      </w:r>
      <w:r>
        <w:rPr>
          <w:sz w:val="22"/>
        </w:rPr>
        <w:t>language</w:t>
      </w:r>
      <w:r>
        <w:rPr>
          <w:spacing w:val="-4"/>
          <w:sz w:val="22"/>
        </w:rPr>
        <w:t> </w:t>
      </w:r>
      <w:r>
        <w:rPr>
          <w:sz w:val="22"/>
        </w:rPr>
        <w:t>to</w:t>
      </w:r>
      <w:r>
        <w:rPr>
          <w:spacing w:val="-4"/>
          <w:sz w:val="22"/>
        </w:rPr>
        <w:t> </w:t>
      </w:r>
      <w:r>
        <w:rPr>
          <w:sz w:val="22"/>
        </w:rPr>
        <w:t>provide</w:t>
      </w:r>
      <w:r>
        <w:rPr>
          <w:spacing w:val="-5"/>
          <w:sz w:val="22"/>
        </w:rPr>
        <w:t> </w:t>
      </w:r>
      <w:r>
        <w:rPr>
          <w:sz w:val="22"/>
        </w:rPr>
        <w:t>information in individuals preferred format.</w:t>
      </w:r>
    </w:p>
    <w:p>
      <w:pPr>
        <w:spacing w:after="0"/>
        <w:jc w:val="left"/>
        <w:rPr>
          <w:sz w:val="22"/>
        </w:rPr>
        <w:sectPr>
          <w:pgSz w:w="12240" w:h="15840"/>
          <w:pgMar w:top="1360" w:bottom="280" w:left="1080" w:right="720"/>
        </w:sectPr>
      </w:pPr>
    </w:p>
    <w:p>
      <w:pPr>
        <w:pStyle w:val="Heading2"/>
      </w:pPr>
      <w:bookmarkStart w:name="612:25-6-4.  Use of service animals" w:id="426"/>
      <w:bookmarkEnd w:id="426"/>
      <w:r>
        <w:rPr>
          <w:b w:val="0"/>
        </w:rPr>
      </w:r>
      <w:r>
        <w:rPr/>
        <w:t>612:25-6-4.</w:t>
      </w:r>
      <w:r>
        <w:rPr>
          <w:spacing w:val="61"/>
        </w:rPr>
        <w:t> </w:t>
      </w:r>
      <w:r>
        <w:rPr/>
        <w:t>Use</w:t>
      </w:r>
      <w:r>
        <w:rPr>
          <w:spacing w:val="-3"/>
        </w:rPr>
        <w:t> </w:t>
      </w:r>
      <w:r>
        <w:rPr/>
        <w:t>of</w:t>
      </w:r>
      <w:r>
        <w:rPr>
          <w:spacing w:val="-4"/>
        </w:rPr>
        <w:t> </w:t>
      </w:r>
      <w:r>
        <w:rPr/>
        <w:t>service</w:t>
      </w:r>
      <w:r>
        <w:rPr>
          <w:spacing w:val="-2"/>
        </w:rPr>
        <w:t> animals</w:t>
      </w:r>
    </w:p>
    <w:p>
      <w:pPr>
        <w:spacing w:before="237"/>
        <w:ind w:left="360" w:right="775" w:firstLine="449"/>
        <w:jc w:val="left"/>
        <w:rPr>
          <w:sz w:val="22"/>
        </w:rPr>
      </w:pPr>
      <w:r>
        <w:rPr>
          <w:sz w:val="22"/>
        </w:rPr>
        <w:t>Services</w:t>
      </w:r>
      <w:r>
        <w:rPr>
          <w:spacing w:val="-4"/>
          <w:sz w:val="22"/>
        </w:rPr>
        <w:t> </w:t>
      </w:r>
      <w:r>
        <w:rPr>
          <w:sz w:val="22"/>
        </w:rPr>
        <w:t>Animal</w:t>
      </w:r>
      <w:r>
        <w:rPr>
          <w:spacing w:val="-4"/>
          <w:sz w:val="22"/>
        </w:rPr>
        <w:t> </w:t>
      </w:r>
      <w:r>
        <w:rPr>
          <w:sz w:val="22"/>
        </w:rPr>
        <w:t>and/or</w:t>
      </w:r>
      <w:r>
        <w:rPr>
          <w:spacing w:val="-4"/>
          <w:sz w:val="22"/>
        </w:rPr>
        <w:t> </w:t>
      </w:r>
      <w:r>
        <w:rPr>
          <w:sz w:val="22"/>
        </w:rPr>
        <w:t>Guide</w:t>
      </w:r>
      <w:r>
        <w:rPr>
          <w:spacing w:val="-4"/>
          <w:sz w:val="22"/>
        </w:rPr>
        <w:t> </w:t>
      </w:r>
      <w:r>
        <w:rPr>
          <w:sz w:val="22"/>
        </w:rPr>
        <w:t>dog</w:t>
      </w:r>
      <w:r>
        <w:rPr>
          <w:spacing w:val="-4"/>
          <w:sz w:val="22"/>
        </w:rPr>
        <w:t> </w:t>
      </w:r>
      <w:r>
        <w:rPr>
          <w:sz w:val="22"/>
        </w:rPr>
        <w:t>Teams</w:t>
      </w:r>
      <w:r>
        <w:rPr>
          <w:spacing w:val="-4"/>
          <w:sz w:val="22"/>
        </w:rPr>
        <w:t> </w:t>
      </w:r>
      <w:r>
        <w:rPr>
          <w:sz w:val="22"/>
        </w:rPr>
        <w:t>will</w:t>
      </w:r>
      <w:r>
        <w:rPr>
          <w:spacing w:val="-4"/>
          <w:sz w:val="22"/>
        </w:rPr>
        <w:t> </w:t>
      </w:r>
      <w:r>
        <w:rPr>
          <w:sz w:val="22"/>
        </w:rPr>
        <w:t>comply</w:t>
      </w:r>
      <w:r>
        <w:rPr>
          <w:spacing w:val="-4"/>
          <w:sz w:val="22"/>
        </w:rPr>
        <w:t> </w:t>
      </w:r>
      <w:r>
        <w:rPr>
          <w:sz w:val="22"/>
        </w:rPr>
        <w:t>with</w:t>
      </w:r>
      <w:r>
        <w:rPr>
          <w:spacing w:val="-4"/>
          <w:sz w:val="22"/>
        </w:rPr>
        <w:t> </w:t>
      </w:r>
      <w:r>
        <w:rPr>
          <w:sz w:val="22"/>
        </w:rPr>
        <w:t>all</w:t>
      </w:r>
      <w:r>
        <w:rPr>
          <w:spacing w:val="-5"/>
          <w:sz w:val="22"/>
        </w:rPr>
        <w:t> </w:t>
      </w:r>
      <w:r>
        <w:rPr>
          <w:sz w:val="22"/>
        </w:rPr>
        <w:t>regulatory</w:t>
      </w:r>
      <w:r>
        <w:rPr>
          <w:spacing w:val="-4"/>
          <w:sz w:val="22"/>
        </w:rPr>
        <w:t> </w:t>
      </w:r>
      <w:r>
        <w:rPr>
          <w:sz w:val="22"/>
        </w:rPr>
        <w:t>Laws</w:t>
      </w:r>
      <w:r>
        <w:rPr>
          <w:spacing w:val="-4"/>
          <w:sz w:val="22"/>
        </w:rPr>
        <w:t> </w:t>
      </w:r>
      <w:r>
        <w:rPr>
          <w:sz w:val="22"/>
        </w:rPr>
        <w:t>and Ordinances that govern the use of a Service Animal and/or Guide Dog.</w:t>
      </w:r>
    </w:p>
    <w:p>
      <w:pPr>
        <w:spacing w:before="252"/>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before="1"/>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spacing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tabs>
          <w:tab w:pos="1439" w:val="left" w:leader="none"/>
        </w:tabs>
        <w:spacing w:before="0"/>
        <w:ind w:left="359" w:right="0" w:firstLine="0"/>
        <w:jc w:val="left"/>
        <w:rPr>
          <w:sz w:val="22"/>
        </w:rPr>
      </w:pPr>
      <w:r>
        <w:rPr>
          <w:spacing w:val="-2"/>
          <w:sz w:val="22"/>
        </w:rPr>
        <w:t>9-12-</w:t>
      </w:r>
      <w:r>
        <w:rPr>
          <w:spacing w:val="-5"/>
          <w:sz w:val="22"/>
        </w:rPr>
        <w:t>14</w:t>
      </w:r>
      <w:r>
        <w:rPr>
          <w:sz w:val="22"/>
        </w:rPr>
        <w:tab/>
        <w:t>Permanent,</w:t>
      </w:r>
      <w:r>
        <w:rPr>
          <w:spacing w:val="-10"/>
          <w:sz w:val="22"/>
        </w:rPr>
        <w:t> </w:t>
      </w:r>
      <w:r>
        <w:rPr>
          <w:sz w:val="22"/>
        </w:rPr>
        <w:t>updated</w:t>
      </w:r>
      <w:r>
        <w:rPr>
          <w:spacing w:val="-11"/>
          <w:sz w:val="22"/>
        </w:rPr>
        <w:t> </w:t>
      </w:r>
      <w:r>
        <w:rPr>
          <w:spacing w:val="-2"/>
          <w:sz w:val="22"/>
        </w:rPr>
        <w:t>language</w:t>
      </w:r>
    </w:p>
    <w:p>
      <w:pPr>
        <w:tabs>
          <w:tab w:pos="1439" w:val="left" w:leader="none"/>
        </w:tabs>
        <w:spacing w:before="0"/>
        <w:ind w:left="359" w:right="0" w:firstLine="0"/>
        <w:jc w:val="left"/>
        <w:rPr>
          <w:sz w:val="22"/>
        </w:rPr>
      </w:pPr>
      <w:r>
        <w:rPr>
          <w:spacing w:val="-2"/>
          <w:sz w:val="22"/>
        </w:rPr>
        <w:t>9-11-</w:t>
      </w:r>
      <w:r>
        <w:rPr>
          <w:spacing w:val="-5"/>
          <w:sz w:val="22"/>
        </w:rPr>
        <w:t>22</w:t>
      </w:r>
      <w:r>
        <w:rPr>
          <w:sz w:val="22"/>
        </w:rPr>
        <w:tab/>
        <w:t>Removed</w:t>
      </w:r>
      <w:r>
        <w:rPr>
          <w:spacing w:val="-12"/>
          <w:sz w:val="22"/>
        </w:rPr>
        <w:t> </w:t>
      </w:r>
      <w:r>
        <w:rPr>
          <w:sz w:val="22"/>
        </w:rPr>
        <w:t>antiquated</w:t>
      </w:r>
      <w:r>
        <w:rPr>
          <w:spacing w:val="-11"/>
          <w:sz w:val="22"/>
        </w:rPr>
        <w:t> </w:t>
      </w:r>
      <w:r>
        <w:rPr>
          <w:sz w:val="22"/>
        </w:rPr>
        <w:t>language</w:t>
      </w:r>
      <w:r>
        <w:rPr>
          <w:spacing w:val="-12"/>
          <w:sz w:val="22"/>
        </w:rPr>
        <w:t> </w:t>
      </w:r>
      <w:r>
        <w:rPr>
          <w:sz w:val="22"/>
        </w:rPr>
        <w:t>(a)-</w:t>
      </w:r>
      <w:r>
        <w:rPr>
          <w:spacing w:val="-4"/>
          <w:sz w:val="22"/>
        </w:rPr>
        <w:t>(e).</w:t>
      </w:r>
    </w:p>
    <w:p>
      <w:pPr>
        <w:spacing w:after="0"/>
        <w:jc w:val="left"/>
        <w:rPr>
          <w:sz w:val="22"/>
        </w:rPr>
        <w:sectPr>
          <w:pgSz w:w="12240" w:h="15840"/>
          <w:pgMar w:top="1340" w:bottom="280" w:left="1080" w:right="720"/>
        </w:sectPr>
      </w:pPr>
    </w:p>
    <w:p>
      <w:pPr>
        <w:pStyle w:val="Heading1"/>
        <w:ind w:right="778"/>
      </w:pPr>
      <w:bookmarkStart w:name="PART 3. BUSINESS ENTERPRISES" w:id="427"/>
      <w:bookmarkEnd w:id="427"/>
      <w:r>
        <w:rPr>
          <w:b w:val="0"/>
        </w:rPr>
      </w:r>
      <w:r>
        <w:rPr/>
        <w:t>PART</w:t>
      </w:r>
      <w:r>
        <w:rPr>
          <w:spacing w:val="-2"/>
        </w:rPr>
        <w:t> </w:t>
      </w:r>
      <w:r>
        <w:rPr/>
        <w:t>3.</w:t>
      </w:r>
      <w:r>
        <w:rPr>
          <w:spacing w:val="-4"/>
        </w:rPr>
        <w:t> </w:t>
      </w:r>
      <w:r>
        <w:rPr/>
        <w:t>BUSINESS</w:t>
      </w:r>
      <w:r>
        <w:rPr>
          <w:spacing w:val="-1"/>
        </w:rPr>
        <w:t> </w:t>
      </w:r>
      <w:r>
        <w:rPr>
          <w:spacing w:val="-2"/>
        </w:rPr>
        <w:t>ENTERPRISES</w:t>
      </w:r>
    </w:p>
    <w:p>
      <w:pPr>
        <w:pStyle w:val="BodyText"/>
        <w:spacing w:before="204"/>
        <w:ind w:left="359"/>
      </w:pPr>
      <w:r>
        <w:rPr>
          <w:spacing w:val="-2"/>
        </w:rPr>
        <w:t>Section</w:t>
      </w:r>
    </w:p>
    <w:p>
      <w:pPr>
        <w:pStyle w:val="BodyText"/>
        <w:tabs>
          <w:tab w:pos="2159" w:val="left" w:leader="none"/>
        </w:tabs>
        <w:spacing w:before="204"/>
        <w:ind w:left="359"/>
      </w:pPr>
      <w:r>
        <w:rPr>
          <w:spacing w:val="-2"/>
        </w:rPr>
        <w:t>612:25-6-</w:t>
      </w:r>
      <w:r>
        <w:rPr>
          <w:spacing w:val="-5"/>
        </w:rPr>
        <w:t>15.</w:t>
      </w:r>
      <w:r>
        <w:rPr/>
        <w:tab/>
        <w:t>Setting</w:t>
      </w:r>
      <w:r>
        <w:rPr>
          <w:spacing w:val="-5"/>
        </w:rPr>
        <w:t> </w:t>
      </w:r>
      <w:r>
        <w:rPr/>
        <w:t>aside</w:t>
      </w:r>
      <w:r>
        <w:rPr>
          <w:spacing w:val="-2"/>
        </w:rPr>
        <w:t> </w:t>
      </w:r>
      <w:r>
        <w:rPr/>
        <w:t>of</w:t>
      </w:r>
      <w:r>
        <w:rPr>
          <w:spacing w:val="-1"/>
        </w:rPr>
        <w:t> </w:t>
      </w:r>
      <w:r>
        <w:rPr>
          <w:spacing w:val="-2"/>
        </w:rPr>
        <w:t>funds</w:t>
      </w:r>
    </w:p>
    <w:p>
      <w:pPr>
        <w:pStyle w:val="BodyText"/>
        <w:tabs>
          <w:tab w:pos="2159" w:val="left" w:leader="none"/>
        </w:tabs>
        <w:spacing w:before="204"/>
        <w:ind w:left="359"/>
      </w:pPr>
      <w:r>
        <w:rPr>
          <w:spacing w:val="-2"/>
        </w:rPr>
        <w:t>612:25-6-</w:t>
      </w:r>
      <w:r>
        <w:rPr>
          <w:spacing w:val="-5"/>
        </w:rPr>
        <w:t>16.</w:t>
      </w:r>
      <w:r>
        <w:rPr/>
        <w:tab/>
        <w:t>Criteria</w:t>
      </w:r>
      <w:r>
        <w:rPr>
          <w:spacing w:val="-5"/>
        </w:rPr>
        <w:t> </w:t>
      </w:r>
      <w:r>
        <w:rPr/>
        <w:t>to</w:t>
      </w:r>
      <w:r>
        <w:rPr>
          <w:spacing w:val="-4"/>
        </w:rPr>
        <w:t> </w:t>
      </w:r>
      <w:r>
        <w:rPr/>
        <w:t>establish</w:t>
      </w:r>
      <w:r>
        <w:rPr>
          <w:spacing w:val="-3"/>
        </w:rPr>
        <w:t> </w:t>
      </w:r>
      <w:r>
        <w:rPr/>
        <w:t>a</w:t>
      </w:r>
      <w:r>
        <w:rPr>
          <w:spacing w:val="-2"/>
        </w:rPr>
        <w:t> </w:t>
      </w:r>
      <w:r>
        <w:rPr/>
        <w:t>business</w:t>
      </w:r>
      <w:r>
        <w:rPr>
          <w:spacing w:val="-2"/>
        </w:rPr>
        <w:t> enterprise</w:t>
      </w:r>
    </w:p>
    <w:p>
      <w:pPr>
        <w:pStyle w:val="BodyText"/>
        <w:tabs>
          <w:tab w:pos="2159" w:val="left" w:leader="none"/>
        </w:tabs>
        <w:spacing w:line="417" w:lineRule="auto" w:before="204"/>
        <w:ind w:left="359" w:right="2382"/>
      </w:pPr>
      <w:r>
        <w:rPr>
          <w:spacing w:val="-2"/>
        </w:rPr>
        <w:t>612:25-6-17.</w:t>
      </w:r>
      <w:r>
        <w:rPr/>
        <w:tab/>
        <w:t>Contracts and permits for business enterprise facilities </w:t>
      </w:r>
      <w:r>
        <w:rPr>
          <w:spacing w:val="-2"/>
        </w:rPr>
        <w:t>612:25-6-18.</w:t>
      </w:r>
      <w:r>
        <w:rPr/>
        <w:tab/>
        <w:t>Establishing</w:t>
      </w:r>
      <w:r>
        <w:rPr>
          <w:spacing w:val="-8"/>
        </w:rPr>
        <w:t> </w:t>
      </w:r>
      <w:r>
        <w:rPr/>
        <w:t>licensed</w:t>
      </w:r>
      <w:r>
        <w:rPr>
          <w:spacing w:val="-8"/>
        </w:rPr>
        <w:t> </w:t>
      </w:r>
      <w:r>
        <w:rPr/>
        <w:t>managers</w:t>
      </w:r>
      <w:r>
        <w:rPr>
          <w:spacing w:val="-8"/>
        </w:rPr>
        <w:t> </w:t>
      </w:r>
      <w:r>
        <w:rPr/>
        <w:t>in</w:t>
      </w:r>
      <w:r>
        <w:rPr>
          <w:spacing w:val="-8"/>
        </w:rPr>
        <w:t> </w:t>
      </w:r>
      <w:r>
        <w:rPr/>
        <w:t>business</w:t>
      </w:r>
      <w:r>
        <w:rPr>
          <w:spacing w:val="-7"/>
        </w:rPr>
        <w:t> </w:t>
      </w:r>
      <w:r>
        <w:rPr/>
        <w:t>enterprises </w:t>
      </w:r>
      <w:r>
        <w:rPr>
          <w:spacing w:val="-2"/>
        </w:rPr>
        <w:t>612:25-6-19.</w:t>
      </w:r>
      <w:r>
        <w:rPr/>
        <w:tab/>
        <w:t>Employees of the licensed manager</w:t>
      </w:r>
    </w:p>
    <w:p>
      <w:pPr>
        <w:pStyle w:val="BodyText"/>
        <w:tabs>
          <w:tab w:pos="2159" w:val="left" w:leader="none"/>
        </w:tabs>
        <w:spacing w:line="417" w:lineRule="auto" w:before="0"/>
        <w:ind w:left="359" w:right="5128"/>
      </w:pPr>
      <w:r>
        <w:rPr>
          <w:spacing w:val="-2"/>
        </w:rPr>
        <w:t>612:25-6-20.</w:t>
      </w:r>
      <w:r>
        <w:rPr/>
        <w:tab/>
        <w:t>Closing</w:t>
      </w:r>
      <w:r>
        <w:rPr>
          <w:spacing w:val="-12"/>
        </w:rPr>
        <w:t> </w:t>
      </w:r>
      <w:r>
        <w:rPr/>
        <w:t>a</w:t>
      </w:r>
      <w:r>
        <w:rPr>
          <w:spacing w:val="-12"/>
        </w:rPr>
        <w:t> </w:t>
      </w:r>
      <w:r>
        <w:rPr/>
        <w:t>business</w:t>
      </w:r>
      <w:r>
        <w:rPr>
          <w:spacing w:val="-12"/>
        </w:rPr>
        <w:t> </w:t>
      </w:r>
      <w:r>
        <w:rPr/>
        <w:t>enterprise </w:t>
      </w:r>
      <w:r>
        <w:rPr>
          <w:spacing w:val="-2"/>
        </w:rPr>
        <w:t>612:25-6-21.</w:t>
      </w:r>
      <w:r>
        <w:rPr/>
        <w:tab/>
        <w:t>Business expenses</w:t>
      </w:r>
    </w:p>
    <w:p>
      <w:pPr>
        <w:pStyle w:val="BodyText"/>
        <w:tabs>
          <w:tab w:pos="2159" w:val="left" w:leader="none"/>
        </w:tabs>
        <w:spacing w:line="276" w:lineRule="exact" w:before="0"/>
        <w:ind w:left="359"/>
      </w:pPr>
      <w:r>
        <w:rPr>
          <w:spacing w:val="-2"/>
        </w:rPr>
        <w:t>612:25-6-</w:t>
      </w:r>
      <w:r>
        <w:rPr>
          <w:spacing w:val="-5"/>
        </w:rPr>
        <w:t>22.</w:t>
      </w:r>
      <w:r>
        <w:rPr/>
        <w:tab/>
        <w:t>Monthly</w:t>
      </w:r>
      <w:r>
        <w:rPr>
          <w:spacing w:val="-4"/>
        </w:rPr>
        <w:t> </w:t>
      </w:r>
      <w:r>
        <w:rPr>
          <w:spacing w:val="-2"/>
        </w:rPr>
        <w:t>reports</w:t>
      </w:r>
    </w:p>
    <w:p>
      <w:pPr>
        <w:pStyle w:val="BodyText"/>
        <w:spacing w:after="0" w:line="276" w:lineRule="exact"/>
        <w:sectPr>
          <w:pgSz w:w="12240" w:h="15840"/>
          <w:pgMar w:top="1340" w:bottom="280" w:left="1080" w:right="720"/>
        </w:sectPr>
      </w:pPr>
    </w:p>
    <w:p>
      <w:pPr>
        <w:pStyle w:val="Heading2"/>
      </w:pPr>
      <w:bookmarkStart w:name="612:25-6-15.  Setting aside of funds" w:id="428"/>
      <w:bookmarkEnd w:id="428"/>
      <w:r>
        <w:rPr>
          <w:b w:val="0"/>
        </w:rPr>
      </w:r>
      <w:r>
        <w:rPr/>
        <w:t>612:25-6-15.</w:t>
      </w:r>
      <w:r>
        <w:rPr>
          <w:spacing w:val="60"/>
        </w:rPr>
        <w:t> </w:t>
      </w:r>
      <w:r>
        <w:rPr/>
        <w:t>Setting</w:t>
      </w:r>
      <w:r>
        <w:rPr>
          <w:spacing w:val="-4"/>
        </w:rPr>
        <w:t> </w:t>
      </w:r>
      <w:r>
        <w:rPr/>
        <w:t>aside</w:t>
      </w:r>
      <w:r>
        <w:rPr>
          <w:spacing w:val="-3"/>
        </w:rPr>
        <w:t> </w:t>
      </w:r>
      <w:r>
        <w:rPr/>
        <w:t>of</w:t>
      </w:r>
      <w:r>
        <w:rPr>
          <w:spacing w:val="-2"/>
        </w:rPr>
        <w:t> funds</w:t>
      </w:r>
    </w:p>
    <w:p>
      <w:pPr>
        <w:pStyle w:val="ListParagraph"/>
        <w:numPr>
          <w:ilvl w:val="0"/>
          <w:numId w:val="401"/>
        </w:numPr>
        <w:tabs>
          <w:tab w:pos="785" w:val="left" w:leader="none"/>
        </w:tabs>
        <w:spacing w:line="208" w:lineRule="auto" w:before="233" w:after="0"/>
        <w:ind w:left="359" w:right="1022" w:firstLine="0"/>
        <w:jc w:val="left"/>
        <w:rPr>
          <w:sz w:val="24"/>
        </w:rPr>
      </w:pPr>
      <w:r>
        <w:rPr>
          <w:sz w:val="24"/>
        </w:rPr>
        <w:t>Set-aside charges paid by the licensed manager will be placed in a revolving account maintained by the SLA. Set-aside charges will be re-evaluated yearly by the SLA</w:t>
      </w:r>
      <w:r>
        <w:rPr>
          <w:spacing w:val="-4"/>
          <w:sz w:val="24"/>
        </w:rPr>
        <w:t> </w:t>
      </w:r>
      <w:r>
        <w:rPr>
          <w:sz w:val="24"/>
        </w:rPr>
        <w:t>and</w:t>
      </w:r>
      <w:r>
        <w:rPr>
          <w:spacing w:val="-4"/>
          <w:sz w:val="24"/>
        </w:rPr>
        <w:t> </w:t>
      </w:r>
      <w:r>
        <w:rPr>
          <w:sz w:val="24"/>
        </w:rPr>
        <w:t>the</w:t>
      </w:r>
      <w:r>
        <w:rPr>
          <w:spacing w:val="-4"/>
          <w:sz w:val="24"/>
        </w:rPr>
        <w:t> </w:t>
      </w:r>
      <w:r>
        <w:rPr>
          <w:sz w:val="24"/>
        </w:rPr>
        <w:t>Elected</w:t>
      </w:r>
      <w:r>
        <w:rPr>
          <w:spacing w:val="-4"/>
          <w:sz w:val="24"/>
        </w:rPr>
        <w:t> </w:t>
      </w:r>
      <w:r>
        <w:rPr>
          <w:sz w:val="24"/>
        </w:rPr>
        <w:t>Committee</w:t>
      </w:r>
      <w:r>
        <w:rPr>
          <w:spacing w:val="-5"/>
          <w:sz w:val="24"/>
        </w:rPr>
        <w:t> </w:t>
      </w:r>
      <w:r>
        <w:rPr>
          <w:sz w:val="24"/>
        </w:rPr>
        <w:t>of</w:t>
      </w:r>
      <w:r>
        <w:rPr>
          <w:spacing w:val="-3"/>
          <w:sz w:val="24"/>
        </w:rPr>
        <w:t> </w:t>
      </w:r>
      <w:r>
        <w:rPr>
          <w:sz w:val="24"/>
        </w:rPr>
        <w:t>Licensed</w:t>
      </w:r>
      <w:r>
        <w:rPr>
          <w:spacing w:val="-3"/>
          <w:sz w:val="24"/>
        </w:rPr>
        <w:t> </w:t>
      </w:r>
      <w:r>
        <w:rPr>
          <w:sz w:val="24"/>
        </w:rPr>
        <w:t>Managers</w:t>
      </w:r>
      <w:r>
        <w:rPr>
          <w:spacing w:val="-6"/>
          <w:sz w:val="24"/>
        </w:rPr>
        <w:t> </w:t>
      </w:r>
      <w:r>
        <w:rPr>
          <w:sz w:val="24"/>
        </w:rPr>
        <w:t>and</w:t>
      </w:r>
      <w:r>
        <w:rPr>
          <w:spacing w:val="-4"/>
          <w:sz w:val="24"/>
        </w:rPr>
        <w:t> </w:t>
      </w:r>
      <w:r>
        <w:rPr>
          <w:sz w:val="24"/>
        </w:rPr>
        <w:t>RSA.</w:t>
      </w:r>
      <w:r>
        <w:rPr>
          <w:spacing w:val="-2"/>
          <w:sz w:val="24"/>
        </w:rPr>
        <w:t> </w:t>
      </w:r>
      <w:r>
        <w:rPr>
          <w:sz w:val="24"/>
        </w:rPr>
        <w:t>Adjustments</w:t>
      </w:r>
      <w:r>
        <w:rPr>
          <w:spacing w:val="-4"/>
          <w:sz w:val="24"/>
        </w:rPr>
        <w:t> </w:t>
      </w:r>
      <w:r>
        <w:rPr>
          <w:sz w:val="24"/>
        </w:rPr>
        <w:t>will</w:t>
      </w:r>
      <w:r>
        <w:rPr>
          <w:spacing w:val="-4"/>
          <w:sz w:val="24"/>
        </w:rPr>
        <w:t> </w:t>
      </w:r>
      <w:r>
        <w:rPr>
          <w:sz w:val="24"/>
        </w:rPr>
        <w:t>be made accordingly in the appropriate classification, with allowances for reasonable charges for improving services, fluctuation of costs, and for program expansion.</w:t>
      </w:r>
    </w:p>
    <w:p>
      <w:pPr>
        <w:pStyle w:val="ListParagraph"/>
        <w:numPr>
          <w:ilvl w:val="0"/>
          <w:numId w:val="401"/>
        </w:numPr>
        <w:tabs>
          <w:tab w:pos="785" w:val="left" w:leader="none"/>
        </w:tabs>
        <w:spacing w:line="240" w:lineRule="auto" w:before="210" w:after="0"/>
        <w:ind w:left="785" w:right="0" w:hanging="426"/>
        <w:jc w:val="left"/>
        <w:rPr>
          <w:sz w:val="24"/>
        </w:rPr>
      </w:pPr>
      <w:r>
        <w:rPr>
          <w:sz w:val="24"/>
        </w:rPr>
        <w:t>Funds</w:t>
      </w:r>
      <w:r>
        <w:rPr>
          <w:spacing w:val="-4"/>
          <w:sz w:val="24"/>
        </w:rPr>
        <w:t> </w:t>
      </w:r>
      <w:r>
        <w:rPr>
          <w:sz w:val="24"/>
        </w:rPr>
        <w:t>will</w:t>
      </w:r>
      <w:r>
        <w:rPr>
          <w:spacing w:val="-2"/>
          <w:sz w:val="24"/>
        </w:rPr>
        <w:t> </w:t>
      </w:r>
      <w:r>
        <w:rPr>
          <w:sz w:val="24"/>
        </w:rPr>
        <w:t>be</w:t>
      </w:r>
      <w:r>
        <w:rPr>
          <w:spacing w:val="-2"/>
          <w:sz w:val="24"/>
        </w:rPr>
        <w:t> </w:t>
      </w:r>
      <w:r>
        <w:rPr>
          <w:sz w:val="24"/>
        </w:rPr>
        <w:t>set</w:t>
      </w:r>
      <w:r>
        <w:rPr>
          <w:spacing w:val="-1"/>
          <w:sz w:val="24"/>
        </w:rPr>
        <w:t> </w:t>
      </w:r>
      <w:r>
        <w:rPr>
          <w:sz w:val="24"/>
        </w:rPr>
        <w:t>aside</w:t>
      </w:r>
      <w:r>
        <w:rPr>
          <w:spacing w:val="-3"/>
          <w:sz w:val="24"/>
        </w:rPr>
        <w:t> </w:t>
      </w:r>
      <w:r>
        <w:rPr>
          <w:sz w:val="24"/>
        </w:rPr>
        <w:t>only</w:t>
      </w:r>
      <w:r>
        <w:rPr>
          <w:spacing w:val="-2"/>
          <w:sz w:val="24"/>
        </w:rPr>
        <w:t> </w:t>
      </w:r>
      <w:r>
        <w:rPr>
          <w:sz w:val="24"/>
        </w:rPr>
        <w:t>for</w:t>
      </w:r>
      <w:r>
        <w:rPr>
          <w:spacing w:val="-1"/>
          <w:sz w:val="24"/>
        </w:rPr>
        <w:t> </w:t>
      </w:r>
      <w:r>
        <w:rPr>
          <w:sz w:val="24"/>
        </w:rPr>
        <w:t>the</w:t>
      </w:r>
      <w:r>
        <w:rPr>
          <w:spacing w:val="-2"/>
          <w:sz w:val="24"/>
        </w:rPr>
        <w:t> </w:t>
      </w:r>
      <w:r>
        <w:rPr>
          <w:sz w:val="24"/>
        </w:rPr>
        <w:t>purpose</w:t>
      </w:r>
      <w:r>
        <w:rPr>
          <w:spacing w:val="-2"/>
          <w:sz w:val="24"/>
        </w:rPr>
        <w:t> </w:t>
      </w:r>
      <w:r>
        <w:rPr>
          <w:spacing w:val="-5"/>
          <w:sz w:val="24"/>
        </w:rPr>
        <w:t>of:</w:t>
      </w:r>
    </w:p>
    <w:p>
      <w:pPr>
        <w:pStyle w:val="ListParagraph"/>
        <w:numPr>
          <w:ilvl w:val="1"/>
          <w:numId w:val="401"/>
        </w:numPr>
        <w:tabs>
          <w:tab w:pos="1216" w:val="left" w:leader="none"/>
        </w:tabs>
        <w:spacing w:line="240" w:lineRule="auto" w:before="204" w:after="0"/>
        <w:ind w:left="1216" w:right="0" w:hanging="425"/>
        <w:jc w:val="left"/>
        <w:rPr>
          <w:sz w:val="24"/>
        </w:rPr>
      </w:pPr>
      <w:r>
        <w:rPr>
          <w:sz w:val="24"/>
        </w:rPr>
        <w:t>maintenance</w:t>
      </w:r>
      <w:r>
        <w:rPr>
          <w:spacing w:val="-4"/>
          <w:sz w:val="24"/>
        </w:rPr>
        <w:t> </w:t>
      </w:r>
      <w:r>
        <w:rPr>
          <w:sz w:val="24"/>
        </w:rPr>
        <w:t>and</w:t>
      </w:r>
      <w:r>
        <w:rPr>
          <w:spacing w:val="-3"/>
          <w:sz w:val="24"/>
        </w:rPr>
        <w:t> </w:t>
      </w:r>
      <w:r>
        <w:rPr>
          <w:sz w:val="24"/>
        </w:rPr>
        <w:t>replacement</w:t>
      </w:r>
      <w:r>
        <w:rPr>
          <w:spacing w:val="-3"/>
          <w:sz w:val="24"/>
        </w:rPr>
        <w:t> </w:t>
      </w:r>
      <w:r>
        <w:rPr>
          <w:sz w:val="24"/>
        </w:rPr>
        <w:t>of</w:t>
      </w:r>
      <w:r>
        <w:rPr>
          <w:spacing w:val="-3"/>
          <w:sz w:val="24"/>
        </w:rPr>
        <w:t> </w:t>
      </w:r>
      <w:r>
        <w:rPr>
          <w:spacing w:val="-2"/>
          <w:sz w:val="24"/>
        </w:rPr>
        <w:t>equipment;</w:t>
      </w:r>
    </w:p>
    <w:p>
      <w:pPr>
        <w:pStyle w:val="ListParagraph"/>
        <w:numPr>
          <w:ilvl w:val="1"/>
          <w:numId w:val="401"/>
        </w:numPr>
        <w:tabs>
          <w:tab w:pos="1216" w:val="left" w:leader="none"/>
        </w:tabs>
        <w:spacing w:line="240" w:lineRule="auto" w:before="204" w:after="0"/>
        <w:ind w:left="1216" w:right="0" w:hanging="425"/>
        <w:jc w:val="left"/>
        <w:rPr>
          <w:sz w:val="24"/>
        </w:rPr>
      </w:pPr>
      <w:r>
        <w:rPr>
          <w:sz w:val="24"/>
        </w:rPr>
        <w:t>the</w:t>
      </w:r>
      <w:r>
        <w:rPr>
          <w:spacing w:val="-3"/>
          <w:sz w:val="24"/>
        </w:rPr>
        <w:t> </w:t>
      </w:r>
      <w:r>
        <w:rPr>
          <w:sz w:val="24"/>
        </w:rPr>
        <w:t>purchase</w:t>
      </w:r>
      <w:r>
        <w:rPr>
          <w:spacing w:val="-2"/>
          <w:sz w:val="24"/>
        </w:rPr>
        <w:t> </w:t>
      </w:r>
      <w:r>
        <w:rPr>
          <w:sz w:val="24"/>
        </w:rPr>
        <w:t>of</w:t>
      </w:r>
      <w:r>
        <w:rPr>
          <w:spacing w:val="-1"/>
          <w:sz w:val="24"/>
        </w:rPr>
        <w:t> </w:t>
      </w:r>
      <w:r>
        <w:rPr>
          <w:sz w:val="24"/>
        </w:rPr>
        <w:t>new</w:t>
      </w:r>
      <w:r>
        <w:rPr>
          <w:spacing w:val="-2"/>
          <w:sz w:val="24"/>
        </w:rPr>
        <w:t> equipment;</w:t>
      </w:r>
    </w:p>
    <w:p>
      <w:pPr>
        <w:pStyle w:val="ListParagraph"/>
        <w:numPr>
          <w:ilvl w:val="1"/>
          <w:numId w:val="401"/>
        </w:numPr>
        <w:tabs>
          <w:tab w:pos="1216" w:val="left" w:leader="none"/>
        </w:tabs>
        <w:spacing w:line="240" w:lineRule="auto" w:before="204" w:after="0"/>
        <w:ind w:left="1216" w:right="0" w:hanging="425"/>
        <w:jc w:val="left"/>
        <w:rPr>
          <w:sz w:val="24"/>
        </w:rPr>
      </w:pPr>
      <w:r>
        <w:rPr>
          <w:sz w:val="24"/>
        </w:rPr>
        <w:t>management</w:t>
      </w:r>
      <w:r>
        <w:rPr>
          <w:spacing w:val="-6"/>
          <w:sz w:val="24"/>
        </w:rPr>
        <w:t> </w:t>
      </w:r>
      <w:r>
        <w:rPr>
          <w:spacing w:val="-2"/>
          <w:sz w:val="24"/>
        </w:rPr>
        <w:t>services;</w:t>
      </w:r>
    </w:p>
    <w:p>
      <w:pPr>
        <w:pStyle w:val="ListParagraph"/>
        <w:numPr>
          <w:ilvl w:val="1"/>
          <w:numId w:val="401"/>
        </w:numPr>
        <w:tabs>
          <w:tab w:pos="1217" w:val="left" w:leader="none"/>
        </w:tabs>
        <w:spacing w:line="240" w:lineRule="auto" w:before="204" w:after="0"/>
        <w:ind w:left="1217" w:right="0" w:hanging="426"/>
        <w:jc w:val="left"/>
        <w:rPr>
          <w:sz w:val="24"/>
        </w:rPr>
      </w:pPr>
      <w:r>
        <w:rPr>
          <w:sz w:val="24"/>
        </w:rPr>
        <w:t>assuring</w:t>
      </w:r>
      <w:r>
        <w:rPr>
          <w:spacing w:val="-3"/>
          <w:sz w:val="24"/>
        </w:rPr>
        <w:t> </w:t>
      </w:r>
      <w:r>
        <w:rPr>
          <w:sz w:val="24"/>
        </w:rPr>
        <w:t>a</w:t>
      </w:r>
      <w:r>
        <w:rPr>
          <w:spacing w:val="-3"/>
          <w:sz w:val="24"/>
        </w:rPr>
        <w:t> </w:t>
      </w:r>
      <w:r>
        <w:rPr>
          <w:sz w:val="24"/>
        </w:rPr>
        <w:t>fair</w:t>
      </w:r>
      <w:r>
        <w:rPr>
          <w:spacing w:val="-2"/>
          <w:sz w:val="24"/>
        </w:rPr>
        <w:t> </w:t>
      </w:r>
      <w:r>
        <w:rPr>
          <w:sz w:val="24"/>
        </w:rPr>
        <w:t>minimum</w:t>
      </w:r>
      <w:r>
        <w:rPr>
          <w:spacing w:val="-2"/>
          <w:sz w:val="24"/>
        </w:rPr>
        <w:t> </w:t>
      </w:r>
      <w:r>
        <w:rPr>
          <w:sz w:val="24"/>
        </w:rPr>
        <w:t>of</w:t>
      </w:r>
      <w:r>
        <w:rPr>
          <w:spacing w:val="-3"/>
          <w:sz w:val="24"/>
        </w:rPr>
        <w:t> </w:t>
      </w:r>
      <w:r>
        <w:rPr>
          <w:sz w:val="24"/>
        </w:rPr>
        <w:t>return</w:t>
      </w:r>
      <w:r>
        <w:rPr>
          <w:spacing w:val="-3"/>
          <w:sz w:val="24"/>
        </w:rPr>
        <w:t> </w:t>
      </w:r>
      <w:r>
        <w:rPr>
          <w:sz w:val="24"/>
        </w:rPr>
        <w:t>to</w:t>
      </w:r>
      <w:r>
        <w:rPr>
          <w:spacing w:val="-3"/>
          <w:sz w:val="24"/>
        </w:rPr>
        <w:t> </w:t>
      </w:r>
      <w:r>
        <w:rPr>
          <w:sz w:val="24"/>
        </w:rPr>
        <w:t>licensed</w:t>
      </w:r>
      <w:r>
        <w:rPr>
          <w:spacing w:val="-3"/>
          <w:sz w:val="24"/>
        </w:rPr>
        <w:t> </w:t>
      </w:r>
      <w:r>
        <w:rPr>
          <w:sz w:val="24"/>
        </w:rPr>
        <w:t>managers;</w:t>
      </w:r>
      <w:r>
        <w:rPr>
          <w:spacing w:val="-1"/>
          <w:sz w:val="24"/>
        </w:rPr>
        <w:t> </w:t>
      </w:r>
      <w:r>
        <w:rPr>
          <w:spacing w:val="-5"/>
          <w:sz w:val="24"/>
        </w:rPr>
        <w:t>or</w:t>
      </w:r>
    </w:p>
    <w:p>
      <w:pPr>
        <w:pStyle w:val="ListParagraph"/>
        <w:numPr>
          <w:ilvl w:val="1"/>
          <w:numId w:val="401"/>
        </w:numPr>
        <w:tabs>
          <w:tab w:pos="1216" w:val="left" w:leader="none"/>
        </w:tabs>
        <w:spacing w:line="208" w:lineRule="auto" w:before="233" w:after="0"/>
        <w:ind w:left="791" w:right="985" w:firstLine="0"/>
        <w:jc w:val="left"/>
        <w:rPr>
          <w:sz w:val="24"/>
        </w:rPr>
      </w:pPr>
      <w:r>
        <w:rPr>
          <w:sz w:val="24"/>
        </w:rPr>
        <w:t>the</w:t>
      </w:r>
      <w:r>
        <w:rPr>
          <w:spacing w:val="-4"/>
          <w:sz w:val="24"/>
        </w:rPr>
        <w:t> </w:t>
      </w:r>
      <w:r>
        <w:rPr>
          <w:sz w:val="24"/>
        </w:rPr>
        <w:t>establishment</w:t>
      </w:r>
      <w:r>
        <w:rPr>
          <w:spacing w:val="-3"/>
          <w:sz w:val="24"/>
        </w:rPr>
        <w:t> </w:t>
      </w:r>
      <w:r>
        <w:rPr>
          <w:sz w:val="24"/>
        </w:rPr>
        <w:t>and</w:t>
      </w:r>
      <w:r>
        <w:rPr>
          <w:spacing w:val="-4"/>
          <w:sz w:val="24"/>
        </w:rPr>
        <w:t> </w:t>
      </w:r>
      <w:r>
        <w:rPr>
          <w:sz w:val="24"/>
        </w:rPr>
        <w:t>maintenance</w:t>
      </w:r>
      <w:r>
        <w:rPr>
          <w:spacing w:val="-4"/>
          <w:sz w:val="24"/>
        </w:rPr>
        <w:t> </w:t>
      </w:r>
      <w:r>
        <w:rPr>
          <w:sz w:val="24"/>
        </w:rPr>
        <w:t>of</w:t>
      </w:r>
      <w:r>
        <w:rPr>
          <w:spacing w:val="-3"/>
          <w:sz w:val="24"/>
        </w:rPr>
        <w:t> </w:t>
      </w:r>
      <w:r>
        <w:rPr>
          <w:sz w:val="24"/>
        </w:rPr>
        <w:t>retirement</w:t>
      </w:r>
      <w:r>
        <w:rPr>
          <w:spacing w:val="-3"/>
          <w:sz w:val="24"/>
        </w:rPr>
        <w:t> </w:t>
      </w:r>
      <w:r>
        <w:rPr>
          <w:sz w:val="24"/>
        </w:rPr>
        <w:t>or</w:t>
      </w:r>
      <w:r>
        <w:rPr>
          <w:spacing w:val="-6"/>
          <w:sz w:val="24"/>
        </w:rPr>
        <w:t> </w:t>
      </w:r>
      <w:r>
        <w:rPr>
          <w:sz w:val="24"/>
        </w:rPr>
        <w:t>pension</w:t>
      </w:r>
      <w:r>
        <w:rPr>
          <w:spacing w:val="-4"/>
          <w:sz w:val="24"/>
        </w:rPr>
        <w:t> </w:t>
      </w:r>
      <w:r>
        <w:rPr>
          <w:sz w:val="24"/>
        </w:rPr>
        <w:t>funds</w:t>
      </w:r>
      <w:r>
        <w:rPr>
          <w:spacing w:val="-4"/>
          <w:sz w:val="24"/>
        </w:rPr>
        <w:t> </w:t>
      </w:r>
      <w:r>
        <w:rPr>
          <w:sz w:val="24"/>
        </w:rPr>
        <w:t>and</w:t>
      </w:r>
      <w:r>
        <w:rPr>
          <w:spacing w:val="-4"/>
          <w:sz w:val="24"/>
        </w:rPr>
        <w:t> </w:t>
      </w:r>
      <w:r>
        <w:rPr>
          <w:sz w:val="24"/>
        </w:rPr>
        <w:t>health insurance contributions.</w:t>
      </w:r>
    </w:p>
    <w:p>
      <w:pPr>
        <w:pStyle w:val="ListParagraph"/>
        <w:numPr>
          <w:ilvl w:val="0"/>
          <w:numId w:val="401"/>
        </w:numPr>
        <w:tabs>
          <w:tab w:pos="772" w:val="left" w:leader="none"/>
        </w:tabs>
        <w:spacing w:line="208" w:lineRule="auto" w:before="240" w:after="0"/>
        <w:ind w:left="359" w:right="1058" w:firstLine="0"/>
        <w:jc w:val="left"/>
        <w:rPr>
          <w:sz w:val="24"/>
        </w:rPr>
      </w:pPr>
      <w:r>
        <w:rPr>
          <w:sz w:val="24"/>
        </w:rPr>
        <w:t>The licensed manager's set-aside charges will be on a sliding scale of 0% to not more</w:t>
      </w:r>
      <w:r>
        <w:rPr>
          <w:spacing w:val="-3"/>
          <w:sz w:val="24"/>
        </w:rPr>
        <w:t> </w:t>
      </w:r>
      <w:r>
        <w:rPr>
          <w:sz w:val="24"/>
        </w:rPr>
        <w:t>than</w:t>
      </w:r>
      <w:r>
        <w:rPr>
          <w:spacing w:val="-4"/>
          <w:sz w:val="24"/>
        </w:rPr>
        <w:t> </w:t>
      </w:r>
      <w:r>
        <w:rPr>
          <w:sz w:val="24"/>
        </w:rPr>
        <w:t>12%</w:t>
      </w:r>
      <w:r>
        <w:rPr>
          <w:spacing w:val="-3"/>
          <w:sz w:val="24"/>
        </w:rPr>
        <w:t> </w:t>
      </w:r>
      <w:r>
        <w:rPr>
          <w:sz w:val="24"/>
        </w:rPr>
        <w:t>of</w:t>
      </w:r>
      <w:r>
        <w:rPr>
          <w:spacing w:val="-2"/>
          <w:sz w:val="24"/>
        </w:rPr>
        <w:t> </w:t>
      </w:r>
      <w:r>
        <w:rPr>
          <w:sz w:val="24"/>
        </w:rPr>
        <w:t>the</w:t>
      </w:r>
      <w:r>
        <w:rPr>
          <w:spacing w:val="-4"/>
          <w:sz w:val="24"/>
        </w:rPr>
        <w:t> </w:t>
      </w:r>
      <w:r>
        <w:rPr>
          <w:sz w:val="24"/>
        </w:rPr>
        <w:t>net</w:t>
      </w:r>
      <w:r>
        <w:rPr>
          <w:spacing w:val="-2"/>
          <w:sz w:val="24"/>
        </w:rPr>
        <w:t> </w:t>
      </w:r>
      <w:r>
        <w:rPr>
          <w:sz w:val="24"/>
        </w:rPr>
        <w:t>proceeds</w:t>
      </w:r>
      <w:r>
        <w:rPr>
          <w:spacing w:val="-3"/>
          <w:sz w:val="24"/>
        </w:rPr>
        <w:t> </w:t>
      </w:r>
      <w:r>
        <w:rPr>
          <w:sz w:val="24"/>
        </w:rPr>
        <w:t>of</w:t>
      </w:r>
      <w:r>
        <w:rPr>
          <w:spacing w:val="-2"/>
          <w:sz w:val="24"/>
        </w:rPr>
        <w:t> </w:t>
      </w:r>
      <w:r>
        <w:rPr>
          <w:sz w:val="24"/>
        </w:rPr>
        <w:t>the</w:t>
      </w:r>
      <w:r>
        <w:rPr>
          <w:spacing w:val="-3"/>
          <w:sz w:val="24"/>
        </w:rPr>
        <w:t> </w:t>
      </w:r>
      <w:r>
        <w:rPr>
          <w:sz w:val="24"/>
        </w:rPr>
        <w:t>business</w:t>
      </w:r>
      <w:r>
        <w:rPr>
          <w:spacing w:val="-3"/>
          <w:sz w:val="24"/>
        </w:rPr>
        <w:t> </w:t>
      </w:r>
      <w:r>
        <w:rPr>
          <w:sz w:val="24"/>
        </w:rPr>
        <w:t>enterprise</w:t>
      </w:r>
      <w:r>
        <w:rPr>
          <w:spacing w:val="-3"/>
          <w:sz w:val="24"/>
        </w:rPr>
        <w:t> </w:t>
      </w:r>
      <w:r>
        <w:rPr>
          <w:sz w:val="24"/>
        </w:rPr>
        <w:t>during</w:t>
      </w:r>
      <w:r>
        <w:rPr>
          <w:spacing w:val="-3"/>
          <w:sz w:val="24"/>
        </w:rPr>
        <w:t> </w:t>
      </w:r>
      <w:r>
        <w:rPr>
          <w:sz w:val="24"/>
        </w:rPr>
        <w:t>any</w:t>
      </w:r>
      <w:r>
        <w:rPr>
          <w:spacing w:val="-3"/>
          <w:sz w:val="24"/>
        </w:rPr>
        <w:t> </w:t>
      </w:r>
      <w:r>
        <w:rPr>
          <w:sz w:val="24"/>
        </w:rPr>
        <w:t>one</w:t>
      </w:r>
      <w:r>
        <w:rPr>
          <w:spacing w:val="-2"/>
          <w:sz w:val="24"/>
        </w:rPr>
        <w:t> </w:t>
      </w:r>
      <w:r>
        <w:rPr>
          <w:sz w:val="24"/>
        </w:rPr>
        <w:t>month. The sliding scale will be in four classifications: Class A, B, C, and D (based on prior year's performance).</w:t>
      </w:r>
    </w:p>
    <w:p>
      <w:pPr>
        <w:pStyle w:val="ListParagraph"/>
        <w:numPr>
          <w:ilvl w:val="1"/>
          <w:numId w:val="401"/>
        </w:numPr>
        <w:tabs>
          <w:tab w:pos="1217" w:val="left" w:leader="none"/>
        </w:tabs>
        <w:spacing w:line="240" w:lineRule="auto" w:before="211" w:after="0"/>
        <w:ind w:left="1217" w:right="0" w:hanging="426"/>
        <w:jc w:val="left"/>
        <w:rPr>
          <w:sz w:val="24"/>
        </w:rPr>
      </w:pPr>
      <w:r>
        <w:rPr>
          <w:sz w:val="24"/>
        </w:rPr>
        <w:t>Class</w:t>
      </w:r>
      <w:r>
        <w:rPr>
          <w:spacing w:val="-4"/>
          <w:sz w:val="24"/>
        </w:rPr>
        <w:t> </w:t>
      </w:r>
      <w:r>
        <w:rPr>
          <w:sz w:val="24"/>
        </w:rPr>
        <w:t>A</w:t>
      </w:r>
      <w:r>
        <w:rPr>
          <w:spacing w:val="-2"/>
          <w:sz w:val="24"/>
        </w:rPr>
        <w:t> </w:t>
      </w:r>
      <w:r>
        <w:rPr>
          <w:sz w:val="24"/>
        </w:rPr>
        <w:t>-</w:t>
      </w:r>
      <w:r>
        <w:rPr>
          <w:spacing w:val="-1"/>
          <w:sz w:val="24"/>
        </w:rPr>
        <w:t> </w:t>
      </w:r>
      <w:r>
        <w:rPr>
          <w:sz w:val="24"/>
        </w:rPr>
        <w:t>12%</w:t>
      </w:r>
      <w:r>
        <w:rPr>
          <w:spacing w:val="-2"/>
          <w:sz w:val="24"/>
        </w:rPr>
        <w:t> </w:t>
      </w:r>
      <w:r>
        <w:rPr>
          <w:sz w:val="24"/>
        </w:rPr>
        <w:t>of</w:t>
      </w:r>
      <w:r>
        <w:rPr>
          <w:spacing w:val="-5"/>
          <w:sz w:val="24"/>
        </w:rPr>
        <w:t> </w:t>
      </w:r>
      <w:r>
        <w:rPr>
          <w:sz w:val="24"/>
        </w:rPr>
        <w:t>net</w:t>
      </w:r>
      <w:r>
        <w:rPr>
          <w:spacing w:val="-1"/>
          <w:sz w:val="24"/>
        </w:rPr>
        <w:t> </w:t>
      </w:r>
      <w:r>
        <w:rPr>
          <w:sz w:val="24"/>
        </w:rPr>
        <w:t>proceeds,</w:t>
      </w:r>
      <w:r>
        <w:rPr>
          <w:spacing w:val="-1"/>
          <w:sz w:val="24"/>
        </w:rPr>
        <w:t> </w:t>
      </w:r>
      <w:r>
        <w:rPr>
          <w:sz w:val="24"/>
        </w:rPr>
        <w:t>$60,000</w:t>
      </w:r>
      <w:r>
        <w:rPr>
          <w:spacing w:val="-2"/>
          <w:sz w:val="24"/>
        </w:rPr>
        <w:t> </w:t>
      </w:r>
      <w:r>
        <w:rPr>
          <w:sz w:val="24"/>
        </w:rPr>
        <w:t>and</w:t>
      </w:r>
      <w:r>
        <w:rPr>
          <w:spacing w:val="-2"/>
          <w:sz w:val="24"/>
        </w:rPr>
        <w:t> above.</w:t>
      </w:r>
    </w:p>
    <w:p>
      <w:pPr>
        <w:pStyle w:val="ListParagraph"/>
        <w:numPr>
          <w:ilvl w:val="1"/>
          <w:numId w:val="401"/>
        </w:numPr>
        <w:tabs>
          <w:tab w:pos="1218" w:val="left" w:leader="none"/>
        </w:tabs>
        <w:spacing w:line="240" w:lineRule="auto" w:before="204" w:after="0"/>
        <w:ind w:left="1218" w:right="0" w:hanging="426"/>
        <w:jc w:val="left"/>
        <w:rPr>
          <w:sz w:val="24"/>
        </w:rPr>
      </w:pPr>
      <w:r>
        <w:rPr>
          <w:sz w:val="24"/>
        </w:rPr>
        <w:t>Class</w:t>
      </w:r>
      <w:r>
        <w:rPr>
          <w:spacing w:val="-3"/>
          <w:sz w:val="24"/>
        </w:rPr>
        <w:t> </w:t>
      </w:r>
      <w:r>
        <w:rPr>
          <w:sz w:val="24"/>
        </w:rPr>
        <w:t>B</w:t>
      </w:r>
      <w:r>
        <w:rPr>
          <w:spacing w:val="-2"/>
          <w:sz w:val="24"/>
        </w:rPr>
        <w:t> </w:t>
      </w:r>
      <w:r>
        <w:rPr>
          <w:sz w:val="24"/>
        </w:rPr>
        <w:t>-</w:t>
      </w:r>
      <w:r>
        <w:rPr>
          <w:spacing w:val="-1"/>
          <w:sz w:val="24"/>
        </w:rPr>
        <w:t> </w:t>
      </w:r>
      <w:r>
        <w:rPr>
          <w:sz w:val="24"/>
        </w:rPr>
        <w:t>10%</w:t>
      </w:r>
      <w:r>
        <w:rPr>
          <w:spacing w:val="-2"/>
          <w:sz w:val="24"/>
        </w:rPr>
        <w:t> </w:t>
      </w:r>
      <w:r>
        <w:rPr>
          <w:sz w:val="24"/>
        </w:rPr>
        <w:t>of</w:t>
      </w:r>
      <w:r>
        <w:rPr>
          <w:spacing w:val="-4"/>
          <w:sz w:val="24"/>
        </w:rPr>
        <w:t> </w:t>
      </w:r>
      <w:r>
        <w:rPr>
          <w:sz w:val="24"/>
        </w:rPr>
        <w:t>net</w:t>
      </w:r>
      <w:r>
        <w:rPr>
          <w:spacing w:val="-1"/>
          <w:sz w:val="24"/>
        </w:rPr>
        <w:t> </w:t>
      </w:r>
      <w:r>
        <w:rPr>
          <w:sz w:val="24"/>
        </w:rPr>
        <w:t>proceeds,</w:t>
      </w:r>
      <w:r>
        <w:rPr>
          <w:spacing w:val="-1"/>
          <w:sz w:val="24"/>
        </w:rPr>
        <w:t> </w:t>
      </w:r>
      <w:r>
        <w:rPr>
          <w:sz w:val="24"/>
        </w:rPr>
        <w:t>$25,000</w:t>
      </w:r>
      <w:r>
        <w:rPr>
          <w:spacing w:val="-2"/>
          <w:sz w:val="24"/>
        </w:rPr>
        <w:t> </w:t>
      </w:r>
      <w:r>
        <w:rPr>
          <w:sz w:val="24"/>
        </w:rPr>
        <w:t>to</w:t>
      </w:r>
      <w:r>
        <w:rPr>
          <w:spacing w:val="-2"/>
          <w:sz w:val="24"/>
        </w:rPr>
        <w:t> $59,999.</w:t>
      </w:r>
    </w:p>
    <w:p>
      <w:pPr>
        <w:pStyle w:val="ListParagraph"/>
        <w:numPr>
          <w:ilvl w:val="1"/>
          <w:numId w:val="401"/>
        </w:numPr>
        <w:tabs>
          <w:tab w:pos="1218" w:val="left" w:leader="none"/>
        </w:tabs>
        <w:spacing w:line="240" w:lineRule="auto" w:before="204" w:after="0"/>
        <w:ind w:left="1218" w:right="0" w:hanging="426"/>
        <w:jc w:val="left"/>
        <w:rPr>
          <w:sz w:val="24"/>
        </w:rPr>
      </w:pPr>
      <w:r>
        <w:rPr>
          <w:sz w:val="24"/>
        </w:rPr>
        <w:t>Class</w:t>
      </w:r>
      <w:r>
        <w:rPr>
          <w:spacing w:val="-3"/>
          <w:sz w:val="24"/>
        </w:rPr>
        <w:t> </w:t>
      </w:r>
      <w:r>
        <w:rPr>
          <w:sz w:val="24"/>
        </w:rPr>
        <w:t>C</w:t>
      </w:r>
      <w:r>
        <w:rPr>
          <w:spacing w:val="-2"/>
          <w:sz w:val="24"/>
        </w:rPr>
        <w:t> </w:t>
      </w:r>
      <w:r>
        <w:rPr>
          <w:sz w:val="24"/>
        </w:rPr>
        <w:t>-</w:t>
      </w:r>
      <w:r>
        <w:rPr>
          <w:spacing w:val="-1"/>
          <w:sz w:val="24"/>
        </w:rPr>
        <w:t> </w:t>
      </w:r>
      <w:r>
        <w:rPr>
          <w:sz w:val="24"/>
        </w:rPr>
        <w:t>6%</w:t>
      </w:r>
      <w:r>
        <w:rPr>
          <w:spacing w:val="-2"/>
          <w:sz w:val="24"/>
        </w:rPr>
        <w:t> </w:t>
      </w:r>
      <w:r>
        <w:rPr>
          <w:sz w:val="24"/>
        </w:rPr>
        <w:t>of</w:t>
      </w:r>
      <w:r>
        <w:rPr>
          <w:spacing w:val="-3"/>
          <w:sz w:val="24"/>
        </w:rPr>
        <w:t> </w:t>
      </w:r>
      <w:r>
        <w:rPr>
          <w:sz w:val="24"/>
        </w:rPr>
        <w:t>net</w:t>
      </w:r>
      <w:r>
        <w:rPr>
          <w:spacing w:val="-1"/>
          <w:sz w:val="24"/>
        </w:rPr>
        <w:t> </w:t>
      </w:r>
      <w:r>
        <w:rPr>
          <w:sz w:val="24"/>
        </w:rPr>
        <w:t>proceeds,</w:t>
      </w:r>
      <w:r>
        <w:rPr>
          <w:spacing w:val="-1"/>
          <w:sz w:val="24"/>
        </w:rPr>
        <w:t> </w:t>
      </w:r>
      <w:r>
        <w:rPr>
          <w:sz w:val="24"/>
        </w:rPr>
        <w:t>$10,000</w:t>
      </w:r>
      <w:r>
        <w:rPr>
          <w:spacing w:val="-2"/>
          <w:sz w:val="24"/>
        </w:rPr>
        <w:t> </w:t>
      </w:r>
      <w:r>
        <w:rPr>
          <w:sz w:val="24"/>
        </w:rPr>
        <w:t>to</w:t>
      </w:r>
      <w:r>
        <w:rPr>
          <w:spacing w:val="-2"/>
          <w:sz w:val="24"/>
        </w:rPr>
        <w:t> $24,999.</w:t>
      </w:r>
    </w:p>
    <w:p>
      <w:pPr>
        <w:pStyle w:val="ListParagraph"/>
        <w:numPr>
          <w:ilvl w:val="1"/>
          <w:numId w:val="401"/>
        </w:numPr>
        <w:tabs>
          <w:tab w:pos="1218" w:val="left" w:leader="none"/>
        </w:tabs>
        <w:spacing w:line="240" w:lineRule="auto" w:before="204" w:after="0"/>
        <w:ind w:left="1218" w:right="0" w:hanging="426"/>
        <w:jc w:val="left"/>
        <w:rPr>
          <w:sz w:val="24"/>
        </w:rPr>
      </w:pPr>
      <w:r>
        <w:rPr>
          <w:sz w:val="24"/>
        </w:rPr>
        <w:t>Class</w:t>
      </w:r>
      <w:r>
        <w:rPr>
          <w:spacing w:val="-4"/>
          <w:sz w:val="24"/>
        </w:rPr>
        <w:t> </w:t>
      </w:r>
      <w:r>
        <w:rPr>
          <w:sz w:val="24"/>
        </w:rPr>
        <w:t>D</w:t>
      </w:r>
      <w:r>
        <w:rPr>
          <w:spacing w:val="-2"/>
          <w:sz w:val="24"/>
        </w:rPr>
        <w:t> </w:t>
      </w:r>
      <w:r>
        <w:rPr>
          <w:sz w:val="24"/>
        </w:rPr>
        <w:t>-</w:t>
      </w:r>
      <w:r>
        <w:rPr>
          <w:spacing w:val="-1"/>
          <w:sz w:val="24"/>
        </w:rPr>
        <w:t> </w:t>
      </w:r>
      <w:r>
        <w:rPr>
          <w:sz w:val="24"/>
        </w:rPr>
        <w:t>0%</w:t>
      </w:r>
      <w:r>
        <w:rPr>
          <w:spacing w:val="-2"/>
          <w:sz w:val="24"/>
        </w:rPr>
        <w:t> </w:t>
      </w:r>
      <w:r>
        <w:rPr>
          <w:sz w:val="24"/>
        </w:rPr>
        <w:t>of</w:t>
      </w:r>
      <w:r>
        <w:rPr>
          <w:spacing w:val="-3"/>
          <w:sz w:val="24"/>
        </w:rPr>
        <w:t> </w:t>
      </w:r>
      <w:r>
        <w:rPr>
          <w:sz w:val="24"/>
        </w:rPr>
        <w:t>net</w:t>
      </w:r>
      <w:r>
        <w:rPr>
          <w:spacing w:val="-1"/>
          <w:sz w:val="24"/>
        </w:rPr>
        <w:t> </w:t>
      </w:r>
      <w:r>
        <w:rPr>
          <w:sz w:val="24"/>
        </w:rPr>
        <w:t>proceeds,</w:t>
      </w:r>
      <w:r>
        <w:rPr>
          <w:spacing w:val="-1"/>
          <w:sz w:val="24"/>
        </w:rPr>
        <w:t> </w:t>
      </w:r>
      <w:r>
        <w:rPr>
          <w:sz w:val="24"/>
        </w:rPr>
        <w:t>$9,999</w:t>
      </w:r>
      <w:r>
        <w:rPr>
          <w:spacing w:val="-2"/>
          <w:sz w:val="24"/>
        </w:rPr>
        <w:t> </w:t>
      </w:r>
      <w:r>
        <w:rPr>
          <w:sz w:val="24"/>
        </w:rPr>
        <w:t>and</w:t>
      </w:r>
      <w:r>
        <w:rPr>
          <w:spacing w:val="-2"/>
          <w:sz w:val="24"/>
        </w:rPr>
        <w:t> below.</w:t>
      </w:r>
    </w:p>
    <w:p>
      <w:pPr>
        <w:pStyle w:val="ListParagraph"/>
        <w:numPr>
          <w:ilvl w:val="0"/>
          <w:numId w:val="401"/>
        </w:numPr>
        <w:tabs>
          <w:tab w:pos="785" w:val="left" w:leader="none"/>
        </w:tabs>
        <w:spacing w:line="208" w:lineRule="auto" w:before="233" w:after="0"/>
        <w:ind w:left="359" w:right="739" w:firstLine="0"/>
        <w:jc w:val="left"/>
        <w:rPr>
          <w:sz w:val="24"/>
        </w:rPr>
      </w:pPr>
      <w:r>
        <w:rPr>
          <w:sz w:val="24"/>
        </w:rPr>
        <w:t>A licensed manager will submit his/her set-aside payment to the BEP office on or before the 25th of the current calendar month.</w:t>
      </w:r>
      <w:r>
        <w:rPr>
          <w:spacing w:val="40"/>
          <w:sz w:val="24"/>
        </w:rPr>
        <w:t> </w:t>
      </w:r>
      <w:r>
        <w:rPr>
          <w:sz w:val="24"/>
        </w:rPr>
        <w:t>If the 25th falls on a weekend, the payment is due in the BEP office no later than the close of business on the last</w:t>
      </w:r>
      <w:r>
        <w:rPr>
          <w:spacing w:val="40"/>
          <w:sz w:val="24"/>
        </w:rPr>
        <w:t> </w:t>
      </w:r>
      <w:r>
        <w:rPr>
          <w:sz w:val="24"/>
        </w:rPr>
        <w:t>business day prior to the 25th.</w:t>
      </w:r>
      <w:r>
        <w:rPr>
          <w:spacing w:val="80"/>
          <w:sz w:val="24"/>
        </w:rPr>
        <w:t> </w:t>
      </w:r>
      <w:r>
        <w:rPr>
          <w:sz w:val="24"/>
        </w:rPr>
        <w:t>Set-aside payments may be mailed to the BEP office.</w:t>
      </w:r>
      <w:r>
        <w:rPr>
          <w:spacing w:val="40"/>
          <w:sz w:val="24"/>
        </w:rPr>
        <w:t> </w:t>
      </w:r>
      <w:r>
        <w:rPr>
          <w:sz w:val="24"/>
        </w:rPr>
        <w:t>To</w:t>
      </w:r>
      <w:r>
        <w:rPr>
          <w:spacing w:val="-3"/>
          <w:sz w:val="24"/>
        </w:rPr>
        <w:t> </w:t>
      </w:r>
      <w:r>
        <w:rPr>
          <w:sz w:val="24"/>
        </w:rPr>
        <w:t>be</w:t>
      </w:r>
      <w:r>
        <w:rPr>
          <w:spacing w:val="-3"/>
          <w:sz w:val="24"/>
        </w:rPr>
        <w:t> </w:t>
      </w:r>
      <w:r>
        <w:rPr>
          <w:sz w:val="24"/>
        </w:rPr>
        <w:t>considered</w:t>
      </w:r>
      <w:r>
        <w:rPr>
          <w:spacing w:val="-3"/>
          <w:sz w:val="24"/>
        </w:rPr>
        <w:t> </w:t>
      </w:r>
      <w:r>
        <w:rPr>
          <w:sz w:val="24"/>
        </w:rPr>
        <w:t>on</w:t>
      </w:r>
      <w:r>
        <w:rPr>
          <w:spacing w:val="-3"/>
          <w:sz w:val="24"/>
        </w:rPr>
        <w:t> </w:t>
      </w:r>
      <w:r>
        <w:rPr>
          <w:sz w:val="24"/>
        </w:rPr>
        <w:t>time,</w:t>
      </w:r>
      <w:r>
        <w:rPr>
          <w:spacing w:val="-2"/>
          <w:sz w:val="24"/>
        </w:rPr>
        <w:t> </w:t>
      </w:r>
      <w:r>
        <w:rPr>
          <w:sz w:val="24"/>
        </w:rPr>
        <w:t>they</w:t>
      </w:r>
      <w:r>
        <w:rPr>
          <w:spacing w:val="-4"/>
          <w:sz w:val="24"/>
        </w:rPr>
        <w:t> </w:t>
      </w:r>
      <w:r>
        <w:rPr>
          <w:sz w:val="24"/>
        </w:rPr>
        <w:t>must</w:t>
      </w:r>
      <w:r>
        <w:rPr>
          <w:spacing w:val="-2"/>
          <w:sz w:val="24"/>
        </w:rPr>
        <w:t> </w:t>
      </w:r>
      <w:r>
        <w:rPr>
          <w:sz w:val="24"/>
        </w:rPr>
        <w:t>be</w:t>
      </w:r>
      <w:r>
        <w:rPr>
          <w:spacing w:val="-3"/>
          <w:sz w:val="24"/>
        </w:rPr>
        <w:t> </w:t>
      </w:r>
      <w:r>
        <w:rPr>
          <w:sz w:val="24"/>
        </w:rPr>
        <w:t>postmarked</w:t>
      </w:r>
      <w:r>
        <w:rPr>
          <w:spacing w:val="-3"/>
          <w:sz w:val="24"/>
        </w:rPr>
        <w:t> </w:t>
      </w:r>
      <w:r>
        <w:rPr>
          <w:sz w:val="24"/>
        </w:rPr>
        <w:t>by</w:t>
      </w:r>
      <w:r>
        <w:rPr>
          <w:spacing w:val="-4"/>
          <w:sz w:val="24"/>
        </w:rPr>
        <w:t> </w:t>
      </w:r>
      <w:r>
        <w:rPr>
          <w:sz w:val="24"/>
        </w:rPr>
        <w:t>the</w:t>
      </w:r>
      <w:r>
        <w:rPr>
          <w:spacing w:val="-3"/>
          <w:sz w:val="24"/>
        </w:rPr>
        <w:t> </w:t>
      </w:r>
      <w:r>
        <w:rPr>
          <w:sz w:val="24"/>
        </w:rPr>
        <w:t>21st</w:t>
      </w:r>
      <w:r>
        <w:rPr>
          <w:spacing w:val="-2"/>
          <w:sz w:val="24"/>
        </w:rPr>
        <w:t> </w:t>
      </w:r>
      <w:r>
        <w:rPr>
          <w:sz w:val="24"/>
        </w:rPr>
        <w:t>of</w:t>
      </w:r>
      <w:r>
        <w:rPr>
          <w:spacing w:val="-4"/>
          <w:sz w:val="24"/>
        </w:rPr>
        <w:t> </w:t>
      </w:r>
      <w:r>
        <w:rPr>
          <w:sz w:val="24"/>
        </w:rPr>
        <w:t>the</w:t>
      </w:r>
      <w:r>
        <w:rPr>
          <w:spacing w:val="-3"/>
          <w:sz w:val="24"/>
        </w:rPr>
        <w:t> </w:t>
      </w:r>
      <w:r>
        <w:rPr>
          <w:sz w:val="24"/>
        </w:rPr>
        <w:t>month</w:t>
      </w:r>
      <w:r>
        <w:rPr>
          <w:spacing w:val="-3"/>
          <w:sz w:val="24"/>
        </w:rPr>
        <w:t> </w:t>
      </w:r>
      <w:r>
        <w:rPr>
          <w:sz w:val="24"/>
        </w:rPr>
        <w:t>for</w:t>
      </w:r>
      <w:r>
        <w:rPr>
          <w:spacing w:val="-2"/>
          <w:sz w:val="24"/>
        </w:rPr>
        <w:t> </w:t>
      </w:r>
      <w:r>
        <w:rPr>
          <w:sz w:val="24"/>
        </w:rPr>
        <w:t>regular mail or the 22nd for overnight mail. If these dates fall on a day where the post office is closed, they must be postmarked the day before. If the set-aside payment is late the SLA</w:t>
      </w:r>
      <w:r>
        <w:rPr>
          <w:spacing w:val="-1"/>
          <w:sz w:val="24"/>
        </w:rPr>
        <w:t> </w:t>
      </w:r>
      <w:r>
        <w:rPr>
          <w:sz w:val="24"/>
        </w:rPr>
        <w:t>shall</w:t>
      </w:r>
      <w:r>
        <w:rPr>
          <w:spacing w:val="-1"/>
          <w:sz w:val="24"/>
        </w:rPr>
        <w:t> </w:t>
      </w:r>
      <w:r>
        <w:rPr>
          <w:sz w:val="24"/>
        </w:rPr>
        <w:t>notify</w:t>
      </w:r>
      <w:r>
        <w:rPr>
          <w:spacing w:val="-1"/>
          <w:sz w:val="24"/>
        </w:rPr>
        <w:t> </w:t>
      </w:r>
      <w:r>
        <w:rPr>
          <w:sz w:val="24"/>
        </w:rPr>
        <w:t>the</w:t>
      </w:r>
      <w:r>
        <w:rPr>
          <w:spacing w:val="-1"/>
          <w:sz w:val="24"/>
        </w:rPr>
        <w:t> </w:t>
      </w:r>
      <w:r>
        <w:rPr>
          <w:sz w:val="24"/>
        </w:rPr>
        <w:t>manager by</w:t>
      </w:r>
      <w:r>
        <w:rPr>
          <w:spacing w:val="-1"/>
          <w:sz w:val="24"/>
        </w:rPr>
        <w:t> </w:t>
      </w:r>
      <w:r>
        <w:rPr>
          <w:sz w:val="24"/>
        </w:rPr>
        <w:t>phone</w:t>
      </w:r>
      <w:r>
        <w:rPr>
          <w:spacing w:val="-1"/>
          <w:sz w:val="24"/>
        </w:rPr>
        <w:t> </w:t>
      </w:r>
      <w:r>
        <w:rPr>
          <w:sz w:val="24"/>
        </w:rPr>
        <w:t>on</w:t>
      </w:r>
      <w:r>
        <w:rPr>
          <w:spacing w:val="-1"/>
          <w:sz w:val="24"/>
        </w:rPr>
        <w:t> </w:t>
      </w:r>
      <w:r>
        <w:rPr>
          <w:sz w:val="24"/>
        </w:rPr>
        <w:t>the</w:t>
      </w:r>
      <w:r>
        <w:rPr>
          <w:spacing w:val="-1"/>
          <w:sz w:val="24"/>
        </w:rPr>
        <w:t> </w:t>
      </w:r>
      <w:r>
        <w:rPr>
          <w:sz w:val="24"/>
        </w:rPr>
        <w:t>next business</w:t>
      </w:r>
      <w:r>
        <w:rPr>
          <w:spacing w:val="-1"/>
          <w:sz w:val="24"/>
        </w:rPr>
        <w:t> </w:t>
      </w:r>
      <w:r>
        <w:rPr>
          <w:sz w:val="24"/>
        </w:rPr>
        <w:t>day</w:t>
      </w:r>
      <w:r>
        <w:rPr>
          <w:spacing w:val="-1"/>
          <w:sz w:val="24"/>
        </w:rPr>
        <w:t> </w:t>
      </w:r>
      <w:r>
        <w:rPr>
          <w:sz w:val="24"/>
        </w:rPr>
        <w:t>following</w:t>
      </w:r>
      <w:r>
        <w:rPr>
          <w:spacing w:val="-1"/>
          <w:sz w:val="24"/>
        </w:rPr>
        <w:t> </w:t>
      </w:r>
      <w:r>
        <w:rPr>
          <w:sz w:val="24"/>
        </w:rPr>
        <w:t>the</w:t>
      </w:r>
      <w:r>
        <w:rPr>
          <w:spacing w:val="-1"/>
          <w:sz w:val="24"/>
        </w:rPr>
        <w:t> </w:t>
      </w:r>
      <w:r>
        <w:rPr>
          <w:sz w:val="24"/>
        </w:rPr>
        <w:t>due</w:t>
      </w:r>
      <w:r>
        <w:rPr>
          <w:spacing w:val="-1"/>
          <w:sz w:val="24"/>
        </w:rPr>
        <w:t> </w:t>
      </w:r>
      <w:r>
        <w:rPr>
          <w:sz w:val="24"/>
        </w:rPr>
        <w:t>date. If the accurate set-aside payment is not received in the BEP office by the due date, the licensed manager will be placed on probation and assessed a $50 late charge.</w:t>
      </w:r>
      <w:r>
        <w:rPr>
          <w:spacing w:val="40"/>
          <w:sz w:val="24"/>
        </w:rPr>
        <w:t> </w:t>
      </w:r>
      <w:r>
        <w:rPr>
          <w:sz w:val="24"/>
        </w:rPr>
        <w:t>If the licensed manager’s overdue set aside payment is not received in the BEP office by the due date in the succeeding month (i.e. is over one month late), the manager is</w:t>
      </w:r>
      <w:r>
        <w:rPr>
          <w:spacing w:val="40"/>
          <w:sz w:val="24"/>
        </w:rPr>
        <w:t> </w:t>
      </w:r>
      <w:r>
        <w:rPr>
          <w:sz w:val="24"/>
        </w:rPr>
        <w:t>assessed</w:t>
      </w:r>
      <w:r>
        <w:rPr>
          <w:spacing w:val="-2"/>
          <w:sz w:val="24"/>
        </w:rPr>
        <w:t> </w:t>
      </w:r>
      <w:r>
        <w:rPr>
          <w:sz w:val="24"/>
        </w:rPr>
        <w:t>another</w:t>
      </w:r>
      <w:r>
        <w:rPr>
          <w:spacing w:val="-1"/>
          <w:sz w:val="24"/>
        </w:rPr>
        <w:t> </w:t>
      </w:r>
      <w:r>
        <w:rPr>
          <w:sz w:val="24"/>
        </w:rPr>
        <w:t>$50</w:t>
      </w:r>
      <w:r>
        <w:rPr>
          <w:spacing w:val="-2"/>
          <w:sz w:val="24"/>
        </w:rPr>
        <w:t> </w:t>
      </w:r>
      <w:r>
        <w:rPr>
          <w:sz w:val="24"/>
        </w:rPr>
        <w:t>late</w:t>
      </w:r>
      <w:r>
        <w:rPr>
          <w:spacing w:val="-2"/>
          <w:sz w:val="24"/>
        </w:rPr>
        <w:t> </w:t>
      </w:r>
      <w:r>
        <w:rPr>
          <w:sz w:val="24"/>
        </w:rPr>
        <w:t>fee.</w:t>
      </w:r>
      <w:r>
        <w:rPr>
          <w:spacing w:val="40"/>
          <w:sz w:val="24"/>
        </w:rPr>
        <w:t> </w:t>
      </w:r>
      <w:r>
        <w:rPr>
          <w:sz w:val="24"/>
        </w:rPr>
        <w:t>If</w:t>
      </w:r>
      <w:r>
        <w:rPr>
          <w:spacing w:val="-4"/>
          <w:sz w:val="24"/>
        </w:rPr>
        <w:t> </w:t>
      </w:r>
      <w:r>
        <w:rPr>
          <w:sz w:val="24"/>
        </w:rPr>
        <w:t>the</w:t>
      </w:r>
      <w:r>
        <w:rPr>
          <w:spacing w:val="-2"/>
          <w:sz w:val="24"/>
        </w:rPr>
        <w:t> </w:t>
      </w:r>
      <w:r>
        <w:rPr>
          <w:sz w:val="24"/>
        </w:rPr>
        <w:t>first</w:t>
      </w:r>
      <w:r>
        <w:rPr>
          <w:spacing w:val="-3"/>
          <w:sz w:val="24"/>
        </w:rPr>
        <w:t> </w:t>
      </w:r>
      <w:r>
        <w:rPr>
          <w:sz w:val="24"/>
        </w:rPr>
        <w:t>and</w:t>
      </w:r>
      <w:r>
        <w:rPr>
          <w:spacing w:val="-2"/>
          <w:sz w:val="24"/>
        </w:rPr>
        <w:t> </w:t>
      </w:r>
      <w:r>
        <w:rPr>
          <w:sz w:val="24"/>
        </w:rPr>
        <w:t>second</w:t>
      </w:r>
      <w:r>
        <w:rPr>
          <w:spacing w:val="-2"/>
          <w:sz w:val="24"/>
        </w:rPr>
        <w:t> </w:t>
      </w:r>
      <w:r>
        <w:rPr>
          <w:sz w:val="24"/>
        </w:rPr>
        <w:t>payments</w:t>
      </w:r>
      <w:r>
        <w:rPr>
          <w:spacing w:val="-2"/>
          <w:sz w:val="24"/>
        </w:rPr>
        <w:t> </w:t>
      </w:r>
      <w:r>
        <w:rPr>
          <w:sz w:val="24"/>
        </w:rPr>
        <w:t>are</w:t>
      </w:r>
      <w:r>
        <w:rPr>
          <w:spacing w:val="-2"/>
          <w:sz w:val="24"/>
        </w:rPr>
        <w:t> </w:t>
      </w:r>
      <w:r>
        <w:rPr>
          <w:sz w:val="24"/>
        </w:rPr>
        <w:t>not</w:t>
      </w:r>
      <w:r>
        <w:rPr>
          <w:spacing w:val="-1"/>
          <w:sz w:val="24"/>
        </w:rPr>
        <w:t> </w:t>
      </w:r>
      <w:r>
        <w:rPr>
          <w:sz w:val="24"/>
        </w:rPr>
        <w:t>received</w:t>
      </w:r>
      <w:r>
        <w:rPr>
          <w:spacing w:val="-2"/>
          <w:sz w:val="24"/>
        </w:rPr>
        <w:t> </w:t>
      </w:r>
      <w:r>
        <w:rPr>
          <w:sz w:val="24"/>
        </w:rPr>
        <w:t>by</w:t>
      </w:r>
      <w:r>
        <w:rPr>
          <w:spacing w:val="-2"/>
          <w:sz w:val="24"/>
        </w:rPr>
        <w:t> </w:t>
      </w:r>
      <w:r>
        <w:rPr>
          <w:sz w:val="24"/>
        </w:rPr>
        <w:t>the time the third report is due, the licensed manager’s agreement will be cancelled and the BEP licenses will be suspended, unless an alternate payment schedule has been approved in advance by the SLA.</w:t>
      </w:r>
      <w:r>
        <w:rPr>
          <w:spacing w:val="40"/>
          <w:sz w:val="24"/>
        </w:rPr>
        <w:t> </w:t>
      </w:r>
      <w:r>
        <w:rPr>
          <w:sz w:val="24"/>
        </w:rPr>
        <w:t>Failure to pay monthly set-aside in a timely manner three or more times within any twelve month period will result in formal disciplinary </w:t>
      </w:r>
      <w:r>
        <w:rPr>
          <w:spacing w:val="-2"/>
          <w:sz w:val="24"/>
        </w:rPr>
        <w:t>action.</w:t>
      </w:r>
    </w:p>
    <w:p>
      <w:pPr>
        <w:pStyle w:val="ListParagraph"/>
        <w:spacing w:after="0" w:line="208" w:lineRule="auto"/>
        <w:jc w:val="left"/>
        <w:rPr>
          <w:sz w:val="24"/>
        </w:rPr>
        <w:sectPr>
          <w:pgSz w:w="12240" w:h="15840"/>
          <w:pgMar w:top="1340" w:bottom="280" w:left="1080" w:right="720"/>
        </w:sectPr>
      </w:pPr>
    </w:p>
    <w:p>
      <w:pPr>
        <w:pStyle w:val="ListParagraph"/>
        <w:numPr>
          <w:ilvl w:val="0"/>
          <w:numId w:val="401"/>
        </w:numPr>
        <w:tabs>
          <w:tab w:pos="785" w:val="left" w:leader="none"/>
        </w:tabs>
        <w:spacing w:line="208" w:lineRule="auto" w:before="96" w:after="0"/>
        <w:ind w:left="360" w:right="804" w:firstLine="0"/>
        <w:jc w:val="left"/>
        <w:rPr>
          <w:sz w:val="24"/>
        </w:rPr>
      </w:pPr>
      <w:r>
        <w:rPr>
          <w:sz w:val="24"/>
        </w:rPr>
        <w:t>If a business enterprise should show a marked change in net proceeds, a request for reclassification may be made by the licensed manager or the SLA after 90 days. Each licensed manager will be notified of changes in set-aside charges, and the new percentage of net proceeds will be due at the time of the next monthly report due date, following</w:t>
      </w:r>
      <w:r>
        <w:rPr>
          <w:spacing w:val="-3"/>
          <w:sz w:val="24"/>
        </w:rPr>
        <w:t> </w:t>
      </w:r>
      <w:r>
        <w:rPr>
          <w:sz w:val="24"/>
        </w:rPr>
        <w:t>the</w:t>
      </w:r>
      <w:r>
        <w:rPr>
          <w:spacing w:val="-3"/>
          <w:sz w:val="24"/>
        </w:rPr>
        <w:t> </w:t>
      </w:r>
      <w:r>
        <w:rPr>
          <w:sz w:val="24"/>
        </w:rPr>
        <w:t>mailing</w:t>
      </w:r>
      <w:r>
        <w:rPr>
          <w:spacing w:val="-3"/>
          <w:sz w:val="24"/>
        </w:rPr>
        <w:t> </w:t>
      </w:r>
      <w:r>
        <w:rPr>
          <w:sz w:val="24"/>
        </w:rPr>
        <w:t>of</w:t>
      </w:r>
      <w:r>
        <w:rPr>
          <w:spacing w:val="-1"/>
          <w:sz w:val="24"/>
        </w:rPr>
        <w:t> </w:t>
      </w:r>
      <w:r>
        <w:rPr>
          <w:sz w:val="24"/>
        </w:rPr>
        <w:t>notice</w:t>
      </w:r>
      <w:r>
        <w:rPr>
          <w:spacing w:val="-3"/>
          <w:sz w:val="24"/>
        </w:rPr>
        <w:t> </w:t>
      </w:r>
      <w:r>
        <w:rPr>
          <w:sz w:val="24"/>
        </w:rPr>
        <w:t>to</w:t>
      </w:r>
      <w:r>
        <w:rPr>
          <w:spacing w:val="-3"/>
          <w:sz w:val="24"/>
        </w:rPr>
        <w:t> </w:t>
      </w:r>
      <w:r>
        <w:rPr>
          <w:sz w:val="24"/>
        </w:rPr>
        <w:t>the</w:t>
      </w:r>
      <w:r>
        <w:rPr>
          <w:spacing w:val="-3"/>
          <w:sz w:val="24"/>
        </w:rPr>
        <w:t> </w:t>
      </w:r>
      <w:r>
        <w:rPr>
          <w:sz w:val="24"/>
        </w:rPr>
        <w:t>licensed</w:t>
      </w:r>
      <w:r>
        <w:rPr>
          <w:spacing w:val="-2"/>
          <w:sz w:val="24"/>
        </w:rPr>
        <w:t> </w:t>
      </w:r>
      <w:r>
        <w:rPr>
          <w:sz w:val="24"/>
        </w:rPr>
        <w:t>manager.</w:t>
      </w:r>
      <w:r>
        <w:rPr>
          <w:spacing w:val="40"/>
          <w:sz w:val="24"/>
        </w:rPr>
        <w:t> </w:t>
      </w:r>
      <w:r>
        <w:rPr>
          <w:sz w:val="24"/>
        </w:rPr>
        <w:t>The</w:t>
      </w:r>
      <w:r>
        <w:rPr>
          <w:spacing w:val="-3"/>
          <w:sz w:val="24"/>
        </w:rPr>
        <w:t> </w:t>
      </w:r>
      <w:r>
        <w:rPr>
          <w:sz w:val="24"/>
        </w:rPr>
        <w:t>licensed</w:t>
      </w:r>
      <w:r>
        <w:rPr>
          <w:spacing w:val="-3"/>
          <w:sz w:val="24"/>
        </w:rPr>
        <w:t> </w:t>
      </w:r>
      <w:r>
        <w:rPr>
          <w:sz w:val="24"/>
        </w:rPr>
        <w:t>manager</w:t>
      </w:r>
      <w:r>
        <w:rPr>
          <w:spacing w:val="-2"/>
          <w:sz w:val="24"/>
        </w:rPr>
        <w:t> </w:t>
      </w:r>
      <w:r>
        <w:rPr>
          <w:sz w:val="24"/>
        </w:rPr>
        <w:t>will</w:t>
      </w:r>
      <w:r>
        <w:rPr>
          <w:spacing w:val="-3"/>
          <w:sz w:val="24"/>
        </w:rPr>
        <w:t> </w:t>
      </w:r>
      <w:r>
        <w:rPr>
          <w:sz w:val="24"/>
        </w:rPr>
        <w:t>start paying the higher or lower percentage of set-aside with the next report due following </w:t>
      </w:r>
      <w:r>
        <w:rPr>
          <w:spacing w:val="-2"/>
          <w:sz w:val="24"/>
        </w:rPr>
        <w:t>notification.</w:t>
      </w:r>
    </w:p>
    <w:p>
      <w:pPr>
        <w:pStyle w:val="ListParagraph"/>
        <w:numPr>
          <w:ilvl w:val="0"/>
          <w:numId w:val="401"/>
        </w:numPr>
        <w:tabs>
          <w:tab w:pos="719" w:val="left" w:leader="none"/>
        </w:tabs>
        <w:spacing w:line="208" w:lineRule="auto" w:before="239" w:after="0"/>
        <w:ind w:left="360" w:right="736" w:firstLine="0"/>
        <w:jc w:val="left"/>
        <w:rPr>
          <w:sz w:val="24"/>
        </w:rPr>
      </w:pPr>
      <w:r>
        <w:rPr>
          <w:sz w:val="24"/>
        </w:rPr>
        <w:t>All new business enterprises will be placed in class C for 90 days, at which time the SLA will review the business enterprise for reclassification and notify the licensed manager</w:t>
      </w:r>
      <w:r>
        <w:rPr>
          <w:spacing w:val="-2"/>
          <w:sz w:val="24"/>
        </w:rPr>
        <w:t> </w:t>
      </w:r>
      <w:r>
        <w:rPr>
          <w:sz w:val="24"/>
        </w:rPr>
        <w:t>of</w:t>
      </w:r>
      <w:r>
        <w:rPr>
          <w:spacing w:val="-2"/>
          <w:sz w:val="24"/>
        </w:rPr>
        <w:t> </w:t>
      </w:r>
      <w:r>
        <w:rPr>
          <w:sz w:val="24"/>
        </w:rPr>
        <w:t>changes</w:t>
      </w:r>
      <w:r>
        <w:rPr>
          <w:spacing w:val="-3"/>
          <w:sz w:val="24"/>
        </w:rPr>
        <w:t> </w:t>
      </w:r>
      <w:r>
        <w:rPr>
          <w:sz w:val="24"/>
        </w:rPr>
        <w:t>in</w:t>
      </w:r>
      <w:r>
        <w:rPr>
          <w:spacing w:val="-2"/>
          <w:sz w:val="24"/>
        </w:rPr>
        <w:t> </w:t>
      </w:r>
      <w:r>
        <w:rPr>
          <w:sz w:val="24"/>
        </w:rPr>
        <w:t>set-aside</w:t>
      </w:r>
      <w:r>
        <w:rPr>
          <w:spacing w:val="-3"/>
          <w:sz w:val="24"/>
        </w:rPr>
        <w:t> </w:t>
      </w:r>
      <w:r>
        <w:rPr>
          <w:sz w:val="24"/>
        </w:rPr>
        <w:t>charges</w:t>
      </w:r>
      <w:r>
        <w:rPr>
          <w:spacing w:val="-3"/>
          <w:sz w:val="24"/>
        </w:rPr>
        <w:t> </w:t>
      </w:r>
      <w:r>
        <w:rPr>
          <w:sz w:val="24"/>
        </w:rPr>
        <w:t>and</w:t>
      </w:r>
      <w:r>
        <w:rPr>
          <w:spacing w:val="-2"/>
          <w:sz w:val="24"/>
        </w:rPr>
        <w:t> </w:t>
      </w:r>
      <w:r>
        <w:rPr>
          <w:sz w:val="24"/>
        </w:rPr>
        <w:t>the</w:t>
      </w:r>
      <w:r>
        <w:rPr>
          <w:spacing w:val="-3"/>
          <w:sz w:val="24"/>
        </w:rPr>
        <w:t> </w:t>
      </w:r>
      <w:r>
        <w:rPr>
          <w:sz w:val="24"/>
        </w:rPr>
        <w:t>new</w:t>
      </w:r>
      <w:r>
        <w:rPr>
          <w:spacing w:val="-3"/>
          <w:sz w:val="24"/>
        </w:rPr>
        <w:t> </w:t>
      </w:r>
      <w:r>
        <w:rPr>
          <w:sz w:val="24"/>
        </w:rPr>
        <w:t>percentage</w:t>
      </w:r>
      <w:r>
        <w:rPr>
          <w:spacing w:val="-3"/>
          <w:sz w:val="24"/>
        </w:rPr>
        <w:t> </w:t>
      </w:r>
      <w:r>
        <w:rPr>
          <w:sz w:val="24"/>
        </w:rPr>
        <w:t>of</w:t>
      </w:r>
      <w:r>
        <w:rPr>
          <w:spacing w:val="-2"/>
          <w:sz w:val="24"/>
        </w:rPr>
        <w:t> </w:t>
      </w:r>
      <w:r>
        <w:rPr>
          <w:sz w:val="24"/>
        </w:rPr>
        <w:t>net</w:t>
      </w:r>
      <w:r>
        <w:rPr>
          <w:spacing w:val="-2"/>
          <w:sz w:val="24"/>
        </w:rPr>
        <w:t> </w:t>
      </w:r>
      <w:r>
        <w:rPr>
          <w:sz w:val="24"/>
        </w:rPr>
        <w:t>proceeds</w:t>
      </w:r>
      <w:r>
        <w:rPr>
          <w:spacing w:val="-3"/>
          <w:sz w:val="24"/>
        </w:rPr>
        <w:t> </w:t>
      </w:r>
      <w:r>
        <w:rPr>
          <w:sz w:val="24"/>
        </w:rPr>
        <w:t>shall be</w:t>
      </w:r>
      <w:r>
        <w:rPr>
          <w:spacing w:val="-3"/>
          <w:sz w:val="24"/>
        </w:rPr>
        <w:t> </w:t>
      </w:r>
      <w:r>
        <w:rPr>
          <w:sz w:val="24"/>
        </w:rPr>
        <w:t>effective</w:t>
      </w:r>
      <w:r>
        <w:rPr>
          <w:spacing w:val="-3"/>
          <w:sz w:val="24"/>
        </w:rPr>
        <w:t> </w:t>
      </w:r>
      <w:r>
        <w:rPr>
          <w:sz w:val="24"/>
        </w:rPr>
        <w:t>at</w:t>
      </w:r>
      <w:r>
        <w:rPr>
          <w:spacing w:val="-4"/>
          <w:sz w:val="24"/>
        </w:rPr>
        <w:t> </w:t>
      </w:r>
      <w:r>
        <w:rPr>
          <w:sz w:val="24"/>
        </w:rPr>
        <w:t>the</w:t>
      </w:r>
      <w:r>
        <w:rPr>
          <w:spacing w:val="-3"/>
          <w:sz w:val="24"/>
        </w:rPr>
        <w:t> </w:t>
      </w:r>
      <w:r>
        <w:rPr>
          <w:sz w:val="24"/>
        </w:rPr>
        <w:t>beginning</w:t>
      </w:r>
      <w:r>
        <w:rPr>
          <w:spacing w:val="-3"/>
          <w:sz w:val="24"/>
        </w:rPr>
        <w:t> </w:t>
      </w:r>
      <w:r>
        <w:rPr>
          <w:sz w:val="24"/>
        </w:rPr>
        <w:t>of</w:t>
      </w:r>
      <w:r>
        <w:rPr>
          <w:spacing w:val="-2"/>
          <w:sz w:val="24"/>
        </w:rPr>
        <w:t> </w:t>
      </w:r>
      <w:r>
        <w:rPr>
          <w:sz w:val="24"/>
        </w:rPr>
        <w:t>the</w:t>
      </w:r>
      <w:r>
        <w:rPr>
          <w:spacing w:val="-3"/>
          <w:sz w:val="24"/>
        </w:rPr>
        <w:t> </w:t>
      </w:r>
      <w:r>
        <w:rPr>
          <w:sz w:val="24"/>
        </w:rPr>
        <w:t>first</w:t>
      </w:r>
      <w:r>
        <w:rPr>
          <w:spacing w:val="-2"/>
          <w:sz w:val="24"/>
        </w:rPr>
        <w:t> </w:t>
      </w:r>
      <w:r>
        <w:rPr>
          <w:sz w:val="24"/>
        </w:rPr>
        <w:t>business</w:t>
      </w:r>
      <w:r>
        <w:rPr>
          <w:spacing w:val="-3"/>
          <w:sz w:val="24"/>
        </w:rPr>
        <w:t> </w:t>
      </w:r>
      <w:r>
        <w:rPr>
          <w:sz w:val="24"/>
        </w:rPr>
        <w:t>month</w:t>
      </w:r>
      <w:r>
        <w:rPr>
          <w:spacing w:val="-4"/>
          <w:sz w:val="24"/>
        </w:rPr>
        <w:t> </w:t>
      </w:r>
      <w:r>
        <w:rPr>
          <w:sz w:val="24"/>
        </w:rPr>
        <w:t>following</w:t>
      </w:r>
      <w:r>
        <w:rPr>
          <w:spacing w:val="-3"/>
          <w:sz w:val="24"/>
        </w:rPr>
        <w:t> </w:t>
      </w:r>
      <w:r>
        <w:rPr>
          <w:sz w:val="24"/>
        </w:rPr>
        <w:t>the</w:t>
      </w:r>
      <w:r>
        <w:rPr>
          <w:spacing w:val="-3"/>
          <w:sz w:val="24"/>
        </w:rPr>
        <w:t> </w:t>
      </w:r>
      <w:r>
        <w:rPr>
          <w:sz w:val="24"/>
        </w:rPr>
        <w:t>mailing</w:t>
      </w:r>
      <w:r>
        <w:rPr>
          <w:spacing w:val="-3"/>
          <w:sz w:val="24"/>
        </w:rPr>
        <w:t> </w:t>
      </w:r>
      <w:r>
        <w:rPr>
          <w:sz w:val="24"/>
        </w:rPr>
        <w:t>of</w:t>
      </w:r>
      <w:r>
        <w:rPr>
          <w:spacing w:val="-1"/>
          <w:sz w:val="24"/>
        </w:rPr>
        <w:t> </w:t>
      </w:r>
      <w:r>
        <w:rPr>
          <w:sz w:val="24"/>
        </w:rPr>
        <w:t>notice</w:t>
      </w:r>
      <w:r>
        <w:rPr>
          <w:spacing w:val="-3"/>
          <w:sz w:val="24"/>
        </w:rPr>
        <w:t> </w:t>
      </w:r>
      <w:r>
        <w:rPr>
          <w:sz w:val="24"/>
        </w:rPr>
        <w:t>to the licensed manager.</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7-1-02</w:t>
      </w:r>
      <w:r>
        <w:rPr>
          <w:sz w:val="22"/>
        </w:rPr>
        <w:tab/>
        <w:t>POL Memo #02-02</w:t>
      </w:r>
    </w:p>
    <w:p>
      <w:pPr>
        <w:tabs>
          <w:tab w:pos="1439" w:val="left" w:leader="none"/>
        </w:tabs>
        <w:spacing w:before="0"/>
        <w:ind w:left="360" w:right="5523" w:firstLine="1080"/>
        <w:jc w:val="left"/>
        <w:rPr>
          <w:sz w:val="22"/>
        </w:rPr>
      </w:pPr>
      <w:r>
        <w:rPr>
          <w:sz w:val="22"/>
        </w:rPr>
        <w:t>Permanent,</w:t>
      </w:r>
      <w:r>
        <w:rPr>
          <w:spacing w:val="-12"/>
          <w:sz w:val="22"/>
        </w:rPr>
        <w:t> </w:t>
      </w:r>
      <w:r>
        <w:rPr>
          <w:sz w:val="22"/>
        </w:rPr>
        <w:t>adjustment</w:t>
      </w:r>
      <w:r>
        <w:rPr>
          <w:spacing w:val="-13"/>
          <w:sz w:val="22"/>
        </w:rPr>
        <w:t> </w:t>
      </w:r>
      <w:r>
        <w:rPr>
          <w:sz w:val="22"/>
        </w:rPr>
        <w:t>to</w:t>
      </w:r>
      <w:r>
        <w:rPr>
          <w:spacing w:val="-13"/>
          <w:sz w:val="22"/>
        </w:rPr>
        <w:t> </w:t>
      </w:r>
      <w:r>
        <w:rPr>
          <w:sz w:val="22"/>
        </w:rPr>
        <w:t>set-aside </w:t>
      </w:r>
      <w:r>
        <w:rPr>
          <w:spacing w:val="-2"/>
          <w:sz w:val="22"/>
        </w:rPr>
        <w:t>7-1-05</w:t>
      </w:r>
      <w:r>
        <w:rPr>
          <w:sz w:val="22"/>
        </w:rPr>
        <w:tab/>
        <w:t>PT Memo #06-01</w:t>
      </w:r>
    </w:p>
    <w:p>
      <w:pPr>
        <w:tabs>
          <w:tab w:pos="1439" w:val="left" w:leader="none"/>
        </w:tabs>
        <w:spacing w:before="0"/>
        <w:ind w:left="360" w:right="5096" w:firstLine="1080"/>
        <w:jc w:val="left"/>
        <w:rPr>
          <w:sz w:val="22"/>
        </w:rPr>
      </w:pPr>
      <w:r>
        <w:rPr>
          <w:sz w:val="22"/>
        </w:rPr>
        <w:t>Permanent,</w:t>
      </w:r>
      <w:r>
        <w:rPr>
          <w:spacing w:val="-9"/>
          <w:sz w:val="22"/>
        </w:rPr>
        <w:t> </w:t>
      </w:r>
      <w:r>
        <w:rPr>
          <w:sz w:val="22"/>
        </w:rPr>
        <w:t>added</w:t>
      </w:r>
      <w:r>
        <w:rPr>
          <w:spacing w:val="-10"/>
          <w:sz w:val="22"/>
        </w:rPr>
        <w:t> </w:t>
      </w:r>
      <w:r>
        <w:rPr>
          <w:sz w:val="22"/>
        </w:rPr>
        <w:t>late</w:t>
      </w:r>
      <w:r>
        <w:rPr>
          <w:spacing w:val="-10"/>
          <w:sz w:val="22"/>
        </w:rPr>
        <w:t> </w:t>
      </w:r>
      <w:r>
        <w:rPr>
          <w:sz w:val="22"/>
        </w:rPr>
        <w:t>payment</w:t>
      </w:r>
      <w:r>
        <w:rPr>
          <w:spacing w:val="-10"/>
          <w:sz w:val="22"/>
        </w:rPr>
        <w:t> </w:t>
      </w:r>
      <w:r>
        <w:rPr>
          <w:sz w:val="22"/>
        </w:rPr>
        <w:t>penalty </w:t>
      </w:r>
      <w:r>
        <w:rPr>
          <w:spacing w:val="-2"/>
          <w:sz w:val="22"/>
        </w:rPr>
        <w:t>7-1-12</w:t>
      </w:r>
      <w:r>
        <w:rPr>
          <w:sz w:val="22"/>
        </w:rPr>
        <w:tab/>
        <w:t>Permanent, updating language</w:t>
      </w:r>
    </w:p>
    <w:p>
      <w:pPr>
        <w:tabs>
          <w:tab w:pos="1439" w:val="left" w:leader="none"/>
        </w:tabs>
        <w:spacing w:line="252" w:lineRule="exact" w:before="0"/>
        <w:ind w:left="360" w:right="0" w:firstLine="0"/>
        <w:jc w:val="left"/>
        <w:rPr>
          <w:sz w:val="22"/>
        </w:rPr>
      </w:pPr>
      <w:r>
        <w:rPr>
          <w:spacing w:val="-2"/>
          <w:sz w:val="22"/>
        </w:rPr>
        <w:t>9-12-</w:t>
      </w:r>
      <w:r>
        <w:rPr>
          <w:spacing w:val="-5"/>
          <w:sz w:val="22"/>
        </w:rPr>
        <w:t>14</w:t>
      </w:r>
      <w:r>
        <w:rPr>
          <w:sz w:val="22"/>
        </w:rPr>
        <w:tab/>
        <w:t>Permanent,</w:t>
      </w:r>
      <w:r>
        <w:rPr>
          <w:spacing w:val="-8"/>
          <w:sz w:val="22"/>
        </w:rPr>
        <w:t> </w:t>
      </w:r>
      <w:r>
        <w:rPr>
          <w:sz w:val="22"/>
        </w:rPr>
        <w:t>updating</w:t>
      </w:r>
      <w:r>
        <w:rPr>
          <w:spacing w:val="-9"/>
          <w:sz w:val="22"/>
        </w:rPr>
        <w:t> </w:t>
      </w:r>
      <w:r>
        <w:rPr>
          <w:sz w:val="22"/>
        </w:rPr>
        <w:t>language</w:t>
      </w:r>
      <w:r>
        <w:rPr>
          <w:spacing w:val="-9"/>
          <w:sz w:val="22"/>
        </w:rPr>
        <w:t> </w:t>
      </w:r>
      <w:r>
        <w:rPr>
          <w:sz w:val="22"/>
        </w:rPr>
        <w:t>and</w:t>
      </w:r>
      <w:r>
        <w:rPr>
          <w:spacing w:val="-9"/>
          <w:sz w:val="22"/>
        </w:rPr>
        <w:t> </w:t>
      </w:r>
      <w:r>
        <w:rPr>
          <w:spacing w:val="-2"/>
          <w:sz w:val="22"/>
        </w:rPr>
        <w:t>policy</w:t>
      </w:r>
    </w:p>
    <w:p>
      <w:pPr>
        <w:tabs>
          <w:tab w:pos="1439" w:val="left" w:leader="none"/>
        </w:tabs>
        <w:spacing w:before="0"/>
        <w:ind w:left="1439" w:right="1465" w:hanging="1080"/>
        <w:jc w:val="left"/>
        <w:rPr>
          <w:sz w:val="22"/>
        </w:rPr>
      </w:pPr>
      <w:r>
        <w:rPr>
          <w:spacing w:val="-2"/>
          <w:sz w:val="22"/>
        </w:rPr>
        <w:t>8-27-15</w:t>
      </w:r>
      <w:r>
        <w:rPr>
          <w:sz w:val="22"/>
        </w:rPr>
        <w:tab/>
        <w:t>Updated</w:t>
      </w:r>
      <w:r>
        <w:rPr>
          <w:spacing w:val="-4"/>
          <w:sz w:val="22"/>
        </w:rPr>
        <w:t> </w:t>
      </w:r>
      <w:r>
        <w:rPr>
          <w:sz w:val="22"/>
        </w:rPr>
        <w:t>language</w:t>
      </w:r>
      <w:r>
        <w:rPr>
          <w:spacing w:val="-4"/>
          <w:sz w:val="22"/>
        </w:rPr>
        <w:t> </w:t>
      </w:r>
      <w:r>
        <w:rPr>
          <w:sz w:val="22"/>
        </w:rPr>
        <w:t>in</w:t>
      </w:r>
      <w:r>
        <w:rPr>
          <w:spacing w:val="-4"/>
          <w:sz w:val="22"/>
        </w:rPr>
        <w:t> </w:t>
      </w:r>
      <w:r>
        <w:rPr>
          <w:sz w:val="22"/>
        </w:rPr>
        <w:t>section</w:t>
      </w:r>
      <w:r>
        <w:rPr>
          <w:spacing w:val="-4"/>
          <w:sz w:val="22"/>
        </w:rPr>
        <w:t> </w:t>
      </w:r>
      <w:r>
        <w:rPr>
          <w:sz w:val="22"/>
        </w:rPr>
        <w:t>(d)</w:t>
      </w:r>
      <w:r>
        <w:rPr>
          <w:spacing w:val="-4"/>
          <w:sz w:val="22"/>
        </w:rPr>
        <w:t> </w:t>
      </w:r>
      <w:r>
        <w:rPr>
          <w:sz w:val="22"/>
        </w:rPr>
        <w:t>to</w:t>
      </w:r>
      <w:r>
        <w:rPr>
          <w:spacing w:val="-4"/>
          <w:sz w:val="22"/>
        </w:rPr>
        <w:t> </w:t>
      </w:r>
      <w:r>
        <w:rPr>
          <w:sz w:val="22"/>
        </w:rPr>
        <w:t>include</w:t>
      </w:r>
      <w:r>
        <w:rPr>
          <w:spacing w:val="-4"/>
          <w:sz w:val="22"/>
        </w:rPr>
        <w:t> </w:t>
      </w:r>
      <w:r>
        <w:rPr>
          <w:sz w:val="22"/>
        </w:rPr>
        <w:t>mailing</w:t>
      </w:r>
      <w:r>
        <w:rPr>
          <w:spacing w:val="-4"/>
          <w:sz w:val="22"/>
        </w:rPr>
        <w:t> </w:t>
      </w:r>
      <w:r>
        <w:rPr>
          <w:sz w:val="22"/>
        </w:rPr>
        <w:t>payments</w:t>
      </w:r>
      <w:r>
        <w:rPr>
          <w:spacing w:val="-4"/>
          <w:sz w:val="22"/>
        </w:rPr>
        <w:t> </w:t>
      </w:r>
      <w:r>
        <w:rPr>
          <w:sz w:val="22"/>
        </w:rPr>
        <w:t>and</w:t>
      </w:r>
      <w:r>
        <w:rPr>
          <w:spacing w:val="-4"/>
          <w:sz w:val="22"/>
        </w:rPr>
        <w:t> </w:t>
      </w:r>
      <w:r>
        <w:rPr>
          <w:sz w:val="22"/>
        </w:rPr>
        <w:t>postmarked </w:t>
      </w:r>
      <w:r>
        <w:rPr>
          <w:spacing w:val="-2"/>
          <w:sz w:val="22"/>
        </w:rPr>
        <w:t>deadlines.</w:t>
      </w:r>
    </w:p>
    <w:p>
      <w:pPr>
        <w:tabs>
          <w:tab w:pos="1439" w:val="left" w:leader="none"/>
        </w:tabs>
        <w:spacing w:before="1"/>
        <w:ind w:left="1439" w:right="1013" w:hanging="1080"/>
        <w:jc w:val="left"/>
        <w:rPr>
          <w:sz w:val="22"/>
        </w:rPr>
      </w:pPr>
      <w:r>
        <w:rPr>
          <w:spacing w:val="-2"/>
          <w:sz w:val="22"/>
        </w:rPr>
        <w:t>9-11-22</w:t>
      </w:r>
      <w:r>
        <w:rPr>
          <w:sz w:val="22"/>
        </w:rPr>
        <w:tab/>
        <w:t>Revised</w:t>
      </w:r>
      <w:r>
        <w:rPr>
          <w:spacing w:val="-4"/>
          <w:sz w:val="22"/>
        </w:rPr>
        <w:t> </w:t>
      </w:r>
      <w:r>
        <w:rPr>
          <w:sz w:val="22"/>
        </w:rPr>
        <w:t>language</w:t>
      </w:r>
      <w:r>
        <w:rPr>
          <w:spacing w:val="-4"/>
          <w:sz w:val="22"/>
        </w:rPr>
        <w:t> </w:t>
      </w:r>
      <w:r>
        <w:rPr>
          <w:sz w:val="22"/>
        </w:rPr>
        <w:t>under</w:t>
      </w:r>
      <w:r>
        <w:rPr>
          <w:spacing w:val="-4"/>
          <w:sz w:val="22"/>
        </w:rPr>
        <w:t> </w:t>
      </w:r>
      <w:r>
        <w:rPr>
          <w:sz w:val="22"/>
        </w:rPr>
        <w:t>(d)</w:t>
      </w:r>
      <w:r>
        <w:rPr>
          <w:spacing w:val="-4"/>
          <w:sz w:val="22"/>
        </w:rPr>
        <w:t> </w:t>
      </w:r>
      <w:r>
        <w:rPr>
          <w:sz w:val="22"/>
        </w:rPr>
        <w:t>revising</w:t>
      </w:r>
      <w:r>
        <w:rPr>
          <w:spacing w:val="-5"/>
          <w:sz w:val="22"/>
        </w:rPr>
        <w:t> </w:t>
      </w:r>
      <w:r>
        <w:rPr>
          <w:sz w:val="22"/>
        </w:rPr>
        <w:t>payment</w:t>
      </w:r>
      <w:r>
        <w:rPr>
          <w:spacing w:val="-4"/>
          <w:sz w:val="22"/>
        </w:rPr>
        <w:t> </w:t>
      </w:r>
      <w:r>
        <w:rPr>
          <w:sz w:val="22"/>
        </w:rPr>
        <w:t>due</w:t>
      </w:r>
      <w:r>
        <w:rPr>
          <w:spacing w:val="-4"/>
          <w:sz w:val="22"/>
        </w:rPr>
        <w:t> </w:t>
      </w:r>
      <w:r>
        <w:rPr>
          <w:sz w:val="22"/>
        </w:rPr>
        <w:t>date,</w:t>
      </w:r>
      <w:r>
        <w:rPr>
          <w:spacing w:val="-4"/>
          <w:sz w:val="22"/>
        </w:rPr>
        <w:t> </w:t>
      </w:r>
      <w:r>
        <w:rPr>
          <w:sz w:val="22"/>
        </w:rPr>
        <w:t>(e)</w:t>
      </w:r>
      <w:r>
        <w:rPr>
          <w:spacing w:val="-4"/>
          <w:sz w:val="22"/>
        </w:rPr>
        <w:t> </w:t>
      </w:r>
      <w:r>
        <w:rPr>
          <w:sz w:val="22"/>
        </w:rPr>
        <w:t>revised</w:t>
      </w:r>
      <w:r>
        <w:rPr>
          <w:spacing w:val="-4"/>
          <w:sz w:val="22"/>
        </w:rPr>
        <w:t> </w:t>
      </w:r>
      <w:r>
        <w:rPr>
          <w:sz w:val="22"/>
        </w:rPr>
        <w:t>monthly</w:t>
      </w:r>
      <w:r>
        <w:rPr>
          <w:spacing w:val="-4"/>
          <w:sz w:val="22"/>
        </w:rPr>
        <w:t> </w:t>
      </w:r>
      <w:r>
        <w:rPr>
          <w:sz w:val="22"/>
        </w:rPr>
        <w:t>report due date.</w:t>
      </w:r>
    </w:p>
    <w:p>
      <w:pPr>
        <w:spacing w:after="0"/>
        <w:jc w:val="left"/>
        <w:rPr>
          <w:sz w:val="22"/>
        </w:rPr>
        <w:sectPr>
          <w:pgSz w:w="12240" w:h="15840"/>
          <w:pgMar w:top="1340" w:bottom="280" w:left="1080" w:right="720"/>
        </w:sectPr>
      </w:pPr>
    </w:p>
    <w:p>
      <w:pPr>
        <w:pStyle w:val="Heading2"/>
      </w:pPr>
      <w:bookmarkStart w:name="612:25-6-16.  Criteria to establish a bu" w:id="429"/>
      <w:bookmarkEnd w:id="429"/>
      <w:r>
        <w:rPr>
          <w:b w:val="0"/>
        </w:rPr>
      </w:r>
      <w:r>
        <w:rPr/>
        <w:t>612:25-6-16.</w:t>
      </w:r>
      <w:r>
        <w:rPr>
          <w:spacing w:val="58"/>
        </w:rPr>
        <w:t> </w:t>
      </w:r>
      <w:r>
        <w:rPr/>
        <w:t>Criteria</w:t>
      </w:r>
      <w:r>
        <w:rPr>
          <w:spacing w:val="-5"/>
        </w:rPr>
        <w:t> </w:t>
      </w:r>
      <w:r>
        <w:rPr/>
        <w:t>to</w:t>
      </w:r>
      <w:r>
        <w:rPr>
          <w:spacing w:val="-3"/>
        </w:rPr>
        <w:t> </w:t>
      </w:r>
      <w:r>
        <w:rPr/>
        <w:t>establish</w:t>
      </w:r>
      <w:r>
        <w:rPr>
          <w:spacing w:val="-4"/>
        </w:rPr>
        <w:t> </w:t>
      </w:r>
      <w:r>
        <w:rPr/>
        <w:t>a</w:t>
      </w:r>
      <w:r>
        <w:rPr>
          <w:spacing w:val="-3"/>
        </w:rPr>
        <w:t> </w:t>
      </w:r>
      <w:r>
        <w:rPr/>
        <w:t>business</w:t>
      </w:r>
      <w:r>
        <w:rPr>
          <w:spacing w:val="-3"/>
        </w:rPr>
        <w:t> </w:t>
      </w:r>
      <w:r>
        <w:rPr>
          <w:spacing w:val="-2"/>
        </w:rPr>
        <w:t>enterprise</w:t>
      </w:r>
    </w:p>
    <w:p>
      <w:pPr>
        <w:pStyle w:val="BodyText"/>
        <w:spacing w:line="208" w:lineRule="auto" w:before="233"/>
        <w:ind w:right="775" w:firstLine="288"/>
      </w:pPr>
      <w:r>
        <w:rPr/>
        <w:t>A decision to establish a business enterprise will be made by the State Licensing Agency</w:t>
      </w:r>
      <w:r>
        <w:rPr>
          <w:spacing w:val="-1"/>
        </w:rPr>
        <w:t> </w:t>
      </w:r>
      <w:r>
        <w:rPr/>
        <w:t>(SLA) in</w:t>
      </w:r>
      <w:r>
        <w:rPr>
          <w:spacing w:val="-1"/>
        </w:rPr>
        <w:t> </w:t>
      </w:r>
      <w:r>
        <w:rPr/>
        <w:t>consultation</w:t>
      </w:r>
      <w:r>
        <w:rPr>
          <w:spacing w:val="-1"/>
        </w:rPr>
        <w:t> </w:t>
      </w:r>
      <w:r>
        <w:rPr/>
        <w:t>with</w:t>
      </w:r>
      <w:r>
        <w:rPr>
          <w:spacing w:val="-1"/>
        </w:rPr>
        <w:t> </w:t>
      </w:r>
      <w:r>
        <w:rPr/>
        <w:t>the</w:t>
      </w:r>
      <w:r>
        <w:rPr>
          <w:spacing w:val="-1"/>
        </w:rPr>
        <w:t> </w:t>
      </w:r>
      <w:r>
        <w:rPr/>
        <w:t>ECM</w:t>
      </w:r>
      <w:r>
        <w:rPr>
          <w:spacing w:val="-2"/>
        </w:rPr>
        <w:t> </w:t>
      </w:r>
      <w:r>
        <w:rPr/>
        <w:t>board</w:t>
      </w:r>
      <w:r>
        <w:rPr>
          <w:spacing w:val="-1"/>
        </w:rPr>
        <w:t> </w:t>
      </w:r>
      <w:r>
        <w:rPr/>
        <w:t>through</w:t>
      </w:r>
      <w:r>
        <w:rPr>
          <w:spacing w:val="-1"/>
        </w:rPr>
        <w:t> </w:t>
      </w:r>
      <w:r>
        <w:rPr/>
        <w:t>consultation</w:t>
      </w:r>
      <w:r>
        <w:rPr>
          <w:spacing w:val="-1"/>
        </w:rPr>
        <w:t> </w:t>
      </w:r>
      <w:r>
        <w:rPr/>
        <w:t>with</w:t>
      </w:r>
      <w:r>
        <w:rPr>
          <w:spacing w:val="-1"/>
        </w:rPr>
        <w:t> </w:t>
      </w:r>
      <w:r>
        <w:rPr/>
        <w:t>ECM chair person based on the Business Enterprise Program (BEP) calculation of potential business profitability, estimated installation costs, available SLA resources and the BEP’s</w:t>
      </w:r>
      <w:r>
        <w:rPr>
          <w:spacing w:val="-5"/>
        </w:rPr>
        <w:t> </w:t>
      </w:r>
      <w:r>
        <w:rPr/>
        <w:t>recommendation.</w:t>
      </w:r>
      <w:r>
        <w:rPr>
          <w:spacing w:val="-4"/>
        </w:rPr>
        <w:t> </w:t>
      </w:r>
      <w:r>
        <w:rPr/>
        <w:t>Information</w:t>
      </w:r>
      <w:r>
        <w:rPr>
          <w:spacing w:val="-5"/>
        </w:rPr>
        <w:t> </w:t>
      </w:r>
      <w:r>
        <w:rPr/>
        <w:t>used</w:t>
      </w:r>
      <w:r>
        <w:rPr>
          <w:spacing w:val="-5"/>
        </w:rPr>
        <w:t> </w:t>
      </w:r>
      <w:r>
        <w:rPr/>
        <w:t>for</w:t>
      </w:r>
      <w:r>
        <w:rPr>
          <w:spacing w:val="-4"/>
        </w:rPr>
        <w:t> </w:t>
      </w:r>
      <w:r>
        <w:rPr/>
        <w:t>calculation</w:t>
      </w:r>
      <w:r>
        <w:rPr>
          <w:spacing w:val="-4"/>
        </w:rPr>
        <w:t> </w:t>
      </w:r>
      <w:r>
        <w:rPr/>
        <w:t>of</w:t>
      </w:r>
      <w:r>
        <w:rPr>
          <w:spacing w:val="-4"/>
        </w:rPr>
        <w:t> </w:t>
      </w:r>
      <w:r>
        <w:rPr/>
        <w:t>business</w:t>
      </w:r>
      <w:r>
        <w:rPr>
          <w:spacing w:val="-5"/>
        </w:rPr>
        <w:t> </w:t>
      </w:r>
      <w:r>
        <w:rPr/>
        <w:t>profitability</w:t>
      </w:r>
      <w:r>
        <w:rPr>
          <w:spacing w:val="-5"/>
        </w:rPr>
        <w:t> </w:t>
      </w:r>
      <w:r>
        <w:rPr/>
        <w:t>will</w:t>
      </w:r>
      <w:r>
        <w:rPr>
          <w:spacing w:val="-5"/>
        </w:rPr>
        <w:t> </w:t>
      </w:r>
      <w:r>
        <w:rPr/>
        <w:t>be obtained by BEP staff using a site survey that will include:</w:t>
      </w:r>
    </w:p>
    <w:p>
      <w:pPr>
        <w:pStyle w:val="ListParagraph"/>
        <w:numPr>
          <w:ilvl w:val="0"/>
          <w:numId w:val="402"/>
        </w:numPr>
        <w:tabs>
          <w:tab w:pos="1056" w:val="left" w:leader="none"/>
        </w:tabs>
        <w:spacing w:line="240" w:lineRule="auto" w:before="210" w:after="0"/>
        <w:ind w:left="1056" w:right="0" w:hanging="426"/>
        <w:jc w:val="left"/>
        <w:rPr>
          <w:sz w:val="24"/>
        </w:rPr>
      </w:pPr>
      <w:r>
        <w:rPr>
          <w:sz w:val="24"/>
        </w:rPr>
        <w:t>building</w:t>
      </w:r>
      <w:r>
        <w:rPr>
          <w:spacing w:val="-6"/>
          <w:sz w:val="24"/>
        </w:rPr>
        <w:t> </w:t>
      </w:r>
      <w:r>
        <w:rPr>
          <w:spacing w:val="-2"/>
          <w:sz w:val="24"/>
        </w:rPr>
        <w:t>population;</w:t>
      </w:r>
    </w:p>
    <w:p>
      <w:pPr>
        <w:pStyle w:val="ListParagraph"/>
        <w:numPr>
          <w:ilvl w:val="0"/>
          <w:numId w:val="402"/>
        </w:numPr>
        <w:tabs>
          <w:tab w:pos="1056" w:val="left" w:leader="none"/>
        </w:tabs>
        <w:spacing w:line="240" w:lineRule="auto" w:before="204" w:after="0"/>
        <w:ind w:left="1056" w:right="0" w:hanging="426"/>
        <w:jc w:val="left"/>
        <w:rPr>
          <w:sz w:val="24"/>
        </w:rPr>
      </w:pPr>
      <w:r>
        <w:rPr>
          <w:sz w:val="24"/>
        </w:rPr>
        <w:t>number</w:t>
      </w:r>
      <w:r>
        <w:rPr>
          <w:spacing w:val="-2"/>
          <w:sz w:val="24"/>
        </w:rPr>
        <w:t> </w:t>
      </w:r>
      <w:r>
        <w:rPr>
          <w:sz w:val="24"/>
        </w:rPr>
        <w:t>of</w:t>
      </w:r>
      <w:r>
        <w:rPr>
          <w:spacing w:val="-2"/>
          <w:sz w:val="24"/>
        </w:rPr>
        <w:t> visitors;</w:t>
      </w:r>
    </w:p>
    <w:p>
      <w:pPr>
        <w:pStyle w:val="ListParagraph"/>
        <w:numPr>
          <w:ilvl w:val="0"/>
          <w:numId w:val="402"/>
        </w:numPr>
        <w:tabs>
          <w:tab w:pos="1056" w:val="left" w:leader="none"/>
        </w:tabs>
        <w:spacing w:line="240" w:lineRule="auto" w:before="204" w:after="0"/>
        <w:ind w:left="1056" w:right="0" w:hanging="426"/>
        <w:jc w:val="left"/>
        <w:rPr>
          <w:sz w:val="24"/>
        </w:rPr>
      </w:pPr>
      <w:r>
        <w:rPr>
          <w:sz w:val="24"/>
        </w:rPr>
        <w:t>competition</w:t>
      </w:r>
      <w:r>
        <w:rPr>
          <w:spacing w:val="-4"/>
          <w:sz w:val="24"/>
        </w:rPr>
        <w:t> </w:t>
      </w:r>
      <w:r>
        <w:rPr>
          <w:sz w:val="24"/>
        </w:rPr>
        <w:t>in</w:t>
      </w:r>
      <w:r>
        <w:rPr>
          <w:spacing w:val="-3"/>
          <w:sz w:val="24"/>
        </w:rPr>
        <w:t> </w:t>
      </w:r>
      <w:r>
        <w:rPr>
          <w:sz w:val="24"/>
        </w:rPr>
        <w:t>the</w:t>
      </w:r>
      <w:r>
        <w:rPr>
          <w:spacing w:val="-4"/>
          <w:sz w:val="24"/>
        </w:rPr>
        <w:t> </w:t>
      </w:r>
      <w:r>
        <w:rPr>
          <w:sz w:val="24"/>
        </w:rPr>
        <w:t>immediate</w:t>
      </w:r>
      <w:r>
        <w:rPr>
          <w:spacing w:val="-3"/>
          <w:sz w:val="24"/>
        </w:rPr>
        <w:t> </w:t>
      </w:r>
      <w:r>
        <w:rPr>
          <w:spacing w:val="-2"/>
          <w:sz w:val="24"/>
        </w:rPr>
        <w:t>area;</w:t>
      </w:r>
    </w:p>
    <w:p>
      <w:pPr>
        <w:pStyle w:val="ListParagraph"/>
        <w:numPr>
          <w:ilvl w:val="0"/>
          <w:numId w:val="402"/>
        </w:numPr>
        <w:tabs>
          <w:tab w:pos="1056" w:val="left" w:leader="none"/>
        </w:tabs>
        <w:spacing w:line="240" w:lineRule="auto" w:before="204" w:after="0"/>
        <w:ind w:left="1056" w:right="0" w:hanging="426"/>
        <w:jc w:val="left"/>
        <w:rPr>
          <w:sz w:val="24"/>
        </w:rPr>
      </w:pPr>
      <w:r>
        <w:rPr>
          <w:sz w:val="24"/>
        </w:rPr>
        <w:t>building</w:t>
      </w:r>
      <w:r>
        <w:rPr>
          <w:spacing w:val="-6"/>
          <w:sz w:val="24"/>
        </w:rPr>
        <w:t> </w:t>
      </w:r>
      <w:r>
        <w:rPr>
          <w:spacing w:val="-2"/>
          <w:sz w:val="24"/>
        </w:rPr>
        <w:t>security;</w:t>
      </w:r>
    </w:p>
    <w:p>
      <w:pPr>
        <w:pStyle w:val="ListParagraph"/>
        <w:numPr>
          <w:ilvl w:val="0"/>
          <w:numId w:val="402"/>
        </w:numPr>
        <w:tabs>
          <w:tab w:pos="1056" w:val="left" w:leader="none"/>
        </w:tabs>
        <w:spacing w:line="240" w:lineRule="auto" w:before="204" w:after="0"/>
        <w:ind w:left="1056" w:right="0" w:hanging="426"/>
        <w:jc w:val="left"/>
        <w:rPr>
          <w:sz w:val="24"/>
        </w:rPr>
      </w:pPr>
      <w:r>
        <w:rPr>
          <w:sz w:val="24"/>
        </w:rPr>
        <w:t>average</w:t>
      </w:r>
      <w:r>
        <w:rPr>
          <w:spacing w:val="-4"/>
          <w:sz w:val="24"/>
        </w:rPr>
        <w:t> </w:t>
      </w:r>
      <w:r>
        <w:rPr>
          <w:sz w:val="24"/>
        </w:rPr>
        <w:t>salary</w:t>
      </w:r>
      <w:r>
        <w:rPr>
          <w:spacing w:val="-3"/>
          <w:sz w:val="24"/>
        </w:rPr>
        <w:t> </w:t>
      </w:r>
      <w:r>
        <w:rPr>
          <w:sz w:val="24"/>
        </w:rPr>
        <w:t>of</w:t>
      </w:r>
      <w:r>
        <w:rPr>
          <w:spacing w:val="-5"/>
          <w:sz w:val="24"/>
        </w:rPr>
        <w:t> </w:t>
      </w:r>
      <w:r>
        <w:rPr>
          <w:sz w:val="24"/>
        </w:rPr>
        <w:t>prospective</w:t>
      </w:r>
      <w:r>
        <w:rPr>
          <w:spacing w:val="-2"/>
          <w:sz w:val="24"/>
        </w:rPr>
        <w:t> customers;</w:t>
      </w:r>
    </w:p>
    <w:p>
      <w:pPr>
        <w:pStyle w:val="ListParagraph"/>
        <w:numPr>
          <w:ilvl w:val="0"/>
          <w:numId w:val="402"/>
        </w:numPr>
        <w:tabs>
          <w:tab w:pos="1056" w:val="left" w:leader="none"/>
        </w:tabs>
        <w:spacing w:line="240" w:lineRule="auto" w:before="204" w:after="0"/>
        <w:ind w:left="1056" w:right="0" w:hanging="426"/>
        <w:jc w:val="left"/>
        <w:rPr>
          <w:sz w:val="24"/>
        </w:rPr>
      </w:pPr>
      <w:r>
        <w:rPr>
          <w:sz w:val="24"/>
        </w:rPr>
        <w:t>estimated</w:t>
      </w:r>
      <w:r>
        <w:rPr>
          <w:spacing w:val="-6"/>
          <w:sz w:val="24"/>
        </w:rPr>
        <w:t> </w:t>
      </w:r>
      <w:r>
        <w:rPr>
          <w:sz w:val="24"/>
        </w:rPr>
        <w:t>installation</w:t>
      </w:r>
      <w:r>
        <w:rPr>
          <w:spacing w:val="-4"/>
          <w:sz w:val="24"/>
        </w:rPr>
        <w:t> </w:t>
      </w:r>
      <w:r>
        <w:rPr>
          <w:sz w:val="24"/>
        </w:rPr>
        <w:t>cost</w:t>
      </w:r>
      <w:r>
        <w:rPr>
          <w:spacing w:val="-3"/>
          <w:sz w:val="24"/>
        </w:rPr>
        <w:t> </w:t>
      </w:r>
      <w:r>
        <w:rPr>
          <w:sz w:val="24"/>
        </w:rPr>
        <w:t>to</w:t>
      </w:r>
      <w:r>
        <w:rPr>
          <w:spacing w:val="-4"/>
          <w:sz w:val="24"/>
        </w:rPr>
        <w:t> </w:t>
      </w:r>
      <w:r>
        <w:rPr>
          <w:sz w:val="24"/>
        </w:rPr>
        <w:t>provide</w:t>
      </w:r>
      <w:r>
        <w:rPr>
          <w:spacing w:val="-4"/>
          <w:sz w:val="24"/>
        </w:rPr>
        <w:t> </w:t>
      </w:r>
      <w:r>
        <w:rPr>
          <w:sz w:val="24"/>
        </w:rPr>
        <w:t>required</w:t>
      </w:r>
      <w:r>
        <w:rPr>
          <w:spacing w:val="-3"/>
          <w:sz w:val="24"/>
        </w:rPr>
        <w:t> </w:t>
      </w:r>
      <w:r>
        <w:rPr>
          <w:spacing w:val="-2"/>
          <w:sz w:val="24"/>
        </w:rPr>
        <w:t>services;</w:t>
      </w:r>
    </w:p>
    <w:p>
      <w:pPr>
        <w:pStyle w:val="ListParagraph"/>
        <w:numPr>
          <w:ilvl w:val="0"/>
          <w:numId w:val="402"/>
        </w:numPr>
        <w:tabs>
          <w:tab w:pos="1056" w:val="left" w:leader="none"/>
        </w:tabs>
        <w:spacing w:line="240" w:lineRule="auto" w:before="204" w:after="0"/>
        <w:ind w:left="1056" w:right="0" w:hanging="426"/>
        <w:jc w:val="left"/>
        <w:rPr>
          <w:sz w:val="24"/>
        </w:rPr>
      </w:pPr>
      <w:r>
        <w:rPr>
          <w:sz w:val="24"/>
        </w:rPr>
        <w:t>stability</w:t>
      </w:r>
      <w:r>
        <w:rPr>
          <w:spacing w:val="-4"/>
          <w:sz w:val="24"/>
        </w:rPr>
        <w:t> </w:t>
      </w:r>
      <w:r>
        <w:rPr>
          <w:sz w:val="24"/>
        </w:rPr>
        <w:t>of</w:t>
      </w:r>
      <w:r>
        <w:rPr>
          <w:spacing w:val="-3"/>
          <w:sz w:val="24"/>
        </w:rPr>
        <w:t> </w:t>
      </w:r>
      <w:r>
        <w:rPr>
          <w:sz w:val="24"/>
        </w:rPr>
        <w:t>number</w:t>
      </w:r>
      <w:r>
        <w:rPr>
          <w:spacing w:val="-5"/>
          <w:sz w:val="24"/>
        </w:rPr>
        <w:t> </w:t>
      </w:r>
      <w:r>
        <w:rPr>
          <w:sz w:val="24"/>
        </w:rPr>
        <w:t>of</w:t>
      </w:r>
      <w:r>
        <w:rPr>
          <w:spacing w:val="-3"/>
          <w:sz w:val="24"/>
        </w:rPr>
        <w:t> </w:t>
      </w:r>
      <w:r>
        <w:rPr>
          <w:sz w:val="24"/>
        </w:rPr>
        <w:t>prospective</w:t>
      </w:r>
      <w:r>
        <w:rPr>
          <w:spacing w:val="-3"/>
          <w:sz w:val="24"/>
        </w:rPr>
        <w:t> </w:t>
      </w:r>
      <w:r>
        <w:rPr>
          <w:spacing w:val="-2"/>
          <w:sz w:val="24"/>
        </w:rPr>
        <w:t>customers;</w:t>
      </w:r>
    </w:p>
    <w:p>
      <w:pPr>
        <w:pStyle w:val="ListParagraph"/>
        <w:numPr>
          <w:ilvl w:val="0"/>
          <w:numId w:val="402"/>
        </w:numPr>
        <w:tabs>
          <w:tab w:pos="1056" w:val="left" w:leader="none"/>
        </w:tabs>
        <w:spacing w:line="240" w:lineRule="auto" w:before="204" w:after="0"/>
        <w:ind w:left="1056" w:right="0" w:hanging="426"/>
        <w:jc w:val="left"/>
        <w:rPr>
          <w:sz w:val="24"/>
        </w:rPr>
      </w:pPr>
      <w:r>
        <w:rPr>
          <w:sz w:val="24"/>
        </w:rPr>
        <w:t>longevity</w:t>
      </w:r>
      <w:r>
        <w:rPr>
          <w:spacing w:val="-5"/>
          <w:sz w:val="24"/>
        </w:rPr>
        <w:t> </w:t>
      </w:r>
      <w:r>
        <w:rPr>
          <w:sz w:val="24"/>
        </w:rPr>
        <w:t>of</w:t>
      </w:r>
      <w:r>
        <w:rPr>
          <w:spacing w:val="-5"/>
          <w:sz w:val="24"/>
        </w:rPr>
        <w:t> </w:t>
      </w:r>
      <w:r>
        <w:rPr>
          <w:sz w:val="24"/>
        </w:rPr>
        <w:t>potential</w:t>
      </w:r>
      <w:r>
        <w:rPr>
          <w:spacing w:val="-4"/>
          <w:sz w:val="24"/>
        </w:rPr>
        <w:t> </w:t>
      </w:r>
      <w:r>
        <w:rPr>
          <w:spacing w:val="-2"/>
          <w:sz w:val="24"/>
        </w:rPr>
        <w:t>facility;</w:t>
      </w:r>
    </w:p>
    <w:p>
      <w:pPr>
        <w:pStyle w:val="ListParagraph"/>
        <w:numPr>
          <w:ilvl w:val="0"/>
          <w:numId w:val="402"/>
        </w:numPr>
        <w:tabs>
          <w:tab w:pos="1056" w:val="left" w:leader="none"/>
        </w:tabs>
        <w:spacing w:line="240" w:lineRule="auto" w:before="204" w:after="0"/>
        <w:ind w:left="1056" w:right="0" w:hanging="426"/>
        <w:jc w:val="left"/>
        <w:rPr>
          <w:sz w:val="24"/>
        </w:rPr>
      </w:pPr>
      <w:r>
        <w:rPr>
          <w:sz w:val="24"/>
        </w:rPr>
        <w:t>geographic</w:t>
      </w:r>
      <w:r>
        <w:rPr>
          <w:spacing w:val="-7"/>
          <w:sz w:val="24"/>
        </w:rPr>
        <w:t> </w:t>
      </w:r>
      <w:r>
        <w:rPr>
          <w:sz w:val="24"/>
        </w:rPr>
        <w:t>location;</w:t>
      </w:r>
      <w:r>
        <w:rPr>
          <w:spacing w:val="-5"/>
          <w:sz w:val="24"/>
        </w:rPr>
        <w:t> and</w:t>
      </w:r>
    </w:p>
    <w:p>
      <w:pPr>
        <w:pStyle w:val="ListParagraph"/>
        <w:numPr>
          <w:ilvl w:val="0"/>
          <w:numId w:val="402"/>
        </w:numPr>
        <w:tabs>
          <w:tab w:pos="1189" w:val="left" w:leader="none"/>
        </w:tabs>
        <w:spacing w:line="240" w:lineRule="auto" w:before="204" w:after="0"/>
        <w:ind w:left="1189" w:right="0" w:hanging="559"/>
        <w:jc w:val="left"/>
        <w:rPr>
          <w:sz w:val="24"/>
        </w:rPr>
      </w:pPr>
      <w:r>
        <w:rPr>
          <w:sz w:val="24"/>
        </w:rPr>
        <w:t>additional</w:t>
      </w:r>
      <w:r>
        <w:rPr>
          <w:spacing w:val="-6"/>
          <w:sz w:val="24"/>
        </w:rPr>
        <w:t> </w:t>
      </w:r>
      <w:r>
        <w:rPr>
          <w:sz w:val="24"/>
        </w:rPr>
        <w:t>information</w:t>
      </w:r>
      <w:r>
        <w:rPr>
          <w:spacing w:val="-5"/>
          <w:sz w:val="24"/>
        </w:rPr>
        <w:t> </w:t>
      </w:r>
      <w:r>
        <w:rPr>
          <w:sz w:val="24"/>
        </w:rPr>
        <w:t>as</w:t>
      </w:r>
      <w:r>
        <w:rPr>
          <w:spacing w:val="-5"/>
          <w:sz w:val="24"/>
        </w:rPr>
        <w:t> </w:t>
      </w:r>
      <w:r>
        <w:rPr>
          <w:sz w:val="24"/>
        </w:rPr>
        <w:t>determined</w:t>
      </w:r>
      <w:r>
        <w:rPr>
          <w:spacing w:val="-5"/>
          <w:sz w:val="24"/>
        </w:rPr>
        <w:t> </w:t>
      </w:r>
      <w:r>
        <w:rPr>
          <w:spacing w:val="-2"/>
          <w:sz w:val="24"/>
        </w:rPr>
        <w:t>necessary.</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pStyle w:val="ListParagraph"/>
        <w:numPr>
          <w:ilvl w:val="2"/>
          <w:numId w:val="223"/>
        </w:numPr>
        <w:tabs>
          <w:tab w:pos="1439" w:val="left" w:leader="none"/>
        </w:tabs>
        <w:spacing w:line="240" w:lineRule="auto" w:before="0" w:after="0"/>
        <w:ind w:left="1439" w:right="0" w:hanging="1080"/>
        <w:jc w:val="left"/>
        <w:rPr>
          <w:sz w:val="22"/>
        </w:rPr>
      </w:pPr>
      <w:r>
        <w:rPr>
          <w:sz w:val="22"/>
        </w:rPr>
        <w:t>Permanent,</w:t>
      </w:r>
      <w:r>
        <w:rPr>
          <w:spacing w:val="-9"/>
          <w:sz w:val="22"/>
        </w:rPr>
        <w:t> </w:t>
      </w:r>
      <w:r>
        <w:rPr>
          <w:sz w:val="22"/>
        </w:rPr>
        <w:t>updating</w:t>
      </w:r>
      <w:r>
        <w:rPr>
          <w:spacing w:val="-9"/>
          <w:sz w:val="22"/>
        </w:rPr>
        <w:t> </w:t>
      </w:r>
      <w:r>
        <w:rPr>
          <w:sz w:val="22"/>
        </w:rPr>
        <w:t>and</w:t>
      </w:r>
      <w:r>
        <w:rPr>
          <w:spacing w:val="-9"/>
          <w:sz w:val="22"/>
        </w:rPr>
        <w:t> </w:t>
      </w:r>
      <w:r>
        <w:rPr>
          <w:sz w:val="22"/>
        </w:rPr>
        <w:t>clarifying</w:t>
      </w:r>
      <w:r>
        <w:rPr>
          <w:spacing w:val="-9"/>
          <w:sz w:val="22"/>
        </w:rPr>
        <w:t> </w:t>
      </w:r>
      <w:r>
        <w:rPr>
          <w:spacing w:val="-2"/>
          <w:sz w:val="22"/>
        </w:rPr>
        <w:t>language</w:t>
      </w:r>
    </w:p>
    <w:p>
      <w:pPr>
        <w:tabs>
          <w:tab w:pos="1439" w:val="left" w:leader="none"/>
        </w:tabs>
        <w:spacing w:before="0"/>
        <w:ind w:left="1439" w:right="775" w:hanging="1080"/>
        <w:jc w:val="left"/>
        <w:rPr>
          <w:sz w:val="22"/>
        </w:rPr>
      </w:pPr>
      <w:r>
        <w:rPr>
          <w:spacing w:val="-2"/>
          <w:sz w:val="22"/>
        </w:rPr>
        <w:t>9-11-22</w:t>
      </w:r>
      <w:r>
        <w:rPr>
          <w:sz w:val="22"/>
        </w:rPr>
        <w:tab/>
        <w:t>Added</w:t>
      </w:r>
      <w:r>
        <w:rPr>
          <w:spacing w:val="-3"/>
          <w:sz w:val="22"/>
        </w:rPr>
        <w:t> </w:t>
      </w:r>
      <w:r>
        <w:rPr>
          <w:sz w:val="22"/>
        </w:rPr>
        <w:t>language</w:t>
      </w:r>
      <w:r>
        <w:rPr>
          <w:spacing w:val="-3"/>
          <w:sz w:val="22"/>
        </w:rPr>
        <w:t> </w:t>
      </w:r>
      <w:r>
        <w:rPr>
          <w:sz w:val="22"/>
        </w:rPr>
        <w:t>to</w:t>
      </w:r>
      <w:r>
        <w:rPr>
          <w:spacing w:val="-3"/>
          <w:sz w:val="22"/>
        </w:rPr>
        <w:t> </w:t>
      </w:r>
      <w:r>
        <w:rPr>
          <w:sz w:val="22"/>
        </w:rPr>
        <w:t>include</w:t>
      </w:r>
      <w:r>
        <w:rPr>
          <w:spacing w:val="-3"/>
          <w:sz w:val="22"/>
        </w:rPr>
        <w:t> </w:t>
      </w:r>
      <w:r>
        <w:rPr>
          <w:sz w:val="22"/>
        </w:rPr>
        <w:t>the</w:t>
      </w:r>
      <w:r>
        <w:rPr>
          <w:spacing w:val="-3"/>
          <w:sz w:val="22"/>
        </w:rPr>
        <w:t> </w:t>
      </w:r>
      <w:r>
        <w:rPr>
          <w:sz w:val="22"/>
        </w:rPr>
        <w:t>ECM</w:t>
      </w:r>
      <w:r>
        <w:rPr>
          <w:spacing w:val="-4"/>
          <w:sz w:val="22"/>
        </w:rPr>
        <w:t> </w:t>
      </w:r>
      <w:r>
        <w:rPr>
          <w:sz w:val="22"/>
        </w:rPr>
        <w:t>chair</w:t>
      </w:r>
      <w:r>
        <w:rPr>
          <w:spacing w:val="-3"/>
          <w:sz w:val="22"/>
        </w:rPr>
        <w:t> </w:t>
      </w:r>
      <w:r>
        <w:rPr>
          <w:sz w:val="22"/>
        </w:rPr>
        <w:t>person</w:t>
      </w:r>
      <w:r>
        <w:rPr>
          <w:spacing w:val="-3"/>
          <w:sz w:val="22"/>
        </w:rPr>
        <w:t> </w:t>
      </w:r>
      <w:r>
        <w:rPr>
          <w:sz w:val="22"/>
        </w:rPr>
        <w:t>to</w:t>
      </w:r>
      <w:r>
        <w:rPr>
          <w:spacing w:val="-3"/>
          <w:sz w:val="22"/>
        </w:rPr>
        <w:t> </w:t>
      </w:r>
      <w:r>
        <w:rPr>
          <w:sz w:val="22"/>
        </w:rPr>
        <w:t>be</w:t>
      </w:r>
      <w:r>
        <w:rPr>
          <w:spacing w:val="-3"/>
          <w:sz w:val="22"/>
        </w:rPr>
        <w:t> </w:t>
      </w:r>
      <w:r>
        <w:rPr>
          <w:sz w:val="22"/>
        </w:rPr>
        <w:t>consulted</w:t>
      </w:r>
      <w:r>
        <w:rPr>
          <w:spacing w:val="-3"/>
          <w:sz w:val="22"/>
        </w:rPr>
        <w:t> </w:t>
      </w:r>
      <w:r>
        <w:rPr>
          <w:sz w:val="22"/>
        </w:rPr>
        <w:t>when</w:t>
      </w:r>
      <w:r>
        <w:rPr>
          <w:spacing w:val="-4"/>
          <w:sz w:val="22"/>
        </w:rPr>
        <w:t> </w:t>
      </w:r>
      <w:r>
        <w:rPr>
          <w:sz w:val="22"/>
        </w:rPr>
        <w:t>the</w:t>
      </w:r>
      <w:r>
        <w:rPr>
          <w:spacing w:val="-3"/>
          <w:sz w:val="22"/>
        </w:rPr>
        <w:t> </w:t>
      </w:r>
      <w:r>
        <w:rPr>
          <w:sz w:val="22"/>
        </w:rPr>
        <w:t>SLA</w:t>
      </w:r>
      <w:r>
        <w:rPr>
          <w:spacing w:val="-3"/>
          <w:sz w:val="22"/>
        </w:rPr>
        <w:t> </w:t>
      </w:r>
      <w:r>
        <w:rPr>
          <w:sz w:val="22"/>
        </w:rPr>
        <w:t>is</w:t>
      </w:r>
      <w:r>
        <w:rPr>
          <w:spacing w:val="-3"/>
          <w:sz w:val="22"/>
        </w:rPr>
        <w:t> </w:t>
      </w:r>
      <w:r>
        <w:rPr>
          <w:sz w:val="22"/>
        </w:rPr>
        <w:t>in consultation with the ECM board to establish a business enterprise.</w:t>
      </w:r>
    </w:p>
    <w:p>
      <w:pPr>
        <w:spacing w:after="0"/>
        <w:jc w:val="left"/>
        <w:rPr>
          <w:sz w:val="22"/>
        </w:rPr>
        <w:sectPr>
          <w:pgSz w:w="12240" w:h="15840"/>
          <w:pgMar w:top="1340" w:bottom="280" w:left="1080" w:right="720"/>
        </w:sectPr>
      </w:pPr>
    </w:p>
    <w:p>
      <w:pPr>
        <w:pStyle w:val="Heading2"/>
      </w:pPr>
      <w:bookmarkStart w:name="612:25-6-17.  Contracts and permits for " w:id="430"/>
      <w:bookmarkEnd w:id="430"/>
      <w:r>
        <w:rPr>
          <w:b w:val="0"/>
        </w:rPr>
      </w:r>
      <w:r>
        <w:rPr/>
        <w:t>612:25-6-17.</w:t>
      </w:r>
      <w:r>
        <w:rPr>
          <w:spacing w:val="57"/>
        </w:rPr>
        <w:t> </w:t>
      </w:r>
      <w:r>
        <w:rPr/>
        <w:t>Contracts</w:t>
      </w:r>
      <w:r>
        <w:rPr>
          <w:spacing w:val="-4"/>
        </w:rPr>
        <w:t> </w:t>
      </w:r>
      <w:r>
        <w:rPr/>
        <w:t>and</w:t>
      </w:r>
      <w:r>
        <w:rPr>
          <w:spacing w:val="-4"/>
        </w:rPr>
        <w:t> </w:t>
      </w:r>
      <w:r>
        <w:rPr/>
        <w:t>permits</w:t>
      </w:r>
      <w:r>
        <w:rPr>
          <w:spacing w:val="-4"/>
        </w:rPr>
        <w:t> </w:t>
      </w:r>
      <w:r>
        <w:rPr/>
        <w:t>for</w:t>
      </w:r>
      <w:r>
        <w:rPr>
          <w:spacing w:val="-4"/>
        </w:rPr>
        <w:t> </w:t>
      </w:r>
      <w:r>
        <w:rPr/>
        <w:t>business</w:t>
      </w:r>
      <w:r>
        <w:rPr>
          <w:spacing w:val="-4"/>
        </w:rPr>
        <w:t> </w:t>
      </w:r>
      <w:r>
        <w:rPr/>
        <w:t>enterprise</w:t>
      </w:r>
      <w:r>
        <w:rPr>
          <w:spacing w:val="-3"/>
        </w:rPr>
        <w:t> </w:t>
      </w:r>
      <w:r>
        <w:rPr>
          <w:spacing w:val="-2"/>
        </w:rPr>
        <w:t>facilities</w:t>
      </w:r>
    </w:p>
    <w:p>
      <w:pPr>
        <w:pStyle w:val="BodyText"/>
        <w:spacing w:line="208" w:lineRule="auto" w:before="233"/>
        <w:ind w:right="775" w:firstLine="432"/>
      </w:pPr>
      <w:r>
        <w:rPr/>
        <w:t>When</w:t>
      </w:r>
      <w:r>
        <w:rPr>
          <w:spacing w:val="-4"/>
        </w:rPr>
        <w:t> </w:t>
      </w:r>
      <w:r>
        <w:rPr/>
        <w:t>it</w:t>
      </w:r>
      <w:r>
        <w:rPr>
          <w:spacing w:val="-3"/>
        </w:rPr>
        <w:t> </w:t>
      </w:r>
      <w:r>
        <w:rPr/>
        <w:t>is</w:t>
      </w:r>
      <w:r>
        <w:rPr>
          <w:spacing w:val="-4"/>
        </w:rPr>
        <w:t> </w:t>
      </w:r>
      <w:r>
        <w:rPr/>
        <w:t>determined</w:t>
      </w:r>
      <w:r>
        <w:rPr>
          <w:spacing w:val="-3"/>
        </w:rPr>
        <w:t> </w:t>
      </w:r>
      <w:r>
        <w:rPr/>
        <w:t>that</w:t>
      </w:r>
      <w:r>
        <w:rPr>
          <w:spacing w:val="-3"/>
        </w:rPr>
        <w:t> </w:t>
      </w:r>
      <w:r>
        <w:rPr/>
        <w:t>a</w:t>
      </w:r>
      <w:r>
        <w:rPr>
          <w:spacing w:val="-4"/>
        </w:rPr>
        <w:t> </w:t>
      </w:r>
      <w:r>
        <w:rPr/>
        <w:t>business</w:t>
      </w:r>
      <w:r>
        <w:rPr>
          <w:spacing w:val="-4"/>
        </w:rPr>
        <w:t> </w:t>
      </w:r>
      <w:r>
        <w:rPr/>
        <w:t>enterprise</w:t>
      </w:r>
      <w:r>
        <w:rPr>
          <w:spacing w:val="-4"/>
        </w:rPr>
        <w:t> </w:t>
      </w:r>
      <w:r>
        <w:rPr/>
        <w:t>is</w:t>
      </w:r>
      <w:r>
        <w:rPr>
          <w:spacing w:val="-4"/>
        </w:rPr>
        <w:t> </w:t>
      </w:r>
      <w:r>
        <w:rPr/>
        <w:t>feasible</w:t>
      </w:r>
      <w:r>
        <w:rPr>
          <w:spacing w:val="-4"/>
        </w:rPr>
        <w:t> </w:t>
      </w:r>
      <w:r>
        <w:rPr/>
        <w:t>and</w:t>
      </w:r>
      <w:r>
        <w:rPr>
          <w:spacing w:val="-4"/>
        </w:rPr>
        <w:t> </w:t>
      </w:r>
      <w:r>
        <w:rPr/>
        <w:t>when</w:t>
      </w:r>
      <w:r>
        <w:rPr>
          <w:spacing w:val="-4"/>
        </w:rPr>
        <w:t> </w:t>
      </w:r>
      <w:r>
        <w:rPr/>
        <w:t>agreements are ready to be made with the grantor, one of four types of arrangements will be adopted with the grantor.</w:t>
      </w:r>
    </w:p>
    <w:p>
      <w:pPr>
        <w:pStyle w:val="ListParagraph"/>
        <w:numPr>
          <w:ilvl w:val="0"/>
          <w:numId w:val="403"/>
        </w:numPr>
        <w:tabs>
          <w:tab w:pos="1218" w:val="left" w:leader="none"/>
        </w:tabs>
        <w:spacing w:line="208" w:lineRule="auto" w:before="240" w:after="0"/>
        <w:ind w:left="792" w:right="1254" w:firstLine="0"/>
        <w:jc w:val="left"/>
        <w:rPr>
          <w:sz w:val="24"/>
        </w:rPr>
      </w:pPr>
      <w:r>
        <w:rPr>
          <w:b/>
          <w:sz w:val="24"/>
        </w:rPr>
        <w:t>Private</w:t>
      </w:r>
      <w:r>
        <w:rPr>
          <w:b/>
          <w:spacing w:val="-4"/>
          <w:sz w:val="24"/>
        </w:rPr>
        <w:t> </w:t>
      </w:r>
      <w:r>
        <w:rPr>
          <w:b/>
          <w:sz w:val="24"/>
        </w:rPr>
        <w:t>industry.</w:t>
      </w:r>
      <w:r>
        <w:rPr>
          <w:b/>
          <w:spacing w:val="-5"/>
          <w:sz w:val="24"/>
        </w:rPr>
        <w:t> </w:t>
      </w:r>
      <w:r>
        <w:rPr>
          <w:sz w:val="24"/>
        </w:rPr>
        <w:t>Agreements</w:t>
      </w:r>
      <w:r>
        <w:rPr>
          <w:spacing w:val="-4"/>
          <w:sz w:val="24"/>
        </w:rPr>
        <w:t> </w:t>
      </w:r>
      <w:r>
        <w:rPr>
          <w:sz w:val="24"/>
        </w:rPr>
        <w:t>made</w:t>
      </w:r>
      <w:r>
        <w:rPr>
          <w:spacing w:val="-4"/>
          <w:sz w:val="24"/>
        </w:rPr>
        <w:t> </w:t>
      </w:r>
      <w:r>
        <w:rPr>
          <w:sz w:val="24"/>
        </w:rPr>
        <w:t>with</w:t>
      </w:r>
      <w:r>
        <w:rPr>
          <w:spacing w:val="-4"/>
          <w:sz w:val="24"/>
        </w:rPr>
        <w:t> </w:t>
      </w:r>
      <w:r>
        <w:rPr>
          <w:sz w:val="24"/>
        </w:rPr>
        <w:t>private</w:t>
      </w:r>
      <w:r>
        <w:rPr>
          <w:spacing w:val="-4"/>
          <w:sz w:val="24"/>
        </w:rPr>
        <w:t> </w:t>
      </w:r>
      <w:r>
        <w:rPr>
          <w:sz w:val="24"/>
        </w:rPr>
        <w:t>industry</w:t>
      </w:r>
      <w:r>
        <w:rPr>
          <w:spacing w:val="-4"/>
          <w:sz w:val="24"/>
        </w:rPr>
        <w:t> </w:t>
      </w:r>
      <w:r>
        <w:rPr>
          <w:sz w:val="24"/>
        </w:rPr>
        <w:t>are</w:t>
      </w:r>
      <w:r>
        <w:rPr>
          <w:spacing w:val="-5"/>
          <w:sz w:val="24"/>
        </w:rPr>
        <w:t> </w:t>
      </w:r>
      <w:r>
        <w:rPr>
          <w:sz w:val="24"/>
        </w:rPr>
        <w:t>on</w:t>
      </w:r>
      <w:r>
        <w:rPr>
          <w:spacing w:val="-4"/>
          <w:sz w:val="24"/>
        </w:rPr>
        <w:t> </w:t>
      </w:r>
      <w:r>
        <w:rPr>
          <w:sz w:val="24"/>
        </w:rPr>
        <w:t>a</w:t>
      </w:r>
      <w:r>
        <w:rPr>
          <w:spacing w:val="-4"/>
          <w:sz w:val="24"/>
        </w:rPr>
        <w:t> </w:t>
      </w:r>
      <w:r>
        <w:rPr>
          <w:sz w:val="24"/>
        </w:rPr>
        <w:t>contract basis and sometimes require a percentage payment.</w:t>
      </w:r>
    </w:p>
    <w:p>
      <w:pPr>
        <w:pStyle w:val="ListParagraph"/>
        <w:numPr>
          <w:ilvl w:val="0"/>
          <w:numId w:val="403"/>
        </w:numPr>
        <w:tabs>
          <w:tab w:pos="1218" w:val="left" w:leader="none"/>
        </w:tabs>
        <w:spacing w:line="208" w:lineRule="auto" w:before="239" w:after="0"/>
        <w:ind w:left="792" w:right="802" w:firstLine="0"/>
        <w:jc w:val="left"/>
        <w:rPr>
          <w:sz w:val="24"/>
        </w:rPr>
      </w:pPr>
      <w:r>
        <w:rPr>
          <w:b/>
          <w:sz w:val="24"/>
        </w:rPr>
        <w:t>State</w:t>
      </w:r>
      <w:r>
        <w:rPr>
          <w:b/>
          <w:spacing w:val="-5"/>
          <w:sz w:val="24"/>
        </w:rPr>
        <w:t> </w:t>
      </w:r>
      <w:r>
        <w:rPr>
          <w:b/>
          <w:sz w:val="24"/>
        </w:rPr>
        <w:t>and</w:t>
      </w:r>
      <w:r>
        <w:rPr>
          <w:b/>
          <w:spacing w:val="-5"/>
          <w:sz w:val="24"/>
        </w:rPr>
        <w:t> </w:t>
      </w:r>
      <w:r>
        <w:rPr>
          <w:b/>
          <w:sz w:val="24"/>
        </w:rPr>
        <w:t>local</w:t>
      </w:r>
      <w:r>
        <w:rPr>
          <w:b/>
          <w:spacing w:val="-4"/>
          <w:sz w:val="24"/>
        </w:rPr>
        <w:t> </w:t>
      </w:r>
      <w:r>
        <w:rPr>
          <w:b/>
          <w:sz w:val="24"/>
        </w:rPr>
        <w:t>government.</w:t>
      </w:r>
      <w:r>
        <w:rPr>
          <w:b/>
          <w:spacing w:val="-4"/>
          <w:sz w:val="24"/>
        </w:rPr>
        <w:t> </w:t>
      </w:r>
      <w:r>
        <w:rPr>
          <w:sz w:val="24"/>
        </w:rPr>
        <w:t>State</w:t>
      </w:r>
      <w:r>
        <w:rPr>
          <w:spacing w:val="-5"/>
          <w:sz w:val="24"/>
        </w:rPr>
        <w:t> </w:t>
      </w:r>
      <w:r>
        <w:rPr>
          <w:sz w:val="24"/>
        </w:rPr>
        <w:t>and</w:t>
      </w:r>
      <w:r>
        <w:rPr>
          <w:spacing w:val="-6"/>
          <w:sz w:val="24"/>
        </w:rPr>
        <w:t> </w:t>
      </w:r>
      <w:r>
        <w:rPr>
          <w:sz w:val="24"/>
        </w:rPr>
        <w:t>local</w:t>
      </w:r>
      <w:r>
        <w:rPr>
          <w:spacing w:val="-5"/>
          <w:sz w:val="24"/>
        </w:rPr>
        <w:t> </w:t>
      </w:r>
      <w:r>
        <w:rPr>
          <w:sz w:val="24"/>
        </w:rPr>
        <w:t>government</w:t>
      </w:r>
      <w:r>
        <w:rPr>
          <w:spacing w:val="-4"/>
          <w:sz w:val="24"/>
        </w:rPr>
        <w:t> </w:t>
      </w:r>
      <w:r>
        <w:rPr>
          <w:sz w:val="24"/>
        </w:rPr>
        <w:t>location</w:t>
      </w:r>
      <w:r>
        <w:rPr>
          <w:spacing w:val="-5"/>
          <w:sz w:val="24"/>
        </w:rPr>
        <w:t> </w:t>
      </w:r>
      <w:r>
        <w:rPr>
          <w:sz w:val="24"/>
        </w:rPr>
        <w:t>agreements are made when Application for Authority to Establish a business enterprise in a State, County or Municipal Building is signed.</w:t>
      </w:r>
    </w:p>
    <w:p>
      <w:pPr>
        <w:pStyle w:val="ListParagraph"/>
        <w:numPr>
          <w:ilvl w:val="0"/>
          <w:numId w:val="403"/>
        </w:numPr>
        <w:tabs>
          <w:tab w:pos="1218" w:val="left" w:leader="none"/>
        </w:tabs>
        <w:spacing w:line="208" w:lineRule="auto" w:before="240" w:after="0"/>
        <w:ind w:left="792" w:right="785" w:firstLine="0"/>
        <w:jc w:val="left"/>
        <w:rPr>
          <w:sz w:val="24"/>
        </w:rPr>
      </w:pPr>
      <w:r>
        <w:rPr>
          <w:b/>
          <w:sz w:val="24"/>
        </w:rPr>
        <w:t>Federal property - business enterprise. </w:t>
      </w:r>
      <w:r>
        <w:rPr>
          <w:sz w:val="24"/>
        </w:rPr>
        <w:t>The Department of Education form, Application and Permit for the Establishment of a business enterprise on Federal and other Property, is the instrument, or formal agreement governing the establishment</w:t>
      </w:r>
      <w:r>
        <w:rPr>
          <w:spacing w:val="-4"/>
          <w:sz w:val="24"/>
        </w:rPr>
        <w:t> </w:t>
      </w:r>
      <w:r>
        <w:rPr>
          <w:sz w:val="24"/>
        </w:rPr>
        <w:t>of</w:t>
      </w:r>
      <w:r>
        <w:rPr>
          <w:spacing w:val="-4"/>
          <w:sz w:val="24"/>
        </w:rPr>
        <w:t> </w:t>
      </w:r>
      <w:r>
        <w:rPr>
          <w:sz w:val="24"/>
        </w:rPr>
        <w:t>a</w:t>
      </w:r>
      <w:r>
        <w:rPr>
          <w:spacing w:val="-5"/>
          <w:sz w:val="24"/>
        </w:rPr>
        <w:t> </w:t>
      </w:r>
      <w:r>
        <w:rPr>
          <w:sz w:val="24"/>
        </w:rPr>
        <w:t>business</w:t>
      </w:r>
      <w:r>
        <w:rPr>
          <w:spacing w:val="-5"/>
          <w:sz w:val="24"/>
        </w:rPr>
        <w:t> </w:t>
      </w:r>
      <w:r>
        <w:rPr>
          <w:sz w:val="24"/>
        </w:rPr>
        <w:t>enterprise.</w:t>
      </w:r>
      <w:r>
        <w:rPr>
          <w:spacing w:val="-4"/>
          <w:sz w:val="24"/>
        </w:rPr>
        <w:t> </w:t>
      </w:r>
      <w:r>
        <w:rPr>
          <w:sz w:val="24"/>
        </w:rPr>
        <w:t>Procedures</w:t>
      </w:r>
      <w:r>
        <w:rPr>
          <w:spacing w:val="-5"/>
          <w:sz w:val="24"/>
        </w:rPr>
        <w:t> </w:t>
      </w:r>
      <w:r>
        <w:rPr>
          <w:sz w:val="24"/>
        </w:rPr>
        <w:t>and</w:t>
      </w:r>
      <w:r>
        <w:rPr>
          <w:spacing w:val="-4"/>
          <w:sz w:val="24"/>
        </w:rPr>
        <w:t> </w:t>
      </w:r>
      <w:r>
        <w:rPr>
          <w:sz w:val="24"/>
        </w:rPr>
        <w:t>conditions</w:t>
      </w:r>
      <w:r>
        <w:rPr>
          <w:spacing w:val="-4"/>
          <w:sz w:val="24"/>
        </w:rPr>
        <w:t> </w:t>
      </w:r>
      <w:r>
        <w:rPr>
          <w:sz w:val="24"/>
        </w:rPr>
        <w:t>pertaining</w:t>
      </w:r>
      <w:r>
        <w:rPr>
          <w:spacing w:val="-5"/>
          <w:sz w:val="24"/>
        </w:rPr>
        <w:t> </w:t>
      </w:r>
      <w:r>
        <w:rPr>
          <w:sz w:val="24"/>
        </w:rPr>
        <w:t>to</w:t>
      </w:r>
      <w:r>
        <w:rPr>
          <w:spacing w:val="-5"/>
          <w:sz w:val="24"/>
        </w:rPr>
        <w:t> </w:t>
      </w:r>
      <w:r>
        <w:rPr>
          <w:sz w:val="24"/>
        </w:rPr>
        <w:t>the permit are contained in the regulations [34 CFR 395.34].</w:t>
      </w:r>
    </w:p>
    <w:p>
      <w:pPr>
        <w:pStyle w:val="ListParagraph"/>
        <w:numPr>
          <w:ilvl w:val="0"/>
          <w:numId w:val="403"/>
        </w:numPr>
        <w:tabs>
          <w:tab w:pos="1218" w:val="left" w:leader="none"/>
        </w:tabs>
        <w:spacing w:line="208" w:lineRule="auto" w:before="240" w:after="0"/>
        <w:ind w:left="792" w:right="1188" w:firstLine="0"/>
        <w:jc w:val="left"/>
        <w:rPr>
          <w:sz w:val="24"/>
        </w:rPr>
      </w:pPr>
      <w:r>
        <w:rPr>
          <w:b/>
          <w:sz w:val="24"/>
        </w:rPr>
        <w:t>Federal property - cafeteria facility. </w:t>
      </w:r>
      <w:r>
        <w:rPr>
          <w:sz w:val="24"/>
        </w:rPr>
        <w:t>Contracts may be required for the operation of a cafeteria on federal property.</w:t>
      </w:r>
      <w:r>
        <w:rPr>
          <w:spacing w:val="-1"/>
          <w:sz w:val="24"/>
        </w:rPr>
        <w:t> </w:t>
      </w:r>
      <w:r>
        <w:rPr>
          <w:sz w:val="24"/>
        </w:rPr>
        <w:t>These contracts sometimes specify such</w:t>
      </w:r>
      <w:r>
        <w:rPr>
          <w:spacing w:val="-3"/>
          <w:sz w:val="24"/>
        </w:rPr>
        <w:t> </w:t>
      </w:r>
      <w:r>
        <w:rPr>
          <w:sz w:val="24"/>
        </w:rPr>
        <w:t>things</w:t>
      </w:r>
      <w:r>
        <w:rPr>
          <w:spacing w:val="-2"/>
          <w:sz w:val="24"/>
        </w:rPr>
        <w:t> </w:t>
      </w:r>
      <w:r>
        <w:rPr>
          <w:sz w:val="24"/>
        </w:rPr>
        <w:t>as</w:t>
      </w:r>
      <w:r>
        <w:rPr>
          <w:spacing w:val="-3"/>
          <w:sz w:val="24"/>
        </w:rPr>
        <w:t> </w:t>
      </w:r>
      <w:r>
        <w:rPr>
          <w:sz w:val="24"/>
        </w:rPr>
        <w:t>costs</w:t>
      </w:r>
      <w:r>
        <w:rPr>
          <w:spacing w:val="-3"/>
          <w:sz w:val="24"/>
        </w:rPr>
        <w:t> </w:t>
      </w:r>
      <w:r>
        <w:rPr>
          <w:sz w:val="24"/>
        </w:rPr>
        <w:t>of</w:t>
      </w:r>
      <w:r>
        <w:rPr>
          <w:spacing w:val="-4"/>
          <w:sz w:val="24"/>
        </w:rPr>
        <w:t> </w:t>
      </w:r>
      <w:r>
        <w:rPr>
          <w:sz w:val="24"/>
        </w:rPr>
        <w:t>items,</w:t>
      </w:r>
      <w:r>
        <w:rPr>
          <w:spacing w:val="-2"/>
          <w:sz w:val="24"/>
        </w:rPr>
        <w:t> </w:t>
      </w:r>
      <w:r>
        <w:rPr>
          <w:sz w:val="24"/>
        </w:rPr>
        <w:t>brand</w:t>
      </w:r>
      <w:r>
        <w:rPr>
          <w:spacing w:val="-3"/>
          <w:sz w:val="24"/>
        </w:rPr>
        <w:t> </w:t>
      </w:r>
      <w:r>
        <w:rPr>
          <w:sz w:val="24"/>
        </w:rPr>
        <w:t>names,</w:t>
      </w:r>
      <w:r>
        <w:rPr>
          <w:spacing w:val="-4"/>
          <w:sz w:val="24"/>
        </w:rPr>
        <w:t> </w:t>
      </w:r>
      <w:r>
        <w:rPr>
          <w:sz w:val="24"/>
        </w:rPr>
        <w:t>portion</w:t>
      </w:r>
      <w:r>
        <w:rPr>
          <w:spacing w:val="-3"/>
          <w:sz w:val="24"/>
        </w:rPr>
        <w:t> </w:t>
      </w:r>
      <w:r>
        <w:rPr>
          <w:sz w:val="24"/>
        </w:rPr>
        <w:t>size</w:t>
      </w:r>
      <w:r>
        <w:rPr>
          <w:spacing w:val="-2"/>
          <w:sz w:val="24"/>
        </w:rPr>
        <w:t> </w:t>
      </w:r>
      <w:r>
        <w:rPr>
          <w:sz w:val="24"/>
        </w:rPr>
        <w:t>and</w:t>
      </w:r>
      <w:r>
        <w:rPr>
          <w:spacing w:val="-3"/>
          <w:sz w:val="24"/>
        </w:rPr>
        <w:t> </w:t>
      </w:r>
      <w:r>
        <w:rPr>
          <w:sz w:val="24"/>
        </w:rPr>
        <w:t>other</w:t>
      </w:r>
      <w:r>
        <w:rPr>
          <w:spacing w:val="-4"/>
          <w:sz w:val="24"/>
        </w:rPr>
        <w:t> </w:t>
      </w:r>
      <w:r>
        <w:rPr>
          <w:sz w:val="24"/>
        </w:rPr>
        <w:t>conditions</w:t>
      </w:r>
      <w:r>
        <w:rPr>
          <w:spacing w:val="-3"/>
          <w:sz w:val="24"/>
        </w:rPr>
        <w:t> </w:t>
      </w:r>
      <w:r>
        <w:rPr>
          <w:sz w:val="24"/>
        </w:rPr>
        <w:t>of agreement between the federal agency and the SLA.</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spacing w:after="0" w:line="253" w:lineRule="exact"/>
        <w:jc w:val="left"/>
        <w:rPr>
          <w:sz w:val="22"/>
        </w:rPr>
        <w:sectPr>
          <w:pgSz w:w="12240" w:h="15840"/>
          <w:pgMar w:top="1340" w:bottom="280" w:left="1080" w:right="720"/>
        </w:sectPr>
      </w:pPr>
    </w:p>
    <w:p>
      <w:pPr>
        <w:pStyle w:val="Heading2"/>
      </w:pPr>
      <w:bookmarkStart w:name="612:25-6-18.  Establishing licensed mana" w:id="431"/>
      <w:bookmarkEnd w:id="431"/>
      <w:r>
        <w:rPr>
          <w:b w:val="0"/>
        </w:rPr>
      </w:r>
      <w:r>
        <w:rPr/>
        <w:t>612:25-6-18.</w:t>
      </w:r>
      <w:r>
        <w:rPr>
          <w:spacing w:val="56"/>
        </w:rPr>
        <w:t> </w:t>
      </w:r>
      <w:r>
        <w:rPr/>
        <w:t>Establishing</w:t>
      </w:r>
      <w:r>
        <w:rPr>
          <w:spacing w:val="-5"/>
        </w:rPr>
        <w:t> </w:t>
      </w:r>
      <w:r>
        <w:rPr/>
        <w:t>licensed</w:t>
      </w:r>
      <w:r>
        <w:rPr>
          <w:spacing w:val="-4"/>
        </w:rPr>
        <w:t> </w:t>
      </w:r>
      <w:r>
        <w:rPr/>
        <w:t>managers</w:t>
      </w:r>
      <w:r>
        <w:rPr>
          <w:spacing w:val="-5"/>
        </w:rPr>
        <w:t> </w:t>
      </w:r>
      <w:r>
        <w:rPr/>
        <w:t>in</w:t>
      </w:r>
      <w:r>
        <w:rPr>
          <w:spacing w:val="-4"/>
        </w:rPr>
        <w:t> </w:t>
      </w:r>
      <w:r>
        <w:rPr/>
        <w:t>business</w:t>
      </w:r>
      <w:r>
        <w:rPr>
          <w:spacing w:val="-4"/>
        </w:rPr>
        <w:t> </w:t>
      </w:r>
      <w:r>
        <w:rPr>
          <w:spacing w:val="-2"/>
        </w:rPr>
        <w:t>enterprises</w:t>
      </w:r>
    </w:p>
    <w:p>
      <w:pPr>
        <w:pStyle w:val="BodyText"/>
        <w:spacing w:line="208" w:lineRule="auto" w:before="233"/>
        <w:ind w:right="739" w:firstLine="432"/>
      </w:pPr>
      <w:r>
        <w:rPr/>
        <w:t>Business</w:t>
      </w:r>
      <w:r>
        <w:rPr>
          <w:spacing w:val="-5"/>
        </w:rPr>
        <w:t> </w:t>
      </w:r>
      <w:r>
        <w:rPr/>
        <w:t>Enterprise</w:t>
      </w:r>
      <w:r>
        <w:rPr>
          <w:spacing w:val="-5"/>
        </w:rPr>
        <w:t> </w:t>
      </w:r>
      <w:r>
        <w:rPr/>
        <w:t>Program</w:t>
      </w:r>
      <w:r>
        <w:rPr>
          <w:spacing w:val="-4"/>
        </w:rPr>
        <w:t> </w:t>
      </w:r>
      <w:r>
        <w:rPr/>
        <w:t>(BEP)</w:t>
      </w:r>
      <w:r>
        <w:rPr>
          <w:spacing w:val="-4"/>
        </w:rPr>
        <w:t> </w:t>
      </w:r>
      <w:r>
        <w:rPr/>
        <w:t>staff</w:t>
      </w:r>
      <w:r>
        <w:rPr>
          <w:spacing w:val="-4"/>
        </w:rPr>
        <w:t> </w:t>
      </w:r>
      <w:r>
        <w:rPr/>
        <w:t>will</w:t>
      </w:r>
      <w:r>
        <w:rPr>
          <w:spacing w:val="-5"/>
        </w:rPr>
        <w:t> </w:t>
      </w:r>
      <w:r>
        <w:rPr/>
        <w:t>provide</w:t>
      </w:r>
      <w:r>
        <w:rPr>
          <w:spacing w:val="-5"/>
        </w:rPr>
        <w:t> </w:t>
      </w:r>
      <w:r>
        <w:rPr/>
        <w:t>consultation</w:t>
      </w:r>
      <w:r>
        <w:rPr>
          <w:spacing w:val="-5"/>
        </w:rPr>
        <w:t> </w:t>
      </w:r>
      <w:r>
        <w:rPr/>
        <w:t>and</w:t>
      </w:r>
      <w:r>
        <w:rPr>
          <w:spacing w:val="-5"/>
        </w:rPr>
        <w:t> </w:t>
      </w:r>
      <w:r>
        <w:rPr/>
        <w:t>assistance</w:t>
      </w:r>
      <w:r>
        <w:rPr>
          <w:spacing w:val="-5"/>
        </w:rPr>
        <w:t> </w:t>
      </w:r>
      <w:r>
        <w:rPr/>
        <w:t>to accomplish installation of licensed managers in business enterprises.</w:t>
      </w:r>
      <w:r>
        <w:rPr>
          <w:spacing w:val="40"/>
        </w:rPr>
        <w:t> </w:t>
      </w:r>
      <w:r>
        <w:rPr/>
        <w:t>Steps in the installation process will include the following:</w:t>
      </w:r>
    </w:p>
    <w:p>
      <w:pPr>
        <w:pStyle w:val="ListParagraph"/>
        <w:numPr>
          <w:ilvl w:val="0"/>
          <w:numId w:val="404"/>
        </w:numPr>
        <w:tabs>
          <w:tab w:pos="1218" w:val="left" w:leader="none"/>
        </w:tabs>
        <w:spacing w:line="208" w:lineRule="auto" w:before="240" w:after="0"/>
        <w:ind w:left="792" w:right="1146" w:firstLine="0"/>
        <w:jc w:val="left"/>
        <w:rPr>
          <w:b/>
          <w:sz w:val="24"/>
        </w:rPr>
      </w:pPr>
      <w:r>
        <w:rPr>
          <w:sz w:val="24"/>
        </w:rPr>
        <w:t>BEP</w:t>
      </w:r>
      <w:r>
        <w:rPr>
          <w:spacing w:val="-4"/>
          <w:sz w:val="24"/>
        </w:rPr>
        <w:t> </w:t>
      </w:r>
      <w:r>
        <w:rPr>
          <w:sz w:val="24"/>
        </w:rPr>
        <w:t>staff</w:t>
      </w:r>
      <w:r>
        <w:rPr>
          <w:spacing w:val="-3"/>
          <w:sz w:val="24"/>
        </w:rPr>
        <w:t> </w:t>
      </w:r>
      <w:r>
        <w:rPr>
          <w:sz w:val="24"/>
        </w:rPr>
        <w:t>will</w:t>
      </w:r>
      <w:r>
        <w:rPr>
          <w:spacing w:val="-4"/>
          <w:sz w:val="24"/>
        </w:rPr>
        <w:t> </w:t>
      </w:r>
      <w:r>
        <w:rPr>
          <w:sz w:val="24"/>
        </w:rPr>
        <w:t>orient</w:t>
      </w:r>
      <w:r>
        <w:rPr>
          <w:spacing w:val="-3"/>
          <w:sz w:val="24"/>
        </w:rPr>
        <w:t> </w:t>
      </w:r>
      <w:r>
        <w:rPr>
          <w:sz w:val="24"/>
        </w:rPr>
        <w:t>the</w:t>
      </w:r>
      <w:r>
        <w:rPr>
          <w:spacing w:val="-4"/>
          <w:sz w:val="24"/>
        </w:rPr>
        <w:t> </w:t>
      </w:r>
      <w:r>
        <w:rPr>
          <w:sz w:val="24"/>
        </w:rPr>
        <w:t>new</w:t>
      </w:r>
      <w:r>
        <w:rPr>
          <w:spacing w:val="-4"/>
          <w:sz w:val="24"/>
        </w:rPr>
        <w:t> </w:t>
      </w:r>
      <w:r>
        <w:rPr>
          <w:sz w:val="24"/>
        </w:rPr>
        <w:t>licensed</w:t>
      </w:r>
      <w:r>
        <w:rPr>
          <w:spacing w:val="-4"/>
          <w:sz w:val="24"/>
        </w:rPr>
        <w:t> </w:t>
      </w:r>
      <w:r>
        <w:rPr>
          <w:sz w:val="24"/>
        </w:rPr>
        <w:t>manager</w:t>
      </w:r>
      <w:r>
        <w:rPr>
          <w:spacing w:val="-3"/>
          <w:sz w:val="24"/>
        </w:rPr>
        <w:t> </w:t>
      </w:r>
      <w:r>
        <w:rPr>
          <w:sz w:val="24"/>
        </w:rPr>
        <w:t>to</w:t>
      </w:r>
      <w:r>
        <w:rPr>
          <w:spacing w:val="-4"/>
          <w:sz w:val="24"/>
        </w:rPr>
        <w:t> </w:t>
      </w:r>
      <w:r>
        <w:rPr>
          <w:sz w:val="24"/>
        </w:rPr>
        <w:t>the</w:t>
      </w:r>
      <w:r>
        <w:rPr>
          <w:spacing w:val="-4"/>
          <w:sz w:val="24"/>
        </w:rPr>
        <w:t> </w:t>
      </w:r>
      <w:r>
        <w:rPr>
          <w:sz w:val="24"/>
        </w:rPr>
        <w:t>business</w:t>
      </w:r>
      <w:r>
        <w:rPr>
          <w:spacing w:val="-3"/>
          <w:sz w:val="24"/>
        </w:rPr>
        <w:t> </w:t>
      </w:r>
      <w:r>
        <w:rPr>
          <w:sz w:val="24"/>
        </w:rPr>
        <w:t>enterprise</w:t>
      </w:r>
      <w:r>
        <w:rPr>
          <w:spacing w:val="-4"/>
          <w:sz w:val="24"/>
        </w:rPr>
        <w:t> </w:t>
      </w:r>
      <w:r>
        <w:rPr>
          <w:sz w:val="24"/>
        </w:rPr>
        <w:t>as needed.</w:t>
      </w:r>
      <w:r>
        <w:rPr>
          <w:spacing w:val="40"/>
          <w:sz w:val="24"/>
        </w:rPr>
        <w:t> </w:t>
      </w:r>
      <w:r>
        <w:rPr>
          <w:b/>
          <w:sz w:val="24"/>
        </w:rPr>
        <w:t>1</w:t>
      </w:r>
    </w:p>
    <w:p>
      <w:pPr>
        <w:pStyle w:val="ListParagraph"/>
        <w:numPr>
          <w:ilvl w:val="0"/>
          <w:numId w:val="404"/>
        </w:numPr>
        <w:tabs>
          <w:tab w:pos="1217" w:val="left" w:leader="none"/>
        </w:tabs>
        <w:spacing w:line="208" w:lineRule="auto" w:before="239" w:after="0"/>
        <w:ind w:left="791" w:right="776" w:firstLine="0"/>
        <w:jc w:val="left"/>
        <w:rPr>
          <w:sz w:val="24"/>
        </w:rPr>
      </w:pPr>
      <w:r>
        <w:rPr>
          <w:sz w:val="24"/>
        </w:rPr>
        <w:t>An inventory of the outgoing</w:t>
      </w:r>
      <w:r>
        <w:rPr>
          <w:spacing w:val="40"/>
          <w:sz w:val="24"/>
        </w:rPr>
        <w:t> </w:t>
      </w:r>
      <w:r>
        <w:rPr>
          <w:sz w:val="24"/>
        </w:rPr>
        <w:t>Licensed Manager's merchandise that will be acquired by the incoming Licensed Manager will be performed by the outgoing and incoming licensed managers with oversight by the BEP.</w:t>
      </w:r>
      <w:r>
        <w:rPr>
          <w:spacing w:val="40"/>
          <w:sz w:val="24"/>
        </w:rPr>
        <w:t> </w:t>
      </w:r>
      <w:r>
        <w:rPr>
          <w:sz w:val="24"/>
        </w:rPr>
        <w:t>The outgoing licensed manager or designee, incoming licensed manager or designee, and a representative from the BEP must be present when merchandise is counted. The outgoing Licensed Manager must provide a merchandise price list to the BEP and incoming Licensed Manager or their designee (7) seven days before the day the merchandise is counted. The completed merchandise inventory is signed by both outgoing and incoming licensed managers, accepting the count of merchandise. All items</w:t>
      </w:r>
      <w:r>
        <w:rPr>
          <w:spacing w:val="-4"/>
          <w:sz w:val="24"/>
        </w:rPr>
        <w:t> </w:t>
      </w:r>
      <w:r>
        <w:rPr>
          <w:sz w:val="24"/>
        </w:rPr>
        <w:t>not</w:t>
      </w:r>
      <w:r>
        <w:rPr>
          <w:spacing w:val="-3"/>
          <w:sz w:val="24"/>
        </w:rPr>
        <w:t> </w:t>
      </w:r>
      <w:r>
        <w:rPr>
          <w:sz w:val="24"/>
        </w:rPr>
        <w:t>being</w:t>
      </w:r>
      <w:r>
        <w:rPr>
          <w:spacing w:val="-4"/>
          <w:sz w:val="24"/>
        </w:rPr>
        <w:t> </w:t>
      </w:r>
      <w:r>
        <w:rPr>
          <w:sz w:val="24"/>
        </w:rPr>
        <w:t>acquired</w:t>
      </w:r>
      <w:r>
        <w:rPr>
          <w:spacing w:val="-4"/>
          <w:sz w:val="24"/>
        </w:rPr>
        <w:t> </w:t>
      </w:r>
      <w:r>
        <w:rPr>
          <w:sz w:val="24"/>
        </w:rPr>
        <w:t>by</w:t>
      </w:r>
      <w:r>
        <w:rPr>
          <w:spacing w:val="-4"/>
          <w:sz w:val="24"/>
        </w:rPr>
        <w:t> </w:t>
      </w:r>
      <w:r>
        <w:rPr>
          <w:sz w:val="24"/>
        </w:rPr>
        <w:t>the</w:t>
      </w:r>
      <w:r>
        <w:rPr>
          <w:spacing w:val="-4"/>
          <w:sz w:val="24"/>
        </w:rPr>
        <w:t> </w:t>
      </w:r>
      <w:r>
        <w:rPr>
          <w:sz w:val="24"/>
        </w:rPr>
        <w:t>incoming</w:t>
      </w:r>
      <w:r>
        <w:rPr>
          <w:spacing w:val="-4"/>
          <w:sz w:val="24"/>
        </w:rPr>
        <w:t> </w:t>
      </w:r>
      <w:r>
        <w:rPr>
          <w:sz w:val="24"/>
        </w:rPr>
        <w:t>Licensed</w:t>
      </w:r>
      <w:r>
        <w:rPr>
          <w:spacing w:val="-4"/>
          <w:sz w:val="24"/>
        </w:rPr>
        <w:t> </w:t>
      </w:r>
      <w:r>
        <w:rPr>
          <w:sz w:val="24"/>
        </w:rPr>
        <w:t>Manager</w:t>
      </w:r>
      <w:r>
        <w:rPr>
          <w:spacing w:val="-3"/>
          <w:sz w:val="24"/>
        </w:rPr>
        <w:t> </w:t>
      </w:r>
      <w:r>
        <w:rPr>
          <w:sz w:val="24"/>
        </w:rPr>
        <w:t>must</w:t>
      </w:r>
      <w:r>
        <w:rPr>
          <w:spacing w:val="-5"/>
          <w:sz w:val="24"/>
        </w:rPr>
        <w:t> </w:t>
      </w:r>
      <w:r>
        <w:rPr>
          <w:sz w:val="24"/>
        </w:rPr>
        <w:t>be</w:t>
      </w:r>
      <w:r>
        <w:rPr>
          <w:spacing w:val="-4"/>
          <w:sz w:val="24"/>
        </w:rPr>
        <w:t> </w:t>
      </w:r>
      <w:r>
        <w:rPr>
          <w:sz w:val="24"/>
        </w:rPr>
        <w:t>removed</w:t>
      </w:r>
      <w:r>
        <w:rPr>
          <w:spacing w:val="-5"/>
          <w:sz w:val="24"/>
        </w:rPr>
        <w:t> </w:t>
      </w:r>
      <w:r>
        <w:rPr>
          <w:sz w:val="24"/>
        </w:rPr>
        <w:t>from the facility prior to the incoming Licensed Manager taking responsibility for the facility.</w:t>
      </w:r>
      <w:r>
        <w:rPr>
          <w:spacing w:val="-2"/>
          <w:sz w:val="24"/>
        </w:rPr>
        <w:t> </w:t>
      </w:r>
      <w:r>
        <w:rPr>
          <w:sz w:val="24"/>
        </w:rPr>
        <w:t>The</w:t>
      </w:r>
      <w:r>
        <w:rPr>
          <w:spacing w:val="-3"/>
          <w:sz w:val="24"/>
        </w:rPr>
        <w:t> </w:t>
      </w:r>
      <w:r>
        <w:rPr>
          <w:sz w:val="24"/>
        </w:rPr>
        <w:t>outgoing</w:t>
      </w:r>
      <w:r>
        <w:rPr>
          <w:spacing w:val="-3"/>
          <w:sz w:val="24"/>
        </w:rPr>
        <w:t> </w:t>
      </w:r>
      <w:r>
        <w:rPr>
          <w:sz w:val="24"/>
        </w:rPr>
        <w:t>licensed</w:t>
      </w:r>
      <w:r>
        <w:rPr>
          <w:spacing w:val="-3"/>
          <w:sz w:val="24"/>
        </w:rPr>
        <w:t> </w:t>
      </w:r>
      <w:r>
        <w:rPr>
          <w:sz w:val="24"/>
        </w:rPr>
        <w:t>manager</w:t>
      </w:r>
      <w:r>
        <w:rPr>
          <w:spacing w:val="-2"/>
          <w:sz w:val="24"/>
        </w:rPr>
        <w:t> </w:t>
      </w:r>
      <w:r>
        <w:rPr>
          <w:sz w:val="24"/>
        </w:rPr>
        <w:t>or</w:t>
      </w:r>
      <w:r>
        <w:rPr>
          <w:spacing w:val="-2"/>
          <w:sz w:val="24"/>
        </w:rPr>
        <w:t> </w:t>
      </w:r>
      <w:r>
        <w:rPr>
          <w:sz w:val="24"/>
        </w:rPr>
        <w:t>their</w:t>
      </w:r>
      <w:r>
        <w:rPr>
          <w:spacing w:val="-2"/>
          <w:sz w:val="24"/>
        </w:rPr>
        <w:t> </w:t>
      </w:r>
      <w:r>
        <w:rPr>
          <w:sz w:val="24"/>
        </w:rPr>
        <w:t>designee</w:t>
      </w:r>
      <w:r>
        <w:rPr>
          <w:spacing w:val="-3"/>
          <w:sz w:val="24"/>
        </w:rPr>
        <w:t> </w:t>
      </w:r>
      <w:r>
        <w:rPr>
          <w:sz w:val="24"/>
        </w:rPr>
        <w:t>and</w:t>
      </w:r>
      <w:r>
        <w:rPr>
          <w:spacing w:val="-3"/>
          <w:sz w:val="24"/>
        </w:rPr>
        <w:t> </w:t>
      </w:r>
      <w:r>
        <w:rPr>
          <w:sz w:val="24"/>
        </w:rPr>
        <w:t>the</w:t>
      </w:r>
      <w:r>
        <w:rPr>
          <w:spacing w:val="-3"/>
          <w:sz w:val="24"/>
        </w:rPr>
        <w:t> </w:t>
      </w:r>
      <w:r>
        <w:rPr>
          <w:sz w:val="24"/>
        </w:rPr>
        <w:t>incoming</w:t>
      </w:r>
      <w:r>
        <w:rPr>
          <w:spacing w:val="-3"/>
          <w:sz w:val="24"/>
        </w:rPr>
        <w:t> </w:t>
      </w:r>
      <w:r>
        <w:rPr>
          <w:sz w:val="24"/>
        </w:rPr>
        <w:t>licensed manager or their designee is responsible for removing and counting all currency prior to the date of the merchandise inventory count. The BEP Operations Coordinator shall develop and implement equipment and merchandise inventory procedures. These procedures will be read by the business consultant to the outgoing and incoming managers prior to the actual physical inventory to ensure that both the outgoing and incoming managers understand these procedures.</w:t>
      </w:r>
    </w:p>
    <w:p>
      <w:pPr>
        <w:pStyle w:val="ListParagraph"/>
        <w:numPr>
          <w:ilvl w:val="0"/>
          <w:numId w:val="404"/>
        </w:numPr>
        <w:tabs>
          <w:tab w:pos="1217" w:val="left" w:leader="none"/>
        </w:tabs>
        <w:spacing w:line="208" w:lineRule="auto" w:before="239" w:after="0"/>
        <w:ind w:left="791" w:right="1761" w:firstLine="0"/>
        <w:jc w:val="left"/>
        <w:rPr>
          <w:b/>
          <w:sz w:val="24"/>
        </w:rPr>
      </w:pPr>
      <w:r>
        <w:rPr>
          <w:sz w:val="24"/>
        </w:rPr>
        <w:t>The BEP will assist the incoming licensed manager in procuring initial merchandise</w:t>
      </w:r>
      <w:r>
        <w:rPr>
          <w:spacing w:val="-4"/>
          <w:sz w:val="24"/>
        </w:rPr>
        <w:t> </w:t>
      </w:r>
      <w:r>
        <w:rPr>
          <w:sz w:val="24"/>
        </w:rPr>
        <w:t>for</w:t>
      </w:r>
      <w:r>
        <w:rPr>
          <w:spacing w:val="-3"/>
          <w:sz w:val="24"/>
        </w:rPr>
        <w:t> </w:t>
      </w:r>
      <w:r>
        <w:rPr>
          <w:sz w:val="24"/>
        </w:rPr>
        <w:t>sale</w:t>
      </w:r>
      <w:r>
        <w:rPr>
          <w:spacing w:val="-5"/>
          <w:sz w:val="24"/>
        </w:rPr>
        <w:t> </w:t>
      </w:r>
      <w:r>
        <w:rPr>
          <w:sz w:val="24"/>
        </w:rPr>
        <w:t>and</w:t>
      </w:r>
      <w:r>
        <w:rPr>
          <w:spacing w:val="-4"/>
          <w:sz w:val="24"/>
        </w:rPr>
        <w:t> </w:t>
      </w:r>
      <w:r>
        <w:rPr>
          <w:sz w:val="24"/>
        </w:rPr>
        <w:t>will</w:t>
      </w:r>
      <w:r>
        <w:rPr>
          <w:spacing w:val="-4"/>
          <w:sz w:val="24"/>
        </w:rPr>
        <w:t> </w:t>
      </w:r>
      <w:r>
        <w:rPr>
          <w:sz w:val="24"/>
        </w:rPr>
        <w:t>arrange</w:t>
      </w:r>
      <w:r>
        <w:rPr>
          <w:spacing w:val="-4"/>
          <w:sz w:val="24"/>
        </w:rPr>
        <w:t> </w:t>
      </w:r>
      <w:r>
        <w:rPr>
          <w:sz w:val="24"/>
        </w:rPr>
        <w:t>for</w:t>
      </w:r>
      <w:r>
        <w:rPr>
          <w:spacing w:val="-3"/>
          <w:sz w:val="24"/>
        </w:rPr>
        <w:t> </w:t>
      </w:r>
      <w:r>
        <w:rPr>
          <w:sz w:val="24"/>
        </w:rPr>
        <w:t>the</w:t>
      </w:r>
      <w:r>
        <w:rPr>
          <w:spacing w:val="-4"/>
          <w:sz w:val="24"/>
        </w:rPr>
        <w:t> </w:t>
      </w:r>
      <w:r>
        <w:rPr>
          <w:sz w:val="24"/>
        </w:rPr>
        <w:t>licensed</w:t>
      </w:r>
      <w:r>
        <w:rPr>
          <w:spacing w:val="-4"/>
          <w:sz w:val="24"/>
        </w:rPr>
        <w:t> </w:t>
      </w:r>
      <w:r>
        <w:rPr>
          <w:sz w:val="24"/>
        </w:rPr>
        <w:t>manager</w:t>
      </w:r>
      <w:r>
        <w:rPr>
          <w:spacing w:val="-3"/>
          <w:sz w:val="24"/>
        </w:rPr>
        <w:t> </w:t>
      </w:r>
      <w:r>
        <w:rPr>
          <w:sz w:val="24"/>
        </w:rPr>
        <w:t>to</w:t>
      </w:r>
      <w:r>
        <w:rPr>
          <w:spacing w:val="-4"/>
          <w:sz w:val="24"/>
        </w:rPr>
        <w:t> </w:t>
      </w:r>
      <w:r>
        <w:rPr>
          <w:sz w:val="24"/>
        </w:rPr>
        <w:t>obtain</w:t>
      </w:r>
      <w:r>
        <w:rPr>
          <w:spacing w:val="-4"/>
          <w:sz w:val="24"/>
        </w:rPr>
        <w:t> </w:t>
      </w:r>
      <w:r>
        <w:rPr>
          <w:sz w:val="24"/>
        </w:rPr>
        <w:t>a merchandise loan as necessary and in accordance with agency policy.</w:t>
      </w:r>
      <w:r>
        <w:rPr>
          <w:spacing w:val="40"/>
          <w:sz w:val="24"/>
        </w:rPr>
        <w:t> </w:t>
      </w:r>
      <w:r>
        <w:rPr>
          <w:b/>
          <w:sz w:val="24"/>
        </w:rPr>
        <w:t>3</w:t>
      </w:r>
    </w:p>
    <w:p>
      <w:pPr>
        <w:pStyle w:val="ListParagraph"/>
        <w:numPr>
          <w:ilvl w:val="0"/>
          <w:numId w:val="404"/>
        </w:numPr>
        <w:tabs>
          <w:tab w:pos="1217" w:val="left" w:leader="none"/>
        </w:tabs>
        <w:spacing w:line="208" w:lineRule="auto" w:before="239" w:after="0"/>
        <w:ind w:left="791" w:right="801" w:firstLine="0"/>
        <w:jc w:val="left"/>
        <w:rPr>
          <w:sz w:val="24"/>
        </w:rPr>
      </w:pPr>
      <w:r>
        <w:rPr>
          <w:sz w:val="24"/>
        </w:rPr>
        <w:t>An</w:t>
      </w:r>
      <w:r>
        <w:rPr>
          <w:spacing w:val="-4"/>
          <w:sz w:val="24"/>
        </w:rPr>
        <w:t> </w:t>
      </w:r>
      <w:r>
        <w:rPr>
          <w:sz w:val="24"/>
        </w:rPr>
        <w:t>equipment</w:t>
      </w:r>
      <w:r>
        <w:rPr>
          <w:spacing w:val="-3"/>
          <w:sz w:val="24"/>
        </w:rPr>
        <w:t> </w:t>
      </w:r>
      <w:r>
        <w:rPr>
          <w:sz w:val="24"/>
        </w:rPr>
        <w:t>inventory</w:t>
      </w:r>
      <w:r>
        <w:rPr>
          <w:spacing w:val="-4"/>
          <w:sz w:val="24"/>
        </w:rPr>
        <w:t> </w:t>
      </w:r>
      <w:r>
        <w:rPr>
          <w:sz w:val="24"/>
        </w:rPr>
        <w:t>is</w:t>
      </w:r>
      <w:r>
        <w:rPr>
          <w:spacing w:val="-4"/>
          <w:sz w:val="24"/>
        </w:rPr>
        <w:t> </w:t>
      </w:r>
      <w:r>
        <w:rPr>
          <w:sz w:val="24"/>
        </w:rPr>
        <w:t>completed</w:t>
      </w:r>
      <w:r>
        <w:rPr>
          <w:spacing w:val="-4"/>
          <w:sz w:val="24"/>
        </w:rPr>
        <w:t> </w:t>
      </w:r>
      <w:r>
        <w:rPr>
          <w:sz w:val="24"/>
        </w:rPr>
        <w:t>and</w:t>
      </w:r>
      <w:r>
        <w:rPr>
          <w:spacing w:val="-4"/>
          <w:sz w:val="24"/>
        </w:rPr>
        <w:t> </w:t>
      </w:r>
      <w:r>
        <w:rPr>
          <w:sz w:val="24"/>
        </w:rPr>
        <w:t>the</w:t>
      </w:r>
      <w:r>
        <w:rPr>
          <w:spacing w:val="-4"/>
          <w:sz w:val="24"/>
        </w:rPr>
        <w:t> </w:t>
      </w:r>
      <w:r>
        <w:rPr>
          <w:sz w:val="24"/>
        </w:rPr>
        <w:t>incoming</w:t>
      </w:r>
      <w:r>
        <w:rPr>
          <w:spacing w:val="-4"/>
          <w:sz w:val="24"/>
        </w:rPr>
        <w:t> </w:t>
      </w:r>
      <w:r>
        <w:rPr>
          <w:sz w:val="24"/>
        </w:rPr>
        <w:t>licensed</w:t>
      </w:r>
      <w:r>
        <w:rPr>
          <w:spacing w:val="-4"/>
          <w:sz w:val="24"/>
        </w:rPr>
        <w:t> </w:t>
      </w:r>
      <w:r>
        <w:rPr>
          <w:sz w:val="24"/>
        </w:rPr>
        <w:t>manager</w:t>
      </w:r>
      <w:r>
        <w:rPr>
          <w:spacing w:val="-4"/>
          <w:sz w:val="24"/>
        </w:rPr>
        <w:t> </w:t>
      </w:r>
      <w:r>
        <w:rPr>
          <w:sz w:val="24"/>
        </w:rPr>
        <w:t>signs the inventory sheet and assumes responsibility for the equipment.</w:t>
      </w:r>
    </w:p>
    <w:p>
      <w:pPr>
        <w:pStyle w:val="ListParagraph"/>
        <w:numPr>
          <w:ilvl w:val="0"/>
          <w:numId w:val="404"/>
        </w:numPr>
        <w:tabs>
          <w:tab w:pos="1217" w:val="left" w:leader="none"/>
        </w:tabs>
        <w:spacing w:line="208" w:lineRule="auto" w:before="240" w:after="0"/>
        <w:ind w:left="791" w:right="959" w:firstLine="0"/>
        <w:jc w:val="left"/>
        <w:rPr>
          <w:sz w:val="24"/>
        </w:rPr>
      </w:pPr>
      <w:r>
        <w:rPr>
          <w:sz w:val="24"/>
        </w:rPr>
        <w:t>The</w:t>
      </w:r>
      <w:r>
        <w:rPr>
          <w:spacing w:val="-4"/>
          <w:sz w:val="24"/>
        </w:rPr>
        <w:t> </w:t>
      </w:r>
      <w:r>
        <w:rPr>
          <w:sz w:val="24"/>
        </w:rPr>
        <w:t>BEP</w:t>
      </w:r>
      <w:r>
        <w:rPr>
          <w:spacing w:val="-4"/>
          <w:sz w:val="24"/>
        </w:rPr>
        <w:t> </w:t>
      </w:r>
      <w:r>
        <w:rPr>
          <w:sz w:val="24"/>
        </w:rPr>
        <w:t>will</w:t>
      </w:r>
      <w:r>
        <w:rPr>
          <w:spacing w:val="-4"/>
          <w:sz w:val="24"/>
        </w:rPr>
        <w:t> </w:t>
      </w:r>
      <w:r>
        <w:rPr>
          <w:sz w:val="24"/>
        </w:rPr>
        <w:t>assist</w:t>
      </w:r>
      <w:r>
        <w:rPr>
          <w:spacing w:val="-3"/>
          <w:sz w:val="24"/>
        </w:rPr>
        <w:t> </w:t>
      </w:r>
      <w:r>
        <w:rPr>
          <w:sz w:val="24"/>
        </w:rPr>
        <w:t>the</w:t>
      </w:r>
      <w:r>
        <w:rPr>
          <w:spacing w:val="-4"/>
          <w:sz w:val="24"/>
        </w:rPr>
        <w:t> </w:t>
      </w:r>
      <w:r>
        <w:rPr>
          <w:sz w:val="24"/>
        </w:rPr>
        <w:t>incoming</w:t>
      </w:r>
      <w:r>
        <w:rPr>
          <w:spacing w:val="-4"/>
          <w:sz w:val="24"/>
        </w:rPr>
        <w:t> </w:t>
      </w:r>
      <w:r>
        <w:rPr>
          <w:sz w:val="24"/>
        </w:rPr>
        <w:t>licensed</w:t>
      </w:r>
      <w:r>
        <w:rPr>
          <w:spacing w:val="-3"/>
          <w:sz w:val="24"/>
        </w:rPr>
        <w:t> </w:t>
      </w:r>
      <w:r>
        <w:rPr>
          <w:sz w:val="24"/>
        </w:rPr>
        <w:t>manager</w:t>
      </w:r>
      <w:r>
        <w:rPr>
          <w:spacing w:val="-3"/>
          <w:sz w:val="24"/>
        </w:rPr>
        <w:t> </w:t>
      </w:r>
      <w:r>
        <w:rPr>
          <w:sz w:val="24"/>
        </w:rPr>
        <w:t>in</w:t>
      </w:r>
      <w:r>
        <w:rPr>
          <w:spacing w:val="-4"/>
          <w:sz w:val="24"/>
        </w:rPr>
        <w:t> </w:t>
      </w:r>
      <w:r>
        <w:rPr>
          <w:sz w:val="24"/>
        </w:rPr>
        <w:t>filling</w:t>
      </w:r>
      <w:r>
        <w:rPr>
          <w:spacing w:val="-4"/>
          <w:sz w:val="24"/>
        </w:rPr>
        <w:t> </w:t>
      </w:r>
      <w:r>
        <w:rPr>
          <w:sz w:val="24"/>
        </w:rPr>
        <w:t>out</w:t>
      </w:r>
      <w:r>
        <w:rPr>
          <w:spacing w:val="-3"/>
          <w:sz w:val="24"/>
        </w:rPr>
        <w:t> </w:t>
      </w:r>
      <w:r>
        <w:rPr>
          <w:sz w:val="24"/>
        </w:rPr>
        <w:t>any</w:t>
      </w:r>
      <w:r>
        <w:rPr>
          <w:spacing w:val="-4"/>
          <w:sz w:val="24"/>
        </w:rPr>
        <w:t> </w:t>
      </w:r>
      <w:r>
        <w:rPr>
          <w:sz w:val="24"/>
        </w:rPr>
        <w:t>insurance or retirement enrollment or change forms as necessary.</w:t>
      </w:r>
    </w:p>
    <w:p>
      <w:pPr>
        <w:pStyle w:val="ListParagraph"/>
        <w:numPr>
          <w:ilvl w:val="0"/>
          <w:numId w:val="404"/>
        </w:numPr>
        <w:tabs>
          <w:tab w:pos="1217" w:val="left" w:leader="none"/>
        </w:tabs>
        <w:spacing w:line="208" w:lineRule="auto" w:before="240" w:after="0"/>
        <w:ind w:left="791" w:right="761" w:firstLine="0"/>
        <w:jc w:val="left"/>
        <w:rPr>
          <w:sz w:val="24"/>
        </w:rPr>
      </w:pPr>
      <w:r>
        <w:rPr>
          <w:sz w:val="24"/>
        </w:rPr>
        <w:t>The BEP will verify that workers compensation and liability insurance on the business</w:t>
      </w:r>
      <w:r>
        <w:rPr>
          <w:spacing w:val="-3"/>
          <w:sz w:val="24"/>
        </w:rPr>
        <w:t> </w:t>
      </w:r>
      <w:r>
        <w:rPr>
          <w:sz w:val="24"/>
        </w:rPr>
        <w:t>enterprise</w:t>
      </w:r>
      <w:r>
        <w:rPr>
          <w:spacing w:val="-3"/>
          <w:sz w:val="24"/>
        </w:rPr>
        <w:t> </w:t>
      </w:r>
      <w:r>
        <w:rPr>
          <w:sz w:val="24"/>
        </w:rPr>
        <w:t>are</w:t>
      </w:r>
      <w:r>
        <w:rPr>
          <w:spacing w:val="-3"/>
          <w:sz w:val="24"/>
        </w:rPr>
        <w:t> </w:t>
      </w:r>
      <w:r>
        <w:rPr>
          <w:sz w:val="24"/>
        </w:rPr>
        <w:t>in</w:t>
      </w:r>
      <w:r>
        <w:rPr>
          <w:spacing w:val="-3"/>
          <w:sz w:val="24"/>
        </w:rPr>
        <w:t> </w:t>
      </w:r>
      <w:r>
        <w:rPr>
          <w:sz w:val="24"/>
        </w:rPr>
        <w:t>effect.</w:t>
      </w:r>
      <w:r>
        <w:rPr>
          <w:spacing w:val="40"/>
          <w:sz w:val="24"/>
        </w:rPr>
        <w:t> </w:t>
      </w:r>
      <w:r>
        <w:rPr>
          <w:sz w:val="24"/>
        </w:rPr>
        <w:t>The</w:t>
      </w:r>
      <w:r>
        <w:rPr>
          <w:spacing w:val="-3"/>
          <w:sz w:val="24"/>
        </w:rPr>
        <w:t> </w:t>
      </w:r>
      <w:r>
        <w:rPr>
          <w:sz w:val="24"/>
        </w:rPr>
        <w:t>business</w:t>
      </w:r>
      <w:r>
        <w:rPr>
          <w:spacing w:val="-3"/>
          <w:sz w:val="24"/>
        </w:rPr>
        <w:t> </w:t>
      </w:r>
      <w:r>
        <w:rPr>
          <w:sz w:val="24"/>
        </w:rPr>
        <w:t>enterprise</w:t>
      </w:r>
      <w:r>
        <w:rPr>
          <w:spacing w:val="-3"/>
          <w:sz w:val="24"/>
        </w:rPr>
        <w:t> </w:t>
      </w:r>
      <w:r>
        <w:rPr>
          <w:sz w:val="24"/>
        </w:rPr>
        <w:t>will</w:t>
      </w:r>
      <w:r>
        <w:rPr>
          <w:spacing w:val="-3"/>
          <w:sz w:val="24"/>
        </w:rPr>
        <w:t> </w:t>
      </w:r>
      <w:r>
        <w:rPr>
          <w:sz w:val="24"/>
        </w:rPr>
        <w:t>not</w:t>
      </w:r>
      <w:r>
        <w:rPr>
          <w:spacing w:val="-2"/>
          <w:sz w:val="24"/>
        </w:rPr>
        <w:t> </w:t>
      </w:r>
      <w:r>
        <w:rPr>
          <w:sz w:val="24"/>
        </w:rPr>
        <w:t>be</w:t>
      </w:r>
      <w:r>
        <w:rPr>
          <w:spacing w:val="-3"/>
          <w:sz w:val="24"/>
        </w:rPr>
        <w:t> </w:t>
      </w:r>
      <w:r>
        <w:rPr>
          <w:sz w:val="24"/>
        </w:rPr>
        <w:t>opened</w:t>
      </w:r>
      <w:r>
        <w:rPr>
          <w:spacing w:val="-2"/>
          <w:sz w:val="24"/>
        </w:rPr>
        <w:t> </w:t>
      </w:r>
      <w:r>
        <w:rPr>
          <w:sz w:val="24"/>
        </w:rPr>
        <w:t>by</w:t>
      </w:r>
      <w:r>
        <w:rPr>
          <w:spacing w:val="-3"/>
          <w:sz w:val="24"/>
        </w:rPr>
        <w:t> </w:t>
      </w:r>
      <w:r>
        <w:rPr>
          <w:sz w:val="24"/>
        </w:rPr>
        <w:t>the new licensed manager until this is verified.</w:t>
      </w:r>
    </w:p>
    <w:p>
      <w:pPr>
        <w:pStyle w:val="ListParagraph"/>
        <w:numPr>
          <w:ilvl w:val="0"/>
          <w:numId w:val="404"/>
        </w:numPr>
        <w:tabs>
          <w:tab w:pos="1217" w:val="left" w:leader="none"/>
        </w:tabs>
        <w:spacing w:line="208" w:lineRule="auto" w:before="240" w:after="0"/>
        <w:ind w:left="791" w:right="1681" w:firstLine="0"/>
        <w:jc w:val="left"/>
        <w:rPr>
          <w:sz w:val="24"/>
        </w:rPr>
      </w:pPr>
      <w:r>
        <w:rPr>
          <w:sz w:val="24"/>
        </w:rPr>
        <w:t>The</w:t>
      </w:r>
      <w:r>
        <w:rPr>
          <w:spacing w:val="-3"/>
          <w:sz w:val="24"/>
        </w:rPr>
        <w:t> </w:t>
      </w:r>
      <w:r>
        <w:rPr>
          <w:sz w:val="24"/>
        </w:rPr>
        <w:t>BEP</w:t>
      </w:r>
      <w:r>
        <w:rPr>
          <w:spacing w:val="-3"/>
          <w:sz w:val="24"/>
        </w:rPr>
        <w:t> </w:t>
      </w:r>
      <w:r>
        <w:rPr>
          <w:sz w:val="24"/>
        </w:rPr>
        <w:t>will</w:t>
      </w:r>
      <w:r>
        <w:rPr>
          <w:spacing w:val="-3"/>
          <w:sz w:val="24"/>
        </w:rPr>
        <w:t> </w:t>
      </w:r>
      <w:r>
        <w:rPr>
          <w:sz w:val="24"/>
        </w:rPr>
        <w:t>provide</w:t>
      </w:r>
      <w:r>
        <w:rPr>
          <w:spacing w:val="-3"/>
          <w:sz w:val="24"/>
        </w:rPr>
        <w:t> </w:t>
      </w:r>
      <w:r>
        <w:rPr>
          <w:sz w:val="24"/>
        </w:rPr>
        <w:t>the</w:t>
      </w:r>
      <w:r>
        <w:rPr>
          <w:spacing w:val="-3"/>
          <w:sz w:val="24"/>
        </w:rPr>
        <w:t> </w:t>
      </w:r>
      <w:r>
        <w:rPr>
          <w:sz w:val="24"/>
        </w:rPr>
        <w:t>incoming</w:t>
      </w:r>
      <w:r>
        <w:rPr>
          <w:spacing w:val="-3"/>
          <w:sz w:val="24"/>
        </w:rPr>
        <w:t> </w:t>
      </w:r>
      <w:r>
        <w:rPr>
          <w:sz w:val="24"/>
        </w:rPr>
        <w:t>licensed</w:t>
      </w:r>
      <w:r>
        <w:rPr>
          <w:spacing w:val="-3"/>
          <w:sz w:val="24"/>
        </w:rPr>
        <w:t> </w:t>
      </w:r>
      <w:r>
        <w:rPr>
          <w:sz w:val="24"/>
        </w:rPr>
        <w:t>manager</w:t>
      </w:r>
      <w:r>
        <w:rPr>
          <w:spacing w:val="-2"/>
          <w:sz w:val="24"/>
        </w:rPr>
        <w:t> </w:t>
      </w:r>
      <w:r>
        <w:rPr>
          <w:sz w:val="24"/>
        </w:rPr>
        <w:t>with</w:t>
      </w:r>
      <w:r>
        <w:rPr>
          <w:spacing w:val="-3"/>
          <w:sz w:val="24"/>
        </w:rPr>
        <w:t> </w:t>
      </w:r>
      <w:r>
        <w:rPr>
          <w:sz w:val="24"/>
        </w:rPr>
        <w:t>a</w:t>
      </w:r>
      <w:r>
        <w:rPr>
          <w:spacing w:val="-3"/>
          <w:sz w:val="24"/>
        </w:rPr>
        <w:t> </w:t>
      </w:r>
      <w:r>
        <w:rPr>
          <w:sz w:val="24"/>
        </w:rPr>
        <w:t>copy</w:t>
      </w:r>
      <w:r>
        <w:rPr>
          <w:spacing w:val="-3"/>
          <w:sz w:val="24"/>
        </w:rPr>
        <w:t> </w:t>
      </w:r>
      <w:r>
        <w:rPr>
          <w:sz w:val="24"/>
        </w:rPr>
        <w:t>of</w:t>
      </w:r>
      <w:r>
        <w:rPr>
          <w:spacing w:val="-4"/>
          <w:sz w:val="24"/>
        </w:rPr>
        <w:t> </w:t>
      </w:r>
      <w:r>
        <w:rPr>
          <w:sz w:val="24"/>
        </w:rPr>
        <w:t>the permit/contract in effect for the business enterprise.</w:t>
      </w:r>
    </w:p>
    <w:p>
      <w:pPr>
        <w:pStyle w:val="ListParagraph"/>
        <w:numPr>
          <w:ilvl w:val="0"/>
          <w:numId w:val="404"/>
        </w:numPr>
        <w:tabs>
          <w:tab w:pos="1217" w:val="left" w:leader="none"/>
        </w:tabs>
        <w:spacing w:line="208" w:lineRule="auto" w:before="239" w:after="0"/>
        <w:ind w:left="791" w:right="826" w:firstLine="0"/>
        <w:jc w:val="left"/>
        <w:rPr>
          <w:sz w:val="24"/>
        </w:rPr>
      </w:pPr>
      <w:r>
        <w:rPr>
          <w:sz w:val="24"/>
        </w:rPr>
        <w:t>The</w:t>
      </w:r>
      <w:r>
        <w:rPr>
          <w:spacing w:val="-3"/>
          <w:sz w:val="24"/>
        </w:rPr>
        <w:t> </w:t>
      </w:r>
      <w:r>
        <w:rPr>
          <w:sz w:val="24"/>
        </w:rPr>
        <w:t>BEP</w:t>
      </w:r>
      <w:r>
        <w:rPr>
          <w:spacing w:val="-3"/>
          <w:sz w:val="24"/>
        </w:rPr>
        <w:t> </w:t>
      </w:r>
      <w:r>
        <w:rPr>
          <w:sz w:val="24"/>
        </w:rPr>
        <w:t>will</w:t>
      </w:r>
      <w:r>
        <w:rPr>
          <w:spacing w:val="-3"/>
          <w:sz w:val="24"/>
        </w:rPr>
        <w:t> </w:t>
      </w:r>
      <w:r>
        <w:rPr>
          <w:sz w:val="24"/>
        </w:rPr>
        <w:t>provide</w:t>
      </w:r>
      <w:r>
        <w:rPr>
          <w:spacing w:val="-3"/>
          <w:sz w:val="24"/>
        </w:rPr>
        <w:t> </w:t>
      </w:r>
      <w:r>
        <w:rPr>
          <w:sz w:val="24"/>
        </w:rPr>
        <w:t>the</w:t>
      </w:r>
      <w:r>
        <w:rPr>
          <w:spacing w:val="-3"/>
          <w:sz w:val="24"/>
        </w:rPr>
        <w:t> </w:t>
      </w:r>
      <w:r>
        <w:rPr>
          <w:sz w:val="24"/>
        </w:rPr>
        <w:t>incoming</w:t>
      </w:r>
      <w:r>
        <w:rPr>
          <w:spacing w:val="-3"/>
          <w:sz w:val="24"/>
        </w:rPr>
        <w:t> </w:t>
      </w:r>
      <w:r>
        <w:rPr>
          <w:sz w:val="24"/>
        </w:rPr>
        <w:t>licensed</w:t>
      </w:r>
      <w:r>
        <w:rPr>
          <w:spacing w:val="-3"/>
          <w:sz w:val="24"/>
        </w:rPr>
        <w:t> </w:t>
      </w:r>
      <w:r>
        <w:rPr>
          <w:sz w:val="24"/>
        </w:rPr>
        <w:t>manager</w:t>
      </w:r>
      <w:r>
        <w:rPr>
          <w:spacing w:val="-2"/>
          <w:sz w:val="24"/>
        </w:rPr>
        <w:t> </w:t>
      </w:r>
      <w:r>
        <w:rPr>
          <w:sz w:val="24"/>
        </w:rPr>
        <w:t>with</w:t>
      </w:r>
      <w:r>
        <w:rPr>
          <w:spacing w:val="-3"/>
          <w:sz w:val="24"/>
        </w:rPr>
        <w:t> </w:t>
      </w:r>
      <w:r>
        <w:rPr>
          <w:sz w:val="24"/>
        </w:rPr>
        <w:t>a</w:t>
      </w:r>
      <w:r>
        <w:rPr>
          <w:spacing w:val="-3"/>
          <w:sz w:val="24"/>
        </w:rPr>
        <w:t> </w:t>
      </w:r>
      <w:r>
        <w:rPr>
          <w:sz w:val="24"/>
        </w:rPr>
        <w:t>supply</w:t>
      </w:r>
      <w:r>
        <w:rPr>
          <w:spacing w:val="-3"/>
          <w:sz w:val="24"/>
        </w:rPr>
        <w:t> </w:t>
      </w:r>
      <w:r>
        <w:rPr>
          <w:sz w:val="24"/>
        </w:rPr>
        <w:t>of</w:t>
      </w:r>
      <w:r>
        <w:rPr>
          <w:spacing w:val="-2"/>
          <w:sz w:val="24"/>
        </w:rPr>
        <w:t> </w:t>
      </w:r>
      <w:r>
        <w:rPr>
          <w:sz w:val="24"/>
        </w:rPr>
        <w:t>the</w:t>
      </w:r>
      <w:r>
        <w:rPr>
          <w:spacing w:val="-3"/>
          <w:sz w:val="24"/>
        </w:rPr>
        <w:t> </w:t>
      </w:r>
      <w:r>
        <w:rPr>
          <w:sz w:val="24"/>
        </w:rPr>
        <w:t>forms required by the SLA relative to the business enterprise operation.</w:t>
      </w:r>
    </w:p>
    <w:p>
      <w:pPr>
        <w:pStyle w:val="ListParagraph"/>
        <w:numPr>
          <w:ilvl w:val="0"/>
          <w:numId w:val="404"/>
        </w:numPr>
        <w:tabs>
          <w:tab w:pos="1217" w:val="left" w:leader="none"/>
        </w:tabs>
        <w:spacing w:line="208" w:lineRule="auto" w:before="240" w:after="0"/>
        <w:ind w:left="791" w:right="933" w:firstLine="0"/>
        <w:jc w:val="left"/>
        <w:rPr>
          <w:sz w:val="24"/>
        </w:rPr>
      </w:pPr>
      <w:r>
        <w:rPr>
          <w:sz w:val="24"/>
        </w:rPr>
        <w:t>The incoming licensed manager must read and sign a licensed manager's agreement before assuming the operation of any business enterprise.</w:t>
      </w:r>
      <w:r>
        <w:rPr>
          <w:spacing w:val="40"/>
          <w:sz w:val="24"/>
        </w:rPr>
        <w:t> </w:t>
      </w:r>
      <w:r>
        <w:rPr>
          <w:sz w:val="24"/>
        </w:rPr>
        <w:t>If needed, BEP</w:t>
      </w:r>
      <w:r>
        <w:rPr>
          <w:spacing w:val="-3"/>
          <w:sz w:val="24"/>
        </w:rPr>
        <w:t> </w:t>
      </w:r>
      <w:r>
        <w:rPr>
          <w:sz w:val="24"/>
        </w:rPr>
        <w:t>staff</w:t>
      </w:r>
      <w:r>
        <w:rPr>
          <w:spacing w:val="-4"/>
          <w:sz w:val="24"/>
        </w:rPr>
        <w:t> </w:t>
      </w:r>
      <w:r>
        <w:rPr>
          <w:sz w:val="24"/>
        </w:rPr>
        <w:t>will</w:t>
      </w:r>
      <w:r>
        <w:rPr>
          <w:spacing w:val="-3"/>
          <w:sz w:val="24"/>
        </w:rPr>
        <w:t> </w:t>
      </w:r>
      <w:r>
        <w:rPr>
          <w:sz w:val="24"/>
        </w:rPr>
        <w:t>read</w:t>
      </w:r>
      <w:r>
        <w:rPr>
          <w:spacing w:val="-3"/>
          <w:sz w:val="24"/>
        </w:rPr>
        <w:t> </w:t>
      </w:r>
      <w:r>
        <w:rPr>
          <w:sz w:val="24"/>
        </w:rPr>
        <w:t>the</w:t>
      </w:r>
      <w:r>
        <w:rPr>
          <w:spacing w:val="-3"/>
          <w:sz w:val="24"/>
        </w:rPr>
        <w:t> </w:t>
      </w:r>
      <w:r>
        <w:rPr>
          <w:sz w:val="24"/>
        </w:rPr>
        <w:t>agreement</w:t>
      </w:r>
      <w:r>
        <w:rPr>
          <w:spacing w:val="-2"/>
          <w:sz w:val="24"/>
        </w:rPr>
        <w:t> </w:t>
      </w:r>
      <w:r>
        <w:rPr>
          <w:sz w:val="24"/>
        </w:rPr>
        <w:t>to</w:t>
      </w:r>
      <w:r>
        <w:rPr>
          <w:spacing w:val="-4"/>
          <w:sz w:val="24"/>
        </w:rPr>
        <w:t> </w:t>
      </w:r>
      <w:r>
        <w:rPr>
          <w:sz w:val="24"/>
        </w:rPr>
        <w:t>the</w:t>
      </w:r>
      <w:r>
        <w:rPr>
          <w:spacing w:val="-3"/>
          <w:sz w:val="24"/>
        </w:rPr>
        <w:t> </w:t>
      </w:r>
      <w:r>
        <w:rPr>
          <w:sz w:val="24"/>
        </w:rPr>
        <w:t>manager</w:t>
      </w:r>
      <w:r>
        <w:rPr>
          <w:spacing w:val="-2"/>
          <w:sz w:val="24"/>
        </w:rPr>
        <w:t> </w:t>
      </w:r>
      <w:r>
        <w:rPr>
          <w:sz w:val="24"/>
        </w:rPr>
        <w:t>and/or</w:t>
      </w:r>
      <w:r>
        <w:rPr>
          <w:spacing w:val="-2"/>
          <w:sz w:val="24"/>
        </w:rPr>
        <w:t> </w:t>
      </w:r>
      <w:r>
        <w:rPr>
          <w:sz w:val="24"/>
        </w:rPr>
        <w:t>provide</w:t>
      </w:r>
      <w:r>
        <w:rPr>
          <w:spacing w:val="-4"/>
          <w:sz w:val="24"/>
        </w:rPr>
        <w:t> </w:t>
      </w:r>
      <w:r>
        <w:rPr>
          <w:sz w:val="24"/>
        </w:rPr>
        <w:t>the</w:t>
      </w:r>
      <w:r>
        <w:rPr>
          <w:spacing w:val="-3"/>
          <w:sz w:val="24"/>
        </w:rPr>
        <w:t> </w:t>
      </w:r>
      <w:r>
        <w:rPr>
          <w:sz w:val="24"/>
        </w:rPr>
        <w:t>agreement</w:t>
      </w:r>
      <w:r>
        <w:rPr>
          <w:spacing w:val="-2"/>
          <w:sz w:val="24"/>
        </w:rPr>
        <w:t> </w:t>
      </w:r>
      <w:r>
        <w:rPr>
          <w:sz w:val="24"/>
        </w:rPr>
        <w:t>in the accessible format required by the manager.</w:t>
      </w:r>
    </w:p>
    <w:p>
      <w:pPr>
        <w:pStyle w:val="BodyText"/>
        <w:spacing w:before="211"/>
        <w:ind w:left="359"/>
      </w:pPr>
      <w:r>
        <w:rPr/>
        <w:t>INSTRUCTIONS</w:t>
      </w:r>
      <w:r>
        <w:rPr>
          <w:spacing w:val="-3"/>
        </w:rPr>
        <w:t> </w:t>
      </w:r>
      <w:r>
        <w:rPr/>
        <w:t>TO</w:t>
      </w:r>
      <w:r>
        <w:rPr>
          <w:spacing w:val="-2"/>
        </w:rPr>
        <w:t> </w:t>
      </w:r>
      <w:r>
        <w:rPr>
          <w:spacing w:val="-4"/>
        </w:rPr>
        <w:t>STAFF</w:t>
      </w:r>
    </w:p>
    <w:p>
      <w:pPr>
        <w:pStyle w:val="BodyText"/>
        <w:spacing w:after="0"/>
        <w:sectPr>
          <w:pgSz w:w="12240" w:h="15840"/>
          <w:pgMar w:top="1340" w:bottom="280" w:left="1080" w:right="720"/>
        </w:sectPr>
      </w:pPr>
    </w:p>
    <w:p>
      <w:pPr>
        <w:pStyle w:val="ListParagraph"/>
        <w:numPr>
          <w:ilvl w:val="0"/>
          <w:numId w:val="405"/>
        </w:numPr>
        <w:tabs>
          <w:tab w:pos="1124" w:val="left" w:leader="none"/>
        </w:tabs>
        <w:spacing w:line="208" w:lineRule="auto" w:before="96" w:after="0"/>
        <w:ind w:left="791" w:right="735" w:firstLine="0"/>
        <w:jc w:val="left"/>
        <w:rPr>
          <w:sz w:val="24"/>
        </w:rPr>
      </w:pPr>
      <w:r>
        <w:rPr>
          <w:sz w:val="24"/>
        </w:rPr>
        <w:t>The business consultant will remain at the business enterprise for a sufficient time to assure a smooth business operation.</w:t>
      </w:r>
      <w:r>
        <w:rPr>
          <w:spacing w:val="40"/>
          <w:sz w:val="24"/>
        </w:rPr>
        <w:t> </w:t>
      </w:r>
      <w:r>
        <w:rPr>
          <w:sz w:val="24"/>
        </w:rPr>
        <w:t>If possible, the incoming licensed manager will be available one week prior to the opening of the facility to become familiar with the business, discuss BEP requirements and business issues with the BEP consultant, and arrange for purchase of initial stock.</w:t>
      </w:r>
      <w:r>
        <w:rPr>
          <w:spacing w:val="40"/>
          <w:sz w:val="24"/>
        </w:rPr>
        <w:t> </w:t>
      </w:r>
      <w:r>
        <w:rPr>
          <w:sz w:val="24"/>
        </w:rPr>
        <w:t>The business consultant will</w:t>
      </w:r>
      <w:r>
        <w:rPr>
          <w:spacing w:val="-4"/>
          <w:sz w:val="24"/>
        </w:rPr>
        <w:t> </w:t>
      </w:r>
      <w:r>
        <w:rPr>
          <w:sz w:val="24"/>
        </w:rPr>
        <w:t>inform</w:t>
      </w:r>
      <w:r>
        <w:rPr>
          <w:spacing w:val="-3"/>
          <w:sz w:val="24"/>
        </w:rPr>
        <w:t> </w:t>
      </w:r>
      <w:r>
        <w:rPr>
          <w:sz w:val="24"/>
        </w:rPr>
        <w:t>the</w:t>
      </w:r>
      <w:r>
        <w:rPr>
          <w:spacing w:val="-4"/>
          <w:sz w:val="24"/>
        </w:rPr>
        <w:t> </w:t>
      </w:r>
      <w:r>
        <w:rPr>
          <w:sz w:val="24"/>
        </w:rPr>
        <w:t>incoming</w:t>
      </w:r>
      <w:r>
        <w:rPr>
          <w:spacing w:val="-4"/>
          <w:sz w:val="24"/>
        </w:rPr>
        <w:t> </w:t>
      </w:r>
      <w:r>
        <w:rPr>
          <w:sz w:val="24"/>
        </w:rPr>
        <w:t>manager</w:t>
      </w:r>
      <w:r>
        <w:rPr>
          <w:spacing w:val="-3"/>
          <w:sz w:val="24"/>
        </w:rPr>
        <w:t> </w:t>
      </w:r>
      <w:r>
        <w:rPr>
          <w:sz w:val="24"/>
        </w:rPr>
        <w:t>of</w:t>
      </w:r>
      <w:r>
        <w:rPr>
          <w:spacing w:val="-3"/>
          <w:sz w:val="24"/>
        </w:rPr>
        <w:t> </w:t>
      </w:r>
      <w:r>
        <w:rPr>
          <w:sz w:val="24"/>
        </w:rPr>
        <w:t>options</w:t>
      </w:r>
      <w:r>
        <w:rPr>
          <w:spacing w:val="-4"/>
          <w:sz w:val="24"/>
        </w:rPr>
        <w:t> </w:t>
      </w:r>
      <w:r>
        <w:rPr>
          <w:sz w:val="24"/>
        </w:rPr>
        <w:t>for</w:t>
      </w:r>
      <w:r>
        <w:rPr>
          <w:spacing w:val="-3"/>
          <w:sz w:val="24"/>
        </w:rPr>
        <w:t> </w:t>
      </w:r>
      <w:r>
        <w:rPr>
          <w:sz w:val="24"/>
        </w:rPr>
        <w:t>procuring</w:t>
      </w:r>
      <w:r>
        <w:rPr>
          <w:spacing w:val="-4"/>
          <w:sz w:val="24"/>
        </w:rPr>
        <w:t> </w:t>
      </w:r>
      <w:r>
        <w:rPr>
          <w:sz w:val="24"/>
        </w:rPr>
        <w:t>initial</w:t>
      </w:r>
      <w:r>
        <w:rPr>
          <w:spacing w:val="-4"/>
          <w:sz w:val="24"/>
        </w:rPr>
        <w:t> </w:t>
      </w:r>
      <w:r>
        <w:rPr>
          <w:sz w:val="24"/>
        </w:rPr>
        <w:t>stock</w:t>
      </w:r>
      <w:r>
        <w:rPr>
          <w:spacing w:val="-5"/>
          <w:sz w:val="24"/>
        </w:rPr>
        <w:t> </w:t>
      </w:r>
      <w:r>
        <w:rPr>
          <w:sz w:val="24"/>
        </w:rPr>
        <w:t>and</w:t>
      </w:r>
      <w:r>
        <w:rPr>
          <w:spacing w:val="-4"/>
          <w:sz w:val="24"/>
        </w:rPr>
        <w:t> </w:t>
      </w:r>
      <w:r>
        <w:rPr>
          <w:sz w:val="24"/>
        </w:rPr>
        <w:t>assist</w:t>
      </w:r>
      <w:r>
        <w:rPr>
          <w:spacing w:val="-3"/>
          <w:sz w:val="24"/>
        </w:rPr>
        <w:t> </w:t>
      </w:r>
      <w:r>
        <w:rPr>
          <w:sz w:val="24"/>
        </w:rPr>
        <w:t>with procurement of stock and arrangement for a merchandise loan, if necessary.</w:t>
      </w:r>
    </w:p>
    <w:p>
      <w:pPr>
        <w:pStyle w:val="ListParagraph"/>
        <w:numPr>
          <w:ilvl w:val="0"/>
          <w:numId w:val="405"/>
        </w:numPr>
        <w:tabs>
          <w:tab w:pos="1124" w:val="left" w:leader="none"/>
        </w:tabs>
        <w:spacing w:line="208" w:lineRule="auto" w:before="239" w:after="0"/>
        <w:ind w:left="792" w:right="878" w:firstLine="0"/>
        <w:jc w:val="left"/>
        <w:rPr>
          <w:sz w:val="24"/>
        </w:rPr>
      </w:pPr>
      <w:r>
        <w:rPr>
          <w:sz w:val="24"/>
        </w:rPr>
        <w:t>If the facility is to be closed while inventory is being conducted, sufficient and proper notice must be given to the grantor and customers.</w:t>
      </w:r>
      <w:r>
        <w:rPr>
          <w:spacing w:val="40"/>
          <w:sz w:val="24"/>
        </w:rPr>
        <w:t> </w:t>
      </w:r>
      <w:r>
        <w:rPr>
          <w:sz w:val="24"/>
        </w:rPr>
        <w:t>Deposits and personal equipment are not to be included on the inventory.</w:t>
      </w:r>
      <w:r>
        <w:rPr>
          <w:spacing w:val="40"/>
          <w:sz w:val="24"/>
        </w:rPr>
        <w:t> </w:t>
      </w:r>
      <w:r>
        <w:rPr>
          <w:sz w:val="24"/>
        </w:rPr>
        <w:t>Arrangements may be made between outgoing and incoming managers for these items.</w:t>
      </w:r>
      <w:r>
        <w:rPr>
          <w:spacing w:val="40"/>
          <w:sz w:val="24"/>
        </w:rPr>
        <w:t> </w:t>
      </w:r>
      <w:r>
        <w:rPr>
          <w:sz w:val="24"/>
        </w:rPr>
        <w:t>Receipts collected for pricing</w:t>
      </w:r>
      <w:r>
        <w:rPr>
          <w:spacing w:val="-4"/>
          <w:sz w:val="24"/>
        </w:rPr>
        <w:t> </w:t>
      </w:r>
      <w:r>
        <w:rPr>
          <w:sz w:val="24"/>
        </w:rPr>
        <w:t>of</w:t>
      </w:r>
      <w:r>
        <w:rPr>
          <w:spacing w:val="-3"/>
          <w:sz w:val="24"/>
        </w:rPr>
        <w:t> </w:t>
      </w:r>
      <w:r>
        <w:rPr>
          <w:sz w:val="24"/>
        </w:rPr>
        <w:t>merchandise</w:t>
      </w:r>
      <w:r>
        <w:rPr>
          <w:spacing w:val="-4"/>
          <w:sz w:val="24"/>
        </w:rPr>
        <w:t> </w:t>
      </w:r>
      <w:r>
        <w:rPr>
          <w:sz w:val="24"/>
        </w:rPr>
        <w:t>should</w:t>
      </w:r>
      <w:r>
        <w:rPr>
          <w:spacing w:val="-4"/>
          <w:sz w:val="24"/>
        </w:rPr>
        <w:t> </w:t>
      </w:r>
      <w:r>
        <w:rPr>
          <w:sz w:val="24"/>
        </w:rPr>
        <w:t>be</w:t>
      </w:r>
      <w:r>
        <w:rPr>
          <w:spacing w:val="-4"/>
          <w:sz w:val="24"/>
        </w:rPr>
        <w:t> </w:t>
      </w:r>
      <w:r>
        <w:rPr>
          <w:sz w:val="24"/>
        </w:rPr>
        <w:t>returned</w:t>
      </w:r>
      <w:r>
        <w:rPr>
          <w:spacing w:val="-4"/>
          <w:sz w:val="24"/>
        </w:rPr>
        <w:t> </w:t>
      </w:r>
      <w:r>
        <w:rPr>
          <w:sz w:val="24"/>
        </w:rPr>
        <w:t>to</w:t>
      </w:r>
      <w:r>
        <w:rPr>
          <w:spacing w:val="-4"/>
          <w:sz w:val="24"/>
        </w:rPr>
        <w:t> </w:t>
      </w:r>
      <w:r>
        <w:rPr>
          <w:sz w:val="24"/>
        </w:rPr>
        <w:t>the</w:t>
      </w:r>
      <w:r>
        <w:rPr>
          <w:spacing w:val="-4"/>
          <w:sz w:val="24"/>
        </w:rPr>
        <w:t> </w:t>
      </w:r>
      <w:r>
        <w:rPr>
          <w:sz w:val="24"/>
        </w:rPr>
        <w:t>outgoing</w:t>
      </w:r>
      <w:r>
        <w:rPr>
          <w:spacing w:val="-4"/>
          <w:sz w:val="24"/>
        </w:rPr>
        <w:t> </w:t>
      </w:r>
      <w:r>
        <w:rPr>
          <w:sz w:val="24"/>
        </w:rPr>
        <w:t>licensed</w:t>
      </w:r>
      <w:r>
        <w:rPr>
          <w:spacing w:val="-4"/>
          <w:sz w:val="24"/>
        </w:rPr>
        <w:t> </w:t>
      </w:r>
      <w:r>
        <w:rPr>
          <w:sz w:val="24"/>
        </w:rPr>
        <w:t>manager</w:t>
      </w:r>
      <w:r>
        <w:rPr>
          <w:spacing w:val="-3"/>
          <w:sz w:val="24"/>
        </w:rPr>
        <w:t> </w:t>
      </w:r>
      <w:r>
        <w:rPr>
          <w:sz w:val="24"/>
        </w:rPr>
        <w:t>at</w:t>
      </w:r>
      <w:r>
        <w:rPr>
          <w:spacing w:val="-3"/>
          <w:sz w:val="24"/>
        </w:rPr>
        <w:t> </w:t>
      </w:r>
      <w:r>
        <w:rPr>
          <w:sz w:val="24"/>
        </w:rPr>
        <w:t>the conclusion of the pricing phase.</w:t>
      </w:r>
    </w:p>
    <w:p>
      <w:pPr>
        <w:pStyle w:val="ListParagraph"/>
        <w:numPr>
          <w:ilvl w:val="0"/>
          <w:numId w:val="405"/>
        </w:numPr>
        <w:tabs>
          <w:tab w:pos="1125" w:val="left" w:leader="none"/>
        </w:tabs>
        <w:spacing w:line="240" w:lineRule="auto" w:before="210" w:after="0"/>
        <w:ind w:left="1125" w:right="0" w:hanging="333"/>
        <w:jc w:val="left"/>
        <w:rPr>
          <w:sz w:val="24"/>
        </w:rPr>
      </w:pPr>
      <w:r>
        <w:rPr>
          <w:sz w:val="24"/>
        </w:rPr>
        <w:t>Link</w:t>
      </w:r>
      <w:r>
        <w:rPr>
          <w:spacing w:val="-4"/>
          <w:sz w:val="24"/>
        </w:rPr>
        <w:t> </w:t>
      </w:r>
      <w:r>
        <w:rPr>
          <w:sz w:val="24"/>
        </w:rPr>
        <w:t>to</w:t>
      </w:r>
      <w:r>
        <w:rPr>
          <w:spacing w:val="-5"/>
          <w:sz w:val="24"/>
        </w:rPr>
        <w:t> </w:t>
      </w:r>
      <w:hyperlink w:history="true" w:anchor="_bookmark34">
        <w:r>
          <w:rPr>
            <w:color w:val="0000FF"/>
            <w:sz w:val="24"/>
            <w:u w:val="single" w:color="0000FF"/>
          </w:rPr>
          <w:t>612:25-4-27</w:t>
        </w:r>
      </w:hyperlink>
      <w:r>
        <w:rPr>
          <w:color w:val="0000FF"/>
          <w:spacing w:val="-3"/>
          <w:sz w:val="24"/>
          <w:u w:val="none"/>
        </w:rPr>
        <w:t> </w:t>
      </w:r>
      <w:r>
        <w:rPr>
          <w:sz w:val="24"/>
          <w:u w:val="none"/>
        </w:rPr>
        <w:t>Initial</w:t>
      </w:r>
      <w:r>
        <w:rPr>
          <w:spacing w:val="-4"/>
          <w:sz w:val="24"/>
          <w:u w:val="none"/>
        </w:rPr>
        <w:t> </w:t>
      </w:r>
      <w:r>
        <w:rPr>
          <w:sz w:val="24"/>
          <w:u w:val="none"/>
        </w:rPr>
        <w:t>inventory</w:t>
      </w:r>
      <w:r>
        <w:rPr>
          <w:spacing w:val="-3"/>
          <w:sz w:val="24"/>
          <w:u w:val="none"/>
        </w:rPr>
        <w:t> </w:t>
      </w:r>
      <w:r>
        <w:rPr>
          <w:sz w:val="24"/>
          <w:u w:val="none"/>
        </w:rPr>
        <w:t>and</w:t>
      </w:r>
      <w:r>
        <w:rPr>
          <w:spacing w:val="-3"/>
          <w:sz w:val="24"/>
          <w:u w:val="none"/>
        </w:rPr>
        <w:t> </w:t>
      </w:r>
      <w:r>
        <w:rPr>
          <w:spacing w:val="-2"/>
          <w:sz w:val="24"/>
          <w:u w:val="none"/>
        </w:rPr>
        <w:t>supplies.</w:t>
      </w:r>
    </w:p>
    <w:p>
      <w:pPr>
        <w:spacing w:before="237"/>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7-1-05</w:t>
      </w:r>
      <w:r>
        <w:rPr>
          <w:sz w:val="22"/>
        </w:rPr>
        <w:tab/>
        <w:t>PT Memo #06-01</w:t>
      </w:r>
    </w:p>
    <w:p>
      <w:pPr>
        <w:spacing w:before="0"/>
        <w:ind w:left="1439" w:right="0" w:firstLine="0"/>
        <w:jc w:val="left"/>
        <w:rPr>
          <w:sz w:val="22"/>
        </w:rPr>
      </w:pPr>
      <w:r>
        <w:rPr>
          <w:sz w:val="22"/>
        </w:rPr>
        <w:t>Permanent,</w:t>
      </w:r>
      <w:r>
        <w:rPr>
          <w:spacing w:val="-10"/>
          <w:sz w:val="22"/>
        </w:rPr>
        <w:t> </w:t>
      </w:r>
      <w:r>
        <w:rPr>
          <w:sz w:val="22"/>
        </w:rPr>
        <w:t>cleanup</w:t>
      </w:r>
      <w:r>
        <w:rPr>
          <w:spacing w:val="-11"/>
          <w:sz w:val="22"/>
        </w:rPr>
        <w:t> </w:t>
      </w:r>
      <w:r>
        <w:rPr>
          <w:spacing w:val="-2"/>
          <w:sz w:val="22"/>
        </w:rPr>
        <w:t>language</w:t>
      </w:r>
    </w:p>
    <w:p>
      <w:pPr>
        <w:pStyle w:val="ListParagraph"/>
        <w:numPr>
          <w:ilvl w:val="2"/>
          <w:numId w:val="213"/>
        </w:numPr>
        <w:tabs>
          <w:tab w:pos="1439" w:val="left" w:leader="none"/>
        </w:tabs>
        <w:spacing w:line="240" w:lineRule="auto" w:before="0" w:after="0"/>
        <w:ind w:left="359" w:right="4632" w:firstLine="0"/>
        <w:jc w:val="left"/>
        <w:rPr>
          <w:sz w:val="22"/>
        </w:rPr>
      </w:pPr>
      <w:r>
        <w:rPr>
          <w:sz w:val="22"/>
        </w:rPr>
        <w:t>Permanent,</w:t>
      </w:r>
      <w:r>
        <w:rPr>
          <w:spacing w:val="-9"/>
          <w:sz w:val="22"/>
        </w:rPr>
        <w:t> </w:t>
      </w:r>
      <w:r>
        <w:rPr>
          <w:sz w:val="22"/>
        </w:rPr>
        <w:t>updating</w:t>
      </w:r>
      <w:r>
        <w:rPr>
          <w:spacing w:val="-10"/>
          <w:sz w:val="22"/>
        </w:rPr>
        <w:t> </w:t>
      </w:r>
      <w:r>
        <w:rPr>
          <w:sz w:val="22"/>
        </w:rPr>
        <w:t>and</w:t>
      </w:r>
      <w:r>
        <w:rPr>
          <w:spacing w:val="-10"/>
          <w:sz w:val="22"/>
        </w:rPr>
        <w:t> </w:t>
      </w:r>
      <w:r>
        <w:rPr>
          <w:sz w:val="22"/>
        </w:rPr>
        <w:t>clarifying</w:t>
      </w:r>
      <w:r>
        <w:rPr>
          <w:spacing w:val="-10"/>
          <w:sz w:val="22"/>
        </w:rPr>
        <w:t> </w:t>
      </w:r>
      <w:r>
        <w:rPr>
          <w:sz w:val="22"/>
        </w:rPr>
        <w:t>language </w:t>
      </w:r>
      <w:r>
        <w:rPr>
          <w:spacing w:val="-2"/>
          <w:sz w:val="22"/>
        </w:rPr>
        <w:t>9-12-14</w:t>
      </w:r>
      <w:r>
        <w:rPr>
          <w:sz w:val="22"/>
        </w:rPr>
        <w:tab/>
        <w:t>Updated language and policy</w:t>
      </w:r>
    </w:p>
    <w:p>
      <w:pPr>
        <w:tabs>
          <w:tab w:pos="1439" w:val="left" w:leader="none"/>
        </w:tabs>
        <w:spacing w:before="0"/>
        <w:ind w:left="359" w:right="6221" w:firstLine="1080"/>
        <w:jc w:val="left"/>
        <w:rPr>
          <w:sz w:val="22"/>
        </w:rPr>
      </w:pPr>
      <w:r>
        <w:rPr>
          <w:sz w:val="22"/>
        </w:rPr>
        <w:t>Updated</w:t>
      </w:r>
      <w:r>
        <w:rPr>
          <w:spacing w:val="-12"/>
          <w:sz w:val="22"/>
        </w:rPr>
        <w:t> </w:t>
      </w:r>
      <w:r>
        <w:rPr>
          <w:sz w:val="22"/>
        </w:rPr>
        <w:t>Instructions</w:t>
      </w:r>
      <w:r>
        <w:rPr>
          <w:spacing w:val="-12"/>
          <w:sz w:val="22"/>
        </w:rPr>
        <w:t> </w:t>
      </w:r>
      <w:r>
        <w:rPr>
          <w:sz w:val="22"/>
        </w:rPr>
        <w:t>to</w:t>
      </w:r>
      <w:r>
        <w:rPr>
          <w:spacing w:val="-13"/>
          <w:sz w:val="22"/>
        </w:rPr>
        <w:t> </w:t>
      </w:r>
      <w:r>
        <w:rPr>
          <w:sz w:val="22"/>
        </w:rPr>
        <w:t>Staff </w:t>
      </w:r>
      <w:r>
        <w:rPr>
          <w:spacing w:val="-2"/>
          <w:sz w:val="22"/>
        </w:rPr>
        <w:t>8-27-15</w:t>
      </w:r>
      <w:r>
        <w:rPr>
          <w:sz w:val="22"/>
        </w:rPr>
        <w:tab/>
        <w:t>Updated language</w:t>
      </w:r>
    </w:p>
    <w:p>
      <w:pPr>
        <w:tabs>
          <w:tab w:pos="1439" w:val="left" w:leader="none"/>
        </w:tabs>
        <w:spacing w:line="252" w:lineRule="exact" w:before="0"/>
        <w:ind w:left="359" w:right="0" w:firstLine="0"/>
        <w:jc w:val="left"/>
        <w:rPr>
          <w:sz w:val="22"/>
        </w:rPr>
      </w:pPr>
      <w:r>
        <w:rPr>
          <w:spacing w:val="-2"/>
          <w:sz w:val="22"/>
        </w:rPr>
        <w:t>9-11-</w:t>
      </w:r>
      <w:r>
        <w:rPr>
          <w:spacing w:val="-5"/>
          <w:sz w:val="22"/>
        </w:rPr>
        <w:t>22</w:t>
      </w:r>
      <w:r>
        <w:rPr>
          <w:sz w:val="22"/>
        </w:rPr>
        <w:tab/>
        <w:t>Added</w:t>
      </w:r>
      <w:r>
        <w:rPr>
          <w:spacing w:val="-9"/>
          <w:sz w:val="22"/>
        </w:rPr>
        <w:t> </w:t>
      </w:r>
      <w:r>
        <w:rPr>
          <w:sz w:val="22"/>
        </w:rPr>
        <w:t>procedures</w:t>
      </w:r>
      <w:r>
        <w:rPr>
          <w:spacing w:val="-8"/>
          <w:sz w:val="22"/>
        </w:rPr>
        <w:t> </w:t>
      </w:r>
      <w:r>
        <w:rPr>
          <w:sz w:val="22"/>
        </w:rPr>
        <w:t>for</w:t>
      </w:r>
      <w:r>
        <w:rPr>
          <w:spacing w:val="-8"/>
          <w:sz w:val="22"/>
        </w:rPr>
        <w:t> </w:t>
      </w:r>
      <w:r>
        <w:rPr>
          <w:sz w:val="22"/>
        </w:rPr>
        <w:t>outgoing</w:t>
      </w:r>
      <w:r>
        <w:rPr>
          <w:spacing w:val="-8"/>
          <w:sz w:val="22"/>
        </w:rPr>
        <w:t> </w:t>
      </w:r>
      <w:r>
        <w:rPr>
          <w:sz w:val="22"/>
        </w:rPr>
        <w:t>licensed</w:t>
      </w:r>
      <w:r>
        <w:rPr>
          <w:spacing w:val="-8"/>
          <w:sz w:val="22"/>
        </w:rPr>
        <w:t> </w:t>
      </w:r>
      <w:r>
        <w:rPr>
          <w:spacing w:val="-2"/>
          <w:sz w:val="22"/>
        </w:rPr>
        <w:t>managers.</w:t>
      </w:r>
    </w:p>
    <w:p>
      <w:pPr>
        <w:spacing w:after="0" w:line="252" w:lineRule="exact"/>
        <w:jc w:val="left"/>
        <w:rPr>
          <w:sz w:val="22"/>
        </w:rPr>
        <w:sectPr>
          <w:pgSz w:w="12240" w:h="15840"/>
          <w:pgMar w:top="1340" w:bottom="280" w:left="1080" w:right="720"/>
        </w:sectPr>
      </w:pPr>
    </w:p>
    <w:p>
      <w:pPr>
        <w:pStyle w:val="Heading2"/>
      </w:pPr>
      <w:bookmarkStart w:name="612:25-6-19.  Employees of the licensed " w:id="432"/>
      <w:bookmarkEnd w:id="432"/>
      <w:r>
        <w:rPr>
          <w:b w:val="0"/>
        </w:rPr>
      </w:r>
      <w:r>
        <w:rPr/>
        <w:t>612:25-6-19.</w:t>
      </w:r>
      <w:r>
        <w:rPr>
          <w:spacing w:val="59"/>
        </w:rPr>
        <w:t> </w:t>
      </w:r>
      <w:r>
        <w:rPr/>
        <w:t>Employees</w:t>
      </w:r>
      <w:r>
        <w:rPr>
          <w:spacing w:val="-4"/>
        </w:rPr>
        <w:t> </w:t>
      </w:r>
      <w:r>
        <w:rPr/>
        <w:t>of</w:t>
      </w:r>
      <w:r>
        <w:rPr>
          <w:spacing w:val="-3"/>
        </w:rPr>
        <w:t> </w:t>
      </w:r>
      <w:r>
        <w:rPr/>
        <w:t>the</w:t>
      </w:r>
      <w:r>
        <w:rPr>
          <w:spacing w:val="-4"/>
        </w:rPr>
        <w:t> </w:t>
      </w:r>
      <w:r>
        <w:rPr/>
        <w:t>licensed</w:t>
      </w:r>
      <w:r>
        <w:rPr>
          <w:spacing w:val="-4"/>
        </w:rPr>
        <w:t> </w:t>
      </w:r>
      <w:r>
        <w:rPr>
          <w:spacing w:val="-2"/>
        </w:rPr>
        <w:t>manager</w:t>
      </w:r>
    </w:p>
    <w:p>
      <w:pPr>
        <w:pStyle w:val="ListParagraph"/>
        <w:numPr>
          <w:ilvl w:val="0"/>
          <w:numId w:val="406"/>
        </w:numPr>
        <w:tabs>
          <w:tab w:pos="786" w:val="left" w:leader="none"/>
        </w:tabs>
        <w:spacing w:line="208" w:lineRule="auto" w:before="233" w:after="0"/>
        <w:ind w:left="360" w:right="817" w:firstLine="0"/>
        <w:jc w:val="left"/>
        <w:rPr>
          <w:sz w:val="24"/>
        </w:rPr>
      </w:pPr>
      <w:r>
        <w:rPr>
          <w:sz w:val="24"/>
        </w:rPr>
        <w:t>The</w:t>
      </w:r>
      <w:r>
        <w:rPr>
          <w:spacing w:val="-4"/>
          <w:sz w:val="24"/>
        </w:rPr>
        <w:t> </w:t>
      </w:r>
      <w:r>
        <w:rPr>
          <w:sz w:val="24"/>
        </w:rPr>
        <w:t>BEP</w:t>
      </w:r>
      <w:r>
        <w:rPr>
          <w:spacing w:val="-4"/>
          <w:sz w:val="24"/>
        </w:rPr>
        <w:t> </w:t>
      </w:r>
      <w:r>
        <w:rPr>
          <w:sz w:val="24"/>
        </w:rPr>
        <w:t>has</w:t>
      </w:r>
      <w:r>
        <w:rPr>
          <w:spacing w:val="-4"/>
          <w:sz w:val="24"/>
        </w:rPr>
        <w:t> </w:t>
      </w:r>
      <w:r>
        <w:rPr>
          <w:sz w:val="24"/>
        </w:rPr>
        <w:t>no</w:t>
      </w:r>
      <w:r>
        <w:rPr>
          <w:spacing w:val="-4"/>
          <w:sz w:val="24"/>
        </w:rPr>
        <w:t> </w:t>
      </w:r>
      <w:r>
        <w:rPr>
          <w:sz w:val="24"/>
        </w:rPr>
        <w:t>direct</w:t>
      </w:r>
      <w:r>
        <w:rPr>
          <w:spacing w:val="-3"/>
          <w:sz w:val="24"/>
        </w:rPr>
        <w:t> </w:t>
      </w:r>
      <w:r>
        <w:rPr>
          <w:sz w:val="24"/>
        </w:rPr>
        <w:t>responsibility</w:t>
      </w:r>
      <w:r>
        <w:rPr>
          <w:spacing w:val="-4"/>
          <w:sz w:val="24"/>
        </w:rPr>
        <w:t> </w:t>
      </w:r>
      <w:r>
        <w:rPr>
          <w:sz w:val="24"/>
        </w:rPr>
        <w:t>over</w:t>
      </w:r>
      <w:r>
        <w:rPr>
          <w:spacing w:val="-3"/>
          <w:sz w:val="24"/>
        </w:rPr>
        <w:t> </w:t>
      </w:r>
      <w:r>
        <w:rPr>
          <w:sz w:val="24"/>
        </w:rPr>
        <w:t>the</w:t>
      </w:r>
      <w:r>
        <w:rPr>
          <w:spacing w:val="-4"/>
          <w:sz w:val="24"/>
        </w:rPr>
        <w:t> </w:t>
      </w:r>
      <w:r>
        <w:rPr>
          <w:sz w:val="24"/>
        </w:rPr>
        <w:t>employees</w:t>
      </w:r>
      <w:r>
        <w:rPr>
          <w:spacing w:val="-4"/>
          <w:sz w:val="24"/>
        </w:rPr>
        <w:t> </w:t>
      </w:r>
      <w:r>
        <w:rPr>
          <w:sz w:val="24"/>
        </w:rPr>
        <w:t>of</w:t>
      </w:r>
      <w:r>
        <w:rPr>
          <w:spacing w:val="-3"/>
          <w:sz w:val="24"/>
        </w:rPr>
        <w:t> </w:t>
      </w:r>
      <w:r>
        <w:rPr>
          <w:sz w:val="24"/>
        </w:rPr>
        <w:t>licensed</w:t>
      </w:r>
      <w:r>
        <w:rPr>
          <w:spacing w:val="-4"/>
          <w:sz w:val="24"/>
        </w:rPr>
        <w:t> </w:t>
      </w:r>
      <w:r>
        <w:rPr>
          <w:sz w:val="24"/>
        </w:rPr>
        <w:t>managers.</w:t>
      </w:r>
      <w:r>
        <w:rPr>
          <w:spacing w:val="-3"/>
          <w:sz w:val="24"/>
        </w:rPr>
        <w:t> </w:t>
      </w:r>
      <w:r>
        <w:rPr>
          <w:sz w:val="24"/>
        </w:rPr>
        <w:t>If</w:t>
      </w:r>
      <w:r>
        <w:rPr>
          <w:spacing w:val="-3"/>
          <w:sz w:val="24"/>
        </w:rPr>
        <w:t> </w:t>
      </w:r>
      <w:r>
        <w:rPr>
          <w:sz w:val="24"/>
        </w:rPr>
        <w:t>a complaint is</w:t>
      </w:r>
      <w:r>
        <w:rPr>
          <w:spacing w:val="-1"/>
          <w:sz w:val="24"/>
        </w:rPr>
        <w:t> </w:t>
      </w:r>
      <w:r>
        <w:rPr>
          <w:sz w:val="24"/>
        </w:rPr>
        <w:t>filed</w:t>
      </w:r>
      <w:r>
        <w:rPr>
          <w:spacing w:val="-1"/>
          <w:sz w:val="24"/>
        </w:rPr>
        <w:t> </w:t>
      </w:r>
      <w:r>
        <w:rPr>
          <w:sz w:val="24"/>
        </w:rPr>
        <w:t>by</w:t>
      </w:r>
      <w:r>
        <w:rPr>
          <w:spacing w:val="-1"/>
          <w:sz w:val="24"/>
        </w:rPr>
        <w:t> </w:t>
      </w:r>
      <w:r>
        <w:rPr>
          <w:sz w:val="24"/>
        </w:rPr>
        <w:t>a</w:t>
      </w:r>
      <w:r>
        <w:rPr>
          <w:spacing w:val="-1"/>
          <w:sz w:val="24"/>
        </w:rPr>
        <w:t> </w:t>
      </w:r>
      <w:r>
        <w:rPr>
          <w:sz w:val="24"/>
        </w:rPr>
        <w:t>customer or grantor</w:t>
      </w:r>
      <w:r>
        <w:rPr>
          <w:spacing w:val="-2"/>
          <w:sz w:val="24"/>
        </w:rPr>
        <w:t> </w:t>
      </w:r>
      <w:r>
        <w:rPr>
          <w:sz w:val="24"/>
        </w:rPr>
        <w:t>against an</w:t>
      </w:r>
      <w:r>
        <w:rPr>
          <w:spacing w:val="-1"/>
          <w:sz w:val="24"/>
        </w:rPr>
        <w:t> </w:t>
      </w:r>
      <w:r>
        <w:rPr>
          <w:sz w:val="24"/>
        </w:rPr>
        <w:t>employee</w:t>
      </w:r>
      <w:r>
        <w:rPr>
          <w:spacing w:val="-1"/>
          <w:sz w:val="24"/>
        </w:rPr>
        <w:t> </w:t>
      </w:r>
      <w:r>
        <w:rPr>
          <w:sz w:val="24"/>
        </w:rPr>
        <w:t>of a</w:t>
      </w:r>
      <w:r>
        <w:rPr>
          <w:spacing w:val="-1"/>
          <w:sz w:val="24"/>
        </w:rPr>
        <w:t> </w:t>
      </w:r>
      <w:r>
        <w:rPr>
          <w:sz w:val="24"/>
        </w:rPr>
        <w:t>licensed manager, or an employee-related problem is brought to the attention of BEP staff, the business consultant will bring the complaint/problem to the attention of the licensed manager. A business consultant may make suggestions as to the action that needs to be taken, however the responsibility lies with the licensed manager as to disciplinary action toward the business enterprise employee.</w:t>
      </w:r>
    </w:p>
    <w:p>
      <w:pPr>
        <w:pStyle w:val="ListParagraph"/>
        <w:numPr>
          <w:ilvl w:val="0"/>
          <w:numId w:val="406"/>
        </w:numPr>
        <w:tabs>
          <w:tab w:pos="785" w:val="left" w:leader="none"/>
        </w:tabs>
        <w:spacing w:line="208" w:lineRule="auto" w:before="239" w:after="0"/>
        <w:ind w:left="360" w:right="1485" w:firstLine="0"/>
        <w:jc w:val="left"/>
        <w:rPr>
          <w:sz w:val="24"/>
        </w:rPr>
      </w:pPr>
      <w:r>
        <w:rPr>
          <w:sz w:val="24"/>
        </w:rPr>
        <w:t>In the event the grantor requests an employee of a licensed manager be terminated/suspended,</w:t>
      </w:r>
      <w:r>
        <w:rPr>
          <w:spacing w:val="-4"/>
          <w:sz w:val="24"/>
        </w:rPr>
        <w:t> </w:t>
      </w:r>
      <w:r>
        <w:rPr>
          <w:sz w:val="24"/>
        </w:rPr>
        <w:t>the</w:t>
      </w:r>
      <w:r>
        <w:rPr>
          <w:spacing w:val="-5"/>
          <w:sz w:val="24"/>
        </w:rPr>
        <w:t> </w:t>
      </w:r>
      <w:r>
        <w:rPr>
          <w:sz w:val="24"/>
        </w:rPr>
        <w:t>information</w:t>
      </w:r>
      <w:r>
        <w:rPr>
          <w:spacing w:val="-5"/>
          <w:sz w:val="24"/>
        </w:rPr>
        <w:t> </w:t>
      </w:r>
      <w:r>
        <w:rPr>
          <w:sz w:val="24"/>
        </w:rPr>
        <w:t>will</w:t>
      </w:r>
      <w:r>
        <w:rPr>
          <w:spacing w:val="-5"/>
          <w:sz w:val="24"/>
        </w:rPr>
        <w:t> </w:t>
      </w:r>
      <w:r>
        <w:rPr>
          <w:sz w:val="24"/>
        </w:rPr>
        <w:t>be</w:t>
      </w:r>
      <w:r>
        <w:rPr>
          <w:spacing w:val="-5"/>
          <w:sz w:val="24"/>
        </w:rPr>
        <w:t> </w:t>
      </w:r>
      <w:r>
        <w:rPr>
          <w:sz w:val="24"/>
        </w:rPr>
        <w:t>presented</w:t>
      </w:r>
      <w:r>
        <w:rPr>
          <w:spacing w:val="-5"/>
          <w:sz w:val="24"/>
        </w:rPr>
        <w:t> </w:t>
      </w:r>
      <w:r>
        <w:rPr>
          <w:sz w:val="24"/>
        </w:rPr>
        <w:t>to</w:t>
      </w:r>
      <w:r>
        <w:rPr>
          <w:spacing w:val="-5"/>
          <w:sz w:val="24"/>
        </w:rPr>
        <w:t> </w:t>
      </w:r>
      <w:r>
        <w:rPr>
          <w:sz w:val="24"/>
        </w:rPr>
        <w:t>the</w:t>
      </w:r>
      <w:r>
        <w:rPr>
          <w:spacing w:val="-5"/>
          <w:sz w:val="24"/>
        </w:rPr>
        <w:t> </w:t>
      </w:r>
      <w:r>
        <w:rPr>
          <w:sz w:val="24"/>
        </w:rPr>
        <w:t>licensed</w:t>
      </w:r>
      <w:r>
        <w:rPr>
          <w:spacing w:val="-5"/>
          <w:sz w:val="24"/>
        </w:rPr>
        <w:t> </w:t>
      </w:r>
      <w:r>
        <w:rPr>
          <w:sz w:val="24"/>
        </w:rPr>
        <w:t>manager immediately by personal contact or phone call followed by written memorandum indicating the reason for the requested suspension or termination.</w:t>
      </w:r>
    </w:p>
    <w:p>
      <w:pPr>
        <w:pStyle w:val="ListParagraph"/>
        <w:numPr>
          <w:ilvl w:val="0"/>
          <w:numId w:val="406"/>
        </w:numPr>
        <w:tabs>
          <w:tab w:pos="773" w:val="left" w:leader="none"/>
        </w:tabs>
        <w:spacing w:line="208" w:lineRule="auto" w:before="240" w:after="0"/>
        <w:ind w:left="360" w:right="846" w:firstLine="0"/>
        <w:jc w:val="left"/>
        <w:rPr>
          <w:sz w:val="24"/>
        </w:rPr>
      </w:pPr>
      <w:r>
        <w:rPr>
          <w:sz w:val="24"/>
        </w:rPr>
        <w:t>The business consultant will immediately notify the SLA state office by memorandum</w:t>
      </w:r>
      <w:r>
        <w:rPr>
          <w:spacing w:val="-3"/>
          <w:sz w:val="24"/>
        </w:rPr>
        <w:t> </w:t>
      </w:r>
      <w:r>
        <w:rPr>
          <w:sz w:val="24"/>
        </w:rPr>
        <w:t>for</w:t>
      </w:r>
      <w:r>
        <w:rPr>
          <w:spacing w:val="-4"/>
          <w:sz w:val="24"/>
        </w:rPr>
        <w:t> </w:t>
      </w:r>
      <w:r>
        <w:rPr>
          <w:sz w:val="24"/>
        </w:rPr>
        <w:t>insurance</w:t>
      </w:r>
      <w:r>
        <w:rPr>
          <w:spacing w:val="-4"/>
          <w:sz w:val="24"/>
        </w:rPr>
        <w:t> </w:t>
      </w:r>
      <w:r>
        <w:rPr>
          <w:sz w:val="24"/>
        </w:rPr>
        <w:t>and</w:t>
      </w:r>
      <w:r>
        <w:rPr>
          <w:spacing w:val="-4"/>
          <w:sz w:val="24"/>
        </w:rPr>
        <w:t> </w:t>
      </w:r>
      <w:r>
        <w:rPr>
          <w:sz w:val="24"/>
        </w:rPr>
        <w:t>retirement</w:t>
      </w:r>
      <w:r>
        <w:rPr>
          <w:spacing w:val="-3"/>
          <w:sz w:val="24"/>
        </w:rPr>
        <w:t> </w:t>
      </w:r>
      <w:r>
        <w:rPr>
          <w:sz w:val="24"/>
        </w:rPr>
        <w:t>purposes</w:t>
      </w:r>
      <w:r>
        <w:rPr>
          <w:spacing w:val="-4"/>
          <w:sz w:val="24"/>
        </w:rPr>
        <w:t> </w:t>
      </w:r>
      <w:r>
        <w:rPr>
          <w:sz w:val="24"/>
        </w:rPr>
        <w:t>when</w:t>
      </w:r>
      <w:r>
        <w:rPr>
          <w:spacing w:val="-4"/>
          <w:sz w:val="24"/>
        </w:rPr>
        <w:t> </w:t>
      </w:r>
      <w:r>
        <w:rPr>
          <w:sz w:val="24"/>
        </w:rPr>
        <w:t>a</w:t>
      </w:r>
      <w:r>
        <w:rPr>
          <w:spacing w:val="-4"/>
          <w:sz w:val="24"/>
        </w:rPr>
        <w:t> </w:t>
      </w:r>
      <w:r>
        <w:rPr>
          <w:sz w:val="24"/>
        </w:rPr>
        <w:t>licensee</w:t>
      </w:r>
      <w:r>
        <w:rPr>
          <w:spacing w:val="-4"/>
          <w:sz w:val="24"/>
        </w:rPr>
        <w:t> </w:t>
      </w:r>
      <w:r>
        <w:rPr>
          <w:sz w:val="24"/>
        </w:rPr>
        <w:t>starts</w:t>
      </w:r>
      <w:r>
        <w:rPr>
          <w:spacing w:val="-4"/>
          <w:sz w:val="24"/>
        </w:rPr>
        <w:t> </w:t>
      </w:r>
      <w:r>
        <w:rPr>
          <w:sz w:val="24"/>
        </w:rPr>
        <w:t>to</w:t>
      </w:r>
      <w:r>
        <w:rPr>
          <w:spacing w:val="-4"/>
          <w:sz w:val="24"/>
        </w:rPr>
        <w:t> </w:t>
      </w:r>
      <w:r>
        <w:rPr>
          <w:sz w:val="24"/>
        </w:rPr>
        <w:t>work</w:t>
      </w:r>
      <w:r>
        <w:rPr>
          <w:spacing w:val="-4"/>
          <w:sz w:val="24"/>
        </w:rPr>
        <w:t> </w:t>
      </w:r>
      <w:r>
        <w:rPr>
          <w:sz w:val="24"/>
        </w:rPr>
        <w:t>for another licensed manager or quits.</w:t>
      </w:r>
    </w:p>
    <w:p>
      <w:pPr>
        <w:pStyle w:val="ListParagraph"/>
        <w:numPr>
          <w:ilvl w:val="0"/>
          <w:numId w:val="406"/>
        </w:numPr>
        <w:tabs>
          <w:tab w:pos="786" w:val="left" w:leader="none"/>
        </w:tabs>
        <w:spacing w:line="208" w:lineRule="auto" w:before="239" w:after="0"/>
        <w:ind w:left="360" w:right="967" w:firstLine="0"/>
        <w:jc w:val="left"/>
        <w:rPr>
          <w:b/>
          <w:sz w:val="24"/>
        </w:rPr>
      </w:pPr>
      <w:r>
        <w:rPr>
          <w:sz w:val="24"/>
        </w:rPr>
        <w:t>Licensed</w:t>
      </w:r>
      <w:r>
        <w:rPr>
          <w:spacing w:val="-4"/>
          <w:sz w:val="24"/>
        </w:rPr>
        <w:t> </w:t>
      </w:r>
      <w:r>
        <w:rPr>
          <w:sz w:val="24"/>
        </w:rPr>
        <w:t>managers</w:t>
      </w:r>
      <w:r>
        <w:rPr>
          <w:spacing w:val="-4"/>
          <w:sz w:val="24"/>
        </w:rPr>
        <w:t> </w:t>
      </w:r>
      <w:r>
        <w:rPr>
          <w:sz w:val="24"/>
        </w:rPr>
        <w:t>are</w:t>
      </w:r>
      <w:r>
        <w:rPr>
          <w:spacing w:val="-5"/>
          <w:sz w:val="24"/>
        </w:rPr>
        <w:t> </w:t>
      </w:r>
      <w:r>
        <w:rPr>
          <w:sz w:val="24"/>
        </w:rPr>
        <w:t>to</w:t>
      </w:r>
      <w:r>
        <w:rPr>
          <w:spacing w:val="-4"/>
          <w:sz w:val="24"/>
        </w:rPr>
        <w:t> </w:t>
      </w:r>
      <w:r>
        <w:rPr>
          <w:sz w:val="24"/>
        </w:rPr>
        <w:t>take</w:t>
      </w:r>
      <w:r>
        <w:rPr>
          <w:spacing w:val="-4"/>
          <w:sz w:val="24"/>
        </w:rPr>
        <w:t> </w:t>
      </w:r>
      <w:r>
        <w:rPr>
          <w:sz w:val="24"/>
        </w:rPr>
        <w:t>affirmative</w:t>
      </w:r>
      <w:r>
        <w:rPr>
          <w:spacing w:val="-4"/>
          <w:sz w:val="24"/>
        </w:rPr>
        <w:t> </w:t>
      </w:r>
      <w:r>
        <w:rPr>
          <w:sz w:val="24"/>
        </w:rPr>
        <w:t>action</w:t>
      </w:r>
      <w:r>
        <w:rPr>
          <w:spacing w:val="-4"/>
          <w:sz w:val="24"/>
        </w:rPr>
        <w:t> </w:t>
      </w:r>
      <w:r>
        <w:rPr>
          <w:sz w:val="24"/>
        </w:rPr>
        <w:t>to</w:t>
      </w:r>
      <w:r>
        <w:rPr>
          <w:spacing w:val="-4"/>
          <w:sz w:val="24"/>
        </w:rPr>
        <w:t> </w:t>
      </w:r>
      <w:r>
        <w:rPr>
          <w:sz w:val="24"/>
        </w:rPr>
        <w:t>employ</w:t>
      </w:r>
      <w:r>
        <w:rPr>
          <w:spacing w:val="-4"/>
          <w:sz w:val="24"/>
        </w:rPr>
        <w:t> </w:t>
      </w:r>
      <w:r>
        <w:rPr>
          <w:sz w:val="24"/>
        </w:rPr>
        <w:t>and</w:t>
      </w:r>
      <w:r>
        <w:rPr>
          <w:spacing w:val="-4"/>
          <w:sz w:val="24"/>
        </w:rPr>
        <w:t> </w:t>
      </w:r>
      <w:r>
        <w:rPr>
          <w:sz w:val="24"/>
        </w:rPr>
        <w:t>advance</w:t>
      </w:r>
      <w:r>
        <w:rPr>
          <w:spacing w:val="-4"/>
          <w:sz w:val="24"/>
        </w:rPr>
        <w:t> </w:t>
      </w:r>
      <w:r>
        <w:rPr>
          <w:sz w:val="24"/>
        </w:rPr>
        <w:t>qualified individuals with disabilities in accordance with applicable federal and state laws.</w:t>
      </w:r>
      <w:r>
        <w:rPr>
          <w:spacing w:val="40"/>
          <w:sz w:val="24"/>
        </w:rPr>
        <w:t> </w:t>
      </w:r>
      <w:r>
        <w:rPr>
          <w:b/>
          <w:sz w:val="24"/>
        </w:rPr>
        <w:t>1</w:t>
      </w:r>
    </w:p>
    <w:p>
      <w:pPr>
        <w:pStyle w:val="ListParagraph"/>
        <w:numPr>
          <w:ilvl w:val="0"/>
          <w:numId w:val="406"/>
        </w:numPr>
        <w:tabs>
          <w:tab w:pos="786" w:val="left" w:leader="none"/>
        </w:tabs>
        <w:spacing w:line="208" w:lineRule="auto" w:before="240" w:after="0"/>
        <w:ind w:left="360" w:right="1031" w:firstLine="0"/>
        <w:jc w:val="left"/>
        <w:rPr>
          <w:sz w:val="24"/>
        </w:rPr>
      </w:pPr>
      <w:r>
        <w:rPr>
          <w:sz w:val="24"/>
        </w:rPr>
        <w:t>Volunteer</w:t>
      </w:r>
      <w:r>
        <w:rPr>
          <w:spacing w:val="-3"/>
          <w:sz w:val="24"/>
        </w:rPr>
        <w:t> </w:t>
      </w:r>
      <w:r>
        <w:rPr>
          <w:sz w:val="24"/>
        </w:rPr>
        <w:t>labor</w:t>
      </w:r>
      <w:r>
        <w:rPr>
          <w:spacing w:val="-3"/>
          <w:sz w:val="24"/>
        </w:rPr>
        <w:t> </w:t>
      </w:r>
      <w:r>
        <w:rPr>
          <w:sz w:val="24"/>
        </w:rPr>
        <w:t>is</w:t>
      </w:r>
      <w:r>
        <w:rPr>
          <w:spacing w:val="-4"/>
          <w:sz w:val="24"/>
        </w:rPr>
        <w:t> </w:t>
      </w:r>
      <w:r>
        <w:rPr>
          <w:sz w:val="24"/>
        </w:rPr>
        <w:t>permitted</w:t>
      </w:r>
      <w:r>
        <w:rPr>
          <w:spacing w:val="-4"/>
          <w:sz w:val="24"/>
        </w:rPr>
        <w:t> </w:t>
      </w:r>
      <w:r>
        <w:rPr>
          <w:sz w:val="24"/>
        </w:rPr>
        <w:t>in</w:t>
      </w:r>
      <w:r>
        <w:rPr>
          <w:spacing w:val="-4"/>
          <w:sz w:val="24"/>
        </w:rPr>
        <w:t> </w:t>
      </w:r>
      <w:r>
        <w:rPr>
          <w:sz w:val="24"/>
        </w:rPr>
        <w:t>a</w:t>
      </w:r>
      <w:r>
        <w:rPr>
          <w:spacing w:val="-4"/>
          <w:sz w:val="24"/>
        </w:rPr>
        <w:t> </w:t>
      </w:r>
      <w:r>
        <w:rPr>
          <w:sz w:val="24"/>
        </w:rPr>
        <w:t>business</w:t>
      </w:r>
      <w:r>
        <w:rPr>
          <w:spacing w:val="-4"/>
          <w:sz w:val="24"/>
        </w:rPr>
        <w:t> </w:t>
      </w:r>
      <w:r>
        <w:rPr>
          <w:sz w:val="24"/>
        </w:rPr>
        <w:t>enterprise;</w:t>
      </w:r>
      <w:r>
        <w:rPr>
          <w:spacing w:val="-3"/>
          <w:sz w:val="24"/>
        </w:rPr>
        <w:t> </w:t>
      </w:r>
      <w:r>
        <w:rPr>
          <w:sz w:val="24"/>
        </w:rPr>
        <w:t>however</w:t>
      </w:r>
      <w:r>
        <w:rPr>
          <w:spacing w:val="-3"/>
          <w:sz w:val="24"/>
        </w:rPr>
        <w:t> </w:t>
      </w:r>
      <w:r>
        <w:rPr>
          <w:sz w:val="24"/>
        </w:rPr>
        <w:t>the</w:t>
      </w:r>
      <w:r>
        <w:rPr>
          <w:spacing w:val="-4"/>
          <w:sz w:val="24"/>
        </w:rPr>
        <w:t> </w:t>
      </w:r>
      <w:r>
        <w:rPr>
          <w:sz w:val="24"/>
        </w:rPr>
        <w:t>volunteer</w:t>
      </w:r>
      <w:r>
        <w:rPr>
          <w:spacing w:val="-3"/>
          <w:sz w:val="24"/>
        </w:rPr>
        <w:t> </w:t>
      </w:r>
      <w:r>
        <w:rPr>
          <w:sz w:val="24"/>
        </w:rPr>
        <w:t>must be covered by insurance in the event of injury. This insurance coverage will be documented in the SLA state office prior to the individual's actual work in a business </w:t>
      </w:r>
      <w:r>
        <w:rPr>
          <w:spacing w:val="-2"/>
          <w:sz w:val="24"/>
        </w:rPr>
        <w:t>enterprise.</w:t>
      </w:r>
    </w:p>
    <w:p>
      <w:pPr>
        <w:pStyle w:val="BodyText"/>
        <w:spacing w:before="211"/>
      </w:pPr>
      <w:r>
        <w:rPr/>
        <w:t>Instructions</w:t>
      </w:r>
      <w:r>
        <w:rPr>
          <w:spacing w:val="-5"/>
        </w:rPr>
        <w:t> </w:t>
      </w:r>
      <w:r>
        <w:rPr/>
        <w:t>to</w:t>
      </w:r>
      <w:r>
        <w:rPr>
          <w:spacing w:val="-2"/>
        </w:rPr>
        <w:t> </w:t>
      </w:r>
      <w:r>
        <w:rPr>
          <w:spacing w:val="-4"/>
        </w:rPr>
        <w:t>Staff</w:t>
      </w:r>
    </w:p>
    <w:p>
      <w:pPr>
        <w:pStyle w:val="BodyText"/>
        <w:spacing w:line="208" w:lineRule="auto" w:before="233"/>
        <w:ind w:left="791" w:right="775"/>
      </w:pPr>
      <w:r>
        <w:rPr/>
        <w:t>1. See</w:t>
      </w:r>
      <w:r>
        <w:rPr>
          <w:spacing w:val="-3"/>
        </w:rPr>
        <w:t> </w:t>
      </w:r>
      <w:r>
        <w:rPr/>
        <w:t>Sections</w:t>
      </w:r>
      <w:r>
        <w:rPr>
          <w:spacing w:val="-3"/>
        </w:rPr>
        <w:t> </w:t>
      </w:r>
      <w:r>
        <w:rPr/>
        <w:t>503</w:t>
      </w:r>
      <w:r>
        <w:rPr>
          <w:spacing w:val="-3"/>
        </w:rPr>
        <w:t> </w:t>
      </w:r>
      <w:r>
        <w:rPr/>
        <w:t>and</w:t>
      </w:r>
      <w:r>
        <w:rPr>
          <w:spacing w:val="-2"/>
        </w:rPr>
        <w:t> </w:t>
      </w:r>
      <w:r>
        <w:rPr/>
        <w:t>504</w:t>
      </w:r>
      <w:r>
        <w:rPr>
          <w:spacing w:val="-3"/>
        </w:rPr>
        <w:t> </w:t>
      </w:r>
      <w:r>
        <w:rPr/>
        <w:t>of</w:t>
      </w:r>
      <w:r>
        <w:rPr>
          <w:spacing w:val="-2"/>
        </w:rPr>
        <w:t> </w:t>
      </w:r>
      <w:r>
        <w:rPr/>
        <w:t>the</w:t>
      </w:r>
      <w:r>
        <w:rPr>
          <w:spacing w:val="-4"/>
        </w:rPr>
        <w:t> </w:t>
      </w:r>
      <w:r>
        <w:rPr/>
        <w:t>Rehabilitation</w:t>
      </w:r>
      <w:r>
        <w:rPr>
          <w:spacing w:val="-3"/>
        </w:rPr>
        <w:t> </w:t>
      </w:r>
      <w:r>
        <w:rPr/>
        <w:t>Act</w:t>
      </w:r>
      <w:r>
        <w:rPr>
          <w:spacing w:val="-2"/>
        </w:rPr>
        <w:t> </w:t>
      </w:r>
      <w:r>
        <w:rPr/>
        <w:t>of</w:t>
      </w:r>
      <w:r>
        <w:rPr>
          <w:spacing w:val="-2"/>
        </w:rPr>
        <w:t> </w:t>
      </w:r>
      <w:r>
        <w:rPr/>
        <w:t>1973</w:t>
      </w:r>
      <w:r>
        <w:rPr>
          <w:spacing w:val="-3"/>
        </w:rPr>
        <w:t> </w:t>
      </w:r>
      <w:r>
        <w:rPr/>
        <w:t>(as</w:t>
      </w:r>
      <w:r>
        <w:rPr>
          <w:spacing w:val="-3"/>
        </w:rPr>
        <w:t> </w:t>
      </w:r>
      <w:r>
        <w:rPr/>
        <w:t>amended),</w:t>
      </w:r>
      <w:r>
        <w:rPr>
          <w:spacing w:val="-2"/>
        </w:rPr>
        <w:t> </w:t>
      </w:r>
      <w:r>
        <w:rPr/>
        <w:t>the Americans with Disabilities Act and Civil Rights Act of 1964 (as amended).</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pStyle w:val="ListParagraph"/>
        <w:numPr>
          <w:ilvl w:val="2"/>
          <w:numId w:val="201"/>
        </w:numPr>
        <w:tabs>
          <w:tab w:pos="1439" w:val="left" w:leader="none"/>
        </w:tabs>
        <w:spacing w:line="240" w:lineRule="auto" w:before="0" w:after="0"/>
        <w:ind w:left="359" w:right="4632" w:firstLine="0"/>
        <w:jc w:val="left"/>
        <w:rPr>
          <w:sz w:val="22"/>
        </w:rPr>
      </w:pPr>
      <w:r>
        <w:rPr>
          <w:sz w:val="22"/>
        </w:rPr>
        <w:t>Permanent,</w:t>
      </w:r>
      <w:r>
        <w:rPr>
          <w:spacing w:val="-9"/>
          <w:sz w:val="22"/>
        </w:rPr>
        <w:t> </w:t>
      </w:r>
      <w:r>
        <w:rPr>
          <w:sz w:val="22"/>
        </w:rPr>
        <w:t>updating</w:t>
      </w:r>
      <w:r>
        <w:rPr>
          <w:spacing w:val="-10"/>
          <w:sz w:val="22"/>
        </w:rPr>
        <w:t> </w:t>
      </w:r>
      <w:r>
        <w:rPr>
          <w:sz w:val="22"/>
        </w:rPr>
        <w:t>and</w:t>
      </w:r>
      <w:r>
        <w:rPr>
          <w:spacing w:val="-10"/>
          <w:sz w:val="22"/>
        </w:rPr>
        <w:t> </w:t>
      </w:r>
      <w:r>
        <w:rPr>
          <w:sz w:val="22"/>
        </w:rPr>
        <w:t>clarifying</w:t>
      </w:r>
      <w:r>
        <w:rPr>
          <w:spacing w:val="-10"/>
          <w:sz w:val="22"/>
        </w:rPr>
        <w:t> </w:t>
      </w:r>
      <w:r>
        <w:rPr>
          <w:sz w:val="22"/>
        </w:rPr>
        <w:t>language </w:t>
      </w:r>
      <w:r>
        <w:rPr>
          <w:spacing w:val="-2"/>
          <w:sz w:val="22"/>
        </w:rPr>
        <w:t>9-11-22</w:t>
      </w:r>
      <w:r>
        <w:rPr>
          <w:sz w:val="22"/>
        </w:rPr>
        <w:tab/>
        <w:t>Removed “licensed employee” language.</w:t>
      </w:r>
    </w:p>
    <w:p>
      <w:pPr>
        <w:pStyle w:val="ListParagraph"/>
        <w:spacing w:after="0" w:line="240" w:lineRule="auto"/>
        <w:jc w:val="left"/>
        <w:rPr>
          <w:sz w:val="22"/>
        </w:rPr>
        <w:sectPr>
          <w:pgSz w:w="12240" w:h="15840"/>
          <w:pgMar w:top="1340" w:bottom="280" w:left="1080" w:right="720"/>
        </w:sectPr>
      </w:pPr>
    </w:p>
    <w:p>
      <w:pPr>
        <w:pStyle w:val="Heading2"/>
      </w:pPr>
      <w:bookmarkStart w:name="612:25-6-20.  Closing a business enterpr" w:id="433"/>
      <w:bookmarkEnd w:id="433"/>
      <w:r>
        <w:rPr>
          <w:b w:val="0"/>
        </w:rPr>
      </w:r>
      <w:r>
        <w:rPr/>
        <w:t>612:25-6-20.</w:t>
      </w:r>
      <w:r>
        <w:rPr>
          <w:spacing w:val="59"/>
        </w:rPr>
        <w:t> </w:t>
      </w:r>
      <w:r>
        <w:rPr/>
        <w:t>Closing</w:t>
      </w:r>
      <w:r>
        <w:rPr>
          <w:spacing w:val="-4"/>
        </w:rPr>
        <w:t> </w:t>
      </w:r>
      <w:r>
        <w:rPr/>
        <w:t>a</w:t>
      </w:r>
      <w:r>
        <w:rPr>
          <w:spacing w:val="-4"/>
        </w:rPr>
        <w:t> </w:t>
      </w:r>
      <w:r>
        <w:rPr/>
        <w:t>business</w:t>
      </w:r>
      <w:r>
        <w:rPr>
          <w:spacing w:val="-3"/>
        </w:rPr>
        <w:t> </w:t>
      </w:r>
      <w:r>
        <w:rPr>
          <w:spacing w:val="-2"/>
        </w:rPr>
        <w:t>enterprise</w:t>
      </w:r>
    </w:p>
    <w:p>
      <w:pPr>
        <w:pStyle w:val="ListParagraph"/>
        <w:numPr>
          <w:ilvl w:val="0"/>
          <w:numId w:val="407"/>
        </w:numPr>
        <w:tabs>
          <w:tab w:pos="786" w:val="left" w:leader="none"/>
        </w:tabs>
        <w:spacing w:line="208" w:lineRule="auto" w:before="233" w:after="0"/>
        <w:ind w:left="360" w:right="789" w:firstLine="0"/>
        <w:jc w:val="left"/>
        <w:rPr>
          <w:sz w:val="24"/>
        </w:rPr>
      </w:pPr>
      <w:r>
        <w:rPr>
          <w:sz w:val="24"/>
        </w:rPr>
        <w:t>A business enterprise may be closed immediately by the SLA, the grantor, any government</w:t>
      </w:r>
      <w:r>
        <w:rPr>
          <w:spacing w:val="-3"/>
          <w:sz w:val="24"/>
        </w:rPr>
        <w:t> </w:t>
      </w:r>
      <w:r>
        <w:rPr>
          <w:sz w:val="24"/>
        </w:rPr>
        <w:t>agency</w:t>
      </w:r>
      <w:r>
        <w:rPr>
          <w:spacing w:val="-4"/>
          <w:sz w:val="24"/>
        </w:rPr>
        <w:t> </w:t>
      </w:r>
      <w:r>
        <w:rPr>
          <w:sz w:val="24"/>
        </w:rPr>
        <w:t>or</w:t>
      </w:r>
      <w:r>
        <w:rPr>
          <w:spacing w:val="-5"/>
          <w:sz w:val="24"/>
        </w:rPr>
        <w:t> </w:t>
      </w:r>
      <w:r>
        <w:rPr>
          <w:sz w:val="24"/>
        </w:rPr>
        <w:t>the</w:t>
      </w:r>
      <w:r>
        <w:rPr>
          <w:spacing w:val="-4"/>
          <w:sz w:val="24"/>
        </w:rPr>
        <w:t> </w:t>
      </w:r>
      <w:r>
        <w:rPr>
          <w:sz w:val="24"/>
        </w:rPr>
        <w:t>licensed</w:t>
      </w:r>
      <w:r>
        <w:rPr>
          <w:spacing w:val="-4"/>
          <w:sz w:val="24"/>
        </w:rPr>
        <w:t> </w:t>
      </w:r>
      <w:r>
        <w:rPr>
          <w:sz w:val="24"/>
        </w:rPr>
        <w:t>manager</w:t>
      </w:r>
      <w:r>
        <w:rPr>
          <w:spacing w:val="-3"/>
          <w:sz w:val="24"/>
        </w:rPr>
        <w:t> </w:t>
      </w:r>
      <w:r>
        <w:rPr>
          <w:sz w:val="24"/>
        </w:rPr>
        <w:t>when</w:t>
      </w:r>
      <w:r>
        <w:rPr>
          <w:spacing w:val="-4"/>
          <w:sz w:val="24"/>
        </w:rPr>
        <w:t> </w:t>
      </w:r>
      <w:r>
        <w:rPr>
          <w:sz w:val="24"/>
        </w:rPr>
        <w:t>an</w:t>
      </w:r>
      <w:r>
        <w:rPr>
          <w:spacing w:val="-4"/>
          <w:sz w:val="24"/>
        </w:rPr>
        <w:t> </w:t>
      </w:r>
      <w:r>
        <w:rPr>
          <w:sz w:val="24"/>
        </w:rPr>
        <w:t>emergency</w:t>
      </w:r>
      <w:r>
        <w:rPr>
          <w:spacing w:val="-4"/>
          <w:sz w:val="24"/>
        </w:rPr>
        <w:t> </w:t>
      </w:r>
      <w:r>
        <w:rPr>
          <w:sz w:val="24"/>
        </w:rPr>
        <w:t>situation</w:t>
      </w:r>
      <w:r>
        <w:rPr>
          <w:spacing w:val="-4"/>
          <w:sz w:val="24"/>
        </w:rPr>
        <w:t> </w:t>
      </w:r>
      <w:r>
        <w:rPr>
          <w:sz w:val="24"/>
        </w:rPr>
        <w:t>occurs</w:t>
      </w:r>
      <w:r>
        <w:rPr>
          <w:spacing w:val="-4"/>
          <w:sz w:val="24"/>
        </w:rPr>
        <w:t> </w:t>
      </w:r>
      <w:r>
        <w:rPr>
          <w:sz w:val="24"/>
        </w:rPr>
        <w:t>such as: life threatening situation, health or safety</w:t>
      </w:r>
      <w:r>
        <w:rPr>
          <w:spacing w:val="-2"/>
          <w:sz w:val="24"/>
        </w:rPr>
        <w:t> </w:t>
      </w:r>
      <w:r>
        <w:rPr>
          <w:sz w:val="24"/>
        </w:rPr>
        <w:t>hazard exists. Notice of the closing should be made as soon as possible to the SLA and the grantor.</w:t>
      </w:r>
    </w:p>
    <w:p>
      <w:pPr>
        <w:pStyle w:val="ListParagraph"/>
        <w:numPr>
          <w:ilvl w:val="0"/>
          <w:numId w:val="407"/>
        </w:numPr>
        <w:tabs>
          <w:tab w:pos="786" w:val="left" w:leader="none"/>
        </w:tabs>
        <w:spacing w:line="208" w:lineRule="auto" w:before="239" w:after="0"/>
        <w:ind w:left="360" w:right="1058" w:firstLine="0"/>
        <w:jc w:val="left"/>
        <w:rPr>
          <w:sz w:val="24"/>
        </w:rPr>
      </w:pPr>
      <w:r>
        <w:rPr>
          <w:sz w:val="24"/>
        </w:rPr>
        <w:t>The</w:t>
      </w:r>
      <w:r>
        <w:rPr>
          <w:spacing w:val="-3"/>
          <w:sz w:val="24"/>
        </w:rPr>
        <w:t> </w:t>
      </w:r>
      <w:r>
        <w:rPr>
          <w:sz w:val="24"/>
        </w:rPr>
        <w:t>business</w:t>
      </w:r>
      <w:r>
        <w:rPr>
          <w:spacing w:val="-3"/>
          <w:sz w:val="24"/>
        </w:rPr>
        <w:t> </w:t>
      </w:r>
      <w:r>
        <w:rPr>
          <w:sz w:val="24"/>
        </w:rPr>
        <w:t>enterprise</w:t>
      </w:r>
      <w:r>
        <w:rPr>
          <w:spacing w:val="-4"/>
          <w:sz w:val="24"/>
        </w:rPr>
        <w:t> </w:t>
      </w:r>
      <w:r>
        <w:rPr>
          <w:sz w:val="24"/>
        </w:rPr>
        <w:t>will</w:t>
      </w:r>
      <w:r>
        <w:rPr>
          <w:spacing w:val="-3"/>
          <w:sz w:val="24"/>
        </w:rPr>
        <w:t> </w:t>
      </w:r>
      <w:r>
        <w:rPr>
          <w:sz w:val="24"/>
        </w:rPr>
        <w:t>also</w:t>
      </w:r>
      <w:r>
        <w:rPr>
          <w:spacing w:val="-3"/>
          <w:sz w:val="24"/>
        </w:rPr>
        <w:t> </w:t>
      </w:r>
      <w:r>
        <w:rPr>
          <w:sz w:val="24"/>
        </w:rPr>
        <w:t>be</w:t>
      </w:r>
      <w:r>
        <w:rPr>
          <w:spacing w:val="-4"/>
          <w:sz w:val="24"/>
        </w:rPr>
        <w:t> </w:t>
      </w:r>
      <w:r>
        <w:rPr>
          <w:sz w:val="24"/>
        </w:rPr>
        <w:t>closed</w:t>
      </w:r>
      <w:r>
        <w:rPr>
          <w:spacing w:val="-3"/>
          <w:sz w:val="24"/>
        </w:rPr>
        <w:t> </w:t>
      </w:r>
      <w:r>
        <w:rPr>
          <w:sz w:val="24"/>
        </w:rPr>
        <w:t>immediately</w:t>
      </w:r>
      <w:r>
        <w:rPr>
          <w:spacing w:val="-3"/>
          <w:sz w:val="24"/>
        </w:rPr>
        <w:t> </w:t>
      </w:r>
      <w:r>
        <w:rPr>
          <w:sz w:val="24"/>
        </w:rPr>
        <w:t>for</w:t>
      </w:r>
      <w:r>
        <w:rPr>
          <w:spacing w:val="-3"/>
          <w:sz w:val="24"/>
        </w:rPr>
        <w:t> </w:t>
      </w:r>
      <w:r>
        <w:rPr>
          <w:sz w:val="24"/>
        </w:rPr>
        <w:t>failure</w:t>
      </w:r>
      <w:r>
        <w:rPr>
          <w:spacing w:val="-3"/>
          <w:sz w:val="24"/>
        </w:rPr>
        <w:t> </w:t>
      </w:r>
      <w:r>
        <w:rPr>
          <w:sz w:val="24"/>
        </w:rPr>
        <w:t>to</w:t>
      </w:r>
      <w:r>
        <w:rPr>
          <w:spacing w:val="-3"/>
          <w:sz w:val="24"/>
        </w:rPr>
        <w:t> </w:t>
      </w:r>
      <w:r>
        <w:rPr>
          <w:sz w:val="24"/>
        </w:rPr>
        <w:t>have</w:t>
      </w:r>
      <w:r>
        <w:rPr>
          <w:spacing w:val="-4"/>
          <w:sz w:val="24"/>
        </w:rPr>
        <w:t> </w:t>
      </w:r>
      <w:r>
        <w:rPr>
          <w:sz w:val="24"/>
        </w:rPr>
        <w:t>proper insurance verification for liability and workers' compensation insurance.</w:t>
      </w:r>
    </w:p>
    <w:p>
      <w:pPr>
        <w:pStyle w:val="ListParagraph"/>
        <w:numPr>
          <w:ilvl w:val="0"/>
          <w:numId w:val="407"/>
        </w:numPr>
        <w:tabs>
          <w:tab w:pos="773" w:val="left" w:leader="none"/>
        </w:tabs>
        <w:spacing w:line="208" w:lineRule="auto" w:before="240" w:after="0"/>
        <w:ind w:left="360" w:right="1086" w:firstLine="0"/>
        <w:jc w:val="left"/>
        <w:rPr>
          <w:sz w:val="24"/>
        </w:rPr>
      </w:pPr>
      <w:r>
        <w:rPr>
          <w:sz w:val="24"/>
        </w:rPr>
        <w:t>The</w:t>
      </w:r>
      <w:r>
        <w:rPr>
          <w:spacing w:val="-3"/>
          <w:sz w:val="24"/>
        </w:rPr>
        <w:t> </w:t>
      </w:r>
      <w:r>
        <w:rPr>
          <w:sz w:val="24"/>
        </w:rPr>
        <w:t>business</w:t>
      </w:r>
      <w:r>
        <w:rPr>
          <w:spacing w:val="-3"/>
          <w:sz w:val="24"/>
        </w:rPr>
        <w:t> </w:t>
      </w:r>
      <w:r>
        <w:rPr>
          <w:sz w:val="24"/>
        </w:rPr>
        <w:t>enterprise</w:t>
      </w:r>
      <w:r>
        <w:rPr>
          <w:spacing w:val="-3"/>
          <w:sz w:val="24"/>
        </w:rPr>
        <w:t> </w:t>
      </w:r>
      <w:r>
        <w:rPr>
          <w:sz w:val="24"/>
        </w:rPr>
        <w:t>may</w:t>
      </w:r>
      <w:r>
        <w:rPr>
          <w:spacing w:val="-4"/>
          <w:sz w:val="24"/>
        </w:rPr>
        <w:t> </w:t>
      </w:r>
      <w:r>
        <w:rPr>
          <w:sz w:val="24"/>
        </w:rPr>
        <w:t>be</w:t>
      </w:r>
      <w:r>
        <w:rPr>
          <w:spacing w:val="-3"/>
          <w:sz w:val="24"/>
        </w:rPr>
        <w:t> </w:t>
      </w:r>
      <w:r>
        <w:rPr>
          <w:sz w:val="24"/>
        </w:rPr>
        <w:t>closed</w:t>
      </w:r>
      <w:r>
        <w:rPr>
          <w:spacing w:val="-3"/>
          <w:sz w:val="24"/>
        </w:rPr>
        <w:t> </w:t>
      </w:r>
      <w:r>
        <w:rPr>
          <w:sz w:val="24"/>
        </w:rPr>
        <w:t>for</w:t>
      </w:r>
      <w:r>
        <w:rPr>
          <w:spacing w:val="-2"/>
          <w:sz w:val="24"/>
        </w:rPr>
        <w:t> </w:t>
      </w:r>
      <w:r>
        <w:rPr>
          <w:sz w:val="24"/>
        </w:rPr>
        <w:t>short</w:t>
      </w:r>
      <w:r>
        <w:rPr>
          <w:spacing w:val="-2"/>
          <w:sz w:val="24"/>
        </w:rPr>
        <w:t> </w:t>
      </w:r>
      <w:r>
        <w:rPr>
          <w:sz w:val="24"/>
        </w:rPr>
        <w:t>periods</w:t>
      </w:r>
      <w:r>
        <w:rPr>
          <w:spacing w:val="-3"/>
          <w:sz w:val="24"/>
        </w:rPr>
        <w:t> </w:t>
      </w:r>
      <w:r>
        <w:rPr>
          <w:sz w:val="24"/>
        </w:rPr>
        <w:t>of</w:t>
      </w:r>
      <w:r>
        <w:rPr>
          <w:spacing w:val="-2"/>
          <w:sz w:val="24"/>
        </w:rPr>
        <w:t> </w:t>
      </w:r>
      <w:r>
        <w:rPr>
          <w:sz w:val="24"/>
        </w:rPr>
        <w:t>time</w:t>
      </w:r>
      <w:r>
        <w:rPr>
          <w:spacing w:val="-3"/>
          <w:sz w:val="24"/>
        </w:rPr>
        <w:t> </w:t>
      </w:r>
      <w:r>
        <w:rPr>
          <w:sz w:val="24"/>
        </w:rPr>
        <w:t>with</w:t>
      </w:r>
      <w:r>
        <w:rPr>
          <w:spacing w:val="-3"/>
          <w:sz w:val="24"/>
        </w:rPr>
        <w:t> </w:t>
      </w:r>
      <w:r>
        <w:rPr>
          <w:sz w:val="24"/>
        </w:rPr>
        <w:t>prior</w:t>
      </w:r>
      <w:r>
        <w:rPr>
          <w:spacing w:val="-4"/>
          <w:sz w:val="24"/>
        </w:rPr>
        <w:t> </w:t>
      </w:r>
      <w:r>
        <w:rPr>
          <w:sz w:val="24"/>
        </w:rPr>
        <w:t>written approval from the SLA and the grantor.</w:t>
      </w:r>
    </w:p>
    <w:p>
      <w:pPr>
        <w:pStyle w:val="ListParagraph"/>
        <w:numPr>
          <w:ilvl w:val="0"/>
          <w:numId w:val="407"/>
        </w:numPr>
        <w:tabs>
          <w:tab w:pos="786" w:val="left" w:leader="none"/>
        </w:tabs>
        <w:spacing w:line="208" w:lineRule="auto" w:before="240" w:after="0"/>
        <w:ind w:left="360" w:right="781" w:firstLine="0"/>
        <w:jc w:val="left"/>
        <w:rPr>
          <w:sz w:val="24"/>
        </w:rPr>
      </w:pPr>
      <w:r>
        <w:rPr>
          <w:sz w:val="24"/>
        </w:rPr>
        <w:t>The SLA's policy is to operate business enterprises that have the potential to produce net profit returns for licensed managers which will enable them to live self sufficiently</w:t>
      </w:r>
      <w:r>
        <w:rPr>
          <w:spacing w:val="-4"/>
          <w:sz w:val="24"/>
        </w:rPr>
        <w:t> </w:t>
      </w:r>
      <w:r>
        <w:rPr>
          <w:sz w:val="24"/>
        </w:rPr>
        <w:t>and</w:t>
      </w:r>
      <w:r>
        <w:rPr>
          <w:spacing w:val="-4"/>
          <w:sz w:val="24"/>
        </w:rPr>
        <w:t> </w:t>
      </w:r>
      <w:r>
        <w:rPr>
          <w:sz w:val="24"/>
        </w:rPr>
        <w:t>with</w:t>
      </w:r>
      <w:r>
        <w:rPr>
          <w:spacing w:val="-4"/>
          <w:sz w:val="24"/>
        </w:rPr>
        <w:t> </w:t>
      </w:r>
      <w:r>
        <w:rPr>
          <w:sz w:val="24"/>
        </w:rPr>
        <w:t>dignity</w:t>
      </w:r>
      <w:r>
        <w:rPr>
          <w:spacing w:val="-4"/>
          <w:sz w:val="24"/>
        </w:rPr>
        <w:t> </w:t>
      </w:r>
      <w:r>
        <w:rPr>
          <w:sz w:val="24"/>
        </w:rPr>
        <w:t>within</w:t>
      </w:r>
      <w:r>
        <w:rPr>
          <w:spacing w:val="-3"/>
          <w:sz w:val="24"/>
        </w:rPr>
        <w:t> </w:t>
      </w:r>
      <w:r>
        <w:rPr>
          <w:sz w:val="24"/>
        </w:rPr>
        <w:t>their</w:t>
      </w:r>
      <w:r>
        <w:rPr>
          <w:spacing w:val="-3"/>
          <w:sz w:val="24"/>
        </w:rPr>
        <w:t> </w:t>
      </w:r>
      <w:r>
        <w:rPr>
          <w:sz w:val="24"/>
        </w:rPr>
        <w:t>communities.</w:t>
      </w:r>
      <w:r>
        <w:rPr>
          <w:spacing w:val="-3"/>
          <w:sz w:val="24"/>
        </w:rPr>
        <w:t> </w:t>
      </w:r>
      <w:r>
        <w:rPr>
          <w:sz w:val="24"/>
        </w:rPr>
        <w:t>Additional</w:t>
      </w:r>
      <w:r>
        <w:rPr>
          <w:spacing w:val="-4"/>
          <w:sz w:val="24"/>
        </w:rPr>
        <w:t> </w:t>
      </w:r>
      <w:r>
        <w:rPr>
          <w:sz w:val="24"/>
        </w:rPr>
        <w:t>consideration</w:t>
      </w:r>
      <w:r>
        <w:rPr>
          <w:spacing w:val="-3"/>
          <w:sz w:val="24"/>
        </w:rPr>
        <w:t> </w:t>
      </w:r>
      <w:r>
        <w:rPr>
          <w:sz w:val="24"/>
        </w:rPr>
        <w:t>is</w:t>
      </w:r>
      <w:r>
        <w:rPr>
          <w:spacing w:val="-4"/>
          <w:sz w:val="24"/>
        </w:rPr>
        <w:t> </w:t>
      </w:r>
      <w:r>
        <w:rPr>
          <w:sz w:val="24"/>
        </w:rPr>
        <w:t>given</w:t>
      </w:r>
      <w:r>
        <w:rPr>
          <w:spacing w:val="-4"/>
          <w:sz w:val="24"/>
        </w:rPr>
        <w:t> </w:t>
      </w:r>
      <w:r>
        <w:rPr>
          <w:sz w:val="24"/>
        </w:rPr>
        <w:t>to the amount of return on investment as related to expenditures for capital outlay, management services overhead, and other expenses of operation. Anytime a licensed manager vacates a business enterprise, the business consultant will re-evaluate the business enterprise if it generates revenue below the program net profit objective. A business enterprise that lacks the potential to meet the SLA's net profit objective will be issued a temporary variance or added to another location.</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pStyle w:val="ListParagraph"/>
        <w:numPr>
          <w:ilvl w:val="2"/>
          <w:numId w:val="197"/>
        </w:numPr>
        <w:tabs>
          <w:tab w:pos="1439" w:val="left" w:leader="none"/>
        </w:tabs>
        <w:spacing w:line="240" w:lineRule="auto" w:before="1" w:after="0"/>
        <w:ind w:left="1439" w:right="0" w:hanging="1080"/>
        <w:jc w:val="left"/>
        <w:rPr>
          <w:sz w:val="22"/>
        </w:rPr>
      </w:pPr>
      <w:r>
        <w:rPr>
          <w:sz w:val="22"/>
        </w:rPr>
        <w:t>Permanent,</w:t>
      </w:r>
      <w:r>
        <w:rPr>
          <w:spacing w:val="-11"/>
          <w:sz w:val="22"/>
        </w:rPr>
        <w:t> </w:t>
      </w:r>
      <w:r>
        <w:rPr>
          <w:sz w:val="22"/>
        </w:rPr>
        <w:t>Clarifying</w:t>
      </w:r>
      <w:r>
        <w:rPr>
          <w:spacing w:val="-12"/>
          <w:sz w:val="22"/>
        </w:rPr>
        <w:t> </w:t>
      </w:r>
      <w:r>
        <w:rPr>
          <w:spacing w:val="-2"/>
          <w:sz w:val="22"/>
        </w:rPr>
        <w:t>language</w:t>
      </w:r>
    </w:p>
    <w:p>
      <w:pPr>
        <w:tabs>
          <w:tab w:pos="1439" w:val="left" w:leader="none"/>
        </w:tabs>
        <w:spacing w:before="0"/>
        <w:ind w:left="359" w:right="0" w:firstLine="0"/>
        <w:jc w:val="left"/>
        <w:rPr>
          <w:sz w:val="22"/>
        </w:rPr>
      </w:pPr>
      <w:r>
        <w:rPr>
          <w:spacing w:val="-2"/>
          <w:sz w:val="22"/>
        </w:rPr>
        <w:t>9-12-</w:t>
      </w:r>
      <w:r>
        <w:rPr>
          <w:spacing w:val="-5"/>
          <w:sz w:val="22"/>
        </w:rPr>
        <w:t>14</w:t>
      </w:r>
      <w:r>
        <w:rPr>
          <w:sz w:val="22"/>
        </w:rPr>
        <w:tab/>
        <w:t>Permanent,</w:t>
      </w:r>
      <w:r>
        <w:rPr>
          <w:spacing w:val="-8"/>
          <w:sz w:val="22"/>
        </w:rPr>
        <w:t> </w:t>
      </w:r>
      <w:r>
        <w:rPr>
          <w:sz w:val="22"/>
        </w:rPr>
        <w:t>updating</w:t>
      </w:r>
      <w:r>
        <w:rPr>
          <w:spacing w:val="-8"/>
          <w:sz w:val="22"/>
        </w:rPr>
        <w:t> </w:t>
      </w:r>
      <w:r>
        <w:rPr>
          <w:sz w:val="22"/>
        </w:rPr>
        <w:t>policy</w:t>
      </w:r>
      <w:r>
        <w:rPr>
          <w:spacing w:val="-8"/>
          <w:sz w:val="22"/>
        </w:rPr>
        <w:t> </w:t>
      </w:r>
      <w:r>
        <w:rPr>
          <w:sz w:val="22"/>
        </w:rPr>
        <w:t>and</w:t>
      </w:r>
      <w:r>
        <w:rPr>
          <w:spacing w:val="-8"/>
          <w:sz w:val="22"/>
        </w:rPr>
        <w:t> </w:t>
      </w:r>
      <w:r>
        <w:rPr>
          <w:spacing w:val="-2"/>
          <w:sz w:val="22"/>
        </w:rPr>
        <w:t>language</w:t>
      </w:r>
    </w:p>
    <w:p>
      <w:pPr>
        <w:tabs>
          <w:tab w:pos="1439" w:val="left" w:leader="none"/>
        </w:tabs>
        <w:spacing w:before="0"/>
        <w:ind w:left="1439" w:right="759" w:hanging="1080"/>
        <w:jc w:val="left"/>
        <w:rPr>
          <w:sz w:val="22"/>
        </w:rPr>
      </w:pPr>
      <w:r>
        <w:rPr>
          <w:spacing w:val="-2"/>
          <w:sz w:val="22"/>
        </w:rPr>
        <w:t>9-11-22</w:t>
      </w:r>
      <w:r>
        <w:rPr>
          <w:sz w:val="22"/>
        </w:rPr>
        <w:tab/>
        <w:t>Revised</w:t>
      </w:r>
      <w:r>
        <w:rPr>
          <w:spacing w:val="-4"/>
          <w:sz w:val="22"/>
        </w:rPr>
        <w:t> </w:t>
      </w:r>
      <w:r>
        <w:rPr>
          <w:sz w:val="22"/>
        </w:rPr>
        <w:t>language</w:t>
      </w:r>
      <w:r>
        <w:rPr>
          <w:spacing w:val="-4"/>
          <w:sz w:val="22"/>
        </w:rPr>
        <w:t> </w:t>
      </w:r>
      <w:r>
        <w:rPr>
          <w:sz w:val="22"/>
        </w:rPr>
        <w:t>under</w:t>
      </w:r>
      <w:r>
        <w:rPr>
          <w:spacing w:val="-4"/>
          <w:sz w:val="22"/>
        </w:rPr>
        <w:t> </w:t>
      </w:r>
      <w:r>
        <w:rPr>
          <w:sz w:val="22"/>
        </w:rPr>
        <w:t>(d)</w:t>
      </w:r>
      <w:r>
        <w:rPr>
          <w:spacing w:val="-4"/>
          <w:sz w:val="22"/>
        </w:rPr>
        <w:t> </w:t>
      </w:r>
      <w:r>
        <w:rPr>
          <w:sz w:val="22"/>
        </w:rPr>
        <w:t>changing</w:t>
      </w:r>
      <w:r>
        <w:rPr>
          <w:spacing w:val="-4"/>
          <w:sz w:val="22"/>
        </w:rPr>
        <w:t> </w:t>
      </w:r>
      <w:r>
        <w:rPr>
          <w:sz w:val="22"/>
        </w:rPr>
        <w:t>“closed”</w:t>
      </w:r>
      <w:r>
        <w:rPr>
          <w:spacing w:val="-4"/>
          <w:sz w:val="22"/>
        </w:rPr>
        <w:t> </w:t>
      </w:r>
      <w:r>
        <w:rPr>
          <w:sz w:val="22"/>
        </w:rPr>
        <w:t>to</w:t>
      </w:r>
      <w:r>
        <w:rPr>
          <w:spacing w:val="-4"/>
          <w:sz w:val="22"/>
        </w:rPr>
        <w:t> </w:t>
      </w:r>
      <w:r>
        <w:rPr>
          <w:sz w:val="22"/>
        </w:rPr>
        <w:t>“issued</w:t>
      </w:r>
      <w:r>
        <w:rPr>
          <w:spacing w:val="-4"/>
          <w:sz w:val="22"/>
        </w:rPr>
        <w:t> </w:t>
      </w:r>
      <w:r>
        <w:rPr>
          <w:sz w:val="22"/>
        </w:rPr>
        <w:t>a</w:t>
      </w:r>
      <w:r>
        <w:rPr>
          <w:spacing w:val="-4"/>
          <w:sz w:val="22"/>
        </w:rPr>
        <w:t> </w:t>
      </w:r>
      <w:r>
        <w:rPr>
          <w:sz w:val="22"/>
        </w:rPr>
        <w:t>temporary</w:t>
      </w:r>
      <w:r>
        <w:rPr>
          <w:spacing w:val="-4"/>
          <w:sz w:val="22"/>
        </w:rPr>
        <w:t> </w:t>
      </w:r>
      <w:r>
        <w:rPr>
          <w:sz w:val="22"/>
        </w:rPr>
        <w:t>variance</w:t>
      </w:r>
      <w:r>
        <w:rPr>
          <w:spacing w:val="-4"/>
          <w:sz w:val="22"/>
        </w:rPr>
        <w:t> </w:t>
      </w:r>
      <w:r>
        <w:rPr>
          <w:sz w:val="22"/>
        </w:rPr>
        <w:t>when a business enterprise lacks the potential to meet the SLA’s net profit objective.</w:t>
      </w:r>
    </w:p>
    <w:p>
      <w:pPr>
        <w:spacing w:after="0"/>
        <w:jc w:val="left"/>
        <w:rPr>
          <w:sz w:val="22"/>
        </w:rPr>
        <w:sectPr>
          <w:pgSz w:w="12240" w:h="15840"/>
          <w:pgMar w:top="1340" w:bottom="280" w:left="1080" w:right="720"/>
        </w:sectPr>
      </w:pPr>
    </w:p>
    <w:p>
      <w:pPr>
        <w:pStyle w:val="Heading2"/>
      </w:pPr>
      <w:bookmarkStart w:name="612:25-6-21.  Business expenses" w:id="434"/>
      <w:bookmarkEnd w:id="434"/>
      <w:r>
        <w:rPr>
          <w:b w:val="0"/>
        </w:rPr>
      </w:r>
      <w:r>
        <w:rPr/>
        <w:t>612:25-6-21.</w:t>
      </w:r>
      <w:r>
        <w:rPr>
          <w:spacing w:val="57"/>
        </w:rPr>
        <w:t> </w:t>
      </w:r>
      <w:r>
        <w:rPr/>
        <w:t>Business</w:t>
      </w:r>
      <w:r>
        <w:rPr>
          <w:spacing w:val="-4"/>
        </w:rPr>
        <w:t> </w:t>
      </w:r>
      <w:r>
        <w:rPr>
          <w:spacing w:val="-2"/>
        </w:rPr>
        <w:t>expenses</w:t>
      </w:r>
    </w:p>
    <w:p>
      <w:pPr>
        <w:pStyle w:val="BodyText"/>
        <w:spacing w:line="208" w:lineRule="auto" w:before="233"/>
        <w:ind w:left="359" w:right="775" w:firstLine="432"/>
      </w:pPr>
      <w:r>
        <w:rPr/>
        <w:t>Business expenses calculated as a flat-rate percentage of gross sales may be deducted</w:t>
      </w:r>
      <w:r>
        <w:rPr>
          <w:spacing w:val="-3"/>
        </w:rPr>
        <w:t> </w:t>
      </w:r>
      <w:r>
        <w:rPr/>
        <w:t>from</w:t>
      </w:r>
      <w:r>
        <w:rPr>
          <w:spacing w:val="-2"/>
        </w:rPr>
        <w:t> </w:t>
      </w:r>
      <w:r>
        <w:rPr/>
        <w:t>gross</w:t>
      </w:r>
      <w:r>
        <w:rPr>
          <w:spacing w:val="-3"/>
        </w:rPr>
        <w:t> </w:t>
      </w:r>
      <w:r>
        <w:rPr/>
        <w:t>sales</w:t>
      </w:r>
      <w:r>
        <w:rPr>
          <w:spacing w:val="-3"/>
        </w:rPr>
        <w:t> </w:t>
      </w:r>
      <w:r>
        <w:rPr/>
        <w:t>on</w:t>
      </w:r>
      <w:r>
        <w:rPr>
          <w:spacing w:val="-3"/>
        </w:rPr>
        <w:t> </w:t>
      </w:r>
      <w:r>
        <w:rPr/>
        <w:t>the</w:t>
      </w:r>
      <w:r>
        <w:rPr>
          <w:spacing w:val="-3"/>
        </w:rPr>
        <w:t> </w:t>
      </w:r>
      <w:r>
        <w:rPr/>
        <w:t>licensed</w:t>
      </w:r>
      <w:r>
        <w:rPr>
          <w:spacing w:val="-3"/>
        </w:rPr>
        <w:t> </w:t>
      </w:r>
      <w:r>
        <w:rPr/>
        <w:t>manager's</w:t>
      </w:r>
      <w:r>
        <w:rPr>
          <w:spacing w:val="-3"/>
        </w:rPr>
        <w:t> </w:t>
      </w:r>
      <w:r>
        <w:rPr/>
        <w:t>monthly</w:t>
      </w:r>
      <w:r>
        <w:rPr>
          <w:spacing w:val="-3"/>
        </w:rPr>
        <w:t> </w:t>
      </w:r>
      <w:r>
        <w:rPr/>
        <w:t>report</w:t>
      </w:r>
      <w:r>
        <w:rPr>
          <w:spacing w:val="-4"/>
        </w:rPr>
        <w:t> </w:t>
      </w:r>
      <w:r>
        <w:rPr/>
        <w:t>to</w:t>
      </w:r>
      <w:r>
        <w:rPr>
          <w:spacing w:val="-3"/>
        </w:rPr>
        <w:t> </w:t>
      </w:r>
      <w:r>
        <w:rPr/>
        <w:t>the</w:t>
      </w:r>
      <w:r>
        <w:rPr>
          <w:spacing w:val="-3"/>
        </w:rPr>
        <w:t> </w:t>
      </w:r>
      <w:r>
        <w:rPr/>
        <w:t>SLA.</w:t>
      </w:r>
      <w:r>
        <w:rPr>
          <w:spacing w:val="40"/>
        </w:rPr>
        <w:t> </w:t>
      </w:r>
      <w:r>
        <w:rPr/>
        <w:t>The percentage of gross sales which may be reported as a business expense deduction shall be set by the SLA in consultation with the Elected Committee of Licensed Managers and shall be determined using available historical data and industry standards. </w:t>
      </w:r>
      <w:r>
        <w:rPr>
          <w:b/>
        </w:rPr>
        <w:t>1 </w:t>
      </w:r>
      <w:r>
        <w:rPr/>
        <w:t>The percentage rate will be reviewed annually to ensure it continues to reflect average monthly expenditures attributable to standard business expenses.</w:t>
      </w:r>
    </w:p>
    <w:p>
      <w:pPr>
        <w:pStyle w:val="BodyText"/>
        <w:spacing w:before="210"/>
      </w:pPr>
      <w:r>
        <w:rPr/>
        <w:t>INSTRUCTIONS</w:t>
      </w:r>
      <w:r>
        <w:rPr>
          <w:spacing w:val="-3"/>
        </w:rPr>
        <w:t> </w:t>
      </w:r>
      <w:r>
        <w:rPr/>
        <w:t>TO</w:t>
      </w:r>
      <w:r>
        <w:rPr>
          <w:spacing w:val="-2"/>
        </w:rPr>
        <w:t> </w:t>
      </w:r>
      <w:r>
        <w:rPr>
          <w:spacing w:val="-4"/>
        </w:rPr>
        <w:t>STAFF</w:t>
      </w:r>
    </w:p>
    <w:p>
      <w:pPr>
        <w:pStyle w:val="BodyText"/>
        <w:spacing w:line="208" w:lineRule="auto" w:before="233"/>
        <w:ind w:left="791" w:right="775"/>
      </w:pPr>
      <w:r>
        <w:rPr/>
        <w:t>1. The</w:t>
      </w:r>
      <w:r>
        <w:rPr>
          <w:spacing w:val="-4"/>
        </w:rPr>
        <w:t> </w:t>
      </w:r>
      <w:r>
        <w:rPr/>
        <w:t>current</w:t>
      </w:r>
      <w:r>
        <w:rPr>
          <w:spacing w:val="-3"/>
        </w:rPr>
        <w:t> </w:t>
      </w:r>
      <w:r>
        <w:rPr/>
        <w:t>business</w:t>
      </w:r>
      <w:r>
        <w:rPr>
          <w:spacing w:val="-4"/>
        </w:rPr>
        <w:t> </w:t>
      </w:r>
      <w:r>
        <w:rPr/>
        <w:t>expense</w:t>
      </w:r>
      <w:r>
        <w:rPr>
          <w:spacing w:val="-4"/>
        </w:rPr>
        <w:t> </w:t>
      </w:r>
      <w:r>
        <w:rPr/>
        <w:t>deduction</w:t>
      </w:r>
      <w:r>
        <w:rPr>
          <w:spacing w:val="-4"/>
        </w:rPr>
        <w:t> </w:t>
      </w:r>
      <w:r>
        <w:rPr/>
        <w:t>rate</w:t>
      </w:r>
      <w:r>
        <w:rPr>
          <w:spacing w:val="-4"/>
        </w:rPr>
        <w:t> </w:t>
      </w:r>
      <w:r>
        <w:rPr/>
        <w:t>is</w:t>
      </w:r>
      <w:r>
        <w:rPr>
          <w:spacing w:val="-4"/>
        </w:rPr>
        <w:t> </w:t>
      </w:r>
      <w:r>
        <w:rPr/>
        <w:t>5.5%</w:t>
      </w:r>
      <w:r>
        <w:rPr>
          <w:spacing w:val="-4"/>
        </w:rPr>
        <w:t> </w:t>
      </w:r>
      <w:r>
        <w:rPr/>
        <w:t>percent</w:t>
      </w:r>
      <w:r>
        <w:rPr>
          <w:spacing w:val="-3"/>
        </w:rPr>
        <w:t> </w:t>
      </w:r>
      <w:r>
        <w:rPr/>
        <w:t>of</w:t>
      </w:r>
      <w:r>
        <w:rPr>
          <w:spacing w:val="-4"/>
        </w:rPr>
        <w:t> </w:t>
      </w:r>
      <w:r>
        <w:rPr/>
        <w:t>monthly</w:t>
      </w:r>
      <w:r>
        <w:rPr>
          <w:spacing w:val="-4"/>
        </w:rPr>
        <w:t> </w:t>
      </w:r>
      <w:r>
        <w:rPr/>
        <w:t>gross </w:t>
      </w:r>
      <w:r>
        <w:rPr>
          <w:spacing w:val="-2"/>
        </w:rPr>
        <w:t>sales.</w:t>
      </w:r>
    </w:p>
    <w:p>
      <w:pPr>
        <w:spacing w:before="244"/>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4-13-99</w:t>
      </w:r>
      <w:r>
        <w:rPr>
          <w:sz w:val="22"/>
        </w:rPr>
        <w:tab/>
        <w:t>PT Memo #99-7</w:t>
      </w:r>
    </w:p>
    <w:p>
      <w:pPr>
        <w:spacing w:before="0"/>
        <w:ind w:left="1439" w:right="0" w:firstLine="0"/>
        <w:jc w:val="left"/>
        <w:rPr>
          <w:sz w:val="22"/>
        </w:rPr>
      </w:pPr>
      <w:r>
        <w:rPr>
          <w:sz w:val="22"/>
        </w:rPr>
        <w:t>Emergency,</w:t>
      </w:r>
      <w:r>
        <w:rPr>
          <w:spacing w:val="-7"/>
          <w:sz w:val="22"/>
        </w:rPr>
        <w:t> </w:t>
      </w:r>
      <w:r>
        <w:rPr>
          <w:sz w:val="22"/>
        </w:rPr>
        <w:t>amended</w:t>
      </w:r>
      <w:r>
        <w:rPr>
          <w:spacing w:val="-6"/>
          <w:sz w:val="22"/>
        </w:rPr>
        <w:t> </w:t>
      </w:r>
      <w:r>
        <w:rPr>
          <w:sz w:val="22"/>
        </w:rPr>
        <w:t>to</w:t>
      </w:r>
      <w:r>
        <w:rPr>
          <w:spacing w:val="-6"/>
          <w:sz w:val="22"/>
        </w:rPr>
        <w:t> </w:t>
      </w:r>
      <w:r>
        <w:rPr>
          <w:sz w:val="22"/>
        </w:rPr>
        <w:t>add</w:t>
      </w:r>
      <w:r>
        <w:rPr>
          <w:spacing w:val="-7"/>
          <w:sz w:val="22"/>
        </w:rPr>
        <w:t> </w:t>
      </w:r>
      <w:r>
        <w:rPr>
          <w:sz w:val="22"/>
        </w:rPr>
        <w:t>Subsections</w:t>
      </w:r>
      <w:r>
        <w:rPr>
          <w:spacing w:val="-6"/>
          <w:sz w:val="22"/>
        </w:rPr>
        <w:t> </w:t>
      </w:r>
      <w:r>
        <w:rPr>
          <w:sz w:val="22"/>
        </w:rPr>
        <w:t>(d)</w:t>
      </w:r>
      <w:r>
        <w:rPr>
          <w:spacing w:val="-6"/>
          <w:sz w:val="22"/>
        </w:rPr>
        <w:t> </w:t>
      </w:r>
      <w:r>
        <w:rPr>
          <w:sz w:val="22"/>
        </w:rPr>
        <w:t>and</w:t>
      </w:r>
      <w:r>
        <w:rPr>
          <w:spacing w:val="-8"/>
          <w:sz w:val="22"/>
        </w:rPr>
        <w:t> </w:t>
      </w:r>
      <w:r>
        <w:rPr>
          <w:sz w:val="22"/>
        </w:rPr>
        <w:t>(e),</w:t>
      </w:r>
      <w:r>
        <w:rPr>
          <w:spacing w:val="-6"/>
          <w:sz w:val="22"/>
        </w:rPr>
        <w:t> </w:t>
      </w:r>
      <w:r>
        <w:rPr>
          <w:sz w:val="22"/>
        </w:rPr>
        <w:t>limit</w:t>
      </w:r>
      <w:r>
        <w:rPr>
          <w:spacing w:val="-6"/>
          <w:sz w:val="22"/>
        </w:rPr>
        <w:t> </w:t>
      </w:r>
      <w:r>
        <w:rPr>
          <w:sz w:val="22"/>
        </w:rPr>
        <w:t>expenses</w:t>
      </w:r>
      <w:r>
        <w:rPr>
          <w:spacing w:val="-7"/>
          <w:sz w:val="22"/>
        </w:rPr>
        <w:t> </w:t>
      </w:r>
      <w:r>
        <w:rPr>
          <w:sz w:val="22"/>
        </w:rPr>
        <w:t>that</w:t>
      </w:r>
      <w:r>
        <w:rPr>
          <w:spacing w:val="-7"/>
          <w:sz w:val="22"/>
        </w:rPr>
        <w:t> </w:t>
      </w:r>
      <w:r>
        <w:rPr>
          <w:sz w:val="22"/>
        </w:rPr>
        <w:t>can</w:t>
      </w:r>
      <w:r>
        <w:rPr>
          <w:spacing w:val="-6"/>
          <w:sz w:val="22"/>
        </w:rPr>
        <w:t> </w:t>
      </w:r>
      <w:r>
        <w:rPr>
          <w:spacing w:val="-5"/>
          <w:sz w:val="22"/>
        </w:rPr>
        <w:t>be</w:t>
      </w:r>
    </w:p>
    <w:p>
      <w:pPr>
        <w:spacing w:before="0"/>
        <w:ind w:left="359" w:right="0" w:firstLine="0"/>
        <w:jc w:val="left"/>
        <w:rPr>
          <w:sz w:val="22"/>
        </w:rPr>
      </w:pPr>
      <w:r>
        <w:rPr>
          <w:spacing w:val="-2"/>
          <w:sz w:val="22"/>
        </w:rPr>
        <w:t>claimed</w:t>
      </w:r>
    </w:p>
    <w:p>
      <w:pPr>
        <w:tabs>
          <w:tab w:pos="1439" w:val="left" w:leader="none"/>
        </w:tabs>
        <w:spacing w:before="1"/>
        <w:ind w:left="359" w:right="0" w:firstLine="0"/>
        <w:jc w:val="left"/>
        <w:rPr>
          <w:sz w:val="22"/>
        </w:rPr>
      </w:pPr>
      <w:r>
        <w:rPr>
          <w:spacing w:val="-2"/>
          <w:sz w:val="22"/>
        </w:rPr>
        <w:t>7-1-</w:t>
      </w:r>
      <w:r>
        <w:rPr>
          <w:spacing w:val="-5"/>
          <w:sz w:val="22"/>
        </w:rPr>
        <w:t>02</w:t>
      </w:r>
      <w:r>
        <w:rPr>
          <w:sz w:val="22"/>
        </w:rPr>
        <w:tab/>
        <w:t>POL</w:t>
      </w:r>
      <w:r>
        <w:rPr>
          <w:spacing w:val="-9"/>
          <w:sz w:val="22"/>
        </w:rPr>
        <w:t> </w:t>
      </w:r>
      <w:r>
        <w:rPr>
          <w:sz w:val="22"/>
        </w:rPr>
        <w:t>Memo</w:t>
      </w:r>
      <w:r>
        <w:rPr>
          <w:spacing w:val="-8"/>
          <w:sz w:val="22"/>
        </w:rPr>
        <w:t> </w:t>
      </w:r>
      <w:r>
        <w:rPr>
          <w:sz w:val="22"/>
        </w:rPr>
        <w:t>#02-</w:t>
      </w:r>
      <w:r>
        <w:rPr>
          <w:spacing w:val="-5"/>
          <w:sz w:val="22"/>
        </w:rPr>
        <w:t>02</w:t>
      </w:r>
    </w:p>
    <w:p>
      <w:pPr>
        <w:tabs>
          <w:tab w:pos="1439" w:val="left" w:leader="none"/>
        </w:tabs>
        <w:spacing w:before="0"/>
        <w:ind w:left="360" w:right="1191" w:firstLine="1080"/>
        <w:jc w:val="left"/>
        <w:rPr>
          <w:sz w:val="22"/>
        </w:rPr>
      </w:pPr>
      <w:r>
        <w:rPr>
          <w:sz w:val="22"/>
        </w:rPr>
        <w:t>Permanent,</w:t>
      </w:r>
      <w:r>
        <w:rPr>
          <w:spacing w:val="-4"/>
          <w:sz w:val="22"/>
        </w:rPr>
        <w:t> </w:t>
      </w:r>
      <w:r>
        <w:rPr>
          <w:sz w:val="22"/>
        </w:rPr>
        <w:t>clarifies</w:t>
      </w:r>
      <w:r>
        <w:rPr>
          <w:spacing w:val="-5"/>
          <w:sz w:val="22"/>
        </w:rPr>
        <w:t> </w:t>
      </w:r>
      <w:r>
        <w:rPr>
          <w:sz w:val="22"/>
        </w:rPr>
        <w:t>and</w:t>
      </w:r>
      <w:r>
        <w:rPr>
          <w:spacing w:val="-6"/>
          <w:sz w:val="22"/>
        </w:rPr>
        <w:t> </w:t>
      </w:r>
      <w:r>
        <w:rPr>
          <w:sz w:val="22"/>
        </w:rPr>
        <w:t>adds</w:t>
      </w:r>
      <w:r>
        <w:rPr>
          <w:spacing w:val="-5"/>
          <w:sz w:val="22"/>
        </w:rPr>
        <w:t> </w:t>
      </w:r>
      <w:r>
        <w:rPr>
          <w:sz w:val="22"/>
        </w:rPr>
        <w:t>licensed</w:t>
      </w:r>
      <w:r>
        <w:rPr>
          <w:spacing w:val="-5"/>
          <w:sz w:val="22"/>
        </w:rPr>
        <w:t> </w:t>
      </w:r>
      <w:r>
        <w:rPr>
          <w:sz w:val="22"/>
        </w:rPr>
        <w:t>manager's</w:t>
      </w:r>
      <w:r>
        <w:rPr>
          <w:spacing w:val="-5"/>
          <w:sz w:val="22"/>
        </w:rPr>
        <w:t> </w:t>
      </w:r>
      <w:r>
        <w:rPr>
          <w:sz w:val="22"/>
        </w:rPr>
        <w:t>business</w:t>
      </w:r>
      <w:r>
        <w:rPr>
          <w:spacing w:val="-5"/>
          <w:sz w:val="22"/>
        </w:rPr>
        <w:t> </w:t>
      </w:r>
      <w:r>
        <w:rPr>
          <w:sz w:val="22"/>
        </w:rPr>
        <w:t>expense</w:t>
      </w:r>
      <w:r>
        <w:rPr>
          <w:spacing w:val="-5"/>
          <w:sz w:val="22"/>
        </w:rPr>
        <w:t> </w:t>
      </w:r>
      <w:r>
        <w:rPr>
          <w:sz w:val="22"/>
        </w:rPr>
        <w:t>deductions </w:t>
      </w:r>
      <w:r>
        <w:rPr>
          <w:spacing w:val="-2"/>
          <w:sz w:val="22"/>
        </w:rPr>
        <w:t>7-1-03</w:t>
      </w:r>
      <w:r>
        <w:rPr>
          <w:sz w:val="22"/>
        </w:rPr>
        <w:tab/>
        <w:t>PT Memo #03-07</w:t>
      </w:r>
    </w:p>
    <w:p>
      <w:pPr>
        <w:tabs>
          <w:tab w:pos="1439" w:val="left" w:leader="none"/>
        </w:tabs>
        <w:spacing w:before="0"/>
        <w:ind w:left="360" w:right="4522" w:firstLine="1080"/>
        <w:jc w:val="left"/>
        <w:rPr>
          <w:sz w:val="22"/>
        </w:rPr>
      </w:pPr>
      <w:r>
        <w:rPr>
          <w:sz w:val="22"/>
        </w:rPr>
        <w:t>Permanent,</w:t>
      </w:r>
      <w:r>
        <w:rPr>
          <w:spacing w:val="-7"/>
          <w:sz w:val="22"/>
        </w:rPr>
        <w:t> </w:t>
      </w:r>
      <w:r>
        <w:rPr>
          <w:sz w:val="22"/>
        </w:rPr>
        <w:t>removed</w:t>
      </w:r>
      <w:r>
        <w:rPr>
          <w:spacing w:val="-8"/>
          <w:sz w:val="22"/>
        </w:rPr>
        <w:t> </w:t>
      </w:r>
      <w:r>
        <w:rPr>
          <w:sz w:val="22"/>
        </w:rPr>
        <w:t>mileage</w:t>
      </w:r>
      <w:r>
        <w:rPr>
          <w:spacing w:val="-8"/>
          <w:sz w:val="22"/>
        </w:rPr>
        <w:t> </w:t>
      </w:r>
      <w:r>
        <w:rPr>
          <w:sz w:val="22"/>
        </w:rPr>
        <w:t>log</w:t>
      </w:r>
      <w:r>
        <w:rPr>
          <w:spacing w:val="-8"/>
          <w:sz w:val="22"/>
        </w:rPr>
        <w:t> </w:t>
      </w:r>
      <w:r>
        <w:rPr>
          <w:sz w:val="22"/>
        </w:rPr>
        <w:t>book</w:t>
      </w:r>
      <w:r>
        <w:rPr>
          <w:spacing w:val="-8"/>
          <w:sz w:val="22"/>
        </w:rPr>
        <w:t> </w:t>
      </w:r>
      <w:r>
        <w:rPr>
          <w:sz w:val="22"/>
        </w:rPr>
        <w:t>review </w:t>
      </w:r>
      <w:r>
        <w:rPr>
          <w:spacing w:val="-2"/>
          <w:sz w:val="22"/>
        </w:rPr>
        <w:t>7-1-12</w:t>
      </w:r>
      <w:r>
        <w:rPr>
          <w:sz w:val="22"/>
        </w:rPr>
        <w:tab/>
        <w:t>Permanent, updating language</w:t>
      </w:r>
    </w:p>
    <w:p>
      <w:pPr>
        <w:tabs>
          <w:tab w:pos="1439" w:val="left" w:leader="none"/>
        </w:tabs>
        <w:spacing w:before="0"/>
        <w:ind w:left="360" w:right="0" w:firstLine="0"/>
        <w:jc w:val="left"/>
        <w:rPr>
          <w:sz w:val="22"/>
        </w:rPr>
      </w:pPr>
      <w:r>
        <w:rPr>
          <w:spacing w:val="-2"/>
          <w:sz w:val="22"/>
        </w:rPr>
        <w:t>8-27-</w:t>
      </w:r>
      <w:r>
        <w:rPr>
          <w:spacing w:val="-5"/>
          <w:sz w:val="22"/>
        </w:rPr>
        <w:t>15</w:t>
      </w:r>
      <w:r>
        <w:rPr>
          <w:sz w:val="22"/>
        </w:rPr>
        <w:tab/>
        <w:t>Deleted</w:t>
      </w:r>
      <w:r>
        <w:rPr>
          <w:spacing w:val="-9"/>
          <w:sz w:val="22"/>
        </w:rPr>
        <w:t> </w:t>
      </w:r>
      <w:r>
        <w:rPr>
          <w:sz w:val="22"/>
        </w:rPr>
        <w:t>Business</w:t>
      </w:r>
      <w:r>
        <w:rPr>
          <w:spacing w:val="-8"/>
          <w:sz w:val="22"/>
        </w:rPr>
        <w:t> </w:t>
      </w:r>
      <w:r>
        <w:rPr>
          <w:sz w:val="22"/>
        </w:rPr>
        <w:t>Enterprise</w:t>
      </w:r>
      <w:r>
        <w:rPr>
          <w:spacing w:val="-9"/>
          <w:sz w:val="22"/>
        </w:rPr>
        <w:t> </w:t>
      </w:r>
      <w:r>
        <w:rPr>
          <w:sz w:val="22"/>
        </w:rPr>
        <w:t>Program</w:t>
      </w:r>
      <w:r>
        <w:rPr>
          <w:spacing w:val="-9"/>
          <w:sz w:val="22"/>
        </w:rPr>
        <w:t> </w:t>
      </w:r>
      <w:r>
        <w:rPr>
          <w:sz w:val="22"/>
        </w:rPr>
        <w:t>language</w:t>
      </w:r>
      <w:r>
        <w:rPr>
          <w:spacing w:val="-8"/>
          <w:sz w:val="22"/>
        </w:rPr>
        <w:t> </w:t>
      </w:r>
      <w:r>
        <w:rPr>
          <w:sz w:val="22"/>
        </w:rPr>
        <w:t>and</w:t>
      </w:r>
      <w:r>
        <w:rPr>
          <w:spacing w:val="-9"/>
          <w:sz w:val="22"/>
        </w:rPr>
        <w:t> </w:t>
      </w:r>
      <w:r>
        <w:rPr>
          <w:sz w:val="22"/>
        </w:rPr>
        <w:t>replaced</w:t>
      </w:r>
      <w:r>
        <w:rPr>
          <w:spacing w:val="-8"/>
          <w:sz w:val="22"/>
        </w:rPr>
        <w:t> </w:t>
      </w:r>
      <w:r>
        <w:rPr>
          <w:sz w:val="22"/>
        </w:rPr>
        <w:t>with</w:t>
      </w:r>
      <w:r>
        <w:rPr>
          <w:spacing w:val="-9"/>
          <w:sz w:val="22"/>
        </w:rPr>
        <w:t> </w:t>
      </w:r>
      <w:r>
        <w:rPr>
          <w:spacing w:val="-4"/>
          <w:sz w:val="22"/>
        </w:rPr>
        <w:t>SLA.</w:t>
      </w:r>
    </w:p>
    <w:p>
      <w:pPr>
        <w:spacing w:after="0"/>
        <w:jc w:val="left"/>
        <w:rPr>
          <w:sz w:val="22"/>
        </w:rPr>
        <w:sectPr>
          <w:pgSz w:w="12240" w:h="15840"/>
          <w:pgMar w:top="1340" w:bottom="280" w:left="1080" w:right="720"/>
        </w:sectPr>
      </w:pPr>
    </w:p>
    <w:p>
      <w:pPr>
        <w:pStyle w:val="Heading2"/>
      </w:pPr>
      <w:bookmarkStart w:name="612:25-6-22.  Monthly reports" w:id="435"/>
      <w:bookmarkEnd w:id="435"/>
      <w:r>
        <w:rPr>
          <w:b w:val="0"/>
        </w:rPr>
      </w:r>
      <w:r>
        <w:rPr/>
        <w:t>612:25-6-22.</w:t>
      </w:r>
      <w:r>
        <w:rPr>
          <w:spacing w:val="58"/>
        </w:rPr>
        <w:t> </w:t>
      </w:r>
      <w:r>
        <w:rPr/>
        <w:t>Monthly</w:t>
      </w:r>
      <w:r>
        <w:rPr>
          <w:spacing w:val="-4"/>
        </w:rPr>
        <w:t> </w:t>
      </w:r>
      <w:r>
        <w:rPr>
          <w:spacing w:val="-2"/>
        </w:rPr>
        <w:t>reports</w:t>
      </w:r>
    </w:p>
    <w:p>
      <w:pPr>
        <w:pStyle w:val="ListParagraph"/>
        <w:numPr>
          <w:ilvl w:val="0"/>
          <w:numId w:val="408"/>
        </w:numPr>
        <w:tabs>
          <w:tab w:pos="785" w:val="left" w:leader="none"/>
        </w:tabs>
        <w:spacing w:line="208" w:lineRule="auto" w:before="233" w:after="0"/>
        <w:ind w:left="359" w:right="726" w:firstLine="0"/>
        <w:jc w:val="left"/>
        <w:rPr>
          <w:sz w:val="24"/>
        </w:rPr>
      </w:pPr>
      <w:r>
        <w:rPr>
          <w:sz w:val="24"/>
        </w:rPr>
        <w:t>Content and when due. Licensed managers must submit monthly business enterprise financial reports to the SLA.</w:t>
      </w:r>
      <w:r>
        <w:rPr>
          <w:spacing w:val="40"/>
          <w:sz w:val="24"/>
        </w:rPr>
        <w:t> </w:t>
      </w:r>
      <w:r>
        <w:rPr>
          <w:sz w:val="24"/>
        </w:rPr>
        <w:t>Reports will contain data on gross sales, merchandise purchases, payroll expense, business expense and other information determined necessary to reflect business financial status and calculate licensed manager</w:t>
      </w:r>
      <w:r>
        <w:rPr>
          <w:spacing w:val="-4"/>
          <w:sz w:val="24"/>
        </w:rPr>
        <w:t> </w:t>
      </w:r>
      <w:r>
        <w:rPr>
          <w:sz w:val="24"/>
        </w:rPr>
        <w:t>set-aside,</w:t>
      </w:r>
      <w:r>
        <w:rPr>
          <w:spacing w:val="-4"/>
          <w:sz w:val="24"/>
        </w:rPr>
        <w:t> </w:t>
      </w:r>
      <w:r>
        <w:rPr>
          <w:sz w:val="24"/>
        </w:rPr>
        <w:t>retirement</w:t>
      </w:r>
      <w:r>
        <w:rPr>
          <w:spacing w:val="-4"/>
          <w:sz w:val="24"/>
        </w:rPr>
        <w:t> </w:t>
      </w:r>
      <w:r>
        <w:rPr>
          <w:sz w:val="24"/>
        </w:rPr>
        <w:t>and/or</w:t>
      </w:r>
      <w:r>
        <w:rPr>
          <w:spacing w:val="-4"/>
          <w:sz w:val="24"/>
        </w:rPr>
        <w:t> </w:t>
      </w:r>
      <w:r>
        <w:rPr>
          <w:sz w:val="24"/>
        </w:rPr>
        <w:t>merchandise</w:t>
      </w:r>
      <w:r>
        <w:rPr>
          <w:spacing w:val="-5"/>
          <w:sz w:val="24"/>
        </w:rPr>
        <w:t> </w:t>
      </w:r>
      <w:r>
        <w:rPr>
          <w:sz w:val="24"/>
        </w:rPr>
        <w:t>loan</w:t>
      </w:r>
      <w:r>
        <w:rPr>
          <w:spacing w:val="-4"/>
          <w:sz w:val="24"/>
        </w:rPr>
        <w:t> </w:t>
      </w:r>
      <w:r>
        <w:rPr>
          <w:sz w:val="24"/>
        </w:rPr>
        <w:t>payments.</w:t>
      </w:r>
      <w:r>
        <w:rPr>
          <w:spacing w:val="40"/>
          <w:sz w:val="24"/>
        </w:rPr>
        <w:t> </w:t>
      </w:r>
      <w:r>
        <w:rPr>
          <w:sz w:val="24"/>
        </w:rPr>
        <w:t>The</w:t>
      </w:r>
      <w:r>
        <w:rPr>
          <w:spacing w:val="-5"/>
          <w:sz w:val="24"/>
        </w:rPr>
        <w:t> </w:t>
      </w:r>
      <w:r>
        <w:rPr>
          <w:sz w:val="24"/>
        </w:rPr>
        <w:t>monthly</w:t>
      </w:r>
      <w:r>
        <w:rPr>
          <w:spacing w:val="-5"/>
          <w:sz w:val="24"/>
        </w:rPr>
        <w:t> </w:t>
      </w:r>
      <w:r>
        <w:rPr>
          <w:sz w:val="24"/>
        </w:rPr>
        <w:t>reports shall be for the following time period: the sixteenth (16th) day of the previous calendar month to the fifteenth (15th) day of the current calendar month. Monthly reports and payments due, if required, are due in the BEP office on or before the 25th of the current calendar month.</w:t>
      </w:r>
      <w:r>
        <w:rPr>
          <w:spacing w:val="40"/>
          <w:sz w:val="24"/>
        </w:rPr>
        <w:t> </w:t>
      </w:r>
      <w:r>
        <w:rPr>
          <w:sz w:val="24"/>
        </w:rPr>
        <w:t>If the 25th falls on a weekend, the monthly report is due in the BEP office no later than the close of business on the last business day prior to the 25th. Monthly reports may be mailed to the BEP office. To be considered on time, they must be</w:t>
      </w:r>
      <w:r>
        <w:rPr>
          <w:spacing w:val="-3"/>
          <w:sz w:val="24"/>
        </w:rPr>
        <w:t> </w:t>
      </w:r>
      <w:r>
        <w:rPr>
          <w:sz w:val="24"/>
        </w:rPr>
        <w:t>postmarked</w:t>
      </w:r>
      <w:r>
        <w:rPr>
          <w:spacing w:val="-3"/>
          <w:sz w:val="24"/>
        </w:rPr>
        <w:t> </w:t>
      </w:r>
      <w:r>
        <w:rPr>
          <w:sz w:val="24"/>
        </w:rPr>
        <w:t>by</w:t>
      </w:r>
      <w:r>
        <w:rPr>
          <w:spacing w:val="-3"/>
          <w:sz w:val="24"/>
        </w:rPr>
        <w:t> </w:t>
      </w:r>
      <w:r>
        <w:rPr>
          <w:sz w:val="24"/>
        </w:rPr>
        <w:t>the</w:t>
      </w:r>
      <w:r>
        <w:rPr>
          <w:spacing w:val="-4"/>
          <w:sz w:val="24"/>
        </w:rPr>
        <w:t> </w:t>
      </w:r>
      <w:r>
        <w:rPr>
          <w:sz w:val="24"/>
        </w:rPr>
        <w:t>21st</w:t>
      </w:r>
      <w:r>
        <w:rPr>
          <w:spacing w:val="-2"/>
          <w:sz w:val="24"/>
        </w:rPr>
        <w:t> </w:t>
      </w:r>
      <w:r>
        <w:rPr>
          <w:sz w:val="24"/>
        </w:rPr>
        <w:t>of</w:t>
      </w:r>
      <w:r>
        <w:rPr>
          <w:spacing w:val="-4"/>
          <w:sz w:val="24"/>
        </w:rPr>
        <w:t> </w:t>
      </w:r>
      <w:r>
        <w:rPr>
          <w:sz w:val="24"/>
        </w:rPr>
        <w:t>the</w:t>
      </w:r>
      <w:r>
        <w:rPr>
          <w:spacing w:val="-3"/>
          <w:sz w:val="24"/>
        </w:rPr>
        <w:t> </w:t>
      </w:r>
      <w:r>
        <w:rPr>
          <w:sz w:val="24"/>
        </w:rPr>
        <w:t>month</w:t>
      </w:r>
      <w:r>
        <w:rPr>
          <w:spacing w:val="-3"/>
          <w:sz w:val="24"/>
        </w:rPr>
        <w:t> </w:t>
      </w:r>
      <w:r>
        <w:rPr>
          <w:sz w:val="24"/>
        </w:rPr>
        <w:t>for</w:t>
      </w:r>
      <w:r>
        <w:rPr>
          <w:spacing w:val="-4"/>
          <w:sz w:val="24"/>
        </w:rPr>
        <w:t> </w:t>
      </w:r>
      <w:r>
        <w:rPr>
          <w:sz w:val="24"/>
        </w:rPr>
        <w:t>regular</w:t>
      </w:r>
      <w:r>
        <w:rPr>
          <w:spacing w:val="-2"/>
          <w:sz w:val="24"/>
        </w:rPr>
        <w:t> </w:t>
      </w:r>
      <w:r>
        <w:rPr>
          <w:sz w:val="24"/>
        </w:rPr>
        <w:t>mail</w:t>
      </w:r>
      <w:r>
        <w:rPr>
          <w:spacing w:val="-2"/>
          <w:sz w:val="24"/>
        </w:rPr>
        <w:t> </w:t>
      </w:r>
      <w:r>
        <w:rPr>
          <w:sz w:val="24"/>
        </w:rPr>
        <w:t>or</w:t>
      </w:r>
      <w:r>
        <w:rPr>
          <w:spacing w:val="-2"/>
          <w:sz w:val="24"/>
        </w:rPr>
        <w:t> </w:t>
      </w:r>
      <w:r>
        <w:rPr>
          <w:sz w:val="24"/>
        </w:rPr>
        <w:t>the</w:t>
      </w:r>
      <w:r>
        <w:rPr>
          <w:spacing w:val="-3"/>
          <w:sz w:val="24"/>
        </w:rPr>
        <w:t> </w:t>
      </w:r>
      <w:r>
        <w:rPr>
          <w:sz w:val="24"/>
        </w:rPr>
        <w:t>22nd</w:t>
      </w:r>
      <w:r>
        <w:rPr>
          <w:spacing w:val="-3"/>
          <w:sz w:val="24"/>
        </w:rPr>
        <w:t> </w:t>
      </w:r>
      <w:r>
        <w:rPr>
          <w:sz w:val="24"/>
        </w:rPr>
        <w:t>for</w:t>
      </w:r>
      <w:r>
        <w:rPr>
          <w:spacing w:val="-2"/>
          <w:sz w:val="24"/>
        </w:rPr>
        <w:t> </w:t>
      </w:r>
      <w:r>
        <w:rPr>
          <w:sz w:val="24"/>
        </w:rPr>
        <w:t>overnight</w:t>
      </w:r>
      <w:r>
        <w:rPr>
          <w:spacing w:val="-2"/>
          <w:sz w:val="24"/>
        </w:rPr>
        <w:t> </w:t>
      </w:r>
      <w:r>
        <w:rPr>
          <w:sz w:val="24"/>
        </w:rPr>
        <w:t>mail.</w:t>
      </w:r>
      <w:r>
        <w:rPr>
          <w:spacing w:val="-2"/>
          <w:sz w:val="24"/>
        </w:rPr>
        <w:t> </w:t>
      </w:r>
      <w:r>
        <w:rPr>
          <w:sz w:val="24"/>
        </w:rPr>
        <w:t>If these dates fall on a day where the post office is closed, they must be postmarked the day before. The BEP shall notify the manager on the first business day following the 25th if the report is not received.</w:t>
      </w:r>
      <w:r>
        <w:rPr>
          <w:spacing w:val="40"/>
          <w:sz w:val="24"/>
        </w:rPr>
        <w:t> </w:t>
      </w:r>
      <w:r>
        <w:rPr>
          <w:sz w:val="24"/>
        </w:rPr>
        <w:t>The BEP will review each monthly report for mathematical errors, correct loan payment, correct set-aside payment, approved business expenses, and other factors that will affect the accuracy of the report. The business consultant will sign the report indicating that the report is correct, correct payments are attached (if required), and all items in question have been discussed with the licensed manager.</w:t>
      </w:r>
    </w:p>
    <w:p>
      <w:pPr>
        <w:pStyle w:val="ListParagraph"/>
        <w:numPr>
          <w:ilvl w:val="0"/>
          <w:numId w:val="408"/>
        </w:numPr>
        <w:tabs>
          <w:tab w:pos="786" w:val="left" w:leader="none"/>
        </w:tabs>
        <w:spacing w:line="208" w:lineRule="auto" w:before="238" w:after="0"/>
        <w:ind w:left="360" w:right="742" w:firstLine="0"/>
        <w:jc w:val="left"/>
        <w:rPr>
          <w:sz w:val="24"/>
        </w:rPr>
      </w:pPr>
      <w:r>
        <w:rPr>
          <w:sz w:val="24"/>
        </w:rPr>
        <w:t>Failure</w:t>
      </w:r>
      <w:r>
        <w:rPr>
          <w:spacing w:val="-4"/>
          <w:sz w:val="24"/>
        </w:rPr>
        <w:t> </w:t>
      </w:r>
      <w:r>
        <w:rPr>
          <w:sz w:val="24"/>
        </w:rPr>
        <w:t>to</w:t>
      </w:r>
      <w:r>
        <w:rPr>
          <w:spacing w:val="-3"/>
          <w:sz w:val="24"/>
        </w:rPr>
        <w:t> </w:t>
      </w:r>
      <w:r>
        <w:rPr>
          <w:sz w:val="24"/>
        </w:rPr>
        <w:t>file</w:t>
      </w:r>
      <w:r>
        <w:rPr>
          <w:spacing w:val="-3"/>
          <w:sz w:val="24"/>
        </w:rPr>
        <w:t> </w:t>
      </w:r>
      <w:r>
        <w:rPr>
          <w:sz w:val="24"/>
        </w:rPr>
        <w:t>in</w:t>
      </w:r>
      <w:r>
        <w:rPr>
          <w:spacing w:val="-3"/>
          <w:sz w:val="24"/>
        </w:rPr>
        <w:t> </w:t>
      </w:r>
      <w:r>
        <w:rPr>
          <w:sz w:val="24"/>
        </w:rPr>
        <w:t>a</w:t>
      </w:r>
      <w:r>
        <w:rPr>
          <w:spacing w:val="-3"/>
          <w:sz w:val="24"/>
        </w:rPr>
        <w:t> </w:t>
      </w:r>
      <w:r>
        <w:rPr>
          <w:sz w:val="24"/>
        </w:rPr>
        <w:t>timely</w:t>
      </w:r>
      <w:r>
        <w:rPr>
          <w:spacing w:val="-3"/>
          <w:sz w:val="24"/>
        </w:rPr>
        <w:t> </w:t>
      </w:r>
      <w:r>
        <w:rPr>
          <w:sz w:val="24"/>
        </w:rPr>
        <w:t>manner.</w:t>
      </w:r>
      <w:r>
        <w:rPr>
          <w:spacing w:val="-2"/>
          <w:sz w:val="24"/>
        </w:rPr>
        <w:t> </w:t>
      </w:r>
      <w:r>
        <w:rPr>
          <w:sz w:val="24"/>
        </w:rPr>
        <w:t>If</w:t>
      </w:r>
      <w:r>
        <w:rPr>
          <w:spacing w:val="-4"/>
          <w:sz w:val="24"/>
        </w:rPr>
        <w:t> </w:t>
      </w:r>
      <w:r>
        <w:rPr>
          <w:sz w:val="24"/>
        </w:rPr>
        <w:t>the</w:t>
      </w:r>
      <w:r>
        <w:rPr>
          <w:spacing w:val="-3"/>
          <w:sz w:val="24"/>
        </w:rPr>
        <w:t> </w:t>
      </w:r>
      <w:r>
        <w:rPr>
          <w:sz w:val="24"/>
        </w:rPr>
        <w:t>accurate</w:t>
      </w:r>
      <w:r>
        <w:rPr>
          <w:spacing w:val="-4"/>
          <w:sz w:val="24"/>
        </w:rPr>
        <w:t> </w:t>
      </w:r>
      <w:r>
        <w:rPr>
          <w:sz w:val="24"/>
        </w:rPr>
        <w:t>monthly</w:t>
      </w:r>
      <w:r>
        <w:rPr>
          <w:spacing w:val="-3"/>
          <w:sz w:val="24"/>
        </w:rPr>
        <w:t> </w:t>
      </w:r>
      <w:r>
        <w:rPr>
          <w:sz w:val="24"/>
        </w:rPr>
        <w:t>report</w:t>
      </w:r>
      <w:r>
        <w:rPr>
          <w:spacing w:val="-4"/>
          <w:sz w:val="24"/>
        </w:rPr>
        <w:t> </w:t>
      </w:r>
      <w:r>
        <w:rPr>
          <w:sz w:val="24"/>
        </w:rPr>
        <w:t>and</w:t>
      </w:r>
      <w:r>
        <w:rPr>
          <w:spacing w:val="-3"/>
          <w:sz w:val="24"/>
        </w:rPr>
        <w:t> </w:t>
      </w:r>
      <w:r>
        <w:rPr>
          <w:sz w:val="24"/>
        </w:rPr>
        <w:t>correct</w:t>
      </w:r>
      <w:r>
        <w:rPr>
          <w:spacing w:val="-4"/>
          <w:sz w:val="24"/>
        </w:rPr>
        <w:t> </w:t>
      </w:r>
      <w:r>
        <w:rPr>
          <w:sz w:val="24"/>
        </w:rPr>
        <w:t>payment due, if applicable, are not received in the BEP office by the due date, the licensed manager will be placed on probation. If the 1st and second reports are not received by the time the 3rd report is due, the licensed manager’s agreement will be canceled and the BEP licenses will be suspended.</w:t>
      </w:r>
      <w:r>
        <w:rPr>
          <w:spacing w:val="40"/>
          <w:sz w:val="24"/>
        </w:rPr>
        <w:t> </w:t>
      </w:r>
      <w:r>
        <w:rPr>
          <w:sz w:val="24"/>
        </w:rPr>
        <w:t>Failure to file monthly reports in a timely manner three or more times within any twelve month period will result in formal disciplinary </w:t>
      </w:r>
      <w:r>
        <w:rPr>
          <w:spacing w:val="-2"/>
          <w:sz w:val="24"/>
        </w:rPr>
        <w:t>action.</w:t>
      </w:r>
    </w:p>
    <w:p>
      <w:pPr>
        <w:pStyle w:val="ListParagraph"/>
        <w:numPr>
          <w:ilvl w:val="0"/>
          <w:numId w:val="408"/>
        </w:numPr>
        <w:tabs>
          <w:tab w:pos="773" w:val="left" w:leader="none"/>
        </w:tabs>
        <w:spacing w:line="208" w:lineRule="auto" w:before="239" w:after="0"/>
        <w:ind w:left="360" w:right="806" w:firstLine="0"/>
        <w:jc w:val="left"/>
        <w:rPr>
          <w:sz w:val="24"/>
        </w:rPr>
      </w:pPr>
      <w:r>
        <w:rPr>
          <w:sz w:val="24"/>
        </w:rPr>
        <w:t>Fee for reports. The Agency maintains records for its use and may charge a reasonable</w:t>
      </w:r>
      <w:r>
        <w:rPr>
          <w:spacing w:val="-3"/>
          <w:sz w:val="24"/>
        </w:rPr>
        <w:t> </w:t>
      </w:r>
      <w:r>
        <w:rPr>
          <w:sz w:val="24"/>
        </w:rPr>
        <w:t>fee</w:t>
      </w:r>
      <w:r>
        <w:rPr>
          <w:spacing w:val="-4"/>
          <w:sz w:val="24"/>
        </w:rPr>
        <w:t> </w:t>
      </w:r>
      <w:r>
        <w:rPr>
          <w:sz w:val="24"/>
        </w:rPr>
        <w:t>to</w:t>
      </w:r>
      <w:r>
        <w:rPr>
          <w:spacing w:val="-5"/>
          <w:sz w:val="24"/>
        </w:rPr>
        <w:t> </w:t>
      </w:r>
      <w:r>
        <w:rPr>
          <w:sz w:val="24"/>
        </w:rPr>
        <w:t>supply</w:t>
      </w:r>
      <w:r>
        <w:rPr>
          <w:spacing w:val="-4"/>
          <w:sz w:val="24"/>
        </w:rPr>
        <w:t> </w:t>
      </w:r>
      <w:r>
        <w:rPr>
          <w:sz w:val="24"/>
        </w:rPr>
        <w:t>copies</w:t>
      </w:r>
      <w:r>
        <w:rPr>
          <w:spacing w:val="-3"/>
          <w:sz w:val="24"/>
        </w:rPr>
        <w:t> </w:t>
      </w:r>
      <w:r>
        <w:rPr>
          <w:sz w:val="24"/>
        </w:rPr>
        <w:t>of</w:t>
      </w:r>
      <w:r>
        <w:rPr>
          <w:spacing w:val="-3"/>
          <w:sz w:val="24"/>
        </w:rPr>
        <w:t> </w:t>
      </w:r>
      <w:r>
        <w:rPr>
          <w:sz w:val="24"/>
        </w:rPr>
        <w:t>records</w:t>
      </w:r>
      <w:r>
        <w:rPr>
          <w:spacing w:val="-5"/>
          <w:sz w:val="24"/>
        </w:rPr>
        <w:t> </w:t>
      </w:r>
      <w:r>
        <w:rPr>
          <w:sz w:val="24"/>
        </w:rPr>
        <w:t>to</w:t>
      </w:r>
      <w:r>
        <w:rPr>
          <w:spacing w:val="-4"/>
          <w:sz w:val="24"/>
        </w:rPr>
        <w:t> </w:t>
      </w:r>
      <w:r>
        <w:rPr>
          <w:sz w:val="24"/>
        </w:rPr>
        <w:t>individuals.</w:t>
      </w:r>
      <w:r>
        <w:rPr>
          <w:spacing w:val="-3"/>
          <w:sz w:val="24"/>
        </w:rPr>
        <w:t> </w:t>
      </w:r>
      <w:r>
        <w:rPr>
          <w:sz w:val="24"/>
        </w:rPr>
        <w:t>The</w:t>
      </w:r>
      <w:r>
        <w:rPr>
          <w:spacing w:val="-4"/>
          <w:sz w:val="24"/>
        </w:rPr>
        <w:t> </w:t>
      </w:r>
      <w:r>
        <w:rPr>
          <w:sz w:val="24"/>
        </w:rPr>
        <w:t>agency</w:t>
      </w:r>
      <w:r>
        <w:rPr>
          <w:spacing w:val="-4"/>
          <w:sz w:val="24"/>
        </w:rPr>
        <w:t> </w:t>
      </w:r>
      <w:r>
        <w:rPr>
          <w:sz w:val="24"/>
        </w:rPr>
        <w:t>will</w:t>
      </w:r>
      <w:r>
        <w:rPr>
          <w:spacing w:val="-4"/>
          <w:sz w:val="24"/>
        </w:rPr>
        <w:t> </w:t>
      </w:r>
      <w:r>
        <w:rPr>
          <w:sz w:val="24"/>
        </w:rPr>
        <w:t>supply</w:t>
      </w:r>
      <w:r>
        <w:rPr>
          <w:spacing w:val="-4"/>
          <w:sz w:val="24"/>
        </w:rPr>
        <w:t> </w:t>
      </w:r>
      <w:r>
        <w:rPr>
          <w:sz w:val="24"/>
        </w:rPr>
        <w:t>copies of lost reports or other documents at 25 cents per page.</w:t>
      </w:r>
    </w:p>
    <w:p>
      <w:pPr>
        <w:pStyle w:val="ListParagraph"/>
        <w:numPr>
          <w:ilvl w:val="0"/>
          <w:numId w:val="408"/>
        </w:numPr>
        <w:tabs>
          <w:tab w:pos="786" w:val="left" w:leader="none"/>
        </w:tabs>
        <w:spacing w:line="208" w:lineRule="auto" w:before="240" w:after="0"/>
        <w:ind w:left="360" w:right="1033" w:firstLine="0"/>
        <w:jc w:val="left"/>
        <w:rPr>
          <w:sz w:val="24"/>
        </w:rPr>
      </w:pPr>
      <w:r>
        <w:rPr>
          <w:sz w:val="24"/>
        </w:rPr>
        <w:t>Timely</w:t>
      </w:r>
      <w:r>
        <w:rPr>
          <w:spacing w:val="-5"/>
          <w:sz w:val="24"/>
        </w:rPr>
        <w:t> </w:t>
      </w:r>
      <w:r>
        <w:rPr>
          <w:sz w:val="24"/>
        </w:rPr>
        <w:t>submission.</w:t>
      </w:r>
      <w:r>
        <w:rPr>
          <w:spacing w:val="-3"/>
          <w:sz w:val="24"/>
        </w:rPr>
        <w:t> </w:t>
      </w:r>
      <w:r>
        <w:rPr>
          <w:sz w:val="24"/>
        </w:rPr>
        <w:t>Receipt</w:t>
      </w:r>
      <w:r>
        <w:rPr>
          <w:spacing w:val="-3"/>
          <w:sz w:val="24"/>
        </w:rPr>
        <w:t> </w:t>
      </w:r>
      <w:r>
        <w:rPr>
          <w:sz w:val="24"/>
        </w:rPr>
        <w:t>of</w:t>
      </w:r>
      <w:r>
        <w:rPr>
          <w:spacing w:val="-3"/>
          <w:sz w:val="24"/>
        </w:rPr>
        <w:t> </w:t>
      </w:r>
      <w:r>
        <w:rPr>
          <w:sz w:val="24"/>
        </w:rPr>
        <w:t>an</w:t>
      </w:r>
      <w:r>
        <w:rPr>
          <w:spacing w:val="-4"/>
          <w:sz w:val="24"/>
        </w:rPr>
        <w:t> </w:t>
      </w:r>
      <w:r>
        <w:rPr>
          <w:sz w:val="24"/>
        </w:rPr>
        <w:t>accurate</w:t>
      </w:r>
      <w:r>
        <w:rPr>
          <w:spacing w:val="-4"/>
          <w:sz w:val="24"/>
        </w:rPr>
        <w:t> </w:t>
      </w:r>
      <w:r>
        <w:rPr>
          <w:sz w:val="24"/>
        </w:rPr>
        <w:t>monthly</w:t>
      </w:r>
      <w:r>
        <w:rPr>
          <w:spacing w:val="-4"/>
          <w:sz w:val="24"/>
        </w:rPr>
        <w:t> </w:t>
      </w:r>
      <w:r>
        <w:rPr>
          <w:sz w:val="24"/>
        </w:rPr>
        <w:t>report</w:t>
      </w:r>
      <w:r>
        <w:rPr>
          <w:spacing w:val="-3"/>
          <w:sz w:val="24"/>
        </w:rPr>
        <w:t> </w:t>
      </w:r>
      <w:r>
        <w:rPr>
          <w:sz w:val="24"/>
        </w:rPr>
        <w:t>and</w:t>
      </w:r>
      <w:r>
        <w:rPr>
          <w:spacing w:val="-4"/>
          <w:sz w:val="24"/>
        </w:rPr>
        <w:t> </w:t>
      </w:r>
      <w:r>
        <w:rPr>
          <w:sz w:val="24"/>
        </w:rPr>
        <w:t>correct</w:t>
      </w:r>
      <w:r>
        <w:rPr>
          <w:spacing w:val="-3"/>
          <w:sz w:val="24"/>
        </w:rPr>
        <w:t> </w:t>
      </w:r>
      <w:r>
        <w:rPr>
          <w:sz w:val="24"/>
        </w:rPr>
        <w:t>payment,</w:t>
      </w:r>
      <w:r>
        <w:rPr>
          <w:spacing w:val="-3"/>
          <w:sz w:val="24"/>
        </w:rPr>
        <w:t> </w:t>
      </w:r>
      <w:r>
        <w:rPr>
          <w:sz w:val="24"/>
        </w:rPr>
        <w:t>if applicable, on or before the due date in the BEP office.</w:t>
      </w:r>
    </w:p>
    <w:p>
      <w:pPr>
        <w:pStyle w:val="ListParagraph"/>
        <w:numPr>
          <w:ilvl w:val="0"/>
          <w:numId w:val="408"/>
        </w:numPr>
        <w:tabs>
          <w:tab w:pos="786" w:val="left" w:leader="none"/>
        </w:tabs>
        <w:spacing w:line="240" w:lineRule="auto" w:before="210" w:after="0"/>
        <w:ind w:left="786" w:right="0" w:hanging="426"/>
        <w:jc w:val="left"/>
        <w:rPr>
          <w:sz w:val="24"/>
        </w:rPr>
      </w:pPr>
      <w:r>
        <w:rPr>
          <w:sz w:val="24"/>
        </w:rPr>
        <w:t>Returned</w:t>
      </w:r>
      <w:r>
        <w:rPr>
          <w:spacing w:val="-3"/>
          <w:sz w:val="24"/>
        </w:rPr>
        <w:t> </w:t>
      </w:r>
      <w:r>
        <w:rPr>
          <w:sz w:val="24"/>
        </w:rPr>
        <w:t>Checks.</w:t>
      </w:r>
      <w:r>
        <w:rPr>
          <w:spacing w:val="-2"/>
          <w:sz w:val="24"/>
        </w:rPr>
        <w:t> </w:t>
      </w:r>
      <w:r>
        <w:rPr>
          <w:sz w:val="24"/>
        </w:rPr>
        <w:t>An</w:t>
      </w:r>
      <w:r>
        <w:rPr>
          <w:spacing w:val="-3"/>
          <w:sz w:val="24"/>
        </w:rPr>
        <w:t> </w:t>
      </w:r>
      <w:r>
        <w:rPr>
          <w:sz w:val="24"/>
        </w:rPr>
        <w:t>insufficient</w:t>
      </w:r>
      <w:r>
        <w:rPr>
          <w:spacing w:val="-1"/>
          <w:sz w:val="24"/>
        </w:rPr>
        <w:t> </w:t>
      </w:r>
      <w:r>
        <w:rPr>
          <w:sz w:val="24"/>
        </w:rPr>
        <w:t>fund</w:t>
      </w:r>
      <w:r>
        <w:rPr>
          <w:spacing w:val="-3"/>
          <w:sz w:val="24"/>
        </w:rPr>
        <w:t> </w:t>
      </w:r>
      <w:r>
        <w:rPr>
          <w:sz w:val="24"/>
        </w:rPr>
        <w:t>check</w:t>
      </w:r>
      <w:r>
        <w:rPr>
          <w:spacing w:val="-3"/>
          <w:sz w:val="24"/>
        </w:rPr>
        <w:t> </w:t>
      </w:r>
      <w:r>
        <w:rPr>
          <w:sz w:val="24"/>
        </w:rPr>
        <w:t>will</w:t>
      </w:r>
      <w:r>
        <w:rPr>
          <w:spacing w:val="-3"/>
          <w:sz w:val="24"/>
        </w:rPr>
        <w:t> </w:t>
      </w:r>
      <w:r>
        <w:rPr>
          <w:sz w:val="24"/>
        </w:rPr>
        <w:t>be</w:t>
      </w:r>
      <w:r>
        <w:rPr>
          <w:spacing w:val="-2"/>
          <w:sz w:val="24"/>
        </w:rPr>
        <w:t> </w:t>
      </w:r>
      <w:r>
        <w:rPr>
          <w:sz w:val="24"/>
        </w:rPr>
        <w:t>assessed</w:t>
      </w:r>
      <w:r>
        <w:rPr>
          <w:spacing w:val="-3"/>
          <w:sz w:val="24"/>
        </w:rPr>
        <w:t> </w:t>
      </w:r>
      <w:r>
        <w:rPr>
          <w:sz w:val="24"/>
        </w:rPr>
        <w:t>a</w:t>
      </w:r>
      <w:r>
        <w:rPr>
          <w:spacing w:val="-2"/>
          <w:sz w:val="24"/>
        </w:rPr>
        <w:t> </w:t>
      </w:r>
      <w:r>
        <w:rPr>
          <w:sz w:val="24"/>
        </w:rPr>
        <w:t>$50.00</w:t>
      </w:r>
      <w:r>
        <w:rPr>
          <w:spacing w:val="-2"/>
          <w:sz w:val="24"/>
        </w:rPr>
        <w:t> </w:t>
      </w:r>
      <w:r>
        <w:rPr>
          <w:spacing w:val="-4"/>
          <w:sz w:val="24"/>
        </w:rPr>
        <w:t>fee.</w:t>
      </w:r>
    </w:p>
    <w:p>
      <w:pPr>
        <w:pStyle w:val="BodyText"/>
        <w:spacing w:before="0"/>
        <w:ind w:left="0"/>
      </w:pPr>
    </w:p>
    <w:p>
      <w:pPr>
        <w:pStyle w:val="BodyText"/>
        <w:spacing w:before="165"/>
        <w:ind w:left="0"/>
      </w:pPr>
    </w:p>
    <w:p>
      <w:pPr>
        <w:spacing w:before="1"/>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0"/>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tabs>
          <w:tab w:pos="1439" w:val="left" w:leader="none"/>
        </w:tabs>
        <w:spacing w:before="0"/>
        <w:ind w:left="359" w:right="6600" w:firstLine="1080"/>
        <w:jc w:val="left"/>
        <w:rPr>
          <w:sz w:val="22"/>
        </w:rPr>
      </w:pPr>
      <w:r>
        <w:rPr>
          <w:sz w:val="22"/>
        </w:rPr>
        <w:t>Permanent,</w:t>
      </w:r>
      <w:r>
        <w:rPr>
          <w:spacing w:val="-16"/>
          <w:sz w:val="22"/>
        </w:rPr>
        <w:t> </w:t>
      </w:r>
      <w:r>
        <w:rPr>
          <w:sz w:val="22"/>
        </w:rPr>
        <w:t>new</w:t>
      </w:r>
      <w:r>
        <w:rPr>
          <w:spacing w:val="-15"/>
          <w:sz w:val="22"/>
        </w:rPr>
        <w:t> </w:t>
      </w:r>
      <w:r>
        <w:rPr>
          <w:sz w:val="22"/>
        </w:rPr>
        <w:t>Section </w:t>
      </w:r>
      <w:r>
        <w:rPr>
          <w:spacing w:val="-2"/>
          <w:sz w:val="22"/>
        </w:rPr>
        <w:t>7-1-02</w:t>
      </w:r>
      <w:r>
        <w:rPr>
          <w:sz w:val="22"/>
        </w:rPr>
        <w:tab/>
        <w:t>POL Memo #02-02</w:t>
      </w:r>
    </w:p>
    <w:p>
      <w:pPr>
        <w:tabs>
          <w:tab w:pos="1439" w:val="left" w:leader="none"/>
        </w:tabs>
        <w:spacing w:before="0"/>
        <w:ind w:left="359" w:right="2358" w:firstLine="1080"/>
        <w:jc w:val="left"/>
        <w:rPr>
          <w:sz w:val="22"/>
        </w:rPr>
      </w:pPr>
      <w:r>
        <w:rPr>
          <w:sz w:val="22"/>
        </w:rPr>
        <w:t>Permanent,</w:t>
      </w:r>
      <w:r>
        <w:rPr>
          <w:spacing w:val="-5"/>
          <w:sz w:val="22"/>
        </w:rPr>
        <w:t> </w:t>
      </w:r>
      <w:r>
        <w:rPr>
          <w:sz w:val="22"/>
        </w:rPr>
        <w:t>removes</w:t>
      </w:r>
      <w:r>
        <w:rPr>
          <w:spacing w:val="-6"/>
          <w:sz w:val="22"/>
        </w:rPr>
        <w:t> </w:t>
      </w:r>
      <w:r>
        <w:rPr>
          <w:sz w:val="22"/>
        </w:rPr>
        <w:t>statement</w:t>
      </w:r>
      <w:r>
        <w:rPr>
          <w:spacing w:val="-6"/>
          <w:sz w:val="22"/>
        </w:rPr>
        <w:t> </w:t>
      </w:r>
      <w:r>
        <w:rPr>
          <w:sz w:val="22"/>
        </w:rPr>
        <w:t>regarding</w:t>
      </w:r>
      <w:r>
        <w:rPr>
          <w:spacing w:val="-6"/>
          <w:sz w:val="22"/>
        </w:rPr>
        <w:t> </w:t>
      </w:r>
      <w:r>
        <w:rPr>
          <w:sz w:val="22"/>
        </w:rPr>
        <w:t>possible</w:t>
      </w:r>
      <w:r>
        <w:rPr>
          <w:spacing w:val="-6"/>
          <w:sz w:val="22"/>
        </w:rPr>
        <w:t> </w:t>
      </w:r>
      <w:r>
        <w:rPr>
          <w:sz w:val="22"/>
        </w:rPr>
        <w:t>loss</w:t>
      </w:r>
      <w:r>
        <w:rPr>
          <w:spacing w:val="-6"/>
          <w:sz w:val="22"/>
        </w:rPr>
        <w:t> </w:t>
      </w:r>
      <w:r>
        <w:rPr>
          <w:sz w:val="22"/>
        </w:rPr>
        <w:t>of</w:t>
      </w:r>
      <w:r>
        <w:rPr>
          <w:spacing w:val="-6"/>
          <w:sz w:val="22"/>
        </w:rPr>
        <w:t> </w:t>
      </w:r>
      <w:r>
        <w:rPr>
          <w:sz w:val="22"/>
        </w:rPr>
        <w:t>insurance </w:t>
      </w:r>
      <w:r>
        <w:rPr>
          <w:spacing w:val="-2"/>
          <w:sz w:val="22"/>
        </w:rPr>
        <w:t>7-1-12</w:t>
      </w:r>
      <w:r>
        <w:rPr>
          <w:sz w:val="22"/>
        </w:rPr>
        <w:tab/>
        <w:t>Permanent, updating and clarifying language</w:t>
      </w:r>
    </w:p>
    <w:p>
      <w:pPr>
        <w:tabs>
          <w:tab w:pos="1439" w:val="left" w:leader="none"/>
        </w:tabs>
        <w:spacing w:before="0"/>
        <w:ind w:left="359" w:right="0" w:firstLine="0"/>
        <w:jc w:val="left"/>
        <w:rPr>
          <w:sz w:val="22"/>
        </w:rPr>
      </w:pPr>
      <w:r>
        <w:rPr>
          <w:spacing w:val="-2"/>
          <w:sz w:val="22"/>
        </w:rPr>
        <w:t>9-12-</w:t>
      </w:r>
      <w:r>
        <w:rPr>
          <w:spacing w:val="-5"/>
          <w:sz w:val="22"/>
        </w:rPr>
        <w:t>14</w:t>
      </w:r>
      <w:r>
        <w:rPr>
          <w:sz w:val="22"/>
        </w:rPr>
        <w:tab/>
        <w:t>Updated</w:t>
      </w:r>
      <w:r>
        <w:rPr>
          <w:spacing w:val="-10"/>
          <w:sz w:val="22"/>
        </w:rPr>
        <w:t> </w:t>
      </w:r>
      <w:r>
        <w:rPr>
          <w:spacing w:val="-2"/>
          <w:sz w:val="22"/>
        </w:rPr>
        <w:t>language</w:t>
      </w:r>
    </w:p>
    <w:p>
      <w:pPr>
        <w:spacing w:line="253" w:lineRule="exact" w:before="1"/>
        <w:ind w:left="1439" w:right="0" w:firstLine="0"/>
        <w:jc w:val="left"/>
        <w:rPr>
          <w:sz w:val="22"/>
        </w:rPr>
      </w:pPr>
      <w:r>
        <w:rPr>
          <w:sz w:val="22"/>
        </w:rPr>
        <w:t>Deletion</w:t>
      </w:r>
      <w:r>
        <w:rPr>
          <w:spacing w:val="-8"/>
          <w:sz w:val="22"/>
        </w:rPr>
        <w:t> </w:t>
      </w:r>
      <w:r>
        <w:rPr>
          <w:sz w:val="22"/>
        </w:rPr>
        <w:t>of</w:t>
      </w:r>
      <w:r>
        <w:rPr>
          <w:spacing w:val="-7"/>
          <w:sz w:val="22"/>
        </w:rPr>
        <w:t> </w:t>
      </w:r>
      <w:r>
        <w:rPr>
          <w:sz w:val="22"/>
        </w:rPr>
        <w:t>Instructions</w:t>
      </w:r>
      <w:r>
        <w:rPr>
          <w:spacing w:val="-7"/>
          <w:sz w:val="22"/>
        </w:rPr>
        <w:t> </w:t>
      </w:r>
      <w:r>
        <w:rPr>
          <w:sz w:val="22"/>
        </w:rPr>
        <w:t>to</w:t>
      </w:r>
      <w:r>
        <w:rPr>
          <w:spacing w:val="-7"/>
          <w:sz w:val="22"/>
        </w:rPr>
        <w:t> </w:t>
      </w:r>
      <w:r>
        <w:rPr>
          <w:spacing w:val="-2"/>
          <w:sz w:val="22"/>
        </w:rPr>
        <w:t>Staff</w:t>
      </w:r>
    </w:p>
    <w:p>
      <w:pPr>
        <w:tabs>
          <w:tab w:pos="1439" w:val="left" w:leader="none"/>
        </w:tabs>
        <w:spacing w:before="0"/>
        <w:ind w:left="1439" w:right="1465" w:hanging="1080"/>
        <w:jc w:val="left"/>
        <w:rPr>
          <w:sz w:val="22"/>
        </w:rPr>
      </w:pPr>
      <w:r>
        <w:rPr>
          <w:spacing w:val="-2"/>
          <w:sz w:val="22"/>
        </w:rPr>
        <w:t>8-27-15</w:t>
      </w:r>
      <w:r>
        <w:rPr>
          <w:sz w:val="22"/>
        </w:rPr>
        <w:tab/>
        <w:t>Updated</w:t>
      </w:r>
      <w:r>
        <w:rPr>
          <w:spacing w:val="-4"/>
          <w:sz w:val="22"/>
        </w:rPr>
        <w:t> </w:t>
      </w:r>
      <w:r>
        <w:rPr>
          <w:sz w:val="22"/>
        </w:rPr>
        <w:t>language</w:t>
      </w:r>
      <w:r>
        <w:rPr>
          <w:spacing w:val="-4"/>
          <w:sz w:val="22"/>
        </w:rPr>
        <w:t> </w:t>
      </w:r>
      <w:r>
        <w:rPr>
          <w:sz w:val="22"/>
        </w:rPr>
        <w:t>in</w:t>
      </w:r>
      <w:r>
        <w:rPr>
          <w:spacing w:val="-4"/>
          <w:sz w:val="22"/>
        </w:rPr>
        <w:t> </w:t>
      </w:r>
      <w:r>
        <w:rPr>
          <w:sz w:val="22"/>
        </w:rPr>
        <w:t>section</w:t>
      </w:r>
      <w:r>
        <w:rPr>
          <w:spacing w:val="-4"/>
          <w:sz w:val="22"/>
        </w:rPr>
        <w:t> </w:t>
      </w:r>
      <w:r>
        <w:rPr>
          <w:sz w:val="22"/>
        </w:rPr>
        <w:t>(a)</w:t>
      </w:r>
      <w:r>
        <w:rPr>
          <w:spacing w:val="-4"/>
          <w:sz w:val="22"/>
        </w:rPr>
        <w:t> </w:t>
      </w:r>
      <w:r>
        <w:rPr>
          <w:sz w:val="22"/>
        </w:rPr>
        <w:t>to</w:t>
      </w:r>
      <w:r>
        <w:rPr>
          <w:spacing w:val="-4"/>
          <w:sz w:val="22"/>
        </w:rPr>
        <w:t> </w:t>
      </w:r>
      <w:r>
        <w:rPr>
          <w:sz w:val="22"/>
        </w:rPr>
        <w:t>include</w:t>
      </w:r>
      <w:r>
        <w:rPr>
          <w:spacing w:val="-4"/>
          <w:sz w:val="22"/>
        </w:rPr>
        <w:t> </w:t>
      </w:r>
      <w:r>
        <w:rPr>
          <w:sz w:val="22"/>
        </w:rPr>
        <w:t>mailing</w:t>
      </w:r>
      <w:r>
        <w:rPr>
          <w:spacing w:val="-4"/>
          <w:sz w:val="22"/>
        </w:rPr>
        <w:t> </w:t>
      </w:r>
      <w:r>
        <w:rPr>
          <w:sz w:val="22"/>
        </w:rPr>
        <w:t>payments</w:t>
      </w:r>
      <w:r>
        <w:rPr>
          <w:spacing w:val="-4"/>
          <w:sz w:val="22"/>
        </w:rPr>
        <w:t> </w:t>
      </w:r>
      <w:r>
        <w:rPr>
          <w:sz w:val="22"/>
        </w:rPr>
        <w:t>and</w:t>
      </w:r>
      <w:r>
        <w:rPr>
          <w:spacing w:val="-4"/>
          <w:sz w:val="22"/>
        </w:rPr>
        <w:t> </w:t>
      </w:r>
      <w:r>
        <w:rPr>
          <w:sz w:val="22"/>
        </w:rPr>
        <w:t>postmarked </w:t>
      </w:r>
      <w:r>
        <w:rPr>
          <w:spacing w:val="-2"/>
          <w:sz w:val="22"/>
        </w:rPr>
        <w:t>deadlines.</w:t>
      </w:r>
    </w:p>
    <w:p>
      <w:pPr>
        <w:spacing w:after="0"/>
        <w:jc w:val="left"/>
        <w:rPr>
          <w:sz w:val="22"/>
        </w:rPr>
        <w:sectPr>
          <w:pgSz w:w="12240" w:h="15840"/>
          <w:pgMar w:top="1340" w:bottom="280" w:left="1080" w:right="720"/>
        </w:sectPr>
      </w:pPr>
    </w:p>
    <w:p>
      <w:pPr>
        <w:tabs>
          <w:tab w:pos="1439" w:val="left" w:leader="none"/>
        </w:tabs>
        <w:spacing w:before="80"/>
        <w:ind w:left="1439" w:right="904" w:hanging="1080"/>
        <w:jc w:val="left"/>
        <w:rPr>
          <w:sz w:val="22"/>
        </w:rPr>
      </w:pPr>
      <w:r>
        <w:rPr>
          <w:spacing w:val="-2"/>
          <w:sz w:val="22"/>
        </w:rPr>
        <w:t>9-11-22</w:t>
      </w:r>
      <w:r>
        <w:rPr>
          <w:sz w:val="22"/>
        </w:rPr>
        <w:tab/>
        <w:t>Removed</w:t>
      </w:r>
      <w:r>
        <w:rPr>
          <w:spacing w:val="-5"/>
          <w:sz w:val="22"/>
        </w:rPr>
        <w:t> </w:t>
      </w:r>
      <w:r>
        <w:rPr>
          <w:sz w:val="22"/>
        </w:rPr>
        <w:t>antiquated</w:t>
      </w:r>
      <w:r>
        <w:rPr>
          <w:spacing w:val="-5"/>
          <w:sz w:val="22"/>
        </w:rPr>
        <w:t> </w:t>
      </w:r>
      <w:r>
        <w:rPr>
          <w:sz w:val="22"/>
        </w:rPr>
        <w:t>language.</w:t>
      </w:r>
      <w:r>
        <w:rPr>
          <w:spacing w:val="-5"/>
          <w:sz w:val="22"/>
        </w:rPr>
        <w:t> </w:t>
      </w:r>
      <w:r>
        <w:rPr>
          <w:sz w:val="22"/>
        </w:rPr>
        <w:t>Added</w:t>
      </w:r>
      <w:r>
        <w:rPr>
          <w:spacing w:val="-5"/>
          <w:sz w:val="22"/>
        </w:rPr>
        <w:t> </w:t>
      </w:r>
      <w:r>
        <w:rPr>
          <w:sz w:val="22"/>
        </w:rPr>
        <w:t>language</w:t>
      </w:r>
      <w:r>
        <w:rPr>
          <w:spacing w:val="-5"/>
          <w:sz w:val="22"/>
        </w:rPr>
        <w:t> </w:t>
      </w:r>
      <w:r>
        <w:rPr>
          <w:sz w:val="22"/>
        </w:rPr>
        <w:t>for</w:t>
      </w:r>
      <w:r>
        <w:rPr>
          <w:spacing w:val="-5"/>
          <w:sz w:val="22"/>
        </w:rPr>
        <w:t> </w:t>
      </w:r>
      <w:r>
        <w:rPr>
          <w:sz w:val="22"/>
        </w:rPr>
        <w:t>submission</w:t>
      </w:r>
      <w:r>
        <w:rPr>
          <w:spacing w:val="-5"/>
          <w:sz w:val="22"/>
        </w:rPr>
        <w:t> </w:t>
      </w:r>
      <w:r>
        <w:rPr>
          <w:sz w:val="22"/>
        </w:rPr>
        <w:t>times</w:t>
      </w:r>
      <w:r>
        <w:rPr>
          <w:spacing w:val="-5"/>
          <w:sz w:val="22"/>
        </w:rPr>
        <w:t> </w:t>
      </w:r>
      <w:r>
        <w:rPr>
          <w:sz w:val="22"/>
        </w:rPr>
        <w:t>and</w:t>
      </w:r>
      <w:r>
        <w:rPr>
          <w:spacing w:val="-5"/>
          <w:sz w:val="22"/>
        </w:rPr>
        <w:t> </w:t>
      </w:r>
      <w:r>
        <w:rPr>
          <w:sz w:val="22"/>
        </w:rPr>
        <w:t>returned checks. Added section (d) and (e).</w:t>
      </w:r>
    </w:p>
    <w:p>
      <w:pPr>
        <w:spacing w:after="0"/>
        <w:jc w:val="left"/>
        <w:rPr>
          <w:sz w:val="22"/>
        </w:rPr>
        <w:sectPr>
          <w:pgSz w:w="12240" w:h="15840"/>
          <w:pgMar w:top="1360" w:bottom="280" w:left="1080" w:right="720"/>
        </w:sectPr>
      </w:pPr>
    </w:p>
    <w:p>
      <w:pPr>
        <w:pStyle w:val="Heading1"/>
        <w:ind w:right="777"/>
      </w:pPr>
      <w:bookmarkStart w:name="PART 5. THE ELECTED COMMITTEE OF LICENSE" w:id="436"/>
      <w:bookmarkEnd w:id="436"/>
      <w:r>
        <w:rPr>
          <w:b w:val="0"/>
        </w:rPr>
      </w:r>
      <w:r>
        <w:rPr/>
        <w:t>PART</w:t>
      </w:r>
      <w:r>
        <w:rPr>
          <w:spacing w:val="-2"/>
        </w:rPr>
        <w:t> </w:t>
      </w:r>
      <w:r>
        <w:rPr/>
        <w:t>5.</w:t>
      </w:r>
      <w:r>
        <w:rPr>
          <w:spacing w:val="-4"/>
        </w:rPr>
        <w:t> </w:t>
      </w:r>
      <w:r>
        <w:rPr/>
        <w:t>THE</w:t>
      </w:r>
      <w:r>
        <w:rPr>
          <w:spacing w:val="-3"/>
        </w:rPr>
        <w:t> </w:t>
      </w:r>
      <w:r>
        <w:rPr/>
        <w:t>ELECTED</w:t>
      </w:r>
      <w:r>
        <w:rPr>
          <w:spacing w:val="-2"/>
        </w:rPr>
        <w:t> </w:t>
      </w:r>
      <w:r>
        <w:rPr/>
        <w:t>COMMITTEE</w:t>
      </w:r>
      <w:r>
        <w:rPr>
          <w:spacing w:val="-3"/>
        </w:rPr>
        <w:t> </w:t>
      </w:r>
      <w:r>
        <w:rPr/>
        <w:t>OF</w:t>
      </w:r>
      <w:r>
        <w:rPr>
          <w:spacing w:val="-2"/>
        </w:rPr>
        <w:t> </w:t>
      </w:r>
      <w:r>
        <w:rPr/>
        <w:t>LICENSED</w:t>
      </w:r>
      <w:r>
        <w:rPr>
          <w:spacing w:val="-1"/>
        </w:rPr>
        <w:t> </w:t>
      </w:r>
      <w:r>
        <w:rPr>
          <w:spacing w:val="-2"/>
        </w:rPr>
        <w:t>MANAGERS</w:t>
      </w:r>
    </w:p>
    <w:p>
      <w:pPr>
        <w:pStyle w:val="BodyText"/>
        <w:spacing w:before="204"/>
      </w:pPr>
      <w:r>
        <w:rPr>
          <w:spacing w:val="-2"/>
        </w:rPr>
        <w:t>Section</w:t>
      </w:r>
    </w:p>
    <w:p>
      <w:pPr>
        <w:pStyle w:val="BodyText"/>
        <w:tabs>
          <w:tab w:pos="2159" w:val="left" w:leader="none"/>
        </w:tabs>
        <w:spacing w:before="204"/>
      </w:pPr>
      <w:r>
        <w:rPr>
          <w:spacing w:val="-2"/>
        </w:rPr>
        <w:t>612:25-6-</w:t>
      </w:r>
      <w:r>
        <w:rPr>
          <w:spacing w:val="-5"/>
        </w:rPr>
        <w:t>32.</w:t>
      </w:r>
      <w:r>
        <w:rPr/>
        <w:tab/>
        <w:t>The</w:t>
      </w:r>
      <w:r>
        <w:rPr>
          <w:spacing w:val="-4"/>
        </w:rPr>
        <w:t> </w:t>
      </w:r>
      <w:r>
        <w:rPr/>
        <w:t>Elected</w:t>
      </w:r>
      <w:r>
        <w:rPr>
          <w:spacing w:val="-3"/>
        </w:rPr>
        <w:t> </w:t>
      </w:r>
      <w:r>
        <w:rPr/>
        <w:t>Committee</w:t>
      </w:r>
      <w:r>
        <w:rPr>
          <w:spacing w:val="-3"/>
        </w:rPr>
        <w:t> </w:t>
      </w:r>
      <w:r>
        <w:rPr/>
        <w:t>of</w:t>
      </w:r>
      <w:r>
        <w:rPr>
          <w:spacing w:val="-2"/>
        </w:rPr>
        <w:t> </w:t>
      </w:r>
      <w:r>
        <w:rPr/>
        <w:t>Licensed</w:t>
      </w:r>
      <w:r>
        <w:rPr>
          <w:spacing w:val="-3"/>
        </w:rPr>
        <w:t> </w:t>
      </w:r>
      <w:r>
        <w:rPr>
          <w:spacing w:val="-2"/>
        </w:rPr>
        <w:t>Managers</w:t>
      </w:r>
    </w:p>
    <w:p>
      <w:pPr>
        <w:pStyle w:val="BodyText"/>
        <w:tabs>
          <w:tab w:pos="2159" w:val="left" w:leader="none"/>
        </w:tabs>
        <w:spacing w:line="208" w:lineRule="auto" w:before="233"/>
        <w:ind w:left="2160" w:right="1327" w:hanging="1800"/>
      </w:pPr>
      <w:r>
        <w:rPr>
          <w:spacing w:val="-2"/>
        </w:rPr>
        <w:t>612:25-6-33.</w:t>
      </w:r>
      <w:r>
        <w:rPr/>
        <w:tab/>
        <w:t>Organization</w:t>
      </w:r>
      <w:r>
        <w:rPr>
          <w:spacing w:val="-5"/>
        </w:rPr>
        <w:t> </w:t>
      </w:r>
      <w:r>
        <w:rPr/>
        <w:t>and</w:t>
      </w:r>
      <w:r>
        <w:rPr>
          <w:spacing w:val="-5"/>
        </w:rPr>
        <w:t> </w:t>
      </w:r>
      <w:r>
        <w:rPr/>
        <w:t>operation</w:t>
      </w:r>
      <w:r>
        <w:rPr>
          <w:spacing w:val="-5"/>
        </w:rPr>
        <w:t> </w:t>
      </w:r>
      <w:r>
        <w:rPr/>
        <w:t>of</w:t>
      </w:r>
      <w:r>
        <w:rPr>
          <w:spacing w:val="-4"/>
        </w:rPr>
        <w:t> </w:t>
      </w:r>
      <w:r>
        <w:rPr/>
        <w:t>the</w:t>
      </w:r>
      <w:r>
        <w:rPr>
          <w:spacing w:val="-5"/>
        </w:rPr>
        <w:t> </w:t>
      </w:r>
      <w:r>
        <w:rPr/>
        <w:t>Elected</w:t>
      </w:r>
      <w:r>
        <w:rPr>
          <w:spacing w:val="-5"/>
        </w:rPr>
        <w:t> </w:t>
      </w:r>
      <w:r>
        <w:rPr/>
        <w:t>Committee</w:t>
      </w:r>
      <w:r>
        <w:rPr>
          <w:spacing w:val="-5"/>
        </w:rPr>
        <w:t> </w:t>
      </w:r>
      <w:r>
        <w:rPr/>
        <w:t>of</w:t>
      </w:r>
      <w:r>
        <w:rPr>
          <w:spacing w:val="-4"/>
        </w:rPr>
        <w:t> </w:t>
      </w:r>
      <w:r>
        <w:rPr/>
        <w:t>Licensed </w:t>
      </w:r>
      <w:r>
        <w:rPr>
          <w:spacing w:val="-2"/>
        </w:rPr>
        <w:t>Managers</w:t>
      </w:r>
    </w:p>
    <w:p>
      <w:pPr>
        <w:pStyle w:val="BodyText"/>
        <w:spacing w:after="0" w:line="208" w:lineRule="auto"/>
        <w:sectPr>
          <w:pgSz w:w="12240" w:h="15840"/>
          <w:pgMar w:top="1340" w:bottom="280" w:left="1080" w:right="720"/>
        </w:sectPr>
      </w:pPr>
    </w:p>
    <w:p>
      <w:pPr>
        <w:pStyle w:val="Heading2"/>
      </w:pPr>
      <w:bookmarkStart w:name="612:25-6-32.  The Elected Committee of L" w:id="437"/>
      <w:bookmarkEnd w:id="437"/>
      <w:r>
        <w:rPr>
          <w:b w:val="0"/>
        </w:rPr>
      </w:r>
      <w:r>
        <w:rPr/>
        <w:t>612:25-6-32.</w:t>
      </w:r>
      <w:r>
        <w:rPr>
          <w:spacing w:val="59"/>
        </w:rPr>
        <w:t> </w:t>
      </w:r>
      <w:r>
        <w:rPr/>
        <w:t>The</w:t>
      </w:r>
      <w:r>
        <w:rPr>
          <w:spacing w:val="-4"/>
        </w:rPr>
        <w:t> </w:t>
      </w:r>
      <w:r>
        <w:rPr/>
        <w:t>Elected</w:t>
      </w:r>
      <w:r>
        <w:rPr>
          <w:spacing w:val="-3"/>
        </w:rPr>
        <w:t> </w:t>
      </w:r>
      <w:r>
        <w:rPr/>
        <w:t>Committee</w:t>
      </w:r>
      <w:r>
        <w:rPr>
          <w:spacing w:val="-4"/>
        </w:rPr>
        <w:t> </w:t>
      </w:r>
      <w:r>
        <w:rPr/>
        <w:t>of</w:t>
      </w:r>
      <w:r>
        <w:rPr>
          <w:spacing w:val="-2"/>
        </w:rPr>
        <w:t> </w:t>
      </w:r>
      <w:r>
        <w:rPr/>
        <w:t>Licensed</w:t>
      </w:r>
      <w:r>
        <w:rPr>
          <w:spacing w:val="-4"/>
        </w:rPr>
        <w:t> </w:t>
      </w:r>
      <w:r>
        <w:rPr>
          <w:spacing w:val="-2"/>
        </w:rPr>
        <w:t>Managers</w:t>
      </w:r>
    </w:p>
    <w:p>
      <w:pPr>
        <w:pStyle w:val="ListParagraph"/>
        <w:numPr>
          <w:ilvl w:val="0"/>
          <w:numId w:val="409"/>
        </w:numPr>
        <w:tabs>
          <w:tab w:pos="785" w:val="left" w:leader="none"/>
        </w:tabs>
        <w:spacing w:line="208" w:lineRule="auto" w:before="233" w:after="0"/>
        <w:ind w:left="359" w:right="1140" w:firstLine="0"/>
        <w:jc w:val="both"/>
        <w:rPr>
          <w:sz w:val="24"/>
        </w:rPr>
      </w:pPr>
      <w:r>
        <w:rPr>
          <w:sz w:val="24"/>
        </w:rPr>
        <w:t>Authority</w:t>
      </w:r>
      <w:r>
        <w:rPr>
          <w:spacing w:val="-4"/>
          <w:sz w:val="24"/>
        </w:rPr>
        <w:t> </w:t>
      </w:r>
      <w:r>
        <w:rPr>
          <w:sz w:val="24"/>
        </w:rPr>
        <w:t>for</w:t>
      </w:r>
      <w:r>
        <w:rPr>
          <w:spacing w:val="-5"/>
          <w:sz w:val="24"/>
        </w:rPr>
        <w:t> </w:t>
      </w:r>
      <w:r>
        <w:rPr>
          <w:sz w:val="24"/>
        </w:rPr>
        <w:t>Establishing</w:t>
      </w:r>
      <w:r>
        <w:rPr>
          <w:spacing w:val="-4"/>
          <w:sz w:val="24"/>
        </w:rPr>
        <w:t> </w:t>
      </w:r>
      <w:r>
        <w:rPr>
          <w:sz w:val="24"/>
        </w:rPr>
        <w:t>an</w:t>
      </w:r>
      <w:r>
        <w:rPr>
          <w:spacing w:val="-3"/>
          <w:sz w:val="24"/>
        </w:rPr>
        <w:t> </w:t>
      </w:r>
      <w:r>
        <w:rPr>
          <w:sz w:val="24"/>
        </w:rPr>
        <w:t>Elected</w:t>
      </w:r>
      <w:r>
        <w:rPr>
          <w:spacing w:val="-4"/>
          <w:sz w:val="24"/>
        </w:rPr>
        <w:t> </w:t>
      </w:r>
      <w:r>
        <w:rPr>
          <w:sz w:val="24"/>
        </w:rPr>
        <w:t>Committee</w:t>
      </w:r>
      <w:r>
        <w:rPr>
          <w:spacing w:val="-4"/>
          <w:sz w:val="24"/>
        </w:rPr>
        <w:t> </w:t>
      </w:r>
      <w:r>
        <w:rPr>
          <w:sz w:val="24"/>
        </w:rPr>
        <w:t>of</w:t>
      </w:r>
      <w:r>
        <w:rPr>
          <w:spacing w:val="-6"/>
          <w:sz w:val="24"/>
        </w:rPr>
        <w:t> </w:t>
      </w:r>
      <w:r>
        <w:rPr>
          <w:sz w:val="24"/>
        </w:rPr>
        <w:t>Licensed</w:t>
      </w:r>
      <w:r>
        <w:rPr>
          <w:spacing w:val="-4"/>
          <w:sz w:val="24"/>
        </w:rPr>
        <w:t> </w:t>
      </w:r>
      <w:r>
        <w:rPr>
          <w:sz w:val="24"/>
        </w:rPr>
        <w:t>Managers</w:t>
      </w:r>
      <w:r>
        <w:rPr>
          <w:spacing w:val="-4"/>
          <w:sz w:val="24"/>
        </w:rPr>
        <w:t> </w:t>
      </w:r>
      <w:r>
        <w:rPr>
          <w:sz w:val="24"/>
        </w:rPr>
        <w:t>(ECM)</w:t>
      </w:r>
      <w:r>
        <w:rPr>
          <w:spacing w:val="-3"/>
          <w:sz w:val="24"/>
        </w:rPr>
        <w:t> </w:t>
      </w:r>
      <w:r>
        <w:rPr>
          <w:sz w:val="24"/>
        </w:rPr>
        <w:t>is found in Section 107-B1 of Chapter 6A of Title 20 U.S., commonly referred to as the Randolph-Sheppard Act.</w:t>
      </w:r>
    </w:p>
    <w:p>
      <w:pPr>
        <w:pStyle w:val="ListParagraph"/>
        <w:numPr>
          <w:ilvl w:val="0"/>
          <w:numId w:val="409"/>
        </w:numPr>
        <w:tabs>
          <w:tab w:pos="785" w:val="left" w:leader="none"/>
        </w:tabs>
        <w:spacing w:line="208" w:lineRule="auto" w:before="240" w:after="0"/>
        <w:ind w:left="359" w:right="1324" w:firstLine="0"/>
        <w:jc w:val="left"/>
        <w:rPr>
          <w:sz w:val="24"/>
        </w:rPr>
      </w:pPr>
      <w:r>
        <w:rPr>
          <w:sz w:val="24"/>
        </w:rPr>
        <w:t>Paragraphs</w:t>
      </w:r>
      <w:r>
        <w:rPr>
          <w:spacing w:val="-4"/>
          <w:sz w:val="24"/>
        </w:rPr>
        <w:t> </w:t>
      </w:r>
      <w:r>
        <w:rPr>
          <w:sz w:val="24"/>
        </w:rPr>
        <w:t>(1)</w:t>
      </w:r>
      <w:r>
        <w:rPr>
          <w:spacing w:val="-3"/>
          <w:sz w:val="24"/>
        </w:rPr>
        <w:t> </w:t>
      </w:r>
      <w:r>
        <w:rPr>
          <w:sz w:val="24"/>
        </w:rPr>
        <w:t>and</w:t>
      </w:r>
      <w:r>
        <w:rPr>
          <w:spacing w:val="-4"/>
          <w:sz w:val="24"/>
        </w:rPr>
        <w:t> </w:t>
      </w:r>
      <w:r>
        <w:rPr>
          <w:sz w:val="24"/>
        </w:rPr>
        <w:t>(2)</w:t>
      </w:r>
      <w:r>
        <w:rPr>
          <w:spacing w:val="-3"/>
          <w:sz w:val="24"/>
        </w:rPr>
        <w:t> </w:t>
      </w:r>
      <w:r>
        <w:rPr>
          <w:sz w:val="24"/>
        </w:rPr>
        <w:t>of</w:t>
      </w:r>
      <w:r>
        <w:rPr>
          <w:spacing w:val="-5"/>
          <w:sz w:val="24"/>
        </w:rPr>
        <w:t> </w:t>
      </w:r>
      <w:r>
        <w:rPr>
          <w:sz w:val="24"/>
        </w:rPr>
        <w:t>this</w:t>
      </w:r>
      <w:r>
        <w:rPr>
          <w:spacing w:val="-5"/>
          <w:sz w:val="24"/>
        </w:rPr>
        <w:t> </w:t>
      </w:r>
      <w:r>
        <w:rPr>
          <w:sz w:val="24"/>
        </w:rPr>
        <w:t>Subsection</w:t>
      </w:r>
      <w:r>
        <w:rPr>
          <w:spacing w:val="-4"/>
          <w:sz w:val="24"/>
        </w:rPr>
        <w:t> </w:t>
      </w:r>
      <w:r>
        <w:rPr>
          <w:sz w:val="24"/>
        </w:rPr>
        <w:t>provide</w:t>
      </w:r>
      <w:r>
        <w:rPr>
          <w:spacing w:val="-4"/>
          <w:sz w:val="24"/>
        </w:rPr>
        <w:t> </w:t>
      </w:r>
      <w:r>
        <w:rPr>
          <w:sz w:val="24"/>
        </w:rPr>
        <w:t>guidance</w:t>
      </w:r>
      <w:r>
        <w:rPr>
          <w:spacing w:val="-4"/>
          <w:sz w:val="24"/>
        </w:rPr>
        <w:t> </w:t>
      </w:r>
      <w:r>
        <w:rPr>
          <w:sz w:val="24"/>
        </w:rPr>
        <w:t>in</w:t>
      </w:r>
      <w:r>
        <w:rPr>
          <w:spacing w:val="-4"/>
          <w:sz w:val="24"/>
        </w:rPr>
        <w:t> </w:t>
      </w:r>
      <w:r>
        <w:rPr>
          <w:sz w:val="24"/>
        </w:rPr>
        <w:t>approaching</w:t>
      </w:r>
      <w:r>
        <w:rPr>
          <w:spacing w:val="-4"/>
          <w:sz w:val="24"/>
        </w:rPr>
        <w:t> </w:t>
      </w:r>
      <w:r>
        <w:rPr>
          <w:sz w:val="24"/>
        </w:rPr>
        <w:t>the degree of participation by the ECM.</w:t>
      </w:r>
    </w:p>
    <w:p>
      <w:pPr>
        <w:pStyle w:val="ListParagraph"/>
        <w:numPr>
          <w:ilvl w:val="1"/>
          <w:numId w:val="409"/>
        </w:numPr>
        <w:tabs>
          <w:tab w:pos="1217" w:val="left" w:leader="none"/>
        </w:tabs>
        <w:spacing w:line="208" w:lineRule="auto" w:before="239" w:after="0"/>
        <w:ind w:left="791" w:right="1160" w:firstLine="0"/>
        <w:jc w:val="left"/>
        <w:rPr>
          <w:sz w:val="24"/>
        </w:rPr>
      </w:pPr>
      <w:r>
        <w:rPr>
          <w:sz w:val="24"/>
        </w:rPr>
        <w:t>Active</w:t>
      </w:r>
      <w:r>
        <w:rPr>
          <w:spacing w:val="-5"/>
          <w:sz w:val="24"/>
        </w:rPr>
        <w:t> </w:t>
      </w:r>
      <w:r>
        <w:rPr>
          <w:sz w:val="24"/>
        </w:rPr>
        <w:t>participation</w:t>
      </w:r>
      <w:r>
        <w:rPr>
          <w:spacing w:val="-4"/>
          <w:sz w:val="24"/>
        </w:rPr>
        <w:t> </w:t>
      </w:r>
      <w:r>
        <w:rPr>
          <w:sz w:val="24"/>
        </w:rPr>
        <w:t>means</w:t>
      </w:r>
      <w:r>
        <w:rPr>
          <w:spacing w:val="-4"/>
          <w:sz w:val="24"/>
        </w:rPr>
        <w:t> </w:t>
      </w:r>
      <w:r>
        <w:rPr>
          <w:sz w:val="24"/>
        </w:rPr>
        <w:t>a</w:t>
      </w:r>
      <w:r>
        <w:rPr>
          <w:spacing w:val="-5"/>
          <w:sz w:val="24"/>
        </w:rPr>
        <w:t> </w:t>
      </w:r>
      <w:r>
        <w:rPr>
          <w:sz w:val="24"/>
        </w:rPr>
        <w:t>process</w:t>
      </w:r>
      <w:r>
        <w:rPr>
          <w:spacing w:val="-4"/>
          <w:sz w:val="24"/>
        </w:rPr>
        <w:t> </w:t>
      </w:r>
      <w:r>
        <w:rPr>
          <w:sz w:val="24"/>
        </w:rPr>
        <w:t>of</w:t>
      </w:r>
      <w:r>
        <w:rPr>
          <w:spacing w:val="-5"/>
          <w:sz w:val="24"/>
        </w:rPr>
        <w:t> </w:t>
      </w:r>
      <w:r>
        <w:rPr>
          <w:sz w:val="24"/>
        </w:rPr>
        <w:t>good</w:t>
      </w:r>
      <w:r>
        <w:rPr>
          <w:spacing w:val="-4"/>
          <w:sz w:val="24"/>
        </w:rPr>
        <w:t> </w:t>
      </w:r>
      <w:r>
        <w:rPr>
          <w:sz w:val="24"/>
        </w:rPr>
        <w:t>faith</w:t>
      </w:r>
      <w:r>
        <w:rPr>
          <w:spacing w:val="-4"/>
          <w:sz w:val="24"/>
        </w:rPr>
        <w:t> </w:t>
      </w:r>
      <w:r>
        <w:rPr>
          <w:sz w:val="24"/>
        </w:rPr>
        <w:t>negotiations</w:t>
      </w:r>
      <w:r>
        <w:rPr>
          <w:spacing w:val="-4"/>
          <w:sz w:val="24"/>
        </w:rPr>
        <w:t> </w:t>
      </w:r>
      <w:r>
        <w:rPr>
          <w:sz w:val="24"/>
        </w:rPr>
        <w:t>involving</w:t>
      </w:r>
      <w:r>
        <w:rPr>
          <w:spacing w:val="-4"/>
          <w:sz w:val="24"/>
        </w:rPr>
        <w:t> </w:t>
      </w:r>
      <w:r>
        <w:rPr>
          <w:sz w:val="24"/>
        </w:rPr>
        <w:t>the ECM and the SLA. The Committee must be given the opportunity to have meaningful</w:t>
      </w:r>
      <w:r>
        <w:rPr>
          <w:spacing w:val="-1"/>
          <w:sz w:val="24"/>
        </w:rPr>
        <w:t> </w:t>
      </w:r>
      <w:r>
        <w:rPr>
          <w:sz w:val="24"/>
        </w:rPr>
        <w:t>input</w:t>
      </w:r>
      <w:r>
        <w:rPr>
          <w:spacing w:val="-1"/>
          <w:sz w:val="24"/>
        </w:rPr>
        <w:t> </w:t>
      </w:r>
      <w:r>
        <w:rPr>
          <w:sz w:val="24"/>
        </w:rPr>
        <w:t>into</w:t>
      </w:r>
      <w:r>
        <w:rPr>
          <w:spacing w:val="-2"/>
          <w:sz w:val="24"/>
        </w:rPr>
        <w:t> </w:t>
      </w:r>
      <w:r>
        <w:rPr>
          <w:sz w:val="24"/>
        </w:rPr>
        <w:t>the</w:t>
      </w:r>
      <w:r>
        <w:rPr>
          <w:spacing w:val="-2"/>
          <w:sz w:val="24"/>
        </w:rPr>
        <w:t> </w:t>
      </w:r>
      <w:r>
        <w:rPr>
          <w:sz w:val="24"/>
        </w:rPr>
        <w:t>decision-making</w:t>
      </w:r>
      <w:r>
        <w:rPr>
          <w:spacing w:val="-2"/>
          <w:sz w:val="24"/>
        </w:rPr>
        <w:t> </w:t>
      </w:r>
      <w:r>
        <w:rPr>
          <w:sz w:val="24"/>
        </w:rPr>
        <w:t>process</w:t>
      </w:r>
      <w:r>
        <w:rPr>
          <w:spacing w:val="-2"/>
          <w:sz w:val="24"/>
        </w:rPr>
        <w:t> </w:t>
      </w:r>
      <w:r>
        <w:rPr>
          <w:sz w:val="24"/>
        </w:rPr>
        <w:t>in</w:t>
      </w:r>
      <w:r>
        <w:rPr>
          <w:spacing w:val="-2"/>
          <w:sz w:val="24"/>
        </w:rPr>
        <w:t> </w:t>
      </w:r>
      <w:r>
        <w:rPr>
          <w:sz w:val="24"/>
        </w:rPr>
        <w:t>the</w:t>
      </w:r>
      <w:r>
        <w:rPr>
          <w:spacing w:val="-2"/>
          <w:sz w:val="24"/>
        </w:rPr>
        <w:t> </w:t>
      </w:r>
      <w:r>
        <w:rPr>
          <w:sz w:val="24"/>
        </w:rPr>
        <w:t>formulation</w:t>
      </w:r>
      <w:r>
        <w:rPr>
          <w:spacing w:val="-2"/>
          <w:sz w:val="24"/>
        </w:rPr>
        <w:t> </w:t>
      </w:r>
      <w:r>
        <w:rPr>
          <w:sz w:val="24"/>
        </w:rPr>
        <w:t>of</w:t>
      </w:r>
      <w:r>
        <w:rPr>
          <w:spacing w:val="-1"/>
          <w:sz w:val="24"/>
        </w:rPr>
        <w:t> </w:t>
      </w:r>
      <w:r>
        <w:rPr>
          <w:sz w:val="24"/>
        </w:rPr>
        <w:t>program policies which affect licensed managers.</w:t>
      </w:r>
    </w:p>
    <w:p>
      <w:pPr>
        <w:pStyle w:val="ListParagraph"/>
        <w:numPr>
          <w:ilvl w:val="1"/>
          <w:numId w:val="409"/>
        </w:numPr>
        <w:tabs>
          <w:tab w:pos="1217" w:val="left" w:leader="none"/>
        </w:tabs>
        <w:spacing w:line="208" w:lineRule="auto" w:before="240" w:after="0"/>
        <w:ind w:left="791" w:right="1084" w:firstLine="0"/>
        <w:jc w:val="left"/>
        <w:rPr>
          <w:sz w:val="24"/>
        </w:rPr>
      </w:pPr>
      <w:r>
        <w:rPr>
          <w:sz w:val="24"/>
        </w:rPr>
        <w:t>The</w:t>
      </w:r>
      <w:r>
        <w:rPr>
          <w:spacing w:val="-4"/>
          <w:sz w:val="24"/>
        </w:rPr>
        <w:t> </w:t>
      </w:r>
      <w:r>
        <w:rPr>
          <w:sz w:val="24"/>
        </w:rPr>
        <w:t>SLA</w:t>
      </w:r>
      <w:r>
        <w:rPr>
          <w:spacing w:val="-4"/>
          <w:sz w:val="24"/>
        </w:rPr>
        <w:t> </w:t>
      </w:r>
      <w:r>
        <w:rPr>
          <w:sz w:val="24"/>
        </w:rPr>
        <w:t>is</w:t>
      </w:r>
      <w:r>
        <w:rPr>
          <w:spacing w:val="-4"/>
          <w:sz w:val="24"/>
        </w:rPr>
        <w:t> </w:t>
      </w:r>
      <w:r>
        <w:rPr>
          <w:sz w:val="24"/>
        </w:rPr>
        <w:t>charged</w:t>
      </w:r>
      <w:r>
        <w:rPr>
          <w:spacing w:val="-4"/>
          <w:sz w:val="24"/>
        </w:rPr>
        <w:t> </w:t>
      </w:r>
      <w:r>
        <w:rPr>
          <w:sz w:val="24"/>
        </w:rPr>
        <w:t>with</w:t>
      </w:r>
      <w:r>
        <w:rPr>
          <w:spacing w:val="-4"/>
          <w:sz w:val="24"/>
        </w:rPr>
        <w:t> </w:t>
      </w:r>
      <w:r>
        <w:rPr>
          <w:sz w:val="24"/>
        </w:rPr>
        <w:t>the</w:t>
      </w:r>
      <w:r>
        <w:rPr>
          <w:spacing w:val="-4"/>
          <w:sz w:val="24"/>
        </w:rPr>
        <w:t> </w:t>
      </w:r>
      <w:r>
        <w:rPr>
          <w:sz w:val="24"/>
        </w:rPr>
        <w:t>ultimate</w:t>
      </w:r>
      <w:r>
        <w:rPr>
          <w:spacing w:val="-4"/>
          <w:sz w:val="24"/>
        </w:rPr>
        <w:t> </w:t>
      </w:r>
      <w:r>
        <w:rPr>
          <w:sz w:val="24"/>
        </w:rPr>
        <w:t>responsibility</w:t>
      </w:r>
      <w:r>
        <w:rPr>
          <w:spacing w:val="-4"/>
          <w:sz w:val="24"/>
        </w:rPr>
        <w:t> </w:t>
      </w:r>
      <w:r>
        <w:rPr>
          <w:sz w:val="24"/>
        </w:rPr>
        <w:t>for</w:t>
      </w:r>
      <w:r>
        <w:rPr>
          <w:spacing w:val="-3"/>
          <w:sz w:val="24"/>
        </w:rPr>
        <w:t> </w:t>
      </w:r>
      <w:r>
        <w:rPr>
          <w:sz w:val="24"/>
        </w:rPr>
        <w:t>the</w:t>
      </w:r>
      <w:r>
        <w:rPr>
          <w:spacing w:val="-4"/>
          <w:sz w:val="24"/>
        </w:rPr>
        <w:t> </w:t>
      </w:r>
      <w:r>
        <w:rPr>
          <w:sz w:val="24"/>
        </w:rPr>
        <w:t>administration</w:t>
      </w:r>
      <w:r>
        <w:rPr>
          <w:spacing w:val="-4"/>
          <w:sz w:val="24"/>
        </w:rPr>
        <w:t> </w:t>
      </w:r>
      <w:r>
        <w:rPr>
          <w:sz w:val="24"/>
        </w:rPr>
        <w:t>and operation of all aspects of the Business Enterprise Program.</w:t>
      </w:r>
    </w:p>
    <w:p>
      <w:pPr>
        <w:pStyle w:val="ListParagraph"/>
        <w:numPr>
          <w:ilvl w:val="0"/>
          <w:numId w:val="409"/>
        </w:numPr>
        <w:tabs>
          <w:tab w:pos="772" w:val="left" w:leader="none"/>
        </w:tabs>
        <w:spacing w:line="240" w:lineRule="auto" w:before="211" w:after="0"/>
        <w:ind w:left="772" w:right="0" w:hanging="413"/>
        <w:jc w:val="left"/>
        <w:rPr>
          <w:sz w:val="24"/>
        </w:rPr>
      </w:pPr>
      <w:r>
        <w:rPr>
          <w:sz w:val="24"/>
        </w:rPr>
        <w:t>Functions</w:t>
      </w:r>
      <w:r>
        <w:rPr>
          <w:spacing w:val="-6"/>
          <w:sz w:val="24"/>
        </w:rPr>
        <w:t> </w:t>
      </w:r>
      <w:r>
        <w:rPr>
          <w:sz w:val="24"/>
        </w:rPr>
        <w:t>of</w:t>
      </w:r>
      <w:r>
        <w:rPr>
          <w:spacing w:val="-3"/>
          <w:sz w:val="24"/>
        </w:rPr>
        <w:t> </w:t>
      </w:r>
      <w:r>
        <w:rPr>
          <w:sz w:val="24"/>
        </w:rPr>
        <w:t>the</w:t>
      </w:r>
      <w:r>
        <w:rPr>
          <w:spacing w:val="-3"/>
          <w:sz w:val="24"/>
        </w:rPr>
        <w:t> </w:t>
      </w:r>
      <w:r>
        <w:rPr>
          <w:sz w:val="24"/>
        </w:rPr>
        <w:t>Elected</w:t>
      </w:r>
      <w:r>
        <w:rPr>
          <w:spacing w:val="-3"/>
          <w:sz w:val="24"/>
        </w:rPr>
        <w:t> </w:t>
      </w:r>
      <w:r>
        <w:rPr>
          <w:sz w:val="24"/>
        </w:rPr>
        <w:t>Committee</w:t>
      </w:r>
      <w:r>
        <w:rPr>
          <w:spacing w:val="-4"/>
          <w:sz w:val="24"/>
        </w:rPr>
        <w:t> </w:t>
      </w:r>
      <w:r>
        <w:rPr>
          <w:sz w:val="24"/>
        </w:rPr>
        <w:t>of</w:t>
      </w:r>
      <w:r>
        <w:rPr>
          <w:spacing w:val="-3"/>
          <w:sz w:val="24"/>
        </w:rPr>
        <w:t> </w:t>
      </w:r>
      <w:r>
        <w:rPr>
          <w:sz w:val="24"/>
        </w:rPr>
        <w:t>Licensed</w:t>
      </w:r>
      <w:r>
        <w:rPr>
          <w:spacing w:val="-3"/>
          <w:sz w:val="24"/>
        </w:rPr>
        <w:t> </w:t>
      </w:r>
      <w:r>
        <w:rPr>
          <w:sz w:val="24"/>
        </w:rPr>
        <w:t>Managers</w:t>
      </w:r>
      <w:r>
        <w:rPr>
          <w:spacing w:val="-3"/>
          <w:sz w:val="24"/>
        </w:rPr>
        <w:t> </w:t>
      </w:r>
      <w:r>
        <w:rPr>
          <w:spacing w:val="-2"/>
          <w:sz w:val="24"/>
        </w:rPr>
        <w:t>include:</w:t>
      </w:r>
    </w:p>
    <w:p>
      <w:pPr>
        <w:pStyle w:val="ListParagraph"/>
        <w:numPr>
          <w:ilvl w:val="1"/>
          <w:numId w:val="409"/>
        </w:numPr>
        <w:tabs>
          <w:tab w:pos="1217" w:val="left" w:leader="none"/>
        </w:tabs>
        <w:spacing w:line="208" w:lineRule="auto" w:before="233" w:after="0"/>
        <w:ind w:left="791" w:right="826" w:firstLine="0"/>
        <w:jc w:val="left"/>
        <w:rPr>
          <w:sz w:val="24"/>
        </w:rPr>
      </w:pPr>
      <w:r>
        <w:rPr>
          <w:sz w:val="24"/>
        </w:rPr>
        <w:t>Actively participate with the SLA in the major administrative, policy, and program</w:t>
      </w:r>
      <w:r>
        <w:rPr>
          <w:spacing w:val="-4"/>
          <w:sz w:val="24"/>
        </w:rPr>
        <w:t> </w:t>
      </w:r>
      <w:r>
        <w:rPr>
          <w:sz w:val="24"/>
        </w:rPr>
        <w:t>development</w:t>
      </w:r>
      <w:r>
        <w:rPr>
          <w:spacing w:val="-4"/>
          <w:sz w:val="24"/>
        </w:rPr>
        <w:t> </w:t>
      </w:r>
      <w:r>
        <w:rPr>
          <w:sz w:val="24"/>
        </w:rPr>
        <w:t>decisions</w:t>
      </w:r>
      <w:r>
        <w:rPr>
          <w:spacing w:val="-5"/>
          <w:sz w:val="24"/>
        </w:rPr>
        <w:t> </w:t>
      </w:r>
      <w:r>
        <w:rPr>
          <w:sz w:val="24"/>
        </w:rPr>
        <w:t>affecting</w:t>
      </w:r>
      <w:r>
        <w:rPr>
          <w:spacing w:val="-5"/>
          <w:sz w:val="24"/>
        </w:rPr>
        <w:t> </w:t>
      </w:r>
      <w:r>
        <w:rPr>
          <w:sz w:val="24"/>
        </w:rPr>
        <w:t>the</w:t>
      </w:r>
      <w:r>
        <w:rPr>
          <w:spacing w:val="-5"/>
          <w:sz w:val="24"/>
        </w:rPr>
        <w:t> </w:t>
      </w:r>
      <w:r>
        <w:rPr>
          <w:sz w:val="24"/>
        </w:rPr>
        <w:t>overall</w:t>
      </w:r>
      <w:r>
        <w:rPr>
          <w:spacing w:val="-5"/>
          <w:sz w:val="24"/>
        </w:rPr>
        <w:t> </w:t>
      </w:r>
      <w:r>
        <w:rPr>
          <w:sz w:val="24"/>
        </w:rPr>
        <w:t>administration</w:t>
      </w:r>
      <w:r>
        <w:rPr>
          <w:spacing w:val="-4"/>
          <w:sz w:val="24"/>
        </w:rPr>
        <w:t> </w:t>
      </w:r>
      <w:r>
        <w:rPr>
          <w:sz w:val="24"/>
        </w:rPr>
        <w:t>of</w:t>
      </w:r>
      <w:r>
        <w:rPr>
          <w:spacing w:val="-5"/>
          <w:sz w:val="24"/>
        </w:rPr>
        <w:t> </w:t>
      </w:r>
      <w:r>
        <w:rPr>
          <w:sz w:val="24"/>
        </w:rPr>
        <w:t>the</w:t>
      </w:r>
      <w:r>
        <w:rPr>
          <w:spacing w:val="-5"/>
          <w:sz w:val="24"/>
        </w:rPr>
        <w:t> </w:t>
      </w:r>
      <w:r>
        <w:rPr>
          <w:sz w:val="24"/>
        </w:rPr>
        <w:t>Business Enterprise Program.</w:t>
      </w:r>
    </w:p>
    <w:p>
      <w:pPr>
        <w:pStyle w:val="ListParagraph"/>
        <w:numPr>
          <w:ilvl w:val="1"/>
          <w:numId w:val="409"/>
        </w:numPr>
        <w:tabs>
          <w:tab w:pos="1217" w:val="left" w:leader="none"/>
        </w:tabs>
        <w:spacing w:line="208" w:lineRule="auto" w:before="240" w:after="0"/>
        <w:ind w:left="791" w:right="1375" w:firstLine="0"/>
        <w:jc w:val="left"/>
        <w:rPr>
          <w:sz w:val="24"/>
        </w:rPr>
      </w:pPr>
      <w:r>
        <w:rPr>
          <w:sz w:val="24"/>
        </w:rPr>
        <w:t>To receive and transmit to the SLA grievances at the request of licensed managers</w:t>
      </w:r>
      <w:r>
        <w:rPr>
          <w:spacing w:val="-4"/>
          <w:sz w:val="24"/>
        </w:rPr>
        <w:t> </w:t>
      </w:r>
      <w:r>
        <w:rPr>
          <w:sz w:val="24"/>
        </w:rPr>
        <w:t>and</w:t>
      </w:r>
      <w:r>
        <w:rPr>
          <w:spacing w:val="-4"/>
          <w:sz w:val="24"/>
        </w:rPr>
        <w:t> </w:t>
      </w:r>
      <w:r>
        <w:rPr>
          <w:sz w:val="24"/>
        </w:rPr>
        <w:t>serve</w:t>
      </w:r>
      <w:r>
        <w:rPr>
          <w:spacing w:val="-4"/>
          <w:sz w:val="24"/>
        </w:rPr>
        <w:t> </w:t>
      </w:r>
      <w:r>
        <w:rPr>
          <w:sz w:val="24"/>
        </w:rPr>
        <w:t>as</w:t>
      </w:r>
      <w:r>
        <w:rPr>
          <w:spacing w:val="-4"/>
          <w:sz w:val="24"/>
        </w:rPr>
        <w:t> </w:t>
      </w:r>
      <w:r>
        <w:rPr>
          <w:sz w:val="24"/>
        </w:rPr>
        <w:t>advocates</w:t>
      </w:r>
      <w:r>
        <w:rPr>
          <w:spacing w:val="-4"/>
          <w:sz w:val="24"/>
        </w:rPr>
        <w:t> </w:t>
      </w:r>
      <w:r>
        <w:rPr>
          <w:sz w:val="24"/>
        </w:rPr>
        <w:t>for</w:t>
      </w:r>
      <w:r>
        <w:rPr>
          <w:spacing w:val="-3"/>
          <w:sz w:val="24"/>
        </w:rPr>
        <w:t> </w:t>
      </w:r>
      <w:r>
        <w:rPr>
          <w:sz w:val="24"/>
        </w:rPr>
        <w:t>such</w:t>
      </w:r>
      <w:r>
        <w:rPr>
          <w:spacing w:val="-5"/>
          <w:sz w:val="24"/>
        </w:rPr>
        <w:t> </w:t>
      </w:r>
      <w:r>
        <w:rPr>
          <w:sz w:val="24"/>
        </w:rPr>
        <w:t>managers</w:t>
      </w:r>
      <w:r>
        <w:rPr>
          <w:spacing w:val="-5"/>
          <w:sz w:val="24"/>
        </w:rPr>
        <w:t> </w:t>
      </w:r>
      <w:r>
        <w:rPr>
          <w:sz w:val="24"/>
        </w:rPr>
        <w:t>in</w:t>
      </w:r>
      <w:r>
        <w:rPr>
          <w:spacing w:val="-4"/>
          <w:sz w:val="24"/>
        </w:rPr>
        <w:t> </w:t>
      </w:r>
      <w:r>
        <w:rPr>
          <w:sz w:val="24"/>
        </w:rPr>
        <w:t>connection</w:t>
      </w:r>
      <w:r>
        <w:rPr>
          <w:spacing w:val="-4"/>
          <w:sz w:val="24"/>
        </w:rPr>
        <w:t> </w:t>
      </w:r>
      <w:r>
        <w:rPr>
          <w:sz w:val="24"/>
        </w:rPr>
        <w:t>with</w:t>
      </w:r>
      <w:r>
        <w:rPr>
          <w:spacing w:val="-4"/>
          <w:sz w:val="24"/>
        </w:rPr>
        <w:t> </w:t>
      </w:r>
      <w:r>
        <w:rPr>
          <w:sz w:val="24"/>
        </w:rPr>
        <w:t>such </w:t>
      </w:r>
      <w:r>
        <w:rPr>
          <w:spacing w:val="-2"/>
          <w:sz w:val="24"/>
        </w:rPr>
        <w:t>grievances.</w:t>
      </w:r>
    </w:p>
    <w:p>
      <w:pPr>
        <w:pStyle w:val="ListParagraph"/>
        <w:numPr>
          <w:ilvl w:val="1"/>
          <w:numId w:val="409"/>
        </w:numPr>
        <w:tabs>
          <w:tab w:pos="1217" w:val="left" w:leader="none"/>
        </w:tabs>
        <w:spacing w:line="208" w:lineRule="auto" w:before="239" w:after="0"/>
        <w:ind w:left="791" w:right="892" w:firstLine="0"/>
        <w:jc w:val="left"/>
        <w:rPr>
          <w:sz w:val="24"/>
        </w:rPr>
      </w:pPr>
      <w:r>
        <w:rPr>
          <w:sz w:val="24"/>
        </w:rPr>
        <w:t>To</w:t>
      </w:r>
      <w:r>
        <w:rPr>
          <w:spacing w:val="-3"/>
          <w:sz w:val="24"/>
        </w:rPr>
        <w:t> </w:t>
      </w:r>
      <w:r>
        <w:rPr>
          <w:sz w:val="24"/>
        </w:rPr>
        <w:t>actively</w:t>
      </w:r>
      <w:r>
        <w:rPr>
          <w:spacing w:val="-3"/>
          <w:sz w:val="24"/>
        </w:rPr>
        <w:t> </w:t>
      </w:r>
      <w:r>
        <w:rPr>
          <w:sz w:val="24"/>
        </w:rPr>
        <w:t>participate</w:t>
      </w:r>
      <w:r>
        <w:rPr>
          <w:spacing w:val="-3"/>
          <w:sz w:val="24"/>
        </w:rPr>
        <w:t> </w:t>
      </w:r>
      <w:r>
        <w:rPr>
          <w:sz w:val="24"/>
        </w:rPr>
        <w:t>with</w:t>
      </w:r>
      <w:r>
        <w:rPr>
          <w:spacing w:val="-3"/>
          <w:sz w:val="24"/>
        </w:rPr>
        <w:t> </w:t>
      </w:r>
      <w:r>
        <w:rPr>
          <w:sz w:val="24"/>
        </w:rPr>
        <w:t>the</w:t>
      </w:r>
      <w:r>
        <w:rPr>
          <w:spacing w:val="-3"/>
          <w:sz w:val="24"/>
        </w:rPr>
        <w:t> </w:t>
      </w:r>
      <w:r>
        <w:rPr>
          <w:sz w:val="24"/>
        </w:rPr>
        <w:t>SLA</w:t>
      </w:r>
      <w:r>
        <w:rPr>
          <w:spacing w:val="-3"/>
          <w:sz w:val="24"/>
        </w:rPr>
        <w:t> </w:t>
      </w:r>
      <w:r>
        <w:rPr>
          <w:sz w:val="24"/>
        </w:rPr>
        <w:t>in</w:t>
      </w:r>
      <w:r>
        <w:rPr>
          <w:spacing w:val="-3"/>
          <w:sz w:val="24"/>
        </w:rPr>
        <w:t> </w:t>
      </w:r>
      <w:r>
        <w:rPr>
          <w:sz w:val="24"/>
        </w:rPr>
        <w:t>the</w:t>
      </w:r>
      <w:r>
        <w:rPr>
          <w:spacing w:val="-3"/>
          <w:sz w:val="24"/>
        </w:rPr>
        <w:t> </w:t>
      </w:r>
      <w:r>
        <w:rPr>
          <w:sz w:val="24"/>
        </w:rPr>
        <w:t>development</w:t>
      </w:r>
      <w:r>
        <w:rPr>
          <w:spacing w:val="-3"/>
          <w:sz w:val="24"/>
        </w:rPr>
        <w:t> </w:t>
      </w:r>
      <w:r>
        <w:rPr>
          <w:sz w:val="24"/>
        </w:rPr>
        <w:t>and</w:t>
      </w:r>
      <w:r>
        <w:rPr>
          <w:spacing w:val="-3"/>
          <w:sz w:val="24"/>
        </w:rPr>
        <w:t> </w:t>
      </w:r>
      <w:r>
        <w:rPr>
          <w:sz w:val="24"/>
        </w:rPr>
        <w:t>administration</w:t>
      </w:r>
      <w:r>
        <w:rPr>
          <w:spacing w:val="-3"/>
          <w:sz w:val="24"/>
        </w:rPr>
        <w:t> </w:t>
      </w:r>
      <w:r>
        <w:rPr>
          <w:sz w:val="24"/>
        </w:rPr>
        <w:t>of</w:t>
      </w:r>
      <w:r>
        <w:rPr>
          <w:spacing w:val="-3"/>
          <w:sz w:val="24"/>
        </w:rPr>
        <w:t> </w:t>
      </w:r>
      <w:r>
        <w:rPr>
          <w:sz w:val="24"/>
        </w:rPr>
        <w:t>a State system for the transfer and promotion of licensed managers.</w:t>
      </w:r>
    </w:p>
    <w:p>
      <w:pPr>
        <w:pStyle w:val="ListParagraph"/>
        <w:numPr>
          <w:ilvl w:val="1"/>
          <w:numId w:val="409"/>
        </w:numPr>
        <w:tabs>
          <w:tab w:pos="1217" w:val="left" w:leader="none"/>
        </w:tabs>
        <w:spacing w:line="208" w:lineRule="auto" w:before="240" w:after="0"/>
        <w:ind w:left="791" w:right="1055" w:firstLine="0"/>
        <w:jc w:val="left"/>
        <w:rPr>
          <w:sz w:val="24"/>
        </w:rPr>
      </w:pPr>
      <w:r>
        <w:rPr>
          <w:sz w:val="24"/>
        </w:rPr>
        <w:t>To</w:t>
      </w:r>
      <w:r>
        <w:rPr>
          <w:spacing w:val="-4"/>
          <w:sz w:val="24"/>
        </w:rPr>
        <w:t> </w:t>
      </w:r>
      <w:r>
        <w:rPr>
          <w:sz w:val="24"/>
        </w:rPr>
        <w:t>participate</w:t>
      </w:r>
      <w:r>
        <w:rPr>
          <w:spacing w:val="-4"/>
          <w:sz w:val="24"/>
        </w:rPr>
        <w:t> </w:t>
      </w:r>
      <w:r>
        <w:rPr>
          <w:sz w:val="24"/>
        </w:rPr>
        <w:t>with</w:t>
      </w:r>
      <w:r>
        <w:rPr>
          <w:spacing w:val="-4"/>
          <w:sz w:val="24"/>
        </w:rPr>
        <w:t> </w:t>
      </w:r>
      <w:r>
        <w:rPr>
          <w:sz w:val="24"/>
        </w:rPr>
        <w:t>the</w:t>
      </w:r>
      <w:r>
        <w:rPr>
          <w:spacing w:val="-4"/>
          <w:sz w:val="24"/>
        </w:rPr>
        <w:t> </w:t>
      </w:r>
      <w:r>
        <w:rPr>
          <w:sz w:val="24"/>
        </w:rPr>
        <w:t>SLA</w:t>
      </w:r>
      <w:r>
        <w:rPr>
          <w:spacing w:val="-4"/>
          <w:sz w:val="24"/>
        </w:rPr>
        <w:t> </w:t>
      </w:r>
      <w:r>
        <w:rPr>
          <w:sz w:val="24"/>
        </w:rPr>
        <w:t>in</w:t>
      </w:r>
      <w:r>
        <w:rPr>
          <w:spacing w:val="-4"/>
          <w:sz w:val="24"/>
        </w:rPr>
        <w:t> </w:t>
      </w:r>
      <w:r>
        <w:rPr>
          <w:sz w:val="24"/>
        </w:rPr>
        <w:t>developing</w:t>
      </w:r>
      <w:r>
        <w:rPr>
          <w:spacing w:val="-3"/>
          <w:sz w:val="24"/>
        </w:rPr>
        <w:t> </w:t>
      </w:r>
      <w:r>
        <w:rPr>
          <w:sz w:val="24"/>
        </w:rPr>
        <w:t>training</w:t>
      </w:r>
      <w:r>
        <w:rPr>
          <w:spacing w:val="-4"/>
          <w:sz w:val="24"/>
        </w:rPr>
        <w:t> </w:t>
      </w:r>
      <w:r>
        <w:rPr>
          <w:sz w:val="24"/>
        </w:rPr>
        <w:t>and</w:t>
      </w:r>
      <w:r>
        <w:rPr>
          <w:spacing w:val="-4"/>
          <w:sz w:val="24"/>
        </w:rPr>
        <w:t> </w:t>
      </w:r>
      <w:r>
        <w:rPr>
          <w:sz w:val="24"/>
        </w:rPr>
        <w:t>retraining</w:t>
      </w:r>
      <w:r>
        <w:rPr>
          <w:spacing w:val="-3"/>
          <w:sz w:val="24"/>
        </w:rPr>
        <w:t> </w:t>
      </w:r>
      <w:r>
        <w:rPr>
          <w:sz w:val="24"/>
        </w:rPr>
        <w:t>programs</w:t>
      </w:r>
      <w:r>
        <w:rPr>
          <w:spacing w:val="-5"/>
          <w:sz w:val="24"/>
        </w:rPr>
        <w:t> </w:t>
      </w:r>
      <w:r>
        <w:rPr>
          <w:sz w:val="24"/>
        </w:rPr>
        <w:t>for licensed managers.</w:t>
      </w:r>
    </w:p>
    <w:p>
      <w:pPr>
        <w:pStyle w:val="ListParagraph"/>
        <w:numPr>
          <w:ilvl w:val="1"/>
          <w:numId w:val="409"/>
        </w:numPr>
        <w:tabs>
          <w:tab w:pos="1217" w:val="left" w:leader="none"/>
        </w:tabs>
        <w:spacing w:line="208" w:lineRule="auto" w:before="240" w:after="0"/>
        <w:ind w:left="791" w:right="1869" w:firstLine="0"/>
        <w:jc w:val="left"/>
        <w:rPr>
          <w:sz w:val="24"/>
        </w:rPr>
      </w:pPr>
      <w:r>
        <w:rPr>
          <w:sz w:val="24"/>
        </w:rPr>
        <w:t>To</w:t>
      </w:r>
      <w:r>
        <w:rPr>
          <w:spacing w:val="-4"/>
          <w:sz w:val="24"/>
        </w:rPr>
        <w:t> </w:t>
      </w:r>
      <w:r>
        <w:rPr>
          <w:sz w:val="24"/>
        </w:rPr>
        <w:t>sponsor,</w:t>
      </w:r>
      <w:r>
        <w:rPr>
          <w:spacing w:val="-4"/>
          <w:sz w:val="24"/>
        </w:rPr>
        <w:t> </w:t>
      </w:r>
      <w:r>
        <w:rPr>
          <w:sz w:val="24"/>
        </w:rPr>
        <w:t>with</w:t>
      </w:r>
      <w:r>
        <w:rPr>
          <w:spacing w:val="-4"/>
          <w:sz w:val="24"/>
        </w:rPr>
        <w:t> </w:t>
      </w:r>
      <w:r>
        <w:rPr>
          <w:sz w:val="24"/>
        </w:rPr>
        <w:t>the</w:t>
      </w:r>
      <w:r>
        <w:rPr>
          <w:spacing w:val="-4"/>
          <w:sz w:val="24"/>
        </w:rPr>
        <w:t> </w:t>
      </w:r>
      <w:r>
        <w:rPr>
          <w:sz w:val="24"/>
        </w:rPr>
        <w:t>assistance</w:t>
      </w:r>
      <w:r>
        <w:rPr>
          <w:spacing w:val="-4"/>
          <w:sz w:val="24"/>
        </w:rPr>
        <w:t> </w:t>
      </w:r>
      <w:r>
        <w:rPr>
          <w:sz w:val="24"/>
        </w:rPr>
        <w:t>of</w:t>
      </w:r>
      <w:r>
        <w:rPr>
          <w:spacing w:val="-4"/>
          <w:sz w:val="24"/>
        </w:rPr>
        <w:t> </w:t>
      </w:r>
      <w:r>
        <w:rPr>
          <w:sz w:val="24"/>
        </w:rPr>
        <w:t>the</w:t>
      </w:r>
      <w:r>
        <w:rPr>
          <w:spacing w:val="-4"/>
          <w:sz w:val="24"/>
        </w:rPr>
        <w:t> </w:t>
      </w:r>
      <w:r>
        <w:rPr>
          <w:sz w:val="24"/>
        </w:rPr>
        <w:t>SLA,</w:t>
      </w:r>
      <w:r>
        <w:rPr>
          <w:spacing w:val="-4"/>
          <w:sz w:val="24"/>
        </w:rPr>
        <w:t> </w:t>
      </w:r>
      <w:r>
        <w:rPr>
          <w:sz w:val="24"/>
        </w:rPr>
        <w:t>meeting</w:t>
      </w:r>
      <w:r>
        <w:rPr>
          <w:spacing w:val="-4"/>
          <w:sz w:val="24"/>
        </w:rPr>
        <w:t> </w:t>
      </w:r>
      <w:r>
        <w:rPr>
          <w:sz w:val="24"/>
        </w:rPr>
        <w:t>and</w:t>
      </w:r>
      <w:r>
        <w:rPr>
          <w:spacing w:val="-4"/>
          <w:sz w:val="24"/>
        </w:rPr>
        <w:t> </w:t>
      </w:r>
      <w:r>
        <w:rPr>
          <w:sz w:val="24"/>
        </w:rPr>
        <w:t>instructional conferences for licensed managers.</w:t>
      </w:r>
    </w:p>
    <w:p>
      <w:pPr>
        <w:pStyle w:val="ListParagraph"/>
        <w:numPr>
          <w:ilvl w:val="1"/>
          <w:numId w:val="409"/>
        </w:numPr>
        <w:tabs>
          <w:tab w:pos="1217" w:val="left" w:leader="none"/>
        </w:tabs>
        <w:spacing w:line="208" w:lineRule="auto" w:before="240" w:after="0"/>
        <w:ind w:left="791" w:right="1081" w:firstLine="0"/>
        <w:jc w:val="left"/>
        <w:rPr>
          <w:sz w:val="24"/>
        </w:rPr>
      </w:pPr>
      <w:r>
        <w:rPr>
          <w:sz w:val="24"/>
        </w:rPr>
        <w:t>To</w:t>
      </w:r>
      <w:r>
        <w:rPr>
          <w:spacing w:val="-4"/>
          <w:sz w:val="24"/>
        </w:rPr>
        <w:t> </w:t>
      </w:r>
      <w:r>
        <w:rPr>
          <w:sz w:val="24"/>
        </w:rPr>
        <w:t>participate</w:t>
      </w:r>
      <w:r>
        <w:rPr>
          <w:spacing w:val="-4"/>
          <w:sz w:val="24"/>
        </w:rPr>
        <w:t> </w:t>
      </w:r>
      <w:r>
        <w:rPr>
          <w:sz w:val="24"/>
        </w:rPr>
        <w:t>in</w:t>
      </w:r>
      <w:r>
        <w:rPr>
          <w:spacing w:val="-4"/>
          <w:sz w:val="24"/>
        </w:rPr>
        <w:t> </w:t>
      </w:r>
      <w:r>
        <w:rPr>
          <w:sz w:val="24"/>
        </w:rPr>
        <w:t>setting</w:t>
      </w:r>
      <w:r>
        <w:rPr>
          <w:spacing w:val="-4"/>
          <w:sz w:val="24"/>
        </w:rPr>
        <w:t> </w:t>
      </w:r>
      <w:r>
        <w:rPr>
          <w:sz w:val="24"/>
        </w:rPr>
        <w:t>out</w:t>
      </w:r>
      <w:r>
        <w:rPr>
          <w:spacing w:val="-3"/>
          <w:sz w:val="24"/>
        </w:rPr>
        <w:t> </w:t>
      </w:r>
      <w:r>
        <w:rPr>
          <w:sz w:val="24"/>
        </w:rPr>
        <w:t>the</w:t>
      </w:r>
      <w:r>
        <w:rPr>
          <w:spacing w:val="-4"/>
          <w:sz w:val="24"/>
        </w:rPr>
        <w:t> </w:t>
      </w:r>
      <w:r>
        <w:rPr>
          <w:sz w:val="24"/>
        </w:rPr>
        <w:t>method</w:t>
      </w:r>
      <w:r>
        <w:rPr>
          <w:spacing w:val="-4"/>
          <w:sz w:val="24"/>
        </w:rPr>
        <w:t> </w:t>
      </w:r>
      <w:r>
        <w:rPr>
          <w:sz w:val="24"/>
        </w:rPr>
        <w:t>of</w:t>
      </w:r>
      <w:r>
        <w:rPr>
          <w:spacing w:val="-3"/>
          <w:sz w:val="24"/>
        </w:rPr>
        <w:t> </w:t>
      </w:r>
      <w:r>
        <w:rPr>
          <w:sz w:val="24"/>
        </w:rPr>
        <w:t>determining</w:t>
      </w:r>
      <w:r>
        <w:rPr>
          <w:spacing w:val="-4"/>
          <w:sz w:val="24"/>
        </w:rPr>
        <w:t> </w:t>
      </w:r>
      <w:r>
        <w:rPr>
          <w:sz w:val="24"/>
        </w:rPr>
        <w:t>the</w:t>
      </w:r>
      <w:r>
        <w:rPr>
          <w:spacing w:val="-4"/>
          <w:sz w:val="24"/>
        </w:rPr>
        <w:t> </w:t>
      </w:r>
      <w:r>
        <w:rPr>
          <w:sz w:val="24"/>
        </w:rPr>
        <w:t>charge</w:t>
      </w:r>
      <w:r>
        <w:rPr>
          <w:spacing w:val="-4"/>
          <w:sz w:val="24"/>
        </w:rPr>
        <w:t> </w:t>
      </w:r>
      <w:r>
        <w:rPr>
          <w:sz w:val="24"/>
        </w:rPr>
        <w:t>for</w:t>
      </w:r>
      <w:r>
        <w:rPr>
          <w:spacing w:val="-3"/>
          <w:sz w:val="24"/>
        </w:rPr>
        <w:t> </w:t>
      </w:r>
      <w:r>
        <w:rPr>
          <w:sz w:val="24"/>
        </w:rPr>
        <w:t>each</w:t>
      </w:r>
      <w:r>
        <w:rPr>
          <w:spacing w:val="-4"/>
          <w:sz w:val="24"/>
        </w:rPr>
        <w:t> </w:t>
      </w:r>
      <w:r>
        <w:rPr>
          <w:sz w:val="24"/>
        </w:rPr>
        <w:t>of the purposes listed in (A) through (D) of this Paragraph.</w:t>
      </w:r>
    </w:p>
    <w:p>
      <w:pPr>
        <w:pStyle w:val="ListParagraph"/>
        <w:numPr>
          <w:ilvl w:val="2"/>
          <w:numId w:val="409"/>
        </w:numPr>
        <w:tabs>
          <w:tab w:pos="1675" w:val="left" w:leader="none"/>
        </w:tabs>
        <w:spacing w:line="240" w:lineRule="auto" w:before="210" w:after="0"/>
        <w:ind w:left="1675" w:right="0" w:hanging="452"/>
        <w:jc w:val="left"/>
        <w:rPr>
          <w:sz w:val="24"/>
        </w:rPr>
      </w:pPr>
      <w:r>
        <w:rPr>
          <w:sz w:val="24"/>
        </w:rPr>
        <w:t>Maintenance</w:t>
      </w:r>
      <w:r>
        <w:rPr>
          <w:spacing w:val="-4"/>
          <w:sz w:val="24"/>
        </w:rPr>
        <w:t> </w:t>
      </w:r>
      <w:r>
        <w:rPr>
          <w:sz w:val="24"/>
        </w:rPr>
        <w:t>and</w:t>
      </w:r>
      <w:r>
        <w:rPr>
          <w:spacing w:val="-3"/>
          <w:sz w:val="24"/>
        </w:rPr>
        <w:t> </w:t>
      </w:r>
      <w:r>
        <w:rPr>
          <w:sz w:val="24"/>
        </w:rPr>
        <w:t>replacement</w:t>
      </w:r>
      <w:r>
        <w:rPr>
          <w:spacing w:val="-3"/>
          <w:sz w:val="24"/>
        </w:rPr>
        <w:t> </w:t>
      </w:r>
      <w:r>
        <w:rPr>
          <w:sz w:val="24"/>
        </w:rPr>
        <w:t>of</w:t>
      </w:r>
      <w:r>
        <w:rPr>
          <w:spacing w:val="-3"/>
          <w:sz w:val="24"/>
        </w:rPr>
        <w:t> </w:t>
      </w:r>
      <w:r>
        <w:rPr>
          <w:spacing w:val="-2"/>
          <w:sz w:val="24"/>
        </w:rPr>
        <w:t>equipment;</w:t>
      </w:r>
    </w:p>
    <w:p>
      <w:pPr>
        <w:pStyle w:val="ListParagraph"/>
        <w:numPr>
          <w:ilvl w:val="2"/>
          <w:numId w:val="409"/>
        </w:numPr>
        <w:tabs>
          <w:tab w:pos="1676" w:val="left" w:leader="none"/>
        </w:tabs>
        <w:spacing w:line="240" w:lineRule="auto" w:before="204" w:after="0"/>
        <w:ind w:left="1676" w:right="0" w:hanging="453"/>
        <w:jc w:val="left"/>
        <w:rPr>
          <w:sz w:val="24"/>
        </w:rPr>
      </w:pPr>
      <w:r>
        <w:rPr>
          <w:sz w:val="24"/>
        </w:rPr>
        <w:t>The</w:t>
      </w:r>
      <w:r>
        <w:rPr>
          <w:spacing w:val="-3"/>
          <w:sz w:val="24"/>
        </w:rPr>
        <w:t> </w:t>
      </w:r>
      <w:r>
        <w:rPr>
          <w:sz w:val="24"/>
        </w:rPr>
        <w:t>purchase</w:t>
      </w:r>
      <w:r>
        <w:rPr>
          <w:spacing w:val="-3"/>
          <w:sz w:val="24"/>
        </w:rPr>
        <w:t> </w:t>
      </w:r>
      <w:r>
        <w:rPr>
          <w:sz w:val="24"/>
        </w:rPr>
        <w:t>of</w:t>
      </w:r>
      <w:r>
        <w:rPr>
          <w:spacing w:val="-2"/>
          <w:sz w:val="24"/>
        </w:rPr>
        <w:t> </w:t>
      </w:r>
      <w:r>
        <w:rPr>
          <w:sz w:val="24"/>
        </w:rPr>
        <w:t>new</w:t>
      </w:r>
      <w:r>
        <w:rPr>
          <w:spacing w:val="-2"/>
          <w:sz w:val="24"/>
        </w:rPr>
        <w:t> equipment;</w:t>
      </w:r>
    </w:p>
    <w:p>
      <w:pPr>
        <w:pStyle w:val="ListParagraph"/>
        <w:numPr>
          <w:ilvl w:val="2"/>
          <w:numId w:val="409"/>
        </w:numPr>
        <w:tabs>
          <w:tab w:pos="1688" w:val="left" w:leader="none"/>
        </w:tabs>
        <w:spacing w:line="240" w:lineRule="auto" w:before="204" w:after="0"/>
        <w:ind w:left="1688" w:right="0" w:hanging="465"/>
        <w:jc w:val="left"/>
        <w:rPr>
          <w:sz w:val="24"/>
        </w:rPr>
      </w:pPr>
      <w:r>
        <w:rPr>
          <w:sz w:val="24"/>
        </w:rPr>
        <w:t>Management</w:t>
      </w:r>
      <w:r>
        <w:rPr>
          <w:spacing w:val="-6"/>
          <w:sz w:val="24"/>
        </w:rPr>
        <w:t> </w:t>
      </w:r>
      <w:r>
        <w:rPr>
          <w:spacing w:val="-2"/>
          <w:sz w:val="24"/>
        </w:rPr>
        <w:t>services;</w:t>
      </w:r>
    </w:p>
    <w:p>
      <w:pPr>
        <w:pStyle w:val="ListParagraph"/>
        <w:numPr>
          <w:ilvl w:val="2"/>
          <w:numId w:val="409"/>
        </w:numPr>
        <w:tabs>
          <w:tab w:pos="1689" w:val="left" w:leader="none"/>
        </w:tabs>
        <w:spacing w:line="240" w:lineRule="auto" w:before="204" w:after="0"/>
        <w:ind w:left="1689" w:right="0" w:hanging="466"/>
        <w:jc w:val="left"/>
        <w:rPr>
          <w:sz w:val="24"/>
        </w:rPr>
      </w:pPr>
      <w:r>
        <w:rPr>
          <w:sz w:val="24"/>
        </w:rPr>
        <w:t>Assuring</w:t>
      </w:r>
      <w:r>
        <w:rPr>
          <w:spacing w:val="-3"/>
          <w:sz w:val="24"/>
        </w:rPr>
        <w:t> </w:t>
      </w:r>
      <w:r>
        <w:rPr>
          <w:sz w:val="24"/>
        </w:rPr>
        <w:t>a</w:t>
      </w:r>
      <w:r>
        <w:rPr>
          <w:spacing w:val="-2"/>
          <w:sz w:val="24"/>
        </w:rPr>
        <w:t> </w:t>
      </w:r>
      <w:r>
        <w:rPr>
          <w:sz w:val="24"/>
        </w:rPr>
        <w:t>fair</w:t>
      </w:r>
      <w:r>
        <w:rPr>
          <w:spacing w:val="-1"/>
          <w:sz w:val="24"/>
        </w:rPr>
        <w:t> </w:t>
      </w:r>
      <w:r>
        <w:rPr>
          <w:sz w:val="24"/>
        </w:rPr>
        <w:t>minimum</w:t>
      </w:r>
      <w:r>
        <w:rPr>
          <w:spacing w:val="-2"/>
          <w:sz w:val="24"/>
        </w:rPr>
        <w:t> </w:t>
      </w:r>
      <w:r>
        <w:rPr>
          <w:sz w:val="24"/>
        </w:rPr>
        <w:t>of</w:t>
      </w:r>
      <w:r>
        <w:rPr>
          <w:spacing w:val="-1"/>
          <w:sz w:val="24"/>
        </w:rPr>
        <w:t> </w:t>
      </w:r>
      <w:r>
        <w:rPr>
          <w:sz w:val="24"/>
        </w:rPr>
        <w:t>return</w:t>
      </w:r>
      <w:r>
        <w:rPr>
          <w:spacing w:val="-2"/>
          <w:sz w:val="24"/>
        </w:rPr>
        <w:t> </w:t>
      </w:r>
      <w:r>
        <w:rPr>
          <w:sz w:val="24"/>
        </w:rPr>
        <w:t>to</w:t>
      </w:r>
      <w:r>
        <w:rPr>
          <w:spacing w:val="-2"/>
          <w:sz w:val="24"/>
        </w:rPr>
        <w:t> vendors;</w:t>
      </w:r>
    </w:p>
    <w:p>
      <w:pPr>
        <w:pStyle w:val="ListParagraph"/>
        <w:numPr>
          <w:ilvl w:val="2"/>
          <w:numId w:val="409"/>
        </w:numPr>
        <w:tabs>
          <w:tab w:pos="1676" w:val="left" w:leader="none"/>
        </w:tabs>
        <w:spacing w:line="208" w:lineRule="auto" w:before="233" w:after="0"/>
        <w:ind w:left="1223" w:right="848" w:firstLine="0"/>
        <w:jc w:val="left"/>
        <w:rPr>
          <w:sz w:val="24"/>
        </w:rPr>
      </w:pPr>
      <w:r>
        <w:rPr>
          <w:sz w:val="24"/>
        </w:rPr>
        <w:t>The</w:t>
      </w:r>
      <w:r>
        <w:rPr>
          <w:spacing w:val="-5"/>
          <w:sz w:val="24"/>
        </w:rPr>
        <w:t> </w:t>
      </w:r>
      <w:r>
        <w:rPr>
          <w:sz w:val="24"/>
        </w:rPr>
        <w:t>establishment</w:t>
      </w:r>
      <w:r>
        <w:rPr>
          <w:spacing w:val="-3"/>
          <w:sz w:val="24"/>
        </w:rPr>
        <w:t> </w:t>
      </w:r>
      <w:r>
        <w:rPr>
          <w:sz w:val="24"/>
        </w:rPr>
        <w:t>and</w:t>
      </w:r>
      <w:r>
        <w:rPr>
          <w:spacing w:val="-5"/>
          <w:sz w:val="24"/>
        </w:rPr>
        <w:t> </w:t>
      </w:r>
      <w:r>
        <w:rPr>
          <w:sz w:val="24"/>
        </w:rPr>
        <w:t>maintenance</w:t>
      </w:r>
      <w:r>
        <w:rPr>
          <w:spacing w:val="-5"/>
          <w:sz w:val="24"/>
        </w:rPr>
        <w:t> </w:t>
      </w:r>
      <w:r>
        <w:rPr>
          <w:sz w:val="24"/>
        </w:rPr>
        <w:t>of</w:t>
      </w:r>
      <w:r>
        <w:rPr>
          <w:spacing w:val="-4"/>
          <w:sz w:val="24"/>
        </w:rPr>
        <w:t> </w:t>
      </w:r>
      <w:r>
        <w:rPr>
          <w:sz w:val="24"/>
        </w:rPr>
        <w:t>retirement</w:t>
      </w:r>
      <w:r>
        <w:rPr>
          <w:spacing w:val="-4"/>
          <w:sz w:val="24"/>
        </w:rPr>
        <w:t> </w:t>
      </w:r>
      <w:r>
        <w:rPr>
          <w:sz w:val="24"/>
        </w:rPr>
        <w:t>or</w:t>
      </w:r>
      <w:r>
        <w:rPr>
          <w:spacing w:val="-4"/>
          <w:sz w:val="24"/>
        </w:rPr>
        <w:t> </w:t>
      </w:r>
      <w:r>
        <w:rPr>
          <w:sz w:val="24"/>
        </w:rPr>
        <w:t>pension</w:t>
      </w:r>
      <w:r>
        <w:rPr>
          <w:spacing w:val="-5"/>
          <w:sz w:val="24"/>
        </w:rPr>
        <w:t> </w:t>
      </w:r>
      <w:r>
        <w:rPr>
          <w:sz w:val="24"/>
        </w:rPr>
        <w:t>funds,</w:t>
      </w:r>
      <w:r>
        <w:rPr>
          <w:spacing w:val="-4"/>
          <w:sz w:val="24"/>
        </w:rPr>
        <w:t> </w:t>
      </w:r>
      <w:r>
        <w:rPr>
          <w:sz w:val="24"/>
        </w:rPr>
        <w:t>health insurance contributions, if it is so determined by a majority vote of licensed managers, after the SLA provides to each licensed manager information on all matters relevant to such proposed purposes. [34 CFR 395.9(b) and (c)]</w:t>
      </w:r>
    </w:p>
    <w:p>
      <w:pPr>
        <w:pStyle w:val="ListParagraph"/>
        <w:numPr>
          <w:ilvl w:val="0"/>
          <w:numId w:val="409"/>
        </w:numPr>
        <w:tabs>
          <w:tab w:pos="785" w:val="left" w:leader="none"/>
        </w:tabs>
        <w:spacing w:line="208" w:lineRule="auto" w:before="240" w:after="0"/>
        <w:ind w:left="359" w:right="1114" w:firstLine="0"/>
        <w:jc w:val="left"/>
        <w:rPr>
          <w:sz w:val="24"/>
        </w:rPr>
      </w:pPr>
      <w:r>
        <w:rPr>
          <w:sz w:val="24"/>
        </w:rPr>
        <w:t>The</w:t>
      </w:r>
      <w:r>
        <w:rPr>
          <w:spacing w:val="-4"/>
          <w:sz w:val="24"/>
        </w:rPr>
        <w:t> </w:t>
      </w:r>
      <w:r>
        <w:rPr>
          <w:sz w:val="24"/>
        </w:rPr>
        <w:t>ECM</w:t>
      </w:r>
      <w:r>
        <w:rPr>
          <w:spacing w:val="-3"/>
          <w:sz w:val="24"/>
        </w:rPr>
        <w:t> </w:t>
      </w:r>
      <w:r>
        <w:rPr>
          <w:sz w:val="24"/>
        </w:rPr>
        <w:t>will</w:t>
      </w:r>
      <w:r>
        <w:rPr>
          <w:spacing w:val="-4"/>
          <w:sz w:val="24"/>
        </w:rPr>
        <w:t> </w:t>
      </w:r>
      <w:r>
        <w:rPr>
          <w:sz w:val="24"/>
        </w:rPr>
        <w:t>be</w:t>
      </w:r>
      <w:r>
        <w:rPr>
          <w:spacing w:val="-3"/>
          <w:sz w:val="24"/>
        </w:rPr>
        <w:t> </w:t>
      </w:r>
      <w:r>
        <w:rPr>
          <w:sz w:val="24"/>
        </w:rPr>
        <w:t>composed</w:t>
      </w:r>
      <w:r>
        <w:rPr>
          <w:spacing w:val="-4"/>
          <w:sz w:val="24"/>
        </w:rPr>
        <w:t> </w:t>
      </w:r>
      <w:r>
        <w:rPr>
          <w:sz w:val="24"/>
        </w:rPr>
        <w:t>of</w:t>
      </w:r>
      <w:r>
        <w:rPr>
          <w:spacing w:val="-3"/>
          <w:sz w:val="24"/>
        </w:rPr>
        <w:t> </w:t>
      </w:r>
      <w:r>
        <w:rPr>
          <w:sz w:val="24"/>
        </w:rPr>
        <w:t>licensed</w:t>
      </w:r>
      <w:r>
        <w:rPr>
          <w:spacing w:val="-3"/>
          <w:sz w:val="24"/>
        </w:rPr>
        <w:t> </w:t>
      </w:r>
      <w:r>
        <w:rPr>
          <w:sz w:val="24"/>
        </w:rPr>
        <w:t>blind</w:t>
      </w:r>
      <w:r>
        <w:rPr>
          <w:spacing w:val="-4"/>
          <w:sz w:val="24"/>
        </w:rPr>
        <w:t> </w:t>
      </w:r>
      <w:r>
        <w:rPr>
          <w:sz w:val="24"/>
        </w:rPr>
        <w:t>vendors.</w:t>
      </w:r>
      <w:r>
        <w:rPr>
          <w:spacing w:val="-3"/>
          <w:sz w:val="24"/>
        </w:rPr>
        <w:t> </w:t>
      </w:r>
      <w:r>
        <w:rPr>
          <w:sz w:val="24"/>
        </w:rPr>
        <w:t>There</w:t>
      </w:r>
      <w:r>
        <w:rPr>
          <w:spacing w:val="-4"/>
          <w:sz w:val="24"/>
        </w:rPr>
        <w:t> </w:t>
      </w:r>
      <w:r>
        <w:rPr>
          <w:sz w:val="24"/>
        </w:rPr>
        <w:t>will</w:t>
      </w:r>
      <w:r>
        <w:rPr>
          <w:spacing w:val="-4"/>
          <w:sz w:val="24"/>
        </w:rPr>
        <w:t> </w:t>
      </w:r>
      <w:r>
        <w:rPr>
          <w:sz w:val="24"/>
        </w:rPr>
        <w:t>be</w:t>
      </w:r>
      <w:r>
        <w:rPr>
          <w:spacing w:val="-4"/>
          <w:sz w:val="24"/>
        </w:rPr>
        <w:t> </w:t>
      </w:r>
      <w:r>
        <w:rPr>
          <w:sz w:val="24"/>
        </w:rPr>
        <w:t>an</w:t>
      </w:r>
      <w:r>
        <w:rPr>
          <w:spacing w:val="-4"/>
          <w:sz w:val="24"/>
        </w:rPr>
        <w:t> </w:t>
      </w:r>
      <w:r>
        <w:rPr>
          <w:sz w:val="24"/>
        </w:rPr>
        <w:t>executive committee with their duties and terms of office specified in the bylaws of the ECM.</w:t>
      </w:r>
    </w:p>
    <w:p>
      <w:pPr>
        <w:pStyle w:val="ListParagraph"/>
        <w:spacing w:after="0" w:line="208" w:lineRule="auto"/>
        <w:jc w:val="left"/>
        <w:rPr>
          <w:sz w:val="24"/>
        </w:rPr>
        <w:sectPr>
          <w:pgSz w:w="12240" w:h="15840"/>
          <w:pgMar w:top="1340" w:bottom="280" w:left="1080" w:right="720"/>
        </w:sectPr>
      </w:pPr>
    </w:p>
    <w:p>
      <w:pPr>
        <w:pStyle w:val="ListParagraph"/>
        <w:numPr>
          <w:ilvl w:val="0"/>
          <w:numId w:val="409"/>
        </w:numPr>
        <w:tabs>
          <w:tab w:pos="786" w:val="left" w:leader="none"/>
        </w:tabs>
        <w:spacing w:line="208" w:lineRule="auto" w:before="96" w:after="0"/>
        <w:ind w:left="360" w:right="1032" w:firstLine="0"/>
        <w:jc w:val="left"/>
        <w:rPr>
          <w:sz w:val="24"/>
        </w:rPr>
      </w:pPr>
      <w:r>
        <w:rPr>
          <w:sz w:val="24"/>
        </w:rPr>
        <w:t>The SLA shall provide for the election of an Elected Committee of Licensed Managers</w:t>
      </w:r>
      <w:r>
        <w:rPr>
          <w:spacing w:val="-3"/>
          <w:sz w:val="24"/>
        </w:rPr>
        <w:t> </w:t>
      </w:r>
      <w:r>
        <w:rPr>
          <w:sz w:val="24"/>
        </w:rPr>
        <w:t>which</w:t>
      </w:r>
      <w:r>
        <w:rPr>
          <w:spacing w:val="-3"/>
          <w:sz w:val="24"/>
        </w:rPr>
        <w:t> </w:t>
      </w:r>
      <w:r>
        <w:rPr>
          <w:sz w:val="24"/>
        </w:rPr>
        <w:t>shall</w:t>
      </w:r>
      <w:r>
        <w:rPr>
          <w:spacing w:val="-3"/>
          <w:sz w:val="24"/>
        </w:rPr>
        <w:t> </w:t>
      </w:r>
      <w:r>
        <w:rPr>
          <w:sz w:val="24"/>
        </w:rPr>
        <w:t>be</w:t>
      </w:r>
      <w:r>
        <w:rPr>
          <w:spacing w:val="-3"/>
          <w:sz w:val="24"/>
        </w:rPr>
        <w:t> </w:t>
      </w:r>
      <w:r>
        <w:rPr>
          <w:sz w:val="24"/>
        </w:rPr>
        <w:t>fully</w:t>
      </w:r>
      <w:r>
        <w:rPr>
          <w:spacing w:val="-3"/>
          <w:sz w:val="24"/>
        </w:rPr>
        <w:t> </w:t>
      </w:r>
      <w:r>
        <w:rPr>
          <w:sz w:val="24"/>
        </w:rPr>
        <w:t>representative</w:t>
      </w:r>
      <w:r>
        <w:rPr>
          <w:spacing w:val="-3"/>
          <w:sz w:val="24"/>
        </w:rPr>
        <w:t> </w:t>
      </w:r>
      <w:r>
        <w:rPr>
          <w:sz w:val="24"/>
        </w:rPr>
        <w:t>of</w:t>
      </w:r>
      <w:r>
        <w:rPr>
          <w:spacing w:val="-3"/>
          <w:sz w:val="24"/>
        </w:rPr>
        <w:t> </w:t>
      </w:r>
      <w:r>
        <w:rPr>
          <w:sz w:val="24"/>
        </w:rPr>
        <w:t>all</w:t>
      </w:r>
      <w:r>
        <w:rPr>
          <w:spacing w:val="-3"/>
          <w:sz w:val="24"/>
        </w:rPr>
        <w:t> </w:t>
      </w:r>
      <w:r>
        <w:rPr>
          <w:sz w:val="24"/>
        </w:rPr>
        <w:t>licensed</w:t>
      </w:r>
      <w:r>
        <w:rPr>
          <w:spacing w:val="-3"/>
          <w:sz w:val="24"/>
        </w:rPr>
        <w:t> </w:t>
      </w:r>
      <w:r>
        <w:rPr>
          <w:sz w:val="24"/>
        </w:rPr>
        <w:t>managers</w:t>
      </w:r>
      <w:r>
        <w:rPr>
          <w:spacing w:val="-3"/>
          <w:sz w:val="24"/>
        </w:rPr>
        <w:t> </w:t>
      </w:r>
      <w:r>
        <w:rPr>
          <w:sz w:val="24"/>
        </w:rPr>
        <w:t>in</w:t>
      </w:r>
      <w:r>
        <w:rPr>
          <w:spacing w:val="-3"/>
          <w:sz w:val="24"/>
        </w:rPr>
        <w:t> </w:t>
      </w:r>
      <w:r>
        <w:rPr>
          <w:sz w:val="24"/>
        </w:rPr>
        <w:t>the</w:t>
      </w:r>
      <w:r>
        <w:rPr>
          <w:spacing w:val="-4"/>
          <w:sz w:val="24"/>
        </w:rPr>
        <w:t> </w:t>
      </w:r>
      <w:r>
        <w:rPr>
          <w:sz w:val="24"/>
        </w:rPr>
        <w:t>BEP.</w:t>
      </w:r>
      <w:r>
        <w:rPr>
          <w:spacing w:val="-3"/>
          <w:sz w:val="24"/>
        </w:rPr>
        <w:t> </w:t>
      </w:r>
      <w:r>
        <w:rPr>
          <w:sz w:val="24"/>
        </w:rPr>
        <w:t>[34 CFR 395.14]</w:t>
      </w:r>
    </w:p>
    <w:p>
      <w:pPr>
        <w:spacing w:before="243"/>
        <w:ind w:left="360" w:right="0" w:firstLine="0"/>
        <w:jc w:val="left"/>
        <w:rPr>
          <w:sz w:val="22"/>
        </w:rPr>
      </w:pPr>
      <w:r>
        <w:rPr>
          <w:sz w:val="22"/>
        </w:rPr>
        <w:t>Section</w:t>
      </w:r>
      <w:r>
        <w:rPr>
          <w:spacing w:val="-9"/>
          <w:sz w:val="22"/>
        </w:rPr>
        <w:t> </w:t>
      </w:r>
      <w:r>
        <w:rPr>
          <w:spacing w:val="-2"/>
          <w:sz w:val="22"/>
        </w:rPr>
        <w:t>History</w:t>
      </w:r>
    </w:p>
    <w:p>
      <w:pPr>
        <w:tabs>
          <w:tab w:pos="1439" w:val="left" w:leader="none"/>
        </w:tabs>
        <w:spacing w:line="253" w:lineRule="exact" w:before="1"/>
        <w:ind w:left="360" w:right="0" w:firstLine="0"/>
        <w:jc w:val="left"/>
        <w:rPr>
          <w:sz w:val="22"/>
        </w:rPr>
      </w:pPr>
      <w:r>
        <w:rPr>
          <w:spacing w:val="-2"/>
          <w:sz w:val="22"/>
        </w:rPr>
        <w:t>7-1-</w:t>
      </w:r>
      <w:r>
        <w:rPr>
          <w:spacing w:val="-5"/>
          <w:sz w:val="22"/>
        </w:rPr>
        <w:t>97</w:t>
      </w:r>
      <w:r>
        <w:rPr>
          <w:sz w:val="22"/>
        </w:rPr>
        <w:tab/>
        <w:t>PT</w:t>
      </w:r>
      <w:r>
        <w:rPr>
          <w:spacing w:val="-8"/>
          <w:sz w:val="22"/>
        </w:rPr>
        <w:t> </w:t>
      </w:r>
      <w:r>
        <w:rPr>
          <w:sz w:val="22"/>
        </w:rPr>
        <w:t>Memo</w:t>
      </w:r>
      <w:r>
        <w:rPr>
          <w:spacing w:val="-8"/>
          <w:sz w:val="22"/>
        </w:rPr>
        <w:t> </w:t>
      </w:r>
      <w:r>
        <w:rPr>
          <w:sz w:val="22"/>
        </w:rPr>
        <w:t>#97-</w:t>
      </w:r>
      <w:r>
        <w:rPr>
          <w:spacing w:val="-10"/>
          <w:sz w:val="22"/>
        </w:rPr>
        <w:t>9</w:t>
      </w:r>
    </w:p>
    <w:p>
      <w:pPr>
        <w:spacing w:line="253" w:lineRule="exact" w:before="0"/>
        <w:ind w:left="1439" w:right="0" w:firstLine="0"/>
        <w:jc w:val="left"/>
        <w:rPr>
          <w:sz w:val="22"/>
        </w:rPr>
      </w:pPr>
      <w:r>
        <w:rPr>
          <w:sz w:val="22"/>
        </w:rPr>
        <w:t>Permanent,</w:t>
      </w:r>
      <w:r>
        <w:rPr>
          <w:spacing w:val="-8"/>
          <w:sz w:val="22"/>
        </w:rPr>
        <w:t> </w:t>
      </w:r>
      <w:r>
        <w:rPr>
          <w:sz w:val="22"/>
        </w:rPr>
        <w:t>new</w:t>
      </w:r>
      <w:r>
        <w:rPr>
          <w:spacing w:val="-10"/>
          <w:sz w:val="22"/>
        </w:rPr>
        <w:t> </w:t>
      </w:r>
      <w:r>
        <w:rPr>
          <w:spacing w:val="-2"/>
          <w:sz w:val="22"/>
        </w:rPr>
        <w:t>Section</w:t>
      </w:r>
    </w:p>
    <w:p>
      <w:pPr>
        <w:pStyle w:val="ListParagraph"/>
        <w:numPr>
          <w:ilvl w:val="2"/>
          <w:numId w:val="195"/>
        </w:numPr>
        <w:tabs>
          <w:tab w:pos="1439" w:val="left" w:leader="none"/>
        </w:tabs>
        <w:spacing w:line="240" w:lineRule="auto" w:before="0" w:after="0"/>
        <w:ind w:left="359" w:right="5989" w:firstLine="0"/>
        <w:jc w:val="left"/>
        <w:rPr>
          <w:sz w:val="22"/>
        </w:rPr>
      </w:pPr>
      <w:r>
        <w:rPr>
          <w:sz w:val="22"/>
        </w:rPr>
        <w:t>Permanent,</w:t>
      </w:r>
      <w:r>
        <w:rPr>
          <w:spacing w:val="-16"/>
          <w:sz w:val="22"/>
        </w:rPr>
        <w:t> </w:t>
      </w:r>
      <w:r>
        <w:rPr>
          <w:sz w:val="22"/>
        </w:rPr>
        <w:t>updating</w:t>
      </w:r>
      <w:r>
        <w:rPr>
          <w:spacing w:val="-15"/>
          <w:sz w:val="22"/>
        </w:rPr>
        <w:t> </w:t>
      </w:r>
      <w:r>
        <w:rPr>
          <w:sz w:val="22"/>
        </w:rPr>
        <w:t>language </w:t>
      </w:r>
      <w:r>
        <w:rPr>
          <w:spacing w:val="-2"/>
          <w:sz w:val="22"/>
        </w:rPr>
        <w:t>9-12-14</w:t>
      </w:r>
      <w:r>
        <w:rPr>
          <w:sz w:val="22"/>
        </w:rPr>
        <w:tab/>
        <w:t>Updated language</w:t>
      </w:r>
    </w:p>
    <w:p>
      <w:pPr>
        <w:tabs>
          <w:tab w:pos="1439" w:val="left" w:leader="none"/>
        </w:tabs>
        <w:spacing w:before="0"/>
        <w:ind w:left="1439" w:right="855" w:hanging="1080"/>
        <w:jc w:val="left"/>
        <w:rPr>
          <w:sz w:val="22"/>
        </w:rPr>
      </w:pPr>
      <w:r>
        <w:rPr>
          <w:spacing w:val="-2"/>
          <w:sz w:val="22"/>
        </w:rPr>
        <w:t>9-11-22</w:t>
      </w:r>
      <w:r>
        <w:rPr>
          <w:sz w:val="22"/>
        </w:rPr>
        <w:tab/>
        <w:t>Under section (c) (D) revised language, added section (E) for establishment and maintenance</w:t>
      </w:r>
      <w:r>
        <w:rPr>
          <w:spacing w:val="-4"/>
          <w:sz w:val="22"/>
        </w:rPr>
        <w:t> </w:t>
      </w:r>
      <w:r>
        <w:rPr>
          <w:sz w:val="22"/>
        </w:rPr>
        <w:t>of</w:t>
      </w:r>
      <w:r>
        <w:rPr>
          <w:spacing w:val="-4"/>
          <w:sz w:val="22"/>
        </w:rPr>
        <w:t> </w:t>
      </w:r>
      <w:r>
        <w:rPr>
          <w:sz w:val="22"/>
        </w:rPr>
        <w:t>retirement</w:t>
      </w:r>
      <w:r>
        <w:rPr>
          <w:spacing w:val="-5"/>
          <w:sz w:val="22"/>
        </w:rPr>
        <w:t> </w:t>
      </w:r>
      <w:r>
        <w:rPr>
          <w:sz w:val="22"/>
        </w:rPr>
        <w:t>or</w:t>
      </w:r>
      <w:r>
        <w:rPr>
          <w:spacing w:val="-4"/>
          <w:sz w:val="22"/>
        </w:rPr>
        <w:t> </w:t>
      </w:r>
      <w:r>
        <w:rPr>
          <w:sz w:val="22"/>
        </w:rPr>
        <w:t>pension</w:t>
      </w:r>
      <w:r>
        <w:rPr>
          <w:spacing w:val="-4"/>
          <w:sz w:val="22"/>
        </w:rPr>
        <w:t> </w:t>
      </w:r>
      <w:r>
        <w:rPr>
          <w:sz w:val="22"/>
        </w:rPr>
        <w:t>funds,</w:t>
      </w:r>
      <w:r>
        <w:rPr>
          <w:spacing w:val="-5"/>
          <w:sz w:val="22"/>
        </w:rPr>
        <w:t> </w:t>
      </w:r>
      <w:r>
        <w:rPr>
          <w:sz w:val="22"/>
        </w:rPr>
        <w:t>health</w:t>
      </w:r>
      <w:r>
        <w:rPr>
          <w:spacing w:val="-4"/>
          <w:sz w:val="22"/>
        </w:rPr>
        <w:t> </w:t>
      </w:r>
      <w:r>
        <w:rPr>
          <w:sz w:val="22"/>
        </w:rPr>
        <w:t>insurance</w:t>
      </w:r>
      <w:r>
        <w:rPr>
          <w:spacing w:val="-4"/>
          <w:sz w:val="22"/>
        </w:rPr>
        <w:t> </w:t>
      </w:r>
      <w:r>
        <w:rPr>
          <w:sz w:val="22"/>
        </w:rPr>
        <w:t>contributions,</w:t>
      </w:r>
      <w:r>
        <w:rPr>
          <w:spacing w:val="-5"/>
          <w:sz w:val="22"/>
        </w:rPr>
        <w:t> </w:t>
      </w:r>
      <w:r>
        <w:rPr>
          <w:sz w:val="22"/>
        </w:rPr>
        <w:t>Section</w:t>
      </w:r>
    </w:p>
    <w:p>
      <w:pPr>
        <w:spacing w:before="1"/>
        <w:ind w:left="1439" w:right="0" w:firstLine="0"/>
        <w:jc w:val="left"/>
        <w:rPr>
          <w:sz w:val="22"/>
        </w:rPr>
      </w:pPr>
      <w:r>
        <w:rPr>
          <w:sz w:val="22"/>
        </w:rPr>
        <w:t>(d)</w:t>
      </w:r>
      <w:r>
        <w:rPr>
          <w:spacing w:val="-8"/>
          <w:sz w:val="22"/>
        </w:rPr>
        <w:t> </w:t>
      </w:r>
      <w:r>
        <w:rPr>
          <w:sz w:val="22"/>
        </w:rPr>
        <w:t>eliminates</w:t>
      </w:r>
      <w:r>
        <w:rPr>
          <w:spacing w:val="-8"/>
          <w:sz w:val="22"/>
        </w:rPr>
        <w:t> </w:t>
      </w:r>
      <w:r>
        <w:rPr>
          <w:sz w:val="22"/>
        </w:rPr>
        <w:t>licensed</w:t>
      </w:r>
      <w:r>
        <w:rPr>
          <w:spacing w:val="-7"/>
          <w:sz w:val="22"/>
        </w:rPr>
        <w:t> </w:t>
      </w:r>
      <w:r>
        <w:rPr>
          <w:sz w:val="22"/>
        </w:rPr>
        <w:t>manager</w:t>
      </w:r>
      <w:r>
        <w:rPr>
          <w:spacing w:val="-8"/>
          <w:sz w:val="22"/>
        </w:rPr>
        <w:t> </w:t>
      </w:r>
      <w:r>
        <w:rPr>
          <w:sz w:val="22"/>
        </w:rPr>
        <w:t>terminology</w:t>
      </w:r>
      <w:r>
        <w:rPr>
          <w:spacing w:val="-7"/>
          <w:sz w:val="22"/>
        </w:rPr>
        <w:t> </w:t>
      </w:r>
      <w:r>
        <w:rPr>
          <w:sz w:val="22"/>
        </w:rPr>
        <w:t>and</w:t>
      </w:r>
      <w:r>
        <w:rPr>
          <w:spacing w:val="-9"/>
          <w:sz w:val="22"/>
        </w:rPr>
        <w:t> </w:t>
      </w:r>
      <w:r>
        <w:rPr>
          <w:sz w:val="22"/>
        </w:rPr>
        <w:t>replaces</w:t>
      </w:r>
      <w:r>
        <w:rPr>
          <w:spacing w:val="-8"/>
          <w:sz w:val="22"/>
        </w:rPr>
        <w:t> </w:t>
      </w:r>
      <w:r>
        <w:rPr>
          <w:sz w:val="22"/>
        </w:rPr>
        <w:t>with</w:t>
      </w:r>
      <w:r>
        <w:rPr>
          <w:spacing w:val="-7"/>
          <w:sz w:val="22"/>
        </w:rPr>
        <w:t> </w:t>
      </w:r>
      <w:r>
        <w:rPr>
          <w:sz w:val="22"/>
        </w:rPr>
        <w:t>blind</w:t>
      </w:r>
      <w:r>
        <w:rPr>
          <w:spacing w:val="-8"/>
          <w:sz w:val="22"/>
        </w:rPr>
        <w:t> </w:t>
      </w:r>
      <w:r>
        <w:rPr>
          <w:spacing w:val="-2"/>
          <w:sz w:val="22"/>
        </w:rPr>
        <w:t>vendors.</w:t>
      </w:r>
    </w:p>
    <w:p>
      <w:pPr>
        <w:spacing w:after="0"/>
        <w:jc w:val="left"/>
        <w:rPr>
          <w:sz w:val="22"/>
        </w:rPr>
        <w:sectPr>
          <w:pgSz w:w="12240" w:h="15840"/>
          <w:pgMar w:top="1340" w:bottom="280" w:left="1080" w:right="720"/>
        </w:sectPr>
      </w:pPr>
    </w:p>
    <w:p>
      <w:pPr>
        <w:pStyle w:val="Heading2"/>
        <w:spacing w:line="208" w:lineRule="auto" w:before="96"/>
        <w:ind w:right="1105"/>
        <w:jc w:val="both"/>
      </w:pPr>
      <w:bookmarkStart w:name="612:25-6-33.  Organization and operation" w:id="438"/>
      <w:bookmarkEnd w:id="438"/>
      <w:r>
        <w:rPr>
          <w:b w:val="0"/>
        </w:rPr>
      </w:r>
      <w:r>
        <w:rPr/>
        <w:t>612:25-6-33.</w:t>
      </w:r>
      <w:r>
        <w:rPr>
          <w:spacing w:val="40"/>
        </w:rPr>
        <w:t> </w:t>
      </w:r>
      <w:r>
        <w:rPr/>
        <w:t>Organization</w:t>
      </w:r>
      <w:r>
        <w:rPr>
          <w:spacing w:val="-4"/>
        </w:rPr>
        <w:t> </w:t>
      </w:r>
      <w:r>
        <w:rPr/>
        <w:t>and</w:t>
      </w:r>
      <w:r>
        <w:rPr>
          <w:spacing w:val="-5"/>
        </w:rPr>
        <w:t> </w:t>
      </w:r>
      <w:r>
        <w:rPr/>
        <w:t>operation</w:t>
      </w:r>
      <w:r>
        <w:rPr>
          <w:spacing w:val="-4"/>
        </w:rPr>
        <w:t> </w:t>
      </w:r>
      <w:r>
        <w:rPr/>
        <w:t>of</w:t>
      </w:r>
      <w:r>
        <w:rPr>
          <w:spacing w:val="-3"/>
        </w:rPr>
        <w:t> </w:t>
      </w:r>
      <w:r>
        <w:rPr/>
        <w:t>the</w:t>
      </w:r>
      <w:r>
        <w:rPr>
          <w:spacing w:val="-4"/>
        </w:rPr>
        <w:t> </w:t>
      </w:r>
      <w:r>
        <w:rPr/>
        <w:t>Elected</w:t>
      </w:r>
      <w:r>
        <w:rPr>
          <w:spacing w:val="-4"/>
        </w:rPr>
        <w:t> </w:t>
      </w:r>
      <w:r>
        <w:rPr/>
        <w:t>Committee</w:t>
      </w:r>
      <w:r>
        <w:rPr>
          <w:spacing w:val="-4"/>
        </w:rPr>
        <w:t> </w:t>
      </w:r>
      <w:r>
        <w:rPr/>
        <w:t>of</w:t>
      </w:r>
      <w:r>
        <w:rPr>
          <w:spacing w:val="-5"/>
        </w:rPr>
        <w:t> </w:t>
      </w:r>
      <w:r>
        <w:rPr/>
        <w:t>Licensed </w:t>
      </w:r>
      <w:r>
        <w:rPr>
          <w:spacing w:val="-2"/>
        </w:rPr>
        <w:t>Managers</w:t>
      </w:r>
    </w:p>
    <w:p>
      <w:pPr>
        <w:pStyle w:val="ListParagraph"/>
        <w:numPr>
          <w:ilvl w:val="0"/>
          <w:numId w:val="410"/>
        </w:numPr>
        <w:tabs>
          <w:tab w:pos="785" w:val="left" w:leader="none"/>
        </w:tabs>
        <w:spacing w:line="240" w:lineRule="auto" w:before="210" w:after="0"/>
        <w:ind w:left="785" w:right="0" w:hanging="425"/>
        <w:jc w:val="left"/>
        <w:rPr>
          <w:sz w:val="24"/>
        </w:rPr>
      </w:pPr>
      <w:r>
        <w:rPr>
          <w:b/>
          <w:sz w:val="24"/>
        </w:rPr>
        <w:t>Organization.</w:t>
      </w:r>
      <w:r>
        <w:rPr>
          <w:b/>
          <w:spacing w:val="-5"/>
          <w:sz w:val="24"/>
        </w:rPr>
        <w:t> </w:t>
      </w:r>
      <w:r>
        <w:rPr>
          <w:sz w:val="24"/>
        </w:rPr>
        <w:t>The</w:t>
      </w:r>
      <w:r>
        <w:rPr>
          <w:spacing w:val="-3"/>
          <w:sz w:val="24"/>
        </w:rPr>
        <w:t> </w:t>
      </w:r>
      <w:r>
        <w:rPr>
          <w:sz w:val="24"/>
        </w:rPr>
        <w:t>ECM</w:t>
      </w:r>
      <w:r>
        <w:rPr>
          <w:spacing w:val="-2"/>
          <w:sz w:val="24"/>
        </w:rPr>
        <w:t> </w:t>
      </w:r>
      <w:r>
        <w:rPr>
          <w:sz w:val="24"/>
        </w:rPr>
        <w:t>will</w:t>
      </w:r>
      <w:r>
        <w:rPr>
          <w:spacing w:val="-3"/>
          <w:sz w:val="24"/>
        </w:rPr>
        <w:t> </w:t>
      </w:r>
      <w:r>
        <w:rPr>
          <w:sz w:val="24"/>
        </w:rPr>
        <w:t>be</w:t>
      </w:r>
      <w:r>
        <w:rPr>
          <w:spacing w:val="-3"/>
          <w:sz w:val="24"/>
        </w:rPr>
        <w:t> </w:t>
      </w:r>
      <w:r>
        <w:rPr>
          <w:sz w:val="24"/>
        </w:rPr>
        <w:t>organized</w:t>
      </w:r>
      <w:r>
        <w:rPr>
          <w:spacing w:val="-2"/>
          <w:sz w:val="24"/>
        </w:rPr>
        <w:t> </w:t>
      </w:r>
      <w:r>
        <w:rPr>
          <w:sz w:val="24"/>
        </w:rPr>
        <w:t>in</w:t>
      </w:r>
      <w:r>
        <w:rPr>
          <w:spacing w:val="-3"/>
          <w:sz w:val="24"/>
        </w:rPr>
        <w:t> </w:t>
      </w:r>
      <w:r>
        <w:rPr>
          <w:sz w:val="24"/>
        </w:rPr>
        <w:t>accordance</w:t>
      </w:r>
      <w:r>
        <w:rPr>
          <w:spacing w:val="-3"/>
          <w:sz w:val="24"/>
        </w:rPr>
        <w:t> </w:t>
      </w:r>
      <w:r>
        <w:rPr>
          <w:sz w:val="24"/>
        </w:rPr>
        <w:t>with</w:t>
      </w:r>
      <w:r>
        <w:rPr>
          <w:spacing w:val="-3"/>
          <w:sz w:val="24"/>
        </w:rPr>
        <w:t> </w:t>
      </w:r>
      <w:r>
        <w:rPr>
          <w:sz w:val="24"/>
        </w:rPr>
        <w:t>its</w:t>
      </w:r>
      <w:r>
        <w:rPr>
          <w:spacing w:val="-2"/>
          <w:sz w:val="24"/>
        </w:rPr>
        <w:t> bylaws.</w:t>
      </w:r>
    </w:p>
    <w:p>
      <w:pPr>
        <w:pStyle w:val="ListParagraph"/>
        <w:numPr>
          <w:ilvl w:val="0"/>
          <w:numId w:val="410"/>
        </w:numPr>
        <w:tabs>
          <w:tab w:pos="786" w:val="left" w:leader="none"/>
        </w:tabs>
        <w:spacing w:line="208" w:lineRule="auto" w:before="234" w:after="0"/>
        <w:ind w:left="360" w:right="1287" w:firstLine="0"/>
        <w:jc w:val="left"/>
        <w:rPr>
          <w:sz w:val="24"/>
        </w:rPr>
      </w:pPr>
      <w:r>
        <w:rPr>
          <w:b/>
          <w:sz w:val="24"/>
        </w:rPr>
        <w:t>Nominations</w:t>
      </w:r>
      <w:r>
        <w:rPr>
          <w:b/>
          <w:spacing w:val="-3"/>
          <w:sz w:val="24"/>
        </w:rPr>
        <w:t> </w:t>
      </w:r>
      <w:r>
        <w:rPr>
          <w:b/>
          <w:sz w:val="24"/>
        </w:rPr>
        <w:t>and</w:t>
      </w:r>
      <w:r>
        <w:rPr>
          <w:b/>
          <w:spacing w:val="-3"/>
          <w:sz w:val="24"/>
        </w:rPr>
        <w:t> </w:t>
      </w:r>
      <w:r>
        <w:rPr>
          <w:b/>
          <w:sz w:val="24"/>
        </w:rPr>
        <w:t>elections.</w:t>
      </w:r>
      <w:r>
        <w:rPr>
          <w:b/>
          <w:spacing w:val="-4"/>
          <w:sz w:val="24"/>
        </w:rPr>
        <w:t> </w:t>
      </w:r>
      <w:r>
        <w:rPr>
          <w:sz w:val="24"/>
        </w:rPr>
        <w:t>The</w:t>
      </w:r>
      <w:r>
        <w:rPr>
          <w:spacing w:val="-3"/>
          <w:sz w:val="24"/>
        </w:rPr>
        <w:t> </w:t>
      </w:r>
      <w:r>
        <w:rPr>
          <w:sz w:val="24"/>
        </w:rPr>
        <w:t>procedures</w:t>
      </w:r>
      <w:r>
        <w:rPr>
          <w:spacing w:val="-3"/>
          <w:sz w:val="24"/>
        </w:rPr>
        <w:t> </w:t>
      </w:r>
      <w:r>
        <w:rPr>
          <w:sz w:val="24"/>
        </w:rPr>
        <w:t>set</w:t>
      </w:r>
      <w:r>
        <w:rPr>
          <w:spacing w:val="-2"/>
          <w:sz w:val="24"/>
        </w:rPr>
        <w:t> </w:t>
      </w:r>
      <w:r>
        <w:rPr>
          <w:sz w:val="24"/>
        </w:rPr>
        <w:t>forth</w:t>
      </w:r>
      <w:r>
        <w:rPr>
          <w:spacing w:val="-3"/>
          <w:sz w:val="24"/>
        </w:rPr>
        <w:t> </w:t>
      </w:r>
      <w:r>
        <w:rPr>
          <w:sz w:val="24"/>
        </w:rPr>
        <w:t>in</w:t>
      </w:r>
      <w:r>
        <w:rPr>
          <w:spacing w:val="-3"/>
          <w:sz w:val="24"/>
        </w:rPr>
        <w:t> </w:t>
      </w:r>
      <w:r>
        <w:rPr>
          <w:sz w:val="24"/>
        </w:rPr>
        <w:t>(1)</w:t>
      </w:r>
      <w:r>
        <w:rPr>
          <w:spacing w:val="-4"/>
          <w:sz w:val="24"/>
        </w:rPr>
        <w:t> </w:t>
      </w:r>
      <w:r>
        <w:rPr>
          <w:sz w:val="24"/>
        </w:rPr>
        <w:t>through</w:t>
      </w:r>
      <w:r>
        <w:rPr>
          <w:spacing w:val="-3"/>
          <w:sz w:val="24"/>
        </w:rPr>
        <w:t> </w:t>
      </w:r>
      <w:r>
        <w:rPr>
          <w:sz w:val="24"/>
        </w:rPr>
        <w:t>(3)</w:t>
      </w:r>
      <w:r>
        <w:rPr>
          <w:spacing w:val="-4"/>
          <w:sz w:val="24"/>
        </w:rPr>
        <w:t> </w:t>
      </w:r>
      <w:r>
        <w:rPr>
          <w:sz w:val="24"/>
        </w:rPr>
        <w:t>of</w:t>
      </w:r>
      <w:r>
        <w:rPr>
          <w:spacing w:val="-2"/>
          <w:sz w:val="24"/>
        </w:rPr>
        <w:t> </w:t>
      </w:r>
      <w:r>
        <w:rPr>
          <w:sz w:val="24"/>
        </w:rPr>
        <w:t>this Subsection shall be used to nominate and elect members of the committee.</w:t>
      </w:r>
    </w:p>
    <w:p>
      <w:pPr>
        <w:pStyle w:val="ListParagraph"/>
        <w:numPr>
          <w:ilvl w:val="1"/>
          <w:numId w:val="410"/>
        </w:numPr>
        <w:tabs>
          <w:tab w:pos="1218" w:val="left" w:leader="none"/>
        </w:tabs>
        <w:spacing w:line="208" w:lineRule="auto" w:before="239" w:after="0"/>
        <w:ind w:left="792" w:right="1202" w:firstLine="0"/>
        <w:jc w:val="left"/>
        <w:rPr>
          <w:sz w:val="24"/>
        </w:rPr>
      </w:pPr>
      <w:r>
        <w:rPr>
          <w:sz w:val="24"/>
        </w:rPr>
        <w:t>The</w:t>
      </w:r>
      <w:r>
        <w:rPr>
          <w:spacing w:val="-5"/>
          <w:sz w:val="24"/>
        </w:rPr>
        <w:t> </w:t>
      </w:r>
      <w:r>
        <w:rPr>
          <w:sz w:val="24"/>
        </w:rPr>
        <w:t>Chairperson</w:t>
      </w:r>
      <w:r>
        <w:rPr>
          <w:spacing w:val="-5"/>
          <w:sz w:val="24"/>
        </w:rPr>
        <w:t> </w:t>
      </w:r>
      <w:r>
        <w:rPr>
          <w:sz w:val="24"/>
        </w:rPr>
        <w:t>of</w:t>
      </w:r>
      <w:r>
        <w:rPr>
          <w:spacing w:val="-4"/>
          <w:sz w:val="24"/>
        </w:rPr>
        <w:t> </w:t>
      </w:r>
      <w:r>
        <w:rPr>
          <w:sz w:val="24"/>
        </w:rPr>
        <w:t>the</w:t>
      </w:r>
      <w:r>
        <w:rPr>
          <w:spacing w:val="-5"/>
          <w:sz w:val="24"/>
        </w:rPr>
        <w:t> </w:t>
      </w:r>
      <w:r>
        <w:rPr>
          <w:sz w:val="24"/>
        </w:rPr>
        <w:t>Committee</w:t>
      </w:r>
      <w:r>
        <w:rPr>
          <w:spacing w:val="-5"/>
          <w:sz w:val="24"/>
        </w:rPr>
        <w:t> </w:t>
      </w:r>
      <w:r>
        <w:rPr>
          <w:sz w:val="24"/>
        </w:rPr>
        <w:t>of</w:t>
      </w:r>
      <w:r>
        <w:rPr>
          <w:spacing w:val="-4"/>
          <w:sz w:val="24"/>
        </w:rPr>
        <w:t> </w:t>
      </w:r>
      <w:r>
        <w:rPr>
          <w:sz w:val="24"/>
        </w:rPr>
        <w:t>Licensed</w:t>
      </w:r>
      <w:r>
        <w:rPr>
          <w:spacing w:val="-5"/>
          <w:sz w:val="24"/>
        </w:rPr>
        <w:t> </w:t>
      </w:r>
      <w:r>
        <w:rPr>
          <w:sz w:val="24"/>
        </w:rPr>
        <w:t>Managers</w:t>
      </w:r>
      <w:r>
        <w:rPr>
          <w:spacing w:val="-5"/>
          <w:sz w:val="24"/>
        </w:rPr>
        <w:t> </w:t>
      </w:r>
      <w:r>
        <w:rPr>
          <w:sz w:val="24"/>
        </w:rPr>
        <w:t>presides</w:t>
      </w:r>
      <w:r>
        <w:rPr>
          <w:spacing w:val="-5"/>
          <w:sz w:val="24"/>
        </w:rPr>
        <w:t> </w:t>
      </w:r>
      <w:r>
        <w:rPr>
          <w:sz w:val="24"/>
        </w:rPr>
        <w:t>over</w:t>
      </w:r>
      <w:r>
        <w:rPr>
          <w:spacing w:val="-4"/>
          <w:sz w:val="24"/>
        </w:rPr>
        <w:t> </w:t>
      </w:r>
      <w:r>
        <w:rPr>
          <w:sz w:val="24"/>
        </w:rPr>
        <w:t>the election of Committee members.</w:t>
      </w:r>
    </w:p>
    <w:p>
      <w:pPr>
        <w:pStyle w:val="ListParagraph"/>
        <w:numPr>
          <w:ilvl w:val="1"/>
          <w:numId w:val="410"/>
        </w:numPr>
        <w:tabs>
          <w:tab w:pos="1218" w:val="left" w:leader="none"/>
        </w:tabs>
        <w:spacing w:line="208" w:lineRule="auto" w:before="240" w:after="0"/>
        <w:ind w:left="792" w:right="870" w:firstLine="0"/>
        <w:jc w:val="both"/>
        <w:rPr>
          <w:sz w:val="24"/>
        </w:rPr>
      </w:pPr>
      <w:r>
        <w:rPr>
          <w:sz w:val="24"/>
        </w:rPr>
        <w:t>The SLA presents a list of eligible voters and candidates. The Chairperson will call</w:t>
      </w:r>
      <w:r>
        <w:rPr>
          <w:spacing w:val="-4"/>
          <w:sz w:val="24"/>
        </w:rPr>
        <w:t> </w:t>
      </w:r>
      <w:r>
        <w:rPr>
          <w:sz w:val="24"/>
        </w:rPr>
        <w:t>for</w:t>
      </w:r>
      <w:r>
        <w:rPr>
          <w:spacing w:val="-3"/>
          <w:sz w:val="24"/>
        </w:rPr>
        <w:t> </w:t>
      </w:r>
      <w:r>
        <w:rPr>
          <w:sz w:val="24"/>
        </w:rPr>
        <w:t>nominations</w:t>
      </w:r>
      <w:r>
        <w:rPr>
          <w:spacing w:val="-4"/>
          <w:sz w:val="24"/>
        </w:rPr>
        <w:t> </w:t>
      </w:r>
      <w:r>
        <w:rPr>
          <w:sz w:val="24"/>
        </w:rPr>
        <w:t>from</w:t>
      </w:r>
      <w:r>
        <w:rPr>
          <w:spacing w:val="-3"/>
          <w:sz w:val="24"/>
        </w:rPr>
        <w:t> </w:t>
      </w:r>
      <w:r>
        <w:rPr>
          <w:sz w:val="24"/>
        </w:rPr>
        <w:t>the</w:t>
      </w:r>
      <w:r>
        <w:rPr>
          <w:spacing w:val="-5"/>
          <w:sz w:val="24"/>
        </w:rPr>
        <w:t> </w:t>
      </w:r>
      <w:r>
        <w:rPr>
          <w:sz w:val="24"/>
        </w:rPr>
        <w:t>floor</w:t>
      </w:r>
      <w:r>
        <w:rPr>
          <w:spacing w:val="-3"/>
          <w:sz w:val="24"/>
        </w:rPr>
        <w:t> </w:t>
      </w:r>
      <w:r>
        <w:rPr>
          <w:sz w:val="24"/>
        </w:rPr>
        <w:t>for</w:t>
      </w:r>
      <w:r>
        <w:rPr>
          <w:spacing w:val="-5"/>
          <w:sz w:val="24"/>
        </w:rPr>
        <w:t> </w:t>
      </w:r>
      <w:r>
        <w:rPr>
          <w:sz w:val="24"/>
        </w:rPr>
        <w:t>ECM</w:t>
      </w:r>
      <w:r>
        <w:rPr>
          <w:spacing w:val="-5"/>
          <w:sz w:val="24"/>
        </w:rPr>
        <w:t> </w:t>
      </w:r>
      <w:r>
        <w:rPr>
          <w:sz w:val="24"/>
        </w:rPr>
        <w:t>members.</w:t>
      </w:r>
      <w:r>
        <w:rPr>
          <w:spacing w:val="-5"/>
          <w:sz w:val="24"/>
        </w:rPr>
        <w:t> </w:t>
      </w:r>
      <w:r>
        <w:rPr>
          <w:sz w:val="24"/>
        </w:rPr>
        <w:t>Nominees</w:t>
      </w:r>
      <w:r>
        <w:rPr>
          <w:spacing w:val="-3"/>
          <w:sz w:val="24"/>
        </w:rPr>
        <w:t> </w:t>
      </w:r>
      <w:r>
        <w:rPr>
          <w:sz w:val="24"/>
        </w:rPr>
        <w:t>must</w:t>
      </w:r>
      <w:r>
        <w:rPr>
          <w:spacing w:val="-3"/>
          <w:sz w:val="24"/>
        </w:rPr>
        <w:t> </w:t>
      </w:r>
      <w:r>
        <w:rPr>
          <w:sz w:val="24"/>
        </w:rPr>
        <w:t>give</w:t>
      </w:r>
      <w:r>
        <w:rPr>
          <w:spacing w:val="-4"/>
          <w:sz w:val="24"/>
        </w:rPr>
        <w:t> </w:t>
      </w:r>
      <w:r>
        <w:rPr>
          <w:sz w:val="24"/>
        </w:rPr>
        <w:t>consent to be nominated.</w:t>
      </w:r>
    </w:p>
    <w:p>
      <w:pPr>
        <w:pStyle w:val="ListParagraph"/>
        <w:numPr>
          <w:ilvl w:val="1"/>
          <w:numId w:val="410"/>
        </w:numPr>
        <w:tabs>
          <w:tab w:pos="1218" w:val="left" w:leader="none"/>
        </w:tabs>
        <w:spacing w:line="208" w:lineRule="auto" w:before="240" w:after="0"/>
        <w:ind w:left="792" w:right="1719" w:firstLine="0"/>
        <w:jc w:val="left"/>
        <w:rPr>
          <w:sz w:val="24"/>
        </w:rPr>
      </w:pPr>
      <w:r>
        <w:rPr>
          <w:sz w:val="24"/>
        </w:rPr>
        <w:t>The</w:t>
      </w:r>
      <w:r>
        <w:rPr>
          <w:spacing w:val="-4"/>
          <w:sz w:val="24"/>
        </w:rPr>
        <w:t> </w:t>
      </w:r>
      <w:r>
        <w:rPr>
          <w:sz w:val="24"/>
        </w:rPr>
        <w:t>SLA</w:t>
      </w:r>
      <w:r>
        <w:rPr>
          <w:spacing w:val="-4"/>
          <w:sz w:val="24"/>
        </w:rPr>
        <w:t> </w:t>
      </w:r>
      <w:r>
        <w:rPr>
          <w:sz w:val="24"/>
        </w:rPr>
        <w:t>or</w:t>
      </w:r>
      <w:r>
        <w:rPr>
          <w:spacing w:val="-3"/>
          <w:sz w:val="24"/>
        </w:rPr>
        <w:t> </w:t>
      </w:r>
      <w:r>
        <w:rPr>
          <w:sz w:val="24"/>
        </w:rPr>
        <w:t>designee</w:t>
      </w:r>
      <w:r>
        <w:rPr>
          <w:spacing w:val="-4"/>
          <w:sz w:val="24"/>
        </w:rPr>
        <w:t> </w:t>
      </w:r>
      <w:r>
        <w:rPr>
          <w:sz w:val="24"/>
        </w:rPr>
        <w:t>and</w:t>
      </w:r>
      <w:r>
        <w:rPr>
          <w:spacing w:val="-4"/>
          <w:sz w:val="24"/>
        </w:rPr>
        <w:t> </w:t>
      </w:r>
      <w:r>
        <w:rPr>
          <w:sz w:val="24"/>
        </w:rPr>
        <w:t>the</w:t>
      </w:r>
      <w:r>
        <w:rPr>
          <w:spacing w:val="-4"/>
          <w:sz w:val="24"/>
        </w:rPr>
        <w:t> </w:t>
      </w:r>
      <w:r>
        <w:rPr>
          <w:sz w:val="24"/>
        </w:rPr>
        <w:t>ECM</w:t>
      </w:r>
      <w:r>
        <w:rPr>
          <w:spacing w:val="-3"/>
          <w:sz w:val="24"/>
        </w:rPr>
        <w:t> </w:t>
      </w:r>
      <w:r>
        <w:rPr>
          <w:sz w:val="24"/>
        </w:rPr>
        <w:t>or</w:t>
      </w:r>
      <w:r>
        <w:rPr>
          <w:spacing w:val="-3"/>
          <w:sz w:val="24"/>
        </w:rPr>
        <w:t> </w:t>
      </w:r>
      <w:r>
        <w:rPr>
          <w:sz w:val="24"/>
        </w:rPr>
        <w:t>designee</w:t>
      </w:r>
      <w:r>
        <w:rPr>
          <w:spacing w:val="-4"/>
          <w:sz w:val="24"/>
        </w:rPr>
        <w:t> </w:t>
      </w:r>
      <w:r>
        <w:rPr>
          <w:sz w:val="24"/>
        </w:rPr>
        <w:t>are</w:t>
      </w:r>
      <w:r>
        <w:rPr>
          <w:spacing w:val="-3"/>
          <w:sz w:val="24"/>
        </w:rPr>
        <w:t> </w:t>
      </w:r>
      <w:r>
        <w:rPr>
          <w:sz w:val="24"/>
        </w:rPr>
        <w:t>responsible</w:t>
      </w:r>
      <w:r>
        <w:rPr>
          <w:spacing w:val="-3"/>
          <w:sz w:val="24"/>
        </w:rPr>
        <w:t> </w:t>
      </w:r>
      <w:r>
        <w:rPr>
          <w:sz w:val="24"/>
        </w:rPr>
        <w:t>for</w:t>
      </w:r>
      <w:r>
        <w:rPr>
          <w:spacing w:val="-5"/>
          <w:sz w:val="24"/>
        </w:rPr>
        <w:t> </w:t>
      </w:r>
      <w:r>
        <w:rPr>
          <w:sz w:val="24"/>
        </w:rPr>
        <w:t>the collection and tallying of votes.</w:t>
      </w:r>
    </w:p>
    <w:p>
      <w:pPr>
        <w:pStyle w:val="ListParagraph"/>
        <w:numPr>
          <w:ilvl w:val="0"/>
          <w:numId w:val="410"/>
        </w:numPr>
        <w:tabs>
          <w:tab w:pos="773" w:val="left" w:leader="none"/>
        </w:tabs>
        <w:spacing w:line="208" w:lineRule="auto" w:before="240" w:after="0"/>
        <w:ind w:left="360" w:right="914" w:firstLine="0"/>
        <w:jc w:val="left"/>
        <w:rPr>
          <w:sz w:val="24"/>
        </w:rPr>
      </w:pPr>
      <w:r>
        <w:rPr>
          <w:b/>
          <w:sz w:val="24"/>
        </w:rPr>
        <w:t>Operation.</w:t>
      </w:r>
      <w:r>
        <w:rPr>
          <w:b/>
          <w:spacing w:val="-4"/>
          <w:sz w:val="24"/>
        </w:rPr>
        <w:t> </w:t>
      </w:r>
      <w:r>
        <w:rPr>
          <w:sz w:val="24"/>
        </w:rPr>
        <w:t>The</w:t>
      </w:r>
      <w:r>
        <w:rPr>
          <w:spacing w:val="-5"/>
          <w:sz w:val="24"/>
        </w:rPr>
        <w:t> </w:t>
      </w:r>
      <w:r>
        <w:rPr>
          <w:sz w:val="24"/>
        </w:rPr>
        <w:t>Elected</w:t>
      </w:r>
      <w:r>
        <w:rPr>
          <w:spacing w:val="-5"/>
          <w:sz w:val="24"/>
        </w:rPr>
        <w:t> </w:t>
      </w:r>
      <w:r>
        <w:rPr>
          <w:sz w:val="24"/>
        </w:rPr>
        <w:t>Committee</w:t>
      </w:r>
      <w:r>
        <w:rPr>
          <w:spacing w:val="-5"/>
          <w:sz w:val="24"/>
        </w:rPr>
        <w:t> </w:t>
      </w:r>
      <w:r>
        <w:rPr>
          <w:sz w:val="24"/>
        </w:rPr>
        <w:t>of</w:t>
      </w:r>
      <w:r>
        <w:rPr>
          <w:spacing w:val="-4"/>
          <w:sz w:val="24"/>
        </w:rPr>
        <w:t> </w:t>
      </w:r>
      <w:r>
        <w:rPr>
          <w:sz w:val="24"/>
        </w:rPr>
        <w:t>Licensed</w:t>
      </w:r>
      <w:r>
        <w:rPr>
          <w:spacing w:val="-5"/>
          <w:sz w:val="24"/>
        </w:rPr>
        <w:t> </w:t>
      </w:r>
      <w:r>
        <w:rPr>
          <w:sz w:val="24"/>
        </w:rPr>
        <w:t>Managers</w:t>
      </w:r>
      <w:r>
        <w:rPr>
          <w:spacing w:val="-5"/>
          <w:sz w:val="24"/>
        </w:rPr>
        <w:t> </w:t>
      </w:r>
      <w:r>
        <w:rPr>
          <w:sz w:val="24"/>
        </w:rPr>
        <w:t>shall</w:t>
      </w:r>
      <w:r>
        <w:rPr>
          <w:spacing w:val="-5"/>
          <w:sz w:val="24"/>
        </w:rPr>
        <w:t> </w:t>
      </w:r>
      <w:r>
        <w:rPr>
          <w:sz w:val="24"/>
        </w:rPr>
        <w:t>operate</w:t>
      </w:r>
      <w:r>
        <w:rPr>
          <w:spacing w:val="-5"/>
          <w:sz w:val="24"/>
        </w:rPr>
        <w:t> </w:t>
      </w:r>
      <w:r>
        <w:rPr>
          <w:sz w:val="24"/>
        </w:rPr>
        <w:t>according to (1) through (3) of this Subsection.</w:t>
      </w:r>
    </w:p>
    <w:p>
      <w:pPr>
        <w:pStyle w:val="ListParagraph"/>
        <w:numPr>
          <w:ilvl w:val="1"/>
          <w:numId w:val="410"/>
        </w:numPr>
        <w:tabs>
          <w:tab w:pos="1218" w:val="left" w:leader="none"/>
        </w:tabs>
        <w:spacing w:line="208" w:lineRule="auto" w:before="240" w:after="0"/>
        <w:ind w:left="792" w:right="868" w:firstLine="0"/>
        <w:jc w:val="left"/>
        <w:rPr>
          <w:sz w:val="24"/>
        </w:rPr>
      </w:pPr>
      <w:r>
        <w:rPr>
          <w:sz w:val="24"/>
        </w:rPr>
        <w:t>The</w:t>
      </w:r>
      <w:r>
        <w:rPr>
          <w:spacing w:val="-2"/>
          <w:sz w:val="24"/>
        </w:rPr>
        <w:t> </w:t>
      </w:r>
      <w:r>
        <w:rPr>
          <w:sz w:val="24"/>
        </w:rPr>
        <w:t>Elected</w:t>
      </w:r>
      <w:r>
        <w:rPr>
          <w:spacing w:val="-2"/>
          <w:sz w:val="24"/>
        </w:rPr>
        <w:t> </w:t>
      </w:r>
      <w:r>
        <w:rPr>
          <w:sz w:val="24"/>
        </w:rPr>
        <w:t>Committee</w:t>
      </w:r>
      <w:r>
        <w:rPr>
          <w:spacing w:val="-2"/>
          <w:sz w:val="24"/>
        </w:rPr>
        <w:t> </w:t>
      </w:r>
      <w:r>
        <w:rPr>
          <w:sz w:val="24"/>
        </w:rPr>
        <w:t>of</w:t>
      </w:r>
      <w:r>
        <w:rPr>
          <w:spacing w:val="-1"/>
          <w:sz w:val="24"/>
        </w:rPr>
        <w:t> </w:t>
      </w:r>
      <w:r>
        <w:rPr>
          <w:sz w:val="24"/>
        </w:rPr>
        <w:t>Licensed</w:t>
      </w:r>
      <w:r>
        <w:rPr>
          <w:spacing w:val="-2"/>
          <w:sz w:val="24"/>
        </w:rPr>
        <w:t> </w:t>
      </w:r>
      <w:r>
        <w:rPr>
          <w:sz w:val="24"/>
        </w:rPr>
        <w:t>Managers</w:t>
      </w:r>
      <w:r>
        <w:rPr>
          <w:spacing w:val="-2"/>
          <w:sz w:val="24"/>
        </w:rPr>
        <w:t> </w:t>
      </w:r>
      <w:r>
        <w:rPr>
          <w:sz w:val="24"/>
        </w:rPr>
        <w:t>will</w:t>
      </w:r>
      <w:r>
        <w:rPr>
          <w:spacing w:val="-2"/>
          <w:sz w:val="24"/>
        </w:rPr>
        <w:t> </w:t>
      </w:r>
      <w:r>
        <w:rPr>
          <w:sz w:val="24"/>
        </w:rPr>
        <w:t>convene</w:t>
      </w:r>
      <w:r>
        <w:rPr>
          <w:spacing w:val="-2"/>
          <w:sz w:val="24"/>
        </w:rPr>
        <w:t> </w:t>
      </w:r>
      <w:r>
        <w:rPr>
          <w:sz w:val="24"/>
        </w:rPr>
        <w:t>at</w:t>
      </w:r>
      <w:r>
        <w:rPr>
          <w:spacing w:val="-1"/>
          <w:sz w:val="24"/>
        </w:rPr>
        <w:t> </w:t>
      </w:r>
      <w:r>
        <w:rPr>
          <w:sz w:val="24"/>
        </w:rPr>
        <w:t>least</w:t>
      </w:r>
      <w:r>
        <w:rPr>
          <w:spacing w:val="-1"/>
          <w:sz w:val="24"/>
        </w:rPr>
        <w:t> </w:t>
      </w:r>
      <w:r>
        <w:rPr>
          <w:sz w:val="24"/>
        </w:rPr>
        <w:t>once</w:t>
      </w:r>
      <w:r>
        <w:rPr>
          <w:spacing w:val="-2"/>
          <w:sz w:val="24"/>
        </w:rPr>
        <w:t> </w:t>
      </w:r>
      <w:r>
        <w:rPr>
          <w:sz w:val="24"/>
        </w:rPr>
        <w:t>each year at the licensed manager's training conference, the time and place of joint meetings to be scheduled by SLA staff and the Elected Committee of Licensed Managers.</w:t>
      </w:r>
      <w:r>
        <w:rPr>
          <w:spacing w:val="-4"/>
          <w:sz w:val="24"/>
        </w:rPr>
        <w:t> </w:t>
      </w:r>
      <w:r>
        <w:rPr>
          <w:sz w:val="24"/>
        </w:rPr>
        <w:t>Requests</w:t>
      </w:r>
      <w:r>
        <w:rPr>
          <w:spacing w:val="-3"/>
          <w:sz w:val="24"/>
        </w:rPr>
        <w:t> </w:t>
      </w:r>
      <w:r>
        <w:rPr>
          <w:sz w:val="24"/>
        </w:rPr>
        <w:t>for</w:t>
      </w:r>
      <w:r>
        <w:rPr>
          <w:spacing w:val="-3"/>
          <w:sz w:val="24"/>
        </w:rPr>
        <w:t> </w:t>
      </w:r>
      <w:r>
        <w:rPr>
          <w:sz w:val="24"/>
        </w:rPr>
        <w:t>meetings</w:t>
      </w:r>
      <w:r>
        <w:rPr>
          <w:spacing w:val="-3"/>
          <w:sz w:val="24"/>
        </w:rPr>
        <w:t> </w:t>
      </w:r>
      <w:r>
        <w:rPr>
          <w:sz w:val="24"/>
        </w:rPr>
        <w:t>by</w:t>
      </w:r>
      <w:r>
        <w:rPr>
          <w:spacing w:val="-4"/>
          <w:sz w:val="24"/>
        </w:rPr>
        <w:t> </w:t>
      </w:r>
      <w:r>
        <w:rPr>
          <w:sz w:val="24"/>
        </w:rPr>
        <w:t>the</w:t>
      </w:r>
      <w:r>
        <w:rPr>
          <w:spacing w:val="-3"/>
          <w:sz w:val="24"/>
        </w:rPr>
        <w:t> </w:t>
      </w:r>
      <w:r>
        <w:rPr>
          <w:sz w:val="24"/>
        </w:rPr>
        <w:t>ECM</w:t>
      </w:r>
      <w:r>
        <w:rPr>
          <w:spacing w:val="-3"/>
          <w:sz w:val="24"/>
        </w:rPr>
        <w:t> </w:t>
      </w:r>
      <w:r>
        <w:rPr>
          <w:sz w:val="24"/>
        </w:rPr>
        <w:t>committee</w:t>
      </w:r>
      <w:r>
        <w:rPr>
          <w:spacing w:val="-3"/>
          <w:sz w:val="24"/>
        </w:rPr>
        <w:t> </w:t>
      </w:r>
      <w:r>
        <w:rPr>
          <w:sz w:val="24"/>
        </w:rPr>
        <w:t>will</w:t>
      </w:r>
      <w:r>
        <w:rPr>
          <w:spacing w:val="-4"/>
          <w:sz w:val="24"/>
        </w:rPr>
        <w:t> </w:t>
      </w:r>
      <w:r>
        <w:rPr>
          <w:sz w:val="24"/>
        </w:rPr>
        <w:t>be</w:t>
      </w:r>
      <w:r>
        <w:rPr>
          <w:spacing w:val="-3"/>
          <w:sz w:val="24"/>
        </w:rPr>
        <w:t> </w:t>
      </w:r>
      <w:r>
        <w:rPr>
          <w:sz w:val="24"/>
        </w:rPr>
        <w:t>made</w:t>
      </w:r>
      <w:r>
        <w:rPr>
          <w:spacing w:val="-3"/>
          <w:sz w:val="24"/>
        </w:rPr>
        <w:t> </w:t>
      </w:r>
      <w:r>
        <w:rPr>
          <w:sz w:val="24"/>
        </w:rPr>
        <w:t>in</w:t>
      </w:r>
      <w:r>
        <w:rPr>
          <w:spacing w:val="-4"/>
          <w:sz w:val="24"/>
        </w:rPr>
        <w:t> </w:t>
      </w:r>
      <w:r>
        <w:rPr>
          <w:sz w:val="24"/>
        </w:rPr>
        <w:t>writing</w:t>
      </w:r>
      <w:r>
        <w:rPr>
          <w:spacing w:val="-3"/>
          <w:sz w:val="24"/>
        </w:rPr>
        <w:t> </w:t>
      </w:r>
      <w:r>
        <w:rPr>
          <w:sz w:val="24"/>
        </w:rPr>
        <w:t>to the SLA for prior approval of financial assistance.</w:t>
      </w:r>
    </w:p>
    <w:p>
      <w:pPr>
        <w:pStyle w:val="ListParagraph"/>
        <w:numPr>
          <w:ilvl w:val="1"/>
          <w:numId w:val="410"/>
        </w:numPr>
        <w:tabs>
          <w:tab w:pos="1218" w:val="left" w:leader="none"/>
        </w:tabs>
        <w:spacing w:line="208" w:lineRule="auto" w:before="239" w:after="0"/>
        <w:ind w:left="792" w:right="813" w:firstLine="0"/>
        <w:jc w:val="left"/>
        <w:rPr>
          <w:sz w:val="24"/>
        </w:rPr>
      </w:pPr>
      <w:r>
        <w:rPr>
          <w:sz w:val="24"/>
        </w:rPr>
        <w:t>The ECM members will be notified of matters within its purview that are being considered for decision. The ECM committee members will have the opportunity to initiate</w:t>
      </w:r>
      <w:r>
        <w:rPr>
          <w:spacing w:val="-4"/>
          <w:sz w:val="24"/>
        </w:rPr>
        <w:t> </w:t>
      </w:r>
      <w:r>
        <w:rPr>
          <w:sz w:val="24"/>
        </w:rPr>
        <w:t>subjects</w:t>
      </w:r>
      <w:r>
        <w:rPr>
          <w:spacing w:val="-4"/>
          <w:sz w:val="24"/>
        </w:rPr>
        <w:t> </w:t>
      </w:r>
      <w:r>
        <w:rPr>
          <w:sz w:val="24"/>
        </w:rPr>
        <w:t>for</w:t>
      </w:r>
      <w:r>
        <w:rPr>
          <w:spacing w:val="-5"/>
          <w:sz w:val="24"/>
        </w:rPr>
        <w:t> </w:t>
      </w:r>
      <w:r>
        <w:rPr>
          <w:sz w:val="24"/>
        </w:rPr>
        <w:t>consideration</w:t>
      </w:r>
      <w:r>
        <w:rPr>
          <w:spacing w:val="-3"/>
          <w:sz w:val="24"/>
        </w:rPr>
        <w:t> </w:t>
      </w:r>
      <w:r>
        <w:rPr>
          <w:sz w:val="24"/>
        </w:rPr>
        <w:t>by</w:t>
      </w:r>
      <w:r>
        <w:rPr>
          <w:spacing w:val="-4"/>
          <w:sz w:val="24"/>
        </w:rPr>
        <w:t> </w:t>
      </w:r>
      <w:r>
        <w:rPr>
          <w:sz w:val="24"/>
        </w:rPr>
        <w:t>it</w:t>
      </w:r>
      <w:r>
        <w:rPr>
          <w:spacing w:val="-3"/>
          <w:sz w:val="24"/>
        </w:rPr>
        <w:t> </w:t>
      </w:r>
      <w:r>
        <w:rPr>
          <w:sz w:val="24"/>
        </w:rPr>
        <w:t>and</w:t>
      </w:r>
      <w:r>
        <w:rPr>
          <w:spacing w:val="-4"/>
          <w:sz w:val="24"/>
        </w:rPr>
        <w:t> </w:t>
      </w:r>
      <w:r>
        <w:rPr>
          <w:sz w:val="24"/>
        </w:rPr>
        <w:t>the</w:t>
      </w:r>
      <w:r>
        <w:rPr>
          <w:spacing w:val="-4"/>
          <w:sz w:val="24"/>
        </w:rPr>
        <w:t> </w:t>
      </w:r>
      <w:r>
        <w:rPr>
          <w:sz w:val="24"/>
        </w:rPr>
        <w:t>SLA.</w:t>
      </w:r>
      <w:r>
        <w:rPr>
          <w:spacing w:val="-3"/>
          <w:sz w:val="24"/>
        </w:rPr>
        <w:t> </w:t>
      </w:r>
      <w:r>
        <w:rPr>
          <w:sz w:val="24"/>
        </w:rPr>
        <w:t>Recommendations</w:t>
      </w:r>
      <w:r>
        <w:rPr>
          <w:spacing w:val="-4"/>
          <w:sz w:val="24"/>
        </w:rPr>
        <w:t> </w:t>
      </w:r>
      <w:r>
        <w:rPr>
          <w:sz w:val="24"/>
        </w:rPr>
        <w:t>by</w:t>
      </w:r>
      <w:r>
        <w:rPr>
          <w:spacing w:val="-4"/>
          <w:sz w:val="24"/>
        </w:rPr>
        <w:t> </w:t>
      </w:r>
      <w:r>
        <w:rPr>
          <w:sz w:val="24"/>
        </w:rPr>
        <w:t>the</w:t>
      </w:r>
      <w:r>
        <w:rPr>
          <w:spacing w:val="-4"/>
          <w:sz w:val="24"/>
        </w:rPr>
        <w:t> </w:t>
      </w:r>
      <w:r>
        <w:rPr>
          <w:sz w:val="24"/>
        </w:rPr>
        <w:t>ECM members will be in writing and given serious consideration by the SLA.</w:t>
      </w:r>
    </w:p>
    <w:p>
      <w:pPr>
        <w:pStyle w:val="ListParagraph"/>
        <w:numPr>
          <w:ilvl w:val="1"/>
          <w:numId w:val="410"/>
        </w:numPr>
        <w:tabs>
          <w:tab w:pos="1218" w:val="left" w:leader="none"/>
        </w:tabs>
        <w:spacing w:line="208" w:lineRule="auto" w:before="240" w:after="0"/>
        <w:ind w:left="792" w:right="724" w:firstLine="0"/>
        <w:jc w:val="left"/>
        <w:rPr>
          <w:sz w:val="24"/>
        </w:rPr>
      </w:pPr>
      <w:r>
        <w:rPr>
          <w:sz w:val="24"/>
        </w:rPr>
        <w:t>The SLA has the ultimate responsibility for the administration of the Business Enterprise Program. If the SLA does not adopt the views and positions of the Elected</w:t>
      </w:r>
      <w:r>
        <w:rPr>
          <w:spacing w:val="-4"/>
          <w:sz w:val="24"/>
        </w:rPr>
        <w:t> </w:t>
      </w:r>
      <w:r>
        <w:rPr>
          <w:sz w:val="24"/>
        </w:rPr>
        <w:t>Committee</w:t>
      </w:r>
      <w:r>
        <w:rPr>
          <w:spacing w:val="-4"/>
          <w:sz w:val="24"/>
        </w:rPr>
        <w:t> </w:t>
      </w:r>
      <w:r>
        <w:rPr>
          <w:sz w:val="24"/>
        </w:rPr>
        <w:t>of</w:t>
      </w:r>
      <w:r>
        <w:rPr>
          <w:spacing w:val="-6"/>
          <w:sz w:val="24"/>
        </w:rPr>
        <w:t> </w:t>
      </w:r>
      <w:r>
        <w:rPr>
          <w:sz w:val="24"/>
        </w:rPr>
        <w:t>Licensed</w:t>
      </w:r>
      <w:r>
        <w:rPr>
          <w:spacing w:val="-4"/>
          <w:sz w:val="24"/>
        </w:rPr>
        <w:t> </w:t>
      </w:r>
      <w:r>
        <w:rPr>
          <w:sz w:val="24"/>
        </w:rPr>
        <w:t>Managers</w:t>
      </w:r>
      <w:r>
        <w:rPr>
          <w:spacing w:val="-4"/>
          <w:sz w:val="24"/>
        </w:rPr>
        <w:t> </w:t>
      </w:r>
      <w:r>
        <w:rPr>
          <w:sz w:val="24"/>
        </w:rPr>
        <w:t>it</w:t>
      </w:r>
      <w:r>
        <w:rPr>
          <w:spacing w:val="-3"/>
          <w:sz w:val="24"/>
        </w:rPr>
        <w:t> </w:t>
      </w:r>
      <w:r>
        <w:rPr>
          <w:sz w:val="24"/>
        </w:rPr>
        <w:t>will</w:t>
      </w:r>
      <w:r>
        <w:rPr>
          <w:spacing w:val="-4"/>
          <w:sz w:val="24"/>
        </w:rPr>
        <w:t> </w:t>
      </w:r>
      <w:r>
        <w:rPr>
          <w:sz w:val="24"/>
        </w:rPr>
        <w:t>notify</w:t>
      </w:r>
      <w:r>
        <w:rPr>
          <w:spacing w:val="-4"/>
          <w:sz w:val="24"/>
        </w:rPr>
        <w:t> </w:t>
      </w:r>
      <w:r>
        <w:rPr>
          <w:sz w:val="24"/>
        </w:rPr>
        <w:t>the</w:t>
      </w:r>
      <w:r>
        <w:rPr>
          <w:spacing w:val="-4"/>
          <w:sz w:val="24"/>
        </w:rPr>
        <w:t> </w:t>
      </w:r>
      <w:r>
        <w:rPr>
          <w:sz w:val="24"/>
        </w:rPr>
        <w:t>ECM</w:t>
      </w:r>
      <w:r>
        <w:rPr>
          <w:spacing w:val="-3"/>
          <w:sz w:val="24"/>
        </w:rPr>
        <w:t> </w:t>
      </w:r>
      <w:r>
        <w:rPr>
          <w:sz w:val="24"/>
        </w:rPr>
        <w:t>Committee</w:t>
      </w:r>
      <w:r>
        <w:rPr>
          <w:spacing w:val="-4"/>
          <w:sz w:val="24"/>
        </w:rPr>
        <w:t> </w:t>
      </w:r>
      <w:r>
        <w:rPr>
          <w:sz w:val="24"/>
        </w:rPr>
        <w:t>in</w:t>
      </w:r>
      <w:r>
        <w:rPr>
          <w:spacing w:val="-4"/>
          <w:sz w:val="24"/>
        </w:rPr>
        <w:t> </w:t>
      </w:r>
      <w:r>
        <w:rPr>
          <w:sz w:val="24"/>
        </w:rPr>
        <w:t>writing of the decision reached or the action taken and the reasons therefore.</w:t>
      </w:r>
    </w:p>
    <w:p>
      <w:pPr>
        <w:pStyle w:val="ListParagraph"/>
        <w:numPr>
          <w:ilvl w:val="0"/>
          <w:numId w:val="410"/>
        </w:numPr>
        <w:tabs>
          <w:tab w:pos="785" w:val="left" w:leader="none"/>
        </w:tabs>
        <w:spacing w:line="208" w:lineRule="auto" w:before="239" w:after="0"/>
        <w:ind w:left="360" w:right="1459" w:firstLine="0"/>
        <w:jc w:val="left"/>
        <w:rPr>
          <w:sz w:val="24"/>
        </w:rPr>
      </w:pPr>
      <w:r>
        <w:rPr>
          <w:b/>
          <w:sz w:val="24"/>
        </w:rPr>
        <w:t>Materials.</w:t>
      </w:r>
      <w:r>
        <w:rPr>
          <w:b/>
          <w:spacing w:val="-4"/>
          <w:sz w:val="24"/>
        </w:rPr>
        <w:t> </w:t>
      </w:r>
      <w:r>
        <w:rPr>
          <w:sz w:val="24"/>
        </w:rPr>
        <w:t>The</w:t>
      </w:r>
      <w:r>
        <w:rPr>
          <w:spacing w:val="-4"/>
          <w:sz w:val="24"/>
        </w:rPr>
        <w:t> </w:t>
      </w:r>
      <w:r>
        <w:rPr>
          <w:sz w:val="24"/>
        </w:rPr>
        <w:t>SLA</w:t>
      </w:r>
      <w:r>
        <w:rPr>
          <w:spacing w:val="-4"/>
          <w:sz w:val="24"/>
        </w:rPr>
        <w:t> </w:t>
      </w:r>
      <w:r>
        <w:rPr>
          <w:sz w:val="24"/>
        </w:rPr>
        <w:t>will</w:t>
      </w:r>
      <w:r>
        <w:rPr>
          <w:spacing w:val="-4"/>
          <w:sz w:val="24"/>
        </w:rPr>
        <w:t> </w:t>
      </w:r>
      <w:r>
        <w:rPr>
          <w:sz w:val="24"/>
        </w:rPr>
        <w:t>supply</w:t>
      </w:r>
      <w:r>
        <w:rPr>
          <w:spacing w:val="-4"/>
          <w:sz w:val="24"/>
        </w:rPr>
        <w:t> </w:t>
      </w:r>
      <w:r>
        <w:rPr>
          <w:sz w:val="24"/>
        </w:rPr>
        <w:t>the</w:t>
      </w:r>
      <w:r>
        <w:rPr>
          <w:spacing w:val="-4"/>
          <w:sz w:val="24"/>
        </w:rPr>
        <w:t> </w:t>
      </w:r>
      <w:r>
        <w:rPr>
          <w:sz w:val="24"/>
        </w:rPr>
        <w:t>necessary</w:t>
      </w:r>
      <w:r>
        <w:rPr>
          <w:spacing w:val="-4"/>
          <w:sz w:val="24"/>
        </w:rPr>
        <w:t> </w:t>
      </w:r>
      <w:r>
        <w:rPr>
          <w:sz w:val="24"/>
        </w:rPr>
        <w:t>materials</w:t>
      </w:r>
      <w:r>
        <w:rPr>
          <w:spacing w:val="-4"/>
          <w:sz w:val="24"/>
        </w:rPr>
        <w:t> </w:t>
      </w:r>
      <w:r>
        <w:rPr>
          <w:sz w:val="24"/>
        </w:rPr>
        <w:t>for</w:t>
      </w:r>
      <w:r>
        <w:rPr>
          <w:spacing w:val="-3"/>
          <w:sz w:val="24"/>
        </w:rPr>
        <w:t> </w:t>
      </w:r>
      <w:r>
        <w:rPr>
          <w:sz w:val="24"/>
        </w:rPr>
        <w:t>the</w:t>
      </w:r>
      <w:r>
        <w:rPr>
          <w:spacing w:val="-4"/>
          <w:sz w:val="24"/>
        </w:rPr>
        <w:t> </w:t>
      </w:r>
      <w:r>
        <w:rPr>
          <w:sz w:val="24"/>
        </w:rPr>
        <w:t>function</w:t>
      </w:r>
      <w:r>
        <w:rPr>
          <w:spacing w:val="-4"/>
          <w:sz w:val="24"/>
        </w:rPr>
        <w:t> </w:t>
      </w:r>
      <w:r>
        <w:rPr>
          <w:sz w:val="24"/>
        </w:rPr>
        <w:t>of</w:t>
      </w:r>
      <w:r>
        <w:rPr>
          <w:spacing w:val="-3"/>
          <w:sz w:val="24"/>
        </w:rPr>
        <w:t> </w:t>
      </w:r>
      <w:r>
        <w:rPr>
          <w:sz w:val="24"/>
        </w:rPr>
        <w:t>the Elected Committee of Licensed Managers upon written request to the SLA.</w:t>
      </w:r>
    </w:p>
    <w:p>
      <w:pPr>
        <w:spacing w:before="244"/>
        <w:ind w:left="360" w:right="0" w:firstLine="0"/>
        <w:jc w:val="both"/>
        <w:rPr>
          <w:sz w:val="22"/>
        </w:rPr>
      </w:pPr>
      <w:r>
        <w:rPr>
          <w:sz w:val="22"/>
        </w:rPr>
        <w:t>Section</w:t>
      </w:r>
      <w:r>
        <w:rPr>
          <w:spacing w:val="-9"/>
          <w:sz w:val="22"/>
        </w:rPr>
        <w:t> </w:t>
      </w:r>
      <w:r>
        <w:rPr>
          <w:spacing w:val="-2"/>
          <w:sz w:val="22"/>
        </w:rPr>
        <w:t>History</w:t>
      </w:r>
    </w:p>
    <w:p>
      <w:pPr>
        <w:spacing w:line="253" w:lineRule="exact" w:before="0"/>
        <w:ind w:left="360" w:right="0" w:firstLine="0"/>
        <w:jc w:val="both"/>
        <w:rPr>
          <w:sz w:val="22"/>
        </w:rPr>
      </w:pPr>
      <w:r>
        <w:rPr>
          <w:sz w:val="22"/>
        </w:rPr>
        <w:t>7-1-97</w:t>
      </w:r>
      <w:r>
        <w:rPr>
          <w:spacing w:val="50"/>
          <w:w w:val="150"/>
          <w:sz w:val="22"/>
        </w:rPr>
        <w:t>   </w:t>
      </w:r>
      <w:r>
        <w:rPr>
          <w:sz w:val="22"/>
        </w:rPr>
        <w:t>PT</w:t>
      </w:r>
      <w:r>
        <w:rPr>
          <w:spacing w:val="-2"/>
          <w:sz w:val="22"/>
        </w:rPr>
        <w:t> </w:t>
      </w:r>
      <w:r>
        <w:rPr>
          <w:sz w:val="22"/>
        </w:rPr>
        <w:t>Memo</w:t>
      </w:r>
      <w:r>
        <w:rPr>
          <w:spacing w:val="-2"/>
          <w:sz w:val="22"/>
        </w:rPr>
        <w:t> </w:t>
      </w:r>
      <w:r>
        <w:rPr>
          <w:sz w:val="22"/>
        </w:rPr>
        <w:t>#97-</w:t>
      </w:r>
      <w:r>
        <w:rPr>
          <w:spacing w:val="-10"/>
          <w:sz w:val="22"/>
        </w:rPr>
        <w:t>9</w:t>
      </w:r>
    </w:p>
    <w:p>
      <w:pPr>
        <w:spacing w:before="0"/>
        <w:ind w:left="359" w:right="6600" w:firstLine="1080"/>
        <w:jc w:val="both"/>
        <w:rPr>
          <w:sz w:val="22"/>
        </w:rPr>
      </w:pPr>
      <w:r>
        <w:rPr>
          <w:sz w:val="22"/>
        </w:rPr>
        <w:t>Permanent,</w:t>
      </w:r>
      <w:r>
        <w:rPr>
          <w:spacing w:val="-16"/>
          <w:sz w:val="22"/>
        </w:rPr>
        <w:t> </w:t>
      </w:r>
      <w:r>
        <w:rPr>
          <w:sz w:val="22"/>
        </w:rPr>
        <w:t>new</w:t>
      </w:r>
      <w:r>
        <w:rPr>
          <w:spacing w:val="-15"/>
          <w:sz w:val="22"/>
        </w:rPr>
        <w:t> </w:t>
      </w:r>
      <w:r>
        <w:rPr>
          <w:sz w:val="22"/>
        </w:rPr>
        <w:t>Section 4-13-99</w:t>
      </w:r>
      <w:r>
        <w:rPr>
          <w:spacing w:val="80"/>
          <w:sz w:val="22"/>
        </w:rPr>
        <w:t>  </w:t>
      </w:r>
      <w:r>
        <w:rPr>
          <w:sz w:val="22"/>
        </w:rPr>
        <w:t>PT Memo #99-7</w:t>
      </w:r>
    </w:p>
    <w:p>
      <w:pPr>
        <w:spacing w:before="0"/>
        <w:ind w:left="1439" w:right="732" w:firstLine="0"/>
        <w:jc w:val="both"/>
        <w:rPr>
          <w:sz w:val="22"/>
        </w:rPr>
      </w:pPr>
      <w:r>
        <w:rPr>
          <w:sz w:val="22"/>
        </w:rPr>
        <w:t>Emergency,</w:t>
      </w:r>
      <w:r>
        <w:rPr>
          <w:spacing w:val="-3"/>
          <w:sz w:val="22"/>
        </w:rPr>
        <w:t> </w:t>
      </w:r>
      <w:r>
        <w:rPr>
          <w:sz w:val="22"/>
        </w:rPr>
        <w:t>Section</w:t>
      </w:r>
      <w:r>
        <w:rPr>
          <w:spacing w:val="-3"/>
          <w:sz w:val="22"/>
        </w:rPr>
        <w:t> </w:t>
      </w:r>
      <w:r>
        <w:rPr>
          <w:sz w:val="22"/>
        </w:rPr>
        <w:t>amended</w:t>
      </w:r>
      <w:r>
        <w:rPr>
          <w:spacing w:val="-4"/>
          <w:sz w:val="22"/>
        </w:rPr>
        <w:t> </w:t>
      </w:r>
      <w:r>
        <w:rPr>
          <w:sz w:val="22"/>
        </w:rPr>
        <w:t>to</w:t>
      </w:r>
      <w:r>
        <w:rPr>
          <w:spacing w:val="-3"/>
          <w:sz w:val="22"/>
        </w:rPr>
        <w:t> </w:t>
      </w:r>
      <w:r>
        <w:rPr>
          <w:sz w:val="22"/>
        </w:rPr>
        <w:t>clarify:</w:t>
      </w:r>
      <w:r>
        <w:rPr>
          <w:spacing w:val="-3"/>
          <w:sz w:val="22"/>
        </w:rPr>
        <w:t> </w:t>
      </w:r>
      <w:r>
        <w:rPr>
          <w:sz w:val="22"/>
        </w:rPr>
        <w:t>eligible</w:t>
      </w:r>
      <w:r>
        <w:rPr>
          <w:spacing w:val="-4"/>
          <w:sz w:val="22"/>
        </w:rPr>
        <w:t> </w:t>
      </w:r>
      <w:r>
        <w:rPr>
          <w:sz w:val="22"/>
        </w:rPr>
        <w:t>voters</w:t>
      </w:r>
      <w:r>
        <w:rPr>
          <w:spacing w:val="-3"/>
          <w:sz w:val="22"/>
        </w:rPr>
        <w:t> </w:t>
      </w:r>
      <w:r>
        <w:rPr>
          <w:sz w:val="22"/>
        </w:rPr>
        <w:t>must</w:t>
      </w:r>
      <w:r>
        <w:rPr>
          <w:spacing w:val="-4"/>
          <w:sz w:val="22"/>
        </w:rPr>
        <w:t> </w:t>
      </w:r>
      <w:r>
        <w:rPr>
          <w:sz w:val="22"/>
        </w:rPr>
        <w:t>be</w:t>
      </w:r>
      <w:r>
        <w:rPr>
          <w:spacing w:val="-3"/>
          <w:sz w:val="22"/>
        </w:rPr>
        <w:t> </w:t>
      </w:r>
      <w:r>
        <w:rPr>
          <w:sz w:val="22"/>
        </w:rPr>
        <w:t>present</w:t>
      </w:r>
      <w:r>
        <w:rPr>
          <w:spacing w:val="-3"/>
          <w:sz w:val="22"/>
        </w:rPr>
        <w:t> </w:t>
      </w:r>
      <w:r>
        <w:rPr>
          <w:sz w:val="22"/>
        </w:rPr>
        <w:t>at</w:t>
      </w:r>
      <w:r>
        <w:rPr>
          <w:spacing w:val="-4"/>
          <w:sz w:val="22"/>
        </w:rPr>
        <w:t> </w:t>
      </w:r>
      <w:r>
        <w:rPr>
          <w:sz w:val="22"/>
        </w:rPr>
        <w:t>the</w:t>
      </w:r>
      <w:r>
        <w:rPr>
          <w:spacing w:val="-3"/>
          <w:sz w:val="22"/>
        </w:rPr>
        <w:t> </w:t>
      </w:r>
      <w:r>
        <w:rPr>
          <w:sz w:val="22"/>
        </w:rPr>
        <w:t>annual training conference; the State Licensing Agency responsibilities; when newly elected members of the ECM take office</w:t>
      </w:r>
    </w:p>
    <w:p>
      <w:pPr>
        <w:pStyle w:val="ListParagraph"/>
        <w:numPr>
          <w:ilvl w:val="2"/>
          <w:numId w:val="411"/>
        </w:numPr>
        <w:tabs>
          <w:tab w:pos="1437" w:val="left" w:leader="none"/>
        </w:tabs>
        <w:spacing w:line="253" w:lineRule="exact" w:before="1" w:after="0"/>
        <w:ind w:left="1437" w:right="0" w:hanging="1078"/>
        <w:jc w:val="both"/>
        <w:rPr>
          <w:sz w:val="22"/>
        </w:rPr>
      </w:pPr>
      <w:r>
        <w:rPr>
          <w:sz w:val="22"/>
        </w:rPr>
        <w:t>POL</w:t>
      </w:r>
      <w:r>
        <w:rPr>
          <w:spacing w:val="-9"/>
          <w:sz w:val="22"/>
        </w:rPr>
        <w:t> </w:t>
      </w:r>
      <w:r>
        <w:rPr>
          <w:sz w:val="22"/>
        </w:rPr>
        <w:t>Memo</w:t>
      </w:r>
      <w:r>
        <w:rPr>
          <w:spacing w:val="-8"/>
          <w:sz w:val="22"/>
        </w:rPr>
        <w:t> </w:t>
      </w:r>
      <w:r>
        <w:rPr>
          <w:sz w:val="22"/>
        </w:rPr>
        <w:t>#02-</w:t>
      </w:r>
      <w:r>
        <w:rPr>
          <w:spacing w:val="-5"/>
          <w:sz w:val="22"/>
        </w:rPr>
        <w:t>02</w:t>
      </w:r>
    </w:p>
    <w:p>
      <w:pPr>
        <w:spacing w:before="0"/>
        <w:ind w:left="1439" w:right="1393" w:firstLine="0"/>
        <w:jc w:val="both"/>
        <w:rPr>
          <w:sz w:val="22"/>
        </w:rPr>
      </w:pPr>
      <w:r>
        <w:rPr>
          <w:sz w:val="22"/>
        </w:rPr>
        <w:t>Permanent,</w:t>
      </w:r>
      <w:r>
        <w:rPr>
          <w:spacing w:val="-4"/>
          <w:sz w:val="22"/>
        </w:rPr>
        <w:t> </w:t>
      </w:r>
      <w:r>
        <w:rPr>
          <w:sz w:val="22"/>
        </w:rPr>
        <w:t>clarification</w:t>
      </w:r>
      <w:r>
        <w:rPr>
          <w:spacing w:val="-4"/>
          <w:sz w:val="22"/>
        </w:rPr>
        <w:t> </w:t>
      </w:r>
      <w:r>
        <w:rPr>
          <w:sz w:val="22"/>
        </w:rPr>
        <w:t>to</w:t>
      </w:r>
      <w:r>
        <w:rPr>
          <w:spacing w:val="-4"/>
          <w:sz w:val="22"/>
        </w:rPr>
        <w:t> </w:t>
      </w:r>
      <w:r>
        <w:rPr>
          <w:sz w:val="22"/>
        </w:rPr>
        <w:t>the</w:t>
      </w:r>
      <w:r>
        <w:rPr>
          <w:spacing w:val="-4"/>
          <w:sz w:val="22"/>
        </w:rPr>
        <w:t> </w:t>
      </w:r>
      <w:r>
        <w:rPr>
          <w:sz w:val="22"/>
        </w:rPr>
        <w:t>operation</w:t>
      </w:r>
      <w:r>
        <w:rPr>
          <w:spacing w:val="-4"/>
          <w:sz w:val="22"/>
        </w:rPr>
        <w:t> </w:t>
      </w:r>
      <w:r>
        <w:rPr>
          <w:sz w:val="22"/>
        </w:rPr>
        <w:t>of</w:t>
      </w:r>
      <w:r>
        <w:rPr>
          <w:spacing w:val="-4"/>
          <w:sz w:val="22"/>
        </w:rPr>
        <w:t> </w:t>
      </w:r>
      <w:r>
        <w:rPr>
          <w:sz w:val="22"/>
        </w:rPr>
        <w:t>the</w:t>
      </w:r>
      <w:r>
        <w:rPr>
          <w:spacing w:val="-4"/>
          <w:sz w:val="22"/>
        </w:rPr>
        <w:t> </w:t>
      </w:r>
      <w:r>
        <w:rPr>
          <w:sz w:val="22"/>
        </w:rPr>
        <w:t>Elected</w:t>
      </w:r>
      <w:r>
        <w:rPr>
          <w:spacing w:val="-4"/>
          <w:sz w:val="22"/>
        </w:rPr>
        <w:t> </w:t>
      </w:r>
      <w:r>
        <w:rPr>
          <w:sz w:val="22"/>
        </w:rPr>
        <w:t>Committee</w:t>
      </w:r>
      <w:r>
        <w:rPr>
          <w:spacing w:val="-4"/>
          <w:sz w:val="22"/>
        </w:rPr>
        <w:t> </w:t>
      </w:r>
      <w:r>
        <w:rPr>
          <w:sz w:val="22"/>
        </w:rPr>
        <w:t>of</w:t>
      </w:r>
      <w:r>
        <w:rPr>
          <w:spacing w:val="-4"/>
          <w:sz w:val="22"/>
        </w:rPr>
        <w:t> </w:t>
      </w:r>
      <w:r>
        <w:rPr>
          <w:sz w:val="22"/>
        </w:rPr>
        <w:t>Licensed </w:t>
      </w:r>
      <w:r>
        <w:rPr>
          <w:spacing w:val="-2"/>
          <w:sz w:val="22"/>
        </w:rPr>
        <w:t>Managers</w:t>
      </w:r>
    </w:p>
    <w:p>
      <w:pPr>
        <w:pStyle w:val="ListParagraph"/>
        <w:numPr>
          <w:ilvl w:val="2"/>
          <w:numId w:val="411"/>
        </w:numPr>
        <w:tabs>
          <w:tab w:pos="1437" w:val="left" w:leader="none"/>
        </w:tabs>
        <w:spacing w:line="240" w:lineRule="auto" w:before="0" w:after="0"/>
        <w:ind w:left="1437" w:right="0" w:hanging="1078"/>
        <w:jc w:val="both"/>
        <w:rPr>
          <w:sz w:val="22"/>
        </w:rPr>
      </w:pPr>
      <w:r>
        <w:rPr>
          <w:sz w:val="22"/>
        </w:rPr>
        <w:t>PT</w:t>
      </w:r>
      <w:r>
        <w:rPr>
          <w:spacing w:val="-8"/>
          <w:sz w:val="22"/>
        </w:rPr>
        <w:t> </w:t>
      </w:r>
      <w:r>
        <w:rPr>
          <w:sz w:val="22"/>
        </w:rPr>
        <w:t>Memo</w:t>
      </w:r>
      <w:r>
        <w:rPr>
          <w:spacing w:val="-8"/>
          <w:sz w:val="22"/>
        </w:rPr>
        <w:t> </w:t>
      </w:r>
      <w:r>
        <w:rPr>
          <w:sz w:val="22"/>
        </w:rPr>
        <w:t>#03-</w:t>
      </w:r>
      <w:r>
        <w:rPr>
          <w:spacing w:val="-5"/>
          <w:sz w:val="22"/>
        </w:rPr>
        <w:t>07</w:t>
      </w:r>
    </w:p>
    <w:p>
      <w:pPr>
        <w:spacing w:before="0"/>
        <w:ind w:left="359" w:right="6038" w:firstLine="1080"/>
        <w:jc w:val="both"/>
        <w:rPr>
          <w:sz w:val="22"/>
        </w:rPr>
      </w:pPr>
      <w:r>
        <w:rPr>
          <w:sz w:val="22"/>
        </w:rPr>
        <w:t>Permanent,</w:t>
      </w:r>
      <w:r>
        <w:rPr>
          <w:spacing w:val="-16"/>
          <w:sz w:val="22"/>
        </w:rPr>
        <w:t> </w:t>
      </w:r>
      <w:r>
        <w:rPr>
          <w:sz w:val="22"/>
        </w:rPr>
        <w:t>updated</w:t>
      </w:r>
      <w:r>
        <w:rPr>
          <w:spacing w:val="-15"/>
          <w:sz w:val="22"/>
        </w:rPr>
        <w:t> </w:t>
      </w:r>
      <w:r>
        <w:rPr>
          <w:sz w:val="22"/>
        </w:rPr>
        <w:t>language 7-1-05</w:t>
      </w:r>
      <w:r>
        <w:rPr>
          <w:spacing w:val="80"/>
          <w:w w:val="150"/>
          <w:sz w:val="22"/>
        </w:rPr>
        <w:t>  </w:t>
      </w:r>
      <w:r>
        <w:rPr>
          <w:sz w:val="22"/>
        </w:rPr>
        <w:t>PT Memo #06-01</w:t>
      </w:r>
    </w:p>
    <w:p>
      <w:pPr>
        <w:spacing w:after="0"/>
        <w:jc w:val="both"/>
        <w:rPr>
          <w:sz w:val="22"/>
        </w:rPr>
        <w:sectPr>
          <w:pgSz w:w="12240" w:h="15840"/>
          <w:pgMar w:top="1340" w:bottom="280" w:left="1080" w:right="720"/>
        </w:sectPr>
      </w:pPr>
    </w:p>
    <w:p>
      <w:pPr>
        <w:tabs>
          <w:tab w:pos="1439" w:val="left" w:leader="none"/>
        </w:tabs>
        <w:spacing w:before="80"/>
        <w:ind w:left="359" w:right="5829" w:firstLine="1080"/>
        <w:jc w:val="left"/>
        <w:rPr>
          <w:sz w:val="22"/>
        </w:rPr>
      </w:pPr>
      <w:r>
        <w:rPr>
          <w:sz w:val="22"/>
        </w:rPr>
        <w:t>Permanent,</w:t>
      </w:r>
      <w:r>
        <w:rPr>
          <w:spacing w:val="-11"/>
          <w:sz w:val="22"/>
        </w:rPr>
        <w:t> </w:t>
      </w:r>
      <w:r>
        <w:rPr>
          <w:sz w:val="22"/>
        </w:rPr>
        <w:t>clarification</w:t>
      </w:r>
      <w:r>
        <w:rPr>
          <w:spacing w:val="-13"/>
          <w:sz w:val="22"/>
        </w:rPr>
        <w:t> </w:t>
      </w:r>
      <w:r>
        <w:rPr>
          <w:sz w:val="22"/>
        </w:rPr>
        <w:t>of</w:t>
      </w:r>
      <w:r>
        <w:rPr>
          <w:spacing w:val="-12"/>
          <w:sz w:val="22"/>
        </w:rPr>
        <w:t> </w:t>
      </w:r>
      <w:r>
        <w:rPr>
          <w:sz w:val="22"/>
        </w:rPr>
        <w:t>policy </w:t>
      </w:r>
      <w:r>
        <w:rPr>
          <w:spacing w:val="-2"/>
          <w:sz w:val="22"/>
        </w:rPr>
        <w:t>7-1-</w:t>
      </w:r>
      <w:r>
        <w:rPr>
          <w:spacing w:val="-5"/>
          <w:sz w:val="22"/>
        </w:rPr>
        <w:t>12</w:t>
      </w:r>
      <w:r>
        <w:rPr>
          <w:sz w:val="22"/>
        </w:rPr>
        <w:tab/>
        <w:t>Permanent,</w:t>
      </w:r>
      <w:r>
        <w:rPr>
          <w:spacing w:val="-9"/>
          <w:sz w:val="22"/>
        </w:rPr>
        <w:t> </w:t>
      </w:r>
      <w:r>
        <w:rPr>
          <w:sz w:val="22"/>
        </w:rPr>
        <w:t>clarification</w:t>
      </w:r>
      <w:r>
        <w:rPr>
          <w:spacing w:val="-10"/>
          <w:sz w:val="22"/>
        </w:rPr>
        <w:t> </w:t>
      </w:r>
      <w:r>
        <w:rPr>
          <w:sz w:val="22"/>
        </w:rPr>
        <w:t>of</w:t>
      </w:r>
      <w:r>
        <w:rPr>
          <w:spacing w:val="-9"/>
          <w:sz w:val="22"/>
        </w:rPr>
        <w:t> </w:t>
      </w:r>
      <w:r>
        <w:rPr>
          <w:spacing w:val="-2"/>
          <w:sz w:val="22"/>
        </w:rPr>
        <w:t>policy</w:t>
      </w:r>
    </w:p>
    <w:p>
      <w:pPr>
        <w:tabs>
          <w:tab w:pos="1439" w:val="left" w:leader="none"/>
        </w:tabs>
        <w:spacing w:before="0"/>
        <w:ind w:left="1439" w:right="1234" w:hanging="1080"/>
        <w:jc w:val="left"/>
        <w:rPr>
          <w:sz w:val="22"/>
        </w:rPr>
      </w:pPr>
      <w:r>
        <w:rPr>
          <w:spacing w:val="-2"/>
          <w:sz w:val="22"/>
        </w:rPr>
        <w:t>9-11-22</w:t>
      </w:r>
      <w:r>
        <w:rPr>
          <w:sz w:val="22"/>
        </w:rPr>
        <w:tab/>
        <w:t>Section</w:t>
      </w:r>
      <w:r>
        <w:rPr>
          <w:spacing w:val="-3"/>
          <w:sz w:val="22"/>
        </w:rPr>
        <w:t> </w:t>
      </w:r>
      <w:r>
        <w:rPr>
          <w:sz w:val="22"/>
        </w:rPr>
        <w:t>(a)</w:t>
      </w:r>
      <w:r>
        <w:rPr>
          <w:spacing w:val="-3"/>
          <w:sz w:val="22"/>
        </w:rPr>
        <w:t> </w:t>
      </w:r>
      <w:r>
        <w:rPr>
          <w:sz w:val="22"/>
        </w:rPr>
        <w:t>(3)</w:t>
      </w:r>
      <w:r>
        <w:rPr>
          <w:spacing w:val="-3"/>
          <w:sz w:val="22"/>
        </w:rPr>
        <w:t> </w:t>
      </w:r>
      <w:r>
        <w:rPr>
          <w:sz w:val="22"/>
        </w:rPr>
        <w:t>adds</w:t>
      </w:r>
      <w:r>
        <w:rPr>
          <w:spacing w:val="-3"/>
          <w:sz w:val="22"/>
        </w:rPr>
        <w:t> </w:t>
      </w:r>
      <w:r>
        <w:rPr>
          <w:sz w:val="22"/>
        </w:rPr>
        <w:t>designee</w:t>
      </w:r>
      <w:r>
        <w:rPr>
          <w:spacing w:val="-3"/>
          <w:sz w:val="22"/>
        </w:rPr>
        <w:t> </w:t>
      </w:r>
      <w:r>
        <w:rPr>
          <w:sz w:val="22"/>
        </w:rPr>
        <w:t>to</w:t>
      </w:r>
      <w:r>
        <w:rPr>
          <w:spacing w:val="-3"/>
          <w:sz w:val="22"/>
        </w:rPr>
        <w:t> </w:t>
      </w:r>
      <w:r>
        <w:rPr>
          <w:sz w:val="22"/>
        </w:rPr>
        <w:t>the</w:t>
      </w:r>
      <w:r>
        <w:rPr>
          <w:spacing w:val="-4"/>
          <w:sz w:val="22"/>
        </w:rPr>
        <w:t> </w:t>
      </w:r>
      <w:r>
        <w:rPr>
          <w:sz w:val="22"/>
        </w:rPr>
        <w:t>SLA</w:t>
      </w:r>
      <w:r>
        <w:rPr>
          <w:spacing w:val="-3"/>
          <w:sz w:val="22"/>
        </w:rPr>
        <w:t> </w:t>
      </w:r>
      <w:r>
        <w:rPr>
          <w:sz w:val="22"/>
        </w:rPr>
        <w:t>and</w:t>
      </w:r>
      <w:r>
        <w:rPr>
          <w:spacing w:val="-3"/>
          <w:sz w:val="22"/>
        </w:rPr>
        <w:t> </w:t>
      </w:r>
      <w:r>
        <w:rPr>
          <w:sz w:val="22"/>
        </w:rPr>
        <w:t>ECM</w:t>
      </w:r>
      <w:r>
        <w:rPr>
          <w:spacing w:val="-4"/>
          <w:sz w:val="22"/>
        </w:rPr>
        <w:t> </w:t>
      </w:r>
      <w:r>
        <w:rPr>
          <w:sz w:val="22"/>
        </w:rPr>
        <w:t>Board</w:t>
      </w:r>
      <w:r>
        <w:rPr>
          <w:spacing w:val="-3"/>
          <w:sz w:val="22"/>
        </w:rPr>
        <w:t> </w:t>
      </w:r>
      <w:r>
        <w:rPr>
          <w:sz w:val="22"/>
        </w:rPr>
        <w:t>as</w:t>
      </w:r>
      <w:r>
        <w:rPr>
          <w:spacing w:val="-3"/>
          <w:sz w:val="22"/>
        </w:rPr>
        <w:t> </w:t>
      </w:r>
      <w:r>
        <w:rPr>
          <w:sz w:val="22"/>
        </w:rPr>
        <w:t>responsible</w:t>
      </w:r>
      <w:r>
        <w:rPr>
          <w:spacing w:val="-4"/>
          <w:sz w:val="22"/>
        </w:rPr>
        <w:t> </w:t>
      </w:r>
      <w:r>
        <w:rPr>
          <w:sz w:val="22"/>
        </w:rPr>
        <w:t>for</w:t>
      </w:r>
      <w:r>
        <w:rPr>
          <w:spacing w:val="-3"/>
          <w:sz w:val="22"/>
        </w:rPr>
        <w:t> </w:t>
      </w:r>
      <w:r>
        <w:rPr>
          <w:sz w:val="22"/>
        </w:rPr>
        <w:t>the collection and tallying of votes. Revoked section (e) Travel expenses.</w:t>
      </w:r>
    </w:p>
    <w:sectPr>
      <w:pgSz w:w="12240" w:h="15840"/>
      <w:pgMar w:top="136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0">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2"/>
      <w:numFmt w:val="decimalZero"/>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409">
    <w:multiLevelType w:val="hybridMultilevel"/>
    <w:lvl w:ilvl="0">
      <w:start w:val="1"/>
      <w:numFmt w:val="lowerLetter"/>
      <w:lvlText w:val="(%1)"/>
      <w:lvlJc w:val="left"/>
      <w:pPr>
        <w:ind w:left="787"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408">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677" w:hanging="454"/>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2775" w:hanging="454"/>
      </w:pPr>
      <w:rPr>
        <w:rFonts w:hint="default"/>
        <w:lang w:val="en-US" w:eastAsia="en-US" w:bidi="ar-SA"/>
      </w:rPr>
    </w:lvl>
    <w:lvl w:ilvl="4">
      <w:start w:val="0"/>
      <w:numFmt w:val="bullet"/>
      <w:lvlText w:val="•"/>
      <w:lvlJc w:val="left"/>
      <w:pPr>
        <w:ind w:left="3870" w:hanging="454"/>
      </w:pPr>
      <w:rPr>
        <w:rFonts w:hint="default"/>
        <w:lang w:val="en-US" w:eastAsia="en-US" w:bidi="ar-SA"/>
      </w:rPr>
    </w:lvl>
    <w:lvl w:ilvl="5">
      <w:start w:val="0"/>
      <w:numFmt w:val="bullet"/>
      <w:lvlText w:val="•"/>
      <w:lvlJc w:val="left"/>
      <w:pPr>
        <w:ind w:left="4965" w:hanging="454"/>
      </w:pPr>
      <w:rPr>
        <w:rFonts w:hint="default"/>
        <w:lang w:val="en-US" w:eastAsia="en-US" w:bidi="ar-SA"/>
      </w:rPr>
    </w:lvl>
    <w:lvl w:ilvl="6">
      <w:start w:val="0"/>
      <w:numFmt w:val="bullet"/>
      <w:lvlText w:val="•"/>
      <w:lvlJc w:val="left"/>
      <w:pPr>
        <w:ind w:left="6060" w:hanging="454"/>
      </w:pPr>
      <w:rPr>
        <w:rFonts w:hint="default"/>
        <w:lang w:val="en-US" w:eastAsia="en-US" w:bidi="ar-SA"/>
      </w:rPr>
    </w:lvl>
    <w:lvl w:ilvl="7">
      <w:start w:val="0"/>
      <w:numFmt w:val="bullet"/>
      <w:lvlText w:val="•"/>
      <w:lvlJc w:val="left"/>
      <w:pPr>
        <w:ind w:left="7155" w:hanging="454"/>
      </w:pPr>
      <w:rPr>
        <w:rFonts w:hint="default"/>
        <w:lang w:val="en-US" w:eastAsia="en-US" w:bidi="ar-SA"/>
      </w:rPr>
    </w:lvl>
    <w:lvl w:ilvl="8">
      <w:start w:val="0"/>
      <w:numFmt w:val="bullet"/>
      <w:lvlText w:val="•"/>
      <w:lvlJc w:val="left"/>
      <w:pPr>
        <w:ind w:left="8250" w:hanging="454"/>
      </w:pPr>
      <w:rPr>
        <w:rFonts w:hint="default"/>
        <w:lang w:val="en-US" w:eastAsia="en-US" w:bidi="ar-SA"/>
      </w:rPr>
    </w:lvl>
  </w:abstractNum>
  <w:abstractNum w:abstractNumId="407">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406">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405">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404">
    <w:multiLevelType w:val="hybridMultilevel"/>
    <w:lvl w:ilvl="0">
      <w:start w:val="1"/>
      <w:numFmt w:val="decimal"/>
      <w:lvlText w:val="%1."/>
      <w:lvlJc w:val="left"/>
      <w:pPr>
        <w:ind w:left="792" w:hanging="335"/>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335"/>
      </w:pPr>
      <w:rPr>
        <w:rFonts w:hint="default"/>
        <w:lang w:val="en-US" w:eastAsia="en-US" w:bidi="ar-SA"/>
      </w:rPr>
    </w:lvl>
    <w:lvl w:ilvl="2">
      <w:start w:val="0"/>
      <w:numFmt w:val="bullet"/>
      <w:lvlText w:val="•"/>
      <w:lvlJc w:val="left"/>
      <w:pPr>
        <w:ind w:left="2728" w:hanging="335"/>
      </w:pPr>
      <w:rPr>
        <w:rFonts w:hint="default"/>
        <w:lang w:val="en-US" w:eastAsia="en-US" w:bidi="ar-SA"/>
      </w:rPr>
    </w:lvl>
    <w:lvl w:ilvl="3">
      <w:start w:val="0"/>
      <w:numFmt w:val="bullet"/>
      <w:lvlText w:val="•"/>
      <w:lvlJc w:val="left"/>
      <w:pPr>
        <w:ind w:left="3692" w:hanging="335"/>
      </w:pPr>
      <w:rPr>
        <w:rFonts w:hint="default"/>
        <w:lang w:val="en-US" w:eastAsia="en-US" w:bidi="ar-SA"/>
      </w:rPr>
    </w:lvl>
    <w:lvl w:ilvl="4">
      <w:start w:val="0"/>
      <w:numFmt w:val="bullet"/>
      <w:lvlText w:val="•"/>
      <w:lvlJc w:val="left"/>
      <w:pPr>
        <w:ind w:left="4656" w:hanging="335"/>
      </w:pPr>
      <w:rPr>
        <w:rFonts w:hint="default"/>
        <w:lang w:val="en-US" w:eastAsia="en-US" w:bidi="ar-SA"/>
      </w:rPr>
    </w:lvl>
    <w:lvl w:ilvl="5">
      <w:start w:val="0"/>
      <w:numFmt w:val="bullet"/>
      <w:lvlText w:val="•"/>
      <w:lvlJc w:val="left"/>
      <w:pPr>
        <w:ind w:left="5620" w:hanging="335"/>
      </w:pPr>
      <w:rPr>
        <w:rFonts w:hint="default"/>
        <w:lang w:val="en-US" w:eastAsia="en-US" w:bidi="ar-SA"/>
      </w:rPr>
    </w:lvl>
    <w:lvl w:ilvl="6">
      <w:start w:val="0"/>
      <w:numFmt w:val="bullet"/>
      <w:lvlText w:val="•"/>
      <w:lvlJc w:val="left"/>
      <w:pPr>
        <w:ind w:left="6584" w:hanging="335"/>
      </w:pPr>
      <w:rPr>
        <w:rFonts w:hint="default"/>
        <w:lang w:val="en-US" w:eastAsia="en-US" w:bidi="ar-SA"/>
      </w:rPr>
    </w:lvl>
    <w:lvl w:ilvl="7">
      <w:start w:val="0"/>
      <w:numFmt w:val="bullet"/>
      <w:lvlText w:val="•"/>
      <w:lvlJc w:val="left"/>
      <w:pPr>
        <w:ind w:left="7548" w:hanging="335"/>
      </w:pPr>
      <w:rPr>
        <w:rFonts w:hint="default"/>
        <w:lang w:val="en-US" w:eastAsia="en-US" w:bidi="ar-SA"/>
      </w:rPr>
    </w:lvl>
    <w:lvl w:ilvl="8">
      <w:start w:val="0"/>
      <w:numFmt w:val="bullet"/>
      <w:lvlText w:val="•"/>
      <w:lvlJc w:val="left"/>
      <w:pPr>
        <w:ind w:left="8512" w:hanging="335"/>
      </w:pPr>
      <w:rPr>
        <w:rFonts w:hint="default"/>
        <w:lang w:val="en-US" w:eastAsia="en-US" w:bidi="ar-SA"/>
      </w:rPr>
    </w:lvl>
  </w:abstractNum>
  <w:abstractNum w:abstractNumId="403">
    <w:multiLevelType w:val="hybridMultilevel"/>
    <w:lvl w:ilvl="0">
      <w:start w:val="1"/>
      <w:numFmt w:val="decimal"/>
      <w:lvlText w:val="(%1)"/>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429"/>
      </w:pPr>
      <w:rPr>
        <w:rFonts w:hint="default"/>
        <w:lang w:val="en-US" w:eastAsia="en-US" w:bidi="ar-SA"/>
      </w:rPr>
    </w:lvl>
    <w:lvl w:ilvl="2">
      <w:start w:val="0"/>
      <w:numFmt w:val="bullet"/>
      <w:lvlText w:val="•"/>
      <w:lvlJc w:val="left"/>
      <w:pPr>
        <w:ind w:left="2728" w:hanging="429"/>
      </w:pPr>
      <w:rPr>
        <w:rFonts w:hint="default"/>
        <w:lang w:val="en-US" w:eastAsia="en-US" w:bidi="ar-SA"/>
      </w:rPr>
    </w:lvl>
    <w:lvl w:ilvl="3">
      <w:start w:val="0"/>
      <w:numFmt w:val="bullet"/>
      <w:lvlText w:val="•"/>
      <w:lvlJc w:val="left"/>
      <w:pPr>
        <w:ind w:left="3692" w:hanging="429"/>
      </w:pPr>
      <w:rPr>
        <w:rFonts w:hint="default"/>
        <w:lang w:val="en-US" w:eastAsia="en-US" w:bidi="ar-SA"/>
      </w:rPr>
    </w:lvl>
    <w:lvl w:ilvl="4">
      <w:start w:val="0"/>
      <w:numFmt w:val="bullet"/>
      <w:lvlText w:val="•"/>
      <w:lvlJc w:val="left"/>
      <w:pPr>
        <w:ind w:left="4656" w:hanging="429"/>
      </w:pPr>
      <w:rPr>
        <w:rFonts w:hint="default"/>
        <w:lang w:val="en-US" w:eastAsia="en-US" w:bidi="ar-SA"/>
      </w:rPr>
    </w:lvl>
    <w:lvl w:ilvl="5">
      <w:start w:val="0"/>
      <w:numFmt w:val="bullet"/>
      <w:lvlText w:val="•"/>
      <w:lvlJc w:val="left"/>
      <w:pPr>
        <w:ind w:left="5620" w:hanging="429"/>
      </w:pPr>
      <w:rPr>
        <w:rFonts w:hint="default"/>
        <w:lang w:val="en-US" w:eastAsia="en-US" w:bidi="ar-SA"/>
      </w:rPr>
    </w:lvl>
    <w:lvl w:ilvl="6">
      <w:start w:val="0"/>
      <w:numFmt w:val="bullet"/>
      <w:lvlText w:val="•"/>
      <w:lvlJc w:val="left"/>
      <w:pPr>
        <w:ind w:left="6584" w:hanging="429"/>
      </w:pPr>
      <w:rPr>
        <w:rFonts w:hint="default"/>
        <w:lang w:val="en-US" w:eastAsia="en-US" w:bidi="ar-SA"/>
      </w:rPr>
    </w:lvl>
    <w:lvl w:ilvl="7">
      <w:start w:val="0"/>
      <w:numFmt w:val="bullet"/>
      <w:lvlText w:val="•"/>
      <w:lvlJc w:val="left"/>
      <w:pPr>
        <w:ind w:left="7548" w:hanging="429"/>
      </w:pPr>
      <w:rPr>
        <w:rFonts w:hint="default"/>
        <w:lang w:val="en-US" w:eastAsia="en-US" w:bidi="ar-SA"/>
      </w:rPr>
    </w:lvl>
    <w:lvl w:ilvl="8">
      <w:start w:val="0"/>
      <w:numFmt w:val="bullet"/>
      <w:lvlText w:val="•"/>
      <w:lvlJc w:val="left"/>
      <w:pPr>
        <w:ind w:left="8512" w:hanging="429"/>
      </w:pPr>
      <w:rPr>
        <w:rFonts w:hint="default"/>
        <w:lang w:val="en-US" w:eastAsia="en-US" w:bidi="ar-SA"/>
      </w:rPr>
    </w:lvl>
  </w:abstractNum>
  <w:abstractNum w:abstractNumId="402">
    <w:multiLevelType w:val="hybridMultilevel"/>
    <w:lvl w:ilvl="0">
      <w:start w:val="1"/>
      <w:numFmt w:val="decimal"/>
      <w:lvlText w:val="(%1)"/>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429"/>
      </w:pPr>
      <w:rPr>
        <w:rFonts w:hint="default"/>
        <w:lang w:val="en-US" w:eastAsia="en-US" w:bidi="ar-SA"/>
      </w:rPr>
    </w:lvl>
    <w:lvl w:ilvl="2">
      <w:start w:val="0"/>
      <w:numFmt w:val="bullet"/>
      <w:lvlText w:val="•"/>
      <w:lvlJc w:val="left"/>
      <w:pPr>
        <w:ind w:left="2728" w:hanging="429"/>
      </w:pPr>
      <w:rPr>
        <w:rFonts w:hint="default"/>
        <w:lang w:val="en-US" w:eastAsia="en-US" w:bidi="ar-SA"/>
      </w:rPr>
    </w:lvl>
    <w:lvl w:ilvl="3">
      <w:start w:val="0"/>
      <w:numFmt w:val="bullet"/>
      <w:lvlText w:val="•"/>
      <w:lvlJc w:val="left"/>
      <w:pPr>
        <w:ind w:left="3692" w:hanging="429"/>
      </w:pPr>
      <w:rPr>
        <w:rFonts w:hint="default"/>
        <w:lang w:val="en-US" w:eastAsia="en-US" w:bidi="ar-SA"/>
      </w:rPr>
    </w:lvl>
    <w:lvl w:ilvl="4">
      <w:start w:val="0"/>
      <w:numFmt w:val="bullet"/>
      <w:lvlText w:val="•"/>
      <w:lvlJc w:val="left"/>
      <w:pPr>
        <w:ind w:left="4656" w:hanging="429"/>
      </w:pPr>
      <w:rPr>
        <w:rFonts w:hint="default"/>
        <w:lang w:val="en-US" w:eastAsia="en-US" w:bidi="ar-SA"/>
      </w:rPr>
    </w:lvl>
    <w:lvl w:ilvl="5">
      <w:start w:val="0"/>
      <w:numFmt w:val="bullet"/>
      <w:lvlText w:val="•"/>
      <w:lvlJc w:val="left"/>
      <w:pPr>
        <w:ind w:left="5620" w:hanging="429"/>
      </w:pPr>
      <w:rPr>
        <w:rFonts w:hint="default"/>
        <w:lang w:val="en-US" w:eastAsia="en-US" w:bidi="ar-SA"/>
      </w:rPr>
    </w:lvl>
    <w:lvl w:ilvl="6">
      <w:start w:val="0"/>
      <w:numFmt w:val="bullet"/>
      <w:lvlText w:val="•"/>
      <w:lvlJc w:val="left"/>
      <w:pPr>
        <w:ind w:left="6584" w:hanging="429"/>
      </w:pPr>
      <w:rPr>
        <w:rFonts w:hint="default"/>
        <w:lang w:val="en-US" w:eastAsia="en-US" w:bidi="ar-SA"/>
      </w:rPr>
    </w:lvl>
    <w:lvl w:ilvl="7">
      <w:start w:val="0"/>
      <w:numFmt w:val="bullet"/>
      <w:lvlText w:val="•"/>
      <w:lvlJc w:val="left"/>
      <w:pPr>
        <w:ind w:left="7548" w:hanging="429"/>
      </w:pPr>
      <w:rPr>
        <w:rFonts w:hint="default"/>
        <w:lang w:val="en-US" w:eastAsia="en-US" w:bidi="ar-SA"/>
      </w:rPr>
    </w:lvl>
    <w:lvl w:ilvl="8">
      <w:start w:val="0"/>
      <w:numFmt w:val="bullet"/>
      <w:lvlText w:val="•"/>
      <w:lvlJc w:val="left"/>
      <w:pPr>
        <w:ind w:left="8512" w:hanging="429"/>
      </w:pPr>
      <w:rPr>
        <w:rFonts w:hint="default"/>
        <w:lang w:val="en-US" w:eastAsia="en-US" w:bidi="ar-SA"/>
      </w:rPr>
    </w:lvl>
  </w:abstractNum>
  <w:abstractNum w:abstractNumId="401">
    <w:multiLevelType w:val="hybridMultilevel"/>
    <w:lvl w:ilvl="0">
      <w:start w:val="1"/>
      <w:numFmt w:val="decimal"/>
      <w:lvlText w:val="(%1)"/>
      <w:lvlJc w:val="left"/>
      <w:pPr>
        <w:ind w:left="1058"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998" w:hanging="429"/>
      </w:pPr>
      <w:rPr>
        <w:rFonts w:hint="default"/>
        <w:lang w:val="en-US" w:eastAsia="en-US" w:bidi="ar-SA"/>
      </w:rPr>
    </w:lvl>
    <w:lvl w:ilvl="2">
      <w:start w:val="0"/>
      <w:numFmt w:val="bullet"/>
      <w:lvlText w:val="•"/>
      <w:lvlJc w:val="left"/>
      <w:pPr>
        <w:ind w:left="2936" w:hanging="429"/>
      </w:pPr>
      <w:rPr>
        <w:rFonts w:hint="default"/>
        <w:lang w:val="en-US" w:eastAsia="en-US" w:bidi="ar-SA"/>
      </w:rPr>
    </w:lvl>
    <w:lvl w:ilvl="3">
      <w:start w:val="0"/>
      <w:numFmt w:val="bullet"/>
      <w:lvlText w:val="•"/>
      <w:lvlJc w:val="left"/>
      <w:pPr>
        <w:ind w:left="3874" w:hanging="429"/>
      </w:pPr>
      <w:rPr>
        <w:rFonts w:hint="default"/>
        <w:lang w:val="en-US" w:eastAsia="en-US" w:bidi="ar-SA"/>
      </w:rPr>
    </w:lvl>
    <w:lvl w:ilvl="4">
      <w:start w:val="0"/>
      <w:numFmt w:val="bullet"/>
      <w:lvlText w:val="•"/>
      <w:lvlJc w:val="left"/>
      <w:pPr>
        <w:ind w:left="4812" w:hanging="429"/>
      </w:pPr>
      <w:rPr>
        <w:rFonts w:hint="default"/>
        <w:lang w:val="en-US" w:eastAsia="en-US" w:bidi="ar-SA"/>
      </w:rPr>
    </w:lvl>
    <w:lvl w:ilvl="5">
      <w:start w:val="0"/>
      <w:numFmt w:val="bullet"/>
      <w:lvlText w:val="•"/>
      <w:lvlJc w:val="left"/>
      <w:pPr>
        <w:ind w:left="5750" w:hanging="429"/>
      </w:pPr>
      <w:rPr>
        <w:rFonts w:hint="default"/>
        <w:lang w:val="en-US" w:eastAsia="en-US" w:bidi="ar-SA"/>
      </w:rPr>
    </w:lvl>
    <w:lvl w:ilvl="6">
      <w:start w:val="0"/>
      <w:numFmt w:val="bullet"/>
      <w:lvlText w:val="•"/>
      <w:lvlJc w:val="left"/>
      <w:pPr>
        <w:ind w:left="6688" w:hanging="429"/>
      </w:pPr>
      <w:rPr>
        <w:rFonts w:hint="default"/>
        <w:lang w:val="en-US" w:eastAsia="en-US" w:bidi="ar-SA"/>
      </w:rPr>
    </w:lvl>
    <w:lvl w:ilvl="7">
      <w:start w:val="0"/>
      <w:numFmt w:val="bullet"/>
      <w:lvlText w:val="•"/>
      <w:lvlJc w:val="left"/>
      <w:pPr>
        <w:ind w:left="7626" w:hanging="429"/>
      </w:pPr>
      <w:rPr>
        <w:rFonts w:hint="default"/>
        <w:lang w:val="en-US" w:eastAsia="en-US" w:bidi="ar-SA"/>
      </w:rPr>
    </w:lvl>
    <w:lvl w:ilvl="8">
      <w:start w:val="0"/>
      <w:numFmt w:val="bullet"/>
      <w:lvlText w:val="•"/>
      <w:lvlJc w:val="left"/>
      <w:pPr>
        <w:ind w:left="8564" w:hanging="429"/>
      </w:pPr>
      <w:rPr>
        <w:rFonts w:hint="default"/>
        <w:lang w:val="en-US" w:eastAsia="en-US" w:bidi="ar-SA"/>
      </w:rPr>
    </w:lvl>
  </w:abstractNum>
  <w:abstractNum w:abstractNumId="400">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19" w:hanging="42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8"/>
      </w:pPr>
      <w:rPr>
        <w:rFonts w:hint="default"/>
        <w:lang w:val="en-US" w:eastAsia="en-US" w:bidi="ar-SA"/>
      </w:rPr>
    </w:lvl>
    <w:lvl w:ilvl="3">
      <w:start w:val="0"/>
      <w:numFmt w:val="bullet"/>
      <w:lvlText w:val="•"/>
      <w:lvlJc w:val="left"/>
      <w:pPr>
        <w:ind w:left="3268" w:hanging="428"/>
      </w:pPr>
      <w:rPr>
        <w:rFonts w:hint="default"/>
        <w:lang w:val="en-US" w:eastAsia="en-US" w:bidi="ar-SA"/>
      </w:rPr>
    </w:lvl>
    <w:lvl w:ilvl="4">
      <w:start w:val="0"/>
      <w:numFmt w:val="bullet"/>
      <w:lvlText w:val="•"/>
      <w:lvlJc w:val="left"/>
      <w:pPr>
        <w:ind w:left="4293" w:hanging="428"/>
      </w:pPr>
      <w:rPr>
        <w:rFonts w:hint="default"/>
        <w:lang w:val="en-US" w:eastAsia="en-US" w:bidi="ar-SA"/>
      </w:rPr>
    </w:lvl>
    <w:lvl w:ilvl="5">
      <w:start w:val="0"/>
      <w:numFmt w:val="bullet"/>
      <w:lvlText w:val="•"/>
      <w:lvlJc w:val="left"/>
      <w:pPr>
        <w:ind w:left="5317" w:hanging="428"/>
      </w:pPr>
      <w:rPr>
        <w:rFonts w:hint="default"/>
        <w:lang w:val="en-US" w:eastAsia="en-US" w:bidi="ar-SA"/>
      </w:rPr>
    </w:lvl>
    <w:lvl w:ilvl="6">
      <w:start w:val="0"/>
      <w:numFmt w:val="bullet"/>
      <w:lvlText w:val="•"/>
      <w:lvlJc w:val="left"/>
      <w:pPr>
        <w:ind w:left="6342" w:hanging="428"/>
      </w:pPr>
      <w:rPr>
        <w:rFonts w:hint="default"/>
        <w:lang w:val="en-US" w:eastAsia="en-US" w:bidi="ar-SA"/>
      </w:rPr>
    </w:lvl>
    <w:lvl w:ilvl="7">
      <w:start w:val="0"/>
      <w:numFmt w:val="bullet"/>
      <w:lvlText w:val="•"/>
      <w:lvlJc w:val="left"/>
      <w:pPr>
        <w:ind w:left="7366" w:hanging="428"/>
      </w:pPr>
      <w:rPr>
        <w:rFonts w:hint="default"/>
        <w:lang w:val="en-US" w:eastAsia="en-US" w:bidi="ar-SA"/>
      </w:rPr>
    </w:lvl>
    <w:lvl w:ilvl="8">
      <w:start w:val="0"/>
      <w:numFmt w:val="bullet"/>
      <w:lvlText w:val="•"/>
      <w:lvlJc w:val="left"/>
      <w:pPr>
        <w:ind w:left="8391" w:hanging="428"/>
      </w:pPr>
      <w:rPr>
        <w:rFonts w:hint="default"/>
        <w:lang w:val="en-US" w:eastAsia="en-US" w:bidi="ar-SA"/>
      </w:rPr>
    </w:lvl>
  </w:abstractNum>
  <w:abstractNum w:abstractNumId="399">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righ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398">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8"/>
      </w:pPr>
      <w:rPr>
        <w:rFonts w:hint="default"/>
        <w:lang w:val="en-US" w:eastAsia="en-US" w:bidi="ar-SA"/>
      </w:rPr>
    </w:lvl>
    <w:lvl w:ilvl="3">
      <w:start w:val="0"/>
      <w:numFmt w:val="bullet"/>
      <w:lvlText w:val="•"/>
      <w:lvlJc w:val="left"/>
      <w:pPr>
        <w:ind w:left="2942" w:hanging="428"/>
      </w:pPr>
      <w:rPr>
        <w:rFonts w:hint="default"/>
        <w:lang w:val="en-US" w:eastAsia="en-US" w:bidi="ar-SA"/>
      </w:rPr>
    </w:lvl>
    <w:lvl w:ilvl="4">
      <w:start w:val="0"/>
      <w:numFmt w:val="bullet"/>
      <w:lvlText w:val="•"/>
      <w:lvlJc w:val="left"/>
      <w:pPr>
        <w:ind w:left="4013" w:hanging="428"/>
      </w:pPr>
      <w:rPr>
        <w:rFonts w:hint="default"/>
        <w:lang w:val="en-US" w:eastAsia="en-US" w:bidi="ar-SA"/>
      </w:rPr>
    </w:lvl>
    <w:lvl w:ilvl="5">
      <w:start w:val="0"/>
      <w:numFmt w:val="bullet"/>
      <w:lvlText w:val="•"/>
      <w:lvlJc w:val="left"/>
      <w:pPr>
        <w:ind w:left="5084" w:hanging="428"/>
      </w:pPr>
      <w:rPr>
        <w:rFonts w:hint="default"/>
        <w:lang w:val="en-US" w:eastAsia="en-US" w:bidi="ar-SA"/>
      </w:rPr>
    </w:lvl>
    <w:lvl w:ilvl="6">
      <w:start w:val="0"/>
      <w:numFmt w:val="bullet"/>
      <w:lvlText w:val="•"/>
      <w:lvlJc w:val="left"/>
      <w:pPr>
        <w:ind w:left="6155" w:hanging="428"/>
      </w:pPr>
      <w:rPr>
        <w:rFonts w:hint="default"/>
        <w:lang w:val="en-US" w:eastAsia="en-US" w:bidi="ar-SA"/>
      </w:rPr>
    </w:lvl>
    <w:lvl w:ilvl="7">
      <w:start w:val="0"/>
      <w:numFmt w:val="bullet"/>
      <w:lvlText w:val="•"/>
      <w:lvlJc w:val="left"/>
      <w:pPr>
        <w:ind w:left="7226" w:hanging="428"/>
      </w:pPr>
      <w:rPr>
        <w:rFonts w:hint="default"/>
        <w:lang w:val="en-US" w:eastAsia="en-US" w:bidi="ar-SA"/>
      </w:rPr>
    </w:lvl>
    <w:lvl w:ilvl="8">
      <w:start w:val="0"/>
      <w:numFmt w:val="bullet"/>
      <w:lvlText w:val="•"/>
      <w:lvlJc w:val="left"/>
      <w:pPr>
        <w:ind w:left="8297" w:hanging="428"/>
      </w:pPr>
      <w:rPr>
        <w:rFonts w:hint="default"/>
        <w:lang w:val="en-US" w:eastAsia="en-US" w:bidi="ar-SA"/>
      </w:rPr>
    </w:lvl>
  </w:abstractNum>
  <w:abstractNum w:abstractNumId="397">
    <w:multiLevelType w:val="hybridMultilevel"/>
    <w:lvl w:ilvl="0">
      <w:start w:val="1"/>
      <w:numFmt w:val="decimal"/>
      <w:lvlText w:val="%1."/>
      <w:lvlJc w:val="left"/>
      <w:pPr>
        <w:ind w:left="792" w:hanging="288"/>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08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120" w:hanging="429"/>
      </w:pPr>
      <w:rPr>
        <w:rFonts w:hint="default"/>
        <w:lang w:val="en-US" w:eastAsia="en-US" w:bidi="ar-SA"/>
      </w:rPr>
    </w:lvl>
    <w:lvl w:ilvl="3">
      <w:start w:val="0"/>
      <w:numFmt w:val="bullet"/>
      <w:lvlText w:val="•"/>
      <w:lvlJc w:val="left"/>
      <w:pPr>
        <w:ind w:left="3160" w:hanging="429"/>
      </w:pPr>
      <w:rPr>
        <w:rFonts w:hint="default"/>
        <w:lang w:val="en-US" w:eastAsia="en-US" w:bidi="ar-SA"/>
      </w:rPr>
    </w:lvl>
    <w:lvl w:ilvl="4">
      <w:start w:val="0"/>
      <w:numFmt w:val="bullet"/>
      <w:lvlText w:val="•"/>
      <w:lvlJc w:val="left"/>
      <w:pPr>
        <w:ind w:left="4200" w:hanging="429"/>
      </w:pPr>
      <w:rPr>
        <w:rFonts w:hint="default"/>
        <w:lang w:val="en-US" w:eastAsia="en-US" w:bidi="ar-SA"/>
      </w:rPr>
    </w:lvl>
    <w:lvl w:ilvl="5">
      <w:start w:val="0"/>
      <w:numFmt w:val="bullet"/>
      <w:lvlText w:val="•"/>
      <w:lvlJc w:val="left"/>
      <w:pPr>
        <w:ind w:left="5240" w:hanging="429"/>
      </w:pPr>
      <w:rPr>
        <w:rFonts w:hint="default"/>
        <w:lang w:val="en-US" w:eastAsia="en-US" w:bidi="ar-SA"/>
      </w:rPr>
    </w:lvl>
    <w:lvl w:ilvl="6">
      <w:start w:val="0"/>
      <w:numFmt w:val="bullet"/>
      <w:lvlText w:val="•"/>
      <w:lvlJc w:val="left"/>
      <w:pPr>
        <w:ind w:left="6280" w:hanging="429"/>
      </w:pPr>
      <w:rPr>
        <w:rFonts w:hint="default"/>
        <w:lang w:val="en-US" w:eastAsia="en-US" w:bidi="ar-SA"/>
      </w:rPr>
    </w:lvl>
    <w:lvl w:ilvl="7">
      <w:start w:val="0"/>
      <w:numFmt w:val="bullet"/>
      <w:lvlText w:val="•"/>
      <w:lvlJc w:val="left"/>
      <w:pPr>
        <w:ind w:left="7320" w:hanging="429"/>
      </w:pPr>
      <w:rPr>
        <w:rFonts w:hint="default"/>
        <w:lang w:val="en-US" w:eastAsia="en-US" w:bidi="ar-SA"/>
      </w:rPr>
    </w:lvl>
    <w:lvl w:ilvl="8">
      <w:start w:val="0"/>
      <w:numFmt w:val="bullet"/>
      <w:lvlText w:val="•"/>
      <w:lvlJc w:val="left"/>
      <w:pPr>
        <w:ind w:left="8360" w:hanging="429"/>
      </w:pPr>
      <w:rPr>
        <w:rFonts w:hint="default"/>
        <w:lang w:val="en-US" w:eastAsia="en-US" w:bidi="ar-SA"/>
      </w:rPr>
    </w:lvl>
  </w:abstractNum>
  <w:abstractNum w:abstractNumId="396">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395">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2"/>
      <w:numFmt w:val="decimal"/>
      <w:lvlText w:val="%2."/>
      <w:lvlJc w:val="left"/>
      <w:pPr>
        <w:ind w:left="1080" w:hanging="28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120" w:hanging="288"/>
      </w:pPr>
      <w:rPr>
        <w:rFonts w:hint="default"/>
        <w:lang w:val="en-US" w:eastAsia="en-US" w:bidi="ar-SA"/>
      </w:rPr>
    </w:lvl>
    <w:lvl w:ilvl="3">
      <w:start w:val="0"/>
      <w:numFmt w:val="bullet"/>
      <w:lvlText w:val="•"/>
      <w:lvlJc w:val="left"/>
      <w:pPr>
        <w:ind w:left="3160" w:hanging="288"/>
      </w:pPr>
      <w:rPr>
        <w:rFonts w:hint="default"/>
        <w:lang w:val="en-US" w:eastAsia="en-US" w:bidi="ar-SA"/>
      </w:rPr>
    </w:lvl>
    <w:lvl w:ilvl="4">
      <w:start w:val="0"/>
      <w:numFmt w:val="bullet"/>
      <w:lvlText w:val="•"/>
      <w:lvlJc w:val="left"/>
      <w:pPr>
        <w:ind w:left="4200" w:hanging="288"/>
      </w:pPr>
      <w:rPr>
        <w:rFonts w:hint="default"/>
        <w:lang w:val="en-US" w:eastAsia="en-US" w:bidi="ar-SA"/>
      </w:rPr>
    </w:lvl>
    <w:lvl w:ilvl="5">
      <w:start w:val="0"/>
      <w:numFmt w:val="bullet"/>
      <w:lvlText w:val="•"/>
      <w:lvlJc w:val="left"/>
      <w:pPr>
        <w:ind w:left="5240" w:hanging="288"/>
      </w:pPr>
      <w:rPr>
        <w:rFonts w:hint="default"/>
        <w:lang w:val="en-US" w:eastAsia="en-US" w:bidi="ar-SA"/>
      </w:rPr>
    </w:lvl>
    <w:lvl w:ilvl="6">
      <w:start w:val="0"/>
      <w:numFmt w:val="bullet"/>
      <w:lvlText w:val="•"/>
      <w:lvlJc w:val="left"/>
      <w:pPr>
        <w:ind w:left="6280" w:hanging="288"/>
      </w:pPr>
      <w:rPr>
        <w:rFonts w:hint="default"/>
        <w:lang w:val="en-US" w:eastAsia="en-US" w:bidi="ar-SA"/>
      </w:rPr>
    </w:lvl>
    <w:lvl w:ilvl="7">
      <w:start w:val="0"/>
      <w:numFmt w:val="bullet"/>
      <w:lvlText w:val="•"/>
      <w:lvlJc w:val="left"/>
      <w:pPr>
        <w:ind w:left="7320" w:hanging="288"/>
      </w:pPr>
      <w:rPr>
        <w:rFonts w:hint="default"/>
        <w:lang w:val="en-US" w:eastAsia="en-US" w:bidi="ar-SA"/>
      </w:rPr>
    </w:lvl>
    <w:lvl w:ilvl="8">
      <w:start w:val="0"/>
      <w:numFmt w:val="bullet"/>
      <w:lvlText w:val="•"/>
      <w:lvlJc w:val="left"/>
      <w:pPr>
        <w:ind w:left="8360" w:hanging="288"/>
      </w:pPr>
      <w:rPr>
        <w:rFonts w:hint="default"/>
        <w:lang w:val="en-US" w:eastAsia="en-US" w:bidi="ar-SA"/>
      </w:rPr>
    </w:lvl>
  </w:abstractNum>
  <w:abstractNum w:abstractNumId="394">
    <w:multiLevelType w:val="hybridMultilevel"/>
    <w:lvl w:ilvl="0">
      <w:start w:val="1"/>
      <w:numFmt w:val="decimal"/>
      <w:lvlText w:val="(%1)"/>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429"/>
      </w:pPr>
      <w:rPr>
        <w:rFonts w:hint="default"/>
        <w:lang w:val="en-US" w:eastAsia="en-US" w:bidi="ar-SA"/>
      </w:rPr>
    </w:lvl>
    <w:lvl w:ilvl="2">
      <w:start w:val="0"/>
      <w:numFmt w:val="bullet"/>
      <w:lvlText w:val="•"/>
      <w:lvlJc w:val="left"/>
      <w:pPr>
        <w:ind w:left="3064" w:hanging="429"/>
      </w:pPr>
      <w:rPr>
        <w:rFonts w:hint="default"/>
        <w:lang w:val="en-US" w:eastAsia="en-US" w:bidi="ar-SA"/>
      </w:rPr>
    </w:lvl>
    <w:lvl w:ilvl="3">
      <w:start w:val="0"/>
      <w:numFmt w:val="bullet"/>
      <w:lvlText w:val="•"/>
      <w:lvlJc w:val="left"/>
      <w:pPr>
        <w:ind w:left="3986" w:hanging="429"/>
      </w:pPr>
      <w:rPr>
        <w:rFonts w:hint="default"/>
        <w:lang w:val="en-US" w:eastAsia="en-US" w:bidi="ar-SA"/>
      </w:rPr>
    </w:lvl>
    <w:lvl w:ilvl="4">
      <w:start w:val="0"/>
      <w:numFmt w:val="bullet"/>
      <w:lvlText w:val="•"/>
      <w:lvlJc w:val="left"/>
      <w:pPr>
        <w:ind w:left="4908" w:hanging="429"/>
      </w:pPr>
      <w:rPr>
        <w:rFonts w:hint="default"/>
        <w:lang w:val="en-US" w:eastAsia="en-US" w:bidi="ar-SA"/>
      </w:rPr>
    </w:lvl>
    <w:lvl w:ilvl="5">
      <w:start w:val="0"/>
      <w:numFmt w:val="bullet"/>
      <w:lvlText w:val="•"/>
      <w:lvlJc w:val="left"/>
      <w:pPr>
        <w:ind w:left="5830" w:hanging="429"/>
      </w:pPr>
      <w:rPr>
        <w:rFonts w:hint="default"/>
        <w:lang w:val="en-US" w:eastAsia="en-US" w:bidi="ar-SA"/>
      </w:rPr>
    </w:lvl>
    <w:lvl w:ilvl="6">
      <w:start w:val="0"/>
      <w:numFmt w:val="bullet"/>
      <w:lvlText w:val="•"/>
      <w:lvlJc w:val="left"/>
      <w:pPr>
        <w:ind w:left="6752" w:hanging="429"/>
      </w:pPr>
      <w:rPr>
        <w:rFonts w:hint="default"/>
        <w:lang w:val="en-US" w:eastAsia="en-US" w:bidi="ar-SA"/>
      </w:rPr>
    </w:lvl>
    <w:lvl w:ilvl="7">
      <w:start w:val="0"/>
      <w:numFmt w:val="bullet"/>
      <w:lvlText w:val="•"/>
      <w:lvlJc w:val="left"/>
      <w:pPr>
        <w:ind w:left="7674" w:hanging="429"/>
      </w:pPr>
      <w:rPr>
        <w:rFonts w:hint="default"/>
        <w:lang w:val="en-US" w:eastAsia="en-US" w:bidi="ar-SA"/>
      </w:rPr>
    </w:lvl>
    <w:lvl w:ilvl="8">
      <w:start w:val="0"/>
      <w:numFmt w:val="bullet"/>
      <w:lvlText w:val="•"/>
      <w:lvlJc w:val="left"/>
      <w:pPr>
        <w:ind w:left="8596" w:hanging="429"/>
      </w:pPr>
      <w:rPr>
        <w:rFonts w:hint="default"/>
        <w:lang w:val="en-US" w:eastAsia="en-US" w:bidi="ar-SA"/>
      </w:rPr>
    </w:lvl>
  </w:abstractNum>
  <w:abstractNum w:abstractNumId="393">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9"/>
      </w:pPr>
      <w:rPr>
        <w:rFonts w:hint="default"/>
        <w:lang w:val="en-US" w:eastAsia="en-US" w:bidi="ar-SA"/>
      </w:rPr>
    </w:lvl>
    <w:lvl w:ilvl="3">
      <w:start w:val="0"/>
      <w:numFmt w:val="bullet"/>
      <w:lvlText w:val="•"/>
      <w:lvlJc w:val="left"/>
      <w:pPr>
        <w:ind w:left="3268" w:hanging="429"/>
      </w:pPr>
      <w:rPr>
        <w:rFonts w:hint="default"/>
        <w:lang w:val="en-US" w:eastAsia="en-US" w:bidi="ar-SA"/>
      </w:rPr>
    </w:lvl>
    <w:lvl w:ilvl="4">
      <w:start w:val="0"/>
      <w:numFmt w:val="bullet"/>
      <w:lvlText w:val="•"/>
      <w:lvlJc w:val="left"/>
      <w:pPr>
        <w:ind w:left="4293" w:hanging="429"/>
      </w:pPr>
      <w:rPr>
        <w:rFonts w:hint="default"/>
        <w:lang w:val="en-US" w:eastAsia="en-US" w:bidi="ar-SA"/>
      </w:rPr>
    </w:lvl>
    <w:lvl w:ilvl="5">
      <w:start w:val="0"/>
      <w:numFmt w:val="bullet"/>
      <w:lvlText w:val="•"/>
      <w:lvlJc w:val="left"/>
      <w:pPr>
        <w:ind w:left="5317" w:hanging="429"/>
      </w:pPr>
      <w:rPr>
        <w:rFonts w:hint="default"/>
        <w:lang w:val="en-US" w:eastAsia="en-US" w:bidi="ar-SA"/>
      </w:rPr>
    </w:lvl>
    <w:lvl w:ilvl="6">
      <w:start w:val="0"/>
      <w:numFmt w:val="bullet"/>
      <w:lvlText w:val="•"/>
      <w:lvlJc w:val="left"/>
      <w:pPr>
        <w:ind w:left="6342" w:hanging="429"/>
      </w:pPr>
      <w:rPr>
        <w:rFonts w:hint="default"/>
        <w:lang w:val="en-US" w:eastAsia="en-US" w:bidi="ar-SA"/>
      </w:rPr>
    </w:lvl>
    <w:lvl w:ilvl="7">
      <w:start w:val="0"/>
      <w:numFmt w:val="bullet"/>
      <w:lvlText w:val="•"/>
      <w:lvlJc w:val="left"/>
      <w:pPr>
        <w:ind w:left="7366" w:hanging="429"/>
      </w:pPr>
      <w:rPr>
        <w:rFonts w:hint="default"/>
        <w:lang w:val="en-US" w:eastAsia="en-US" w:bidi="ar-SA"/>
      </w:rPr>
    </w:lvl>
    <w:lvl w:ilvl="8">
      <w:start w:val="0"/>
      <w:numFmt w:val="bullet"/>
      <w:lvlText w:val="•"/>
      <w:lvlJc w:val="left"/>
      <w:pPr>
        <w:ind w:left="8391" w:hanging="429"/>
      </w:pPr>
      <w:rPr>
        <w:rFonts w:hint="default"/>
        <w:lang w:val="en-US" w:eastAsia="en-US" w:bidi="ar-SA"/>
      </w:rPr>
    </w:lvl>
  </w:abstractNum>
  <w:abstractNum w:abstractNumId="392">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8"/>
      </w:pPr>
      <w:rPr>
        <w:rFonts w:hint="default"/>
        <w:lang w:val="en-US" w:eastAsia="en-US" w:bidi="ar-SA"/>
      </w:rPr>
    </w:lvl>
    <w:lvl w:ilvl="3">
      <w:start w:val="0"/>
      <w:numFmt w:val="bullet"/>
      <w:lvlText w:val="•"/>
      <w:lvlJc w:val="left"/>
      <w:pPr>
        <w:ind w:left="2942" w:hanging="428"/>
      </w:pPr>
      <w:rPr>
        <w:rFonts w:hint="default"/>
        <w:lang w:val="en-US" w:eastAsia="en-US" w:bidi="ar-SA"/>
      </w:rPr>
    </w:lvl>
    <w:lvl w:ilvl="4">
      <w:start w:val="0"/>
      <w:numFmt w:val="bullet"/>
      <w:lvlText w:val="•"/>
      <w:lvlJc w:val="left"/>
      <w:pPr>
        <w:ind w:left="4013" w:hanging="428"/>
      </w:pPr>
      <w:rPr>
        <w:rFonts w:hint="default"/>
        <w:lang w:val="en-US" w:eastAsia="en-US" w:bidi="ar-SA"/>
      </w:rPr>
    </w:lvl>
    <w:lvl w:ilvl="5">
      <w:start w:val="0"/>
      <w:numFmt w:val="bullet"/>
      <w:lvlText w:val="•"/>
      <w:lvlJc w:val="left"/>
      <w:pPr>
        <w:ind w:left="5084" w:hanging="428"/>
      </w:pPr>
      <w:rPr>
        <w:rFonts w:hint="default"/>
        <w:lang w:val="en-US" w:eastAsia="en-US" w:bidi="ar-SA"/>
      </w:rPr>
    </w:lvl>
    <w:lvl w:ilvl="6">
      <w:start w:val="0"/>
      <w:numFmt w:val="bullet"/>
      <w:lvlText w:val="•"/>
      <w:lvlJc w:val="left"/>
      <w:pPr>
        <w:ind w:left="6155" w:hanging="428"/>
      </w:pPr>
      <w:rPr>
        <w:rFonts w:hint="default"/>
        <w:lang w:val="en-US" w:eastAsia="en-US" w:bidi="ar-SA"/>
      </w:rPr>
    </w:lvl>
    <w:lvl w:ilvl="7">
      <w:start w:val="0"/>
      <w:numFmt w:val="bullet"/>
      <w:lvlText w:val="•"/>
      <w:lvlJc w:val="left"/>
      <w:pPr>
        <w:ind w:left="7226" w:hanging="428"/>
      </w:pPr>
      <w:rPr>
        <w:rFonts w:hint="default"/>
        <w:lang w:val="en-US" w:eastAsia="en-US" w:bidi="ar-SA"/>
      </w:rPr>
    </w:lvl>
    <w:lvl w:ilvl="8">
      <w:start w:val="0"/>
      <w:numFmt w:val="bullet"/>
      <w:lvlText w:val="•"/>
      <w:lvlJc w:val="left"/>
      <w:pPr>
        <w:ind w:left="8297" w:hanging="428"/>
      </w:pPr>
      <w:rPr>
        <w:rFonts w:hint="default"/>
        <w:lang w:val="en-US" w:eastAsia="en-US" w:bidi="ar-SA"/>
      </w:rPr>
    </w:lvl>
  </w:abstractNum>
  <w:abstractNum w:abstractNumId="391">
    <w:multiLevelType w:val="hybridMultilevel"/>
    <w:lvl w:ilvl="0">
      <w:start w:val="1"/>
      <w:numFmt w:val="decimal"/>
      <w:lvlText w:val="%1."/>
      <w:lvlJc w:val="left"/>
      <w:pPr>
        <w:ind w:left="792" w:hanging="28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288"/>
      </w:pPr>
      <w:rPr>
        <w:rFonts w:hint="default"/>
        <w:lang w:val="en-US" w:eastAsia="en-US" w:bidi="ar-SA"/>
      </w:rPr>
    </w:lvl>
    <w:lvl w:ilvl="2">
      <w:start w:val="0"/>
      <w:numFmt w:val="bullet"/>
      <w:lvlText w:val="•"/>
      <w:lvlJc w:val="left"/>
      <w:pPr>
        <w:ind w:left="2728" w:hanging="288"/>
      </w:pPr>
      <w:rPr>
        <w:rFonts w:hint="default"/>
        <w:lang w:val="en-US" w:eastAsia="en-US" w:bidi="ar-SA"/>
      </w:rPr>
    </w:lvl>
    <w:lvl w:ilvl="3">
      <w:start w:val="0"/>
      <w:numFmt w:val="bullet"/>
      <w:lvlText w:val="•"/>
      <w:lvlJc w:val="left"/>
      <w:pPr>
        <w:ind w:left="3692" w:hanging="288"/>
      </w:pPr>
      <w:rPr>
        <w:rFonts w:hint="default"/>
        <w:lang w:val="en-US" w:eastAsia="en-US" w:bidi="ar-SA"/>
      </w:rPr>
    </w:lvl>
    <w:lvl w:ilvl="4">
      <w:start w:val="0"/>
      <w:numFmt w:val="bullet"/>
      <w:lvlText w:val="•"/>
      <w:lvlJc w:val="left"/>
      <w:pPr>
        <w:ind w:left="4656" w:hanging="288"/>
      </w:pPr>
      <w:rPr>
        <w:rFonts w:hint="default"/>
        <w:lang w:val="en-US" w:eastAsia="en-US" w:bidi="ar-SA"/>
      </w:rPr>
    </w:lvl>
    <w:lvl w:ilvl="5">
      <w:start w:val="0"/>
      <w:numFmt w:val="bullet"/>
      <w:lvlText w:val="•"/>
      <w:lvlJc w:val="left"/>
      <w:pPr>
        <w:ind w:left="5620" w:hanging="288"/>
      </w:pPr>
      <w:rPr>
        <w:rFonts w:hint="default"/>
        <w:lang w:val="en-US" w:eastAsia="en-US" w:bidi="ar-SA"/>
      </w:rPr>
    </w:lvl>
    <w:lvl w:ilvl="6">
      <w:start w:val="0"/>
      <w:numFmt w:val="bullet"/>
      <w:lvlText w:val="•"/>
      <w:lvlJc w:val="left"/>
      <w:pPr>
        <w:ind w:left="6584" w:hanging="288"/>
      </w:pPr>
      <w:rPr>
        <w:rFonts w:hint="default"/>
        <w:lang w:val="en-US" w:eastAsia="en-US" w:bidi="ar-SA"/>
      </w:rPr>
    </w:lvl>
    <w:lvl w:ilvl="7">
      <w:start w:val="0"/>
      <w:numFmt w:val="bullet"/>
      <w:lvlText w:val="•"/>
      <w:lvlJc w:val="left"/>
      <w:pPr>
        <w:ind w:left="7548" w:hanging="288"/>
      </w:pPr>
      <w:rPr>
        <w:rFonts w:hint="default"/>
        <w:lang w:val="en-US" w:eastAsia="en-US" w:bidi="ar-SA"/>
      </w:rPr>
    </w:lvl>
    <w:lvl w:ilvl="8">
      <w:start w:val="0"/>
      <w:numFmt w:val="bullet"/>
      <w:lvlText w:val="•"/>
      <w:lvlJc w:val="left"/>
      <w:pPr>
        <w:ind w:left="8512" w:hanging="288"/>
      </w:pPr>
      <w:rPr>
        <w:rFonts w:hint="default"/>
        <w:lang w:val="en-US" w:eastAsia="en-US" w:bidi="ar-SA"/>
      </w:rPr>
    </w:lvl>
  </w:abstractNum>
  <w:abstractNum w:abstractNumId="390">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19" w:hanging="42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220" w:hanging="428"/>
      </w:pPr>
      <w:rPr>
        <w:rFonts w:hint="default"/>
        <w:lang w:val="en-US" w:eastAsia="en-US" w:bidi="ar-SA"/>
      </w:rPr>
    </w:lvl>
    <w:lvl w:ilvl="3">
      <w:start w:val="0"/>
      <w:numFmt w:val="bullet"/>
      <w:lvlText w:val="•"/>
      <w:lvlJc w:val="left"/>
      <w:pPr>
        <w:ind w:left="2372" w:hanging="428"/>
      </w:pPr>
      <w:rPr>
        <w:rFonts w:hint="default"/>
        <w:lang w:val="en-US" w:eastAsia="en-US" w:bidi="ar-SA"/>
      </w:rPr>
    </w:lvl>
    <w:lvl w:ilvl="4">
      <w:start w:val="0"/>
      <w:numFmt w:val="bullet"/>
      <w:lvlText w:val="•"/>
      <w:lvlJc w:val="left"/>
      <w:pPr>
        <w:ind w:left="3525" w:hanging="428"/>
      </w:pPr>
      <w:rPr>
        <w:rFonts w:hint="default"/>
        <w:lang w:val="en-US" w:eastAsia="en-US" w:bidi="ar-SA"/>
      </w:rPr>
    </w:lvl>
    <w:lvl w:ilvl="5">
      <w:start w:val="0"/>
      <w:numFmt w:val="bullet"/>
      <w:lvlText w:val="•"/>
      <w:lvlJc w:val="left"/>
      <w:pPr>
        <w:ind w:left="4677" w:hanging="428"/>
      </w:pPr>
      <w:rPr>
        <w:rFonts w:hint="default"/>
        <w:lang w:val="en-US" w:eastAsia="en-US" w:bidi="ar-SA"/>
      </w:rPr>
    </w:lvl>
    <w:lvl w:ilvl="6">
      <w:start w:val="0"/>
      <w:numFmt w:val="bullet"/>
      <w:lvlText w:val="•"/>
      <w:lvlJc w:val="left"/>
      <w:pPr>
        <w:ind w:left="5830" w:hanging="428"/>
      </w:pPr>
      <w:rPr>
        <w:rFonts w:hint="default"/>
        <w:lang w:val="en-US" w:eastAsia="en-US" w:bidi="ar-SA"/>
      </w:rPr>
    </w:lvl>
    <w:lvl w:ilvl="7">
      <w:start w:val="0"/>
      <w:numFmt w:val="bullet"/>
      <w:lvlText w:val="•"/>
      <w:lvlJc w:val="left"/>
      <w:pPr>
        <w:ind w:left="6982" w:hanging="428"/>
      </w:pPr>
      <w:rPr>
        <w:rFonts w:hint="default"/>
        <w:lang w:val="en-US" w:eastAsia="en-US" w:bidi="ar-SA"/>
      </w:rPr>
    </w:lvl>
    <w:lvl w:ilvl="8">
      <w:start w:val="0"/>
      <w:numFmt w:val="bullet"/>
      <w:lvlText w:val="•"/>
      <w:lvlJc w:val="left"/>
      <w:pPr>
        <w:ind w:left="8135" w:hanging="428"/>
      </w:pPr>
      <w:rPr>
        <w:rFonts w:hint="default"/>
        <w:lang w:val="en-US" w:eastAsia="en-US" w:bidi="ar-SA"/>
      </w:rPr>
    </w:lvl>
  </w:abstractNum>
  <w:abstractNum w:abstractNumId="389">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9"/>
      </w:pPr>
      <w:rPr>
        <w:rFonts w:hint="default"/>
        <w:lang w:val="en-US" w:eastAsia="en-US" w:bidi="ar-SA"/>
      </w:rPr>
    </w:lvl>
    <w:lvl w:ilvl="3">
      <w:start w:val="0"/>
      <w:numFmt w:val="bullet"/>
      <w:lvlText w:val="•"/>
      <w:lvlJc w:val="left"/>
      <w:pPr>
        <w:ind w:left="3268" w:hanging="429"/>
      </w:pPr>
      <w:rPr>
        <w:rFonts w:hint="default"/>
        <w:lang w:val="en-US" w:eastAsia="en-US" w:bidi="ar-SA"/>
      </w:rPr>
    </w:lvl>
    <w:lvl w:ilvl="4">
      <w:start w:val="0"/>
      <w:numFmt w:val="bullet"/>
      <w:lvlText w:val="•"/>
      <w:lvlJc w:val="left"/>
      <w:pPr>
        <w:ind w:left="4293" w:hanging="429"/>
      </w:pPr>
      <w:rPr>
        <w:rFonts w:hint="default"/>
        <w:lang w:val="en-US" w:eastAsia="en-US" w:bidi="ar-SA"/>
      </w:rPr>
    </w:lvl>
    <w:lvl w:ilvl="5">
      <w:start w:val="0"/>
      <w:numFmt w:val="bullet"/>
      <w:lvlText w:val="•"/>
      <w:lvlJc w:val="left"/>
      <w:pPr>
        <w:ind w:left="5317" w:hanging="429"/>
      </w:pPr>
      <w:rPr>
        <w:rFonts w:hint="default"/>
        <w:lang w:val="en-US" w:eastAsia="en-US" w:bidi="ar-SA"/>
      </w:rPr>
    </w:lvl>
    <w:lvl w:ilvl="6">
      <w:start w:val="0"/>
      <w:numFmt w:val="bullet"/>
      <w:lvlText w:val="•"/>
      <w:lvlJc w:val="left"/>
      <w:pPr>
        <w:ind w:left="6342" w:hanging="429"/>
      </w:pPr>
      <w:rPr>
        <w:rFonts w:hint="default"/>
        <w:lang w:val="en-US" w:eastAsia="en-US" w:bidi="ar-SA"/>
      </w:rPr>
    </w:lvl>
    <w:lvl w:ilvl="7">
      <w:start w:val="0"/>
      <w:numFmt w:val="bullet"/>
      <w:lvlText w:val="•"/>
      <w:lvlJc w:val="left"/>
      <w:pPr>
        <w:ind w:left="7366" w:hanging="429"/>
      </w:pPr>
      <w:rPr>
        <w:rFonts w:hint="default"/>
        <w:lang w:val="en-US" w:eastAsia="en-US" w:bidi="ar-SA"/>
      </w:rPr>
    </w:lvl>
    <w:lvl w:ilvl="8">
      <w:start w:val="0"/>
      <w:numFmt w:val="bullet"/>
      <w:lvlText w:val="•"/>
      <w:lvlJc w:val="left"/>
      <w:pPr>
        <w:ind w:left="8391" w:hanging="429"/>
      </w:pPr>
      <w:rPr>
        <w:rFonts w:hint="default"/>
        <w:lang w:val="en-US" w:eastAsia="en-US" w:bidi="ar-SA"/>
      </w:rPr>
    </w:lvl>
  </w:abstractNum>
  <w:abstractNum w:abstractNumId="388">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2775" w:hanging="455"/>
      </w:pPr>
      <w:rPr>
        <w:rFonts w:hint="default"/>
        <w:lang w:val="en-US" w:eastAsia="en-US" w:bidi="ar-SA"/>
      </w:rPr>
    </w:lvl>
    <w:lvl w:ilvl="4">
      <w:start w:val="0"/>
      <w:numFmt w:val="bullet"/>
      <w:lvlText w:val="•"/>
      <w:lvlJc w:val="left"/>
      <w:pPr>
        <w:ind w:left="3870" w:hanging="455"/>
      </w:pPr>
      <w:rPr>
        <w:rFonts w:hint="default"/>
        <w:lang w:val="en-US" w:eastAsia="en-US" w:bidi="ar-SA"/>
      </w:rPr>
    </w:lvl>
    <w:lvl w:ilvl="5">
      <w:start w:val="0"/>
      <w:numFmt w:val="bullet"/>
      <w:lvlText w:val="•"/>
      <w:lvlJc w:val="left"/>
      <w:pPr>
        <w:ind w:left="4965" w:hanging="455"/>
      </w:pPr>
      <w:rPr>
        <w:rFonts w:hint="default"/>
        <w:lang w:val="en-US" w:eastAsia="en-US" w:bidi="ar-SA"/>
      </w:rPr>
    </w:lvl>
    <w:lvl w:ilvl="6">
      <w:start w:val="0"/>
      <w:numFmt w:val="bullet"/>
      <w:lvlText w:val="•"/>
      <w:lvlJc w:val="left"/>
      <w:pPr>
        <w:ind w:left="6060" w:hanging="455"/>
      </w:pPr>
      <w:rPr>
        <w:rFonts w:hint="default"/>
        <w:lang w:val="en-US" w:eastAsia="en-US" w:bidi="ar-SA"/>
      </w:rPr>
    </w:lvl>
    <w:lvl w:ilvl="7">
      <w:start w:val="0"/>
      <w:numFmt w:val="bullet"/>
      <w:lvlText w:val="•"/>
      <w:lvlJc w:val="left"/>
      <w:pPr>
        <w:ind w:left="7155" w:hanging="455"/>
      </w:pPr>
      <w:rPr>
        <w:rFonts w:hint="default"/>
        <w:lang w:val="en-US" w:eastAsia="en-US" w:bidi="ar-SA"/>
      </w:rPr>
    </w:lvl>
    <w:lvl w:ilvl="8">
      <w:start w:val="0"/>
      <w:numFmt w:val="bullet"/>
      <w:lvlText w:val="•"/>
      <w:lvlJc w:val="left"/>
      <w:pPr>
        <w:ind w:left="8250" w:hanging="455"/>
      </w:pPr>
      <w:rPr>
        <w:rFonts w:hint="default"/>
        <w:lang w:val="en-US" w:eastAsia="en-US" w:bidi="ar-SA"/>
      </w:rPr>
    </w:lvl>
  </w:abstractNum>
  <w:abstractNum w:abstractNumId="387">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386">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385">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19" w:hanging="42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8"/>
      </w:pPr>
      <w:rPr>
        <w:rFonts w:hint="default"/>
        <w:lang w:val="en-US" w:eastAsia="en-US" w:bidi="ar-SA"/>
      </w:rPr>
    </w:lvl>
    <w:lvl w:ilvl="3">
      <w:start w:val="0"/>
      <w:numFmt w:val="bullet"/>
      <w:lvlText w:val="•"/>
      <w:lvlJc w:val="left"/>
      <w:pPr>
        <w:ind w:left="3268" w:hanging="428"/>
      </w:pPr>
      <w:rPr>
        <w:rFonts w:hint="default"/>
        <w:lang w:val="en-US" w:eastAsia="en-US" w:bidi="ar-SA"/>
      </w:rPr>
    </w:lvl>
    <w:lvl w:ilvl="4">
      <w:start w:val="0"/>
      <w:numFmt w:val="bullet"/>
      <w:lvlText w:val="•"/>
      <w:lvlJc w:val="left"/>
      <w:pPr>
        <w:ind w:left="4293" w:hanging="428"/>
      </w:pPr>
      <w:rPr>
        <w:rFonts w:hint="default"/>
        <w:lang w:val="en-US" w:eastAsia="en-US" w:bidi="ar-SA"/>
      </w:rPr>
    </w:lvl>
    <w:lvl w:ilvl="5">
      <w:start w:val="0"/>
      <w:numFmt w:val="bullet"/>
      <w:lvlText w:val="•"/>
      <w:lvlJc w:val="left"/>
      <w:pPr>
        <w:ind w:left="5317" w:hanging="428"/>
      </w:pPr>
      <w:rPr>
        <w:rFonts w:hint="default"/>
        <w:lang w:val="en-US" w:eastAsia="en-US" w:bidi="ar-SA"/>
      </w:rPr>
    </w:lvl>
    <w:lvl w:ilvl="6">
      <w:start w:val="0"/>
      <w:numFmt w:val="bullet"/>
      <w:lvlText w:val="•"/>
      <w:lvlJc w:val="left"/>
      <w:pPr>
        <w:ind w:left="6342" w:hanging="428"/>
      </w:pPr>
      <w:rPr>
        <w:rFonts w:hint="default"/>
        <w:lang w:val="en-US" w:eastAsia="en-US" w:bidi="ar-SA"/>
      </w:rPr>
    </w:lvl>
    <w:lvl w:ilvl="7">
      <w:start w:val="0"/>
      <w:numFmt w:val="bullet"/>
      <w:lvlText w:val="•"/>
      <w:lvlJc w:val="left"/>
      <w:pPr>
        <w:ind w:left="7366" w:hanging="428"/>
      </w:pPr>
      <w:rPr>
        <w:rFonts w:hint="default"/>
        <w:lang w:val="en-US" w:eastAsia="en-US" w:bidi="ar-SA"/>
      </w:rPr>
    </w:lvl>
    <w:lvl w:ilvl="8">
      <w:start w:val="0"/>
      <w:numFmt w:val="bullet"/>
      <w:lvlText w:val="•"/>
      <w:lvlJc w:val="left"/>
      <w:pPr>
        <w:ind w:left="8391" w:hanging="428"/>
      </w:pPr>
      <w:rPr>
        <w:rFonts w:hint="default"/>
        <w:lang w:val="en-US" w:eastAsia="en-US" w:bidi="ar-SA"/>
      </w:rPr>
    </w:lvl>
  </w:abstractNum>
  <w:abstractNum w:abstractNumId="384">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65" w:hanging="429"/>
        <w:jc w:val="righ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35" w:hanging="429"/>
      </w:pPr>
      <w:rPr>
        <w:rFonts w:hint="default"/>
        <w:lang w:val="en-US" w:eastAsia="en-US" w:bidi="ar-SA"/>
      </w:rPr>
    </w:lvl>
    <w:lvl w:ilvl="3">
      <w:start w:val="0"/>
      <w:numFmt w:val="bullet"/>
      <w:lvlText w:val="•"/>
      <w:lvlJc w:val="left"/>
      <w:pPr>
        <w:ind w:left="2911" w:hanging="429"/>
      </w:pPr>
      <w:rPr>
        <w:rFonts w:hint="default"/>
        <w:lang w:val="en-US" w:eastAsia="en-US" w:bidi="ar-SA"/>
      </w:rPr>
    </w:lvl>
    <w:lvl w:ilvl="4">
      <w:start w:val="0"/>
      <w:numFmt w:val="bullet"/>
      <w:lvlText w:val="•"/>
      <w:lvlJc w:val="left"/>
      <w:pPr>
        <w:ind w:left="3986" w:hanging="429"/>
      </w:pPr>
      <w:rPr>
        <w:rFonts w:hint="default"/>
        <w:lang w:val="en-US" w:eastAsia="en-US" w:bidi="ar-SA"/>
      </w:rPr>
    </w:lvl>
    <w:lvl w:ilvl="5">
      <w:start w:val="0"/>
      <w:numFmt w:val="bullet"/>
      <w:lvlText w:val="•"/>
      <w:lvlJc w:val="left"/>
      <w:pPr>
        <w:ind w:left="5062" w:hanging="429"/>
      </w:pPr>
      <w:rPr>
        <w:rFonts w:hint="default"/>
        <w:lang w:val="en-US" w:eastAsia="en-US" w:bidi="ar-SA"/>
      </w:rPr>
    </w:lvl>
    <w:lvl w:ilvl="6">
      <w:start w:val="0"/>
      <w:numFmt w:val="bullet"/>
      <w:lvlText w:val="•"/>
      <w:lvlJc w:val="left"/>
      <w:pPr>
        <w:ind w:left="6137" w:hanging="429"/>
      </w:pPr>
      <w:rPr>
        <w:rFonts w:hint="default"/>
        <w:lang w:val="en-US" w:eastAsia="en-US" w:bidi="ar-SA"/>
      </w:rPr>
    </w:lvl>
    <w:lvl w:ilvl="7">
      <w:start w:val="0"/>
      <w:numFmt w:val="bullet"/>
      <w:lvlText w:val="•"/>
      <w:lvlJc w:val="left"/>
      <w:pPr>
        <w:ind w:left="7213" w:hanging="429"/>
      </w:pPr>
      <w:rPr>
        <w:rFonts w:hint="default"/>
        <w:lang w:val="en-US" w:eastAsia="en-US" w:bidi="ar-SA"/>
      </w:rPr>
    </w:lvl>
    <w:lvl w:ilvl="8">
      <w:start w:val="0"/>
      <w:numFmt w:val="bullet"/>
      <w:lvlText w:val="•"/>
      <w:lvlJc w:val="left"/>
      <w:pPr>
        <w:ind w:left="8288" w:hanging="429"/>
      </w:pPr>
      <w:rPr>
        <w:rFonts w:hint="default"/>
        <w:lang w:val="en-US" w:eastAsia="en-US" w:bidi="ar-SA"/>
      </w:rPr>
    </w:lvl>
  </w:abstractNum>
  <w:abstractNum w:abstractNumId="383">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382">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381">
    <w:multiLevelType w:val="hybridMultilevel"/>
    <w:lvl w:ilvl="0">
      <w:start w:val="1"/>
      <w:numFmt w:val="decimal"/>
      <w:lvlText w:val="%1."/>
      <w:lvlJc w:val="left"/>
      <w:pPr>
        <w:ind w:left="1080" w:hanging="288"/>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65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635" w:hanging="429"/>
      </w:pPr>
      <w:rPr>
        <w:rFonts w:hint="default"/>
        <w:lang w:val="en-US" w:eastAsia="en-US" w:bidi="ar-SA"/>
      </w:rPr>
    </w:lvl>
    <w:lvl w:ilvl="3">
      <w:start w:val="0"/>
      <w:numFmt w:val="bullet"/>
      <w:lvlText w:val="•"/>
      <w:lvlJc w:val="left"/>
      <w:pPr>
        <w:ind w:left="3611" w:hanging="429"/>
      </w:pPr>
      <w:rPr>
        <w:rFonts w:hint="default"/>
        <w:lang w:val="en-US" w:eastAsia="en-US" w:bidi="ar-SA"/>
      </w:rPr>
    </w:lvl>
    <w:lvl w:ilvl="4">
      <w:start w:val="0"/>
      <w:numFmt w:val="bullet"/>
      <w:lvlText w:val="•"/>
      <w:lvlJc w:val="left"/>
      <w:pPr>
        <w:ind w:left="4586" w:hanging="429"/>
      </w:pPr>
      <w:rPr>
        <w:rFonts w:hint="default"/>
        <w:lang w:val="en-US" w:eastAsia="en-US" w:bidi="ar-SA"/>
      </w:rPr>
    </w:lvl>
    <w:lvl w:ilvl="5">
      <w:start w:val="0"/>
      <w:numFmt w:val="bullet"/>
      <w:lvlText w:val="•"/>
      <w:lvlJc w:val="left"/>
      <w:pPr>
        <w:ind w:left="5562" w:hanging="429"/>
      </w:pPr>
      <w:rPr>
        <w:rFonts w:hint="default"/>
        <w:lang w:val="en-US" w:eastAsia="en-US" w:bidi="ar-SA"/>
      </w:rPr>
    </w:lvl>
    <w:lvl w:ilvl="6">
      <w:start w:val="0"/>
      <w:numFmt w:val="bullet"/>
      <w:lvlText w:val="•"/>
      <w:lvlJc w:val="left"/>
      <w:pPr>
        <w:ind w:left="6537" w:hanging="429"/>
      </w:pPr>
      <w:rPr>
        <w:rFonts w:hint="default"/>
        <w:lang w:val="en-US" w:eastAsia="en-US" w:bidi="ar-SA"/>
      </w:rPr>
    </w:lvl>
    <w:lvl w:ilvl="7">
      <w:start w:val="0"/>
      <w:numFmt w:val="bullet"/>
      <w:lvlText w:val="•"/>
      <w:lvlJc w:val="left"/>
      <w:pPr>
        <w:ind w:left="7513" w:hanging="429"/>
      </w:pPr>
      <w:rPr>
        <w:rFonts w:hint="default"/>
        <w:lang w:val="en-US" w:eastAsia="en-US" w:bidi="ar-SA"/>
      </w:rPr>
    </w:lvl>
    <w:lvl w:ilvl="8">
      <w:start w:val="0"/>
      <w:numFmt w:val="bullet"/>
      <w:lvlText w:val="•"/>
      <w:lvlJc w:val="left"/>
      <w:pPr>
        <w:ind w:left="8488" w:hanging="429"/>
      </w:pPr>
      <w:rPr>
        <w:rFonts w:hint="default"/>
        <w:lang w:val="en-US" w:eastAsia="en-US" w:bidi="ar-SA"/>
      </w:rPr>
    </w:lvl>
  </w:abstractNum>
  <w:abstractNum w:abstractNumId="380">
    <w:multiLevelType w:val="hybridMultilevel"/>
    <w:lvl w:ilvl="0">
      <w:start w:val="1"/>
      <w:numFmt w:val="decimal"/>
      <w:lvlText w:val="%1."/>
      <w:lvlJc w:val="left"/>
      <w:pPr>
        <w:ind w:left="810" w:hanging="45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82" w:hanging="450"/>
      </w:pPr>
      <w:rPr>
        <w:rFonts w:hint="default"/>
        <w:lang w:val="en-US" w:eastAsia="en-US" w:bidi="ar-SA"/>
      </w:rPr>
    </w:lvl>
    <w:lvl w:ilvl="2">
      <w:start w:val="0"/>
      <w:numFmt w:val="bullet"/>
      <w:lvlText w:val="•"/>
      <w:lvlJc w:val="left"/>
      <w:pPr>
        <w:ind w:left="2744" w:hanging="450"/>
      </w:pPr>
      <w:rPr>
        <w:rFonts w:hint="default"/>
        <w:lang w:val="en-US" w:eastAsia="en-US" w:bidi="ar-SA"/>
      </w:rPr>
    </w:lvl>
    <w:lvl w:ilvl="3">
      <w:start w:val="0"/>
      <w:numFmt w:val="bullet"/>
      <w:lvlText w:val="•"/>
      <w:lvlJc w:val="left"/>
      <w:pPr>
        <w:ind w:left="3706" w:hanging="450"/>
      </w:pPr>
      <w:rPr>
        <w:rFonts w:hint="default"/>
        <w:lang w:val="en-US" w:eastAsia="en-US" w:bidi="ar-SA"/>
      </w:rPr>
    </w:lvl>
    <w:lvl w:ilvl="4">
      <w:start w:val="0"/>
      <w:numFmt w:val="bullet"/>
      <w:lvlText w:val="•"/>
      <w:lvlJc w:val="left"/>
      <w:pPr>
        <w:ind w:left="4668" w:hanging="450"/>
      </w:pPr>
      <w:rPr>
        <w:rFonts w:hint="default"/>
        <w:lang w:val="en-US" w:eastAsia="en-US" w:bidi="ar-SA"/>
      </w:rPr>
    </w:lvl>
    <w:lvl w:ilvl="5">
      <w:start w:val="0"/>
      <w:numFmt w:val="bullet"/>
      <w:lvlText w:val="•"/>
      <w:lvlJc w:val="left"/>
      <w:pPr>
        <w:ind w:left="5630" w:hanging="450"/>
      </w:pPr>
      <w:rPr>
        <w:rFonts w:hint="default"/>
        <w:lang w:val="en-US" w:eastAsia="en-US" w:bidi="ar-SA"/>
      </w:rPr>
    </w:lvl>
    <w:lvl w:ilvl="6">
      <w:start w:val="0"/>
      <w:numFmt w:val="bullet"/>
      <w:lvlText w:val="•"/>
      <w:lvlJc w:val="left"/>
      <w:pPr>
        <w:ind w:left="6592" w:hanging="450"/>
      </w:pPr>
      <w:rPr>
        <w:rFonts w:hint="default"/>
        <w:lang w:val="en-US" w:eastAsia="en-US" w:bidi="ar-SA"/>
      </w:rPr>
    </w:lvl>
    <w:lvl w:ilvl="7">
      <w:start w:val="0"/>
      <w:numFmt w:val="bullet"/>
      <w:lvlText w:val="•"/>
      <w:lvlJc w:val="left"/>
      <w:pPr>
        <w:ind w:left="7554" w:hanging="450"/>
      </w:pPr>
      <w:rPr>
        <w:rFonts w:hint="default"/>
        <w:lang w:val="en-US" w:eastAsia="en-US" w:bidi="ar-SA"/>
      </w:rPr>
    </w:lvl>
    <w:lvl w:ilvl="8">
      <w:start w:val="0"/>
      <w:numFmt w:val="bullet"/>
      <w:lvlText w:val="•"/>
      <w:lvlJc w:val="left"/>
      <w:pPr>
        <w:ind w:left="8516" w:hanging="450"/>
      </w:pPr>
      <w:rPr>
        <w:rFonts w:hint="default"/>
        <w:lang w:val="en-US" w:eastAsia="en-US" w:bidi="ar-SA"/>
      </w:rPr>
    </w:lvl>
  </w:abstractNum>
  <w:abstractNum w:abstractNumId="379">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9"/>
      </w:pPr>
      <w:rPr>
        <w:rFonts w:hint="default"/>
        <w:lang w:val="en-US" w:eastAsia="en-US" w:bidi="ar-SA"/>
      </w:rPr>
    </w:lvl>
    <w:lvl w:ilvl="3">
      <w:start w:val="0"/>
      <w:numFmt w:val="bullet"/>
      <w:lvlText w:val="•"/>
      <w:lvlJc w:val="left"/>
      <w:pPr>
        <w:ind w:left="3268" w:hanging="429"/>
      </w:pPr>
      <w:rPr>
        <w:rFonts w:hint="default"/>
        <w:lang w:val="en-US" w:eastAsia="en-US" w:bidi="ar-SA"/>
      </w:rPr>
    </w:lvl>
    <w:lvl w:ilvl="4">
      <w:start w:val="0"/>
      <w:numFmt w:val="bullet"/>
      <w:lvlText w:val="•"/>
      <w:lvlJc w:val="left"/>
      <w:pPr>
        <w:ind w:left="4293" w:hanging="429"/>
      </w:pPr>
      <w:rPr>
        <w:rFonts w:hint="default"/>
        <w:lang w:val="en-US" w:eastAsia="en-US" w:bidi="ar-SA"/>
      </w:rPr>
    </w:lvl>
    <w:lvl w:ilvl="5">
      <w:start w:val="0"/>
      <w:numFmt w:val="bullet"/>
      <w:lvlText w:val="•"/>
      <w:lvlJc w:val="left"/>
      <w:pPr>
        <w:ind w:left="5317" w:hanging="429"/>
      </w:pPr>
      <w:rPr>
        <w:rFonts w:hint="default"/>
        <w:lang w:val="en-US" w:eastAsia="en-US" w:bidi="ar-SA"/>
      </w:rPr>
    </w:lvl>
    <w:lvl w:ilvl="6">
      <w:start w:val="0"/>
      <w:numFmt w:val="bullet"/>
      <w:lvlText w:val="•"/>
      <w:lvlJc w:val="left"/>
      <w:pPr>
        <w:ind w:left="6342" w:hanging="429"/>
      </w:pPr>
      <w:rPr>
        <w:rFonts w:hint="default"/>
        <w:lang w:val="en-US" w:eastAsia="en-US" w:bidi="ar-SA"/>
      </w:rPr>
    </w:lvl>
    <w:lvl w:ilvl="7">
      <w:start w:val="0"/>
      <w:numFmt w:val="bullet"/>
      <w:lvlText w:val="•"/>
      <w:lvlJc w:val="left"/>
      <w:pPr>
        <w:ind w:left="7366" w:hanging="429"/>
      </w:pPr>
      <w:rPr>
        <w:rFonts w:hint="default"/>
        <w:lang w:val="en-US" w:eastAsia="en-US" w:bidi="ar-SA"/>
      </w:rPr>
    </w:lvl>
    <w:lvl w:ilvl="8">
      <w:start w:val="0"/>
      <w:numFmt w:val="bullet"/>
      <w:lvlText w:val="•"/>
      <w:lvlJc w:val="left"/>
      <w:pPr>
        <w:ind w:left="8391" w:hanging="429"/>
      </w:pPr>
      <w:rPr>
        <w:rFonts w:hint="default"/>
        <w:lang w:val="en-US" w:eastAsia="en-US" w:bidi="ar-SA"/>
      </w:rPr>
    </w:lvl>
  </w:abstractNum>
  <w:abstractNum w:abstractNumId="378">
    <w:multiLevelType w:val="hybridMultilevel"/>
    <w:lvl w:ilvl="0">
      <w:start w:val="1"/>
      <w:numFmt w:val="decimal"/>
      <w:lvlText w:val="%1."/>
      <w:lvlJc w:val="left"/>
      <w:pPr>
        <w:ind w:left="792" w:hanging="28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288"/>
      </w:pPr>
      <w:rPr>
        <w:rFonts w:hint="default"/>
        <w:lang w:val="en-US" w:eastAsia="en-US" w:bidi="ar-SA"/>
      </w:rPr>
    </w:lvl>
    <w:lvl w:ilvl="2">
      <w:start w:val="0"/>
      <w:numFmt w:val="bullet"/>
      <w:lvlText w:val="•"/>
      <w:lvlJc w:val="left"/>
      <w:pPr>
        <w:ind w:left="2728" w:hanging="288"/>
      </w:pPr>
      <w:rPr>
        <w:rFonts w:hint="default"/>
        <w:lang w:val="en-US" w:eastAsia="en-US" w:bidi="ar-SA"/>
      </w:rPr>
    </w:lvl>
    <w:lvl w:ilvl="3">
      <w:start w:val="0"/>
      <w:numFmt w:val="bullet"/>
      <w:lvlText w:val="•"/>
      <w:lvlJc w:val="left"/>
      <w:pPr>
        <w:ind w:left="3692" w:hanging="288"/>
      </w:pPr>
      <w:rPr>
        <w:rFonts w:hint="default"/>
        <w:lang w:val="en-US" w:eastAsia="en-US" w:bidi="ar-SA"/>
      </w:rPr>
    </w:lvl>
    <w:lvl w:ilvl="4">
      <w:start w:val="0"/>
      <w:numFmt w:val="bullet"/>
      <w:lvlText w:val="•"/>
      <w:lvlJc w:val="left"/>
      <w:pPr>
        <w:ind w:left="4656" w:hanging="288"/>
      </w:pPr>
      <w:rPr>
        <w:rFonts w:hint="default"/>
        <w:lang w:val="en-US" w:eastAsia="en-US" w:bidi="ar-SA"/>
      </w:rPr>
    </w:lvl>
    <w:lvl w:ilvl="5">
      <w:start w:val="0"/>
      <w:numFmt w:val="bullet"/>
      <w:lvlText w:val="•"/>
      <w:lvlJc w:val="left"/>
      <w:pPr>
        <w:ind w:left="5620" w:hanging="288"/>
      </w:pPr>
      <w:rPr>
        <w:rFonts w:hint="default"/>
        <w:lang w:val="en-US" w:eastAsia="en-US" w:bidi="ar-SA"/>
      </w:rPr>
    </w:lvl>
    <w:lvl w:ilvl="6">
      <w:start w:val="0"/>
      <w:numFmt w:val="bullet"/>
      <w:lvlText w:val="•"/>
      <w:lvlJc w:val="left"/>
      <w:pPr>
        <w:ind w:left="6584" w:hanging="288"/>
      </w:pPr>
      <w:rPr>
        <w:rFonts w:hint="default"/>
        <w:lang w:val="en-US" w:eastAsia="en-US" w:bidi="ar-SA"/>
      </w:rPr>
    </w:lvl>
    <w:lvl w:ilvl="7">
      <w:start w:val="0"/>
      <w:numFmt w:val="bullet"/>
      <w:lvlText w:val="•"/>
      <w:lvlJc w:val="left"/>
      <w:pPr>
        <w:ind w:left="7548" w:hanging="288"/>
      </w:pPr>
      <w:rPr>
        <w:rFonts w:hint="default"/>
        <w:lang w:val="en-US" w:eastAsia="en-US" w:bidi="ar-SA"/>
      </w:rPr>
    </w:lvl>
    <w:lvl w:ilvl="8">
      <w:start w:val="0"/>
      <w:numFmt w:val="bullet"/>
      <w:lvlText w:val="•"/>
      <w:lvlJc w:val="left"/>
      <w:pPr>
        <w:ind w:left="8512" w:hanging="288"/>
      </w:pPr>
      <w:rPr>
        <w:rFonts w:hint="default"/>
        <w:lang w:val="en-US" w:eastAsia="en-US" w:bidi="ar-SA"/>
      </w:rPr>
    </w:lvl>
  </w:abstractNum>
  <w:abstractNum w:abstractNumId="377">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9"/>
      </w:pPr>
      <w:rPr>
        <w:rFonts w:hint="default"/>
        <w:lang w:val="en-US" w:eastAsia="en-US" w:bidi="ar-SA"/>
      </w:rPr>
    </w:lvl>
    <w:lvl w:ilvl="3">
      <w:start w:val="0"/>
      <w:numFmt w:val="bullet"/>
      <w:lvlText w:val="•"/>
      <w:lvlJc w:val="left"/>
      <w:pPr>
        <w:ind w:left="3268" w:hanging="429"/>
      </w:pPr>
      <w:rPr>
        <w:rFonts w:hint="default"/>
        <w:lang w:val="en-US" w:eastAsia="en-US" w:bidi="ar-SA"/>
      </w:rPr>
    </w:lvl>
    <w:lvl w:ilvl="4">
      <w:start w:val="0"/>
      <w:numFmt w:val="bullet"/>
      <w:lvlText w:val="•"/>
      <w:lvlJc w:val="left"/>
      <w:pPr>
        <w:ind w:left="4293" w:hanging="429"/>
      </w:pPr>
      <w:rPr>
        <w:rFonts w:hint="default"/>
        <w:lang w:val="en-US" w:eastAsia="en-US" w:bidi="ar-SA"/>
      </w:rPr>
    </w:lvl>
    <w:lvl w:ilvl="5">
      <w:start w:val="0"/>
      <w:numFmt w:val="bullet"/>
      <w:lvlText w:val="•"/>
      <w:lvlJc w:val="left"/>
      <w:pPr>
        <w:ind w:left="5317" w:hanging="429"/>
      </w:pPr>
      <w:rPr>
        <w:rFonts w:hint="default"/>
        <w:lang w:val="en-US" w:eastAsia="en-US" w:bidi="ar-SA"/>
      </w:rPr>
    </w:lvl>
    <w:lvl w:ilvl="6">
      <w:start w:val="0"/>
      <w:numFmt w:val="bullet"/>
      <w:lvlText w:val="•"/>
      <w:lvlJc w:val="left"/>
      <w:pPr>
        <w:ind w:left="6342" w:hanging="429"/>
      </w:pPr>
      <w:rPr>
        <w:rFonts w:hint="default"/>
        <w:lang w:val="en-US" w:eastAsia="en-US" w:bidi="ar-SA"/>
      </w:rPr>
    </w:lvl>
    <w:lvl w:ilvl="7">
      <w:start w:val="0"/>
      <w:numFmt w:val="bullet"/>
      <w:lvlText w:val="•"/>
      <w:lvlJc w:val="left"/>
      <w:pPr>
        <w:ind w:left="7366" w:hanging="429"/>
      </w:pPr>
      <w:rPr>
        <w:rFonts w:hint="default"/>
        <w:lang w:val="en-US" w:eastAsia="en-US" w:bidi="ar-SA"/>
      </w:rPr>
    </w:lvl>
    <w:lvl w:ilvl="8">
      <w:start w:val="0"/>
      <w:numFmt w:val="bullet"/>
      <w:lvlText w:val="•"/>
      <w:lvlJc w:val="left"/>
      <w:pPr>
        <w:ind w:left="8391" w:hanging="429"/>
      </w:pPr>
      <w:rPr>
        <w:rFonts w:hint="default"/>
        <w:lang w:val="en-US" w:eastAsia="en-US" w:bidi="ar-SA"/>
      </w:rPr>
    </w:lvl>
  </w:abstractNum>
  <w:abstractNum w:abstractNumId="376">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8"/>
      </w:pPr>
      <w:rPr>
        <w:rFonts w:hint="default"/>
        <w:lang w:val="en-US" w:eastAsia="en-US" w:bidi="ar-SA"/>
      </w:rPr>
    </w:lvl>
    <w:lvl w:ilvl="2">
      <w:start w:val="0"/>
      <w:numFmt w:val="bullet"/>
      <w:lvlText w:val="•"/>
      <w:lvlJc w:val="left"/>
      <w:pPr>
        <w:ind w:left="2376" w:hanging="428"/>
      </w:pPr>
      <w:rPr>
        <w:rFonts w:hint="default"/>
        <w:lang w:val="en-US" w:eastAsia="en-US" w:bidi="ar-SA"/>
      </w:rPr>
    </w:lvl>
    <w:lvl w:ilvl="3">
      <w:start w:val="0"/>
      <w:numFmt w:val="bullet"/>
      <w:lvlText w:val="•"/>
      <w:lvlJc w:val="left"/>
      <w:pPr>
        <w:ind w:left="3384" w:hanging="428"/>
      </w:pPr>
      <w:rPr>
        <w:rFonts w:hint="default"/>
        <w:lang w:val="en-US" w:eastAsia="en-US" w:bidi="ar-SA"/>
      </w:rPr>
    </w:lvl>
    <w:lvl w:ilvl="4">
      <w:start w:val="0"/>
      <w:numFmt w:val="bullet"/>
      <w:lvlText w:val="•"/>
      <w:lvlJc w:val="left"/>
      <w:pPr>
        <w:ind w:left="4392" w:hanging="428"/>
      </w:pPr>
      <w:rPr>
        <w:rFonts w:hint="default"/>
        <w:lang w:val="en-US" w:eastAsia="en-US" w:bidi="ar-SA"/>
      </w:rPr>
    </w:lvl>
    <w:lvl w:ilvl="5">
      <w:start w:val="0"/>
      <w:numFmt w:val="bullet"/>
      <w:lvlText w:val="•"/>
      <w:lvlJc w:val="left"/>
      <w:pPr>
        <w:ind w:left="5400" w:hanging="428"/>
      </w:pPr>
      <w:rPr>
        <w:rFonts w:hint="default"/>
        <w:lang w:val="en-US" w:eastAsia="en-US" w:bidi="ar-SA"/>
      </w:rPr>
    </w:lvl>
    <w:lvl w:ilvl="6">
      <w:start w:val="0"/>
      <w:numFmt w:val="bullet"/>
      <w:lvlText w:val="•"/>
      <w:lvlJc w:val="left"/>
      <w:pPr>
        <w:ind w:left="6408" w:hanging="428"/>
      </w:pPr>
      <w:rPr>
        <w:rFonts w:hint="default"/>
        <w:lang w:val="en-US" w:eastAsia="en-US" w:bidi="ar-SA"/>
      </w:rPr>
    </w:lvl>
    <w:lvl w:ilvl="7">
      <w:start w:val="0"/>
      <w:numFmt w:val="bullet"/>
      <w:lvlText w:val="•"/>
      <w:lvlJc w:val="left"/>
      <w:pPr>
        <w:ind w:left="7416" w:hanging="428"/>
      </w:pPr>
      <w:rPr>
        <w:rFonts w:hint="default"/>
        <w:lang w:val="en-US" w:eastAsia="en-US" w:bidi="ar-SA"/>
      </w:rPr>
    </w:lvl>
    <w:lvl w:ilvl="8">
      <w:start w:val="0"/>
      <w:numFmt w:val="bullet"/>
      <w:lvlText w:val="•"/>
      <w:lvlJc w:val="left"/>
      <w:pPr>
        <w:ind w:left="8424" w:hanging="428"/>
      </w:pPr>
      <w:rPr>
        <w:rFonts w:hint="default"/>
        <w:lang w:val="en-US" w:eastAsia="en-US" w:bidi="ar-SA"/>
      </w:rPr>
    </w:lvl>
  </w:abstractNum>
  <w:abstractNum w:abstractNumId="375">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126" w:hanging="335"/>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155" w:hanging="335"/>
      </w:pPr>
      <w:rPr>
        <w:rFonts w:hint="default"/>
        <w:lang w:val="en-US" w:eastAsia="en-US" w:bidi="ar-SA"/>
      </w:rPr>
    </w:lvl>
    <w:lvl w:ilvl="3">
      <w:start w:val="0"/>
      <w:numFmt w:val="bullet"/>
      <w:lvlText w:val="•"/>
      <w:lvlJc w:val="left"/>
      <w:pPr>
        <w:ind w:left="3191" w:hanging="335"/>
      </w:pPr>
      <w:rPr>
        <w:rFonts w:hint="default"/>
        <w:lang w:val="en-US" w:eastAsia="en-US" w:bidi="ar-SA"/>
      </w:rPr>
    </w:lvl>
    <w:lvl w:ilvl="4">
      <w:start w:val="0"/>
      <w:numFmt w:val="bullet"/>
      <w:lvlText w:val="•"/>
      <w:lvlJc w:val="left"/>
      <w:pPr>
        <w:ind w:left="4226" w:hanging="335"/>
      </w:pPr>
      <w:rPr>
        <w:rFonts w:hint="default"/>
        <w:lang w:val="en-US" w:eastAsia="en-US" w:bidi="ar-SA"/>
      </w:rPr>
    </w:lvl>
    <w:lvl w:ilvl="5">
      <w:start w:val="0"/>
      <w:numFmt w:val="bullet"/>
      <w:lvlText w:val="•"/>
      <w:lvlJc w:val="left"/>
      <w:pPr>
        <w:ind w:left="5262" w:hanging="335"/>
      </w:pPr>
      <w:rPr>
        <w:rFonts w:hint="default"/>
        <w:lang w:val="en-US" w:eastAsia="en-US" w:bidi="ar-SA"/>
      </w:rPr>
    </w:lvl>
    <w:lvl w:ilvl="6">
      <w:start w:val="0"/>
      <w:numFmt w:val="bullet"/>
      <w:lvlText w:val="•"/>
      <w:lvlJc w:val="left"/>
      <w:pPr>
        <w:ind w:left="6297" w:hanging="335"/>
      </w:pPr>
      <w:rPr>
        <w:rFonts w:hint="default"/>
        <w:lang w:val="en-US" w:eastAsia="en-US" w:bidi="ar-SA"/>
      </w:rPr>
    </w:lvl>
    <w:lvl w:ilvl="7">
      <w:start w:val="0"/>
      <w:numFmt w:val="bullet"/>
      <w:lvlText w:val="•"/>
      <w:lvlJc w:val="left"/>
      <w:pPr>
        <w:ind w:left="7333" w:hanging="335"/>
      </w:pPr>
      <w:rPr>
        <w:rFonts w:hint="default"/>
        <w:lang w:val="en-US" w:eastAsia="en-US" w:bidi="ar-SA"/>
      </w:rPr>
    </w:lvl>
    <w:lvl w:ilvl="8">
      <w:start w:val="0"/>
      <w:numFmt w:val="bullet"/>
      <w:lvlText w:val="•"/>
      <w:lvlJc w:val="left"/>
      <w:pPr>
        <w:ind w:left="8368" w:hanging="335"/>
      </w:pPr>
      <w:rPr>
        <w:rFonts w:hint="default"/>
        <w:lang w:val="en-US" w:eastAsia="en-US" w:bidi="ar-SA"/>
      </w:rPr>
    </w:lvl>
  </w:abstractNum>
  <w:abstractNum w:abstractNumId="374">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373">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372">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220" w:hanging="429"/>
      </w:pPr>
      <w:rPr>
        <w:rFonts w:hint="default"/>
        <w:lang w:val="en-US" w:eastAsia="en-US" w:bidi="ar-SA"/>
      </w:rPr>
    </w:lvl>
    <w:lvl w:ilvl="3">
      <w:start w:val="0"/>
      <w:numFmt w:val="bullet"/>
      <w:lvlText w:val="•"/>
      <w:lvlJc w:val="left"/>
      <w:pPr>
        <w:ind w:left="2372" w:hanging="429"/>
      </w:pPr>
      <w:rPr>
        <w:rFonts w:hint="default"/>
        <w:lang w:val="en-US" w:eastAsia="en-US" w:bidi="ar-SA"/>
      </w:rPr>
    </w:lvl>
    <w:lvl w:ilvl="4">
      <w:start w:val="0"/>
      <w:numFmt w:val="bullet"/>
      <w:lvlText w:val="•"/>
      <w:lvlJc w:val="left"/>
      <w:pPr>
        <w:ind w:left="3525" w:hanging="429"/>
      </w:pPr>
      <w:rPr>
        <w:rFonts w:hint="default"/>
        <w:lang w:val="en-US" w:eastAsia="en-US" w:bidi="ar-SA"/>
      </w:rPr>
    </w:lvl>
    <w:lvl w:ilvl="5">
      <w:start w:val="0"/>
      <w:numFmt w:val="bullet"/>
      <w:lvlText w:val="•"/>
      <w:lvlJc w:val="left"/>
      <w:pPr>
        <w:ind w:left="4677" w:hanging="429"/>
      </w:pPr>
      <w:rPr>
        <w:rFonts w:hint="default"/>
        <w:lang w:val="en-US" w:eastAsia="en-US" w:bidi="ar-SA"/>
      </w:rPr>
    </w:lvl>
    <w:lvl w:ilvl="6">
      <w:start w:val="0"/>
      <w:numFmt w:val="bullet"/>
      <w:lvlText w:val="•"/>
      <w:lvlJc w:val="left"/>
      <w:pPr>
        <w:ind w:left="5830" w:hanging="429"/>
      </w:pPr>
      <w:rPr>
        <w:rFonts w:hint="default"/>
        <w:lang w:val="en-US" w:eastAsia="en-US" w:bidi="ar-SA"/>
      </w:rPr>
    </w:lvl>
    <w:lvl w:ilvl="7">
      <w:start w:val="0"/>
      <w:numFmt w:val="bullet"/>
      <w:lvlText w:val="•"/>
      <w:lvlJc w:val="left"/>
      <w:pPr>
        <w:ind w:left="6982" w:hanging="429"/>
      </w:pPr>
      <w:rPr>
        <w:rFonts w:hint="default"/>
        <w:lang w:val="en-US" w:eastAsia="en-US" w:bidi="ar-SA"/>
      </w:rPr>
    </w:lvl>
    <w:lvl w:ilvl="8">
      <w:start w:val="0"/>
      <w:numFmt w:val="bullet"/>
      <w:lvlText w:val="•"/>
      <w:lvlJc w:val="left"/>
      <w:pPr>
        <w:ind w:left="8135" w:hanging="429"/>
      </w:pPr>
      <w:rPr>
        <w:rFonts w:hint="default"/>
        <w:lang w:val="en-US" w:eastAsia="en-US" w:bidi="ar-SA"/>
      </w:rPr>
    </w:lvl>
  </w:abstractNum>
  <w:abstractNum w:abstractNumId="371">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370">
    <w:multiLevelType w:val="hybridMultilevel"/>
    <w:lvl w:ilvl="0">
      <w:start w:val="1"/>
      <w:numFmt w:val="lowerLetter"/>
      <w:lvlText w:val="(%1)"/>
      <w:lvlJc w:val="left"/>
      <w:pPr>
        <w:ind w:left="788"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369">
    <w:multiLevelType w:val="hybridMultilevel"/>
    <w:lvl w:ilvl="0">
      <w:start w:val="1"/>
      <w:numFmt w:val="decimal"/>
      <w:lvlText w:val="(%1)"/>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429"/>
      </w:pPr>
      <w:rPr>
        <w:rFonts w:hint="default"/>
        <w:lang w:val="en-US" w:eastAsia="en-US" w:bidi="ar-SA"/>
      </w:rPr>
    </w:lvl>
    <w:lvl w:ilvl="2">
      <w:start w:val="0"/>
      <w:numFmt w:val="bullet"/>
      <w:lvlText w:val="•"/>
      <w:lvlJc w:val="left"/>
      <w:pPr>
        <w:ind w:left="2728" w:hanging="429"/>
      </w:pPr>
      <w:rPr>
        <w:rFonts w:hint="default"/>
        <w:lang w:val="en-US" w:eastAsia="en-US" w:bidi="ar-SA"/>
      </w:rPr>
    </w:lvl>
    <w:lvl w:ilvl="3">
      <w:start w:val="0"/>
      <w:numFmt w:val="bullet"/>
      <w:lvlText w:val="•"/>
      <w:lvlJc w:val="left"/>
      <w:pPr>
        <w:ind w:left="3692" w:hanging="429"/>
      </w:pPr>
      <w:rPr>
        <w:rFonts w:hint="default"/>
        <w:lang w:val="en-US" w:eastAsia="en-US" w:bidi="ar-SA"/>
      </w:rPr>
    </w:lvl>
    <w:lvl w:ilvl="4">
      <w:start w:val="0"/>
      <w:numFmt w:val="bullet"/>
      <w:lvlText w:val="•"/>
      <w:lvlJc w:val="left"/>
      <w:pPr>
        <w:ind w:left="4656" w:hanging="429"/>
      </w:pPr>
      <w:rPr>
        <w:rFonts w:hint="default"/>
        <w:lang w:val="en-US" w:eastAsia="en-US" w:bidi="ar-SA"/>
      </w:rPr>
    </w:lvl>
    <w:lvl w:ilvl="5">
      <w:start w:val="0"/>
      <w:numFmt w:val="bullet"/>
      <w:lvlText w:val="•"/>
      <w:lvlJc w:val="left"/>
      <w:pPr>
        <w:ind w:left="5620" w:hanging="429"/>
      </w:pPr>
      <w:rPr>
        <w:rFonts w:hint="default"/>
        <w:lang w:val="en-US" w:eastAsia="en-US" w:bidi="ar-SA"/>
      </w:rPr>
    </w:lvl>
    <w:lvl w:ilvl="6">
      <w:start w:val="0"/>
      <w:numFmt w:val="bullet"/>
      <w:lvlText w:val="•"/>
      <w:lvlJc w:val="left"/>
      <w:pPr>
        <w:ind w:left="6584" w:hanging="429"/>
      </w:pPr>
      <w:rPr>
        <w:rFonts w:hint="default"/>
        <w:lang w:val="en-US" w:eastAsia="en-US" w:bidi="ar-SA"/>
      </w:rPr>
    </w:lvl>
    <w:lvl w:ilvl="7">
      <w:start w:val="0"/>
      <w:numFmt w:val="bullet"/>
      <w:lvlText w:val="•"/>
      <w:lvlJc w:val="left"/>
      <w:pPr>
        <w:ind w:left="7548" w:hanging="429"/>
      </w:pPr>
      <w:rPr>
        <w:rFonts w:hint="default"/>
        <w:lang w:val="en-US" w:eastAsia="en-US" w:bidi="ar-SA"/>
      </w:rPr>
    </w:lvl>
    <w:lvl w:ilvl="8">
      <w:start w:val="0"/>
      <w:numFmt w:val="bullet"/>
      <w:lvlText w:val="•"/>
      <w:lvlJc w:val="left"/>
      <w:pPr>
        <w:ind w:left="8512" w:hanging="429"/>
      </w:pPr>
      <w:rPr>
        <w:rFonts w:hint="default"/>
        <w:lang w:val="en-US" w:eastAsia="en-US" w:bidi="ar-SA"/>
      </w:rPr>
    </w:lvl>
  </w:abstractNum>
  <w:abstractNum w:abstractNumId="368">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9"/>
      </w:pPr>
      <w:rPr>
        <w:rFonts w:hint="default"/>
        <w:lang w:val="en-US" w:eastAsia="en-US" w:bidi="ar-SA"/>
      </w:rPr>
    </w:lvl>
    <w:lvl w:ilvl="3">
      <w:start w:val="0"/>
      <w:numFmt w:val="bullet"/>
      <w:lvlText w:val="•"/>
      <w:lvlJc w:val="left"/>
      <w:pPr>
        <w:ind w:left="3268" w:hanging="429"/>
      </w:pPr>
      <w:rPr>
        <w:rFonts w:hint="default"/>
        <w:lang w:val="en-US" w:eastAsia="en-US" w:bidi="ar-SA"/>
      </w:rPr>
    </w:lvl>
    <w:lvl w:ilvl="4">
      <w:start w:val="0"/>
      <w:numFmt w:val="bullet"/>
      <w:lvlText w:val="•"/>
      <w:lvlJc w:val="left"/>
      <w:pPr>
        <w:ind w:left="4293" w:hanging="429"/>
      </w:pPr>
      <w:rPr>
        <w:rFonts w:hint="default"/>
        <w:lang w:val="en-US" w:eastAsia="en-US" w:bidi="ar-SA"/>
      </w:rPr>
    </w:lvl>
    <w:lvl w:ilvl="5">
      <w:start w:val="0"/>
      <w:numFmt w:val="bullet"/>
      <w:lvlText w:val="•"/>
      <w:lvlJc w:val="left"/>
      <w:pPr>
        <w:ind w:left="5317" w:hanging="429"/>
      </w:pPr>
      <w:rPr>
        <w:rFonts w:hint="default"/>
        <w:lang w:val="en-US" w:eastAsia="en-US" w:bidi="ar-SA"/>
      </w:rPr>
    </w:lvl>
    <w:lvl w:ilvl="6">
      <w:start w:val="0"/>
      <w:numFmt w:val="bullet"/>
      <w:lvlText w:val="•"/>
      <w:lvlJc w:val="left"/>
      <w:pPr>
        <w:ind w:left="6342" w:hanging="429"/>
      </w:pPr>
      <w:rPr>
        <w:rFonts w:hint="default"/>
        <w:lang w:val="en-US" w:eastAsia="en-US" w:bidi="ar-SA"/>
      </w:rPr>
    </w:lvl>
    <w:lvl w:ilvl="7">
      <w:start w:val="0"/>
      <w:numFmt w:val="bullet"/>
      <w:lvlText w:val="•"/>
      <w:lvlJc w:val="left"/>
      <w:pPr>
        <w:ind w:left="7366" w:hanging="429"/>
      </w:pPr>
      <w:rPr>
        <w:rFonts w:hint="default"/>
        <w:lang w:val="en-US" w:eastAsia="en-US" w:bidi="ar-SA"/>
      </w:rPr>
    </w:lvl>
    <w:lvl w:ilvl="8">
      <w:start w:val="0"/>
      <w:numFmt w:val="bullet"/>
      <w:lvlText w:val="•"/>
      <w:lvlJc w:val="left"/>
      <w:pPr>
        <w:ind w:left="8391" w:hanging="429"/>
      </w:pPr>
      <w:rPr>
        <w:rFonts w:hint="default"/>
        <w:lang w:val="en-US" w:eastAsia="en-US" w:bidi="ar-SA"/>
      </w:rPr>
    </w:lvl>
  </w:abstractNum>
  <w:abstractNum w:abstractNumId="367">
    <w:multiLevelType w:val="hybridMultilevel"/>
    <w:lvl w:ilvl="0">
      <w:start w:val="1"/>
      <w:numFmt w:val="decimal"/>
      <w:lvlText w:val="(%1)"/>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429"/>
      </w:pPr>
      <w:rPr>
        <w:rFonts w:hint="default"/>
        <w:lang w:val="en-US" w:eastAsia="en-US" w:bidi="ar-SA"/>
      </w:rPr>
    </w:lvl>
    <w:lvl w:ilvl="2">
      <w:start w:val="0"/>
      <w:numFmt w:val="bullet"/>
      <w:lvlText w:val="•"/>
      <w:lvlJc w:val="left"/>
      <w:pPr>
        <w:ind w:left="2728" w:hanging="429"/>
      </w:pPr>
      <w:rPr>
        <w:rFonts w:hint="default"/>
        <w:lang w:val="en-US" w:eastAsia="en-US" w:bidi="ar-SA"/>
      </w:rPr>
    </w:lvl>
    <w:lvl w:ilvl="3">
      <w:start w:val="0"/>
      <w:numFmt w:val="bullet"/>
      <w:lvlText w:val="•"/>
      <w:lvlJc w:val="left"/>
      <w:pPr>
        <w:ind w:left="3692" w:hanging="429"/>
      </w:pPr>
      <w:rPr>
        <w:rFonts w:hint="default"/>
        <w:lang w:val="en-US" w:eastAsia="en-US" w:bidi="ar-SA"/>
      </w:rPr>
    </w:lvl>
    <w:lvl w:ilvl="4">
      <w:start w:val="0"/>
      <w:numFmt w:val="bullet"/>
      <w:lvlText w:val="•"/>
      <w:lvlJc w:val="left"/>
      <w:pPr>
        <w:ind w:left="4656" w:hanging="429"/>
      </w:pPr>
      <w:rPr>
        <w:rFonts w:hint="default"/>
        <w:lang w:val="en-US" w:eastAsia="en-US" w:bidi="ar-SA"/>
      </w:rPr>
    </w:lvl>
    <w:lvl w:ilvl="5">
      <w:start w:val="0"/>
      <w:numFmt w:val="bullet"/>
      <w:lvlText w:val="•"/>
      <w:lvlJc w:val="left"/>
      <w:pPr>
        <w:ind w:left="5620" w:hanging="429"/>
      </w:pPr>
      <w:rPr>
        <w:rFonts w:hint="default"/>
        <w:lang w:val="en-US" w:eastAsia="en-US" w:bidi="ar-SA"/>
      </w:rPr>
    </w:lvl>
    <w:lvl w:ilvl="6">
      <w:start w:val="0"/>
      <w:numFmt w:val="bullet"/>
      <w:lvlText w:val="•"/>
      <w:lvlJc w:val="left"/>
      <w:pPr>
        <w:ind w:left="6584" w:hanging="429"/>
      </w:pPr>
      <w:rPr>
        <w:rFonts w:hint="default"/>
        <w:lang w:val="en-US" w:eastAsia="en-US" w:bidi="ar-SA"/>
      </w:rPr>
    </w:lvl>
    <w:lvl w:ilvl="7">
      <w:start w:val="0"/>
      <w:numFmt w:val="bullet"/>
      <w:lvlText w:val="•"/>
      <w:lvlJc w:val="left"/>
      <w:pPr>
        <w:ind w:left="7548" w:hanging="429"/>
      </w:pPr>
      <w:rPr>
        <w:rFonts w:hint="default"/>
        <w:lang w:val="en-US" w:eastAsia="en-US" w:bidi="ar-SA"/>
      </w:rPr>
    </w:lvl>
    <w:lvl w:ilvl="8">
      <w:start w:val="0"/>
      <w:numFmt w:val="bullet"/>
      <w:lvlText w:val="•"/>
      <w:lvlJc w:val="left"/>
      <w:pPr>
        <w:ind w:left="8512" w:hanging="429"/>
      </w:pPr>
      <w:rPr>
        <w:rFonts w:hint="default"/>
        <w:lang w:val="en-US" w:eastAsia="en-US" w:bidi="ar-SA"/>
      </w:rPr>
    </w:lvl>
  </w:abstractNum>
  <w:abstractNum w:abstractNumId="366">
    <w:multiLevelType w:val="hybridMultilevel"/>
    <w:lvl w:ilvl="0">
      <w:start w:val="1"/>
      <w:numFmt w:val="decimal"/>
      <w:lvlText w:val="(%1)"/>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429"/>
      </w:pPr>
      <w:rPr>
        <w:rFonts w:hint="default"/>
        <w:lang w:val="en-US" w:eastAsia="en-US" w:bidi="ar-SA"/>
      </w:rPr>
    </w:lvl>
    <w:lvl w:ilvl="2">
      <w:start w:val="0"/>
      <w:numFmt w:val="bullet"/>
      <w:lvlText w:val="•"/>
      <w:lvlJc w:val="left"/>
      <w:pPr>
        <w:ind w:left="2728" w:hanging="429"/>
      </w:pPr>
      <w:rPr>
        <w:rFonts w:hint="default"/>
        <w:lang w:val="en-US" w:eastAsia="en-US" w:bidi="ar-SA"/>
      </w:rPr>
    </w:lvl>
    <w:lvl w:ilvl="3">
      <w:start w:val="0"/>
      <w:numFmt w:val="bullet"/>
      <w:lvlText w:val="•"/>
      <w:lvlJc w:val="left"/>
      <w:pPr>
        <w:ind w:left="3692" w:hanging="429"/>
      </w:pPr>
      <w:rPr>
        <w:rFonts w:hint="default"/>
        <w:lang w:val="en-US" w:eastAsia="en-US" w:bidi="ar-SA"/>
      </w:rPr>
    </w:lvl>
    <w:lvl w:ilvl="4">
      <w:start w:val="0"/>
      <w:numFmt w:val="bullet"/>
      <w:lvlText w:val="•"/>
      <w:lvlJc w:val="left"/>
      <w:pPr>
        <w:ind w:left="4656" w:hanging="429"/>
      </w:pPr>
      <w:rPr>
        <w:rFonts w:hint="default"/>
        <w:lang w:val="en-US" w:eastAsia="en-US" w:bidi="ar-SA"/>
      </w:rPr>
    </w:lvl>
    <w:lvl w:ilvl="5">
      <w:start w:val="0"/>
      <w:numFmt w:val="bullet"/>
      <w:lvlText w:val="•"/>
      <w:lvlJc w:val="left"/>
      <w:pPr>
        <w:ind w:left="5620" w:hanging="429"/>
      </w:pPr>
      <w:rPr>
        <w:rFonts w:hint="default"/>
        <w:lang w:val="en-US" w:eastAsia="en-US" w:bidi="ar-SA"/>
      </w:rPr>
    </w:lvl>
    <w:lvl w:ilvl="6">
      <w:start w:val="0"/>
      <w:numFmt w:val="bullet"/>
      <w:lvlText w:val="•"/>
      <w:lvlJc w:val="left"/>
      <w:pPr>
        <w:ind w:left="6584" w:hanging="429"/>
      </w:pPr>
      <w:rPr>
        <w:rFonts w:hint="default"/>
        <w:lang w:val="en-US" w:eastAsia="en-US" w:bidi="ar-SA"/>
      </w:rPr>
    </w:lvl>
    <w:lvl w:ilvl="7">
      <w:start w:val="0"/>
      <w:numFmt w:val="bullet"/>
      <w:lvlText w:val="•"/>
      <w:lvlJc w:val="left"/>
      <w:pPr>
        <w:ind w:left="7548" w:hanging="429"/>
      </w:pPr>
      <w:rPr>
        <w:rFonts w:hint="default"/>
        <w:lang w:val="en-US" w:eastAsia="en-US" w:bidi="ar-SA"/>
      </w:rPr>
    </w:lvl>
    <w:lvl w:ilvl="8">
      <w:start w:val="0"/>
      <w:numFmt w:val="bullet"/>
      <w:lvlText w:val="•"/>
      <w:lvlJc w:val="left"/>
      <w:pPr>
        <w:ind w:left="8512" w:hanging="429"/>
      </w:pPr>
      <w:rPr>
        <w:rFonts w:hint="default"/>
        <w:lang w:val="en-US" w:eastAsia="en-US" w:bidi="ar-SA"/>
      </w:rPr>
    </w:lvl>
  </w:abstractNum>
  <w:abstractNum w:abstractNumId="365">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9"/>
      </w:pPr>
      <w:rPr>
        <w:rFonts w:hint="default"/>
        <w:lang w:val="en-US" w:eastAsia="en-US" w:bidi="ar-SA"/>
      </w:rPr>
    </w:lvl>
    <w:lvl w:ilvl="3">
      <w:start w:val="0"/>
      <w:numFmt w:val="bullet"/>
      <w:lvlText w:val="•"/>
      <w:lvlJc w:val="left"/>
      <w:pPr>
        <w:ind w:left="3268" w:hanging="429"/>
      </w:pPr>
      <w:rPr>
        <w:rFonts w:hint="default"/>
        <w:lang w:val="en-US" w:eastAsia="en-US" w:bidi="ar-SA"/>
      </w:rPr>
    </w:lvl>
    <w:lvl w:ilvl="4">
      <w:start w:val="0"/>
      <w:numFmt w:val="bullet"/>
      <w:lvlText w:val="•"/>
      <w:lvlJc w:val="left"/>
      <w:pPr>
        <w:ind w:left="4293" w:hanging="429"/>
      </w:pPr>
      <w:rPr>
        <w:rFonts w:hint="default"/>
        <w:lang w:val="en-US" w:eastAsia="en-US" w:bidi="ar-SA"/>
      </w:rPr>
    </w:lvl>
    <w:lvl w:ilvl="5">
      <w:start w:val="0"/>
      <w:numFmt w:val="bullet"/>
      <w:lvlText w:val="•"/>
      <w:lvlJc w:val="left"/>
      <w:pPr>
        <w:ind w:left="5317" w:hanging="429"/>
      </w:pPr>
      <w:rPr>
        <w:rFonts w:hint="default"/>
        <w:lang w:val="en-US" w:eastAsia="en-US" w:bidi="ar-SA"/>
      </w:rPr>
    </w:lvl>
    <w:lvl w:ilvl="6">
      <w:start w:val="0"/>
      <w:numFmt w:val="bullet"/>
      <w:lvlText w:val="•"/>
      <w:lvlJc w:val="left"/>
      <w:pPr>
        <w:ind w:left="6342" w:hanging="429"/>
      </w:pPr>
      <w:rPr>
        <w:rFonts w:hint="default"/>
        <w:lang w:val="en-US" w:eastAsia="en-US" w:bidi="ar-SA"/>
      </w:rPr>
    </w:lvl>
    <w:lvl w:ilvl="7">
      <w:start w:val="0"/>
      <w:numFmt w:val="bullet"/>
      <w:lvlText w:val="•"/>
      <w:lvlJc w:val="left"/>
      <w:pPr>
        <w:ind w:left="7366" w:hanging="429"/>
      </w:pPr>
      <w:rPr>
        <w:rFonts w:hint="default"/>
        <w:lang w:val="en-US" w:eastAsia="en-US" w:bidi="ar-SA"/>
      </w:rPr>
    </w:lvl>
    <w:lvl w:ilvl="8">
      <w:start w:val="0"/>
      <w:numFmt w:val="bullet"/>
      <w:lvlText w:val="•"/>
      <w:lvlJc w:val="left"/>
      <w:pPr>
        <w:ind w:left="8391" w:hanging="429"/>
      </w:pPr>
      <w:rPr>
        <w:rFonts w:hint="default"/>
        <w:lang w:val="en-US" w:eastAsia="en-US" w:bidi="ar-SA"/>
      </w:rPr>
    </w:lvl>
  </w:abstractNum>
  <w:abstractNum w:abstractNumId="364">
    <w:multiLevelType w:val="hybridMultilevel"/>
    <w:lvl w:ilvl="0">
      <w:start w:val="1"/>
      <w:numFmt w:val="lowerLetter"/>
      <w:lvlText w:val="(%1)"/>
      <w:lvlJc w:val="left"/>
      <w:pPr>
        <w:ind w:left="788"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9"/>
      </w:pPr>
      <w:rPr>
        <w:rFonts w:hint="default"/>
        <w:lang w:val="en-US" w:eastAsia="en-US" w:bidi="ar-SA"/>
      </w:rPr>
    </w:lvl>
    <w:lvl w:ilvl="3">
      <w:start w:val="0"/>
      <w:numFmt w:val="bullet"/>
      <w:lvlText w:val="•"/>
      <w:lvlJc w:val="left"/>
      <w:pPr>
        <w:ind w:left="3268" w:hanging="429"/>
      </w:pPr>
      <w:rPr>
        <w:rFonts w:hint="default"/>
        <w:lang w:val="en-US" w:eastAsia="en-US" w:bidi="ar-SA"/>
      </w:rPr>
    </w:lvl>
    <w:lvl w:ilvl="4">
      <w:start w:val="0"/>
      <w:numFmt w:val="bullet"/>
      <w:lvlText w:val="•"/>
      <w:lvlJc w:val="left"/>
      <w:pPr>
        <w:ind w:left="4293" w:hanging="429"/>
      </w:pPr>
      <w:rPr>
        <w:rFonts w:hint="default"/>
        <w:lang w:val="en-US" w:eastAsia="en-US" w:bidi="ar-SA"/>
      </w:rPr>
    </w:lvl>
    <w:lvl w:ilvl="5">
      <w:start w:val="0"/>
      <w:numFmt w:val="bullet"/>
      <w:lvlText w:val="•"/>
      <w:lvlJc w:val="left"/>
      <w:pPr>
        <w:ind w:left="5317" w:hanging="429"/>
      </w:pPr>
      <w:rPr>
        <w:rFonts w:hint="default"/>
        <w:lang w:val="en-US" w:eastAsia="en-US" w:bidi="ar-SA"/>
      </w:rPr>
    </w:lvl>
    <w:lvl w:ilvl="6">
      <w:start w:val="0"/>
      <w:numFmt w:val="bullet"/>
      <w:lvlText w:val="•"/>
      <w:lvlJc w:val="left"/>
      <w:pPr>
        <w:ind w:left="6342" w:hanging="429"/>
      </w:pPr>
      <w:rPr>
        <w:rFonts w:hint="default"/>
        <w:lang w:val="en-US" w:eastAsia="en-US" w:bidi="ar-SA"/>
      </w:rPr>
    </w:lvl>
    <w:lvl w:ilvl="7">
      <w:start w:val="0"/>
      <w:numFmt w:val="bullet"/>
      <w:lvlText w:val="•"/>
      <w:lvlJc w:val="left"/>
      <w:pPr>
        <w:ind w:left="7366" w:hanging="429"/>
      </w:pPr>
      <w:rPr>
        <w:rFonts w:hint="default"/>
        <w:lang w:val="en-US" w:eastAsia="en-US" w:bidi="ar-SA"/>
      </w:rPr>
    </w:lvl>
    <w:lvl w:ilvl="8">
      <w:start w:val="0"/>
      <w:numFmt w:val="bullet"/>
      <w:lvlText w:val="•"/>
      <w:lvlJc w:val="left"/>
      <w:pPr>
        <w:ind w:left="8391" w:hanging="429"/>
      </w:pPr>
      <w:rPr>
        <w:rFonts w:hint="default"/>
        <w:lang w:val="en-US" w:eastAsia="en-US" w:bidi="ar-SA"/>
      </w:rPr>
    </w:lvl>
  </w:abstractNum>
  <w:abstractNum w:abstractNumId="363">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362">
    <w:multiLevelType w:val="hybridMultilevel"/>
    <w:lvl w:ilvl="0">
      <w:start w:val="1"/>
      <w:numFmt w:val="decimal"/>
      <w:lvlText w:val="(%1)"/>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429"/>
      </w:pPr>
      <w:rPr>
        <w:rFonts w:hint="default"/>
        <w:lang w:val="en-US" w:eastAsia="en-US" w:bidi="ar-SA"/>
      </w:rPr>
    </w:lvl>
    <w:lvl w:ilvl="2">
      <w:start w:val="0"/>
      <w:numFmt w:val="bullet"/>
      <w:lvlText w:val="•"/>
      <w:lvlJc w:val="left"/>
      <w:pPr>
        <w:ind w:left="3064" w:hanging="429"/>
      </w:pPr>
      <w:rPr>
        <w:rFonts w:hint="default"/>
        <w:lang w:val="en-US" w:eastAsia="en-US" w:bidi="ar-SA"/>
      </w:rPr>
    </w:lvl>
    <w:lvl w:ilvl="3">
      <w:start w:val="0"/>
      <w:numFmt w:val="bullet"/>
      <w:lvlText w:val="•"/>
      <w:lvlJc w:val="left"/>
      <w:pPr>
        <w:ind w:left="3986" w:hanging="429"/>
      </w:pPr>
      <w:rPr>
        <w:rFonts w:hint="default"/>
        <w:lang w:val="en-US" w:eastAsia="en-US" w:bidi="ar-SA"/>
      </w:rPr>
    </w:lvl>
    <w:lvl w:ilvl="4">
      <w:start w:val="0"/>
      <w:numFmt w:val="bullet"/>
      <w:lvlText w:val="•"/>
      <w:lvlJc w:val="left"/>
      <w:pPr>
        <w:ind w:left="4908" w:hanging="429"/>
      </w:pPr>
      <w:rPr>
        <w:rFonts w:hint="default"/>
        <w:lang w:val="en-US" w:eastAsia="en-US" w:bidi="ar-SA"/>
      </w:rPr>
    </w:lvl>
    <w:lvl w:ilvl="5">
      <w:start w:val="0"/>
      <w:numFmt w:val="bullet"/>
      <w:lvlText w:val="•"/>
      <w:lvlJc w:val="left"/>
      <w:pPr>
        <w:ind w:left="5830" w:hanging="429"/>
      </w:pPr>
      <w:rPr>
        <w:rFonts w:hint="default"/>
        <w:lang w:val="en-US" w:eastAsia="en-US" w:bidi="ar-SA"/>
      </w:rPr>
    </w:lvl>
    <w:lvl w:ilvl="6">
      <w:start w:val="0"/>
      <w:numFmt w:val="bullet"/>
      <w:lvlText w:val="•"/>
      <w:lvlJc w:val="left"/>
      <w:pPr>
        <w:ind w:left="6752" w:hanging="429"/>
      </w:pPr>
      <w:rPr>
        <w:rFonts w:hint="default"/>
        <w:lang w:val="en-US" w:eastAsia="en-US" w:bidi="ar-SA"/>
      </w:rPr>
    </w:lvl>
    <w:lvl w:ilvl="7">
      <w:start w:val="0"/>
      <w:numFmt w:val="bullet"/>
      <w:lvlText w:val="•"/>
      <w:lvlJc w:val="left"/>
      <w:pPr>
        <w:ind w:left="7674" w:hanging="429"/>
      </w:pPr>
      <w:rPr>
        <w:rFonts w:hint="default"/>
        <w:lang w:val="en-US" w:eastAsia="en-US" w:bidi="ar-SA"/>
      </w:rPr>
    </w:lvl>
    <w:lvl w:ilvl="8">
      <w:start w:val="0"/>
      <w:numFmt w:val="bullet"/>
      <w:lvlText w:val="•"/>
      <w:lvlJc w:val="left"/>
      <w:pPr>
        <w:ind w:left="8596" w:hanging="429"/>
      </w:pPr>
      <w:rPr>
        <w:rFonts w:hint="default"/>
        <w:lang w:val="en-US" w:eastAsia="en-US" w:bidi="ar-SA"/>
      </w:rPr>
    </w:lvl>
  </w:abstractNum>
  <w:abstractNum w:abstractNumId="361">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2372" w:hanging="455"/>
      </w:pPr>
      <w:rPr>
        <w:rFonts w:hint="default"/>
        <w:lang w:val="en-US" w:eastAsia="en-US" w:bidi="ar-SA"/>
      </w:rPr>
    </w:lvl>
    <w:lvl w:ilvl="4">
      <w:start w:val="0"/>
      <w:numFmt w:val="bullet"/>
      <w:lvlText w:val="•"/>
      <w:lvlJc w:val="left"/>
      <w:pPr>
        <w:ind w:left="3525" w:hanging="455"/>
      </w:pPr>
      <w:rPr>
        <w:rFonts w:hint="default"/>
        <w:lang w:val="en-US" w:eastAsia="en-US" w:bidi="ar-SA"/>
      </w:rPr>
    </w:lvl>
    <w:lvl w:ilvl="5">
      <w:start w:val="0"/>
      <w:numFmt w:val="bullet"/>
      <w:lvlText w:val="•"/>
      <w:lvlJc w:val="left"/>
      <w:pPr>
        <w:ind w:left="4677" w:hanging="455"/>
      </w:pPr>
      <w:rPr>
        <w:rFonts w:hint="default"/>
        <w:lang w:val="en-US" w:eastAsia="en-US" w:bidi="ar-SA"/>
      </w:rPr>
    </w:lvl>
    <w:lvl w:ilvl="6">
      <w:start w:val="0"/>
      <w:numFmt w:val="bullet"/>
      <w:lvlText w:val="•"/>
      <w:lvlJc w:val="left"/>
      <w:pPr>
        <w:ind w:left="5830" w:hanging="455"/>
      </w:pPr>
      <w:rPr>
        <w:rFonts w:hint="default"/>
        <w:lang w:val="en-US" w:eastAsia="en-US" w:bidi="ar-SA"/>
      </w:rPr>
    </w:lvl>
    <w:lvl w:ilvl="7">
      <w:start w:val="0"/>
      <w:numFmt w:val="bullet"/>
      <w:lvlText w:val="•"/>
      <w:lvlJc w:val="left"/>
      <w:pPr>
        <w:ind w:left="6982" w:hanging="455"/>
      </w:pPr>
      <w:rPr>
        <w:rFonts w:hint="default"/>
        <w:lang w:val="en-US" w:eastAsia="en-US" w:bidi="ar-SA"/>
      </w:rPr>
    </w:lvl>
    <w:lvl w:ilvl="8">
      <w:start w:val="0"/>
      <w:numFmt w:val="bullet"/>
      <w:lvlText w:val="•"/>
      <w:lvlJc w:val="left"/>
      <w:pPr>
        <w:ind w:left="8135" w:hanging="455"/>
      </w:pPr>
      <w:rPr>
        <w:rFonts w:hint="default"/>
        <w:lang w:val="en-US" w:eastAsia="en-US" w:bidi="ar-SA"/>
      </w:rPr>
    </w:lvl>
  </w:abstractNum>
  <w:abstractNum w:abstractNumId="360">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080" w:hanging="288"/>
        <w:jc w:val="left"/>
      </w:pPr>
      <w:rPr>
        <w:rFonts w:hint="default" w:ascii="Arial" w:hAnsi="Arial" w:eastAsia="Arial" w:cs="Arial"/>
        <w:b w:val="0"/>
        <w:bCs w:val="0"/>
        <w:i w:val="0"/>
        <w:iCs w:val="0"/>
        <w:spacing w:val="-1"/>
        <w:w w:val="100"/>
        <w:sz w:val="24"/>
        <w:szCs w:val="24"/>
        <w:lang w:val="en-US" w:eastAsia="en-US" w:bidi="ar-SA"/>
      </w:rPr>
    </w:lvl>
    <w:lvl w:ilvl="2">
      <w:start w:val="1"/>
      <w:numFmt w:val="lowerLetter"/>
      <w:lvlText w:val="(%3)"/>
      <w:lvlJc w:val="left"/>
      <w:pPr>
        <w:ind w:left="1224" w:hanging="429"/>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2372" w:hanging="429"/>
      </w:pPr>
      <w:rPr>
        <w:rFonts w:hint="default"/>
        <w:lang w:val="en-US" w:eastAsia="en-US" w:bidi="ar-SA"/>
      </w:rPr>
    </w:lvl>
    <w:lvl w:ilvl="4">
      <w:start w:val="0"/>
      <w:numFmt w:val="bullet"/>
      <w:lvlText w:val="•"/>
      <w:lvlJc w:val="left"/>
      <w:pPr>
        <w:ind w:left="3525" w:hanging="429"/>
      </w:pPr>
      <w:rPr>
        <w:rFonts w:hint="default"/>
        <w:lang w:val="en-US" w:eastAsia="en-US" w:bidi="ar-SA"/>
      </w:rPr>
    </w:lvl>
    <w:lvl w:ilvl="5">
      <w:start w:val="0"/>
      <w:numFmt w:val="bullet"/>
      <w:lvlText w:val="•"/>
      <w:lvlJc w:val="left"/>
      <w:pPr>
        <w:ind w:left="4677" w:hanging="429"/>
      </w:pPr>
      <w:rPr>
        <w:rFonts w:hint="default"/>
        <w:lang w:val="en-US" w:eastAsia="en-US" w:bidi="ar-SA"/>
      </w:rPr>
    </w:lvl>
    <w:lvl w:ilvl="6">
      <w:start w:val="0"/>
      <w:numFmt w:val="bullet"/>
      <w:lvlText w:val="•"/>
      <w:lvlJc w:val="left"/>
      <w:pPr>
        <w:ind w:left="5830" w:hanging="429"/>
      </w:pPr>
      <w:rPr>
        <w:rFonts w:hint="default"/>
        <w:lang w:val="en-US" w:eastAsia="en-US" w:bidi="ar-SA"/>
      </w:rPr>
    </w:lvl>
    <w:lvl w:ilvl="7">
      <w:start w:val="0"/>
      <w:numFmt w:val="bullet"/>
      <w:lvlText w:val="•"/>
      <w:lvlJc w:val="left"/>
      <w:pPr>
        <w:ind w:left="6982" w:hanging="429"/>
      </w:pPr>
      <w:rPr>
        <w:rFonts w:hint="default"/>
        <w:lang w:val="en-US" w:eastAsia="en-US" w:bidi="ar-SA"/>
      </w:rPr>
    </w:lvl>
    <w:lvl w:ilvl="8">
      <w:start w:val="0"/>
      <w:numFmt w:val="bullet"/>
      <w:lvlText w:val="•"/>
      <w:lvlJc w:val="left"/>
      <w:pPr>
        <w:ind w:left="8135" w:hanging="429"/>
      </w:pPr>
      <w:rPr>
        <w:rFonts w:hint="default"/>
        <w:lang w:val="en-US" w:eastAsia="en-US" w:bidi="ar-SA"/>
      </w:rPr>
    </w:lvl>
  </w:abstractNum>
  <w:abstractNum w:abstractNumId="359">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080" w:hanging="288"/>
        <w:jc w:val="right"/>
      </w:pPr>
      <w:rPr>
        <w:rFonts w:hint="default" w:ascii="Arial" w:hAnsi="Arial" w:eastAsia="Arial" w:cs="Arial"/>
        <w:b w:val="0"/>
        <w:bCs w:val="0"/>
        <w:i w:val="0"/>
        <w:iCs w:val="0"/>
        <w:spacing w:val="-1"/>
        <w:w w:val="100"/>
        <w:sz w:val="24"/>
        <w:szCs w:val="24"/>
        <w:lang w:val="en-US" w:eastAsia="en-US" w:bidi="ar-SA"/>
      </w:rPr>
    </w:lvl>
    <w:lvl w:ilvl="2">
      <w:start w:val="1"/>
      <w:numFmt w:val="lowerLetter"/>
      <w:lvlText w:val="(%3)"/>
      <w:lvlJc w:val="left"/>
      <w:pPr>
        <w:ind w:left="1224" w:hanging="429"/>
        <w:jc w:val="left"/>
      </w:pPr>
      <w:rPr>
        <w:rFonts w:hint="default" w:ascii="Arial" w:hAnsi="Arial" w:eastAsia="Arial" w:cs="Arial"/>
        <w:b w:val="0"/>
        <w:bCs w:val="0"/>
        <w:i w:val="0"/>
        <w:iCs w:val="0"/>
        <w:spacing w:val="-1"/>
        <w:w w:val="100"/>
        <w:sz w:val="24"/>
        <w:szCs w:val="24"/>
        <w:lang w:val="en-US" w:eastAsia="en-US" w:bidi="ar-SA"/>
      </w:rPr>
    </w:lvl>
    <w:lvl w:ilvl="3">
      <w:start w:val="1"/>
      <w:numFmt w:val="decimal"/>
      <w:lvlText w:val="(%4)"/>
      <w:lvlJc w:val="left"/>
      <w:pPr>
        <w:ind w:left="1656" w:hanging="429"/>
        <w:jc w:val="left"/>
      </w:pPr>
      <w:rPr>
        <w:rFonts w:hint="default" w:ascii="Arial" w:hAnsi="Arial" w:eastAsia="Arial" w:cs="Arial"/>
        <w:b w:val="0"/>
        <w:bCs w:val="0"/>
        <w:i w:val="0"/>
        <w:iCs w:val="0"/>
        <w:spacing w:val="-1"/>
        <w:w w:val="100"/>
        <w:sz w:val="24"/>
        <w:szCs w:val="24"/>
        <w:lang w:val="en-US" w:eastAsia="en-US" w:bidi="ar-SA"/>
      </w:rPr>
    </w:lvl>
    <w:lvl w:ilvl="4">
      <w:start w:val="1"/>
      <w:numFmt w:val="upperLetter"/>
      <w:lvlText w:val="(%5)"/>
      <w:lvlJc w:val="left"/>
      <w:pPr>
        <w:ind w:left="2088" w:hanging="455"/>
        <w:jc w:val="left"/>
      </w:pPr>
      <w:rPr>
        <w:rFonts w:hint="default" w:ascii="Arial" w:hAnsi="Arial" w:eastAsia="Arial" w:cs="Arial"/>
        <w:b w:val="0"/>
        <w:bCs w:val="0"/>
        <w:i w:val="0"/>
        <w:iCs w:val="0"/>
        <w:spacing w:val="-1"/>
        <w:w w:val="100"/>
        <w:sz w:val="24"/>
        <w:szCs w:val="24"/>
        <w:lang w:val="en-US" w:eastAsia="en-US" w:bidi="ar-SA"/>
      </w:rPr>
    </w:lvl>
    <w:lvl w:ilvl="5">
      <w:start w:val="0"/>
      <w:numFmt w:val="bullet"/>
      <w:lvlText w:val="•"/>
      <w:lvlJc w:val="left"/>
      <w:pPr>
        <w:ind w:left="2520" w:hanging="455"/>
      </w:pPr>
      <w:rPr>
        <w:rFonts w:hint="default"/>
        <w:lang w:val="en-US" w:eastAsia="en-US" w:bidi="ar-SA"/>
      </w:rPr>
    </w:lvl>
    <w:lvl w:ilvl="6">
      <w:start w:val="0"/>
      <w:numFmt w:val="bullet"/>
      <w:lvlText w:val="•"/>
      <w:lvlJc w:val="left"/>
      <w:pPr>
        <w:ind w:left="2540" w:hanging="455"/>
      </w:pPr>
      <w:rPr>
        <w:rFonts w:hint="default"/>
        <w:lang w:val="en-US" w:eastAsia="en-US" w:bidi="ar-SA"/>
      </w:rPr>
    </w:lvl>
    <w:lvl w:ilvl="7">
      <w:start w:val="0"/>
      <w:numFmt w:val="bullet"/>
      <w:lvlText w:val="•"/>
      <w:lvlJc w:val="left"/>
      <w:pPr>
        <w:ind w:left="4515" w:hanging="455"/>
      </w:pPr>
      <w:rPr>
        <w:rFonts w:hint="default"/>
        <w:lang w:val="en-US" w:eastAsia="en-US" w:bidi="ar-SA"/>
      </w:rPr>
    </w:lvl>
    <w:lvl w:ilvl="8">
      <w:start w:val="0"/>
      <w:numFmt w:val="bullet"/>
      <w:lvlText w:val="•"/>
      <w:lvlJc w:val="left"/>
      <w:pPr>
        <w:ind w:left="6490" w:hanging="455"/>
      </w:pPr>
      <w:rPr>
        <w:rFonts w:hint="default"/>
        <w:lang w:val="en-US" w:eastAsia="en-US" w:bidi="ar-SA"/>
      </w:rPr>
    </w:lvl>
  </w:abstractNum>
  <w:abstractNum w:abstractNumId="358">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357">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9"/>
      </w:pPr>
      <w:rPr>
        <w:rFonts w:hint="default"/>
        <w:lang w:val="en-US" w:eastAsia="en-US" w:bidi="ar-SA"/>
      </w:rPr>
    </w:lvl>
    <w:lvl w:ilvl="3">
      <w:start w:val="0"/>
      <w:numFmt w:val="bullet"/>
      <w:lvlText w:val="•"/>
      <w:lvlJc w:val="left"/>
      <w:pPr>
        <w:ind w:left="3268" w:hanging="429"/>
      </w:pPr>
      <w:rPr>
        <w:rFonts w:hint="default"/>
        <w:lang w:val="en-US" w:eastAsia="en-US" w:bidi="ar-SA"/>
      </w:rPr>
    </w:lvl>
    <w:lvl w:ilvl="4">
      <w:start w:val="0"/>
      <w:numFmt w:val="bullet"/>
      <w:lvlText w:val="•"/>
      <w:lvlJc w:val="left"/>
      <w:pPr>
        <w:ind w:left="4293" w:hanging="429"/>
      </w:pPr>
      <w:rPr>
        <w:rFonts w:hint="default"/>
        <w:lang w:val="en-US" w:eastAsia="en-US" w:bidi="ar-SA"/>
      </w:rPr>
    </w:lvl>
    <w:lvl w:ilvl="5">
      <w:start w:val="0"/>
      <w:numFmt w:val="bullet"/>
      <w:lvlText w:val="•"/>
      <w:lvlJc w:val="left"/>
      <w:pPr>
        <w:ind w:left="5317" w:hanging="429"/>
      </w:pPr>
      <w:rPr>
        <w:rFonts w:hint="default"/>
        <w:lang w:val="en-US" w:eastAsia="en-US" w:bidi="ar-SA"/>
      </w:rPr>
    </w:lvl>
    <w:lvl w:ilvl="6">
      <w:start w:val="0"/>
      <w:numFmt w:val="bullet"/>
      <w:lvlText w:val="•"/>
      <w:lvlJc w:val="left"/>
      <w:pPr>
        <w:ind w:left="6342" w:hanging="429"/>
      </w:pPr>
      <w:rPr>
        <w:rFonts w:hint="default"/>
        <w:lang w:val="en-US" w:eastAsia="en-US" w:bidi="ar-SA"/>
      </w:rPr>
    </w:lvl>
    <w:lvl w:ilvl="7">
      <w:start w:val="0"/>
      <w:numFmt w:val="bullet"/>
      <w:lvlText w:val="•"/>
      <w:lvlJc w:val="left"/>
      <w:pPr>
        <w:ind w:left="7366" w:hanging="429"/>
      </w:pPr>
      <w:rPr>
        <w:rFonts w:hint="default"/>
        <w:lang w:val="en-US" w:eastAsia="en-US" w:bidi="ar-SA"/>
      </w:rPr>
    </w:lvl>
    <w:lvl w:ilvl="8">
      <w:start w:val="0"/>
      <w:numFmt w:val="bullet"/>
      <w:lvlText w:val="•"/>
      <w:lvlJc w:val="left"/>
      <w:pPr>
        <w:ind w:left="8391" w:hanging="429"/>
      </w:pPr>
      <w:rPr>
        <w:rFonts w:hint="default"/>
        <w:lang w:val="en-US" w:eastAsia="en-US" w:bidi="ar-SA"/>
      </w:rPr>
    </w:lvl>
  </w:abstractNum>
  <w:abstractNum w:abstractNumId="356">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9"/>
      </w:pPr>
      <w:rPr>
        <w:rFonts w:hint="default"/>
        <w:lang w:val="en-US" w:eastAsia="en-US" w:bidi="ar-SA"/>
      </w:rPr>
    </w:lvl>
    <w:lvl w:ilvl="3">
      <w:start w:val="0"/>
      <w:numFmt w:val="bullet"/>
      <w:lvlText w:val="•"/>
      <w:lvlJc w:val="left"/>
      <w:pPr>
        <w:ind w:left="3268" w:hanging="429"/>
      </w:pPr>
      <w:rPr>
        <w:rFonts w:hint="default"/>
        <w:lang w:val="en-US" w:eastAsia="en-US" w:bidi="ar-SA"/>
      </w:rPr>
    </w:lvl>
    <w:lvl w:ilvl="4">
      <w:start w:val="0"/>
      <w:numFmt w:val="bullet"/>
      <w:lvlText w:val="•"/>
      <w:lvlJc w:val="left"/>
      <w:pPr>
        <w:ind w:left="4293" w:hanging="429"/>
      </w:pPr>
      <w:rPr>
        <w:rFonts w:hint="default"/>
        <w:lang w:val="en-US" w:eastAsia="en-US" w:bidi="ar-SA"/>
      </w:rPr>
    </w:lvl>
    <w:lvl w:ilvl="5">
      <w:start w:val="0"/>
      <w:numFmt w:val="bullet"/>
      <w:lvlText w:val="•"/>
      <w:lvlJc w:val="left"/>
      <w:pPr>
        <w:ind w:left="5317" w:hanging="429"/>
      </w:pPr>
      <w:rPr>
        <w:rFonts w:hint="default"/>
        <w:lang w:val="en-US" w:eastAsia="en-US" w:bidi="ar-SA"/>
      </w:rPr>
    </w:lvl>
    <w:lvl w:ilvl="6">
      <w:start w:val="0"/>
      <w:numFmt w:val="bullet"/>
      <w:lvlText w:val="•"/>
      <w:lvlJc w:val="left"/>
      <w:pPr>
        <w:ind w:left="6342" w:hanging="429"/>
      </w:pPr>
      <w:rPr>
        <w:rFonts w:hint="default"/>
        <w:lang w:val="en-US" w:eastAsia="en-US" w:bidi="ar-SA"/>
      </w:rPr>
    </w:lvl>
    <w:lvl w:ilvl="7">
      <w:start w:val="0"/>
      <w:numFmt w:val="bullet"/>
      <w:lvlText w:val="•"/>
      <w:lvlJc w:val="left"/>
      <w:pPr>
        <w:ind w:left="7366" w:hanging="429"/>
      </w:pPr>
      <w:rPr>
        <w:rFonts w:hint="default"/>
        <w:lang w:val="en-US" w:eastAsia="en-US" w:bidi="ar-SA"/>
      </w:rPr>
    </w:lvl>
    <w:lvl w:ilvl="8">
      <w:start w:val="0"/>
      <w:numFmt w:val="bullet"/>
      <w:lvlText w:val="•"/>
      <w:lvlJc w:val="left"/>
      <w:pPr>
        <w:ind w:left="8391" w:hanging="429"/>
      </w:pPr>
      <w:rPr>
        <w:rFonts w:hint="default"/>
        <w:lang w:val="en-US" w:eastAsia="en-US" w:bidi="ar-SA"/>
      </w:rPr>
    </w:lvl>
  </w:abstractNum>
  <w:abstractNum w:abstractNumId="355">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9"/>
      </w:pPr>
      <w:rPr>
        <w:rFonts w:hint="default"/>
        <w:lang w:val="en-US" w:eastAsia="en-US" w:bidi="ar-SA"/>
      </w:rPr>
    </w:lvl>
    <w:lvl w:ilvl="3">
      <w:start w:val="0"/>
      <w:numFmt w:val="bullet"/>
      <w:lvlText w:val="•"/>
      <w:lvlJc w:val="left"/>
      <w:pPr>
        <w:ind w:left="3268" w:hanging="429"/>
      </w:pPr>
      <w:rPr>
        <w:rFonts w:hint="default"/>
        <w:lang w:val="en-US" w:eastAsia="en-US" w:bidi="ar-SA"/>
      </w:rPr>
    </w:lvl>
    <w:lvl w:ilvl="4">
      <w:start w:val="0"/>
      <w:numFmt w:val="bullet"/>
      <w:lvlText w:val="•"/>
      <w:lvlJc w:val="left"/>
      <w:pPr>
        <w:ind w:left="4293" w:hanging="429"/>
      </w:pPr>
      <w:rPr>
        <w:rFonts w:hint="default"/>
        <w:lang w:val="en-US" w:eastAsia="en-US" w:bidi="ar-SA"/>
      </w:rPr>
    </w:lvl>
    <w:lvl w:ilvl="5">
      <w:start w:val="0"/>
      <w:numFmt w:val="bullet"/>
      <w:lvlText w:val="•"/>
      <w:lvlJc w:val="left"/>
      <w:pPr>
        <w:ind w:left="5317" w:hanging="429"/>
      </w:pPr>
      <w:rPr>
        <w:rFonts w:hint="default"/>
        <w:lang w:val="en-US" w:eastAsia="en-US" w:bidi="ar-SA"/>
      </w:rPr>
    </w:lvl>
    <w:lvl w:ilvl="6">
      <w:start w:val="0"/>
      <w:numFmt w:val="bullet"/>
      <w:lvlText w:val="•"/>
      <w:lvlJc w:val="left"/>
      <w:pPr>
        <w:ind w:left="6342" w:hanging="429"/>
      </w:pPr>
      <w:rPr>
        <w:rFonts w:hint="default"/>
        <w:lang w:val="en-US" w:eastAsia="en-US" w:bidi="ar-SA"/>
      </w:rPr>
    </w:lvl>
    <w:lvl w:ilvl="7">
      <w:start w:val="0"/>
      <w:numFmt w:val="bullet"/>
      <w:lvlText w:val="•"/>
      <w:lvlJc w:val="left"/>
      <w:pPr>
        <w:ind w:left="7366" w:hanging="429"/>
      </w:pPr>
      <w:rPr>
        <w:rFonts w:hint="default"/>
        <w:lang w:val="en-US" w:eastAsia="en-US" w:bidi="ar-SA"/>
      </w:rPr>
    </w:lvl>
    <w:lvl w:ilvl="8">
      <w:start w:val="0"/>
      <w:numFmt w:val="bullet"/>
      <w:lvlText w:val="•"/>
      <w:lvlJc w:val="left"/>
      <w:pPr>
        <w:ind w:left="8391" w:hanging="429"/>
      </w:pPr>
      <w:rPr>
        <w:rFonts w:hint="default"/>
        <w:lang w:val="en-US" w:eastAsia="en-US" w:bidi="ar-SA"/>
      </w:rPr>
    </w:lvl>
  </w:abstractNum>
  <w:abstractNum w:abstractNumId="354">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9"/>
      </w:pPr>
      <w:rPr>
        <w:rFonts w:hint="default"/>
        <w:lang w:val="en-US" w:eastAsia="en-US" w:bidi="ar-SA"/>
      </w:rPr>
    </w:lvl>
    <w:lvl w:ilvl="3">
      <w:start w:val="0"/>
      <w:numFmt w:val="bullet"/>
      <w:lvlText w:val="•"/>
      <w:lvlJc w:val="left"/>
      <w:pPr>
        <w:ind w:left="3268" w:hanging="429"/>
      </w:pPr>
      <w:rPr>
        <w:rFonts w:hint="default"/>
        <w:lang w:val="en-US" w:eastAsia="en-US" w:bidi="ar-SA"/>
      </w:rPr>
    </w:lvl>
    <w:lvl w:ilvl="4">
      <w:start w:val="0"/>
      <w:numFmt w:val="bullet"/>
      <w:lvlText w:val="•"/>
      <w:lvlJc w:val="left"/>
      <w:pPr>
        <w:ind w:left="4293" w:hanging="429"/>
      </w:pPr>
      <w:rPr>
        <w:rFonts w:hint="default"/>
        <w:lang w:val="en-US" w:eastAsia="en-US" w:bidi="ar-SA"/>
      </w:rPr>
    </w:lvl>
    <w:lvl w:ilvl="5">
      <w:start w:val="0"/>
      <w:numFmt w:val="bullet"/>
      <w:lvlText w:val="•"/>
      <w:lvlJc w:val="left"/>
      <w:pPr>
        <w:ind w:left="5317" w:hanging="429"/>
      </w:pPr>
      <w:rPr>
        <w:rFonts w:hint="default"/>
        <w:lang w:val="en-US" w:eastAsia="en-US" w:bidi="ar-SA"/>
      </w:rPr>
    </w:lvl>
    <w:lvl w:ilvl="6">
      <w:start w:val="0"/>
      <w:numFmt w:val="bullet"/>
      <w:lvlText w:val="•"/>
      <w:lvlJc w:val="left"/>
      <w:pPr>
        <w:ind w:left="6342" w:hanging="429"/>
      </w:pPr>
      <w:rPr>
        <w:rFonts w:hint="default"/>
        <w:lang w:val="en-US" w:eastAsia="en-US" w:bidi="ar-SA"/>
      </w:rPr>
    </w:lvl>
    <w:lvl w:ilvl="7">
      <w:start w:val="0"/>
      <w:numFmt w:val="bullet"/>
      <w:lvlText w:val="•"/>
      <w:lvlJc w:val="left"/>
      <w:pPr>
        <w:ind w:left="7366" w:hanging="429"/>
      </w:pPr>
      <w:rPr>
        <w:rFonts w:hint="default"/>
        <w:lang w:val="en-US" w:eastAsia="en-US" w:bidi="ar-SA"/>
      </w:rPr>
    </w:lvl>
    <w:lvl w:ilvl="8">
      <w:start w:val="0"/>
      <w:numFmt w:val="bullet"/>
      <w:lvlText w:val="•"/>
      <w:lvlJc w:val="left"/>
      <w:pPr>
        <w:ind w:left="8391" w:hanging="429"/>
      </w:pPr>
      <w:rPr>
        <w:rFonts w:hint="default"/>
        <w:lang w:val="en-US" w:eastAsia="en-US" w:bidi="ar-SA"/>
      </w:rPr>
    </w:lvl>
  </w:abstractNum>
  <w:abstractNum w:abstractNumId="353">
    <w:multiLevelType w:val="hybridMultilevel"/>
    <w:lvl w:ilvl="0">
      <w:start w:val="1"/>
      <w:numFmt w:val="upperLetter"/>
      <w:lvlText w:val="(%1)"/>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455"/>
      </w:pPr>
      <w:rPr>
        <w:rFonts w:hint="default"/>
        <w:lang w:val="en-US" w:eastAsia="en-US" w:bidi="ar-SA"/>
      </w:rPr>
    </w:lvl>
    <w:lvl w:ilvl="2">
      <w:start w:val="0"/>
      <w:numFmt w:val="bullet"/>
      <w:lvlText w:val="•"/>
      <w:lvlJc w:val="left"/>
      <w:pPr>
        <w:ind w:left="3064" w:hanging="455"/>
      </w:pPr>
      <w:rPr>
        <w:rFonts w:hint="default"/>
        <w:lang w:val="en-US" w:eastAsia="en-US" w:bidi="ar-SA"/>
      </w:rPr>
    </w:lvl>
    <w:lvl w:ilvl="3">
      <w:start w:val="0"/>
      <w:numFmt w:val="bullet"/>
      <w:lvlText w:val="•"/>
      <w:lvlJc w:val="left"/>
      <w:pPr>
        <w:ind w:left="3986" w:hanging="455"/>
      </w:pPr>
      <w:rPr>
        <w:rFonts w:hint="default"/>
        <w:lang w:val="en-US" w:eastAsia="en-US" w:bidi="ar-SA"/>
      </w:rPr>
    </w:lvl>
    <w:lvl w:ilvl="4">
      <w:start w:val="0"/>
      <w:numFmt w:val="bullet"/>
      <w:lvlText w:val="•"/>
      <w:lvlJc w:val="left"/>
      <w:pPr>
        <w:ind w:left="4908" w:hanging="455"/>
      </w:pPr>
      <w:rPr>
        <w:rFonts w:hint="default"/>
        <w:lang w:val="en-US" w:eastAsia="en-US" w:bidi="ar-SA"/>
      </w:rPr>
    </w:lvl>
    <w:lvl w:ilvl="5">
      <w:start w:val="0"/>
      <w:numFmt w:val="bullet"/>
      <w:lvlText w:val="•"/>
      <w:lvlJc w:val="left"/>
      <w:pPr>
        <w:ind w:left="5830" w:hanging="455"/>
      </w:pPr>
      <w:rPr>
        <w:rFonts w:hint="default"/>
        <w:lang w:val="en-US" w:eastAsia="en-US" w:bidi="ar-SA"/>
      </w:rPr>
    </w:lvl>
    <w:lvl w:ilvl="6">
      <w:start w:val="0"/>
      <w:numFmt w:val="bullet"/>
      <w:lvlText w:val="•"/>
      <w:lvlJc w:val="left"/>
      <w:pPr>
        <w:ind w:left="6752" w:hanging="455"/>
      </w:pPr>
      <w:rPr>
        <w:rFonts w:hint="default"/>
        <w:lang w:val="en-US" w:eastAsia="en-US" w:bidi="ar-SA"/>
      </w:rPr>
    </w:lvl>
    <w:lvl w:ilvl="7">
      <w:start w:val="0"/>
      <w:numFmt w:val="bullet"/>
      <w:lvlText w:val="•"/>
      <w:lvlJc w:val="left"/>
      <w:pPr>
        <w:ind w:left="7674" w:hanging="455"/>
      </w:pPr>
      <w:rPr>
        <w:rFonts w:hint="default"/>
        <w:lang w:val="en-US" w:eastAsia="en-US" w:bidi="ar-SA"/>
      </w:rPr>
    </w:lvl>
    <w:lvl w:ilvl="8">
      <w:start w:val="0"/>
      <w:numFmt w:val="bullet"/>
      <w:lvlText w:val="•"/>
      <w:lvlJc w:val="left"/>
      <w:pPr>
        <w:ind w:left="8596" w:hanging="455"/>
      </w:pPr>
      <w:rPr>
        <w:rFonts w:hint="default"/>
        <w:lang w:val="en-US" w:eastAsia="en-US" w:bidi="ar-SA"/>
      </w:rPr>
    </w:lvl>
  </w:abstractNum>
  <w:abstractNum w:abstractNumId="352">
    <w:multiLevelType w:val="hybridMultilevel"/>
    <w:lvl w:ilvl="0">
      <w:start w:val="1"/>
      <w:numFmt w:val="upperLetter"/>
      <w:lvlText w:val="(%1)"/>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455"/>
      </w:pPr>
      <w:rPr>
        <w:rFonts w:hint="default"/>
        <w:lang w:val="en-US" w:eastAsia="en-US" w:bidi="ar-SA"/>
      </w:rPr>
    </w:lvl>
    <w:lvl w:ilvl="2">
      <w:start w:val="0"/>
      <w:numFmt w:val="bullet"/>
      <w:lvlText w:val="•"/>
      <w:lvlJc w:val="left"/>
      <w:pPr>
        <w:ind w:left="3064" w:hanging="455"/>
      </w:pPr>
      <w:rPr>
        <w:rFonts w:hint="default"/>
        <w:lang w:val="en-US" w:eastAsia="en-US" w:bidi="ar-SA"/>
      </w:rPr>
    </w:lvl>
    <w:lvl w:ilvl="3">
      <w:start w:val="0"/>
      <w:numFmt w:val="bullet"/>
      <w:lvlText w:val="•"/>
      <w:lvlJc w:val="left"/>
      <w:pPr>
        <w:ind w:left="3986" w:hanging="455"/>
      </w:pPr>
      <w:rPr>
        <w:rFonts w:hint="default"/>
        <w:lang w:val="en-US" w:eastAsia="en-US" w:bidi="ar-SA"/>
      </w:rPr>
    </w:lvl>
    <w:lvl w:ilvl="4">
      <w:start w:val="0"/>
      <w:numFmt w:val="bullet"/>
      <w:lvlText w:val="•"/>
      <w:lvlJc w:val="left"/>
      <w:pPr>
        <w:ind w:left="4908" w:hanging="455"/>
      </w:pPr>
      <w:rPr>
        <w:rFonts w:hint="default"/>
        <w:lang w:val="en-US" w:eastAsia="en-US" w:bidi="ar-SA"/>
      </w:rPr>
    </w:lvl>
    <w:lvl w:ilvl="5">
      <w:start w:val="0"/>
      <w:numFmt w:val="bullet"/>
      <w:lvlText w:val="•"/>
      <w:lvlJc w:val="left"/>
      <w:pPr>
        <w:ind w:left="5830" w:hanging="455"/>
      </w:pPr>
      <w:rPr>
        <w:rFonts w:hint="default"/>
        <w:lang w:val="en-US" w:eastAsia="en-US" w:bidi="ar-SA"/>
      </w:rPr>
    </w:lvl>
    <w:lvl w:ilvl="6">
      <w:start w:val="0"/>
      <w:numFmt w:val="bullet"/>
      <w:lvlText w:val="•"/>
      <w:lvlJc w:val="left"/>
      <w:pPr>
        <w:ind w:left="6752" w:hanging="455"/>
      </w:pPr>
      <w:rPr>
        <w:rFonts w:hint="default"/>
        <w:lang w:val="en-US" w:eastAsia="en-US" w:bidi="ar-SA"/>
      </w:rPr>
    </w:lvl>
    <w:lvl w:ilvl="7">
      <w:start w:val="0"/>
      <w:numFmt w:val="bullet"/>
      <w:lvlText w:val="•"/>
      <w:lvlJc w:val="left"/>
      <w:pPr>
        <w:ind w:left="7674" w:hanging="455"/>
      </w:pPr>
      <w:rPr>
        <w:rFonts w:hint="default"/>
        <w:lang w:val="en-US" w:eastAsia="en-US" w:bidi="ar-SA"/>
      </w:rPr>
    </w:lvl>
    <w:lvl w:ilvl="8">
      <w:start w:val="0"/>
      <w:numFmt w:val="bullet"/>
      <w:lvlText w:val="•"/>
      <w:lvlJc w:val="left"/>
      <w:pPr>
        <w:ind w:left="8596" w:hanging="455"/>
      </w:pPr>
      <w:rPr>
        <w:rFonts w:hint="default"/>
        <w:lang w:val="en-US" w:eastAsia="en-US" w:bidi="ar-SA"/>
      </w:rPr>
    </w:lvl>
  </w:abstractNum>
  <w:abstractNum w:abstractNumId="351">
    <w:multiLevelType w:val="hybridMultilevel"/>
    <w:lvl w:ilvl="0">
      <w:start w:val="1"/>
      <w:numFmt w:val="upperLetter"/>
      <w:lvlText w:val="(%1)"/>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455"/>
      </w:pPr>
      <w:rPr>
        <w:rFonts w:hint="default"/>
        <w:lang w:val="en-US" w:eastAsia="en-US" w:bidi="ar-SA"/>
      </w:rPr>
    </w:lvl>
    <w:lvl w:ilvl="2">
      <w:start w:val="0"/>
      <w:numFmt w:val="bullet"/>
      <w:lvlText w:val="•"/>
      <w:lvlJc w:val="left"/>
      <w:pPr>
        <w:ind w:left="3064" w:hanging="455"/>
      </w:pPr>
      <w:rPr>
        <w:rFonts w:hint="default"/>
        <w:lang w:val="en-US" w:eastAsia="en-US" w:bidi="ar-SA"/>
      </w:rPr>
    </w:lvl>
    <w:lvl w:ilvl="3">
      <w:start w:val="0"/>
      <w:numFmt w:val="bullet"/>
      <w:lvlText w:val="•"/>
      <w:lvlJc w:val="left"/>
      <w:pPr>
        <w:ind w:left="3986" w:hanging="455"/>
      </w:pPr>
      <w:rPr>
        <w:rFonts w:hint="default"/>
        <w:lang w:val="en-US" w:eastAsia="en-US" w:bidi="ar-SA"/>
      </w:rPr>
    </w:lvl>
    <w:lvl w:ilvl="4">
      <w:start w:val="0"/>
      <w:numFmt w:val="bullet"/>
      <w:lvlText w:val="•"/>
      <w:lvlJc w:val="left"/>
      <w:pPr>
        <w:ind w:left="4908" w:hanging="455"/>
      </w:pPr>
      <w:rPr>
        <w:rFonts w:hint="default"/>
        <w:lang w:val="en-US" w:eastAsia="en-US" w:bidi="ar-SA"/>
      </w:rPr>
    </w:lvl>
    <w:lvl w:ilvl="5">
      <w:start w:val="0"/>
      <w:numFmt w:val="bullet"/>
      <w:lvlText w:val="•"/>
      <w:lvlJc w:val="left"/>
      <w:pPr>
        <w:ind w:left="5830" w:hanging="455"/>
      </w:pPr>
      <w:rPr>
        <w:rFonts w:hint="default"/>
        <w:lang w:val="en-US" w:eastAsia="en-US" w:bidi="ar-SA"/>
      </w:rPr>
    </w:lvl>
    <w:lvl w:ilvl="6">
      <w:start w:val="0"/>
      <w:numFmt w:val="bullet"/>
      <w:lvlText w:val="•"/>
      <w:lvlJc w:val="left"/>
      <w:pPr>
        <w:ind w:left="6752" w:hanging="455"/>
      </w:pPr>
      <w:rPr>
        <w:rFonts w:hint="default"/>
        <w:lang w:val="en-US" w:eastAsia="en-US" w:bidi="ar-SA"/>
      </w:rPr>
    </w:lvl>
    <w:lvl w:ilvl="7">
      <w:start w:val="0"/>
      <w:numFmt w:val="bullet"/>
      <w:lvlText w:val="•"/>
      <w:lvlJc w:val="left"/>
      <w:pPr>
        <w:ind w:left="7674" w:hanging="455"/>
      </w:pPr>
      <w:rPr>
        <w:rFonts w:hint="default"/>
        <w:lang w:val="en-US" w:eastAsia="en-US" w:bidi="ar-SA"/>
      </w:rPr>
    </w:lvl>
    <w:lvl w:ilvl="8">
      <w:start w:val="0"/>
      <w:numFmt w:val="bullet"/>
      <w:lvlText w:val="•"/>
      <w:lvlJc w:val="left"/>
      <w:pPr>
        <w:ind w:left="8596" w:hanging="455"/>
      </w:pPr>
      <w:rPr>
        <w:rFonts w:hint="default"/>
        <w:lang w:val="en-US" w:eastAsia="en-US" w:bidi="ar-SA"/>
      </w:rPr>
    </w:lvl>
  </w:abstractNum>
  <w:abstractNum w:abstractNumId="350">
    <w:multiLevelType w:val="hybridMultilevel"/>
    <w:lvl w:ilvl="0">
      <w:start w:val="1"/>
      <w:numFmt w:val="upperLetter"/>
      <w:lvlText w:val="(%1)"/>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1">
      <w:start w:val="1"/>
      <w:numFmt w:val="lowerRoman"/>
      <w:lvlText w:val="(%2)"/>
      <w:lvlJc w:val="left"/>
      <w:pPr>
        <w:ind w:left="2004" w:hanging="34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937" w:hanging="348"/>
      </w:pPr>
      <w:rPr>
        <w:rFonts w:hint="default"/>
        <w:lang w:val="en-US" w:eastAsia="en-US" w:bidi="ar-SA"/>
      </w:rPr>
    </w:lvl>
    <w:lvl w:ilvl="3">
      <w:start w:val="0"/>
      <w:numFmt w:val="bullet"/>
      <w:lvlText w:val="•"/>
      <w:lvlJc w:val="left"/>
      <w:pPr>
        <w:ind w:left="3875" w:hanging="348"/>
      </w:pPr>
      <w:rPr>
        <w:rFonts w:hint="default"/>
        <w:lang w:val="en-US" w:eastAsia="en-US" w:bidi="ar-SA"/>
      </w:rPr>
    </w:lvl>
    <w:lvl w:ilvl="4">
      <w:start w:val="0"/>
      <w:numFmt w:val="bullet"/>
      <w:lvlText w:val="•"/>
      <w:lvlJc w:val="left"/>
      <w:pPr>
        <w:ind w:left="4813" w:hanging="348"/>
      </w:pPr>
      <w:rPr>
        <w:rFonts w:hint="default"/>
        <w:lang w:val="en-US" w:eastAsia="en-US" w:bidi="ar-SA"/>
      </w:rPr>
    </w:lvl>
    <w:lvl w:ilvl="5">
      <w:start w:val="0"/>
      <w:numFmt w:val="bullet"/>
      <w:lvlText w:val="•"/>
      <w:lvlJc w:val="left"/>
      <w:pPr>
        <w:ind w:left="5751" w:hanging="348"/>
      </w:pPr>
      <w:rPr>
        <w:rFonts w:hint="default"/>
        <w:lang w:val="en-US" w:eastAsia="en-US" w:bidi="ar-SA"/>
      </w:rPr>
    </w:lvl>
    <w:lvl w:ilvl="6">
      <w:start w:val="0"/>
      <w:numFmt w:val="bullet"/>
      <w:lvlText w:val="•"/>
      <w:lvlJc w:val="left"/>
      <w:pPr>
        <w:ind w:left="6688" w:hanging="348"/>
      </w:pPr>
      <w:rPr>
        <w:rFonts w:hint="default"/>
        <w:lang w:val="en-US" w:eastAsia="en-US" w:bidi="ar-SA"/>
      </w:rPr>
    </w:lvl>
    <w:lvl w:ilvl="7">
      <w:start w:val="0"/>
      <w:numFmt w:val="bullet"/>
      <w:lvlText w:val="•"/>
      <w:lvlJc w:val="left"/>
      <w:pPr>
        <w:ind w:left="7626" w:hanging="348"/>
      </w:pPr>
      <w:rPr>
        <w:rFonts w:hint="default"/>
        <w:lang w:val="en-US" w:eastAsia="en-US" w:bidi="ar-SA"/>
      </w:rPr>
    </w:lvl>
    <w:lvl w:ilvl="8">
      <w:start w:val="0"/>
      <w:numFmt w:val="bullet"/>
      <w:lvlText w:val="•"/>
      <w:lvlJc w:val="left"/>
      <w:pPr>
        <w:ind w:left="8564" w:hanging="348"/>
      </w:pPr>
      <w:rPr>
        <w:rFonts w:hint="default"/>
        <w:lang w:val="en-US" w:eastAsia="en-US" w:bidi="ar-SA"/>
      </w:rPr>
    </w:lvl>
  </w:abstractNum>
  <w:abstractNum w:abstractNumId="349">
    <w:multiLevelType w:val="hybridMultilevel"/>
    <w:lvl w:ilvl="0">
      <w:start w:val="1"/>
      <w:numFmt w:val="lowerLetter"/>
      <w:lvlText w:val="(%1)"/>
      <w:lvlJc w:val="left"/>
      <w:pPr>
        <w:ind w:left="360" w:hanging="429"/>
        <w:jc w:val="righ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9"/>
      </w:pPr>
      <w:rPr>
        <w:rFonts w:hint="default"/>
        <w:lang w:val="en-US" w:eastAsia="en-US" w:bidi="ar-SA"/>
      </w:rPr>
    </w:lvl>
    <w:lvl w:ilvl="3">
      <w:start w:val="0"/>
      <w:numFmt w:val="bullet"/>
      <w:lvlText w:val="•"/>
      <w:lvlJc w:val="left"/>
      <w:pPr>
        <w:ind w:left="3268" w:hanging="429"/>
      </w:pPr>
      <w:rPr>
        <w:rFonts w:hint="default"/>
        <w:lang w:val="en-US" w:eastAsia="en-US" w:bidi="ar-SA"/>
      </w:rPr>
    </w:lvl>
    <w:lvl w:ilvl="4">
      <w:start w:val="0"/>
      <w:numFmt w:val="bullet"/>
      <w:lvlText w:val="•"/>
      <w:lvlJc w:val="left"/>
      <w:pPr>
        <w:ind w:left="4293" w:hanging="429"/>
      </w:pPr>
      <w:rPr>
        <w:rFonts w:hint="default"/>
        <w:lang w:val="en-US" w:eastAsia="en-US" w:bidi="ar-SA"/>
      </w:rPr>
    </w:lvl>
    <w:lvl w:ilvl="5">
      <w:start w:val="0"/>
      <w:numFmt w:val="bullet"/>
      <w:lvlText w:val="•"/>
      <w:lvlJc w:val="left"/>
      <w:pPr>
        <w:ind w:left="5317" w:hanging="429"/>
      </w:pPr>
      <w:rPr>
        <w:rFonts w:hint="default"/>
        <w:lang w:val="en-US" w:eastAsia="en-US" w:bidi="ar-SA"/>
      </w:rPr>
    </w:lvl>
    <w:lvl w:ilvl="6">
      <w:start w:val="0"/>
      <w:numFmt w:val="bullet"/>
      <w:lvlText w:val="•"/>
      <w:lvlJc w:val="left"/>
      <w:pPr>
        <w:ind w:left="6342" w:hanging="429"/>
      </w:pPr>
      <w:rPr>
        <w:rFonts w:hint="default"/>
        <w:lang w:val="en-US" w:eastAsia="en-US" w:bidi="ar-SA"/>
      </w:rPr>
    </w:lvl>
    <w:lvl w:ilvl="7">
      <w:start w:val="0"/>
      <w:numFmt w:val="bullet"/>
      <w:lvlText w:val="•"/>
      <w:lvlJc w:val="left"/>
      <w:pPr>
        <w:ind w:left="7366" w:hanging="429"/>
      </w:pPr>
      <w:rPr>
        <w:rFonts w:hint="default"/>
        <w:lang w:val="en-US" w:eastAsia="en-US" w:bidi="ar-SA"/>
      </w:rPr>
    </w:lvl>
    <w:lvl w:ilvl="8">
      <w:start w:val="0"/>
      <w:numFmt w:val="bullet"/>
      <w:lvlText w:val="•"/>
      <w:lvlJc w:val="left"/>
      <w:pPr>
        <w:ind w:left="8391" w:hanging="429"/>
      </w:pPr>
      <w:rPr>
        <w:rFonts w:hint="default"/>
        <w:lang w:val="en-US" w:eastAsia="en-US" w:bidi="ar-SA"/>
      </w:rPr>
    </w:lvl>
  </w:abstractNum>
  <w:abstractNum w:abstractNumId="348">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19" w:hanging="428"/>
        <w:jc w:val="left"/>
      </w:pPr>
      <w:rPr>
        <w:rFonts w:hint="default" w:ascii="Arial" w:hAnsi="Arial" w:eastAsia="Arial" w:cs="Arial"/>
        <w:b w:val="0"/>
        <w:bCs w:val="0"/>
        <w:i w:val="0"/>
        <w:iCs w:val="0"/>
        <w:spacing w:val="-1"/>
        <w:w w:val="100"/>
        <w:sz w:val="24"/>
        <w:szCs w:val="24"/>
        <w:lang w:val="en-US" w:eastAsia="en-US" w:bidi="ar-SA"/>
      </w:rPr>
    </w:lvl>
    <w:lvl w:ilvl="2">
      <w:start w:val="1"/>
      <w:numFmt w:val="decimal"/>
      <w:lvlText w:val="(%3)"/>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3268" w:hanging="429"/>
      </w:pPr>
      <w:rPr>
        <w:rFonts w:hint="default"/>
        <w:lang w:val="en-US" w:eastAsia="en-US" w:bidi="ar-SA"/>
      </w:rPr>
    </w:lvl>
    <w:lvl w:ilvl="4">
      <w:start w:val="0"/>
      <w:numFmt w:val="bullet"/>
      <w:lvlText w:val="•"/>
      <w:lvlJc w:val="left"/>
      <w:pPr>
        <w:ind w:left="4293" w:hanging="429"/>
      </w:pPr>
      <w:rPr>
        <w:rFonts w:hint="default"/>
        <w:lang w:val="en-US" w:eastAsia="en-US" w:bidi="ar-SA"/>
      </w:rPr>
    </w:lvl>
    <w:lvl w:ilvl="5">
      <w:start w:val="0"/>
      <w:numFmt w:val="bullet"/>
      <w:lvlText w:val="•"/>
      <w:lvlJc w:val="left"/>
      <w:pPr>
        <w:ind w:left="5317" w:hanging="429"/>
      </w:pPr>
      <w:rPr>
        <w:rFonts w:hint="default"/>
        <w:lang w:val="en-US" w:eastAsia="en-US" w:bidi="ar-SA"/>
      </w:rPr>
    </w:lvl>
    <w:lvl w:ilvl="6">
      <w:start w:val="0"/>
      <w:numFmt w:val="bullet"/>
      <w:lvlText w:val="•"/>
      <w:lvlJc w:val="left"/>
      <w:pPr>
        <w:ind w:left="6342" w:hanging="429"/>
      </w:pPr>
      <w:rPr>
        <w:rFonts w:hint="default"/>
        <w:lang w:val="en-US" w:eastAsia="en-US" w:bidi="ar-SA"/>
      </w:rPr>
    </w:lvl>
    <w:lvl w:ilvl="7">
      <w:start w:val="0"/>
      <w:numFmt w:val="bullet"/>
      <w:lvlText w:val="•"/>
      <w:lvlJc w:val="left"/>
      <w:pPr>
        <w:ind w:left="7366" w:hanging="429"/>
      </w:pPr>
      <w:rPr>
        <w:rFonts w:hint="default"/>
        <w:lang w:val="en-US" w:eastAsia="en-US" w:bidi="ar-SA"/>
      </w:rPr>
    </w:lvl>
    <w:lvl w:ilvl="8">
      <w:start w:val="0"/>
      <w:numFmt w:val="bullet"/>
      <w:lvlText w:val="•"/>
      <w:lvlJc w:val="left"/>
      <w:pPr>
        <w:ind w:left="8391" w:hanging="429"/>
      </w:pPr>
      <w:rPr>
        <w:rFonts w:hint="default"/>
        <w:lang w:val="en-US" w:eastAsia="en-US" w:bidi="ar-SA"/>
      </w:rPr>
    </w:lvl>
  </w:abstractNum>
  <w:abstractNum w:abstractNumId="347">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346">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9"/>
      </w:pPr>
      <w:rPr>
        <w:rFonts w:hint="default"/>
        <w:lang w:val="en-US" w:eastAsia="en-US" w:bidi="ar-SA"/>
      </w:rPr>
    </w:lvl>
    <w:lvl w:ilvl="3">
      <w:start w:val="0"/>
      <w:numFmt w:val="bullet"/>
      <w:lvlText w:val="•"/>
      <w:lvlJc w:val="left"/>
      <w:pPr>
        <w:ind w:left="3268" w:hanging="429"/>
      </w:pPr>
      <w:rPr>
        <w:rFonts w:hint="default"/>
        <w:lang w:val="en-US" w:eastAsia="en-US" w:bidi="ar-SA"/>
      </w:rPr>
    </w:lvl>
    <w:lvl w:ilvl="4">
      <w:start w:val="0"/>
      <w:numFmt w:val="bullet"/>
      <w:lvlText w:val="•"/>
      <w:lvlJc w:val="left"/>
      <w:pPr>
        <w:ind w:left="4293" w:hanging="429"/>
      </w:pPr>
      <w:rPr>
        <w:rFonts w:hint="default"/>
        <w:lang w:val="en-US" w:eastAsia="en-US" w:bidi="ar-SA"/>
      </w:rPr>
    </w:lvl>
    <w:lvl w:ilvl="5">
      <w:start w:val="0"/>
      <w:numFmt w:val="bullet"/>
      <w:lvlText w:val="•"/>
      <w:lvlJc w:val="left"/>
      <w:pPr>
        <w:ind w:left="5317" w:hanging="429"/>
      </w:pPr>
      <w:rPr>
        <w:rFonts w:hint="default"/>
        <w:lang w:val="en-US" w:eastAsia="en-US" w:bidi="ar-SA"/>
      </w:rPr>
    </w:lvl>
    <w:lvl w:ilvl="6">
      <w:start w:val="0"/>
      <w:numFmt w:val="bullet"/>
      <w:lvlText w:val="•"/>
      <w:lvlJc w:val="left"/>
      <w:pPr>
        <w:ind w:left="6342" w:hanging="429"/>
      </w:pPr>
      <w:rPr>
        <w:rFonts w:hint="default"/>
        <w:lang w:val="en-US" w:eastAsia="en-US" w:bidi="ar-SA"/>
      </w:rPr>
    </w:lvl>
    <w:lvl w:ilvl="7">
      <w:start w:val="0"/>
      <w:numFmt w:val="bullet"/>
      <w:lvlText w:val="•"/>
      <w:lvlJc w:val="left"/>
      <w:pPr>
        <w:ind w:left="7366" w:hanging="429"/>
      </w:pPr>
      <w:rPr>
        <w:rFonts w:hint="default"/>
        <w:lang w:val="en-US" w:eastAsia="en-US" w:bidi="ar-SA"/>
      </w:rPr>
    </w:lvl>
    <w:lvl w:ilvl="8">
      <w:start w:val="0"/>
      <w:numFmt w:val="bullet"/>
      <w:lvlText w:val="•"/>
      <w:lvlJc w:val="left"/>
      <w:pPr>
        <w:ind w:left="8391" w:hanging="429"/>
      </w:pPr>
      <w:rPr>
        <w:rFonts w:hint="default"/>
        <w:lang w:val="en-US" w:eastAsia="en-US" w:bidi="ar-SA"/>
      </w:rPr>
    </w:lvl>
  </w:abstractNum>
  <w:abstractNum w:abstractNumId="345">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2372" w:hanging="455"/>
      </w:pPr>
      <w:rPr>
        <w:rFonts w:hint="default"/>
        <w:lang w:val="en-US" w:eastAsia="en-US" w:bidi="ar-SA"/>
      </w:rPr>
    </w:lvl>
    <w:lvl w:ilvl="4">
      <w:start w:val="0"/>
      <w:numFmt w:val="bullet"/>
      <w:lvlText w:val="•"/>
      <w:lvlJc w:val="left"/>
      <w:pPr>
        <w:ind w:left="3525" w:hanging="455"/>
      </w:pPr>
      <w:rPr>
        <w:rFonts w:hint="default"/>
        <w:lang w:val="en-US" w:eastAsia="en-US" w:bidi="ar-SA"/>
      </w:rPr>
    </w:lvl>
    <w:lvl w:ilvl="5">
      <w:start w:val="0"/>
      <w:numFmt w:val="bullet"/>
      <w:lvlText w:val="•"/>
      <w:lvlJc w:val="left"/>
      <w:pPr>
        <w:ind w:left="4677" w:hanging="455"/>
      </w:pPr>
      <w:rPr>
        <w:rFonts w:hint="default"/>
        <w:lang w:val="en-US" w:eastAsia="en-US" w:bidi="ar-SA"/>
      </w:rPr>
    </w:lvl>
    <w:lvl w:ilvl="6">
      <w:start w:val="0"/>
      <w:numFmt w:val="bullet"/>
      <w:lvlText w:val="•"/>
      <w:lvlJc w:val="left"/>
      <w:pPr>
        <w:ind w:left="5830" w:hanging="455"/>
      </w:pPr>
      <w:rPr>
        <w:rFonts w:hint="default"/>
        <w:lang w:val="en-US" w:eastAsia="en-US" w:bidi="ar-SA"/>
      </w:rPr>
    </w:lvl>
    <w:lvl w:ilvl="7">
      <w:start w:val="0"/>
      <w:numFmt w:val="bullet"/>
      <w:lvlText w:val="•"/>
      <w:lvlJc w:val="left"/>
      <w:pPr>
        <w:ind w:left="6982" w:hanging="455"/>
      </w:pPr>
      <w:rPr>
        <w:rFonts w:hint="default"/>
        <w:lang w:val="en-US" w:eastAsia="en-US" w:bidi="ar-SA"/>
      </w:rPr>
    </w:lvl>
    <w:lvl w:ilvl="8">
      <w:start w:val="0"/>
      <w:numFmt w:val="bullet"/>
      <w:lvlText w:val="•"/>
      <w:lvlJc w:val="left"/>
      <w:pPr>
        <w:ind w:left="8135" w:hanging="455"/>
      </w:pPr>
      <w:rPr>
        <w:rFonts w:hint="default"/>
        <w:lang w:val="en-US" w:eastAsia="en-US" w:bidi="ar-SA"/>
      </w:rPr>
    </w:lvl>
  </w:abstractNum>
  <w:abstractNum w:abstractNumId="344">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8"/>
      </w:pPr>
      <w:rPr>
        <w:rFonts w:hint="default"/>
        <w:lang w:val="en-US" w:eastAsia="en-US" w:bidi="ar-SA"/>
      </w:rPr>
    </w:lvl>
    <w:lvl w:ilvl="2">
      <w:start w:val="0"/>
      <w:numFmt w:val="bullet"/>
      <w:lvlText w:val="•"/>
      <w:lvlJc w:val="left"/>
      <w:pPr>
        <w:ind w:left="2376" w:hanging="428"/>
      </w:pPr>
      <w:rPr>
        <w:rFonts w:hint="default"/>
        <w:lang w:val="en-US" w:eastAsia="en-US" w:bidi="ar-SA"/>
      </w:rPr>
    </w:lvl>
    <w:lvl w:ilvl="3">
      <w:start w:val="0"/>
      <w:numFmt w:val="bullet"/>
      <w:lvlText w:val="•"/>
      <w:lvlJc w:val="left"/>
      <w:pPr>
        <w:ind w:left="3384" w:hanging="428"/>
      </w:pPr>
      <w:rPr>
        <w:rFonts w:hint="default"/>
        <w:lang w:val="en-US" w:eastAsia="en-US" w:bidi="ar-SA"/>
      </w:rPr>
    </w:lvl>
    <w:lvl w:ilvl="4">
      <w:start w:val="0"/>
      <w:numFmt w:val="bullet"/>
      <w:lvlText w:val="•"/>
      <w:lvlJc w:val="left"/>
      <w:pPr>
        <w:ind w:left="4392" w:hanging="428"/>
      </w:pPr>
      <w:rPr>
        <w:rFonts w:hint="default"/>
        <w:lang w:val="en-US" w:eastAsia="en-US" w:bidi="ar-SA"/>
      </w:rPr>
    </w:lvl>
    <w:lvl w:ilvl="5">
      <w:start w:val="0"/>
      <w:numFmt w:val="bullet"/>
      <w:lvlText w:val="•"/>
      <w:lvlJc w:val="left"/>
      <w:pPr>
        <w:ind w:left="5400" w:hanging="428"/>
      </w:pPr>
      <w:rPr>
        <w:rFonts w:hint="default"/>
        <w:lang w:val="en-US" w:eastAsia="en-US" w:bidi="ar-SA"/>
      </w:rPr>
    </w:lvl>
    <w:lvl w:ilvl="6">
      <w:start w:val="0"/>
      <w:numFmt w:val="bullet"/>
      <w:lvlText w:val="•"/>
      <w:lvlJc w:val="left"/>
      <w:pPr>
        <w:ind w:left="6408" w:hanging="428"/>
      </w:pPr>
      <w:rPr>
        <w:rFonts w:hint="default"/>
        <w:lang w:val="en-US" w:eastAsia="en-US" w:bidi="ar-SA"/>
      </w:rPr>
    </w:lvl>
    <w:lvl w:ilvl="7">
      <w:start w:val="0"/>
      <w:numFmt w:val="bullet"/>
      <w:lvlText w:val="•"/>
      <w:lvlJc w:val="left"/>
      <w:pPr>
        <w:ind w:left="7416" w:hanging="428"/>
      </w:pPr>
      <w:rPr>
        <w:rFonts w:hint="default"/>
        <w:lang w:val="en-US" w:eastAsia="en-US" w:bidi="ar-SA"/>
      </w:rPr>
    </w:lvl>
    <w:lvl w:ilvl="8">
      <w:start w:val="0"/>
      <w:numFmt w:val="bullet"/>
      <w:lvlText w:val="•"/>
      <w:lvlJc w:val="left"/>
      <w:pPr>
        <w:ind w:left="8424" w:hanging="428"/>
      </w:pPr>
      <w:rPr>
        <w:rFonts w:hint="default"/>
        <w:lang w:val="en-US" w:eastAsia="en-US" w:bidi="ar-SA"/>
      </w:rPr>
    </w:lvl>
  </w:abstractNum>
  <w:abstractNum w:abstractNumId="343">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8"/>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678" w:hanging="455"/>
        <w:jc w:val="left"/>
      </w:pPr>
      <w:rPr>
        <w:rFonts w:hint="default" w:ascii="Arial" w:hAnsi="Arial" w:eastAsia="Arial" w:cs="Arial"/>
        <w:b w:val="0"/>
        <w:bCs w:val="0"/>
        <w:i w:val="0"/>
        <w:iCs w:val="0"/>
        <w:spacing w:val="-1"/>
        <w:w w:val="100"/>
        <w:sz w:val="24"/>
        <w:szCs w:val="24"/>
        <w:lang w:val="en-US" w:eastAsia="en-US" w:bidi="ar-SA"/>
      </w:rPr>
    </w:lvl>
    <w:lvl w:ilvl="3">
      <w:start w:val="1"/>
      <w:numFmt w:val="lowerRoman"/>
      <w:lvlText w:val="(%4)"/>
      <w:lvlJc w:val="left"/>
      <w:pPr>
        <w:ind w:left="1656" w:hanging="348"/>
        <w:jc w:val="left"/>
      </w:pPr>
      <w:rPr>
        <w:rFonts w:hint="default" w:ascii="Arial" w:hAnsi="Arial" w:eastAsia="Arial" w:cs="Arial"/>
        <w:b w:val="0"/>
        <w:bCs w:val="0"/>
        <w:i w:val="0"/>
        <w:iCs w:val="0"/>
        <w:spacing w:val="-1"/>
        <w:w w:val="100"/>
        <w:sz w:val="24"/>
        <w:szCs w:val="24"/>
        <w:lang w:val="en-US" w:eastAsia="en-US" w:bidi="ar-SA"/>
      </w:rPr>
    </w:lvl>
    <w:lvl w:ilvl="4">
      <w:start w:val="0"/>
      <w:numFmt w:val="bullet"/>
      <w:lvlText w:val="•"/>
      <w:lvlJc w:val="left"/>
      <w:pPr>
        <w:ind w:left="1680" w:hanging="348"/>
      </w:pPr>
      <w:rPr>
        <w:rFonts w:hint="default"/>
        <w:lang w:val="en-US" w:eastAsia="en-US" w:bidi="ar-SA"/>
      </w:rPr>
    </w:lvl>
    <w:lvl w:ilvl="5">
      <w:start w:val="0"/>
      <w:numFmt w:val="bullet"/>
      <w:lvlText w:val="•"/>
      <w:lvlJc w:val="left"/>
      <w:pPr>
        <w:ind w:left="3140" w:hanging="348"/>
      </w:pPr>
      <w:rPr>
        <w:rFonts w:hint="default"/>
        <w:lang w:val="en-US" w:eastAsia="en-US" w:bidi="ar-SA"/>
      </w:rPr>
    </w:lvl>
    <w:lvl w:ilvl="6">
      <w:start w:val="0"/>
      <w:numFmt w:val="bullet"/>
      <w:lvlText w:val="•"/>
      <w:lvlJc w:val="left"/>
      <w:pPr>
        <w:ind w:left="4600" w:hanging="348"/>
      </w:pPr>
      <w:rPr>
        <w:rFonts w:hint="default"/>
        <w:lang w:val="en-US" w:eastAsia="en-US" w:bidi="ar-SA"/>
      </w:rPr>
    </w:lvl>
    <w:lvl w:ilvl="7">
      <w:start w:val="0"/>
      <w:numFmt w:val="bullet"/>
      <w:lvlText w:val="•"/>
      <w:lvlJc w:val="left"/>
      <w:pPr>
        <w:ind w:left="6060" w:hanging="348"/>
      </w:pPr>
      <w:rPr>
        <w:rFonts w:hint="default"/>
        <w:lang w:val="en-US" w:eastAsia="en-US" w:bidi="ar-SA"/>
      </w:rPr>
    </w:lvl>
    <w:lvl w:ilvl="8">
      <w:start w:val="0"/>
      <w:numFmt w:val="bullet"/>
      <w:lvlText w:val="•"/>
      <w:lvlJc w:val="left"/>
      <w:pPr>
        <w:ind w:left="7520" w:hanging="348"/>
      </w:pPr>
      <w:rPr>
        <w:rFonts w:hint="default"/>
        <w:lang w:val="en-US" w:eastAsia="en-US" w:bidi="ar-SA"/>
      </w:rPr>
    </w:lvl>
  </w:abstractNum>
  <w:abstractNum w:abstractNumId="342">
    <w:multiLevelType w:val="hybridMultilevel"/>
    <w:lvl w:ilvl="0">
      <w:start w:val="1"/>
      <w:numFmt w:val="decimal"/>
      <w:lvlText w:val="(%1)"/>
      <w:lvlJc w:val="left"/>
      <w:pPr>
        <w:ind w:left="1219"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upperLetter"/>
      <w:lvlText w:val="(%2)"/>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2">
      <w:start w:val="1"/>
      <w:numFmt w:val="lowerRoman"/>
      <w:lvlText w:val="(%3)"/>
      <w:lvlJc w:val="left"/>
      <w:pPr>
        <w:ind w:left="1656" w:hanging="347"/>
        <w:jc w:val="left"/>
      </w:pPr>
      <w:rPr>
        <w:rFonts w:hint="default" w:ascii="Arial" w:hAnsi="Arial" w:eastAsia="Arial" w:cs="Arial"/>
        <w:b w:val="0"/>
        <w:bCs w:val="0"/>
        <w:i w:val="0"/>
        <w:iCs w:val="0"/>
        <w:spacing w:val="-1"/>
        <w:w w:val="100"/>
        <w:sz w:val="24"/>
        <w:szCs w:val="24"/>
        <w:lang w:val="en-US" w:eastAsia="en-US" w:bidi="ar-SA"/>
      </w:rPr>
    </w:lvl>
    <w:lvl w:ilvl="3">
      <w:start w:val="1"/>
      <w:numFmt w:val="upperRoman"/>
      <w:lvlText w:val="(%4)"/>
      <w:lvlJc w:val="left"/>
      <w:pPr>
        <w:ind w:left="2088" w:hanging="362"/>
        <w:jc w:val="left"/>
      </w:pPr>
      <w:rPr>
        <w:rFonts w:hint="default" w:ascii="Arial" w:hAnsi="Arial" w:eastAsia="Arial" w:cs="Arial"/>
        <w:b w:val="0"/>
        <w:bCs w:val="0"/>
        <w:i w:val="0"/>
        <w:iCs w:val="0"/>
        <w:spacing w:val="0"/>
        <w:w w:val="100"/>
        <w:sz w:val="24"/>
        <w:szCs w:val="24"/>
        <w:lang w:val="en-US" w:eastAsia="en-US" w:bidi="ar-SA"/>
      </w:rPr>
    </w:lvl>
    <w:lvl w:ilvl="4">
      <w:start w:val="0"/>
      <w:numFmt w:val="bullet"/>
      <w:lvlText w:val="•"/>
      <w:lvlJc w:val="left"/>
      <w:pPr>
        <w:ind w:left="4170" w:hanging="362"/>
      </w:pPr>
      <w:rPr>
        <w:rFonts w:hint="default"/>
        <w:lang w:val="en-US" w:eastAsia="en-US" w:bidi="ar-SA"/>
      </w:rPr>
    </w:lvl>
    <w:lvl w:ilvl="5">
      <w:start w:val="0"/>
      <w:numFmt w:val="bullet"/>
      <w:lvlText w:val="•"/>
      <w:lvlJc w:val="left"/>
      <w:pPr>
        <w:ind w:left="5215" w:hanging="362"/>
      </w:pPr>
      <w:rPr>
        <w:rFonts w:hint="default"/>
        <w:lang w:val="en-US" w:eastAsia="en-US" w:bidi="ar-SA"/>
      </w:rPr>
    </w:lvl>
    <w:lvl w:ilvl="6">
      <w:start w:val="0"/>
      <w:numFmt w:val="bullet"/>
      <w:lvlText w:val="•"/>
      <w:lvlJc w:val="left"/>
      <w:pPr>
        <w:ind w:left="6260" w:hanging="362"/>
      </w:pPr>
      <w:rPr>
        <w:rFonts w:hint="default"/>
        <w:lang w:val="en-US" w:eastAsia="en-US" w:bidi="ar-SA"/>
      </w:rPr>
    </w:lvl>
    <w:lvl w:ilvl="7">
      <w:start w:val="0"/>
      <w:numFmt w:val="bullet"/>
      <w:lvlText w:val="•"/>
      <w:lvlJc w:val="left"/>
      <w:pPr>
        <w:ind w:left="7305" w:hanging="362"/>
      </w:pPr>
      <w:rPr>
        <w:rFonts w:hint="default"/>
        <w:lang w:val="en-US" w:eastAsia="en-US" w:bidi="ar-SA"/>
      </w:rPr>
    </w:lvl>
    <w:lvl w:ilvl="8">
      <w:start w:val="0"/>
      <w:numFmt w:val="bullet"/>
      <w:lvlText w:val="•"/>
      <w:lvlJc w:val="left"/>
      <w:pPr>
        <w:ind w:left="8350" w:hanging="362"/>
      </w:pPr>
      <w:rPr>
        <w:rFonts w:hint="default"/>
        <w:lang w:val="en-US" w:eastAsia="en-US" w:bidi="ar-SA"/>
      </w:rPr>
    </w:lvl>
  </w:abstractNum>
  <w:abstractNum w:abstractNumId="341">
    <w:multiLevelType w:val="hybridMultilevel"/>
    <w:lvl w:ilvl="0">
      <w:start w:val="1"/>
      <w:numFmt w:val="decimal"/>
      <w:lvlText w:val="(%1)"/>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upperLetter"/>
      <w:lvlText w:val="(%2)"/>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2">
      <w:start w:val="1"/>
      <w:numFmt w:val="lowerRoman"/>
      <w:lvlText w:val="(%3)"/>
      <w:lvlJc w:val="left"/>
      <w:pPr>
        <w:ind w:left="1656" w:hanging="348"/>
        <w:jc w:val="left"/>
      </w:pPr>
      <w:rPr>
        <w:rFonts w:hint="default" w:ascii="Arial" w:hAnsi="Arial" w:eastAsia="Arial" w:cs="Arial"/>
        <w:b w:val="0"/>
        <w:bCs w:val="0"/>
        <w:i w:val="0"/>
        <w:iCs w:val="0"/>
        <w:spacing w:val="-1"/>
        <w:w w:val="100"/>
        <w:sz w:val="24"/>
        <w:szCs w:val="24"/>
        <w:lang w:val="en-US" w:eastAsia="en-US" w:bidi="ar-SA"/>
      </w:rPr>
    </w:lvl>
    <w:lvl w:ilvl="3">
      <w:start w:val="1"/>
      <w:numFmt w:val="upperRoman"/>
      <w:lvlText w:val="(%4)"/>
      <w:lvlJc w:val="left"/>
      <w:pPr>
        <w:ind w:left="2449" w:hanging="362"/>
        <w:jc w:val="left"/>
      </w:pPr>
      <w:rPr>
        <w:rFonts w:hint="default" w:ascii="Arial" w:hAnsi="Arial" w:eastAsia="Arial" w:cs="Arial"/>
        <w:b w:val="0"/>
        <w:bCs w:val="0"/>
        <w:i w:val="0"/>
        <w:iCs w:val="0"/>
        <w:spacing w:val="0"/>
        <w:w w:val="100"/>
        <w:sz w:val="24"/>
        <w:szCs w:val="24"/>
        <w:lang w:val="en-US" w:eastAsia="en-US" w:bidi="ar-SA"/>
      </w:rPr>
    </w:lvl>
    <w:lvl w:ilvl="4">
      <w:start w:val="0"/>
      <w:numFmt w:val="bullet"/>
      <w:lvlText w:val="•"/>
      <w:lvlJc w:val="left"/>
      <w:pPr>
        <w:ind w:left="3582" w:hanging="362"/>
      </w:pPr>
      <w:rPr>
        <w:rFonts w:hint="default"/>
        <w:lang w:val="en-US" w:eastAsia="en-US" w:bidi="ar-SA"/>
      </w:rPr>
    </w:lvl>
    <w:lvl w:ilvl="5">
      <w:start w:val="0"/>
      <w:numFmt w:val="bullet"/>
      <w:lvlText w:val="•"/>
      <w:lvlJc w:val="left"/>
      <w:pPr>
        <w:ind w:left="4725" w:hanging="362"/>
      </w:pPr>
      <w:rPr>
        <w:rFonts w:hint="default"/>
        <w:lang w:val="en-US" w:eastAsia="en-US" w:bidi="ar-SA"/>
      </w:rPr>
    </w:lvl>
    <w:lvl w:ilvl="6">
      <w:start w:val="0"/>
      <w:numFmt w:val="bullet"/>
      <w:lvlText w:val="•"/>
      <w:lvlJc w:val="left"/>
      <w:pPr>
        <w:ind w:left="5868" w:hanging="362"/>
      </w:pPr>
      <w:rPr>
        <w:rFonts w:hint="default"/>
        <w:lang w:val="en-US" w:eastAsia="en-US" w:bidi="ar-SA"/>
      </w:rPr>
    </w:lvl>
    <w:lvl w:ilvl="7">
      <w:start w:val="0"/>
      <w:numFmt w:val="bullet"/>
      <w:lvlText w:val="•"/>
      <w:lvlJc w:val="left"/>
      <w:pPr>
        <w:ind w:left="7011" w:hanging="362"/>
      </w:pPr>
      <w:rPr>
        <w:rFonts w:hint="default"/>
        <w:lang w:val="en-US" w:eastAsia="en-US" w:bidi="ar-SA"/>
      </w:rPr>
    </w:lvl>
    <w:lvl w:ilvl="8">
      <w:start w:val="0"/>
      <w:numFmt w:val="bullet"/>
      <w:lvlText w:val="•"/>
      <w:lvlJc w:val="left"/>
      <w:pPr>
        <w:ind w:left="8154" w:hanging="362"/>
      </w:pPr>
      <w:rPr>
        <w:rFonts w:hint="default"/>
        <w:lang w:val="en-US" w:eastAsia="en-US" w:bidi="ar-SA"/>
      </w:rPr>
    </w:lvl>
  </w:abstractNum>
  <w:abstractNum w:abstractNumId="340">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2372" w:hanging="455"/>
      </w:pPr>
      <w:rPr>
        <w:rFonts w:hint="default"/>
        <w:lang w:val="en-US" w:eastAsia="en-US" w:bidi="ar-SA"/>
      </w:rPr>
    </w:lvl>
    <w:lvl w:ilvl="4">
      <w:start w:val="0"/>
      <w:numFmt w:val="bullet"/>
      <w:lvlText w:val="•"/>
      <w:lvlJc w:val="left"/>
      <w:pPr>
        <w:ind w:left="3525" w:hanging="455"/>
      </w:pPr>
      <w:rPr>
        <w:rFonts w:hint="default"/>
        <w:lang w:val="en-US" w:eastAsia="en-US" w:bidi="ar-SA"/>
      </w:rPr>
    </w:lvl>
    <w:lvl w:ilvl="5">
      <w:start w:val="0"/>
      <w:numFmt w:val="bullet"/>
      <w:lvlText w:val="•"/>
      <w:lvlJc w:val="left"/>
      <w:pPr>
        <w:ind w:left="4677" w:hanging="455"/>
      </w:pPr>
      <w:rPr>
        <w:rFonts w:hint="default"/>
        <w:lang w:val="en-US" w:eastAsia="en-US" w:bidi="ar-SA"/>
      </w:rPr>
    </w:lvl>
    <w:lvl w:ilvl="6">
      <w:start w:val="0"/>
      <w:numFmt w:val="bullet"/>
      <w:lvlText w:val="•"/>
      <w:lvlJc w:val="left"/>
      <w:pPr>
        <w:ind w:left="5830" w:hanging="455"/>
      </w:pPr>
      <w:rPr>
        <w:rFonts w:hint="default"/>
        <w:lang w:val="en-US" w:eastAsia="en-US" w:bidi="ar-SA"/>
      </w:rPr>
    </w:lvl>
    <w:lvl w:ilvl="7">
      <w:start w:val="0"/>
      <w:numFmt w:val="bullet"/>
      <w:lvlText w:val="•"/>
      <w:lvlJc w:val="left"/>
      <w:pPr>
        <w:ind w:left="6982" w:hanging="455"/>
      </w:pPr>
      <w:rPr>
        <w:rFonts w:hint="default"/>
        <w:lang w:val="en-US" w:eastAsia="en-US" w:bidi="ar-SA"/>
      </w:rPr>
    </w:lvl>
    <w:lvl w:ilvl="8">
      <w:start w:val="0"/>
      <w:numFmt w:val="bullet"/>
      <w:lvlText w:val="•"/>
      <w:lvlJc w:val="left"/>
      <w:pPr>
        <w:ind w:left="8135" w:hanging="455"/>
      </w:pPr>
      <w:rPr>
        <w:rFonts w:hint="default"/>
        <w:lang w:val="en-US" w:eastAsia="en-US" w:bidi="ar-SA"/>
      </w:rPr>
    </w:lvl>
  </w:abstractNum>
  <w:abstractNum w:abstractNumId="339">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4"/>
      <w:numFmt w:val="decimalZero"/>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338">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678" w:hanging="455"/>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2775" w:hanging="455"/>
      </w:pPr>
      <w:rPr>
        <w:rFonts w:hint="default"/>
        <w:lang w:val="en-US" w:eastAsia="en-US" w:bidi="ar-SA"/>
      </w:rPr>
    </w:lvl>
    <w:lvl w:ilvl="4">
      <w:start w:val="0"/>
      <w:numFmt w:val="bullet"/>
      <w:lvlText w:val="•"/>
      <w:lvlJc w:val="left"/>
      <w:pPr>
        <w:ind w:left="3870" w:hanging="455"/>
      </w:pPr>
      <w:rPr>
        <w:rFonts w:hint="default"/>
        <w:lang w:val="en-US" w:eastAsia="en-US" w:bidi="ar-SA"/>
      </w:rPr>
    </w:lvl>
    <w:lvl w:ilvl="5">
      <w:start w:val="0"/>
      <w:numFmt w:val="bullet"/>
      <w:lvlText w:val="•"/>
      <w:lvlJc w:val="left"/>
      <w:pPr>
        <w:ind w:left="4965" w:hanging="455"/>
      </w:pPr>
      <w:rPr>
        <w:rFonts w:hint="default"/>
        <w:lang w:val="en-US" w:eastAsia="en-US" w:bidi="ar-SA"/>
      </w:rPr>
    </w:lvl>
    <w:lvl w:ilvl="6">
      <w:start w:val="0"/>
      <w:numFmt w:val="bullet"/>
      <w:lvlText w:val="•"/>
      <w:lvlJc w:val="left"/>
      <w:pPr>
        <w:ind w:left="6060" w:hanging="455"/>
      </w:pPr>
      <w:rPr>
        <w:rFonts w:hint="default"/>
        <w:lang w:val="en-US" w:eastAsia="en-US" w:bidi="ar-SA"/>
      </w:rPr>
    </w:lvl>
    <w:lvl w:ilvl="7">
      <w:start w:val="0"/>
      <w:numFmt w:val="bullet"/>
      <w:lvlText w:val="•"/>
      <w:lvlJc w:val="left"/>
      <w:pPr>
        <w:ind w:left="7155" w:hanging="455"/>
      </w:pPr>
      <w:rPr>
        <w:rFonts w:hint="default"/>
        <w:lang w:val="en-US" w:eastAsia="en-US" w:bidi="ar-SA"/>
      </w:rPr>
    </w:lvl>
    <w:lvl w:ilvl="8">
      <w:start w:val="0"/>
      <w:numFmt w:val="bullet"/>
      <w:lvlText w:val="•"/>
      <w:lvlJc w:val="left"/>
      <w:pPr>
        <w:ind w:left="8250" w:hanging="455"/>
      </w:pPr>
      <w:rPr>
        <w:rFonts w:hint="default"/>
        <w:lang w:val="en-US" w:eastAsia="en-US" w:bidi="ar-SA"/>
      </w:rPr>
    </w:lvl>
  </w:abstractNum>
  <w:abstractNum w:abstractNumId="337">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336">
    <w:multiLevelType w:val="hybridMultilevel"/>
    <w:lvl w:ilvl="0">
      <w:start w:val="1"/>
      <w:numFmt w:val="lowerLetter"/>
      <w:lvlText w:val="(%1)"/>
      <w:lvlJc w:val="left"/>
      <w:pPr>
        <w:ind w:left="788"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8"/>
      </w:pPr>
      <w:rPr>
        <w:rFonts w:hint="default"/>
        <w:lang w:val="en-US" w:eastAsia="en-US" w:bidi="ar-SA"/>
      </w:rPr>
    </w:lvl>
    <w:lvl w:ilvl="3">
      <w:start w:val="0"/>
      <w:numFmt w:val="bullet"/>
      <w:lvlText w:val="•"/>
      <w:lvlJc w:val="left"/>
      <w:pPr>
        <w:ind w:left="2942" w:hanging="428"/>
      </w:pPr>
      <w:rPr>
        <w:rFonts w:hint="default"/>
        <w:lang w:val="en-US" w:eastAsia="en-US" w:bidi="ar-SA"/>
      </w:rPr>
    </w:lvl>
    <w:lvl w:ilvl="4">
      <w:start w:val="0"/>
      <w:numFmt w:val="bullet"/>
      <w:lvlText w:val="•"/>
      <w:lvlJc w:val="left"/>
      <w:pPr>
        <w:ind w:left="4013" w:hanging="428"/>
      </w:pPr>
      <w:rPr>
        <w:rFonts w:hint="default"/>
        <w:lang w:val="en-US" w:eastAsia="en-US" w:bidi="ar-SA"/>
      </w:rPr>
    </w:lvl>
    <w:lvl w:ilvl="5">
      <w:start w:val="0"/>
      <w:numFmt w:val="bullet"/>
      <w:lvlText w:val="•"/>
      <w:lvlJc w:val="left"/>
      <w:pPr>
        <w:ind w:left="5084" w:hanging="428"/>
      </w:pPr>
      <w:rPr>
        <w:rFonts w:hint="default"/>
        <w:lang w:val="en-US" w:eastAsia="en-US" w:bidi="ar-SA"/>
      </w:rPr>
    </w:lvl>
    <w:lvl w:ilvl="6">
      <w:start w:val="0"/>
      <w:numFmt w:val="bullet"/>
      <w:lvlText w:val="•"/>
      <w:lvlJc w:val="left"/>
      <w:pPr>
        <w:ind w:left="6155" w:hanging="428"/>
      </w:pPr>
      <w:rPr>
        <w:rFonts w:hint="default"/>
        <w:lang w:val="en-US" w:eastAsia="en-US" w:bidi="ar-SA"/>
      </w:rPr>
    </w:lvl>
    <w:lvl w:ilvl="7">
      <w:start w:val="0"/>
      <w:numFmt w:val="bullet"/>
      <w:lvlText w:val="•"/>
      <w:lvlJc w:val="left"/>
      <w:pPr>
        <w:ind w:left="7226" w:hanging="428"/>
      </w:pPr>
      <w:rPr>
        <w:rFonts w:hint="default"/>
        <w:lang w:val="en-US" w:eastAsia="en-US" w:bidi="ar-SA"/>
      </w:rPr>
    </w:lvl>
    <w:lvl w:ilvl="8">
      <w:start w:val="0"/>
      <w:numFmt w:val="bullet"/>
      <w:lvlText w:val="•"/>
      <w:lvlJc w:val="left"/>
      <w:pPr>
        <w:ind w:left="8297" w:hanging="428"/>
      </w:pPr>
      <w:rPr>
        <w:rFonts w:hint="default"/>
        <w:lang w:val="en-US" w:eastAsia="en-US" w:bidi="ar-SA"/>
      </w:rPr>
    </w:lvl>
  </w:abstractNum>
  <w:abstractNum w:abstractNumId="335">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220" w:hanging="429"/>
      </w:pPr>
      <w:rPr>
        <w:rFonts w:hint="default"/>
        <w:lang w:val="en-US" w:eastAsia="en-US" w:bidi="ar-SA"/>
      </w:rPr>
    </w:lvl>
    <w:lvl w:ilvl="3">
      <w:start w:val="0"/>
      <w:numFmt w:val="bullet"/>
      <w:lvlText w:val="•"/>
      <w:lvlJc w:val="left"/>
      <w:pPr>
        <w:ind w:left="2372" w:hanging="429"/>
      </w:pPr>
      <w:rPr>
        <w:rFonts w:hint="default"/>
        <w:lang w:val="en-US" w:eastAsia="en-US" w:bidi="ar-SA"/>
      </w:rPr>
    </w:lvl>
    <w:lvl w:ilvl="4">
      <w:start w:val="0"/>
      <w:numFmt w:val="bullet"/>
      <w:lvlText w:val="•"/>
      <w:lvlJc w:val="left"/>
      <w:pPr>
        <w:ind w:left="3525" w:hanging="429"/>
      </w:pPr>
      <w:rPr>
        <w:rFonts w:hint="default"/>
        <w:lang w:val="en-US" w:eastAsia="en-US" w:bidi="ar-SA"/>
      </w:rPr>
    </w:lvl>
    <w:lvl w:ilvl="5">
      <w:start w:val="0"/>
      <w:numFmt w:val="bullet"/>
      <w:lvlText w:val="•"/>
      <w:lvlJc w:val="left"/>
      <w:pPr>
        <w:ind w:left="4677" w:hanging="429"/>
      </w:pPr>
      <w:rPr>
        <w:rFonts w:hint="default"/>
        <w:lang w:val="en-US" w:eastAsia="en-US" w:bidi="ar-SA"/>
      </w:rPr>
    </w:lvl>
    <w:lvl w:ilvl="6">
      <w:start w:val="0"/>
      <w:numFmt w:val="bullet"/>
      <w:lvlText w:val="•"/>
      <w:lvlJc w:val="left"/>
      <w:pPr>
        <w:ind w:left="5830" w:hanging="429"/>
      </w:pPr>
      <w:rPr>
        <w:rFonts w:hint="default"/>
        <w:lang w:val="en-US" w:eastAsia="en-US" w:bidi="ar-SA"/>
      </w:rPr>
    </w:lvl>
    <w:lvl w:ilvl="7">
      <w:start w:val="0"/>
      <w:numFmt w:val="bullet"/>
      <w:lvlText w:val="•"/>
      <w:lvlJc w:val="left"/>
      <w:pPr>
        <w:ind w:left="6982" w:hanging="429"/>
      </w:pPr>
      <w:rPr>
        <w:rFonts w:hint="default"/>
        <w:lang w:val="en-US" w:eastAsia="en-US" w:bidi="ar-SA"/>
      </w:rPr>
    </w:lvl>
    <w:lvl w:ilvl="8">
      <w:start w:val="0"/>
      <w:numFmt w:val="bullet"/>
      <w:lvlText w:val="•"/>
      <w:lvlJc w:val="left"/>
      <w:pPr>
        <w:ind w:left="8135" w:hanging="429"/>
      </w:pPr>
      <w:rPr>
        <w:rFonts w:hint="default"/>
        <w:lang w:val="en-US" w:eastAsia="en-US" w:bidi="ar-SA"/>
      </w:rPr>
    </w:lvl>
  </w:abstractNum>
  <w:abstractNum w:abstractNumId="334">
    <w:multiLevelType w:val="hybridMultilevel"/>
    <w:lvl w:ilvl="0">
      <w:start w:val="1"/>
      <w:numFmt w:val="lowerLetter"/>
      <w:lvlText w:val="(%1)"/>
      <w:lvlJc w:val="left"/>
      <w:pPr>
        <w:ind w:left="788"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8"/>
      </w:pPr>
      <w:rPr>
        <w:rFonts w:hint="default"/>
        <w:lang w:val="en-US" w:eastAsia="en-US" w:bidi="ar-SA"/>
      </w:rPr>
    </w:lvl>
    <w:lvl w:ilvl="3">
      <w:start w:val="0"/>
      <w:numFmt w:val="bullet"/>
      <w:lvlText w:val="•"/>
      <w:lvlJc w:val="left"/>
      <w:pPr>
        <w:ind w:left="2942" w:hanging="428"/>
      </w:pPr>
      <w:rPr>
        <w:rFonts w:hint="default"/>
        <w:lang w:val="en-US" w:eastAsia="en-US" w:bidi="ar-SA"/>
      </w:rPr>
    </w:lvl>
    <w:lvl w:ilvl="4">
      <w:start w:val="0"/>
      <w:numFmt w:val="bullet"/>
      <w:lvlText w:val="•"/>
      <w:lvlJc w:val="left"/>
      <w:pPr>
        <w:ind w:left="4013" w:hanging="428"/>
      </w:pPr>
      <w:rPr>
        <w:rFonts w:hint="default"/>
        <w:lang w:val="en-US" w:eastAsia="en-US" w:bidi="ar-SA"/>
      </w:rPr>
    </w:lvl>
    <w:lvl w:ilvl="5">
      <w:start w:val="0"/>
      <w:numFmt w:val="bullet"/>
      <w:lvlText w:val="•"/>
      <w:lvlJc w:val="left"/>
      <w:pPr>
        <w:ind w:left="5084" w:hanging="428"/>
      </w:pPr>
      <w:rPr>
        <w:rFonts w:hint="default"/>
        <w:lang w:val="en-US" w:eastAsia="en-US" w:bidi="ar-SA"/>
      </w:rPr>
    </w:lvl>
    <w:lvl w:ilvl="6">
      <w:start w:val="0"/>
      <w:numFmt w:val="bullet"/>
      <w:lvlText w:val="•"/>
      <w:lvlJc w:val="left"/>
      <w:pPr>
        <w:ind w:left="6155" w:hanging="428"/>
      </w:pPr>
      <w:rPr>
        <w:rFonts w:hint="default"/>
        <w:lang w:val="en-US" w:eastAsia="en-US" w:bidi="ar-SA"/>
      </w:rPr>
    </w:lvl>
    <w:lvl w:ilvl="7">
      <w:start w:val="0"/>
      <w:numFmt w:val="bullet"/>
      <w:lvlText w:val="•"/>
      <w:lvlJc w:val="left"/>
      <w:pPr>
        <w:ind w:left="7226" w:hanging="428"/>
      </w:pPr>
      <w:rPr>
        <w:rFonts w:hint="default"/>
        <w:lang w:val="en-US" w:eastAsia="en-US" w:bidi="ar-SA"/>
      </w:rPr>
    </w:lvl>
    <w:lvl w:ilvl="8">
      <w:start w:val="0"/>
      <w:numFmt w:val="bullet"/>
      <w:lvlText w:val="•"/>
      <w:lvlJc w:val="left"/>
      <w:pPr>
        <w:ind w:left="8297" w:hanging="428"/>
      </w:pPr>
      <w:rPr>
        <w:rFonts w:hint="default"/>
        <w:lang w:val="en-US" w:eastAsia="en-US" w:bidi="ar-SA"/>
      </w:rPr>
    </w:lvl>
  </w:abstractNum>
  <w:abstractNum w:abstractNumId="333">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220" w:hanging="429"/>
      </w:pPr>
      <w:rPr>
        <w:rFonts w:hint="default"/>
        <w:lang w:val="en-US" w:eastAsia="en-US" w:bidi="ar-SA"/>
      </w:rPr>
    </w:lvl>
    <w:lvl w:ilvl="3">
      <w:start w:val="0"/>
      <w:numFmt w:val="bullet"/>
      <w:lvlText w:val="•"/>
      <w:lvlJc w:val="left"/>
      <w:pPr>
        <w:ind w:left="2372" w:hanging="429"/>
      </w:pPr>
      <w:rPr>
        <w:rFonts w:hint="default"/>
        <w:lang w:val="en-US" w:eastAsia="en-US" w:bidi="ar-SA"/>
      </w:rPr>
    </w:lvl>
    <w:lvl w:ilvl="4">
      <w:start w:val="0"/>
      <w:numFmt w:val="bullet"/>
      <w:lvlText w:val="•"/>
      <w:lvlJc w:val="left"/>
      <w:pPr>
        <w:ind w:left="3525" w:hanging="429"/>
      </w:pPr>
      <w:rPr>
        <w:rFonts w:hint="default"/>
        <w:lang w:val="en-US" w:eastAsia="en-US" w:bidi="ar-SA"/>
      </w:rPr>
    </w:lvl>
    <w:lvl w:ilvl="5">
      <w:start w:val="0"/>
      <w:numFmt w:val="bullet"/>
      <w:lvlText w:val="•"/>
      <w:lvlJc w:val="left"/>
      <w:pPr>
        <w:ind w:left="4677" w:hanging="429"/>
      </w:pPr>
      <w:rPr>
        <w:rFonts w:hint="default"/>
        <w:lang w:val="en-US" w:eastAsia="en-US" w:bidi="ar-SA"/>
      </w:rPr>
    </w:lvl>
    <w:lvl w:ilvl="6">
      <w:start w:val="0"/>
      <w:numFmt w:val="bullet"/>
      <w:lvlText w:val="•"/>
      <w:lvlJc w:val="left"/>
      <w:pPr>
        <w:ind w:left="5830" w:hanging="429"/>
      </w:pPr>
      <w:rPr>
        <w:rFonts w:hint="default"/>
        <w:lang w:val="en-US" w:eastAsia="en-US" w:bidi="ar-SA"/>
      </w:rPr>
    </w:lvl>
    <w:lvl w:ilvl="7">
      <w:start w:val="0"/>
      <w:numFmt w:val="bullet"/>
      <w:lvlText w:val="•"/>
      <w:lvlJc w:val="left"/>
      <w:pPr>
        <w:ind w:left="6982" w:hanging="429"/>
      </w:pPr>
      <w:rPr>
        <w:rFonts w:hint="default"/>
        <w:lang w:val="en-US" w:eastAsia="en-US" w:bidi="ar-SA"/>
      </w:rPr>
    </w:lvl>
    <w:lvl w:ilvl="8">
      <w:start w:val="0"/>
      <w:numFmt w:val="bullet"/>
      <w:lvlText w:val="•"/>
      <w:lvlJc w:val="left"/>
      <w:pPr>
        <w:ind w:left="8135" w:hanging="429"/>
      </w:pPr>
      <w:rPr>
        <w:rFonts w:hint="default"/>
        <w:lang w:val="en-US" w:eastAsia="en-US" w:bidi="ar-SA"/>
      </w:rPr>
    </w:lvl>
  </w:abstractNum>
  <w:abstractNum w:abstractNumId="332">
    <w:multiLevelType w:val="hybridMultilevel"/>
    <w:lvl w:ilvl="0">
      <w:start w:val="1"/>
      <w:numFmt w:val="decimal"/>
      <w:lvlText w:val="(%1)"/>
      <w:lvlJc w:val="left"/>
      <w:pPr>
        <w:ind w:left="792" w:hanging="42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428"/>
      </w:pPr>
      <w:rPr>
        <w:rFonts w:hint="default"/>
        <w:lang w:val="en-US" w:eastAsia="en-US" w:bidi="ar-SA"/>
      </w:rPr>
    </w:lvl>
    <w:lvl w:ilvl="2">
      <w:start w:val="0"/>
      <w:numFmt w:val="bullet"/>
      <w:lvlText w:val="•"/>
      <w:lvlJc w:val="left"/>
      <w:pPr>
        <w:ind w:left="2728" w:hanging="428"/>
      </w:pPr>
      <w:rPr>
        <w:rFonts w:hint="default"/>
        <w:lang w:val="en-US" w:eastAsia="en-US" w:bidi="ar-SA"/>
      </w:rPr>
    </w:lvl>
    <w:lvl w:ilvl="3">
      <w:start w:val="0"/>
      <w:numFmt w:val="bullet"/>
      <w:lvlText w:val="•"/>
      <w:lvlJc w:val="left"/>
      <w:pPr>
        <w:ind w:left="3692" w:hanging="428"/>
      </w:pPr>
      <w:rPr>
        <w:rFonts w:hint="default"/>
        <w:lang w:val="en-US" w:eastAsia="en-US" w:bidi="ar-SA"/>
      </w:rPr>
    </w:lvl>
    <w:lvl w:ilvl="4">
      <w:start w:val="0"/>
      <w:numFmt w:val="bullet"/>
      <w:lvlText w:val="•"/>
      <w:lvlJc w:val="left"/>
      <w:pPr>
        <w:ind w:left="4656" w:hanging="428"/>
      </w:pPr>
      <w:rPr>
        <w:rFonts w:hint="default"/>
        <w:lang w:val="en-US" w:eastAsia="en-US" w:bidi="ar-SA"/>
      </w:rPr>
    </w:lvl>
    <w:lvl w:ilvl="5">
      <w:start w:val="0"/>
      <w:numFmt w:val="bullet"/>
      <w:lvlText w:val="•"/>
      <w:lvlJc w:val="left"/>
      <w:pPr>
        <w:ind w:left="5620" w:hanging="428"/>
      </w:pPr>
      <w:rPr>
        <w:rFonts w:hint="default"/>
        <w:lang w:val="en-US" w:eastAsia="en-US" w:bidi="ar-SA"/>
      </w:rPr>
    </w:lvl>
    <w:lvl w:ilvl="6">
      <w:start w:val="0"/>
      <w:numFmt w:val="bullet"/>
      <w:lvlText w:val="•"/>
      <w:lvlJc w:val="left"/>
      <w:pPr>
        <w:ind w:left="6584" w:hanging="428"/>
      </w:pPr>
      <w:rPr>
        <w:rFonts w:hint="default"/>
        <w:lang w:val="en-US" w:eastAsia="en-US" w:bidi="ar-SA"/>
      </w:rPr>
    </w:lvl>
    <w:lvl w:ilvl="7">
      <w:start w:val="0"/>
      <w:numFmt w:val="bullet"/>
      <w:lvlText w:val="•"/>
      <w:lvlJc w:val="left"/>
      <w:pPr>
        <w:ind w:left="7548" w:hanging="428"/>
      </w:pPr>
      <w:rPr>
        <w:rFonts w:hint="default"/>
        <w:lang w:val="en-US" w:eastAsia="en-US" w:bidi="ar-SA"/>
      </w:rPr>
    </w:lvl>
    <w:lvl w:ilvl="8">
      <w:start w:val="0"/>
      <w:numFmt w:val="bullet"/>
      <w:lvlText w:val="•"/>
      <w:lvlJc w:val="left"/>
      <w:pPr>
        <w:ind w:left="8512" w:hanging="428"/>
      </w:pPr>
      <w:rPr>
        <w:rFonts w:hint="default"/>
        <w:lang w:val="en-US" w:eastAsia="en-US" w:bidi="ar-SA"/>
      </w:rPr>
    </w:lvl>
  </w:abstractNum>
  <w:abstractNum w:abstractNumId="331">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330">
    <w:multiLevelType w:val="hybridMultilevel"/>
    <w:lvl w:ilvl="0">
      <w:start w:val="1"/>
      <w:numFmt w:val="decimal"/>
      <w:lvlText w:val="(%1)"/>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upperLetter"/>
      <w:lvlText w:val="(%2)"/>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2">
      <w:start w:val="1"/>
      <w:numFmt w:val="lowerRoman"/>
      <w:lvlText w:val="(%3)"/>
      <w:lvlJc w:val="left"/>
      <w:pPr>
        <w:ind w:left="2004" w:hanging="348"/>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1680" w:hanging="348"/>
      </w:pPr>
      <w:rPr>
        <w:rFonts w:hint="default"/>
        <w:lang w:val="en-US" w:eastAsia="en-US" w:bidi="ar-SA"/>
      </w:rPr>
    </w:lvl>
    <w:lvl w:ilvl="4">
      <w:start w:val="0"/>
      <w:numFmt w:val="bullet"/>
      <w:lvlText w:val="•"/>
      <w:lvlJc w:val="left"/>
      <w:pPr>
        <w:ind w:left="2000" w:hanging="348"/>
      </w:pPr>
      <w:rPr>
        <w:rFonts w:hint="default"/>
        <w:lang w:val="en-US" w:eastAsia="en-US" w:bidi="ar-SA"/>
      </w:rPr>
    </w:lvl>
    <w:lvl w:ilvl="5">
      <w:start w:val="0"/>
      <w:numFmt w:val="bullet"/>
      <w:lvlText w:val="•"/>
      <w:lvlJc w:val="left"/>
      <w:pPr>
        <w:ind w:left="3406" w:hanging="348"/>
      </w:pPr>
      <w:rPr>
        <w:rFonts w:hint="default"/>
        <w:lang w:val="en-US" w:eastAsia="en-US" w:bidi="ar-SA"/>
      </w:rPr>
    </w:lvl>
    <w:lvl w:ilvl="6">
      <w:start w:val="0"/>
      <w:numFmt w:val="bullet"/>
      <w:lvlText w:val="•"/>
      <w:lvlJc w:val="left"/>
      <w:pPr>
        <w:ind w:left="4813" w:hanging="348"/>
      </w:pPr>
      <w:rPr>
        <w:rFonts w:hint="default"/>
        <w:lang w:val="en-US" w:eastAsia="en-US" w:bidi="ar-SA"/>
      </w:rPr>
    </w:lvl>
    <w:lvl w:ilvl="7">
      <w:start w:val="0"/>
      <w:numFmt w:val="bullet"/>
      <w:lvlText w:val="•"/>
      <w:lvlJc w:val="left"/>
      <w:pPr>
        <w:ind w:left="6220" w:hanging="348"/>
      </w:pPr>
      <w:rPr>
        <w:rFonts w:hint="default"/>
        <w:lang w:val="en-US" w:eastAsia="en-US" w:bidi="ar-SA"/>
      </w:rPr>
    </w:lvl>
    <w:lvl w:ilvl="8">
      <w:start w:val="0"/>
      <w:numFmt w:val="bullet"/>
      <w:lvlText w:val="•"/>
      <w:lvlJc w:val="left"/>
      <w:pPr>
        <w:ind w:left="7626" w:hanging="348"/>
      </w:pPr>
      <w:rPr>
        <w:rFonts w:hint="default"/>
        <w:lang w:val="en-US" w:eastAsia="en-US" w:bidi="ar-SA"/>
      </w:rPr>
    </w:lvl>
  </w:abstractNum>
  <w:abstractNum w:abstractNumId="329">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328">
    <w:multiLevelType w:val="hybridMultilevel"/>
    <w:lvl w:ilvl="0">
      <w:start w:val="1"/>
      <w:numFmt w:val="lowerLetter"/>
      <w:lvlText w:val="(%1)"/>
      <w:lvlJc w:val="left"/>
      <w:pPr>
        <w:ind w:left="788"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2372" w:hanging="455"/>
      </w:pPr>
      <w:rPr>
        <w:rFonts w:hint="default"/>
        <w:lang w:val="en-US" w:eastAsia="en-US" w:bidi="ar-SA"/>
      </w:rPr>
    </w:lvl>
    <w:lvl w:ilvl="4">
      <w:start w:val="0"/>
      <w:numFmt w:val="bullet"/>
      <w:lvlText w:val="•"/>
      <w:lvlJc w:val="left"/>
      <w:pPr>
        <w:ind w:left="3525" w:hanging="455"/>
      </w:pPr>
      <w:rPr>
        <w:rFonts w:hint="default"/>
        <w:lang w:val="en-US" w:eastAsia="en-US" w:bidi="ar-SA"/>
      </w:rPr>
    </w:lvl>
    <w:lvl w:ilvl="5">
      <w:start w:val="0"/>
      <w:numFmt w:val="bullet"/>
      <w:lvlText w:val="•"/>
      <w:lvlJc w:val="left"/>
      <w:pPr>
        <w:ind w:left="4677" w:hanging="455"/>
      </w:pPr>
      <w:rPr>
        <w:rFonts w:hint="default"/>
        <w:lang w:val="en-US" w:eastAsia="en-US" w:bidi="ar-SA"/>
      </w:rPr>
    </w:lvl>
    <w:lvl w:ilvl="6">
      <w:start w:val="0"/>
      <w:numFmt w:val="bullet"/>
      <w:lvlText w:val="•"/>
      <w:lvlJc w:val="left"/>
      <w:pPr>
        <w:ind w:left="5830" w:hanging="455"/>
      </w:pPr>
      <w:rPr>
        <w:rFonts w:hint="default"/>
        <w:lang w:val="en-US" w:eastAsia="en-US" w:bidi="ar-SA"/>
      </w:rPr>
    </w:lvl>
    <w:lvl w:ilvl="7">
      <w:start w:val="0"/>
      <w:numFmt w:val="bullet"/>
      <w:lvlText w:val="•"/>
      <w:lvlJc w:val="left"/>
      <w:pPr>
        <w:ind w:left="6982" w:hanging="455"/>
      </w:pPr>
      <w:rPr>
        <w:rFonts w:hint="default"/>
        <w:lang w:val="en-US" w:eastAsia="en-US" w:bidi="ar-SA"/>
      </w:rPr>
    </w:lvl>
    <w:lvl w:ilvl="8">
      <w:start w:val="0"/>
      <w:numFmt w:val="bullet"/>
      <w:lvlText w:val="•"/>
      <w:lvlJc w:val="left"/>
      <w:pPr>
        <w:ind w:left="8135" w:hanging="455"/>
      </w:pPr>
      <w:rPr>
        <w:rFonts w:hint="default"/>
        <w:lang w:val="en-US" w:eastAsia="en-US" w:bidi="ar-SA"/>
      </w:rPr>
    </w:lvl>
  </w:abstractNum>
  <w:abstractNum w:abstractNumId="327">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326">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325">
    <w:multiLevelType w:val="hybridMultilevel"/>
    <w:lvl w:ilvl="0">
      <w:start w:val="1"/>
      <w:numFmt w:val="decimal"/>
      <w:lvlText w:val="%1."/>
      <w:lvlJc w:val="left"/>
      <w:pPr>
        <w:ind w:left="1080" w:hanging="28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016" w:hanging="288"/>
      </w:pPr>
      <w:rPr>
        <w:rFonts w:hint="default"/>
        <w:lang w:val="en-US" w:eastAsia="en-US" w:bidi="ar-SA"/>
      </w:rPr>
    </w:lvl>
    <w:lvl w:ilvl="2">
      <w:start w:val="0"/>
      <w:numFmt w:val="bullet"/>
      <w:lvlText w:val="•"/>
      <w:lvlJc w:val="left"/>
      <w:pPr>
        <w:ind w:left="2952" w:hanging="288"/>
      </w:pPr>
      <w:rPr>
        <w:rFonts w:hint="default"/>
        <w:lang w:val="en-US" w:eastAsia="en-US" w:bidi="ar-SA"/>
      </w:rPr>
    </w:lvl>
    <w:lvl w:ilvl="3">
      <w:start w:val="0"/>
      <w:numFmt w:val="bullet"/>
      <w:lvlText w:val="•"/>
      <w:lvlJc w:val="left"/>
      <w:pPr>
        <w:ind w:left="3888" w:hanging="288"/>
      </w:pPr>
      <w:rPr>
        <w:rFonts w:hint="default"/>
        <w:lang w:val="en-US" w:eastAsia="en-US" w:bidi="ar-SA"/>
      </w:rPr>
    </w:lvl>
    <w:lvl w:ilvl="4">
      <w:start w:val="0"/>
      <w:numFmt w:val="bullet"/>
      <w:lvlText w:val="•"/>
      <w:lvlJc w:val="left"/>
      <w:pPr>
        <w:ind w:left="4824" w:hanging="288"/>
      </w:pPr>
      <w:rPr>
        <w:rFonts w:hint="default"/>
        <w:lang w:val="en-US" w:eastAsia="en-US" w:bidi="ar-SA"/>
      </w:rPr>
    </w:lvl>
    <w:lvl w:ilvl="5">
      <w:start w:val="0"/>
      <w:numFmt w:val="bullet"/>
      <w:lvlText w:val="•"/>
      <w:lvlJc w:val="left"/>
      <w:pPr>
        <w:ind w:left="5760" w:hanging="288"/>
      </w:pPr>
      <w:rPr>
        <w:rFonts w:hint="default"/>
        <w:lang w:val="en-US" w:eastAsia="en-US" w:bidi="ar-SA"/>
      </w:rPr>
    </w:lvl>
    <w:lvl w:ilvl="6">
      <w:start w:val="0"/>
      <w:numFmt w:val="bullet"/>
      <w:lvlText w:val="•"/>
      <w:lvlJc w:val="left"/>
      <w:pPr>
        <w:ind w:left="6696" w:hanging="288"/>
      </w:pPr>
      <w:rPr>
        <w:rFonts w:hint="default"/>
        <w:lang w:val="en-US" w:eastAsia="en-US" w:bidi="ar-SA"/>
      </w:rPr>
    </w:lvl>
    <w:lvl w:ilvl="7">
      <w:start w:val="0"/>
      <w:numFmt w:val="bullet"/>
      <w:lvlText w:val="•"/>
      <w:lvlJc w:val="left"/>
      <w:pPr>
        <w:ind w:left="7632" w:hanging="288"/>
      </w:pPr>
      <w:rPr>
        <w:rFonts w:hint="default"/>
        <w:lang w:val="en-US" w:eastAsia="en-US" w:bidi="ar-SA"/>
      </w:rPr>
    </w:lvl>
    <w:lvl w:ilvl="8">
      <w:start w:val="0"/>
      <w:numFmt w:val="bullet"/>
      <w:lvlText w:val="•"/>
      <w:lvlJc w:val="left"/>
      <w:pPr>
        <w:ind w:left="8568" w:hanging="288"/>
      </w:pPr>
      <w:rPr>
        <w:rFonts w:hint="default"/>
        <w:lang w:val="en-US" w:eastAsia="en-US" w:bidi="ar-SA"/>
      </w:rPr>
    </w:lvl>
  </w:abstractNum>
  <w:abstractNum w:abstractNumId="324">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153" w:hanging="362"/>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191" w:hanging="362"/>
      </w:pPr>
      <w:rPr>
        <w:rFonts w:hint="default"/>
        <w:lang w:val="en-US" w:eastAsia="en-US" w:bidi="ar-SA"/>
      </w:rPr>
    </w:lvl>
    <w:lvl w:ilvl="3">
      <w:start w:val="0"/>
      <w:numFmt w:val="bullet"/>
      <w:lvlText w:val="•"/>
      <w:lvlJc w:val="left"/>
      <w:pPr>
        <w:ind w:left="3222" w:hanging="362"/>
      </w:pPr>
      <w:rPr>
        <w:rFonts w:hint="default"/>
        <w:lang w:val="en-US" w:eastAsia="en-US" w:bidi="ar-SA"/>
      </w:rPr>
    </w:lvl>
    <w:lvl w:ilvl="4">
      <w:start w:val="0"/>
      <w:numFmt w:val="bullet"/>
      <w:lvlText w:val="•"/>
      <w:lvlJc w:val="left"/>
      <w:pPr>
        <w:ind w:left="4253" w:hanging="362"/>
      </w:pPr>
      <w:rPr>
        <w:rFonts w:hint="default"/>
        <w:lang w:val="en-US" w:eastAsia="en-US" w:bidi="ar-SA"/>
      </w:rPr>
    </w:lvl>
    <w:lvl w:ilvl="5">
      <w:start w:val="0"/>
      <w:numFmt w:val="bullet"/>
      <w:lvlText w:val="•"/>
      <w:lvlJc w:val="left"/>
      <w:pPr>
        <w:ind w:left="5284" w:hanging="362"/>
      </w:pPr>
      <w:rPr>
        <w:rFonts w:hint="default"/>
        <w:lang w:val="en-US" w:eastAsia="en-US" w:bidi="ar-SA"/>
      </w:rPr>
    </w:lvl>
    <w:lvl w:ilvl="6">
      <w:start w:val="0"/>
      <w:numFmt w:val="bullet"/>
      <w:lvlText w:val="•"/>
      <w:lvlJc w:val="left"/>
      <w:pPr>
        <w:ind w:left="6315" w:hanging="362"/>
      </w:pPr>
      <w:rPr>
        <w:rFonts w:hint="default"/>
        <w:lang w:val="en-US" w:eastAsia="en-US" w:bidi="ar-SA"/>
      </w:rPr>
    </w:lvl>
    <w:lvl w:ilvl="7">
      <w:start w:val="0"/>
      <w:numFmt w:val="bullet"/>
      <w:lvlText w:val="•"/>
      <w:lvlJc w:val="left"/>
      <w:pPr>
        <w:ind w:left="7346" w:hanging="362"/>
      </w:pPr>
      <w:rPr>
        <w:rFonts w:hint="default"/>
        <w:lang w:val="en-US" w:eastAsia="en-US" w:bidi="ar-SA"/>
      </w:rPr>
    </w:lvl>
    <w:lvl w:ilvl="8">
      <w:start w:val="0"/>
      <w:numFmt w:val="bullet"/>
      <w:lvlText w:val="•"/>
      <w:lvlJc w:val="left"/>
      <w:pPr>
        <w:ind w:left="8377" w:hanging="362"/>
      </w:pPr>
      <w:rPr>
        <w:rFonts w:hint="default"/>
        <w:lang w:val="en-US" w:eastAsia="en-US" w:bidi="ar-SA"/>
      </w:rPr>
    </w:lvl>
  </w:abstractNum>
  <w:abstractNum w:abstractNumId="323">
    <w:multiLevelType w:val="hybridMultilevel"/>
    <w:lvl w:ilvl="0">
      <w:start w:val="1"/>
      <w:numFmt w:val="decimal"/>
      <w:lvlText w:val="%1."/>
      <w:lvlJc w:val="left"/>
      <w:pPr>
        <w:ind w:left="1080"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016" w:hanging="720"/>
      </w:pPr>
      <w:rPr>
        <w:rFonts w:hint="default"/>
        <w:lang w:val="en-US" w:eastAsia="en-US" w:bidi="ar-SA"/>
      </w:rPr>
    </w:lvl>
    <w:lvl w:ilvl="2">
      <w:start w:val="0"/>
      <w:numFmt w:val="bullet"/>
      <w:lvlText w:val="•"/>
      <w:lvlJc w:val="left"/>
      <w:pPr>
        <w:ind w:left="2952" w:hanging="720"/>
      </w:pPr>
      <w:rPr>
        <w:rFonts w:hint="default"/>
        <w:lang w:val="en-US" w:eastAsia="en-US" w:bidi="ar-SA"/>
      </w:rPr>
    </w:lvl>
    <w:lvl w:ilvl="3">
      <w:start w:val="0"/>
      <w:numFmt w:val="bullet"/>
      <w:lvlText w:val="•"/>
      <w:lvlJc w:val="left"/>
      <w:pPr>
        <w:ind w:left="3888" w:hanging="720"/>
      </w:pPr>
      <w:rPr>
        <w:rFonts w:hint="default"/>
        <w:lang w:val="en-US" w:eastAsia="en-US" w:bidi="ar-SA"/>
      </w:rPr>
    </w:lvl>
    <w:lvl w:ilvl="4">
      <w:start w:val="0"/>
      <w:numFmt w:val="bullet"/>
      <w:lvlText w:val="•"/>
      <w:lvlJc w:val="left"/>
      <w:pPr>
        <w:ind w:left="4824" w:hanging="720"/>
      </w:pPr>
      <w:rPr>
        <w:rFonts w:hint="default"/>
        <w:lang w:val="en-US" w:eastAsia="en-US" w:bidi="ar-SA"/>
      </w:rPr>
    </w:lvl>
    <w:lvl w:ilvl="5">
      <w:start w:val="0"/>
      <w:numFmt w:val="bullet"/>
      <w:lvlText w:val="•"/>
      <w:lvlJc w:val="left"/>
      <w:pPr>
        <w:ind w:left="5760" w:hanging="720"/>
      </w:pPr>
      <w:rPr>
        <w:rFonts w:hint="default"/>
        <w:lang w:val="en-US" w:eastAsia="en-US" w:bidi="ar-SA"/>
      </w:rPr>
    </w:lvl>
    <w:lvl w:ilvl="6">
      <w:start w:val="0"/>
      <w:numFmt w:val="bullet"/>
      <w:lvlText w:val="•"/>
      <w:lvlJc w:val="left"/>
      <w:pPr>
        <w:ind w:left="6696" w:hanging="720"/>
      </w:pPr>
      <w:rPr>
        <w:rFonts w:hint="default"/>
        <w:lang w:val="en-US" w:eastAsia="en-US" w:bidi="ar-SA"/>
      </w:rPr>
    </w:lvl>
    <w:lvl w:ilvl="7">
      <w:start w:val="0"/>
      <w:numFmt w:val="bullet"/>
      <w:lvlText w:val="•"/>
      <w:lvlJc w:val="left"/>
      <w:pPr>
        <w:ind w:left="7632" w:hanging="720"/>
      </w:pPr>
      <w:rPr>
        <w:rFonts w:hint="default"/>
        <w:lang w:val="en-US" w:eastAsia="en-US" w:bidi="ar-SA"/>
      </w:rPr>
    </w:lvl>
    <w:lvl w:ilvl="8">
      <w:start w:val="0"/>
      <w:numFmt w:val="bullet"/>
      <w:lvlText w:val="•"/>
      <w:lvlJc w:val="left"/>
      <w:pPr>
        <w:ind w:left="8568" w:hanging="720"/>
      </w:pPr>
      <w:rPr>
        <w:rFonts w:hint="default"/>
        <w:lang w:val="en-US" w:eastAsia="en-US" w:bidi="ar-SA"/>
      </w:rPr>
    </w:lvl>
  </w:abstractNum>
  <w:abstractNum w:abstractNumId="322">
    <w:multiLevelType w:val="hybridMultilevel"/>
    <w:lvl w:ilvl="0">
      <w:start w:val="1"/>
      <w:numFmt w:val="decimal"/>
      <w:lvlText w:val="(%1)"/>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429"/>
      </w:pPr>
      <w:rPr>
        <w:rFonts w:hint="default"/>
        <w:lang w:val="en-US" w:eastAsia="en-US" w:bidi="ar-SA"/>
      </w:rPr>
    </w:lvl>
    <w:lvl w:ilvl="2">
      <w:start w:val="0"/>
      <w:numFmt w:val="bullet"/>
      <w:lvlText w:val="•"/>
      <w:lvlJc w:val="left"/>
      <w:pPr>
        <w:ind w:left="2728" w:hanging="429"/>
      </w:pPr>
      <w:rPr>
        <w:rFonts w:hint="default"/>
        <w:lang w:val="en-US" w:eastAsia="en-US" w:bidi="ar-SA"/>
      </w:rPr>
    </w:lvl>
    <w:lvl w:ilvl="3">
      <w:start w:val="0"/>
      <w:numFmt w:val="bullet"/>
      <w:lvlText w:val="•"/>
      <w:lvlJc w:val="left"/>
      <w:pPr>
        <w:ind w:left="3692" w:hanging="429"/>
      </w:pPr>
      <w:rPr>
        <w:rFonts w:hint="default"/>
        <w:lang w:val="en-US" w:eastAsia="en-US" w:bidi="ar-SA"/>
      </w:rPr>
    </w:lvl>
    <w:lvl w:ilvl="4">
      <w:start w:val="0"/>
      <w:numFmt w:val="bullet"/>
      <w:lvlText w:val="•"/>
      <w:lvlJc w:val="left"/>
      <w:pPr>
        <w:ind w:left="4656" w:hanging="429"/>
      </w:pPr>
      <w:rPr>
        <w:rFonts w:hint="default"/>
        <w:lang w:val="en-US" w:eastAsia="en-US" w:bidi="ar-SA"/>
      </w:rPr>
    </w:lvl>
    <w:lvl w:ilvl="5">
      <w:start w:val="0"/>
      <w:numFmt w:val="bullet"/>
      <w:lvlText w:val="•"/>
      <w:lvlJc w:val="left"/>
      <w:pPr>
        <w:ind w:left="5620" w:hanging="429"/>
      </w:pPr>
      <w:rPr>
        <w:rFonts w:hint="default"/>
        <w:lang w:val="en-US" w:eastAsia="en-US" w:bidi="ar-SA"/>
      </w:rPr>
    </w:lvl>
    <w:lvl w:ilvl="6">
      <w:start w:val="0"/>
      <w:numFmt w:val="bullet"/>
      <w:lvlText w:val="•"/>
      <w:lvlJc w:val="left"/>
      <w:pPr>
        <w:ind w:left="6584" w:hanging="429"/>
      </w:pPr>
      <w:rPr>
        <w:rFonts w:hint="default"/>
        <w:lang w:val="en-US" w:eastAsia="en-US" w:bidi="ar-SA"/>
      </w:rPr>
    </w:lvl>
    <w:lvl w:ilvl="7">
      <w:start w:val="0"/>
      <w:numFmt w:val="bullet"/>
      <w:lvlText w:val="•"/>
      <w:lvlJc w:val="left"/>
      <w:pPr>
        <w:ind w:left="7548" w:hanging="429"/>
      </w:pPr>
      <w:rPr>
        <w:rFonts w:hint="default"/>
        <w:lang w:val="en-US" w:eastAsia="en-US" w:bidi="ar-SA"/>
      </w:rPr>
    </w:lvl>
    <w:lvl w:ilvl="8">
      <w:start w:val="0"/>
      <w:numFmt w:val="bullet"/>
      <w:lvlText w:val="•"/>
      <w:lvlJc w:val="left"/>
      <w:pPr>
        <w:ind w:left="8512" w:hanging="429"/>
      </w:pPr>
      <w:rPr>
        <w:rFonts w:hint="default"/>
        <w:lang w:val="en-US" w:eastAsia="en-US" w:bidi="ar-SA"/>
      </w:rPr>
    </w:lvl>
  </w:abstractNum>
  <w:abstractNum w:abstractNumId="321">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320">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11"/>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319">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28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288"/>
      </w:pPr>
      <w:rPr>
        <w:rFonts w:hint="default"/>
        <w:lang w:val="en-US" w:eastAsia="en-US" w:bidi="ar-SA"/>
      </w:rPr>
    </w:lvl>
    <w:lvl w:ilvl="3">
      <w:start w:val="0"/>
      <w:numFmt w:val="bullet"/>
      <w:lvlText w:val="•"/>
      <w:lvlJc w:val="left"/>
      <w:pPr>
        <w:ind w:left="2942" w:hanging="288"/>
      </w:pPr>
      <w:rPr>
        <w:rFonts w:hint="default"/>
        <w:lang w:val="en-US" w:eastAsia="en-US" w:bidi="ar-SA"/>
      </w:rPr>
    </w:lvl>
    <w:lvl w:ilvl="4">
      <w:start w:val="0"/>
      <w:numFmt w:val="bullet"/>
      <w:lvlText w:val="•"/>
      <w:lvlJc w:val="left"/>
      <w:pPr>
        <w:ind w:left="4013" w:hanging="288"/>
      </w:pPr>
      <w:rPr>
        <w:rFonts w:hint="default"/>
        <w:lang w:val="en-US" w:eastAsia="en-US" w:bidi="ar-SA"/>
      </w:rPr>
    </w:lvl>
    <w:lvl w:ilvl="5">
      <w:start w:val="0"/>
      <w:numFmt w:val="bullet"/>
      <w:lvlText w:val="•"/>
      <w:lvlJc w:val="left"/>
      <w:pPr>
        <w:ind w:left="5084" w:hanging="288"/>
      </w:pPr>
      <w:rPr>
        <w:rFonts w:hint="default"/>
        <w:lang w:val="en-US" w:eastAsia="en-US" w:bidi="ar-SA"/>
      </w:rPr>
    </w:lvl>
    <w:lvl w:ilvl="6">
      <w:start w:val="0"/>
      <w:numFmt w:val="bullet"/>
      <w:lvlText w:val="•"/>
      <w:lvlJc w:val="left"/>
      <w:pPr>
        <w:ind w:left="6155" w:hanging="288"/>
      </w:pPr>
      <w:rPr>
        <w:rFonts w:hint="default"/>
        <w:lang w:val="en-US" w:eastAsia="en-US" w:bidi="ar-SA"/>
      </w:rPr>
    </w:lvl>
    <w:lvl w:ilvl="7">
      <w:start w:val="0"/>
      <w:numFmt w:val="bullet"/>
      <w:lvlText w:val="•"/>
      <w:lvlJc w:val="left"/>
      <w:pPr>
        <w:ind w:left="7226" w:hanging="288"/>
      </w:pPr>
      <w:rPr>
        <w:rFonts w:hint="default"/>
        <w:lang w:val="en-US" w:eastAsia="en-US" w:bidi="ar-SA"/>
      </w:rPr>
    </w:lvl>
    <w:lvl w:ilvl="8">
      <w:start w:val="0"/>
      <w:numFmt w:val="bullet"/>
      <w:lvlText w:val="•"/>
      <w:lvlJc w:val="left"/>
      <w:pPr>
        <w:ind w:left="8297" w:hanging="288"/>
      </w:pPr>
      <w:rPr>
        <w:rFonts w:hint="default"/>
        <w:lang w:val="en-US" w:eastAsia="en-US" w:bidi="ar-SA"/>
      </w:rPr>
    </w:lvl>
  </w:abstractNum>
  <w:abstractNum w:abstractNumId="318">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8"/>
      </w:pPr>
      <w:rPr>
        <w:rFonts w:hint="default"/>
        <w:lang w:val="en-US" w:eastAsia="en-US" w:bidi="ar-SA"/>
      </w:rPr>
    </w:lvl>
    <w:lvl w:ilvl="2">
      <w:start w:val="0"/>
      <w:numFmt w:val="bullet"/>
      <w:lvlText w:val="•"/>
      <w:lvlJc w:val="left"/>
      <w:pPr>
        <w:ind w:left="2376" w:hanging="428"/>
      </w:pPr>
      <w:rPr>
        <w:rFonts w:hint="default"/>
        <w:lang w:val="en-US" w:eastAsia="en-US" w:bidi="ar-SA"/>
      </w:rPr>
    </w:lvl>
    <w:lvl w:ilvl="3">
      <w:start w:val="0"/>
      <w:numFmt w:val="bullet"/>
      <w:lvlText w:val="•"/>
      <w:lvlJc w:val="left"/>
      <w:pPr>
        <w:ind w:left="3384" w:hanging="428"/>
      </w:pPr>
      <w:rPr>
        <w:rFonts w:hint="default"/>
        <w:lang w:val="en-US" w:eastAsia="en-US" w:bidi="ar-SA"/>
      </w:rPr>
    </w:lvl>
    <w:lvl w:ilvl="4">
      <w:start w:val="0"/>
      <w:numFmt w:val="bullet"/>
      <w:lvlText w:val="•"/>
      <w:lvlJc w:val="left"/>
      <w:pPr>
        <w:ind w:left="4392" w:hanging="428"/>
      </w:pPr>
      <w:rPr>
        <w:rFonts w:hint="default"/>
        <w:lang w:val="en-US" w:eastAsia="en-US" w:bidi="ar-SA"/>
      </w:rPr>
    </w:lvl>
    <w:lvl w:ilvl="5">
      <w:start w:val="0"/>
      <w:numFmt w:val="bullet"/>
      <w:lvlText w:val="•"/>
      <w:lvlJc w:val="left"/>
      <w:pPr>
        <w:ind w:left="5400" w:hanging="428"/>
      </w:pPr>
      <w:rPr>
        <w:rFonts w:hint="default"/>
        <w:lang w:val="en-US" w:eastAsia="en-US" w:bidi="ar-SA"/>
      </w:rPr>
    </w:lvl>
    <w:lvl w:ilvl="6">
      <w:start w:val="0"/>
      <w:numFmt w:val="bullet"/>
      <w:lvlText w:val="•"/>
      <w:lvlJc w:val="left"/>
      <w:pPr>
        <w:ind w:left="6408" w:hanging="428"/>
      </w:pPr>
      <w:rPr>
        <w:rFonts w:hint="default"/>
        <w:lang w:val="en-US" w:eastAsia="en-US" w:bidi="ar-SA"/>
      </w:rPr>
    </w:lvl>
    <w:lvl w:ilvl="7">
      <w:start w:val="0"/>
      <w:numFmt w:val="bullet"/>
      <w:lvlText w:val="•"/>
      <w:lvlJc w:val="left"/>
      <w:pPr>
        <w:ind w:left="7416" w:hanging="428"/>
      </w:pPr>
      <w:rPr>
        <w:rFonts w:hint="default"/>
        <w:lang w:val="en-US" w:eastAsia="en-US" w:bidi="ar-SA"/>
      </w:rPr>
    </w:lvl>
    <w:lvl w:ilvl="8">
      <w:start w:val="0"/>
      <w:numFmt w:val="bullet"/>
      <w:lvlText w:val="•"/>
      <w:lvlJc w:val="left"/>
      <w:pPr>
        <w:ind w:left="8424" w:hanging="428"/>
      </w:pPr>
      <w:rPr>
        <w:rFonts w:hint="default"/>
        <w:lang w:val="en-US" w:eastAsia="en-US" w:bidi="ar-SA"/>
      </w:rPr>
    </w:lvl>
  </w:abstractNum>
  <w:abstractNum w:abstractNumId="317">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080" w:hanging="28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120" w:hanging="288"/>
      </w:pPr>
      <w:rPr>
        <w:rFonts w:hint="default"/>
        <w:lang w:val="en-US" w:eastAsia="en-US" w:bidi="ar-SA"/>
      </w:rPr>
    </w:lvl>
    <w:lvl w:ilvl="3">
      <w:start w:val="0"/>
      <w:numFmt w:val="bullet"/>
      <w:lvlText w:val="•"/>
      <w:lvlJc w:val="left"/>
      <w:pPr>
        <w:ind w:left="3160" w:hanging="288"/>
      </w:pPr>
      <w:rPr>
        <w:rFonts w:hint="default"/>
        <w:lang w:val="en-US" w:eastAsia="en-US" w:bidi="ar-SA"/>
      </w:rPr>
    </w:lvl>
    <w:lvl w:ilvl="4">
      <w:start w:val="0"/>
      <w:numFmt w:val="bullet"/>
      <w:lvlText w:val="•"/>
      <w:lvlJc w:val="left"/>
      <w:pPr>
        <w:ind w:left="4200" w:hanging="288"/>
      </w:pPr>
      <w:rPr>
        <w:rFonts w:hint="default"/>
        <w:lang w:val="en-US" w:eastAsia="en-US" w:bidi="ar-SA"/>
      </w:rPr>
    </w:lvl>
    <w:lvl w:ilvl="5">
      <w:start w:val="0"/>
      <w:numFmt w:val="bullet"/>
      <w:lvlText w:val="•"/>
      <w:lvlJc w:val="left"/>
      <w:pPr>
        <w:ind w:left="5240" w:hanging="288"/>
      </w:pPr>
      <w:rPr>
        <w:rFonts w:hint="default"/>
        <w:lang w:val="en-US" w:eastAsia="en-US" w:bidi="ar-SA"/>
      </w:rPr>
    </w:lvl>
    <w:lvl w:ilvl="6">
      <w:start w:val="0"/>
      <w:numFmt w:val="bullet"/>
      <w:lvlText w:val="•"/>
      <w:lvlJc w:val="left"/>
      <w:pPr>
        <w:ind w:left="6280" w:hanging="288"/>
      </w:pPr>
      <w:rPr>
        <w:rFonts w:hint="default"/>
        <w:lang w:val="en-US" w:eastAsia="en-US" w:bidi="ar-SA"/>
      </w:rPr>
    </w:lvl>
    <w:lvl w:ilvl="7">
      <w:start w:val="0"/>
      <w:numFmt w:val="bullet"/>
      <w:lvlText w:val="•"/>
      <w:lvlJc w:val="left"/>
      <w:pPr>
        <w:ind w:left="7320" w:hanging="288"/>
      </w:pPr>
      <w:rPr>
        <w:rFonts w:hint="default"/>
        <w:lang w:val="en-US" w:eastAsia="en-US" w:bidi="ar-SA"/>
      </w:rPr>
    </w:lvl>
    <w:lvl w:ilvl="8">
      <w:start w:val="0"/>
      <w:numFmt w:val="bullet"/>
      <w:lvlText w:val="•"/>
      <w:lvlJc w:val="left"/>
      <w:pPr>
        <w:ind w:left="8360" w:hanging="288"/>
      </w:pPr>
      <w:rPr>
        <w:rFonts w:hint="default"/>
        <w:lang w:val="en-US" w:eastAsia="en-US" w:bidi="ar-SA"/>
      </w:rPr>
    </w:lvl>
  </w:abstractNum>
  <w:abstractNum w:abstractNumId="316">
    <w:multiLevelType w:val="hybridMultilevel"/>
    <w:lvl w:ilvl="0">
      <w:start w:val="1"/>
      <w:numFmt w:val="decimal"/>
      <w:lvlText w:val="(%1)"/>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429"/>
      </w:pPr>
      <w:rPr>
        <w:rFonts w:hint="default"/>
        <w:lang w:val="en-US" w:eastAsia="en-US" w:bidi="ar-SA"/>
      </w:rPr>
    </w:lvl>
    <w:lvl w:ilvl="2">
      <w:start w:val="0"/>
      <w:numFmt w:val="bullet"/>
      <w:lvlText w:val="•"/>
      <w:lvlJc w:val="left"/>
      <w:pPr>
        <w:ind w:left="2728" w:hanging="429"/>
      </w:pPr>
      <w:rPr>
        <w:rFonts w:hint="default"/>
        <w:lang w:val="en-US" w:eastAsia="en-US" w:bidi="ar-SA"/>
      </w:rPr>
    </w:lvl>
    <w:lvl w:ilvl="3">
      <w:start w:val="0"/>
      <w:numFmt w:val="bullet"/>
      <w:lvlText w:val="•"/>
      <w:lvlJc w:val="left"/>
      <w:pPr>
        <w:ind w:left="3692" w:hanging="429"/>
      </w:pPr>
      <w:rPr>
        <w:rFonts w:hint="default"/>
        <w:lang w:val="en-US" w:eastAsia="en-US" w:bidi="ar-SA"/>
      </w:rPr>
    </w:lvl>
    <w:lvl w:ilvl="4">
      <w:start w:val="0"/>
      <w:numFmt w:val="bullet"/>
      <w:lvlText w:val="•"/>
      <w:lvlJc w:val="left"/>
      <w:pPr>
        <w:ind w:left="4656" w:hanging="429"/>
      </w:pPr>
      <w:rPr>
        <w:rFonts w:hint="default"/>
        <w:lang w:val="en-US" w:eastAsia="en-US" w:bidi="ar-SA"/>
      </w:rPr>
    </w:lvl>
    <w:lvl w:ilvl="5">
      <w:start w:val="0"/>
      <w:numFmt w:val="bullet"/>
      <w:lvlText w:val="•"/>
      <w:lvlJc w:val="left"/>
      <w:pPr>
        <w:ind w:left="5620" w:hanging="429"/>
      </w:pPr>
      <w:rPr>
        <w:rFonts w:hint="default"/>
        <w:lang w:val="en-US" w:eastAsia="en-US" w:bidi="ar-SA"/>
      </w:rPr>
    </w:lvl>
    <w:lvl w:ilvl="6">
      <w:start w:val="0"/>
      <w:numFmt w:val="bullet"/>
      <w:lvlText w:val="•"/>
      <w:lvlJc w:val="left"/>
      <w:pPr>
        <w:ind w:left="6584" w:hanging="429"/>
      </w:pPr>
      <w:rPr>
        <w:rFonts w:hint="default"/>
        <w:lang w:val="en-US" w:eastAsia="en-US" w:bidi="ar-SA"/>
      </w:rPr>
    </w:lvl>
    <w:lvl w:ilvl="7">
      <w:start w:val="0"/>
      <w:numFmt w:val="bullet"/>
      <w:lvlText w:val="•"/>
      <w:lvlJc w:val="left"/>
      <w:pPr>
        <w:ind w:left="7548" w:hanging="429"/>
      </w:pPr>
      <w:rPr>
        <w:rFonts w:hint="default"/>
        <w:lang w:val="en-US" w:eastAsia="en-US" w:bidi="ar-SA"/>
      </w:rPr>
    </w:lvl>
    <w:lvl w:ilvl="8">
      <w:start w:val="0"/>
      <w:numFmt w:val="bullet"/>
      <w:lvlText w:val="•"/>
      <w:lvlJc w:val="left"/>
      <w:pPr>
        <w:ind w:left="8512" w:hanging="429"/>
      </w:pPr>
      <w:rPr>
        <w:rFonts w:hint="default"/>
        <w:lang w:val="en-US" w:eastAsia="en-US" w:bidi="ar-SA"/>
      </w:rPr>
    </w:lvl>
  </w:abstractNum>
  <w:abstractNum w:abstractNumId="315">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11"/>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1"/>
      <w:numFmt w:val="decimal"/>
      <w:lvlText w:val="(%4)"/>
      <w:lvlJc w:val="left"/>
      <w:pPr>
        <w:ind w:left="792" w:hanging="428"/>
        <w:jc w:val="left"/>
      </w:pPr>
      <w:rPr>
        <w:rFonts w:hint="default" w:ascii="Arial" w:hAnsi="Arial" w:eastAsia="Arial" w:cs="Arial"/>
        <w:b w:val="0"/>
        <w:bCs w:val="0"/>
        <w:i w:val="0"/>
        <w:iCs w:val="0"/>
        <w:spacing w:val="-1"/>
        <w:w w:val="100"/>
        <w:sz w:val="24"/>
        <w:szCs w:val="24"/>
        <w:lang w:val="en-US" w:eastAsia="en-US" w:bidi="ar-SA"/>
      </w:rPr>
    </w:lvl>
    <w:lvl w:ilvl="4">
      <w:start w:val="1"/>
      <w:numFmt w:val="upperLetter"/>
      <w:lvlText w:val="(%5)"/>
      <w:lvlJc w:val="left"/>
      <w:pPr>
        <w:ind w:left="1678" w:hanging="455"/>
        <w:jc w:val="left"/>
      </w:pPr>
      <w:rPr>
        <w:rFonts w:hint="default" w:ascii="Arial" w:hAnsi="Arial" w:eastAsia="Arial" w:cs="Arial"/>
        <w:b w:val="0"/>
        <w:bCs w:val="0"/>
        <w:i w:val="0"/>
        <w:iCs w:val="0"/>
        <w:spacing w:val="-1"/>
        <w:w w:val="100"/>
        <w:sz w:val="24"/>
        <w:szCs w:val="24"/>
        <w:lang w:val="en-US" w:eastAsia="en-US" w:bidi="ar-SA"/>
      </w:rPr>
    </w:lvl>
    <w:lvl w:ilvl="5">
      <w:start w:val="1"/>
      <w:numFmt w:val="lowerRoman"/>
      <w:lvlText w:val="(%6)"/>
      <w:lvlJc w:val="left"/>
      <w:pPr>
        <w:ind w:left="2002" w:hanging="347"/>
        <w:jc w:val="left"/>
      </w:pPr>
      <w:rPr>
        <w:rFonts w:hint="default" w:ascii="Arial" w:hAnsi="Arial" w:eastAsia="Arial" w:cs="Arial"/>
        <w:b w:val="0"/>
        <w:bCs w:val="0"/>
        <w:i w:val="0"/>
        <w:iCs w:val="0"/>
        <w:spacing w:val="-1"/>
        <w:w w:val="100"/>
        <w:sz w:val="24"/>
        <w:szCs w:val="24"/>
        <w:lang w:val="en-US" w:eastAsia="en-US" w:bidi="ar-SA"/>
      </w:rPr>
    </w:lvl>
    <w:lvl w:ilvl="6">
      <w:start w:val="0"/>
      <w:numFmt w:val="bullet"/>
      <w:lvlText w:val="•"/>
      <w:lvlJc w:val="left"/>
      <w:pPr>
        <w:ind w:left="4813" w:hanging="347"/>
      </w:pPr>
      <w:rPr>
        <w:rFonts w:hint="default"/>
        <w:lang w:val="en-US" w:eastAsia="en-US" w:bidi="ar-SA"/>
      </w:rPr>
    </w:lvl>
    <w:lvl w:ilvl="7">
      <w:start w:val="0"/>
      <w:numFmt w:val="bullet"/>
      <w:lvlText w:val="•"/>
      <w:lvlJc w:val="left"/>
      <w:pPr>
        <w:ind w:left="6220" w:hanging="347"/>
      </w:pPr>
      <w:rPr>
        <w:rFonts w:hint="default"/>
        <w:lang w:val="en-US" w:eastAsia="en-US" w:bidi="ar-SA"/>
      </w:rPr>
    </w:lvl>
    <w:lvl w:ilvl="8">
      <w:start w:val="0"/>
      <w:numFmt w:val="bullet"/>
      <w:lvlText w:val="•"/>
      <w:lvlJc w:val="left"/>
      <w:pPr>
        <w:ind w:left="7626" w:hanging="347"/>
      </w:pPr>
      <w:rPr>
        <w:rFonts w:hint="default"/>
        <w:lang w:val="en-US" w:eastAsia="en-US" w:bidi="ar-SA"/>
      </w:rPr>
    </w:lvl>
  </w:abstractNum>
  <w:abstractNum w:abstractNumId="314">
    <w:multiLevelType w:val="hybridMultilevel"/>
    <w:lvl w:ilvl="0">
      <w:start w:val="1"/>
      <w:numFmt w:val="decimal"/>
      <w:lvlText w:val="%1."/>
      <w:lvlJc w:val="left"/>
      <w:pPr>
        <w:ind w:left="1080" w:hanging="28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016" w:hanging="288"/>
      </w:pPr>
      <w:rPr>
        <w:rFonts w:hint="default"/>
        <w:lang w:val="en-US" w:eastAsia="en-US" w:bidi="ar-SA"/>
      </w:rPr>
    </w:lvl>
    <w:lvl w:ilvl="2">
      <w:start w:val="0"/>
      <w:numFmt w:val="bullet"/>
      <w:lvlText w:val="•"/>
      <w:lvlJc w:val="left"/>
      <w:pPr>
        <w:ind w:left="2952" w:hanging="288"/>
      </w:pPr>
      <w:rPr>
        <w:rFonts w:hint="default"/>
        <w:lang w:val="en-US" w:eastAsia="en-US" w:bidi="ar-SA"/>
      </w:rPr>
    </w:lvl>
    <w:lvl w:ilvl="3">
      <w:start w:val="0"/>
      <w:numFmt w:val="bullet"/>
      <w:lvlText w:val="•"/>
      <w:lvlJc w:val="left"/>
      <w:pPr>
        <w:ind w:left="3888" w:hanging="288"/>
      </w:pPr>
      <w:rPr>
        <w:rFonts w:hint="default"/>
        <w:lang w:val="en-US" w:eastAsia="en-US" w:bidi="ar-SA"/>
      </w:rPr>
    </w:lvl>
    <w:lvl w:ilvl="4">
      <w:start w:val="0"/>
      <w:numFmt w:val="bullet"/>
      <w:lvlText w:val="•"/>
      <w:lvlJc w:val="left"/>
      <w:pPr>
        <w:ind w:left="4824" w:hanging="288"/>
      </w:pPr>
      <w:rPr>
        <w:rFonts w:hint="default"/>
        <w:lang w:val="en-US" w:eastAsia="en-US" w:bidi="ar-SA"/>
      </w:rPr>
    </w:lvl>
    <w:lvl w:ilvl="5">
      <w:start w:val="0"/>
      <w:numFmt w:val="bullet"/>
      <w:lvlText w:val="•"/>
      <w:lvlJc w:val="left"/>
      <w:pPr>
        <w:ind w:left="5760" w:hanging="288"/>
      </w:pPr>
      <w:rPr>
        <w:rFonts w:hint="default"/>
        <w:lang w:val="en-US" w:eastAsia="en-US" w:bidi="ar-SA"/>
      </w:rPr>
    </w:lvl>
    <w:lvl w:ilvl="6">
      <w:start w:val="0"/>
      <w:numFmt w:val="bullet"/>
      <w:lvlText w:val="•"/>
      <w:lvlJc w:val="left"/>
      <w:pPr>
        <w:ind w:left="6696" w:hanging="288"/>
      </w:pPr>
      <w:rPr>
        <w:rFonts w:hint="default"/>
        <w:lang w:val="en-US" w:eastAsia="en-US" w:bidi="ar-SA"/>
      </w:rPr>
    </w:lvl>
    <w:lvl w:ilvl="7">
      <w:start w:val="0"/>
      <w:numFmt w:val="bullet"/>
      <w:lvlText w:val="•"/>
      <w:lvlJc w:val="left"/>
      <w:pPr>
        <w:ind w:left="7632" w:hanging="288"/>
      </w:pPr>
      <w:rPr>
        <w:rFonts w:hint="default"/>
        <w:lang w:val="en-US" w:eastAsia="en-US" w:bidi="ar-SA"/>
      </w:rPr>
    </w:lvl>
    <w:lvl w:ilvl="8">
      <w:start w:val="0"/>
      <w:numFmt w:val="bullet"/>
      <w:lvlText w:val="•"/>
      <w:lvlJc w:val="left"/>
      <w:pPr>
        <w:ind w:left="8568" w:hanging="288"/>
      </w:pPr>
      <w:rPr>
        <w:rFonts w:hint="default"/>
        <w:lang w:val="en-US" w:eastAsia="en-US" w:bidi="ar-SA"/>
      </w:rPr>
    </w:lvl>
  </w:abstractNum>
  <w:abstractNum w:abstractNumId="313">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312">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11"/>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311">
    <w:multiLevelType w:val="hybridMultilevel"/>
    <w:lvl w:ilvl="0">
      <w:start w:val="1"/>
      <w:numFmt w:val="decimal"/>
      <w:lvlText w:val="%1."/>
      <w:lvlJc w:val="left"/>
      <w:pPr>
        <w:ind w:left="810" w:hanging="45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82" w:hanging="450"/>
      </w:pPr>
      <w:rPr>
        <w:rFonts w:hint="default"/>
        <w:lang w:val="en-US" w:eastAsia="en-US" w:bidi="ar-SA"/>
      </w:rPr>
    </w:lvl>
    <w:lvl w:ilvl="2">
      <w:start w:val="0"/>
      <w:numFmt w:val="bullet"/>
      <w:lvlText w:val="•"/>
      <w:lvlJc w:val="left"/>
      <w:pPr>
        <w:ind w:left="2744" w:hanging="450"/>
      </w:pPr>
      <w:rPr>
        <w:rFonts w:hint="default"/>
        <w:lang w:val="en-US" w:eastAsia="en-US" w:bidi="ar-SA"/>
      </w:rPr>
    </w:lvl>
    <w:lvl w:ilvl="3">
      <w:start w:val="0"/>
      <w:numFmt w:val="bullet"/>
      <w:lvlText w:val="•"/>
      <w:lvlJc w:val="left"/>
      <w:pPr>
        <w:ind w:left="3706" w:hanging="450"/>
      </w:pPr>
      <w:rPr>
        <w:rFonts w:hint="default"/>
        <w:lang w:val="en-US" w:eastAsia="en-US" w:bidi="ar-SA"/>
      </w:rPr>
    </w:lvl>
    <w:lvl w:ilvl="4">
      <w:start w:val="0"/>
      <w:numFmt w:val="bullet"/>
      <w:lvlText w:val="•"/>
      <w:lvlJc w:val="left"/>
      <w:pPr>
        <w:ind w:left="4668" w:hanging="450"/>
      </w:pPr>
      <w:rPr>
        <w:rFonts w:hint="default"/>
        <w:lang w:val="en-US" w:eastAsia="en-US" w:bidi="ar-SA"/>
      </w:rPr>
    </w:lvl>
    <w:lvl w:ilvl="5">
      <w:start w:val="0"/>
      <w:numFmt w:val="bullet"/>
      <w:lvlText w:val="•"/>
      <w:lvlJc w:val="left"/>
      <w:pPr>
        <w:ind w:left="5630" w:hanging="450"/>
      </w:pPr>
      <w:rPr>
        <w:rFonts w:hint="default"/>
        <w:lang w:val="en-US" w:eastAsia="en-US" w:bidi="ar-SA"/>
      </w:rPr>
    </w:lvl>
    <w:lvl w:ilvl="6">
      <w:start w:val="0"/>
      <w:numFmt w:val="bullet"/>
      <w:lvlText w:val="•"/>
      <w:lvlJc w:val="left"/>
      <w:pPr>
        <w:ind w:left="6592" w:hanging="450"/>
      </w:pPr>
      <w:rPr>
        <w:rFonts w:hint="default"/>
        <w:lang w:val="en-US" w:eastAsia="en-US" w:bidi="ar-SA"/>
      </w:rPr>
    </w:lvl>
    <w:lvl w:ilvl="7">
      <w:start w:val="0"/>
      <w:numFmt w:val="bullet"/>
      <w:lvlText w:val="•"/>
      <w:lvlJc w:val="left"/>
      <w:pPr>
        <w:ind w:left="7554" w:hanging="450"/>
      </w:pPr>
      <w:rPr>
        <w:rFonts w:hint="default"/>
        <w:lang w:val="en-US" w:eastAsia="en-US" w:bidi="ar-SA"/>
      </w:rPr>
    </w:lvl>
    <w:lvl w:ilvl="8">
      <w:start w:val="0"/>
      <w:numFmt w:val="bullet"/>
      <w:lvlText w:val="•"/>
      <w:lvlJc w:val="left"/>
      <w:pPr>
        <w:ind w:left="8516" w:hanging="450"/>
      </w:pPr>
      <w:rPr>
        <w:rFonts w:hint="default"/>
        <w:lang w:val="en-US" w:eastAsia="en-US" w:bidi="ar-SA"/>
      </w:rPr>
    </w:lvl>
  </w:abstractNum>
  <w:abstractNum w:abstractNumId="310">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309">
    <w:multiLevelType w:val="hybridMultilevel"/>
    <w:lvl w:ilvl="0">
      <w:start w:val="4"/>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308">
    <w:multiLevelType w:val="hybridMultilevel"/>
    <w:lvl w:ilvl="0">
      <w:start w:val="3"/>
      <w:numFmt w:val="lowerLetter"/>
      <w:lvlText w:val="%1)"/>
      <w:lvlJc w:val="left"/>
      <w:pPr>
        <w:ind w:left="360" w:hanging="335"/>
        <w:jc w:val="left"/>
      </w:pPr>
      <w:rPr>
        <w:rFonts w:hint="default" w:ascii="Arial" w:hAnsi="Arial" w:eastAsia="Arial" w:cs="Arial"/>
        <w:b w:val="0"/>
        <w:bCs w:val="0"/>
        <w:i w:val="0"/>
        <w:iCs w:val="0"/>
        <w:spacing w:val="0"/>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260" w:hanging="454"/>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2407" w:hanging="454"/>
      </w:pPr>
      <w:rPr>
        <w:rFonts w:hint="default"/>
        <w:lang w:val="en-US" w:eastAsia="en-US" w:bidi="ar-SA"/>
      </w:rPr>
    </w:lvl>
    <w:lvl w:ilvl="4">
      <w:start w:val="0"/>
      <w:numFmt w:val="bullet"/>
      <w:lvlText w:val="•"/>
      <w:lvlJc w:val="left"/>
      <w:pPr>
        <w:ind w:left="3555" w:hanging="454"/>
      </w:pPr>
      <w:rPr>
        <w:rFonts w:hint="default"/>
        <w:lang w:val="en-US" w:eastAsia="en-US" w:bidi="ar-SA"/>
      </w:rPr>
    </w:lvl>
    <w:lvl w:ilvl="5">
      <w:start w:val="0"/>
      <w:numFmt w:val="bullet"/>
      <w:lvlText w:val="•"/>
      <w:lvlJc w:val="left"/>
      <w:pPr>
        <w:ind w:left="4702" w:hanging="454"/>
      </w:pPr>
      <w:rPr>
        <w:rFonts w:hint="default"/>
        <w:lang w:val="en-US" w:eastAsia="en-US" w:bidi="ar-SA"/>
      </w:rPr>
    </w:lvl>
    <w:lvl w:ilvl="6">
      <w:start w:val="0"/>
      <w:numFmt w:val="bullet"/>
      <w:lvlText w:val="•"/>
      <w:lvlJc w:val="left"/>
      <w:pPr>
        <w:ind w:left="5850" w:hanging="454"/>
      </w:pPr>
      <w:rPr>
        <w:rFonts w:hint="default"/>
        <w:lang w:val="en-US" w:eastAsia="en-US" w:bidi="ar-SA"/>
      </w:rPr>
    </w:lvl>
    <w:lvl w:ilvl="7">
      <w:start w:val="0"/>
      <w:numFmt w:val="bullet"/>
      <w:lvlText w:val="•"/>
      <w:lvlJc w:val="left"/>
      <w:pPr>
        <w:ind w:left="6997" w:hanging="454"/>
      </w:pPr>
      <w:rPr>
        <w:rFonts w:hint="default"/>
        <w:lang w:val="en-US" w:eastAsia="en-US" w:bidi="ar-SA"/>
      </w:rPr>
    </w:lvl>
    <w:lvl w:ilvl="8">
      <w:start w:val="0"/>
      <w:numFmt w:val="bullet"/>
      <w:lvlText w:val="•"/>
      <w:lvlJc w:val="left"/>
      <w:pPr>
        <w:ind w:left="8145" w:hanging="454"/>
      </w:pPr>
      <w:rPr>
        <w:rFonts w:hint="default"/>
        <w:lang w:val="en-US" w:eastAsia="en-US" w:bidi="ar-SA"/>
      </w:rPr>
    </w:lvl>
  </w:abstractNum>
  <w:abstractNum w:abstractNumId="307">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306">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94"/>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305">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65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660" w:hanging="429"/>
      </w:pPr>
      <w:rPr>
        <w:rFonts w:hint="default"/>
        <w:lang w:val="en-US" w:eastAsia="en-US" w:bidi="ar-SA"/>
      </w:rPr>
    </w:lvl>
    <w:lvl w:ilvl="3">
      <w:start w:val="0"/>
      <w:numFmt w:val="bullet"/>
      <w:lvlText w:val="•"/>
      <w:lvlJc w:val="left"/>
      <w:pPr>
        <w:ind w:left="2757" w:hanging="429"/>
      </w:pPr>
      <w:rPr>
        <w:rFonts w:hint="default"/>
        <w:lang w:val="en-US" w:eastAsia="en-US" w:bidi="ar-SA"/>
      </w:rPr>
    </w:lvl>
    <w:lvl w:ilvl="4">
      <w:start w:val="0"/>
      <w:numFmt w:val="bullet"/>
      <w:lvlText w:val="•"/>
      <w:lvlJc w:val="left"/>
      <w:pPr>
        <w:ind w:left="3855" w:hanging="429"/>
      </w:pPr>
      <w:rPr>
        <w:rFonts w:hint="default"/>
        <w:lang w:val="en-US" w:eastAsia="en-US" w:bidi="ar-SA"/>
      </w:rPr>
    </w:lvl>
    <w:lvl w:ilvl="5">
      <w:start w:val="0"/>
      <w:numFmt w:val="bullet"/>
      <w:lvlText w:val="•"/>
      <w:lvlJc w:val="left"/>
      <w:pPr>
        <w:ind w:left="4952" w:hanging="429"/>
      </w:pPr>
      <w:rPr>
        <w:rFonts w:hint="default"/>
        <w:lang w:val="en-US" w:eastAsia="en-US" w:bidi="ar-SA"/>
      </w:rPr>
    </w:lvl>
    <w:lvl w:ilvl="6">
      <w:start w:val="0"/>
      <w:numFmt w:val="bullet"/>
      <w:lvlText w:val="•"/>
      <w:lvlJc w:val="left"/>
      <w:pPr>
        <w:ind w:left="6050" w:hanging="429"/>
      </w:pPr>
      <w:rPr>
        <w:rFonts w:hint="default"/>
        <w:lang w:val="en-US" w:eastAsia="en-US" w:bidi="ar-SA"/>
      </w:rPr>
    </w:lvl>
    <w:lvl w:ilvl="7">
      <w:start w:val="0"/>
      <w:numFmt w:val="bullet"/>
      <w:lvlText w:val="•"/>
      <w:lvlJc w:val="left"/>
      <w:pPr>
        <w:ind w:left="7147" w:hanging="429"/>
      </w:pPr>
      <w:rPr>
        <w:rFonts w:hint="default"/>
        <w:lang w:val="en-US" w:eastAsia="en-US" w:bidi="ar-SA"/>
      </w:rPr>
    </w:lvl>
    <w:lvl w:ilvl="8">
      <w:start w:val="0"/>
      <w:numFmt w:val="bullet"/>
      <w:lvlText w:val="•"/>
      <w:lvlJc w:val="left"/>
      <w:pPr>
        <w:ind w:left="8245" w:hanging="429"/>
      </w:pPr>
      <w:rPr>
        <w:rFonts w:hint="default"/>
        <w:lang w:val="en-US" w:eastAsia="en-US" w:bidi="ar-SA"/>
      </w:rPr>
    </w:lvl>
  </w:abstractNum>
  <w:abstractNum w:abstractNumId="304">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94"/>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303">
    <w:multiLevelType w:val="hybridMultilevel"/>
    <w:lvl w:ilvl="0">
      <w:start w:val="8"/>
      <w:numFmt w:val="decimal"/>
      <w:lvlText w:val="%1"/>
      <w:lvlJc w:val="left"/>
      <w:pPr>
        <w:ind w:left="1440" w:hanging="1080"/>
        <w:jc w:val="left"/>
      </w:pPr>
      <w:rPr>
        <w:rFonts w:hint="default"/>
        <w:lang w:val="en-US" w:eastAsia="en-US" w:bidi="ar-SA"/>
      </w:rPr>
    </w:lvl>
    <w:lvl w:ilvl="1">
      <w:start w:val="11"/>
      <w:numFmt w:val="decimal"/>
      <w:lvlText w:val="%1-%2"/>
      <w:lvlJc w:val="left"/>
      <w:pPr>
        <w:ind w:left="1440" w:hanging="1080"/>
        <w:jc w:val="left"/>
      </w:pPr>
      <w:rPr>
        <w:rFonts w:hint="default"/>
        <w:lang w:val="en-US" w:eastAsia="en-US" w:bidi="ar-SA"/>
      </w:rPr>
    </w:lvl>
    <w:lvl w:ilvl="2">
      <w:start w:val="23"/>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302">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81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301">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94"/>
      <w:numFmt w:val="decimal"/>
      <w:lvlText w:val="%1-%2-%3"/>
      <w:lvlJc w:val="left"/>
      <w:pPr>
        <w:ind w:left="1440" w:hanging="1080"/>
        <w:jc w:val="left"/>
      </w:pPr>
      <w:rPr>
        <w:rFonts w:hint="default"/>
        <w:spacing w:val="-1"/>
        <w:w w:val="100"/>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300">
    <w:multiLevelType w:val="hybridMultilevel"/>
    <w:lvl w:ilvl="0">
      <w:start w:val="8"/>
      <w:numFmt w:val="decimal"/>
      <w:lvlText w:val="%1"/>
      <w:lvlJc w:val="left"/>
      <w:pPr>
        <w:ind w:left="1440" w:hanging="1080"/>
        <w:jc w:val="left"/>
      </w:pPr>
      <w:rPr>
        <w:rFonts w:hint="default"/>
        <w:lang w:val="en-US" w:eastAsia="en-US" w:bidi="ar-SA"/>
      </w:rPr>
    </w:lvl>
    <w:lvl w:ilvl="1">
      <w:start w:val="11"/>
      <w:numFmt w:val="decimal"/>
      <w:lvlText w:val="%1-%2"/>
      <w:lvlJc w:val="left"/>
      <w:pPr>
        <w:ind w:left="1440" w:hanging="1080"/>
        <w:jc w:val="left"/>
      </w:pPr>
      <w:rPr>
        <w:rFonts w:hint="default"/>
        <w:lang w:val="en-US" w:eastAsia="en-US" w:bidi="ar-SA"/>
      </w:rPr>
    </w:lvl>
    <w:lvl w:ilvl="2">
      <w:start w:val="23"/>
      <w:numFmt w:val="decimal"/>
      <w:lvlText w:val="%1-%2-%3"/>
      <w:lvlJc w:val="left"/>
      <w:pPr>
        <w:ind w:left="1440" w:hanging="1080"/>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99">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94"/>
      <w:numFmt w:val="decimal"/>
      <w:lvlText w:val="%1-%2-%3"/>
      <w:lvlJc w:val="left"/>
      <w:pPr>
        <w:ind w:left="1440" w:hanging="1080"/>
        <w:jc w:val="left"/>
      </w:pPr>
      <w:rPr>
        <w:rFonts w:hint="default"/>
        <w:spacing w:val="-1"/>
        <w:w w:val="100"/>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98">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297">
    <w:multiLevelType w:val="hybridMultilevel"/>
    <w:lvl w:ilvl="0">
      <w:start w:val="7"/>
      <w:numFmt w:val="decimal"/>
      <w:lvlText w:val="%1"/>
      <w:lvlJc w:val="left"/>
      <w:pPr>
        <w:ind w:left="1530" w:hanging="1171"/>
        <w:jc w:val="left"/>
      </w:pPr>
      <w:rPr>
        <w:rFonts w:hint="default"/>
        <w:lang w:val="en-US" w:eastAsia="en-US" w:bidi="ar-SA"/>
      </w:rPr>
    </w:lvl>
    <w:lvl w:ilvl="1">
      <w:start w:val="1"/>
      <w:numFmt w:val="decimal"/>
      <w:lvlText w:val="%1-%2"/>
      <w:lvlJc w:val="left"/>
      <w:pPr>
        <w:ind w:left="1530" w:hanging="1171"/>
        <w:jc w:val="left"/>
      </w:pPr>
      <w:rPr>
        <w:rFonts w:hint="default"/>
        <w:lang w:val="en-US" w:eastAsia="en-US" w:bidi="ar-SA"/>
      </w:rPr>
    </w:lvl>
    <w:lvl w:ilvl="2">
      <w:start w:val="94"/>
      <w:numFmt w:val="decimal"/>
      <w:lvlText w:val="%1-%2-%3"/>
      <w:lvlJc w:val="left"/>
      <w:pPr>
        <w:ind w:left="1530" w:hanging="1171"/>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210" w:hanging="1171"/>
      </w:pPr>
      <w:rPr>
        <w:rFonts w:hint="default"/>
        <w:lang w:val="en-US" w:eastAsia="en-US" w:bidi="ar-SA"/>
      </w:rPr>
    </w:lvl>
    <w:lvl w:ilvl="4">
      <w:start w:val="0"/>
      <w:numFmt w:val="bullet"/>
      <w:lvlText w:val="•"/>
      <w:lvlJc w:val="left"/>
      <w:pPr>
        <w:ind w:left="5100" w:hanging="1171"/>
      </w:pPr>
      <w:rPr>
        <w:rFonts w:hint="default"/>
        <w:lang w:val="en-US" w:eastAsia="en-US" w:bidi="ar-SA"/>
      </w:rPr>
    </w:lvl>
    <w:lvl w:ilvl="5">
      <w:start w:val="0"/>
      <w:numFmt w:val="bullet"/>
      <w:lvlText w:val="•"/>
      <w:lvlJc w:val="left"/>
      <w:pPr>
        <w:ind w:left="5990" w:hanging="1171"/>
      </w:pPr>
      <w:rPr>
        <w:rFonts w:hint="default"/>
        <w:lang w:val="en-US" w:eastAsia="en-US" w:bidi="ar-SA"/>
      </w:rPr>
    </w:lvl>
    <w:lvl w:ilvl="6">
      <w:start w:val="0"/>
      <w:numFmt w:val="bullet"/>
      <w:lvlText w:val="•"/>
      <w:lvlJc w:val="left"/>
      <w:pPr>
        <w:ind w:left="6880" w:hanging="1171"/>
      </w:pPr>
      <w:rPr>
        <w:rFonts w:hint="default"/>
        <w:lang w:val="en-US" w:eastAsia="en-US" w:bidi="ar-SA"/>
      </w:rPr>
    </w:lvl>
    <w:lvl w:ilvl="7">
      <w:start w:val="0"/>
      <w:numFmt w:val="bullet"/>
      <w:lvlText w:val="•"/>
      <w:lvlJc w:val="left"/>
      <w:pPr>
        <w:ind w:left="7770" w:hanging="1171"/>
      </w:pPr>
      <w:rPr>
        <w:rFonts w:hint="default"/>
        <w:lang w:val="en-US" w:eastAsia="en-US" w:bidi="ar-SA"/>
      </w:rPr>
    </w:lvl>
    <w:lvl w:ilvl="8">
      <w:start w:val="0"/>
      <w:numFmt w:val="bullet"/>
      <w:lvlText w:val="•"/>
      <w:lvlJc w:val="left"/>
      <w:pPr>
        <w:ind w:left="8660" w:hanging="1171"/>
      </w:pPr>
      <w:rPr>
        <w:rFonts w:hint="default"/>
        <w:lang w:val="en-US" w:eastAsia="en-US" w:bidi="ar-SA"/>
      </w:rPr>
    </w:lvl>
  </w:abstractNum>
  <w:abstractNum w:abstractNumId="296">
    <w:multiLevelType w:val="hybridMultilevel"/>
    <w:lvl w:ilvl="0">
      <w:start w:val="8"/>
      <w:numFmt w:val="decimal"/>
      <w:lvlText w:val="%1"/>
      <w:lvlJc w:val="left"/>
      <w:pPr>
        <w:ind w:left="1440" w:hanging="1080"/>
        <w:jc w:val="left"/>
      </w:pPr>
      <w:rPr>
        <w:rFonts w:hint="default"/>
        <w:lang w:val="en-US" w:eastAsia="en-US" w:bidi="ar-SA"/>
      </w:rPr>
    </w:lvl>
    <w:lvl w:ilvl="1">
      <w:start w:val="11"/>
      <w:numFmt w:val="decimal"/>
      <w:lvlText w:val="%1-%2"/>
      <w:lvlJc w:val="left"/>
      <w:pPr>
        <w:ind w:left="1440" w:hanging="1080"/>
        <w:jc w:val="left"/>
      </w:pPr>
      <w:rPr>
        <w:rFonts w:hint="default"/>
        <w:lang w:val="en-US" w:eastAsia="en-US" w:bidi="ar-SA"/>
      </w:rPr>
    </w:lvl>
    <w:lvl w:ilvl="2">
      <w:start w:val="23"/>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1"/>
      <w:numFmt w:val="decimal"/>
      <w:lvlText w:val="%4."/>
      <w:lvlJc w:val="left"/>
      <w:pPr>
        <w:ind w:left="792" w:hanging="288"/>
        <w:jc w:val="left"/>
      </w:pPr>
      <w:rPr>
        <w:rFonts w:hint="default" w:ascii="Arial" w:hAnsi="Arial" w:eastAsia="Arial" w:cs="Arial"/>
        <w:b w:val="0"/>
        <w:bCs w:val="0"/>
        <w:i w:val="0"/>
        <w:iCs w:val="0"/>
        <w:spacing w:val="-1"/>
        <w:w w:val="100"/>
        <w:sz w:val="24"/>
        <w:szCs w:val="24"/>
        <w:lang w:val="en-US" w:eastAsia="en-US" w:bidi="ar-SA"/>
      </w:rPr>
    </w:lvl>
    <w:lvl w:ilvl="4">
      <w:start w:val="0"/>
      <w:numFmt w:val="bullet"/>
      <w:lvlText w:val="•"/>
      <w:lvlJc w:val="left"/>
      <w:pPr>
        <w:ind w:left="4440" w:hanging="288"/>
      </w:pPr>
      <w:rPr>
        <w:rFonts w:hint="default"/>
        <w:lang w:val="en-US" w:eastAsia="en-US" w:bidi="ar-SA"/>
      </w:rPr>
    </w:lvl>
    <w:lvl w:ilvl="5">
      <w:start w:val="0"/>
      <w:numFmt w:val="bullet"/>
      <w:lvlText w:val="•"/>
      <w:lvlJc w:val="left"/>
      <w:pPr>
        <w:ind w:left="5440" w:hanging="288"/>
      </w:pPr>
      <w:rPr>
        <w:rFonts w:hint="default"/>
        <w:lang w:val="en-US" w:eastAsia="en-US" w:bidi="ar-SA"/>
      </w:rPr>
    </w:lvl>
    <w:lvl w:ilvl="6">
      <w:start w:val="0"/>
      <w:numFmt w:val="bullet"/>
      <w:lvlText w:val="•"/>
      <w:lvlJc w:val="left"/>
      <w:pPr>
        <w:ind w:left="6440" w:hanging="288"/>
      </w:pPr>
      <w:rPr>
        <w:rFonts w:hint="default"/>
        <w:lang w:val="en-US" w:eastAsia="en-US" w:bidi="ar-SA"/>
      </w:rPr>
    </w:lvl>
    <w:lvl w:ilvl="7">
      <w:start w:val="0"/>
      <w:numFmt w:val="bullet"/>
      <w:lvlText w:val="•"/>
      <w:lvlJc w:val="left"/>
      <w:pPr>
        <w:ind w:left="7440" w:hanging="288"/>
      </w:pPr>
      <w:rPr>
        <w:rFonts w:hint="default"/>
        <w:lang w:val="en-US" w:eastAsia="en-US" w:bidi="ar-SA"/>
      </w:rPr>
    </w:lvl>
    <w:lvl w:ilvl="8">
      <w:start w:val="0"/>
      <w:numFmt w:val="bullet"/>
      <w:lvlText w:val="•"/>
      <w:lvlJc w:val="left"/>
      <w:pPr>
        <w:ind w:left="8440" w:hanging="288"/>
      </w:pPr>
      <w:rPr>
        <w:rFonts w:hint="default"/>
        <w:lang w:val="en-US" w:eastAsia="en-US" w:bidi="ar-SA"/>
      </w:rPr>
    </w:lvl>
  </w:abstractNum>
  <w:abstractNum w:abstractNumId="295">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4"/>
      <w:numFmt w:val="decimalZero"/>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94">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293">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94"/>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92">
    <w:multiLevelType w:val="hybridMultilevel"/>
    <w:lvl w:ilvl="0">
      <w:start w:val="1"/>
      <w:numFmt w:val="decimal"/>
      <w:lvlText w:val="%1."/>
      <w:lvlJc w:val="left"/>
      <w:pPr>
        <w:ind w:left="1080" w:hanging="288"/>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530" w:hanging="450"/>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511" w:hanging="450"/>
      </w:pPr>
      <w:rPr>
        <w:rFonts w:hint="default"/>
        <w:lang w:val="en-US" w:eastAsia="en-US" w:bidi="ar-SA"/>
      </w:rPr>
    </w:lvl>
    <w:lvl w:ilvl="3">
      <w:start w:val="0"/>
      <w:numFmt w:val="bullet"/>
      <w:lvlText w:val="•"/>
      <w:lvlJc w:val="left"/>
      <w:pPr>
        <w:ind w:left="3502" w:hanging="450"/>
      </w:pPr>
      <w:rPr>
        <w:rFonts w:hint="default"/>
        <w:lang w:val="en-US" w:eastAsia="en-US" w:bidi="ar-SA"/>
      </w:rPr>
    </w:lvl>
    <w:lvl w:ilvl="4">
      <w:start w:val="0"/>
      <w:numFmt w:val="bullet"/>
      <w:lvlText w:val="•"/>
      <w:lvlJc w:val="left"/>
      <w:pPr>
        <w:ind w:left="4493" w:hanging="450"/>
      </w:pPr>
      <w:rPr>
        <w:rFonts w:hint="default"/>
        <w:lang w:val="en-US" w:eastAsia="en-US" w:bidi="ar-SA"/>
      </w:rPr>
    </w:lvl>
    <w:lvl w:ilvl="5">
      <w:start w:val="0"/>
      <w:numFmt w:val="bullet"/>
      <w:lvlText w:val="•"/>
      <w:lvlJc w:val="left"/>
      <w:pPr>
        <w:ind w:left="5484" w:hanging="450"/>
      </w:pPr>
      <w:rPr>
        <w:rFonts w:hint="default"/>
        <w:lang w:val="en-US" w:eastAsia="en-US" w:bidi="ar-SA"/>
      </w:rPr>
    </w:lvl>
    <w:lvl w:ilvl="6">
      <w:start w:val="0"/>
      <w:numFmt w:val="bullet"/>
      <w:lvlText w:val="•"/>
      <w:lvlJc w:val="left"/>
      <w:pPr>
        <w:ind w:left="6475" w:hanging="450"/>
      </w:pPr>
      <w:rPr>
        <w:rFonts w:hint="default"/>
        <w:lang w:val="en-US" w:eastAsia="en-US" w:bidi="ar-SA"/>
      </w:rPr>
    </w:lvl>
    <w:lvl w:ilvl="7">
      <w:start w:val="0"/>
      <w:numFmt w:val="bullet"/>
      <w:lvlText w:val="•"/>
      <w:lvlJc w:val="left"/>
      <w:pPr>
        <w:ind w:left="7466" w:hanging="450"/>
      </w:pPr>
      <w:rPr>
        <w:rFonts w:hint="default"/>
        <w:lang w:val="en-US" w:eastAsia="en-US" w:bidi="ar-SA"/>
      </w:rPr>
    </w:lvl>
    <w:lvl w:ilvl="8">
      <w:start w:val="0"/>
      <w:numFmt w:val="bullet"/>
      <w:lvlText w:val="•"/>
      <w:lvlJc w:val="left"/>
      <w:pPr>
        <w:ind w:left="8457" w:hanging="450"/>
      </w:pPr>
      <w:rPr>
        <w:rFonts w:hint="default"/>
        <w:lang w:val="en-US" w:eastAsia="en-US" w:bidi="ar-SA"/>
      </w:rPr>
    </w:lvl>
  </w:abstractNum>
  <w:abstractNum w:abstractNumId="291">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94"/>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90">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11"/>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89">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220" w:hanging="429"/>
      </w:pPr>
      <w:rPr>
        <w:rFonts w:hint="default"/>
        <w:lang w:val="en-US" w:eastAsia="en-US" w:bidi="ar-SA"/>
      </w:rPr>
    </w:lvl>
    <w:lvl w:ilvl="3">
      <w:start w:val="0"/>
      <w:numFmt w:val="bullet"/>
      <w:lvlText w:val="•"/>
      <w:lvlJc w:val="left"/>
      <w:pPr>
        <w:ind w:left="2372" w:hanging="429"/>
      </w:pPr>
      <w:rPr>
        <w:rFonts w:hint="default"/>
        <w:lang w:val="en-US" w:eastAsia="en-US" w:bidi="ar-SA"/>
      </w:rPr>
    </w:lvl>
    <w:lvl w:ilvl="4">
      <w:start w:val="0"/>
      <w:numFmt w:val="bullet"/>
      <w:lvlText w:val="•"/>
      <w:lvlJc w:val="left"/>
      <w:pPr>
        <w:ind w:left="3525" w:hanging="429"/>
      </w:pPr>
      <w:rPr>
        <w:rFonts w:hint="default"/>
        <w:lang w:val="en-US" w:eastAsia="en-US" w:bidi="ar-SA"/>
      </w:rPr>
    </w:lvl>
    <w:lvl w:ilvl="5">
      <w:start w:val="0"/>
      <w:numFmt w:val="bullet"/>
      <w:lvlText w:val="•"/>
      <w:lvlJc w:val="left"/>
      <w:pPr>
        <w:ind w:left="4677" w:hanging="429"/>
      </w:pPr>
      <w:rPr>
        <w:rFonts w:hint="default"/>
        <w:lang w:val="en-US" w:eastAsia="en-US" w:bidi="ar-SA"/>
      </w:rPr>
    </w:lvl>
    <w:lvl w:ilvl="6">
      <w:start w:val="0"/>
      <w:numFmt w:val="bullet"/>
      <w:lvlText w:val="•"/>
      <w:lvlJc w:val="left"/>
      <w:pPr>
        <w:ind w:left="5830" w:hanging="429"/>
      </w:pPr>
      <w:rPr>
        <w:rFonts w:hint="default"/>
        <w:lang w:val="en-US" w:eastAsia="en-US" w:bidi="ar-SA"/>
      </w:rPr>
    </w:lvl>
    <w:lvl w:ilvl="7">
      <w:start w:val="0"/>
      <w:numFmt w:val="bullet"/>
      <w:lvlText w:val="•"/>
      <w:lvlJc w:val="left"/>
      <w:pPr>
        <w:ind w:left="6982" w:hanging="429"/>
      </w:pPr>
      <w:rPr>
        <w:rFonts w:hint="default"/>
        <w:lang w:val="en-US" w:eastAsia="en-US" w:bidi="ar-SA"/>
      </w:rPr>
    </w:lvl>
    <w:lvl w:ilvl="8">
      <w:start w:val="0"/>
      <w:numFmt w:val="bullet"/>
      <w:lvlText w:val="•"/>
      <w:lvlJc w:val="left"/>
      <w:pPr>
        <w:ind w:left="8135" w:hanging="429"/>
      </w:pPr>
      <w:rPr>
        <w:rFonts w:hint="default"/>
        <w:lang w:val="en-US" w:eastAsia="en-US" w:bidi="ar-SA"/>
      </w:rPr>
    </w:lvl>
  </w:abstractNum>
  <w:abstractNum w:abstractNumId="288">
    <w:multiLevelType w:val="hybridMultilevel"/>
    <w:lvl w:ilvl="0">
      <w:start w:val="1"/>
      <w:numFmt w:val="decimal"/>
      <w:lvlText w:val="(%1)"/>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429"/>
      </w:pPr>
      <w:rPr>
        <w:rFonts w:hint="default"/>
        <w:lang w:val="en-US" w:eastAsia="en-US" w:bidi="ar-SA"/>
      </w:rPr>
    </w:lvl>
    <w:lvl w:ilvl="2">
      <w:start w:val="0"/>
      <w:numFmt w:val="bullet"/>
      <w:lvlText w:val="•"/>
      <w:lvlJc w:val="left"/>
      <w:pPr>
        <w:ind w:left="3064" w:hanging="429"/>
      </w:pPr>
      <w:rPr>
        <w:rFonts w:hint="default"/>
        <w:lang w:val="en-US" w:eastAsia="en-US" w:bidi="ar-SA"/>
      </w:rPr>
    </w:lvl>
    <w:lvl w:ilvl="3">
      <w:start w:val="0"/>
      <w:numFmt w:val="bullet"/>
      <w:lvlText w:val="•"/>
      <w:lvlJc w:val="left"/>
      <w:pPr>
        <w:ind w:left="3986" w:hanging="429"/>
      </w:pPr>
      <w:rPr>
        <w:rFonts w:hint="default"/>
        <w:lang w:val="en-US" w:eastAsia="en-US" w:bidi="ar-SA"/>
      </w:rPr>
    </w:lvl>
    <w:lvl w:ilvl="4">
      <w:start w:val="0"/>
      <w:numFmt w:val="bullet"/>
      <w:lvlText w:val="•"/>
      <w:lvlJc w:val="left"/>
      <w:pPr>
        <w:ind w:left="4908" w:hanging="429"/>
      </w:pPr>
      <w:rPr>
        <w:rFonts w:hint="default"/>
        <w:lang w:val="en-US" w:eastAsia="en-US" w:bidi="ar-SA"/>
      </w:rPr>
    </w:lvl>
    <w:lvl w:ilvl="5">
      <w:start w:val="0"/>
      <w:numFmt w:val="bullet"/>
      <w:lvlText w:val="•"/>
      <w:lvlJc w:val="left"/>
      <w:pPr>
        <w:ind w:left="5830" w:hanging="429"/>
      </w:pPr>
      <w:rPr>
        <w:rFonts w:hint="default"/>
        <w:lang w:val="en-US" w:eastAsia="en-US" w:bidi="ar-SA"/>
      </w:rPr>
    </w:lvl>
    <w:lvl w:ilvl="6">
      <w:start w:val="0"/>
      <w:numFmt w:val="bullet"/>
      <w:lvlText w:val="•"/>
      <w:lvlJc w:val="left"/>
      <w:pPr>
        <w:ind w:left="6752" w:hanging="429"/>
      </w:pPr>
      <w:rPr>
        <w:rFonts w:hint="default"/>
        <w:lang w:val="en-US" w:eastAsia="en-US" w:bidi="ar-SA"/>
      </w:rPr>
    </w:lvl>
    <w:lvl w:ilvl="7">
      <w:start w:val="0"/>
      <w:numFmt w:val="bullet"/>
      <w:lvlText w:val="•"/>
      <w:lvlJc w:val="left"/>
      <w:pPr>
        <w:ind w:left="7674" w:hanging="429"/>
      </w:pPr>
      <w:rPr>
        <w:rFonts w:hint="default"/>
        <w:lang w:val="en-US" w:eastAsia="en-US" w:bidi="ar-SA"/>
      </w:rPr>
    </w:lvl>
    <w:lvl w:ilvl="8">
      <w:start w:val="0"/>
      <w:numFmt w:val="bullet"/>
      <w:lvlText w:val="•"/>
      <w:lvlJc w:val="left"/>
      <w:pPr>
        <w:ind w:left="8596" w:hanging="429"/>
      </w:pPr>
      <w:rPr>
        <w:rFonts w:hint="default"/>
        <w:lang w:val="en-US" w:eastAsia="en-US" w:bidi="ar-SA"/>
      </w:rPr>
    </w:lvl>
  </w:abstractNum>
  <w:abstractNum w:abstractNumId="287">
    <w:multiLevelType w:val="hybridMultilevel"/>
    <w:lvl w:ilvl="0">
      <w:start w:val="1"/>
      <w:numFmt w:val="decimal"/>
      <w:lvlText w:val="(%1)"/>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429"/>
      </w:pPr>
      <w:rPr>
        <w:rFonts w:hint="default"/>
        <w:lang w:val="en-US" w:eastAsia="en-US" w:bidi="ar-SA"/>
      </w:rPr>
    </w:lvl>
    <w:lvl w:ilvl="2">
      <w:start w:val="0"/>
      <w:numFmt w:val="bullet"/>
      <w:lvlText w:val="•"/>
      <w:lvlJc w:val="left"/>
      <w:pPr>
        <w:ind w:left="2728" w:hanging="429"/>
      </w:pPr>
      <w:rPr>
        <w:rFonts w:hint="default"/>
        <w:lang w:val="en-US" w:eastAsia="en-US" w:bidi="ar-SA"/>
      </w:rPr>
    </w:lvl>
    <w:lvl w:ilvl="3">
      <w:start w:val="0"/>
      <w:numFmt w:val="bullet"/>
      <w:lvlText w:val="•"/>
      <w:lvlJc w:val="left"/>
      <w:pPr>
        <w:ind w:left="3692" w:hanging="429"/>
      </w:pPr>
      <w:rPr>
        <w:rFonts w:hint="default"/>
        <w:lang w:val="en-US" w:eastAsia="en-US" w:bidi="ar-SA"/>
      </w:rPr>
    </w:lvl>
    <w:lvl w:ilvl="4">
      <w:start w:val="0"/>
      <w:numFmt w:val="bullet"/>
      <w:lvlText w:val="•"/>
      <w:lvlJc w:val="left"/>
      <w:pPr>
        <w:ind w:left="4656" w:hanging="429"/>
      </w:pPr>
      <w:rPr>
        <w:rFonts w:hint="default"/>
        <w:lang w:val="en-US" w:eastAsia="en-US" w:bidi="ar-SA"/>
      </w:rPr>
    </w:lvl>
    <w:lvl w:ilvl="5">
      <w:start w:val="0"/>
      <w:numFmt w:val="bullet"/>
      <w:lvlText w:val="•"/>
      <w:lvlJc w:val="left"/>
      <w:pPr>
        <w:ind w:left="5620" w:hanging="429"/>
      </w:pPr>
      <w:rPr>
        <w:rFonts w:hint="default"/>
        <w:lang w:val="en-US" w:eastAsia="en-US" w:bidi="ar-SA"/>
      </w:rPr>
    </w:lvl>
    <w:lvl w:ilvl="6">
      <w:start w:val="0"/>
      <w:numFmt w:val="bullet"/>
      <w:lvlText w:val="•"/>
      <w:lvlJc w:val="left"/>
      <w:pPr>
        <w:ind w:left="6584" w:hanging="429"/>
      </w:pPr>
      <w:rPr>
        <w:rFonts w:hint="default"/>
        <w:lang w:val="en-US" w:eastAsia="en-US" w:bidi="ar-SA"/>
      </w:rPr>
    </w:lvl>
    <w:lvl w:ilvl="7">
      <w:start w:val="0"/>
      <w:numFmt w:val="bullet"/>
      <w:lvlText w:val="•"/>
      <w:lvlJc w:val="left"/>
      <w:pPr>
        <w:ind w:left="7548" w:hanging="429"/>
      </w:pPr>
      <w:rPr>
        <w:rFonts w:hint="default"/>
        <w:lang w:val="en-US" w:eastAsia="en-US" w:bidi="ar-SA"/>
      </w:rPr>
    </w:lvl>
    <w:lvl w:ilvl="8">
      <w:start w:val="0"/>
      <w:numFmt w:val="bullet"/>
      <w:lvlText w:val="•"/>
      <w:lvlJc w:val="left"/>
      <w:pPr>
        <w:ind w:left="8512" w:hanging="429"/>
      </w:pPr>
      <w:rPr>
        <w:rFonts w:hint="default"/>
        <w:lang w:val="en-US" w:eastAsia="en-US" w:bidi="ar-SA"/>
      </w:rPr>
    </w:lvl>
  </w:abstractNum>
  <w:abstractNum w:abstractNumId="286">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080" w:hanging="28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120" w:hanging="288"/>
      </w:pPr>
      <w:rPr>
        <w:rFonts w:hint="default"/>
        <w:lang w:val="en-US" w:eastAsia="en-US" w:bidi="ar-SA"/>
      </w:rPr>
    </w:lvl>
    <w:lvl w:ilvl="3">
      <w:start w:val="0"/>
      <w:numFmt w:val="bullet"/>
      <w:lvlText w:val="•"/>
      <w:lvlJc w:val="left"/>
      <w:pPr>
        <w:ind w:left="3160" w:hanging="288"/>
      </w:pPr>
      <w:rPr>
        <w:rFonts w:hint="default"/>
        <w:lang w:val="en-US" w:eastAsia="en-US" w:bidi="ar-SA"/>
      </w:rPr>
    </w:lvl>
    <w:lvl w:ilvl="4">
      <w:start w:val="0"/>
      <w:numFmt w:val="bullet"/>
      <w:lvlText w:val="•"/>
      <w:lvlJc w:val="left"/>
      <w:pPr>
        <w:ind w:left="4200" w:hanging="288"/>
      </w:pPr>
      <w:rPr>
        <w:rFonts w:hint="default"/>
        <w:lang w:val="en-US" w:eastAsia="en-US" w:bidi="ar-SA"/>
      </w:rPr>
    </w:lvl>
    <w:lvl w:ilvl="5">
      <w:start w:val="0"/>
      <w:numFmt w:val="bullet"/>
      <w:lvlText w:val="•"/>
      <w:lvlJc w:val="left"/>
      <w:pPr>
        <w:ind w:left="5240" w:hanging="288"/>
      </w:pPr>
      <w:rPr>
        <w:rFonts w:hint="default"/>
        <w:lang w:val="en-US" w:eastAsia="en-US" w:bidi="ar-SA"/>
      </w:rPr>
    </w:lvl>
    <w:lvl w:ilvl="6">
      <w:start w:val="0"/>
      <w:numFmt w:val="bullet"/>
      <w:lvlText w:val="•"/>
      <w:lvlJc w:val="left"/>
      <w:pPr>
        <w:ind w:left="6280" w:hanging="288"/>
      </w:pPr>
      <w:rPr>
        <w:rFonts w:hint="default"/>
        <w:lang w:val="en-US" w:eastAsia="en-US" w:bidi="ar-SA"/>
      </w:rPr>
    </w:lvl>
    <w:lvl w:ilvl="7">
      <w:start w:val="0"/>
      <w:numFmt w:val="bullet"/>
      <w:lvlText w:val="•"/>
      <w:lvlJc w:val="left"/>
      <w:pPr>
        <w:ind w:left="7320" w:hanging="288"/>
      </w:pPr>
      <w:rPr>
        <w:rFonts w:hint="default"/>
        <w:lang w:val="en-US" w:eastAsia="en-US" w:bidi="ar-SA"/>
      </w:rPr>
    </w:lvl>
    <w:lvl w:ilvl="8">
      <w:start w:val="0"/>
      <w:numFmt w:val="bullet"/>
      <w:lvlText w:val="•"/>
      <w:lvlJc w:val="left"/>
      <w:pPr>
        <w:ind w:left="8360" w:hanging="288"/>
      </w:pPr>
      <w:rPr>
        <w:rFonts w:hint="default"/>
        <w:lang w:val="en-US" w:eastAsia="en-US" w:bidi="ar-SA"/>
      </w:rPr>
    </w:lvl>
  </w:abstractNum>
  <w:abstractNum w:abstractNumId="285">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284">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11"/>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83">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11"/>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82">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11"/>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81">
    <w:multiLevelType w:val="hybridMultilevel"/>
    <w:lvl w:ilvl="0">
      <w:start w:val="1"/>
      <w:numFmt w:val="decimal"/>
      <w:lvlText w:val="(%1)"/>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429"/>
      </w:pPr>
      <w:rPr>
        <w:rFonts w:hint="default"/>
        <w:lang w:val="en-US" w:eastAsia="en-US" w:bidi="ar-SA"/>
      </w:rPr>
    </w:lvl>
    <w:lvl w:ilvl="2">
      <w:start w:val="0"/>
      <w:numFmt w:val="bullet"/>
      <w:lvlText w:val="•"/>
      <w:lvlJc w:val="left"/>
      <w:pPr>
        <w:ind w:left="3064" w:hanging="429"/>
      </w:pPr>
      <w:rPr>
        <w:rFonts w:hint="default"/>
        <w:lang w:val="en-US" w:eastAsia="en-US" w:bidi="ar-SA"/>
      </w:rPr>
    </w:lvl>
    <w:lvl w:ilvl="3">
      <w:start w:val="0"/>
      <w:numFmt w:val="bullet"/>
      <w:lvlText w:val="•"/>
      <w:lvlJc w:val="left"/>
      <w:pPr>
        <w:ind w:left="3986" w:hanging="429"/>
      </w:pPr>
      <w:rPr>
        <w:rFonts w:hint="default"/>
        <w:lang w:val="en-US" w:eastAsia="en-US" w:bidi="ar-SA"/>
      </w:rPr>
    </w:lvl>
    <w:lvl w:ilvl="4">
      <w:start w:val="0"/>
      <w:numFmt w:val="bullet"/>
      <w:lvlText w:val="•"/>
      <w:lvlJc w:val="left"/>
      <w:pPr>
        <w:ind w:left="4908" w:hanging="429"/>
      </w:pPr>
      <w:rPr>
        <w:rFonts w:hint="default"/>
        <w:lang w:val="en-US" w:eastAsia="en-US" w:bidi="ar-SA"/>
      </w:rPr>
    </w:lvl>
    <w:lvl w:ilvl="5">
      <w:start w:val="0"/>
      <w:numFmt w:val="bullet"/>
      <w:lvlText w:val="•"/>
      <w:lvlJc w:val="left"/>
      <w:pPr>
        <w:ind w:left="5830" w:hanging="429"/>
      </w:pPr>
      <w:rPr>
        <w:rFonts w:hint="default"/>
        <w:lang w:val="en-US" w:eastAsia="en-US" w:bidi="ar-SA"/>
      </w:rPr>
    </w:lvl>
    <w:lvl w:ilvl="6">
      <w:start w:val="0"/>
      <w:numFmt w:val="bullet"/>
      <w:lvlText w:val="•"/>
      <w:lvlJc w:val="left"/>
      <w:pPr>
        <w:ind w:left="6752" w:hanging="429"/>
      </w:pPr>
      <w:rPr>
        <w:rFonts w:hint="default"/>
        <w:lang w:val="en-US" w:eastAsia="en-US" w:bidi="ar-SA"/>
      </w:rPr>
    </w:lvl>
    <w:lvl w:ilvl="7">
      <w:start w:val="0"/>
      <w:numFmt w:val="bullet"/>
      <w:lvlText w:val="•"/>
      <w:lvlJc w:val="left"/>
      <w:pPr>
        <w:ind w:left="7674" w:hanging="429"/>
      </w:pPr>
      <w:rPr>
        <w:rFonts w:hint="default"/>
        <w:lang w:val="en-US" w:eastAsia="en-US" w:bidi="ar-SA"/>
      </w:rPr>
    </w:lvl>
    <w:lvl w:ilvl="8">
      <w:start w:val="0"/>
      <w:numFmt w:val="bullet"/>
      <w:lvlText w:val="•"/>
      <w:lvlJc w:val="left"/>
      <w:pPr>
        <w:ind w:left="8596" w:hanging="429"/>
      </w:pPr>
      <w:rPr>
        <w:rFonts w:hint="default"/>
        <w:lang w:val="en-US" w:eastAsia="en-US" w:bidi="ar-SA"/>
      </w:rPr>
    </w:lvl>
  </w:abstractNum>
  <w:abstractNum w:abstractNumId="280">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11"/>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79">
    <w:multiLevelType w:val="hybridMultilevel"/>
    <w:lvl w:ilvl="0">
      <w:start w:val="1"/>
      <w:numFmt w:val="decimal"/>
      <w:lvlText w:val="(%1)"/>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429"/>
      </w:pPr>
      <w:rPr>
        <w:rFonts w:hint="default"/>
        <w:lang w:val="en-US" w:eastAsia="en-US" w:bidi="ar-SA"/>
      </w:rPr>
    </w:lvl>
    <w:lvl w:ilvl="2">
      <w:start w:val="0"/>
      <w:numFmt w:val="bullet"/>
      <w:lvlText w:val="•"/>
      <w:lvlJc w:val="left"/>
      <w:pPr>
        <w:ind w:left="3064" w:hanging="429"/>
      </w:pPr>
      <w:rPr>
        <w:rFonts w:hint="default"/>
        <w:lang w:val="en-US" w:eastAsia="en-US" w:bidi="ar-SA"/>
      </w:rPr>
    </w:lvl>
    <w:lvl w:ilvl="3">
      <w:start w:val="0"/>
      <w:numFmt w:val="bullet"/>
      <w:lvlText w:val="•"/>
      <w:lvlJc w:val="left"/>
      <w:pPr>
        <w:ind w:left="3986" w:hanging="429"/>
      </w:pPr>
      <w:rPr>
        <w:rFonts w:hint="default"/>
        <w:lang w:val="en-US" w:eastAsia="en-US" w:bidi="ar-SA"/>
      </w:rPr>
    </w:lvl>
    <w:lvl w:ilvl="4">
      <w:start w:val="0"/>
      <w:numFmt w:val="bullet"/>
      <w:lvlText w:val="•"/>
      <w:lvlJc w:val="left"/>
      <w:pPr>
        <w:ind w:left="4908" w:hanging="429"/>
      </w:pPr>
      <w:rPr>
        <w:rFonts w:hint="default"/>
        <w:lang w:val="en-US" w:eastAsia="en-US" w:bidi="ar-SA"/>
      </w:rPr>
    </w:lvl>
    <w:lvl w:ilvl="5">
      <w:start w:val="0"/>
      <w:numFmt w:val="bullet"/>
      <w:lvlText w:val="•"/>
      <w:lvlJc w:val="left"/>
      <w:pPr>
        <w:ind w:left="5830" w:hanging="429"/>
      </w:pPr>
      <w:rPr>
        <w:rFonts w:hint="default"/>
        <w:lang w:val="en-US" w:eastAsia="en-US" w:bidi="ar-SA"/>
      </w:rPr>
    </w:lvl>
    <w:lvl w:ilvl="6">
      <w:start w:val="0"/>
      <w:numFmt w:val="bullet"/>
      <w:lvlText w:val="•"/>
      <w:lvlJc w:val="left"/>
      <w:pPr>
        <w:ind w:left="6752" w:hanging="429"/>
      </w:pPr>
      <w:rPr>
        <w:rFonts w:hint="default"/>
        <w:lang w:val="en-US" w:eastAsia="en-US" w:bidi="ar-SA"/>
      </w:rPr>
    </w:lvl>
    <w:lvl w:ilvl="7">
      <w:start w:val="0"/>
      <w:numFmt w:val="bullet"/>
      <w:lvlText w:val="•"/>
      <w:lvlJc w:val="left"/>
      <w:pPr>
        <w:ind w:left="7674" w:hanging="429"/>
      </w:pPr>
      <w:rPr>
        <w:rFonts w:hint="default"/>
        <w:lang w:val="en-US" w:eastAsia="en-US" w:bidi="ar-SA"/>
      </w:rPr>
    </w:lvl>
    <w:lvl w:ilvl="8">
      <w:start w:val="0"/>
      <w:numFmt w:val="bullet"/>
      <w:lvlText w:val="•"/>
      <w:lvlJc w:val="left"/>
      <w:pPr>
        <w:ind w:left="8596" w:hanging="429"/>
      </w:pPr>
      <w:rPr>
        <w:rFonts w:hint="default"/>
        <w:lang w:val="en-US" w:eastAsia="en-US" w:bidi="ar-SA"/>
      </w:rPr>
    </w:lvl>
  </w:abstractNum>
  <w:abstractNum w:abstractNumId="278">
    <w:multiLevelType w:val="hybridMultilevel"/>
    <w:lvl w:ilvl="0">
      <w:start w:val="1"/>
      <w:numFmt w:val="decimal"/>
      <w:lvlText w:val="%1."/>
      <w:lvlJc w:val="left"/>
      <w:pPr>
        <w:ind w:left="360" w:hanging="335"/>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788" w:hanging="429"/>
        <w:jc w:val="left"/>
      </w:pPr>
      <w:rPr>
        <w:rFonts w:hint="default" w:ascii="Arial" w:hAnsi="Arial" w:eastAsia="Arial" w:cs="Arial"/>
        <w:b w:val="0"/>
        <w:bCs w:val="0"/>
        <w:i w:val="0"/>
        <w:iCs w:val="0"/>
        <w:spacing w:val="-1"/>
        <w:w w:val="100"/>
        <w:sz w:val="24"/>
        <w:szCs w:val="24"/>
        <w:lang w:val="en-US" w:eastAsia="en-US" w:bidi="ar-SA"/>
      </w:rPr>
    </w:lvl>
    <w:lvl w:ilvl="2">
      <w:start w:val="1"/>
      <w:numFmt w:val="decimal"/>
      <w:lvlText w:val="(%3)"/>
      <w:lvlJc w:val="left"/>
      <w:pPr>
        <w:ind w:left="1219" w:hanging="428"/>
        <w:jc w:val="left"/>
      </w:pPr>
      <w:rPr>
        <w:rFonts w:hint="default" w:ascii="Arial" w:hAnsi="Arial" w:eastAsia="Arial" w:cs="Arial"/>
        <w:b w:val="0"/>
        <w:bCs w:val="0"/>
        <w:i w:val="0"/>
        <w:iCs w:val="0"/>
        <w:spacing w:val="-1"/>
        <w:w w:val="100"/>
        <w:sz w:val="24"/>
        <w:szCs w:val="24"/>
        <w:lang w:val="en-US" w:eastAsia="en-US" w:bidi="ar-SA"/>
      </w:rPr>
    </w:lvl>
    <w:lvl w:ilvl="3">
      <w:start w:val="1"/>
      <w:numFmt w:val="upperLetter"/>
      <w:lvlText w:val="(%4)"/>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4">
      <w:start w:val="0"/>
      <w:numFmt w:val="bullet"/>
      <w:lvlText w:val="•"/>
      <w:lvlJc w:val="left"/>
      <w:pPr>
        <w:ind w:left="3525" w:hanging="455"/>
      </w:pPr>
      <w:rPr>
        <w:rFonts w:hint="default"/>
        <w:lang w:val="en-US" w:eastAsia="en-US" w:bidi="ar-SA"/>
      </w:rPr>
    </w:lvl>
    <w:lvl w:ilvl="5">
      <w:start w:val="0"/>
      <w:numFmt w:val="bullet"/>
      <w:lvlText w:val="•"/>
      <w:lvlJc w:val="left"/>
      <w:pPr>
        <w:ind w:left="4677" w:hanging="455"/>
      </w:pPr>
      <w:rPr>
        <w:rFonts w:hint="default"/>
        <w:lang w:val="en-US" w:eastAsia="en-US" w:bidi="ar-SA"/>
      </w:rPr>
    </w:lvl>
    <w:lvl w:ilvl="6">
      <w:start w:val="0"/>
      <w:numFmt w:val="bullet"/>
      <w:lvlText w:val="•"/>
      <w:lvlJc w:val="left"/>
      <w:pPr>
        <w:ind w:left="5830" w:hanging="455"/>
      </w:pPr>
      <w:rPr>
        <w:rFonts w:hint="default"/>
        <w:lang w:val="en-US" w:eastAsia="en-US" w:bidi="ar-SA"/>
      </w:rPr>
    </w:lvl>
    <w:lvl w:ilvl="7">
      <w:start w:val="0"/>
      <w:numFmt w:val="bullet"/>
      <w:lvlText w:val="•"/>
      <w:lvlJc w:val="left"/>
      <w:pPr>
        <w:ind w:left="6982" w:hanging="455"/>
      </w:pPr>
      <w:rPr>
        <w:rFonts w:hint="default"/>
        <w:lang w:val="en-US" w:eastAsia="en-US" w:bidi="ar-SA"/>
      </w:rPr>
    </w:lvl>
    <w:lvl w:ilvl="8">
      <w:start w:val="0"/>
      <w:numFmt w:val="bullet"/>
      <w:lvlText w:val="•"/>
      <w:lvlJc w:val="left"/>
      <w:pPr>
        <w:ind w:left="8135" w:hanging="455"/>
      </w:pPr>
      <w:rPr>
        <w:rFonts w:hint="default"/>
        <w:lang w:val="en-US" w:eastAsia="en-US" w:bidi="ar-SA"/>
      </w:rPr>
    </w:lvl>
  </w:abstractNum>
  <w:abstractNum w:abstractNumId="277">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8"/>
      </w:pPr>
      <w:rPr>
        <w:rFonts w:hint="default"/>
        <w:lang w:val="en-US" w:eastAsia="en-US" w:bidi="ar-SA"/>
      </w:rPr>
    </w:lvl>
    <w:lvl w:ilvl="2">
      <w:start w:val="0"/>
      <w:numFmt w:val="bullet"/>
      <w:lvlText w:val="•"/>
      <w:lvlJc w:val="left"/>
      <w:pPr>
        <w:ind w:left="2376" w:hanging="428"/>
      </w:pPr>
      <w:rPr>
        <w:rFonts w:hint="default"/>
        <w:lang w:val="en-US" w:eastAsia="en-US" w:bidi="ar-SA"/>
      </w:rPr>
    </w:lvl>
    <w:lvl w:ilvl="3">
      <w:start w:val="0"/>
      <w:numFmt w:val="bullet"/>
      <w:lvlText w:val="•"/>
      <w:lvlJc w:val="left"/>
      <w:pPr>
        <w:ind w:left="3384" w:hanging="428"/>
      </w:pPr>
      <w:rPr>
        <w:rFonts w:hint="default"/>
        <w:lang w:val="en-US" w:eastAsia="en-US" w:bidi="ar-SA"/>
      </w:rPr>
    </w:lvl>
    <w:lvl w:ilvl="4">
      <w:start w:val="0"/>
      <w:numFmt w:val="bullet"/>
      <w:lvlText w:val="•"/>
      <w:lvlJc w:val="left"/>
      <w:pPr>
        <w:ind w:left="4392" w:hanging="428"/>
      </w:pPr>
      <w:rPr>
        <w:rFonts w:hint="default"/>
        <w:lang w:val="en-US" w:eastAsia="en-US" w:bidi="ar-SA"/>
      </w:rPr>
    </w:lvl>
    <w:lvl w:ilvl="5">
      <w:start w:val="0"/>
      <w:numFmt w:val="bullet"/>
      <w:lvlText w:val="•"/>
      <w:lvlJc w:val="left"/>
      <w:pPr>
        <w:ind w:left="5400" w:hanging="428"/>
      </w:pPr>
      <w:rPr>
        <w:rFonts w:hint="default"/>
        <w:lang w:val="en-US" w:eastAsia="en-US" w:bidi="ar-SA"/>
      </w:rPr>
    </w:lvl>
    <w:lvl w:ilvl="6">
      <w:start w:val="0"/>
      <w:numFmt w:val="bullet"/>
      <w:lvlText w:val="•"/>
      <w:lvlJc w:val="left"/>
      <w:pPr>
        <w:ind w:left="6408" w:hanging="428"/>
      </w:pPr>
      <w:rPr>
        <w:rFonts w:hint="default"/>
        <w:lang w:val="en-US" w:eastAsia="en-US" w:bidi="ar-SA"/>
      </w:rPr>
    </w:lvl>
    <w:lvl w:ilvl="7">
      <w:start w:val="0"/>
      <w:numFmt w:val="bullet"/>
      <w:lvlText w:val="•"/>
      <w:lvlJc w:val="left"/>
      <w:pPr>
        <w:ind w:left="7416" w:hanging="428"/>
      </w:pPr>
      <w:rPr>
        <w:rFonts w:hint="default"/>
        <w:lang w:val="en-US" w:eastAsia="en-US" w:bidi="ar-SA"/>
      </w:rPr>
    </w:lvl>
    <w:lvl w:ilvl="8">
      <w:start w:val="0"/>
      <w:numFmt w:val="bullet"/>
      <w:lvlText w:val="•"/>
      <w:lvlJc w:val="left"/>
      <w:pPr>
        <w:ind w:left="8424" w:hanging="428"/>
      </w:pPr>
      <w:rPr>
        <w:rFonts w:hint="default"/>
        <w:lang w:val="en-US" w:eastAsia="en-US" w:bidi="ar-SA"/>
      </w:rPr>
    </w:lvl>
  </w:abstractNum>
  <w:abstractNum w:abstractNumId="276">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4"/>
      <w:numFmt w:val="decimalZero"/>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75">
    <w:multiLevelType w:val="hybridMultilevel"/>
    <w:lvl w:ilvl="0">
      <w:start w:val="1"/>
      <w:numFmt w:val="decimal"/>
      <w:lvlText w:val="(%1)"/>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429"/>
      </w:pPr>
      <w:rPr>
        <w:rFonts w:hint="default"/>
        <w:lang w:val="en-US" w:eastAsia="en-US" w:bidi="ar-SA"/>
      </w:rPr>
    </w:lvl>
    <w:lvl w:ilvl="2">
      <w:start w:val="0"/>
      <w:numFmt w:val="bullet"/>
      <w:lvlText w:val="•"/>
      <w:lvlJc w:val="left"/>
      <w:pPr>
        <w:ind w:left="3064" w:hanging="429"/>
      </w:pPr>
      <w:rPr>
        <w:rFonts w:hint="default"/>
        <w:lang w:val="en-US" w:eastAsia="en-US" w:bidi="ar-SA"/>
      </w:rPr>
    </w:lvl>
    <w:lvl w:ilvl="3">
      <w:start w:val="0"/>
      <w:numFmt w:val="bullet"/>
      <w:lvlText w:val="•"/>
      <w:lvlJc w:val="left"/>
      <w:pPr>
        <w:ind w:left="3986" w:hanging="429"/>
      </w:pPr>
      <w:rPr>
        <w:rFonts w:hint="default"/>
        <w:lang w:val="en-US" w:eastAsia="en-US" w:bidi="ar-SA"/>
      </w:rPr>
    </w:lvl>
    <w:lvl w:ilvl="4">
      <w:start w:val="0"/>
      <w:numFmt w:val="bullet"/>
      <w:lvlText w:val="•"/>
      <w:lvlJc w:val="left"/>
      <w:pPr>
        <w:ind w:left="4908" w:hanging="429"/>
      </w:pPr>
      <w:rPr>
        <w:rFonts w:hint="default"/>
        <w:lang w:val="en-US" w:eastAsia="en-US" w:bidi="ar-SA"/>
      </w:rPr>
    </w:lvl>
    <w:lvl w:ilvl="5">
      <w:start w:val="0"/>
      <w:numFmt w:val="bullet"/>
      <w:lvlText w:val="•"/>
      <w:lvlJc w:val="left"/>
      <w:pPr>
        <w:ind w:left="5830" w:hanging="429"/>
      </w:pPr>
      <w:rPr>
        <w:rFonts w:hint="default"/>
        <w:lang w:val="en-US" w:eastAsia="en-US" w:bidi="ar-SA"/>
      </w:rPr>
    </w:lvl>
    <w:lvl w:ilvl="6">
      <w:start w:val="0"/>
      <w:numFmt w:val="bullet"/>
      <w:lvlText w:val="•"/>
      <w:lvlJc w:val="left"/>
      <w:pPr>
        <w:ind w:left="6752" w:hanging="429"/>
      </w:pPr>
      <w:rPr>
        <w:rFonts w:hint="default"/>
        <w:lang w:val="en-US" w:eastAsia="en-US" w:bidi="ar-SA"/>
      </w:rPr>
    </w:lvl>
    <w:lvl w:ilvl="7">
      <w:start w:val="0"/>
      <w:numFmt w:val="bullet"/>
      <w:lvlText w:val="•"/>
      <w:lvlJc w:val="left"/>
      <w:pPr>
        <w:ind w:left="7674" w:hanging="429"/>
      </w:pPr>
      <w:rPr>
        <w:rFonts w:hint="default"/>
        <w:lang w:val="en-US" w:eastAsia="en-US" w:bidi="ar-SA"/>
      </w:rPr>
    </w:lvl>
    <w:lvl w:ilvl="8">
      <w:start w:val="0"/>
      <w:numFmt w:val="bullet"/>
      <w:lvlText w:val="•"/>
      <w:lvlJc w:val="left"/>
      <w:pPr>
        <w:ind w:left="8596" w:hanging="429"/>
      </w:pPr>
      <w:rPr>
        <w:rFonts w:hint="default"/>
        <w:lang w:val="en-US" w:eastAsia="en-US" w:bidi="ar-SA"/>
      </w:rPr>
    </w:lvl>
  </w:abstractNum>
  <w:abstractNum w:abstractNumId="274">
    <w:multiLevelType w:val="hybridMultilevel"/>
    <w:lvl w:ilvl="0">
      <w:start w:val="1"/>
      <w:numFmt w:val="decimal"/>
      <w:lvlText w:val="(%1)"/>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429"/>
      </w:pPr>
      <w:rPr>
        <w:rFonts w:hint="default"/>
        <w:lang w:val="en-US" w:eastAsia="en-US" w:bidi="ar-SA"/>
      </w:rPr>
    </w:lvl>
    <w:lvl w:ilvl="2">
      <w:start w:val="0"/>
      <w:numFmt w:val="bullet"/>
      <w:lvlText w:val="•"/>
      <w:lvlJc w:val="left"/>
      <w:pPr>
        <w:ind w:left="3064" w:hanging="429"/>
      </w:pPr>
      <w:rPr>
        <w:rFonts w:hint="default"/>
        <w:lang w:val="en-US" w:eastAsia="en-US" w:bidi="ar-SA"/>
      </w:rPr>
    </w:lvl>
    <w:lvl w:ilvl="3">
      <w:start w:val="0"/>
      <w:numFmt w:val="bullet"/>
      <w:lvlText w:val="•"/>
      <w:lvlJc w:val="left"/>
      <w:pPr>
        <w:ind w:left="3986" w:hanging="429"/>
      </w:pPr>
      <w:rPr>
        <w:rFonts w:hint="default"/>
        <w:lang w:val="en-US" w:eastAsia="en-US" w:bidi="ar-SA"/>
      </w:rPr>
    </w:lvl>
    <w:lvl w:ilvl="4">
      <w:start w:val="0"/>
      <w:numFmt w:val="bullet"/>
      <w:lvlText w:val="•"/>
      <w:lvlJc w:val="left"/>
      <w:pPr>
        <w:ind w:left="4908" w:hanging="429"/>
      </w:pPr>
      <w:rPr>
        <w:rFonts w:hint="default"/>
        <w:lang w:val="en-US" w:eastAsia="en-US" w:bidi="ar-SA"/>
      </w:rPr>
    </w:lvl>
    <w:lvl w:ilvl="5">
      <w:start w:val="0"/>
      <w:numFmt w:val="bullet"/>
      <w:lvlText w:val="•"/>
      <w:lvlJc w:val="left"/>
      <w:pPr>
        <w:ind w:left="5830" w:hanging="429"/>
      </w:pPr>
      <w:rPr>
        <w:rFonts w:hint="default"/>
        <w:lang w:val="en-US" w:eastAsia="en-US" w:bidi="ar-SA"/>
      </w:rPr>
    </w:lvl>
    <w:lvl w:ilvl="6">
      <w:start w:val="0"/>
      <w:numFmt w:val="bullet"/>
      <w:lvlText w:val="•"/>
      <w:lvlJc w:val="left"/>
      <w:pPr>
        <w:ind w:left="6752" w:hanging="429"/>
      </w:pPr>
      <w:rPr>
        <w:rFonts w:hint="default"/>
        <w:lang w:val="en-US" w:eastAsia="en-US" w:bidi="ar-SA"/>
      </w:rPr>
    </w:lvl>
    <w:lvl w:ilvl="7">
      <w:start w:val="0"/>
      <w:numFmt w:val="bullet"/>
      <w:lvlText w:val="•"/>
      <w:lvlJc w:val="left"/>
      <w:pPr>
        <w:ind w:left="7674" w:hanging="429"/>
      </w:pPr>
      <w:rPr>
        <w:rFonts w:hint="default"/>
        <w:lang w:val="en-US" w:eastAsia="en-US" w:bidi="ar-SA"/>
      </w:rPr>
    </w:lvl>
    <w:lvl w:ilvl="8">
      <w:start w:val="0"/>
      <w:numFmt w:val="bullet"/>
      <w:lvlText w:val="•"/>
      <w:lvlJc w:val="left"/>
      <w:pPr>
        <w:ind w:left="8596" w:hanging="429"/>
      </w:pPr>
      <w:rPr>
        <w:rFonts w:hint="default"/>
        <w:lang w:val="en-US" w:eastAsia="en-US" w:bidi="ar-SA"/>
      </w:rPr>
    </w:lvl>
  </w:abstractNum>
  <w:abstractNum w:abstractNumId="273">
    <w:multiLevelType w:val="hybridMultilevel"/>
    <w:lvl w:ilvl="0">
      <w:start w:val="1"/>
      <w:numFmt w:val="decimal"/>
      <w:lvlText w:val="(%1)"/>
      <w:lvlJc w:val="left"/>
      <w:pPr>
        <w:ind w:left="1219"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upperLetter"/>
      <w:lvlText w:val="(%2)"/>
      <w:lvlJc w:val="left"/>
      <w:pPr>
        <w:ind w:left="1678" w:hanging="455"/>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653" w:hanging="455"/>
      </w:pPr>
      <w:rPr>
        <w:rFonts w:hint="default"/>
        <w:lang w:val="en-US" w:eastAsia="en-US" w:bidi="ar-SA"/>
      </w:rPr>
    </w:lvl>
    <w:lvl w:ilvl="3">
      <w:start w:val="0"/>
      <w:numFmt w:val="bullet"/>
      <w:lvlText w:val="•"/>
      <w:lvlJc w:val="left"/>
      <w:pPr>
        <w:ind w:left="3626" w:hanging="455"/>
      </w:pPr>
      <w:rPr>
        <w:rFonts w:hint="default"/>
        <w:lang w:val="en-US" w:eastAsia="en-US" w:bidi="ar-SA"/>
      </w:rPr>
    </w:lvl>
    <w:lvl w:ilvl="4">
      <w:start w:val="0"/>
      <w:numFmt w:val="bullet"/>
      <w:lvlText w:val="•"/>
      <w:lvlJc w:val="left"/>
      <w:pPr>
        <w:ind w:left="4600" w:hanging="455"/>
      </w:pPr>
      <w:rPr>
        <w:rFonts w:hint="default"/>
        <w:lang w:val="en-US" w:eastAsia="en-US" w:bidi="ar-SA"/>
      </w:rPr>
    </w:lvl>
    <w:lvl w:ilvl="5">
      <w:start w:val="0"/>
      <w:numFmt w:val="bullet"/>
      <w:lvlText w:val="•"/>
      <w:lvlJc w:val="left"/>
      <w:pPr>
        <w:ind w:left="5573" w:hanging="455"/>
      </w:pPr>
      <w:rPr>
        <w:rFonts w:hint="default"/>
        <w:lang w:val="en-US" w:eastAsia="en-US" w:bidi="ar-SA"/>
      </w:rPr>
    </w:lvl>
    <w:lvl w:ilvl="6">
      <w:start w:val="0"/>
      <w:numFmt w:val="bullet"/>
      <w:lvlText w:val="•"/>
      <w:lvlJc w:val="left"/>
      <w:pPr>
        <w:ind w:left="6546" w:hanging="455"/>
      </w:pPr>
      <w:rPr>
        <w:rFonts w:hint="default"/>
        <w:lang w:val="en-US" w:eastAsia="en-US" w:bidi="ar-SA"/>
      </w:rPr>
    </w:lvl>
    <w:lvl w:ilvl="7">
      <w:start w:val="0"/>
      <w:numFmt w:val="bullet"/>
      <w:lvlText w:val="•"/>
      <w:lvlJc w:val="left"/>
      <w:pPr>
        <w:ind w:left="7520" w:hanging="455"/>
      </w:pPr>
      <w:rPr>
        <w:rFonts w:hint="default"/>
        <w:lang w:val="en-US" w:eastAsia="en-US" w:bidi="ar-SA"/>
      </w:rPr>
    </w:lvl>
    <w:lvl w:ilvl="8">
      <w:start w:val="0"/>
      <w:numFmt w:val="bullet"/>
      <w:lvlText w:val="•"/>
      <w:lvlJc w:val="left"/>
      <w:pPr>
        <w:ind w:left="8493" w:hanging="455"/>
      </w:pPr>
      <w:rPr>
        <w:rFonts w:hint="default"/>
        <w:lang w:val="en-US" w:eastAsia="en-US" w:bidi="ar-SA"/>
      </w:rPr>
    </w:lvl>
  </w:abstractNum>
  <w:abstractNum w:abstractNumId="272">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11"/>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71">
    <w:multiLevelType w:val="hybridMultilevel"/>
    <w:lvl w:ilvl="0">
      <w:start w:val="1"/>
      <w:numFmt w:val="decimal"/>
      <w:lvlText w:val="(%1)"/>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429"/>
      </w:pPr>
      <w:rPr>
        <w:rFonts w:hint="default"/>
        <w:lang w:val="en-US" w:eastAsia="en-US" w:bidi="ar-SA"/>
      </w:rPr>
    </w:lvl>
    <w:lvl w:ilvl="2">
      <w:start w:val="0"/>
      <w:numFmt w:val="bullet"/>
      <w:lvlText w:val="•"/>
      <w:lvlJc w:val="left"/>
      <w:pPr>
        <w:ind w:left="3064" w:hanging="429"/>
      </w:pPr>
      <w:rPr>
        <w:rFonts w:hint="default"/>
        <w:lang w:val="en-US" w:eastAsia="en-US" w:bidi="ar-SA"/>
      </w:rPr>
    </w:lvl>
    <w:lvl w:ilvl="3">
      <w:start w:val="0"/>
      <w:numFmt w:val="bullet"/>
      <w:lvlText w:val="•"/>
      <w:lvlJc w:val="left"/>
      <w:pPr>
        <w:ind w:left="3986" w:hanging="429"/>
      </w:pPr>
      <w:rPr>
        <w:rFonts w:hint="default"/>
        <w:lang w:val="en-US" w:eastAsia="en-US" w:bidi="ar-SA"/>
      </w:rPr>
    </w:lvl>
    <w:lvl w:ilvl="4">
      <w:start w:val="0"/>
      <w:numFmt w:val="bullet"/>
      <w:lvlText w:val="•"/>
      <w:lvlJc w:val="left"/>
      <w:pPr>
        <w:ind w:left="4908" w:hanging="429"/>
      </w:pPr>
      <w:rPr>
        <w:rFonts w:hint="default"/>
        <w:lang w:val="en-US" w:eastAsia="en-US" w:bidi="ar-SA"/>
      </w:rPr>
    </w:lvl>
    <w:lvl w:ilvl="5">
      <w:start w:val="0"/>
      <w:numFmt w:val="bullet"/>
      <w:lvlText w:val="•"/>
      <w:lvlJc w:val="left"/>
      <w:pPr>
        <w:ind w:left="5830" w:hanging="429"/>
      </w:pPr>
      <w:rPr>
        <w:rFonts w:hint="default"/>
        <w:lang w:val="en-US" w:eastAsia="en-US" w:bidi="ar-SA"/>
      </w:rPr>
    </w:lvl>
    <w:lvl w:ilvl="6">
      <w:start w:val="0"/>
      <w:numFmt w:val="bullet"/>
      <w:lvlText w:val="•"/>
      <w:lvlJc w:val="left"/>
      <w:pPr>
        <w:ind w:left="6752" w:hanging="429"/>
      </w:pPr>
      <w:rPr>
        <w:rFonts w:hint="default"/>
        <w:lang w:val="en-US" w:eastAsia="en-US" w:bidi="ar-SA"/>
      </w:rPr>
    </w:lvl>
    <w:lvl w:ilvl="7">
      <w:start w:val="0"/>
      <w:numFmt w:val="bullet"/>
      <w:lvlText w:val="•"/>
      <w:lvlJc w:val="left"/>
      <w:pPr>
        <w:ind w:left="7674" w:hanging="429"/>
      </w:pPr>
      <w:rPr>
        <w:rFonts w:hint="default"/>
        <w:lang w:val="en-US" w:eastAsia="en-US" w:bidi="ar-SA"/>
      </w:rPr>
    </w:lvl>
    <w:lvl w:ilvl="8">
      <w:start w:val="0"/>
      <w:numFmt w:val="bullet"/>
      <w:lvlText w:val="•"/>
      <w:lvlJc w:val="left"/>
      <w:pPr>
        <w:ind w:left="8596" w:hanging="429"/>
      </w:pPr>
      <w:rPr>
        <w:rFonts w:hint="default"/>
        <w:lang w:val="en-US" w:eastAsia="en-US" w:bidi="ar-SA"/>
      </w:rPr>
    </w:lvl>
  </w:abstractNum>
  <w:abstractNum w:abstractNumId="270">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11"/>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69">
    <w:multiLevelType w:val="hybridMultilevel"/>
    <w:lvl w:ilvl="0">
      <w:start w:val="1"/>
      <w:numFmt w:val="decimal"/>
      <w:lvlText w:val="(%1)"/>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429"/>
      </w:pPr>
      <w:rPr>
        <w:rFonts w:hint="default"/>
        <w:lang w:val="en-US" w:eastAsia="en-US" w:bidi="ar-SA"/>
      </w:rPr>
    </w:lvl>
    <w:lvl w:ilvl="2">
      <w:start w:val="0"/>
      <w:numFmt w:val="bullet"/>
      <w:lvlText w:val="•"/>
      <w:lvlJc w:val="left"/>
      <w:pPr>
        <w:ind w:left="3064" w:hanging="429"/>
      </w:pPr>
      <w:rPr>
        <w:rFonts w:hint="default"/>
        <w:lang w:val="en-US" w:eastAsia="en-US" w:bidi="ar-SA"/>
      </w:rPr>
    </w:lvl>
    <w:lvl w:ilvl="3">
      <w:start w:val="0"/>
      <w:numFmt w:val="bullet"/>
      <w:lvlText w:val="•"/>
      <w:lvlJc w:val="left"/>
      <w:pPr>
        <w:ind w:left="3986" w:hanging="429"/>
      </w:pPr>
      <w:rPr>
        <w:rFonts w:hint="default"/>
        <w:lang w:val="en-US" w:eastAsia="en-US" w:bidi="ar-SA"/>
      </w:rPr>
    </w:lvl>
    <w:lvl w:ilvl="4">
      <w:start w:val="0"/>
      <w:numFmt w:val="bullet"/>
      <w:lvlText w:val="•"/>
      <w:lvlJc w:val="left"/>
      <w:pPr>
        <w:ind w:left="4908" w:hanging="429"/>
      </w:pPr>
      <w:rPr>
        <w:rFonts w:hint="default"/>
        <w:lang w:val="en-US" w:eastAsia="en-US" w:bidi="ar-SA"/>
      </w:rPr>
    </w:lvl>
    <w:lvl w:ilvl="5">
      <w:start w:val="0"/>
      <w:numFmt w:val="bullet"/>
      <w:lvlText w:val="•"/>
      <w:lvlJc w:val="left"/>
      <w:pPr>
        <w:ind w:left="5830" w:hanging="429"/>
      </w:pPr>
      <w:rPr>
        <w:rFonts w:hint="default"/>
        <w:lang w:val="en-US" w:eastAsia="en-US" w:bidi="ar-SA"/>
      </w:rPr>
    </w:lvl>
    <w:lvl w:ilvl="6">
      <w:start w:val="0"/>
      <w:numFmt w:val="bullet"/>
      <w:lvlText w:val="•"/>
      <w:lvlJc w:val="left"/>
      <w:pPr>
        <w:ind w:left="6752" w:hanging="429"/>
      </w:pPr>
      <w:rPr>
        <w:rFonts w:hint="default"/>
        <w:lang w:val="en-US" w:eastAsia="en-US" w:bidi="ar-SA"/>
      </w:rPr>
    </w:lvl>
    <w:lvl w:ilvl="7">
      <w:start w:val="0"/>
      <w:numFmt w:val="bullet"/>
      <w:lvlText w:val="•"/>
      <w:lvlJc w:val="left"/>
      <w:pPr>
        <w:ind w:left="7674" w:hanging="429"/>
      </w:pPr>
      <w:rPr>
        <w:rFonts w:hint="default"/>
        <w:lang w:val="en-US" w:eastAsia="en-US" w:bidi="ar-SA"/>
      </w:rPr>
    </w:lvl>
    <w:lvl w:ilvl="8">
      <w:start w:val="0"/>
      <w:numFmt w:val="bullet"/>
      <w:lvlText w:val="•"/>
      <w:lvlJc w:val="left"/>
      <w:pPr>
        <w:ind w:left="8596" w:hanging="429"/>
      </w:pPr>
      <w:rPr>
        <w:rFonts w:hint="default"/>
        <w:lang w:val="en-US" w:eastAsia="en-US" w:bidi="ar-SA"/>
      </w:rPr>
    </w:lvl>
  </w:abstractNum>
  <w:abstractNum w:abstractNumId="268">
    <w:multiLevelType w:val="hybridMultilevel"/>
    <w:lvl w:ilvl="0">
      <w:start w:val="1"/>
      <w:numFmt w:val="decimal"/>
      <w:lvlText w:val="(%1)"/>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429"/>
      </w:pPr>
      <w:rPr>
        <w:rFonts w:hint="default"/>
        <w:lang w:val="en-US" w:eastAsia="en-US" w:bidi="ar-SA"/>
      </w:rPr>
    </w:lvl>
    <w:lvl w:ilvl="2">
      <w:start w:val="0"/>
      <w:numFmt w:val="bullet"/>
      <w:lvlText w:val="•"/>
      <w:lvlJc w:val="left"/>
      <w:pPr>
        <w:ind w:left="3064" w:hanging="429"/>
      </w:pPr>
      <w:rPr>
        <w:rFonts w:hint="default"/>
        <w:lang w:val="en-US" w:eastAsia="en-US" w:bidi="ar-SA"/>
      </w:rPr>
    </w:lvl>
    <w:lvl w:ilvl="3">
      <w:start w:val="0"/>
      <w:numFmt w:val="bullet"/>
      <w:lvlText w:val="•"/>
      <w:lvlJc w:val="left"/>
      <w:pPr>
        <w:ind w:left="3986" w:hanging="429"/>
      </w:pPr>
      <w:rPr>
        <w:rFonts w:hint="default"/>
        <w:lang w:val="en-US" w:eastAsia="en-US" w:bidi="ar-SA"/>
      </w:rPr>
    </w:lvl>
    <w:lvl w:ilvl="4">
      <w:start w:val="0"/>
      <w:numFmt w:val="bullet"/>
      <w:lvlText w:val="•"/>
      <w:lvlJc w:val="left"/>
      <w:pPr>
        <w:ind w:left="4908" w:hanging="429"/>
      </w:pPr>
      <w:rPr>
        <w:rFonts w:hint="default"/>
        <w:lang w:val="en-US" w:eastAsia="en-US" w:bidi="ar-SA"/>
      </w:rPr>
    </w:lvl>
    <w:lvl w:ilvl="5">
      <w:start w:val="0"/>
      <w:numFmt w:val="bullet"/>
      <w:lvlText w:val="•"/>
      <w:lvlJc w:val="left"/>
      <w:pPr>
        <w:ind w:left="5830" w:hanging="429"/>
      </w:pPr>
      <w:rPr>
        <w:rFonts w:hint="default"/>
        <w:lang w:val="en-US" w:eastAsia="en-US" w:bidi="ar-SA"/>
      </w:rPr>
    </w:lvl>
    <w:lvl w:ilvl="6">
      <w:start w:val="0"/>
      <w:numFmt w:val="bullet"/>
      <w:lvlText w:val="•"/>
      <w:lvlJc w:val="left"/>
      <w:pPr>
        <w:ind w:left="6752" w:hanging="429"/>
      </w:pPr>
      <w:rPr>
        <w:rFonts w:hint="default"/>
        <w:lang w:val="en-US" w:eastAsia="en-US" w:bidi="ar-SA"/>
      </w:rPr>
    </w:lvl>
    <w:lvl w:ilvl="7">
      <w:start w:val="0"/>
      <w:numFmt w:val="bullet"/>
      <w:lvlText w:val="•"/>
      <w:lvlJc w:val="left"/>
      <w:pPr>
        <w:ind w:left="7674" w:hanging="429"/>
      </w:pPr>
      <w:rPr>
        <w:rFonts w:hint="default"/>
        <w:lang w:val="en-US" w:eastAsia="en-US" w:bidi="ar-SA"/>
      </w:rPr>
    </w:lvl>
    <w:lvl w:ilvl="8">
      <w:start w:val="0"/>
      <w:numFmt w:val="bullet"/>
      <w:lvlText w:val="•"/>
      <w:lvlJc w:val="left"/>
      <w:pPr>
        <w:ind w:left="8596" w:hanging="429"/>
      </w:pPr>
      <w:rPr>
        <w:rFonts w:hint="default"/>
        <w:lang w:val="en-US" w:eastAsia="en-US" w:bidi="ar-SA"/>
      </w:rPr>
    </w:lvl>
  </w:abstractNum>
  <w:abstractNum w:abstractNumId="267">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11"/>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66">
    <w:multiLevelType w:val="hybridMultilevel"/>
    <w:lvl w:ilvl="0">
      <w:start w:val="1"/>
      <w:numFmt w:val="decimal"/>
      <w:lvlText w:val="%1."/>
      <w:lvlJc w:val="left"/>
      <w:pPr>
        <w:ind w:left="1080" w:hanging="36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265">
    <w:multiLevelType w:val="hybridMultilevel"/>
    <w:lvl w:ilvl="0">
      <w:start w:val="1"/>
      <w:numFmt w:val="decimal"/>
      <w:lvlText w:val="(%1)"/>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429"/>
      </w:pPr>
      <w:rPr>
        <w:rFonts w:hint="default"/>
        <w:lang w:val="en-US" w:eastAsia="en-US" w:bidi="ar-SA"/>
      </w:rPr>
    </w:lvl>
    <w:lvl w:ilvl="2">
      <w:start w:val="0"/>
      <w:numFmt w:val="bullet"/>
      <w:lvlText w:val="•"/>
      <w:lvlJc w:val="left"/>
      <w:pPr>
        <w:ind w:left="3064" w:hanging="429"/>
      </w:pPr>
      <w:rPr>
        <w:rFonts w:hint="default"/>
        <w:lang w:val="en-US" w:eastAsia="en-US" w:bidi="ar-SA"/>
      </w:rPr>
    </w:lvl>
    <w:lvl w:ilvl="3">
      <w:start w:val="0"/>
      <w:numFmt w:val="bullet"/>
      <w:lvlText w:val="•"/>
      <w:lvlJc w:val="left"/>
      <w:pPr>
        <w:ind w:left="3986" w:hanging="429"/>
      </w:pPr>
      <w:rPr>
        <w:rFonts w:hint="default"/>
        <w:lang w:val="en-US" w:eastAsia="en-US" w:bidi="ar-SA"/>
      </w:rPr>
    </w:lvl>
    <w:lvl w:ilvl="4">
      <w:start w:val="0"/>
      <w:numFmt w:val="bullet"/>
      <w:lvlText w:val="•"/>
      <w:lvlJc w:val="left"/>
      <w:pPr>
        <w:ind w:left="4908" w:hanging="429"/>
      </w:pPr>
      <w:rPr>
        <w:rFonts w:hint="default"/>
        <w:lang w:val="en-US" w:eastAsia="en-US" w:bidi="ar-SA"/>
      </w:rPr>
    </w:lvl>
    <w:lvl w:ilvl="5">
      <w:start w:val="0"/>
      <w:numFmt w:val="bullet"/>
      <w:lvlText w:val="•"/>
      <w:lvlJc w:val="left"/>
      <w:pPr>
        <w:ind w:left="5830" w:hanging="429"/>
      </w:pPr>
      <w:rPr>
        <w:rFonts w:hint="default"/>
        <w:lang w:val="en-US" w:eastAsia="en-US" w:bidi="ar-SA"/>
      </w:rPr>
    </w:lvl>
    <w:lvl w:ilvl="6">
      <w:start w:val="0"/>
      <w:numFmt w:val="bullet"/>
      <w:lvlText w:val="•"/>
      <w:lvlJc w:val="left"/>
      <w:pPr>
        <w:ind w:left="6752" w:hanging="429"/>
      </w:pPr>
      <w:rPr>
        <w:rFonts w:hint="default"/>
        <w:lang w:val="en-US" w:eastAsia="en-US" w:bidi="ar-SA"/>
      </w:rPr>
    </w:lvl>
    <w:lvl w:ilvl="7">
      <w:start w:val="0"/>
      <w:numFmt w:val="bullet"/>
      <w:lvlText w:val="•"/>
      <w:lvlJc w:val="left"/>
      <w:pPr>
        <w:ind w:left="7674" w:hanging="429"/>
      </w:pPr>
      <w:rPr>
        <w:rFonts w:hint="default"/>
        <w:lang w:val="en-US" w:eastAsia="en-US" w:bidi="ar-SA"/>
      </w:rPr>
    </w:lvl>
    <w:lvl w:ilvl="8">
      <w:start w:val="0"/>
      <w:numFmt w:val="bullet"/>
      <w:lvlText w:val="•"/>
      <w:lvlJc w:val="left"/>
      <w:pPr>
        <w:ind w:left="8596" w:hanging="429"/>
      </w:pPr>
      <w:rPr>
        <w:rFonts w:hint="default"/>
        <w:lang w:val="en-US" w:eastAsia="en-US" w:bidi="ar-SA"/>
      </w:rPr>
    </w:lvl>
  </w:abstractNum>
  <w:abstractNum w:abstractNumId="264">
    <w:multiLevelType w:val="hybridMultilevel"/>
    <w:lvl w:ilvl="0">
      <w:start w:val="1"/>
      <w:numFmt w:val="decimal"/>
      <w:lvlText w:val="(%1)"/>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429"/>
      </w:pPr>
      <w:rPr>
        <w:rFonts w:hint="default"/>
        <w:lang w:val="en-US" w:eastAsia="en-US" w:bidi="ar-SA"/>
      </w:rPr>
    </w:lvl>
    <w:lvl w:ilvl="2">
      <w:start w:val="0"/>
      <w:numFmt w:val="bullet"/>
      <w:lvlText w:val="•"/>
      <w:lvlJc w:val="left"/>
      <w:pPr>
        <w:ind w:left="2728" w:hanging="429"/>
      </w:pPr>
      <w:rPr>
        <w:rFonts w:hint="default"/>
        <w:lang w:val="en-US" w:eastAsia="en-US" w:bidi="ar-SA"/>
      </w:rPr>
    </w:lvl>
    <w:lvl w:ilvl="3">
      <w:start w:val="0"/>
      <w:numFmt w:val="bullet"/>
      <w:lvlText w:val="•"/>
      <w:lvlJc w:val="left"/>
      <w:pPr>
        <w:ind w:left="3692" w:hanging="429"/>
      </w:pPr>
      <w:rPr>
        <w:rFonts w:hint="default"/>
        <w:lang w:val="en-US" w:eastAsia="en-US" w:bidi="ar-SA"/>
      </w:rPr>
    </w:lvl>
    <w:lvl w:ilvl="4">
      <w:start w:val="0"/>
      <w:numFmt w:val="bullet"/>
      <w:lvlText w:val="•"/>
      <w:lvlJc w:val="left"/>
      <w:pPr>
        <w:ind w:left="4656" w:hanging="429"/>
      </w:pPr>
      <w:rPr>
        <w:rFonts w:hint="default"/>
        <w:lang w:val="en-US" w:eastAsia="en-US" w:bidi="ar-SA"/>
      </w:rPr>
    </w:lvl>
    <w:lvl w:ilvl="5">
      <w:start w:val="0"/>
      <w:numFmt w:val="bullet"/>
      <w:lvlText w:val="•"/>
      <w:lvlJc w:val="left"/>
      <w:pPr>
        <w:ind w:left="5620" w:hanging="429"/>
      </w:pPr>
      <w:rPr>
        <w:rFonts w:hint="default"/>
        <w:lang w:val="en-US" w:eastAsia="en-US" w:bidi="ar-SA"/>
      </w:rPr>
    </w:lvl>
    <w:lvl w:ilvl="6">
      <w:start w:val="0"/>
      <w:numFmt w:val="bullet"/>
      <w:lvlText w:val="•"/>
      <w:lvlJc w:val="left"/>
      <w:pPr>
        <w:ind w:left="6584" w:hanging="429"/>
      </w:pPr>
      <w:rPr>
        <w:rFonts w:hint="default"/>
        <w:lang w:val="en-US" w:eastAsia="en-US" w:bidi="ar-SA"/>
      </w:rPr>
    </w:lvl>
    <w:lvl w:ilvl="7">
      <w:start w:val="0"/>
      <w:numFmt w:val="bullet"/>
      <w:lvlText w:val="•"/>
      <w:lvlJc w:val="left"/>
      <w:pPr>
        <w:ind w:left="7548" w:hanging="429"/>
      </w:pPr>
      <w:rPr>
        <w:rFonts w:hint="default"/>
        <w:lang w:val="en-US" w:eastAsia="en-US" w:bidi="ar-SA"/>
      </w:rPr>
    </w:lvl>
    <w:lvl w:ilvl="8">
      <w:start w:val="0"/>
      <w:numFmt w:val="bullet"/>
      <w:lvlText w:val="•"/>
      <w:lvlJc w:val="left"/>
      <w:pPr>
        <w:ind w:left="8512" w:hanging="429"/>
      </w:pPr>
      <w:rPr>
        <w:rFonts w:hint="default"/>
        <w:lang w:val="en-US" w:eastAsia="en-US" w:bidi="ar-SA"/>
      </w:rPr>
    </w:lvl>
  </w:abstractNum>
  <w:abstractNum w:abstractNumId="263">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28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288"/>
      </w:pPr>
      <w:rPr>
        <w:rFonts w:hint="default"/>
        <w:lang w:val="en-US" w:eastAsia="en-US" w:bidi="ar-SA"/>
      </w:rPr>
    </w:lvl>
    <w:lvl w:ilvl="3">
      <w:start w:val="0"/>
      <w:numFmt w:val="bullet"/>
      <w:lvlText w:val="•"/>
      <w:lvlJc w:val="left"/>
      <w:pPr>
        <w:ind w:left="2942" w:hanging="288"/>
      </w:pPr>
      <w:rPr>
        <w:rFonts w:hint="default"/>
        <w:lang w:val="en-US" w:eastAsia="en-US" w:bidi="ar-SA"/>
      </w:rPr>
    </w:lvl>
    <w:lvl w:ilvl="4">
      <w:start w:val="0"/>
      <w:numFmt w:val="bullet"/>
      <w:lvlText w:val="•"/>
      <w:lvlJc w:val="left"/>
      <w:pPr>
        <w:ind w:left="4013" w:hanging="288"/>
      </w:pPr>
      <w:rPr>
        <w:rFonts w:hint="default"/>
        <w:lang w:val="en-US" w:eastAsia="en-US" w:bidi="ar-SA"/>
      </w:rPr>
    </w:lvl>
    <w:lvl w:ilvl="5">
      <w:start w:val="0"/>
      <w:numFmt w:val="bullet"/>
      <w:lvlText w:val="•"/>
      <w:lvlJc w:val="left"/>
      <w:pPr>
        <w:ind w:left="5084" w:hanging="288"/>
      </w:pPr>
      <w:rPr>
        <w:rFonts w:hint="default"/>
        <w:lang w:val="en-US" w:eastAsia="en-US" w:bidi="ar-SA"/>
      </w:rPr>
    </w:lvl>
    <w:lvl w:ilvl="6">
      <w:start w:val="0"/>
      <w:numFmt w:val="bullet"/>
      <w:lvlText w:val="•"/>
      <w:lvlJc w:val="left"/>
      <w:pPr>
        <w:ind w:left="6155" w:hanging="288"/>
      </w:pPr>
      <w:rPr>
        <w:rFonts w:hint="default"/>
        <w:lang w:val="en-US" w:eastAsia="en-US" w:bidi="ar-SA"/>
      </w:rPr>
    </w:lvl>
    <w:lvl w:ilvl="7">
      <w:start w:val="0"/>
      <w:numFmt w:val="bullet"/>
      <w:lvlText w:val="•"/>
      <w:lvlJc w:val="left"/>
      <w:pPr>
        <w:ind w:left="7226" w:hanging="288"/>
      </w:pPr>
      <w:rPr>
        <w:rFonts w:hint="default"/>
        <w:lang w:val="en-US" w:eastAsia="en-US" w:bidi="ar-SA"/>
      </w:rPr>
    </w:lvl>
    <w:lvl w:ilvl="8">
      <w:start w:val="0"/>
      <w:numFmt w:val="bullet"/>
      <w:lvlText w:val="•"/>
      <w:lvlJc w:val="left"/>
      <w:pPr>
        <w:ind w:left="8297" w:hanging="288"/>
      </w:pPr>
      <w:rPr>
        <w:rFonts w:hint="default"/>
        <w:lang w:val="en-US" w:eastAsia="en-US" w:bidi="ar-SA"/>
      </w:rPr>
    </w:lvl>
  </w:abstractNum>
  <w:abstractNum w:abstractNumId="262">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11"/>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61">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260">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259">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4"/>
      <w:numFmt w:val="decimalZero"/>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58">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257">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81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88" w:hanging="429"/>
      </w:pPr>
      <w:rPr>
        <w:rFonts w:hint="default"/>
        <w:lang w:val="en-US" w:eastAsia="en-US" w:bidi="ar-SA"/>
      </w:rPr>
    </w:lvl>
    <w:lvl w:ilvl="3">
      <w:start w:val="0"/>
      <w:numFmt w:val="bullet"/>
      <w:lvlText w:val="•"/>
      <w:lvlJc w:val="left"/>
      <w:pPr>
        <w:ind w:left="2957" w:hanging="429"/>
      </w:pPr>
      <w:rPr>
        <w:rFonts w:hint="default"/>
        <w:lang w:val="en-US" w:eastAsia="en-US" w:bidi="ar-SA"/>
      </w:rPr>
    </w:lvl>
    <w:lvl w:ilvl="4">
      <w:start w:val="0"/>
      <w:numFmt w:val="bullet"/>
      <w:lvlText w:val="•"/>
      <w:lvlJc w:val="left"/>
      <w:pPr>
        <w:ind w:left="4026" w:hanging="429"/>
      </w:pPr>
      <w:rPr>
        <w:rFonts w:hint="default"/>
        <w:lang w:val="en-US" w:eastAsia="en-US" w:bidi="ar-SA"/>
      </w:rPr>
    </w:lvl>
    <w:lvl w:ilvl="5">
      <w:start w:val="0"/>
      <w:numFmt w:val="bullet"/>
      <w:lvlText w:val="•"/>
      <w:lvlJc w:val="left"/>
      <w:pPr>
        <w:ind w:left="5095" w:hanging="429"/>
      </w:pPr>
      <w:rPr>
        <w:rFonts w:hint="default"/>
        <w:lang w:val="en-US" w:eastAsia="en-US" w:bidi="ar-SA"/>
      </w:rPr>
    </w:lvl>
    <w:lvl w:ilvl="6">
      <w:start w:val="0"/>
      <w:numFmt w:val="bullet"/>
      <w:lvlText w:val="•"/>
      <w:lvlJc w:val="left"/>
      <w:pPr>
        <w:ind w:left="6164" w:hanging="429"/>
      </w:pPr>
      <w:rPr>
        <w:rFonts w:hint="default"/>
        <w:lang w:val="en-US" w:eastAsia="en-US" w:bidi="ar-SA"/>
      </w:rPr>
    </w:lvl>
    <w:lvl w:ilvl="7">
      <w:start w:val="0"/>
      <w:numFmt w:val="bullet"/>
      <w:lvlText w:val="•"/>
      <w:lvlJc w:val="left"/>
      <w:pPr>
        <w:ind w:left="7233" w:hanging="429"/>
      </w:pPr>
      <w:rPr>
        <w:rFonts w:hint="default"/>
        <w:lang w:val="en-US" w:eastAsia="en-US" w:bidi="ar-SA"/>
      </w:rPr>
    </w:lvl>
    <w:lvl w:ilvl="8">
      <w:start w:val="0"/>
      <w:numFmt w:val="bullet"/>
      <w:lvlText w:val="•"/>
      <w:lvlJc w:val="left"/>
      <w:pPr>
        <w:ind w:left="8302" w:hanging="429"/>
      </w:pPr>
      <w:rPr>
        <w:rFonts w:hint="default"/>
        <w:lang w:val="en-US" w:eastAsia="en-US" w:bidi="ar-SA"/>
      </w:rPr>
    </w:lvl>
  </w:abstractNum>
  <w:abstractNum w:abstractNumId="256">
    <w:multiLevelType w:val="hybridMultilevel"/>
    <w:lvl w:ilvl="0">
      <w:start w:val="1"/>
      <w:numFmt w:val="decimal"/>
      <w:lvlText w:val="%1."/>
      <w:lvlJc w:val="left"/>
      <w:pPr>
        <w:ind w:left="1080" w:hanging="28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016" w:hanging="288"/>
      </w:pPr>
      <w:rPr>
        <w:rFonts w:hint="default"/>
        <w:lang w:val="en-US" w:eastAsia="en-US" w:bidi="ar-SA"/>
      </w:rPr>
    </w:lvl>
    <w:lvl w:ilvl="2">
      <w:start w:val="0"/>
      <w:numFmt w:val="bullet"/>
      <w:lvlText w:val="•"/>
      <w:lvlJc w:val="left"/>
      <w:pPr>
        <w:ind w:left="2952" w:hanging="288"/>
      </w:pPr>
      <w:rPr>
        <w:rFonts w:hint="default"/>
        <w:lang w:val="en-US" w:eastAsia="en-US" w:bidi="ar-SA"/>
      </w:rPr>
    </w:lvl>
    <w:lvl w:ilvl="3">
      <w:start w:val="0"/>
      <w:numFmt w:val="bullet"/>
      <w:lvlText w:val="•"/>
      <w:lvlJc w:val="left"/>
      <w:pPr>
        <w:ind w:left="3888" w:hanging="288"/>
      </w:pPr>
      <w:rPr>
        <w:rFonts w:hint="default"/>
        <w:lang w:val="en-US" w:eastAsia="en-US" w:bidi="ar-SA"/>
      </w:rPr>
    </w:lvl>
    <w:lvl w:ilvl="4">
      <w:start w:val="0"/>
      <w:numFmt w:val="bullet"/>
      <w:lvlText w:val="•"/>
      <w:lvlJc w:val="left"/>
      <w:pPr>
        <w:ind w:left="4824" w:hanging="288"/>
      </w:pPr>
      <w:rPr>
        <w:rFonts w:hint="default"/>
        <w:lang w:val="en-US" w:eastAsia="en-US" w:bidi="ar-SA"/>
      </w:rPr>
    </w:lvl>
    <w:lvl w:ilvl="5">
      <w:start w:val="0"/>
      <w:numFmt w:val="bullet"/>
      <w:lvlText w:val="•"/>
      <w:lvlJc w:val="left"/>
      <w:pPr>
        <w:ind w:left="5760" w:hanging="288"/>
      </w:pPr>
      <w:rPr>
        <w:rFonts w:hint="default"/>
        <w:lang w:val="en-US" w:eastAsia="en-US" w:bidi="ar-SA"/>
      </w:rPr>
    </w:lvl>
    <w:lvl w:ilvl="6">
      <w:start w:val="0"/>
      <w:numFmt w:val="bullet"/>
      <w:lvlText w:val="•"/>
      <w:lvlJc w:val="left"/>
      <w:pPr>
        <w:ind w:left="6696" w:hanging="288"/>
      </w:pPr>
      <w:rPr>
        <w:rFonts w:hint="default"/>
        <w:lang w:val="en-US" w:eastAsia="en-US" w:bidi="ar-SA"/>
      </w:rPr>
    </w:lvl>
    <w:lvl w:ilvl="7">
      <w:start w:val="0"/>
      <w:numFmt w:val="bullet"/>
      <w:lvlText w:val="•"/>
      <w:lvlJc w:val="left"/>
      <w:pPr>
        <w:ind w:left="7632" w:hanging="288"/>
      </w:pPr>
      <w:rPr>
        <w:rFonts w:hint="default"/>
        <w:lang w:val="en-US" w:eastAsia="en-US" w:bidi="ar-SA"/>
      </w:rPr>
    </w:lvl>
    <w:lvl w:ilvl="8">
      <w:start w:val="0"/>
      <w:numFmt w:val="bullet"/>
      <w:lvlText w:val="•"/>
      <w:lvlJc w:val="left"/>
      <w:pPr>
        <w:ind w:left="8568" w:hanging="288"/>
      </w:pPr>
      <w:rPr>
        <w:rFonts w:hint="default"/>
        <w:lang w:val="en-US" w:eastAsia="en-US" w:bidi="ar-SA"/>
      </w:rPr>
    </w:lvl>
  </w:abstractNum>
  <w:abstractNum w:abstractNumId="255">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080" w:hanging="455"/>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1220" w:hanging="455"/>
      </w:pPr>
      <w:rPr>
        <w:rFonts w:hint="default"/>
        <w:lang w:val="en-US" w:eastAsia="en-US" w:bidi="ar-SA"/>
      </w:rPr>
    </w:lvl>
    <w:lvl w:ilvl="4">
      <w:start w:val="0"/>
      <w:numFmt w:val="bullet"/>
      <w:lvlText w:val="•"/>
      <w:lvlJc w:val="left"/>
      <w:pPr>
        <w:ind w:left="1680" w:hanging="455"/>
      </w:pPr>
      <w:rPr>
        <w:rFonts w:hint="default"/>
        <w:lang w:val="en-US" w:eastAsia="en-US" w:bidi="ar-SA"/>
      </w:rPr>
    </w:lvl>
    <w:lvl w:ilvl="5">
      <w:start w:val="0"/>
      <w:numFmt w:val="bullet"/>
      <w:lvlText w:val="•"/>
      <w:lvlJc w:val="left"/>
      <w:pPr>
        <w:ind w:left="3140" w:hanging="455"/>
      </w:pPr>
      <w:rPr>
        <w:rFonts w:hint="default"/>
        <w:lang w:val="en-US" w:eastAsia="en-US" w:bidi="ar-SA"/>
      </w:rPr>
    </w:lvl>
    <w:lvl w:ilvl="6">
      <w:start w:val="0"/>
      <w:numFmt w:val="bullet"/>
      <w:lvlText w:val="•"/>
      <w:lvlJc w:val="left"/>
      <w:pPr>
        <w:ind w:left="4600" w:hanging="455"/>
      </w:pPr>
      <w:rPr>
        <w:rFonts w:hint="default"/>
        <w:lang w:val="en-US" w:eastAsia="en-US" w:bidi="ar-SA"/>
      </w:rPr>
    </w:lvl>
    <w:lvl w:ilvl="7">
      <w:start w:val="0"/>
      <w:numFmt w:val="bullet"/>
      <w:lvlText w:val="•"/>
      <w:lvlJc w:val="left"/>
      <w:pPr>
        <w:ind w:left="6060" w:hanging="455"/>
      </w:pPr>
      <w:rPr>
        <w:rFonts w:hint="default"/>
        <w:lang w:val="en-US" w:eastAsia="en-US" w:bidi="ar-SA"/>
      </w:rPr>
    </w:lvl>
    <w:lvl w:ilvl="8">
      <w:start w:val="0"/>
      <w:numFmt w:val="bullet"/>
      <w:lvlText w:val="•"/>
      <w:lvlJc w:val="left"/>
      <w:pPr>
        <w:ind w:left="7520" w:hanging="455"/>
      </w:pPr>
      <w:rPr>
        <w:rFonts w:hint="default"/>
        <w:lang w:val="en-US" w:eastAsia="en-US" w:bidi="ar-SA"/>
      </w:rPr>
    </w:lvl>
  </w:abstractNum>
  <w:abstractNum w:abstractNumId="254">
    <w:multiLevelType w:val="hybridMultilevel"/>
    <w:lvl w:ilvl="0">
      <w:start w:val="1"/>
      <w:numFmt w:val="decimal"/>
      <w:lvlText w:val="(%1)"/>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429"/>
      </w:pPr>
      <w:rPr>
        <w:rFonts w:hint="default"/>
        <w:lang w:val="en-US" w:eastAsia="en-US" w:bidi="ar-SA"/>
      </w:rPr>
    </w:lvl>
    <w:lvl w:ilvl="2">
      <w:start w:val="0"/>
      <w:numFmt w:val="bullet"/>
      <w:lvlText w:val="•"/>
      <w:lvlJc w:val="left"/>
      <w:pPr>
        <w:ind w:left="2728" w:hanging="429"/>
      </w:pPr>
      <w:rPr>
        <w:rFonts w:hint="default"/>
        <w:lang w:val="en-US" w:eastAsia="en-US" w:bidi="ar-SA"/>
      </w:rPr>
    </w:lvl>
    <w:lvl w:ilvl="3">
      <w:start w:val="0"/>
      <w:numFmt w:val="bullet"/>
      <w:lvlText w:val="•"/>
      <w:lvlJc w:val="left"/>
      <w:pPr>
        <w:ind w:left="3692" w:hanging="429"/>
      </w:pPr>
      <w:rPr>
        <w:rFonts w:hint="default"/>
        <w:lang w:val="en-US" w:eastAsia="en-US" w:bidi="ar-SA"/>
      </w:rPr>
    </w:lvl>
    <w:lvl w:ilvl="4">
      <w:start w:val="0"/>
      <w:numFmt w:val="bullet"/>
      <w:lvlText w:val="•"/>
      <w:lvlJc w:val="left"/>
      <w:pPr>
        <w:ind w:left="4656" w:hanging="429"/>
      </w:pPr>
      <w:rPr>
        <w:rFonts w:hint="default"/>
        <w:lang w:val="en-US" w:eastAsia="en-US" w:bidi="ar-SA"/>
      </w:rPr>
    </w:lvl>
    <w:lvl w:ilvl="5">
      <w:start w:val="0"/>
      <w:numFmt w:val="bullet"/>
      <w:lvlText w:val="•"/>
      <w:lvlJc w:val="left"/>
      <w:pPr>
        <w:ind w:left="5620" w:hanging="429"/>
      </w:pPr>
      <w:rPr>
        <w:rFonts w:hint="default"/>
        <w:lang w:val="en-US" w:eastAsia="en-US" w:bidi="ar-SA"/>
      </w:rPr>
    </w:lvl>
    <w:lvl w:ilvl="6">
      <w:start w:val="0"/>
      <w:numFmt w:val="bullet"/>
      <w:lvlText w:val="•"/>
      <w:lvlJc w:val="left"/>
      <w:pPr>
        <w:ind w:left="6584" w:hanging="429"/>
      </w:pPr>
      <w:rPr>
        <w:rFonts w:hint="default"/>
        <w:lang w:val="en-US" w:eastAsia="en-US" w:bidi="ar-SA"/>
      </w:rPr>
    </w:lvl>
    <w:lvl w:ilvl="7">
      <w:start w:val="0"/>
      <w:numFmt w:val="bullet"/>
      <w:lvlText w:val="•"/>
      <w:lvlJc w:val="left"/>
      <w:pPr>
        <w:ind w:left="7548" w:hanging="429"/>
      </w:pPr>
      <w:rPr>
        <w:rFonts w:hint="default"/>
        <w:lang w:val="en-US" w:eastAsia="en-US" w:bidi="ar-SA"/>
      </w:rPr>
    </w:lvl>
    <w:lvl w:ilvl="8">
      <w:start w:val="0"/>
      <w:numFmt w:val="bullet"/>
      <w:lvlText w:val="•"/>
      <w:lvlJc w:val="left"/>
      <w:pPr>
        <w:ind w:left="8512" w:hanging="429"/>
      </w:pPr>
      <w:rPr>
        <w:rFonts w:hint="default"/>
        <w:lang w:val="en-US" w:eastAsia="en-US" w:bidi="ar-SA"/>
      </w:rPr>
    </w:lvl>
  </w:abstractNum>
  <w:abstractNum w:abstractNumId="253">
    <w:multiLevelType w:val="hybridMultilevel"/>
    <w:lvl w:ilvl="0">
      <w:start w:val="1"/>
      <w:numFmt w:val="decimal"/>
      <w:lvlText w:val="%1."/>
      <w:lvlJc w:val="left"/>
      <w:pPr>
        <w:ind w:left="1080" w:hanging="28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016" w:hanging="288"/>
      </w:pPr>
      <w:rPr>
        <w:rFonts w:hint="default"/>
        <w:lang w:val="en-US" w:eastAsia="en-US" w:bidi="ar-SA"/>
      </w:rPr>
    </w:lvl>
    <w:lvl w:ilvl="2">
      <w:start w:val="0"/>
      <w:numFmt w:val="bullet"/>
      <w:lvlText w:val="•"/>
      <w:lvlJc w:val="left"/>
      <w:pPr>
        <w:ind w:left="2952" w:hanging="288"/>
      </w:pPr>
      <w:rPr>
        <w:rFonts w:hint="default"/>
        <w:lang w:val="en-US" w:eastAsia="en-US" w:bidi="ar-SA"/>
      </w:rPr>
    </w:lvl>
    <w:lvl w:ilvl="3">
      <w:start w:val="0"/>
      <w:numFmt w:val="bullet"/>
      <w:lvlText w:val="•"/>
      <w:lvlJc w:val="left"/>
      <w:pPr>
        <w:ind w:left="3888" w:hanging="288"/>
      </w:pPr>
      <w:rPr>
        <w:rFonts w:hint="default"/>
        <w:lang w:val="en-US" w:eastAsia="en-US" w:bidi="ar-SA"/>
      </w:rPr>
    </w:lvl>
    <w:lvl w:ilvl="4">
      <w:start w:val="0"/>
      <w:numFmt w:val="bullet"/>
      <w:lvlText w:val="•"/>
      <w:lvlJc w:val="left"/>
      <w:pPr>
        <w:ind w:left="4824" w:hanging="288"/>
      </w:pPr>
      <w:rPr>
        <w:rFonts w:hint="default"/>
        <w:lang w:val="en-US" w:eastAsia="en-US" w:bidi="ar-SA"/>
      </w:rPr>
    </w:lvl>
    <w:lvl w:ilvl="5">
      <w:start w:val="0"/>
      <w:numFmt w:val="bullet"/>
      <w:lvlText w:val="•"/>
      <w:lvlJc w:val="left"/>
      <w:pPr>
        <w:ind w:left="5760" w:hanging="288"/>
      </w:pPr>
      <w:rPr>
        <w:rFonts w:hint="default"/>
        <w:lang w:val="en-US" w:eastAsia="en-US" w:bidi="ar-SA"/>
      </w:rPr>
    </w:lvl>
    <w:lvl w:ilvl="6">
      <w:start w:val="0"/>
      <w:numFmt w:val="bullet"/>
      <w:lvlText w:val="•"/>
      <w:lvlJc w:val="left"/>
      <w:pPr>
        <w:ind w:left="6696" w:hanging="288"/>
      </w:pPr>
      <w:rPr>
        <w:rFonts w:hint="default"/>
        <w:lang w:val="en-US" w:eastAsia="en-US" w:bidi="ar-SA"/>
      </w:rPr>
    </w:lvl>
    <w:lvl w:ilvl="7">
      <w:start w:val="0"/>
      <w:numFmt w:val="bullet"/>
      <w:lvlText w:val="•"/>
      <w:lvlJc w:val="left"/>
      <w:pPr>
        <w:ind w:left="7632" w:hanging="288"/>
      </w:pPr>
      <w:rPr>
        <w:rFonts w:hint="default"/>
        <w:lang w:val="en-US" w:eastAsia="en-US" w:bidi="ar-SA"/>
      </w:rPr>
    </w:lvl>
    <w:lvl w:ilvl="8">
      <w:start w:val="0"/>
      <w:numFmt w:val="bullet"/>
      <w:lvlText w:val="•"/>
      <w:lvlJc w:val="left"/>
      <w:pPr>
        <w:ind w:left="8568" w:hanging="288"/>
      </w:pPr>
      <w:rPr>
        <w:rFonts w:hint="default"/>
        <w:lang w:val="en-US" w:eastAsia="en-US" w:bidi="ar-SA"/>
      </w:rPr>
    </w:lvl>
  </w:abstractNum>
  <w:abstractNum w:abstractNumId="252">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9"/>
      </w:pPr>
      <w:rPr>
        <w:rFonts w:hint="default"/>
        <w:lang w:val="en-US" w:eastAsia="en-US" w:bidi="ar-SA"/>
      </w:rPr>
    </w:lvl>
    <w:lvl w:ilvl="3">
      <w:start w:val="0"/>
      <w:numFmt w:val="bullet"/>
      <w:lvlText w:val="•"/>
      <w:lvlJc w:val="left"/>
      <w:pPr>
        <w:ind w:left="3268" w:hanging="429"/>
      </w:pPr>
      <w:rPr>
        <w:rFonts w:hint="default"/>
        <w:lang w:val="en-US" w:eastAsia="en-US" w:bidi="ar-SA"/>
      </w:rPr>
    </w:lvl>
    <w:lvl w:ilvl="4">
      <w:start w:val="0"/>
      <w:numFmt w:val="bullet"/>
      <w:lvlText w:val="•"/>
      <w:lvlJc w:val="left"/>
      <w:pPr>
        <w:ind w:left="4293" w:hanging="429"/>
      </w:pPr>
      <w:rPr>
        <w:rFonts w:hint="default"/>
        <w:lang w:val="en-US" w:eastAsia="en-US" w:bidi="ar-SA"/>
      </w:rPr>
    </w:lvl>
    <w:lvl w:ilvl="5">
      <w:start w:val="0"/>
      <w:numFmt w:val="bullet"/>
      <w:lvlText w:val="•"/>
      <w:lvlJc w:val="left"/>
      <w:pPr>
        <w:ind w:left="5317" w:hanging="429"/>
      </w:pPr>
      <w:rPr>
        <w:rFonts w:hint="default"/>
        <w:lang w:val="en-US" w:eastAsia="en-US" w:bidi="ar-SA"/>
      </w:rPr>
    </w:lvl>
    <w:lvl w:ilvl="6">
      <w:start w:val="0"/>
      <w:numFmt w:val="bullet"/>
      <w:lvlText w:val="•"/>
      <w:lvlJc w:val="left"/>
      <w:pPr>
        <w:ind w:left="6342" w:hanging="429"/>
      </w:pPr>
      <w:rPr>
        <w:rFonts w:hint="default"/>
        <w:lang w:val="en-US" w:eastAsia="en-US" w:bidi="ar-SA"/>
      </w:rPr>
    </w:lvl>
    <w:lvl w:ilvl="7">
      <w:start w:val="0"/>
      <w:numFmt w:val="bullet"/>
      <w:lvlText w:val="•"/>
      <w:lvlJc w:val="left"/>
      <w:pPr>
        <w:ind w:left="7366" w:hanging="429"/>
      </w:pPr>
      <w:rPr>
        <w:rFonts w:hint="default"/>
        <w:lang w:val="en-US" w:eastAsia="en-US" w:bidi="ar-SA"/>
      </w:rPr>
    </w:lvl>
    <w:lvl w:ilvl="8">
      <w:start w:val="0"/>
      <w:numFmt w:val="bullet"/>
      <w:lvlText w:val="•"/>
      <w:lvlJc w:val="left"/>
      <w:pPr>
        <w:ind w:left="8391" w:hanging="429"/>
      </w:pPr>
      <w:rPr>
        <w:rFonts w:hint="default"/>
        <w:lang w:val="en-US" w:eastAsia="en-US" w:bidi="ar-SA"/>
      </w:rPr>
    </w:lvl>
  </w:abstractNum>
  <w:abstractNum w:abstractNumId="251">
    <w:multiLevelType w:val="hybridMultilevel"/>
    <w:lvl w:ilvl="0">
      <w:start w:val="1"/>
      <w:numFmt w:val="decimal"/>
      <w:lvlText w:val="%1."/>
      <w:lvlJc w:val="left"/>
      <w:pPr>
        <w:ind w:left="1080" w:hanging="288"/>
        <w:jc w:val="left"/>
      </w:pPr>
      <w:rPr>
        <w:rFonts w:hint="default" w:ascii="Arial" w:hAnsi="Arial" w:eastAsia="Arial" w:cs="Arial"/>
        <w:b w:val="0"/>
        <w:bCs w:val="0"/>
        <w:i w:val="0"/>
        <w:iCs w:val="0"/>
        <w:spacing w:val="-1"/>
        <w:w w:val="100"/>
        <w:sz w:val="24"/>
        <w:szCs w:val="24"/>
        <w:lang w:val="en-US" w:eastAsia="en-US" w:bidi="ar-SA"/>
      </w:rPr>
    </w:lvl>
    <w:lvl w:ilvl="1">
      <w:start w:val="1"/>
      <w:numFmt w:val="upperLetter"/>
      <w:lvlText w:val="(%2)"/>
      <w:lvlJc w:val="left"/>
      <w:pPr>
        <w:ind w:left="1224" w:hanging="576"/>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576"/>
      </w:pPr>
      <w:rPr>
        <w:rFonts w:hint="default"/>
        <w:lang w:val="en-US" w:eastAsia="en-US" w:bidi="ar-SA"/>
      </w:rPr>
    </w:lvl>
    <w:lvl w:ilvl="3">
      <w:start w:val="0"/>
      <w:numFmt w:val="bullet"/>
      <w:lvlText w:val="•"/>
      <w:lvlJc w:val="left"/>
      <w:pPr>
        <w:ind w:left="3268" w:hanging="576"/>
      </w:pPr>
      <w:rPr>
        <w:rFonts w:hint="default"/>
        <w:lang w:val="en-US" w:eastAsia="en-US" w:bidi="ar-SA"/>
      </w:rPr>
    </w:lvl>
    <w:lvl w:ilvl="4">
      <w:start w:val="0"/>
      <w:numFmt w:val="bullet"/>
      <w:lvlText w:val="•"/>
      <w:lvlJc w:val="left"/>
      <w:pPr>
        <w:ind w:left="4293" w:hanging="576"/>
      </w:pPr>
      <w:rPr>
        <w:rFonts w:hint="default"/>
        <w:lang w:val="en-US" w:eastAsia="en-US" w:bidi="ar-SA"/>
      </w:rPr>
    </w:lvl>
    <w:lvl w:ilvl="5">
      <w:start w:val="0"/>
      <w:numFmt w:val="bullet"/>
      <w:lvlText w:val="•"/>
      <w:lvlJc w:val="left"/>
      <w:pPr>
        <w:ind w:left="5317" w:hanging="576"/>
      </w:pPr>
      <w:rPr>
        <w:rFonts w:hint="default"/>
        <w:lang w:val="en-US" w:eastAsia="en-US" w:bidi="ar-SA"/>
      </w:rPr>
    </w:lvl>
    <w:lvl w:ilvl="6">
      <w:start w:val="0"/>
      <w:numFmt w:val="bullet"/>
      <w:lvlText w:val="•"/>
      <w:lvlJc w:val="left"/>
      <w:pPr>
        <w:ind w:left="6342" w:hanging="576"/>
      </w:pPr>
      <w:rPr>
        <w:rFonts w:hint="default"/>
        <w:lang w:val="en-US" w:eastAsia="en-US" w:bidi="ar-SA"/>
      </w:rPr>
    </w:lvl>
    <w:lvl w:ilvl="7">
      <w:start w:val="0"/>
      <w:numFmt w:val="bullet"/>
      <w:lvlText w:val="•"/>
      <w:lvlJc w:val="left"/>
      <w:pPr>
        <w:ind w:left="7366" w:hanging="576"/>
      </w:pPr>
      <w:rPr>
        <w:rFonts w:hint="default"/>
        <w:lang w:val="en-US" w:eastAsia="en-US" w:bidi="ar-SA"/>
      </w:rPr>
    </w:lvl>
    <w:lvl w:ilvl="8">
      <w:start w:val="0"/>
      <w:numFmt w:val="bullet"/>
      <w:lvlText w:val="•"/>
      <w:lvlJc w:val="left"/>
      <w:pPr>
        <w:ind w:left="8391" w:hanging="576"/>
      </w:pPr>
      <w:rPr>
        <w:rFonts w:hint="default"/>
        <w:lang w:val="en-US" w:eastAsia="en-US" w:bidi="ar-SA"/>
      </w:rPr>
    </w:lvl>
  </w:abstractNum>
  <w:abstractNum w:abstractNumId="250">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9"/>
      </w:pPr>
      <w:rPr>
        <w:rFonts w:hint="default"/>
        <w:lang w:val="en-US" w:eastAsia="en-US" w:bidi="ar-SA"/>
      </w:rPr>
    </w:lvl>
    <w:lvl w:ilvl="3">
      <w:start w:val="0"/>
      <w:numFmt w:val="bullet"/>
      <w:lvlText w:val="•"/>
      <w:lvlJc w:val="left"/>
      <w:pPr>
        <w:ind w:left="3268" w:hanging="429"/>
      </w:pPr>
      <w:rPr>
        <w:rFonts w:hint="default"/>
        <w:lang w:val="en-US" w:eastAsia="en-US" w:bidi="ar-SA"/>
      </w:rPr>
    </w:lvl>
    <w:lvl w:ilvl="4">
      <w:start w:val="0"/>
      <w:numFmt w:val="bullet"/>
      <w:lvlText w:val="•"/>
      <w:lvlJc w:val="left"/>
      <w:pPr>
        <w:ind w:left="4293" w:hanging="429"/>
      </w:pPr>
      <w:rPr>
        <w:rFonts w:hint="default"/>
        <w:lang w:val="en-US" w:eastAsia="en-US" w:bidi="ar-SA"/>
      </w:rPr>
    </w:lvl>
    <w:lvl w:ilvl="5">
      <w:start w:val="0"/>
      <w:numFmt w:val="bullet"/>
      <w:lvlText w:val="•"/>
      <w:lvlJc w:val="left"/>
      <w:pPr>
        <w:ind w:left="5317" w:hanging="429"/>
      </w:pPr>
      <w:rPr>
        <w:rFonts w:hint="default"/>
        <w:lang w:val="en-US" w:eastAsia="en-US" w:bidi="ar-SA"/>
      </w:rPr>
    </w:lvl>
    <w:lvl w:ilvl="6">
      <w:start w:val="0"/>
      <w:numFmt w:val="bullet"/>
      <w:lvlText w:val="•"/>
      <w:lvlJc w:val="left"/>
      <w:pPr>
        <w:ind w:left="6342" w:hanging="429"/>
      </w:pPr>
      <w:rPr>
        <w:rFonts w:hint="default"/>
        <w:lang w:val="en-US" w:eastAsia="en-US" w:bidi="ar-SA"/>
      </w:rPr>
    </w:lvl>
    <w:lvl w:ilvl="7">
      <w:start w:val="0"/>
      <w:numFmt w:val="bullet"/>
      <w:lvlText w:val="•"/>
      <w:lvlJc w:val="left"/>
      <w:pPr>
        <w:ind w:left="7366" w:hanging="429"/>
      </w:pPr>
      <w:rPr>
        <w:rFonts w:hint="default"/>
        <w:lang w:val="en-US" w:eastAsia="en-US" w:bidi="ar-SA"/>
      </w:rPr>
    </w:lvl>
    <w:lvl w:ilvl="8">
      <w:start w:val="0"/>
      <w:numFmt w:val="bullet"/>
      <w:lvlText w:val="•"/>
      <w:lvlJc w:val="left"/>
      <w:pPr>
        <w:ind w:left="8391" w:hanging="429"/>
      </w:pPr>
      <w:rPr>
        <w:rFonts w:hint="default"/>
        <w:lang w:val="en-US" w:eastAsia="en-US" w:bidi="ar-SA"/>
      </w:rPr>
    </w:lvl>
  </w:abstractNum>
  <w:abstractNum w:abstractNumId="249">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28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288"/>
      </w:pPr>
      <w:rPr>
        <w:rFonts w:hint="default"/>
        <w:lang w:val="en-US" w:eastAsia="en-US" w:bidi="ar-SA"/>
      </w:rPr>
    </w:lvl>
    <w:lvl w:ilvl="3">
      <w:start w:val="0"/>
      <w:numFmt w:val="bullet"/>
      <w:lvlText w:val="•"/>
      <w:lvlJc w:val="left"/>
      <w:pPr>
        <w:ind w:left="2942" w:hanging="288"/>
      </w:pPr>
      <w:rPr>
        <w:rFonts w:hint="default"/>
        <w:lang w:val="en-US" w:eastAsia="en-US" w:bidi="ar-SA"/>
      </w:rPr>
    </w:lvl>
    <w:lvl w:ilvl="4">
      <w:start w:val="0"/>
      <w:numFmt w:val="bullet"/>
      <w:lvlText w:val="•"/>
      <w:lvlJc w:val="left"/>
      <w:pPr>
        <w:ind w:left="4013" w:hanging="288"/>
      </w:pPr>
      <w:rPr>
        <w:rFonts w:hint="default"/>
        <w:lang w:val="en-US" w:eastAsia="en-US" w:bidi="ar-SA"/>
      </w:rPr>
    </w:lvl>
    <w:lvl w:ilvl="5">
      <w:start w:val="0"/>
      <w:numFmt w:val="bullet"/>
      <w:lvlText w:val="•"/>
      <w:lvlJc w:val="left"/>
      <w:pPr>
        <w:ind w:left="5084" w:hanging="288"/>
      </w:pPr>
      <w:rPr>
        <w:rFonts w:hint="default"/>
        <w:lang w:val="en-US" w:eastAsia="en-US" w:bidi="ar-SA"/>
      </w:rPr>
    </w:lvl>
    <w:lvl w:ilvl="6">
      <w:start w:val="0"/>
      <w:numFmt w:val="bullet"/>
      <w:lvlText w:val="•"/>
      <w:lvlJc w:val="left"/>
      <w:pPr>
        <w:ind w:left="6155" w:hanging="288"/>
      </w:pPr>
      <w:rPr>
        <w:rFonts w:hint="default"/>
        <w:lang w:val="en-US" w:eastAsia="en-US" w:bidi="ar-SA"/>
      </w:rPr>
    </w:lvl>
    <w:lvl w:ilvl="7">
      <w:start w:val="0"/>
      <w:numFmt w:val="bullet"/>
      <w:lvlText w:val="•"/>
      <w:lvlJc w:val="left"/>
      <w:pPr>
        <w:ind w:left="7226" w:hanging="288"/>
      </w:pPr>
      <w:rPr>
        <w:rFonts w:hint="default"/>
        <w:lang w:val="en-US" w:eastAsia="en-US" w:bidi="ar-SA"/>
      </w:rPr>
    </w:lvl>
    <w:lvl w:ilvl="8">
      <w:start w:val="0"/>
      <w:numFmt w:val="bullet"/>
      <w:lvlText w:val="•"/>
      <w:lvlJc w:val="left"/>
      <w:pPr>
        <w:ind w:left="8297" w:hanging="288"/>
      </w:pPr>
      <w:rPr>
        <w:rFonts w:hint="default"/>
        <w:lang w:val="en-US" w:eastAsia="en-US" w:bidi="ar-SA"/>
      </w:rPr>
    </w:lvl>
  </w:abstractNum>
  <w:abstractNum w:abstractNumId="248">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28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288"/>
      </w:pPr>
      <w:rPr>
        <w:rFonts w:hint="default"/>
        <w:lang w:val="en-US" w:eastAsia="en-US" w:bidi="ar-SA"/>
      </w:rPr>
    </w:lvl>
    <w:lvl w:ilvl="3">
      <w:start w:val="0"/>
      <w:numFmt w:val="bullet"/>
      <w:lvlText w:val="•"/>
      <w:lvlJc w:val="left"/>
      <w:pPr>
        <w:ind w:left="2942" w:hanging="288"/>
      </w:pPr>
      <w:rPr>
        <w:rFonts w:hint="default"/>
        <w:lang w:val="en-US" w:eastAsia="en-US" w:bidi="ar-SA"/>
      </w:rPr>
    </w:lvl>
    <w:lvl w:ilvl="4">
      <w:start w:val="0"/>
      <w:numFmt w:val="bullet"/>
      <w:lvlText w:val="•"/>
      <w:lvlJc w:val="left"/>
      <w:pPr>
        <w:ind w:left="4013" w:hanging="288"/>
      </w:pPr>
      <w:rPr>
        <w:rFonts w:hint="default"/>
        <w:lang w:val="en-US" w:eastAsia="en-US" w:bidi="ar-SA"/>
      </w:rPr>
    </w:lvl>
    <w:lvl w:ilvl="5">
      <w:start w:val="0"/>
      <w:numFmt w:val="bullet"/>
      <w:lvlText w:val="•"/>
      <w:lvlJc w:val="left"/>
      <w:pPr>
        <w:ind w:left="5084" w:hanging="288"/>
      </w:pPr>
      <w:rPr>
        <w:rFonts w:hint="default"/>
        <w:lang w:val="en-US" w:eastAsia="en-US" w:bidi="ar-SA"/>
      </w:rPr>
    </w:lvl>
    <w:lvl w:ilvl="6">
      <w:start w:val="0"/>
      <w:numFmt w:val="bullet"/>
      <w:lvlText w:val="•"/>
      <w:lvlJc w:val="left"/>
      <w:pPr>
        <w:ind w:left="6155" w:hanging="288"/>
      </w:pPr>
      <w:rPr>
        <w:rFonts w:hint="default"/>
        <w:lang w:val="en-US" w:eastAsia="en-US" w:bidi="ar-SA"/>
      </w:rPr>
    </w:lvl>
    <w:lvl w:ilvl="7">
      <w:start w:val="0"/>
      <w:numFmt w:val="bullet"/>
      <w:lvlText w:val="•"/>
      <w:lvlJc w:val="left"/>
      <w:pPr>
        <w:ind w:left="7226" w:hanging="288"/>
      </w:pPr>
      <w:rPr>
        <w:rFonts w:hint="default"/>
        <w:lang w:val="en-US" w:eastAsia="en-US" w:bidi="ar-SA"/>
      </w:rPr>
    </w:lvl>
    <w:lvl w:ilvl="8">
      <w:start w:val="0"/>
      <w:numFmt w:val="bullet"/>
      <w:lvlText w:val="•"/>
      <w:lvlJc w:val="left"/>
      <w:pPr>
        <w:ind w:left="8297" w:hanging="288"/>
      </w:pPr>
      <w:rPr>
        <w:rFonts w:hint="default"/>
        <w:lang w:val="en-US" w:eastAsia="en-US" w:bidi="ar-SA"/>
      </w:rPr>
    </w:lvl>
  </w:abstractNum>
  <w:abstractNum w:abstractNumId="247">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10"/>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46">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3">
      <w:start w:val="1"/>
      <w:numFmt w:val="lowerRoman"/>
      <w:lvlText w:val="(%4)"/>
      <w:lvlJc w:val="left"/>
      <w:pPr>
        <w:ind w:left="2418" w:hanging="348"/>
        <w:jc w:val="left"/>
      </w:pPr>
      <w:rPr>
        <w:rFonts w:hint="default" w:ascii="Arial" w:hAnsi="Arial" w:eastAsia="Arial" w:cs="Arial"/>
        <w:b w:val="0"/>
        <w:bCs w:val="0"/>
        <w:i w:val="0"/>
        <w:iCs w:val="0"/>
        <w:spacing w:val="-1"/>
        <w:w w:val="100"/>
        <w:sz w:val="24"/>
        <w:szCs w:val="24"/>
        <w:lang w:val="en-US" w:eastAsia="en-US" w:bidi="ar-SA"/>
      </w:rPr>
    </w:lvl>
    <w:lvl w:ilvl="4">
      <w:start w:val="0"/>
      <w:numFmt w:val="bullet"/>
      <w:lvlText w:val="•"/>
      <w:lvlJc w:val="left"/>
      <w:pPr>
        <w:ind w:left="1220" w:hanging="348"/>
      </w:pPr>
      <w:rPr>
        <w:rFonts w:hint="default"/>
        <w:lang w:val="en-US" w:eastAsia="en-US" w:bidi="ar-SA"/>
      </w:rPr>
    </w:lvl>
    <w:lvl w:ilvl="5">
      <w:start w:val="0"/>
      <w:numFmt w:val="bullet"/>
      <w:lvlText w:val="•"/>
      <w:lvlJc w:val="left"/>
      <w:pPr>
        <w:ind w:left="2080" w:hanging="348"/>
      </w:pPr>
      <w:rPr>
        <w:rFonts w:hint="default"/>
        <w:lang w:val="en-US" w:eastAsia="en-US" w:bidi="ar-SA"/>
      </w:rPr>
    </w:lvl>
    <w:lvl w:ilvl="6">
      <w:start w:val="0"/>
      <w:numFmt w:val="bullet"/>
      <w:lvlText w:val="•"/>
      <w:lvlJc w:val="left"/>
      <w:pPr>
        <w:ind w:left="2420" w:hanging="348"/>
      </w:pPr>
      <w:rPr>
        <w:rFonts w:hint="default"/>
        <w:lang w:val="en-US" w:eastAsia="en-US" w:bidi="ar-SA"/>
      </w:rPr>
    </w:lvl>
    <w:lvl w:ilvl="7">
      <w:start w:val="0"/>
      <w:numFmt w:val="bullet"/>
      <w:lvlText w:val="•"/>
      <w:lvlJc w:val="left"/>
      <w:pPr>
        <w:ind w:left="4425" w:hanging="348"/>
      </w:pPr>
      <w:rPr>
        <w:rFonts w:hint="default"/>
        <w:lang w:val="en-US" w:eastAsia="en-US" w:bidi="ar-SA"/>
      </w:rPr>
    </w:lvl>
    <w:lvl w:ilvl="8">
      <w:start w:val="0"/>
      <w:numFmt w:val="bullet"/>
      <w:lvlText w:val="•"/>
      <w:lvlJc w:val="left"/>
      <w:pPr>
        <w:ind w:left="6430" w:hanging="348"/>
      </w:pPr>
      <w:rPr>
        <w:rFonts w:hint="default"/>
        <w:lang w:val="en-US" w:eastAsia="en-US" w:bidi="ar-SA"/>
      </w:rPr>
    </w:lvl>
  </w:abstractNum>
  <w:abstractNum w:abstractNumId="245">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11"/>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44">
    <w:multiLevelType w:val="hybridMultilevel"/>
    <w:lvl w:ilvl="0">
      <w:start w:val="1"/>
      <w:numFmt w:val="decimal"/>
      <w:lvlText w:val="%1."/>
      <w:lvlJc w:val="left"/>
      <w:pPr>
        <w:ind w:left="1080" w:hanging="288"/>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224" w:hanging="576"/>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576"/>
      </w:pPr>
      <w:rPr>
        <w:rFonts w:hint="default"/>
        <w:lang w:val="en-US" w:eastAsia="en-US" w:bidi="ar-SA"/>
      </w:rPr>
    </w:lvl>
    <w:lvl w:ilvl="3">
      <w:start w:val="0"/>
      <w:numFmt w:val="bullet"/>
      <w:lvlText w:val="•"/>
      <w:lvlJc w:val="left"/>
      <w:pPr>
        <w:ind w:left="3268" w:hanging="576"/>
      </w:pPr>
      <w:rPr>
        <w:rFonts w:hint="default"/>
        <w:lang w:val="en-US" w:eastAsia="en-US" w:bidi="ar-SA"/>
      </w:rPr>
    </w:lvl>
    <w:lvl w:ilvl="4">
      <w:start w:val="0"/>
      <w:numFmt w:val="bullet"/>
      <w:lvlText w:val="•"/>
      <w:lvlJc w:val="left"/>
      <w:pPr>
        <w:ind w:left="4293" w:hanging="576"/>
      </w:pPr>
      <w:rPr>
        <w:rFonts w:hint="default"/>
        <w:lang w:val="en-US" w:eastAsia="en-US" w:bidi="ar-SA"/>
      </w:rPr>
    </w:lvl>
    <w:lvl w:ilvl="5">
      <w:start w:val="0"/>
      <w:numFmt w:val="bullet"/>
      <w:lvlText w:val="•"/>
      <w:lvlJc w:val="left"/>
      <w:pPr>
        <w:ind w:left="5317" w:hanging="576"/>
      </w:pPr>
      <w:rPr>
        <w:rFonts w:hint="default"/>
        <w:lang w:val="en-US" w:eastAsia="en-US" w:bidi="ar-SA"/>
      </w:rPr>
    </w:lvl>
    <w:lvl w:ilvl="6">
      <w:start w:val="0"/>
      <w:numFmt w:val="bullet"/>
      <w:lvlText w:val="•"/>
      <w:lvlJc w:val="left"/>
      <w:pPr>
        <w:ind w:left="6342" w:hanging="576"/>
      </w:pPr>
      <w:rPr>
        <w:rFonts w:hint="default"/>
        <w:lang w:val="en-US" w:eastAsia="en-US" w:bidi="ar-SA"/>
      </w:rPr>
    </w:lvl>
    <w:lvl w:ilvl="7">
      <w:start w:val="0"/>
      <w:numFmt w:val="bullet"/>
      <w:lvlText w:val="•"/>
      <w:lvlJc w:val="left"/>
      <w:pPr>
        <w:ind w:left="7366" w:hanging="576"/>
      </w:pPr>
      <w:rPr>
        <w:rFonts w:hint="default"/>
        <w:lang w:val="en-US" w:eastAsia="en-US" w:bidi="ar-SA"/>
      </w:rPr>
    </w:lvl>
    <w:lvl w:ilvl="8">
      <w:start w:val="0"/>
      <w:numFmt w:val="bullet"/>
      <w:lvlText w:val="•"/>
      <w:lvlJc w:val="left"/>
      <w:pPr>
        <w:ind w:left="8391" w:hanging="576"/>
      </w:pPr>
      <w:rPr>
        <w:rFonts w:hint="default"/>
        <w:lang w:val="en-US" w:eastAsia="en-US" w:bidi="ar-SA"/>
      </w:rPr>
    </w:lvl>
  </w:abstractNum>
  <w:abstractNum w:abstractNumId="243">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90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900" w:hanging="429"/>
      </w:pPr>
      <w:rPr>
        <w:rFonts w:hint="default"/>
        <w:lang w:val="en-US" w:eastAsia="en-US" w:bidi="ar-SA"/>
      </w:rPr>
    </w:lvl>
    <w:lvl w:ilvl="3">
      <w:start w:val="0"/>
      <w:numFmt w:val="bullet"/>
      <w:lvlText w:val="•"/>
      <w:lvlJc w:val="left"/>
      <w:pPr>
        <w:ind w:left="1140" w:hanging="429"/>
      </w:pPr>
      <w:rPr>
        <w:rFonts w:hint="default"/>
        <w:lang w:val="en-US" w:eastAsia="en-US" w:bidi="ar-SA"/>
      </w:rPr>
    </w:lvl>
    <w:lvl w:ilvl="4">
      <w:start w:val="0"/>
      <w:numFmt w:val="bullet"/>
      <w:lvlText w:val="•"/>
      <w:lvlJc w:val="left"/>
      <w:pPr>
        <w:ind w:left="2468" w:hanging="429"/>
      </w:pPr>
      <w:rPr>
        <w:rFonts w:hint="default"/>
        <w:lang w:val="en-US" w:eastAsia="en-US" w:bidi="ar-SA"/>
      </w:rPr>
    </w:lvl>
    <w:lvl w:ilvl="5">
      <w:start w:val="0"/>
      <w:numFmt w:val="bullet"/>
      <w:lvlText w:val="•"/>
      <w:lvlJc w:val="left"/>
      <w:pPr>
        <w:ind w:left="3797" w:hanging="429"/>
      </w:pPr>
      <w:rPr>
        <w:rFonts w:hint="default"/>
        <w:lang w:val="en-US" w:eastAsia="en-US" w:bidi="ar-SA"/>
      </w:rPr>
    </w:lvl>
    <w:lvl w:ilvl="6">
      <w:start w:val="0"/>
      <w:numFmt w:val="bullet"/>
      <w:lvlText w:val="•"/>
      <w:lvlJc w:val="left"/>
      <w:pPr>
        <w:ind w:left="5125" w:hanging="429"/>
      </w:pPr>
      <w:rPr>
        <w:rFonts w:hint="default"/>
        <w:lang w:val="en-US" w:eastAsia="en-US" w:bidi="ar-SA"/>
      </w:rPr>
    </w:lvl>
    <w:lvl w:ilvl="7">
      <w:start w:val="0"/>
      <w:numFmt w:val="bullet"/>
      <w:lvlText w:val="•"/>
      <w:lvlJc w:val="left"/>
      <w:pPr>
        <w:ind w:left="6454" w:hanging="429"/>
      </w:pPr>
      <w:rPr>
        <w:rFonts w:hint="default"/>
        <w:lang w:val="en-US" w:eastAsia="en-US" w:bidi="ar-SA"/>
      </w:rPr>
    </w:lvl>
    <w:lvl w:ilvl="8">
      <w:start w:val="0"/>
      <w:numFmt w:val="bullet"/>
      <w:lvlText w:val="•"/>
      <w:lvlJc w:val="left"/>
      <w:pPr>
        <w:ind w:left="7782" w:hanging="429"/>
      </w:pPr>
      <w:rPr>
        <w:rFonts w:hint="default"/>
        <w:lang w:val="en-US" w:eastAsia="en-US" w:bidi="ar-SA"/>
      </w:rPr>
    </w:lvl>
  </w:abstractNum>
  <w:abstractNum w:abstractNumId="242">
    <w:multiLevelType w:val="hybridMultilevel"/>
    <w:lvl w:ilvl="0">
      <w:start w:val="8"/>
      <w:numFmt w:val="decimal"/>
      <w:lvlText w:val="%1"/>
      <w:lvlJc w:val="left"/>
      <w:pPr>
        <w:ind w:left="1439" w:hanging="1080"/>
        <w:jc w:val="left"/>
      </w:pPr>
      <w:rPr>
        <w:rFonts w:hint="default"/>
        <w:lang w:val="en-US" w:eastAsia="en-US" w:bidi="ar-SA"/>
      </w:rPr>
    </w:lvl>
    <w:lvl w:ilvl="1">
      <w:start w:val="11"/>
      <w:numFmt w:val="decimal"/>
      <w:lvlText w:val="%1-%2"/>
      <w:lvlJc w:val="left"/>
      <w:pPr>
        <w:ind w:left="1439" w:hanging="1080"/>
        <w:jc w:val="left"/>
      </w:pPr>
      <w:rPr>
        <w:rFonts w:hint="default"/>
        <w:lang w:val="en-US" w:eastAsia="en-US" w:bidi="ar-SA"/>
      </w:rPr>
    </w:lvl>
    <w:lvl w:ilvl="2">
      <w:start w:val="23"/>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41">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11"/>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40">
    <w:multiLevelType w:val="hybridMultilevel"/>
    <w:lvl w:ilvl="0">
      <w:start w:val="1"/>
      <w:numFmt w:val="decimal"/>
      <w:lvlText w:val="%1."/>
      <w:lvlJc w:val="left"/>
      <w:pPr>
        <w:ind w:left="378" w:hanging="335"/>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86" w:hanging="335"/>
      </w:pPr>
      <w:rPr>
        <w:rFonts w:hint="default"/>
        <w:lang w:val="en-US" w:eastAsia="en-US" w:bidi="ar-SA"/>
      </w:rPr>
    </w:lvl>
    <w:lvl w:ilvl="2">
      <w:start w:val="0"/>
      <w:numFmt w:val="bullet"/>
      <w:lvlText w:val="•"/>
      <w:lvlJc w:val="left"/>
      <w:pPr>
        <w:ind w:left="2392" w:hanging="335"/>
      </w:pPr>
      <w:rPr>
        <w:rFonts w:hint="default"/>
        <w:lang w:val="en-US" w:eastAsia="en-US" w:bidi="ar-SA"/>
      </w:rPr>
    </w:lvl>
    <w:lvl w:ilvl="3">
      <w:start w:val="0"/>
      <w:numFmt w:val="bullet"/>
      <w:lvlText w:val="•"/>
      <w:lvlJc w:val="left"/>
      <w:pPr>
        <w:ind w:left="3398" w:hanging="335"/>
      </w:pPr>
      <w:rPr>
        <w:rFonts w:hint="default"/>
        <w:lang w:val="en-US" w:eastAsia="en-US" w:bidi="ar-SA"/>
      </w:rPr>
    </w:lvl>
    <w:lvl w:ilvl="4">
      <w:start w:val="0"/>
      <w:numFmt w:val="bullet"/>
      <w:lvlText w:val="•"/>
      <w:lvlJc w:val="left"/>
      <w:pPr>
        <w:ind w:left="4404" w:hanging="335"/>
      </w:pPr>
      <w:rPr>
        <w:rFonts w:hint="default"/>
        <w:lang w:val="en-US" w:eastAsia="en-US" w:bidi="ar-SA"/>
      </w:rPr>
    </w:lvl>
    <w:lvl w:ilvl="5">
      <w:start w:val="0"/>
      <w:numFmt w:val="bullet"/>
      <w:lvlText w:val="•"/>
      <w:lvlJc w:val="left"/>
      <w:pPr>
        <w:ind w:left="5410" w:hanging="335"/>
      </w:pPr>
      <w:rPr>
        <w:rFonts w:hint="default"/>
        <w:lang w:val="en-US" w:eastAsia="en-US" w:bidi="ar-SA"/>
      </w:rPr>
    </w:lvl>
    <w:lvl w:ilvl="6">
      <w:start w:val="0"/>
      <w:numFmt w:val="bullet"/>
      <w:lvlText w:val="•"/>
      <w:lvlJc w:val="left"/>
      <w:pPr>
        <w:ind w:left="6416" w:hanging="335"/>
      </w:pPr>
      <w:rPr>
        <w:rFonts w:hint="default"/>
        <w:lang w:val="en-US" w:eastAsia="en-US" w:bidi="ar-SA"/>
      </w:rPr>
    </w:lvl>
    <w:lvl w:ilvl="7">
      <w:start w:val="0"/>
      <w:numFmt w:val="bullet"/>
      <w:lvlText w:val="•"/>
      <w:lvlJc w:val="left"/>
      <w:pPr>
        <w:ind w:left="7422" w:hanging="335"/>
      </w:pPr>
      <w:rPr>
        <w:rFonts w:hint="default"/>
        <w:lang w:val="en-US" w:eastAsia="en-US" w:bidi="ar-SA"/>
      </w:rPr>
    </w:lvl>
    <w:lvl w:ilvl="8">
      <w:start w:val="0"/>
      <w:numFmt w:val="bullet"/>
      <w:lvlText w:val="•"/>
      <w:lvlJc w:val="left"/>
      <w:pPr>
        <w:ind w:left="8428" w:hanging="335"/>
      </w:pPr>
      <w:rPr>
        <w:rFonts w:hint="default"/>
        <w:lang w:val="en-US" w:eastAsia="en-US" w:bidi="ar-SA"/>
      </w:rPr>
    </w:lvl>
  </w:abstractNum>
  <w:abstractNum w:abstractNumId="239">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81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88" w:hanging="429"/>
      </w:pPr>
      <w:rPr>
        <w:rFonts w:hint="default"/>
        <w:lang w:val="en-US" w:eastAsia="en-US" w:bidi="ar-SA"/>
      </w:rPr>
    </w:lvl>
    <w:lvl w:ilvl="3">
      <w:start w:val="0"/>
      <w:numFmt w:val="bullet"/>
      <w:lvlText w:val="•"/>
      <w:lvlJc w:val="left"/>
      <w:pPr>
        <w:ind w:left="2957" w:hanging="429"/>
      </w:pPr>
      <w:rPr>
        <w:rFonts w:hint="default"/>
        <w:lang w:val="en-US" w:eastAsia="en-US" w:bidi="ar-SA"/>
      </w:rPr>
    </w:lvl>
    <w:lvl w:ilvl="4">
      <w:start w:val="0"/>
      <w:numFmt w:val="bullet"/>
      <w:lvlText w:val="•"/>
      <w:lvlJc w:val="left"/>
      <w:pPr>
        <w:ind w:left="4026" w:hanging="429"/>
      </w:pPr>
      <w:rPr>
        <w:rFonts w:hint="default"/>
        <w:lang w:val="en-US" w:eastAsia="en-US" w:bidi="ar-SA"/>
      </w:rPr>
    </w:lvl>
    <w:lvl w:ilvl="5">
      <w:start w:val="0"/>
      <w:numFmt w:val="bullet"/>
      <w:lvlText w:val="•"/>
      <w:lvlJc w:val="left"/>
      <w:pPr>
        <w:ind w:left="5095" w:hanging="429"/>
      </w:pPr>
      <w:rPr>
        <w:rFonts w:hint="default"/>
        <w:lang w:val="en-US" w:eastAsia="en-US" w:bidi="ar-SA"/>
      </w:rPr>
    </w:lvl>
    <w:lvl w:ilvl="6">
      <w:start w:val="0"/>
      <w:numFmt w:val="bullet"/>
      <w:lvlText w:val="•"/>
      <w:lvlJc w:val="left"/>
      <w:pPr>
        <w:ind w:left="6164" w:hanging="429"/>
      </w:pPr>
      <w:rPr>
        <w:rFonts w:hint="default"/>
        <w:lang w:val="en-US" w:eastAsia="en-US" w:bidi="ar-SA"/>
      </w:rPr>
    </w:lvl>
    <w:lvl w:ilvl="7">
      <w:start w:val="0"/>
      <w:numFmt w:val="bullet"/>
      <w:lvlText w:val="•"/>
      <w:lvlJc w:val="left"/>
      <w:pPr>
        <w:ind w:left="7233" w:hanging="429"/>
      </w:pPr>
      <w:rPr>
        <w:rFonts w:hint="default"/>
        <w:lang w:val="en-US" w:eastAsia="en-US" w:bidi="ar-SA"/>
      </w:rPr>
    </w:lvl>
    <w:lvl w:ilvl="8">
      <w:start w:val="0"/>
      <w:numFmt w:val="bullet"/>
      <w:lvlText w:val="•"/>
      <w:lvlJc w:val="left"/>
      <w:pPr>
        <w:ind w:left="8302" w:hanging="429"/>
      </w:pPr>
      <w:rPr>
        <w:rFonts w:hint="default"/>
        <w:lang w:val="en-US" w:eastAsia="en-US" w:bidi="ar-SA"/>
      </w:rPr>
    </w:lvl>
  </w:abstractNum>
  <w:abstractNum w:abstractNumId="238">
    <w:multiLevelType w:val="hybridMultilevel"/>
    <w:lvl w:ilvl="0">
      <w:start w:val="8"/>
      <w:numFmt w:val="decimal"/>
      <w:lvlText w:val="%1"/>
      <w:lvlJc w:val="left"/>
      <w:pPr>
        <w:ind w:left="1440" w:hanging="1080"/>
        <w:jc w:val="left"/>
      </w:pPr>
      <w:rPr>
        <w:rFonts w:hint="default"/>
        <w:lang w:val="en-US" w:eastAsia="en-US" w:bidi="ar-SA"/>
      </w:rPr>
    </w:lvl>
    <w:lvl w:ilvl="1">
      <w:start w:val="11"/>
      <w:numFmt w:val="decimal"/>
      <w:lvlText w:val="%1-%2"/>
      <w:lvlJc w:val="left"/>
      <w:pPr>
        <w:ind w:left="1440" w:hanging="1080"/>
        <w:jc w:val="left"/>
      </w:pPr>
      <w:rPr>
        <w:rFonts w:hint="default"/>
        <w:lang w:val="en-US" w:eastAsia="en-US" w:bidi="ar-SA"/>
      </w:rPr>
    </w:lvl>
    <w:lvl w:ilvl="2">
      <w:start w:val="23"/>
      <w:numFmt w:val="decimal"/>
      <w:lvlText w:val="%1-%2-%3"/>
      <w:lvlJc w:val="left"/>
      <w:pPr>
        <w:ind w:left="1440" w:hanging="1080"/>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37">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10"/>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36">
    <w:multiLevelType w:val="hybridMultilevel"/>
    <w:lvl w:ilvl="0">
      <w:start w:val="1"/>
      <w:numFmt w:val="decimal"/>
      <w:lvlText w:val="%1."/>
      <w:lvlJc w:val="left"/>
      <w:pPr>
        <w:ind w:left="360" w:hanging="335"/>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7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00" w:hanging="429"/>
      </w:pPr>
      <w:rPr>
        <w:rFonts w:hint="default"/>
        <w:lang w:val="en-US" w:eastAsia="en-US" w:bidi="ar-SA"/>
      </w:rPr>
    </w:lvl>
    <w:lvl w:ilvl="3">
      <w:start w:val="0"/>
      <w:numFmt w:val="bullet"/>
      <w:lvlText w:val="•"/>
      <w:lvlJc w:val="left"/>
      <w:pPr>
        <w:ind w:left="2880" w:hanging="429"/>
      </w:pPr>
      <w:rPr>
        <w:rFonts w:hint="default"/>
        <w:lang w:val="en-US" w:eastAsia="en-US" w:bidi="ar-SA"/>
      </w:rPr>
    </w:lvl>
    <w:lvl w:ilvl="4">
      <w:start w:val="0"/>
      <w:numFmt w:val="bullet"/>
      <w:lvlText w:val="•"/>
      <w:lvlJc w:val="left"/>
      <w:pPr>
        <w:ind w:left="3960" w:hanging="429"/>
      </w:pPr>
      <w:rPr>
        <w:rFonts w:hint="default"/>
        <w:lang w:val="en-US" w:eastAsia="en-US" w:bidi="ar-SA"/>
      </w:rPr>
    </w:lvl>
    <w:lvl w:ilvl="5">
      <w:start w:val="0"/>
      <w:numFmt w:val="bullet"/>
      <w:lvlText w:val="•"/>
      <w:lvlJc w:val="left"/>
      <w:pPr>
        <w:ind w:left="5040" w:hanging="429"/>
      </w:pPr>
      <w:rPr>
        <w:rFonts w:hint="default"/>
        <w:lang w:val="en-US" w:eastAsia="en-US" w:bidi="ar-SA"/>
      </w:rPr>
    </w:lvl>
    <w:lvl w:ilvl="6">
      <w:start w:val="0"/>
      <w:numFmt w:val="bullet"/>
      <w:lvlText w:val="•"/>
      <w:lvlJc w:val="left"/>
      <w:pPr>
        <w:ind w:left="6120" w:hanging="429"/>
      </w:pPr>
      <w:rPr>
        <w:rFonts w:hint="default"/>
        <w:lang w:val="en-US" w:eastAsia="en-US" w:bidi="ar-SA"/>
      </w:rPr>
    </w:lvl>
    <w:lvl w:ilvl="7">
      <w:start w:val="0"/>
      <w:numFmt w:val="bullet"/>
      <w:lvlText w:val="•"/>
      <w:lvlJc w:val="left"/>
      <w:pPr>
        <w:ind w:left="7200" w:hanging="429"/>
      </w:pPr>
      <w:rPr>
        <w:rFonts w:hint="default"/>
        <w:lang w:val="en-US" w:eastAsia="en-US" w:bidi="ar-SA"/>
      </w:rPr>
    </w:lvl>
    <w:lvl w:ilvl="8">
      <w:start w:val="0"/>
      <w:numFmt w:val="bullet"/>
      <w:lvlText w:val="•"/>
      <w:lvlJc w:val="left"/>
      <w:pPr>
        <w:ind w:left="8280" w:hanging="429"/>
      </w:pPr>
      <w:rPr>
        <w:rFonts w:hint="default"/>
        <w:lang w:val="en-US" w:eastAsia="en-US" w:bidi="ar-SA"/>
      </w:rPr>
    </w:lvl>
  </w:abstractNum>
  <w:abstractNum w:abstractNumId="235">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220" w:hanging="429"/>
      </w:pPr>
      <w:rPr>
        <w:rFonts w:hint="default"/>
        <w:lang w:val="en-US" w:eastAsia="en-US" w:bidi="ar-SA"/>
      </w:rPr>
    </w:lvl>
    <w:lvl w:ilvl="3">
      <w:start w:val="0"/>
      <w:numFmt w:val="bullet"/>
      <w:lvlText w:val="•"/>
      <w:lvlJc w:val="left"/>
      <w:pPr>
        <w:ind w:left="2372" w:hanging="429"/>
      </w:pPr>
      <w:rPr>
        <w:rFonts w:hint="default"/>
        <w:lang w:val="en-US" w:eastAsia="en-US" w:bidi="ar-SA"/>
      </w:rPr>
    </w:lvl>
    <w:lvl w:ilvl="4">
      <w:start w:val="0"/>
      <w:numFmt w:val="bullet"/>
      <w:lvlText w:val="•"/>
      <w:lvlJc w:val="left"/>
      <w:pPr>
        <w:ind w:left="3525" w:hanging="429"/>
      </w:pPr>
      <w:rPr>
        <w:rFonts w:hint="default"/>
        <w:lang w:val="en-US" w:eastAsia="en-US" w:bidi="ar-SA"/>
      </w:rPr>
    </w:lvl>
    <w:lvl w:ilvl="5">
      <w:start w:val="0"/>
      <w:numFmt w:val="bullet"/>
      <w:lvlText w:val="•"/>
      <w:lvlJc w:val="left"/>
      <w:pPr>
        <w:ind w:left="4677" w:hanging="429"/>
      </w:pPr>
      <w:rPr>
        <w:rFonts w:hint="default"/>
        <w:lang w:val="en-US" w:eastAsia="en-US" w:bidi="ar-SA"/>
      </w:rPr>
    </w:lvl>
    <w:lvl w:ilvl="6">
      <w:start w:val="0"/>
      <w:numFmt w:val="bullet"/>
      <w:lvlText w:val="•"/>
      <w:lvlJc w:val="left"/>
      <w:pPr>
        <w:ind w:left="5830" w:hanging="429"/>
      </w:pPr>
      <w:rPr>
        <w:rFonts w:hint="default"/>
        <w:lang w:val="en-US" w:eastAsia="en-US" w:bidi="ar-SA"/>
      </w:rPr>
    </w:lvl>
    <w:lvl w:ilvl="7">
      <w:start w:val="0"/>
      <w:numFmt w:val="bullet"/>
      <w:lvlText w:val="•"/>
      <w:lvlJc w:val="left"/>
      <w:pPr>
        <w:ind w:left="6982" w:hanging="429"/>
      </w:pPr>
      <w:rPr>
        <w:rFonts w:hint="default"/>
        <w:lang w:val="en-US" w:eastAsia="en-US" w:bidi="ar-SA"/>
      </w:rPr>
    </w:lvl>
    <w:lvl w:ilvl="8">
      <w:start w:val="0"/>
      <w:numFmt w:val="bullet"/>
      <w:lvlText w:val="•"/>
      <w:lvlJc w:val="left"/>
      <w:pPr>
        <w:ind w:left="8135" w:hanging="429"/>
      </w:pPr>
      <w:rPr>
        <w:rFonts w:hint="default"/>
        <w:lang w:val="en-US" w:eastAsia="en-US" w:bidi="ar-SA"/>
      </w:rPr>
    </w:lvl>
  </w:abstractNum>
  <w:abstractNum w:abstractNumId="234">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8"/>
      </w:pPr>
      <w:rPr>
        <w:rFonts w:hint="default"/>
        <w:lang w:val="en-US" w:eastAsia="en-US" w:bidi="ar-SA"/>
      </w:rPr>
    </w:lvl>
    <w:lvl w:ilvl="2">
      <w:start w:val="0"/>
      <w:numFmt w:val="bullet"/>
      <w:lvlText w:val="•"/>
      <w:lvlJc w:val="left"/>
      <w:pPr>
        <w:ind w:left="2376" w:hanging="428"/>
      </w:pPr>
      <w:rPr>
        <w:rFonts w:hint="default"/>
        <w:lang w:val="en-US" w:eastAsia="en-US" w:bidi="ar-SA"/>
      </w:rPr>
    </w:lvl>
    <w:lvl w:ilvl="3">
      <w:start w:val="0"/>
      <w:numFmt w:val="bullet"/>
      <w:lvlText w:val="•"/>
      <w:lvlJc w:val="left"/>
      <w:pPr>
        <w:ind w:left="3384" w:hanging="428"/>
      </w:pPr>
      <w:rPr>
        <w:rFonts w:hint="default"/>
        <w:lang w:val="en-US" w:eastAsia="en-US" w:bidi="ar-SA"/>
      </w:rPr>
    </w:lvl>
    <w:lvl w:ilvl="4">
      <w:start w:val="0"/>
      <w:numFmt w:val="bullet"/>
      <w:lvlText w:val="•"/>
      <w:lvlJc w:val="left"/>
      <w:pPr>
        <w:ind w:left="4392" w:hanging="428"/>
      </w:pPr>
      <w:rPr>
        <w:rFonts w:hint="default"/>
        <w:lang w:val="en-US" w:eastAsia="en-US" w:bidi="ar-SA"/>
      </w:rPr>
    </w:lvl>
    <w:lvl w:ilvl="5">
      <w:start w:val="0"/>
      <w:numFmt w:val="bullet"/>
      <w:lvlText w:val="•"/>
      <w:lvlJc w:val="left"/>
      <w:pPr>
        <w:ind w:left="5400" w:hanging="428"/>
      </w:pPr>
      <w:rPr>
        <w:rFonts w:hint="default"/>
        <w:lang w:val="en-US" w:eastAsia="en-US" w:bidi="ar-SA"/>
      </w:rPr>
    </w:lvl>
    <w:lvl w:ilvl="6">
      <w:start w:val="0"/>
      <w:numFmt w:val="bullet"/>
      <w:lvlText w:val="•"/>
      <w:lvlJc w:val="left"/>
      <w:pPr>
        <w:ind w:left="6408" w:hanging="428"/>
      </w:pPr>
      <w:rPr>
        <w:rFonts w:hint="default"/>
        <w:lang w:val="en-US" w:eastAsia="en-US" w:bidi="ar-SA"/>
      </w:rPr>
    </w:lvl>
    <w:lvl w:ilvl="7">
      <w:start w:val="0"/>
      <w:numFmt w:val="bullet"/>
      <w:lvlText w:val="•"/>
      <w:lvlJc w:val="left"/>
      <w:pPr>
        <w:ind w:left="7416" w:hanging="428"/>
      </w:pPr>
      <w:rPr>
        <w:rFonts w:hint="default"/>
        <w:lang w:val="en-US" w:eastAsia="en-US" w:bidi="ar-SA"/>
      </w:rPr>
    </w:lvl>
    <w:lvl w:ilvl="8">
      <w:start w:val="0"/>
      <w:numFmt w:val="bullet"/>
      <w:lvlText w:val="•"/>
      <w:lvlJc w:val="left"/>
      <w:pPr>
        <w:ind w:left="8424" w:hanging="428"/>
      </w:pPr>
      <w:rPr>
        <w:rFonts w:hint="default"/>
        <w:lang w:val="en-US" w:eastAsia="en-US" w:bidi="ar-SA"/>
      </w:rPr>
    </w:lvl>
  </w:abstractNum>
  <w:abstractNum w:abstractNumId="233">
    <w:multiLevelType w:val="hybridMultilevel"/>
    <w:lvl w:ilvl="0">
      <w:start w:val="1"/>
      <w:numFmt w:val="decimal"/>
      <w:lvlText w:val="%1."/>
      <w:lvlJc w:val="left"/>
      <w:pPr>
        <w:ind w:left="1080" w:hanging="28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016" w:hanging="288"/>
      </w:pPr>
      <w:rPr>
        <w:rFonts w:hint="default"/>
        <w:lang w:val="en-US" w:eastAsia="en-US" w:bidi="ar-SA"/>
      </w:rPr>
    </w:lvl>
    <w:lvl w:ilvl="2">
      <w:start w:val="0"/>
      <w:numFmt w:val="bullet"/>
      <w:lvlText w:val="•"/>
      <w:lvlJc w:val="left"/>
      <w:pPr>
        <w:ind w:left="2952" w:hanging="288"/>
      </w:pPr>
      <w:rPr>
        <w:rFonts w:hint="default"/>
        <w:lang w:val="en-US" w:eastAsia="en-US" w:bidi="ar-SA"/>
      </w:rPr>
    </w:lvl>
    <w:lvl w:ilvl="3">
      <w:start w:val="0"/>
      <w:numFmt w:val="bullet"/>
      <w:lvlText w:val="•"/>
      <w:lvlJc w:val="left"/>
      <w:pPr>
        <w:ind w:left="3888" w:hanging="288"/>
      </w:pPr>
      <w:rPr>
        <w:rFonts w:hint="default"/>
        <w:lang w:val="en-US" w:eastAsia="en-US" w:bidi="ar-SA"/>
      </w:rPr>
    </w:lvl>
    <w:lvl w:ilvl="4">
      <w:start w:val="0"/>
      <w:numFmt w:val="bullet"/>
      <w:lvlText w:val="•"/>
      <w:lvlJc w:val="left"/>
      <w:pPr>
        <w:ind w:left="4824" w:hanging="288"/>
      </w:pPr>
      <w:rPr>
        <w:rFonts w:hint="default"/>
        <w:lang w:val="en-US" w:eastAsia="en-US" w:bidi="ar-SA"/>
      </w:rPr>
    </w:lvl>
    <w:lvl w:ilvl="5">
      <w:start w:val="0"/>
      <w:numFmt w:val="bullet"/>
      <w:lvlText w:val="•"/>
      <w:lvlJc w:val="left"/>
      <w:pPr>
        <w:ind w:left="5760" w:hanging="288"/>
      </w:pPr>
      <w:rPr>
        <w:rFonts w:hint="default"/>
        <w:lang w:val="en-US" w:eastAsia="en-US" w:bidi="ar-SA"/>
      </w:rPr>
    </w:lvl>
    <w:lvl w:ilvl="6">
      <w:start w:val="0"/>
      <w:numFmt w:val="bullet"/>
      <w:lvlText w:val="•"/>
      <w:lvlJc w:val="left"/>
      <w:pPr>
        <w:ind w:left="6696" w:hanging="288"/>
      </w:pPr>
      <w:rPr>
        <w:rFonts w:hint="default"/>
        <w:lang w:val="en-US" w:eastAsia="en-US" w:bidi="ar-SA"/>
      </w:rPr>
    </w:lvl>
    <w:lvl w:ilvl="7">
      <w:start w:val="0"/>
      <w:numFmt w:val="bullet"/>
      <w:lvlText w:val="•"/>
      <w:lvlJc w:val="left"/>
      <w:pPr>
        <w:ind w:left="7632" w:hanging="288"/>
      </w:pPr>
      <w:rPr>
        <w:rFonts w:hint="default"/>
        <w:lang w:val="en-US" w:eastAsia="en-US" w:bidi="ar-SA"/>
      </w:rPr>
    </w:lvl>
    <w:lvl w:ilvl="8">
      <w:start w:val="0"/>
      <w:numFmt w:val="bullet"/>
      <w:lvlText w:val="•"/>
      <w:lvlJc w:val="left"/>
      <w:pPr>
        <w:ind w:left="8568" w:hanging="288"/>
      </w:pPr>
      <w:rPr>
        <w:rFonts w:hint="default"/>
        <w:lang w:val="en-US" w:eastAsia="en-US" w:bidi="ar-SA"/>
      </w:rPr>
    </w:lvl>
  </w:abstractNum>
  <w:abstractNum w:abstractNumId="232">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8"/>
      </w:pPr>
      <w:rPr>
        <w:rFonts w:hint="default"/>
        <w:lang w:val="en-US" w:eastAsia="en-US" w:bidi="ar-SA"/>
      </w:rPr>
    </w:lvl>
    <w:lvl w:ilvl="3">
      <w:start w:val="0"/>
      <w:numFmt w:val="bullet"/>
      <w:lvlText w:val="•"/>
      <w:lvlJc w:val="left"/>
      <w:pPr>
        <w:ind w:left="2942" w:hanging="428"/>
      </w:pPr>
      <w:rPr>
        <w:rFonts w:hint="default"/>
        <w:lang w:val="en-US" w:eastAsia="en-US" w:bidi="ar-SA"/>
      </w:rPr>
    </w:lvl>
    <w:lvl w:ilvl="4">
      <w:start w:val="0"/>
      <w:numFmt w:val="bullet"/>
      <w:lvlText w:val="•"/>
      <w:lvlJc w:val="left"/>
      <w:pPr>
        <w:ind w:left="4013" w:hanging="428"/>
      </w:pPr>
      <w:rPr>
        <w:rFonts w:hint="default"/>
        <w:lang w:val="en-US" w:eastAsia="en-US" w:bidi="ar-SA"/>
      </w:rPr>
    </w:lvl>
    <w:lvl w:ilvl="5">
      <w:start w:val="0"/>
      <w:numFmt w:val="bullet"/>
      <w:lvlText w:val="•"/>
      <w:lvlJc w:val="left"/>
      <w:pPr>
        <w:ind w:left="5084" w:hanging="428"/>
      </w:pPr>
      <w:rPr>
        <w:rFonts w:hint="default"/>
        <w:lang w:val="en-US" w:eastAsia="en-US" w:bidi="ar-SA"/>
      </w:rPr>
    </w:lvl>
    <w:lvl w:ilvl="6">
      <w:start w:val="0"/>
      <w:numFmt w:val="bullet"/>
      <w:lvlText w:val="•"/>
      <w:lvlJc w:val="left"/>
      <w:pPr>
        <w:ind w:left="6155" w:hanging="428"/>
      </w:pPr>
      <w:rPr>
        <w:rFonts w:hint="default"/>
        <w:lang w:val="en-US" w:eastAsia="en-US" w:bidi="ar-SA"/>
      </w:rPr>
    </w:lvl>
    <w:lvl w:ilvl="7">
      <w:start w:val="0"/>
      <w:numFmt w:val="bullet"/>
      <w:lvlText w:val="•"/>
      <w:lvlJc w:val="left"/>
      <w:pPr>
        <w:ind w:left="7226" w:hanging="428"/>
      </w:pPr>
      <w:rPr>
        <w:rFonts w:hint="default"/>
        <w:lang w:val="en-US" w:eastAsia="en-US" w:bidi="ar-SA"/>
      </w:rPr>
    </w:lvl>
    <w:lvl w:ilvl="8">
      <w:start w:val="0"/>
      <w:numFmt w:val="bullet"/>
      <w:lvlText w:val="•"/>
      <w:lvlJc w:val="left"/>
      <w:pPr>
        <w:ind w:left="8297" w:hanging="428"/>
      </w:pPr>
      <w:rPr>
        <w:rFonts w:hint="default"/>
        <w:lang w:val="en-US" w:eastAsia="en-US" w:bidi="ar-SA"/>
      </w:rPr>
    </w:lvl>
  </w:abstractNum>
  <w:abstractNum w:abstractNumId="231">
    <w:multiLevelType w:val="hybridMultilevel"/>
    <w:lvl w:ilvl="0">
      <w:start w:val="1"/>
      <w:numFmt w:val="decimal"/>
      <w:lvlText w:val="(%1)"/>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429"/>
      </w:pPr>
      <w:rPr>
        <w:rFonts w:hint="default"/>
        <w:lang w:val="en-US" w:eastAsia="en-US" w:bidi="ar-SA"/>
      </w:rPr>
    </w:lvl>
    <w:lvl w:ilvl="2">
      <w:start w:val="0"/>
      <w:numFmt w:val="bullet"/>
      <w:lvlText w:val="•"/>
      <w:lvlJc w:val="left"/>
      <w:pPr>
        <w:ind w:left="3064" w:hanging="429"/>
      </w:pPr>
      <w:rPr>
        <w:rFonts w:hint="default"/>
        <w:lang w:val="en-US" w:eastAsia="en-US" w:bidi="ar-SA"/>
      </w:rPr>
    </w:lvl>
    <w:lvl w:ilvl="3">
      <w:start w:val="0"/>
      <w:numFmt w:val="bullet"/>
      <w:lvlText w:val="•"/>
      <w:lvlJc w:val="left"/>
      <w:pPr>
        <w:ind w:left="3986" w:hanging="429"/>
      </w:pPr>
      <w:rPr>
        <w:rFonts w:hint="default"/>
        <w:lang w:val="en-US" w:eastAsia="en-US" w:bidi="ar-SA"/>
      </w:rPr>
    </w:lvl>
    <w:lvl w:ilvl="4">
      <w:start w:val="0"/>
      <w:numFmt w:val="bullet"/>
      <w:lvlText w:val="•"/>
      <w:lvlJc w:val="left"/>
      <w:pPr>
        <w:ind w:left="4908" w:hanging="429"/>
      </w:pPr>
      <w:rPr>
        <w:rFonts w:hint="default"/>
        <w:lang w:val="en-US" w:eastAsia="en-US" w:bidi="ar-SA"/>
      </w:rPr>
    </w:lvl>
    <w:lvl w:ilvl="5">
      <w:start w:val="0"/>
      <w:numFmt w:val="bullet"/>
      <w:lvlText w:val="•"/>
      <w:lvlJc w:val="left"/>
      <w:pPr>
        <w:ind w:left="5830" w:hanging="429"/>
      </w:pPr>
      <w:rPr>
        <w:rFonts w:hint="default"/>
        <w:lang w:val="en-US" w:eastAsia="en-US" w:bidi="ar-SA"/>
      </w:rPr>
    </w:lvl>
    <w:lvl w:ilvl="6">
      <w:start w:val="0"/>
      <w:numFmt w:val="bullet"/>
      <w:lvlText w:val="•"/>
      <w:lvlJc w:val="left"/>
      <w:pPr>
        <w:ind w:left="6752" w:hanging="429"/>
      </w:pPr>
      <w:rPr>
        <w:rFonts w:hint="default"/>
        <w:lang w:val="en-US" w:eastAsia="en-US" w:bidi="ar-SA"/>
      </w:rPr>
    </w:lvl>
    <w:lvl w:ilvl="7">
      <w:start w:val="0"/>
      <w:numFmt w:val="bullet"/>
      <w:lvlText w:val="•"/>
      <w:lvlJc w:val="left"/>
      <w:pPr>
        <w:ind w:left="7674" w:hanging="429"/>
      </w:pPr>
      <w:rPr>
        <w:rFonts w:hint="default"/>
        <w:lang w:val="en-US" w:eastAsia="en-US" w:bidi="ar-SA"/>
      </w:rPr>
    </w:lvl>
    <w:lvl w:ilvl="8">
      <w:start w:val="0"/>
      <w:numFmt w:val="bullet"/>
      <w:lvlText w:val="•"/>
      <w:lvlJc w:val="left"/>
      <w:pPr>
        <w:ind w:left="8596" w:hanging="429"/>
      </w:pPr>
      <w:rPr>
        <w:rFonts w:hint="default"/>
        <w:lang w:val="en-US" w:eastAsia="en-US" w:bidi="ar-SA"/>
      </w:rPr>
    </w:lvl>
  </w:abstractNum>
  <w:abstractNum w:abstractNumId="230">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8"/>
      </w:pPr>
      <w:rPr>
        <w:rFonts w:hint="default"/>
        <w:lang w:val="en-US" w:eastAsia="en-US" w:bidi="ar-SA"/>
      </w:rPr>
    </w:lvl>
    <w:lvl w:ilvl="2">
      <w:start w:val="0"/>
      <w:numFmt w:val="bullet"/>
      <w:lvlText w:val="•"/>
      <w:lvlJc w:val="left"/>
      <w:pPr>
        <w:ind w:left="2376" w:hanging="428"/>
      </w:pPr>
      <w:rPr>
        <w:rFonts w:hint="default"/>
        <w:lang w:val="en-US" w:eastAsia="en-US" w:bidi="ar-SA"/>
      </w:rPr>
    </w:lvl>
    <w:lvl w:ilvl="3">
      <w:start w:val="0"/>
      <w:numFmt w:val="bullet"/>
      <w:lvlText w:val="•"/>
      <w:lvlJc w:val="left"/>
      <w:pPr>
        <w:ind w:left="3384" w:hanging="428"/>
      </w:pPr>
      <w:rPr>
        <w:rFonts w:hint="default"/>
        <w:lang w:val="en-US" w:eastAsia="en-US" w:bidi="ar-SA"/>
      </w:rPr>
    </w:lvl>
    <w:lvl w:ilvl="4">
      <w:start w:val="0"/>
      <w:numFmt w:val="bullet"/>
      <w:lvlText w:val="•"/>
      <w:lvlJc w:val="left"/>
      <w:pPr>
        <w:ind w:left="4392" w:hanging="428"/>
      </w:pPr>
      <w:rPr>
        <w:rFonts w:hint="default"/>
        <w:lang w:val="en-US" w:eastAsia="en-US" w:bidi="ar-SA"/>
      </w:rPr>
    </w:lvl>
    <w:lvl w:ilvl="5">
      <w:start w:val="0"/>
      <w:numFmt w:val="bullet"/>
      <w:lvlText w:val="•"/>
      <w:lvlJc w:val="left"/>
      <w:pPr>
        <w:ind w:left="5400" w:hanging="428"/>
      </w:pPr>
      <w:rPr>
        <w:rFonts w:hint="default"/>
        <w:lang w:val="en-US" w:eastAsia="en-US" w:bidi="ar-SA"/>
      </w:rPr>
    </w:lvl>
    <w:lvl w:ilvl="6">
      <w:start w:val="0"/>
      <w:numFmt w:val="bullet"/>
      <w:lvlText w:val="•"/>
      <w:lvlJc w:val="left"/>
      <w:pPr>
        <w:ind w:left="6408" w:hanging="428"/>
      </w:pPr>
      <w:rPr>
        <w:rFonts w:hint="default"/>
        <w:lang w:val="en-US" w:eastAsia="en-US" w:bidi="ar-SA"/>
      </w:rPr>
    </w:lvl>
    <w:lvl w:ilvl="7">
      <w:start w:val="0"/>
      <w:numFmt w:val="bullet"/>
      <w:lvlText w:val="•"/>
      <w:lvlJc w:val="left"/>
      <w:pPr>
        <w:ind w:left="7416" w:hanging="428"/>
      </w:pPr>
      <w:rPr>
        <w:rFonts w:hint="default"/>
        <w:lang w:val="en-US" w:eastAsia="en-US" w:bidi="ar-SA"/>
      </w:rPr>
    </w:lvl>
    <w:lvl w:ilvl="8">
      <w:start w:val="0"/>
      <w:numFmt w:val="bullet"/>
      <w:lvlText w:val="•"/>
      <w:lvlJc w:val="left"/>
      <w:pPr>
        <w:ind w:left="8424" w:hanging="428"/>
      </w:pPr>
      <w:rPr>
        <w:rFonts w:hint="default"/>
        <w:lang w:val="en-US" w:eastAsia="en-US" w:bidi="ar-SA"/>
      </w:rPr>
    </w:lvl>
  </w:abstractNum>
  <w:abstractNum w:abstractNumId="229">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11"/>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28">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37" w:hanging="42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62" w:hanging="428"/>
      </w:pPr>
      <w:rPr>
        <w:rFonts w:hint="default"/>
        <w:lang w:val="en-US" w:eastAsia="en-US" w:bidi="ar-SA"/>
      </w:rPr>
    </w:lvl>
    <w:lvl w:ilvl="3">
      <w:start w:val="0"/>
      <w:numFmt w:val="bullet"/>
      <w:lvlText w:val="•"/>
      <w:lvlJc w:val="left"/>
      <w:pPr>
        <w:ind w:left="3284" w:hanging="428"/>
      </w:pPr>
      <w:rPr>
        <w:rFonts w:hint="default"/>
        <w:lang w:val="en-US" w:eastAsia="en-US" w:bidi="ar-SA"/>
      </w:rPr>
    </w:lvl>
    <w:lvl w:ilvl="4">
      <w:start w:val="0"/>
      <w:numFmt w:val="bullet"/>
      <w:lvlText w:val="•"/>
      <w:lvlJc w:val="left"/>
      <w:pPr>
        <w:ind w:left="4306" w:hanging="428"/>
      </w:pPr>
      <w:rPr>
        <w:rFonts w:hint="default"/>
        <w:lang w:val="en-US" w:eastAsia="en-US" w:bidi="ar-SA"/>
      </w:rPr>
    </w:lvl>
    <w:lvl w:ilvl="5">
      <w:start w:val="0"/>
      <w:numFmt w:val="bullet"/>
      <w:lvlText w:val="•"/>
      <w:lvlJc w:val="left"/>
      <w:pPr>
        <w:ind w:left="5328" w:hanging="428"/>
      </w:pPr>
      <w:rPr>
        <w:rFonts w:hint="default"/>
        <w:lang w:val="en-US" w:eastAsia="en-US" w:bidi="ar-SA"/>
      </w:rPr>
    </w:lvl>
    <w:lvl w:ilvl="6">
      <w:start w:val="0"/>
      <w:numFmt w:val="bullet"/>
      <w:lvlText w:val="•"/>
      <w:lvlJc w:val="left"/>
      <w:pPr>
        <w:ind w:left="6351" w:hanging="428"/>
      </w:pPr>
      <w:rPr>
        <w:rFonts w:hint="default"/>
        <w:lang w:val="en-US" w:eastAsia="en-US" w:bidi="ar-SA"/>
      </w:rPr>
    </w:lvl>
    <w:lvl w:ilvl="7">
      <w:start w:val="0"/>
      <w:numFmt w:val="bullet"/>
      <w:lvlText w:val="•"/>
      <w:lvlJc w:val="left"/>
      <w:pPr>
        <w:ind w:left="7373" w:hanging="428"/>
      </w:pPr>
      <w:rPr>
        <w:rFonts w:hint="default"/>
        <w:lang w:val="en-US" w:eastAsia="en-US" w:bidi="ar-SA"/>
      </w:rPr>
    </w:lvl>
    <w:lvl w:ilvl="8">
      <w:start w:val="0"/>
      <w:numFmt w:val="bullet"/>
      <w:lvlText w:val="•"/>
      <w:lvlJc w:val="left"/>
      <w:pPr>
        <w:ind w:left="8395" w:hanging="428"/>
      </w:pPr>
      <w:rPr>
        <w:rFonts w:hint="default"/>
        <w:lang w:val="en-US" w:eastAsia="en-US" w:bidi="ar-SA"/>
      </w:rPr>
    </w:lvl>
  </w:abstractNum>
  <w:abstractNum w:abstractNumId="227">
    <w:multiLevelType w:val="hybridMultilevel"/>
    <w:lvl w:ilvl="0">
      <w:start w:val="1"/>
      <w:numFmt w:val="decimal"/>
      <w:lvlText w:val="%1."/>
      <w:lvlJc w:val="left"/>
      <w:pPr>
        <w:ind w:left="693" w:hanging="334"/>
        <w:jc w:val="righ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674" w:hanging="334"/>
      </w:pPr>
      <w:rPr>
        <w:rFonts w:hint="default"/>
        <w:lang w:val="en-US" w:eastAsia="en-US" w:bidi="ar-SA"/>
      </w:rPr>
    </w:lvl>
    <w:lvl w:ilvl="2">
      <w:start w:val="0"/>
      <w:numFmt w:val="bullet"/>
      <w:lvlText w:val="•"/>
      <w:lvlJc w:val="left"/>
      <w:pPr>
        <w:ind w:left="2648" w:hanging="334"/>
      </w:pPr>
      <w:rPr>
        <w:rFonts w:hint="default"/>
        <w:lang w:val="en-US" w:eastAsia="en-US" w:bidi="ar-SA"/>
      </w:rPr>
    </w:lvl>
    <w:lvl w:ilvl="3">
      <w:start w:val="0"/>
      <w:numFmt w:val="bullet"/>
      <w:lvlText w:val="•"/>
      <w:lvlJc w:val="left"/>
      <w:pPr>
        <w:ind w:left="3622" w:hanging="334"/>
      </w:pPr>
      <w:rPr>
        <w:rFonts w:hint="default"/>
        <w:lang w:val="en-US" w:eastAsia="en-US" w:bidi="ar-SA"/>
      </w:rPr>
    </w:lvl>
    <w:lvl w:ilvl="4">
      <w:start w:val="0"/>
      <w:numFmt w:val="bullet"/>
      <w:lvlText w:val="•"/>
      <w:lvlJc w:val="left"/>
      <w:pPr>
        <w:ind w:left="4596" w:hanging="334"/>
      </w:pPr>
      <w:rPr>
        <w:rFonts w:hint="default"/>
        <w:lang w:val="en-US" w:eastAsia="en-US" w:bidi="ar-SA"/>
      </w:rPr>
    </w:lvl>
    <w:lvl w:ilvl="5">
      <w:start w:val="0"/>
      <w:numFmt w:val="bullet"/>
      <w:lvlText w:val="•"/>
      <w:lvlJc w:val="left"/>
      <w:pPr>
        <w:ind w:left="5570" w:hanging="334"/>
      </w:pPr>
      <w:rPr>
        <w:rFonts w:hint="default"/>
        <w:lang w:val="en-US" w:eastAsia="en-US" w:bidi="ar-SA"/>
      </w:rPr>
    </w:lvl>
    <w:lvl w:ilvl="6">
      <w:start w:val="0"/>
      <w:numFmt w:val="bullet"/>
      <w:lvlText w:val="•"/>
      <w:lvlJc w:val="left"/>
      <w:pPr>
        <w:ind w:left="6544" w:hanging="334"/>
      </w:pPr>
      <w:rPr>
        <w:rFonts w:hint="default"/>
        <w:lang w:val="en-US" w:eastAsia="en-US" w:bidi="ar-SA"/>
      </w:rPr>
    </w:lvl>
    <w:lvl w:ilvl="7">
      <w:start w:val="0"/>
      <w:numFmt w:val="bullet"/>
      <w:lvlText w:val="•"/>
      <w:lvlJc w:val="left"/>
      <w:pPr>
        <w:ind w:left="7518" w:hanging="334"/>
      </w:pPr>
      <w:rPr>
        <w:rFonts w:hint="default"/>
        <w:lang w:val="en-US" w:eastAsia="en-US" w:bidi="ar-SA"/>
      </w:rPr>
    </w:lvl>
    <w:lvl w:ilvl="8">
      <w:start w:val="0"/>
      <w:numFmt w:val="bullet"/>
      <w:lvlText w:val="•"/>
      <w:lvlJc w:val="left"/>
      <w:pPr>
        <w:ind w:left="8492" w:hanging="334"/>
      </w:pPr>
      <w:rPr>
        <w:rFonts w:hint="default"/>
        <w:lang w:val="en-US" w:eastAsia="en-US" w:bidi="ar-SA"/>
      </w:rPr>
    </w:lvl>
  </w:abstractNum>
  <w:abstractNum w:abstractNumId="226">
    <w:multiLevelType w:val="hybridMultilevel"/>
    <w:lvl w:ilvl="0">
      <w:start w:val="1"/>
      <w:numFmt w:val="decimal"/>
      <w:lvlText w:val="(%1)"/>
      <w:lvlJc w:val="left"/>
      <w:pPr>
        <w:ind w:left="1238"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60" w:hanging="429"/>
      </w:pPr>
      <w:rPr>
        <w:rFonts w:hint="default"/>
        <w:lang w:val="en-US" w:eastAsia="en-US" w:bidi="ar-SA"/>
      </w:rPr>
    </w:lvl>
    <w:lvl w:ilvl="2">
      <w:start w:val="0"/>
      <w:numFmt w:val="bullet"/>
      <w:lvlText w:val="•"/>
      <w:lvlJc w:val="left"/>
      <w:pPr>
        <w:ind w:left="3080" w:hanging="429"/>
      </w:pPr>
      <w:rPr>
        <w:rFonts w:hint="default"/>
        <w:lang w:val="en-US" w:eastAsia="en-US" w:bidi="ar-SA"/>
      </w:rPr>
    </w:lvl>
    <w:lvl w:ilvl="3">
      <w:start w:val="0"/>
      <w:numFmt w:val="bullet"/>
      <w:lvlText w:val="•"/>
      <w:lvlJc w:val="left"/>
      <w:pPr>
        <w:ind w:left="4000" w:hanging="429"/>
      </w:pPr>
      <w:rPr>
        <w:rFonts w:hint="default"/>
        <w:lang w:val="en-US" w:eastAsia="en-US" w:bidi="ar-SA"/>
      </w:rPr>
    </w:lvl>
    <w:lvl w:ilvl="4">
      <w:start w:val="0"/>
      <w:numFmt w:val="bullet"/>
      <w:lvlText w:val="•"/>
      <w:lvlJc w:val="left"/>
      <w:pPr>
        <w:ind w:left="4920" w:hanging="429"/>
      </w:pPr>
      <w:rPr>
        <w:rFonts w:hint="default"/>
        <w:lang w:val="en-US" w:eastAsia="en-US" w:bidi="ar-SA"/>
      </w:rPr>
    </w:lvl>
    <w:lvl w:ilvl="5">
      <w:start w:val="0"/>
      <w:numFmt w:val="bullet"/>
      <w:lvlText w:val="•"/>
      <w:lvlJc w:val="left"/>
      <w:pPr>
        <w:ind w:left="5840" w:hanging="429"/>
      </w:pPr>
      <w:rPr>
        <w:rFonts w:hint="default"/>
        <w:lang w:val="en-US" w:eastAsia="en-US" w:bidi="ar-SA"/>
      </w:rPr>
    </w:lvl>
    <w:lvl w:ilvl="6">
      <w:start w:val="0"/>
      <w:numFmt w:val="bullet"/>
      <w:lvlText w:val="•"/>
      <w:lvlJc w:val="left"/>
      <w:pPr>
        <w:ind w:left="6760" w:hanging="429"/>
      </w:pPr>
      <w:rPr>
        <w:rFonts w:hint="default"/>
        <w:lang w:val="en-US" w:eastAsia="en-US" w:bidi="ar-SA"/>
      </w:rPr>
    </w:lvl>
    <w:lvl w:ilvl="7">
      <w:start w:val="0"/>
      <w:numFmt w:val="bullet"/>
      <w:lvlText w:val="•"/>
      <w:lvlJc w:val="left"/>
      <w:pPr>
        <w:ind w:left="7680" w:hanging="429"/>
      </w:pPr>
      <w:rPr>
        <w:rFonts w:hint="default"/>
        <w:lang w:val="en-US" w:eastAsia="en-US" w:bidi="ar-SA"/>
      </w:rPr>
    </w:lvl>
    <w:lvl w:ilvl="8">
      <w:start w:val="0"/>
      <w:numFmt w:val="bullet"/>
      <w:lvlText w:val="•"/>
      <w:lvlJc w:val="left"/>
      <w:pPr>
        <w:ind w:left="8600" w:hanging="429"/>
      </w:pPr>
      <w:rPr>
        <w:rFonts w:hint="default"/>
        <w:lang w:val="en-US" w:eastAsia="en-US" w:bidi="ar-SA"/>
      </w:rPr>
    </w:lvl>
  </w:abstractNum>
  <w:abstractNum w:abstractNumId="225">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11"/>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24">
    <w:multiLevelType w:val="hybridMultilevel"/>
    <w:lvl w:ilvl="0">
      <w:start w:val="1"/>
      <w:numFmt w:val="decimal"/>
      <w:lvlText w:val="%1."/>
      <w:lvlJc w:val="left"/>
      <w:pPr>
        <w:ind w:left="792" w:hanging="28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288"/>
      </w:pPr>
      <w:rPr>
        <w:rFonts w:hint="default"/>
        <w:lang w:val="en-US" w:eastAsia="en-US" w:bidi="ar-SA"/>
      </w:rPr>
    </w:lvl>
    <w:lvl w:ilvl="2">
      <w:start w:val="0"/>
      <w:numFmt w:val="bullet"/>
      <w:lvlText w:val="•"/>
      <w:lvlJc w:val="left"/>
      <w:pPr>
        <w:ind w:left="2728" w:hanging="288"/>
      </w:pPr>
      <w:rPr>
        <w:rFonts w:hint="default"/>
        <w:lang w:val="en-US" w:eastAsia="en-US" w:bidi="ar-SA"/>
      </w:rPr>
    </w:lvl>
    <w:lvl w:ilvl="3">
      <w:start w:val="0"/>
      <w:numFmt w:val="bullet"/>
      <w:lvlText w:val="•"/>
      <w:lvlJc w:val="left"/>
      <w:pPr>
        <w:ind w:left="3692" w:hanging="288"/>
      </w:pPr>
      <w:rPr>
        <w:rFonts w:hint="default"/>
        <w:lang w:val="en-US" w:eastAsia="en-US" w:bidi="ar-SA"/>
      </w:rPr>
    </w:lvl>
    <w:lvl w:ilvl="4">
      <w:start w:val="0"/>
      <w:numFmt w:val="bullet"/>
      <w:lvlText w:val="•"/>
      <w:lvlJc w:val="left"/>
      <w:pPr>
        <w:ind w:left="4656" w:hanging="288"/>
      </w:pPr>
      <w:rPr>
        <w:rFonts w:hint="default"/>
        <w:lang w:val="en-US" w:eastAsia="en-US" w:bidi="ar-SA"/>
      </w:rPr>
    </w:lvl>
    <w:lvl w:ilvl="5">
      <w:start w:val="0"/>
      <w:numFmt w:val="bullet"/>
      <w:lvlText w:val="•"/>
      <w:lvlJc w:val="left"/>
      <w:pPr>
        <w:ind w:left="5620" w:hanging="288"/>
      </w:pPr>
      <w:rPr>
        <w:rFonts w:hint="default"/>
        <w:lang w:val="en-US" w:eastAsia="en-US" w:bidi="ar-SA"/>
      </w:rPr>
    </w:lvl>
    <w:lvl w:ilvl="6">
      <w:start w:val="0"/>
      <w:numFmt w:val="bullet"/>
      <w:lvlText w:val="•"/>
      <w:lvlJc w:val="left"/>
      <w:pPr>
        <w:ind w:left="6584" w:hanging="288"/>
      </w:pPr>
      <w:rPr>
        <w:rFonts w:hint="default"/>
        <w:lang w:val="en-US" w:eastAsia="en-US" w:bidi="ar-SA"/>
      </w:rPr>
    </w:lvl>
    <w:lvl w:ilvl="7">
      <w:start w:val="0"/>
      <w:numFmt w:val="bullet"/>
      <w:lvlText w:val="•"/>
      <w:lvlJc w:val="left"/>
      <w:pPr>
        <w:ind w:left="7548" w:hanging="288"/>
      </w:pPr>
      <w:rPr>
        <w:rFonts w:hint="default"/>
        <w:lang w:val="en-US" w:eastAsia="en-US" w:bidi="ar-SA"/>
      </w:rPr>
    </w:lvl>
    <w:lvl w:ilvl="8">
      <w:start w:val="0"/>
      <w:numFmt w:val="bullet"/>
      <w:lvlText w:val="•"/>
      <w:lvlJc w:val="left"/>
      <w:pPr>
        <w:ind w:left="8512" w:hanging="288"/>
      </w:pPr>
      <w:rPr>
        <w:rFonts w:hint="default"/>
        <w:lang w:val="en-US" w:eastAsia="en-US" w:bidi="ar-SA"/>
      </w:rPr>
    </w:lvl>
  </w:abstractNum>
  <w:abstractNum w:abstractNumId="223">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81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88" w:hanging="429"/>
      </w:pPr>
      <w:rPr>
        <w:rFonts w:hint="default"/>
        <w:lang w:val="en-US" w:eastAsia="en-US" w:bidi="ar-SA"/>
      </w:rPr>
    </w:lvl>
    <w:lvl w:ilvl="3">
      <w:start w:val="0"/>
      <w:numFmt w:val="bullet"/>
      <w:lvlText w:val="•"/>
      <w:lvlJc w:val="left"/>
      <w:pPr>
        <w:ind w:left="2957" w:hanging="429"/>
      </w:pPr>
      <w:rPr>
        <w:rFonts w:hint="default"/>
        <w:lang w:val="en-US" w:eastAsia="en-US" w:bidi="ar-SA"/>
      </w:rPr>
    </w:lvl>
    <w:lvl w:ilvl="4">
      <w:start w:val="0"/>
      <w:numFmt w:val="bullet"/>
      <w:lvlText w:val="•"/>
      <w:lvlJc w:val="left"/>
      <w:pPr>
        <w:ind w:left="4026" w:hanging="429"/>
      </w:pPr>
      <w:rPr>
        <w:rFonts w:hint="default"/>
        <w:lang w:val="en-US" w:eastAsia="en-US" w:bidi="ar-SA"/>
      </w:rPr>
    </w:lvl>
    <w:lvl w:ilvl="5">
      <w:start w:val="0"/>
      <w:numFmt w:val="bullet"/>
      <w:lvlText w:val="•"/>
      <w:lvlJc w:val="left"/>
      <w:pPr>
        <w:ind w:left="5095" w:hanging="429"/>
      </w:pPr>
      <w:rPr>
        <w:rFonts w:hint="default"/>
        <w:lang w:val="en-US" w:eastAsia="en-US" w:bidi="ar-SA"/>
      </w:rPr>
    </w:lvl>
    <w:lvl w:ilvl="6">
      <w:start w:val="0"/>
      <w:numFmt w:val="bullet"/>
      <w:lvlText w:val="•"/>
      <w:lvlJc w:val="left"/>
      <w:pPr>
        <w:ind w:left="6164" w:hanging="429"/>
      </w:pPr>
      <w:rPr>
        <w:rFonts w:hint="default"/>
        <w:lang w:val="en-US" w:eastAsia="en-US" w:bidi="ar-SA"/>
      </w:rPr>
    </w:lvl>
    <w:lvl w:ilvl="7">
      <w:start w:val="0"/>
      <w:numFmt w:val="bullet"/>
      <w:lvlText w:val="•"/>
      <w:lvlJc w:val="left"/>
      <w:pPr>
        <w:ind w:left="7233" w:hanging="429"/>
      </w:pPr>
      <w:rPr>
        <w:rFonts w:hint="default"/>
        <w:lang w:val="en-US" w:eastAsia="en-US" w:bidi="ar-SA"/>
      </w:rPr>
    </w:lvl>
    <w:lvl w:ilvl="8">
      <w:start w:val="0"/>
      <w:numFmt w:val="bullet"/>
      <w:lvlText w:val="•"/>
      <w:lvlJc w:val="left"/>
      <w:pPr>
        <w:ind w:left="8302" w:hanging="429"/>
      </w:pPr>
      <w:rPr>
        <w:rFonts w:hint="default"/>
        <w:lang w:val="en-US" w:eastAsia="en-US" w:bidi="ar-SA"/>
      </w:rPr>
    </w:lvl>
  </w:abstractNum>
  <w:abstractNum w:abstractNumId="222">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11"/>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21">
    <w:multiLevelType w:val="hybridMultilevel"/>
    <w:lvl w:ilvl="0">
      <w:start w:val="1"/>
      <w:numFmt w:val="decimal"/>
      <w:lvlText w:val="%1."/>
      <w:lvlJc w:val="left"/>
      <w:pPr>
        <w:ind w:left="1260" w:hanging="540"/>
        <w:jc w:val="right"/>
      </w:pPr>
      <w:rPr>
        <w:rFonts w:hint="default" w:ascii="Arial" w:hAnsi="Arial" w:eastAsia="Arial" w:cs="Arial"/>
        <w:b w:val="0"/>
        <w:bCs w:val="0"/>
        <w:i w:val="0"/>
        <w:iCs w:val="0"/>
        <w:spacing w:val="-1"/>
        <w:w w:val="100"/>
        <w:sz w:val="24"/>
        <w:szCs w:val="24"/>
        <w:lang w:val="en-US" w:eastAsia="en-US" w:bidi="ar-SA"/>
      </w:rPr>
    </w:lvl>
    <w:lvl w:ilvl="1">
      <w:start w:val="1"/>
      <w:numFmt w:val="upperLetter"/>
      <w:lvlText w:val="(%2)"/>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80" w:hanging="455"/>
      </w:pPr>
      <w:rPr>
        <w:rFonts w:hint="default"/>
        <w:lang w:val="en-US" w:eastAsia="en-US" w:bidi="ar-SA"/>
      </w:rPr>
    </w:lvl>
    <w:lvl w:ilvl="3">
      <w:start w:val="0"/>
      <w:numFmt w:val="bullet"/>
      <w:lvlText w:val="•"/>
      <w:lvlJc w:val="left"/>
      <w:pPr>
        <w:ind w:left="3300" w:hanging="455"/>
      </w:pPr>
      <w:rPr>
        <w:rFonts w:hint="default"/>
        <w:lang w:val="en-US" w:eastAsia="en-US" w:bidi="ar-SA"/>
      </w:rPr>
    </w:lvl>
    <w:lvl w:ilvl="4">
      <w:start w:val="0"/>
      <w:numFmt w:val="bullet"/>
      <w:lvlText w:val="•"/>
      <w:lvlJc w:val="left"/>
      <w:pPr>
        <w:ind w:left="4320" w:hanging="455"/>
      </w:pPr>
      <w:rPr>
        <w:rFonts w:hint="default"/>
        <w:lang w:val="en-US" w:eastAsia="en-US" w:bidi="ar-SA"/>
      </w:rPr>
    </w:lvl>
    <w:lvl w:ilvl="5">
      <w:start w:val="0"/>
      <w:numFmt w:val="bullet"/>
      <w:lvlText w:val="•"/>
      <w:lvlJc w:val="left"/>
      <w:pPr>
        <w:ind w:left="5340" w:hanging="455"/>
      </w:pPr>
      <w:rPr>
        <w:rFonts w:hint="default"/>
        <w:lang w:val="en-US" w:eastAsia="en-US" w:bidi="ar-SA"/>
      </w:rPr>
    </w:lvl>
    <w:lvl w:ilvl="6">
      <w:start w:val="0"/>
      <w:numFmt w:val="bullet"/>
      <w:lvlText w:val="•"/>
      <w:lvlJc w:val="left"/>
      <w:pPr>
        <w:ind w:left="6360" w:hanging="455"/>
      </w:pPr>
      <w:rPr>
        <w:rFonts w:hint="default"/>
        <w:lang w:val="en-US" w:eastAsia="en-US" w:bidi="ar-SA"/>
      </w:rPr>
    </w:lvl>
    <w:lvl w:ilvl="7">
      <w:start w:val="0"/>
      <w:numFmt w:val="bullet"/>
      <w:lvlText w:val="•"/>
      <w:lvlJc w:val="left"/>
      <w:pPr>
        <w:ind w:left="7380" w:hanging="455"/>
      </w:pPr>
      <w:rPr>
        <w:rFonts w:hint="default"/>
        <w:lang w:val="en-US" w:eastAsia="en-US" w:bidi="ar-SA"/>
      </w:rPr>
    </w:lvl>
    <w:lvl w:ilvl="8">
      <w:start w:val="0"/>
      <w:numFmt w:val="bullet"/>
      <w:lvlText w:val="•"/>
      <w:lvlJc w:val="left"/>
      <w:pPr>
        <w:ind w:left="8400" w:hanging="455"/>
      </w:pPr>
      <w:rPr>
        <w:rFonts w:hint="default"/>
        <w:lang w:val="en-US" w:eastAsia="en-US" w:bidi="ar-SA"/>
      </w:rPr>
    </w:lvl>
  </w:abstractNum>
  <w:abstractNum w:abstractNumId="220">
    <w:multiLevelType w:val="hybridMultilevel"/>
    <w:lvl w:ilvl="0">
      <w:start w:val="1"/>
      <w:numFmt w:val="decimal"/>
      <w:lvlText w:val="%1."/>
      <w:lvlJc w:val="left"/>
      <w:pPr>
        <w:ind w:left="360" w:hanging="335"/>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08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120" w:hanging="429"/>
      </w:pPr>
      <w:rPr>
        <w:rFonts w:hint="default"/>
        <w:lang w:val="en-US" w:eastAsia="en-US" w:bidi="ar-SA"/>
      </w:rPr>
    </w:lvl>
    <w:lvl w:ilvl="3">
      <w:start w:val="0"/>
      <w:numFmt w:val="bullet"/>
      <w:lvlText w:val="•"/>
      <w:lvlJc w:val="left"/>
      <w:pPr>
        <w:ind w:left="3160" w:hanging="429"/>
      </w:pPr>
      <w:rPr>
        <w:rFonts w:hint="default"/>
        <w:lang w:val="en-US" w:eastAsia="en-US" w:bidi="ar-SA"/>
      </w:rPr>
    </w:lvl>
    <w:lvl w:ilvl="4">
      <w:start w:val="0"/>
      <w:numFmt w:val="bullet"/>
      <w:lvlText w:val="•"/>
      <w:lvlJc w:val="left"/>
      <w:pPr>
        <w:ind w:left="4200" w:hanging="429"/>
      </w:pPr>
      <w:rPr>
        <w:rFonts w:hint="default"/>
        <w:lang w:val="en-US" w:eastAsia="en-US" w:bidi="ar-SA"/>
      </w:rPr>
    </w:lvl>
    <w:lvl w:ilvl="5">
      <w:start w:val="0"/>
      <w:numFmt w:val="bullet"/>
      <w:lvlText w:val="•"/>
      <w:lvlJc w:val="left"/>
      <w:pPr>
        <w:ind w:left="5240" w:hanging="429"/>
      </w:pPr>
      <w:rPr>
        <w:rFonts w:hint="default"/>
        <w:lang w:val="en-US" w:eastAsia="en-US" w:bidi="ar-SA"/>
      </w:rPr>
    </w:lvl>
    <w:lvl w:ilvl="6">
      <w:start w:val="0"/>
      <w:numFmt w:val="bullet"/>
      <w:lvlText w:val="•"/>
      <w:lvlJc w:val="left"/>
      <w:pPr>
        <w:ind w:left="6280" w:hanging="429"/>
      </w:pPr>
      <w:rPr>
        <w:rFonts w:hint="default"/>
        <w:lang w:val="en-US" w:eastAsia="en-US" w:bidi="ar-SA"/>
      </w:rPr>
    </w:lvl>
    <w:lvl w:ilvl="7">
      <w:start w:val="0"/>
      <w:numFmt w:val="bullet"/>
      <w:lvlText w:val="•"/>
      <w:lvlJc w:val="left"/>
      <w:pPr>
        <w:ind w:left="7320" w:hanging="429"/>
      </w:pPr>
      <w:rPr>
        <w:rFonts w:hint="default"/>
        <w:lang w:val="en-US" w:eastAsia="en-US" w:bidi="ar-SA"/>
      </w:rPr>
    </w:lvl>
    <w:lvl w:ilvl="8">
      <w:start w:val="0"/>
      <w:numFmt w:val="bullet"/>
      <w:lvlText w:val="•"/>
      <w:lvlJc w:val="left"/>
      <w:pPr>
        <w:ind w:left="8360" w:hanging="429"/>
      </w:pPr>
      <w:rPr>
        <w:rFonts w:hint="default"/>
        <w:lang w:val="en-US" w:eastAsia="en-US" w:bidi="ar-SA"/>
      </w:rPr>
    </w:lvl>
  </w:abstractNum>
  <w:abstractNum w:abstractNumId="219">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810" w:hanging="429"/>
        <w:jc w:val="righ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260" w:hanging="454"/>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1360" w:hanging="454"/>
      </w:pPr>
      <w:rPr>
        <w:rFonts w:hint="default"/>
        <w:lang w:val="en-US" w:eastAsia="en-US" w:bidi="ar-SA"/>
      </w:rPr>
    </w:lvl>
    <w:lvl w:ilvl="4">
      <w:start w:val="0"/>
      <w:numFmt w:val="bullet"/>
      <w:lvlText w:val="•"/>
      <w:lvlJc w:val="left"/>
      <w:pPr>
        <w:ind w:left="1800" w:hanging="454"/>
      </w:pPr>
      <w:rPr>
        <w:rFonts w:hint="default"/>
        <w:lang w:val="en-US" w:eastAsia="en-US" w:bidi="ar-SA"/>
      </w:rPr>
    </w:lvl>
    <w:lvl w:ilvl="5">
      <w:start w:val="0"/>
      <w:numFmt w:val="bullet"/>
      <w:lvlText w:val="•"/>
      <w:lvlJc w:val="left"/>
      <w:pPr>
        <w:ind w:left="3240" w:hanging="454"/>
      </w:pPr>
      <w:rPr>
        <w:rFonts w:hint="default"/>
        <w:lang w:val="en-US" w:eastAsia="en-US" w:bidi="ar-SA"/>
      </w:rPr>
    </w:lvl>
    <w:lvl w:ilvl="6">
      <w:start w:val="0"/>
      <w:numFmt w:val="bullet"/>
      <w:lvlText w:val="•"/>
      <w:lvlJc w:val="left"/>
      <w:pPr>
        <w:ind w:left="4680" w:hanging="454"/>
      </w:pPr>
      <w:rPr>
        <w:rFonts w:hint="default"/>
        <w:lang w:val="en-US" w:eastAsia="en-US" w:bidi="ar-SA"/>
      </w:rPr>
    </w:lvl>
    <w:lvl w:ilvl="7">
      <w:start w:val="0"/>
      <w:numFmt w:val="bullet"/>
      <w:lvlText w:val="•"/>
      <w:lvlJc w:val="left"/>
      <w:pPr>
        <w:ind w:left="6120" w:hanging="454"/>
      </w:pPr>
      <w:rPr>
        <w:rFonts w:hint="default"/>
        <w:lang w:val="en-US" w:eastAsia="en-US" w:bidi="ar-SA"/>
      </w:rPr>
    </w:lvl>
    <w:lvl w:ilvl="8">
      <w:start w:val="0"/>
      <w:numFmt w:val="bullet"/>
      <w:lvlText w:val="•"/>
      <w:lvlJc w:val="left"/>
      <w:pPr>
        <w:ind w:left="7560" w:hanging="454"/>
      </w:pPr>
      <w:rPr>
        <w:rFonts w:hint="default"/>
        <w:lang w:val="en-US" w:eastAsia="en-US" w:bidi="ar-SA"/>
      </w:rPr>
    </w:lvl>
  </w:abstractNum>
  <w:abstractNum w:abstractNumId="218">
    <w:multiLevelType w:val="hybridMultilevel"/>
    <w:lvl w:ilvl="0">
      <w:start w:val="8"/>
      <w:numFmt w:val="decimal"/>
      <w:lvlText w:val="%1"/>
      <w:lvlJc w:val="left"/>
      <w:pPr>
        <w:ind w:left="1440" w:hanging="1081"/>
        <w:jc w:val="left"/>
      </w:pPr>
      <w:rPr>
        <w:rFonts w:hint="default"/>
        <w:lang w:val="en-US" w:eastAsia="en-US" w:bidi="ar-SA"/>
      </w:rPr>
    </w:lvl>
    <w:lvl w:ilvl="1">
      <w:start w:val="11"/>
      <w:numFmt w:val="decimal"/>
      <w:lvlText w:val="%1-%2"/>
      <w:lvlJc w:val="left"/>
      <w:pPr>
        <w:ind w:left="1440" w:hanging="1081"/>
        <w:jc w:val="left"/>
      </w:pPr>
      <w:rPr>
        <w:rFonts w:hint="default"/>
        <w:lang w:val="en-US" w:eastAsia="en-US" w:bidi="ar-SA"/>
      </w:rPr>
    </w:lvl>
    <w:lvl w:ilvl="2">
      <w:start w:val="23"/>
      <w:numFmt w:val="decimal"/>
      <w:lvlText w:val="%1-%2-%3"/>
      <w:lvlJc w:val="left"/>
      <w:pPr>
        <w:ind w:left="1440" w:hanging="1081"/>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1"/>
      </w:pPr>
      <w:rPr>
        <w:rFonts w:hint="default"/>
        <w:lang w:val="en-US" w:eastAsia="en-US" w:bidi="ar-SA"/>
      </w:rPr>
    </w:lvl>
    <w:lvl w:ilvl="4">
      <w:start w:val="0"/>
      <w:numFmt w:val="bullet"/>
      <w:lvlText w:val="•"/>
      <w:lvlJc w:val="left"/>
      <w:pPr>
        <w:ind w:left="5040" w:hanging="1081"/>
      </w:pPr>
      <w:rPr>
        <w:rFonts w:hint="default"/>
        <w:lang w:val="en-US" w:eastAsia="en-US" w:bidi="ar-SA"/>
      </w:rPr>
    </w:lvl>
    <w:lvl w:ilvl="5">
      <w:start w:val="0"/>
      <w:numFmt w:val="bullet"/>
      <w:lvlText w:val="•"/>
      <w:lvlJc w:val="left"/>
      <w:pPr>
        <w:ind w:left="5940" w:hanging="1081"/>
      </w:pPr>
      <w:rPr>
        <w:rFonts w:hint="default"/>
        <w:lang w:val="en-US" w:eastAsia="en-US" w:bidi="ar-SA"/>
      </w:rPr>
    </w:lvl>
    <w:lvl w:ilvl="6">
      <w:start w:val="0"/>
      <w:numFmt w:val="bullet"/>
      <w:lvlText w:val="•"/>
      <w:lvlJc w:val="left"/>
      <w:pPr>
        <w:ind w:left="6840" w:hanging="1081"/>
      </w:pPr>
      <w:rPr>
        <w:rFonts w:hint="default"/>
        <w:lang w:val="en-US" w:eastAsia="en-US" w:bidi="ar-SA"/>
      </w:rPr>
    </w:lvl>
    <w:lvl w:ilvl="7">
      <w:start w:val="0"/>
      <w:numFmt w:val="bullet"/>
      <w:lvlText w:val="•"/>
      <w:lvlJc w:val="left"/>
      <w:pPr>
        <w:ind w:left="7740" w:hanging="1081"/>
      </w:pPr>
      <w:rPr>
        <w:rFonts w:hint="default"/>
        <w:lang w:val="en-US" w:eastAsia="en-US" w:bidi="ar-SA"/>
      </w:rPr>
    </w:lvl>
    <w:lvl w:ilvl="8">
      <w:start w:val="0"/>
      <w:numFmt w:val="bullet"/>
      <w:lvlText w:val="•"/>
      <w:lvlJc w:val="left"/>
      <w:pPr>
        <w:ind w:left="8640" w:hanging="1081"/>
      </w:pPr>
      <w:rPr>
        <w:rFonts w:hint="default"/>
        <w:lang w:val="en-US" w:eastAsia="en-US" w:bidi="ar-SA"/>
      </w:rPr>
    </w:lvl>
  </w:abstractNum>
  <w:abstractNum w:abstractNumId="217">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8"/>
      <w:numFmt w:val="decimalZero"/>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16">
    <w:multiLevelType w:val="hybridMultilevel"/>
    <w:lvl w:ilvl="0">
      <w:start w:val="1"/>
      <w:numFmt w:val="decimal"/>
      <w:lvlText w:val="%1."/>
      <w:lvlJc w:val="left"/>
      <w:pPr>
        <w:ind w:left="360" w:hanging="335"/>
        <w:jc w:val="left"/>
      </w:pPr>
      <w:rPr>
        <w:rFonts w:hint="default" w:ascii="Arial" w:hAnsi="Arial" w:eastAsia="Arial" w:cs="Arial"/>
        <w:b w:val="0"/>
        <w:bCs w:val="0"/>
        <w:i w:val="0"/>
        <w:iCs w:val="0"/>
        <w:spacing w:val="-1"/>
        <w:w w:val="100"/>
        <w:sz w:val="24"/>
        <w:szCs w:val="24"/>
        <w:lang w:val="en-US" w:eastAsia="en-US" w:bidi="ar-SA"/>
      </w:rPr>
    </w:lvl>
    <w:lvl w:ilvl="1">
      <w:start w:val="1"/>
      <w:numFmt w:val="upperLetter"/>
      <w:lvlText w:val="(%2)"/>
      <w:lvlJc w:val="left"/>
      <w:pPr>
        <w:ind w:left="720" w:hanging="455"/>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00" w:hanging="455"/>
      </w:pPr>
      <w:rPr>
        <w:rFonts w:hint="default"/>
        <w:lang w:val="en-US" w:eastAsia="en-US" w:bidi="ar-SA"/>
      </w:rPr>
    </w:lvl>
    <w:lvl w:ilvl="3">
      <w:start w:val="0"/>
      <w:numFmt w:val="bullet"/>
      <w:lvlText w:val="•"/>
      <w:lvlJc w:val="left"/>
      <w:pPr>
        <w:ind w:left="2880" w:hanging="455"/>
      </w:pPr>
      <w:rPr>
        <w:rFonts w:hint="default"/>
        <w:lang w:val="en-US" w:eastAsia="en-US" w:bidi="ar-SA"/>
      </w:rPr>
    </w:lvl>
    <w:lvl w:ilvl="4">
      <w:start w:val="0"/>
      <w:numFmt w:val="bullet"/>
      <w:lvlText w:val="•"/>
      <w:lvlJc w:val="left"/>
      <w:pPr>
        <w:ind w:left="3960" w:hanging="455"/>
      </w:pPr>
      <w:rPr>
        <w:rFonts w:hint="default"/>
        <w:lang w:val="en-US" w:eastAsia="en-US" w:bidi="ar-SA"/>
      </w:rPr>
    </w:lvl>
    <w:lvl w:ilvl="5">
      <w:start w:val="0"/>
      <w:numFmt w:val="bullet"/>
      <w:lvlText w:val="•"/>
      <w:lvlJc w:val="left"/>
      <w:pPr>
        <w:ind w:left="5040" w:hanging="455"/>
      </w:pPr>
      <w:rPr>
        <w:rFonts w:hint="default"/>
        <w:lang w:val="en-US" w:eastAsia="en-US" w:bidi="ar-SA"/>
      </w:rPr>
    </w:lvl>
    <w:lvl w:ilvl="6">
      <w:start w:val="0"/>
      <w:numFmt w:val="bullet"/>
      <w:lvlText w:val="•"/>
      <w:lvlJc w:val="left"/>
      <w:pPr>
        <w:ind w:left="6120" w:hanging="455"/>
      </w:pPr>
      <w:rPr>
        <w:rFonts w:hint="default"/>
        <w:lang w:val="en-US" w:eastAsia="en-US" w:bidi="ar-SA"/>
      </w:rPr>
    </w:lvl>
    <w:lvl w:ilvl="7">
      <w:start w:val="0"/>
      <w:numFmt w:val="bullet"/>
      <w:lvlText w:val="•"/>
      <w:lvlJc w:val="left"/>
      <w:pPr>
        <w:ind w:left="7200" w:hanging="455"/>
      </w:pPr>
      <w:rPr>
        <w:rFonts w:hint="default"/>
        <w:lang w:val="en-US" w:eastAsia="en-US" w:bidi="ar-SA"/>
      </w:rPr>
    </w:lvl>
    <w:lvl w:ilvl="8">
      <w:start w:val="0"/>
      <w:numFmt w:val="bullet"/>
      <w:lvlText w:val="•"/>
      <w:lvlJc w:val="left"/>
      <w:pPr>
        <w:ind w:left="8280" w:hanging="455"/>
      </w:pPr>
      <w:rPr>
        <w:rFonts w:hint="default"/>
        <w:lang w:val="en-US" w:eastAsia="en-US" w:bidi="ar-SA"/>
      </w:rPr>
    </w:lvl>
  </w:abstractNum>
  <w:abstractNum w:abstractNumId="215">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214">
    <w:multiLevelType w:val="hybridMultilevel"/>
    <w:lvl w:ilvl="0">
      <w:start w:val="1"/>
      <w:numFmt w:val="decimal"/>
      <w:lvlText w:val="%1."/>
      <w:lvlJc w:val="left"/>
      <w:pPr>
        <w:ind w:left="360" w:hanging="334"/>
        <w:jc w:val="left"/>
      </w:pPr>
      <w:rPr>
        <w:rFonts w:hint="default" w:ascii="Arial" w:hAnsi="Arial" w:eastAsia="Arial" w:cs="Arial"/>
        <w:b w:val="0"/>
        <w:bCs w:val="0"/>
        <w:i w:val="0"/>
        <w:iCs w:val="0"/>
        <w:spacing w:val="-1"/>
        <w:w w:val="100"/>
        <w:sz w:val="24"/>
        <w:szCs w:val="24"/>
        <w:lang w:val="en-US" w:eastAsia="en-US" w:bidi="ar-SA"/>
      </w:rPr>
    </w:lvl>
    <w:lvl w:ilvl="1">
      <w:start w:val="1"/>
      <w:numFmt w:val="upperLetter"/>
      <w:lvlText w:val="(%2)"/>
      <w:lvlJc w:val="left"/>
      <w:pPr>
        <w:ind w:left="1174" w:hanging="455"/>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08" w:hanging="455"/>
      </w:pPr>
      <w:rPr>
        <w:rFonts w:hint="default"/>
        <w:lang w:val="en-US" w:eastAsia="en-US" w:bidi="ar-SA"/>
      </w:rPr>
    </w:lvl>
    <w:lvl w:ilvl="3">
      <w:start w:val="0"/>
      <w:numFmt w:val="bullet"/>
      <w:lvlText w:val="•"/>
      <w:lvlJc w:val="left"/>
      <w:pPr>
        <w:ind w:left="3237" w:hanging="455"/>
      </w:pPr>
      <w:rPr>
        <w:rFonts w:hint="default"/>
        <w:lang w:val="en-US" w:eastAsia="en-US" w:bidi="ar-SA"/>
      </w:rPr>
    </w:lvl>
    <w:lvl w:ilvl="4">
      <w:start w:val="0"/>
      <w:numFmt w:val="bullet"/>
      <w:lvlText w:val="•"/>
      <w:lvlJc w:val="left"/>
      <w:pPr>
        <w:ind w:left="4266" w:hanging="455"/>
      </w:pPr>
      <w:rPr>
        <w:rFonts w:hint="default"/>
        <w:lang w:val="en-US" w:eastAsia="en-US" w:bidi="ar-SA"/>
      </w:rPr>
    </w:lvl>
    <w:lvl w:ilvl="5">
      <w:start w:val="0"/>
      <w:numFmt w:val="bullet"/>
      <w:lvlText w:val="•"/>
      <w:lvlJc w:val="left"/>
      <w:pPr>
        <w:ind w:left="5295" w:hanging="455"/>
      </w:pPr>
      <w:rPr>
        <w:rFonts w:hint="default"/>
        <w:lang w:val="en-US" w:eastAsia="en-US" w:bidi="ar-SA"/>
      </w:rPr>
    </w:lvl>
    <w:lvl w:ilvl="6">
      <w:start w:val="0"/>
      <w:numFmt w:val="bullet"/>
      <w:lvlText w:val="•"/>
      <w:lvlJc w:val="left"/>
      <w:pPr>
        <w:ind w:left="6324" w:hanging="455"/>
      </w:pPr>
      <w:rPr>
        <w:rFonts w:hint="default"/>
        <w:lang w:val="en-US" w:eastAsia="en-US" w:bidi="ar-SA"/>
      </w:rPr>
    </w:lvl>
    <w:lvl w:ilvl="7">
      <w:start w:val="0"/>
      <w:numFmt w:val="bullet"/>
      <w:lvlText w:val="•"/>
      <w:lvlJc w:val="left"/>
      <w:pPr>
        <w:ind w:left="7353" w:hanging="455"/>
      </w:pPr>
      <w:rPr>
        <w:rFonts w:hint="default"/>
        <w:lang w:val="en-US" w:eastAsia="en-US" w:bidi="ar-SA"/>
      </w:rPr>
    </w:lvl>
    <w:lvl w:ilvl="8">
      <w:start w:val="0"/>
      <w:numFmt w:val="bullet"/>
      <w:lvlText w:val="•"/>
      <w:lvlJc w:val="left"/>
      <w:pPr>
        <w:ind w:left="8382" w:hanging="455"/>
      </w:pPr>
      <w:rPr>
        <w:rFonts w:hint="default"/>
        <w:lang w:val="en-US" w:eastAsia="en-US" w:bidi="ar-SA"/>
      </w:rPr>
    </w:lvl>
  </w:abstractNum>
  <w:abstractNum w:abstractNumId="213">
    <w:multiLevelType w:val="hybridMultilevel"/>
    <w:lvl w:ilvl="0">
      <w:start w:val="1"/>
      <w:numFmt w:val="decimal"/>
      <w:lvlText w:val="%1."/>
      <w:lvlJc w:val="left"/>
      <w:pPr>
        <w:ind w:left="693" w:hanging="334"/>
        <w:jc w:val="left"/>
      </w:pPr>
      <w:rPr>
        <w:rFonts w:hint="default" w:ascii="Arial" w:hAnsi="Arial" w:eastAsia="Arial" w:cs="Arial"/>
        <w:b w:val="0"/>
        <w:bCs w:val="0"/>
        <w:i w:val="0"/>
        <w:iCs w:val="0"/>
        <w:spacing w:val="-1"/>
        <w:w w:val="100"/>
        <w:sz w:val="24"/>
        <w:szCs w:val="24"/>
        <w:lang w:val="en-US" w:eastAsia="en-US" w:bidi="ar-SA"/>
      </w:rPr>
    </w:lvl>
    <w:lvl w:ilvl="1">
      <w:start w:val="1"/>
      <w:numFmt w:val="upperLetter"/>
      <w:lvlText w:val="(%2)"/>
      <w:lvlJc w:val="left"/>
      <w:pPr>
        <w:ind w:left="990" w:hanging="455"/>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048" w:hanging="455"/>
      </w:pPr>
      <w:rPr>
        <w:rFonts w:hint="default"/>
        <w:lang w:val="en-US" w:eastAsia="en-US" w:bidi="ar-SA"/>
      </w:rPr>
    </w:lvl>
    <w:lvl w:ilvl="3">
      <w:start w:val="0"/>
      <w:numFmt w:val="bullet"/>
      <w:lvlText w:val="•"/>
      <w:lvlJc w:val="left"/>
      <w:pPr>
        <w:ind w:left="3097" w:hanging="455"/>
      </w:pPr>
      <w:rPr>
        <w:rFonts w:hint="default"/>
        <w:lang w:val="en-US" w:eastAsia="en-US" w:bidi="ar-SA"/>
      </w:rPr>
    </w:lvl>
    <w:lvl w:ilvl="4">
      <w:start w:val="0"/>
      <w:numFmt w:val="bullet"/>
      <w:lvlText w:val="•"/>
      <w:lvlJc w:val="left"/>
      <w:pPr>
        <w:ind w:left="4146" w:hanging="455"/>
      </w:pPr>
      <w:rPr>
        <w:rFonts w:hint="default"/>
        <w:lang w:val="en-US" w:eastAsia="en-US" w:bidi="ar-SA"/>
      </w:rPr>
    </w:lvl>
    <w:lvl w:ilvl="5">
      <w:start w:val="0"/>
      <w:numFmt w:val="bullet"/>
      <w:lvlText w:val="•"/>
      <w:lvlJc w:val="left"/>
      <w:pPr>
        <w:ind w:left="5195" w:hanging="455"/>
      </w:pPr>
      <w:rPr>
        <w:rFonts w:hint="default"/>
        <w:lang w:val="en-US" w:eastAsia="en-US" w:bidi="ar-SA"/>
      </w:rPr>
    </w:lvl>
    <w:lvl w:ilvl="6">
      <w:start w:val="0"/>
      <w:numFmt w:val="bullet"/>
      <w:lvlText w:val="•"/>
      <w:lvlJc w:val="left"/>
      <w:pPr>
        <w:ind w:left="6244" w:hanging="455"/>
      </w:pPr>
      <w:rPr>
        <w:rFonts w:hint="default"/>
        <w:lang w:val="en-US" w:eastAsia="en-US" w:bidi="ar-SA"/>
      </w:rPr>
    </w:lvl>
    <w:lvl w:ilvl="7">
      <w:start w:val="0"/>
      <w:numFmt w:val="bullet"/>
      <w:lvlText w:val="•"/>
      <w:lvlJc w:val="left"/>
      <w:pPr>
        <w:ind w:left="7293" w:hanging="455"/>
      </w:pPr>
      <w:rPr>
        <w:rFonts w:hint="default"/>
        <w:lang w:val="en-US" w:eastAsia="en-US" w:bidi="ar-SA"/>
      </w:rPr>
    </w:lvl>
    <w:lvl w:ilvl="8">
      <w:start w:val="0"/>
      <w:numFmt w:val="bullet"/>
      <w:lvlText w:val="•"/>
      <w:lvlJc w:val="left"/>
      <w:pPr>
        <w:ind w:left="8342" w:hanging="455"/>
      </w:pPr>
      <w:rPr>
        <w:rFonts w:hint="default"/>
        <w:lang w:val="en-US" w:eastAsia="en-US" w:bidi="ar-SA"/>
      </w:rPr>
    </w:lvl>
  </w:abstractNum>
  <w:abstractNum w:abstractNumId="212">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11"/>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11">
    <w:multiLevelType w:val="hybridMultilevel"/>
    <w:lvl w:ilvl="0">
      <w:start w:val="1"/>
      <w:numFmt w:val="decimal"/>
      <w:lvlText w:val="%1."/>
      <w:lvlJc w:val="left"/>
      <w:pPr>
        <w:ind w:left="792" w:hanging="28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288"/>
      </w:pPr>
      <w:rPr>
        <w:rFonts w:hint="default"/>
        <w:lang w:val="en-US" w:eastAsia="en-US" w:bidi="ar-SA"/>
      </w:rPr>
    </w:lvl>
    <w:lvl w:ilvl="2">
      <w:start w:val="0"/>
      <w:numFmt w:val="bullet"/>
      <w:lvlText w:val="•"/>
      <w:lvlJc w:val="left"/>
      <w:pPr>
        <w:ind w:left="2728" w:hanging="288"/>
      </w:pPr>
      <w:rPr>
        <w:rFonts w:hint="default"/>
        <w:lang w:val="en-US" w:eastAsia="en-US" w:bidi="ar-SA"/>
      </w:rPr>
    </w:lvl>
    <w:lvl w:ilvl="3">
      <w:start w:val="0"/>
      <w:numFmt w:val="bullet"/>
      <w:lvlText w:val="•"/>
      <w:lvlJc w:val="left"/>
      <w:pPr>
        <w:ind w:left="3692" w:hanging="288"/>
      </w:pPr>
      <w:rPr>
        <w:rFonts w:hint="default"/>
        <w:lang w:val="en-US" w:eastAsia="en-US" w:bidi="ar-SA"/>
      </w:rPr>
    </w:lvl>
    <w:lvl w:ilvl="4">
      <w:start w:val="0"/>
      <w:numFmt w:val="bullet"/>
      <w:lvlText w:val="•"/>
      <w:lvlJc w:val="left"/>
      <w:pPr>
        <w:ind w:left="4656" w:hanging="288"/>
      </w:pPr>
      <w:rPr>
        <w:rFonts w:hint="default"/>
        <w:lang w:val="en-US" w:eastAsia="en-US" w:bidi="ar-SA"/>
      </w:rPr>
    </w:lvl>
    <w:lvl w:ilvl="5">
      <w:start w:val="0"/>
      <w:numFmt w:val="bullet"/>
      <w:lvlText w:val="•"/>
      <w:lvlJc w:val="left"/>
      <w:pPr>
        <w:ind w:left="5620" w:hanging="288"/>
      </w:pPr>
      <w:rPr>
        <w:rFonts w:hint="default"/>
        <w:lang w:val="en-US" w:eastAsia="en-US" w:bidi="ar-SA"/>
      </w:rPr>
    </w:lvl>
    <w:lvl w:ilvl="6">
      <w:start w:val="0"/>
      <w:numFmt w:val="bullet"/>
      <w:lvlText w:val="•"/>
      <w:lvlJc w:val="left"/>
      <w:pPr>
        <w:ind w:left="6584" w:hanging="288"/>
      </w:pPr>
      <w:rPr>
        <w:rFonts w:hint="default"/>
        <w:lang w:val="en-US" w:eastAsia="en-US" w:bidi="ar-SA"/>
      </w:rPr>
    </w:lvl>
    <w:lvl w:ilvl="7">
      <w:start w:val="0"/>
      <w:numFmt w:val="bullet"/>
      <w:lvlText w:val="•"/>
      <w:lvlJc w:val="left"/>
      <w:pPr>
        <w:ind w:left="7548" w:hanging="288"/>
      </w:pPr>
      <w:rPr>
        <w:rFonts w:hint="default"/>
        <w:lang w:val="en-US" w:eastAsia="en-US" w:bidi="ar-SA"/>
      </w:rPr>
    </w:lvl>
    <w:lvl w:ilvl="8">
      <w:start w:val="0"/>
      <w:numFmt w:val="bullet"/>
      <w:lvlText w:val="•"/>
      <w:lvlJc w:val="left"/>
      <w:pPr>
        <w:ind w:left="8512" w:hanging="288"/>
      </w:pPr>
      <w:rPr>
        <w:rFonts w:hint="default"/>
        <w:lang w:val="en-US" w:eastAsia="en-US" w:bidi="ar-SA"/>
      </w:rPr>
    </w:lvl>
  </w:abstractNum>
  <w:abstractNum w:abstractNumId="210">
    <w:multiLevelType w:val="hybridMultilevel"/>
    <w:lvl w:ilvl="0">
      <w:start w:val="1"/>
      <w:numFmt w:val="decimal"/>
      <w:lvlText w:val="(%1)"/>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429"/>
      </w:pPr>
      <w:rPr>
        <w:rFonts w:hint="default"/>
        <w:lang w:val="en-US" w:eastAsia="en-US" w:bidi="ar-SA"/>
      </w:rPr>
    </w:lvl>
    <w:lvl w:ilvl="2">
      <w:start w:val="0"/>
      <w:numFmt w:val="bullet"/>
      <w:lvlText w:val="•"/>
      <w:lvlJc w:val="left"/>
      <w:pPr>
        <w:ind w:left="2728" w:hanging="429"/>
      </w:pPr>
      <w:rPr>
        <w:rFonts w:hint="default"/>
        <w:lang w:val="en-US" w:eastAsia="en-US" w:bidi="ar-SA"/>
      </w:rPr>
    </w:lvl>
    <w:lvl w:ilvl="3">
      <w:start w:val="0"/>
      <w:numFmt w:val="bullet"/>
      <w:lvlText w:val="•"/>
      <w:lvlJc w:val="left"/>
      <w:pPr>
        <w:ind w:left="3692" w:hanging="429"/>
      </w:pPr>
      <w:rPr>
        <w:rFonts w:hint="default"/>
        <w:lang w:val="en-US" w:eastAsia="en-US" w:bidi="ar-SA"/>
      </w:rPr>
    </w:lvl>
    <w:lvl w:ilvl="4">
      <w:start w:val="0"/>
      <w:numFmt w:val="bullet"/>
      <w:lvlText w:val="•"/>
      <w:lvlJc w:val="left"/>
      <w:pPr>
        <w:ind w:left="4656" w:hanging="429"/>
      </w:pPr>
      <w:rPr>
        <w:rFonts w:hint="default"/>
        <w:lang w:val="en-US" w:eastAsia="en-US" w:bidi="ar-SA"/>
      </w:rPr>
    </w:lvl>
    <w:lvl w:ilvl="5">
      <w:start w:val="0"/>
      <w:numFmt w:val="bullet"/>
      <w:lvlText w:val="•"/>
      <w:lvlJc w:val="left"/>
      <w:pPr>
        <w:ind w:left="5620" w:hanging="429"/>
      </w:pPr>
      <w:rPr>
        <w:rFonts w:hint="default"/>
        <w:lang w:val="en-US" w:eastAsia="en-US" w:bidi="ar-SA"/>
      </w:rPr>
    </w:lvl>
    <w:lvl w:ilvl="6">
      <w:start w:val="0"/>
      <w:numFmt w:val="bullet"/>
      <w:lvlText w:val="•"/>
      <w:lvlJc w:val="left"/>
      <w:pPr>
        <w:ind w:left="6584" w:hanging="429"/>
      </w:pPr>
      <w:rPr>
        <w:rFonts w:hint="default"/>
        <w:lang w:val="en-US" w:eastAsia="en-US" w:bidi="ar-SA"/>
      </w:rPr>
    </w:lvl>
    <w:lvl w:ilvl="7">
      <w:start w:val="0"/>
      <w:numFmt w:val="bullet"/>
      <w:lvlText w:val="•"/>
      <w:lvlJc w:val="left"/>
      <w:pPr>
        <w:ind w:left="7548" w:hanging="429"/>
      </w:pPr>
      <w:rPr>
        <w:rFonts w:hint="default"/>
        <w:lang w:val="en-US" w:eastAsia="en-US" w:bidi="ar-SA"/>
      </w:rPr>
    </w:lvl>
    <w:lvl w:ilvl="8">
      <w:start w:val="0"/>
      <w:numFmt w:val="bullet"/>
      <w:lvlText w:val="•"/>
      <w:lvlJc w:val="left"/>
      <w:pPr>
        <w:ind w:left="8512" w:hanging="429"/>
      </w:pPr>
      <w:rPr>
        <w:rFonts w:hint="default"/>
        <w:lang w:val="en-US" w:eastAsia="en-US" w:bidi="ar-SA"/>
      </w:rPr>
    </w:lvl>
  </w:abstractNum>
  <w:abstractNum w:abstractNumId="209">
    <w:multiLevelType w:val="hybridMultilevel"/>
    <w:lvl w:ilvl="0">
      <w:start w:val="1"/>
      <w:numFmt w:val="decimal"/>
      <w:lvlText w:val="%1."/>
      <w:lvlJc w:val="left"/>
      <w:pPr>
        <w:ind w:left="630" w:hanging="291"/>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990" w:hanging="335"/>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048" w:hanging="335"/>
      </w:pPr>
      <w:rPr>
        <w:rFonts w:hint="default"/>
        <w:lang w:val="en-US" w:eastAsia="en-US" w:bidi="ar-SA"/>
      </w:rPr>
    </w:lvl>
    <w:lvl w:ilvl="3">
      <w:start w:val="0"/>
      <w:numFmt w:val="bullet"/>
      <w:lvlText w:val="•"/>
      <w:lvlJc w:val="left"/>
      <w:pPr>
        <w:ind w:left="3097" w:hanging="335"/>
      </w:pPr>
      <w:rPr>
        <w:rFonts w:hint="default"/>
        <w:lang w:val="en-US" w:eastAsia="en-US" w:bidi="ar-SA"/>
      </w:rPr>
    </w:lvl>
    <w:lvl w:ilvl="4">
      <w:start w:val="0"/>
      <w:numFmt w:val="bullet"/>
      <w:lvlText w:val="•"/>
      <w:lvlJc w:val="left"/>
      <w:pPr>
        <w:ind w:left="4146" w:hanging="335"/>
      </w:pPr>
      <w:rPr>
        <w:rFonts w:hint="default"/>
        <w:lang w:val="en-US" w:eastAsia="en-US" w:bidi="ar-SA"/>
      </w:rPr>
    </w:lvl>
    <w:lvl w:ilvl="5">
      <w:start w:val="0"/>
      <w:numFmt w:val="bullet"/>
      <w:lvlText w:val="•"/>
      <w:lvlJc w:val="left"/>
      <w:pPr>
        <w:ind w:left="5195" w:hanging="335"/>
      </w:pPr>
      <w:rPr>
        <w:rFonts w:hint="default"/>
        <w:lang w:val="en-US" w:eastAsia="en-US" w:bidi="ar-SA"/>
      </w:rPr>
    </w:lvl>
    <w:lvl w:ilvl="6">
      <w:start w:val="0"/>
      <w:numFmt w:val="bullet"/>
      <w:lvlText w:val="•"/>
      <w:lvlJc w:val="left"/>
      <w:pPr>
        <w:ind w:left="6244" w:hanging="335"/>
      </w:pPr>
      <w:rPr>
        <w:rFonts w:hint="default"/>
        <w:lang w:val="en-US" w:eastAsia="en-US" w:bidi="ar-SA"/>
      </w:rPr>
    </w:lvl>
    <w:lvl w:ilvl="7">
      <w:start w:val="0"/>
      <w:numFmt w:val="bullet"/>
      <w:lvlText w:val="•"/>
      <w:lvlJc w:val="left"/>
      <w:pPr>
        <w:ind w:left="7293" w:hanging="335"/>
      </w:pPr>
      <w:rPr>
        <w:rFonts w:hint="default"/>
        <w:lang w:val="en-US" w:eastAsia="en-US" w:bidi="ar-SA"/>
      </w:rPr>
    </w:lvl>
    <w:lvl w:ilvl="8">
      <w:start w:val="0"/>
      <w:numFmt w:val="bullet"/>
      <w:lvlText w:val="•"/>
      <w:lvlJc w:val="left"/>
      <w:pPr>
        <w:ind w:left="8342" w:hanging="335"/>
      </w:pPr>
      <w:rPr>
        <w:rFonts w:hint="default"/>
        <w:lang w:val="en-US" w:eastAsia="en-US" w:bidi="ar-SA"/>
      </w:rPr>
    </w:lvl>
  </w:abstractNum>
  <w:abstractNum w:abstractNumId="208">
    <w:multiLevelType w:val="hybridMultilevel"/>
    <w:lvl w:ilvl="0">
      <w:start w:val="1"/>
      <w:numFmt w:val="decimal"/>
      <w:lvlText w:val="(%1)"/>
      <w:lvlJc w:val="left"/>
      <w:pPr>
        <w:ind w:left="81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82" w:hanging="429"/>
      </w:pPr>
      <w:rPr>
        <w:rFonts w:hint="default"/>
        <w:lang w:val="en-US" w:eastAsia="en-US" w:bidi="ar-SA"/>
      </w:rPr>
    </w:lvl>
    <w:lvl w:ilvl="2">
      <w:start w:val="0"/>
      <w:numFmt w:val="bullet"/>
      <w:lvlText w:val="•"/>
      <w:lvlJc w:val="left"/>
      <w:pPr>
        <w:ind w:left="2744" w:hanging="429"/>
      </w:pPr>
      <w:rPr>
        <w:rFonts w:hint="default"/>
        <w:lang w:val="en-US" w:eastAsia="en-US" w:bidi="ar-SA"/>
      </w:rPr>
    </w:lvl>
    <w:lvl w:ilvl="3">
      <w:start w:val="0"/>
      <w:numFmt w:val="bullet"/>
      <w:lvlText w:val="•"/>
      <w:lvlJc w:val="left"/>
      <w:pPr>
        <w:ind w:left="3706" w:hanging="429"/>
      </w:pPr>
      <w:rPr>
        <w:rFonts w:hint="default"/>
        <w:lang w:val="en-US" w:eastAsia="en-US" w:bidi="ar-SA"/>
      </w:rPr>
    </w:lvl>
    <w:lvl w:ilvl="4">
      <w:start w:val="0"/>
      <w:numFmt w:val="bullet"/>
      <w:lvlText w:val="•"/>
      <w:lvlJc w:val="left"/>
      <w:pPr>
        <w:ind w:left="4668" w:hanging="429"/>
      </w:pPr>
      <w:rPr>
        <w:rFonts w:hint="default"/>
        <w:lang w:val="en-US" w:eastAsia="en-US" w:bidi="ar-SA"/>
      </w:rPr>
    </w:lvl>
    <w:lvl w:ilvl="5">
      <w:start w:val="0"/>
      <w:numFmt w:val="bullet"/>
      <w:lvlText w:val="•"/>
      <w:lvlJc w:val="left"/>
      <w:pPr>
        <w:ind w:left="5630" w:hanging="429"/>
      </w:pPr>
      <w:rPr>
        <w:rFonts w:hint="default"/>
        <w:lang w:val="en-US" w:eastAsia="en-US" w:bidi="ar-SA"/>
      </w:rPr>
    </w:lvl>
    <w:lvl w:ilvl="6">
      <w:start w:val="0"/>
      <w:numFmt w:val="bullet"/>
      <w:lvlText w:val="•"/>
      <w:lvlJc w:val="left"/>
      <w:pPr>
        <w:ind w:left="6592" w:hanging="429"/>
      </w:pPr>
      <w:rPr>
        <w:rFonts w:hint="default"/>
        <w:lang w:val="en-US" w:eastAsia="en-US" w:bidi="ar-SA"/>
      </w:rPr>
    </w:lvl>
    <w:lvl w:ilvl="7">
      <w:start w:val="0"/>
      <w:numFmt w:val="bullet"/>
      <w:lvlText w:val="•"/>
      <w:lvlJc w:val="left"/>
      <w:pPr>
        <w:ind w:left="7554" w:hanging="429"/>
      </w:pPr>
      <w:rPr>
        <w:rFonts w:hint="default"/>
        <w:lang w:val="en-US" w:eastAsia="en-US" w:bidi="ar-SA"/>
      </w:rPr>
    </w:lvl>
    <w:lvl w:ilvl="8">
      <w:start w:val="0"/>
      <w:numFmt w:val="bullet"/>
      <w:lvlText w:val="•"/>
      <w:lvlJc w:val="left"/>
      <w:pPr>
        <w:ind w:left="8516" w:hanging="429"/>
      </w:pPr>
      <w:rPr>
        <w:rFonts w:hint="default"/>
        <w:lang w:val="en-US" w:eastAsia="en-US" w:bidi="ar-SA"/>
      </w:rPr>
    </w:lvl>
  </w:abstractNum>
  <w:abstractNum w:abstractNumId="207">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206">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8"/>
      </w:pPr>
      <w:rPr>
        <w:rFonts w:hint="default"/>
        <w:lang w:val="en-US" w:eastAsia="en-US" w:bidi="ar-SA"/>
      </w:rPr>
    </w:lvl>
    <w:lvl w:ilvl="2">
      <w:start w:val="0"/>
      <w:numFmt w:val="bullet"/>
      <w:lvlText w:val="•"/>
      <w:lvlJc w:val="left"/>
      <w:pPr>
        <w:ind w:left="2376" w:hanging="428"/>
      </w:pPr>
      <w:rPr>
        <w:rFonts w:hint="default"/>
        <w:lang w:val="en-US" w:eastAsia="en-US" w:bidi="ar-SA"/>
      </w:rPr>
    </w:lvl>
    <w:lvl w:ilvl="3">
      <w:start w:val="0"/>
      <w:numFmt w:val="bullet"/>
      <w:lvlText w:val="•"/>
      <w:lvlJc w:val="left"/>
      <w:pPr>
        <w:ind w:left="3384" w:hanging="428"/>
      </w:pPr>
      <w:rPr>
        <w:rFonts w:hint="default"/>
        <w:lang w:val="en-US" w:eastAsia="en-US" w:bidi="ar-SA"/>
      </w:rPr>
    </w:lvl>
    <w:lvl w:ilvl="4">
      <w:start w:val="0"/>
      <w:numFmt w:val="bullet"/>
      <w:lvlText w:val="•"/>
      <w:lvlJc w:val="left"/>
      <w:pPr>
        <w:ind w:left="4392" w:hanging="428"/>
      </w:pPr>
      <w:rPr>
        <w:rFonts w:hint="default"/>
        <w:lang w:val="en-US" w:eastAsia="en-US" w:bidi="ar-SA"/>
      </w:rPr>
    </w:lvl>
    <w:lvl w:ilvl="5">
      <w:start w:val="0"/>
      <w:numFmt w:val="bullet"/>
      <w:lvlText w:val="•"/>
      <w:lvlJc w:val="left"/>
      <w:pPr>
        <w:ind w:left="5400" w:hanging="428"/>
      </w:pPr>
      <w:rPr>
        <w:rFonts w:hint="default"/>
        <w:lang w:val="en-US" w:eastAsia="en-US" w:bidi="ar-SA"/>
      </w:rPr>
    </w:lvl>
    <w:lvl w:ilvl="6">
      <w:start w:val="0"/>
      <w:numFmt w:val="bullet"/>
      <w:lvlText w:val="•"/>
      <w:lvlJc w:val="left"/>
      <w:pPr>
        <w:ind w:left="6408" w:hanging="428"/>
      </w:pPr>
      <w:rPr>
        <w:rFonts w:hint="default"/>
        <w:lang w:val="en-US" w:eastAsia="en-US" w:bidi="ar-SA"/>
      </w:rPr>
    </w:lvl>
    <w:lvl w:ilvl="7">
      <w:start w:val="0"/>
      <w:numFmt w:val="bullet"/>
      <w:lvlText w:val="•"/>
      <w:lvlJc w:val="left"/>
      <w:pPr>
        <w:ind w:left="7416" w:hanging="428"/>
      </w:pPr>
      <w:rPr>
        <w:rFonts w:hint="default"/>
        <w:lang w:val="en-US" w:eastAsia="en-US" w:bidi="ar-SA"/>
      </w:rPr>
    </w:lvl>
    <w:lvl w:ilvl="8">
      <w:start w:val="0"/>
      <w:numFmt w:val="bullet"/>
      <w:lvlText w:val="•"/>
      <w:lvlJc w:val="left"/>
      <w:pPr>
        <w:ind w:left="8424" w:hanging="428"/>
      </w:pPr>
      <w:rPr>
        <w:rFonts w:hint="default"/>
        <w:lang w:val="en-US" w:eastAsia="en-US" w:bidi="ar-SA"/>
      </w:rPr>
    </w:lvl>
  </w:abstractNum>
  <w:abstractNum w:abstractNumId="205">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97"/>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04">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9"/>
      </w:pPr>
      <w:rPr>
        <w:rFonts w:hint="default"/>
        <w:lang w:val="en-US" w:eastAsia="en-US" w:bidi="ar-SA"/>
      </w:rPr>
    </w:lvl>
    <w:lvl w:ilvl="3">
      <w:start w:val="0"/>
      <w:numFmt w:val="bullet"/>
      <w:lvlText w:val="•"/>
      <w:lvlJc w:val="left"/>
      <w:pPr>
        <w:ind w:left="3268" w:hanging="429"/>
      </w:pPr>
      <w:rPr>
        <w:rFonts w:hint="default"/>
        <w:lang w:val="en-US" w:eastAsia="en-US" w:bidi="ar-SA"/>
      </w:rPr>
    </w:lvl>
    <w:lvl w:ilvl="4">
      <w:start w:val="0"/>
      <w:numFmt w:val="bullet"/>
      <w:lvlText w:val="•"/>
      <w:lvlJc w:val="left"/>
      <w:pPr>
        <w:ind w:left="4293" w:hanging="429"/>
      </w:pPr>
      <w:rPr>
        <w:rFonts w:hint="default"/>
        <w:lang w:val="en-US" w:eastAsia="en-US" w:bidi="ar-SA"/>
      </w:rPr>
    </w:lvl>
    <w:lvl w:ilvl="5">
      <w:start w:val="0"/>
      <w:numFmt w:val="bullet"/>
      <w:lvlText w:val="•"/>
      <w:lvlJc w:val="left"/>
      <w:pPr>
        <w:ind w:left="5317" w:hanging="429"/>
      </w:pPr>
      <w:rPr>
        <w:rFonts w:hint="default"/>
        <w:lang w:val="en-US" w:eastAsia="en-US" w:bidi="ar-SA"/>
      </w:rPr>
    </w:lvl>
    <w:lvl w:ilvl="6">
      <w:start w:val="0"/>
      <w:numFmt w:val="bullet"/>
      <w:lvlText w:val="•"/>
      <w:lvlJc w:val="left"/>
      <w:pPr>
        <w:ind w:left="6342" w:hanging="429"/>
      </w:pPr>
      <w:rPr>
        <w:rFonts w:hint="default"/>
        <w:lang w:val="en-US" w:eastAsia="en-US" w:bidi="ar-SA"/>
      </w:rPr>
    </w:lvl>
    <w:lvl w:ilvl="7">
      <w:start w:val="0"/>
      <w:numFmt w:val="bullet"/>
      <w:lvlText w:val="•"/>
      <w:lvlJc w:val="left"/>
      <w:pPr>
        <w:ind w:left="7366" w:hanging="429"/>
      </w:pPr>
      <w:rPr>
        <w:rFonts w:hint="default"/>
        <w:lang w:val="en-US" w:eastAsia="en-US" w:bidi="ar-SA"/>
      </w:rPr>
    </w:lvl>
    <w:lvl w:ilvl="8">
      <w:start w:val="0"/>
      <w:numFmt w:val="bullet"/>
      <w:lvlText w:val="•"/>
      <w:lvlJc w:val="left"/>
      <w:pPr>
        <w:ind w:left="8391" w:hanging="429"/>
      </w:pPr>
      <w:rPr>
        <w:rFonts w:hint="default"/>
        <w:lang w:val="en-US" w:eastAsia="en-US" w:bidi="ar-SA"/>
      </w:rPr>
    </w:lvl>
  </w:abstractNum>
  <w:abstractNum w:abstractNumId="203">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10"/>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1"/>
      <w:numFmt w:val="decimal"/>
      <w:lvlText w:val="(%4)"/>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4">
      <w:start w:val="0"/>
      <w:numFmt w:val="bullet"/>
      <w:lvlText w:val="•"/>
      <w:lvlJc w:val="left"/>
      <w:pPr>
        <w:ind w:left="4440" w:hanging="429"/>
      </w:pPr>
      <w:rPr>
        <w:rFonts w:hint="default"/>
        <w:lang w:val="en-US" w:eastAsia="en-US" w:bidi="ar-SA"/>
      </w:rPr>
    </w:lvl>
    <w:lvl w:ilvl="5">
      <w:start w:val="0"/>
      <w:numFmt w:val="bullet"/>
      <w:lvlText w:val="•"/>
      <w:lvlJc w:val="left"/>
      <w:pPr>
        <w:ind w:left="5440" w:hanging="429"/>
      </w:pPr>
      <w:rPr>
        <w:rFonts w:hint="default"/>
        <w:lang w:val="en-US" w:eastAsia="en-US" w:bidi="ar-SA"/>
      </w:rPr>
    </w:lvl>
    <w:lvl w:ilvl="6">
      <w:start w:val="0"/>
      <w:numFmt w:val="bullet"/>
      <w:lvlText w:val="•"/>
      <w:lvlJc w:val="left"/>
      <w:pPr>
        <w:ind w:left="6440" w:hanging="429"/>
      </w:pPr>
      <w:rPr>
        <w:rFonts w:hint="default"/>
        <w:lang w:val="en-US" w:eastAsia="en-US" w:bidi="ar-SA"/>
      </w:rPr>
    </w:lvl>
    <w:lvl w:ilvl="7">
      <w:start w:val="0"/>
      <w:numFmt w:val="bullet"/>
      <w:lvlText w:val="•"/>
      <w:lvlJc w:val="left"/>
      <w:pPr>
        <w:ind w:left="7440" w:hanging="429"/>
      </w:pPr>
      <w:rPr>
        <w:rFonts w:hint="default"/>
        <w:lang w:val="en-US" w:eastAsia="en-US" w:bidi="ar-SA"/>
      </w:rPr>
    </w:lvl>
    <w:lvl w:ilvl="8">
      <w:start w:val="0"/>
      <w:numFmt w:val="bullet"/>
      <w:lvlText w:val="•"/>
      <w:lvlJc w:val="left"/>
      <w:pPr>
        <w:ind w:left="8440" w:hanging="429"/>
      </w:pPr>
      <w:rPr>
        <w:rFonts w:hint="default"/>
        <w:lang w:val="en-US" w:eastAsia="en-US" w:bidi="ar-SA"/>
      </w:rPr>
    </w:lvl>
  </w:abstractNum>
  <w:abstractNum w:abstractNumId="202">
    <w:multiLevelType w:val="hybridMultilevel"/>
    <w:lvl w:ilvl="0">
      <w:start w:val="1"/>
      <w:numFmt w:val="decimal"/>
      <w:lvlText w:val="%1."/>
      <w:lvlJc w:val="left"/>
      <w:pPr>
        <w:ind w:left="694" w:hanging="335"/>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674" w:hanging="335"/>
      </w:pPr>
      <w:rPr>
        <w:rFonts w:hint="default"/>
        <w:lang w:val="en-US" w:eastAsia="en-US" w:bidi="ar-SA"/>
      </w:rPr>
    </w:lvl>
    <w:lvl w:ilvl="2">
      <w:start w:val="0"/>
      <w:numFmt w:val="bullet"/>
      <w:lvlText w:val="•"/>
      <w:lvlJc w:val="left"/>
      <w:pPr>
        <w:ind w:left="2648" w:hanging="335"/>
      </w:pPr>
      <w:rPr>
        <w:rFonts w:hint="default"/>
        <w:lang w:val="en-US" w:eastAsia="en-US" w:bidi="ar-SA"/>
      </w:rPr>
    </w:lvl>
    <w:lvl w:ilvl="3">
      <w:start w:val="0"/>
      <w:numFmt w:val="bullet"/>
      <w:lvlText w:val="•"/>
      <w:lvlJc w:val="left"/>
      <w:pPr>
        <w:ind w:left="3622" w:hanging="335"/>
      </w:pPr>
      <w:rPr>
        <w:rFonts w:hint="default"/>
        <w:lang w:val="en-US" w:eastAsia="en-US" w:bidi="ar-SA"/>
      </w:rPr>
    </w:lvl>
    <w:lvl w:ilvl="4">
      <w:start w:val="0"/>
      <w:numFmt w:val="bullet"/>
      <w:lvlText w:val="•"/>
      <w:lvlJc w:val="left"/>
      <w:pPr>
        <w:ind w:left="4596" w:hanging="335"/>
      </w:pPr>
      <w:rPr>
        <w:rFonts w:hint="default"/>
        <w:lang w:val="en-US" w:eastAsia="en-US" w:bidi="ar-SA"/>
      </w:rPr>
    </w:lvl>
    <w:lvl w:ilvl="5">
      <w:start w:val="0"/>
      <w:numFmt w:val="bullet"/>
      <w:lvlText w:val="•"/>
      <w:lvlJc w:val="left"/>
      <w:pPr>
        <w:ind w:left="5570" w:hanging="335"/>
      </w:pPr>
      <w:rPr>
        <w:rFonts w:hint="default"/>
        <w:lang w:val="en-US" w:eastAsia="en-US" w:bidi="ar-SA"/>
      </w:rPr>
    </w:lvl>
    <w:lvl w:ilvl="6">
      <w:start w:val="0"/>
      <w:numFmt w:val="bullet"/>
      <w:lvlText w:val="•"/>
      <w:lvlJc w:val="left"/>
      <w:pPr>
        <w:ind w:left="6544" w:hanging="335"/>
      </w:pPr>
      <w:rPr>
        <w:rFonts w:hint="default"/>
        <w:lang w:val="en-US" w:eastAsia="en-US" w:bidi="ar-SA"/>
      </w:rPr>
    </w:lvl>
    <w:lvl w:ilvl="7">
      <w:start w:val="0"/>
      <w:numFmt w:val="bullet"/>
      <w:lvlText w:val="•"/>
      <w:lvlJc w:val="left"/>
      <w:pPr>
        <w:ind w:left="7518" w:hanging="335"/>
      </w:pPr>
      <w:rPr>
        <w:rFonts w:hint="default"/>
        <w:lang w:val="en-US" w:eastAsia="en-US" w:bidi="ar-SA"/>
      </w:rPr>
    </w:lvl>
    <w:lvl w:ilvl="8">
      <w:start w:val="0"/>
      <w:numFmt w:val="bullet"/>
      <w:lvlText w:val="•"/>
      <w:lvlJc w:val="left"/>
      <w:pPr>
        <w:ind w:left="8492" w:hanging="335"/>
      </w:pPr>
      <w:rPr>
        <w:rFonts w:hint="default"/>
        <w:lang w:val="en-US" w:eastAsia="en-US" w:bidi="ar-SA"/>
      </w:rPr>
    </w:lvl>
  </w:abstractNum>
  <w:abstractNum w:abstractNumId="201">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37" w:hanging="428"/>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714" w:hanging="455"/>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2810" w:hanging="455"/>
      </w:pPr>
      <w:rPr>
        <w:rFonts w:hint="default"/>
        <w:lang w:val="en-US" w:eastAsia="en-US" w:bidi="ar-SA"/>
      </w:rPr>
    </w:lvl>
    <w:lvl w:ilvl="4">
      <w:start w:val="0"/>
      <w:numFmt w:val="bullet"/>
      <w:lvlText w:val="•"/>
      <w:lvlJc w:val="left"/>
      <w:pPr>
        <w:ind w:left="3900" w:hanging="455"/>
      </w:pPr>
      <w:rPr>
        <w:rFonts w:hint="default"/>
        <w:lang w:val="en-US" w:eastAsia="en-US" w:bidi="ar-SA"/>
      </w:rPr>
    </w:lvl>
    <w:lvl w:ilvl="5">
      <w:start w:val="0"/>
      <w:numFmt w:val="bullet"/>
      <w:lvlText w:val="•"/>
      <w:lvlJc w:val="left"/>
      <w:pPr>
        <w:ind w:left="4990" w:hanging="455"/>
      </w:pPr>
      <w:rPr>
        <w:rFonts w:hint="default"/>
        <w:lang w:val="en-US" w:eastAsia="en-US" w:bidi="ar-SA"/>
      </w:rPr>
    </w:lvl>
    <w:lvl w:ilvl="6">
      <w:start w:val="0"/>
      <w:numFmt w:val="bullet"/>
      <w:lvlText w:val="•"/>
      <w:lvlJc w:val="left"/>
      <w:pPr>
        <w:ind w:left="6080" w:hanging="455"/>
      </w:pPr>
      <w:rPr>
        <w:rFonts w:hint="default"/>
        <w:lang w:val="en-US" w:eastAsia="en-US" w:bidi="ar-SA"/>
      </w:rPr>
    </w:lvl>
    <w:lvl w:ilvl="7">
      <w:start w:val="0"/>
      <w:numFmt w:val="bullet"/>
      <w:lvlText w:val="•"/>
      <w:lvlJc w:val="left"/>
      <w:pPr>
        <w:ind w:left="7170" w:hanging="455"/>
      </w:pPr>
      <w:rPr>
        <w:rFonts w:hint="default"/>
        <w:lang w:val="en-US" w:eastAsia="en-US" w:bidi="ar-SA"/>
      </w:rPr>
    </w:lvl>
    <w:lvl w:ilvl="8">
      <w:start w:val="0"/>
      <w:numFmt w:val="bullet"/>
      <w:lvlText w:val="•"/>
      <w:lvlJc w:val="left"/>
      <w:pPr>
        <w:ind w:left="8260" w:hanging="455"/>
      </w:pPr>
      <w:rPr>
        <w:rFonts w:hint="default"/>
        <w:lang w:val="en-US" w:eastAsia="en-US" w:bidi="ar-SA"/>
      </w:rPr>
    </w:lvl>
  </w:abstractNum>
  <w:abstractNum w:abstractNumId="200">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10"/>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99">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97"/>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98">
    <w:multiLevelType w:val="hybridMultilevel"/>
    <w:lvl w:ilvl="0">
      <w:start w:val="1"/>
      <w:numFmt w:val="decimal"/>
      <w:lvlText w:val="%1."/>
      <w:lvlJc w:val="left"/>
      <w:pPr>
        <w:ind w:left="792" w:hanging="28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288"/>
      </w:pPr>
      <w:rPr>
        <w:rFonts w:hint="default"/>
        <w:lang w:val="en-US" w:eastAsia="en-US" w:bidi="ar-SA"/>
      </w:rPr>
    </w:lvl>
    <w:lvl w:ilvl="2">
      <w:start w:val="0"/>
      <w:numFmt w:val="bullet"/>
      <w:lvlText w:val="•"/>
      <w:lvlJc w:val="left"/>
      <w:pPr>
        <w:ind w:left="2728" w:hanging="288"/>
      </w:pPr>
      <w:rPr>
        <w:rFonts w:hint="default"/>
        <w:lang w:val="en-US" w:eastAsia="en-US" w:bidi="ar-SA"/>
      </w:rPr>
    </w:lvl>
    <w:lvl w:ilvl="3">
      <w:start w:val="0"/>
      <w:numFmt w:val="bullet"/>
      <w:lvlText w:val="•"/>
      <w:lvlJc w:val="left"/>
      <w:pPr>
        <w:ind w:left="3692" w:hanging="288"/>
      </w:pPr>
      <w:rPr>
        <w:rFonts w:hint="default"/>
        <w:lang w:val="en-US" w:eastAsia="en-US" w:bidi="ar-SA"/>
      </w:rPr>
    </w:lvl>
    <w:lvl w:ilvl="4">
      <w:start w:val="0"/>
      <w:numFmt w:val="bullet"/>
      <w:lvlText w:val="•"/>
      <w:lvlJc w:val="left"/>
      <w:pPr>
        <w:ind w:left="4656" w:hanging="288"/>
      </w:pPr>
      <w:rPr>
        <w:rFonts w:hint="default"/>
        <w:lang w:val="en-US" w:eastAsia="en-US" w:bidi="ar-SA"/>
      </w:rPr>
    </w:lvl>
    <w:lvl w:ilvl="5">
      <w:start w:val="0"/>
      <w:numFmt w:val="bullet"/>
      <w:lvlText w:val="•"/>
      <w:lvlJc w:val="left"/>
      <w:pPr>
        <w:ind w:left="5620" w:hanging="288"/>
      </w:pPr>
      <w:rPr>
        <w:rFonts w:hint="default"/>
        <w:lang w:val="en-US" w:eastAsia="en-US" w:bidi="ar-SA"/>
      </w:rPr>
    </w:lvl>
    <w:lvl w:ilvl="6">
      <w:start w:val="0"/>
      <w:numFmt w:val="bullet"/>
      <w:lvlText w:val="•"/>
      <w:lvlJc w:val="left"/>
      <w:pPr>
        <w:ind w:left="6584" w:hanging="288"/>
      </w:pPr>
      <w:rPr>
        <w:rFonts w:hint="default"/>
        <w:lang w:val="en-US" w:eastAsia="en-US" w:bidi="ar-SA"/>
      </w:rPr>
    </w:lvl>
    <w:lvl w:ilvl="7">
      <w:start w:val="0"/>
      <w:numFmt w:val="bullet"/>
      <w:lvlText w:val="•"/>
      <w:lvlJc w:val="left"/>
      <w:pPr>
        <w:ind w:left="7548" w:hanging="288"/>
      </w:pPr>
      <w:rPr>
        <w:rFonts w:hint="default"/>
        <w:lang w:val="en-US" w:eastAsia="en-US" w:bidi="ar-SA"/>
      </w:rPr>
    </w:lvl>
    <w:lvl w:ilvl="8">
      <w:start w:val="0"/>
      <w:numFmt w:val="bullet"/>
      <w:lvlText w:val="•"/>
      <w:lvlJc w:val="left"/>
      <w:pPr>
        <w:ind w:left="8512" w:hanging="288"/>
      </w:pPr>
      <w:rPr>
        <w:rFonts w:hint="default"/>
        <w:lang w:val="en-US" w:eastAsia="en-US" w:bidi="ar-SA"/>
      </w:rPr>
    </w:lvl>
  </w:abstractNum>
  <w:abstractNum w:abstractNumId="197">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196">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10"/>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95">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080" w:hanging="28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120" w:hanging="288"/>
      </w:pPr>
      <w:rPr>
        <w:rFonts w:hint="default"/>
        <w:lang w:val="en-US" w:eastAsia="en-US" w:bidi="ar-SA"/>
      </w:rPr>
    </w:lvl>
    <w:lvl w:ilvl="3">
      <w:start w:val="0"/>
      <w:numFmt w:val="bullet"/>
      <w:lvlText w:val="•"/>
      <w:lvlJc w:val="left"/>
      <w:pPr>
        <w:ind w:left="3160" w:hanging="288"/>
      </w:pPr>
      <w:rPr>
        <w:rFonts w:hint="default"/>
        <w:lang w:val="en-US" w:eastAsia="en-US" w:bidi="ar-SA"/>
      </w:rPr>
    </w:lvl>
    <w:lvl w:ilvl="4">
      <w:start w:val="0"/>
      <w:numFmt w:val="bullet"/>
      <w:lvlText w:val="•"/>
      <w:lvlJc w:val="left"/>
      <w:pPr>
        <w:ind w:left="4200" w:hanging="288"/>
      </w:pPr>
      <w:rPr>
        <w:rFonts w:hint="default"/>
        <w:lang w:val="en-US" w:eastAsia="en-US" w:bidi="ar-SA"/>
      </w:rPr>
    </w:lvl>
    <w:lvl w:ilvl="5">
      <w:start w:val="0"/>
      <w:numFmt w:val="bullet"/>
      <w:lvlText w:val="•"/>
      <w:lvlJc w:val="left"/>
      <w:pPr>
        <w:ind w:left="5240" w:hanging="288"/>
      </w:pPr>
      <w:rPr>
        <w:rFonts w:hint="default"/>
        <w:lang w:val="en-US" w:eastAsia="en-US" w:bidi="ar-SA"/>
      </w:rPr>
    </w:lvl>
    <w:lvl w:ilvl="6">
      <w:start w:val="0"/>
      <w:numFmt w:val="bullet"/>
      <w:lvlText w:val="•"/>
      <w:lvlJc w:val="left"/>
      <w:pPr>
        <w:ind w:left="6280" w:hanging="288"/>
      </w:pPr>
      <w:rPr>
        <w:rFonts w:hint="default"/>
        <w:lang w:val="en-US" w:eastAsia="en-US" w:bidi="ar-SA"/>
      </w:rPr>
    </w:lvl>
    <w:lvl w:ilvl="7">
      <w:start w:val="0"/>
      <w:numFmt w:val="bullet"/>
      <w:lvlText w:val="•"/>
      <w:lvlJc w:val="left"/>
      <w:pPr>
        <w:ind w:left="7320" w:hanging="288"/>
      </w:pPr>
      <w:rPr>
        <w:rFonts w:hint="default"/>
        <w:lang w:val="en-US" w:eastAsia="en-US" w:bidi="ar-SA"/>
      </w:rPr>
    </w:lvl>
    <w:lvl w:ilvl="8">
      <w:start w:val="0"/>
      <w:numFmt w:val="bullet"/>
      <w:lvlText w:val="•"/>
      <w:lvlJc w:val="left"/>
      <w:pPr>
        <w:ind w:left="8360" w:hanging="288"/>
      </w:pPr>
      <w:rPr>
        <w:rFonts w:hint="default"/>
        <w:lang w:val="en-US" w:eastAsia="en-US" w:bidi="ar-SA"/>
      </w:rPr>
    </w:lvl>
  </w:abstractNum>
  <w:abstractNum w:abstractNumId="194">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10"/>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93">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97"/>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92">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191">
    <w:multiLevelType w:val="hybridMultilevel"/>
    <w:lvl w:ilvl="0">
      <w:start w:val="1"/>
      <w:numFmt w:val="decimal"/>
      <w:lvlText w:val="%1."/>
      <w:lvlJc w:val="left"/>
      <w:pPr>
        <w:ind w:left="360" w:hanging="335"/>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335"/>
      </w:pPr>
      <w:rPr>
        <w:rFonts w:hint="default"/>
        <w:lang w:val="en-US" w:eastAsia="en-US" w:bidi="ar-SA"/>
      </w:rPr>
    </w:lvl>
    <w:lvl w:ilvl="2">
      <w:start w:val="0"/>
      <w:numFmt w:val="bullet"/>
      <w:lvlText w:val="•"/>
      <w:lvlJc w:val="left"/>
      <w:pPr>
        <w:ind w:left="2376" w:hanging="335"/>
      </w:pPr>
      <w:rPr>
        <w:rFonts w:hint="default"/>
        <w:lang w:val="en-US" w:eastAsia="en-US" w:bidi="ar-SA"/>
      </w:rPr>
    </w:lvl>
    <w:lvl w:ilvl="3">
      <w:start w:val="0"/>
      <w:numFmt w:val="bullet"/>
      <w:lvlText w:val="•"/>
      <w:lvlJc w:val="left"/>
      <w:pPr>
        <w:ind w:left="3384" w:hanging="335"/>
      </w:pPr>
      <w:rPr>
        <w:rFonts w:hint="default"/>
        <w:lang w:val="en-US" w:eastAsia="en-US" w:bidi="ar-SA"/>
      </w:rPr>
    </w:lvl>
    <w:lvl w:ilvl="4">
      <w:start w:val="0"/>
      <w:numFmt w:val="bullet"/>
      <w:lvlText w:val="•"/>
      <w:lvlJc w:val="left"/>
      <w:pPr>
        <w:ind w:left="4392" w:hanging="335"/>
      </w:pPr>
      <w:rPr>
        <w:rFonts w:hint="default"/>
        <w:lang w:val="en-US" w:eastAsia="en-US" w:bidi="ar-SA"/>
      </w:rPr>
    </w:lvl>
    <w:lvl w:ilvl="5">
      <w:start w:val="0"/>
      <w:numFmt w:val="bullet"/>
      <w:lvlText w:val="•"/>
      <w:lvlJc w:val="left"/>
      <w:pPr>
        <w:ind w:left="5400" w:hanging="335"/>
      </w:pPr>
      <w:rPr>
        <w:rFonts w:hint="default"/>
        <w:lang w:val="en-US" w:eastAsia="en-US" w:bidi="ar-SA"/>
      </w:rPr>
    </w:lvl>
    <w:lvl w:ilvl="6">
      <w:start w:val="0"/>
      <w:numFmt w:val="bullet"/>
      <w:lvlText w:val="•"/>
      <w:lvlJc w:val="left"/>
      <w:pPr>
        <w:ind w:left="6408" w:hanging="335"/>
      </w:pPr>
      <w:rPr>
        <w:rFonts w:hint="default"/>
        <w:lang w:val="en-US" w:eastAsia="en-US" w:bidi="ar-SA"/>
      </w:rPr>
    </w:lvl>
    <w:lvl w:ilvl="7">
      <w:start w:val="0"/>
      <w:numFmt w:val="bullet"/>
      <w:lvlText w:val="•"/>
      <w:lvlJc w:val="left"/>
      <w:pPr>
        <w:ind w:left="7416" w:hanging="335"/>
      </w:pPr>
      <w:rPr>
        <w:rFonts w:hint="default"/>
        <w:lang w:val="en-US" w:eastAsia="en-US" w:bidi="ar-SA"/>
      </w:rPr>
    </w:lvl>
    <w:lvl w:ilvl="8">
      <w:start w:val="0"/>
      <w:numFmt w:val="bullet"/>
      <w:lvlText w:val="•"/>
      <w:lvlJc w:val="left"/>
      <w:pPr>
        <w:ind w:left="8424" w:hanging="335"/>
      </w:pPr>
      <w:rPr>
        <w:rFonts w:hint="default"/>
        <w:lang w:val="en-US" w:eastAsia="en-US" w:bidi="ar-SA"/>
      </w:rPr>
    </w:lvl>
  </w:abstractNum>
  <w:abstractNum w:abstractNumId="190">
    <w:multiLevelType w:val="hybridMultilevel"/>
    <w:lvl w:ilvl="0">
      <w:start w:val="1"/>
      <w:numFmt w:val="decimal"/>
      <w:lvlText w:val="%1."/>
      <w:lvlJc w:val="left"/>
      <w:pPr>
        <w:ind w:left="792" w:hanging="28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65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635" w:hanging="429"/>
      </w:pPr>
      <w:rPr>
        <w:rFonts w:hint="default"/>
        <w:lang w:val="en-US" w:eastAsia="en-US" w:bidi="ar-SA"/>
      </w:rPr>
    </w:lvl>
    <w:lvl w:ilvl="3">
      <w:start w:val="0"/>
      <w:numFmt w:val="bullet"/>
      <w:lvlText w:val="•"/>
      <w:lvlJc w:val="left"/>
      <w:pPr>
        <w:ind w:left="3611" w:hanging="429"/>
      </w:pPr>
      <w:rPr>
        <w:rFonts w:hint="default"/>
        <w:lang w:val="en-US" w:eastAsia="en-US" w:bidi="ar-SA"/>
      </w:rPr>
    </w:lvl>
    <w:lvl w:ilvl="4">
      <w:start w:val="0"/>
      <w:numFmt w:val="bullet"/>
      <w:lvlText w:val="•"/>
      <w:lvlJc w:val="left"/>
      <w:pPr>
        <w:ind w:left="4586" w:hanging="429"/>
      </w:pPr>
      <w:rPr>
        <w:rFonts w:hint="default"/>
        <w:lang w:val="en-US" w:eastAsia="en-US" w:bidi="ar-SA"/>
      </w:rPr>
    </w:lvl>
    <w:lvl w:ilvl="5">
      <w:start w:val="0"/>
      <w:numFmt w:val="bullet"/>
      <w:lvlText w:val="•"/>
      <w:lvlJc w:val="left"/>
      <w:pPr>
        <w:ind w:left="5562" w:hanging="429"/>
      </w:pPr>
      <w:rPr>
        <w:rFonts w:hint="default"/>
        <w:lang w:val="en-US" w:eastAsia="en-US" w:bidi="ar-SA"/>
      </w:rPr>
    </w:lvl>
    <w:lvl w:ilvl="6">
      <w:start w:val="0"/>
      <w:numFmt w:val="bullet"/>
      <w:lvlText w:val="•"/>
      <w:lvlJc w:val="left"/>
      <w:pPr>
        <w:ind w:left="6537" w:hanging="429"/>
      </w:pPr>
      <w:rPr>
        <w:rFonts w:hint="default"/>
        <w:lang w:val="en-US" w:eastAsia="en-US" w:bidi="ar-SA"/>
      </w:rPr>
    </w:lvl>
    <w:lvl w:ilvl="7">
      <w:start w:val="0"/>
      <w:numFmt w:val="bullet"/>
      <w:lvlText w:val="•"/>
      <w:lvlJc w:val="left"/>
      <w:pPr>
        <w:ind w:left="7513" w:hanging="429"/>
      </w:pPr>
      <w:rPr>
        <w:rFonts w:hint="default"/>
        <w:lang w:val="en-US" w:eastAsia="en-US" w:bidi="ar-SA"/>
      </w:rPr>
    </w:lvl>
    <w:lvl w:ilvl="8">
      <w:start w:val="0"/>
      <w:numFmt w:val="bullet"/>
      <w:lvlText w:val="•"/>
      <w:lvlJc w:val="left"/>
      <w:pPr>
        <w:ind w:left="8488" w:hanging="429"/>
      </w:pPr>
      <w:rPr>
        <w:rFonts w:hint="default"/>
        <w:lang w:val="en-US" w:eastAsia="en-US" w:bidi="ar-SA"/>
      </w:rPr>
    </w:lvl>
  </w:abstractNum>
  <w:abstractNum w:abstractNumId="189">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9"/>
      </w:pPr>
      <w:rPr>
        <w:rFonts w:hint="default"/>
        <w:lang w:val="en-US" w:eastAsia="en-US" w:bidi="ar-SA"/>
      </w:rPr>
    </w:lvl>
    <w:lvl w:ilvl="3">
      <w:start w:val="0"/>
      <w:numFmt w:val="bullet"/>
      <w:lvlText w:val="•"/>
      <w:lvlJc w:val="left"/>
      <w:pPr>
        <w:ind w:left="3268" w:hanging="429"/>
      </w:pPr>
      <w:rPr>
        <w:rFonts w:hint="default"/>
        <w:lang w:val="en-US" w:eastAsia="en-US" w:bidi="ar-SA"/>
      </w:rPr>
    </w:lvl>
    <w:lvl w:ilvl="4">
      <w:start w:val="0"/>
      <w:numFmt w:val="bullet"/>
      <w:lvlText w:val="•"/>
      <w:lvlJc w:val="left"/>
      <w:pPr>
        <w:ind w:left="4293" w:hanging="429"/>
      </w:pPr>
      <w:rPr>
        <w:rFonts w:hint="default"/>
        <w:lang w:val="en-US" w:eastAsia="en-US" w:bidi="ar-SA"/>
      </w:rPr>
    </w:lvl>
    <w:lvl w:ilvl="5">
      <w:start w:val="0"/>
      <w:numFmt w:val="bullet"/>
      <w:lvlText w:val="•"/>
      <w:lvlJc w:val="left"/>
      <w:pPr>
        <w:ind w:left="5317" w:hanging="429"/>
      </w:pPr>
      <w:rPr>
        <w:rFonts w:hint="default"/>
        <w:lang w:val="en-US" w:eastAsia="en-US" w:bidi="ar-SA"/>
      </w:rPr>
    </w:lvl>
    <w:lvl w:ilvl="6">
      <w:start w:val="0"/>
      <w:numFmt w:val="bullet"/>
      <w:lvlText w:val="•"/>
      <w:lvlJc w:val="left"/>
      <w:pPr>
        <w:ind w:left="6342" w:hanging="429"/>
      </w:pPr>
      <w:rPr>
        <w:rFonts w:hint="default"/>
        <w:lang w:val="en-US" w:eastAsia="en-US" w:bidi="ar-SA"/>
      </w:rPr>
    </w:lvl>
    <w:lvl w:ilvl="7">
      <w:start w:val="0"/>
      <w:numFmt w:val="bullet"/>
      <w:lvlText w:val="•"/>
      <w:lvlJc w:val="left"/>
      <w:pPr>
        <w:ind w:left="7366" w:hanging="429"/>
      </w:pPr>
      <w:rPr>
        <w:rFonts w:hint="default"/>
        <w:lang w:val="en-US" w:eastAsia="en-US" w:bidi="ar-SA"/>
      </w:rPr>
    </w:lvl>
    <w:lvl w:ilvl="8">
      <w:start w:val="0"/>
      <w:numFmt w:val="bullet"/>
      <w:lvlText w:val="•"/>
      <w:lvlJc w:val="left"/>
      <w:pPr>
        <w:ind w:left="8391" w:hanging="429"/>
      </w:pPr>
      <w:rPr>
        <w:rFonts w:hint="default"/>
        <w:lang w:val="en-US" w:eastAsia="en-US" w:bidi="ar-SA"/>
      </w:rPr>
    </w:lvl>
  </w:abstractNum>
  <w:abstractNum w:abstractNumId="188">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10"/>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87">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10"/>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86">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97"/>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85">
    <w:multiLevelType w:val="hybridMultilevel"/>
    <w:lvl w:ilvl="0">
      <w:start w:val="1"/>
      <w:numFmt w:val="decimal"/>
      <w:lvlText w:val="%1."/>
      <w:lvlJc w:val="left"/>
      <w:pPr>
        <w:ind w:left="1080" w:hanging="28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016" w:hanging="288"/>
      </w:pPr>
      <w:rPr>
        <w:rFonts w:hint="default"/>
        <w:lang w:val="en-US" w:eastAsia="en-US" w:bidi="ar-SA"/>
      </w:rPr>
    </w:lvl>
    <w:lvl w:ilvl="2">
      <w:start w:val="0"/>
      <w:numFmt w:val="bullet"/>
      <w:lvlText w:val="•"/>
      <w:lvlJc w:val="left"/>
      <w:pPr>
        <w:ind w:left="2952" w:hanging="288"/>
      </w:pPr>
      <w:rPr>
        <w:rFonts w:hint="default"/>
        <w:lang w:val="en-US" w:eastAsia="en-US" w:bidi="ar-SA"/>
      </w:rPr>
    </w:lvl>
    <w:lvl w:ilvl="3">
      <w:start w:val="0"/>
      <w:numFmt w:val="bullet"/>
      <w:lvlText w:val="•"/>
      <w:lvlJc w:val="left"/>
      <w:pPr>
        <w:ind w:left="3888" w:hanging="288"/>
      </w:pPr>
      <w:rPr>
        <w:rFonts w:hint="default"/>
        <w:lang w:val="en-US" w:eastAsia="en-US" w:bidi="ar-SA"/>
      </w:rPr>
    </w:lvl>
    <w:lvl w:ilvl="4">
      <w:start w:val="0"/>
      <w:numFmt w:val="bullet"/>
      <w:lvlText w:val="•"/>
      <w:lvlJc w:val="left"/>
      <w:pPr>
        <w:ind w:left="4824" w:hanging="288"/>
      </w:pPr>
      <w:rPr>
        <w:rFonts w:hint="default"/>
        <w:lang w:val="en-US" w:eastAsia="en-US" w:bidi="ar-SA"/>
      </w:rPr>
    </w:lvl>
    <w:lvl w:ilvl="5">
      <w:start w:val="0"/>
      <w:numFmt w:val="bullet"/>
      <w:lvlText w:val="•"/>
      <w:lvlJc w:val="left"/>
      <w:pPr>
        <w:ind w:left="5760" w:hanging="288"/>
      </w:pPr>
      <w:rPr>
        <w:rFonts w:hint="default"/>
        <w:lang w:val="en-US" w:eastAsia="en-US" w:bidi="ar-SA"/>
      </w:rPr>
    </w:lvl>
    <w:lvl w:ilvl="6">
      <w:start w:val="0"/>
      <w:numFmt w:val="bullet"/>
      <w:lvlText w:val="•"/>
      <w:lvlJc w:val="left"/>
      <w:pPr>
        <w:ind w:left="6696" w:hanging="288"/>
      </w:pPr>
      <w:rPr>
        <w:rFonts w:hint="default"/>
        <w:lang w:val="en-US" w:eastAsia="en-US" w:bidi="ar-SA"/>
      </w:rPr>
    </w:lvl>
    <w:lvl w:ilvl="7">
      <w:start w:val="0"/>
      <w:numFmt w:val="bullet"/>
      <w:lvlText w:val="•"/>
      <w:lvlJc w:val="left"/>
      <w:pPr>
        <w:ind w:left="7632" w:hanging="288"/>
      </w:pPr>
      <w:rPr>
        <w:rFonts w:hint="default"/>
        <w:lang w:val="en-US" w:eastAsia="en-US" w:bidi="ar-SA"/>
      </w:rPr>
    </w:lvl>
    <w:lvl w:ilvl="8">
      <w:start w:val="0"/>
      <w:numFmt w:val="bullet"/>
      <w:lvlText w:val="•"/>
      <w:lvlJc w:val="left"/>
      <w:pPr>
        <w:ind w:left="8568" w:hanging="288"/>
      </w:pPr>
      <w:rPr>
        <w:rFonts w:hint="default"/>
        <w:lang w:val="en-US" w:eastAsia="en-US" w:bidi="ar-SA"/>
      </w:rPr>
    </w:lvl>
  </w:abstractNum>
  <w:abstractNum w:abstractNumId="184">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183">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10"/>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82">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97"/>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81">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81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88" w:hanging="429"/>
      </w:pPr>
      <w:rPr>
        <w:rFonts w:hint="default"/>
        <w:lang w:val="en-US" w:eastAsia="en-US" w:bidi="ar-SA"/>
      </w:rPr>
    </w:lvl>
    <w:lvl w:ilvl="3">
      <w:start w:val="0"/>
      <w:numFmt w:val="bullet"/>
      <w:lvlText w:val="•"/>
      <w:lvlJc w:val="left"/>
      <w:pPr>
        <w:ind w:left="2957" w:hanging="429"/>
      </w:pPr>
      <w:rPr>
        <w:rFonts w:hint="default"/>
        <w:lang w:val="en-US" w:eastAsia="en-US" w:bidi="ar-SA"/>
      </w:rPr>
    </w:lvl>
    <w:lvl w:ilvl="4">
      <w:start w:val="0"/>
      <w:numFmt w:val="bullet"/>
      <w:lvlText w:val="•"/>
      <w:lvlJc w:val="left"/>
      <w:pPr>
        <w:ind w:left="4026" w:hanging="429"/>
      </w:pPr>
      <w:rPr>
        <w:rFonts w:hint="default"/>
        <w:lang w:val="en-US" w:eastAsia="en-US" w:bidi="ar-SA"/>
      </w:rPr>
    </w:lvl>
    <w:lvl w:ilvl="5">
      <w:start w:val="0"/>
      <w:numFmt w:val="bullet"/>
      <w:lvlText w:val="•"/>
      <w:lvlJc w:val="left"/>
      <w:pPr>
        <w:ind w:left="5095" w:hanging="429"/>
      </w:pPr>
      <w:rPr>
        <w:rFonts w:hint="default"/>
        <w:lang w:val="en-US" w:eastAsia="en-US" w:bidi="ar-SA"/>
      </w:rPr>
    </w:lvl>
    <w:lvl w:ilvl="6">
      <w:start w:val="0"/>
      <w:numFmt w:val="bullet"/>
      <w:lvlText w:val="•"/>
      <w:lvlJc w:val="left"/>
      <w:pPr>
        <w:ind w:left="6164" w:hanging="429"/>
      </w:pPr>
      <w:rPr>
        <w:rFonts w:hint="default"/>
        <w:lang w:val="en-US" w:eastAsia="en-US" w:bidi="ar-SA"/>
      </w:rPr>
    </w:lvl>
    <w:lvl w:ilvl="7">
      <w:start w:val="0"/>
      <w:numFmt w:val="bullet"/>
      <w:lvlText w:val="•"/>
      <w:lvlJc w:val="left"/>
      <w:pPr>
        <w:ind w:left="7233" w:hanging="429"/>
      </w:pPr>
      <w:rPr>
        <w:rFonts w:hint="default"/>
        <w:lang w:val="en-US" w:eastAsia="en-US" w:bidi="ar-SA"/>
      </w:rPr>
    </w:lvl>
    <w:lvl w:ilvl="8">
      <w:start w:val="0"/>
      <w:numFmt w:val="bullet"/>
      <w:lvlText w:val="•"/>
      <w:lvlJc w:val="left"/>
      <w:pPr>
        <w:ind w:left="8302" w:hanging="429"/>
      </w:pPr>
      <w:rPr>
        <w:rFonts w:hint="default"/>
        <w:lang w:val="en-US" w:eastAsia="en-US" w:bidi="ar-SA"/>
      </w:rPr>
    </w:lvl>
  </w:abstractNum>
  <w:abstractNum w:abstractNumId="180">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179">
    <w:multiLevelType w:val="hybridMultilevel"/>
    <w:lvl w:ilvl="0">
      <w:start w:val="8"/>
      <w:numFmt w:val="decimal"/>
      <w:lvlText w:val="%1"/>
      <w:lvlJc w:val="left"/>
      <w:pPr>
        <w:ind w:left="1440" w:hanging="1080"/>
        <w:jc w:val="left"/>
      </w:pPr>
      <w:rPr>
        <w:rFonts w:hint="default"/>
        <w:lang w:val="en-US" w:eastAsia="en-US" w:bidi="ar-SA"/>
      </w:rPr>
    </w:lvl>
    <w:lvl w:ilvl="1">
      <w:start w:val="11"/>
      <w:numFmt w:val="decimal"/>
      <w:lvlText w:val="%1-%2"/>
      <w:lvlJc w:val="left"/>
      <w:pPr>
        <w:ind w:left="1440" w:hanging="1080"/>
        <w:jc w:val="left"/>
      </w:pPr>
      <w:rPr>
        <w:rFonts w:hint="default"/>
        <w:lang w:val="en-US" w:eastAsia="en-US" w:bidi="ar-SA"/>
      </w:rPr>
    </w:lvl>
    <w:lvl w:ilvl="2">
      <w:start w:val="23"/>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1"/>
      <w:numFmt w:val="decimal"/>
      <w:lvlText w:val="(%4)"/>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4">
      <w:start w:val="1"/>
      <w:numFmt w:val="upperLetter"/>
      <w:lvlText w:val="(%5)"/>
      <w:lvlJc w:val="left"/>
      <w:pPr>
        <w:ind w:left="1714" w:hanging="455"/>
        <w:jc w:val="left"/>
      </w:pPr>
      <w:rPr>
        <w:rFonts w:hint="default" w:ascii="Arial" w:hAnsi="Arial" w:eastAsia="Arial" w:cs="Arial"/>
        <w:b w:val="0"/>
        <w:bCs w:val="0"/>
        <w:i w:val="0"/>
        <w:iCs w:val="0"/>
        <w:spacing w:val="-1"/>
        <w:w w:val="100"/>
        <w:sz w:val="24"/>
        <w:szCs w:val="24"/>
        <w:lang w:val="en-US" w:eastAsia="en-US" w:bidi="ar-SA"/>
      </w:rPr>
    </w:lvl>
    <w:lvl w:ilvl="5">
      <w:start w:val="0"/>
      <w:numFmt w:val="bullet"/>
      <w:lvlText w:val="•"/>
      <w:lvlJc w:val="left"/>
      <w:pPr>
        <w:ind w:left="4990" w:hanging="455"/>
      </w:pPr>
      <w:rPr>
        <w:rFonts w:hint="default"/>
        <w:lang w:val="en-US" w:eastAsia="en-US" w:bidi="ar-SA"/>
      </w:rPr>
    </w:lvl>
    <w:lvl w:ilvl="6">
      <w:start w:val="0"/>
      <w:numFmt w:val="bullet"/>
      <w:lvlText w:val="•"/>
      <w:lvlJc w:val="left"/>
      <w:pPr>
        <w:ind w:left="6080" w:hanging="455"/>
      </w:pPr>
      <w:rPr>
        <w:rFonts w:hint="default"/>
        <w:lang w:val="en-US" w:eastAsia="en-US" w:bidi="ar-SA"/>
      </w:rPr>
    </w:lvl>
    <w:lvl w:ilvl="7">
      <w:start w:val="0"/>
      <w:numFmt w:val="bullet"/>
      <w:lvlText w:val="•"/>
      <w:lvlJc w:val="left"/>
      <w:pPr>
        <w:ind w:left="7170" w:hanging="455"/>
      </w:pPr>
      <w:rPr>
        <w:rFonts w:hint="default"/>
        <w:lang w:val="en-US" w:eastAsia="en-US" w:bidi="ar-SA"/>
      </w:rPr>
    </w:lvl>
    <w:lvl w:ilvl="8">
      <w:start w:val="0"/>
      <w:numFmt w:val="bullet"/>
      <w:lvlText w:val="•"/>
      <w:lvlJc w:val="left"/>
      <w:pPr>
        <w:ind w:left="8260" w:hanging="455"/>
      </w:pPr>
      <w:rPr>
        <w:rFonts w:hint="default"/>
        <w:lang w:val="en-US" w:eastAsia="en-US" w:bidi="ar-SA"/>
      </w:rPr>
    </w:lvl>
  </w:abstractNum>
  <w:abstractNum w:abstractNumId="178">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97"/>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77">
    <w:multiLevelType w:val="hybridMultilevel"/>
    <w:lvl w:ilvl="0">
      <w:start w:val="1"/>
      <w:numFmt w:val="decimal"/>
      <w:lvlText w:val="%1."/>
      <w:lvlJc w:val="left"/>
      <w:pPr>
        <w:ind w:left="792" w:hanging="252"/>
        <w:jc w:val="left"/>
      </w:pPr>
      <w:rPr>
        <w:rFonts w:hint="default" w:ascii="Arial" w:hAnsi="Arial" w:eastAsia="Arial" w:cs="Arial"/>
        <w:b w:val="0"/>
        <w:bCs w:val="0"/>
        <w:i w:val="0"/>
        <w:iCs w:val="0"/>
        <w:spacing w:val="-1"/>
        <w:w w:val="100"/>
        <w:sz w:val="24"/>
        <w:szCs w:val="24"/>
        <w:lang w:val="en-US" w:eastAsia="en-US" w:bidi="ar-SA"/>
      </w:rPr>
    </w:lvl>
    <w:lvl w:ilvl="1">
      <w:start w:val="1"/>
      <w:numFmt w:val="upperLetter"/>
      <w:lvlText w:val="(%2)"/>
      <w:lvlJc w:val="left"/>
      <w:pPr>
        <w:ind w:left="1678" w:hanging="455"/>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653" w:hanging="455"/>
      </w:pPr>
      <w:rPr>
        <w:rFonts w:hint="default"/>
        <w:lang w:val="en-US" w:eastAsia="en-US" w:bidi="ar-SA"/>
      </w:rPr>
    </w:lvl>
    <w:lvl w:ilvl="3">
      <w:start w:val="0"/>
      <w:numFmt w:val="bullet"/>
      <w:lvlText w:val="•"/>
      <w:lvlJc w:val="left"/>
      <w:pPr>
        <w:ind w:left="3626" w:hanging="455"/>
      </w:pPr>
      <w:rPr>
        <w:rFonts w:hint="default"/>
        <w:lang w:val="en-US" w:eastAsia="en-US" w:bidi="ar-SA"/>
      </w:rPr>
    </w:lvl>
    <w:lvl w:ilvl="4">
      <w:start w:val="0"/>
      <w:numFmt w:val="bullet"/>
      <w:lvlText w:val="•"/>
      <w:lvlJc w:val="left"/>
      <w:pPr>
        <w:ind w:left="4600" w:hanging="455"/>
      </w:pPr>
      <w:rPr>
        <w:rFonts w:hint="default"/>
        <w:lang w:val="en-US" w:eastAsia="en-US" w:bidi="ar-SA"/>
      </w:rPr>
    </w:lvl>
    <w:lvl w:ilvl="5">
      <w:start w:val="0"/>
      <w:numFmt w:val="bullet"/>
      <w:lvlText w:val="•"/>
      <w:lvlJc w:val="left"/>
      <w:pPr>
        <w:ind w:left="5573" w:hanging="455"/>
      </w:pPr>
      <w:rPr>
        <w:rFonts w:hint="default"/>
        <w:lang w:val="en-US" w:eastAsia="en-US" w:bidi="ar-SA"/>
      </w:rPr>
    </w:lvl>
    <w:lvl w:ilvl="6">
      <w:start w:val="0"/>
      <w:numFmt w:val="bullet"/>
      <w:lvlText w:val="•"/>
      <w:lvlJc w:val="left"/>
      <w:pPr>
        <w:ind w:left="6546" w:hanging="455"/>
      </w:pPr>
      <w:rPr>
        <w:rFonts w:hint="default"/>
        <w:lang w:val="en-US" w:eastAsia="en-US" w:bidi="ar-SA"/>
      </w:rPr>
    </w:lvl>
    <w:lvl w:ilvl="7">
      <w:start w:val="0"/>
      <w:numFmt w:val="bullet"/>
      <w:lvlText w:val="•"/>
      <w:lvlJc w:val="left"/>
      <w:pPr>
        <w:ind w:left="7520" w:hanging="455"/>
      </w:pPr>
      <w:rPr>
        <w:rFonts w:hint="default"/>
        <w:lang w:val="en-US" w:eastAsia="en-US" w:bidi="ar-SA"/>
      </w:rPr>
    </w:lvl>
    <w:lvl w:ilvl="8">
      <w:start w:val="0"/>
      <w:numFmt w:val="bullet"/>
      <w:lvlText w:val="•"/>
      <w:lvlJc w:val="left"/>
      <w:pPr>
        <w:ind w:left="8493" w:hanging="455"/>
      </w:pPr>
      <w:rPr>
        <w:rFonts w:hint="default"/>
        <w:lang w:val="en-US" w:eastAsia="en-US" w:bidi="ar-SA"/>
      </w:rPr>
    </w:lvl>
  </w:abstractNum>
  <w:abstractNum w:abstractNumId="176">
    <w:multiLevelType w:val="hybridMultilevel"/>
    <w:lvl w:ilvl="0">
      <w:start w:val="1"/>
      <w:numFmt w:val="lowerLetter"/>
      <w:lvlText w:val="(%1)"/>
      <w:lvlJc w:val="left"/>
      <w:pPr>
        <w:ind w:left="787"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2372" w:hanging="455"/>
      </w:pPr>
      <w:rPr>
        <w:rFonts w:hint="default"/>
        <w:lang w:val="en-US" w:eastAsia="en-US" w:bidi="ar-SA"/>
      </w:rPr>
    </w:lvl>
    <w:lvl w:ilvl="4">
      <w:start w:val="0"/>
      <w:numFmt w:val="bullet"/>
      <w:lvlText w:val="•"/>
      <w:lvlJc w:val="left"/>
      <w:pPr>
        <w:ind w:left="3525" w:hanging="455"/>
      </w:pPr>
      <w:rPr>
        <w:rFonts w:hint="default"/>
        <w:lang w:val="en-US" w:eastAsia="en-US" w:bidi="ar-SA"/>
      </w:rPr>
    </w:lvl>
    <w:lvl w:ilvl="5">
      <w:start w:val="0"/>
      <w:numFmt w:val="bullet"/>
      <w:lvlText w:val="•"/>
      <w:lvlJc w:val="left"/>
      <w:pPr>
        <w:ind w:left="4677" w:hanging="455"/>
      </w:pPr>
      <w:rPr>
        <w:rFonts w:hint="default"/>
        <w:lang w:val="en-US" w:eastAsia="en-US" w:bidi="ar-SA"/>
      </w:rPr>
    </w:lvl>
    <w:lvl w:ilvl="6">
      <w:start w:val="0"/>
      <w:numFmt w:val="bullet"/>
      <w:lvlText w:val="•"/>
      <w:lvlJc w:val="left"/>
      <w:pPr>
        <w:ind w:left="5830" w:hanging="455"/>
      </w:pPr>
      <w:rPr>
        <w:rFonts w:hint="default"/>
        <w:lang w:val="en-US" w:eastAsia="en-US" w:bidi="ar-SA"/>
      </w:rPr>
    </w:lvl>
    <w:lvl w:ilvl="7">
      <w:start w:val="0"/>
      <w:numFmt w:val="bullet"/>
      <w:lvlText w:val="•"/>
      <w:lvlJc w:val="left"/>
      <w:pPr>
        <w:ind w:left="6982" w:hanging="455"/>
      </w:pPr>
      <w:rPr>
        <w:rFonts w:hint="default"/>
        <w:lang w:val="en-US" w:eastAsia="en-US" w:bidi="ar-SA"/>
      </w:rPr>
    </w:lvl>
    <w:lvl w:ilvl="8">
      <w:start w:val="0"/>
      <w:numFmt w:val="bullet"/>
      <w:lvlText w:val="•"/>
      <w:lvlJc w:val="left"/>
      <w:pPr>
        <w:ind w:left="8135" w:hanging="455"/>
      </w:pPr>
      <w:rPr>
        <w:rFonts w:hint="default"/>
        <w:lang w:val="en-US" w:eastAsia="en-US" w:bidi="ar-SA"/>
      </w:rPr>
    </w:lvl>
  </w:abstractNum>
  <w:abstractNum w:abstractNumId="175">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810" w:hanging="429"/>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714" w:hanging="455"/>
        <w:jc w:val="left"/>
      </w:pPr>
      <w:rPr>
        <w:rFonts w:hint="default" w:ascii="Arial" w:hAnsi="Arial" w:eastAsia="Arial" w:cs="Arial"/>
        <w:b w:val="0"/>
        <w:bCs w:val="0"/>
        <w:i w:val="0"/>
        <w:iCs w:val="0"/>
        <w:spacing w:val="-1"/>
        <w:w w:val="100"/>
        <w:sz w:val="24"/>
        <w:szCs w:val="24"/>
        <w:lang w:val="en-US" w:eastAsia="en-US" w:bidi="ar-SA"/>
      </w:rPr>
    </w:lvl>
    <w:lvl w:ilvl="3">
      <w:start w:val="1"/>
      <w:numFmt w:val="lowerRoman"/>
      <w:lvlText w:val="(%4)"/>
      <w:lvlJc w:val="left"/>
      <w:pPr>
        <w:ind w:left="1710" w:hanging="348"/>
        <w:jc w:val="left"/>
      </w:pPr>
      <w:rPr>
        <w:rFonts w:hint="default" w:ascii="Arial" w:hAnsi="Arial" w:eastAsia="Arial" w:cs="Arial"/>
        <w:b w:val="0"/>
        <w:bCs w:val="0"/>
        <w:i w:val="0"/>
        <w:iCs w:val="0"/>
        <w:spacing w:val="-1"/>
        <w:w w:val="100"/>
        <w:sz w:val="24"/>
        <w:szCs w:val="24"/>
        <w:lang w:val="en-US" w:eastAsia="en-US" w:bidi="ar-SA"/>
      </w:rPr>
    </w:lvl>
    <w:lvl w:ilvl="4">
      <w:start w:val="0"/>
      <w:numFmt w:val="bullet"/>
      <w:lvlText w:val="•"/>
      <w:lvlJc w:val="left"/>
      <w:pPr>
        <w:ind w:left="2965" w:hanging="348"/>
      </w:pPr>
      <w:rPr>
        <w:rFonts w:hint="default"/>
        <w:lang w:val="en-US" w:eastAsia="en-US" w:bidi="ar-SA"/>
      </w:rPr>
    </w:lvl>
    <w:lvl w:ilvl="5">
      <w:start w:val="0"/>
      <w:numFmt w:val="bullet"/>
      <w:lvlText w:val="•"/>
      <w:lvlJc w:val="left"/>
      <w:pPr>
        <w:ind w:left="4211" w:hanging="348"/>
      </w:pPr>
      <w:rPr>
        <w:rFonts w:hint="default"/>
        <w:lang w:val="en-US" w:eastAsia="en-US" w:bidi="ar-SA"/>
      </w:rPr>
    </w:lvl>
    <w:lvl w:ilvl="6">
      <w:start w:val="0"/>
      <w:numFmt w:val="bullet"/>
      <w:lvlText w:val="•"/>
      <w:lvlJc w:val="left"/>
      <w:pPr>
        <w:ind w:left="5457" w:hanging="348"/>
      </w:pPr>
      <w:rPr>
        <w:rFonts w:hint="default"/>
        <w:lang w:val="en-US" w:eastAsia="en-US" w:bidi="ar-SA"/>
      </w:rPr>
    </w:lvl>
    <w:lvl w:ilvl="7">
      <w:start w:val="0"/>
      <w:numFmt w:val="bullet"/>
      <w:lvlText w:val="•"/>
      <w:lvlJc w:val="left"/>
      <w:pPr>
        <w:ind w:left="6702" w:hanging="348"/>
      </w:pPr>
      <w:rPr>
        <w:rFonts w:hint="default"/>
        <w:lang w:val="en-US" w:eastAsia="en-US" w:bidi="ar-SA"/>
      </w:rPr>
    </w:lvl>
    <w:lvl w:ilvl="8">
      <w:start w:val="0"/>
      <w:numFmt w:val="bullet"/>
      <w:lvlText w:val="•"/>
      <w:lvlJc w:val="left"/>
      <w:pPr>
        <w:ind w:left="7948" w:hanging="348"/>
      </w:pPr>
      <w:rPr>
        <w:rFonts w:hint="default"/>
        <w:lang w:val="en-US" w:eastAsia="en-US" w:bidi="ar-SA"/>
      </w:rPr>
    </w:lvl>
  </w:abstractNum>
  <w:abstractNum w:abstractNumId="174">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6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80" w:hanging="429"/>
      </w:pPr>
      <w:rPr>
        <w:rFonts w:hint="default"/>
        <w:lang w:val="en-US" w:eastAsia="en-US" w:bidi="ar-SA"/>
      </w:rPr>
    </w:lvl>
    <w:lvl w:ilvl="3">
      <w:start w:val="0"/>
      <w:numFmt w:val="bullet"/>
      <w:lvlText w:val="•"/>
      <w:lvlJc w:val="left"/>
      <w:pPr>
        <w:ind w:left="3300" w:hanging="429"/>
      </w:pPr>
      <w:rPr>
        <w:rFonts w:hint="default"/>
        <w:lang w:val="en-US" w:eastAsia="en-US" w:bidi="ar-SA"/>
      </w:rPr>
    </w:lvl>
    <w:lvl w:ilvl="4">
      <w:start w:val="0"/>
      <w:numFmt w:val="bullet"/>
      <w:lvlText w:val="•"/>
      <w:lvlJc w:val="left"/>
      <w:pPr>
        <w:ind w:left="4320" w:hanging="429"/>
      </w:pPr>
      <w:rPr>
        <w:rFonts w:hint="default"/>
        <w:lang w:val="en-US" w:eastAsia="en-US" w:bidi="ar-SA"/>
      </w:rPr>
    </w:lvl>
    <w:lvl w:ilvl="5">
      <w:start w:val="0"/>
      <w:numFmt w:val="bullet"/>
      <w:lvlText w:val="•"/>
      <w:lvlJc w:val="left"/>
      <w:pPr>
        <w:ind w:left="5340" w:hanging="429"/>
      </w:pPr>
      <w:rPr>
        <w:rFonts w:hint="default"/>
        <w:lang w:val="en-US" w:eastAsia="en-US" w:bidi="ar-SA"/>
      </w:rPr>
    </w:lvl>
    <w:lvl w:ilvl="6">
      <w:start w:val="0"/>
      <w:numFmt w:val="bullet"/>
      <w:lvlText w:val="•"/>
      <w:lvlJc w:val="left"/>
      <w:pPr>
        <w:ind w:left="6360" w:hanging="429"/>
      </w:pPr>
      <w:rPr>
        <w:rFonts w:hint="default"/>
        <w:lang w:val="en-US" w:eastAsia="en-US" w:bidi="ar-SA"/>
      </w:rPr>
    </w:lvl>
    <w:lvl w:ilvl="7">
      <w:start w:val="0"/>
      <w:numFmt w:val="bullet"/>
      <w:lvlText w:val="•"/>
      <w:lvlJc w:val="left"/>
      <w:pPr>
        <w:ind w:left="7380" w:hanging="429"/>
      </w:pPr>
      <w:rPr>
        <w:rFonts w:hint="default"/>
        <w:lang w:val="en-US" w:eastAsia="en-US" w:bidi="ar-SA"/>
      </w:rPr>
    </w:lvl>
    <w:lvl w:ilvl="8">
      <w:start w:val="0"/>
      <w:numFmt w:val="bullet"/>
      <w:lvlText w:val="•"/>
      <w:lvlJc w:val="left"/>
      <w:pPr>
        <w:ind w:left="8400" w:hanging="429"/>
      </w:pPr>
      <w:rPr>
        <w:rFonts w:hint="default"/>
        <w:lang w:val="en-US" w:eastAsia="en-US" w:bidi="ar-SA"/>
      </w:rPr>
    </w:lvl>
  </w:abstractNum>
  <w:abstractNum w:abstractNumId="173">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17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191" w:hanging="429"/>
      </w:pPr>
      <w:rPr>
        <w:rFonts w:hint="default"/>
        <w:lang w:val="en-US" w:eastAsia="en-US" w:bidi="ar-SA"/>
      </w:rPr>
    </w:lvl>
    <w:lvl w:ilvl="3">
      <w:start w:val="0"/>
      <w:numFmt w:val="bullet"/>
      <w:lvlText w:val="•"/>
      <w:lvlJc w:val="left"/>
      <w:pPr>
        <w:ind w:left="3222" w:hanging="429"/>
      </w:pPr>
      <w:rPr>
        <w:rFonts w:hint="default"/>
        <w:lang w:val="en-US" w:eastAsia="en-US" w:bidi="ar-SA"/>
      </w:rPr>
    </w:lvl>
    <w:lvl w:ilvl="4">
      <w:start w:val="0"/>
      <w:numFmt w:val="bullet"/>
      <w:lvlText w:val="•"/>
      <w:lvlJc w:val="left"/>
      <w:pPr>
        <w:ind w:left="4253" w:hanging="429"/>
      </w:pPr>
      <w:rPr>
        <w:rFonts w:hint="default"/>
        <w:lang w:val="en-US" w:eastAsia="en-US" w:bidi="ar-SA"/>
      </w:rPr>
    </w:lvl>
    <w:lvl w:ilvl="5">
      <w:start w:val="0"/>
      <w:numFmt w:val="bullet"/>
      <w:lvlText w:val="•"/>
      <w:lvlJc w:val="left"/>
      <w:pPr>
        <w:ind w:left="5284" w:hanging="429"/>
      </w:pPr>
      <w:rPr>
        <w:rFonts w:hint="default"/>
        <w:lang w:val="en-US" w:eastAsia="en-US" w:bidi="ar-SA"/>
      </w:rPr>
    </w:lvl>
    <w:lvl w:ilvl="6">
      <w:start w:val="0"/>
      <w:numFmt w:val="bullet"/>
      <w:lvlText w:val="•"/>
      <w:lvlJc w:val="left"/>
      <w:pPr>
        <w:ind w:left="6315" w:hanging="429"/>
      </w:pPr>
      <w:rPr>
        <w:rFonts w:hint="default"/>
        <w:lang w:val="en-US" w:eastAsia="en-US" w:bidi="ar-SA"/>
      </w:rPr>
    </w:lvl>
    <w:lvl w:ilvl="7">
      <w:start w:val="0"/>
      <w:numFmt w:val="bullet"/>
      <w:lvlText w:val="•"/>
      <w:lvlJc w:val="left"/>
      <w:pPr>
        <w:ind w:left="7346" w:hanging="429"/>
      </w:pPr>
      <w:rPr>
        <w:rFonts w:hint="default"/>
        <w:lang w:val="en-US" w:eastAsia="en-US" w:bidi="ar-SA"/>
      </w:rPr>
    </w:lvl>
    <w:lvl w:ilvl="8">
      <w:start w:val="0"/>
      <w:numFmt w:val="bullet"/>
      <w:lvlText w:val="•"/>
      <w:lvlJc w:val="left"/>
      <w:pPr>
        <w:ind w:left="8377" w:hanging="429"/>
      </w:pPr>
      <w:rPr>
        <w:rFonts w:hint="default"/>
        <w:lang w:val="en-US" w:eastAsia="en-US" w:bidi="ar-SA"/>
      </w:rPr>
    </w:lvl>
  </w:abstractNum>
  <w:abstractNum w:abstractNumId="172">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9"/>
      </w:pPr>
      <w:rPr>
        <w:rFonts w:hint="default"/>
        <w:lang w:val="en-US" w:eastAsia="en-US" w:bidi="ar-SA"/>
      </w:rPr>
    </w:lvl>
    <w:lvl w:ilvl="3">
      <w:start w:val="0"/>
      <w:numFmt w:val="bullet"/>
      <w:lvlText w:val="•"/>
      <w:lvlJc w:val="left"/>
      <w:pPr>
        <w:ind w:left="3268" w:hanging="429"/>
      </w:pPr>
      <w:rPr>
        <w:rFonts w:hint="default"/>
        <w:lang w:val="en-US" w:eastAsia="en-US" w:bidi="ar-SA"/>
      </w:rPr>
    </w:lvl>
    <w:lvl w:ilvl="4">
      <w:start w:val="0"/>
      <w:numFmt w:val="bullet"/>
      <w:lvlText w:val="•"/>
      <w:lvlJc w:val="left"/>
      <w:pPr>
        <w:ind w:left="4293" w:hanging="429"/>
      </w:pPr>
      <w:rPr>
        <w:rFonts w:hint="default"/>
        <w:lang w:val="en-US" w:eastAsia="en-US" w:bidi="ar-SA"/>
      </w:rPr>
    </w:lvl>
    <w:lvl w:ilvl="5">
      <w:start w:val="0"/>
      <w:numFmt w:val="bullet"/>
      <w:lvlText w:val="•"/>
      <w:lvlJc w:val="left"/>
      <w:pPr>
        <w:ind w:left="5317" w:hanging="429"/>
      </w:pPr>
      <w:rPr>
        <w:rFonts w:hint="default"/>
        <w:lang w:val="en-US" w:eastAsia="en-US" w:bidi="ar-SA"/>
      </w:rPr>
    </w:lvl>
    <w:lvl w:ilvl="6">
      <w:start w:val="0"/>
      <w:numFmt w:val="bullet"/>
      <w:lvlText w:val="•"/>
      <w:lvlJc w:val="left"/>
      <w:pPr>
        <w:ind w:left="6342" w:hanging="429"/>
      </w:pPr>
      <w:rPr>
        <w:rFonts w:hint="default"/>
        <w:lang w:val="en-US" w:eastAsia="en-US" w:bidi="ar-SA"/>
      </w:rPr>
    </w:lvl>
    <w:lvl w:ilvl="7">
      <w:start w:val="0"/>
      <w:numFmt w:val="bullet"/>
      <w:lvlText w:val="•"/>
      <w:lvlJc w:val="left"/>
      <w:pPr>
        <w:ind w:left="7366" w:hanging="429"/>
      </w:pPr>
      <w:rPr>
        <w:rFonts w:hint="default"/>
        <w:lang w:val="en-US" w:eastAsia="en-US" w:bidi="ar-SA"/>
      </w:rPr>
    </w:lvl>
    <w:lvl w:ilvl="8">
      <w:start w:val="0"/>
      <w:numFmt w:val="bullet"/>
      <w:lvlText w:val="•"/>
      <w:lvlJc w:val="left"/>
      <w:pPr>
        <w:ind w:left="8391" w:hanging="429"/>
      </w:pPr>
      <w:rPr>
        <w:rFonts w:hint="default"/>
        <w:lang w:val="en-US" w:eastAsia="en-US" w:bidi="ar-SA"/>
      </w:rPr>
    </w:lvl>
  </w:abstractNum>
  <w:abstractNum w:abstractNumId="171">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170">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10"/>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69">
    <w:multiLevelType w:val="hybridMultilevel"/>
    <w:lvl w:ilvl="0">
      <w:start w:val="1"/>
      <w:numFmt w:val="decimal"/>
      <w:lvlText w:val="%1."/>
      <w:lvlJc w:val="left"/>
      <w:pPr>
        <w:ind w:left="792" w:hanging="28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288"/>
      </w:pPr>
      <w:rPr>
        <w:rFonts w:hint="default"/>
        <w:lang w:val="en-US" w:eastAsia="en-US" w:bidi="ar-SA"/>
      </w:rPr>
    </w:lvl>
    <w:lvl w:ilvl="2">
      <w:start w:val="0"/>
      <w:numFmt w:val="bullet"/>
      <w:lvlText w:val="•"/>
      <w:lvlJc w:val="left"/>
      <w:pPr>
        <w:ind w:left="2728" w:hanging="288"/>
      </w:pPr>
      <w:rPr>
        <w:rFonts w:hint="default"/>
        <w:lang w:val="en-US" w:eastAsia="en-US" w:bidi="ar-SA"/>
      </w:rPr>
    </w:lvl>
    <w:lvl w:ilvl="3">
      <w:start w:val="0"/>
      <w:numFmt w:val="bullet"/>
      <w:lvlText w:val="•"/>
      <w:lvlJc w:val="left"/>
      <w:pPr>
        <w:ind w:left="3692" w:hanging="288"/>
      </w:pPr>
      <w:rPr>
        <w:rFonts w:hint="default"/>
        <w:lang w:val="en-US" w:eastAsia="en-US" w:bidi="ar-SA"/>
      </w:rPr>
    </w:lvl>
    <w:lvl w:ilvl="4">
      <w:start w:val="0"/>
      <w:numFmt w:val="bullet"/>
      <w:lvlText w:val="•"/>
      <w:lvlJc w:val="left"/>
      <w:pPr>
        <w:ind w:left="4656" w:hanging="288"/>
      </w:pPr>
      <w:rPr>
        <w:rFonts w:hint="default"/>
        <w:lang w:val="en-US" w:eastAsia="en-US" w:bidi="ar-SA"/>
      </w:rPr>
    </w:lvl>
    <w:lvl w:ilvl="5">
      <w:start w:val="0"/>
      <w:numFmt w:val="bullet"/>
      <w:lvlText w:val="•"/>
      <w:lvlJc w:val="left"/>
      <w:pPr>
        <w:ind w:left="5620" w:hanging="288"/>
      </w:pPr>
      <w:rPr>
        <w:rFonts w:hint="default"/>
        <w:lang w:val="en-US" w:eastAsia="en-US" w:bidi="ar-SA"/>
      </w:rPr>
    </w:lvl>
    <w:lvl w:ilvl="6">
      <w:start w:val="0"/>
      <w:numFmt w:val="bullet"/>
      <w:lvlText w:val="•"/>
      <w:lvlJc w:val="left"/>
      <w:pPr>
        <w:ind w:left="6584" w:hanging="288"/>
      </w:pPr>
      <w:rPr>
        <w:rFonts w:hint="default"/>
        <w:lang w:val="en-US" w:eastAsia="en-US" w:bidi="ar-SA"/>
      </w:rPr>
    </w:lvl>
    <w:lvl w:ilvl="7">
      <w:start w:val="0"/>
      <w:numFmt w:val="bullet"/>
      <w:lvlText w:val="•"/>
      <w:lvlJc w:val="left"/>
      <w:pPr>
        <w:ind w:left="7548" w:hanging="288"/>
      </w:pPr>
      <w:rPr>
        <w:rFonts w:hint="default"/>
        <w:lang w:val="en-US" w:eastAsia="en-US" w:bidi="ar-SA"/>
      </w:rPr>
    </w:lvl>
    <w:lvl w:ilvl="8">
      <w:start w:val="0"/>
      <w:numFmt w:val="bullet"/>
      <w:lvlText w:val="•"/>
      <w:lvlJc w:val="left"/>
      <w:pPr>
        <w:ind w:left="8512" w:hanging="288"/>
      </w:pPr>
      <w:rPr>
        <w:rFonts w:hint="default"/>
        <w:lang w:val="en-US" w:eastAsia="en-US" w:bidi="ar-SA"/>
      </w:rPr>
    </w:lvl>
  </w:abstractNum>
  <w:abstractNum w:abstractNumId="168">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820" w:hanging="429"/>
      </w:pPr>
      <w:rPr>
        <w:rFonts w:hint="default"/>
        <w:lang w:val="en-US" w:eastAsia="en-US" w:bidi="ar-SA"/>
      </w:rPr>
    </w:lvl>
    <w:lvl w:ilvl="3">
      <w:start w:val="0"/>
      <w:numFmt w:val="bullet"/>
      <w:lvlText w:val="•"/>
      <w:lvlJc w:val="left"/>
      <w:pPr>
        <w:ind w:left="2022" w:hanging="429"/>
      </w:pPr>
      <w:rPr>
        <w:rFonts w:hint="default"/>
        <w:lang w:val="en-US" w:eastAsia="en-US" w:bidi="ar-SA"/>
      </w:rPr>
    </w:lvl>
    <w:lvl w:ilvl="4">
      <w:start w:val="0"/>
      <w:numFmt w:val="bullet"/>
      <w:lvlText w:val="•"/>
      <w:lvlJc w:val="left"/>
      <w:pPr>
        <w:ind w:left="3225" w:hanging="429"/>
      </w:pPr>
      <w:rPr>
        <w:rFonts w:hint="default"/>
        <w:lang w:val="en-US" w:eastAsia="en-US" w:bidi="ar-SA"/>
      </w:rPr>
    </w:lvl>
    <w:lvl w:ilvl="5">
      <w:start w:val="0"/>
      <w:numFmt w:val="bullet"/>
      <w:lvlText w:val="•"/>
      <w:lvlJc w:val="left"/>
      <w:pPr>
        <w:ind w:left="4427" w:hanging="429"/>
      </w:pPr>
      <w:rPr>
        <w:rFonts w:hint="default"/>
        <w:lang w:val="en-US" w:eastAsia="en-US" w:bidi="ar-SA"/>
      </w:rPr>
    </w:lvl>
    <w:lvl w:ilvl="6">
      <w:start w:val="0"/>
      <w:numFmt w:val="bullet"/>
      <w:lvlText w:val="•"/>
      <w:lvlJc w:val="left"/>
      <w:pPr>
        <w:ind w:left="5630" w:hanging="429"/>
      </w:pPr>
      <w:rPr>
        <w:rFonts w:hint="default"/>
        <w:lang w:val="en-US" w:eastAsia="en-US" w:bidi="ar-SA"/>
      </w:rPr>
    </w:lvl>
    <w:lvl w:ilvl="7">
      <w:start w:val="0"/>
      <w:numFmt w:val="bullet"/>
      <w:lvlText w:val="•"/>
      <w:lvlJc w:val="left"/>
      <w:pPr>
        <w:ind w:left="6832" w:hanging="429"/>
      </w:pPr>
      <w:rPr>
        <w:rFonts w:hint="default"/>
        <w:lang w:val="en-US" w:eastAsia="en-US" w:bidi="ar-SA"/>
      </w:rPr>
    </w:lvl>
    <w:lvl w:ilvl="8">
      <w:start w:val="0"/>
      <w:numFmt w:val="bullet"/>
      <w:lvlText w:val="•"/>
      <w:lvlJc w:val="left"/>
      <w:pPr>
        <w:ind w:left="8035" w:hanging="429"/>
      </w:pPr>
      <w:rPr>
        <w:rFonts w:hint="default"/>
        <w:lang w:val="en-US" w:eastAsia="en-US" w:bidi="ar-SA"/>
      </w:rPr>
    </w:lvl>
  </w:abstractNum>
  <w:abstractNum w:abstractNumId="167">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95"/>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66">
    <w:multiLevelType w:val="hybridMultilevel"/>
    <w:lvl w:ilvl="0">
      <w:start w:val="1"/>
      <w:numFmt w:val="decimal"/>
      <w:lvlText w:val="%1."/>
      <w:lvlJc w:val="left"/>
      <w:pPr>
        <w:ind w:left="792" w:hanging="28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288"/>
      </w:pPr>
      <w:rPr>
        <w:rFonts w:hint="default"/>
        <w:lang w:val="en-US" w:eastAsia="en-US" w:bidi="ar-SA"/>
      </w:rPr>
    </w:lvl>
    <w:lvl w:ilvl="2">
      <w:start w:val="0"/>
      <w:numFmt w:val="bullet"/>
      <w:lvlText w:val="•"/>
      <w:lvlJc w:val="left"/>
      <w:pPr>
        <w:ind w:left="2728" w:hanging="288"/>
      </w:pPr>
      <w:rPr>
        <w:rFonts w:hint="default"/>
        <w:lang w:val="en-US" w:eastAsia="en-US" w:bidi="ar-SA"/>
      </w:rPr>
    </w:lvl>
    <w:lvl w:ilvl="3">
      <w:start w:val="0"/>
      <w:numFmt w:val="bullet"/>
      <w:lvlText w:val="•"/>
      <w:lvlJc w:val="left"/>
      <w:pPr>
        <w:ind w:left="3692" w:hanging="288"/>
      </w:pPr>
      <w:rPr>
        <w:rFonts w:hint="default"/>
        <w:lang w:val="en-US" w:eastAsia="en-US" w:bidi="ar-SA"/>
      </w:rPr>
    </w:lvl>
    <w:lvl w:ilvl="4">
      <w:start w:val="0"/>
      <w:numFmt w:val="bullet"/>
      <w:lvlText w:val="•"/>
      <w:lvlJc w:val="left"/>
      <w:pPr>
        <w:ind w:left="4656" w:hanging="288"/>
      </w:pPr>
      <w:rPr>
        <w:rFonts w:hint="default"/>
        <w:lang w:val="en-US" w:eastAsia="en-US" w:bidi="ar-SA"/>
      </w:rPr>
    </w:lvl>
    <w:lvl w:ilvl="5">
      <w:start w:val="0"/>
      <w:numFmt w:val="bullet"/>
      <w:lvlText w:val="•"/>
      <w:lvlJc w:val="left"/>
      <w:pPr>
        <w:ind w:left="5620" w:hanging="288"/>
      </w:pPr>
      <w:rPr>
        <w:rFonts w:hint="default"/>
        <w:lang w:val="en-US" w:eastAsia="en-US" w:bidi="ar-SA"/>
      </w:rPr>
    </w:lvl>
    <w:lvl w:ilvl="6">
      <w:start w:val="0"/>
      <w:numFmt w:val="bullet"/>
      <w:lvlText w:val="•"/>
      <w:lvlJc w:val="left"/>
      <w:pPr>
        <w:ind w:left="6584" w:hanging="288"/>
      </w:pPr>
      <w:rPr>
        <w:rFonts w:hint="default"/>
        <w:lang w:val="en-US" w:eastAsia="en-US" w:bidi="ar-SA"/>
      </w:rPr>
    </w:lvl>
    <w:lvl w:ilvl="7">
      <w:start w:val="0"/>
      <w:numFmt w:val="bullet"/>
      <w:lvlText w:val="•"/>
      <w:lvlJc w:val="left"/>
      <w:pPr>
        <w:ind w:left="7548" w:hanging="288"/>
      </w:pPr>
      <w:rPr>
        <w:rFonts w:hint="default"/>
        <w:lang w:val="en-US" w:eastAsia="en-US" w:bidi="ar-SA"/>
      </w:rPr>
    </w:lvl>
    <w:lvl w:ilvl="8">
      <w:start w:val="0"/>
      <w:numFmt w:val="bullet"/>
      <w:lvlText w:val="•"/>
      <w:lvlJc w:val="left"/>
      <w:pPr>
        <w:ind w:left="8512" w:hanging="288"/>
      </w:pPr>
      <w:rPr>
        <w:rFonts w:hint="default"/>
        <w:lang w:val="en-US" w:eastAsia="en-US" w:bidi="ar-SA"/>
      </w:rPr>
    </w:lvl>
  </w:abstractNum>
  <w:abstractNum w:abstractNumId="165">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810" w:hanging="42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820" w:hanging="428"/>
      </w:pPr>
      <w:rPr>
        <w:rFonts w:hint="default"/>
        <w:lang w:val="en-US" w:eastAsia="en-US" w:bidi="ar-SA"/>
      </w:rPr>
    </w:lvl>
    <w:lvl w:ilvl="3">
      <w:start w:val="0"/>
      <w:numFmt w:val="bullet"/>
      <w:lvlText w:val="•"/>
      <w:lvlJc w:val="left"/>
      <w:pPr>
        <w:ind w:left="1220" w:hanging="428"/>
      </w:pPr>
      <w:rPr>
        <w:rFonts w:hint="default"/>
        <w:lang w:val="en-US" w:eastAsia="en-US" w:bidi="ar-SA"/>
      </w:rPr>
    </w:lvl>
    <w:lvl w:ilvl="4">
      <w:start w:val="0"/>
      <w:numFmt w:val="bullet"/>
      <w:lvlText w:val="•"/>
      <w:lvlJc w:val="left"/>
      <w:pPr>
        <w:ind w:left="2537" w:hanging="428"/>
      </w:pPr>
      <w:rPr>
        <w:rFonts w:hint="default"/>
        <w:lang w:val="en-US" w:eastAsia="en-US" w:bidi="ar-SA"/>
      </w:rPr>
    </w:lvl>
    <w:lvl w:ilvl="5">
      <w:start w:val="0"/>
      <w:numFmt w:val="bullet"/>
      <w:lvlText w:val="•"/>
      <w:lvlJc w:val="left"/>
      <w:pPr>
        <w:ind w:left="3854" w:hanging="428"/>
      </w:pPr>
      <w:rPr>
        <w:rFonts w:hint="default"/>
        <w:lang w:val="en-US" w:eastAsia="en-US" w:bidi="ar-SA"/>
      </w:rPr>
    </w:lvl>
    <w:lvl w:ilvl="6">
      <w:start w:val="0"/>
      <w:numFmt w:val="bullet"/>
      <w:lvlText w:val="•"/>
      <w:lvlJc w:val="left"/>
      <w:pPr>
        <w:ind w:left="5171" w:hanging="428"/>
      </w:pPr>
      <w:rPr>
        <w:rFonts w:hint="default"/>
        <w:lang w:val="en-US" w:eastAsia="en-US" w:bidi="ar-SA"/>
      </w:rPr>
    </w:lvl>
    <w:lvl w:ilvl="7">
      <w:start w:val="0"/>
      <w:numFmt w:val="bullet"/>
      <w:lvlText w:val="•"/>
      <w:lvlJc w:val="left"/>
      <w:pPr>
        <w:ind w:left="6488" w:hanging="428"/>
      </w:pPr>
      <w:rPr>
        <w:rFonts w:hint="default"/>
        <w:lang w:val="en-US" w:eastAsia="en-US" w:bidi="ar-SA"/>
      </w:rPr>
    </w:lvl>
    <w:lvl w:ilvl="8">
      <w:start w:val="0"/>
      <w:numFmt w:val="bullet"/>
      <w:lvlText w:val="•"/>
      <w:lvlJc w:val="left"/>
      <w:pPr>
        <w:ind w:left="7805" w:hanging="428"/>
      </w:pPr>
      <w:rPr>
        <w:rFonts w:hint="default"/>
        <w:lang w:val="en-US" w:eastAsia="en-US" w:bidi="ar-SA"/>
      </w:rPr>
    </w:lvl>
  </w:abstractNum>
  <w:abstractNum w:abstractNumId="164">
    <w:multiLevelType w:val="hybridMultilevel"/>
    <w:lvl w:ilvl="0">
      <w:start w:val="1"/>
      <w:numFmt w:val="decimal"/>
      <w:lvlText w:val="%1."/>
      <w:lvlJc w:val="left"/>
      <w:pPr>
        <w:ind w:left="1080" w:hanging="288"/>
        <w:jc w:val="left"/>
      </w:pPr>
      <w:rPr>
        <w:rFonts w:hint="default" w:ascii="Arial" w:hAnsi="Arial" w:eastAsia="Arial" w:cs="Arial"/>
        <w:b w:val="0"/>
        <w:bCs w:val="0"/>
        <w:i w:val="0"/>
        <w:iCs w:val="0"/>
        <w:spacing w:val="-1"/>
        <w:w w:val="100"/>
        <w:sz w:val="24"/>
        <w:szCs w:val="24"/>
        <w:lang w:val="en-US" w:eastAsia="en-US" w:bidi="ar-SA"/>
      </w:rPr>
    </w:lvl>
    <w:lvl w:ilvl="1">
      <w:start w:val="1"/>
      <w:numFmt w:val="upperLetter"/>
      <w:lvlText w:val="(%2)"/>
      <w:lvlJc w:val="left"/>
      <w:pPr>
        <w:ind w:left="1800" w:hanging="576"/>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760" w:hanging="576"/>
      </w:pPr>
      <w:rPr>
        <w:rFonts w:hint="default"/>
        <w:lang w:val="en-US" w:eastAsia="en-US" w:bidi="ar-SA"/>
      </w:rPr>
    </w:lvl>
    <w:lvl w:ilvl="3">
      <w:start w:val="0"/>
      <w:numFmt w:val="bullet"/>
      <w:lvlText w:val="•"/>
      <w:lvlJc w:val="left"/>
      <w:pPr>
        <w:ind w:left="3720" w:hanging="576"/>
      </w:pPr>
      <w:rPr>
        <w:rFonts w:hint="default"/>
        <w:lang w:val="en-US" w:eastAsia="en-US" w:bidi="ar-SA"/>
      </w:rPr>
    </w:lvl>
    <w:lvl w:ilvl="4">
      <w:start w:val="0"/>
      <w:numFmt w:val="bullet"/>
      <w:lvlText w:val="•"/>
      <w:lvlJc w:val="left"/>
      <w:pPr>
        <w:ind w:left="4680" w:hanging="576"/>
      </w:pPr>
      <w:rPr>
        <w:rFonts w:hint="default"/>
        <w:lang w:val="en-US" w:eastAsia="en-US" w:bidi="ar-SA"/>
      </w:rPr>
    </w:lvl>
    <w:lvl w:ilvl="5">
      <w:start w:val="0"/>
      <w:numFmt w:val="bullet"/>
      <w:lvlText w:val="•"/>
      <w:lvlJc w:val="left"/>
      <w:pPr>
        <w:ind w:left="5640" w:hanging="576"/>
      </w:pPr>
      <w:rPr>
        <w:rFonts w:hint="default"/>
        <w:lang w:val="en-US" w:eastAsia="en-US" w:bidi="ar-SA"/>
      </w:rPr>
    </w:lvl>
    <w:lvl w:ilvl="6">
      <w:start w:val="0"/>
      <w:numFmt w:val="bullet"/>
      <w:lvlText w:val="•"/>
      <w:lvlJc w:val="left"/>
      <w:pPr>
        <w:ind w:left="6600" w:hanging="576"/>
      </w:pPr>
      <w:rPr>
        <w:rFonts w:hint="default"/>
        <w:lang w:val="en-US" w:eastAsia="en-US" w:bidi="ar-SA"/>
      </w:rPr>
    </w:lvl>
    <w:lvl w:ilvl="7">
      <w:start w:val="0"/>
      <w:numFmt w:val="bullet"/>
      <w:lvlText w:val="•"/>
      <w:lvlJc w:val="left"/>
      <w:pPr>
        <w:ind w:left="7560" w:hanging="576"/>
      </w:pPr>
      <w:rPr>
        <w:rFonts w:hint="default"/>
        <w:lang w:val="en-US" w:eastAsia="en-US" w:bidi="ar-SA"/>
      </w:rPr>
    </w:lvl>
    <w:lvl w:ilvl="8">
      <w:start w:val="0"/>
      <w:numFmt w:val="bullet"/>
      <w:lvlText w:val="•"/>
      <w:lvlJc w:val="left"/>
      <w:pPr>
        <w:ind w:left="8520" w:hanging="576"/>
      </w:pPr>
      <w:rPr>
        <w:rFonts w:hint="default"/>
        <w:lang w:val="en-US" w:eastAsia="en-US" w:bidi="ar-SA"/>
      </w:rPr>
    </w:lvl>
  </w:abstractNum>
  <w:abstractNum w:abstractNumId="163">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148" w:hanging="429"/>
        <w:jc w:val="righ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350" w:hanging="454"/>
        <w:jc w:val="left"/>
      </w:pPr>
      <w:rPr>
        <w:rFonts w:hint="default" w:ascii="Arial" w:hAnsi="Arial" w:eastAsia="Arial" w:cs="Arial"/>
        <w:b w:val="0"/>
        <w:bCs w:val="0"/>
        <w:i w:val="0"/>
        <w:iCs w:val="0"/>
        <w:spacing w:val="-1"/>
        <w:w w:val="100"/>
        <w:sz w:val="24"/>
        <w:szCs w:val="24"/>
        <w:lang w:val="en-US" w:eastAsia="en-US" w:bidi="ar-SA"/>
      </w:rPr>
    </w:lvl>
    <w:lvl w:ilvl="3">
      <w:start w:val="1"/>
      <w:numFmt w:val="lowerRoman"/>
      <w:lvlText w:val="(%4)"/>
      <w:lvlJc w:val="left"/>
      <w:pPr>
        <w:ind w:left="1800" w:hanging="348"/>
        <w:jc w:val="left"/>
      </w:pPr>
      <w:rPr>
        <w:rFonts w:hint="default" w:ascii="Arial" w:hAnsi="Arial" w:eastAsia="Arial" w:cs="Arial"/>
        <w:b w:val="0"/>
        <w:bCs w:val="0"/>
        <w:i w:val="0"/>
        <w:iCs w:val="0"/>
        <w:spacing w:val="-1"/>
        <w:w w:val="100"/>
        <w:sz w:val="24"/>
        <w:szCs w:val="24"/>
        <w:lang w:val="en-US" w:eastAsia="en-US" w:bidi="ar-SA"/>
      </w:rPr>
    </w:lvl>
    <w:lvl w:ilvl="4">
      <w:start w:val="0"/>
      <w:numFmt w:val="bullet"/>
      <w:lvlText w:val="•"/>
      <w:lvlJc w:val="left"/>
      <w:pPr>
        <w:ind w:left="1800" w:hanging="348"/>
      </w:pPr>
      <w:rPr>
        <w:rFonts w:hint="default"/>
        <w:lang w:val="en-US" w:eastAsia="en-US" w:bidi="ar-SA"/>
      </w:rPr>
    </w:lvl>
    <w:lvl w:ilvl="5">
      <w:start w:val="0"/>
      <w:numFmt w:val="bullet"/>
      <w:lvlText w:val="•"/>
      <w:lvlJc w:val="left"/>
      <w:pPr>
        <w:ind w:left="3240" w:hanging="348"/>
      </w:pPr>
      <w:rPr>
        <w:rFonts w:hint="default"/>
        <w:lang w:val="en-US" w:eastAsia="en-US" w:bidi="ar-SA"/>
      </w:rPr>
    </w:lvl>
    <w:lvl w:ilvl="6">
      <w:start w:val="0"/>
      <w:numFmt w:val="bullet"/>
      <w:lvlText w:val="•"/>
      <w:lvlJc w:val="left"/>
      <w:pPr>
        <w:ind w:left="4680" w:hanging="348"/>
      </w:pPr>
      <w:rPr>
        <w:rFonts w:hint="default"/>
        <w:lang w:val="en-US" w:eastAsia="en-US" w:bidi="ar-SA"/>
      </w:rPr>
    </w:lvl>
    <w:lvl w:ilvl="7">
      <w:start w:val="0"/>
      <w:numFmt w:val="bullet"/>
      <w:lvlText w:val="•"/>
      <w:lvlJc w:val="left"/>
      <w:pPr>
        <w:ind w:left="6120" w:hanging="348"/>
      </w:pPr>
      <w:rPr>
        <w:rFonts w:hint="default"/>
        <w:lang w:val="en-US" w:eastAsia="en-US" w:bidi="ar-SA"/>
      </w:rPr>
    </w:lvl>
    <w:lvl w:ilvl="8">
      <w:start w:val="0"/>
      <w:numFmt w:val="bullet"/>
      <w:lvlText w:val="•"/>
      <w:lvlJc w:val="left"/>
      <w:pPr>
        <w:ind w:left="7560" w:hanging="348"/>
      </w:pPr>
      <w:rPr>
        <w:rFonts w:hint="default"/>
        <w:lang w:val="en-US" w:eastAsia="en-US" w:bidi="ar-SA"/>
      </w:rPr>
    </w:lvl>
  </w:abstractNum>
  <w:abstractNum w:abstractNumId="162">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10"/>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61">
    <w:multiLevelType w:val="hybridMultilevel"/>
    <w:lvl w:ilvl="0">
      <w:start w:val="1"/>
      <w:numFmt w:val="decimal"/>
      <w:lvlText w:val="%1."/>
      <w:lvlJc w:val="left"/>
      <w:pPr>
        <w:ind w:left="792" w:hanging="28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288"/>
      </w:pPr>
      <w:rPr>
        <w:rFonts w:hint="default"/>
        <w:lang w:val="en-US" w:eastAsia="en-US" w:bidi="ar-SA"/>
      </w:rPr>
    </w:lvl>
    <w:lvl w:ilvl="2">
      <w:start w:val="0"/>
      <w:numFmt w:val="bullet"/>
      <w:lvlText w:val="•"/>
      <w:lvlJc w:val="left"/>
      <w:pPr>
        <w:ind w:left="2728" w:hanging="288"/>
      </w:pPr>
      <w:rPr>
        <w:rFonts w:hint="default"/>
        <w:lang w:val="en-US" w:eastAsia="en-US" w:bidi="ar-SA"/>
      </w:rPr>
    </w:lvl>
    <w:lvl w:ilvl="3">
      <w:start w:val="0"/>
      <w:numFmt w:val="bullet"/>
      <w:lvlText w:val="•"/>
      <w:lvlJc w:val="left"/>
      <w:pPr>
        <w:ind w:left="3692" w:hanging="288"/>
      </w:pPr>
      <w:rPr>
        <w:rFonts w:hint="default"/>
        <w:lang w:val="en-US" w:eastAsia="en-US" w:bidi="ar-SA"/>
      </w:rPr>
    </w:lvl>
    <w:lvl w:ilvl="4">
      <w:start w:val="0"/>
      <w:numFmt w:val="bullet"/>
      <w:lvlText w:val="•"/>
      <w:lvlJc w:val="left"/>
      <w:pPr>
        <w:ind w:left="4656" w:hanging="288"/>
      </w:pPr>
      <w:rPr>
        <w:rFonts w:hint="default"/>
        <w:lang w:val="en-US" w:eastAsia="en-US" w:bidi="ar-SA"/>
      </w:rPr>
    </w:lvl>
    <w:lvl w:ilvl="5">
      <w:start w:val="0"/>
      <w:numFmt w:val="bullet"/>
      <w:lvlText w:val="•"/>
      <w:lvlJc w:val="left"/>
      <w:pPr>
        <w:ind w:left="5620" w:hanging="288"/>
      </w:pPr>
      <w:rPr>
        <w:rFonts w:hint="default"/>
        <w:lang w:val="en-US" w:eastAsia="en-US" w:bidi="ar-SA"/>
      </w:rPr>
    </w:lvl>
    <w:lvl w:ilvl="6">
      <w:start w:val="0"/>
      <w:numFmt w:val="bullet"/>
      <w:lvlText w:val="•"/>
      <w:lvlJc w:val="left"/>
      <w:pPr>
        <w:ind w:left="6584" w:hanging="288"/>
      </w:pPr>
      <w:rPr>
        <w:rFonts w:hint="default"/>
        <w:lang w:val="en-US" w:eastAsia="en-US" w:bidi="ar-SA"/>
      </w:rPr>
    </w:lvl>
    <w:lvl w:ilvl="7">
      <w:start w:val="0"/>
      <w:numFmt w:val="bullet"/>
      <w:lvlText w:val="•"/>
      <w:lvlJc w:val="left"/>
      <w:pPr>
        <w:ind w:left="7548" w:hanging="288"/>
      </w:pPr>
      <w:rPr>
        <w:rFonts w:hint="default"/>
        <w:lang w:val="en-US" w:eastAsia="en-US" w:bidi="ar-SA"/>
      </w:rPr>
    </w:lvl>
    <w:lvl w:ilvl="8">
      <w:start w:val="0"/>
      <w:numFmt w:val="bullet"/>
      <w:lvlText w:val="•"/>
      <w:lvlJc w:val="left"/>
      <w:pPr>
        <w:ind w:left="8512" w:hanging="288"/>
      </w:pPr>
      <w:rPr>
        <w:rFonts w:hint="default"/>
        <w:lang w:val="en-US" w:eastAsia="en-US" w:bidi="ar-SA"/>
      </w:rPr>
    </w:lvl>
  </w:abstractNum>
  <w:abstractNum w:abstractNumId="160">
    <w:multiLevelType w:val="hybridMultilevel"/>
    <w:lvl w:ilvl="0">
      <w:start w:val="1"/>
      <w:numFmt w:val="lowerLetter"/>
      <w:lvlText w:val="(%1)"/>
      <w:lvlJc w:val="left"/>
      <w:pPr>
        <w:ind w:left="788"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38"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62" w:hanging="429"/>
      </w:pPr>
      <w:rPr>
        <w:rFonts w:hint="default"/>
        <w:lang w:val="en-US" w:eastAsia="en-US" w:bidi="ar-SA"/>
      </w:rPr>
    </w:lvl>
    <w:lvl w:ilvl="3">
      <w:start w:val="0"/>
      <w:numFmt w:val="bullet"/>
      <w:lvlText w:val="•"/>
      <w:lvlJc w:val="left"/>
      <w:pPr>
        <w:ind w:left="3284" w:hanging="429"/>
      </w:pPr>
      <w:rPr>
        <w:rFonts w:hint="default"/>
        <w:lang w:val="en-US" w:eastAsia="en-US" w:bidi="ar-SA"/>
      </w:rPr>
    </w:lvl>
    <w:lvl w:ilvl="4">
      <w:start w:val="0"/>
      <w:numFmt w:val="bullet"/>
      <w:lvlText w:val="•"/>
      <w:lvlJc w:val="left"/>
      <w:pPr>
        <w:ind w:left="4306" w:hanging="429"/>
      </w:pPr>
      <w:rPr>
        <w:rFonts w:hint="default"/>
        <w:lang w:val="en-US" w:eastAsia="en-US" w:bidi="ar-SA"/>
      </w:rPr>
    </w:lvl>
    <w:lvl w:ilvl="5">
      <w:start w:val="0"/>
      <w:numFmt w:val="bullet"/>
      <w:lvlText w:val="•"/>
      <w:lvlJc w:val="left"/>
      <w:pPr>
        <w:ind w:left="5328" w:hanging="429"/>
      </w:pPr>
      <w:rPr>
        <w:rFonts w:hint="default"/>
        <w:lang w:val="en-US" w:eastAsia="en-US" w:bidi="ar-SA"/>
      </w:rPr>
    </w:lvl>
    <w:lvl w:ilvl="6">
      <w:start w:val="0"/>
      <w:numFmt w:val="bullet"/>
      <w:lvlText w:val="•"/>
      <w:lvlJc w:val="left"/>
      <w:pPr>
        <w:ind w:left="6351" w:hanging="429"/>
      </w:pPr>
      <w:rPr>
        <w:rFonts w:hint="default"/>
        <w:lang w:val="en-US" w:eastAsia="en-US" w:bidi="ar-SA"/>
      </w:rPr>
    </w:lvl>
    <w:lvl w:ilvl="7">
      <w:start w:val="0"/>
      <w:numFmt w:val="bullet"/>
      <w:lvlText w:val="•"/>
      <w:lvlJc w:val="left"/>
      <w:pPr>
        <w:ind w:left="7373" w:hanging="429"/>
      </w:pPr>
      <w:rPr>
        <w:rFonts w:hint="default"/>
        <w:lang w:val="en-US" w:eastAsia="en-US" w:bidi="ar-SA"/>
      </w:rPr>
    </w:lvl>
    <w:lvl w:ilvl="8">
      <w:start w:val="0"/>
      <w:numFmt w:val="bullet"/>
      <w:lvlText w:val="•"/>
      <w:lvlJc w:val="left"/>
      <w:pPr>
        <w:ind w:left="8395" w:hanging="429"/>
      </w:pPr>
      <w:rPr>
        <w:rFonts w:hint="default"/>
        <w:lang w:val="en-US" w:eastAsia="en-US" w:bidi="ar-SA"/>
      </w:rPr>
    </w:lvl>
  </w:abstractNum>
  <w:abstractNum w:abstractNumId="159">
    <w:multiLevelType w:val="hybridMultilevel"/>
    <w:lvl w:ilvl="0">
      <w:start w:val="8"/>
      <w:numFmt w:val="decimal"/>
      <w:lvlText w:val="%1"/>
      <w:lvlJc w:val="left"/>
      <w:pPr>
        <w:ind w:left="1439" w:hanging="1080"/>
        <w:jc w:val="left"/>
      </w:pPr>
      <w:rPr>
        <w:rFonts w:hint="default"/>
        <w:lang w:val="en-US" w:eastAsia="en-US" w:bidi="ar-SA"/>
      </w:rPr>
    </w:lvl>
    <w:lvl w:ilvl="1">
      <w:start w:val="11"/>
      <w:numFmt w:val="decimal"/>
      <w:lvlText w:val="%1-%2"/>
      <w:lvlJc w:val="left"/>
      <w:pPr>
        <w:ind w:left="1439" w:hanging="1080"/>
        <w:jc w:val="left"/>
      </w:pPr>
      <w:rPr>
        <w:rFonts w:hint="default"/>
        <w:lang w:val="en-US" w:eastAsia="en-US" w:bidi="ar-SA"/>
      </w:rPr>
    </w:lvl>
    <w:lvl w:ilvl="2">
      <w:start w:val="23"/>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58">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11"/>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57">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288"/>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678" w:hanging="455"/>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2775" w:hanging="455"/>
      </w:pPr>
      <w:rPr>
        <w:rFonts w:hint="default"/>
        <w:lang w:val="en-US" w:eastAsia="en-US" w:bidi="ar-SA"/>
      </w:rPr>
    </w:lvl>
    <w:lvl w:ilvl="4">
      <w:start w:val="0"/>
      <w:numFmt w:val="bullet"/>
      <w:lvlText w:val="•"/>
      <w:lvlJc w:val="left"/>
      <w:pPr>
        <w:ind w:left="3870" w:hanging="455"/>
      </w:pPr>
      <w:rPr>
        <w:rFonts w:hint="default"/>
        <w:lang w:val="en-US" w:eastAsia="en-US" w:bidi="ar-SA"/>
      </w:rPr>
    </w:lvl>
    <w:lvl w:ilvl="5">
      <w:start w:val="0"/>
      <w:numFmt w:val="bullet"/>
      <w:lvlText w:val="•"/>
      <w:lvlJc w:val="left"/>
      <w:pPr>
        <w:ind w:left="4965" w:hanging="455"/>
      </w:pPr>
      <w:rPr>
        <w:rFonts w:hint="default"/>
        <w:lang w:val="en-US" w:eastAsia="en-US" w:bidi="ar-SA"/>
      </w:rPr>
    </w:lvl>
    <w:lvl w:ilvl="6">
      <w:start w:val="0"/>
      <w:numFmt w:val="bullet"/>
      <w:lvlText w:val="•"/>
      <w:lvlJc w:val="left"/>
      <w:pPr>
        <w:ind w:left="6060" w:hanging="455"/>
      </w:pPr>
      <w:rPr>
        <w:rFonts w:hint="default"/>
        <w:lang w:val="en-US" w:eastAsia="en-US" w:bidi="ar-SA"/>
      </w:rPr>
    </w:lvl>
    <w:lvl w:ilvl="7">
      <w:start w:val="0"/>
      <w:numFmt w:val="bullet"/>
      <w:lvlText w:val="•"/>
      <w:lvlJc w:val="left"/>
      <w:pPr>
        <w:ind w:left="7155" w:hanging="455"/>
      </w:pPr>
      <w:rPr>
        <w:rFonts w:hint="default"/>
        <w:lang w:val="en-US" w:eastAsia="en-US" w:bidi="ar-SA"/>
      </w:rPr>
    </w:lvl>
    <w:lvl w:ilvl="8">
      <w:start w:val="0"/>
      <w:numFmt w:val="bullet"/>
      <w:lvlText w:val="•"/>
      <w:lvlJc w:val="left"/>
      <w:pPr>
        <w:ind w:left="8250" w:hanging="455"/>
      </w:pPr>
      <w:rPr>
        <w:rFonts w:hint="default"/>
        <w:lang w:val="en-US" w:eastAsia="en-US" w:bidi="ar-SA"/>
      </w:rPr>
    </w:lvl>
  </w:abstractNum>
  <w:abstractNum w:abstractNumId="156">
    <w:multiLevelType w:val="hybridMultilevel"/>
    <w:lvl w:ilvl="0">
      <w:start w:val="8"/>
      <w:numFmt w:val="decimal"/>
      <w:lvlText w:val="%1"/>
      <w:lvlJc w:val="left"/>
      <w:pPr>
        <w:ind w:left="1440" w:hanging="1081"/>
        <w:jc w:val="left"/>
      </w:pPr>
      <w:rPr>
        <w:rFonts w:hint="default"/>
        <w:lang w:val="en-US" w:eastAsia="en-US" w:bidi="ar-SA"/>
      </w:rPr>
    </w:lvl>
    <w:lvl w:ilvl="1">
      <w:start w:val="11"/>
      <w:numFmt w:val="decimal"/>
      <w:lvlText w:val="%1-%2"/>
      <w:lvlJc w:val="left"/>
      <w:pPr>
        <w:ind w:left="1440" w:hanging="1081"/>
        <w:jc w:val="left"/>
      </w:pPr>
      <w:rPr>
        <w:rFonts w:hint="default"/>
        <w:lang w:val="en-US" w:eastAsia="en-US" w:bidi="ar-SA"/>
      </w:rPr>
    </w:lvl>
    <w:lvl w:ilvl="2">
      <w:start w:val="23"/>
      <w:numFmt w:val="decimal"/>
      <w:lvlText w:val="%1-%2-%3"/>
      <w:lvlJc w:val="left"/>
      <w:pPr>
        <w:ind w:left="1440" w:hanging="1081"/>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1"/>
      </w:pPr>
      <w:rPr>
        <w:rFonts w:hint="default"/>
        <w:lang w:val="en-US" w:eastAsia="en-US" w:bidi="ar-SA"/>
      </w:rPr>
    </w:lvl>
    <w:lvl w:ilvl="4">
      <w:start w:val="0"/>
      <w:numFmt w:val="bullet"/>
      <w:lvlText w:val="•"/>
      <w:lvlJc w:val="left"/>
      <w:pPr>
        <w:ind w:left="5040" w:hanging="1081"/>
      </w:pPr>
      <w:rPr>
        <w:rFonts w:hint="default"/>
        <w:lang w:val="en-US" w:eastAsia="en-US" w:bidi="ar-SA"/>
      </w:rPr>
    </w:lvl>
    <w:lvl w:ilvl="5">
      <w:start w:val="0"/>
      <w:numFmt w:val="bullet"/>
      <w:lvlText w:val="•"/>
      <w:lvlJc w:val="left"/>
      <w:pPr>
        <w:ind w:left="5940" w:hanging="1081"/>
      </w:pPr>
      <w:rPr>
        <w:rFonts w:hint="default"/>
        <w:lang w:val="en-US" w:eastAsia="en-US" w:bidi="ar-SA"/>
      </w:rPr>
    </w:lvl>
    <w:lvl w:ilvl="6">
      <w:start w:val="0"/>
      <w:numFmt w:val="bullet"/>
      <w:lvlText w:val="•"/>
      <w:lvlJc w:val="left"/>
      <w:pPr>
        <w:ind w:left="6840" w:hanging="1081"/>
      </w:pPr>
      <w:rPr>
        <w:rFonts w:hint="default"/>
        <w:lang w:val="en-US" w:eastAsia="en-US" w:bidi="ar-SA"/>
      </w:rPr>
    </w:lvl>
    <w:lvl w:ilvl="7">
      <w:start w:val="0"/>
      <w:numFmt w:val="bullet"/>
      <w:lvlText w:val="•"/>
      <w:lvlJc w:val="left"/>
      <w:pPr>
        <w:ind w:left="7740" w:hanging="1081"/>
      </w:pPr>
      <w:rPr>
        <w:rFonts w:hint="default"/>
        <w:lang w:val="en-US" w:eastAsia="en-US" w:bidi="ar-SA"/>
      </w:rPr>
    </w:lvl>
    <w:lvl w:ilvl="8">
      <w:start w:val="0"/>
      <w:numFmt w:val="bullet"/>
      <w:lvlText w:val="•"/>
      <w:lvlJc w:val="left"/>
      <w:pPr>
        <w:ind w:left="8640" w:hanging="1081"/>
      </w:pPr>
      <w:rPr>
        <w:rFonts w:hint="default"/>
        <w:lang w:val="en-US" w:eastAsia="en-US" w:bidi="ar-SA"/>
      </w:rPr>
    </w:lvl>
  </w:abstractNum>
  <w:abstractNum w:abstractNumId="155">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10"/>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54">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81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820" w:hanging="429"/>
      </w:pPr>
      <w:rPr>
        <w:rFonts w:hint="default"/>
        <w:lang w:val="en-US" w:eastAsia="en-US" w:bidi="ar-SA"/>
      </w:rPr>
    </w:lvl>
    <w:lvl w:ilvl="3">
      <w:start w:val="0"/>
      <w:numFmt w:val="bullet"/>
      <w:lvlText w:val="•"/>
      <w:lvlJc w:val="left"/>
      <w:pPr>
        <w:ind w:left="2022" w:hanging="429"/>
      </w:pPr>
      <w:rPr>
        <w:rFonts w:hint="default"/>
        <w:lang w:val="en-US" w:eastAsia="en-US" w:bidi="ar-SA"/>
      </w:rPr>
    </w:lvl>
    <w:lvl w:ilvl="4">
      <w:start w:val="0"/>
      <w:numFmt w:val="bullet"/>
      <w:lvlText w:val="•"/>
      <w:lvlJc w:val="left"/>
      <w:pPr>
        <w:ind w:left="3225" w:hanging="429"/>
      </w:pPr>
      <w:rPr>
        <w:rFonts w:hint="default"/>
        <w:lang w:val="en-US" w:eastAsia="en-US" w:bidi="ar-SA"/>
      </w:rPr>
    </w:lvl>
    <w:lvl w:ilvl="5">
      <w:start w:val="0"/>
      <w:numFmt w:val="bullet"/>
      <w:lvlText w:val="•"/>
      <w:lvlJc w:val="left"/>
      <w:pPr>
        <w:ind w:left="4427" w:hanging="429"/>
      </w:pPr>
      <w:rPr>
        <w:rFonts w:hint="default"/>
        <w:lang w:val="en-US" w:eastAsia="en-US" w:bidi="ar-SA"/>
      </w:rPr>
    </w:lvl>
    <w:lvl w:ilvl="6">
      <w:start w:val="0"/>
      <w:numFmt w:val="bullet"/>
      <w:lvlText w:val="•"/>
      <w:lvlJc w:val="left"/>
      <w:pPr>
        <w:ind w:left="5630" w:hanging="429"/>
      </w:pPr>
      <w:rPr>
        <w:rFonts w:hint="default"/>
        <w:lang w:val="en-US" w:eastAsia="en-US" w:bidi="ar-SA"/>
      </w:rPr>
    </w:lvl>
    <w:lvl w:ilvl="7">
      <w:start w:val="0"/>
      <w:numFmt w:val="bullet"/>
      <w:lvlText w:val="•"/>
      <w:lvlJc w:val="left"/>
      <w:pPr>
        <w:ind w:left="6832" w:hanging="429"/>
      </w:pPr>
      <w:rPr>
        <w:rFonts w:hint="default"/>
        <w:lang w:val="en-US" w:eastAsia="en-US" w:bidi="ar-SA"/>
      </w:rPr>
    </w:lvl>
    <w:lvl w:ilvl="8">
      <w:start w:val="0"/>
      <w:numFmt w:val="bullet"/>
      <w:lvlText w:val="•"/>
      <w:lvlJc w:val="left"/>
      <w:pPr>
        <w:ind w:left="8035" w:hanging="429"/>
      </w:pPr>
      <w:rPr>
        <w:rFonts w:hint="default"/>
        <w:lang w:val="en-US" w:eastAsia="en-US" w:bidi="ar-SA"/>
      </w:rPr>
    </w:lvl>
  </w:abstractNum>
  <w:abstractNum w:abstractNumId="153">
    <w:multiLevelType w:val="hybridMultilevel"/>
    <w:lvl w:ilvl="0">
      <w:start w:val="8"/>
      <w:numFmt w:val="decimal"/>
      <w:lvlText w:val="%1"/>
      <w:lvlJc w:val="left"/>
      <w:pPr>
        <w:ind w:left="1530" w:hanging="1170"/>
        <w:jc w:val="left"/>
      </w:pPr>
      <w:rPr>
        <w:rFonts w:hint="default"/>
        <w:lang w:val="en-US" w:eastAsia="en-US" w:bidi="ar-SA"/>
      </w:rPr>
    </w:lvl>
    <w:lvl w:ilvl="1">
      <w:start w:val="11"/>
      <w:numFmt w:val="decimal"/>
      <w:lvlText w:val="%1-%2"/>
      <w:lvlJc w:val="left"/>
      <w:pPr>
        <w:ind w:left="1530" w:hanging="1170"/>
        <w:jc w:val="left"/>
      </w:pPr>
      <w:rPr>
        <w:rFonts w:hint="default"/>
        <w:lang w:val="en-US" w:eastAsia="en-US" w:bidi="ar-SA"/>
      </w:rPr>
    </w:lvl>
    <w:lvl w:ilvl="2">
      <w:start w:val="23"/>
      <w:numFmt w:val="decimal"/>
      <w:lvlText w:val="%1-%2-%3"/>
      <w:lvlJc w:val="left"/>
      <w:pPr>
        <w:ind w:left="1530" w:hanging="1170"/>
        <w:jc w:val="left"/>
      </w:pPr>
      <w:rPr>
        <w:rFonts w:hint="default"/>
        <w:spacing w:val="0"/>
        <w:w w:val="99"/>
        <w:lang w:val="en-US" w:eastAsia="en-US" w:bidi="ar-SA"/>
      </w:rPr>
    </w:lvl>
    <w:lvl w:ilvl="3">
      <w:start w:val="0"/>
      <w:numFmt w:val="bullet"/>
      <w:lvlText w:val="•"/>
      <w:lvlJc w:val="left"/>
      <w:pPr>
        <w:ind w:left="4210" w:hanging="1170"/>
      </w:pPr>
      <w:rPr>
        <w:rFonts w:hint="default"/>
        <w:lang w:val="en-US" w:eastAsia="en-US" w:bidi="ar-SA"/>
      </w:rPr>
    </w:lvl>
    <w:lvl w:ilvl="4">
      <w:start w:val="0"/>
      <w:numFmt w:val="bullet"/>
      <w:lvlText w:val="•"/>
      <w:lvlJc w:val="left"/>
      <w:pPr>
        <w:ind w:left="5100" w:hanging="1170"/>
      </w:pPr>
      <w:rPr>
        <w:rFonts w:hint="default"/>
        <w:lang w:val="en-US" w:eastAsia="en-US" w:bidi="ar-SA"/>
      </w:rPr>
    </w:lvl>
    <w:lvl w:ilvl="5">
      <w:start w:val="0"/>
      <w:numFmt w:val="bullet"/>
      <w:lvlText w:val="•"/>
      <w:lvlJc w:val="left"/>
      <w:pPr>
        <w:ind w:left="5990" w:hanging="1170"/>
      </w:pPr>
      <w:rPr>
        <w:rFonts w:hint="default"/>
        <w:lang w:val="en-US" w:eastAsia="en-US" w:bidi="ar-SA"/>
      </w:rPr>
    </w:lvl>
    <w:lvl w:ilvl="6">
      <w:start w:val="0"/>
      <w:numFmt w:val="bullet"/>
      <w:lvlText w:val="•"/>
      <w:lvlJc w:val="left"/>
      <w:pPr>
        <w:ind w:left="6880" w:hanging="1170"/>
      </w:pPr>
      <w:rPr>
        <w:rFonts w:hint="default"/>
        <w:lang w:val="en-US" w:eastAsia="en-US" w:bidi="ar-SA"/>
      </w:rPr>
    </w:lvl>
    <w:lvl w:ilvl="7">
      <w:start w:val="0"/>
      <w:numFmt w:val="bullet"/>
      <w:lvlText w:val="•"/>
      <w:lvlJc w:val="left"/>
      <w:pPr>
        <w:ind w:left="7770" w:hanging="1170"/>
      </w:pPr>
      <w:rPr>
        <w:rFonts w:hint="default"/>
        <w:lang w:val="en-US" w:eastAsia="en-US" w:bidi="ar-SA"/>
      </w:rPr>
    </w:lvl>
    <w:lvl w:ilvl="8">
      <w:start w:val="0"/>
      <w:numFmt w:val="bullet"/>
      <w:lvlText w:val="•"/>
      <w:lvlJc w:val="left"/>
      <w:pPr>
        <w:ind w:left="8660" w:hanging="1170"/>
      </w:pPr>
      <w:rPr>
        <w:rFonts w:hint="default"/>
        <w:lang w:val="en-US" w:eastAsia="en-US" w:bidi="ar-SA"/>
      </w:rPr>
    </w:lvl>
  </w:abstractNum>
  <w:abstractNum w:abstractNumId="152">
    <w:multiLevelType w:val="hybridMultilevel"/>
    <w:lvl w:ilvl="0">
      <w:start w:val="7"/>
      <w:numFmt w:val="decimal"/>
      <w:lvlText w:val="%1"/>
      <w:lvlJc w:val="left"/>
      <w:pPr>
        <w:ind w:left="1529" w:hanging="1171"/>
        <w:jc w:val="left"/>
      </w:pPr>
      <w:rPr>
        <w:rFonts w:hint="default"/>
        <w:lang w:val="en-US" w:eastAsia="en-US" w:bidi="ar-SA"/>
      </w:rPr>
    </w:lvl>
    <w:lvl w:ilvl="1">
      <w:start w:val="1"/>
      <w:numFmt w:val="decimal"/>
      <w:lvlText w:val="%1-%2"/>
      <w:lvlJc w:val="left"/>
      <w:pPr>
        <w:ind w:left="1529" w:hanging="1171"/>
        <w:jc w:val="left"/>
      </w:pPr>
      <w:rPr>
        <w:rFonts w:hint="default"/>
        <w:lang w:val="en-US" w:eastAsia="en-US" w:bidi="ar-SA"/>
      </w:rPr>
    </w:lvl>
    <w:lvl w:ilvl="2">
      <w:start w:val="5"/>
      <w:numFmt w:val="decimalZero"/>
      <w:lvlText w:val="%1-%2-%3"/>
      <w:lvlJc w:val="left"/>
      <w:pPr>
        <w:ind w:left="1529" w:hanging="1171"/>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96" w:hanging="1171"/>
      </w:pPr>
      <w:rPr>
        <w:rFonts w:hint="default"/>
        <w:lang w:val="en-US" w:eastAsia="en-US" w:bidi="ar-SA"/>
      </w:rPr>
    </w:lvl>
    <w:lvl w:ilvl="4">
      <w:start w:val="0"/>
      <w:numFmt w:val="bullet"/>
      <w:lvlText w:val="•"/>
      <w:lvlJc w:val="left"/>
      <w:pPr>
        <w:ind w:left="5088" w:hanging="1171"/>
      </w:pPr>
      <w:rPr>
        <w:rFonts w:hint="default"/>
        <w:lang w:val="en-US" w:eastAsia="en-US" w:bidi="ar-SA"/>
      </w:rPr>
    </w:lvl>
    <w:lvl w:ilvl="5">
      <w:start w:val="0"/>
      <w:numFmt w:val="bullet"/>
      <w:lvlText w:val="•"/>
      <w:lvlJc w:val="left"/>
      <w:pPr>
        <w:ind w:left="5980" w:hanging="1171"/>
      </w:pPr>
      <w:rPr>
        <w:rFonts w:hint="default"/>
        <w:lang w:val="en-US" w:eastAsia="en-US" w:bidi="ar-SA"/>
      </w:rPr>
    </w:lvl>
    <w:lvl w:ilvl="6">
      <w:start w:val="0"/>
      <w:numFmt w:val="bullet"/>
      <w:lvlText w:val="•"/>
      <w:lvlJc w:val="left"/>
      <w:pPr>
        <w:ind w:left="6872" w:hanging="1171"/>
      </w:pPr>
      <w:rPr>
        <w:rFonts w:hint="default"/>
        <w:lang w:val="en-US" w:eastAsia="en-US" w:bidi="ar-SA"/>
      </w:rPr>
    </w:lvl>
    <w:lvl w:ilvl="7">
      <w:start w:val="0"/>
      <w:numFmt w:val="bullet"/>
      <w:lvlText w:val="•"/>
      <w:lvlJc w:val="left"/>
      <w:pPr>
        <w:ind w:left="7764" w:hanging="1171"/>
      </w:pPr>
      <w:rPr>
        <w:rFonts w:hint="default"/>
        <w:lang w:val="en-US" w:eastAsia="en-US" w:bidi="ar-SA"/>
      </w:rPr>
    </w:lvl>
    <w:lvl w:ilvl="8">
      <w:start w:val="0"/>
      <w:numFmt w:val="bullet"/>
      <w:lvlText w:val="•"/>
      <w:lvlJc w:val="left"/>
      <w:pPr>
        <w:ind w:left="8656" w:hanging="1171"/>
      </w:pPr>
      <w:rPr>
        <w:rFonts w:hint="default"/>
        <w:lang w:val="en-US" w:eastAsia="en-US" w:bidi="ar-SA"/>
      </w:rPr>
    </w:lvl>
  </w:abstractNum>
  <w:abstractNum w:abstractNumId="151">
    <w:multiLevelType w:val="hybridMultilevel"/>
    <w:lvl w:ilvl="0">
      <w:start w:val="7"/>
      <w:numFmt w:val="decimal"/>
      <w:lvlText w:val="%1"/>
      <w:lvlJc w:val="left"/>
      <w:pPr>
        <w:ind w:left="1530" w:hanging="1171"/>
        <w:jc w:val="left"/>
      </w:pPr>
      <w:rPr>
        <w:rFonts w:hint="default"/>
        <w:lang w:val="en-US" w:eastAsia="en-US" w:bidi="ar-SA"/>
      </w:rPr>
    </w:lvl>
    <w:lvl w:ilvl="1">
      <w:start w:val="1"/>
      <w:numFmt w:val="decimal"/>
      <w:lvlText w:val="%1-%2"/>
      <w:lvlJc w:val="left"/>
      <w:pPr>
        <w:ind w:left="1530" w:hanging="1171"/>
        <w:jc w:val="left"/>
      </w:pPr>
      <w:rPr>
        <w:rFonts w:hint="default"/>
        <w:lang w:val="en-US" w:eastAsia="en-US" w:bidi="ar-SA"/>
      </w:rPr>
    </w:lvl>
    <w:lvl w:ilvl="2">
      <w:start w:val="98"/>
      <w:numFmt w:val="decimal"/>
      <w:lvlText w:val="%1-%2-%3"/>
      <w:lvlJc w:val="left"/>
      <w:pPr>
        <w:ind w:left="1530" w:hanging="1171"/>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210" w:hanging="1171"/>
      </w:pPr>
      <w:rPr>
        <w:rFonts w:hint="default"/>
        <w:lang w:val="en-US" w:eastAsia="en-US" w:bidi="ar-SA"/>
      </w:rPr>
    </w:lvl>
    <w:lvl w:ilvl="4">
      <w:start w:val="0"/>
      <w:numFmt w:val="bullet"/>
      <w:lvlText w:val="•"/>
      <w:lvlJc w:val="left"/>
      <w:pPr>
        <w:ind w:left="5100" w:hanging="1171"/>
      </w:pPr>
      <w:rPr>
        <w:rFonts w:hint="default"/>
        <w:lang w:val="en-US" w:eastAsia="en-US" w:bidi="ar-SA"/>
      </w:rPr>
    </w:lvl>
    <w:lvl w:ilvl="5">
      <w:start w:val="0"/>
      <w:numFmt w:val="bullet"/>
      <w:lvlText w:val="•"/>
      <w:lvlJc w:val="left"/>
      <w:pPr>
        <w:ind w:left="5990" w:hanging="1171"/>
      </w:pPr>
      <w:rPr>
        <w:rFonts w:hint="default"/>
        <w:lang w:val="en-US" w:eastAsia="en-US" w:bidi="ar-SA"/>
      </w:rPr>
    </w:lvl>
    <w:lvl w:ilvl="6">
      <w:start w:val="0"/>
      <w:numFmt w:val="bullet"/>
      <w:lvlText w:val="•"/>
      <w:lvlJc w:val="left"/>
      <w:pPr>
        <w:ind w:left="6880" w:hanging="1171"/>
      </w:pPr>
      <w:rPr>
        <w:rFonts w:hint="default"/>
        <w:lang w:val="en-US" w:eastAsia="en-US" w:bidi="ar-SA"/>
      </w:rPr>
    </w:lvl>
    <w:lvl w:ilvl="7">
      <w:start w:val="0"/>
      <w:numFmt w:val="bullet"/>
      <w:lvlText w:val="•"/>
      <w:lvlJc w:val="left"/>
      <w:pPr>
        <w:ind w:left="7770" w:hanging="1171"/>
      </w:pPr>
      <w:rPr>
        <w:rFonts w:hint="default"/>
        <w:lang w:val="en-US" w:eastAsia="en-US" w:bidi="ar-SA"/>
      </w:rPr>
    </w:lvl>
    <w:lvl w:ilvl="8">
      <w:start w:val="0"/>
      <w:numFmt w:val="bullet"/>
      <w:lvlText w:val="•"/>
      <w:lvlJc w:val="left"/>
      <w:pPr>
        <w:ind w:left="8660" w:hanging="1171"/>
      </w:pPr>
      <w:rPr>
        <w:rFonts w:hint="default"/>
        <w:lang w:val="en-US" w:eastAsia="en-US" w:bidi="ar-SA"/>
      </w:rPr>
    </w:lvl>
  </w:abstractNum>
  <w:abstractNum w:abstractNumId="150">
    <w:multiLevelType w:val="hybridMultilevel"/>
    <w:lvl w:ilvl="0">
      <w:start w:val="1"/>
      <w:numFmt w:val="decimal"/>
      <w:lvlText w:val="%1."/>
      <w:lvlJc w:val="left"/>
      <w:pPr>
        <w:ind w:left="1080" w:hanging="28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620" w:hanging="270"/>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620" w:hanging="152"/>
      </w:pPr>
      <w:rPr>
        <w:rFonts w:hint="default" w:ascii="Arial" w:hAnsi="Arial" w:eastAsia="Arial" w:cs="Arial"/>
        <w:b w:val="0"/>
        <w:bCs w:val="0"/>
        <w:i w:val="0"/>
        <w:iCs w:val="0"/>
        <w:spacing w:val="0"/>
        <w:w w:val="100"/>
        <w:sz w:val="24"/>
        <w:szCs w:val="24"/>
        <w:lang w:val="en-US" w:eastAsia="en-US" w:bidi="ar-SA"/>
      </w:rPr>
    </w:lvl>
    <w:lvl w:ilvl="3">
      <w:start w:val="0"/>
      <w:numFmt w:val="bullet"/>
      <w:lvlText w:val="•"/>
      <w:lvlJc w:val="left"/>
      <w:pPr>
        <w:ind w:left="3580" w:hanging="152"/>
      </w:pPr>
      <w:rPr>
        <w:rFonts w:hint="default"/>
        <w:lang w:val="en-US" w:eastAsia="en-US" w:bidi="ar-SA"/>
      </w:rPr>
    </w:lvl>
    <w:lvl w:ilvl="4">
      <w:start w:val="0"/>
      <w:numFmt w:val="bullet"/>
      <w:lvlText w:val="•"/>
      <w:lvlJc w:val="left"/>
      <w:pPr>
        <w:ind w:left="4560" w:hanging="152"/>
      </w:pPr>
      <w:rPr>
        <w:rFonts w:hint="default"/>
        <w:lang w:val="en-US" w:eastAsia="en-US" w:bidi="ar-SA"/>
      </w:rPr>
    </w:lvl>
    <w:lvl w:ilvl="5">
      <w:start w:val="0"/>
      <w:numFmt w:val="bullet"/>
      <w:lvlText w:val="•"/>
      <w:lvlJc w:val="left"/>
      <w:pPr>
        <w:ind w:left="5540" w:hanging="152"/>
      </w:pPr>
      <w:rPr>
        <w:rFonts w:hint="default"/>
        <w:lang w:val="en-US" w:eastAsia="en-US" w:bidi="ar-SA"/>
      </w:rPr>
    </w:lvl>
    <w:lvl w:ilvl="6">
      <w:start w:val="0"/>
      <w:numFmt w:val="bullet"/>
      <w:lvlText w:val="•"/>
      <w:lvlJc w:val="left"/>
      <w:pPr>
        <w:ind w:left="6520" w:hanging="152"/>
      </w:pPr>
      <w:rPr>
        <w:rFonts w:hint="default"/>
        <w:lang w:val="en-US" w:eastAsia="en-US" w:bidi="ar-SA"/>
      </w:rPr>
    </w:lvl>
    <w:lvl w:ilvl="7">
      <w:start w:val="0"/>
      <w:numFmt w:val="bullet"/>
      <w:lvlText w:val="•"/>
      <w:lvlJc w:val="left"/>
      <w:pPr>
        <w:ind w:left="7500" w:hanging="152"/>
      </w:pPr>
      <w:rPr>
        <w:rFonts w:hint="default"/>
        <w:lang w:val="en-US" w:eastAsia="en-US" w:bidi="ar-SA"/>
      </w:rPr>
    </w:lvl>
    <w:lvl w:ilvl="8">
      <w:start w:val="0"/>
      <w:numFmt w:val="bullet"/>
      <w:lvlText w:val="•"/>
      <w:lvlJc w:val="left"/>
      <w:pPr>
        <w:ind w:left="8480" w:hanging="152"/>
      </w:pPr>
      <w:rPr>
        <w:rFonts w:hint="default"/>
        <w:lang w:val="en-US" w:eastAsia="en-US" w:bidi="ar-SA"/>
      </w:rPr>
    </w:lvl>
  </w:abstractNum>
  <w:abstractNum w:abstractNumId="149">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21" w:hanging="362"/>
        <w:jc w:val="left"/>
      </w:pPr>
      <w:rPr>
        <w:rFonts w:hint="default" w:ascii="Arial" w:hAnsi="Arial" w:eastAsia="Arial" w:cs="Arial"/>
        <w:b w:val="0"/>
        <w:bCs w:val="0"/>
        <w:i w:val="0"/>
        <w:iCs w:val="0"/>
        <w:spacing w:val="-1"/>
        <w:w w:val="100"/>
        <w:sz w:val="24"/>
        <w:szCs w:val="24"/>
        <w:lang w:val="en-US" w:eastAsia="en-US" w:bidi="ar-SA"/>
      </w:rPr>
    </w:lvl>
    <w:lvl w:ilvl="2">
      <w:start w:val="1"/>
      <w:numFmt w:val="decimal"/>
      <w:lvlText w:val="(%3)"/>
      <w:lvlJc w:val="left"/>
      <w:pPr>
        <w:ind w:left="792" w:hanging="428"/>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2005" w:hanging="428"/>
      </w:pPr>
      <w:rPr>
        <w:rFonts w:hint="default"/>
        <w:lang w:val="en-US" w:eastAsia="en-US" w:bidi="ar-SA"/>
      </w:rPr>
    </w:lvl>
    <w:lvl w:ilvl="4">
      <w:start w:val="0"/>
      <w:numFmt w:val="bullet"/>
      <w:lvlText w:val="•"/>
      <w:lvlJc w:val="left"/>
      <w:pPr>
        <w:ind w:left="3210" w:hanging="428"/>
      </w:pPr>
      <w:rPr>
        <w:rFonts w:hint="default"/>
        <w:lang w:val="en-US" w:eastAsia="en-US" w:bidi="ar-SA"/>
      </w:rPr>
    </w:lvl>
    <w:lvl w:ilvl="5">
      <w:start w:val="0"/>
      <w:numFmt w:val="bullet"/>
      <w:lvlText w:val="•"/>
      <w:lvlJc w:val="left"/>
      <w:pPr>
        <w:ind w:left="4415" w:hanging="428"/>
      </w:pPr>
      <w:rPr>
        <w:rFonts w:hint="default"/>
        <w:lang w:val="en-US" w:eastAsia="en-US" w:bidi="ar-SA"/>
      </w:rPr>
    </w:lvl>
    <w:lvl w:ilvl="6">
      <w:start w:val="0"/>
      <w:numFmt w:val="bullet"/>
      <w:lvlText w:val="•"/>
      <w:lvlJc w:val="left"/>
      <w:pPr>
        <w:ind w:left="5620" w:hanging="428"/>
      </w:pPr>
      <w:rPr>
        <w:rFonts w:hint="default"/>
        <w:lang w:val="en-US" w:eastAsia="en-US" w:bidi="ar-SA"/>
      </w:rPr>
    </w:lvl>
    <w:lvl w:ilvl="7">
      <w:start w:val="0"/>
      <w:numFmt w:val="bullet"/>
      <w:lvlText w:val="•"/>
      <w:lvlJc w:val="left"/>
      <w:pPr>
        <w:ind w:left="6825" w:hanging="428"/>
      </w:pPr>
      <w:rPr>
        <w:rFonts w:hint="default"/>
        <w:lang w:val="en-US" w:eastAsia="en-US" w:bidi="ar-SA"/>
      </w:rPr>
    </w:lvl>
    <w:lvl w:ilvl="8">
      <w:start w:val="0"/>
      <w:numFmt w:val="bullet"/>
      <w:lvlText w:val="•"/>
      <w:lvlJc w:val="left"/>
      <w:pPr>
        <w:ind w:left="8030" w:hanging="428"/>
      </w:pPr>
      <w:rPr>
        <w:rFonts w:hint="default"/>
        <w:lang w:val="en-US" w:eastAsia="en-US" w:bidi="ar-SA"/>
      </w:rPr>
    </w:lvl>
  </w:abstractNum>
  <w:abstractNum w:abstractNumId="148">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38"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62" w:hanging="429"/>
      </w:pPr>
      <w:rPr>
        <w:rFonts w:hint="default"/>
        <w:lang w:val="en-US" w:eastAsia="en-US" w:bidi="ar-SA"/>
      </w:rPr>
    </w:lvl>
    <w:lvl w:ilvl="3">
      <w:start w:val="0"/>
      <w:numFmt w:val="bullet"/>
      <w:lvlText w:val="•"/>
      <w:lvlJc w:val="left"/>
      <w:pPr>
        <w:ind w:left="3284" w:hanging="429"/>
      </w:pPr>
      <w:rPr>
        <w:rFonts w:hint="default"/>
        <w:lang w:val="en-US" w:eastAsia="en-US" w:bidi="ar-SA"/>
      </w:rPr>
    </w:lvl>
    <w:lvl w:ilvl="4">
      <w:start w:val="0"/>
      <w:numFmt w:val="bullet"/>
      <w:lvlText w:val="•"/>
      <w:lvlJc w:val="left"/>
      <w:pPr>
        <w:ind w:left="4306" w:hanging="429"/>
      </w:pPr>
      <w:rPr>
        <w:rFonts w:hint="default"/>
        <w:lang w:val="en-US" w:eastAsia="en-US" w:bidi="ar-SA"/>
      </w:rPr>
    </w:lvl>
    <w:lvl w:ilvl="5">
      <w:start w:val="0"/>
      <w:numFmt w:val="bullet"/>
      <w:lvlText w:val="•"/>
      <w:lvlJc w:val="left"/>
      <w:pPr>
        <w:ind w:left="5328" w:hanging="429"/>
      </w:pPr>
      <w:rPr>
        <w:rFonts w:hint="default"/>
        <w:lang w:val="en-US" w:eastAsia="en-US" w:bidi="ar-SA"/>
      </w:rPr>
    </w:lvl>
    <w:lvl w:ilvl="6">
      <w:start w:val="0"/>
      <w:numFmt w:val="bullet"/>
      <w:lvlText w:val="•"/>
      <w:lvlJc w:val="left"/>
      <w:pPr>
        <w:ind w:left="6351" w:hanging="429"/>
      </w:pPr>
      <w:rPr>
        <w:rFonts w:hint="default"/>
        <w:lang w:val="en-US" w:eastAsia="en-US" w:bidi="ar-SA"/>
      </w:rPr>
    </w:lvl>
    <w:lvl w:ilvl="7">
      <w:start w:val="0"/>
      <w:numFmt w:val="bullet"/>
      <w:lvlText w:val="•"/>
      <w:lvlJc w:val="left"/>
      <w:pPr>
        <w:ind w:left="7373" w:hanging="429"/>
      </w:pPr>
      <w:rPr>
        <w:rFonts w:hint="default"/>
        <w:lang w:val="en-US" w:eastAsia="en-US" w:bidi="ar-SA"/>
      </w:rPr>
    </w:lvl>
    <w:lvl w:ilvl="8">
      <w:start w:val="0"/>
      <w:numFmt w:val="bullet"/>
      <w:lvlText w:val="•"/>
      <w:lvlJc w:val="left"/>
      <w:pPr>
        <w:ind w:left="8395" w:hanging="429"/>
      </w:pPr>
      <w:rPr>
        <w:rFonts w:hint="default"/>
        <w:lang w:val="en-US" w:eastAsia="en-US" w:bidi="ar-SA"/>
      </w:rPr>
    </w:lvl>
  </w:abstractNum>
  <w:abstractNum w:abstractNumId="147">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3"/>
      <w:numFmt w:val="decimalZero"/>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46">
    <w:multiLevelType w:val="hybridMultilevel"/>
    <w:lvl w:ilvl="0">
      <w:start w:val="1"/>
      <w:numFmt w:val="decimal"/>
      <w:lvlText w:val="%1."/>
      <w:lvlJc w:val="left"/>
      <w:pPr>
        <w:ind w:left="694" w:hanging="335"/>
        <w:jc w:val="left"/>
      </w:pPr>
      <w:rPr>
        <w:rFonts w:hint="default"/>
        <w:spacing w:val="-1"/>
        <w:w w:val="100"/>
        <w:lang w:val="en-US" w:eastAsia="en-US" w:bidi="ar-SA"/>
      </w:rPr>
    </w:lvl>
    <w:lvl w:ilvl="1">
      <w:start w:val="0"/>
      <w:numFmt w:val="bullet"/>
      <w:lvlText w:val="•"/>
      <w:lvlJc w:val="left"/>
      <w:pPr>
        <w:ind w:left="1674" w:hanging="335"/>
      </w:pPr>
      <w:rPr>
        <w:rFonts w:hint="default"/>
        <w:lang w:val="en-US" w:eastAsia="en-US" w:bidi="ar-SA"/>
      </w:rPr>
    </w:lvl>
    <w:lvl w:ilvl="2">
      <w:start w:val="0"/>
      <w:numFmt w:val="bullet"/>
      <w:lvlText w:val="•"/>
      <w:lvlJc w:val="left"/>
      <w:pPr>
        <w:ind w:left="2648" w:hanging="335"/>
      </w:pPr>
      <w:rPr>
        <w:rFonts w:hint="default"/>
        <w:lang w:val="en-US" w:eastAsia="en-US" w:bidi="ar-SA"/>
      </w:rPr>
    </w:lvl>
    <w:lvl w:ilvl="3">
      <w:start w:val="0"/>
      <w:numFmt w:val="bullet"/>
      <w:lvlText w:val="•"/>
      <w:lvlJc w:val="left"/>
      <w:pPr>
        <w:ind w:left="3622" w:hanging="335"/>
      </w:pPr>
      <w:rPr>
        <w:rFonts w:hint="default"/>
        <w:lang w:val="en-US" w:eastAsia="en-US" w:bidi="ar-SA"/>
      </w:rPr>
    </w:lvl>
    <w:lvl w:ilvl="4">
      <w:start w:val="0"/>
      <w:numFmt w:val="bullet"/>
      <w:lvlText w:val="•"/>
      <w:lvlJc w:val="left"/>
      <w:pPr>
        <w:ind w:left="4596" w:hanging="335"/>
      </w:pPr>
      <w:rPr>
        <w:rFonts w:hint="default"/>
        <w:lang w:val="en-US" w:eastAsia="en-US" w:bidi="ar-SA"/>
      </w:rPr>
    </w:lvl>
    <w:lvl w:ilvl="5">
      <w:start w:val="0"/>
      <w:numFmt w:val="bullet"/>
      <w:lvlText w:val="•"/>
      <w:lvlJc w:val="left"/>
      <w:pPr>
        <w:ind w:left="5570" w:hanging="335"/>
      </w:pPr>
      <w:rPr>
        <w:rFonts w:hint="default"/>
        <w:lang w:val="en-US" w:eastAsia="en-US" w:bidi="ar-SA"/>
      </w:rPr>
    </w:lvl>
    <w:lvl w:ilvl="6">
      <w:start w:val="0"/>
      <w:numFmt w:val="bullet"/>
      <w:lvlText w:val="•"/>
      <w:lvlJc w:val="left"/>
      <w:pPr>
        <w:ind w:left="6544" w:hanging="335"/>
      </w:pPr>
      <w:rPr>
        <w:rFonts w:hint="default"/>
        <w:lang w:val="en-US" w:eastAsia="en-US" w:bidi="ar-SA"/>
      </w:rPr>
    </w:lvl>
    <w:lvl w:ilvl="7">
      <w:start w:val="0"/>
      <w:numFmt w:val="bullet"/>
      <w:lvlText w:val="•"/>
      <w:lvlJc w:val="left"/>
      <w:pPr>
        <w:ind w:left="7518" w:hanging="335"/>
      </w:pPr>
      <w:rPr>
        <w:rFonts w:hint="default"/>
        <w:lang w:val="en-US" w:eastAsia="en-US" w:bidi="ar-SA"/>
      </w:rPr>
    </w:lvl>
    <w:lvl w:ilvl="8">
      <w:start w:val="0"/>
      <w:numFmt w:val="bullet"/>
      <w:lvlText w:val="•"/>
      <w:lvlJc w:val="left"/>
      <w:pPr>
        <w:ind w:left="8492" w:hanging="335"/>
      </w:pPr>
      <w:rPr>
        <w:rFonts w:hint="default"/>
        <w:lang w:val="en-US" w:eastAsia="en-US" w:bidi="ar-SA"/>
      </w:rPr>
    </w:lvl>
  </w:abstractNum>
  <w:abstractNum w:abstractNumId="145">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220" w:hanging="429"/>
      </w:pPr>
      <w:rPr>
        <w:rFonts w:hint="default"/>
        <w:lang w:val="en-US" w:eastAsia="en-US" w:bidi="ar-SA"/>
      </w:rPr>
    </w:lvl>
    <w:lvl w:ilvl="3">
      <w:start w:val="0"/>
      <w:numFmt w:val="bullet"/>
      <w:lvlText w:val="•"/>
      <w:lvlJc w:val="left"/>
      <w:pPr>
        <w:ind w:left="2372" w:hanging="429"/>
      </w:pPr>
      <w:rPr>
        <w:rFonts w:hint="default"/>
        <w:lang w:val="en-US" w:eastAsia="en-US" w:bidi="ar-SA"/>
      </w:rPr>
    </w:lvl>
    <w:lvl w:ilvl="4">
      <w:start w:val="0"/>
      <w:numFmt w:val="bullet"/>
      <w:lvlText w:val="•"/>
      <w:lvlJc w:val="left"/>
      <w:pPr>
        <w:ind w:left="3525" w:hanging="429"/>
      </w:pPr>
      <w:rPr>
        <w:rFonts w:hint="default"/>
        <w:lang w:val="en-US" w:eastAsia="en-US" w:bidi="ar-SA"/>
      </w:rPr>
    </w:lvl>
    <w:lvl w:ilvl="5">
      <w:start w:val="0"/>
      <w:numFmt w:val="bullet"/>
      <w:lvlText w:val="•"/>
      <w:lvlJc w:val="left"/>
      <w:pPr>
        <w:ind w:left="4677" w:hanging="429"/>
      </w:pPr>
      <w:rPr>
        <w:rFonts w:hint="default"/>
        <w:lang w:val="en-US" w:eastAsia="en-US" w:bidi="ar-SA"/>
      </w:rPr>
    </w:lvl>
    <w:lvl w:ilvl="6">
      <w:start w:val="0"/>
      <w:numFmt w:val="bullet"/>
      <w:lvlText w:val="•"/>
      <w:lvlJc w:val="left"/>
      <w:pPr>
        <w:ind w:left="5830" w:hanging="429"/>
      </w:pPr>
      <w:rPr>
        <w:rFonts w:hint="default"/>
        <w:lang w:val="en-US" w:eastAsia="en-US" w:bidi="ar-SA"/>
      </w:rPr>
    </w:lvl>
    <w:lvl w:ilvl="7">
      <w:start w:val="0"/>
      <w:numFmt w:val="bullet"/>
      <w:lvlText w:val="•"/>
      <w:lvlJc w:val="left"/>
      <w:pPr>
        <w:ind w:left="6982" w:hanging="429"/>
      </w:pPr>
      <w:rPr>
        <w:rFonts w:hint="default"/>
        <w:lang w:val="en-US" w:eastAsia="en-US" w:bidi="ar-SA"/>
      </w:rPr>
    </w:lvl>
    <w:lvl w:ilvl="8">
      <w:start w:val="0"/>
      <w:numFmt w:val="bullet"/>
      <w:lvlText w:val="•"/>
      <w:lvlJc w:val="left"/>
      <w:pPr>
        <w:ind w:left="8135" w:hanging="429"/>
      </w:pPr>
      <w:rPr>
        <w:rFonts w:hint="default"/>
        <w:lang w:val="en-US" w:eastAsia="en-US" w:bidi="ar-SA"/>
      </w:rPr>
    </w:lvl>
  </w:abstractNum>
  <w:abstractNum w:abstractNumId="144">
    <w:multiLevelType w:val="hybridMultilevel"/>
    <w:lvl w:ilvl="0">
      <w:start w:val="1"/>
      <w:numFmt w:val="decimal"/>
      <w:lvlText w:val="%1."/>
      <w:lvlJc w:val="left"/>
      <w:pPr>
        <w:ind w:left="792" w:hanging="28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288"/>
      </w:pPr>
      <w:rPr>
        <w:rFonts w:hint="default"/>
        <w:lang w:val="en-US" w:eastAsia="en-US" w:bidi="ar-SA"/>
      </w:rPr>
    </w:lvl>
    <w:lvl w:ilvl="2">
      <w:start w:val="0"/>
      <w:numFmt w:val="bullet"/>
      <w:lvlText w:val="•"/>
      <w:lvlJc w:val="left"/>
      <w:pPr>
        <w:ind w:left="2728" w:hanging="288"/>
      </w:pPr>
      <w:rPr>
        <w:rFonts w:hint="default"/>
        <w:lang w:val="en-US" w:eastAsia="en-US" w:bidi="ar-SA"/>
      </w:rPr>
    </w:lvl>
    <w:lvl w:ilvl="3">
      <w:start w:val="0"/>
      <w:numFmt w:val="bullet"/>
      <w:lvlText w:val="•"/>
      <w:lvlJc w:val="left"/>
      <w:pPr>
        <w:ind w:left="3692" w:hanging="288"/>
      </w:pPr>
      <w:rPr>
        <w:rFonts w:hint="default"/>
        <w:lang w:val="en-US" w:eastAsia="en-US" w:bidi="ar-SA"/>
      </w:rPr>
    </w:lvl>
    <w:lvl w:ilvl="4">
      <w:start w:val="0"/>
      <w:numFmt w:val="bullet"/>
      <w:lvlText w:val="•"/>
      <w:lvlJc w:val="left"/>
      <w:pPr>
        <w:ind w:left="4656" w:hanging="288"/>
      </w:pPr>
      <w:rPr>
        <w:rFonts w:hint="default"/>
        <w:lang w:val="en-US" w:eastAsia="en-US" w:bidi="ar-SA"/>
      </w:rPr>
    </w:lvl>
    <w:lvl w:ilvl="5">
      <w:start w:val="0"/>
      <w:numFmt w:val="bullet"/>
      <w:lvlText w:val="•"/>
      <w:lvlJc w:val="left"/>
      <w:pPr>
        <w:ind w:left="5620" w:hanging="288"/>
      </w:pPr>
      <w:rPr>
        <w:rFonts w:hint="default"/>
        <w:lang w:val="en-US" w:eastAsia="en-US" w:bidi="ar-SA"/>
      </w:rPr>
    </w:lvl>
    <w:lvl w:ilvl="6">
      <w:start w:val="0"/>
      <w:numFmt w:val="bullet"/>
      <w:lvlText w:val="•"/>
      <w:lvlJc w:val="left"/>
      <w:pPr>
        <w:ind w:left="6584" w:hanging="288"/>
      </w:pPr>
      <w:rPr>
        <w:rFonts w:hint="default"/>
        <w:lang w:val="en-US" w:eastAsia="en-US" w:bidi="ar-SA"/>
      </w:rPr>
    </w:lvl>
    <w:lvl w:ilvl="7">
      <w:start w:val="0"/>
      <w:numFmt w:val="bullet"/>
      <w:lvlText w:val="•"/>
      <w:lvlJc w:val="left"/>
      <w:pPr>
        <w:ind w:left="7548" w:hanging="288"/>
      </w:pPr>
      <w:rPr>
        <w:rFonts w:hint="default"/>
        <w:lang w:val="en-US" w:eastAsia="en-US" w:bidi="ar-SA"/>
      </w:rPr>
    </w:lvl>
    <w:lvl w:ilvl="8">
      <w:start w:val="0"/>
      <w:numFmt w:val="bullet"/>
      <w:lvlText w:val="•"/>
      <w:lvlJc w:val="left"/>
      <w:pPr>
        <w:ind w:left="8512" w:hanging="288"/>
      </w:pPr>
      <w:rPr>
        <w:rFonts w:hint="default"/>
        <w:lang w:val="en-US" w:eastAsia="en-US" w:bidi="ar-SA"/>
      </w:rPr>
    </w:lvl>
  </w:abstractNum>
  <w:abstractNum w:abstractNumId="143">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81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88" w:hanging="429"/>
      </w:pPr>
      <w:rPr>
        <w:rFonts w:hint="default"/>
        <w:lang w:val="en-US" w:eastAsia="en-US" w:bidi="ar-SA"/>
      </w:rPr>
    </w:lvl>
    <w:lvl w:ilvl="3">
      <w:start w:val="0"/>
      <w:numFmt w:val="bullet"/>
      <w:lvlText w:val="•"/>
      <w:lvlJc w:val="left"/>
      <w:pPr>
        <w:ind w:left="2957" w:hanging="429"/>
      </w:pPr>
      <w:rPr>
        <w:rFonts w:hint="default"/>
        <w:lang w:val="en-US" w:eastAsia="en-US" w:bidi="ar-SA"/>
      </w:rPr>
    </w:lvl>
    <w:lvl w:ilvl="4">
      <w:start w:val="0"/>
      <w:numFmt w:val="bullet"/>
      <w:lvlText w:val="•"/>
      <w:lvlJc w:val="left"/>
      <w:pPr>
        <w:ind w:left="4026" w:hanging="429"/>
      </w:pPr>
      <w:rPr>
        <w:rFonts w:hint="default"/>
        <w:lang w:val="en-US" w:eastAsia="en-US" w:bidi="ar-SA"/>
      </w:rPr>
    </w:lvl>
    <w:lvl w:ilvl="5">
      <w:start w:val="0"/>
      <w:numFmt w:val="bullet"/>
      <w:lvlText w:val="•"/>
      <w:lvlJc w:val="left"/>
      <w:pPr>
        <w:ind w:left="5095" w:hanging="429"/>
      </w:pPr>
      <w:rPr>
        <w:rFonts w:hint="default"/>
        <w:lang w:val="en-US" w:eastAsia="en-US" w:bidi="ar-SA"/>
      </w:rPr>
    </w:lvl>
    <w:lvl w:ilvl="6">
      <w:start w:val="0"/>
      <w:numFmt w:val="bullet"/>
      <w:lvlText w:val="•"/>
      <w:lvlJc w:val="left"/>
      <w:pPr>
        <w:ind w:left="6164" w:hanging="429"/>
      </w:pPr>
      <w:rPr>
        <w:rFonts w:hint="default"/>
        <w:lang w:val="en-US" w:eastAsia="en-US" w:bidi="ar-SA"/>
      </w:rPr>
    </w:lvl>
    <w:lvl w:ilvl="7">
      <w:start w:val="0"/>
      <w:numFmt w:val="bullet"/>
      <w:lvlText w:val="•"/>
      <w:lvlJc w:val="left"/>
      <w:pPr>
        <w:ind w:left="7233" w:hanging="429"/>
      </w:pPr>
      <w:rPr>
        <w:rFonts w:hint="default"/>
        <w:lang w:val="en-US" w:eastAsia="en-US" w:bidi="ar-SA"/>
      </w:rPr>
    </w:lvl>
    <w:lvl w:ilvl="8">
      <w:start w:val="0"/>
      <w:numFmt w:val="bullet"/>
      <w:lvlText w:val="•"/>
      <w:lvlJc w:val="left"/>
      <w:pPr>
        <w:ind w:left="8302" w:hanging="429"/>
      </w:pPr>
      <w:rPr>
        <w:rFonts w:hint="default"/>
        <w:lang w:val="en-US" w:eastAsia="en-US" w:bidi="ar-SA"/>
      </w:rPr>
    </w:lvl>
  </w:abstractNum>
  <w:abstractNum w:abstractNumId="142">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8"/>
      </w:pPr>
      <w:rPr>
        <w:rFonts w:hint="default"/>
        <w:lang w:val="en-US" w:eastAsia="en-US" w:bidi="ar-SA"/>
      </w:rPr>
    </w:lvl>
    <w:lvl w:ilvl="2">
      <w:start w:val="0"/>
      <w:numFmt w:val="bullet"/>
      <w:lvlText w:val="•"/>
      <w:lvlJc w:val="left"/>
      <w:pPr>
        <w:ind w:left="2376" w:hanging="428"/>
      </w:pPr>
      <w:rPr>
        <w:rFonts w:hint="default"/>
        <w:lang w:val="en-US" w:eastAsia="en-US" w:bidi="ar-SA"/>
      </w:rPr>
    </w:lvl>
    <w:lvl w:ilvl="3">
      <w:start w:val="0"/>
      <w:numFmt w:val="bullet"/>
      <w:lvlText w:val="•"/>
      <w:lvlJc w:val="left"/>
      <w:pPr>
        <w:ind w:left="3384" w:hanging="428"/>
      </w:pPr>
      <w:rPr>
        <w:rFonts w:hint="default"/>
        <w:lang w:val="en-US" w:eastAsia="en-US" w:bidi="ar-SA"/>
      </w:rPr>
    </w:lvl>
    <w:lvl w:ilvl="4">
      <w:start w:val="0"/>
      <w:numFmt w:val="bullet"/>
      <w:lvlText w:val="•"/>
      <w:lvlJc w:val="left"/>
      <w:pPr>
        <w:ind w:left="4392" w:hanging="428"/>
      </w:pPr>
      <w:rPr>
        <w:rFonts w:hint="default"/>
        <w:lang w:val="en-US" w:eastAsia="en-US" w:bidi="ar-SA"/>
      </w:rPr>
    </w:lvl>
    <w:lvl w:ilvl="5">
      <w:start w:val="0"/>
      <w:numFmt w:val="bullet"/>
      <w:lvlText w:val="•"/>
      <w:lvlJc w:val="left"/>
      <w:pPr>
        <w:ind w:left="5400" w:hanging="428"/>
      </w:pPr>
      <w:rPr>
        <w:rFonts w:hint="default"/>
        <w:lang w:val="en-US" w:eastAsia="en-US" w:bidi="ar-SA"/>
      </w:rPr>
    </w:lvl>
    <w:lvl w:ilvl="6">
      <w:start w:val="0"/>
      <w:numFmt w:val="bullet"/>
      <w:lvlText w:val="•"/>
      <w:lvlJc w:val="left"/>
      <w:pPr>
        <w:ind w:left="6408" w:hanging="428"/>
      </w:pPr>
      <w:rPr>
        <w:rFonts w:hint="default"/>
        <w:lang w:val="en-US" w:eastAsia="en-US" w:bidi="ar-SA"/>
      </w:rPr>
    </w:lvl>
    <w:lvl w:ilvl="7">
      <w:start w:val="0"/>
      <w:numFmt w:val="bullet"/>
      <w:lvlText w:val="•"/>
      <w:lvlJc w:val="left"/>
      <w:pPr>
        <w:ind w:left="7416" w:hanging="428"/>
      </w:pPr>
      <w:rPr>
        <w:rFonts w:hint="default"/>
        <w:lang w:val="en-US" w:eastAsia="en-US" w:bidi="ar-SA"/>
      </w:rPr>
    </w:lvl>
    <w:lvl w:ilvl="8">
      <w:start w:val="0"/>
      <w:numFmt w:val="bullet"/>
      <w:lvlText w:val="•"/>
      <w:lvlJc w:val="left"/>
      <w:pPr>
        <w:ind w:left="8424" w:hanging="428"/>
      </w:pPr>
      <w:rPr>
        <w:rFonts w:hint="default"/>
        <w:lang w:val="en-US" w:eastAsia="en-US" w:bidi="ar-SA"/>
      </w:rPr>
    </w:lvl>
  </w:abstractNum>
  <w:abstractNum w:abstractNumId="141">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98"/>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40">
    <w:multiLevelType w:val="hybridMultilevel"/>
    <w:lvl w:ilvl="0">
      <w:start w:val="1"/>
      <w:numFmt w:val="decimal"/>
      <w:lvlText w:val="%1."/>
      <w:lvlJc w:val="left"/>
      <w:pPr>
        <w:ind w:left="1080" w:hanging="28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016" w:hanging="288"/>
      </w:pPr>
      <w:rPr>
        <w:rFonts w:hint="default"/>
        <w:lang w:val="en-US" w:eastAsia="en-US" w:bidi="ar-SA"/>
      </w:rPr>
    </w:lvl>
    <w:lvl w:ilvl="2">
      <w:start w:val="0"/>
      <w:numFmt w:val="bullet"/>
      <w:lvlText w:val="•"/>
      <w:lvlJc w:val="left"/>
      <w:pPr>
        <w:ind w:left="2952" w:hanging="288"/>
      </w:pPr>
      <w:rPr>
        <w:rFonts w:hint="default"/>
        <w:lang w:val="en-US" w:eastAsia="en-US" w:bidi="ar-SA"/>
      </w:rPr>
    </w:lvl>
    <w:lvl w:ilvl="3">
      <w:start w:val="0"/>
      <w:numFmt w:val="bullet"/>
      <w:lvlText w:val="•"/>
      <w:lvlJc w:val="left"/>
      <w:pPr>
        <w:ind w:left="3888" w:hanging="288"/>
      </w:pPr>
      <w:rPr>
        <w:rFonts w:hint="default"/>
        <w:lang w:val="en-US" w:eastAsia="en-US" w:bidi="ar-SA"/>
      </w:rPr>
    </w:lvl>
    <w:lvl w:ilvl="4">
      <w:start w:val="0"/>
      <w:numFmt w:val="bullet"/>
      <w:lvlText w:val="•"/>
      <w:lvlJc w:val="left"/>
      <w:pPr>
        <w:ind w:left="4824" w:hanging="288"/>
      </w:pPr>
      <w:rPr>
        <w:rFonts w:hint="default"/>
        <w:lang w:val="en-US" w:eastAsia="en-US" w:bidi="ar-SA"/>
      </w:rPr>
    </w:lvl>
    <w:lvl w:ilvl="5">
      <w:start w:val="0"/>
      <w:numFmt w:val="bullet"/>
      <w:lvlText w:val="•"/>
      <w:lvlJc w:val="left"/>
      <w:pPr>
        <w:ind w:left="5760" w:hanging="288"/>
      </w:pPr>
      <w:rPr>
        <w:rFonts w:hint="default"/>
        <w:lang w:val="en-US" w:eastAsia="en-US" w:bidi="ar-SA"/>
      </w:rPr>
    </w:lvl>
    <w:lvl w:ilvl="6">
      <w:start w:val="0"/>
      <w:numFmt w:val="bullet"/>
      <w:lvlText w:val="•"/>
      <w:lvlJc w:val="left"/>
      <w:pPr>
        <w:ind w:left="6696" w:hanging="288"/>
      </w:pPr>
      <w:rPr>
        <w:rFonts w:hint="default"/>
        <w:lang w:val="en-US" w:eastAsia="en-US" w:bidi="ar-SA"/>
      </w:rPr>
    </w:lvl>
    <w:lvl w:ilvl="7">
      <w:start w:val="0"/>
      <w:numFmt w:val="bullet"/>
      <w:lvlText w:val="•"/>
      <w:lvlJc w:val="left"/>
      <w:pPr>
        <w:ind w:left="7632" w:hanging="288"/>
      </w:pPr>
      <w:rPr>
        <w:rFonts w:hint="default"/>
        <w:lang w:val="en-US" w:eastAsia="en-US" w:bidi="ar-SA"/>
      </w:rPr>
    </w:lvl>
    <w:lvl w:ilvl="8">
      <w:start w:val="0"/>
      <w:numFmt w:val="bullet"/>
      <w:lvlText w:val="•"/>
      <w:lvlJc w:val="left"/>
      <w:pPr>
        <w:ind w:left="8568" w:hanging="288"/>
      </w:pPr>
      <w:rPr>
        <w:rFonts w:hint="default"/>
        <w:lang w:val="en-US" w:eastAsia="en-US" w:bidi="ar-SA"/>
      </w:rPr>
    </w:lvl>
  </w:abstractNum>
  <w:abstractNum w:abstractNumId="139">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3">
      <w:start w:val="1"/>
      <w:numFmt w:val="lowerRoman"/>
      <w:lvlText w:val="(%4)"/>
      <w:lvlJc w:val="left"/>
      <w:pPr>
        <w:ind w:left="1656" w:hanging="348"/>
        <w:jc w:val="left"/>
      </w:pPr>
      <w:rPr>
        <w:rFonts w:hint="default" w:ascii="Arial" w:hAnsi="Arial" w:eastAsia="Arial" w:cs="Arial"/>
        <w:b w:val="0"/>
        <w:bCs w:val="0"/>
        <w:i w:val="0"/>
        <w:iCs w:val="0"/>
        <w:spacing w:val="-1"/>
        <w:w w:val="100"/>
        <w:sz w:val="24"/>
        <w:szCs w:val="24"/>
        <w:lang w:val="en-US" w:eastAsia="en-US" w:bidi="ar-SA"/>
      </w:rPr>
    </w:lvl>
    <w:lvl w:ilvl="4">
      <w:start w:val="0"/>
      <w:numFmt w:val="bullet"/>
      <w:lvlText w:val="•"/>
      <w:lvlJc w:val="left"/>
      <w:pPr>
        <w:ind w:left="1680" w:hanging="348"/>
      </w:pPr>
      <w:rPr>
        <w:rFonts w:hint="default"/>
        <w:lang w:val="en-US" w:eastAsia="en-US" w:bidi="ar-SA"/>
      </w:rPr>
    </w:lvl>
    <w:lvl w:ilvl="5">
      <w:start w:val="0"/>
      <w:numFmt w:val="bullet"/>
      <w:lvlText w:val="•"/>
      <w:lvlJc w:val="left"/>
      <w:pPr>
        <w:ind w:left="2000" w:hanging="348"/>
      </w:pPr>
      <w:rPr>
        <w:rFonts w:hint="default"/>
        <w:lang w:val="en-US" w:eastAsia="en-US" w:bidi="ar-SA"/>
      </w:rPr>
    </w:lvl>
    <w:lvl w:ilvl="6">
      <w:start w:val="0"/>
      <w:numFmt w:val="bullet"/>
      <w:lvlText w:val="•"/>
      <w:lvlJc w:val="left"/>
      <w:pPr>
        <w:ind w:left="3688" w:hanging="348"/>
      </w:pPr>
      <w:rPr>
        <w:rFonts w:hint="default"/>
        <w:lang w:val="en-US" w:eastAsia="en-US" w:bidi="ar-SA"/>
      </w:rPr>
    </w:lvl>
    <w:lvl w:ilvl="7">
      <w:start w:val="0"/>
      <w:numFmt w:val="bullet"/>
      <w:lvlText w:val="•"/>
      <w:lvlJc w:val="left"/>
      <w:pPr>
        <w:ind w:left="5376" w:hanging="348"/>
      </w:pPr>
      <w:rPr>
        <w:rFonts w:hint="default"/>
        <w:lang w:val="en-US" w:eastAsia="en-US" w:bidi="ar-SA"/>
      </w:rPr>
    </w:lvl>
    <w:lvl w:ilvl="8">
      <w:start w:val="0"/>
      <w:numFmt w:val="bullet"/>
      <w:lvlText w:val="•"/>
      <w:lvlJc w:val="left"/>
      <w:pPr>
        <w:ind w:left="7064" w:hanging="348"/>
      </w:pPr>
      <w:rPr>
        <w:rFonts w:hint="default"/>
        <w:lang w:val="en-US" w:eastAsia="en-US" w:bidi="ar-SA"/>
      </w:rPr>
    </w:lvl>
  </w:abstractNum>
  <w:abstractNum w:abstractNumId="138">
    <w:multiLevelType w:val="hybridMultilevel"/>
    <w:lvl w:ilvl="0">
      <w:start w:val="1"/>
      <w:numFmt w:val="decimal"/>
      <w:lvlText w:val="%1."/>
      <w:lvlJc w:val="left"/>
      <w:pPr>
        <w:ind w:left="694" w:hanging="335"/>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674" w:hanging="335"/>
      </w:pPr>
      <w:rPr>
        <w:rFonts w:hint="default"/>
        <w:lang w:val="en-US" w:eastAsia="en-US" w:bidi="ar-SA"/>
      </w:rPr>
    </w:lvl>
    <w:lvl w:ilvl="2">
      <w:start w:val="0"/>
      <w:numFmt w:val="bullet"/>
      <w:lvlText w:val="•"/>
      <w:lvlJc w:val="left"/>
      <w:pPr>
        <w:ind w:left="2648" w:hanging="335"/>
      </w:pPr>
      <w:rPr>
        <w:rFonts w:hint="default"/>
        <w:lang w:val="en-US" w:eastAsia="en-US" w:bidi="ar-SA"/>
      </w:rPr>
    </w:lvl>
    <w:lvl w:ilvl="3">
      <w:start w:val="0"/>
      <w:numFmt w:val="bullet"/>
      <w:lvlText w:val="•"/>
      <w:lvlJc w:val="left"/>
      <w:pPr>
        <w:ind w:left="3622" w:hanging="335"/>
      </w:pPr>
      <w:rPr>
        <w:rFonts w:hint="default"/>
        <w:lang w:val="en-US" w:eastAsia="en-US" w:bidi="ar-SA"/>
      </w:rPr>
    </w:lvl>
    <w:lvl w:ilvl="4">
      <w:start w:val="0"/>
      <w:numFmt w:val="bullet"/>
      <w:lvlText w:val="•"/>
      <w:lvlJc w:val="left"/>
      <w:pPr>
        <w:ind w:left="4596" w:hanging="335"/>
      </w:pPr>
      <w:rPr>
        <w:rFonts w:hint="default"/>
        <w:lang w:val="en-US" w:eastAsia="en-US" w:bidi="ar-SA"/>
      </w:rPr>
    </w:lvl>
    <w:lvl w:ilvl="5">
      <w:start w:val="0"/>
      <w:numFmt w:val="bullet"/>
      <w:lvlText w:val="•"/>
      <w:lvlJc w:val="left"/>
      <w:pPr>
        <w:ind w:left="5570" w:hanging="335"/>
      </w:pPr>
      <w:rPr>
        <w:rFonts w:hint="default"/>
        <w:lang w:val="en-US" w:eastAsia="en-US" w:bidi="ar-SA"/>
      </w:rPr>
    </w:lvl>
    <w:lvl w:ilvl="6">
      <w:start w:val="0"/>
      <w:numFmt w:val="bullet"/>
      <w:lvlText w:val="•"/>
      <w:lvlJc w:val="left"/>
      <w:pPr>
        <w:ind w:left="6544" w:hanging="335"/>
      </w:pPr>
      <w:rPr>
        <w:rFonts w:hint="default"/>
        <w:lang w:val="en-US" w:eastAsia="en-US" w:bidi="ar-SA"/>
      </w:rPr>
    </w:lvl>
    <w:lvl w:ilvl="7">
      <w:start w:val="0"/>
      <w:numFmt w:val="bullet"/>
      <w:lvlText w:val="•"/>
      <w:lvlJc w:val="left"/>
      <w:pPr>
        <w:ind w:left="7518" w:hanging="335"/>
      </w:pPr>
      <w:rPr>
        <w:rFonts w:hint="default"/>
        <w:lang w:val="en-US" w:eastAsia="en-US" w:bidi="ar-SA"/>
      </w:rPr>
    </w:lvl>
    <w:lvl w:ilvl="8">
      <w:start w:val="0"/>
      <w:numFmt w:val="bullet"/>
      <w:lvlText w:val="•"/>
      <w:lvlJc w:val="left"/>
      <w:pPr>
        <w:ind w:left="8492" w:hanging="335"/>
      </w:pPr>
      <w:rPr>
        <w:rFonts w:hint="default"/>
        <w:lang w:val="en-US" w:eastAsia="en-US" w:bidi="ar-SA"/>
      </w:rPr>
    </w:lvl>
  </w:abstractNum>
  <w:abstractNum w:abstractNumId="137">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8"/>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677" w:hanging="454"/>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2775" w:hanging="454"/>
      </w:pPr>
      <w:rPr>
        <w:rFonts w:hint="default"/>
        <w:lang w:val="en-US" w:eastAsia="en-US" w:bidi="ar-SA"/>
      </w:rPr>
    </w:lvl>
    <w:lvl w:ilvl="4">
      <w:start w:val="0"/>
      <w:numFmt w:val="bullet"/>
      <w:lvlText w:val="•"/>
      <w:lvlJc w:val="left"/>
      <w:pPr>
        <w:ind w:left="3870" w:hanging="454"/>
      </w:pPr>
      <w:rPr>
        <w:rFonts w:hint="default"/>
        <w:lang w:val="en-US" w:eastAsia="en-US" w:bidi="ar-SA"/>
      </w:rPr>
    </w:lvl>
    <w:lvl w:ilvl="5">
      <w:start w:val="0"/>
      <w:numFmt w:val="bullet"/>
      <w:lvlText w:val="•"/>
      <w:lvlJc w:val="left"/>
      <w:pPr>
        <w:ind w:left="4965" w:hanging="454"/>
      </w:pPr>
      <w:rPr>
        <w:rFonts w:hint="default"/>
        <w:lang w:val="en-US" w:eastAsia="en-US" w:bidi="ar-SA"/>
      </w:rPr>
    </w:lvl>
    <w:lvl w:ilvl="6">
      <w:start w:val="0"/>
      <w:numFmt w:val="bullet"/>
      <w:lvlText w:val="•"/>
      <w:lvlJc w:val="left"/>
      <w:pPr>
        <w:ind w:left="6060" w:hanging="454"/>
      </w:pPr>
      <w:rPr>
        <w:rFonts w:hint="default"/>
        <w:lang w:val="en-US" w:eastAsia="en-US" w:bidi="ar-SA"/>
      </w:rPr>
    </w:lvl>
    <w:lvl w:ilvl="7">
      <w:start w:val="0"/>
      <w:numFmt w:val="bullet"/>
      <w:lvlText w:val="•"/>
      <w:lvlJc w:val="left"/>
      <w:pPr>
        <w:ind w:left="7155" w:hanging="454"/>
      </w:pPr>
      <w:rPr>
        <w:rFonts w:hint="default"/>
        <w:lang w:val="en-US" w:eastAsia="en-US" w:bidi="ar-SA"/>
      </w:rPr>
    </w:lvl>
    <w:lvl w:ilvl="8">
      <w:start w:val="0"/>
      <w:numFmt w:val="bullet"/>
      <w:lvlText w:val="•"/>
      <w:lvlJc w:val="left"/>
      <w:pPr>
        <w:ind w:left="8250" w:hanging="454"/>
      </w:pPr>
      <w:rPr>
        <w:rFonts w:hint="default"/>
        <w:lang w:val="en-US" w:eastAsia="en-US" w:bidi="ar-SA"/>
      </w:rPr>
    </w:lvl>
  </w:abstractNum>
  <w:abstractNum w:abstractNumId="136">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135">
    <w:multiLevelType w:val="hybridMultilevel"/>
    <w:lvl w:ilvl="0">
      <w:start w:val="8"/>
      <w:numFmt w:val="decimal"/>
      <w:lvlText w:val="%1"/>
      <w:lvlJc w:val="left"/>
      <w:pPr>
        <w:ind w:left="1439" w:hanging="1080"/>
        <w:jc w:val="left"/>
      </w:pPr>
      <w:rPr>
        <w:rFonts w:hint="default"/>
        <w:lang w:val="en-US" w:eastAsia="en-US" w:bidi="ar-SA"/>
      </w:rPr>
    </w:lvl>
    <w:lvl w:ilvl="1">
      <w:start w:val="11"/>
      <w:numFmt w:val="decimal"/>
      <w:lvlText w:val="%1-%2"/>
      <w:lvlJc w:val="left"/>
      <w:pPr>
        <w:ind w:left="1439" w:hanging="1080"/>
        <w:jc w:val="left"/>
      </w:pPr>
      <w:rPr>
        <w:rFonts w:hint="default"/>
        <w:lang w:val="en-US" w:eastAsia="en-US" w:bidi="ar-SA"/>
      </w:rPr>
    </w:lvl>
    <w:lvl w:ilvl="2">
      <w:start w:val="23"/>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34">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133">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8"/>
      </w:pPr>
      <w:rPr>
        <w:rFonts w:hint="default"/>
        <w:lang w:val="en-US" w:eastAsia="en-US" w:bidi="ar-SA"/>
      </w:rPr>
    </w:lvl>
    <w:lvl w:ilvl="2">
      <w:start w:val="0"/>
      <w:numFmt w:val="bullet"/>
      <w:lvlText w:val="•"/>
      <w:lvlJc w:val="left"/>
      <w:pPr>
        <w:ind w:left="2376" w:hanging="428"/>
      </w:pPr>
      <w:rPr>
        <w:rFonts w:hint="default"/>
        <w:lang w:val="en-US" w:eastAsia="en-US" w:bidi="ar-SA"/>
      </w:rPr>
    </w:lvl>
    <w:lvl w:ilvl="3">
      <w:start w:val="0"/>
      <w:numFmt w:val="bullet"/>
      <w:lvlText w:val="•"/>
      <w:lvlJc w:val="left"/>
      <w:pPr>
        <w:ind w:left="3384" w:hanging="428"/>
      </w:pPr>
      <w:rPr>
        <w:rFonts w:hint="default"/>
        <w:lang w:val="en-US" w:eastAsia="en-US" w:bidi="ar-SA"/>
      </w:rPr>
    </w:lvl>
    <w:lvl w:ilvl="4">
      <w:start w:val="0"/>
      <w:numFmt w:val="bullet"/>
      <w:lvlText w:val="•"/>
      <w:lvlJc w:val="left"/>
      <w:pPr>
        <w:ind w:left="4392" w:hanging="428"/>
      </w:pPr>
      <w:rPr>
        <w:rFonts w:hint="default"/>
        <w:lang w:val="en-US" w:eastAsia="en-US" w:bidi="ar-SA"/>
      </w:rPr>
    </w:lvl>
    <w:lvl w:ilvl="5">
      <w:start w:val="0"/>
      <w:numFmt w:val="bullet"/>
      <w:lvlText w:val="•"/>
      <w:lvlJc w:val="left"/>
      <w:pPr>
        <w:ind w:left="5400" w:hanging="428"/>
      </w:pPr>
      <w:rPr>
        <w:rFonts w:hint="default"/>
        <w:lang w:val="en-US" w:eastAsia="en-US" w:bidi="ar-SA"/>
      </w:rPr>
    </w:lvl>
    <w:lvl w:ilvl="6">
      <w:start w:val="0"/>
      <w:numFmt w:val="bullet"/>
      <w:lvlText w:val="•"/>
      <w:lvlJc w:val="left"/>
      <w:pPr>
        <w:ind w:left="6408" w:hanging="428"/>
      </w:pPr>
      <w:rPr>
        <w:rFonts w:hint="default"/>
        <w:lang w:val="en-US" w:eastAsia="en-US" w:bidi="ar-SA"/>
      </w:rPr>
    </w:lvl>
    <w:lvl w:ilvl="7">
      <w:start w:val="0"/>
      <w:numFmt w:val="bullet"/>
      <w:lvlText w:val="•"/>
      <w:lvlJc w:val="left"/>
      <w:pPr>
        <w:ind w:left="7416" w:hanging="428"/>
      </w:pPr>
      <w:rPr>
        <w:rFonts w:hint="default"/>
        <w:lang w:val="en-US" w:eastAsia="en-US" w:bidi="ar-SA"/>
      </w:rPr>
    </w:lvl>
    <w:lvl w:ilvl="8">
      <w:start w:val="0"/>
      <w:numFmt w:val="bullet"/>
      <w:lvlText w:val="•"/>
      <w:lvlJc w:val="left"/>
      <w:pPr>
        <w:ind w:left="8424" w:hanging="428"/>
      </w:pPr>
      <w:rPr>
        <w:rFonts w:hint="default"/>
        <w:lang w:val="en-US" w:eastAsia="en-US" w:bidi="ar-SA"/>
      </w:rPr>
    </w:lvl>
  </w:abstractNum>
  <w:abstractNum w:abstractNumId="132">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11"/>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31">
    <w:multiLevelType w:val="hybridMultilevel"/>
    <w:lvl w:ilvl="0">
      <w:start w:val="1"/>
      <w:numFmt w:val="decimal"/>
      <w:lvlText w:val="%1."/>
      <w:lvlJc w:val="left"/>
      <w:pPr>
        <w:ind w:left="1080" w:hanging="28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016" w:hanging="288"/>
      </w:pPr>
      <w:rPr>
        <w:rFonts w:hint="default"/>
        <w:lang w:val="en-US" w:eastAsia="en-US" w:bidi="ar-SA"/>
      </w:rPr>
    </w:lvl>
    <w:lvl w:ilvl="2">
      <w:start w:val="0"/>
      <w:numFmt w:val="bullet"/>
      <w:lvlText w:val="•"/>
      <w:lvlJc w:val="left"/>
      <w:pPr>
        <w:ind w:left="2952" w:hanging="288"/>
      </w:pPr>
      <w:rPr>
        <w:rFonts w:hint="default"/>
        <w:lang w:val="en-US" w:eastAsia="en-US" w:bidi="ar-SA"/>
      </w:rPr>
    </w:lvl>
    <w:lvl w:ilvl="3">
      <w:start w:val="0"/>
      <w:numFmt w:val="bullet"/>
      <w:lvlText w:val="•"/>
      <w:lvlJc w:val="left"/>
      <w:pPr>
        <w:ind w:left="3888" w:hanging="288"/>
      </w:pPr>
      <w:rPr>
        <w:rFonts w:hint="default"/>
        <w:lang w:val="en-US" w:eastAsia="en-US" w:bidi="ar-SA"/>
      </w:rPr>
    </w:lvl>
    <w:lvl w:ilvl="4">
      <w:start w:val="0"/>
      <w:numFmt w:val="bullet"/>
      <w:lvlText w:val="•"/>
      <w:lvlJc w:val="left"/>
      <w:pPr>
        <w:ind w:left="4824" w:hanging="288"/>
      </w:pPr>
      <w:rPr>
        <w:rFonts w:hint="default"/>
        <w:lang w:val="en-US" w:eastAsia="en-US" w:bidi="ar-SA"/>
      </w:rPr>
    </w:lvl>
    <w:lvl w:ilvl="5">
      <w:start w:val="0"/>
      <w:numFmt w:val="bullet"/>
      <w:lvlText w:val="•"/>
      <w:lvlJc w:val="left"/>
      <w:pPr>
        <w:ind w:left="5760" w:hanging="288"/>
      </w:pPr>
      <w:rPr>
        <w:rFonts w:hint="default"/>
        <w:lang w:val="en-US" w:eastAsia="en-US" w:bidi="ar-SA"/>
      </w:rPr>
    </w:lvl>
    <w:lvl w:ilvl="6">
      <w:start w:val="0"/>
      <w:numFmt w:val="bullet"/>
      <w:lvlText w:val="•"/>
      <w:lvlJc w:val="left"/>
      <w:pPr>
        <w:ind w:left="6696" w:hanging="288"/>
      </w:pPr>
      <w:rPr>
        <w:rFonts w:hint="default"/>
        <w:lang w:val="en-US" w:eastAsia="en-US" w:bidi="ar-SA"/>
      </w:rPr>
    </w:lvl>
    <w:lvl w:ilvl="7">
      <w:start w:val="0"/>
      <w:numFmt w:val="bullet"/>
      <w:lvlText w:val="•"/>
      <w:lvlJc w:val="left"/>
      <w:pPr>
        <w:ind w:left="7632" w:hanging="288"/>
      </w:pPr>
      <w:rPr>
        <w:rFonts w:hint="default"/>
        <w:lang w:val="en-US" w:eastAsia="en-US" w:bidi="ar-SA"/>
      </w:rPr>
    </w:lvl>
    <w:lvl w:ilvl="8">
      <w:start w:val="0"/>
      <w:numFmt w:val="bullet"/>
      <w:lvlText w:val="•"/>
      <w:lvlJc w:val="left"/>
      <w:pPr>
        <w:ind w:left="8568" w:hanging="288"/>
      </w:pPr>
      <w:rPr>
        <w:rFonts w:hint="default"/>
        <w:lang w:val="en-US" w:eastAsia="en-US" w:bidi="ar-SA"/>
      </w:rPr>
    </w:lvl>
  </w:abstractNum>
  <w:abstractNum w:abstractNumId="130">
    <w:multiLevelType w:val="hybridMultilevel"/>
    <w:lvl w:ilvl="0">
      <w:start w:val="1"/>
      <w:numFmt w:val="decimal"/>
      <w:lvlText w:val="(%1)"/>
      <w:lvlJc w:val="left"/>
      <w:pPr>
        <w:ind w:left="1800" w:hanging="42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664" w:hanging="428"/>
      </w:pPr>
      <w:rPr>
        <w:rFonts w:hint="default"/>
        <w:lang w:val="en-US" w:eastAsia="en-US" w:bidi="ar-SA"/>
      </w:rPr>
    </w:lvl>
    <w:lvl w:ilvl="2">
      <w:start w:val="0"/>
      <w:numFmt w:val="bullet"/>
      <w:lvlText w:val="•"/>
      <w:lvlJc w:val="left"/>
      <w:pPr>
        <w:ind w:left="3528" w:hanging="428"/>
      </w:pPr>
      <w:rPr>
        <w:rFonts w:hint="default"/>
        <w:lang w:val="en-US" w:eastAsia="en-US" w:bidi="ar-SA"/>
      </w:rPr>
    </w:lvl>
    <w:lvl w:ilvl="3">
      <w:start w:val="0"/>
      <w:numFmt w:val="bullet"/>
      <w:lvlText w:val="•"/>
      <w:lvlJc w:val="left"/>
      <w:pPr>
        <w:ind w:left="4392" w:hanging="428"/>
      </w:pPr>
      <w:rPr>
        <w:rFonts w:hint="default"/>
        <w:lang w:val="en-US" w:eastAsia="en-US" w:bidi="ar-SA"/>
      </w:rPr>
    </w:lvl>
    <w:lvl w:ilvl="4">
      <w:start w:val="0"/>
      <w:numFmt w:val="bullet"/>
      <w:lvlText w:val="•"/>
      <w:lvlJc w:val="left"/>
      <w:pPr>
        <w:ind w:left="5256" w:hanging="428"/>
      </w:pPr>
      <w:rPr>
        <w:rFonts w:hint="default"/>
        <w:lang w:val="en-US" w:eastAsia="en-US" w:bidi="ar-SA"/>
      </w:rPr>
    </w:lvl>
    <w:lvl w:ilvl="5">
      <w:start w:val="0"/>
      <w:numFmt w:val="bullet"/>
      <w:lvlText w:val="•"/>
      <w:lvlJc w:val="left"/>
      <w:pPr>
        <w:ind w:left="6120" w:hanging="428"/>
      </w:pPr>
      <w:rPr>
        <w:rFonts w:hint="default"/>
        <w:lang w:val="en-US" w:eastAsia="en-US" w:bidi="ar-SA"/>
      </w:rPr>
    </w:lvl>
    <w:lvl w:ilvl="6">
      <w:start w:val="0"/>
      <w:numFmt w:val="bullet"/>
      <w:lvlText w:val="•"/>
      <w:lvlJc w:val="left"/>
      <w:pPr>
        <w:ind w:left="6984" w:hanging="428"/>
      </w:pPr>
      <w:rPr>
        <w:rFonts w:hint="default"/>
        <w:lang w:val="en-US" w:eastAsia="en-US" w:bidi="ar-SA"/>
      </w:rPr>
    </w:lvl>
    <w:lvl w:ilvl="7">
      <w:start w:val="0"/>
      <w:numFmt w:val="bullet"/>
      <w:lvlText w:val="•"/>
      <w:lvlJc w:val="left"/>
      <w:pPr>
        <w:ind w:left="7848" w:hanging="428"/>
      </w:pPr>
      <w:rPr>
        <w:rFonts w:hint="default"/>
        <w:lang w:val="en-US" w:eastAsia="en-US" w:bidi="ar-SA"/>
      </w:rPr>
    </w:lvl>
    <w:lvl w:ilvl="8">
      <w:start w:val="0"/>
      <w:numFmt w:val="bullet"/>
      <w:lvlText w:val="•"/>
      <w:lvlJc w:val="left"/>
      <w:pPr>
        <w:ind w:left="8712" w:hanging="428"/>
      </w:pPr>
      <w:rPr>
        <w:rFonts w:hint="default"/>
        <w:lang w:val="en-US" w:eastAsia="en-US" w:bidi="ar-SA"/>
      </w:rPr>
    </w:lvl>
  </w:abstractNum>
  <w:abstractNum w:abstractNumId="129">
    <w:multiLevelType w:val="hybridMultilevel"/>
    <w:lvl w:ilvl="0">
      <w:start w:val="1"/>
      <w:numFmt w:val="decimal"/>
      <w:lvlText w:val="(%1)"/>
      <w:lvlJc w:val="left"/>
      <w:pPr>
        <w:ind w:left="81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upperLetter"/>
      <w:lvlText w:val="(%2)"/>
      <w:lvlJc w:val="left"/>
      <w:pPr>
        <w:ind w:left="1260" w:hanging="455"/>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80" w:hanging="455"/>
      </w:pPr>
      <w:rPr>
        <w:rFonts w:hint="default"/>
        <w:lang w:val="en-US" w:eastAsia="en-US" w:bidi="ar-SA"/>
      </w:rPr>
    </w:lvl>
    <w:lvl w:ilvl="3">
      <w:start w:val="0"/>
      <w:numFmt w:val="bullet"/>
      <w:lvlText w:val="•"/>
      <w:lvlJc w:val="left"/>
      <w:pPr>
        <w:ind w:left="3300" w:hanging="455"/>
      </w:pPr>
      <w:rPr>
        <w:rFonts w:hint="default"/>
        <w:lang w:val="en-US" w:eastAsia="en-US" w:bidi="ar-SA"/>
      </w:rPr>
    </w:lvl>
    <w:lvl w:ilvl="4">
      <w:start w:val="0"/>
      <w:numFmt w:val="bullet"/>
      <w:lvlText w:val="•"/>
      <w:lvlJc w:val="left"/>
      <w:pPr>
        <w:ind w:left="4320" w:hanging="455"/>
      </w:pPr>
      <w:rPr>
        <w:rFonts w:hint="default"/>
        <w:lang w:val="en-US" w:eastAsia="en-US" w:bidi="ar-SA"/>
      </w:rPr>
    </w:lvl>
    <w:lvl w:ilvl="5">
      <w:start w:val="0"/>
      <w:numFmt w:val="bullet"/>
      <w:lvlText w:val="•"/>
      <w:lvlJc w:val="left"/>
      <w:pPr>
        <w:ind w:left="5340" w:hanging="455"/>
      </w:pPr>
      <w:rPr>
        <w:rFonts w:hint="default"/>
        <w:lang w:val="en-US" w:eastAsia="en-US" w:bidi="ar-SA"/>
      </w:rPr>
    </w:lvl>
    <w:lvl w:ilvl="6">
      <w:start w:val="0"/>
      <w:numFmt w:val="bullet"/>
      <w:lvlText w:val="•"/>
      <w:lvlJc w:val="left"/>
      <w:pPr>
        <w:ind w:left="6360" w:hanging="455"/>
      </w:pPr>
      <w:rPr>
        <w:rFonts w:hint="default"/>
        <w:lang w:val="en-US" w:eastAsia="en-US" w:bidi="ar-SA"/>
      </w:rPr>
    </w:lvl>
    <w:lvl w:ilvl="7">
      <w:start w:val="0"/>
      <w:numFmt w:val="bullet"/>
      <w:lvlText w:val="•"/>
      <w:lvlJc w:val="left"/>
      <w:pPr>
        <w:ind w:left="7380" w:hanging="455"/>
      </w:pPr>
      <w:rPr>
        <w:rFonts w:hint="default"/>
        <w:lang w:val="en-US" w:eastAsia="en-US" w:bidi="ar-SA"/>
      </w:rPr>
    </w:lvl>
    <w:lvl w:ilvl="8">
      <w:start w:val="0"/>
      <w:numFmt w:val="bullet"/>
      <w:lvlText w:val="•"/>
      <w:lvlJc w:val="left"/>
      <w:pPr>
        <w:ind w:left="8400" w:hanging="455"/>
      </w:pPr>
      <w:rPr>
        <w:rFonts w:hint="default"/>
        <w:lang w:val="en-US" w:eastAsia="en-US" w:bidi="ar-SA"/>
      </w:rPr>
    </w:lvl>
  </w:abstractNum>
  <w:abstractNum w:abstractNumId="128">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220" w:hanging="429"/>
      </w:pPr>
      <w:rPr>
        <w:rFonts w:hint="default"/>
        <w:lang w:val="en-US" w:eastAsia="en-US" w:bidi="ar-SA"/>
      </w:rPr>
    </w:lvl>
    <w:lvl w:ilvl="3">
      <w:start w:val="0"/>
      <w:numFmt w:val="bullet"/>
      <w:lvlText w:val="•"/>
      <w:lvlJc w:val="left"/>
      <w:pPr>
        <w:ind w:left="2372" w:hanging="429"/>
      </w:pPr>
      <w:rPr>
        <w:rFonts w:hint="default"/>
        <w:lang w:val="en-US" w:eastAsia="en-US" w:bidi="ar-SA"/>
      </w:rPr>
    </w:lvl>
    <w:lvl w:ilvl="4">
      <w:start w:val="0"/>
      <w:numFmt w:val="bullet"/>
      <w:lvlText w:val="•"/>
      <w:lvlJc w:val="left"/>
      <w:pPr>
        <w:ind w:left="3525" w:hanging="429"/>
      </w:pPr>
      <w:rPr>
        <w:rFonts w:hint="default"/>
        <w:lang w:val="en-US" w:eastAsia="en-US" w:bidi="ar-SA"/>
      </w:rPr>
    </w:lvl>
    <w:lvl w:ilvl="5">
      <w:start w:val="0"/>
      <w:numFmt w:val="bullet"/>
      <w:lvlText w:val="•"/>
      <w:lvlJc w:val="left"/>
      <w:pPr>
        <w:ind w:left="4677" w:hanging="429"/>
      </w:pPr>
      <w:rPr>
        <w:rFonts w:hint="default"/>
        <w:lang w:val="en-US" w:eastAsia="en-US" w:bidi="ar-SA"/>
      </w:rPr>
    </w:lvl>
    <w:lvl w:ilvl="6">
      <w:start w:val="0"/>
      <w:numFmt w:val="bullet"/>
      <w:lvlText w:val="•"/>
      <w:lvlJc w:val="left"/>
      <w:pPr>
        <w:ind w:left="5830" w:hanging="429"/>
      </w:pPr>
      <w:rPr>
        <w:rFonts w:hint="default"/>
        <w:lang w:val="en-US" w:eastAsia="en-US" w:bidi="ar-SA"/>
      </w:rPr>
    </w:lvl>
    <w:lvl w:ilvl="7">
      <w:start w:val="0"/>
      <w:numFmt w:val="bullet"/>
      <w:lvlText w:val="•"/>
      <w:lvlJc w:val="left"/>
      <w:pPr>
        <w:ind w:left="6982" w:hanging="429"/>
      </w:pPr>
      <w:rPr>
        <w:rFonts w:hint="default"/>
        <w:lang w:val="en-US" w:eastAsia="en-US" w:bidi="ar-SA"/>
      </w:rPr>
    </w:lvl>
    <w:lvl w:ilvl="8">
      <w:start w:val="0"/>
      <w:numFmt w:val="bullet"/>
      <w:lvlText w:val="•"/>
      <w:lvlJc w:val="left"/>
      <w:pPr>
        <w:ind w:left="8135" w:hanging="429"/>
      </w:pPr>
      <w:rPr>
        <w:rFonts w:hint="default"/>
        <w:lang w:val="en-US" w:eastAsia="en-US" w:bidi="ar-SA"/>
      </w:rPr>
    </w:lvl>
  </w:abstractNum>
  <w:abstractNum w:abstractNumId="127">
    <w:multiLevelType w:val="hybridMultilevel"/>
    <w:lvl w:ilvl="0">
      <w:start w:val="1"/>
      <w:numFmt w:val="decimal"/>
      <w:lvlText w:val="%1."/>
      <w:lvlJc w:val="left"/>
      <w:pPr>
        <w:ind w:left="792" w:hanging="28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288"/>
      </w:pPr>
      <w:rPr>
        <w:rFonts w:hint="default"/>
        <w:lang w:val="en-US" w:eastAsia="en-US" w:bidi="ar-SA"/>
      </w:rPr>
    </w:lvl>
    <w:lvl w:ilvl="2">
      <w:start w:val="0"/>
      <w:numFmt w:val="bullet"/>
      <w:lvlText w:val="•"/>
      <w:lvlJc w:val="left"/>
      <w:pPr>
        <w:ind w:left="2728" w:hanging="288"/>
      </w:pPr>
      <w:rPr>
        <w:rFonts w:hint="default"/>
        <w:lang w:val="en-US" w:eastAsia="en-US" w:bidi="ar-SA"/>
      </w:rPr>
    </w:lvl>
    <w:lvl w:ilvl="3">
      <w:start w:val="0"/>
      <w:numFmt w:val="bullet"/>
      <w:lvlText w:val="•"/>
      <w:lvlJc w:val="left"/>
      <w:pPr>
        <w:ind w:left="3692" w:hanging="288"/>
      </w:pPr>
      <w:rPr>
        <w:rFonts w:hint="default"/>
        <w:lang w:val="en-US" w:eastAsia="en-US" w:bidi="ar-SA"/>
      </w:rPr>
    </w:lvl>
    <w:lvl w:ilvl="4">
      <w:start w:val="0"/>
      <w:numFmt w:val="bullet"/>
      <w:lvlText w:val="•"/>
      <w:lvlJc w:val="left"/>
      <w:pPr>
        <w:ind w:left="4656" w:hanging="288"/>
      </w:pPr>
      <w:rPr>
        <w:rFonts w:hint="default"/>
        <w:lang w:val="en-US" w:eastAsia="en-US" w:bidi="ar-SA"/>
      </w:rPr>
    </w:lvl>
    <w:lvl w:ilvl="5">
      <w:start w:val="0"/>
      <w:numFmt w:val="bullet"/>
      <w:lvlText w:val="•"/>
      <w:lvlJc w:val="left"/>
      <w:pPr>
        <w:ind w:left="5620" w:hanging="288"/>
      </w:pPr>
      <w:rPr>
        <w:rFonts w:hint="default"/>
        <w:lang w:val="en-US" w:eastAsia="en-US" w:bidi="ar-SA"/>
      </w:rPr>
    </w:lvl>
    <w:lvl w:ilvl="6">
      <w:start w:val="0"/>
      <w:numFmt w:val="bullet"/>
      <w:lvlText w:val="•"/>
      <w:lvlJc w:val="left"/>
      <w:pPr>
        <w:ind w:left="6584" w:hanging="288"/>
      </w:pPr>
      <w:rPr>
        <w:rFonts w:hint="default"/>
        <w:lang w:val="en-US" w:eastAsia="en-US" w:bidi="ar-SA"/>
      </w:rPr>
    </w:lvl>
    <w:lvl w:ilvl="7">
      <w:start w:val="0"/>
      <w:numFmt w:val="bullet"/>
      <w:lvlText w:val="•"/>
      <w:lvlJc w:val="left"/>
      <w:pPr>
        <w:ind w:left="7548" w:hanging="288"/>
      </w:pPr>
      <w:rPr>
        <w:rFonts w:hint="default"/>
        <w:lang w:val="en-US" w:eastAsia="en-US" w:bidi="ar-SA"/>
      </w:rPr>
    </w:lvl>
    <w:lvl w:ilvl="8">
      <w:start w:val="0"/>
      <w:numFmt w:val="bullet"/>
      <w:lvlText w:val="•"/>
      <w:lvlJc w:val="left"/>
      <w:pPr>
        <w:ind w:left="8512" w:hanging="288"/>
      </w:pPr>
      <w:rPr>
        <w:rFonts w:hint="default"/>
        <w:lang w:val="en-US" w:eastAsia="en-US" w:bidi="ar-SA"/>
      </w:rPr>
    </w:lvl>
  </w:abstractNum>
  <w:abstractNum w:abstractNumId="126">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810" w:hanging="429"/>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1680" w:hanging="455"/>
      </w:pPr>
      <w:rPr>
        <w:rFonts w:hint="default"/>
        <w:lang w:val="en-US" w:eastAsia="en-US" w:bidi="ar-SA"/>
      </w:rPr>
    </w:lvl>
    <w:lvl w:ilvl="4">
      <w:start w:val="0"/>
      <w:numFmt w:val="bullet"/>
      <w:lvlText w:val="•"/>
      <w:lvlJc w:val="left"/>
      <w:pPr>
        <w:ind w:left="2931" w:hanging="455"/>
      </w:pPr>
      <w:rPr>
        <w:rFonts w:hint="default"/>
        <w:lang w:val="en-US" w:eastAsia="en-US" w:bidi="ar-SA"/>
      </w:rPr>
    </w:lvl>
    <w:lvl w:ilvl="5">
      <w:start w:val="0"/>
      <w:numFmt w:val="bullet"/>
      <w:lvlText w:val="•"/>
      <w:lvlJc w:val="left"/>
      <w:pPr>
        <w:ind w:left="4182" w:hanging="455"/>
      </w:pPr>
      <w:rPr>
        <w:rFonts w:hint="default"/>
        <w:lang w:val="en-US" w:eastAsia="en-US" w:bidi="ar-SA"/>
      </w:rPr>
    </w:lvl>
    <w:lvl w:ilvl="6">
      <w:start w:val="0"/>
      <w:numFmt w:val="bullet"/>
      <w:lvlText w:val="•"/>
      <w:lvlJc w:val="left"/>
      <w:pPr>
        <w:ind w:left="5434" w:hanging="455"/>
      </w:pPr>
      <w:rPr>
        <w:rFonts w:hint="default"/>
        <w:lang w:val="en-US" w:eastAsia="en-US" w:bidi="ar-SA"/>
      </w:rPr>
    </w:lvl>
    <w:lvl w:ilvl="7">
      <w:start w:val="0"/>
      <w:numFmt w:val="bullet"/>
      <w:lvlText w:val="•"/>
      <w:lvlJc w:val="left"/>
      <w:pPr>
        <w:ind w:left="6685" w:hanging="455"/>
      </w:pPr>
      <w:rPr>
        <w:rFonts w:hint="default"/>
        <w:lang w:val="en-US" w:eastAsia="en-US" w:bidi="ar-SA"/>
      </w:rPr>
    </w:lvl>
    <w:lvl w:ilvl="8">
      <w:start w:val="0"/>
      <w:numFmt w:val="bullet"/>
      <w:lvlText w:val="•"/>
      <w:lvlJc w:val="left"/>
      <w:pPr>
        <w:ind w:left="7937" w:hanging="455"/>
      </w:pPr>
      <w:rPr>
        <w:rFonts w:hint="default"/>
        <w:lang w:val="en-US" w:eastAsia="en-US" w:bidi="ar-SA"/>
      </w:rPr>
    </w:lvl>
  </w:abstractNum>
  <w:abstractNum w:abstractNumId="125">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8"/>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677" w:hanging="454"/>
        <w:jc w:val="left"/>
      </w:pPr>
      <w:rPr>
        <w:rFonts w:hint="default" w:ascii="Arial" w:hAnsi="Arial" w:eastAsia="Arial" w:cs="Arial"/>
        <w:b w:val="0"/>
        <w:bCs w:val="0"/>
        <w:i w:val="0"/>
        <w:iCs w:val="0"/>
        <w:spacing w:val="-1"/>
        <w:w w:val="100"/>
        <w:sz w:val="24"/>
        <w:szCs w:val="24"/>
        <w:lang w:val="en-US" w:eastAsia="en-US" w:bidi="ar-SA"/>
      </w:rPr>
    </w:lvl>
    <w:lvl w:ilvl="3">
      <w:start w:val="1"/>
      <w:numFmt w:val="lowerRoman"/>
      <w:lvlText w:val="(%4)"/>
      <w:lvlJc w:val="left"/>
      <w:pPr>
        <w:ind w:left="1710" w:hanging="348"/>
        <w:jc w:val="left"/>
      </w:pPr>
      <w:rPr>
        <w:rFonts w:hint="default" w:ascii="Arial" w:hAnsi="Arial" w:eastAsia="Arial" w:cs="Arial"/>
        <w:b w:val="0"/>
        <w:bCs w:val="0"/>
        <w:i w:val="0"/>
        <w:iCs w:val="0"/>
        <w:spacing w:val="-1"/>
        <w:w w:val="100"/>
        <w:sz w:val="24"/>
        <w:szCs w:val="24"/>
        <w:lang w:val="en-US" w:eastAsia="en-US" w:bidi="ar-SA"/>
      </w:rPr>
    </w:lvl>
    <w:lvl w:ilvl="4">
      <w:start w:val="0"/>
      <w:numFmt w:val="bullet"/>
      <w:lvlText w:val="•"/>
      <w:lvlJc w:val="left"/>
      <w:pPr>
        <w:ind w:left="2948" w:hanging="348"/>
      </w:pPr>
      <w:rPr>
        <w:rFonts w:hint="default"/>
        <w:lang w:val="en-US" w:eastAsia="en-US" w:bidi="ar-SA"/>
      </w:rPr>
    </w:lvl>
    <w:lvl w:ilvl="5">
      <w:start w:val="0"/>
      <w:numFmt w:val="bullet"/>
      <w:lvlText w:val="•"/>
      <w:lvlJc w:val="left"/>
      <w:pPr>
        <w:ind w:left="4197" w:hanging="348"/>
      </w:pPr>
      <w:rPr>
        <w:rFonts w:hint="default"/>
        <w:lang w:val="en-US" w:eastAsia="en-US" w:bidi="ar-SA"/>
      </w:rPr>
    </w:lvl>
    <w:lvl w:ilvl="6">
      <w:start w:val="0"/>
      <w:numFmt w:val="bullet"/>
      <w:lvlText w:val="•"/>
      <w:lvlJc w:val="left"/>
      <w:pPr>
        <w:ind w:left="5445" w:hanging="348"/>
      </w:pPr>
      <w:rPr>
        <w:rFonts w:hint="default"/>
        <w:lang w:val="en-US" w:eastAsia="en-US" w:bidi="ar-SA"/>
      </w:rPr>
    </w:lvl>
    <w:lvl w:ilvl="7">
      <w:start w:val="0"/>
      <w:numFmt w:val="bullet"/>
      <w:lvlText w:val="•"/>
      <w:lvlJc w:val="left"/>
      <w:pPr>
        <w:ind w:left="6694" w:hanging="348"/>
      </w:pPr>
      <w:rPr>
        <w:rFonts w:hint="default"/>
        <w:lang w:val="en-US" w:eastAsia="en-US" w:bidi="ar-SA"/>
      </w:rPr>
    </w:lvl>
    <w:lvl w:ilvl="8">
      <w:start w:val="0"/>
      <w:numFmt w:val="bullet"/>
      <w:lvlText w:val="•"/>
      <w:lvlJc w:val="left"/>
      <w:pPr>
        <w:ind w:left="7942" w:hanging="348"/>
      </w:pPr>
      <w:rPr>
        <w:rFonts w:hint="default"/>
        <w:lang w:val="en-US" w:eastAsia="en-US" w:bidi="ar-SA"/>
      </w:rPr>
    </w:lvl>
  </w:abstractNum>
  <w:abstractNum w:abstractNumId="124">
    <w:multiLevelType w:val="hybridMultilevel"/>
    <w:lvl w:ilvl="0">
      <w:start w:val="1"/>
      <w:numFmt w:val="decimal"/>
      <w:lvlText w:val="%1."/>
      <w:lvlJc w:val="left"/>
      <w:pPr>
        <w:ind w:left="694" w:hanging="335"/>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674" w:hanging="335"/>
      </w:pPr>
      <w:rPr>
        <w:rFonts w:hint="default"/>
        <w:lang w:val="en-US" w:eastAsia="en-US" w:bidi="ar-SA"/>
      </w:rPr>
    </w:lvl>
    <w:lvl w:ilvl="2">
      <w:start w:val="0"/>
      <w:numFmt w:val="bullet"/>
      <w:lvlText w:val="•"/>
      <w:lvlJc w:val="left"/>
      <w:pPr>
        <w:ind w:left="2648" w:hanging="335"/>
      </w:pPr>
      <w:rPr>
        <w:rFonts w:hint="default"/>
        <w:lang w:val="en-US" w:eastAsia="en-US" w:bidi="ar-SA"/>
      </w:rPr>
    </w:lvl>
    <w:lvl w:ilvl="3">
      <w:start w:val="0"/>
      <w:numFmt w:val="bullet"/>
      <w:lvlText w:val="•"/>
      <w:lvlJc w:val="left"/>
      <w:pPr>
        <w:ind w:left="3622" w:hanging="335"/>
      </w:pPr>
      <w:rPr>
        <w:rFonts w:hint="default"/>
        <w:lang w:val="en-US" w:eastAsia="en-US" w:bidi="ar-SA"/>
      </w:rPr>
    </w:lvl>
    <w:lvl w:ilvl="4">
      <w:start w:val="0"/>
      <w:numFmt w:val="bullet"/>
      <w:lvlText w:val="•"/>
      <w:lvlJc w:val="left"/>
      <w:pPr>
        <w:ind w:left="4596" w:hanging="335"/>
      </w:pPr>
      <w:rPr>
        <w:rFonts w:hint="default"/>
        <w:lang w:val="en-US" w:eastAsia="en-US" w:bidi="ar-SA"/>
      </w:rPr>
    </w:lvl>
    <w:lvl w:ilvl="5">
      <w:start w:val="0"/>
      <w:numFmt w:val="bullet"/>
      <w:lvlText w:val="•"/>
      <w:lvlJc w:val="left"/>
      <w:pPr>
        <w:ind w:left="5570" w:hanging="335"/>
      </w:pPr>
      <w:rPr>
        <w:rFonts w:hint="default"/>
        <w:lang w:val="en-US" w:eastAsia="en-US" w:bidi="ar-SA"/>
      </w:rPr>
    </w:lvl>
    <w:lvl w:ilvl="6">
      <w:start w:val="0"/>
      <w:numFmt w:val="bullet"/>
      <w:lvlText w:val="•"/>
      <w:lvlJc w:val="left"/>
      <w:pPr>
        <w:ind w:left="6544" w:hanging="335"/>
      </w:pPr>
      <w:rPr>
        <w:rFonts w:hint="default"/>
        <w:lang w:val="en-US" w:eastAsia="en-US" w:bidi="ar-SA"/>
      </w:rPr>
    </w:lvl>
    <w:lvl w:ilvl="7">
      <w:start w:val="0"/>
      <w:numFmt w:val="bullet"/>
      <w:lvlText w:val="•"/>
      <w:lvlJc w:val="left"/>
      <w:pPr>
        <w:ind w:left="7518" w:hanging="335"/>
      </w:pPr>
      <w:rPr>
        <w:rFonts w:hint="default"/>
        <w:lang w:val="en-US" w:eastAsia="en-US" w:bidi="ar-SA"/>
      </w:rPr>
    </w:lvl>
    <w:lvl w:ilvl="8">
      <w:start w:val="0"/>
      <w:numFmt w:val="bullet"/>
      <w:lvlText w:val="•"/>
      <w:lvlJc w:val="left"/>
      <w:pPr>
        <w:ind w:left="8492" w:hanging="335"/>
      </w:pPr>
      <w:rPr>
        <w:rFonts w:hint="default"/>
        <w:lang w:val="en-US" w:eastAsia="en-US" w:bidi="ar-SA"/>
      </w:rPr>
    </w:lvl>
  </w:abstractNum>
  <w:abstractNum w:abstractNumId="123">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righ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122">
    <w:multiLevelType w:val="hybridMultilevel"/>
    <w:lvl w:ilvl="0">
      <w:start w:val="1"/>
      <w:numFmt w:val="decimal"/>
      <w:lvlText w:val="%1."/>
      <w:lvlJc w:val="left"/>
      <w:pPr>
        <w:ind w:left="792" w:hanging="28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288"/>
      </w:pPr>
      <w:rPr>
        <w:rFonts w:hint="default"/>
        <w:lang w:val="en-US" w:eastAsia="en-US" w:bidi="ar-SA"/>
      </w:rPr>
    </w:lvl>
    <w:lvl w:ilvl="2">
      <w:start w:val="0"/>
      <w:numFmt w:val="bullet"/>
      <w:lvlText w:val="•"/>
      <w:lvlJc w:val="left"/>
      <w:pPr>
        <w:ind w:left="2728" w:hanging="288"/>
      </w:pPr>
      <w:rPr>
        <w:rFonts w:hint="default"/>
        <w:lang w:val="en-US" w:eastAsia="en-US" w:bidi="ar-SA"/>
      </w:rPr>
    </w:lvl>
    <w:lvl w:ilvl="3">
      <w:start w:val="0"/>
      <w:numFmt w:val="bullet"/>
      <w:lvlText w:val="•"/>
      <w:lvlJc w:val="left"/>
      <w:pPr>
        <w:ind w:left="3692" w:hanging="288"/>
      </w:pPr>
      <w:rPr>
        <w:rFonts w:hint="default"/>
        <w:lang w:val="en-US" w:eastAsia="en-US" w:bidi="ar-SA"/>
      </w:rPr>
    </w:lvl>
    <w:lvl w:ilvl="4">
      <w:start w:val="0"/>
      <w:numFmt w:val="bullet"/>
      <w:lvlText w:val="•"/>
      <w:lvlJc w:val="left"/>
      <w:pPr>
        <w:ind w:left="4656" w:hanging="288"/>
      </w:pPr>
      <w:rPr>
        <w:rFonts w:hint="default"/>
        <w:lang w:val="en-US" w:eastAsia="en-US" w:bidi="ar-SA"/>
      </w:rPr>
    </w:lvl>
    <w:lvl w:ilvl="5">
      <w:start w:val="0"/>
      <w:numFmt w:val="bullet"/>
      <w:lvlText w:val="•"/>
      <w:lvlJc w:val="left"/>
      <w:pPr>
        <w:ind w:left="5620" w:hanging="288"/>
      </w:pPr>
      <w:rPr>
        <w:rFonts w:hint="default"/>
        <w:lang w:val="en-US" w:eastAsia="en-US" w:bidi="ar-SA"/>
      </w:rPr>
    </w:lvl>
    <w:lvl w:ilvl="6">
      <w:start w:val="0"/>
      <w:numFmt w:val="bullet"/>
      <w:lvlText w:val="•"/>
      <w:lvlJc w:val="left"/>
      <w:pPr>
        <w:ind w:left="6584" w:hanging="288"/>
      </w:pPr>
      <w:rPr>
        <w:rFonts w:hint="default"/>
        <w:lang w:val="en-US" w:eastAsia="en-US" w:bidi="ar-SA"/>
      </w:rPr>
    </w:lvl>
    <w:lvl w:ilvl="7">
      <w:start w:val="0"/>
      <w:numFmt w:val="bullet"/>
      <w:lvlText w:val="•"/>
      <w:lvlJc w:val="left"/>
      <w:pPr>
        <w:ind w:left="7548" w:hanging="288"/>
      </w:pPr>
      <w:rPr>
        <w:rFonts w:hint="default"/>
        <w:lang w:val="en-US" w:eastAsia="en-US" w:bidi="ar-SA"/>
      </w:rPr>
    </w:lvl>
    <w:lvl w:ilvl="8">
      <w:start w:val="0"/>
      <w:numFmt w:val="bullet"/>
      <w:lvlText w:val="•"/>
      <w:lvlJc w:val="left"/>
      <w:pPr>
        <w:ind w:left="8512" w:hanging="288"/>
      </w:pPr>
      <w:rPr>
        <w:rFonts w:hint="default"/>
        <w:lang w:val="en-US" w:eastAsia="en-US" w:bidi="ar-SA"/>
      </w:rPr>
    </w:lvl>
  </w:abstractNum>
  <w:abstractNum w:abstractNumId="121">
    <w:multiLevelType w:val="hybridMultilevel"/>
    <w:lvl w:ilvl="0">
      <w:start w:val="1"/>
      <w:numFmt w:val="lowerLetter"/>
      <w:lvlText w:val="(%1)"/>
      <w:lvlJc w:val="left"/>
      <w:pPr>
        <w:ind w:left="788"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220" w:hanging="428"/>
      </w:pPr>
      <w:rPr>
        <w:rFonts w:hint="default"/>
        <w:lang w:val="en-US" w:eastAsia="en-US" w:bidi="ar-SA"/>
      </w:rPr>
    </w:lvl>
    <w:lvl w:ilvl="3">
      <w:start w:val="0"/>
      <w:numFmt w:val="bullet"/>
      <w:lvlText w:val="•"/>
      <w:lvlJc w:val="left"/>
      <w:pPr>
        <w:ind w:left="2372" w:hanging="428"/>
      </w:pPr>
      <w:rPr>
        <w:rFonts w:hint="default"/>
        <w:lang w:val="en-US" w:eastAsia="en-US" w:bidi="ar-SA"/>
      </w:rPr>
    </w:lvl>
    <w:lvl w:ilvl="4">
      <w:start w:val="0"/>
      <w:numFmt w:val="bullet"/>
      <w:lvlText w:val="•"/>
      <w:lvlJc w:val="left"/>
      <w:pPr>
        <w:ind w:left="3525" w:hanging="428"/>
      </w:pPr>
      <w:rPr>
        <w:rFonts w:hint="default"/>
        <w:lang w:val="en-US" w:eastAsia="en-US" w:bidi="ar-SA"/>
      </w:rPr>
    </w:lvl>
    <w:lvl w:ilvl="5">
      <w:start w:val="0"/>
      <w:numFmt w:val="bullet"/>
      <w:lvlText w:val="•"/>
      <w:lvlJc w:val="left"/>
      <w:pPr>
        <w:ind w:left="4677" w:hanging="428"/>
      </w:pPr>
      <w:rPr>
        <w:rFonts w:hint="default"/>
        <w:lang w:val="en-US" w:eastAsia="en-US" w:bidi="ar-SA"/>
      </w:rPr>
    </w:lvl>
    <w:lvl w:ilvl="6">
      <w:start w:val="0"/>
      <w:numFmt w:val="bullet"/>
      <w:lvlText w:val="•"/>
      <w:lvlJc w:val="left"/>
      <w:pPr>
        <w:ind w:left="5830" w:hanging="428"/>
      </w:pPr>
      <w:rPr>
        <w:rFonts w:hint="default"/>
        <w:lang w:val="en-US" w:eastAsia="en-US" w:bidi="ar-SA"/>
      </w:rPr>
    </w:lvl>
    <w:lvl w:ilvl="7">
      <w:start w:val="0"/>
      <w:numFmt w:val="bullet"/>
      <w:lvlText w:val="•"/>
      <w:lvlJc w:val="left"/>
      <w:pPr>
        <w:ind w:left="6982" w:hanging="428"/>
      </w:pPr>
      <w:rPr>
        <w:rFonts w:hint="default"/>
        <w:lang w:val="en-US" w:eastAsia="en-US" w:bidi="ar-SA"/>
      </w:rPr>
    </w:lvl>
    <w:lvl w:ilvl="8">
      <w:start w:val="0"/>
      <w:numFmt w:val="bullet"/>
      <w:lvlText w:val="•"/>
      <w:lvlJc w:val="left"/>
      <w:pPr>
        <w:ind w:left="8135" w:hanging="428"/>
      </w:pPr>
      <w:rPr>
        <w:rFonts w:hint="default"/>
        <w:lang w:val="en-US" w:eastAsia="en-US" w:bidi="ar-SA"/>
      </w:rPr>
    </w:lvl>
  </w:abstractNum>
  <w:abstractNum w:abstractNumId="120">
    <w:multiLevelType w:val="hybridMultilevel"/>
    <w:lvl w:ilvl="0">
      <w:start w:val="8"/>
      <w:numFmt w:val="decimal"/>
      <w:lvlText w:val="%1"/>
      <w:lvlJc w:val="left"/>
      <w:pPr>
        <w:ind w:left="1440" w:hanging="1080"/>
        <w:jc w:val="left"/>
      </w:pPr>
      <w:rPr>
        <w:rFonts w:hint="default"/>
        <w:lang w:val="en-US" w:eastAsia="en-US" w:bidi="ar-SA"/>
      </w:rPr>
    </w:lvl>
    <w:lvl w:ilvl="1">
      <w:start w:val="11"/>
      <w:numFmt w:val="decimal"/>
      <w:lvlText w:val="%1-%2"/>
      <w:lvlJc w:val="left"/>
      <w:pPr>
        <w:ind w:left="1440" w:hanging="1080"/>
        <w:jc w:val="left"/>
      </w:pPr>
      <w:rPr>
        <w:rFonts w:hint="default"/>
        <w:lang w:val="en-US" w:eastAsia="en-US" w:bidi="ar-SA"/>
      </w:rPr>
    </w:lvl>
    <w:lvl w:ilvl="2">
      <w:start w:val="23"/>
      <w:numFmt w:val="decimal"/>
      <w:lvlText w:val="%1-%2-%3"/>
      <w:lvlJc w:val="left"/>
      <w:pPr>
        <w:ind w:left="1440" w:hanging="1080"/>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19">
    <w:multiLevelType w:val="hybridMultilevel"/>
    <w:lvl w:ilvl="0">
      <w:start w:val="1"/>
      <w:numFmt w:val="upperLetter"/>
      <w:lvlText w:val="(%1)"/>
      <w:lvlJc w:val="left"/>
      <w:pPr>
        <w:ind w:left="720" w:hanging="454"/>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692" w:hanging="454"/>
      </w:pPr>
      <w:rPr>
        <w:rFonts w:hint="default"/>
        <w:lang w:val="en-US" w:eastAsia="en-US" w:bidi="ar-SA"/>
      </w:rPr>
    </w:lvl>
    <w:lvl w:ilvl="2">
      <w:start w:val="0"/>
      <w:numFmt w:val="bullet"/>
      <w:lvlText w:val="•"/>
      <w:lvlJc w:val="left"/>
      <w:pPr>
        <w:ind w:left="2664" w:hanging="454"/>
      </w:pPr>
      <w:rPr>
        <w:rFonts w:hint="default"/>
        <w:lang w:val="en-US" w:eastAsia="en-US" w:bidi="ar-SA"/>
      </w:rPr>
    </w:lvl>
    <w:lvl w:ilvl="3">
      <w:start w:val="0"/>
      <w:numFmt w:val="bullet"/>
      <w:lvlText w:val="•"/>
      <w:lvlJc w:val="left"/>
      <w:pPr>
        <w:ind w:left="3636" w:hanging="454"/>
      </w:pPr>
      <w:rPr>
        <w:rFonts w:hint="default"/>
        <w:lang w:val="en-US" w:eastAsia="en-US" w:bidi="ar-SA"/>
      </w:rPr>
    </w:lvl>
    <w:lvl w:ilvl="4">
      <w:start w:val="0"/>
      <w:numFmt w:val="bullet"/>
      <w:lvlText w:val="•"/>
      <w:lvlJc w:val="left"/>
      <w:pPr>
        <w:ind w:left="4608" w:hanging="454"/>
      </w:pPr>
      <w:rPr>
        <w:rFonts w:hint="default"/>
        <w:lang w:val="en-US" w:eastAsia="en-US" w:bidi="ar-SA"/>
      </w:rPr>
    </w:lvl>
    <w:lvl w:ilvl="5">
      <w:start w:val="0"/>
      <w:numFmt w:val="bullet"/>
      <w:lvlText w:val="•"/>
      <w:lvlJc w:val="left"/>
      <w:pPr>
        <w:ind w:left="5580" w:hanging="454"/>
      </w:pPr>
      <w:rPr>
        <w:rFonts w:hint="default"/>
        <w:lang w:val="en-US" w:eastAsia="en-US" w:bidi="ar-SA"/>
      </w:rPr>
    </w:lvl>
    <w:lvl w:ilvl="6">
      <w:start w:val="0"/>
      <w:numFmt w:val="bullet"/>
      <w:lvlText w:val="•"/>
      <w:lvlJc w:val="left"/>
      <w:pPr>
        <w:ind w:left="6552" w:hanging="454"/>
      </w:pPr>
      <w:rPr>
        <w:rFonts w:hint="default"/>
        <w:lang w:val="en-US" w:eastAsia="en-US" w:bidi="ar-SA"/>
      </w:rPr>
    </w:lvl>
    <w:lvl w:ilvl="7">
      <w:start w:val="0"/>
      <w:numFmt w:val="bullet"/>
      <w:lvlText w:val="•"/>
      <w:lvlJc w:val="left"/>
      <w:pPr>
        <w:ind w:left="7524" w:hanging="454"/>
      </w:pPr>
      <w:rPr>
        <w:rFonts w:hint="default"/>
        <w:lang w:val="en-US" w:eastAsia="en-US" w:bidi="ar-SA"/>
      </w:rPr>
    </w:lvl>
    <w:lvl w:ilvl="8">
      <w:start w:val="0"/>
      <w:numFmt w:val="bullet"/>
      <w:lvlText w:val="•"/>
      <w:lvlJc w:val="left"/>
      <w:pPr>
        <w:ind w:left="8496" w:hanging="454"/>
      </w:pPr>
      <w:rPr>
        <w:rFonts w:hint="default"/>
        <w:lang w:val="en-US" w:eastAsia="en-US" w:bidi="ar-SA"/>
      </w:rPr>
    </w:lvl>
  </w:abstractNum>
  <w:abstractNum w:abstractNumId="118">
    <w:multiLevelType w:val="hybridMultilevel"/>
    <w:lvl w:ilvl="0">
      <w:start w:val="1"/>
      <w:numFmt w:val="decimal"/>
      <w:lvlText w:val="%1."/>
      <w:lvlJc w:val="left"/>
      <w:pPr>
        <w:ind w:left="360" w:hanging="335"/>
        <w:jc w:val="left"/>
      </w:pPr>
      <w:rPr>
        <w:rFonts w:hint="default" w:ascii="Arial" w:hAnsi="Arial" w:eastAsia="Arial" w:cs="Arial"/>
        <w:b w:val="0"/>
        <w:bCs w:val="0"/>
        <w:i w:val="0"/>
        <w:iCs w:val="0"/>
        <w:spacing w:val="-1"/>
        <w:w w:val="100"/>
        <w:sz w:val="24"/>
        <w:szCs w:val="24"/>
        <w:lang w:val="en-US" w:eastAsia="en-US" w:bidi="ar-SA"/>
      </w:rPr>
    </w:lvl>
    <w:lvl w:ilvl="1">
      <w:start w:val="1"/>
      <w:numFmt w:val="upperLetter"/>
      <w:lvlText w:val="(%2)"/>
      <w:lvlJc w:val="left"/>
      <w:pPr>
        <w:ind w:left="630" w:hanging="450"/>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720" w:hanging="450"/>
      </w:pPr>
      <w:rPr>
        <w:rFonts w:hint="default"/>
        <w:lang w:val="en-US" w:eastAsia="en-US" w:bidi="ar-SA"/>
      </w:rPr>
    </w:lvl>
    <w:lvl w:ilvl="3">
      <w:start w:val="0"/>
      <w:numFmt w:val="bullet"/>
      <w:lvlText w:val="•"/>
      <w:lvlJc w:val="left"/>
      <w:pPr>
        <w:ind w:left="1935" w:hanging="450"/>
      </w:pPr>
      <w:rPr>
        <w:rFonts w:hint="default"/>
        <w:lang w:val="en-US" w:eastAsia="en-US" w:bidi="ar-SA"/>
      </w:rPr>
    </w:lvl>
    <w:lvl w:ilvl="4">
      <w:start w:val="0"/>
      <w:numFmt w:val="bullet"/>
      <w:lvlText w:val="•"/>
      <w:lvlJc w:val="left"/>
      <w:pPr>
        <w:ind w:left="3150" w:hanging="450"/>
      </w:pPr>
      <w:rPr>
        <w:rFonts w:hint="default"/>
        <w:lang w:val="en-US" w:eastAsia="en-US" w:bidi="ar-SA"/>
      </w:rPr>
    </w:lvl>
    <w:lvl w:ilvl="5">
      <w:start w:val="0"/>
      <w:numFmt w:val="bullet"/>
      <w:lvlText w:val="•"/>
      <w:lvlJc w:val="left"/>
      <w:pPr>
        <w:ind w:left="4365" w:hanging="450"/>
      </w:pPr>
      <w:rPr>
        <w:rFonts w:hint="default"/>
        <w:lang w:val="en-US" w:eastAsia="en-US" w:bidi="ar-SA"/>
      </w:rPr>
    </w:lvl>
    <w:lvl w:ilvl="6">
      <w:start w:val="0"/>
      <w:numFmt w:val="bullet"/>
      <w:lvlText w:val="•"/>
      <w:lvlJc w:val="left"/>
      <w:pPr>
        <w:ind w:left="5580" w:hanging="450"/>
      </w:pPr>
      <w:rPr>
        <w:rFonts w:hint="default"/>
        <w:lang w:val="en-US" w:eastAsia="en-US" w:bidi="ar-SA"/>
      </w:rPr>
    </w:lvl>
    <w:lvl w:ilvl="7">
      <w:start w:val="0"/>
      <w:numFmt w:val="bullet"/>
      <w:lvlText w:val="•"/>
      <w:lvlJc w:val="left"/>
      <w:pPr>
        <w:ind w:left="6795" w:hanging="450"/>
      </w:pPr>
      <w:rPr>
        <w:rFonts w:hint="default"/>
        <w:lang w:val="en-US" w:eastAsia="en-US" w:bidi="ar-SA"/>
      </w:rPr>
    </w:lvl>
    <w:lvl w:ilvl="8">
      <w:start w:val="0"/>
      <w:numFmt w:val="bullet"/>
      <w:lvlText w:val="•"/>
      <w:lvlJc w:val="left"/>
      <w:pPr>
        <w:ind w:left="8010" w:hanging="450"/>
      </w:pPr>
      <w:rPr>
        <w:rFonts w:hint="default"/>
        <w:lang w:val="en-US" w:eastAsia="en-US" w:bidi="ar-SA"/>
      </w:rPr>
    </w:lvl>
  </w:abstractNum>
  <w:abstractNum w:abstractNumId="117">
    <w:multiLevelType w:val="hybridMultilevel"/>
    <w:lvl w:ilvl="0">
      <w:start w:val="4"/>
      <w:numFmt w:val="decimal"/>
      <w:lvlText w:val="(%1)"/>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upperLetter"/>
      <w:lvlText w:val="(%2)"/>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55"/>
      </w:pPr>
      <w:rPr>
        <w:rFonts w:hint="default"/>
        <w:lang w:val="en-US" w:eastAsia="en-US" w:bidi="ar-SA"/>
      </w:rPr>
    </w:lvl>
    <w:lvl w:ilvl="3">
      <w:start w:val="0"/>
      <w:numFmt w:val="bullet"/>
      <w:lvlText w:val="•"/>
      <w:lvlJc w:val="left"/>
      <w:pPr>
        <w:ind w:left="3268" w:hanging="455"/>
      </w:pPr>
      <w:rPr>
        <w:rFonts w:hint="default"/>
        <w:lang w:val="en-US" w:eastAsia="en-US" w:bidi="ar-SA"/>
      </w:rPr>
    </w:lvl>
    <w:lvl w:ilvl="4">
      <w:start w:val="0"/>
      <w:numFmt w:val="bullet"/>
      <w:lvlText w:val="•"/>
      <w:lvlJc w:val="left"/>
      <w:pPr>
        <w:ind w:left="4293" w:hanging="455"/>
      </w:pPr>
      <w:rPr>
        <w:rFonts w:hint="default"/>
        <w:lang w:val="en-US" w:eastAsia="en-US" w:bidi="ar-SA"/>
      </w:rPr>
    </w:lvl>
    <w:lvl w:ilvl="5">
      <w:start w:val="0"/>
      <w:numFmt w:val="bullet"/>
      <w:lvlText w:val="•"/>
      <w:lvlJc w:val="left"/>
      <w:pPr>
        <w:ind w:left="5317" w:hanging="455"/>
      </w:pPr>
      <w:rPr>
        <w:rFonts w:hint="default"/>
        <w:lang w:val="en-US" w:eastAsia="en-US" w:bidi="ar-SA"/>
      </w:rPr>
    </w:lvl>
    <w:lvl w:ilvl="6">
      <w:start w:val="0"/>
      <w:numFmt w:val="bullet"/>
      <w:lvlText w:val="•"/>
      <w:lvlJc w:val="left"/>
      <w:pPr>
        <w:ind w:left="6342" w:hanging="455"/>
      </w:pPr>
      <w:rPr>
        <w:rFonts w:hint="default"/>
        <w:lang w:val="en-US" w:eastAsia="en-US" w:bidi="ar-SA"/>
      </w:rPr>
    </w:lvl>
    <w:lvl w:ilvl="7">
      <w:start w:val="0"/>
      <w:numFmt w:val="bullet"/>
      <w:lvlText w:val="•"/>
      <w:lvlJc w:val="left"/>
      <w:pPr>
        <w:ind w:left="7366" w:hanging="455"/>
      </w:pPr>
      <w:rPr>
        <w:rFonts w:hint="default"/>
        <w:lang w:val="en-US" w:eastAsia="en-US" w:bidi="ar-SA"/>
      </w:rPr>
    </w:lvl>
    <w:lvl w:ilvl="8">
      <w:start w:val="0"/>
      <w:numFmt w:val="bullet"/>
      <w:lvlText w:val="•"/>
      <w:lvlJc w:val="left"/>
      <w:pPr>
        <w:ind w:left="8391" w:hanging="455"/>
      </w:pPr>
      <w:rPr>
        <w:rFonts w:hint="default"/>
        <w:lang w:val="en-US" w:eastAsia="en-US" w:bidi="ar-SA"/>
      </w:rPr>
    </w:lvl>
  </w:abstractNum>
  <w:abstractNum w:abstractNumId="116">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714" w:hanging="455"/>
        <w:jc w:val="left"/>
      </w:pPr>
      <w:rPr>
        <w:rFonts w:hint="default" w:ascii="Arial" w:hAnsi="Arial" w:eastAsia="Arial" w:cs="Arial"/>
        <w:b w:val="0"/>
        <w:bCs w:val="0"/>
        <w:i w:val="0"/>
        <w:iCs w:val="0"/>
        <w:spacing w:val="-1"/>
        <w:w w:val="100"/>
        <w:sz w:val="24"/>
        <w:szCs w:val="24"/>
        <w:lang w:val="en-US" w:eastAsia="en-US" w:bidi="ar-SA"/>
      </w:rPr>
    </w:lvl>
    <w:lvl w:ilvl="3">
      <w:start w:val="1"/>
      <w:numFmt w:val="lowerRoman"/>
      <w:lvlText w:val="(%4)"/>
      <w:lvlJc w:val="left"/>
      <w:pPr>
        <w:ind w:left="1710" w:hanging="348"/>
        <w:jc w:val="left"/>
      </w:pPr>
      <w:rPr>
        <w:rFonts w:hint="default" w:ascii="Arial" w:hAnsi="Arial" w:eastAsia="Arial" w:cs="Arial"/>
        <w:b w:val="0"/>
        <w:bCs w:val="0"/>
        <w:i w:val="0"/>
        <w:iCs w:val="0"/>
        <w:spacing w:val="-1"/>
        <w:w w:val="100"/>
        <w:sz w:val="24"/>
        <w:szCs w:val="24"/>
        <w:lang w:val="en-US" w:eastAsia="en-US" w:bidi="ar-SA"/>
      </w:rPr>
    </w:lvl>
    <w:lvl w:ilvl="4">
      <w:start w:val="1"/>
      <w:numFmt w:val="upperRoman"/>
      <w:lvlText w:val="(%5)"/>
      <w:lvlJc w:val="left"/>
      <w:pPr>
        <w:ind w:left="2088" w:hanging="362"/>
        <w:jc w:val="left"/>
      </w:pPr>
      <w:rPr>
        <w:rFonts w:hint="default" w:ascii="Arial" w:hAnsi="Arial" w:eastAsia="Arial" w:cs="Arial"/>
        <w:b w:val="0"/>
        <w:bCs w:val="0"/>
        <w:i w:val="0"/>
        <w:iCs w:val="0"/>
        <w:spacing w:val="0"/>
        <w:w w:val="100"/>
        <w:sz w:val="24"/>
        <w:szCs w:val="24"/>
        <w:lang w:val="en-US" w:eastAsia="en-US" w:bidi="ar-SA"/>
      </w:rPr>
    </w:lvl>
    <w:lvl w:ilvl="5">
      <w:start w:val="0"/>
      <w:numFmt w:val="bullet"/>
      <w:lvlText w:val="•"/>
      <w:lvlJc w:val="left"/>
      <w:pPr>
        <w:ind w:left="2080" w:hanging="362"/>
      </w:pPr>
      <w:rPr>
        <w:rFonts w:hint="default"/>
        <w:lang w:val="en-US" w:eastAsia="en-US" w:bidi="ar-SA"/>
      </w:rPr>
    </w:lvl>
    <w:lvl w:ilvl="6">
      <w:start w:val="0"/>
      <w:numFmt w:val="bullet"/>
      <w:lvlText w:val="•"/>
      <w:lvlJc w:val="left"/>
      <w:pPr>
        <w:ind w:left="2160" w:hanging="362"/>
      </w:pPr>
      <w:rPr>
        <w:rFonts w:hint="default"/>
        <w:lang w:val="en-US" w:eastAsia="en-US" w:bidi="ar-SA"/>
      </w:rPr>
    </w:lvl>
    <w:lvl w:ilvl="7">
      <w:start w:val="0"/>
      <w:numFmt w:val="bullet"/>
      <w:lvlText w:val="•"/>
      <w:lvlJc w:val="left"/>
      <w:pPr>
        <w:ind w:left="4230" w:hanging="362"/>
      </w:pPr>
      <w:rPr>
        <w:rFonts w:hint="default"/>
        <w:lang w:val="en-US" w:eastAsia="en-US" w:bidi="ar-SA"/>
      </w:rPr>
    </w:lvl>
    <w:lvl w:ilvl="8">
      <w:start w:val="0"/>
      <w:numFmt w:val="bullet"/>
      <w:lvlText w:val="•"/>
      <w:lvlJc w:val="left"/>
      <w:pPr>
        <w:ind w:left="6300" w:hanging="362"/>
      </w:pPr>
      <w:rPr>
        <w:rFonts w:hint="default"/>
        <w:lang w:val="en-US" w:eastAsia="en-US" w:bidi="ar-SA"/>
      </w:rPr>
    </w:lvl>
  </w:abstractNum>
  <w:abstractNum w:abstractNumId="115">
    <w:multiLevelType w:val="hybridMultilevel"/>
    <w:lvl w:ilvl="0">
      <w:start w:val="1"/>
      <w:numFmt w:val="lowerLetter"/>
      <w:lvlText w:val="%1."/>
      <w:lvlJc w:val="left"/>
      <w:pPr>
        <w:ind w:left="1530" w:hanging="360"/>
        <w:jc w:val="left"/>
      </w:pPr>
      <w:rPr>
        <w:rFonts w:hint="default" w:ascii="Arial" w:hAnsi="Arial" w:eastAsia="Arial" w:cs="Arial"/>
        <w:b w:val="0"/>
        <w:bCs w:val="0"/>
        <w:i w:val="0"/>
        <w:iCs w:val="0"/>
        <w:spacing w:val="-1"/>
        <w:w w:val="100"/>
        <w:sz w:val="24"/>
        <w:szCs w:val="24"/>
        <w:lang w:val="en-US" w:eastAsia="en-US" w:bidi="ar-SA"/>
      </w:rPr>
    </w:lvl>
    <w:lvl w:ilvl="1">
      <w:start w:val="1"/>
      <w:numFmt w:val="lowerRoman"/>
      <w:lvlText w:val="(%2)"/>
      <w:lvlJc w:val="left"/>
      <w:pPr>
        <w:ind w:left="2520" w:hanging="450"/>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3400" w:hanging="450"/>
      </w:pPr>
      <w:rPr>
        <w:rFonts w:hint="default"/>
        <w:lang w:val="en-US" w:eastAsia="en-US" w:bidi="ar-SA"/>
      </w:rPr>
    </w:lvl>
    <w:lvl w:ilvl="3">
      <w:start w:val="0"/>
      <w:numFmt w:val="bullet"/>
      <w:lvlText w:val="•"/>
      <w:lvlJc w:val="left"/>
      <w:pPr>
        <w:ind w:left="4280" w:hanging="450"/>
      </w:pPr>
      <w:rPr>
        <w:rFonts w:hint="default"/>
        <w:lang w:val="en-US" w:eastAsia="en-US" w:bidi="ar-SA"/>
      </w:rPr>
    </w:lvl>
    <w:lvl w:ilvl="4">
      <w:start w:val="0"/>
      <w:numFmt w:val="bullet"/>
      <w:lvlText w:val="•"/>
      <w:lvlJc w:val="left"/>
      <w:pPr>
        <w:ind w:left="5160" w:hanging="450"/>
      </w:pPr>
      <w:rPr>
        <w:rFonts w:hint="default"/>
        <w:lang w:val="en-US" w:eastAsia="en-US" w:bidi="ar-SA"/>
      </w:rPr>
    </w:lvl>
    <w:lvl w:ilvl="5">
      <w:start w:val="0"/>
      <w:numFmt w:val="bullet"/>
      <w:lvlText w:val="•"/>
      <w:lvlJc w:val="left"/>
      <w:pPr>
        <w:ind w:left="6040" w:hanging="450"/>
      </w:pPr>
      <w:rPr>
        <w:rFonts w:hint="default"/>
        <w:lang w:val="en-US" w:eastAsia="en-US" w:bidi="ar-SA"/>
      </w:rPr>
    </w:lvl>
    <w:lvl w:ilvl="6">
      <w:start w:val="0"/>
      <w:numFmt w:val="bullet"/>
      <w:lvlText w:val="•"/>
      <w:lvlJc w:val="left"/>
      <w:pPr>
        <w:ind w:left="6920" w:hanging="450"/>
      </w:pPr>
      <w:rPr>
        <w:rFonts w:hint="default"/>
        <w:lang w:val="en-US" w:eastAsia="en-US" w:bidi="ar-SA"/>
      </w:rPr>
    </w:lvl>
    <w:lvl w:ilvl="7">
      <w:start w:val="0"/>
      <w:numFmt w:val="bullet"/>
      <w:lvlText w:val="•"/>
      <w:lvlJc w:val="left"/>
      <w:pPr>
        <w:ind w:left="7800" w:hanging="450"/>
      </w:pPr>
      <w:rPr>
        <w:rFonts w:hint="default"/>
        <w:lang w:val="en-US" w:eastAsia="en-US" w:bidi="ar-SA"/>
      </w:rPr>
    </w:lvl>
    <w:lvl w:ilvl="8">
      <w:start w:val="0"/>
      <w:numFmt w:val="bullet"/>
      <w:lvlText w:val="•"/>
      <w:lvlJc w:val="left"/>
      <w:pPr>
        <w:ind w:left="8680" w:hanging="450"/>
      </w:pPr>
      <w:rPr>
        <w:rFonts w:hint="default"/>
        <w:lang w:val="en-US" w:eastAsia="en-US" w:bidi="ar-SA"/>
      </w:rPr>
    </w:lvl>
  </w:abstractNum>
  <w:abstractNum w:abstractNumId="114">
    <w:multiLevelType w:val="hybridMultilevel"/>
    <w:lvl w:ilvl="0">
      <w:start w:val="1"/>
      <w:numFmt w:val="lowerLetter"/>
      <w:lvlText w:val="%1."/>
      <w:lvlJc w:val="left"/>
      <w:pPr>
        <w:ind w:left="1530" w:hanging="36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430" w:hanging="360"/>
      </w:pPr>
      <w:rPr>
        <w:rFonts w:hint="default"/>
        <w:lang w:val="en-US" w:eastAsia="en-US" w:bidi="ar-SA"/>
      </w:rPr>
    </w:lvl>
    <w:lvl w:ilvl="2">
      <w:start w:val="0"/>
      <w:numFmt w:val="bullet"/>
      <w:lvlText w:val="•"/>
      <w:lvlJc w:val="left"/>
      <w:pPr>
        <w:ind w:left="3320" w:hanging="360"/>
      </w:pPr>
      <w:rPr>
        <w:rFonts w:hint="default"/>
        <w:lang w:val="en-US" w:eastAsia="en-US" w:bidi="ar-SA"/>
      </w:rPr>
    </w:lvl>
    <w:lvl w:ilvl="3">
      <w:start w:val="0"/>
      <w:numFmt w:val="bullet"/>
      <w:lvlText w:val="•"/>
      <w:lvlJc w:val="left"/>
      <w:pPr>
        <w:ind w:left="4210" w:hanging="360"/>
      </w:pPr>
      <w:rPr>
        <w:rFonts w:hint="default"/>
        <w:lang w:val="en-US" w:eastAsia="en-US" w:bidi="ar-SA"/>
      </w:rPr>
    </w:lvl>
    <w:lvl w:ilvl="4">
      <w:start w:val="0"/>
      <w:numFmt w:val="bullet"/>
      <w:lvlText w:val="•"/>
      <w:lvlJc w:val="left"/>
      <w:pPr>
        <w:ind w:left="5100" w:hanging="360"/>
      </w:pPr>
      <w:rPr>
        <w:rFonts w:hint="default"/>
        <w:lang w:val="en-US" w:eastAsia="en-US" w:bidi="ar-SA"/>
      </w:rPr>
    </w:lvl>
    <w:lvl w:ilvl="5">
      <w:start w:val="0"/>
      <w:numFmt w:val="bullet"/>
      <w:lvlText w:val="•"/>
      <w:lvlJc w:val="left"/>
      <w:pPr>
        <w:ind w:left="599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7770" w:hanging="360"/>
      </w:pPr>
      <w:rPr>
        <w:rFonts w:hint="default"/>
        <w:lang w:val="en-US" w:eastAsia="en-US" w:bidi="ar-SA"/>
      </w:rPr>
    </w:lvl>
    <w:lvl w:ilvl="8">
      <w:start w:val="0"/>
      <w:numFmt w:val="bullet"/>
      <w:lvlText w:val="•"/>
      <w:lvlJc w:val="left"/>
      <w:pPr>
        <w:ind w:left="8660" w:hanging="360"/>
      </w:pPr>
      <w:rPr>
        <w:rFonts w:hint="default"/>
        <w:lang w:val="en-US" w:eastAsia="en-US" w:bidi="ar-SA"/>
      </w:rPr>
    </w:lvl>
  </w:abstractNum>
  <w:abstractNum w:abstractNumId="113">
    <w:multiLevelType w:val="hybridMultilevel"/>
    <w:lvl w:ilvl="0">
      <w:start w:val="1"/>
      <w:numFmt w:val="decimal"/>
      <w:lvlText w:val="%1."/>
      <w:lvlJc w:val="left"/>
      <w:pPr>
        <w:ind w:left="810" w:hanging="45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224"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9"/>
      </w:pPr>
      <w:rPr>
        <w:rFonts w:hint="default"/>
        <w:lang w:val="en-US" w:eastAsia="en-US" w:bidi="ar-SA"/>
      </w:rPr>
    </w:lvl>
    <w:lvl w:ilvl="3">
      <w:start w:val="0"/>
      <w:numFmt w:val="bullet"/>
      <w:lvlText w:val="•"/>
      <w:lvlJc w:val="left"/>
      <w:pPr>
        <w:ind w:left="3268" w:hanging="429"/>
      </w:pPr>
      <w:rPr>
        <w:rFonts w:hint="default"/>
        <w:lang w:val="en-US" w:eastAsia="en-US" w:bidi="ar-SA"/>
      </w:rPr>
    </w:lvl>
    <w:lvl w:ilvl="4">
      <w:start w:val="0"/>
      <w:numFmt w:val="bullet"/>
      <w:lvlText w:val="•"/>
      <w:lvlJc w:val="left"/>
      <w:pPr>
        <w:ind w:left="4293" w:hanging="429"/>
      </w:pPr>
      <w:rPr>
        <w:rFonts w:hint="default"/>
        <w:lang w:val="en-US" w:eastAsia="en-US" w:bidi="ar-SA"/>
      </w:rPr>
    </w:lvl>
    <w:lvl w:ilvl="5">
      <w:start w:val="0"/>
      <w:numFmt w:val="bullet"/>
      <w:lvlText w:val="•"/>
      <w:lvlJc w:val="left"/>
      <w:pPr>
        <w:ind w:left="5317" w:hanging="429"/>
      </w:pPr>
      <w:rPr>
        <w:rFonts w:hint="default"/>
        <w:lang w:val="en-US" w:eastAsia="en-US" w:bidi="ar-SA"/>
      </w:rPr>
    </w:lvl>
    <w:lvl w:ilvl="6">
      <w:start w:val="0"/>
      <w:numFmt w:val="bullet"/>
      <w:lvlText w:val="•"/>
      <w:lvlJc w:val="left"/>
      <w:pPr>
        <w:ind w:left="6342" w:hanging="429"/>
      </w:pPr>
      <w:rPr>
        <w:rFonts w:hint="default"/>
        <w:lang w:val="en-US" w:eastAsia="en-US" w:bidi="ar-SA"/>
      </w:rPr>
    </w:lvl>
    <w:lvl w:ilvl="7">
      <w:start w:val="0"/>
      <w:numFmt w:val="bullet"/>
      <w:lvlText w:val="•"/>
      <w:lvlJc w:val="left"/>
      <w:pPr>
        <w:ind w:left="7366" w:hanging="429"/>
      </w:pPr>
      <w:rPr>
        <w:rFonts w:hint="default"/>
        <w:lang w:val="en-US" w:eastAsia="en-US" w:bidi="ar-SA"/>
      </w:rPr>
    </w:lvl>
    <w:lvl w:ilvl="8">
      <w:start w:val="0"/>
      <w:numFmt w:val="bullet"/>
      <w:lvlText w:val="•"/>
      <w:lvlJc w:val="left"/>
      <w:pPr>
        <w:ind w:left="8391" w:hanging="429"/>
      </w:pPr>
      <w:rPr>
        <w:rFonts w:hint="default"/>
        <w:lang w:val="en-US" w:eastAsia="en-US" w:bidi="ar-SA"/>
      </w:rPr>
    </w:lvl>
  </w:abstractNum>
  <w:abstractNum w:abstractNumId="112">
    <w:multiLevelType w:val="hybridMultilevel"/>
    <w:lvl w:ilvl="0">
      <w:start w:val="2"/>
      <w:numFmt w:val="lowerLetter"/>
      <w:lvlText w:val="(%1)"/>
      <w:lvlJc w:val="left"/>
      <w:pPr>
        <w:ind w:left="721" w:hanging="362"/>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820" w:hanging="428"/>
      </w:pPr>
      <w:rPr>
        <w:rFonts w:hint="default"/>
        <w:lang w:val="en-US" w:eastAsia="en-US" w:bidi="ar-SA"/>
      </w:rPr>
    </w:lvl>
    <w:lvl w:ilvl="3">
      <w:start w:val="0"/>
      <w:numFmt w:val="bullet"/>
      <w:lvlText w:val="•"/>
      <w:lvlJc w:val="left"/>
      <w:pPr>
        <w:ind w:left="1220" w:hanging="428"/>
      </w:pPr>
      <w:rPr>
        <w:rFonts w:hint="default"/>
        <w:lang w:val="en-US" w:eastAsia="en-US" w:bidi="ar-SA"/>
      </w:rPr>
    </w:lvl>
    <w:lvl w:ilvl="4">
      <w:start w:val="0"/>
      <w:numFmt w:val="bullet"/>
      <w:lvlText w:val="•"/>
      <w:lvlJc w:val="left"/>
      <w:pPr>
        <w:ind w:left="2537" w:hanging="428"/>
      </w:pPr>
      <w:rPr>
        <w:rFonts w:hint="default"/>
        <w:lang w:val="en-US" w:eastAsia="en-US" w:bidi="ar-SA"/>
      </w:rPr>
    </w:lvl>
    <w:lvl w:ilvl="5">
      <w:start w:val="0"/>
      <w:numFmt w:val="bullet"/>
      <w:lvlText w:val="•"/>
      <w:lvlJc w:val="left"/>
      <w:pPr>
        <w:ind w:left="3854" w:hanging="428"/>
      </w:pPr>
      <w:rPr>
        <w:rFonts w:hint="default"/>
        <w:lang w:val="en-US" w:eastAsia="en-US" w:bidi="ar-SA"/>
      </w:rPr>
    </w:lvl>
    <w:lvl w:ilvl="6">
      <w:start w:val="0"/>
      <w:numFmt w:val="bullet"/>
      <w:lvlText w:val="•"/>
      <w:lvlJc w:val="left"/>
      <w:pPr>
        <w:ind w:left="5171" w:hanging="428"/>
      </w:pPr>
      <w:rPr>
        <w:rFonts w:hint="default"/>
        <w:lang w:val="en-US" w:eastAsia="en-US" w:bidi="ar-SA"/>
      </w:rPr>
    </w:lvl>
    <w:lvl w:ilvl="7">
      <w:start w:val="0"/>
      <w:numFmt w:val="bullet"/>
      <w:lvlText w:val="•"/>
      <w:lvlJc w:val="left"/>
      <w:pPr>
        <w:ind w:left="6488" w:hanging="428"/>
      </w:pPr>
      <w:rPr>
        <w:rFonts w:hint="default"/>
        <w:lang w:val="en-US" w:eastAsia="en-US" w:bidi="ar-SA"/>
      </w:rPr>
    </w:lvl>
    <w:lvl w:ilvl="8">
      <w:start w:val="0"/>
      <w:numFmt w:val="bullet"/>
      <w:lvlText w:val="•"/>
      <w:lvlJc w:val="left"/>
      <w:pPr>
        <w:ind w:left="7805" w:hanging="428"/>
      </w:pPr>
      <w:rPr>
        <w:rFonts w:hint="default"/>
        <w:lang w:val="en-US" w:eastAsia="en-US" w:bidi="ar-SA"/>
      </w:rPr>
    </w:lvl>
  </w:abstractNum>
  <w:abstractNum w:abstractNumId="111">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110">
    <w:multiLevelType w:val="hybridMultilevel"/>
    <w:lvl w:ilvl="0">
      <w:start w:val="0"/>
      <w:numFmt w:val="bullet"/>
      <w:lvlText w:val=""/>
      <w:lvlJc w:val="left"/>
      <w:pPr>
        <w:ind w:left="79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2160" w:hanging="360"/>
      </w:pPr>
      <w:rPr>
        <w:rFonts w:hint="default" w:ascii="Courier New" w:hAnsi="Courier New" w:eastAsia="Courier New" w:cs="Courier New"/>
        <w:spacing w:val="0"/>
        <w:w w:val="100"/>
        <w:lang w:val="en-US" w:eastAsia="en-US" w:bidi="ar-SA"/>
      </w:rPr>
    </w:lvl>
    <w:lvl w:ilvl="2">
      <w:start w:val="0"/>
      <w:numFmt w:val="bullet"/>
      <w:lvlText w:val="•"/>
      <w:lvlJc w:val="left"/>
      <w:pPr>
        <w:ind w:left="3080" w:hanging="360"/>
      </w:pPr>
      <w:rPr>
        <w:rFonts w:hint="default"/>
        <w:lang w:val="en-US" w:eastAsia="en-US" w:bidi="ar-SA"/>
      </w:rPr>
    </w:lvl>
    <w:lvl w:ilvl="3">
      <w:start w:val="0"/>
      <w:numFmt w:val="bullet"/>
      <w:lvlText w:val="•"/>
      <w:lvlJc w:val="left"/>
      <w:pPr>
        <w:ind w:left="400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840" w:hanging="360"/>
      </w:pPr>
      <w:rPr>
        <w:rFonts w:hint="default"/>
        <w:lang w:val="en-US" w:eastAsia="en-US" w:bidi="ar-SA"/>
      </w:rPr>
    </w:lvl>
    <w:lvl w:ilvl="6">
      <w:start w:val="0"/>
      <w:numFmt w:val="bullet"/>
      <w:lvlText w:val="•"/>
      <w:lvlJc w:val="left"/>
      <w:pPr>
        <w:ind w:left="676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600" w:hanging="360"/>
      </w:pPr>
      <w:rPr>
        <w:rFonts w:hint="default"/>
        <w:lang w:val="en-US" w:eastAsia="en-US" w:bidi="ar-SA"/>
      </w:rPr>
    </w:lvl>
  </w:abstractNum>
  <w:abstractNum w:abstractNumId="109">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080" w:hanging="360"/>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120" w:hanging="360"/>
      </w:pPr>
      <w:rPr>
        <w:rFonts w:hint="default"/>
        <w:lang w:val="en-US" w:eastAsia="en-US" w:bidi="ar-SA"/>
      </w:rPr>
    </w:lvl>
    <w:lvl w:ilvl="3">
      <w:start w:val="0"/>
      <w:numFmt w:val="bullet"/>
      <w:lvlText w:val="•"/>
      <w:lvlJc w:val="left"/>
      <w:pPr>
        <w:ind w:left="316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28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360" w:hanging="360"/>
      </w:pPr>
      <w:rPr>
        <w:rFonts w:hint="default"/>
        <w:lang w:val="en-US" w:eastAsia="en-US" w:bidi="ar-SA"/>
      </w:rPr>
    </w:lvl>
  </w:abstractNum>
  <w:abstractNum w:abstractNumId="108">
    <w:multiLevelType w:val="hybridMultilevel"/>
    <w:lvl w:ilvl="0">
      <w:start w:val="8"/>
      <w:numFmt w:val="decimal"/>
      <w:lvlText w:val="%1"/>
      <w:lvlJc w:val="left"/>
      <w:pPr>
        <w:ind w:left="1440" w:hanging="1080"/>
        <w:jc w:val="left"/>
      </w:pPr>
      <w:rPr>
        <w:rFonts w:hint="default"/>
        <w:lang w:val="en-US" w:eastAsia="en-US" w:bidi="ar-SA"/>
      </w:rPr>
    </w:lvl>
    <w:lvl w:ilvl="1">
      <w:start w:val="11"/>
      <w:numFmt w:val="decimal"/>
      <w:lvlText w:val="%1-%2"/>
      <w:lvlJc w:val="left"/>
      <w:pPr>
        <w:ind w:left="1440" w:hanging="1080"/>
        <w:jc w:val="left"/>
      </w:pPr>
      <w:rPr>
        <w:rFonts w:hint="default"/>
        <w:lang w:val="en-US" w:eastAsia="en-US" w:bidi="ar-SA"/>
      </w:rPr>
    </w:lvl>
    <w:lvl w:ilvl="2">
      <w:start w:val="23"/>
      <w:numFmt w:val="decimal"/>
      <w:lvlText w:val="%1-%2-%3"/>
      <w:lvlJc w:val="left"/>
      <w:pPr>
        <w:ind w:left="1440" w:hanging="1080"/>
        <w:jc w:val="left"/>
      </w:pPr>
      <w:rPr>
        <w:rFonts w:hint="default"/>
        <w:spacing w:val="-1"/>
        <w:w w:val="100"/>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07">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10"/>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06">
    <w:multiLevelType w:val="hybridMultilevel"/>
    <w:lvl w:ilvl="0">
      <w:start w:val="1"/>
      <w:numFmt w:val="decimal"/>
      <w:lvlText w:val="(%1)"/>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upperLetter"/>
      <w:lvlText w:val="(%2)"/>
      <w:lvlJc w:val="left"/>
      <w:pPr>
        <w:ind w:left="1530" w:hanging="455"/>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511" w:hanging="455"/>
      </w:pPr>
      <w:rPr>
        <w:rFonts w:hint="default"/>
        <w:lang w:val="en-US" w:eastAsia="en-US" w:bidi="ar-SA"/>
      </w:rPr>
    </w:lvl>
    <w:lvl w:ilvl="3">
      <w:start w:val="0"/>
      <w:numFmt w:val="bullet"/>
      <w:lvlText w:val="•"/>
      <w:lvlJc w:val="left"/>
      <w:pPr>
        <w:ind w:left="3502" w:hanging="455"/>
      </w:pPr>
      <w:rPr>
        <w:rFonts w:hint="default"/>
        <w:lang w:val="en-US" w:eastAsia="en-US" w:bidi="ar-SA"/>
      </w:rPr>
    </w:lvl>
    <w:lvl w:ilvl="4">
      <w:start w:val="0"/>
      <w:numFmt w:val="bullet"/>
      <w:lvlText w:val="•"/>
      <w:lvlJc w:val="left"/>
      <w:pPr>
        <w:ind w:left="4493" w:hanging="455"/>
      </w:pPr>
      <w:rPr>
        <w:rFonts w:hint="default"/>
        <w:lang w:val="en-US" w:eastAsia="en-US" w:bidi="ar-SA"/>
      </w:rPr>
    </w:lvl>
    <w:lvl w:ilvl="5">
      <w:start w:val="0"/>
      <w:numFmt w:val="bullet"/>
      <w:lvlText w:val="•"/>
      <w:lvlJc w:val="left"/>
      <w:pPr>
        <w:ind w:left="5484" w:hanging="455"/>
      </w:pPr>
      <w:rPr>
        <w:rFonts w:hint="default"/>
        <w:lang w:val="en-US" w:eastAsia="en-US" w:bidi="ar-SA"/>
      </w:rPr>
    </w:lvl>
    <w:lvl w:ilvl="6">
      <w:start w:val="0"/>
      <w:numFmt w:val="bullet"/>
      <w:lvlText w:val="•"/>
      <w:lvlJc w:val="left"/>
      <w:pPr>
        <w:ind w:left="6475" w:hanging="455"/>
      </w:pPr>
      <w:rPr>
        <w:rFonts w:hint="default"/>
        <w:lang w:val="en-US" w:eastAsia="en-US" w:bidi="ar-SA"/>
      </w:rPr>
    </w:lvl>
    <w:lvl w:ilvl="7">
      <w:start w:val="0"/>
      <w:numFmt w:val="bullet"/>
      <w:lvlText w:val="•"/>
      <w:lvlJc w:val="left"/>
      <w:pPr>
        <w:ind w:left="7466" w:hanging="455"/>
      </w:pPr>
      <w:rPr>
        <w:rFonts w:hint="default"/>
        <w:lang w:val="en-US" w:eastAsia="en-US" w:bidi="ar-SA"/>
      </w:rPr>
    </w:lvl>
    <w:lvl w:ilvl="8">
      <w:start w:val="0"/>
      <w:numFmt w:val="bullet"/>
      <w:lvlText w:val="•"/>
      <w:lvlJc w:val="left"/>
      <w:pPr>
        <w:ind w:left="8457" w:hanging="455"/>
      </w:pPr>
      <w:rPr>
        <w:rFonts w:hint="default"/>
        <w:lang w:val="en-US" w:eastAsia="en-US" w:bidi="ar-SA"/>
      </w:rPr>
    </w:lvl>
  </w:abstractNum>
  <w:abstractNum w:abstractNumId="105">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81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88" w:hanging="429"/>
      </w:pPr>
      <w:rPr>
        <w:rFonts w:hint="default"/>
        <w:lang w:val="en-US" w:eastAsia="en-US" w:bidi="ar-SA"/>
      </w:rPr>
    </w:lvl>
    <w:lvl w:ilvl="3">
      <w:start w:val="0"/>
      <w:numFmt w:val="bullet"/>
      <w:lvlText w:val="•"/>
      <w:lvlJc w:val="left"/>
      <w:pPr>
        <w:ind w:left="2957" w:hanging="429"/>
      </w:pPr>
      <w:rPr>
        <w:rFonts w:hint="default"/>
        <w:lang w:val="en-US" w:eastAsia="en-US" w:bidi="ar-SA"/>
      </w:rPr>
    </w:lvl>
    <w:lvl w:ilvl="4">
      <w:start w:val="0"/>
      <w:numFmt w:val="bullet"/>
      <w:lvlText w:val="•"/>
      <w:lvlJc w:val="left"/>
      <w:pPr>
        <w:ind w:left="4026" w:hanging="429"/>
      </w:pPr>
      <w:rPr>
        <w:rFonts w:hint="default"/>
        <w:lang w:val="en-US" w:eastAsia="en-US" w:bidi="ar-SA"/>
      </w:rPr>
    </w:lvl>
    <w:lvl w:ilvl="5">
      <w:start w:val="0"/>
      <w:numFmt w:val="bullet"/>
      <w:lvlText w:val="•"/>
      <w:lvlJc w:val="left"/>
      <w:pPr>
        <w:ind w:left="5095" w:hanging="429"/>
      </w:pPr>
      <w:rPr>
        <w:rFonts w:hint="default"/>
        <w:lang w:val="en-US" w:eastAsia="en-US" w:bidi="ar-SA"/>
      </w:rPr>
    </w:lvl>
    <w:lvl w:ilvl="6">
      <w:start w:val="0"/>
      <w:numFmt w:val="bullet"/>
      <w:lvlText w:val="•"/>
      <w:lvlJc w:val="left"/>
      <w:pPr>
        <w:ind w:left="6164" w:hanging="429"/>
      </w:pPr>
      <w:rPr>
        <w:rFonts w:hint="default"/>
        <w:lang w:val="en-US" w:eastAsia="en-US" w:bidi="ar-SA"/>
      </w:rPr>
    </w:lvl>
    <w:lvl w:ilvl="7">
      <w:start w:val="0"/>
      <w:numFmt w:val="bullet"/>
      <w:lvlText w:val="•"/>
      <w:lvlJc w:val="left"/>
      <w:pPr>
        <w:ind w:left="7233" w:hanging="429"/>
      </w:pPr>
      <w:rPr>
        <w:rFonts w:hint="default"/>
        <w:lang w:val="en-US" w:eastAsia="en-US" w:bidi="ar-SA"/>
      </w:rPr>
    </w:lvl>
    <w:lvl w:ilvl="8">
      <w:start w:val="0"/>
      <w:numFmt w:val="bullet"/>
      <w:lvlText w:val="•"/>
      <w:lvlJc w:val="left"/>
      <w:pPr>
        <w:ind w:left="8302" w:hanging="429"/>
      </w:pPr>
      <w:rPr>
        <w:rFonts w:hint="default"/>
        <w:lang w:val="en-US" w:eastAsia="en-US" w:bidi="ar-SA"/>
      </w:rPr>
    </w:lvl>
  </w:abstractNum>
  <w:abstractNum w:abstractNumId="104">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9"/>
      </w:pPr>
      <w:rPr>
        <w:rFonts w:hint="default"/>
        <w:lang w:val="en-US" w:eastAsia="en-US" w:bidi="ar-SA"/>
      </w:rPr>
    </w:lvl>
    <w:lvl w:ilvl="3">
      <w:start w:val="0"/>
      <w:numFmt w:val="bullet"/>
      <w:lvlText w:val="•"/>
      <w:lvlJc w:val="left"/>
      <w:pPr>
        <w:ind w:left="3268" w:hanging="429"/>
      </w:pPr>
      <w:rPr>
        <w:rFonts w:hint="default"/>
        <w:lang w:val="en-US" w:eastAsia="en-US" w:bidi="ar-SA"/>
      </w:rPr>
    </w:lvl>
    <w:lvl w:ilvl="4">
      <w:start w:val="0"/>
      <w:numFmt w:val="bullet"/>
      <w:lvlText w:val="•"/>
      <w:lvlJc w:val="left"/>
      <w:pPr>
        <w:ind w:left="4293" w:hanging="429"/>
      </w:pPr>
      <w:rPr>
        <w:rFonts w:hint="default"/>
        <w:lang w:val="en-US" w:eastAsia="en-US" w:bidi="ar-SA"/>
      </w:rPr>
    </w:lvl>
    <w:lvl w:ilvl="5">
      <w:start w:val="0"/>
      <w:numFmt w:val="bullet"/>
      <w:lvlText w:val="•"/>
      <w:lvlJc w:val="left"/>
      <w:pPr>
        <w:ind w:left="5317" w:hanging="429"/>
      </w:pPr>
      <w:rPr>
        <w:rFonts w:hint="default"/>
        <w:lang w:val="en-US" w:eastAsia="en-US" w:bidi="ar-SA"/>
      </w:rPr>
    </w:lvl>
    <w:lvl w:ilvl="6">
      <w:start w:val="0"/>
      <w:numFmt w:val="bullet"/>
      <w:lvlText w:val="•"/>
      <w:lvlJc w:val="left"/>
      <w:pPr>
        <w:ind w:left="6342" w:hanging="429"/>
      </w:pPr>
      <w:rPr>
        <w:rFonts w:hint="default"/>
        <w:lang w:val="en-US" w:eastAsia="en-US" w:bidi="ar-SA"/>
      </w:rPr>
    </w:lvl>
    <w:lvl w:ilvl="7">
      <w:start w:val="0"/>
      <w:numFmt w:val="bullet"/>
      <w:lvlText w:val="•"/>
      <w:lvlJc w:val="left"/>
      <w:pPr>
        <w:ind w:left="7366" w:hanging="429"/>
      </w:pPr>
      <w:rPr>
        <w:rFonts w:hint="default"/>
        <w:lang w:val="en-US" w:eastAsia="en-US" w:bidi="ar-SA"/>
      </w:rPr>
    </w:lvl>
    <w:lvl w:ilvl="8">
      <w:start w:val="0"/>
      <w:numFmt w:val="bullet"/>
      <w:lvlText w:val="•"/>
      <w:lvlJc w:val="left"/>
      <w:pPr>
        <w:ind w:left="8391" w:hanging="429"/>
      </w:pPr>
      <w:rPr>
        <w:rFonts w:hint="default"/>
        <w:lang w:val="en-US" w:eastAsia="en-US" w:bidi="ar-SA"/>
      </w:rPr>
    </w:lvl>
  </w:abstractNum>
  <w:abstractNum w:abstractNumId="103">
    <w:multiLevelType w:val="hybridMultilevel"/>
    <w:lvl w:ilvl="0">
      <w:start w:val="1"/>
      <w:numFmt w:val="decimal"/>
      <w:lvlText w:val="(%1)"/>
      <w:lvlJc w:val="left"/>
      <w:pPr>
        <w:ind w:left="792"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upperLetter"/>
      <w:lvlText w:val="(%2)"/>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55"/>
      </w:pPr>
      <w:rPr>
        <w:rFonts w:hint="default"/>
        <w:lang w:val="en-US" w:eastAsia="en-US" w:bidi="ar-SA"/>
      </w:rPr>
    </w:lvl>
    <w:lvl w:ilvl="3">
      <w:start w:val="0"/>
      <w:numFmt w:val="bullet"/>
      <w:lvlText w:val="•"/>
      <w:lvlJc w:val="left"/>
      <w:pPr>
        <w:ind w:left="3268" w:hanging="455"/>
      </w:pPr>
      <w:rPr>
        <w:rFonts w:hint="default"/>
        <w:lang w:val="en-US" w:eastAsia="en-US" w:bidi="ar-SA"/>
      </w:rPr>
    </w:lvl>
    <w:lvl w:ilvl="4">
      <w:start w:val="0"/>
      <w:numFmt w:val="bullet"/>
      <w:lvlText w:val="•"/>
      <w:lvlJc w:val="left"/>
      <w:pPr>
        <w:ind w:left="4293" w:hanging="455"/>
      </w:pPr>
      <w:rPr>
        <w:rFonts w:hint="default"/>
        <w:lang w:val="en-US" w:eastAsia="en-US" w:bidi="ar-SA"/>
      </w:rPr>
    </w:lvl>
    <w:lvl w:ilvl="5">
      <w:start w:val="0"/>
      <w:numFmt w:val="bullet"/>
      <w:lvlText w:val="•"/>
      <w:lvlJc w:val="left"/>
      <w:pPr>
        <w:ind w:left="5317" w:hanging="455"/>
      </w:pPr>
      <w:rPr>
        <w:rFonts w:hint="default"/>
        <w:lang w:val="en-US" w:eastAsia="en-US" w:bidi="ar-SA"/>
      </w:rPr>
    </w:lvl>
    <w:lvl w:ilvl="6">
      <w:start w:val="0"/>
      <w:numFmt w:val="bullet"/>
      <w:lvlText w:val="•"/>
      <w:lvlJc w:val="left"/>
      <w:pPr>
        <w:ind w:left="6342" w:hanging="455"/>
      </w:pPr>
      <w:rPr>
        <w:rFonts w:hint="default"/>
        <w:lang w:val="en-US" w:eastAsia="en-US" w:bidi="ar-SA"/>
      </w:rPr>
    </w:lvl>
    <w:lvl w:ilvl="7">
      <w:start w:val="0"/>
      <w:numFmt w:val="bullet"/>
      <w:lvlText w:val="•"/>
      <w:lvlJc w:val="left"/>
      <w:pPr>
        <w:ind w:left="7366" w:hanging="455"/>
      </w:pPr>
      <w:rPr>
        <w:rFonts w:hint="default"/>
        <w:lang w:val="en-US" w:eastAsia="en-US" w:bidi="ar-SA"/>
      </w:rPr>
    </w:lvl>
    <w:lvl w:ilvl="8">
      <w:start w:val="0"/>
      <w:numFmt w:val="bullet"/>
      <w:lvlText w:val="•"/>
      <w:lvlJc w:val="left"/>
      <w:pPr>
        <w:ind w:left="8391" w:hanging="455"/>
      </w:pPr>
      <w:rPr>
        <w:rFonts w:hint="default"/>
        <w:lang w:val="en-US" w:eastAsia="en-US" w:bidi="ar-SA"/>
      </w:rPr>
    </w:lvl>
  </w:abstractNum>
  <w:abstractNum w:abstractNumId="102">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8"/>
      </w:pPr>
      <w:rPr>
        <w:rFonts w:hint="default"/>
        <w:lang w:val="en-US" w:eastAsia="en-US" w:bidi="ar-SA"/>
      </w:rPr>
    </w:lvl>
    <w:lvl w:ilvl="2">
      <w:start w:val="0"/>
      <w:numFmt w:val="bullet"/>
      <w:lvlText w:val="•"/>
      <w:lvlJc w:val="left"/>
      <w:pPr>
        <w:ind w:left="2376" w:hanging="428"/>
      </w:pPr>
      <w:rPr>
        <w:rFonts w:hint="default"/>
        <w:lang w:val="en-US" w:eastAsia="en-US" w:bidi="ar-SA"/>
      </w:rPr>
    </w:lvl>
    <w:lvl w:ilvl="3">
      <w:start w:val="0"/>
      <w:numFmt w:val="bullet"/>
      <w:lvlText w:val="•"/>
      <w:lvlJc w:val="left"/>
      <w:pPr>
        <w:ind w:left="3384" w:hanging="428"/>
      </w:pPr>
      <w:rPr>
        <w:rFonts w:hint="default"/>
        <w:lang w:val="en-US" w:eastAsia="en-US" w:bidi="ar-SA"/>
      </w:rPr>
    </w:lvl>
    <w:lvl w:ilvl="4">
      <w:start w:val="0"/>
      <w:numFmt w:val="bullet"/>
      <w:lvlText w:val="•"/>
      <w:lvlJc w:val="left"/>
      <w:pPr>
        <w:ind w:left="4392" w:hanging="428"/>
      </w:pPr>
      <w:rPr>
        <w:rFonts w:hint="default"/>
        <w:lang w:val="en-US" w:eastAsia="en-US" w:bidi="ar-SA"/>
      </w:rPr>
    </w:lvl>
    <w:lvl w:ilvl="5">
      <w:start w:val="0"/>
      <w:numFmt w:val="bullet"/>
      <w:lvlText w:val="•"/>
      <w:lvlJc w:val="left"/>
      <w:pPr>
        <w:ind w:left="5400" w:hanging="428"/>
      </w:pPr>
      <w:rPr>
        <w:rFonts w:hint="default"/>
        <w:lang w:val="en-US" w:eastAsia="en-US" w:bidi="ar-SA"/>
      </w:rPr>
    </w:lvl>
    <w:lvl w:ilvl="6">
      <w:start w:val="0"/>
      <w:numFmt w:val="bullet"/>
      <w:lvlText w:val="•"/>
      <w:lvlJc w:val="left"/>
      <w:pPr>
        <w:ind w:left="6408" w:hanging="428"/>
      </w:pPr>
      <w:rPr>
        <w:rFonts w:hint="default"/>
        <w:lang w:val="en-US" w:eastAsia="en-US" w:bidi="ar-SA"/>
      </w:rPr>
    </w:lvl>
    <w:lvl w:ilvl="7">
      <w:start w:val="0"/>
      <w:numFmt w:val="bullet"/>
      <w:lvlText w:val="•"/>
      <w:lvlJc w:val="left"/>
      <w:pPr>
        <w:ind w:left="7416" w:hanging="428"/>
      </w:pPr>
      <w:rPr>
        <w:rFonts w:hint="default"/>
        <w:lang w:val="en-US" w:eastAsia="en-US" w:bidi="ar-SA"/>
      </w:rPr>
    </w:lvl>
    <w:lvl w:ilvl="8">
      <w:start w:val="0"/>
      <w:numFmt w:val="bullet"/>
      <w:lvlText w:val="•"/>
      <w:lvlJc w:val="left"/>
      <w:pPr>
        <w:ind w:left="8424" w:hanging="428"/>
      </w:pPr>
      <w:rPr>
        <w:rFonts w:hint="default"/>
        <w:lang w:val="en-US" w:eastAsia="en-US" w:bidi="ar-SA"/>
      </w:rPr>
    </w:lvl>
  </w:abstractNum>
  <w:abstractNum w:abstractNumId="101">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10"/>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00">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98"/>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99">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9"/>
      </w:pPr>
      <w:rPr>
        <w:rFonts w:hint="default"/>
        <w:lang w:val="en-US" w:eastAsia="en-US" w:bidi="ar-SA"/>
      </w:rPr>
    </w:lvl>
    <w:lvl w:ilvl="3">
      <w:start w:val="0"/>
      <w:numFmt w:val="bullet"/>
      <w:lvlText w:val="•"/>
      <w:lvlJc w:val="left"/>
      <w:pPr>
        <w:ind w:left="3268" w:hanging="429"/>
      </w:pPr>
      <w:rPr>
        <w:rFonts w:hint="default"/>
        <w:lang w:val="en-US" w:eastAsia="en-US" w:bidi="ar-SA"/>
      </w:rPr>
    </w:lvl>
    <w:lvl w:ilvl="4">
      <w:start w:val="0"/>
      <w:numFmt w:val="bullet"/>
      <w:lvlText w:val="•"/>
      <w:lvlJc w:val="left"/>
      <w:pPr>
        <w:ind w:left="4293" w:hanging="429"/>
      </w:pPr>
      <w:rPr>
        <w:rFonts w:hint="default"/>
        <w:lang w:val="en-US" w:eastAsia="en-US" w:bidi="ar-SA"/>
      </w:rPr>
    </w:lvl>
    <w:lvl w:ilvl="5">
      <w:start w:val="0"/>
      <w:numFmt w:val="bullet"/>
      <w:lvlText w:val="•"/>
      <w:lvlJc w:val="left"/>
      <w:pPr>
        <w:ind w:left="5317" w:hanging="429"/>
      </w:pPr>
      <w:rPr>
        <w:rFonts w:hint="default"/>
        <w:lang w:val="en-US" w:eastAsia="en-US" w:bidi="ar-SA"/>
      </w:rPr>
    </w:lvl>
    <w:lvl w:ilvl="6">
      <w:start w:val="0"/>
      <w:numFmt w:val="bullet"/>
      <w:lvlText w:val="•"/>
      <w:lvlJc w:val="left"/>
      <w:pPr>
        <w:ind w:left="6342" w:hanging="429"/>
      </w:pPr>
      <w:rPr>
        <w:rFonts w:hint="default"/>
        <w:lang w:val="en-US" w:eastAsia="en-US" w:bidi="ar-SA"/>
      </w:rPr>
    </w:lvl>
    <w:lvl w:ilvl="7">
      <w:start w:val="0"/>
      <w:numFmt w:val="bullet"/>
      <w:lvlText w:val="•"/>
      <w:lvlJc w:val="left"/>
      <w:pPr>
        <w:ind w:left="7366" w:hanging="429"/>
      </w:pPr>
      <w:rPr>
        <w:rFonts w:hint="default"/>
        <w:lang w:val="en-US" w:eastAsia="en-US" w:bidi="ar-SA"/>
      </w:rPr>
    </w:lvl>
    <w:lvl w:ilvl="8">
      <w:start w:val="0"/>
      <w:numFmt w:val="bullet"/>
      <w:lvlText w:val="•"/>
      <w:lvlJc w:val="left"/>
      <w:pPr>
        <w:ind w:left="8391" w:hanging="429"/>
      </w:pPr>
      <w:rPr>
        <w:rFonts w:hint="default"/>
        <w:lang w:val="en-US" w:eastAsia="en-US" w:bidi="ar-SA"/>
      </w:rPr>
    </w:lvl>
  </w:abstractNum>
  <w:abstractNum w:abstractNumId="98">
    <w:multiLevelType w:val="hybridMultilevel"/>
    <w:lvl w:ilvl="0">
      <w:start w:val="8"/>
      <w:numFmt w:val="decimal"/>
      <w:lvlText w:val="%1"/>
      <w:lvlJc w:val="left"/>
      <w:pPr>
        <w:ind w:left="1440" w:hanging="1080"/>
        <w:jc w:val="left"/>
      </w:pPr>
      <w:rPr>
        <w:rFonts w:hint="default"/>
        <w:lang w:val="en-US" w:eastAsia="en-US" w:bidi="ar-SA"/>
      </w:rPr>
    </w:lvl>
    <w:lvl w:ilvl="1">
      <w:start w:val="11"/>
      <w:numFmt w:val="decimal"/>
      <w:lvlText w:val="%1-%2"/>
      <w:lvlJc w:val="left"/>
      <w:pPr>
        <w:ind w:left="1440" w:hanging="1080"/>
        <w:jc w:val="left"/>
      </w:pPr>
      <w:rPr>
        <w:rFonts w:hint="default"/>
        <w:lang w:val="en-US" w:eastAsia="en-US" w:bidi="ar-SA"/>
      </w:rPr>
    </w:lvl>
    <w:lvl w:ilvl="2">
      <w:start w:val="23"/>
      <w:numFmt w:val="decimal"/>
      <w:lvlText w:val="%1-%2-%3"/>
      <w:lvlJc w:val="left"/>
      <w:pPr>
        <w:ind w:left="1440" w:hanging="1080"/>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97">
    <w:multiLevelType w:val="hybridMultilevel"/>
    <w:lvl w:ilvl="0">
      <w:start w:val="1"/>
      <w:numFmt w:val="decimal"/>
      <w:lvlText w:val="%1."/>
      <w:lvlJc w:val="left"/>
      <w:pPr>
        <w:ind w:left="1080" w:hanging="28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016" w:hanging="288"/>
      </w:pPr>
      <w:rPr>
        <w:rFonts w:hint="default"/>
        <w:lang w:val="en-US" w:eastAsia="en-US" w:bidi="ar-SA"/>
      </w:rPr>
    </w:lvl>
    <w:lvl w:ilvl="2">
      <w:start w:val="0"/>
      <w:numFmt w:val="bullet"/>
      <w:lvlText w:val="•"/>
      <w:lvlJc w:val="left"/>
      <w:pPr>
        <w:ind w:left="2952" w:hanging="288"/>
      </w:pPr>
      <w:rPr>
        <w:rFonts w:hint="default"/>
        <w:lang w:val="en-US" w:eastAsia="en-US" w:bidi="ar-SA"/>
      </w:rPr>
    </w:lvl>
    <w:lvl w:ilvl="3">
      <w:start w:val="0"/>
      <w:numFmt w:val="bullet"/>
      <w:lvlText w:val="•"/>
      <w:lvlJc w:val="left"/>
      <w:pPr>
        <w:ind w:left="3888" w:hanging="288"/>
      </w:pPr>
      <w:rPr>
        <w:rFonts w:hint="default"/>
        <w:lang w:val="en-US" w:eastAsia="en-US" w:bidi="ar-SA"/>
      </w:rPr>
    </w:lvl>
    <w:lvl w:ilvl="4">
      <w:start w:val="0"/>
      <w:numFmt w:val="bullet"/>
      <w:lvlText w:val="•"/>
      <w:lvlJc w:val="left"/>
      <w:pPr>
        <w:ind w:left="4824" w:hanging="288"/>
      </w:pPr>
      <w:rPr>
        <w:rFonts w:hint="default"/>
        <w:lang w:val="en-US" w:eastAsia="en-US" w:bidi="ar-SA"/>
      </w:rPr>
    </w:lvl>
    <w:lvl w:ilvl="5">
      <w:start w:val="0"/>
      <w:numFmt w:val="bullet"/>
      <w:lvlText w:val="•"/>
      <w:lvlJc w:val="left"/>
      <w:pPr>
        <w:ind w:left="5760" w:hanging="288"/>
      </w:pPr>
      <w:rPr>
        <w:rFonts w:hint="default"/>
        <w:lang w:val="en-US" w:eastAsia="en-US" w:bidi="ar-SA"/>
      </w:rPr>
    </w:lvl>
    <w:lvl w:ilvl="6">
      <w:start w:val="0"/>
      <w:numFmt w:val="bullet"/>
      <w:lvlText w:val="•"/>
      <w:lvlJc w:val="left"/>
      <w:pPr>
        <w:ind w:left="6696" w:hanging="288"/>
      </w:pPr>
      <w:rPr>
        <w:rFonts w:hint="default"/>
        <w:lang w:val="en-US" w:eastAsia="en-US" w:bidi="ar-SA"/>
      </w:rPr>
    </w:lvl>
    <w:lvl w:ilvl="7">
      <w:start w:val="0"/>
      <w:numFmt w:val="bullet"/>
      <w:lvlText w:val="•"/>
      <w:lvlJc w:val="left"/>
      <w:pPr>
        <w:ind w:left="7632" w:hanging="288"/>
      </w:pPr>
      <w:rPr>
        <w:rFonts w:hint="default"/>
        <w:lang w:val="en-US" w:eastAsia="en-US" w:bidi="ar-SA"/>
      </w:rPr>
    </w:lvl>
    <w:lvl w:ilvl="8">
      <w:start w:val="0"/>
      <w:numFmt w:val="bullet"/>
      <w:lvlText w:val="•"/>
      <w:lvlJc w:val="left"/>
      <w:pPr>
        <w:ind w:left="8568" w:hanging="288"/>
      </w:pPr>
      <w:rPr>
        <w:rFonts w:hint="default"/>
        <w:lang w:val="en-US" w:eastAsia="en-US" w:bidi="ar-SA"/>
      </w:rPr>
    </w:lvl>
  </w:abstractNum>
  <w:abstractNum w:abstractNumId="96">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224" w:hanging="454"/>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2372" w:hanging="454"/>
      </w:pPr>
      <w:rPr>
        <w:rFonts w:hint="default"/>
        <w:lang w:val="en-US" w:eastAsia="en-US" w:bidi="ar-SA"/>
      </w:rPr>
    </w:lvl>
    <w:lvl w:ilvl="4">
      <w:start w:val="0"/>
      <w:numFmt w:val="bullet"/>
      <w:lvlText w:val="•"/>
      <w:lvlJc w:val="left"/>
      <w:pPr>
        <w:ind w:left="3525" w:hanging="454"/>
      </w:pPr>
      <w:rPr>
        <w:rFonts w:hint="default"/>
        <w:lang w:val="en-US" w:eastAsia="en-US" w:bidi="ar-SA"/>
      </w:rPr>
    </w:lvl>
    <w:lvl w:ilvl="5">
      <w:start w:val="0"/>
      <w:numFmt w:val="bullet"/>
      <w:lvlText w:val="•"/>
      <w:lvlJc w:val="left"/>
      <w:pPr>
        <w:ind w:left="4677" w:hanging="454"/>
      </w:pPr>
      <w:rPr>
        <w:rFonts w:hint="default"/>
        <w:lang w:val="en-US" w:eastAsia="en-US" w:bidi="ar-SA"/>
      </w:rPr>
    </w:lvl>
    <w:lvl w:ilvl="6">
      <w:start w:val="0"/>
      <w:numFmt w:val="bullet"/>
      <w:lvlText w:val="•"/>
      <w:lvlJc w:val="left"/>
      <w:pPr>
        <w:ind w:left="5830" w:hanging="454"/>
      </w:pPr>
      <w:rPr>
        <w:rFonts w:hint="default"/>
        <w:lang w:val="en-US" w:eastAsia="en-US" w:bidi="ar-SA"/>
      </w:rPr>
    </w:lvl>
    <w:lvl w:ilvl="7">
      <w:start w:val="0"/>
      <w:numFmt w:val="bullet"/>
      <w:lvlText w:val="•"/>
      <w:lvlJc w:val="left"/>
      <w:pPr>
        <w:ind w:left="6982" w:hanging="454"/>
      </w:pPr>
      <w:rPr>
        <w:rFonts w:hint="default"/>
        <w:lang w:val="en-US" w:eastAsia="en-US" w:bidi="ar-SA"/>
      </w:rPr>
    </w:lvl>
    <w:lvl w:ilvl="8">
      <w:start w:val="0"/>
      <w:numFmt w:val="bullet"/>
      <w:lvlText w:val="•"/>
      <w:lvlJc w:val="left"/>
      <w:pPr>
        <w:ind w:left="8135" w:hanging="454"/>
      </w:pPr>
      <w:rPr>
        <w:rFonts w:hint="default"/>
        <w:lang w:val="en-US" w:eastAsia="en-US" w:bidi="ar-SA"/>
      </w:rPr>
    </w:lvl>
  </w:abstractNum>
  <w:abstractNum w:abstractNumId="95">
    <w:multiLevelType w:val="hybridMultilevel"/>
    <w:lvl w:ilvl="0">
      <w:start w:val="8"/>
      <w:numFmt w:val="decimal"/>
      <w:lvlText w:val="%1"/>
      <w:lvlJc w:val="left"/>
      <w:pPr>
        <w:ind w:left="358" w:hanging="1080"/>
        <w:jc w:val="left"/>
      </w:pPr>
      <w:rPr>
        <w:rFonts w:hint="default"/>
        <w:lang w:val="en-US" w:eastAsia="en-US" w:bidi="ar-SA"/>
      </w:rPr>
    </w:lvl>
    <w:lvl w:ilvl="1">
      <w:start w:val="11"/>
      <w:numFmt w:val="decimal"/>
      <w:lvlText w:val="%1-%2"/>
      <w:lvlJc w:val="left"/>
      <w:pPr>
        <w:ind w:left="358" w:hanging="1080"/>
        <w:jc w:val="left"/>
      </w:pPr>
      <w:rPr>
        <w:rFonts w:hint="default"/>
        <w:lang w:val="en-US" w:eastAsia="en-US" w:bidi="ar-SA"/>
      </w:rPr>
    </w:lvl>
    <w:lvl w:ilvl="2">
      <w:start w:val="23"/>
      <w:numFmt w:val="decimal"/>
      <w:lvlText w:val="%1-%2-%3"/>
      <w:lvlJc w:val="left"/>
      <w:pPr>
        <w:ind w:left="358"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3384" w:hanging="1080"/>
      </w:pPr>
      <w:rPr>
        <w:rFonts w:hint="default"/>
        <w:lang w:val="en-US" w:eastAsia="en-US" w:bidi="ar-SA"/>
      </w:rPr>
    </w:lvl>
    <w:lvl w:ilvl="4">
      <w:start w:val="0"/>
      <w:numFmt w:val="bullet"/>
      <w:lvlText w:val="•"/>
      <w:lvlJc w:val="left"/>
      <w:pPr>
        <w:ind w:left="4392" w:hanging="1080"/>
      </w:pPr>
      <w:rPr>
        <w:rFonts w:hint="default"/>
        <w:lang w:val="en-US" w:eastAsia="en-US" w:bidi="ar-SA"/>
      </w:rPr>
    </w:lvl>
    <w:lvl w:ilvl="5">
      <w:start w:val="0"/>
      <w:numFmt w:val="bullet"/>
      <w:lvlText w:val="•"/>
      <w:lvlJc w:val="left"/>
      <w:pPr>
        <w:ind w:left="5400" w:hanging="1080"/>
      </w:pPr>
      <w:rPr>
        <w:rFonts w:hint="default"/>
        <w:lang w:val="en-US" w:eastAsia="en-US" w:bidi="ar-SA"/>
      </w:rPr>
    </w:lvl>
    <w:lvl w:ilvl="6">
      <w:start w:val="0"/>
      <w:numFmt w:val="bullet"/>
      <w:lvlText w:val="•"/>
      <w:lvlJc w:val="left"/>
      <w:pPr>
        <w:ind w:left="6408" w:hanging="1080"/>
      </w:pPr>
      <w:rPr>
        <w:rFonts w:hint="default"/>
        <w:lang w:val="en-US" w:eastAsia="en-US" w:bidi="ar-SA"/>
      </w:rPr>
    </w:lvl>
    <w:lvl w:ilvl="7">
      <w:start w:val="0"/>
      <w:numFmt w:val="bullet"/>
      <w:lvlText w:val="•"/>
      <w:lvlJc w:val="left"/>
      <w:pPr>
        <w:ind w:left="7416" w:hanging="1080"/>
      </w:pPr>
      <w:rPr>
        <w:rFonts w:hint="default"/>
        <w:lang w:val="en-US" w:eastAsia="en-US" w:bidi="ar-SA"/>
      </w:rPr>
    </w:lvl>
    <w:lvl w:ilvl="8">
      <w:start w:val="0"/>
      <w:numFmt w:val="bullet"/>
      <w:lvlText w:val="•"/>
      <w:lvlJc w:val="left"/>
      <w:pPr>
        <w:ind w:left="8424" w:hanging="1080"/>
      </w:pPr>
      <w:rPr>
        <w:rFonts w:hint="default"/>
        <w:lang w:val="en-US" w:eastAsia="en-US" w:bidi="ar-SA"/>
      </w:rPr>
    </w:lvl>
  </w:abstractNum>
  <w:abstractNum w:abstractNumId="94">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97"/>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93">
    <w:multiLevelType w:val="hybridMultilevel"/>
    <w:lvl w:ilvl="0">
      <w:start w:val="1"/>
      <w:numFmt w:val="decimal"/>
      <w:lvlText w:val="%1."/>
      <w:lvlJc w:val="left"/>
      <w:pPr>
        <w:ind w:left="1080" w:hanging="360"/>
        <w:jc w:val="righ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92">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810" w:hanging="429"/>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260" w:hanging="455"/>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1240" w:hanging="455"/>
      </w:pPr>
      <w:rPr>
        <w:rFonts w:hint="default"/>
        <w:lang w:val="en-US" w:eastAsia="en-US" w:bidi="ar-SA"/>
      </w:rPr>
    </w:lvl>
    <w:lvl w:ilvl="4">
      <w:start w:val="0"/>
      <w:numFmt w:val="bullet"/>
      <w:lvlText w:val="•"/>
      <w:lvlJc w:val="left"/>
      <w:pPr>
        <w:ind w:left="1260" w:hanging="455"/>
      </w:pPr>
      <w:rPr>
        <w:rFonts w:hint="default"/>
        <w:lang w:val="en-US" w:eastAsia="en-US" w:bidi="ar-SA"/>
      </w:rPr>
    </w:lvl>
    <w:lvl w:ilvl="5">
      <w:start w:val="0"/>
      <w:numFmt w:val="bullet"/>
      <w:lvlText w:val="•"/>
      <w:lvlJc w:val="left"/>
      <w:pPr>
        <w:ind w:left="2790" w:hanging="455"/>
      </w:pPr>
      <w:rPr>
        <w:rFonts w:hint="default"/>
        <w:lang w:val="en-US" w:eastAsia="en-US" w:bidi="ar-SA"/>
      </w:rPr>
    </w:lvl>
    <w:lvl w:ilvl="6">
      <w:start w:val="0"/>
      <w:numFmt w:val="bullet"/>
      <w:lvlText w:val="•"/>
      <w:lvlJc w:val="left"/>
      <w:pPr>
        <w:ind w:left="4320" w:hanging="455"/>
      </w:pPr>
      <w:rPr>
        <w:rFonts w:hint="default"/>
        <w:lang w:val="en-US" w:eastAsia="en-US" w:bidi="ar-SA"/>
      </w:rPr>
    </w:lvl>
    <w:lvl w:ilvl="7">
      <w:start w:val="0"/>
      <w:numFmt w:val="bullet"/>
      <w:lvlText w:val="•"/>
      <w:lvlJc w:val="left"/>
      <w:pPr>
        <w:ind w:left="5850" w:hanging="455"/>
      </w:pPr>
      <w:rPr>
        <w:rFonts w:hint="default"/>
        <w:lang w:val="en-US" w:eastAsia="en-US" w:bidi="ar-SA"/>
      </w:rPr>
    </w:lvl>
    <w:lvl w:ilvl="8">
      <w:start w:val="0"/>
      <w:numFmt w:val="bullet"/>
      <w:lvlText w:val="•"/>
      <w:lvlJc w:val="left"/>
      <w:pPr>
        <w:ind w:left="7380" w:hanging="455"/>
      </w:pPr>
      <w:rPr>
        <w:rFonts w:hint="default"/>
        <w:lang w:val="en-US" w:eastAsia="en-US" w:bidi="ar-SA"/>
      </w:rPr>
    </w:lvl>
  </w:abstractNum>
  <w:abstractNum w:abstractNumId="91">
    <w:multiLevelType w:val="hybridMultilevel"/>
    <w:lvl w:ilvl="0">
      <w:start w:val="8"/>
      <w:numFmt w:val="decimal"/>
      <w:lvlText w:val="%1"/>
      <w:lvlJc w:val="left"/>
      <w:pPr>
        <w:ind w:left="1440" w:hanging="1080"/>
        <w:jc w:val="left"/>
      </w:pPr>
      <w:rPr>
        <w:rFonts w:hint="default"/>
        <w:lang w:val="en-US" w:eastAsia="en-US" w:bidi="ar-SA"/>
      </w:rPr>
    </w:lvl>
    <w:lvl w:ilvl="1">
      <w:start w:val="11"/>
      <w:numFmt w:val="decimal"/>
      <w:lvlText w:val="%1-%2"/>
      <w:lvlJc w:val="left"/>
      <w:pPr>
        <w:ind w:left="1440" w:hanging="1080"/>
        <w:jc w:val="left"/>
      </w:pPr>
      <w:rPr>
        <w:rFonts w:hint="default"/>
        <w:lang w:val="en-US" w:eastAsia="en-US" w:bidi="ar-SA"/>
      </w:rPr>
    </w:lvl>
    <w:lvl w:ilvl="2">
      <w:start w:val="23"/>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90">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97"/>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89">
    <w:multiLevelType w:val="hybridMultilevel"/>
    <w:lvl w:ilvl="0">
      <w:start w:val="1"/>
      <w:numFmt w:val="decimal"/>
      <w:lvlText w:val="%1."/>
      <w:lvlJc w:val="left"/>
      <w:pPr>
        <w:ind w:left="792" w:hanging="28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288"/>
      </w:pPr>
      <w:rPr>
        <w:rFonts w:hint="default"/>
        <w:lang w:val="en-US" w:eastAsia="en-US" w:bidi="ar-SA"/>
      </w:rPr>
    </w:lvl>
    <w:lvl w:ilvl="2">
      <w:start w:val="0"/>
      <w:numFmt w:val="bullet"/>
      <w:lvlText w:val="•"/>
      <w:lvlJc w:val="left"/>
      <w:pPr>
        <w:ind w:left="2728" w:hanging="288"/>
      </w:pPr>
      <w:rPr>
        <w:rFonts w:hint="default"/>
        <w:lang w:val="en-US" w:eastAsia="en-US" w:bidi="ar-SA"/>
      </w:rPr>
    </w:lvl>
    <w:lvl w:ilvl="3">
      <w:start w:val="0"/>
      <w:numFmt w:val="bullet"/>
      <w:lvlText w:val="•"/>
      <w:lvlJc w:val="left"/>
      <w:pPr>
        <w:ind w:left="3692" w:hanging="288"/>
      </w:pPr>
      <w:rPr>
        <w:rFonts w:hint="default"/>
        <w:lang w:val="en-US" w:eastAsia="en-US" w:bidi="ar-SA"/>
      </w:rPr>
    </w:lvl>
    <w:lvl w:ilvl="4">
      <w:start w:val="0"/>
      <w:numFmt w:val="bullet"/>
      <w:lvlText w:val="•"/>
      <w:lvlJc w:val="left"/>
      <w:pPr>
        <w:ind w:left="4656" w:hanging="288"/>
      </w:pPr>
      <w:rPr>
        <w:rFonts w:hint="default"/>
        <w:lang w:val="en-US" w:eastAsia="en-US" w:bidi="ar-SA"/>
      </w:rPr>
    </w:lvl>
    <w:lvl w:ilvl="5">
      <w:start w:val="0"/>
      <w:numFmt w:val="bullet"/>
      <w:lvlText w:val="•"/>
      <w:lvlJc w:val="left"/>
      <w:pPr>
        <w:ind w:left="5620" w:hanging="288"/>
      </w:pPr>
      <w:rPr>
        <w:rFonts w:hint="default"/>
        <w:lang w:val="en-US" w:eastAsia="en-US" w:bidi="ar-SA"/>
      </w:rPr>
    </w:lvl>
    <w:lvl w:ilvl="6">
      <w:start w:val="0"/>
      <w:numFmt w:val="bullet"/>
      <w:lvlText w:val="•"/>
      <w:lvlJc w:val="left"/>
      <w:pPr>
        <w:ind w:left="6584" w:hanging="288"/>
      </w:pPr>
      <w:rPr>
        <w:rFonts w:hint="default"/>
        <w:lang w:val="en-US" w:eastAsia="en-US" w:bidi="ar-SA"/>
      </w:rPr>
    </w:lvl>
    <w:lvl w:ilvl="7">
      <w:start w:val="0"/>
      <w:numFmt w:val="bullet"/>
      <w:lvlText w:val="•"/>
      <w:lvlJc w:val="left"/>
      <w:pPr>
        <w:ind w:left="7548" w:hanging="288"/>
      </w:pPr>
      <w:rPr>
        <w:rFonts w:hint="default"/>
        <w:lang w:val="en-US" w:eastAsia="en-US" w:bidi="ar-SA"/>
      </w:rPr>
    </w:lvl>
    <w:lvl w:ilvl="8">
      <w:start w:val="0"/>
      <w:numFmt w:val="bullet"/>
      <w:lvlText w:val="•"/>
      <w:lvlJc w:val="left"/>
      <w:pPr>
        <w:ind w:left="8512" w:hanging="288"/>
      </w:pPr>
      <w:rPr>
        <w:rFonts w:hint="default"/>
        <w:lang w:val="en-US" w:eastAsia="en-US" w:bidi="ar-SA"/>
      </w:rPr>
    </w:lvl>
  </w:abstractNum>
  <w:abstractNum w:abstractNumId="88">
    <w:multiLevelType w:val="hybridMultilevel"/>
    <w:lvl w:ilvl="0">
      <w:start w:val="2"/>
      <w:numFmt w:val="lowerLetter"/>
      <w:lvlText w:val="(%1)"/>
      <w:lvlJc w:val="left"/>
      <w:pPr>
        <w:ind w:left="788"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810" w:hanging="42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88" w:hanging="428"/>
      </w:pPr>
      <w:rPr>
        <w:rFonts w:hint="default"/>
        <w:lang w:val="en-US" w:eastAsia="en-US" w:bidi="ar-SA"/>
      </w:rPr>
    </w:lvl>
    <w:lvl w:ilvl="3">
      <w:start w:val="0"/>
      <w:numFmt w:val="bullet"/>
      <w:lvlText w:val="•"/>
      <w:lvlJc w:val="left"/>
      <w:pPr>
        <w:ind w:left="2957" w:hanging="428"/>
      </w:pPr>
      <w:rPr>
        <w:rFonts w:hint="default"/>
        <w:lang w:val="en-US" w:eastAsia="en-US" w:bidi="ar-SA"/>
      </w:rPr>
    </w:lvl>
    <w:lvl w:ilvl="4">
      <w:start w:val="0"/>
      <w:numFmt w:val="bullet"/>
      <w:lvlText w:val="•"/>
      <w:lvlJc w:val="left"/>
      <w:pPr>
        <w:ind w:left="4026" w:hanging="428"/>
      </w:pPr>
      <w:rPr>
        <w:rFonts w:hint="default"/>
        <w:lang w:val="en-US" w:eastAsia="en-US" w:bidi="ar-SA"/>
      </w:rPr>
    </w:lvl>
    <w:lvl w:ilvl="5">
      <w:start w:val="0"/>
      <w:numFmt w:val="bullet"/>
      <w:lvlText w:val="•"/>
      <w:lvlJc w:val="left"/>
      <w:pPr>
        <w:ind w:left="5095" w:hanging="428"/>
      </w:pPr>
      <w:rPr>
        <w:rFonts w:hint="default"/>
        <w:lang w:val="en-US" w:eastAsia="en-US" w:bidi="ar-SA"/>
      </w:rPr>
    </w:lvl>
    <w:lvl w:ilvl="6">
      <w:start w:val="0"/>
      <w:numFmt w:val="bullet"/>
      <w:lvlText w:val="•"/>
      <w:lvlJc w:val="left"/>
      <w:pPr>
        <w:ind w:left="6164" w:hanging="428"/>
      </w:pPr>
      <w:rPr>
        <w:rFonts w:hint="default"/>
        <w:lang w:val="en-US" w:eastAsia="en-US" w:bidi="ar-SA"/>
      </w:rPr>
    </w:lvl>
    <w:lvl w:ilvl="7">
      <w:start w:val="0"/>
      <w:numFmt w:val="bullet"/>
      <w:lvlText w:val="•"/>
      <w:lvlJc w:val="left"/>
      <w:pPr>
        <w:ind w:left="7233" w:hanging="428"/>
      </w:pPr>
      <w:rPr>
        <w:rFonts w:hint="default"/>
        <w:lang w:val="en-US" w:eastAsia="en-US" w:bidi="ar-SA"/>
      </w:rPr>
    </w:lvl>
    <w:lvl w:ilvl="8">
      <w:start w:val="0"/>
      <w:numFmt w:val="bullet"/>
      <w:lvlText w:val="•"/>
      <w:lvlJc w:val="left"/>
      <w:pPr>
        <w:ind w:left="8302" w:hanging="428"/>
      </w:pPr>
      <w:rPr>
        <w:rFonts w:hint="default"/>
        <w:lang w:val="en-US" w:eastAsia="en-US" w:bidi="ar-SA"/>
      </w:rPr>
    </w:lvl>
  </w:abstractNum>
  <w:abstractNum w:abstractNumId="87">
    <w:multiLevelType w:val="hybridMultilevel"/>
    <w:lvl w:ilvl="0">
      <w:start w:val="8"/>
      <w:numFmt w:val="decimal"/>
      <w:lvlText w:val="%1"/>
      <w:lvlJc w:val="left"/>
      <w:pPr>
        <w:ind w:left="1440" w:hanging="1080"/>
        <w:jc w:val="left"/>
      </w:pPr>
      <w:rPr>
        <w:rFonts w:hint="default"/>
        <w:lang w:val="en-US" w:eastAsia="en-US" w:bidi="ar-SA"/>
      </w:rPr>
    </w:lvl>
    <w:lvl w:ilvl="1">
      <w:start w:val="11"/>
      <w:numFmt w:val="decimal"/>
      <w:lvlText w:val="%1-%2"/>
      <w:lvlJc w:val="left"/>
      <w:pPr>
        <w:ind w:left="1440" w:hanging="1080"/>
        <w:jc w:val="left"/>
      </w:pPr>
      <w:rPr>
        <w:rFonts w:hint="default"/>
        <w:lang w:val="en-US" w:eastAsia="en-US" w:bidi="ar-SA"/>
      </w:rPr>
    </w:lvl>
    <w:lvl w:ilvl="2">
      <w:start w:val="23"/>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86">
    <w:multiLevelType w:val="hybridMultilevel"/>
    <w:lvl w:ilvl="0">
      <w:start w:val="7"/>
      <w:numFmt w:val="decimal"/>
      <w:lvlText w:val="%1"/>
      <w:lvlJc w:val="left"/>
      <w:pPr>
        <w:ind w:left="1438" w:hanging="1080"/>
        <w:jc w:val="left"/>
      </w:pPr>
      <w:rPr>
        <w:rFonts w:hint="default"/>
        <w:lang w:val="en-US" w:eastAsia="en-US" w:bidi="ar-SA"/>
      </w:rPr>
    </w:lvl>
    <w:lvl w:ilvl="1">
      <w:start w:val="1"/>
      <w:numFmt w:val="decimal"/>
      <w:lvlText w:val="%1-%2"/>
      <w:lvlJc w:val="left"/>
      <w:pPr>
        <w:ind w:left="1438" w:hanging="1080"/>
        <w:jc w:val="left"/>
      </w:pPr>
      <w:rPr>
        <w:rFonts w:hint="default"/>
        <w:lang w:val="en-US" w:eastAsia="en-US" w:bidi="ar-SA"/>
      </w:rPr>
    </w:lvl>
    <w:lvl w:ilvl="2">
      <w:start w:val="10"/>
      <w:numFmt w:val="decimal"/>
      <w:lvlText w:val="%1-%2-%3"/>
      <w:lvlJc w:val="left"/>
      <w:pPr>
        <w:ind w:left="1438"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85">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97"/>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84">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95"/>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83">
    <w:multiLevelType w:val="hybridMultilevel"/>
    <w:lvl w:ilvl="0">
      <w:start w:val="1"/>
      <w:numFmt w:val="decimal"/>
      <w:lvlText w:val="%1."/>
      <w:lvlJc w:val="left"/>
      <w:pPr>
        <w:ind w:left="792" w:hanging="335"/>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335"/>
      </w:pPr>
      <w:rPr>
        <w:rFonts w:hint="default"/>
        <w:lang w:val="en-US" w:eastAsia="en-US" w:bidi="ar-SA"/>
      </w:rPr>
    </w:lvl>
    <w:lvl w:ilvl="2">
      <w:start w:val="0"/>
      <w:numFmt w:val="bullet"/>
      <w:lvlText w:val="•"/>
      <w:lvlJc w:val="left"/>
      <w:pPr>
        <w:ind w:left="2728" w:hanging="335"/>
      </w:pPr>
      <w:rPr>
        <w:rFonts w:hint="default"/>
        <w:lang w:val="en-US" w:eastAsia="en-US" w:bidi="ar-SA"/>
      </w:rPr>
    </w:lvl>
    <w:lvl w:ilvl="3">
      <w:start w:val="0"/>
      <w:numFmt w:val="bullet"/>
      <w:lvlText w:val="•"/>
      <w:lvlJc w:val="left"/>
      <w:pPr>
        <w:ind w:left="3692" w:hanging="335"/>
      </w:pPr>
      <w:rPr>
        <w:rFonts w:hint="default"/>
        <w:lang w:val="en-US" w:eastAsia="en-US" w:bidi="ar-SA"/>
      </w:rPr>
    </w:lvl>
    <w:lvl w:ilvl="4">
      <w:start w:val="0"/>
      <w:numFmt w:val="bullet"/>
      <w:lvlText w:val="•"/>
      <w:lvlJc w:val="left"/>
      <w:pPr>
        <w:ind w:left="4656" w:hanging="335"/>
      </w:pPr>
      <w:rPr>
        <w:rFonts w:hint="default"/>
        <w:lang w:val="en-US" w:eastAsia="en-US" w:bidi="ar-SA"/>
      </w:rPr>
    </w:lvl>
    <w:lvl w:ilvl="5">
      <w:start w:val="0"/>
      <w:numFmt w:val="bullet"/>
      <w:lvlText w:val="•"/>
      <w:lvlJc w:val="left"/>
      <w:pPr>
        <w:ind w:left="5620" w:hanging="335"/>
      </w:pPr>
      <w:rPr>
        <w:rFonts w:hint="default"/>
        <w:lang w:val="en-US" w:eastAsia="en-US" w:bidi="ar-SA"/>
      </w:rPr>
    </w:lvl>
    <w:lvl w:ilvl="6">
      <w:start w:val="0"/>
      <w:numFmt w:val="bullet"/>
      <w:lvlText w:val="•"/>
      <w:lvlJc w:val="left"/>
      <w:pPr>
        <w:ind w:left="6584" w:hanging="335"/>
      </w:pPr>
      <w:rPr>
        <w:rFonts w:hint="default"/>
        <w:lang w:val="en-US" w:eastAsia="en-US" w:bidi="ar-SA"/>
      </w:rPr>
    </w:lvl>
    <w:lvl w:ilvl="7">
      <w:start w:val="0"/>
      <w:numFmt w:val="bullet"/>
      <w:lvlText w:val="•"/>
      <w:lvlJc w:val="left"/>
      <w:pPr>
        <w:ind w:left="7548" w:hanging="335"/>
      </w:pPr>
      <w:rPr>
        <w:rFonts w:hint="default"/>
        <w:lang w:val="en-US" w:eastAsia="en-US" w:bidi="ar-SA"/>
      </w:rPr>
    </w:lvl>
    <w:lvl w:ilvl="8">
      <w:start w:val="0"/>
      <w:numFmt w:val="bullet"/>
      <w:lvlText w:val="•"/>
      <w:lvlJc w:val="left"/>
      <w:pPr>
        <w:ind w:left="8512" w:hanging="335"/>
      </w:pPr>
      <w:rPr>
        <w:rFonts w:hint="default"/>
        <w:lang w:val="en-US" w:eastAsia="en-US" w:bidi="ar-SA"/>
      </w:rPr>
    </w:lvl>
  </w:abstractNum>
  <w:abstractNum w:abstractNumId="82">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810" w:hanging="429"/>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260" w:hanging="455"/>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820" w:hanging="455"/>
      </w:pPr>
      <w:rPr>
        <w:rFonts w:hint="default"/>
        <w:lang w:val="en-US" w:eastAsia="en-US" w:bidi="ar-SA"/>
      </w:rPr>
    </w:lvl>
    <w:lvl w:ilvl="4">
      <w:start w:val="0"/>
      <w:numFmt w:val="bullet"/>
      <w:lvlText w:val="•"/>
      <w:lvlJc w:val="left"/>
      <w:pPr>
        <w:ind w:left="1220" w:hanging="455"/>
      </w:pPr>
      <w:rPr>
        <w:rFonts w:hint="default"/>
        <w:lang w:val="en-US" w:eastAsia="en-US" w:bidi="ar-SA"/>
      </w:rPr>
    </w:lvl>
    <w:lvl w:ilvl="5">
      <w:start w:val="0"/>
      <w:numFmt w:val="bullet"/>
      <w:lvlText w:val="•"/>
      <w:lvlJc w:val="left"/>
      <w:pPr>
        <w:ind w:left="1260" w:hanging="455"/>
      </w:pPr>
      <w:rPr>
        <w:rFonts w:hint="default"/>
        <w:lang w:val="en-US" w:eastAsia="en-US" w:bidi="ar-SA"/>
      </w:rPr>
    </w:lvl>
    <w:lvl w:ilvl="6">
      <w:start w:val="0"/>
      <w:numFmt w:val="bullet"/>
      <w:lvlText w:val="•"/>
      <w:lvlJc w:val="left"/>
      <w:pPr>
        <w:ind w:left="1680" w:hanging="455"/>
      </w:pPr>
      <w:rPr>
        <w:rFonts w:hint="default"/>
        <w:lang w:val="en-US" w:eastAsia="en-US" w:bidi="ar-SA"/>
      </w:rPr>
    </w:lvl>
    <w:lvl w:ilvl="7">
      <w:start w:val="0"/>
      <w:numFmt w:val="bullet"/>
      <w:lvlText w:val="•"/>
      <w:lvlJc w:val="left"/>
      <w:pPr>
        <w:ind w:left="3870" w:hanging="455"/>
      </w:pPr>
      <w:rPr>
        <w:rFonts w:hint="default"/>
        <w:lang w:val="en-US" w:eastAsia="en-US" w:bidi="ar-SA"/>
      </w:rPr>
    </w:lvl>
    <w:lvl w:ilvl="8">
      <w:start w:val="0"/>
      <w:numFmt w:val="bullet"/>
      <w:lvlText w:val="•"/>
      <w:lvlJc w:val="left"/>
      <w:pPr>
        <w:ind w:left="6060" w:hanging="455"/>
      </w:pPr>
      <w:rPr>
        <w:rFonts w:hint="default"/>
        <w:lang w:val="en-US" w:eastAsia="en-US" w:bidi="ar-SA"/>
      </w:rPr>
    </w:lvl>
  </w:abstractNum>
  <w:abstractNum w:abstractNumId="81">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3"/>
      <w:numFmt w:val="decimalZero"/>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80">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98"/>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79">
    <w:multiLevelType w:val="hybridMultilevel"/>
    <w:lvl w:ilvl="0">
      <w:start w:val="1"/>
      <w:numFmt w:val="decimal"/>
      <w:lvlText w:val="%1."/>
      <w:lvlJc w:val="left"/>
      <w:pPr>
        <w:ind w:left="630" w:hanging="270"/>
        <w:jc w:val="righ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620" w:hanging="270"/>
      </w:pPr>
      <w:rPr>
        <w:rFonts w:hint="default"/>
        <w:lang w:val="en-US" w:eastAsia="en-US" w:bidi="ar-SA"/>
      </w:rPr>
    </w:lvl>
    <w:lvl w:ilvl="2">
      <w:start w:val="0"/>
      <w:numFmt w:val="bullet"/>
      <w:lvlText w:val="•"/>
      <w:lvlJc w:val="left"/>
      <w:pPr>
        <w:ind w:left="2600" w:hanging="270"/>
      </w:pPr>
      <w:rPr>
        <w:rFonts w:hint="default"/>
        <w:lang w:val="en-US" w:eastAsia="en-US" w:bidi="ar-SA"/>
      </w:rPr>
    </w:lvl>
    <w:lvl w:ilvl="3">
      <w:start w:val="0"/>
      <w:numFmt w:val="bullet"/>
      <w:lvlText w:val="•"/>
      <w:lvlJc w:val="left"/>
      <w:pPr>
        <w:ind w:left="3580" w:hanging="270"/>
      </w:pPr>
      <w:rPr>
        <w:rFonts w:hint="default"/>
        <w:lang w:val="en-US" w:eastAsia="en-US" w:bidi="ar-SA"/>
      </w:rPr>
    </w:lvl>
    <w:lvl w:ilvl="4">
      <w:start w:val="0"/>
      <w:numFmt w:val="bullet"/>
      <w:lvlText w:val="•"/>
      <w:lvlJc w:val="left"/>
      <w:pPr>
        <w:ind w:left="4560" w:hanging="270"/>
      </w:pPr>
      <w:rPr>
        <w:rFonts w:hint="default"/>
        <w:lang w:val="en-US" w:eastAsia="en-US" w:bidi="ar-SA"/>
      </w:rPr>
    </w:lvl>
    <w:lvl w:ilvl="5">
      <w:start w:val="0"/>
      <w:numFmt w:val="bullet"/>
      <w:lvlText w:val="•"/>
      <w:lvlJc w:val="left"/>
      <w:pPr>
        <w:ind w:left="5540" w:hanging="270"/>
      </w:pPr>
      <w:rPr>
        <w:rFonts w:hint="default"/>
        <w:lang w:val="en-US" w:eastAsia="en-US" w:bidi="ar-SA"/>
      </w:rPr>
    </w:lvl>
    <w:lvl w:ilvl="6">
      <w:start w:val="0"/>
      <w:numFmt w:val="bullet"/>
      <w:lvlText w:val="•"/>
      <w:lvlJc w:val="left"/>
      <w:pPr>
        <w:ind w:left="6520" w:hanging="270"/>
      </w:pPr>
      <w:rPr>
        <w:rFonts w:hint="default"/>
        <w:lang w:val="en-US" w:eastAsia="en-US" w:bidi="ar-SA"/>
      </w:rPr>
    </w:lvl>
    <w:lvl w:ilvl="7">
      <w:start w:val="0"/>
      <w:numFmt w:val="bullet"/>
      <w:lvlText w:val="•"/>
      <w:lvlJc w:val="left"/>
      <w:pPr>
        <w:ind w:left="7500" w:hanging="270"/>
      </w:pPr>
      <w:rPr>
        <w:rFonts w:hint="default"/>
        <w:lang w:val="en-US" w:eastAsia="en-US" w:bidi="ar-SA"/>
      </w:rPr>
    </w:lvl>
    <w:lvl w:ilvl="8">
      <w:start w:val="0"/>
      <w:numFmt w:val="bullet"/>
      <w:lvlText w:val="•"/>
      <w:lvlJc w:val="left"/>
      <w:pPr>
        <w:ind w:left="8480" w:hanging="270"/>
      </w:pPr>
      <w:rPr>
        <w:rFonts w:hint="default"/>
        <w:lang w:val="en-US" w:eastAsia="en-US" w:bidi="ar-SA"/>
      </w:rPr>
    </w:lvl>
  </w:abstractNum>
  <w:abstractNum w:abstractNumId="78">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8"/>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3">
      <w:start w:val="1"/>
      <w:numFmt w:val="lowerRoman"/>
      <w:lvlText w:val="(%4)"/>
      <w:lvlJc w:val="left"/>
      <w:pPr>
        <w:ind w:left="1656" w:hanging="348"/>
        <w:jc w:val="left"/>
      </w:pPr>
      <w:rPr>
        <w:rFonts w:hint="default" w:ascii="Arial" w:hAnsi="Arial" w:eastAsia="Arial" w:cs="Arial"/>
        <w:b w:val="0"/>
        <w:bCs w:val="0"/>
        <w:i w:val="0"/>
        <w:iCs w:val="0"/>
        <w:spacing w:val="-1"/>
        <w:w w:val="100"/>
        <w:sz w:val="24"/>
        <w:szCs w:val="24"/>
        <w:lang w:val="en-US" w:eastAsia="en-US" w:bidi="ar-SA"/>
      </w:rPr>
    </w:lvl>
    <w:lvl w:ilvl="4">
      <w:start w:val="0"/>
      <w:numFmt w:val="bullet"/>
      <w:lvlText w:val="•"/>
      <w:lvlJc w:val="left"/>
      <w:pPr>
        <w:ind w:left="1680" w:hanging="348"/>
      </w:pPr>
      <w:rPr>
        <w:rFonts w:hint="default"/>
        <w:lang w:val="en-US" w:eastAsia="en-US" w:bidi="ar-SA"/>
      </w:rPr>
    </w:lvl>
    <w:lvl w:ilvl="5">
      <w:start w:val="0"/>
      <w:numFmt w:val="bullet"/>
      <w:lvlText w:val="•"/>
      <w:lvlJc w:val="left"/>
      <w:pPr>
        <w:ind w:left="3140" w:hanging="348"/>
      </w:pPr>
      <w:rPr>
        <w:rFonts w:hint="default"/>
        <w:lang w:val="en-US" w:eastAsia="en-US" w:bidi="ar-SA"/>
      </w:rPr>
    </w:lvl>
    <w:lvl w:ilvl="6">
      <w:start w:val="0"/>
      <w:numFmt w:val="bullet"/>
      <w:lvlText w:val="•"/>
      <w:lvlJc w:val="left"/>
      <w:pPr>
        <w:ind w:left="4600" w:hanging="348"/>
      </w:pPr>
      <w:rPr>
        <w:rFonts w:hint="default"/>
        <w:lang w:val="en-US" w:eastAsia="en-US" w:bidi="ar-SA"/>
      </w:rPr>
    </w:lvl>
    <w:lvl w:ilvl="7">
      <w:start w:val="0"/>
      <w:numFmt w:val="bullet"/>
      <w:lvlText w:val="•"/>
      <w:lvlJc w:val="left"/>
      <w:pPr>
        <w:ind w:left="6060" w:hanging="348"/>
      </w:pPr>
      <w:rPr>
        <w:rFonts w:hint="default"/>
        <w:lang w:val="en-US" w:eastAsia="en-US" w:bidi="ar-SA"/>
      </w:rPr>
    </w:lvl>
    <w:lvl w:ilvl="8">
      <w:start w:val="0"/>
      <w:numFmt w:val="bullet"/>
      <w:lvlText w:val="•"/>
      <w:lvlJc w:val="left"/>
      <w:pPr>
        <w:ind w:left="7520" w:hanging="348"/>
      </w:pPr>
      <w:rPr>
        <w:rFonts w:hint="default"/>
        <w:lang w:val="en-US" w:eastAsia="en-US" w:bidi="ar-SA"/>
      </w:rPr>
    </w:lvl>
  </w:abstractNum>
  <w:abstractNum w:abstractNumId="77">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6"/>
      <w:numFmt w:val="decimalZero"/>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76">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19" w:hanging="428"/>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678" w:hanging="455"/>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1680" w:hanging="455"/>
      </w:pPr>
      <w:rPr>
        <w:rFonts w:hint="default"/>
        <w:lang w:val="en-US" w:eastAsia="en-US" w:bidi="ar-SA"/>
      </w:rPr>
    </w:lvl>
    <w:lvl w:ilvl="4">
      <w:start w:val="0"/>
      <w:numFmt w:val="bullet"/>
      <w:lvlText w:val="•"/>
      <w:lvlJc w:val="left"/>
      <w:pPr>
        <w:ind w:left="2931" w:hanging="455"/>
      </w:pPr>
      <w:rPr>
        <w:rFonts w:hint="default"/>
        <w:lang w:val="en-US" w:eastAsia="en-US" w:bidi="ar-SA"/>
      </w:rPr>
    </w:lvl>
    <w:lvl w:ilvl="5">
      <w:start w:val="0"/>
      <w:numFmt w:val="bullet"/>
      <w:lvlText w:val="•"/>
      <w:lvlJc w:val="left"/>
      <w:pPr>
        <w:ind w:left="4182" w:hanging="455"/>
      </w:pPr>
      <w:rPr>
        <w:rFonts w:hint="default"/>
        <w:lang w:val="en-US" w:eastAsia="en-US" w:bidi="ar-SA"/>
      </w:rPr>
    </w:lvl>
    <w:lvl w:ilvl="6">
      <w:start w:val="0"/>
      <w:numFmt w:val="bullet"/>
      <w:lvlText w:val="•"/>
      <w:lvlJc w:val="left"/>
      <w:pPr>
        <w:ind w:left="5434" w:hanging="455"/>
      </w:pPr>
      <w:rPr>
        <w:rFonts w:hint="default"/>
        <w:lang w:val="en-US" w:eastAsia="en-US" w:bidi="ar-SA"/>
      </w:rPr>
    </w:lvl>
    <w:lvl w:ilvl="7">
      <w:start w:val="0"/>
      <w:numFmt w:val="bullet"/>
      <w:lvlText w:val="•"/>
      <w:lvlJc w:val="left"/>
      <w:pPr>
        <w:ind w:left="6685" w:hanging="455"/>
      </w:pPr>
      <w:rPr>
        <w:rFonts w:hint="default"/>
        <w:lang w:val="en-US" w:eastAsia="en-US" w:bidi="ar-SA"/>
      </w:rPr>
    </w:lvl>
    <w:lvl w:ilvl="8">
      <w:start w:val="0"/>
      <w:numFmt w:val="bullet"/>
      <w:lvlText w:val="•"/>
      <w:lvlJc w:val="left"/>
      <w:pPr>
        <w:ind w:left="7937" w:hanging="455"/>
      </w:pPr>
      <w:rPr>
        <w:rFonts w:hint="default"/>
        <w:lang w:val="en-US" w:eastAsia="en-US" w:bidi="ar-SA"/>
      </w:rPr>
    </w:lvl>
  </w:abstractNum>
  <w:abstractNum w:abstractNumId="75">
    <w:multiLevelType w:val="hybridMultilevel"/>
    <w:lvl w:ilvl="0">
      <w:start w:val="1"/>
      <w:numFmt w:val="decimal"/>
      <w:lvlText w:val="(%1)"/>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429"/>
      </w:pPr>
      <w:rPr>
        <w:rFonts w:hint="default"/>
        <w:lang w:val="en-US" w:eastAsia="en-US" w:bidi="ar-SA"/>
      </w:rPr>
    </w:lvl>
    <w:lvl w:ilvl="2">
      <w:start w:val="0"/>
      <w:numFmt w:val="bullet"/>
      <w:lvlText w:val="•"/>
      <w:lvlJc w:val="left"/>
      <w:pPr>
        <w:ind w:left="2728" w:hanging="429"/>
      </w:pPr>
      <w:rPr>
        <w:rFonts w:hint="default"/>
        <w:lang w:val="en-US" w:eastAsia="en-US" w:bidi="ar-SA"/>
      </w:rPr>
    </w:lvl>
    <w:lvl w:ilvl="3">
      <w:start w:val="0"/>
      <w:numFmt w:val="bullet"/>
      <w:lvlText w:val="•"/>
      <w:lvlJc w:val="left"/>
      <w:pPr>
        <w:ind w:left="3692" w:hanging="429"/>
      </w:pPr>
      <w:rPr>
        <w:rFonts w:hint="default"/>
        <w:lang w:val="en-US" w:eastAsia="en-US" w:bidi="ar-SA"/>
      </w:rPr>
    </w:lvl>
    <w:lvl w:ilvl="4">
      <w:start w:val="0"/>
      <w:numFmt w:val="bullet"/>
      <w:lvlText w:val="•"/>
      <w:lvlJc w:val="left"/>
      <w:pPr>
        <w:ind w:left="4656" w:hanging="429"/>
      </w:pPr>
      <w:rPr>
        <w:rFonts w:hint="default"/>
        <w:lang w:val="en-US" w:eastAsia="en-US" w:bidi="ar-SA"/>
      </w:rPr>
    </w:lvl>
    <w:lvl w:ilvl="5">
      <w:start w:val="0"/>
      <w:numFmt w:val="bullet"/>
      <w:lvlText w:val="•"/>
      <w:lvlJc w:val="left"/>
      <w:pPr>
        <w:ind w:left="5620" w:hanging="429"/>
      </w:pPr>
      <w:rPr>
        <w:rFonts w:hint="default"/>
        <w:lang w:val="en-US" w:eastAsia="en-US" w:bidi="ar-SA"/>
      </w:rPr>
    </w:lvl>
    <w:lvl w:ilvl="6">
      <w:start w:val="0"/>
      <w:numFmt w:val="bullet"/>
      <w:lvlText w:val="•"/>
      <w:lvlJc w:val="left"/>
      <w:pPr>
        <w:ind w:left="6584" w:hanging="429"/>
      </w:pPr>
      <w:rPr>
        <w:rFonts w:hint="default"/>
        <w:lang w:val="en-US" w:eastAsia="en-US" w:bidi="ar-SA"/>
      </w:rPr>
    </w:lvl>
    <w:lvl w:ilvl="7">
      <w:start w:val="0"/>
      <w:numFmt w:val="bullet"/>
      <w:lvlText w:val="•"/>
      <w:lvlJc w:val="left"/>
      <w:pPr>
        <w:ind w:left="7548" w:hanging="429"/>
      </w:pPr>
      <w:rPr>
        <w:rFonts w:hint="default"/>
        <w:lang w:val="en-US" w:eastAsia="en-US" w:bidi="ar-SA"/>
      </w:rPr>
    </w:lvl>
    <w:lvl w:ilvl="8">
      <w:start w:val="0"/>
      <w:numFmt w:val="bullet"/>
      <w:lvlText w:val="•"/>
      <w:lvlJc w:val="left"/>
      <w:pPr>
        <w:ind w:left="8512" w:hanging="429"/>
      </w:pPr>
      <w:rPr>
        <w:rFonts w:hint="default"/>
        <w:lang w:val="en-US" w:eastAsia="en-US" w:bidi="ar-SA"/>
      </w:rPr>
    </w:lvl>
  </w:abstractNum>
  <w:abstractNum w:abstractNumId="74">
    <w:multiLevelType w:val="hybridMultilevel"/>
    <w:lvl w:ilvl="0">
      <w:start w:val="1"/>
      <w:numFmt w:val="decimal"/>
      <w:lvlText w:val="(%1)"/>
      <w:lvlJc w:val="left"/>
      <w:pPr>
        <w:ind w:left="792" w:hanging="42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428"/>
      </w:pPr>
      <w:rPr>
        <w:rFonts w:hint="default"/>
        <w:lang w:val="en-US" w:eastAsia="en-US" w:bidi="ar-SA"/>
      </w:rPr>
    </w:lvl>
    <w:lvl w:ilvl="2">
      <w:start w:val="0"/>
      <w:numFmt w:val="bullet"/>
      <w:lvlText w:val="•"/>
      <w:lvlJc w:val="left"/>
      <w:pPr>
        <w:ind w:left="2728" w:hanging="428"/>
      </w:pPr>
      <w:rPr>
        <w:rFonts w:hint="default"/>
        <w:lang w:val="en-US" w:eastAsia="en-US" w:bidi="ar-SA"/>
      </w:rPr>
    </w:lvl>
    <w:lvl w:ilvl="3">
      <w:start w:val="0"/>
      <w:numFmt w:val="bullet"/>
      <w:lvlText w:val="•"/>
      <w:lvlJc w:val="left"/>
      <w:pPr>
        <w:ind w:left="3692" w:hanging="428"/>
      </w:pPr>
      <w:rPr>
        <w:rFonts w:hint="default"/>
        <w:lang w:val="en-US" w:eastAsia="en-US" w:bidi="ar-SA"/>
      </w:rPr>
    </w:lvl>
    <w:lvl w:ilvl="4">
      <w:start w:val="0"/>
      <w:numFmt w:val="bullet"/>
      <w:lvlText w:val="•"/>
      <w:lvlJc w:val="left"/>
      <w:pPr>
        <w:ind w:left="4656" w:hanging="428"/>
      </w:pPr>
      <w:rPr>
        <w:rFonts w:hint="default"/>
        <w:lang w:val="en-US" w:eastAsia="en-US" w:bidi="ar-SA"/>
      </w:rPr>
    </w:lvl>
    <w:lvl w:ilvl="5">
      <w:start w:val="0"/>
      <w:numFmt w:val="bullet"/>
      <w:lvlText w:val="•"/>
      <w:lvlJc w:val="left"/>
      <w:pPr>
        <w:ind w:left="5620" w:hanging="428"/>
      </w:pPr>
      <w:rPr>
        <w:rFonts w:hint="default"/>
        <w:lang w:val="en-US" w:eastAsia="en-US" w:bidi="ar-SA"/>
      </w:rPr>
    </w:lvl>
    <w:lvl w:ilvl="6">
      <w:start w:val="0"/>
      <w:numFmt w:val="bullet"/>
      <w:lvlText w:val="•"/>
      <w:lvlJc w:val="left"/>
      <w:pPr>
        <w:ind w:left="6584" w:hanging="428"/>
      </w:pPr>
      <w:rPr>
        <w:rFonts w:hint="default"/>
        <w:lang w:val="en-US" w:eastAsia="en-US" w:bidi="ar-SA"/>
      </w:rPr>
    </w:lvl>
    <w:lvl w:ilvl="7">
      <w:start w:val="0"/>
      <w:numFmt w:val="bullet"/>
      <w:lvlText w:val="•"/>
      <w:lvlJc w:val="left"/>
      <w:pPr>
        <w:ind w:left="7548" w:hanging="428"/>
      </w:pPr>
      <w:rPr>
        <w:rFonts w:hint="default"/>
        <w:lang w:val="en-US" w:eastAsia="en-US" w:bidi="ar-SA"/>
      </w:rPr>
    </w:lvl>
    <w:lvl w:ilvl="8">
      <w:start w:val="0"/>
      <w:numFmt w:val="bullet"/>
      <w:lvlText w:val="•"/>
      <w:lvlJc w:val="left"/>
      <w:pPr>
        <w:ind w:left="8512" w:hanging="428"/>
      </w:pPr>
      <w:rPr>
        <w:rFonts w:hint="default"/>
        <w:lang w:val="en-US" w:eastAsia="en-US" w:bidi="ar-SA"/>
      </w:rPr>
    </w:lvl>
  </w:abstractNum>
  <w:abstractNum w:abstractNumId="73">
    <w:multiLevelType w:val="hybridMultilevel"/>
    <w:lvl w:ilvl="0">
      <w:start w:val="1"/>
      <w:numFmt w:val="decimal"/>
      <w:lvlText w:val="%1."/>
      <w:lvlJc w:val="left"/>
      <w:pPr>
        <w:ind w:left="360" w:hanging="335"/>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335"/>
      </w:pPr>
      <w:rPr>
        <w:rFonts w:hint="default"/>
        <w:lang w:val="en-US" w:eastAsia="en-US" w:bidi="ar-SA"/>
      </w:rPr>
    </w:lvl>
    <w:lvl w:ilvl="2">
      <w:start w:val="0"/>
      <w:numFmt w:val="bullet"/>
      <w:lvlText w:val="•"/>
      <w:lvlJc w:val="left"/>
      <w:pPr>
        <w:ind w:left="2376" w:hanging="335"/>
      </w:pPr>
      <w:rPr>
        <w:rFonts w:hint="default"/>
        <w:lang w:val="en-US" w:eastAsia="en-US" w:bidi="ar-SA"/>
      </w:rPr>
    </w:lvl>
    <w:lvl w:ilvl="3">
      <w:start w:val="0"/>
      <w:numFmt w:val="bullet"/>
      <w:lvlText w:val="•"/>
      <w:lvlJc w:val="left"/>
      <w:pPr>
        <w:ind w:left="3384" w:hanging="335"/>
      </w:pPr>
      <w:rPr>
        <w:rFonts w:hint="default"/>
        <w:lang w:val="en-US" w:eastAsia="en-US" w:bidi="ar-SA"/>
      </w:rPr>
    </w:lvl>
    <w:lvl w:ilvl="4">
      <w:start w:val="0"/>
      <w:numFmt w:val="bullet"/>
      <w:lvlText w:val="•"/>
      <w:lvlJc w:val="left"/>
      <w:pPr>
        <w:ind w:left="4392" w:hanging="335"/>
      </w:pPr>
      <w:rPr>
        <w:rFonts w:hint="default"/>
        <w:lang w:val="en-US" w:eastAsia="en-US" w:bidi="ar-SA"/>
      </w:rPr>
    </w:lvl>
    <w:lvl w:ilvl="5">
      <w:start w:val="0"/>
      <w:numFmt w:val="bullet"/>
      <w:lvlText w:val="•"/>
      <w:lvlJc w:val="left"/>
      <w:pPr>
        <w:ind w:left="5400" w:hanging="335"/>
      </w:pPr>
      <w:rPr>
        <w:rFonts w:hint="default"/>
        <w:lang w:val="en-US" w:eastAsia="en-US" w:bidi="ar-SA"/>
      </w:rPr>
    </w:lvl>
    <w:lvl w:ilvl="6">
      <w:start w:val="0"/>
      <w:numFmt w:val="bullet"/>
      <w:lvlText w:val="•"/>
      <w:lvlJc w:val="left"/>
      <w:pPr>
        <w:ind w:left="6408" w:hanging="335"/>
      </w:pPr>
      <w:rPr>
        <w:rFonts w:hint="default"/>
        <w:lang w:val="en-US" w:eastAsia="en-US" w:bidi="ar-SA"/>
      </w:rPr>
    </w:lvl>
    <w:lvl w:ilvl="7">
      <w:start w:val="0"/>
      <w:numFmt w:val="bullet"/>
      <w:lvlText w:val="•"/>
      <w:lvlJc w:val="left"/>
      <w:pPr>
        <w:ind w:left="7416" w:hanging="335"/>
      </w:pPr>
      <w:rPr>
        <w:rFonts w:hint="default"/>
        <w:lang w:val="en-US" w:eastAsia="en-US" w:bidi="ar-SA"/>
      </w:rPr>
    </w:lvl>
    <w:lvl w:ilvl="8">
      <w:start w:val="0"/>
      <w:numFmt w:val="bullet"/>
      <w:lvlText w:val="•"/>
      <w:lvlJc w:val="left"/>
      <w:pPr>
        <w:ind w:left="8424" w:hanging="335"/>
      </w:pPr>
      <w:rPr>
        <w:rFonts w:hint="default"/>
        <w:lang w:val="en-US" w:eastAsia="en-US" w:bidi="ar-SA"/>
      </w:rPr>
    </w:lvl>
  </w:abstractNum>
  <w:abstractNum w:abstractNumId="72">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8"/>
      </w:pPr>
      <w:rPr>
        <w:rFonts w:hint="default"/>
        <w:lang w:val="en-US" w:eastAsia="en-US" w:bidi="ar-SA"/>
      </w:rPr>
    </w:lvl>
    <w:lvl w:ilvl="3">
      <w:start w:val="0"/>
      <w:numFmt w:val="bullet"/>
      <w:lvlText w:val="•"/>
      <w:lvlJc w:val="left"/>
      <w:pPr>
        <w:ind w:left="2942" w:hanging="428"/>
      </w:pPr>
      <w:rPr>
        <w:rFonts w:hint="default"/>
        <w:lang w:val="en-US" w:eastAsia="en-US" w:bidi="ar-SA"/>
      </w:rPr>
    </w:lvl>
    <w:lvl w:ilvl="4">
      <w:start w:val="0"/>
      <w:numFmt w:val="bullet"/>
      <w:lvlText w:val="•"/>
      <w:lvlJc w:val="left"/>
      <w:pPr>
        <w:ind w:left="4013" w:hanging="428"/>
      </w:pPr>
      <w:rPr>
        <w:rFonts w:hint="default"/>
        <w:lang w:val="en-US" w:eastAsia="en-US" w:bidi="ar-SA"/>
      </w:rPr>
    </w:lvl>
    <w:lvl w:ilvl="5">
      <w:start w:val="0"/>
      <w:numFmt w:val="bullet"/>
      <w:lvlText w:val="•"/>
      <w:lvlJc w:val="left"/>
      <w:pPr>
        <w:ind w:left="5084" w:hanging="428"/>
      </w:pPr>
      <w:rPr>
        <w:rFonts w:hint="default"/>
        <w:lang w:val="en-US" w:eastAsia="en-US" w:bidi="ar-SA"/>
      </w:rPr>
    </w:lvl>
    <w:lvl w:ilvl="6">
      <w:start w:val="0"/>
      <w:numFmt w:val="bullet"/>
      <w:lvlText w:val="•"/>
      <w:lvlJc w:val="left"/>
      <w:pPr>
        <w:ind w:left="6155" w:hanging="428"/>
      </w:pPr>
      <w:rPr>
        <w:rFonts w:hint="default"/>
        <w:lang w:val="en-US" w:eastAsia="en-US" w:bidi="ar-SA"/>
      </w:rPr>
    </w:lvl>
    <w:lvl w:ilvl="7">
      <w:start w:val="0"/>
      <w:numFmt w:val="bullet"/>
      <w:lvlText w:val="•"/>
      <w:lvlJc w:val="left"/>
      <w:pPr>
        <w:ind w:left="7226" w:hanging="428"/>
      </w:pPr>
      <w:rPr>
        <w:rFonts w:hint="default"/>
        <w:lang w:val="en-US" w:eastAsia="en-US" w:bidi="ar-SA"/>
      </w:rPr>
    </w:lvl>
    <w:lvl w:ilvl="8">
      <w:start w:val="0"/>
      <w:numFmt w:val="bullet"/>
      <w:lvlText w:val="•"/>
      <w:lvlJc w:val="left"/>
      <w:pPr>
        <w:ind w:left="8297" w:hanging="428"/>
      </w:pPr>
      <w:rPr>
        <w:rFonts w:hint="default"/>
        <w:lang w:val="en-US" w:eastAsia="en-US" w:bidi="ar-SA"/>
      </w:rPr>
    </w:lvl>
  </w:abstractNum>
  <w:abstractNum w:abstractNumId="71">
    <w:multiLevelType w:val="hybridMultilevel"/>
    <w:lvl w:ilvl="0">
      <w:start w:val="8"/>
      <w:numFmt w:val="decimal"/>
      <w:lvlText w:val="%1"/>
      <w:lvlJc w:val="left"/>
      <w:pPr>
        <w:ind w:left="1440" w:hanging="1080"/>
        <w:jc w:val="left"/>
      </w:pPr>
      <w:rPr>
        <w:rFonts w:hint="default"/>
        <w:lang w:val="en-US" w:eastAsia="en-US" w:bidi="ar-SA"/>
      </w:rPr>
    </w:lvl>
    <w:lvl w:ilvl="1">
      <w:start w:val="11"/>
      <w:numFmt w:val="decimal"/>
      <w:lvlText w:val="%1-%2"/>
      <w:lvlJc w:val="left"/>
      <w:pPr>
        <w:ind w:left="1440" w:hanging="1080"/>
        <w:jc w:val="left"/>
      </w:pPr>
      <w:rPr>
        <w:rFonts w:hint="default"/>
        <w:lang w:val="en-US" w:eastAsia="en-US" w:bidi="ar-SA"/>
      </w:rPr>
    </w:lvl>
    <w:lvl w:ilvl="2">
      <w:start w:val="23"/>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70">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96"/>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69">
    <w:multiLevelType w:val="hybridMultilevel"/>
    <w:lvl w:ilvl="0">
      <w:start w:val="1"/>
      <w:numFmt w:val="upperLetter"/>
      <w:lvlText w:val="(%1)"/>
      <w:lvlJc w:val="left"/>
      <w:pPr>
        <w:ind w:left="810" w:hanging="454"/>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82" w:hanging="454"/>
      </w:pPr>
      <w:rPr>
        <w:rFonts w:hint="default"/>
        <w:lang w:val="en-US" w:eastAsia="en-US" w:bidi="ar-SA"/>
      </w:rPr>
    </w:lvl>
    <w:lvl w:ilvl="2">
      <w:start w:val="0"/>
      <w:numFmt w:val="bullet"/>
      <w:lvlText w:val="•"/>
      <w:lvlJc w:val="left"/>
      <w:pPr>
        <w:ind w:left="2744" w:hanging="454"/>
      </w:pPr>
      <w:rPr>
        <w:rFonts w:hint="default"/>
        <w:lang w:val="en-US" w:eastAsia="en-US" w:bidi="ar-SA"/>
      </w:rPr>
    </w:lvl>
    <w:lvl w:ilvl="3">
      <w:start w:val="0"/>
      <w:numFmt w:val="bullet"/>
      <w:lvlText w:val="•"/>
      <w:lvlJc w:val="left"/>
      <w:pPr>
        <w:ind w:left="3706" w:hanging="454"/>
      </w:pPr>
      <w:rPr>
        <w:rFonts w:hint="default"/>
        <w:lang w:val="en-US" w:eastAsia="en-US" w:bidi="ar-SA"/>
      </w:rPr>
    </w:lvl>
    <w:lvl w:ilvl="4">
      <w:start w:val="0"/>
      <w:numFmt w:val="bullet"/>
      <w:lvlText w:val="•"/>
      <w:lvlJc w:val="left"/>
      <w:pPr>
        <w:ind w:left="4668" w:hanging="454"/>
      </w:pPr>
      <w:rPr>
        <w:rFonts w:hint="default"/>
        <w:lang w:val="en-US" w:eastAsia="en-US" w:bidi="ar-SA"/>
      </w:rPr>
    </w:lvl>
    <w:lvl w:ilvl="5">
      <w:start w:val="0"/>
      <w:numFmt w:val="bullet"/>
      <w:lvlText w:val="•"/>
      <w:lvlJc w:val="left"/>
      <w:pPr>
        <w:ind w:left="5630" w:hanging="454"/>
      </w:pPr>
      <w:rPr>
        <w:rFonts w:hint="default"/>
        <w:lang w:val="en-US" w:eastAsia="en-US" w:bidi="ar-SA"/>
      </w:rPr>
    </w:lvl>
    <w:lvl w:ilvl="6">
      <w:start w:val="0"/>
      <w:numFmt w:val="bullet"/>
      <w:lvlText w:val="•"/>
      <w:lvlJc w:val="left"/>
      <w:pPr>
        <w:ind w:left="6592" w:hanging="454"/>
      </w:pPr>
      <w:rPr>
        <w:rFonts w:hint="default"/>
        <w:lang w:val="en-US" w:eastAsia="en-US" w:bidi="ar-SA"/>
      </w:rPr>
    </w:lvl>
    <w:lvl w:ilvl="7">
      <w:start w:val="0"/>
      <w:numFmt w:val="bullet"/>
      <w:lvlText w:val="•"/>
      <w:lvlJc w:val="left"/>
      <w:pPr>
        <w:ind w:left="7554" w:hanging="454"/>
      </w:pPr>
      <w:rPr>
        <w:rFonts w:hint="default"/>
        <w:lang w:val="en-US" w:eastAsia="en-US" w:bidi="ar-SA"/>
      </w:rPr>
    </w:lvl>
    <w:lvl w:ilvl="8">
      <w:start w:val="0"/>
      <w:numFmt w:val="bullet"/>
      <w:lvlText w:val="•"/>
      <w:lvlJc w:val="left"/>
      <w:pPr>
        <w:ind w:left="8516" w:hanging="454"/>
      </w:pPr>
      <w:rPr>
        <w:rFonts w:hint="default"/>
        <w:lang w:val="en-US" w:eastAsia="en-US" w:bidi="ar-SA"/>
      </w:rPr>
    </w:lvl>
  </w:abstractNum>
  <w:abstractNum w:abstractNumId="68">
    <w:multiLevelType w:val="hybridMultilevel"/>
    <w:lvl w:ilvl="0">
      <w:start w:val="1"/>
      <w:numFmt w:val="upperLetter"/>
      <w:lvlText w:val="(%1)"/>
      <w:lvlJc w:val="left"/>
      <w:pPr>
        <w:ind w:left="1080" w:hanging="455"/>
        <w:jc w:val="left"/>
      </w:pPr>
      <w:rPr>
        <w:rFonts w:hint="default" w:ascii="Arial" w:hAnsi="Arial" w:eastAsia="Arial" w:cs="Arial"/>
        <w:b w:val="0"/>
        <w:bCs w:val="0"/>
        <w:i w:val="0"/>
        <w:iCs w:val="0"/>
        <w:spacing w:val="-1"/>
        <w:w w:val="100"/>
        <w:sz w:val="24"/>
        <w:szCs w:val="24"/>
        <w:lang w:val="en-US" w:eastAsia="en-US" w:bidi="ar-SA"/>
      </w:rPr>
    </w:lvl>
    <w:lvl w:ilvl="1">
      <w:start w:val="1"/>
      <w:numFmt w:val="lowerRoman"/>
      <w:lvlText w:val="(%2)"/>
      <w:lvlJc w:val="left"/>
      <w:pPr>
        <w:ind w:left="1620" w:hanging="34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960" w:hanging="348"/>
      </w:pPr>
      <w:rPr>
        <w:rFonts w:hint="default"/>
        <w:lang w:val="en-US" w:eastAsia="en-US" w:bidi="ar-SA"/>
      </w:rPr>
    </w:lvl>
    <w:lvl w:ilvl="3">
      <w:start w:val="0"/>
      <w:numFmt w:val="bullet"/>
      <w:lvlText w:val="•"/>
      <w:lvlJc w:val="left"/>
      <w:pPr>
        <w:ind w:left="3020" w:hanging="348"/>
      </w:pPr>
      <w:rPr>
        <w:rFonts w:hint="default"/>
        <w:lang w:val="en-US" w:eastAsia="en-US" w:bidi="ar-SA"/>
      </w:rPr>
    </w:lvl>
    <w:lvl w:ilvl="4">
      <w:start w:val="0"/>
      <w:numFmt w:val="bullet"/>
      <w:lvlText w:val="•"/>
      <w:lvlJc w:val="left"/>
      <w:pPr>
        <w:ind w:left="4080" w:hanging="348"/>
      </w:pPr>
      <w:rPr>
        <w:rFonts w:hint="default"/>
        <w:lang w:val="en-US" w:eastAsia="en-US" w:bidi="ar-SA"/>
      </w:rPr>
    </w:lvl>
    <w:lvl w:ilvl="5">
      <w:start w:val="0"/>
      <w:numFmt w:val="bullet"/>
      <w:lvlText w:val="•"/>
      <w:lvlJc w:val="left"/>
      <w:pPr>
        <w:ind w:left="5140" w:hanging="348"/>
      </w:pPr>
      <w:rPr>
        <w:rFonts w:hint="default"/>
        <w:lang w:val="en-US" w:eastAsia="en-US" w:bidi="ar-SA"/>
      </w:rPr>
    </w:lvl>
    <w:lvl w:ilvl="6">
      <w:start w:val="0"/>
      <w:numFmt w:val="bullet"/>
      <w:lvlText w:val="•"/>
      <w:lvlJc w:val="left"/>
      <w:pPr>
        <w:ind w:left="6200" w:hanging="348"/>
      </w:pPr>
      <w:rPr>
        <w:rFonts w:hint="default"/>
        <w:lang w:val="en-US" w:eastAsia="en-US" w:bidi="ar-SA"/>
      </w:rPr>
    </w:lvl>
    <w:lvl w:ilvl="7">
      <w:start w:val="0"/>
      <w:numFmt w:val="bullet"/>
      <w:lvlText w:val="•"/>
      <w:lvlJc w:val="left"/>
      <w:pPr>
        <w:ind w:left="7260" w:hanging="348"/>
      </w:pPr>
      <w:rPr>
        <w:rFonts w:hint="default"/>
        <w:lang w:val="en-US" w:eastAsia="en-US" w:bidi="ar-SA"/>
      </w:rPr>
    </w:lvl>
    <w:lvl w:ilvl="8">
      <w:start w:val="0"/>
      <w:numFmt w:val="bullet"/>
      <w:lvlText w:val="•"/>
      <w:lvlJc w:val="left"/>
      <w:pPr>
        <w:ind w:left="8320" w:hanging="348"/>
      </w:pPr>
      <w:rPr>
        <w:rFonts w:hint="default"/>
        <w:lang w:val="en-US" w:eastAsia="en-US" w:bidi="ar-SA"/>
      </w:rPr>
    </w:lvl>
  </w:abstractNum>
  <w:abstractNum w:abstractNumId="67">
    <w:multiLevelType w:val="hybridMultilevel"/>
    <w:lvl w:ilvl="0">
      <w:start w:val="1"/>
      <w:numFmt w:val="upperLetter"/>
      <w:lvlText w:val="(%1)"/>
      <w:lvlJc w:val="left"/>
      <w:pPr>
        <w:ind w:left="1080" w:hanging="455"/>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016" w:hanging="455"/>
      </w:pPr>
      <w:rPr>
        <w:rFonts w:hint="default"/>
        <w:lang w:val="en-US" w:eastAsia="en-US" w:bidi="ar-SA"/>
      </w:rPr>
    </w:lvl>
    <w:lvl w:ilvl="2">
      <w:start w:val="0"/>
      <w:numFmt w:val="bullet"/>
      <w:lvlText w:val="•"/>
      <w:lvlJc w:val="left"/>
      <w:pPr>
        <w:ind w:left="2952" w:hanging="455"/>
      </w:pPr>
      <w:rPr>
        <w:rFonts w:hint="default"/>
        <w:lang w:val="en-US" w:eastAsia="en-US" w:bidi="ar-SA"/>
      </w:rPr>
    </w:lvl>
    <w:lvl w:ilvl="3">
      <w:start w:val="0"/>
      <w:numFmt w:val="bullet"/>
      <w:lvlText w:val="•"/>
      <w:lvlJc w:val="left"/>
      <w:pPr>
        <w:ind w:left="3888" w:hanging="455"/>
      </w:pPr>
      <w:rPr>
        <w:rFonts w:hint="default"/>
        <w:lang w:val="en-US" w:eastAsia="en-US" w:bidi="ar-SA"/>
      </w:rPr>
    </w:lvl>
    <w:lvl w:ilvl="4">
      <w:start w:val="0"/>
      <w:numFmt w:val="bullet"/>
      <w:lvlText w:val="•"/>
      <w:lvlJc w:val="left"/>
      <w:pPr>
        <w:ind w:left="4824" w:hanging="455"/>
      </w:pPr>
      <w:rPr>
        <w:rFonts w:hint="default"/>
        <w:lang w:val="en-US" w:eastAsia="en-US" w:bidi="ar-SA"/>
      </w:rPr>
    </w:lvl>
    <w:lvl w:ilvl="5">
      <w:start w:val="0"/>
      <w:numFmt w:val="bullet"/>
      <w:lvlText w:val="•"/>
      <w:lvlJc w:val="left"/>
      <w:pPr>
        <w:ind w:left="5760" w:hanging="455"/>
      </w:pPr>
      <w:rPr>
        <w:rFonts w:hint="default"/>
        <w:lang w:val="en-US" w:eastAsia="en-US" w:bidi="ar-SA"/>
      </w:rPr>
    </w:lvl>
    <w:lvl w:ilvl="6">
      <w:start w:val="0"/>
      <w:numFmt w:val="bullet"/>
      <w:lvlText w:val="•"/>
      <w:lvlJc w:val="left"/>
      <w:pPr>
        <w:ind w:left="6696" w:hanging="455"/>
      </w:pPr>
      <w:rPr>
        <w:rFonts w:hint="default"/>
        <w:lang w:val="en-US" w:eastAsia="en-US" w:bidi="ar-SA"/>
      </w:rPr>
    </w:lvl>
    <w:lvl w:ilvl="7">
      <w:start w:val="0"/>
      <w:numFmt w:val="bullet"/>
      <w:lvlText w:val="•"/>
      <w:lvlJc w:val="left"/>
      <w:pPr>
        <w:ind w:left="7632" w:hanging="455"/>
      </w:pPr>
      <w:rPr>
        <w:rFonts w:hint="default"/>
        <w:lang w:val="en-US" w:eastAsia="en-US" w:bidi="ar-SA"/>
      </w:rPr>
    </w:lvl>
    <w:lvl w:ilvl="8">
      <w:start w:val="0"/>
      <w:numFmt w:val="bullet"/>
      <w:lvlText w:val="•"/>
      <w:lvlJc w:val="left"/>
      <w:pPr>
        <w:ind w:left="8568" w:hanging="455"/>
      </w:pPr>
      <w:rPr>
        <w:rFonts w:hint="default"/>
        <w:lang w:val="en-US" w:eastAsia="en-US" w:bidi="ar-SA"/>
      </w:rPr>
    </w:lvl>
  </w:abstractNum>
  <w:abstractNum w:abstractNumId="66">
    <w:multiLevelType w:val="hybridMultilevel"/>
    <w:lvl w:ilvl="0">
      <w:start w:val="1"/>
      <w:numFmt w:val="upperLetter"/>
      <w:lvlText w:val="(%1)"/>
      <w:lvlJc w:val="left"/>
      <w:pPr>
        <w:ind w:left="1080" w:hanging="455"/>
        <w:jc w:val="left"/>
      </w:pPr>
      <w:rPr>
        <w:rFonts w:hint="default" w:ascii="Arial" w:hAnsi="Arial" w:eastAsia="Arial" w:cs="Arial"/>
        <w:b w:val="0"/>
        <w:bCs w:val="0"/>
        <w:i w:val="0"/>
        <w:iCs w:val="0"/>
        <w:spacing w:val="-1"/>
        <w:w w:val="100"/>
        <w:sz w:val="24"/>
        <w:szCs w:val="24"/>
        <w:lang w:val="en-US" w:eastAsia="en-US" w:bidi="ar-SA"/>
      </w:rPr>
    </w:lvl>
    <w:lvl w:ilvl="1">
      <w:start w:val="1"/>
      <w:numFmt w:val="lowerRoman"/>
      <w:lvlText w:val="(%2)"/>
      <w:lvlJc w:val="left"/>
      <w:pPr>
        <w:ind w:left="1620" w:hanging="34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600" w:hanging="348"/>
      </w:pPr>
      <w:rPr>
        <w:rFonts w:hint="default"/>
        <w:lang w:val="en-US" w:eastAsia="en-US" w:bidi="ar-SA"/>
      </w:rPr>
    </w:lvl>
    <w:lvl w:ilvl="3">
      <w:start w:val="0"/>
      <w:numFmt w:val="bullet"/>
      <w:lvlText w:val="•"/>
      <w:lvlJc w:val="left"/>
      <w:pPr>
        <w:ind w:left="3580" w:hanging="348"/>
      </w:pPr>
      <w:rPr>
        <w:rFonts w:hint="default"/>
        <w:lang w:val="en-US" w:eastAsia="en-US" w:bidi="ar-SA"/>
      </w:rPr>
    </w:lvl>
    <w:lvl w:ilvl="4">
      <w:start w:val="0"/>
      <w:numFmt w:val="bullet"/>
      <w:lvlText w:val="•"/>
      <w:lvlJc w:val="left"/>
      <w:pPr>
        <w:ind w:left="4560" w:hanging="348"/>
      </w:pPr>
      <w:rPr>
        <w:rFonts w:hint="default"/>
        <w:lang w:val="en-US" w:eastAsia="en-US" w:bidi="ar-SA"/>
      </w:rPr>
    </w:lvl>
    <w:lvl w:ilvl="5">
      <w:start w:val="0"/>
      <w:numFmt w:val="bullet"/>
      <w:lvlText w:val="•"/>
      <w:lvlJc w:val="left"/>
      <w:pPr>
        <w:ind w:left="5540" w:hanging="348"/>
      </w:pPr>
      <w:rPr>
        <w:rFonts w:hint="default"/>
        <w:lang w:val="en-US" w:eastAsia="en-US" w:bidi="ar-SA"/>
      </w:rPr>
    </w:lvl>
    <w:lvl w:ilvl="6">
      <w:start w:val="0"/>
      <w:numFmt w:val="bullet"/>
      <w:lvlText w:val="•"/>
      <w:lvlJc w:val="left"/>
      <w:pPr>
        <w:ind w:left="6520" w:hanging="348"/>
      </w:pPr>
      <w:rPr>
        <w:rFonts w:hint="default"/>
        <w:lang w:val="en-US" w:eastAsia="en-US" w:bidi="ar-SA"/>
      </w:rPr>
    </w:lvl>
    <w:lvl w:ilvl="7">
      <w:start w:val="0"/>
      <w:numFmt w:val="bullet"/>
      <w:lvlText w:val="•"/>
      <w:lvlJc w:val="left"/>
      <w:pPr>
        <w:ind w:left="7500" w:hanging="348"/>
      </w:pPr>
      <w:rPr>
        <w:rFonts w:hint="default"/>
        <w:lang w:val="en-US" w:eastAsia="en-US" w:bidi="ar-SA"/>
      </w:rPr>
    </w:lvl>
    <w:lvl w:ilvl="8">
      <w:start w:val="0"/>
      <w:numFmt w:val="bullet"/>
      <w:lvlText w:val="•"/>
      <w:lvlJc w:val="left"/>
      <w:pPr>
        <w:ind w:left="8480" w:hanging="348"/>
      </w:pPr>
      <w:rPr>
        <w:rFonts w:hint="default"/>
        <w:lang w:val="en-US" w:eastAsia="en-US" w:bidi="ar-SA"/>
      </w:rPr>
    </w:lvl>
  </w:abstractNum>
  <w:abstractNum w:abstractNumId="65">
    <w:multiLevelType w:val="hybridMultilevel"/>
    <w:lvl w:ilvl="0">
      <w:start w:val="1"/>
      <w:numFmt w:val="upperLetter"/>
      <w:lvlText w:val="(%1)"/>
      <w:lvlJc w:val="left"/>
      <w:pPr>
        <w:ind w:left="1224" w:hanging="454"/>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454"/>
      </w:pPr>
      <w:rPr>
        <w:rFonts w:hint="default"/>
        <w:lang w:val="en-US" w:eastAsia="en-US" w:bidi="ar-SA"/>
      </w:rPr>
    </w:lvl>
    <w:lvl w:ilvl="2">
      <w:start w:val="0"/>
      <w:numFmt w:val="bullet"/>
      <w:lvlText w:val="•"/>
      <w:lvlJc w:val="left"/>
      <w:pPr>
        <w:ind w:left="3064" w:hanging="454"/>
      </w:pPr>
      <w:rPr>
        <w:rFonts w:hint="default"/>
        <w:lang w:val="en-US" w:eastAsia="en-US" w:bidi="ar-SA"/>
      </w:rPr>
    </w:lvl>
    <w:lvl w:ilvl="3">
      <w:start w:val="0"/>
      <w:numFmt w:val="bullet"/>
      <w:lvlText w:val="•"/>
      <w:lvlJc w:val="left"/>
      <w:pPr>
        <w:ind w:left="3986" w:hanging="454"/>
      </w:pPr>
      <w:rPr>
        <w:rFonts w:hint="default"/>
        <w:lang w:val="en-US" w:eastAsia="en-US" w:bidi="ar-SA"/>
      </w:rPr>
    </w:lvl>
    <w:lvl w:ilvl="4">
      <w:start w:val="0"/>
      <w:numFmt w:val="bullet"/>
      <w:lvlText w:val="•"/>
      <w:lvlJc w:val="left"/>
      <w:pPr>
        <w:ind w:left="4908" w:hanging="454"/>
      </w:pPr>
      <w:rPr>
        <w:rFonts w:hint="default"/>
        <w:lang w:val="en-US" w:eastAsia="en-US" w:bidi="ar-SA"/>
      </w:rPr>
    </w:lvl>
    <w:lvl w:ilvl="5">
      <w:start w:val="0"/>
      <w:numFmt w:val="bullet"/>
      <w:lvlText w:val="•"/>
      <w:lvlJc w:val="left"/>
      <w:pPr>
        <w:ind w:left="5830" w:hanging="454"/>
      </w:pPr>
      <w:rPr>
        <w:rFonts w:hint="default"/>
        <w:lang w:val="en-US" w:eastAsia="en-US" w:bidi="ar-SA"/>
      </w:rPr>
    </w:lvl>
    <w:lvl w:ilvl="6">
      <w:start w:val="0"/>
      <w:numFmt w:val="bullet"/>
      <w:lvlText w:val="•"/>
      <w:lvlJc w:val="left"/>
      <w:pPr>
        <w:ind w:left="6752" w:hanging="454"/>
      </w:pPr>
      <w:rPr>
        <w:rFonts w:hint="default"/>
        <w:lang w:val="en-US" w:eastAsia="en-US" w:bidi="ar-SA"/>
      </w:rPr>
    </w:lvl>
    <w:lvl w:ilvl="7">
      <w:start w:val="0"/>
      <w:numFmt w:val="bullet"/>
      <w:lvlText w:val="•"/>
      <w:lvlJc w:val="left"/>
      <w:pPr>
        <w:ind w:left="7674" w:hanging="454"/>
      </w:pPr>
      <w:rPr>
        <w:rFonts w:hint="default"/>
        <w:lang w:val="en-US" w:eastAsia="en-US" w:bidi="ar-SA"/>
      </w:rPr>
    </w:lvl>
    <w:lvl w:ilvl="8">
      <w:start w:val="0"/>
      <w:numFmt w:val="bullet"/>
      <w:lvlText w:val="•"/>
      <w:lvlJc w:val="left"/>
      <w:pPr>
        <w:ind w:left="8596" w:hanging="454"/>
      </w:pPr>
      <w:rPr>
        <w:rFonts w:hint="default"/>
        <w:lang w:val="en-US" w:eastAsia="en-US" w:bidi="ar-SA"/>
      </w:rPr>
    </w:lvl>
  </w:abstractNum>
  <w:abstractNum w:abstractNumId="64">
    <w:multiLevelType w:val="hybridMultilevel"/>
    <w:lvl w:ilvl="0">
      <w:start w:val="1"/>
      <w:numFmt w:val="upperLetter"/>
      <w:lvlText w:val="(%1)"/>
      <w:lvlJc w:val="left"/>
      <w:pPr>
        <w:ind w:left="1080" w:hanging="455"/>
        <w:jc w:val="left"/>
      </w:pPr>
      <w:rPr>
        <w:rFonts w:hint="default" w:ascii="Arial" w:hAnsi="Arial" w:eastAsia="Arial" w:cs="Arial"/>
        <w:b w:val="0"/>
        <w:bCs w:val="0"/>
        <w:i w:val="0"/>
        <w:iCs w:val="0"/>
        <w:spacing w:val="-1"/>
        <w:w w:val="100"/>
        <w:sz w:val="24"/>
        <w:szCs w:val="24"/>
        <w:lang w:val="en-US" w:eastAsia="en-US" w:bidi="ar-SA"/>
      </w:rPr>
    </w:lvl>
    <w:lvl w:ilvl="1">
      <w:start w:val="1"/>
      <w:numFmt w:val="upperLetter"/>
      <w:lvlText w:val="(%2)"/>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55"/>
      </w:pPr>
      <w:rPr>
        <w:rFonts w:hint="default"/>
        <w:lang w:val="en-US" w:eastAsia="en-US" w:bidi="ar-SA"/>
      </w:rPr>
    </w:lvl>
    <w:lvl w:ilvl="3">
      <w:start w:val="0"/>
      <w:numFmt w:val="bullet"/>
      <w:lvlText w:val="•"/>
      <w:lvlJc w:val="left"/>
      <w:pPr>
        <w:ind w:left="3268" w:hanging="455"/>
      </w:pPr>
      <w:rPr>
        <w:rFonts w:hint="default"/>
        <w:lang w:val="en-US" w:eastAsia="en-US" w:bidi="ar-SA"/>
      </w:rPr>
    </w:lvl>
    <w:lvl w:ilvl="4">
      <w:start w:val="0"/>
      <w:numFmt w:val="bullet"/>
      <w:lvlText w:val="•"/>
      <w:lvlJc w:val="left"/>
      <w:pPr>
        <w:ind w:left="4293" w:hanging="455"/>
      </w:pPr>
      <w:rPr>
        <w:rFonts w:hint="default"/>
        <w:lang w:val="en-US" w:eastAsia="en-US" w:bidi="ar-SA"/>
      </w:rPr>
    </w:lvl>
    <w:lvl w:ilvl="5">
      <w:start w:val="0"/>
      <w:numFmt w:val="bullet"/>
      <w:lvlText w:val="•"/>
      <w:lvlJc w:val="left"/>
      <w:pPr>
        <w:ind w:left="5317" w:hanging="455"/>
      </w:pPr>
      <w:rPr>
        <w:rFonts w:hint="default"/>
        <w:lang w:val="en-US" w:eastAsia="en-US" w:bidi="ar-SA"/>
      </w:rPr>
    </w:lvl>
    <w:lvl w:ilvl="6">
      <w:start w:val="0"/>
      <w:numFmt w:val="bullet"/>
      <w:lvlText w:val="•"/>
      <w:lvlJc w:val="left"/>
      <w:pPr>
        <w:ind w:left="6342" w:hanging="455"/>
      </w:pPr>
      <w:rPr>
        <w:rFonts w:hint="default"/>
        <w:lang w:val="en-US" w:eastAsia="en-US" w:bidi="ar-SA"/>
      </w:rPr>
    </w:lvl>
    <w:lvl w:ilvl="7">
      <w:start w:val="0"/>
      <w:numFmt w:val="bullet"/>
      <w:lvlText w:val="•"/>
      <w:lvlJc w:val="left"/>
      <w:pPr>
        <w:ind w:left="7366" w:hanging="455"/>
      </w:pPr>
      <w:rPr>
        <w:rFonts w:hint="default"/>
        <w:lang w:val="en-US" w:eastAsia="en-US" w:bidi="ar-SA"/>
      </w:rPr>
    </w:lvl>
    <w:lvl w:ilvl="8">
      <w:start w:val="0"/>
      <w:numFmt w:val="bullet"/>
      <w:lvlText w:val="•"/>
      <w:lvlJc w:val="left"/>
      <w:pPr>
        <w:ind w:left="8391" w:hanging="455"/>
      </w:pPr>
      <w:rPr>
        <w:rFonts w:hint="default"/>
        <w:lang w:val="en-US" w:eastAsia="en-US" w:bidi="ar-SA"/>
      </w:rPr>
    </w:lvl>
  </w:abstractNum>
  <w:abstractNum w:abstractNumId="63">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96"/>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62">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10"/>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1"/>
      <w:numFmt w:val="upperLetter"/>
      <w:lvlText w:val="(%4)"/>
      <w:lvlJc w:val="left"/>
      <w:pPr>
        <w:ind w:left="1534" w:hanging="455"/>
        <w:jc w:val="left"/>
      </w:pPr>
      <w:rPr>
        <w:rFonts w:hint="default" w:ascii="Arial" w:hAnsi="Arial" w:eastAsia="Arial" w:cs="Arial"/>
        <w:b w:val="0"/>
        <w:bCs w:val="0"/>
        <w:i w:val="0"/>
        <w:iCs w:val="0"/>
        <w:spacing w:val="-1"/>
        <w:w w:val="100"/>
        <w:sz w:val="24"/>
        <w:szCs w:val="24"/>
        <w:lang w:val="en-US" w:eastAsia="en-US" w:bidi="ar-SA"/>
      </w:rPr>
    </w:lvl>
    <w:lvl w:ilvl="4">
      <w:start w:val="0"/>
      <w:numFmt w:val="bullet"/>
      <w:lvlText w:val="•"/>
      <w:lvlJc w:val="left"/>
      <w:pPr>
        <w:ind w:left="4506" w:hanging="455"/>
      </w:pPr>
      <w:rPr>
        <w:rFonts w:hint="default"/>
        <w:lang w:val="en-US" w:eastAsia="en-US" w:bidi="ar-SA"/>
      </w:rPr>
    </w:lvl>
    <w:lvl w:ilvl="5">
      <w:start w:val="0"/>
      <w:numFmt w:val="bullet"/>
      <w:lvlText w:val="•"/>
      <w:lvlJc w:val="left"/>
      <w:pPr>
        <w:ind w:left="5495" w:hanging="455"/>
      </w:pPr>
      <w:rPr>
        <w:rFonts w:hint="default"/>
        <w:lang w:val="en-US" w:eastAsia="en-US" w:bidi="ar-SA"/>
      </w:rPr>
    </w:lvl>
    <w:lvl w:ilvl="6">
      <w:start w:val="0"/>
      <w:numFmt w:val="bullet"/>
      <w:lvlText w:val="•"/>
      <w:lvlJc w:val="left"/>
      <w:pPr>
        <w:ind w:left="6484" w:hanging="455"/>
      </w:pPr>
      <w:rPr>
        <w:rFonts w:hint="default"/>
        <w:lang w:val="en-US" w:eastAsia="en-US" w:bidi="ar-SA"/>
      </w:rPr>
    </w:lvl>
    <w:lvl w:ilvl="7">
      <w:start w:val="0"/>
      <w:numFmt w:val="bullet"/>
      <w:lvlText w:val="•"/>
      <w:lvlJc w:val="left"/>
      <w:pPr>
        <w:ind w:left="7473" w:hanging="455"/>
      </w:pPr>
      <w:rPr>
        <w:rFonts w:hint="default"/>
        <w:lang w:val="en-US" w:eastAsia="en-US" w:bidi="ar-SA"/>
      </w:rPr>
    </w:lvl>
    <w:lvl w:ilvl="8">
      <w:start w:val="0"/>
      <w:numFmt w:val="bullet"/>
      <w:lvlText w:val="•"/>
      <w:lvlJc w:val="left"/>
      <w:pPr>
        <w:ind w:left="8462" w:hanging="455"/>
      </w:pPr>
      <w:rPr>
        <w:rFonts w:hint="default"/>
        <w:lang w:val="en-US" w:eastAsia="en-US" w:bidi="ar-SA"/>
      </w:rPr>
    </w:lvl>
  </w:abstractNum>
  <w:abstractNum w:abstractNumId="61">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10"/>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60">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10"/>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59">
    <w:multiLevelType w:val="hybridMultilevel"/>
    <w:lvl w:ilvl="0">
      <w:start w:val="1"/>
      <w:numFmt w:val="decimal"/>
      <w:lvlText w:val="%1."/>
      <w:lvlJc w:val="left"/>
      <w:pPr>
        <w:ind w:left="792" w:hanging="28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288"/>
      </w:pPr>
      <w:rPr>
        <w:rFonts w:hint="default"/>
        <w:lang w:val="en-US" w:eastAsia="en-US" w:bidi="ar-SA"/>
      </w:rPr>
    </w:lvl>
    <w:lvl w:ilvl="2">
      <w:start w:val="0"/>
      <w:numFmt w:val="bullet"/>
      <w:lvlText w:val="•"/>
      <w:lvlJc w:val="left"/>
      <w:pPr>
        <w:ind w:left="2728" w:hanging="288"/>
      </w:pPr>
      <w:rPr>
        <w:rFonts w:hint="default"/>
        <w:lang w:val="en-US" w:eastAsia="en-US" w:bidi="ar-SA"/>
      </w:rPr>
    </w:lvl>
    <w:lvl w:ilvl="3">
      <w:start w:val="0"/>
      <w:numFmt w:val="bullet"/>
      <w:lvlText w:val="•"/>
      <w:lvlJc w:val="left"/>
      <w:pPr>
        <w:ind w:left="3692" w:hanging="288"/>
      </w:pPr>
      <w:rPr>
        <w:rFonts w:hint="default"/>
        <w:lang w:val="en-US" w:eastAsia="en-US" w:bidi="ar-SA"/>
      </w:rPr>
    </w:lvl>
    <w:lvl w:ilvl="4">
      <w:start w:val="0"/>
      <w:numFmt w:val="bullet"/>
      <w:lvlText w:val="•"/>
      <w:lvlJc w:val="left"/>
      <w:pPr>
        <w:ind w:left="4656" w:hanging="288"/>
      </w:pPr>
      <w:rPr>
        <w:rFonts w:hint="default"/>
        <w:lang w:val="en-US" w:eastAsia="en-US" w:bidi="ar-SA"/>
      </w:rPr>
    </w:lvl>
    <w:lvl w:ilvl="5">
      <w:start w:val="0"/>
      <w:numFmt w:val="bullet"/>
      <w:lvlText w:val="•"/>
      <w:lvlJc w:val="left"/>
      <w:pPr>
        <w:ind w:left="5620" w:hanging="288"/>
      </w:pPr>
      <w:rPr>
        <w:rFonts w:hint="default"/>
        <w:lang w:val="en-US" w:eastAsia="en-US" w:bidi="ar-SA"/>
      </w:rPr>
    </w:lvl>
    <w:lvl w:ilvl="6">
      <w:start w:val="0"/>
      <w:numFmt w:val="bullet"/>
      <w:lvlText w:val="•"/>
      <w:lvlJc w:val="left"/>
      <w:pPr>
        <w:ind w:left="6584" w:hanging="288"/>
      </w:pPr>
      <w:rPr>
        <w:rFonts w:hint="default"/>
        <w:lang w:val="en-US" w:eastAsia="en-US" w:bidi="ar-SA"/>
      </w:rPr>
    </w:lvl>
    <w:lvl w:ilvl="7">
      <w:start w:val="0"/>
      <w:numFmt w:val="bullet"/>
      <w:lvlText w:val="•"/>
      <w:lvlJc w:val="left"/>
      <w:pPr>
        <w:ind w:left="7548" w:hanging="288"/>
      </w:pPr>
      <w:rPr>
        <w:rFonts w:hint="default"/>
        <w:lang w:val="en-US" w:eastAsia="en-US" w:bidi="ar-SA"/>
      </w:rPr>
    </w:lvl>
    <w:lvl w:ilvl="8">
      <w:start w:val="0"/>
      <w:numFmt w:val="bullet"/>
      <w:lvlText w:val="•"/>
      <w:lvlJc w:val="left"/>
      <w:pPr>
        <w:ind w:left="8512" w:hanging="288"/>
      </w:pPr>
      <w:rPr>
        <w:rFonts w:hint="default"/>
        <w:lang w:val="en-US" w:eastAsia="en-US" w:bidi="ar-SA"/>
      </w:rPr>
    </w:lvl>
  </w:abstractNum>
  <w:abstractNum w:abstractNumId="58">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1680" w:hanging="455"/>
      </w:pPr>
      <w:rPr>
        <w:rFonts w:hint="default"/>
        <w:lang w:val="en-US" w:eastAsia="en-US" w:bidi="ar-SA"/>
      </w:rPr>
    </w:lvl>
    <w:lvl w:ilvl="4">
      <w:start w:val="0"/>
      <w:numFmt w:val="bullet"/>
      <w:lvlText w:val="•"/>
      <w:lvlJc w:val="left"/>
      <w:pPr>
        <w:ind w:left="2931" w:hanging="455"/>
      </w:pPr>
      <w:rPr>
        <w:rFonts w:hint="default"/>
        <w:lang w:val="en-US" w:eastAsia="en-US" w:bidi="ar-SA"/>
      </w:rPr>
    </w:lvl>
    <w:lvl w:ilvl="5">
      <w:start w:val="0"/>
      <w:numFmt w:val="bullet"/>
      <w:lvlText w:val="•"/>
      <w:lvlJc w:val="left"/>
      <w:pPr>
        <w:ind w:left="4182" w:hanging="455"/>
      </w:pPr>
      <w:rPr>
        <w:rFonts w:hint="default"/>
        <w:lang w:val="en-US" w:eastAsia="en-US" w:bidi="ar-SA"/>
      </w:rPr>
    </w:lvl>
    <w:lvl w:ilvl="6">
      <w:start w:val="0"/>
      <w:numFmt w:val="bullet"/>
      <w:lvlText w:val="•"/>
      <w:lvlJc w:val="left"/>
      <w:pPr>
        <w:ind w:left="5434" w:hanging="455"/>
      </w:pPr>
      <w:rPr>
        <w:rFonts w:hint="default"/>
        <w:lang w:val="en-US" w:eastAsia="en-US" w:bidi="ar-SA"/>
      </w:rPr>
    </w:lvl>
    <w:lvl w:ilvl="7">
      <w:start w:val="0"/>
      <w:numFmt w:val="bullet"/>
      <w:lvlText w:val="•"/>
      <w:lvlJc w:val="left"/>
      <w:pPr>
        <w:ind w:left="6685" w:hanging="455"/>
      </w:pPr>
      <w:rPr>
        <w:rFonts w:hint="default"/>
        <w:lang w:val="en-US" w:eastAsia="en-US" w:bidi="ar-SA"/>
      </w:rPr>
    </w:lvl>
    <w:lvl w:ilvl="8">
      <w:start w:val="0"/>
      <w:numFmt w:val="bullet"/>
      <w:lvlText w:val="•"/>
      <w:lvlJc w:val="left"/>
      <w:pPr>
        <w:ind w:left="7937" w:hanging="455"/>
      </w:pPr>
      <w:rPr>
        <w:rFonts w:hint="default"/>
        <w:lang w:val="en-US" w:eastAsia="en-US" w:bidi="ar-SA"/>
      </w:rPr>
    </w:lvl>
  </w:abstractNum>
  <w:abstractNum w:abstractNumId="57">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56">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220" w:hanging="429"/>
      </w:pPr>
      <w:rPr>
        <w:rFonts w:hint="default"/>
        <w:lang w:val="en-US" w:eastAsia="en-US" w:bidi="ar-SA"/>
      </w:rPr>
    </w:lvl>
    <w:lvl w:ilvl="3">
      <w:start w:val="0"/>
      <w:numFmt w:val="bullet"/>
      <w:lvlText w:val="•"/>
      <w:lvlJc w:val="left"/>
      <w:pPr>
        <w:ind w:left="2372" w:hanging="429"/>
      </w:pPr>
      <w:rPr>
        <w:rFonts w:hint="default"/>
        <w:lang w:val="en-US" w:eastAsia="en-US" w:bidi="ar-SA"/>
      </w:rPr>
    </w:lvl>
    <w:lvl w:ilvl="4">
      <w:start w:val="0"/>
      <w:numFmt w:val="bullet"/>
      <w:lvlText w:val="•"/>
      <w:lvlJc w:val="left"/>
      <w:pPr>
        <w:ind w:left="3525" w:hanging="429"/>
      </w:pPr>
      <w:rPr>
        <w:rFonts w:hint="default"/>
        <w:lang w:val="en-US" w:eastAsia="en-US" w:bidi="ar-SA"/>
      </w:rPr>
    </w:lvl>
    <w:lvl w:ilvl="5">
      <w:start w:val="0"/>
      <w:numFmt w:val="bullet"/>
      <w:lvlText w:val="•"/>
      <w:lvlJc w:val="left"/>
      <w:pPr>
        <w:ind w:left="4677" w:hanging="429"/>
      </w:pPr>
      <w:rPr>
        <w:rFonts w:hint="default"/>
        <w:lang w:val="en-US" w:eastAsia="en-US" w:bidi="ar-SA"/>
      </w:rPr>
    </w:lvl>
    <w:lvl w:ilvl="6">
      <w:start w:val="0"/>
      <w:numFmt w:val="bullet"/>
      <w:lvlText w:val="•"/>
      <w:lvlJc w:val="left"/>
      <w:pPr>
        <w:ind w:left="5830" w:hanging="429"/>
      </w:pPr>
      <w:rPr>
        <w:rFonts w:hint="default"/>
        <w:lang w:val="en-US" w:eastAsia="en-US" w:bidi="ar-SA"/>
      </w:rPr>
    </w:lvl>
    <w:lvl w:ilvl="7">
      <w:start w:val="0"/>
      <w:numFmt w:val="bullet"/>
      <w:lvlText w:val="•"/>
      <w:lvlJc w:val="left"/>
      <w:pPr>
        <w:ind w:left="6982" w:hanging="429"/>
      </w:pPr>
      <w:rPr>
        <w:rFonts w:hint="default"/>
        <w:lang w:val="en-US" w:eastAsia="en-US" w:bidi="ar-SA"/>
      </w:rPr>
    </w:lvl>
    <w:lvl w:ilvl="8">
      <w:start w:val="0"/>
      <w:numFmt w:val="bullet"/>
      <w:lvlText w:val="•"/>
      <w:lvlJc w:val="left"/>
      <w:pPr>
        <w:ind w:left="8135" w:hanging="429"/>
      </w:pPr>
      <w:rPr>
        <w:rFonts w:hint="default"/>
        <w:lang w:val="en-US" w:eastAsia="en-US" w:bidi="ar-SA"/>
      </w:rPr>
    </w:lvl>
  </w:abstractNum>
  <w:abstractNum w:abstractNumId="55">
    <w:multiLevelType w:val="hybridMultilevel"/>
    <w:lvl w:ilvl="0">
      <w:start w:val="2"/>
      <w:numFmt w:val="lowerLetter"/>
      <w:lvlText w:val="(%1)"/>
      <w:lvlJc w:val="left"/>
      <w:pPr>
        <w:ind w:left="792" w:hanging="362"/>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362"/>
      </w:pPr>
      <w:rPr>
        <w:rFonts w:hint="default"/>
        <w:lang w:val="en-US" w:eastAsia="en-US" w:bidi="ar-SA"/>
      </w:rPr>
    </w:lvl>
    <w:lvl w:ilvl="2">
      <w:start w:val="0"/>
      <w:numFmt w:val="bullet"/>
      <w:lvlText w:val="•"/>
      <w:lvlJc w:val="left"/>
      <w:pPr>
        <w:ind w:left="2728" w:hanging="362"/>
      </w:pPr>
      <w:rPr>
        <w:rFonts w:hint="default"/>
        <w:lang w:val="en-US" w:eastAsia="en-US" w:bidi="ar-SA"/>
      </w:rPr>
    </w:lvl>
    <w:lvl w:ilvl="3">
      <w:start w:val="0"/>
      <w:numFmt w:val="bullet"/>
      <w:lvlText w:val="•"/>
      <w:lvlJc w:val="left"/>
      <w:pPr>
        <w:ind w:left="3692" w:hanging="362"/>
      </w:pPr>
      <w:rPr>
        <w:rFonts w:hint="default"/>
        <w:lang w:val="en-US" w:eastAsia="en-US" w:bidi="ar-SA"/>
      </w:rPr>
    </w:lvl>
    <w:lvl w:ilvl="4">
      <w:start w:val="0"/>
      <w:numFmt w:val="bullet"/>
      <w:lvlText w:val="•"/>
      <w:lvlJc w:val="left"/>
      <w:pPr>
        <w:ind w:left="4656" w:hanging="362"/>
      </w:pPr>
      <w:rPr>
        <w:rFonts w:hint="default"/>
        <w:lang w:val="en-US" w:eastAsia="en-US" w:bidi="ar-SA"/>
      </w:rPr>
    </w:lvl>
    <w:lvl w:ilvl="5">
      <w:start w:val="0"/>
      <w:numFmt w:val="bullet"/>
      <w:lvlText w:val="•"/>
      <w:lvlJc w:val="left"/>
      <w:pPr>
        <w:ind w:left="5620" w:hanging="362"/>
      </w:pPr>
      <w:rPr>
        <w:rFonts w:hint="default"/>
        <w:lang w:val="en-US" w:eastAsia="en-US" w:bidi="ar-SA"/>
      </w:rPr>
    </w:lvl>
    <w:lvl w:ilvl="6">
      <w:start w:val="0"/>
      <w:numFmt w:val="bullet"/>
      <w:lvlText w:val="•"/>
      <w:lvlJc w:val="left"/>
      <w:pPr>
        <w:ind w:left="6584" w:hanging="362"/>
      </w:pPr>
      <w:rPr>
        <w:rFonts w:hint="default"/>
        <w:lang w:val="en-US" w:eastAsia="en-US" w:bidi="ar-SA"/>
      </w:rPr>
    </w:lvl>
    <w:lvl w:ilvl="7">
      <w:start w:val="0"/>
      <w:numFmt w:val="bullet"/>
      <w:lvlText w:val="•"/>
      <w:lvlJc w:val="left"/>
      <w:pPr>
        <w:ind w:left="7548" w:hanging="362"/>
      </w:pPr>
      <w:rPr>
        <w:rFonts w:hint="default"/>
        <w:lang w:val="en-US" w:eastAsia="en-US" w:bidi="ar-SA"/>
      </w:rPr>
    </w:lvl>
    <w:lvl w:ilvl="8">
      <w:start w:val="0"/>
      <w:numFmt w:val="bullet"/>
      <w:lvlText w:val="•"/>
      <w:lvlJc w:val="left"/>
      <w:pPr>
        <w:ind w:left="8512" w:hanging="362"/>
      </w:pPr>
      <w:rPr>
        <w:rFonts w:hint="default"/>
        <w:lang w:val="en-US" w:eastAsia="en-US" w:bidi="ar-SA"/>
      </w:rPr>
    </w:lvl>
  </w:abstractNum>
  <w:abstractNum w:abstractNumId="54">
    <w:multiLevelType w:val="hybridMultilevel"/>
    <w:lvl w:ilvl="0">
      <w:start w:val="1"/>
      <w:numFmt w:val="decimal"/>
      <w:lvlText w:val="%1."/>
      <w:lvlJc w:val="left"/>
      <w:pPr>
        <w:ind w:left="792" w:hanging="432"/>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65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635" w:hanging="429"/>
      </w:pPr>
      <w:rPr>
        <w:rFonts w:hint="default"/>
        <w:lang w:val="en-US" w:eastAsia="en-US" w:bidi="ar-SA"/>
      </w:rPr>
    </w:lvl>
    <w:lvl w:ilvl="3">
      <w:start w:val="0"/>
      <w:numFmt w:val="bullet"/>
      <w:lvlText w:val="•"/>
      <w:lvlJc w:val="left"/>
      <w:pPr>
        <w:ind w:left="3611" w:hanging="429"/>
      </w:pPr>
      <w:rPr>
        <w:rFonts w:hint="default"/>
        <w:lang w:val="en-US" w:eastAsia="en-US" w:bidi="ar-SA"/>
      </w:rPr>
    </w:lvl>
    <w:lvl w:ilvl="4">
      <w:start w:val="0"/>
      <w:numFmt w:val="bullet"/>
      <w:lvlText w:val="•"/>
      <w:lvlJc w:val="left"/>
      <w:pPr>
        <w:ind w:left="4586" w:hanging="429"/>
      </w:pPr>
      <w:rPr>
        <w:rFonts w:hint="default"/>
        <w:lang w:val="en-US" w:eastAsia="en-US" w:bidi="ar-SA"/>
      </w:rPr>
    </w:lvl>
    <w:lvl w:ilvl="5">
      <w:start w:val="0"/>
      <w:numFmt w:val="bullet"/>
      <w:lvlText w:val="•"/>
      <w:lvlJc w:val="left"/>
      <w:pPr>
        <w:ind w:left="5562" w:hanging="429"/>
      </w:pPr>
      <w:rPr>
        <w:rFonts w:hint="default"/>
        <w:lang w:val="en-US" w:eastAsia="en-US" w:bidi="ar-SA"/>
      </w:rPr>
    </w:lvl>
    <w:lvl w:ilvl="6">
      <w:start w:val="0"/>
      <w:numFmt w:val="bullet"/>
      <w:lvlText w:val="•"/>
      <w:lvlJc w:val="left"/>
      <w:pPr>
        <w:ind w:left="6537" w:hanging="429"/>
      </w:pPr>
      <w:rPr>
        <w:rFonts w:hint="default"/>
        <w:lang w:val="en-US" w:eastAsia="en-US" w:bidi="ar-SA"/>
      </w:rPr>
    </w:lvl>
    <w:lvl w:ilvl="7">
      <w:start w:val="0"/>
      <w:numFmt w:val="bullet"/>
      <w:lvlText w:val="•"/>
      <w:lvlJc w:val="left"/>
      <w:pPr>
        <w:ind w:left="7513" w:hanging="429"/>
      </w:pPr>
      <w:rPr>
        <w:rFonts w:hint="default"/>
        <w:lang w:val="en-US" w:eastAsia="en-US" w:bidi="ar-SA"/>
      </w:rPr>
    </w:lvl>
    <w:lvl w:ilvl="8">
      <w:start w:val="0"/>
      <w:numFmt w:val="bullet"/>
      <w:lvlText w:val="•"/>
      <w:lvlJc w:val="left"/>
      <w:pPr>
        <w:ind w:left="8488" w:hanging="429"/>
      </w:pPr>
      <w:rPr>
        <w:rFonts w:hint="default"/>
        <w:lang w:val="en-US" w:eastAsia="en-US" w:bidi="ar-SA"/>
      </w:rPr>
    </w:lvl>
  </w:abstractNum>
  <w:abstractNum w:abstractNumId="53">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52">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51">
    <w:multiLevelType w:val="hybridMultilevel"/>
    <w:lvl w:ilvl="0">
      <w:start w:val="1"/>
      <w:numFmt w:val="decimal"/>
      <w:lvlText w:val="%1."/>
      <w:lvlJc w:val="left"/>
      <w:pPr>
        <w:ind w:left="792" w:hanging="28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288"/>
      </w:pPr>
      <w:rPr>
        <w:rFonts w:hint="default"/>
        <w:lang w:val="en-US" w:eastAsia="en-US" w:bidi="ar-SA"/>
      </w:rPr>
    </w:lvl>
    <w:lvl w:ilvl="2">
      <w:start w:val="0"/>
      <w:numFmt w:val="bullet"/>
      <w:lvlText w:val="•"/>
      <w:lvlJc w:val="left"/>
      <w:pPr>
        <w:ind w:left="2728" w:hanging="288"/>
      </w:pPr>
      <w:rPr>
        <w:rFonts w:hint="default"/>
        <w:lang w:val="en-US" w:eastAsia="en-US" w:bidi="ar-SA"/>
      </w:rPr>
    </w:lvl>
    <w:lvl w:ilvl="3">
      <w:start w:val="0"/>
      <w:numFmt w:val="bullet"/>
      <w:lvlText w:val="•"/>
      <w:lvlJc w:val="left"/>
      <w:pPr>
        <w:ind w:left="3692" w:hanging="288"/>
      </w:pPr>
      <w:rPr>
        <w:rFonts w:hint="default"/>
        <w:lang w:val="en-US" w:eastAsia="en-US" w:bidi="ar-SA"/>
      </w:rPr>
    </w:lvl>
    <w:lvl w:ilvl="4">
      <w:start w:val="0"/>
      <w:numFmt w:val="bullet"/>
      <w:lvlText w:val="•"/>
      <w:lvlJc w:val="left"/>
      <w:pPr>
        <w:ind w:left="4656" w:hanging="288"/>
      </w:pPr>
      <w:rPr>
        <w:rFonts w:hint="default"/>
        <w:lang w:val="en-US" w:eastAsia="en-US" w:bidi="ar-SA"/>
      </w:rPr>
    </w:lvl>
    <w:lvl w:ilvl="5">
      <w:start w:val="0"/>
      <w:numFmt w:val="bullet"/>
      <w:lvlText w:val="•"/>
      <w:lvlJc w:val="left"/>
      <w:pPr>
        <w:ind w:left="5620" w:hanging="288"/>
      </w:pPr>
      <w:rPr>
        <w:rFonts w:hint="default"/>
        <w:lang w:val="en-US" w:eastAsia="en-US" w:bidi="ar-SA"/>
      </w:rPr>
    </w:lvl>
    <w:lvl w:ilvl="6">
      <w:start w:val="0"/>
      <w:numFmt w:val="bullet"/>
      <w:lvlText w:val="•"/>
      <w:lvlJc w:val="left"/>
      <w:pPr>
        <w:ind w:left="6584" w:hanging="288"/>
      </w:pPr>
      <w:rPr>
        <w:rFonts w:hint="default"/>
        <w:lang w:val="en-US" w:eastAsia="en-US" w:bidi="ar-SA"/>
      </w:rPr>
    </w:lvl>
    <w:lvl w:ilvl="7">
      <w:start w:val="0"/>
      <w:numFmt w:val="bullet"/>
      <w:lvlText w:val="•"/>
      <w:lvlJc w:val="left"/>
      <w:pPr>
        <w:ind w:left="7548" w:hanging="288"/>
      </w:pPr>
      <w:rPr>
        <w:rFonts w:hint="default"/>
        <w:lang w:val="en-US" w:eastAsia="en-US" w:bidi="ar-SA"/>
      </w:rPr>
    </w:lvl>
    <w:lvl w:ilvl="8">
      <w:start w:val="0"/>
      <w:numFmt w:val="bullet"/>
      <w:lvlText w:val="•"/>
      <w:lvlJc w:val="left"/>
      <w:pPr>
        <w:ind w:left="8512" w:hanging="288"/>
      </w:pPr>
      <w:rPr>
        <w:rFonts w:hint="default"/>
        <w:lang w:val="en-US" w:eastAsia="en-US" w:bidi="ar-SA"/>
      </w:rPr>
    </w:lvl>
  </w:abstractNum>
  <w:abstractNum w:abstractNumId="50">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3">
      <w:start w:val="1"/>
      <w:numFmt w:val="lowerRoman"/>
      <w:lvlText w:val="(%4)"/>
      <w:lvlJc w:val="left"/>
      <w:pPr>
        <w:ind w:left="2002" w:hanging="347"/>
        <w:jc w:val="left"/>
      </w:pPr>
      <w:rPr>
        <w:rFonts w:hint="default" w:ascii="Arial" w:hAnsi="Arial" w:eastAsia="Arial" w:cs="Arial"/>
        <w:b w:val="0"/>
        <w:bCs w:val="0"/>
        <w:i w:val="0"/>
        <w:iCs w:val="0"/>
        <w:spacing w:val="-1"/>
        <w:w w:val="100"/>
        <w:sz w:val="24"/>
        <w:szCs w:val="24"/>
        <w:lang w:val="en-US" w:eastAsia="en-US" w:bidi="ar-SA"/>
      </w:rPr>
    </w:lvl>
    <w:lvl w:ilvl="4">
      <w:start w:val="0"/>
      <w:numFmt w:val="bullet"/>
      <w:lvlText w:val="•"/>
      <w:lvlJc w:val="left"/>
      <w:pPr>
        <w:ind w:left="3205" w:hanging="347"/>
      </w:pPr>
      <w:rPr>
        <w:rFonts w:hint="default"/>
        <w:lang w:val="en-US" w:eastAsia="en-US" w:bidi="ar-SA"/>
      </w:rPr>
    </w:lvl>
    <w:lvl w:ilvl="5">
      <w:start w:val="0"/>
      <w:numFmt w:val="bullet"/>
      <w:lvlText w:val="•"/>
      <w:lvlJc w:val="left"/>
      <w:pPr>
        <w:ind w:left="4411" w:hanging="347"/>
      </w:pPr>
      <w:rPr>
        <w:rFonts w:hint="default"/>
        <w:lang w:val="en-US" w:eastAsia="en-US" w:bidi="ar-SA"/>
      </w:rPr>
    </w:lvl>
    <w:lvl w:ilvl="6">
      <w:start w:val="0"/>
      <w:numFmt w:val="bullet"/>
      <w:lvlText w:val="•"/>
      <w:lvlJc w:val="left"/>
      <w:pPr>
        <w:ind w:left="5617" w:hanging="347"/>
      </w:pPr>
      <w:rPr>
        <w:rFonts w:hint="default"/>
        <w:lang w:val="en-US" w:eastAsia="en-US" w:bidi="ar-SA"/>
      </w:rPr>
    </w:lvl>
    <w:lvl w:ilvl="7">
      <w:start w:val="0"/>
      <w:numFmt w:val="bullet"/>
      <w:lvlText w:val="•"/>
      <w:lvlJc w:val="left"/>
      <w:pPr>
        <w:ind w:left="6822" w:hanging="347"/>
      </w:pPr>
      <w:rPr>
        <w:rFonts w:hint="default"/>
        <w:lang w:val="en-US" w:eastAsia="en-US" w:bidi="ar-SA"/>
      </w:rPr>
    </w:lvl>
    <w:lvl w:ilvl="8">
      <w:start w:val="0"/>
      <w:numFmt w:val="bullet"/>
      <w:lvlText w:val="•"/>
      <w:lvlJc w:val="left"/>
      <w:pPr>
        <w:ind w:left="8028" w:hanging="347"/>
      </w:pPr>
      <w:rPr>
        <w:rFonts w:hint="default"/>
        <w:lang w:val="en-US" w:eastAsia="en-US" w:bidi="ar-SA"/>
      </w:rPr>
    </w:lvl>
  </w:abstractNum>
  <w:abstractNum w:abstractNumId="49">
    <w:multiLevelType w:val="hybridMultilevel"/>
    <w:lvl w:ilvl="0">
      <w:start w:val="1"/>
      <w:numFmt w:val="upperLetter"/>
      <w:lvlText w:val="(%1)"/>
      <w:lvlJc w:val="left"/>
      <w:pPr>
        <w:ind w:left="1678" w:hanging="455"/>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556" w:hanging="455"/>
      </w:pPr>
      <w:rPr>
        <w:rFonts w:hint="default"/>
        <w:lang w:val="en-US" w:eastAsia="en-US" w:bidi="ar-SA"/>
      </w:rPr>
    </w:lvl>
    <w:lvl w:ilvl="2">
      <w:start w:val="0"/>
      <w:numFmt w:val="bullet"/>
      <w:lvlText w:val="•"/>
      <w:lvlJc w:val="left"/>
      <w:pPr>
        <w:ind w:left="3432" w:hanging="455"/>
      </w:pPr>
      <w:rPr>
        <w:rFonts w:hint="default"/>
        <w:lang w:val="en-US" w:eastAsia="en-US" w:bidi="ar-SA"/>
      </w:rPr>
    </w:lvl>
    <w:lvl w:ilvl="3">
      <w:start w:val="0"/>
      <w:numFmt w:val="bullet"/>
      <w:lvlText w:val="•"/>
      <w:lvlJc w:val="left"/>
      <w:pPr>
        <w:ind w:left="4308" w:hanging="455"/>
      </w:pPr>
      <w:rPr>
        <w:rFonts w:hint="default"/>
        <w:lang w:val="en-US" w:eastAsia="en-US" w:bidi="ar-SA"/>
      </w:rPr>
    </w:lvl>
    <w:lvl w:ilvl="4">
      <w:start w:val="0"/>
      <w:numFmt w:val="bullet"/>
      <w:lvlText w:val="•"/>
      <w:lvlJc w:val="left"/>
      <w:pPr>
        <w:ind w:left="5184" w:hanging="455"/>
      </w:pPr>
      <w:rPr>
        <w:rFonts w:hint="default"/>
        <w:lang w:val="en-US" w:eastAsia="en-US" w:bidi="ar-SA"/>
      </w:rPr>
    </w:lvl>
    <w:lvl w:ilvl="5">
      <w:start w:val="0"/>
      <w:numFmt w:val="bullet"/>
      <w:lvlText w:val="•"/>
      <w:lvlJc w:val="left"/>
      <w:pPr>
        <w:ind w:left="6060" w:hanging="455"/>
      </w:pPr>
      <w:rPr>
        <w:rFonts w:hint="default"/>
        <w:lang w:val="en-US" w:eastAsia="en-US" w:bidi="ar-SA"/>
      </w:rPr>
    </w:lvl>
    <w:lvl w:ilvl="6">
      <w:start w:val="0"/>
      <w:numFmt w:val="bullet"/>
      <w:lvlText w:val="•"/>
      <w:lvlJc w:val="left"/>
      <w:pPr>
        <w:ind w:left="6936" w:hanging="455"/>
      </w:pPr>
      <w:rPr>
        <w:rFonts w:hint="default"/>
        <w:lang w:val="en-US" w:eastAsia="en-US" w:bidi="ar-SA"/>
      </w:rPr>
    </w:lvl>
    <w:lvl w:ilvl="7">
      <w:start w:val="0"/>
      <w:numFmt w:val="bullet"/>
      <w:lvlText w:val="•"/>
      <w:lvlJc w:val="left"/>
      <w:pPr>
        <w:ind w:left="7812" w:hanging="455"/>
      </w:pPr>
      <w:rPr>
        <w:rFonts w:hint="default"/>
        <w:lang w:val="en-US" w:eastAsia="en-US" w:bidi="ar-SA"/>
      </w:rPr>
    </w:lvl>
    <w:lvl w:ilvl="8">
      <w:start w:val="0"/>
      <w:numFmt w:val="bullet"/>
      <w:lvlText w:val="•"/>
      <w:lvlJc w:val="left"/>
      <w:pPr>
        <w:ind w:left="8688" w:hanging="455"/>
      </w:pPr>
      <w:rPr>
        <w:rFonts w:hint="default"/>
        <w:lang w:val="en-US" w:eastAsia="en-US" w:bidi="ar-SA"/>
      </w:rPr>
    </w:lvl>
  </w:abstractNum>
  <w:abstractNum w:abstractNumId="48">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37" w:hanging="42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62" w:hanging="428"/>
      </w:pPr>
      <w:rPr>
        <w:rFonts w:hint="default"/>
        <w:lang w:val="en-US" w:eastAsia="en-US" w:bidi="ar-SA"/>
      </w:rPr>
    </w:lvl>
    <w:lvl w:ilvl="3">
      <w:start w:val="0"/>
      <w:numFmt w:val="bullet"/>
      <w:lvlText w:val="•"/>
      <w:lvlJc w:val="left"/>
      <w:pPr>
        <w:ind w:left="3284" w:hanging="428"/>
      </w:pPr>
      <w:rPr>
        <w:rFonts w:hint="default"/>
        <w:lang w:val="en-US" w:eastAsia="en-US" w:bidi="ar-SA"/>
      </w:rPr>
    </w:lvl>
    <w:lvl w:ilvl="4">
      <w:start w:val="0"/>
      <w:numFmt w:val="bullet"/>
      <w:lvlText w:val="•"/>
      <w:lvlJc w:val="left"/>
      <w:pPr>
        <w:ind w:left="4306" w:hanging="428"/>
      </w:pPr>
      <w:rPr>
        <w:rFonts w:hint="default"/>
        <w:lang w:val="en-US" w:eastAsia="en-US" w:bidi="ar-SA"/>
      </w:rPr>
    </w:lvl>
    <w:lvl w:ilvl="5">
      <w:start w:val="0"/>
      <w:numFmt w:val="bullet"/>
      <w:lvlText w:val="•"/>
      <w:lvlJc w:val="left"/>
      <w:pPr>
        <w:ind w:left="5328" w:hanging="428"/>
      </w:pPr>
      <w:rPr>
        <w:rFonts w:hint="default"/>
        <w:lang w:val="en-US" w:eastAsia="en-US" w:bidi="ar-SA"/>
      </w:rPr>
    </w:lvl>
    <w:lvl w:ilvl="6">
      <w:start w:val="0"/>
      <w:numFmt w:val="bullet"/>
      <w:lvlText w:val="•"/>
      <w:lvlJc w:val="left"/>
      <w:pPr>
        <w:ind w:left="6351" w:hanging="428"/>
      </w:pPr>
      <w:rPr>
        <w:rFonts w:hint="default"/>
        <w:lang w:val="en-US" w:eastAsia="en-US" w:bidi="ar-SA"/>
      </w:rPr>
    </w:lvl>
    <w:lvl w:ilvl="7">
      <w:start w:val="0"/>
      <w:numFmt w:val="bullet"/>
      <w:lvlText w:val="•"/>
      <w:lvlJc w:val="left"/>
      <w:pPr>
        <w:ind w:left="7373" w:hanging="428"/>
      </w:pPr>
      <w:rPr>
        <w:rFonts w:hint="default"/>
        <w:lang w:val="en-US" w:eastAsia="en-US" w:bidi="ar-SA"/>
      </w:rPr>
    </w:lvl>
    <w:lvl w:ilvl="8">
      <w:start w:val="0"/>
      <w:numFmt w:val="bullet"/>
      <w:lvlText w:val="•"/>
      <w:lvlJc w:val="left"/>
      <w:pPr>
        <w:ind w:left="8395" w:hanging="428"/>
      </w:pPr>
      <w:rPr>
        <w:rFonts w:hint="default"/>
        <w:lang w:val="en-US" w:eastAsia="en-US" w:bidi="ar-SA"/>
      </w:rPr>
    </w:lvl>
  </w:abstractNum>
  <w:abstractNum w:abstractNumId="47">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46">
    <w:multiLevelType w:val="hybridMultilevel"/>
    <w:lvl w:ilvl="0">
      <w:start w:val="1"/>
      <w:numFmt w:val="decimal"/>
      <w:lvlText w:val="(%1)"/>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429"/>
      </w:pPr>
      <w:rPr>
        <w:rFonts w:hint="default"/>
        <w:lang w:val="en-US" w:eastAsia="en-US" w:bidi="ar-SA"/>
      </w:rPr>
    </w:lvl>
    <w:lvl w:ilvl="2">
      <w:start w:val="0"/>
      <w:numFmt w:val="bullet"/>
      <w:lvlText w:val="•"/>
      <w:lvlJc w:val="left"/>
      <w:pPr>
        <w:ind w:left="2728" w:hanging="429"/>
      </w:pPr>
      <w:rPr>
        <w:rFonts w:hint="default"/>
        <w:lang w:val="en-US" w:eastAsia="en-US" w:bidi="ar-SA"/>
      </w:rPr>
    </w:lvl>
    <w:lvl w:ilvl="3">
      <w:start w:val="0"/>
      <w:numFmt w:val="bullet"/>
      <w:lvlText w:val="•"/>
      <w:lvlJc w:val="left"/>
      <w:pPr>
        <w:ind w:left="3692" w:hanging="429"/>
      </w:pPr>
      <w:rPr>
        <w:rFonts w:hint="default"/>
        <w:lang w:val="en-US" w:eastAsia="en-US" w:bidi="ar-SA"/>
      </w:rPr>
    </w:lvl>
    <w:lvl w:ilvl="4">
      <w:start w:val="0"/>
      <w:numFmt w:val="bullet"/>
      <w:lvlText w:val="•"/>
      <w:lvlJc w:val="left"/>
      <w:pPr>
        <w:ind w:left="4656" w:hanging="429"/>
      </w:pPr>
      <w:rPr>
        <w:rFonts w:hint="default"/>
        <w:lang w:val="en-US" w:eastAsia="en-US" w:bidi="ar-SA"/>
      </w:rPr>
    </w:lvl>
    <w:lvl w:ilvl="5">
      <w:start w:val="0"/>
      <w:numFmt w:val="bullet"/>
      <w:lvlText w:val="•"/>
      <w:lvlJc w:val="left"/>
      <w:pPr>
        <w:ind w:left="5620" w:hanging="429"/>
      </w:pPr>
      <w:rPr>
        <w:rFonts w:hint="default"/>
        <w:lang w:val="en-US" w:eastAsia="en-US" w:bidi="ar-SA"/>
      </w:rPr>
    </w:lvl>
    <w:lvl w:ilvl="6">
      <w:start w:val="0"/>
      <w:numFmt w:val="bullet"/>
      <w:lvlText w:val="•"/>
      <w:lvlJc w:val="left"/>
      <w:pPr>
        <w:ind w:left="6584" w:hanging="429"/>
      </w:pPr>
      <w:rPr>
        <w:rFonts w:hint="default"/>
        <w:lang w:val="en-US" w:eastAsia="en-US" w:bidi="ar-SA"/>
      </w:rPr>
    </w:lvl>
    <w:lvl w:ilvl="7">
      <w:start w:val="0"/>
      <w:numFmt w:val="bullet"/>
      <w:lvlText w:val="•"/>
      <w:lvlJc w:val="left"/>
      <w:pPr>
        <w:ind w:left="7548" w:hanging="429"/>
      </w:pPr>
      <w:rPr>
        <w:rFonts w:hint="default"/>
        <w:lang w:val="en-US" w:eastAsia="en-US" w:bidi="ar-SA"/>
      </w:rPr>
    </w:lvl>
    <w:lvl w:ilvl="8">
      <w:start w:val="0"/>
      <w:numFmt w:val="bullet"/>
      <w:lvlText w:val="•"/>
      <w:lvlJc w:val="left"/>
      <w:pPr>
        <w:ind w:left="8512" w:hanging="429"/>
      </w:pPr>
      <w:rPr>
        <w:rFonts w:hint="default"/>
        <w:lang w:val="en-US" w:eastAsia="en-US" w:bidi="ar-SA"/>
      </w:rPr>
    </w:lvl>
  </w:abstractNum>
  <w:abstractNum w:abstractNumId="45">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12"/>
      <w:numFmt w:val="decimal"/>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44">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43">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42">
    <w:multiLevelType w:val="hybridMultilevel"/>
    <w:lvl w:ilvl="0">
      <w:start w:val="1"/>
      <w:numFmt w:val="decimal"/>
      <w:lvlText w:val="(%1)"/>
      <w:lvlJc w:val="left"/>
      <w:pPr>
        <w:ind w:left="1219" w:hanging="42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428"/>
      </w:pPr>
      <w:rPr>
        <w:rFonts w:hint="default"/>
        <w:lang w:val="en-US" w:eastAsia="en-US" w:bidi="ar-SA"/>
      </w:rPr>
    </w:lvl>
    <w:lvl w:ilvl="2">
      <w:start w:val="0"/>
      <w:numFmt w:val="bullet"/>
      <w:lvlText w:val="•"/>
      <w:lvlJc w:val="left"/>
      <w:pPr>
        <w:ind w:left="3064" w:hanging="428"/>
      </w:pPr>
      <w:rPr>
        <w:rFonts w:hint="default"/>
        <w:lang w:val="en-US" w:eastAsia="en-US" w:bidi="ar-SA"/>
      </w:rPr>
    </w:lvl>
    <w:lvl w:ilvl="3">
      <w:start w:val="0"/>
      <w:numFmt w:val="bullet"/>
      <w:lvlText w:val="•"/>
      <w:lvlJc w:val="left"/>
      <w:pPr>
        <w:ind w:left="3986" w:hanging="428"/>
      </w:pPr>
      <w:rPr>
        <w:rFonts w:hint="default"/>
        <w:lang w:val="en-US" w:eastAsia="en-US" w:bidi="ar-SA"/>
      </w:rPr>
    </w:lvl>
    <w:lvl w:ilvl="4">
      <w:start w:val="0"/>
      <w:numFmt w:val="bullet"/>
      <w:lvlText w:val="•"/>
      <w:lvlJc w:val="left"/>
      <w:pPr>
        <w:ind w:left="4908" w:hanging="428"/>
      </w:pPr>
      <w:rPr>
        <w:rFonts w:hint="default"/>
        <w:lang w:val="en-US" w:eastAsia="en-US" w:bidi="ar-SA"/>
      </w:rPr>
    </w:lvl>
    <w:lvl w:ilvl="5">
      <w:start w:val="0"/>
      <w:numFmt w:val="bullet"/>
      <w:lvlText w:val="•"/>
      <w:lvlJc w:val="left"/>
      <w:pPr>
        <w:ind w:left="5830" w:hanging="428"/>
      </w:pPr>
      <w:rPr>
        <w:rFonts w:hint="default"/>
        <w:lang w:val="en-US" w:eastAsia="en-US" w:bidi="ar-SA"/>
      </w:rPr>
    </w:lvl>
    <w:lvl w:ilvl="6">
      <w:start w:val="0"/>
      <w:numFmt w:val="bullet"/>
      <w:lvlText w:val="•"/>
      <w:lvlJc w:val="left"/>
      <w:pPr>
        <w:ind w:left="6752" w:hanging="428"/>
      </w:pPr>
      <w:rPr>
        <w:rFonts w:hint="default"/>
        <w:lang w:val="en-US" w:eastAsia="en-US" w:bidi="ar-SA"/>
      </w:rPr>
    </w:lvl>
    <w:lvl w:ilvl="7">
      <w:start w:val="0"/>
      <w:numFmt w:val="bullet"/>
      <w:lvlText w:val="•"/>
      <w:lvlJc w:val="left"/>
      <w:pPr>
        <w:ind w:left="7674" w:hanging="428"/>
      </w:pPr>
      <w:rPr>
        <w:rFonts w:hint="default"/>
        <w:lang w:val="en-US" w:eastAsia="en-US" w:bidi="ar-SA"/>
      </w:rPr>
    </w:lvl>
    <w:lvl w:ilvl="8">
      <w:start w:val="0"/>
      <w:numFmt w:val="bullet"/>
      <w:lvlText w:val="•"/>
      <w:lvlJc w:val="left"/>
      <w:pPr>
        <w:ind w:left="8596" w:hanging="428"/>
      </w:pPr>
      <w:rPr>
        <w:rFonts w:hint="default"/>
        <w:lang w:val="en-US" w:eastAsia="en-US" w:bidi="ar-SA"/>
      </w:rPr>
    </w:lvl>
  </w:abstractNum>
  <w:abstractNum w:abstractNumId="41">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40">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39">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38">
    <w:multiLevelType w:val="hybridMultilevel"/>
    <w:lvl w:ilvl="0">
      <w:start w:val="1"/>
      <w:numFmt w:val="lowerLetter"/>
      <w:lvlText w:val="(%1)"/>
      <w:lvlJc w:val="left"/>
      <w:pPr>
        <w:ind w:left="787"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9"/>
      </w:pPr>
      <w:rPr>
        <w:rFonts w:hint="default"/>
        <w:lang w:val="en-US" w:eastAsia="en-US" w:bidi="ar-SA"/>
      </w:rPr>
    </w:lvl>
    <w:lvl w:ilvl="3">
      <w:start w:val="0"/>
      <w:numFmt w:val="bullet"/>
      <w:lvlText w:val="•"/>
      <w:lvlJc w:val="left"/>
      <w:pPr>
        <w:ind w:left="3268" w:hanging="429"/>
      </w:pPr>
      <w:rPr>
        <w:rFonts w:hint="default"/>
        <w:lang w:val="en-US" w:eastAsia="en-US" w:bidi="ar-SA"/>
      </w:rPr>
    </w:lvl>
    <w:lvl w:ilvl="4">
      <w:start w:val="0"/>
      <w:numFmt w:val="bullet"/>
      <w:lvlText w:val="•"/>
      <w:lvlJc w:val="left"/>
      <w:pPr>
        <w:ind w:left="4293" w:hanging="429"/>
      </w:pPr>
      <w:rPr>
        <w:rFonts w:hint="default"/>
        <w:lang w:val="en-US" w:eastAsia="en-US" w:bidi="ar-SA"/>
      </w:rPr>
    </w:lvl>
    <w:lvl w:ilvl="5">
      <w:start w:val="0"/>
      <w:numFmt w:val="bullet"/>
      <w:lvlText w:val="•"/>
      <w:lvlJc w:val="left"/>
      <w:pPr>
        <w:ind w:left="5317" w:hanging="429"/>
      </w:pPr>
      <w:rPr>
        <w:rFonts w:hint="default"/>
        <w:lang w:val="en-US" w:eastAsia="en-US" w:bidi="ar-SA"/>
      </w:rPr>
    </w:lvl>
    <w:lvl w:ilvl="6">
      <w:start w:val="0"/>
      <w:numFmt w:val="bullet"/>
      <w:lvlText w:val="•"/>
      <w:lvlJc w:val="left"/>
      <w:pPr>
        <w:ind w:left="6342" w:hanging="429"/>
      </w:pPr>
      <w:rPr>
        <w:rFonts w:hint="default"/>
        <w:lang w:val="en-US" w:eastAsia="en-US" w:bidi="ar-SA"/>
      </w:rPr>
    </w:lvl>
    <w:lvl w:ilvl="7">
      <w:start w:val="0"/>
      <w:numFmt w:val="bullet"/>
      <w:lvlText w:val="•"/>
      <w:lvlJc w:val="left"/>
      <w:pPr>
        <w:ind w:left="7366" w:hanging="429"/>
      </w:pPr>
      <w:rPr>
        <w:rFonts w:hint="default"/>
        <w:lang w:val="en-US" w:eastAsia="en-US" w:bidi="ar-SA"/>
      </w:rPr>
    </w:lvl>
    <w:lvl w:ilvl="8">
      <w:start w:val="0"/>
      <w:numFmt w:val="bullet"/>
      <w:lvlText w:val="•"/>
      <w:lvlJc w:val="left"/>
      <w:pPr>
        <w:ind w:left="8391" w:hanging="429"/>
      </w:pPr>
      <w:rPr>
        <w:rFonts w:hint="default"/>
        <w:lang w:val="en-US" w:eastAsia="en-US" w:bidi="ar-SA"/>
      </w:rPr>
    </w:lvl>
  </w:abstractNum>
  <w:abstractNum w:abstractNumId="37">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11"/>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36">
    <w:multiLevelType w:val="hybridMultilevel"/>
    <w:lvl w:ilvl="0">
      <w:start w:val="1"/>
      <w:numFmt w:val="decimal"/>
      <w:lvlText w:val="%1."/>
      <w:lvlJc w:val="left"/>
      <w:pPr>
        <w:ind w:left="1080" w:hanging="72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016" w:hanging="720"/>
      </w:pPr>
      <w:rPr>
        <w:rFonts w:hint="default"/>
        <w:lang w:val="en-US" w:eastAsia="en-US" w:bidi="ar-SA"/>
      </w:rPr>
    </w:lvl>
    <w:lvl w:ilvl="2">
      <w:start w:val="0"/>
      <w:numFmt w:val="bullet"/>
      <w:lvlText w:val="•"/>
      <w:lvlJc w:val="left"/>
      <w:pPr>
        <w:ind w:left="2952" w:hanging="720"/>
      </w:pPr>
      <w:rPr>
        <w:rFonts w:hint="default"/>
        <w:lang w:val="en-US" w:eastAsia="en-US" w:bidi="ar-SA"/>
      </w:rPr>
    </w:lvl>
    <w:lvl w:ilvl="3">
      <w:start w:val="0"/>
      <w:numFmt w:val="bullet"/>
      <w:lvlText w:val="•"/>
      <w:lvlJc w:val="left"/>
      <w:pPr>
        <w:ind w:left="3888" w:hanging="720"/>
      </w:pPr>
      <w:rPr>
        <w:rFonts w:hint="default"/>
        <w:lang w:val="en-US" w:eastAsia="en-US" w:bidi="ar-SA"/>
      </w:rPr>
    </w:lvl>
    <w:lvl w:ilvl="4">
      <w:start w:val="0"/>
      <w:numFmt w:val="bullet"/>
      <w:lvlText w:val="•"/>
      <w:lvlJc w:val="left"/>
      <w:pPr>
        <w:ind w:left="4824" w:hanging="720"/>
      </w:pPr>
      <w:rPr>
        <w:rFonts w:hint="default"/>
        <w:lang w:val="en-US" w:eastAsia="en-US" w:bidi="ar-SA"/>
      </w:rPr>
    </w:lvl>
    <w:lvl w:ilvl="5">
      <w:start w:val="0"/>
      <w:numFmt w:val="bullet"/>
      <w:lvlText w:val="•"/>
      <w:lvlJc w:val="left"/>
      <w:pPr>
        <w:ind w:left="5760" w:hanging="720"/>
      </w:pPr>
      <w:rPr>
        <w:rFonts w:hint="default"/>
        <w:lang w:val="en-US" w:eastAsia="en-US" w:bidi="ar-SA"/>
      </w:rPr>
    </w:lvl>
    <w:lvl w:ilvl="6">
      <w:start w:val="0"/>
      <w:numFmt w:val="bullet"/>
      <w:lvlText w:val="•"/>
      <w:lvlJc w:val="left"/>
      <w:pPr>
        <w:ind w:left="6696" w:hanging="720"/>
      </w:pPr>
      <w:rPr>
        <w:rFonts w:hint="default"/>
        <w:lang w:val="en-US" w:eastAsia="en-US" w:bidi="ar-SA"/>
      </w:rPr>
    </w:lvl>
    <w:lvl w:ilvl="7">
      <w:start w:val="0"/>
      <w:numFmt w:val="bullet"/>
      <w:lvlText w:val="•"/>
      <w:lvlJc w:val="left"/>
      <w:pPr>
        <w:ind w:left="7632" w:hanging="720"/>
      </w:pPr>
      <w:rPr>
        <w:rFonts w:hint="default"/>
        <w:lang w:val="en-US" w:eastAsia="en-US" w:bidi="ar-SA"/>
      </w:rPr>
    </w:lvl>
    <w:lvl w:ilvl="8">
      <w:start w:val="0"/>
      <w:numFmt w:val="bullet"/>
      <w:lvlText w:val="•"/>
      <w:lvlJc w:val="left"/>
      <w:pPr>
        <w:ind w:left="8568" w:hanging="720"/>
      </w:pPr>
      <w:rPr>
        <w:rFonts w:hint="default"/>
        <w:lang w:val="en-US" w:eastAsia="en-US" w:bidi="ar-SA"/>
      </w:rPr>
    </w:lvl>
  </w:abstractNum>
  <w:abstractNum w:abstractNumId="35">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34">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1219" w:hanging="42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44" w:hanging="428"/>
      </w:pPr>
      <w:rPr>
        <w:rFonts w:hint="default"/>
        <w:lang w:val="en-US" w:eastAsia="en-US" w:bidi="ar-SA"/>
      </w:rPr>
    </w:lvl>
    <w:lvl w:ilvl="3">
      <w:start w:val="0"/>
      <w:numFmt w:val="bullet"/>
      <w:lvlText w:val="•"/>
      <w:lvlJc w:val="left"/>
      <w:pPr>
        <w:ind w:left="3268" w:hanging="428"/>
      </w:pPr>
      <w:rPr>
        <w:rFonts w:hint="default"/>
        <w:lang w:val="en-US" w:eastAsia="en-US" w:bidi="ar-SA"/>
      </w:rPr>
    </w:lvl>
    <w:lvl w:ilvl="4">
      <w:start w:val="0"/>
      <w:numFmt w:val="bullet"/>
      <w:lvlText w:val="•"/>
      <w:lvlJc w:val="left"/>
      <w:pPr>
        <w:ind w:left="4293" w:hanging="428"/>
      </w:pPr>
      <w:rPr>
        <w:rFonts w:hint="default"/>
        <w:lang w:val="en-US" w:eastAsia="en-US" w:bidi="ar-SA"/>
      </w:rPr>
    </w:lvl>
    <w:lvl w:ilvl="5">
      <w:start w:val="0"/>
      <w:numFmt w:val="bullet"/>
      <w:lvlText w:val="•"/>
      <w:lvlJc w:val="left"/>
      <w:pPr>
        <w:ind w:left="5317" w:hanging="428"/>
      </w:pPr>
      <w:rPr>
        <w:rFonts w:hint="default"/>
        <w:lang w:val="en-US" w:eastAsia="en-US" w:bidi="ar-SA"/>
      </w:rPr>
    </w:lvl>
    <w:lvl w:ilvl="6">
      <w:start w:val="0"/>
      <w:numFmt w:val="bullet"/>
      <w:lvlText w:val="•"/>
      <w:lvlJc w:val="left"/>
      <w:pPr>
        <w:ind w:left="6342" w:hanging="428"/>
      </w:pPr>
      <w:rPr>
        <w:rFonts w:hint="default"/>
        <w:lang w:val="en-US" w:eastAsia="en-US" w:bidi="ar-SA"/>
      </w:rPr>
    </w:lvl>
    <w:lvl w:ilvl="7">
      <w:start w:val="0"/>
      <w:numFmt w:val="bullet"/>
      <w:lvlText w:val="•"/>
      <w:lvlJc w:val="left"/>
      <w:pPr>
        <w:ind w:left="7366" w:hanging="428"/>
      </w:pPr>
      <w:rPr>
        <w:rFonts w:hint="default"/>
        <w:lang w:val="en-US" w:eastAsia="en-US" w:bidi="ar-SA"/>
      </w:rPr>
    </w:lvl>
    <w:lvl w:ilvl="8">
      <w:start w:val="0"/>
      <w:numFmt w:val="bullet"/>
      <w:lvlText w:val="•"/>
      <w:lvlJc w:val="left"/>
      <w:pPr>
        <w:ind w:left="8391" w:hanging="428"/>
      </w:pPr>
      <w:rPr>
        <w:rFonts w:hint="default"/>
        <w:lang w:val="en-US" w:eastAsia="en-US" w:bidi="ar-SA"/>
      </w:rPr>
    </w:lvl>
  </w:abstractNum>
  <w:abstractNum w:abstractNumId="33">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32">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31">
    <w:multiLevelType w:val="hybridMultilevel"/>
    <w:lvl w:ilvl="0">
      <w:start w:val="1"/>
      <w:numFmt w:val="upperLetter"/>
      <w:lvlText w:val="(%1)"/>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455"/>
      </w:pPr>
      <w:rPr>
        <w:rFonts w:hint="default"/>
        <w:lang w:val="en-US" w:eastAsia="en-US" w:bidi="ar-SA"/>
      </w:rPr>
    </w:lvl>
    <w:lvl w:ilvl="2">
      <w:start w:val="0"/>
      <w:numFmt w:val="bullet"/>
      <w:lvlText w:val="•"/>
      <w:lvlJc w:val="left"/>
      <w:pPr>
        <w:ind w:left="3064" w:hanging="455"/>
      </w:pPr>
      <w:rPr>
        <w:rFonts w:hint="default"/>
        <w:lang w:val="en-US" w:eastAsia="en-US" w:bidi="ar-SA"/>
      </w:rPr>
    </w:lvl>
    <w:lvl w:ilvl="3">
      <w:start w:val="0"/>
      <w:numFmt w:val="bullet"/>
      <w:lvlText w:val="•"/>
      <w:lvlJc w:val="left"/>
      <w:pPr>
        <w:ind w:left="3986" w:hanging="455"/>
      </w:pPr>
      <w:rPr>
        <w:rFonts w:hint="default"/>
        <w:lang w:val="en-US" w:eastAsia="en-US" w:bidi="ar-SA"/>
      </w:rPr>
    </w:lvl>
    <w:lvl w:ilvl="4">
      <w:start w:val="0"/>
      <w:numFmt w:val="bullet"/>
      <w:lvlText w:val="•"/>
      <w:lvlJc w:val="left"/>
      <w:pPr>
        <w:ind w:left="4908" w:hanging="455"/>
      </w:pPr>
      <w:rPr>
        <w:rFonts w:hint="default"/>
        <w:lang w:val="en-US" w:eastAsia="en-US" w:bidi="ar-SA"/>
      </w:rPr>
    </w:lvl>
    <w:lvl w:ilvl="5">
      <w:start w:val="0"/>
      <w:numFmt w:val="bullet"/>
      <w:lvlText w:val="•"/>
      <w:lvlJc w:val="left"/>
      <w:pPr>
        <w:ind w:left="5830" w:hanging="455"/>
      </w:pPr>
      <w:rPr>
        <w:rFonts w:hint="default"/>
        <w:lang w:val="en-US" w:eastAsia="en-US" w:bidi="ar-SA"/>
      </w:rPr>
    </w:lvl>
    <w:lvl w:ilvl="6">
      <w:start w:val="0"/>
      <w:numFmt w:val="bullet"/>
      <w:lvlText w:val="•"/>
      <w:lvlJc w:val="left"/>
      <w:pPr>
        <w:ind w:left="6752" w:hanging="455"/>
      </w:pPr>
      <w:rPr>
        <w:rFonts w:hint="default"/>
        <w:lang w:val="en-US" w:eastAsia="en-US" w:bidi="ar-SA"/>
      </w:rPr>
    </w:lvl>
    <w:lvl w:ilvl="7">
      <w:start w:val="0"/>
      <w:numFmt w:val="bullet"/>
      <w:lvlText w:val="•"/>
      <w:lvlJc w:val="left"/>
      <w:pPr>
        <w:ind w:left="7674" w:hanging="455"/>
      </w:pPr>
      <w:rPr>
        <w:rFonts w:hint="default"/>
        <w:lang w:val="en-US" w:eastAsia="en-US" w:bidi="ar-SA"/>
      </w:rPr>
    </w:lvl>
    <w:lvl w:ilvl="8">
      <w:start w:val="0"/>
      <w:numFmt w:val="bullet"/>
      <w:lvlText w:val="•"/>
      <w:lvlJc w:val="left"/>
      <w:pPr>
        <w:ind w:left="8596" w:hanging="455"/>
      </w:pPr>
      <w:rPr>
        <w:rFonts w:hint="default"/>
        <w:lang w:val="en-US" w:eastAsia="en-US" w:bidi="ar-SA"/>
      </w:rPr>
    </w:lvl>
  </w:abstractNum>
  <w:abstractNum w:abstractNumId="30">
    <w:multiLevelType w:val="hybridMultilevel"/>
    <w:lvl w:ilvl="0">
      <w:start w:val="1"/>
      <w:numFmt w:val="upperLetter"/>
      <w:lvlText w:val="(%1)"/>
      <w:lvlJc w:val="left"/>
      <w:pPr>
        <w:ind w:left="1224" w:hanging="454"/>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454"/>
      </w:pPr>
      <w:rPr>
        <w:rFonts w:hint="default"/>
        <w:lang w:val="en-US" w:eastAsia="en-US" w:bidi="ar-SA"/>
      </w:rPr>
    </w:lvl>
    <w:lvl w:ilvl="2">
      <w:start w:val="0"/>
      <w:numFmt w:val="bullet"/>
      <w:lvlText w:val="•"/>
      <w:lvlJc w:val="left"/>
      <w:pPr>
        <w:ind w:left="3064" w:hanging="454"/>
      </w:pPr>
      <w:rPr>
        <w:rFonts w:hint="default"/>
        <w:lang w:val="en-US" w:eastAsia="en-US" w:bidi="ar-SA"/>
      </w:rPr>
    </w:lvl>
    <w:lvl w:ilvl="3">
      <w:start w:val="0"/>
      <w:numFmt w:val="bullet"/>
      <w:lvlText w:val="•"/>
      <w:lvlJc w:val="left"/>
      <w:pPr>
        <w:ind w:left="3986" w:hanging="454"/>
      </w:pPr>
      <w:rPr>
        <w:rFonts w:hint="default"/>
        <w:lang w:val="en-US" w:eastAsia="en-US" w:bidi="ar-SA"/>
      </w:rPr>
    </w:lvl>
    <w:lvl w:ilvl="4">
      <w:start w:val="0"/>
      <w:numFmt w:val="bullet"/>
      <w:lvlText w:val="•"/>
      <w:lvlJc w:val="left"/>
      <w:pPr>
        <w:ind w:left="4908" w:hanging="454"/>
      </w:pPr>
      <w:rPr>
        <w:rFonts w:hint="default"/>
        <w:lang w:val="en-US" w:eastAsia="en-US" w:bidi="ar-SA"/>
      </w:rPr>
    </w:lvl>
    <w:lvl w:ilvl="5">
      <w:start w:val="0"/>
      <w:numFmt w:val="bullet"/>
      <w:lvlText w:val="•"/>
      <w:lvlJc w:val="left"/>
      <w:pPr>
        <w:ind w:left="5830" w:hanging="454"/>
      </w:pPr>
      <w:rPr>
        <w:rFonts w:hint="default"/>
        <w:lang w:val="en-US" w:eastAsia="en-US" w:bidi="ar-SA"/>
      </w:rPr>
    </w:lvl>
    <w:lvl w:ilvl="6">
      <w:start w:val="0"/>
      <w:numFmt w:val="bullet"/>
      <w:lvlText w:val="•"/>
      <w:lvlJc w:val="left"/>
      <w:pPr>
        <w:ind w:left="6752" w:hanging="454"/>
      </w:pPr>
      <w:rPr>
        <w:rFonts w:hint="default"/>
        <w:lang w:val="en-US" w:eastAsia="en-US" w:bidi="ar-SA"/>
      </w:rPr>
    </w:lvl>
    <w:lvl w:ilvl="7">
      <w:start w:val="0"/>
      <w:numFmt w:val="bullet"/>
      <w:lvlText w:val="•"/>
      <w:lvlJc w:val="left"/>
      <w:pPr>
        <w:ind w:left="7674" w:hanging="454"/>
      </w:pPr>
      <w:rPr>
        <w:rFonts w:hint="default"/>
        <w:lang w:val="en-US" w:eastAsia="en-US" w:bidi="ar-SA"/>
      </w:rPr>
    </w:lvl>
    <w:lvl w:ilvl="8">
      <w:start w:val="0"/>
      <w:numFmt w:val="bullet"/>
      <w:lvlText w:val="•"/>
      <w:lvlJc w:val="left"/>
      <w:pPr>
        <w:ind w:left="8596" w:hanging="454"/>
      </w:pPr>
      <w:rPr>
        <w:rFonts w:hint="default"/>
        <w:lang w:val="en-US" w:eastAsia="en-US" w:bidi="ar-SA"/>
      </w:rPr>
    </w:lvl>
  </w:abstractNum>
  <w:abstractNum w:abstractNumId="29">
    <w:multiLevelType w:val="hybridMultilevel"/>
    <w:lvl w:ilvl="0">
      <w:start w:val="1"/>
      <w:numFmt w:val="upperLetter"/>
      <w:lvlText w:val="(%1)"/>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455"/>
      </w:pPr>
      <w:rPr>
        <w:rFonts w:hint="default"/>
        <w:lang w:val="en-US" w:eastAsia="en-US" w:bidi="ar-SA"/>
      </w:rPr>
    </w:lvl>
    <w:lvl w:ilvl="2">
      <w:start w:val="0"/>
      <w:numFmt w:val="bullet"/>
      <w:lvlText w:val="•"/>
      <w:lvlJc w:val="left"/>
      <w:pPr>
        <w:ind w:left="3064" w:hanging="455"/>
      </w:pPr>
      <w:rPr>
        <w:rFonts w:hint="default"/>
        <w:lang w:val="en-US" w:eastAsia="en-US" w:bidi="ar-SA"/>
      </w:rPr>
    </w:lvl>
    <w:lvl w:ilvl="3">
      <w:start w:val="0"/>
      <w:numFmt w:val="bullet"/>
      <w:lvlText w:val="•"/>
      <w:lvlJc w:val="left"/>
      <w:pPr>
        <w:ind w:left="3986" w:hanging="455"/>
      </w:pPr>
      <w:rPr>
        <w:rFonts w:hint="default"/>
        <w:lang w:val="en-US" w:eastAsia="en-US" w:bidi="ar-SA"/>
      </w:rPr>
    </w:lvl>
    <w:lvl w:ilvl="4">
      <w:start w:val="0"/>
      <w:numFmt w:val="bullet"/>
      <w:lvlText w:val="•"/>
      <w:lvlJc w:val="left"/>
      <w:pPr>
        <w:ind w:left="4908" w:hanging="455"/>
      </w:pPr>
      <w:rPr>
        <w:rFonts w:hint="default"/>
        <w:lang w:val="en-US" w:eastAsia="en-US" w:bidi="ar-SA"/>
      </w:rPr>
    </w:lvl>
    <w:lvl w:ilvl="5">
      <w:start w:val="0"/>
      <w:numFmt w:val="bullet"/>
      <w:lvlText w:val="•"/>
      <w:lvlJc w:val="left"/>
      <w:pPr>
        <w:ind w:left="5830" w:hanging="455"/>
      </w:pPr>
      <w:rPr>
        <w:rFonts w:hint="default"/>
        <w:lang w:val="en-US" w:eastAsia="en-US" w:bidi="ar-SA"/>
      </w:rPr>
    </w:lvl>
    <w:lvl w:ilvl="6">
      <w:start w:val="0"/>
      <w:numFmt w:val="bullet"/>
      <w:lvlText w:val="•"/>
      <w:lvlJc w:val="left"/>
      <w:pPr>
        <w:ind w:left="6752" w:hanging="455"/>
      </w:pPr>
      <w:rPr>
        <w:rFonts w:hint="default"/>
        <w:lang w:val="en-US" w:eastAsia="en-US" w:bidi="ar-SA"/>
      </w:rPr>
    </w:lvl>
    <w:lvl w:ilvl="7">
      <w:start w:val="0"/>
      <w:numFmt w:val="bullet"/>
      <w:lvlText w:val="•"/>
      <w:lvlJc w:val="left"/>
      <w:pPr>
        <w:ind w:left="7674" w:hanging="455"/>
      </w:pPr>
      <w:rPr>
        <w:rFonts w:hint="default"/>
        <w:lang w:val="en-US" w:eastAsia="en-US" w:bidi="ar-SA"/>
      </w:rPr>
    </w:lvl>
    <w:lvl w:ilvl="8">
      <w:start w:val="0"/>
      <w:numFmt w:val="bullet"/>
      <w:lvlText w:val="•"/>
      <w:lvlJc w:val="left"/>
      <w:pPr>
        <w:ind w:left="8596" w:hanging="455"/>
      </w:pPr>
      <w:rPr>
        <w:rFonts w:hint="default"/>
        <w:lang w:val="en-US" w:eastAsia="en-US" w:bidi="ar-SA"/>
      </w:rPr>
    </w:lvl>
  </w:abstractNum>
  <w:abstractNum w:abstractNumId="28">
    <w:multiLevelType w:val="hybridMultilevel"/>
    <w:lvl w:ilvl="0">
      <w:start w:val="1"/>
      <w:numFmt w:val="upperLetter"/>
      <w:lvlText w:val="(%1)"/>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455"/>
      </w:pPr>
      <w:rPr>
        <w:rFonts w:hint="default"/>
        <w:lang w:val="en-US" w:eastAsia="en-US" w:bidi="ar-SA"/>
      </w:rPr>
    </w:lvl>
    <w:lvl w:ilvl="2">
      <w:start w:val="0"/>
      <w:numFmt w:val="bullet"/>
      <w:lvlText w:val="•"/>
      <w:lvlJc w:val="left"/>
      <w:pPr>
        <w:ind w:left="3064" w:hanging="455"/>
      </w:pPr>
      <w:rPr>
        <w:rFonts w:hint="default"/>
        <w:lang w:val="en-US" w:eastAsia="en-US" w:bidi="ar-SA"/>
      </w:rPr>
    </w:lvl>
    <w:lvl w:ilvl="3">
      <w:start w:val="0"/>
      <w:numFmt w:val="bullet"/>
      <w:lvlText w:val="•"/>
      <w:lvlJc w:val="left"/>
      <w:pPr>
        <w:ind w:left="3986" w:hanging="455"/>
      </w:pPr>
      <w:rPr>
        <w:rFonts w:hint="default"/>
        <w:lang w:val="en-US" w:eastAsia="en-US" w:bidi="ar-SA"/>
      </w:rPr>
    </w:lvl>
    <w:lvl w:ilvl="4">
      <w:start w:val="0"/>
      <w:numFmt w:val="bullet"/>
      <w:lvlText w:val="•"/>
      <w:lvlJc w:val="left"/>
      <w:pPr>
        <w:ind w:left="4908" w:hanging="455"/>
      </w:pPr>
      <w:rPr>
        <w:rFonts w:hint="default"/>
        <w:lang w:val="en-US" w:eastAsia="en-US" w:bidi="ar-SA"/>
      </w:rPr>
    </w:lvl>
    <w:lvl w:ilvl="5">
      <w:start w:val="0"/>
      <w:numFmt w:val="bullet"/>
      <w:lvlText w:val="•"/>
      <w:lvlJc w:val="left"/>
      <w:pPr>
        <w:ind w:left="5830" w:hanging="455"/>
      </w:pPr>
      <w:rPr>
        <w:rFonts w:hint="default"/>
        <w:lang w:val="en-US" w:eastAsia="en-US" w:bidi="ar-SA"/>
      </w:rPr>
    </w:lvl>
    <w:lvl w:ilvl="6">
      <w:start w:val="0"/>
      <w:numFmt w:val="bullet"/>
      <w:lvlText w:val="•"/>
      <w:lvlJc w:val="left"/>
      <w:pPr>
        <w:ind w:left="6752" w:hanging="455"/>
      </w:pPr>
      <w:rPr>
        <w:rFonts w:hint="default"/>
        <w:lang w:val="en-US" w:eastAsia="en-US" w:bidi="ar-SA"/>
      </w:rPr>
    </w:lvl>
    <w:lvl w:ilvl="7">
      <w:start w:val="0"/>
      <w:numFmt w:val="bullet"/>
      <w:lvlText w:val="•"/>
      <w:lvlJc w:val="left"/>
      <w:pPr>
        <w:ind w:left="7674" w:hanging="455"/>
      </w:pPr>
      <w:rPr>
        <w:rFonts w:hint="default"/>
        <w:lang w:val="en-US" w:eastAsia="en-US" w:bidi="ar-SA"/>
      </w:rPr>
    </w:lvl>
    <w:lvl w:ilvl="8">
      <w:start w:val="0"/>
      <w:numFmt w:val="bullet"/>
      <w:lvlText w:val="•"/>
      <w:lvlJc w:val="left"/>
      <w:pPr>
        <w:ind w:left="8596" w:hanging="455"/>
      </w:pPr>
      <w:rPr>
        <w:rFonts w:hint="default"/>
        <w:lang w:val="en-US" w:eastAsia="en-US" w:bidi="ar-SA"/>
      </w:rPr>
    </w:lvl>
  </w:abstractNum>
  <w:abstractNum w:abstractNumId="27">
    <w:multiLevelType w:val="hybridMultilevel"/>
    <w:lvl w:ilvl="0">
      <w:start w:val="1"/>
      <w:numFmt w:val="upperLetter"/>
      <w:lvlText w:val="(%1)"/>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455"/>
      </w:pPr>
      <w:rPr>
        <w:rFonts w:hint="default"/>
        <w:lang w:val="en-US" w:eastAsia="en-US" w:bidi="ar-SA"/>
      </w:rPr>
    </w:lvl>
    <w:lvl w:ilvl="2">
      <w:start w:val="0"/>
      <w:numFmt w:val="bullet"/>
      <w:lvlText w:val="•"/>
      <w:lvlJc w:val="left"/>
      <w:pPr>
        <w:ind w:left="3064" w:hanging="455"/>
      </w:pPr>
      <w:rPr>
        <w:rFonts w:hint="default"/>
        <w:lang w:val="en-US" w:eastAsia="en-US" w:bidi="ar-SA"/>
      </w:rPr>
    </w:lvl>
    <w:lvl w:ilvl="3">
      <w:start w:val="0"/>
      <w:numFmt w:val="bullet"/>
      <w:lvlText w:val="•"/>
      <w:lvlJc w:val="left"/>
      <w:pPr>
        <w:ind w:left="3986" w:hanging="455"/>
      </w:pPr>
      <w:rPr>
        <w:rFonts w:hint="default"/>
        <w:lang w:val="en-US" w:eastAsia="en-US" w:bidi="ar-SA"/>
      </w:rPr>
    </w:lvl>
    <w:lvl w:ilvl="4">
      <w:start w:val="0"/>
      <w:numFmt w:val="bullet"/>
      <w:lvlText w:val="•"/>
      <w:lvlJc w:val="left"/>
      <w:pPr>
        <w:ind w:left="4908" w:hanging="455"/>
      </w:pPr>
      <w:rPr>
        <w:rFonts w:hint="default"/>
        <w:lang w:val="en-US" w:eastAsia="en-US" w:bidi="ar-SA"/>
      </w:rPr>
    </w:lvl>
    <w:lvl w:ilvl="5">
      <w:start w:val="0"/>
      <w:numFmt w:val="bullet"/>
      <w:lvlText w:val="•"/>
      <w:lvlJc w:val="left"/>
      <w:pPr>
        <w:ind w:left="5830" w:hanging="455"/>
      </w:pPr>
      <w:rPr>
        <w:rFonts w:hint="default"/>
        <w:lang w:val="en-US" w:eastAsia="en-US" w:bidi="ar-SA"/>
      </w:rPr>
    </w:lvl>
    <w:lvl w:ilvl="6">
      <w:start w:val="0"/>
      <w:numFmt w:val="bullet"/>
      <w:lvlText w:val="•"/>
      <w:lvlJc w:val="left"/>
      <w:pPr>
        <w:ind w:left="6752" w:hanging="455"/>
      </w:pPr>
      <w:rPr>
        <w:rFonts w:hint="default"/>
        <w:lang w:val="en-US" w:eastAsia="en-US" w:bidi="ar-SA"/>
      </w:rPr>
    </w:lvl>
    <w:lvl w:ilvl="7">
      <w:start w:val="0"/>
      <w:numFmt w:val="bullet"/>
      <w:lvlText w:val="•"/>
      <w:lvlJc w:val="left"/>
      <w:pPr>
        <w:ind w:left="7674" w:hanging="455"/>
      </w:pPr>
      <w:rPr>
        <w:rFonts w:hint="default"/>
        <w:lang w:val="en-US" w:eastAsia="en-US" w:bidi="ar-SA"/>
      </w:rPr>
    </w:lvl>
    <w:lvl w:ilvl="8">
      <w:start w:val="0"/>
      <w:numFmt w:val="bullet"/>
      <w:lvlText w:val="•"/>
      <w:lvlJc w:val="left"/>
      <w:pPr>
        <w:ind w:left="8596" w:hanging="455"/>
      </w:pPr>
      <w:rPr>
        <w:rFonts w:hint="default"/>
        <w:lang w:val="en-US" w:eastAsia="en-US" w:bidi="ar-SA"/>
      </w:rPr>
    </w:lvl>
  </w:abstractNum>
  <w:abstractNum w:abstractNumId="26">
    <w:multiLevelType w:val="hybridMultilevel"/>
    <w:lvl w:ilvl="0">
      <w:start w:val="1"/>
      <w:numFmt w:val="upperLetter"/>
      <w:lvlText w:val="(%1)"/>
      <w:lvlJc w:val="left"/>
      <w:pPr>
        <w:ind w:left="1678" w:hanging="455"/>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556" w:hanging="455"/>
      </w:pPr>
      <w:rPr>
        <w:rFonts w:hint="default"/>
        <w:lang w:val="en-US" w:eastAsia="en-US" w:bidi="ar-SA"/>
      </w:rPr>
    </w:lvl>
    <w:lvl w:ilvl="2">
      <w:start w:val="0"/>
      <w:numFmt w:val="bullet"/>
      <w:lvlText w:val="•"/>
      <w:lvlJc w:val="left"/>
      <w:pPr>
        <w:ind w:left="3432" w:hanging="455"/>
      </w:pPr>
      <w:rPr>
        <w:rFonts w:hint="default"/>
        <w:lang w:val="en-US" w:eastAsia="en-US" w:bidi="ar-SA"/>
      </w:rPr>
    </w:lvl>
    <w:lvl w:ilvl="3">
      <w:start w:val="0"/>
      <w:numFmt w:val="bullet"/>
      <w:lvlText w:val="•"/>
      <w:lvlJc w:val="left"/>
      <w:pPr>
        <w:ind w:left="4308" w:hanging="455"/>
      </w:pPr>
      <w:rPr>
        <w:rFonts w:hint="default"/>
        <w:lang w:val="en-US" w:eastAsia="en-US" w:bidi="ar-SA"/>
      </w:rPr>
    </w:lvl>
    <w:lvl w:ilvl="4">
      <w:start w:val="0"/>
      <w:numFmt w:val="bullet"/>
      <w:lvlText w:val="•"/>
      <w:lvlJc w:val="left"/>
      <w:pPr>
        <w:ind w:left="5184" w:hanging="455"/>
      </w:pPr>
      <w:rPr>
        <w:rFonts w:hint="default"/>
        <w:lang w:val="en-US" w:eastAsia="en-US" w:bidi="ar-SA"/>
      </w:rPr>
    </w:lvl>
    <w:lvl w:ilvl="5">
      <w:start w:val="0"/>
      <w:numFmt w:val="bullet"/>
      <w:lvlText w:val="•"/>
      <w:lvlJc w:val="left"/>
      <w:pPr>
        <w:ind w:left="6060" w:hanging="455"/>
      </w:pPr>
      <w:rPr>
        <w:rFonts w:hint="default"/>
        <w:lang w:val="en-US" w:eastAsia="en-US" w:bidi="ar-SA"/>
      </w:rPr>
    </w:lvl>
    <w:lvl w:ilvl="6">
      <w:start w:val="0"/>
      <w:numFmt w:val="bullet"/>
      <w:lvlText w:val="•"/>
      <w:lvlJc w:val="left"/>
      <w:pPr>
        <w:ind w:left="6936" w:hanging="455"/>
      </w:pPr>
      <w:rPr>
        <w:rFonts w:hint="default"/>
        <w:lang w:val="en-US" w:eastAsia="en-US" w:bidi="ar-SA"/>
      </w:rPr>
    </w:lvl>
    <w:lvl w:ilvl="7">
      <w:start w:val="0"/>
      <w:numFmt w:val="bullet"/>
      <w:lvlText w:val="•"/>
      <w:lvlJc w:val="left"/>
      <w:pPr>
        <w:ind w:left="7812" w:hanging="455"/>
      </w:pPr>
      <w:rPr>
        <w:rFonts w:hint="default"/>
        <w:lang w:val="en-US" w:eastAsia="en-US" w:bidi="ar-SA"/>
      </w:rPr>
    </w:lvl>
    <w:lvl w:ilvl="8">
      <w:start w:val="0"/>
      <w:numFmt w:val="bullet"/>
      <w:lvlText w:val="•"/>
      <w:lvlJc w:val="left"/>
      <w:pPr>
        <w:ind w:left="8688" w:hanging="455"/>
      </w:pPr>
      <w:rPr>
        <w:rFonts w:hint="default"/>
        <w:lang w:val="en-US" w:eastAsia="en-US" w:bidi="ar-SA"/>
      </w:rPr>
    </w:lvl>
  </w:abstractNum>
  <w:abstractNum w:abstractNumId="25">
    <w:multiLevelType w:val="hybridMultilevel"/>
    <w:lvl w:ilvl="0">
      <w:start w:val="1"/>
      <w:numFmt w:val="decimal"/>
      <w:lvlText w:val="(%1)"/>
      <w:lvlJc w:val="left"/>
      <w:pPr>
        <w:ind w:left="792" w:hanging="42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428"/>
      </w:pPr>
      <w:rPr>
        <w:rFonts w:hint="default"/>
        <w:lang w:val="en-US" w:eastAsia="en-US" w:bidi="ar-SA"/>
      </w:rPr>
    </w:lvl>
    <w:lvl w:ilvl="2">
      <w:start w:val="0"/>
      <w:numFmt w:val="bullet"/>
      <w:lvlText w:val="•"/>
      <w:lvlJc w:val="left"/>
      <w:pPr>
        <w:ind w:left="2728" w:hanging="428"/>
      </w:pPr>
      <w:rPr>
        <w:rFonts w:hint="default"/>
        <w:lang w:val="en-US" w:eastAsia="en-US" w:bidi="ar-SA"/>
      </w:rPr>
    </w:lvl>
    <w:lvl w:ilvl="3">
      <w:start w:val="0"/>
      <w:numFmt w:val="bullet"/>
      <w:lvlText w:val="•"/>
      <w:lvlJc w:val="left"/>
      <w:pPr>
        <w:ind w:left="3692" w:hanging="428"/>
      </w:pPr>
      <w:rPr>
        <w:rFonts w:hint="default"/>
        <w:lang w:val="en-US" w:eastAsia="en-US" w:bidi="ar-SA"/>
      </w:rPr>
    </w:lvl>
    <w:lvl w:ilvl="4">
      <w:start w:val="0"/>
      <w:numFmt w:val="bullet"/>
      <w:lvlText w:val="•"/>
      <w:lvlJc w:val="left"/>
      <w:pPr>
        <w:ind w:left="4656" w:hanging="428"/>
      </w:pPr>
      <w:rPr>
        <w:rFonts w:hint="default"/>
        <w:lang w:val="en-US" w:eastAsia="en-US" w:bidi="ar-SA"/>
      </w:rPr>
    </w:lvl>
    <w:lvl w:ilvl="5">
      <w:start w:val="0"/>
      <w:numFmt w:val="bullet"/>
      <w:lvlText w:val="•"/>
      <w:lvlJc w:val="left"/>
      <w:pPr>
        <w:ind w:left="5620" w:hanging="428"/>
      </w:pPr>
      <w:rPr>
        <w:rFonts w:hint="default"/>
        <w:lang w:val="en-US" w:eastAsia="en-US" w:bidi="ar-SA"/>
      </w:rPr>
    </w:lvl>
    <w:lvl w:ilvl="6">
      <w:start w:val="0"/>
      <w:numFmt w:val="bullet"/>
      <w:lvlText w:val="•"/>
      <w:lvlJc w:val="left"/>
      <w:pPr>
        <w:ind w:left="6584" w:hanging="428"/>
      </w:pPr>
      <w:rPr>
        <w:rFonts w:hint="default"/>
        <w:lang w:val="en-US" w:eastAsia="en-US" w:bidi="ar-SA"/>
      </w:rPr>
    </w:lvl>
    <w:lvl w:ilvl="7">
      <w:start w:val="0"/>
      <w:numFmt w:val="bullet"/>
      <w:lvlText w:val="•"/>
      <w:lvlJc w:val="left"/>
      <w:pPr>
        <w:ind w:left="7548" w:hanging="428"/>
      </w:pPr>
      <w:rPr>
        <w:rFonts w:hint="default"/>
        <w:lang w:val="en-US" w:eastAsia="en-US" w:bidi="ar-SA"/>
      </w:rPr>
    </w:lvl>
    <w:lvl w:ilvl="8">
      <w:start w:val="0"/>
      <w:numFmt w:val="bullet"/>
      <w:lvlText w:val="•"/>
      <w:lvlJc w:val="left"/>
      <w:pPr>
        <w:ind w:left="8512" w:hanging="428"/>
      </w:pPr>
      <w:rPr>
        <w:rFonts w:hint="default"/>
        <w:lang w:val="en-US" w:eastAsia="en-US" w:bidi="ar-SA"/>
      </w:rPr>
    </w:lvl>
  </w:abstractNum>
  <w:abstractNum w:abstractNumId="24">
    <w:multiLevelType w:val="hybridMultilevel"/>
    <w:lvl w:ilvl="0">
      <w:start w:val="1"/>
      <w:numFmt w:val="lowerLetter"/>
      <w:lvlText w:val="(%1)"/>
      <w:lvlJc w:val="left"/>
      <w:pPr>
        <w:ind w:left="360" w:hanging="428"/>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23">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3"/>
      <w:numFmt w:val="decimalZero"/>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2">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21">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10"/>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20">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98"/>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9">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94"/>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8">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3"/>
      <w:numFmt w:val="decimalZero"/>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7">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98"/>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6">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95"/>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5">
    <w:multiLevelType w:val="hybridMultilevel"/>
    <w:lvl w:ilvl="0">
      <w:start w:val="1"/>
      <w:numFmt w:val="decimal"/>
      <w:lvlText w:val="(%1)"/>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upperLetter"/>
      <w:lvlText w:val="(%2)"/>
      <w:lvlJc w:val="left"/>
      <w:pPr>
        <w:ind w:left="1224" w:hanging="455"/>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680" w:hanging="455"/>
      </w:pPr>
      <w:rPr>
        <w:rFonts w:hint="default"/>
        <w:lang w:val="en-US" w:eastAsia="en-US" w:bidi="ar-SA"/>
      </w:rPr>
    </w:lvl>
    <w:lvl w:ilvl="3">
      <w:start w:val="0"/>
      <w:numFmt w:val="bullet"/>
      <w:lvlText w:val="•"/>
      <w:lvlJc w:val="left"/>
      <w:pPr>
        <w:ind w:left="2775" w:hanging="455"/>
      </w:pPr>
      <w:rPr>
        <w:rFonts w:hint="default"/>
        <w:lang w:val="en-US" w:eastAsia="en-US" w:bidi="ar-SA"/>
      </w:rPr>
    </w:lvl>
    <w:lvl w:ilvl="4">
      <w:start w:val="0"/>
      <w:numFmt w:val="bullet"/>
      <w:lvlText w:val="•"/>
      <w:lvlJc w:val="left"/>
      <w:pPr>
        <w:ind w:left="3870" w:hanging="455"/>
      </w:pPr>
      <w:rPr>
        <w:rFonts w:hint="default"/>
        <w:lang w:val="en-US" w:eastAsia="en-US" w:bidi="ar-SA"/>
      </w:rPr>
    </w:lvl>
    <w:lvl w:ilvl="5">
      <w:start w:val="0"/>
      <w:numFmt w:val="bullet"/>
      <w:lvlText w:val="•"/>
      <w:lvlJc w:val="left"/>
      <w:pPr>
        <w:ind w:left="4965" w:hanging="455"/>
      </w:pPr>
      <w:rPr>
        <w:rFonts w:hint="default"/>
        <w:lang w:val="en-US" w:eastAsia="en-US" w:bidi="ar-SA"/>
      </w:rPr>
    </w:lvl>
    <w:lvl w:ilvl="6">
      <w:start w:val="0"/>
      <w:numFmt w:val="bullet"/>
      <w:lvlText w:val="•"/>
      <w:lvlJc w:val="left"/>
      <w:pPr>
        <w:ind w:left="6060" w:hanging="455"/>
      </w:pPr>
      <w:rPr>
        <w:rFonts w:hint="default"/>
        <w:lang w:val="en-US" w:eastAsia="en-US" w:bidi="ar-SA"/>
      </w:rPr>
    </w:lvl>
    <w:lvl w:ilvl="7">
      <w:start w:val="0"/>
      <w:numFmt w:val="bullet"/>
      <w:lvlText w:val="•"/>
      <w:lvlJc w:val="left"/>
      <w:pPr>
        <w:ind w:left="7155" w:hanging="455"/>
      </w:pPr>
      <w:rPr>
        <w:rFonts w:hint="default"/>
        <w:lang w:val="en-US" w:eastAsia="en-US" w:bidi="ar-SA"/>
      </w:rPr>
    </w:lvl>
    <w:lvl w:ilvl="8">
      <w:start w:val="0"/>
      <w:numFmt w:val="bullet"/>
      <w:lvlText w:val="•"/>
      <w:lvlJc w:val="left"/>
      <w:pPr>
        <w:ind w:left="8250" w:hanging="455"/>
      </w:pPr>
      <w:rPr>
        <w:rFonts w:hint="default"/>
        <w:lang w:val="en-US" w:eastAsia="en-US" w:bidi="ar-SA"/>
      </w:rPr>
    </w:lvl>
  </w:abstractNum>
  <w:abstractNum w:abstractNumId="14">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98"/>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3">
    <w:multiLevelType w:val="hybridMultilevel"/>
    <w:lvl w:ilvl="0">
      <w:start w:val="1"/>
      <w:numFmt w:val="decimal"/>
      <w:lvlText w:val="(%1)"/>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429"/>
      </w:pPr>
      <w:rPr>
        <w:rFonts w:hint="default"/>
        <w:lang w:val="en-US" w:eastAsia="en-US" w:bidi="ar-SA"/>
      </w:rPr>
    </w:lvl>
    <w:lvl w:ilvl="2">
      <w:start w:val="0"/>
      <w:numFmt w:val="bullet"/>
      <w:lvlText w:val="•"/>
      <w:lvlJc w:val="left"/>
      <w:pPr>
        <w:ind w:left="2728" w:hanging="429"/>
      </w:pPr>
      <w:rPr>
        <w:rFonts w:hint="default"/>
        <w:lang w:val="en-US" w:eastAsia="en-US" w:bidi="ar-SA"/>
      </w:rPr>
    </w:lvl>
    <w:lvl w:ilvl="3">
      <w:start w:val="0"/>
      <w:numFmt w:val="bullet"/>
      <w:lvlText w:val="•"/>
      <w:lvlJc w:val="left"/>
      <w:pPr>
        <w:ind w:left="3692" w:hanging="429"/>
      </w:pPr>
      <w:rPr>
        <w:rFonts w:hint="default"/>
        <w:lang w:val="en-US" w:eastAsia="en-US" w:bidi="ar-SA"/>
      </w:rPr>
    </w:lvl>
    <w:lvl w:ilvl="4">
      <w:start w:val="0"/>
      <w:numFmt w:val="bullet"/>
      <w:lvlText w:val="•"/>
      <w:lvlJc w:val="left"/>
      <w:pPr>
        <w:ind w:left="4656" w:hanging="429"/>
      </w:pPr>
      <w:rPr>
        <w:rFonts w:hint="default"/>
        <w:lang w:val="en-US" w:eastAsia="en-US" w:bidi="ar-SA"/>
      </w:rPr>
    </w:lvl>
    <w:lvl w:ilvl="5">
      <w:start w:val="0"/>
      <w:numFmt w:val="bullet"/>
      <w:lvlText w:val="•"/>
      <w:lvlJc w:val="left"/>
      <w:pPr>
        <w:ind w:left="5620" w:hanging="429"/>
      </w:pPr>
      <w:rPr>
        <w:rFonts w:hint="default"/>
        <w:lang w:val="en-US" w:eastAsia="en-US" w:bidi="ar-SA"/>
      </w:rPr>
    </w:lvl>
    <w:lvl w:ilvl="6">
      <w:start w:val="0"/>
      <w:numFmt w:val="bullet"/>
      <w:lvlText w:val="•"/>
      <w:lvlJc w:val="left"/>
      <w:pPr>
        <w:ind w:left="6584" w:hanging="429"/>
      </w:pPr>
      <w:rPr>
        <w:rFonts w:hint="default"/>
        <w:lang w:val="en-US" w:eastAsia="en-US" w:bidi="ar-SA"/>
      </w:rPr>
    </w:lvl>
    <w:lvl w:ilvl="7">
      <w:start w:val="0"/>
      <w:numFmt w:val="bullet"/>
      <w:lvlText w:val="•"/>
      <w:lvlJc w:val="left"/>
      <w:pPr>
        <w:ind w:left="7548" w:hanging="429"/>
      </w:pPr>
      <w:rPr>
        <w:rFonts w:hint="default"/>
        <w:lang w:val="en-US" w:eastAsia="en-US" w:bidi="ar-SA"/>
      </w:rPr>
    </w:lvl>
    <w:lvl w:ilvl="8">
      <w:start w:val="0"/>
      <w:numFmt w:val="bullet"/>
      <w:lvlText w:val="•"/>
      <w:lvlJc w:val="left"/>
      <w:pPr>
        <w:ind w:left="8512" w:hanging="429"/>
      </w:pPr>
      <w:rPr>
        <w:rFonts w:hint="default"/>
        <w:lang w:val="en-US" w:eastAsia="en-US" w:bidi="ar-SA"/>
      </w:rPr>
    </w:lvl>
  </w:abstractNum>
  <w:abstractNum w:abstractNumId="12">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3"/>
      <w:numFmt w:val="decimalZero"/>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11">
    <w:multiLevelType w:val="hybridMultilevel"/>
    <w:lvl w:ilvl="0">
      <w:start w:val="1"/>
      <w:numFmt w:val="decimal"/>
      <w:lvlText w:val="(%1)"/>
      <w:lvlJc w:val="left"/>
      <w:pPr>
        <w:ind w:left="122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429"/>
      </w:pPr>
      <w:rPr>
        <w:rFonts w:hint="default"/>
        <w:lang w:val="en-US" w:eastAsia="en-US" w:bidi="ar-SA"/>
      </w:rPr>
    </w:lvl>
    <w:lvl w:ilvl="2">
      <w:start w:val="0"/>
      <w:numFmt w:val="bullet"/>
      <w:lvlText w:val="•"/>
      <w:lvlJc w:val="left"/>
      <w:pPr>
        <w:ind w:left="3064" w:hanging="429"/>
      </w:pPr>
      <w:rPr>
        <w:rFonts w:hint="default"/>
        <w:lang w:val="en-US" w:eastAsia="en-US" w:bidi="ar-SA"/>
      </w:rPr>
    </w:lvl>
    <w:lvl w:ilvl="3">
      <w:start w:val="0"/>
      <w:numFmt w:val="bullet"/>
      <w:lvlText w:val="•"/>
      <w:lvlJc w:val="left"/>
      <w:pPr>
        <w:ind w:left="3986" w:hanging="429"/>
      </w:pPr>
      <w:rPr>
        <w:rFonts w:hint="default"/>
        <w:lang w:val="en-US" w:eastAsia="en-US" w:bidi="ar-SA"/>
      </w:rPr>
    </w:lvl>
    <w:lvl w:ilvl="4">
      <w:start w:val="0"/>
      <w:numFmt w:val="bullet"/>
      <w:lvlText w:val="•"/>
      <w:lvlJc w:val="left"/>
      <w:pPr>
        <w:ind w:left="4908" w:hanging="429"/>
      </w:pPr>
      <w:rPr>
        <w:rFonts w:hint="default"/>
        <w:lang w:val="en-US" w:eastAsia="en-US" w:bidi="ar-SA"/>
      </w:rPr>
    </w:lvl>
    <w:lvl w:ilvl="5">
      <w:start w:val="0"/>
      <w:numFmt w:val="bullet"/>
      <w:lvlText w:val="•"/>
      <w:lvlJc w:val="left"/>
      <w:pPr>
        <w:ind w:left="5830" w:hanging="429"/>
      </w:pPr>
      <w:rPr>
        <w:rFonts w:hint="default"/>
        <w:lang w:val="en-US" w:eastAsia="en-US" w:bidi="ar-SA"/>
      </w:rPr>
    </w:lvl>
    <w:lvl w:ilvl="6">
      <w:start w:val="0"/>
      <w:numFmt w:val="bullet"/>
      <w:lvlText w:val="•"/>
      <w:lvlJc w:val="left"/>
      <w:pPr>
        <w:ind w:left="6752" w:hanging="429"/>
      </w:pPr>
      <w:rPr>
        <w:rFonts w:hint="default"/>
        <w:lang w:val="en-US" w:eastAsia="en-US" w:bidi="ar-SA"/>
      </w:rPr>
    </w:lvl>
    <w:lvl w:ilvl="7">
      <w:start w:val="0"/>
      <w:numFmt w:val="bullet"/>
      <w:lvlText w:val="•"/>
      <w:lvlJc w:val="left"/>
      <w:pPr>
        <w:ind w:left="7674" w:hanging="429"/>
      </w:pPr>
      <w:rPr>
        <w:rFonts w:hint="default"/>
        <w:lang w:val="en-US" w:eastAsia="en-US" w:bidi="ar-SA"/>
      </w:rPr>
    </w:lvl>
    <w:lvl w:ilvl="8">
      <w:start w:val="0"/>
      <w:numFmt w:val="bullet"/>
      <w:lvlText w:val="•"/>
      <w:lvlJc w:val="left"/>
      <w:pPr>
        <w:ind w:left="8596" w:hanging="429"/>
      </w:pPr>
      <w:rPr>
        <w:rFonts w:hint="default"/>
        <w:lang w:val="en-US" w:eastAsia="en-US" w:bidi="ar-SA"/>
      </w:rPr>
    </w:lvl>
  </w:abstractNum>
  <w:abstractNum w:abstractNumId="10">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12"/>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9">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98"/>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8">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94"/>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7">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6">
    <w:multiLevelType w:val="hybridMultilevel"/>
    <w:lvl w:ilvl="0">
      <w:start w:val="7"/>
      <w:numFmt w:val="decimal"/>
      <w:lvlText w:val="%1"/>
      <w:lvlJc w:val="left"/>
      <w:pPr>
        <w:ind w:left="1440" w:hanging="1080"/>
        <w:jc w:val="left"/>
      </w:pPr>
      <w:rPr>
        <w:rFonts w:hint="default"/>
        <w:lang w:val="en-US" w:eastAsia="en-US" w:bidi="ar-SA"/>
      </w:rPr>
    </w:lvl>
    <w:lvl w:ilvl="1">
      <w:start w:val="1"/>
      <w:numFmt w:val="decimal"/>
      <w:lvlText w:val="%1-%2"/>
      <w:lvlJc w:val="left"/>
      <w:pPr>
        <w:ind w:left="1440" w:hanging="1080"/>
        <w:jc w:val="left"/>
      </w:pPr>
      <w:rPr>
        <w:rFonts w:hint="default"/>
        <w:lang w:val="en-US" w:eastAsia="en-US" w:bidi="ar-SA"/>
      </w:rPr>
    </w:lvl>
    <w:lvl w:ilvl="2">
      <w:start w:val="98"/>
      <w:numFmt w:val="decimal"/>
      <w:lvlText w:val="%1-%2-%3"/>
      <w:lvlJc w:val="left"/>
      <w:pPr>
        <w:ind w:left="1440"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abstractNum w:abstractNumId="5">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1871" w:hanging="429"/>
      </w:pPr>
      <w:rPr>
        <w:rFonts w:hint="default"/>
        <w:lang w:val="en-US" w:eastAsia="en-US" w:bidi="ar-SA"/>
      </w:rPr>
    </w:lvl>
    <w:lvl w:ilvl="3">
      <w:start w:val="0"/>
      <w:numFmt w:val="bullet"/>
      <w:lvlText w:val="•"/>
      <w:lvlJc w:val="left"/>
      <w:pPr>
        <w:ind w:left="2942" w:hanging="429"/>
      </w:pPr>
      <w:rPr>
        <w:rFonts w:hint="default"/>
        <w:lang w:val="en-US" w:eastAsia="en-US" w:bidi="ar-SA"/>
      </w:rPr>
    </w:lvl>
    <w:lvl w:ilvl="4">
      <w:start w:val="0"/>
      <w:numFmt w:val="bullet"/>
      <w:lvlText w:val="•"/>
      <w:lvlJc w:val="left"/>
      <w:pPr>
        <w:ind w:left="4013" w:hanging="429"/>
      </w:pPr>
      <w:rPr>
        <w:rFonts w:hint="default"/>
        <w:lang w:val="en-US" w:eastAsia="en-US" w:bidi="ar-SA"/>
      </w:rPr>
    </w:lvl>
    <w:lvl w:ilvl="5">
      <w:start w:val="0"/>
      <w:numFmt w:val="bullet"/>
      <w:lvlText w:val="•"/>
      <w:lvlJc w:val="left"/>
      <w:pPr>
        <w:ind w:left="5084" w:hanging="429"/>
      </w:pPr>
      <w:rPr>
        <w:rFonts w:hint="default"/>
        <w:lang w:val="en-US" w:eastAsia="en-US" w:bidi="ar-SA"/>
      </w:rPr>
    </w:lvl>
    <w:lvl w:ilvl="6">
      <w:start w:val="0"/>
      <w:numFmt w:val="bullet"/>
      <w:lvlText w:val="•"/>
      <w:lvlJc w:val="left"/>
      <w:pPr>
        <w:ind w:left="6155" w:hanging="429"/>
      </w:pPr>
      <w:rPr>
        <w:rFonts w:hint="default"/>
        <w:lang w:val="en-US" w:eastAsia="en-US" w:bidi="ar-SA"/>
      </w:rPr>
    </w:lvl>
    <w:lvl w:ilvl="7">
      <w:start w:val="0"/>
      <w:numFmt w:val="bullet"/>
      <w:lvlText w:val="•"/>
      <w:lvlJc w:val="left"/>
      <w:pPr>
        <w:ind w:left="7226" w:hanging="429"/>
      </w:pPr>
      <w:rPr>
        <w:rFonts w:hint="default"/>
        <w:lang w:val="en-US" w:eastAsia="en-US" w:bidi="ar-SA"/>
      </w:rPr>
    </w:lvl>
    <w:lvl w:ilvl="8">
      <w:start w:val="0"/>
      <w:numFmt w:val="bullet"/>
      <w:lvlText w:val="•"/>
      <w:lvlJc w:val="left"/>
      <w:pPr>
        <w:ind w:left="8297" w:hanging="429"/>
      </w:pPr>
      <w:rPr>
        <w:rFonts w:hint="default"/>
        <w:lang w:val="en-US" w:eastAsia="en-US" w:bidi="ar-SA"/>
      </w:rPr>
    </w:lvl>
  </w:abstractNum>
  <w:abstractNum w:abstractNumId="4">
    <w:multiLevelType w:val="hybridMultilevel"/>
    <w:lvl w:ilvl="0">
      <w:start w:val="1"/>
      <w:numFmt w:val="lowerLetter"/>
      <w:lvlText w:val="(%1)"/>
      <w:lvlJc w:val="left"/>
      <w:pPr>
        <w:ind w:left="1224" w:hanging="576"/>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142" w:hanging="576"/>
      </w:pPr>
      <w:rPr>
        <w:rFonts w:hint="default"/>
        <w:lang w:val="en-US" w:eastAsia="en-US" w:bidi="ar-SA"/>
      </w:rPr>
    </w:lvl>
    <w:lvl w:ilvl="2">
      <w:start w:val="0"/>
      <w:numFmt w:val="bullet"/>
      <w:lvlText w:val="•"/>
      <w:lvlJc w:val="left"/>
      <w:pPr>
        <w:ind w:left="3064" w:hanging="576"/>
      </w:pPr>
      <w:rPr>
        <w:rFonts w:hint="default"/>
        <w:lang w:val="en-US" w:eastAsia="en-US" w:bidi="ar-SA"/>
      </w:rPr>
    </w:lvl>
    <w:lvl w:ilvl="3">
      <w:start w:val="0"/>
      <w:numFmt w:val="bullet"/>
      <w:lvlText w:val="•"/>
      <w:lvlJc w:val="left"/>
      <w:pPr>
        <w:ind w:left="3986" w:hanging="576"/>
      </w:pPr>
      <w:rPr>
        <w:rFonts w:hint="default"/>
        <w:lang w:val="en-US" w:eastAsia="en-US" w:bidi="ar-SA"/>
      </w:rPr>
    </w:lvl>
    <w:lvl w:ilvl="4">
      <w:start w:val="0"/>
      <w:numFmt w:val="bullet"/>
      <w:lvlText w:val="•"/>
      <w:lvlJc w:val="left"/>
      <w:pPr>
        <w:ind w:left="4908" w:hanging="576"/>
      </w:pPr>
      <w:rPr>
        <w:rFonts w:hint="default"/>
        <w:lang w:val="en-US" w:eastAsia="en-US" w:bidi="ar-SA"/>
      </w:rPr>
    </w:lvl>
    <w:lvl w:ilvl="5">
      <w:start w:val="0"/>
      <w:numFmt w:val="bullet"/>
      <w:lvlText w:val="•"/>
      <w:lvlJc w:val="left"/>
      <w:pPr>
        <w:ind w:left="5830" w:hanging="576"/>
      </w:pPr>
      <w:rPr>
        <w:rFonts w:hint="default"/>
        <w:lang w:val="en-US" w:eastAsia="en-US" w:bidi="ar-SA"/>
      </w:rPr>
    </w:lvl>
    <w:lvl w:ilvl="6">
      <w:start w:val="0"/>
      <w:numFmt w:val="bullet"/>
      <w:lvlText w:val="•"/>
      <w:lvlJc w:val="left"/>
      <w:pPr>
        <w:ind w:left="6752" w:hanging="576"/>
      </w:pPr>
      <w:rPr>
        <w:rFonts w:hint="default"/>
        <w:lang w:val="en-US" w:eastAsia="en-US" w:bidi="ar-SA"/>
      </w:rPr>
    </w:lvl>
    <w:lvl w:ilvl="7">
      <w:start w:val="0"/>
      <w:numFmt w:val="bullet"/>
      <w:lvlText w:val="•"/>
      <w:lvlJc w:val="left"/>
      <w:pPr>
        <w:ind w:left="7674" w:hanging="576"/>
      </w:pPr>
      <w:rPr>
        <w:rFonts w:hint="default"/>
        <w:lang w:val="en-US" w:eastAsia="en-US" w:bidi="ar-SA"/>
      </w:rPr>
    </w:lvl>
    <w:lvl w:ilvl="8">
      <w:start w:val="0"/>
      <w:numFmt w:val="bullet"/>
      <w:lvlText w:val="•"/>
      <w:lvlJc w:val="left"/>
      <w:pPr>
        <w:ind w:left="8596" w:hanging="576"/>
      </w:pPr>
      <w:rPr>
        <w:rFonts w:hint="default"/>
        <w:lang w:val="en-US" w:eastAsia="en-US" w:bidi="ar-SA"/>
      </w:rPr>
    </w:lvl>
  </w:abstractNum>
  <w:abstractNum w:abstractNumId="3">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2">
    <w:multiLevelType w:val="hybridMultilevel"/>
    <w:lvl w:ilvl="0">
      <w:start w:val="1"/>
      <w:numFmt w:val="decimal"/>
      <w:lvlText w:val="(%1)"/>
      <w:lvlJc w:val="left"/>
      <w:pPr>
        <w:ind w:left="792"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64" w:hanging="429"/>
      </w:pPr>
      <w:rPr>
        <w:rFonts w:hint="default"/>
        <w:lang w:val="en-US" w:eastAsia="en-US" w:bidi="ar-SA"/>
      </w:rPr>
    </w:lvl>
    <w:lvl w:ilvl="2">
      <w:start w:val="0"/>
      <w:numFmt w:val="bullet"/>
      <w:lvlText w:val="•"/>
      <w:lvlJc w:val="left"/>
      <w:pPr>
        <w:ind w:left="2728" w:hanging="429"/>
      </w:pPr>
      <w:rPr>
        <w:rFonts w:hint="default"/>
        <w:lang w:val="en-US" w:eastAsia="en-US" w:bidi="ar-SA"/>
      </w:rPr>
    </w:lvl>
    <w:lvl w:ilvl="3">
      <w:start w:val="0"/>
      <w:numFmt w:val="bullet"/>
      <w:lvlText w:val="•"/>
      <w:lvlJc w:val="left"/>
      <w:pPr>
        <w:ind w:left="3692" w:hanging="429"/>
      </w:pPr>
      <w:rPr>
        <w:rFonts w:hint="default"/>
        <w:lang w:val="en-US" w:eastAsia="en-US" w:bidi="ar-SA"/>
      </w:rPr>
    </w:lvl>
    <w:lvl w:ilvl="4">
      <w:start w:val="0"/>
      <w:numFmt w:val="bullet"/>
      <w:lvlText w:val="•"/>
      <w:lvlJc w:val="left"/>
      <w:pPr>
        <w:ind w:left="4656" w:hanging="429"/>
      </w:pPr>
      <w:rPr>
        <w:rFonts w:hint="default"/>
        <w:lang w:val="en-US" w:eastAsia="en-US" w:bidi="ar-SA"/>
      </w:rPr>
    </w:lvl>
    <w:lvl w:ilvl="5">
      <w:start w:val="0"/>
      <w:numFmt w:val="bullet"/>
      <w:lvlText w:val="•"/>
      <w:lvlJc w:val="left"/>
      <w:pPr>
        <w:ind w:left="5620" w:hanging="429"/>
      </w:pPr>
      <w:rPr>
        <w:rFonts w:hint="default"/>
        <w:lang w:val="en-US" w:eastAsia="en-US" w:bidi="ar-SA"/>
      </w:rPr>
    </w:lvl>
    <w:lvl w:ilvl="6">
      <w:start w:val="0"/>
      <w:numFmt w:val="bullet"/>
      <w:lvlText w:val="•"/>
      <w:lvlJc w:val="left"/>
      <w:pPr>
        <w:ind w:left="6584" w:hanging="429"/>
      </w:pPr>
      <w:rPr>
        <w:rFonts w:hint="default"/>
        <w:lang w:val="en-US" w:eastAsia="en-US" w:bidi="ar-SA"/>
      </w:rPr>
    </w:lvl>
    <w:lvl w:ilvl="7">
      <w:start w:val="0"/>
      <w:numFmt w:val="bullet"/>
      <w:lvlText w:val="•"/>
      <w:lvlJc w:val="left"/>
      <w:pPr>
        <w:ind w:left="7548" w:hanging="429"/>
      </w:pPr>
      <w:rPr>
        <w:rFonts w:hint="default"/>
        <w:lang w:val="en-US" w:eastAsia="en-US" w:bidi="ar-SA"/>
      </w:rPr>
    </w:lvl>
    <w:lvl w:ilvl="8">
      <w:start w:val="0"/>
      <w:numFmt w:val="bullet"/>
      <w:lvlText w:val="•"/>
      <w:lvlJc w:val="left"/>
      <w:pPr>
        <w:ind w:left="8512" w:hanging="429"/>
      </w:pPr>
      <w:rPr>
        <w:rFonts w:hint="default"/>
        <w:lang w:val="en-US" w:eastAsia="en-US" w:bidi="ar-SA"/>
      </w:rPr>
    </w:lvl>
  </w:abstractNum>
  <w:abstractNum w:abstractNumId="1">
    <w:multiLevelType w:val="hybridMultilevel"/>
    <w:lvl w:ilvl="0">
      <w:start w:val="1"/>
      <w:numFmt w:val="lowerLetter"/>
      <w:lvlText w:val="(%1)"/>
      <w:lvlJc w:val="left"/>
      <w:pPr>
        <w:ind w:left="360" w:hanging="429"/>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368" w:hanging="429"/>
      </w:pPr>
      <w:rPr>
        <w:rFonts w:hint="default"/>
        <w:lang w:val="en-US" w:eastAsia="en-US" w:bidi="ar-SA"/>
      </w:rPr>
    </w:lvl>
    <w:lvl w:ilvl="2">
      <w:start w:val="0"/>
      <w:numFmt w:val="bullet"/>
      <w:lvlText w:val="•"/>
      <w:lvlJc w:val="left"/>
      <w:pPr>
        <w:ind w:left="2376" w:hanging="429"/>
      </w:pPr>
      <w:rPr>
        <w:rFonts w:hint="default"/>
        <w:lang w:val="en-US" w:eastAsia="en-US" w:bidi="ar-SA"/>
      </w:rPr>
    </w:lvl>
    <w:lvl w:ilvl="3">
      <w:start w:val="0"/>
      <w:numFmt w:val="bullet"/>
      <w:lvlText w:val="•"/>
      <w:lvlJc w:val="left"/>
      <w:pPr>
        <w:ind w:left="3384" w:hanging="429"/>
      </w:pPr>
      <w:rPr>
        <w:rFonts w:hint="default"/>
        <w:lang w:val="en-US" w:eastAsia="en-US" w:bidi="ar-SA"/>
      </w:rPr>
    </w:lvl>
    <w:lvl w:ilvl="4">
      <w:start w:val="0"/>
      <w:numFmt w:val="bullet"/>
      <w:lvlText w:val="•"/>
      <w:lvlJc w:val="left"/>
      <w:pPr>
        <w:ind w:left="4392" w:hanging="429"/>
      </w:pPr>
      <w:rPr>
        <w:rFonts w:hint="default"/>
        <w:lang w:val="en-US" w:eastAsia="en-US" w:bidi="ar-SA"/>
      </w:rPr>
    </w:lvl>
    <w:lvl w:ilvl="5">
      <w:start w:val="0"/>
      <w:numFmt w:val="bullet"/>
      <w:lvlText w:val="•"/>
      <w:lvlJc w:val="left"/>
      <w:pPr>
        <w:ind w:left="5400" w:hanging="429"/>
      </w:pPr>
      <w:rPr>
        <w:rFonts w:hint="default"/>
        <w:lang w:val="en-US" w:eastAsia="en-US" w:bidi="ar-SA"/>
      </w:rPr>
    </w:lvl>
    <w:lvl w:ilvl="6">
      <w:start w:val="0"/>
      <w:numFmt w:val="bullet"/>
      <w:lvlText w:val="•"/>
      <w:lvlJc w:val="left"/>
      <w:pPr>
        <w:ind w:left="6408" w:hanging="429"/>
      </w:pPr>
      <w:rPr>
        <w:rFonts w:hint="default"/>
        <w:lang w:val="en-US" w:eastAsia="en-US" w:bidi="ar-SA"/>
      </w:rPr>
    </w:lvl>
    <w:lvl w:ilvl="7">
      <w:start w:val="0"/>
      <w:numFmt w:val="bullet"/>
      <w:lvlText w:val="•"/>
      <w:lvlJc w:val="left"/>
      <w:pPr>
        <w:ind w:left="7416" w:hanging="429"/>
      </w:pPr>
      <w:rPr>
        <w:rFonts w:hint="default"/>
        <w:lang w:val="en-US" w:eastAsia="en-US" w:bidi="ar-SA"/>
      </w:rPr>
    </w:lvl>
    <w:lvl w:ilvl="8">
      <w:start w:val="0"/>
      <w:numFmt w:val="bullet"/>
      <w:lvlText w:val="•"/>
      <w:lvlJc w:val="left"/>
      <w:pPr>
        <w:ind w:left="8424" w:hanging="429"/>
      </w:pPr>
      <w:rPr>
        <w:rFonts w:hint="default"/>
        <w:lang w:val="en-US" w:eastAsia="en-US" w:bidi="ar-SA"/>
      </w:rPr>
    </w:lvl>
  </w:abstractNum>
  <w:abstractNum w:abstractNumId="0">
    <w:multiLevelType w:val="hybridMultilevel"/>
    <w:lvl w:ilvl="0">
      <w:start w:val="7"/>
      <w:numFmt w:val="decimal"/>
      <w:lvlText w:val="%1"/>
      <w:lvlJc w:val="left"/>
      <w:pPr>
        <w:ind w:left="1439" w:hanging="1080"/>
        <w:jc w:val="left"/>
      </w:pPr>
      <w:rPr>
        <w:rFonts w:hint="default"/>
        <w:lang w:val="en-US" w:eastAsia="en-US" w:bidi="ar-SA"/>
      </w:rPr>
    </w:lvl>
    <w:lvl w:ilvl="1">
      <w:start w:val="1"/>
      <w:numFmt w:val="decimal"/>
      <w:lvlText w:val="%1-%2"/>
      <w:lvlJc w:val="left"/>
      <w:pPr>
        <w:ind w:left="1439" w:hanging="1080"/>
        <w:jc w:val="left"/>
      </w:pPr>
      <w:rPr>
        <w:rFonts w:hint="default"/>
        <w:lang w:val="en-US" w:eastAsia="en-US" w:bidi="ar-SA"/>
      </w:rPr>
    </w:lvl>
    <w:lvl w:ilvl="2">
      <w:start w:val="1"/>
      <w:numFmt w:val="decimalZero"/>
      <w:lvlText w:val="%1-%2-%3"/>
      <w:lvlJc w:val="left"/>
      <w:pPr>
        <w:ind w:left="1439" w:hanging="1080"/>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4140" w:hanging="1080"/>
      </w:pPr>
      <w:rPr>
        <w:rFonts w:hint="default"/>
        <w:lang w:val="en-US" w:eastAsia="en-US" w:bidi="ar-SA"/>
      </w:rPr>
    </w:lvl>
    <w:lvl w:ilvl="4">
      <w:start w:val="0"/>
      <w:numFmt w:val="bullet"/>
      <w:lvlText w:val="•"/>
      <w:lvlJc w:val="left"/>
      <w:pPr>
        <w:ind w:left="5040" w:hanging="1080"/>
      </w:pPr>
      <w:rPr>
        <w:rFonts w:hint="default"/>
        <w:lang w:val="en-US" w:eastAsia="en-US" w:bidi="ar-SA"/>
      </w:rPr>
    </w:lvl>
    <w:lvl w:ilvl="5">
      <w:start w:val="0"/>
      <w:numFmt w:val="bullet"/>
      <w:lvlText w:val="•"/>
      <w:lvlJc w:val="left"/>
      <w:pPr>
        <w:ind w:left="5940" w:hanging="1080"/>
      </w:pPr>
      <w:rPr>
        <w:rFonts w:hint="default"/>
        <w:lang w:val="en-US" w:eastAsia="en-US" w:bidi="ar-SA"/>
      </w:rPr>
    </w:lvl>
    <w:lvl w:ilvl="6">
      <w:start w:val="0"/>
      <w:numFmt w:val="bullet"/>
      <w:lvlText w:val="•"/>
      <w:lvlJc w:val="left"/>
      <w:pPr>
        <w:ind w:left="6840" w:hanging="1080"/>
      </w:pPr>
      <w:rPr>
        <w:rFonts w:hint="default"/>
        <w:lang w:val="en-US" w:eastAsia="en-US" w:bidi="ar-SA"/>
      </w:rPr>
    </w:lvl>
    <w:lvl w:ilvl="7">
      <w:start w:val="0"/>
      <w:numFmt w:val="bullet"/>
      <w:lvlText w:val="•"/>
      <w:lvlJc w:val="left"/>
      <w:pPr>
        <w:ind w:left="7740" w:hanging="1080"/>
      </w:pPr>
      <w:rPr>
        <w:rFonts w:hint="default"/>
        <w:lang w:val="en-US" w:eastAsia="en-US" w:bidi="ar-SA"/>
      </w:rPr>
    </w:lvl>
    <w:lvl w:ilvl="8">
      <w:start w:val="0"/>
      <w:numFmt w:val="bullet"/>
      <w:lvlText w:val="•"/>
      <w:lvlJc w:val="left"/>
      <w:pPr>
        <w:ind w:left="8640" w:hanging="1080"/>
      </w:pPr>
      <w:rPr>
        <w:rFonts w:hint="default"/>
        <w:lang w:val="en-US" w:eastAsia="en-US" w:bidi="ar-SA"/>
      </w:rPr>
    </w:lvl>
  </w:abstractNum>
  <w:num w:numId="411">
    <w:abstractNumId w:val="410"/>
  </w:num>
  <w:num w:numId="410">
    <w:abstractNumId w:val="409"/>
  </w:num>
  <w:num w:numId="409">
    <w:abstractNumId w:val="408"/>
  </w:num>
  <w:num w:numId="408">
    <w:abstractNumId w:val="407"/>
  </w:num>
  <w:num w:numId="407">
    <w:abstractNumId w:val="406"/>
  </w:num>
  <w:num w:numId="406">
    <w:abstractNumId w:val="405"/>
  </w:num>
  <w:num w:numId="405">
    <w:abstractNumId w:val="404"/>
  </w:num>
  <w:num w:numId="404">
    <w:abstractNumId w:val="403"/>
  </w:num>
  <w:num w:numId="403">
    <w:abstractNumId w:val="402"/>
  </w:num>
  <w:num w:numId="402">
    <w:abstractNumId w:val="401"/>
  </w:num>
  <w:num w:numId="401">
    <w:abstractNumId w:val="400"/>
  </w:num>
  <w:num w:numId="400">
    <w:abstractNumId w:val="399"/>
  </w:num>
  <w:num w:numId="399">
    <w:abstractNumId w:val="398"/>
  </w:num>
  <w:num w:numId="398">
    <w:abstractNumId w:val="397"/>
  </w:num>
  <w:num w:numId="397">
    <w:abstractNumId w:val="396"/>
  </w:num>
  <w:num w:numId="396">
    <w:abstractNumId w:val="395"/>
  </w: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240"/>
      <w:ind w:left="360"/>
    </w:pPr>
    <w:rPr>
      <w:rFonts w:ascii="Arial" w:hAnsi="Arial" w:eastAsia="Arial" w:cs="Arial"/>
      <w:sz w:val="24"/>
      <w:szCs w:val="24"/>
      <w:lang w:val="en-US" w:eastAsia="en-US" w:bidi="ar-SA"/>
    </w:rPr>
  </w:style>
  <w:style w:styleId="Heading1" w:type="paragraph">
    <w:name w:val="Heading 1"/>
    <w:basedOn w:val="Normal"/>
    <w:uiPriority w:val="1"/>
    <w:qFormat/>
    <w:pPr>
      <w:spacing w:before="67"/>
      <w:ind w:left="420" w:right="779"/>
      <w:jc w:val="center"/>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67"/>
      <w:ind w:left="360"/>
      <w:outlineLvl w:val="2"/>
    </w:pPr>
    <w:rPr>
      <w:rFonts w:ascii="Arial" w:hAnsi="Arial" w:eastAsia="Arial" w:cs="Arial"/>
      <w:b/>
      <w:bCs/>
      <w:sz w:val="24"/>
      <w:szCs w:val="24"/>
      <w:lang w:val="en-US" w:eastAsia="en-US" w:bidi="ar-SA"/>
    </w:rPr>
  </w:style>
  <w:style w:styleId="Title" w:type="paragraph">
    <w:name w:val="Title"/>
    <w:basedOn w:val="Normal"/>
    <w:uiPriority w:val="1"/>
    <w:qFormat/>
    <w:pPr>
      <w:spacing w:before="336"/>
      <w:ind w:left="3980" w:right="775" w:hanging="3202"/>
    </w:pPr>
    <w:rPr>
      <w:rFonts w:ascii="Arial" w:hAnsi="Arial" w:eastAsia="Arial" w:cs="Arial"/>
      <w:b/>
      <w:bCs/>
      <w:sz w:val="72"/>
      <w:szCs w:val="72"/>
      <w:lang w:val="en-US" w:eastAsia="en-US" w:bidi="ar-SA"/>
    </w:rPr>
  </w:style>
  <w:style w:styleId="ListParagraph" w:type="paragraph">
    <w:name w:val="List Paragraph"/>
    <w:basedOn w:val="Normal"/>
    <w:uiPriority w:val="1"/>
    <w:qFormat/>
    <w:pPr>
      <w:spacing w:before="240"/>
      <w:ind w:left="360"/>
    </w:pPr>
    <w:rPr>
      <w:rFonts w:ascii="Arial" w:hAnsi="Arial" w:eastAsia="Arial" w:cs="Arial"/>
      <w:lang w:val="en-US" w:eastAsia="en-US" w:bidi="ar-SA"/>
    </w:rPr>
  </w:style>
  <w:style w:styleId="TableParagraph" w:type="paragraph">
    <w:name w:val="Table Paragraph"/>
    <w:basedOn w:val="Normal"/>
    <w:uiPriority w:val="1"/>
    <w:qFormat/>
    <w:pPr>
      <w:spacing w:before="98"/>
      <w:ind w:left="5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perkinscoie.com/images/content/3/3/v2/33084/06-05-2014-neli-stepsindeterming-reasonable-accommodation-undert.pdf" TargetMode="External"/><Relationship Id="rId6" Type="http://schemas.openxmlformats.org/officeDocument/2006/relationships/hyperlink" Target="http://compass/librarycatalogs/formsguide/Forms%20Guide/Forms/DRSA601.aspx" TargetMode="External"/><Relationship Id="rId7" Type="http://schemas.openxmlformats.org/officeDocument/2006/relationships/hyperlink" Target="mailto:aaldridge2@uco.edu" TargetMode="External"/><Relationship Id="rId8" Type="http://schemas.openxmlformats.org/officeDocument/2006/relationships/hyperlink" Target="mailto:okc.earlysettlement@okstate.edu" TargetMode="External"/><Relationship Id="rId9" Type="http://schemas.openxmlformats.org/officeDocument/2006/relationships/hyperlink" Target="https://oklaw.org/organization/early-settlement-mediation-oklahoma-county-program" TargetMode="External"/><Relationship Id="rId10" Type="http://schemas.openxmlformats.org/officeDocument/2006/relationships/hyperlink" Target="mailto:jay.irby@oscn.net" TargetMode="External"/><Relationship Id="rId11" Type="http://schemas.openxmlformats.org/officeDocument/2006/relationships/hyperlink" Target="https://adrs.oscn.net/programs/north-program/" TargetMode="External"/><Relationship Id="rId12" Type="http://schemas.openxmlformats.org/officeDocument/2006/relationships/hyperlink" Target="mailto:mcox@rsu.edu" TargetMode="External"/><Relationship Id="rId13" Type="http://schemas.openxmlformats.org/officeDocument/2006/relationships/hyperlink" Target="https://adrs.oscn.net/programs/northeast-program/" TargetMode="External"/><Relationship Id="rId14" Type="http://schemas.openxmlformats.org/officeDocument/2006/relationships/hyperlink" Target="mailto:NWMediator@nwosu.edu" TargetMode="External"/><Relationship Id="rId15" Type="http://schemas.openxmlformats.org/officeDocument/2006/relationships/hyperlink" Target="https://adrs.oscn.net/programs/northwest-program/" TargetMode="External"/><Relationship Id="rId16" Type="http://schemas.openxmlformats.org/officeDocument/2006/relationships/hyperlink" Target="mailto:larmstrong@tulsacounty.org" TargetMode="External"/><Relationship Id="rId17" Type="http://schemas.openxmlformats.org/officeDocument/2006/relationships/hyperlink" Target="https://www2.tulsacounty.org/services/early-settlement-center-for-mediation/" TargetMode="External"/><Relationship Id="rId18" Type="http://schemas.openxmlformats.org/officeDocument/2006/relationships/hyperlink" Target="mailto:shead@cameron.edu" TargetMode="External"/><Relationship Id="rId19" Type="http://schemas.openxmlformats.org/officeDocument/2006/relationships/hyperlink" Target="https://adrs.oscn.net/programs/southwest-program/" TargetMode="External"/><Relationship Id="rId20" Type="http://schemas.openxmlformats.org/officeDocument/2006/relationships/hyperlink" Target="mailto:essoutheast@oscn.net" TargetMode="External"/><Relationship Id="rId21" Type="http://schemas.openxmlformats.org/officeDocument/2006/relationships/hyperlink" Target="https://adrs.oscn.net/programs/southeast-program/" TargetMode="External"/><Relationship Id="rId22" Type="http://schemas.openxmlformats.org/officeDocument/2006/relationships/hyperlink" Target="mailto:mediationsc@ecok.edu" TargetMode="External"/><Relationship Id="rId23" Type="http://schemas.openxmlformats.org/officeDocument/2006/relationships/hyperlink" Target="https://adrs.oscn.net/programs/south-central-program/" TargetMode="External"/><Relationship Id="rId24" Type="http://schemas.openxmlformats.org/officeDocument/2006/relationships/hyperlink" Target="mailto:Maggie.Griffith@NormanOK.gov" TargetMode="External"/><Relationship Id="rId25" Type="http://schemas.openxmlformats.org/officeDocument/2006/relationships/hyperlink" Target="https://www.normanok.gov/your-government/departments/municipal-court/dispute-mediation-program-early-settlement-norman" TargetMode="External"/><Relationship Id="rId26" Type="http://schemas.openxmlformats.org/officeDocument/2006/relationships/hyperlink" Target="mailto:early.settlement@oscn.net" TargetMode="External"/><Relationship Id="rId27" Type="http://schemas.openxmlformats.org/officeDocument/2006/relationships/hyperlink" Target="https://adrs.oscn.net/programs/central-program/" TargetMode="External"/><Relationship Id="rId28" Type="http://schemas.openxmlformats.org/officeDocument/2006/relationships/hyperlink" Target="mailto:earlysettlement@ecok.edu" TargetMode="External"/><Relationship Id="rId29" Type="http://schemas.openxmlformats.org/officeDocument/2006/relationships/hyperlink" Target="https://adrs.oscn.net/programs/east-central-program/" TargetMode="External"/><Relationship Id="rId30" Type="http://schemas.openxmlformats.org/officeDocument/2006/relationships/hyperlink" Target="mailto:adr-mediation@nsuok.edu" TargetMode="External"/><Relationship Id="rId31" Type="http://schemas.openxmlformats.org/officeDocument/2006/relationships/hyperlink" Target="https://adrs.oscn.net/programs/east-program/" TargetMode="External"/><Relationship Id="rId32" Type="http://schemas.openxmlformats.org/officeDocument/2006/relationships/hyperlink" Target="mailto:eswest@oscn.net" TargetMode="External"/><Relationship Id="rId33" Type="http://schemas.openxmlformats.org/officeDocument/2006/relationships/hyperlink" Target="https://adrs.oscn.net/programs/west-program/" TargetMode="External"/><Relationship Id="rId34" Type="http://schemas.openxmlformats.org/officeDocument/2006/relationships/hyperlink" Target="file://sofile2/Dept_Dirs/State%20Office/PDPS/Policy/Policy%202023/DRSWebsite-iDRSUploads/DRS%20612%20Administrative%20Rules.docx#AR1310" TargetMode="External"/><Relationship Id="rId35" Type="http://schemas.openxmlformats.org/officeDocument/2006/relationships/hyperlink" Target="file://sofile2/Dept_Dirs/State%20Office/PDPS/Policy/Policy%202023/DRSWebsite-iDRSUploads/DRS%20612%20Administrative%20Rules.docx#AR10787" TargetMode="External"/><Relationship Id="rId36" Type="http://schemas.openxmlformats.org/officeDocument/2006/relationships/hyperlink" Target="https://www.ecfr.gov/cgi-bin/text-idx?SID=71e686be2f55ef6878ad7e3411eeb9d8&amp;mc=true&amp;node=se34.2.361_15&amp;rgn=div8" TargetMode="External"/><Relationship Id="rId37" Type="http://schemas.openxmlformats.org/officeDocument/2006/relationships/hyperlink" Target="http://www.ada.gov/regs2010/titleII_2010/titleII_2010_regulations.htm" TargetMode="External"/><Relationship Id="rId38" Type="http://schemas.openxmlformats.org/officeDocument/2006/relationships/hyperlink" Target="http://www.gpo.gov/fdsys/pkg/CFR-2011-title34-vol2/pdf/CFR-2011-title34-vol2-sec361-5.pdf" TargetMode="External"/><Relationship Id="rId39" Type="http://schemas.openxmlformats.org/officeDocument/2006/relationships/hyperlink" Target="http://www.gpo.gov/fdsys/pkg/CFR-2011-title34-vol2/pdf/CFR-2011-title34-vol2-sec361-49.pdf" TargetMode="External"/><Relationship Id="rId40" Type="http://schemas.openxmlformats.org/officeDocument/2006/relationships/hyperlink" Target="https://www.ok.gov/elections/documents/Oklahoma%20Voter%20Registration%20Application%20form%20v4-20%20SEB%20web.pdf" TargetMode="External"/><Relationship Id="rId41" Type="http://schemas.openxmlformats.org/officeDocument/2006/relationships/hyperlink" Target="http://www.gpo.gov/fdsys/pkg/CFR-2011-title34-vol2/pdf/CFR-2011-title34-vol2-sec361-42.pdf" TargetMode="External"/><Relationship Id="rId42" Type="http://schemas.openxmlformats.org/officeDocument/2006/relationships/hyperlink" Target="file://sofile2/Dept_Dirs/State%20Office/PDPS/Policy/policy%20manual/Policy%20Links/612-7-24.1%20Basic%20eligibility%20requirements%20for%20VS%20services/Learning%20Disabilities%20Guidance%20Document.docx" TargetMode="External"/><Relationship Id="rId43" Type="http://schemas.openxmlformats.org/officeDocument/2006/relationships/hyperlink" Target="file://sofile2/Dept_Dirs/State%20Office/PDPS/Policy/policy%20manual/Policy%20Links/612-7-24.1%20Basic%20eligibility%20requirements%20for%20VS%20services/RSA%20TAC-05-01%20Guidelines%20for%20Assessing%20the%20Functional%20Capacities.doc" TargetMode="External"/><Relationship Id="rId44" Type="http://schemas.openxmlformats.org/officeDocument/2006/relationships/hyperlink" Target="https://drs.okdrs.gov/consumer/vrvsresources/bmi_tbl.pdf#search%3Dbody%20mass%20index" TargetMode="External"/><Relationship Id="rId45" Type="http://schemas.openxmlformats.org/officeDocument/2006/relationships/hyperlink" Target="https://www.nhlbi.nih.gov/health/educational/lose_wt/BMI/bmi_tbl2.htm" TargetMode="External"/><Relationship Id="rId46" Type="http://schemas.openxmlformats.org/officeDocument/2006/relationships/hyperlink" Target="https://www.okdrs.gov/ESS/SESC" TargetMode="External"/><Relationship Id="rId47" Type="http://schemas.openxmlformats.org/officeDocument/2006/relationships/hyperlink" Target="http://www.gpo.gov/fdsys/pkg/CFR-2011-title34-vol2/pdf/CFR-2011-title34-vol2-sec361-45.pdf" TargetMode="External"/><Relationship Id="rId48" Type="http://schemas.openxmlformats.org/officeDocument/2006/relationships/hyperlink" Target="http://compass/consumer/vrvsresources/Career%20planning%20center%20services.docx" TargetMode="External"/><Relationship Id="rId49" Type="http://schemas.openxmlformats.org/officeDocument/2006/relationships/hyperlink" Target="https://oklahoma.gov/okdrs/job-seekers/drs-programs/ess.html" TargetMode="External"/><Relationship Id="rId50" Type="http://schemas.openxmlformats.org/officeDocument/2006/relationships/hyperlink" Target="https://www.okdrs.gov/ESS/SEC" TargetMode="External"/><Relationship Id="rId51" Type="http://schemas.openxmlformats.org/officeDocument/2006/relationships/hyperlink" Target="https://www.okdrs.gov/ESS/ERC" TargetMode="External"/><Relationship Id="rId52" Type="http://schemas.openxmlformats.org/officeDocument/2006/relationships/hyperlink" Target="http://www.gpo.gov/fdsys/pkg/CFR-2011-title34-vol2/pdf/CFR-2011-title34-vol2-sec361-56.pdf" TargetMode="External"/><Relationship Id="rId53" Type="http://schemas.openxmlformats.org/officeDocument/2006/relationships/hyperlink" Target="https://drs.okdrs.gov/supportservices/msdpdps/AuditTools/Reference%20Documents%20--%20Rehabilitation%20Act%20and%20Policy/Audit%20Federal%20Citations.docx#AIF52" TargetMode="External"/><Relationship Id="rId54" Type="http://schemas.openxmlformats.org/officeDocument/2006/relationships/hyperlink" Target="https://drs.okdrs.gov/supportservices/msdpdps/AuditTools/Reference%20Documents%20--%20Rehabilitation%20Act%20and%20Policy/Audit%20Federal%20Citations.docx#AIF56a_2" TargetMode="External"/><Relationship Id="rId55" Type="http://schemas.openxmlformats.org/officeDocument/2006/relationships/hyperlink" Target="https://www2.ed.gov/policy/speced/guid/rsa/subregulatory/tac-18-02.pdf" TargetMode="External"/><Relationship Id="rId56" Type="http://schemas.openxmlformats.org/officeDocument/2006/relationships/hyperlink" Target="https://www.onetonline.org/" TargetMode="External"/><Relationship Id="rId57" Type="http://schemas.openxmlformats.org/officeDocument/2006/relationships/hyperlink" Target="http://compass/sp/Pages/OJT%20Contract%20Documents.aspx" TargetMode="External"/><Relationship Id="rId58" Type="http://schemas.openxmlformats.org/officeDocument/2006/relationships/hyperlink" Target="https://drive.google.com/drive/folders/1o0kuweIrhfRMlTp46tcw7EfQCFVz1nIw?usp=sharing" TargetMode="External"/><Relationship Id="rId59" Type="http://schemas.openxmlformats.org/officeDocument/2006/relationships/hyperlink" Target="https://drs.okdrs.gov/sites/training/AWARE/Pages/Education.aspx" TargetMode="External"/><Relationship Id="rId60" Type="http://schemas.openxmlformats.org/officeDocument/2006/relationships/hyperlink" Target="https://transitionta.org/advanced-search/?search=integrated%2Bsetting" TargetMode="External"/><Relationship Id="rId61" Type="http://schemas.openxmlformats.org/officeDocument/2006/relationships/hyperlink" Target="http://www.gpo.gov/fdsys/pkg/USCODE-2010-title29/pdf/USCODE-2010-title29-chap16-other-sec705.pdf" TargetMode="External"/><Relationship Id="rId62" Type="http://schemas.openxmlformats.org/officeDocument/2006/relationships/hyperlink" Target="http://www.gpo.gov/fdsys/pkg/USCODE-2010-title29/pdf/USCODE-2010-title29-chap16-other-sec709.pdf" TargetMode="External"/><Relationship Id="rId63" Type="http://schemas.openxmlformats.org/officeDocument/2006/relationships/hyperlink" Target="http://www.olbph.org/" TargetMode="External"/><Relationship Id="rId64" Type="http://schemas.openxmlformats.org/officeDocument/2006/relationships/hyperlink" Target="https://ssd.umich.edu/resource/109" TargetMode="External"/><Relationship Id="rId65" Type="http://schemas.openxmlformats.org/officeDocument/2006/relationships/hyperlink" Target="http://www.bookshare.org/" TargetMode="External"/><Relationship Id="rId66" Type="http://schemas.openxmlformats.org/officeDocument/2006/relationships/hyperlink" Target="http://www.loc.gov/nls/" TargetMode="External"/><Relationship Id="rId67" Type="http://schemas.openxmlformats.org/officeDocument/2006/relationships/hyperlink" Target="http://www.gpo.gov/fdsys/pkg/CFR-2011-title34-vol2/pdf/CFR-2011-title34-vol2-sec361-46.pdf" TargetMode="External"/><Relationship Id="rId68" Type="http://schemas.openxmlformats.org/officeDocument/2006/relationships/hyperlink" Target="http://www.dps.state.ok.us/rules/" TargetMode="External"/><Relationship Id="rId69" Type="http://schemas.openxmlformats.org/officeDocument/2006/relationships/hyperlink" Target="https://rules.ok.gov/home" TargetMode="External"/><Relationship Id="rId70" Type="http://schemas.openxmlformats.org/officeDocument/2006/relationships/hyperlink" Target="https://drs.okdrs.gov/librarycatalogs/formsguide/Forms%20Guide/Forms/DRSC63.aspx" TargetMode="External"/><Relationship Id="rId71" Type="http://schemas.openxmlformats.org/officeDocument/2006/relationships/hyperlink" Target="mailto:rebecca.coyote@omes.ok.gov" TargetMode="External"/><Relationship Id="rId72" Type="http://schemas.openxmlformats.org/officeDocument/2006/relationships/hyperlink" Target="mailto:melissa.jolly@omes.ok.gov" TargetMode="External"/><Relationship Id="rId73" Type="http://schemas.openxmlformats.org/officeDocument/2006/relationships/hyperlink" Target="http://www.ok.gov/opm/State_Jobs/Optional_Program_for_Hiring_Applicants_with_Disabilities.html" TargetMode="External"/><Relationship Id="rId74" Type="http://schemas.openxmlformats.org/officeDocument/2006/relationships/hyperlink" Target="http://ok.gov/opm/State_Jobs/How_to_Apply/index.html" TargetMode="External"/><Relationship Id="rId75" Type="http://schemas.openxmlformats.org/officeDocument/2006/relationships/hyperlink" Target="http://compass/consumer/vrvsresources/Transition-Guidance%20Document%20Transition%20School%20to%20Work%20612-10-7-244.doc" TargetMode="External"/><Relationship Id="rId76" Type="http://schemas.openxmlformats.org/officeDocument/2006/relationships/hyperlink" Target="http://compass/consumer/vrvsresources/Counselor%20responsibilities%20in%20Transition%20Program.docx" TargetMode="External"/><Relationship Id="rId77" Type="http://schemas.openxmlformats.org/officeDocument/2006/relationships/hyperlink" Target="http://www.dol.gov/whd/flsa/index.htm" TargetMode="External"/><Relationship Id="rId78" Type="http://schemas.openxmlformats.org/officeDocument/2006/relationships/hyperlink" Target="http://idea.ed.gov/" TargetMode="External"/><Relationship Id="rId79" Type="http://schemas.openxmlformats.org/officeDocument/2006/relationships/hyperlink" Target="http://ed.gov/about/offices/list/ocr/504faq.html" TargetMode="External"/><Relationship Id="rId80" Type="http://schemas.openxmlformats.org/officeDocument/2006/relationships/hyperlink" Target="https://drs.okdrs.gov/consumer/strans/SitePages/Transitionhome.aspx" TargetMode="External"/><Relationship Id="rId81" Type="http://schemas.openxmlformats.org/officeDocument/2006/relationships/hyperlink" Target="https://www.cde.state.co.us/cdesped/tli-2020-session-101-9" TargetMode="External"/><Relationship Id="rId82" Type="http://schemas.openxmlformats.org/officeDocument/2006/relationships/hyperlink" Target="https://officemgmtentserv.sharepoint.com/sites/805-AWARE/SitePages/Education.aspx" TargetMode="External"/><Relationship Id="rId83" Type="http://schemas.openxmlformats.org/officeDocument/2006/relationships/hyperlink" Target="https://drs.okdrs.gov/librarycatalogs/formsguide/_layouts/15/start.aspx%23/Forms%20Guide/Forms/DRSC17.aspx" TargetMode="External"/><Relationship Id="rId84" Type="http://schemas.openxmlformats.org/officeDocument/2006/relationships/hyperlink" Target="http://edocket.access.gpo.gov/cfr_2010/julqtr/36cfr701.6.htm" TargetMode="External"/><Relationship Id="rId85" Type="http://schemas.openxmlformats.org/officeDocument/2006/relationships/hyperlink" Target="http://pe.usps.gov/text/imm/immc2_027.htm" TargetMode="External"/><Relationship Id="rId86" Type="http://schemas.openxmlformats.org/officeDocument/2006/relationships/hyperlink" Target="file://compass/DavWWWRoot/referencepoint/policymanual/Oklahoma%20Statutes/70-13-112.1.xml" TargetMode="External"/><Relationship Id="rId87" Type="http://schemas.openxmlformats.org/officeDocument/2006/relationships/hyperlink" Target="https://drs.okdrs.gov/supportservices/msdpdps/policymanual/DRS%20%20Chapter%203%20Subchapter%203%20%20Human%20Resources%20Unit/DRS-3-3-11.doc" TargetMode="External"/><Relationship Id="rId88" Type="http://schemas.openxmlformats.org/officeDocument/2006/relationships/hyperlink" Target="https://drs.okdrs.gov/supportservices/msdpdps/policymanual/612%20%20Chapter%2025%20Subchapter%204%20%20The%20State%20Licensing/612-25-4-16.doc" TargetMode="External"/><Relationship Id="rId89" Type="http://schemas.openxmlformats.org/officeDocument/2006/relationships/hyperlink" Target="http://www.gpo.gov/fdsys/pkg/CFR-2011-title34-vol2/pdf/CFR-2011-title34-vol2-sec395-11.pdf" TargetMode="External"/><Relationship Id="rId90" Type="http://schemas.openxmlformats.org/officeDocument/2006/relationships/hyperlink" Target="http://www.gpo.gov/fdsys/pkg/USCODE-2011-title20/pdf/USCODE-2011-title20-chap6A-sec107d-4.pdf" TargetMode="External"/><Relationship Id="rId91" Type="http://schemas.openxmlformats.org/officeDocument/2006/relationships/hyperlink" Target="http://www.gpo.gov/fdsys/pkg/CFR-2011-title34-vol2/pdf/CFR-2011-title34-vol2-sec395-10.pdf" TargetMode="External"/><Relationship Id="rId92" Type="http://schemas.openxmlformats.org/officeDocument/2006/relationships/hyperlink" Target="http://www.gpo.gov/fdsys/pkg/CFR-2011-title34-vol2/pdf/CFR-2011-title34-vol2-sec395-8.pdf" TargetMode="External"/><Relationship Id="rId93" Type="http://schemas.openxmlformats.org/officeDocument/2006/relationships/hyperlink" Target="http://www.gpo.gov/fdsys/pkg/CFR-2011-title34-vol2/pdf/CFR-2011-title34-vol2-sec395-32.pdf" TargetMode="External"/><Relationship Id="rId94" Type="http://schemas.openxmlformats.org/officeDocument/2006/relationships/hyperlink" Target="http://www.gpo.gov/fdsys/pkg/CFR-2011-title34-vol2/pdf/CFR-2011-title34-vol2-sec395-7.pdf" TargetMode="External"/><Relationship Id="rId9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State of Oklahoma</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A. Calloway</dc:creator>
  <dc:description/>
  <dcterms:created xsi:type="dcterms:W3CDTF">2025-08-05T13:13:46Z</dcterms:created>
  <dcterms:modified xsi:type="dcterms:W3CDTF">2025-08-05T13:13:46Z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0x010100E33931C2CAA63E48B2CFEDE0FE0C53A8</vt:lpwstr>
  </property>
  <property fmtid="{D5CDD505-2E9C-101B-9397-08002B2CF9AE}" pid="3" name="Created">
    <vt:filetime>2025-02-10T00:00:00Z</vt:filetime>
  </property>
  <property fmtid="{D5CDD505-2E9C-101B-9397-08002B2CF9AE}" pid="4" name="Creator">
    <vt:lpwstr>Acrobat PDFMaker 24 for Word</vt:lpwstr>
  </property>
  <property fmtid="{D5CDD505-2E9C-101B-9397-08002B2CF9AE}" pid="5" name="Language">
    <vt:lpwstr>English</vt:lpwstr>
  </property>
  <property fmtid="{D5CDD505-2E9C-101B-9397-08002B2CF9AE}" pid="6" name="LastSaved">
    <vt:filetime>2025-08-05T00:00:00Z</vt:filetime>
  </property>
  <property fmtid="{D5CDD505-2E9C-101B-9397-08002B2CF9AE}" pid="7" name="Producer">
    <vt:lpwstr>Adobe PDF Library 24.5.175</vt:lpwstr>
  </property>
  <property fmtid="{D5CDD505-2E9C-101B-9397-08002B2CF9AE}" pid="8" name="SourceModified">
    <vt:lpwstr>D:20250210194047</vt:lpwstr>
  </property>
</Properties>
</file>